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48809" w14:textId="77777777" w:rsidR="00D1587D" w:rsidRDefault="00410D07">
      <w:pPr>
        <w:jc w:val="center"/>
        <w:rPr>
          <w:sz w:val="20"/>
          <w:szCs w:val="20"/>
        </w:rPr>
      </w:pPr>
      <w:bookmarkStart w:id="0" w:name="page1"/>
      <w:bookmarkEnd w:id="0"/>
      <w:r>
        <w:rPr>
          <w:rFonts w:ascii="Arial" w:eastAsia="Arial" w:hAnsi="Arial" w:cs="Arial"/>
          <w:b/>
          <w:bCs/>
          <w:sz w:val="18"/>
          <w:szCs w:val="18"/>
        </w:rPr>
        <w:t>As Filed with the Securities and Exchange Commission on June 21, 2021</w:t>
      </w:r>
    </w:p>
    <w:p w14:paraId="5C43B34F" w14:textId="77777777" w:rsidR="00D1587D" w:rsidRDefault="00D1587D">
      <w:pPr>
        <w:spacing w:line="50" w:lineRule="exact"/>
        <w:rPr>
          <w:sz w:val="24"/>
          <w:szCs w:val="24"/>
        </w:rPr>
      </w:pPr>
    </w:p>
    <w:p w14:paraId="2C42C939" w14:textId="77777777" w:rsidR="00D1587D" w:rsidRDefault="00410D07">
      <w:pPr>
        <w:jc w:val="right"/>
        <w:rPr>
          <w:sz w:val="20"/>
          <w:szCs w:val="20"/>
        </w:rPr>
      </w:pPr>
      <w:r>
        <w:rPr>
          <w:rFonts w:ascii="Arial" w:eastAsia="Arial" w:hAnsi="Arial" w:cs="Arial"/>
          <w:b/>
          <w:bCs/>
          <w:sz w:val="18"/>
          <w:szCs w:val="18"/>
        </w:rPr>
        <w:t>File No. 001-</w:t>
      </w:r>
    </w:p>
    <w:p w14:paraId="192E5C49" w14:textId="77777777" w:rsidR="00D1587D" w:rsidRDefault="00410D07">
      <w:pPr>
        <w:spacing w:line="20" w:lineRule="exact"/>
        <w:rPr>
          <w:sz w:val="24"/>
          <w:szCs w:val="24"/>
        </w:rPr>
      </w:pPr>
      <w:r>
        <w:rPr>
          <w:noProof/>
          <w:sz w:val="24"/>
          <w:szCs w:val="24"/>
        </w:rPr>
        <w:drawing>
          <wp:anchor distT="0" distB="0" distL="114300" distR="114300" simplePos="0" relativeHeight="251132928" behindDoc="1" locked="0" layoutInCell="0" allowOverlap="1" wp14:anchorId="1CEE1EFC" wp14:editId="76276663">
            <wp:simplePos x="0" y="0"/>
            <wp:positionH relativeFrom="column">
              <wp:posOffset>2540</wp:posOffset>
            </wp:positionH>
            <wp:positionV relativeFrom="paragraph">
              <wp:posOffset>26035</wp:posOffset>
            </wp:positionV>
            <wp:extent cx="6172200" cy="25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172200" cy="25400"/>
                    </a:xfrm>
                    <a:prstGeom prst="rect">
                      <a:avLst/>
                    </a:prstGeom>
                    <a:noFill/>
                  </pic:spPr>
                </pic:pic>
              </a:graphicData>
            </a:graphic>
          </wp:anchor>
        </w:drawing>
      </w:r>
      <w:r>
        <w:rPr>
          <w:noProof/>
          <w:sz w:val="24"/>
          <w:szCs w:val="24"/>
        </w:rPr>
        <w:drawing>
          <wp:anchor distT="0" distB="0" distL="114300" distR="114300" simplePos="0" relativeHeight="251133952" behindDoc="1" locked="0" layoutInCell="0" allowOverlap="1" wp14:anchorId="608FD0AF" wp14:editId="0845B8FF">
            <wp:simplePos x="0" y="0"/>
            <wp:positionH relativeFrom="column">
              <wp:posOffset>2540</wp:posOffset>
            </wp:positionH>
            <wp:positionV relativeFrom="paragraph">
              <wp:posOffset>94615</wp:posOffset>
            </wp:positionV>
            <wp:extent cx="6172200" cy="82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172200" cy="8255"/>
                    </a:xfrm>
                    <a:prstGeom prst="rect">
                      <a:avLst/>
                    </a:prstGeom>
                    <a:noFill/>
                  </pic:spPr>
                </pic:pic>
              </a:graphicData>
            </a:graphic>
          </wp:anchor>
        </w:drawing>
      </w:r>
    </w:p>
    <w:p w14:paraId="2297286D" w14:textId="77777777" w:rsidR="00D1587D" w:rsidRDefault="00D1587D">
      <w:pPr>
        <w:spacing w:line="321" w:lineRule="exact"/>
        <w:rPr>
          <w:sz w:val="24"/>
          <w:szCs w:val="24"/>
        </w:rPr>
      </w:pPr>
    </w:p>
    <w:p w14:paraId="1BF69127" w14:textId="77777777" w:rsidR="00D1587D" w:rsidRDefault="00410D07">
      <w:pPr>
        <w:jc w:val="center"/>
        <w:rPr>
          <w:sz w:val="20"/>
          <w:szCs w:val="20"/>
        </w:rPr>
      </w:pPr>
      <w:r>
        <w:rPr>
          <w:rFonts w:ascii="Arial" w:eastAsia="Arial" w:hAnsi="Arial" w:cs="Arial"/>
          <w:sz w:val="29"/>
          <w:szCs w:val="29"/>
        </w:rPr>
        <w:t>UNITED STATES</w:t>
      </w:r>
    </w:p>
    <w:p w14:paraId="5D2B3772" w14:textId="77777777" w:rsidR="00D1587D" w:rsidRDefault="00D1587D">
      <w:pPr>
        <w:spacing w:line="28" w:lineRule="exact"/>
        <w:rPr>
          <w:sz w:val="24"/>
          <w:szCs w:val="24"/>
        </w:rPr>
      </w:pPr>
    </w:p>
    <w:p w14:paraId="5DFAE5AE" w14:textId="77777777" w:rsidR="00D1587D" w:rsidRDefault="00410D07">
      <w:pPr>
        <w:jc w:val="center"/>
        <w:rPr>
          <w:sz w:val="20"/>
          <w:szCs w:val="20"/>
        </w:rPr>
      </w:pPr>
      <w:r>
        <w:rPr>
          <w:rFonts w:ascii="Arial" w:eastAsia="Arial" w:hAnsi="Arial" w:cs="Arial"/>
          <w:sz w:val="29"/>
          <w:szCs w:val="29"/>
        </w:rPr>
        <w:t>SECURITIES AND EXCHANGE COMMISSION</w:t>
      </w:r>
    </w:p>
    <w:p w14:paraId="7D4A392C" w14:textId="77777777" w:rsidR="00D1587D" w:rsidRDefault="00D1587D">
      <w:pPr>
        <w:spacing w:line="1" w:lineRule="exact"/>
        <w:rPr>
          <w:sz w:val="24"/>
          <w:szCs w:val="24"/>
        </w:rPr>
      </w:pPr>
    </w:p>
    <w:p w14:paraId="23803B95" w14:textId="77777777" w:rsidR="00D1587D" w:rsidRDefault="00410D07">
      <w:pPr>
        <w:jc w:val="center"/>
        <w:rPr>
          <w:sz w:val="20"/>
          <w:szCs w:val="20"/>
        </w:rPr>
      </w:pPr>
      <w:r>
        <w:rPr>
          <w:rFonts w:ascii="Arial" w:eastAsia="Arial" w:hAnsi="Arial" w:cs="Arial"/>
        </w:rPr>
        <w:t>Washington, D.C. 20549</w:t>
      </w:r>
    </w:p>
    <w:p w14:paraId="097A7A81" w14:textId="77777777" w:rsidR="00D1587D" w:rsidRDefault="00410D07">
      <w:pPr>
        <w:spacing w:line="20" w:lineRule="exact"/>
        <w:rPr>
          <w:sz w:val="24"/>
          <w:szCs w:val="24"/>
        </w:rPr>
      </w:pPr>
      <w:r>
        <w:rPr>
          <w:noProof/>
          <w:sz w:val="24"/>
          <w:szCs w:val="24"/>
        </w:rPr>
        <w:drawing>
          <wp:anchor distT="0" distB="0" distL="114300" distR="114300" simplePos="0" relativeHeight="251134976" behindDoc="1" locked="0" layoutInCell="0" allowOverlap="1" wp14:anchorId="75D6C5EE" wp14:editId="4B743D9C">
            <wp:simplePos x="0" y="0"/>
            <wp:positionH relativeFrom="column">
              <wp:posOffset>2540000</wp:posOffset>
            </wp:positionH>
            <wp:positionV relativeFrom="paragraph">
              <wp:posOffset>141605</wp:posOffset>
            </wp:positionV>
            <wp:extent cx="1097280" cy="82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097280" cy="8255"/>
                    </a:xfrm>
                    <a:prstGeom prst="rect">
                      <a:avLst/>
                    </a:prstGeom>
                    <a:noFill/>
                  </pic:spPr>
                </pic:pic>
              </a:graphicData>
            </a:graphic>
          </wp:anchor>
        </w:drawing>
      </w:r>
    </w:p>
    <w:p w14:paraId="3ABA6342" w14:textId="77777777" w:rsidR="00D1587D" w:rsidRDefault="00D1587D">
      <w:pPr>
        <w:spacing w:line="200" w:lineRule="exact"/>
        <w:rPr>
          <w:sz w:val="24"/>
          <w:szCs w:val="24"/>
        </w:rPr>
      </w:pPr>
    </w:p>
    <w:p w14:paraId="1B7E9DE4" w14:textId="77777777" w:rsidR="00D1587D" w:rsidRDefault="00D1587D">
      <w:pPr>
        <w:spacing w:line="236" w:lineRule="exact"/>
        <w:rPr>
          <w:sz w:val="24"/>
          <w:szCs w:val="24"/>
        </w:rPr>
      </w:pPr>
    </w:p>
    <w:p w14:paraId="637BEF2B" w14:textId="77777777" w:rsidR="00D1587D" w:rsidRDefault="00410D07">
      <w:pPr>
        <w:jc w:val="center"/>
        <w:rPr>
          <w:sz w:val="20"/>
          <w:szCs w:val="20"/>
        </w:rPr>
      </w:pPr>
      <w:r>
        <w:rPr>
          <w:rFonts w:ascii="Arial" w:eastAsia="Arial" w:hAnsi="Arial" w:cs="Arial"/>
          <w:b/>
          <w:bCs/>
          <w:sz w:val="31"/>
          <w:szCs w:val="31"/>
        </w:rPr>
        <w:t>FORM 10</w:t>
      </w:r>
    </w:p>
    <w:p w14:paraId="24933F6E" w14:textId="77777777" w:rsidR="00D1587D" w:rsidRDefault="00410D07">
      <w:pPr>
        <w:spacing w:line="20" w:lineRule="exact"/>
        <w:rPr>
          <w:sz w:val="24"/>
          <w:szCs w:val="24"/>
        </w:rPr>
      </w:pPr>
      <w:r>
        <w:rPr>
          <w:noProof/>
          <w:sz w:val="24"/>
          <w:szCs w:val="24"/>
        </w:rPr>
        <w:drawing>
          <wp:anchor distT="0" distB="0" distL="114300" distR="114300" simplePos="0" relativeHeight="251136000" behindDoc="1" locked="0" layoutInCell="0" allowOverlap="1" wp14:anchorId="456C7724" wp14:editId="6D238860">
            <wp:simplePos x="0" y="0"/>
            <wp:positionH relativeFrom="column">
              <wp:posOffset>2540000</wp:posOffset>
            </wp:positionH>
            <wp:positionV relativeFrom="paragraph">
              <wp:posOffset>173990</wp:posOffset>
            </wp:positionV>
            <wp:extent cx="1097280" cy="82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097280" cy="8255"/>
                    </a:xfrm>
                    <a:prstGeom prst="rect">
                      <a:avLst/>
                    </a:prstGeom>
                    <a:noFill/>
                  </pic:spPr>
                </pic:pic>
              </a:graphicData>
            </a:graphic>
          </wp:anchor>
        </w:drawing>
      </w:r>
    </w:p>
    <w:p w14:paraId="3FF52DA3" w14:textId="77777777" w:rsidR="00D1587D" w:rsidRDefault="00D1587D">
      <w:pPr>
        <w:spacing w:line="200" w:lineRule="exact"/>
        <w:rPr>
          <w:sz w:val="24"/>
          <w:szCs w:val="24"/>
        </w:rPr>
      </w:pPr>
    </w:p>
    <w:p w14:paraId="3BE4956A" w14:textId="77777777" w:rsidR="00D1587D" w:rsidRDefault="00D1587D">
      <w:pPr>
        <w:spacing w:line="297" w:lineRule="exact"/>
        <w:rPr>
          <w:sz w:val="24"/>
          <w:szCs w:val="24"/>
        </w:rPr>
      </w:pPr>
    </w:p>
    <w:p w14:paraId="4B44DD1F" w14:textId="77777777" w:rsidR="00D1587D" w:rsidRDefault="00410D07">
      <w:pPr>
        <w:spacing w:line="243" w:lineRule="auto"/>
        <w:jc w:val="center"/>
        <w:rPr>
          <w:sz w:val="20"/>
          <w:szCs w:val="20"/>
        </w:rPr>
      </w:pPr>
      <w:r>
        <w:rPr>
          <w:rFonts w:ascii="Arial" w:eastAsia="Arial" w:hAnsi="Arial" w:cs="Arial"/>
          <w:b/>
          <w:bCs/>
        </w:rPr>
        <w:t xml:space="preserve">GENERAL FORM FOR REGISTRATION OF SECURITIES PURSUANT TO SECTION 12(b) OR </w:t>
      </w:r>
      <w:r>
        <w:rPr>
          <w:rFonts w:ascii="Arial" w:eastAsia="Arial" w:hAnsi="Arial" w:cs="Arial"/>
          <w:b/>
          <w:bCs/>
        </w:rPr>
        <w:t>12(g) OF THE SECURITIES EXCHANGE ACT OF 1934</w:t>
      </w:r>
    </w:p>
    <w:p w14:paraId="2BE3D165" w14:textId="77777777" w:rsidR="00D1587D" w:rsidRDefault="00D1587D">
      <w:pPr>
        <w:spacing w:line="179" w:lineRule="exact"/>
        <w:rPr>
          <w:sz w:val="24"/>
          <w:szCs w:val="24"/>
        </w:rPr>
      </w:pPr>
    </w:p>
    <w:p w14:paraId="5DE4CF14" w14:textId="77777777" w:rsidR="00D1587D" w:rsidRDefault="00410D07">
      <w:pPr>
        <w:jc w:val="center"/>
        <w:rPr>
          <w:sz w:val="20"/>
          <w:szCs w:val="20"/>
        </w:rPr>
      </w:pPr>
      <w:r>
        <w:rPr>
          <w:rFonts w:ascii="Arial" w:eastAsia="Arial" w:hAnsi="Arial" w:cs="Arial"/>
          <w:b/>
          <w:bCs/>
          <w:sz w:val="36"/>
          <w:szCs w:val="36"/>
        </w:rPr>
        <w:t>Victoria’s Secret &amp; Co.</w:t>
      </w:r>
    </w:p>
    <w:p w14:paraId="2DE925BB" w14:textId="77777777" w:rsidR="00D1587D" w:rsidRDefault="00D1587D">
      <w:pPr>
        <w:spacing w:line="45" w:lineRule="exact"/>
        <w:rPr>
          <w:sz w:val="24"/>
          <w:szCs w:val="24"/>
        </w:rPr>
      </w:pPr>
    </w:p>
    <w:p w14:paraId="64594D40" w14:textId="77777777" w:rsidR="00D1587D" w:rsidRDefault="00410D07">
      <w:pPr>
        <w:jc w:val="center"/>
        <w:rPr>
          <w:sz w:val="20"/>
          <w:szCs w:val="20"/>
        </w:rPr>
      </w:pPr>
      <w:r>
        <w:rPr>
          <w:rFonts w:ascii="Arial" w:eastAsia="Arial" w:hAnsi="Arial" w:cs="Arial"/>
          <w:b/>
          <w:bCs/>
          <w:sz w:val="18"/>
          <w:szCs w:val="18"/>
        </w:rPr>
        <w:t>(Exact name of Registrant as specified in its charter)</w:t>
      </w:r>
    </w:p>
    <w:p w14:paraId="50F573AE" w14:textId="77777777" w:rsidR="00D1587D" w:rsidRDefault="00410D07">
      <w:pPr>
        <w:spacing w:line="20" w:lineRule="exact"/>
        <w:rPr>
          <w:sz w:val="24"/>
          <w:szCs w:val="24"/>
        </w:rPr>
      </w:pPr>
      <w:r>
        <w:rPr>
          <w:noProof/>
          <w:sz w:val="24"/>
          <w:szCs w:val="24"/>
        </w:rPr>
        <w:drawing>
          <wp:anchor distT="0" distB="0" distL="114300" distR="114300" simplePos="0" relativeHeight="251137024" behindDoc="1" locked="0" layoutInCell="0" allowOverlap="1" wp14:anchorId="0733C516" wp14:editId="681C9A5B">
            <wp:simplePos x="0" y="0"/>
            <wp:positionH relativeFrom="column">
              <wp:posOffset>2540000</wp:posOffset>
            </wp:positionH>
            <wp:positionV relativeFrom="paragraph">
              <wp:posOffset>150495</wp:posOffset>
            </wp:positionV>
            <wp:extent cx="1097280" cy="82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097280" cy="8255"/>
                    </a:xfrm>
                    <a:prstGeom prst="rect">
                      <a:avLst/>
                    </a:prstGeom>
                    <a:noFill/>
                  </pic:spPr>
                </pic:pic>
              </a:graphicData>
            </a:graphic>
          </wp:anchor>
        </w:drawing>
      </w:r>
    </w:p>
    <w:p w14:paraId="7363B579" w14:textId="77777777" w:rsidR="00D1587D" w:rsidRDefault="00D1587D">
      <w:pPr>
        <w:spacing w:line="388" w:lineRule="exact"/>
        <w:rPr>
          <w:sz w:val="24"/>
          <w:szCs w:val="24"/>
        </w:rPr>
      </w:pPr>
    </w:p>
    <w:tbl>
      <w:tblPr>
        <w:tblW w:w="0" w:type="auto"/>
        <w:tblInd w:w="920" w:type="dxa"/>
        <w:tblLayout w:type="fixed"/>
        <w:tblCellMar>
          <w:left w:w="0" w:type="dxa"/>
          <w:right w:w="0" w:type="dxa"/>
        </w:tblCellMar>
        <w:tblLook w:val="04A0" w:firstRow="1" w:lastRow="0" w:firstColumn="1" w:lastColumn="0" w:noHBand="0" w:noVBand="1"/>
      </w:tblPr>
      <w:tblGrid>
        <w:gridCol w:w="3160"/>
        <w:gridCol w:w="4100"/>
      </w:tblGrid>
      <w:tr w:rsidR="00D1587D" w14:paraId="3D2DBB94" w14:textId="77777777">
        <w:trPr>
          <w:trHeight w:val="234"/>
        </w:trPr>
        <w:tc>
          <w:tcPr>
            <w:tcW w:w="3160" w:type="dxa"/>
            <w:vAlign w:val="bottom"/>
          </w:tcPr>
          <w:p w14:paraId="5335C5F0" w14:textId="77777777" w:rsidR="00D1587D" w:rsidRDefault="00410D07">
            <w:pPr>
              <w:ind w:right="150"/>
              <w:jc w:val="center"/>
              <w:rPr>
                <w:sz w:val="20"/>
                <w:szCs w:val="20"/>
              </w:rPr>
            </w:pPr>
            <w:r>
              <w:rPr>
                <w:rFonts w:ascii="Arial" w:eastAsia="Arial" w:hAnsi="Arial" w:cs="Arial"/>
                <w:b/>
                <w:bCs/>
                <w:w w:val="91"/>
                <w:sz w:val="18"/>
                <w:szCs w:val="18"/>
              </w:rPr>
              <w:t>Delaware</w:t>
            </w:r>
          </w:p>
        </w:tc>
        <w:tc>
          <w:tcPr>
            <w:tcW w:w="4100" w:type="dxa"/>
            <w:vAlign w:val="bottom"/>
          </w:tcPr>
          <w:p w14:paraId="50F76014" w14:textId="77777777" w:rsidR="00D1587D" w:rsidRDefault="00410D07">
            <w:pPr>
              <w:ind w:right="310"/>
              <w:jc w:val="right"/>
              <w:rPr>
                <w:sz w:val="20"/>
                <w:szCs w:val="20"/>
              </w:rPr>
            </w:pPr>
            <w:r>
              <w:rPr>
                <w:rFonts w:ascii="Arial" w:eastAsia="Arial" w:hAnsi="Arial" w:cs="Arial"/>
                <w:b/>
                <w:bCs/>
                <w:sz w:val="18"/>
                <w:szCs w:val="18"/>
              </w:rPr>
              <w:t>86-3167653</w:t>
            </w:r>
          </w:p>
        </w:tc>
      </w:tr>
      <w:tr w:rsidR="00D1587D" w14:paraId="02C647D3" w14:textId="77777777">
        <w:trPr>
          <w:trHeight w:val="310"/>
        </w:trPr>
        <w:tc>
          <w:tcPr>
            <w:tcW w:w="3160" w:type="dxa"/>
            <w:vAlign w:val="bottom"/>
          </w:tcPr>
          <w:p w14:paraId="1E81EE37" w14:textId="77777777" w:rsidR="00D1587D" w:rsidRDefault="00410D07">
            <w:pPr>
              <w:ind w:right="190"/>
              <w:jc w:val="center"/>
              <w:rPr>
                <w:sz w:val="20"/>
                <w:szCs w:val="20"/>
              </w:rPr>
            </w:pPr>
            <w:r>
              <w:rPr>
                <w:rFonts w:ascii="Arial" w:eastAsia="Arial" w:hAnsi="Arial" w:cs="Arial"/>
                <w:w w:val="92"/>
                <w:sz w:val="18"/>
                <w:szCs w:val="18"/>
              </w:rPr>
              <w:t>(State or Other Jurisdiction of</w:t>
            </w:r>
          </w:p>
        </w:tc>
        <w:tc>
          <w:tcPr>
            <w:tcW w:w="4100" w:type="dxa"/>
            <w:vAlign w:val="bottom"/>
          </w:tcPr>
          <w:p w14:paraId="799C7876" w14:textId="77777777" w:rsidR="00D1587D" w:rsidRDefault="00410D07">
            <w:pPr>
              <w:ind w:left="2310"/>
              <w:jc w:val="center"/>
              <w:rPr>
                <w:sz w:val="20"/>
                <w:szCs w:val="20"/>
              </w:rPr>
            </w:pPr>
            <w:r>
              <w:rPr>
                <w:rFonts w:ascii="Arial" w:eastAsia="Arial" w:hAnsi="Arial" w:cs="Arial"/>
                <w:w w:val="92"/>
                <w:sz w:val="18"/>
                <w:szCs w:val="18"/>
              </w:rPr>
              <w:t>(I.R.S. Employer</w:t>
            </w:r>
          </w:p>
        </w:tc>
      </w:tr>
      <w:tr w:rsidR="00D1587D" w14:paraId="46AA51DD" w14:textId="77777777">
        <w:trPr>
          <w:trHeight w:val="230"/>
        </w:trPr>
        <w:tc>
          <w:tcPr>
            <w:tcW w:w="3160" w:type="dxa"/>
            <w:vAlign w:val="bottom"/>
          </w:tcPr>
          <w:p w14:paraId="0BBE0DFF" w14:textId="77777777" w:rsidR="00D1587D" w:rsidRDefault="00410D07">
            <w:pPr>
              <w:ind w:right="130"/>
              <w:jc w:val="center"/>
              <w:rPr>
                <w:sz w:val="20"/>
                <w:szCs w:val="20"/>
              </w:rPr>
            </w:pPr>
            <w:r>
              <w:rPr>
                <w:rFonts w:ascii="Arial" w:eastAsia="Arial" w:hAnsi="Arial" w:cs="Arial"/>
                <w:w w:val="92"/>
                <w:sz w:val="18"/>
                <w:szCs w:val="18"/>
              </w:rPr>
              <w:t>Incorporation or Organization)</w:t>
            </w:r>
          </w:p>
        </w:tc>
        <w:tc>
          <w:tcPr>
            <w:tcW w:w="4100" w:type="dxa"/>
            <w:vAlign w:val="bottom"/>
          </w:tcPr>
          <w:p w14:paraId="152BA6CA" w14:textId="77777777" w:rsidR="00D1587D" w:rsidRDefault="00410D07">
            <w:pPr>
              <w:ind w:left="2350"/>
              <w:jc w:val="center"/>
              <w:rPr>
                <w:sz w:val="20"/>
                <w:szCs w:val="20"/>
              </w:rPr>
            </w:pPr>
            <w:r>
              <w:rPr>
                <w:rFonts w:ascii="Arial" w:eastAsia="Arial" w:hAnsi="Arial" w:cs="Arial"/>
                <w:w w:val="94"/>
                <w:sz w:val="18"/>
                <w:szCs w:val="18"/>
              </w:rPr>
              <w:t>Identification Number)</w:t>
            </w:r>
          </w:p>
        </w:tc>
      </w:tr>
      <w:tr w:rsidR="00D1587D" w14:paraId="18605EFB" w14:textId="77777777">
        <w:trPr>
          <w:trHeight w:val="630"/>
        </w:trPr>
        <w:tc>
          <w:tcPr>
            <w:tcW w:w="3160" w:type="dxa"/>
            <w:vAlign w:val="bottom"/>
          </w:tcPr>
          <w:p w14:paraId="0F13689D" w14:textId="77777777" w:rsidR="00D1587D" w:rsidRDefault="00410D07">
            <w:pPr>
              <w:ind w:left="520"/>
              <w:rPr>
                <w:sz w:val="20"/>
                <w:szCs w:val="20"/>
              </w:rPr>
            </w:pPr>
            <w:r>
              <w:rPr>
                <w:rFonts w:ascii="Arial" w:eastAsia="Arial" w:hAnsi="Arial" w:cs="Arial"/>
                <w:b/>
                <w:bCs/>
                <w:sz w:val="18"/>
                <w:szCs w:val="18"/>
              </w:rPr>
              <w:t>4 Limited Parkway East</w:t>
            </w:r>
          </w:p>
        </w:tc>
        <w:tc>
          <w:tcPr>
            <w:tcW w:w="4100" w:type="dxa"/>
            <w:vAlign w:val="bottom"/>
          </w:tcPr>
          <w:p w14:paraId="76A0F83E" w14:textId="77777777" w:rsidR="00D1587D" w:rsidRDefault="00D1587D">
            <w:pPr>
              <w:rPr>
                <w:sz w:val="24"/>
                <w:szCs w:val="24"/>
              </w:rPr>
            </w:pPr>
          </w:p>
        </w:tc>
      </w:tr>
      <w:tr w:rsidR="00D1587D" w14:paraId="7DDD38FB" w14:textId="77777777">
        <w:trPr>
          <w:trHeight w:val="234"/>
        </w:trPr>
        <w:tc>
          <w:tcPr>
            <w:tcW w:w="3160" w:type="dxa"/>
            <w:vAlign w:val="bottom"/>
          </w:tcPr>
          <w:p w14:paraId="442891C9" w14:textId="77777777" w:rsidR="00D1587D" w:rsidRDefault="00410D07">
            <w:pPr>
              <w:ind w:right="130"/>
              <w:jc w:val="center"/>
              <w:rPr>
                <w:sz w:val="20"/>
                <w:szCs w:val="20"/>
              </w:rPr>
            </w:pPr>
            <w:r>
              <w:rPr>
                <w:rFonts w:ascii="Arial" w:eastAsia="Arial" w:hAnsi="Arial" w:cs="Arial"/>
                <w:b/>
                <w:bCs/>
                <w:w w:val="89"/>
                <w:sz w:val="18"/>
                <w:szCs w:val="18"/>
              </w:rPr>
              <w:t>Reynoldsburg, Ohio</w:t>
            </w:r>
          </w:p>
        </w:tc>
        <w:tc>
          <w:tcPr>
            <w:tcW w:w="4100" w:type="dxa"/>
            <w:vAlign w:val="bottom"/>
          </w:tcPr>
          <w:p w14:paraId="636D9440" w14:textId="77777777" w:rsidR="00D1587D" w:rsidRDefault="00410D07">
            <w:pPr>
              <w:ind w:right="510"/>
              <w:jc w:val="right"/>
              <w:rPr>
                <w:sz w:val="20"/>
                <w:szCs w:val="20"/>
              </w:rPr>
            </w:pPr>
            <w:r>
              <w:rPr>
                <w:rFonts w:ascii="Arial" w:eastAsia="Arial" w:hAnsi="Arial" w:cs="Arial"/>
                <w:b/>
                <w:bCs/>
                <w:sz w:val="18"/>
                <w:szCs w:val="18"/>
              </w:rPr>
              <w:t>43068</w:t>
            </w:r>
          </w:p>
        </w:tc>
      </w:tr>
      <w:tr w:rsidR="00D1587D" w14:paraId="1E744756" w14:textId="77777777">
        <w:trPr>
          <w:trHeight w:val="324"/>
        </w:trPr>
        <w:tc>
          <w:tcPr>
            <w:tcW w:w="3160" w:type="dxa"/>
            <w:vAlign w:val="bottom"/>
          </w:tcPr>
          <w:p w14:paraId="2ADFFE4E" w14:textId="77777777" w:rsidR="00D1587D" w:rsidRDefault="00410D07">
            <w:pPr>
              <w:ind w:right="130"/>
              <w:jc w:val="center"/>
              <w:rPr>
                <w:sz w:val="20"/>
                <w:szCs w:val="20"/>
              </w:rPr>
            </w:pPr>
            <w:r>
              <w:rPr>
                <w:rFonts w:ascii="Arial" w:eastAsia="Arial" w:hAnsi="Arial" w:cs="Arial"/>
                <w:w w:val="92"/>
                <w:sz w:val="18"/>
                <w:szCs w:val="18"/>
              </w:rPr>
              <w:t>(Address of Principal Executive Offices)</w:t>
            </w:r>
          </w:p>
        </w:tc>
        <w:tc>
          <w:tcPr>
            <w:tcW w:w="4100" w:type="dxa"/>
            <w:vAlign w:val="bottom"/>
          </w:tcPr>
          <w:p w14:paraId="6E2BB965" w14:textId="77777777" w:rsidR="00D1587D" w:rsidRDefault="00410D07">
            <w:pPr>
              <w:ind w:left="2350"/>
              <w:jc w:val="center"/>
              <w:rPr>
                <w:sz w:val="20"/>
                <w:szCs w:val="20"/>
              </w:rPr>
            </w:pPr>
            <w:r>
              <w:rPr>
                <w:rFonts w:ascii="Arial" w:eastAsia="Arial" w:hAnsi="Arial" w:cs="Arial"/>
                <w:w w:val="91"/>
                <w:sz w:val="18"/>
                <w:szCs w:val="18"/>
              </w:rPr>
              <w:t>(Zip Code)</w:t>
            </w:r>
          </w:p>
        </w:tc>
      </w:tr>
      <w:tr w:rsidR="00D1587D" w14:paraId="04887232" w14:textId="77777777">
        <w:trPr>
          <w:trHeight w:val="378"/>
        </w:trPr>
        <w:tc>
          <w:tcPr>
            <w:tcW w:w="3160" w:type="dxa"/>
            <w:vAlign w:val="bottom"/>
          </w:tcPr>
          <w:p w14:paraId="6DE17A97" w14:textId="77777777" w:rsidR="00D1587D" w:rsidRDefault="00D1587D">
            <w:pPr>
              <w:rPr>
                <w:sz w:val="24"/>
                <w:szCs w:val="24"/>
              </w:rPr>
            </w:pPr>
          </w:p>
        </w:tc>
        <w:tc>
          <w:tcPr>
            <w:tcW w:w="4100" w:type="dxa"/>
            <w:vAlign w:val="bottom"/>
          </w:tcPr>
          <w:p w14:paraId="7E28F693" w14:textId="77777777" w:rsidR="00D1587D" w:rsidRDefault="00410D07">
            <w:pPr>
              <w:ind w:right="2670"/>
              <w:jc w:val="right"/>
              <w:rPr>
                <w:sz w:val="20"/>
                <w:szCs w:val="20"/>
              </w:rPr>
            </w:pPr>
            <w:r>
              <w:rPr>
                <w:rFonts w:ascii="Arial" w:eastAsia="Arial" w:hAnsi="Arial" w:cs="Arial"/>
                <w:b/>
                <w:bCs/>
                <w:sz w:val="18"/>
                <w:szCs w:val="18"/>
              </w:rPr>
              <w:t>(614) 577-7000</w:t>
            </w:r>
          </w:p>
        </w:tc>
      </w:tr>
    </w:tbl>
    <w:p w14:paraId="0191A755" w14:textId="77777777" w:rsidR="00D1587D" w:rsidRDefault="00410D07">
      <w:pPr>
        <w:jc w:val="center"/>
        <w:rPr>
          <w:sz w:val="20"/>
          <w:szCs w:val="20"/>
        </w:rPr>
      </w:pPr>
      <w:r>
        <w:rPr>
          <w:rFonts w:ascii="Arial" w:eastAsia="Arial" w:hAnsi="Arial" w:cs="Arial"/>
          <w:b/>
          <w:bCs/>
          <w:sz w:val="18"/>
          <w:szCs w:val="18"/>
        </w:rPr>
        <w:t>(Registrant’s telephone number, including area code)</w:t>
      </w:r>
    </w:p>
    <w:p w14:paraId="4BCD2013" w14:textId="77777777" w:rsidR="00D1587D" w:rsidRDefault="00410D07">
      <w:pPr>
        <w:spacing w:line="20" w:lineRule="exact"/>
        <w:rPr>
          <w:sz w:val="24"/>
          <w:szCs w:val="24"/>
        </w:rPr>
      </w:pPr>
      <w:r>
        <w:rPr>
          <w:noProof/>
          <w:sz w:val="24"/>
          <w:szCs w:val="24"/>
        </w:rPr>
        <w:drawing>
          <wp:anchor distT="0" distB="0" distL="114300" distR="114300" simplePos="0" relativeHeight="251138048" behindDoc="1" locked="0" layoutInCell="0" allowOverlap="1" wp14:anchorId="2C5A8C32" wp14:editId="28C12CA9">
            <wp:simplePos x="0" y="0"/>
            <wp:positionH relativeFrom="column">
              <wp:posOffset>2540000</wp:posOffset>
            </wp:positionH>
            <wp:positionV relativeFrom="paragraph">
              <wp:posOffset>177165</wp:posOffset>
            </wp:positionV>
            <wp:extent cx="1097280" cy="82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097280" cy="8255"/>
                    </a:xfrm>
                    <a:prstGeom prst="rect">
                      <a:avLst/>
                    </a:prstGeom>
                    <a:noFill/>
                  </pic:spPr>
                </pic:pic>
              </a:graphicData>
            </a:graphic>
          </wp:anchor>
        </w:drawing>
      </w:r>
    </w:p>
    <w:p w14:paraId="17545B96" w14:textId="77777777" w:rsidR="00D1587D" w:rsidRDefault="00D1587D">
      <w:pPr>
        <w:spacing w:line="200" w:lineRule="exact"/>
        <w:rPr>
          <w:sz w:val="24"/>
          <w:szCs w:val="24"/>
        </w:rPr>
      </w:pPr>
    </w:p>
    <w:p w14:paraId="1A4A50E7" w14:textId="77777777" w:rsidR="00D1587D" w:rsidRDefault="00D1587D">
      <w:pPr>
        <w:spacing w:line="203" w:lineRule="exact"/>
        <w:rPr>
          <w:sz w:val="24"/>
          <w:szCs w:val="24"/>
        </w:rPr>
      </w:pPr>
    </w:p>
    <w:p w14:paraId="300E655E" w14:textId="77777777" w:rsidR="00D1587D" w:rsidRDefault="00410D07">
      <w:pPr>
        <w:jc w:val="center"/>
        <w:rPr>
          <w:sz w:val="20"/>
          <w:szCs w:val="20"/>
        </w:rPr>
      </w:pPr>
      <w:r>
        <w:rPr>
          <w:rFonts w:ascii="Arial" w:eastAsia="Arial" w:hAnsi="Arial" w:cs="Arial"/>
          <w:b/>
          <w:bCs/>
          <w:sz w:val="18"/>
          <w:szCs w:val="18"/>
        </w:rPr>
        <w:t>Copies to:</w:t>
      </w:r>
    </w:p>
    <w:p w14:paraId="33538A83" w14:textId="77777777" w:rsidR="00D1587D" w:rsidRDefault="00D1587D">
      <w:pPr>
        <w:spacing w:line="158" w:lineRule="exact"/>
        <w:rPr>
          <w:sz w:val="24"/>
          <w:szCs w:val="24"/>
        </w:rPr>
      </w:pPr>
    </w:p>
    <w:p w14:paraId="26F58262" w14:textId="77777777" w:rsidR="00D1587D" w:rsidRDefault="00410D07">
      <w:pPr>
        <w:jc w:val="center"/>
        <w:rPr>
          <w:sz w:val="20"/>
          <w:szCs w:val="20"/>
        </w:rPr>
      </w:pPr>
      <w:r>
        <w:rPr>
          <w:rFonts w:ascii="Arial" w:eastAsia="Arial" w:hAnsi="Arial" w:cs="Arial"/>
          <w:b/>
          <w:bCs/>
          <w:sz w:val="18"/>
          <w:szCs w:val="18"/>
        </w:rPr>
        <w:t>Deanna L. Kirkpatrick</w:t>
      </w:r>
    </w:p>
    <w:p w14:paraId="3397A552" w14:textId="77777777" w:rsidR="00D1587D" w:rsidRDefault="00D1587D">
      <w:pPr>
        <w:spacing w:line="27" w:lineRule="exact"/>
        <w:rPr>
          <w:sz w:val="24"/>
          <w:szCs w:val="24"/>
        </w:rPr>
      </w:pPr>
    </w:p>
    <w:p w14:paraId="5BAE0BB6" w14:textId="77777777" w:rsidR="00D1587D" w:rsidRDefault="00410D07">
      <w:pPr>
        <w:jc w:val="center"/>
        <w:rPr>
          <w:sz w:val="20"/>
          <w:szCs w:val="20"/>
        </w:rPr>
      </w:pPr>
      <w:r>
        <w:rPr>
          <w:rFonts w:ascii="Arial" w:eastAsia="Arial" w:hAnsi="Arial" w:cs="Arial"/>
          <w:b/>
          <w:bCs/>
          <w:sz w:val="18"/>
          <w:szCs w:val="18"/>
        </w:rPr>
        <w:t xml:space="preserve">Roshni Banker </w:t>
      </w:r>
      <w:r>
        <w:rPr>
          <w:rFonts w:ascii="Arial" w:eastAsia="Arial" w:hAnsi="Arial" w:cs="Arial"/>
          <w:b/>
          <w:bCs/>
          <w:sz w:val="18"/>
          <w:szCs w:val="18"/>
        </w:rPr>
        <w:t>Cariello</w:t>
      </w:r>
    </w:p>
    <w:p w14:paraId="3F04258D" w14:textId="77777777" w:rsidR="00D1587D" w:rsidRDefault="00D1587D">
      <w:pPr>
        <w:spacing w:line="9" w:lineRule="exact"/>
        <w:rPr>
          <w:sz w:val="24"/>
          <w:szCs w:val="24"/>
        </w:rPr>
      </w:pPr>
    </w:p>
    <w:p w14:paraId="1D21634C" w14:textId="77777777" w:rsidR="00D1587D" w:rsidRDefault="00410D07">
      <w:pPr>
        <w:jc w:val="center"/>
        <w:rPr>
          <w:sz w:val="20"/>
          <w:szCs w:val="20"/>
        </w:rPr>
      </w:pPr>
      <w:r>
        <w:rPr>
          <w:rFonts w:ascii="Arial" w:eastAsia="Arial" w:hAnsi="Arial" w:cs="Arial"/>
          <w:b/>
          <w:bCs/>
          <w:sz w:val="18"/>
          <w:szCs w:val="18"/>
        </w:rPr>
        <w:t>Davis Polk &amp; Wardwell LLP</w:t>
      </w:r>
    </w:p>
    <w:p w14:paraId="24EB229E" w14:textId="77777777" w:rsidR="00D1587D" w:rsidRDefault="00D1587D">
      <w:pPr>
        <w:spacing w:line="9" w:lineRule="exact"/>
        <w:rPr>
          <w:sz w:val="24"/>
          <w:szCs w:val="24"/>
        </w:rPr>
      </w:pPr>
    </w:p>
    <w:p w14:paraId="6B9BD03A" w14:textId="77777777" w:rsidR="00D1587D" w:rsidRDefault="00410D07">
      <w:pPr>
        <w:jc w:val="center"/>
        <w:rPr>
          <w:sz w:val="20"/>
          <w:szCs w:val="20"/>
        </w:rPr>
      </w:pPr>
      <w:r>
        <w:rPr>
          <w:rFonts w:ascii="Arial" w:eastAsia="Arial" w:hAnsi="Arial" w:cs="Arial"/>
          <w:b/>
          <w:bCs/>
          <w:sz w:val="18"/>
          <w:szCs w:val="18"/>
        </w:rPr>
        <w:t>450 Lexington Avenue</w:t>
      </w:r>
    </w:p>
    <w:p w14:paraId="53903030" w14:textId="77777777" w:rsidR="00D1587D" w:rsidRDefault="00D1587D">
      <w:pPr>
        <w:spacing w:line="9" w:lineRule="exact"/>
        <w:rPr>
          <w:sz w:val="24"/>
          <w:szCs w:val="24"/>
        </w:rPr>
      </w:pPr>
    </w:p>
    <w:p w14:paraId="5D9589A9" w14:textId="77777777" w:rsidR="00D1587D" w:rsidRDefault="00410D07">
      <w:pPr>
        <w:jc w:val="center"/>
        <w:rPr>
          <w:sz w:val="20"/>
          <w:szCs w:val="20"/>
        </w:rPr>
      </w:pPr>
      <w:r>
        <w:rPr>
          <w:rFonts w:ascii="Arial" w:eastAsia="Arial" w:hAnsi="Arial" w:cs="Arial"/>
          <w:b/>
          <w:bCs/>
          <w:sz w:val="18"/>
          <w:szCs w:val="18"/>
        </w:rPr>
        <w:t>New York, New York 10017</w:t>
      </w:r>
    </w:p>
    <w:p w14:paraId="4CCF0BA2" w14:textId="77777777" w:rsidR="00D1587D" w:rsidRDefault="00410D07">
      <w:pPr>
        <w:spacing w:line="20" w:lineRule="exact"/>
        <w:rPr>
          <w:sz w:val="24"/>
          <w:szCs w:val="24"/>
        </w:rPr>
      </w:pPr>
      <w:r>
        <w:rPr>
          <w:noProof/>
          <w:sz w:val="24"/>
          <w:szCs w:val="24"/>
        </w:rPr>
        <w:drawing>
          <wp:anchor distT="0" distB="0" distL="114300" distR="114300" simplePos="0" relativeHeight="251139072" behindDoc="1" locked="0" layoutInCell="0" allowOverlap="1" wp14:anchorId="15DB28B6" wp14:editId="13B59561">
            <wp:simplePos x="0" y="0"/>
            <wp:positionH relativeFrom="column">
              <wp:posOffset>2540000</wp:posOffset>
            </wp:positionH>
            <wp:positionV relativeFrom="paragraph">
              <wp:posOffset>177165</wp:posOffset>
            </wp:positionV>
            <wp:extent cx="1097280" cy="82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097280" cy="8255"/>
                    </a:xfrm>
                    <a:prstGeom prst="rect">
                      <a:avLst/>
                    </a:prstGeom>
                    <a:noFill/>
                  </pic:spPr>
                </pic:pic>
              </a:graphicData>
            </a:graphic>
          </wp:anchor>
        </w:drawing>
      </w:r>
    </w:p>
    <w:p w14:paraId="3DFE2DA1" w14:textId="77777777" w:rsidR="00D1587D" w:rsidRDefault="00D1587D">
      <w:pPr>
        <w:spacing w:line="389" w:lineRule="exact"/>
        <w:rPr>
          <w:sz w:val="24"/>
          <w:szCs w:val="24"/>
        </w:rPr>
      </w:pPr>
    </w:p>
    <w:p w14:paraId="5B2942EB" w14:textId="77777777" w:rsidR="00D1587D" w:rsidRDefault="00410D07">
      <w:pPr>
        <w:jc w:val="center"/>
        <w:rPr>
          <w:sz w:val="20"/>
          <w:szCs w:val="20"/>
        </w:rPr>
      </w:pPr>
      <w:r>
        <w:rPr>
          <w:rFonts w:ascii="Arial" w:eastAsia="Arial" w:hAnsi="Arial" w:cs="Arial"/>
          <w:b/>
          <w:bCs/>
          <w:sz w:val="18"/>
          <w:szCs w:val="18"/>
        </w:rPr>
        <w:t>Securities registered or to be registered pursuant to Section 12(b) of the Act:</w:t>
      </w:r>
    </w:p>
    <w:p w14:paraId="58F90B82" w14:textId="77777777" w:rsidR="00D1587D" w:rsidRDefault="00D1587D">
      <w:pPr>
        <w:spacing w:line="194"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4760"/>
        <w:gridCol w:w="220"/>
        <w:gridCol w:w="4740"/>
      </w:tblGrid>
      <w:tr w:rsidR="00D1587D" w14:paraId="767FE477" w14:textId="77777777">
        <w:trPr>
          <w:trHeight w:val="186"/>
        </w:trPr>
        <w:tc>
          <w:tcPr>
            <w:tcW w:w="4980" w:type="dxa"/>
            <w:gridSpan w:val="2"/>
            <w:vAlign w:val="bottom"/>
          </w:tcPr>
          <w:p w14:paraId="653B67C5" w14:textId="77777777" w:rsidR="00D1587D" w:rsidRDefault="00410D07">
            <w:pPr>
              <w:ind w:right="200"/>
              <w:jc w:val="center"/>
              <w:rPr>
                <w:sz w:val="20"/>
                <w:szCs w:val="20"/>
              </w:rPr>
            </w:pPr>
            <w:r>
              <w:rPr>
                <w:rFonts w:ascii="Arial" w:eastAsia="Arial" w:hAnsi="Arial" w:cs="Arial"/>
                <w:b/>
                <w:bCs/>
                <w:w w:val="88"/>
                <w:sz w:val="14"/>
                <w:szCs w:val="14"/>
              </w:rPr>
              <w:t>Title of each class to be so registered</w:t>
            </w:r>
          </w:p>
        </w:tc>
        <w:tc>
          <w:tcPr>
            <w:tcW w:w="4740" w:type="dxa"/>
            <w:vAlign w:val="bottom"/>
          </w:tcPr>
          <w:p w14:paraId="3308DFD6" w14:textId="77777777" w:rsidR="00D1587D" w:rsidRDefault="00410D07">
            <w:pPr>
              <w:jc w:val="center"/>
              <w:rPr>
                <w:sz w:val="20"/>
                <w:szCs w:val="20"/>
              </w:rPr>
            </w:pPr>
            <w:r>
              <w:rPr>
                <w:rFonts w:ascii="Arial" w:eastAsia="Arial" w:hAnsi="Arial" w:cs="Arial"/>
                <w:b/>
                <w:bCs/>
                <w:w w:val="89"/>
                <w:sz w:val="14"/>
                <w:szCs w:val="14"/>
              </w:rPr>
              <w:t xml:space="preserve">Name of each exchange on which each class is </w:t>
            </w:r>
            <w:r>
              <w:rPr>
                <w:rFonts w:ascii="Arial" w:eastAsia="Arial" w:hAnsi="Arial" w:cs="Arial"/>
                <w:b/>
                <w:bCs/>
                <w:w w:val="89"/>
                <w:sz w:val="14"/>
                <w:szCs w:val="14"/>
              </w:rPr>
              <w:t>to be registered</w:t>
            </w:r>
          </w:p>
        </w:tc>
      </w:tr>
      <w:tr w:rsidR="00D1587D" w14:paraId="5C58E06B" w14:textId="77777777">
        <w:trPr>
          <w:trHeight w:val="53"/>
        </w:trPr>
        <w:tc>
          <w:tcPr>
            <w:tcW w:w="4760" w:type="dxa"/>
            <w:tcBorders>
              <w:bottom w:val="single" w:sz="8" w:space="0" w:color="auto"/>
            </w:tcBorders>
            <w:vAlign w:val="bottom"/>
          </w:tcPr>
          <w:p w14:paraId="236C8D43" w14:textId="77777777" w:rsidR="00D1587D" w:rsidRDefault="00D1587D">
            <w:pPr>
              <w:rPr>
                <w:sz w:val="4"/>
                <w:szCs w:val="4"/>
              </w:rPr>
            </w:pPr>
          </w:p>
        </w:tc>
        <w:tc>
          <w:tcPr>
            <w:tcW w:w="220" w:type="dxa"/>
            <w:vAlign w:val="bottom"/>
          </w:tcPr>
          <w:p w14:paraId="167409B3" w14:textId="77777777" w:rsidR="00D1587D" w:rsidRDefault="00D1587D">
            <w:pPr>
              <w:rPr>
                <w:sz w:val="4"/>
                <w:szCs w:val="4"/>
              </w:rPr>
            </w:pPr>
          </w:p>
        </w:tc>
        <w:tc>
          <w:tcPr>
            <w:tcW w:w="4740" w:type="dxa"/>
            <w:tcBorders>
              <w:bottom w:val="single" w:sz="8" w:space="0" w:color="auto"/>
            </w:tcBorders>
            <w:vAlign w:val="bottom"/>
          </w:tcPr>
          <w:p w14:paraId="7CA4E101" w14:textId="77777777" w:rsidR="00D1587D" w:rsidRDefault="00D1587D">
            <w:pPr>
              <w:rPr>
                <w:sz w:val="4"/>
                <w:szCs w:val="4"/>
              </w:rPr>
            </w:pPr>
          </w:p>
        </w:tc>
      </w:tr>
      <w:tr w:rsidR="00D1587D" w14:paraId="55F736CE" w14:textId="77777777">
        <w:trPr>
          <w:trHeight w:val="277"/>
        </w:trPr>
        <w:tc>
          <w:tcPr>
            <w:tcW w:w="4980" w:type="dxa"/>
            <w:gridSpan w:val="2"/>
            <w:vAlign w:val="bottom"/>
          </w:tcPr>
          <w:p w14:paraId="58A648DA" w14:textId="77777777" w:rsidR="00D1587D" w:rsidRDefault="00410D07">
            <w:pPr>
              <w:ind w:right="200"/>
              <w:jc w:val="center"/>
              <w:rPr>
                <w:sz w:val="20"/>
                <w:szCs w:val="20"/>
              </w:rPr>
            </w:pPr>
            <w:r>
              <w:rPr>
                <w:rFonts w:ascii="Arial" w:eastAsia="Arial" w:hAnsi="Arial" w:cs="Arial"/>
                <w:w w:val="89"/>
                <w:sz w:val="18"/>
                <w:szCs w:val="18"/>
              </w:rPr>
              <w:t>Common Stock, par value $0.01 per share</w:t>
            </w:r>
          </w:p>
        </w:tc>
        <w:tc>
          <w:tcPr>
            <w:tcW w:w="4740" w:type="dxa"/>
            <w:vAlign w:val="bottom"/>
          </w:tcPr>
          <w:p w14:paraId="7E45C72E" w14:textId="77777777" w:rsidR="00D1587D" w:rsidRDefault="00410D07">
            <w:pPr>
              <w:jc w:val="center"/>
              <w:rPr>
                <w:sz w:val="20"/>
                <w:szCs w:val="20"/>
              </w:rPr>
            </w:pPr>
            <w:r>
              <w:rPr>
                <w:rFonts w:ascii="Arial" w:eastAsia="Arial" w:hAnsi="Arial" w:cs="Arial"/>
                <w:w w:val="91"/>
                <w:sz w:val="18"/>
                <w:szCs w:val="18"/>
              </w:rPr>
              <w:t>New York Stock Exchange</w:t>
            </w:r>
          </w:p>
        </w:tc>
      </w:tr>
    </w:tbl>
    <w:p w14:paraId="07FE69DC" w14:textId="77777777" w:rsidR="00D1587D" w:rsidRDefault="00D1587D">
      <w:pPr>
        <w:spacing w:line="144" w:lineRule="exact"/>
        <w:rPr>
          <w:sz w:val="24"/>
          <w:szCs w:val="24"/>
        </w:rPr>
      </w:pPr>
    </w:p>
    <w:p w14:paraId="462FDB69" w14:textId="77777777" w:rsidR="00D1587D" w:rsidRDefault="00410D07">
      <w:pPr>
        <w:jc w:val="center"/>
        <w:rPr>
          <w:sz w:val="20"/>
          <w:szCs w:val="20"/>
        </w:rPr>
      </w:pPr>
      <w:r>
        <w:rPr>
          <w:rFonts w:ascii="Arial" w:eastAsia="Arial" w:hAnsi="Arial" w:cs="Arial"/>
          <w:b/>
          <w:bCs/>
          <w:sz w:val="18"/>
          <w:szCs w:val="18"/>
        </w:rPr>
        <w:t>Securities to be registered pursuant to Section 12(g) of the Act: None</w:t>
      </w:r>
    </w:p>
    <w:p w14:paraId="350137B7" w14:textId="77777777" w:rsidR="00D1587D" w:rsidRDefault="00410D07">
      <w:pPr>
        <w:spacing w:line="20" w:lineRule="exact"/>
        <w:rPr>
          <w:sz w:val="24"/>
          <w:szCs w:val="24"/>
        </w:rPr>
      </w:pPr>
      <w:r>
        <w:rPr>
          <w:noProof/>
          <w:sz w:val="24"/>
          <w:szCs w:val="24"/>
        </w:rPr>
        <w:drawing>
          <wp:anchor distT="0" distB="0" distL="114300" distR="114300" simplePos="0" relativeHeight="251140096" behindDoc="1" locked="0" layoutInCell="0" allowOverlap="1" wp14:anchorId="383053C0" wp14:editId="3109B85B">
            <wp:simplePos x="0" y="0"/>
            <wp:positionH relativeFrom="column">
              <wp:posOffset>2540000</wp:posOffset>
            </wp:positionH>
            <wp:positionV relativeFrom="paragraph">
              <wp:posOffset>188595</wp:posOffset>
            </wp:positionV>
            <wp:extent cx="1097280" cy="88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097280" cy="8890"/>
                    </a:xfrm>
                    <a:prstGeom prst="rect">
                      <a:avLst/>
                    </a:prstGeom>
                    <a:noFill/>
                  </pic:spPr>
                </pic:pic>
              </a:graphicData>
            </a:graphic>
          </wp:anchor>
        </w:drawing>
      </w:r>
    </w:p>
    <w:p w14:paraId="0AC348E4" w14:textId="77777777" w:rsidR="00D1587D" w:rsidRDefault="00D1587D">
      <w:pPr>
        <w:spacing w:line="385" w:lineRule="exact"/>
        <w:rPr>
          <w:sz w:val="24"/>
          <w:szCs w:val="24"/>
        </w:rPr>
      </w:pPr>
    </w:p>
    <w:p w14:paraId="00D00B67" w14:textId="77777777" w:rsidR="00D1587D" w:rsidRDefault="00410D07">
      <w:pPr>
        <w:spacing w:line="263" w:lineRule="auto"/>
        <w:ind w:right="60"/>
        <w:rPr>
          <w:sz w:val="20"/>
          <w:szCs w:val="20"/>
        </w:rPr>
      </w:pPr>
      <w:r>
        <w:rPr>
          <w:rFonts w:ascii="Arial" w:eastAsia="Arial" w:hAnsi="Arial" w:cs="Arial"/>
          <w:sz w:val="18"/>
          <w:szCs w:val="18"/>
        </w:rPr>
        <w:t xml:space="preserve">Indicate by check mark whether the registrant is a large accelerated filer, an </w:t>
      </w:r>
      <w:r>
        <w:rPr>
          <w:rFonts w:ascii="Arial" w:eastAsia="Arial" w:hAnsi="Arial" w:cs="Arial"/>
          <w:sz w:val="18"/>
          <w:szCs w:val="18"/>
        </w:rPr>
        <w:t>accelerated filer, a non-accelerated filer, smaller reporting company, or an emerging growth company. See the definitions of “large accelerated filer,” “accelerated filer,” “smaller reporting company,” and “emerging growth company” in Rule 12b-2 of the Exc</w:t>
      </w:r>
      <w:r>
        <w:rPr>
          <w:rFonts w:ascii="Arial" w:eastAsia="Arial" w:hAnsi="Arial" w:cs="Arial"/>
          <w:sz w:val="18"/>
          <w:szCs w:val="18"/>
        </w:rPr>
        <w:t>hange Act.</w:t>
      </w:r>
    </w:p>
    <w:p w14:paraId="48522737" w14:textId="77777777" w:rsidR="00D1587D" w:rsidRDefault="00D1587D">
      <w:pPr>
        <w:spacing w:line="110"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2260"/>
        <w:gridCol w:w="2500"/>
        <w:gridCol w:w="4140"/>
        <w:gridCol w:w="580"/>
      </w:tblGrid>
      <w:tr w:rsidR="00D1587D" w14:paraId="5DE7FF64" w14:textId="77777777">
        <w:trPr>
          <w:trHeight w:val="283"/>
        </w:trPr>
        <w:tc>
          <w:tcPr>
            <w:tcW w:w="2260" w:type="dxa"/>
            <w:vAlign w:val="bottom"/>
          </w:tcPr>
          <w:p w14:paraId="12B736AF" w14:textId="77777777" w:rsidR="00D1587D" w:rsidRDefault="00410D07">
            <w:pPr>
              <w:rPr>
                <w:sz w:val="20"/>
                <w:szCs w:val="20"/>
              </w:rPr>
            </w:pPr>
            <w:r>
              <w:rPr>
                <w:rFonts w:ascii="Arial" w:eastAsia="Arial" w:hAnsi="Arial" w:cs="Arial"/>
                <w:sz w:val="18"/>
                <w:szCs w:val="18"/>
              </w:rPr>
              <w:t>Large Accelerated Filer</w:t>
            </w:r>
          </w:p>
        </w:tc>
        <w:tc>
          <w:tcPr>
            <w:tcW w:w="2500" w:type="dxa"/>
            <w:vAlign w:val="bottom"/>
          </w:tcPr>
          <w:p w14:paraId="19B9A461" w14:textId="77777777" w:rsidR="00D1587D" w:rsidRDefault="00410D07">
            <w:pPr>
              <w:spacing w:line="181" w:lineRule="exact"/>
              <w:ind w:left="560"/>
              <w:rPr>
                <w:sz w:val="20"/>
                <w:szCs w:val="20"/>
              </w:rPr>
            </w:pPr>
            <w:r>
              <w:rPr>
                <w:rFonts w:ascii="MS PGothic" w:eastAsia="MS PGothic" w:hAnsi="MS PGothic" w:cs="MS PGothic"/>
                <w:sz w:val="18"/>
                <w:szCs w:val="18"/>
              </w:rPr>
              <w:t>☐</w:t>
            </w:r>
          </w:p>
        </w:tc>
        <w:tc>
          <w:tcPr>
            <w:tcW w:w="4140" w:type="dxa"/>
            <w:vAlign w:val="bottom"/>
          </w:tcPr>
          <w:p w14:paraId="01E3D7B0" w14:textId="77777777" w:rsidR="00D1587D" w:rsidRDefault="00410D07">
            <w:pPr>
              <w:ind w:left="1760"/>
              <w:rPr>
                <w:sz w:val="20"/>
                <w:szCs w:val="20"/>
              </w:rPr>
            </w:pPr>
            <w:r>
              <w:rPr>
                <w:rFonts w:ascii="Arial" w:eastAsia="Arial" w:hAnsi="Arial" w:cs="Arial"/>
                <w:sz w:val="18"/>
                <w:szCs w:val="18"/>
              </w:rPr>
              <w:t>Accelerated Filer</w:t>
            </w:r>
          </w:p>
        </w:tc>
        <w:tc>
          <w:tcPr>
            <w:tcW w:w="580" w:type="dxa"/>
            <w:vAlign w:val="bottom"/>
          </w:tcPr>
          <w:p w14:paraId="1CD62221" w14:textId="77777777" w:rsidR="00D1587D" w:rsidRDefault="00410D07">
            <w:pPr>
              <w:spacing w:line="181" w:lineRule="exact"/>
              <w:ind w:left="400"/>
              <w:rPr>
                <w:sz w:val="20"/>
                <w:szCs w:val="20"/>
              </w:rPr>
            </w:pPr>
            <w:r>
              <w:rPr>
                <w:rFonts w:ascii="MS PGothic" w:eastAsia="MS PGothic" w:hAnsi="MS PGothic" w:cs="MS PGothic"/>
                <w:w w:val="88"/>
                <w:sz w:val="18"/>
                <w:szCs w:val="18"/>
              </w:rPr>
              <w:t>☐</w:t>
            </w:r>
          </w:p>
        </w:tc>
      </w:tr>
      <w:tr w:rsidR="00D1587D" w14:paraId="311CDD8D" w14:textId="77777777">
        <w:trPr>
          <w:trHeight w:val="324"/>
        </w:trPr>
        <w:tc>
          <w:tcPr>
            <w:tcW w:w="2260" w:type="dxa"/>
            <w:vAlign w:val="bottom"/>
          </w:tcPr>
          <w:p w14:paraId="283D8109" w14:textId="77777777" w:rsidR="00D1587D" w:rsidRDefault="00410D07">
            <w:pPr>
              <w:rPr>
                <w:sz w:val="20"/>
                <w:szCs w:val="20"/>
              </w:rPr>
            </w:pPr>
            <w:r>
              <w:rPr>
                <w:rFonts w:ascii="Arial" w:eastAsia="Arial" w:hAnsi="Arial" w:cs="Arial"/>
                <w:sz w:val="18"/>
                <w:szCs w:val="18"/>
              </w:rPr>
              <w:t>Non-accelerated Filer</w:t>
            </w:r>
          </w:p>
        </w:tc>
        <w:tc>
          <w:tcPr>
            <w:tcW w:w="2500" w:type="dxa"/>
            <w:vAlign w:val="bottom"/>
          </w:tcPr>
          <w:p w14:paraId="5A8C0AB6" w14:textId="77777777" w:rsidR="00D1587D" w:rsidRDefault="00410D07">
            <w:pPr>
              <w:spacing w:line="181" w:lineRule="exact"/>
              <w:ind w:left="560"/>
              <w:rPr>
                <w:sz w:val="20"/>
                <w:szCs w:val="20"/>
              </w:rPr>
            </w:pPr>
            <w:r>
              <w:rPr>
                <w:rFonts w:ascii="MS PGothic" w:eastAsia="MS PGothic" w:hAnsi="MS PGothic" w:cs="MS PGothic"/>
                <w:sz w:val="18"/>
                <w:szCs w:val="18"/>
              </w:rPr>
              <w:t>☒</w:t>
            </w:r>
          </w:p>
        </w:tc>
        <w:tc>
          <w:tcPr>
            <w:tcW w:w="4140" w:type="dxa"/>
            <w:vAlign w:val="bottom"/>
          </w:tcPr>
          <w:p w14:paraId="4983DD28" w14:textId="77777777" w:rsidR="00D1587D" w:rsidRDefault="00410D07">
            <w:pPr>
              <w:ind w:left="1760"/>
              <w:rPr>
                <w:sz w:val="20"/>
                <w:szCs w:val="20"/>
              </w:rPr>
            </w:pPr>
            <w:r>
              <w:rPr>
                <w:rFonts w:ascii="Arial" w:eastAsia="Arial" w:hAnsi="Arial" w:cs="Arial"/>
                <w:sz w:val="18"/>
                <w:szCs w:val="18"/>
              </w:rPr>
              <w:t>Smaller reporting company</w:t>
            </w:r>
          </w:p>
        </w:tc>
        <w:tc>
          <w:tcPr>
            <w:tcW w:w="580" w:type="dxa"/>
            <w:vAlign w:val="bottom"/>
          </w:tcPr>
          <w:p w14:paraId="62C816BB" w14:textId="77777777" w:rsidR="00D1587D" w:rsidRDefault="00410D07">
            <w:pPr>
              <w:spacing w:line="181" w:lineRule="exact"/>
              <w:ind w:left="400"/>
              <w:rPr>
                <w:sz w:val="20"/>
                <w:szCs w:val="20"/>
              </w:rPr>
            </w:pPr>
            <w:r>
              <w:rPr>
                <w:rFonts w:ascii="MS PGothic" w:eastAsia="MS PGothic" w:hAnsi="MS PGothic" w:cs="MS PGothic"/>
                <w:w w:val="88"/>
                <w:sz w:val="18"/>
                <w:szCs w:val="18"/>
              </w:rPr>
              <w:t>☐</w:t>
            </w:r>
          </w:p>
        </w:tc>
      </w:tr>
      <w:tr w:rsidR="00D1587D" w14:paraId="3153E497" w14:textId="77777777">
        <w:trPr>
          <w:trHeight w:val="324"/>
        </w:trPr>
        <w:tc>
          <w:tcPr>
            <w:tcW w:w="2260" w:type="dxa"/>
            <w:vAlign w:val="bottom"/>
          </w:tcPr>
          <w:p w14:paraId="3B6C26FD" w14:textId="77777777" w:rsidR="00D1587D" w:rsidRDefault="00D1587D">
            <w:pPr>
              <w:rPr>
                <w:sz w:val="24"/>
                <w:szCs w:val="24"/>
              </w:rPr>
            </w:pPr>
          </w:p>
        </w:tc>
        <w:tc>
          <w:tcPr>
            <w:tcW w:w="2500" w:type="dxa"/>
            <w:vAlign w:val="bottom"/>
          </w:tcPr>
          <w:p w14:paraId="3F209DAA" w14:textId="77777777" w:rsidR="00D1587D" w:rsidRDefault="00D1587D">
            <w:pPr>
              <w:rPr>
                <w:sz w:val="24"/>
                <w:szCs w:val="24"/>
              </w:rPr>
            </w:pPr>
          </w:p>
        </w:tc>
        <w:tc>
          <w:tcPr>
            <w:tcW w:w="4140" w:type="dxa"/>
            <w:vAlign w:val="bottom"/>
          </w:tcPr>
          <w:p w14:paraId="614D4FDB" w14:textId="77777777" w:rsidR="00D1587D" w:rsidRDefault="00410D07">
            <w:pPr>
              <w:ind w:left="1760"/>
              <w:rPr>
                <w:sz w:val="20"/>
                <w:szCs w:val="20"/>
              </w:rPr>
            </w:pPr>
            <w:r>
              <w:rPr>
                <w:rFonts w:ascii="Arial" w:eastAsia="Arial" w:hAnsi="Arial" w:cs="Arial"/>
                <w:sz w:val="18"/>
                <w:szCs w:val="18"/>
              </w:rPr>
              <w:t>Emerging growth company</w:t>
            </w:r>
          </w:p>
        </w:tc>
        <w:tc>
          <w:tcPr>
            <w:tcW w:w="580" w:type="dxa"/>
            <w:vAlign w:val="bottom"/>
          </w:tcPr>
          <w:p w14:paraId="6DFD813D" w14:textId="77777777" w:rsidR="00D1587D" w:rsidRDefault="00410D07">
            <w:pPr>
              <w:spacing w:line="181" w:lineRule="exact"/>
              <w:ind w:left="400"/>
              <w:rPr>
                <w:sz w:val="20"/>
                <w:szCs w:val="20"/>
              </w:rPr>
            </w:pPr>
            <w:r>
              <w:rPr>
                <w:rFonts w:ascii="MS PGothic" w:eastAsia="MS PGothic" w:hAnsi="MS PGothic" w:cs="MS PGothic"/>
                <w:w w:val="88"/>
                <w:sz w:val="18"/>
                <w:szCs w:val="18"/>
              </w:rPr>
              <w:t>☐</w:t>
            </w:r>
          </w:p>
        </w:tc>
      </w:tr>
    </w:tbl>
    <w:p w14:paraId="7A755031" w14:textId="77777777" w:rsidR="00D1587D" w:rsidRDefault="00D1587D">
      <w:pPr>
        <w:spacing w:line="128" w:lineRule="exact"/>
        <w:rPr>
          <w:sz w:val="24"/>
          <w:szCs w:val="24"/>
        </w:rPr>
      </w:pPr>
    </w:p>
    <w:p w14:paraId="019251C1" w14:textId="77777777" w:rsidR="00D1587D" w:rsidRDefault="00410D07">
      <w:pPr>
        <w:spacing w:line="234" w:lineRule="exact"/>
        <w:ind w:right="480"/>
        <w:rPr>
          <w:sz w:val="20"/>
          <w:szCs w:val="20"/>
        </w:rPr>
      </w:pPr>
      <w:r>
        <w:rPr>
          <w:rFonts w:ascii="Arial" w:eastAsia="Arial" w:hAnsi="Arial" w:cs="Arial"/>
          <w:sz w:val="16"/>
          <w:szCs w:val="16"/>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Pr>
          <w:rFonts w:ascii="MS PGothic" w:eastAsia="MS PGothic" w:hAnsi="MS PGothic" w:cs="MS PGothic"/>
          <w:sz w:val="16"/>
          <w:szCs w:val="16"/>
        </w:rPr>
        <w:t>☐</w:t>
      </w:r>
    </w:p>
    <w:p w14:paraId="65570698" w14:textId="77777777" w:rsidR="00D1587D" w:rsidRDefault="00410D07">
      <w:pPr>
        <w:spacing w:line="20" w:lineRule="exact"/>
        <w:rPr>
          <w:sz w:val="24"/>
          <w:szCs w:val="24"/>
        </w:rPr>
      </w:pPr>
      <w:r>
        <w:rPr>
          <w:noProof/>
          <w:sz w:val="24"/>
          <w:szCs w:val="24"/>
        </w:rPr>
        <w:drawing>
          <wp:anchor distT="0" distB="0" distL="114300" distR="114300" simplePos="0" relativeHeight="251141120" behindDoc="1" locked="0" layoutInCell="0" allowOverlap="1" wp14:anchorId="5CF23919" wp14:editId="53855D35">
            <wp:simplePos x="0" y="0"/>
            <wp:positionH relativeFrom="column">
              <wp:posOffset>-408305</wp:posOffset>
            </wp:positionH>
            <wp:positionV relativeFrom="paragraph">
              <wp:posOffset>313055</wp:posOffset>
            </wp:positionV>
            <wp:extent cx="6995160" cy="171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r>
        <w:rPr>
          <w:noProof/>
          <w:sz w:val="24"/>
          <w:szCs w:val="24"/>
        </w:rPr>
        <w:drawing>
          <wp:anchor distT="0" distB="0" distL="114300" distR="114300" simplePos="0" relativeHeight="251142144" behindDoc="1" locked="0" layoutInCell="0" allowOverlap="1" wp14:anchorId="3E558E06" wp14:editId="733658DD">
            <wp:simplePos x="0" y="0"/>
            <wp:positionH relativeFrom="column">
              <wp:posOffset>2540</wp:posOffset>
            </wp:positionH>
            <wp:positionV relativeFrom="paragraph">
              <wp:posOffset>124460</wp:posOffset>
            </wp:positionV>
            <wp:extent cx="6172200" cy="88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6172200" cy="8890"/>
                    </a:xfrm>
                    <a:prstGeom prst="rect">
                      <a:avLst/>
                    </a:prstGeom>
                    <a:noFill/>
                  </pic:spPr>
                </pic:pic>
              </a:graphicData>
            </a:graphic>
          </wp:anchor>
        </w:drawing>
      </w:r>
      <w:r>
        <w:rPr>
          <w:noProof/>
          <w:sz w:val="24"/>
          <w:szCs w:val="24"/>
        </w:rPr>
        <w:drawing>
          <wp:anchor distT="0" distB="0" distL="114300" distR="114300" simplePos="0" relativeHeight="251143168" behindDoc="1" locked="0" layoutInCell="0" allowOverlap="1" wp14:anchorId="06FC0A94" wp14:editId="0E2E7FA6">
            <wp:simplePos x="0" y="0"/>
            <wp:positionH relativeFrom="column">
              <wp:posOffset>2540</wp:posOffset>
            </wp:positionH>
            <wp:positionV relativeFrom="paragraph">
              <wp:posOffset>175895</wp:posOffset>
            </wp:positionV>
            <wp:extent cx="6172200" cy="260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srcRect/>
                    <a:stretch>
                      <a:fillRect/>
                    </a:stretch>
                  </pic:blipFill>
                  <pic:spPr bwMode="auto">
                    <a:xfrm>
                      <a:off x="0" y="0"/>
                      <a:ext cx="6172200" cy="26035"/>
                    </a:xfrm>
                    <a:prstGeom prst="rect">
                      <a:avLst/>
                    </a:prstGeom>
                    <a:noFill/>
                  </pic:spPr>
                </pic:pic>
              </a:graphicData>
            </a:graphic>
          </wp:anchor>
        </w:drawing>
      </w:r>
    </w:p>
    <w:p w14:paraId="56A4D8E0" w14:textId="77777777" w:rsidR="00D1587D" w:rsidRDefault="00D1587D">
      <w:pPr>
        <w:sectPr w:rsidR="00D1587D">
          <w:pgSz w:w="11900" w:h="16838"/>
          <w:pgMar w:top="553" w:right="1099" w:bottom="1440" w:left="1080" w:header="0" w:footer="0" w:gutter="0"/>
          <w:cols w:space="720" w:equalWidth="0">
            <w:col w:w="9720"/>
          </w:cols>
        </w:sectPr>
      </w:pPr>
    </w:p>
    <w:p w14:paraId="0D20DEA6" w14:textId="77777777" w:rsidR="00D1587D" w:rsidRDefault="00410D07">
      <w:pPr>
        <w:jc w:val="center"/>
        <w:rPr>
          <w:sz w:val="20"/>
          <w:szCs w:val="20"/>
        </w:rPr>
      </w:pPr>
      <w:bookmarkStart w:id="1" w:name="page2"/>
      <w:bookmarkEnd w:id="1"/>
      <w:r>
        <w:rPr>
          <w:rFonts w:ascii="Arial" w:eastAsia="Arial" w:hAnsi="Arial" w:cs="Arial"/>
          <w:b/>
          <w:bCs/>
          <w:sz w:val="18"/>
          <w:szCs w:val="18"/>
        </w:rPr>
        <w:lastRenderedPageBreak/>
        <w:t>Victoria’s Secret &amp; Co.</w:t>
      </w:r>
    </w:p>
    <w:p w14:paraId="410A2E8B" w14:textId="77777777" w:rsidR="00D1587D" w:rsidRDefault="00D1587D">
      <w:pPr>
        <w:spacing w:line="225" w:lineRule="exact"/>
        <w:rPr>
          <w:sz w:val="20"/>
          <w:szCs w:val="20"/>
        </w:rPr>
      </w:pPr>
    </w:p>
    <w:p w14:paraId="3EA852BA" w14:textId="77777777" w:rsidR="00D1587D" w:rsidRDefault="00410D07">
      <w:pPr>
        <w:jc w:val="center"/>
        <w:rPr>
          <w:sz w:val="20"/>
          <w:szCs w:val="20"/>
        </w:rPr>
      </w:pPr>
      <w:r>
        <w:rPr>
          <w:rFonts w:ascii="Arial" w:eastAsia="Arial" w:hAnsi="Arial" w:cs="Arial"/>
          <w:b/>
          <w:bCs/>
          <w:sz w:val="18"/>
          <w:szCs w:val="18"/>
        </w:rPr>
        <w:t>INFORMATION REQUIRED IN REGISTRATION STATEMENT</w:t>
      </w:r>
    </w:p>
    <w:p w14:paraId="5A7A874E" w14:textId="77777777" w:rsidR="00D1587D" w:rsidRDefault="00D1587D">
      <w:pPr>
        <w:spacing w:line="225" w:lineRule="exact"/>
        <w:rPr>
          <w:sz w:val="20"/>
          <w:szCs w:val="20"/>
        </w:rPr>
      </w:pPr>
    </w:p>
    <w:p w14:paraId="29A59E18" w14:textId="77777777" w:rsidR="00D1587D" w:rsidRDefault="00410D07">
      <w:pPr>
        <w:jc w:val="center"/>
        <w:rPr>
          <w:sz w:val="20"/>
          <w:szCs w:val="20"/>
        </w:rPr>
      </w:pPr>
      <w:r>
        <w:rPr>
          <w:rFonts w:ascii="Arial" w:eastAsia="Arial" w:hAnsi="Arial" w:cs="Arial"/>
          <w:b/>
          <w:bCs/>
          <w:sz w:val="18"/>
          <w:szCs w:val="18"/>
        </w:rPr>
        <w:t>CROSS-REFERENCE SHEET BETWEEN INFORMATION STATEMENT AND ITEMS OF FORM 10</w:t>
      </w:r>
    </w:p>
    <w:p w14:paraId="51AEC1A1" w14:textId="77777777" w:rsidR="00D1587D" w:rsidRDefault="00D1587D">
      <w:pPr>
        <w:spacing w:line="121" w:lineRule="exact"/>
        <w:rPr>
          <w:sz w:val="20"/>
          <w:szCs w:val="20"/>
        </w:rPr>
      </w:pPr>
    </w:p>
    <w:p w14:paraId="38471F32" w14:textId="77777777" w:rsidR="00D1587D" w:rsidRDefault="00410D07">
      <w:pPr>
        <w:spacing w:line="279" w:lineRule="auto"/>
        <w:ind w:left="300" w:right="359" w:firstLine="360"/>
        <w:rPr>
          <w:sz w:val="20"/>
          <w:szCs w:val="20"/>
        </w:rPr>
      </w:pPr>
      <w:r>
        <w:rPr>
          <w:rFonts w:ascii="Arial" w:eastAsia="Arial" w:hAnsi="Arial" w:cs="Arial"/>
          <w:sz w:val="17"/>
          <w:szCs w:val="17"/>
        </w:rPr>
        <w:t xml:space="preserve">Certain information required to be included herein is incorporated by reference to </w:t>
      </w:r>
      <w:r>
        <w:rPr>
          <w:rFonts w:ascii="Arial" w:eastAsia="Arial" w:hAnsi="Arial" w:cs="Arial"/>
          <w:sz w:val="17"/>
          <w:szCs w:val="17"/>
        </w:rPr>
        <w:t>specifically identified portions of the body of the information statement filed herewith as Exhibit 99.1 (the “information statement”). None of the information contained in the information statement shall be incorporated by reference herein or deemed to be</w:t>
      </w:r>
      <w:r>
        <w:rPr>
          <w:rFonts w:ascii="Arial" w:eastAsia="Arial" w:hAnsi="Arial" w:cs="Arial"/>
          <w:sz w:val="17"/>
          <w:szCs w:val="17"/>
        </w:rPr>
        <w:t xml:space="preserve"> a part hereof unless such information is specifically incorporated by reference.</w:t>
      </w:r>
    </w:p>
    <w:p w14:paraId="1B84959C" w14:textId="77777777" w:rsidR="00D1587D" w:rsidRDefault="00D1587D">
      <w:pPr>
        <w:spacing w:line="46" w:lineRule="exact"/>
        <w:rPr>
          <w:sz w:val="20"/>
          <w:szCs w:val="20"/>
        </w:rPr>
      </w:pPr>
    </w:p>
    <w:p w14:paraId="486C5059" w14:textId="77777777" w:rsidR="00D1587D" w:rsidRDefault="00410D07">
      <w:pPr>
        <w:tabs>
          <w:tab w:val="left" w:pos="1160"/>
        </w:tabs>
        <w:ind w:left="300"/>
        <w:rPr>
          <w:sz w:val="20"/>
          <w:szCs w:val="20"/>
        </w:rPr>
      </w:pPr>
      <w:r>
        <w:rPr>
          <w:rFonts w:ascii="Arial" w:eastAsia="Arial" w:hAnsi="Arial" w:cs="Arial"/>
          <w:b/>
          <w:bCs/>
          <w:sz w:val="18"/>
          <w:szCs w:val="18"/>
        </w:rPr>
        <w:t>Item 1.</w:t>
      </w:r>
      <w:r>
        <w:rPr>
          <w:sz w:val="20"/>
          <w:szCs w:val="20"/>
        </w:rPr>
        <w:tab/>
      </w:r>
      <w:r>
        <w:rPr>
          <w:rFonts w:ascii="Arial" w:eastAsia="Arial" w:hAnsi="Arial" w:cs="Arial"/>
          <w:b/>
          <w:bCs/>
          <w:sz w:val="13"/>
          <w:szCs w:val="13"/>
        </w:rPr>
        <w:t>Business.</w:t>
      </w:r>
    </w:p>
    <w:p w14:paraId="7E533587" w14:textId="77777777" w:rsidR="00D1587D" w:rsidRDefault="00D1587D">
      <w:pPr>
        <w:spacing w:line="121" w:lineRule="exact"/>
        <w:rPr>
          <w:sz w:val="20"/>
          <w:szCs w:val="20"/>
        </w:rPr>
      </w:pPr>
    </w:p>
    <w:p w14:paraId="59397C05" w14:textId="77777777" w:rsidR="00D1587D" w:rsidRDefault="00410D07">
      <w:pPr>
        <w:spacing w:line="293" w:lineRule="auto"/>
        <w:ind w:left="300" w:right="399" w:firstLine="360"/>
        <w:rPr>
          <w:sz w:val="20"/>
          <w:szCs w:val="20"/>
        </w:rPr>
      </w:pPr>
      <w:r>
        <w:rPr>
          <w:rFonts w:ascii="Arial" w:eastAsia="Arial" w:hAnsi="Arial" w:cs="Arial"/>
          <w:sz w:val="16"/>
          <w:szCs w:val="16"/>
        </w:rPr>
        <w:t xml:space="preserve">The information required by this item is contained in the sections “Summary,” “Risk Factors,” “Special Note Regarding Forward-Looking </w:t>
      </w:r>
      <w:r>
        <w:rPr>
          <w:rFonts w:ascii="Arial" w:eastAsia="Arial" w:hAnsi="Arial" w:cs="Arial"/>
          <w:sz w:val="16"/>
          <w:szCs w:val="16"/>
        </w:rPr>
        <w:t>Statements,” “The Separation,” “Capitalization,” “Unaudited Pro Forma Combined Financial Statements,” “Management’s Discussion and Analysis of Financial Condition and Results of Operations,” “Business,” “Compensation Discussion and Analysis,” “Management,”</w:t>
      </w:r>
      <w:r>
        <w:rPr>
          <w:rFonts w:ascii="Arial" w:eastAsia="Arial" w:hAnsi="Arial" w:cs="Arial"/>
          <w:sz w:val="16"/>
          <w:szCs w:val="16"/>
        </w:rPr>
        <w:t xml:space="preserve"> “Certain Relationships and Related Party Transactions,” “Where You Can Find More Information” and “Index to Combined Financial Statements” (and the statements referenced therein) of the information statement. Those sections are incorporated herein by refe</w:t>
      </w:r>
      <w:r>
        <w:rPr>
          <w:rFonts w:ascii="Arial" w:eastAsia="Arial" w:hAnsi="Arial" w:cs="Arial"/>
          <w:sz w:val="16"/>
          <w:szCs w:val="16"/>
        </w:rPr>
        <w:t>rence.</w:t>
      </w:r>
    </w:p>
    <w:p w14:paraId="0D57AEF3" w14:textId="77777777" w:rsidR="00D1587D" w:rsidRDefault="00D1587D">
      <w:pPr>
        <w:spacing w:line="25" w:lineRule="exact"/>
        <w:rPr>
          <w:sz w:val="20"/>
          <w:szCs w:val="20"/>
        </w:rPr>
      </w:pPr>
    </w:p>
    <w:p w14:paraId="77DF5FAA" w14:textId="77777777" w:rsidR="00D1587D" w:rsidRDefault="00410D07">
      <w:pPr>
        <w:tabs>
          <w:tab w:val="left" w:pos="1160"/>
        </w:tabs>
        <w:ind w:left="300"/>
        <w:rPr>
          <w:sz w:val="20"/>
          <w:szCs w:val="20"/>
        </w:rPr>
      </w:pPr>
      <w:r>
        <w:rPr>
          <w:rFonts w:ascii="Arial" w:eastAsia="Arial" w:hAnsi="Arial" w:cs="Arial"/>
          <w:b/>
          <w:bCs/>
          <w:sz w:val="18"/>
          <w:szCs w:val="18"/>
        </w:rPr>
        <w:t>Item 1A.</w:t>
      </w:r>
      <w:r>
        <w:rPr>
          <w:sz w:val="20"/>
          <w:szCs w:val="20"/>
        </w:rPr>
        <w:tab/>
      </w:r>
      <w:r>
        <w:rPr>
          <w:rFonts w:ascii="Arial" w:eastAsia="Arial" w:hAnsi="Arial" w:cs="Arial"/>
          <w:b/>
          <w:bCs/>
          <w:sz w:val="16"/>
          <w:szCs w:val="16"/>
        </w:rPr>
        <w:t>Risk Factors.</w:t>
      </w:r>
    </w:p>
    <w:p w14:paraId="4F65F039" w14:textId="77777777" w:rsidR="00D1587D" w:rsidRDefault="00D1587D">
      <w:pPr>
        <w:spacing w:line="121" w:lineRule="exact"/>
        <w:rPr>
          <w:sz w:val="20"/>
          <w:szCs w:val="20"/>
        </w:rPr>
      </w:pPr>
    </w:p>
    <w:p w14:paraId="14BD911A" w14:textId="77777777" w:rsidR="00D1587D" w:rsidRDefault="00410D07">
      <w:pPr>
        <w:spacing w:line="340" w:lineRule="auto"/>
        <w:ind w:left="300" w:right="419" w:firstLine="360"/>
        <w:rPr>
          <w:sz w:val="20"/>
          <w:szCs w:val="20"/>
        </w:rPr>
      </w:pPr>
      <w:r>
        <w:rPr>
          <w:rFonts w:ascii="Arial" w:eastAsia="Arial" w:hAnsi="Arial" w:cs="Arial"/>
          <w:sz w:val="16"/>
          <w:szCs w:val="16"/>
        </w:rPr>
        <w:t>The information required by this item is contained in the sections “Risk Factors” and “Special Note Regarding Forward-Looking Statements” of the information statement. Those sections are incorporated herein by reference.</w:t>
      </w:r>
    </w:p>
    <w:p w14:paraId="4774567B" w14:textId="77777777" w:rsidR="00D1587D" w:rsidRDefault="00D1587D">
      <w:pPr>
        <w:spacing w:line="1" w:lineRule="exact"/>
        <w:rPr>
          <w:sz w:val="20"/>
          <w:szCs w:val="20"/>
        </w:rPr>
      </w:pPr>
    </w:p>
    <w:p w14:paraId="552683D3" w14:textId="77777777" w:rsidR="00D1587D" w:rsidRDefault="00410D07">
      <w:pPr>
        <w:tabs>
          <w:tab w:val="left" w:pos="1160"/>
        </w:tabs>
        <w:ind w:left="300"/>
        <w:rPr>
          <w:sz w:val="20"/>
          <w:szCs w:val="20"/>
        </w:rPr>
      </w:pPr>
      <w:r>
        <w:rPr>
          <w:rFonts w:ascii="Arial" w:eastAsia="Arial" w:hAnsi="Arial" w:cs="Arial"/>
          <w:b/>
          <w:bCs/>
          <w:sz w:val="18"/>
          <w:szCs w:val="18"/>
        </w:rPr>
        <w:t>It</w:t>
      </w:r>
      <w:r>
        <w:rPr>
          <w:rFonts w:ascii="Arial" w:eastAsia="Arial" w:hAnsi="Arial" w:cs="Arial"/>
          <w:b/>
          <w:bCs/>
          <w:sz w:val="18"/>
          <w:szCs w:val="18"/>
        </w:rPr>
        <w:t>em 2.</w:t>
      </w:r>
      <w:r>
        <w:rPr>
          <w:sz w:val="20"/>
          <w:szCs w:val="20"/>
        </w:rPr>
        <w:tab/>
      </w:r>
      <w:r>
        <w:rPr>
          <w:rFonts w:ascii="Arial" w:eastAsia="Arial" w:hAnsi="Arial" w:cs="Arial"/>
          <w:b/>
          <w:bCs/>
          <w:sz w:val="16"/>
          <w:szCs w:val="16"/>
        </w:rPr>
        <w:t>Financial Information.</w:t>
      </w:r>
    </w:p>
    <w:p w14:paraId="419C1902" w14:textId="77777777" w:rsidR="00D1587D" w:rsidRDefault="00D1587D">
      <w:pPr>
        <w:spacing w:line="121" w:lineRule="exact"/>
        <w:rPr>
          <w:sz w:val="20"/>
          <w:szCs w:val="20"/>
        </w:rPr>
      </w:pPr>
    </w:p>
    <w:p w14:paraId="1C783606" w14:textId="77777777" w:rsidR="00D1587D" w:rsidRDefault="00410D07">
      <w:pPr>
        <w:spacing w:line="257" w:lineRule="auto"/>
        <w:ind w:left="300" w:right="319" w:firstLine="360"/>
        <w:rPr>
          <w:sz w:val="20"/>
          <w:szCs w:val="20"/>
        </w:rPr>
      </w:pPr>
      <w:r>
        <w:rPr>
          <w:rFonts w:ascii="Arial" w:eastAsia="Arial" w:hAnsi="Arial" w:cs="Arial"/>
          <w:sz w:val="18"/>
          <w:szCs w:val="18"/>
        </w:rPr>
        <w:t xml:space="preserve">The information required by this item is contained in the sections “Summary,” “Risk Factors,” “Capitalization,” “Unaudited Pro Forma Combined Financial Statements,” “Selected Historical Combined Financial Data,” “Management’s </w:t>
      </w:r>
      <w:r>
        <w:rPr>
          <w:rFonts w:ascii="Arial" w:eastAsia="Arial" w:hAnsi="Arial" w:cs="Arial"/>
          <w:sz w:val="18"/>
          <w:szCs w:val="18"/>
        </w:rPr>
        <w:t>Discussion and Analysis of Financial Condition and Results of Operations” and “Index to Combined Financial Statements” (and the statements referenced therein) of the information statement. Those sections are incorporated herein by reference.</w:t>
      </w:r>
    </w:p>
    <w:p w14:paraId="4ABD44EB" w14:textId="77777777" w:rsidR="00D1587D" w:rsidRDefault="00D1587D">
      <w:pPr>
        <w:spacing w:line="62" w:lineRule="exact"/>
        <w:rPr>
          <w:sz w:val="20"/>
          <w:szCs w:val="20"/>
        </w:rPr>
      </w:pPr>
    </w:p>
    <w:p w14:paraId="5A09C2D0" w14:textId="77777777" w:rsidR="00D1587D" w:rsidRDefault="00410D07">
      <w:pPr>
        <w:tabs>
          <w:tab w:val="left" w:pos="1160"/>
        </w:tabs>
        <w:ind w:left="300"/>
        <w:rPr>
          <w:sz w:val="20"/>
          <w:szCs w:val="20"/>
        </w:rPr>
      </w:pPr>
      <w:r>
        <w:rPr>
          <w:rFonts w:ascii="Arial" w:eastAsia="Arial" w:hAnsi="Arial" w:cs="Arial"/>
          <w:b/>
          <w:bCs/>
          <w:sz w:val="18"/>
          <w:szCs w:val="18"/>
        </w:rPr>
        <w:t>Item 3.</w:t>
      </w:r>
      <w:r>
        <w:rPr>
          <w:sz w:val="20"/>
          <w:szCs w:val="20"/>
        </w:rPr>
        <w:tab/>
      </w:r>
      <w:r>
        <w:rPr>
          <w:rFonts w:ascii="Arial" w:eastAsia="Arial" w:hAnsi="Arial" w:cs="Arial"/>
          <w:b/>
          <w:bCs/>
          <w:sz w:val="16"/>
          <w:szCs w:val="16"/>
        </w:rPr>
        <w:t>Properties.</w:t>
      </w:r>
    </w:p>
    <w:p w14:paraId="43837E6D" w14:textId="77777777" w:rsidR="00D1587D" w:rsidRDefault="00D1587D">
      <w:pPr>
        <w:spacing w:line="121" w:lineRule="exact"/>
        <w:rPr>
          <w:sz w:val="20"/>
          <w:szCs w:val="20"/>
        </w:rPr>
      </w:pPr>
    </w:p>
    <w:p w14:paraId="269605C6" w14:textId="77777777" w:rsidR="00D1587D" w:rsidRDefault="00410D07">
      <w:pPr>
        <w:spacing w:line="277" w:lineRule="auto"/>
        <w:ind w:left="300" w:right="639" w:firstLine="360"/>
        <w:rPr>
          <w:sz w:val="20"/>
          <w:szCs w:val="20"/>
        </w:rPr>
      </w:pPr>
      <w:r>
        <w:rPr>
          <w:rFonts w:ascii="Arial" w:eastAsia="Arial" w:hAnsi="Arial" w:cs="Arial"/>
          <w:sz w:val="18"/>
          <w:szCs w:val="18"/>
        </w:rPr>
        <w:t>The information required by this item is contained in the section “Business—Properties” of the information statement. That section is incorporated herein by reference.</w:t>
      </w:r>
    </w:p>
    <w:p w14:paraId="64683F2A" w14:textId="77777777" w:rsidR="00D1587D" w:rsidRDefault="00D1587D">
      <w:pPr>
        <w:spacing w:line="31" w:lineRule="exact"/>
        <w:rPr>
          <w:sz w:val="20"/>
          <w:szCs w:val="20"/>
        </w:rPr>
      </w:pPr>
    </w:p>
    <w:p w14:paraId="0E4C1DFB" w14:textId="77777777" w:rsidR="00D1587D" w:rsidRDefault="00410D07">
      <w:pPr>
        <w:tabs>
          <w:tab w:val="left" w:pos="1160"/>
        </w:tabs>
        <w:ind w:left="300"/>
        <w:rPr>
          <w:sz w:val="20"/>
          <w:szCs w:val="20"/>
        </w:rPr>
      </w:pPr>
      <w:r>
        <w:rPr>
          <w:rFonts w:ascii="Arial" w:eastAsia="Arial" w:hAnsi="Arial" w:cs="Arial"/>
          <w:b/>
          <w:bCs/>
          <w:sz w:val="18"/>
          <w:szCs w:val="18"/>
        </w:rPr>
        <w:t>Item 4.</w:t>
      </w:r>
      <w:r>
        <w:rPr>
          <w:sz w:val="20"/>
          <w:szCs w:val="20"/>
        </w:rPr>
        <w:tab/>
      </w:r>
      <w:r>
        <w:rPr>
          <w:rFonts w:ascii="Arial" w:eastAsia="Arial" w:hAnsi="Arial" w:cs="Arial"/>
          <w:b/>
          <w:bCs/>
          <w:sz w:val="16"/>
          <w:szCs w:val="16"/>
        </w:rPr>
        <w:t>Security Ownership of Certain Beneficial Owners and Management.</w:t>
      </w:r>
    </w:p>
    <w:p w14:paraId="1926D2FE" w14:textId="77777777" w:rsidR="00D1587D" w:rsidRDefault="00D1587D">
      <w:pPr>
        <w:spacing w:line="121" w:lineRule="exact"/>
        <w:rPr>
          <w:sz w:val="20"/>
          <w:szCs w:val="20"/>
        </w:rPr>
      </w:pPr>
    </w:p>
    <w:p w14:paraId="01792595" w14:textId="77777777" w:rsidR="00D1587D" w:rsidRDefault="00410D07">
      <w:pPr>
        <w:spacing w:line="340" w:lineRule="auto"/>
        <w:ind w:left="300" w:right="359" w:firstLine="360"/>
        <w:rPr>
          <w:sz w:val="20"/>
          <w:szCs w:val="20"/>
        </w:rPr>
      </w:pPr>
      <w:r>
        <w:rPr>
          <w:rFonts w:ascii="Arial" w:eastAsia="Arial" w:hAnsi="Arial" w:cs="Arial"/>
          <w:sz w:val="16"/>
          <w:szCs w:val="16"/>
        </w:rPr>
        <w:t>T</w:t>
      </w:r>
      <w:r>
        <w:rPr>
          <w:rFonts w:ascii="Arial" w:eastAsia="Arial" w:hAnsi="Arial" w:cs="Arial"/>
          <w:sz w:val="16"/>
          <w:szCs w:val="16"/>
        </w:rPr>
        <w:t>he information required by this item is contained in the section “Ownership of Common Stock by Certain Beneficial Owners and Management” of the information statement. That section is incorporated herein by reference.</w:t>
      </w:r>
    </w:p>
    <w:p w14:paraId="1FA3674C" w14:textId="77777777" w:rsidR="00D1587D" w:rsidRDefault="00D1587D">
      <w:pPr>
        <w:spacing w:line="1" w:lineRule="exact"/>
        <w:rPr>
          <w:sz w:val="20"/>
          <w:szCs w:val="20"/>
        </w:rPr>
      </w:pPr>
    </w:p>
    <w:p w14:paraId="5ABEA1DB" w14:textId="77777777" w:rsidR="00D1587D" w:rsidRDefault="00410D07">
      <w:pPr>
        <w:tabs>
          <w:tab w:val="left" w:pos="1160"/>
        </w:tabs>
        <w:ind w:left="300"/>
        <w:rPr>
          <w:sz w:val="20"/>
          <w:szCs w:val="20"/>
        </w:rPr>
      </w:pPr>
      <w:r>
        <w:rPr>
          <w:rFonts w:ascii="Arial" w:eastAsia="Arial" w:hAnsi="Arial" w:cs="Arial"/>
          <w:b/>
          <w:bCs/>
          <w:sz w:val="18"/>
          <w:szCs w:val="18"/>
        </w:rPr>
        <w:t>Item 5.</w:t>
      </w:r>
      <w:r>
        <w:rPr>
          <w:sz w:val="20"/>
          <w:szCs w:val="20"/>
        </w:rPr>
        <w:tab/>
      </w:r>
      <w:r>
        <w:rPr>
          <w:rFonts w:ascii="Arial" w:eastAsia="Arial" w:hAnsi="Arial" w:cs="Arial"/>
          <w:b/>
          <w:bCs/>
          <w:sz w:val="16"/>
          <w:szCs w:val="16"/>
        </w:rPr>
        <w:t>Directors and Executive Office</w:t>
      </w:r>
      <w:r>
        <w:rPr>
          <w:rFonts w:ascii="Arial" w:eastAsia="Arial" w:hAnsi="Arial" w:cs="Arial"/>
          <w:b/>
          <w:bCs/>
          <w:sz w:val="16"/>
          <w:szCs w:val="16"/>
        </w:rPr>
        <w:t>rs.</w:t>
      </w:r>
    </w:p>
    <w:p w14:paraId="5E542C54" w14:textId="77777777" w:rsidR="00D1587D" w:rsidRDefault="00D1587D">
      <w:pPr>
        <w:spacing w:line="121" w:lineRule="exact"/>
        <w:rPr>
          <w:sz w:val="20"/>
          <w:szCs w:val="20"/>
        </w:rPr>
      </w:pPr>
    </w:p>
    <w:p w14:paraId="5E358BE6" w14:textId="77777777" w:rsidR="00D1587D" w:rsidRDefault="00410D07">
      <w:pPr>
        <w:ind w:left="660"/>
        <w:rPr>
          <w:sz w:val="20"/>
          <w:szCs w:val="20"/>
        </w:rPr>
      </w:pPr>
      <w:r>
        <w:rPr>
          <w:rFonts w:ascii="Arial" w:eastAsia="Arial" w:hAnsi="Arial" w:cs="Arial"/>
          <w:sz w:val="16"/>
          <w:szCs w:val="16"/>
        </w:rPr>
        <w:t>The information required by this item is contained in the section “Management” of the information statement.</w:t>
      </w:r>
    </w:p>
    <w:p w14:paraId="4744DA49" w14:textId="77777777" w:rsidR="00D1587D" w:rsidRDefault="00D1587D">
      <w:pPr>
        <w:spacing w:line="46" w:lineRule="exact"/>
        <w:rPr>
          <w:sz w:val="20"/>
          <w:szCs w:val="20"/>
        </w:rPr>
      </w:pPr>
    </w:p>
    <w:p w14:paraId="3776F34B" w14:textId="77777777" w:rsidR="00D1587D" w:rsidRDefault="00410D07">
      <w:pPr>
        <w:ind w:left="300"/>
        <w:rPr>
          <w:sz w:val="20"/>
          <w:szCs w:val="20"/>
        </w:rPr>
      </w:pPr>
      <w:r>
        <w:rPr>
          <w:rFonts w:ascii="Arial" w:eastAsia="Arial" w:hAnsi="Arial" w:cs="Arial"/>
          <w:sz w:val="18"/>
          <w:szCs w:val="18"/>
        </w:rPr>
        <w:t>That section is incorporated herein by reference.</w:t>
      </w:r>
    </w:p>
    <w:p w14:paraId="696056BD" w14:textId="77777777" w:rsidR="00D1587D" w:rsidRDefault="00D1587D">
      <w:pPr>
        <w:spacing w:line="85" w:lineRule="exact"/>
        <w:rPr>
          <w:sz w:val="20"/>
          <w:szCs w:val="20"/>
        </w:rPr>
      </w:pPr>
    </w:p>
    <w:p w14:paraId="2FEC9057" w14:textId="77777777" w:rsidR="00D1587D" w:rsidRDefault="00410D07">
      <w:pPr>
        <w:tabs>
          <w:tab w:val="left" w:pos="1160"/>
        </w:tabs>
        <w:ind w:left="300"/>
        <w:rPr>
          <w:sz w:val="20"/>
          <w:szCs w:val="20"/>
        </w:rPr>
      </w:pPr>
      <w:r>
        <w:rPr>
          <w:rFonts w:ascii="Arial" w:eastAsia="Arial" w:hAnsi="Arial" w:cs="Arial"/>
          <w:b/>
          <w:bCs/>
          <w:sz w:val="18"/>
          <w:szCs w:val="18"/>
        </w:rPr>
        <w:t>Item 6.</w:t>
      </w:r>
      <w:r>
        <w:rPr>
          <w:sz w:val="20"/>
          <w:szCs w:val="20"/>
        </w:rPr>
        <w:tab/>
      </w:r>
      <w:r>
        <w:rPr>
          <w:rFonts w:ascii="Arial" w:eastAsia="Arial" w:hAnsi="Arial" w:cs="Arial"/>
          <w:b/>
          <w:bCs/>
          <w:sz w:val="16"/>
          <w:szCs w:val="16"/>
        </w:rPr>
        <w:t>Executive Compensation.</w:t>
      </w:r>
    </w:p>
    <w:p w14:paraId="216A20DD" w14:textId="77777777" w:rsidR="00D1587D" w:rsidRDefault="00D1587D">
      <w:pPr>
        <w:spacing w:line="121" w:lineRule="exact"/>
        <w:rPr>
          <w:sz w:val="20"/>
          <w:szCs w:val="20"/>
        </w:rPr>
      </w:pPr>
    </w:p>
    <w:p w14:paraId="7F7B8E28" w14:textId="77777777" w:rsidR="00D1587D" w:rsidRDefault="00410D07">
      <w:pPr>
        <w:spacing w:line="308" w:lineRule="auto"/>
        <w:ind w:left="300" w:right="299" w:firstLine="360"/>
        <w:rPr>
          <w:sz w:val="20"/>
          <w:szCs w:val="20"/>
        </w:rPr>
      </w:pPr>
      <w:r>
        <w:rPr>
          <w:rFonts w:ascii="Arial" w:eastAsia="Arial" w:hAnsi="Arial" w:cs="Arial"/>
          <w:sz w:val="17"/>
          <w:szCs w:val="17"/>
        </w:rPr>
        <w:t xml:space="preserve">The information required by this item is </w:t>
      </w:r>
      <w:r>
        <w:rPr>
          <w:rFonts w:ascii="Arial" w:eastAsia="Arial" w:hAnsi="Arial" w:cs="Arial"/>
          <w:sz w:val="17"/>
          <w:szCs w:val="17"/>
        </w:rPr>
        <w:t>contained in the sections “Compensation Discussion and Analysis” and “Management” of the information statement. Those sections are incorporated herein by reference.</w:t>
      </w:r>
    </w:p>
    <w:p w14:paraId="4209867F" w14:textId="77777777" w:rsidR="00D1587D" w:rsidRDefault="00D1587D">
      <w:pPr>
        <w:spacing w:line="7" w:lineRule="exact"/>
        <w:rPr>
          <w:sz w:val="20"/>
          <w:szCs w:val="20"/>
        </w:rPr>
      </w:pPr>
    </w:p>
    <w:p w14:paraId="02799A9F" w14:textId="77777777" w:rsidR="00D1587D" w:rsidRDefault="00410D07">
      <w:pPr>
        <w:tabs>
          <w:tab w:val="left" w:pos="1160"/>
        </w:tabs>
        <w:ind w:left="300"/>
        <w:rPr>
          <w:sz w:val="20"/>
          <w:szCs w:val="20"/>
        </w:rPr>
      </w:pPr>
      <w:r>
        <w:rPr>
          <w:rFonts w:ascii="Arial" w:eastAsia="Arial" w:hAnsi="Arial" w:cs="Arial"/>
          <w:b/>
          <w:bCs/>
          <w:sz w:val="18"/>
          <w:szCs w:val="18"/>
        </w:rPr>
        <w:t>Item 7.</w:t>
      </w:r>
      <w:r>
        <w:rPr>
          <w:sz w:val="20"/>
          <w:szCs w:val="20"/>
        </w:rPr>
        <w:tab/>
      </w:r>
      <w:r>
        <w:rPr>
          <w:rFonts w:ascii="Arial" w:eastAsia="Arial" w:hAnsi="Arial" w:cs="Arial"/>
          <w:b/>
          <w:bCs/>
          <w:sz w:val="16"/>
          <w:szCs w:val="16"/>
        </w:rPr>
        <w:t>Certain Relationships and Related Transactions, and Director Independence.</w:t>
      </w:r>
    </w:p>
    <w:p w14:paraId="0E2D6922" w14:textId="77777777" w:rsidR="00D1587D" w:rsidRDefault="00D1587D">
      <w:pPr>
        <w:spacing w:line="121" w:lineRule="exact"/>
        <w:rPr>
          <w:sz w:val="20"/>
          <w:szCs w:val="20"/>
        </w:rPr>
      </w:pPr>
    </w:p>
    <w:p w14:paraId="7F26E6A3" w14:textId="77777777" w:rsidR="00D1587D" w:rsidRDefault="00410D07">
      <w:pPr>
        <w:spacing w:line="259" w:lineRule="auto"/>
        <w:ind w:left="300" w:right="439" w:firstLine="360"/>
        <w:rPr>
          <w:sz w:val="20"/>
          <w:szCs w:val="20"/>
        </w:rPr>
      </w:pPr>
      <w:r>
        <w:rPr>
          <w:rFonts w:ascii="Arial" w:eastAsia="Arial" w:hAnsi="Arial" w:cs="Arial"/>
          <w:sz w:val="18"/>
          <w:szCs w:val="18"/>
        </w:rPr>
        <w:t>The in</w:t>
      </w:r>
      <w:r>
        <w:rPr>
          <w:rFonts w:ascii="Arial" w:eastAsia="Arial" w:hAnsi="Arial" w:cs="Arial"/>
          <w:sz w:val="18"/>
          <w:szCs w:val="18"/>
        </w:rPr>
        <w:t>formation required by this item is contained in the sections “The Separation—Agreements with LB,” “Certain Relationships and Related Party Transactions,” “Management,” “Compensation Discussion and Analysis” and “Ownership of Common Stock by Certain Benefic</w:t>
      </w:r>
      <w:r>
        <w:rPr>
          <w:rFonts w:ascii="Arial" w:eastAsia="Arial" w:hAnsi="Arial" w:cs="Arial"/>
          <w:sz w:val="18"/>
          <w:szCs w:val="18"/>
        </w:rPr>
        <w:t>ial Owners and Management” of the information statement. Those sections are incorporated herein by reference.</w:t>
      </w:r>
    </w:p>
    <w:p w14:paraId="126AEF48" w14:textId="77777777" w:rsidR="00D1587D" w:rsidRDefault="00D1587D">
      <w:pPr>
        <w:spacing w:line="187" w:lineRule="exact"/>
        <w:rPr>
          <w:sz w:val="20"/>
          <w:szCs w:val="20"/>
        </w:rPr>
      </w:pPr>
    </w:p>
    <w:p w14:paraId="2B6A5E92" w14:textId="77777777" w:rsidR="00D1587D" w:rsidRDefault="00410D07">
      <w:pPr>
        <w:jc w:val="center"/>
        <w:rPr>
          <w:sz w:val="20"/>
          <w:szCs w:val="20"/>
        </w:rPr>
      </w:pPr>
      <w:r>
        <w:rPr>
          <w:rFonts w:ascii="Arial" w:eastAsia="Arial" w:hAnsi="Arial" w:cs="Arial"/>
          <w:sz w:val="18"/>
          <w:szCs w:val="18"/>
        </w:rPr>
        <w:t>1</w:t>
      </w:r>
    </w:p>
    <w:p w14:paraId="2ABAD078" w14:textId="77777777" w:rsidR="00D1587D" w:rsidRDefault="00410D07">
      <w:pPr>
        <w:spacing w:line="20" w:lineRule="exact"/>
        <w:rPr>
          <w:sz w:val="20"/>
          <w:szCs w:val="20"/>
        </w:rPr>
      </w:pPr>
      <w:r>
        <w:rPr>
          <w:noProof/>
          <w:sz w:val="20"/>
          <w:szCs w:val="20"/>
        </w:rPr>
        <w:drawing>
          <wp:anchor distT="0" distB="0" distL="114300" distR="114300" simplePos="0" relativeHeight="251144192" behindDoc="1" locked="0" layoutInCell="0" allowOverlap="1" wp14:anchorId="28E3B968" wp14:editId="434C83CD">
            <wp:simplePos x="0" y="0"/>
            <wp:positionH relativeFrom="column">
              <wp:posOffset>-636905</wp:posOffset>
            </wp:positionH>
            <wp:positionV relativeFrom="paragraph">
              <wp:posOffset>134620</wp:posOffset>
            </wp:positionV>
            <wp:extent cx="6995160" cy="171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BDC65BB" w14:textId="77777777" w:rsidR="00D1587D" w:rsidRDefault="00D1587D">
      <w:pPr>
        <w:sectPr w:rsidR="00D1587D">
          <w:pgSz w:w="11900" w:h="16838"/>
          <w:pgMar w:top="243" w:right="1440" w:bottom="1440" w:left="1440" w:header="0" w:footer="0" w:gutter="0"/>
          <w:cols w:space="720" w:equalWidth="0">
            <w:col w:w="9019"/>
          </w:cols>
        </w:sectPr>
      </w:pPr>
    </w:p>
    <w:p w14:paraId="3137A47B" w14:textId="77777777" w:rsidR="00D1587D" w:rsidRDefault="00410D07">
      <w:pPr>
        <w:tabs>
          <w:tab w:val="left" w:pos="1160"/>
        </w:tabs>
        <w:ind w:left="300"/>
        <w:rPr>
          <w:sz w:val="20"/>
          <w:szCs w:val="20"/>
        </w:rPr>
      </w:pPr>
      <w:bookmarkStart w:id="2" w:name="page3"/>
      <w:bookmarkEnd w:id="2"/>
      <w:r>
        <w:rPr>
          <w:rFonts w:ascii="Arial" w:eastAsia="Arial" w:hAnsi="Arial" w:cs="Arial"/>
          <w:b/>
          <w:bCs/>
          <w:sz w:val="18"/>
          <w:szCs w:val="18"/>
        </w:rPr>
        <w:lastRenderedPageBreak/>
        <w:t>Item 8.</w:t>
      </w:r>
      <w:r>
        <w:rPr>
          <w:sz w:val="20"/>
          <w:szCs w:val="20"/>
        </w:rPr>
        <w:tab/>
      </w:r>
      <w:r>
        <w:rPr>
          <w:rFonts w:ascii="Arial" w:eastAsia="Arial" w:hAnsi="Arial" w:cs="Arial"/>
          <w:b/>
          <w:bCs/>
          <w:sz w:val="15"/>
          <w:szCs w:val="15"/>
        </w:rPr>
        <w:t>Legal Proceedings.</w:t>
      </w:r>
    </w:p>
    <w:p w14:paraId="3EADCB97" w14:textId="77777777" w:rsidR="00D1587D" w:rsidRDefault="00D1587D">
      <w:pPr>
        <w:spacing w:line="121" w:lineRule="exact"/>
        <w:rPr>
          <w:sz w:val="20"/>
          <w:szCs w:val="20"/>
        </w:rPr>
      </w:pPr>
    </w:p>
    <w:p w14:paraId="2C682F95" w14:textId="77777777" w:rsidR="00D1587D" w:rsidRDefault="00410D07">
      <w:pPr>
        <w:spacing w:line="277" w:lineRule="auto"/>
        <w:ind w:left="300" w:right="919" w:firstLine="360"/>
        <w:rPr>
          <w:sz w:val="20"/>
          <w:szCs w:val="20"/>
        </w:rPr>
      </w:pPr>
      <w:r>
        <w:rPr>
          <w:rFonts w:ascii="Arial" w:eastAsia="Arial" w:hAnsi="Arial" w:cs="Arial"/>
          <w:sz w:val="18"/>
          <w:szCs w:val="18"/>
        </w:rPr>
        <w:t xml:space="preserve">The information required by this item is contained in the section “Business—Legal </w:t>
      </w:r>
      <w:r>
        <w:rPr>
          <w:rFonts w:ascii="Arial" w:eastAsia="Arial" w:hAnsi="Arial" w:cs="Arial"/>
          <w:sz w:val="18"/>
          <w:szCs w:val="18"/>
        </w:rPr>
        <w:t>Proceedings” of the information statement. That section is incorporated herein by reference.</w:t>
      </w:r>
    </w:p>
    <w:p w14:paraId="33F624CC" w14:textId="77777777" w:rsidR="00D1587D" w:rsidRDefault="00D1587D">
      <w:pPr>
        <w:spacing w:line="166" w:lineRule="exact"/>
        <w:rPr>
          <w:sz w:val="20"/>
          <w:szCs w:val="20"/>
        </w:rPr>
      </w:pPr>
    </w:p>
    <w:p w14:paraId="04EE6C65" w14:textId="77777777" w:rsidR="00D1587D" w:rsidRDefault="00410D07">
      <w:pPr>
        <w:tabs>
          <w:tab w:val="left" w:pos="1160"/>
        </w:tabs>
        <w:spacing w:line="282" w:lineRule="auto"/>
        <w:ind w:left="1180" w:right="699" w:hanging="890"/>
        <w:rPr>
          <w:sz w:val="20"/>
          <w:szCs w:val="20"/>
        </w:rPr>
      </w:pPr>
      <w:r>
        <w:rPr>
          <w:rFonts w:ascii="Arial" w:eastAsia="Arial" w:hAnsi="Arial" w:cs="Arial"/>
          <w:b/>
          <w:bCs/>
          <w:sz w:val="18"/>
          <w:szCs w:val="18"/>
        </w:rPr>
        <w:t>Item 9.</w:t>
      </w:r>
      <w:r>
        <w:rPr>
          <w:sz w:val="20"/>
          <w:szCs w:val="20"/>
        </w:rPr>
        <w:tab/>
      </w:r>
      <w:r>
        <w:rPr>
          <w:rFonts w:ascii="Arial" w:eastAsia="Arial" w:hAnsi="Arial" w:cs="Arial"/>
          <w:b/>
          <w:bCs/>
          <w:sz w:val="18"/>
          <w:szCs w:val="18"/>
        </w:rPr>
        <w:t>Market Price of and Dividends on the Registrant’s Common Equity and Related Stockholder Matters.</w:t>
      </w:r>
    </w:p>
    <w:p w14:paraId="49C120B4" w14:textId="77777777" w:rsidR="00D1587D" w:rsidRDefault="00D1587D">
      <w:pPr>
        <w:spacing w:line="58" w:lineRule="exact"/>
        <w:rPr>
          <w:sz w:val="20"/>
          <w:szCs w:val="20"/>
        </w:rPr>
      </w:pPr>
    </w:p>
    <w:p w14:paraId="11107435" w14:textId="77777777" w:rsidR="00D1587D" w:rsidRDefault="00410D07">
      <w:pPr>
        <w:ind w:left="660"/>
        <w:rPr>
          <w:sz w:val="20"/>
          <w:szCs w:val="20"/>
        </w:rPr>
      </w:pPr>
      <w:r>
        <w:rPr>
          <w:rFonts w:ascii="Arial" w:eastAsia="Arial" w:hAnsi="Arial" w:cs="Arial"/>
          <w:sz w:val="18"/>
          <w:szCs w:val="18"/>
        </w:rPr>
        <w:t xml:space="preserve">The information required by this item is </w:t>
      </w:r>
      <w:r>
        <w:rPr>
          <w:rFonts w:ascii="Arial" w:eastAsia="Arial" w:hAnsi="Arial" w:cs="Arial"/>
          <w:sz w:val="18"/>
          <w:szCs w:val="18"/>
        </w:rPr>
        <w:t>contained in the sections “Summary,” “Risk Factors,” “The</w:t>
      </w:r>
    </w:p>
    <w:p w14:paraId="3F46CE6D" w14:textId="77777777" w:rsidR="00D1587D" w:rsidRDefault="00D1587D">
      <w:pPr>
        <w:spacing w:line="23" w:lineRule="exact"/>
        <w:rPr>
          <w:sz w:val="20"/>
          <w:szCs w:val="20"/>
        </w:rPr>
      </w:pPr>
    </w:p>
    <w:p w14:paraId="1A69F5C7" w14:textId="77777777" w:rsidR="00D1587D" w:rsidRDefault="00410D07">
      <w:pPr>
        <w:ind w:left="300"/>
        <w:rPr>
          <w:sz w:val="20"/>
          <w:szCs w:val="20"/>
        </w:rPr>
      </w:pPr>
      <w:r>
        <w:rPr>
          <w:rFonts w:ascii="Arial" w:eastAsia="Arial" w:hAnsi="Arial" w:cs="Arial"/>
          <w:sz w:val="17"/>
          <w:szCs w:val="17"/>
        </w:rPr>
        <w:t>Separation,” “Dividend Policy,” “Capitalization” and “Description of Capital Stock” of the information statement.</w:t>
      </w:r>
    </w:p>
    <w:p w14:paraId="6E06A663" w14:textId="77777777" w:rsidR="00D1587D" w:rsidRDefault="00D1587D">
      <w:pPr>
        <w:spacing w:line="21" w:lineRule="exact"/>
        <w:rPr>
          <w:sz w:val="20"/>
          <w:szCs w:val="20"/>
        </w:rPr>
      </w:pPr>
    </w:p>
    <w:p w14:paraId="102A0EAA" w14:textId="77777777" w:rsidR="00D1587D" w:rsidRDefault="00410D07">
      <w:pPr>
        <w:ind w:left="300"/>
        <w:rPr>
          <w:sz w:val="20"/>
          <w:szCs w:val="20"/>
        </w:rPr>
      </w:pPr>
      <w:r>
        <w:rPr>
          <w:rFonts w:ascii="Arial" w:eastAsia="Arial" w:hAnsi="Arial" w:cs="Arial"/>
          <w:sz w:val="18"/>
          <w:szCs w:val="18"/>
        </w:rPr>
        <w:t>Those sections are incorporated herein by reference.</w:t>
      </w:r>
    </w:p>
    <w:p w14:paraId="38815C69" w14:textId="77777777" w:rsidR="00D1587D" w:rsidRDefault="00D1587D">
      <w:pPr>
        <w:spacing w:line="207" w:lineRule="exact"/>
        <w:rPr>
          <w:sz w:val="20"/>
          <w:szCs w:val="20"/>
        </w:rPr>
      </w:pPr>
    </w:p>
    <w:p w14:paraId="55C2FB04" w14:textId="77777777" w:rsidR="00D1587D" w:rsidRDefault="00410D07">
      <w:pPr>
        <w:tabs>
          <w:tab w:val="left" w:pos="1160"/>
        </w:tabs>
        <w:ind w:left="300"/>
        <w:rPr>
          <w:sz w:val="20"/>
          <w:szCs w:val="20"/>
        </w:rPr>
      </w:pPr>
      <w:r>
        <w:rPr>
          <w:rFonts w:ascii="Arial" w:eastAsia="Arial" w:hAnsi="Arial" w:cs="Arial"/>
          <w:b/>
          <w:bCs/>
          <w:sz w:val="18"/>
          <w:szCs w:val="18"/>
        </w:rPr>
        <w:t>Item 10.</w:t>
      </w:r>
      <w:r>
        <w:rPr>
          <w:sz w:val="20"/>
          <w:szCs w:val="20"/>
        </w:rPr>
        <w:tab/>
      </w:r>
      <w:r>
        <w:rPr>
          <w:rFonts w:ascii="Arial" w:eastAsia="Arial" w:hAnsi="Arial" w:cs="Arial"/>
          <w:b/>
          <w:bCs/>
          <w:sz w:val="15"/>
          <w:szCs w:val="15"/>
        </w:rPr>
        <w:t>Recent Sales of Unr</w:t>
      </w:r>
      <w:r>
        <w:rPr>
          <w:rFonts w:ascii="Arial" w:eastAsia="Arial" w:hAnsi="Arial" w:cs="Arial"/>
          <w:b/>
          <w:bCs/>
          <w:sz w:val="15"/>
          <w:szCs w:val="15"/>
        </w:rPr>
        <w:t>egistered Securities.</w:t>
      </w:r>
    </w:p>
    <w:p w14:paraId="34249E3F" w14:textId="77777777" w:rsidR="00D1587D" w:rsidRDefault="00D1587D">
      <w:pPr>
        <w:spacing w:line="121" w:lineRule="exact"/>
        <w:rPr>
          <w:sz w:val="20"/>
          <w:szCs w:val="20"/>
        </w:rPr>
      </w:pPr>
    </w:p>
    <w:p w14:paraId="7BD7AFE6" w14:textId="77777777" w:rsidR="00D1587D" w:rsidRDefault="00410D07">
      <w:pPr>
        <w:spacing w:line="308" w:lineRule="auto"/>
        <w:ind w:left="300" w:right="439" w:firstLine="360"/>
        <w:rPr>
          <w:sz w:val="20"/>
          <w:szCs w:val="20"/>
        </w:rPr>
      </w:pPr>
      <w:r>
        <w:rPr>
          <w:rFonts w:ascii="Arial" w:eastAsia="Arial" w:hAnsi="Arial" w:cs="Arial"/>
          <w:sz w:val="17"/>
          <w:szCs w:val="17"/>
        </w:rPr>
        <w:t>The information required by this item is contained in the section “Description of Capital Stock—Distributions of Securities” of the information statement. That section is incorporated herein by reference.</w:t>
      </w:r>
    </w:p>
    <w:p w14:paraId="1C8402AB" w14:textId="77777777" w:rsidR="00D1587D" w:rsidRDefault="00D1587D">
      <w:pPr>
        <w:spacing w:line="142" w:lineRule="exact"/>
        <w:rPr>
          <w:sz w:val="20"/>
          <w:szCs w:val="20"/>
        </w:rPr>
      </w:pPr>
    </w:p>
    <w:p w14:paraId="0F671432" w14:textId="77777777" w:rsidR="00D1587D" w:rsidRDefault="00410D07">
      <w:pPr>
        <w:tabs>
          <w:tab w:val="left" w:pos="1160"/>
        </w:tabs>
        <w:ind w:left="300"/>
        <w:rPr>
          <w:sz w:val="20"/>
          <w:szCs w:val="20"/>
        </w:rPr>
      </w:pPr>
      <w:r>
        <w:rPr>
          <w:rFonts w:ascii="Arial" w:eastAsia="Arial" w:hAnsi="Arial" w:cs="Arial"/>
          <w:b/>
          <w:bCs/>
          <w:sz w:val="18"/>
          <w:szCs w:val="18"/>
        </w:rPr>
        <w:t>Item 11.</w:t>
      </w:r>
      <w:r>
        <w:rPr>
          <w:sz w:val="20"/>
          <w:szCs w:val="20"/>
        </w:rPr>
        <w:tab/>
      </w:r>
      <w:r>
        <w:rPr>
          <w:rFonts w:ascii="Arial" w:eastAsia="Arial" w:hAnsi="Arial" w:cs="Arial"/>
          <w:b/>
          <w:bCs/>
          <w:sz w:val="15"/>
          <w:szCs w:val="15"/>
        </w:rPr>
        <w:t>Description of Reg</w:t>
      </w:r>
      <w:r>
        <w:rPr>
          <w:rFonts w:ascii="Arial" w:eastAsia="Arial" w:hAnsi="Arial" w:cs="Arial"/>
          <w:b/>
          <w:bCs/>
          <w:sz w:val="15"/>
          <w:szCs w:val="15"/>
        </w:rPr>
        <w:t>istrant’s Securities to Be Registered.</w:t>
      </w:r>
    </w:p>
    <w:p w14:paraId="007E6CE1" w14:textId="77777777" w:rsidR="00D1587D" w:rsidRDefault="00D1587D">
      <w:pPr>
        <w:spacing w:line="121" w:lineRule="exact"/>
        <w:rPr>
          <w:sz w:val="20"/>
          <w:szCs w:val="20"/>
        </w:rPr>
      </w:pPr>
    </w:p>
    <w:p w14:paraId="0D239562" w14:textId="77777777" w:rsidR="00D1587D" w:rsidRDefault="00410D07">
      <w:pPr>
        <w:spacing w:line="277" w:lineRule="auto"/>
        <w:ind w:left="300" w:right="1019" w:firstLine="360"/>
        <w:rPr>
          <w:sz w:val="20"/>
          <w:szCs w:val="20"/>
        </w:rPr>
      </w:pPr>
      <w:r>
        <w:rPr>
          <w:rFonts w:ascii="Arial" w:eastAsia="Arial" w:hAnsi="Arial" w:cs="Arial"/>
          <w:sz w:val="18"/>
          <w:szCs w:val="18"/>
        </w:rPr>
        <w:t>The information required by this item is contained in the section “Description of Capital Stock” of the information statement. That section is incorporated herein by reference.</w:t>
      </w:r>
    </w:p>
    <w:p w14:paraId="2926996F" w14:textId="77777777" w:rsidR="00D1587D" w:rsidRDefault="00D1587D">
      <w:pPr>
        <w:spacing w:line="166" w:lineRule="exact"/>
        <w:rPr>
          <w:sz w:val="20"/>
          <w:szCs w:val="20"/>
        </w:rPr>
      </w:pPr>
    </w:p>
    <w:p w14:paraId="48D90B95" w14:textId="77777777" w:rsidR="00D1587D" w:rsidRDefault="00410D07">
      <w:pPr>
        <w:tabs>
          <w:tab w:val="left" w:pos="1160"/>
        </w:tabs>
        <w:ind w:left="300"/>
        <w:rPr>
          <w:sz w:val="20"/>
          <w:szCs w:val="20"/>
        </w:rPr>
      </w:pPr>
      <w:r>
        <w:rPr>
          <w:rFonts w:ascii="Arial" w:eastAsia="Arial" w:hAnsi="Arial" w:cs="Arial"/>
          <w:b/>
          <w:bCs/>
          <w:sz w:val="18"/>
          <w:szCs w:val="18"/>
        </w:rPr>
        <w:t>Item 12.</w:t>
      </w:r>
      <w:r>
        <w:rPr>
          <w:sz w:val="20"/>
          <w:szCs w:val="20"/>
        </w:rPr>
        <w:tab/>
      </w:r>
      <w:r>
        <w:rPr>
          <w:rFonts w:ascii="Arial" w:eastAsia="Arial" w:hAnsi="Arial" w:cs="Arial"/>
          <w:b/>
          <w:bCs/>
          <w:sz w:val="16"/>
          <w:szCs w:val="16"/>
        </w:rPr>
        <w:t xml:space="preserve">Indemnification of Directors </w:t>
      </w:r>
      <w:r>
        <w:rPr>
          <w:rFonts w:ascii="Arial" w:eastAsia="Arial" w:hAnsi="Arial" w:cs="Arial"/>
          <w:b/>
          <w:bCs/>
          <w:sz w:val="16"/>
          <w:szCs w:val="16"/>
        </w:rPr>
        <w:t>and Officers.</w:t>
      </w:r>
    </w:p>
    <w:p w14:paraId="499E2390" w14:textId="77777777" w:rsidR="00D1587D" w:rsidRDefault="00D1587D">
      <w:pPr>
        <w:spacing w:line="121" w:lineRule="exact"/>
        <w:rPr>
          <w:sz w:val="20"/>
          <w:szCs w:val="20"/>
        </w:rPr>
      </w:pPr>
    </w:p>
    <w:p w14:paraId="52C737F5" w14:textId="77777777" w:rsidR="00D1587D" w:rsidRDefault="00410D07">
      <w:pPr>
        <w:spacing w:line="277" w:lineRule="auto"/>
        <w:ind w:left="300" w:right="1019" w:firstLine="360"/>
        <w:rPr>
          <w:sz w:val="20"/>
          <w:szCs w:val="20"/>
        </w:rPr>
      </w:pPr>
      <w:r>
        <w:rPr>
          <w:rFonts w:ascii="Arial" w:eastAsia="Arial" w:hAnsi="Arial" w:cs="Arial"/>
          <w:sz w:val="18"/>
          <w:szCs w:val="18"/>
        </w:rPr>
        <w:t>The information required by this item is contained in the section “Description of Capital Stock” of the information statement. That section is incorporated herein by reference.</w:t>
      </w:r>
    </w:p>
    <w:p w14:paraId="3FBA9A61" w14:textId="77777777" w:rsidR="00D1587D" w:rsidRDefault="00D1587D">
      <w:pPr>
        <w:spacing w:line="166" w:lineRule="exact"/>
        <w:rPr>
          <w:sz w:val="20"/>
          <w:szCs w:val="20"/>
        </w:rPr>
      </w:pPr>
    </w:p>
    <w:p w14:paraId="74C1560C" w14:textId="77777777" w:rsidR="00D1587D" w:rsidRDefault="00410D07">
      <w:pPr>
        <w:tabs>
          <w:tab w:val="left" w:pos="1160"/>
        </w:tabs>
        <w:ind w:left="300"/>
        <w:rPr>
          <w:sz w:val="20"/>
          <w:szCs w:val="20"/>
        </w:rPr>
      </w:pPr>
      <w:r>
        <w:rPr>
          <w:rFonts w:ascii="Arial" w:eastAsia="Arial" w:hAnsi="Arial" w:cs="Arial"/>
          <w:b/>
          <w:bCs/>
          <w:sz w:val="18"/>
          <w:szCs w:val="18"/>
        </w:rPr>
        <w:t>Item 13.</w:t>
      </w:r>
      <w:r>
        <w:rPr>
          <w:sz w:val="20"/>
          <w:szCs w:val="20"/>
        </w:rPr>
        <w:tab/>
      </w:r>
      <w:r>
        <w:rPr>
          <w:rFonts w:ascii="Arial" w:eastAsia="Arial" w:hAnsi="Arial" w:cs="Arial"/>
          <w:b/>
          <w:bCs/>
          <w:sz w:val="16"/>
          <w:szCs w:val="16"/>
        </w:rPr>
        <w:t>Financial Statements and Supplementary Data.</w:t>
      </w:r>
    </w:p>
    <w:p w14:paraId="380F1042" w14:textId="77777777" w:rsidR="00D1587D" w:rsidRDefault="00D1587D">
      <w:pPr>
        <w:spacing w:line="121" w:lineRule="exact"/>
        <w:rPr>
          <w:sz w:val="20"/>
          <w:szCs w:val="20"/>
        </w:rPr>
      </w:pPr>
    </w:p>
    <w:p w14:paraId="34EF7E3B" w14:textId="77777777" w:rsidR="00D1587D" w:rsidRDefault="00410D07">
      <w:pPr>
        <w:spacing w:line="263" w:lineRule="auto"/>
        <w:ind w:left="300" w:right="599" w:firstLine="360"/>
        <w:rPr>
          <w:sz w:val="20"/>
          <w:szCs w:val="20"/>
        </w:rPr>
      </w:pPr>
      <w:r>
        <w:rPr>
          <w:rFonts w:ascii="Arial" w:eastAsia="Arial" w:hAnsi="Arial" w:cs="Arial"/>
          <w:sz w:val="18"/>
          <w:szCs w:val="18"/>
        </w:rPr>
        <w:t xml:space="preserve">The </w:t>
      </w:r>
      <w:r>
        <w:rPr>
          <w:rFonts w:ascii="Arial" w:eastAsia="Arial" w:hAnsi="Arial" w:cs="Arial"/>
          <w:sz w:val="18"/>
          <w:szCs w:val="18"/>
        </w:rPr>
        <w:t>information required by this item is contained in the section “Index to Combined Financial Statements” (and the statements referenced therein) of the information statement. That section is incorporated herein by reference.</w:t>
      </w:r>
    </w:p>
    <w:p w14:paraId="62CA777F" w14:textId="77777777" w:rsidR="00D1587D" w:rsidRDefault="00D1587D">
      <w:pPr>
        <w:spacing w:line="180" w:lineRule="exact"/>
        <w:rPr>
          <w:sz w:val="20"/>
          <w:szCs w:val="20"/>
        </w:rPr>
      </w:pPr>
    </w:p>
    <w:p w14:paraId="0C5729B8" w14:textId="77777777" w:rsidR="00D1587D" w:rsidRDefault="00410D07">
      <w:pPr>
        <w:tabs>
          <w:tab w:val="left" w:pos="1160"/>
        </w:tabs>
        <w:ind w:left="300"/>
        <w:rPr>
          <w:sz w:val="20"/>
          <w:szCs w:val="20"/>
        </w:rPr>
      </w:pPr>
      <w:r>
        <w:rPr>
          <w:rFonts w:ascii="Arial" w:eastAsia="Arial" w:hAnsi="Arial" w:cs="Arial"/>
          <w:b/>
          <w:bCs/>
          <w:sz w:val="18"/>
          <w:szCs w:val="18"/>
        </w:rPr>
        <w:t>Item 14.</w:t>
      </w:r>
      <w:r>
        <w:rPr>
          <w:sz w:val="20"/>
          <w:szCs w:val="20"/>
        </w:rPr>
        <w:tab/>
      </w:r>
      <w:r>
        <w:rPr>
          <w:rFonts w:ascii="Arial" w:eastAsia="Arial" w:hAnsi="Arial" w:cs="Arial"/>
          <w:b/>
          <w:bCs/>
          <w:sz w:val="16"/>
          <w:szCs w:val="16"/>
        </w:rPr>
        <w:t>Changes in and Disagree</w:t>
      </w:r>
      <w:r>
        <w:rPr>
          <w:rFonts w:ascii="Arial" w:eastAsia="Arial" w:hAnsi="Arial" w:cs="Arial"/>
          <w:b/>
          <w:bCs/>
          <w:sz w:val="16"/>
          <w:szCs w:val="16"/>
        </w:rPr>
        <w:t>ments with Accountants on Accounting and Financial Disclosure.</w:t>
      </w:r>
    </w:p>
    <w:p w14:paraId="06E81E83" w14:textId="77777777" w:rsidR="00D1587D" w:rsidRDefault="00D1587D">
      <w:pPr>
        <w:spacing w:line="148" w:lineRule="exact"/>
        <w:rPr>
          <w:sz w:val="20"/>
          <w:szCs w:val="20"/>
        </w:rPr>
      </w:pPr>
    </w:p>
    <w:p w14:paraId="11E73094" w14:textId="77777777" w:rsidR="00D1587D" w:rsidRDefault="00410D07">
      <w:pPr>
        <w:ind w:left="660"/>
        <w:rPr>
          <w:sz w:val="20"/>
          <w:szCs w:val="20"/>
        </w:rPr>
      </w:pPr>
      <w:r>
        <w:rPr>
          <w:rFonts w:ascii="Arial" w:eastAsia="Arial" w:hAnsi="Arial" w:cs="Arial"/>
          <w:sz w:val="18"/>
          <w:szCs w:val="18"/>
        </w:rPr>
        <w:t>Not applicable.</w:t>
      </w:r>
    </w:p>
    <w:p w14:paraId="6D3F5EF3" w14:textId="77777777" w:rsidR="00D1587D" w:rsidRDefault="00D1587D">
      <w:pPr>
        <w:spacing w:line="225" w:lineRule="exact"/>
        <w:rPr>
          <w:sz w:val="20"/>
          <w:szCs w:val="20"/>
        </w:rPr>
      </w:pPr>
    </w:p>
    <w:p w14:paraId="332A9188" w14:textId="77777777" w:rsidR="00D1587D" w:rsidRDefault="00410D07">
      <w:pPr>
        <w:jc w:val="center"/>
        <w:rPr>
          <w:sz w:val="20"/>
          <w:szCs w:val="20"/>
        </w:rPr>
      </w:pPr>
      <w:r>
        <w:rPr>
          <w:rFonts w:ascii="Arial" w:eastAsia="Arial" w:hAnsi="Arial" w:cs="Arial"/>
          <w:sz w:val="18"/>
          <w:szCs w:val="18"/>
        </w:rPr>
        <w:t>2</w:t>
      </w:r>
    </w:p>
    <w:p w14:paraId="031DCEA0" w14:textId="77777777" w:rsidR="00D1587D" w:rsidRDefault="00410D07">
      <w:pPr>
        <w:spacing w:line="20" w:lineRule="exact"/>
        <w:rPr>
          <w:sz w:val="20"/>
          <w:szCs w:val="20"/>
        </w:rPr>
      </w:pPr>
      <w:r>
        <w:rPr>
          <w:noProof/>
          <w:sz w:val="20"/>
          <w:szCs w:val="20"/>
        </w:rPr>
        <w:drawing>
          <wp:anchor distT="0" distB="0" distL="114300" distR="114300" simplePos="0" relativeHeight="251145216" behindDoc="1" locked="0" layoutInCell="0" allowOverlap="1" wp14:anchorId="69693213" wp14:editId="03B3049B">
            <wp:simplePos x="0" y="0"/>
            <wp:positionH relativeFrom="column">
              <wp:posOffset>-636905</wp:posOffset>
            </wp:positionH>
            <wp:positionV relativeFrom="paragraph">
              <wp:posOffset>126365</wp:posOffset>
            </wp:positionV>
            <wp:extent cx="6995160" cy="171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98C76CA" w14:textId="77777777" w:rsidR="00D1587D" w:rsidRDefault="00D1587D">
      <w:pPr>
        <w:sectPr w:rsidR="00D1587D">
          <w:pgSz w:w="11900" w:h="16838"/>
          <w:pgMar w:top="243" w:right="1440" w:bottom="1440" w:left="1440" w:header="0" w:footer="0" w:gutter="0"/>
          <w:cols w:space="720" w:equalWidth="0">
            <w:col w:w="9019"/>
          </w:cols>
        </w:sectPr>
      </w:pPr>
    </w:p>
    <w:p w14:paraId="0CB5F2BD" w14:textId="77777777" w:rsidR="00D1587D" w:rsidRDefault="00410D07">
      <w:pPr>
        <w:tabs>
          <w:tab w:val="left" w:pos="1160"/>
        </w:tabs>
        <w:ind w:left="300"/>
        <w:rPr>
          <w:sz w:val="20"/>
          <w:szCs w:val="20"/>
        </w:rPr>
      </w:pPr>
      <w:bookmarkStart w:id="3" w:name="page4"/>
      <w:bookmarkEnd w:id="3"/>
      <w:r>
        <w:rPr>
          <w:rFonts w:ascii="Arial" w:eastAsia="Arial" w:hAnsi="Arial" w:cs="Arial"/>
          <w:b/>
          <w:bCs/>
          <w:sz w:val="18"/>
          <w:szCs w:val="18"/>
        </w:rPr>
        <w:lastRenderedPageBreak/>
        <w:t>Item 15.</w:t>
      </w:r>
      <w:r>
        <w:rPr>
          <w:sz w:val="20"/>
          <w:szCs w:val="20"/>
        </w:rPr>
        <w:tab/>
      </w:r>
      <w:r>
        <w:rPr>
          <w:rFonts w:ascii="Arial" w:eastAsia="Arial" w:hAnsi="Arial" w:cs="Arial"/>
          <w:b/>
          <w:bCs/>
          <w:sz w:val="16"/>
          <w:szCs w:val="16"/>
        </w:rPr>
        <w:t>Financial Statements and Exhibits.</w:t>
      </w:r>
    </w:p>
    <w:p w14:paraId="3B2DEE7D" w14:textId="77777777" w:rsidR="00D1587D" w:rsidRDefault="00D1587D">
      <w:pPr>
        <w:spacing w:line="121" w:lineRule="exact"/>
        <w:rPr>
          <w:sz w:val="20"/>
          <w:szCs w:val="20"/>
        </w:rPr>
      </w:pPr>
    </w:p>
    <w:p w14:paraId="6C23033B" w14:textId="77777777" w:rsidR="00D1587D" w:rsidRDefault="00410D07">
      <w:pPr>
        <w:ind w:left="660"/>
        <w:rPr>
          <w:sz w:val="20"/>
          <w:szCs w:val="20"/>
        </w:rPr>
      </w:pPr>
      <w:r>
        <w:rPr>
          <w:rFonts w:ascii="Arial" w:eastAsia="Arial" w:hAnsi="Arial" w:cs="Arial"/>
          <w:b/>
          <w:bCs/>
          <w:i/>
          <w:iCs/>
          <w:sz w:val="18"/>
          <w:szCs w:val="18"/>
        </w:rPr>
        <w:t>(a)  Financial Statements</w:t>
      </w:r>
    </w:p>
    <w:p w14:paraId="163FD5C3" w14:textId="77777777" w:rsidR="00D1587D" w:rsidRDefault="00D1587D">
      <w:pPr>
        <w:spacing w:line="117" w:lineRule="exact"/>
        <w:rPr>
          <w:sz w:val="20"/>
          <w:szCs w:val="20"/>
        </w:rPr>
      </w:pPr>
    </w:p>
    <w:p w14:paraId="29F85FE6" w14:textId="77777777" w:rsidR="00D1587D" w:rsidRDefault="00410D07">
      <w:pPr>
        <w:spacing w:line="263" w:lineRule="auto"/>
        <w:ind w:left="300" w:right="519" w:firstLine="360"/>
        <w:rPr>
          <w:sz w:val="20"/>
          <w:szCs w:val="20"/>
        </w:rPr>
      </w:pPr>
      <w:r>
        <w:rPr>
          <w:rFonts w:ascii="Arial" w:eastAsia="Arial" w:hAnsi="Arial" w:cs="Arial"/>
          <w:sz w:val="18"/>
          <w:szCs w:val="18"/>
        </w:rPr>
        <w:t xml:space="preserve">The information required by this item is contained in the sections “Index to </w:t>
      </w:r>
      <w:r>
        <w:rPr>
          <w:rFonts w:ascii="Arial" w:eastAsia="Arial" w:hAnsi="Arial" w:cs="Arial"/>
          <w:sz w:val="18"/>
          <w:szCs w:val="18"/>
        </w:rPr>
        <w:t>Combined Financial Statements” (and the statements referenced therein) of the information statement. That section is incorporated herein by reference.</w:t>
      </w:r>
    </w:p>
    <w:p w14:paraId="3883CE07" w14:textId="77777777" w:rsidR="00D1587D" w:rsidRDefault="00D1587D">
      <w:pPr>
        <w:spacing w:line="184" w:lineRule="exact"/>
        <w:rPr>
          <w:sz w:val="20"/>
          <w:szCs w:val="20"/>
        </w:rPr>
      </w:pPr>
    </w:p>
    <w:p w14:paraId="3383A35B" w14:textId="77777777" w:rsidR="00D1587D" w:rsidRDefault="00410D07">
      <w:pPr>
        <w:ind w:left="660"/>
        <w:rPr>
          <w:sz w:val="20"/>
          <w:szCs w:val="20"/>
        </w:rPr>
      </w:pPr>
      <w:r>
        <w:rPr>
          <w:rFonts w:ascii="Arial" w:eastAsia="Arial" w:hAnsi="Arial" w:cs="Arial"/>
          <w:b/>
          <w:bCs/>
          <w:i/>
          <w:iCs/>
          <w:sz w:val="18"/>
          <w:szCs w:val="18"/>
        </w:rPr>
        <w:t>(b)  Exhibits</w:t>
      </w:r>
    </w:p>
    <w:p w14:paraId="5C1EB878" w14:textId="77777777" w:rsidR="00D1587D" w:rsidRDefault="00D1587D">
      <w:pPr>
        <w:spacing w:line="144" w:lineRule="exact"/>
        <w:rPr>
          <w:sz w:val="20"/>
          <w:szCs w:val="20"/>
        </w:rPr>
      </w:pPr>
    </w:p>
    <w:p w14:paraId="2197A857" w14:textId="77777777" w:rsidR="00D1587D" w:rsidRDefault="00410D07">
      <w:pPr>
        <w:ind w:left="660"/>
        <w:rPr>
          <w:sz w:val="20"/>
          <w:szCs w:val="20"/>
        </w:rPr>
      </w:pPr>
      <w:r>
        <w:rPr>
          <w:rFonts w:ascii="Arial" w:eastAsia="Arial" w:hAnsi="Arial" w:cs="Arial"/>
          <w:sz w:val="18"/>
          <w:szCs w:val="18"/>
        </w:rPr>
        <w:t>The following documents are filed as exhibits hereto:</w:t>
      </w:r>
    </w:p>
    <w:p w14:paraId="5221D5CA" w14:textId="77777777" w:rsidR="00D1587D" w:rsidRDefault="00D1587D">
      <w:pPr>
        <w:spacing w:line="16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20"/>
        <w:gridCol w:w="80"/>
        <w:gridCol w:w="100"/>
        <w:gridCol w:w="340"/>
        <w:gridCol w:w="80"/>
        <w:gridCol w:w="7600"/>
        <w:gridCol w:w="20"/>
      </w:tblGrid>
      <w:tr w:rsidR="00D1587D" w14:paraId="0DB51D96" w14:textId="77777777">
        <w:trPr>
          <w:trHeight w:val="161"/>
        </w:trPr>
        <w:tc>
          <w:tcPr>
            <w:tcW w:w="740" w:type="dxa"/>
            <w:gridSpan w:val="4"/>
            <w:vAlign w:val="bottom"/>
          </w:tcPr>
          <w:p w14:paraId="77138B75" w14:textId="77777777" w:rsidR="00D1587D" w:rsidRDefault="00410D07">
            <w:pPr>
              <w:rPr>
                <w:sz w:val="20"/>
                <w:szCs w:val="20"/>
              </w:rPr>
            </w:pPr>
            <w:r>
              <w:rPr>
                <w:rFonts w:ascii="Arial" w:eastAsia="Arial" w:hAnsi="Arial" w:cs="Arial"/>
                <w:b/>
                <w:bCs/>
                <w:sz w:val="14"/>
                <w:szCs w:val="14"/>
              </w:rPr>
              <w:t>Exhibit</w:t>
            </w:r>
          </w:p>
        </w:tc>
        <w:tc>
          <w:tcPr>
            <w:tcW w:w="80" w:type="dxa"/>
            <w:vAlign w:val="bottom"/>
          </w:tcPr>
          <w:p w14:paraId="43DA08FB" w14:textId="77777777" w:rsidR="00D1587D" w:rsidRDefault="00D1587D">
            <w:pPr>
              <w:rPr>
                <w:sz w:val="14"/>
                <w:szCs w:val="14"/>
              </w:rPr>
            </w:pPr>
          </w:p>
        </w:tc>
        <w:tc>
          <w:tcPr>
            <w:tcW w:w="7600" w:type="dxa"/>
            <w:vMerge w:val="restart"/>
            <w:vAlign w:val="bottom"/>
          </w:tcPr>
          <w:p w14:paraId="1E975A3B" w14:textId="77777777" w:rsidR="00D1587D" w:rsidRDefault="00410D07">
            <w:pPr>
              <w:ind w:left="3400"/>
              <w:rPr>
                <w:sz w:val="20"/>
                <w:szCs w:val="20"/>
              </w:rPr>
            </w:pPr>
            <w:r>
              <w:rPr>
                <w:rFonts w:ascii="Arial" w:eastAsia="Arial" w:hAnsi="Arial" w:cs="Arial"/>
                <w:b/>
                <w:bCs/>
                <w:sz w:val="14"/>
                <w:szCs w:val="14"/>
              </w:rPr>
              <w:t>Exhibit Title</w:t>
            </w:r>
          </w:p>
        </w:tc>
        <w:tc>
          <w:tcPr>
            <w:tcW w:w="0" w:type="dxa"/>
            <w:vAlign w:val="bottom"/>
          </w:tcPr>
          <w:p w14:paraId="2F6D4321" w14:textId="77777777" w:rsidR="00D1587D" w:rsidRDefault="00D1587D">
            <w:pPr>
              <w:rPr>
                <w:sz w:val="1"/>
                <w:szCs w:val="1"/>
              </w:rPr>
            </w:pPr>
          </w:p>
        </w:tc>
      </w:tr>
      <w:tr w:rsidR="00D1587D" w14:paraId="360901B6" w14:textId="77777777">
        <w:trPr>
          <w:trHeight w:val="186"/>
        </w:trPr>
        <w:tc>
          <w:tcPr>
            <w:tcW w:w="740" w:type="dxa"/>
            <w:gridSpan w:val="4"/>
            <w:vAlign w:val="bottom"/>
          </w:tcPr>
          <w:p w14:paraId="783CB9BD" w14:textId="77777777" w:rsidR="00D1587D" w:rsidRDefault="00410D07">
            <w:pPr>
              <w:rPr>
                <w:sz w:val="20"/>
                <w:szCs w:val="20"/>
              </w:rPr>
            </w:pPr>
            <w:r>
              <w:rPr>
                <w:rFonts w:ascii="Arial" w:eastAsia="Arial" w:hAnsi="Arial" w:cs="Arial"/>
                <w:b/>
                <w:bCs/>
                <w:sz w:val="14"/>
                <w:szCs w:val="14"/>
              </w:rPr>
              <w:t>Number</w:t>
            </w:r>
          </w:p>
        </w:tc>
        <w:tc>
          <w:tcPr>
            <w:tcW w:w="80" w:type="dxa"/>
            <w:vAlign w:val="bottom"/>
          </w:tcPr>
          <w:p w14:paraId="4CAE74FB" w14:textId="77777777" w:rsidR="00D1587D" w:rsidRDefault="00D1587D">
            <w:pPr>
              <w:rPr>
                <w:sz w:val="16"/>
                <w:szCs w:val="16"/>
              </w:rPr>
            </w:pPr>
          </w:p>
        </w:tc>
        <w:tc>
          <w:tcPr>
            <w:tcW w:w="7600" w:type="dxa"/>
            <w:vMerge/>
            <w:vAlign w:val="bottom"/>
          </w:tcPr>
          <w:p w14:paraId="5BCA9B9F" w14:textId="77777777" w:rsidR="00D1587D" w:rsidRDefault="00D1587D">
            <w:pPr>
              <w:rPr>
                <w:sz w:val="16"/>
                <w:szCs w:val="16"/>
              </w:rPr>
            </w:pPr>
          </w:p>
        </w:tc>
        <w:tc>
          <w:tcPr>
            <w:tcW w:w="0" w:type="dxa"/>
            <w:vAlign w:val="bottom"/>
          </w:tcPr>
          <w:p w14:paraId="06C105D2" w14:textId="77777777" w:rsidR="00D1587D" w:rsidRDefault="00D1587D">
            <w:pPr>
              <w:rPr>
                <w:sz w:val="1"/>
                <w:szCs w:val="1"/>
              </w:rPr>
            </w:pPr>
          </w:p>
        </w:tc>
      </w:tr>
      <w:tr w:rsidR="00D1587D" w14:paraId="630E5A7F" w14:textId="77777777">
        <w:trPr>
          <w:trHeight w:val="53"/>
        </w:trPr>
        <w:tc>
          <w:tcPr>
            <w:tcW w:w="220" w:type="dxa"/>
            <w:tcBorders>
              <w:bottom w:val="single" w:sz="8" w:space="0" w:color="auto"/>
            </w:tcBorders>
            <w:vAlign w:val="bottom"/>
          </w:tcPr>
          <w:p w14:paraId="12937458" w14:textId="77777777" w:rsidR="00D1587D" w:rsidRDefault="00D1587D">
            <w:pPr>
              <w:rPr>
                <w:sz w:val="4"/>
                <w:szCs w:val="4"/>
              </w:rPr>
            </w:pPr>
          </w:p>
        </w:tc>
        <w:tc>
          <w:tcPr>
            <w:tcW w:w="80" w:type="dxa"/>
            <w:tcBorders>
              <w:bottom w:val="single" w:sz="8" w:space="0" w:color="auto"/>
            </w:tcBorders>
            <w:vAlign w:val="bottom"/>
          </w:tcPr>
          <w:p w14:paraId="3DE3038C" w14:textId="77777777" w:rsidR="00D1587D" w:rsidRDefault="00D1587D">
            <w:pPr>
              <w:rPr>
                <w:sz w:val="4"/>
                <w:szCs w:val="4"/>
              </w:rPr>
            </w:pPr>
          </w:p>
        </w:tc>
        <w:tc>
          <w:tcPr>
            <w:tcW w:w="100" w:type="dxa"/>
            <w:tcBorders>
              <w:bottom w:val="single" w:sz="8" w:space="0" w:color="auto"/>
            </w:tcBorders>
            <w:vAlign w:val="bottom"/>
          </w:tcPr>
          <w:p w14:paraId="490BF8D0" w14:textId="77777777" w:rsidR="00D1587D" w:rsidRDefault="00D1587D">
            <w:pPr>
              <w:rPr>
                <w:sz w:val="4"/>
                <w:szCs w:val="4"/>
              </w:rPr>
            </w:pPr>
          </w:p>
        </w:tc>
        <w:tc>
          <w:tcPr>
            <w:tcW w:w="340" w:type="dxa"/>
            <w:tcBorders>
              <w:bottom w:val="single" w:sz="8" w:space="0" w:color="auto"/>
            </w:tcBorders>
            <w:vAlign w:val="bottom"/>
          </w:tcPr>
          <w:p w14:paraId="6B550D11" w14:textId="77777777" w:rsidR="00D1587D" w:rsidRDefault="00D1587D">
            <w:pPr>
              <w:rPr>
                <w:sz w:val="4"/>
                <w:szCs w:val="4"/>
              </w:rPr>
            </w:pPr>
          </w:p>
        </w:tc>
        <w:tc>
          <w:tcPr>
            <w:tcW w:w="80" w:type="dxa"/>
            <w:tcBorders>
              <w:bottom w:val="single" w:sz="8" w:space="0" w:color="CCEEFF"/>
            </w:tcBorders>
            <w:vAlign w:val="bottom"/>
          </w:tcPr>
          <w:p w14:paraId="38E32649" w14:textId="77777777" w:rsidR="00D1587D" w:rsidRDefault="00D1587D">
            <w:pPr>
              <w:rPr>
                <w:sz w:val="4"/>
                <w:szCs w:val="4"/>
              </w:rPr>
            </w:pPr>
          </w:p>
        </w:tc>
        <w:tc>
          <w:tcPr>
            <w:tcW w:w="7600" w:type="dxa"/>
            <w:tcBorders>
              <w:bottom w:val="single" w:sz="8" w:space="0" w:color="auto"/>
            </w:tcBorders>
            <w:vAlign w:val="bottom"/>
          </w:tcPr>
          <w:p w14:paraId="7D408194" w14:textId="77777777" w:rsidR="00D1587D" w:rsidRDefault="00D1587D">
            <w:pPr>
              <w:rPr>
                <w:sz w:val="4"/>
                <w:szCs w:val="4"/>
              </w:rPr>
            </w:pPr>
          </w:p>
        </w:tc>
        <w:tc>
          <w:tcPr>
            <w:tcW w:w="0" w:type="dxa"/>
            <w:vAlign w:val="bottom"/>
          </w:tcPr>
          <w:p w14:paraId="2EB7FA69" w14:textId="77777777" w:rsidR="00D1587D" w:rsidRDefault="00D1587D">
            <w:pPr>
              <w:rPr>
                <w:sz w:val="1"/>
                <w:szCs w:val="1"/>
              </w:rPr>
            </w:pPr>
          </w:p>
        </w:tc>
      </w:tr>
      <w:tr w:rsidR="00D1587D" w14:paraId="580CD40D" w14:textId="77777777">
        <w:trPr>
          <w:trHeight w:val="237"/>
        </w:trPr>
        <w:tc>
          <w:tcPr>
            <w:tcW w:w="300" w:type="dxa"/>
            <w:gridSpan w:val="2"/>
            <w:shd w:val="clear" w:color="auto" w:fill="CCEEFF"/>
            <w:vAlign w:val="bottom"/>
          </w:tcPr>
          <w:p w14:paraId="38B29780" w14:textId="77777777" w:rsidR="00D1587D" w:rsidRDefault="00410D07">
            <w:pPr>
              <w:rPr>
                <w:rFonts w:ascii="Arial" w:eastAsia="Arial" w:hAnsi="Arial" w:cs="Arial"/>
                <w:color w:val="0000EE"/>
                <w:sz w:val="18"/>
                <w:szCs w:val="18"/>
              </w:rPr>
            </w:pPr>
            <w:hyperlink w:anchor="page6">
              <w:r>
                <w:rPr>
                  <w:rFonts w:ascii="Arial" w:eastAsia="Arial" w:hAnsi="Arial" w:cs="Arial"/>
                  <w:color w:val="0000EE"/>
                  <w:sz w:val="18"/>
                  <w:szCs w:val="18"/>
                </w:rPr>
                <w:t>2.</w:t>
              </w:r>
              <w:r>
                <w:rPr>
                  <w:rFonts w:ascii="Arial" w:eastAsia="Arial" w:hAnsi="Arial" w:cs="Arial"/>
                  <w:color w:val="0000EE"/>
                  <w:sz w:val="18"/>
                  <w:szCs w:val="18"/>
                  <w:u w:val="single"/>
                </w:rPr>
                <w:t>1</w:t>
              </w:r>
            </w:hyperlink>
          </w:p>
        </w:tc>
        <w:tc>
          <w:tcPr>
            <w:tcW w:w="100" w:type="dxa"/>
            <w:shd w:val="clear" w:color="auto" w:fill="CCEEFF"/>
            <w:vAlign w:val="bottom"/>
          </w:tcPr>
          <w:p w14:paraId="366AC96A" w14:textId="77777777" w:rsidR="00D1587D" w:rsidRDefault="00D1587D">
            <w:pPr>
              <w:rPr>
                <w:sz w:val="20"/>
                <w:szCs w:val="20"/>
              </w:rPr>
            </w:pPr>
          </w:p>
        </w:tc>
        <w:tc>
          <w:tcPr>
            <w:tcW w:w="340" w:type="dxa"/>
            <w:shd w:val="clear" w:color="auto" w:fill="CCEEFF"/>
            <w:vAlign w:val="bottom"/>
          </w:tcPr>
          <w:p w14:paraId="39BDBF06" w14:textId="77777777" w:rsidR="00D1587D" w:rsidRDefault="00D1587D">
            <w:pPr>
              <w:rPr>
                <w:sz w:val="20"/>
                <w:szCs w:val="20"/>
              </w:rPr>
            </w:pPr>
          </w:p>
        </w:tc>
        <w:tc>
          <w:tcPr>
            <w:tcW w:w="7680" w:type="dxa"/>
            <w:gridSpan w:val="2"/>
            <w:shd w:val="clear" w:color="auto" w:fill="CCEEFF"/>
            <w:vAlign w:val="bottom"/>
          </w:tcPr>
          <w:p w14:paraId="3F562903" w14:textId="77777777" w:rsidR="00D1587D" w:rsidRDefault="00410D07">
            <w:pPr>
              <w:ind w:left="80"/>
              <w:rPr>
                <w:sz w:val="20"/>
                <w:szCs w:val="20"/>
              </w:rPr>
            </w:pPr>
            <w:r>
              <w:rPr>
                <w:rFonts w:ascii="Arial" w:eastAsia="Arial" w:hAnsi="Arial" w:cs="Arial"/>
                <w:w w:val="96"/>
                <w:sz w:val="18"/>
                <w:szCs w:val="18"/>
              </w:rPr>
              <w:t>Form of Separation and Distribution Agreement between L Brands, Inc. and Victoria’s Secret &amp; Co.</w:t>
            </w:r>
          </w:p>
        </w:tc>
        <w:tc>
          <w:tcPr>
            <w:tcW w:w="0" w:type="dxa"/>
            <w:vAlign w:val="bottom"/>
          </w:tcPr>
          <w:p w14:paraId="67703E24" w14:textId="77777777" w:rsidR="00D1587D" w:rsidRDefault="00D1587D">
            <w:pPr>
              <w:rPr>
                <w:sz w:val="1"/>
                <w:szCs w:val="1"/>
              </w:rPr>
            </w:pPr>
          </w:p>
        </w:tc>
      </w:tr>
      <w:tr w:rsidR="00D1587D" w14:paraId="78D30BBF" w14:textId="77777777">
        <w:trPr>
          <w:trHeight w:val="74"/>
        </w:trPr>
        <w:tc>
          <w:tcPr>
            <w:tcW w:w="220" w:type="dxa"/>
            <w:tcBorders>
              <w:top w:val="single" w:sz="8" w:space="0" w:color="0000EE"/>
            </w:tcBorders>
            <w:shd w:val="clear" w:color="auto" w:fill="CCEEFF"/>
            <w:vAlign w:val="bottom"/>
          </w:tcPr>
          <w:p w14:paraId="7F2FE2EA" w14:textId="77777777" w:rsidR="00D1587D" w:rsidRDefault="00D1587D">
            <w:pPr>
              <w:rPr>
                <w:sz w:val="6"/>
                <w:szCs w:val="6"/>
              </w:rPr>
            </w:pPr>
          </w:p>
        </w:tc>
        <w:tc>
          <w:tcPr>
            <w:tcW w:w="80" w:type="dxa"/>
            <w:tcBorders>
              <w:top w:val="single" w:sz="8" w:space="0" w:color="CCEEFF"/>
            </w:tcBorders>
            <w:shd w:val="clear" w:color="auto" w:fill="CCEEFF"/>
            <w:vAlign w:val="bottom"/>
          </w:tcPr>
          <w:p w14:paraId="6B21364C" w14:textId="77777777" w:rsidR="00D1587D" w:rsidRDefault="00D1587D">
            <w:pPr>
              <w:rPr>
                <w:sz w:val="6"/>
                <w:szCs w:val="6"/>
              </w:rPr>
            </w:pPr>
          </w:p>
        </w:tc>
        <w:tc>
          <w:tcPr>
            <w:tcW w:w="100" w:type="dxa"/>
            <w:tcBorders>
              <w:top w:val="single" w:sz="8" w:space="0" w:color="CCEEFF"/>
            </w:tcBorders>
            <w:shd w:val="clear" w:color="auto" w:fill="CCEEFF"/>
            <w:vAlign w:val="bottom"/>
          </w:tcPr>
          <w:p w14:paraId="742CF539" w14:textId="77777777" w:rsidR="00D1587D" w:rsidRDefault="00D1587D">
            <w:pPr>
              <w:rPr>
                <w:sz w:val="6"/>
                <w:szCs w:val="6"/>
              </w:rPr>
            </w:pPr>
          </w:p>
        </w:tc>
        <w:tc>
          <w:tcPr>
            <w:tcW w:w="340" w:type="dxa"/>
            <w:tcBorders>
              <w:top w:val="single" w:sz="8" w:space="0" w:color="CCEEFF"/>
            </w:tcBorders>
            <w:shd w:val="clear" w:color="auto" w:fill="CCEEFF"/>
            <w:vAlign w:val="bottom"/>
          </w:tcPr>
          <w:p w14:paraId="7BC87008" w14:textId="77777777" w:rsidR="00D1587D" w:rsidRDefault="00D1587D">
            <w:pPr>
              <w:rPr>
                <w:sz w:val="6"/>
                <w:szCs w:val="6"/>
              </w:rPr>
            </w:pPr>
          </w:p>
        </w:tc>
        <w:tc>
          <w:tcPr>
            <w:tcW w:w="80" w:type="dxa"/>
            <w:tcBorders>
              <w:top w:val="single" w:sz="8" w:space="0" w:color="CCEEFF"/>
            </w:tcBorders>
            <w:shd w:val="clear" w:color="auto" w:fill="CCEEFF"/>
            <w:vAlign w:val="bottom"/>
          </w:tcPr>
          <w:p w14:paraId="537EEB80" w14:textId="77777777" w:rsidR="00D1587D" w:rsidRDefault="00D1587D">
            <w:pPr>
              <w:rPr>
                <w:sz w:val="6"/>
                <w:szCs w:val="6"/>
              </w:rPr>
            </w:pPr>
          </w:p>
        </w:tc>
        <w:tc>
          <w:tcPr>
            <w:tcW w:w="7600" w:type="dxa"/>
            <w:tcBorders>
              <w:top w:val="single" w:sz="8" w:space="0" w:color="CCEEFF"/>
            </w:tcBorders>
            <w:shd w:val="clear" w:color="auto" w:fill="CCEEFF"/>
            <w:vAlign w:val="bottom"/>
          </w:tcPr>
          <w:p w14:paraId="471D6C6F" w14:textId="77777777" w:rsidR="00D1587D" w:rsidRDefault="00D1587D">
            <w:pPr>
              <w:rPr>
                <w:sz w:val="6"/>
                <w:szCs w:val="6"/>
              </w:rPr>
            </w:pPr>
          </w:p>
        </w:tc>
        <w:tc>
          <w:tcPr>
            <w:tcW w:w="0" w:type="dxa"/>
            <w:vAlign w:val="bottom"/>
          </w:tcPr>
          <w:p w14:paraId="4ED5BD7C" w14:textId="77777777" w:rsidR="00D1587D" w:rsidRDefault="00D1587D">
            <w:pPr>
              <w:rPr>
                <w:sz w:val="1"/>
                <w:szCs w:val="1"/>
              </w:rPr>
            </w:pPr>
          </w:p>
        </w:tc>
      </w:tr>
      <w:tr w:rsidR="00D1587D" w14:paraId="65A63464" w14:textId="77777777">
        <w:trPr>
          <w:trHeight w:val="229"/>
        </w:trPr>
        <w:tc>
          <w:tcPr>
            <w:tcW w:w="300" w:type="dxa"/>
            <w:gridSpan w:val="2"/>
            <w:vAlign w:val="bottom"/>
          </w:tcPr>
          <w:p w14:paraId="53768616" w14:textId="77777777" w:rsidR="00D1587D" w:rsidRDefault="00410D07">
            <w:pPr>
              <w:rPr>
                <w:rFonts w:ascii="Arial" w:eastAsia="Arial" w:hAnsi="Arial" w:cs="Arial"/>
                <w:color w:val="0000EE"/>
                <w:sz w:val="18"/>
                <w:szCs w:val="18"/>
              </w:rPr>
            </w:pPr>
            <w:hyperlink w:anchor="page63">
              <w:r>
                <w:rPr>
                  <w:rFonts w:ascii="Arial" w:eastAsia="Arial" w:hAnsi="Arial" w:cs="Arial"/>
                  <w:color w:val="0000EE"/>
                  <w:sz w:val="18"/>
                  <w:szCs w:val="18"/>
                </w:rPr>
                <w:t>3.</w:t>
              </w:r>
              <w:r>
                <w:rPr>
                  <w:rFonts w:ascii="Arial" w:eastAsia="Arial" w:hAnsi="Arial" w:cs="Arial"/>
                  <w:color w:val="0000EE"/>
                  <w:sz w:val="18"/>
                  <w:szCs w:val="18"/>
                  <w:u w:val="single"/>
                </w:rPr>
                <w:t>1</w:t>
              </w:r>
            </w:hyperlink>
          </w:p>
        </w:tc>
        <w:tc>
          <w:tcPr>
            <w:tcW w:w="100" w:type="dxa"/>
            <w:vAlign w:val="bottom"/>
          </w:tcPr>
          <w:p w14:paraId="0502E2D2" w14:textId="77777777" w:rsidR="00D1587D" w:rsidRDefault="00D1587D">
            <w:pPr>
              <w:rPr>
                <w:sz w:val="19"/>
                <w:szCs w:val="19"/>
              </w:rPr>
            </w:pPr>
          </w:p>
        </w:tc>
        <w:tc>
          <w:tcPr>
            <w:tcW w:w="340" w:type="dxa"/>
            <w:vAlign w:val="bottom"/>
          </w:tcPr>
          <w:p w14:paraId="5AC44A2F" w14:textId="77777777" w:rsidR="00D1587D" w:rsidRDefault="00D1587D">
            <w:pPr>
              <w:rPr>
                <w:sz w:val="19"/>
                <w:szCs w:val="19"/>
              </w:rPr>
            </w:pPr>
          </w:p>
        </w:tc>
        <w:tc>
          <w:tcPr>
            <w:tcW w:w="7680" w:type="dxa"/>
            <w:gridSpan w:val="2"/>
            <w:vAlign w:val="bottom"/>
          </w:tcPr>
          <w:p w14:paraId="375EDA3F" w14:textId="77777777" w:rsidR="00D1587D" w:rsidRDefault="00410D07">
            <w:pPr>
              <w:ind w:left="80"/>
              <w:rPr>
                <w:sz w:val="20"/>
                <w:szCs w:val="20"/>
              </w:rPr>
            </w:pPr>
            <w:r>
              <w:rPr>
                <w:rFonts w:ascii="Arial" w:eastAsia="Arial" w:hAnsi="Arial" w:cs="Arial"/>
                <w:sz w:val="18"/>
                <w:szCs w:val="18"/>
              </w:rPr>
              <w:t xml:space="preserve">Form of Amended and Restated Articles of </w:t>
            </w:r>
            <w:r>
              <w:rPr>
                <w:rFonts w:ascii="Arial" w:eastAsia="Arial" w:hAnsi="Arial" w:cs="Arial"/>
                <w:sz w:val="18"/>
                <w:szCs w:val="18"/>
              </w:rPr>
              <w:t>Incorporation of Victoria’s Secret &amp; Co.</w:t>
            </w:r>
          </w:p>
        </w:tc>
        <w:tc>
          <w:tcPr>
            <w:tcW w:w="0" w:type="dxa"/>
            <w:vAlign w:val="bottom"/>
          </w:tcPr>
          <w:p w14:paraId="4CE76F50" w14:textId="77777777" w:rsidR="00D1587D" w:rsidRDefault="00D1587D">
            <w:pPr>
              <w:rPr>
                <w:sz w:val="1"/>
                <w:szCs w:val="1"/>
              </w:rPr>
            </w:pPr>
          </w:p>
        </w:tc>
      </w:tr>
      <w:tr w:rsidR="00D1587D" w14:paraId="488F862E" w14:textId="77777777">
        <w:trPr>
          <w:trHeight w:val="75"/>
        </w:trPr>
        <w:tc>
          <w:tcPr>
            <w:tcW w:w="220" w:type="dxa"/>
            <w:tcBorders>
              <w:top w:val="single" w:sz="8" w:space="0" w:color="0000EE"/>
            </w:tcBorders>
            <w:vAlign w:val="bottom"/>
          </w:tcPr>
          <w:p w14:paraId="3434C27C" w14:textId="77777777" w:rsidR="00D1587D" w:rsidRDefault="00D1587D">
            <w:pPr>
              <w:rPr>
                <w:sz w:val="6"/>
                <w:szCs w:val="6"/>
              </w:rPr>
            </w:pPr>
          </w:p>
        </w:tc>
        <w:tc>
          <w:tcPr>
            <w:tcW w:w="80" w:type="dxa"/>
            <w:vAlign w:val="bottom"/>
          </w:tcPr>
          <w:p w14:paraId="6715E6F0" w14:textId="77777777" w:rsidR="00D1587D" w:rsidRDefault="00D1587D">
            <w:pPr>
              <w:rPr>
                <w:sz w:val="6"/>
                <w:szCs w:val="6"/>
              </w:rPr>
            </w:pPr>
          </w:p>
        </w:tc>
        <w:tc>
          <w:tcPr>
            <w:tcW w:w="100" w:type="dxa"/>
            <w:vAlign w:val="bottom"/>
          </w:tcPr>
          <w:p w14:paraId="4E496180" w14:textId="77777777" w:rsidR="00D1587D" w:rsidRDefault="00D1587D">
            <w:pPr>
              <w:rPr>
                <w:sz w:val="6"/>
                <w:szCs w:val="6"/>
              </w:rPr>
            </w:pPr>
          </w:p>
        </w:tc>
        <w:tc>
          <w:tcPr>
            <w:tcW w:w="340" w:type="dxa"/>
            <w:vAlign w:val="bottom"/>
          </w:tcPr>
          <w:p w14:paraId="702E3CF2" w14:textId="77777777" w:rsidR="00D1587D" w:rsidRDefault="00D1587D">
            <w:pPr>
              <w:rPr>
                <w:sz w:val="6"/>
                <w:szCs w:val="6"/>
              </w:rPr>
            </w:pPr>
          </w:p>
        </w:tc>
        <w:tc>
          <w:tcPr>
            <w:tcW w:w="80" w:type="dxa"/>
            <w:vAlign w:val="bottom"/>
          </w:tcPr>
          <w:p w14:paraId="38E4FAC3" w14:textId="77777777" w:rsidR="00D1587D" w:rsidRDefault="00D1587D">
            <w:pPr>
              <w:rPr>
                <w:sz w:val="6"/>
                <w:szCs w:val="6"/>
              </w:rPr>
            </w:pPr>
          </w:p>
        </w:tc>
        <w:tc>
          <w:tcPr>
            <w:tcW w:w="7600" w:type="dxa"/>
            <w:vAlign w:val="bottom"/>
          </w:tcPr>
          <w:p w14:paraId="4374E594" w14:textId="77777777" w:rsidR="00D1587D" w:rsidRDefault="00D1587D">
            <w:pPr>
              <w:rPr>
                <w:sz w:val="6"/>
                <w:szCs w:val="6"/>
              </w:rPr>
            </w:pPr>
          </w:p>
        </w:tc>
        <w:tc>
          <w:tcPr>
            <w:tcW w:w="0" w:type="dxa"/>
            <w:vAlign w:val="bottom"/>
          </w:tcPr>
          <w:p w14:paraId="76983754" w14:textId="77777777" w:rsidR="00D1587D" w:rsidRDefault="00D1587D">
            <w:pPr>
              <w:rPr>
                <w:sz w:val="1"/>
                <w:szCs w:val="1"/>
              </w:rPr>
            </w:pPr>
          </w:p>
        </w:tc>
      </w:tr>
      <w:tr w:rsidR="00D1587D" w14:paraId="7AC06E68" w14:textId="77777777">
        <w:trPr>
          <w:trHeight w:val="229"/>
        </w:trPr>
        <w:tc>
          <w:tcPr>
            <w:tcW w:w="300" w:type="dxa"/>
            <w:gridSpan w:val="2"/>
            <w:shd w:val="clear" w:color="auto" w:fill="CCEEFF"/>
            <w:vAlign w:val="bottom"/>
          </w:tcPr>
          <w:p w14:paraId="451B6582" w14:textId="77777777" w:rsidR="00D1587D" w:rsidRDefault="00410D07">
            <w:pPr>
              <w:rPr>
                <w:rFonts w:ascii="Arial" w:eastAsia="Arial" w:hAnsi="Arial" w:cs="Arial"/>
                <w:color w:val="0000EE"/>
                <w:sz w:val="18"/>
                <w:szCs w:val="18"/>
              </w:rPr>
            </w:pPr>
            <w:hyperlink w:anchor="page66">
              <w:r>
                <w:rPr>
                  <w:rFonts w:ascii="Arial" w:eastAsia="Arial" w:hAnsi="Arial" w:cs="Arial"/>
                  <w:color w:val="0000EE"/>
                  <w:sz w:val="18"/>
                  <w:szCs w:val="18"/>
                </w:rPr>
                <w:t>3.</w:t>
              </w:r>
              <w:r>
                <w:rPr>
                  <w:rFonts w:ascii="Arial" w:eastAsia="Arial" w:hAnsi="Arial" w:cs="Arial"/>
                  <w:color w:val="0000EE"/>
                  <w:sz w:val="18"/>
                  <w:szCs w:val="18"/>
                  <w:u w:val="single"/>
                </w:rPr>
                <w:t>2</w:t>
              </w:r>
            </w:hyperlink>
          </w:p>
        </w:tc>
        <w:tc>
          <w:tcPr>
            <w:tcW w:w="100" w:type="dxa"/>
            <w:shd w:val="clear" w:color="auto" w:fill="CCEEFF"/>
            <w:vAlign w:val="bottom"/>
          </w:tcPr>
          <w:p w14:paraId="4711FB0D" w14:textId="77777777" w:rsidR="00D1587D" w:rsidRDefault="00D1587D">
            <w:pPr>
              <w:rPr>
                <w:sz w:val="19"/>
                <w:szCs w:val="19"/>
              </w:rPr>
            </w:pPr>
          </w:p>
        </w:tc>
        <w:tc>
          <w:tcPr>
            <w:tcW w:w="340" w:type="dxa"/>
            <w:shd w:val="clear" w:color="auto" w:fill="CCEEFF"/>
            <w:vAlign w:val="bottom"/>
          </w:tcPr>
          <w:p w14:paraId="17D8FEDC" w14:textId="77777777" w:rsidR="00D1587D" w:rsidRDefault="00D1587D">
            <w:pPr>
              <w:rPr>
                <w:sz w:val="19"/>
                <w:szCs w:val="19"/>
              </w:rPr>
            </w:pPr>
          </w:p>
        </w:tc>
        <w:tc>
          <w:tcPr>
            <w:tcW w:w="7680" w:type="dxa"/>
            <w:gridSpan w:val="2"/>
            <w:shd w:val="clear" w:color="auto" w:fill="CCEEFF"/>
            <w:vAlign w:val="bottom"/>
          </w:tcPr>
          <w:p w14:paraId="7AB60F4A" w14:textId="77777777" w:rsidR="00D1587D" w:rsidRDefault="00410D07">
            <w:pPr>
              <w:ind w:left="80"/>
              <w:rPr>
                <w:sz w:val="20"/>
                <w:szCs w:val="20"/>
              </w:rPr>
            </w:pPr>
            <w:r>
              <w:rPr>
                <w:rFonts w:ascii="Arial" w:eastAsia="Arial" w:hAnsi="Arial" w:cs="Arial"/>
                <w:sz w:val="18"/>
                <w:szCs w:val="18"/>
              </w:rPr>
              <w:t>Form of Amended and Restated Bylaws of Victoria’s Secret &amp; Co.</w:t>
            </w:r>
          </w:p>
        </w:tc>
        <w:tc>
          <w:tcPr>
            <w:tcW w:w="0" w:type="dxa"/>
            <w:vAlign w:val="bottom"/>
          </w:tcPr>
          <w:p w14:paraId="35759420" w14:textId="77777777" w:rsidR="00D1587D" w:rsidRDefault="00D1587D">
            <w:pPr>
              <w:rPr>
                <w:sz w:val="1"/>
                <w:szCs w:val="1"/>
              </w:rPr>
            </w:pPr>
          </w:p>
        </w:tc>
      </w:tr>
      <w:tr w:rsidR="00D1587D" w14:paraId="555BBEEB" w14:textId="77777777">
        <w:trPr>
          <w:trHeight w:val="74"/>
        </w:trPr>
        <w:tc>
          <w:tcPr>
            <w:tcW w:w="220" w:type="dxa"/>
            <w:tcBorders>
              <w:top w:val="single" w:sz="8" w:space="0" w:color="0000EE"/>
            </w:tcBorders>
            <w:shd w:val="clear" w:color="auto" w:fill="CCEEFF"/>
            <w:vAlign w:val="bottom"/>
          </w:tcPr>
          <w:p w14:paraId="4358835E" w14:textId="77777777" w:rsidR="00D1587D" w:rsidRDefault="00D1587D">
            <w:pPr>
              <w:rPr>
                <w:sz w:val="6"/>
                <w:szCs w:val="6"/>
              </w:rPr>
            </w:pPr>
          </w:p>
        </w:tc>
        <w:tc>
          <w:tcPr>
            <w:tcW w:w="80" w:type="dxa"/>
            <w:tcBorders>
              <w:top w:val="single" w:sz="8" w:space="0" w:color="CCEEFF"/>
            </w:tcBorders>
            <w:shd w:val="clear" w:color="auto" w:fill="CCEEFF"/>
            <w:vAlign w:val="bottom"/>
          </w:tcPr>
          <w:p w14:paraId="35B48318" w14:textId="77777777" w:rsidR="00D1587D" w:rsidRDefault="00D1587D">
            <w:pPr>
              <w:rPr>
                <w:sz w:val="6"/>
                <w:szCs w:val="6"/>
              </w:rPr>
            </w:pPr>
          </w:p>
        </w:tc>
        <w:tc>
          <w:tcPr>
            <w:tcW w:w="100" w:type="dxa"/>
            <w:tcBorders>
              <w:top w:val="single" w:sz="8" w:space="0" w:color="CCEEFF"/>
            </w:tcBorders>
            <w:shd w:val="clear" w:color="auto" w:fill="CCEEFF"/>
            <w:vAlign w:val="bottom"/>
          </w:tcPr>
          <w:p w14:paraId="6915F04E" w14:textId="77777777" w:rsidR="00D1587D" w:rsidRDefault="00D1587D">
            <w:pPr>
              <w:rPr>
                <w:sz w:val="6"/>
                <w:szCs w:val="6"/>
              </w:rPr>
            </w:pPr>
          </w:p>
        </w:tc>
        <w:tc>
          <w:tcPr>
            <w:tcW w:w="340" w:type="dxa"/>
            <w:tcBorders>
              <w:top w:val="single" w:sz="8" w:space="0" w:color="CCEEFF"/>
            </w:tcBorders>
            <w:shd w:val="clear" w:color="auto" w:fill="CCEEFF"/>
            <w:vAlign w:val="bottom"/>
          </w:tcPr>
          <w:p w14:paraId="09B0D035" w14:textId="77777777" w:rsidR="00D1587D" w:rsidRDefault="00D1587D">
            <w:pPr>
              <w:rPr>
                <w:sz w:val="6"/>
                <w:szCs w:val="6"/>
              </w:rPr>
            </w:pPr>
          </w:p>
        </w:tc>
        <w:tc>
          <w:tcPr>
            <w:tcW w:w="80" w:type="dxa"/>
            <w:tcBorders>
              <w:top w:val="single" w:sz="8" w:space="0" w:color="CCEEFF"/>
            </w:tcBorders>
            <w:shd w:val="clear" w:color="auto" w:fill="CCEEFF"/>
            <w:vAlign w:val="bottom"/>
          </w:tcPr>
          <w:p w14:paraId="5F303BFF" w14:textId="77777777" w:rsidR="00D1587D" w:rsidRDefault="00D1587D">
            <w:pPr>
              <w:rPr>
                <w:sz w:val="6"/>
                <w:szCs w:val="6"/>
              </w:rPr>
            </w:pPr>
          </w:p>
        </w:tc>
        <w:tc>
          <w:tcPr>
            <w:tcW w:w="7600" w:type="dxa"/>
            <w:tcBorders>
              <w:top w:val="single" w:sz="8" w:space="0" w:color="CCEEFF"/>
            </w:tcBorders>
            <w:shd w:val="clear" w:color="auto" w:fill="CCEEFF"/>
            <w:vAlign w:val="bottom"/>
          </w:tcPr>
          <w:p w14:paraId="587A8F0F" w14:textId="77777777" w:rsidR="00D1587D" w:rsidRDefault="00D1587D">
            <w:pPr>
              <w:rPr>
                <w:sz w:val="6"/>
                <w:szCs w:val="6"/>
              </w:rPr>
            </w:pPr>
          </w:p>
        </w:tc>
        <w:tc>
          <w:tcPr>
            <w:tcW w:w="0" w:type="dxa"/>
            <w:vAlign w:val="bottom"/>
          </w:tcPr>
          <w:p w14:paraId="70CF2217" w14:textId="77777777" w:rsidR="00D1587D" w:rsidRDefault="00D1587D">
            <w:pPr>
              <w:rPr>
                <w:sz w:val="1"/>
                <w:szCs w:val="1"/>
              </w:rPr>
            </w:pPr>
          </w:p>
        </w:tc>
      </w:tr>
      <w:tr w:rsidR="00D1587D" w14:paraId="33B09FCA" w14:textId="77777777">
        <w:trPr>
          <w:trHeight w:val="230"/>
        </w:trPr>
        <w:tc>
          <w:tcPr>
            <w:tcW w:w="400" w:type="dxa"/>
            <w:gridSpan w:val="3"/>
            <w:vAlign w:val="bottom"/>
          </w:tcPr>
          <w:p w14:paraId="3BB8333C" w14:textId="77777777" w:rsidR="00D1587D" w:rsidRDefault="00410D07">
            <w:pPr>
              <w:rPr>
                <w:rFonts w:ascii="Arial" w:eastAsia="Arial" w:hAnsi="Arial" w:cs="Arial"/>
                <w:color w:val="0000EE"/>
                <w:sz w:val="18"/>
                <w:szCs w:val="18"/>
              </w:rPr>
            </w:pPr>
            <w:hyperlink w:anchor="page87">
              <w:r>
                <w:rPr>
                  <w:rFonts w:ascii="Arial" w:eastAsia="Arial" w:hAnsi="Arial" w:cs="Arial"/>
                  <w:color w:val="0000EE"/>
                  <w:sz w:val="18"/>
                  <w:szCs w:val="18"/>
                </w:rPr>
                <w:t>10.</w:t>
              </w:r>
              <w:r>
                <w:rPr>
                  <w:rFonts w:ascii="Arial" w:eastAsia="Arial" w:hAnsi="Arial" w:cs="Arial"/>
                  <w:color w:val="0000EE"/>
                  <w:sz w:val="18"/>
                  <w:szCs w:val="18"/>
                  <w:u w:val="single"/>
                </w:rPr>
                <w:t>1</w:t>
              </w:r>
            </w:hyperlink>
          </w:p>
        </w:tc>
        <w:tc>
          <w:tcPr>
            <w:tcW w:w="340" w:type="dxa"/>
            <w:vAlign w:val="bottom"/>
          </w:tcPr>
          <w:p w14:paraId="249253EC" w14:textId="77777777" w:rsidR="00D1587D" w:rsidRDefault="00D1587D">
            <w:pPr>
              <w:rPr>
                <w:sz w:val="19"/>
                <w:szCs w:val="19"/>
              </w:rPr>
            </w:pPr>
          </w:p>
        </w:tc>
        <w:tc>
          <w:tcPr>
            <w:tcW w:w="7680" w:type="dxa"/>
            <w:gridSpan w:val="2"/>
            <w:vAlign w:val="bottom"/>
          </w:tcPr>
          <w:p w14:paraId="1CAA5762" w14:textId="77777777" w:rsidR="00D1587D" w:rsidRDefault="00410D07">
            <w:pPr>
              <w:ind w:left="80"/>
              <w:rPr>
                <w:sz w:val="20"/>
                <w:szCs w:val="20"/>
              </w:rPr>
            </w:pPr>
            <w:r>
              <w:rPr>
                <w:rFonts w:ascii="Arial" w:eastAsia="Arial" w:hAnsi="Arial" w:cs="Arial"/>
                <w:w w:val="92"/>
                <w:sz w:val="18"/>
                <w:szCs w:val="18"/>
              </w:rPr>
              <w:t xml:space="preserve">Form of L Brands to VS Transition Services Agreement </w:t>
            </w:r>
            <w:r>
              <w:rPr>
                <w:rFonts w:ascii="Arial" w:eastAsia="Arial" w:hAnsi="Arial" w:cs="Arial"/>
                <w:w w:val="92"/>
                <w:sz w:val="18"/>
                <w:szCs w:val="18"/>
              </w:rPr>
              <w:t>between L Brands, Inc. and Victoria’s Secret &amp;</w:t>
            </w:r>
          </w:p>
        </w:tc>
        <w:tc>
          <w:tcPr>
            <w:tcW w:w="0" w:type="dxa"/>
            <w:vAlign w:val="bottom"/>
          </w:tcPr>
          <w:p w14:paraId="4DE70B7D" w14:textId="77777777" w:rsidR="00D1587D" w:rsidRDefault="00D1587D">
            <w:pPr>
              <w:rPr>
                <w:sz w:val="1"/>
                <w:szCs w:val="1"/>
              </w:rPr>
            </w:pPr>
          </w:p>
        </w:tc>
      </w:tr>
      <w:tr w:rsidR="00D1587D" w14:paraId="11792743" w14:textId="77777777">
        <w:trPr>
          <w:trHeight w:val="237"/>
        </w:trPr>
        <w:tc>
          <w:tcPr>
            <w:tcW w:w="220" w:type="dxa"/>
            <w:tcBorders>
              <w:top w:val="single" w:sz="8" w:space="0" w:color="0000EE"/>
            </w:tcBorders>
            <w:vAlign w:val="bottom"/>
          </w:tcPr>
          <w:p w14:paraId="19EED902" w14:textId="77777777" w:rsidR="00D1587D" w:rsidRDefault="00D1587D">
            <w:pPr>
              <w:rPr>
                <w:sz w:val="20"/>
                <w:szCs w:val="20"/>
              </w:rPr>
            </w:pPr>
          </w:p>
        </w:tc>
        <w:tc>
          <w:tcPr>
            <w:tcW w:w="80" w:type="dxa"/>
            <w:tcBorders>
              <w:top w:val="single" w:sz="8" w:space="0" w:color="0000EE"/>
            </w:tcBorders>
            <w:vAlign w:val="bottom"/>
          </w:tcPr>
          <w:p w14:paraId="7B07E648" w14:textId="77777777" w:rsidR="00D1587D" w:rsidRDefault="00D1587D">
            <w:pPr>
              <w:rPr>
                <w:sz w:val="20"/>
                <w:szCs w:val="20"/>
              </w:rPr>
            </w:pPr>
          </w:p>
        </w:tc>
        <w:tc>
          <w:tcPr>
            <w:tcW w:w="100" w:type="dxa"/>
            <w:vAlign w:val="bottom"/>
          </w:tcPr>
          <w:p w14:paraId="791A6013" w14:textId="77777777" w:rsidR="00D1587D" w:rsidRDefault="00D1587D">
            <w:pPr>
              <w:rPr>
                <w:sz w:val="20"/>
                <w:szCs w:val="20"/>
              </w:rPr>
            </w:pPr>
          </w:p>
        </w:tc>
        <w:tc>
          <w:tcPr>
            <w:tcW w:w="340" w:type="dxa"/>
            <w:vAlign w:val="bottom"/>
          </w:tcPr>
          <w:p w14:paraId="03E4A5ED" w14:textId="77777777" w:rsidR="00D1587D" w:rsidRDefault="00D1587D">
            <w:pPr>
              <w:rPr>
                <w:sz w:val="20"/>
                <w:szCs w:val="20"/>
              </w:rPr>
            </w:pPr>
          </w:p>
        </w:tc>
        <w:tc>
          <w:tcPr>
            <w:tcW w:w="7680" w:type="dxa"/>
            <w:gridSpan w:val="2"/>
            <w:vAlign w:val="bottom"/>
          </w:tcPr>
          <w:p w14:paraId="75BE33A9" w14:textId="77777777" w:rsidR="00D1587D" w:rsidRDefault="00410D07">
            <w:pPr>
              <w:ind w:left="80"/>
              <w:rPr>
                <w:sz w:val="20"/>
                <w:szCs w:val="20"/>
              </w:rPr>
            </w:pPr>
            <w:r>
              <w:rPr>
                <w:rFonts w:ascii="Arial" w:eastAsia="Arial" w:hAnsi="Arial" w:cs="Arial"/>
                <w:sz w:val="18"/>
                <w:szCs w:val="18"/>
              </w:rPr>
              <w:t>Co.</w:t>
            </w:r>
          </w:p>
        </w:tc>
        <w:tc>
          <w:tcPr>
            <w:tcW w:w="0" w:type="dxa"/>
            <w:vAlign w:val="bottom"/>
          </w:tcPr>
          <w:p w14:paraId="1CD0CDF0" w14:textId="77777777" w:rsidR="00D1587D" w:rsidRDefault="00D1587D">
            <w:pPr>
              <w:rPr>
                <w:sz w:val="1"/>
                <w:szCs w:val="1"/>
              </w:rPr>
            </w:pPr>
          </w:p>
        </w:tc>
      </w:tr>
      <w:tr w:rsidR="00D1587D" w14:paraId="773CFB8A" w14:textId="77777777">
        <w:trPr>
          <w:trHeight w:val="54"/>
        </w:trPr>
        <w:tc>
          <w:tcPr>
            <w:tcW w:w="220" w:type="dxa"/>
            <w:vAlign w:val="bottom"/>
          </w:tcPr>
          <w:p w14:paraId="6FE3FC38" w14:textId="77777777" w:rsidR="00D1587D" w:rsidRDefault="00D1587D">
            <w:pPr>
              <w:rPr>
                <w:sz w:val="4"/>
                <w:szCs w:val="4"/>
              </w:rPr>
            </w:pPr>
          </w:p>
        </w:tc>
        <w:tc>
          <w:tcPr>
            <w:tcW w:w="80" w:type="dxa"/>
            <w:vAlign w:val="bottom"/>
          </w:tcPr>
          <w:p w14:paraId="184FEA1B" w14:textId="77777777" w:rsidR="00D1587D" w:rsidRDefault="00D1587D">
            <w:pPr>
              <w:rPr>
                <w:sz w:val="4"/>
                <w:szCs w:val="4"/>
              </w:rPr>
            </w:pPr>
          </w:p>
        </w:tc>
        <w:tc>
          <w:tcPr>
            <w:tcW w:w="100" w:type="dxa"/>
            <w:vAlign w:val="bottom"/>
          </w:tcPr>
          <w:p w14:paraId="4CD4C7BA" w14:textId="77777777" w:rsidR="00D1587D" w:rsidRDefault="00D1587D">
            <w:pPr>
              <w:rPr>
                <w:sz w:val="4"/>
                <w:szCs w:val="4"/>
              </w:rPr>
            </w:pPr>
          </w:p>
        </w:tc>
        <w:tc>
          <w:tcPr>
            <w:tcW w:w="340" w:type="dxa"/>
            <w:vAlign w:val="bottom"/>
          </w:tcPr>
          <w:p w14:paraId="19FF1412" w14:textId="77777777" w:rsidR="00D1587D" w:rsidRDefault="00D1587D">
            <w:pPr>
              <w:rPr>
                <w:sz w:val="4"/>
                <w:szCs w:val="4"/>
              </w:rPr>
            </w:pPr>
          </w:p>
        </w:tc>
        <w:tc>
          <w:tcPr>
            <w:tcW w:w="80" w:type="dxa"/>
            <w:vAlign w:val="bottom"/>
          </w:tcPr>
          <w:p w14:paraId="69B1C6C9" w14:textId="77777777" w:rsidR="00D1587D" w:rsidRDefault="00D1587D">
            <w:pPr>
              <w:rPr>
                <w:sz w:val="4"/>
                <w:szCs w:val="4"/>
              </w:rPr>
            </w:pPr>
          </w:p>
        </w:tc>
        <w:tc>
          <w:tcPr>
            <w:tcW w:w="7600" w:type="dxa"/>
            <w:vAlign w:val="bottom"/>
          </w:tcPr>
          <w:p w14:paraId="6423FB76" w14:textId="77777777" w:rsidR="00D1587D" w:rsidRDefault="00D1587D">
            <w:pPr>
              <w:rPr>
                <w:sz w:val="4"/>
                <w:szCs w:val="4"/>
              </w:rPr>
            </w:pPr>
          </w:p>
        </w:tc>
        <w:tc>
          <w:tcPr>
            <w:tcW w:w="0" w:type="dxa"/>
            <w:vAlign w:val="bottom"/>
          </w:tcPr>
          <w:p w14:paraId="5372D407" w14:textId="77777777" w:rsidR="00D1587D" w:rsidRDefault="00D1587D">
            <w:pPr>
              <w:rPr>
                <w:sz w:val="1"/>
                <w:szCs w:val="1"/>
              </w:rPr>
            </w:pPr>
          </w:p>
        </w:tc>
      </w:tr>
      <w:tr w:rsidR="00D1587D" w14:paraId="62897D8C" w14:textId="77777777">
        <w:trPr>
          <w:trHeight w:val="230"/>
        </w:trPr>
        <w:tc>
          <w:tcPr>
            <w:tcW w:w="400" w:type="dxa"/>
            <w:gridSpan w:val="3"/>
            <w:shd w:val="clear" w:color="auto" w:fill="CCEEFF"/>
            <w:vAlign w:val="bottom"/>
          </w:tcPr>
          <w:p w14:paraId="798AC5A8" w14:textId="77777777" w:rsidR="00D1587D" w:rsidRDefault="00410D07">
            <w:pPr>
              <w:rPr>
                <w:rFonts w:ascii="Arial" w:eastAsia="Arial" w:hAnsi="Arial" w:cs="Arial"/>
                <w:color w:val="0000EE"/>
                <w:sz w:val="18"/>
                <w:szCs w:val="18"/>
              </w:rPr>
            </w:pPr>
            <w:hyperlink w:anchor="page112">
              <w:r>
                <w:rPr>
                  <w:rFonts w:ascii="Arial" w:eastAsia="Arial" w:hAnsi="Arial" w:cs="Arial"/>
                  <w:color w:val="0000EE"/>
                  <w:sz w:val="18"/>
                  <w:szCs w:val="18"/>
                </w:rPr>
                <w:t>10.</w:t>
              </w:r>
              <w:r>
                <w:rPr>
                  <w:rFonts w:ascii="Arial" w:eastAsia="Arial" w:hAnsi="Arial" w:cs="Arial"/>
                  <w:color w:val="0000EE"/>
                  <w:sz w:val="18"/>
                  <w:szCs w:val="18"/>
                  <w:u w:val="single"/>
                </w:rPr>
                <w:t>2</w:t>
              </w:r>
            </w:hyperlink>
          </w:p>
        </w:tc>
        <w:tc>
          <w:tcPr>
            <w:tcW w:w="340" w:type="dxa"/>
            <w:shd w:val="clear" w:color="auto" w:fill="CCEEFF"/>
            <w:vAlign w:val="bottom"/>
          </w:tcPr>
          <w:p w14:paraId="5BCDA6DB" w14:textId="77777777" w:rsidR="00D1587D" w:rsidRDefault="00D1587D">
            <w:pPr>
              <w:rPr>
                <w:sz w:val="19"/>
                <w:szCs w:val="19"/>
              </w:rPr>
            </w:pPr>
          </w:p>
        </w:tc>
        <w:tc>
          <w:tcPr>
            <w:tcW w:w="7680" w:type="dxa"/>
            <w:gridSpan w:val="2"/>
            <w:shd w:val="clear" w:color="auto" w:fill="CCEEFF"/>
            <w:vAlign w:val="bottom"/>
          </w:tcPr>
          <w:p w14:paraId="7B86FDE4" w14:textId="77777777" w:rsidR="00D1587D" w:rsidRDefault="00410D07">
            <w:pPr>
              <w:ind w:left="80"/>
              <w:rPr>
                <w:sz w:val="20"/>
                <w:szCs w:val="20"/>
              </w:rPr>
            </w:pPr>
            <w:r>
              <w:rPr>
                <w:rFonts w:ascii="Arial" w:eastAsia="Arial" w:hAnsi="Arial" w:cs="Arial"/>
                <w:w w:val="92"/>
                <w:sz w:val="18"/>
                <w:szCs w:val="18"/>
              </w:rPr>
              <w:t>Form of VS to L Brands Transition Services Agreement between L Brands, Inc. and Victoria’s Secret &amp;</w:t>
            </w:r>
          </w:p>
        </w:tc>
        <w:tc>
          <w:tcPr>
            <w:tcW w:w="0" w:type="dxa"/>
            <w:vAlign w:val="bottom"/>
          </w:tcPr>
          <w:p w14:paraId="04C707F9" w14:textId="77777777" w:rsidR="00D1587D" w:rsidRDefault="00D1587D">
            <w:pPr>
              <w:rPr>
                <w:sz w:val="1"/>
                <w:szCs w:val="1"/>
              </w:rPr>
            </w:pPr>
          </w:p>
        </w:tc>
      </w:tr>
      <w:tr w:rsidR="00D1587D" w14:paraId="1A9FF1DB" w14:textId="77777777">
        <w:trPr>
          <w:trHeight w:val="270"/>
        </w:trPr>
        <w:tc>
          <w:tcPr>
            <w:tcW w:w="220" w:type="dxa"/>
            <w:tcBorders>
              <w:top w:val="single" w:sz="8" w:space="0" w:color="0000EE"/>
              <w:bottom w:val="single" w:sz="8" w:space="0" w:color="CCEEFF"/>
            </w:tcBorders>
            <w:shd w:val="clear" w:color="auto" w:fill="CCEEFF"/>
            <w:vAlign w:val="bottom"/>
          </w:tcPr>
          <w:p w14:paraId="4FA25680" w14:textId="77777777" w:rsidR="00D1587D" w:rsidRDefault="00D1587D">
            <w:pPr>
              <w:rPr>
                <w:sz w:val="23"/>
                <w:szCs w:val="23"/>
              </w:rPr>
            </w:pPr>
          </w:p>
        </w:tc>
        <w:tc>
          <w:tcPr>
            <w:tcW w:w="80" w:type="dxa"/>
            <w:tcBorders>
              <w:top w:val="single" w:sz="8" w:space="0" w:color="0000EE"/>
              <w:bottom w:val="single" w:sz="8" w:space="0" w:color="CCEEFF"/>
            </w:tcBorders>
            <w:shd w:val="clear" w:color="auto" w:fill="CCEEFF"/>
            <w:vAlign w:val="bottom"/>
          </w:tcPr>
          <w:p w14:paraId="21DD42E5" w14:textId="77777777" w:rsidR="00D1587D" w:rsidRDefault="00D1587D">
            <w:pPr>
              <w:rPr>
                <w:sz w:val="23"/>
                <w:szCs w:val="23"/>
              </w:rPr>
            </w:pPr>
          </w:p>
        </w:tc>
        <w:tc>
          <w:tcPr>
            <w:tcW w:w="100" w:type="dxa"/>
            <w:tcBorders>
              <w:top w:val="single" w:sz="8" w:space="0" w:color="CCEEFF"/>
              <w:bottom w:val="single" w:sz="8" w:space="0" w:color="CCEEFF"/>
            </w:tcBorders>
            <w:shd w:val="clear" w:color="auto" w:fill="CCEEFF"/>
            <w:vAlign w:val="bottom"/>
          </w:tcPr>
          <w:p w14:paraId="405C0F3A" w14:textId="77777777" w:rsidR="00D1587D" w:rsidRDefault="00D1587D">
            <w:pPr>
              <w:rPr>
                <w:sz w:val="23"/>
                <w:szCs w:val="23"/>
              </w:rPr>
            </w:pPr>
          </w:p>
        </w:tc>
        <w:tc>
          <w:tcPr>
            <w:tcW w:w="340" w:type="dxa"/>
            <w:tcBorders>
              <w:top w:val="single" w:sz="8" w:space="0" w:color="CCEEFF"/>
              <w:bottom w:val="single" w:sz="8" w:space="0" w:color="CCEEFF"/>
            </w:tcBorders>
            <w:shd w:val="clear" w:color="auto" w:fill="CCEEFF"/>
            <w:vAlign w:val="bottom"/>
          </w:tcPr>
          <w:p w14:paraId="26C0FB37" w14:textId="77777777" w:rsidR="00D1587D" w:rsidRDefault="00D1587D">
            <w:pPr>
              <w:rPr>
                <w:sz w:val="23"/>
                <w:szCs w:val="23"/>
              </w:rPr>
            </w:pPr>
          </w:p>
        </w:tc>
        <w:tc>
          <w:tcPr>
            <w:tcW w:w="7680" w:type="dxa"/>
            <w:gridSpan w:val="2"/>
            <w:tcBorders>
              <w:top w:val="single" w:sz="8" w:space="0" w:color="CCEEFF"/>
              <w:bottom w:val="single" w:sz="8" w:space="0" w:color="CCEEFF"/>
            </w:tcBorders>
            <w:shd w:val="clear" w:color="auto" w:fill="CCEEFF"/>
            <w:vAlign w:val="bottom"/>
          </w:tcPr>
          <w:p w14:paraId="547229F9" w14:textId="77777777" w:rsidR="00D1587D" w:rsidRDefault="00410D07">
            <w:pPr>
              <w:ind w:left="80"/>
              <w:rPr>
                <w:sz w:val="20"/>
                <w:szCs w:val="20"/>
              </w:rPr>
            </w:pPr>
            <w:r>
              <w:rPr>
                <w:rFonts w:ascii="Arial" w:eastAsia="Arial" w:hAnsi="Arial" w:cs="Arial"/>
                <w:sz w:val="18"/>
                <w:szCs w:val="18"/>
              </w:rPr>
              <w:t>Co.</w:t>
            </w:r>
          </w:p>
        </w:tc>
        <w:tc>
          <w:tcPr>
            <w:tcW w:w="0" w:type="dxa"/>
            <w:vAlign w:val="bottom"/>
          </w:tcPr>
          <w:p w14:paraId="3AC109C1" w14:textId="77777777" w:rsidR="00D1587D" w:rsidRDefault="00D1587D">
            <w:pPr>
              <w:rPr>
                <w:sz w:val="1"/>
                <w:szCs w:val="1"/>
              </w:rPr>
            </w:pPr>
          </w:p>
        </w:tc>
      </w:tr>
      <w:tr w:rsidR="00D1587D" w14:paraId="3397BB3D" w14:textId="77777777">
        <w:trPr>
          <w:trHeight w:val="230"/>
        </w:trPr>
        <w:tc>
          <w:tcPr>
            <w:tcW w:w="400" w:type="dxa"/>
            <w:gridSpan w:val="3"/>
            <w:vAlign w:val="bottom"/>
          </w:tcPr>
          <w:p w14:paraId="050E0FA4" w14:textId="77777777" w:rsidR="00D1587D" w:rsidRDefault="00410D07">
            <w:pPr>
              <w:rPr>
                <w:rFonts w:ascii="Arial" w:eastAsia="Arial" w:hAnsi="Arial" w:cs="Arial"/>
                <w:color w:val="0000EE"/>
                <w:sz w:val="18"/>
                <w:szCs w:val="18"/>
              </w:rPr>
            </w:pPr>
            <w:hyperlink w:anchor="page138">
              <w:r>
                <w:rPr>
                  <w:rFonts w:ascii="Arial" w:eastAsia="Arial" w:hAnsi="Arial" w:cs="Arial"/>
                  <w:color w:val="0000EE"/>
                  <w:sz w:val="18"/>
                  <w:szCs w:val="18"/>
                </w:rPr>
                <w:t>10.</w:t>
              </w:r>
              <w:r>
                <w:rPr>
                  <w:rFonts w:ascii="Arial" w:eastAsia="Arial" w:hAnsi="Arial" w:cs="Arial"/>
                  <w:color w:val="0000EE"/>
                  <w:sz w:val="18"/>
                  <w:szCs w:val="18"/>
                  <w:u w:val="single"/>
                </w:rPr>
                <w:t>3</w:t>
              </w:r>
            </w:hyperlink>
          </w:p>
        </w:tc>
        <w:tc>
          <w:tcPr>
            <w:tcW w:w="340" w:type="dxa"/>
            <w:vAlign w:val="bottom"/>
          </w:tcPr>
          <w:p w14:paraId="077AB915" w14:textId="77777777" w:rsidR="00D1587D" w:rsidRDefault="00D1587D">
            <w:pPr>
              <w:rPr>
                <w:sz w:val="19"/>
                <w:szCs w:val="19"/>
              </w:rPr>
            </w:pPr>
          </w:p>
        </w:tc>
        <w:tc>
          <w:tcPr>
            <w:tcW w:w="7680" w:type="dxa"/>
            <w:gridSpan w:val="2"/>
            <w:vAlign w:val="bottom"/>
          </w:tcPr>
          <w:p w14:paraId="0A1B1E71" w14:textId="77777777" w:rsidR="00D1587D" w:rsidRDefault="00410D07">
            <w:pPr>
              <w:ind w:left="80"/>
              <w:rPr>
                <w:sz w:val="20"/>
                <w:szCs w:val="20"/>
              </w:rPr>
            </w:pPr>
            <w:r>
              <w:rPr>
                <w:rFonts w:ascii="Arial" w:eastAsia="Arial" w:hAnsi="Arial" w:cs="Arial"/>
                <w:sz w:val="18"/>
                <w:szCs w:val="18"/>
              </w:rPr>
              <w:t>Form of Tax Matters Agreement between L Brands, Inc. and Victoria’s Secret &amp; Co.</w:t>
            </w:r>
          </w:p>
        </w:tc>
        <w:tc>
          <w:tcPr>
            <w:tcW w:w="0" w:type="dxa"/>
            <w:vAlign w:val="bottom"/>
          </w:tcPr>
          <w:p w14:paraId="4D6B9749" w14:textId="77777777" w:rsidR="00D1587D" w:rsidRDefault="00D1587D">
            <w:pPr>
              <w:rPr>
                <w:sz w:val="1"/>
                <w:szCs w:val="1"/>
              </w:rPr>
            </w:pPr>
          </w:p>
        </w:tc>
      </w:tr>
      <w:tr w:rsidR="00D1587D" w14:paraId="3EE18040" w14:textId="77777777">
        <w:trPr>
          <w:trHeight w:val="74"/>
        </w:trPr>
        <w:tc>
          <w:tcPr>
            <w:tcW w:w="220" w:type="dxa"/>
            <w:tcBorders>
              <w:top w:val="single" w:sz="8" w:space="0" w:color="0000EE"/>
            </w:tcBorders>
            <w:vAlign w:val="bottom"/>
          </w:tcPr>
          <w:p w14:paraId="5EF6E654" w14:textId="77777777" w:rsidR="00D1587D" w:rsidRDefault="00D1587D">
            <w:pPr>
              <w:rPr>
                <w:sz w:val="6"/>
                <w:szCs w:val="6"/>
              </w:rPr>
            </w:pPr>
          </w:p>
        </w:tc>
        <w:tc>
          <w:tcPr>
            <w:tcW w:w="80" w:type="dxa"/>
            <w:tcBorders>
              <w:top w:val="single" w:sz="8" w:space="0" w:color="0000EE"/>
            </w:tcBorders>
            <w:vAlign w:val="bottom"/>
          </w:tcPr>
          <w:p w14:paraId="40EF162F" w14:textId="77777777" w:rsidR="00D1587D" w:rsidRDefault="00D1587D">
            <w:pPr>
              <w:rPr>
                <w:sz w:val="6"/>
                <w:szCs w:val="6"/>
              </w:rPr>
            </w:pPr>
          </w:p>
        </w:tc>
        <w:tc>
          <w:tcPr>
            <w:tcW w:w="100" w:type="dxa"/>
            <w:vAlign w:val="bottom"/>
          </w:tcPr>
          <w:p w14:paraId="2F32D19B" w14:textId="77777777" w:rsidR="00D1587D" w:rsidRDefault="00D1587D">
            <w:pPr>
              <w:rPr>
                <w:sz w:val="6"/>
                <w:szCs w:val="6"/>
              </w:rPr>
            </w:pPr>
          </w:p>
        </w:tc>
        <w:tc>
          <w:tcPr>
            <w:tcW w:w="340" w:type="dxa"/>
            <w:vAlign w:val="bottom"/>
          </w:tcPr>
          <w:p w14:paraId="4B9FFA8E" w14:textId="77777777" w:rsidR="00D1587D" w:rsidRDefault="00D1587D">
            <w:pPr>
              <w:rPr>
                <w:sz w:val="6"/>
                <w:szCs w:val="6"/>
              </w:rPr>
            </w:pPr>
          </w:p>
        </w:tc>
        <w:tc>
          <w:tcPr>
            <w:tcW w:w="80" w:type="dxa"/>
            <w:vAlign w:val="bottom"/>
          </w:tcPr>
          <w:p w14:paraId="535BEBDB" w14:textId="77777777" w:rsidR="00D1587D" w:rsidRDefault="00D1587D">
            <w:pPr>
              <w:rPr>
                <w:sz w:val="6"/>
                <w:szCs w:val="6"/>
              </w:rPr>
            </w:pPr>
          </w:p>
        </w:tc>
        <w:tc>
          <w:tcPr>
            <w:tcW w:w="7600" w:type="dxa"/>
            <w:vAlign w:val="bottom"/>
          </w:tcPr>
          <w:p w14:paraId="08741B56" w14:textId="77777777" w:rsidR="00D1587D" w:rsidRDefault="00D1587D">
            <w:pPr>
              <w:rPr>
                <w:sz w:val="6"/>
                <w:szCs w:val="6"/>
              </w:rPr>
            </w:pPr>
          </w:p>
        </w:tc>
        <w:tc>
          <w:tcPr>
            <w:tcW w:w="0" w:type="dxa"/>
            <w:vAlign w:val="bottom"/>
          </w:tcPr>
          <w:p w14:paraId="69495F7F" w14:textId="77777777" w:rsidR="00D1587D" w:rsidRDefault="00D1587D">
            <w:pPr>
              <w:rPr>
                <w:sz w:val="1"/>
                <w:szCs w:val="1"/>
              </w:rPr>
            </w:pPr>
          </w:p>
        </w:tc>
      </w:tr>
      <w:tr w:rsidR="00D1587D" w14:paraId="15C7944A" w14:textId="77777777">
        <w:trPr>
          <w:trHeight w:val="229"/>
        </w:trPr>
        <w:tc>
          <w:tcPr>
            <w:tcW w:w="400" w:type="dxa"/>
            <w:gridSpan w:val="3"/>
            <w:shd w:val="clear" w:color="auto" w:fill="CCEEFF"/>
            <w:vAlign w:val="bottom"/>
          </w:tcPr>
          <w:p w14:paraId="6C01ED6A" w14:textId="77777777" w:rsidR="00D1587D" w:rsidRDefault="00410D07">
            <w:pPr>
              <w:rPr>
                <w:rFonts w:ascii="Arial" w:eastAsia="Arial" w:hAnsi="Arial" w:cs="Arial"/>
                <w:color w:val="0000EE"/>
                <w:sz w:val="18"/>
                <w:szCs w:val="18"/>
              </w:rPr>
            </w:pPr>
            <w:hyperlink w:anchor="page169">
              <w:r>
                <w:rPr>
                  <w:rFonts w:ascii="Arial" w:eastAsia="Arial" w:hAnsi="Arial" w:cs="Arial"/>
                  <w:color w:val="0000EE"/>
                  <w:sz w:val="18"/>
                  <w:szCs w:val="18"/>
                </w:rPr>
                <w:t>10.</w:t>
              </w:r>
              <w:r>
                <w:rPr>
                  <w:rFonts w:ascii="Arial" w:eastAsia="Arial" w:hAnsi="Arial" w:cs="Arial"/>
                  <w:color w:val="0000EE"/>
                  <w:sz w:val="18"/>
                  <w:szCs w:val="18"/>
                  <w:u w:val="single"/>
                </w:rPr>
                <w:t>4</w:t>
              </w:r>
            </w:hyperlink>
          </w:p>
        </w:tc>
        <w:tc>
          <w:tcPr>
            <w:tcW w:w="340" w:type="dxa"/>
            <w:shd w:val="clear" w:color="auto" w:fill="CCEEFF"/>
            <w:vAlign w:val="bottom"/>
          </w:tcPr>
          <w:p w14:paraId="20FDF75E" w14:textId="77777777" w:rsidR="00D1587D" w:rsidRDefault="00D1587D">
            <w:pPr>
              <w:rPr>
                <w:sz w:val="19"/>
                <w:szCs w:val="19"/>
              </w:rPr>
            </w:pPr>
          </w:p>
        </w:tc>
        <w:tc>
          <w:tcPr>
            <w:tcW w:w="7680" w:type="dxa"/>
            <w:gridSpan w:val="2"/>
            <w:shd w:val="clear" w:color="auto" w:fill="CCEEFF"/>
            <w:vAlign w:val="bottom"/>
          </w:tcPr>
          <w:p w14:paraId="4A078E5D" w14:textId="77777777" w:rsidR="00D1587D" w:rsidRDefault="00410D07">
            <w:pPr>
              <w:ind w:left="80"/>
              <w:rPr>
                <w:sz w:val="20"/>
                <w:szCs w:val="20"/>
              </w:rPr>
            </w:pPr>
            <w:r>
              <w:rPr>
                <w:rFonts w:ascii="Arial" w:eastAsia="Arial" w:hAnsi="Arial" w:cs="Arial"/>
                <w:sz w:val="18"/>
                <w:szCs w:val="18"/>
              </w:rPr>
              <w:t>Form of Employee Matters Agreement between L Brands, Inc. and Victoria’s Secret &amp; Co.</w:t>
            </w:r>
          </w:p>
        </w:tc>
        <w:tc>
          <w:tcPr>
            <w:tcW w:w="0" w:type="dxa"/>
            <w:vAlign w:val="bottom"/>
          </w:tcPr>
          <w:p w14:paraId="1EED6EFD" w14:textId="77777777" w:rsidR="00D1587D" w:rsidRDefault="00D1587D">
            <w:pPr>
              <w:rPr>
                <w:sz w:val="1"/>
                <w:szCs w:val="1"/>
              </w:rPr>
            </w:pPr>
          </w:p>
        </w:tc>
      </w:tr>
      <w:tr w:rsidR="00D1587D" w14:paraId="66FC1376" w14:textId="77777777">
        <w:trPr>
          <w:trHeight w:val="75"/>
        </w:trPr>
        <w:tc>
          <w:tcPr>
            <w:tcW w:w="220" w:type="dxa"/>
            <w:tcBorders>
              <w:top w:val="single" w:sz="8" w:space="0" w:color="0000EE"/>
            </w:tcBorders>
            <w:shd w:val="clear" w:color="auto" w:fill="CCEEFF"/>
            <w:vAlign w:val="bottom"/>
          </w:tcPr>
          <w:p w14:paraId="24908D16" w14:textId="77777777" w:rsidR="00D1587D" w:rsidRDefault="00D1587D">
            <w:pPr>
              <w:rPr>
                <w:sz w:val="6"/>
                <w:szCs w:val="6"/>
              </w:rPr>
            </w:pPr>
          </w:p>
        </w:tc>
        <w:tc>
          <w:tcPr>
            <w:tcW w:w="80" w:type="dxa"/>
            <w:tcBorders>
              <w:top w:val="single" w:sz="8" w:space="0" w:color="0000EE"/>
            </w:tcBorders>
            <w:shd w:val="clear" w:color="auto" w:fill="CCEEFF"/>
            <w:vAlign w:val="bottom"/>
          </w:tcPr>
          <w:p w14:paraId="5881534B" w14:textId="77777777" w:rsidR="00D1587D" w:rsidRDefault="00D1587D">
            <w:pPr>
              <w:rPr>
                <w:sz w:val="6"/>
                <w:szCs w:val="6"/>
              </w:rPr>
            </w:pPr>
          </w:p>
        </w:tc>
        <w:tc>
          <w:tcPr>
            <w:tcW w:w="100" w:type="dxa"/>
            <w:tcBorders>
              <w:top w:val="single" w:sz="8" w:space="0" w:color="CCEEFF"/>
            </w:tcBorders>
            <w:shd w:val="clear" w:color="auto" w:fill="CCEEFF"/>
            <w:vAlign w:val="bottom"/>
          </w:tcPr>
          <w:p w14:paraId="746536F7" w14:textId="77777777" w:rsidR="00D1587D" w:rsidRDefault="00D1587D">
            <w:pPr>
              <w:rPr>
                <w:sz w:val="6"/>
                <w:szCs w:val="6"/>
              </w:rPr>
            </w:pPr>
          </w:p>
        </w:tc>
        <w:tc>
          <w:tcPr>
            <w:tcW w:w="340" w:type="dxa"/>
            <w:tcBorders>
              <w:top w:val="single" w:sz="8" w:space="0" w:color="CCEEFF"/>
            </w:tcBorders>
            <w:shd w:val="clear" w:color="auto" w:fill="CCEEFF"/>
            <w:vAlign w:val="bottom"/>
          </w:tcPr>
          <w:p w14:paraId="69FA8FF3" w14:textId="77777777" w:rsidR="00D1587D" w:rsidRDefault="00D1587D">
            <w:pPr>
              <w:rPr>
                <w:sz w:val="6"/>
                <w:szCs w:val="6"/>
              </w:rPr>
            </w:pPr>
          </w:p>
        </w:tc>
        <w:tc>
          <w:tcPr>
            <w:tcW w:w="80" w:type="dxa"/>
            <w:tcBorders>
              <w:top w:val="single" w:sz="8" w:space="0" w:color="CCEEFF"/>
            </w:tcBorders>
            <w:shd w:val="clear" w:color="auto" w:fill="CCEEFF"/>
            <w:vAlign w:val="bottom"/>
          </w:tcPr>
          <w:p w14:paraId="4C713E9C" w14:textId="77777777" w:rsidR="00D1587D" w:rsidRDefault="00D1587D">
            <w:pPr>
              <w:rPr>
                <w:sz w:val="6"/>
                <w:szCs w:val="6"/>
              </w:rPr>
            </w:pPr>
          </w:p>
        </w:tc>
        <w:tc>
          <w:tcPr>
            <w:tcW w:w="7600" w:type="dxa"/>
            <w:tcBorders>
              <w:top w:val="single" w:sz="8" w:space="0" w:color="CCEEFF"/>
            </w:tcBorders>
            <w:shd w:val="clear" w:color="auto" w:fill="CCEEFF"/>
            <w:vAlign w:val="bottom"/>
          </w:tcPr>
          <w:p w14:paraId="2F7BBEA4" w14:textId="77777777" w:rsidR="00D1587D" w:rsidRDefault="00D1587D">
            <w:pPr>
              <w:rPr>
                <w:sz w:val="6"/>
                <w:szCs w:val="6"/>
              </w:rPr>
            </w:pPr>
          </w:p>
        </w:tc>
        <w:tc>
          <w:tcPr>
            <w:tcW w:w="0" w:type="dxa"/>
            <w:vAlign w:val="bottom"/>
          </w:tcPr>
          <w:p w14:paraId="394D567F" w14:textId="77777777" w:rsidR="00D1587D" w:rsidRDefault="00D1587D">
            <w:pPr>
              <w:rPr>
                <w:sz w:val="1"/>
                <w:szCs w:val="1"/>
              </w:rPr>
            </w:pPr>
          </w:p>
        </w:tc>
      </w:tr>
      <w:tr w:rsidR="00D1587D" w14:paraId="340455DB" w14:textId="77777777">
        <w:trPr>
          <w:trHeight w:val="229"/>
        </w:trPr>
        <w:tc>
          <w:tcPr>
            <w:tcW w:w="400" w:type="dxa"/>
            <w:gridSpan w:val="3"/>
            <w:vAlign w:val="bottom"/>
          </w:tcPr>
          <w:p w14:paraId="6F838116" w14:textId="77777777" w:rsidR="00D1587D" w:rsidRDefault="00410D07">
            <w:pPr>
              <w:rPr>
                <w:rFonts w:ascii="Arial" w:eastAsia="Arial" w:hAnsi="Arial" w:cs="Arial"/>
                <w:color w:val="0000EE"/>
                <w:sz w:val="18"/>
                <w:szCs w:val="18"/>
              </w:rPr>
            </w:pPr>
            <w:hyperlink w:anchor="page215">
              <w:r>
                <w:rPr>
                  <w:rFonts w:ascii="Arial" w:eastAsia="Arial" w:hAnsi="Arial" w:cs="Arial"/>
                  <w:color w:val="0000EE"/>
                  <w:sz w:val="18"/>
                  <w:szCs w:val="18"/>
                </w:rPr>
                <w:t>10.</w:t>
              </w:r>
              <w:r>
                <w:rPr>
                  <w:rFonts w:ascii="Arial" w:eastAsia="Arial" w:hAnsi="Arial" w:cs="Arial"/>
                  <w:color w:val="0000EE"/>
                  <w:sz w:val="18"/>
                  <w:szCs w:val="18"/>
                  <w:u w:val="single"/>
                </w:rPr>
                <w:t>5</w:t>
              </w:r>
            </w:hyperlink>
          </w:p>
        </w:tc>
        <w:tc>
          <w:tcPr>
            <w:tcW w:w="340" w:type="dxa"/>
            <w:vAlign w:val="bottom"/>
          </w:tcPr>
          <w:p w14:paraId="22FC266D" w14:textId="77777777" w:rsidR="00D1587D" w:rsidRDefault="00D1587D">
            <w:pPr>
              <w:rPr>
                <w:sz w:val="19"/>
                <w:szCs w:val="19"/>
              </w:rPr>
            </w:pPr>
          </w:p>
        </w:tc>
        <w:tc>
          <w:tcPr>
            <w:tcW w:w="7680" w:type="dxa"/>
            <w:gridSpan w:val="2"/>
            <w:vAlign w:val="bottom"/>
          </w:tcPr>
          <w:p w14:paraId="3E5AD9C5" w14:textId="77777777" w:rsidR="00D1587D" w:rsidRDefault="00410D07">
            <w:pPr>
              <w:ind w:left="80"/>
              <w:rPr>
                <w:sz w:val="20"/>
                <w:szCs w:val="20"/>
              </w:rPr>
            </w:pPr>
            <w:r>
              <w:rPr>
                <w:rFonts w:ascii="Arial" w:eastAsia="Arial" w:hAnsi="Arial" w:cs="Arial"/>
                <w:w w:val="97"/>
                <w:sz w:val="18"/>
                <w:szCs w:val="18"/>
              </w:rPr>
              <w:t>Form of Domestic Transportation Services Agreement between Mast Logistics Services, LLC and</w:t>
            </w:r>
          </w:p>
        </w:tc>
        <w:tc>
          <w:tcPr>
            <w:tcW w:w="0" w:type="dxa"/>
            <w:vAlign w:val="bottom"/>
          </w:tcPr>
          <w:p w14:paraId="3E6140EB" w14:textId="77777777" w:rsidR="00D1587D" w:rsidRDefault="00D1587D">
            <w:pPr>
              <w:rPr>
                <w:sz w:val="1"/>
                <w:szCs w:val="1"/>
              </w:rPr>
            </w:pPr>
          </w:p>
        </w:tc>
      </w:tr>
      <w:tr w:rsidR="00D1587D" w14:paraId="506CCBF5" w14:textId="77777777">
        <w:trPr>
          <w:trHeight w:val="237"/>
        </w:trPr>
        <w:tc>
          <w:tcPr>
            <w:tcW w:w="220" w:type="dxa"/>
            <w:tcBorders>
              <w:top w:val="single" w:sz="8" w:space="0" w:color="0000EE"/>
            </w:tcBorders>
            <w:vAlign w:val="bottom"/>
          </w:tcPr>
          <w:p w14:paraId="255E8E46" w14:textId="77777777" w:rsidR="00D1587D" w:rsidRDefault="00D1587D">
            <w:pPr>
              <w:rPr>
                <w:sz w:val="20"/>
                <w:szCs w:val="20"/>
              </w:rPr>
            </w:pPr>
          </w:p>
        </w:tc>
        <w:tc>
          <w:tcPr>
            <w:tcW w:w="80" w:type="dxa"/>
            <w:tcBorders>
              <w:top w:val="single" w:sz="8" w:space="0" w:color="0000EE"/>
            </w:tcBorders>
            <w:vAlign w:val="bottom"/>
          </w:tcPr>
          <w:p w14:paraId="3784D37F" w14:textId="77777777" w:rsidR="00D1587D" w:rsidRDefault="00D1587D">
            <w:pPr>
              <w:rPr>
                <w:sz w:val="20"/>
                <w:szCs w:val="20"/>
              </w:rPr>
            </w:pPr>
          </w:p>
        </w:tc>
        <w:tc>
          <w:tcPr>
            <w:tcW w:w="100" w:type="dxa"/>
            <w:vAlign w:val="bottom"/>
          </w:tcPr>
          <w:p w14:paraId="7DB26E39" w14:textId="77777777" w:rsidR="00D1587D" w:rsidRDefault="00D1587D">
            <w:pPr>
              <w:rPr>
                <w:sz w:val="20"/>
                <w:szCs w:val="20"/>
              </w:rPr>
            </w:pPr>
          </w:p>
        </w:tc>
        <w:tc>
          <w:tcPr>
            <w:tcW w:w="340" w:type="dxa"/>
            <w:vAlign w:val="bottom"/>
          </w:tcPr>
          <w:p w14:paraId="413B7EA9" w14:textId="77777777" w:rsidR="00D1587D" w:rsidRDefault="00D1587D">
            <w:pPr>
              <w:rPr>
                <w:sz w:val="20"/>
                <w:szCs w:val="20"/>
              </w:rPr>
            </w:pPr>
          </w:p>
        </w:tc>
        <w:tc>
          <w:tcPr>
            <w:tcW w:w="7680" w:type="dxa"/>
            <w:gridSpan w:val="2"/>
            <w:vAlign w:val="bottom"/>
          </w:tcPr>
          <w:p w14:paraId="22770046" w14:textId="77777777" w:rsidR="00D1587D" w:rsidRDefault="00410D07">
            <w:pPr>
              <w:ind w:left="80"/>
              <w:rPr>
                <w:sz w:val="20"/>
                <w:szCs w:val="20"/>
              </w:rPr>
            </w:pPr>
            <w:r>
              <w:rPr>
                <w:rFonts w:ascii="Arial" w:eastAsia="Arial" w:hAnsi="Arial" w:cs="Arial"/>
                <w:sz w:val="18"/>
                <w:szCs w:val="18"/>
              </w:rPr>
              <w:t>Victoria’s Secret &amp; Co.</w:t>
            </w:r>
          </w:p>
        </w:tc>
        <w:tc>
          <w:tcPr>
            <w:tcW w:w="0" w:type="dxa"/>
            <w:vAlign w:val="bottom"/>
          </w:tcPr>
          <w:p w14:paraId="4A523FF7" w14:textId="77777777" w:rsidR="00D1587D" w:rsidRDefault="00D1587D">
            <w:pPr>
              <w:rPr>
                <w:sz w:val="1"/>
                <w:szCs w:val="1"/>
              </w:rPr>
            </w:pPr>
          </w:p>
        </w:tc>
      </w:tr>
      <w:tr w:rsidR="00D1587D" w14:paraId="253BC46C" w14:textId="77777777">
        <w:trPr>
          <w:trHeight w:val="54"/>
        </w:trPr>
        <w:tc>
          <w:tcPr>
            <w:tcW w:w="220" w:type="dxa"/>
            <w:vAlign w:val="bottom"/>
          </w:tcPr>
          <w:p w14:paraId="78D95F0D" w14:textId="77777777" w:rsidR="00D1587D" w:rsidRDefault="00D1587D">
            <w:pPr>
              <w:rPr>
                <w:sz w:val="4"/>
                <w:szCs w:val="4"/>
              </w:rPr>
            </w:pPr>
          </w:p>
        </w:tc>
        <w:tc>
          <w:tcPr>
            <w:tcW w:w="80" w:type="dxa"/>
            <w:vAlign w:val="bottom"/>
          </w:tcPr>
          <w:p w14:paraId="462068E3" w14:textId="77777777" w:rsidR="00D1587D" w:rsidRDefault="00D1587D">
            <w:pPr>
              <w:rPr>
                <w:sz w:val="4"/>
                <w:szCs w:val="4"/>
              </w:rPr>
            </w:pPr>
          </w:p>
        </w:tc>
        <w:tc>
          <w:tcPr>
            <w:tcW w:w="100" w:type="dxa"/>
            <w:vAlign w:val="bottom"/>
          </w:tcPr>
          <w:p w14:paraId="6464AD58" w14:textId="77777777" w:rsidR="00D1587D" w:rsidRDefault="00D1587D">
            <w:pPr>
              <w:rPr>
                <w:sz w:val="4"/>
                <w:szCs w:val="4"/>
              </w:rPr>
            </w:pPr>
          </w:p>
        </w:tc>
        <w:tc>
          <w:tcPr>
            <w:tcW w:w="340" w:type="dxa"/>
            <w:vAlign w:val="bottom"/>
          </w:tcPr>
          <w:p w14:paraId="055B03DB" w14:textId="77777777" w:rsidR="00D1587D" w:rsidRDefault="00D1587D">
            <w:pPr>
              <w:rPr>
                <w:sz w:val="4"/>
                <w:szCs w:val="4"/>
              </w:rPr>
            </w:pPr>
          </w:p>
        </w:tc>
        <w:tc>
          <w:tcPr>
            <w:tcW w:w="80" w:type="dxa"/>
            <w:vAlign w:val="bottom"/>
          </w:tcPr>
          <w:p w14:paraId="0FAF97D7" w14:textId="77777777" w:rsidR="00D1587D" w:rsidRDefault="00D1587D">
            <w:pPr>
              <w:rPr>
                <w:sz w:val="4"/>
                <w:szCs w:val="4"/>
              </w:rPr>
            </w:pPr>
          </w:p>
        </w:tc>
        <w:tc>
          <w:tcPr>
            <w:tcW w:w="7600" w:type="dxa"/>
            <w:vAlign w:val="bottom"/>
          </w:tcPr>
          <w:p w14:paraId="5E60DE2F" w14:textId="77777777" w:rsidR="00D1587D" w:rsidRDefault="00D1587D">
            <w:pPr>
              <w:rPr>
                <w:sz w:val="4"/>
                <w:szCs w:val="4"/>
              </w:rPr>
            </w:pPr>
          </w:p>
        </w:tc>
        <w:tc>
          <w:tcPr>
            <w:tcW w:w="0" w:type="dxa"/>
            <w:vAlign w:val="bottom"/>
          </w:tcPr>
          <w:p w14:paraId="45388B10" w14:textId="77777777" w:rsidR="00D1587D" w:rsidRDefault="00D1587D">
            <w:pPr>
              <w:rPr>
                <w:sz w:val="1"/>
                <w:szCs w:val="1"/>
              </w:rPr>
            </w:pPr>
          </w:p>
        </w:tc>
      </w:tr>
      <w:tr w:rsidR="00D1587D" w14:paraId="7AAA059E" w14:textId="77777777">
        <w:trPr>
          <w:trHeight w:val="324"/>
        </w:trPr>
        <w:tc>
          <w:tcPr>
            <w:tcW w:w="400" w:type="dxa"/>
            <w:gridSpan w:val="3"/>
            <w:shd w:val="clear" w:color="auto" w:fill="CCEEFF"/>
            <w:vAlign w:val="bottom"/>
          </w:tcPr>
          <w:p w14:paraId="00EB3463" w14:textId="77777777" w:rsidR="00D1587D" w:rsidRDefault="00410D07">
            <w:pPr>
              <w:rPr>
                <w:sz w:val="20"/>
                <w:szCs w:val="20"/>
              </w:rPr>
            </w:pPr>
            <w:r>
              <w:rPr>
                <w:rFonts w:ascii="Arial" w:eastAsia="Arial" w:hAnsi="Arial" w:cs="Arial"/>
                <w:sz w:val="18"/>
                <w:szCs w:val="18"/>
              </w:rPr>
              <w:t>10.6</w:t>
            </w:r>
          </w:p>
        </w:tc>
        <w:tc>
          <w:tcPr>
            <w:tcW w:w="340" w:type="dxa"/>
            <w:shd w:val="clear" w:color="auto" w:fill="CCEEFF"/>
            <w:vAlign w:val="bottom"/>
          </w:tcPr>
          <w:p w14:paraId="5A456293" w14:textId="77777777" w:rsidR="00D1587D" w:rsidRDefault="00D1587D">
            <w:pPr>
              <w:rPr>
                <w:sz w:val="24"/>
                <w:szCs w:val="24"/>
              </w:rPr>
            </w:pPr>
          </w:p>
        </w:tc>
        <w:tc>
          <w:tcPr>
            <w:tcW w:w="7680" w:type="dxa"/>
            <w:gridSpan w:val="2"/>
            <w:shd w:val="clear" w:color="auto" w:fill="CCEEFF"/>
            <w:vAlign w:val="bottom"/>
          </w:tcPr>
          <w:p w14:paraId="32E38C7A" w14:textId="77777777" w:rsidR="00D1587D" w:rsidRDefault="00410D07">
            <w:pPr>
              <w:spacing w:line="324" w:lineRule="exact"/>
              <w:ind w:left="80"/>
              <w:rPr>
                <w:sz w:val="20"/>
                <w:szCs w:val="20"/>
              </w:rPr>
            </w:pPr>
            <w:r>
              <w:rPr>
                <w:rFonts w:ascii="Arial" w:eastAsia="Arial" w:hAnsi="Arial" w:cs="Arial"/>
                <w:sz w:val="18"/>
                <w:szCs w:val="18"/>
              </w:rPr>
              <w:t xml:space="preserve">Form of Victoria’s Secret &amp; Co. 2021 Stock Option and Performance </w:t>
            </w:r>
            <w:r>
              <w:rPr>
                <w:rFonts w:ascii="Arial" w:eastAsia="Arial" w:hAnsi="Arial" w:cs="Arial"/>
                <w:sz w:val="18"/>
                <w:szCs w:val="18"/>
              </w:rPr>
              <w:t>Incentive Plan</w:t>
            </w:r>
            <w:r>
              <w:rPr>
                <w:rFonts w:ascii="Arial" w:eastAsia="Arial" w:hAnsi="Arial" w:cs="Arial"/>
                <w:sz w:val="29"/>
                <w:szCs w:val="29"/>
                <w:vertAlign w:val="superscript"/>
              </w:rPr>
              <w:t>*</w:t>
            </w:r>
          </w:p>
        </w:tc>
        <w:tc>
          <w:tcPr>
            <w:tcW w:w="0" w:type="dxa"/>
            <w:vAlign w:val="bottom"/>
          </w:tcPr>
          <w:p w14:paraId="5E90F8EA" w14:textId="77777777" w:rsidR="00D1587D" w:rsidRDefault="00D1587D">
            <w:pPr>
              <w:rPr>
                <w:sz w:val="1"/>
                <w:szCs w:val="1"/>
              </w:rPr>
            </w:pPr>
          </w:p>
        </w:tc>
      </w:tr>
      <w:tr w:rsidR="00D1587D" w14:paraId="496FAF62" w14:textId="77777777">
        <w:trPr>
          <w:trHeight w:val="246"/>
        </w:trPr>
        <w:tc>
          <w:tcPr>
            <w:tcW w:w="400" w:type="dxa"/>
            <w:gridSpan w:val="3"/>
            <w:vAlign w:val="bottom"/>
          </w:tcPr>
          <w:p w14:paraId="67A66BB7" w14:textId="77777777" w:rsidR="00D1587D" w:rsidRDefault="00410D07">
            <w:pPr>
              <w:rPr>
                <w:sz w:val="20"/>
                <w:szCs w:val="20"/>
              </w:rPr>
            </w:pPr>
            <w:r>
              <w:rPr>
                <w:rFonts w:ascii="Arial" w:eastAsia="Arial" w:hAnsi="Arial" w:cs="Arial"/>
                <w:sz w:val="18"/>
                <w:szCs w:val="18"/>
              </w:rPr>
              <w:t>10.7</w:t>
            </w:r>
          </w:p>
        </w:tc>
        <w:tc>
          <w:tcPr>
            <w:tcW w:w="340" w:type="dxa"/>
            <w:vAlign w:val="bottom"/>
          </w:tcPr>
          <w:p w14:paraId="767F4C47" w14:textId="77777777" w:rsidR="00D1587D" w:rsidRDefault="00D1587D">
            <w:pPr>
              <w:rPr>
                <w:sz w:val="21"/>
                <w:szCs w:val="21"/>
              </w:rPr>
            </w:pPr>
          </w:p>
        </w:tc>
        <w:tc>
          <w:tcPr>
            <w:tcW w:w="7680" w:type="dxa"/>
            <w:gridSpan w:val="2"/>
            <w:vAlign w:val="bottom"/>
          </w:tcPr>
          <w:p w14:paraId="0C9E4937" w14:textId="77777777" w:rsidR="00D1587D" w:rsidRDefault="00410D07">
            <w:pPr>
              <w:ind w:left="80"/>
              <w:rPr>
                <w:sz w:val="20"/>
                <w:szCs w:val="20"/>
              </w:rPr>
            </w:pPr>
            <w:r>
              <w:rPr>
                <w:rFonts w:ascii="Arial" w:eastAsia="Arial" w:hAnsi="Arial" w:cs="Arial"/>
                <w:w w:val="94"/>
                <w:sz w:val="18"/>
                <w:szCs w:val="18"/>
              </w:rPr>
              <w:t>Form of Victoria’s Secret &amp; Co. 2021 Stock Option and Performance Incentive Plan Restricted Share</w:t>
            </w:r>
          </w:p>
        </w:tc>
        <w:tc>
          <w:tcPr>
            <w:tcW w:w="0" w:type="dxa"/>
            <w:vAlign w:val="bottom"/>
          </w:tcPr>
          <w:p w14:paraId="2F6B7B8D" w14:textId="77777777" w:rsidR="00D1587D" w:rsidRDefault="00D1587D">
            <w:pPr>
              <w:rPr>
                <w:sz w:val="1"/>
                <w:szCs w:val="1"/>
              </w:rPr>
            </w:pPr>
          </w:p>
        </w:tc>
      </w:tr>
      <w:tr w:rsidR="00D1587D" w14:paraId="3EED0642" w14:textId="77777777">
        <w:trPr>
          <w:trHeight w:val="294"/>
        </w:trPr>
        <w:tc>
          <w:tcPr>
            <w:tcW w:w="220" w:type="dxa"/>
            <w:vAlign w:val="bottom"/>
          </w:tcPr>
          <w:p w14:paraId="5CA8104D" w14:textId="77777777" w:rsidR="00D1587D" w:rsidRDefault="00D1587D">
            <w:pPr>
              <w:rPr>
                <w:sz w:val="24"/>
                <w:szCs w:val="24"/>
              </w:rPr>
            </w:pPr>
          </w:p>
        </w:tc>
        <w:tc>
          <w:tcPr>
            <w:tcW w:w="80" w:type="dxa"/>
            <w:vAlign w:val="bottom"/>
          </w:tcPr>
          <w:p w14:paraId="368641AD" w14:textId="77777777" w:rsidR="00D1587D" w:rsidRDefault="00D1587D">
            <w:pPr>
              <w:rPr>
                <w:sz w:val="24"/>
                <w:szCs w:val="24"/>
              </w:rPr>
            </w:pPr>
          </w:p>
        </w:tc>
        <w:tc>
          <w:tcPr>
            <w:tcW w:w="100" w:type="dxa"/>
            <w:vAlign w:val="bottom"/>
          </w:tcPr>
          <w:p w14:paraId="57924C4F" w14:textId="77777777" w:rsidR="00D1587D" w:rsidRDefault="00D1587D">
            <w:pPr>
              <w:rPr>
                <w:sz w:val="24"/>
                <w:szCs w:val="24"/>
              </w:rPr>
            </w:pPr>
          </w:p>
        </w:tc>
        <w:tc>
          <w:tcPr>
            <w:tcW w:w="340" w:type="dxa"/>
            <w:vAlign w:val="bottom"/>
          </w:tcPr>
          <w:p w14:paraId="228650F6" w14:textId="77777777" w:rsidR="00D1587D" w:rsidRDefault="00D1587D">
            <w:pPr>
              <w:rPr>
                <w:sz w:val="24"/>
                <w:szCs w:val="24"/>
              </w:rPr>
            </w:pPr>
          </w:p>
        </w:tc>
        <w:tc>
          <w:tcPr>
            <w:tcW w:w="7680" w:type="dxa"/>
            <w:gridSpan w:val="2"/>
            <w:vAlign w:val="bottom"/>
          </w:tcPr>
          <w:p w14:paraId="15DCB42D" w14:textId="77777777" w:rsidR="00D1587D" w:rsidRDefault="00410D07">
            <w:pPr>
              <w:spacing w:line="294" w:lineRule="exact"/>
              <w:ind w:left="80"/>
              <w:rPr>
                <w:sz w:val="20"/>
                <w:szCs w:val="20"/>
              </w:rPr>
            </w:pPr>
            <w:r>
              <w:rPr>
                <w:rFonts w:ascii="Arial" w:eastAsia="Arial" w:hAnsi="Arial" w:cs="Arial"/>
                <w:sz w:val="18"/>
                <w:szCs w:val="18"/>
              </w:rPr>
              <w:t>Unit Award Agreement</w:t>
            </w:r>
            <w:r>
              <w:rPr>
                <w:rFonts w:ascii="Arial" w:eastAsia="Arial" w:hAnsi="Arial" w:cs="Arial"/>
                <w:sz w:val="29"/>
                <w:szCs w:val="29"/>
                <w:vertAlign w:val="superscript"/>
              </w:rPr>
              <w:t>*</w:t>
            </w:r>
          </w:p>
        </w:tc>
        <w:tc>
          <w:tcPr>
            <w:tcW w:w="0" w:type="dxa"/>
            <w:vAlign w:val="bottom"/>
          </w:tcPr>
          <w:p w14:paraId="4EF8EEC6" w14:textId="77777777" w:rsidR="00D1587D" w:rsidRDefault="00D1587D">
            <w:pPr>
              <w:rPr>
                <w:sz w:val="1"/>
                <w:szCs w:val="1"/>
              </w:rPr>
            </w:pPr>
          </w:p>
        </w:tc>
      </w:tr>
      <w:tr w:rsidR="00D1587D" w14:paraId="64784D49" w14:textId="77777777">
        <w:trPr>
          <w:trHeight w:val="246"/>
        </w:trPr>
        <w:tc>
          <w:tcPr>
            <w:tcW w:w="400" w:type="dxa"/>
            <w:gridSpan w:val="3"/>
            <w:shd w:val="clear" w:color="auto" w:fill="CCEEFF"/>
            <w:vAlign w:val="bottom"/>
          </w:tcPr>
          <w:p w14:paraId="2615F422" w14:textId="77777777" w:rsidR="00D1587D" w:rsidRDefault="00410D07">
            <w:pPr>
              <w:rPr>
                <w:sz w:val="20"/>
                <w:szCs w:val="20"/>
              </w:rPr>
            </w:pPr>
            <w:r>
              <w:rPr>
                <w:rFonts w:ascii="Arial" w:eastAsia="Arial" w:hAnsi="Arial" w:cs="Arial"/>
                <w:sz w:val="18"/>
                <w:szCs w:val="18"/>
              </w:rPr>
              <w:t>10.8</w:t>
            </w:r>
          </w:p>
        </w:tc>
        <w:tc>
          <w:tcPr>
            <w:tcW w:w="340" w:type="dxa"/>
            <w:shd w:val="clear" w:color="auto" w:fill="CCEEFF"/>
            <w:vAlign w:val="bottom"/>
          </w:tcPr>
          <w:p w14:paraId="3343943E" w14:textId="77777777" w:rsidR="00D1587D" w:rsidRDefault="00D1587D">
            <w:pPr>
              <w:rPr>
                <w:sz w:val="21"/>
                <w:szCs w:val="21"/>
              </w:rPr>
            </w:pPr>
          </w:p>
        </w:tc>
        <w:tc>
          <w:tcPr>
            <w:tcW w:w="7680" w:type="dxa"/>
            <w:gridSpan w:val="2"/>
            <w:shd w:val="clear" w:color="auto" w:fill="CCEEFF"/>
            <w:vAlign w:val="bottom"/>
          </w:tcPr>
          <w:p w14:paraId="429AEAD6" w14:textId="77777777" w:rsidR="00D1587D" w:rsidRDefault="00410D07">
            <w:pPr>
              <w:ind w:left="80"/>
              <w:rPr>
                <w:sz w:val="20"/>
                <w:szCs w:val="20"/>
              </w:rPr>
            </w:pPr>
            <w:r>
              <w:rPr>
                <w:rFonts w:ascii="Arial" w:eastAsia="Arial" w:hAnsi="Arial" w:cs="Arial"/>
                <w:w w:val="91"/>
                <w:sz w:val="18"/>
                <w:szCs w:val="18"/>
              </w:rPr>
              <w:t xml:space="preserve">Form of Victoria’s Secret &amp; Co. 2021 Stock Option and Performance Incentive Plan Stock </w:t>
            </w:r>
            <w:r>
              <w:rPr>
                <w:rFonts w:ascii="Arial" w:eastAsia="Arial" w:hAnsi="Arial" w:cs="Arial"/>
                <w:w w:val="91"/>
                <w:sz w:val="18"/>
                <w:szCs w:val="18"/>
              </w:rPr>
              <w:t>Option Award</w:t>
            </w:r>
          </w:p>
        </w:tc>
        <w:tc>
          <w:tcPr>
            <w:tcW w:w="0" w:type="dxa"/>
            <w:vAlign w:val="bottom"/>
          </w:tcPr>
          <w:p w14:paraId="4C2FE530" w14:textId="77777777" w:rsidR="00D1587D" w:rsidRDefault="00D1587D">
            <w:pPr>
              <w:rPr>
                <w:sz w:val="1"/>
                <w:szCs w:val="1"/>
              </w:rPr>
            </w:pPr>
          </w:p>
        </w:tc>
      </w:tr>
      <w:tr w:rsidR="00D1587D" w14:paraId="43CD5DC6" w14:textId="77777777">
        <w:trPr>
          <w:trHeight w:val="294"/>
        </w:trPr>
        <w:tc>
          <w:tcPr>
            <w:tcW w:w="220" w:type="dxa"/>
            <w:shd w:val="clear" w:color="auto" w:fill="CCEEFF"/>
            <w:vAlign w:val="bottom"/>
          </w:tcPr>
          <w:p w14:paraId="7639C41B" w14:textId="77777777" w:rsidR="00D1587D" w:rsidRDefault="00D1587D">
            <w:pPr>
              <w:rPr>
                <w:sz w:val="24"/>
                <w:szCs w:val="24"/>
              </w:rPr>
            </w:pPr>
          </w:p>
        </w:tc>
        <w:tc>
          <w:tcPr>
            <w:tcW w:w="80" w:type="dxa"/>
            <w:shd w:val="clear" w:color="auto" w:fill="CCEEFF"/>
            <w:vAlign w:val="bottom"/>
          </w:tcPr>
          <w:p w14:paraId="212530CD" w14:textId="77777777" w:rsidR="00D1587D" w:rsidRDefault="00D1587D">
            <w:pPr>
              <w:rPr>
                <w:sz w:val="24"/>
                <w:szCs w:val="24"/>
              </w:rPr>
            </w:pPr>
          </w:p>
        </w:tc>
        <w:tc>
          <w:tcPr>
            <w:tcW w:w="100" w:type="dxa"/>
            <w:shd w:val="clear" w:color="auto" w:fill="CCEEFF"/>
            <w:vAlign w:val="bottom"/>
          </w:tcPr>
          <w:p w14:paraId="2ACDFF04" w14:textId="77777777" w:rsidR="00D1587D" w:rsidRDefault="00D1587D">
            <w:pPr>
              <w:rPr>
                <w:sz w:val="24"/>
                <w:szCs w:val="24"/>
              </w:rPr>
            </w:pPr>
          </w:p>
        </w:tc>
        <w:tc>
          <w:tcPr>
            <w:tcW w:w="340" w:type="dxa"/>
            <w:shd w:val="clear" w:color="auto" w:fill="CCEEFF"/>
            <w:vAlign w:val="bottom"/>
          </w:tcPr>
          <w:p w14:paraId="3BBD0E6D" w14:textId="77777777" w:rsidR="00D1587D" w:rsidRDefault="00D1587D">
            <w:pPr>
              <w:rPr>
                <w:sz w:val="24"/>
                <w:szCs w:val="24"/>
              </w:rPr>
            </w:pPr>
          </w:p>
        </w:tc>
        <w:tc>
          <w:tcPr>
            <w:tcW w:w="7680" w:type="dxa"/>
            <w:gridSpan w:val="2"/>
            <w:shd w:val="clear" w:color="auto" w:fill="CCEEFF"/>
            <w:vAlign w:val="bottom"/>
          </w:tcPr>
          <w:p w14:paraId="5EDF3A7F" w14:textId="77777777" w:rsidR="00D1587D" w:rsidRDefault="00410D07">
            <w:pPr>
              <w:spacing w:line="294" w:lineRule="exact"/>
              <w:ind w:left="80"/>
              <w:rPr>
                <w:sz w:val="20"/>
                <w:szCs w:val="20"/>
              </w:rPr>
            </w:pPr>
            <w:r>
              <w:rPr>
                <w:rFonts w:ascii="Arial" w:eastAsia="Arial" w:hAnsi="Arial" w:cs="Arial"/>
                <w:sz w:val="18"/>
                <w:szCs w:val="18"/>
              </w:rPr>
              <w:t>Agreement</w:t>
            </w:r>
            <w:r>
              <w:rPr>
                <w:rFonts w:ascii="Arial" w:eastAsia="Arial" w:hAnsi="Arial" w:cs="Arial"/>
                <w:sz w:val="29"/>
                <w:szCs w:val="29"/>
                <w:vertAlign w:val="superscript"/>
              </w:rPr>
              <w:t>*</w:t>
            </w:r>
          </w:p>
        </w:tc>
        <w:tc>
          <w:tcPr>
            <w:tcW w:w="0" w:type="dxa"/>
            <w:vAlign w:val="bottom"/>
          </w:tcPr>
          <w:p w14:paraId="34D3FE3E" w14:textId="77777777" w:rsidR="00D1587D" w:rsidRDefault="00D1587D">
            <w:pPr>
              <w:rPr>
                <w:sz w:val="1"/>
                <w:szCs w:val="1"/>
              </w:rPr>
            </w:pPr>
          </w:p>
        </w:tc>
      </w:tr>
      <w:tr w:rsidR="00D1587D" w14:paraId="61BDD0D2" w14:textId="77777777">
        <w:trPr>
          <w:trHeight w:val="324"/>
        </w:trPr>
        <w:tc>
          <w:tcPr>
            <w:tcW w:w="400" w:type="dxa"/>
            <w:gridSpan w:val="3"/>
            <w:vAlign w:val="bottom"/>
          </w:tcPr>
          <w:p w14:paraId="3893592F" w14:textId="77777777" w:rsidR="00D1587D" w:rsidRDefault="00410D07">
            <w:pPr>
              <w:rPr>
                <w:sz w:val="20"/>
                <w:szCs w:val="20"/>
              </w:rPr>
            </w:pPr>
            <w:r>
              <w:rPr>
                <w:rFonts w:ascii="Arial" w:eastAsia="Arial" w:hAnsi="Arial" w:cs="Arial"/>
                <w:sz w:val="18"/>
                <w:szCs w:val="18"/>
              </w:rPr>
              <w:t>10.9</w:t>
            </w:r>
          </w:p>
        </w:tc>
        <w:tc>
          <w:tcPr>
            <w:tcW w:w="340" w:type="dxa"/>
            <w:vAlign w:val="bottom"/>
          </w:tcPr>
          <w:p w14:paraId="07D13B44" w14:textId="77777777" w:rsidR="00D1587D" w:rsidRDefault="00D1587D">
            <w:pPr>
              <w:rPr>
                <w:sz w:val="24"/>
                <w:szCs w:val="24"/>
              </w:rPr>
            </w:pPr>
          </w:p>
        </w:tc>
        <w:tc>
          <w:tcPr>
            <w:tcW w:w="7680" w:type="dxa"/>
            <w:gridSpan w:val="2"/>
            <w:vAlign w:val="bottom"/>
          </w:tcPr>
          <w:p w14:paraId="00DB555B" w14:textId="77777777" w:rsidR="00D1587D" w:rsidRDefault="00410D07">
            <w:pPr>
              <w:spacing w:line="324" w:lineRule="exact"/>
              <w:ind w:left="80"/>
              <w:rPr>
                <w:sz w:val="20"/>
                <w:szCs w:val="20"/>
              </w:rPr>
            </w:pPr>
            <w:r>
              <w:rPr>
                <w:rFonts w:ascii="Arial" w:eastAsia="Arial" w:hAnsi="Arial" w:cs="Arial"/>
                <w:sz w:val="18"/>
                <w:szCs w:val="18"/>
              </w:rPr>
              <w:t>Form of Victoria’s Secret &amp; Co. 2021 Cash Incentive Compensation Performance Plan</w:t>
            </w:r>
            <w:r>
              <w:rPr>
                <w:rFonts w:ascii="Arial" w:eastAsia="Arial" w:hAnsi="Arial" w:cs="Arial"/>
                <w:sz w:val="29"/>
                <w:szCs w:val="29"/>
                <w:vertAlign w:val="superscript"/>
              </w:rPr>
              <w:t>*</w:t>
            </w:r>
          </w:p>
        </w:tc>
        <w:tc>
          <w:tcPr>
            <w:tcW w:w="0" w:type="dxa"/>
            <w:vAlign w:val="bottom"/>
          </w:tcPr>
          <w:p w14:paraId="796639A1" w14:textId="77777777" w:rsidR="00D1587D" w:rsidRDefault="00D1587D">
            <w:pPr>
              <w:rPr>
                <w:sz w:val="1"/>
                <w:szCs w:val="1"/>
              </w:rPr>
            </w:pPr>
          </w:p>
        </w:tc>
      </w:tr>
      <w:tr w:rsidR="00D1587D" w14:paraId="40FB8B71" w14:textId="77777777">
        <w:trPr>
          <w:trHeight w:val="229"/>
        </w:trPr>
        <w:tc>
          <w:tcPr>
            <w:tcW w:w="740" w:type="dxa"/>
            <w:gridSpan w:val="4"/>
            <w:shd w:val="clear" w:color="auto" w:fill="CCEEFF"/>
            <w:vAlign w:val="bottom"/>
          </w:tcPr>
          <w:p w14:paraId="4A00ECEB" w14:textId="77777777" w:rsidR="00D1587D" w:rsidRDefault="00410D07">
            <w:pPr>
              <w:rPr>
                <w:rFonts w:ascii="Arial" w:eastAsia="Arial" w:hAnsi="Arial" w:cs="Arial"/>
                <w:color w:val="0000EE"/>
                <w:sz w:val="18"/>
                <w:szCs w:val="18"/>
              </w:rPr>
            </w:pPr>
            <w:hyperlink w:anchor="page238">
              <w:r>
                <w:rPr>
                  <w:rFonts w:ascii="Arial" w:eastAsia="Arial" w:hAnsi="Arial" w:cs="Arial"/>
                  <w:color w:val="0000EE"/>
                  <w:sz w:val="18"/>
                  <w:szCs w:val="18"/>
                </w:rPr>
                <w:t>10.</w:t>
              </w:r>
              <w:r>
                <w:rPr>
                  <w:rFonts w:ascii="Arial" w:eastAsia="Arial" w:hAnsi="Arial" w:cs="Arial"/>
                  <w:color w:val="0000EE"/>
                  <w:sz w:val="18"/>
                  <w:szCs w:val="18"/>
                  <w:u w:val="single"/>
                </w:rPr>
                <w:t>10</w:t>
              </w:r>
            </w:hyperlink>
          </w:p>
        </w:tc>
        <w:tc>
          <w:tcPr>
            <w:tcW w:w="7680" w:type="dxa"/>
            <w:gridSpan w:val="2"/>
            <w:shd w:val="clear" w:color="auto" w:fill="CCEEFF"/>
            <w:vAlign w:val="bottom"/>
          </w:tcPr>
          <w:p w14:paraId="208DCB0A" w14:textId="77777777" w:rsidR="00D1587D" w:rsidRDefault="00410D07">
            <w:pPr>
              <w:ind w:left="80"/>
              <w:rPr>
                <w:sz w:val="20"/>
                <w:szCs w:val="20"/>
              </w:rPr>
            </w:pPr>
            <w:r>
              <w:rPr>
                <w:rFonts w:ascii="Arial" w:eastAsia="Arial" w:hAnsi="Arial" w:cs="Arial"/>
                <w:sz w:val="18"/>
                <w:szCs w:val="18"/>
              </w:rPr>
              <w:t>Form of Indemnification Agreement for Non-Employee Directors</w:t>
            </w:r>
          </w:p>
        </w:tc>
        <w:tc>
          <w:tcPr>
            <w:tcW w:w="0" w:type="dxa"/>
            <w:vAlign w:val="bottom"/>
          </w:tcPr>
          <w:p w14:paraId="7AB30609" w14:textId="77777777" w:rsidR="00D1587D" w:rsidRDefault="00D1587D">
            <w:pPr>
              <w:rPr>
                <w:sz w:val="1"/>
                <w:szCs w:val="1"/>
              </w:rPr>
            </w:pPr>
          </w:p>
        </w:tc>
      </w:tr>
      <w:tr w:rsidR="00D1587D" w14:paraId="51D5A2CE" w14:textId="77777777">
        <w:trPr>
          <w:trHeight w:val="75"/>
        </w:trPr>
        <w:tc>
          <w:tcPr>
            <w:tcW w:w="220" w:type="dxa"/>
            <w:tcBorders>
              <w:top w:val="single" w:sz="8" w:space="0" w:color="0000EE"/>
            </w:tcBorders>
            <w:shd w:val="clear" w:color="auto" w:fill="CCEEFF"/>
            <w:vAlign w:val="bottom"/>
          </w:tcPr>
          <w:p w14:paraId="0D2157C7" w14:textId="77777777" w:rsidR="00D1587D" w:rsidRDefault="00D1587D">
            <w:pPr>
              <w:rPr>
                <w:sz w:val="6"/>
                <w:szCs w:val="6"/>
              </w:rPr>
            </w:pPr>
          </w:p>
        </w:tc>
        <w:tc>
          <w:tcPr>
            <w:tcW w:w="80" w:type="dxa"/>
            <w:tcBorders>
              <w:top w:val="single" w:sz="8" w:space="0" w:color="0000EE"/>
            </w:tcBorders>
            <w:shd w:val="clear" w:color="auto" w:fill="CCEEFF"/>
            <w:vAlign w:val="bottom"/>
          </w:tcPr>
          <w:p w14:paraId="53312C15" w14:textId="77777777" w:rsidR="00D1587D" w:rsidRDefault="00D1587D">
            <w:pPr>
              <w:rPr>
                <w:sz w:val="6"/>
                <w:szCs w:val="6"/>
              </w:rPr>
            </w:pPr>
          </w:p>
        </w:tc>
        <w:tc>
          <w:tcPr>
            <w:tcW w:w="100" w:type="dxa"/>
            <w:tcBorders>
              <w:top w:val="single" w:sz="8" w:space="0" w:color="0000EE"/>
            </w:tcBorders>
            <w:shd w:val="clear" w:color="auto" w:fill="CCEEFF"/>
            <w:vAlign w:val="bottom"/>
          </w:tcPr>
          <w:p w14:paraId="207503B6" w14:textId="77777777" w:rsidR="00D1587D" w:rsidRDefault="00D1587D">
            <w:pPr>
              <w:rPr>
                <w:sz w:val="6"/>
                <w:szCs w:val="6"/>
              </w:rPr>
            </w:pPr>
          </w:p>
        </w:tc>
        <w:tc>
          <w:tcPr>
            <w:tcW w:w="340" w:type="dxa"/>
            <w:tcBorders>
              <w:top w:val="single" w:sz="8" w:space="0" w:color="CCEEFF"/>
            </w:tcBorders>
            <w:shd w:val="clear" w:color="auto" w:fill="CCEEFF"/>
            <w:vAlign w:val="bottom"/>
          </w:tcPr>
          <w:p w14:paraId="441C2E0A" w14:textId="77777777" w:rsidR="00D1587D" w:rsidRDefault="00D1587D">
            <w:pPr>
              <w:rPr>
                <w:sz w:val="6"/>
                <w:szCs w:val="6"/>
              </w:rPr>
            </w:pPr>
          </w:p>
        </w:tc>
        <w:tc>
          <w:tcPr>
            <w:tcW w:w="80" w:type="dxa"/>
            <w:tcBorders>
              <w:top w:val="single" w:sz="8" w:space="0" w:color="CCEEFF"/>
            </w:tcBorders>
            <w:shd w:val="clear" w:color="auto" w:fill="CCEEFF"/>
            <w:vAlign w:val="bottom"/>
          </w:tcPr>
          <w:p w14:paraId="081F1612" w14:textId="77777777" w:rsidR="00D1587D" w:rsidRDefault="00D1587D">
            <w:pPr>
              <w:rPr>
                <w:sz w:val="6"/>
                <w:szCs w:val="6"/>
              </w:rPr>
            </w:pPr>
          </w:p>
        </w:tc>
        <w:tc>
          <w:tcPr>
            <w:tcW w:w="7600" w:type="dxa"/>
            <w:tcBorders>
              <w:top w:val="single" w:sz="8" w:space="0" w:color="CCEEFF"/>
            </w:tcBorders>
            <w:shd w:val="clear" w:color="auto" w:fill="CCEEFF"/>
            <w:vAlign w:val="bottom"/>
          </w:tcPr>
          <w:p w14:paraId="2B9E5B40" w14:textId="77777777" w:rsidR="00D1587D" w:rsidRDefault="00D1587D">
            <w:pPr>
              <w:rPr>
                <w:sz w:val="6"/>
                <w:szCs w:val="6"/>
              </w:rPr>
            </w:pPr>
          </w:p>
        </w:tc>
        <w:tc>
          <w:tcPr>
            <w:tcW w:w="0" w:type="dxa"/>
            <w:vAlign w:val="bottom"/>
          </w:tcPr>
          <w:p w14:paraId="751F6E41" w14:textId="77777777" w:rsidR="00D1587D" w:rsidRDefault="00D1587D">
            <w:pPr>
              <w:rPr>
                <w:sz w:val="1"/>
                <w:szCs w:val="1"/>
              </w:rPr>
            </w:pPr>
          </w:p>
        </w:tc>
      </w:tr>
      <w:tr w:rsidR="00D1587D" w14:paraId="26A195BC" w14:textId="77777777">
        <w:trPr>
          <w:trHeight w:val="270"/>
        </w:trPr>
        <w:tc>
          <w:tcPr>
            <w:tcW w:w="400" w:type="dxa"/>
            <w:gridSpan w:val="3"/>
            <w:vAlign w:val="bottom"/>
          </w:tcPr>
          <w:p w14:paraId="0BD3A7F5" w14:textId="77777777" w:rsidR="00D1587D" w:rsidRDefault="00410D07">
            <w:pPr>
              <w:rPr>
                <w:sz w:val="20"/>
                <w:szCs w:val="20"/>
              </w:rPr>
            </w:pPr>
            <w:r>
              <w:rPr>
                <w:rFonts w:ascii="Arial" w:eastAsia="Arial" w:hAnsi="Arial" w:cs="Arial"/>
                <w:w w:val="84"/>
                <w:sz w:val="18"/>
                <w:szCs w:val="18"/>
              </w:rPr>
              <w:t>10.11</w:t>
            </w:r>
          </w:p>
        </w:tc>
        <w:tc>
          <w:tcPr>
            <w:tcW w:w="340" w:type="dxa"/>
            <w:vAlign w:val="bottom"/>
          </w:tcPr>
          <w:p w14:paraId="51DF23CA" w14:textId="77777777" w:rsidR="00D1587D" w:rsidRDefault="00D1587D">
            <w:pPr>
              <w:rPr>
                <w:sz w:val="23"/>
                <w:szCs w:val="23"/>
              </w:rPr>
            </w:pPr>
          </w:p>
        </w:tc>
        <w:tc>
          <w:tcPr>
            <w:tcW w:w="7680" w:type="dxa"/>
            <w:gridSpan w:val="2"/>
            <w:vAlign w:val="bottom"/>
          </w:tcPr>
          <w:p w14:paraId="786CE8A7" w14:textId="77777777" w:rsidR="00D1587D" w:rsidRDefault="00410D07">
            <w:pPr>
              <w:ind w:left="80"/>
              <w:rPr>
                <w:sz w:val="20"/>
                <w:szCs w:val="20"/>
              </w:rPr>
            </w:pPr>
            <w:r>
              <w:rPr>
                <w:rFonts w:ascii="Arial" w:eastAsia="Arial" w:hAnsi="Arial" w:cs="Arial"/>
                <w:sz w:val="18"/>
                <w:szCs w:val="18"/>
              </w:rPr>
              <w:t xml:space="preserve">Form of </w:t>
            </w:r>
            <w:r>
              <w:rPr>
                <w:rFonts w:ascii="Arial" w:eastAsia="Arial" w:hAnsi="Arial" w:cs="Arial"/>
                <w:sz w:val="18"/>
                <w:szCs w:val="18"/>
              </w:rPr>
              <w:t>Victoria’s Secret &amp; Co. 2021 Associate Stock Purchase Plan*</w:t>
            </w:r>
          </w:p>
        </w:tc>
        <w:tc>
          <w:tcPr>
            <w:tcW w:w="0" w:type="dxa"/>
            <w:vAlign w:val="bottom"/>
          </w:tcPr>
          <w:p w14:paraId="05263A92" w14:textId="77777777" w:rsidR="00D1587D" w:rsidRDefault="00D1587D">
            <w:pPr>
              <w:rPr>
                <w:sz w:val="1"/>
                <w:szCs w:val="1"/>
              </w:rPr>
            </w:pPr>
          </w:p>
        </w:tc>
      </w:tr>
      <w:tr w:rsidR="00D1587D" w14:paraId="301B1AEE" w14:textId="77777777">
        <w:trPr>
          <w:trHeight w:val="54"/>
        </w:trPr>
        <w:tc>
          <w:tcPr>
            <w:tcW w:w="220" w:type="dxa"/>
            <w:vAlign w:val="bottom"/>
          </w:tcPr>
          <w:p w14:paraId="1FFA0499" w14:textId="77777777" w:rsidR="00D1587D" w:rsidRDefault="00D1587D">
            <w:pPr>
              <w:rPr>
                <w:sz w:val="4"/>
                <w:szCs w:val="4"/>
              </w:rPr>
            </w:pPr>
          </w:p>
        </w:tc>
        <w:tc>
          <w:tcPr>
            <w:tcW w:w="80" w:type="dxa"/>
            <w:vAlign w:val="bottom"/>
          </w:tcPr>
          <w:p w14:paraId="558F1701" w14:textId="77777777" w:rsidR="00D1587D" w:rsidRDefault="00D1587D">
            <w:pPr>
              <w:rPr>
                <w:sz w:val="4"/>
                <w:szCs w:val="4"/>
              </w:rPr>
            </w:pPr>
          </w:p>
        </w:tc>
        <w:tc>
          <w:tcPr>
            <w:tcW w:w="100" w:type="dxa"/>
            <w:vAlign w:val="bottom"/>
          </w:tcPr>
          <w:p w14:paraId="6D726EC2" w14:textId="77777777" w:rsidR="00D1587D" w:rsidRDefault="00D1587D">
            <w:pPr>
              <w:rPr>
                <w:sz w:val="4"/>
                <w:szCs w:val="4"/>
              </w:rPr>
            </w:pPr>
          </w:p>
        </w:tc>
        <w:tc>
          <w:tcPr>
            <w:tcW w:w="340" w:type="dxa"/>
            <w:vAlign w:val="bottom"/>
          </w:tcPr>
          <w:p w14:paraId="5A0FE9CF" w14:textId="77777777" w:rsidR="00D1587D" w:rsidRDefault="00D1587D">
            <w:pPr>
              <w:rPr>
                <w:sz w:val="4"/>
                <w:szCs w:val="4"/>
              </w:rPr>
            </w:pPr>
          </w:p>
        </w:tc>
        <w:tc>
          <w:tcPr>
            <w:tcW w:w="80" w:type="dxa"/>
            <w:vAlign w:val="bottom"/>
          </w:tcPr>
          <w:p w14:paraId="2F89823E" w14:textId="77777777" w:rsidR="00D1587D" w:rsidRDefault="00D1587D">
            <w:pPr>
              <w:rPr>
                <w:sz w:val="4"/>
                <w:szCs w:val="4"/>
              </w:rPr>
            </w:pPr>
          </w:p>
        </w:tc>
        <w:tc>
          <w:tcPr>
            <w:tcW w:w="7600" w:type="dxa"/>
            <w:vAlign w:val="bottom"/>
          </w:tcPr>
          <w:p w14:paraId="49564869" w14:textId="77777777" w:rsidR="00D1587D" w:rsidRDefault="00D1587D">
            <w:pPr>
              <w:rPr>
                <w:sz w:val="4"/>
                <w:szCs w:val="4"/>
              </w:rPr>
            </w:pPr>
          </w:p>
        </w:tc>
        <w:tc>
          <w:tcPr>
            <w:tcW w:w="0" w:type="dxa"/>
            <w:vAlign w:val="bottom"/>
          </w:tcPr>
          <w:p w14:paraId="0E24AD5A" w14:textId="77777777" w:rsidR="00D1587D" w:rsidRDefault="00D1587D">
            <w:pPr>
              <w:rPr>
                <w:sz w:val="1"/>
                <w:szCs w:val="1"/>
              </w:rPr>
            </w:pPr>
          </w:p>
        </w:tc>
      </w:tr>
      <w:tr w:rsidR="00D1587D" w14:paraId="457EE212" w14:textId="77777777">
        <w:trPr>
          <w:trHeight w:val="246"/>
        </w:trPr>
        <w:tc>
          <w:tcPr>
            <w:tcW w:w="740" w:type="dxa"/>
            <w:gridSpan w:val="4"/>
            <w:shd w:val="clear" w:color="auto" w:fill="CCEEFF"/>
            <w:vAlign w:val="bottom"/>
          </w:tcPr>
          <w:p w14:paraId="1AE4F002" w14:textId="77777777" w:rsidR="00D1587D" w:rsidRDefault="00410D07">
            <w:pPr>
              <w:rPr>
                <w:sz w:val="20"/>
                <w:szCs w:val="20"/>
              </w:rPr>
            </w:pPr>
            <w:r>
              <w:rPr>
                <w:rFonts w:ascii="Arial" w:eastAsia="Arial" w:hAnsi="Arial" w:cs="Arial"/>
                <w:sz w:val="18"/>
                <w:szCs w:val="18"/>
              </w:rPr>
              <w:t>10.12</w:t>
            </w:r>
          </w:p>
        </w:tc>
        <w:tc>
          <w:tcPr>
            <w:tcW w:w="7680" w:type="dxa"/>
            <w:gridSpan w:val="2"/>
            <w:shd w:val="clear" w:color="auto" w:fill="CCEEFF"/>
            <w:vAlign w:val="bottom"/>
          </w:tcPr>
          <w:p w14:paraId="5BD84482" w14:textId="77777777" w:rsidR="00D1587D" w:rsidRDefault="00410D07">
            <w:pPr>
              <w:ind w:left="80"/>
              <w:rPr>
                <w:sz w:val="20"/>
                <w:szCs w:val="20"/>
              </w:rPr>
            </w:pPr>
            <w:r>
              <w:rPr>
                <w:rFonts w:ascii="Arial" w:eastAsia="Arial" w:hAnsi="Arial" w:cs="Arial"/>
                <w:w w:val="92"/>
                <w:sz w:val="18"/>
                <w:szCs w:val="18"/>
              </w:rPr>
              <w:t>Form of Victoria’s Secret &amp; Co. 2021 Stock Option and Performance Incentive Plan Performance Share</w:t>
            </w:r>
          </w:p>
        </w:tc>
        <w:tc>
          <w:tcPr>
            <w:tcW w:w="0" w:type="dxa"/>
            <w:vAlign w:val="bottom"/>
          </w:tcPr>
          <w:p w14:paraId="12C90985" w14:textId="77777777" w:rsidR="00D1587D" w:rsidRDefault="00D1587D">
            <w:pPr>
              <w:rPr>
                <w:sz w:val="1"/>
                <w:szCs w:val="1"/>
              </w:rPr>
            </w:pPr>
          </w:p>
        </w:tc>
      </w:tr>
      <w:tr w:rsidR="00D1587D" w14:paraId="2636330E" w14:textId="77777777">
        <w:trPr>
          <w:trHeight w:val="294"/>
        </w:trPr>
        <w:tc>
          <w:tcPr>
            <w:tcW w:w="220" w:type="dxa"/>
            <w:shd w:val="clear" w:color="auto" w:fill="CCEEFF"/>
            <w:vAlign w:val="bottom"/>
          </w:tcPr>
          <w:p w14:paraId="2FB3B391" w14:textId="77777777" w:rsidR="00D1587D" w:rsidRDefault="00D1587D">
            <w:pPr>
              <w:rPr>
                <w:sz w:val="24"/>
                <w:szCs w:val="24"/>
              </w:rPr>
            </w:pPr>
          </w:p>
        </w:tc>
        <w:tc>
          <w:tcPr>
            <w:tcW w:w="80" w:type="dxa"/>
            <w:shd w:val="clear" w:color="auto" w:fill="CCEEFF"/>
            <w:vAlign w:val="bottom"/>
          </w:tcPr>
          <w:p w14:paraId="1BFC9227" w14:textId="77777777" w:rsidR="00D1587D" w:rsidRDefault="00D1587D">
            <w:pPr>
              <w:rPr>
                <w:sz w:val="24"/>
                <w:szCs w:val="24"/>
              </w:rPr>
            </w:pPr>
          </w:p>
        </w:tc>
        <w:tc>
          <w:tcPr>
            <w:tcW w:w="100" w:type="dxa"/>
            <w:shd w:val="clear" w:color="auto" w:fill="CCEEFF"/>
            <w:vAlign w:val="bottom"/>
          </w:tcPr>
          <w:p w14:paraId="437F98CA" w14:textId="77777777" w:rsidR="00D1587D" w:rsidRDefault="00D1587D">
            <w:pPr>
              <w:rPr>
                <w:sz w:val="24"/>
                <w:szCs w:val="24"/>
              </w:rPr>
            </w:pPr>
          </w:p>
        </w:tc>
        <w:tc>
          <w:tcPr>
            <w:tcW w:w="340" w:type="dxa"/>
            <w:shd w:val="clear" w:color="auto" w:fill="CCEEFF"/>
            <w:vAlign w:val="bottom"/>
          </w:tcPr>
          <w:p w14:paraId="1115672F" w14:textId="77777777" w:rsidR="00D1587D" w:rsidRDefault="00D1587D">
            <w:pPr>
              <w:rPr>
                <w:sz w:val="24"/>
                <w:szCs w:val="24"/>
              </w:rPr>
            </w:pPr>
          </w:p>
        </w:tc>
        <w:tc>
          <w:tcPr>
            <w:tcW w:w="7680" w:type="dxa"/>
            <w:gridSpan w:val="2"/>
            <w:shd w:val="clear" w:color="auto" w:fill="CCEEFF"/>
            <w:vAlign w:val="bottom"/>
          </w:tcPr>
          <w:p w14:paraId="7D243BD4" w14:textId="77777777" w:rsidR="00D1587D" w:rsidRDefault="00410D07">
            <w:pPr>
              <w:spacing w:line="294" w:lineRule="exact"/>
              <w:ind w:left="80"/>
              <w:rPr>
                <w:sz w:val="20"/>
                <w:szCs w:val="20"/>
              </w:rPr>
            </w:pPr>
            <w:r>
              <w:rPr>
                <w:rFonts w:ascii="Arial" w:eastAsia="Arial" w:hAnsi="Arial" w:cs="Arial"/>
                <w:sz w:val="18"/>
                <w:szCs w:val="18"/>
              </w:rPr>
              <w:t>Unit Award Agreement</w:t>
            </w:r>
            <w:r>
              <w:rPr>
                <w:rFonts w:ascii="Arial" w:eastAsia="Arial" w:hAnsi="Arial" w:cs="Arial"/>
                <w:sz w:val="29"/>
                <w:szCs w:val="29"/>
                <w:vertAlign w:val="superscript"/>
              </w:rPr>
              <w:t>*</w:t>
            </w:r>
          </w:p>
        </w:tc>
        <w:tc>
          <w:tcPr>
            <w:tcW w:w="0" w:type="dxa"/>
            <w:vAlign w:val="bottom"/>
          </w:tcPr>
          <w:p w14:paraId="72183856" w14:textId="77777777" w:rsidR="00D1587D" w:rsidRDefault="00D1587D">
            <w:pPr>
              <w:rPr>
                <w:sz w:val="1"/>
                <w:szCs w:val="1"/>
              </w:rPr>
            </w:pPr>
          </w:p>
        </w:tc>
      </w:tr>
      <w:tr w:rsidR="00D1587D" w14:paraId="18B3CBA5" w14:textId="77777777">
        <w:trPr>
          <w:trHeight w:val="246"/>
        </w:trPr>
        <w:tc>
          <w:tcPr>
            <w:tcW w:w="740" w:type="dxa"/>
            <w:gridSpan w:val="4"/>
            <w:vAlign w:val="bottom"/>
          </w:tcPr>
          <w:p w14:paraId="085164A6" w14:textId="77777777" w:rsidR="00D1587D" w:rsidRDefault="00410D07">
            <w:pPr>
              <w:rPr>
                <w:sz w:val="20"/>
                <w:szCs w:val="20"/>
              </w:rPr>
            </w:pPr>
            <w:r>
              <w:rPr>
                <w:rFonts w:ascii="Arial" w:eastAsia="Arial" w:hAnsi="Arial" w:cs="Arial"/>
                <w:sz w:val="18"/>
                <w:szCs w:val="18"/>
              </w:rPr>
              <w:t>10.13</w:t>
            </w:r>
          </w:p>
        </w:tc>
        <w:tc>
          <w:tcPr>
            <w:tcW w:w="7680" w:type="dxa"/>
            <w:gridSpan w:val="2"/>
            <w:vAlign w:val="bottom"/>
          </w:tcPr>
          <w:p w14:paraId="358EEF80" w14:textId="77777777" w:rsidR="00D1587D" w:rsidRDefault="00410D07">
            <w:pPr>
              <w:ind w:left="80"/>
              <w:rPr>
                <w:sz w:val="20"/>
                <w:szCs w:val="20"/>
              </w:rPr>
            </w:pPr>
            <w:r>
              <w:rPr>
                <w:rFonts w:ascii="Arial" w:eastAsia="Arial" w:hAnsi="Arial" w:cs="Arial"/>
                <w:w w:val="94"/>
                <w:sz w:val="18"/>
                <w:szCs w:val="18"/>
              </w:rPr>
              <w:t xml:space="preserve">Form of Registration Rights </w:t>
            </w:r>
            <w:r>
              <w:rPr>
                <w:rFonts w:ascii="Arial" w:eastAsia="Arial" w:hAnsi="Arial" w:cs="Arial"/>
                <w:w w:val="94"/>
                <w:sz w:val="18"/>
                <w:szCs w:val="18"/>
              </w:rPr>
              <w:t>Agreement by and among Victoria’s Secret &amp; Co., Leslie H. Wexner and</w:t>
            </w:r>
          </w:p>
        </w:tc>
        <w:tc>
          <w:tcPr>
            <w:tcW w:w="0" w:type="dxa"/>
            <w:vAlign w:val="bottom"/>
          </w:tcPr>
          <w:p w14:paraId="4786C802" w14:textId="77777777" w:rsidR="00D1587D" w:rsidRDefault="00D1587D">
            <w:pPr>
              <w:rPr>
                <w:sz w:val="1"/>
                <w:szCs w:val="1"/>
              </w:rPr>
            </w:pPr>
          </w:p>
        </w:tc>
      </w:tr>
      <w:tr w:rsidR="00D1587D" w14:paraId="6F8B8672" w14:textId="77777777">
        <w:trPr>
          <w:trHeight w:val="294"/>
        </w:trPr>
        <w:tc>
          <w:tcPr>
            <w:tcW w:w="220" w:type="dxa"/>
            <w:vAlign w:val="bottom"/>
          </w:tcPr>
          <w:p w14:paraId="44984764" w14:textId="77777777" w:rsidR="00D1587D" w:rsidRDefault="00D1587D">
            <w:pPr>
              <w:rPr>
                <w:sz w:val="24"/>
                <w:szCs w:val="24"/>
              </w:rPr>
            </w:pPr>
          </w:p>
        </w:tc>
        <w:tc>
          <w:tcPr>
            <w:tcW w:w="80" w:type="dxa"/>
            <w:vAlign w:val="bottom"/>
          </w:tcPr>
          <w:p w14:paraId="20F7A7FD" w14:textId="77777777" w:rsidR="00D1587D" w:rsidRDefault="00D1587D">
            <w:pPr>
              <w:rPr>
                <w:sz w:val="24"/>
                <w:szCs w:val="24"/>
              </w:rPr>
            </w:pPr>
          </w:p>
        </w:tc>
        <w:tc>
          <w:tcPr>
            <w:tcW w:w="100" w:type="dxa"/>
            <w:vAlign w:val="bottom"/>
          </w:tcPr>
          <w:p w14:paraId="57F45486" w14:textId="77777777" w:rsidR="00D1587D" w:rsidRDefault="00D1587D">
            <w:pPr>
              <w:rPr>
                <w:sz w:val="24"/>
                <w:szCs w:val="24"/>
              </w:rPr>
            </w:pPr>
          </w:p>
        </w:tc>
        <w:tc>
          <w:tcPr>
            <w:tcW w:w="340" w:type="dxa"/>
            <w:vAlign w:val="bottom"/>
          </w:tcPr>
          <w:p w14:paraId="535B7AAF" w14:textId="77777777" w:rsidR="00D1587D" w:rsidRDefault="00D1587D">
            <w:pPr>
              <w:rPr>
                <w:sz w:val="24"/>
                <w:szCs w:val="24"/>
              </w:rPr>
            </w:pPr>
          </w:p>
        </w:tc>
        <w:tc>
          <w:tcPr>
            <w:tcW w:w="7680" w:type="dxa"/>
            <w:gridSpan w:val="2"/>
            <w:vAlign w:val="bottom"/>
          </w:tcPr>
          <w:p w14:paraId="777E7BE3" w14:textId="77777777" w:rsidR="00D1587D" w:rsidRDefault="00410D07">
            <w:pPr>
              <w:spacing w:line="294" w:lineRule="exact"/>
              <w:ind w:left="80"/>
              <w:rPr>
                <w:sz w:val="20"/>
                <w:szCs w:val="20"/>
              </w:rPr>
            </w:pPr>
            <w:r>
              <w:rPr>
                <w:rFonts w:ascii="Arial" w:eastAsia="Arial" w:hAnsi="Arial" w:cs="Arial"/>
                <w:sz w:val="18"/>
                <w:szCs w:val="18"/>
              </w:rPr>
              <w:t>Abigail S. Wexner</w:t>
            </w:r>
            <w:r>
              <w:rPr>
                <w:rFonts w:ascii="Arial" w:eastAsia="Arial" w:hAnsi="Arial" w:cs="Arial"/>
                <w:sz w:val="29"/>
                <w:szCs w:val="29"/>
                <w:vertAlign w:val="superscript"/>
              </w:rPr>
              <w:t>*</w:t>
            </w:r>
          </w:p>
        </w:tc>
        <w:tc>
          <w:tcPr>
            <w:tcW w:w="0" w:type="dxa"/>
            <w:vAlign w:val="bottom"/>
          </w:tcPr>
          <w:p w14:paraId="4A63BE62" w14:textId="77777777" w:rsidR="00D1587D" w:rsidRDefault="00D1587D">
            <w:pPr>
              <w:rPr>
                <w:sz w:val="1"/>
                <w:szCs w:val="1"/>
              </w:rPr>
            </w:pPr>
          </w:p>
        </w:tc>
      </w:tr>
      <w:tr w:rsidR="00D1587D" w14:paraId="6563BFFD" w14:textId="77777777">
        <w:trPr>
          <w:trHeight w:val="230"/>
        </w:trPr>
        <w:tc>
          <w:tcPr>
            <w:tcW w:w="400" w:type="dxa"/>
            <w:gridSpan w:val="3"/>
            <w:shd w:val="clear" w:color="auto" w:fill="CCEEFF"/>
            <w:vAlign w:val="bottom"/>
          </w:tcPr>
          <w:p w14:paraId="56B1C33E" w14:textId="77777777" w:rsidR="00D1587D" w:rsidRDefault="00410D07">
            <w:pPr>
              <w:rPr>
                <w:rFonts w:ascii="Arial" w:eastAsia="Arial" w:hAnsi="Arial" w:cs="Arial"/>
                <w:color w:val="0000EE"/>
                <w:sz w:val="18"/>
                <w:szCs w:val="18"/>
              </w:rPr>
            </w:pPr>
            <w:hyperlink w:anchor="page251">
              <w:r>
                <w:rPr>
                  <w:rFonts w:ascii="Arial" w:eastAsia="Arial" w:hAnsi="Arial" w:cs="Arial"/>
                  <w:color w:val="0000EE"/>
                  <w:sz w:val="18"/>
                  <w:szCs w:val="18"/>
                </w:rPr>
                <w:t>21.</w:t>
              </w:r>
              <w:r>
                <w:rPr>
                  <w:rFonts w:ascii="Arial" w:eastAsia="Arial" w:hAnsi="Arial" w:cs="Arial"/>
                  <w:color w:val="0000EE"/>
                  <w:sz w:val="18"/>
                  <w:szCs w:val="18"/>
                  <w:u w:val="single"/>
                </w:rPr>
                <w:t>1</w:t>
              </w:r>
            </w:hyperlink>
          </w:p>
        </w:tc>
        <w:tc>
          <w:tcPr>
            <w:tcW w:w="340" w:type="dxa"/>
            <w:shd w:val="clear" w:color="auto" w:fill="CCEEFF"/>
            <w:vAlign w:val="bottom"/>
          </w:tcPr>
          <w:p w14:paraId="7C9BF6DD" w14:textId="77777777" w:rsidR="00D1587D" w:rsidRDefault="00D1587D">
            <w:pPr>
              <w:rPr>
                <w:sz w:val="19"/>
                <w:szCs w:val="19"/>
              </w:rPr>
            </w:pPr>
          </w:p>
        </w:tc>
        <w:tc>
          <w:tcPr>
            <w:tcW w:w="7680" w:type="dxa"/>
            <w:gridSpan w:val="2"/>
            <w:shd w:val="clear" w:color="auto" w:fill="CCEEFF"/>
            <w:vAlign w:val="bottom"/>
          </w:tcPr>
          <w:p w14:paraId="065A7838" w14:textId="77777777" w:rsidR="00D1587D" w:rsidRDefault="00410D07">
            <w:pPr>
              <w:ind w:left="80"/>
              <w:rPr>
                <w:sz w:val="20"/>
                <w:szCs w:val="20"/>
              </w:rPr>
            </w:pPr>
            <w:r>
              <w:rPr>
                <w:rFonts w:ascii="Arial" w:eastAsia="Arial" w:hAnsi="Arial" w:cs="Arial"/>
                <w:sz w:val="18"/>
                <w:szCs w:val="18"/>
              </w:rPr>
              <w:t>Subsidiaries of the Registrant</w:t>
            </w:r>
          </w:p>
        </w:tc>
        <w:tc>
          <w:tcPr>
            <w:tcW w:w="0" w:type="dxa"/>
            <w:vAlign w:val="bottom"/>
          </w:tcPr>
          <w:p w14:paraId="57C2C09A" w14:textId="77777777" w:rsidR="00D1587D" w:rsidRDefault="00D1587D">
            <w:pPr>
              <w:rPr>
                <w:sz w:val="1"/>
                <w:szCs w:val="1"/>
              </w:rPr>
            </w:pPr>
          </w:p>
        </w:tc>
      </w:tr>
      <w:tr w:rsidR="00D1587D" w14:paraId="3504691D" w14:textId="77777777">
        <w:trPr>
          <w:trHeight w:val="75"/>
        </w:trPr>
        <w:tc>
          <w:tcPr>
            <w:tcW w:w="220" w:type="dxa"/>
            <w:tcBorders>
              <w:top w:val="single" w:sz="8" w:space="0" w:color="0000EE"/>
            </w:tcBorders>
            <w:shd w:val="clear" w:color="auto" w:fill="CCEEFF"/>
            <w:vAlign w:val="bottom"/>
          </w:tcPr>
          <w:p w14:paraId="3EC94A44" w14:textId="77777777" w:rsidR="00D1587D" w:rsidRDefault="00D1587D">
            <w:pPr>
              <w:rPr>
                <w:sz w:val="6"/>
                <w:szCs w:val="6"/>
              </w:rPr>
            </w:pPr>
          </w:p>
        </w:tc>
        <w:tc>
          <w:tcPr>
            <w:tcW w:w="80" w:type="dxa"/>
            <w:tcBorders>
              <w:top w:val="single" w:sz="8" w:space="0" w:color="0000EE"/>
            </w:tcBorders>
            <w:shd w:val="clear" w:color="auto" w:fill="CCEEFF"/>
            <w:vAlign w:val="bottom"/>
          </w:tcPr>
          <w:p w14:paraId="4B32E81F" w14:textId="77777777" w:rsidR="00D1587D" w:rsidRDefault="00D1587D">
            <w:pPr>
              <w:rPr>
                <w:sz w:val="6"/>
                <w:szCs w:val="6"/>
              </w:rPr>
            </w:pPr>
          </w:p>
        </w:tc>
        <w:tc>
          <w:tcPr>
            <w:tcW w:w="100" w:type="dxa"/>
            <w:tcBorders>
              <w:top w:val="single" w:sz="8" w:space="0" w:color="CCEEFF"/>
            </w:tcBorders>
            <w:shd w:val="clear" w:color="auto" w:fill="CCEEFF"/>
            <w:vAlign w:val="bottom"/>
          </w:tcPr>
          <w:p w14:paraId="7AFFC9CB" w14:textId="77777777" w:rsidR="00D1587D" w:rsidRDefault="00D1587D">
            <w:pPr>
              <w:rPr>
                <w:sz w:val="6"/>
                <w:szCs w:val="6"/>
              </w:rPr>
            </w:pPr>
          </w:p>
        </w:tc>
        <w:tc>
          <w:tcPr>
            <w:tcW w:w="340" w:type="dxa"/>
            <w:tcBorders>
              <w:top w:val="single" w:sz="8" w:space="0" w:color="CCEEFF"/>
            </w:tcBorders>
            <w:shd w:val="clear" w:color="auto" w:fill="CCEEFF"/>
            <w:vAlign w:val="bottom"/>
          </w:tcPr>
          <w:p w14:paraId="41ED7D76" w14:textId="77777777" w:rsidR="00D1587D" w:rsidRDefault="00D1587D">
            <w:pPr>
              <w:rPr>
                <w:sz w:val="6"/>
                <w:szCs w:val="6"/>
              </w:rPr>
            </w:pPr>
          </w:p>
        </w:tc>
        <w:tc>
          <w:tcPr>
            <w:tcW w:w="80" w:type="dxa"/>
            <w:tcBorders>
              <w:top w:val="single" w:sz="8" w:space="0" w:color="CCEEFF"/>
            </w:tcBorders>
            <w:shd w:val="clear" w:color="auto" w:fill="CCEEFF"/>
            <w:vAlign w:val="bottom"/>
          </w:tcPr>
          <w:p w14:paraId="4EF2F680" w14:textId="77777777" w:rsidR="00D1587D" w:rsidRDefault="00D1587D">
            <w:pPr>
              <w:rPr>
                <w:sz w:val="6"/>
                <w:szCs w:val="6"/>
              </w:rPr>
            </w:pPr>
          </w:p>
        </w:tc>
        <w:tc>
          <w:tcPr>
            <w:tcW w:w="7600" w:type="dxa"/>
            <w:tcBorders>
              <w:top w:val="single" w:sz="8" w:space="0" w:color="CCEEFF"/>
            </w:tcBorders>
            <w:shd w:val="clear" w:color="auto" w:fill="CCEEFF"/>
            <w:vAlign w:val="bottom"/>
          </w:tcPr>
          <w:p w14:paraId="59E77626" w14:textId="77777777" w:rsidR="00D1587D" w:rsidRDefault="00D1587D">
            <w:pPr>
              <w:rPr>
                <w:sz w:val="6"/>
                <w:szCs w:val="6"/>
              </w:rPr>
            </w:pPr>
          </w:p>
        </w:tc>
        <w:tc>
          <w:tcPr>
            <w:tcW w:w="0" w:type="dxa"/>
            <w:vAlign w:val="bottom"/>
          </w:tcPr>
          <w:p w14:paraId="1FAC6DFE" w14:textId="77777777" w:rsidR="00D1587D" w:rsidRDefault="00D1587D">
            <w:pPr>
              <w:rPr>
                <w:sz w:val="1"/>
                <w:szCs w:val="1"/>
              </w:rPr>
            </w:pPr>
          </w:p>
        </w:tc>
      </w:tr>
      <w:tr w:rsidR="00D1587D" w14:paraId="1AEBF252" w14:textId="77777777">
        <w:trPr>
          <w:trHeight w:val="230"/>
        </w:trPr>
        <w:tc>
          <w:tcPr>
            <w:tcW w:w="400" w:type="dxa"/>
            <w:gridSpan w:val="3"/>
            <w:vAlign w:val="bottom"/>
          </w:tcPr>
          <w:p w14:paraId="05414E16" w14:textId="77777777" w:rsidR="00D1587D" w:rsidRDefault="00410D07">
            <w:pPr>
              <w:rPr>
                <w:rFonts w:ascii="Arial" w:eastAsia="Arial" w:hAnsi="Arial" w:cs="Arial"/>
                <w:color w:val="0000EE"/>
                <w:sz w:val="18"/>
                <w:szCs w:val="18"/>
              </w:rPr>
            </w:pPr>
            <w:hyperlink w:anchor="page253">
              <w:r>
                <w:rPr>
                  <w:rFonts w:ascii="Arial" w:eastAsia="Arial" w:hAnsi="Arial" w:cs="Arial"/>
                  <w:color w:val="0000EE"/>
                  <w:sz w:val="18"/>
                  <w:szCs w:val="18"/>
                </w:rPr>
                <w:t>99.</w:t>
              </w:r>
              <w:r>
                <w:rPr>
                  <w:rFonts w:ascii="Arial" w:eastAsia="Arial" w:hAnsi="Arial" w:cs="Arial"/>
                  <w:color w:val="0000EE"/>
                  <w:sz w:val="18"/>
                  <w:szCs w:val="18"/>
                  <w:u w:val="single"/>
                </w:rPr>
                <w:t>1</w:t>
              </w:r>
            </w:hyperlink>
          </w:p>
        </w:tc>
        <w:tc>
          <w:tcPr>
            <w:tcW w:w="340" w:type="dxa"/>
            <w:vAlign w:val="bottom"/>
          </w:tcPr>
          <w:p w14:paraId="355D5F96" w14:textId="77777777" w:rsidR="00D1587D" w:rsidRDefault="00D1587D">
            <w:pPr>
              <w:rPr>
                <w:sz w:val="19"/>
                <w:szCs w:val="19"/>
              </w:rPr>
            </w:pPr>
          </w:p>
        </w:tc>
        <w:tc>
          <w:tcPr>
            <w:tcW w:w="7680" w:type="dxa"/>
            <w:gridSpan w:val="2"/>
            <w:vAlign w:val="bottom"/>
          </w:tcPr>
          <w:p w14:paraId="5A28BCCE" w14:textId="77777777" w:rsidR="00D1587D" w:rsidRDefault="00410D07">
            <w:pPr>
              <w:ind w:left="80"/>
              <w:rPr>
                <w:sz w:val="20"/>
                <w:szCs w:val="20"/>
              </w:rPr>
            </w:pPr>
            <w:r>
              <w:rPr>
                <w:rFonts w:ascii="Arial" w:eastAsia="Arial" w:hAnsi="Arial" w:cs="Arial"/>
                <w:sz w:val="18"/>
                <w:szCs w:val="18"/>
              </w:rPr>
              <w:t xml:space="preserve">Preliminary Information Statement dated </w:t>
            </w:r>
            <w:r>
              <w:rPr>
                <w:rFonts w:ascii="Arial" w:eastAsia="Arial" w:hAnsi="Arial" w:cs="Arial"/>
                <w:sz w:val="18"/>
                <w:szCs w:val="18"/>
              </w:rPr>
              <w:t>June 21, 2021</w:t>
            </w:r>
          </w:p>
        </w:tc>
        <w:tc>
          <w:tcPr>
            <w:tcW w:w="0" w:type="dxa"/>
            <w:vAlign w:val="bottom"/>
          </w:tcPr>
          <w:p w14:paraId="67E01754" w14:textId="77777777" w:rsidR="00D1587D" w:rsidRDefault="00D1587D">
            <w:pPr>
              <w:rPr>
                <w:sz w:val="1"/>
                <w:szCs w:val="1"/>
              </w:rPr>
            </w:pPr>
          </w:p>
        </w:tc>
      </w:tr>
      <w:tr w:rsidR="00D1587D" w14:paraId="04403788" w14:textId="77777777">
        <w:trPr>
          <w:trHeight w:val="75"/>
        </w:trPr>
        <w:tc>
          <w:tcPr>
            <w:tcW w:w="220" w:type="dxa"/>
            <w:tcBorders>
              <w:top w:val="single" w:sz="8" w:space="0" w:color="0000EE"/>
            </w:tcBorders>
            <w:vAlign w:val="bottom"/>
          </w:tcPr>
          <w:p w14:paraId="68BBF07B" w14:textId="77777777" w:rsidR="00D1587D" w:rsidRDefault="00D1587D">
            <w:pPr>
              <w:rPr>
                <w:sz w:val="6"/>
                <w:szCs w:val="6"/>
              </w:rPr>
            </w:pPr>
          </w:p>
        </w:tc>
        <w:tc>
          <w:tcPr>
            <w:tcW w:w="80" w:type="dxa"/>
            <w:tcBorders>
              <w:top w:val="single" w:sz="8" w:space="0" w:color="0000EE"/>
            </w:tcBorders>
            <w:vAlign w:val="bottom"/>
          </w:tcPr>
          <w:p w14:paraId="0D057D79" w14:textId="77777777" w:rsidR="00D1587D" w:rsidRDefault="00D1587D">
            <w:pPr>
              <w:rPr>
                <w:sz w:val="6"/>
                <w:szCs w:val="6"/>
              </w:rPr>
            </w:pPr>
          </w:p>
        </w:tc>
        <w:tc>
          <w:tcPr>
            <w:tcW w:w="100" w:type="dxa"/>
            <w:vAlign w:val="bottom"/>
          </w:tcPr>
          <w:p w14:paraId="26AB35D1" w14:textId="77777777" w:rsidR="00D1587D" w:rsidRDefault="00D1587D">
            <w:pPr>
              <w:rPr>
                <w:sz w:val="6"/>
                <w:szCs w:val="6"/>
              </w:rPr>
            </w:pPr>
          </w:p>
        </w:tc>
        <w:tc>
          <w:tcPr>
            <w:tcW w:w="340" w:type="dxa"/>
            <w:vAlign w:val="bottom"/>
          </w:tcPr>
          <w:p w14:paraId="113C68DF" w14:textId="77777777" w:rsidR="00D1587D" w:rsidRDefault="00D1587D">
            <w:pPr>
              <w:rPr>
                <w:sz w:val="6"/>
                <w:szCs w:val="6"/>
              </w:rPr>
            </w:pPr>
          </w:p>
        </w:tc>
        <w:tc>
          <w:tcPr>
            <w:tcW w:w="80" w:type="dxa"/>
            <w:vAlign w:val="bottom"/>
          </w:tcPr>
          <w:p w14:paraId="558FF399" w14:textId="77777777" w:rsidR="00D1587D" w:rsidRDefault="00D1587D">
            <w:pPr>
              <w:rPr>
                <w:sz w:val="6"/>
                <w:szCs w:val="6"/>
              </w:rPr>
            </w:pPr>
          </w:p>
        </w:tc>
        <w:tc>
          <w:tcPr>
            <w:tcW w:w="7600" w:type="dxa"/>
            <w:vAlign w:val="bottom"/>
          </w:tcPr>
          <w:p w14:paraId="0E812474" w14:textId="77777777" w:rsidR="00D1587D" w:rsidRDefault="00D1587D">
            <w:pPr>
              <w:rPr>
                <w:sz w:val="6"/>
                <w:szCs w:val="6"/>
              </w:rPr>
            </w:pPr>
          </w:p>
        </w:tc>
        <w:tc>
          <w:tcPr>
            <w:tcW w:w="0" w:type="dxa"/>
            <w:vAlign w:val="bottom"/>
          </w:tcPr>
          <w:p w14:paraId="0B6030E3" w14:textId="77777777" w:rsidR="00D1587D" w:rsidRDefault="00D1587D">
            <w:pPr>
              <w:rPr>
                <w:sz w:val="1"/>
                <w:szCs w:val="1"/>
              </w:rPr>
            </w:pPr>
          </w:p>
        </w:tc>
      </w:tr>
      <w:tr w:rsidR="00D1587D" w14:paraId="13FA47BC" w14:textId="77777777">
        <w:trPr>
          <w:trHeight w:val="324"/>
        </w:trPr>
        <w:tc>
          <w:tcPr>
            <w:tcW w:w="400" w:type="dxa"/>
            <w:gridSpan w:val="3"/>
            <w:shd w:val="clear" w:color="auto" w:fill="CCEEFF"/>
            <w:vAlign w:val="bottom"/>
          </w:tcPr>
          <w:p w14:paraId="2E9EFF53" w14:textId="77777777" w:rsidR="00D1587D" w:rsidRDefault="00410D07">
            <w:pPr>
              <w:rPr>
                <w:sz w:val="20"/>
                <w:szCs w:val="20"/>
              </w:rPr>
            </w:pPr>
            <w:r>
              <w:rPr>
                <w:rFonts w:ascii="Arial" w:eastAsia="Arial" w:hAnsi="Arial" w:cs="Arial"/>
                <w:sz w:val="18"/>
                <w:szCs w:val="18"/>
              </w:rPr>
              <w:t>99.2</w:t>
            </w:r>
          </w:p>
        </w:tc>
        <w:tc>
          <w:tcPr>
            <w:tcW w:w="340" w:type="dxa"/>
            <w:shd w:val="clear" w:color="auto" w:fill="CCEEFF"/>
            <w:vAlign w:val="bottom"/>
          </w:tcPr>
          <w:p w14:paraId="24B5DF5B" w14:textId="77777777" w:rsidR="00D1587D" w:rsidRDefault="00D1587D">
            <w:pPr>
              <w:rPr>
                <w:sz w:val="24"/>
                <w:szCs w:val="24"/>
              </w:rPr>
            </w:pPr>
          </w:p>
        </w:tc>
        <w:tc>
          <w:tcPr>
            <w:tcW w:w="7680" w:type="dxa"/>
            <w:gridSpan w:val="2"/>
            <w:shd w:val="clear" w:color="auto" w:fill="CCEEFF"/>
            <w:vAlign w:val="bottom"/>
          </w:tcPr>
          <w:p w14:paraId="7046757B" w14:textId="77777777" w:rsidR="00D1587D" w:rsidRDefault="00410D07">
            <w:pPr>
              <w:spacing w:line="324" w:lineRule="exact"/>
              <w:ind w:left="80"/>
              <w:rPr>
                <w:sz w:val="20"/>
                <w:szCs w:val="20"/>
              </w:rPr>
            </w:pPr>
            <w:r>
              <w:rPr>
                <w:rFonts w:ascii="Arial" w:eastAsia="Arial" w:hAnsi="Arial" w:cs="Arial"/>
                <w:sz w:val="18"/>
                <w:szCs w:val="18"/>
              </w:rPr>
              <w:t>Form of Notice of Internet Availability of Information Statement Materials</w:t>
            </w:r>
            <w:r>
              <w:rPr>
                <w:rFonts w:ascii="Arial" w:eastAsia="Arial" w:hAnsi="Arial" w:cs="Arial"/>
                <w:sz w:val="29"/>
                <w:szCs w:val="29"/>
                <w:vertAlign w:val="superscript"/>
              </w:rPr>
              <w:t>*</w:t>
            </w:r>
          </w:p>
        </w:tc>
        <w:tc>
          <w:tcPr>
            <w:tcW w:w="0" w:type="dxa"/>
            <w:vAlign w:val="bottom"/>
          </w:tcPr>
          <w:p w14:paraId="5A15DE34" w14:textId="77777777" w:rsidR="00D1587D" w:rsidRDefault="00D1587D">
            <w:pPr>
              <w:rPr>
                <w:sz w:val="1"/>
                <w:szCs w:val="1"/>
              </w:rPr>
            </w:pPr>
          </w:p>
        </w:tc>
      </w:tr>
    </w:tbl>
    <w:p w14:paraId="039EBEC8" w14:textId="77777777" w:rsidR="00D1587D" w:rsidRDefault="00410D07">
      <w:pPr>
        <w:spacing w:line="20" w:lineRule="exact"/>
        <w:rPr>
          <w:sz w:val="20"/>
          <w:szCs w:val="20"/>
        </w:rPr>
      </w:pPr>
      <w:r>
        <w:rPr>
          <w:noProof/>
          <w:sz w:val="20"/>
          <w:szCs w:val="20"/>
        </w:rPr>
        <w:drawing>
          <wp:anchor distT="0" distB="0" distL="114300" distR="114300" simplePos="0" relativeHeight="251146240" behindDoc="1" locked="0" layoutInCell="0" allowOverlap="1" wp14:anchorId="05C471E6" wp14:editId="5C5231E3">
            <wp:simplePos x="0" y="0"/>
            <wp:positionH relativeFrom="column">
              <wp:posOffset>656590</wp:posOffset>
            </wp:positionH>
            <wp:positionV relativeFrom="paragraph">
              <wp:posOffset>-4885690</wp:posOffset>
            </wp:positionV>
            <wp:extent cx="51435" cy="825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p>
    <w:p w14:paraId="7C09BD11" w14:textId="77777777" w:rsidR="00D1587D" w:rsidRDefault="00D1587D">
      <w:pPr>
        <w:spacing w:line="26" w:lineRule="exact"/>
        <w:rPr>
          <w:sz w:val="20"/>
          <w:szCs w:val="20"/>
        </w:rPr>
      </w:pPr>
    </w:p>
    <w:p w14:paraId="1CA74125" w14:textId="77777777" w:rsidR="00D1587D" w:rsidRDefault="00410D07">
      <w:pPr>
        <w:numPr>
          <w:ilvl w:val="0"/>
          <w:numId w:val="1"/>
        </w:numPr>
        <w:tabs>
          <w:tab w:val="left" w:pos="460"/>
        </w:tabs>
        <w:ind w:left="460" w:hanging="168"/>
        <w:rPr>
          <w:rFonts w:ascii="Arial" w:eastAsia="Arial" w:hAnsi="Arial" w:cs="Arial"/>
          <w:b/>
          <w:bCs/>
          <w:vertAlign w:val="superscript"/>
        </w:rPr>
      </w:pPr>
      <w:r>
        <w:rPr>
          <w:rFonts w:ascii="Arial" w:eastAsia="Arial" w:hAnsi="Arial" w:cs="Arial"/>
          <w:b/>
          <w:bCs/>
          <w:sz w:val="14"/>
          <w:szCs w:val="14"/>
        </w:rPr>
        <w:t>To be filed by amendment.</w:t>
      </w:r>
    </w:p>
    <w:p w14:paraId="577AE79B" w14:textId="77777777" w:rsidR="00D1587D" w:rsidRDefault="00410D07">
      <w:pPr>
        <w:spacing w:line="20" w:lineRule="exact"/>
        <w:rPr>
          <w:sz w:val="20"/>
          <w:szCs w:val="20"/>
        </w:rPr>
      </w:pPr>
      <w:r>
        <w:rPr>
          <w:noProof/>
          <w:sz w:val="20"/>
          <w:szCs w:val="20"/>
        </w:rPr>
        <w:drawing>
          <wp:anchor distT="0" distB="0" distL="114300" distR="114300" simplePos="0" relativeHeight="251147264" behindDoc="1" locked="0" layoutInCell="0" allowOverlap="1" wp14:anchorId="5850A72F" wp14:editId="292A881F">
            <wp:simplePos x="0" y="0"/>
            <wp:positionH relativeFrom="column">
              <wp:posOffset>185420</wp:posOffset>
            </wp:positionH>
            <wp:positionV relativeFrom="paragraph">
              <wp:posOffset>-146050</wp:posOffset>
            </wp:positionV>
            <wp:extent cx="822960" cy="825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211403DF" w14:textId="77777777" w:rsidR="00D1587D" w:rsidRDefault="00D1587D">
      <w:pPr>
        <w:spacing w:line="167" w:lineRule="exact"/>
        <w:rPr>
          <w:sz w:val="20"/>
          <w:szCs w:val="20"/>
        </w:rPr>
      </w:pPr>
    </w:p>
    <w:p w14:paraId="17E53E55" w14:textId="77777777" w:rsidR="00D1587D" w:rsidRDefault="00410D07">
      <w:pPr>
        <w:jc w:val="center"/>
        <w:rPr>
          <w:sz w:val="20"/>
          <w:szCs w:val="20"/>
        </w:rPr>
      </w:pPr>
      <w:r>
        <w:rPr>
          <w:rFonts w:ascii="Arial" w:eastAsia="Arial" w:hAnsi="Arial" w:cs="Arial"/>
          <w:sz w:val="18"/>
          <w:szCs w:val="18"/>
        </w:rPr>
        <w:t>3</w:t>
      </w:r>
    </w:p>
    <w:p w14:paraId="5094FED2" w14:textId="77777777" w:rsidR="00D1587D" w:rsidRDefault="00410D07">
      <w:pPr>
        <w:spacing w:line="20" w:lineRule="exact"/>
        <w:rPr>
          <w:sz w:val="20"/>
          <w:szCs w:val="20"/>
        </w:rPr>
      </w:pPr>
      <w:r>
        <w:rPr>
          <w:noProof/>
          <w:sz w:val="20"/>
          <w:szCs w:val="20"/>
        </w:rPr>
        <w:drawing>
          <wp:anchor distT="0" distB="0" distL="114300" distR="114300" simplePos="0" relativeHeight="251148288" behindDoc="1" locked="0" layoutInCell="0" allowOverlap="1" wp14:anchorId="5FB4E321" wp14:editId="397A48F9">
            <wp:simplePos x="0" y="0"/>
            <wp:positionH relativeFrom="column">
              <wp:posOffset>-636905</wp:posOffset>
            </wp:positionH>
            <wp:positionV relativeFrom="paragraph">
              <wp:posOffset>126365</wp:posOffset>
            </wp:positionV>
            <wp:extent cx="6995160" cy="1714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F00A41D" w14:textId="77777777" w:rsidR="00D1587D" w:rsidRDefault="00D1587D">
      <w:pPr>
        <w:sectPr w:rsidR="00D1587D">
          <w:pgSz w:w="11900" w:h="16838"/>
          <w:pgMar w:top="243" w:right="1440" w:bottom="1440" w:left="1440" w:header="0" w:footer="0" w:gutter="0"/>
          <w:cols w:space="720" w:equalWidth="0">
            <w:col w:w="9019"/>
          </w:cols>
        </w:sectPr>
      </w:pPr>
    </w:p>
    <w:p w14:paraId="56A4E6F8" w14:textId="77777777" w:rsidR="00D1587D" w:rsidRDefault="00410D07">
      <w:pPr>
        <w:jc w:val="center"/>
        <w:rPr>
          <w:sz w:val="20"/>
          <w:szCs w:val="20"/>
        </w:rPr>
      </w:pPr>
      <w:bookmarkStart w:id="4" w:name="page5"/>
      <w:bookmarkEnd w:id="4"/>
      <w:r>
        <w:rPr>
          <w:rFonts w:ascii="Arial" w:eastAsia="Arial" w:hAnsi="Arial" w:cs="Arial"/>
          <w:b/>
          <w:bCs/>
          <w:sz w:val="18"/>
          <w:szCs w:val="18"/>
        </w:rPr>
        <w:lastRenderedPageBreak/>
        <w:t>SIGNATURE</w:t>
      </w:r>
    </w:p>
    <w:p w14:paraId="0F3D8A71" w14:textId="77777777" w:rsidR="00D1587D" w:rsidRDefault="00D1587D">
      <w:pPr>
        <w:spacing w:line="121" w:lineRule="exact"/>
        <w:rPr>
          <w:sz w:val="20"/>
          <w:szCs w:val="20"/>
        </w:rPr>
      </w:pPr>
    </w:p>
    <w:p w14:paraId="46F4DC6E" w14:textId="77777777" w:rsidR="00D1587D" w:rsidRDefault="00410D07">
      <w:pPr>
        <w:spacing w:line="342" w:lineRule="auto"/>
        <w:ind w:left="300" w:right="739" w:firstLine="360"/>
        <w:rPr>
          <w:sz w:val="20"/>
          <w:szCs w:val="20"/>
        </w:rPr>
      </w:pPr>
      <w:r>
        <w:rPr>
          <w:rFonts w:ascii="Arial" w:eastAsia="Arial" w:hAnsi="Arial" w:cs="Arial"/>
          <w:sz w:val="16"/>
          <w:szCs w:val="16"/>
        </w:rPr>
        <w:t xml:space="preserve">Pursuant to the requirements of Section 12 of the Securities Exchange Act of </w:t>
      </w:r>
      <w:r>
        <w:rPr>
          <w:rFonts w:ascii="Arial" w:eastAsia="Arial" w:hAnsi="Arial" w:cs="Arial"/>
          <w:sz w:val="16"/>
          <w:szCs w:val="16"/>
        </w:rPr>
        <w:t>1934, the registrant has duly caused this registration statement to be signed on its behalf by the undersigned, thereunto duly authorized.</w:t>
      </w:r>
    </w:p>
    <w:p w14:paraId="3AB93776" w14:textId="77777777" w:rsidR="00D1587D" w:rsidRDefault="00D1587D">
      <w:pPr>
        <w:spacing w:line="83" w:lineRule="exact"/>
        <w:rPr>
          <w:sz w:val="20"/>
          <w:szCs w:val="20"/>
        </w:rPr>
      </w:pPr>
    </w:p>
    <w:p w14:paraId="6E9178FD" w14:textId="77777777" w:rsidR="00D1587D" w:rsidRDefault="00410D07">
      <w:pPr>
        <w:ind w:left="4360"/>
        <w:rPr>
          <w:sz w:val="20"/>
          <w:szCs w:val="20"/>
        </w:rPr>
      </w:pPr>
      <w:r>
        <w:rPr>
          <w:rFonts w:ascii="Arial" w:eastAsia="Arial" w:hAnsi="Arial" w:cs="Arial"/>
          <w:sz w:val="18"/>
          <w:szCs w:val="18"/>
        </w:rPr>
        <w:t>Victoria’s Secret &amp; Co.</w:t>
      </w:r>
    </w:p>
    <w:p w14:paraId="5DDB7AEB" w14:textId="77777777" w:rsidR="00D1587D" w:rsidRDefault="00D1587D">
      <w:pPr>
        <w:spacing w:line="200" w:lineRule="exact"/>
        <w:rPr>
          <w:sz w:val="20"/>
          <w:szCs w:val="20"/>
        </w:rPr>
      </w:pPr>
    </w:p>
    <w:p w14:paraId="480770B2" w14:textId="77777777" w:rsidR="00D1587D" w:rsidRDefault="00D1587D">
      <w:pPr>
        <w:spacing w:line="241" w:lineRule="exact"/>
        <w:rPr>
          <w:sz w:val="20"/>
          <w:szCs w:val="20"/>
        </w:rPr>
      </w:pPr>
    </w:p>
    <w:p w14:paraId="607B4902" w14:textId="77777777" w:rsidR="00D1587D" w:rsidRDefault="00410D07">
      <w:pPr>
        <w:tabs>
          <w:tab w:val="left" w:pos="4800"/>
        </w:tabs>
        <w:ind w:left="4360"/>
        <w:rPr>
          <w:sz w:val="20"/>
          <w:szCs w:val="20"/>
        </w:rPr>
      </w:pPr>
      <w:r>
        <w:rPr>
          <w:rFonts w:ascii="Arial" w:eastAsia="Arial" w:hAnsi="Arial" w:cs="Arial"/>
          <w:sz w:val="18"/>
          <w:szCs w:val="18"/>
        </w:rPr>
        <w:t>By:</w:t>
      </w:r>
      <w:r>
        <w:rPr>
          <w:rFonts w:ascii="Arial" w:eastAsia="Arial" w:hAnsi="Arial" w:cs="Arial"/>
          <w:sz w:val="18"/>
          <w:szCs w:val="18"/>
        </w:rPr>
        <w:tab/>
        <w:t>/s/ Martin Waters</w:t>
      </w:r>
    </w:p>
    <w:p w14:paraId="74ACC497" w14:textId="77777777" w:rsidR="00D1587D" w:rsidRDefault="00410D07">
      <w:pPr>
        <w:spacing w:line="20" w:lineRule="exact"/>
        <w:rPr>
          <w:sz w:val="20"/>
          <w:szCs w:val="20"/>
        </w:rPr>
      </w:pPr>
      <w:r>
        <w:rPr>
          <w:noProof/>
          <w:sz w:val="20"/>
          <w:szCs w:val="20"/>
        </w:rPr>
        <w:drawing>
          <wp:anchor distT="0" distB="0" distL="114300" distR="114300" simplePos="0" relativeHeight="251149312" behindDoc="1" locked="0" layoutInCell="0" allowOverlap="1" wp14:anchorId="234E4616" wp14:editId="0CE3745D">
            <wp:simplePos x="0" y="0"/>
            <wp:positionH relativeFrom="column">
              <wp:posOffset>3056890</wp:posOffset>
            </wp:positionH>
            <wp:positionV relativeFrom="paragraph">
              <wp:posOffset>57785</wp:posOffset>
            </wp:positionV>
            <wp:extent cx="2477135" cy="825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srcRect/>
                    <a:stretch>
                      <a:fillRect/>
                    </a:stretch>
                  </pic:blipFill>
                  <pic:spPr bwMode="auto">
                    <a:xfrm>
                      <a:off x="0" y="0"/>
                      <a:ext cx="2477135" cy="8255"/>
                    </a:xfrm>
                    <a:prstGeom prst="rect">
                      <a:avLst/>
                    </a:prstGeom>
                    <a:noFill/>
                  </pic:spPr>
                </pic:pic>
              </a:graphicData>
            </a:graphic>
          </wp:anchor>
        </w:drawing>
      </w:r>
    </w:p>
    <w:p w14:paraId="22FEC028" w14:textId="77777777" w:rsidR="00D1587D" w:rsidRDefault="00D1587D">
      <w:pPr>
        <w:spacing w:line="138" w:lineRule="exact"/>
        <w:rPr>
          <w:sz w:val="20"/>
          <w:szCs w:val="20"/>
        </w:rPr>
      </w:pPr>
    </w:p>
    <w:p w14:paraId="221E7635" w14:textId="77777777" w:rsidR="00D1587D" w:rsidRDefault="00410D07">
      <w:pPr>
        <w:tabs>
          <w:tab w:val="left" w:pos="5460"/>
        </w:tabs>
        <w:ind w:left="4820"/>
        <w:rPr>
          <w:sz w:val="20"/>
          <w:szCs w:val="20"/>
        </w:rPr>
      </w:pPr>
      <w:r>
        <w:rPr>
          <w:rFonts w:ascii="Arial" w:eastAsia="Arial" w:hAnsi="Arial" w:cs="Arial"/>
          <w:sz w:val="18"/>
          <w:szCs w:val="18"/>
        </w:rPr>
        <w:t>Name:</w:t>
      </w:r>
      <w:r>
        <w:rPr>
          <w:rFonts w:ascii="Arial" w:eastAsia="Arial" w:hAnsi="Arial" w:cs="Arial"/>
          <w:sz w:val="18"/>
          <w:szCs w:val="18"/>
        </w:rPr>
        <w:tab/>
        <w:t>Martin Waters</w:t>
      </w:r>
    </w:p>
    <w:p w14:paraId="05A98129" w14:textId="77777777" w:rsidR="00D1587D" w:rsidRDefault="00D1587D">
      <w:pPr>
        <w:spacing w:line="117" w:lineRule="exact"/>
        <w:rPr>
          <w:sz w:val="20"/>
          <w:szCs w:val="20"/>
        </w:rPr>
      </w:pPr>
    </w:p>
    <w:p w14:paraId="52CCB452" w14:textId="77777777" w:rsidR="00D1587D" w:rsidRDefault="00410D07">
      <w:pPr>
        <w:tabs>
          <w:tab w:val="left" w:pos="5460"/>
        </w:tabs>
        <w:ind w:left="4820"/>
        <w:rPr>
          <w:sz w:val="20"/>
          <w:szCs w:val="20"/>
        </w:rPr>
      </w:pPr>
      <w:r>
        <w:rPr>
          <w:rFonts w:ascii="Arial" w:eastAsia="Arial" w:hAnsi="Arial" w:cs="Arial"/>
          <w:sz w:val="18"/>
          <w:szCs w:val="18"/>
        </w:rPr>
        <w:t>Title:</w:t>
      </w:r>
      <w:r>
        <w:rPr>
          <w:rFonts w:ascii="Arial" w:eastAsia="Arial" w:hAnsi="Arial" w:cs="Arial"/>
          <w:sz w:val="18"/>
          <w:szCs w:val="18"/>
        </w:rPr>
        <w:tab/>
        <w:t>Chief Executive Officer</w:t>
      </w:r>
    </w:p>
    <w:p w14:paraId="122E90FF" w14:textId="77777777" w:rsidR="00D1587D" w:rsidRDefault="00D1587D">
      <w:pPr>
        <w:spacing w:line="185" w:lineRule="exact"/>
        <w:rPr>
          <w:sz w:val="20"/>
          <w:szCs w:val="20"/>
        </w:rPr>
      </w:pPr>
    </w:p>
    <w:p w14:paraId="1F7D4CFF" w14:textId="77777777" w:rsidR="00D1587D" w:rsidRDefault="00410D07">
      <w:pPr>
        <w:ind w:left="300"/>
        <w:rPr>
          <w:sz w:val="20"/>
          <w:szCs w:val="20"/>
        </w:rPr>
      </w:pPr>
      <w:r>
        <w:rPr>
          <w:rFonts w:ascii="Arial" w:eastAsia="Arial" w:hAnsi="Arial" w:cs="Arial"/>
          <w:sz w:val="18"/>
          <w:szCs w:val="18"/>
        </w:rPr>
        <w:t xml:space="preserve">Date: </w:t>
      </w:r>
      <w:r>
        <w:rPr>
          <w:rFonts w:ascii="Arial" w:eastAsia="Arial" w:hAnsi="Arial" w:cs="Arial"/>
          <w:sz w:val="18"/>
          <w:szCs w:val="18"/>
        </w:rPr>
        <w:t>June 21, 2021</w:t>
      </w:r>
    </w:p>
    <w:p w14:paraId="24FF9B9E" w14:textId="77777777" w:rsidR="00D1587D" w:rsidRDefault="00D1587D">
      <w:pPr>
        <w:spacing w:line="225" w:lineRule="exact"/>
        <w:rPr>
          <w:sz w:val="20"/>
          <w:szCs w:val="20"/>
        </w:rPr>
      </w:pPr>
    </w:p>
    <w:p w14:paraId="7D01D316" w14:textId="77777777" w:rsidR="00D1587D" w:rsidRDefault="00410D07">
      <w:pPr>
        <w:jc w:val="center"/>
        <w:rPr>
          <w:sz w:val="20"/>
          <w:szCs w:val="20"/>
        </w:rPr>
      </w:pPr>
      <w:r>
        <w:rPr>
          <w:rFonts w:ascii="Arial" w:eastAsia="Arial" w:hAnsi="Arial" w:cs="Arial"/>
          <w:sz w:val="18"/>
          <w:szCs w:val="18"/>
        </w:rPr>
        <w:t>4</w:t>
      </w:r>
    </w:p>
    <w:p w14:paraId="4A0BF943" w14:textId="77777777" w:rsidR="00D1587D" w:rsidRDefault="00D1587D">
      <w:pPr>
        <w:sectPr w:rsidR="00D1587D">
          <w:pgSz w:w="11900" w:h="16838"/>
          <w:pgMar w:top="243" w:right="1440" w:bottom="1440" w:left="1440" w:header="0" w:footer="0" w:gutter="0"/>
          <w:cols w:space="720" w:equalWidth="0">
            <w:col w:w="9019"/>
          </w:cols>
        </w:sectPr>
      </w:pPr>
    </w:p>
    <w:p w14:paraId="48666C5C" w14:textId="77777777" w:rsidR="00D1587D" w:rsidRDefault="00410D07">
      <w:pPr>
        <w:jc w:val="right"/>
        <w:rPr>
          <w:sz w:val="20"/>
          <w:szCs w:val="20"/>
        </w:rPr>
      </w:pPr>
      <w:bookmarkStart w:id="5" w:name="page6"/>
      <w:bookmarkEnd w:id="5"/>
      <w:r>
        <w:rPr>
          <w:rFonts w:ascii="Arial" w:eastAsia="Arial" w:hAnsi="Arial" w:cs="Arial"/>
          <w:b/>
          <w:bCs/>
          <w:noProof/>
          <w:sz w:val="18"/>
          <w:szCs w:val="18"/>
        </w:rPr>
        <w:lastRenderedPageBreak/>
        <w:drawing>
          <wp:anchor distT="0" distB="0" distL="114300" distR="114300" simplePos="0" relativeHeight="251150336" behindDoc="1" locked="0" layoutInCell="0" allowOverlap="1" wp14:anchorId="0CF3DA5F" wp14:editId="020D260A">
            <wp:simplePos x="0" y="0"/>
            <wp:positionH relativeFrom="page">
              <wp:posOffset>208280</wp:posOffset>
            </wp:positionH>
            <wp:positionV relativeFrom="page">
              <wp:posOffset>88900</wp:posOffset>
            </wp:positionV>
            <wp:extent cx="7132320" cy="342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sz w:val="18"/>
          <w:szCs w:val="18"/>
        </w:rPr>
        <w:t>Exhibit 2.1</w:t>
      </w:r>
    </w:p>
    <w:p w14:paraId="1C57EA47" w14:textId="77777777" w:rsidR="00D1587D" w:rsidRDefault="00D1587D">
      <w:pPr>
        <w:spacing w:line="225" w:lineRule="exact"/>
        <w:rPr>
          <w:sz w:val="20"/>
          <w:szCs w:val="20"/>
        </w:rPr>
      </w:pPr>
    </w:p>
    <w:p w14:paraId="73C36BFF" w14:textId="77777777" w:rsidR="00D1587D" w:rsidRDefault="00410D07">
      <w:pPr>
        <w:ind w:right="1100"/>
        <w:jc w:val="center"/>
        <w:rPr>
          <w:sz w:val="20"/>
          <w:szCs w:val="20"/>
        </w:rPr>
      </w:pPr>
      <w:r>
        <w:rPr>
          <w:rFonts w:ascii="Arial" w:eastAsia="Arial" w:hAnsi="Arial" w:cs="Arial"/>
          <w:b/>
          <w:bCs/>
          <w:sz w:val="18"/>
          <w:szCs w:val="18"/>
        </w:rPr>
        <w:t>FORM OF</w:t>
      </w:r>
    </w:p>
    <w:p w14:paraId="2B131D69" w14:textId="77777777" w:rsidR="00D1587D" w:rsidRDefault="00D1587D">
      <w:pPr>
        <w:spacing w:line="225" w:lineRule="exact"/>
        <w:rPr>
          <w:sz w:val="20"/>
          <w:szCs w:val="20"/>
        </w:rPr>
      </w:pPr>
    </w:p>
    <w:p w14:paraId="175BFDB8" w14:textId="77777777" w:rsidR="00D1587D" w:rsidRDefault="00410D07">
      <w:pPr>
        <w:ind w:right="1100"/>
        <w:jc w:val="center"/>
        <w:rPr>
          <w:sz w:val="20"/>
          <w:szCs w:val="20"/>
        </w:rPr>
      </w:pPr>
      <w:r>
        <w:rPr>
          <w:rFonts w:ascii="Arial" w:eastAsia="Arial" w:hAnsi="Arial" w:cs="Arial"/>
          <w:b/>
          <w:bCs/>
          <w:sz w:val="18"/>
          <w:szCs w:val="18"/>
        </w:rPr>
        <w:t>SEPARATION AND DISTRIBUTION AGREEMENT</w:t>
      </w:r>
    </w:p>
    <w:p w14:paraId="3F2134A4" w14:textId="77777777" w:rsidR="00D1587D" w:rsidRDefault="00D1587D">
      <w:pPr>
        <w:spacing w:line="229" w:lineRule="exact"/>
        <w:rPr>
          <w:sz w:val="20"/>
          <w:szCs w:val="20"/>
        </w:rPr>
      </w:pPr>
    </w:p>
    <w:p w14:paraId="77ED4547" w14:textId="77777777" w:rsidR="00D1587D" w:rsidRDefault="00410D07">
      <w:pPr>
        <w:ind w:right="1100"/>
        <w:jc w:val="center"/>
        <w:rPr>
          <w:sz w:val="20"/>
          <w:szCs w:val="20"/>
        </w:rPr>
      </w:pPr>
      <w:r>
        <w:rPr>
          <w:rFonts w:ascii="Arial" w:eastAsia="Arial" w:hAnsi="Arial" w:cs="Arial"/>
          <w:sz w:val="18"/>
          <w:szCs w:val="18"/>
        </w:rPr>
        <w:t>by and between</w:t>
      </w:r>
    </w:p>
    <w:p w14:paraId="64879C7E" w14:textId="77777777" w:rsidR="00D1587D" w:rsidRDefault="00D1587D">
      <w:pPr>
        <w:spacing w:line="225" w:lineRule="exact"/>
        <w:rPr>
          <w:sz w:val="20"/>
          <w:szCs w:val="20"/>
        </w:rPr>
      </w:pPr>
    </w:p>
    <w:p w14:paraId="418B7699" w14:textId="77777777" w:rsidR="00D1587D" w:rsidRDefault="00410D07">
      <w:pPr>
        <w:ind w:right="1100"/>
        <w:jc w:val="center"/>
        <w:rPr>
          <w:sz w:val="20"/>
          <w:szCs w:val="20"/>
        </w:rPr>
      </w:pPr>
      <w:r>
        <w:rPr>
          <w:rFonts w:ascii="Arial" w:eastAsia="Arial" w:hAnsi="Arial" w:cs="Arial"/>
          <w:sz w:val="18"/>
          <w:szCs w:val="18"/>
        </w:rPr>
        <w:t>L BRANDS, INC.</w:t>
      </w:r>
    </w:p>
    <w:p w14:paraId="1E51A9D8" w14:textId="77777777" w:rsidR="00D1587D" w:rsidRDefault="00D1587D">
      <w:pPr>
        <w:spacing w:line="225" w:lineRule="exact"/>
        <w:rPr>
          <w:sz w:val="20"/>
          <w:szCs w:val="20"/>
        </w:rPr>
      </w:pPr>
    </w:p>
    <w:p w14:paraId="3DED8A47" w14:textId="77777777" w:rsidR="00D1587D" w:rsidRDefault="00410D07">
      <w:pPr>
        <w:ind w:right="1100"/>
        <w:jc w:val="center"/>
        <w:rPr>
          <w:sz w:val="20"/>
          <w:szCs w:val="20"/>
        </w:rPr>
      </w:pPr>
      <w:r>
        <w:rPr>
          <w:rFonts w:ascii="Arial" w:eastAsia="Arial" w:hAnsi="Arial" w:cs="Arial"/>
          <w:sz w:val="18"/>
          <w:szCs w:val="18"/>
        </w:rPr>
        <w:t>and</w:t>
      </w:r>
    </w:p>
    <w:p w14:paraId="5CDE9238" w14:textId="77777777" w:rsidR="00D1587D" w:rsidRDefault="00D1587D">
      <w:pPr>
        <w:spacing w:line="225" w:lineRule="exact"/>
        <w:rPr>
          <w:sz w:val="20"/>
          <w:szCs w:val="20"/>
        </w:rPr>
      </w:pPr>
    </w:p>
    <w:p w14:paraId="619C52AC" w14:textId="77777777" w:rsidR="00D1587D" w:rsidRDefault="00410D07">
      <w:pPr>
        <w:ind w:right="1100"/>
        <w:jc w:val="center"/>
        <w:rPr>
          <w:sz w:val="20"/>
          <w:szCs w:val="20"/>
        </w:rPr>
      </w:pPr>
      <w:r>
        <w:rPr>
          <w:rFonts w:ascii="Arial" w:eastAsia="Arial" w:hAnsi="Arial" w:cs="Arial"/>
          <w:sz w:val="18"/>
          <w:szCs w:val="18"/>
        </w:rPr>
        <w:t>VICTORIA’S SECRET &amp; CO.</w:t>
      </w:r>
    </w:p>
    <w:p w14:paraId="451C72A4" w14:textId="77777777" w:rsidR="00D1587D" w:rsidRDefault="00D1587D">
      <w:pPr>
        <w:spacing w:line="225" w:lineRule="exact"/>
        <w:rPr>
          <w:sz w:val="20"/>
          <w:szCs w:val="20"/>
        </w:rPr>
      </w:pPr>
    </w:p>
    <w:p w14:paraId="6F66D577" w14:textId="77777777" w:rsidR="00D1587D" w:rsidRDefault="00410D07">
      <w:pPr>
        <w:ind w:left="3900"/>
        <w:rPr>
          <w:sz w:val="20"/>
          <w:szCs w:val="20"/>
        </w:rPr>
      </w:pPr>
      <w:r>
        <w:rPr>
          <w:rFonts w:ascii="Arial" w:eastAsia="Arial" w:hAnsi="Arial" w:cs="Arial"/>
          <w:sz w:val="18"/>
          <w:szCs w:val="18"/>
        </w:rPr>
        <w:t>Dated as of [—]</w:t>
      </w:r>
    </w:p>
    <w:p w14:paraId="571838E8" w14:textId="77777777" w:rsidR="00D1587D" w:rsidRDefault="00410D07">
      <w:pPr>
        <w:spacing w:line="20" w:lineRule="exact"/>
        <w:rPr>
          <w:sz w:val="20"/>
          <w:szCs w:val="20"/>
        </w:rPr>
      </w:pPr>
      <w:r>
        <w:rPr>
          <w:noProof/>
          <w:sz w:val="20"/>
          <w:szCs w:val="20"/>
        </w:rPr>
        <w:drawing>
          <wp:anchor distT="0" distB="0" distL="114300" distR="114300" simplePos="0" relativeHeight="251151360" behindDoc="1" locked="0" layoutInCell="0" allowOverlap="1" wp14:anchorId="4D78F199" wp14:editId="33D95B9E">
            <wp:simplePos x="0" y="0"/>
            <wp:positionH relativeFrom="column">
              <wp:posOffset>-705485</wp:posOffset>
            </wp:positionH>
            <wp:positionV relativeFrom="paragraph">
              <wp:posOffset>314960</wp:posOffset>
            </wp:positionV>
            <wp:extent cx="7132320" cy="1714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74BEDBA" w14:textId="77777777" w:rsidR="00D1587D" w:rsidRDefault="00D1587D">
      <w:pPr>
        <w:sectPr w:rsidR="00D1587D">
          <w:pgSz w:w="11900" w:h="16838"/>
          <w:pgMar w:top="283" w:right="339" w:bottom="1440" w:left="1440" w:header="0" w:footer="0" w:gutter="0"/>
          <w:cols w:space="720" w:equalWidth="0">
            <w:col w:w="10120"/>
          </w:cols>
        </w:sectPr>
      </w:pPr>
    </w:p>
    <w:tbl>
      <w:tblPr>
        <w:tblW w:w="0" w:type="auto"/>
        <w:tblLayout w:type="fixed"/>
        <w:tblCellMar>
          <w:left w:w="0" w:type="dxa"/>
          <w:right w:w="0" w:type="dxa"/>
        </w:tblCellMar>
        <w:tblLook w:val="04A0" w:firstRow="1" w:lastRow="0" w:firstColumn="1" w:lastColumn="0" w:noHBand="0" w:noVBand="1"/>
      </w:tblPr>
      <w:tblGrid>
        <w:gridCol w:w="1160"/>
        <w:gridCol w:w="3900"/>
        <w:gridCol w:w="1140"/>
        <w:gridCol w:w="2680"/>
        <w:gridCol w:w="2020"/>
        <w:gridCol w:w="340"/>
        <w:gridCol w:w="20"/>
      </w:tblGrid>
      <w:tr w:rsidR="00D1587D" w14:paraId="233E2FFA" w14:textId="77777777">
        <w:trPr>
          <w:trHeight w:val="234"/>
        </w:trPr>
        <w:tc>
          <w:tcPr>
            <w:tcW w:w="1160" w:type="dxa"/>
            <w:vAlign w:val="bottom"/>
          </w:tcPr>
          <w:p w14:paraId="16EBE36C" w14:textId="77777777" w:rsidR="00D1587D" w:rsidRDefault="00D1587D">
            <w:pPr>
              <w:rPr>
                <w:sz w:val="20"/>
                <w:szCs w:val="20"/>
              </w:rPr>
            </w:pPr>
            <w:bookmarkStart w:id="6" w:name="page7"/>
            <w:bookmarkEnd w:id="6"/>
          </w:p>
        </w:tc>
        <w:tc>
          <w:tcPr>
            <w:tcW w:w="7720" w:type="dxa"/>
            <w:gridSpan w:val="3"/>
            <w:vAlign w:val="bottom"/>
          </w:tcPr>
          <w:p w14:paraId="72805A75" w14:textId="77777777" w:rsidR="00D1587D" w:rsidRDefault="00410D07">
            <w:pPr>
              <w:ind w:left="1110"/>
              <w:jc w:val="center"/>
              <w:rPr>
                <w:sz w:val="20"/>
                <w:szCs w:val="20"/>
              </w:rPr>
            </w:pPr>
            <w:r>
              <w:rPr>
                <w:rFonts w:ascii="Arial" w:eastAsia="Arial" w:hAnsi="Arial" w:cs="Arial"/>
                <w:b/>
                <w:bCs/>
                <w:w w:val="98"/>
                <w:sz w:val="18"/>
                <w:szCs w:val="18"/>
              </w:rPr>
              <w:t>TABLE OF CONTENTS</w:t>
            </w:r>
          </w:p>
        </w:tc>
        <w:tc>
          <w:tcPr>
            <w:tcW w:w="2020" w:type="dxa"/>
            <w:vAlign w:val="bottom"/>
          </w:tcPr>
          <w:p w14:paraId="411B2B7F" w14:textId="77777777" w:rsidR="00D1587D" w:rsidRDefault="00D1587D">
            <w:pPr>
              <w:rPr>
                <w:sz w:val="20"/>
                <w:szCs w:val="20"/>
              </w:rPr>
            </w:pPr>
          </w:p>
        </w:tc>
        <w:tc>
          <w:tcPr>
            <w:tcW w:w="340" w:type="dxa"/>
            <w:vAlign w:val="bottom"/>
          </w:tcPr>
          <w:p w14:paraId="4A607DAE" w14:textId="77777777" w:rsidR="00D1587D" w:rsidRDefault="00D1587D">
            <w:pPr>
              <w:rPr>
                <w:sz w:val="20"/>
                <w:szCs w:val="20"/>
              </w:rPr>
            </w:pPr>
          </w:p>
        </w:tc>
        <w:tc>
          <w:tcPr>
            <w:tcW w:w="0" w:type="dxa"/>
            <w:vAlign w:val="bottom"/>
          </w:tcPr>
          <w:p w14:paraId="72C24E2E" w14:textId="77777777" w:rsidR="00D1587D" w:rsidRDefault="00D1587D">
            <w:pPr>
              <w:rPr>
                <w:sz w:val="1"/>
                <w:szCs w:val="1"/>
              </w:rPr>
            </w:pPr>
          </w:p>
        </w:tc>
      </w:tr>
      <w:tr w:rsidR="00D1587D" w14:paraId="0D6039DB" w14:textId="77777777">
        <w:trPr>
          <w:trHeight w:val="270"/>
        </w:trPr>
        <w:tc>
          <w:tcPr>
            <w:tcW w:w="1160" w:type="dxa"/>
            <w:vAlign w:val="bottom"/>
          </w:tcPr>
          <w:p w14:paraId="23C347A3" w14:textId="77777777" w:rsidR="00D1587D" w:rsidRDefault="00D1587D">
            <w:pPr>
              <w:rPr>
                <w:sz w:val="23"/>
                <w:szCs w:val="23"/>
              </w:rPr>
            </w:pPr>
          </w:p>
        </w:tc>
        <w:tc>
          <w:tcPr>
            <w:tcW w:w="3900" w:type="dxa"/>
            <w:vAlign w:val="bottom"/>
          </w:tcPr>
          <w:p w14:paraId="15A00C70" w14:textId="77777777" w:rsidR="00D1587D" w:rsidRDefault="00D1587D">
            <w:pPr>
              <w:rPr>
                <w:sz w:val="23"/>
                <w:szCs w:val="23"/>
              </w:rPr>
            </w:pPr>
          </w:p>
        </w:tc>
        <w:tc>
          <w:tcPr>
            <w:tcW w:w="1140" w:type="dxa"/>
            <w:tcBorders>
              <w:bottom w:val="single" w:sz="8" w:space="0" w:color="auto"/>
            </w:tcBorders>
            <w:vAlign w:val="bottom"/>
          </w:tcPr>
          <w:p w14:paraId="3809DE75" w14:textId="77777777" w:rsidR="00D1587D" w:rsidRDefault="00D1587D">
            <w:pPr>
              <w:rPr>
                <w:sz w:val="23"/>
                <w:szCs w:val="23"/>
              </w:rPr>
            </w:pPr>
          </w:p>
        </w:tc>
        <w:tc>
          <w:tcPr>
            <w:tcW w:w="2680" w:type="dxa"/>
            <w:vAlign w:val="bottom"/>
          </w:tcPr>
          <w:p w14:paraId="6DA80A10" w14:textId="77777777" w:rsidR="00D1587D" w:rsidRDefault="00D1587D">
            <w:pPr>
              <w:rPr>
                <w:sz w:val="23"/>
                <w:szCs w:val="23"/>
              </w:rPr>
            </w:pPr>
          </w:p>
        </w:tc>
        <w:tc>
          <w:tcPr>
            <w:tcW w:w="2360" w:type="dxa"/>
            <w:gridSpan w:val="2"/>
            <w:vMerge w:val="restart"/>
            <w:vAlign w:val="bottom"/>
          </w:tcPr>
          <w:p w14:paraId="629706AA" w14:textId="77777777" w:rsidR="00D1587D" w:rsidRDefault="00410D07">
            <w:pPr>
              <w:jc w:val="right"/>
              <w:rPr>
                <w:sz w:val="20"/>
                <w:szCs w:val="20"/>
              </w:rPr>
            </w:pPr>
            <w:r>
              <w:rPr>
                <w:rFonts w:ascii="Arial" w:eastAsia="Arial" w:hAnsi="Arial" w:cs="Arial"/>
                <w:sz w:val="18"/>
                <w:szCs w:val="18"/>
              </w:rPr>
              <w:t>P</w:t>
            </w:r>
            <w:r>
              <w:rPr>
                <w:rFonts w:ascii="Arial" w:eastAsia="Arial" w:hAnsi="Arial" w:cs="Arial"/>
                <w:sz w:val="12"/>
                <w:szCs w:val="12"/>
              </w:rPr>
              <w:t>AGE</w:t>
            </w:r>
          </w:p>
        </w:tc>
        <w:tc>
          <w:tcPr>
            <w:tcW w:w="0" w:type="dxa"/>
            <w:vAlign w:val="bottom"/>
          </w:tcPr>
          <w:p w14:paraId="56E79587" w14:textId="77777777" w:rsidR="00D1587D" w:rsidRDefault="00D1587D">
            <w:pPr>
              <w:rPr>
                <w:sz w:val="1"/>
                <w:szCs w:val="1"/>
              </w:rPr>
            </w:pPr>
          </w:p>
        </w:tc>
      </w:tr>
      <w:tr w:rsidR="00D1587D" w14:paraId="50B703BD" w14:textId="77777777">
        <w:trPr>
          <w:trHeight w:val="453"/>
        </w:trPr>
        <w:tc>
          <w:tcPr>
            <w:tcW w:w="1160" w:type="dxa"/>
            <w:vAlign w:val="bottom"/>
          </w:tcPr>
          <w:p w14:paraId="3F9849EB" w14:textId="77777777" w:rsidR="00D1587D" w:rsidRDefault="00D1587D">
            <w:pPr>
              <w:rPr>
                <w:sz w:val="24"/>
                <w:szCs w:val="24"/>
              </w:rPr>
            </w:pPr>
          </w:p>
        </w:tc>
        <w:tc>
          <w:tcPr>
            <w:tcW w:w="3900" w:type="dxa"/>
            <w:vAlign w:val="bottom"/>
          </w:tcPr>
          <w:p w14:paraId="5058A186" w14:textId="77777777" w:rsidR="00D1587D" w:rsidRDefault="00D1587D">
            <w:pPr>
              <w:rPr>
                <w:sz w:val="24"/>
                <w:szCs w:val="24"/>
              </w:rPr>
            </w:pPr>
          </w:p>
        </w:tc>
        <w:tc>
          <w:tcPr>
            <w:tcW w:w="1140" w:type="dxa"/>
            <w:vAlign w:val="bottom"/>
          </w:tcPr>
          <w:p w14:paraId="733973C2" w14:textId="77777777" w:rsidR="00D1587D" w:rsidRDefault="00D1587D">
            <w:pPr>
              <w:rPr>
                <w:sz w:val="24"/>
                <w:szCs w:val="24"/>
              </w:rPr>
            </w:pPr>
          </w:p>
        </w:tc>
        <w:tc>
          <w:tcPr>
            <w:tcW w:w="2680" w:type="dxa"/>
            <w:vAlign w:val="bottom"/>
          </w:tcPr>
          <w:p w14:paraId="7E1AD0C2" w14:textId="77777777" w:rsidR="00D1587D" w:rsidRDefault="00D1587D">
            <w:pPr>
              <w:rPr>
                <w:sz w:val="24"/>
                <w:szCs w:val="24"/>
              </w:rPr>
            </w:pPr>
          </w:p>
        </w:tc>
        <w:tc>
          <w:tcPr>
            <w:tcW w:w="2360" w:type="dxa"/>
            <w:gridSpan w:val="2"/>
            <w:vMerge/>
            <w:vAlign w:val="bottom"/>
          </w:tcPr>
          <w:p w14:paraId="65C7A945" w14:textId="77777777" w:rsidR="00D1587D" w:rsidRDefault="00D1587D">
            <w:pPr>
              <w:rPr>
                <w:sz w:val="24"/>
                <w:szCs w:val="24"/>
              </w:rPr>
            </w:pPr>
          </w:p>
        </w:tc>
        <w:tc>
          <w:tcPr>
            <w:tcW w:w="0" w:type="dxa"/>
            <w:vAlign w:val="bottom"/>
          </w:tcPr>
          <w:p w14:paraId="37B5B394" w14:textId="77777777" w:rsidR="00D1587D" w:rsidRDefault="00D1587D">
            <w:pPr>
              <w:rPr>
                <w:sz w:val="1"/>
                <w:szCs w:val="1"/>
              </w:rPr>
            </w:pPr>
          </w:p>
        </w:tc>
      </w:tr>
      <w:tr w:rsidR="00D1587D" w14:paraId="13154346" w14:textId="77777777">
        <w:trPr>
          <w:trHeight w:val="438"/>
        </w:trPr>
        <w:tc>
          <w:tcPr>
            <w:tcW w:w="1160" w:type="dxa"/>
            <w:vAlign w:val="bottom"/>
          </w:tcPr>
          <w:p w14:paraId="181754BC" w14:textId="77777777" w:rsidR="00D1587D" w:rsidRDefault="00D1587D">
            <w:pPr>
              <w:rPr>
                <w:sz w:val="24"/>
                <w:szCs w:val="24"/>
              </w:rPr>
            </w:pPr>
          </w:p>
        </w:tc>
        <w:tc>
          <w:tcPr>
            <w:tcW w:w="3900" w:type="dxa"/>
            <w:vAlign w:val="bottom"/>
          </w:tcPr>
          <w:p w14:paraId="521A796D" w14:textId="77777777" w:rsidR="00D1587D" w:rsidRDefault="00D1587D">
            <w:pPr>
              <w:rPr>
                <w:sz w:val="24"/>
                <w:szCs w:val="24"/>
              </w:rPr>
            </w:pPr>
          </w:p>
        </w:tc>
        <w:tc>
          <w:tcPr>
            <w:tcW w:w="3820" w:type="dxa"/>
            <w:gridSpan w:val="2"/>
            <w:vAlign w:val="bottom"/>
          </w:tcPr>
          <w:p w14:paraId="5CB12F3A" w14:textId="77777777" w:rsidR="00D1587D" w:rsidRDefault="00410D07">
            <w:pPr>
              <w:ind w:right="2700"/>
              <w:jc w:val="center"/>
              <w:rPr>
                <w:sz w:val="20"/>
                <w:szCs w:val="20"/>
              </w:rPr>
            </w:pPr>
            <w:r>
              <w:rPr>
                <w:rFonts w:ascii="Arial" w:eastAsia="Arial" w:hAnsi="Arial" w:cs="Arial"/>
                <w:w w:val="96"/>
                <w:sz w:val="18"/>
                <w:szCs w:val="18"/>
              </w:rPr>
              <w:t>ARTICLE 1</w:t>
            </w:r>
          </w:p>
        </w:tc>
        <w:tc>
          <w:tcPr>
            <w:tcW w:w="2020" w:type="dxa"/>
            <w:vAlign w:val="bottom"/>
          </w:tcPr>
          <w:p w14:paraId="146D9BBD" w14:textId="77777777" w:rsidR="00D1587D" w:rsidRDefault="00D1587D">
            <w:pPr>
              <w:rPr>
                <w:sz w:val="24"/>
                <w:szCs w:val="24"/>
              </w:rPr>
            </w:pPr>
          </w:p>
        </w:tc>
        <w:tc>
          <w:tcPr>
            <w:tcW w:w="340" w:type="dxa"/>
            <w:tcBorders>
              <w:top w:val="single" w:sz="8" w:space="0" w:color="auto"/>
            </w:tcBorders>
            <w:vAlign w:val="bottom"/>
          </w:tcPr>
          <w:p w14:paraId="4BFC6911" w14:textId="77777777" w:rsidR="00D1587D" w:rsidRDefault="00D1587D">
            <w:pPr>
              <w:rPr>
                <w:sz w:val="24"/>
                <w:szCs w:val="24"/>
              </w:rPr>
            </w:pPr>
          </w:p>
        </w:tc>
        <w:tc>
          <w:tcPr>
            <w:tcW w:w="0" w:type="dxa"/>
            <w:vAlign w:val="bottom"/>
          </w:tcPr>
          <w:p w14:paraId="2D578EFD" w14:textId="77777777" w:rsidR="00D1587D" w:rsidRDefault="00D1587D">
            <w:pPr>
              <w:rPr>
                <w:sz w:val="1"/>
                <w:szCs w:val="1"/>
              </w:rPr>
            </w:pPr>
          </w:p>
        </w:tc>
      </w:tr>
      <w:tr w:rsidR="00D1587D" w14:paraId="194A8F1E" w14:textId="77777777">
        <w:trPr>
          <w:trHeight w:val="230"/>
        </w:trPr>
        <w:tc>
          <w:tcPr>
            <w:tcW w:w="1160" w:type="dxa"/>
            <w:vAlign w:val="bottom"/>
          </w:tcPr>
          <w:p w14:paraId="31C29339" w14:textId="77777777" w:rsidR="00D1587D" w:rsidRDefault="00D1587D">
            <w:pPr>
              <w:rPr>
                <w:sz w:val="20"/>
                <w:szCs w:val="20"/>
              </w:rPr>
            </w:pPr>
          </w:p>
        </w:tc>
        <w:tc>
          <w:tcPr>
            <w:tcW w:w="3900" w:type="dxa"/>
            <w:vAlign w:val="bottom"/>
          </w:tcPr>
          <w:p w14:paraId="1096AD6E" w14:textId="77777777" w:rsidR="00D1587D" w:rsidRDefault="00D1587D">
            <w:pPr>
              <w:rPr>
                <w:sz w:val="20"/>
                <w:szCs w:val="20"/>
              </w:rPr>
            </w:pPr>
          </w:p>
        </w:tc>
        <w:tc>
          <w:tcPr>
            <w:tcW w:w="3820" w:type="dxa"/>
            <w:gridSpan w:val="2"/>
            <w:vAlign w:val="bottom"/>
          </w:tcPr>
          <w:p w14:paraId="7F87FF84" w14:textId="77777777" w:rsidR="00D1587D" w:rsidRDefault="00410D07">
            <w:pPr>
              <w:ind w:right="2700"/>
              <w:jc w:val="center"/>
              <w:rPr>
                <w:sz w:val="20"/>
                <w:szCs w:val="20"/>
              </w:rPr>
            </w:pPr>
            <w:r>
              <w:rPr>
                <w:rFonts w:ascii="Arial" w:eastAsia="Arial" w:hAnsi="Arial" w:cs="Arial"/>
                <w:w w:val="99"/>
                <w:sz w:val="18"/>
                <w:szCs w:val="18"/>
              </w:rPr>
              <w:t>D</w:t>
            </w:r>
            <w:r>
              <w:rPr>
                <w:rFonts w:ascii="Arial" w:eastAsia="Arial" w:hAnsi="Arial" w:cs="Arial"/>
                <w:w w:val="99"/>
                <w:sz w:val="12"/>
                <w:szCs w:val="12"/>
              </w:rPr>
              <w:t>EFINITIONS</w:t>
            </w:r>
          </w:p>
        </w:tc>
        <w:tc>
          <w:tcPr>
            <w:tcW w:w="2020" w:type="dxa"/>
            <w:vAlign w:val="bottom"/>
          </w:tcPr>
          <w:p w14:paraId="1F6271C0" w14:textId="77777777" w:rsidR="00D1587D" w:rsidRDefault="00D1587D">
            <w:pPr>
              <w:rPr>
                <w:sz w:val="20"/>
                <w:szCs w:val="20"/>
              </w:rPr>
            </w:pPr>
          </w:p>
        </w:tc>
        <w:tc>
          <w:tcPr>
            <w:tcW w:w="340" w:type="dxa"/>
            <w:vAlign w:val="bottom"/>
          </w:tcPr>
          <w:p w14:paraId="1EB2A3E6" w14:textId="77777777" w:rsidR="00D1587D" w:rsidRDefault="00D1587D">
            <w:pPr>
              <w:rPr>
                <w:sz w:val="20"/>
                <w:szCs w:val="20"/>
              </w:rPr>
            </w:pPr>
          </w:p>
        </w:tc>
        <w:tc>
          <w:tcPr>
            <w:tcW w:w="0" w:type="dxa"/>
            <w:vAlign w:val="bottom"/>
          </w:tcPr>
          <w:p w14:paraId="46467D87" w14:textId="77777777" w:rsidR="00D1587D" w:rsidRDefault="00D1587D">
            <w:pPr>
              <w:rPr>
                <w:sz w:val="1"/>
                <w:szCs w:val="1"/>
              </w:rPr>
            </w:pPr>
          </w:p>
        </w:tc>
      </w:tr>
      <w:tr w:rsidR="00D1587D" w14:paraId="794093B6" w14:textId="77777777">
        <w:trPr>
          <w:trHeight w:val="418"/>
        </w:trPr>
        <w:tc>
          <w:tcPr>
            <w:tcW w:w="1160" w:type="dxa"/>
            <w:vAlign w:val="bottom"/>
          </w:tcPr>
          <w:p w14:paraId="5C613B07" w14:textId="77777777" w:rsidR="00D1587D" w:rsidRDefault="00410D07">
            <w:pPr>
              <w:rPr>
                <w:sz w:val="20"/>
                <w:szCs w:val="20"/>
              </w:rPr>
            </w:pPr>
            <w:r>
              <w:rPr>
                <w:rFonts w:ascii="Arial" w:eastAsia="Arial" w:hAnsi="Arial" w:cs="Arial"/>
                <w:sz w:val="18"/>
                <w:szCs w:val="18"/>
              </w:rPr>
              <w:t>Section 1.01</w:t>
            </w:r>
            <w:r>
              <w:rPr>
                <w:rFonts w:ascii="Arial" w:eastAsia="Arial" w:hAnsi="Arial" w:cs="Arial"/>
                <w:i/>
                <w:iCs/>
                <w:sz w:val="18"/>
                <w:szCs w:val="18"/>
              </w:rPr>
              <w:t>.</w:t>
            </w:r>
          </w:p>
        </w:tc>
        <w:tc>
          <w:tcPr>
            <w:tcW w:w="7720" w:type="dxa"/>
            <w:gridSpan w:val="3"/>
            <w:vAlign w:val="bottom"/>
          </w:tcPr>
          <w:p w14:paraId="1922602D" w14:textId="77777777" w:rsidR="00D1587D" w:rsidRDefault="00410D07">
            <w:pPr>
              <w:ind w:left="200"/>
              <w:rPr>
                <w:sz w:val="20"/>
                <w:szCs w:val="20"/>
              </w:rPr>
            </w:pPr>
            <w:r>
              <w:rPr>
                <w:rFonts w:ascii="Arial" w:eastAsia="Arial" w:hAnsi="Arial" w:cs="Arial"/>
                <w:i/>
                <w:iCs/>
                <w:sz w:val="18"/>
                <w:szCs w:val="18"/>
              </w:rPr>
              <w:t>Definitions</w:t>
            </w:r>
          </w:p>
        </w:tc>
        <w:tc>
          <w:tcPr>
            <w:tcW w:w="2360" w:type="dxa"/>
            <w:gridSpan w:val="2"/>
            <w:vAlign w:val="bottom"/>
          </w:tcPr>
          <w:p w14:paraId="56D04FA6" w14:textId="77777777" w:rsidR="00D1587D" w:rsidRDefault="00410D07">
            <w:pPr>
              <w:jc w:val="right"/>
              <w:rPr>
                <w:sz w:val="20"/>
                <w:szCs w:val="20"/>
              </w:rPr>
            </w:pPr>
            <w:r>
              <w:rPr>
                <w:rFonts w:ascii="Arial" w:eastAsia="Arial" w:hAnsi="Arial" w:cs="Arial"/>
                <w:sz w:val="18"/>
                <w:szCs w:val="18"/>
              </w:rPr>
              <w:t>2</w:t>
            </w:r>
          </w:p>
        </w:tc>
        <w:tc>
          <w:tcPr>
            <w:tcW w:w="0" w:type="dxa"/>
            <w:vAlign w:val="bottom"/>
          </w:tcPr>
          <w:p w14:paraId="108C8114" w14:textId="77777777" w:rsidR="00D1587D" w:rsidRDefault="00D1587D">
            <w:pPr>
              <w:rPr>
                <w:sz w:val="1"/>
                <w:szCs w:val="1"/>
              </w:rPr>
            </w:pPr>
          </w:p>
        </w:tc>
      </w:tr>
      <w:tr w:rsidR="00D1587D" w14:paraId="795279E3" w14:textId="77777777">
        <w:trPr>
          <w:trHeight w:val="216"/>
        </w:trPr>
        <w:tc>
          <w:tcPr>
            <w:tcW w:w="1160" w:type="dxa"/>
            <w:vAlign w:val="bottom"/>
          </w:tcPr>
          <w:p w14:paraId="3D6F96D7" w14:textId="77777777" w:rsidR="00D1587D" w:rsidRDefault="00410D07">
            <w:pPr>
              <w:rPr>
                <w:sz w:val="20"/>
                <w:szCs w:val="20"/>
              </w:rPr>
            </w:pPr>
            <w:r>
              <w:rPr>
                <w:rFonts w:ascii="Arial" w:eastAsia="Arial" w:hAnsi="Arial" w:cs="Arial"/>
                <w:sz w:val="18"/>
                <w:szCs w:val="18"/>
              </w:rPr>
              <w:t>Section 1.02.</w:t>
            </w:r>
          </w:p>
        </w:tc>
        <w:tc>
          <w:tcPr>
            <w:tcW w:w="7720" w:type="dxa"/>
            <w:gridSpan w:val="3"/>
            <w:vAlign w:val="bottom"/>
          </w:tcPr>
          <w:p w14:paraId="7CFA9B55" w14:textId="77777777" w:rsidR="00D1587D" w:rsidRDefault="00410D07">
            <w:pPr>
              <w:ind w:left="200"/>
              <w:rPr>
                <w:sz w:val="20"/>
                <w:szCs w:val="20"/>
              </w:rPr>
            </w:pPr>
            <w:r>
              <w:rPr>
                <w:rFonts w:ascii="Arial" w:eastAsia="Arial" w:hAnsi="Arial" w:cs="Arial"/>
                <w:i/>
                <w:iCs/>
                <w:sz w:val="18"/>
                <w:szCs w:val="18"/>
              </w:rPr>
              <w:t>Interpretation</w:t>
            </w:r>
          </w:p>
        </w:tc>
        <w:tc>
          <w:tcPr>
            <w:tcW w:w="2360" w:type="dxa"/>
            <w:gridSpan w:val="2"/>
            <w:vAlign w:val="bottom"/>
          </w:tcPr>
          <w:p w14:paraId="3525F4EE" w14:textId="77777777" w:rsidR="00D1587D" w:rsidRDefault="00410D07">
            <w:pPr>
              <w:jc w:val="right"/>
              <w:rPr>
                <w:sz w:val="20"/>
                <w:szCs w:val="20"/>
              </w:rPr>
            </w:pPr>
            <w:r>
              <w:rPr>
                <w:rFonts w:ascii="Arial" w:eastAsia="Arial" w:hAnsi="Arial" w:cs="Arial"/>
                <w:sz w:val="18"/>
                <w:szCs w:val="18"/>
              </w:rPr>
              <w:t>16</w:t>
            </w:r>
          </w:p>
        </w:tc>
        <w:tc>
          <w:tcPr>
            <w:tcW w:w="0" w:type="dxa"/>
            <w:vAlign w:val="bottom"/>
          </w:tcPr>
          <w:p w14:paraId="0C321B6A" w14:textId="77777777" w:rsidR="00D1587D" w:rsidRDefault="00D1587D">
            <w:pPr>
              <w:rPr>
                <w:sz w:val="1"/>
                <w:szCs w:val="1"/>
              </w:rPr>
            </w:pPr>
          </w:p>
        </w:tc>
      </w:tr>
      <w:tr w:rsidR="00D1587D" w14:paraId="31F8C9E6" w14:textId="77777777">
        <w:trPr>
          <w:trHeight w:val="216"/>
        </w:trPr>
        <w:tc>
          <w:tcPr>
            <w:tcW w:w="1160" w:type="dxa"/>
            <w:vAlign w:val="bottom"/>
          </w:tcPr>
          <w:p w14:paraId="6C1AE522" w14:textId="77777777" w:rsidR="00D1587D" w:rsidRDefault="00D1587D">
            <w:pPr>
              <w:rPr>
                <w:sz w:val="18"/>
                <w:szCs w:val="18"/>
              </w:rPr>
            </w:pPr>
          </w:p>
        </w:tc>
        <w:tc>
          <w:tcPr>
            <w:tcW w:w="3900" w:type="dxa"/>
            <w:vAlign w:val="bottom"/>
          </w:tcPr>
          <w:p w14:paraId="5ED54A4D" w14:textId="77777777" w:rsidR="00D1587D" w:rsidRDefault="00D1587D">
            <w:pPr>
              <w:rPr>
                <w:sz w:val="18"/>
                <w:szCs w:val="18"/>
              </w:rPr>
            </w:pPr>
          </w:p>
        </w:tc>
        <w:tc>
          <w:tcPr>
            <w:tcW w:w="3820" w:type="dxa"/>
            <w:gridSpan w:val="2"/>
            <w:vAlign w:val="bottom"/>
          </w:tcPr>
          <w:p w14:paraId="37905D0A" w14:textId="77777777" w:rsidR="00D1587D" w:rsidRDefault="00410D07">
            <w:pPr>
              <w:ind w:right="2700"/>
              <w:jc w:val="center"/>
              <w:rPr>
                <w:sz w:val="20"/>
                <w:szCs w:val="20"/>
              </w:rPr>
            </w:pPr>
            <w:r>
              <w:rPr>
                <w:rFonts w:ascii="Arial" w:eastAsia="Arial" w:hAnsi="Arial" w:cs="Arial"/>
                <w:w w:val="96"/>
                <w:sz w:val="18"/>
                <w:szCs w:val="18"/>
              </w:rPr>
              <w:t>ARTICLE 2</w:t>
            </w:r>
          </w:p>
        </w:tc>
        <w:tc>
          <w:tcPr>
            <w:tcW w:w="2020" w:type="dxa"/>
            <w:vAlign w:val="bottom"/>
          </w:tcPr>
          <w:p w14:paraId="384E2625" w14:textId="77777777" w:rsidR="00D1587D" w:rsidRDefault="00D1587D">
            <w:pPr>
              <w:rPr>
                <w:sz w:val="18"/>
                <w:szCs w:val="18"/>
              </w:rPr>
            </w:pPr>
          </w:p>
        </w:tc>
        <w:tc>
          <w:tcPr>
            <w:tcW w:w="340" w:type="dxa"/>
            <w:vAlign w:val="bottom"/>
          </w:tcPr>
          <w:p w14:paraId="291A274B" w14:textId="77777777" w:rsidR="00D1587D" w:rsidRDefault="00D1587D">
            <w:pPr>
              <w:rPr>
                <w:sz w:val="18"/>
                <w:szCs w:val="18"/>
              </w:rPr>
            </w:pPr>
          </w:p>
        </w:tc>
        <w:tc>
          <w:tcPr>
            <w:tcW w:w="0" w:type="dxa"/>
            <w:vAlign w:val="bottom"/>
          </w:tcPr>
          <w:p w14:paraId="6B623785" w14:textId="77777777" w:rsidR="00D1587D" w:rsidRDefault="00D1587D">
            <w:pPr>
              <w:rPr>
                <w:sz w:val="1"/>
                <w:szCs w:val="1"/>
              </w:rPr>
            </w:pPr>
          </w:p>
        </w:tc>
      </w:tr>
      <w:tr w:rsidR="00D1587D" w14:paraId="7D2E27B3" w14:textId="77777777">
        <w:trPr>
          <w:trHeight w:val="230"/>
        </w:trPr>
        <w:tc>
          <w:tcPr>
            <w:tcW w:w="1160" w:type="dxa"/>
            <w:vAlign w:val="bottom"/>
          </w:tcPr>
          <w:p w14:paraId="30665BA4" w14:textId="77777777" w:rsidR="00D1587D" w:rsidRDefault="00D1587D">
            <w:pPr>
              <w:rPr>
                <w:sz w:val="20"/>
                <w:szCs w:val="20"/>
              </w:rPr>
            </w:pPr>
          </w:p>
        </w:tc>
        <w:tc>
          <w:tcPr>
            <w:tcW w:w="7720" w:type="dxa"/>
            <w:gridSpan w:val="3"/>
            <w:vAlign w:val="bottom"/>
          </w:tcPr>
          <w:p w14:paraId="61D6694F" w14:textId="77777777" w:rsidR="00D1587D" w:rsidRDefault="00410D07">
            <w:pPr>
              <w:ind w:left="1110"/>
              <w:jc w:val="center"/>
              <w:rPr>
                <w:sz w:val="20"/>
                <w:szCs w:val="20"/>
              </w:rPr>
            </w:pPr>
            <w:r>
              <w:rPr>
                <w:rFonts w:ascii="Arial" w:eastAsia="Arial" w:hAnsi="Arial" w:cs="Arial"/>
                <w:w w:val="96"/>
                <w:sz w:val="18"/>
                <w:szCs w:val="18"/>
              </w:rPr>
              <w:t>P</w:t>
            </w:r>
            <w:r>
              <w:rPr>
                <w:rFonts w:ascii="Arial" w:eastAsia="Arial" w:hAnsi="Arial" w:cs="Arial"/>
                <w:w w:val="96"/>
                <w:sz w:val="12"/>
                <w:szCs w:val="12"/>
              </w:rPr>
              <w:t>RIOR</w:t>
            </w:r>
            <w:r>
              <w:rPr>
                <w:rFonts w:ascii="Arial" w:eastAsia="Arial" w:hAnsi="Arial" w:cs="Arial"/>
                <w:w w:val="96"/>
                <w:sz w:val="18"/>
                <w:szCs w:val="18"/>
              </w:rPr>
              <w:t xml:space="preserve"> T</w:t>
            </w:r>
            <w:r>
              <w:rPr>
                <w:rFonts w:ascii="Arial" w:eastAsia="Arial" w:hAnsi="Arial" w:cs="Arial"/>
                <w:w w:val="96"/>
                <w:sz w:val="12"/>
                <w:szCs w:val="12"/>
              </w:rPr>
              <w:t>O</w:t>
            </w:r>
            <w:r>
              <w:rPr>
                <w:rFonts w:ascii="Arial" w:eastAsia="Arial" w:hAnsi="Arial" w:cs="Arial"/>
                <w:w w:val="96"/>
                <w:sz w:val="18"/>
                <w:szCs w:val="18"/>
              </w:rPr>
              <w:t xml:space="preserve"> T</w:t>
            </w:r>
            <w:r>
              <w:rPr>
                <w:rFonts w:ascii="Arial" w:eastAsia="Arial" w:hAnsi="Arial" w:cs="Arial"/>
                <w:w w:val="96"/>
                <w:sz w:val="12"/>
                <w:szCs w:val="12"/>
              </w:rPr>
              <w:t>HE</w:t>
            </w:r>
            <w:r>
              <w:rPr>
                <w:rFonts w:ascii="Arial" w:eastAsia="Arial" w:hAnsi="Arial" w:cs="Arial"/>
                <w:w w:val="96"/>
                <w:sz w:val="18"/>
                <w:szCs w:val="18"/>
              </w:rPr>
              <w:t xml:space="preserve"> D</w:t>
            </w:r>
            <w:r>
              <w:rPr>
                <w:rFonts w:ascii="Arial" w:eastAsia="Arial" w:hAnsi="Arial" w:cs="Arial"/>
                <w:w w:val="96"/>
                <w:sz w:val="12"/>
                <w:szCs w:val="12"/>
              </w:rPr>
              <w:t>ISTRIBUTION</w:t>
            </w:r>
          </w:p>
        </w:tc>
        <w:tc>
          <w:tcPr>
            <w:tcW w:w="2020" w:type="dxa"/>
            <w:vAlign w:val="bottom"/>
          </w:tcPr>
          <w:p w14:paraId="7992E785" w14:textId="77777777" w:rsidR="00D1587D" w:rsidRDefault="00D1587D">
            <w:pPr>
              <w:rPr>
                <w:sz w:val="20"/>
                <w:szCs w:val="20"/>
              </w:rPr>
            </w:pPr>
          </w:p>
        </w:tc>
        <w:tc>
          <w:tcPr>
            <w:tcW w:w="340" w:type="dxa"/>
            <w:vAlign w:val="bottom"/>
          </w:tcPr>
          <w:p w14:paraId="13C8C1C5" w14:textId="77777777" w:rsidR="00D1587D" w:rsidRDefault="00D1587D">
            <w:pPr>
              <w:rPr>
                <w:sz w:val="20"/>
                <w:szCs w:val="20"/>
              </w:rPr>
            </w:pPr>
          </w:p>
        </w:tc>
        <w:tc>
          <w:tcPr>
            <w:tcW w:w="0" w:type="dxa"/>
            <w:vAlign w:val="bottom"/>
          </w:tcPr>
          <w:p w14:paraId="17BE5E23" w14:textId="77777777" w:rsidR="00D1587D" w:rsidRDefault="00D1587D">
            <w:pPr>
              <w:rPr>
                <w:sz w:val="1"/>
                <w:szCs w:val="1"/>
              </w:rPr>
            </w:pPr>
          </w:p>
        </w:tc>
      </w:tr>
      <w:tr w:rsidR="00D1587D" w14:paraId="795D2A17" w14:textId="77777777">
        <w:trPr>
          <w:trHeight w:val="418"/>
        </w:trPr>
        <w:tc>
          <w:tcPr>
            <w:tcW w:w="1160" w:type="dxa"/>
            <w:vAlign w:val="bottom"/>
          </w:tcPr>
          <w:p w14:paraId="6EB5E6B3" w14:textId="77777777" w:rsidR="00D1587D" w:rsidRDefault="00410D07">
            <w:pPr>
              <w:rPr>
                <w:sz w:val="20"/>
                <w:szCs w:val="20"/>
              </w:rPr>
            </w:pPr>
            <w:r>
              <w:rPr>
                <w:rFonts w:ascii="Arial" w:eastAsia="Arial" w:hAnsi="Arial" w:cs="Arial"/>
                <w:sz w:val="18"/>
                <w:szCs w:val="18"/>
              </w:rPr>
              <w:t>Section 2.01.</w:t>
            </w:r>
          </w:p>
        </w:tc>
        <w:tc>
          <w:tcPr>
            <w:tcW w:w="7720" w:type="dxa"/>
            <w:gridSpan w:val="3"/>
            <w:vAlign w:val="bottom"/>
          </w:tcPr>
          <w:p w14:paraId="536057CA" w14:textId="77777777" w:rsidR="00D1587D" w:rsidRDefault="00410D07">
            <w:pPr>
              <w:ind w:left="200"/>
              <w:rPr>
                <w:sz w:val="20"/>
                <w:szCs w:val="20"/>
              </w:rPr>
            </w:pPr>
            <w:r>
              <w:rPr>
                <w:rFonts w:ascii="Arial" w:eastAsia="Arial" w:hAnsi="Arial" w:cs="Arial"/>
                <w:i/>
                <w:iCs/>
                <w:sz w:val="18"/>
                <w:szCs w:val="18"/>
              </w:rPr>
              <w:t>Information Statement; Listing</w:t>
            </w:r>
          </w:p>
        </w:tc>
        <w:tc>
          <w:tcPr>
            <w:tcW w:w="2360" w:type="dxa"/>
            <w:gridSpan w:val="2"/>
            <w:vAlign w:val="bottom"/>
          </w:tcPr>
          <w:p w14:paraId="3214B67A" w14:textId="77777777" w:rsidR="00D1587D" w:rsidRDefault="00410D07">
            <w:pPr>
              <w:jc w:val="right"/>
              <w:rPr>
                <w:sz w:val="20"/>
                <w:szCs w:val="20"/>
              </w:rPr>
            </w:pPr>
            <w:r>
              <w:rPr>
                <w:rFonts w:ascii="Arial" w:eastAsia="Arial" w:hAnsi="Arial" w:cs="Arial"/>
                <w:sz w:val="18"/>
                <w:szCs w:val="18"/>
              </w:rPr>
              <w:t>17</w:t>
            </w:r>
          </w:p>
        </w:tc>
        <w:tc>
          <w:tcPr>
            <w:tcW w:w="0" w:type="dxa"/>
            <w:vAlign w:val="bottom"/>
          </w:tcPr>
          <w:p w14:paraId="5FA934D8" w14:textId="77777777" w:rsidR="00D1587D" w:rsidRDefault="00D1587D">
            <w:pPr>
              <w:rPr>
                <w:sz w:val="1"/>
                <w:szCs w:val="1"/>
              </w:rPr>
            </w:pPr>
          </w:p>
        </w:tc>
      </w:tr>
      <w:tr w:rsidR="00D1587D" w14:paraId="7623E554" w14:textId="77777777">
        <w:trPr>
          <w:trHeight w:val="216"/>
        </w:trPr>
        <w:tc>
          <w:tcPr>
            <w:tcW w:w="1160" w:type="dxa"/>
            <w:vAlign w:val="bottom"/>
          </w:tcPr>
          <w:p w14:paraId="0624BC94" w14:textId="77777777" w:rsidR="00D1587D" w:rsidRDefault="00410D07">
            <w:pPr>
              <w:rPr>
                <w:sz w:val="20"/>
                <w:szCs w:val="20"/>
              </w:rPr>
            </w:pPr>
            <w:r>
              <w:rPr>
                <w:rFonts w:ascii="Arial" w:eastAsia="Arial" w:hAnsi="Arial" w:cs="Arial"/>
                <w:sz w:val="18"/>
                <w:szCs w:val="18"/>
              </w:rPr>
              <w:t>Section 2.02.</w:t>
            </w:r>
          </w:p>
        </w:tc>
        <w:tc>
          <w:tcPr>
            <w:tcW w:w="7720" w:type="dxa"/>
            <w:gridSpan w:val="3"/>
            <w:vAlign w:val="bottom"/>
          </w:tcPr>
          <w:p w14:paraId="4A6335EF" w14:textId="77777777" w:rsidR="00D1587D" w:rsidRDefault="00410D07">
            <w:pPr>
              <w:ind w:left="200"/>
              <w:rPr>
                <w:sz w:val="20"/>
                <w:szCs w:val="20"/>
              </w:rPr>
            </w:pPr>
            <w:r>
              <w:rPr>
                <w:rFonts w:ascii="Arial" w:eastAsia="Arial" w:hAnsi="Arial" w:cs="Arial"/>
                <w:i/>
                <w:iCs/>
                <w:sz w:val="18"/>
                <w:szCs w:val="18"/>
              </w:rPr>
              <w:t xml:space="preserve">Restructuring and Other Actions prior to the </w:t>
            </w:r>
            <w:r>
              <w:rPr>
                <w:rFonts w:ascii="Arial" w:eastAsia="Arial" w:hAnsi="Arial" w:cs="Arial"/>
                <w:i/>
                <w:iCs/>
                <w:sz w:val="18"/>
                <w:szCs w:val="18"/>
              </w:rPr>
              <w:t>Distribution Time</w:t>
            </w:r>
          </w:p>
        </w:tc>
        <w:tc>
          <w:tcPr>
            <w:tcW w:w="2360" w:type="dxa"/>
            <w:gridSpan w:val="2"/>
            <w:vAlign w:val="bottom"/>
          </w:tcPr>
          <w:p w14:paraId="5B18E631" w14:textId="77777777" w:rsidR="00D1587D" w:rsidRDefault="00410D07">
            <w:pPr>
              <w:jc w:val="right"/>
              <w:rPr>
                <w:sz w:val="20"/>
                <w:szCs w:val="20"/>
              </w:rPr>
            </w:pPr>
            <w:r>
              <w:rPr>
                <w:rFonts w:ascii="Arial" w:eastAsia="Arial" w:hAnsi="Arial" w:cs="Arial"/>
                <w:sz w:val="18"/>
                <w:szCs w:val="18"/>
              </w:rPr>
              <w:t>17</w:t>
            </w:r>
          </w:p>
        </w:tc>
        <w:tc>
          <w:tcPr>
            <w:tcW w:w="0" w:type="dxa"/>
            <w:vAlign w:val="bottom"/>
          </w:tcPr>
          <w:p w14:paraId="6543D3DE" w14:textId="77777777" w:rsidR="00D1587D" w:rsidRDefault="00D1587D">
            <w:pPr>
              <w:rPr>
                <w:sz w:val="1"/>
                <w:szCs w:val="1"/>
              </w:rPr>
            </w:pPr>
          </w:p>
        </w:tc>
      </w:tr>
      <w:tr w:rsidR="00D1587D" w14:paraId="2E88F92B" w14:textId="77777777">
        <w:trPr>
          <w:trHeight w:val="216"/>
        </w:trPr>
        <w:tc>
          <w:tcPr>
            <w:tcW w:w="1160" w:type="dxa"/>
            <w:vAlign w:val="bottom"/>
          </w:tcPr>
          <w:p w14:paraId="5A21C71E" w14:textId="77777777" w:rsidR="00D1587D" w:rsidRDefault="00410D07">
            <w:pPr>
              <w:rPr>
                <w:sz w:val="20"/>
                <w:szCs w:val="20"/>
              </w:rPr>
            </w:pPr>
            <w:r>
              <w:rPr>
                <w:rFonts w:ascii="Arial" w:eastAsia="Arial" w:hAnsi="Arial" w:cs="Arial"/>
                <w:sz w:val="18"/>
                <w:szCs w:val="18"/>
              </w:rPr>
              <w:t>Section 2.03.</w:t>
            </w:r>
          </w:p>
        </w:tc>
        <w:tc>
          <w:tcPr>
            <w:tcW w:w="7720" w:type="dxa"/>
            <w:gridSpan w:val="3"/>
            <w:vAlign w:val="bottom"/>
          </w:tcPr>
          <w:p w14:paraId="5CE0B0A0" w14:textId="77777777" w:rsidR="00D1587D" w:rsidRDefault="00410D07">
            <w:pPr>
              <w:ind w:left="200"/>
              <w:rPr>
                <w:sz w:val="20"/>
                <w:szCs w:val="20"/>
              </w:rPr>
            </w:pPr>
            <w:r>
              <w:rPr>
                <w:rFonts w:ascii="Arial" w:eastAsia="Arial" w:hAnsi="Arial" w:cs="Arial"/>
                <w:i/>
                <w:iCs/>
                <w:sz w:val="18"/>
                <w:szCs w:val="18"/>
              </w:rPr>
              <w:t>Transfers of Certain Other Assets and Liabilities</w:t>
            </w:r>
          </w:p>
        </w:tc>
        <w:tc>
          <w:tcPr>
            <w:tcW w:w="2360" w:type="dxa"/>
            <w:gridSpan w:val="2"/>
            <w:vAlign w:val="bottom"/>
          </w:tcPr>
          <w:p w14:paraId="32E4C517" w14:textId="77777777" w:rsidR="00D1587D" w:rsidRDefault="00410D07">
            <w:pPr>
              <w:jc w:val="right"/>
              <w:rPr>
                <w:sz w:val="20"/>
                <w:szCs w:val="20"/>
              </w:rPr>
            </w:pPr>
            <w:r>
              <w:rPr>
                <w:rFonts w:ascii="Arial" w:eastAsia="Arial" w:hAnsi="Arial" w:cs="Arial"/>
                <w:sz w:val="18"/>
                <w:szCs w:val="18"/>
              </w:rPr>
              <w:t>19</w:t>
            </w:r>
          </w:p>
        </w:tc>
        <w:tc>
          <w:tcPr>
            <w:tcW w:w="0" w:type="dxa"/>
            <w:vAlign w:val="bottom"/>
          </w:tcPr>
          <w:p w14:paraId="0D69CA77" w14:textId="77777777" w:rsidR="00D1587D" w:rsidRDefault="00D1587D">
            <w:pPr>
              <w:rPr>
                <w:sz w:val="1"/>
                <w:szCs w:val="1"/>
              </w:rPr>
            </w:pPr>
          </w:p>
        </w:tc>
      </w:tr>
      <w:tr w:rsidR="00D1587D" w14:paraId="0F989B84" w14:textId="77777777">
        <w:trPr>
          <w:trHeight w:val="216"/>
        </w:trPr>
        <w:tc>
          <w:tcPr>
            <w:tcW w:w="1160" w:type="dxa"/>
            <w:vAlign w:val="bottom"/>
          </w:tcPr>
          <w:p w14:paraId="57CBBA77" w14:textId="77777777" w:rsidR="00D1587D" w:rsidRDefault="00410D07">
            <w:pPr>
              <w:rPr>
                <w:sz w:val="20"/>
                <w:szCs w:val="20"/>
              </w:rPr>
            </w:pPr>
            <w:r>
              <w:rPr>
                <w:rFonts w:ascii="Arial" w:eastAsia="Arial" w:hAnsi="Arial" w:cs="Arial"/>
                <w:sz w:val="18"/>
                <w:szCs w:val="18"/>
              </w:rPr>
              <w:t>Section 2.04</w:t>
            </w:r>
            <w:r>
              <w:rPr>
                <w:rFonts w:ascii="Arial" w:eastAsia="Arial" w:hAnsi="Arial" w:cs="Arial"/>
                <w:i/>
                <w:iCs/>
                <w:sz w:val="18"/>
                <w:szCs w:val="18"/>
              </w:rPr>
              <w:t>.</w:t>
            </w:r>
          </w:p>
        </w:tc>
        <w:tc>
          <w:tcPr>
            <w:tcW w:w="7720" w:type="dxa"/>
            <w:gridSpan w:val="3"/>
            <w:vAlign w:val="bottom"/>
          </w:tcPr>
          <w:p w14:paraId="3DBD4AE3" w14:textId="77777777" w:rsidR="00D1587D" w:rsidRDefault="00410D07">
            <w:pPr>
              <w:ind w:left="200"/>
              <w:rPr>
                <w:sz w:val="20"/>
                <w:szCs w:val="20"/>
              </w:rPr>
            </w:pPr>
            <w:r>
              <w:rPr>
                <w:rFonts w:ascii="Arial" w:eastAsia="Arial" w:hAnsi="Arial" w:cs="Arial"/>
                <w:i/>
                <w:iCs/>
                <w:sz w:val="18"/>
                <w:szCs w:val="18"/>
              </w:rPr>
              <w:t>Restructuring Agreements</w:t>
            </w:r>
          </w:p>
        </w:tc>
        <w:tc>
          <w:tcPr>
            <w:tcW w:w="2360" w:type="dxa"/>
            <w:gridSpan w:val="2"/>
            <w:vAlign w:val="bottom"/>
          </w:tcPr>
          <w:p w14:paraId="21EEB045" w14:textId="77777777" w:rsidR="00D1587D" w:rsidRDefault="00410D07">
            <w:pPr>
              <w:jc w:val="right"/>
              <w:rPr>
                <w:sz w:val="20"/>
                <w:szCs w:val="20"/>
              </w:rPr>
            </w:pPr>
            <w:r>
              <w:rPr>
                <w:rFonts w:ascii="Arial" w:eastAsia="Arial" w:hAnsi="Arial" w:cs="Arial"/>
                <w:sz w:val="18"/>
                <w:szCs w:val="18"/>
              </w:rPr>
              <w:t>19</w:t>
            </w:r>
          </w:p>
        </w:tc>
        <w:tc>
          <w:tcPr>
            <w:tcW w:w="0" w:type="dxa"/>
            <w:vAlign w:val="bottom"/>
          </w:tcPr>
          <w:p w14:paraId="5CED1DAF" w14:textId="77777777" w:rsidR="00D1587D" w:rsidRDefault="00D1587D">
            <w:pPr>
              <w:rPr>
                <w:sz w:val="1"/>
                <w:szCs w:val="1"/>
              </w:rPr>
            </w:pPr>
          </w:p>
        </w:tc>
      </w:tr>
      <w:tr w:rsidR="00D1587D" w14:paraId="2409E227" w14:textId="77777777">
        <w:trPr>
          <w:trHeight w:val="216"/>
        </w:trPr>
        <w:tc>
          <w:tcPr>
            <w:tcW w:w="1160" w:type="dxa"/>
            <w:vAlign w:val="bottom"/>
          </w:tcPr>
          <w:p w14:paraId="6C92E1BB" w14:textId="77777777" w:rsidR="00D1587D" w:rsidRDefault="00410D07">
            <w:pPr>
              <w:rPr>
                <w:sz w:val="20"/>
                <w:szCs w:val="20"/>
              </w:rPr>
            </w:pPr>
            <w:r>
              <w:rPr>
                <w:rFonts w:ascii="Arial" w:eastAsia="Arial" w:hAnsi="Arial" w:cs="Arial"/>
                <w:sz w:val="18"/>
                <w:szCs w:val="18"/>
              </w:rPr>
              <w:t>Section 2.05.</w:t>
            </w:r>
          </w:p>
        </w:tc>
        <w:tc>
          <w:tcPr>
            <w:tcW w:w="7720" w:type="dxa"/>
            <w:gridSpan w:val="3"/>
            <w:vAlign w:val="bottom"/>
          </w:tcPr>
          <w:p w14:paraId="59EAA769" w14:textId="77777777" w:rsidR="00D1587D" w:rsidRDefault="00410D07">
            <w:pPr>
              <w:ind w:left="200"/>
              <w:rPr>
                <w:sz w:val="20"/>
                <w:szCs w:val="20"/>
              </w:rPr>
            </w:pPr>
            <w:r>
              <w:rPr>
                <w:rFonts w:ascii="Arial" w:eastAsia="Arial" w:hAnsi="Arial" w:cs="Arial"/>
                <w:i/>
                <w:iCs/>
                <w:sz w:val="18"/>
                <w:szCs w:val="18"/>
              </w:rPr>
              <w:t>Shared Contracts</w:t>
            </w:r>
          </w:p>
        </w:tc>
        <w:tc>
          <w:tcPr>
            <w:tcW w:w="2360" w:type="dxa"/>
            <w:gridSpan w:val="2"/>
            <w:vAlign w:val="bottom"/>
          </w:tcPr>
          <w:p w14:paraId="1A255751" w14:textId="77777777" w:rsidR="00D1587D" w:rsidRDefault="00410D07">
            <w:pPr>
              <w:jc w:val="right"/>
              <w:rPr>
                <w:sz w:val="20"/>
                <w:szCs w:val="20"/>
              </w:rPr>
            </w:pPr>
            <w:r>
              <w:rPr>
                <w:rFonts w:ascii="Arial" w:eastAsia="Arial" w:hAnsi="Arial" w:cs="Arial"/>
                <w:sz w:val="18"/>
                <w:szCs w:val="18"/>
              </w:rPr>
              <w:t>20</w:t>
            </w:r>
          </w:p>
        </w:tc>
        <w:tc>
          <w:tcPr>
            <w:tcW w:w="0" w:type="dxa"/>
            <w:vAlign w:val="bottom"/>
          </w:tcPr>
          <w:p w14:paraId="25936EAE" w14:textId="77777777" w:rsidR="00D1587D" w:rsidRDefault="00D1587D">
            <w:pPr>
              <w:rPr>
                <w:sz w:val="1"/>
                <w:szCs w:val="1"/>
              </w:rPr>
            </w:pPr>
          </w:p>
        </w:tc>
      </w:tr>
      <w:tr w:rsidR="00D1587D" w14:paraId="384B912A" w14:textId="77777777">
        <w:trPr>
          <w:trHeight w:val="216"/>
        </w:trPr>
        <w:tc>
          <w:tcPr>
            <w:tcW w:w="1160" w:type="dxa"/>
            <w:vAlign w:val="bottom"/>
          </w:tcPr>
          <w:p w14:paraId="2A35BCF3" w14:textId="77777777" w:rsidR="00D1587D" w:rsidRDefault="00410D07">
            <w:pPr>
              <w:rPr>
                <w:sz w:val="20"/>
                <w:szCs w:val="20"/>
              </w:rPr>
            </w:pPr>
            <w:r>
              <w:rPr>
                <w:rFonts w:ascii="Arial" w:eastAsia="Arial" w:hAnsi="Arial" w:cs="Arial"/>
                <w:sz w:val="18"/>
                <w:szCs w:val="18"/>
              </w:rPr>
              <w:t>Section 2.06</w:t>
            </w:r>
            <w:r>
              <w:rPr>
                <w:rFonts w:ascii="Arial" w:eastAsia="Arial" w:hAnsi="Arial" w:cs="Arial"/>
                <w:i/>
                <w:iCs/>
                <w:sz w:val="18"/>
                <w:szCs w:val="18"/>
              </w:rPr>
              <w:t>.</w:t>
            </w:r>
          </w:p>
        </w:tc>
        <w:tc>
          <w:tcPr>
            <w:tcW w:w="7720" w:type="dxa"/>
            <w:gridSpan w:val="3"/>
            <w:vAlign w:val="bottom"/>
          </w:tcPr>
          <w:p w14:paraId="6A9E7464" w14:textId="77777777" w:rsidR="00D1587D" w:rsidRDefault="00410D07">
            <w:pPr>
              <w:ind w:left="200"/>
              <w:rPr>
                <w:sz w:val="20"/>
                <w:szCs w:val="20"/>
              </w:rPr>
            </w:pPr>
            <w:r>
              <w:rPr>
                <w:rFonts w:ascii="Arial" w:eastAsia="Arial" w:hAnsi="Arial" w:cs="Arial"/>
                <w:i/>
                <w:iCs/>
                <w:sz w:val="18"/>
                <w:szCs w:val="18"/>
              </w:rPr>
              <w:t xml:space="preserve">Agreement Relating to Consents Necessary to Transfer Assets and </w:t>
            </w:r>
            <w:r>
              <w:rPr>
                <w:rFonts w:ascii="Arial" w:eastAsia="Arial" w:hAnsi="Arial" w:cs="Arial"/>
                <w:i/>
                <w:iCs/>
                <w:sz w:val="18"/>
                <w:szCs w:val="18"/>
              </w:rPr>
              <w:t>Liabilities</w:t>
            </w:r>
          </w:p>
        </w:tc>
        <w:tc>
          <w:tcPr>
            <w:tcW w:w="2360" w:type="dxa"/>
            <w:gridSpan w:val="2"/>
            <w:vAlign w:val="bottom"/>
          </w:tcPr>
          <w:p w14:paraId="5BE4106B" w14:textId="77777777" w:rsidR="00D1587D" w:rsidRDefault="00410D07">
            <w:pPr>
              <w:jc w:val="right"/>
              <w:rPr>
                <w:sz w:val="20"/>
                <w:szCs w:val="20"/>
              </w:rPr>
            </w:pPr>
            <w:r>
              <w:rPr>
                <w:rFonts w:ascii="Arial" w:eastAsia="Arial" w:hAnsi="Arial" w:cs="Arial"/>
                <w:sz w:val="18"/>
                <w:szCs w:val="18"/>
              </w:rPr>
              <w:t>21</w:t>
            </w:r>
          </w:p>
        </w:tc>
        <w:tc>
          <w:tcPr>
            <w:tcW w:w="0" w:type="dxa"/>
            <w:vAlign w:val="bottom"/>
          </w:tcPr>
          <w:p w14:paraId="5756CEE2" w14:textId="77777777" w:rsidR="00D1587D" w:rsidRDefault="00D1587D">
            <w:pPr>
              <w:rPr>
                <w:sz w:val="1"/>
                <w:szCs w:val="1"/>
              </w:rPr>
            </w:pPr>
          </w:p>
        </w:tc>
      </w:tr>
      <w:tr w:rsidR="00D1587D" w14:paraId="4B8975F7" w14:textId="77777777">
        <w:trPr>
          <w:trHeight w:val="216"/>
        </w:trPr>
        <w:tc>
          <w:tcPr>
            <w:tcW w:w="1160" w:type="dxa"/>
            <w:vAlign w:val="bottom"/>
          </w:tcPr>
          <w:p w14:paraId="460CC2A9" w14:textId="77777777" w:rsidR="00D1587D" w:rsidRDefault="00410D07">
            <w:pPr>
              <w:rPr>
                <w:sz w:val="20"/>
                <w:szCs w:val="20"/>
              </w:rPr>
            </w:pPr>
            <w:r>
              <w:rPr>
                <w:rFonts w:ascii="Arial" w:eastAsia="Arial" w:hAnsi="Arial" w:cs="Arial"/>
                <w:sz w:val="18"/>
                <w:szCs w:val="18"/>
              </w:rPr>
              <w:t>Section 2.07.</w:t>
            </w:r>
          </w:p>
        </w:tc>
        <w:tc>
          <w:tcPr>
            <w:tcW w:w="7720" w:type="dxa"/>
            <w:gridSpan w:val="3"/>
            <w:vAlign w:val="bottom"/>
          </w:tcPr>
          <w:p w14:paraId="7294B564" w14:textId="77777777" w:rsidR="00D1587D" w:rsidRDefault="00410D07">
            <w:pPr>
              <w:ind w:left="200"/>
              <w:rPr>
                <w:sz w:val="20"/>
                <w:szCs w:val="20"/>
              </w:rPr>
            </w:pPr>
            <w:r>
              <w:rPr>
                <w:rFonts w:ascii="Arial" w:eastAsia="Arial" w:hAnsi="Arial" w:cs="Arial"/>
                <w:i/>
                <w:iCs/>
                <w:sz w:val="18"/>
                <w:szCs w:val="18"/>
              </w:rPr>
              <w:t>Intercompany Accounts</w:t>
            </w:r>
          </w:p>
        </w:tc>
        <w:tc>
          <w:tcPr>
            <w:tcW w:w="2360" w:type="dxa"/>
            <w:gridSpan w:val="2"/>
            <w:vAlign w:val="bottom"/>
          </w:tcPr>
          <w:p w14:paraId="4DFFC207" w14:textId="77777777" w:rsidR="00D1587D" w:rsidRDefault="00410D07">
            <w:pPr>
              <w:jc w:val="right"/>
              <w:rPr>
                <w:sz w:val="20"/>
                <w:szCs w:val="20"/>
              </w:rPr>
            </w:pPr>
            <w:r>
              <w:rPr>
                <w:rFonts w:ascii="Arial" w:eastAsia="Arial" w:hAnsi="Arial" w:cs="Arial"/>
                <w:sz w:val="18"/>
                <w:szCs w:val="18"/>
              </w:rPr>
              <w:t>22</w:t>
            </w:r>
          </w:p>
        </w:tc>
        <w:tc>
          <w:tcPr>
            <w:tcW w:w="0" w:type="dxa"/>
            <w:vAlign w:val="bottom"/>
          </w:tcPr>
          <w:p w14:paraId="67C35464" w14:textId="77777777" w:rsidR="00D1587D" w:rsidRDefault="00D1587D">
            <w:pPr>
              <w:rPr>
                <w:sz w:val="1"/>
                <w:szCs w:val="1"/>
              </w:rPr>
            </w:pPr>
          </w:p>
        </w:tc>
      </w:tr>
      <w:tr w:rsidR="00D1587D" w14:paraId="4A2BD8F9" w14:textId="77777777">
        <w:trPr>
          <w:trHeight w:val="216"/>
        </w:trPr>
        <w:tc>
          <w:tcPr>
            <w:tcW w:w="1160" w:type="dxa"/>
            <w:vAlign w:val="bottom"/>
          </w:tcPr>
          <w:p w14:paraId="737F654F" w14:textId="77777777" w:rsidR="00D1587D" w:rsidRDefault="00410D07">
            <w:pPr>
              <w:rPr>
                <w:sz w:val="20"/>
                <w:szCs w:val="20"/>
              </w:rPr>
            </w:pPr>
            <w:r>
              <w:rPr>
                <w:rFonts w:ascii="Arial" w:eastAsia="Arial" w:hAnsi="Arial" w:cs="Arial"/>
                <w:sz w:val="18"/>
                <w:szCs w:val="18"/>
              </w:rPr>
              <w:t>Section 2.08</w:t>
            </w:r>
            <w:r>
              <w:rPr>
                <w:rFonts w:ascii="Arial" w:eastAsia="Arial" w:hAnsi="Arial" w:cs="Arial"/>
                <w:i/>
                <w:iCs/>
                <w:sz w:val="18"/>
                <w:szCs w:val="18"/>
              </w:rPr>
              <w:t>.</w:t>
            </w:r>
          </w:p>
        </w:tc>
        <w:tc>
          <w:tcPr>
            <w:tcW w:w="7720" w:type="dxa"/>
            <w:gridSpan w:val="3"/>
            <w:vAlign w:val="bottom"/>
          </w:tcPr>
          <w:p w14:paraId="795E8D12" w14:textId="77777777" w:rsidR="00D1587D" w:rsidRDefault="00410D07">
            <w:pPr>
              <w:ind w:left="200"/>
              <w:rPr>
                <w:sz w:val="20"/>
                <w:szCs w:val="20"/>
              </w:rPr>
            </w:pPr>
            <w:r>
              <w:rPr>
                <w:rFonts w:ascii="Arial" w:eastAsia="Arial" w:hAnsi="Arial" w:cs="Arial"/>
                <w:i/>
                <w:iCs/>
                <w:sz w:val="18"/>
                <w:szCs w:val="18"/>
              </w:rPr>
              <w:t>Intercompany Agreements</w:t>
            </w:r>
          </w:p>
        </w:tc>
        <w:tc>
          <w:tcPr>
            <w:tcW w:w="2360" w:type="dxa"/>
            <w:gridSpan w:val="2"/>
            <w:vAlign w:val="bottom"/>
          </w:tcPr>
          <w:p w14:paraId="3B56D1AB" w14:textId="77777777" w:rsidR="00D1587D" w:rsidRDefault="00410D07">
            <w:pPr>
              <w:jc w:val="right"/>
              <w:rPr>
                <w:sz w:val="20"/>
                <w:szCs w:val="20"/>
              </w:rPr>
            </w:pPr>
            <w:r>
              <w:rPr>
                <w:rFonts w:ascii="Arial" w:eastAsia="Arial" w:hAnsi="Arial" w:cs="Arial"/>
                <w:sz w:val="18"/>
                <w:szCs w:val="18"/>
              </w:rPr>
              <w:t>22</w:t>
            </w:r>
          </w:p>
        </w:tc>
        <w:tc>
          <w:tcPr>
            <w:tcW w:w="0" w:type="dxa"/>
            <w:vAlign w:val="bottom"/>
          </w:tcPr>
          <w:p w14:paraId="0CB656C7" w14:textId="77777777" w:rsidR="00D1587D" w:rsidRDefault="00D1587D">
            <w:pPr>
              <w:rPr>
                <w:sz w:val="1"/>
                <w:szCs w:val="1"/>
              </w:rPr>
            </w:pPr>
          </w:p>
        </w:tc>
      </w:tr>
      <w:tr w:rsidR="00D1587D" w14:paraId="4996D4E8" w14:textId="77777777">
        <w:trPr>
          <w:trHeight w:val="216"/>
        </w:trPr>
        <w:tc>
          <w:tcPr>
            <w:tcW w:w="1160" w:type="dxa"/>
            <w:vAlign w:val="bottom"/>
          </w:tcPr>
          <w:p w14:paraId="0F2FA9A4" w14:textId="77777777" w:rsidR="00D1587D" w:rsidRDefault="00410D07">
            <w:pPr>
              <w:rPr>
                <w:sz w:val="20"/>
                <w:szCs w:val="20"/>
              </w:rPr>
            </w:pPr>
            <w:r>
              <w:rPr>
                <w:rFonts w:ascii="Arial" w:eastAsia="Arial" w:hAnsi="Arial" w:cs="Arial"/>
                <w:sz w:val="18"/>
                <w:szCs w:val="18"/>
              </w:rPr>
              <w:t>Section 2.09</w:t>
            </w:r>
            <w:r>
              <w:rPr>
                <w:rFonts w:ascii="Arial" w:eastAsia="Arial" w:hAnsi="Arial" w:cs="Arial"/>
                <w:i/>
                <w:iCs/>
                <w:sz w:val="18"/>
                <w:szCs w:val="18"/>
              </w:rPr>
              <w:t>.</w:t>
            </w:r>
          </w:p>
        </w:tc>
        <w:tc>
          <w:tcPr>
            <w:tcW w:w="7720" w:type="dxa"/>
            <w:gridSpan w:val="3"/>
            <w:vAlign w:val="bottom"/>
          </w:tcPr>
          <w:p w14:paraId="328BC29C" w14:textId="77777777" w:rsidR="00D1587D" w:rsidRDefault="00410D07">
            <w:pPr>
              <w:ind w:left="200"/>
              <w:rPr>
                <w:sz w:val="20"/>
                <w:szCs w:val="20"/>
              </w:rPr>
            </w:pPr>
            <w:r>
              <w:rPr>
                <w:rFonts w:ascii="Arial" w:eastAsia="Arial" w:hAnsi="Arial" w:cs="Arial"/>
                <w:i/>
                <w:iCs/>
                <w:sz w:val="18"/>
                <w:szCs w:val="18"/>
              </w:rPr>
              <w:t>Bank Accounts; Cash Balances</w:t>
            </w:r>
          </w:p>
        </w:tc>
        <w:tc>
          <w:tcPr>
            <w:tcW w:w="2360" w:type="dxa"/>
            <w:gridSpan w:val="2"/>
            <w:vAlign w:val="bottom"/>
          </w:tcPr>
          <w:p w14:paraId="36B59FD5" w14:textId="77777777" w:rsidR="00D1587D" w:rsidRDefault="00410D07">
            <w:pPr>
              <w:jc w:val="right"/>
              <w:rPr>
                <w:sz w:val="20"/>
                <w:szCs w:val="20"/>
              </w:rPr>
            </w:pPr>
            <w:r>
              <w:rPr>
                <w:rFonts w:ascii="Arial" w:eastAsia="Arial" w:hAnsi="Arial" w:cs="Arial"/>
                <w:sz w:val="18"/>
                <w:szCs w:val="18"/>
              </w:rPr>
              <w:t>22</w:t>
            </w:r>
          </w:p>
        </w:tc>
        <w:tc>
          <w:tcPr>
            <w:tcW w:w="0" w:type="dxa"/>
            <w:vAlign w:val="bottom"/>
          </w:tcPr>
          <w:p w14:paraId="70C17AF4" w14:textId="77777777" w:rsidR="00D1587D" w:rsidRDefault="00D1587D">
            <w:pPr>
              <w:rPr>
                <w:sz w:val="1"/>
                <w:szCs w:val="1"/>
              </w:rPr>
            </w:pPr>
          </w:p>
        </w:tc>
      </w:tr>
      <w:tr w:rsidR="00D1587D" w14:paraId="3FC6D1BF" w14:textId="77777777">
        <w:trPr>
          <w:trHeight w:val="216"/>
        </w:trPr>
        <w:tc>
          <w:tcPr>
            <w:tcW w:w="1160" w:type="dxa"/>
            <w:vAlign w:val="bottom"/>
          </w:tcPr>
          <w:p w14:paraId="3A72A245" w14:textId="77777777" w:rsidR="00D1587D" w:rsidRDefault="00410D07">
            <w:pPr>
              <w:rPr>
                <w:sz w:val="20"/>
                <w:szCs w:val="20"/>
              </w:rPr>
            </w:pPr>
            <w:r>
              <w:rPr>
                <w:rFonts w:ascii="Arial" w:eastAsia="Arial" w:hAnsi="Arial" w:cs="Arial"/>
                <w:sz w:val="18"/>
                <w:szCs w:val="18"/>
              </w:rPr>
              <w:t>Section 2.10.</w:t>
            </w:r>
          </w:p>
        </w:tc>
        <w:tc>
          <w:tcPr>
            <w:tcW w:w="7720" w:type="dxa"/>
            <w:gridSpan w:val="3"/>
            <w:vAlign w:val="bottom"/>
          </w:tcPr>
          <w:p w14:paraId="5AC810AC" w14:textId="77777777" w:rsidR="00D1587D" w:rsidRDefault="00410D07">
            <w:pPr>
              <w:ind w:left="200"/>
              <w:rPr>
                <w:sz w:val="20"/>
                <w:szCs w:val="20"/>
              </w:rPr>
            </w:pPr>
            <w:r>
              <w:rPr>
                <w:rFonts w:ascii="Arial" w:eastAsia="Arial" w:hAnsi="Arial" w:cs="Arial"/>
                <w:i/>
                <w:iCs/>
                <w:sz w:val="18"/>
                <w:szCs w:val="18"/>
              </w:rPr>
              <w:t>Replacement of Guarantees</w:t>
            </w:r>
          </w:p>
        </w:tc>
        <w:tc>
          <w:tcPr>
            <w:tcW w:w="2360" w:type="dxa"/>
            <w:gridSpan w:val="2"/>
            <w:vAlign w:val="bottom"/>
          </w:tcPr>
          <w:p w14:paraId="48348DFF" w14:textId="77777777" w:rsidR="00D1587D" w:rsidRDefault="00410D07">
            <w:pPr>
              <w:jc w:val="right"/>
              <w:rPr>
                <w:sz w:val="20"/>
                <w:szCs w:val="20"/>
              </w:rPr>
            </w:pPr>
            <w:r>
              <w:rPr>
                <w:rFonts w:ascii="Arial" w:eastAsia="Arial" w:hAnsi="Arial" w:cs="Arial"/>
                <w:sz w:val="18"/>
                <w:szCs w:val="18"/>
              </w:rPr>
              <w:t>23</w:t>
            </w:r>
          </w:p>
        </w:tc>
        <w:tc>
          <w:tcPr>
            <w:tcW w:w="0" w:type="dxa"/>
            <w:vAlign w:val="bottom"/>
          </w:tcPr>
          <w:p w14:paraId="23383E9D" w14:textId="77777777" w:rsidR="00D1587D" w:rsidRDefault="00D1587D">
            <w:pPr>
              <w:rPr>
                <w:sz w:val="1"/>
                <w:szCs w:val="1"/>
              </w:rPr>
            </w:pPr>
          </w:p>
        </w:tc>
      </w:tr>
      <w:tr w:rsidR="00D1587D" w14:paraId="05A67EC4" w14:textId="77777777">
        <w:trPr>
          <w:trHeight w:val="216"/>
        </w:trPr>
        <w:tc>
          <w:tcPr>
            <w:tcW w:w="1160" w:type="dxa"/>
            <w:vAlign w:val="bottom"/>
          </w:tcPr>
          <w:p w14:paraId="49695584" w14:textId="77777777" w:rsidR="00D1587D" w:rsidRDefault="00410D07">
            <w:pPr>
              <w:rPr>
                <w:sz w:val="20"/>
                <w:szCs w:val="20"/>
              </w:rPr>
            </w:pPr>
            <w:r>
              <w:rPr>
                <w:rFonts w:ascii="Arial" w:eastAsia="Arial" w:hAnsi="Arial" w:cs="Arial"/>
                <w:sz w:val="18"/>
                <w:szCs w:val="18"/>
              </w:rPr>
              <w:t>Section 2.11</w:t>
            </w:r>
            <w:r>
              <w:rPr>
                <w:rFonts w:ascii="Arial" w:eastAsia="Arial" w:hAnsi="Arial" w:cs="Arial"/>
                <w:i/>
                <w:iCs/>
                <w:sz w:val="18"/>
                <w:szCs w:val="18"/>
              </w:rPr>
              <w:t>.</w:t>
            </w:r>
          </w:p>
        </w:tc>
        <w:tc>
          <w:tcPr>
            <w:tcW w:w="7720" w:type="dxa"/>
            <w:gridSpan w:val="3"/>
            <w:vAlign w:val="bottom"/>
          </w:tcPr>
          <w:p w14:paraId="69028D94" w14:textId="77777777" w:rsidR="00D1587D" w:rsidRDefault="00410D07">
            <w:pPr>
              <w:ind w:left="200"/>
              <w:rPr>
                <w:sz w:val="20"/>
                <w:szCs w:val="20"/>
              </w:rPr>
            </w:pPr>
            <w:r>
              <w:rPr>
                <w:rFonts w:ascii="Arial" w:eastAsia="Arial" w:hAnsi="Arial" w:cs="Arial"/>
                <w:i/>
                <w:iCs/>
                <w:sz w:val="18"/>
                <w:szCs w:val="18"/>
              </w:rPr>
              <w:t>Further Assurances and Consents</w:t>
            </w:r>
          </w:p>
        </w:tc>
        <w:tc>
          <w:tcPr>
            <w:tcW w:w="2360" w:type="dxa"/>
            <w:gridSpan w:val="2"/>
            <w:vAlign w:val="bottom"/>
          </w:tcPr>
          <w:p w14:paraId="21FE64CC" w14:textId="77777777" w:rsidR="00D1587D" w:rsidRDefault="00410D07">
            <w:pPr>
              <w:jc w:val="right"/>
              <w:rPr>
                <w:sz w:val="20"/>
                <w:szCs w:val="20"/>
              </w:rPr>
            </w:pPr>
            <w:r>
              <w:rPr>
                <w:rFonts w:ascii="Arial" w:eastAsia="Arial" w:hAnsi="Arial" w:cs="Arial"/>
                <w:sz w:val="18"/>
                <w:szCs w:val="18"/>
              </w:rPr>
              <w:t>24</w:t>
            </w:r>
          </w:p>
        </w:tc>
        <w:tc>
          <w:tcPr>
            <w:tcW w:w="0" w:type="dxa"/>
            <w:vAlign w:val="bottom"/>
          </w:tcPr>
          <w:p w14:paraId="376DAD84" w14:textId="77777777" w:rsidR="00D1587D" w:rsidRDefault="00D1587D">
            <w:pPr>
              <w:rPr>
                <w:sz w:val="1"/>
                <w:szCs w:val="1"/>
              </w:rPr>
            </w:pPr>
          </w:p>
        </w:tc>
      </w:tr>
      <w:tr w:rsidR="00D1587D" w14:paraId="233BB1FC" w14:textId="77777777">
        <w:trPr>
          <w:trHeight w:val="216"/>
        </w:trPr>
        <w:tc>
          <w:tcPr>
            <w:tcW w:w="1160" w:type="dxa"/>
            <w:vAlign w:val="bottom"/>
          </w:tcPr>
          <w:p w14:paraId="5F59E890" w14:textId="77777777" w:rsidR="00D1587D" w:rsidRDefault="00D1587D">
            <w:pPr>
              <w:rPr>
                <w:sz w:val="18"/>
                <w:szCs w:val="18"/>
              </w:rPr>
            </w:pPr>
          </w:p>
        </w:tc>
        <w:tc>
          <w:tcPr>
            <w:tcW w:w="3900" w:type="dxa"/>
            <w:vAlign w:val="bottom"/>
          </w:tcPr>
          <w:p w14:paraId="173BC178" w14:textId="77777777" w:rsidR="00D1587D" w:rsidRDefault="00D1587D">
            <w:pPr>
              <w:rPr>
                <w:sz w:val="18"/>
                <w:szCs w:val="18"/>
              </w:rPr>
            </w:pPr>
          </w:p>
        </w:tc>
        <w:tc>
          <w:tcPr>
            <w:tcW w:w="3820" w:type="dxa"/>
            <w:gridSpan w:val="2"/>
            <w:vAlign w:val="bottom"/>
          </w:tcPr>
          <w:p w14:paraId="6A79D44F" w14:textId="77777777" w:rsidR="00D1587D" w:rsidRDefault="00410D07">
            <w:pPr>
              <w:ind w:right="2700"/>
              <w:jc w:val="center"/>
              <w:rPr>
                <w:sz w:val="20"/>
                <w:szCs w:val="20"/>
              </w:rPr>
            </w:pPr>
            <w:r>
              <w:rPr>
                <w:rFonts w:ascii="Arial" w:eastAsia="Arial" w:hAnsi="Arial" w:cs="Arial"/>
                <w:w w:val="96"/>
                <w:sz w:val="18"/>
                <w:szCs w:val="18"/>
              </w:rPr>
              <w:t>ARTICLE 3</w:t>
            </w:r>
          </w:p>
        </w:tc>
        <w:tc>
          <w:tcPr>
            <w:tcW w:w="2020" w:type="dxa"/>
            <w:vAlign w:val="bottom"/>
          </w:tcPr>
          <w:p w14:paraId="5ED2D1FC" w14:textId="77777777" w:rsidR="00D1587D" w:rsidRDefault="00D1587D">
            <w:pPr>
              <w:rPr>
                <w:sz w:val="18"/>
                <w:szCs w:val="18"/>
              </w:rPr>
            </w:pPr>
          </w:p>
        </w:tc>
        <w:tc>
          <w:tcPr>
            <w:tcW w:w="340" w:type="dxa"/>
            <w:vAlign w:val="bottom"/>
          </w:tcPr>
          <w:p w14:paraId="58CE90FA" w14:textId="77777777" w:rsidR="00D1587D" w:rsidRDefault="00D1587D">
            <w:pPr>
              <w:rPr>
                <w:sz w:val="18"/>
                <w:szCs w:val="18"/>
              </w:rPr>
            </w:pPr>
          </w:p>
        </w:tc>
        <w:tc>
          <w:tcPr>
            <w:tcW w:w="0" w:type="dxa"/>
            <w:vAlign w:val="bottom"/>
          </w:tcPr>
          <w:p w14:paraId="079CBE43" w14:textId="77777777" w:rsidR="00D1587D" w:rsidRDefault="00D1587D">
            <w:pPr>
              <w:rPr>
                <w:sz w:val="1"/>
                <w:szCs w:val="1"/>
              </w:rPr>
            </w:pPr>
          </w:p>
        </w:tc>
      </w:tr>
      <w:tr w:rsidR="00D1587D" w14:paraId="4831F8DA" w14:textId="77777777">
        <w:trPr>
          <w:trHeight w:val="230"/>
        </w:trPr>
        <w:tc>
          <w:tcPr>
            <w:tcW w:w="1160" w:type="dxa"/>
            <w:vAlign w:val="bottom"/>
          </w:tcPr>
          <w:p w14:paraId="4427D961" w14:textId="77777777" w:rsidR="00D1587D" w:rsidRDefault="00D1587D">
            <w:pPr>
              <w:rPr>
                <w:sz w:val="20"/>
                <w:szCs w:val="20"/>
              </w:rPr>
            </w:pPr>
          </w:p>
        </w:tc>
        <w:tc>
          <w:tcPr>
            <w:tcW w:w="3900" w:type="dxa"/>
            <w:vAlign w:val="bottom"/>
          </w:tcPr>
          <w:p w14:paraId="47CB26FE" w14:textId="77777777" w:rsidR="00D1587D" w:rsidRDefault="00D1587D">
            <w:pPr>
              <w:rPr>
                <w:sz w:val="20"/>
                <w:szCs w:val="20"/>
              </w:rPr>
            </w:pPr>
          </w:p>
        </w:tc>
        <w:tc>
          <w:tcPr>
            <w:tcW w:w="3820" w:type="dxa"/>
            <w:gridSpan w:val="2"/>
            <w:vAlign w:val="bottom"/>
          </w:tcPr>
          <w:p w14:paraId="57A3C66C" w14:textId="77777777" w:rsidR="00D1587D" w:rsidRDefault="00410D07">
            <w:pPr>
              <w:ind w:right="2680"/>
              <w:jc w:val="center"/>
              <w:rPr>
                <w:sz w:val="20"/>
                <w:szCs w:val="20"/>
              </w:rPr>
            </w:pPr>
            <w:r>
              <w:rPr>
                <w:rFonts w:ascii="Arial" w:eastAsia="Arial" w:hAnsi="Arial" w:cs="Arial"/>
                <w:sz w:val="18"/>
                <w:szCs w:val="18"/>
              </w:rPr>
              <w:t>D</w:t>
            </w:r>
            <w:r>
              <w:rPr>
                <w:rFonts w:ascii="Arial" w:eastAsia="Arial" w:hAnsi="Arial" w:cs="Arial"/>
                <w:sz w:val="12"/>
                <w:szCs w:val="12"/>
              </w:rPr>
              <w:t>ISTRIBUTION</w:t>
            </w:r>
          </w:p>
        </w:tc>
        <w:tc>
          <w:tcPr>
            <w:tcW w:w="2020" w:type="dxa"/>
            <w:vAlign w:val="bottom"/>
          </w:tcPr>
          <w:p w14:paraId="41000982" w14:textId="77777777" w:rsidR="00D1587D" w:rsidRDefault="00D1587D">
            <w:pPr>
              <w:rPr>
                <w:sz w:val="20"/>
                <w:szCs w:val="20"/>
              </w:rPr>
            </w:pPr>
          </w:p>
        </w:tc>
        <w:tc>
          <w:tcPr>
            <w:tcW w:w="340" w:type="dxa"/>
            <w:vAlign w:val="bottom"/>
          </w:tcPr>
          <w:p w14:paraId="397985C3" w14:textId="77777777" w:rsidR="00D1587D" w:rsidRDefault="00D1587D">
            <w:pPr>
              <w:rPr>
                <w:sz w:val="20"/>
                <w:szCs w:val="20"/>
              </w:rPr>
            </w:pPr>
          </w:p>
        </w:tc>
        <w:tc>
          <w:tcPr>
            <w:tcW w:w="0" w:type="dxa"/>
            <w:vAlign w:val="bottom"/>
          </w:tcPr>
          <w:p w14:paraId="060D52E6" w14:textId="77777777" w:rsidR="00D1587D" w:rsidRDefault="00D1587D">
            <w:pPr>
              <w:rPr>
                <w:sz w:val="1"/>
                <w:szCs w:val="1"/>
              </w:rPr>
            </w:pPr>
          </w:p>
        </w:tc>
      </w:tr>
      <w:tr w:rsidR="00D1587D" w14:paraId="635D01A3" w14:textId="77777777">
        <w:trPr>
          <w:trHeight w:val="418"/>
        </w:trPr>
        <w:tc>
          <w:tcPr>
            <w:tcW w:w="1160" w:type="dxa"/>
            <w:vAlign w:val="bottom"/>
          </w:tcPr>
          <w:p w14:paraId="40249EFC" w14:textId="77777777" w:rsidR="00D1587D" w:rsidRDefault="00410D07">
            <w:pPr>
              <w:rPr>
                <w:sz w:val="20"/>
                <w:szCs w:val="20"/>
              </w:rPr>
            </w:pPr>
            <w:r>
              <w:rPr>
                <w:rFonts w:ascii="Arial" w:eastAsia="Arial" w:hAnsi="Arial" w:cs="Arial"/>
                <w:sz w:val="18"/>
                <w:szCs w:val="18"/>
              </w:rPr>
              <w:t>Section 3.01.</w:t>
            </w:r>
          </w:p>
        </w:tc>
        <w:tc>
          <w:tcPr>
            <w:tcW w:w="7720" w:type="dxa"/>
            <w:gridSpan w:val="3"/>
            <w:vAlign w:val="bottom"/>
          </w:tcPr>
          <w:p w14:paraId="57F3F094" w14:textId="77777777" w:rsidR="00D1587D" w:rsidRDefault="00410D07">
            <w:pPr>
              <w:ind w:left="200"/>
              <w:rPr>
                <w:sz w:val="20"/>
                <w:szCs w:val="20"/>
              </w:rPr>
            </w:pPr>
            <w:r>
              <w:rPr>
                <w:rFonts w:ascii="Arial" w:eastAsia="Arial" w:hAnsi="Arial" w:cs="Arial"/>
                <w:i/>
                <w:iCs/>
                <w:sz w:val="18"/>
                <w:szCs w:val="18"/>
              </w:rPr>
              <w:t>Conditions Precedent to Distribution</w:t>
            </w:r>
          </w:p>
        </w:tc>
        <w:tc>
          <w:tcPr>
            <w:tcW w:w="2360" w:type="dxa"/>
            <w:gridSpan w:val="2"/>
            <w:vAlign w:val="bottom"/>
          </w:tcPr>
          <w:p w14:paraId="44613F19" w14:textId="77777777" w:rsidR="00D1587D" w:rsidRDefault="00410D07">
            <w:pPr>
              <w:jc w:val="right"/>
              <w:rPr>
                <w:sz w:val="20"/>
                <w:szCs w:val="20"/>
              </w:rPr>
            </w:pPr>
            <w:r>
              <w:rPr>
                <w:rFonts w:ascii="Arial" w:eastAsia="Arial" w:hAnsi="Arial" w:cs="Arial"/>
                <w:sz w:val="18"/>
                <w:szCs w:val="18"/>
              </w:rPr>
              <w:t>25</w:t>
            </w:r>
          </w:p>
        </w:tc>
        <w:tc>
          <w:tcPr>
            <w:tcW w:w="0" w:type="dxa"/>
            <w:vAlign w:val="bottom"/>
          </w:tcPr>
          <w:p w14:paraId="61BE7A0C" w14:textId="77777777" w:rsidR="00D1587D" w:rsidRDefault="00D1587D">
            <w:pPr>
              <w:rPr>
                <w:sz w:val="1"/>
                <w:szCs w:val="1"/>
              </w:rPr>
            </w:pPr>
          </w:p>
        </w:tc>
      </w:tr>
      <w:tr w:rsidR="00D1587D" w14:paraId="6C2776AC" w14:textId="77777777">
        <w:trPr>
          <w:trHeight w:val="216"/>
        </w:trPr>
        <w:tc>
          <w:tcPr>
            <w:tcW w:w="1160" w:type="dxa"/>
            <w:vAlign w:val="bottom"/>
          </w:tcPr>
          <w:p w14:paraId="0214BDE9" w14:textId="77777777" w:rsidR="00D1587D" w:rsidRDefault="00410D07">
            <w:pPr>
              <w:rPr>
                <w:sz w:val="20"/>
                <w:szCs w:val="20"/>
              </w:rPr>
            </w:pPr>
            <w:r>
              <w:rPr>
                <w:rFonts w:ascii="Arial" w:eastAsia="Arial" w:hAnsi="Arial" w:cs="Arial"/>
                <w:sz w:val="18"/>
                <w:szCs w:val="18"/>
              </w:rPr>
              <w:t>Section 3.02.</w:t>
            </w:r>
          </w:p>
        </w:tc>
        <w:tc>
          <w:tcPr>
            <w:tcW w:w="7720" w:type="dxa"/>
            <w:gridSpan w:val="3"/>
            <w:vAlign w:val="bottom"/>
          </w:tcPr>
          <w:p w14:paraId="70C63223" w14:textId="77777777" w:rsidR="00D1587D" w:rsidRDefault="00410D07">
            <w:pPr>
              <w:ind w:left="200"/>
              <w:rPr>
                <w:sz w:val="20"/>
                <w:szCs w:val="20"/>
              </w:rPr>
            </w:pPr>
            <w:r>
              <w:rPr>
                <w:rFonts w:ascii="Arial" w:eastAsia="Arial" w:hAnsi="Arial" w:cs="Arial"/>
                <w:i/>
                <w:iCs/>
                <w:sz w:val="18"/>
                <w:szCs w:val="18"/>
              </w:rPr>
              <w:t>The Distribution</w:t>
            </w:r>
          </w:p>
        </w:tc>
        <w:tc>
          <w:tcPr>
            <w:tcW w:w="2360" w:type="dxa"/>
            <w:gridSpan w:val="2"/>
            <w:vAlign w:val="bottom"/>
          </w:tcPr>
          <w:p w14:paraId="7E7E6625" w14:textId="77777777" w:rsidR="00D1587D" w:rsidRDefault="00410D07">
            <w:pPr>
              <w:jc w:val="right"/>
              <w:rPr>
                <w:sz w:val="20"/>
                <w:szCs w:val="20"/>
              </w:rPr>
            </w:pPr>
            <w:r>
              <w:rPr>
                <w:rFonts w:ascii="Arial" w:eastAsia="Arial" w:hAnsi="Arial" w:cs="Arial"/>
                <w:sz w:val="18"/>
                <w:szCs w:val="18"/>
              </w:rPr>
              <w:t>26</w:t>
            </w:r>
          </w:p>
        </w:tc>
        <w:tc>
          <w:tcPr>
            <w:tcW w:w="0" w:type="dxa"/>
            <w:vAlign w:val="bottom"/>
          </w:tcPr>
          <w:p w14:paraId="52218CE8" w14:textId="77777777" w:rsidR="00D1587D" w:rsidRDefault="00D1587D">
            <w:pPr>
              <w:rPr>
                <w:sz w:val="1"/>
                <w:szCs w:val="1"/>
              </w:rPr>
            </w:pPr>
          </w:p>
        </w:tc>
      </w:tr>
      <w:tr w:rsidR="00D1587D" w14:paraId="5948C202" w14:textId="77777777">
        <w:trPr>
          <w:trHeight w:val="216"/>
        </w:trPr>
        <w:tc>
          <w:tcPr>
            <w:tcW w:w="1160" w:type="dxa"/>
            <w:vAlign w:val="bottom"/>
          </w:tcPr>
          <w:p w14:paraId="41008EE2" w14:textId="77777777" w:rsidR="00D1587D" w:rsidRDefault="00410D07">
            <w:pPr>
              <w:rPr>
                <w:sz w:val="20"/>
                <w:szCs w:val="20"/>
              </w:rPr>
            </w:pPr>
            <w:r>
              <w:rPr>
                <w:rFonts w:ascii="Arial" w:eastAsia="Arial" w:hAnsi="Arial" w:cs="Arial"/>
                <w:sz w:val="18"/>
                <w:szCs w:val="18"/>
              </w:rPr>
              <w:t>Section 3.03.</w:t>
            </w:r>
          </w:p>
        </w:tc>
        <w:tc>
          <w:tcPr>
            <w:tcW w:w="7720" w:type="dxa"/>
            <w:gridSpan w:val="3"/>
            <w:vAlign w:val="bottom"/>
          </w:tcPr>
          <w:p w14:paraId="4D764B3E" w14:textId="77777777" w:rsidR="00D1587D" w:rsidRDefault="00410D07">
            <w:pPr>
              <w:ind w:left="200"/>
              <w:rPr>
                <w:sz w:val="20"/>
                <w:szCs w:val="20"/>
              </w:rPr>
            </w:pPr>
            <w:r>
              <w:rPr>
                <w:rFonts w:ascii="Arial" w:eastAsia="Arial" w:hAnsi="Arial" w:cs="Arial"/>
                <w:i/>
                <w:iCs/>
                <w:sz w:val="18"/>
                <w:szCs w:val="18"/>
              </w:rPr>
              <w:t>Fractional Shares</w:t>
            </w:r>
          </w:p>
        </w:tc>
        <w:tc>
          <w:tcPr>
            <w:tcW w:w="2360" w:type="dxa"/>
            <w:gridSpan w:val="2"/>
            <w:vAlign w:val="bottom"/>
          </w:tcPr>
          <w:p w14:paraId="4E316CE1" w14:textId="77777777" w:rsidR="00D1587D" w:rsidRDefault="00410D07">
            <w:pPr>
              <w:jc w:val="right"/>
              <w:rPr>
                <w:sz w:val="20"/>
                <w:szCs w:val="20"/>
              </w:rPr>
            </w:pPr>
            <w:r>
              <w:rPr>
                <w:rFonts w:ascii="Arial" w:eastAsia="Arial" w:hAnsi="Arial" w:cs="Arial"/>
                <w:sz w:val="18"/>
                <w:szCs w:val="18"/>
              </w:rPr>
              <w:t>27</w:t>
            </w:r>
          </w:p>
        </w:tc>
        <w:tc>
          <w:tcPr>
            <w:tcW w:w="0" w:type="dxa"/>
            <w:vAlign w:val="bottom"/>
          </w:tcPr>
          <w:p w14:paraId="592AC808" w14:textId="77777777" w:rsidR="00D1587D" w:rsidRDefault="00D1587D">
            <w:pPr>
              <w:rPr>
                <w:sz w:val="1"/>
                <w:szCs w:val="1"/>
              </w:rPr>
            </w:pPr>
          </w:p>
        </w:tc>
      </w:tr>
      <w:tr w:rsidR="00D1587D" w14:paraId="51F0B024" w14:textId="77777777">
        <w:trPr>
          <w:trHeight w:val="216"/>
        </w:trPr>
        <w:tc>
          <w:tcPr>
            <w:tcW w:w="1160" w:type="dxa"/>
            <w:vAlign w:val="bottom"/>
          </w:tcPr>
          <w:p w14:paraId="57479E2B" w14:textId="77777777" w:rsidR="00D1587D" w:rsidRDefault="00410D07">
            <w:pPr>
              <w:rPr>
                <w:sz w:val="20"/>
                <w:szCs w:val="20"/>
              </w:rPr>
            </w:pPr>
            <w:r>
              <w:rPr>
                <w:rFonts w:ascii="Arial" w:eastAsia="Arial" w:hAnsi="Arial" w:cs="Arial"/>
                <w:sz w:val="18"/>
                <w:szCs w:val="18"/>
              </w:rPr>
              <w:t>Section 3.04.</w:t>
            </w:r>
          </w:p>
        </w:tc>
        <w:tc>
          <w:tcPr>
            <w:tcW w:w="7720" w:type="dxa"/>
            <w:gridSpan w:val="3"/>
            <w:vAlign w:val="bottom"/>
          </w:tcPr>
          <w:p w14:paraId="718BB07C" w14:textId="77777777" w:rsidR="00D1587D" w:rsidRDefault="00410D07">
            <w:pPr>
              <w:ind w:left="200"/>
              <w:rPr>
                <w:sz w:val="20"/>
                <w:szCs w:val="20"/>
              </w:rPr>
            </w:pPr>
            <w:r>
              <w:rPr>
                <w:rFonts w:ascii="Arial" w:eastAsia="Arial" w:hAnsi="Arial" w:cs="Arial"/>
                <w:i/>
                <w:iCs/>
                <w:sz w:val="18"/>
                <w:szCs w:val="18"/>
              </w:rPr>
              <w:t>NO REPRESENTATIONS OR WARRANTIES</w:t>
            </w:r>
          </w:p>
        </w:tc>
        <w:tc>
          <w:tcPr>
            <w:tcW w:w="2360" w:type="dxa"/>
            <w:gridSpan w:val="2"/>
            <w:vAlign w:val="bottom"/>
          </w:tcPr>
          <w:p w14:paraId="16FE6F39" w14:textId="77777777" w:rsidR="00D1587D" w:rsidRDefault="00410D07">
            <w:pPr>
              <w:jc w:val="right"/>
              <w:rPr>
                <w:sz w:val="20"/>
                <w:szCs w:val="20"/>
              </w:rPr>
            </w:pPr>
            <w:r>
              <w:rPr>
                <w:rFonts w:ascii="Arial" w:eastAsia="Arial" w:hAnsi="Arial" w:cs="Arial"/>
                <w:sz w:val="18"/>
                <w:szCs w:val="18"/>
              </w:rPr>
              <w:t>28</w:t>
            </w:r>
          </w:p>
        </w:tc>
        <w:tc>
          <w:tcPr>
            <w:tcW w:w="0" w:type="dxa"/>
            <w:vAlign w:val="bottom"/>
          </w:tcPr>
          <w:p w14:paraId="39FDA005" w14:textId="77777777" w:rsidR="00D1587D" w:rsidRDefault="00D1587D">
            <w:pPr>
              <w:rPr>
                <w:sz w:val="1"/>
                <w:szCs w:val="1"/>
              </w:rPr>
            </w:pPr>
          </w:p>
        </w:tc>
      </w:tr>
      <w:tr w:rsidR="00D1587D" w14:paraId="5E7FC73B" w14:textId="77777777">
        <w:trPr>
          <w:trHeight w:val="216"/>
        </w:trPr>
        <w:tc>
          <w:tcPr>
            <w:tcW w:w="1160" w:type="dxa"/>
            <w:vAlign w:val="bottom"/>
          </w:tcPr>
          <w:p w14:paraId="19A22421" w14:textId="77777777" w:rsidR="00D1587D" w:rsidRDefault="00D1587D">
            <w:pPr>
              <w:rPr>
                <w:sz w:val="18"/>
                <w:szCs w:val="18"/>
              </w:rPr>
            </w:pPr>
          </w:p>
        </w:tc>
        <w:tc>
          <w:tcPr>
            <w:tcW w:w="3900" w:type="dxa"/>
            <w:vAlign w:val="bottom"/>
          </w:tcPr>
          <w:p w14:paraId="7C50D1AA" w14:textId="77777777" w:rsidR="00D1587D" w:rsidRDefault="00D1587D">
            <w:pPr>
              <w:rPr>
                <w:sz w:val="18"/>
                <w:szCs w:val="18"/>
              </w:rPr>
            </w:pPr>
          </w:p>
        </w:tc>
        <w:tc>
          <w:tcPr>
            <w:tcW w:w="3820" w:type="dxa"/>
            <w:gridSpan w:val="2"/>
            <w:vAlign w:val="bottom"/>
          </w:tcPr>
          <w:p w14:paraId="43885221" w14:textId="77777777" w:rsidR="00D1587D" w:rsidRDefault="00410D07">
            <w:pPr>
              <w:ind w:right="2700"/>
              <w:jc w:val="center"/>
              <w:rPr>
                <w:sz w:val="20"/>
                <w:szCs w:val="20"/>
              </w:rPr>
            </w:pPr>
            <w:r>
              <w:rPr>
                <w:rFonts w:ascii="Arial" w:eastAsia="Arial" w:hAnsi="Arial" w:cs="Arial"/>
                <w:w w:val="96"/>
                <w:sz w:val="18"/>
                <w:szCs w:val="18"/>
              </w:rPr>
              <w:t>ARTICLE 4</w:t>
            </w:r>
          </w:p>
        </w:tc>
        <w:tc>
          <w:tcPr>
            <w:tcW w:w="2020" w:type="dxa"/>
            <w:vAlign w:val="bottom"/>
          </w:tcPr>
          <w:p w14:paraId="5FC3A111" w14:textId="77777777" w:rsidR="00D1587D" w:rsidRDefault="00D1587D">
            <w:pPr>
              <w:rPr>
                <w:sz w:val="18"/>
                <w:szCs w:val="18"/>
              </w:rPr>
            </w:pPr>
          </w:p>
        </w:tc>
        <w:tc>
          <w:tcPr>
            <w:tcW w:w="340" w:type="dxa"/>
            <w:vAlign w:val="bottom"/>
          </w:tcPr>
          <w:p w14:paraId="6F06E449" w14:textId="77777777" w:rsidR="00D1587D" w:rsidRDefault="00D1587D">
            <w:pPr>
              <w:rPr>
                <w:sz w:val="18"/>
                <w:szCs w:val="18"/>
              </w:rPr>
            </w:pPr>
          </w:p>
        </w:tc>
        <w:tc>
          <w:tcPr>
            <w:tcW w:w="0" w:type="dxa"/>
            <w:vAlign w:val="bottom"/>
          </w:tcPr>
          <w:p w14:paraId="7670BFEC" w14:textId="77777777" w:rsidR="00D1587D" w:rsidRDefault="00D1587D">
            <w:pPr>
              <w:rPr>
                <w:sz w:val="1"/>
                <w:szCs w:val="1"/>
              </w:rPr>
            </w:pPr>
          </w:p>
        </w:tc>
      </w:tr>
      <w:tr w:rsidR="00D1587D" w14:paraId="0B316EAA" w14:textId="77777777">
        <w:trPr>
          <w:trHeight w:val="230"/>
        </w:trPr>
        <w:tc>
          <w:tcPr>
            <w:tcW w:w="1160" w:type="dxa"/>
            <w:vAlign w:val="bottom"/>
          </w:tcPr>
          <w:p w14:paraId="670AFE12" w14:textId="77777777" w:rsidR="00D1587D" w:rsidRDefault="00D1587D">
            <w:pPr>
              <w:rPr>
                <w:sz w:val="20"/>
                <w:szCs w:val="20"/>
              </w:rPr>
            </w:pPr>
          </w:p>
        </w:tc>
        <w:tc>
          <w:tcPr>
            <w:tcW w:w="3900" w:type="dxa"/>
            <w:vAlign w:val="bottom"/>
          </w:tcPr>
          <w:p w14:paraId="2BC1D800" w14:textId="77777777" w:rsidR="00D1587D" w:rsidRDefault="00D1587D">
            <w:pPr>
              <w:rPr>
                <w:sz w:val="20"/>
                <w:szCs w:val="20"/>
              </w:rPr>
            </w:pPr>
          </w:p>
        </w:tc>
        <w:tc>
          <w:tcPr>
            <w:tcW w:w="3820" w:type="dxa"/>
            <w:gridSpan w:val="2"/>
            <w:vAlign w:val="bottom"/>
          </w:tcPr>
          <w:p w14:paraId="46883B36" w14:textId="77777777" w:rsidR="00D1587D" w:rsidRDefault="00410D07">
            <w:pPr>
              <w:ind w:right="2680"/>
              <w:jc w:val="center"/>
              <w:rPr>
                <w:sz w:val="20"/>
                <w:szCs w:val="20"/>
              </w:rPr>
            </w:pPr>
            <w:r>
              <w:rPr>
                <w:rFonts w:ascii="Arial" w:eastAsia="Arial" w:hAnsi="Arial" w:cs="Arial"/>
                <w:w w:val="98"/>
                <w:sz w:val="18"/>
                <w:szCs w:val="18"/>
              </w:rPr>
              <w:t>C</w:t>
            </w:r>
            <w:r>
              <w:rPr>
                <w:rFonts w:ascii="Arial" w:eastAsia="Arial" w:hAnsi="Arial" w:cs="Arial"/>
                <w:w w:val="98"/>
                <w:sz w:val="12"/>
                <w:szCs w:val="12"/>
              </w:rPr>
              <w:t>OVENANTS</w:t>
            </w:r>
          </w:p>
        </w:tc>
        <w:tc>
          <w:tcPr>
            <w:tcW w:w="2020" w:type="dxa"/>
            <w:vAlign w:val="bottom"/>
          </w:tcPr>
          <w:p w14:paraId="73545DD5" w14:textId="77777777" w:rsidR="00D1587D" w:rsidRDefault="00D1587D">
            <w:pPr>
              <w:rPr>
                <w:sz w:val="20"/>
                <w:szCs w:val="20"/>
              </w:rPr>
            </w:pPr>
          </w:p>
        </w:tc>
        <w:tc>
          <w:tcPr>
            <w:tcW w:w="340" w:type="dxa"/>
            <w:vAlign w:val="bottom"/>
          </w:tcPr>
          <w:p w14:paraId="06A09EB5" w14:textId="77777777" w:rsidR="00D1587D" w:rsidRDefault="00D1587D">
            <w:pPr>
              <w:rPr>
                <w:sz w:val="20"/>
                <w:szCs w:val="20"/>
              </w:rPr>
            </w:pPr>
          </w:p>
        </w:tc>
        <w:tc>
          <w:tcPr>
            <w:tcW w:w="0" w:type="dxa"/>
            <w:vAlign w:val="bottom"/>
          </w:tcPr>
          <w:p w14:paraId="5AF52FA3" w14:textId="77777777" w:rsidR="00D1587D" w:rsidRDefault="00D1587D">
            <w:pPr>
              <w:rPr>
                <w:sz w:val="1"/>
                <w:szCs w:val="1"/>
              </w:rPr>
            </w:pPr>
          </w:p>
        </w:tc>
      </w:tr>
      <w:tr w:rsidR="00D1587D" w14:paraId="04FEF38A" w14:textId="77777777">
        <w:trPr>
          <w:trHeight w:val="418"/>
        </w:trPr>
        <w:tc>
          <w:tcPr>
            <w:tcW w:w="1160" w:type="dxa"/>
            <w:vAlign w:val="bottom"/>
          </w:tcPr>
          <w:p w14:paraId="026F1932" w14:textId="77777777" w:rsidR="00D1587D" w:rsidRDefault="00410D07">
            <w:pPr>
              <w:rPr>
                <w:sz w:val="20"/>
                <w:szCs w:val="20"/>
              </w:rPr>
            </w:pPr>
            <w:r>
              <w:rPr>
                <w:rFonts w:ascii="Arial" w:eastAsia="Arial" w:hAnsi="Arial" w:cs="Arial"/>
                <w:sz w:val="18"/>
                <w:szCs w:val="18"/>
              </w:rPr>
              <w:t>Section 4.01.</w:t>
            </w:r>
          </w:p>
        </w:tc>
        <w:tc>
          <w:tcPr>
            <w:tcW w:w="7720" w:type="dxa"/>
            <w:gridSpan w:val="3"/>
            <w:vAlign w:val="bottom"/>
          </w:tcPr>
          <w:p w14:paraId="7B2657CC" w14:textId="77777777" w:rsidR="00D1587D" w:rsidRDefault="00410D07">
            <w:pPr>
              <w:ind w:left="200"/>
              <w:rPr>
                <w:sz w:val="20"/>
                <w:szCs w:val="20"/>
              </w:rPr>
            </w:pPr>
            <w:r>
              <w:rPr>
                <w:rFonts w:ascii="Arial" w:eastAsia="Arial" w:hAnsi="Arial" w:cs="Arial"/>
                <w:i/>
                <w:iCs/>
                <w:sz w:val="18"/>
                <w:szCs w:val="18"/>
              </w:rPr>
              <w:t>Access to Information</w:t>
            </w:r>
          </w:p>
        </w:tc>
        <w:tc>
          <w:tcPr>
            <w:tcW w:w="2360" w:type="dxa"/>
            <w:gridSpan w:val="2"/>
            <w:vAlign w:val="bottom"/>
          </w:tcPr>
          <w:p w14:paraId="090315A4" w14:textId="77777777" w:rsidR="00D1587D" w:rsidRDefault="00410D07">
            <w:pPr>
              <w:jc w:val="right"/>
              <w:rPr>
                <w:sz w:val="20"/>
                <w:szCs w:val="20"/>
              </w:rPr>
            </w:pPr>
            <w:r>
              <w:rPr>
                <w:rFonts w:ascii="Arial" w:eastAsia="Arial" w:hAnsi="Arial" w:cs="Arial"/>
                <w:sz w:val="18"/>
                <w:szCs w:val="18"/>
              </w:rPr>
              <w:t>29</w:t>
            </w:r>
          </w:p>
        </w:tc>
        <w:tc>
          <w:tcPr>
            <w:tcW w:w="0" w:type="dxa"/>
            <w:vAlign w:val="bottom"/>
          </w:tcPr>
          <w:p w14:paraId="5661E79A" w14:textId="77777777" w:rsidR="00D1587D" w:rsidRDefault="00D1587D">
            <w:pPr>
              <w:rPr>
                <w:sz w:val="1"/>
                <w:szCs w:val="1"/>
              </w:rPr>
            </w:pPr>
          </w:p>
        </w:tc>
      </w:tr>
      <w:tr w:rsidR="00D1587D" w14:paraId="7CB790AF" w14:textId="77777777">
        <w:trPr>
          <w:trHeight w:val="216"/>
        </w:trPr>
        <w:tc>
          <w:tcPr>
            <w:tcW w:w="1160" w:type="dxa"/>
            <w:vAlign w:val="bottom"/>
          </w:tcPr>
          <w:p w14:paraId="43D19A86" w14:textId="77777777" w:rsidR="00D1587D" w:rsidRDefault="00410D07">
            <w:pPr>
              <w:rPr>
                <w:sz w:val="20"/>
                <w:szCs w:val="20"/>
              </w:rPr>
            </w:pPr>
            <w:r>
              <w:rPr>
                <w:rFonts w:ascii="Arial" w:eastAsia="Arial" w:hAnsi="Arial" w:cs="Arial"/>
                <w:sz w:val="18"/>
                <w:szCs w:val="18"/>
              </w:rPr>
              <w:t>Section 4.02.</w:t>
            </w:r>
          </w:p>
        </w:tc>
        <w:tc>
          <w:tcPr>
            <w:tcW w:w="7720" w:type="dxa"/>
            <w:gridSpan w:val="3"/>
            <w:vAlign w:val="bottom"/>
          </w:tcPr>
          <w:p w14:paraId="5B21D2A8" w14:textId="77777777" w:rsidR="00D1587D" w:rsidRDefault="00410D07">
            <w:pPr>
              <w:ind w:left="200"/>
              <w:rPr>
                <w:sz w:val="20"/>
                <w:szCs w:val="20"/>
              </w:rPr>
            </w:pPr>
            <w:r>
              <w:rPr>
                <w:rFonts w:ascii="Arial" w:eastAsia="Arial" w:hAnsi="Arial" w:cs="Arial"/>
                <w:i/>
                <w:iCs/>
                <w:sz w:val="18"/>
                <w:szCs w:val="18"/>
              </w:rPr>
              <w:t>Litigation Cooperation</w:t>
            </w:r>
          </w:p>
        </w:tc>
        <w:tc>
          <w:tcPr>
            <w:tcW w:w="2360" w:type="dxa"/>
            <w:gridSpan w:val="2"/>
            <w:vAlign w:val="bottom"/>
          </w:tcPr>
          <w:p w14:paraId="3B9B57EA" w14:textId="77777777" w:rsidR="00D1587D" w:rsidRDefault="00410D07">
            <w:pPr>
              <w:jc w:val="right"/>
              <w:rPr>
                <w:sz w:val="20"/>
                <w:szCs w:val="20"/>
              </w:rPr>
            </w:pPr>
            <w:r>
              <w:rPr>
                <w:rFonts w:ascii="Arial" w:eastAsia="Arial" w:hAnsi="Arial" w:cs="Arial"/>
                <w:sz w:val="18"/>
                <w:szCs w:val="18"/>
              </w:rPr>
              <w:t>30</w:t>
            </w:r>
          </w:p>
        </w:tc>
        <w:tc>
          <w:tcPr>
            <w:tcW w:w="0" w:type="dxa"/>
            <w:vAlign w:val="bottom"/>
          </w:tcPr>
          <w:p w14:paraId="51888087" w14:textId="77777777" w:rsidR="00D1587D" w:rsidRDefault="00D1587D">
            <w:pPr>
              <w:rPr>
                <w:sz w:val="1"/>
                <w:szCs w:val="1"/>
              </w:rPr>
            </w:pPr>
          </w:p>
        </w:tc>
      </w:tr>
      <w:tr w:rsidR="00D1587D" w14:paraId="687CBFE0" w14:textId="77777777">
        <w:trPr>
          <w:trHeight w:val="216"/>
        </w:trPr>
        <w:tc>
          <w:tcPr>
            <w:tcW w:w="1160" w:type="dxa"/>
            <w:vAlign w:val="bottom"/>
          </w:tcPr>
          <w:p w14:paraId="29367B04" w14:textId="77777777" w:rsidR="00D1587D" w:rsidRDefault="00410D07">
            <w:pPr>
              <w:rPr>
                <w:sz w:val="20"/>
                <w:szCs w:val="20"/>
              </w:rPr>
            </w:pPr>
            <w:r>
              <w:rPr>
                <w:rFonts w:ascii="Arial" w:eastAsia="Arial" w:hAnsi="Arial" w:cs="Arial"/>
                <w:sz w:val="18"/>
                <w:szCs w:val="18"/>
              </w:rPr>
              <w:t>Section 4.03.</w:t>
            </w:r>
          </w:p>
        </w:tc>
        <w:tc>
          <w:tcPr>
            <w:tcW w:w="7720" w:type="dxa"/>
            <w:gridSpan w:val="3"/>
            <w:vAlign w:val="bottom"/>
          </w:tcPr>
          <w:p w14:paraId="2A1A2298" w14:textId="77777777" w:rsidR="00D1587D" w:rsidRDefault="00410D07">
            <w:pPr>
              <w:ind w:left="200"/>
              <w:rPr>
                <w:sz w:val="20"/>
                <w:szCs w:val="20"/>
              </w:rPr>
            </w:pPr>
            <w:r>
              <w:rPr>
                <w:rFonts w:ascii="Arial" w:eastAsia="Arial" w:hAnsi="Arial" w:cs="Arial"/>
                <w:i/>
                <w:iCs/>
                <w:sz w:val="18"/>
                <w:szCs w:val="18"/>
              </w:rPr>
              <w:t>Reimbursement</w:t>
            </w:r>
          </w:p>
        </w:tc>
        <w:tc>
          <w:tcPr>
            <w:tcW w:w="2360" w:type="dxa"/>
            <w:gridSpan w:val="2"/>
            <w:vAlign w:val="bottom"/>
          </w:tcPr>
          <w:p w14:paraId="47ADE867" w14:textId="77777777" w:rsidR="00D1587D" w:rsidRDefault="00410D07">
            <w:pPr>
              <w:jc w:val="right"/>
              <w:rPr>
                <w:sz w:val="20"/>
                <w:szCs w:val="20"/>
              </w:rPr>
            </w:pPr>
            <w:r>
              <w:rPr>
                <w:rFonts w:ascii="Arial" w:eastAsia="Arial" w:hAnsi="Arial" w:cs="Arial"/>
                <w:sz w:val="18"/>
                <w:szCs w:val="18"/>
              </w:rPr>
              <w:t>30</w:t>
            </w:r>
          </w:p>
        </w:tc>
        <w:tc>
          <w:tcPr>
            <w:tcW w:w="0" w:type="dxa"/>
            <w:vAlign w:val="bottom"/>
          </w:tcPr>
          <w:p w14:paraId="75B98052" w14:textId="77777777" w:rsidR="00D1587D" w:rsidRDefault="00D1587D">
            <w:pPr>
              <w:rPr>
                <w:sz w:val="1"/>
                <w:szCs w:val="1"/>
              </w:rPr>
            </w:pPr>
          </w:p>
        </w:tc>
      </w:tr>
      <w:tr w:rsidR="00D1587D" w14:paraId="57F034C8" w14:textId="77777777">
        <w:trPr>
          <w:trHeight w:val="216"/>
        </w:trPr>
        <w:tc>
          <w:tcPr>
            <w:tcW w:w="1160" w:type="dxa"/>
            <w:vAlign w:val="bottom"/>
          </w:tcPr>
          <w:p w14:paraId="14D9D868" w14:textId="77777777" w:rsidR="00D1587D" w:rsidRDefault="00410D07">
            <w:pPr>
              <w:rPr>
                <w:sz w:val="20"/>
                <w:szCs w:val="20"/>
              </w:rPr>
            </w:pPr>
            <w:r>
              <w:rPr>
                <w:rFonts w:ascii="Arial" w:eastAsia="Arial" w:hAnsi="Arial" w:cs="Arial"/>
                <w:sz w:val="18"/>
                <w:szCs w:val="18"/>
              </w:rPr>
              <w:t>Section 4.04.</w:t>
            </w:r>
          </w:p>
        </w:tc>
        <w:tc>
          <w:tcPr>
            <w:tcW w:w="7720" w:type="dxa"/>
            <w:gridSpan w:val="3"/>
            <w:vAlign w:val="bottom"/>
          </w:tcPr>
          <w:p w14:paraId="044FD411" w14:textId="77777777" w:rsidR="00D1587D" w:rsidRDefault="00410D07">
            <w:pPr>
              <w:ind w:left="200"/>
              <w:rPr>
                <w:sz w:val="20"/>
                <w:szCs w:val="20"/>
              </w:rPr>
            </w:pPr>
            <w:r>
              <w:rPr>
                <w:rFonts w:ascii="Arial" w:eastAsia="Arial" w:hAnsi="Arial" w:cs="Arial"/>
                <w:i/>
                <w:iCs/>
                <w:sz w:val="18"/>
                <w:szCs w:val="18"/>
              </w:rPr>
              <w:t>Ownership of Information</w:t>
            </w:r>
          </w:p>
        </w:tc>
        <w:tc>
          <w:tcPr>
            <w:tcW w:w="2360" w:type="dxa"/>
            <w:gridSpan w:val="2"/>
            <w:vAlign w:val="bottom"/>
          </w:tcPr>
          <w:p w14:paraId="05875231" w14:textId="77777777" w:rsidR="00D1587D" w:rsidRDefault="00410D07">
            <w:pPr>
              <w:jc w:val="right"/>
              <w:rPr>
                <w:sz w:val="20"/>
                <w:szCs w:val="20"/>
              </w:rPr>
            </w:pPr>
            <w:r>
              <w:rPr>
                <w:rFonts w:ascii="Arial" w:eastAsia="Arial" w:hAnsi="Arial" w:cs="Arial"/>
                <w:sz w:val="18"/>
                <w:szCs w:val="18"/>
              </w:rPr>
              <w:t>30</w:t>
            </w:r>
          </w:p>
        </w:tc>
        <w:tc>
          <w:tcPr>
            <w:tcW w:w="0" w:type="dxa"/>
            <w:vAlign w:val="bottom"/>
          </w:tcPr>
          <w:p w14:paraId="3368D640" w14:textId="77777777" w:rsidR="00D1587D" w:rsidRDefault="00D1587D">
            <w:pPr>
              <w:rPr>
                <w:sz w:val="1"/>
                <w:szCs w:val="1"/>
              </w:rPr>
            </w:pPr>
          </w:p>
        </w:tc>
      </w:tr>
      <w:tr w:rsidR="00D1587D" w14:paraId="004A4E31" w14:textId="77777777">
        <w:trPr>
          <w:trHeight w:val="216"/>
        </w:trPr>
        <w:tc>
          <w:tcPr>
            <w:tcW w:w="1160" w:type="dxa"/>
            <w:vAlign w:val="bottom"/>
          </w:tcPr>
          <w:p w14:paraId="3525CD33" w14:textId="77777777" w:rsidR="00D1587D" w:rsidRDefault="00410D07">
            <w:pPr>
              <w:rPr>
                <w:sz w:val="20"/>
                <w:szCs w:val="20"/>
              </w:rPr>
            </w:pPr>
            <w:r>
              <w:rPr>
                <w:rFonts w:ascii="Arial" w:eastAsia="Arial" w:hAnsi="Arial" w:cs="Arial"/>
                <w:sz w:val="18"/>
                <w:szCs w:val="18"/>
              </w:rPr>
              <w:t>Section 4.05.</w:t>
            </w:r>
          </w:p>
        </w:tc>
        <w:tc>
          <w:tcPr>
            <w:tcW w:w="7720" w:type="dxa"/>
            <w:gridSpan w:val="3"/>
            <w:vAlign w:val="bottom"/>
          </w:tcPr>
          <w:p w14:paraId="063DF0A0" w14:textId="77777777" w:rsidR="00D1587D" w:rsidRDefault="00410D07">
            <w:pPr>
              <w:ind w:left="200"/>
              <w:rPr>
                <w:sz w:val="20"/>
                <w:szCs w:val="20"/>
              </w:rPr>
            </w:pPr>
            <w:r>
              <w:rPr>
                <w:rFonts w:ascii="Arial" w:eastAsia="Arial" w:hAnsi="Arial" w:cs="Arial"/>
                <w:i/>
                <w:iCs/>
                <w:sz w:val="18"/>
                <w:szCs w:val="18"/>
              </w:rPr>
              <w:t>Retention of Records</w:t>
            </w:r>
          </w:p>
        </w:tc>
        <w:tc>
          <w:tcPr>
            <w:tcW w:w="2360" w:type="dxa"/>
            <w:gridSpan w:val="2"/>
            <w:vAlign w:val="bottom"/>
          </w:tcPr>
          <w:p w14:paraId="1144EE76" w14:textId="77777777" w:rsidR="00D1587D" w:rsidRDefault="00410D07">
            <w:pPr>
              <w:jc w:val="right"/>
              <w:rPr>
                <w:sz w:val="20"/>
                <w:szCs w:val="20"/>
              </w:rPr>
            </w:pPr>
            <w:r>
              <w:rPr>
                <w:rFonts w:ascii="Arial" w:eastAsia="Arial" w:hAnsi="Arial" w:cs="Arial"/>
                <w:sz w:val="18"/>
                <w:szCs w:val="18"/>
              </w:rPr>
              <w:t>31</w:t>
            </w:r>
          </w:p>
        </w:tc>
        <w:tc>
          <w:tcPr>
            <w:tcW w:w="0" w:type="dxa"/>
            <w:vAlign w:val="bottom"/>
          </w:tcPr>
          <w:p w14:paraId="1C7CF185" w14:textId="77777777" w:rsidR="00D1587D" w:rsidRDefault="00D1587D">
            <w:pPr>
              <w:rPr>
                <w:sz w:val="1"/>
                <w:szCs w:val="1"/>
              </w:rPr>
            </w:pPr>
          </w:p>
        </w:tc>
      </w:tr>
      <w:tr w:rsidR="00D1587D" w14:paraId="298F47BF" w14:textId="77777777">
        <w:trPr>
          <w:trHeight w:val="216"/>
        </w:trPr>
        <w:tc>
          <w:tcPr>
            <w:tcW w:w="1160" w:type="dxa"/>
            <w:vAlign w:val="bottom"/>
          </w:tcPr>
          <w:p w14:paraId="3DA65D3B" w14:textId="77777777" w:rsidR="00D1587D" w:rsidRDefault="00410D07">
            <w:pPr>
              <w:rPr>
                <w:sz w:val="20"/>
                <w:szCs w:val="20"/>
              </w:rPr>
            </w:pPr>
            <w:r>
              <w:rPr>
                <w:rFonts w:ascii="Arial" w:eastAsia="Arial" w:hAnsi="Arial" w:cs="Arial"/>
                <w:sz w:val="18"/>
                <w:szCs w:val="18"/>
              </w:rPr>
              <w:t>Section 4.06.</w:t>
            </w:r>
          </w:p>
        </w:tc>
        <w:tc>
          <w:tcPr>
            <w:tcW w:w="7720" w:type="dxa"/>
            <w:gridSpan w:val="3"/>
            <w:vAlign w:val="bottom"/>
          </w:tcPr>
          <w:p w14:paraId="32537973" w14:textId="77777777" w:rsidR="00D1587D" w:rsidRDefault="00410D07">
            <w:pPr>
              <w:ind w:left="200"/>
              <w:rPr>
                <w:sz w:val="20"/>
                <w:szCs w:val="20"/>
              </w:rPr>
            </w:pPr>
            <w:r>
              <w:rPr>
                <w:rFonts w:ascii="Arial" w:eastAsia="Arial" w:hAnsi="Arial" w:cs="Arial"/>
                <w:i/>
                <w:iCs/>
                <w:sz w:val="18"/>
                <w:szCs w:val="18"/>
              </w:rPr>
              <w:t>Confidentiality</w:t>
            </w:r>
          </w:p>
        </w:tc>
        <w:tc>
          <w:tcPr>
            <w:tcW w:w="2360" w:type="dxa"/>
            <w:gridSpan w:val="2"/>
            <w:vAlign w:val="bottom"/>
          </w:tcPr>
          <w:p w14:paraId="476710E9" w14:textId="77777777" w:rsidR="00D1587D" w:rsidRDefault="00410D07">
            <w:pPr>
              <w:jc w:val="right"/>
              <w:rPr>
                <w:sz w:val="20"/>
                <w:szCs w:val="20"/>
              </w:rPr>
            </w:pPr>
            <w:r>
              <w:rPr>
                <w:rFonts w:ascii="Arial" w:eastAsia="Arial" w:hAnsi="Arial" w:cs="Arial"/>
                <w:sz w:val="18"/>
                <w:szCs w:val="18"/>
              </w:rPr>
              <w:t>31</w:t>
            </w:r>
          </w:p>
        </w:tc>
        <w:tc>
          <w:tcPr>
            <w:tcW w:w="0" w:type="dxa"/>
            <w:vAlign w:val="bottom"/>
          </w:tcPr>
          <w:p w14:paraId="58009635" w14:textId="77777777" w:rsidR="00D1587D" w:rsidRDefault="00D1587D">
            <w:pPr>
              <w:rPr>
                <w:sz w:val="1"/>
                <w:szCs w:val="1"/>
              </w:rPr>
            </w:pPr>
          </w:p>
        </w:tc>
      </w:tr>
      <w:tr w:rsidR="00D1587D" w14:paraId="2E160430" w14:textId="77777777">
        <w:trPr>
          <w:trHeight w:val="216"/>
        </w:trPr>
        <w:tc>
          <w:tcPr>
            <w:tcW w:w="1160" w:type="dxa"/>
            <w:vAlign w:val="bottom"/>
          </w:tcPr>
          <w:p w14:paraId="78C031B7" w14:textId="77777777" w:rsidR="00D1587D" w:rsidRDefault="00410D07">
            <w:pPr>
              <w:rPr>
                <w:sz w:val="20"/>
                <w:szCs w:val="20"/>
              </w:rPr>
            </w:pPr>
            <w:r>
              <w:rPr>
                <w:rFonts w:ascii="Arial" w:eastAsia="Arial" w:hAnsi="Arial" w:cs="Arial"/>
                <w:sz w:val="18"/>
                <w:szCs w:val="18"/>
              </w:rPr>
              <w:t>Section 4.07</w:t>
            </w:r>
            <w:r>
              <w:rPr>
                <w:rFonts w:ascii="Arial" w:eastAsia="Arial" w:hAnsi="Arial" w:cs="Arial"/>
                <w:i/>
                <w:iCs/>
                <w:sz w:val="18"/>
                <w:szCs w:val="18"/>
              </w:rPr>
              <w:t>.</w:t>
            </w:r>
          </w:p>
        </w:tc>
        <w:tc>
          <w:tcPr>
            <w:tcW w:w="7720" w:type="dxa"/>
            <w:gridSpan w:val="3"/>
            <w:vAlign w:val="bottom"/>
          </w:tcPr>
          <w:p w14:paraId="004036B1" w14:textId="77777777" w:rsidR="00D1587D" w:rsidRDefault="00410D07">
            <w:pPr>
              <w:ind w:left="200"/>
              <w:rPr>
                <w:sz w:val="20"/>
                <w:szCs w:val="20"/>
              </w:rPr>
            </w:pPr>
            <w:r>
              <w:rPr>
                <w:rFonts w:ascii="Arial" w:eastAsia="Arial" w:hAnsi="Arial" w:cs="Arial"/>
                <w:i/>
                <w:iCs/>
                <w:sz w:val="18"/>
                <w:szCs w:val="18"/>
              </w:rPr>
              <w:t>Privileged Information</w:t>
            </w:r>
          </w:p>
        </w:tc>
        <w:tc>
          <w:tcPr>
            <w:tcW w:w="2360" w:type="dxa"/>
            <w:gridSpan w:val="2"/>
            <w:vAlign w:val="bottom"/>
          </w:tcPr>
          <w:p w14:paraId="3A7EC57F" w14:textId="77777777" w:rsidR="00D1587D" w:rsidRDefault="00410D07">
            <w:pPr>
              <w:jc w:val="right"/>
              <w:rPr>
                <w:sz w:val="20"/>
                <w:szCs w:val="20"/>
              </w:rPr>
            </w:pPr>
            <w:r>
              <w:rPr>
                <w:rFonts w:ascii="Arial" w:eastAsia="Arial" w:hAnsi="Arial" w:cs="Arial"/>
                <w:sz w:val="18"/>
                <w:szCs w:val="18"/>
              </w:rPr>
              <w:t>32</w:t>
            </w:r>
          </w:p>
        </w:tc>
        <w:tc>
          <w:tcPr>
            <w:tcW w:w="0" w:type="dxa"/>
            <w:vAlign w:val="bottom"/>
          </w:tcPr>
          <w:p w14:paraId="2C6B5E86" w14:textId="77777777" w:rsidR="00D1587D" w:rsidRDefault="00D1587D">
            <w:pPr>
              <w:rPr>
                <w:sz w:val="1"/>
                <w:szCs w:val="1"/>
              </w:rPr>
            </w:pPr>
          </w:p>
        </w:tc>
      </w:tr>
      <w:tr w:rsidR="00D1587D" w14:paraId="4F2FA687" w14:textId="77777777">
        <w:trPr>
          <w:trHeight w:val="216"/>
        </w:trPr>
        <w:tc>
          <w:tcPr>
            <w:tcW w:w="1160" w:type="dxa"/>
            <w:vAlign w:val="bottom"/>
          </w:tcPr>
          <w:p w14:paraId="1DAB602F" w14:textId="77777777" w:rsidR="00D1587D" w:rsidRDefault="00410D07">
            <w:pPr>
              <w:rPr>
                <w:sz w:val="20"/>
                <w:szCs w:val="20"/>
              </w:rPr>
            </w:pPr>
            <w:r>
              <w:rPr>
                <w:rFonts w:ascii="Arial" w:eastAsia="Arial" w:hAnsi="Arial" w:cs="Arial"/>
                <w:sz w:val="18"/>
                <w:szCs w:val="18"/>
              </w:rPr>
              <w:t>Section 4.08.</w:t>
            </w:r>
          </w:p>
        </w:tc>
        <w:tc>
          <w:tcPr>
            <w:tcW w:w="7720" w:type="dxa"/>
            <w:gridSpan w:val="3"/>
            <w:vAlign w:val="bottom"/>
          </w:tcPr>
          <w:p w14:paraId="5295AE22" w14:textId="77777777" w:rsidR="00D1587D" w:rsidRDefault="00410D07">
            <w:pPr>
              <w:ind w:left="200"/>
              <w:rPr>
                <w:sz w:val="20"/>
                <w:szCs w:val="20"/>
              </w:rPr>
            </w:pPr>
            <w:r>
              <w:rPr>
                <w:rFonts w:ascii="Arial" w:eastAsia="Arial" w:hAnsi="Arial" w:cs="Arial"/>
                <w:i/>
                <w:iCs/>
                <w:sz w:val="18"/>
                <w:szCs w:val="18"/>
              </w:rPr>
              <w:t>Limitation of Liability</w:t>
            </w:r>
          </w:p>
        </w:tc>
        <w:tc>
          <w:tcPr>
            <w:tcW w:w="2360" w:type="dxa"/>
            <w:gridSpan w:val="2"/>
            <w:vAlign w:val="bottom"/>
          </w:tcPr>
          <w:p w14:paraId="53463DFE" w14:textId="77777777" w:rsidR="00D1587D" w:rsidRDefault="00410D07">
            <w:pPr>
              <w:jc w:val="right"/>
              <w:rPr>
                <w:sz w:val="20"/>
                <w:szCs w:val="20"/>
              </w:rPr>
            </w:pPr>
            <w:r>
              <w:rPr>
                <w:rFonts w:ascii="Arial" w:eastAsia="Arial" w:hAnsi="Arial" w:cs="Arial"/>
                <w:sz w:val="18"/>
                <w:szCs w:val="18"/>
              </w:rPr>
              <w:t>35</w:t>
            </w:r>
          </w:p>
        </w:tc>
        <w:tc>
          <w:tcPr>
            <w:tcW w:w="0" w:type="dxa"/>
            <w:vAlign w:val="bottom"/>
          </w:tcPr>
          <w:p w14:paraId="48C52BD7" w14:textId="77777777" w:rsidR="00D1587D" w:rsidRDefault="00D1587D">
            <w:pPr>
              <w:rPr>
                <w:sz w:val="1"/>
                <w:szCs w:val="1"/>
              </w:rPr>
            </w:pPr>
          </w:p>
        </w:tc>
      </w:tr>
      <w:tr w:rsidR="00D1587D" w14:paraId="75F6FCD4" w14:textId="77777777">
        <w:trPr>
          <w:trHeight w:val="230"/>
        </w:trPr>
        <w:tc>
          <w:tcPr>
            <w:tcW w:w="1160" w:type="dxa"/>
            <w:vAlign w:val="bottom"/>
          </w:tcPr>
          <w:p w14:paraId="7214778F" w14:textId="77777777" w:rsidR="00D1587D" w:rsidRDefault="00410D07">
            <w:pPr>
              <w:rPr>
                <w:sz w:val="20"/>
                <w:szCs w:val="20"/>
              </w:rPr>
            </w:pPr>
            <w:r>
              <w:rPr>
                <w:rFonts w:ascii="Arial" w:eastAsia="Arial" w:hAnsi="Arial" w:cs="Arial"/>
                <w:sz w:val="18"/>
                <w:szCs w:val="18"/>
              </w:rPr>
              <w:t>Section 4.09.</w:t>
            </w:r>
          </w:p>
        </w:tc>
        <w:tc>
          <w:tcPr>
            <w:tcW w:w="7720" w:type="dxa"/>
            <w:gridSpan w:val="3"/>
            <w:vAlign w:val="bottom"/>
          </w:tcPr>
          <w:p w14:paraId="163BA615" w14:textId="77777777" w:rsidR="00D1587D" w:rsidRDefault="00410D07">
            <w:pPr>
              <w:ind w:left="200"/>
              <w:rPr>
                <w:sz w:val="20"/>
                <w:szCs w:val="20"/>
              </w:rPr>
            </w:pPr>
            <w:r>
              <w:rPr>
                <w:rFonts w:ascii="Arial" w:eastAsia="Arial" w:hAnsi="Arial" w:cs="Arial"/>
                <w:i/>
                <w:iCs/>
                <w:sz w:val="18"/>
                <w:szCs w:val="18"/>
              </w:rPr>
              <w:t>Other Agreements Providing for Exchange of Information</w:t>
            </w:r>
          </w:p>
        </w:tc>
        <w:tc>
          <w:tcPr>
            <w:tcW w:w="2360" w:type="dxa"/>
            <w:gridSpan w:val="2"/>
            <w:vAlign w:val="bottom"/>
          </w:tcPr>
          <w:p w14:paraId="095F344C" w14:textId="77777777" w:rsidR="00D1587D" w:rsidRDefault="00410D07">
            <w:pPr>
              <w:jc w:val="right"/>
              <w:rPr>
                <w:sz w:val="20"/>
                <w:szCs w:val="20"/>
              </w:rPr>
            </w:pPr>
            <w:r>
              <w:rPr>
                <w:rFonts w:ascii="Arial" w:eastAsia="Arial" w:hAnsi="Arial" w:cs="Arial"/>
                <w:sz w:val="18"/>
                <w:szCs w:val="18"/>
              </w:rPr>
              <w:t>35</w:t>
            </w:r>
          </w:p>
        </w:tc>
        <w:tc>
          <w:tcPr>
            <w:tcW w:w="0" w:type="dxa"/>
            <w:vAlign w:val="bottom"/>
          </w:tcPr>
          <w:p w14:paraId="2465F1B9" w14:textId="77777777" w:rsidR="00D1587D" w:rsidRDefault="00D1587D">
            <w:pPr>
              <w:rPr>
                <w:sz w:val="1"/>
                <w:szCs w:val="1"/>
              </w:rPr>
            </w:pPr>
          </w:p>
        </w:tc>
      </w:tr>
      <w:tr w:rsidR="00D1587D" w14:paraId="7F2106DC" w14:textId="77777777">
        <w:trPr>
          <w:trHeight w:val="493"/>
        </w:trPr>
        <w:tc>
          <w:tcPr>
            <w:tcW w:w="1160" w:type="dxa"/>
            <w:tcBorders>
              <w:bottom w:val="single" w:sz="8" w:space="0" w:color="auto"/>
            </w:tcBorders>
            <w:vAlign w:val="bottom"/>
          </w:tcPr>
          <w:p w14:paraId="1F4E3AD1" w14:textId="77777777" w:rsidR="00D1587D" w:rsidRDefault="00D1587D">
            <w:pPr>
              <w:rPr>
                <w:sz w:val="24"/>
                <w:szCs w:val="24"/>
              </w:rPr>
            </w:pPr>
          </w:p>
        </w:tc>
        <w:tc>
          <w:tcPr>
            <w:tcW w:w="3900" w:type="dxa"/>
            <w:tcBorders>
              <w:bottom w:val="single" w:sz="8" w:space="0" w:color="auto"/>
            </w:tcBorders>
            <w:vAlign w:val="bottom"/>
          </w:tcPr>
          <w:p w14:paraId="173329B0" w14:textId="77777777" w:rsidR="00D1587D" w:rsidRDefault="00D1587D">
            <w:pPr>
              <w:rPr>
                <w:sz w:val="24"/>
                <w:szCs w:val="24"/>
              </w:rPr>
            </w:pPr>
          </w:p>
        </w:tc>
        <w:tc>
          <w:tcPr>
            <w:tcW w:w="1140" w:type="dxa"/>
            <w:tcBorders>
              <w:bottom w:val="single" w:sz="8" w:space="0" w:color="auto"/>
            </w:tcBorders>
            <w:vAlign w:val="bottom"/>
          </w:tcPr>
          <w:p w14:paraId="20D2FC89" w14:textId="77777777" w:rsidR="00D1587D" w:rsidRDefault="00D1587D">
            <w:pPr>
              <w:rPr>
                <w:sz w:val="24"/>
                <w:szCs w:val="24"/>
              </w:rPr>
            </w:pPr>
          </w:p>
        </w:tc>
        <w:tc>
          <w:tcPr>
            <w:tcW w:w="2680" w:type="dxa"/>
            <w:tcBorders>
              <w:bottom w:val="single" w:sz="8" w:space="0" w:color="auto"/>
            </w:tcBorders>
            <w:vAlign w:val="bottom"/>
          </w:tcPr>
          <w:p w14:paraId="592EE511" w14:textId="77777777" w:rsidR="00D1587D" w:rsidRDefault="00D1587D">
            <w:pPr>
              <w:rPr>
                <w:sz w:val="24"/>
                <w:szCs w:val="24"/>
              </w:rPr>
            </w:pPr>
          </w:p>
        </w:tc>
        <w:tc>
          <w:tcPr>
            <w:tcW w:w="2020" w:type="dxa"/>
            <w:tcBorders>
              <w:bottom w:val="single" w:sz="8" w:space="0" w:color="auto"/>
            </w:tcBorders>
            <w:vAlign w:val="bottom"/>
          </w:tcPr>
          <w:p w14:paraId="77169A15" w14:textId="77777777" w:rsidR="00D1587D" w:rsidRDefault="00D1587D">
            <w:pPr>
              <w:rPr>
                <w:sz w:val="24"/>
                <w:szCs w:val="24"/>
              </w:rPr>
            </w:pPr>
          </w:p>
        </w:tc>
        <w:tc>
          <w:tcPr>
            <w:tcW w:w="340" w:type="dxa"/>
            <w:tcBorders>
              <w:bottom w:val="single" w:sz="8" w:space="0" w:color="auto"/>
            </w:tcBorders>
            <w:vAlign w:val="bottom"/>
          </w:tcPr>
          <w:p w14:paraId="392220D3" w14:textId="77777777" w:rsidR="00D1587D" w:rsidRDefault="00D1587D">
            <w:pPr>
              <w:rPr>
                <w:sz w:val="24"/>
                <w:szCs w:val="24"/>
              </w:rPr>
            </w:pPr>
          </w:p>
        </w:tc>
        <w:tc>
          <w:tcPr>
            <w:tcW w:w="0" w:type="dxa"/>
            <w:vAlign w:val="bottom"/>
          </w:tcPr>
          <w:p w14:paraId="6D52089B" w14:textId="77777777" w:rsidR="00D1587D" w:rsidRDefault="00D1587D">
            <w:pPr>
              <w:rPr>
                <w:sz w:val="1"/>
                <w:szCs w:val="1"/>
              </w:rPr>
            </w:pPr>
          </w:p>
        </w:tc>
      </w:tr>
    </w:tbl>
    <w:p w14:paraId="31111D22" w14:textId="77777777" w:rsidR="00D1587D" w:rsidRDefault="00D1587D">
      <w:pPr>
        <w:sectPr w:rsidR="00D1587D">
          <w:pgSz w:w="11900" w:h="16838"/>
          <w:pgMar w:top="337" w:right="339" w:bottom="1440" w:left="320" w:header="0" w:footer="0" w:gutter="0"/>
          <w:cols w:space="720" w:equalWidth="0">
            <w:col w:w="11240"/>
          </w:cols>
        </w:sectPr>
      </w:pPr>
    </w:p>
    <w:p w14:paraId="78977AE3" w14:textId="77777777" w:rsidR="00D1587D" w:rsidRDefault="00D1587D">
      <w:pPr>
        <w:spacing w:line="1" w:lineRule="exact"/>
        <w:rPr>
          <w:sz w:val="20"/>
          <w:szCs w:val="20"/>
        </w:rPr>
      </w:pPr>
      <w:bookmarkStart w:id="7" w:name="page8"/>
      <w:bookmarkEnd w:id="7"/>
    </w:p>
    <w:tbl>
      <w:tblPr>
        <w:tblW w:w="0" w:type="auto"/>
        <w:tblLayout w:type="fixed"/>
        <w:tblCellMar>
          <w:left w:w="0" w:type="dxa"/>
          <w:right w:w="0" w:type="dxa"/>
        </w:tblCellMar>
        <w:tblLook w:val="04A0" w:firstRow="1" w:lastRow="0" w:firstColumn="1" w:lastColumn="0" w:noHBand="0" w:noVBand="1"/>
      </w:tblPr>
      <w:tblGrid>
        <w:gridCol w:w="1160"/>
        <w:gridCol w:w="7620"/>
        <w:gridCol w:w="2460"/>
      </w:tblGrid>
      <w:tr w:rsidR="00D1587D" w14:paraId="5F3A0F02" w14:textId="77777777">
        <w:trPr>
          <w:trHeight w:val="216"/>
        </w:trPr>
        <w:tc>
          <w:tcPr>
            <w:tcW w:w="1160" w:type="dxa"/>
            <w:vAlign w:val="bottom"/>
          </w:tcPr>
          <w:p w14:paraId="665258FD" w14:textId="77777777" w:rsidR="00D1587D" w:rsidRDefault="00410D07">
            <w:pPr>
              <w:rPr>
                <w:sz w:val="20"/>
                <w:szCs w:val="20"/>
              </w:rPr>
            </w:pPr>
            <w:r>
              <w:rPr>
                <w:rFonts w:ascii="Arial" w:eastAsia="Arial" w:hAnsi="Arial" w:cs="Arial"/>
                <w:sz w:val="18"/>
                <w:szCs w:val="18"/>
              </w:rPr>
              <w:t>Section 4.10.</w:t>
            </w:r>
          </w:p>
        </w:tc>
        <w:tc>
          <w:tcPr>
            <w:tcW w:w="7620" w:type="dxa"/>
            <w:vAlign w:val="bottom"/>
          </w:tcPr>
          <w:p w14:paraId="002CCBF0" w14:textId="77777777" w:rsidR="00D1587D" w:rsidRDefault="00410D07">
            <w:pPr>
              <w:ind w:left="200"/>
              <w:rPr>
                <w:sz w:val="20"/>
                <w:szCs w:val="20"/>
              </w:rPr>
            </w:pPr>
            <w:r>
              <w:rPr>
                <w:rFonts w:ascii="Arial" w:eastAsia="Arial" w:hAnsi="Arial" w:cs="Arial"/>
                <w:i/>
                <w:iCs/>
                <w:sz w:val="18"/>
                <w:szCs w:val="18"/>
              </w:rPr>
              <w:t>L Brands Insurance</w:t>
            </w:r>
          </w:p>
        </w:tc>
        <w:tc>
          <w:tcPr>
            <w:tcW w:w="2460" w:type="dxa"/>
            <w:vAlign w:val="bottom"/>
          </w:tcPr>
          <w:p w14:paraId="51986A7D" w14:textId="77777777" w:rsidR="00D1587D" w:rsidRDefault="00410D07">
            <w:pPr>
              <w:jc w:val="right"/>
              <w:rPr>
                <w:sz w:val="20"/>
                <w:szCs w:val="20"/>
              </w:rPr>
            </w:pPr>
            <w:r>
              <w:rPr>
                <w:rFonts w:ascii="Arial" w:eastAsia="Arial" w:hAnsi="Arial" w:cs="Arial"/>
                <w:sz w:val="18"/>
                <w:szCs w:val="18"/>
              </w:rPr>
              <w:t>35</w:t>
            </w:r>
          </w:p>
        </w:tc>
      </w:tr>
      <w:tr w:rsidR="00D1587D" w14:paraId="663BA64A" w14:textId="77777777">
        <w:trPr>
          <w:trHeight w:val="216"/>
        </w:trPr>
        <w:tc>
          <w:tcPr>
            <w:tcW w:w="1160" w:type="dxa"/>
            <w:vAlign w:val="bottom"/>
          </w:tcPr>
          <w:p w14:paraId="515EA088" w14:textId="77777777" w:rsidR="00D1587D" w:rsidRDefault="00410D07">
            <w:pPr>
              <w:rPr>
                <w:sz w:val="20"/>
                <w:szCs w:val="20"/>
              </w:rPr>
            </w:pPr>
            <w:r>
              <w:rPr>
                <w:rFonts w:ascii="Arial" w:eastAsia="Arial" w:hAnsi="Arial" w:cs="Arial"/>
                <w:sz w:val="18"/>
                <w:szCs w:val="18"/>
              </w:rPr>
              <w:t>Section 4.11.</w:t>
            </w:r>
          </w:p>
        </w:tc>
        <w:tc>
          <w:tcPr>
            <w:tcW w:w="7620" w:type="dxa"/>
            <w:vAlign w:val="bottom"/>
          </w:tcPr>
          <w:p w14:paraId="36417552" w14:textId="77777777" w:rsidR="00D1587D" w:rsidRDefault="00410D07">
            <w:pPr>
              <w:ind w:left="200"/>
              <w:rPr>
                <w:sz w:val="20"/>
                <w:szCs w:val="20"/>
              </w:rPr>
            </w:pPr>
            <w:r>
              <w:rPr>
                <w:rFonts w:ascii="Arial" w:eastAsia="Arial" w:hAnsi="Arial" w:cs="Arial"/>
                <w:i/>
                <w:iCs/>
                <w:sz w:val="18"/>
                <w:szCs w:val="18"/>
              </w:rPr>
              <w:t xml:space="preserve">Intellectual Property </w:t>
            </w:r>
            <w:r>
              <w:rPr>
                <w:rFonts w:ascii="Arial" w:eastAsia="Arial" w:hAnsi="Arial" w:cs="Arial"/>
                <w:i/>
                <w:iCs/>
                <w:sz w:val="18"/>
                <w:szCs w:val="18"/>
              </w:rPr>
              <w:t>License</w:t>
            </w:r>
          </w:p>
        </w:tc>
        <w:tc>
          <w:tcPr>
            <w:tcW w:w="2460" w:type="dxa"/>
            <w:vAlign w:val="bottom"/>
          </w:tcPr>
          <w:p w14:paraId="083EA48F" w14:textId="77777777" w:rsidR="00D1587D" w:rsidRDefault="00410D07">
            <w:pPr>
              <w:jc w:val="right"/>
              <w:rPr>
                <w:sz w:val="20"/>
                <w:szCs w:val="20"/>
              </w:rPr>
            </w:pPr>
            <w:r>
              <w:rPr>
                <w:rFonts w:ascii="Arial" w:eastAsia="Arial" w:hAnsi="Arial" w:cs="Arial"/>
                <w:sz w:val="18"/>
                <w:szCs w:val="18"/>
              </w:rPr>
              <w:t>36</w:t>
            </w:r>
          </w:p>
        </w:tc>
      </w:tr>
      <w:tr w:rsidR="00D1587D" w14:paraId="7E485725" w14:textId="77777777">
        <w:trPr>
          <w:trHeight w:val="216"/>
        </w:trPr>
        <w:tc>
          <w:tcPr>
            <w:tcW w:w="1160" w:type="dxa"/>
            <w:vAlign w:val="bottom"/>
          </w:tcPr>
          <w:p w14:paraId="19674265" w14:textId="77777777" w:rsidR="00D1587D" w:rsidRDefault="00410D07">
            <w:pPr>
              <w:rPr>
                <w:sz w:val="20"/>
                <w:szCs w:val="20"/>
              </w:rPr>
            </w:pPr>
            <w:r>
              <w:rPr>
                <w:rFonts w:ascii="Arial" w:eastAsia="Arial" w:hAnsi="Arial" w:cs="Arial"/>
                <w:sz w:val="18"/>
                <w:szCs w:val="18"/>
              </w:rPr>
              <w:t>Section 4.12.</w:t>
            </w:r>
          </w:p>
        </w:tc>
        <w:tc>
          <w:tcPr>
            <w:tcW w:w="7620" w:type="dxa"/>
            <w:vAlign w:val="bottom"/>
          </w:tcPr>
          <w:p w14:paraId="296AEA8B" w14:textId="77777777" w:rsidR="00D1587D" w:rsidRDefault="00410D07">
            <w:pPr>
              <w:ind w:left="200"/>
              <w:rPr>
                <w:sz w:val="20"/>
                <w:szCs w:val="20"/>
              </w:rPr>
            </w:pPr>
            <w:r>
              <w:rPr>
                <w:rFonts w:ascii="Arial" w:eastAsia="Arial" w:hAnsi="Arial" w:cs="Arial"/>
                <w:i/>
                <w:iCs/>
                <w:sz w:val="18"/>
                <w:szCs w:val="18"/>
              </w:rPr>
              <w:t>Trademark Phase Out</w:t>
            </w:r>
          </w:p>
        </w:tc>
        <w:tc>
          <w:tcPr>
            <w:tcW w:w="2460" w:type="dxa"/>
            <w:vAlign w:val="bottom"/>
          </w:tcPr>
          <w:p w14:paraId="05B4A5C6" w14:textId="77777777" w:rsidR="00D1587D" w:rsidRDefault="00410D07">
            <w:pPr>
              <w:jc w:val="right"/>
              <w:rPr>
                <w:sz w:val="20"/>
                <w:szCs w:val="20"/>
              </w:rPr>
            </w:pPr>
            <w:r>
              <w:rPr>
                <w:rFonts w:ascii="Arial" w:eastAsia="Arial" w:hAnsi="Arial" w:cs="Arial"/>
                <w:sz w:val="18"/>
                <w:szCs w:val="18"/>
              </w:rPr>
              <w:t>37</w:t>
            </w:r>
          </w:p>
        </w:tc>
      </w:tr>
      <w:tr w:rsidR="00D1587D" w14:paraId="274382D1" w14:textId="77777777">
        <w:trPr>
          <w:trHeight w:val="216"/>
        </w:trPr>
        <w:tc>
          <w:tcPr>
            <w:tcW w:w="1160" w:type="dxa"/>
            <w:vAlign w:val="bottom"/>
          </w:tcPr>
          <w:p w14:paraId="38442BD1" w14:textId="77777777" w:rsidR="00D1587D" w:rsidRDefault="00410D07">
            <w:pPr>
              <w:rPr>
                <w:sz w:val="20"/>
                <w:szCs w:val="20"/>
              </w:rPr>
            </w:pPr>
            <w:r>
              <w:rPr>
                <w:rFonts w:ascii="Arial" w:eastAsia="Arial" w:hAnsi="Arial" w:cs="Arial"/>
                <w:sz w:val="18"/>
                <w:szCs w:val="18"/>
              </w:rPr>
              <w:t>Section 4.13.</w:t>
            </w:r>
          </w:p>
        </w:tc>
        <w:tc>
          <w:tcPr>
            <w:tcW w:w="7620" w:type="dxa"/>
            <w:vAlign w:val="bottom"/>
          </w:tcPr>
          <w:p w14:paraId="2A51B0B1" w14:textId="77777777" w:rsidR="00D1587D" w:rsidRDefault="00410D07">
            <w:pPr>
              <w:ind w:left="200"/>
              <w:rPr>
                <w:sz w:val="20"/>
                <w:szCs w:val="20"/>
              </w:rPr>
            </w:pPr>
            <w:r>
              <w:rPr>
                <w:rFonts w:ascii="Arial" w:eastAsia="Arial" w:hAnsi="Arial" w:cs="Arial"/>
                <w:i/>
                <w:iCs/>
                <w:sz w:val="18"/>
                <w:szCs w:val="18"/>
              </w:rPr>
              <w:t>Commercial Data</w:t>
            </w:r>
          </w:p>
        </w:tc>
        <w:tc>
          <w:tcPr>
            <w:tcW w:w="2460" w:type="dxa"/>
            <w:vAlign w:val="bottom"/>
          </w:tcPr>
          <w:p w14:paraId="1AF43FE2" w14:textId="77777777" w:rsidR="00D1587D" w:rsidRDefault="00410D07">
            <w:pPr>
              <w:jc w:val="right"/>
              <w:rPr>
                <w:sz w:val="20"/>
                <w:szCs w:val="20"/>
              </w:rPr>
            </w:pPr>
            <w:r>
              <w:rPr>
                <w:rFonts w:ascii="Arial" w:eastAsia="Arial" w:hAnsi="Arial" w:cs="Arial"/>
                <w:sz w:val="18"/>
                <w:szCs w:val="18"/>
              </w:rPr>
              <w:t>39</w:t>
            </w:r>
          </w:p>
        </w:tc>
      </w:tr>
      <w:tr w:rsidR="00D1587D" w14:paraId="7A2DDFA2" w14:textId="77777777">
        <w:trPr>
          <w:trHeight w:val="216"/>
        </w:trPr>
        <w:tc>
          <w:tcPr>
            <w:tcW w:w="1160" w:type="dxa"/>
            <w:vAlign w:val="bottom"/>
          </w:tcPr>
          <w:p w14:paraId="63FE4ADD" w14:textId="77777777" w:rsidR="00D1587D" w:rsidRDefault="00410D07">
            <w:pPr>
              <w:rPr>
                <w:sz w:val="20"/>
                <w:szCs w:val="20"/>
              </w:rPr>
            </w:pPr>
            <w:r>
              <w:rPr>
                <w:rFonts w:ascii="Arial" w:eastAsia="Arial" w:hAnsi="Arial" w:cs="Arial"/>
                <w:sz w:val="18"/>
                <w:szCs w:val="18"/>
              </w:rPr>
              <w:t>Section 4.14.</w:t>
            </w:r>
          </w:p>
        </w:tc>
        <w:tc>
          <w:tcPr>
            <w:tcW w:w="7620" w:type="dxa"/>
            <w:vAlign w:val="bottom"/>
          </w:tcPr>
          <w:p w14:paraId="2D8AF04E" w14:textId="77777777" w:rsidR="00D1587D" w:rsidRDefault="00410D07">
            <w:pPr>
              <w:ind w:left="200"/>
              <w:rPr>
                <w:sz w:val="20"/>
                <w:szCs w:val="20"/>
              </w:rPr>
            </w:pPr>
            <w:r>
              <w:rPr>
                <w:rFonts w:ascii="Arial" w:eastAsia="Arial" w:hAnsi="Arial" w:cs="Arial"/>
                <w:i/>
                <w:iCs/>
                <w:sz w:val="18"/>
                <w:szCs w:val="18"/>
              </w:rPr>
              <w:t>Limited License</w:t>
            </w:r>
          </w:p>
        </w:tc>
        <w:tc>
          <w:tcPr>
            <w:tcW w:w="2460" w:type="dxa"/>
            <w:vAlign w:val="bottom"/>
          </w:tcPr>
          <w:p w14:paraId="4631A904" w14:textId="77777777" w:rsidR="00D1587D" w:rsidRDefault="00410D07">
            <w:pPr>
              <w:jc w:val="right"/>
              <w:rPr>
                <w:sz w:val="20"/>
                <w:szCs w:val="20"/>
              </w:rPr>
            </w:pPr>
            <w:r>
              <w:rPr>
                <w:rFonts w:ascii="Arial" w:eastAsia="Arial" w:hAnsi="Arial" w:cs="Arial"/>
                <w:sz w:val="18"/>
                <w:szCs w:val="18"/>
              </w:rPr>
              <w:t>39</w:t>
            </w:r>
          </w:p>
        </w:tc>
      </w:tr>
      <w:tr w:rsidR="00D1587D" w14:paraId="123A8318" w14:textId="77777777">
        <w:trPr>
          <w:trHeight w:val="216"/>
        </w:trPr>
        <w:tc>
          <w:tcPr>
            <w:tcW w:w="1160" w:type="dxa"/>
            <w:vAlign w:val="bottom"/>
          </w:tcPr>
          <w:p w14:paraId="4CE93A3E" w14:textId="77777777" w:rsidR="00D1587D" w:rsidRDefault="00410D07">
            <w:pPr>
              <w:rPr>
                <w:sz w:val="20"/>
                <w:szCs w:val="20"/>
              </w:rPr>
            </w:pPr>
            <w:r>
              <w:rPr>
                <w:rFonts w:ascii="Arial" w:eastAsia="Arial" w:hAnsi="Arial" w:cs="Arial"/>
                <w:sz w:val="18"/>
                <w:szCs w:val="18"/>
              </w:rPr>
              <w:t>Section 4.15.</w:t>
            </w:r>
          </w:p>
        </w:tc>
        <w:tc>
          <w:tcPr>
            <w:tcW w:w="7620" w:type="dxa"/>
            <w:vAlign w:val="bottom"/>
          </w:tcPr>
          <w:p w14:paraId="2A6C480C" w14:textId="77777777" w:rsidR="00D1587D" w:rsidRDefault="00410D07">
            <w:pPr>
              <w:ind w:left="200"/>
              <w:rPr>
                <w:sz w:val="20"/>
                <w:szCs w:val="20"/>
              </w:rPr>
            </w:pPr>
            <w:r>
              <w:rPr>
                <w:rFonts w:ascii="Arial" w:eastAsia="Arial" w:hAnsi="Arial" w:cs="Arial"/>
                <w:i/>
                <w:iCs/>
                <w:sz w:val="18"/>
                <w:szCs w:val="18"/>
              </w:rPr>
              <w:t>Other Matters</w:t>
            </w:r>
          </w:p>
        </w:tc>
        <w:tc>
          <w:tcPr>
            <w:tcW w:w="2460" w:type="dxa"/>
            <w:vAlign w:val="bottom"/>
          </w:tcPr>
          <w:p w14:paraId="1714C0F0" w14:textId="77777777" w:rsidR="00D1587D" w:rsidRDefault="00410D07">
            <w:pPr>
              <w:jc w:val="right"/>
              <w:rPr>
                <w:sz w:val="20"/>
                <w:szCs w:val="20"/>
              </w:rPr>
            </w:pPr>
            <w:r>
              <w:rPr>
                <w:rFonts w:ascii="Arial" w:eastAsia="Arial" w:hAnsi="Arial" w:cs="Arial"/>
                <w:sz w:val="18"/>
                <w:szCs w:val="18"/>
              </w:rPr>
              <w:t>40</w:t>
            </w:r>
          </w:p>
        </w:tc>
      </w:tr>
      <w:tr w:rsidR="00D1587D" w14:paraId="0E020BC8" w14:textId="77777777">
        <w:trPr>
          <w:trHeight w:val="216"/>
        </w:trPr>
        <w:tc>
          <w:tcPr>
            <w:tcW w:w="1160" w:type="dxa"/>
            <w:vAlign w:val="bottom"/>
          </w:tcPr>
          <w:p w14:paraId="69C3E344" w14:textId="77777777" w:rsidR="00D1587D" w:rsidRDefault="00410D07">
            <w:pPr>
              <w:rPr>
                <w:sz w:val="20"/>
                <w:szCs w:val="20"/>
              </w:rPr>
            </w:pPr>
            <w:r>
              <w:rPr>
                <w:rFonts w:ascii="Arial" w:eastAsia="Arial" w:hAnsi="Arial" w:cs="Arial"/>
                <w:sz w:val="18"/>
                <w:szCs w:val="18"/>
              </w:rPr>
              <w:t>Section 4.16.</w:t>
            </w:r>
          </w:p>
        </w:tc>
        <w:tc>
          <w:tcPr>
            <w:tcW w:w="7620" w:type="dxa"/>
            <w:vAlign w:val="bottom"/>
          </w:tcPr>
          <w:p w14:paraId="1AF2A6B6" w14:textId="77777777" w:rsidR="00D1587D" w:rsidRDefault="00410D07">
            <w:pPr>
              <w:ind w:left="200"/>
              <w:rPr>
                <w:sz w:val="20"/>
                <w:szCs w:val="20"/>
              </w:rPr>
            </w:pPr>
            <w:r>
              <w:rPr>
                <w:rFonts w:ascii="Arial" w:eastAsia="Arial" w:hAnsi="Arial" w:cs="Arial"/>
                <w:i/>
                <w:iCs/>
                <w:sz w:val="18"/>
                <w:szCs w:val="18"/>
              </w:rPr>
              <w:t>Inducement</w:t>
            </w:r>
          </w:p>
        </w:tc>
        <w:tc>
          <w:tcPr>
            <w:tcW w:w="2460" w:type="dxa"/>
            <w:vAlign w:val="bottom"/>
          </w:tcPr>
          <w:p w14:paraId="69F24305" w14:textId="77777777" w:rsidR="00D1587D" w:rsidRDefault="00410D07">
            <w:pPr>
              <w:jc w:val="right"/>
              <w:rPr>
                <w:sz w:val="20"/>
                <w:szCs w:val="20"/>
              </w:rPr>
            </w:pPr>
            <w:r>
              <w:rPr>
                <w:rFonts w:ascii="Arial" w:eastAsia="Arial" w:hAnsi="Arial" w:cs="Arial"/>
                <w:sz w:val="18"/>
                <w:szCs w:val="18"/>
              </w:rPr>
              <w:t>40</w:t>
            </w:r>
          </w:p>
        </w:tc>
      </w:tr>
      <w:tr w:rsidR="00D1587D" w14:paraId="6030CB4D" w14:textId="77777777">
        <w:trPr>
          <w:trHeight w:val="216"/>
        </w:trPr>
        <w:tc>
          <w:tcPr>
            <w:tcW w:w="1160" w:type="dxa"/>
            <w:vAlign w:val="bottom"/>
          </w:tcPr>
          <w:p w14:paraId="7F8ABFE2" w14:textId="77777777" w:rsidR="00D1587D" w:rsidRDefault="00D1587D">
            <w:pPr>
              <w:rPr>
                <w:sz w:val="18"/>
                <w:szCs w:val="18"/>
              </w:rPr>
            </w:pPr>
          </w:p>
        </w:tc>
        <w:tc>
          <w:tcPr>
            <w:tcW w:w="7620" w:type="dxa"/>
            <w:vAlign w:val="bottom"/>
          </w:tcPr>
          <w:p w14:paraId="08F04534" w14:textId="77777777" w:rsidR="00D1587D" w:rsidRDefault="00410D07">
            <w:pPr>
              <w:ind w:left="1210"/>
              <w:jc w:val="center"/>
              <w:rPr>
                <w:sz w:val="20"/>
                <w:szCs w:val="20"/>
              </w:rPr>
            </w:pPr>
            <w:r>
              <w:rPr>
                <w:rFonts w:ascii="Arial" w:eastAsia="Arial" w:hAnsi="Arial" w:cs="Arial"/>
                <w:w w:val="96"/>
                <w:sz w:val="18"/>
                <w:szCs w:val="18"/>
              </w:rPr>
              <w:t>ARTICLE 5</w:t>
            </w:r>
          </w:p>
        </w:tc>
        <w:tc>
          <w:tcPr>
            <w:tcW w:w="2460" w:type="dxa"/>
            <w:vAlign w:val="bottom"/>
          </w:tcPr>
          <w:p w14:paraId="049B985D" w14:textId="77777777" w:rsidR="00D1587D" w:rsidRDefault="00D1587D">
            <w:pPr>
              <w:rPr>
                <w:sz w:val="18"/>
                <w:szCs w:val="18"/>
              </w:rPr>
            </w:pPr>
          </w:p>
        </w:tc>
      </w:tr>
      <w:tr w:rsidR="00D1587D" w14:paraId="1E7C13CE" w14:textId="77777777">
        <w:trPr>
          <w:trHeight w:val="230"/>
        </w:trPr>
        <w:tc>
          <w:tcPr>
            <w:tcW w:w="1160" w:type="dxa"/>
            <w:vAlign w:val="bottom"/>
          </w:tcPr>
          <w:p w14:paraId="4AF4268F" w14:textId="77777777" w:rsidR="00D1587D" w:rsidRDefault="00D1587D">
            <w:pPr>
              <w:rPr>
                <w:sz w:val="20"/>
                <w:szCs w:val="20"/>
              </w:rPr>
            </w:pPr>
          </w:p>
        </w:tc>
        <w:tc>
          <w:tcPr>
            <w:tcW w:w="7620" w:type="dxa"/>
            <w:vAlign w:val="bottom"/>
          </w:tcPr>
          <w:p w14:paraId="137810C5" w14:textId="77777777" w:rsidR="00D1587D" w:rsidRDefault="00410D07">
            <w:pPr>
              <w:ind w:left="1210"/>
              <w:jc w:val="center"/>
              <w:rPr>
                <w:sz w:val="20"/>
                <w:szCs w:val="20"/>
              </w:rPr>
            </w:pPr>
            <w:r>
              <w:rPr>
                <w:rFonts w:ascii="Arial" w:eastAsia="Arial" w:hAnsi="Arial" w:cs="Arial"/>
                <w:w w:val="98"/>
                <w:sz w:val="18"/>
                <w:szCs w:val="18"/>
              </w:rPr>
              <w:t>R</w:t>
            </w:r>
            <w:r>
              <w:rPr>
                <w:rFonts w:ascii="Arial" w:eastAsia="Arial" w:hAnsi="Arial" w:cs="Arial"/>
                <w:w w:val="98"/>
                <w:sz w:val="12"/>
                <w:szCs w:val="12"/>
              </w:rPr>
              <w:t>ELEASE</w:t>
            </w:r>
            <w:r>
              <w:rPr>
                <w:rFonts w:ascii="Arial" w:eastAsia="Arial" w:hAnsi="Arial" w:cs="Arial"/>
                <w:w w:val="98"/>
                <w:sz w:val="18"/>
                <w:szCs w:val="18"/>
              </w:rPr>
              <w:t>; I</w:t>
            </w:r>
            <w:r>
              <w:rPr>
                <w:rFonts w:ascii="Arial" w:eastAsia="Arial" w:hAnsi="Arial" w:cs="Arial"/>
                <w:w w:val="98"/>
                <w:sz w:val="12"/>
                <w:szCs w:val="12"/>
              </w:rPr>
              <w:t>NDEMNIFICATION</w:t>
            </w:r>
          </w:p>
        </w:tc>
        <w:tc>
          <w:tcPr>
            <w:tcW w:w="2460" w:type="dxa"/>
            <w:vAlign w:val="bottom"/>
          </w:tcPr>
          <w:p w14:paraId="002820B9" w14:textId="77777777" w:rsidR="00D1587D" w:rsidRDefault="00D1587D">
            <w:pPr>
              <w:rPr>
                <w:sz w:val="20"/>
                <w:szCs w:val="20"/>
              </w:rPr>
            </w:pPr>
          </w:p>
        </w:tc>
      </w:tr>
      <w:tr w:rsidR="00D1587D" w14:paraId="6C9469A1" w14:textId="77777777">
        <w:trPr>
          <w:trHeight w:val="418"/>
        </w:trPr>
        <w:tc>
          <w:tcPr>
            <w:tcW w:w="1160" w:type="dxa"/>
            <w:vAlign w:val="bottom"/>
          </w:tcPr>
          <w:p w14:paraId="19107AF7" w14:textId="77777777" w:rsidR="00D1587D" w:rsidRDefault="00410D07">
            <w:pPr>
              <w:rPr>
                <w:sz w:val="20"/>
                <w:szCs w:val="20"/>
              </w:rPr>
            </w:pPr>
            <w:r>
              <w:rPr>
                <w:rFonts w:ascii="Arial" w:eastAsia="Arial" w:hAnsi="Arial" w:cs="Arial"/>
                <w:sz w:val="18"/>
                <w:szCs w:val="18"/>
              </w:rPr>
              <w:t>Section 5.01</w:t>
            </w:r>
            <w:r>
              <w:rPr>
                <w:rFonts w:ascii="Arial" w:eastAsia="Arial" w:hAnsi="Arial" w:cs="Arial"/>
                <w:i/>
                <w:iCs/>
                <w:sz w:val="18"/>
                <w:szCs w:val="18"/>
              </w:rPr>
              <w:t>.</w:t>
            </w:r>
          </w:p>
        </w:tc>
        <w:tc>
          <w:tcPr>
            <w:tcW w:w="7620" w:type="dxa"/>
            <w:vAlign w:val="bottom"/>
          </w:tcPr>
          <w:p w14:paraId="284A0F47" w14:textId="77777777" w:rsidR="00D1587D" w:rsidRDefault="00410D07">
            <w:pPr>
              <w:ind w:left="200"/>
              <w:rPr>
                <w:sz w:val="20"/>
                <w:szCs w:val="20"/>
              </w:rPr>
            </w:pPr>
            <w:r>
              <w:rPr>
                <w:rFonts w:ascii="Arial" w:eastAsia="Arial" w:hAnsi="Arial" w:cs="Arial"/>
                <w:i/>
                <w:iCs/>
                <w:sz w:val="18"/>
                <w:szCs w:val="18"/>
              </w:rPr>
              <w:t xml:space="preserve">Release of </w:t>
            </w:r>
            <w:r>
              <w:rPr>
                <w:rFonts w:ascii="Arial" w:eastAsia="Arial" w:hAnsi="Arial" w:cs="Arial"/>
                <w:i/>
                <w:iCs/>
                <w:sz w:val="18"/>
                <w:szCs w:val="18"/>
              </w:rPr>
              <w:t>Pre-Distribution Claims</w:t>
            </w:r>
          </w:p>
        </w:tc>
        <w:tc>
          <w:tcPr>
            <w:tcW w:w="2460" w:type="dxa"/>
            <w:vAlign w:val="bottom"/>
          </w:tcPr>
          <w:p w14:paraId="3C38DD73" w14:textId="77777777" w:rsidR="00D1587D" w:rsidRDefault="00410D07">
            <w:pPr>
              <w:jc w:val="right"/>
              <w:rPr>
                <w:sz w:val="20"/>
                <w:szCs w:val="20"/>
              </w:rPr>
            </w:pPr>
            <w:r>
              <w:rPr>
                <w:rFonts w:ascii="Arial" w:eastAsia="Arial" w:hAnsi="Arial" w:cs="Arial"/>
                <w:sz w:val="18"/>
                <w:szCs w:val="18"/>
              </w:rPr>
              <w:t>40</w:t>
            </w:r>
          </w:p>
        </w:tc>
      </w:tr>
      <w:tr w:rsidR="00D1587D" w14:paraId="26E934D3" w14:textId="77777777">
        <w:trPr>
          <w:trHeight w:val="216"/>
        </w:trPr>
        <w:tc>
          <w:tcPr>
            <w:tcW w:w="1160" w:type="dxa"/>
            <w:vAlign w:val="bottom"/>
          </w:tcPr>
          <w:p w14:paraId="14A53210" w14:textId="77777777" w:rsidR="00D1587D" w:rsidRDefault="00410D07">
            <w:pPr>
              <w:rPr>
                <w:sz w:val="20"/>
                <w:szCs w:val="20"/>
              </w:rPr>
            </w:pPr>
            <w:r>
              <w:rPr>
                <w:rFonts w:ascii="Arial" w:eastAsia="Arial" w:hAnsi="Arial" w:cs="Arial"/>
                <w:sz w:val="18"/>
                <w:szCs w:val="18"/>
              </w:rPr>
              <w:t>Section 5.02</w:t>
            </w:r>
            <w:r>
              <w:rPr>
                <w:rFonts w:ascii="Arial" w:eastAsia="Arial" w:hAnsi="Arial" w:cs="Arial"/>
                <w:i/>
                <w:iCs/>
                <w:sz w:val="18"/>
                <w:szCs w:val="18"/>
              </w:rPr>
              <w:t>.</w:t>
            </w:r>
          </w:p>
        </w:tc>
        <w:tc>
          <w:tcPr>
            <w:tcW w:w="7620" w:type="dxa"/>
            <w:vAlign w:val="bottom"/>
          </w:tcPr>
          <w:p w14:paraId="207E4AEF" w14:textId="77777777" w:rsidR="00D1587D" w:rsidRDefault="00410D07">
            <w:pPr>
              <w:ind w:left="200"/>
              <w:rPr>
                <w:sz w:val="20"/>
                <w:szCs w:val="20"/>
              </w:rPr>
            </w:pPr>
            <w:r>
              <w:rPr>
                <w:rFonts w:ascii="Arial" w:eastAsia="Arial" w:hAnsi="Arial" w:cs="Arial"/>
                <w:i/>
                <w:iCs/>
                <w:sz w:val="18"/>
                <w:szCs w:val="18"/>
              </w:rPr>
              <w:t>VS Indemnification of the L Brands Group</w:t>
            </w:r>
          </w:p>
        </w:tc>
        <w:tc>
          <w:tcPr>
            <w:tcW w:w="2460" w:type="dxa"/>
            <w:vAlign w:val="bottom"/>
          </w:tcPr>
          <w:p w14:paraId="280D725D" w14:textId="77777777" w:rsidR="00D1587D" w:rsidRDefault="00410D07">
            <w:pPr>
              <w:jc w:val="right"/>
              <w:rPr>
                <w:sz w:val="20"/>
                <w:szCs w:val="20"/>
              </w:rPr>
            </w:pPr>
            <w:r>
              <w:rPr>
                <w:rFonts w:ascii="Arial" w:eastAsia="Arial" w:hAnsi="Arial" w:cs="Arial"/>
                <w:sz w:val="18"/>
                <w:szCs w:val="18"/>
              </w:rPr>
              <w:t>42</w:t>
            </w:r>
          </w:p>
        </w:tc>
      </w:tr>
      <w:tr w:rsidR="00D1587D" w14:paraId="668A4A3A" w14:textId="77777777">
        <w:trPr>
          <w:trHeight w:val="216"/>
        </w:trPr>
        <w:tc>
          <w:tcPr>
            <w:tcW w:w="1160" w:type="dxa"/>
            <w:vAlign w:val="bottom"/>
          </w:tcPr>
          <w:p w14:paraId="5B9C50BA" w14:textId="77777777" w:rsidR="00D1587D" w:rsidRDefault="00410D07">
            <w:pPr>
              <w:rPr>
                <w:sz w:val="20"/>
                <w:szCs w:val="20"/>
              </w:rPr>
            </w:pPr>
            <w:r>
              <w:rPr>
                <w:rFonts w:ascii="Arial" w:eastAsia="Arial" w:hAnsi="Arial" w:cs="Arial"/>
                <w:sz w:val="18"/>
                <w:szCs w:val="18"/>
              </w:rPr>
              <w:t>Section 5.03</w:t>
            </w:r>
            <w:r>
              <w:rPr>
                <w:rFonts w:ascii="Arial" w:eastAsia="Arial" w:hAnsi="Arial" w:cs="Arial"/>
                <w:i/>
                <w:iCs/>
                <w:sz w:val="18"/>
                <w:szCs w:val="18"/>
              </w:rPr>
              <w:t>.</w:t>
            </w:r>
          </w:p>
        </w:tc>
        <w:tc>
          <w:tcPr>
            <w:tcW w:w="7620" w:type="dxa"/>
            <w:vAlign w:val="bottom"/>
          </w:tcPr>
          <w:p w14:paraId="16D1D3C1" w14:textId="77777777" w:rsidR="00D1587D" w:rsidRDefault="00410D07">
            <w:pPr>
              <w:ind w:left="200"/>
              <w:rPr>
                <w:sz w:val="20"/>
                <w:szCs w:val="20"/>
              </w:rPr>
            </w:pPr>
            <w:r>
              <w:rPr>
                <w:rFonts w:ascii="Arial" w:eastAsia="Arial" w:hAnsi="Arial" w:cs="Arial"/>
                <w:i/>
                <w:iCs/>
                <w:sz w:val="18"/>
                <w:szCs w:val="18"/>
              </w:rPr>
              <w:t>L Brands Indemnification of the VS Group</w:t>
            </w:r>
          </w:p>
        </w:tc>
        <w:tc>
          <w:tcPr>
            <w:tcW w:w="2460" w:type="dxa"/>
            <w:vAlign w:val="bottom"/>
          </w:tcPr>
          <w:p w14:paraId="0AB540F9" w14:textId="77777777" w:rsidR="00D1587D" w:rsidRDefault="00410D07">
            <w:pPr>
              <w:jc w:val="right"/>
              <w:rPr>
                <w:sz w:val="20"/>
                <w:szCs w:val="20"/>
              </w:rPr>
            </w:pPr>
            <w:r>
              <w:rPr>
                <w:rFonts w:ascii="Arial" w:eastAsia="Arial" w:hAnsi="Arial" w:cs="Arial"/>
                <w:sz w:val="18"/>
                <w:szCs w:val="18"/>
              </w:rPr>
              <w:t>43</w:t>
            </w:r>
          </w:p>
        </w:tc>
      </w:tr>
      <w:tr w:rsidR="00D1587D" w14:paraId="02B198D2" w14:textId="77777777">
        <w:trPr>
          <w:trHeight w:val="216"/>
        </w:trPr>
        <w:tc>
          <w:tcPr>
            <w:tcW w:w="1160" w:type="dxa"/>
            <w:vAlign w:val="bottom"/>
          </w:tcPr>
          <w:p w14:paraId="624E6EA2" w14:textId="77777777" w:rsidR="00D1587D" w:rsidRDefault="00410D07">
            <w:pPr>
              <w:rPr>
                <w:sz w:val="20"/>
                <w:szCs w:val="20"/>
              </w:rPr>
            </w:pPr>
            <w:r>
              <w:rPr>
                <w:rFonts w:ascii="Arial" w:eastAsia="Arial" w:hAnsi="Arial" w:cs="Arial"/>
                <w:sz w:val="18"/>
                <w:szCs w:val="18"/>
              </w:rPr>
              <w:t>Section 5.04.</w:t>
            </w:r>
          </w:p>
        </w:tc>
        <w:tc>
          <w:tcPr>
            <w:tcW w:w="7620" w:type="dxa"/>
            <w:vAlign w:val="bottom"/>
          </w:tcPr>
          <w:p w14:paraId="75F71557" w14:textId="77777777" w:rsidR="00D1587D" w:rsidRDefault="00410D07">
            <w:pPr>
              <w:ind w:left="200"/>
              <w:rPr>
                <w:sz w:val="20"/>
                <w:szCs w:val="20"/>
              </w:rPr>
            </w:pPr>
            <w:r>
              <w:rPr>
                <w:rFonts w:ascii="Arial" w:eastAsia="Arial" w:hAnsi="Arial" w:cs="Arial"/>
                <w:i/>
                <w:iCs/>
                <w:sz w:val="18"/>
                <w:szCs w:val="18"/>
              </w:rPr>
              <w:t>Procedures</w:t>
            </w:r>
          </w:p>
        </w:tc>
        <w:tc>
          <w:tcPr>
            <w:tcW w:w="2460" w:type="dxa"/>
            <w:vAlign w:val="bottom"/>
          </w:tcPr>
          <w:p w14:paraId="22FA984D" w14:textId="77777777" w:rsidR="00D1587D" w:rsidRDefault="00410D07">
            <w:pPr>
              <w:jc w:val="right"/>
              <w:rPr>
                <w:sz w:val="20"/>
                <w:szCs w:val="20"/>
              </w:rPr>
            </w:pPr>
            <w:r>
              <w:rPr>
                <w:rFonts w:ascii="Arial" w:eastAsia="Arial" w:hAnsi="Arial" w:cs="Arial"/>
                <w:sz w:val="18"/>
                <w:szCs w:val="18"/>
              </w:rPr>
              <w:t>44</w:t>
            </w:r>
          </w:p>
        </w:tc>
      </w:tr>
      <w:tr w:rsidR="00D1587D" w14:paraId="2556050D" w14:textId="77777777">
        <w:trPr>
          <w:trHeight w:val="216"/>
        </w:trPr>
        <w:tc>
          <w:tcPr>
            <w:tcW w:w="1160" w:type="dxa"/>
            <w:vAlign w:val="bottom"/>
          </w:tcPr>
          <w:p w14:paraId="72405168" w14:textId="77777777" w:rsidR="00D1587D" w:rsidRDefault="00410D07">
            <w:pPr>
              <w:rPr>
                <w:sz w:val="20"/>
                <w:szCs w:val="20"/>
              </w:rPr>
            </w:pPr>
            <w:r>
              <w:rPr>
                <w:rFonts w:ascii="Arial" w:eastAsia="Arial" w:hAnsi="Arial" w:cs="Arial"/>
                <w:sz w:val="18"/>
                <w:szCs w:val="18"/>
              </w:rPr>
              <w:t>Section 5.05</w:t>
            </w:r>
            <w:r>
              <w:rPr>
                <w:rFonts w:ascii="Arial" w:eastAsia="Arial" w:hAnsi="Arial" w:cs="Arial"/>
                <w:i/>
                <w:iCs/>
                <w:sz w:val="18"/>
                <w:szCs w:val="18"/>
              </w:rPr>
              <w:t>.</w:t>
            </w:r>
          </w:p>
        </w:tc>
        <w:tc>
          <w:tcPr>
            <w:tcW w:w="7620" w:type="dxa"/>
            <w:vAlign w:val="bottom"/>
          </w:tcPr>
          <w:p w14:paraId="287FE790" w14:textId="77777777" w:rsidR="00D1587D" w:rsidRDefault="00410D07">
            <w:pPr>
              <w:ind w:left="200"/>
              <w:rPr>
                <w:sz w:val="20"/>
                <w:szCs w:val="20"/>
              </w:rPr>
            </w:pPr>
            <w:r>
              <w:rPr>
                <w:rFonts w:ascii="Arial" w:eastAsia="Arial" w:hAnsi="Arial" w:cs="Arial"/>
                <w:i/>
                <w:iCs/>
                <w:sz w:val="18"/>
                <w:szCs w:val="18"/>
              </w:rPr>
              <w:t>Calculation of Indemnification Amount</w:t>
            </w:r>
          </w:p>
        </w:tc>
        <w:tc>
          <w:tcPr>
            <w:tcW w:w="2460" w:type="dxa"/>
            <w:vAlign w:val="bottom"/>
          </w:tcPr>
          <w:p w14:paraId="4DE3558E" w14:textId="77777777" w:rsidR="00D1587D" w:rsidRDefault="00410D07">
            <w:pPr>
              <w:jc w:val="right"/>
              <w:rPr>
                <w:sz w:val="20"/>
                <w:szCs w:val="20"/>
              </w:rPr>
            </w:pPr>
            <w:r>
              <w:rPr>
                <w:rFonts w:ascii="Arial" w:eastAsia="Arial" w:hAnsi="Arial" w:cs="Arial"/>
                <w:sz w:val="18"/>
                <w:szCs w:val="18"/>
              </w:rPr>
              <w:t>46</w:t>
            </w:r>
          </w:p>
        </w:tc>
      </w:tr>
      <w:tr w:rsidR="00D1587D" w14:paraId="5AA3969A" w14:textId="77777777">
        <w:trPr>
          <w:trHeight w:val="216"/>
        </w:trPr>
        <w:tc>
          <w:tcPr>
            <w:tcW w:w="1160" w:type="dxa"/>
            <w:vAlign w:val="bottom"/>
          </w:tcPr>
          <w:p w14:paraId="700C7CBE" w14:textId="77777777" w:rsidR="00D1587D" w:rsidRDefault="00410D07">
            <w:pPr>
              <w:rPr>
                <w:sz w:val="20"/>
                <w:szCs w:val="20"/>
              </w:rPr>
            </w:pPr>
            <w:r>
              <w:rPr>
                <w:rFonts w:ascii="Arial" w:eastAsia="Arial" w:hAnsi="Arial" w:cs="Arial"/>
                <w:sz w:val="18"/>
                <w:szCs w:val="18"/>
              </w:rPr>
              <w:t>Section 5.06.</w:t>
            </w:r>
          </w:p>
        </w:tc>
        <w:tc>
          <w:tcPr>
            <w:tcW w:w="7620" w:type="dxa"/>
            <w:vAlign w:val="bottom"/>
          </w:tcPr>
          <w:p w14:paraId="2A1A67A1" w14:textId="77777777" w:rsidR="00D1587D" w:rsidRDefault="00410D07">
            <w:pPr>
              <w:ind w:left="200"/>
              <w:rPr>
                <w:sz w:val="20"/>
                <w:szCs w:val="20"/>
              </w:rPr>
            </w:pPr>
            <w:r>
              <w:rPr>
                <w:rFonts w:ascii="Arial" w:eastAsia="Arial" w:hAnsi="Arial" w:cs="Arial"/>
                <w:i/>
                <w:iCs/>
                <w:sz w:val="18"/>
                <w:szCs w:val="18"/>
              </w:rPr>
              <w:t>Contribution</w:t>
            </w:r>
          </w:p>
        </w:tc>
        <w:tc>
          <w:tcPr>
            <w:tcW w:w="2460" w:type="dxa"/>
            <w:vAlign w:val="bottom"/>
          </w:tcPr>
          <w:p w14:paraId="520666D3" w14:textId="77777777" w:rsidR="00D1587D" w:rsidRDefault="00410D07">
            <w:pPr>
              <w:jc w:val="right"/>
              <w:rPr>
                <w:sz w:val="20"/>
                <w:szCs w:val="20"/>
              </w:rPr>
            </w:pPr>
            <w:r>
              <w:rPr>
                <w:rFonts w:ascii="Arial" w:eastAsia="Arial" w:hAnsi="Arial" w:cs="Arial"/>
                <w:sz w:val="18"/>
                <w:szCs w:val="18"/>
              </w:rPr>
              <w:t>46</w:t>
            </w:r>
          </w:p>
        </w:tc>
      </w:tr>
      <w:tr w:rsidR="00D1587D" w14:paraId="5AC6ADE6" w14:textId="77777777">
        <w:trPr>
          <w:trHeight w:val="216"/>
        </w:trPr>
        <w:tc>
          <w:tcPr>
            <w:tcW w:w="1160" w:type="dxa"/>
            <w:vAlign w:val="bottom"/>
          </w:tcPr>
          <w:p w14:paraId="50D565A4" w14:textId="77777777" w:rsidR="00D1587D" w:rsidRDefault="00410D07">
            <w:pPr>
              <w:rPr>
                <w:sz w:val="20"/>
                <w:szCs w:val="20"/>
              </w:rPr>
            </w:pPr>
            <w:r>
              <w:rPr>
                <w:rFonts w:ascii="Arial" w:eastAsia="Arial" w:hAnsi="Arial" w:cs="Arial"/>
                <w:sz w:val="18"/>
                <w:szCs w:val="18"/>
              </w:rPr>
              <w:t>Section 5.07.</w:t>
            </w:r>
          </w:p>
        </w:tc>
        <w:tc>
          <w:tcPr>
            <w:tcW w:w="7620" w:type="dxa"/>
            <w:vAlign w:val="bottom"/>
          </w:tcPr>
          <w:p w14:paraId="25A91A4C" w14:textId="77777777" w:rsidR="00D1587D" w:rsidRDefault="00410D07">
            <w:pPr>
              <w:ind w:left="200"/>
              <w:rPr>
                <w:sz w:val="20"/>
                <w:szCs w:val="20"/>
              </w:rPr>
            </w:pPr>
            <w:r>
              <w:rPr>
                <w:rFonts w:ascii="Arial" w:eastAsia="Arial" w:hAnsi="Arial" w:cs="Arial"/>
                <w:i/>
                <w:iCs/>
                <w:sz w:val="18"/>
                <w:szCs w:val="18"/>
              </w:rPr>
              <w:t>Non-Exclusivity of Remedies</w:t>
            </w:r>
          </w:p>
        </w:tc>
        <w:tc>
          <w:tcPr>
            <w:tcW w:w="2460" w:type="dxa"/>
            <w:vAlign w:val="bottom"/>
          </w:tcPr>
          <w:p w14:paraId="6362A7A7" w14:textId="77777777" w:rsidR="00D1587D" w:rsidRDefault="00410D07">
            <w:pPr>
              <w:jc w:val="right"/>
              <w:rPr>
                <w:sz w:val="20"/>
                <w:szCs w:val="20"/>
              </w:rPr>
            </w:pPr>
            <w:r>
              <w:rPr>
                <w:rFonts w:ascii="Arial" w:eastAsia="Arial" w:hAnsi="Arial" w:cs="Arial"/>
                <w:sz w:val="18"/>
                <w:szCs w:val="18"/>
              </w:rPr>
              <w:t>46</w:t>
            </w:r>
          </w:p>
        </w:tc>
      </w:tr>
      <w:tr w:rsidR="00D1587D" w14:paraId="622FA833" w14:textId="77777777">
        <w:trPr>
          <w:trHeight w:val="216"/>
        </w:trPr>
        <w:tc>
          <w:tcPr>
            <w:tcW w:w="1160" w:type="dxa"/>
            <w:vAlign w:val="bottom"/>
          </w:tcPr>
          <w:p w14:paraId="130A308A" w14:textId="77777777" w:rsidR="00D1587D" w:rsidRDefault="00410D07">
            <w:pPr>
              <w:rPr>
                <w:sz w:val="20"/>
                <w:szCs w:val="20"/>
              </w:rPr>
            </w:pPr>
            <w:r>
              <w:rPr>
                <w:rFonts w:ascii="Arial" w:eastAsia="Arial" w:hAnsi="Arial" w:cs="Arial"/>
                <w:sz w:val="18"/>
                <w:szCs w:val="18"/>
              </w:rPr>
              <w:t>Section 5.08.</w:t>
            </w:r>
          </w:p>
        </w:tc>
        <w:tc>
          <w:tcPr>
            <w:tcW w:w="7620" w:type="dxa"/>
            <w:vAlign w:val="bottom"/>
          </w:tcPr>
          <w:p w14:paraId="08F4EBC3" w14:textId="77777777" w:rsidR="00D1587D" w:rsidRDefault="00410D07">
            <w:pPr>
              <w:ind w:left="200"/>
              <w:rPr>
                <w:sz w:val="20"/>
                <w:szCs w:val="20"/>
              </w:rPr>
            </w:pPr>
            <w:r>
              <w:rPr>
                <w:rFonts w:ascii="Arial" w:eastAsia="Arial" w:hAnsi="Arial" w:cs="Arial"/>
                <w:i/>
                <w:iCs/>
                <w:sz w:val="18"/>
                <w:szCs w:val="18"/>
              </w:rPr>
              <w:t>Survival of Indemnities</w:t>
            </w:r>
          </w:p>
        </w:tc>
        <w:tc>
          <w:tcPr>
            <w:tcW w:w="2460" w:type="dxa"/>
            <w:vAlign w:val="bottom"/>
          </w:tcPr>
          <w:p w14:paraId="37055236" w14:textId="77777777" w:rsidR="00D1587D" w:rsidRDefault="00410D07">
            <w:pPr>
              <w:jc w:val="right"/>
              <w:rPr>
                <w:sz w:val="20"/>
                <w:szCs w:val="20"/>
              </w:rPr>
            </w:pPr>
            <w:r>
              <w:rPr>
                <w:rFonts w:ascii="Arial" w:eastAsia="Arial" w:hAnsi="Arial" w:cs="Arial"/>
                <w:sz w:val="18"/>
                <w:szCs w:val="18"/>
              </w:rPr>
              <w:t>46</w:t>
            </w:r>
          </w:p>
        </w:tc>
      </w:tr>
      <w:tr w:rsidR="00D1587D" w14:paraId="77603662" w14:textId="77777777">
        <w:trPr>
          <w:trHeight w:val="216"/>
        </w:trPr>
        <w:tc>
          <w:tcPr>
            <w:tcW w:w="1160" w:type="dxa"/>
            <w:vAlign w:val="bottom"/>
          </w:tcPr>
          <w:p w14:paraId="59548A69" w14:textId="77777777" w:rsidR="00D1587D" w:rsidRDefault="00410D07">
            <w:pPr>
              <w:rPr>
                <w:sz w:val="20"/>
                <w:szCs w:val="20"/>
              </w:rPr>
            </w:pPr>
            <w:r>
              <w:rPr>
                <w:rFonts w:ascii="Arial" w:eastAsia="Arial" w:hAnsi="Arial" w:cs="Arial"/>
                <w:sz w:val="18"/>
                <w:szCs w:val="18"/>
              </w:rPr>
              <w:t>Section 5.09.</w:t>
            </w:r>
          </w:p>
        </w:tc>
        <w:tc>
          <w:tcPr>
            <w:tcW w:w="7620" w:type="dxa"/>
            <w:vAlign w:val="bottom"/>
          </w:tcPr>
          <w:p w14:paraId="1B4ECED7" w14:textId="77777777" w:rsidR="00D1587D" w:rsidRDefault="00410D07">
            <w:pPr>
              <w:ind w:left="200"/>
              <w:rPr>
                <w:sz w:val="20"/>
                <w:szCs w:val="20"/>
              </w:rPr>
            </w:pPr>
            <w:r>
              <w:rPr>
                <w:rFonts w:ascii="Arial" w:eastAsia="Arial" w:hAnsi="Arial" w:cs="Arial"/>
                <w:i/>
                <w:iCs/>
                <w:sz w:val="18"/>
                <w:szCs w:val="18"/>
              </w:rPr>
              <w:t>Ancillary Agreements</w:t>
            </w:r>
          </w:p>
        </w:tc>
        <w:tc>
          <w:tcPr>
            <w:tcW w:w="2460" w:type="dxa"/>
            <w:vAlign w:val="bottom"/>
          </w:tcPr>
          <w:p w14:paraId="3961C8C6" w14:textId="77777777" w:rsidR="00D1587D" w:rsidRDefault="00410D07">
            <w:pPr>
              <w:jc w:val="right"/>
              <w:rPr>
                <w:sz w:val="20"/>
                <w:szCs w:val="20"/>
              </w:rPr>
            </w:pPr>
            <w:r>
              <w:rPr>
                <w:rFonts w:ascii="Arial" w:eastAsia="Arial" w:hAnsi="Arial" w:cs="Arial"/>
                <w:sz w:val="18"/>
                <w:szCs w:val="18"/>
              </w:rPr>
              <w:t>47</w:t>
            </w:r>
          </w:p>
        </w:tc>
      </w:tr>
      <w:tr w:rsidR="00D1587D" w14:paraId="43EB18DB" w14:textId="77777777">
        <w:trPr>
          <w:trHeight w:val="216"/>
        </w:trPr>
        <w:tc>
          <w:tcPr>
            <w:tcW w:w="1160" w:type="dxa"/>
            <w:vAlign w:val="bottom"/>
          </w:tcPr>
          <w:p w14:paraId="4113415E" w14:textId="77777777" w:rsidR="00D1587D" w:rsidRDefault="00D1587D">
            <w:pPr>
              <w:rPr>
                <w:sz w:val="18"/>
                <w:szCs w:val="18"/>
              </w:rPr>
            </w:pPr>
          </w:p>
        </w:tc>
        <w:tc>
          <w:tcPr>
            <w:tcW w:w="7620" w:type="dxa"/>
            <w:vAlign w:val="bottom"/>
          </w:tcPr>
          <w:p w14:paraId="1ABF7F0E" w14:textId="77777777" w:rsidR="00D1587D" w:rsidRDefault="00410D07">
            <w:pPr>
              <w:ind w:left="1210"/>
              <w:jc w:val="center"/>
              <w:rPr>
                <w:sz w:val="20"/>
                <w:szCs w:val="20"/>
              </w:rPr>
            </w:pPr>
            <w:r>
              <w:rPr>
                <w:rFonts w:ascii="Arial" w:eastAsia="Arial" w:hAnsi="Arial" w:cs="Arial"/>
                <w:w w:val="96"/>
                <w:sz w:val="18"/>
                <w:szCs w:val="18"/>
              </w:rPr>
              <w:t>ARTICLE 6</w:t>
            </w:r>
          </w:p>
        </w:tc>
        <w:tc>
          <w:tcPr>
            <w:tcW w:w="2460" w:type="dxa"/>
            <w:vAlign w:val="bottom"/>
          </w:tcPr>
          <w:p w14:paraId="3F79EFA3" w14:textId="77777777" w:rsidR="00D1587D" w:rsidRDefault="00D1587D">
            <w:pPr>
              <w:rPr>
                <w:sz w:val="18"/>
                <w:szCs w:val="18"/>
              </w:rPr>
            </w:pPr>
          </w:p>
        </w:tc>
      </w:tr>
      <w:tr w:rsidR="00D1587D" w14:paraId="5972C039" w14:textId="77777777">
        <w:trPr>
          <w:trHeight w:val="230"/>
        </w:trPr>
        <w:tc>
          <w:tcPr>
            <w:tcW w:w="1160" w:type="dxa"/>
            <w:vAlign w:val="bottom"/>
          </w:tcPr>
          <w:p w14:paraId="2D255ED4" w14:textId="77777777" w:rsidR="00D1587D" w:rsidRDefault="00D1587D">
            <w:pPr>
              <w:rPr>
                <w:sz w:val="20"/>
                <w:szCs w:val="20"/>
              </w:rPr>
            </w:pPr>
          </w:p>
        </w:tc>
        <w:tc>
          <w:tcPr>
            <w:tcW w:w="7620" w:type="dxa"/>
            <w:vAlign w:val="bottom"/>
          </w:tcPr>
          <w:p w14:paraId="0DB3B99E" w14:textId="77777777" w:rsidR="00D1587D" w:rsidRDefault="00410D07">
            <w:pPr>
              <w:ind w:left="1230"/>
              <w:jc w:val="center"/>
              <w:rPr>
                <w:sz w:val="20"/>
                <w:szCs w:val="20"/>
              </w:rPr>
            </w:pPr>
            <w:r>
              <w:rPr>
                <w:rFonts w:ascii="Arial" w:eastAsia="Arial" w:hAnsi="Arial" w:cs="Arial"/>
                <w:w w:val="98"/>
                <w:sz w:val="18"/>
                <w:szCs w:val="18"/>
              </w:rPr>
              <w:t>M</w:t>
            </w:r>
            <w:r>
              <w:rPr>
                <w:rFonts w:ascii="Arial" w:eastAsia="Arial" w:hAnsi="Arial" w:cs="Arial"/>
                <w:w w:val="98"/>
                <w:sz w:val="12"/>
                <w:szCs w:val="12"/>
              </w:rPr>
              <w:t>ISCELLANEOUS</w:t>
            </w:r>
          </w:p>
        </w:tc>
        <w:tc>
          <w:tcPr>
            <w:tcW w:w="2460" w:type="dxa"/>
            <w:vAlign w:val="bottom"/>
          </w:tcPr>
          <w:p w14:paraId="42E4AAA1" w14:textId="77777777" w:rsidR="00D1587D" w:rsidRDefault="00D1587D">
            <w:pPr>
              <w:rPr>
                <w:sz w:val="20"/>
                <w:szCs w:val="20"/>
              </w:rPr>
            </w:pPr>
          </w:p>
        </w:tc>
      </w:tr>
      <w:tr w:rsidR="00D1587D" w14:paraId="3DF19A77" w14:textId="77777777">
        <w:trPr>
          <w:trHeight w:val="418"/>
        </w:trPr>
        <w:tc>
          <w:tcPr>
            <w:tcW w:w="1160" w:type="dxa"/>
            <w:vAlign w:val="bottom"/>
          </w:tcPr>
          <w:p w14:paraId="22452D77" w14:textId="77777777" w:rsidR="00D1587D" w:rsidRDefault="00410D07">
            <w:pPr>
              <w:rPr>
                <w:sz w:val="20"/>
                <w:szCs w:val="20"/>
              </w:rPr>
            </w:pPr>
            <w:r>
              <w:rPr>
                <w:rFonts w:ascii="Arial" w:eastAsia="Arial" w:hAnsi="Arial" w:cs="Arial"/>
                <w:sz w:val="18"/>
                <w:szCs w:val="18"/>
              </w:rPr>
              <w:t>Section 6.01</w:t>
            </w:r>
            <w:r>
              <w:rPr>
                <w:rFonts w:ascii="Arial" w:eastAsia="Arial" w:hAnsi="Arial" w:cs="Arial"/>
                <w:i/>
                <w:iCs/>
                <w:sz w:val="18"/>
                <w:szCs w:val="18"/>
              </w:rPr>
              <w:t>.</w:t>
            </w:r>
          </w:p>
        </w:tc>
        <w:tc>
          <w:tcPr>
            <w:tcW w:w="7620" w:type="dxa"/>
            <w:vAlign w:val="bottom"/>
          </w:tcPr>
          <w:p w14:paraId="52EDF124" w14:textId="77777777" w:rsidR="00D1587D" w:rsidRDefault="00410D07">
            <w:pPr>
              <w:ind w:left="200"/>
              <w:rPr>
                <w:sz w:val="20"/>
                <w:szCs w:val="20"/>
              </w:rPr>
            </w:pPr>
            <w:r>
              <w:rPr>
                <w:rFonts w:ascii="Arial" w:eastAsia="Arial" w:hAnsi="Arial" w:cs="Arial"/>
                <w:i/>
                <w:iCs/>
                <w:sz w:val="18"/>
                <w:szCs w:val="18"/>
              </w:rPr>
              <w:t>Notices</w:t>
            </w:r>
          </w:p>
        </w:tc>
        <w:tc>
          <w:tcPr>
            <w:tcW w:w="2460" w:type="dxa"/>
            <w:vAlign w:val="bottom"/>
          </w:tcPr>
          <w:p w14:paraId="0D48D3CA" w14:textId="77777777" w:rsidR="00D1587D" w:rsidRDefault="00410D07">
            <w:pPr>
              <w:jc w:val="right"/>
              <w:rPr>
                <w:sz w:val="20"/>
                <w:szCs w:val="20"/>
              </w:rPr>
            </w:pPr>
            <w:r>
              <w:rPr>
                <w:rFonts w:ascii="Arial" w:eastAsia="Arial" w:hAnsi="Arial" w:cs="Arial"/>
                <w:sz w:val="18"/>
                <w:szCs w:val="18"/>
              </w:rPr>
              <w:t>47</w:t>
            </w:r>
          </w:p>
        </w:tc>
      </w:tr>
      <w:tr w:rsidR="00D1587D" w14:paraId="162FA29D" w14:textId="77777777">
        <w:trPr>
          <w:trHeight w:val="216"/>
        </w:trPr>
        <w:tc>
          <w:tcPr>
            <w:tcW w:w="1160" w:type="dxa"/>
            <w:vAlign w:val="bottom"/>
          </w:tcPr>
          <w:p w14:paraId="78BF95E7" w14:textId="77777777" w:rsidR="00D1587D" w:rsidRDefault="00410D07">
            <w:pPr>
              <w:rPr>
                <w:sz w:val="20"/>
                <w:szCs w:val="20"/>
              </w:rPr>
            </w:pPr>
            <w:r>
              <w:rPr>
                <w:rFonts w:ascii="Arial" w:eastAsia="Arial" w:hAnsi="Arial" w:cs="Arial"/>
                <w:sz w:val="18"/>
                <w:szCs w:val="18"/>
              </w:rPr>
              <w:t>Section 6.02.</w:t>
            </w:r>
          </w:p>
        </w:tc>
        <w:tc>
          <w:tcPr>
            <w:tcW w:w="7620" w:type="dxa"/>
            <w:vAlign w:val="bottom"/>
          </w:tcPr>
          <w:p w14:paraId="68E6B47A" w14:textId="77777777" w:rsidR="00D1587D" w:rsidRDefault="00410D07">
            <w:pPr>
              <w:ind w:left="200"/>
              <w:rPr>
                <w:sz w:val="20"/>
                <w:szCs w:val="20"/>
              </w:rPr>
            </w:pPr>
            <w:r>
              <w:rPr>
                <w:rFonts w:ascii="Arial" w:eastAsia="Arial" w:hAnsi="Arial" w:cs="Arial"/>
                <w:i/>
                <w:iCs/>
                <w:sz w:val="18"/>
                <w:szCs w:val="18"/>
              </w:rPr>
              <w:t>Amendments; No Waivers</w:t>
            </w:r>
          </w:p>
        </w:tc>
        <w:tc>
          <w:tcPr>
            <w:tcW w:w="2460" w:type="dxa"/>
            <w:vAlign w:val="bottom"/>
          </w:tcPr>
          <w:p w14:paraId="75A6AC5F" w14:textId="77777777" w:rsidR="00D1587D" w:rsidRDefault="00410D07">
            <w:pPr>
              <w:jc w:val="right"/>
              <w:rPr>
                <w:sz w:val="20"/>
                <w:szCs w:val="20"/>
              </w:rPr>
            </w:pPr>
            <w:r>
              <w:rPr>
                <w:rFonts w:ascii="Arial" w:eastAsia="Arial" w:hAnsi="Arial" w:cs="Arial"/>
                <w:sz w:val="18"/>
                <w:szCs w:val="18"/>
              </w:rPr>
              <w:t>48</w:t>
            </w:r>
          </w:p>
        </w:tc>
      </w:tr>
      <w:tr w:rsidR="00D1587D" w14:paraId="67A38F3F" w14:textId="77777777">
        <w:trPr>
          <w:trHeight w:val="216"/>
        </w:trPr>
        <w:tc>
          <w:tcPr>
            <w:tcW w:w="1160" w:type="dxa"/>
            <w:vAlign w:val="bottom"/>
          </w:tcPr>
          <w:p w14:paraId="3C7E1C4E" w14:textId="77777777" w:rsidR="00D1587D" w:rsidRDefault="00410D07">
            <w:pPr>
              <w:rPr>
                <w:sz w:val="20"/>
                <w:szCs w:val="20"/>
              </w:rPr>
            </w:pPr>
            <w:r>
              <w:rPr>
                <w:rFonts w:ascii="Arial" w:eastAsia="Arial" w:hAnsi="Arial" w:cs="Arial"/>
                <w:sz w:val="18"/>
                <w:szCs w:val="18"/>
              </w:rPr>
              <w:t xml:space="preserve">Section </w:t>
            </w:r>
            <w:r>
              <w:rPr>
                <w:rFonts w:ascii="Arial" w:eastAsia="Arial" w:hAnsi="Arial" w:cs="Arial"/>
                <w:sz w:val="18"/>
                <w:szCs w:val="18"/>
              </w:rPr>
              <w:t>6.03.</w:t>
            </w:r>
          </w:p>
        </w:tc>
        <w:tc>
          <w:tcPr>
            <w:tcW w:w="7620" w:type="dxa"/>
            <w:vAlign w:val="bottom"/>
          </w:tcPr>
          <w:p w14:paraId="4D10A9D0" w14:textId="77777777" w:rsidR="00D1587D" w:rsidRDefault="00410D07">
            <w:pPr>
              <w:ind w:left="200"/>
              <w:rPr>
                <w:sz w:val="20"/>
                <w:szCs w:val="20"/>
              </w:rPr>
            </w:pPr>
            <w:r>
              <w:rPr>
                <w:rFonts w:ascii="Arial" w:eastAsia="Arial" w:hAnsi="Arial" w:cs="Arial"/>
                <w:i/>
                <w:iCs/>
                <w:sz w:val="18"/>
                <w:szCs w:val="18"/>
              </w:rPr>
              <w:t>Expenses</w:t>
            </w:r>
          </w:p>
        </w:tc>
        <w:tc>
          <w:tcPr>
            <w:tcW w:w="2460" w:type="dxa"/>
            <w:vAlign w:val="bottom"/>
          </w:tcPr>
          <w:p w14:paraId="134F635C" w14:textId="77777777" w:rsidR="00D1587D" w:rsidRDefault="00410D07">
            <w:pPr>
              <w:jc w:val="right"/>
              <w:rPr>
                <w:sz w:val="20"/>
                <w:szCs w:val="20"/>
              </w:rPr>
            </w:pPr>
            <w:r>
              <w:rPr>
                <w:rFonts w:ascii="Arial" w:eastAsia="Arial" w:hAnsi="Arial" w:cs="Arial"/>
                <w:sz w:val="18"/>
                <w:szCs w:val="18"/>
              </w:rPr>
              <w:t>48</w:t>
            </w:r>
          </w:p>
        </w:tc>
      </w:tr>
      <w:tr w:rsidR="00D1587D" w14:paraId="737A8927" w14:textId="77777777">
        <w:trPr>
          <w:trHeight w:val="216"/>
        </w:trPr>
        <w:tc>
          <w:tcPr>
            <w:tcW w:w="1160" w:type="dxa"/>
            <w:vAlign w:val="bottom"/>
          </w:tcPr>
          <w:p w14:paraId="08BB4107" w14:textId="77777777" w:rsidR="00D1587D" w:rsidRDefault="00410D07">
            <w:pPr>
              <w:rPr>
                <w:sz w:val="20"/>
                <w:szCs w:val="20"/>
              </w:rPr>
            </w:pPr>
            <w:r>
              <w:rPr>
                <w:rFonts w:ascii="Arial" w:eastAsia="Arial" w:hAnsi="Arial" w:cs="Arial"/>
                <w:sz w:val="18"/>
                <w:szCs w:val="18"/>
              </w:rPr>
              <w:t>Section 6.04.</w:t>
            </w:r>
          </w:p>
        </w:tc>
        <w:tc>
          <w:tcPr>
            <w:tcW w:w="7620" w:type="dxa"/>
            <w:vAlign w:val="bottom"/>
          </w:tcPr>
          <w:p w14:paraId="12BA548E" w14:textId="77777777" w:rsidR="00D1587D" w:rsidRDefault="00410D07">
            <w:pPr>
              <w:ind w:left="200"/>
              <w:rPr>
                <w:sz w:val="20"/>
                <w:szCs w:val="20"/>
              </w:rPr>
            </w:pPr>
            <w:r>
              <w:rPr>
                <w:rFonts w:ascii="Arial" w:eastAsia="Arial" w:hAnsi="Arial" w:cs="Arial"/>
                <w:i/>
                <w:iCs/>
                <w:sz w:val="18"/>
                <w:szCs w:val="18"/>
              </w:rPr>
              <w:t>Successors and Assigns</w:t>
            </w:r>
          </w:p>
        </w:tc>
        <w:tc>
          <w:tcPr>
            <w:tcW w:w="2460" w:type="dxa"/>
            <w:vAlign w:val="bottom"/>
          </w:tcPr>
          <w:p w14:paraId="114A891B" w14:textId="77777777" w:rsidR="00D1587D" w:rsidRDefault="00410D07">
            <w:pPr>
              <w:jc w:val="right"/>
              <w:rPr>
                <w:sz w:val="20"/>
                <w:szCs w:val="20"/>
              </w:rPr>
            </w:pPr>
            <w:r>
              <w:rPr>
                <w:rFonts w:ascii="Arial" w:eastAsia="Arial" w:hAnsi="Arial" w:cs="Arial"/>
                <w:sz w:val="18"/>
                <w:szCs w:val="18"/>
              </w:rPr>
              <w:t>48</w:t>
            </w:r>
          </w:p>
        </w:tc>
      </w:tr>
      <w:tr w:rsidR="00D1587D" w14:paraId="5550C62B" w14:textId="77777777">
        <w:trPr>
          <w:trHeight w:val="216"/>
        </w:trPr>
        <w:tc>
          <w:tcPr>
            <w:tcW w:w="1160" w:type="dxa"/>
            <w:vAlign w:val="bottom"/>
          </w:tcPr>
          <w:p w14:paraId="3EEC8DC9" w14:textId="77777777" w:rsidR="00D1587D" w:rsidRDefault="00410D07">
            <w:pPr>
              <w:rPr>
                <w:sz w:val="20"/>
                <w:szCs w:val="20"/>
              </w:rPr>
            </w:pPr>
            <w:r>
              <w:rPr>
                <w:rFonts w:ascii="Arial" w:eastAsia="Arial" w:hAnsi="Arial" w:cs="Arial"/>
                <w:sz w:val="18"/>
                <w:szCs w:val="18"/>
              </w:rPr>
              <w:t>Section 6.05.</w:t>
            </w:r>
          </w:p>
        </w:tc>
        <w:tc>
          <w:tcPr>
            <w:tcW w:w="7620" w:type="dxa"/>
            <w:vAlign w:val="bottom"/>
          </w:tcPr>
          <w:p w14:paraId="14083229" w14:textId="77777777" w:rsidR="00D1587D" w:rsidRDefault="00410D07">
            <w:pPr>
              <w:ind w:left="200"/>
              <w:rPr>
                <w:sz w:val="20"/>
                <w:szCs w:val="20"/>
              </w:rPr>
            </w:pPr>
            <w:r>
              <w:rPr>
                <w:rFonts w:ascii="Arial" w:eastAsia="Arial" w:hAnsi="Arial" w:cs="Arial"/>
                <w:i/>
                <w:iCs/>
                <w:sz w:val="18"/>
                <w:szCs w:val="18"/>
              </w:rPr>
              <w:t>Governing Law</w:t>
            </w:r>
          </w:p>
        </w:tc>
        <w:tc>
          <w:tcPr>
            <w:tcW w:w="2460" w:type="dxa"/>
            <w:vAlign w:val="bottom"/>
          </w:tcPr>
          <w:p w14:paraId="19791614" w14:textId="77777777" w:rsidR="00D1587D" w:rsidRDefault="00410D07">
            <w:pPr>
              <w:jc w:val="right"/>
              <w:rPr>
                <w:sz w:val="20"/>
                <w:szCs w:val="20"/>
              </w:rPr>
            </w:pPr>
            <w:r>
              <w:rPr>
                <w:rFonts w:ascii="Arial" w:eastAsia="Arial" w:hAnsi="Arial" w:cs="Arial"/>
                <w:sz w:val="18"/>
                <w:szCs w:val="18"/>
              </w:rPr>
              <w:t>48</w:t>
            </w:r>
          </w:p>
        </w:tc>
      </w:tr>
      <w:tr w:rsidR="00D1587D" w14:paraId="6CC1A758" w14:textId="77777777">
        <w:trPr>
          <w:trHeight w:val="216"/>
        </w:trPr>
        <w:tc>
          <w:tcPr>
            <w:tcW w:w="1160" w:type="dxa"/>
            <w:vAlign w:val="bottom"/>
          </w:tcPr>
          <w:p w14:paraId="16CF55B6" w14:textId="77777777" w:rsidR="00D1587D" w:rsidRDefault="00410D07">
            <w:pPr>
              <w:rPr>
                <w:sz w:val="20"/>
                <w:szCs w:val="20"/>
              </w:rPr>
            </w:pPr>
            <w:r>
              <w:rPr>
                <w:rFonts w:ascii="Arial" w:eastAsia="Arial" w:hAnsi="Arial" w:cs="Arial"/>
                <w:sz w:val="18"/>
                <w:szCs w:val="18"/>
              </w:rPr>
              <w:t>Section 6.06</w:t>
            </w:r>
            <w:r>
              <w:rPr>
                <w:rFonts w:ascii="Arial" w:eastAsia="Arial" w:hAnsi="Arial" w:cs="Arial"/>
                <w:i/>
                <w:iCs/>
                <w:sz w:val="18"/>
                <w:szCs w:val="18"/>
              </w:rPr>
              <w:t>.</w:t>
            </w:r>
          </w:p>
        </w:tc>
        <w:tc>
          <w:tcPr>
            <w:tcW w:w="7620" w:type="dxa"/>
            <w:vAlign w:val="bottom"/>
          </w:tcPr>
          <w:p w14:paraId="2B17E4C9" w14:textId="77777777" w:rsidR="00D1587D" w:rsidRDefault="00410D07">
            <w:pPr>
              <w:ind w:left="200"/>
              <w:rPr>
                <w:sz w:val="20"/>
                <w:szCs w:val="20"/>
              </w:rPr>
            </w:pPr>
            <w:r>
              <w:rPr>
                <w:rFonts w:ascii="Arial" w:eastAsia="Arial" w:hAnsi="Arial" w:cs="Arial"/>
                <w:i/>
                <w:iCs/>
                <w:sz w:val="18"/>
                <w:szCs w:val="18"/>
              </w:rPr>
              <w:t>Counterparts; Effectiveness; Third-Party Beneficiaries</w:t>
            </w:r>
          </w:p>
        </w:tc>
        <w:tc>
          <w:tcPr>
            <w:tcW w:w="2460" w:type="dxa"/>
            <w:vAlign w:val="bottom"/>
          </w:tcPr>
          <w:p w14:paraId="4EB0B94D" w14:textId="77777777" w:rsidR="00D1587D" w:rsidRDefault="00410D07">
            <w:pPr>
              <w:jc w:val="right"/>
              <w:rPr>
                <w:sz w:val="20"/>
                <w:szCs w:val="20"/>
              </w:rPr>
            </w:pPr>
            <w:r>
              <w:rPr>
                <w:rFonts w:ascii="Arial" w:eastAsia="Arial" w:hAnsi="Arial" w:cs="Arial"/>
                <w:sz w:val="18"/>
                <w:szCs w:val="18"/>
              </w:rPr>
              <w:t>49</w:t>
            </w:r>
          </w:p>
        </w:tc>
      </w:tr>
      <w:tr w:rsidR="00D1587D" w14:paraId="56C0F618" w14:textId="77777777">
        <w:trPr>
          <w:trHeight w:val="216"/>
        </w:trPr>
        <w:tc>
          <w:tcPr>
            <w:tcW w:w="1160" w:type="dxa"/>
            <w:vAlign w:val="bottom"/>
          </w:tcPr>
          <w:p w14:paraId="5C3DDC25" w14:textId="77777777" w:rsidR="00D1587D" w:rsidRDefault="00410D07">
            <w:pPr>
              <w:rPr>
                <w:sz w:val="20"/>
                <w:szCs w:val="20"/>
              </w:rPr>
            </w:pPr>
            <w:r>
              <w:rPr>
                <w:rFonts w:ascii="Arial" w:eastAsia="Arial" w:hAnsi="Arial" w:cs="Arial"/>
                <w:sz w:val="18"/>
                <w:szCs w:val="18"/>
              </w:rPr>
              <w:t>Section 6.07.</w:t>
            </w:r>
          </w:p>
        </w:tc>
        <w:tc>
          <w:tcPr>
            <w:tcW w:w="7620" w:type="dxa"/>
            <w:vAlign w:val="bottom"/>
          </w:tcPr>
          <w:p w14:paraId="4C3356F9" w14:textId="77777777" w:rsidR="00D1587D" w:rsidRDefault="00410D07">
            <w:pPr>
              <w:ind w:left="200"/>
              <w:rPr>
                <w:sz w:val="20"/>
                <w:szCs w:val="20"/>
              </w:rPr>
            </w:pPr>
            <w:r>
              <w:rPr>
                <w:rFonts w:ascii="Arial" w:eastAsia="Arial" w:hAnsi="Arial" w:cs="Arial"/>
                <w:i/>
                <w:iCs/>
                <w:sz w:val="18"/>
                <w:szCs w:val="18"/>
              </w:rPr>
              <w:t>Entire Agreement</w:t>
            </w:r>
          </w:p>
        </w:tc>
        <w:tc>
          <w:tcPr>
            <w:tcW w:w="2460" w:type="dxa"/>
            <w:vAlign w:val="bottom"/>
          </w:tcPr>
          <w:p w14:paraId="689C7EFF" w14:textId="77777777" w:rsidR="00D1587D" w:rsidRDefault="00410D07">
            <w:pPr>
              <w:jc w:val="right"/>
              <w:rPr>
                <w:sz w:val="20"/>
                <w:szCs w:val="20"/>
              </w:rPr>
            </w:pPr>
            <w:r>
              <w:rPr>
                <w:rFonts w:ascii="Arial" w:eastAsia="Arial" w:hAnsi="Arial" w:cs="Arial"/>
                <w:sz w:val="18"/>
                <w:szCs w:val="18"/>
              </w:rPr>
              <w:t>49</w:t>
            </w:r>
          </w:p>
        </w:tc>
      </w:tr>
      <w:tr w:rsidR="00D1587D" w14:paraId="73718404" w14:textId="77777777">
        <w:trPr>
          <w:trHeight w:val="216"/>
        </w:trPr>
        <w:tc>
          <w:tcPr>
            <w:tcW w:w="1160" w:type="dxa"/>
            <w:vAlign w:val="bottom"/>
          </w:tcPr>
          <w:p w14:paraId="43ADE16B" w14:textId="77777777" w:rsidR="00D1587D" w:rsidRDefault="00410D07">
            <w:pPr>
              <w:rPr>
                <w:sz w:val="20"/>
                <w:szCs w:val="20"/>
              </w:rPr>
            </w:pPr>
            <w:r>
              <w:rPr>
                <w:rFonts w:ascii="Arial" w:eastAsia="Arial" w:hAnsi="Arial" w:cs="Arial"/>
                <w:sz w:val="18"/>
                <w:szCs w:val="18"/>
              </w:rPr>
              <w:t>Section 6.08.</w:t>
            </w:r>
          </w:p>
        </w:tc>
        <w:tc>
          <w:tcPr>
            <w:tcW w:w="7620" w:type="dxa"/>
            <w:vAlign w:val="bottom"/>
          </w:tcPr>
          <w:p w14:paraId="00AD9287" w14:textId="77777777" w:rsidR="00D1587D" w:rsidRDefault="00410D07">
            <w:pPr>
              <w:ind w:left="200"/>
              <w:rPr>
                <w:sz w:val="20"/>
                <w:szCs w:val="20"/>
              </w:rPr>
            </w:pPr>
            <w:r>
              <w:rPr>
                <w:rFonts w:ascii="Arial" w:eastAsia="Arial" w:hAnsi="Arial" w:cs="Arial"/>
                <w:i/>
                <w:iCs/>
                <w:sz w:val="18"/>
                <w:szCs w:val="18"/>
              </w:rPr>
              <w:t>Tax and Employee Matters</w:t>
            </w:r>
          </w:p>
        </w:tc>
        <w:tc>
          <w:tcPr>
            <w:tcW w:w="2460" w:type="dxa"/>
            <w:vAlign w:val="bottom"/>
          </w:tcPr>
          <w:p w14:paraId="1DDAF18E" w14:textId="77777777" w:rsidR="00D1587D" w:rsidRDefault="00410D07">
            <w:pPr>
              <w:jc w:val="right"/>
              <w:rPr>
                <w:sz w:val="20"/>
                <w:szCs w:val="20"/>
              </w:rPr>
            </w:pPr>
            <w:r>
              <w:rPr>
                <w:rFonts w:ascii="Arial" w:eastAsia="Arial" w:hAnsi="Arial" w:cs="Arial"/>
                <w:sz w:val="18"/>
                <w:szCs w:val="18"/>
              </w:rPr>
              <w:t>49</w:t>
            </w:r>
          </w:p>
        </w:tc>
      </w:tr>
      <w:tr w:rsidR="00D1587D" w14:paraId="233AB1E8" w14:textId="77777777">
        <w:trPr>
          <w:trHeight w:val="216"/>
        </w:trPr>
        <w:tc>
          <w:tcPr>
            <w:tcW w:w="1160" w:type="dxa"/>
            <w:vAlign w:val="bottom"/>
          </w:tcPr>
          <w:p w14:paraId="64E271F8" w14:textId="77777777" w:rsidR="00D1587D" w:rsidRDefault="00410D07">
            <w:pPr>
              <w:rPr>
                <w:sz w:val="20"/>
                <w:szCs w:val="20"/>
              </w:rPr>
            </w:pPr>
            <w:r>
              <w:rPr>
                <w:rFonts w:ascii="Arial" w:eastAsia="Arial" w:hAnsi="Arial" w:cs="Arial"/>
                <w:sz w:val="18"/>
                <w:szCs w:val="18"/>
              </w:rPr>
              <w:t>Section 6.09.</w:t>
            </w:r>
          </w:p>
        </w:tc>
        <w:tc>
          <w:tcPr>
            <w:tcW w:w="7620" w:type="dxa"/>
            <w:vAlign w:val="bottom"/>
          </w:tcPr>
          <w:p w14:paraId="5E3B1786" w14:textId="77777777" w:rsidR="00D1587D" w:rsidRDefault="00410D07">
            <w:pPr>
              <w:ind w:left="200"/>
              <w:rPr>
                <w:sz w:val="20"/>
                <w:szCs w:val="20"/>
              </w:rPr>
            </w:pPr>
            <w:r>
              <w:rPr>
                <w:rFonts w:ascii="Arial" w:eastAsia="Arial" w:hAnsi="Arial" w:cs="Arial"/>
                <w:i/>
                <w:iCs/>
                <w:sz w:val="18"/>
                <w:szCs w:val="18"/>
              </w:rPr>
              <w:t>Dispute Resolution</w:t>
            </w:r>
          </w:p>
        </w:tc>
        <w:tc>
          <w:tcPr>
            <w:tcW w:w="2460" w:type="dxa"/>
            <w:vAlign w:val="bottom"/>
          </w:tcPr>
          <w:p w14:paraId="1C02671E" w14:textId="77777777" w:rsidR="00D1587D" w:rsidRDefault="00410D07">
            <w:pPr>
              <w:jc w:val="right"/>
              <w:rPr>
                <w:sz w:val="20"/>
                <w:szCs w:val="20"/>
              </w:rPr>
            </w:pPr>
            <w:r>
              <w:rPr>
                <w:rFonts w:ascii="Arial" w:eastAsia="Arial" w:hAnsi="Arial" w:cs="Arial"/>
                <w:sz w:val="18"/>
                <w:szCs w:val="18"/>
              </w:rPr>
              <w:t>50</w:t>
            </w:r>
          </w:p>
        </w:tc>
      </w:tr>
      <w:tr w:rsidR="00D1587D" w14:paraId="6CA6ED2D" w14:textId="77777777">
        <w:trPr>
          <w:trHeight w:val="216"/>
        </w:trPr>
        <w:tc>
          <w:tcPr>
            <w:tcW w:w="1160" w:type="dxa"/>
            <w:vAlign w:val="bottom"/>
          </w:tcPr>
          <w:p w14:paraId="1DC7DA1D" w14:textId="77777777" w:rsidR="00D1587D" w:rsidRDefault="00410D07">
            <w:pPr>
              <w:rPr>
                <w:sz w:val="20"/>
                <w:szCs w:val="20"/>
              </w:rPr>
            </w:pPr>
            <w:r>
              <w:rPr>
                <w:rFonts w:ascii="Arial" w:eastAsia="Arial" w:hAnsi="Arial" w:cs="Arial"/>
                <w:sz w:val="18"/>
                <w:szCs w:val="18"/>
              </w:rPr>
              <w:t>Section 6.10.</w:t>
            </w:r>
          </w:p>
        </w:tc>
        <w:tc>
          <w:tcPr>
            <w:tcW w:w="7620" w:type="dxa"/>
            <w:vAlign w:val="bottom"/>
          </w:tcPr>
          <w:p w14:paraId="1707534B" w14:textId="77777777" w:rsidR="00D1587D" w:rsidRDefault="00410D07">
            <w:pPr>
              <w:ind w:left="200"/>
              <w:rPr>
                <w:sz w:val="20"/>
                <w:szCs w:val="20"/>
              </w:rPr>
            </w:pPr>
            <w:r>
              <w:rPr>
                <w:rFonts w:ascii="Arial" w:eastAsia="Arial" w:hAnsi="Arial" w:cs="Arial"/>
                <w:i/>
                <w:iCs/>
                <w:sz w:val="18"/>
                <w:szCs w:val="18"/>
              </w:rPr>
              <w:t>Jurisdiction</w:t>
            </w:r>
          </w:p>
        </w:tc>
        <w:tc>
          <w:tcPr>
            <w:tcW w:w="2460" w:type="dxa"/>
            <w:vAlign w:val="bottom"/>
          </w:tcPr>
          <w:p w14:paraId="0F132609" w14:textId="77777777" w:rsidR="00D1587D" w:rsidRDefault="00410D07">
            <w:pPr>
              <w:jc w:val="right"/>
              <w:rPr>
                <w:sz w:val="20"/>
                <w:szCs w:val="20"/>
              </w:rPr>
            </w:pPr>
            <w:r>
              <w:rPr>
                <w:rFonts w:ascii="Arial" w:eastAsia="Arial" w:hAnsi="Arial" w:cs="Arial"/>
                <w:sz w:val="18"/>
                <w:szCs w:val="18"/>
              </w:rPr>
              <w:t>51</w:t>
            </w:r>
          </w:p>
        </w:tc>
      </w:tr>
      <w:tr w:rsidR="00D1587D" w14:paraId="747EB267" w14:textId="77777777">
        <w:trPr>
          <w:trHeight w:val="216"/>
        </w:trPr>
        <w:tc>
          <w:tcPr>
            <w:tcW w:w="1160" w:type="dxa"/>
            <w:vAlign w:val="bottom"/>
          </w:tcPr>
          <w:p w14:paraId="5AE5C33E" w14:textId="77777777" w:rsidR="00D1587D" w:rsidRDefault="00410D07">
            <w:pPr>
              <w:rPr>
                <w:sz w:val="20"/>
                <w:szCs w:val="20"/>
              </w:rPr>
            </w:pPr>
            <w:r>
              <w:rPr>
                <w:rFonts w:ascii="Arial" w:eastAsia="Arial" w:hAnsi="Arial" w:cs="Arial"/>
                <w:sz w:val="18"/>
                <w:szCs w:val="18"/>
              </w:rPr>
              <w:t>Section 6.11</w:t>
            </w:r>
            <w:r>
              <w:rPr>
                <w:rFonts w:ascii="Arial" w:eastAsia="Arial" w:hAnsi="Arial" w:cs="Arial"/>
                <w:i/>
                <w:iCs/>
                <w:sz w:val="18"/>
                <w:szCs w:val="18"/>
              </w:rPr>
              <w:t>.</w:t>
            </w:r>
          </w:p>
        </w:tc>
        <w:tc>
          <w:tcPr>
            <w:tcW w:w="7620" w:type="dxa"/>
            <w:vAlign w:val="bottom"/>
          </w:tcPr>
          <w:p w14:paraId="3B8010F1" w14:textId="77777777" w:rsidR="00D1587D" w:rsidRDefault="00410D07">
            <w:pPr>
              <w:ind w:left="200"/>
              <w:rPr>
                <w:sz w:val="20"/>
                <w:szCs w:val="20"/>
              </w:rPr>
            </w:pPr>
            <w:r>
              <w:rPr>
                <w:rFonts w:ascii="Arial" w:eastAsia="Arial" w:hAnsi="Arial" w:cs="Arial"/>
                <w:i/>
                <w:iCs/>
                <w:sz w:val="18"/>
                <w:szCs w:val="18"/>
              </w:rPr>
              <w:t>WAIVER OF JURY TRIAL</w:t>
            </w:r>
          </w:p>
        </w:tc>
        <w:tc>
          <w:tcPr>
            <w:tcW w:w="2460" w:type="dxa"/>
            <w:vAlign w:val="bottom"/>
          </w:tcPr>
          <w:p w14:paraId="3B16CB36" w14:textId="77777777" w:rsidR="00D1587D" w:rsidRDefault="00410D07">
            <w:pPr>
              <w:jc w:val="right"/>
              <w:rPr>
                <w:sz w:val="20"/>
                <w:szCs w:val="20"/>
              </w:rPr>
            </w:pPr>
            <w:r>
              <w:rPr>
                <w:rFonts w:ascii="Arial" w:eastAsia="Arial" w:hAnsi="Arial" w:cs="Arial"/>
                <w:sz w:val="18"/>
                <w:szCs w:val="18"/>
              </w:rPr>
              <w:t>51</w:t>
            </w:r>
          </w:p>
        </w:tc>
      </w:tr>
      <w:tr w:rsidR="00D1587D" w14:paraId="223750F7" w14:textId="77777777">
        <w:trPr>
          <w:trHeight w:val="216"/>
        </w:trPr>
        <w:tc>
          <w:tcPr>
            <w:tcW w:w="1160" w:type="dxa"/>
            <w:vAlign w:val="bottom"/>
          </w:tcPr>
          <w:p w14:paraId="3B8F06D0" w14:textId="77777777" w:rsidR="00D1587D" w:rsidRDefault="00410D07">
            <w:pPr>
              <w:rPr>
                <w:sz w:val="20"/>
                <w:szCs w:val="20"/>
              </w:rPr>
            </w:pPr>
            <w:r>
              <w:rPr>
                <w:rFonts w:ascii="Arial" w:eastAsia="Arial" w:hAnsi="Arial" w:cs="Arial"/>
                <w:sz w:val="18"/>
                <w:szCs w:val="18"/>
              </w:rPr>
              <w:t>Section 6.12.</w:t>
            </w:r>
          </w:p>
        </w:tc>
        <w:tc>
          <w:tcPr>
            <w:tcW w:w="7620" w:type="dxa"/>
            <w:vAlign w:val="bottom"/>
          </w:tcPr>
          <w:p w14:paraId="79053AE4" w14:textId="77777777" w:rsidR="00D1587D" w:rsidRDefault="00410D07">
            <w:pPr>
              <w:ind w:left="200"/>
              <w:rPr>
                <w:sz w:val="20"/>
                <w:szCs w:val="20"/>
              </w:rPr>
            </w:pPr>
            <w:r>
              <w:rPr>
                <w:rFonts w:ascii="Arial" w:eastAsia="Arial" w:hAnsi="Arial" w:cs="Arial"/>
                <w:i/>
                <w:iCs/>
                <w:sz w:val="18"/>
                <w:szCs w:val="18"/>
              </w:rPr>
              <w:t>Termination</w:t>
            </w:r>
          </w:p>
        </w:tc>
        <w:tc>
          <w:tcPr>
            <w:tcW w:w="2460" w:type="dxa"/>
            <w:vAlign w:val="bottom"/>
          </w:tcPr>
          <w:p w14:paraId="58B13B28" w14:textId="77777777" w:rsidR="00D1587D" w:rsidRDefault="00410D07">
            <w:pPr>
              <w:jc w:val="right"/>
              <w:rPr>
                <w:sz w:val="20"/>
                <w:szCs w:val="20"/>
              </w:rPr>
            </w:pPr>
            <w:r>
              <w:rPr>
                <w:rFonts w:ascii="Arial" w:eastAsia="Arial" w:hAnsi="Arial" w:cs="Arial"/>
                <w:sz w:val="18"/>
                <w:szCs w:val="18"/>
              </w:rPr>
              <w:t>51</w:t>
            </w:r>
          </w:p>
        </w:tc>
      </w:tr>
      <w:tr w:rsidR="00D1587D" w14:paraId="20F87B7D" w14:textId="77777777">
        <w:trPr>
          <w:trHeight w:val="216"/>
        </w:trPr>
        <w:tc>
          <w:tcPr>
            <w:tcW w:w="1160" w:type="dxa"/>
            <w:vAlign w:val="bottom"/>
          </w:tcPr>
          <w:p w14:paraId="3F29C8A1" w14:textId="77777777" w:rsidR="00D1587D" w:rsidRDefault="00410D07">
            <w:pPr>
              <w:rPr>
                <w:sz w:val="20"/>
                <w:szCs w:val="20"/>
              </w:rPr>
            </w:pPr>
            <w:r>
              <w:rPr>
                <w:rFonts w:ascii="Arial" w:eastAsia="Arial" w:hAnsi="Arial" w:cs="Arial"/>
                <w:sz w:val="18"/>
                <w:szCs w:val="18"/>
              </w:rPr>
              <w:t>Section 6.13.</w:t>
            </w:r>
          </w:p>
        </w:tc>
        <w:tc>
          <w:tcPr>
            <w:tcW w:w="7620" w:type="dxa"/>
            <w:vAlign w:val="bottom"/>
          </w:tcPr>
          <w:p w14:paraId="4102AB78" w14:textId="77777777" w:rsidR="00D1587D" w:rsidRDefault="00410D07">
            <w:pPr>
              <w:ind w:left="200"/>
              <w:rPr>
                <w:sz w:val="20"/>
                <w:szCs w:val="20"/>
              </w:rPr>
            </w:pPr>
            <w:r>
              <w:rPr>
                <w:rFonts w:ascii="Arial" w:eastAsia="Arial" w:hAnsi="Arial" w:cs="Arial"/>
                <w:i/>
                <w:iCs/>
                <w:sz w:val="18"/>
                <w:szCs w:val="18"/>
              </w:rPr>
              <w:t>Severability</w:t>
            </w:r>
          </w:p>
        </w:tc>
        <w:tc>
          <w:tcPr>
            <w:tcW w:w="2460" w:type="dxa"/>
            <w:vAlign w:val="bottom"/>
          </w:tcPr>
          <w:p w14:paraId="1E78F269" w14:textId="77777777" w:rsidR="00D1587D" w:rsidRDefault="00410D07">
            <w:pPr>
              <w:jc w:val="right"/>
              <w:rPr>
                <w:sz w:val="20"/>
                <w:szCs w:val="20"/>
              </w:rPr>
            </w:pPr>
            <w:r>
              <w:rPr>
                <w:rFonts w:ascii="Arial" w:eastAsia="Arial" w:hAnsi="Arial" w:cs="Arial"/>
                <w:sz w:val="18"/>
                <w:szCs w:val="18"/>
              </w:rPr>
              <w:t>51</w:t>
            </w:r>
          </w:p>
        </w:tc>
      </w:tr>
      <w:tr w:rsidR="00D1587D" w14:paraId="1683952A" w14:textId="77777777">
        <w:trPr>
          <w:trHeight w:val="216"/>
        </w:trPr>
        <w:tc>
          <w:tcPr>
            <w:tcW w:w="1160" w:type="dxa"/>
            <w:vAlign w:val="bottom"/>
          </w:tcPr>
          <w:p w14:paraId="77A63FFA" w14:textId="77777777" w:rsidR="00D1587D" w:rsidRDefault="00410D07">
            <w:pPr>
              <w:rPr>
                <w:sz w:val="20"/>
                <w:szCs w:val="20"/>
              </w:rPr>
            </w:pPr>
            <w:r>
              <w:rPr>
                <w:rFonts w:ascii="Arial" w:eastAsia="Arial" w:hAnsi="Arial" w:cs="Arial"/>
                <w:sz w:val="18"/>
                <w:szCs w:val="18"/>
              </w:rPr>
              <w:t>Section 6.14.</w:t>
            </w:r>
          </w:p>
        </w:tc>
        <w:tc>
          <w:tcPr>
            <w:tcW w:w="7620" w:type="dxa"/>
            <w:vAlign w:val="bottom"/>
          </w:tcPr>
          <w:p w14:paraId="3FF1444B" w14:textId="77777777" w:rsidR="00D1587D" w:rsidRDefault="00410D07">
            <w:pPr>
              <w:ind w:left="200"/>
              <w:rPr>
                <w:sz w:val="20"/>
                <w:szCs w:val="20"/>
              </w:rPr>
            </w:pPr>
            <w:r>
              <w:rPr>
                <w:rFonts w:ascii="Arial" w:eastAsia="Arial" w:hAnsi="Arial" w:cs="Arial"/>
                <w:i/>
                <w:iCs/>
                <w:sz w:val="18"/>
                <w:szCs w:val="18"/>
              </w:rPr>
              <w:t>Survival</w:t>
            </w:r>
          </w:p>
        </w:tc>
        <w:tc>
          <w:tcPr>
            <w:tcW w:w="2460" w:type="dxa"/>
            <w:vAlign w:val="bottom"/>
          </w:tcPr>
          <w:p w14:paraId="25D5CF6F" w14:textId="77777777" w:rsidR="00D1587D" w:rsidRDefault="00410D07">
            <w:pPr>
              <w:jc w:val="right"/>
              <w:rPr>
                <w:sz w:val="20"/>
                <w:szCs w:val="20"/>
              </w:rPr>
            </w:pPr>
            <w:r>
              <w:rPr>
                <w:rFonts w:ascii="Arial" w:eastAsia="Arial" w:hAnsi="Arial" w:cs="Arial"/>
                <w:sz w:val="18"/>
                <w:szCs w:val="18"/>
              </w:rPr>
              <w:t>52</w:t>
            </w:r>
          </w:p>
        </w:tc>
      </w:tr>
      <w:tr w:rsidR="00D1587D" w14:paraId="6B8C48F1" w14:textId="77777777">
        <w:trPr>
          <w:trHeight w:val="216"/>
        </w:trPr>
        <w:tc>
          <w:tcPr>
            <w:tcW w:w="1160" w:type="dxa"/>
            <w:vAlign w:val="bottom"/>
          </w:tcPr>
          <w:p w14:paraId="50FE3CCE" w14:textId="77777777" w:rsidR="00D1587D" w:rsidRDefault="00410D07">
            <w:pPr>
              <w:rPr>
                <w:sz w:val="20"/>
                <w:szCs w:val="20"/>
              </w:rPr>
            </w:pPr>
            <w:r>
              <w:rPr>
                <w:rFonts w:ascii="Arial" w:eastAsia="Arial" w:hAnsi="Arial" w:cs="Arial"/>
                <w:sz w:val="18"/>
                <w:szCs w:val="18"/>
              </w:rPr>
              <w:t>Section 6.15.</w:t>
            </w:r>
          </w:p>
        </w:tc>
        <w:tc>
          <w:tcPr>
            <w:tcW w:w="7620" w:type="dxa"/>
            <w:vAlign w:val="bottom"/>
          </w:tcPr>
          <w:p w14:paraId="446F8ECA" w14:textId="77777777" w:rsidR="00D1587D" w:rsidRDefault="00410D07">
            <w:pPr>
              <w:ind w:left="200"/>
              <w:rPr>
                <w:sz w:val="20"/>
                <w:szCs w:val="20"/>
              </w:rPr>
            </w:pPr>
            <w:r>
              <w:rPr>
                <w:rFonts w:ascii="Arial" w:eastAsia="Arial" w:hAnsi="Arial" w:cs="Arial"/>
                <w:i/>
                <w:iCs/>
                <w:sz w:val="18"/>
                <w:szCs w:val="18"/>
              </w:rPr>
              <w:t>Captions</w:t>
            </w:r>
          </w:p>
        </w:tc>
        <w:tc>
          <w:tcPr>
            <w:tcW w:w="2460" w:type="dxa"/>
            <w:vAlign w:val="bottom"/>
          </w:tcPr>
          <w:p w14:paraId="06C5C110" w14:textId="77777777" w:rsidR="00D1587D" w:rsidRDefault="00410D07">
            <w:pPr>
              <w:jc w:val="right"/>
              <w:rPr>
                <w:sz w:val="20"/>
                <w:szCs w:val="20"/>
              </w:rPr>
            </w:pPr>
            <w:r>
              <w:rPr>
                <w:rFonts w:ascii="Arial" w:eastAsia="Arial" w:hAnsi="Arial" w:cs="Arial"/>
                <w:sz w:val="18"/>
                <w:szCs w:val="18"/>
              </w:rPr>
              <w:t>52</w:t>
            </w:r>
          </w:p>
        </w:tc>
      </w:tr>
      <w:tr w:rsidR="00D1587D" w14:paraId="169F2BC2" w14:textId="77777777">
        <w:trPr>
          <w:trHeight w:val="216"/>
        </w:trPr>
        <w:tc>
          <w:tcPr>
            <w:tcW w:w="1160" w:type="dxa"/>
            <w:vAlign w:val="bottom"/>
          </w:tcPr>
          <w:p w14:paraId="7FD74659" w14:textId="77777777" w:rsidR="00D1587D" w:rsidRDefault="00410D07">
            <w:pPr>
              <w:rPr>
                <w:sz w:val="20"/>
                <w:szCs w:val="20"/>
              </w:rPr>
            </w:pPr>
            <w:r>
              <w:rPr>
                <w:rFonts w:ascii="Arial" w:eastAsia="Arial" w:hAnsi="Arial" w:cs="Arial"/>
                <w:sz w:val="18"/>
                <w:szCs w:val="18"/>
              </w:rPr>
              <w:t>Section 6.16</w:t>
            </w:r>
            <w:r>
              <w:rPr>
                <w:rFonts w:ascii="Arial" w:eastAsia="Arial" w:hAnsi="Arial" w:cs="Arial"/>
                <w:i/>
                <w:iCs/>
                <w:sz w:val="18"/>
                <w:szCs w:val="18"/>
              </w:rPr>
              <w:t>.</w:t>
            </w:r>
          </w:p>
        </w:tc>
        <w:tc>
          <w:tcPr>
            <w:tcW w:w="7620" w:type="dxa"/>
            <w:vAlign w:val="bottom"/>
          </w:tcPr>
          <w:p w14:paraId="00B2CDD4" w14:textId="77777777" w:rsidR="00D1587D" w:rsidRDefault="00410D07">
            <w:pPr>
              <w:ind w:left="200"/>
              <w:rPr>
                <w:sz w:val="20"/>
                <w:szCs w:val="20"/>
              </w:rPr>
            </w:pPr>
            <w:r>
              <w:rPr>
                <w:rFonts w:ascii="Arial" w:eastAsia="Arial" w:hAnsi="Arial" w:cs="Arial"/>
                <w:i/>
                <w:iCs/>
                <w:sz w:val="18"/>
                <w:szCs w:val="18"/>
              </w:rPr>
              <w:t>Interpretation</w:t>
            </w:r>
          </w:p>
        </w:tc>
        <w:tc>
          <w:tcPr>
            <w:tcW w:w="2460" w:type="dxa"/>
            <w:vAlign w:val="bottom"/>
          </w:tcPr>
          <w:p w14:paraId="668EFD7A" w14:textId="77777777" w:rsidR="00D1587D" w:rsidRDefault="00410D07">
            <w:pPr>
              <w:jc w:val="right"/>
              <w:rPr>
                <w:sz w:val="20"/>
                <w:szCs w:val="20"/>
              </w:rPr>
            </w:pPr>
            <w:r>
              <w:rPr>
                <w:rFonts w:ascii="Arial" w:eastAsia="Arial" w:hAnsi="Arial" w:cs="Arial"/>
                <w:sz w:val="18"/>
                <w:szCs w:val="18"/>
              </w:rPr>
              <w:t>52</w:t>
            </w:r>
          </w:p>
        </w:tc>
      </w:tr>
      <w:tr w:rsidR="00D1587D" w14:paraId="2336AE94" w14:textId="77777777">
        <w:trPr>
          <w:trHeight w:val="216"/>
        </w:trPr>
        <w:tc>
          <w:tcPr>
            <w:tcW w:w="1160" w:type="dxa"/>
            <w:vAlign w:val="bottom"/>
          </w:tcPr>
          <w:p w14:paraId="735E68C5" w14:textId="77777777" w:rsidR="00D1587D" w:rsidRDefault="00410D07">
            <w:pPr>
              <w:rPr>
                <w:sz w:val="20"/>
                <w:szCs w:val="20"/>
              </w:rPr>
            </w:pPr>
            <w:r>
              <w:rPr>
                <w:rFonts w:ascii="Arial" w:eastAsia="Arial" w:hAnsi="Arial" w:cs="Arial"/>
                <w:sz w:val="18"/>
                <w:szCs w:val="18"/>
              </w:rPr>
              <w:t>Section 6.17.</w:t>
            </w:r>
          </w:p>
        </w:tc>
        <w:tc>
          <w:tcPr>
            <w:tcW w:w="7620" w:type="dxa"/>
            <w:vAlign w:val="bottom"/>
          </w:tcPr>
          <w:p w14:paraId="07E64FB8" w14:textId="77777777" w:rsidR="00D1587D" w:rsidRDefault="00410D07">
            <w:pPr>
              <w:ind w:left="200"/>
              <w:rPr>
                <w:sz w:val="20"/>
                <w:szCs w:val="20"/>
              </w:rPr>
            </w:pPr>
            <w:r>
              <w:rPr>
                <w:rFonts w:ascii="Arial" w:eastAsia="Arial" w:hAnsi="Arial" w:cs="Arial"/>
                <w:i/>
                <w:iCs/>
                <w:sz w:val="18"/>
                <w:szCs w:val="18"/>
              </w:rPr>
              <w:t>Specific Performance</w:t>
            </w:r>
          </w:p>
        </w:tc>
        <w:tc>
          <w:tcPr>
            <w:tcW w:w="2460" w:type="dxa"/>
            <w:vAlign w:val="bottom"/>
          </w:tcPr>
          <w:p w14:paraId="298D0CF4" w14:textId="77777777" w:rsidR="00D1587D" w:rsidRDefault="00410D07">
            <w:pPr>
              <w:jc w:val="right"/>
              <w:rPr>
                <w:sz w:val="20"/>
                <w:szCs w:val="20"/>
              </w:rPr>
            </w:pPr>
            <w:r>
              <w:rPr>
                <w:rFonts w:ascii="Arial" w:eastAsia="Arial" w:hAnsi="Arial" w:cs="Arial"/>
                <w:sz w:val="18"/>
                <w:szCs w:val="18"/>
              </w:rPr>
              <w:t>52</w:t>
            </w:r>
          </w:p>
        </w:tc>
      </w:tr>
      <w:tr w:rsidR="00D1587D" w14:paraId="3C5B777B" w14:textId="77777777">
        <w:trPr>
          <w:trHeight w:val="230"/>
        </w:trPr>
        <w:tc>
          <w:tcPr>
            <w:tcW w:w="1160" w:type="dxa"/>
            <w:vAlign w:val="bottom"/>
          </w:tcPr>
          <w:p w14:paraId="03D4379D" w14:textId="77777777" w:rsidR="00D1587D" w:rsidRDefault="00410D07">
            <w:pPr>
              <w:rPr>
                <w:sz w:val="20"/>
                <w:szCs w:val="20"/>
              </w:rPr>
            </w:pPr>
            <w:r>
              <w:rPr>
                <w:rFonts w:ascii="Arial" w:eastAsia="Arial" w:hAnsi="Arial" w:cs="Arial"/>
                <w:sz w:val="18"/>
                <w:szCs w:val="18"/>
              </w:rPr>
              <w:t>Section 6.18.</w:t>
            </w:r>
          </w:p>
        </w:tc>
        <w:tc>
          <w:tcPr>
            <w:tcW w:w="7620" w:type="dxa"/>
            <w:vAlign w:val="bottom"/>
          </w:tcPr>
          <w:p w14:paraId="7F663F53" w14:textId="77777777" w:rsidR="00D1587D" w:rsidRDefault="00410D07">
            <w:pPr>
              <w:ind w:left="200"/>
              <w:rPr>
                <w:sz w:val="20"/>
                <w:szCs w:val="20"/>
              </w:rPr>
            </w:pPr>
            <w:r>
              <w:rPr>
                <w:rFonts w:ascii="Arial" w:eastAsia="Arial" w:hAnsi="Arial" w:cs="Arial"/>
                <w:i/>
                <w:iCs/>
                <w:sz w:val="18"/>
                <w:szCs w:val="18"/>
              </w:rPr>
              <w:t>Performance</w:t>
            </w:r>
          </w:p>
        </w:tc>
        <w:tc>
          <w:tcPr>
            <w:tcW w:w="2460" w:type="dxa"/>
            <w:vAlign w:val="bottom"/>
          </w:tcPr>
          <w:p w14:paraId="10984353" w14:textId="77777777" w:rsidR="00D1587D" w:rsidRDefault="00410D07">
            <w:pPr>
              <w:jc w:val="right"/>
              <w:rPr>
                <w:sz w:val="20"/>
                <w:szCs w:val="20"/>
              </w:rPr>
            </w:pPr>
            <w:r>
              <w:rPr>
                <w:rFonts w:ascii="Arial" w:eastAsia="Arial" w:hAnsi="Arial" w:cs="Arial"/>
                <w:sz w:val="18"/>
                <w:szCs w:val="18"/>
              </w:rPr>
              <w:t>52</w:t>
            </w:r>
          </w:p>
        </w:tc>
      </w:tr>
    </w:tbl>
    <w:p w14:paraId="1C038998" w14:textId="77777777" w:rsidR="00D1587D" w:rsidRDefault="00D1587D">
      <w:pPr>
        <w:spacing w:line="188" w:lineRule="exact"/>
        <w:rPr>
          <w:sz w:val="20"/>
          <w:szCs w:val="20"/>
        </w:rPr>
      </w:pPr>
    </w:p>
    <w:p w14:paraId="4EC252E0" w14:textId="77777777" w:rsidR="00D1587D" w:rsidRDefault="00410D07">
      <w:pPr>
        <w:ind w:right="40"/>
        <w:jc w:val="center"/>
        <w:rPr>
          <w:sz w:val="20"/>
          <w:szCs w:val="20"/>
        </w:rPr>
      </w:pPr>
      <w:r>
        <w:rPr>
          <w:rFonts w:ascii="Arial" w:eastAsia="Arial" w:hAnsi="Arial" w:cs="Arial"/>
          <w:sz w:val="18"/>
          <w:szCs w:val="18"/>
        </w:rPr>
        <w:t>ii</w:t>
      </w:r>
    </w:p>
    <w:p w14:paraId="0FF2403B" w14:textId="77777777" w:rsidR="00D1587D" w:rsidRDefault="00410D07">
      <w:pPr>
        <w:spacing w:line="20" w:lineRule="exact"/>
        <w:rPr>
          <w:sz w:val="20"/>
          <w:szCs w:val="20"/>
        </w:rPr>
      </w:pPr>
      <w:r>
        <w:rPr>
          <w:noProof/>
          <w:sz w:val="20"/>
          <w:szCs w:val="20"/>
        </w:rPr>
        <w:drawing>
          <wp:anchor distT="0" distB="0" distL="114300" distR="114300" simplePos="0" relativeHeight="251152384" behindDoc="1" locked="0" layoutInCell="0" allowOverlap="1" wp14:anchorId="349C8F7F" wp14:editId="7539BF78">
            <wp:simplePos x="0" y="0"/>
            <wp:positionH relativeFrom="column">
              <wp:posOffset>5080</wp:posOffset>
            </wp:positionH>
            <wp:positionV relativeFrom="paragraph">
              <wp:posOffset>48895</wp:posOffset>
            </wp:positionV>
            <wp:extent cx="7132320" cy="1714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B96DDA4" w14:textId="77777777" w:rsidR="00D1587D" w:rsidRDefault="00D1587D">
      <w:pPr>
        <w:sectPr w:rsidR="00D1587D">
          <w:pgSz w:w="11900" w:h="16838"/>
          <w:pgMar w:top="368" w:right="339" w:bottom="1440" w:left="320" w:header="0" w:footer="0" w:gutter="0"/>
          <w:cols w:space="720" w:equalWidth="0">
            <w:col w:w="11240"/>
          </w:cols>
        </w:sectPr>
      </w:pPr>
    </w:p>
    <w:tbl>
      <w:tblPr>
        <w:tblW w:w="0" w:type="auto"/>
        <w:tblLayout w:type="fixed"/>
        <w:tblCellMar>
          <w:left w:w="0" w:type="dxa"/>
          <w:right w:w="0" w:type="dxa"/>
        </w:tblCellMar>
        <w:tblLook w:val="04A0" w:firstRow="1" w:lastRow="0" w:firstColumn="1" w:lastColumn="0" w:noHBand="0" w:noVBand="1"/>
      </w:tblPr>
      <w:tblGrid>
        <w:gridCol w:w="640"/>
        <w:gridCol w:w="40"/>
        <w:gridCol w:w="30"/>
        <w:gridCol w:w="20"/>
        <w:gridCol w:w="20"/>
        <w:gridCol w:w="120"/>
        <w:gridCol w:w="20"/>
        <w:gridCol w:w="140"/>
        <w:gridCol w:w="20"/>
        <w:gridCol w:w="60"/>
        <w:gridCol w:w="120"/>
        <w:gridCol w:w="30"/>
        <w:gridCol w:w="20"/>
        <w:gridCol w:w="20"/>
        <w:gridCol w:w="220"/>
        <w:gridCol w:w="9740"/>
      </w:tblGrid>
      <w:tr w:rsidR="00D1587D" w14:paraId="4FCE6291" w14:textId="77777777">
        <w:trPr>
          <w:trHeight w:val="207"/>
        </w:trPr>
        <w:tc>
          <w:tcPr>
            <w:tcW w:w="1100" w:type="dxa"/>
            <w:gridSpan w:val="10"/>
            <w:tcBorders>
              <w:bottom w:val="single" w:sz="8" w:space="0" w:color="auto"/>
            </w:tcBorders>
            <w:vAlign w:val="bottom"/>
          </w:tcPr>
          <w:p w14:paraId="45C1BDFC" w14:textId="77777777" w:rsidR="00D1587D" w:rsidRDefault="00410D07">
            <w:pPr>
              <w:rPr>
                <w:sz w:val="20"/>
                <w:szCs w:val="20"/>
              </w:rPr>
            </w:pPr>
            <w:bookmarkStart w:id="8" w:name="page9"/>
            <w:bookmarkEnd w:id="8"/>
            <w:r>
              <w:rPr>
                <w:rFonts w:ascii="Arial" w:eastAsia="Arial" w:hAnsi="Arial" w:cs="Arial"/>
                <w:b/>
                <w:bCs/>
                <w:w w:val="97"/>
                <w:sz w:val="18"/>
                <w:szCs w:val="18"/>
              </w:rPr>
              <w:t>SCHEDULES</w:t>
            </w:r>
          </w:p>
        </w:tc>
        <w:tc>
          <w:tcPr>
            <w:tcW w:w="120" w:type="dxa"/>
            <w:vAlign w:val="bottom"/>
          </w:tcPr>
          <w:p w14:paraId="34A24B7B" w14:textId="77777777" w:rsidR="00D1587D" w:rsidRDefault="00D1587D">
            <w:pPr>
              <w:rPr>
                <w:sz w:val="17"/>
                <w:szCs w:val="17"/>
              </w:rPr>
            </w:pPr>
          </w:p>
        </w:tc>
        <w:tc>
          <w:tcPr>
            <w:tcW w:w="20" w:type="dxa"/>
            <w:vAlign w:val="bottom"/>
          </w:tcPr>
          <w:p w14:paraId="51368CD8" w14:textId="77777777" w:rsidR="00D1587D" w:rsidRDefault="00D1587D">
            <w:pPr>
              <w:rPr>
                <w:sz w:val="17"/>
                <w:szCs w:val="17"/>
              </w:rPr>
            </w:pPr>
          </w:p>
        </w:tc>
        <w:tc>
          <w:tcPr>
            <w:tcW w:w="20" w:type="dxa"/>
            <w:vAlign w:val="bottom"/>
          </w:tcPr>
          <w:p w14:paraId="34C6082C" w14:textId="77777777" w:rsidR="00D1587D" w:rsidRDefault="00D1587D">
            <w:pPr>
              <w:rPr>
                <w:sz w:val="17"/>
                <w:szCs w:val="17"/>
              </w:rPr>
            </w:pPr>
          </w:p>
        </w:tc>
        <w:tc>
          <w:tcPr>
            <w:tcW w:w="20" w:type="dxa"/>
            <w:vAlign w:val="bottom"/>
          </w:tcPr>
          <w:p w14:paraId="2C344153" w14:textId="77777777" w:rsidR="00D1587D" w:rsidRDefault="00D1587D">
            <w:pPr>
              <w:rPr>
                <w:sz w:val="17"/>
                <w:szCs w:val="17"/>
              </w:rPr>
            </w:pPr>
          </w:p>
        </w:tc>
        <w:tc>
          <w:tcPr>
            <w:tcW w:w="220" w:type="dxa"/>
            <w:vAlign w:val="bottom"/>
          </w:tcPr>
          <w:p w14:paraId="6BBACF9D" w14:textId="77777777" w:rsidR="00D1587D" w:rsidRDefault="00D1587D">
            <w:pPr>
              <w:rPr>
                <w:sz w:val="17"/>
                <w:szCs w:val="17"/>
              </w:rPr>
            </w:pPr>
          </w:p>
        </w:tc>
        <w:tc>
          <w:tcPr>
            <w:tcW w:w="9740" w:type="dxa"/>
            <w:vAlign w:val="bottom"/>
          </w:tcPr>
          <w:p w14:paraId="78BB984B" w14:textId="77777777" w:rsidR="00D1587D" w:rsidRDefault="00D1587D">
            <w:pPr>
              <w:rPr>
                <w:sz w:val="17"/>
                <w:szCs w:val="17"/>
              </w:rPr>
            </w:pPr>
          </w:p>
        </w:tc>
      </w:tr>
      <w:tr w:rsidR="00D1587D" w14:paraId="11E7D5A5" w14:textId="77777777">
        <w:trPr>
          <w:trHeight w:val="412"/>
        </w:trPr>
        <w:tc>
          <w:tcPr>
            <w:tcW w:w="1500" w:type="dxa"/>
            <w:gridSpan w:val="15"/>
            <w:vAlign w:val="bottom"/>
          </w:tcPr>
          <w:p w14:paraId="3BA82F1D" w14:textId="77777777" w:rsidR="00D1587D" w:rsidRDefault="00410D07">
            <w:pPr>
              <w:rPr>
                <w:sz w:val="20"/>
                <w:szCs w:val="20"/>
              </w:rPr>
            </w:pPr>
            <w:r>
              <w:rPr>
                <w:rFonts w:ascii="Arial" w:eastAsia="Arial" w:hAnsi="Arial" w:cs="Arial"/>
                <w:sz w:val="18"/>
                <w:szCs w:val="18"/>
              </w:rPr>
              <w:t>Schedule 1.01(a)</w:t>
            </w:r>
          </w:p>
        </w:tc>
        <w:tc>
          <w:tcPr>
            <w:tcW w:w="9740" w:type="dxa"/>
            <w:vAlign w:val="bottom"/>
          </w:tcPr>
          <w:p w14:paraId="3E244E97" w14:textId="77777777" w:rsidR="00D1587D" w:rsidRDefault="00410D07">
            <w:pPr>
              <w:ind w:left="200"/>
              <w:rPr>
                <w:sz w:val="20"/>
                <w:szCs w:val="20"/>
              </w:rPr>
            </w:pPr>
            <w:r>
              <w:rPr>
                <w:rFonts w:ascii="Arial" w:eastAsia="Arial" w:hAnsi="Arial" w:cs="Arial"/>
                <w:sz w:val="18"/>
                <w:szCs w:val="18"/>
              </w:rPr>
              <w:t>Specified VS Aircraft</w:t>
            </w:r>
          </w:p>
        </w:tc>
      </w:tr>
      <w:tr w:rsidR="00D1587D" w14:paraId="02833130" w14:textId="77777777">
        <w:trPr>
          <w:trHeight w:val="20"/>
        </w:trPr>
        <w:tc>
          <w:tcPr>
            <w:tcW w:w="640" w:type="dxa"/>
            <w:shd w:val="clear" w:color="auto" w:fill="000000"/>
            <w:vAlign w:val="bottom"/>
          </w:tcPr>
          <w:p w14:paraId="05FBC5CE" w14:textId="77777777" w:rsidR="00D1587D" w:rsidRDefault="00D1587D">
            <w:pPr>
              <w:spacing w:line="20" w:lineRule="exact"/>
              <w:rPr>
                <w:sz w:val="1"/>
                <w:szCs w:val="1"/>
              </w:rPr>
            </w:pPr>
          </w:p>
        </w:tc>
        <w:tc>
          <w:tcPr>
            <w:tcW w:w="40" w:type="dxa"/>
            <w:tcBorders>
              <w:right w:val="single" w:sz="8" w:space="0" w:color="auto"/>
            </w:tcBorders>
            <w:shd w:val="clear" w:color="auto" w:fill="000000"/>
            <w:vAlign w:val="bottom"/>
          </w:tcPr>
          <w:p w14:paraId="26E01F6B" w14:textId="77777777" w:rsidR="00D1587D" w:rsidRDefault="00D1587D">
            <w:pPr>
              <w:spacing w:line="20" w:lineRule="exact"/>
              <w:rPr>
                <w:sz w:val="1"/>
                <w:szCs w:val="1"/>
              </w:rPr>
            </w:pPr>
          </w:p>
        </w:tc>
        <w:tc>
          <w:tcPr>
            <w:tcW w:w="20" w:type="dxa"/>
            <w:shd w:val="clear" w:color="auto" w:fill="000000"/>
            <w:vAlign w:val="bottom"/>
          </w:tcPr>
          <w:p w14:paraId="7F220C75" w14:textId="77777777" w:rsidR="00D1587D" w:rsidRDefault="00D1587D">
            <w:pPr>
              <w:spacing w:line="20" w:lineRule="exact"/>
              <w:rPr>
                <w:sz w:val="1"/>
                <w:szCs w:val="1"/>
              </w:rPr>
            </w:pPr>
          </w:p>
        </w:tc>
        <w:tc>
          <w:tcPr>
            <w:tcW w:w="20" w:type="dxa"/>
            <w:shd w:val="clear" w:color="auto" w:fill="000000"/>
            <w:vAlign w:val="bottom"/>
          </w:tcPr>
          <w:p w14:paraId="5844D45F" w14:textId="77777777" w:rsidR="00D1587D" w:rsidRDefault="00D1587D">
            <w:pPr>
              <w:spacing w:line="20" w:lineRule="exact"/>
              <w:rPr>
                <w:sz w:val="1"/>
                <w:szCs w:val="1"/>
              </w:rPr>
            </w:pPr>
          </w:p>
        </w:tc>
        <w:tc>
          <w:tcPr>
            <w:tcW w:w="20" w:type="dxa"/>
            <w:shd w:val="clear" w:color="auto" w:fill="000000"/>
            <w:vAlign w:val="bottom"/>
          </w:tcPr>
          <w:p w14:paraId="639421B1" w14:textId="77777777" w:rsidR="00D1587D" w:rsidRDefault="00D1587D">
            <w:pPr>
              <w:spacing w:line="20" w:lineRule="exact"/>
              <w:rPr>
                <w:sz w:val="1"/>
                <w:szCs w:val="1"/>
              </w:rPr>
            </w:pPr>
          </w:p>
        </w:tc>
        <w:tc>
          <w:tcPr>
            <w:tcW w:w="120" w:type="dxa"/>
            <w:shd w:val="clear" w:color="auto" w:fill="000000"/>
            <w:vAlign w:val="bottom"/>
          </w:tcPr>
          <w:p w14:paraId="44DD73B1" w14:textId="77777777" w:rsidR="00D1587D" w:rsidRDefault="00D1587D">
            <w:pPr>
              <w:spacing w:line="20" w:lineRule="exact"/>
              <w:rPr>
                <w:sz w:val="1"/>
                <w:szCs w:val="1"/>
              </w:rPr>
            </w:pPr>
          </w:p>
        </w:tc>
        <w:tc>
          <w:tcPr>
            <w:tcW w:w="20" w:type="dxa"/>
            <w:shd w:val="clear" w:color="auto" w:fill="000000"/>
            <w:vAlign w:val="bottom"/>
          </w:tcPr>
          <w:p w14:paraId="7EAC38D2" w14:textId="77777777" w:rsidR="00D1587D" w:rsidRDefault="00D1587D">
            <w:pPr>
              <w:spacing w:line="20" w:lineRule="exact"/>
              <w:rPr>
                <w:sz w:val="1"/>
                <w:szCs w:val="1"/>
              </w:rPr>
            </w:pPr>
          </w:p>
        </w:tc>
        <w:tc>
          <w:tcPr>
            <w:tcW w:w="140" w:type="dxa"/>
            <w:shd w:val="clear" w:color="auto" w:fill="000000"/>
            <w:vAlign w:val="bottom"/>
          </w:tcPr>
          <w:p w14:paraId="300CC33B" w14:textId="77777777" w:rsidR="00D1587D" w:rsidRDefault="00D1587D">
            <w:pPr>
              <w:spacing w:line="20" w:lineRule="exact"/>
              <w:rPr>
                <w:sz w:val="1"/>
                <w:szCs w:val="1"/>
              </w:rPr>
            </w:pPr>
          </w:p>
        </w:tc>
        <w:tc>
          <w:tcPr>
            <w:tcW w:w="20" w:type="dxa"/>
            <w:shd w:val="clear" w:color="auto" w:fill="000000"/>
            <w:vAlign w:val="bottom"/>
          </w:tcPr>
          <w:p w14:paraId="74AA7A7C" w14:textId="77777777" w:rsidR="00D1587D" w:rsidRDefault="00D1587D">
            <w:pPr>
              <w:spacing w:line="20" w:lineRule="exact"/>
              <w:rPr>
                <w:sz w:val="1"/>
                <w:szCs w:val="1"/>
              </w:rPr>
            </w:pPr>
          </w:p>
        </w:tc>
        <w:tc>
          <w:tcPr>
            <w:tcW w:w="180" w:type="dxa"/>
            <w:gridSpan w:val="2"/>
            <w:tcBorders>
              <w:right w:val="single" w:sz="8" w:space="0" w:color="auto"/>
            </w:tcBorders>
            <w:shd w:val="clear" w:color="auto" w:fill="000000"/>
            <w:vAlign w:val="bottom"/>
          </w:tcPr>
          <w:p w14:paraId="4B29CEE6" w14:textId="77777777" w:rsidR="00D1587D" w:rsidRDefault="00D1587D">
            <w:pPr>
              <w:spacing w:line="20" w:lineRule="exact"/>
              <w:rPr>
                <w:sz w:val="1"/>
                <w:szCs w:val="1"/>
              </w:rPr>
            </w:pPr>
          </w:p>
        </w:tc>
        <w:tc>
          <w:tcPr>
            <w:tcW w:w="20" w:type="dxa"/>
            <w:vAlign w:val="bottom"/>
          </w:tcPr>
          <w:p w14:paraId="1DF31E1B" w14:textId="77777777" w:rsidR="00D1587D" w:rsidRDefault="00D1587D">
            <w:pPr>
              <w:spacing w:line="20" w:lineRule="exact"/>
              <w:rPr>
                <w:sz w:val="1"/>
                <w:szCs w:val="1"/>
              </w:rPr>
            </w:pPr>
          </w:p>
        </w:tc>
        <w:tc>
          <w:tcPr>
            <w:tcW w:w="20" w:type="dxa"/>
            <w:vAlign w:val="bottom"/>
          </w:tcPr>
          <w:p w14:paraId="12D6AF67" w14:textId="77777777" w:rsidR="00D1587D" w:rsidRDefault="00D1587D">
            <w:pPr>
              <w:spacing w:line="20" w:lineRule="exact"/>
              <w:rPr>
                <w:sz w:val="1"/>
                <w:szCs w:val="1"/>
              </w:rPr>
            </w:pPr>
          </w:p>
        </w:tc>
        <w:tc>
          <w:tcPr>
            <w:tcW w:w="20" w:type="dxa"/>
            <w:vAlign w:val="bottom"/>
          </w:tcPr>
          <w:p w14:paraId="5113C1BB" w14:textId="77777777" w:rsidR="00D1587D" w:rsidRDefault="00D1587D">
            <w:pPr>
              <w:spacing w:line="20" w:lineRule="exact"/>
              <w:rPr>
                <w:sz w:val="1"/>
                <w:szCs w:val="1"/>
              </w:rPr>
            </w:pPr>
          </w:p>
        </w:tc>
        <w:tc>
          <w:tcPr>
            <w:tcW w:w="220" w:type="dxa"/>
            <w:vAlign w:val="bottom"/>
          </w:tcPr>
          <w:p w14:paraId="7DFC0F6D" w14:textId="77777777" w:rsidR="00D1587D" w:rsidRDefault="00D1587D">
            <w:pPr>
              <w:spacing w:line="20" w:lineRule="exact"/>
              <w:rPr>
                <w:sz w:val="1"/>
                <w:szCs w:val="1"/>
              </w:rPr>
            </w:pPr>
          </w:p>
        </w:tc>
        <w:tc>
          <w:tcPr>
            <w:tcW w:w="9740" w:type="dxa"/>
            <w:vAlign w:val="bottom"/>
          </w:tcPr>
          <w:p w14:paraId="49E8C966" w14:textId="77777777" w:rsidR="00D1587D" w:rsidRDefault="00D1587D">
            <w:pPr>
              <w:spacing w:line="20" w:lineRule="exact"/>
              <w:rPr>
                <w:sz w:val="1"/>
                <w:szCs w:val="1"/>
              </w:rPr>
            </w:pPr>
          </w:p>
        </w:tc>
      </w:tr>
      <w:tr w:rsidR="00D1587D" w14:paraId="12EFCDB6" w14:textId="77777777">
        <w:trPr>
          <w:trHeight w:val="196"/>
        </w:trPr>
        <w:tc>
          <w:tcPr>
            <w:tcW w:w="1240" w:type="dxa"/>
            <w:gridSpan w:val="12"/>
            <w:tcBorders>
              <w:bottom w:val="single" w:sz="8" w:space="0" w:color="auto"/>
            </w:tcBorders>
            <w:vAlign w:val="bottom"/>
          </w:tcPr>
          <w:p w14:paraId="7E02BDD3" w14:textId="77777777" w:rsidR="00D1587D" w:rsidRDefault="00410D07">
            <w:pPr>
              <w:spacing w:line="196" w:lineRule="exact"/>
              <w:rPr>
                <w:sz w:val="20"/>
                <w:szCs w:val="20"/>
              </w:rPr>
            </w:pPr>
            <w:r>
              <w:rPr>
                <w:rFonts w:ascii="Arial" w:eastAsia="Arial" w:hAnsi="Arial" w:cs="Arial"/>
                <w:w w:val="88"/>
                <w:sz w:val="18"/>
                <w:szCs w:val="18"/>
              </w:rPr>
              <w:t>Schedule 1.01(b)</w:t>
            </w:r>
          </w:p>
        </w:tc>
        <w:tc>
          <w:tcPr>
            <w:tcW w:w="260" w:type="dxa"/>
            <w:gridSpan w:val="3"/>
            <w:vAlign w:val="bottom"/>
          </w:tcPr>
          <w:p w14:paraId="4A393B1E" w14:textId="77777777" w:rsidR="00D1587D" w:rsidRDefault="00D1587D">
            <w:pPr>
              <w:rPr>
                <w:sz w:val="17"/>
                <w:szCs w:val="17"/>
              </w:rPr>
            </w:pPr>
          </w:p>
        </w:tc>
        <w:tc>
          <w:tcPr>
            <w:tcW w:w="9740" w:type="dxa"/>
            <w:vAlign w:val="bottom"/>
          </w:tcPr>
          <w:p w14:paraId="109DDB39" w14:textId="77777777" w:rsidR="00D1587D" w:rsidRDefault="00410D07">
            <w:pPr>
              <w:spacing w:line="196" w:lineRule="exact"/>
              <w:ind w:left="200"/>
              <w:rPr>
                <w:sz w:val="20"/>
                <w:szCs w:val="20"/>
              </w:rPr>
            </w:pPr>
            <w:r>
              <w:rPr>
                <w:rFonts w:ascii="Arial" w:eastAsia="Arial" w:hAnsi="Arial" w:cs="Arial"/>
                <w:sz w:val="18"/>
                <w:szCs w:val="18"/>
              </w:rPr>
              <w:t>Specified L Brands Assets</w:t>
            </w:r>
          </w:p>
        </w:tc>
      </w:tr>
      <w:tr w:rsidR="00D1587D" w14:paraId="75FC26EF" w14:textId="77777777">
        <w:trPr>
          <w:trHeight w:val="196"/>
        </w:trPr>
        <w:tc>
          <w:tcPr>
            <w:tcW w:w="1500" w:type="dxa"/>
            <w:gridSpan w:val="15"/>
            <w:vAlign w:val="bottom"/>
          </w:tcPr>
          <w:p w14:paraId="14B374D8" w14:textId="77777777" w:rsidR="00D1587D" w:rsidRDefault="00410D07">
            <w:pPr>
              <w:spacing w:line="196" w:lineRule="exact"/>
              <w:rPr>
                <w:sz w:val="20"/>
                <w:szCs w:val="20"/>
              </w:rPr>
            </w:pPr>
            <w:r>
              <w:rPr>
                <w:rFonts w:ascii="Arial" w:eastAsia="Arial" w:hAnsi="Arial" w:cs="Arial"/>
                <w:sz w:val="18"/>
                <w:szCs w:val="18"/>
              </w:rPr>
              <w:t>Schedule 1.01(c)</w:t>
            </w:r>
          </w:p>
        </w:tc>
        <w:tc>
          <w:tcPr>
            <w:tcW w:w="9740" w:type="dxa"/>
            <w:vAlign w:val="bottom"/>
          </w:tcPr>
          <w:p w14:paraId="43963F03" w14:textId="77777777" w:rsidR="00D1587D" w:rsidRDefault="00410D07">
            <w:pPr>
              <w:spacing w:line="196" w:lineRule="exact"/>
              <w:ind w:left="200"/>
              <w:rPr>
                <w:sz w:val="20"/>
                <w:szCs w:val="20"/>
              </w:rPr>
            </w:pPr>
            <w:r>
              <w:rPr>
                <w:rFonts w:ascii="Arial" w:eastAsia="Arial" w:hAnsi="Arial" w:cs="Arial"/>
                <w:sz w:val="18"/>
                <w:szCs w:val="18"/>
              </w:rPr>
              <w:t>Specified L Brands Liabilities</w:t>
            </w:r>
          </w:p>
        </w:tc>
      </w:tr>
      <w:tr w:rsidR="00D1587D" w14:paraId="56004757" w14:textId="77777777">
        <w:trPr>
          <w:trHeight w:val="20"/>
        </w:trPr>
        <w:tc>
          <w:tcPr>
            <w:tcW w:w="640" w:type="dxa"/>
            <w:shd w:val="clear" w:color="auto" w:fill="000000"/>
            <w:vAlign w:val="bottom"/>
          </w:tcPr>
          <w:p w14:paraId="656E9EA6" w14:textId="77777777" w:rsidR="00D1587D" w:rsidRDefault="00D1587D">
            <w:pPr>
              <w:spacing w:line="20" w:lineRule="exact"/>
              <w:rPr>
                <w:sz w:val="1"/>
                <w:szCs w:val="1"/>
              </w:rPr>
            </w:pPr>
          </w:p>
        </w:tc>
        <w:tc>
          <w:tcPr>
            <w:tcW w:w="40" w:type="dxa"/>
            <w:tcBorders>
              <w:right w:val="single" w:sz="8" w:space="0" w:color="auto"/>
            </w:tcBorders>
            <w:shd w:val="clear" w:color="auto" w:fill="000000"/>
            <w:vAlign w:val="bottom"/>
          </w:tcPr>
          <w:p w14:paraId="5FC94202" w14:textId="77777777" w:rsidR="00D1587D" w:rsidRDefault="00D1587D">
            <w:pPr>
              <w:spacing w:line="20" w:lineRule="exact"/>
              <w:rPr>
                <w:sz w:val="1"/>
                <w:szCs w:val="1"/>
              </w:rPr>
            </w:pPr>
          </w:p>
        </w:tc>
        <w:tc>
          <w:tcPr>
            <w:tcW w:w="20" w:type="dxa"/>
            <w:shd w:val="clear" w:color="auto" w:fill="000000"/>
            <w:vAlign w:val="bottom"/>
          </w:tcPr>
          <w:p w14:paraId="46F642A8" w14:textId="77777777" w:rsidR="00D1587D" w:rsidRDefault="00D1587D">
            <w:pPr>
              <w:spacing w:line="20" w:lineRule="exact"/>
              <w:rPr>
                <w:sz w:val="1"/>
                <w:szCs w:val="1"/>
              </w:rPr>
            </w:pPr>
          </w:p>
        </w:tc>
        <w:tc>
          <w:tcPr>
            <w:tcW w:w="20" w:type="dxa"/>
            <w:shd w:val="clear" w:color="auto" w:fill="000000"/>
            <w:vAlign w:val="bottom"/>
          </w:tcPr>
          <w:p w14:paraId="70681180" w14:textId="77777777" w:rsidR="00D1587D" w:rsidRDefault="00D1587D">
            <w:pPr>
              <w:spacing w:line="20" w:lineRule="exact"/>
              <w:rPr>
                <w:sz w:val="1"/>
                <w:szCs w:val="1"/>
              </w:rPr>
            </w:pPr>
          </w:p>
        </w:tc>
        <w:tc>
          <w:tcPr>
            <w:tcW w:w="20" w:type="dxa"/>
            <w:shd w:val="clear" w:color="auto" w:fill="000000"/>
            <w:vAlign w:val="bottom"/>
          </w:tcPr>
          <w:p w14:paraId="63745FF9" w14:textId="77777777" w:rsidR="00D1587D" w:rsidRDefault="00D1587D">
            <w:pPr>
              <w:spacing w:line="20" w:lineRule="exact"/>
              <w:rPr>
                <w:sz w:val="1"/>
                <w:szCs w:val="1"/>
              </w:rPr>
            </w:pPr>
          </w:p>
        </w:tc>
        <w:tc>
          <w:tcPr>
            <w:tcW w:w="120" w:type="dxa"/>
            <w:shd w:val="clear" w:color="auto" w:fill="000000"/>
            <w:vAlign w:val="bottom"/>
          </w:tcPr>
          <w:p w14:paraId="0292B2B2" w14:textId="77777777" w:rsidR="00D1587D" w:rsidRDefault="00D1587D">
            <w:pPr>
              <w:spacing w:line="20" w:lineRule="exact"/>
              <w:rPr>
                <w:sz w:val="1"/>
                <w:szCs w:val="1"/>
              </w:rPr>
            </w:pPr>
          </w:p>
        </w:tc>
        <w:tc>
          <w:tcPr>
            <w:tcW w:w="20" w:type="dxa"/>
            <w:shd w:val="clear" w:color="auto" w:fill="000000"/>
            <w:vAlign w:val="bottom"/>
          </w:tcPr>
          <w:p w14:paraId="50DE04F8" w14:textId="77777777" w:rsidR="00D1587D" w:rsidRDefault="00D1587D">
            <w:pPr>
              <w:spacing w:line="20" w:lineRule="exact"/>
              <w:rPr>
                <w:sz w:val="1"/>
                <w:szCs w:val="1"/>
              </w:rPr>
            </w:pPr>
          </w:p>
        </w:tc>
        <w:tc>
          <w:tcPr>
            <w:tcW w:w="140" w:type="dxa"/>
            <w:shd w:val="clear" w:color="auto" w:fill="000000"/>
            <w:vAlign w:val="bottom"/>
          </w:tcPr>
          <w:p w14:paraId="707181AC" w14:textId="77777777" w:rsidR="00D1587D" w:rsidRDefault="00D1587D">
            <w:pPr>
              <w:spacing w:line="20" w:lineRule="exact"/>
              <w:rPr>
                <w:sz w:val="1"/>
                <w:szCs w:val="1"/>
              </w:rPr>
            </w:pPr>
          </w:p>
        </w:tc>
        <w:tc>
          <w:tcPr>
            <w:tcW w:w="20" w:type="dxa"/>
            <w:shd w:val="clear" w:color="auto" w:fill="000000"/>
            <w:vAlign w:val="bottom"/>
          </w:tcPr>
          <w:p w14:paraId="4D88A3B0" w14:textId="77777777" w:rsidR="00D1587D" w:rsidRDefault="00D1587D">
            <w:pPr>
              <w:spacing w:line="20" w:lineRule="exact"/>
              <w:rPr>
                <w:sz w:val="1"/>
                <w:szCs w:val="1"/>
              </w:rPr>
            </w:pPr>
          </w:p>
        </w:tc>
        <w:tc>
          <w:tcPr>
            <w:tcW w:w="180" w:type="dxa"/>
            <w:gridSpan w:val="2"/>
            <w:tcBorders>
              <w:right w:val="single" w:sz="8" w:space="0" w:color="auto"/>
            </w:tcBorders>
            <w:shd w:val="clear" w:color="auto" w:fill="000000"/>
            <w:vAlign w:val="bottom"/>
          </w:tcPr>
          <w:p w14:paraId="0DFC68B0" w14:textId="77777777" w:rsidR="00D1587D" w:rsidRDefault="00D1587D">
            <w:pPr>
              <w:spacing w:line="20" w:lineRule="exact"/>
              <w:rPr>
                <w:sz w:val="1"/>
                <w:szCs w:val="1"/>
              </w:rPr>
            </w:pPr>
          </w:p>
        </w:tc>
        <w:tc>
          <w:tcPr>
            <w:tcW w:w="40" w:type="dxa"/>
            <w:gridSpan w:val="2"/>
            <w:vAlign w:val="bottom"/>
          </w:tcPr>
          <w:p w14:paraId="2748E1EF" w14:textId="77777777" w:rsidR="00D1587D" w:rsidRDefault="00D1587D">
            <w:pPr>
              <w:spacing w:line="20" w:lineRule="exact"/>
              <w:rPr>
                <w:sz w:val="1"/>
                <w:szCs w:val="1"/>
              </w:rPr>
            </w:pPr>
          </w:p>
        </w:tc>
        <w:tc>
          <w:tcPr>
            <w:tcW w:w="20" w:type="dxa"/>
            <w:vAlign w:val="bottom"/>
          </w:tcPr>
          <w:p w14:paraId="321057EE" w14:textId="77777777" w:rsidR="00D1587D" w:rsidRDefault="00D1587D">
            <w:pPr>
              <w:spacing w:line="20" w:lineRule="exact"/>
              <w:rPr>
                <w:sz w:val="1"/>
                <w:szCs w:val="1"/>
              </w:rPr>
            </w:pPr>
          </w:p>
        </w:tc>
        <w:tc>
          <w:tcPr>
            <w:tcW w:w="220" w:type="dxa"/>
            <w:vAlign w:val="bottom"/>
          </w:tcPr>
          <w:p w14:paraId="380A1197" w14:textId="77777777" w:rsidR="00D1587D" w:rsidRDefault="00D1587D">
            <w:pPr>
              <w:spacing w:line="20" w:lineRule="exact"/>
              <w:rPr>
                <w:sz w:val="1"/>
                <w:szCs w:val="1"/>
              </w:rPr>
            </w:pPr>
          </w:p>
        </w:tc>
        <w:tc>
          <w:tcPr>
            <w:tcW w:w="9740" w:type="dxa"/>
            <w:vAlign w:val="bottom"/>
          </w:tcPr>
          <w:p w14:paraId="7551964F" w14:textId="77777777" w:rsidR="00D1587D" w:rsidRDefault="00D1587D">
            <w:pPr>
              <w:spacing w:line="20" w:lineRule="exact"/>
              <w:rPr>
                <w:sz w:val="1"/>
                <w:szCs w:val="1"/>
              </w:rPr>
            </w:pPr>
          </w:p>
        </w:tc>
      </w:tr>
      <w:tr w:rsidR="00D1587D" w14:paraId="0802EAFC" w14:textId="77777777">
        <w:trPr>
          <w:trHeight w:val="196"/>
        </w:trPr>
        <w:tc>
          <w:tcPr>
            <w:tcW w:w="1240" w:type="dxa"/>
            <w:gridSpan w:val="12"/>
            <w:tcBorders>
              <w:bottom w:val="single" w:sz="8" w:space="0" w:color="auto"/>
            </w:tcBorders>
            <w:vAlign w:val="bottom"/>
          </w:tcPr>
          <w:p w14:paraId="63BDAB25" w14:textId="77777777" w:rsidR="00D1587D" w:rsidRDefault="00410D07">
            <w:pPr>
              <w:spacing w:line="196" w:lineRule="exact"/>
              <w:rPr>
                <w:sz w:val="20"/>
                <w:szCs w:val="20"/>
              </w:rPr>
            </w:pPr>
            <w:r>
              <w:rPr>
                <w:rFonts w:ascii="Arial" w:eastAsia="Arial" w:hAnsi="Arial" w:cs="Arial"/>
                <w:w w:val="88"/>
                <w:sz w:val="18"/>
                <w:szCs w:val="18"/>
              </w:rPr>
              <w:t>Schedule 1.01(d)</w:t>
            </w:r>
          </w:p>
        </w:tc>
        <w:tc>
          <w:tcPr>
            <w:tcW w:w="260" w:type="dxa"/>
            <w:gridSpan w:val="3"/>
            <w:vAlign w:val="bottom"/>
          </w:tcPr>
          <w:p w14:paraId="7E5BA2C6" w14:textId="77777777" w:rsidR="00D1587D" w:rsidRDefault="00D1587D">
            <w:pPr>
              <w:rPr>
                <w:sz w:val="17"/>
                <w:szCs w:val="17"/>
              </w:rPr>
            </w:pPr>
          </w:p>
        </w:tc>
        <w:tc>
          <w:tcPr>
            <w:tcW w:w="9740" w:type="dxa"/>
            <w:vAlign w:val="bottom"/>
          </w:tcPr>
          <w:p w14:paraId="1C807B32" w14:textId="77777777" w:rsidR="00D1587D" w:rsidRDefault="00410D07">
            <w:pPr>
              <w:spacing w:line="196" w:lineRule="exact"/>
              <w:ind w:left="200"/>
              <w:rPr>
                <w:sz w:val="20"/>
                <w:szCs w:val="20"/>
              </w:rPr>
            </w:pPr>
            <w:r>
              <w:rPr>
                <w:rFonts w:ascii="Arial" w:eastAsia="Arial" w:hAnsi="Arial" w:cs="Arial"/>
                <w:sz w:val="18"/>
                <w:szCs w:val="18"/>
              </w:rPr>
              <w:t>Specified L Brands IT Assets</w:t>
            </w:r>
          </w:p>
        </w:tc>
      </w:tr>
      <w:tr w:rsidR="00D1587D" w14:paraId="2C46A962" w14:textId="77777777">
        <w:trPr>
          <w:trHeight w:val="196"/>
        </w:trPr>
        <w:tc>
          <w:tcPr>
            <w:tcW w:w="1260" w:type="dxa"/>
            <w:gridSpan w:val="13"/>
            <w:tcBorders>
              <w:bottom w:val="single" w:sz="8" w:space="0" w:color="auto"/>
            </w:tcBorders>
            <w:vAlign w:val="bottom"/>
          </w:tcPr>
          <w:p w14:paraId="72FD7366" w14:textId="77777777" w:rsidR="00D1587D" w:rsidRDefault="00410D07">
            <w:pPr>
              <w:spacing w:line="196" w:lineRule="exact"/>
              <w:rPr>
                <w:sz w:val="20"/>
                <w:szCs w:val="20"/>
              </w:rPr>
            </w:pPr>
            <w:r>
              <w:rPr>
                <w:rFonts w:ascii="Arial" w:eastAsia="Arial" w:hAnsi="Arial" w:cs="Arial"/>
                <w:w w:val="90"/>
                <w:sz w:val="18"/>
                <w:szCs w:val="18"/>
              </w:rPr>
              <w:t>Schedule 1.01(e)</w:t>
            </w:r>
          </w:p>
        </w:tc>
        <w:tc>
          <w:tcPr>
            <w:tcW w:w="240" w:type="dxa"/>
            <w:gridSpan w:val="2"/>
            <w:vAlign w:val="bottom"/>
          </w:tcPr>
          <w:p w14:paraId="0041168E" w14:textId="77777777" w:rsidR="00D1587D" w:rsidRDefault="00D1587D">
            <w:pPr>
              <w:rPr>
                <w:sz w:val="17"/>
                <w:szCs w:val="17"/>
              </w:rPr>
            </w:pPr>
          </w:p>
        </w:tc>
        <w:tc>
          <w:tcPr>
            <w:tcW w:w="9740" w:type="dxa"/>
            <w:vAlign w:val="bottom"/>
          </w:tcPr>
          <w:p w14:paraId="5C0AFADC" w14:textId="77777777" w:rsidR="00D1587D" w:rsidRDefault="00410D07">
            <w:pPr>
              <w:spacing w:line="196" w:lineRule="exact"/>
              <w:ind w:left="200"/>
              <w:rPr>
                <w:sz w:val="20"/>
                <w:szCs w:val="20"/>
              </w:rPr>
            </w:pPr>
            <w:r>
              <w:rPr>
                <w:rFonts w:ascii="Arial" w:eastAsia="Arial" w:hAnsi="Arial" w:cs="Arial"/>
                <w:sz w:val="18"/>
                <w:szCs w:val="18"/>
              </w:rPr>
              <w:t>Specified VS IT Assets</w:t>
            </w:r>
          </w:p>
        </w:tc>
      </w:tr>
      <w:tr w:rsidR="00D1587D" w14:paraId="3E1EB581" w14:textId="77777777">
        <w:trPr>
          <w:trHeight w:val="196"/>
        </w:trPr>
        <w:tc>
          <w:tcPr>
            <w:tcW w:w="1220" w:type="dxa"/>
            <w:gridSpan w:val="11"/>
            <w:tcBorders>
              <w:bottom w:val="single" w:sz="8" w:space="0" w:color="auto"/>
            </w:tcBorders>
            <w:vAlign w:val="bottom"/>
          </w:tcPr>
          <w:p w14:paraId="2DDCE633" w14:textId="77777777" w:rsidR="00D1587D" w:rsidRDefault="00410D07">
            <w:pPr>
              <w:spacing w:line="196" w:lineRule="exact"/>
              <w:rPr>
                <w:sz w:val="20"/>
                <w:szCs w:val="20"/>
              </w:rPr>
            </w:pPr>
            <w:r>
              <w:rPr>
                <w:rFonts w:ascii="Arial" w:eastAsia="Arial" w:hAnsi="Arial" w:cs="Arial"/>
                <w:w w:val="89"/>
                <w:sz w:val="18"/>
                <w:szCs w:val="18"/>
              </w:rPr>
              <w:t>Schedule 1.01(f)</w:t>
            </w:r>
          </w:p>
        </w:tc>
        <w:tc>
          <w:tcPr>
            <w:tcW w:w="280" w:type="dxa"/>
            <w:gridSpan w:val="4"/>
            <w:vAlign w:val="bottom"/>
          </w:tcPr>
          <w:p w14:paraId="0E7804F4" w14:textId="77777777" w:rsidR="00D1587D" w:rsidRDefault="00D1587D">
            <w:pPr>
              <w:rPr>
                <w:sz w:val="17"/>
                <w:szCs w:val="17"/>
              </w:rPr>
            </w:pPr>
          </w:p>
        </w:tc>
        <w:tc>
          <w:tcPr>
            <w:tcW w:w="9740" w:type="dxa"/>
            <w:vAlign w:val="bottom"/>
          </w:tcPr>
          <w:p w14:paraId="2D62B0A0" w14:textId="77777777" w:rsidR="00D1587D" w:rsidRDefault="00410D07">
            <w:pPr>
              <w:spacing w:line="196" w:lineRule="exact"/>
              <w:ind w:left="200"/>
              <w:rPr>
                <w:sz w:val="20"/>
                <w:szCs w:val="20"/>
              </w:rPr>
            </w:pPr>
            <w:r>
              <w:rPr>
                <w:rFonts w:ascii="Arial" w:eastAsia="Arial" w:hAnsi="Arial" w:cs="Arial"/>
                <w:sz w:val="18"/>
                <w:szCs w:val="18"/>
              </w:rPr>
              <w:t>Specified VS Trademarks</w:t>
            </w:r>
          </w:p>
        </w:tc>
      </w:tr>
      <w:tr w:rsidR="00D1587D" w14:paraId="5B684E22" w14:textId="77777777">
        <w:trPr>
          <w:trHeight w:val="196"/>
        </w:trPr>
        <w:tc>
          <w:tcPr>
            <w:tcW w:w="1260" w:type="dxa"/>
            <w:gridSpan w:val="13"/>
            <w:tcBorders>
              <w:bottom w:val="single" w:sz="8" w:space="0" w:color="auto"/>
            </w:tcBorders>
            <w:vAlign w:val="bottom"/>
          </w:tcPr>
          <w:p w14:paraId="3B25E55D" w14:textId="77777777" w:rsidR="00D1587D" w:rsidRDefault="00410D07">
            <w:pPr>
              <w:spacing w:line="196" w:lineRule="exact"/>
              <w:rPr>
                <w:sz w:val="20"/>
                <w:szCs w:val="20"/>
              </w:rPr>
            </w:pPr>
            <w:r>
              <w:rPr>
                <w:rFonts w:ascii="Arial" w:eastAsia="Arial" w:hAnsi="Arial" w:cs="Arial"/>
                <w:w w:val="90"/>
                <w:sz w:val="18"/>
                <w:szCs w:val="18"/>
              </w:rPr>
              <w:t>Schedule 1.01(g)</w:t>
            </w:r>
          </w:p>
        </w:tc>
        <w:tc>
          <w:tcPr>
            <w:tcW w:w="240" w:type="dxa"/>
            <w:gridSpan w:val="2"/>
            <w:vAlign w:val="bottom"/>
          </w:tcPr>
          <w:p w14:paraId="37DCEFE9" w14:textId="77777777" w:rsidR="00D1587D" w:rsidRDefault="00D1587D">
            <w:pPr>
              <w:rPr>
                <w:sz w:val="17"/>
                <w:szCs w:val="17"/>
              </w:rPr>
            </w:pPr>
          </w:p>
        </w:tc>
        <w:tc>
          <w:tcPr>
            <w:tcW w:w="9740" w:type="dxa"/>
            <w:vAlign w:val="bottom"/>
          </w:tcPr>
          <w:p w14:paraId="31EC904B" w14:textId="77777777" w:rsidR="00D1587D" w:rsidRDefault="00410D07">
            <w:pPr>
              <w:spacing w:line="196" w:lineRule="exact"/>
              <w:ind w:left="200"/>
              <w:rPr>
                <w:sz w:val="20"/>
                <w:szCs w:val="20"/>
              </w:rPr>
            </w:pPr>
            <w:r>
              <w:rPr>
                <w:rFonts w:ascii="Arial" w:eastAsia="Arial" w:hAnsi="Arial" w:cs="Arial"/>
                <w:sz w:val="18"/>
                <w:szCs w:val="18"/>
              </w:rPr>
              <w:t>Specified VS IP</w:t>
            </w:r>
          </w:p>
        </w:tc>
      </w:tr>
      <w:tr w:rsidR="00D1587D" w14:paraId="20922BC9" w14:textId="77777777">
        <w:trPr>
          <w:trHeight w:val="196"/>
        </w:trPr>
        <w:tc>
          <w:tcPr>
            <w:tcW w:w="1240" w:type="dxa"/>
            <w:gridSpan w:val="12"/>
            <w:tcBorders>
              <w:bottom w:val="single" w:sz="8" w:space="0" w:color="auto"/>
            </w:tcBorders>
            <w:vAlign w:val="bottom"/>
          </w:tcPr>
          <w:p w14:paraId="4B8A53BB" w14:textId="77777777" w:rsidR="00D1587D" w:rsidRDefault="00410D07">
            <w:pPr>
              <w:spacing w:line="196" w:lineRule="exact"/>
              <w:rPr>
                <w:sz w:val="20"/>
                <w:szCs w:val="20"/>
              </w:rPr>
            </w:pPr>
            <w:r>
              <w:rPr>
                <w:rFonts w:ascii="Arial" w:eastAsia="Arial" w:hAnsi="Arial" w:cs="Arial"/>
                <w:w w:val="88"/>
                <w:sz w:val="18"/>
                <w:szCs w:val="18"/>
              </w:rPr>
              <w:t>Schedule 1.01(h)</w:t>
            </w:r>
          </w:p>
        </w:tc>
        <w:tc>
          <w:tcPr>
            <w:tcW w:w="260" w:type="dxa"/>
            <w:gridSpan w:val="3"/>
            <w:vAlign w:val="bottom"/>
          </w:tcPr>
          <w:p w14:paraId="14BAFD8F" w14:textId="77777777" w:rsidR="00D1587D" w:rsidRDefault="00D1587D">
            <w:pPr>
              <w:rPr>
                <w:sz w:val="17"/>
                <w:szCs w:val="17"/>
              </w:rPr>
            </w:pPr>
          </w:p>
        </w:tc>
        <w:tc>
          <w:tcPr>
            <w:tcW w:w="9740" w:type="dxa"/>
            <w:vAlign w:val="bottom"/>
          </w:tcPr>
          <w:p w14:paraId="649E1B82" w14:textId="77777777" w:rsidR="00D1587D" w:rsidRDefault="00410D07">
            <w:pPr>
              <w:spacing w:line="196" w:lineRule="exact"/>
              <w:ind w:left="200"/>
              <w:rPr>
                <w:sz w:val="20"/>
                <w:szCs w:val="20"/>
              </w:rPr>
            </w:pPr>
            <w:r>
              <w:rPr>
                <w:rFonts w:ascii="Arial" w:eastAsia="Arial" w:hAnsi="Arial" w:cs="Arial"/>
                <w:sz w:val="18"/>
                <w:szCs w:val="18"/>
              </w:rPr>
              <w:t xml:space="preserve">Specified VS </w:t>
            </w:r>
            <w:r>
              <w:rPr>
                <w:rFonts w:ascii="Arial" w:eastAsia="Arial" w:hAnsi="Arial" w:cs="Arial"/>
                <w:sz w:val="18"/>
                <w:szCs w:val="18"/>
              </w:rPr>
              <w:t>Leases</w:t>
            </w:r>
          </w:p>
        </w:tc>
      </w:tr>
      <w:tr w:rsidR="00D1587D" w14:paraId="517D3E95" w14:textId="77777777">
        <w:trPr>
          <w:trHeight w:val="196"/>
        </w:trPr>
        <w:tc>
          <w:tcPr>
            <w:tcW w:w="1220" w:type="dxa"/>
            <w:gridSpan w:val="11"/>
            <w:tcBorders>
              <w:bottom w:val="single" w:sz="8" w:space="0" w:color="auto"/>
            </w:tcBorders>
            <w:vAlign w:val="bottom"/>
          </w:tcPr>
          <w:p w14:paraId="22A68487" w14:textId="77777777" w:rsidR="00D1587D" w:rsidRDefault="00410D07">
            <w:pPr>
              <w:spacing w:line="196" w:lineRule="exact"/>
              <w:rPr>
                <w:sz w:val="20"/>
                <w:szCs w:val="20"/>
              </w:rPr>
            </w:pPr>
            <w:r>
              <w:rPr>
                <w:rFonts w:ascii="Arial" w:eastAsia="Arial" w:hAnsi="Arial" w:cs="Arial"/>
                <w:w w:val="89"/>
                <w:sz w:val="18"/>
                <w:szCs w:val="18"/>
              </w:rPr>
              <w:t>Schedule 1.01(i)</w:t>
            </w:r>
          </w:p>
        </w:tc>
        <w:tc>
          <w:tcPr>
            <w:tcW w:w="280" w:type="dxa"/>
            <w:gridSpan w:val="4"/>
            <w:vAlign w:val="bottom"/>
          </w:tcPr>
          <w:p w14:paraId="693705F5" w14:textId="77777777" w:rsidR="00D1587D" w:rsidRDefault="00D1587D">
            <w:pPr>
              <w:rPr>
                <w:sz w:val="17"/>
                <w:szCs w:val="17"/>
              </w:rPr>
            </w:pPr>
          </w:p>
        </w:tc>
        <w:tc>
          <w:tcPr>
            <w:tcW w:w="9740" w:type="dxa"/>
            <w:vAlign w:val="bottom"/>
          </w:tcPr>
          <w:p w14:paraId="7EEC7CD0" w14:textId="77777777" w:rsidR="00D1587D" w:rsidRDefault="00410D07">
            <w:pPr>
              <w:spacing w:line="196" w:lineRule="exact"/>
              <w:ind w:left="200"/>
              <w:rPr>
                <w:sz w:val="20"/>
                <w:szCs w:val="20"/>
              </w:rPr>
            </w:pPr>
            <w:r>
              <w:rPr>
                <w:rFonts w:ascii="Arial" w:eastAsia="Arial" w:hAnsi="Arial" w:cs="Arial"/>
                <w:sz w:val="18"/>
                <w:szCs w:val="18"/>
              </w:rPr>
              <w:t>Specified VS Contracts</w:t>
            </w:r>
          </w:p>
        </w:tc>
      </w:tr>
      <w:tr w:rsidR="00D1587D" w14:paraId="2543E0B3" w14:textId="77777777">
        <w:trPr>
          <w:trHeight w:val="196"/>
        </w:trPr>
        <w:tc>
          <w:tcPr>
            <w:tcW w:w="1220" w:type="dxa"/>
            <w:gridSpan w:val="11"/>
            <w:tcBorders>
              <w:bottom w:val="single" w:sz="8" w:space="0" w:color="auto"/>
            </w:tcBorders>
            <w:vAlign w:val="bottom"/>
          </w:tcPr>
          <w:p w14:paraId="4CD6C041" w14:textId="77777777" w:rsidR="00D1587D" w:rsidRDefault="00410D07">
            <w:pPr>
              <w:spacing w:line="196" w:lineRule="exact"/>
              <w:rPr>
                <w:sz w:val="20"/>
                <w:szCs w:val="20"/>
              </w:rPr>
            </w:pPr>
            <w:r>
              <w:rPr>
                <w:rFonts w:ascii="Arial" w:eastAsia="Arial" w:hAnsi="Arial" w:cs="Arial"/>
                <w:w w:val="89"/>
                <w:sz w:val="18"/>
                <w:szCs w:val="18"/>
              </w:rPr>
              <w:t>Schedule 1.01(j)</w:t>
            </w:r>
          </w:p>
        </w:tc>
        <w:tc>
          <w:tcPr>
            <w:tcW w:w="280" w:type="dxa"/>
            <w:gridSpan w:val="4"/>
            <w:vAlign w:val="bottom"/>
          </w:tcPr>
          <w:p w14:paraId="659A6D8E" w14:textId="77777777" w:rsidR="00D1587D" w:rsidRDefault="00D1587D">
            <w:pPr>
              <w:rPr>
                <w:sz w:val="17"/>
                <w:szCs w:val="17"/>
              </w:rPr>
            </w:pPr>
          </w:p>
        </w:tc>
        <w:tc>
          <w:tcPr>
            <w:tcW w:w="9740" w:type="dxa"/>
            <w:vAlign w:val="bottom"/>
          </w:tcPr>
          <w:p w14:paraId="7069C8A9" w14:textId="77777777" w:rsidR="00D1587D" w:rsidRDefault="00410D07">
            <w:pPr>
              <w:spacing w:line="196" w:lineRule="exact"/>
              <w:ind w:left="200"/>
              <w:rPr>
                <w:sz w:val="20"/>
                <w:szCs w:val="20"/>
              </w:rPr>
            </w:pPr>
            <w:r>
              <w:rPr>
                <w:rFonts w:ascii="Arial" w:eastAsia="Arial" w:hAnsi="Arial" w:cs="Arial"/>
                <w:sz w:val="18"/>
                <w:szCs w:val="18"/>
              </w:rPr>
              <w:t>Specified VS Equity Interests</w:t>
            </w:r>
          </w:p>
        </w:tc>
      </w:tr>
      <w:tr w:rsidR="00D1587D" w14:paraId="33214024" w14:textId="77777777">
        <w:trPr>
          <w:trHeight w:val="196"/>
        </w:trPr>
        <w:tc>
          <w:tcPr>
            <w:tcW w:w="1240" w:type="dxa"/>
            <w:gridSpan w:val="12"/>
            <w:tcBorders>
              <w:bottom w:val="single" w:sz="8" w:space="0" w:color="auto"/>
            </w:tcBorders>
            <w:vAlign w:val="bottom"/>
          </w:tcPr>
          <w:p w14:paraId="380FFCAF" w14:textId="77777777" w:rsidR="00D1587D" w:rsidRDefault="00410D07">
            <w:pPr>
              <w:spacing w:line="196" w:lineRule="exact"/>
              <w:rPr>
                <w:sz w:val="20"/>
                <w:szCs w:val="20"/>
              </w:rPr>
            </w:pPr>
            <w:r>
              <w:rPr>
                <w:rFonts w:ascii="Arial" w:eastAsia="Arial" w:hAnsi="Arial" w:cs="Arial"/>
                <w:w w:val="89"/>
                <w:sz w:val="18"/>
                <w:szCs w:val="18"/>
              </w:rPr>
              <w:t>Schedule 1.01(k)</w:t>
            </w:r>
          </w:p>
        </w:tc>
        <w:tc>
          <w:tcPr>
            <w:tcW w:w="260" w:type="dxa"/>
            <w:gridSpan w:val="3"/>
            <w:vAlign w:val="bottom"/>
          </w:tcPr>
          <w:p w14:paraId="585D8E41" w14:textId="77777777" w:rsidR="00D1587D" w:rsidRDefault="00D1587D">
            <w:pPr>
              <w:rPr>
                <w:sz w:val="17"/>
                <w:szCs w:val="17"/>
              </w:rPr>
            </w:pPr>
          </w:p>
        </w:tc>
        <w:tc>
          <w:tcPr>
            <w:tcW w:w="9740" w:type="dxa"/>
            <w:vAlign w:val="bottom"/>
          </w:tcPr>
          <w:p w14:paraId="182734CC" w14:textId="77777777" w:rsidR="00D1587D" w:rsidRDefault="00410D07">
            <w:pPr>
              <w:spacing w:line="196" w:lineRule="exact"/>
              <w:ind w:left="200"/>
              <w:rPr>
                <w:sz w:val="20"/>
                <w:szCs w:val="20"/>
              </w:rPr>
            </w:pPr>
            <w:r>
              <w:rPr>
                <w:rFonts w:ascii="Arial" w:eastAsia="Arial" w:hAnsi="Arial" w:cs="Arial"/>
                <w:sz w:val="18"/>
                <w:szCs w:val="18"/>
              </w:rPr>
              <w:t>Members of the VS Group</w:t>
            </w:r>
          </w:p>
        </w:tc>
      </w:tr>
      <w:tr w:rsidR="00D1587D" w14:paraId="0EFFD63B" w14:textId="77777777">
        <w:trPr>
          <w:trHeight w:val="196"/>
        </w:trPr>
        <w:tc>
          <w:tcPr>
            <w:tcW w:w="1220" w:type="dxa"/>
            <w:gridSpan w:val="11"/>
            <w:tcBorders>
              <w:bottom w:val="single" w:sz="8" w:space="0" w:color="auto"/>
            </w:tcBorders>
            <w:vAlign w:val="bottom"/>
          </w:tcPr>
          <w:p w14:paraId="1DA66A3D" w14:textId="77777777" w:rsidR="00D1587D" w:rsidRDefault="00410D07">
            <w:pPr>
              <w:spacing w:line="196" w:lineRule="exact"/>
              <w:rPr>
                <w:sz w:val="20"/>
                <w:szCs w:val="20"/>
              </w:rPr>
            </w:pPr>
            <w:r>
              <w:rPr>
                <w:rFonts w:ascii="Arial" w:eastAsia="Arial" w:hAnsi="Arial" w:cs="Arial"/>
                <w:w w:val="89"/>
                <w:sz w:val="18"/>
                <w:szCs w:val="18"/>
              </w:rPr>
              <w:t>Schedule 1.01(l)</w:t>
            </w:r>
          </w:p>
        </w:tc>
        <w:tc>
          <w:tcPr>
            <w:tcW w:w="280" w:type="dxa"/>
            <w:gridSpan w:val="4"/>
            <w:vAlign w:val="bottom"/>
          </w:tcPr>
          <w:p w14:paraId="144672BD" w14:textId="77777777" w:rsidR="00D1587D" w:rsidRDefault="00D1587D">
            <w:pPr>
              <w:rPr>
                <w:sz w:val="17"/>
                <w:szCs w:val="17"/>
              </w:rPr>
            </w:pPr>
          </w:p>
        </w:tc>
        <w:tc>
          <w:tcPr>
            <w:tcW w:w="9740" w:type="dxa"/>
            <w:vAlign w:val="bottom"/>
          </w:tcPr>
          <w:p w14:paraId="6DAC888F" w14:textId="77777777" w:rsidR="00D1587D" w:rsidRDefault="00410D07">
            <w:pPr>
              <w:spacing w:line="196" w:lineRule="exact"/>
              <w:ind w:left="200"/>
              <w:rPr>
                <w:sz w:val="20"/>
                <w:szCs w:val="20"/>
              </w:rPr>
            </w:pPr>
            <w:r>
              <w:rPr>
                <w:rFonts w:ascii="Arial" w:eastAsia="Arial" w:hAnsi="Arial" w:cs="Arial"/>
                <w:sz w:val="18"/>
                <w:szCs w:val="18"/>
              </w:rPr>
              <w:t>Specified VS Actions</w:t>
            </w:r>
          </w:p>
        </w:tc>
      </w:tr>
      <w:tr w:rsidR="00D1587D" w14:paraId="59EC3290" w14:textId="77777777">
        <w:trPr>
          <w:trHeight w:val="196"/>
        </w:trPr>
        <w:tc>
          <w:tcPr>
            <w:tcW w:w="1500" w:type="dxa"/>
            <w:gridSpan w:val="15"/>
            <w:vAlign w:val="bottom"/>
          </w:tcPr>
          <w:p w14:paraId="07CA47B7" w14:textId="77777777" w:rsidR="00D1587D" w:rsidRDefault="00410D07">
            <w:pPr>
              <w:spacing w:line="196" w:lineRule="exact"/>
              <w:rPr>
                <w:sz w:val="20"/>
                <w:szCs w:val="20"/>
              </w:rPr>
            </w:pPr>
            <w:r>
              <w:rPr>
                <w:rFonts w:ascii="Arial" w:eastAsia="Arial" w:hAnsi="Arial" w:cs="Arial"/>
                <w:sz w:val="18"/>
                <w:szCs w:val="18"/>
              </w:rPr>
              <w:t>Schedule 1.01(m)</w:t>
            </w:r>
          </w:p>
        </w:tc>
        <w:tc>
          <w:tcPr>
            <w:tcW w:w="9740" w:type="dxa"/>
            <w:vAlign w:val="bottom"/>
          </w:tcPr>
          <w:p w14:paraId="762DE662" w14:textId="77777777" w:rsidR="00D1587D" w:rsidRDefault="00410D07">
            <w:pPr>
              <w:spacing w:line="196" w:lineRule="exact"/>
              <w:ind w:left="200"/>
              <w:rPr>
                <w:sz w:val="20"/>
                <w:szCs w:val="20"/>
              </w:rPr>
            </w:pPr>
            <w:r>
              <w:rPr>
                <w:rFonts w:ascii="Arial" w:eastAsia="Arial" w:hAnsi="Arial" w:cs="Arial"/>
                <w:sz w:val="18"/>
                <w:szCs w:val="18"/>
              </w:rPr>
              <w:t>Specified VS Liabilities</w:t>
            </w:r>
          </w:p>
        </w:tc>
      </w:tr>
      <w:tr w:rsidR="00D1587D" w14:paraId="052E181F" w14:textId="77777777">
        <w:trPr>
          <w:trHeight w:val="196"/>
        </w:trPr>
        <w:tc>
          <w:tcPr>
            <w:tcW w:w="1240" w:type="dxa"/>
            <w:gridSpan w:val="12"/>
            <w:tcBorders>
              <w:top w:val="single" w:sz="8" w:space="0" w:color="auto"/>
              <w:bottom w:val="single" w:sz="8" w:space="0" w:color="auto"/>
            </w:tcBorders>
            <w:vAlign w:val="bottom"/>
          </w:tcPr>
          <w:p w14:paraId="555CACFB" w14:textId="77777777" w:rsidR="00D1587D" w:rsidRDefault="00410D07">
            <w:pPr>
              <w:spacing w:line="196" w:lineRule="exact"/>
              <w:rPr>
                <w:sz w:val="20"/>
                <w:szCs w:val="20"/>
              </w:rPr>
            </w:pPr>
            <w:r>
              <w:rPr>
                <w:rFonts w:ascii="Arial" w:eastAsia="Arial" w:hAnsi="Arial" w:cs="Arial"/>
                <w:w w:val="88"/>
                <w:sz w:val="18"/>
                <w:szCs w:val="18"/>
              </w:rPr>
              <w:t>Schedule 2.08(b)</w:t>
            </w:r>
          </w:p>
        </w:tc>
        <w:tc>
          <w:tcPr>
            <w:tcW w:w="40" w:type="dxa"/>
            <w:gridSpan w:val="2"/>
            <w:tcBorders>
              <w:top w:val="single" w:sz="8" w:space="0" w:color="auto"/>
            </w:tcBorders>
            <w:vAlign w:val="bottom"/>
          </w:tcPr>
          <w:p w14:paraId="5F64FDE3" w14:textId="77777777" w:rsidR="00D1587D" w:rsidRDefault="00D1587D">
            <w:pPr>
              <w:rPr>
                <w:sz w:val="17"/>
                <w:szCs w:val="17"/>
              </w:rPr>
            </w:pPr>
          </w:p>
        </w:tc>
        <w:tc>
          <w:tcPr>
            <w:tcW w:w="220" w:type="dxa"/>
            <w:vAlign w:val="bottom"/>
          </w:tcPr>
          <w:p w14:paraId="406CCC19" w14:textId="77777777" w:rsidR="00D1587D" w:rsidRDefault="00D1587D">
            <w:pPr>
              <w:rPr>
                <w:sz w:val="17"/>
                <w:szCs w:val="17"/>
              </w:rPr>
            </w:pPr>
          </w:p>
        </w:tc>
        <w:tc>
          <w:tcPr>
            <w:tcW w:w="9740" w:type="dxa"/>
            <w:vAlign w:val="bottom"/>
          </w:tcPr>
          <w:p w14:paraId="28DEC4BC" w14:textId="77777777" w:rsidR="00D1587D" w:rsidRDefault="00410D07">
            <w:pPr>
              <w:spacing w:line="196" w:lineRule="exact"/>
              <w:ind w:left="200"/>
              <w:rPr>
                <w:sz w:val="20"/>
                <w:szCs w:val="20"/>
              </w:rPr>
            </w:pPr>
            <w:r>
              <w:rPr>
                <w:rFonts w:ascii="Arial" w:eastAsia="Arial" w:hAnsi="Arial" w:cs="Arial"/>
                <w:sz w:val="18"/>
                <w:szCs w:val="18"/>
              </w:rPr>
              <w:t>Intercompany Agreements</w:t>
            </w:r>
          </w:p>
        </w:tc>
      </w:tr>
      <w:tr w:rsidR="00D1587D" w14:paraId="43027A3A" w14:textId="77777777">
        <w:trPr>
          <w:trHeight w:val="196"/>
        </w:trPr>
        <w:tc>
          <w:tcPr>
            <w:tcW w:w="1500" w:type="dxa"/>
            <w:gridSpan w:val="15"/>
            <w:vAlign w:val="bottom"/>
          </w:tcPr>
          <w:p w14:paraId="54601D1A" w14:textId="77777777" w:rsidR="00D1587D" w:rsidRDefault="00410D07">
            <w:pPr>
              <w:spacing w:line="196" w:lineRule="exact"/>
              <w:rPr>
                <w:sz w:val="20"/>
                <w:szCs w:val="20"/>
              </w:rPr>
            </w:pPr>
            <w:r>
              <w:rPr>
                <w:rFonts w:ascii="Arial" w:eastAsia="Arial" w:hAnsi="Arial" w:cs="Arial"/>
                <w:sz w:val="18"/>
                <w:szCs w:val="18"/>
              </w:rPr>
              <w:t>Schedule 2.10(a)</w:t>
            </w:r>
          </w:p>
        </w:tc>
        <w:tc>
          <w:tcPr>
            <w:tcW w:w="9740" w:type="dxa"/>
            <w:vAlign w:val="bottom"/>
          </w:tcPr>
          <w:p w14:paraId="06493EFF" w14:textId="77777777" w:rsidR="00D1587D" w:rsidRDefault="00410D07">
            <w:pPr>
              <w:spacing w:line="196" w:lineRule="exact"/>
              <w:ind w:left="200"/>
              <w:rPr>
                <w:sz w:val="20"/>
                <w:szCs w:val="20"/>
              </w:rPr>
            </w:pPr>
            <w:r>
              <w:rPr>
                <w:rFonts w:ascii="Arial" w:eastAsia="Arial" w:hAnsi="Arial" w:cs="Arial"/>
                <w:sz w:val="18"/>
                <w:szCs w:val="18"/>
              </w:rPr>
              <w:t>Guarantees</w:t>
            </w:r>
          </w:p>
        </w:tc>
      </w:tr>
      <w:tr w:rsidR="00D1587D" w14:paraId="2E17AA0C" w14:textId="77777777">
        <w:trPr>
          <w:trHeight w:val="20"/>
        </w:trPr>
        <w:tc>
          <w:tcPr>
            <w:tcW w:w="640" w:type="dxa"/>
            <w:shd w:val="clear" w:color="auto" w:fill="000000"/>
            <w:vAlign w:val="bottom"/>
          </w:tcPr>
          <w:p w14:paraId="5117E8BF" w14:textId="77777777" w:rsidR="00D1587D" w:rsidRDefault="00D1587D">
            <w:pPr>
              <w:spacing w:line="20" w:lineRule="exact"/>
              <w:rPr>
                <w:sz w:val="1"/>
                <w:szCs w:val="1"/>
              </w:rPr>
            </w:pPr>
          </w:p>
        </w:tc>
        <w:tc>
          <w:tcPr>
            <w:tcW w:w="40" w:type="dxa"/>
            <w:tcBorders>
              <w:right w:val="single" w:sz="8" w:space="0" w:color="auto"/>
            </w:tcBorders>
            <w:shd w:val="clear" w:color="auto" w:fill="000000"/>
            <w:vAlign w:val="bottom"/>
          </w:tcPr>
          <w:p w14:paraId="1D48D3E3" w14:textId="77777777" w:rsidR="00D1587D" w:rsidRDefault="00D1587D">
            <w:pPr>
              <w:spacing w:line="20" w:lineRule="exact"/>
              <w:rPr>
                <w:sz w:val="1"/>
                <w:szCs w:val="1"/>
              </w:rPr>
            </w:pPr>
          </w:p>
        </w:tc>
        <w:tc>
          <w:tcPr>
            <w:tcW w:w="20" w:type="dxa"/>
            <w:shd w:val="clear" w:color="auto" w:fill="000000"/>
            <w:vAlign w:val="bottom"/>
          </w:tcPr>
          <w:p w14:paraId="0DF55F8B" w14:textId="77777777" w:rsidR="00D1587D" w:rsidRDefault="00D1587D">
            <w:pPr>
              <w:spacing w:line="20" w:lineRule="exact"/>
              <w:rPr>
                <w:sz w:val="1"/>
                <w:szCs w:val="1"/>
              </w:rPr>
            </w:pPr>
          </w:p>
        </w:tc>
        <w:tc>
          <w:tcPr>
            <w:tcW w:w="20" w:type="dxa"/>
            <w:shd w:val="clear" w:color="auto" w:fill="000000"/>
            <w:vAlign w:val="bottom"/>
          </w:tcPr>
          <w:p w14:paraId="195F1431" w14:textId="77777777" w:rsidR="00D1587D" w:rsidRDefault="00D1587D">
            <w:pPr>
              <w:spacing w:line="20" w:lineRule="exact"/>
              <w:rPr>
                <w:sz w:val="1"/>
                <w:szCs w:val="1"/>
              </w:rPr>
            </w:pPr>
          </w:p>
        </w:tc>
        <w:tc>
          <w:tcPr>
            <w:tcW w:w="20" w:type="dxa"/>
            <w:shd w:val="clear" w:color="auto" w:fill="000000"/>
            <w:vAlign w:val="bottom"/>
          </w:tcPr>
          <w:p w14:paraId="6F965438" w14:textId="77777777" w:rsidR="00D1587D" w:rsidRDefault="00D1587D">
            <w:pPr>
              <w:spacing w:line="20" w:lineRule="exact"/>
              <w:rPr>
                <w:sz w:val="1"/>
                <w:szCs w:val="1"/>
              </w:rPr>
            </w:pPr>
          </w:p>
        </w:tc>
        <w:tc>
          <w:tcPr>
            <w:tcW w:w="120" w:type="dxa"/>
            <w:shd w:val="clear" w:color="auto" w:fill="000000"/>
            <w:vAlign w:val="bottom"/>
          </w:tcPr>
          <w:p w14:paraId="7529DFED" w14:textId="77777777" w:rsidR="00D1587D" w:rsidRDefault="00D1587D">
            <w:pPr>
              <w:spacing w:line="20" w:lineRule="exact"/>
              <w:rPr>
                <w:sz w:val="1"/>
                <w:szCs w:val="1"/>
              </w:rPr>
            </w:pPr>
          </w:p>
        </w:tc>
        <w:tc>
          <w:tcPr>
            <w:tcW w:w="20" w:type="dxa"/>
            <w:shd w:val="clear" w:color="auto" w:fill="000000"/>
            <w:vAlign w:val="bottom"/>
          </w:tcPr>
          <w:p w14:paraId="62808367" w14:textId="77777777" w:rsidR="00D1587D" w:rsidRDefault="00D1587D">
            <w:pPr>
              <w:spacing w:line="20" w:lineRule="exact"/>
              <w:rPr>
                <w:sz w:val="1"/>
                <w:szCs w:val="1"/>
              </w:rPr>
            </w:pPr>
          </w:p>
        </w:tc>
        <w:tc>
          <w:tcPr>
            <w:tcW w:w="140" w:type="dxa"/>
            <w:shd w:val="clear" w:color="auto" w:fill="000000"/>
            <w:vAlign w:val="bottom"/>
          </w:tcPr>
          <w:p w14:paraId="773DED71" w14:textId="77777777" w:rsidR="00D1587D" w:rsidRDefault="00D1587D">
            <w:pPr>
              <w:spacing w:line="20" w:lineRule="exact"/>
              <w:rPr>
                <w:sz w:val="1"/>
                <w:szCs w:val="1"/>
              </w:rPr>
            </w:pPr>
          </w:p>
        </w:tc>
        <w:tc>
          <w:tcPr>
            <w:tcW w:w="20" w:type="dxa"/>
            <w:shd w:val="clear" w:color="auto" w:fill="000000"/>
            <w:vAlign w:val="bottom"/>
          </w:tcPr>
          <w:p w14:paraId="1DCAFEE4" w14:textId="77777777" w:rsidR="00D1587D" w:rsidRDefault="00D1587D">
            <w:pPr>
              <w:spacing w:line="20" w:lineRule="exact"/>
              <w:rPr>
                <w:sz w:val="1"/>
                <w:szCs w:val="1"/>
              </w:rPr>
            </w:pPr>
          </w:p>
        </w:tc>
        <w:tc>
          <w:tcPr>
            <w:tcW w:w="180" w:type="dxa"/>
            <w:gridSpan w:val="2"/>
            <w:tcBorders>
              <w:right w:val="single" w:sz="8" w:space="0" w:color="auto"/>
            </w:tcBorders>
            <w:shd w:val="clear" w:color="auto" w:fill="000000"/>
            <w:vAlign w:val="bottom"/>
          </w:tcPr>
          <w:p w14:paraId="0FA1279B" w14:textId="77777777" w:rsidR="00D1587D" w:rsidRDefault="00D1587D">
            <w:pPr>
              <w:spacing w:line="20" w:lineRule="exact"/>
              <w:rPr>
                <w:sz w:val="1"/>
                <w:szCs w:val="1"/>
              </w:rPr>
            </w:pPr>
          </w:p>
        </w:tc>
        <w:tc>
          <w:tcPr>
            <w:tcW w:w="280" w:type="dxa"/>
            <w:gridSpan w:val="4"/>
            <w:vAlign w:val="bottom"/>
          </w:tcPr>
          <w:p w14:paraId="34791052" w14:textId="77777777" w:rsidR="00D1587D" w:rsidRDefault="00D1587D">
            <w:pPr>
              <w:spacing w:line="20" w:lineRule="exact"/>
              <w:rPr>
                <w:sz w:val="1"/>
                <w:szCs w:val="1"/>
              </w:rPr>
            </w:pPr>
          </w:p>
        </w:tc>
        <w:tc>
          <w:tcPr>
            <w:tcW w:w="9740" w:type="dxa"/>
            <w:vAlign w:val="bottom"/>
          </w:tcPr>
          <w:p w14:paraId="2373D74F" w14:textId="77777777" w:rsidR="00D1587D" w:rsidRDefault="00D1587D">
            <w:pPr>
              <w:spacing w:line="20" w:lineRule="exact"/>
              <w:rPr>
                <w:sz w:val="1"/>
                <w:szCs w:val="1"/>
              </w:rPr>
            </w:pPr>
          </w:p>
        </w:tc>
      </w:tr>
      <w:tr w:rsidR="00D1587D" w14:paraId="4C25FAA9" w14:textId="77777777">
        <w:trPr>
          <w:trHeight w:val="196"/>
        </w:trPr>
        <w:tc>
          <w:tcPr>
            <w:tcW w:w="1500" w:type="dxa"/>
            <w:gridSpan w:val="15"/>
            <w:vAlign w:val="bottom"/>
          </w:tcPr>
          <w:p w14:paraId="5CE3589D" w14:textId="77777777" w:rsidR="00D1587D" w:rsidRDefault="00410D07">
            <w:pPr>
              <w:spacing w:line="196" w:lineRule="exact"/>
              <w:rPr>
                <w:sz w:val="20"/>
                <w:szCs w:val="20"/>
              </w:rPr>
            </w:pPr>
            <w:r>
              <w:rPr>
                <w:rFonts w:ascii="Arial" w:eastAsia="Arial" w:hAnsi="Arial" w:cs="Arial"/>
                <w:sz w:val="18"/>
                <w:szCs w:val="18"/>
              </w:rPr>
              <w:t>Schedule 2.10(b)</w:t>
            </w:r>
          </w:p>
        </w:tc>
        <w:tc>
          <w:tcPr>
            <w:tcW w:w="9740" w:type="dxa"/>
            <w:vAlign w:val="bottom"/>
          </w:tcPr>
          <w:p w14:paraId="18CB591A" w14:textId="77777777" w:rsidR="00D1587D" w:rsidRDefault="00410D07">
            <w:pPr>
              <w:spacing w:line="196" w:lineRule="exact"/>
              <w:ind w:left="200"/>
              <w:rPr>
                <w:sz w:val="20"/>
                <w:szCs w:val="20"/>
              </w:rPr>
            </w:pPr>
            <w:r>
              <w:rPr>
                <w:rFonts w:ascii="Arial" w:eastAsia="Arial" w:hAnsi="Arial" w:cs="Arial"/>
                <w:sz w:val="18"/>
                <w:szCs w:val="18"/>
              </w:rPr>
              <w:t>Specified Guarantee</w:t>
            </w:r>
          </w:p>
        </w:tc>
      </w:tr>
      <w:tr w:rsidR="00D1587D" w14:paraId="6714596E" w14:textId="77777777">
        <w:trPr>
          <w:trHeight w:val="196"/>
        </w:trPr>
        <w:tc>
          <w:tcPr>
            <w:tcW w:w="1040" w:type="dxa"/>
            <w:gridSpan w:val="9"/>
            <w:tcBorders>
              <w:top w:val="single" w:sz="8" w:space="0" w:color="auto"/>
              <w:bottom w:val="single" w:sz="8" w:space="0" w:color="auto"/>
            </w:tcBorders>
            <w:vAlign w:val="bottom"/>
          </w:tcPr>
          <w:p w14:paraId="680DF26B" w14:textId="77777777" w:rsidR="00D1587D" w:rsidRDefault="00410D07">
            <w:pPr>
              <w:spacing w:line="196" w:lineRule="exact"/>
              <w:rPr>
                <w:sz w:val="20"/>
                <w:szCs w:val="20"/>
              </w:rPr>
            </w:pPr>
            <w:r>
              <w:rPr>
                <w:rFonts w:ascii="Arial" w:eastAsia="Arial" w:hAnsi="Arial" w:cs="Arial"/>
                <w:w w:val="88"/>
                <w:sz w:val="18"/>
                <w:szCs w:val="18"/>
              </w:rPr>
              <w:t>Schedule 4.15</w:t>
            </w:r>
          </w:p>
        </w:tc>
        <w:tc>
          <w:tcPr>
            <w:tcW w:w="60" w:type="dxa"/>
            <w:tcBorders>
              <w:top w:val="single" w:sz="8" w:space="0" w:color="auto"/>
            </w:tcBorders>
            <w:vAlign w:val="bottom"/>
          </w:tcPr>
          <w:p w14:paraId="7A19E895" w14:textId="77777777" w:rsidR="00D1587D" w:rsidRDefault="00D1587D">
            <w:pPr>
              <w:rPr>
                <w:sz w:val="17"/>
                <w:szCs w:val="17"/>
              </w:rPr>
            </w:pPr>
          </w:p>
        </w:tc>
        <w:tc>
          <w:tcPr>
            <w:tcW w:w="120" w:type="dxa"/>
            <w:tcBorders>
              <w:top w:val="single" w:sz="8" w:space="0" w:color="auto"/>
            </w:tcBorders>
            <w:vAlign w:val="bottom"/>
          </w:tcPr>
          <w:p w14:paraId="4EFC83AE" w14:textId="77777777" w:rsidR="00D1587D" w:rsidRDefault="00D1587D">
            <w:pPr>
              <w:rPr>
                <w:sz w:val="17"/>
                <w:szCs w:val="17"/>
              </w:rPr>
            </w:pPr>
          </w:p>
        </w:tc>
        <w:tc>
          <w:tcPr>
            <w:tcW w:w="20" w:type="dxa"/>
            <w:tcBorders>
              <w:top w:val="single" w:sz="8" w:space="0" w:color="auto"/>
            </w:tcBorders>
            <w:vAlign w:val="bottom"/>
          </w:tcPr>
          <w:p w14:paraId="48548540" w14:textId="77777777" w:rsidR="00D1587D" w:rsidRDefault="00D1587D">
            <w:pPr>
              <w:rPr>
                <w:sz w:val="17"/>
                <w:szCs w:val="17"/>
              </w:rPr>
            </w:pPr>
          </w:p>
        </w:tc>
        <w:tc>
          <w:tcPr>
            <w:tcW w:w="20" w:type="dxa"/>
            <w:vAlign w:val="bottom"/>
          </w:tcPr>
          <w:p w14:paraId="6D88B653" w14:textId="77777777" w:rsidR="00D1587D" w:rsidRDefault="00D1587D">
            <w:pPr>
              <w:rPr>
                <w:sz w:val="17"/>
                <w:szCs w:val="17"/>
              </w:rPr>
            </w:pPr>
          </w:p>
        </w:tc>
        <w:tc>
          <w:tcPr>
            <w:tcW w:w="20" w:type="dxa"/>
            <w:vAlign w:val="bottom"/>
          </w:tcPr>
          <w:p w14:paraId="30C77255" w14:textId="77777777" w:rsidR="00D1587D" w:rsidRDefault="00D1587D">
            <w:pPr>
              <w:rPr>
                <w:sz w:val="17"/>
                <w:szCs w:val="17"/>
              </w:rPr>
            </w:pPr>
          </w:p>
        </w:tc>
        <w:tc>
          <w:tcPr>
            <w:tcW w:w="220" w:type="dxa"/>
            <w:vAlign w:val="bottom"/>
          </w:tcPr>
          <w:p w14:paraId="6E79FB2C" w14:textId="77777777" w:rsidR="00D1587D" w:rsidRDefault="00D1587D">
            <w:pPr>
              <w:rPr>
                <w:sz w:val="17"/>
                <w:szCs w:val="17"/>
              </w:rPr>
            </w:pPr>
          </w:p>
        </w:tc>
        <w:tc>
          <w:tcPr>
            <w:tcW w:w="9740" w:type="dxa"/>
            <w:vAlign w:val="bottom"/>
          </w:tcPr>
          <w:p w14:paraId="58A5AE16" w14:textId="77777777" w:rsidR="00D1587D" w:rsidRDefault="00410D07">
            <w:pPr>
              <w:spacing w:line="196" w:lineRule="exact"/>
              <w:ind w:left="200"/>
              <w:rPr>
                <w:sz w:val="20"/>
                <w:szCs w:val="20"/>
              </w:rPr>
            </w:pPr>
            <w:r>
              <w:rPr>
                <w:rFonts w:ascii="Arial" w:eastAsia="Arial" w:hAnsi="Arial" w:cs="Arial"/>
                <w:sz w:val="18"/>
                <w:szCs w:val="18"/>
              </w:rPr>
              <w:t>Other Matters</w:t>
            </w:r>
          </w:p>
        </w:tc>
      </w:tr>
      <w:tr w:rsidR="00D1587D" w14:paraId="01EB0ECA" w14:textId="77777777">
        <w:trPr>
          <w:trHeight w:val="196"/>
        </w:trPr>
        <w:tc>
          <w:tcPr>
            <w:tcW w:w="1240" w:type="dxa"/>
            <w:gridSpan w:val="12"/>
            <w:tcBorders>
              <w:bottom w:val="single" w:sz="8" w:space="0" w:color="auto"/>
            </w:tcBorders>
            <w:vAlign w:val="bottom"/>
          </w:tcPr>
          <w:p w14:paraId="12B7D031" w14:textId="77777777" w:rsidR="00D1587D" w:rsidRDefault="00410D07">
            <w:pPr>
              <w:spacing w:line="196" w:lineRule="exact"/>
              <w:rPr>
                <w:sz w:val="20"/>
                <w:szCs w:val="20"/>
              </w:rPr>
            </w:pPr>
            <w:r>
              <w:rPr>
                <w:rFonts w:ascii="Arial" w:eastAsia="Arial" w:hAnsi="Arial" w:cs="Arial"/>
                <w:w w:val="88"/>
                <w:sz w:val="18"/>
                <w:szCs w:val="18"/>
              </w:rPr>
              <w:t>Schedule 5.03(b)</w:t>
            </w:r>
          </w:p>
        </w:tc>
        <w:tc>
          <w:tcPr>
            <w:tcW w:w="260" w:type="dxa"/>
            <w:gridSpan w:val="3"/>
            <w:vAlign w:val="bottom"/>
          </w:tcPr>
          <w:p w14:paraId="30BAAB9D" w14:textId="77777777" w:rsidR="00D1587D" w:rsidRDefault="00D1587D">
            <w:pPr>
              <w:rPr>
                <w:sz w:val="17"/>
                <w:szCs w:val="17"/>
              </w:rPr>
            </w:pPr>
          </w:p>
        </w:tc>
        <w:tc>
          <w:tcPr>
            <w:tcW w:w="9740" w:type="dxa"/>
            <w:vAlign w:val="bottom"/>
          </w:tcPr>
          <w:p w14:paraId="04566847" w14:textId="77777777" w:rsidR="00D1587D" w:rsidRDefault="00410D07">
            <w:pPr>
              <w:spacing w:line="196" w:lineRule="exact"/>
              <w:ind w:left="200"/>
              <w:rPr>
                <w:sz w:val="20"/>
                <w:szCs w:val="20"/>
              </w:rPr>
            </w:pPr>
            <w:r>
              <w:rPr>
                <w:rFonts w:ascii="Arial" w:eastAsia="Arial" w:hAnsi="Arial" w:cs="Arial"/>
                <w:sz w:val="18"/>
                <w:szCs w:val="18"/>
              </w:rPr>
              <w:t>L Brands Information</w:t>
            </w:r>
          </w:p>
        </w:tc>
      </w:tr>
      <w:tr w:rsidR="00D1587D" w14:paraId="3C7CEA58" w14:textId="77777777">
        <w:trPr>
          <w:trHeight w:val="196"/>
        </w:trPr>
        <w:tc>
          <w:tcPr>
            <w:tcW w:w="1500" w:type="dxa"/>
            <w:gridSpan w:val="15"/>
            <w:vAlign w:val="bottom"/>
          </w:tcPr>
          <w:p w14:paraId="31A30831" w14:textId="77777777" w:rsidR="00D1587D" w:rsidRDefault="00410D07">
            <w:pPr>
              <w:spacing w:line="196" w:lineRule="exact"/>
              <w:rPr>
                <w:sz w:val="20"/>
                <w:szCs w:val="20"/>
              </w:rPr>
            </w:pPr>
            <w:r>
              <w:rPr>
                <w:rFonts w:ascii="Arial" w:eastAsia="Arial" w:hAnsi="Arial" w:cs="Arial"/>
                <w:sz w:val="18"/>
                <w:szCs w:val="18"/>
              </w:rPr>
              <w:t>Schedule 5.04(c)</w:t>
            </w:r>
          </w:p>
        </w:tc>
        <w:tc>
          <w:tcPr>
            <w:tcW w:w="9740" w:type="dxa"/>
            <w:vAlign w:val="bottom"/>
          </w:tcPr>
          <w:p w14:paraId="567E0B1B" w14:textId="77777777" w:rsidR="00D1587D" w:rsidRDefault="00410D07">
            <w:pPr>
              <w:spacing w:line="196" w:lineRule="exact"/>
              <w:ind w:left="200"/>
              <w:rPr>
                <w:sz w:val="20"/>
                <w:szCs w:val="20"/>
              </w:rPr>
            </w:pPr>
            <w:r>
              <w:rPr>
                <w:rFonts w:ascii="Arial" w:eastAsia="Arial" w:hAnsi="Arial" w:cs="Arial"/>
                <w:sz w:val="18"/>
                <w:szCs w:val="18"/>
              </w:rPr>
              <w:t>Specified L Brands Assumed Actions</w:t>
            </w:r>
          </w:p>
        </w:tc>
      </w:tr>
      <w:tr w:rsidR="00D1587D" w14:paraId="2CCCD976" w14:textId="77777777">
        <w:trPr>
          <w:trHeight w:val="196"/>
        </w:trPr>
        <w:tc>
          <w:tcPr>
            <w:tcW w:w="1100" w:type="dxa"/>
            <w:gridSpan w:val="10"/>
            <w:tcBorders>
              <w:top w:val="single" w:sz="8" w:space="0" w:color="auto"/>
            </w:tcBorders>
            <w:vAlign w:val="bottom"/>
          </w:tcPr>
          <w:p w14:paraId="1F36FC26" w14:textId="77777777" w:rsidR="00D1587D" w:rsidRDefault="00410D07">
            <w:pPr>
              <w:spacing w:line="196" w:lineRule="exact"/>
              <w:rPr>
                <w:sz w:val="20"/>
                <w:szCs w:val="20"/>
              </w:rPr>
            </w:pPr>
            <w:r>
              <w:rPr>
                <w:rFonts w:ascii="Arial" w:eastAsia="Arial" w:hAnsi="Arial" w:cs="Arial"/>
                <w:w w:val="93"/>
                <w:sz w:val="18"/>
                <w:szCs w:val="18"/>
              </w:rPr>
              <w:t>Schedule 6.03</w:t>
            </w:r>
          </w:p>
        </w:tc>
        <w:tc>
          <w:tcPr>
            <w:tcW w:w="120" w:type="dxa"/>
            <w:tcBorders>
              <w:top w:val="single" w:sz="8" w:space="0" w:color="auto"/>
            </w:tcBorders>
            <w:vAlign w:val="bottom"/>
          </w:tcPr>
          <w:p w14:paraId="1B7410E7" w14:textId="77777777" w:rsidR="00D1587D" w:rsidRDefault="00D1587D">
            <w:pPr>
              <w:rPr>
                <w:sz w:val="17"/>
                <w:szCs w:val="17"/>
              </w:rPr>
            </w:pPr>
          </w:p>
        </w:tc>
        <w:tc>
          <w:tcPr>
            <w:tcW w:w="20" w:type="dxa"/>
            <w:vAlign w:val="bottom"/>
          </w:tcPr>
          <w:p w14:paraId="4EB93241" w14:textId="77777777" w:rsidR="00D1587D" w:rsidRDefault="00D1587D">
            <w:pPr>
              <w:rPr>
                <w:sz w:val="17"/>
                <w:szCs w:val="17"/>
              </w:rPr>
            </w:pPr>
          </w:p>
        </w:tc>
        <w:tc>
          <w:tcPr>
            <w:tcW w:w="20" w:type="dxa"/>
            <w:vAlign w:val="bottom"/>
          </w:tcPr>
          <w:p w14:paraId="31C9B444" w14:textId="77777777" w:rsidR="00D1587D" w:rsidRDefault="00D1587D">
            <w:pPr>
              <w:rPr>
                <w:sz w:val="17"/>
                <w:szCs w:val="17"/>
              </w:rPr>
            </w:pPr>
          </w:p>
        </w:tc>
        <w:tc>
          <w:tcPr>
            <w:tcW w:w="20" w:type="dxa"/>
            <w:vAlign w:val="bottom"/>
          </w:tcPr>
          <w:p w14:paraId="22156793" w14:textId="77777777" w:rsidR="00D1587D" w:rsidRDefault="00D1587D">
            <w:pPr>
              <w:rPr>
                <w:sz w:val="17"/>
                <w:szCs w:val="17"/>
              </w:rPr>
            </w:pPr>
          </w:p>
        </w:tc>
        <w:tc>
          <w:tcPr>
            <w:tcW w:w="220" w:type="dxa"/>
            <w:vAlign w:val="bottom"/>
          </w:tcPr>
          <w:p w14:paraId="2A334832" w14:textId="77777777" w:rsidR="00D1587D" w:rsidRDefault="00D1587D">
            <w:pPr>
              <w:rPr>
                <w:sz w:val="17"/>
                <w:szCs w:val="17"/>
              </w:rPr>
            </w:pPr>
          </w:p>
        </w:tc>
        <w:tc>
          <w:tcPr>
            <w:tcW w:w="9740" w:type="dxa"/>
            <w:vAlign w:val="bottom"/>
          </w:tcPr>
          <w:p w14:paraId="0C657F2F" w14:textId="77777777" w:rsidR="00D1587D" w:rsidRDefault="00410D07">
            <w:pPr>
              <w:spacing w:line="196" w:lineRule="exact"/>
              <w:ind w:left="200"/>
              <w:rPr>
                <w:sz w:val="20"/>
                <w:szCs w:val="20"/>
              </w:rPr>
            </w:pPr>
            <w:r>
              <w:rPr>
                <w:rFonts w:ascii="Arial" w:eastAsia="Arial" w:hAnsi="Arial" w:cs="Arial"/>
                <w:sz w:val="18"/>
                <w:szCs w:val="18"/>
              </w:rPr>
              <w:t>Allocation of Certain Expenses</w:t>
            </w:r>
          </w:p>
        </w:tc>
      </w:tr>
      <w:tr w:rsidR="00D1587D" w14:paraId="63D5F7E0" w14:textId="77777777">
        <w:trPr>
          <w:trHeight w:val="412"/>
        </w:trPr>
        <w:tc>
          <w:tcPr>
            <w:tcW w:w="880" w:type="dxa"/>
            <w:gridSpan w:val="7"/>
            <w:tcBorders>
              <w:top w:val="single" w:sz="8" w:space="0" w:color="auto"/>
              <w:bottom w:val="single" w:sz="8" w:space="0" w:color="auto"/>
            </w:tcBorders>
            <w:vAlign w:val="bottom"/>
          </w:tcPr>
          <w:p w14:paraId="49BF3DDD" w14:textId="77777777" w:rsidR="00D1587D" w:rsidRDefault="00410D07">
            <w:pPr>
              <w:rPr>
                <w:sz w:val="20"/>
                <w:szCs w:val="20"/>
              </w:rPr>
            </w:pPr>
            <w:r>
              <w:rPr>
                <w:rFonts w:ascii="Arial" w:eastAsia="Arial" w:hAnsi="Arial" w:cs="Arial"/>
                <w:b/>
                <w:bCs/>
                <w:sz w:val="18"/>
                <w:szCs w:val="18"/>
              </w:rPr>
              <w:t>EXHIBITS</w:t>
            </w:r>
          </w:p>
        </w:tc>
        <w:tc>
          <w:tcPr>
            <w:tcW w:w="140" w:type="dxa"/>
            <w:tcBorders>
              <w:top w:val="single" w:sz="8" w:space="0" w:color="auto"/>
            </w:tcBorders>
            <w:vAlign w:val="bottom"/>
          </w:tcPr>
          <w:p w14:paraId="48B51164" w14:textId="77777777" w:rsidR="00D1587D" w:rsidRDefault="00D1587D">
            <w:pPr>
              <w:rPr>
                <w:sz w:val="24"/>
                <w:szCs w:val="24"/>
              </w:rPr>
            </w:pPr>
          </w:p>
        </w:tc>
        <w:tc>
          <w:tcPr>
            <w:tcW w:w="80" w:type="dxa"/>
            <w:gridSpan w:val="2"/>
            <w:vAlign w:val="bottom"/>
          </w:tcPr>
          <w:p w14:paraId="6568F574" w14:textId="77777777" w:rsidR="00D1587D" w:rsidRDefault="00D1587D">
            <w:pPr>
              <w:rPr>
                <w:sz w:val="24"/>
                <w:szCs w:val="24"/>
              </w:rPr>
            </w:pPr>
          </w:p>
        </w:tc>
        <w:tc>
          <w:tcPr>
            <w:tcW w:w="120" w:type="dxa"/>
            <w:vAlign w:val="bottom"/>
          </w:tcPr>
          <w:p w14:paraId="069D51F7" w14:textId="77777777" w:rsidR="00D1587D" w:rsidRDefault="00D1587D">
            <w:pPr>
              <w:rPr>
                <w:sz w:val="24"/>
                <w:szCs w:val="24"/>
              </w:rPr>
            </w:pPr>
          </w:p>
        </w:tc>
        <w:tc>
          <w:tcPr>
            <w:tcW w:w="20" w:type="dxa"/>
            <w:vAlign w:val="bottom"/>
          </w:tcPr>
          <w:p w14:paraId="5C5E16A5" w14:textId="77777777" w:rsidR="00D1587D" w:rsidRDefault="00D1587D">
            <w:pPr>
              <w:rPr>
                <w:sz w:val="24"/>
                <w:szCs w:val="24"/>
              </w:rPr>
            </w:pPr>
          </w:p>
        </w:tc>
        <w:tc>
          <w:tcPr>
            <w:tcW w:w="20" w:type="dxa"/>
            <w:vAlign w:val="bottom"/>
          </w:tcPr>
          <w:p w14:paraId="20978E56" w14:textId="77777777" w:rsidR="00D1587D" w:rsidRDefault="00D1587D">
            <w:pPr>
              <w:rPr>
                <w:sz w:val="24"/>
                <w:szCs w:val="24"/>
              </w:rPr>
            </w:pPr>
          </w:p>
        </w:tc>
        <w:tc>
          <w:tcPr>
            <w:tcW w:w="20" w:type="dxa"/>
            <w:vAlign w:val="bottom"/>
          </w:tcPr>
          <w:p w14:paraId="713C3D46" w14:textId="77777777" w:rsidR="00D1587D" w:rsidRDefault="00D1587D">
            <w:pPr>
              <w:rPr>
                <w:sz w:val="24"/>
                <w:szCs w:val="24"/>
              </w:rPr>
            </w:pPr>
          </w:p>
        </w:tc>
        <w:tc>
          <w:tcPr>
            <w:tcW w:w="220" w:type="dxa"/>
            <w:vAlign w:val="bottom"/>
          </w:tcPr>
          <w:p w14:paraId="2F07A3F0" w14:textId="77777777" w:rsidR="00D1587D" w:rsidRDefault="00D1587D">
            <w:pPr>
              <w:rPr>
                <w:sz w:val="24"/>
                <w:szCs w:val="24"/>
              </w:rPr>
            </w:pPr>
          </w:p>
        </w:tc>
        <w:tc>
          <w:tcPr>
            <w:tcW w:w="9740" w:type="dxa"/>
            <w:vAlign w:val="bottom"/>
          </w:tcPr>
          <w:p w14:paraId="5328EB41" w14:textId="77777777" w:rsidR="00D1587D" w:rsidRDefault="00D1587D">
            <w:pPr>
              <w:rPr>
                <w:sz w:val="24"/>
                <w:szCs w:val="24"/>
              </w:rPr>
            </w:pPr>
          </w:p>
        </w:tc>
      </w:tr>
      <w:tr w:rsidR="00D1587D" w14:paraId="6338B87F" w14:textId="77777777">
        <w:trPr>
          <w:trHeight w:val="412"/>
        </w:trPr>
        <w:tc>
          <w:tcPr>
            <w:tcW w:w="720" w:type="dxa"/>
            <w:gridSpan w:val="4"/>
            <w:tcBorders>
              <w:bottom w:val="single" w:sz="8" w:space="0" w:color="auto"/>
            </w:tcBorders>
            <w:vAlign w:val="bottom"/>
          </w:tcPr>
          <w:p w14:paraId="22932F5B" w14:textId="77777777" w:rsidR="00D1587D" w:rsidRDefault="00410D07">
            <w:pPr>
              <w:rPr>
                <w:sz w:val="20"/>
                <w:szCs w:val="20"/>
              </w:rPr>
            </w:pPr>
            <w:r>
              <w:rPr>
                <w:rFonts w:ascii="Arial" w:eastAsia="Arial" w:hAnsi="Arial" w:cs="Arial"/>
                <w:w w:val="98"/>
                <w:sz w:val="18"/>
                <w:szCs w:val="18"/>
              </w:rPr>
              <w:t>Exhibit A</w:t>
            </w:r>
          </w:p>
        </w:tc>
        <w:tc>
          <w:tcPr>
            <w:tcW w:w="380" w:type="dxa"/>
            <w:gridSpan w:val="6"/>
            <w:vAlign w:val="bottom"/>
          </w:tcPr>
          <w:p w14:paraId="038C8DE1" w14:textId="77777777" w:rsidR="00D1587D" w:rsidRDefault="00D1587D">
            <w:pPr>
              <w:rPr>
                <w:sz w:val="24"/>
                <w:szCs w:val="24"/>
              </w:rPr>
            </w:pPr>
          </w:p>
        </w:tc>
        <w:tc>
          <w:tcPr>
            <w:tcW w:w="120" w:type="dxa"/>
            <w:vAlign w:val="bottom"/>
          </w:tcPr>
          <w:p w14:paraId="422B9FB8" w14:textId="77777777" w:rsidR="00D1587D" w:rsidRDefault="00D1587D">
            <w:pPr>
              <w:rPr>
                <w:sz w:val="24"/>
                <w:szCs w:val="24"/>
              </w:rPr>
            </w:pPr>
          </w:p>
        </w:tc>
        <w:tc>
          <w:tcPr>
            <w:tcW w:w="20" w:type="dxa"/>
            <w:vAlign w:val="bottom"/>
          </w:tcPr>
          <w:p w14:paraId="1E9B2B6A" w14:textId="77777777" w:rsidR="00D1587D" w:rsidRDefault="00D1587D">
            <w:pPr>
              <w:rPr>
                <w:sz w:val="24"/>
                <w:szCs w:val="24"/>
              </w:rPr>
            </w:pPr>
          </w:p>
        </w:tc>
        <w:tc>
          <w:tcPr>
            <w:tcW w:w="20" w:type="dxa"/>
            <w:vAlign w:val="bottom"/>
          </w:tcPr>
          <w:p w14:paraId="41DD459E" w14:textId="77777777" w:rsidR="00D1587D" w:rsidRDefault="00D1587D">
            <w:pPr>
              <w:rPr>
                <w:sz w:val="24"/>
                <w:szCs w:val="24"/>
              </w:rPr>
            </w:pPr>
          </w:p>
        </w:tc>
        <w:tc>
          <w:tcPr>
            <w:tcW w:w="20" w:type="dxa"/>
            <w:vAlign w:val="bottom"/>
          </w:tcPr>
          <w:p w14:paraId="60C49C82" w14:textId="77777777" w:rsidR="00D1587D" w:rsidRDefault="00D1587D">
            <w:pPr>
              <w:rPr>
                <w:sz w:val="24"/>
                <w:szCs w:val="24"/>
              </w:rPr>
            </w:pPr>
          </w:p>
        </w:tc>
        <w:tc>
          <w:tcPr>
            <w:tcW w:w="220" w:type="dxa"/>
            <w:vAlign w:val="bottom"/>
          </w:tcPr>
          <w:p w14:paraId="71B50675" w14:textId="77777777" w:rsidR="00D1587D" w:rsidRDefault="00D1587D">
            <w:pPr>
              <w:rPr>
                <w:sz w:val="24"/>
                <w:szCs w:val="24"/>
              </w:rPr>
            </w:pPr>
          </w:p>
        </w:tc>
        <w:tc>
          <w:tcPr>
            <w:tcW w:w="9740" w:type="dxa"/>
            <w:vAlign w:val="bottom"/>
          </w:tcPr>
          <w:p w14:paraId="48C5B189" w14:textId="77777777" w:rsidR="00D1587D" w:rsidRDefault="00410D07">
            <w:pPr>
              <w:ind w:left="200"/>
              <w:rPr>
                <w:sz w:val="20"/>
                <w:szCs w:val="20"/>
              </w:rPr>
            </w:pPr>
            <w:r>
              <w:rPr>
                <w:rFonts w:ascii="Arial" w:eastAsia="Arial" w:hAnsi="Arial" w:cs="Arial"/>
                <w:sz w:val="18"/>
                <w:szCs w:val="18"/>
              </w:rPr>
              <w:t>Aviation Agreement</w:t>
            </w:r>
          </w:p>
        </w:tc>
      </w:tr>
      <w:tr w:rsidR="00D1587D" w14:paraId="5AAF50C0" w14:textId="77777777">
        <w:trPr>
          <w:trHeight w:val="196"/>
        </w:trPr>
        <w:tc>
          <w:tcPr>
            <w:tcW w:w="740" w:type="dxa"/>
            <w:gridSpan w:val="5"/>
            <w:tcBorders>
              <w:bottom w:val="single" w:sz="8" w:space="0" w:color="auto"/>
            </w:tcBorders>
            <w:vAlign w:val="bottom"/>
          </w:tcPr>
          <w:p w14:paraId="120AD747" w14:textId="77777777" w:rsidR="00D1587D" w:rsidRDefault="00410D07">
            <w:pPr>
              <w:spacing w:line="196" w:lineRule="exact"/>
              <w:rPr>
                <w:sz w:val="20"/>
                <w:szCs w:val="20"/>
              </w:rPr>
            </w:pPr>
            <w:r>
              <w:rPr>
                <w:rFonts w:ascii="Arial" w:eastAsia="Arial" w:hAnsi="Arial" w:cs="Arial"/>
                <w:sz w:val="18"/>
                <w:szCs w:val="18"/>
              </w:rPr>
              <w:t>Exhibit B</w:t>
            </w:r>
          </w:p>
        </w:tc>
        <w:tc>
          <w:tcPr>
            <w:tcW w:w="360" w:type="dxa"/>
            <w:gridSpan w:val="5"/>
            <w:vAlign w:val="bottom"/>
          </w:tcPr>
          <w:p w14:paraId="44F16AED" w14:textId="77777777" w:rsidR="00D1587D" w:rsidRDefault="00D1587D">
            <w:pPr>
              <w:rPr>
                <w:sz w:val="17"/>
                <w:szCs w:val="17"/>
              </w:rPr>
            </w:pPr>
          </w:p>
        </w:tc>
        <w:tc>
          <w:tcPr>
            <w:tcW w:w="120" w:type="dxa"/>
            <w:vAlign w:val="bottom"/>
          </w:tcPr>
          <w:p w14:paraId="7C9FDF69" w14:textId="77777777" w:rsidR="00D1587D" w:rsidRDefault="00D1587D">
            <w:pPr>
              <w:rPr>
                <w:sz w:val="17"/>
                <w:szCs w:val="17"/>
              </w:rPr>
            </w:pPr>
          </w:p>
        </w:tc>
        <w:tc>
          <w:tcPr>
            <w:tcW w:w="20" w:type="dxa"/>
            <w:vAlign w:val="bottom"/>
          </w:tcPr>
          <w:p w14:paraId="1C4AACC4" w14:textId="77777777" w:rsidR="00D1587D" w:rsidRDefault="00D1587D">
            <w:pPr>
              <w:rPr>
                <w:sz w:val="17"/>
                <w:szCs w:val="17"/>
              </w:rPr>
            </w:pPr>
          </w:p>
        </w:tc>
        <w:tc>
          <w:tcPr>
            <w:tcW w:w="20" w:type="dxa"/>
            <w:vAlign w:val="bottom"/>
          </w:tcPr>
          <w:p w14:paraId="77D2AB26" w14:textId="77777777" w:rsidR="00D1587D" w:rsidRDefault="00D1587D">
            <w:pPr>
              <w:rPr>
                <w:sz w:val="17"/>
                <w:szCs w:val="17"/>
              </w:rPr>
            </w:pPr>
          </w:p>
        </w:tc>
        <w:tc>
          <w:tcPr>
            <w:tcW w:w="20" w:type="dxa"/>
            <w:vAlign w:val="bottom"/>
          </w:tcPr>
          <w:p w14:paraId="67FCC9BD" w14:textId="77777777" w:rsidR="00D1587D" w:rsidRDefault="00D1587D">
            <w:pPr>
              <w:rPr>
                <w:sz w:val="17"/>
                <w:szCs w:val="17"/>
              </w:rPr>
            </w:pPr>
          </w:p>
        </w:tc>
        <w:tc>
          <w:tcPr>
            <w:tcW w:w="220" w:type="dxa"/>
            <w:vAlign w:val="bottom"/>
          </w:tcPr>
          <w:p w14:paraId="67D43817" w14:textId="77777777" w:rsidR="00D1587D" w:rsidRDefault="00D1587D">
            <w:pPr>
              <w:rPr>
                <w:sz w:val="17"/>
                <w:szCs w:val="17"/>
              </w:rPr>
            </w:pPr>
          </w:p>
        </w:tc>
        <w:tc>
          <w:tcPr>
            <w:tcW w:w="9740" w:type="dxa"/>
            <w:vAlign w:val="bottom"/>
          </w:tcPr>
          <w:p w14:paraId="5378C1CA" w14:textId="77777777" w:rsidR="00D1587D" w:rsidRDefault="00410D07">
            <w:pPr>
              <w:spacing w:line="196" w:lineRule="exact"/>
              <w:ind w:left="200"/>
              <w:rPr>
                <w:sz w:val="20"/>
                <w:szCs w:val="20"/>
              </w:rPr>
            </w:pPr>
            <w:r>
              <w:rPr>
                <w:rFonts w:ascii="Arial" w:eastAsia="Arial" w:hAnsi="Arial" w:cs="Arial"/>
                <w:sz w:val="18"/>
                <w:szCs w:val="18"/>
              </w:rPr>
              <w:t>Campus Security and Emergency Operations Services Agreement</w:t>
            </w:r>
          </w:p>
        </w:tc>
      </w:tr>
      <w:tr w:rsidR="00D1587D" w14:paraId="65B0F4A8" w14:textId="77777777">
        <w:trPr>
          <w:trHeight w:val="196"/>
        </w:trPr>
        <w:tc>
          <w:tcPr>
            <w:tcW w:w="740" w:type="dxa"/>
            <w:gridSpan w:val="5"/>
            <w:tcBorders>
              <w:bottom w:val="single" w:sz="8" w:space="0" w:color="auto"/>
            </w:tcBorders>
            <w:vAlign w:val="bottom"/>
          </w:tcPr>
          <w:p w14:paraId="12B9C4F2" w14:textId="77777777" w:rsidR="00D1587D" w:rsidRDefault="00410D07">
            <w:pPr>
              <w:spacing w:line="196" w:lineRule="exact"/>
              <w:rPr>
                <w:sz w:val="20"/>
                <w:szCs w:val="20"/>
              </w:rPr>
            </w:pPr>
            <w:r>
              <w:rPr>
                <w:rFonts w:ascii="Arial" w:eastAsia="Arial" w:hAnsi="Arial" w:cs="Arial"/>
                <w:w w:val="99"/>
                <w:sz w:val="18"/>
                <w:szCs w:val="18"/>
              </w:rPr>
              <w:t>Exhibit C</w:t>
            </w:r>
          </w:p>
        </w:tc>
        <w:tc>
          <w:tcPr>
            <w:tcW w:w="360" w:type="dxa"/>
            <w:gridSpan w:val="5"/>
            <w:vAlign w:val="bottom"/>
          </w:tcPr>
          <w:p w14:paraId="7BC540AB" w14:textId="77777777" w:rsidR="00D1587D" w:rsidRDefault="00D1587D">
            <w:pPr>
              <w:rPr>
                <w:sz w:val="17"/>
                <w:szCs w:val="17"/>
              </w:rPr>
            </w:pPr>
          </w:p>
        </w:tc>
        <w:tc>
          <w:tcPr>
            <w:tcW w:w="120" w:type="dxa"/>
            <w:vAlign w:val="bottom"/>
          </w:tcPr>
          <w:p w14:paraId="594EC845" w14:textId="77777777" w:rsidR="00D1587D" w:rsidRDefault="00D1587D">
            <w:pPr>
              <w:rPr>
                <w:sz w:val="17"/>
                <w:szCs w:val="17"/>
              </w:rPr>
            </w:pPr>
          </w:p>
        </w:tc>
        <w:tc>
          <w:tcPr>
            <w:tcW w:w="20" w:type="dxa"/>
            <w:vAlign w:val="bottom"/>
          </w:tcPr>
          <w:p w14:paraId="3E65EB7D" w14:textId="77777777" w:rsidR="00D1587D" w:rsidRDefault="00D1587D">
            <w:pPr>
              <w:rPr>
                <w:sz w:val="17"/>
                <w:szCs w:val="17"/>
              </w:rPr>
            </w:pPr>
          </w:p>
        </w:tc>
        <w:tc>
          <w:tcPr>
            <w:tcW w:w="20" w:type="dxa"/>
            <w:vAlign w:val="bottom"/>
          </w:tcPr>
          <w:p w14:paraId="6707EDE1" w14:textId="77777777" w:rsidR="00D1587D" w:rsidRDefault="00D1587D">
            <w:pPr>
              <w:rPr>
                <w:sz w:val="17"/>
                <w:szCs w:val="17"/>
              </w:rPr>
            </w:pPr>
          </w:p>
        </w:tc>
        <w:tc>
          <w:tcPr>
            <w:tcW w:w="20" w:type="dxa"/>
            <w:vAlign w:val="bottom"/>
          </w:tcPr>
          <w:p w14:paraId="363DB7EA" w14:textId="77777777" w:rsidR="00D1587D" w:rsidRDefault="00D1587D">
            <w:pPr>
              <w:rPr>
                <w:sz w:val="17"/>
                <w:szCs w:val="17"/>
              </w:rPr>
            </w:pPr>
          </w:p>
        </w:tc>
        <w:tc>
          <w:tcPr>
            <w:tcW w:w="220" w:type="dxa"/>
            <w:vAlign w:val="bottom"/>
          </w:tcPr>
          <w:p w14:paraId="78C56A6A" w14:textId="77777777" w:rsidR="00D1587D" w:rsidRDefault="00D1587D">
            <w:pPr>
              <w:rPr>
                <w:sz w:val="17"/>
                <w:szCs w:val="17"/>
              </w:rPr>
            </w:pPr>
          </w:p>
        </w:tc>
        <w:tc>
          <w:tcPr>
            <w:tcW w:w="9740" w:type="dxa"/>
            <w:vAlign w:val="bottom"/>
          </w:tcPr>
          <w:p w14:paraId="48905F9D" w14:textId="77777777" w:rsidR="00D1587D" w:rsidRDefault="00410D07">
            <w:pPr>
              <w:spacing w:line="196" w:lineRule="exact"/>
              <w:ind w:left="200"/>
              <w:rPr>
                <w:sz w:val="20"/>
                <w:szCs w:val="20"/>
              </w:rPr>
            </w:pPr>
            <w:r>
              <w:rPr>
                <w:rFonts w:ascii="Arial" w:eastAsia="Arial" w:hAnsi="Arial" w:cs="Arial"/>
                <w:sz w:val="18"/>
                <w:szCs w:val="18"/>
              </w:rPr>
              <w:t>DC2 Lease</w:t>
            </w:r>
          </w:p>
        </w:tc>
      </w:tr>
      <w:tr w:rsidR="00D1587D" w14:paraId="4FBD838B" w14:textId="77777777">
        <w:trPr>
          <w:trHeight w:val="196"/>
        </w:trPr>
        <w:tc>
          <w:tcPr>
            <w:tcW w:w="720" w:type="dxa"/>
            <w:gridSpan w:val="4"/>
            <w:tcBorders>
              <w:bottom w:val="single" w:sz="8" w:space="0" w:color="auto"/>
            </w:tcBorders>
            <w:vAlign w:val="bottom"/>
          </w:tcPr>
          <w:p w14:paraId="50A6BD14" w14:textId="77777777" w:rsidR="00D1587D" w:rsidRDefault="00410D07">
            <w:pPr>
              <w:spacing w:line="196" w:lineRule="exact"/>
              <w:rPr>
                <w:sz w:val="20"/>
                <w:szCs w:val="20"/>
              </w:rPr>
            </w:pPr>
            <w:r>
              <w:rPr>
                <w:rFonts w:ascii="Arial" w:eastAsia="Arial" w:hAnsi="Arial" w:cs="Arial"/>
                <w:w w:val="97"/>
                <w:sz w:val="18"/>
                <w:szCs w:val="18"/>
              </w:rPr>
              <w:t>Exhibit D</w:t>
            </w:r>
          </w:p>
        </w:tc>
        <w:tc>
          <w:tcPr>
            <w:tcW w:w="380" w:type="dxa"/>
            <w:gridSpan w:val="6"/>
            <w:vAlign w:val="bottom"/>
          </w:tcPr>
          <w:p w14:paraId="27B07F42" w14:textId="77777777" w:rsidR="00D1587D" w:rsidRDefault="00D1587D">
            <w:pPr>
              <w:rPr>
                <w:sz w:val="17"/>
                <w:szCs w:val="17"/>
              </w:rPr>
            </w:pPr>
          </w:p>
        </w:tc>
        <w:tc>
          <w:tcPr>
            <w:tcW w:w="120" w:type="dxa"/>
            <w:vAlign w:val="bottom"/>
          </w:tcPr>
          <w:p w14:paraId="390EDC65" w14:textId="77777777" w:rsidR="00D1587D" w:rsidRDefault="00D1587D">
            <w:pPr>
              <w:rPr>
                <w:sz w:val="17"/>
                <w:szCs w:val="17"/>
              </w:rPr>
            </w:pPr>
          </w:p>
        </w:tc>
        <w:tc>
          <w:tcPr>
            <w:tcW w:w="20" w:type="dxa"/>
            <w:vAlign w:val="bottom"/>
          </w:tcPr>
          <w:p w14:paraId="0A29EB3B" w14:textId="77777777" w:rsidR="00D1587D" w:rsidRDefault="00D1587D">
            <w:pPr>
              <w:rPr>
                <w:sz w:val="17"/>
                <w:szCs w:val="17"/>
              </w:rPr>
            </w:pPr>
          </w:p>
        </w:tc>
        <w:tc>
          <w:tcPr>
            <w:tcW w:w="20" w:type="dxa"/>
            <w:vAlign w:val="bottom"/>
          </w:tcPr>
          <w:p w14:paraId="0531F66D" w14:textId="77777777" w:rsidR="00D1587D" w:rsidRDefault="00D1587D">
            <w:pPr>
              <w:rPr>
                <w:sz w:val="17"/>
                <w:szCs w:val="17"/>
              </w:rPr>
            </w:pPr>
          </w:p>
        </w:tc>
        <w:tc>
          <w:tcPr>
            <w:tcW w:w="20" w:type="dxa"/>
            <w:vAlign w:val="bottom"/>
          </w:tcPr>
          <w:p w14:paraId="68C76BB7" w14:textId="77777777" w:rsidR="00D1587D" w:rsidRDefault="00D1587D">
            <w:pPr>
              <w:rPr>
                <w:sz w:val="17"/>
                <w:szCs w:val="17"/>
              </w:rPr>
            </w:pPr>
          </w:p>
        </w:tc>
        <w:tc>
          <w:tcPr>
            <w:tcW w:w="220" w:type="dxa"/>
            <w:vAlign w:val="bottom"/>
          </w:tcPr>
          <w:p w14:paraId="457C4D8E" w14:textId="77777777" w:rsidR="00D1587D" w:rsidRDefault="00D1587D">
            <w:pPr>
              <w:rPr>
                <w:sz w:val="17"/>
                <w:szCs w:val="17"/>
              </w:rPr>
            </w:pPr>
          </w:p>
        </w:tc>
        <w:tc>
          <w:tcPr>
            <w:tcW w:w="9740" w:type="dxa"/>
            <w:vAlign w:val="bottom"/>
          </w:tcPr>
          <w:p w14:paraId="4CB82703" w14:textId="77777777" w:rsidR="00D1587D" w:rsidRDefault="00410D07">
            <w:pPr>
              <w:spacing w:line="196" w:lineRule="exact"/>
              <w:ind w:left="200"/>
              <w:rPr>
                <w:sz w:val="20"/>
                <w:szCs w:val="20"/>
              </w:rPr>
            </w:pPr>
            <w:r>
              <w:rPr>
                <w:rFonts w:ascii="Arial" w:eastAsia="Arial" w:hAnsi="Arial" w:cs="Arial"/>
                <w:sz w:val="18"/>
                <w:szCs w:val="18"/>
              </w:rPr>
              <w:t xml:space="preserve">Domestic Transportation Services </w:t>
            </w:r>
            <w:r>
              <w:rPr>
                <w:rFonts w:ascii="Arial" w:eastAsia="Arial" w:hAnsi="Arial" w:cs="Arial"/>
                <w:sz w:val="18"/>
                <w:szCs w:val="18"/>
              </w:rPr>
              <w:t>Agreement</w:t>
            </w:r>
          </w:p>
        </w:tc>
      </w:tr>
      <w:tr w:rsidR="00D1587D" w14:paraId="77E7B04F" w14:textId="77777777">
        <w:trPr>
          <w:trHeight w:val="196"/>
        </w:trPr>
        <w:tc>
          <w:tcPr>
            <w:tcW w:w="700" w:type="dxa"/>
            <w:gridSpan w:val="3"/>
            <w:tcBorders>
              <w:bottom w:val="single" w:sz="8" w:space="0" w:color="auto"/>
            </w:tcBorders>
            <w:vAlign w:val="bottom"/>
          </w:tcPr>
          <w:p w14:paraId="346C4317" w14:textId="77777777" w:rsidR="00D1587D" w:rsidRDefault="00410D07">
            <w:pPr>
              <w:spacing w:line="196" w:lineRule="exact"/>
              <w:rPr>
                <w:sz w:val="20"/>
                <w:szCs w:val="20"/>
              </w:rPr>
            </w:pPr>
            <w:r>
              <w:rPr>
                <w:rFonts w:ascii="Arial" w:eastAsia="Arial" w:hAnsi="Arial" w:cs="Arial"/>
                <w:w w:val="95"/>
                <w:sz w:val="18"/>
                <w:szCs w:val="18"/>
              </w:rPr>
              <w:t>Exhibit E</w:t>
            </w:r>
          </w:p>
        </w:tc>
        <w:tc>
          <w:tcPr>
            <w:tcW w:w="400" w:type="dxa"/>
            <w:gridSpan w:val="7"/>
            <w:vAlign w:val="bottom"/>
          </w:tcPr>
          <w:p w14:paraId="385689CB" w14:textId="77777777" w:rsidR="00D1587D" w:rsidRDefault="00D1587D">
            <w:pPr>
              <w:rPr>
                <w:sz w:val="17"/>
                <w:szCs w:val="17"/>
              </w:rPr>
            </w:pPr>
          </w:p>
        </w:tc>
        <w:tc>
          <w:tcPr>
            <w:tcW w:w="120" w:type="dxa"/>
            <w:vAlign w:val="bottom"/>
          </w:tcPr>
          <w:p w14:paraId="6AF112AD" w14:textId="77777777" w:rsidR="00D1587D" w:rsidRDefault="00D1587D">
            <w:pPr>
              <w:rPr>
                <w:sz w:val="17"/>
                <w:szCs w:val="17"/>
              </w:rPr>
            </w:pPr>
          </w:p>
        </w:tc>
        <w:tc>
          <w:tcPr>
            <w:tcW w:w="20" w:type="dxa"/>
            <w:vAlign w:val="bottom"/>
          </w:tcPr>
          <w:p w14:paraId="3D666033" w14:textId="77777777" w:rsidR="00D1587D" w:rsidRDefault="00D1587D">
            <w:pPr>
              <w:rPr>
                <w:sz w:val="17"/>
                <w:szCs w:val="17"/>
              </w:rPr>
            </w:pPr>
          </w:p>
        </w:tc>
        <w:tc>
          <w:tcPr>
            <w:tcW w:w="20" w:type="dxa"/>
            <w:vAlign w:val="bottom"/>
          </w:tcPr>
          <w:p w14:paraId="1B8546FE" w14:textId="77777777" w:rsidR="00D1587D" w:rsidRDefault="00D1587D">
            <w:pPr>
              <w:rPr>
                <w:sz w:val="17"/>
                <w:szCs w:val="17"/>
              </w:rPr>
            </w:pPr>
          </w:p>
        </w:tc>
        <w:tc>
          <w:tcPr>
            <w:tcW w:w="20" w:type="dxa"/>
            <w:vAlign w:val="bottom"/>
          </w:tcPr>
          <w:p w14:paraId="6301362B" w14:textId="77777777" w:rsidR="00D1587D" w:rsidRDefault="00D1587D">
            <w:pPr>
              <w:rPr>
                <w:sz w:val="17"/>
                <w:szCs w:val="17"/>
              </w:rPr>
            </w:pPr>
          </w:p>
        </w:tc>
        <w:tc>
          <w:tcPr>
            <w:tcW w:w="220" w:type="dxa"/>
            <w:vAlign w:val="bottom"/>
          </w:tcPr>
          <w:p w14:paraId="4087FCCB" w14:textId="77777777" w:rsidR="00D1587D" w:rsidRDefault="00D1587D">
            <w:pPr>
              <w:rPr>
                <w:sz w:val="17"/>
                <w:szCs w:val="17"/>
              </w:rPr>
            </w:pPr>
          </w:p>
        </w:tc>
        <w:tc>
          <w:tcPr>
            <w:tcW w:w="9740" w:type="dxa"/>
            <w:vAlign w:val="bottom"/>
          </w:tcPr>
          <w:p w14:paraId="3BF9C42C" w14:textId="77777777" w:rsidR="00D1587D" w:rsidRDefault="00410D07">
            <w:pPr>
              <w:spacing w:line="196" w:lineRule="exact"/>
              <w:ind w:left="200"/>
              <w:rPr>
                <w:sz w:val="20"/>
                <w:szCs w:val="20"/>
              </w:rPr>
            </w:pPr>
            <w:r>
              <w:rPr>
                <w:rFonts w:ascii="Arial" w:eastAsia="Arial" w:hAnsi="Arial" w:cs="Arial"/>
                <w:sz w:val="18"/>
                <w:szCs w:val="18"/>
              </w:rPr>
              <w:t>Employee Matters Agreement</w:t>
            </w:r>
          </w:p>
        </w:tc>
      </w:tr>
      <w:tr w:rsidR="00D1587D" w14:paraId="46F64221" w14:textId="77777777">
        <w:trPr>
          <w:trHeight w:val="196"/>
        </w:trPr>
        <w:tc>
          <w:tcPr>
            <w:tcW w:w="1100" w:type="dxa"/>
            <w:gridSpan w:val="10"/>
            <w:vAlign w:val="bottom"/>
          </w:tcPr>
          <w:p w14:paraId="0E63CF39" w14:textId="77777777" w:rsidR="00D1587D" w:rsidRDefault="00410D07">
            <w:pPr>
              <w:spacing w:line="196" w:lineRule="exact"/>
              <w:rPr>
                <w:sz w:val="20"/>
                <w:szCs w:val="20"/>
              </w:rPr>
            </w:pPr>
            <w:r>
              <w:rPr>
                <w:rFonts w:ascii="Arial" w:eastAsia="Arial" w:hAnsi="Arial" w:cs="Arial"/>
                <w:sz w:val="18"/>
                <w:szCs w:val="18"/>
              </w:rPr>
              <w:t>Exhibit F</w:t>
            </w:r>
          </w:p>
        </w:tc>
        <w:tc>
          <w:tcPr>
            <w:tcW w:w="120" w:type="dxa"/>
            <w:vAlign w:val="bottom"/>
          </w:tcPr>
          <w:p w14:paraId="26116F63" w14:textId="77777777" w:rsidR="00D1587D" w:rsidRDefault="00D1587D">
            <w:pPr>
              <w:rPr>
                <w:sz w:val="17"/>
                <w:szCs w:val="17"/>
              </w:rPr>
            </w:pPr>
          </w:p>
        </w:tc>
        <w:tc>
          <w:tcPr>
            <w:tcW w:w="20" w:type="dxa"/>
            <w:vAlign w:val="bottom"/>
          </w:tcPr>
          <w:p w14:paraId="05EAECDB" w14:textId="77777777" w:rsidR="00D1587D" w:rsidRDefault="00D1587D">
            <w:pPr>
              <w:rPr>
                <w:sz w:val="17"/>
                <w:szCs w:val="17"/>
              </w:rPr>
            </w:pPr>
          </w:p>
        </w:tc>
        <w:tc>
          <w:tcPr>
            <w:tcW w:w="20" w:type="dxa"/>
            <w:vAlign w:val="bottom"/>
          </w:tcPr>
          <w:p w14:paraId="208D3067" w14:textId="77777777" w:rsidR="00D1587D" w:rsidRDefault="00D1587D">
            <w:pPr>
              <w:rPr>
                <w:sz w:val="17"/>
                <w:szCs w:val="17"/>
              </w:rPr>
            </w:pPr>
          </w:p>
        </w:tc>
        <w:tc>
          <w:tcPr>
            <w:tcW w:w="20" w:type="dxa"/>
            <w:vAlign w:val="bottom"/>
          </w:tcPr>
          <w:p w14:paraId="6386A4A6" w14:textId="77777777" w:rsidR="00D1587D" w:rsidRDefault="00D1587D">
            <w:pPr>
              <w:rPr>
                <w:sz w:val="17"/>
                <w:szCs w:val="17"/>
              </w:rPr>
            </w:pPr>
          </w:p>
        </w:tc>
        <w:tc>
          <w:tcPr>
            <w:tcW w:w="220" w:type="dxa"/>
            <w:vAlign w:val="bottom"/>
          </w:tcPr>
          <w:p w14:paraId="3F676E37" w14:textId="77777777" w:rsidR="00D1587D" w:rsidRDefault="00D1587D">
            <w:pPr>
              <w:rPr>
                <w:sz w:val="17"/>
                <w:szCs w:val="17"/>
              </w:rPr>
            </w:pPr>
          </w:p>
        </w:tc>
        <w:tc>
          <w:tcPr>
            <w:tcW w:w="9740" w:type="dxa"/>
            <w:vAlign w:val="bottom"/>
          </w:tcPr>
          <w:p w14:paraId="7DFBFBC2" w14:textId="77777777" w:rsidR="00D1587D" w:rsidRDefault="00410D07">
            <w:pPr>
              <w:spacing w:line="196" w:lineRule="exact"/>
              <w:ind w:left="200"/>
              <w:rPr>
                <w:sz w:val="20"/>
                <w:szCs w:val="20"/>
              </w:rPr>
            </w:pPr>
            <w:r>
              <w:rPr>
                <w:rFonts w:ascii="Arial" w:eastAsia="Arial" w:hAnsi="Arial" w:cs="Arial"/>
                <w:sz w:val="18"/>
                <w:szCs w:val="18"/>
              </w:rPr>
              <w:t>L Brands to VS Transition Services Agreement</w:t>
            </w:r>
          </w:p>
        </w:tc>
      </w:tr>
      <w:tr w:rsidR="00D1587D" w14:paraId="3EA6B552" w14:textId="77777777">
        <w:trPr>
          <w:trHeight w:val="20"/>
        </w:trPr>
        <w:tc>
          <w:tcPr>
            <w:tcW w:w="640" w:type="dxa"/>
            <w:shd w:val="clear" w:color="auto" w:fill="000000"/>
            <w:vAlign w:val="bottom"/>
          </w:tcPr>
          <w:p w14:paraId="7053C12E" w14:textId="77777777" w:rsidR="00D1587D" w:rsidRDefault="00D1587D">
            <w:pPr>
              <w:spacing w:line="20" w:lineRule="exact"/>
              <w:rPr>
                <w:sz w:val="1"/>
                <w:szCs w:val="1"/>
              </w:rPr>
            </w:pPr>
          </w:p>
        </w:tc>
        <w:tc>
          <w:tcPr>
            <w:tcW w:w="40" w:type="dxa"/>
            <w:tcBorders>
              <w:right w:val="single" w:sz="8" w:space="0" w:color="auto"/>
            </w:tcBorders>
            <w:shd w:val="clear" w:color="auto" w:fill="000000"/>
            <w:vAlign w:val="bottom"/>
          </w:tcPr>
          <w:p w14:paraId="5826EFB4" w14:textId="77777777" w:rsidR="00D1587D" w:rsidRDefault="00D1587D">
            <w:pPr>
              <w:spacing w:line="20" w:lineRule="exact"/>
              <w:rPr>
                <w:sz w:val="1"/>
                <w:szCs w:val="1"/>
              </w:rPr>
            </w:pPr>
          </w:p>
        </w:tc>
        <w:tc>
          <w:tcPr>
            <w:tcW w:w="60" w:type="dxa"/>
            <w:gridSpan w:val="3"/>
            <w:vAlign w:val="bottom"/>
          </w:tcPr>
          <w:p w14:paraId="68C6BF1B" w14:textId="77777777" w:rsidR="00D1587D" w:rsidRDefault="00D1587D">
            <w:pPr>
              <w:spacing w:line="20" w:lineRule="exact"/>
              <w:rPr>
                <w:sz w:val="1"/>
                <w:szCs w:val="1"/>
              </w:rPr>
            </w:pPr>
          </w:p>
        </w:tc>
        <w:tc>
          <w:tcPr>
            <w:tcW w:w="120" w:type="dxa"/>
            <w:vAlign w:val="bottom"/>
          </w:tcPr>
          <w:p w14:paraId="2B9E4C2C" w14:textId="77777777" w:rsidR="00D1587D" w:rsidRDefault="00D1587D">
            <w:pPr>
              <w:spacing w:line="20" w:lineRule="exact"/>
              <w:rPr>
                <w:sz w:val="1"/>
                <w:szCs w:val="1"/>
              </w:rPr>
            </w:pPr>
          </w:p>
        </w:tc>
        <w:tc>
          <w:tcPr>
            <w:tcW w:w="240" w:type="dxa"/>
            <w:gridSpan w:val="4"/>
            <w:vAlign w:val="bottom"/>
          </w:tcPr>
          <w:p w14:paraId="72DCF3E5" w14:textId="77777777" w:rsidR="00D1587D" w:rsidRDefault="00D1587D">
            <w:pPr>
              <w:spacing w:line="20" w:lineRule="exact"/>
              <w:rPr>
                <w:sz w:val="1"/>
                <w:szCs w:val="1"/>
              </w:rPr>
            </w:pPr>
          </w:p>
        </w:tc>
        <w:tc>
          <w:tcPr>
            <w:tcW w:w="120" w:type="dxa"/>
            <w:vAlign w:val="bottom"/>
          </w:tcPr>
          <w:p w14:paraId="21859613" w14:textId="77777777" w:rsidR="00D1587D" w:rsidRDefault="00D1587D">
            <w:pPr>
              <w:spacing w:line="20" w:lineRule="exact"/>
              <w:rPr>
                <w:sz w:val="1"/>
                <w:szCs w:val="1"/>
              </w:rPr>
            </w:pPr>
          </w:p>
        </w:tc>
        <w:tc>
          <w:tcPr>
            <w:tcW w:w="20" w:type="dxa"/>
            <w:vAlign w:val="bottom"/>
          </w:tcPr>
          <w:p w14:paraId="1CDB1060" w14:textId="77777777" w:rsidR="00D1587D" w:rsidRDefault="00D1587D">
            <w:pPr>
              <w:spacing w:line="20" w:lineRule="exact"/>
              <w:rPr>
                <w:sz w:val="1"/>
                <w:szCs w:val="1"/>
              </w:rPr>
            </w:pPr>
          </w:p>
        </w:tc>
        <w:tc>
          <w:tcPr>
            <w:tcW w:w="20" w:type="dxa"/>
            <w:vAlign w:val="bottom"/>
          </w:tcPr>
          <w:p w14:paraId="1B0FF291" w14:textId="77777777" w:rsidR="00D1587D" w:rsidRDefault="00D1587D">
            <w:pPr>
              <w:spacing w:line="20" w:lineRule="exact"/>
              <w:rPr>
                <w:sz w:val="1"/>
                <w:szCs w:val="1"/>
              </w:rPr>
            </w:pPr>
          </w:p>
        </w:tc>
        <w:tc>
          <w:tcPr>
            <w:tcW w:w="20" w:type="dxa"/>
            <w:vAlign w:val="bottom"/>
          </w:tcPr>
          <w:p w14:paraId="4DD96749" w14:textId="77777777" w:rsidR="00D1587D" w:rsidRDefault="00D1587D">
            <w:pPr>
              <w:spacing w:line="20" w:lineRule="exact"/>
              <w:rPr>
                <w:sz w:val="1"/>
                <w:szCs w:val="1"/>
              </w:rPr>
            </w:pPr>
          </w:p>
        </w:tc>
        <w:tc>
          <w:tcPr>
            <w:tcW w:w="220" w:type="dxa"/>
            <w:vAlign w:val="bottom"/>
          </w:tcPr>
          <w:p w14:paraId="285C47B8" w14:textId="77777777" w:rsidR="00D1587D" w:rsidRDefault="00D1587D">
            <w:pPr>
              <w:spacing w:line="20" w:lineRule="exact"/>
              <w:rPr>
                <w:sz w:val="1"/>
                <w:szCs w:val="1"/>
              </w:rPr>
            </w:pPr>
          </w:p>
        </w:tc>
        <w:tc>
          <w:tcPr>
            <w:tcW w:w="9740" w:type="dxa"/>
            <w:vAlign w:val="bottom"/>
          </w:tcPr>
          <w:p w14:paraId="77381C68" w14:textId="77777777" w:rsidR="00D1587D" w:rsidRDefault="00D1587D">
            <w:pPr>
              <w:spacing w:line="20" w:lineRule="exact"/>
              <w:rPr>
                <w:sz w:val="1"/>
                <w:szCs w:val="1"/>
              </w:rPr>
            </w:pPr>
          </w:p>
        </w:tc>
      </w:tr>
      <w:tr w:rsidR="00D1587D" w14:paraId="72D928C5" w14:textId="77777777">
        <w:trPr>
          <w:trHeight w:val="196"/>
        </w:trPr>
        <w:tc>
          <w:tcPr>
            <w:tcW w:w="740" w:type="dxa"/>
            <w:gridSpan w:val="5"/>
            <w:tcBorders>
              <w:bottom w:val="single" w:sz="8" w:space="0" w:color="auto"/>
            </w:tcBorders>
            <w:vAlign w:val="bottom"/>
          </w:tcPr>
          <w:p w14:paraId="1C86E83A" w14:textId="77777777" w:rsidR="00D1587D" w:rsidRDefault="00410D07">
            <w:pPr>
              <w:spacing w:line="196" w:lineRule="exact"/>
              <w:rPr>
                <w:sz w:val="20"/>
                <w:szCs w:val="20"/>
              </w:rPr>
            </w:pPr>
            <w:r>
              <w:rPr>
                <w:rFonts w:ascii="Arial" w:eastAsia="Arial" w:hAnsi="Arial" w:cs="Arial"/>
                <w:w w:val="98"/>
                <w:sz w:val="18"/>
                <w:szCs w:val="18"/>
              </w:rPr>
              <w:t>Exhibit G</w:t>
            </w:r>
          </w:p>
        </w:tc>
        <w:tc>
          <w:tcPr>
            <w:tcW w:w="360" w:type="dxa"/>
            <w:gridSpan w:val="5"/>
            <w:vAlign w:val="bottom"/>
          </w:tcPr>
          <w:p w14:paraId="7E87BFF3" w14:textId="77777777" w:rsidR="00D1587D" w:rsidRDefault="00D1587D">
            <w:pPr>
              <w:rPr>
                <w:sz w:val="17"/>
                <w:szCs w:val="17"/>
              </w:rPr>
            </w:pPr>
          </w:p>
        </w:tc>
        <w:tc>
          <w:tcPr>
            <w:tcW w:w="120" w:type="dxa"/>
            <w:vAlign w:val="bottom"/>
          </w:tcPr>
          <w:p w14:paraId="38DBC709" w14:textId="77777777" w:rsidR="00D1587D" w:rsidRDefault="00D1587D">
            <w:pPr>
              <w:rPr>
                <w:sz w:val="17"/>
                <w:szCs w:val="17"/>
              </w:rPr>
            </w:pPr>
          </w:p>
        </w:tc>
        <w:tc>
          <w:tcPr>
            <w:tcW w:w="20" w:type="dxa"/>
            <w:vAlign w:val="bottom"/>
          </w:tcPr>
          <w:p w14:paraId="626F848D" w14:textId="77777777" w:rsidR="00D1587D" w:rsidRDefault="00D1587D">
            <w:pPr>
              <w:rPr>
                <w:sz w:val="17"/>
                <w:szCs w:val="17"/>
              </w:rPr>
            </w:pPr>
          </w:p>
        </w:tc>
        <w:tc>
          <w:tcPr>
            <w:tcW w:w="20" w:type="dxa"/>
            <w:vAlign w:val="bottom"/>
          </w:tcPr>
          <w:p w14:paraId="6B3CFEB8" w14:textId="77777777" w:rsidR="00D1587D" w:rsidRDefault="00D1587D">
            <w:pPr>
              <w:rPr>
                <w:sz w:val="17"/>
                <w:szCs w:val="17"/>
              </w:rPr>
            </w:pPr>
          </w:p>
        </w:tc>
        <w:tc>
          <w:tcPr>
            <w:tcW w:w="20" w:type="dxa"/>
            <w:vAlign w:val="bottom"/>
          </w:tcPr>
          <w:p w14:paraId="1E04CF75" w14:textId="77777777" w:rsidR="00D1587D" w:rsidRDefault="00D1587D">
            <w:pPr>
              <w:rPr>
                <w:sz w:val="17"/>
                <w:szCs w:val="17"/>
              </w:rPr>
            </w:pPr>
          </w:p>
        </w:tc>
        <w:tc>
          <w:tcPr>
            <w:tcW w:w="220" w:type="dxa"/>
            <w:vAlign w:val="bottom"/>
          </w:tcPr>
          <w:p w14:paraId="399783A9" w14:textId="77777777" w:rsidR="00D1587D" w:rsidRDefault="00D1587D">
            <w:pPr>
              <w:rPr>
                <w:sz w:val="17"/>
                <w:szCs w:val="17"/>
              </w:rPr>
            </w:pPr>
          </w:p>
        </w:tc>
        <w:tc>
          <w:tcPr>
            <w:tcW w:w="9740" w:type="dxa"/>
            <w:vAlign w:val="bottom"/>
          </w:tcPr>
          <w:p w14:paraId="04A2C12A" w14:textId="77777777" w:rsidR="00D1587D" w:rsidRDefault="00410D07">
            <w:pPr>
              <w:spacing w:line="196" w:lineRule="exact"/>
              <w:ind w:left="200"/>
              <w:rPr>
                <w:sz w:val="20"/>
                <w:szCs w:val="20"/>
              </w:rPr>
            </w:pPr>
            <w:r>
              <w:rPr>
                <w:rFonts w:ascii="Arial" w:eastAsia="Arial" w:hAnsi="Arial" w:cs="Arial"/>
                <w:sz w:val="18"/>
                <w:szCs w:val="18"/>
              </w:rPr>
              <w:t>Registration Rights Agreement</w:t>
            </w:r>
          </w:p>
        </w:tc>
      </w:tr>
      <w:tr w:rsidR="00D1587D" w14:paraId="5257E415" w14:textId="77777777">
        <w:trPr>
          <w:trHeight w:val="196"/>
        </w:trPr>
        <w:tc>
          <w:tcPr>
            <w:tcW w:w="720" w:type="dxa"/>
            <w:gridSpan w:val="4"/>
            <w:tcBorders>
              <w:bottom w:val="single" w:sz="8" w:space="0" w:color="auto"/>
            </w:tcBorders>
            <w:vAlign w:val="bottom"/>
          </w:tcPr>
          <w:p w14:paraId="0FFDF678" w14:textId="77777777" w:rsidR="00D1587D" w:rsidRDefault="00410D07">
            <w:pPr>
              <w:spacing w:line="196" w:lineRule="exact"/>
              <w:rPr>
                <w:sz w:val="20"/>
                <w:szCs w:val="20"/>
              </w:rPr>
            </w:pPr>
            <w:r>
              <w:rPr>
                <w:rFonts w:ascii="Arial" w:eastAsia="Arial" w:hAnsi="Arial" w:cs="Arial"/>
                <w:w w:val="97"/>
                <w:sz w:val="18"/>
                <w:szCs w:val="18"/>
              </w:rPr>
              <w:t>Exhibit H</w:t>
            </w:r>
          </w:p>
        </w:tc>
        <w:tc>
          <w:tcPr>
            <w:tcW w:w="380" w:type="dxa"/>
            <w:gridSpan w:val="6"/>
            <w:vAlign w:val="bottom"/>
          </w:tcPr>
          <w:p w14:paraId="1CE51876" w14:textId="77777777" w:rsidR="00D1587D" w:rsidRDefault="00D1587D">
            <w:pPr>
              <w:rPr>
                <w:sz w:val="17"/>
                <w:szCs w:val="17"/>
              </w:rPr>
            </w:pPr>
          </w:p>
        </w:tc>
        <w:tc>
          <w:tcPr>
            <w:tcW w:w="120" w:type="dxa"/>
            <w:vAlign w:val="bottom"/>
          </w:tcPr>
          <w:p w14:paraId="1BE8298E" w14:textId="77777777" w:rsidR="00D1587D" w:rsidRDefault="00D1587D">
            <w:pPr>
              <w:rPr>
                <w:sz w:val="17"/>
                <w:szCs w:val="17"/>
              </w:rPr>
            </w:pPr>
          </w:p>
        </w:tc>
        <w:tc>
          <w:tcPr>
            <w:tcW w:w="20" w:type="dxa"/>
            <w:vAlign w:val="bottom"/>
          </w:tcPr>
          <w:p w14:paraId="348EF963" w14:textId="77777777" w:rsidR="00D1587D" w:rsidRDefault="00D1587D">
            <w:pPr>
              <w:rPr>
                <w:sz w:val="17"/>
                <w:szCs w:val="17"/>
              </w:rPr>
            </w:pPr>
          </w:p>
        </w:tc>
        <w:tc>
          <w:tcPr>
            <w:tcW w:w="20" w:type="dxa"/>
            <w:vAlign w:val="bottom"/>
          </w:tcPr>
          <w:p w14:paraId="6C022BC5" w14:textId="77777777" w:rsidR="00D1587D" w:rsidRDefault="00D1587D">
            <w:pPr>
              <w:rPr>
                <w:sz w:val="17"/>
                <w:szCs w:val="17"/>
              </w:rPr>
            </w:pPr>
          </w:p>
        </w:tc>
        <w:tc>
          <w:tcPr>
            <w:tcW w:w="20" w:type="dxa"/>
            <w:vAlign w:val="bottom"/>
          </w:tcPr>
          <w:p w14:paraId="2A56187B" w14:textId="77777777" w:rsidR="00D1587D" w:rsidRDefault="00D1587D">
            <w:pPr>
              <w:rPr>
                <w:sz w:val="17"/>
                <w:szCs w:val="17"/>
              </w:rPr>
            </w:pPr>
          </w:p>
        </w:tc>
        <w:tc>
          <w:tcPr>
            <w:tcW w:w="220" w:type="dxa"/>
            <w:vAlign w:val="bottom"/>
          </w:tcPr>
          <w:p w14:paraId="43F60086" w14:textId="77777777" w:rsidR="00D1587D" w:rsidRDefault="00D1587D">
            <w:pPr>
              <w:rPr>
                <w:sz w:val="17"/>
                <w:szCs w:val="17"/>
              </w:rPr>
            </w:pPr>
          </w:p>
        </w:tc>
        <w:tc>
          <w:tcPr>
            <w:tcW w:w="9740" w:type="dxa"/>
            <w:vAlign w:val="bottom"/>
          </w:tcPr>
          <w:p w14:paraId="4F7EE65A" w14:textId="77777777" w:rsidR="00D1587D" w:rsidRDefault="00410D07">
            <w:pPr>
              <w:spacing w:line="196" w:lineRule="exact"/>
              <w:ind w:left="200"/>
              <w:rPr>
                <w:sz w:val="20"/>
                <w:szCs w:val="20"/>
              </w:rPr>
            </w:pPr>
            <w:r>
              <w:rPr>
                <w:rFonts w:ascii="Arial" w:eastAsia="Arial" w:hAnsi="Arial" w:cs="Arial"/>
                <w:sz w:val="18"/>
                <w:szCs w:val="18"/>
              </w:rPr>
              <w:t>Tax Matters Agreement</w:t>
            </w:r>
          </w:p>
        </w:tc>
      </w:tr>
      <w:tr w:rsidR="00D1587D" w14:paraId="65DA6289" w14:textId="77777777">
        <w:trPr>
          <w:trHeight w:val="196"/>
        </w:trPr>
        <w:tc>
          <w:tcPr>
            <w:tcW w:w="1100" w:type="dxa"/>
            <w:gridSpan w:val="10"/>
            <w:vAlign w:val="bottom"/>
          </w:tcPr>
          <w:p w14:paraId="10D5EE38" w14:textId="77777777" w:rsidR="00D1587D" w:rsidRDefault="00410D07">
            <w:pPr>
              <w:spacing w:line="196" w:lineRule="exact"/>
              <w:rPr>
                <w:sz w:val="20"/>
                <w:szCs w:val="20"/>
              </w:rPr>
            </w:pPr>
            <w:r>
              <w:rPr>
                <w:rFonts w:ascii="Arial" w:eastAsia="Arial" w:hAnsi="Arial" w:cs="Arial"/>
                <w:sz w:val="18"/>
                <w:szCs w:val="18"/>
              </w:rPr>
              <w:t>Exhibit I</w:t>
            </w:r>
          </w:p>
        </w:tc>
        <w:tc>
          <w:tcPr>
            <w:tcW w:w="120" w:type="dxa"/>
            <w:vAlign w:val="bottom"/>
          </w:tcPr>
          <w:p w14:paraId="7A20A618" w14:textId="77777777" w:rsidR="00D1587D" w:rsidRDefault="00D1587D">
            <w:pPr>
              <w:rPr>
                <w:sz w:val="17"/>
                <w:szCs w:val="17"/>
              </w:rPr>
            </w:pPr>
          </w:p>
        </w:tc>
        <w:tc>
          <w:tcPr>
            <w:tcW w:w="20" w:type="dxa"/>
            <w:vAlign w:val="bottom"/>
          </w:tcPr>
          <w:p w14:paraId="5190D90F" w14:textId="77777777" w:rsidR="00D1587D" w:rsidRDefault="00D1587D">
            <w:pPr>
              <w:rPr>
                <w:sz w:val="17"/>
                <w:szCs w:val="17"/>
              </w:rPr>
            </w:pPr>
          </w:p>
        </w:tc>
        <w:tc>
          <w:tcPr>
            <w:tcW w:w="20" w:type="dxa"/>
            <w:vAlign w:val="bottom"/>
          </w:tcPr>
          <w:p w14:paraId="3CE3F57B" w14:textId="77777777" w:rsidR="00D1587D" w:rsidRDefault="00D1587D">
            <w:pPr>
              <w:rPr>
                <w:sz w:val="17"/>
                <w:szCs w:val="17"/>
              </w:rPr>
            </w:pPr>
          </w:p>
        </w:tc>
        <w:tc>
          <w:tcPr>
            <w:tcW w:w="20" w:type="dxa"/>
            <w:vAlign w:val="bottom"/>
          </w:tcPr>
          <w:p w14:paraId="104D5225" w14:textId="77777777" w:rsidR="00D1587D" w:rsidRDefault="00D1587D">
            <w:pPr>
              <w:rPr>
                <w:sz w:val="17"/>
                <w:szCs w:val="17"/>
              </w:rPr>
            </w:pPr>
          </w:p>
        </w:tc>
        <w:tc>
          <w:tcPr>
            <w:tcW w:w="220" w:type="dxa"/>
            <w:vAlign w:val="bottom"/>
          </w:tcPr>
          <w:p w14:paraId="0154FC7C" w14:textId="77777777" w:rsidR="00D1587D" w:rsidRDefault="00D1587D">
            <w:pPr>
              <w:rPr>
                <w:sz w:val="17"/>
                <w:szCs w:val="17"/>
              </w:rPr>
            </w:pPr>
          </w:p>
        </w:tc>
        <w:tc>
          <w:tcPr>
            <w:tcW w:w="9740" w:type="dxa"/>
            <w:vAlign w:val="bottom"/>
          </w:tcPr>
          <w:p w14:paraId="3466C683" w14:textId="77777777" w:rsidR="00D1587D" w:rsidRDefault="00410D07">
            <w:pPr>
              <w:spacing w:line="196" w:lineRule="exact"/>
              <w:ind w:left="200"/>
              <w:rPr>
                <w:sz w:val="20"/>
                <w:szCs w:val="20"/>
              </w:rPr>
            </w:pPr>
            <w:r>
              <w:rPr>
                <w:rFonts w:ascii="Arial" w:eastAsia="Arial" w:hAnsi="Arial" w:cs="Arial"/>
                <w:sz w:val="18"/>
                <w:szCs w:val="18"/>
              </w:rPr>
              <w:t xml:space="preserve">VS to L Brands </w:t>
            </w:r>
            <w:r>
              <w:rPr>
                <w:rFonts w:ascii="Arial" w:eastAsia="Arial" w:hAnsi="Arial" w:cs="Arial"/>
                <w:sz w:val="18"/>
                <w:szCs w:val="18"/>
              </w:rPr>
              <w:t>Transition Services Agreement</w:t>
            </w:r>
          </w:p>
        </w:tc>
      </w:tr>
      <w:tr w:rsidR="00D1587D" w14:paraId="6659263D" w14:textId="77777777">
        <w:trPr>
          <w:trHeight w:val="20"/>
        </w:trPr>
        <w:tc>
          <w:tcPr>
            <w:tcW w:w="640" w:type="dxa"/>
            <w:shd w:val="clear" w:color="auto" w:fill="000000"/>
            <w:vAlign w:val="bottom"/>
          </w:tcPr>
          <w:p w14:paraId="06030A09" w14:textId="77777777" w:rsidR="00D1587D" w:rsidRDefault="00D1587D">
            <w:pPr>
              <w:spacing w:line="20" w:lineRule="exact"/>
              <w:rPr>
                <w:sz w:val="1"/>
                <w:szCs w:val="1"/>
              </w:rPr>
            </w:pPr>
          </w:p>
        </w:tc>
        <w:tc>
          <w:tcPr>
            <w:tcW w:w="40" w:type="dxa"/>
            <w:vAlign w:val="bottom"/>
          </w:tcPr>
          <w:p w14:paraId="3DA4B869" w14:textId="77777777" w:rsidR="00D1587D" w:rsidRDefault="00D1587D">
            <w:pPr>
              <w:spacing w:line="20" w:lineRule="exact"/>
              <w:rPr>
                <w:sz w:val="1"/>
                <w:szCs w:val="1"/>
              </w:rPr>
            </w:pPr>
          </w:p>
        </w:tc>
        <w:tc>
          <w:tcPr>
            <w:tcW w:w="180" w:type="dxa"/>
            <w:gridSpan w:val="4"/>
            <w:vAlign w:val="bottom"/>
          </w:tcPr>
          <w:p w14:paraId="7343765F" w14:textId="77777777" w:rsidR="00D1587D" w:rsidRDefault="00D1587D">
            <w:pPr>
              <w:spacing w:line="20" w:lineRule="exact"/>
              <w:rPr>
                <w:sz w:val="1"/>
                <w:szCs w:val="1"/>
              </w:rPr>
            </w:pPr>
          </w:p>
        </w:tc>
        <w:tc>
          <w:tcPr>
            <w:tcW w:w="240" w:type="dxa"/>
            <w:gridSpan w:val="4"/>
            <w:vAlign w:val="bottom"/>
          </w:tcPr>
          <w:p w14:paraId="7E211FBB" w14:textId="77777777" w:rsidR="00D1587D" w:rsidRDefault="00D1587D">
            <w:pPr>
              <w:spacing w:line="20" w:lineRule="exact"/>
              <w:rPr>
                <w:sz w:val="1"/>
                <w:szCs w:val="1"/>
              </w:rPr>
            </w:pPr>
          </w:p>
        </w:tc>
        <w:tc>
          <w:tcPr>
            <w:tcW w:w="120" w:type="dxa"/>
            <w:vAlign w:val="bottom"/>
          </w:tcPr>
          <w:p w14:paraId="57CB47A3" w14:textId="77777777" w:rsidR="00D1587D" w:rsidRDefault="00D1587D">
            <w:pPr>
              <w:spacing w:line="20" w:lineRule="exact"/>
              <w:rPr>
                <w:sz w:val="1"/>
                <w:szCs w:val="1"/>
              </w:rPr>
            </w:pPr>
          </w:p>
        </w:tc>
        <w:tc>
          <w:tcPr>
            <w:tcW w:w="20" w:type="dxa"/>
            <w:vAlign w:val="bottom"/>
          </w:tcPr>
          <w:p w14:paraId="2C88180D" w14:textId="77777777" w:rsidR="00D1587D" w:rsidRDefault="00D1587D">
            <w:pPr>
              <w:spacing w:line="20" w:lineRule="exact"/>
              <w:rPr>
                <w:sz w:val="1"/>
                <w:szCs w:val="1"/>
              </w:rPr>
            </w:pPr>
          </w:p>
        </w:tc>
        <w:tc>
          <w:tcPr>
            <w:tcW w:w="20" w:type="dxa"/>
            <w:vAlign w:val="bottom"/>
          </w:tcPr>
          <w:p w14:paraId="7C0F6A69" w14:textId="77777777" w:rsidR="00D1587D" w:rsidRDefault="00D1587D">
            <w:pPr>
              <w:spacing w:line="20" w:lineRule="exact"/>
              <w:rPr>
                <w:sz w:val="1"/>
                <w:szCs w:val="1"/>
              </w:rPr>
            </w:pPr>
          </w:p>
        </w:tc>
        <w:tc>
          <w:tcPr>
            <w:tcW w:w="20" w:type="dxa"/>
            <w:vAlign w:val="bottom"/>
          </w:tcPr>
          <w:p w14:paraId="7672271E" w14:textId="77777777" w:rsidR="00D1587D" w:rsidRDefault="00D1587D">
            <w:pPr>
              <w:spacing w:line="20" w:lineRule="exact"/>
              <w:rPr>
                <w:sz w:val="1"/>
                <w:szCs w:val="1"/>
              </w:rPr>
            </w:pPr>
          </w:p>
        </w:tc>
        <w:tc>
          <w:tcPr>
            <w:tcW w:w="220" w:type="dxa"/>
            <w:vAlign w:val="bottom"/>
          </w:tcPr>
          <w:p w14:paraId="1453962C" w14:textId="77777777" w:rsidR="00D1587D" w:rsidRDefault="00D1587D">
            <w:pPr>
              <w:spacing w:line="20" w:lineRule="exact"/>
              <w:rPr>
                <w:sz w:val="1"/>
                <w:szCs w:val="1"/>
              </w:rPr>
            </w:pPr>
          </w:p>
        </w:tc>
        <w:tc>
          <w:tcPr>
            <w:tcW w:w="9740" w:type="dxa"/>
            <w:vAlign w:val="bottom"/>
          </w:tcPr>
          <w:p w14:paraId="65B4DB97" w14:textId="77777777" w:rsidR="00D1587D" w:rsidRDefault="00D1587D">
            <w:pPr>
              <w:spacing w:line="20" w:lineRule="exact"/>
              <w:rPr>
                <w:sz w:val="1"/>
                <w:szCs w:val="1"/>
              </w:rPr>
            </w:pPr>
          </w:p>
        </w:tc>
      </w:tr>
      <w:tr w:rsidR="00D1587D" w14:paraId="359F11B9" w14:textId="77777777">
        <w:trPr>
          <w:trHeight w:val="196"/>
        </w:trPr>
        <w:tc>
          <w:tcPr>
            <w:tcW w:w="680" w:type="dxa"/>
            <w:gridSpan w:val="2"/>
            <w:tcBorders>
              <w:bottom w:val="single" w:sz="8" w:space="0" w:color="auto"/>
            </w:tcBorders>
            <w:vAlign w:val="bottom"/>
          </w:tcPr>
          <w:p w14:paraId="051CF211" w14:textId="77777777" w:rsidR="00D1587D" w:rsidRDefault="00410D07">
            <w:pPr>
              <w:spacing w:line="196" w:lineRule="exact"/>
              <w:rPr>
                <w:sz w:val="20"/>
                <w:szCs w:val="20"/>
              </w:rPr>
            </w:pPr>
            <w:r>
              <w:rPr>
                <w:rFonts w:ascii="Arial" w:eastAsia="Arial" w:hAnsi="Arial" w:cs="Arial"/>
                <w:w w:val="94"/>
                <w:sz w:val="18"/>
                <w:szCs w:val="18"/>
              </w:rPr>
              <w:t>Exhibit J</w:t>
            </w:r>
          </w:p>
        </w:tc>
        <w:tc>
          <w:tcPr>
            <w:tcW w:w="420" w:type="dxa"/>
            <w:gridSpan w:val="8"/>
            <w:vAlign w:val="bottom"/>
          </w:tcPr>
          <w:p w14:paraId="427F2BF9" w14:textId="77777777" w:rsidR="00D1587D" w:rsidRDefault="00D1587D">
            <w:pPr>
              <w:rPr>
                <w:sz w:val="17"/>
                <w:szCs w:val="17"/>
              </w:rPr>
            </w:pPr>
          </w:p>
        </w:tc>
        <w:tc>
          <w:tcPr>
            <w:tcW w:w="120" w:type="dxa"/>
            <w:vAlign w:val="bottom"/>
          </w:tcPr>
          <w:p w14:paraId="23C6D955" w14:textId="77777777" w:rsidR="00D1587D" w:rsidRDefault="00D1587D">
            <w:pPr>
              <w:rPr>
                <w:sz w:val="17"/>
                <w:szCs w:val="17"/>
              </w:rPr>
            </w:pPr>
          </w:p>
        </w:tc>
        <w:tc>
          <w:tcPr>
            <w:tcW w:w="20" w:type="dxa"/>
            <w:vAlign w:val="bottom"/>
          </w:tcPr>
          <w:p w14:paraId="1E8C5E9C" w14:textId="77777777" w:rsidR="00D1587D" w:rsidRDefault="00D1587D">
            <w:pPr>
              <w:rPr>
                <w:sz w:val="17"/>
                <w:szCs w:val="17"/>
              </w:rPr>
            </w:pPr>
          </w:p>
        </w:tc>
        <w:tc>
          <w:tcPr>
            <w:tcW w:w="20" w:type="dxa"/>
            <w:vAlign w:val="bottom"/>
          </w:tcPr>
          <w:p w14:paraId="0A163A27" w14:textId="77777777" w:rsidR="00D1587D" w:rsidRDefault="00D1587D">
            <w:pPr>
              <w:rPr>
                <w:sz w:val="17"/>
                <w:szCs w:val="17"/>
              </w:rPr>
            </w:pPr>
          </w:p>
        </w:tc>
        <w:tc>
          <w:tcPr>
            <w:tcW w:w="20" w:type="dxa"/>
            <w:vAlign w:val="bottom"/>
          </w:tcPr>
          <w:p w14:paraId="11C1957B" w14:textId="77777777" w:rsidR="00D1587D" w:rsidRDefault="00D1587D">
            <w:pPr>
              <w:rPr>
                <w:sz w:val="17"/>
                <w:szCs w:val="17"/>
              </w:rPr>
            </w:pPr>
          </w:p>
        </w:tc>
        <w:tc>
          <w:tcPr>
            <w:tcW w:w="220" w:type="dxa"/>
            <w:vAlign w:val="bottom"/>
          </w:tcPr>
          <w:p w14:paraId="4A9042B6" w14:textId="77777777" w:rsidR="00D1587D" w:rsidRDefault="00D1587D">
            <w:pPr>
              <w:rPr>
                <w:sz w:val="17"/>
                <w:szCs w:val="17"/>
              </w:rPr>
            </w:pPr>
          </w:p>
        </w:tc>
        <w:tc>
          <w:tcPr>
            <w:tcW w:w="9740" w:type="dxa"/>
            <w:vAlign w:val="bottom"/>
          </w:tcPr>
          <w:p w14:paraId="1B5C0E58" w14:textId="77777777" w:rsidR="00D1587D" w:rsidRDefault="00410D07">
            <w:pPr>
              <w:spacing w:line="196" w:lineRule="exact"/>
              <w:ind w:left="200"/>
              <w:rPr>
                <w:sz w:val="20"/>
                <w:szCs w:val="20"/>
              </w:rPr>
            </w:pPr>
            <w:r>
              <w:rPr>
                <w:rFonts w:ascii="Arial" w:eastAsia="Arial" w:hAnsi="Arial" w:cs="Arial"/>
                <w:sz w:val="18"/>
                <w:szCs w:val="18"/>
              </w:rPr>
              <w:t>Amended and Restated Certificate of Incorporation</w:t>
            </w:r>
          </w:p>
        </w:tc>
      </w:tr>
      <w:tr w:rsidR="00D1587D" w14:paraId="526E9B5F" w14:textId="77777777">
        <w:trPr>
          <w:trHeight w:val="196"/>
        </w:trPr>
        <w:tc>
          <w:tcPr>
            <w:tcW w:w="740" w:type="dxa"/>
            <w:gridSpan w:val="5"/>
            <w:tcBorders>
              <w:bottom w:val="single" w:sz="8" w:space="0" w:color="auto"/>
            </w:tcBorders>
            <w:vAlign w:val="bottom"/>
          </w:tcPr>
          <w:p w14:paraId="3277B22F" w14:textId="77777777" w:rsidR="00D1587D" w:rsidRDefault="00410D07">
            <w:pPr>
              <w:spacing w:line="196" w:lineRule="exact"/>
              <w:rPr>
                <w:sz w:val="20"/>
                <w:szCs w:val="20"/>
              </w:rPr>
            </w:pPr>
            <w:r>
              <w:rPr>
                <w:rFonts w:ascii="Arial" w:eastAsia="Arial" w:hAnsi="Arial" w:cs="Arial"/>
                <w:sz w:val="18"/>
                <w:szCs w:val="18"/>
              </w:rPr>
              <w:t>Exhibit K</w:t>
            </w:r>
          </w:p>
        </w:tc>
        <w:tc>
          <w:tcPr>
            <w:tcW w:w="360" w:type="dxa"/>
            <w:gridSpan w:val="5"/>
            <w:vAlign w:val="bottom"/>
          </w:tcPr>
          <w:p w14:paraId="34FB95F5" w14:textId="77777777" w:rsidR="00D1587D" w:rsidRDefault="00D1587D">
            <w:pPr>
              <w:rPr>
                <w:sz w:val="17"/>
                <w:szCs w:val="17"/>
              </w:rPr>
            </w:pPr>
          </w:p>
        </w:tc>
        <w:tc>
          <w:tcPr>
            <w:tcW w:w="120" w:type="dxa"/>
            <w:vAlign w:val="bottom"/>
          </w:tcPr>
          <w:p w14:paraId="32B4AC86" w14:textId="77777777" w:rsidR="00D1587D" w:rsidRDefault="00D1587D">
            <w:pPr>
              <w:rPr>
                <w:sz w:val="17"/>
                <w:szCs w:val="17"/>
              </w:rPr>
            </w:pPr>
          </w:p>
        </w:tc>
        <w:tc>
          <w:tcPr>
            <w:tcW w:w="20" w:type="dxa"/>
            <w:vAlign w:val="bottom"/>
          </w:tcPr>
          <w:p w14:paraId="584B6652" w14:textId="77777777" w:rsidR="00D1587D" w:rsidRDefault="00D1587D">
            <w:pPr>
              <w:rPr>
                <w:sz w:val="17"/>
                <w:szCs w:val="17"/>
              </w:rPr>
            </w:pPr>
          </w:p>
        </w:tc>
        <w:tc>
          <w:tcPr>
            <w:tcW w:w="20" w:type="dxa"/>
            <w:vAlign w:val="bottom"/>
          </w:tcPr>
          <w:p w14:paraId="5FA1493B" w14:textId="77777777" w:rsidR="00D1587D" w:rsidRDefault="00D1587D">
            <w:pPr>
              <w:rPr>
                <w:sz w:val="17"/>
                <w:szCs w:val="17"/>
              </w:rPr>
            </w:pPr>
          </w:p>
        </w:tc>
        <w:tc>
          <w:tcPr>
            <w:tcW w:w="20" w:type="dxa"/>
            <w:vAlign w:val="bottom"/>
          </w:tcPr>
          <w:p w14:paraId="4983366C" w14:textId="77777777" w:rsidR="00D1587D" w:rsidRDefault="00D1587D">
            <w:pPr>
              <w:rPr>
                <w:sz w:val="17"/>
                <w:szCs w:val="17"/>
              </w:rPr>
            </w:pPr>
          </w:p>
        </w:tc>
        <w:tc>
          <w:tcPr>
            <w:tcW w:w="220" w:type="dxa"/>
            <w:vAlign w:val="bottom"/>
          </w:tcPr>
          <w:p w14:paraId="49CBACD8" w14:textId="77777777" w:rsidR="00D1587D" w:rsidRDefault="00D1587D">
            <w:pPr>
              <w:rPr>
                <w:sz w:val="17"/>
                <w:szCs w:val="17"/>
              </w:rPr>
            </w:pPr>
          </w:p>
        </w:tc>
        <w:tc>
          <w:tcPr>
            <w:tcW w:w="9740" w:type="dxa"/>
            <w:vAlign w:val="bottom"/>
          </w:tcPr>
          <w:p w14:paraId="25B2AB9E" w14:textId="77777777" w:rsidR="00D1587D" w:rsidRDefault="00410D07">
            <w:pPr>
              <w:spacing w:line="196" w:lineRule="exact"/>
              <w:ind w:left="200"/>
              <w:rPr>
                <w:sz w:val="20"/>
                <w:szCs w:val="20"/>
              </w:rPr>
            </w:pPr>
            <w:r>
              <w:rPr>
                <w:rFonts w:ascii="Arial" w:eastAsia="Arial" w:hAnsi="Arial" w:cs="Arial"/>
                <w:sz w:val="18"/>
                <w:szCs w:val="18"/>
              </w:rPr>
              <w:t>Amended and Restated Bylaws</w:t>
            </w:r>
          </w:p>
        </w:tc>
      </w:tr>
      <w:tr w:rsidR="00D1587D" w14:paraId="77FFCE59" w14:textId="77777777">
        <w:trPr>
          <w:trHeight w:val="412"/>
        </w:trPr>
        <w:tc>
          <w:tcPr>
            <w:tcW w:w="1100" w:type="dxa"/>
            <w:gridSpan w:val="10"/>
            <w:vAlign w:val="bottom"/>
          </w:tcPr>
          <w:p w14:paraId="784B7695" w14:textId="77777777" w:rsidR="00D1587D" w:rsidRDefault="00410D07">
            <w:pPr>
              <w:rPr>
                <w:sz w:val="20"/>
                <w:szCs w:val="20"/>
              </w:rPr>
            </w:pPr>
            <w:r>
              <w:rPr>
                <w:rFonts w:ascii="Arial" w:eastAsia="Arial" w:hAnsi="Arial" w:cs="Arial"/>
                <w:b/>
                <w:bCs/>
                <w:sz w:val="18"/>
                <w:szCs w:val="18"/>
              </w:rPr>
              <w:t>ANNEXES</w:t>
            </w:r>
          </w:p>
        </w:tc>
        <w:tc>
          <w:tcPr>
            <w:tcW w:w="120" w:type="dxa"/>
            <w:vAlign w:val="bottom"/>
          </w:tcPr>
          <w:p w14:paraId="021121A0" w14:textId="77777777" w:rsidR="00D1587D" w:rsidRDefault="00D1587D">
            <w:pPr>
              <w:rPr>
                <w:sz w:val="24"/>
                <w:szCs w:val="24"/>
              </w:rPr>
            </w:pPr>
          </w:p>
        </w:tc>
        <w:tc>
          <w:tcPr>
            <w:tcW w:w="20" w:type="dxa"/>
            <w:vAlign w:val="bottom"/>
          </w:tcPr>
          <w:p w14:paraId="6643B563" w14:textId="77777777" w:rsidR="00D1587D" w:rsidRDefault="00D1587D">
            <w:pPr>
              <w:rPr>
                <w:sz w:val="24"/>
                <w:szCs w:val="24"/>
              </w:rPr>
            </w:pPr>
          </w:p>
        </w:tc>
        <w:tc>
          <w:tcPr>
            <w:tcW w:w="20" w:type="dxa"/>
            <w:vAlign w:val="bottom"/>
          </w:tcPr>
          <w:p w14:paraId="4E9294FF" w14:textId="77777777" w:rsidR="00D1587D" w:rsidRDefault="00D1587D">
            <w:pPr>
              <w:rPr>
                <w:sz w:val="24"/>
                <w:szCs w:val="24"/>
              </w:rPr>
            </w:pPr>
          </w:p>
        </w:tc>
        <w:tc>
          <w:tcPr>
            <w:tcW w:w="20" w:type="dxa"/>
            <w:vAlign w:val="bottom"/>
          </w:tcPr>
          <w:p w14:paraId="686AD90B" w14:textId="77777777" w:rsidR="00D1587D" w:rsidRDefault="00D1587D">
            <w:pPr>
              <w:rPr>
                <w:sz w:val="24"/>
                <w:szCs w:val="24"/>
              </w:rPr>
            </w:pPr>
          </w:p>
        </w:tc>
        <w:tc>
          <w:tcPr>
            <w:tcW w:w="220" w:type="dxa"/>
            <w:vAlign w:val="bottom"/>
          </w:tcPr>
          <w:p w14:paraId="6615761A" w14:textId="77777777" w:rsidR="00D1587D" w:rsidRDefault="00D1587D">
            <w:pPr>
              <w:rPr>
                <w:sz w:val="24"/>
                <w:szCs w:val="24"/>
              </w:rPr>
            </w:pPr>
          </w:p>
        </w:tc>
        <w:tc>
          <w:tcPr>
            <w:tcW w:w="9740" w:type="dxa"/>
            <w:vAlign w:val="bottom"/>
          </w:tcPr>
          <w:p w14:paraId="6060ADFE" w14:textId="77777777" w:rsidR="00D1587D" w:rsidRDefault="00D1587D">
            <w:pPr>
              <w:rPr>
                <w:sz w:val="24"/>
                <w:szCs w:val="24"/>
              </w:rPr>
            </w:pPr>
          </w:p>
        </w:tc>
      </w:tr>
      <w:tr w:rsidR="00D1587D" w14:paraId="0C0175BA" w14:textId="77777777">
        <w:trPr>
          <w:trHeight w:val="412"/>
        </w:trPr>
        <w:tc>
          <w:tcPr>
            <w:tcW w:w="860" w:type="dxa"/>
            <w:gridSpan w:val="6"/>
            <w:tcBorders>
              <w:top w:val="single" w:sz="8" w:space="0" w:color="auto"/>
            </w:tcBorders>
            <w:vAlign w:val="bottom"/>
          </w:tcPr>
          <w:p w14:paraId="2B9C2DCF" w14:textId="77777777" w:rsidR="00D1587D" w:rsidRDefault="00410D07">
            <w:pPr>
              <w:rPr>
                <w:sz w:val="20"/>
                <w:szCs w:val="20"/>
              </w:rPr>
            </w:pPr>
            <w:r>
              <w:rPr>
                <w:rFonts w:ascii="Arial" w:eastAsia="Arial" w:hAnsi="Arial" w:cs="Arial"/>
                <w:sz w:val="18"/>
                <w:szCs w:val="18"/>
              </w:rPr>
              <w:t>Annex A</w:t>
            </w:r>
          </w:p>
        </w:tc>
        <w:tc>
          <w:tcPr>
            <w:tcW w:w="240" w:type="dxa"/>
            <w:gridSpan w:val="4"/>
            <w:vAlign w:val="bottom"/>
          </w:tcPr>
          <w:p w14:paraId="2196333F" w14:textId="77777777" w:rsidR="00D1587D" w:rsidRDefault="00D1587D">
            <w:pPr>
              <w:rPr>
                <w:sz w:val="24"/>
                <w:szCs w:val="24"/>
              </w:rPr>
            </w:pPr>
          </w:p>
        </w:tc>
        <w:tc>
          <w:tcPr>
            <w:tcW w:w="10140" w:type="dxa"/>
            <w:gridSpan w:val="6"/>
            <w:vAlign w:val="bottom"/>
          </w:tcPr>
          <w:p w14:paraId="1A38B196" w14:textId="77777777" w:rsidR="00D1587D" w:rsidRDefault="00410D07">
            <w:pPr>
              <w:ind w:left="40"/>
              <w:rPr>
                <w:sz w:val="20"/>
                <w:szCs w:val="20"/>
              </w:rPr>
            </w:pPr>
            <w:r>
              <w:rPr>
                <w:rFonts w:ascii="Arial" w:eastAsia="Arial" w:hAnsi="Arial" w:cs="Arial"/>
                <w:sz w:val="18"/>
                <w:szCs w:val="18"/>
              </w:rPr>
              <w:t>Restructuring Plan</w:t>
            </w:r>
          </w:p>
        </w:tc>
      </w:tr>
      <w:tr w:rsidR="00D1587D" w14:paraId="5CB1C9EC" w14:textId="77777777">
        <w:trPr>
          <w:trHeight w:val="500"/>
        </w:trPr>
        <w:tc>
          <w:tcPr>
            <w:tcW w:w="640" w:type="dxa"/>
            <w:tcBorders>
              <w:top w:val="single" w:sz="8" w:space="0" w:color="auto"/>
              <w:bottom w:val="single" w:sz="8" w:space="0" w:color="auto"/>
            </w:tcBorders>
            <w:vAlign w:val="bottom"/>
          </w:tcPr>
          <w:p w14:paraId="2F0E16D2" w14:textId="77777777" w:rsidR="00D1587D" w:rsidRDefault="00D1587D">
            <w:pPr>
              <w:rPr>
                <w:sz w:val="24"/>
                <w:szCs w:val="24"/>
              </w:rPr>
            </w:pPr>
          </w:p>
        </w:tc>
        <w:tc>
          <w:tcPr>
            <w:tcW w:w="40" w:type="dxa"/>
            <w:tcBorders>
              <w:top w:val="single" w:sz="8" w:space="0" w:color="auto"/>
              <w:bottom w:val="single" w:sz="8" w:space="0" w:color="auto"/>
            </w:tcBorders>
            <w:vAlign w:val="bottom"/>
          </w:tcPr>
          <w:p w14:paraId="4A8E3D3F" w14:textId="77777777" w:rsidR="00D1587D" w:rsidRDefault="00D1587D">
            <w:pPr>
              <w:rPr>
                <w:sz w:val="24"/>
                <w:szCs w:val="24"/>
              </w:rPr>
            </w:pPr>
          </w:p>
        </w:tc>
        <w:tc>
          <w:tcPr>
            <w:tcW w:w="20" w:type="dxa"/>
            <w:tcBorders>
              <w:bottom w:val="single" w:sz="8" w:space="0" w:color="auto"/>
            </w:tcBorders>
            <w:vAlign w:val="bottom"/>
          </w:tcPr>
          <w:p w14:paraId="4DD07440" w14:textId="77777777" w:rsidR="00D1587D" w:rsidRDefault="00D1587D">
            <w:pPr>
              <w:rPr>
                <w:sz w:val="24"/>
                <w:szCs w:val="24"/>
              </w:rPr>
            </w:pPr>
          </w:p>
        </w:tc>
        <w:tc>
          <w:tcPr>
            <w:tcW w:w="20" w:type="dxa"/>
            <w:tcBorders>
              <w:bottom w:val="single" w:sz="8" w:space="0" w:color="auto"/>
            </w:tcBorders>
            <w:vAlign w:val="bottom"/>
          </w:tcPr>
          <w:p w14:paraId="51089756" w14:textId="77777777" w:rsidR="00D1587D" w:rsidRDefault="00D1587D">
            <w:pPr>
              <w:rPr>
                <w:sz w:val="24"/>
                <w:szCs w:val="24"/>
              </w:rPr>
            </w:pPr>
          </w:p>
        </w:tc>
        <w:tc>
          <w:tcPr>
            <w:tcW w:w="20" w:type="dxa"/>
            <w:tcBorders>
              <w:bottom w:val="single" w:sz="8" w:space="0" w:color="auto"/>
            </w:tcBorders>
            <w:vAlign w:val="bottom"/>
          </w:tcPr>
          <w:p w14:paraId="51A2A126" w14:textId="77777777" w:rsidR="00D1587D" w:rsidRDefault="00D1587D">
            <w:pPr>
              <w:rPr>
                <w:sz w:val="24"/>
                <w:szCs w:val="24"/>
              </w:rPr>
            </w:pPr>
          </w:p>
        </w:tc>
        <w:tc>
          <w:tcPr>
            <w:tcW w:w="120" w:type="dxa"/>
            <w:tcBorders>
              <w:bottom w:val="single" w:sz="8" w:space="0" w:color="auto"/>
            </w:tcBorders>
            <w:vAlign w:val="bottom"/>
          </w:tcPr>
          <w:p w14:paraId="670CFFA6" w14:textId="77777777" w:rsidR="00D1587D" w:rsidRDefault="00D1587D">
            <w:pPr>
              <w:rPr>
                <w:sz w:val="24"/>
                <w:szCs w:val="24"/>
              </w:rPr>
            </w:pPr>
          </w:p>
        </w:tc>
        <w:tc>
          <w:tcPr>
            <w:tcW w:w="20" w:type="dxa"/>
            <w:tcBorders>
              <w:bottom w:val="single" w:sz="8" w:space="0" w:color="auto"/>
            </w:tcBorders>
            <w:vAlign w:val="bottom"/>
          </w:tcPr>
          <w:p w14:paraId="78B88321" w14:textId="77777777" w:rsidR="00D1587D" w:rsidRDefault="00D1587D">
            <w:pPr>
              <w:rPr>
                <w:sz w:val="24"/>
                <w:szCs w:val="24"/>
              </w:rPr>
            </w:pPr>
          </w:p>
        </w:tc>
        <w:tc>
          <w:tcPr>
            <w:tcW w:w="140" w:type="dxa"/>
            <w:tcBorders>
              <w:bottom w:val="single" w:sz="8" w:space="0" w:color="auto"/>
            </w:tcBorders>
            <w:vAlign w:val="bottom"/>
          </w:tcPr>
          <w:p w14:paraId="598B848B" w14:textId="77777777" w:rsidR="00D1587D" w:rsidRDefault="00D1587D">
            <w:pPr>
              <w:rPr>
                <w:sz w:val="24"/>
                <w:szCs w:val="24"/>
              </w:rPr>
            </w:pPr>
          </w:p>
        </w:tc>
        <w:tc>
          <w:tcPr>
            <w:tcW w:w="20" w:type="dxa"/>
            <w:tcBorders>
              <w:bottom w:val="single" w:sz="8" w:space="0" w:color="auto"/>
            </w:tcBorders>
            <w:vAlign w:val="bottom"/>
          </w:tcPr>
          <w:p w14:paraId="5868B691" w14:textId="77777777" w:rsidR="00D1587D" w:rsidRDefault="00D1587D">
            <w:pPr>
              <w:rPr>
                <w:sz w:val="24"/>
                <w:szCs w:val="24"/>
              </w:rPr>
            </w:pPr>
          </w:p>
        </w:tc>
        <w:tc>
          <w:tcPr>
            <w:tcW w:w="60" w:type="dxa"/>
            <w:tcBorders>
              <w:bottom w:val="single" w:sz="8" w:space="0" w:color="auto"/>
            </w:tcBorders>
            <w:vAlign w:val="bottom"/>
          </w:tcPr>
          <w:p w14:paraId="4430ABFF" w14:textId="77777777" w:rsidR="00D1587D" w:rsidRDefault="00D1587D">
            <w:pPr>
              <w:rPr>
                <w:sz w:val="24"/>
                <w:szCs w:val="24"/>
              </w:rPr>
            </w:pPr>
          </w:p>
        </w:tc>
        <w:tc>
          <w:tcPr>
            <w:tcW w:w="120" w:type="dxa"/>
            <w:tcBorders>
              <w:bottom w:val="single" w:sz="8" w:space="0" w:color="auto"/>
            </w:tcBorders>
            <w:vAlign w:val="bottom"/>
          </w:tcPr>
          <w:p w14:paraId="1A432EE1" w14:textId="77777777" w:rsidR="00D1587D" w:rsidRDefault="00D1587D">
            <w:pPr>
              <w:rPr>
                <w:sz w:val="24"/>
                <w:szCs w:val="24"/>
              </w:rPr>
            </w:pPr>
          </w:p>
        </w:tc>
        <w:tc>
          <w:tcPr>
            <w:tcW w:w="20" w:type="dxa"/>
            <w:tcBorders>
              <w:bottom w:val="single" w:sz="8" w:space="0" w:color="auto"/>
            </w:tcBorders>
            <w:vAlign w:val="bottom"/>
          </w:tcPr>
          <w:p w14:paraId="1E6A2E07" w14:textId="77777777" w:rsidR="00D1587D" w:rsidRDefault="00D1587D">
            <w:pPr>
              <w:rPr>
                <w:sz w:val="24"/>
                <w:szCs w:val="24"/>
              </w:rPr>
            </w:pPr>
          </w:p>
        </w:tc>
        <w:tc>
          <w:tcPr>
            <w:tcW w:w="20" w:type="dxa"/>
            <w:tcBorders>
              <w:bottom w:val="single" w:sz="8" w:space="0" w:color="auto"/>
            </w:tcBorders>
            <w:vAlign w:val="bottom"/>
          </w:tcPr>
          <w:p w14:paraId="6A749689" w14:textId="77777777" w:rsidR="00D1587D" w:rsidRDefault="00D1587D">
            <w:pPr>
              <w:rPr>
                <w:sz w:val="24"/>
                <w:szCs w:val="24"/>
              </w:rPr>
            </w:pPr>
          </w:p>
        </w:tc>
        <w:tc>
          <w:tcPr>
            <w:tcW w:w="20" w:type="dxa"/>
            <w:tcBorders>
              <w:bottom w:val="single" w:sz="8" w:space="0" w:color="auto"/>
            </w:tcBorders>
            <w:vAlign w:val="bottom"/>
          </w:tcPr>
          <w:p w14:paraId="15BFF75D" w14:textId="77777777" w:rsidR="00D1587D" w:rsidRDefault="00D1587D">
            <w:pPr>
              <w:rPr>
                <w:sz w:val="24"/>
                <w:szCs w:val="24"/>
              </w:rPr>
            </w:pPr>
          </w:p>
        </w:tc>
        <w:tc>
          <w:tcPr>
            <w:tcW w:w="220" w:type="dxa"/>
            <w:tcBorders>
              <w:bottom w:val="single" w:sz="8" w:space="0" w:color="auto"/>
            </w:tcBorders>
            <w:vAlign w:val="bottom"/>
          </w:tcPr>
          <w:p w14:paraId="00816C5A" w14:textId="77777777" w:rsidR="00D1587D" w:rsidRDefault="00D1587D">
            <w:pPr>
              <w:rPr>
                <w:sz w:val="24"/>
                <w:szCs w:val="24"/>
              </w:rPr>
            </w:pPr>
          </w:p>
        </w:tc>
        <w:tc>
          <w:tcPr>
            <w:tcW w:w="9740" w:type="dxa"/>
            <w:tcBorders>
              <w:bottom w:val="single" w:sz="8" w:space="0" w:color="auto"/>
            </w:tcBorders>
            <w:vAlign w:val="bottom"/>
          </w:tcPr>
          <w:p w14:paraId="002669B4" w14:textId="77777777" w:rsidR="00D1587D" w:rsidRDefault="00D1587D">
            <w:pPr>
              <w:rPr>
                <w:sz w:val="24"/>
                <w:szCs w:val="24"/>
              </w:rPr>
            </w:pPr>
          </w:p>
        </w:tc>
      </w:tr>
    </w:tbl>
    <w:p w14:paraId="2B9C5C88" w14:textId="77777777" w:rsidR="00D1587D" w:rsidRDefault="00D1587D">
      <w:pPr>
        <w:sectPr w:rsidR="00D1587D">
          <w:pgSz w:w="11900" w:h="16838"/>
          <w:pgMar w:top="324" w:right="339" w:bottom="1440" w:left="320" w:header="0" w:footer="0" w:gutter="0"/>
          <w:cols w:space="720" w:equalWidth="0">
            <w:col w:w="11240"/>
          </w:cols>
        </w:sectPr>
      </w:pPr>
    </w:p>
    <w:p w14:paraId="289689CD" w14:textId="77777777" w:rsidR="00D1587D" w:rsidRDefault="00410D07">
      <w:pPr>
        <w:ind w:right="-19"/>
        <w:jc w:val="center"/>
        <w:rPr>
          <w:sz w:val="20"/>
          <w:szCs w:val="20"/>
        </w:rPr>
      </w:pPr>
      <w:bookmarkStart w:id="9" w:name="page10"/>
      <w:bookmarkEnd w:id="9"/>
      <w:r>
        <w:rPr>
          <w:rFonts w:ascii="Arial" w:eastAsia="Arial" w:hAnsi="Arial" w:cs="Arial"/>
          <w:b/>
          <w:bCs/>
          <w:sz w:val="18"/>
          <w:szCs w:val="18"/>
        </w:rPr>
        <w:t xml:space="preserve">SEPARATION AND </w:t>
      </w:r>
      <w:r>
        <w:rPr>
          <w:rFonts w:ascii="Arial" w:eastAsia="Arial" w:hAnsi="Arial" w:cs="Arial"/>
          <w:b/>
          <w:bCs/>
          <w:sz w:val="18"/>
          <w:szCs w:val="18"/>
        </w:rPr>
        <w:t>DISTRIBUTION AGREEMENT</w:t>
      </w:r>
    </w:p>
    <w:p w14:paraId="32314063" w14:textId="77777777" w:rsidR="00D1587D" w:rsidRDefault="00D1587D">
      <w:pPr>
        <w:spacing w:line="225" w:lineRule="exact"/>
        <w:rPr>
          <w:sz w:val="20"/>
          <w:szCs w:val="20"/>
        </w:rPr>
      </w:pPr>
    </w:p>
    <w:p w14:paraId="267FD14F" w14:textId="77777777" w:rsidR="00D1587D" w:rsidRDefault="00410D07">
      <w:pPr>
        <w:spacing w:line="266" w:lineRule="auto"/>
        <w:ind w:firstLine="648"/>
        <w:rPr>
          <w:sz w:val="20"/>
          <w:szCs w:val="20"/>
        </w:rPr>
      </w:pPr>
      <w:r>
        <w:rPr>
          <w:rFonts w:ascii="Arial" w:eastAsia="Arial" w:hAnsi="Arial" w:cs="Arial"/>
          <w:sz w:val="18"/>
          <w:szCs w:val="18"/>
        </w:rPr>
        <w:t>SEPARATION AND DISTRIBUTION AGREEMENT dated as of [</w:t>
      </w:r>
      <w:r>
        <w:rPr>
          <w:rFonts w:ascii="Arial" w:eastAsia="Arial" w:hAnsi="Arial" w:cs="Arial"/>
          <w:b/>
          <w:bCs/>
          <w:sz w:val="18"/>
          <w:szCs w:val="18"/>
        </w:rPr>
        <w:t>—</w:t>
      </w:r>
      <w:r>
        <w:rPr>
          <w:rFonts w:ascii="Arial" w:eastAsia="Arial" w:hAnsi="Arial" w:cs="Arial"/>
          <w:sz w:val="18"/>
          <w:szCs w:val="18"/>
        </w:rPr>
        <w:t>] (as the same may be amended from time to time in accordance with its terms and together with the schedules and exhibits hereto, this “</w:t>
      </w:r>
      <w:r>
        <w:rPr>
          <w:rFonts w:ascii="Arial" w:eastAsia="Arial" w:hAnsi="Arial" w:cs="Arial"/>
          <w:b/>
          <w:bCs/>
          <w:sz w:val="18"/>
          <w:szCs w:val="18"/>
        </w:rPr>
        <w:t>Agreement</w:t>
      </w:r>
      <w:r>
        <w:rPr>
          <w:rFonts w:ascii="Arial" w:eastAsia="Arial" w:hAnsi="Arial" w:cs="Arial"/>
          <w:sz w:val="18"/>
          <w:szCs w:val="18"/>
        </w:rPr>
        <w:t xml:space="preserve">”) between L Brands, Inc., a </w:t>
      </w:r>
      <w:r>
        <w:rPr>
          <w:rFonts w:ascii="Arial" w:eastAsia="Arial" w:hAnsi="Arial" w:cs="Arial"/>
          <w:sz w:val="18"/>
          <w:szCs w:val="18"/>
        </w:rPr>
        <w:t>Delaware corporation (“</w:t>
      </w:r>
      <w:r>
        <w:rPr>
          <w:rFonts w:ascii="Arial" w:eastAsia="Arial" w:hAnsi="Arial" w:cs="Arial"/>
          <w:b/>
          <w:bCs/>
          <w:sz w:val="18"/>
          <w:szCs w:val="18"/>
        </w:rPr>
        <w:t>L Brands</w:t>
      </w:r>
      <w:r>
        <w:rPr>
          <w:rFonts w:ascii="Arial" w:eastAsia="Arial" w:hAnsi="Arial" w:cs="Arial"/>
          <w:sz w:val="18"/>
          <w:szCs w:val="18"/>
        </w:rPr>
        <w:t>”), and Victoria’s Secret &amp; Co., a Delaware corporation (“</w:t>
      </w:r>
      <w:r>
        <w:rPr>
          <w:rFonts w:ascii="Arial" w:eastAsia="Arial" w:hAnsi="Arial" w:cs="Arial"/>
          <w:b/>
          <w:bCs/>
          <w:sz w:val="18"/>
          <w:szCs w:val="18"/>
        </w:rPr>
        <w:t>VS</w:t>
      </w:r>
      <w:r>
        <w:rPr>
          <w:rFonts w:ascii="Arial" w:eastAsia="Arial" w:hAnsi="Arial" w:cs="Arial"/>
          <w:sz w:val="18"/>
          <w:szCs w:val="18"/>
        </w:rPr>
        <w:t>”) (each, a “</w:t>
      </w:r>
      <w:r>
        <w:rPr>
          <w:rFonts w:ascii="Arial" w:eastAsia="Arial" w:hAnsi="Arial" w:cs="Arial"/>
          <w:b/>
          <w:bCs/>
          <w:sz w:val="18"/>
          <w:szCs w:val="18"/>
        </w:rPr>
        <w:t>Party</w:t>
      </w:r>
      <w:r>
        <w:rPr>
          <w:rFonts w:ascii="Arial" w:eastAsia="Arial" w:hAnsi="Arial" w:cs="Arial"/>
          <w:sz w:val="18"/>
          <w:szCs w:val="18"/>
        </w:rPr>
        <w:t>” and together, the “</w:t>
      </w:r>
      <w:r>
        <w:rPr>
          <w:rFonts w:ascii="Arial" w:eastAsia="Arial" w:hAnsi="Arial" w:cs="Arial"/>
          <w:b/>
          <w:bCs/>
          <w:sz w:val="18"/>
          <w:szCs w:val="18"/>
        </w:rPr>
        <w:t>Parties</w:t>
      </w:r>
      <w:r>
        <w:rPr>
          <w:rFonts w:ascii="Arial" w:eastAsia="Arial" w:hAnsi="Arial" w:cs="Arial"/>
          <w:sz w:val="18"/>
          <w:szCs w:val="18"/>
        </w:rPr>
        <w:t>”).</w:t>
      </w:r>
    </w:p>
    <w:p w14:paraId="108D9826" w14:textId="77777777" w:rsidR="00D1587D" w:rsidRDefault="00D1587D">
      <w:pPr>
        <w:spacing w:line="176" w:lineRule="exact"/>
        <w:rPr>
          <w:sz w:val="20"/>
          <w:szCs w:val="20"/>
        </w:rPr>
      </w:pPr>
    </w:p>
    <w:p w14:paraId="2312921E" w14:textId="77777777" w:rsidR="00D1587D" w:rsidRDefault="00410D07">
      <w:pPr>
        <w:ind w:right="-19"/>
        <w:jc w:val="center"/>
        <w:rPr>
          <w:sz w:val="20"/>
          <w:szCs w:val="20"/>
        </w:rPr>
      </w:pPr>
      <w:r>
        <w:rPr>
          <w:rFonts w:ascii="Arial" w:eastAsia="Arial" w:hAnsi="Arial" w:cs="Arial"/>
          <w:b/>
          <w:bCs/>
          <w:sz w:val="18"/>
          <w:szCs w:val="18"/>
        </w:rPr>
        <w:t>W I T N E S S E T H</w:t>
      </w:r>
      <w:r>
        <w:rPr>
          <w:rFonts w:ascii="Arial" w:eastAsia="Arial" w:hAnsi="Arial" w:cs="Arial"/>
          <w:sz w:val="18"/>
          <w:szCs w:val="18"/>
        </w:rPr>
        <w:t>:</w:t>
      </w:r>
    </w:p>
    <w:p w14:paraId="1A7C581A" w14:textId="77777777" w:rsidR="00D1587D" w:rsidRDefault="00D1587D">
      <w:pPr>
        <w:spacing w:line="229" w:lineRule="exact"/>
        <w:rPr>
          <w:sz w:val="20"/>
          <w:szCs w:val="20"/>
        </w:rPr>
      </w:pPr>
    </w:p>
    <w:p w14:paraId="2F4C90B3" w14:textId="77777777" w:rsidR="00D1587D" w:rsidRDefault="00410D07">
      <w:pPr>
        <w:spacing w:line="277" w:lineRule="auto"/>
        <w:ind w:right="180" w:firstLine="648"/>
        <w:rPr>
          <w:sz w:val="20"/>
          <w:szCs w:val="20"/>
        </w:rPr>
      </w:pPr>
      <w:r>
        <w:rPr>
          <w:rFonts w:ascii="Arial" w:eastAsia="Arial" w:hAnsi="Arial" w:cs="Arial"/>
          <w:sz w:val="18"/>
          <w:szCs w:val="18"/>
        </w:rPr>
        <w:t xml:space="preserve">WHEREAS, the Board of Directors of L Brands has determined that it is in the best interests </w:t>
      </w:r>
      <w:r>
        <w:rPr>
          <w:rFonts w:ascii="Arial" w:eastAsia="Arial" w:hAnsi="Arial" w:cs="Arial"/>
          <w:sz w:val="18"/>
          <w:szCs w:val="18"/>
        </w:rPr>
        <w:t>of L Brands and its stockholders to separate the VS Business from the L Brands Business;</w:t>
      </w:r>
    </w:p>
    <w:p w14:paraId="2757DFCC" w14:textId="77777777" w:rsidR="00D1587D" w:rsidRDefault="00D1587D">
      <w:pPr>
        <w:spacing w:line="170" w:lineRule="exact"/>
        <w:rPr>
          <w:sz w:val="20"/>
          <w:szCs w:val="20"/>
        </w:rPr>
      </w:pPr>
    </w:p>
    <w:p w14:paraId="7131547F" w14:textId="77777777" w:rsidR="00D1587D" w:rsidRDefault="00410D07">
      <w:pPr>
        <w:spacing w:line="277" w:lineRule="auto"/>
        <w:ind w:right="280" w:firstLine="648"/>
        <w:rPr>
          <w:sz w:val="20"/>
          <w:szCs w:val="20"/>
        </w:rPr>
      </w:pPr>
      <w:r>
        <w:rPr>
          <w:rFonts w:ascii="Arial" w:eastAsia="Arial" w:hAnsi="Arial" w:cs="Arial"/>
          <w:sz w:val="18"/>
          <w:szCs w:val="18"/>
        </w:rPr>
        <w:t xml:space="preserve">WHEREAS, VS is a wholly owned Subsidiary of L Brands that has been incorporated for the sole purpose of, and has not engaged in activities except in preparation for, </w:t>
      </w:r>
      <w:r>
        <w:rPr>
          <w:rFonts w:ascii="Arial" w:eastAsia="Arial" w:hAnsi="Arial" w:cs="Arial"/>
          <w:sz w:val="18"/>
          <w:szCs w:val="18"/>
        </w:rPr>
        <w:t>the Distribution and the transactions contemplated by this Agreement;</w:t>
      </w:r>
    </w:p>
    <w:p w14:paraId="0C837F9B" w14:textId="77777777" w:rsidR="00D1587D" w:rsidRDefault="00D1587D">
      <w:pPr>
        <w:spacing w:line="170" w:lineRule="exact"/>
        <w:rPr>
          <w:sz w:val="20"/>
          <w:szCs w:val="20"/>
        </w:rPr>
      </w:pPr>
    </w:p>
    <w:p w14:paraId="2BC30D57" w14:textId="77777777" w:rsidR="00D1587D" w:rsidRDefault="00410D07">
      <w:pPr>
        <w:spacing w:line="257" w:lineRule="auto"/>
        <w:ind w:right="20" w:firstLine="648"/>
        <w:rPr>
          <w:sz w:val="20"/>
          <w:szCs w:val="20"/>
        </w:rPr>
      </w:pPr>
      <w:r>
        <w:rPr>
          <w:rFonts w:ascii="Arial" w:eastAsia="Arial" w:hAnsi="Arial" w:cs="Arial"/>
          <w:sz w:val="18"/>
          <w:szCs w:val="18"/>
        </w:rPr>
        <w:t xml:space="preserve">WHEREAS, in furtherance of the foregoing, the Board of Directors of L Brands has determined that it is in the best interests of L Brands and its stockholders to distribute to the </w:t>
      </w:r>
      <w:r>
        <w:rPr>
          <w:rFonts w:ascii="Arial" w:eastAsia="Arial" w:hAnsi="Arial" w:cs="Arial"/>
          <w:sz w:val="18"/>
          <w:szCs w:val="18"/>
        </w:rPr>
        <w:t>holders of the issued and outstanding shares of common stock, par value $0.50 per share, of L Brands (the “</w:t>
      </w:r>
      <w:r>
        <w:rPr>
          <w:rFonts w:ascii="Arial" w:eastAsia="Arial" w:hAnsi="Arial" w:cs="Arial"/>
          <w:b/>
          <w:bCs/>
          <w:sz w:val="18"/>
          <w:szCs w:val="18"/>
        </w:rPr>
        <w:t>L Brands</w:t>
      </w:r>
      <w:r>
        <w:rPr>
          <w:rFonts w:ascii="Arial" w:eastAsia="Arial" w:hAnsi="Arial" w:cs="Arial"/>
          <w:sz w:val="18"/>
          <w:szCs w:val="18"/>
        </w:rPr>
        <w:t xml:space="preserve"> </w:t>
      </w:r>
      <w:r>
        <w:rPr>
          <w:rFonts w:ascii="Arial" w:eastAsia="Arial" w:hAnsi="Arial" w:cs="Arial"/>
          <w:b/>
          <w:bCs/>
          <w:sz w:val="18"/>
          <w:szCs w:val="18"/>
        </w:rPr>
        <w:t>Common Stock</w:t>
      </w:r>
      <w:r>
        <w:rPr>
          <w:rFonts w:ascii="Arial" w:eastAsia="Arial" w:hAnsi="Arial" w:cs="Arial"/>
          <w:sz w:val="18"/>
          <w:szCs w:val="18"/>
        </w:rPr>
        <w:t>”) as of the Record Date, by means of a</w:t>
      </w:r>
      <w:r>
        <w:rPr>
          <w:rFonts w:ascii="Arial" w:eastAsia="Arial" w:hAnsi="Arial" w:cs="Arial"/>
          <w:b/>
          <w:bCs/>
          <w:sz w:val="18"/>
          <w:szCs w:val="18"/>
        </w:rPr>
        <w:t xml:space="preserve"> </w:t>
      </w:r>
      <w:r>
        <w:rPr>
          <w:rFonts w:ascii="Arial" w:eastAsia="Arial" w:hAnsi="Arial" w:cs="Arial"/>
          <w:i/>
          <w:iCs/>
          <w:sz w:val="18"/>
          <w:szCs w:val="18"/>
        </w:rPr>
        <w:t>pro rata</w:t>
      </w:r>
      <w:r>
        <w:rPr>
          <w:rFonts w:ascii="Arial" w:eastAsia="Arial" w:hAnsi="Arial" w:cs="Arial"/>
          <w:b/>
          <w:bCs/>
          <w:sz w:val="18"/>
          <w:szCs w:val="18"/>
        </w:rPr>
        <w:t xml:space="preserve"> </w:t>
      </w:r>
      <w:r>
        <w:rPr>
          <w:rFonts w:ascii="Arial" w:eastAsia="Arial" w:hAnsi="Arial" w:cs="Arial"/>
          <w:sz w:val="18"/>
          <w:szCs w:val="18"/>
        </w:rPr>
        <w:t xml:space="preserve">dividend, 100% of the issued and outstanding shares of common stock, par value </w:t>
      </w:r>
      <w:r>
        <w:rPr>
          <w:rFonts w:ascii="Arial" w:eastAsia="Arial" w:hAnsi="Arial" w:cs="Arial"/>
          <w:sz w:val="18"/>
          <w:szCs w:val="18"/>
        </w:rPr>
        <w:t>$0.01</w:t>
      </w:r>
      <w:r>
        <w:rPr>
          <w:rFonts w:ascii="Arial" w:eastAsia="Arial" w:hAnsi="Arial" w:cs="Arial"/>
          <w:b/>
          <w:bCs/>
          <w:sz w:val="18"/>
          <w:szCs w:val="18"/>
        </w:rPr>
        <w:t xml:space="preserve"> </w:t>
      </w:r>
      <w:r>
        <w:rPr>
          <w:rFonts w:ascii="Arial" w:eastAsia="Arial" w:hAnsi="Arial" w:cs="Arial"/>
          <w:sz w:val="18"/>
          <w:szCs w:val="18"/>
        </w:rPr>
        <w:t>per share, of VS (the “</w:t>
      </w:r>
      <w:r>
        <w:rPr>
          <w:rFonts w:ascii="Arial" w:eastAsia="Arial" w:hAnsi="Arial" w:cs="Arial"/>
          <w:b/>
          <w:bCs/>
          <w:sz w:val="18"/>
          <w:szCs w:val="18"/>
        </w:rPr>
        <w:t>VS Common Stock</w:t>
      </w:r>
      <w:r>
        <w:rPr>
          <w:rFonts w:ascii="Arial" w:eastAsia="Arial" w:hAnsi="Arial" w:cs="Arial"/>
          <w:sz w:val="18"/>
          <w:szCs w:val="18"/>
        </w:rPr>
        <w:t>”), on the basis of one share of VS Common Stock for every [</w:t>
      </w:r>
      <w:r>
        <w:rPr>
          <w:rFonts w:ascii="Arial" w:eastAsia="Arial" w:hAnsi="Arial" w:cs="Arial"/>
          <w:b/>
          <w:bCs/>
          <w:sz w:val="18"/>
          <w:szCs w:val="18"/>
        </w:rPr>
        <w:t>—</w:t>
      </w:r>
      <w:r>
        <w:rPr>
          <w:rFonts w:ascii="Arial" w:eastAsia="Arial" w:hAnsi="Arial" w:cs="Arial"/>
          <w:sz w:val="18"/>
          <w:szCs w:val="18"/>
        </w:rPr>
        <w:t>] then issued and outstanding shares of L Brands Common Stock (the “</w:t>
      </w:r>
      <w:r>
        <w:rPr>
          <w:rFonts w:ascii="Arial" w:eastAsia="Arial" w:hAnsi="Arial" w:cs="Arial"/>
          <w:b/>
          <w:bCs/>
          <w:sz w:val="18"/>
          <w:szCs w:val="18"/>
        </w:rPr>
        <w:t>Distribution</w:t>
      </w:r>
      <w:r>
        <w:rPr>
          <w:rFonts w:ascii="Arial" w:eastAsia="Arial" w:hAnsi="Arial" w:cs="Arial"/>
          <w:sz w:val="18"/>
          <w:szCs w:val="18"/>
        </w:rPr>
        <w:t>”);</w:t>
      </w:r>
    </w:p>
    <w:p w14:paraId="74E386A3" w14:textId="77777777" w:rsidR="00D1587D" w:rsidRDefault="00D1587D">
      <w:pPr>
        <w:spacing w:line="188" w:lineRule="exact"/>
        <w:rPr>
          <w:sz w:val="20"/>
          <w:szCs w:val="20"/>
        </w:rPr>
      </w:pPr>
    </w:p>
    <w:p w14:paraId="57B118B8" w14:textId="77777777" w:rsidR="00D1587D" w:rsidRDefault="00410D07">
      <w:pPr>
        <w:spacing w:line="342" w:lineRule="auto"/>
        <w:ind w:right="20" w:firstLine="648"/>
        <w:rPr>
          <w:sz w:val="20"/>
          <w:szCs w:val="20"/>
        </w:rPr>
      </w:pPr>
      <w:r>
        <w:rPr>
          <w:rFonts w:ascii="Arial" w:eastAsia="Arial" w:hAnsi="Arial" w:cs="Arial"/>
          <w:sz w:val="16"/>
          <w:szCs w:val="16"/>
        </w:rPr>
        <w:t xml:space="preserve">WHEREAS, L Brands and VS have prepared, and VS has filed with the </w:t>
      </w:r>
      <w:r>
        <w:rPr>
          <w:rFonts w:ascii="Arial" w:eastAsia="Arial" w:hAnsi="Arial" w:cs="Arial"/>
          <w:sz w:val="16"/>
          <w:szCs w:val="16"/>
        </w:rPr>
        <w:t>Commission, the Form 10, which includes the Information Statement, and which sets forth appropriate disclosure concerning VS and the Distribution, and the Form 10 has become effective under the Exchange Act;</w:t>
      </w:r>
    </w:p>
    <w:p w14:paraId="400E2E46" w14:textId="77777777" w:rsidR="00D1587D" w:rsidRDefault="00D1587D">
      <w:pPr>
        <w:spacing w:line="124" w:lineRule="exact"/>
        <w:rPr>
          <w:sz w:val="20"/>
          <w:szCs w:val="20"/>
        </w:rPr>
      </w:pPr>
    </w:p>
    <w:p w14:paraId="7B120EB0" w14:textId="77777777" w:rsidR="00D1587D" w:rsidRDefault="00410D07">
      <w:pPr>
        <w:spacing w:line="263" w:lineRule="auto"/>
        <w:ind w:right="100" w:firstLine="648"/>
        <w:rPr>
          <w:sz w:val="20"/>
          <w:szCs w:val="20"/>
        </w:rPr>
      </w:pPr>
      <w:r>
        <w:rPr>
          <w:rFonts w:ascii="Arial" w:eastAsia="Arial" w:hAnsi="Arial" w:cs="Arial"/>
          <w:sz w:val="18"/>
          <w:szCs w:val="18"/>
        </w:rPr>
        <w:t xml:space="preserve">WHEREAS, the Distribution will be preceded by, </w:t>
      </w:r>
      <w:r>
        <w:rPr>
          <w:rFonts w:ascii="Arial" w:eastAsia="Arial" w:hAnsi="Arial" w:cs="Arial"/>
          <w:sz w:val="18"/>
          <w:szCs w:val="18"/>
        </w:rPr>
        <w:t>among other things, (i) the Restructuring, pursuant to which, among other things, all of the equity interests of the VS First-Tier Subsidiaries will be contributed to VS (the “</w:t>
      </w:r>
      <w:r>
        <w:rPr>
          <w:rFonts w:ascii="Arial" w:eastAsia="Arial" w:hAnsi="Arial" w:cs="Arial"/>
          <w:b/>
          <w:bCs/>
          <w:sz w:val="18"/>
          <w:szCs w:val="18"/>
        </w:rPr>
        <w:t>Contribution</w:t>
      </w:r>
      <w:r>
        <w:rPr>
          <w:rFonts w:ascii="Arial" w:eastAsia="Arial" w:hAnsi="Arial" w:cs="Arial"/>
          <w:sz w:val="18"/>
          <w:szCs w:val="18"/>
        </w:rPr>
        <w:t>”), (ii) the entry by VS into the VS Financing Arrangements and (iii</w:t>
      </w:r>
      <w:r>
        <w:rPr>
          <w:rFonts w:ascii="Arial" w:eastAsia="Arial" w:hAnsi="Arial" w:cs="Arial"/>
          <w:sz w:val="18"/>
          <w:szCs w:val="18"/>
        </w:rPr>
        <w:t>) the payment of the Special Cash Payment;</w:t>
      </w:r>
    </w:p>
    <w:p w14:paraId="7ECA7F47" w14:textId="77777777" w:rsidR="00D1587D" w:rsidRDefault="00D1587D">
      <w:pPr>
        <w:spacing w:line="184" w:lineRule="exact"/>
        <w:rPr>
          <w:sz w:val="20"/>
          <w:szCs w:val="20"/>
        </w:rPr>
      </w:pPr>
    </w:p>
    <w:p w14:paraId="3981C50C" w14:textId="77777777" w:rsidR="00D1587D" w:rsidRDefault="00410D07">
      <w:pPr>
        <w:spacing w:line="272" w:lineRule="auto"/>
        <w:ind w:right="80" w:firstLine="648"/>
        <w:rPr>
          <w:sz w:val="20"/>
          <w:szCs w:val="20"/>
        </w:rPr>
      </w:pPr>
      <w:r>
        <w:rPr>
          <w:rFonts w:ascii="Arial" w:eastAsia="Arial" w:hAnsi="Arial" w:cs="Arial"/>
          <w:sz w:val="17"/>
          <w:szCs w:val="17"/>
        </w:rPr>
        <w:t>WHEREAS, for United States federal and state income tax purposes, it is intended that (i) the Contribution, the Special Cash Payment and the Distribution, taken together, will qualify as a “reorganization” within</w:t>
      </w:r>
      <w:r>
        <w:rPr>
          <w:rFonts w:ascii="Arial" w:eastAsia="Arial" w:hAnsi="Arial" w:cs="Arial"/>
          <w:sz w:val="17"/>
          <w:szCs w:val="17"/>
        </w:rPr>
        <w:t xml:space="preserve"> the meaning of Section 368(a)(1)(D) of the Internal Revenue Code of 1986, as amended (the “</w:t>
      </w:r>
      <w:r>
        <w:rPr>
          <w:rFonts w:ascii="Arial" w:eastAsia="Arial" w:hAnsi="Arial" w:cs="Arial"/>
          <w:b/>
          <w:bCs/>
          <w:sz w:val="17"/>
          <w:szCs w:val="17"/>
        </w:rPr>
        <w:t>Code</w:t>
      </w:r>
      <w:r>
        <w:rPr>
          <w:rFonts w:ascii="Arial" w:eastAsia="Arial" w:hAnsi="Arial" w:cs="Arial"/>
          <w:sz w:val="17"/>
          <w:szCs w:val="17"/>
        </w:rPr>
        <w:t>”) and each of L Brands and VS will be a “party to the reorganization” within the meaning of Section 368(b) of the Code, (ii) the Distribution will qualify as a</w:t>
      </w:r>
      <w:r>
        <w:rPr>
          <w:rFonts w:ascii="Arial" w:eastAsia="Arial" w:hAnsi="Arial" w:cs="Arial"/>
          <w:sz w:val="17"/>
          <w:szCs w:val="17"/>
        </w:rPr>
        <w:t xml:space="preserve"> tax-free transaction under Sections 355(a) and 361(c) of the Code, and (iii) the L Brands Cash Distribution should qualify as money distributed to L Brands creditors or stockholders in connection with the reorganization for purposes of Section 361(b) of t</w:t>
      </w:r>
      <w:r>
        <w:rPr>
          <w:rFonts w:ascii="Arial" w:eastAsia="Arial" w:hAnsi="Arial" w:cs="Arial"/>
          <w:sz w:val="17"/>
          <w:szCs w:val="17"/>
        </w:rPr>
        <w:t>he Code (in each case, qualifying for such treatment under the corresponding provisions of state law), and it is a condition to the Distribution that L Brands will have obtained the Tax Opinion to such effect as contemplated by Section 3.01(a)(ix);</w:t>
      </w:r>
    </w:p>
    <w:p w14:paraId="427139BF" w14:textId="77777777" w:rsidR="00D1587D" w:rsidRDefault="00D1587D">
      <w:pPr>
        <w:spacing w:line="164" w:lineRule="exact"/>
        <w:rPr>
          <w:sz w:val="20"/>
          <w:szCs w:val="20"/>
        </w:rPr>
      </w:pPr>
    </w:p>
    <w:p w14:paraId="0CC12CCE" w14:textId="77777777" w:rsidR="00D1587D" w:rsidRDefault="00410D07">
      <w:pPr>
        <w:ind w:right="60"/>
        <w:jc w:val="center"/>
        <w:rPr>
          <w:sz w:val="20"/>
          <w:szCs w:val="20"/>
        </w:rPr>
      </w:pPr>
      <w:r>
        <w:rPr>
          <w:rFonts w:ascii="Arial" w:eastAsia="Arial" w:hAnsi="Arial" w:cs="Arial"/>
          <w:sz w:val="18"/>
          <w:szCs w:val="18"/>
        </w:rPr>
        <w:t>1</w:t>
      </w:r>
    </w:p>
    <w:p w14:paraId="69E09B32" w14:textId="77777777" w:rsidR="00D1587D" w:rsidRDefault="00410D07">
      <w:pPr>
        <w:spacing w:line="20" w:lineRule="exact"/>
        <w:rPr>
          <w:sz w:val="20"/>
          <w:szCs w:val="20"/>
        </w:rPr>
      </w:pPr>
      <w:r>
        <w:rPr>
          <w:noProof/>
          <w:sz w:val="20"/>
          <w:szCs w:val="20"/>
        </w:rPr>
        <w:drawing>
          <wp:anchor distT="0" distB="0" distL="114300" distR="114300" simplePos="0" relativeHeight="251153408" behindDoc="1" locked="0" layoutInCell="0" allowOverlap="1" wp14:anchorId="4373519C" wp14:editId="3A0EA09E">
            <wp:simplePos x="0" y="0"/>
            <wp:positionH relativeFrom="column">
              <wp:posOffset>5080</wp:posOffset>
            </wp:positionH>
            <wp:positionV relativeFrom="paragraph">
              <wp:posOffset>48895</wp:posOffset>
            </wp:positionV>
            <wp:extent cx="7132320" cy="1714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8AECE7D" w14:textId="77777777" w:rsidR="00D1587D" w:rsidRDefault="00D1587D">
      <w:pPr>
        <w:sectPr w:rsidR="00D1587D">
          <w:pgSz w:w="11900" w:h="16838"/>
          <w:pgMar w:top="337" w:right="339" w:bottom="1440" w:left="320" w:header="0" w:footer="0" w:gutter="0"/>
          <w:cols w:space="720" w:equalWidth="0">
            <w:col w:w="11240"/>
          </w:cols>
        </w:sectPr>
      </w:pPr>
    </w:p>
    <w:p w14:paraId="15347EE2" w14:textId="77777777" w:rsidR="00D1587D" w:rsidRDefault="00410D07">
      <w:pPr>
        <w:spacing w:line="277" w:lineRule="auto"/>
        <w:ind w:right="60" w:firstLine="648"/>
        <w:rPr>
          <w:sz w:val="20"/>
          <w:szCs w:val="20"/>
        </w:rPr>
      </w:pPr>
      <w:bookmarkStart w:id="10" w:name="page11"/>
      <w:bookmarkEnd w:id="10"/>
      <w:r>
        <w:rPr>
          <w:rFonts w:ascii="Arial" w:eastAsia="Arial" w:hAnsi="Arial" w:cs="Arial"/>
          <w:sz w:val="18"/>
          <w:szCs w:val="18"/>
        </w:rPr>
        <w:t>WHEREAS, this Agreement, together with the Ancillary Agreements and other documents implementing the Contribution and the Distribution, is intended to be, and is hereby adopted as, a “plan of reorganization” within the meaning of Treas.</w:t>
      </w:r>
      <w:r>
        <w:rPr>
          <w:rFonts w:ascii="Arial" w:eastAsia="Arial" w:hAnsi="Arial" w:cs="Arial"/>
          <w:sz w:val="18"/>
          <w:szCs w:val="18"/>
        </w:rPr>
        <w:t xml:space="preserve"> Reg. Section 1.368-2(g);</w:t>
      </w:r>
    </w:p>
    <w:p w14:paraId="19F4660B" w14:textId="77777777" w:rsidR="00D1587D" w:rsidRDefault="00D1587D">
      <w:pPr>
        <w:spacing w:line="170" w:lineRule="exact"/>
        <w:rPr>
          <w:sz w:val="20"/>
          <w:szCs w:val="20"/>
        </w:rPr>
      </w:pPr>
    </w:p>
    <w:p w14:paraId="4FFB617A" w14:textId="77777777" w:rsidR="00D1587D" w:rsidRDefault="00410D07">
      <w:pPr>
        <w:spacing w:line="277" w:lineRule="auto"/>
        <w:ind w:firstLine="648"/>
        <w:rPr>
          <w:sz w:val="20"/>
          <w:szCs w:val="20"/>
        </w:rPr>
      </w:pPr>
      <w:r>
        <w:rPr>
          <w:rFonts w:ascii="Arial" w:eastAsia="Arial" w:hAnsi="Arial" w:cs="Arial"/>
          <w:sz w:val="18"/>
          <w:szCs w:val="18"/>
        </w:rPr>
        <w:t>WHEREAS, the Parties have determined to set forth the principal actions required to effect the Distribution and to set forth certain agreements that will govern the relationship between the Parties following the Distribution; and</w:t>
      </w:r>
    </w:p>
    <w:p w14:paraId="79D768F9" w14:textId="77777777" w:rsidR="00D1587D" w:rsidRDefault="00D1587D">
      <w:pPr>
        <w:spacing w:line="170" w:lineRule="exact"/>
        <w:rPr>
          <w:sz w:val="20"/>
          <w:szCs w:val="20"/>
        </w:rPr>
      </w:pPr>
    </w:p>
    <w:p w14:paraId="57E308A0" w14:textId="77777777" w:rsidR="00D1587D" w:rsidRDefault="00410D07">
      <w:pPr>
        <w:spacing w:line="277" w:lineRule="auto"/>
        <w:ind w:right="200" w:firstLine="648"/>
        <w:rPr>
          <w:sz w:val="20"/>
          <w:szCs w:val="20"/>
        </w:rPr>
      </w:pPr>
      <w:r>
        <w:rPr>
          <w:rFonts w:ascii="Arial" w:eastAsia="Arial" w:hAnsi="Arial" w:cs="Arial"/>
          <w:sz w:val="18"/>
          <w:szCs w:val="18"/>
        </w:rPr>
        <w:t xml:space="preserve">WHEREAS, the Parties acknowledge that this Agreement and the Ancillary Agreements represent the integrated agreement of L Brands and VS relating to the Distribution, are being entered into together, and would not have been entered into </w:t>
      </w:r>
      <w:r>
        <w:rPr>
          <w:rFonts w:ascii="Arial" w:eastAsia="Arial" w:hAnsi="Arial" w:cs="Arial"/>
          <w:sz w:val="18"/>
          <w:szCs w:val="18"/>
        </w:rPr>
        <w:t>independently.</w:t>
      </w:r>
    </w:p>
    <w:p w14:paraId="3BCEB8D1" w14:textId="77777777" w:rsidR="00D1587D" w:rsidRDefault="00D1587D">
      <w:pPr>
        <w:spacing w:line="170" w:lineRule="exact"/>
        <w:rPr>
          <w:sz w:val="20"/>
          <w:szCs w:val="20"/>
        </w:rPr>
      </w:pPr>
    </w:p>
    <w:p w14:paraId="049509D7" w14:textId="77777777" w:rsidR="00D1587D" w:rsidRDefault="00410D07">
      <w:pPr>
        <w:ind w:left="660"/>
        <w:rPr>
          <w:sz w:val="20"/>
          <w:szCs w:val="20"/>
        </w:rPr>
      </w:pPr>
      <w:r>
        <w:rPr>
          <w:rFonts w:ascii="Arial" w:eastAsia="Arial" w:hAnsi="Arial" w:cs="Arial"/>
          <w:sz w:val="18"/>
          <w:szCs w:val="18"/>
        </w:rPr>
        <w:t>ACCORDINGLY, in consideration of the mutual covenants contained in this Agreement, the Parties hereby agree as follows:</w:t>
      </w:r>
    </w:p>
    <w:p w14:paraId="64A71D66" w14:textId="77777777" w:rsidR="00D1587D" w:rsidRDefault="00D1587D">
      <w:pPr>
        <w:spacing w:line="225" w:lineRule="exact"/>
        <w:rPr>
          <w:sz w:val="20"/>
          <w:szCs w:val="20"/>
        </w:rPr>
      </w:pPr>
    </w:p>
    <w:p w14:paraId="7A1FB6E8" w14:textId="77777777" w:rsidR="00D1587D" w:rsidRDefault="00410D07">
      <w:pPr>
        <w:jc w:val="center"/>
        <w:rPr>
          <w:sz w:val="20"/>
          <w:szCs w:val="20"/>
        </w:rPr>
      </w:pPr>
      <w:r>
        <w:rPr>
          <w:rFonts w:ascii="Arial" w:eastAsia="Arial" w:hAnsi="Arial" w:cs="Arial"/>
          <w:sz w:val="18"/>
          <w:szCs w:val="18"/>
        </w:rPr>
        <w:t>ARTICLE 1</w:t>
      </w:r>
    </w:p>
    <w:p w14:paraId="2DB8CEDB" w14:textId="77777777" w:rsidR="00D1587D" w:rsidRDefault="00D1587D">
      <w:pPr>
        <w:spacing w:line="23" w:lineRule="exact"/>
        <w:rPr>
          <w:sz w:val="20"/>
          <w:szCs w:val="20"/>
        </w:rPr>
      </w:pPr>
    </w:p>
    <w:p w14:paraId="25E462AE" w14:textId="77777777" w:rsidR="00D1587D" w:rsidRDefault="00410D07">
      <w:pPr>
        <w:jc w:val="center"/>
        <w:rPr>
          <w:sz w:val="20"/>
          <w:szCs w:val="20"/>
        </w:rPr>
      </w:pPr>
      <w:r>
        <w:rPr>
          <w:rFonts w:ascii="Arial" w:eastAsia="Arial" w:hAnsi="Arial" w:cs="Arial"/>
          <w:sz w:val="18"/>
          <w:szCs w:val="18"/>
        </w:rPr>
        <w:t>D</w:t>
      </w:r>
      <w:r>
        <w:rPr>
          <w:rFonts w:ascii="Arial" w:eastAsia="Arial" w:hAnsi="Arial" w:cs="Arial"/>
          <w:sz w:val="12"/>
          <w:szCs w:val="12"/>
        </w:rPr>
        <w:t>EFINITIONS</w:t>
      </w:r>
    </w:p>
    <w:p w14:paraId="45AA6CC0" w14:textId="77777777" w:rsidR="00D1587D" w:rsidRDefault="00D1587D">
      <w:pPr>
        <w:spacing w:line="211" w:lineRule="exact"/>
        <w:rPr>
          <w:sz w:val="20"/>
          <w:szCs w:val="20"/>
        </w:rPr>
      </w:pPr>
    </w:p>
    <w:p w14:paraId="361ADCCA" w14:textId="77777777" w:rsidR="00D1587D" w:rsidRDefault="00410D07">
      <w:pPr>
        <w:ind w:left="660"/>
        <w:rPr>
          <w:sz w:val="20"/>
          <w:szCs w:val="20"/>
        </w:rPr>
      </w:pPr>
      <w:r>
        <w:rPr>
          <w:rFonts w:ascii="Arial" w:eastAsia="Arial" w:hAnsi="Arial" w:cs="Arial"/>
          <w:sz w:val="18"/>
          <w:szCs w:val="18"/>
        </w:rPr>
        <w:t>Section 1.01</w:t>
      </w:r>
      <w:r>
        <w:rPr>
          <w:rFonts w:ascii="Arial" w:eastAsia="Arial" w:hAnsi="Arial" w:cs="Arial"/>
          <w:i/>
          <w:iCs/>
          <w:sz w:val="18"/>
          <w:szCs w:val="18"/>
        </w:rPr>
        <w:t>. Definitions.</w:t>
      </w:r>
      <w:r>
        <w:rPr>
          <w:rFonts w:ascii="Arial" w:eastAsia="Arial" w:hAnsi="Arial" w:cs="Arial"/>
          <w:sz w:val="18"/>
          <w:szCs w:val="18"/>
        </w:rPr>
        <w:t xml:space="preserve"> (a) As used in this Agreement, the following terms have the followin</w:t>
      </w:r>
      <w:r>
        <w:rPr>
          <w:rFonts w:ascii="Arial" w:eastAsia="Arial" w:hAnsi="Arial" w:cs="Arial"/>
          <w:sz w:val="18"/>
          <w:szCs w:val="18"/>
        </w:rPr>
        <w:t>g meanings:</w:t>
      </w:r>
    </w:p>
    <w:p w14:paraId="3F94FF75" w14:textId="77777777" w:rsidR="00D1587D" w:rsidRDefault="00D1587D">
      <w:pPr>
        <w:spacing w:line="221" w:lineRule="exact"/>
        <w:rPr>
          <w:sz w:val="20"/>
          <w:szCs w:val="20"/>
        </w:rPr>
      </w:pPr>
    </w:p>
    <w:p w14:paraId="52190FAF" w14:textId="77777777" w:rsidR="00D1587D" w:rsidRDefault="00410D07">
      <w:pPr>
        <w:spacing w:line="282" w:lineRule="auto"/>
        <w:ind w:right="160" w:firstLine="648"/>
        <w:rPr>
          <w:sz w:val="20"/>
          <w:szCs w:val="20"/>
        </w:rPr>
      </w:pPr>
      <w:r>
        <w:rPr>
          <w:rFonts w:ascii="Arial" w:eastAsia="Arial" w:hAnsi="Arial" w:cs="Arial"/>
          <w:sz w:val="18"/>
          <w:szCs w:val="18"/>
        </w:rPr>
        <w:t>“</w:t>
      </w:r>
      <w:r>
        <w:rPr>
          <w:rFonts w:ascii="Arial" w:eastAsia="Arial" w:hAnsi="Arial" w:cs="Arial"/>
          <w:b/>
          <w:bCs/>
          <w:sz w:val="18"/>
          <w:szCs w:val="18"/>
        </w:rPr>
        <w:t>Action</w:t>
      </w:r>
      <w:r>
        <w:rPr>
          <w:rFonts w:ascii="Arial" w:eastAsia="Arial" w:hAnsi="Arial" w:cs="Arial"/>
          <w:sz w:val="18"/>
          <w:szCs w:val="18"/>
        </w:rPr>
        <w:t>” means any demand, claim, suit, action, arbitration, inquiry, investigation or other proceeding by or before any Governmental Authority or any arbitration or mediation tribunal.</w:t>
      </w:r>
    </w:p>
    <w:p w14:paraId="267B80CC" w14:textId="77777777" w:rsidR="00D1587D" w:rsidRDefault="00D1587D">
      <w:pPr>
        <w:spacing w:line="162" w:lineRule="exact"/>
        <w:rPr>
          <w:sz w:val="20"/>
          <w:szCs w:val="20"/>
        </w:rPr>
      </w:pPr>
    </w:p>
    <w:p w14:paraId="6B08CBE0" w14:textId="77777777" w:rsidR="00D1587D" w:rsidRDefault="00410D07">
      <w:pPr>
        <w:spacing w:line="256" w:lineRule="auto"/>
        <w:ind w:right="60" w:firstLine="648"/>
        <w:rPr>
          <w:sz w:val="20"/>
          <w:szCs w:val="20"/>
        </w:rPr>
      </w:pPr>
      <w:r>
        <w:rPr>
          <w:rFonts w:ascii="Arial" w:eastAsia="Arial" w:hAnsi="Arial" w:cs="Arial"/>
          <w:sz w:val="18"/>
          <w:szCs w:val="18"/>
        </w:rPr>
        <w:t>“</w:t>
      </w:r>
      <w:r>
        <w:rPr>
          <w:rFonts w:ascii="Arial" w:eastAsia="Arial" w:hAnsi="Arial" w:cs="Arial"/>
          <w:b/>
          <w:bCs/>
          <w:sz w:val="18"/>
          <w:szCs w:val="18"/>
        </w:rPr>
        <w:t>Affiliate</w:t>
      </w:r>
      <w:r>
        <w:rPr>
          <w:rFonts w:ascii="Arial" w:eastAsia="Arial" w:hAnsi="Arial" w:cs="Arial"/>
          <w:sz w:val="18"/>
          <w:szCs w:val="18"/>
        </w:rPr>
        <w:t>” means, with respect to any Person, any other</w:t>
      </w:r>
      <w:r>
        <w:rPr>
          <w:rFonts w:ascii="Arial" w:eastAsia="Arial" w:hAnsi="Arial" w:cs="Arial"/>
          <w:sz w:val="18"/>
          <w:szCs w:val="18"/>
        </w:rPr>
        <w:t xml:space="preserve"> Person directly or indirectly controlling, controlled by, or under common control with, such other Person. For the purposes of this definition, “</w:t>
      </w:r>
      <w:r>
        <w:rPr>
          <w:rFonts w:ascii="Arial" w:eastAsia="Arial" w:hAnsi="Arial" w:cs="Arial"/>
          <w:b/>
          <w:bCs/>
          <w:sz w:val="18"/>
          <w:szCs w:val="18"/>
        </w:rPr>
        <w:t>control</w:t>
      </w:r>
      <w:r>
        <w:rPr>
          <w:rFonts w:ascii="Arial" w:eastAsia="Arial" w:hAnsi="Arial" w:cs="Arial"/>
          <w:sz w:val="18"/>
          <w:szCs w:val="18"/>
        </w:rPr>
        <w:t>” means the possession, directly or indirectly, of the power to direct or cause the direction of the ma</w:t>
      </w:r>
      <w:r>
        <w:rPr>
          <w:rFonts w:ascii="Arial" w:eastAsia="Arial" w:hAnsi="Arial" w:cs="Arial"/>
          <w:sz w:val="18"/>
          <w:szCs w:val="18"/>
        </w:rPr>
        <w:t>nagement and policies of a Person, whether through the ownership of voting securities, by Contract or otherwise, and the terms “</w:t>
      </w:r>
      <w:r>
        <w:rPr>
          <w:rFonts w:ascii="Arial" w:eastAsia="Arial" w:hAnsi="Arial" w:cs="Arial"/>
          <w:b/>
          <w:bCs/>
          <w:sz w:val="18"/>
          <w:szCs w:val="18"/>
        </w:rPr>
        <w:t>controlling</w:t>
      </w:r>
      <w:r>
        <w:rPr>
          <w:rFonts w:ascii="Arial" w:eastAsia="Arial" w:hAnsi="Arial" w:cs="Arial"/>
          <w:sz w:val="18"/>
          <w:szCs w:val="18"/>
        </w:rPr>
        <w:t>” and “</w:t>
      </w:r>
      <w:r>
        <w:rPr>
          <w:rFonts w:ascii="Arial" w:eastAsia="Arial" w:hAnsi="Arial" w:cs="Arial"/>
          <w:b/>
          <w:bCs/>
          <w:sz w:val="18"/>
          <w:szCs w:val="18"/>
        </w:rPr>
        <w:t>controlled</w:t>
      </w:r>
      <w:r>
        <w:rPr>
          <w:rFonts w:ascii="Arial" w:eastAsia="Arial" w:hAnsi="Arial" w:cs="Arial"/>
          <w:sz w:val="18"/>
          <w:szCs w:val="18"/>
        </w:rPr>
        <w:t>” have meanings correlative to the foregoing. Notwithstanding any provision of this Agreement to the</w:t>
      </w:r>
      <w:r>
        <w:rPr>
          <w:rFonts w:ascii="Arial" w:eastAsia="Arial" w:hAnsi="Arial" w:cs="Arial"/>
          <w:sz w:val="18"/>
          <w:szCs w:val="18"/>
        </w:rPr>
        <w:t xml:space="preserve"> contrary (except where the relevant provision states explicitly to the contrary), no member of the L Brands Group, on the one hand, and no member of the VS Group, on the other hand, shall be deemed to be an Affiliate of the other.</w:t>
      </w:r>
    </w:p>
    <w:p w14:paraId="4B82524D" w14:textId="77777777" w:rsidR="00D1587D" w:rsidRDefault="00D1587D">
      <w:pPr>
        <w:spacing w:line="178" w:lineRule="exact"/>
        <w:rPr>
          <w:sz w:val="20"/>
          <w:szCs w:val="20"/>
        </w:rPr>
      </w:pPr>
    </w:p>
    <w:p w14:paraId="619C2C9C" w14:textId="77777777" w:rsidR="00D1587D" w:rsidRDefault="00410D07">
      <w:pPr>
        <w:ind w:right="60"/>
        <w:jc w:val="center"/>
        <w:rPr>
          <w:sz w:val="20"/>
          <w:szCs w:val="20"/>
        </w:rPr>
      </w:pPr>
      <w:r>
        <w:rPr>
          <w:rFonts w:ascii="Arial" w:eastAsia="Arial" w:hAnsi="Arial" w:cs="Arial"/>
          <w:sz w:val="18"/>
          <w:szCs w:val="18"/>
        </w:rPr>
        <w:t>2</w:t>
      </w:r>
    </w:p>
    <w:p w14:paraId="3F68584E" w14:textId="77777777" w:rsidR="00D1587D" w:rsidRDefault="00410D07">
      <w:pPr>
        <w:spacing w:line="20" w:lineRule="exact"/>
        <w:rPr>
          <w:sz w:val="20"/>
          <w:szCs w:val="20"/>
        </w:rPr>
      </w:pPr>
      <w:r>
        <w:rPr>
          <w:noProof/>
          <w:sz w:val="20"/>
          <w:szCs w:val="20"/>
        </w:rPr>
        <w:drawing>
          <wp:anchor distT="0" distB="0" distL="114300" distR="114300" simplePos="0" relativeHeight="251154432" behindDoc="1" locked="0" layoutInCell="0" allowOverlap="1" wp14:anchorId="5E34AA28" wp14:editId="2570BBCA">
            <wp:simplePos x="0" y="0"/>
            <wp:positionH relativeFrom="column">
              <wp:posOffset>5080</wp:posOffset>
            </wp:positionH>
            <wp:positionV relativeFrom="paragraph">
              <wp:posOffset>48895</wp:posOffset>
            </wp:positionV>
            <wp:extent cx="7132320" cy="171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11076F0" w14:textId="77777777" w:rsidR="00D1587D" w:rsidRDefault="00D1587D">
      <w:pPr>
        <w:sectPr w:rsidR="00D1587D">
          <w:pgSz w:w="11900" w:h="16838"/>
          <w:pgMar w:top="341" w:right="339" w:bottom="1440" w:left="320" w:header="0" w:footer="0" w:gutter="0"/>
          <w:cols w:space="720" w:equalWidth="0">
            <w:col w:w="11240"/>
          </w:cols>
        </w:sectPr>
      </w:pPr>
    </w:p>
    <w:p w14:paraId="0FAF9D6C" w14:textId="77777777" w:rsidR="00D1587D" w:rsidRDefault="00410D07">
      <w:pPr>
        <w:spacing w:line="258" w:lineRule="auto"/>
        <w:ind w:right="160" w:firstLine="648"/>
        <w:rPr>
          <w:sz w:val="20"/>
          <w:szCs w:val="20"/>
        </w:rPr>
      </w:pPr>
      <w:bookmarkStart w:id="11" w:name="page12"/>
      <w:bookmarkEnd w:id="11"/>
      <w:r>
        <w:rPr>
          <w:rFonts w:ascii="Arial" w:eastAsia="Arial" w:hAnsi="Arial" w:cs="Arial"/>
          <w:sz w:val="18"/>
          <w:szCs w:val="18"/>
        </w:rPr>
        <w:t>“</w:t>
      </w:r>
      <w:r>
        <w:rPr>
          <w:rFonts w:ascii="Arial" w:eastAsia="Arial" w:hAnsi="Arial" w:cs="Arial"/>
          <w:b/>
          <w:bCs/>
          <w:sz w:val="18"/>
          <w:szCs w:val="18"/>
        </w:rPr>
        <w:t>Ancillary Agreement</w:t>
      </w:r>
      <w:r>
        <w:rPr>
          <w:rFonts w:ascii="Arial" w:eastAsia="Arial" w:hAnsi="Arial" w:cs="Arial"/>
          <w:sz w:val="18"/>
          <w:szCs w:val="18"/>
        </w:rPr>
        <w:t xml:space="preserve">” means each of the Aviation Agreement, the Campus Security and Emergency Operations Services Agreement, the DC2 Lease, the Domestic Transportation Services Agreement, the Employee Matters Agreement, the L Brands to VS </w:t>
      </w:r>
      <w:r>
        <w:rPr>
          <w:rFonts w:ascii="Arial" w:eastAsia="Arial" w:hAnsi="Arial" w:cs="Arial"/>
          <w:sz w:val="18"/>
          <w:szCs w:val="18"/>
        </w:rPr>
        <w:t>Transition Services Agreement, the Restructuring Agreements, the Tax Matters Agreement, the VS to L Brands Transition Services Agreement and any other agreements, instruments, or certificates related thereto or to the transactions contemplated by this Agre</w:t>
      </w:r>
      <w:r>
        <w:rPr>
          <w:rFonts w:ascii="Arial" w:eastAsia="Arial" w:hAnsi="Arial" w:cs="Arial"/>
          <w:sz w:val="18"/>
          <w:szCs w:val="18"/>
        </w:rPr>
        <w:t>ement (in each case, together with the schedules, exhibits, annexes and other attachments thereto).</w:t>
      </w:r>
    </w:p>
    <w:p w14:paraId="5F36EF9B" w14:textId="77777777" w:rsidR="00D1587D" w:rsidRDefault="00D1587D">
      <w:pPr>
        <w:spacing w:line="183" w:lineRule="exact"/>
        <w:rPr>
          <w:sz w:val="20"/>
          <w:szCs w:val="20"/>
        </w:rPr>
      </w:pPr>
    </w:p>
    <w:p w14:paraId="5992F010" w14:textId="77777777" w:rsidR="00D1587D" w:rsidRDefault="00410D07">
      <w:pPr>
        <w:spacing w:line="303" w:lineRule="auto"/>
        <w:ind w:right="100" w:firstLine="648"/>
        <w:rPr>
          <w:sz w:val="20"/>
          <w:szCs w:val="20"/>
        </w:rPr>
      </w:pPr>
      <w:r>
        <w:rPr>
          <w:rFonts w:ascii="Arial" w:eastAsia="Arial" w:hAnsi="Arial" w:cs="Arial"/>
          <w:sz w:val="16"/>
          <w:szCs w:val="16"/>
        </w:rPr>
        <w:t>“</w:t>
      </w:r>
      <w:r>
        <w:rPr>
          <w:rFonts w:ascii="Arial" w:eastAsia="Arial" w:hAnsi="Arial" w:cs="Arial"/>
          <w:b/>
          <w:bCs/>
          <w:sz w:val="16"/>
          <w:szCs w:val="16"/>
        </w:rPr>
        <w:t>Applicable Law</w:t>
      </w:r>
      <w:r>
        <w:rPr>
          <w:rFonts w:ascii="Arial" w:eastAsia="Arial" w:hAnsi="Arial" w:cs="Arial"/>
          <w:sz w:val="16"/>
          <w:szCs w:val="16"/>
        </w:rPr>
        <w:t>” means, with respect to any Person, any federal, state, local or foreign law (statutory, common or otherwise), constitution, treaty, conven</w:t>
      </w:r>
      <w:r>
        <w:rPr>
          <w:rFonts w:ascii="Arial" w:eastAsia="Arial" w:hAnsi="Arial" w:cs="Arial"/>
          <w:sz w:val="16"/>
          <w:szCs w:val="16"/>
        </w:rPr>
        <w:t xml:space="preserve">tion, ordinance, code, rule, regulation, order, injunction, judgment, decree, ruling, directive, guidance, instruction, direction, permission, waiver, notice, condition, limitation, restriction or prohibition or other similar requirement enacted, adopted, </w:t>
      </w:r>
      <w:r>
        <w:rPr>
          <w:rFonts w:ascii="Arial" w:eastAsia="Arial" w:hAnsi="Arial" w:cs="Arial"/>
          <w:sz w:val="16"/>
          <w:szCs w:val="16"/>
        </w:rPr>
        <w:t>promulgated, imposed, issued or applied by a Governmental Authority that is binding upon or applicable to such Person, its properties or assets or its business or operations.</w:t>
      </w:r>
    </w:p>
    <w:p w14:paraId="75107F15" w14:textId="77777777" w:rsidR="00D1587D" w:rsidRDefault="00D1587D">
      <w:pPr>
        <w:spacing w:line="151" w:lineRule="exact"/>
        <w:rPr>
          <w:sz w:val="20"/>
          <w:szCs w:val="20"/>
        </w:rPr>
      </w:pPr>
    </w:p>
    <w:p w14:paraId="14E850B4" w14:textId="77777777" w:rsidR="00D1587D" w:rsidRDefault="00410D07">
      <w:pPr>
        <w:spacing w:line="282" w:lineRule="auto"/>
        <w:ind w:right="100" w:firstLine="648"/>
        <w:rPr>
          <w:sz w:val="20"/>
          <w:szCs w:val="20"/>
        </w:rPr>
      </w:pPr>
      <w:r>
        <w:rPr>
          <w:rFonts w:ascii="Arial" w:eastAsia="Arial" w:hAnsi="Arial" w:cs="Arial"/>
          <w:sz w:val="18"/>
          <w:szCs w:val="18"/>
        </w:rPr>
        <w:t>“</w:t>
      </w:r>
      <w:r>
        <w:rPr>
          <w:rFonts w:ascii="Arial" w:eastAsia="Arial" w:hAnsi="Arial" w:cs="Arial"/>
          <w:b/>
          <w:bCs/>
          <w:sz w:val="18"/>
          <w:szCs w:val="18"/>
        </w:rPr>
        <w:t>Aviation Agreement</w:t>
      </w:r>
      <w:r>
        <w:rPr>
          <w:rFonts w:ascii="Arial" w:eastAsia="Arial" w:hAnsi="Arial" w:cs="Arial"/>
          <w:sz w:val="18"/>
          <w:szCs w:val="18"/>
        </w:rPr>
        <w:t xml:space="preserve">” means the Aviation Agreement dated as of the date hereof between the parties thereto substantially in the form of </w:t>
      </w:r>
      <w:r>
        <w:rPr>
          <w:rFonts w:ascii="Arial" w:eastAsia="Arial" w:hAnsi="Arial" w:cs="Arial"/>
          <w:sz w:val="18"/>
          <w:szCs w:val="18"/>
          <w:u w:val="single"/>
        </w:rPr>
        <w:t>Exhibit</w:t>
      </w:r>
      <w:r>
        <w:rPr>
          <w:rFonts w:ascii="Arial" w:eastAsia="Arial" w:hAnsi="Arial" w:cs="Arial"/>
          <w:sz w:val="18"/>
          <w:szCs w:val="18"/>
        </w:rPr>
        <w:t xml:space="preserve"> </w:t>
      </w:r>
      <w:r>
        <w:rPr>
          <w:rFonts w:ascii="Arial" w:eastAsia="Arial" w:hAnsi="Arial" w:cs="Arial"/>
          <w:sz w:val="18"/>
          <w:szCs w:val="18"/>
          <w:u w:val="single"/>
        </w:rPr>
        <w:t>A</w:t>
      </w:r>
      <w:r>
        <w:rPr>
          <w:rFonts w:ascii="Arial" w:eastAsia="Arial" w:hAnsi="Arial" w:cs="Arial"/>
          <w:sz w:val="18"/>
          <w:szCs w:val="18"/>
        </w:rPr>
        <w:t>, as such agreement may be amended from time to time in accordance with its terms.</w:t>
      </w:r>
    </w:p>
    <w:p w14:paraId="2F6CB779" w14:textId="77777777" w:rsidR="00D1587D" w:rsidRDefault="00D1587D">
      <w:pPr>
        <w:spacing w:line="162" w:lineRule="exact"/>
        <w:rPr>
          <w:sz w:val="20"/>
          <w:szCs w:val="20"/>
        </w:rPr>
      </w:pPr>
    </w:p>
    <w:p w14:paraId="78C76BA1"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Business</w:t>
      </w:r>
      <w:r>
        <w:rPr>
          <w:rFonts w:ascii="Arial" w:eastAsia="Arial" w:hAnsi="Arial" w:cs="Arial"/>
          <w:sz w:val="18"/>
          <w:szCs w:val="18"/>
        </w:rPr>
        <w:t xml:space="preserve">” means, with respect to the L Brands </w:t>
      </w:r>
      <w:r>
        <w:rPr>
          <w:rFonts w:ascii="Arial" w:eastAsia="Arial" w:hAnsi="Arial" w:cs="Arial"/>
          <w:sz w:val="18"/>
          <w:szCs w:val="18"/>
        </w:rPr>
        <w:t>Group, the L Brands Business and, with respect to the VS Group, the VS Business.</w:t>
      </w:r>
    </w:p>
    <w:p w14:paraId="1578F50E" w14:textId="77777777" w:rsidR="00D1587D" w:rsidRDefault="00D1587D">
      <w:pPr>
        <w:spacing w:line="225" w:lineRule="exact"/>
        <w:rPr>
          <w:sz w:val="20"/>
          <w:szCs w:val="20"/>
        </w:rPr>
      </w:pPr>
    </w:p>
    <w:p w14:paraId="5C5DCD69" w14:textId="77777777" w:rsidR="00D1587D" w:rsidRDefault="00410D07">
      <w:pPr>
        <w:spacing w:line="282" w:lineRule="auto"/>
        <w:ind w:right="140" w:firstLine="648"/>
        <w:rPr>
          <w:sz w:val="20"/>
          <w:szCs w:val="20"/>
        </w:rPr>
      </w:pPr>
      <w:r>
        <w:rPr>
          <w:rFonts w:ascii="Arial" w:eastAsia="Arial" w:hAnsi="Arial" w:cs="Arial"/>
          <w:sz w:val="18"/>
          <w:szCs w:val="18"/>
        </w:rPr>
        <w:t>“</w:t>
      </w:r>
      <w:r>
        <w:rPr>
          <w:rFonts w:ascii="Arial" w:eastAsia="Arial" w:hAnsi="Arial" w:cs="Arial"/>
          <w:b/>
          <w:bCs/>
          <w:sz w:val="18"/>
          <w:szCs w:val="18"/>
        </w:rPr>
        <w:t>Business Day</w:t>
      </w:r>
      <w:r>
        <w:rPr>
          <w:rFonts w:ascii="Arial" w:eastAsia="Arial" w:hAnsi="Arial" w:cs="Arial"/>
          <w:sz w:val="18"/>
          <w:szCs w:val="18"/>
        </w:rPr>
        <w:t>” means any day, other than Saturday, Sunday or other day on which commercial banks in New York, New York are authorized or required by Applicable Law to close.</w:t>
      </w:r>
    </w:p>
    <w:p w14:paraId="159E1F3F" w14:textId="77777777" w:rsidR="00D1587D" w:rsidRDefault="00D1587D">
      <w:pPr>
        <w:spacing w:line="162" w:lineRule="exact"/>
        <w:rPr>
          <w:sz w:val="20"/>
          <w:szCs w:val="20"/>
        </w:rPr>
      </w:pPr>
    </w:p>
    <w:p w14:paraId="6E216F27" w14:textId="77777777" w:rsidR="00D1587D" w:rsidRDefault="00410D07">
      <w:pPr>
        <w:spacing w:line="266" w:lineRule="auto"/>
        <w:ind w:right="180" w:firstLine="648"/>
        <w:rPr>
          <w:sz w:val="20"/>
          <w:szCs w:val="20"/>
        </w:rPr>
      </w:pPr>
      <w:r>
        <w:rPr>
          <w:rFonts w:ascii="Arial" w:eastAsia="Arial" w:hAnsi="Arial" w:cs="Arial"/>
          <w:sz w:val="18"/>
          <w:szCs w:val="18"/>
        </w:rPr>
        <w:t>“</w:t>
      </w:r>
      <w:r>
        <w:rPr>
          <w:rFonts w:ascii="Arial" w:eastAsia="Arial" w:hAnsi="Arial" w:cs="Arial"/>
          <w:b/>
          <w:bCs/>
          <w:sz w:val="18"/>
          <w:szCs w:val="18"/>
        </w:rPr>
        <w:t>Campus Security and Emergency Operations Services Agreement</w:t>
      </w:r>
      <w:r>
        <w:rPr>
          <w:rFonts w:ascii="Arial" w:eastAsia="Arial" w:hAnsi="Arial" w:cs="Arial"/>
          <w:sz w:val="18"/>
          <w:szCs w:val="18"/>
        </w:rPr>
        <w:t xml:space="preserve">” means the Campus Security and Emergency Operations Services Agreement dated as of the date hereof between L Brands and VS substantially in the form of </w:t>
      </w:r>
      <w:r>
        <w:rPr>
          <w:rFonts w:ascii="Arial" w:eastAsia="Arial" w:hAnsi="Arial" w:cs="Arial"/>
          <w:sz w:val="18"/>
          <w:szCs w:val="18"/>
          <w:u w:val="single"/>
        </w:rPr>
        <w:t>Exhibit B</w:t>
      </w:r>
      <w:r>
        <w:rPr>
          <w:rFonts w:ascii="Arial" w:eastAsia="Arial" w:hAnsi="Arial" w:cs="Arial"/>
          <w:sz w:val="18"/>
          <w:szCs w:val="18"/>
        </w:rPr>
        <w:t>, as such agreement may be amende</w:t>
      </w:r>
      <w:r>
        <w:rPr>
          <w:rFonts w:ascii="Arial" w:eastAsia="Arial" w:hAnsi="Arial" w:cs="Arial"/>
          <w:sz w:val="18"/>
          <w:szCs w:val="18"/>
        </w:rPr>
        <w:t>d from time to time in accordance with its terms.</w:t>
      </w:r>
    </w:p>
    <w:p w14:paraId="13B21F03" w14:textId="77777777" w:rsidR="00D1587D" w:rsidRDefault="00D1587D">
      <w:pPr>
        <w:spacing w:line="176" w:lineRule="exact"/>
        <w:rPr>
          <w:sz w:val="20"/>
          <w:szCs w:val="20"/>
        </w:rPr>
      </w:pPr>
    </w:p>
    <w:p w14:paraId="335C62AC" w14:textId="77777777" w:rsidR="00D1587D" w:rsidRDefault="00410D07">
      <w:pPr>
        <w:spacing w:line="266" w:lineRule="auto"/>
        <w:ind w:right="140" w:firstLine="648"/>
        <w:rPr>
          <w:sz w:val="20"/>
          <w:szCs w:val="20"/>
        </w:rPr>
      </w:pPr>
      <w:r>
        <w:rPr>
          <w:rFonts w:ascii="Arial" w:eastAsia="Arial" w:hAnsi="Arial" w:cs="Arial"/>
          <w:sz w:val="18"/>
          <w:szCs w:val="18"/>
        </w:rPr>
        <w:t>“</w:t>
      </w:r>
      <w:r>
        <w:rPr>
          <w:rFonts w:ascii="Arial" w:eastAsia="Arial" w:hAnsi="Arial" w:cs="Arial"/>
          <w:b/>
          <w:bCs/>
          <w:sz w:val="18"/>
          <w:szCs w:val="18"/>
        </w:rPr>
        <w:t>Cash and Cash Equivalents</w:t>
      </w:r>
      <w:r>
        <w:rPr>
          <w:rFonts w:ascii="Arial" w:eastAsia="Arial" w:hAnsi="Arial" w:cs="Arial"/>
          <w:sz w:val="18"/>
          <w:szCs w:val="18"/>
        </w:rPr>
        <w:t>” of any Person means all cash (including cash in store registers and store bank accounts of stores owned or leased by such Person), cash equivalents, certificates of deposit, tim</w:t>
      </w:r>
      <w:r>
        <w:rPr>
          <w:rFonts w:ascii="Arial" w:eastAsia="Arial" w:hAnsi="Arial" w:cs="Arial"/>
          <w:sz w:val="18"/>
          <w:szCs w:val="18"/>
        </w:rPr>
        <w:t>e deposits, marketable securities, negotiable instruments, short-term investments and credit card receivables of such Person.</w:t>
      </w:r>
    </w:p>
    <w:p w14:paraId="7A423D3E" w14:textId="77777777" w:rsidR="00D1587D" w:rsidRDefault="00D1587D">
      <w:pPr>
        <w:spacing w:line="176" w:lineRule="exact"/>
        <w:rPr>
          <w:sz w:val="20"/>
          <w:szCs w:val="20"/>
        </w:rPr>
      </w:pPr>
    </w:p>
    <w:p w14:paraId="5A346EC7" w14:textId="77777777" w:rsidR="00D1587D" w:rsidRDefault="00410D07">
      <w:pPr>
        <w:spacing w:line="266" w:lineRule="auto"/>
        <w:ind w:firstLine="648"/>
        <w:rPr>
          <w:sz w:val="20"/>
          <w:szCs w:val="20"/>
        </w:rPr>
      </w:pPr>
      <w:r>
        <w:rPr>
          <w:rFonts w:ascii="Arial" w:eastAsia="Arial" w:hAnsi="Arial" w:cs="Arial"/>
          <w:sz w:val="18"/>
          <w:szCs w:val="18"/>
        </w:rPr>
        <w:t>“</w:t>
      </w:r>
      <w:r>
        <w:rPr>
          <w:rFonts w:ascii="Arial" w:eastAsia="Arial" w:hAnsi="Arial" w:cs="Arial"/>
          <w:b/>
          <w:bCs/>
          <w:sz w:val="18"/>
          <w:szCs w:val="18"/>
        </w:rPr>
        <w:t>Commercial Data</w:t>
      </w:r>
      <w:r>
        <w:rPr>
          <w:rFonts w:ascii="Arial" w:eastAsia="Arial" w:hAnsi="Arial" w:cs="Arial"/>
          <w:sz w:val="18"/>
          <w:szCs w:val="18"/>
        </w:rPr>
        <w:t>” means any and all data and information relating to an identified or identifiable Person (whether the informatio</w:t>
      </w:r>
      <w:r>
        <w:rPr>
          <w:rFonts w:ascii="Arial" w:eastAsia="Arial" w:hAnsi="Arial" w:cs="Arial"/>
          <w:sz w:val="18"/>
          <w:szCs w:val="18"/>
        </w:rPr>
        <w:t>n is accurate or not), alone or in combination with other information, which Person is or was an actual or prospective customer of, or consumer of products offered by, the VS Business or L Brands Business, as applicable.</w:t>
      </w:r>
    </w:p>
    <w:p w14:paraId="288AC0DB" w14:textId="77777777" w:rsidR="00D1587D" w:rsidRDefault="00D1587D">
      <w:pPr>
        <w:spacing w:line="176" w:lineRule="exact"/>
        <w:rPr>
          <w:sz w:val="20"/>
          <w:szCs w:val="20"/>
        </w:rPr>
      </w:pPr>
    </w:p>
    <w:p w14:paraId="6E154EFF"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Commission</w:t>
      </w:r>
      <w:r>
        <w:rPr>
          <w:rFonts w:ascii="Arial" w:eastAsia="Arial" w:hAnsi="Arial" w:cs="Arial"/>
          <w:sz w:val="18"/>
          <w:szCs w:val="18"/>
        </w:rPr>
        <w:t xml:space="preserve">” means the </w:t>
      </w:r>
      <w:r>
        <w:rPr>
          <w:rFonts w:ascii="Arial" w:eastAsia="Arial" w:hAnsi="Arial" w:cs="Arial"/>
          <w:sz w:val="18"/>
          <w:szCs w:val="18"/>
        </w:rPr>
        <w:t>Securities and Exchange Commission.</w:t>
      </w:r>
    </w:p>
    <w:p w14:paraId="42848ABE" w14:textId="77777777" w:rsidR="00D1587D" w:rsidRDefault="00D1587D">
      <w:pPr>
        <w:spacing w:line="216" w:lineRule="exact"/>
        <w:rPr>
          <w:sz w:val="20"/>
          <w:szCs w:val="20"/>
        </w:rPr>
      </w:pPr>
    </w:p>
    <w:p w14:paraId="71CB6978" w14:textId="77777777" w:rsidR="00D1587D" w:rsidRDefault="00410D07">
      <w:pPr>
        <w:ind w:right="40"/>
        <w:jc w:val="center"/>
        <w:rPr>
          <w:sz w:val="20"/>
          <w:szCs w:val="20"/>
        </w:rPr>
      </w:pPr>
      <w:r>
        <w:rPr>
          <w:rFonts w:ascii="Arial" w:eastAsia="Arial" w:hAnsi="Arial" w:cs="Arial"/>
          <w:sz w:val="18"/>
          <w:szCs w:val="18"/>
        </w:rPr>
        <w:t>3</w:t>
      </w:r>
    </w:p>
    <w:p w14:paraId="239A279E" w14:textId="77777777" w:rsidR="00D1587D" w:rsidRDefault="00410D07">
      <w:pPr>
        <w:spacing w:line="20" w:lineRule="exact"/>
        <w:rPr>
          <w:sz w:val="20"/>
          <w:szCs w:val="20"/>
        </w:rPr>
      </w:pPr>
      <w:r>
        <w:rPr>
          <w:noProof/>
          <w:sz w:val="20"/>
          <w:szCs w:val="20"/>
        </w:rPr>
        <w:drawing>
          <wp:anchor distT="0" distB="0" distL="114300" distR="114300" simplePos="0" relativeHeight="251155456" behindDoc="1" locked="0" layoutInCell="0" allowOverlap="1" wp14:anchorId="70E10680" wp14:editId="03C35FB4">
            <wp:simplePos x="0" y="0"/>
            <wp:positionH relativeFrom="column">
              <wp:posOffset>5080</wp:posOffset>
            </wp:positionH>
            <wp:positionV relativeFrom="paragraph">
              <wp:posOffset>48895</wp:posOffset>
            </wp:positionV>
            <wp:extent cx="7132320" cy="1714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BEE9829" w14:textId="77777777" w:rsidR="00D1587D" w:rsidRDefault="00D1587D">
      <w:pPr>
        <w:sectPr w:rsidR="00D1587D">
          <w:pgSz w:w="11900" w:h="16838"/>
          <w:pgMar w:top="337" w:right="359" w:bottom="1440" w:left="320" w:header="0" w:footer="0" w:gutter="0"/>
          <w:cols w:space="720" w:equalWidth="0">
            <w:col w:w="11220"/>
          </w:cols>
        </w:sectPr>
      </w:pPr>
    </w:p>
    <w:p w14:paraId="3B504CD7" w14:textId="77777777" w:rsidR="00D1587D" w:rsidRDefault="00410D07">
      <w:pPr>
        <w:spacing w:line="269" w:lineRule="auto"/>
        <w:ind w:firstLine="648"/>
        <w:rPr>
          <w:sz w:val="20"/>
          <w:szCs w:val="20"/>
        </w:rPr>
      </w:pPr>
      <w:bookmarkStart w:id="12" w:name="page13"/>
      <w:bookmarkEnd w:id="12"/>
      <w:r>
        <w:rPr>
          <w:rFonts w:ascii="Arial" w:eastAsia="Arial" w:hAnsi="Arial" w:cs="Arial"/>
          <w:sz w:val="17"/>
          <w:szCs w:val="17"/>
        </w:rPr>
        <w:t>“</w:t>
      </w:r>
      <w:r>
        <w:rPr>
          <w:rFonts w:ascii="Arial" w:eastAsia="Arial" w:hAnsi="Arial" w:cs="Arial"/>
          <w:b/>
          <w:bCs/>
          <w:sz w:val="17"/>
          <w:szCs w:val="17"/>
        </w:rPr>
        <w:t>Confidential Information</w:t>
      </w:r>
      <w:r>
        <w:rPr>
          <w:rFonts w:ascii="Arial" w:eastAsia="Arial" w:hAnsi="Arial" w:cs="Arial"/>
          <w:sz w:val="17"/>
          <w:szCs w:val="17"/>
        </w:rPr>
        <w:t>” means, with respect to a Group, (i) any proprietary information that is competitively sensitive, material or otherwise of value to the members of such Group and not gen</w:t>
      </w:r>
      <w:r>
        <w:rPr>
          <w:rFonts w:ascii="Arial" w:eastAsia="Arial" w:hAnsi="Arial" w:cs="Arial"/>
          <w:sz w:val="17"/>
          <w:szCs w:val="17"/>
        </w:rPr>
        <w:t>erally known to the public, including product planning information, marketing strategies, financial information, information regarding operations, consumer and customer relationships, consumer and customer profiles, sales estimates, business plans and inte</w:t>
      </w:r>
      <w:r>
        <w:rPr>
          <w:rFonts w:ascii="Arial" w:eastAsia="Arial" w:hAnsi="Arial" w:cs="Arial"/>
          <w:sz w:val="17"/>
          <w:szCs w:val="17"/>
        </w:rPr>
        <w:t>rnal performance results relating to the past, present or future business activities of the members of such Group and the consumers, customers, clients and suppliers of the members of such Group, (ii) any proprietary scientific or technical information, de</w:t>
      </w:r>
      <w:r>
        <w:rPr>
          <w:rFonts w:ascii="Arial" w:eastAsia="Arial" w:hAnsi="Arial" w:cs="Arial"/>
          <w:sz w:val="17"/>
          <w:szCs w:val="17"/>
        </w:rPr>
        <w:t>sign, invention, process, procedure, formula, or improvement that is commercially valuable and secret in the sense that its confidentiality affords any member of such Group a competitive advantage over its competitors and (iii) all confidential or propriet</w:t>
      </w:r>
      <w:r>
        <w:rPr>
          <w:rFonts w:ascii="Arial" w:eastAsia="Arial" w:hAnsi="Arial" w:cs="Arial"/>
          <w:sz w:val="17"/>
          <w:szCs w:val="17"/>
        </w:rPr>
        <w:t>ary concepts, documentation, reports, data, specifications, computer software, source code, object code, flow charts, databases, inventions, information, and trade secrets, in the case of each of clauses (i), (ii) and (iii) of this definition, that are rel</w:t>
      </w:r>
      <w:r>
        <w:rPr>
          <w:rFonts w:ascii="Arial" w:eastAsia="Arial" w:hAnsi="Arial" w:cs="Arial"/>
          <w:sz w:val="17"/>
          <w:szCs w:val="17"/>
        </w:rPr>
        <w:t xml:space="preserve">ated primarily to such Group’s Business; </w:t>
      </w:r>
      <w:r>
        <w:rPr>
          <w:rFonts w:ascii="Arial" w:eastAsia="Arial" w:hAnsi="Arial" w:cs="Arial"/>
          <w:i/>
          <w:iCs/>
          <w:sz w:val="17"/>
          <w:szCs w:val="17"/>
        </w:rPr>
        <w:t>provided</w:t>
      </w:r>
      <w:r>
        <w:rPr>
          <w:rFonts w:ascii="Arial" w:eastAsia="Arial" w:hAnsi="Arial" w:cs="Arial"/>
          <w:sz w:val="17"/>
          <w:szCs w:val="17"/>
        </w:rPr>
        <w:t xml:space="preserve"> that to the extent both the L Brands Business and the VS Business use or rely upon any of the information described in any of the foregoing clauses (i), (ii) or (iii), subject to Section 4.07, such informat</w:t>
      </w:r>
      <w:r>
        <w:rPr>
          <w:rFonts w:ascii="Arial" w:eastAsia="Arial" w:hAnsi="Arial" w:cs="Arial"/>
          <w:sz w:val="17"/>
          <w:szCs w:val="17"/>
        </w:rPr>
        <w:t>ion shall be deemed the Confidential Information of both the L Brands Group and the VS Group.</w:t>
      </w:r>
    </w:p>
    <w:p w14:paraId="12A095F8" w14:textId="77777777" w:rsidR="00D1587D" w:rsidRDefault="00D1587D">
      <w:pPr>
        <w:spacing w:line="182" w:lineRule="exact"/>
        <w:rPr>
          <w:sz w:val="20"/>
          <w:szCs w:val="20"/>
        </w:rPr>
      </w:pPr>
    </w:p>
    <w:p w14:paraId="35A617F9" w14:textId="77777777" w:rsidR="00D1587D" w:rsidRDefault="00410D07">
      <w:pPr>
        <w:spacing w:line="282" w:lineRule="auto"/>
        <w:ind w:right="260" w:firstLine="648"/>
        <w:rPr>
          <w:sz w:val="20"/>
          <w:szCs w:val="20"/>
        </w:rPr>
      </w:pPr>
      <w:r>
        <w:rPr>
          <w:rFonts w:ascii="Arial" w:eastAsia="Arial" w:hAnsi="Arial" w:cs="Arial"/>
          <w:sz w:val="18"/>
          <w:szCs w:val="18"/>
        </w:rPr>
        <w:t>“</w:t>
      </w:r>
      <w:r>
        <w:rPr>
          <w:rFonts w:ascii="Arial" w:eastAsia="Arial" w:hAnsi="Arial" w:cs="Arial"/>
          <w:b/>
          <w:bCs/>
          <w:sz w:val="18"/>
          <w:szCs w:val="18"/>
        </w:rPr>
        <w:t>Contract</w:t>
      </w:r>
      <w:r>
        <w:rPr>
          <w:rFonts w:ascii="Arial" w:eastAsia="Arial" w:hAnsi="Arial" w:cs="Arial"/>
          <w:sz w:val="18"/>
          <w:szCs w:val="18"/>
        </w:rPr>
        <w:t xml:space="preserve">” means any written or oral commitment, contract, subcontract, agreement, lease, sublease, license, sublicense, understanding, sales order, </w:t>
      </w:r>
      <w:r>
        <w:rPr>
          <w:rFonts w:ascii="Arial" w:eastAsia="Arial" w:hAnsi="Arial" w:cs="Arial"/>
          <w:sz w:val="18"/>
          <w:szCs w:val="18"/>
        </w:rPr>
        <w:t>purchase order, instrument, indenture, note or any other legally binding commitment or undertaking.</w:t>
      </w:r>
    </w:p>
    <w:p w14:paraId="3FF26CDF" w14:textId="77777777" w:rsidR="00D1587D" w:rsidRDefault="00D1587D">
      <w:pPr>
        <w:spacing w:line="162" w:lineRule="exact"/>
        <w:rPr>
          <w:sz w:val="20"/>
          <w:szCs w:val="20"/>
        </w:rPr>
      </w:pPr>
    </w:p>
    <w:p w14:paraId="52477071" w14:textId="77777777" w:rsidR="00D1587D" w:rsidRDefault="00410D07">
      <w:pPr>
        <w:spacing w:line="282" w:lineRule="auto"/>
        <w:ind w:right="620" w:firstLine="648"/>
        <w:rPr>
          <w:sz w:val="20"/>
          <w:szCs w:val="20"/>
        </w:rPr>
      </w:pPr>
      <w:r>
        <w:rPr>
          <w:rFonts w:ascii="Arial" w:eastAsia="Arial" w:hAnsi="Arial" w:cs="Arial"/>
          <w:sz w:val="18"/>
          <w:szCs w:val="18"/>
        </w:rPr>
        <w:t>“</w:t>
      </w:r>
      <w:r>
        <w:rPr>
          <w:rFonts w:ascii="Arial" w:eastAsia="Arial" w:hAnsi="Arial" w:cs="Arial"/>
          <w:b/>
          <w:bCs/>
          <w:sz w:val="18"/>
          <w:szCs w:val="18"/>
        </w:rPr>
        <w:t>DC2 Lease</w:t>
      </w:r>
      <w:r>
        <w:rPr>
          <w:rFonts w:ascii="Arial" w:eastAsia="Arial" w:hAnsi="Arial" w:cs="Arial"/>
          <w:sz w:val="18"/>
          <w:szCs w:val="18"/>
        </w:rPr>
        <w:t xml:space="preserve">” means the DC2 Lease dated as of the date hereof between the parties thereto substantially in the form of </w:t>
      </w:r>
      <w:r>
        <w:rPr>
          <w:rFonts w:ascii="Arial" w:eastAsia="Arial" w:hAnsi="Arial" w:cs="Arial"/>
          <w:sz w:val="18"/>
          <w:szCs w:val="18"/>
          <w:u w:val="single"/>
        </w:rPr>
        <w:t>Exhibit C</w:t>
      </w:r>
      <w:r>
        <w:rPr>
          <w:rFonts w:ascii="Arial" w:eastAsia="Arial" w:hAnsi="Arial" w:cs="Arial"/>
          <w:sz w:val="18"/>
          <w:szCs w:val="18"/>
        </w:rPr>
        <w:t>, as such agreement may be am</w:t>
      </w:r>
      <w:r>
        <w:rPr>
          <w:rFonts w:ascii="Arial" w:eastAsia="Arial" w:hAnsi="Arial" w:cs="Arial"/>
          <w:sz w:val="18"/>
          <w:szCs w:val="18"/>
        </w:rPr>
        <w:t>ended from time to time in accordance with its terms.</w:t>
      </w:r>
    </w:p>
    <w:p w14:paraId="19B17931" w14:textId="77777777" w:rsidR="00D1587D" w:rsidRDefault="00D1587D">
      <w:pPr>
        <w:spacing w:line="162" w:lineRule="exact"/>
        <w:rPr>
          <w:sz w:val="20"/>
          <w:szCs w:val="20"/>
        </w:rPr>
      </w:pPr>
    </w:p>
    <w:p w14:paraId="488313FC"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Distribution Agent</w:t>
      </w:r>
      <w:r>
        <w:rPr>
          <w:rFonts w:ascii="Arial" w:eastAsia="Arial" w:hAnsi="Arial" w:cs="Arial"/>
          <w:sz w:val="18"/>
          <w:szCs w:val="18"/>
        </w:rPr>
        <w:t>” means American Stock Transfer &amp; Trust Company, LLC.</w:t>
      </w:r>
    </w:p>
    <w:p w14:paraId="67A27373" w14:textId="77777777" w:rsidR="00D1587D" w:rsidRDefault="00D1587D">
      <w:pPr>
        <w:spacing w:line="225" w:lineRule="exact"/>
        <w:rPr>
          <w:sz w:val="20"/>
          <w:szCs w:val="20"/>
        </w:rPr>
      </w:pPr>
    </w:p>
    <w:p w14:paraId="5E33F8DD"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Distribution Date</w:t>
      </w:r>
      <w:r>
        <w:rPr>
          <w:rFonts w:ascii="Arial" w:eastAsia="Arial" w:hAnsi="Arial" w:cs="Arial"/>
          <w:sz w:val="18"/>
          <w:szCs w:val="18"/>
        </w:rPr>
        <w:t>” means [</w:t>
      </w:r>
      <w:r>
        <w:rPr>
          <w:rFonts w:ascii="Arial" w:eastAsia="Arial" w:hAnsi="Arial" w:cs="Arial"/>
          <w:b/>
          <w:bCs/>
          <w:sz w:val="18"/>
          <w:szCs w:val="18"/>
        </w:rPr>
        <w:t>—</w:t>
      </w:r>
      <w:r>
        <w:rPr>
          <w:rFonts w:ascii="Arial" w:eastAsia="Arial" w:hAnsi="Arial" w:cs="Arial"/>
          <w:sz w:val="18"/>
          <w:szCs w:val="18"/>
        </w:rPr>
        <w:t>], 2021.</w:t>
      </w:r>
    </w:p>
    <w:p w14:paraId="0ADF1A51" w14:textId="77777777" w:rsidR="00D1587D" w:rsidRDefault="00D1587D">
      <w:pPr>
        <w:spacing w:line="225" w:lineRule="exact"/>
        <w:rPr>
          <w:sz w:val="20"/>
          <w:szCs w:val="20"/>
        </w:rPr>
      </w:pPr>
    </w:p>
    <w:p w14:paraId="2C015BB6"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Distribution Documents</w:t>
      </w:r>
      <w:r>
        <w:rPr>
          <w:rFonts w:ascii="Arial" w:eastAsia="Arial" w:hAnsi="Arial" w:cs="Arial"/>
          <w:sz w:val="18"/>
          <w:szCs w:val="18"/>
        </w:rPr>
        <w:t>” means this Agreement and the Ancillary Agreements.</w:t>
      </w:r>
    </w:p>
    <w:p w14:paraId="4B281721" w14:textId="77777777" w:rsidR="00D1587D" w:rsidRDefault="00D1587D">
      <w:pPr>
        <w:spacing w:line="225" w:lineRule="exact"/>
        <w:rPr>
          <w:sz w:val="20"/>
          <w:szCs w:val="20"/>
        </w:rPr>
      </w:pPr>
    </w:p>
    <w:p w14:paraId="5C0C27CD" w14:textId="77777777" w:rsidR="00D1587D" w:rsidRDefault="00410D07">
      <w:pPr>
        <w:spacing w:line="282" w:lineRule="auto"/>
        <w:ind w:right="260" w:firstLine="648"/>
        <w:rPr>
          <w:sz w:val="20"/>
          <w:szCs w:val="20"/>
        </w:rPr>
      </w:pPr>
      <w:r>
        <w:rPr>
          <w:rFonts w:ascii="Arial" w:eastAsia="Arial" w:hAnsi="Arial" w:cs="Arial"/>
          <w:sz w:val="18"/>
          <w:szCs w:val="18"/>
        </w:rPr>
        <w:t>“</w:t>
      </w:r>
      <w:r>
        <w:rPr>
          <w:rFonts w:ascii="Arial" w:eastAsia="Arial" w:hAnsi="Arial" w:cs="Arial"/>
          <w:b/>
          <w:bCs/>
          <w:sz w:val="18"/>
          <w:szCs w:val="18"/>
        </w:rPr>
        <w:t>Distributio</w:t>
      </w:r>
      <w:r>
        <w:rPr>
          <w:rFonts w:ascii="Arial" w:eastAsia="Arial" w:hAnsi="Arial" w:cs="Arial"/>
          <w:b/>
          <w:bCs/>
          <w:sz w:val="18"/>
          <w:szCs w:val="18"/>
        </w:rPr>
        <w:t>n Time</w:t>
      </w:r>
      <w:r>
        <w:rPr>
          <w:rFonts w:ascii="Arial" w:eastAsia="Arial" w:hAnsi="Arial" w:cs="Arial"/>
          <w:sz w:val="18"/>
          <w:szCs w:val="18"/>
        </w:rPr>
        <w:t>” means the time at which the Distribution is effective on the Distribution Date, which shall be deemed to be [</w:t>
      </w:r>
      <w:r>
        <w:rPr>
          <w:rFonts w:ascii="Arial" w:eastAsia="Arial" w:hAnsi="Arial" w:cs="Arial"/>
          <w:b/>
          <w:bCs/>
          <w:sz w:val="18"/>
          <w:szCs w:val="18"/>
        </w:rPr>
        <w:t>—</w:t>
      </w:r>
      <w:r>
        <w:rPr>
          <w:rFonts w:ascii="Arial" w:eastAsia="Arial" w:hAnsi="Arial" w:cs="Arial"/>
          <w:sz w:val="18"/>
          <w:szCs w:val="18"/>
        </w:rPr>
        <w:t>], Eastern Time, on the Distribution Date.</w:t>
      </w:r>
    </w:p>
    <w:p w14:paraId="595FC301" w14:textId="77777777" w:rsidR="00D1587D" w:rsidRDefault="00D1587D">
      <w:pPr>
        <w:spacing w:line="162" w:lineRule="exact"/>
        <w:rPr>
          <w:sz w:val="20"/>
          <w:szCs w:val="20"/>
        </w:rPr>
      </w:pPr>
    </w:p>
    <w:p w14:paraId="49C8EDE8" w14:textId="77777777" w:rsidR="00D1587D" w:rsidRDefault="00410D07">
      <w:pPr>
        <w:spacing w:line="266" w:lineRule="auto"/>
        <w:ind w:right="80" w:firstLine="648"/>
        <w:rPr>
          <w:sz w:val="20"/>
          <w:szCs w:val="20"/>
        </w:rPr>
      </w:pPr>
      <w:r>
        <w:rPr>
          <w:rFonts w:ascii="Arial" w:eastAsia="Arial" w:hAnsi="Arial" w:cs="Arial"/>
          <w:sz w:val="18"/>
          <w:szCs w:val="18"/>
        </w:rPr>
        <w:t>“</w:t>
      </w:r>
      <w:r>
        <w:rPr>
          <w:rFonts w:ascii="Arial" w:eastAsia="Arial" w:hAnsi="Arial" w:cs="Arial"/>
          <w:b/>
          <w:bCs/>
          <w:sz w:val="18"/>
          <w:szCs w:val="18"/>
        </w:rPr>
        <w:t>Domestic Transportation Services Agreement</w:t>
      </w:r>
      <w:r>
        <w:rPr>
          <w:rFonts w:ascii="Arial" w:eastAsia="Arial" w:hAnsi="Arial" w:cs="Arial"/>
          <w:sz w:val="18"/>
          <w:szCs w:val="18"/>
        </w:rPr>
        <w:t xml:space="preserve">” means the Domestic Transportation Services Agreement dated as of the date hereof between Mast Logistics Services, LLC and VS substantially in the form of </w:t>
      </w:r>
      <w:r>
        <w:rPr>
          <w:rFonts w:ascii="Arial" w:eastAsia="Arial" w:hAnsi="Arial" w:cs="Arial"/>
          <w:sz w:val="18"/>
          <w:szCs w:val="18"/>
          <w:u w:val="single"/>
        </w:rPr>
        <w:t>Exhibit D</w:t>
      </w:r>
      <w:r>
        <w:rPr>
          <w:rFonts w:ascii="Arial" w:eastAsia="Arial" w:hAnsi="Arial" w:cs="Arial"/>
          <w:sz w:val="18"/>
          <w:szCs w:val="18"/>
        </w:rPr>
        <w:t>, as such agreement may be amended from time to time in accordance with its terms.</w:t>
      </w:r>
    </w:p>
    <w:p w14:paraId="3C5BB061" w14:textId="77777777" w:rsidR="00D1587D" w:rsidRDefault="00D1587D">
      <w:pPr>
        <w:spacing w:line="166" w:lineRule="exact"/>
        <w:rPr>
          <w:sz w:val="20"/>
          <w:szCs w:val="20"/>
        </w:rPr>
      </w:pPr>
    </w:p>
    <w:p w14:paraId="248A3D93" w14:textId="77777777" w:rsidR="00D1587D" w:rsidRDefault="00410D07">
      <w:pPr>
        <w:ind w:right="-39"/>
        <w:jc w:val="center"/>
        <w:rPr>
          <w:sz w:val="20"/>
          <w:szCs w:val="20"/>
        </w:rPr>
      </w:pPr>
      <w:r>
        <w:rPr>
          <w:rFonts w:ascii="Arial" w:eastAsia="Arial" w:hAnsi="Arial" w:cs="Arial"/>
          <w:sz w:val="18"/>
          <w:szCs w:val="18"/>
        </w:rPr>
        <w:t>4</w:t>
      </w:r>
    </w:p>
    <w:p w14:paraId="6668FD0D" w14:textId="77777777" w:rsidR="00D1587D" w:rsidRDefault="00410D07">
      <w:pPr>
        <w:spacing w:line="20" w:lineRule="exact"/>
        <w:rPr>
          <w:sz w:val="20"/>
          <w:szCs w:val="20"/>
        </w:rPr>
      </w:pPr>
      <w:r>
        <w:rPr>
          <w:noProof/>
          <w:sz w:val="20"/>
          <w:szCs w:val="20"/>
        </w:rPr>
        <w:drawing>
          <wp:anchor distT="0" distB="0" distL="114300" distR="114300" simplePos="0" relativeHeight="251156480" behindDoc="1" locked="0" layoutInCell="0" allowOverlap="1" wp14:anchorId="793B31F6" wp14:editId="6EF8A5B2">
            <wp:simplePos x="0" y="0"/>
            <wp:positionH relativeFrom="column">
              <wp:posOffset>5080</wp:posOffset>
            </wp:positionH>
            <wp:positionV relativeFrom="paragraph">
              <wp:posOffset>48895</wp:posOffset>
            </wp:positionV>
            <wp:extent cx="7132320" cy="171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4C0D4F4" w14:textId="77777777" w:rsidR="00D1587D" w:rsidRDefault="00D1587D">
      <w:pPr>
        <w:sectPr w:rsidR="00D1587D">
          <w:pgSz w:w="11900" w:h="16838"/>
          <w:pgMar w:top="337" w:right="419" w:bottom="1440" w:left="320" w:header="0" w:footer="0" w:gutter="0"/>
          <w:cols w:space="720" w:equalWidth="0">
            <w:col w:w="11160"/>
          </w:cols>
        </w:sectPr>
      </w:pPr>
    </w:p>
    <w:p w14:paraId="54B690CC" w14:textId="77777777" w:rsidR="00D1587D" w:rsidRDefault="00410D07">
      <w:pPr>
        <w:spacing w:line="282" w:lineRule="auto"/>
        <w:ind w:right="80" w:firstLine="648"/>
        <w:rPr>
          <w:sz w:val="20"/>
          <w:szCs w:val="20"/>
        </w:rPr>
      </w:pPr>
      <w:bookmarkStart w:id="13" w:name="page14"/>
      <w:bookmarkEnd w:id="13"/>
      <w:r>
        <w:rPr>
          <w:rFonts w:ascii="Arial" w:eastAsia="Arial" w:hAnsi="Arial" w:cs="Arial"/>
          <w:sz w:val="18"/>
          <w:szCs w:val="18"/>
        </w:rPr>
        <w:t>“</w:t>
      </w:r>
      <w:r>
        <w:rPr>
          <w:rFonts w:ascii="Arial" w:eastAsia="Arial" w:hAnsi="Arial" w:cs="Arial"/>
          <w:b/>
          <w:bCs/>
          <w:sz w:val="18"/>
          <w:szCs w:val="18"/>
        </w:rPr>
        <w:t>Employee Matters Agreement</w:t>
      </w:r>
      <w:r>
        <w:rPr>
          <w:rFonts w:ascii="Arial" w:eastAsia="Arial" w:hAnsi="Arial" w:cs="Arial"/>
          <w:sz w:val="18"/>
          <w:szCs w:val="18"/>
        </w:rPr>
        <w:t xml:space="preserve">” means the Employee Matters Agreement dated as of the date hereof between L Brands and VS substantially in the form of </w:t>
      </w:r>
      <w:r>
        <w:rPr>
          <w:rFonts w:ascii="Arial" w:eastAsia="Arial" w:hAnsi="Arial" w:cs="Arial"/>
          <w:sz w:val="18"/>
          <w:szCs w:val="18"/>
          <w:u w:val="single"/>
        </w:rPr>
        <w:t>Exhibit E</w:t>
      </w:r>
      <w:r>
        <w:rPr>
          <w:rFonts w:ascii="Arial" w:eastAsia="Arial" w:hAnsi="Arial" w:cs="Arial"/>
          <w:sz w:val="18"/>
          <w:szCs w:val="18"/>
        </w:rPr>
        <w:t>, as such agreement may be amended from time to time in accordance with its term</w:t>
      </w:r>
      <w:r>
        <w:rPr>
          <w:rFonts w:ascii="Arial" w:eastAsia="Arial" w:hAnsi="Arial" w:cs="Arial"/>
          <w:sz w:val="18"/>
          <w:szCs w:val="18"/>
        </w:rPr>
        <w:t>s.</w:t>
      </w:r>
    </w:p>
    <w:p w14:paraId="7ADDBB1F" w14:textId="77777777" w:rsidR="00D1587D" w:rsidRDefault="00D1587D">
      <w:pPr>
        <w:spacing w:line="162" w:lineRule="exact"/>
        <w:rPr>
          <w:sz w:val="20"/>
          <w:szCs w:val="20"/>
        </w:rPr>
      </w:pPr>
    </w:p>
    <w:p w14:paraId="27608C60" w14:textId="77777777" w:rsidR="00D1587D" w:rsidRDefault="00410D07">
      <w:pPr>
        <w:spacing w:line="256" w:lineRule="auto"/>
        <w:ind w:right="40" w:firstLine="648"/>
        <w:rPr>
          <w:sz w:val="20"/>
          <w:szCs w:val="20"/>
        </w:rPr>
      </w:pPr>
      <w:r>
        <w:rPr>
          <w:rFonts w:ascii="Arial" w:eastAsia="Arial" w:hAnsi="Arial" w:cs="Arial"/>
          <w:sz w:val="18"/>
          <w:szCs w:val="18"/>
        </w:rPr>
        <w:t>“</w:t>
      </w:r>
      <w:r>
        <w:rPr>
          <w:rFonts w:ascii="Arial" w:eastAsia="Arial" w:hAnsi="Arial" w:cs="Arial"/>
          <w:b/>
          <w:bCs/>
          <w:sz w:val="18"/>
          <w:szCs w:val="18"/>
        </w:rPr>
        <w:t>Environmental Law</w:t>
      </w:r>
      <w:r>
        <w:rPr>
          <w:rFonts w:ascii="Arial" w:eastAsia="Arial" w:hAnsi="Arial" w:cs="Arial"/>
          <w:sz w:val="18"/>
          <w:szCs w:val="18"/>
        </w:rPr>
        <w:t xml:space="preserve">” means any Applicable Law relating to (i) human or occupational health and safety; (ii) pollution or protection of the environment (including ambient air, indoor air, water vapor, surface water, groundwater, wetlands, drinking water </w:t>
      </w:r>
      <w:r>
        <w:rPr>
          <w:rFonts w:ascii="Arial" w:eastAsia="Arial" w:hAnsi="Arial" w:cs="Arial"/>
          <w:sz w:val="18"/>
          <w:szCs w:val="18"/>
        </w:rPr>
        <w:t>supply, land surface or subsurface strata, biota and other natural resources); or (iii) Hazardous Materials including any Applicable Law relating to exposure to, or use, generation, manufacture, processing, management, treatment, recycling, storage, dispos</w:t>
      </w:r>
      <w:r>
        <w:rPr>
          <w:rFonts w:ascii="Arial" w:eastAsia="Arial" w:hAnsi="Arial" w:cs="Arial"/>
          <w:sz w:val="18"/>
          <w:szCs w:val="18"/>
        </w:rPr>
        <w:t>al, emission, discharge, transport, distribution, labeling, presence, possession, handling, Release or threatened Release of, any Hazardous Material and any Applicable Law relating to recordkeeping, notification, disclosure, registration and reporting requ</w:t>
      </w:r>
      <w:r>
        <w:rPr>
          <w:rFonts w:ascii="Arial" w:eastAsia="Arial" w:hAnsi="Arial" w:cs="Arial"/>
          <w:sz w:val="18"/>
          <w:szCs w:val="18"/>
        </w:rPr>
        <w:t>irements respecting Hazardous Materials.</w:t>
      </w:r>
    </w:p>
    <w:p w14:paraId="3DF5F8F2" w14:textId="77777777" w:rsidR="00D1587D" w:rsidRDefault="00D1587D">
      <w:pPr>
        <w:spacing w:line="187" w:lineRule="exact"/>
        <w:rPr>
          <w:sz w:val="20"/>
          <w:szCs w:val="20"/>
        </w:rPr>
      </w:pPr>
    </w:p>
    <w:p w14:paraId="205C2CFD" w14:textId="77777777" w:rsidR="00D1587D" w:rsidRDefault="00410D07">
      <w:pPr>
        <w:spacing w:line="289" w:lineRule="auto"/>
        <w:ind w:firstLine="648"/>
        <w:rPr>
          <w:sz w:val="20"/>
          <w:szCs w:val="20"/>
        </w:rPr>
      </w:pPr>
      <w:r>
        <w:rPr>
          <w:rFonts w:ascii="Arial" w:eastAsia="Arial" w:hAnsi="Arial" w:cs="Arial"/>
          <w:sz w:val="16"/>
          <w:szCs w:val="16"/>
        </w:rPr>
        <w:t>“</w:t>
      </w:r>
      <w:r>
        <w:rPr>
          <w:rFonts w:ascii="Arial" w:eastAsia="Arial" w:hAnsi="Arial" w:cs="Arial"/>
          <w:b/>
          <w:bCs/>
          <w:sz w:val="16"/>
          <w:szCs w:val="16"/>
        </w:rPr>
        <w:t>Environmental Liabilities</w:t>
      </w:r>
      <w:r>
        <w:rPr>
          <w:rFonts w:ascii="Arial" w:eastAsia="Arial" w:hAnsi="Arial" w:cs="Arial"/>
          <w:sz w:val="16"/>
          <w:szCs w:val="16"/>
        </w:rPr>
        <w:t xml:space="preserve">” means all Liabilities (including all removal, remediation, reclamation, cleanup or monitoring costs, investigatory costs, response costs, natural resources damages, property </w:t>
      </w:r>
      <w:r>
        <w:rPr>
          <w:rFonts w:ascii="Arial" w:eastAsia="Arial" w:hAnsi="Arial" w:cs="Arial"/>
          <w:sz w:val="16"/>
          <w:szCs w:val="16"/>
        </w:rPr>
        <w:t>damages, personal injury damages, costs of compliance with any settlement, judgment or other determination of Liability and indemnity, contribution or similar obligations and all costs and expenses, interest, fines, penalties or other monetary sanctions in</w:t>
      </w:r>
      <w:r>
        <w:rPr>
          <w:rFonts w:ascii="Arial" w:eastAsia="Arial" w:hAnsi="Arial" w:cs="Arial"/>
          <w:sz w:val="16"/>
          <w:szCs w:val="16"/>
        </w:rPr>
        <w:t xml:space="preserve"> connection therewith) relating to, arising out of or resulting from any (i) (A) Environmental Law, (B) actual or alleged generation, use, storage, manufacture, processing, recycling, labeling, handling, possession, management, treatment, transportation, d</w:t>
      </w:r>
      <w:r>
        <w:rPr>
          <w:rFonts w:ascii="Arial" w:eastAsia="Arial" w:hAnsi="Arial" w:cs="Arial"/>
          <w:sz w:val="16"/>
          <w:szCs w:val="16"/>
        </w:rPr>
        <w:t>istribution, emission, discharge or disposal, or arrangement for the transportation or disposal, of any Hazardous Material, or (C) actual or alleged presence of, Release or threatened Release of, or exposure to, any Hazardous Material (including to the ext</w:t>
      </w:r>
      <w:r>
        <w:rPr>
          <w:rFonts w:ascii="Arial" w:eastAsia="Arial" w:hAnsi="Arial" w:cs="Arial"/>
          <w:sz w:val="16"/>
          <w:szCs w:val="16"/>
        </w:rPr>
        <w:t>ent relating to the actual or alleged exposure to Hazardous Material, any claims that arise under, or are covered by, workers’ compensation laws or workers’ compensation, disability or other insurance providing medical care or compensation to injured worke</w:t>
      </w:r>
      <w:r>
        <w:rPr>
          <w:rFonts w:ascii="Arial" w:eastAsia="Arial" w:hAnsi="Arial" w:cs="Arial"/>
          <w:sz w:val="16"/>
          <w:szCs w:val="16"/>
        </w:rPr>
        <w:t>rs) or (ii) Contract or other consensual arrangement pursuant to which Liability is assumed or imposed with respect to any of the foregoing, and all costs and expenses, interest, fines, penalties or other monetary sanctions in connection therewith.</w:t>
      </w:r>
    </w:p>
    <w:p w14:paraId="0B36ADEB" w14:textId="77777777" w:rsidR="00D1587D" w:rsidRDefault="00D1587D">
      <w:pPr>
        <w:spacing w:line="161" w:lineRule="exact"/>
        <w:rPr>
          <w:sz w:val="20"/>
          <w:szCs w:val="20"/>
        </w:rPr>
      </w:pPr>
    </w:p>
    <w:p w14:paraId="4BBAD933" w14:textId="77777777" w:rsidR="00D1587D" w:rsidRDefault="00410D07">
      <w:pPr>
        <w:spacing w:line="261" w:lineRule="auto"/>
        <w:ind w:right="40" w:firstLine="648"/>
        <w:rPr>
          <w:sz w:val="20"/>
          <w:szCs w:val="20"/>
        </w:rPr>
      </w:pPr>
      <w:r>
        <w:rPr>
          <w:rFonts w:ascii="Arial" w:eastAsia="Arial" w:hAnsi="Arial" w:cs="Arial"/>
          <w:sz w:val="18"/>
          <w:szCs w:val="18"/>
        </w:rPr>
        <w:t>“</w:t>
      </w:r>
      <w:r>
        <w:rPr>
          <w:rFonts w:ascii="Arial" w:eastAsia="Arial" w:hAnsi="Arial" w:cs="Arial"/>
          <w:b/>
          <w:bCs/>
          <w:sz w:val="18"/>
          <w:szCs w:val="18"/>
        </w:rPr>
        <w:t>Equit</w:t>
      </w:r>
      <w:r>
        <w:rPr>
          <w:rFonts w:ascii="Arial" w:eastAsia="Arial" w:hAnsi="Arial" w:cs="Arial"/>
          <w:b/>
          <w:bCs/>
          <w:sz w:val="18"/>
          <w:szCs w:val="18"/>
        </w:rPr>
        <w:t>y Compensation Registration Statement</w:t>
      </w:r>
      <w:r>
        <w:rPr>
          <w:rFonts w:ascii="Arial" w:eastAsia="Arial" w:hAnsi="Arial" w:cs="Arial"/>
          <w:sz w:val="18"/>
          <w:szCs w:val="18"/>
        </w:rPr>
        <w:t xml:space="preserve">” means the Registration Statement on Form S-8 or such other form or forms as may be appropriate, as amended and supplemented, including all documents incorporated by reference therein, to effect the registration under </w:t>
      </w:r>
      <w:r>
        <w:rPr>
          <w:rFonts w:ascii="Arial" w:eastAsia="Arial" w:hAnsi="Arial" w:cs="Arial"/>
          <w:sz w:val="18"/>
          <w:szCs w:val="18"/>
        </w:rPr>
        <w:t>the Securities Act of VS Common Stock subject to certain equity awards granted to current and former officers, employees, directors and consultants of the L Brands Group to be assumed or replaced by VS pursuant to the Employee Matters Agreement.</w:t>
      </w:r>
    </w:p>
    <w:p w14:paraId="5A2B68A5" w14:textId="77777777" w:rsidR="00D1587D" w:rsidRDefault="00D1587D">
      <w:pPr>
        <w:spacing w:line="170" w:lineRule="exact"/>
        <w:rPr>
          <w:sz w:val="20"/>
          <w:szCs w:val="20"/>
        </w:rPr>
      </w:pPr>
    </w:p>
    <w:p w14:paraId="4E5A6A17" w14:textId="77777777" w:rsidR="00D1587D" w:rsidRDefault="00410D07">
      <w:pPr>
        <w:ind w:right="20"/>
        <w:jc w:val="center"/>
        <w:rPr>
          <w:sz w:val="20"/>
          <w:szCs w:val="20"/>
        </w:rPr>
      </w:pPr>
      <w:r>
        <w:rPr>
          <w:rFonts w:ascii="Arial" w:eastAsia="Arial" w:hAnsi="Arial" w:cs="Arial"/>
          <w:sz w:val="18"/>
          <w:szCs w:val="18"/>
        </w:rPr>
        <w:t>5</w:t>
      </w:r>
    </w:p>
    <w:p w14:paraId="7DA4E0A0" w14:textId="77777777" w:rsidR="00D1587D" w:rsidRDefault="00410D07">
      <w:pPr>
        <w:spacing w:line="20" w:lineRule="exact"/>
        <w:rPr>
          <w:sz w:val="20"/>
          <w:szCs w:val="20"/>
        </w:rPr>
      </w:pPr>
      <w:r>
        <w:rPr>
          <w:noProof/>
          <w:sz w:val="20"/>
          <w:szCs w:val="20"/>
        </w:rPr>
        <w:drawing>
          <wp:anchor distT="0" distB="0" distL="114300" distR="114300" simplePos="0" relativeHeight="251157504" behindDoc="1" locked="0" layoutInCell="0" allowOverlap="1" wp14:anchorId="53F99D44" wp14:editId="2A13206E">
            <wp:simplePos x="0" y="0"/>
            <wp:positionH relativeFrom="column">
              <wp:posOffset>5080</wp:posOffset>
            </wp:positionH>
            <wp:positionV relativeFrom="paragraph">
              <wp:posOffset>48895</wp:posOffset>
            </wp:positionV>
            <wp:extent cx="7132320" cy="1714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94A4606" w14:textId="77777777" w:rsidR="00D1587D" w:rsidRDefault="00D1587D">
      <w:pPr>
        <w:sectPr w:rsidR="00D1587D">
          <w:pgSz w:w="11900" w:h="16838"/>
          <w:pgMar w:top="337" w:right="379" w:bottom="1440" w:left="320" w:header="0" w:footer="0" w:gutter="0"/>
          <w:cols w:space="720" w:equalWidth="0">
            <w:col w:w="11200"/>
          </w:cols>
        </w:sectPr>
      </w:pPr>
    </w:p>
    <w:p w14:paraId="716D1D3B" w14:textId="77777777" w:rsidR="00D1587D" w:rsidRDefault="00410D07">
      <w:pPr>
        <w:ind w:left="660"/>
        <w:rPr>
          <w:sz w:val="20"/>
          <w:szCs w:val="20"/>
        </w:rPr>
      </w:pPr>
      <w:bookmarkStart w:id="14" w:name="page15"/>
      <w:bookmarkEnd w:id="14"/>
      <w:r>
        <w:rPr>
          <w:rFonts w:ascii="Arial" w:eastAsia="Arial" w:hAnsi="Arial" w:cs="Arial"/>
          <w:sz w:val="16"/>
          <w:szCs w:val="16"/>
        </w:rPr>
        <w:t>“</w:t>
      </w:r>
      <w:r>
        <w:rPr>
          <w:rFonts w:ascii="Arial" w:eastAsia="Arial" w:hAnsi="Arial" w:cs="Arial"/>
          <w:b/>
          <w:bCs/>
          <w:sz w:val="16"/>
          <w:szCs w:val="16"/>
        </w:rPr>
        <w:t>Escheat Payment</w:t>
      </w:r>
      <w:r>
        <w:rPr>
          <w:rFonts w:ascii="Arial" w:eastAsia="Arial" w:hAnsi="Arial" w:cs="Arial"/>
          <w:sz w:val="16"/>
          <w:szCs w:val="16"/>
        </w:rPr>
        <w:t>” means any payment required to be made to a Governmental Authority pursuant to an abandoned property, escheat or similar</w:t>
      </w:r>
    </w:p>
    <w:p w14:paraId="02076476" w14:textId="77777777" w:rsidR="00D1587D" w:rsidRDefault="00D1587D">
      <w:pPr>
        <w:spacing w:line="50" w:lineRule="exact"/>
        <w:rPr>
          <w:sz w:val="20"/>
          <w:szCs w:val="20"/>
        </w:rPr>
      </w:pPr>
    </w:p>
    <w:p w14:paraId="70A5B870" w14:textId="77777777" w:rsidR="00D1587D" w:rsidRDefault="00410D07">
      <w:pPr>
        <w:rPr>
          <w:sz w:val="20"/>
          <w:szCs w:val="20"/>
        </w:rPr>
      </w:pPr>
      <w:r>
        <w:rPr>
          <w:rFonts w:ascii="Arial" w:eastAsia="Arial" w:hAnsi="Arial" w:cs="Arial"/>
          <w:sz w:val="18"/>
          <w:szCs w:val="18"/>
        </w:rPr>
        <w:t>law.</w:t>
      </w:r>
    </w:p>
    <w:p w14:paraId="20A19C06" w14:textId="77777777" w:rsidR="00D1587D" w:rsidRDefault="00D1587D">
      <w:pPr>
        <w:spacing w:line="207" w:lineRule="exact"/>
        <w:rPr>
          <w:sz w:val="20"/>
          <w:szCs w:val="20"/>
        </w:rPr>
      </w:pPr>
    </w:p>
    <w:p w14:paraId="72EB5BFB"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Exchange Act</w:t>
      </w:r>
      <w:r>
        <w:rPr>
          <w:rFonts w:ascii="Arial" w:eastAsia="Arial" w:hAnsi="Arial" w:cs="Arial"/>
          <w:sz w:val="18"/>
          <w:szCs w:val="18"/>
        </w:rPr>
        <w:t>” means the Securities Exchange Act of 1934.</w:t>
      </w:r>
    </w:p>
    <w:p w14:paraId="4A34A92A" w14:textId="77777777" w:rsidR="00D1587D" w:rsidRDefault="00D1587D">
      <w:pPr>
        <w:spacing w:line="225" w:lineRule="exact"/>
        <w:rPr>
          <w:sz w:val="20"/>
          <w:szCs w:val="20"/>
        </w:rPr>
      </w:pPr>
    </w:p>
    <w:p w14:paraId="614A8932" w14:textId="77777777" w:rsidR="00D1587D" w:rsidRDefault="00410D07">
      <w:pPr>
        <w:spacing w:line="347" w:lineRule="auto"/>
        <w:ind w:right="420" w:firstLine="648"/>
        <w:rPr>
          <w:sz w:val="20"/>
          <w:szCs w:val="20"/>
        </w:rPr>
      </w:pPr>
      <w:r>
        <w:rPr>
          <w:rFonts w:ascii="Arial" w:eastAsia="Arial" w:hAnsi="Arial" w:cs="Arial"/>
          <w:sz w:val="16"/>
          <w:szCs w:val="16"/>
        </w:rPr>
        <w:t>“</w:t>
      </w:r>
      <w:r>
        <w:rPr>
          <w:rFonts w:ascii="Arial" w:eastAsia="Arial" w:hAnsi="Arial" w:cs="Arial"/>
          <w:b/>
          <w:bCs/>
          <w:sz w:val="16"/>
          <w:szCs w:val="16"/>
        </w:rPr>
        <w:t>Form 10</w:t>
      </w:r>
      <w:r>
        <w:rPr>
          <w:rFonts w:ascii="Arial" w:eastAsia="Arial" w:hAnsi="Arial" w:cs="Arial"/>
          <w:sz w:val="16"/>
          <w:szCs w:val="16"/>
        </w:rPr>
        <w:t xml:space="preserve">” means the </w:t>
      </w:r>
      <w:r>
        <w:rPr>
          <w:rFonts w:ascii="Arial" w:eastAsia="Arial" w:hAnsi="Arial" w:cs="Arial"/>
          <w:sz w:val="16"/>
          <w:szCs w:val="16"/>
        </w:rPr>
        <w:t>registration statement on Form 10 filed by VS with the Commission to effect the registration of VS Common Stock pursuant to the Exchange Act in connection with the Distribution, as such registration statement may be amended or supplemented from time to tim</w:t>
      </w:r>
      <w:r>
        <w:rPr>
          <w:rFonts w:ascii="Arial" w:eastAsia="Arial" w:hAnsi="Arial" w:cs="Arial"/>
          <w:sz w:val="16"/>
          <w:szCs w:val="16"/>
        </w:rPr>
        <w:t>e.</w:t>
      </w:r>
    </w:p>
    <w:p w14:paraId="037E344F" w14:textId="77777777" w:rsidR="00D1587D" w:rsidRDefault="00D1587D">
      <w:pPr>
        <w:spacing w:line="116" w:lineRule="exact"/>
        <w:rPr>
          <w:sz w:val="20"/>
          <w:szCs w:val="20"/>
        </w:rPr>
      </w:pPr>
    </w:p>
    <w:p w14:paraId="1BA978D1" w14:textId="77777777" w:rsidR="00D1587D" w:rsidRDefault="00410D07">
      <w:pPr>
        <w:spacing w:line="266" w:lineRule="auto"/>
        <w:ind w:right="80" w:firstLine="648"/>
        <w:rPr>
          <w:sz w:val="20"/>
          <w:szCs w:val="20"/>
        </w:rPr>
      </w:pPr>
      <w:r>
        <w:rPr>
          <w:rFonts w:ascii="Arial" w:eastAsia="Arial" w:hAnsi="Arial" w:cs="Arial"/>
          <w:sz w:val="18"/>
          <w:szCs w:val="18"/>
        </w:rPr>
        <w:t>“</w:t>
      </w:r>
      <w:r>
        <w:rPr>
          <w:rFonts w:ascii="Arial" w:eastAsia="Arial" w:hAnsi="Arial" w:cs="Arial"/>
          <w:b/>
          <w:bCs/>
          <w:sz w:val="18"/>
          <w:szCs w:val="18"/>
        </w:rPr>
        <w:t>Governmental Authority</w:t>
      </w:r>
      <w:r>
        <w:rPr>
          <w:rFonts w:ascii="Arial" w:eastAsia="Arial" w:hAnsi="Arial" w:cs="Arial"/>
          <w:sz w:val="18"/>
          <w:szCs w:val="18"/>
        </w:rPr>
        <w:t>” means any multinational, foreign, federal, state, local or other governmental, statutory or administrative authority, regulatory body or commission or any court, tribunal or judicial or arbitral authority which has any jurisdic</w:t>
      </w:r>
      <w:r>
        <w:rPr>
          <w:rFonts w:ascii="Arial" w:eastAsia="Arial" w:hAnsi="Arial" w:cs="Arial"/>
          <w:sz w:val="18"/>
          <w:szCs w:val="18"/>
        </w:rPr>
        <w:t>tion or control over either Party (or any of their Affiliates).</w:t>
      </w:r>
    </w:p>
    <w:p w14:paraId="4F8CB3A8" w14:textId="77777777" w:rsidR="00D1587D" w:rsidRDefault="00D1587D">
      <w:pPr>
        <w:spacing w:line="176" w:lineRule="exact"/>
        <w:rPr>
          <w:sz w:val="20"/>
          <w:szCs w:val="20"/>
        </w:rPr>
      </w:pPr>
    </w:p>
    <w:p w14:paraId="63D503AE"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Group</w:t>
      </w:r>
      <w:r>
        <w:rPr>
          <w:rFonts w:ascii="Arial" w:eastAsia="Arial" w:hAnsi="Arial" w:cs="Arial"/>
          <w:sz w:val="18"/>
          <w:szCs w:val="18"/>
        </w:rPr>
        <w:t>” means, as the context requires, the VS Group, the L Brands Group or either or both of them.</w:t>
      </w:r>
    </w:p>
    <w:p w14:paraId="7DFB0745" w14:textId="77777777" w:rsidR="00D1587D" w:rsidRDefault="00D1587D">
      <w:pPr>
        <w:spacing w:line="225" w:lineRule="exact"/>
        <w:rPr>
          <w:sz w:val="20"/>
          <w:szCs w:val="20"/>
        </w:rPr>
      </w:pPr>
    </w:p>
    <w:p w14:paraId="2252D2D6" w14:textId="77777777" w:rsidR="00D1587D" w:rsidRDefault="00410D07">
      <w:pPr>
        <w:spacing w:line="255" w:lineRule="auto"/>
        <w:ind w:firstLine="648"/>
        <w:rPr>
          <w:sz w:val="20"/>
          <w:szCs w:val="20"/>
        </w:rPr>
      </w:pPr>
      <w:r>
        <w:rPr>
          <w:rFonts w:ascii="Arial" w:eastAsia="Arial" w:hAnsi="Arial" w:cs="Arial"/>
          <w:sz w:val="18"/>
          <w:szCs w:val="18"/>
        </w:rPr>
        <w:t>“</w:t>
      </w:r>
      <w:r>
        <w:rPr>
          <w:rFonts w:ascii="Arial" w:eastAsia="Arial" w:hAnsi="Arial" w:cs="Arial"/>
          <w:b/>
          <w:bCs/>
          <w:sz w:val="18"/>
          <w:szCs w:val="18"/>
        </w:rPr>
        <w:t>Hazardous Material</w:t>
      </w:r>
      <w:r>
        <w:rPr>
          <w:rFonts w:ascii="Arial" w:eastAsia="Arial" w:hAnsi="Arial" w:cs="Arial"/>
          <w:sz w:val="18"/>
          <w:szCs w:val="18"/>
        </w:rPr>
        <w:t>” means (i) any petroleum or petroleum products, radioactive materials,</w:t>
      </w:r>
      <w:r>
        <w:rPr>
          <w:rFonts w:ascii="Arial" w:eastAsia="Arial" w:hAnsi="Arial" w:cs="Arial"/>
          <w:sz w:val="18"/>
          <w:szCs w:val="18"/>
        </w:rPr>
        <w:t xml:space="preserve"> toxic mold, radon, asbestos or asbestos-containing materials in any form, lead-based paint, urea formaldehyde foam insulation, Per- and Polyfluoroalkyl Substances (PFAs) or polychlorinated biphenyls (PCBs); and (ii) any chemicals, materials, substances, c</w:t>
      </w:r>
      <w:r>
        <w:rPr>
          <w:rFonts w:ascii="Arial" w:eastAsia="Arial" w:hAnsi="Arial" w:cs="Arial"/>
          <w:sz w:val="18"/>
          <w:szCs w:val="18"/>
        </w:rPr>
        <w:t>ompounds, mixtures, products or byproducts, biological agents, or living or genetically modified materials, pollutants, contaminants or wastes that are now or hereafter become defined or characterized as or included in the definition of “hazardous substanc</w:t>
      </w:r>
      <w:r>
        <w:rPr>
          <w:rFonts w:ascii="Arial" w:eastAsia="Arial" w:hAnsi="Arial" w:cs="Arial"/>
          <w:sz w:val="18"/>
          <w:szCs w:val="18"/>
        </w:rPr>
        <w:t>es,” “hazardous wastes,” “hazardous materials,” “extremely hazardous wastes,” “restricted hazardous wastes,” “special waste,” “toxic substances,” “pollutants,” “contaminants,” “toxic,” “dangerous,” “corrosive,” “flammable,” “reactive,” “radioactive,” or wo</w:t>
      </w:r>
      <w:r>
        <w:rPr>
          <w:rFonts w:ascii="Arial" w:eastAsia="Arial" w:hAnsi="Arial" w:cs="Arial"/>
          <w:sz w:val="18"/>
          <w:szCs w:val="18"/>
        </w:rPr>
        <w:t>rds of similar import, under any Applicable Law pertaining to the environment.</w:t>
      </w:r>
    </w:p>
    <w:p w14:paraId="5E6F1D74" w14:textId="77777777" w:rsidR="00D1587D" w:rsidRDefault="00D1587D">
      <w:pPr>
        <w:spacing w:line="189" w:lineRule="exact"/>
        <w:rPr>
          <w:sz w:val="20"/>
          <w:szCs w:val="20"/>
        </w:rPr>
      </w:pPr>
    </w:p>
    <w:p w14:paraId="67C9D071" w14:textId="77777777" w:rsidR="00D1587D" w:rsidRDefault="00410D07">
      <w:pPr>
        <w:spacing w:line="281" w:lineRule="auto"/>
        <w:ind w:right="180" w:firstLine="648"/>
        <w:rPr>
          <w:sz w:val="20"/>
          <w:szCs w:val="20"/>
        </w:rPr>
      </w:pPr>
      <w:r>
        <w:rPr>
          <w:rFonts w:ascii="Arial" w:eastAsia="Arial" w:hAnsi="Arial" w:cs="Arial"/>
          <w:sz w:val="17"/>
          <w:szCs w:val="17"/>
        </w:rPr>
        <w:t>“</w:t>
      </w:r>
      <w:r>
        <w:rPr>
          <w:rFonts w:ascii="Arial" w:eastAsia="Arial" w:hAnsi="Arial" w:cs="Arial"/>
          <w:b/>
          <w:bCs/>
          <w:sz w:val="17"/>
          <w:szCs w:val="17"/>
        </w:rPr>
        <w:t>Indebtedness</w:t>
      </w:r>
      <w:r>
        <w:rPr>
          <w:rFonts w:ascii="Arial" w:eastAsia="Arial" w:hAnsi="Arial" w:cs="Arial"/>
          <w:sz w:val="17"/>
          <w:szCs w:val="17"/>
        </w:rPr>
        <w:t>” of any Person means (i) indebtedness of such Person for borrowed money, (ii) indebtedness of such Person evidenced by notes, debentures, bonds or other similar i</w:t>
      </w:r>
      <w:r>
        <w:rPr>
          <w:rFonts w:ascii="Arial" w:eastAsia="Arial" w:hAnsi="Arial" w:cs="Arial"/>
          <w:sz w:val="17"/>
          <w:szCs w:val="17"/>
        </w:rPr>
        <w:t xml:space="preserve">nstruments, (iii) indebtedness of such Person evidenced by letters of credit, banker’s acceptances, bank guarantees, performance and surety bonds or similar credit instruments, (iv) all capitalized lease obligations, and (v) the obligations of such Person </w:t>
      </w:r>
      <w:r>
        <w:rPr>
          <w:rFonts w:ascii="Arial" w:eastAsia="Arial" w:hAnsi="Arial" w:cs="Arial"/>
          <w:sz w:val="17"/>
          <w:szCs w:val="17"/>
        </w:rPr>
        <w:t>for the deferred purchase price of businesses, properties, securities, goods or services (including any “earn-outs”).</w:t>
      </w:r>
    </w:p>
    <w:p w14:paraId="444E6F12" w14:textId="77777777" w:rsidR="00D1587D" w:rsidRDefault="00D1587D">
      <w:pPr>
        <w:spacing w:line="165" w:lineRule="exact"/>
        <w:rPr>
          <w:sz w:val="20"/>
          <w:szCs w:val="20"/>
        </w:rPr>
      </w:pPr>
    </w:p>
    <w:p w14:paraId="1007CE39"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Indemnitees</w:t>
      </w:r>
      <w:r>
        <w:rPr>
          <w:rFonts w:ascii="Arial" w:eastAsia="Arial" w:hAnsi="Arial" w:cs="Arial"/>
          <w:sz w:val="18"/>
          <w:szCs w:val="18"/>
        </w:rPr>
        <w:t>” means, as the context requires, the L Brands Indemnitees or the VS Indemnitees.</w:t>
      </w:r>
    </w:p>
    <w:p w14:paraId="167F1B87" w14:textId="77777777" w:rsidR="00D1587D" w:rsidRDefault="00D1587D">
      <w:pPr>
        <w:spacing w:line="225" w:lineRule="exact"/>
        <w:rPr>
          <w:sz w:val="20"/>
          <w:szCs w:val="20"/>
        </w:rPr>
      </w:pPr>
    </w:p>
    <w:p w14:paraId="254FD413" w14:textId="77777777" w:rsidR="00D1587D" w:rsidRDefault="00410D07">
      <w:pPr>
        <w:spacing w:line="282" w:lineRule="auto"/>
        <w:ind w:right="660" w:firstLine="648"/>
        <w:rPr>
          <w:sz w:val="20"/>
          <w:szCs w:val="20"/>
        </w:rPr>
      </w:pPr>
      <w:r>
        <w:rPr>
          <w:rFonts w:ascii="Arial" w:eastAsia="Arial" w:hAnsi="Arial" w:cs="Arial"/>
          <w:sz w:val="18"/>
          <w:szCs w:val="18"/>
        </w:rPr>
        <w:t>“</w:t>
      </w:r>
      <w:r>
        <w:rPr>
          <w:rFonts w:ascii="Arial" w:eastAsia="Arial" w:hAnsi="Arial" w:cs="Arial"/>
          <w:b/>
          <w:bCs/>
          <w:sz w:val="18"/>
          <w:szCs w:val="18"/>
        </w:rPr>
        <w:t>Information Statement</w:t>
      </w:r>
      <w:r>
        <w:rPr>
          <w:rFonts w:ascii="Arial" w:eastAsia="Arial" w:hAnsi="Arial" w:cs="Arial"/>
          <w:sz w:val="18"/>
          <w:szCs w:val="18"/>
        </w:rPr>
        <w:t xml:space="preserve">” means the </w:t>
      </w:r>
      <w:r>
        <w:rPr>
          <w:rFonts w:ascii="Arial" w:eastAsia="Arial" w:hAnsi="Arial" w:cs="Arial"/>
          <w:sz w:val="18"/>
          <w:szCs w:val="18"/>
        </w:rPr>
        <w:t>Information Statement to be sent to each holder of L Brands Common Stock in connection with the Distribution.</w:t>
      </w:r>
    </w:p>
    <w:p w14:paraId="0287A211" w14:textId="77777777" w:rsidR="00D1587D" w:rsidRDefault="00D1587D">
      <w:pPr>
        <w:spacing w:line="152" w:lineRule="exact"/>
        <w:rPr>
          <w:sz w:val="20"/>
          <w:szCs w:val="20"/>
        </w:rPr>
      </w:pPr>
    </w:p>
    <w:p w14:paraId="28610C64" w14:textId="77777777" w:rsidR="00D1587D" w:rsidRDefault="00410D07">
      <w:pPr>
        <w:ind w:right="20"/>
        <w:jc w:val="center"/>
        <w:rPr>
          <w:sz w:val="20"/>
          <w:szCs w:val="20"/>
        </w:rPr>
      </w:pPr>
      <w:r>
        <w:rPr>
          <w:rFonts w:ascii="Arial" w:eastAsia="Arial" w:hAnsi="Arial" w:cs="Arial"/>
          <w:sz w:val="18"/>
          <w:szCs w:val="18"/>
        </w:rPr>
        <w:t>6</w:t>
      </w:r>
    </w:p>
    <w:p w14:paraId="2E25243C" w14:textId="77777777" w:rsidR="00D1587D" w:rsidRDefault="00410D07">
      <w:pPr>
        <w:spacing w:line="20" w:lineRule="exact"/>
        <w:rPr>
          <w:sz w:val="20"/>
          <w:szCs w:val="20"/>
        </w:rPr>
      </w:pPr>
      <w:r>
        <w:rPr>
          <w:noProof/>
          <w:sz w:val="20"/>
          <w:szCs w:val="20"/>
        </w:rPr>
        <w:drawing>
          <wp:anchor distT="0" distB="0" distL="114300" distR="114300" simplePos="0" relativeHeight="251158528" behindDoc="1" locked="0" layoutInCell="0" allowOverlap="1" wp14:anchorId="3ACFF6ED" wp14:editId="5740A934">
            <wp:simplePos x="0" y="0"/>
            <wp:positionH relativeFrom="column">
              <wp:posOffset>5080</wp:posOffset>
            </wp:positionH>
            <wp:positionV relativeFrom="paragraph">
              <wp:posOffset>48895</wp:posOffset>
            </wp:positionV>
            <wp:extent cx="7132320" cy="1714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1EBDC59" w14:textId="77777777" w:rsidR="00D1587D" w:rsidRDefault="00D1587D">
      <w:pPr>
        <w:sectPr w:rsidR="00D1587D">
          <w:pgSz w:w="11900" w:h="16838"/>
          <w:pgMar w:top="337" w:right="379" w:bottom="1440" w:left="320" w:header="0" w:footer="0" w:gutter="0"/>
          <w:cols w:space="720" w:equalWidth="0">
            <w:col w:w="11200"/>
          </w:cols>
        </w:sectPr>
      </w:pPr>
    </w:p>
    <w:p w14:paraId="30713845" w14:textId="77777777" w:rsidR="00D1587D" w:rsidRDefault="00410D07">
      <w:pPr>
        <w:spacing w:line="256" w:lineRule="auto"/>
        <w:ind w:firstLine="648"/>
        <w:rPr>
          <w:sz w:val="20"/>
          <w:szCs w:val="20"/>
        </w:rPr>
      </w:pPr>
      <w:bookmarkStart w:id="15" w:name="page16"/>
      <w:bookmarkEnd w:id="15"/>
      <w:r>
        <w:rPr>
          <w:rFonts w:ascii="Arial" w:eastAsia="Arial" w:hAnsi="Arial" w:cs="Arial"/>
          <w:sz w:val="18"/>
          <w:szCs w:val="18"/>
        </w:rPr>
        <w:t>“</w:t>
      </w:r>
      <w:r>
        <w:rPr>
          <w:rFonts w:ascii="Arial" w:eastAsia="Arial" w:hAnsi="Arial" w:cs="Arial"/>
          <w:b/>
          <w:bCs/>
          <w:sz w:val="18"/>
          <w:szCs w:val="18"/>
        </w:rPr>
        <w:t>Intellectual Property Right</w:t>
      </w:r>
      <w:r>
        <w:rPr>
          <w:rFonts w:ascii="Arial" w:eastAsia="Arial" w:hAnsi="Arial" w:cs="Arial"/>
          <w:sz w:val="18"/>
          <w:szCs w:val="18"/>
        </w:rPr>
        <w:t>” means any Trademark, mask work, invention, patent, copyright, work of authorship, trade sec</w:t>
      </w:r>
      <w:r>
        <w:rPr>
          <w:rFonts w:ascii="Arial" w:eastAsia="Arial" w:hAnsi="Arial" w:cs="Arial"/>
          <w:sz w:val="18"/>
          <w:szCs w:val="18"/>
        </w:rPr>
        <w:t>ret and know-how (such as formulas, manufacturing or production processes and techniques, methods, schematics, technical data and designs, customer and supplier lists, financial and marketing plans, pricing and cost information) or rights in software, data</w:t>
      </w:r>
      <w:r>
        <w:rPr>
          <w:rFonts w:ascii="Arial" w:eastAsia="Arial" w:hAnsi="Arial" w:cs="Arial"/>
          <w:sz w:val="18"/>
          <w:szCs w:val="18"/>
        </w:rPr>
        <w:t>, databases, and any other similar or other type of proprietary or intellectual property right worldwide, including any registrations or applications for registration of any of the foregoing, any right to sue or recover or retain damages and costs and atto</w:t>
      </w:r>
      <w:r>
        <w:rPr>
          <w:rFonts w:ascii="Arial" w:eastAsia="Arial" w:hAnsi="Arial" w:cs="Arial"/>
          <w:sz w:val="18"/>
          <w:szCs w:val="18"/>
        </w:rPr>
        <w:t>rneys’ fees for the past, present or future infringement, misappropriation or other violation of any of the foregoing and any right to claim priority with respect to the foregoing.</w:t>
      </w:r>
    </w:p>
    <w:p w14:paraId="0288852A" w14:textId="77777777" w:rsidR="00D1587D" w:rsidRDefault="00D1587D">
      <w:pPr>
        <w:spacing w:line="187" w:lineRule="exact"/>
        <w:rPr>
          <w:sz w:val="20"/>
          <w:szCs w:val="20"/>
        </w:rPr>
      </w:pPr>
    </w:p>
    <w:p w14:paraId="4A69446B" w14:textId="77777777" w:rsidR="00D1587D" w:rsidRDefault="00410D07">
      <w:pPr>
        <w:spacing w:line="261" w:lineRule="auto"/>
        <w:ind w:right="160" w:firstLine="648"/>
        <w:rPr>
          <w:sz w:val="20"/>
          <w:szCs w:val="20"/>
        </w:rPr>
      </w:pPr>
      <w:r>
        <w:rPr>
          <w:rFonts w:ascii="Arial" w:eastAsia="Arial" w:hAnsi="Arial" w:cs="Arial"/>
          <w:sz w:val="18"/>
          <w:szCs w:val="18"/>
        </w:rPr>
        <w:t>“</w:t>
      </w:r>
      <w:r>
        <w:rPr>
          <w:rFonts w:ascii="Arial" w:eastAsia="Arial" w:hAnsi="Arial" w:cs="Arial"/>
          <w:b/>
          <w:bCs/>
          <w:sz w:val="18"/>
          <w:szCs w:val="18"/>
        </w:rPr>
        <w:t>IT Assets</w:t>
      </w:r>
      <w:r>
        <w:rPr>
          <w:rFonts w:ascii="Arial" w:eastAsia="Arial" w:hAnsi="Arial" w:cs="Arial"/>
          <w:sz w:val="18"/>
          <w:szCs w:val="18"/>
        </w:rPr>
        <w:t>” means information technology equipment and hardware, including</w:t>
      </w:r>
      <w:r>
        <w:rPr>
          <w:rFonts w:ascii="Arial" w:eastAsia="Arial" w:hAnsi="Arial" w:cs="Arial"/>
          <w:sz w:val="18"/>
          <w:szCs w:val="18"/>
        </w:rPr>
        <w:t xml:space="preserve"> desktop computers, desktop phones, printers, servers, workstations, routers, hubs, switches, data communications lines, and all associated documentation owned, used, licensed or leased by L Brands or any of its Subsidiaries (excluding any public networks)</w:t>
      </w:r>
      <w:r>
        <w:rPr>
          <w:rFonts w:ascii="Arial" w:eastAsia="Arial" w:hAnsi="Arial" w:cs="Arial"/>
          <w:sz w:val="18"/>
          <w:szCs w:val="18"/>
        </w:rPr>
        <w:t>. For clarity, “IT Assets” do not include software, personal laptops, personal mobile devices or cellular phones.</w:t>
      </w:r>
    </w:p>
    <w:p w14:paraId="4372A480" w14:textId="77777777" w:rsidR="00D1587D" w:rsidRDefault="00D1587D">
      <w:pPr>
        <w:spacing w:line="180" w:lineRule="exact"/>
        <w:rPr>
          <w:sz w:val="20"/>
          <w:szCs w:val="20"/>
        </w:rPr>
      </w:pPr>
    </w:p>
    <w:p w14:paraId="201D9500" w14:textId="77777777" w:rsidR="00D1587D" w:rsidRDefault="00410D07">
      <w:pPr>
        <w:spacing w:line="266" w:lineRule="auto"/>
        <w:ind w:right="140" w:firstLine="648"/>
        <w:rPr>
          <w:sz w:val="20"/>
          <w:szCs w:val="20"/>
        </w:rPr>
      </w:pPr>
      <w:r>
        <w:rPr>
          <w:rFonts w:ascii="Arial" w:eastAsia="Arial" w:hAnsi="Arial" w:cs="Arial"/>
          <w:sz w:val="18"/>
          <w:szCs w:val="18"/>
        </w:rPr>
        <w:t>“</w:t>
      </w:r>
      <w:r>
        <w:rPr>
          <w:rFonts w:ascii="Arial" w:eastAsia="Arial" w:hAnsi="Arial" w:cs="Arial"/>
          <w:b/>
          <w:bCs/>
          <w:sz w:val="18"/>
          <w:szCs w:val="18"/>
        </w:rPr>
        <w:t>L Brands Assets</w:t>
      </w:r>
      <w:r>
        <w:rPr>
          <w:rFonts w:ascii="Arial" w:eastAsia="Arial" w:hAnsi="Arial" w:cs="Arial"/>
          <w:sz w:val="18"/>
          <w:szCs w:val="18"/>
        </w:rPr>
        <w:t>” means all assets, properties and businesses, of whatever sort, nature or description, of L Brands or any of its Subsidiarie</w:t>
      </w:r>
      <w:r>
        <w:rPr>
          <w:rFonts w:ascii="Arial" w:eastAsia="Arial" w:hAnsi="Arial" w:cs="Arial"/>
          <w:sz w:val="18"/>
          <w:szCs w:val="18"/>
        </w:rPr>
        <w:t>s (including any member of the VS Group), or that are used or held for use in the L Brands Business, other than the VS Assets, including, for the avoidance of doubt:</w:t>
      </w:r>
    </w:p>
    <w:p w14:paraId="29E9D3F4" w14:textId="77777777" w:rsidR="00D1587D" w:rsidRDefault="00D1587D">
      <w:pPr>
        <w:spacing w:line="180" w:lineRule="exact"/>
        <w:rPr>
          <w:sz w:val="20"/>
          <w:szCs w:val="20"/>
        </w:rPr>
      </w:pPr>
    </w:p>
    <w:p w14:paraId="0A74FEE7" w14:textId="77777777" w:rsidR="00D1587D" w:rsidRDefault="00410D07">
      <w:pPr>
        <w:numPr>
          <w:ilvl w:val="0"/>
          <w:numId w:val="2"/>
        </w:numPr>
        <w:tabs>
          <w:tab w:val="left" w:pos="1360"/>
        </w:tabs>
        <w:ind w:left="1360" w:hanging="704"/>
        <w:rPr>
          <w:rFonts w:ascii="Arial" w:eastAsia="Arial" w:hAnsi="Arial" w:cs="Arial"/>
          <w:sz w:val="17"/>
          <w:szCs w:val="17"/>
        </w:rPr>
      </w:pPr>
      <w:r>
        <w:rPr>
          <w:rFonts w:ascii="Arial" w:eastAsia="Arial" w:hAnsi="Arial" w:cs="Arial"/>
          <w:sz w:val="17"/>
          <w:szCs w:val="17"/>
        </w:rPr>
        <w:t>all of the interests in any capital stock or other equity securities or interest of or in</w:t>
      </w:r>
      <w:r>
        <w:rPr>
          <w:rFonts w:ascii="Arial" w:eastAsia="Arial" w:hAnsi="Arial" w:cs="Arial"/>
          <w:sz w:val="17"/>
          <w:szCs w:val="17"/>
        </w:rPr>
        <w:t xml:space="preserve"> any Person, other than the VS Equity Interests;</w:t>
      </w:r>
    </w:p>
    <w:p w14:paraId="45638D6E" w14:textId="77777777" w:rsidR="00D1587D" w:rsidRDefault="00D1587D">
      <w:pPr>
        <w:spacing w:line="236" w:lineRule="exact"/>
        <w:rPr>
          <w:rFonts w:ascii="Arial" w:eastAsia="Arial" w:hAnsi="Arial" w:cs="Arial"/>
          <w:sz w:val="17"/>
          <w:szCs w:val="17"/>
        </w:rPr>
      </w:pPr>
    </w:p>
    <w:p w14:paraId="17358091" w14:textId="77777777" w:rsidR="00D1587D" w:rsidRDefault="00410D07">
      <w:pPr>
        <w:numPr>
          <w:ilvl w:val="0"/>
          <w:numId w:val="2"/>
        </w:numPr>
        <w:tabs>
          <w:tab w:val="left" w:pos="1360"/>
        </w:tabs>
        <w:ind w:left="1360" w:hanging="704"/>
        <w:rPr>
          <w:rFonts w:ascii="Arial" w:eastAsia="Arial" w:hAnsi="Arial" w:cs="Arial"/>
          <w:sz w:val="16"/>
          <w:szCs w:val="16"/>
        </w:rPr>
      </w:pPr>
      <w:r>
        <w:rPr>
          <w:rFonts w:ascii="Arial" w:eastAsia="Arial" w:hAnsi="Arial" w:cs="Arial"/>
          <w:sz w:val="16"/>
          <w:szCs w:val="16"/>
        </w:rPr>
        <w:t>except as set forth in clause (c) of the definition of “VS Assets,” all Cash and Cash Equivalents of L Brands and its Subsidiaries as of the</w:t>
      </w:r>
    </w:p>
    <w:p w14:paraId="7A91F8B7" w14:textId="77777777" w:rsidR="00D1587D" w:rsidRDefault="00D1587D">
      <w:pPr>
        <w:spacing w:line="46" w:lineRule="exact"/>
        <w:rPr>
          <w:rFonts w:ascii="Arial" w:eastAsia="Arial" w:hAnsi="Arial" w:cs="Arial"/>
          <w:sz w:val="16"/>
          <w:szCs w:val="16"/>
        </w:rPr>
      </w:pPr>
    </w:p>
    <w:p w14:paraId="4CFF6D9B" w14:textId="77777777" w:rsidR="00D1587D" w:rsidRDefault="00410D07">
      <w:pPr>
        <w:rPr>
          <w:rFonts w:ascii="Arial" w:eastAsia="Arial" w:hAnsi="Arial" w:cs="Arial"/>
          <w:sz w:val="16"/>
          <w:szCs w:val="16"/>
        </w:rPr>
      </w:pPr>
      <w:r>
        <w:rPr>
          <w:rFonts w:ascii="Arial" w:eastAsia="Arial" w:hAnsi="Arial" w:cs="Arial"/>
          <w:sz w:val="18"/>
          <w:szCs w:val="18"/>
        </w:rPr>
        <w:t>Distribution Time;</w:t>
      </w:r>
    </w:p>
    <w:p w14:paraId="7E1CA726" w14:textId="77777777" w:rsidR="00D1587D" w:rsidRDefault="00D1587D">
      <w:pPr>
        <w:spacing w:line="210" w:lineRule="exact"/>
        <w:rPr>
          <w:rFonts w:ascii="Arial" w:eastAsia="Arial" w:hAnsi="Arial" w:cs="Arial"/>
          <w:sz w:val="16"/>
          <w:szCs w:val="16"/>
        </w:rPr>
      </w:pPr>
    </w:p>
    <w:p w14:paraId="2C4566D3" w14:textId="77777777" w:rsidR="00D1587D" w:rsidRDefault="00410D07">
      <w:pPr>
        <w:numPr>
          <w:ilvl w:val="0"/>
          <w:numId w:val="2"/>
        </w:numPr>
        <w:tabs>
          <w:tab w:val="left" w:pos="1343"/>
        </w:tabs>
        <w:spacing w:line="277" w:lineRule="auto"/>
        <w:ind w:right="100" w:firstLine="656"/>
        <w:rPr>
          <w:rFonts w:ascii="Arial" w:eastAsia="Arial" w:hAnsi="Arial" w:cs="Arial"/>
          <w:sz w:val="18"/>
          <w:szCs w:val="18"/>
        </w:rPr>
      </w:pPr>
      <w:r>
        <w:rPr>
          <w:rFonts w:ascii="Arial" w:eastAsia="Arial" w:hAnsi="Arial" w:cs="Arial"/>
          <w:sz w:val="18"/>
          <w:szCs w:val="18"/>
        </w:rPr>
        <w:t xml:space="preserve">all distribution centers (and offices </w:t>
      </w:r>
      <w:r>
        <w:rPr>
          <w:rFonts w:ascii="Arial" w:eastAsia="Arial" w:hAnsi="Arial" w:cs="Arial"/>
          <w:sz w:val="18"/>
          <w:szCs w:val="18"/>
        </w:rPr>
        <w:t>therein) of L Brands and its Subsidiaries and all leases of, and other interest in, real property, in each case together with all buildings, fixtures and improvements erected thereon, other than the VS Real Property;</w:t>
      </w:r>
    </w:p>
    <w:p w14:paraId="7D86769A" w14:textId="77777777" w:rsidR="00D1587D" w:rsidRDefault="00D1587D">
      <w:pPr>
        <w:spacing w:line="170" w:lineRule="exact"/>
        <w:rPr>
          <w:rFonts w:ascii="Arial" w:eastAsia="Arial" w:hAnsi="Arial" w:cs="Arial"/>
          <w:sz w:val="18"/>
          <w:szCs w:val="18"/>
        </w:rPr>
      </w:pPr>
    </w:p>
    <w:p w14:paraId="2A80FCDD" w14:textId="77777777" w:rsidR="00D1587D" w:rsidRDefault="00410D07">
      <w:pPr>
        <w:numPr>
          <w:ilvl w:val="0"/>
          <w:numId w:val="2"/>
        </w:numPr>
        <w:tabs>
          <w:tab w:val="left" w:pos="1360"/>
        </w:tabs>
        <w:ind w:left="1360" w:hanging="704"/>
        <w:rPr>
          <w:rFonts w:ascii="Arial" w:eastAsia="Arial" w:hAnsi="Arial" w:cs="Arial"/>
          <w:sz w:val="18"/>
          <w:szCs w:val="18"/>
        </w:rPr>
      </w:pPr>
      <w:r>
        <w:rPr>
          <w:rFonts w:ascii="Arial" w:eastAsia="Arial" w:hAnsi="Arial" w:cs="Arial"/>
          <w:sz w:val="18"/>
          <w:szCs w:val="18"/>
        </w:rPr>
        <w:t>all insurance policies of L Brands and</w:t>
      </w:r>
      <w:r>
        <w:rPr>
          <w:rFonts w:ascii="Arial" w:eastAsia="Arial" w:hAnsi="Arial" w:cs="Arial"/>
          <w:sz w:val="18"/>
          <w:szCs w:val="18"/>
        </w:rPr>
        <w:t xml:space="preserve"> its Subsidiaries;</w:t>
      </w:r>
    </w:p>
    <w:p w14:paraId="31717B22" w14:textId="77777777" w:rsidR="00D1587D" w:rsidRDefault="00D1587D">
      <w:pPr>
        <w:spacing w:line="225" w:lineRule="exact"/>
        <w:rPr>
          <w:rFonts w:ascii="Arial" w:eastAsia="Arial" w:hAnsi="Arial" w:cs="Arial"/>
          <w:sz w:val="18"/>
          <w:szCs w:val="18"/>
        </w:rPr>
      </w:pPr>
    </w:p>
    <w:p w14:paraId="698DA0D0" w14:textId="77777777" w:rsidR="00D1587D" w:rsidRDefault="00410D07">
      <w:pPr>
        <w:numPr>
          <w:ilvl w:val="0"/>
          <w:numId w:val="2"/>
        </w:numPr>
        <w:tabs>
          <w:tab w:val="left" w:pos="1360"/>
        </w:tabs>
        <w:ind w:left="1360" w:hanging="704"/>
        <w:rPr>
          <w:rFonts w:ascii="Arial" w:eastAsia="Arial" w:hAnsi="Arial" w:cs="Arial"/>
          <w:sz w:val="18"/>
          <w:szCs w:val="18"/>
        </w:rPr>
      </w:pPr>
      <w:r>
        <w:rPr>
          <w:rFonts w:ascii="Arial" w:eastAsia="Arial" w:hAnsi="Arial" w:cs="Arial"/>
          <w:sz w:val="18"/>
          <w:szCs w:val="18"/>
        </w:rPr>
        <w:t>the L Brands Records;</w:t>
      </w:r>
    </w:p>
    <w:p w14:paraId="795F471E" w14:textId="77777777" w:rsidR="00D1587D" w:rsidRDefault="00D1587D">
      <w:pPr>
        <w:spacing w:line="225" w:lineRule="exact"/>
        <w:rPr>
          <w:rFonts w:ascii="Arial" w:eastAsia="Arial" w:hAnsi="Arial" w:cs="Arial"/>
          <w:sz w:val="18"/>
          <w:szCs w:val="18"/>
        </w:rPr>
      </w:pPr>
    </w:p>
    <w:p w14:paraId="573837E4" w14:textId="77777777" w:rsidR="00D1587D" w:rsidRDefault="00410D07">
      <w:pPr>
        <w:numPr>
          <w:ilvl w:val="0"/>
          <w:numId w:val="2"/>
        </w:numPr>
        <w:tabs>
          <w:tab w:val="left" w:pos="1380"/>
        </w:tabs>
        <w:ind w:left="1380" w:hanging="724"/>
        <w:rPr>
          <w:rFonts w:ascii="Arial" w:eastAsia="Arial" w:hAnsi="Arial" w:cs="Arial"/>
          <w:sz w:val="18"/>
          <w:szCs w:val="18"/>
        </w:rPr>
      </w:pPr>
      <w:r>
        <w:rPr>
          <w:rFonts w:ascii="Arial" w:eastAsia="Arial" w:hAnsi="Arial" w:cs="Arial"/>
          <w:sz w:val="18"/>
          <w:szCs w:val="18"/>
        </w:rPr>
        <w:t>the L Brands Commercial Data;</w:t>
      </w:r>
    </w:p>
    <w:p w14:paraId="22C5188C" w14:textId="77777777" w:rsidR="00D1587D" w:rsidRDefault="00D1587D">
      <w:pPr>
        <w:spacing w:line="225" w:lineRule="exact"/>
        <w:rPr>
          <w:rFonts w:ascii="Arial" w:eastAsia="Arial" w:hAnsi="Arial" w:cs="Arial"/>
          <w:sz w:val="18"/>
          <w:szCs w:val="18"/>
        </w:rPr>
      </w:pPr>
    </w:p>
    <w:p w14:paraId="7E4B69DA" w14:textId="77777777" w:rsidR="00D1587D" w:rsidRDefault="00410D07">
      <w:pPr>
        <w:numPr>
          <w:ilvl w:val="0"/>
          <w:numId w:val="2"/>
        </w:numPr>
        <w:tabs>
          <w:tab w:val="left" w:pos="1360"/>
        </w:tabs>
        <w:ind w:left="1360" w:hanging="704"/>
        <w:rPr>
          <w:rFonts w:ascii="Arial" w:eastAsia="Arial" w:hAnsi="Arial" w:cs="Arial"/>
          <w:sz w:val="16"/>
          <w:szCs w:val="16"/>
        </w:rPr>
      </w:pPr>
      <w:r>
        <w:rPr>
          <w:rFonts w:ascii="Arial" w:eastAsia="Arial" w:hAnsi="Arial" w:cs="Arial"/>
          <w:sz w:val="16"/>
          <w:szCs w:val="16"/>
        </w:rPr>
        <w:t>all rights of L Brands arising under this Agreement or any of the Ancillary Agreements or any of the transactions contemplated hereby</w:t>
      </w:r>
    </w:p>
    <w:p w14:paraId="2E28DCD6" w14:textId="77777777" w:rsidR="00D1587D" w:rsidRDefault="00D1587D">
      <w:pPr>
        <w:spacing w:line="46" w:lineRule="exact"/>
        <w:rPr>
          <w:rFonts w:ascii="Arial" w:eastAsia="Arial" w:hAnsi="Arial" w:cs="Arial"/>
          <w:sz w:val="16"/>
          <w:szCs w:val="16"/>
        </w:rPr>
      </w:pPr>
    </w:p>
    <w:p w14:paraId="70ACD555" w14:textId="77777777" w:rsidR="00D1587D" w:rsidRDefault="00410D07">
      <w:pPr>
        <w:rPr>
          <w:rFonts w:ascii="Arial" w:eastAsia="Arial" w:hAnsi="Arial" w:cs="Arial"/>
          <w:sz w:val="16"/>
          <w:szCs w:val="16"/>
        </w:rPr>
      </w:pPr>
      <w:r>
        <w:rPr>
          <w:rFonts w:ascii="Arial" w:eastAsia="Arial" w:hAnsi="Arial" w:cs="Arial"/>
          <w:sz w:val="18"/>
          <w:szCs w:val="18"/>
        </w:rPr>
        <w:t>or thereby;</w:t>
      </w:r>
    </w:p>
    <w:p w14:paraId="318104AF" w14:textId="77777777" w:rsidR="00D1587D" w:rsidRDefault="00D1587D">
      <w:pPr>
        <w:spacing w:line="210" w:lineRule="exact"/>
        <w:rPr>
          <w:rFonts w:ascii="Arial" w:eastAsia="Arial" w:hAnsi="Arial" w:cs="Arial"/>
          <w:sz w:val="16"/>
          <w:szCs w:val="16"/>
        </w:rPr>
      </w:pPr>
    </w:p>
    <w:p w14:paraId="3D9D6925" w14:textId="77777777" w:rsidR="00D1587D" w:rsidRDefault="00410D07">
      <w:pPr>
        <w:numPr>
          <w:ilvl w:val="0"/>
          <w:numId w:val="2"/>
        </w:numPr>
        <w:tabs>
          <w:tab w:val="left" w:pos="1353"/>
        </w:tabs>
        <w:spacing w:line="277" w:lineRule="auto"/>
        <w:ind w:right="200" w:firstLine="656"/>
        <w:rPr>
          <w:rFonts w:ascii="Arial" w:eastAsia="Arial" w:hAnsi="Arial" w:cs="Arial"/>
          <w:sz w:val="18"/>
          <w:szCs w:val="18"/>
        </w:rPr>
      </w:pPr>
      <w:r>
        <w:rPr>
          <w:rFonts w:ascii="Arial" w:eastAsia="Arial" w:hAnsi="Arial" w:cs="Arial"/>
          <w:sz w:val="18"/>
          <w:szCs w:val="18"/>
        </w:rPr>
        <w:t xml:space="preserve">the Intellectual Property </w:t>
      </w:r>
      <w:r>
        <w:rPr>
          <w:rFonts w:ascii="Arial" w:eastAsia="Arial" w:hAnsi="Arial" w:cs="Arial"/>
          <w:sz w:val="18"/>
          <w:szCs w:val="18"/>
        </w:rPr>
        <w:t>Rights owned by L Brands or any of its Subsidiaries that are not included in the VS IP, including all L Brands Names and Marks;</w:t>
      </w:r>
    </w:p>
    <w:p w14:paraId="5AD7736D" w14:textId="77777777" w:rsidR="00D1587D" w:rsidRDefault="00D1587D">
      <w:pPr>
        <w:spacing w:line="157" w:lineRule="exact"/>
        <w:rPr>
          <w:sz w:val="20"/>
          <w:szCs w:val="20"/>
        </w:rPr>
      </w:pPr>
    </w:p>
    <w:p w14:paraId="16740546" w14:textId="77777777" w:rsidR="00D1587D" w:rsidRDefault="00410D07">
      <w:pPr>
        <w:ind w:right="60"/>
        <w:jc w:val="center"/>
        <w:rPr>
          <w:sz w:val="20"/>
          <w:szCs w:val="20"/>
        </w:rPr>
      </w:pPr>
      <w:r>
        <w:rPr>
          <w:rFonts w:ascii="Arial" w:eastAsia="Arial" w:hAnsi="Arial" w:cs="Arial"/>
          <w:sz w:val="18"/>
          <w:szCs w:val="18"/>
        </w:rPr>
        <w:t>7</w:t>
      </w:r>
    </w:p>
    <w:p w14:paraId="7BFB1EC0" w14:textId="77777777" w:rsidR="00D1587D" w:rsidRDefault="00410D07">
      <w:pPr>
        <w:spacing w:line="20" w:lineRule="exact"/>
        <w:rPr>
          <w:sz w:val="20"/>
          <w:szCs w:val="20"/>
        </w:rPr>
      </w:pPr>
      <w:r>
        <w:rPr>
          <w:noProof/>
          <w:sz w:val="20"/>
          <w:szCs w:val="20"/>
        </w:rPr>
        <w:drawing>
          <wp:anchor distT="0" distB="0" distL="114300" distR="114300" simplePos="0" relativeHeight="251159552" behindDoc="1" locked="0" layoutInCell="0" allowOverlap="1" wp14:anchorId="66A81830" wp14:editId="59B4E3A5">
            <wp:simplePos x="0" y="0"/>
            <wp:positionH relativeFrom="column">
              <wp:posOffset>5080</wp:posOffset>
            </wp:positionH>
            <wp:positionV relativeFrom="paragraph">
              <wp:posOffset>48895</wp:posOffset>
            </wp:positionV>
            <wp:extent cx="7132320" cy="1714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BD7A129" w14:textId="77777777" w:rsidR="00D1587D" w:rsidRDefault="00D1587D">
      <w:pPr>
        <w:sectPr w:rsidR="00D1587D">
          <w:pgSz w:w="11900" w:h="16838"/>
          <w:pgMar w:top="337" w:right="339" w:bottom="1440" w:left="320" w:header="0" w:footer="0" w:gutter="0"/>
          <w:cols w:space="720" w:equalWidth="0">
            <w:col w:w="11240"/>
          </w:cols>
        </w:sectPr>
      </w:pPr>
    </w:p>
    <w:p w14:paraId="4A4E9403" w14:textId="77777777" w:rsidR="00D1587D" w:rsidRDefault="00410D07">
      <w:pPr>
        <w:numPr>
          <w:ilvl w:val="0"/>
          <w:numId w:val="3"/>
        </w:numPr>
        <w:tabs>
          <w:tab w:val="left" w:pos="1358"/>
        </w:tabs>
        <w:spacing w:line="277" w:lineRule="auto"/>
        <w:ind w:right="340" w:firstLine="656"/>
        <w:rPr>
          <w:rFonts w:ascii="Arial" w:eastAsia="Arial" w:hAnsi="Arial" w:cs="Arial"/>
          <w:sz w:val="18"/>
          <w:szCs w:val="18"/>
        </w:rPr>
      </w:pPr>
      <w:bookmarkStart w:id="16" w:name="page17"/>
      <w:bookmarkEnd w:id="16"/>
      <w:r>
        <w:rPr>
          <w:rFonts w:ascii="Arial" w:eastAsia="Arial" w:hAnsi="Arial" w:cs="Arial"/>
          <w:sz w:val="18"/>
          <w:szCs w:val="18"/>
        </w:rPr>
        <w:t xml:space="preserve">all furniture and equipment (excluding IT Assets, personal laptops, personal mobile devices and </w:t>
      </w:r>
      <w:r>
        <w:rPr>
          <w:rFonts w:ascii="Arial" w:eastAsia="Arial" w:hAnsi="Arial" w:cs="Arial"/>
          <w:sz w:val="18"/>
          <w:szCs w:val="18"/>
        </w:rPr>
        <w:t>cellular phones) located on any real property not included in the VS Assets;</w:t>
      </w:r>
    </w:p>
    <w:p w14:paraId="43910324" w14:textId="77777777" w:rsidR="00D1587D" w:rsidRDefault="00D1587D">
      <w:pPr>
        <w:spacing w:line="170" w:lineRule="exact"/>
        <w:rPr>
          <w:rFonts w:ascii="Arial" w:eastAsia="Arial" w:hAnsi="Arial" w:cs="Arial"/>
          <w:sz w:val="18"/>
          <w:szCs w:val="18"/>
        </w:rPr>
      </w:pPr>
    </w:p>
    <w:p w14:paraId="2D3263EE" w14:textId="77777777" w:rsidR="00D1587D" w:rsidRDefault="00410D07">
      <w:pPr>
        <w:numPr>
          <w:ilvl w:val="0"/>
          <w:numId w:val="3"/>
        </w:numPr>
        <w:tabs>
          <w:tab w:val="left" w:pos="1360"/>
        </w:tabs>
        <w:ind w:left="1360" w:hanging="704"/>
        <w:rPr>
          <w:rFonts w:ascii="Arial" w:eastAsia="Arial" w:hAnsi="Arial" w:cs="Arial"/>
          <w:sz w:val="16"/>
          <w:szCs w:val="16"/>
        </w:rPr>
      </w:pPr>
      <w:r>
        <w:rPr>
          <w:rFonts w:ascii="Arial" w:eastAsia="Arial" w:hAnsi="Arial" w:cs="Arial"/>
          <w:sz w:val="16"/>
          <w:szCs w:val="16"/>
        </w:rPr>
        <w:t>all personal laptops, personal mobile device and cellular phones other than those described in clause (e) of the definition of “VS Assets”;</w:t>
      </w:r>
    </w:p>
    <w:p w14:paraId="013071DD" w14:textId="77777777" w:rsidR="00D1587D" w:rsidRDefault="00D1587D">
      <w:pPr>
        <w:spacing w:line="248" w:lineRule="exact"/>
        <w:rPr>
          <w:rFonts w:ascii="Arial" w:eastAsia="Arial" w:hAnsi="Arial" w:cs="Arial"/>
          <w:sz w:val="16"/>
          <w:szCs w:val="16"/>
        </w:rPr>
      </w:pPr>
    </w:p>
    <w:p w14:paraId="3A8CDAF1" w14:textId="77777777" w:rsidR="00D1587D" w:rsidRDefault="00410D07">
      <w:pPr>
        <w:numPr>
          <w:ilvl w:val="0"/>
          <w:numId w:val="3"/>
        </w:numPr>
        <w:tabs>
          <w:tab w:val="left" w:pos="1400"/>
        </w:tabs>
        <w:ind w:left="1400" w:hanging="744"/>
        <w:rPr>
          <w:rFonts w:ascii="Arial" w:eastAsia="Arial" w:hAnsi="Arial" w:cs="Arial"/>
          <w:sz w:val="18"/>
          <w:szCs w:val="18"/>
        </w:rPr>
      </w:pPr>
      <w:r>
        <w:rPr>
          <w:rFonts w:ascii="Arial" w:eastAsia="Arial" w:hAnsi="Arial" w:cs="Arial"/>
          <w:sz w:val="18"/>
          <w:szCs w:val="18"/>
        </w:rPr>
        <w:t>(i) IT Assets (other than VS IT Asset</w:t>
      </w:r>
      <w:r>
        <w:rPr>
          <w:rFonts w:ascii="Arial" w:eastAsia="Arial" w:hAnsi="Arial" w:cs="Arial"/>
          <w:sz w:val="18"/>
          <w:szCs w:val="18"/>
        </w:rPr>
        <w:t>s), including, for the avoidance of doubt, the Specified L Brands IT Assets;</w:t>
      </w:r>
    </w:p>
    <w:p w14:paraId="48B8171C" w14:textId="77777777" w:rsidR="00D1587D" w:rsidRDefault="00D1587D">
      <w:pPr>
        <w:spacing w:line="225" w:lineRule="exact"/>
        <w:rPr>
          <w:rFonts w:ascii="Arial" w:eastAsia="Arial" w:hAnsi="Arial" w:cs="Arial"/>
          <w:sz w:val="18"/>
          <w:szCs w:val="18"/>
        </w:rPr>
      </w:pPr>
    </w:p>
    <w:p w14:paraId="595B5E05" w14:textId="77777777" w:rsidR="00D1587D" w:rsidRDefault="00410D07">
      <w:pPr>
        <w:numPr>
          <w:ilvl w:val="0"/>
          <w:numId w:val="3"/>
        </w:numPr>
        <w:tabs>
          <w:tab w:val="left" w:pos="1360"/>
        </w:tabs>
        <w:ind w:left="1360" w:hanging="704"/>
        <w:rPr>
          <w:rFonts w:ascii="Arial" w:eastAsia="Arial" w:hAnsi="Arial" w:cs="Arial"/>
          <w:sz w:val="18"/>
          <w:szCs w:val="18"/>
        </w:rPr>
      </w:pPr>
      <w:r>
        <w:rPr>
          <w:rFonts w:ascii="Arial" w:eastAsia="Arial" w:hAnsi="Arial" w:cs="Arial"/>
          <w:sz w:val="18"/>
          <w:szCs w:val="18"/>
        </w:rPr>
        <w:t>all accounts receivable other than those described in clause (i) of the definition of “VS Assets”;</w:t>
      </w:r>
    </w:p>
    <w:p w14:paraId="2132BF48" w14:textId="77777777" w:rsidR="00D1587D" w:rsidRDefault="00D1587D">
      <w:pPr>
        <w:spacing w:line="225" w:lineRule="exact"/>
        <w:rPr>
          <w:rFonts w:ascii="Arial" w:eastAsia="Arial" w:hAnsi="Arial" w:cs="Arial"/>
          <w:sz w:val="18"/>
          <w:szCs w:val="18"/>
        </w:rPr>
      </w:pPr>
    </w:p>
    <w:p w14:paraId="32E1025A" w14:textId="77777777" w:rsidR="00D1587D" w:rsidRDefault="00410D07">
      <w:pPr>
        <w:numPr>
          <w:ilvl w:val="0"/>
          <w:numId w:val="3"/>
        </w:numPr>
        <w:tabs>
          <w:tab w:val="left" w:pos="1360"/>
        </w:tabs>
        <w:ind w:left="1360" w:hanging="704"/>
        <w:rPr>
          <w:rFonts w:ascii="Arial" w:eastAsia="Arial" w:hAnsi="Arial" w:cs="Arial"/>
          <w:sz w:val="16"/>
          <w:szCs w:val="16"/>
        </w:rPr>
      </w:pPr>
      <w:r>
        <w:rPr>
          <w:rFonts w:ascii="Arial" w:eastAsia="Arial" w:hAnsi="Arial" w:cs="Arial"/>
          <w:sz w:val="16"/>
          <w:szCs w:val="16"/>
        </w:rPr>
        <w:t xml:space="preserve">all recovery, rights, causes of action and awards, in each case, with respect </w:t>
      </w:r>
      <w:r>
        <w:rPr>
          <w:rFonts w:ascii="Arial" w:eastAsia="Arial" w:hAnsi="Arial" w:cs="Arial"/>
          <w:sz w:val="16"/>
          <w:szCs w:val="16"/>
        </w:rPr>
        <w:t>to any Actions and claims that are or relate to L Brands</w:t>
      </w:r>
    </w:p>
    <w:p w14:paraId="7D23FE53" w14:textId="77777777" w:rsidR="00D1587D" w:rsidRDefault="00D1587D">
      <w:pPr>
        <w:spacing w:line="46" w:lineRule="exact"/>
        <w:rPr>
          <w:rFonts w:ascii="Arial" w:eastAsia="Arial" w:hAnsi="Arial" w:cs="Arial"/>
          <w:sz w:val="16"/>
          <w:szCs w:val="16"/>
        </w:rPr>
      </w:pPr>
    </w:p>
    <w:p w14:paraId="68E0A8DE" w14:textId="77777777" w:rsidR="00D1587D" w:rsidRDefault="00410D07">
      <w:pPr>
        <w:rPr>
          <w:rFonts w:ascii="Arial" w:eastAsia="Arial" w:hAnsi="Arial" w:cs="Arial"/>
          <w:sz w:val="16"/>
          <w:szCs w:val="16"/>
        </w:rPr>
      </w:pPr>
      <w:r>
        <w:rPr>
          <w:rFonts w:ascii="Arial" w:eastAsia="Arial" w:hAnsi="Arial" w:cs="Arial"/>
          <w:sz w:val="18"/>
          <w:szCs w:val="18"/>
        </w:rPr>
        <w:t>Liabilities;</w:t>
      </w:r>
    </w:p>
    <w:p w14:paraId="0DBB2A16" w14:textId="77777777" w:rsidR="00D1587D" w:rsidRDefault="00D1587D">
      <w:pPr>
        <w:spacing w:line="210" w:lineRule="exact"/>
        <w:rPr>
          <w:rFonts w:ascii="Arial" w:eastAsia="Arial" w:hAnsi="Arial" w:cs="Arial"/>
          <w:sz w:val="16"/>
          <w:szCs w:val="16"/>
        </w:rPr>
      </w:pPr>
    </w:p>
    <w:p w14:paraId="604A54DF" w14:textId="77777777" w:rsidR="00D1587D" w:rsidRDefault="00410D07">
      <w:pPr>
        <w:numPr>
          <w:ilvl w:val="0"/>
          <w:numId w:val="3"/>
        </w:numPr>
        <w:tabs>
          <w:tab w:val="left" w:pos="1353"/>
        </w:tabs>
        <w:spacing w:line="277" w:lineRule="auto"/>
        <w:ind w:right="440" w:firstLine="656"/>
        <w:rPr>
          <w:rFonts w:ascii="Arial" w:eastAsia="Arial" w:hAnsi="Arial" w:cs="Arial"/>
          <w:sz w:val="18"/>
          <w:szCs w:val="18"/>
        </w:rPr>
      </w:pPr>
      <w:r>
        <w:rPr>
          <w:rFonts w:ascii="Arial" w:eastAsia="Arial" w:hAnsi="Arial" w:cs="Arial"/>
          <w:sz w:val="18"/>
          <w:szCs w:val="18"/>
        </w:rPr>
        <w:t>all right, title and interest in, to or under the aircraft set forth on Schedule 1.01(a) other than the right, title and interest described in clause (j) of the definition of “VS Asset</w:t>
      </w:r>
      <w:r>
        <w:rPr>
          <w:rFonts w:ascii="Arial" w:eastAsia="Arial" w:hAnsi="Arial" w:cs="Arial"/>
          <w:sz w:val="18"/>
          <w:szCs w:val="18"/>
        </w:rPr>
        <w:t>s”;</w:t>
      </w:r>
    </w:p>
    <w:p w14:paraId="1EA6E8C6" w14:textId="77777777" w:rsidR="00D1587D" w:rsidRDefault="00D1587D">
      <w:pPr>
        <w:spacing w:line="170" w:lineRule="exact"/>
        <w:rPr>
          <w:rFonts w:ascii="Arial" w:eastAsia="Arial" w:hAnsi="Arial" w:cs="Arial"/>
          <w:sz w:val="18"/>
          <w:szCs w:val="18"/>
        </w:rPr>
      </w:pPr>
    </w:p>
    <w:p w14:paraId="043CADC7" w14:textId="77777777" w:rsidR="00D1587D" w:rsidRDefault="00410D07">
      <w:pPr>
        <w:numPr>
          <w:ilvl w:val="0"/>
          <w:numId w:val="3"/>
        </w:numPr>
        <w:tabs>
          <w:tab w:val="left" w:pos="1360"/>
        </w:tabs>
        <w:ind w:left="1360" w:hanging="704"/>
        <w:rPr>
          <w:rFonts w:ascii="Arial" w:eastAsia="Arial" w:hAnsi="Arial" w:cs="Arial"/>
          <w:sz w:val="16"/>
          <w:szCs w:val="16"/>
        </w:rPr>
      </w:pPr>
      <w:r>
        <w:rPr>
          <w:rFonts w:ascii="Arial" w:eastAsia="Arial" w:hAnsi="Arial" w:cs="Arial"/>
          <w:sz w:val="16"/>
          <w:szCs w:val="16"/>
        </w:rPr>
        <w:t>all Contracts other than the VS Contracts, those set forth in clause (m)(i) of the definition of “VS Assets” and those included in the VS</w:t>
      </w:r>
    </w:p>
    <w:p w14:paraId="26E36776" w14:textId="77777777" w:rsidR="00D1587D" w:rsidRDefault="00D1587D">
      <w:pPr>
        <w:spacing w:line="46" w:lineRule="exact"/>
        <w:rPr>
          <w:rFonts w:ascii="Arial" w:eastAsia="Arial" w:hAnsi="Arial" w:cs="Arial"/>
          <w:sz w:val="16"/>
          <w:szCs w:val="16"/>
        </w:rPr>
      </w:pPr>
    </w:p>
    <w:p w14:paraId="7D04EE3C" w14:textId="77777777" w:rsidR="00D1587D" w:rsidRDefault="00410D07">
      <w:pPr>
        <w:rPr>
          <w:rFonts w:ascii="Arial" w:eastAsia="Arial" w:hAnsi="Arial" w:cs="Arial"/>
          <w:sz w:val="16"/>
          <w:szCs w:val="16"/>
        </w:rPr>
      </w:pPr>
      <w:r>
        <w:rPr>
          <w:rFonts w:ascii="Arial" w:eastAsia="Arial" w:hAnsi="Arial" w:cs="Arial"/>
          <w:sz w:val="18"/>
          <w:szCs w:val="18"/>
        </w:rPr>
        <w:t>IP; and</w:t>
      </w:r>
    </w:p>
    <w:p w14:paraId="413461DE" w14:textId="77777777" w:rsidR="00D1587D" w:rsidRDefault="00D1587D">
      <w:pPr>
        <w:spacing w:line="210" w:lineRule="exact"/>
        <w:rPr>
          <w:rFonts w:ascii="Arial" w:eastAsia="Arial" w:hAnsi="Arial" w:cs="Arial"/>
          <w:sz w:val="16"/>
          <w:szCs w:val="16"/>
        </w:rPr>
      </w:pPr>
    </w:p>
    <w:p w14:paraId="119B550C" w14:textId="77777777" w:rsidR="00D1587D" w:rsidRDefault="00410D07">
      <w:pPr>
        <w:numPr>
          <w:ilvl w:val="0"/>
          <w:numId w:val="3"/>
        </w:numPr>
        <w:tabs>
          <w:tab w:val="left" w:pos="1360"/>
        </w:tabs>
        <w:ind w:left="1360" w:hanging="704"/>
        <w:rPr>
          <w:rFonts w:ascii="Arial" w:eastAsia="Arial" w:hAnsi="Arial" w:cs="Arial"/>
          <w:sz w:val="18"/>
          <w:szCs w:val="18"/>
        </w:rPr>
      </w:pPr>
      <w:r>
        <w:rPr>
          <w:rFonts w:ascii="Arial" w:eastAsia="Arial" w:hAnsi="Arial" w:cs="Arial"/>
          <w:sz w:val="18"/>
          <w:szCs w:val="18"/>
        </w:rPr>
        <w:t>the assets, properties and businesses set forth on Schedule 1.01(b);</w:t>
      </w:r>
    </w:p>
    <w:p w14:paraId="0F1A6735" w14:textId="77777777" w:rsidR="00D1587D" w:rsidRDefault="00D1587D">
      <w:pPr>
        <w:spacing w:line="225" w:lineRule="exact"/>
        <w:rPr>
          <w:sz w:val="20"/>
          <w:szCs w:val="20"/>
        </w:rPr>
      </w:pPr>
    </w:p>
    <w:p w14:paraId="02F6186D" w14:textId="77777777" w:rsidR="00D1587D" w:rsidRDefault="00410D07">
      <w:pPr>
        <w:rPr>
          <w:sz w:val="20"/>
          <w:szCs w:val="20"/>
        </w:rPr>
      </w:pPr>
      <w:r>
        <w:rPr>
          <w:rFonts w:ascii="Arial" w:eastAsia="Arial" w:hAnsi="Arial" w:cs="Arial"/>
          <w:i/>
          <w:iCs/>
          <w:sz w:val="18"/>
          <w:szCs w:val="18"/>
        </w:rPr>
        <w:t xml:space="preserve">provided </w:t>
      </w:r>
      <w:r>
        <w:rPr>
          <w:rFonts w:ascii="Arial" w:eastAsia="Arial" w:hAnsi="Arial" w:cs="Arial"/>
          <w:sz w:val="18"/>
          <w:szCs w:val="18"/>
        </w:rPr>
        <w:t xml:space="preserve">that, </w:t>
      </w:r>
      <w:r>
        <w:rPr>
          <w:rFonts w:ascii="Arial" w:eastAsia="Arial" w:hAnsi="Arial" w:cs="Arial"/>
          <w:sz w:val="18"/>
          <w:szCs w:val="18"/>
        </w:rPr>
        <w:t>notwithstanding the foregoing, the allocation of assets relating to Taxes shall be governed by the Tax Matters Agreement.</w:t>
      </w:r>
    </w:p>
    <w:p w14:paraId="3613BB9B" w14:textId="77777777" w:rsidR="00D1587D" w:rsidRDefault="00D1587D">
      <w:pPr>
        <w:spacing w:line="225" w:lineRule="exact"/>
        <w:rPr>
          <w:sz w:val="20"/>
          <w:szCs w:val="20"/>
        </w:rPr>
      </w:pPr>
    </w:p>
    <w:p w14:paraId="2E10F105" w14:textId="77777777" w:rsidR="00D1587D" w:rsidRDefault="00410D07">
      <w:pPr>
        <w:ind w:left="660"/>
        <w:rPr>
          <w:sz w:val="20"/>
          <w:szCs w:val="20"/>
        </w:rPr>
      </w:pPr>
      <w:r>
        <w:rPr>
          <w:rFonts w:ascii="Arial" w:eastAsia="Arial" w:hAnsi="Arial" w:cs="Arial"/>
          <w:sz w:val="16"/>
          <w:szCs w:val="16"/>
        </w:rPr>
        <w:t>If any asset, property or business is identified as both an L Brands Asset and a VS Asset, it will be treated as an L Brands Asset an</w:t>
      </w:r>
      <w:r>
        <w:rPr>
          <w:rFonts w:ascii="Arial" w:eastAsia="Arial" w:hAnsi="Arial" w:cs="Arial"/>
          <w:sz w:val="16"/>
          <w:szCs w:val="16"/>
        </w:rPr>
        <w:t>d not a VS</w:t>
      </w:r>
    </w:p>
    <w:p w14:paraId="5AFB10C6" w14:textId="77777777" w:rsidR="00D1587D" w:rsidRDefault="00D1587D">
      <w:pPr>
        <w:spacing w:line="46" w:lineRule="exact"/>
        <w:rPr>
          <w:sz w:val="20"/>
          <w:szCs w:val="20"/>
        </w:rPr>
      </w:pPr>
    </w:p>
    <w:p w14:paraId="6CBF7277" w14:textId="77777777" w:rsidR="00D1587D" w:rsidRDefault="00410D07">
      <w:pPr>
        <w:rPr>
          <w:sz w:val="20"/>
          <w:szCs w:val="20"/>
        </w:rPr>
      </w:pPr>
      <w:r>
        <w:rPr>
          <w:rFonts w:ascii="Arial" w:eastAsia="Arial" w:hAnsi="Arial" w:cs="Arial"/>
          <w:sz w:val="18"/>
          <w:szCs w:val="18"/>
        </w:rPr>
        <w:t>Asset.</w:t>
      </w:r>
    </w:p>
    <w:p w14:paraId="079726B6" w14:textId="77777777" w:rsidR="00D1587D" w:rsidRDefault="00D1587D">
      <w:pPr>
        <w:spacing w:line="207" w:lineRule="exact"/>
        <w:rPr>
          <w:sz w:val="20"/>
          <w:szCs w:val="20"/>
        </w:rPr>
      </w:pPr>
    </w:p>
    <w:p w14:paraId="4CB4C1C0" w14:textId="77777777" w:rsidR="00D1587D" w:rsidRDefault="00410D07">
      <w:pPr>
        <w:spacing w:line="312" w:lineRule="auto"/>
        <w:ind w:right="240" w:firstLine="648"/>
        <w:rPr>
          <w:sz w:val="20"/>
          <w:szCs w:val="20"/>
        </w:rPr>
      </w:pPr>
      <w:r>
        <w:rPr>
          <w:rFonts w:ascii="Arial" w:eastAsia="Arial" w:hAnsi="Arial" w:cs="Arial"/>
          <w:sz w:val="17"/>
          <w:szCs w:val="17"/>
        </w:rPr>
        <w:t>“</w:t>
      </w:r>
      <w:r>
        <w:rPr>
          <w:rFonts w:ascii="Arial" w:eastAsia="Arial" w:hAnsi="Arial" w:cs="Arial"/>
          <w:b/>
          <w:bCs/>
          <w:sz w:val="17"/>
          <w:szCs w:val="17"/>
        </w:rPr>
        <w:t>L Brands Business</w:t>
      </w:r>
      <w:r>
        <w:rPr>
          <w:rFonts w:ascii="Arial" w:eastAsia="Arial" w:hAnsi="Arial" w:cs="Arial"/>
          <w:sz w:val="17"/>
          <w:szCs w:val="17"/>
        </w:rPr>
        <w:t xml:space="preserve">” means all of the businesses conducted by L Brands and its Subsidiaries from time to time, whether before, on or after the Distribution, other than the VS Business. For the avoidance of doubt, the VS Assets will </w:t>
      </w:r>
      <w:r>
        <w:rPr>
          <w:rFonts w:ascii="Arial" w:eastAsia="Arial" w:hAnsi="Arial" w:cs="Arial"/>
          <w:sz w:val="17"/>
          <w:szCs w:val="17"/>
        </w:rPr>
        <w:t>not be considered part of the L Brands Business.</w:t>
      </w:r>
    </w:p>
    <w:p w14:paraId="4D79ADFA" w14:textId="77777777" w:rsidR="00D1587D" w:rsidRDefault="00D1587D">
      <w:pPr>
        <w:spacing w:line="140" w:lineRule="exact"/>
        <w:rPr>
          <w:sz w:val="20"/>
          <w:szCs w:val="20"/>
        </w:rPr>
      </w:pPr>
    </w:p>
    <w:p w14:paraId="501437BF" w14:textId="77777777" w:rsidR="00D1587D" w:rsidRDefault="00410D07">
      <w:pPr>
        <w:spacing w:line="282" w:lineRule="auto"/>
        <w:ind w:right="60" w:firstLine="648"/>
        <w:rPr>
          <w:sz w:val="20"/>
          <w:szCs w:val="20"/>
        </w:rPr>
      </w:pPr>
      <w:r>
        <w:rPr>
          <w:rFonts w:ascii="Arial" w:eastAsia="Arial" w:hAnsi="Arial" w:cs="Arial"/>
          <w:sz w:val="18"/>
          <w:szCs w:val="18"/>
        </w:rPr>
        <w:t>“</w:t>
      </w:r>
      <w:r>
        <w:rPr>
          <w:rFonts w:ascii="Arial" w:eastAsia="Arial" w:hAnsi="Arial" w:cs="Arial"/>
          <w:b/>
          <w:bCs/>
          <w:sz w:val="18"/>
          <w:szCs w:val="18"/>
        </w:rPr>
        <w:t>L Brands Commercial Data</w:t>
      </w:r>
      <w:r>
        <w:rPr>
          <w:rFonts w:ascii="Arial" w:eastAsia="Arial" w:hAnsi="Arial" w:cs="Arial"/>
          <w:sz w:val="18"/>
          <w:szCs w:val="18"/>
        </w:rPr>
        <w:t>” means any and all Commercial Data owned, used or held for use by L Brands or any of its Subsidiaries that is not included in the VS Commercial Data.</w:t>
      </w:r>
    </w:p>
    <w:p w14:paraId="32AB71C1" w14:textId="77777777" w:rsidR="00D1587D" w:rsidRDefault="00D1587D">
      <w:pPr>
        <w:spacing w:line="162" w:lineRule="exact"/>
        <w:rPr>
          <w:sz w:val="20"/>
          <w:szCs w:val="20"/>
        </w:rPr>
      </w:pPr>
    </w:p>
    <w:p w14:paraId="7637CB02"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L Brands Group</w:t>
      </w:r>
      <w:r>
        <w:rPr>
          <w:rFonts w:ascii="Arial" w:eastAsia="Arial" w:hAnsi="Arial" w:cs="Arial"/>
          <w:sz w:val="18"/>
          <w:szCs w:val="18"/>
        </w:rPr>
        <w:t>” means L Bran</w:t>
      </w:r>
      <w:r>
        <w:rPr>
          <w:rFonts w:ascii="Arial" w:eastAsia="Arial" w:hAnsi="Arial" w:cs="Arial"/>
          <w:sz w:val="18"/>
          <w:szCs w:val="18"/>
        </w:rPr>
        <w:t>ds and its Subsidiaries (other than any member of the VS Group).</w:t>
      </w:r>
    </w:p>
    <w:p w14:paraId="5573FA05" w14:textId="77777777" w:rsidR="00D1587D" w:rsidRDefault="00D1587D">
      <w:pPr>
        <w:spacing w:line="225" w:lineRule="exact"/>
        <w:rPr>
          <w:sz w:val="20"/>
          <w:szCs w:val="20"/>
        </w:rPr>
      </w:pPr>
    </w:p>
    <w:p w14:paraId="5D4B7A0A"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L Brands Liabilities</w:t>
      </w:r>
      <w:r>
        <w:rPr>
          <w:rFonts w:ascii="Arial" w:eastAsia="Arial" w:hAnsi="Arial" w:cs="Arial"/>
          <w:sz w:val="18"/>
          <w:szCs w:val="18"/>
        </w:rPr>
        <w:t>” means (without duplication) all of the following (as determined by L Brands in its reasonable discretion):</w:t>
      </w:r>
    </w:p>
    <w:p w14:paraId="3395C4E0" w14:textId="77777777" w:rsidR="00D1587D" w:rsidRDefault="00D1587D">
      <w:pPr>
        <w:spacing w:line="229" w:lineRule="exact"/>
        <w:rPr>
          <w:sz w:val="20"/>
          <w:szCs w:val="20"/>
        </w:rPr>
      </w:pPr>
    </w:p>
    <w:p w14:paraId="13AE86CA" w14:textId="77777777" w:rsidR="00D1587D" w:rsidRDefault="00410D07">
      <w:pPr>
        <w:numPr>
          <w:ilvl w:val="0"/>
          <w:numId w:val="4"/>
        </w:numPr>
        <w:tabs>
          <w:tab w:val="left" w:pos="1359"/>
        </w:tabs>
        <w:spacing w:line="512" w:lineRule="auto"/>
        <w:ind w:left="5560" w:right="80" w:hanging="4904"/>
        <w:rPr>
          <w:rFonts w:ascii="Arial" w:eastAsia="Arial" w:hAnsi="Arial" w:cs="Arial"/>
          <w:sz w:val="18"/>
          <w:szCs w:val="18"/>
        </w:rPr>
      </w:pPr>
      <w:r>
        <w:rPr>
          <w:rFonts w:ascii="Arial" w:eastAsia="Arial" w:hAnsi="Arial" w:cs="Arial"/>
          <w:sz w:val="18"/>
          <w:szCs w:val="18"/>
        </w:rPr>
        <w:t xml:space="preserve">all Liabilities of L Brands and its </w:t>
      </w:r>
      <w:r>
        <w:rPr>
          <w:rFonts w:ascii="Arial" w:eastAsia="Arial" w:hAnsi="Arial" w:cs="Arial"/>
          <w:sz w:val="18"/>
          <w:szCs w:val="18"/>
        </w:rPr>
        <w:t>Subsidiaries that are not VS Liabilities and all such other Liabilities set forth on Schedule 1.01(c); and 8</w:t>
      </w:r>
    </w:p>
    <w:p w14:paraId="2975BCD0" w14:textId="77777777" w:rsidR="00D1587D" w:rsidRDefault="00410D07">
      <w:pPr>
        <w:spacing w:line="20" w:lineRule="exact"/>
        <w:rPr>
          <w:sz w:val="20"/>
          <w:szCs w:val="20"/>
        </w:rPr>
      </w:pPr>
      <w:r>
        <w:rPr>
          <w:noProof/>
          <w:sz w:val="20"/>
          <w:szCs w:val="20"/>
        </w:rPr>
        <w:drawing>
          <wp:anchor distT="0" distB="0" distL="114300" distR="114300" simplePos="0" relativeHeight="251160576" behindDoc="1" locked="0" layoutInCell="0" allowOverlap="1" wp14:anchorId="0B8E1499" wp14:editId="64B8FB62">
            <wp:simplePos x="0" y="0"/>
            <wp:positionH relativeFrom="column">
              <wp:posOffset>5080</wp:posOffset>
            </wp:positionH>
            <wp:positionV relativeFrom="paragraph">
              <wp:posOffset>-113665</wp:posOffset>
            </wp:positionV>
            <wp:extent cx="7132320" cy="1714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4D951B4" w14:textId="77777777" w:rsidR="00D1587D" w:rsidRDefault="00D1587D">
      <w:pPr>
        <w:sectPr w:rsidR="00D1587D">
          <w:pgSz w:w="11900" w:h="16838"/>
          <w:pgMar w:top="341" w:right="359" w:bottom="1440" w:left="320" w:header="0" w:footer="0" w:gutter="0"/>
          <w:cols w:space="720" w:equalWidth="0">
            <w:col w:w="11220"/>
          </w:cols>
        </w:sectPr>
      </w:pPr>
    </w:p>
    <w:p w14:paraId="40202D93" w14:textId="77777777" w:rsidR="00D1587D" w:rsidRDefault="00410D07">
      <w:pPr>
        <w:numPr>
          <w:ilvl w:val="0"/>
          <w:numId w:val="5"/>
        </w:numPr>
        <w:tabs>
          <w:tab w:val="left" w:pos="1353"/>
        </w:tabs>
        <w:spacing w:line="263" w:lineRule="auto"/>
        <w:ind w:right="120" w:firstLine="656"/>
        <w:rPr>
          <w:rFonts w:ascii="Arial" w:eastAsia="Arial" w:hAnsi="Arial" w:cs="Arial"/>
          <w:sz w:val="18"/>
          <w:szCs w:val="18"/>
        </w:rPr>
      </w:pPr>
      <w:bookmarkStart w:id="17" w:name="page18"/>
      <w:bookmarkEnd w:id="17"/>
      <w:r>
        <w:rPr>
          <w:rFonts w:ascii="Arial" w:eastAsia="Arial" w:hAnsi="Arial" w:cs="Arial"/>
          <w:sz w:val="18"/>
          <w:szCs w:val="18"/>
        </w:rPr>
        <w:t>all Liabilities that are expressly contemplated by this Agreement or any other Ancillary Agreement as Liabilities to be retai</w:t>
      </w:r>
      <w:r>
        <w:rPr>
          <w:rFonts w:ascii="Arial" w:eastAsia="Arial" w:hAnsi="Arial" w:cs="Arial"/>
          <w:sz w:val="18"/>
          <w:szCs w:val="18"/>
        </w:rPr>
        <w:t>ned or assumed by L Brands or any other member of the L Brands Group, and all agreements, obligations and other Liabilities of L Brands or any member of the L Brands Group under this Agreement or any of the other Ancillary Agreements;</w:t>
      </w:r>
    </w:p>
    <w:p w14:paraId="2D81294F" w14:textId="77777777" w:rsidR="00D1587D" w:rsidRDefault="00D1587D">
      <w:pPr>
        <w:spacing w:line="184" w:lineRule="exact"/>
        <w:rPr>
          <w:sz w:val="20"/>
          <w:szCs w:val="20"/>
        </w:rPr>
      </w:pPr>
    </w:p>
    <w:p w14:paraId="4F1A8B6C" w14:textId="77777777" w:rsidR="00D1587D" w:rsidRDefault="00410D07">
      <w:pPr>
        <w:spacing w:line="263" w:lineRule="auto"/>
        <w:ind w:right="120"/>
        <w:rPr>
          <w:sz w:val="20"/>
          <w:szCs w:val="20"/>
        </w:rPr>
      </w:pPr>
      <w:r>
        <w:rPr>
          <w:rFonts w:ascii="Arial" w:eastAsia="Arial" w:hAnsi="Arial" w:cs="Arial"/>
          <w:i/>
          <w:iCs/>
          <w:sz w:val="18"/>
          <w:szCs w:val="18"/>
        </w:rPr>
        <w:t xml:space="preserve">provided </w:t>
      </w:r>
      <w:r>
        <w:rPr>
          <w:rFonts w:ascii="Arial" w:eastAsia="Arial" w:hAnsi="Arial" w:cs="Arial"/>
          <w:sz w:val="18"/>
          <w:szCs w:val="18"/>
        </w:rPr>
        <w:t>that, notwi</w:t>
      </w:r>
      <w:r>
        <w:rPr>
          <w:rFonts w:ascii="Arial" w:eastAsia="Arial" w:hAnsi="Arial" w:cs="Arial"/>
          <w:sz w:val="18"/>
          <w:szCs w:val="18"/>
        </w:rPr>
        <w:t>thstanding the foregoing, (i) the allocation of Liabilities relating to Taxes shall be governed by the Tax Matters Agreement and (ii) the</w:t>
      </w:r>
      <w:r>
        <w:rPr>
          <w:rFonts w:ascii="Arial" w:eastAsia="Arial" w:hAnsi="Arial" w:cs="Arial"/>
          <w:i/>
          <w:iCs/>
          <w:sz w:val="18"/>
          <w:szCs w:val="18"/>
        </w:rPr>
        <w:t xml:space="preserve"> </w:t>
      </w:r>
      <w:r>
        <w:rPr>
          <w:rFonts w:ascii="Arial" w:eastAsia="Arial" w:hAnsi="Arial" w:cs="Arial"/>
          <w:sz w:val="18"/>
          <w:szCs w:val="18"/>
        </w:rPr>
        <w:t>allocation of Liabilities relating to the employment, employee benefits and employee compensation matters expressly co</w:t>
      </w:r>
      <w:r>
        <w:rPr>
          <w:rFonts w:ascii="Arial" w:eastAsia="Arial" w:hAnsi="Arial" w:cs="Arial"/>
          <w:sz w:val="18"/>
          <w:szCs w:val="18"/>
        </w:rPr>
        <w:t>vered by the Employee Matters Agreement shall be governed by the Employee Matters Agreement.</w:t>
      </w:r>
    </w:p>
    <w:p w14:paraId="48639243" w14:textId="77777777" w:rsidR="00D1587D" w:rsidRDefault="00D1587D">
      <w:pPr>
        <w:spacing w:line="180" w:lineRule="exact"/>
        <w:rPr>
          <w:sz w:val="20"/>
          <w:szCs w:val="20"/>
        </w:rPr>
      </w:pPr>
    </w:p>
    <w:p w14:paraId="2EEF00FD" w14:textId="77777777" w:rsidR="00D1587D" w:rsidRDefault="00410D07">
      <w:pPr>
        <w:spacing w:line="266" w:lineRule="auto"/>
        <w:ind w:right="80" w:firstLine="648"/>
        <w:rPr>
          <w:sz w:val="20"/>
          <w:szCs w:val="20"/>
        </w:rPr>
      </w:pPr>
      <w:r>
        <w:rPr>
          <w:rFonts w:ascii="Arial" w:eastAsia="Arial" w:hAnsi="Arial" w:cs="Arial"/>
          <w:sz w:val="18"/>
          <w:szCs w:val="18"/>
        </w:rPr>
        <w:t>“</w:t>
      </w:r>
      <w:r>
        <w:rPr>
          <w:rFonts w:ascii="Arial" w:eastAsia="Arial" w:hAnsi="Arial" w:cs="Arial"/>
          <w:b/>
          <w:bCs/>
          <w:sz w:val="18"/>
          <w:szCs w:val="18"/>
        </w:rPr>
        <w:t>L Brands Names and Marks</w:t>
      </w:r>
      <w:r>
        <w:rPr>
          <w:rFonts w:ascii="Arial" w:eastAsia="Arial" w:hAnsi="Arial" w:cs="Arial"/>
          <w:sz w:val="18"/>
          <w:szCs w:val="18"/>
        </w:rPr>
        <w:t>” means any and all Trademarks and other source or business identifiers incorporating any Trademark owned by L Brands and its Subsidiarie</w:t>
      </w:r>
      <w:r>
        <w:rPr>
          <w:rFonts w:ascii="Arial" w:eastAsia="Arial" w:hAnsi="Arial" w:cs="Arial"/>
          <w:sz w:val="18"/>
          <w:szCs w:val="18"/>
        </w:rPr>
        <w:t>s that are not included in the VS Trademarks, along with any variations or derivatives thereof and any name, marks, logos or other identifiers similar to any of the foregoing.</w:t>
      </w:r>
    </w:p>
    <w:p w14:paraId="2205ABED" w14:textId="77777777" w:rsidR="00D1587D" w:rsidRDefault="00D1587D">
      <w:pPr>
        <w:spacing w:line="176" w:lineRule="exact"/>
        <w:rPr>
          <w:sz w:val="20"/>
          <w:szCs w:val="20"/>
        </w:rPr>
      </w:pPr>
    </w:p>
    <w:p w14:paraId="4EA1578C" w14:textId="77777777" w:rsidR="00D1587D" w:rsidRDefault="00410D07">
      <w:pPr>
        <w:spacing w:line="314" w:lineRule="auto"/>
        <w:ind w:right="500" w:firstLine="648"/>
        <w:jc w:val="both"/>
        <w:rPr>
          <w:sz w:val="20"/>
          <w:szCs w:val="20"/>
        </w:rPr>
      </w:pPr>
      <w:r>
        <w:rPr>
          <w:rFonts w:ascii="Arial" w:eastAsia="Arial" w:hAnsi="Arial" w:cs="Arial"/>
          <w:sz w:val="16"/>
          <w:szCs w:val="16"/>
        </w:rPr>
        <w:t>“</w:t>
      </w:r>
      <w:r>
        <w:rPr>
          <w:rFonts w:ascii="Arial" w:eastAsia="Arial" w:hAnsi="Arial" w:cs="Arial"/>
          <w:b/>
          <w:bCs/>
          <w:sz w:val="16"/>
          <w:szCs w:val="16"/>
        </w:rPr>
        <w:t>L Brands Records</w:t>
      </w:r>
      <w:r>
        <w:rPr>
          <w:rFonts w:ascii="Arial" w:eastAsia="Arial" w:hAnsi="Arial" w:cs="Arial"/>
          <w:sz w:val="16"/>
          <w:szCs w:val="16"/>
        </w:rPr>
        <w:t xml:space="preserve">” means all books, records, files and papers, whether in </w:t>
      </w:r>
      <w:r>
        <w:rPr>
          <w:rFonts w:ascii="Arial" w:eastAsia="Arial" w:hAnsi="Arial" w:cs="Arial"/>
          <w:sz w:val="16"/>
          <w:szCs w:val="16"/>
        </w:rPr>
        <w:t>hard copy or computer format, prepared in connection with this Agreement or the transactions contemplated hereby, all books, records, files and papers of the VS Business to the extent required to be retained by L Brands or any of its Subsidiaries under App</w:t>
      </w:r>
      <w:r>
        <w:rPr>
          <w:rFonts w:ascii="Arial" w:eastAsia="Arial" w:hAnsi="Arial" w:cs="Arial"/>
          <w:sz w:val="16"/>
          <w:szCs w:val="16"/>
        </w:rPr>
        <w:t>licable Law, and all minute books and corporate records of L Brands and its Subsidiaries.</w:t>
      </w:r>
    </w:p>
    <w:p w14:paraId="1EA87565" w14:textId="77777777" w:rsidR="00D1587D" w:rsidRDefault="00D1587D">
      <w:pPr>
        <w:spacing w:line="142" w:lineRule="exact"/>
        <w:rPr>
          <w:sz w:val="20"/>
          <w:szCs w:val="20"/>
        </w:rPr>
      </w:pPr>
    </w:p>
    <w:p w14:paraId="3FAC6DDF" w14:textId="77777777" w:rsidR="00D1587D" w:rsidRDefault="00410D07">
      <w:pPr>
        <w:spacing w:line="312" w:lineRule="auto"/>
        <w:ind w:firstLine="648"/>
        <w:rPr>
          <w:sz w:val="20"/>
          <w:szCs w:val="20"/>
        </w:rPr>
      </w:pPr>
      <w:r>
        <w:rPr>
          <w:rFonts w:ascii="Arial" w:eastAsia="Arial" w:hAnsi="Arial" w:cs="Arial"/>
          <w:sz w:val="17"/>
          <w:szCs w:val="17"/>
        </w:rPr>
        <w:t>“</w:t>
      </w:r>
      <w:r>
        <w:rPr>
          <w:rFonts w:ascii="Arial" w:eastAsia="Arial" w:hAnsi="Arial" w:cs="Arial"/>
          <w:b/>
          <w:bCs/>
          <w:sz w:val="17"/>
          <w:szCs w:val="17"/>
        </w:rPr>
        <w:t>L Brands to VS Transition Services Agreement</w:t>
      </w:r>
      <w:r>
        <w:rPr>
          <w:rFonts w:ascii="Arial" w:eastAsia="Arial" w:hAnsi="Arial" w:cs="Arial"/>
          <w:sz w:val="17"/>
          <w:szCs w:val="17"/>
        </w:rPr>
        <w:t>” means the L Brands to VS Transition Services Agreement dated as of the date hereof between L Brands and VS substantial</w:t>
      </w:r>
      <w:r>
        <w:rPr>
          <w:rFonts w:ascii="Arial" w:eastAsia="Arial" w:hAnsi="Arial" w:cs="Arial"/>
          <w:sz w:val="17"/>
          <w:szCs w:val="17"/>
        </w:rPr>
        <w:t xml:space="preserve">ly in the form of </w:t>
      </w:r>
      <w:r>
        <w:rPr>
          <w:rFonts w:ascii="Arial" w:eastAsia="Arial" w:hAnsi="Arial" w:cs="Arial"/>
          <w:sz w:val="17"/>
          <w:szCs w:val="17"/>
          <w:u w:val="single"/>
        </w:rPr>
        <w:t>Exhibit F</w:t>
      </w:r>
      <w:r>
        <w:rPr>
          <w:rFonts w:ascii="Arial" w:eastAsia="Arial" w:hAnsi="Arial" w:cs="Arial"/>
          <w:sz w:val="17"/>
          <w:szCs w:val="17"/>
        </w:rPr>
        <w:t>, as such agreement may be amended from time to time in accordance with its terms.</w:t>
      </w:r>
    </w:p>
    <w:p w14:paraId="54FFD71B" w14:textId="77777777" w:rsidR="00D1587D" w:rsidRDefault="00D1587D">
      <w:pPr>
        <w:spacing w:line="140" w:lineRule="exact"/>
        <w:rPr>
          <w:sz w:val="20"/>
          <w:szCs w:val="20"/>
        </w:rPr>
      </w:pPr>
    </w:p>
    <w:p w14:paraId="75EC1181" w14:textId="77777777" w:rsidR="00D1587D" w:rsidRDefault="00410D07">
      <w:pPr>
        <w:spacing w:line="274" w:lineRule="auto"/>
        <w:ind w:firstLine="648"/>
        <w:rPr>
          <w:sz w:val="20"/>
          <w:szCs w:val="20"/>
        </w:rPr>
      </w:pPr>
      <w:r>
        <w:rPr>
          <w:rFonts w:ascii="Arial" w:eastAsia="Arial" w:hAnsi="Arial" w:cs="Arial"/>
          <w:sz w:val="17"/>
          <w:szCs w:val="17"/>
        </w:rPr>
        <w:t>“</w:t>
      </w:r>
      <w:r>
        <w:rPr>
          <w:rFonts w:ascii="Arial" w:eastAsia="Arial" w:hAnsi="Arial" w:cs="Arial"/>
          <w:b/>
          <w:bCs/>
          <w:sz w:val="17"/>
          <w:szCs w:val="17"/>
        </w:rPr>
        <w:t>Liabilities</w:t>
      </w:r>
      <w:r>
        <w:rPr>
          <w:rFonts w:ascii="Arial" w:eastAsia="Arial" w:hAnsi="Arial" w:cs="Arial"/>
          <w:sz w:val="17"/>
          <w:szCs w:val="17"/>
        </w:rPr>
        <w:t>” means any and all claims, debts, liabilities, damages and obligations (including any Escheat Payment) of any kind, character or des</w:t>
      </w:r>
      <w:r>
        <w:rPr>
          <w:rFonts w:ascii="Arial" w:eastAsia="Arial" w:hAnsi="Arial" w:cs="Arial"/>
          <w:sz w:val="17"/>
          <w:szCs w:val="17"/>
        </w:rPr>
        <w:t>cription, whether absolute or contingent, matured or not matured, liquidated or unliquidated, accrued or unaccrued, known or unknown, whenever arising, including all costs and expenses (including attorneys’ fees and expenses and associated investigation co</w:t>
      </w:r>
      <w:r>
        <w:rPr>
          <w:rFonts w:ascii="Arial" w:eastAsia="Arial" w:hAnsi="Arial" w:cs="Arial"/>
          <w:sz w:val="17"/>
          <w:szCs w:val="17"/>
        </w:rPr>
        <w:t xml:space="preserve">sts) relating thereto, and including those claims, debts, liabilities, damages and obligations arising under this Agreement, any Applicable Law, any Action or threatened Action, any order or consent decree of any Governmental Authority or any award of any </w:t>
      </w:r>
      <w:r>
        <w:rPr>
          <w:rFonts w:ascii="Arial" w:eastAsia="Arial" w:hAnsi="Arial" w:cs="Arial"/>
          <w:sz w:val="17"/>
          <w:szCs w:val="17"/>
        </w:rPr>
        <w:t>arbitrator of any kind, and those arising under any agreement, commitment or undertaking, including in connection with the enforcement of rights hereunder or thereunder.</w:t>
      </w:r>
    </w:p>
    <w:p w14:paraId="7C6874E0" w14:textId="77777777" w:rsidR="00D1587D" w:rsidRDefault="00D1587D">
      <w:pPr>
        <w:spacing w:line="173" w:lineRule="exact"/>
        <w:rPr>
          <w:sz w:val="20"/>
          <w:szCs w:val="20"/>
        </w:rPr>
      </w:pPr>
    </w:p>
    <w:p w14:paraId="4E58AEAF"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NYSE</w:t>
      </w:r>
      <w:r>
        <w:rPr>
          <w:rFonts w:ascii="Arial" w:eastAsia="Arial" w:hAnsi="Arial" w:cs="Arial"/>
          <w:sz w:val="18"/>
          <w:szCs w:val="18"/>
        </w:rPr>
        <w:t>” means the New York Stock Exchange.</w:t>
      </w:r>
    </w:p>
    <w:p w14:paraId="3B324C69" w14:textId="77777777" w:rsidR="00D1587D" w:rsidRDefault="00D1587D">
      <w:pPr>
        <w:spacing w:line="216" w:lineRule="exact"/>
        <w:rPr>
          <w:sz w:val="20"/>
          <w:szCs w:val="20"/>
        </w:rPr>
      </w:pPr>
    </w:p>
    <w:p w14:paraId="13AA3402" w14:textId="77777777" w:rsidR="00D1587D" w:rsidRDefault="00410D07">
      <w:pPr>
        <w:ind w:right="40"/>
        <w:jc w:val="center"/>
        <w:rPr>
          <w:sz w:val="20"/>
          <w:szCs w:val="20"/>
        </w:rPr>
      </w:pPr>
      <w:r>
        <w:rPr>
          <w:rFonts w:ascii="Arial" w:eastAsia="Arial" w:hAnsi="Arial" w:cs="Arial"/>
          <w:sz w:val="18"/>
          <w:szCs w:val="18"/>
        </w:rPr>
        <w:t>9</w:t>
      </w:r>
    </w:p>
    <w:p w14:paraId="0399FEBB" w14:textId="77777777" w:rsidR="00D1587D" w:rsidRDefault="00410D07">
      <w:pPr>
        <w:spacing w:line="20" w:lineRule="exact"/>
        <w:rPr>
          <w:sz w:val="20"/>
          <w:szCs w:val="20"/>
        </w:rPr>
      </w:pPr>
      <w:r>
        <w:rPr>
          <w:noProof/>
          <w:sz w:val="20"/>
          <w:szCs w:val="20"/>
        </w:rPr>
        <w:drawing>
          <wp:anchor distT="0" distB="0" distL="114300" distR="114300" simplePos="0" relativeHeight="251161600" behindDoc="1" locked="0" layoutInCell="0" allowOverlap="1" wp14:anchorId="2790DB95" wp14:editId="7B44BC11">
            <wp:simplePos x="0" y="0"/>
            <wp:positionH relativeFrom="column">
              <wp:posOffset>5080</wp:posOffset>
            </wp:positionH>
            <wp:positionV relativeFrom="paragraph">
              <wp:posOffset>48895</wp:posOffset>
            </wp:positionV>
            <wp:extent cx="7132320" cy="171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5CE02C8" w14:textId="77777777" w:rsidR="00D1587D" w:rsidRDefault="00D1587D">
      <w:pPr>
        <w:sectPr w:rsidR="00D1587D">
          <w:pgSz w:w="11900" w:h="16838"/>
          <w:pgMar w:top="341" w:right="359" w:bottom="1440" w:left="320" w:header="0" w:footer="0" w:gutter="0"/>
          <w:cols w:space="720" w:equalWidth="0">
            <w:col w:w="11220"/>
          </w:cols>
        </w:sectPr>
      </w:pPr>
    </w:p>
    <w:p w14:paraId="0B4D8B00" w14:textId="77777777" w:rsidR="00D1587D" w:rsidRDefault="00410D07">
      <w:pPr>
        <w:spacing w:line="282" w:lineRule="auto"/>
        <w:ind w:firstLine="648"/>
        <w:rPr>
          <w:sz w:val="20"/>
          <w:szCs w:val="20"/>
        </w:rPr>
      </w:pPr>
      <w:bookmarkStart w:id="18" w:name="page19"/>
      <w:bookmarkEnd w:id="18"/>
      <w:r>
        <w:rPr>
          <w:rFonts w:ascii="Arial" w:eastAsia="Arial" w:hAnsi="Arial" w:cs="Arial"/>
          <w:sz w:val="18"/>
          <w:szCs w:val="18"/>
        </w:rPr>
        <w:t>“</w:t>
      </w:r>
      <w:r>
        <w:rPr>
          <w:rFonts w:ascii="Arial" w:eastAsia="Arial" w:hAnsi="Arial" w:cs="Arial"/>
          <w:b/>
          <w:bCs/>
          <w:sz w:val="18"/>
          <w:szCs w:val="18"/>
        </w:rPr>
        <w:t>Permit</w:t>
      </w:r>
      <w:r>
        <w:rPr>
          <w:rFonts w:ascii="Arial" w:eastAsia="Arial" w:hAnsi="Arial" w:cs="Arial"/>
          <w:sz w:val="18"/>
          <w:szCs w:val="18"/>
        </w:rPr>
        <w:t xml:space="preserve">” </w:t>
      </w:r>
      <w:r>
        <w:rPr>
          <w:rFonts w:ascii="Arial" w:eastAsia="Arial" w:hAnsi="Arial" w:cs="Arial"/>
          <w:sz w:val="18"/>
          <w:szCs w:val="18"/>
        </w:rPr>
        <w:t>means any license, permit, approval, consent, certification, franchise, registration or authorization which has been issued by or obtained from any Governmental Authority.</w:t>
      </w:r>
    </w:p>
    <w:p w14:paraId="38DA3865" w14:textId="77777777" w:rsidR="00D1587D" w:rsidRDefault="00D1587D">
      <w:pPr>
        <w:spacing w:line="162" w:lineRule="exact"/>
        <w:rPr>
          <w:sz w:val="20"/>
          <w:szCs w:val="20"/>
        </w:rPr>
      </w:pPr>
    </w:p>
    <w:p w14:paraId="26B259C7" w14:textId="77777777" w:rsidR="00D1587D" w:rsidRDefault="00410D07">
      <w:pPr>
        <w:spacing w:line="282" w:lineRule="auto"/>
        <w:ind w:right="220" w:firstLine="648"/>
        <w:rPr>
          <w:sz w:val="20"/>
          <w:szCs w:val="20"/>
        </w:rPr>
      </w:pPr>
      <w:r>
        <w:rPr>
          <w:rFonts w:ascii="Arial" w:eastAsia="Arial" w:hAnsi="Arial" w:cs="Arial"/>
          <w:sz w:val="18"/>
          <w:szCs w:val="18"/>
        </w:rPr>
        <w:t>“</w:t>
      </w:r>
      <w:r>
        <w:rPr>
          <w:rFonts w:ascii="Arial" w:eastAsia="Arial" w:hAnsi="Arial" w:cs="Arial"/>
          <w:b/>
          <w:bCs/>
          <w:sz w:val="18"/>
          <w:szCs w:val="18"/>
        </w:rPr>
        <w:t>Person</w:t>
      </w:r>
      <w:r>
        <w:rPr>
          <w:rFonts w:ascii="Arial" w:eastAsia="Arial" w:hAnsi="Arial" w:cs="Arial"/>
          <w:sz w:val="18"/>
          <w:szCs w:val="18"/>
        </w:rPr>
        <w:t xml:space="preserve">” means an individual, corporation, partnership, limited liability company, </w:t>
      </w:r>
      <w:r>
        <w:rPr>
          <w:rFonts w:ascii="Arial" w:eastAsia="Arial" w:hAnsi="Arial" w:cs="Arial"/>
          <w:sz w:val="18"/>
          <w:szCs w:val="18"/>
        </w:rPr>
        <w:t>association, trust or other entity or organization, including a Governmental Authority.</w:t>
      </w:r>
    </w:p>
    <w:p w14:paraId="232AEE07" w14:textId="77777777" w:rsidR="00D1587D" w:rsidRDefault="00D1587D">
      <w:pPr>
        <w:spacing w:line="162" w:lineRule="exact"/>
        <w:rPr>
          <w:sz w:val="20"/>
          <w:szCs w:val="20"/>
        </w:rPr>
      </w:pPr>
    </w:p>
    <w:p w14:paraId="40FA4800" w14:textId="77777777" w:rsidR="00D1587D" w:rsidRDefault="00410D07">
      <w:pPr>
        <w:spacing w:line="282" w:lineRule="auto"/>
        <w:ind w:right="220" w:firstLine="648"/>
        <w:rPr>
          <w:sz w:val="20"/>
          <w:szCs w:val="20"/>
        </w:rPr>
      </w:pPr>
      <w:r>
        <w:rPr>
          <w:rFonts w:ascii="Arial" w:eastAsia="Arial" w:hAnsi="Arial" w:cs="Arial"/>
          <w:sz w:val="18"/>
          <w:szCs w:val="18"/>
        </w:rPr>
        <w:t>“</w:t>
      </w:r>
      <w:r>
        <w:rPr>
          <w:rFonts w:ascii="Arial" w:eastAsia="Arial" w:hAnsi="Arial" w:cs="Arial"/>
          <w:b/>
          <w:bCs/>
          <w:sz w:val="18"/>
          <w:szCs w:val="18"/>
        </w:rPr>
        <w:t>Personal Information</w:t>
      </w:r>
      <w:r>
        <w:rPr>
          <w:rFonts w:ascii="Arial" w:eastAsia="Arial" w:hAnsi="Arial" w:cs="Arial"/>
          <w:sz w:val="18"/>
          <w:szCs w:val="18"/>
        </w:rPr>
        <w:t>” means “personal information,” “personally identifiable information,” “personal data” or any term of similar intent, in each case as defined unde</w:t>
      </w:r>
      <w:r>
        <w:rPr>
          <w:rFonts w:ascii="Arial" w:eastAsia="Arial" w:hAnsi="Arial" w:cs="Arial"/>
          <w:sz w:val="18"/>
          <w:szCs w:val="18"/>
        </w:rPr>
        <w:t>r Applicable Law pertaining to data privacy.</w:t>
      </w:r>
    </w:p>
    <w:p w14:paraId="5CA91073" w14:textId="77777777" w:rsidR="00D1587D" w:rsidRDefault="00D1587D">
      <w:pPr>
        <w:spacing w:line="162" w:lineRule="exact"/>
        <w:rPr>
          <w:sz w:val="20"/>
          <w:szCs w:val="20"/>
        </w:rPr>
      </w:pPr>
    </w:p>
    <w:p w14:paraId="5CE8ED8F"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Record Date</w:t>
      </w:r>
      <w:r>
        <w:rPr>
          <w:rFonts w:ascii="Arial" w:eastAsia="Arial" w:hAnsi="Arial" w:cs="Arial"/>
          <w:sz w:val="18"/>
          <w:szCs w:val="18"/>
        </w:rPr>
        <w:t>” means the close of business on [</w:t>
      </w:r>
      <w:r>
        <w:rPr>
          <w:rFonts w:ascii="Arial" w:eastAsia="Arial" w:hAnsi="Arial" w:cs="Arial"/>
          <w:b/>
          <w:bCs/>
          <w:sz w:val="18"/>
          <w:szCs w:val="18"/>
        </w:rPr>
        <w:t>—</w:t>
      </w:r>
      <w:r>
        <w:rPr>
          <w:rFonts w:ascii="Arial" w:eastAsia="Arial" w:hAnsi="Arial" w:cs="Arial"/>
          <w:sz w:val="18"/>
          <w:szCs w:val="18"/>
        </w:rPr>
        <w:t>], 2021.</w:t>
      </w:r>
    </w:p>
    <w:p w14:paraId="6EEE625C" w14:textId="77777777" w:rsidR="00D1587D" w:rsidRDefault="00D1587D">
      <w:pPr>
        <w:spacing w:line="225" w:lineRule="exact"/>
        <w:rPr>
          <w:sz w:val="20"/>
          <w:szCs w:val="20"/>
        </w:rPr>
      </w:pPr>
    </w:p>
    <w:p w14:paraId="4A405457" w14:textId="77777777" w:rsidR="00D1587D" w:rsidRDefault="00410D07">
      <w:pPr>
        <w:spacing w:line="282" w:lineRule="auto"/>
        <w:ind w:right="500" w:firstLine="648"/>
        <w:rPr>
          <w:sz w:val="20"/>
          <w:szCs w:val="20"/>
        </w:rPr>
      </w:pPr>
      <w:r>
        <w:rPr>
          <w:rFonts w:ascii="Arial" w:eastAsia="Arial" w:hAnsi="Arial" w:cs="Arial"/>
          <w:sz w:val="18"/>
          <w:szCs w:val="18"/>
        </w:rPr>
        <w:t>“</w:t>
      </w:r>
      <w:r>
        <w:rPr>
          <w:rFonts w:ascii="Arial" w:eastAsia="Arial" w:hAnsi="Arial" w:cs="Arial"/>
          <w:b/>
          <w:bCs/>
          <w:sz w:val="18"/>
          <w:szCs w:val="18"/>
        </w:rPr>
        <w:t>Registration Rights Agreement</w:t>
      </w:r>
      <w:r>
        <w:rPr>
          <w:rFonts w:ascii="Arial" w:eastAsia="Arial" w:hAnsi="Arial" w:cs="Arial"/>
          <w:sz w:val="18"/>
          <w:szCs w:val="18"/>
        </w:rPr>
        <w:t xml:space="preserve">” means the Registration Rights Agreement dated as of the date hereof among VS, Leslie H. Wexner and Abigail S. Wexner in the form of </w:t>
      </w:r>
      <w:r>
        <w:rPr>
          <w:rFonts w:ascii="Arial" w:eastAsia="Arial" w:hAnsi="Arial" w:cs="Arial"/>
          <w:sz w:val="18"/>
          <w:szCs w:val="18"/>
          <w:u w:val="single"/>
        </w:rPr>
        <w:t>Exhibit G</w:t>
      </w:r>
      <w:r>
        <w:rPr>
          <w:rFonts w:ascii="Arial" w:eastAsia="Arial" w:hAnsi="Arial" w:cs="Arial"/>
          <w:sz w:val="18"/>
          <w:szCs w:val="18"/>
        </w:rPr>
        <w:t>.</w:t>
      </w:r>
    </w:p>
    <w:p w14:paraId="20F05D42" w14:textId="77777777" w:rsidR="00D1587D" w:rsidRDefault="00D1587D">
      <w:pPr>
        <w:spacing w:line="162" w:lineRule="exact"/>
        <w:rPr>
          <w:sz w:val="20"/>
          <w:szCs w:val="20"/>
        </w:rPr>
      </w:pPr>
    </w:p>
    <w:p w14:paraId="403663AD" w14:textId="77777777" w:rsidR="00D1587D" w:rsidRDefault="00410D07">
      <w:pPr>
        <w:spacing w:line="289" w:lineRule="auto"/>
        <w:ind w:right="140" w:firstLine="648"/>
        <w:jc w:val="both"/>
        <w:rPr>
          <w:sz w:val="20"/>
          <w:szCs w:val="20"/>
        </w:rPr>
      </w:pPr>
      <w:r>
        <w:rPr>
          <w:rFonts w:ascii="Arial" w:eastAsia="Arial" w:hAnsi="Arial" w:cs="Arial"/>
          <w:sz w:val="17"/>
          <w:szCs w:val="17"/>
        </w:rPr>
        <w:t>“</w:t>
      </w:r>
      <w:r>
        <w:rPr>
          <w:rFonts w:ascii="Arial" w:eastAsia="Arial" w:hAnsi="Arial" w:cs="Arial"/>
          <w:b/>
          <w:bCs/>
          <w:sz w:val="17"/>
          <w:szCs w:val="17"/>
        </w:rPr>
        <w:t>Release</w:t>
      </w:r>
      <w:r>
        <w:rPr>
          <w:rFonts w:ascii="Arial" w:eastAsia="Arial" w:hAnsi="Arial" w:cs="Arial"/>
          <w:sz w:val="17"/>
          <w:szCs w:val="17"/>
        </w:rPr>
        <w:t>” means any release, spill, emission, leaking, dumping, pumping, injection, pouring, deposit, disposal</w:t>
      </w:r>
      <w:r>
        <w:rPr>
          <w:rFonts w:ascii="Arial" w:eastAsia="Arial" w:hAnsi="Arial" w:cs="Arial"/>
          <w:sz w:val="17"/>
          <w:szCs w:val="17"/>
        </w:rPr>
        <w:t>, discharge, dispersal, leaching or migration into, onto, within or through the indoor or outdoor environment (including ambient air, surface water, groundwater, land surface or subsurface strata, soil and sediments) or into, through, or within any propert</w:t>
      </w:r>
      <w:r>
        <w:rPr>
          <w:rFonts w:ascii="Arial" w:eastAsia="Arial" w:hAnsi="Arial" w:cs="Arial"/>
          <w:sz w:val="17"/>
          <w:szCs w:val="17"/>
        </w:rPr>
        <w:t>y, building, structure, fixture or equipment.</w:t>
      </w:r>
    </w:p>
    <w:p w14:paraId="019AAE41" w14:textId="77777777" w:rsidR="00D1587D" w:rsidRDefault="00D1587D">
      <w:pPr>
        <w:spacing w:line="158" w:lineRule="exact"/>
        <w:rPr>
          <w:sz w:val="20"/>
          <w:szCs w:val="20"/>
        </w:rPr>
      </w:pPr>
    </w:p>
    <w:p w14:paraId="261BB541" w14:textId="77777777" w:rsidR="00D1587D" w:rsidRDefault="00410D07">
      <w:pPr>
        <w:spacing w:line="282" w:lineRule="auto"/>
        <w:ind w:right="140" w:firstLine="648"/>
        <w:jc w:val="both"/>
        <w:rPr>
          <w:sz w:val="20"/>
          <w:szCs w:val="20"/>
        </w:rPr>
      </w:pPr>
      <w:r>
        <w:rPr>
          <w:rFonts w:ascii="Arial" w:eastAsia="Arial" w:hAnsi="Arial" w:cs="Arial"/>
          <w:sz w:val="18"/>
          <w:szCs w:val="18"/>
        </w:rPr>
        <w:t>“</w:t>
      </w:r>
      <w:r>
        <w:rPr>
          <w:rFonts w:ascii="Arial" w:eastAsia="Arial" w:hAnsi="Arial" w:cs="Arial"/>
          <w:b/>
          <w:bCs/>
          <w:sz w:val="18"/>
          <w:szCs w:val="18"/>
        </w:rPr>
        <w:t>Restructuring</w:t>
      </w:r>
      <w:r>
        <w:rPr>
          <w:rFonts w:ascii="Arial" w:eastAsia="Arial" w:hAnsi="Arial" w:cs="Arial"/>
          <w:sz w:val="18"/>
          <w:szCs w:val="18"/>
        </w:rPr>
        <w:t xml:space="preserve">” means the reorganization of certain businesses, assets and liabilities of the L Brands Group and the VS Group to be completed before the Distribution Time in accordance with the </w:t>
      </w:r>
      <w:r>
        <w:rPr>
          <w:rFonts w:ascii="Arial" w:eastAsia="Arial" w:hAnsi="Arial" w:cs="Arial"/>
          <w:sz w:val="18"/>
          <w:szCs w:val="18"/>
        </w:rPr>
        <w:t>Restructuring Plan.</w:t>
      </w:r>
    </w:p>
    <w:p w14:paraId="10053697" w14:textId="77777777" w:rsidR="00D1587D" w:rsidRDefault="00D1587D">
      <w:pPr>
        <w:spacing w:line="162" w:lineRule="exact"/>
        <w:rPr>
          <w:sz w:val="20"/>
          <w:szCs w:val="20"/>
        </w:rPr>
      </w:pPr>
    </w:p>
    <w:p w14:paraId="330BF1C5"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Restructuring Plan</w:t>
      </w:r>
      <w:r>
        <w:rPr>
          <w:rFonts w:ascii="Arial" w:eastAsia="Arial" w:hAnsi="Arial" w:cs="Arial"/>
          <w:sz w:val="18"/>
          <w:szCs w:val="18"/>
        </w:rPr>
        <w:t xml:space="preserve">” means that certain L Brands, Inc. Project 2021 (Spin) Step Plan, attached hereto as </w:t>
      </w:r>
      <w:r>
        <w:rPr>
          <w:rFonts w:ascii="Arial" w:eastAsia="Arial" w:hAnsi="Arial" w:cs="Arial"/>
          <w:sz w:val="18"/>
          <w:szCs w:val="18"/>
          <w:u w:val="single"/>
        </w:rPr>
        <w:t>Annex A</w:t>
      </w:r>
      <w:r>
        <w:rPr>
          <w:rFonts w:ascii="Arial" w:eastAsia="Arial" w:hAnsi="Arial" w:cs="Arial"/>
          <w:sz w:val="18"/>
          <w:szCs w:val="18"/>
        </w:rPr>
        <w:t>.</w:t>
      </w:r>
    </w:p>
    <w:p w14:paraId="6C46E985" w14:textId="77777777" w:rsidR="00D1587D" w:rsidRDefault="00D1587D">
      <w:pPr>
        <w:spacing w:line="225" w:lineRule="exact"/>
        <w:rPr>
          <w:sz w:val="20"/>
          <w:szCs w:val="20"/>
        </w:rPr>
      </w:pPr>
    </w:p>
    <w:p w14:paraId="7779786E"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Securities Act</w:t>
      </w:r>
      <w:r>
        <w:rPr>
          <w:rFonts w:ascii="Arial" w:eastAsia="Arial" w:hAnsi="Arial" w:cs="Arial"/>
          <w:sz w:val="18"/>
          <w:szCs w:val="18"/>
        </w:rPr>
        <w:t>” means the Securities Act of 1933.</w:t>
      </w:r>
    </w:p>
    <w:p w14:paraId="0A0E05C8" w14:textId="77777777" w:rsidR="00D1587D" w:rsidRDefault="00D1587D">
      <w:pPr>
        <w:spacing w:line="225" w:lineRule="exact"/>
        <w:rPr>
          <w:sz w:val="20"/>
          <w:szCs w:val="20"/>
        </w:rPr>
      </w:pPr>
    </w:p>
    <w:p w14:paraId="570079D6"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Special Cash Payment</w:t>
      </w:r>
      <w:r>
        <w:rPr>
          <w:rFonts w:ascii="Arial" w:eastAsia="Arial" w:hAnsi="Arial" w:cs="Arial"/>
          <w:sz w:val="18"/>
          <w:szCs w:val="18"/>
        </w:rPr>
        <w:t xml:space="preserve">” means a cash payment from VS in an amount of </w:t>
      </w:r>
      <w:r>
        <w:rPr>
          <w:rFonts w:ascii="Arial" w:eastAsia="Arial" w:hAnsi="Arial" w:cs="Arial"/>
          <w:sz w:val="18"/>
          <w:szCs w:val="18"/>
        </w:rPr>
        <w:t>$[</w:t>
      </w:r>
      <w:r>
        <w:rPr>
          <w:rFonts w:ascii="Arial" w:eastAsia="Arial" w:hAnsi="Arial" w:cs="Arial"/>
          <w:b/>
          <w:bCs/>
          <w:sz w:val="18"/>
          <w:szCs w:val="18"/>
        </w:rPr>
        <w:t>—</w:t>
      </w:r>
      <w:r>
        <w:rPr>
          <w:rFonts w:ascii="Arial" w:eastAsia="Arial" w:hAnsi="Arial" w:cs="Arial"/>
          <w:sz w:val="18"/>
          <w:szCs w:val="18"/>
        </w:rPr>
        <w:t>], payable to L Brands prior to the Distribution.</w:t>
      </w:r>
    </w:p>
    <w:p w14:paraId="484ED8B7" w14:textId="77777777" w:rsidR="00D1587D" w:rsidRDefault="00D1587D">
      <w:pPr>
        <w:spacing w:line="225" w:lineRule="exact"/>
        <w:rPr>
          <w:sz w:val="20"/>
          <w:szCs w:val="20"/>
        </w:rPr>
      </w:pPr>
    </w:p>
    <w:p w14:paraId="13DCB362"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Specified L Brands IT Assets</w:t>
      </w:r>
      <w:r>
        <w:rPr>
          <w:rFonts w:ascii="Arial" w:eastAsia="Arial" w:hAnsi="Arial" w:cs="Arial"/>
          <w:sz w:val="18"/>
          <w:szCs w:val="18"/>
        </w:rPr>
        <w:t>” means the IT Assets set forth on Schedule 1.01(d).</w:t>
      </w:r>
    </w:p>
    <w:p w14:paraId="14DA7458" w14:textId="77777777" w:rsidR="00D1587D" w:rsidRDefault="00D1587D">
      <w:pPr>
        <w:spacing w:line="225" w:lineRule="exact"/>
        <w:rPr>
          <w:sz w:val="20"/>
          <w:szCs w:val="20"/>
        </w:rPr>
      </w:pPr>
    </w:p>
    <w:p w14:paraId="1BAE2139"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Specified VS IT Assets</w:t>
      </w:r>
      <w:r>
        <w:rPr>
          <w:rFonts w:ascii="Arial" w:eastAsia="Arial" w:hAnsi="Arial" w:cs="Arial"/>
          <w:sz w:val="18"/>
          <w:szCs w:val="18"/>
        </w:rPr>
        <w:t>” means the IT Assets set forth on Schedule 1.01(e).</w:t>
      </w:r>
    </w:p>
    <w:p w14:paraId="023D459A" w14:textId="77777777" w:rsidR="00D1587D" w:rsidRDefault="00D1587D">
      <w:pPr>
        <w:spacing w:line="225" w:lineRule="exact"/>
        <w:rPr>
          <w:sz w:val="20"/>
          <w:szCs w:val="20"/>
        </w:rPr>
      </w:pPr>
    </w:p>
    <w:p w14:paraId="03A3D9C6" w14:textId="77777777" w:rsidR="00D1587D" w:rsidRDefault="00410D07">
      <w:pPr>
        <w:spacing w:line="266" w:lineRule="auto"/>
        <w:ind w:firstLine="648"/>
        <w:rPr>
          <w:sz w:val="20"/>
          <w:szCs w:val="20"/>
        </w:rPr>
      </w:pPr>
      <w:r>
        <w:rPr>
          <w:rFonts w:ascii="Arial" w:eastAsia="Arial" w:hAnsi="Arial" w:cs="Arial"/>
          <w:sz w:val="18"/>
          <w:szCs w:val="18"/>
        </w:rPr>
        <w:t>“</w:t>
      </w:r>
      <w:r>
        <w:rPr>
          <w:rFonts w:ascii="Arial" w:eastAsia="Arial" w:hAnsi="Arial" w:cs="Arial"/>
          <w:b/>
          <w:bCs/>
          <w:sz w:val="18"/>
          <w:szCs w:val="18"/>
        </w:rPr>
        <w:t>Subsidiary</w:t>
      </w:r>
      <w:r>
        <w:rPr>
          <w:rFonts w:ascii="Arial" w:eastAsia="Arial" w:hAnsi="Arial" w:cs="Arial"/>
          <w:sz w:val="18"/>
          <w:szCs w:val="18"/>
        </w:rPr>
        <w:t>” means, with respect to any Pe</w:t>
      </w:r>
      <w:r>
        <w:rPr>
          <w:rFonts w:ascii="Arial" w:eastAsia="Arial" w:hAnsi="Arial" w:cs="Arial"/>
          <w:sz w:val="18"/>
          <w:szCs w:val="18"/>
        </w:rPr>
        <w:t>rson, any other entity of which (i) a majority of the voting securities or (ii) securities or other ownership interests having ordinary voting power to elect a majority of the board of directors or other persons performing similar functions, are at the tim</w:t>
      </w:r>
      <w:r>
        <w:rPr>
          <w:rFonts w:ascii="Arial" w:eastAsia="Arial" w:hAnsi="Arial" w:cs="Arial"/>
          <w:sz w:val="18"/>
          <w:szCs w:val="18"/>
        </w:rPr>
        <w:t>e directly or indirectly owned by such Person.</w:t>
      </w:r>
    </w:p>
    <w:p w14:paraId="3FE63695" w14:textId="77777777" w:rsidR="00D1587D" w:rsidRDefault="00D1587D">
      <w:pPr>
        <w:spacing w:line="166" w:lineRule="exact"/>
        <w:rPr>
          <w:sz w:val="20"/>
          <w:szCs w:val="20"/>
        </w:rPr>
      </w:pPr>
    </w:p>
    <w:p w14:paraId="7DC8BEB1" w14:textId="77777777" w:rsidR="00D1587D" w:rsidRDefault="00410D07">
      <w:pPr>
        <w:ind w:right="-39"/>
        <w:jc w:val="center"/>
        <w:rPr>
          <w:sz w:val="20"/>
          <w:szCs w:val="20"/>
        </w:rPr>
      </w:pPr>
      <w:r>
        <w:rPr>
          <w:rFonts w:ascii="Arial" w:eastAsia="Arial" w:hAnsi="Arial" w:cs="Arial"/>
          <w:sz w:val="18"/>
          <w:szCs w:val="18"/>
        </w:rPr>
        <w:t>10</w:t>
      </w:r>
    </w:p>
    <w:p w14:paraId="194895A6" w14:textId="77777777" w:rsidR="00D1587D" w:rsidRDefault="00410D07">
      <w:pPr>
        <w:spacing w:line="20" w:lineRule="exact"/>
        <w:rPr>
          <w:sz w:val="20"/>
          <w:szCs w:val="20"/>
        </w:rPr>
      </w:pPr>
      <w:r>
        <w:rPr>
          <w:noProof/>
          <w:sz w:val="20"/>
          <w:szCs w:val="20"/>
        </w:rPr>
        <w:drawing>
          <wp:anchor distT="0" distB="0" distL="114300" distR="114300" simplePos="0" relativeHeight="251162624" behindDoc="1" locked="0" layoutInCell="0" allowOverlap="1" wp14:anchorId="16EFC952" wp14:editId="080B0D0F">
            <wp:simplePos x="0" y="0"/>
            <wp:positionH relativeFrom="column">
              <wp:posOffset>5080</wp:posOffset>
            </wp:positionH>
            <wp:positionV relativeFrom="paragraph">
              <wp:posOffset>48895</wp:posOffset>
            </wp:positionV>
            <wp:extent cx="7132320" cy="1714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0A1B2D6" w14:textId="77777777" w:rsidR="00D1587D" w:rsidRDefault="00D1587D">
      <w:pPr>
        <w:sectPr w:rsidR="00D1587D">
          <w:pgSz w:w="11900" w:h="16838"/>
          <w:pgMar w:top="337" w:right="419" w:bottom="1440" w:left="320" w:header="0" w:footer="0" w:gutter="0"/>
          <w:cols w:space="720" w:equalWidth="0">
            <w:col w:w="11160"/>
          </w:cols>
        </w:sectPr>
      </w:pPr>
    </w:p>
    <w:p w14:paraId="265671B1" w14:textId="77777777" w:rsidR="00D1587D" w:rsidRDefault="00410D07">
      <w:pPr>
        <w:ind w:left="660"/>
        <w:rPr>
          <w:sz w:val="20"/>
          <w:szCs w:val="20"/>
        </w:rPr>
      </w:pPr>
      <w:bookmarkStart w:id="19" w:name="page20"/>
      <w:bookmarkEnd w:id="19"/>
      <w:r>
        <w:rPr>
          <w:rFonts w:ascii="Arial" w:eastAsia="Arial" w:hAnsi="Arial" w:cs="Arial"/>
          <w:sz w:val="18"/>
          <w:szCs w:val="18"/>
        </w:rPr>
        <w:t>“</w:t>
      </w:r>
      <w:r>
        <w:rPr>
          <w:rFonts w:ascii="Arial" w:eastAsia="Arial" w:hAnsi="Arial" w:cs="Arial"/>
          <w:b/>
          <w:bCs/>
          <w:sz w:val="18"/>
          <w:szCs w:val="18"/>
        </w:rPr>
        <w:t>Tax</w:t>
      </w:r>
      <w:r>
        <w:rPr>
          <w:rFonts w:ascii="Arial" w:eastAsia="Arial" w:hAnsi="Arial" w:cs="Arial"/>
          <w:sz w:val="18"/>
          <w:szCs w:val="18"/>
        </w:rPr>
        <w:t>” or “</w:t>
      </w:r>
      <w:r>
        <w:rPr>
          <w:rFonts w:ascii="Arial" w:eastAsia="Arial" w:hAnsi="Arial" w:cs="Arial"/>
          <w:b/>
          <w:bCs/>
          <w:sz w:val="18"/>
          <w:szCs w:val="18"/>
        </w:rPr>
        <w:t>Taxes</w:t>
      </w:r>
      <w:r>
        <w:rPr>
          <w:rFonts w:ascii="Arial" w:eastAsia="Arial" w:hAnsi="Arial" w:cs="Arial"/>
          <w:sz w:val="18"/>
          <w:szCs w:val="18"/>
        </w:rPr>
        <w:t>” has the meaning set forth in the Tax Matters Agreement.</w:t>
      </w:r>
    </w:p>
    <w:p w14:paraId="5D5464BF" w14:textId="77777777" w:rsidR="00D1587D" w:rsidRDefault="00D1587D">
      <w:pPr>
        <w:spacing w:line="225" w:lineRule="exact"/>
        <w:rPr>
          <w:sz w:val="20"/>
          <w:szCs w:val="20"/>
        </w:rPr>
      </w:pPr>
    </w:p>
    <w:p w14:paraId="09A9DE3D"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Tax Benefit</w:t>
      </w:r>
      <w:r>
        <w:rPr>
          <w:rFonts w:ascii="Arial" w:eastAsia="Arial" w:hAnsi="Arial" w:cs="Arial"/>
          <w:sz w:val="18"/>
          <w:szCs w:val="18"/>
        </w:rPr>
        <w:t>” has the meaning set forth in the Tax Matters Agreement.</w:t>
      </w:r>
    </w:p>
    <w:p w14:paraId="54BF7E62" w14:textId="77777777" w:rsidR="00D1587D" w:rsidRDefault="00D1587D">
      <w:pPr>
        <w:spacing w:line="225" w:lineRule="exact"/>
        <w:rPr>
          <w:sz w:val="20"/>
          <w:szCs w:val="20"/>
        </w:rPr>
      </w:pPr>
    </w:p>
    <w:p w14:paraId="51606698" w14:textId="77777777" w:rsidR="00D1587D" w:rsidRDefault="00410D07">
      <w:pPr>
        <w:spacing w:line="282" w:lineRule="auto"/>
        <w:ind w:right="140" w:firstLine="648"/>
        <w:rPr>
          <w:sz w:val="20"/>
          <w:szCs w:val="20"/>
        </w:rPr>
      </w:pPr>
      <w:r>
        <w:rPr>
          <w:rFonts w:ascii="Arial" w:eastAsia="Arial" w:hAnsi="Arial" w:cs="Arial"/>
          <w:sz w:val="18"/>
          <w:szCs w:val="18"/>
        </w:rPr>
        <w:t>“</w:t>
      </w:r>
      <w:r>
        <w:rPr>
          <w:rFonts w:ascii="Arial" w:eastAsia="Arial" w:hAnsi="Arial" w:cs="Arial"/>
          <w:b/>
          <w:bCs/>
          <w:sz w:val="18"/>
          <w:szCs w:val="18"/>
        </w:rPr>
        <w:t>Tax Matters Agreement</w:t>
      </w:r>
      <w:r>
        <w:rPr>
          <w:rFonts w:ascii="Arial" w:eastAsia="Arial" w:hAnsi="Arial" w:cs="Arial"/>
          <w:sz w:val="18"/>
          <w:szCs w:val="18"/>
        </w:rPr>
        <w:t xml:space="preserve">” means the Tax Matters Agreement dated as of the date hereof between L Brands and VS substantially in the form of </w:t>
      </w:r>
      <w:r>
        <w:rPr>
          <w:rFonts w:ascii="Arial" w:eastAsia="Arial" w:hAnsi="Arial" w:cs="Arial"/>
          <w:sz w:val="18"/>
          <w:szCs w:val="18"/>
          <w:u w:val="single"/>
        </w:rPr>
        <w:t>Exhibit H</w:t>
      </w:r>
      <w:r>
        <w:rPr>
          <w:rFonts w:ascii="Arial" w:eastAsia="Arial" w:hAnsi="Arial" w:cs="Arial"/>
          <w:sz w:val="18"/>
          <w:szCs w:val="18"/>
        </w:rPr>
        <w:t>, as such agreement may be amended from time to time in accordance with its terms.</w:t>
      </w:r>
    </w:p>
    <w:p w14:paraId="7A4CABC2" w14:textId="77777777" w:rsidR="00D1587D" w:rsidRDefault="00D1587D">
      <w:pPr>
        <w:spacing w:line="162" w:lineRule="exact"/>
        <w:rPr>
          <w:sz w:val="20"/>
          <w:szCs w:val="20"/>
        </w:rPr>
      </w:pPr>
    </w:p>
    <w:p w14:paraId="6A6629CF"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Tax Opinion</w:t>
      </w:r>
      <w:r>
        <w:rPr>
          <w:rFonts w:ascii="Arial" w:eastAsia="Arial" w:hAnsi="Arial" w:cs="Arial"/>
          <w:sz w:val="18"/>
          <w:szCs w:val="18"/>
        </w:rPr>
        <w:t>” has the meaning set forth in the T</w:t>
      </w:r>
      <w:r>
        <w:rPr>
          <w:rFonts w:ascii="Arial" w:eastAsia="Arial" w:hAnsi="Arial" w:cs="Arial"/>
          <w:sz w:val="18"/>
          <w:szCs w:val="18"/>
        </w:rPr>
        <w:t>ax Matters Agreement.</w:t>
      </w:r>
    </w:p>
    <w:p w14:paraId="6C5EDF9C" w14:textId="77777777" w:rsidR="00D1587D" w:rsidRDefault="00D1587D">
      <w:pPr>
        <w:spacing w:line="225" w:lineRule="exact"/>
        <w:rPr>
          <w:sz w:val="20"/>
          <w:szCs w:val="20"/>
        </w:rPr>
      </w:pPr>
    </w:p>
    <w:p w14:paraId="0EB555B7"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Third Party</w:t>
      </w:r>
      <w:r>
        <w:rPr>
          <w:rFonts w:ascii="Arial" w:eastAsia="Arial" w:hAnsi="Arial" w:cs="Arial"/>
          <w:sz w:val="18"/>
          <w:szCs w:val="18"/>
        </w:rPr>
        <w:t>” means any Person that is not a member or an Affiliate of the VS Group or the L Brands Group.</w:t>
      </w:r>
    </w:p>
    <w:p w14:paraId="5DA612A3" w14:textId="77777777" w:rsidR="00D1587D" w:rsidRDefault="00D1587D">
      <w:pPr>
        <w:spacing w:line="225" w:lineRule="exact"/>
        <w:rPr>
          <w:sz w:val="20"/>
          <w:szCs w:val="20"/>
        </w:rPr>
      </w:pPr>
    </w:p>
    <w:p w14:paraId="4725EA28" w14:textId="77777777" w:rsidR="00D1587D" w:rsidRDefault="00410D07">
      <w:pPr>
        <w:spacing w:line="314" w:lineRule="auto"/>
        <w:ind w:right="100" w:firstLine="648"/>
        <w:rPr>
          <w:sz w:val="20"/>
          <w:szCs w:val="20"/>
        </w:rPr>
      </w:pPr>
      <w:r>
        <w:rPr>
          <w:rFonts w:ascii="Arial" w:eastAsia="Arial" w:hAnsi="Arial" w:cs="Arial"/>
          <w:sz w:val="16"/>
          <w:szCs w:val="16"/>
        </w:rPr>
        <w:t>“</w:t>
      </w:r>
      <w:r>
        <w:rPr>
          <w:rFonts w:ascii="Arial" w:eastAsia="Arial" w:hAnsi="Arial" w:cs="Arial"/>
          <w:b/>
          <w:bCs/>
          <w:sz w:val="16"/>
          <w:szCs w:val="16"/>
        </w:rPr>
        <w:t>Trademark</w:t>
      </w:r>
      <w:r>
        <w:rPr>
          <w:rFonts w:ascii="Arial" w:eastAsia="Arial" w:hAnsi="Arial" w:cs="Arial"/>
          <w:sz w:val="16"/>
          <w:szCs w:val="16"/>
        </w:rPr>
        <w:t>” means trademarks, service marks, trade names, service names, domain names, social media identifiers and accounts,</w:t>
      </w:r>
      <w:r>
        <w:rPr>
          <w:rFonts w:ascii="Arial" w:eastAsia="Arial" w:hAnsi="Arial" w:cs="Arial"/>
          <w:sz w:val="16"/>
          <w:szCs w:val="16"/>
        </w:rPr>
        <w:t xml:space="preserve"> trade dress, logos, slogans and other identifiers of same, including all goodwill associated therewith, and all common law rights, and registrations and applications for registration thereof, all rights therein provided by international treaties or conven</w:t>
      </w:r>
      <w:r>
        <w:rPr>
          <w:rFonts w:ascii="Arial" w:eastAsia="Arial" w:hAnsi="Arial" w:cs="Arial"/>
          <w:sz w:val="16"/>
          <w:szCs w:val="16"/>
        </w:rPr>
        <w:t>tions, and all reissues, extensions and renewals of any of the foregoing.</w:t>
      </w:r>
    </w:p>
    <w:p w14:paraId="1494CC70" w14:textId="77777777" w:rsidR="00D1587D" w:rsidRDefault="00D1587D">
      <w:pPr>
        <w:spacing w:line="142" w:lineRule="exact"/>
        <w:rPr>
          <w:sz w:val="20"/>
          <w:szCs w:val="20"/>
        </w:rPr>
      </w:pPr>
    </w:p>
    <w:p w14:paraId="2B73983D"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Active Employee</w:t>
      </w:r>
      <w:r>
        <w:rPr>
          <w:rFonts w:ascii="Arial" w:eastAsia="Arial" w:hAnsi="Arial" w:cs="Arial"/>
          <w:sz w:val="18"/>
          <w:szCs w:val="18"/>
        </w:rPr>
        <w:t>” has the meaning set forth in the Employee Matters Agreement.</w:t>
      </w:r>
    </w:p>
    <w:p w14:paraId="0CA434CE" w14:textId="77777777" w:rsidR="00D1587D" w:rsidRDefault="00D1587D">
      <w:pPr>
        <w:spacing w:line="225" w:lineRule="exact"/>
        <w:rPr>
          <w:sz w:val="20"/>
          <w:szCs w:val="20"/>
        </w:rPr>
      </w:pPr>
    </w:p>
    <w:p w14:paraId="128A71BF" w14:textId="77777777" w:rsidR="00D1587D" w:rsidRDefault="00410D07">
      <w:pPr>
        <w:spacing w:line="282" w:lineRule="auto"/>
        <w:ind w:right="40" w:firstLine="648"/>
        <w:rPr>
          <w:sz w:val="20"/>
          <w:szCs w:val="20"/>
        </w:rPr>
      </w:pPr>
      <w:r>
        <w:rPr>
          <w:rFonts w:ascii="Arial" w:eastAsia="Arial" w:hAnsi="Arial" w:cs="Arial"/>
          <w:sz w:val="18"/>
          <w:szCs w:val="18"/>
        </w:rPr>
        <w:t>“</w:t>
      </w:r>
      <w:r>
        <w:rPr>
          <w:rFonts w:ascii="Arial" w:eastAsia="Arial" w:hAnsi="Arial" w:cs="Arial"/>
          <w:b/>
          <w:bCs/>
          <w:sz w:val="18"/>
          <w:szCs w:val="18"/>
        </w:rPr>
        <w:t>VS Assets</w:t>
      </w:r>
      <w:r>
        <w:rPr>
          <w:rFonts w:ascii="Arial" w:eastAsia="Arial" w:hAnsi="Arial" w:cs="Arial"/>
          <w:sz w:val="18"/>
          <w:szCs w:val="18"/>
        </w:rPr>
        <w:t>” means, except as expressly otherwise contemplated in this Agreement or any Ancillary A</w:t>
      </w:r>
      <w:r>
        <w:rPr>
          <w:rFonts w:ascii="Arial" w:eastAsia="Arial" w:hAnsi="Arial" w:cs="Arial"/>
          <w:sz w:val="18"/>
          <w:szCs w:val="18"/>
        </w:rPr>
        <w:t>greement, the following assets of L Brands and its Subsidiaries (as determined by L Brands in its reasonable discretion):</w:t>
      </w:r>
    </w:p>
    <w:p w14:paraId="643A549F" w14:textId="77777777" w:rsidR="00D1587D" w:rsidRDefault="00D1587D">
      <w:pPr>
        <w:spacing w:line="166" w:lineRule="exact"/>
        <w:rPr>
          <w:sz w:val="20"/>
          <w:szCs w:val="20"/>
        </w:rPr>
      </w:pPr>
    </w:p>
    <w:p w14:paraId="2CCD465B" w14:textId="77777777" w:rsidR="00D1587D" w:rsidRDefault="00410D07">
      <w:pPr>
        <w:numPr>
          <w:ilvl w:val="0"/>
          <w:numId w:val="6"/>
        </w:numPr>
        <w:tabs>
          <w:tab w:val="left" w:pos="1360"/>
        </w:tabs>
        <w:ind w:left="1360" w:hanging="704"/>
        <w:rPr>
          <w:rFonts w:ascii="Arial" w:eastAsia="Arial" w:hAnsi="Arial" w:cs="Arial"/>
          <w:sz w:val="18"/>
          <w:szCs w:val="18"/>
        </w:rPr>
      </w:pPr>
      <w:r>
        <w:rPr>
          <w:rFonts w:ascii="Arial" w:eastAsia="Arial" w:hAnsi="Arial" w:cs="Arial"/>
          <w:sz w:val="18"/>
          <w:szCs w:val="18"/>
        </w:rPr>
        <w:t>all of L Brands’ and its Subsidiaries’ right, title and interest in, to and under the VS Equity Interests;</w:t>
      </w:r>
    </w:p>
    <w:p w14:paraId="5A10EECB" w14:textId="77777777" w:rsidR="00D1587D" w:rsidRDefault="00D1587D">
      <w:pPr>
        <w:spacing w:line="225" w:lineRule="exact"/>
        <w:rPr>
          <w:rFonts w:ascii="Arial" w:eastAsia="Arial" w:hAnsi="Arial" w:cs="Arial"/>
          <w:sz w:val="18"/>
          <w:szCs w:val="18"/>
        </w:rPr>
      </w:pPr>
    </w:p>
    <w:p w14:paraId="56A5C480" w14:textId="77777777" w:rsidR="00D1587D" w:rsidRDefault="00410D07">
      <w:pPr>
        <w:numPr>
          <w:ilvl w:val="0"/>
          <w:numId w:val="6"/>
        </w:numPr>
        <w:tabs>
          <w:tab w:val="left" w:pos="1353"/>
        </w:tabs>
        <w:spacing w:line="259" w:lineRule="auto"/>
        <w:ind w:firstLine="656"/>
        <w:rPr>
          <w:rFonts w:ascii="Arial" w:eastAsia="Arial" w:hAnsi="Arial" w:cs="Arial"/>
          <w:sz w:val="18"/>
          <w:szCs w:val="18"/>
        </w:rPr>
      </w:pPr>
      <w:r>
        <w:rPr>
          <w:rFonts w:ascii="Arial" w:eastAsia="Arial" w:hAnsi="Arial" w:cs="Arial"/>
          <w:sz w:val="18"/>
          <w:szCs w:val="18"/>
        </w:rPr>
        <w:t xml:space="preserve">(i) all Trademarks owned </w:t>
      </w:r>
      <w:r>
        <w:rPr>
          <w:rFonts w:ascii="Arial" w:eastAsia="Arial" w:hAnsi="Arial" w:cs="Arial"/>
          <w:sz w:val="18"/>
          <w:szCs w:val="18"/>
        </w:rPr>
        <w:t>by L Brands or any of its Subsidiaries and used or held for use, in each case, exclusively in the conduct of the VS Business by L Brands and its Subsidiaries as the same shall exist on the Distribution Date and (ii) the Trademarks set forth on Schedule 1.0</w:t>
      </w:r>
      <w:r>
        <w:rPr>
          <w:rFonts w:ascii="Arial" w:eastAsia="Arial" w:hAnsi="Arial" w:cs="Arial"/>
          <w:sz w:val="18"/>
          <w:szCs w:val="18"/>
        </w:rPr>
        <w:t>1(f), in each case, together with all corresponding rights that may be secured throughout the world with respect to any of the foregoing (clauses (i) and (ii) collectively, the “</w:t>
      </w:r>
      <w:r>
        <w:rPr>
          <w:rFonts w:ascii="Arial" w:eastAsia="Arial" w:hAnsi="Arial" w:cs="Arial"/>
          <w:b/>
          <w:bCs/>
          <w:sz w:val="18"/>
          <w:szCs w:val="18"/>
        </w:rPr>
        <w:t>VS Trademarks</w:t>
      </w:r>
      <w:r>
        <w:rPr>
          <w:rFonts w:ascii="Arial" w:eastAsia="Arial" w:hAnsi="Arial" w:cs="Arial"/>
          <w:sz w:val="18"/>
          <w:szCs w:val="18"/>
        </w:rPr>
        <w:t>”);</w:t>
      </w:r>
    </w:p>
    <w:p w14:paraId="30704BC7" w14:textId="77777777" w:rsidR="00D1587D" w:rsidRDefault="00D1587D">
      <w:pPr>
        <w:spacing w:line="186" w:lineRule="exact"/>
        <w:rPr>
          <w:rFonts w:ascii="Arial" w:eastAsia="Arial" w:hAnsi="Arial" w:cs="Arial"/>
          <w:sz w:val="18"/>
          <w:szCs w:val="18"/>
        </w:rPr>
      </w:pPr>
    </w:p>
    <w:p w14:paraId="5F17CCA2" w14:textId="77777777" w:rsidR="00D1587D" w:rsidRDefault="00410D07">
      <w:pPr>
        <w:numPr>
          <w:ilvl w:val="0"/>
          <w:numId w:val="6"/>
        </w:numPr>
        <w:tabs>
          <w:tab w:val="left" w:pos="1400"/>
        </w:tabs>
        <w:ind w:left="1400" w:hanging="744"/>
        <w:rPr>
          <w:rFonts w:ascii="Arial" w:eastAsia="Arial" w:hAnsi="Arial" w:cs="Arial"/>
          <w:sz w:val="18"/>
          <w:szCs w:val="18"/>
        </w:rPr>
      </w:pPr>
      <w:r>
        <w:rPr>
          <w:rFonts w:ascii="Arial" w:eastAsia="Arial" w:hAnsi="Arial" w:cs="Arial"/>
          <w:sz w:val="18"/>
          <w:szCs w:val="18"/>
        </w:rPr>
        <w:t xml:space="preserve">Cash and Cash Equivalents of each member of the VS </w:t>
      </w:r>
      <w:r>
        <w:rPr>
          <w:rFonts w:ascii="Arial" w:eastAsia="Arial" w:hAnsi="Arial" w:cs="Arial"/>
          <w:sz w:val="18"/>
          <w:szCs w:val="18"/>
        </w:rPr>
        <w:t>Group as of the Distribution Time;</w:t>
      </w:r>
    </w:p>
    <w:p w14:paraId="2F125DA9" w14:textId="77777777" w:rsidR="00D1587D" w:rsidRDefault="00D1587D">
      <w:pPr>
        <w:spacing w:line="225" w:lineRule="exact"/>
        <w:rPr>
          <w:rFonts w:ascii="Arial" w:eastAsia="Arial" w:hAnsi="Arial" w:cs="Arial"/>
          <w:sz w:val="18"/>
          <w:szCs w:val="18"/>
        </w:rPr>
      </w:pPr>
    </w:p>
    <w:p w14:paraId="6E9FEB11" w14:textId="77777777" w:rsidR="00D1587D" w:rsidRDefault="00410D07">
      <w:pPr>
        <w:numPr>
          <w:ilvl w:val="0"/>
          <w:numId w:val="6"/>
        </w:numPr>
        <w:tabs>
          <w:tab w:val="left" w:pos="1353"/>
        </w:tabs>
        <w:spacing w:line="259" w:lineRule="auto"/>
        <w:ind w:right="100" w:firstLine="656"/>
        <w:jc w:val="both"/>
        <w:rPr>
          <w:rFonts w:ascii="Arial" w:eastAsia="Arial" w:hAnsi="Arial" w:cs="Arial"/>
          <w:sz w:val="18"/>
          <w:szCs w:val="18"/>
        </w:rPr>
      </w:pPr>
      <w:r>
        <w:rPr>
          <w:rFonts w:ascii="Arial" w:eastAsia="Arial" w:hAnsi="Arial" w:cs="Arial"/>
          <w:sz w:val="18"/>
          <w:szCs w:val="18"/>
        </w:rPr>
        <w:t>all of L Brands’ and its Subsidiaries’ right, title and interest in and to the fee or leasehold interests, as the case may be, in, to and under the VS Distribution Centers, together with all buildings, fixtures and impro</w:t>
      </w:r>
      <w:r>
        <w:rPr>
          <w:rFonts w:ascii="Arial" w:eastAsia="Arial" w:hAnsi="Arial" w:cs="Arial"/>
          <w:sz w:val="18"/>
          <w:szCs w:val="18"/>
        </w:rPr>
        <w:t>vements erected thereon, and all L Brands’ and its Subsidiaries’ right, title and interest in and to any furniture and equipment (excluding IT Assets, personal laptops, personal mobile devices and cellular phones) located at the VS Distribution Centers;</w:t>
      </w:r>
    </w:p>
    <w:p w14:paraId="0809E0BE" w14:textId="77777777" w:rsidR="00D1587D" w:rsidRDefault="00D1587D">
      <w:pPr>
        <w:spacing w:line="173" w:lineRule="exact"/>
        <w:rPr>
          <w:sz w:val="20"/>
          <w:szCs w:val="20"/>
        </w:rPr>
      </w:pPr>
    </w:p>
    <w:p w14:paraId="7DFF8C59" w14:textId="77777777" w:rsidR="00D1587D" w:rsidRDefault="00410D07">
      <w:pPr>
        <w:ind w:right="-19"/>
        <w:jc w:val="center"/>
        <w:rPr>
          <w:sz w:val="20"/>
          <w:szCs w:val="20"/>
        </w:rPr>
      </w:pPr>
      <w:r>
        <w:rPr>
          <w:rFonts w:ascii="Arial" w:eastAsia="Arial" w:hAnsi="Arial" w:cs="Arial"/>
          <w:sz w:val="18"/>
          <w:szCs w:val="18"/>
        </w:rPr>
        <w:t>1</w:t>
      </w:r>
      <w:r>
        <w:rPr>
          <w:rFonts w:ascii="Arial" w:eastAsia="Arial" w:hAnsi="Arial" w:cs="Arial"/>
          <w:sz w:val="18"/>
          <w:szCs w:val="18"/>
        </w:rPr>
        <w:t>1</w:t>
      </w:r>
    </w:p>
    <w:p w14:paraId="4FB81C6E" w14:textId="77777777" w:rsidR="00D1587D" w:rsidRDefault="00410D07">
      <w:pPr>
        <w:spacing w:line="20" w:lineRule="exact"/>
        <w:rPr>
          <w:sz w:val="20"/>
          <w:szCs w:val="20"/>
        </w:rPr>
      </w:pPr>
      <w:r>
        <w:rPr>
          <w:noProof/>
          <w:sz w:val="20"/>
          <w:szCs w:val="20"/>
        </w:rPr>
        <w:drawing>
          <wp:anchor distT="0" distB="0" distL="114300" distR="114300" simplePos="0" relativeHeight="251163648" behindDoc="1" locked="0" layoutInCell="0" allowOverlap="1" wp14:anchorId="2B00A9C1" wp14:editId="537D1885">
            <wp:simplePos x="0" y="0"/>
            <wp:positionH relativeFrom="column">
              <wp:posOffset>5080</wp:posOffset>
            </wp:positionH>
            <wp:positionV relativeFrom="paragraph">
              <wp:posOffset>48895</wp:posOffset>
            </wp:positionV>
            <wp:extent cx="7132320" cy="171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5278997" w14:textId="77777777" w:rsidR="00D1587D" w:rsidRDefault="00D1587D">
      <w:pPr>
        <w:sectPr w:rsidR="00D1587D">
          <w:pgSz w:w="11900" w:h="16838"/>
          <w:pgMar w:top="337" w:right="399" w:bottom="1440" w:left="320" w:header="0" w:footer="0" w:gutter="0"/>
          <w:cols w:space="720" w:equalWidth="0">
            <w:col w:w="11180"/>
          </w:cols>
        </w:sectPr>
      </w:pPr>
    </w:p>
    <w:p w14:paraId="38D659B2" w14:textId="77777777" w:rsidR="00D1587D" w:rsidRDefault="00410D07">
      <w:pPr>
        <w:numPr>
          <w:ilvl w:val="0"/>
          <w:numId w:val="7"/>
        </w:numPr>
        <w:tabs>
          <w:tab w:val="left" w:pos="1343"/>
        </w:tabs>
        <w:spacing w:line="277" w:lineRule="auto"/>
        <w:ind w:right="100" w:firstLine="656"/>
        <w:rPr>
          <w:rFonts w:ascii="Arial" w:eastAsia="Arial" w:hAnsi="Arial" w:cs="Arial"/>
          <w:sz w:val="18"/>
          <w:szCs w:val="18"/>
        </w:rPr>
      </w:pPr>
      <w:bookmarkStart w:id="20" w:name="page21"/>
      <w:bookmarkEnd w:id="20"/>
      <w:r>
        <w:rPr>
          <w:rFonts w:ascii="Arial" w:eastAsia="Arial" w:hAnsi="Arial" w:cs="Arial"/>
          <w:sz w:val="18"/>
          <w:szCs w:val="18"/>
        </w:rPr>
        <w:t xml:space="preserve">all of L Brands’ and its Subsidiaries’ right, title and interest in and to any personal laptops, personal mobile devices and cellular phones assigned to any VS Active Employee as of immediately prior to the </w:t>
      </w:r>
      <w:r>
        <w:rPr>
          <w:rFonts w:ascii="Arial" w:eastAsia="Arial" w:hAnsi="Arial" w:cs="Arial"/>
          <w:sz w:val="18"/>
          <w:szCs w:val="18"/>
        </w:rPr>
        <w:t>Distribution;</w:t>
      </w:r>
    </w:p>
    <w:p w14:paraId="123BD477" w14:textId="77777777" w:rsidR="00D1587D" w:rsidRDefault="00D1587D">
      <w:pPr>
        <w:spacing w:line="170" w:lineRule="exact"/>
        <w:rPr>
          <w:rFonts w:ascii="Arial" w:eastAsia="Arial" w:hAnsi="Arial" w:cs="Arial"/>
          <w:sz w:val="18"/>
          <w:szCs w:val="18"/>
        </w:rPr>
      </w:pPr>
    </w:p>
    <w:p w14:paraId="1C5281B2" w14:textId="77777777" w:rsidR="00D1587D" w:rsidRDefault="00410D07">
      <w:pPr>
        <w:numPr>
          <w:ilvl w:val="0"/>
          <w:numId w:val="7"/>
        </w:numPr>
        <w:tabs>
          <w:tab w:val="left" w:pos="1368"/>
        </w:tabs>
        <w:spacing w:line="259" w:lineRule="auto"/>
        <w:ind w:right="20" w:firstLine="656"/>
        <w:rPr>
          <w:rFonts w:ascii="Arial" w:eastAsia="Arial" w:hAnsi="Arial" w:cs="Arial"/>
          <w:sz w:val="18"/>
          <w:szCs w:val="18"/>
        </w:rPr>
      </w:pPr>
      <w:r>
        <w:rPr>
          <w:rFonts w:ascii="Arial" w:eastAsia="Arial" w:hAnsi="Arial" w:cs="Arial"/>
          <w:sz w:val="18"/>
          <w:szCs w:val="18"/>
        </w:rPr>
        <w:t>all Intellectual Property Rights (excluding all (A) Trademarks and (B) Commercial Data) that are owned by L Brands and its Subsidiaries and used or held for use, in each case, exclusively in the conduct of the VS Business by L Brands and its</w:t>
      </w:r>
      <w:r>
        <w:rPr>
          <w:rFonts w:ascii="Arial" w:eastAsia="Arial" w:hAnsi="Arial" w:cs="Arial"/>
          <w:sz w:val="18"/>
          <w:szCs w:val="18"/>
        </w:rPr>
        <w:t xml:space="preserve"> Subsidiaries as the same shall exist on the Distribution Date and (ii) the Intellectual Property Rights set forth on Schedule 1.01(g), in each case, together with all corresponding rights that may be secured throughout the world with respect to any of the</w:t>
      </w:r>
      <w:r>
        <w:rPr>
          <w:rFonts w:ascii="Arial" w:eastAsia="Arial" w:hAnsi="Arial" w:cs="Arial"/>
          <w:sz w:val="18"/>
          <w:szCs w:val="18"/>
        </w:rPr>
        <w:t xml:space="preserve"> foregoing;</w:t>
      </w:r>
    </w:p>
    <w:p w14:paraId="24464070" w14:textId="77777777" w:rsidR="00D1587D" w:rsidRDefault="00D1587D">
      <w:pPr>
        <w:spacing w:line="186" w:lineRule="exact"/>
        <w:rPr>
          <w:rFonts w:ascii="Arial" w:eastAsia="Arial" w:hAnsi="Arial" w:cs="Arial"/>
          <w:sz w:val="18"/>
          <w:szCs w:val="18"/>
        </w:rPr>
      </w:pPr>
    </w:p>
    <w:p w14:paraId="3622DA10" w14:textId="77777777" w:rsidR="00D1587D" w:rsidRDefault="00410D07">
      <w:pPr>
        <w:numPr>
          <w:ilvl w:val="0"/>
          <w:numId w:val="7"/>
        </w:numPr>
        <w:tabs>
          <w:tab w:val="left" w:pos="1353"/>
        </w:tabs>
        <w:spacing w:line="277" w:lineRule="auto"/>
        <w:ind w:right="460" w:firstLine="656"/>
        <w:rPr>
          <w:rFonts w:ascii="Arial" w:eastAsia="Arial" w:hAnsi="Arial" w:cs="Arial"/>
          <w:sz w:val="18"/>
          <w:szCs w:val="18"/>
        </w:rPr>
      </w:pPr>
      <w:r>
        <w:rPr>
          <w:rFonts w:ascii="Arial" w:eastAsia="Arial" w:hAnsi="Arial" w:cs="Arial"/>
          <w:sz w:val="18"/>
          <w:szCs w:val="18"/>
        </w:rPr>
        <w:t>to the extent not prohibited under Applicable Law or any privacy policies of L Brands and its Subsidiaries, all of L Brands’ and its Subsidiaries’ right, title and interest in and to the VS Commercial Data;</w:t>
      </w:r>
    </w:p>
    <w:p w14:paraId="72145553" w14:textId="77777777" w:rsidR="00D1587D" w:rsidRDefault="00D1587D">
      <w:pPr>
        <w:spacing w:line="170" w:lineRule="exact"/>
        <w:rPr>
          <w:rFonts w:ascii="Arial" w:eastAsia="Arial" w:hAnsi="Arial" w:cs="Arial"/>
          <w:sz w:val="18"/>
          <w:szCs w:val="18"/>
        </w:rPr>
      </w:pPr>
    </w:p>
    <w:p w14:paraId="111A563A" w14:textId="77777777" w:rsidR="00D1587D" w:rsidRDefault="00410D07">
      <w:pPr>
        <w:numPr>
          <w:ilvl w:val="0"/>
          <w:numId w:val="7"/>
        </w:numPr>
        <w:tabs>
          <w:tab w:val="left" w:pos="1353"/>
        </w:tabs>
        <w:spacing w:line="277" w:lineRule="auto"/>
        <w:ind w:firstLine="656"/>
        <w:rPr>
          <w:rFonts w:ascii="Arial" w:eastAsia="Arial" w:hAnsi="Arial" w:cs="Arial"/>
          <w:sz w:val="18"/>
          <w:szCs w:val="18"/>
        </w:rPr>
      </w:pPr>
      <w:r>
        <w:rPr>
          <w:rFonts w:ascii="Arial" w:eastAsia="Arial" w:hAnsi="Arial" w:cs="Arial"/>
          <w:sz w:val="18"/>
          <w:szCs w:val="18"/>
        </w:rPr>
        <w:t xml:space="preserve">all of L Brands’ and its </w:t>
      </w:r>
      <w:r>
        <w:rPr>
          <w:rFonts w:ascii="Arial" w:eastAsia="Arial" w:hAnsi="Arial" w:cs="Arial"/>
          <w:sz w:val="18"/>
          <w:szCs w:val="18"/>
        </w:rPr>
        <w:t>Subsidiaries’ rights to any recovery, rights, causes of action and awards, in each case, with respect to the Actions and claims that are VS Liabilities;</w:t>
      </w:r>
    </w:p>
    <w:p w14:paraId="3A6AB953" w14:textId="77777777" w:rsidR="00D1587D" w:rsidRDefault="00D1587D">
      <w:pPr>
        <w:spacing w:line="170" w:lineRule="exact"/>
        <w:rPr>
          <w:rFonts w:ascii="Arial" w:eastAsia="Arial" w:hAnsi="Arial" w:cs="Arial"/>
          <w:sz w:val="18"/>
          <w:szCs w:val="18"/>
        </w:rPr>
      </w:pPr>
    </w:p>
    <w:p w14:paraId="2B547F38" w14:textId="77777777" w:rsidR="00D1587D" w:rsidRDefault="00410D07">
      <w:pPr>
        <w:numPr>
          <w:ilvl w:val="0"/>
          <w:numId w:val="7"/>
        </w:numPr>
        <w:tabs>
          <w:tab w:val="left" w:pos="1360"/>
        </w:tabs>
        <w:ind w:left="1360" w:hanging="704"/>
        <w:rPr>
          <w:rFonts w:ascii="Arial" w:eastAsia="Arial" w:hAnsi="Arial" w:cs="Arial"/>
          <w:sz w:val="18"/>
          <w:szCs w:val="18"/>
        </w:rPr>
      </w:pPr>
      <w:r>
        <w:rPr>
          <w:rFonts w:ascii="Arial" w:eastAsia="Arial" w:hAnsi="Arial" w:cs="Arial"/>
          <w:sz w:val="18"/>
          <w:szCs w:val="18"/>
        </w:rPr>
        <w:t>accounts receivable of each member of the VS Group;</w:t>
      </w:r>
    </w:p>
    <w:p w14:paraId="63A1478E" w14:textId="77777777" w:rsidR="00D1587D" w:rsidRDefault="00D1587D">
      <w:pPr>
        <w:spacing w:line="225" w:lineRule="exact"/>
        <w:rPr>
          <w:rFonts w:ascii="Arial" w:eastAsia="Arial" w:hAnsi="Arial" w:cs="Arial"/>
          <w:sz w:val="18"/>
          <w:szCs w:val="18"/>
        </w:rPr>
      </w:pPr>
    </w:p>
    <w:p w14:paraId="3D4305FA" w14:textId="77777777" w:rsidR="00D1587D" w:rsidRDefault="00410D07">
      <w:pPr>
        <w:numPr>
          <w:ilvl w:val="0"/>
          <w:numId w:val="7"/>
        </w:numPr>
        <w:tabs>
          <w:tab w:val="left" w:pos="1360"/>
        </w:tabs>
        <w:ind w:left="1360" w:hanging="704"/>
        <w:rPr>
          <w:rFonts w:ascii="Arial" w:eastAsia="Arial" w:hAnsi="Arial" w:cs="Arial"/>
          <w:sz w:val="16"/>
          <w:szCs w:val="16"/>
        </w:rPr>
      </w:pPr>
      <w:r>
        <w:rPr>
          <w:rFonts w:ascii="Arial" w:eastAsia="Arial" w:hAnsi="Arial" w:cs="Arial"/>
          <w:sz w:val="16"/>
          <w:szCs w:val="16"/>
        </w:rPr>
        <w:t>the percentage of L Brands’ and its Subsidiaries’</w:t>
      </w:r>
      <w:r>
        <w:rPr>
          <w:rFonts w:ascii="Arial" w:eastAsia="Arial" w:hAnsi="Arial" w:cs="Arial"/>
          <w:sz w:val="16"/>
          <w:szCs w:val="16"/>
        </w:rPr>
        <w:t xml:space="preserve"> right, title and interest in the aircraft in each case as set forth on Schedule 1.01(a);</w:t>
      </w:r>
    </w:p>
    <w:p w14:paraId="4F49172B" w14:textId="77777777" w:rsidR="00D1587D" w:rsidRDefault="00D1587D">
      <w:pPr>
        <w:spacing w:line="248" w:lineRule="exact"/>
        <w:rPr>
          <w:rFonts w:ascii="Arial" w:eastAsia="Arial" w:hAnsi="Arial" w:cs="Arial"/>
          <w:sz w:val="16"/>
          <w:szCs w:val="16"/>
        </w:rPr>
      </w:pPr>
    </w:p>
    <w:p w14:paraId="420AB42C" w14:textId="77777777" w:rsidR="00D1587D" w:rsidRDefault="00410D07">
      <w:pPr>
        <w:numPr>
          <w:ilvl w:val="0"/>
          <w:numId w:val="7"/>
        </w:numPr>
        <w:tabs>
          <w:tab w:val="left" w:pos="1360"/>
        </w:tabs>
        <w:ind w:left="1360" w:hanging="704"/>
        <w:rPr>
          <w:rFonts w:ascii="Arial" w:eastAsia="Arial" w:hAnsi="Arial" w:cs="Arial"/>
          <w:sz w:val="18"/>
          <w:szCs w:val="18"/>
        </w:rPr>
      </w:pPr>
      <w:r>
        <w:rPr>
          <w:rFonts w:ascii="Arial" w:eastAsia="Arial" w:hAnsi="Arial" w:cs="Arial"/>
          <w:sz w:val="18"/>
          <w:szCs w:val="18"/>
        </w:rPr>
        <w:t>all of L Brands’ and its Subsidiaries’ right, title and interest in, to and under the VS Contracts;</w:t>
      </w:r>
    </w:p>
    <w:p w14:paraId="2FAED6E0" w14:textId="77777777" w:rsidR="00D1587D" w:rsidRDefault="00D1587D">
      <w:pPr>
        <w:spacing w:line="225" w:lineRule="exact"/>
        <w:rPr>
          <w:rFonts w:ascii="Arial" w:eastAsia="Arial" w:hAnsi="Arial" w:cs="Arial"/>
          <w:sz w:val="18"/>
          <w:szCs w:val="18"/>
        </w:rPr>
      </w:pPr>
    </w:p>
    <w:p w14:paraId="61760F83" w14:textId="77777777" w:rsidR="00D1587D" w:rsidRDefault="00410D07">
      <w:pPr>
        <w:numPr>
          <w:ilvl w:val="0"/>
          <w:numId w:val="7"/>
        </w:numPr>
        <w:tabs>
          <w:tab w:val="left" w:pos="1403"/>
        </w:tabs>
        <w:spacing w:line="277" w:lineRule="auto"/>
        <w:ind w:right="420" w:firstLine="656"/>
        <w:rPr>
          <w:rFonts w:ascii="Arial" w:eastAsia="Arial" w:hAnsi="Arial" w:cs="Arial"/>
          <w:sz w:val="18"/>
          <w:szCs w:val="18"/>
        </w:rPr>
      </w:pPr>
      <w:r>
        <w:rPr>
          <w:rFonts w:ascii="Arial" w:eastAsia="Arial" w:hAnsi="Arial" w:cs="Arial"/>
          <w:sz w:val="18"/>
          <w:szCs w:val="18"/>
        </w:rPr>
        <w:t>(i) all IT Assets located in any VS Real Property (other than th</w:t>
      </w:r>
      <w:r>
        <w:rPr>
          <w:rFonts w:ascii="Arial" w:eastAsia="Arial" w:hAnsi="Arial" w:cs="Arial"/>
          <w:sz w:val="18"/>
          <w:szCs w:val="18"/>
        </w:rPr>
        <w:t>e Specified L Brands IT Assets) and (ii) the Specified VS IT Assets (collectively, the “</w:t>
      </w:r>
      <w:r>
        <w:rPr>
          <w:rFonts w:ascii="Arial" w:eastAsia="Arial" w:hAnsi="Arial" w:cs="Arial"/>
          <w:b/>
          <w:bCs/>
          <w:sz w:val="18"/>
          <w:szCs w:val="18"/>
        </w:rPr>
        <w:t>VS IT Assets</w:t>
      </w:r>
      <w:r>
        <w:rPr>
          <w:rFonts w:ascii="Arial" w:eastAsia="Arial" w:hAnsi="Arial" w:cs="Arial"/>
          <w:sz w:val="18"/>
          <w:szCs w:val="18"/>
        </w:rPr>
        <w:t>”); and</w:t>
      </w:r>
    </w:p>
    <w:p w14:paraId="093E0104" w14:textId="77777777" w:rsidR="00D1587D" w:rsidRDefault="00D1587D">
      <w:pPr>
        <w:spacing w:line="170" w:lineRule="exact"/>
        <w:rPr>
          <w:rFonts w:ascii="Arial" w:eastAsia="Arial" w:hAnsi="Arial" w:cs="Arial"/>
          <w:sz w:val="18"/>
          <w:szCs w:val="18"/>
        </w:rPr>
      </w:pPr>
    </w:p>
    <w:p w14:paraId="2AB9A390" w14:textId="77777777" w:rsidR="00D1587D" w:rsidRDefault="00410D07">
      <w:pPr>
        <w:numPr>
          <w:ilvl w:val="0"/>
          <w:numId w:val="7"/>
        </w:numPr>
        <w:tabs>
          <w:tab w:val="left" w:pos="1358"/>
        </w:tabs>
        <w:spacing w:line="257" w:lineRule="auto"/>
        <w:ind w:right="120" w:firstLine="656"/>
        <w:rPr>
          <w:rFonts w:ascii="Arial" w:eastAsia="Arial" w:hAnsi="Arial" w:cs="Arial"/>
          <w:sz w:val="18"/>
          <w:szCs w:val="18"/>
        </w:rPr>
      </w:pPr>
      <w:r>
        <w:rPr>
          <w:rFonts w:ascii="Arial" w:eastAsia="Arial" w:hAnsi="Arial" w:cs="Arial"/>
          <w:sz w:val="18"/>
          <w:szCs w:val="18"/>
        </w:rPr>
        <w:t>all right, title and interest of L Brands and its Subsidiaries in, to and under the following assets, properties, rights and businesses (other than</w:t>
      </w:r>
      <w:r>
        <w:rPr>
          <w:rFonts w:ascii="Arial" w:eastAsia="Arial" w:hAnsi="Arial" w:cs="Arial"/>
          <w:sz w:val="18"/>
          <w:szCs w:val="18"/>
        </w:rPr>
        <w:t xml:space="preserve"> such right, title and interest in any equity interests in any Person, Intellectual Property Rights, Commercial Data, Cash and Cash Equivalents, distribution centers (and offices located therein), personal laptops, personal mobile devices, cellular phones,</w:t>
      </w:r>
      <w:r>
        <w:rPr>
          <w:rFonts w:ascii="Arial" w:eastAsia="Arial" w:hAnsi="Arial" w:cs="Arial"/>
          <w:sz w:val="18"/>
          <w:szCs w:val="18"/>
        </w:rPr>
        <w:t xml:space="preserve"> IT Assets, Actions, accounts receivable and aircraft) of L Brands and its Subsidiaries to the extent owned, held or used in each case primarily in the conduct of the VS Business by L Brands and its Subsidiaries as the same shall exist on the Distribution </w:t>
      </w:r>
      <w:r>
        <w:rPr>
          <w:rFonts w:ascii="Arial" w:eastAsia="Arial" w:hAnsi="Arial" w:cs="Arial"/>
          <w:sz w:val="18"/>
          <w:szCs w:val="18"/>
        </w:rPr>
        <w:t>Date:</w:t>
      </w:r>
    </w:p>
    <w:p w14:paraId="2EC48C20" w14:textId="77777777" w:rsidR="00D1587D" w:rsidRDefault="00D1587D">
      <w:pPr>
        <w:spacing w:line="188" w:lineRule="exact"/>
        <w:rPr>
          <w:sz w:val="20"/>
          <w:szCs w:val="20"/>
        </w:rPr>
      </w:pPr>
    </w:p>
    <w:p w14:paraId="45408609" w14:textId="77777777" w:rsidR="00D1587D" w:rsidRDefault="00410D07">
      <w:pPr>
        <w:numPr>
          <w:ilvl w:val="0"/>
          <w:numId w:val="8"/>
        </w:numPr>
        <w:tabs>
          <w:tab w:val="left" w:pos="2018"/>
        </w:tabs>
        <w:spacing w:line="308" w:lineRule="auto"/>
        <w:ind w:left="660" w:right="320" w:firstLine="644"/>
        <w:rPr>
          <w:rFonts w:ascii="Arial" w:eastAsia="Arial" w:hAnsi="Arial" w:cs="Arial"/>
          <w:sz w:val="17"/>
          <w:szCs w:val="17"/>
        </w:rPr>
      </w:pPr>
      <w:r>
        <w:rPr>
          <w:rFonts w:ascii="Arial" w:eastAsia="Arial" w:hAnsi="Arial" w:cs="Arial"/>
          <w:sz w:val="17"/>
          <w:szCs w:val="17"/>
        </w:rPr>
        <w:t>all leases of, and other interest in, real property, in each case together with all buildings, fixtures and improvements erected thereon and all furniture and equipment located thereon, including the leases set forth on Schedule 1.01(h);</w:t>
      </w:r>
    </w:p>
    <w:p w14:paraId="5762DC03" w14:textId="77777777" w:rsidR="00D1587D" w:rsidRDefault="00D1587D">
      <w:pPr>
        <w:spacing w:line="133" w:lineRule="exact"/>
        <w:rPr>
          <w:sz w:val="20"/>
          <w:szCs w:val="20"/>
        </w:rPr>
      </w:pPr>
    </w:p>
    <w:p w14:paraId="069F49A4" w14:textId="77777777" w:rsidR="00D1587D" w:rsidRDefault="00410D07">
      <w:pPr>
        <w:ind w:right="20"/>
        <w:jc w:val="center"/>
        <w:rPr>
          <w:sz w:val="20"/>
          <w:szCs w:val="20"/>
        </w:rPr>
      </w:pPr>
      <w:r>
        <w:rPr>
          <w:rFonts w:ascii="Arial" w:eastAsia="Arial" w:hAnsi="Arial" w:cs="Arial"/>
          <w:sz w:val="18"/>
          <w:szCs w:val="18"/>
        </w:rPr>
        <w:t>12</w:t>
      </w:r>
    </w:p>
    <w:p w14:paraId="27D8D74B" w14:textId="77777777" w:rsidR="00D1587D" w:rsidRDefault="00410D07">
      <w:pPr>
        <w:spacing w:line="20" w:lineRule="exact"/>
        <w:rPr>
          <w:sz w:val="20"/>
          <w:szCs w:val="20"/>
        </w:rPr>
      </w:pPr>
      <w:r>
        <w:rPr>
          <w:noProof/>
          <w:sz w:val="20"/>
          <w:szCs w:val="20"/>
        </w:rPr>
        <w:drawing>
          <wp:anchor distT="0" distB="0" distL="114300" distR="114300" simplePos="0" relativeHeight="251164672" behindDoc="1" locked="0" layoutInCell="0" allowOverlap="1" wp14:anchorId="01228421" wp14:editId="2433A95A">
            <wp:simplePos x="0" y="0"/>
            <wp:positionH relativeFrom="column">
              <wp:posOffset>5080</wp:posOffset>
            </wp:positionH>
            <wp:positionV relativeFrom="paragraph">
              <wp:posOffset>48895</wp:posOffset>
            </wp:positionV>
            <wp:extent cx="7132320" cy="1714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4C8335C" w14:textId="77777777" w:rsidR="00D1587D" w:rsidRDefault="00D1587D">
      <w:pPr>
        <w:sectPr w:rsidR="00D1587D">
          <w:pgSz w:w="11900" w:h="16838"/>
          <w:pgMar w:top="341" w:right="379" w:bottom="1440" w:left="320" w:header="0" w:footer="0" w:gutter="0"/>
          <w:cols w:space="720" w:equalWidth="0">
            <w:col w:w="11200"/>
          </w:cols>
        </w:sectPr>
      </w:pPr>
    </w:p>
    <w:p w14:paraId="4F672577" w14:textId="77777777" w:rsidR="00D1587D" w:rsidRDefault="00410D07">
      <w:pPr>
        <w:numPr>
          <w:ilvl w:val="0"/>
          <w:numId w:val="9"/>
        </w:numPr>
        <w:tabs>
          <w:tab w:val="left" w:pos="2020"/>
        </w:tabs>
        <w:ind w:left="2020" w:hanging="716"/>
        <w:rPr>
          <w:rFonts w:ascii="Arial" w:eastAsia="Arial" w:hAnsi="Arial" w:cs="Arial"/>
          <w:sz w:val="18"/>
          <w:szCs w:val="18"/>
        </w:rPr>
      </w:pPr>
      <w:bookmarkStart w:id="21" w:name="page22"/>
      <w:bookmarkEnd w:id="21"/>
      <w:r>
        <w:rPr>
          <w:rFonts w:ascii="Arial" w:eastAsia="Arial" w:hAnsi="Arial" w:cs="Arial"/>
          <w:sz w:val="18"/>
          <w:szCs w:val="18"/>
        </w:rPr>
        <w:t>all raw materials, work-in-process, finished goods, supplies and other inventories;</w:t>
      </w:r>
    </w:p>
    <w:p w14:paraId="4315264A" w14:textId="77777777" w:rsidR="00D1587D" w:rsidRDefault="00D1587D">
      <w:pPr>
        <w:spacing w:line="225" w:lineRule="exact"/>
        <w:rPr>
          <w:rFonts w:ascii="Arial" w:eastAsia="Arial" w:hAnsi="Arial" w:cs="Arial"/>
          <w:sz w:val="18"/>
          <w:szCs w:val="18"/>
        </w:rPr>
      </w:pPr>
    </w:p>
    <w:p w14:paraId="1D6AB97B" w14:textId="77777777" w:rsidR="00D1587D" w:rsidRDefault="00410D07">
      <w:pPr>
        <w:numPr>
          <w:ilvl w:val="0"/>
          <w:numId w:val="9"/>
        </w:numPr>
        <w:tabs>
          <w:tab w:val="left" w:pos="2020"/>
        </w:tabs>
        <w:ind w:left="2020" w:hanging="716"/>
        <w:rPr>
          <w:rFonts w:ascii="Arial" w:eastAsia="Arial" w:hAnsi="Arial" w:cs="Arial"/>
          <w:sz w:val="18"/>
          <w:szCs w:val="18"/>
        </w:rPr>
      </w:pPr>
      <w:r>
        <w:rPr>
          <w:rFonts w:ascii="Arial" w:eastAsia="Arial" w:hAnsi="Arial" w:cs="Arial"/>
          <w:sz w:val="18"/>
          <w:szCs w:val="18"/>
        </w:rPr>
        <w:t xml:space="preserve">all prepaid expenses, including </w:t>
      </w:r>
      <w:r>
        <w:rPr>
          <w:rFonts w:ascii="Arial" w:eastAsia="Arial" w:hAnsi="Arial" w:cs="Arial"/>
          <w:i/>
          <w:iCs/>
          <w:sz w:val="18"/>
          <w:szCs w:val="18"/>
        </w:rPr>
        <w:t>ad valorem</w:t>
      </w:r>
      <w:r>
        <w:rPr>
          <w:rFonts w:ascii="Arial" w:eastAsia="Arial" w:hAnsi="Arial" w:cs="Arial"/>
          <w:sz w:val="18"/>
          <w:szCs w:val="18"/>
        </w:rPr>
        <w:t xml:space="preserve"> taxes, leases and rentals;</w:t>
      </w:r>
    </w:p>
    <w:p w14:paraId="225A59EF" w14:textId="77777777" w:rsidR="00D1587D" w:rsidRDefault="00D1587D">
      <w:pPr>
        <w:spacing w:line="225" w:lineRule="exact"/>
        <w:rPr>
          <w:rFonts w:ascii="Arial" w:eastAsia="Arial" w:hAnsi="Arial" w:cs="Arial"/>
          <w:sz w:val="18"/>
          <w:szCs w:val="18"/>
        </w:rPr>
      </w:pPr>
    </w:p>
    <w:p w14:paraId="7F38ECC7" w14:textId="77777777" w:rsidR="00D1587D" w:rsidRDefault="00410D07">
      <w:pPr>
        <w:numPr>
          <w:ilvl w:val="0"/>
          <w:numId w:val="9"/>
        </w:numPr>
        <w:tabs>
          <w:tab w:val="left" w:pos="2020"/>
        </w:tabs>
        <w:ind w:left="2020" w:hanging="716"/>
        <w:rPr>
          <w:rFonts w:ascii="Arial" w:eastAsia="Arial" w:hAnsi="Arial" w:cs="Arial"/>
          <w:sz w:val="18"/>
          <w:szCs w:val="18"/>
        </w:rPr>
      </w:pPr>
      <w:r>
        <w:rPr>
          <w:rFonts w:ascii="Arial" w:eastAsia="Arial" w:hAnsi="Arial" w:cs="Arial"/>
          <w:sz w:val="18"/>
          <w:szCs w:val="18"/>
        </w:rPr>
        <w:t>all transferable Permits;</w:t>
      </w:r>
    </w:p>
    <w:p w14:paraId="45E08F05" w14:textId="77777777" w:rsidR="00D1587D" w:rsidRDefault="00D1587D">
      <w:pPr>
        <w:spacing w:line="225" w:lineRule="exact"/>
        <w:rPr>
          <w:rFonts w:ascii="Arial" w:eastAsia="Arial" w:hAnsi="Arial" w:cs="Arial"/>
          <w:sz w:val="18"/>
          <w:szCs w:val="18"/>
        </w:rPr>
      </w:pPr>
    </w:p>
    <w:p w14:paraId="52DB8F0D" w14:textId="77777777" w:rsidR="00D1587D" w:rsidRDefault="00410D07">
      <w:pPr>
        <w:numPr>
          <w:ilvl w:val="0"/>
          <w:numId w:val="9"/>
        </w:numPr>
        <w:tabs>
          <w:tab w:val="left" w:pos="2000"/>
        </w:tabs>
        <w:ind w:left="2000" w:hanging="696"/>
        <w:rPr>
          <w:rFonts w:ascii="Arial" w:eastAsia="Arial" w:hAnsi="Arial" w:cs="Arial"/>
          <w:sz w:val="18"/>
          <w:szCs w:val="18"/>
        </w:rPr>
      </w:pPr>
      <w:r>
        <w:rPr>
          <w:rFonts w:ascii="Arial" w:eastAsia="Arial" w:hAnsi="Arial" w:cs="Arial"/>
          <w:sz w:val="18"/>
          <w:szCs w:val="18"/>
        </w:rPr>
        <w:t xml:space="preserve">all books, records, files and papers, </w:t>
      </w:r>
      <w:r>
        <w:rPr>
          <w:rFonts w:ascii="Arial" w:eastAsia="Arial" w:hAnsi="Arial" w:cs="Arial"/>
          <w:sz w:val="18"/>
          <w:szCs w:val="18"/>
        </w:rPr>
        <w:t>including Personal Information, other than the L Brands Records; and</w:t>
      </w:r>
    </w:p>
    <w:p w14:paraId="4C0BD690" w14:textId="77777777" w:rsidR="00D1587D" w:rsidRDefault="00D1587D">
      <w:pPr>
        <w:spacing w:line="225" w:lineRule="exact"/>
        <w:rPr>
          <w:rFonts w:ascii="Arial" w:eastAsia="Arial" w:hAnsi="Arial" w:cs="Arial"/>
          <w:sz w:val="18"/>
          <w:szCs w:val="18"/>
        </w:rPr>
      </w:pPr>
    </w:p>
    <w:p w14:paraId="7D334147" w14:textId="77777777" w:rsidR="00D1587D" w:rsidRDefault="00410D07">
      <w:pPr>
        <w:numPr>
          <w:ilvl w:val="0"/>
          <w:numId w:val="9"/>
        </w:numPr>
        <w:tabs>
          <w:tab w:val="left" w:pos="2020"/>
        </w:tabs>
        <w:ind w:left="2020" w:hanging="716"/>
        <w:rPr>
          <w:rFonts w:ascii="Arial" w:eastAsia="Arial" w:hAnsi="Arial" w:cs="Arial"/>
          <w:sz w:val="16"/>
          <w:szCs w:val="16"/>
        </w:rPr>
      </w:pPr>
      <w:r>
        <w:rPr>
          <w:rFonts w:ascii="Arial" w:eastAsia="Arial" w:hAnsi="Arial" w:cs="Arial"/>
          <w:sz w:val="16"/>
          <w:szCs w:val="16"/>
        </w:rPr>
        <w:t>all rights under warranties, indemnitees, guarantees, refunds and similar rights of L Brands and its Subsidiaries against Third</w:t>
      </w:r>
    </w:p>
    <w:p w14:paraId="325C415F" w14:textId="77777777" w:rsidR="00D1587D" w:rsidRDefault="00D1587D">
      <w:pPr>
        <w:spacing w:line="46" w:lineRule="exact"/>
        <w:rPr>
          <w:sz w:val="20"/>
          <w:szCs w:val="20"/>
        </w:rPr>
      </w:pPr>
    </w:p>
    <w:p w14:paraId="1844A7AA" w14:textId="77777777" w:rsidR="00D1587D" w:rsidRDefault="00410D07">
      <w:pPr>
        <w:ind w:left="660"/>
        <w:rPr>
          <w:sz w:val="20"/>
          <w:szCs w:val="20"/>
        </w:rPr>
      </w:pPr>
      <w:r>
        <w:rPr>
          <w:rFonts w:ascii="Arial" w:eastAsia="Arial" w:hAnsi="Arial" w:cs="Arial"/>
          <w:sz w:val="18"/>
          <w:szCs w:val="18"/>
        </w:rPr>
        <w:t>Parties;</w:t>
      </w:r>
    </w:p>
    <w:p w14:paraId="1CE0E98B" w14:textId="77777777" w:rsidR="00D1587D" w:rsidRDefault="00D1587D">
      <w:pPr>
        <w:spacing w:line="211" w:lineRule="exact"/>
        <w:rPr>
          <w:sz w:val="20"/>
          <w:szCs w:val="20"/>
        </w:rPr>
      </w:pPr>
    </w:p>
    <w:p w14:paraId="7B6C4997" w14:textId="77777777" w:rsidR="00D1587D" w:rsidRDefault="00410D07">
      <w:pPr>
        <w:spacing w:line="277" w:lineRule="auto"/>
        <w:ind w:right="380"/>
        <w:rPr>
          <w:sz w:val="20"/>
          <w:szCs w:val="20"/>
        </w:rPr>
      </w:pPr>
      <w:r>
        <w:rPr>
          <w:rFonts w:ascii="Arial" w:eastAsia="Arial" w:hAnsi="Arial" w:cs="Arial"/>
          <w:i/>
          <w:iCs/>
          <w:sz w:val="18"/>
          <w:szCs w:val="18"/>
        </w:rPr>
        <w:t xml:space="preserve">provided </w:t>
      </w:r>
      <w:r>
        <w:rPr>
          <w:rFonts w:ascii="Arial" w:eastAsia="Arial" w:hAnsi="Arial" w:cs="Arial"/>
          <w:sz w:val="18"/>
          <w:szCs w:val="18"/>
        </w:rPr>
        <w:t>that, notwithstanding the foregoing, t</w:t>
      </w:r>
      <w:r>
        <w:rPr>
          <w:rFonts w:ascii="Arial" w:eastAsia="Arial" w:hAnsi="Arial" w:cs="Arial"/>
          <w:sz w:val="18"/>
          <w:szCs w:val="18"/>
        </w:rPr>
        <w:t>he allocation of assets relating to Taxes shall be governed by the Tax Matters Agreement (other than the</w:t>
      </w:r>
      <w:r>
        <w:rPr>
          <w:rFonts w:ascii="Arial" w:eastAsia="Arial" w:hAnsi="Arial" w:cs="Arial"/>
          <w:i/>
          <w:iCs/>
          <w:sz w:val="18"/>
          <w:szCs w:val="18"/>
        </w:rPr>
        <w:t xml:space="preserve"> </w:t>
      </w:r>
      <w:r>
        <w:rPr>
          <w:rFonts w:ascii="Arial" w:eastAsia="Arial" w:hAnsi="Arial" w:cs="Arial"/>
          <w:sz w:val="18"/>
          <w:szCs w:val="18"/>
        </w:rPr>
        <w:t xml:space="preserve">allocation of prepaid </w:t>
      </w:r>
      <w:r>
        <w:rPr>
          <w:rFonts w:ascii="Arial" w:eastAsia="Arial" w:hAnsi="Arial" w:cs="Arial"/>
          <w:i/>
          <w:iCs/>
          <w:sz w:val="18"/>
          <w:szCs w:val="18"/>
        </w:rPr>
        <w:t>ad valorem</w:t>
      </w:r>
      <w:r>
        <w:rPr>
          <w:rFonts w:ascii="Arial" w:eastAsia="Arial" w:hAnsi="Arial" w:cs="Arial"/>
          <w:sz w:val="18"/>
          <w:szCs w:val="18"/>
        </w:rPr>
        <w:t xml:space="preserve"> Taxes, which shall be governed by clause (m)(iii) above).</w:t>
      </w:r>
    </w:p>
    <w:p w14:paraId="04502CBB" w14:textId="77777777" w:rsidR="00D1587D" w:rsidRDefault="00D1587D">
      <w:pPr>
        <w:spacing w:line="166" w:lineRule="exact"/>
        <w:rPr>
          <w:sz w:val="20"/>
          <w:szCs w:val="20"/>
        </w:rPr>
      </w:pPr>
    </w:p>
    <w:p w14:paraId="12D0B39D" w14:textId="77777777" w:rsidR="00D1587D" w:rsidRDefault="00410D07">
      <w:pPr>
        <w:spacing w:line="282" w:lineRule="auto"/>
        <w:ind w:right="800" w:firstLine="648"/>
        <w:rPr>
          <w:sz w:val="20"/>
          <w:szCs w:val="20"/>
        </w:rPr>
      </w:pPr>
      <w:r>
        <w:rPr>
          <w:rFonts w:ascii="Arial" w:eastAsia="Arial" w:hAnsi="Arial" w:cs="Arial"/>
          <w:sz w:val="18"/>
          <w:szCs w:val="18"/>
        </w:rPr>
        <w:t>“</w:t>
      </w:r>
      <w:r>
        <w:rPr>
          <w:rFonts w:ascii="Arial" w:eastAsia="Arial" w:hAnsi="Arial" w:cs="Arial"/>
          <w:b/>
          <w:bCs/>
          <w:sz w:val="18"/>
          <w:szCs w:val="18"/>
        </w:rPr>
        <w:t>VS Business</w:t>
      </w:r>
      <w:r>
        <w:rPr>
          <w:rFonts w:ascii="Arial" w:eastAsia="Arial" w:hAnsi="Arial" w:cs="Arial"/>
          <w:sz w:val="18"/>
          <w:szCs w:val="18"/>
        </w:rPr>
        <w:t>” means the specialty retail business of L Bran</w:t>
      </w:r>
      <w:r>
        <w:rPr>
          <w:rFonts w:ascii="Arial" w:eastAsia="Arial" w:hAnsi="Arial" w:cs="Arial"/>
          <w:sz w:val="18"/>
          <w:szCs w:val="18"/>
        </w:rPr>
        <w:t>ds and its Subsidiaries with respect to women’s intimate and other apparel, accessories, beauty care products and fragrances that is conducted under the Victoria’s Secret or PINK brands.</w:t>
      </w:r>
    </w:p>
    <w:p w14:paraId="6B8751EB" w14:textId="77777777" w:rsidR="00D1587D" w:rsidRDefault="00D1587D">
      <w:pPr>
        <w:spacing w:line="162" w:lineRule="exact"/>
        <w:rPr>
          <w:sz w:val="20"/>
          <w:szCs w:val="20"/>
        </w:rPr>
      </w:pPr>
    </w:p>
    <w:p w14:paraId="415E93F1" w14:textId="77777777" w:rsidR="00D1587D" w:rsidRDefault="00410D07">
      <w:pPr>
        <w:spacing w:line="282" w:lineRule="auto"/>
        <w:ind w:right="40" w:firstLine="648"/>
        <w:rPr>
          <w:sz w:val="20"/>
          <w:szCs w:val="20"/>
        </w:rPr>
      </w:pPr>
      <w:r>
        <w:rPr>
          <w:rFonts w:ascii="Arial" w:eastAsia="Arial" w:hAnsi="Arial" w:cs="Arial"/>
          <w:sz w:val="18"/>
          <w:szCs w:val="18"/>
        </w:rPr>
        <w:t>“</w:t>
      </w:r>
      <w:r>
        <w:rPr>
          <w:rFonts w:ascii="Arial" w:eastAsia="Arial" w:hAnsi="Arial" w:cs="Arial"/>
          <w:b/>
          <w:bCs/>
          <w:sz w:val="18"/>
          <w:szCs w:val="18"/>
        </w:rPr>
        <w:t>VS Commercial Data</w:t>
      </w:r>
      <w:r>
        <w:rPr>
          <w:rFonts w:ascii="Arial" w:eastAsia="Arial" w:hAnsi="Arial" w:cs="Arial"/>
          <w:sz w:val="18"/>
          <w:szCs w:val="18"/>
        </w:rPr>
        <w:t xml:space="preserve">” means any and all Commercial Data used or </w:t>
      </w:r>
      <w:r>
        <w:rPr>
          <w:rFonts w:ascii="Arial" w:eastAsia="Arial" w:hAnsi="Arial" w:cs="Arial"/>
          <w:sz w:val="18"/>
          <w:szCs w:val="18"/>
        </w:rPr>
        <w:t>held for use, in each case, exclusively in the conduct of the VS Business by L Brands and its Subsidiaries as the same shall exist on the Distribution Date.</w:t>
      </w:r>
    </w:p>
    <w:p w14:paraId="645E49DC" w14:textId="77777777" w:rsidR="00D1587D" w:rsidRDefault="00D1587D">
      <w:pPr>
        <w:spacing w:line="162" w:lineRule="exact"/>
        <w:rPr>
          <w:sz w:val="20"/>
          <w:szCs w:val="20"/>
        </w:rPr>
      </w:pPr>
    </w:p>
    <w:p w14:paraId="10445770" w14:textId="77777777" w:rsidR="00D1587D" w:rsidRDefault="00410D07">
      <w:pPr>
        <w:spacing w:line="282" w:lineRule="auto"/>
        <w:ind w:right="360" w:firstLine="648"/>
        <w:rPr>
          <w:sz w:val="20"/>
          <w:szCs w:val="20"/>
        </w:rPr>
      </w:pPr>
      <w:r>
        <w:rPr>
          <w:rFonts w:ascii="Arial" w:eastAsia="Arial" w:hAnsi="Arial" w:cs="Arial"/>
          <w:sz w:val="18"/>
          <w:szCs w:val="18"/>
        </w:rPr>
        <w:t>“</w:t>
      </w:r>
      <w:r>
        <w:rPr>
          <w:rFonts w:ascii="Arial" w:eastAsia="Arial" w:hAnsi="Arial" w:cs="Arial"/>
          <w:b/>
          <w:bCs/>
          <w:sz w:val="18"/>
          <w:szCs w:val="18"/>
        </w:rPr>
        <w:t>VS Contracts</w:t>
      </w:r>
      <w:r>
        <w:rPr>
          <w:rFonts w:ascii="Arial" w:eastAsia="Arial" w:hAnsi="Arial" w:cs="Arial"/>
          <w:sz w:val="18"/>
          <w:szCs w:val="18"/>
        </w:rPr>
        <w:t>” means the Contracts (i) used or held for use, in each case, exclusively in the cond</w:t>
      </w:r>
      <w:r>
        <w:rPr>
          <w:rFonts w:ascii="Arial" w:eastAsia="Arial" w:hAnsi="Arial" w:cs="Arial"/>
          <w:sz w:val="18"/>
          <w:szCs w:val="18"/>
        </w:rPr>
        <w:t>uct of the VS Business by L Brands and its Subsidiaries as the same shall exist on the Distribution Date or (ii) set forth on Schedule 1.01(i).</w:t>
      </w:r>
    </w:p>
    <w:p w14:paraId="28DB2759" w14:textId="77777777" w:rsidR="00D1587D" w:rsidRDefault="00D1587D">
      <w:pPr>
        <w:spacing w:line="162" w:lineRule="exact"/>
        <w:rPr>
          <w:sz w:val="20"/>
          <w:szCs w:val="20"/>
        </w:rPr>
      </w:pPr>
    </w:p>
    <w:p w14:paraId="7A815BFE" w14:textId="77777777" w:rsidR="00D1587D" w:rsidRDefault="00410D07">
      <w:pPr>
        <w:spacing w:line="266" w:lineRule="auto"/>
        <w:ind w:firstLine="648"/>
        <w:rPr>
          <w:sz w:val="20"/>
          <w:szCs w:val="20"/>
        </w:rPr>
      </w:pPr>
      <w:r>
        <w:rPr>
          <w:rFonts w:ascii="Arial" w:eastAsia="Arial" w:hAnsi="Arial" w:cs="Arial"/>
          <w:sz w:val="18"/>
          <w:szCs w:val="18"/>
        </w:rPr>
        <w:t>“</w:t>
      </w:r>
      <w:r>
        <w:rPr>
          <w:rFonts w:ascii="Arial" w:eastAsia="Arial" w:hAnsi="Arial" w:cs="Arial"/>
          <w:b/>
          <w:bCs/>
          <w:sz w:val="18"/>
          <w:szCs w:val="18"/>
        </w:rPr>
        <w:t>VS Distribution Centers</w:t>
      </w:r>
      <w:r>
        <w:rPr>
          <w:rFonts w:ascii="Arial" w:eastAsia="Arial" w:hAnsi="Arial" w:cs="Arial"/>
          <w:sz w:val="18"/>
          <w:szCs w:val="18"/>
        </w:rPr>
        <w:t>” means the following distribution centers and offices of L Brands and its Subsidiaries</w:t>
      </w:r>
      <w:r>
        <w:rPr>
          <w:rFonts w:ascii="Arial" w:eastAsia="Arial" w:hAnsi="Arial" w:cs="Arial"/>
          <w:sz w:val="18"/>
          <w:szCs w:val="18"/>
        </w:rPr>
        <w:t xml:space="preserve">: (i) Distribution Center 4 located at Four Limited Parkway, Reynoldsburg, Ohio, 43068, (ii) Distribution Center 5 located at Five Limited Parkway, Reynoldsburg, Ohio 43068 and (iii) the real property commonly known as DC6, located at 3425 Morse Crossing, </w:t>
      </w:r>
      <w:r>
        <w:rPr>
          <w:rFonts w:ascii="Arial" w:eastAsia="Arial" w:hAnsi="Arial" w:cs="Arial"/>
          <w:sz w:val="18"/>
          <w:szCs w:val="18"/>
        </w:rPr>
        <w:t>Columbus, Ohio, 43219.</w:t>
      </w:r>
    </w:p>
    <w:p w14:paraId="4FB3173C" w14:textId="77777777" w:rsidR="00D1587D" w:rsidRDefault="00D1587D">
      <w:pPr>
        <w:spacing w:line="176" w:lineRule="exact"/>
        <w:rPr>
          <w:sz w:val="20"/>
          <w:szCs w:val="20"/>
        </w:rPr>
      </w:pPr>
    </w:p>
    <w:p w14:paraId="248F2B4C" w14:textId="77777777" w:rsidR="00D1587D" w:rsidRDefault="00410D07">
      <w:pPr>
        <w:spacing w:line="282" w:lineRule="auto"/>
        <w:ind w:right="440" w:firstLine="648"/>
        <w:rPr>
          <w:sz w:val="20"/>
          <w:szCs w:val="20"/>
        </w:rPr>
      </w:pPr>
      <w:r>
        <w:rPr>
          <w:rFonts w:ascii="Arial" w:eastAsia="Arial" w:hAnsi="Arial" w:cs="Arial"/>
          <w:sz w:val="18"/>
          <w:szCs w:val="18"/>
        </w:rPr>
        <w:t>“</w:t>
      </w:r>
      <w:r>
        <w:rPr>
          <w:rFonts w:ascii="Arial" w:eastAsia="Arial" w:hAnsi="Arial" w:cs="Arial"/>
          <w:b/>
          <w:bCs/>
          <w:sz w:val="18"/>
          <w:szCs w:val="18"/>
        </w:rPr>
        <w:t>VS Equity Interests</w:t>
      </w:r>
      <w:r>
        <w:rPr>
          <w:rFonts w:ascii="Arial" w:eastAsia="Arial" w:hAnsi="Arial" w:cs="Arial"/>
          <w:sz w:val="18"/>
          <w:szCs w:val="18"/>
        </w:rPr>
        <w:t>” means (i) the equity interests of each member of the VS Group and (ii) the equity interests of the entities set forth on Schedule 1.01(j).</w:t>
      </w:r>
    </w:p>
    <w:p w14:paraId="237CB590" w14:textId="77777777" w:rsidR="00D1587D" w:rsidRDefault="00D1587D">
      <w:pPr>
        <w:spacing w:line="162" w:lineRule="exact"/>
        <w:rPr>
          <w:sz w:val="20"/>
          <w:szCs w:val="20"/>
        </w:rPr>
      </w:pPr>
    </w:p>
    <w:p w14:paraId="024E1C93"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Financing Arrangements</w:t>
      </w:r>
      <w:r>
        <w:rPr>
          <w:rFonts w:ascii="Arial" w:eastAsia="Arial" w:hAnsi="Arial" w:cs="Arial"/>
          <w:sz w:val="18"/>
          <w:szCs w:val="18"/>
        </w:rPr>
        <w:t>” means [</w:t>
      </w:r>
      <w:r>
        <w:rPr>
          <w:rFonts w:ascii="Arial" w:eastAsia="Arial" w:hAnsi="Arial" w:cs="Arial"/>
          <w:b/>
          <w:bCs/>
          <w:sz w:val="18"/>
          <w:szCs w:val="18"/>
        </w:rPr>
        <w:t>—</w:t>
      </w:r>
      <w:r>
        <w:rPr>
          <w:rFonts w:ascii="Arial" w:eastAsia="Arial" w:hAnsi="Arial" w:cs="Arial"/>
          <w:sz w:val="18"/>
          <w:szCs w:val="18"/>
        </w:rPr>
        <w:t>].</w:t>
      </w:r>
    </w:p>
    <w:p w14:paraId="09AADCEB" w14:textId="77777777" w:rsidR="00D1587D" w:rsidRDefault="00D1587D">
      <w:pPr>
        <w:spacing w:line="216" w:lineRule="exact"/>
        <w:rPr>
          <w:sz w:val="20"/>
          <w:szCs w:val="20"/>
        </w:rPr>
      </w:pPr>
    </w:p>
    <w:p w14:paraId="7AE9C89C" w14:textId="77777777" w:rsidR="00D1587D" w:rsidRDefault="00410D07">
      <w:pPr>
        <w:ind w:right="20"/>
        <w:jc w:val="center"/>
        <w:rPr>
          <w:sz w:val="20"/>
          <w:szCs w:val="20"/>
        </w:rPr>
      </w:pPr>
      <w:r>
        <w:rPr>
          <w:rFonts w:ascii="Arial" w:eastAsia="Arial" w:hAnsi="Arial" w:cs="Arial"/>
          <w:sz w:val="18"/>
          <w:szCs w:val="18"/>
        </w:rPr>
        <w:t>13</w:t>
      </w:r>
    </w:p>
    <w:p w14:paraId="75C20411" w14:textId="77777777" w:rsidR="00D1587D" w:rsidRDefault="00410D07">
      <w:pPr>
        <w:spacing w:line="20" w:lineRule="exact"/>
        <w:rPr>
          <w:sz w:val="20"/>
          <w:szCs w:val="20"/>
        </w:rPr>
      </w:pPr>
      <w:r>
        <w:rPr>
          <w:noProof/>
          <w:sz w:val="20"/>
          <w:szCs w:val="20"/>
        </w:rPr>
        <w:drawing>
          <wp:anchor distT="0" distB="0" distL="114300" distR="114300" simplePos="0" relativeHeight="251165696" behindDoc="1" locked="0" layoutInCell="0" allowOverlap="1" wp14:anchorId="6CF4A07C" wp14:editId="7FBDA2A0">
            <wp:simplePos x="0" y="0"/>
            <wp:positionH relativeFrom="column">
              <wp:posOffset>5080</wp:posOffset>
            </wp:positionH>
            <wp:positionV relativeFrom="paragraph">
              <wp:posOffset>48895</wp:posOffset>
            </wp:positionV>
            <wp:extent cx="7132320" cy="171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F22F763" w14:textId="77777777" w:rsidR="00D1587D" w:rsidRDefault="00D1587D">
      <w:pPr>
        <w:sectPr w:rsidR="00D1587D">
          <w:pgSz w:w="11900" w:h="16838"/>
          <w:pgMar w:top="341" w:right="379" w:bottom="1440" w:left="320" w:header="0" w:footer="0" w:gutter="0"/>
          <w:cols w:space="720" w:equalWidth="0">
            <w:col w:w="11200"/>
          </w:cols>
        </w:sectPr>
      </w:pPr>
    </w:p>
    <w:p w14:paraId="6B796A80" w14:textId="77777777" w:rsidR="00D1587D" w:rsidRDefault="00410D07">
      <w:pPr>
        <w:ind w:left="660"/>
        <w:rPr>
          <w:sz w:val="20"/>
          <w:szCs w:val="20"/>
        </w:rPr>
      </w:pPr>
      <w:bookmarkStart w:id="22" w:name="page23"/>
      <w:bookmarkEnd w:id="22"/>
      <w:r>
        <w:rPr>
          <w:rFonts w:ascii="Arial" w:eastAsia="Arial" w:hAnsi="Arial" w:cs="Arial"/>
          <w:sz w:val="18"/>
          <w:szCs w:val="18"/>
        </w:rPr>
        <w:t>“</w:t>
      </w:r>
      <w:r>
        <w:rPr>
          <w:rFonts w:ascii="Arial" w:eastAsia="Arial" w:hAnsi="Arial" w:cs="Arial"/>
          <w:b/>
          <w:bCs/>
          <w:sz w:val="18"/>
          <w:szCs w:val="18"/>
        </w:rPr>
        <w:t xml:space="preserve">VS </w:t>
      </w:r>
      <w:r>
        <w:rPr>
          <w:rFonts w:ascii="Arial" w:eastAsia="Arial" w:hAnsi="Arial" w:cs="Arial"/>
          <w:b/>
          <w:bCs/>
          <w:sz w:val="18"/>
          <w:szCs w:val="18"/>
        </w:rPr>
        <w:t>First-Tier Subsidiaries</w:t>
      </w:r>
      <w:r>
        <w:rPr>
          <w:rFonts w:ascii="Arial" w:eastAsia="Arial" w:hAnsi="Arial" w:cs="Arial"/>
          <w:sz w:val="18"/>
          <w:szCs w:val="18"/>
        </w:rPr>
        <w:t>” means each of [</w:t>
      </w:r>
      <w:r>
        <w:rPr>
          <w:rFonts w:ascii="Arial" w:eastAsia="Arial" w:hAnsi="Arial" w:cs="Arial"/>
          <w:b/>
          <w:bCs/>
          <w:sz w:val="18"/>
          <w:szCs w:val="18"/>
        </w:rPr>
        <w:t>—</w:t>
      </w:r>
      <w:r>
        <w:rPr>
          <w:rFonts w:ascii="Arial" w:eastAsia="Arial" w:hAnsi="Arial" w:cs="Arial"/>
          <w:sz w:val="18"/>
          <w:szCs w:val="18"/>
        </w:rPr>
        <w:t>].</w:t>
      </w:r>
    </w:p>
    <w:p w14:paraId="2BF7B307" w14:textId="77777777" w:rsidR="00D1587D" w:rsidRDefault="00D1587D">
      <w:pPr>
        <w:spacing w:line="225" w:lineRule="exact"/>
        <w:rPr>
          <w:sz w:val="20"/>
          <w:szCs w:val="20"/>
        </w:rPr>
      </w:pPr>
    </w:p>
    <w:p w14:paraId="589BD734"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Group</w:t>
      </w:r>
      <w:r>
        <w:rPr>
          <w:rFonts w:ascii="Arial" w:eastAsia="Arial" w:hAnsi="Arial" w:cs="Arial"/>
          <w:sz w:val="18"/>
          <w:szCs w:val="18"/>
        </w:rPr>
        <w:t>” means VS and its Subsidiaries set forth on Schedule 1.01(k).</w:t>
      </w:r>
    </w:p>
    <w:p w14:paraId="6D9BC08D" w14:textId="77777777" w:rsidR="00D1587D" w:rsidRDefault="00D1587D">
      <w:pPr>
        <w:spacing w:line="225" w:lineRule="exact"/>
        <w:rPr>
          <w:sz w:val="20"/>
          <w:szCs w:val="20"/>
        </w:rPr>
      </w:pPr>
    </w:p>
    <w:p w14:paraId="0B36D930"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IP</w:t>
      </w:r>
      <w:r>
        <w:rPr>
          <w:rFonts w:ascii="Arial" w:eastAsia="Arial" w:hAnsi="Arial" w:cs="Arial"/>
          <w:sz w:val="18"/>
          <w:szCs w:val="18"/>
        </w:rPr>
        <w:t>” means all Intellectual Property Rights owned by L Brands and its Subsidiaries and included in the VS Assets.</w:t>
      </w:r>
    </w:p>
    <w:p w14:paraId="5236B292" w14:textId="77777777" w:rsidR="00D1587D" w:rsidRDefault="00D1587D">
      <w:pPr>
        <w:spacing w:line="225" w:lineRule="exact"/>
        <w:rPr>
          <w:sz w:val="20"/>
          <w:szCs w:val="20"/>
        </w:rPr>
      </w:pPr>
    </w:p>
    <w:p w14:paraId="176D645B"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IT Assets</w:t>
      </w:r>
      <w:r>
        <w:rPr>
          <w:rFonts w:ascii="Arial" w:eastAsia="Arial" w:hAnsi="Arial" w:cs="Arial"/>
          <w:sz w:val="18"/>
          <w:szCs w:val="18"/>
        </w:rPr>
        <w:t xml:space="preserve">” </w:t>
      </w:r>
      <w:r>
        <w:rPr>
          <w:rFonts w:ascii="Arial" w:eastAsia="Arial" w:hAnsi="Arial" w:cs="Arial"/>
          <w:sz w:val="18"/>
          <w:szCs w:val="18"/>
        </w:rPr>
        <w:t>has the meaning set forth in the definition of “VS Assets.”</w:t>
      </w:r>
    </w:p>
    <w:p w14:paraId="5AAFBE50" w14:textId="77777777" w:rsidR="00D1587D" w:rsidRDefault="00D1587D">
      <w:pPr>
        <w:spacing w:line="225" w:lineRule="exact"/>
        <w:rPr>
          <w:sz w:val="20"/>
          <w:szCs w:val="20"/>
        </w:rPr>
      </w:pPr>
    </w:p>
    <w:p w14:paraId="2324F94D" w14:textId="77777777" w:rsidR="00D1587D" w:rsidRDefault="00410D07">
      <w:pPr>
        <w:spacing w:line="261" w:lineRule="auto"/>
        <w:ind w:right="120" w:firstLine="648"/>
        <w:rPr>
          <w:sz w:val="20"/>
          <w:szCs w:val="20"/>
        </w:rPr>
      </w:pPr>
      <w:r>
        <w:rPr>
          <w:rFonts w:ascii="Arial" w:eastAsia="Arial" w:hAnsi="Arial" w:cs="Arial"/>
          <w:sz w:val="18"/>
          <w:szCs w:val="18"/>
        </w:rPr>
        <w:t>“</w:t>
      </w:r>
      <w:r>
        <w:rPr>
          <w:rFonts w:ascii="Arial" w:eastAsia="Arial" w:hAnsi="Arial" w:cs="Arial"/>
          <w:b/>
          <w:bCs/>
          <w:sz w:val="18"/>
          <w:szCs w:val="18"/>
        </w:rPr>
        <w:t>VS Liabilities</w:t>
      </w:r>
      <w:r>
        <w:rPr>
          <w:rFonts w:ascii="Arial" w:eastAsia="Arial" w:hAnsi="Arial" w:cs="Arial"/>
          <w:sz w:val="18"/>
          <w:szCs w:val="18"/>
        </w:rPr>
        <w:t>” means, as determined by L Brands in its reasonable discretion, all Liabilities (including Environmental Liabilities) to the extent arising out of the VS Assets or to the extent r</w:t>
      </w:r>
      <w:r>
        <w:rPr>
          <w:rFonts w:ascii="Arial" w:eastAsia="Arial" w:hAnsi="Arial" w:cs="Arial"/>
          <w:sz w:val="18"/>
          <w:szCs w:val="18"/>
        </w:rPr>
        <w:t>elating to or to the extent arising out of the conduct of the VS Business, as currently or formerly operated (including as conducted or operated by any predecessor of any member of the L Brands Group or the VS Group), in each case, whether incurred, accrui</w:t>
      </w:r>
      <w:r>
        <w:rPr>
          <w:rFonts w:ascii="Arial" w:eastAsia="Arial" w:hAnsi="Arial" w:cs="Arial"/>
          <w:sz w:val="18"/>
          <w:szCs w:val="18"/>
        </w:rPr>
        <w:t>ng or arising on, prior to or after the Distribution, including:</w:t>
      </w:r>
    </w:p>
    <w:p w14:paraId="5C7CCA93" w14:textId="77777777" w:rsidR="00D1587D" w:rsidRDefault="00D1587D">
      <w:pPr>
        <w:spacing w:line="184" w:lineRule="exact"/>
        <w:rPr>
          <w:sz w:val="20"/>
          <w:szCs w:val="20"/>
        </w:rPr>
      </w:pPr>
    </w:p>
    <w:p w14:paraId="3A744DCF" w14:textId="77777777" w:rsidR="00D1587D" w:rsidRDefault="00410D07">
      <w:pPr>
        <w:numPr>
          <w:ilvl w:val="0"/>
          <w:numId w:val="10"/>
        </w:numPr>
        <w:tabs>
          <w:tab w:val="left" w:pos="1360"/>
        </w:tabs>
        <w:ind w:left="1360" w:hanging="704"/>
        <w:rPr>
          <w:rFonts w:ascii="Arial" w:eastAsia="Arial" w:hAnsi="Arial" w:cs="Arial"/>
          <w:sz w:val="18"/>
          <w:szCs w:val="18"/>
        </w:rPr>
      </w:pPr>
      <w:r>
        <w:rPr>
          <w:rFonts w:ascii="Arial" w:eastAsia="Arial" w:hAnsi="Arial" w:cs="Arial"/>
          <w:sz w:val="18"/>
          <w:szCs w:val="18"/>
        </w:rPr>
        <w:t>all Indebtedness of each member of the VS Group;</w:t>
      </w:r>
    </w:p>
    <w:p w14:paraId="1AD9C0F7" w14:textId="77777777" w:rsidR="00D1587D" w:rsidRDefault="00D1587D">
      <w:pPr>
        <w:spacing w:line="225" w:lineRule="exact"/>
        <w:rPr>
          <w:rFonts w:ascii="Arial" w:eastAsia="Arial" w:hAnsi="Arial" w:cs="Arial"/>
          <w:sz w:val="18"/>
          <w:szCs w:val="18"/>
        </w:rPr>
      </w:pPr>
    </w:p>
    <w:p w14:paraId="2ECC7123" w14:textId="77777777" w:rsidR="00D1587D" w:rsidRDefault="00410D07">
      <w:pPr>
        <w:numPr>
          <w:ilvl w:val="0"/>
          <w:numId w:val="10"/>
        </w:numPr>
        <w:tabs>
          <w:tab w:val="left" w:pos="1360"/>
        </w:tabs>
        <w:ind w:left="1360" w:hanging="704"/>
        <w:rPr>
          <w:rFonts w:ascii="Arial" w:eastAsia="Arial" w:hAnsi="Arial" w:cs="Arial"/>
          <w:sz w:val="18"/>
          <w:szCs w:val="18"/>
        </w:rPr>
      </w:pPr>
      <w:r>
        <w:rPr>
          <w:rFonts w:ascii="Arial" w:eastAsia="Arial" w:hAnsi="Arial" w:cs="Arial"/>
          <w:sz w:val="18"/>
          <w:szCs w:val="18"/>
        </w:rPr>
        <w:t>all Liabilities relating to, arising out of or in connection with or resulting from the VS Financing Arrangements;</w:t>
      </w:r>
    </w:p>
    <w:p w14:paraId="741D2866" w14:textId="77777777" w:rsidR="00D1587D" w:rsidRDefault="00D1587D">
      <w:pPr>
        <w:spacing w:line="225" w:lineRule="exact"/>
        <w:rPr>
          <w:rFonts w:ascii="Arial" w:eastAsia="Arial" w:hAnsi="Arial" w:cs="Arial"/>
          <w:sz w:val="18"/>
          <w:szCs w:val="18"/>
        </w:rPr>
      </w:pPr>
    </w:p>
    <w:p w14:paraId="1DA3C559" w14:textId="77777777" w:rsidR="00D1587D" w:rsidRDefault="00410D07">
      <w:pPr>
        <w:numPr>
          <w:ilvl w:val="0"/>
          <w:numId w:val="10"/>
        </w:numPr>
        <w:tabs>
          <w:tab w:val="left" w:pos="1360"/>
        </w:tabs>
        <w:ind w:left="1360" w:hanging="704"/>
        <w:rPr>
          <w:rFonts w:ascii="Arial" w:eastAsia="Arial" w:hAnsi="Arial" w:cs="Arial"/>
          <w:sz w:val="16"/>
          <w:szCs w:val="16"/>
        </w:rPr>
      </w:pPr>
      <w:r>
        <w:rPr>
          <w:rFonts w:ascii="Arial" w:eastAsia="Arial" w:hAnsi="Arial" w:cs="Arial"/>
          <w:sz w:val="16"/>
          <w:szCs w:val="16"/>
        </w:rPr>
        <w:t>all Liabilities of L Bra</w:t>
      </w:r>
      <w:r>
        <w:rPr>
          <w:rFonts w:ascii="Arial" w:eastAsia="Arial" w:hAnsi="Arial" w:cs="Arial"/>
          <w:sz w:val="16"/>
          <w:szCs w:val="16"/>
        </w:rPr>
        <w:t>nds and its Subsidiaries arising under the VS Contracts and the Contracts set forth in clause (m)(i) of the definition</w:t>
      </w:r>
    </w:p>
    <w:p w14:paraId="2ED69736" w14:textId="77777777" w:rsidR="00D1587D" w:rsidRDefault="00D1587D">
      <w:pPr>
        <w:spacing w:line="46" w:lineRule="exact"/>
        <w:rPr>
          <w:rFonts w:ascii="Arial" w:eastAsia="Arial" w:hAnsi="Arial" w:cs="Arial"/>
          <w:sz w:val="16"/>
          <w:szCs w:val="16"/>
        </w:rPr>
      </w:pPr>
    </w:p>
    <w:p w14:paraId="7973CF13" w14:textId="77777777" w:rsidR="00D1587D" w:rsidRDefault="00410D07">
      <w:pPr>
        <w:rPr>
          <w:rFonts w:ascii="Arial" w:eastAsia="Arial" w:hAnsi="Arial" w:cs="Arial"/>
          <w:sz w:val="16"/>
          <w:szCs w:val="16"/>
        </w:rPr>
      </w:pPr>
      <w:r>
        <w:rPr>
          <w:rFonts w:ascii="Arial" w:eastAsia="Arial" w:hAnsi="Arial" w:cs="Arial"/>
          <w:sz w:val="18"/>
          <w:szCs w:val="18"/>
        </w:rPr>
        <w:t>of “VS Assets”;</w:t>
      </w:r>
    </w:p>
    <w:p w14:paraId="6ADC11A6" w14:textId="77777777" w:rsidR="00D1587D" w:rsidRDefault="00D1587D">
      <w:pPr>
        <w:spacing w:line="210" w:lineRule="exact"/>
        <w:rPr>
          <w:rFonts w:ascii="Arial" w:eastAsia="Arial" w:hAnsi="Arial" w:cs="Arial"/>
          <w:sz w:val="16"/>
          <w:szCs w:val="16"/>
        </w:rPr>
      </w:pPr>
    </w:p>
    <w:p w14:paraId="179DEFFD" w14:textId="77777777" w:rsidR="00D1587D" w:rsidRDefault="00410D07">
      <w:pPr>
        <w:numPr>
          <w:ilvl w:val="0"/>
          <w:numId w:val="10"/>
        </w:numPr>
        <w:tabs>
          <w:tab w:val="left" w:pos="1360"/>
        </w:tabs>
        <w:ind w:left="1360" w:hanging="704"/>
        <w:rPr>
          <w:rFonts w:ascii="Arial" w:eastAsia="Arial" w:hAnsi="Arial" w:cs="Arial"/>
          <w:sz w:val="18"/>
          <w:szCs w:val="18"/>
        </w:rPr>
      </w:pPr>
      <w:r>
        <w:rPr>
          <w:rFonts w:ascii="Arial" w:eastAsia="Arial" w:hAnsi="Arial" w:cs="Arial"/>
          <w:sz w:val="18"/>
          <w:szCs w:val="18"/>
        </w:rPr>
        <w:t>all Liabilities relating to any products manufactured or sold by the VS Business;</w:t>
      </w:r>
    </w:p>
    <w:p w14:paraId="210C78EE" w14:textId="77777777" w:rsidR="00D1587D" w:rsidRDefault="00D1587D">
      <w:pPr>
        <w:spacing w:line="225" w:lineRule="exact"/>
        <w:rPr>
          <w:rFonts w:ascii="Arial" w:eastAsia="Arial" w:hAnsi="Arial" w:cs="Arial"/>
          <w:sz w:val="18"/>
          <w:szCs w:val="18"/>
        </w:rPr>
      </w:pPr>
    </w:p>
    <w:p w14:paraId="768808E4" w14:textId="77777777" w:rsidR="00D1587D" w:rsidRDefault="00410D07">
      <w:pPr>
        <w:numPr>
          <w:ilvl w:val="0"/>
          <w:numId w:val="10"/>
        </w:numPr>
        <w:tabs>
          <w:tab w:val="left" w:pos="1400"/>
        </w:tabs>
        <w:ind w:left="1400" w:hanging="744"/>
        <w:rPr>
          <w:rFonts w:ascii="Arial" w:eastAsia="Arial" w:hAnsi="Arial" w:cs="Arial"/>
          <w:sz w:val="18"/>
          <w:szCs w:val="18"/>
        </w:rPr>
      </w:pPr>
      <w:r>
        <w:rPr>
          <w:rFonts w:ascii="Arial" w:eastAsia="Arial" w:hAnsi="Arial" w:cs="Arial"/>
          <w:sz w:val="18"/>
          <w:szCs w:val="18"/>
        </w:rPr>
        <w:t>the Actions set forth on Schedule 1.</w:t>
      </w:r>
      <w:r>
        <w:rPr>
          <w:rFonts w:ascii="Arial" w:eastAsia="Arial" w:hAnsi="Arial" w:cs="Arial"/>
          <w:sz w:val="18"/>
          <w:szCs w:val="18"/>
        </w:rPr>
        <w:t>01(l);</w:t>
      </w:r>
    </w:p>
    <w:p w14:paraId="5BCA0923" w14:textId="77777777" w:rsidR="00D1587D" w:rsidRDefault="00D1587D">
      <w:pPr>
        <w:spacing w:line="225" w:lineRule="exact"/>
        <w:rPr>
          <w:rFonts w:ascii="Arial" w:eastAsia="Arial" w:hAnsi="Arial" w:cs="Arial"/>
          <w:sz w:val="18"/>
          <w:szCs w:val="18"/>
        </w:rPr>
      </w:pPr>
    </w:p>
    <w:p w14:paraId="70CD7CB9" w14:textId="77777777" w:rsidR="00D1587D" w:rsidRDefault="00410D07">
      <w:pPr>
        <w:numPr>
          <w:ilvl w:val="0"/>
          <w:numId w:val="10"/>
        </w:numPr>
        <w:tabs>
          <w:tab w:val="left" w:pos="1368"/>
        </w:tabs>
        <w:spacing w:line="263" w:lineRule="auto"/>
        <w:ind w:right="180" w:firstLine="656"/>
        <w:rPr>
          <w:rFonts w:ascii="Arial" w:eastAsia="Arial" w:hAnsi="Arial" w:cs="Arial"/>
          <w:sz w:val="18"/>
          <w:szCs w:val="18"/>
        </w:rPr>
      </w:pPr>
      <w:r>
        <w:rPr>
          <w:rFonts w:ascii="Arial" w:eastAsia="Arial" w:hAnsi="Arial" w:cs="Arial"/>
          <w:sz w:val="18"/>
          <w:szCs w:val="18"/>
        </w:rPr>
        <w:t>all Liabilities that are expressly contemplated by this Agreement or any other Ancillary Agreement as Liabilities to be retained or assumed by VS or any other member of the VS Group, and all agreements, obligations and other Liabilities of VS or an</w:t>
      </w:r>
      <w:r>
        <w:rPr>
          <w:rFonts w:ascii="Arial" w:eastAsia="Arial" w:hAnsi="Arial" w:cs="Arial"/>
          <w:sz w:val="18"/>
          <w:szCs w:val="18"/>
        </w:rPr>
        <w:t>y member of the VS Group under this Agreement or any of the other Ancillary Agreements; and</w:t>
      </w:r>
    </w:p>
    <w:p w14:paraId="1636AC76" w14:textId="77777777" w:rsidR="00D1587D" w:rsidRDefault="00D1587D">
      <w:pPr>
        <w:spacing w:line="183" w:lineRule="exact"/>
        <w:rPr>
          <w:rFonts w:ascii="Arial" w:eastAsia="Arial" w:hAnsi="Arial" w:cs="Arial"/>
          <w:sz w:val="18"/>
          <w:szCs w:val="18"/>
        </w:rPr>
      </w:pPr>
    </w:p>
    <w:p w14:paraId="4A82EA08" w14:textId="77777777" w:rsidR="00D1587D" w:rsidRDefault="00410D07">
      <w:pPr>
        <w:numPr>
          <w:ilvl w:val="0"/>
          <w:numId w:val="10"/>
        </w:numPr>
        <w:tabs>
          <w:tab w:val="left" w:pos="1360"/>
        </w:tabs>
        <w:ind w:left="1360" w:hanging="704"/>
        <w:rPr>
          <w:rFonts w:ascii="Arial" w:eastAsia="Arial" w:hAnsi="Arial" w:cs="Arial"/>
          <w:sz w:val="18"/>
          <w:szCs w:val="18"/>
        </w:rPr>
      </w:pPr>
      <w:r>
        <w:rPr>
          <w:rFonts w:ascii="Arial" w:eastAsia="Arial" w:hAnsi="Arial" w:cs="Arial"/>
          <w:sz w:val="18"/>
          <w:szCs w:val="18"/>
        </w:rPr>
        <w:t>all Liabilities set forth on Schedule 1.01(m);</w:t>
      </w:r>
    </w:p>
    <w:p w14:paraId="1B591378" w14:textId="77777777" w:rsidR="00D1587D" w:rsidRDefault="00D1587D">
      <w:pPr>
        <w:spacing w:line="225" w:lineRule="exact"/>
        <w:rPr>
          <w:sz w:val="20"/>
          <w:szCs w:val="20"/>
        </w:rPr>
      </w:pPr>
    </w:p>
    <w:p w14:paraId="434C9EE9" w14:textId="77777777" w:rsidR="00D1587D" w:rsidRDefault="00410D07">
      <w:pPr>
        <w:spacing w:line="263" w:lineRule="auto"/>
        <w:ind w:right="120"/>
        <w:rPr>
          <w:sz w:val="20"/>
          <w:szCs w:val="20"/>
        </w:rPr>
      </w:pPr>
      <w:r>
        <w:rPr>
          <w:rFonts w:ascii="Arial" w:eastAsia="Arial" w:hAnsi="Arial" w:cs="Arial"/>
          <w:i/>
          <w:iCs/>
          <w:sz w:val="18"/>
          <w:szCs w:val="18"/>
        </w:rPr>
        <w:t xml:space="preserve">provided </w:t>
      </w:r>
      <w:r>
        <w:rPr>
          <w:rFonts w:ascii="Arial" w:eastAsia="Arial" w:hAnsi="Arial" w:cs="Arial"/>
          <w:sz w:val="18"/>
          <w:szCs w:val="18"/>
        </w:rPr>
        <w:t xml:space="preserve">that, notwithstanding the foregoing, (i) the allocation of Liabilities relating to Taxes shall be </w:t>
      </w:r>
      <w:r>
        <w:rPr>
          <w:rFonts w:ascii="Arial" w:eastAsia="Arial" w:hAnsi="Arial" w:cs="Arial"/>
          <w:sz w:val="18"/>
          <w:szCs w:val="18"/>
        </w:rPr>
        <w:t>governed by the Tax Matters Agreement and (ii) the</w:t>
      </w:r>
      <w:r>
        <w:rPr>
          <w:rFonts w:ascii="Arial" w:eastAsia="Arial" w:hAnsi="Arial" w:cs="Arial"/>
          <w:i/>
          <w:iCs/>
          <w:sz w:val="18"/>
          <w:szCs w:val="18"/>
        </w:rPr>
        <w:t xml:space="preserve"> </w:t>
      </w:r>
      <w:r>
        <w:rPr>
          <w:rFonts w:ascii="Arial" w:eastAsia="Arial" w:hAnsi="Arial" w:cs="Arial"/>
          <w:sz w:val="18"/>
          <w:szCs w:val="18"/>
        </w:rPr>
        <w:t>allocation of Liabilities relating to the employment, employee benefits and employee compensation matters expressly covered by the Employee Matters Agreement shall be governed by the Employee Matters Agree</w:t>
      </w:r>
      <w:r>
        <w:rPr>
          <w:rFonts w:ascii="Arial" w:eastAsia="Arial" w:hAnsi="Arial" w:cs="Arial"/>
          <w:sz w:val="18"/>
          <w:szCs w:val="18"/>
        </w:rPr>
        <w:t>ment.</w:t>
      </w:r>
    </w:p>
    <w:p w14:paraId="6D7932F3" w14:textId="77777777" w:rsidR="00D1587D" w:rsidRDefault="00D1587D">
      <w:pPr>
        <w:spacing w:line="170" w:lineRule="exact"/>
        <w:rPr>
          <w:sz w:val="20"/>
          <w:szCs w:val="20"/>
        </w:rPr>
      </w:pPr>
    </w:p>
    <w:p w14:paraId="5DA47A1A" w14:textId="77777777" w:rsidR="00D1587D" w:rsidRDefault="00410D07">
      <w:pPr>
        <w:ind w:right="40"/>
        <w:jc w:val="center"/>
        <w:rPr>
          <w:sz w:val="20"/>
          <w:szCs w:val="20"/>
        </w:rPr>
      </w:pPr>
      <w:r>
        <w:rPr>
          <w:rFonts w:ascii="Arial" w:eastAsia="Arial" w:hAnsi="Arial" w:cs="Arial"/>
          <w:sz w:val="18"/>
          <w:szCs w:val="18"/>
        </w:rPr>
        <w:t>14</w:t>
      </w:r>
    </w:p>
    <w:p w14:paraId="09ED31F5" w14:textId="77777777" w:rsidR="00D1587D" w:rsidRDefault="00410D07">
      <w:pPr>
        <w:spacing w:line="20" w:lineRule="exact"/>
        <w:rPr>
          <w:sz w:val="20"/>
          <w:szCs w:val="20"/>
        </w:rPr>
      </w:pPr>
      <w:r>
        <w:rPr>
          <w:noProof/>
          <w:sz w:val="20"/>
          <w:szCs w:val="20"/>
        </w:rPr>
        <w:drawing>
          <wp:anchor distT="0" distB="0" distL="114300" distR="114300" simplePos="0" relativeHeight="251166720" behindDoc="1" locked="0" layoutInCell="0" allowOverlap="1" wp14:anchorId="2914DA2C" wp14:editId="2002A22D">
            <wp:simplePos x="0" y="0"/>
            <wp:positionH relativeFrom="column">
              <wp:posOffset>5080</wp:posOffset>
            </wp:positionH>
            <wp:positionV relativeFrom="paragraph">
              <wp:posOffset>48895</wp:posOffset>
            </wp:positionV>
            <wp:extent cx="7132320" cy="1714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BA236CE" w14:textId="77777777" w:rsidR="00D1587D" w:rsidRDefault="00D1587D">
      <w:pPr>
        <w:sectPr w:rsidR="00D1587D">
          <w:pgSz w:w="11900" w:h="16838"/>
          <w:pgMar w:top="337" w:right="359" w:bottom="1440" w:left="320" w:header="0" w:footer="0" w:gutter="0"/>
          <w:cols w:space="720" w:equalWidth="0">
            <w:col w:w="11220"/>
          </w:cols>
        </w:sectPr>
      </w:pPr>
    </w:p>
    <w:p w14:paraId="491D5C85" w14:textId="77777777" w:rsidR="00D1587D" w:rsidRDefault="00410D07">
      <w:pPr>
        <w:spacing w:line="282" w:lineRule="auto"/>
        <w:ind w:right="240" w:firstLine="648"/>
        <w:rPr>
          <w:sz w:val="20"/>
          <w:szCs w:val="20"/>
        </w:rPr>
      </w:pPr>
      <w:bookmarkStart w:id="23" w:name="page24"/>
      <w:bookmarkEnd w:id="23"/>
      <w:r>
        <w:rPr>
          <w:rFonts w:ascii="Arial" w:eastAsia="Arial" w:hAnsi="Arial" w:cs="Arial"/>
          <w:sz w:val="18"/>
          <w:szCs w:val="18"/>
        </w:rPr>
        <w:t>“</w:t>
      </w:r>
      <w:r>
        <w:rPr>
          <w:rFonts w:ascii="Arial" w:eastAsia="Arial" w:hAnsi="Arial" w:cs="Arial"/>
          <w:b/>
          <w:bCs/>
          <w:sz w:val="18"/>
          <w:szCs w:val="18"/>
        </w:rPr>
        <w:t>VS Real Property</w:t>
      </w:r>
      <w:r>
        <w:rPr>
          <w:rFonts w:ascii="Arial" w:eastAsia="Arial" w:hAnsi="Arial" w:cs="Arial"/>
          <w:sz w:val="18"/>
          <w:szCs w:val="18"/>
        </w:rPr>
        <w:t>” means all (i) VS Distribution Centers and (ii) other real property (other than distribution centers and offices therein) to the extent included in the VS Assets.</w:t>
      </w:r>
    </w:p>
    <w:p w14:paraId="06733283" w14:textId="77777777" w:rsidR="00D1587D" w:rsidRDefault="00D1587D">
      <w:pPr>
        <w:spacing w:line="162" w:lineRule="exact"/>
        <w:rPr>
          <w:sz w:val="20"/>
          <w:szCs w:val="20"/>
        </w:rPr>
      </w:pPr>
    </w:p>
    <w:p w14:paraId="0C65770D" w14:textId="77777777" w:rsidR="00D1587D" w:rsidRDefault="00410D07">
      <w:pPr>
        <w:spacing w:line="312" w:lineRule="auto"/>
        <w:ind w:right="20" w:firstLine="648"/>
        <w:rPr>
          <w:sz w:val="20"/>
          <w:szCs w:val="20"/>
        </w:rPr>
      </w:pPr>
      <w:r>
        <w:rPr>
          <w:rFonts w:ascii="Arial" w:eastAsia="Arial" w:hAnsi="Arial" w:cs="Arial"/>
          <w:sz w:val="17"/>
          <w:szCs w:val="17"/>
        </w:rPr>
        <w:t>“</w:t>
      </w:r>
      <w:r>
        <w:rPr>
          <w:rFonts w:ascii="Arial" w:eastAsia="Arial" w:hAnsi="Arial" w:cs="Arial"/>
          <w:b/>
          <w:bCs/>
          <w:sz w:val="17"/>
          <w:szCs w:val="17"/>
        </w:rPr>
        <w:t xml:space="preserve">VS to L Brands Transition </w:t>
      </w:r>
      <w:r>
        <w:rPr>
          <w:rFonts w:ascii="Arial" w:eastAsia="Arial" w:hAnsi="Arial" w:cs="Arial"/>
          <w:b/>
          <w:bCs/>
          <w:sz w:val="17"/>
          <w:szCs w:val="17"/>
        </w:rPr>
        <w:t>Services Agreement</w:t>
      </w:r>
      <w:r>
        <w:rPr>
          <w:rFonts w:ascii="Arial" w:eastAsia="Arial" w:hAnsi="Arial" w:cs="Arial"/>
          <w:sz w:val="17"/>
          <w:szCs w:val="17"/>
        </w:rPr>
        <w:t xml:space="preserve">” means the VS to L Brands Transition Services Agreement dated as of the date hereof between L Brands and VS substantially in the form of </w:t>
      </w:r>
      <w:r>
        <w:rPr>
          <w:rFonts w:ascii="Arial" w:eastAsia="Arial" w:hAnsi="Arial" w:cs="Arial"/>
          <w:sz w:val="17"/>
          <w:szCs w:val="17"/>
          <w:u w:val="single"/>
        </w:rPr>
        <w:t>Exhibit I</w:t>
      </w:r>
      <w:r>
        <w:rPr>
          <w:rFonts w:ascii="Arial" w:eastAsia="Arial" w:hAnsi="Arial" w:cs="Arial"/>
          <w:sz w:val="17"/>
          <w:szCs w:val="17"/>
        </w:rPr>
        <w:t>, as such agreement may be amended from time to time in accordance with its terms.</w:t>
      </w:r>
    </w:p>
    <w:p w14:paraId="2B94EEB0" w14:textId="77777777" w:rsidR="00D1587D" w:rsidRDefault="00D1587D">
      <w:pPr>
        <w:spacing w:line="140" w:lineRule="exact"/>
        <w:rPr>
          <w:sz w:val="20"/>
          <w:szCs w:val="20"/>
        </w:rPr>
      </w:pPr>
    </w:p>
    <w:p w14:paraId="0B959BED"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Tra</w:t>
      </w:r>
      <w:r>
        <w:rPr>
          <w:rFonts w:ascii="Arial" w:eastAsia="Arial" w:hAnsi="Arial" w:cs="Arial"/>
          <w:b/>
          <w:bCs/>
          <w:sz w:val="18"/>
          <w:szCs w:val="18"/>
        </w:rPr>
        <w:t>demarks</w:t>
      </w:r>
      <w:r>
        <w:rPr>
          <w:rFonts w:ascii="Arial" w:eastAsia="Arial" w:hAnsi="Arial" w:cs="Arial"/>
          <w:sz w:val="18"/>
          <w:szCs w:val="18"/>
        </w:rPr>
        <w:t>” has the meaning set forth in the definition of “VS Assets.”</w:t>
      </w:r>
    </w:p>
    <w:p w14:paraId="058B793D" w14:textId="77777777" w:rsidR="00D1587D" w:rsidRDefault="00D1587D">
      <w:pPr>
        <w:spacing w:line="229" w:lineRule="exact"/>
        <w:rPr>
          <w:sz w:val="20"/>
          <w:szCs w:val="20"/>
        </w:rPr>
      </w:pPr>
    </w:p>
    <w:p w14:paraId="52B6DE18" w14:textId="77777777" w:rsidR="00D1587D" w:rsidRDefault="00410D07">
      <w:pPr>
        <w:numPr>
          <w:ilvl w:val="0"/>
          <w:numId w:val="11"/>
        </w:numPr>
        <w:tabs>
          <w:tab w:val="left" w:pos="1360"/>
        </w:tabs>
        <w:ind w:left="1360" w:hanging="704"/>
        <w:rPr>
          <w:rFonts w:ascii="Arial" w:eastAsia="Arial" w:hAnsi="Arial" w:cs="Arial"/>
          <w:sz w:val="18"/>
          <w:szCs w:val="18"/>
        </w:rPr>
      </w:pPr>
      <w:r>
        <w:rPr>
          <w:rFonts w:ascii="Arial" w:eastAsia="Arial" w:hAnsi="Arial" w:cs="Arial"/>
          <w:sz w:val="18"/>
          <w:szCs w:val="18"/>
        </w:rPr>
        <w:t>Each of the following terms is defined in the Section set forth opposite such term:</w:t>
      </w:r>
    </w:p>
    <w:p w14:paraId="4C731CC1" w14:textId="77777777" w:rsidR="00D1587D" w:rsidRDefault="00D1587D">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00"/>
        <w:gridCol w:w="420"/>
        <w:gridCol w:w="3540"/>
        <w:gridCol w:w="3960"/>
        <w:gridCol w:w="560"/>
        <w:gridCol w:w="1460"/>
      </w:tblGrid>
      <w:tr w:rsidR="00D1587D" w14:paraId="4483FD59" w14:textId="77777777">
        <w:trPr>
          <w:trHeight w:val="207"/>
        </w:trPr>
        <w:tc>
          <w:tcPr>
            <w:tcW w:w="1300" w:type="dxa"/>
            <w:vAlign w:val="bottom"/>
          </w:tcPr>
          <w:p w14:paraId="7722F060" w14:textId="77777777" w:rsidR="00D1587D" w:rsidRDefault="00D1587D">
            <w:pPr>
              <w:rPr>
                <w:sz w:val="17"/>
                <w:szCs w:val="17"/>
              </w:rPr>
            </w:pPr>
          </w:p>
        </w:tc>
        <w:tc>
          <w:tcPr>
            <w:tcW w:w="420" w:type="dxa"/>
            <w:tcBorders>
              <w:bottom w:val="single" w:sz="8" w:space="0" w:color="auto"/>
            </w:tcBorders>
            <w:vAlign w:val="bottom"/>
          </w:tcPr>
          <w:p w14:paraId="126C9208" w14:textId="77777777" w:rsidR="00D1587D" w:rsidRDefault="00410D07">
            <w:pPr>
              <w:rPr>
                <w:sz w:val="20"/>
                <w:szCs w:val="20"/>
              </w:rPr>
            </w:pPr>
            <w:r>
              <w:rPr>
                <w:rFonts w:ascii="Arial" w:eastAsia="Arial" w:hAnsi="Arial" w:cs="Arial"/>
                <w:b/>
                <w:bCs/>
                <w:w w:val="90"/>
                <w:sz w:val="18"/>
                <w:szCs w:val="18"/>
              </w:rPr>
              <w:t>Term</w:t>
            </w:r>
          </w:p>
        </w:tc>
        <w:tc>
          <w:tcPr>
            <w:tcW w:w="3540" w:type="dxa"/>
            <w:vAlign w:val="bottom"/>
          </w:tcPr>
          <w:p w14:paraId="6A2AF9D2" w14:textId="77777777" w:rsidR="00D1587D" w:rsidRDefault="00D1587D">
            <w:pPr>
              <w:rPr>
                <w:sz w:val="17"/>
                <w:szCs w:val="17"/>
              </w:rPr>
            </w:pPr>
          </w:p>
        </w:tc>
        <w:tc>
          <w:tcPr>
            <w:tcW w:w="3960" w:type="dxa"/>
            <w:vAlign w:val="bottom"/>
          </w:tcPr>
          <w:p w14:paraId="0DBEE0FB" w14:textId="77777777" w:rsidR="00D1587D" w:rsidRDefault="00D1587D">
            <w:pPr>
              <w:rPr>
                <w:sz w:val="17"/>
                <w:szCs w:val="17"/>
              </w:rPr>
            </w:pPr>
          </w:p>
        </w:tc>
        <w:tc>
          <w:tcPr>
            <w:tcW w:w="560" w:type="dxa"/>
            <w:tcBorders>
              <w:bottom w:val="single" w:sz="8" w:space="0" w:color="auto"/>
            </w:tcBorders>
            <w:vAlign w:val="bottom"/>
          </w:tcPr>
          <w:p w14:paraId="6EC9C20A" w14:textId="77777777" w:rsidR="00D1587D" w:rsidRDefault="00410D07">
            <w:pPr>
              <w:rPr>
                <w:sz w:val="20"/>
                <w:szCs w:val="20"/>
              </w:rPr>
            </w:pPr>
            <w:r>
              <w:rPr>
                <w:rFonts w:ascii="Arial" w:eastAsia="Arial" w:hAnsi="Arial" w:cs="Arial"/>
                <w:b/>
                <w:bCs/>
                <w:w w:val="82"/>
                <w:sz w:val="18"/>
                <w:szCs w:val="18"/>
              </w:rPr>
              <w:t>Section</w:t>
            </w:r>
          </w:p>
        </w:tc>
        <w:tc>
          <w:tcPr>
            <w:tcW w:w="1460" w:type="dxa"/>
            <w:vAlign w:val="bottom"/>
          </w:tcPr>
          <w:p w14:paraId="4D25F710" w14:textId="77777777" w:rsidR="00D1587D" w:rsidRDefault="00D1587D">
            <w:pPr>
              <w:rPr>
                <w:sz w:val="17"/>
                <w:szCs w:val="17"/>
              </w:rPr>
            </w:pPr>
          </w:p>
        </w:tc>
      </w:tr>
      <w:tr w:rsidR="00D1587D" w14:paraId="2A810E3E" w14:textId="77777777">
        <w:trPr>
          <w:trHeight w:val="222"/>
        </w:trPr>
        <w:tc>
          <w:tcPr>
            <w:tcW w:w="1300" w:type="dxa"/>
            <w:vAlign w:val="bottom"/>
          </w:tcPr>
          <w:p w14:paraId="169B25B0" w14:textId="77777777" w:rsidR="00D1587D" w:rsidRDefault="00D1587D">
            <w:pPr>
              <w:rPr>
                <w:sz w:val="19"/>
                <w:szCs w:val="19"/>
              </w:rPr>
            </w:pPr>
          </w:p>
        </w:tc>
        <w:tc>
          <w:tcPr>
            <w:tcW w:w="3960" w:type="dxa"/>
            <w:gridSpan w:val="2"/>
            <w:vAlign w:val="bottom"/>
          </w:tcPr>
          <w:p w14:paraId="5901890F" w14:textId="77777777" w:rsidR="00D1587D" w:rsidRDefault="00410D07">
            <w:pPr>
              <w:rPr>
                <w:sz w:val="20"/>
                <w:szCs w:val="20"/>
              </w:rPr>
            </w:pPr>
            <w:r>
              <w:rPr>
                <w:rFonts w:ascii="Arial" w:eastAsia="Arial" w:hAnsi="Arial" w:cs="Arial"/>
                <w:sz w:val="18"/>
                <w:szCs w:val="18"/>
              </w:rPr>
              <w:t>Agreement</w:t>
            </w:r>
          </w:p>
        </w:tc>
        <w:tc>
          <w:tcPr>
            <w:tcW w:w="3960" w:type="dxa"/>
            <w:vAlign w:val="bottom"/>
          </w:tcPr>
          <w:p w14:paraId="2AF3E02A" w14:textId="77777777" w:rsidR="00D1587D" w:rsidRDefault="00D1587D">
            <w:pPr>
              <w:rPr>
                <w:sz w:val="19"/>
                <w:szCs w:val="19"/>
              </w:rPr>
            </w:pPr>
          </w:p>
        </w:tc>
        <w:tc>
          <w:tcPr>
            <w:tcW w:w="2020" w:type="dxa"/>
            <w:gridSpan w:val="2"/>
            <w:vAlign w:val="bottom"/>
          </w:tcPr>
          <w:p w14:paraId="68EB6B52" w14:textId="77777777" w:rsidR="00D1587D" w:rsidRDefault="00410D07">
            <w:pPr>
              <w:rPr>
                <w:sz w:val="20"/>
                <w:szCs w:val="20"/>
              </w:rPr>
            </w:pPr>
            <w:r>
              <w:rPr>
                <w:rFonts w:ascii="Arial" w:eastAsia="Arial" w:hAnsi="Arial" w:cs="Arial"/>
                <w:sz w:val="18"/>
                <w:szCs w:val="18"/>
              </w:rPr>
              <w:t>Preamble</w:t>
            </w:r>
          </w:p>
        </w:tc>
      </w:tr>
      <w:tr w:rsidR="00D1587D" w14:paraId="7512228D" w14:textId="77777777">
        <w:trPr>
          <w:trHeight w:val="216"/>
        </w:trPr>
        <w:tc>
          <w:tcPr>
            <w:tcW w:w="1300" w:type="dxa"/>
            <w:vAlign w:val="bottom"/>
          </w:tcPr>
          <w:p w14:paraId="340C381E" w14:textId="77777777" w:rsidR="00D1587D" w:rsidRDefault="00D1587D">
            <w:pPr>
              <w:rPr>
                <w:sz w:val="18"/>
                <w:szCs w:val="18"/>
              </w:rPr>
            </w:pPr>
          </w:p>
        </w:tc>
        <w:tc>
          <w:tcPr>
            <w:tcW w:w="3960" w:type="dxa"/>
            <w:gridSpan w:val="2"/>
            <w:vAlign w:val="bottom"/>
          </w:tcPr>
          <w:p w14:paraId="53D19756" w14:textId="77777777" w:rsidR="00D1587D" w:rsidRDefault="00410D07">
            <w:pPr>
              <w:rPr>
                <w:sz w:val="20"/>
                <w:szCs w:val="20"/>
              </w:rPr>
            </w:pPr>
            <w:r>
              <w:rPr>
                <w:rFonts w:ascii="Arial" w:eastAsia="Arial" w:hAnsi="Arial" w:cs="Arial"/>
                <w:sz w:val="18"/>
                <w:szCs w:val="18"/>
              </w:rPr>
              <w:t>Amended and Restated Bylaws</w:t>
            </w:r>
          </w:p>
        </w:tc>
        <w:tc>
          <w:tcPr>
            <w:tcW w:w="3960" w:type="dxa"/>
            <w:vAlign w:val="bottom"/>
          </w:tcPr>
          <w:p w14:paraId="2AA7A02D" w14:textId="77777777" w:rsidR="00D1587D" w:rsidRDefault="00D1587D">
            <w:pPr>
              <w:rPr>
                <w:sz w:val="18"/>
                <w:szCs w:val="18"/>
              </w:rPr>
            </w:pPr>
          </w:p>
        </w:tc>
        <w:tc>
          <w:tcPr>
            <w:tcW w:w="2020" w:type="dxa"/>
            <w:gridSpan w:val="2"/>
            <w:vAlign w:val="bottom"/>
          </w:tcPr>
          <w:p w14:paraId="7BB8A155" w14:textId="77777777" w:rsidR="00D1587D" w:rsidRDefault="00410D07">
            <w:pPr>
              <w:rPr>
                <w:sz w:val="20"/>
                <w:szCs w:val="20"/>
              </w:rPr>
            </w:pPr>
            <w:r>
              <w:rPr>
                <w:rFonts w:ascii="Arial" w:eastAsia="Arial" w:hAnsi="Arial" w:cs="Arial"/>
                <w:sz w:val="18"/>
                <w:szCs w:val="18"/>
              </w:rPr>
              <w:t>2.02(c)</w:t>
            </w:r>
          </w:p>
        </w:tc>
      </w:tr>
      <w:tr w:rsidR="00D1587D" w14:paraId="2DA83D66" w14:textId="77777777">
        <w:trPr>
          <w:trHeight w:val="216"/>
        </w:trPr>
        <w:tc>
          <w:tcPr>
            <w:tcW w:w="1300" w:type="dxa"/>
            <w:vAlign w:val="bottom"/>
          </w:tcPr>
          <w:p w14:paraId="53C471FC" w14:textId="77777777" w:rsidR="00D1587D" w:rsidRDefault="00D1587D">
            <w:pPr>
              <w:rPr>
                <w:sz w:val="18"/>
                <w:szCs w:val="18"/>
              </w:rPr>
            </w:pPr>
          </w:p>
        </w:tc>
        <w:tc>
          <w:tcPr>
            <w:tcW w:w="3960" w:type="dxa"/>
            <w:gridSpan w:val="2"/>
            <w:vAlign w:val="bottom"/>
          </w:tcPr>
          <w:p w14:paraId="3255A6A4" w14:textId="77777777" w:rsidR="00D1587D" w:rsidRDefault="00410D07">
            <w:pPr>
              <w:rPr>
                <w:sz w:val="20"/>
                <w:szCs w:val="20"/>
              </w:rPr>
            </w:pPr>
            <w:r>
              <w:rPr>
                <w:rFonts w:ascii="Arial" w:eastAsia="Arial" w:hAnsi="Arial" w:cs="Arial"/>
                <w:w w:val="97"/>
                <w:sz w:val="18"/>
                <w:szCs w:val="18"/>
              </w:rPr>
              <w:t xml:space="preserve">Amended and </w:t>
            </w:r>
            <w:r>
              <w:rPr>
                <w:rFonts w:ascii="Arial" w:eastAsia="Arial" w:hAnsi="Arial" w:cs="Arial"/>
                <w:w w:val="97"/>
                <w:sz w:val="18"/>
                <w:szCs w:val="18"/>
              </w:rPr>
              <w:t>Restated Certificate of Incorporation</w:t>
            </w:r>
          </w:p>
        </w:tc>
        <w:tc>
          <w:tcPr>
            <w:tcW w:w="3960" w:type="dxa"/>
            <w:vAlign w:val="bottom"/>
          </w:tcPr>
          <w:p w14:paraId="1AE6B01B" w14:textId="77777777" w:rsidR="00D1587D" w:rsidRDefault="00D1587D">
            <w:pPr>
              <w:rPr>
                <w:sz w:val="18"/>
                <w:szCs w:val="18"/>
              </w:rPr>
            </w:pPr>
          </w:p>
        </w:tc>
        <w:tc>
          <w:tcPr>
            <w:tcW w:w="2020" w:type="dxa"/>
            <w:gridSpan w:val="2"/>
            <w:vAlign w:val="bottom"/>
          </w:tcPr>
          <w:p w14:paraId="1EFEBD13" w14:textId="77777777" w:rsidR="00D1587D" w:rsidRDefault="00410D07">
            <w:pPr>
              <w:rPr>
                <w:sz w:val="20"/>
                <w:szCs w:val="20"/>
              </w:rPr>
            </w:pPr>
            <w:r>
              <w:rPr>
                <w:rFonts w:ascii="Arial" w:eastAsia="Arial" w:hAnsi="Arial" w:cs="Arial"/>
                <w:sz w:val="18"/>
                <w:szCs w:val="18"/>
              </w:rPr>
              <w:t>2.02(c)</w:t>
            </w:r>
          </w:p>
        </w:tc>
      </w:tr>
      <w:tr w:rsidR="00D1587D" w14:paraId="54F492CB" w14:textId="77777777">
        <w:trPr>
          <w:trHeight w:val="216"/>
        </w:trPr>
        <w:tc>
          <w:tcPr>
            <w:tcW w:w="1300" w:type="dxa"/>
            <w:vAlign w:val="bottom"/>
          </w:tcPr>
          <w:p w14:paraId="2A482E13" w14:textId="77777777" w:rsidR="00D1587D" w:rsidRDefault="00D1587D">
            <w:pPr>
              <w:rPr>
                <w:sz w:val="18"/>
                <w:szCs w:val="18"/>
              </w:rPr>
            </w:pPr>
          </w:p>
        </w:tc>
        <w:tc>
          <w:tcPr>
            <w:tcW w:w="3960" w:type="dxa"/>
            <w:gridSpan w:val="2"/>
            <w:vAlign w:val="bottom"/>
          </w:tcPr>
          <w:p w14:paraId="2E1C5556" w14:textId="77777777" w:rsidR="00D1587D" w:rsidRDefault="00410D07">
            <w:pPr>
              <w:rPr>
                <w:sz w:val="20"/>
                <w:szCs w:val="20"/>
              </w:rPr>
            </w:pPr>
            <w:r>
              <w:rPr>
                <w:rFonts w:ascii="Arial" w:eastAsia="Arial" w:hAnsi="Arial" w:cs="Arial"/>
                <w:sz w:val="18"/>
                <w:szCs w:val="18"/>
              </w:rPr>
              <w:t>Arbitration Association</w:t>
            </w:r>
          </w:p>
        </w:tc>
        <w:tc>
          <w:tcPr>
            <w:tcW w:w="3960" w:type="dxa"/>
            <w:vAlign w:val="bottom"/>
          </w:tcPr>
          <w:p w14:paraId="10029432" w14:textId="77777777" w:rsidR="00D1587D" w:rsidRDefault="00D1587D">
            <w:pPr>
              <w:rPr>
                <w:sz w:val="18"/>
                <w:szCs w:val="18"/>
              </w:rPr>
            </w:pPr>
          </w:p>
        </w:tc>
        <w:tc>
          <w:tcPr>
            <w:tcW w:w="2020" w:type="dxa"/>
            <w:gridSpan w:val="2"/>
            <w:vAlign w:val="bottom"/>
          </w:tcPr>
          <w:p w14:paraId="4DFBEE5F" w14:textId="77777777" w:rsidR="00D1587D" w:rsidRDefault="00410D07">
            <w:pPr>
              <w:rPr>
                <w:sz w:val="20"/>
                <w:szCs w:val="20"/>
              </w:rPr>
            </w:pPr>
            <w:r>
              <w:rPr>
                <w:rFonts w:ascii="Arial" w:eastAsia="Arial" w:hAnsi="Arial" w:cs="Arial"/>
                <w:sz w:val="18"/>
                <w:szCs w:val="18"/>
              </w:rPr>
              <w:t>6.09(c)</w:t>
            </w:r>
          </w:p>
        </w:tc>
      </w:tr>
      <w:tr w:rsidR="00D1587D" w14:paraId="2C5A7648" w14:textId="77777777">
        <w:trPr>
          <w:trHeight w:val="216"/>
        </w:trPr>
        <w:tc>
          <w:tcPr>
            <w:tcW w:w="1300" w:type="dxa"/>
            <w:vAlign w:val="bottom"/>
          </w:tcPr>
          <w:p w14:paraId="45B05F3F" w14:textId="77777777" w:rsidR="00D1587D" w:rsidRDefault="00D1587D">
            <w:pPr>
              <w:rPr>
                <w:sz w:val="18"/>
                <w:szCs w:val="18"/>
              </w:rPr>
            </w:pPr>
          </w:p>
        </w:tc>
        <w:tc>
          <w:tcPr>
            <w:tcW w:w="3960" w:type="dxa"/>
            <w:gridSpan w:val="2"/>
            <w:vAlign w:val="bottom"/>
          </w:tcPr>
          <w:p w14:paraId="1A42C423" w14:textId="77777777" w:rsidR="00D1587D" w:rsidRDefault="00410D07">
            <w:pPr>
              <w:rPr>
                <w:sz w:val="20"/>
                <w:szCs w:val="20"/>
              </w:rPr>
            </w:pPr>
            <w:r>
              <w:rPr>
                <w:rFonts w:ascii="Arial" w:eastAsia="Arial" w:hAnsi="Arial" w:cs="Arial"/>
                <w:sz w:val="18"/>
                <w:szCs w:val="18"/>
              </w:rPr>
              <w:t>Claim</w:t>
            </w:r>
          </w:p>
        </w:tc>
        <w:tc>
          <w:tcPr>
            <w:tcW w:w="3960" w:type="dxa"/>
            <w:vAlign w:val="bottom"/>
          </w:tcPr>
          <w:p w14:paraId="0E6B3ACD" w14:textId="77777777" w:rsidR="00D1587D" w:rsidRDefault="00D1587D">
            <w:pPr>
              <w:rPr>
                <w:sz w:val="18"/>
                <w:szCs w:val="18"/>
              </w:rPr>
            </w:pPr>
          </w:p>
        </w:tc>
        <w:tc>
          <w:tcPr>
            <w:tcW w:w="2020" w:type="dxa"/>
            <w:gridSpan w:val="2"/>
            <w:vAlign w:val="bottom"/>
          </w:tcPr>
          <w:p w14:paraId="42BB73E8" w14:textId="77777777" w:rsidR="00D1587D" w:rsidRDefault="00410D07">
            <w:pPr>
              <w:rPr>
                <w:sz w:val="20"/>
                <w:szCs w:val="20"/>
              </w:rPr>
            </w:pPr>
            <w:r>
              <w:rPr>
                <w:rFonts w:ascii="Arial" w:eastAsia="Arial" w:hAnsi="Arial" w:cs="Arial"/>
                <w:sz w:val="18"/>
                <w:szCs w:val="18"/>
              </w:rPr>
              <w:t>5.04(a)</w:t>
            </w:r>
          </w:p>
        </w:tc>
      </w:tr>
      <w:tr w:rsidR="00D1587D" w14:paraId="2CDA3048" w14:textId="77777777">
        <w:trPr>
          <w:trHeight w:val="216"/>
        </w:trPr>
        <w:tc>
          <w:tcPr>
            <w:tcW w:w="1300" w:type="dxa"/>
            <w:vAlign w:val="bottom"/>
          </w:tcPr>
          <w:p w14:paraId="25786A52" w14:textId="77777777" w:rsidR="00D1587D" w:rsidRDefault="00D1587D">
            <w:pPr>
              <w:rPr>
                <w:sz w:val="18"/>
                <w:szCs w:val="18"/>
              </w:rPr>
            </w:pPr>
          </w:p>
        </w:tc>
        <w:tc>
          <w:tcPr>
            <w:tcW w:w="3960" w:type="dxa"/>
            <w:gridSpan w:val="2"/>
            <w:vAlign w:val="bottom"/>
          </w:tcPr>
          <w:p w14:paraId="17938E2E" w14:textId="77777777" w:rsidR="00D1587D" w:rsidRDefault="00410D07">
            <w:pPr>
              <w:rPr>
                <w:sz w:val="20"/>
                <w:szCs w:val="20"/>
              </w:rPr>
            </w:pPr>
            <w:r>
              <w:rPr>
                <w:rFonts w:ascii="Arial" w:eastAsia="Arial" w:hAnsi="Arial" w:cs="Arial"/>
                <w:sz w:val="18"/>
                <w:szCs w:val="18"/>
              </w:rPr>
              <w:t>Code</w:t>
            </w:r>
          </w:p>
        </w:tc>
        <w:tc>
          <w:tcPr>
            <w:tcW w:w="3960" w:type="dxa"/>
            <w:vAlign w:val="bottom"/>
          </w:tcPr>
          <w:p w14:paraId="12C22BA4" w14:textId="77777777" w:rsidR="00D1587D" w:rsidRDefault="00D1587D">
            <w:pPr>
              <w:rPr>
                <w:sz w:val="18"/>
                <w:szCs w:val="18"/>
              </w:rPr>
            </w:pPr>
          </w:p>
        </w:tc>
        <w:tc>
          <w:tcPr>
            <w:tcW w:w="2020" w:type="dxa"/>
            <w:gridSpan w:val="2"/>
            <w:vAlign w:val="bottom"/>
          </w:tcPr>
          <w:p w14:paraId="3E10FD82" w14:textId="77777777" w:rsidR="00D1587D" w:rsidRDefault="00410D07">
            <w:pPr>
              <w:rPr>
                <w:sz w:val="20"/>
                <w:szCs w:val="20"/>
              </w:rPr>
            </w:pPr>
            <w:r>
              <w:rPr>
                <w:rFonts w:ascii="Arial" w:eastAsia="Arial" w:hAnsi="Arial" w:cs="Arial"/>
                <w:sz w:val="18"/>
                <w:szCs w:val="18"/>
              </w:rPr>
              <w:t>Recitals</w:t>
            </w:r>
          </w:p>
        </w:tc>
      </w:tr>
      <w:tr w:rsidR="00D1587D" w14:paraId="2009CFF6" w14:textId="77777777">
        <w:trPr>
          <w:trHeight w:val="216"/>
        </w:trPr>
        <w:tc>
          <w:tcPr>
            <w:tcW w:w="1300" w:type="dxa"/>
            <w:vAlign w:val="bottom"/>
          </w:tcPr>
          <w:p w14:paraId="497AFBA5" w14:textId="77777777" w:rsidR="00D1587D" w:rsidRDefault="00D1587D">
            <w:pPr>
              <w:rPr>
                <w:sz w:val="18"/>
                <w:szCs w:val="18"/>
              </w:rPr>
            </w:pPr>
          </w:p>
        </w:tc>
        <w:tc>
          <w:tcPr>
            <w:tcW w:w="3960" w:type="dxa"/>
            <w:gridSpan w:val="2"/>
            <w:vAlign w:val="bottom"/>
          </w:tcPr>
          <w:p w14:paraId="0E14B958" w14:textId="77777777" w:rsidR="00D1587D" w:rsidRDefault="00410D07">
            <w:pPr>
              <w:rPr>
                <w:sz w:val="20"/>
                <w:szCs w:val="20"/>
              </w:rPr>
            </w:pPr>
            <w:r>
              <w:rPr>
                <w:rFonts w:ascii="Arial" w:eastAsia="Arial" w:hAnsi="Arial" w:cs="Arial"/>
                <w:sz w:val="18"/>
                <w:szCs w:val="18"/>
              </w:rPr>
              <w:t>Contribution</w:t>
            </w:r>
          </w:p>
        </w:tc>
        <w:tc>
          <w:tcPr>
            <w:tcW w:w="3960" w:type="dxa"/>
            <w:vAlign w:val="bottom"/>
          </w:tcPr>
          <w:p w14:paraId="4C17149F" w14:textId="77777777" w:rsidR="00D1587D" w:rsidRDefault="00D1587D">
            <w:pPr>
              <w:rPr>
                <w:sz w:val="18"/>
                <w:szCs w:val="18"/>
              </w:rPr>
            </w:pPr>
          </w:p>
        </w:tc>
        <w:tc>
          <w:tcPr>
            <w:tcW w:w="2020" w:type="dxa"/>
            <w:gridSpan w:val="2"/>
            <w:vAlign w:val="bottom"/>
          </w:tcPr>
          <w:p w14:paraId="2C7F05AF" w14:textId="77777777" w:rsidR="00D1587D" w:rsidRDefault="00410D07">
            <w:pPr>
              <w:rPr>
                <w:sz w:val="20"/>
                <w:szCs w:val="20"/>
              </w:rPr>
            </w:pPr>
            <w:r>
              <w:rPr>
                <w:rFonts w:ascii="Arial" w:eastAsia="Arial" w:hAnsi="Arial" w:cs="Arial"/>
                <w:sz w:val="18"/>
                <w:szCs w:val="18"/>
              </w:rPr>
              <w:t>Recitals</w:t>
            </w:r>
          </w:p>
        </w:tc>
      </w:tr>
      <w:tr w:rsidR="00D1587D" w14:paraId="3F40E9AE" w14:textId="77777777">
        <w:trPr>
          <w:trHeight w:val="216"/>
        </w:trPr>
        <w:tc>
          <w:tcPr>
            <w:tcW w:w="1300" w:type="dxa"/>
            <w:vAlign w:val="bottom"/>
          </w:tcPr>
          <w:p w14:paraId="337BCB7D" w14:textId="77777777" w:rsidR="00D1587D" w:rsidRDefault="00D1587D">
            <w:pPr>
              <w:rPr>
                <w:sz w:val="18"/>
                <w:szCs w:val="18"/>
              </w:rPr>
            </w:pPr>
          </w:p>
        </w:tc>
        <w:tc>
          <w:tcPr>
            <w:tcW w:w="3960" w:type="dxa"/>
            <w:gridSpan w:val="2"/>
            <w:vAlign w:val="bottom"/>
          </w:tcPr>
          <w:p w14:paraId="2F3A39F3" w14:textId="77777777" w:rsidR="00D1587D" w:rsidRDefault="00410D07">
            <w:pPr>
              <w:rPr>
                <w:sz w:val="20"/>
                <w:szCs w:val="20"/>
              </w:rPr>
            </w:pPr>
            <w:r>
              <w:rPr>
                <w:rFonts w:ascii="Arial" w:eastAsia="Arial" w:hAnsi="Arial" w:cs="Arial"/>
                <w:sz w:val="18"/>
                <w:szCs w:val="18"/>
              </w:rPr>
              <w:t>Disposing Party</w:t>
            </w:r>
          </w:p>
        </w:tc>
        <w:tc>
          <w:tcPr>
            <w:tcW w:w="4520" w:type="dxa"/>
            <w:gridSpan w:val="2"/>
            <w:vAlign w:val="bottom"/>
          </w:tcPr>
          <w:p w14:paraId="67CDFA50" w14:textId="77777777" w:rsidR="00D1587D" w:rsidRDefault="00410D07">
            <w:pPr>
              <w:ind w:left="3960"/>
              <w:rPr>
                <w:sz w:val="20"/>
                <w:szCs w:val="20"/>
              </w:rPr>
            </w:pPr>
            <w:r>
              <w:rPr>
                <w:rFonts w:ascii="Arial" w:eastAsia="Arial" w:hAnsi="Arial" w:cs="Arial"/>
                <w:sz w:val="18"/>
                <w:szCs w:val="18"/>
              </w:rPr>
              <w:t>4.05</w:t>
            </w:r>
          </w:p>
        </w:tc>
        <w:tc>
          <w:tcPr>
            <w:tcW w:w="1460" w:type="dxa"/>
            <w:vAlign w:val="bottom"/>
          </w:tcPr>
          <w:p w14:paraId="6408C380" w14:textId="77777777" w:rsidR="00D1587D" w:rsidRDefault="00D1587D">
            <w:pPr>
              <w:rPr>
                <w:sz w:val="18"/>
                <w:szCs w:val="18"/>
              </w:rPr>
            </w:pPr>
          </w:p>
        </w:tc>
      </w:tr>
      <w:tr w:rsidR="00D1587D" w14:paraId="7BB0ADA2" w14:textId="77777777">
        <w:trPr>
          <w:trHeight w:val="216"/>
        </w:trPr>
        <w:tc>
          <w:tcPr>
            <w:tcW w:w="1300" w:type="dxa"/>
            <w:vAlign w:val="bottom"/>
          </w:tcPr>
          <w:p w14:paraId="38518C6E" w14:textId="77777777" w:rsidR="00D1587D" w:rsidRDefault="00D1587D">
            <w:pPr>
              <w:rPr>
                <w:sz w:val="18"/>
                <w:szCs w:val="18"/>
              </w:rPr>
            </w:pPr>
          </w:p>
        </w:tc>
        <w:tc>
          <w:tcPr>
            <w:tcW w:w="3960" w:type="dxa"/>
            <w:gridSpan w:val="2"/>
            <w:vAlign w:val="bottom"/>
          </w:tcPr>
          <w:p w14:paraId="2B853818" w14:textId="77777777" w:rsidR="00D1587D" w:rsidRDefault="00410D07">
            <w:pPr>
              <w:rPr>
                <w:sz w:val="20"/>
                <w:szCs w:val="20"/>
              </w:rPr>
            </w:pPr>
            <w:r>
              <w:rPr>
                <w:rFonts w:ascii="Arial" w:eastAsia="Arial" w:hAnsi="Arial" w:cs="Arial"/>
                <w:sz w:val="18"/>
                <w:szCs w:val="18"/>
              </w:rPr>
              <w:t>Dispute</w:t>
            </w:r>
          </w:p>
        </w:tc>
        <w:tc>
          <w:tcPr>
            <w:tcW w:w="3960" w:type="dxa"/>
            <w:vAlign w:val="bottom"/>
          </w:tcPr>
          <w:p w14:paraId="30C5CC48" w14:textId="77777777" w:rsidR="00D1587D" w:rsidRDefault="00D1587D">
            <w:pPr>
              <w:rPr>
                <w:sz w:val="18"/>
                <w:szCs w:val="18"/>
              </w:rPr>
            </w:pPr>
          </w:p>
        </w:tc>
        <w:tc>
          <w:tcPr>
            <w:tcW w:w="2020" w:type="dxa"/>
            <w:gridSpan w:val="2"/>
            <w:vAlign w:val="bottom"/>
          </w:tcPr>
          <w:p w14:paraId="2F3ABEA6" w14:textId="77777777" w:rsidR="00D1587D" w:rsidRDefault="00410D07">
            <w:pPr>
              <w:rPr>
                <w:sz w:val="20"/>
                <w:szCs w:val="20"/>
              </w:rPr>
            </w:pPr>
            <w:r>
              <w:rPr>
                <w:rFonts w:ascii="Arial" w:eastAsia="Arial" w:hAnsi="Arial" w:cs="Arial"/>
                <w:sz w:val="18"/>
                <w:szCs w:val="18"/>
              </w:rPr>
              <w:t>6.09(a)</w:t>
            </w:r>
          </w:p>
        </w:tc>
      </w:tr>
      <w:tr w:rsidR="00D1587D" w14:paraId="53E0C592" w14:textId="77777777">
        <w:trPr>
          <w:trHeight w:val="216"/>
        </w:trPr>
        <w:tc>
          <w:tcPr>
            <w:tcW w:w="1300" w:type="dxa"/>
            <w:vAlign w:val="bottom"/>
          </w:tcPr>
          <w:p w14:paraId="44021D0F" w14:textId="77777777" w:rsidR="00D1587D" w:rsidRDefault="00D1587D">
            <w:pPr>
              <w:rPr>
                <w:sz w:val="18"/>
                <w:szCs w:val="18"/>
              </w:rPr>
            </w:pPr>
          </w:p>
        </w:tc>
        <w:tc>
          <w:tcPr>
            <w:tcW w:w="3960" w:type="dxa"/>
            <w:gridSpan w:val="2"/>
            <w:vAlign w:val="bottom"/>
          </w:tcPr>
          <w:p w14:paraId="20219002" w14:textId="77777777" w:rsidR="00D1587D" w:rsidRDefault="00410D07">
            <w:pPr>
              <w:rPr>
                <w:sz w:val="20"/>
                <w:szCs w:val="20"/>
              </w:rPr>
            </w:pPr>
            <w:r>
              <w:rPr>
                <w:rFonts w:ascii="Arial" w:eastAsia="Arial" w:hAnsi="Arial" w:cs="Arial"/>
                <w:sz w:val="18"/>
                <w:szCs w:val="18"/>
              </w:rPr>
              <w:t>Distribution</w:t>
            </w:r>
          </w:p>
        </w:tc>
        <w:tc>
          <w:tcPr>
            <w:tcW w:w="3960" w:type="dxa"/>
            <w:vAlign w:val="bottom"/>
          </w:tcPr>
          <w:p w14:paraId="429E621C" w14:textId="77777777" w:rsidR="00D1587D" w:rsidRDefault="00D1587D">
            <w:pPr>
              <w:rPr>
                <w:sz w:val="18"/>
                <w:szCs w:val="18"/>
              </w:rPr>
            </w:pPr>
          </w:p>
        </w:tc>
        <w:tc>
          <w:tcPr>
            <w:tcW w:w="2020" w:type="dxa"/>
            <w:gridSpan w:val="2"/>
            <w:vAlign w:val="bottom"/>
          </w:tcPr>
          <w:p w14:paraId="5126ADA7" w14:textId="77777777" w:rsidR="00D1587D" w:rsidRDefault="00410D07">
            <w:pPr>
              <w:rPr>
                <w:sz w:val="20"/>
                <w:szCs w:val="20"/>
              </w:rPr>
            </w:pPr>
            <w:r>
              <w:rPr>
                <w:rFonts w:ascii="Arial" w:eastAsia="Arial" w:hAnsi="Arial" w:cs="Arial"/>
                <w:sz w:val="18"/>
                <w:szCs w:val="18"/>
              </w:rPr>
              <w:t>Recitals</w:t>
            </w:r>
          </w:p>
        </w:tc>
      </w:tr>
      <w:tr w:rsidR="00D1587D" w14:paraId="09DC1214" w14:textId="77777777">
        <w:trPr>
          <w:trHeight w:val="216"/>
        </w:trPr>
        <w:tc>
          <w:tcPr>
            <w:tcW w:w="1300" w:type="dxa"/>
            <w:vAlign w:val="bottom"/>
          </w:tcPr>
          <w:p w14:paraId="71084D13" w14:textId="77777777" w:rsidR="00D1587D" w:rsidRDefault="00D1587D">
            <w:pPr>
              <w:rPr>
                <w:sz w:val="18"/>
                <w:szCs w:val="18"/>
              </w:rPr>
            </w:pPr>
          </w:p>
        </w:tc>
        <w:tc>
          <w:tcPr>
            <w:tcW w:w="3960" w:type="dxa"/>
            <w:gridSpan w:val="2"/>
            <w:vAlign w:val="bottom"/>
          </w:tcPr>
          <w:p w14:paraId="6681C657" w14:textId="77777777" w:rsidR="00D1587D" w:rsidRDefault="00410D07">
            <w:pPr>
              <w:rPr>
                <w:sz w:val="20"/>
                <w:szCs w:val="20"/>
              </w:rPr>
            </w:pPr>
            <w:r>
              <w:rPr>
                <w:rFonts w:ascii="Arial" w:eastAsia="Arial" w:hAnsi="Arial" w:cs="Arial"/>
                <w:sz w:val="18"/>
                <w:szCs w:val="18"/>
              </w:rPr>
              <w:t>Guarantee</w:t>
            </w:r>
          </w:p>
        </w:tc>
        <w:tc>
          <w:tcPr>
            <w:tcW w:w="4520" w:type="dxa"/>
            <w:gridSpan w:val="2"/>
            <w:vAlign w:val="bottom"/>
          </w:tcPr>
          <w:p w14:paraId="1BA2DBF0" w14:textId="77777777" w:rsidR="00D1587D" w:rsidRDefault="00410D07">
            <w:pPr>
              <w:ind w:left="3960"/>
              <w:rPr>
                <w:sz w:val="20"/>
                <w:szCs w:val="20"/>
              </w:rPr>
            </w:pPr>
            <w:r>
              <w:rPr>
                <w:rFonts w:ascii="Arial" w:eastAsia="Arial" w:hAnsi="Arial" w:cs="Arial"/>
                <w:sz w:val="18"/>
                <w:szCs w:val="18"/>
              </w:rPr>
              <w:t>2.09</w:t>
            </w:r>
          </w:p>
        </w:tc>
        <w:tc>
          <w:tcPr>
            <w:tcW w:w="1460" w:type="dxa"/>
            <w:vAlign w:val="bottom"/>
          </w:tcPr>
          <w:p w14:paraId="51DC41FB" w14:textId="77777777" w:rsidR="00D1587D" w:rsidRDefault="00D1587D">
            <w:pPr>
              <w:rPr>
                <w:sz w:val="18"/>
                <w:szCs w:val="18"/>
              </w:rPr>
            </w:pPr>
          </w:p>
        </w:tc>
      </w:tr>
      <w:tr w:rsidR="00D1587D" w14:paraId="64801AFD" w14:textId="77777777">
        <w:trPr>
          <w:trHeight w:val="216"/>
        </w:trPr>
        <w:tc>
          <w:tcPr>
            <w:tcW w:w="1300" w:type="dxa"/>
            <w:vAlign w:val="bottom"/>
          </w:tcPr>
          <w:p w14:paraId="5AAE3F36" w14:textId="77777777" w:rsidR="00D1587D" w:rsidRDefault="00D1587D">
            <w:pPr>
              <w:rPr>
                <w:sz w:val="18"/>
                <w:szCs w:val="18"/>
              </w:rPr>
            </w:pPr>
          </w:p>
        </w:tc>
        <w:tc>
          <w:tcPr>
            <w:tcW w:w="3960" w:type="dxa"/>
            <w:gridSpan w:val="2"/>
            <w:vAlign w:val="bottom"/>
          </w:tcPr>
          <w:p w14:paraId="69BBF26D" w14:textId="77777777" w:rsidR="00D1587D" w:rsidRDefault="00410D07">
            <w:pPr>
              <w:rPr>
                <w:sz w:val="20"/>
                <w:szCs w:val="20"/>
              </w:rPr>
            </w:pPr>
            <w:r>
              <w:rPr>
                <w:rFonts w:ascii="Arial" w:eastAsia="Arial" w:hAnsi="Arial" w:cs="Arial"/>
                <w:sz w:val="18"/>
                <w:szCs w:val="18"/>
              </w:rPr>
              <w:t>Indemnified Party</w:t>
            </w:r>
          </w:p>
        </w:tc>
        <w:tc>
          <w:tcPr>
            <w:tcW w:w="3960" w:type="dxa"/>
            <w:vAlign w:val="bottom"/>
          </w:tcPr>
          <w:p w14:paraId="6A502A71" w14:textId="77777777" w:rsidR="00D1587D" w:rsidRDefault="00D1587D">
            <w:pPr>
              <w:rPr>
                <w:sz w:val="18"/>
                <w:szCs w:val="18"/>
              </w:rPr>
            </w:pPr>
          </w:p>
        </w:tc>
        <w:tc>
          <w:tcPr>
            <w:tcW w:w="2020" w:type="dxa"/>
            <w:gridSpan w:val="2"/>
            <w:vAlign w:val="bottom"/>
          </w:tcPr>
          <w:p w14:paraId="20793201" w14:textId="77777777" w:rsidR="00D1587D" w:rsidRDefault="00410D07">
            <w:pPr>
              <w:rPr>
                <w:sz w:val="20"/>
                <w:szCs w:val="20"/>
              </w:rPr>
            </w:pPr>
            <w:r>
              <w:rPr>
                <w:rFonts w:ascii="Arial" w:eastAsia="Arial" w:hAnsi="Arial" w:cs="Arial"/>
                <w:sz w:val="18"/>
                <w:szCs w:val="18"/>
              </w:rPr>
              <w:t>5.04(a)</w:t>
            </w:r>
          </w:p>
        </w:tc>
      </w:tr>
      <w:tr w:rsidR="00D1587D" w14:paraId="01450903" w14:textId="77777777">
        <w:trPr>
          <w:trHeight w:val="216"/>
        </w:trPr>
        <w:tc>
          <w:tcPr>
            <w:tcW w:w="1300" w:type="dxa"/>
            <w:vAlign w:val="bottom"/>
          </w:tcPr>
          <w:p w14:paraId="219858D1" w14:textId="77777777" w:rsidR="00D1587D" w:rsidRDefault="00D1587D">
            <w:pPr>
              <w:rPr>
                <w:sz w:val="18"/>
                <w:szCs w:val="18"/>
              </w:rPr>
            </w:pPr>
          </w:p>
        </w:tc>
        <w:tc>
          <w:tcPr>
            <w:tcW w:w="3960" w:type="dxa"/>
            <w:gridSpan w:val="2"/>
            <w:vAlign w:val="bottom"/>
          </w:tcPr>
          <w:p w14:paraId="6C941BE5" w14:textId="77777777" w:rsidR="00D1587D" w:rsidRDefault="00410D07">
            <w:pPr>
              <w:rPr>
                <w:sz w:val="20"/>
                <w:szCs w:val="20"/>
              </w:rPr>
            </w:pPr>
            <w:r>
              <w:rPr>
                <w:rFonts w:ascii="Arial" w:eastAsia="Arial" w:hAnsi="Arial" w:cs="Arial"/>
                <w:sz w:val="18"/>
                <w:szCs w:val="18"/>
              </w:rPr>
              <w:t>Indemnifying Party</w:t>
            </w:r>
          </w:p>
        </w:tc>
        <w:tc>
          <w:tcPr>
            <w:tcW w:w="3960" w:type="dxa"/>
            <w:vAlign w:val="bottom"/>
          </w:tcPr>
          <w:p w14:paraId="08FF1575" w14:textId="77777777" w:rsidR="00D1587D" w:rsidRDefault="00D1587D">
            <w:pPr>
              <w:rPr>
                <w:sz w:val="18"/>
                <w:szCs w:val="18"/>
              </w:rPr>
            </w:pPr>
          </w:p>
        </w:tc>
        <w:tc>
          <w:tcPr>
            <w:tcW w:w="2020" w:type="dxa"/>
            <w:gridSpan w:val="2"/>
            <w:vAlign w:val="bottom"/>
          </w:tcPr>
          <w:p w14:paraId="3CE6E752" w14:textId="77777777" w:rsidR="00D1587D" w:rsidRDefault="00410D07">
            <w:pPr>
              <w:rPr>
                <w:sz w:val="20"/>
                <w:szCs w:val="20"/>
              </w:rPr>
            </w:pPr>
            <w:r>
              <w:rPr>
                <w:rFonts w:ascii="Arial" w:eastAsia="Arial" w:hAnsi="Arial" w:cs="Arial"/>
                <w:sz w:val="18"/>
                <w:szCs w:val="18"/>
              </w:rPr>
              <w:t>5.04(a)</w:t>
            </w:r>
          </w:p>
        </w:tc>
      </w:tr>
      <w:tr w:rsidR="00D1587D" w14:paraId="45966B6B" w14:textId="77777777">
        <w:trPr>
          <w:trHeight w:val="216"/>
        </w:trPr>
        <w:tc>
          <w:tcPr>
            <w:tcW w:w="1300" w:type="dxa"/>
            <w:vAlign w:val="bottom"/>
          </w:tcPr>
          <w:p w14:paraId="507771DC" w14:textId="77777777" w:rsidR="00D1587D" w:rsidRDefault="00D1587D">
            <w:pPr>
              <w:rPr>
                <w:sz w:val="18"/>
                <w:szCs w:val="18"/>
              </w:rPr>
            </w:pPr>
          </w:p>
        </w:tc>
        <w:tc>
          <w:tcPr>
            <w:tcW w:w="3960" w:type="dxa"/>
            <w:gridSpan w:val="2"/>
            <w:vAlign w:val="bottom"/>
          </w:tcPr>
          <w:p w14:paraId="1157E07D" w14:textId="77777777" w:rsidR="00D1587D" w:rsidRDefault="00410D07">
            <w:pPr>
              <w:rPr>
                <w:sz w:val="20"/>
                <w:szCs w:val="20"/>
              </w:rPr>
            </w:pPr>
            <w:r>
              <w:rPr>
                <w:rFonts w:ascii="Arial" w:eastAsia="Arial" w:hAnsi="Arial" w:cs="Arial"/>
                <w:sz w:val="18"/>
                <w:szCs w:val="18"/>
              </w:rPr>
              <w:t>Intercompany Accounts</w:t>
            </w:r>
          </w:p>
        </w:tc>
        <w:tc>
          <w:tcPr>
            <w:tcW w:w="4520" w:type="dxa"/>
            <w:gridSpan w:val="2"/>
            <w:vAlign w:val="bottom"/>
          </w:tcPr>
          <w:p w14:paraId="734BD900" w14:textId="77777777" w:rsidR="00D1587D" w:rsidRDefault="00410D07">
            <w:pPr>
              <w:ind w:left="3960"/>
              <w:rPr>
                <w:sz w:val="20"/>
                <w:szCs w:val="20"/>
              </w:rPr>
            </w:pPr>
            <w:r>
              <w:rPr>
                <w:rFonts w:ascii="Arial" w:eastAsia="Arial" w:hAnsi="Arial" w:cs="Arial"/>
                <w:sz w:val="18"/>
                <w:szCs w:val="18"/>
              </w:rPr>
              <w:t>2.06</w:t>
            </w:r>
          </w:p>
        </w:tc>
        <w:tc>
          <w:tcPr>
            <w:tcW w:w="1460" w:type="dxa"/>
            <w:vAlign w:val="bottom"/>
          </w:tcPr>
          <w:p w14:paraId="3FD0BAAE" w14:textId="77777777" w:rsidR="00D1587D" w:rsidRDefault="00D1587D">
            <w:pPr>
              <w:rPr>
                <w:sz w:val="18"/>
                <w:szCs w:val="18"/>
              </w:rPr>
            </w:pPr>
          </w:p>
        </w:tc>
      </w:tr>
      <w:tr w:rsidR="00D1587D" w14:paraId="5E2AA68D" w14:textId="77777777">
        <w:trPr>
          <w:trHeight w:val="216"/>
        </w:trPr>
        <w:tc>
          <w:tcPr>
            <w:tcW w:w="1300" w:type="dxa"/>
            <w:vAlign w:val="bottom"/>
          </w:tcPr>
          <w:p w14:paraId="36A3C947" w14:textId="77777777" w:rsidR="00D1587D" w:rsidRDefault="00D1587D">
            <w:pPr>
              <w:rPr>
                <w:sz w:val="18"/>
                <w:szCs w:val="18"/>
              </w:rPr>
            </w:pPr>
          </w:p>
        </w:tc>
        <w:tc>
          <w:tcPr>
            <w:tcW w:w="3960" w:type="dxa"/>
            <w:gridSpan w:val="2"/>
            <w:vAlign w:val="bottom"/>
          </w:tcPr>
          <w:p w14:paraId="446D87BA" w14:textId="77777777" w:rsidR="00D1587D" w:rsidRDefault="00410D07">
            <w:pPr>
              <w:rPr>
                <w:sz w:val="20"/>
                <w:szCs w:val="20"/>
              </w:rPr>
            </w:pPr>
            <w:r>
              <w:rPr>
                <w:rFonts w:ascii="Arial" w:eastAsia="Arial" w:hAnsi="Arial" w:cs="Arial"/>
                <w:sz w:val="18"/>
                <w:szCs w:val="18"/>
              </w:rPr>
              <w:t>L Brands</w:t>
            </w:r>
          </w:p>
        </w:tc>
        <w:tc>
          <w:tcPr>
            <w:tcW w:w="3960" w:type="dxa"/>
            <w:vAlign w:val="bottom"/>
          </w:tcPr>
          <w:p w14:paraId="38FCC9BB" w14:textId="77777777" w:rsidR="00D1587D" w:rsidRDefault="00D1587D">
            <w:pPr>
              <w:rPr>
                <w:sz w:val="18"/>
                <w:szCs w:val="18"/>
              </w:rPr>
            </w:pPr>
          </w:p>
        </w:tc>
        <w:tc>
          <w:tcPr>
            <w:tcW w:w="2020" w:type="dxa"/>
            <w:gridSpan w:val="2"/>
            <w:vAlign w:val="bottom"/>
          </w:tcPr>
          <w:p w14:paraId="54D3D8A2" w14:textId="77777777" w:rsidR="00D1587D" w:rsidRDefault="00410D07">
            <w:pPr>
              <w:rPr>
                <w:sz w:val="20"/>
                <w:szCs w:val="20"/>
              </w:rPr>
            </w:pPr>
            <w:r>
              <w:rPr>
                <w:rFonts w:ascii="Arial" w:eastAsia="Arial" w:hAnsi="Arial" w:cs="Arial"/>
                <w:sz w:val="18"/>
                <w:szCs w:val="18"/>
              </w:rPr>
              <w:t>Preamble</w:t>
            </w:r>
          </w:p>
        </w:tc>
      </w:tr>
      <w:tr w:rsidR="00D1587D" w14:paraId="5E21A68F" w14:textId="77777777">
        <w:trPr>
          <w:trHeight w:val="216"/>
        </w:trPr>
        <w:tc>
          <w:tcPr>
            <w:tcW w:w="1300" w:type="dxa"/>
            <w:vAlign w:val="bottom"/>
          </w:tcPr>
          <w:p w14:paraId="2544580D" w14:textId="77777777" w:rsidR="00D1587D" w:rsidRDefault="00D1587D">
            <w:pPr>
              <w:rPr>
                <w:sz w:val="18"/>
                <w:szCs w:val="18"/>
              </w:rPr>
            </w:pPr>
          </w:p>
        </w:tc>
        <w:tc>
          <w:tcPr>
            <w:tcW w:w="3960" w:type="dxa"/>
            <w:gridSpan w:val="2"/>
            <w:vAlign w:val="bottom"/>
          </w:tcPr>
          <w:p w14:paraId="49F2A29E" w14:textId="77777777" w:rsidR="00D1587D" w:rsidRDefault="00410D07">
            <w:pPr>
              <w:rPr>
                <w:sz w:val="20"/>
                <w:szCs w:val="20"/>
              </w:rPr>
            </w:pPr>
            <w:r>
              <w:rPr>
                <w:rFonts w:ascii="Arial" w:eastAsia="Arial" w:hAnsi="Arial" w:cs="Arial"/>
                <w:sz w:val="18"/>
                <w:szCs w:val="18"/>
              </w:rPr>
              <w:t>L Brands Cash Distribution</w:t>
            </w:r>
          </w:p>
        </w:tc>
        <w:tc>
          <w:tcPr>
            <w:tcW w:w="3960" w:type="dxa"/>
            <w:vAlign w:val="bottom"/>
          </w:tcPr>
          <w:p w14:paraId="7C557491" w14:textId="77777777" w:rsidR="00D1587D" w:rsidRDefault="00D1587D">
            <w:pPr>
              <w:rPr>
                <w:sz w:val="18"/>
                <w:szCs w:val="18"/>
              </w:rPr>
            </w:pPr>
          </w:p>
        </w:tc>
        <w:tc>
          <w:tcPr>
            <w:tcW w:w="2020" w:type="dxa"/>
            <w:gridSpan w:val="2"/>
            <w:vAlign w:val="bottom"/>
          </w:tcPr>
          <w:p w14:paraId="7565D177" w14:textId="77777777" w:rsidR="00D1587D" w:rsidRDefault="00410D07">
            <w:pPr>
              <w:rPr>
                <w:sz w:val="20"/>
                <w:szCs w:val="20"/>
              </w:rPr>
            </w:pPr>
            <w:r>
              <w:rPr>
                <w:rFonts w:ascii="Arial" w:eastAsia="Arial" w:hAnsi="Arial" w:cs="Arial"/>
                <w:sz w:val="18"/>
                <w:szCs w:val="18"/>
              </w:rPr>
              <w:t>2.02(b)</w:t>
            </w:r>
          </w:p>
        </w:tc>
      </w:tr>
      <w:tr w:rsidR="00D1587D" w14:paraId="75E017F0" w14:textId="77777777">
        <w:trPr>
          <w:trHeight w:val="216"/>
        </w:trPr>
        <w:tc>
          <w:tcPr>
            <w:tcW w:w="1300" w:type="dxa"/>
            <w:vAlign w:val="bottom"/>
          </w:tcPr>
          <w:p w14:paraId="4BFF9E2E" w14:textId="77777777" w:rsidR="00D1587D" w:rsidRDefault="00D1587D">
            <w:pPr>
              <w:rPr>
                <w:sz w:val="18"/>
                <w:szCs w:val="18"/>
              </w:rPr>
            </w:pPr>
          </w:p>
        </w:tc>
        <w:tc>
          <w:tcPr>
            <w:tcW w:w="3960" w:type="dxa"/>
            <w:gridSpan w:val="2"/>
            <w:vAlign w:val="bottom"/>
          </w:tcPr>
          <w:p w14:paraId="28642992" w14:textId="77777777" w:rsidR="00D1587D" w:rsidRDefault="00410D07">
            <w:pPr>
              <w:rPr>
                <w:sz w:val="20"/>
                <w:szCs w:val="20"/>
              </w:rPr>
            </w:pPr>
            <w:r>
              <w:rPr>
                <w:rFonts w:ascii="Arial" w:eastAsia="Arial" w:hAnsi="Arial" w:cs="Arial"/>
                <w:sz w:val="18"/>
                <w:szCs w:val="18"/>
              </w:rPr>
              <w:t>L Brands Common Stock</w:t>
            </w:r>
          </w:p>
        </w:tc>
        <w:tc>
          <w:tcPr>
            <w:tcW w:w="3960" w:type="dxa"/>
            <w:vAlign w:val="bottom"/>
          </w:tcPr>
          <w:p w14:paraId="259B9E3B" w14:textId="77777777" w:rsidR="00D1587D" w:rsidRDefault="00D1587D">
            <w:pPr>
              <w:rPr>
                <w:sz w:val="18"/>
                <w:szCs w:val="18"/>
              </w:rPr>
            </w:pPr>
          </w:p>
        </w:tc>
        <w:tc>
          <w:tcPr>
            <w:tcW w:w="2020" w:type="dxa"/>
            <w:gridSpan w:val="2"/>
            <w:vAlign w:val="bottom"/>
          </w:tcPr>
          <w:p w14:paraId="5E120F41" w14:textId="77777777" w:rsidR="00D1587D" w:rsidRDefault="00410D07">
            <w:pPr>
              <w:rPr>
                <w:sz w:val="20"/>
                <w:szCs w:val="20"/>
              </w:rPr>
            </w:pPr>
            <w:r>
              <w:rPr>
                <w:rFonts w:ascii="Arial" w:eastAsia="Arial" w:hAnsi="Arial" w:cs="Arial"/>
                <w:sz w:val="18"/>
                <w:szCs w:val="18"/>
              </w:rPr>
              <w:t>Recitals</w:t>
            </w:r>
          </w:p>
        </w:tc>
      </w:tr>
      <w:tr w:rsidR="00D1587D" w14:paraId="02CA7DF7" w14:textId="77777777">
        <w:trPr>
          <w:trHeight w:val="216"/>
        </w:trPr>
        <w:tc>
          <w:tcPr>
            <w:tcW w:w="1300" w:type="dxa"/>
            <w:vAlign w:val="bottom"/>
          </w:tcPr>
          <w:p w14:paraId="31033E89" w14:textId="77777777" w:rsidR="00D1587D" w:rsidRDefault="00D1587D">
            <w:pPr>
              <w:rPr>
                <w:sz w:val="18"/>
                <w:szCs w:val="18"/>
              </w:rPr>
            </w:pPr>
          </w:p>
        </w:tc>
        <w:tc>
          <w:tcPr>
            <w:tcW w:w="3960" w:type="dxa"/>
            <w:gridSpan w:val="2"/>
            <w:vAlign w:val="bottom"/>
          </w:tcPr>
          <w:p w14:paraId="6482DA6B" w14:textId="77777777" w:rsidR="00D1587D" w:rsidRDefault="00410D07">
            <w:pPr>
              <w:rPr>
                <w:sz w:val="20"/>
                <w:szCs w:val="20"/>
              </w:rPr>
            </w:pPr>
            <w:r>
              <w:rPr>
                <w:rFonts w:ascii="Arial" w:eastAsia="Arial" w:hAnsi="Arial" w:cs="Arial"/>
                <w:sz w:val="18"/>
                <w:szCs w:val="18"/>
              </w:rPr>
              <w:t>L Brands Designee</w:t>
            </w:r>
          </w:p>
        </w:tc>
        <w:tc>
          <w:tcPr>
            <w:tcW w:w="3960" w:type="dxa"/>
            <w:vAlign w:val="bottom"/>
          </w:tcPr>
          <w:p w14:paraId="0B02341C" w14:textId="77777777" w:rsidR="00D1587D" w:rsidRDefault="00D1587D">
            <w:pPr>
              <w:rPr>
                <w:sz w:val="18"/>
                <w:szCs w:val="18"/>
              </w:rPr>
            </w:pPr>
          </w:p>
        </w:tc>
        <w:tc>
          <w:tcPr>
            <w:tcW w:w="2020" w:type="dxa"/>
            <w:gridSpan w:val="2"/>
            <w:vAlign w:val="bottom"/>
          </w:tcPr>
          <w:p w14:paraId="6E95C599" w14:textId="77777777" w:rsidR="00D1587D" w:rsidRDefault="00410D07">
            <w:pPr>
              <w:rPr>
                <w:sz w:val="20"/>
                <w:szCs w:val="20"/>
              </w:rPr>
            </w:pPr>
            <w:r>
              <w:rPr>
                <w:rFonts w:ascii="Arial" w:eastAsia="Arial" w:hAnsi="Arial" w:cs="Arial"/>
                <w:sz w:val="18"/>
                <w:szCs w:val="18"/>
              </w:rPr>
              <w:t>2.03(a)</w:t>
            </w:r>
          </w:p>
        </w:tc>
      </w:tr>
      <w:tr w:rsidR="00D1587D" w14:paraId="7F990D8C" w14:textId="77777777">
        <w:trPr>
          <w:trHeight w:val="216"/>
        </w:trPr>
        <w:tc>
          <w:tcPr>
            <w:tcW w:w="1300" w:type="dxa"/>
            <w:vAlign w:val="bottom"/>
          </w:tcPr>
          <w:p w14:paraId="2D4F181E" w14:textId="77777777" w:rsidR="00D1587D" w:rsidRDefault="00D1587D">
            <w:pPr>
              <w:rPr>
                <w:sz w:val="18"/>
                <w:szCs w:val="18"/>
              </w:rPr>
            </w:pPr>
          </w:p>
        </w:tc>
        <w:tc>
          <w:tcPr>
            <w:tcW w:w="3960" w:type="dxa"/>
            <w:gridSpan w:val="2"/>
            <w:vAlign w:val="bottom"/>
          </w:tcPr>
          <w:p w14:paraId="4E5CF0E5" w14:textId="77777777" w:rsidR="00D1587D" w:rsidRDefault="00410D07">
            <w:pPr>
              <w:rPr>
                <w:sz w:val="20"/>
                <w:szCs w:val="20"/>
              </w:rPr>
            </w:pPr>
            <w:r>
              <w:rPr>
                <w:rFonts w:ascii="Arial" w:eastAsia="Arial" w:hAnsi="Arial" w:cs="Arial"/>
                <w:sz w:val="18"/>
                <w:szCs w:val="18"/>
              </w:rPr>
              <w:t>L Brands Indemnitees</w:t>
            </w:r>
          </w:p>
        </w:tc>
        <w:tc>
          <w:tcPr>
            <w:tcW w:w="3960" w:type="dxa"/>
            <w:vAlign w:val="bottom"/>
          </w:tcPr>
          <w:p w14:paraId="5E92624C" w14:textId="77777777" w:rsidR="00D1587D" w:rsidRDefault="00D1587D">
            <w:pPr>
              <w:rPr>
                <w:sz w:val="18"/>
                <w:szCs w:val="18"/>
              </w:rPr>
            </w:pPr>
          </w:p>
        </w:tc>
        <w:tc>
          <w:tcPr>
            <w:tcW w:w="2020" w:type="dxa"/>
            <w:gridSpan w:val="2"/>
            <w:vAlign w:val="bottom"/>
          </w:tcPr>
          <w:p w14:paraId="30D1E709" w14:textId="77777777" w:rsidR="00D1587D" w:rsidRDefault="00410D07">
            <w:pPr>
              <w:rPr>
                <w:sz w:val="20"/>
                <w:szCs w:val="20"/>
              </w:rPr>
            </w:pPr>
            <w:r>
              <w:rPr>
                <w:rFonts w:ascii="Arial" w:eastAsia="Arial" w:hAnsi="Arial" w:cs="Arial"/>
                <w:sz w:val="18"/>
                <w:szCs w:val="18"/>
              </w:rPr>
              <w:t>5.02(a)</w:t>
            </w:r>
          </w:p>
        </w:tc>
      </w:tr>
      <w:tr w:rsidR="00D1587D" w14:paraId="0645F2CF" w14:textId="77777777">
        <w:trPr>
          <w:trHeight w:val="216"/>
        </w:trPr>
        <w:tc>
          <w:tcPr>
            <w:tcW w:w="1300" w:type="dxa"/>
            <w:vAlign w:val="bottom"/>
          </w:tcPr>
          <w:p w14:paraId="2DA9A66D" w14:textId="77777777" w:rsidR="00D1587D" w:rsidRDefault="00D1587D">
            <w:pPr>
              <w:rPr>
                <w:sz w:val="18"/>
                <w:szCs w:val="18"/>
              </w:rPr>
            </w:pPr>
          </w:p>
        </w:tc>
        <w:tc>
          <w:tcPr>
            <w:tcW w:w="3960" w:type="dxa"/>
            <w:gridSpan w:val="2"/>
            <w:vAlign w:val="bottom"/>
          </w:tcPr>
          <w:p w14:paraId="60627318" w14:textId="77777777" w:rsidR="00D1587D" w:rsidRDefault="00410D07">
            <w:pPr>
              <w:rPr>
                <w:sz w:val="20"/>
                <w:szCs w:val="20"/>
              </w:rPr>
            </w:pPr>
            <w:r>
              <w:rPr>
                <w:rFonts w:ascii="Arial" w:eastAsia="Arial" w:hAnsi="Arial" w:cs="Arial"/>
                <w:sz w:val="18"/>
                <w:szCs w:val="18"/>
              </w:rPr>
              <w:t>L Brands Insurance Claims</w:t>
            </w:r>
          </w:p>
        </w:tc>
        <w:tc>
          <w:tcPr>
            <w:tcW w:w="3960" w:type="dxa"/>
            <w:vAlign w:val="bottom"/>
          </w:tcPr>
          <w:p w14:paraId="3BE65535" w14:textId="77777777" w:rsidR="00D1587D" w:rsidRDefault="00D1587D">
            <w:pPr>
              <w:rPr>
                <w:sz w:val="18"/>
                <w:szCs w:val="18"/>
              </w:rPr>
            </w:pPr>
          </w:p>
        </w:tc>
        <w:tc>
          <w:tcPr>
            <w:tcW w:w="2020" w:type="dxa"/>
            <w:gridSpan w:val="2"/>
            <w:vAlign w:val="bottom"/>
          </w:tcPr>
          <w:p w14:paraId="0E5FA4E7" w14:textId="77777777" w:rsidR="00D1587D" w:rsidRDefault="00410D07">
            <w:pPr>
              <w:rPr>
                <w:sz w:val="20"/>
                <w:szCs w:val="20"/>
              </w:rPr>
            </w:pPr>
            <w:r>
              <w:rPr>
                <w:rFonts w:ascii="Arial" w:eastAsia="Arial" w:hAnsi="Arial" w:cs="Arial"/>
                <w:sz w:val="18"/>
                <w:szCs w:val="18"/>
              </w:rPr>
              <w:t>4.10(b)</w:t>
            </w:r>
          </w:p>
        </w:tc>
      </w:tr>
      <w:tr w:rsidR="00D1587D" w14:paraId="2FAE47C3" w14:textId="77777777">
        <w:trPr>
          <w:trHeight w:val="216"/>
        </w:trPr>
        <w:tc>
          <w:tcPr>
            <w:tcW w:w="1300" w:type="dxa"/>
            <w:vAlign w:val="bottom"/>
          </w:tcPr>
          <w:p w14:paraId="4480AE37" w14:textId="77777777" w:rsidR="00D1587D" w:rsidRDefault="00D1587D">
            <w:pPr>
              <w:rPr>
                <w:sz w:val="18"/>
                <w:szCs w:val="18"/>
              </w:rPr>
            </w:pPr>
          </w:p>
        </w:tc>
        <w:tc>
          <w:tcPr>
            <w:tcW w:w="3960" w:type="dxa"/>
            <w:gridSpan w:val="2"/>
            <w:vAlign w:val="bottom"/>
          </w:tcPr>
          <w:p w14:paraId="17A8449B" w14:textId="77777777" w:rsidR="00D1587D" w:rsidRDefault="00410D07">
            <w:pPr>
              <w:rPr>
                <w:sz w:val="20"/>
                <w:szCs w:val="20"/>
              </w:rPr>
            </w:pPr>
            <w:r>
              <w:rPr>
                <w:rFonts w:ascii="Arial" w:eastAsia="Arial" w:hAnsi="Arial" w:cs="Arial"/>
                <w:sz w:val="18"/>
                <w:szCs w:val="18"/>
              </w:rPr>
              <w:t>L Brands Insurance Policies</w:t>
            </w:r>
          </w:p>
        </w:tc>
        <w:tc>
          <w:tcPr>
            <w:tcW w:w="3960" w:type="dxa"/>
            <w:vAlign w:val="bottom"/>
          </w:tcPr>
          <w:p w14:paraId="2D5CB2DF" w14:textId="77777777" w:rsidR="00D1587D" w:rsidRDefault="00D1587D">
            <w:pPr>
              <w:rPr>
                <w:sz w:val="18"/>
                <w:szCs w:val="18"/>
              </w:rPr>
            </w:pPr>
          </w:p>
        </w:tc>
        <w:tc>
          <w:tcPr>
            <w:tcW w:w="2020" w:type="dxa"/>
            <w:gridSpan w:val="2"/>
            <w:vAlign w:val="bottom"/>
          </w:tcPr>
          <w:p w14:paraId="5846D034" w14:textId="77777777" w:rsidR="00D1587D" w:rsidRDefault="00410D07">
            <w:pPr>
              <w:rPr>
                <w:sz w:val="20"/>
                <w:szCs w:val="20"/>
              </w:rPr>
            </w:pPr>
            <w:r>
              <w:rPr>
                <w:rFonts w:ascii="Arial" w:eastAsia="Arial" w:hAnsi="Arial" w:cs="Arial"/>
                <w:sz w:val="18"/>
                <w:szCs w:val="18"/>
              </w:rPr>
              <w:t>4.10(a)</w:t>
            </w:r>
          </w:p>
        </w:tc>
      </w:tr>
      <w:tr w:rsidR="00D1587D" w14:paraId="17EC7C5D" w14:textId="77777777">
        <w:trPr>
          <w:trHeight w:val="216"/>
        </w:trPr>
        <w:tc>
          <w:tcPr>
            <w:tcW w:w="1300" w:type="dxa"/>
            <w:vAlign w:val="bottom"/>
          </w:tcPr>
          <w:p w14:paraId="4C03DAC2" w14:textId="77777777" w:rsidR="00D1587D" w:rsidRDefault="00D1587D">
            <w:pPr>
              <w:rPr>
                <w:sz w:val="18"/>
                <w:szCs w:val="18"/>
              </w:rPr>
            </w:pPr>
          </w:p>
        </w:tc>
        <w:tc>
          <w:tcPr>
            <w:tcW w:w="3960" w:type="dxa"/>
            <w:gridSpan w:val="2"/>
            <w:vAlign w:val="bottom"/>
          </w:tcPr>
          <w:p w14:paraId="4AEC12ED" w14:textId="77777777" w:rsidR="00D1587D" w:rsidRDefault="00410D07">
            <w:pPr>
              <w:rPr>
                <w:sz w:val="20"/>
                <w:szCs w:val="20"/>
              </w:rPr>
            </w:pPr>
            <w:r>
              <w:rPr>
                <w:rFonts w:ascii="Arial" w:eastAsia="Arial" w:hAnsi="Arial" w:cs="Arial"/>
                <w:sz w:val="18"/>
                <w:szCs w:val="18"/>
              </w:rPr>
              <w:t>L Brands Temporary Facilities</w:t>
            </w:r>
          </w:p>
        </w:tc>
        <w:tc>
          <w:tcPr>
            <w:tcW w:w="4520" w:type="dxa"/>
            <w:gridSpan w:val="2"/>
            <w:vAlign w:val="bottom"/>
          </w:tcPr>
          <w:p w14:paraId="5D9EEEC1" w14:textId="77777777" w:rsidR="00D1587D" w:rsidRDefault="00410D07">
            <w:pPr>
              <w:ind w:left="3960"/>
              <w:rPr>
                <w:sz w:val="20"/>
                <w:szCs w:val="20"/>
              </w:rPr>
            </w:pPr>
            <w:r>
              <w:rPr>
                <w:rFonts w:ascii="Arial" w:eastAsia="Arial" w:hAnsi="Arial" w:cs="Arial"/>
                <w:sz w:val="18"/>
                <w:szCs w:val="18"/>
              </w:rPr>
              <w:t>4.14</w:t>
            </w:r>
          </w:p>
        </w:tc>
        <w:tc>
          <w:tcPr>
            <w:tcW w:w="1460" w:type="dxa"/>
            <w:vAlign w:val="bottom"/>
          </w:tcPr>
          <w:p w14:paraId="353A4817" w14:textId="77777777" w:rsidR="00D1587D" w:rsidRDefault="00D1587D">
            <w:pPr>
              <w:rPr>
                <w:sz w:val="18"/>
                <w:szCs w:val="18"/>
              </w:rPr>
            </w:pPr>
          </w:p>
        </w:tc>
      </w:tr>
      <w:tr w:rsidR="00D1587D" w14:paraId="281EBC19" w14:textId="77777777">
        <w:trPr>
          <w:trHeight w:val="216"/>
        </w:trPr>
        <w:tc>
          <w:tcPr>
            <w:tcW w:w="1300" w:type="dxa"/>
            <w:vAlign w:val="bottom"/>
          </w:tcPr>
          <w:p w14:paraId="666BC5BD" w14:textId="77777777" w:rsidR="00D1587D" w:rsidRDefault="00D1587D">
            <w:pPr>
              <w:rPr>
                <w:sz w:val="18"/>
                <w:szCs w:val="18"/>
              </w:rPr>
            </w:pPr>
          </w:p>
        </w:tc>
        <w:tc>
          <w:tcPr>
            <w:tcW w:w="3960" w:type="dxa"/>
            <w:gridSpan w:val="2"/>
            <w:vAlign w:val="bottom"/>
          </w:tcPr>
          <w:p w14:paraId="4F8DC837" w14:textId="77777777" w:rsidR="00D1587D" w:rsidRDefault="00410D07">
            <w:pPr>
              <w:rPr>
                <w:sz w:val="20"/>
                <w:szCs w:val="20"/>
              </w:rPr>
            </w:pPr>
            <w:r>
              <w:rPr>
                <w:rFonts w:ascii="Arial" w:eastAsia="Arial" w:hAnsi="Arial" w:cs="Arial"/>
                <w:sz w:val="18"/>
                <w:szCs w:val="18"/>
              </w:rPr>
              <w:t>Mediation Notice</w:t>
            </w:r>
          </w:p>
        </w:tc>
        <w:tc>
          <w:tcPr>
            <w:tcW w:w="3960" w:type="dxa"/>
            <w:vAlign w:val="bottom"/>
          </w:tcPr>
          <w:p w14:paraId="0D46B6AF" w14:textId="77777777" w:rsidR="00D1587D" w:rsidRDefault="00D1587D">
            <w:pPr>
              <w:rPr>
                <w:sz w:val="18"/>
                <w:szCs w:val="18"/>
              </w:rPr>
            </w:pPr>
          </w:p>
        </w:tc>
        <w:tc>
          <w:tcPr>
            <w:tcW w:w="2020" w:type="dxa"/>
            <w:gridSpan w:val="2"/>
            <w:vAlign w:val="bottom"/>
          </w:tcPr>
          <w:p w14:paraId="6CDAFCBC" w14:textId="77777777" w:rsidR="00D1587D" w:rsidRDefault="00410D07">
            <w:pPr>
              <w:rPr>
                <w:sz w:val="20"/>
                <w:szCs w:val="20"/>
              </w:rPr>
            </w:pPr>
            <w:r>
              <w:rPr>
                <w:rFonts w:ascii="Arial" w:eastAsia="Arial" w:hAnsi="Arial" w:cs="Arial"/>
                <w:sz w:val="18"/>
                <w:szCs w:val="18"/>
              </w:rPr>
              <w:t>6.09(b)</w:t>
            </w:r>
          </w:p>
        </w:tc>
      </w:tr>
      <w:tr w:rsidR="00D1587D" w14:paraId="12182663" w14:textId="77777777">
        <w:trPr>
          <w:trHeight w:val="216"/>
        </w:trPr>
        <w:tc>
          <w:tcPr>
            <w:tcW w:w="1300" w:type="dxa"/>
            <w:vAlign w:val="bottom"/>
          </w:tcPr>
          <w:p w14:paraId="3E22D20A" w14:textId="77777777" w:rsidR="00D1587D" w:rsidRDefault="00D1587D">
            <w:pPr>
              <w:rPr>
                <w:sz w:val="18"/>
                <w:szCs w:val="18"/>
              </w:rPr>
            </w:pPr>
          </w:p>
        </w:tc>
        <w:tc>
          <w:tcPr>
            <w:tcW w:w="3960" w:type="dxa"/>
            <w:gridSpan w:val="2"/>
            <w:vAlign w:val="bottom"/>
          </w:tcPr>
          <w:p w14:paraId="58E0A3FF" w14:textId="77777777" w:rsidR="00D1587D" w:rsidRDefault="00410D07">
            <w:pPr>
              <w:rPr>
                <w:sz w:val="20"/>
                <w:szCs w:val="20"/>
              </w:rPr>
            </w:pPr>
            <w:r>
              <w:rPr>
                <w:rFonts w:ascii="Arial" w:eastAsia="Arial" w:hAnsi="Arial" w:cs="Arial"/>
                <w:sz w:val="18"/>
                <w:szCs w:val="18"/>
              </w:rPr>
              <w:t>Mediation Period</w:t>
            </w:r>
          </w:p>
        </w:tc>
        <w:tc>
          <w:tcPr>
            <w:tcW w:w="3960" w:type="dxa"/>
            <w:vAlign w:val="bottom"/>
          </w:tcPr>
          <w:p w14:paraId="3D0049B9" w14:textId="77777777" w:rsidR="00D1587D" w:rsidRDefault="00D1587D">
            <w:pPr>
              <w:rPr>
                <w:sz w:val="18"/>
                <w:szCs w:val="18"/>
              </w:rPr>
            </w:pPr>
          </w:p>
        </w:tc>
        <w:tc>
          <w:tcPr>
            <w:tcW w:w="2020" w:type="dxa"/>
            <w:gridSpan w:val="2"/>
            <w:vAlign w:val="bottom"/>
          </w:tcPr>
          <w:p w14:paraId="4F19211D" w14:textId="77777777" w:rsidR="00D1587D" w:rsidRDefault="00410D07">
            <w:pPr>
              <w:rPr>
                <w:sz w:val="20"/>
                <w:szCs w:val="20"/>
              </w:rPr>
            </w:pPr>
            <w:r>
              <w:rPr>
                <w:rFonts w:ascii="Arial" w:eastAsia="Arial" w:hAnsi="Arial" w:cs="Arial"/>
                <w:sz w:val="18"/>
                <w:szCs w:val="18"/>
              </w:rPr>
              <w:t>6.09(c)</w:t>
            </w:r>
          </w:p>
        </w:tc>
      </w:tr>
      <w:tr w:rsidR="00D1587D" w14:paraId="03DAF41C" w14:textId="77777777">
        <w:trPr>
          <w:trHeight w:val="216"/>
        </w:trPr>
        <w:tc>
          <w:tcPr>
            <w:tcW w:w="1300" w:type="dxa"/>
            <w:vAlign w:val="bottom"/>
          </w:tcPr>
          <w:p w14:paraId="43855711" w14:textId="77777777" w:rsidR="00D1587D" w:rsidRDefault="00D1587D">
            <w:pPr>
              <w:rPr>
                <w:sz w:val="18"/>
                <w:szCs w:val="18"/>
              </w:rPr>
            </w:pPr>
          </w:p>
        </w:tc>
        <w:tc>
          <w:tcPr>
            <w:tcW w:w="3960" w:type="dxa"/>
            <w:gridSpan w:val="2"/>
            <w:vAlign w:val="bottom"/>
          </w:tcPr>
          <w:p w14:paraId="6D69FC5E" w14:textId="77777777" w:rsidR="00D1587D" w:rsidRDefault="00410D07">
            <w:pPr>
              <w:rPr>
                <w:sz w:val="20"/>
                <w:szCs w:val="20"/>
              </w:rPr>
            </w:pPr>
            <w:r>
              <w:rPr>
                <w:rFonts w:ascii="Arial" w:eastAsia="Arial" w:hAnsi="Arial" w:cs="Arial"/>
                <w:sz w:val="18"/>
                <w:szCs w:val="18"/>
              </w:rPr>
              <w:t>Party</w:t>
            </w:r>
          </w:p>
        </w:tc>
        <w:tc>
          <w:tcPr>
            <w:tcW w:w="3960" w:type="dxa"/>
            <w:vAlign w:val="bottom"/>
          </w:tcPr>
          <w:p w14:paraId="16039025" w14:textId="77777777" w:rsidR="00D1587D" w:rsidRDefault="00D1587D">
            <w:pPr>
              <w:rPr>
                <w:sz w:val="18"/>
                <w:szCs w:val="18"/>
              </w:rPr>
            </w:pPr>
          </w:p>
        </w:tc>
        <w:tc>
          <w:tcPr>
            <w:tcW w:w="2020" w:type="dxa"/>
            <w:gridSpan w:val="2"/>
            <w:vAlign w:val="bottom"/>
          </w:tcPr>
          <w:p w14:paraId="21BDA7CC" w14:textId="77777777" w:rsidR="00D1587D" w:rsidRDefault="00410D07">
            <w:pPr>
              <w:rPr>
                <w:sz w:val="20"/>
                <w:szCs w:val="20"/>
              </w:rPr>
            </w:pPr>
            <w:r>
              <w:rPr>
                <w:rFonts w:ascii="Arial" w:eastAsia="Arial" w:hAnsi="Arial" w:cs="Arial"/>
                <w:sz w:val="18"/>
                <w:szCs w:val="18"/>
              </w:rPr>
              <w:t>Preamble</w:t>
            </w:r>
          </w:p>
        </w:tc>
      </w:tr>
      <w:tr w:rsidR="00D1587D" w14:paraId="21E798C6" w14:textId="77777777">
        <w:trPr>
          <w:trHeight w:val="216"/>
        </w:trPr>
        <w:tc>
          <w:tcPr>
            <w:tcW w:w="1300" w:type="dxa"/>
            <w:vAlign w:val="bottom"/>
          </w:tcPr>
          <w:p w14:paraId="01D39617" w14:textId="77777777" w:rsidR="00D1587D" w:rsidRDefault="00D1587D">
            <w:pPr>
              <w:rPr>
                <w:sz w:val="18"/>
                <w:szCs w:val="18"/>
              </w:rPr>
            </w:pPr>
          </w:p>
        </w:tc>
        <w:tc>
          <w:tcPr>
            <w:tcW w:w="3960" w:type="dxa"/>
            <w:gridSpan w:val="2"/>
            <w:vAlign w:val="bottom"/>
          </w:tcPr>
          <w:p w14:paraId="2D31A183" w14:textId="77777777" w:rsidR="00D1587D" w:rsidRDefault="00410D07">
            <w:pPr>
              <w:rPr>
                <w:sz w:val="20"/>
                <w:szCs w:val="20"/>
              </w:rPr>
            </w:pPr>
            <w:r>
              <w:rPr>
                <w:rFonts w:ascii="Arial" w:eastAsia="Arial" w:hAnsi="Arial" w:cs="Arial"/>
                <w:sz w:val="18"/>
                <w:szCs w:val="18"/>
              </w:rPr>
              <w:t>Pre-Distribution Occurrences</w:t>
            </w:r>
          </w:p>
        </w:tc>
        <w:tc>
          <w:tcPr>
            <w:tcW w:w="3960" w:type="dxa"/>
            <w:vAlign w:val="bottom"/>
          </w:tcPr>
          <w:p w14:paraId="640DD80F" w14:textId="77777777" w:rsidR="00D1587D" w:rsidRDefault="00D1587D">
            <w:pPr>
              <w:rPr>
                <w:sz w:val="18"/>
                <w:szCs w:val="18"/>
              </w:rPr>
            </w:pPr>
          </w:p>
        </w:tc>
        <w:tc>
          <w:tcPr>
            <w:tcW w:w="2020" w:type="dxa"/>
            <w:gridSpan w:val="2"/>
            <w:vAlign w:val="bottom"/>
          </w:tcPr>
          <w:p w14:paraId="0226B482" w14:textId="77777777" w:rsidR="00D1587D" w:rsidRDefault="00410D07">
            <w:pPr>
              <w:rPr>
                <w:sz w:val="20"/>
                <w:szCs w:val="20"/>
              </w:rPr>
            </w:pPr>
            <w:r>
              <w:rPr>
                <w:rFonts w:ascii="Arial" w:eastAsia="Arial" w:hAnsi="Arial" w:cs="Arial"/>
                <w:sz w:val="18"/>
                <w:szCs w:val="18"/>
              </w:rPr>
              <w:t>4.10(b)</w:t>
            </w:r>
          </w:p>
        </w:tc>
      </w:tr>
      <w:tr w:rsidR="00D1587D" w14:paraId="17B24F52" w14:textId="77777777">
        <w:trPr>
          <w:trHeight w:val="216"/>
        </w:trPr>
        <w:tc>
          <w:tcPr>
            <w:tcW w:w="1300" w:type="dxa"/>
            <w:vAlign w:val="bottom"/>
          </w:tcPr>
          <w:p w14:paraId="4CDCAA97" w14:textId="77777777" w:rsidR="00D1587D" w:rsidRDefault="00D1587D">
            <w:pPr>
              <w:rPr>
                <w:sz w:val="18"/>
                <w:szCs w:val="18"/>
              </w:rPr>
            </w:pPr>
          </w:p>
        </w:tc>
        <w:tc>
          <w:tcPr>
            <w:tcW w:w="3960" w:type="dxa"/>
            <w:gridSpan w:val="2"/>
            <w:vAlign w:val="bottom"/>
          </w:tcPr>
          <w:p w14:paraId="48893859" w14:textId="77777777" w:rsidR="00D1587D" w:rsidRDefault="00410D07">
            <w:pPr>
              <w:rPr>
                <w:sz w:val="20"/>
                <w:szCs w:val="20"/>
              </w:rPr>
            </w:pPr>
            <w:r>
              <w:rPr>
                <w:rFonts w:ascii="Arial" w:eastAsia="Arial" w:hAnsi="Arial" w:cs="Arial"/>
                <w:sz w:val="18"/>
                <w:szCs w:val="18"/>
              </w:rPr>
              <w:t>Prior Company Counsel</w:t>
            </w:r>
          </w:p>
        </w:tc>
        <w:tc>
          <w:tcPr>
            <w:tcW w:w="3960" w:type="dxa"/>
            <w:vAlign w:val="bottom"/>
          </w:tcPr>
          <w:p w14:paraId="534391D6" w14:textId="77777777" w:rsidR="00D1587D" w:rsidRDefault="00D1587D">
            <w:pPr>
              <w:rPr>
                <w:sz w:val="18"/>
                <w:szCs w:val="18"/>
              </w:rPr>
            </w:pPr>
          </w:p>
        </w:tc>
        <w:tc>
          <w:tcPr>
            <w:tcW w:w="2020" w:type="dxa"/>
            <w:gridSpan w:val="2"/>
            <w:vAlign w:val="bottom"/>
          </w:tcPr>
          <w:p w14:paraId="623EA0F9" w14:textId="77777777" w:rsidR="00D1587D" w:rsidRDefault="00410D07">
            <w:pPr>
              <w:rPr>
                <w:sz w:val="20"/>
                <w:szCs w:val="20"/>
              </w:rPr>
            </w:pPr>
            <w:r>
              <w:rPr>
                <w:rFonts w:ascii="Arial" w:eastAsia="Arial" w:hAnsi="Arial" w:cs="Arial"/>
                <w:sz w:val="18"/>
                <w:szCs w:val="18"/>
              </w:rPr>
              <w:t>4.07(e)</w:t>
            </w:r>
          </w:p>
        </w:tc>
      </w:tr>
      <w:tr w:rsidR="00D1587D" w14:paraId="7A661018" w14:textId="77777777">
        <w:trPr>
          <w:trHeight w:val="216"/>
        </w:trPr>
        <w:tc>
          <w:tcPr>
            <w:tcW w:w="1300" w:type="dxa"/>
            <w:vAlign w:val="bottom"/>
          </w:tcPr>
          <w:p w14:paraId="2E99AE9E" w14:textId="77777777" w:rsidR="00D1587D" w:rsidRDefault="00D1587D">
            <w:pPr>
              <w:rPr>
                <w:sz w:val="18"/>
                <w:szCs w:val="18"/>
              </w:rPr>
            </w:pPr>
          </w:p>
        </w:tc>
        <w:tc>
          <w:tcPr>
            <w:tcW w:w="3960" w:type="dxa"/>
            <w:gridSpan w:val="2"/>
            <w:vAlign w:val="bottom"/>
          </w:tcPr>
          <w:p w14:paraId="58CCB538" w14:textId="77777777" w:rsidR="00D1587D" w:rsidRDefault="00410D07">
            <w:pPr>
              <w:rPr>
                <w:sz w:val="20"/>
                <w:szCs w:val="20"/>
              </w:rPr>
            </w:pPr>
            <w:r>
              <w:rPr>
                <w:rFonts w:ascii="Arial" w:eastAsia="Arial" w:hAnsi="Arial" w:cs="Arial"/>
                <w:sz w:val="18"/>
                <w:szCs w:val="18"/>
              </w:rPr>
              <w:t>Privilege</w:t>
            </w:r>
          </w:p>
        </w:tc>
        <w:tc>
          <w:tcPr>
            <w:tcW w:w="3960" w:type="dxa"/>
            <w:vAlign w:val="bottom"/>
          </w:tcPr>
          <w:p w14:paraId="40510CAC" w14:textId="77777777" w:rsidR="00D1587D" w:rsidRDefault="00D1587D">
            <w:pPr>
              <w:rPr>
                <w:sz w:val="18"/>
                <w:szCs w:val="18"/>
              </w:rPr>
            </w:pPr>
          </w:p>
        </w:tc>
        <w:tc>
          <w:tcPr>
            <w:tcW w:w="2020" w:type="dxa"/>
            <w:gridSpan w:val="2"/>
            <w:vAlign w:val="bottom"/>
          </w:tcPr>
          <w:p w14:paraId="005FE879" w14:textId="77777777" w:rsidR="00D1587D" w:rsidRDefault="00410D07">
            <w:pPr>
              <w:rPr>
                <w:sz w:val="20"/>
                <w:szCs w:val="20"/>
              </w:rPr>
            </w:pPr>
            <w:r>
              <w:rPr>
                <w:rFonts w:ascii="Arial" w:eastAsia="Arial" w:hAnsi="Arial" w:cs="Arial"/>
                <w:sz w:val="18"/>
                <w:szCs w:val="18"/>
              </w:rPr>
              <w:t>4.07(a)</w:t>
            </w:r>
          </w:p>
        </w:tc>
      </w:tr>
      <w:tr w:rsidR="00D1587D" w14:paraId="7E165A59" w14:textId="77777777">
        <w:trPr>
          <w:trHeight w:val="216"/>
        </w:trPr>
        <w:tc>
          <w:tcPr>
            <w:tcW w:w="1300" w:type="dxa"/>
            <w:vAlign w:val="bottom"/>
          </w:tcPr>
          <w:p w14:paraId="38845405" w14:textId="77777777" w:rsidR="00D1587D" w:rsidRDefault="00D1587D">
            <w:pPr>
              <w:rPr>
                <w:sz w:val="18"/>
                <w:szCs w:val="18"/>
              </w:rPr>
            </w:pPr>
          </w:p>
        </w:tc>
        <w:tc>
          <w:tcPr>
            <w:tcW w:w="3960" w:type="dxa"/>
            <w:gridSpan w:val="2"/>
            <w:vAlign w:val="bottom"/>
          </w:tcPr>
          <w:p w14:paraId="479809E0" w14:textId="77777777" w:rsidR="00D1587D" w:rsidRDefault="00410D07">
            <w:pPr>
              <w:rPr>
                <w:sz w:val="20"/>
                <w:szCs w:val="20"/>
              </w:rPr>
            </w:pPr>
            <w:r>
              <w:rPr>
                <w:rFonts w:ascii="Arial" w:eastAsia="Arial" w:hAnsi="Arial" w:cs="Arial"/>
                <w:sz w:val="18"/>
                <w:szCs w:val="18"/>
              </w:rPr>
              <w:t>Privileged Information</w:t>
            </w:r>
          </w:p>
        </w:tc>
        <w:tc>
          <w:tcPr>
            <w:tcW w:w="3960" w:type="dxa"/>
            <w:vAlign w:val="bottom"/>
          </w:tcPr>
          <w:p w14:paraId="2EBFA9D9" w14:textId="77777777" w:rsidR="00D1587D" w:rsidRDefault="00D1587D">
            <w:pPr>
              <w:rPr>
                <w:sz w:val="18"/>
                <w:szCs w:val="18"/>
              </w:rPr>
            </w:pPr>
          </w:p>
        </w:tc>
        <w:tc>
          <w:tcPr>
            <w:tcW w:w="2020" w:type="dxa"/>
            <w:gridSpan w:val="2"/>
            <w:vAlign w:val="bottom"/>
          </w:tcPr>
          <w:p w14:paraId="09E3AAA6" w14:textId="77777777" w:rsidR="00D1587D" w:rsidRDefault="00410D07">
            <w:pPr>
              <w:rPr>
                <w:sz w:val="20"/>
                <w:szCs w:val="20"/>
              </w:rPr>
            </w:pPr>
            <w:r>
              <w:rPr>
                <w:rFonts w:ascii="Arial" w:eastAsia="Arial" w:hAnsi="Arial" w:cs="Arial"/>
                <w:sz w:val="18"/>
                <w:szCs w:val="18"/>
              </w:rPr>
              <w:t>4.07(a)</w:t>
            </w:r>
          </w:p>
        </w:tc>
      </w:tr>
      <w:tr w:rsidR="00D1587D" w14:paraId="58A297A9" w14:textId="77777777">
        <w:trPr>
          <w:trHeight w:val="216"/>
        </w:trPr>
        <w:tc>
          <w:tcPr>
            <w:tcW w:w="1300" w:type="dxa"/>
            <w:vAlign w:val="bottom"/>
          </w:tcPr>
          <w:p w14:paraId="3A950371" w14:textId="77777777" w:rsidR="00D1587D" w:rsidRDefault="00D1587D">
            <w:pPr>
              <w:rPr>
                <w:sz w:val="18"/>
                <w:szCs w:val="18"/>
              </w:rPr>
            </w:pPr>
          </w:p>
        </w:tc>
        <w:tc>
          <w:tcPr>
            <w:tcW w:w="3960" w:type="dxa"/>
            <w:gridSpan w:val="2"/>
            <w:vAlign w:val="bottom"/>
          </w:tcPr>
          <w:p w14:paraId="01B1CA51" w14:textId="77777777" w:rsidR="00D1587D" w:rsidRDefault="00410D07">
            <w:pPr>
              <w:rPr>
                <w:sz w:val="20"/>
                <w:szCs w:val="20"/>
              </w:rPr>
            </w:pPr>
            <w:r>
              <w:rPr>
                <w:rFonts w:ascii="Arial" w:eastAsia="Arial" w:hAnsi="Arial" w:cs="Arial"/>
                <w:sz w:val="18"/>
                <w:szCs w:val="18"/>
              </w:rPr>
              <w:t>Receiving Party</w:t>
            </w:r>
          </w:p>
        </w:tc>
        <w:tc>
          <w:tcPr>
            <w:tcW w:w="4520" w:type="dxa"/>
            <w:gridSpan w:val="2"/>
            <w:vAlign w:val="bottom"/>
          </w:tcPr>
          <w:p w14:paraId="1CAB24C0" w14:textId="77777777" w:rsidR="00D1587D" w:rsidRDefault="00410D07">
            <w:pPr>
              <w:ind w:left="3960"/>
              <w:rPr>
                <w:sz w:val="20"/>
                <w:szCs w:val="20"/>
              </w:rPr>
            </w:pPr>
            <w:r>
              <w:rPr>
                <w:rFonts w:ascii="Arial" w:eastAsia="Arial" w:hAnsi="Arial" w:cs="Arial"/>
                <w:sz w:val="18"/>
                <w:szCs w:val="18"/>
              </w:rPr>
              <w:t>4.05</w:t>
            </w:r>
          </w:p>
        </w:tc>
        <w:tc>
          <w:tcPr>
            <w:tcW w:w="1460" w:type="dxa"/>
            <w:vAlign w:val="bottom"/>
          </w:tcPr>
          <w:p w14:paraId="6CAD8A61" w14:textId="77777777" w:rsidR="00D1587D" w:rsidRDefault="00D1587D">
            <w:pPr>
              <w:rPr>
                <w:sz w:val="18"/>
                <w:szCs w:val="18"/>
              </w:rPr>
            </w:pPr>
          </w:p>
        </w:tc>
      </w:tr>
      <w:tr w:rsidR="00D1587D" w14:paraId="53653456" w14:textId="77777777">
        <w:trPr>
          <w:trHeight w:val="230"/>
        </w:trPr>
        <w:tc>
          <w:tcPr>
            <w:tcW w:w="1300" w:type="dxa"/>
            <w:vAlign w:val="bottom"/>
          </w:tcPr>
          <w:p w14:paraId="70A101F0" w14:textId="77777777" w:rsidR="00D1587D" w:rsidRDefault="00D1587D">
            <w:pPr>
              <w:rPr>
                <w:sz w:val="20"/>
                <w:szCs w:val="20"/>
              </w:rPr>
            </w:pPr>
          </w:p>
        </w:tc>
        <w:tc>
          <w:tcPr>
            <w:tcW w:w="3960" w:type="dxa"/>
            <w:gridSpan w:val="2"/>
            <w:vAlign w:val="bottom"/>
          </w:tcPr>
          <w:p w14:paraId="6BD44254" w14:textId="77777777" w:rsidR="00D1587D" w:rsidRDefault="00410D07">
            <w:pPr>
              <w:rPr>
                <w:sz w:val="20"/>
                <w:szCs w:val="20"/>
              </w:rPr>
            </w:pPr>
            <w:r>
              <w:rPr>
                <w:rFonts w:ascii="Arial" w:eastAsia="Arial" w:hAnsi="Arial" w:cs="Arial"/>
                <w:sz w:val="18"/>
                <w:szCs w:val="18"/>
              </w:rPr>
              <w:t>Released Parties</w:t>
            </w:r>
          </w:p>
        </w:tc>
        <w:tc>
          <w:tcPr>
            <w:tcW w:w="3960" w:type="dxa"/>
            <w:vAlign w:val="bottom"/>
          </w:tcPr>
          <w:p w14:paraId="49019151" w14:textId="77777777" w:rsidR="00D1587D" w:rsidRDefault="00D1587D">
            <w:pPr>
              <w:rPr>
                <w:sz w:val="20"/>
                <w:szCs w:val="20"/>
              </w:rPr>
            </w:pPr>
          </w:p>
        </w:tc>
        <w:tc>
          <w:tcPr>
            <w:tcW w:w="2020" w:type="dxa"/>
            <w:gridSpan w:val="2"/>
            <w:vAlign w:val="bottom"/>
          </w:tcPr>
          <w:p w14:paraId="5C30B38E" w14:textId="77777777" w:rsidR="00D1587D" w:rsidRDefault="00410D07">
            <w:pPr>
              <w:rPr>
                <w:sz w:val="20"/>
                <w:szCs w:val="20"/>
              </w:rPr>
            </w:pPr>
            <w:r>
              <w:rPr>
                <w:rFonts w:ascii="Arial" w:eastAsia="Arial" w:hAnsi="Arial" w:cs="Arial"/>
                <w:sz w:val="18"/>
                <w:szCs w:val="18"/>
              </w:rPr>
              <w:t>5.01(a)</w:t>
            </w:r>
          </w:p>
        </w:tc>
      </w:tr>
      <w:tr w:rsidR="00D1587D" w14:paraId="0F7F72FC" w14:textId="77777777">
        <w:trPr>
          <w:trHeight w:val="419"/>
        </w:trPr>
        <w:tc>
          <w:tcPr>
            <w:tcW w:w="1300" w:type="dxa"/>
            <w:vAlign w:val="bottom"/>
          </w:tcPr>
          <w:p w14:paraId="6C95BAB4" w14:textId="77777777" w:rsidR="00D1587D" w:rsidRDefault="00D1587D">
            <w:pPr>
              <w:rPr>
                <w:sz w:val="24"/>
                <w:szCs w:val="24"/>
              </w:rPr>
            </w:pPr>
          </w:p>
        </w:tc>
        <w:tc>
          <w:tcPr>
            <w:tcW w:w="420" w:type="dxa"/>
            <w:vAlign w:val="bottom"/>
          </w:tcPr>
          <w:p w14:paraId="47288812" w14:textId="77777777" w:rsidR="00D1587D" w:rsidRDefault="00D1587D">
            <w:pPr>
              <w:rPr>
                <w:sz w:val="24"/>
                <w:szCs w:val="24"/>
              </w:rPr>
            </w:pPr>
          </w:p>
        </w:tc>
        <w:tc>
          <w:tcPr>
            <w:tcW w:w="3540" w:type="dxa"/>
            <w:vAlign w:val="bottom"/>
          </w:tcPr>
          <w:p w14:paraId="78F8FDF7" w14:textId="77777777" w:rsidR="00D1587D" w:rsidRDefault="00D1587D">
            <w:pPr>
              <w:rPr>
                <w:sz w:val="24"/>
                <w:szCs w:val="24"/>
              </w:rPr>
            </w:pPr>
          </w:p>
        </w:tc>
        <w:tc>
          <w:tcPr>
            <w:tcW w:w="3960" w:type="dxa"/>
            <w:vAlign w:val="bottom"/>
          </w:tcPr>
          <w:p w14:paraId="0333EE5C" w14:textId="77777777" w:rsidR="00D1587D" w:rsidRDefault="00410D07">
            <w:pPr>
              <w:ind w:left="240"/>
              <w:rPr>
                <w:sz w:val="20"/>
                <w:szCs w:val="20"/>
              </w:rPr>
            </w:pPr>
            <w:r>
              <w:rPr>
                <w:rFonts w:ascii="Arial" w:eastAsia="Arial" w:hAnsi="Arial" w:cs="Arial"/>
                <w:sz w:val="18"/>
                <w:szCs w:val="18"/>
              </w:rPr>
              <w:t>15</w:t>
            </w:r>
          </w:p>
        </w:tc>
        <w:tc>
          <w:tcPr>
            <w:tcW w:w="560" w:type="dxa"/>
            <w:vAlign w:val="bottom"/>
          </w:tcPr>
          <w:p w14:paraId="7A4BFC2F" w14:textId="77777777" w:rsidR="00D1587D" w:rsidRDefault="00D1587D">
            <w:pPr>
              <w:rPr>
                <w:sz w:val="24"/>
                <w:szCs w:val="24"/>
              </w:rPr>
            </w:pPr>
          </w:p>
        </w:tc>
        <w:tc>
          <w:tcPr>
            <w:tcW w:w="1460" w:type="dxa"/>
            <w:vAlign w:val="bottom"/>
          </w:tcPr>
          <w:p w14:paraId="5016A331" w14:textId="77777777" w:rsidR="00D1587D" w:rsidRDefault="00D1587D">
            <w:pPr>
              <w:rPr>
                <w:sz w:val="24"/>
                <w:szCs w:val="24"/>
              </w:rPr>
            </w:pPr>
          </w:p>
        </w:tc>
      </w:tr>
      <w:tr w:rsidR="00D1587D" w14:paraId="7D21963E" w14:textId="77777777">
        <w:trPr>
          <w:trHeight w:val="61"/>
        </w:trPr>
        <w:tc>
          <w:tcPr>
            <w:tcW w:w="1300" w:type="dxa"/>
            <w:tcBorders>
              <w:bottom w:val="single" w:sz="8" w:space="0" w:color="auto"/>
            </w:tcBorders>
            <w:vAlign w:val="bottom"/>
          </w:tcPr>
          <w:p w14:paraId="276ADB68" w14:textId="77777777" w:rsidR="00D1587D" w:rsidRDefault="00D1587D">
            <w:pPr>
              <w:rPr>
                <w:sz w:val="5"/>
                <w:szCs w:val="5"/>
              </w:rPr>
            </w:pPr>
          </w:p>
        </w:tc>
        <w:tc>
          <w:tcPr>
            <w:tcW w:w="420" w:type="dxa"/>
            <w:tcBorders>
              <w:bottom w:val="single" w:sz="8" w:space="0" w:color="auto"/>
            </w:tcBorders>
            <w:vAlign w:val="bottom"/>
          </w:tcPr>
          <w:p w14:paraId="496FDE8D" w14:textId="77777777" w:rsidR="00D1587D" w:rsidRDefault="00D1587D">
            <w:pPr>
              <w:rPr>
                <w:sz w:val="5"/>
                <w:szCs w:val="5"/>
              </w:rPr>
            </w:pPr>
          </w:p>
        </w:tc>
        <w:tc>
          <w:tcPr>
            <w:tcW w:w="3540" w:type="dxa"/>
            <w:tcBorders>
              <w:bottom w:val="single" w:sz="8" w:space="0" w:color="auto"/>
            </w:tcBorders>
            <w:vAlign w:val="bottom"/>
          </w:tcPr>
          <w:p w14:paraId="63B9A2C8" w14:textId="77777777" w:rsidR="00D1587D" w:rsidRDefault="00D1587D">
            <w:pPr>
              <w:rPr>
                <w:sz w:val="5"/>
                <w:szCs w:val="5"/>
              </w:rPr>
            </w:pPr>
          </w:p>
        </w:tc>
        <w:tc>
          <w:tcPr>
            <w:tcW w:w="3960" w:type="dxa"/>
            <w:tcBorders>
              <w:bottom w:val="single" w:sz="8" w:space="0" w:color="auto"/>
            </w:tcBorders>
            <w:vAlign w:val="bottom"/>
          </w:tcPr>
          <w:p w14:paraId="63A6D182" w14:textId="77777777" w:rsidR="00D1587D" w:rsidRDefault="00D1587D">
            <w:pPr>
              <w:rPr>
                <w:sz w:val="5"/>
                <w:szCs w:val="5"/>
              </w:rPr>
            </w:pPr>
          </w:p>
        </w:tc>
        <w:tc>
          <w:tcPr>
            <w:tcW w:w="560" w:type="dxa"/>
            <w:tcBorders>
              <w:bottom w:val="single" w:sz="8" w:space="0" w:color="auto"/>
            </w:tcBorders>
            <w:vAlign w:val="bottom"/>
          </w:tcPr>
          <w:p w14:paraId="11C055ED" w14:textId="77777777" w:rsidR="00D1587D" w:rsidRDefault="00D1587D">
            <w:pPr>
              <w:rPr>
                <w:sz w:val="5"/>
                <w:szCs w:val="5"/>
              </w:rPr>
            </w:pPr>
          </w:p>
        </w:tc>
        <w:tc>
          <w:tcPr>
            <w:tcW w:w="1460" w:type="dxa"/>
            <w:tcBorders>
              <w:bottom w:val="single" w:sz="8" w:space="0" w:color="auto"/>
            </w:tcBorders>
            <w:vAlign w:val="bottom"/>
          </w:tcPr>
          <w:p w14:paraId="1AAD1594" w14:textId="77777777" w:rsidR="00D1587D" w:rsidRDefault="00D1587D">
            <w:pPr>
              <w:rPr>
                <w:sz w:val="5"/>
                <w:szCs w:val="5"/>
              </w:rPr>
            </w:pPr>
          </w:p>
        </w:tc>
      </w:tr>
    </w:tbl>
    <w:p w14:paraId="0C8DD3AB" w14:textId="77777777" w:rsidR="00D1587D" w:rsidRDefault="00D1587D">
      <w:pPr>
        <w:sectPr w:rsidR="00D1587D">
          <w:pgSz w:w="11900" w:h="16838"/>
          <w:pgMar w:top="337" w:right="339" w:bottom="1440" w:left="320" w:header="0" w:footer="0" w:gutter="0"/>
          <w:cols w:space="720" w:equalWidth="0">
            <w:col w:w="11240"/>
          </w:cols>
        </w:sectPr>
      </w:pPr>
    </w:p>
    <w:p w14:paraId="37FE0670" w14:textId="77777777" w:rsidR="00D1587D" w:rsidRDefault="00D1587D">
      <w:pPr>
        <w:spacing w:line="1" w:lineRule="exact"/>
        <w:rPr>
          <w:sz w:val="20"/>
          <w:szCs w:val="20"/>
        </w:rPr>
      </w:pPr>
      <w:bookmarkStart w:id="24" w:name="page25"/>
      <w:bookmarkEnd w:id="24"/>
    </w:p>
    <w:tbl>
      <w:tblPr>
        <w:tblW w:w="0" w:type="auto"/>
        <w:tblInd w:w="1240" w:type="dxa"/>
        <w:tblLayout w:type="fixed"/>
        <w:tblCellMar>
          <w:left w:w="0" w:type="dxa"/>
          <w:right w:w="0" w:type="dxa"/>
        </w:tblCellMar>
        <w:tblLook w:val="04A0" w:firstRow="1" w:lastRow="0" w:firstColumn="1" w:lastColumn="0" w:noHBand="0" w:noVBand="1"/>
      </w:tblPr>
      <w:tblGrid>
        <w:gridCol w:w="420"/>
        <w:gridCol w:w="7500"/>
        <w:gridCol w:w="560"/>
        <w:gridCol w:w="120"/>
      </w:tblGrid>
      <w:tr w:rsidR="00D1587D" w14:paraId="13A09BDF" w14:textId="77777777">
        <w:trPr>
          <w:trHeight w:val="207"/>
        </w:trPr>
        <w:tc>
          <w:tcPr>
            <w:tcW w:w="420" w:type="dxa"/>
            <w:tcBorders>
              <w:bottom w:val="single" w:sz="8" w:space="0" w:color="auto"/>
            </w:tcBorders>
            <w:vAlign w:val="bottom"/>
          </w:tcPr>
          <w:p w14:paraId="2749BCD2" w14:textId="77777777" w:rsidR="00D1587D" w:rsidRDefault="00410D07">
            <w:pPr>
              <w:rPr>
                <w:sz w:val="20"/>
                <w:szCs w:val="20"/>
              </w:rPr>
            </w:pPr>
            <w:r>
              <w:rPr>
                <w:rFonts w:ascii="Arial" w:eastAsia="Arial" w:hAnsi="Arial" w:cs="Arial"/>
                <w:b/>
                <w:bCs/>
                <w:w w:val="90"/>
                <w:sz w:val="18"/>
                <w:szCs w:val="18"/>
              </w:rPr>
              <w:t>Term</w:t>
            </w:r>
          </w:p>
        </w:tc>
        <w:tc>
          <w:tcPr>
            <w:tcW w:w="7500" w:type="dxa"/>
            <w:vAlign w:val="bottom"/>
          </w:tcPr>
          <w:p w14:paraId="52DD9EBA" w14:textId="77777777" w:rsidR="00D1587D" w:rsidRDefault="00D1587D">
            <w:pPr>
              <w:rPr>
                <w:sz w:val="17"/>
                <w:szCs w:val="17"/>
              </w:rPr>
            </w:pPr>
          </w:p>
        </w:tc>
        <w:tc>
          <w:tcPr>
            <w:tcW w:w="560" w:type="dxa"/>
            <w:tcBorders>
              <w:bottom w:val="single" w:sz="8" w:space="0" w:color="auto"/>
            </w:tcBorders>
            <w:vAlign w:val="bottom"/>
          </w:tcPr>
          <w:p w14:paraId="1B1F28A1" w14:textId="77777777" w:rsidR="00D1587D" w:rsidRDefault="00410D07">
            <w:pPr>
              <w:rPr>
                <w:sz w:val="20"/>
                <w:szCs w:val="20"/>
              </w:rPr>
            </w:pPr>
            <w:r>
              <w:rPr>
                <w:rFonts w:ascii="Arial" w:eastAsia="Arial" w:hAnsi="Arial" w:cs="Arial"/>
                <w:b/>
                <w:bCs/>
                <w:w w:val="82"/>
                <w:sz w:val="18"/>
                <w:szCs w:val="18"/>
              </w:rPr>
              <w:t>Section</w:t>
            </w:r>
          </w:p>
        </w:tc>
        <w:tc>
          <w:tcPr>
            <w:tcW w:w="120" w:type="dxa"/>
            <w:vAlign w:val="bottom"/>
          </w:tcPr>
          <w:p w14:paraId="156660EA" w14:textId="77777777" w:rsidR="00D1587D" w:rsidRDefault="00D1587D">
            <w:pPr>
              <w:rPr>
                <w:sz w:val="17"/>
                <w:szCs w:val="17"/>
              </w:rPr>
            </w:pPr>
          </w:p>
        </w:tc>
      </w:tr>
      <w:tr w:rsidR="00D1587D" w14:paraId="3BE7BC93" w14:textId="77777777">
        <w:trPr>
          <w:trHeight w:val="222"/>
        </w:trPr>
        <w:tc>
          <w:tcPr>
            <w:tcW w:w="7920" w:type="dxa"/>
            <w:gridSpan w:val="2"/>
            <w:vAlign w:val="bottom"/>
          </w:tcPr>
          <w:p w14:paraId="13886998" w14:textId="77777777" w:rsidR="00D1587D" w:rsidRDefault="00410D07">
            <w:pPr>
              <w:rPr>
                <w:sz w:val="20"/>
                <w:szCs w:val="20"/>
              </w:rPr>
            </w:pPr>
            <w:r>
              <w:rPr>
                <w:rFonts w:ascii="Arial" w:eastAsia="Arial" w:hAnsi="Arial" w:cs="Arial"/>
                <w:sz w:val="18"/>
                <w:szCs w:val="18"/>
              </w:rPr>
              <w:t>Representatives</w:t>
            </w:r>
          </w:p>
        </w:tc>
        <w:tc>
          <w:tcPr>
            <w:tcW w:w="560" w:type="dxa"/>
            <w:vAlign w:val="bottom"/>
          </w:tcPr>
          <w:p w14:paraId="7347ACCE" w14:textId="77777777" w:rsidR="00D1587D" w:rsidRDefault="00410D07">
            <w:pPr>
              <w:rPr>
                <w:sz w:val="20"/>
                <w:szCs w:val="20"/>
              </w:rPr>
            </w:pPr>
            <w:r>
              <w:rPr>
                <w:rFonts w:ascii="Arial" w:eastAsia="Arial" w:hAnsi="Arial" w:cs="Arial"/>
                <w:sz w:val="18"/>
                <w:szCs w:val="18"/>
              </w:rPr>
              <w:t>4.06</w:t>
            </w:r>
          </w:p>
        </w:tc>
        <w:tc>
          <w:tcPr>
            <w:tcW w:w="120" w:type="dxa"/>
            <w:vAlign w:val="bottom"/>
          </w:tcPr>
          <w:p w14:paraId="1FBD4AB5" w14:textId="77777777" w:rsidR="00D1587D" w:rsidRDefault="00D1587D">
            <w:pPr>
              <w:rPr>
                <w:sz w:val="19"/>
                <w:szCs w:val="19"/>
              </w:rPr>
            </w:pPr>
          </w:p>
        </w:tc>
      </w:tr>
      <w:tr w:rsidR="00D1587D" w14:paraId="18DC7308" w14:textId="77777777">
        <w:trPr>
          <w:trHeight w:val="216"/>
        </w:trPr>
        <w:tc>
          <w:tcPr>
            <w:tcW w:w="7920" w:type="dxa"/>
            <w:gridSpan w:val="2"/>
            <w:vAlign w:val="bottom"/>
          </w:tcPr>
          <w:p w14:paraId="443A1D6E" w14:textId="77777777" w:rsidR="00D1587D" w:rsidRDefault="00410D07">
            <w:pPr>
              <w:rPr>
                <w:sz w:val="20"/>
                <w:szCs w:val="20"/>
              </w:rPr>
            </w:pPr>
            <w:r>
              <w:rPr>
                <w:rFonts w:ascii="Arial" w:eastAsia="Arial" w:hAnsi="Arial" w:cs="Arial"/>
                <w:sz w:val="18"/>
                <w:szCs w:val="18"/>
              </w:rPr>
              <w:t>Restructuring Agreements</w:t>
            </w:r>
          </w:p>
        </w:tc>
        <w:tc>
          <w:tcPr>
            <w:tcW w:w="560" w:type="dxa"/>
            <w:vAlign w:val="bottom"/>
          </w:tcPr>
          <w:p w14:paraId="0487F07D" w14:textId="77777777" w:rsidR="00D1587D" w:rsidRDefault="00410D07">
            <w:pPr>
              <w:rPr>
                <w:sz w:val="20"/>
                <w:szCs w:val="20"/>
              </w:rPr>
            </w:pPr>
            <w:r>
              <w:rPr>
                <w:rFonts w:ascii="Arial" w:eastAsia="Arial" w:hAnsi="Arial" w:cs="Arial"/>
                <w:sz w:val="18"/>
                <w:szCs w:val="18"/>
              </w:rPr>
              <w:t>2.04</w:t>
            </w:r>
          </w:p>
        </w:tc>
        <w:tc>
          <w:tcPr>
            <w:tcW w:w="120" w:type="dxa"/>
            <w:vAlign w:val="bottom"/>
          </w:tcPr>
          <w:p w14:paraId="6E21919F" w14:textId="77777777" w:rsidR="00D1587D" w:rsidRDefault="00D1587D">
            <w:pPr>
              <w:rPr>
                <w:sz w:val="18"/>
                <w:szCs w:val="18"/>
              </w:rPr>
            </w:pPr>
          </w:p>
        </w:tc>
      </w:tr>
      <w:tr w:rsidR="00D1587D" w14:paraId="7FA5DC99" w14:textId="77777777">
        <w:trPr>
          <w:trHeight w:val="216"/>
        </w:trPr>
        <w:tc>
          <w:tcPr>
            <w:tcW w:w="7920" w:type="dxa"/>
            <w:gridSpan w:val="2"/>
            <w:vAlign w:val="bottom"/>
          </w:tcPr>
          <w:p w14:paraId="5C35AD88" w14:textId="77777777" w:rsidR="00D1587D" w:rsidRDefault="00410D07">
            <w:pPr>
              <w:rPr>
                <w:sz w:val="20"/>
                <w:szCs w:val="20"/>
              </w:rPr>
            </w:pPr>
            <w:r>
              <w:rPr>
                <w:rFonts w:ascii="Arial" w:eastAsia="Arial" w:hAnsi="Arial" w:cs="Arial"/>
                <w:sz w:val="18"/>
                <w:szCs w:val="18"/>
              </w:rPr>
              <w:t>Segregated Account</w:t>
            </w:r>
          </w:p>
        </w:tc>
        <w:tc>
          <w:tcPr>
            <w:tcW w:w="680" w:type="dxa"/>
            <w:gridSpan w:val="2"/>
            <w:vAlign w:val="bottom"/>
          </w:tcPr>
          <w:p w14:paraId="124F1A05" w14:textId="77777777" w:rsidR="00D1587D" w:rsidRDefault="00410D07">
            <w:pPr>
              <w:rPr>
                <w:sz w:val="20"/>
                <w:szCs w:val="20"/>
              </w:rPr>
            </w:pPr>
            <w:r>
              <w:rPr>
                <w:rFonts w:ascii="Arial" w:eastAsia="Arial" w:hAnsi="Arial" w:cs="Arial"/>
                <w:sz w:val="18"/>
                <w:szCs w:val="18"/>
              </w:rPr>
              <w:t>2.02(b)</w:t>
            </w:r>
          </w:p>
        </w:tc>
      </w:tr>
      <w:tr w:rsidR="00D1587D" w14:paraId="4890EAE8" w14:textId="77777777">
        <w:trPr>
          <w:trHeight w:val="216"/>
        </w:trPr>
        <w:tc>
          <w:tcPr>
            <w:tcW w:w="7920" w:type="dxa"/>
            <w:gridSpan w:val="2"/>
            <w:vAlign w:val="bottom"/>
          </w:tcPr>
          <w:p w14:paraId="190CCEEC" w14:textId="77777777" w:rsidR="00D1587D" w:rsidRDefault="00410D07">
            <w:pPr>
              <w:rPr>
                <w:sz w:val="20"/>
                <w:szCs w:val="20"/>
              </w:rPr>
            </w:pPr>
            <w:r>
              <w:rPr>
                <w:rFonts w:ascii="Arial" w:eastAsia="Arial" w:hAnsi="Arial" w:cs="Arial"/>
                <w:sz w:val="18"/>
                <w:szCs w:val="18"/>
              </w:rPr>
              <w:t>Shared Contract</w:t>
            </w:r>
          </w:p>
        </w:tc>
        <w:tc>
          <w:tcPr>
            <w:tcW w:w="560" w:type="dxa"/>
            <w:vAlign w:val="bottom"/>
          </w:tcPr>
          <w:p w14:paraId="1B6AF899" w14:textId="77777777" w:rsidR="00D1587D" w:rsidRDefault="00410D07">
            <w:pPr>
              <w:rPr>
                <w:sz w:val="20"/>
                <w:szCs w:val="20"/>
              </w:rPr>
            </w:pPr>
            <w:r>
              <w:rPr>
                <w:rFonts w:ascii="Arial" w:eastAsia="Arial" w:hAnsi="Arial" w:cs="Arial"/>
                <w:sz w:val="18"/>
                <w:szCs w:val="18"/>
              </w:rPr>
              <w:t>2.05</w:t>
            </w:r>
          </w:p>
        </w:tc>
        <w:tc>
          <w:tcPr>
            <w:tcW w:w="120" w:type="dxa"/>
            <w:vAlign w:val="bottom"/>
          </w:tcPr>
          <w:p w14:paraId="71CFB648" w14:textId="77777777" w:rsidR="00D1587D" w:rsidRDefault="00D1587D">
            <w:pPr>
              <w:rPr>
                <w:sz w:val="18"/>
                <w:szCs w:val="18"/>
              </w:rPr>
            </w:pPr>
          </w:p>
        </w:tc>
      </w:tr>
      <w:tr w:rsidR="00D1587D" w14:paraId="28C6B62F" w14:textId="77777777">
        <w:trPr>
          <w:trHeight w:val="216"/>
        </w:trPr>
        <w:tc>
          <w:tcPr>
            <w:tcW w:w="7920" w:type="dxa"/>
            <w:gridSpan w:val="2"/>
            <w:vAlign w:val="bottom"/>
          </w:tcPr>
          <w:p w14:paraId="7A909EC5" w14:textId="77777777" w:rsidR="00D1587D" w:rsidRDefault="00410D07">
            <w:pPr>
              <w:rPr>
                <w:sz w:val="20"/>
                <w:szCs w:val="20"/>
              </w:rPr>
            </w:pPr>
            <w:r>
              <w:rPr>
                <w:rFonts w:ascii="Arial" w:eastAsia="Arial" w:hAnsi="Arial" w:cs="Arial"/>
                <w:sz w:val="18"/>
                <w:szCs w:val="18"/>
              </w:rPr>
              <w:t>Specified Guarantee</w:t>
            </w:r>
          </w:p>
        </w:tc>
        <w:tc>
          <w:tcPr>
            <w:tcW w:w="680" w:type="dxa"/>
            <w:gridSpan w:val="2"/>
            <w:vAlign w:val="bottom"/>
          </w:tcPr>
          <w:p w14:paraId="1927D944" w14:textId="77777777" w:rsidR="00D1587D" w:rsidRDefault="00410D07">
            <w:pPr>
              <w:rPr>
                <w:sz w:val="20"/>
                <w:szCs w:val="20"/>
              </w:rPr>
            </w:pPr>
            <w:r>
              <w:rPr>
                <w:rFonts w:ascii="Arial" w:eastAsia="Arial" w:hAnsi="Arial" w:cs="Arial"/>
                <w:sz w:val="18"/>
                <w:szCs w:val="18"/>
              </w:rPr>
              <w:t>2.10(b)</w:t>
            </w:r>
          </w:p>
        </w:tc>
      </w:tr>
      <w:tr w:rsidR="00D1587D" w14:paraId="62B1587E" w14:textId="77777777">
        <w:trPr>
          <w:trHeight w:val="216"/>
        </w:trPr>
        <w:tc>
          <w:tcPr>
            <w:tcW w:w="7920" w:type="dxa"/>
            <w:gridSpan w:val="2"/>
            <w:vAlign w:val="bottom"/>
          </w:tcPr>
          <w:p w14:paraId="6A47F08E" w14:textId="77777777" w:rsidR="00D1587D" w:rsidRDefault="00410D07">
            <w:pPr>
              <w:rPr>
                <w:sz w:val="20"/>
                <w:szCs w:val="20"/>
              </w:rPr>
            </w:pPr>
            <w:r>
              <w:rPr>
                <w:rFonts w:ascii="Arial" w:eastAsia="Arial" w:hAnsi="Arial" w:cs="Arial"/>
                <w:sz w:val="18"/>
                <w:szCs w:val="18"/>
              </w:rPr>
              <w:t>Temporary Facilities</w:t>
            </w:r>
          </w:p>
        </w:tc>
        <w:tc>
          <w:tcPr>
            <w:tcW w:w="560" w:type="dxa"/>
            <w:vAlign w:val="bottom"/>
          </w:tcPr>
          <w:p w14:paraId="64E45C5D" w14:textId="77777777" w:rsidR="00D1587D" w:rsidRDefault="00410D07">
            <w:pPr>
              <w:rPr>
                <w:sz w:val="20"/>
                <w:szCs w:val="20"/>
              </w:rPr>
            </w:pPr>
            <w:r>
              <w:rPr>
                <w:rFonts w:ascii="Arial" w:eastAsia="Arial" w:hAnsi="Arial" w:cs="Arial"/>
                <w:sz w:val="18"/>
                <w:szCs w:val="18"/>
              </w:rPr>
              <w:t>4.14</w:t>
            </w:r>
          </w:p>
        </w:tc>
        <w:tc>
          <w:tcPr>
            <w:tcW w:w="120" w:type="dxa"/>
            <w:vAlign w:val="bottom"/>
          </w:tcPr>
          <w:p w14:paraId="27B84164" w14:textId="77777777" w:rsidR="00D1587D" w:rsidRDefault="00D1587D">
            <w:pPr>
              <w:rPr>
                <w:sz w:val="18"/>
                <w:szCs w:val="18"/>
              </w:rPr>
            </w:pPr>
          </w:p>
        </w:tc>
      </w:tr>
      <w:tr w:rsidR="00D1587D" w14:paraId="3FEF8B41" w14:textId="77777777">
        <w:trPr>
          <w:trHeight w:val="216"/>
        </w:trPr>
        <w:tc>
          <w:tcPr>
            <w:tcW w:w="7920" w:type="dxa"/>
            <w:gridSpan w:val="2"/>
            <w:vAlign w:val="bottom"/>
          </w:tcPr>
          <w:p w14:paraId="489CB855" w14:textId="77777777" w:rsidR="00D1587D" w:rsidRDefault="00410D07">
            <w:pPr>
              <w:rPr>
                <w:sz w:val="20"/>
                <w:szCs w:val="20"/>
              </w:rPr>
            </w:pPr>
            <w:r>
              <w:rPr>
                <w:rFonts w:ascii="Arial" w:eastAsia="Arial" w:hAnsi="Arial" w:cs="Arial"/>
                <w:sz w:val="18"/>
                <w:szCs w:val="18"/>
              </w:rPr>
              <w:t>Third Party Claim</w:t>
            </w:r>
          </w:p>
        </w:tc>
        <w:tc>
          <w:tcPr>
            <w:tcW w:w="680" w:type="dxa"/>
            <w:gridSpan w:val="2"/>
            <w:vAlign w:val="bottom"/>
          </w:tcPr>
          <w:p w14:paraId="3F58778F" w14:textId="77777777" w:rsidR="00D1587D" w:rsidRDefault="00410D07">
            <w:pPr>
              <w:rPr>
                <w:sz w:val="20"/>
                <w:szCs w:val="20"/>
              </w:rPr>
            </w:pPr>
            <w:r>
              <w:rPr>
                <w:rFonts w:ascii="Arial" w:eastAsia="Arial" w:hAnsi="Arial" w:cs="Arial"/>
                <w:sz w:val="18"/>
                <w:szCs w:val="18"/>
              </w:rPr>
              <w:t>5.04(b)</w:t>
            </w:r>
          </w:p>
        </w:tc>
      </w:tr>
      <w:tr w:rsidR="00D1587D" w14:paraId="6D360075" w14:textId="77777777">
        <w:trPr>
          <w:trHeight w:val="216"/>
        </w:trPr>
        <w:tc>
          <w:tcPr>
            <w:tcW w:w="7920" w:type="dxa"/>
            <w:gridSpan w:val="2"/>
            <w:vAlign w:val="bottom"/>
          </w:tcPr>
          <w:p w14:paraId="63BE2270" w14:textId="77777777" w:rsidR="00D1587D" w:rsidRDefault="00410D07">
            <w:pPr>
              <w:rPr>
                <w:sz w:val="20"/>
                <w:szCs w:val="20"/>
              </w:rPr>
            </w:pPr>
            <w:r>
              <w:rPr>
                <w:rFonts w:ascii="Arial" w:eastAsia="Arial" w:hAnsi="Arial" w:cs="Arial"/>
                <w:sz w:val="18"/>
                <w:szCs w:val="18"/>
              </w:rPr>
              <w:t>VS</w:t>
            </w:r>
          </w:p>
        </w:tc>
        <w:tc>
          <w:tcPr>
            <w:tcW w:w="680" w:type="dxa"/>
            <w:gridSpan w:val="2"/>
            <w:vAlign w:val="bottom"/>
          </w:tcPr>
          <w:p w14:paraId="103C1D20" w14:textId="77777777" w:rsidR="00D1587D" w:rsidRDefault="00410D07">
            <w:pPr>
              <w:rPr>
                <w:sz w:val="20"/>
                <w:szCs w:val="20"/>
              </w:rPr>
            </w:pPr>
            <w:r>
              <w:rPr>
                <w:rFonts w:ascii="Arial" w:eastAsia="Arial" w:hAnsi="Arial" w:cs="Arial"/>
                <w:w w:val="85"/>
                <w:sz w:val="18"/>
                <w:szCs w:val="18"/>
              </w:rPr>
              <w:t>Preamble</w:t>
            </w:r>
          </w:p>
        </w:tc>
      </w:tr>
      <w:tr w:rsidR="00D1587D" w14:paraId="4395BF6D" w14:textId="77777777">
        <w:trPr>
          <w:trHeight w:val="216"/>
        </w:trPr>
        <w:tc>
          <w:tcPr>
            <w:tcW w:w="7920" w:type="dxa"/>
            <w:gridSpan w:val="2"/>
            <w:vAlign w:val="bottom"/>
          </w:tcPr>
          <w:p w14:paraId="4BBC6C4F" w14:textId="77777777" w:rsidR="00D1587D" w:rsidRDefault="00410D07">
            <w:pPr>
              <w:rPr>
                <w:sz w:val="20"/>
                <w:szCs w:val="20"/>
              </w:rPr>
            </w:pPr>
            <w:r>
              <w:rPr>
                <w:rFonts w:ascii="Arial" w:eastAsia="Arial" w:hAnsi="Arial" w:cs="Arial"/>
                <w:sz w:val="18"/>
                <w:szCs w:val="18"/>
              </w:rPr>
              <w:t>VS Common Stock</w:t>
            </w:r>
          </w:p>
        </w:tc>
        <w:tc>
          <w:tcPr>
            <w:tcW w:w="680" w:type="dxa"/>
            <w:gridSpan w:val="2"/>
            <w:vAlign w:val="bottom"/>
          </w:tcPr>
          <w:p w14:paraId="1693EA71" w14:textId="77777777" w:rsidR="00D1587D" w:rsidRDefault="00410D07">
            <w:pPr>
              <w:rPr>
                <w:sz w:val="20"/>
                <w:szCs w:val="20"/>
              </w:rPr>
            </w:pPr>
            <w:r>
              <w:rPr>
                <w:rFonts w:ascii="Arial" w:eastAsia="Arial" w:hAnsi="Arial" w:cs="Arial"/>
                <w:sz w:val="18"/>
                <w:szCs w:val="18"/>
              </w:rPr>
              <w:t>Recitals</w:t>
            </w:r>
          </w:p>
        </w:tc>
      </w:tr>
      <w:tr w:rsidR="00D1587D" w14:paraId="1FEC6308" w14:textId="77777777">
        <w:trPr>
          <w:trHeight w:val="216"/>
        </w:trPr>
        <w:tc>
          <w:tcPr>
            <w:tcW w:w="7920" w:type="dxa"/>
            <w:gridSpan w:val="2"/>
            <w:vAlign w:val="bottom"/>
          </w:tcPr>
          <w:p w14:paraId="62DD9249" w14:textId="77777777" w:rsidR="00D1587D" w:rsidRDefault="00410D07">
            <w:pPr>
              <w:rPr>
                <w:sz w:val="20"/>
                <w:szCs w:val="20"/>
              </w:rPr>
            </w:pPr>
            <w:r>
              <w:rPr>
                <w:rFonts w:ascii="Arial" w:eastAsia="Arial" w:hAnsi="Arial" w:cs="Arial"/>
                <w:sz w:val="18"/>
                <w:szCs w:val="18"/>
              </w:rPr>
              <w:t>VS Designee</w:t>
            </w:r>
          </w:p>
        </w:tc>
        <w:tc>
          <w:tcPr>
            <w:tcW w:w="680" w:type="dxa"/>
            <w:gridSpan w:val="2"/>
            <w:vAlign w:val="bottom"/>
          </w:tcPr>
          <w:p w14:paraId="6941E49E" w14:textId="77777777" w:rsidR="00D1587D" w:rsidRDefault="00410D07">
            <w:pPr>
              <w:rPr>
                <w:sz w:val="20"/>
                <w:szCs w:val="20"/>
              </w:rPr>
            </w:pPr>
            <w:r>
              <w:rPr>
                <w:rFonts w:ascii="Arial" w:eastAsia="Arial" w:hAnsi="Arial" w:cs="Arial"/>
                <w:sz w:val="18"/>
                <w:szCs w:val="18"/>
              </w:rPr>
              <w:t>2.03(a)</w:t>
            </w:r>
          </w:p>
        </w:tc>
      </w:tr>
      <w:tr w:rsidR="00D1587D" w14:paraId="035A40E2" w14:textId="77777777">
        <w:trPr>
          <w:trHeight w:val="216"/>
        </w:trPr>
        <w:tc>
          <w:tcPr>
            <w:tcW w:w="7920" w:type="dxa"/>
            <w:gridSpan w:val="2"/>
            <w:vAlign w:val="bottom"/>
          </w:tcPr>
          <w:p w14:paraId="4A9FF762" w14:textId="77777777" w:rsidR="00D1587D" w:rsidRDefault="00410D07">
            <w:pPr>
              <w:rPr>
                <w:sz w:val="20"/>
                <w:szCs w:val="20"/>
              </w:rPr>
            </w:pPr>
            <w:r>
              <w:rPr>
                <w:rFonts w:ascii="Arial" w:eastAsia="Arial" w:hAnsi="Arial" w:cs="Arial"/>
                <w:sz w:val="18"/>
                <w:szCs w:val="18"/>
              </w:rPr>
              <w:t>VS Financing Transactions</w:t>
            </w:r>
          </w:p>
        </w:tc>
        <w:tc>
          <w:tcPr>
            <w:tcW w:w="680" w:type="dxa"/>
            <w:gridSpan w:val="2"/>
            <w:vAlign w:val="bottom"/>
          </w:tcPr>
          <w:p w14:paraId="75E23D65" w14:textId="77777777" w:rsidR="00D1587D" w:rsidRDefault="00410D07">
            <w:pPr>
              <w:rPr>
                <w:sz w:val="20"/>
                <w:szCs w:val="20"/>
              </w:rPr>
            </w:pPr>
            <w:r>
              <w:rPr>
                <w:rFonts w:ascii="Arial" w:eastAsia="Arial" w:hAnsi="Arial" w:cs="Arial"/>
                <w:sz w:val="18"/>
                <w:szCs w:val="18"/>
              </w:rPr>
              <w:t>2.02(b)</w:t>
            </w:r>
          </w:p>
        </w:tc>
      </w:tr>
      <w:tr w:rsidR="00D1587D" w14:paraId="4A59BC6A" w14:textId="77777777">
        <w:trPr>
          <w:trHeight w:val="216"/>
        </w:trPr>
        <w:tc>
          <w:tcPr>
            <w:tcW w:w="7920" w:type="dxa"/>
            <w:gridSpan w:val="2"/>
            <w:vAlign w:val="bottom"/>
          </w:tcPr>
          <w:p w14:paraId="3877D4E0" w14:textId="77777777" w:rsidR="00D1587D" w:rsidRDefault="00410D07">
            <w:pPr>
              <w:rPr>
                <w:sz w:val="20"/>
                <w:szCs w:val="20"/>
              </w:rPr>
            </w:pPr>
            <w:r>
              <w:rPr>
                <w:rFonts w:ascii="Arial" w:eastAsia="Arial" w:hAnsi="Arial" w:cs="Arial"/>
                <w:sz w:val="18"/>
                <w:szCs w:val="18"/>
              </w:rPr>
              <w:t>VS Indemnitees</w:t>
            </w:r>
          </w:p>
        </w:tc>
        <w:tc>
          <w:tcPr>
            <w:tcW w:w="560" w:type="dxa"/>
            <w:vAlign w:val="bottom"/>
          </w:tcPr>
          <w:p w14:paraId="682E66BF" w14:textId="77777777" w:rsidR="00D1587D" w:rsidRDefault="00410D07">
            <w:pPr>
              <w:rPr>
                <w:sz w:val="20"/>
                <w:szCs w:val="20"/>
              </w:rPr>
            </w:pPr>
            <w:r>
              <w:rPr>
                <w:rFonts w:ascii="Arial" w:eastAsia="Arial" w:hAnsi="Arial" w:cs="Arial"/>
                <w:sz w:val="18"/>
                <w:szCs w:val="18"/>
              </w:rPr>
              <w:t>5.03</w:t>
            </w:r>
          </w:p>
        </w:tc>
        <w:tc>
          <w:tcPr>
            <w:tcW w:w="120" w:type="dxa"/>
            <w:vAlign w:val="bottom"/>
          </w:tcPr>
          <w:p w14:paraId="57289144" w14:textId="77777777" w:rsidR="00D1587D" w:rsidRDefault="00D1587D">
            <w:pPr>
              <w:rPr>
                <w:sz w:val="18"/>
                <w:szCs w:val="18"/>
              </w:rPr>
            </w:pPr>
          </w:p>
        </w:tc>
      </w:tr>
      <w:tr w:rsidR="00D1587D" w14:paraId="5A2882E7" w14:textId="77777777">
        <w:trPr>
          <w:trHeight w:val="230"/>
        </w:trPr>
        <w:tc>
          <w:tcPr>
            <w:tcW w:w="7920" w:type="dxa"/>
            <w:gridSpan w:val="2"/>
            <w:vAlign w:val="bottom"/>
          </w:tcPr>
          <w:p w14:paraId="6F9DF8C2" w14:textId="77777777" w:rsidR="00D1587D" w:rsidRDefault="00410D07">
            <w:pPr>
              <w:rPr>
                <w:sz w:val="20"/>
                <w:szCs w:val="20"/>
              </w:rPr>
            </w:pPr>
            <w:r>
              <w:rPr>
                <w:rFonts w:ascii="Arial" w:eastAsia="Arial" w:hAnsi="Arial" w:cs="Arial"/>
                <w:sz w:val="18"/>
                <w:szCs w:val="18"/>
              </w:rPr>
              <w:t>VS Temporary Facilities</w:t>
            </w:r>
          </w:p>
        </w:tc>
        <w:tc>
          <w:tcPr>
            <w:tcW w:w="560" w:type="dxa"/>
            <w:vAlign w:val="bottom"/>
          </w:tcPr>
          <w:p w14:paraId="1A5D2AE8" w14:textId="77777777" w:rsidR="00D1587D" w:rsidRDefault="00410D07">
            <w:pPr>
              <w:rPr>
                <w:sz w:val="20"/>
                <w:szCs w:val="20"/>
              </w:rPr>
            </w:pPr>
            <w:r>
              <w:rPr>
                <w:rFonts w:ascii="Arial" w:eastAsia="Arial" w:hAnsi="Arial" w:cs="Arial"/>
                <w:sz w:val="18"/>
                <w:szCs w:val="18"/>
              </w:rPr>
              <w:t>4.14</w:t>
            </w:r>
          </w:p>
        </w:tc>
        <w:tc>
          <w:tcPr>
            <w:tcW w:w="120" w:type="dxa"/>
            <w:vAlign w:val="bottom"/>
          </w:tcPr>
          <w:p w14:paraId="0343C6A6" w14:textId="77777777" w:rsidR="00D1587D" w:rsidRDefault="00D1587D">
            <w:pPr>
              <w:rPr>
                <w:sz w:val="20"/>
                <w:szCs w:val="20"/>
              </w:rPr>
            </w:pPr>
          </w:p>
        </w:tc>
      </w:tr>
    </w:tbl>
    <w:p w14:paraId="5F32C564" w14:textId="77777777" w:rsidR="00D1587D" w:rsidRDefault="00D1587D">
      <w:pPr>
        <w:spacing w:line="200" w:lineRule="exact"/>
        <w:rPr>
          <w:sz w:val="20"/>
          <w:szCs w:val="20"/>
        </w:rPr>
      </w:pPr>
    </w:p>
    <w:p w14:paraId="39CB6645" w14:textId="77777777" w:rsidR="00D1587D" w:rsidRDefault="00D1587D">
      <w:pPr>
        <w:spacing w:line="218" w:lineRule="exact"/>
        <w:rPr>
          <w:sz w:val="20"/>
          <w:szCs w:val="20"/>
        </w:rPr>
      </w:pPr>
    </w:p>
    <w:p w14:paraId="4B1F2FD8" w14:textId="77777777" w:rsidR="00D1587D" w:rsidRDefault="00410D07">
      <w:pPr>
        <w:ind w:left="600"/>
        <w:rPr>
          <w:sz w:val="20"/>
          <w:szCs w:val="20"/>
        </w:rPr>
      </w:pPr>
      <w:r>
        <w:rPr>
          <w:rFonts w:ascii="Arial" w:eastAsia="Arial" w:hAnsi="Arial" w:cs="Arial"/>
          <w:sz w:val="18"/>
          <w:szCs w:val="18"/>
        </w:rPr>
        <w:t xml:space="preserve">Section 1.02. </w:t>
      </w:r>
      <w:r>
        <w:rPr>
          <w:rFonts w:ascii="Arial" w:eastAsia="Arial" w:hAnsi="Arial" w:cs="Arial"/>
          <w:i/>
          <w:iCs/>
          <w:sz w:val="18"/>
          <w:szCs w:val="18"/>
        </w:rPr>
        <w:t>Interpretation.</w:t>
      </w:r>
      <w:r>
        <w:rPr>
          <w:rFonts w:ascii="Arial" w:eastAsia="Arial" w:hAnsi="Arial" w:cs="Arial"/>
          <w:sz w:val="18"/>
          <w:szCs w:val="18"/>
        </w:rPr>
        <w:t xml:space="preserve"> In this Agreement, unless the context clearly indicates otherwise:</w:t>
      </w:r>
    </w:p>
    <w:p w14:paraId="067B55F4" w14:textId="77777777" w:rsidR="00D1587D" w:rsidRDefault="00D1587D">
      <w:pPr>
        <w:spacing w:line="225" w:lineRule="exact"/>
        <w:rPr>
          <w:sz w:val="20"/>
          <w:szCs w:val="20"/>
        </w:rPr>
      </w:pPr>
    </w:p>
    <w:p w14:paraId="449D1502" w14:textId="77777777" w:rsidR="00D1587D" w:rsidRDefault="00410D07">
      <w:pPr>
        <w:numPr>
          <w:ilvl w:val="0"/>
          <w:numId w:val="12"/>
        </w:numPr>
        <w:tabs>
          <w:tab w:val="left" w:pos="1300"/>
        </w:tabs>
        <w:ind w:left="1300" w:hanging="704"/>
        <w:rPr>
          <w:rFonts w:ascii="Arial" w:eastAsia="Arial" w:hAnsi="Arial" w:cs="Arial"/>
          <w:sz w:val="18"/>
          <w:szCs w:val="18"/>
        </w:rPr>
      </w:pPr>
      <w:r>
        <w:rPr>
          <w:rFonts w:ascii="Arial" w:eastAsia="Arial" w:hAnsi="Arial" w:cs="Arial"/>
          <w:sz w:val="18"/>
          <w:szCs w:val="18"/>
        </w:rPr>
        <w:t>words used in the singular include the plural and words used in the plural include the singular;</w:t>
      </w:r>
    </w:p>
    <w:p w14:paraId="593BBD60" w14:textId="77777777" w:rsidR="00D1587D" w:rsidRDefault="00D1587D">
      <w:pPr>
        <w:spacing w:line="225" w:lineRule="exact"/>
        <w:rPr>
          <w:rFonts w:ascii="Arial" w:eastAsia="Arial" w:hAnsi="Arial" w:cs="Arial"/>
          <w:sz w:val="18"/>
          <w:szCs w:val="18"/>
        </w:rPr>
      </w:pPr>
    </w:p>
    <w:p w14:paraId="63DCE8EF" w14:textId="77777777" w:rsidR="00D1587D" w:rsidRDefault="00410D07">
      <w:pPr>
        <w:numPr>
          <w:ilvl w:val="0"/>
          <w:numId w:val="12"/>
        </w:numPr>
        <w:tabs>
          <w:tab w:val="left" w:pos="1293"/>
        </w:tabs>
        <w:spacing w:line="277" w:lineRule="auto"/>
        <w:ind w:left="-60" w:right="600" w:firstLine="656"/>
        <w:rPr>
          <w:rFonts w:ascii="Arial" w:eastAsia="Arial" w:hAnsi="Arial" w:cs="Arial"/>
          <w:sz w:val="18"/>
          <w:szCs w:val="18"/>
        </w:rPr>
      </w:pPr>
      <w:r>
        <w:rPr>
          <w:rFonts w:ascii="Arial" w:eastAsia="Arial" w:hAnsi="Arial" w:cs="Arial"/>
          <w:sz w:val="18"/>
          <w:szCs w:val="18"/>
        </w:rPr>
        <w:t>references to any Person include such Person’s successors an</w:t>
      </w:r>
      <w:r>
        <w:rPr>
          <w:rFonts w:ascii="Arial" w:eastAsia="Arial" w:hAnsi="Arial" w:cs="Arial"/>
          <w:sz w:val="18"/>
          <w:szCs w:val="18"/>
        </w:rPr>
        <w:t>d assigns but, if applicable, only if such successors and assigns are permitted by this Agreement;</w:t>
      </w:r>
    </w:p>
    <w:p w14:paraId="2CE10998" w14:textId="77777777" w:rsidR="00D1587D" w:rsidRDefault="00D1587D">
      <w:pPr>
        <w:spacing w:line="170" w:lineRule="exact"/>
        <w:rPr>
          <w:rFonts w:ascii="Arial" w:eastAsia="Arial" w:hAnsi="Arial" w:cs="Arial"/>
          <w:sz w:val="18"/>
          <w:szCs w:val="18"/>
        </w:rPr>
      </w:pPr>
    </w:p>
    <w:p w14:paraId="5039CDDB" w14:textId="77777777" w:rsidR="00D1587D" w:rsidRDefault="00410D07">
      <w:pPr>
        <w:numPr>
          <w:ilvl w:val="0"/>
          <w:numId w:val="12"/>
        </w:numPr>
        <w:tabs>
          <w:tab w:val="left" w:pos="1300"/>
        </w:tabs>
        <w:ind w:left="1300" w:hanging="704"/>
        <w:rPr>
          <w:rFonts w:ascii="Arial" w:eastAsia="Arial" w:hAnsi="Arial" w:cs="Arial"/>
          <w:sz w:val="18"/>
          <w:szCs w:val="18"/>
        </w:rPr>
      </w:pPr>
      <w:r>
        <w:rPr>
          <w:rFonts w:ascii="Arial" w:eastAsia="Arial" w:hAnsi="Arial" w:cs="Arial"/>
          <w:sz w:val="18"/>
          <w:szCs w:val="18"/>
        </w:rPr>
        <w:t>except as otherwise clearly indicated, reference to any gender includes the other gender;</w:t>
      </w:r>
    </w:p>
    <w:p w14:paraId="549B28E4" w14:textId="77777777" w:rsidR="00D1587D" w:rsidRDefault="00D1587D">
      <w:pPr>
        <w:spacing w:line="225" w:lineRule="exact"/>
        <w:rPr>
          <w:rFonts w:ascii="Arial" w:eastAsia="Arial" w:hAnsi="Arial" w:cs="Arial"/>
          <w:sz w:val="18"/>
          <w:szCs w:val="18"/>
        </w:rPr>
      </w:pPr>
    </w:p>
    <w:p w14:paraId="5F7CA6F7" w14:textId="77777777" w:rsidR="00D1587D" w:rsidRDefault="00410D07">
      <w:pPr>
        <w:numPr>
          <w:ilvl w:val="0"/>
          <w:numId w:val="12"/>
        </w:numPr>
        <w:tabs>
          <w:tab w:val="left" w:pos="1300"/>
        </w:tabs>
        <w:ind w:left="1300" w:hanging="704"/>
        <w:rPr>
          <w:rFonts w:ascii="Arial" w:eastAsia="Arial" w:hAnsi="Arial" w:cs="Arial"/>
          <w:sz w:val="18"/>
          <w:szCs w:val="18"/>
        </w:rPr>
      </w:pPr>
      <w:r>
        <w:rPr>
          <w:rFonts w:ascii="Arial" w:eastAsia="Arial" w:hAnsi="Arial" w:cs="Arial"/>
          <w:sz w:val="18"/>
          <w:szCs w:val="18"/>
        </w:rPr>
        <w:t>the words “include,” “includes” and “including” shall be deemed t</w:t>
      </w:r>
      <w:r>
        <w:rPr>
          <w:rFonts w:ascii="Arial" w:eastAsia="Arial" w:hAnsi="Arial" w:cs="Arial"/>
          <w:sz w:val="18"/>
          <w:szCs w:val="18"/>
        </w:rPr>
        <w:t>o be followed by the words “without limitation”;</w:t>
      </w:r>
    </w:p>
    <w:p w14:paraId="4C1E4066" w14:textId="77777777" w:rsidR="00D1587D" w:rsidRDefault="00D1587D">
      <w:pPr>
        <w:spacing w:line="225" w:lineRule="exact"/>
        <w:rPr>
          <w:rFonts w:ascii="Arial" w:eastAsia="Arial" w:hAnsi="Arial" w:cs="Arial"/>
          <w:sz w:val="18"/>
          <w:szCs w:val="18"/>
        </w:rPr>
      </w:pPr>
    </w:p>
    <w:p w14:paraId="3F996DC2" w14:textId="77777777" w:rsidR="00D1587D" w:rsidRDefault="00410D07">
      <w:pPr>
        <w:numPr>
          <w:ilvl w:val="0"/>
          <w:numId w:val="12"/>
        </w:numPr>
        <w:tabs>
          <w:tab w:val="left" w:pos="1283"/>
        </w:tabs>
        <w:spacing w:line="277" w:lineRule="auto"/>
        <w:ind w:left="-60" w:right="20" w:firstLine="656"/>
        <w:rPr>
          <w:rFonts w:ascii="Arial" w:eastAsia="Arial" w:hAnsi="Arial" w:cs="Arial"/>
          <w:sz w:val="18"/>
          <w:szCs w:val="18"/>
        </w:rPr>
      </w:pPr>
      <w:r>
        <w:rPr>
          <w:rFonts w:ascii="Arial" w:eastAsia="Arial" w:hAnsi="Arial" w:cs="Arial"/>
          <w:sz w:val="18"/>
          <w:szCs w:val="18"/>
        </w:rPr>
        <w:t xml:space="preserve">reference to any Article, Section, Exhibit or Schedule means such Article or Section of, or such Exhibit or Schedule to, this Agreement, as the case may be, and references in any Section or </w:t>
      </w:r>
      <w:r>
        <w:rPr>
          <w:rFonts w:ascii="Arial" w:eastAsia="Arial" w:hAnsi="Arial" w:cs="Arial"/>
          <w:sz w:val="18"/>
          <w:szCs w:val="18"/>
        </w:rPr>
        <w:t>definition to any clause means such clause of such Section or definition;</w:t>
      </w:r>
    </w:p>
    <w:p w14:paraId="7C148A1C" w14:textId="77777777" w:rsidR="00D1587D" w:rsidRDefault="00D1587D">
      <w:pPr>
        <w:spacing w:line="170" w:lineRule="exact"/>
        <w:rPr>
          <w:rFonts w:ascii="Arial" w:eastAsia="Arial" w:hAnsi="Arial" w:cs="Arial"/>
          <w:sz w:val="18"/>
          <w:szCs w:val="18"/>
        </w:rPr>
      </w:pPr>
    </w:p>
    <w:p w14:paraId="3B033DD2" w14:textId="77777777" w:rsidR="00D1587D" w:rsidRDefault="00410D07">
      <w:pPr>
        <w:numPr>
          <w:ilvl w:val="0"/>
          <w:numId w:val="12"/>
        </w:numPr>
        <w:tabs>
          <w:tab w:val="left" w:pos="1308"/>
        </w:tabs>
        <w:spacing w:line="277" w:lineRule="auto"/>
        <w:ind w:left="-60" w:right="340" w:firstLine="656"/>
        <w:rPr>
          <w:rFonts w:ascii="Arial" w:eastAsia="Arial" w:hAnsi="Arial" w:cs="Arial"/>
          <w:sz w:val="18"/>
          <w:szCs w:val="18"/>
        </w:rPr>
      </w:pPr>
      <w:r>
        <w:rPr>
          <w:rFonts w:ascii="Arial" w:eastAsia="Arial" w:hAnsi="Arial" w:cs="Arial"/>
          <w:sz w:val="18"/>
          <w:szCs w:val="18"/>
        </w:rPr>
        <w:t>the words “herein,” “hereunder,” “hereof,” “hereto” and words of similar import shall be deemed references to this Agreement as a whole and not to any particular Section or other pr</w:t>
      </w:r>
      <w:r>
        <w:rPr>
          <w:rFonts w:ascii="Arial" w:eastAsia="Arial" w:hAnsi="Arial" w:cs="Arial"/>
          <w:sz w:val="18"/>
          <w:szCs w:val="18"/>
        </w:rPr>
        <w:t>ovision hereof;</w:t>
      </w:r>
    </w:p>
    <w:p w14:paraId="06677FA1" w14:textId="77777777" w:rsidR="00D1587D" w:rsidRDefault="00D1587D">
      <w:pPr>
        <w:spacing w:line="170" w:lineRule="exact"/>
        <w:rPr>
          <w:rFonts w:ascii="Arial" w:eastAsia="Arial" w:hAnsi="Arial" w:cs="Arial"/>
          <w:sz w:val="18"/>
          <w:szCs w:val="18"/>
        </w:rPr>
      </w:pPr>
    </w:p>
    <w:p w14:paraId="4B97EAE6" w14:textId="77777777" w:rsidR="00D1587D" w:rsidRDefault="00410D07">
      <w:pPr>
        <w:numPr>
          <w:ilvl w:val="0"/>
          <w:numId w:val="12"/>
        </w:numPr>
        <w:tabs>
          <w:tab w:val="left" w:pos="1293"/>
        </w:tabs>
        <w:spacing w:line="308" w:lineRule="auto"/>
        <w:ind w:left="-60" w:right="780" w:firstLine="656"/>
        <w:rPr>
          <w:rFonts w:ascii="Arial" w:eastAsia="Arial" w:hAnsi="Arial" w:cs="Arial"/>
          <w:sz w:val="17"/>
          <w:szCs w:val="17"/>
        </w:rPr>
      </w:pPr>
      <w:r>
        <w:rPr>
          <w:rFonts w:ascii="Arial" w:eastAsia="Arial" w:hAnsi="Arial" w:cs="Arial"/>
          <w:sz w:val="17"/>
          <w:szCs w:val="17"/>
        </w:rPr>
        <w:t>reference to any agreement, instrument or other document means such agreement, instrument or other document as amended, supplemented and modified from time to time to the extent permitted by the provisions thereof and by this Agreement;</w:t>
      </w:r>
    </w:p>
    <w:p w14:paraId="1E1B683A" w14:textId="77777777" w:rsidR="00D1587D" w:rsidRDefault="00D1587D">
      <w:pPr>
        <w:spacing w:line="146" w:lineRule="exact"/>
        <w:rPr>
          <w:rFonts w:ascii="Arial" w:eastAsia="Arial" w:hAnsi="Arial" w:cs="Arial"/>
          <w:sz w:val="17"/>
          <w:szCs w:val="17"/>
        </w:rPr>
      </w:pPr>
    </w:p>
    <w:p w14:paraId="1C7A376A" w14:textId="77777777" w:rsidR="00D1587D" w:rsidRDefault="00410D07">
      <w:pPr>
        <w:numPr>
          <w:ilvl w:val="0"/>
          <w:numId w:val="12"/>
        </w:numPr>
        <w:tabs>
          <w:tab w:val="left" w:pos="1293"/>
        </w:tabs>
        <w:spacing w:line="308" w:lineRule="auto"/>
        <w:ind w:left="-60" w:firstLine="656"/>
        <w:rPr>
          <w:rFonts w:ascii="Arial" w:eastAsia="Arial" w:hAnsi="Arial" w:cs="Arial"/>
          <w:sz w:val="17"/>
          <w:szCs w:val="17"/>
        </w:rPr>
      </w:pPr>
      <w:r>
        <w:rPr>
          <w:rFonts w:ascii="Arial" w:eastAsia="Arial" w:hAnsi="Arial" w:cs="Arial"/>
          <w:sz w:val="17"/>
          <w:szCs w:val="17"/>
        </w:rPr>
        <w:t>r</w:t>
      </w:r>
      <w:r>
        <w:rPr>
          <w:rFonts w:ascii="Arial" w:eastAsia="Arial" w:hAnsi="Arial" w:cs="Arial"/>
          <w:sz w:val="17"/>
          <w:szCs w:val="17"/>
        </w:rPr>
        <w:t>eference to any law (including statutes and ordinances) means such law (including all rules and regulations promulgated thereunder) as amended, modified, codified or reenacted, in whole or in part, and in effect at the time of determining compliance or app</w:t>
      </w:r>
      <w:r>
        <w:rPr>
          <w:rFonts w:ascii="Arial" w:eastAsia="Arial" w:hAnsi="Arial" w:cs="Arial"/>
          <w:sz w:val="17"/>
          <w:szCs w:val="17"/>
        </w:rPr>
        <w:t>licability;</w:t>
      </w:r>
    </w:p>
    <w:p w14:paraId="17AC95C8" w14:textId="77777777" w:rsidR="00D1587D" w:rsidRDefault="00D1587D">
      <w:pPr>
        <w:spacing w:line="133" w:lineRule="exact"/>
        <w:rPr>
          <w:sz w:val="20"/>
          <w:szCs w:val="20"/>
        </w:rPr>
      </w:pPr>
    </w:p>
    <w:p w14:paraId="52FADCF1" w14:textId="77777777" w:rsidR="00D1587D" w:rsidRDefault="00410D07">
      <w:pPr>
        <w:jc w:val="center"/>
        <w:rPr>
          <w:sz w:val="20"/>
          <w:szCs w:val="20"/>
        </w:rPr>
      </w:pPr>
      <w:r>
        <w:rPr>
          <w:rFonts w:ascii="Arial" w:eastAsia="Arial" w:hAnsi="Arial" w:cs="Arial"/>
          <w:sz w:val="18"/>
          <w:szCs w:val="18"/>
        </w:rPr>
        <w:t>16</w:t>
      </w:r>
    </w:p>
    <w:p w14:paraId="7CFAE7BB" w14:textId="77777777" w:rsidR="00D1587D" w:rsidRDefault="00410D07">
      <w:pPr>
        <w:spacing w:line="20" w:lineRule="exact"/>
        <w:rPr>
          <w:sz w:val="20"/>
          <w:szCs w:val="20"/>
        </w:rPr>
      </w:pPr>
      <w:r>
        <w:rPr>
          <w:noProof/>
          <w:sz w:val="20"/>
          <w:szCs w:val="20"/>
        </w:rPr>
        <w:drawing>
          <wp:anchor distT="0" distB="0" distL="114300" distR="114300" simplePos="0" relativeHeight="251167744" behindDoc="1" locked="0" layoutInCell="0" allowOverlap="1" wp14:anchorId="20146A2C" wp14:editId="4A39DAF2">
            <wp:simplePos x="0" y="0"/>
            <wp:positionH relativeFrom="column">
              <wp:posOffset>-32385</wp:posOffset>
            </wp:positionH>
            <wp:positionV relativeFrom="paragraph">
              <wp:posOffset>48895</wp:posOffset>
            </wp:positionV>
            <wp:extent cx="7132320" cy="1714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098FD80" w14:textId="77777777" w:rsidR="00D1587D" w:rsidRDefault="00D1587D">
      <w:pPr>
        <w:sectPr w:rsidR="00D1587D">
          <w:pgSz w:w="11900" w:h="16838"/>
          <w:pgMar w:top="351" w:right="439" w:bottom="1440" w:left="380" w:header="0" w:footer="0" w:gutter="0"/>
          <w:cols w:space="720" w:equalWidth="0">
            <w:col w:w="11080"/>
          </w:cols>
        </w:sectPr>
      </w:pPr>
    </w:p>
    <w:p w14:paraId="4841E80C" w14:textId="77777777" w:rsidR="00D1587D" w:rsidRDefault="00410D07">
      <w:pPr>
        <w:numPr>
          <w:ilvl w:val="0"/>
          <w:numId w:val="13"/>
        </w:numPr>
        <w:tabs>
          <w:tab w:val="left" w:pos="1358"/>
        </w:tabs>
        <w:spacing w:line="277" w:lineRule="auto"/>
        <w:ind w:right="240" w:firstLine="656"/>
        <w:rPr>
          <w:rFonts w:ascii="Arial" w:eastAsia="Arial" w:hAnsi="Arial" w:cs="Arial"/>
          <w:sz w:val="18"/>
          <w:szCs w:val="18"/>
        </w:rPr>
      </w:pPr>
      <w:bookmarkStart w:id="25" w:name="page26"/>
      <w:bookmarkEnd w:id="25"/>
      <w:r>
        <w:rPr>
          <w:rFonts w:ascii="Arial" w:eastAsia="Arial" w:hAnsi="Arial" w:cs="Arial"/>
          <w:sz w:val="18"/>
          <w:szCs w:val="18"/>
        </w:rPr>
        <w:t>relative to the determination of any period of time, “from” means “from and including,” “to” means “to and including” and “through” means “through and including”;</w:t>
      </w:r>
    </w:p>
    <w:p w14:paraId="236FF851" w14:textId="77777777" w:rsidR="00D1587D" w:rsidRDefault="00D1587D">
      <w:pPr>
        <w:spacing w:line="170" w:lineRule="exact"/>
        <w:rPr>
          <w:rFonts w:ascii="Arial" w:eastAsia="Arial" w:hAnsi="Arial" w:cs="Arial"/>
          <w:sz w:val="18"/>
          <w:szCs w:val="18"/>
        </w:rPr>
      </w:pPr>
    </w:p>
    <w:p w14:paraId="1995FABE" w14:textId="77777777" w:rsidR="00D1587D" w:rsidRDefault="00410D07">
      <w:pPr>
        <w:numPr>
          <w:ilvl w:val="0"/>
          <w:numId w:val="13"/>
        </w:numPr>
        <w:tabs>
          <w:tab w:val="left" w:pos="1358"/>
        </w:tabs>
        <w:spacing w:line="277" w:lineRule="auto"/>
        <w:ind w:right="360" w:firstLine="656"/>
        <w:rPr>
          <w:rFonts w:ascii="Arial" w:eastAsia="Arial" w:hAnsi="Arial" w:cs="Arial"/>
          <w:sz w:val="18"/>
          <w:szCs w:val="18"/>
        </w:rPr>
      </w:pPr>
      <w:r>
        <w:rPr>
          <w:rFonts w:ascii="Arial" w:eastAsia="Arial" w:hAnsi="Arial" w:cs="Arial"/>
          <w:sz w:val="18"/>
          <w:szCs w:val="18"/>
        </w:rPr>
        <w:t xml:space="preserve">the titles to Articles and headings of </w:t>
      </w:r>
      <w:r>
        <w:rPr>
          <w:rFonts w:ascii="Arial" w:eastAsia="Arial" w:hAnsi="Arial" w:cs="Arial"/>
          <w:sz w:val="18"/>
          <w:szCs w:val="18"/>
        </w:rPr>
        <w:t>Sections contained in this Agreement have been inserted for convenience of reference only and shall not be deemed to be a part of or to affect the meaning or interpretation of this Agreement;</w:t>
      </w:r>
    </w:p>
    <w:p w14:paraId="29C11128" w14:textId="77777777" w:rsidR="00D1587D" w:rsidRDefault="00D1587D">
      <w:pPr>
        <w:spacing w:line="170" w:lineRule="exact"/>
        <w:rPr>
          <w:rFonts w:ascii="Arial" w:eastAsia="Arial" w:hAnsi="Arial" w:cs="Arial"/>
          <w:sz w:val="18"/>
          <w:szCs w:val="18"/>
        </w:rPr>
      </w:pPr>
    </w:p>
    <w:p w14:paraId="6EBC05F8" w14:textId="77777777" w:rsidR="00D1587D" w:rsidRDefault="00410D07">
      <w:pPr>
        <w:numPr>
          <w:ilvl w:val="0"/>
          <w:numId w:val="13"/>
        </w:numPr>
        <w:tabs>
          <w:tab w:val="left" w:pos="1360"/>
        </w:tabs>
        <w:ind w:left="1360" w:hanging="704"/>
        <w:rPr>
          <w:rFonts w:ascii="Arial" w:eastAsia="Arial" w:hAnsi="Arial" w:cs="Arial"/>
          <w:sz w:val="16"/>
          <w:szCs w:val="16"/>
        </w:rPr>
      </w:pPr>
      <w:r>
        <w:rPr>
          <w:rFonts w:ascii="Arial" w:eastAsia="Arial" w:hAnsi="Arial" w:cs="Arial"/>
          <w:sz w:val="16"/>
          <w:szCs w:val="16"/>
        </w:rPr>
        <w:t xml:space="preserve">unless otherwise specified in this Agreement, all </w:t>
      </w:r>
      <w:r>
        <w:rPr>
          <w:rFonts w:ascii="Arial" w:eastAsia="Arial" w:hAnsi="Arial" w:cs="Arial"/>
          <w:sz w:val="16"/>
          <w:szCs w:val="16"/>
        </w:rPr>
        <w:t>references to dollar amounts herein shall be in respect of lawful currency of the United</w:t>
      </w:r>
    </w:p>
    <w:p w14:paraId="3E3DDE26" w14:textId="77777777" w:rsidR="00D1587D" w:rsidRDefault="00D1587D">
      <w:pPr>
        <w:spacing w:line="46" w:lineRule="exact"/>
        <w:rPr>
          <w:rFonts w:ascii="Arial" w:eastAsia="Arial" w:hAnsi="Arial" w:cs="Arial"/>
          <w:sz w:val="16"/>
          <w:szCs w:val="16"/>
        </w:rPr>
      </w:pPr>
    </w:p>
    <w:p w14:paraId="668036BD" w14:textId="77777777" w:rsidR="00D1587D" w:rsidRDefault="00410D07">
      <w:pPr>
        <w:rPr>
          <w:rFonts w:ascii="Arial" w:eastAsia="Arial" w:hAnsi="Arial" w:cs="Arial"/>
          <w:sz w:val="16"/>
          <w:szCs w:val="16"/>
        </w:rPr>
      </w:pPr>
      <w:r>
        <w:rPr>
          <w:rFonts w:ascii="Arial" w:eastAsia="Arial" w:hAnsi="Arial" w:cs="Arial"/>
          <w:sz w:val="18"/>
          <w:szCs w:val="18"/>
        </w:rPr>
        <w:t>States;</w:t>
      </w:r>
    </w:p>
    <w:p w14:paraId="5FC0CFD1" w14:textId="77777777" w:rsidR="00D1587D" w:rsidRDefault="00D1587D">
      <w:pPr>
        <w:spacing w:line="210" w:lineRule="exact"/>
        <w:rPr>
          <w:rFonts w:ascii="Arial" w:eastAsia="Arial" w:hAnsi="Arial" w:cs="Arial"/>
          <w:sz w:val="16"/>
          <w:szCs w:val="16"/>
        </w:rPr>
      </w:pPr>
    </w:p>
    <w:p w14:paraId="02F178FE" w14:textId="77777777" w:rsidR="00D1587D" w:rsidRDefault="00410D07">
      <w:pPr>
        <w:numPr>
          <w:ilvl w:val="0"/>
          <w:numId w:val="13"/>
        </w:numPr>
        <w:tabs>
          <w:tab w:val="left" w:pos="1360"/>
        </w:tabs>
        <w:ind w:left="1360" w:hanging="704"/>
        <w:rPr>
          <w:rFonts w:ascii="Arial" w:eastAsia="Arial" w:hAnsi="Arial" w:cs="Arial"/>
          <w:sz w:val="16"/>
          <w:szCs w:val="16"/>
        </w:rPr>
      </w:pPr>
      <w:r>
        <w:rPr>
          <w:rFonts w:ascii="Arial" w:eastAsia="Arial" w:hAnsi="Arial" w:cs="Arial"/>
          <w:sz w:val="16"/>
          <w:szCs w:val="16"/>
        </w:rPr>
        <w:t>any capitalized term used in an Exhibit or Schedule but not otherwise defined therein shall have the meaning set forth in this Agreement;</w:t>
      </w:r>
    </w:p>
    <w:p w14:paraId="04BB699D" w14:textId="77777777" w:rsidR="00D1587D" w:rsidRDefault="00D1587D">
      <w:pPr>
        <w:spacing w:line="46" w:lineRule="exact"/>
        <w:rPr>
          <w:rFonts w:ascii="Arial" w:eastAsia="Arial" w:hAnsi="Arial" w:cs="Arial"/>
          <w:sz w:val="16"/>
          <w:szCs w:val="16"/>
        </w:rPr>
      </w:pPr>
    </w:p>
    <w:p w14:paraId="24CF6E80" w14:textId="77777777" w:rsidR="00D1587D" w:rsidRDefault="00410D07">
      <w:pPr>
        <w:rPr>
          <w:rFonts w:ascii="Arial" w:eastAsia="Arial" w:hAnsi="Arial" w:cs="Arial"/>
          <w:sz w:val="16"/>
          <w:szCs w:val="16"/>
        </w:rPr>
      </w:pPr>
      <w:r>
        <w:rPr>
          <w:rFonts w:ascii="Arial" w:eastAsia="Arial" w:hAnsi="Arial" w:cs="Arial"/>
          <w:sz w:val="18"/>
          <w:szCs w:val="18"/>
        </w:rPr>
        <w:t>and</w:t>
      </w:r>
    </w:p>
    <w:p w14:paraId="44CEF364" w14:textId="77777777" w:rsidR="00D1587D" w:rsidRDefault="00D1587D">
      <w:pPr>
        <w:spacing w:line="210" w:lineRule="exact"/>
        <w:rPr>
          <w:rFonts w:ascii="Arial" w:eastAsia="Arial" w:hAnsi="Arial" w:cs="Arial"/>
          <w:sz w:val="16"/>
          <w:szCs w:val="16"/>
        </w:rPr>
      </w:pPr>
    </w:p>
    <w:p w14:paraId="525C182F" w14:textId="77777777" w:rsidR="00D1587D" w:rsidRDefault="00410D07">
      <w:pPr>
        <w:numPr>
          <w:ilvl w:val="0"/>
          <w:numId w:val="13"/>
        </w:numPr>
        <w:tabs>
          <w:tab w:val="left" w:pos="1360"/>
        </w:tabs>
        <w:ind w:left="1360" w:hanging="704"/>
        <w:rPr>
          <w:rFonts w:ascii="Arial" w:eastAsia="Arial" w:hAnsi="Arial" w:cs="Arial"/>
          <w:sz w:val="18"/>
          <w:szCs w:val="18"/>
        </w:rPr>
      </w:pPr>
      <w:r>
        <w:rPr>
          <w:rFonts w:ascii="Arial" w:eastAsia="Arial" w:hAnsi="Arial" w:cs="Arial"/>
          <w:sz w:val="18"/>
          <w:szCs w:val="18"/>
        </w:rPr>
        <w:t>the word “or”</w:t>
      </w:r>
      <w:r>
        <w:rPr>
          <w:rFonts w:ascii="Arial" w:eastAsia="Arial" w:hAnsi="Arial" w:cs="Arial"/>
          <w:sz w:val="18"/>
          <w:szCs w:val="18"/>
        </w:rPr>
        <w:t xml:space="preserve"> means “and/or” unless the context requires otherwise.</w:t>
      </w:r>
    </w:p>
    <w:p w14:paraId="3218A4EF" w14:textId="77777777" w:rsidR="00D1587D" w:rsidRDefault="00D1587D">
      <w:pPr>
        <w:spacing w:line="225" w:lineRule="exact"/>
        <w:rPr>
          <w:sz w:val="20"/>
          <w:szCs w:val="20"/>
        </w:rPr>
      </w:pPr>
    </w:p>
    <w:p w14:paraId="767C20D7" w14:textId="77777777" w:rsidR="00D1587D" w:rsidRDefault="00410D07">
      <w:pPr>
        <w:ind w:right="-19"/>
        <w:jc w:val="center"/>
        <w:rPr>
          <w:sz w:val="20"/>
          <w:szCs w:val="20"/>
        </w:rPr>
      </w:pPr>
      <w:r>
        <w:rPr>
          <w:rFonts w:ascii="Arial" w:eastAsia="Arial" w:hAnsi="Arial" w:cs="Arial"/>
          <w:sz w:val="18"/>
          <w:szCs w:val="18"/>
        </w:rPr>
        <w:t>ARTICLE 2</w:t>
      </w:r>
    </w:p>
    <w:p w14:paraId="1304C4E8" w14:textId="77777777" w:rsidR="00D1587D" w:rsidRDefault="00D1587D">
      <w:pPr>
        <w:spacing w:line="23" w:lineRule="exact"/>
        <w:rPr>
          <w:sz w:val="20"/>
          <w:szCs w:val="20"/>
        </w:rPr>
      </w:pPr>
    </w:p>
    <w:p w14:paraId="3902A1DE" w14:textId="77777777" w:rsidR="00D1587D" w:rsidRDefault="00410D07">
      <w:pPr>
        <w:ind w:right="-19"/>
        <w:jc w:val="center"/>
        <w:rPr>
          <w:sz w:val="20"/>
          <w:szCs w:val="20"/>
        </w:rPr>
      </w:pPr>
      <w:r>
        <w:rPr>
          <w:rFonts w:ascii="Arial" w:eastAsia="Arial" w:hAnsi="Arial" w:cs="Arial"/>
          <w:sz w:val="18"/>
          <w:szCs w:val="18"/>
        </w:rPr>
        <w:t>P</w:t>
      </w:r>
      <w:r>
        <w:rPr>
          <w:rFonts w:ascii="Arial" w:eastAsia="Arial" w:hAnsi="Arial" w:cs="Arial"/>
          <w:sz w:val="12"/>
          <w:szCs w:val="12"/>
        </w:rPr>
        <w:t>RIOR TO THE</w:t>
      </w:r>
      <w:r>
        <w:rPr>
          <w:rFonts w:ascii="Arial" w:eastAsia="Arial" w:hAnsi="Arial" w:cs="Arial"/>
          <w:sz w:val="18"/>
          <w:szCs w:val="18"/>
        </w:rPr>
        <w:t xml:space="preserve"> D</w:t>
      </w:r>
      <w:r>
        <w:rPr>
          <w:rFonts w:ascii="Arial" w:eastAsia="Arial" w:hAnsi="Arial" w:cs="Arial"/>
          <w:sz w:val="12"/>
          <w:szCs w:val="12"/>
        </w:rPr>
        <w:t>ISTRIBUTION</w:t>
      </w:r>
    </w:p>
    <w:p w14:paraId="35089438" w14:textId="77777777" w:rsidR="00D1587D" w:rsidRDefault="00D1587D">
      <w:pPr>
        <w:spacing w:line="211" w:lineRule="exact"/>
        <w:rPr>
          <w:sz w:val="20"/>
          <w:szCs w:val="20"/>
        </w:rPr>
      </w:pPr>
    </w:p>
    <w:p w14:paraId="252B08A1" w14:textId="77777777" w:rsidR="00D1587D" w:rsidRDefault="00410D07">
      <w:pPr>
        <w:spacing w:line="254" w:lineRule="auto"/>
        <w:ind w:right="60" w:firstLine="648"/>
        <w:rPr>
          <w:sz w:val="20"/>
          <w:szCs w:val="20"/>
        </w:rPr>
      </w:pPr>
      <w:r>
        <w:rPr>
          <w:rFonts w:ascii="Arial" w:eastAsia="Arial" w:hAnsi="Arial" w:cs="Arial"/>
          <w:sz w:val="18"/>
          <w:szCs w:val="18"/>
        </w:rPr>
        <w:t xml:space="preserve">Section 2.01. </w:t>
      </w:r>
      <w:r>
        <w:rPr>
          <w:rFonts w:ascii="Arial" w:eastAsia="Arial" w:hAnsi="Arial" w:cs="Arial"/>
          <w:i/>
          <w:iCs/>
          <w:sz w:val="18"/>
          <w:szCs w:val="18"/>
        </w:rPr>
        <w:t>Information Statement; Listing.</w:t>
      </w:r>
      <w:r>
        <w:rPr>
          <w:rFonts w:ascii="Arial" w:eastAsia="Arial" w:hAnsi="Arial" w:cs="Arial"/>
          <w:sz w:val="18"/>
          <w:szCs w:val="18"/>
        </w:rPr>
        <w:t xml:space="preserve"> Prior to the Distribution Time, L Brands shall mail (or shall have mailed) the Information Statement to the holders </w:t>
      </w:r>
      <w:r>
        <w:rPr>
          <w:rFonts w:ascii="Arial" w:eastAsia="Arial" w:hAnsi="Arial" w:cs="Arial"/>
          <w:sz w:val="18"/>
          <w:szCs w:val="18"/>
        </w:rPr>
        <w:t>of L Brands Common Stock as of the Record Date. At or prior to the Distribution Time, L Brands and VS shall take (or shall have taken), all such actions as may be necessary or appropriate under the securities or blue sky laws of states or other political s</w:t>
      </w:r>
      <w:r>
        <w:rPr>
          <w:rFonts w:ascii="Arial" w:eastAsia="Arial" w:hAnsi="Arial" w:cs="Arial"/>
          <w:sz w:val="18"/>
          <w:szCs w:val="18"/>
        </w:rPr>
        <w:t xml:space="preserve">ubdivisions of the United States and shall use commercially reasonable efforts to comply with all applicable foreign securities laws in connection with the transactions contemplated by this Agreement and the Ancillary Agreements. Prior to the Distribution </w:t>
      </w:r>
      <w:r>
        <w:rPr>
          <w:rFonts w:ascii="Arial" w:eastAsia="Arial" w:hAnsi="Arial" w:cs="Arial"/>
          <w:sz w:val="18"/>
          <w:szCs w:val="18"/>
        </w:rPr>
        <w:t>Time, VS shall prepare, file and pursue (or shall have prepared, filed and pursued) an application to permit listing of the VS Common Stock on the NYSE and shall give the NYSE advance notice of the Record Date in compliance with Rule 10b-17 under the Excha</w:t>
      </w:r>
      <w:r>
        <w:rPr>
          <w:rFonts w:ascii="Arial" w:eastAsia="Arial" w:hAnsi="Arial" w:cs="Arial"/>
          <w:sz w:val="18"/>
          <w:szCs w:val="18"/>
        </w:rPr>
        <w:t>nge Act.</w:t>
      </w:r>
    </w:p>
    <w:p w14:paraId="7EF6CB9F" w14:textId="77777777" w:rsidR="00D1587D" w:rsidRDefault="00D1587D">
      <w:pPr>
        <w:spacing w:line="195" w:lineRule="exact"/>
        <w:rPr>
          <w:sz w:val="20"/>
          <w:szCs w:val="20"/>
        </w:rPr>
      </w:pPr>
    </w:p>
    <w:p w14:paraId="5CEE895F" w14:textId="77777777" w:rsidR="00D1587D" w:rsidRDefault="00410D07">
      <w:pPr>
        <w:ind w:left="660"/>
        <w:rPr>
          <w:sz w:val="20"/>
          <w:szCs w:val="20"/>
        </w:rPr>
      </w:pPr>
      <w:r>
        <w:rPr>
          <w:rFonts w:ascii="Arial" w:eastAsia="Arial" w:hAnsi="Arial" w:cs="Arial"/>
          <w:sz w:val="18"/>
          <w:szCs w:val="18"/>
        </w:rPr>
        <w:t xml:space="preserve">Section 2.02. </w:t>
      </w:r>
      <w:r>
        <w:rPr>
          <w:rFonts w:ascii="Arial" w:eastAsia="Arial" w:hAnsi="Arial" w:cs="Arial"/>
          <w:i/>
          <w:iCs/>
          <w:sz w:val="18"/>
          <w:szCs w:val="18"/>
        </w:rPr>
        <w:t>Restructuring and Other Actions prior to the Distribution Time</w:t>
      </w:r>
      <w:r>
        <w:rPr>
          <w:rFonts w:ascii="Arial" w:eastAsia="Arial" w:hAnsi="Arial" w:cs="Arial"/>
          <w:sz w:val="18"/>
          <w:szCs w:val="18"/>
        </w:rPr>
        <w:t>.</w:t>
      </w:r>
    </w:p>
    <w:p w14:paraId="4618F008" w14:textId="77777777" w:rsidR="00D1587D" w:rsidRDefault="00D1587D">
      <w:pPr>
        <w:spacing w:line="225" w:lineRule="exact"/>
        <w:rPr>
          <w:sz w:val="20"/>
          <w:szCs w:val="20"/>
        </w:rPr>
      </w:pPr>
    </w:p>
    <w:p w14:paraId="45BD39AC" w14:textId="77777777" w:rsidR="00D1587D" w:rsidRDefault="00410D07">
      <w:pPr>
        <w:numPr>
          <w:ilvl w:val="0"/>
          <w:numId w:val="14"/>
        </w:numPr>
        <w:tabs>
          <w:tab w:val="left" w:pos="1343"/>
        </w:tabs>
        <w:spacing w:line="512" w:lineRule="auto"/>
        <w:ind w:left="5500" w:right="2660" w:hanging="4844"/>
        <w:rPr>
          <w:rFonts w:ascii="Arial" w:eastAsia="Arial" w:hAnsi="Arial" w:cs="Arial"/>
          <w:sz w:val="18"/>
          <w:szCs w:val="18"/>
        </w:rPr>
      </w:pPr>
      <w:r>
        <w:rPr>
          <w:rFonts w:ascii="Arial" w:eastAsia="Arial" w:hAnsi="Arial" w:cs="Arial"/>
          <w:sz w:val="18"/>
          <w:szCs w:val="18"/>
          <w:u w:val="single"/>
        </w:rPr>
        <w:t>Restructuring</w:t>
      </w:r>
      <w:r>
        <w:rPr>
          <w:rFonts w:ascii="Arial" w:eastAsia="Arial" w:hAnsi="Arial" w:cs="Arial"/>
          <w:sz w:val="18"/>
          <w:szCs w:val="18"/>
        </w:rPr>
        <w:t>. The Restructuring shall have been consummated on or prior to the Distribution Time. 17</w:t>
      </w:r>
    </w:p>
    <w:p w14:paraId="075A625D" w14:textId="77777777" w:rsidR="00D1587D" w:rsidRDefault="00410D07">
      <w:pPr>
        <w:spacing w:line="20" w:lineRule="exact"/>
        <w:rPr>
          <w:sz w:val="20"/>
          <w:szCs w:val="20"/>
        </w:rPr>
      </w:pPr>
      <w:r>
        <w:rPr>
          <w:noProof/>
          <w:sz w:val="20"/>
          <w:szCs w:val="20"/>
        </w:rPr>
        <w:drawing>
          <wp:anchor distT="0" distB="0" distL="114300" distR="114300" simplePos="0" relativeHeight="251168768" behindDoc="1" locked="0" layoutInCell="0" allowOverlap="1" wp14:anchorId="28916243" wp14:editId="6C7370D7">
            <wp:simplePos x="0" y="0"/>
            <wp:positionH relativeFrom="column">
              <wp:posOffset>5080</wp:posOffset>
            </wp:positionH>
            <wp:positionV relativeFrom="paragraph">
              <wp:posOffset>-113665</wp:posOffset>
            </wp:positionV>
            <wp:extent cx="7132320" cy="1714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17C4C53" w14:textId="77777777" w:rsidR="00D1587D" w:rsidRDefault="00D1587D">
      <w:pPr>
        <w:sectPr w:rsidR="00D1587D">
          <w:pgSz w:w="11900" w:h="16838"/>
          <w:pgMar w:top="341" w:right="359" w:bottom="1440" w:left="320" w:header="0" w:footer="0" w:gutter="0"/>
          <w:cols w:space="720" w:equalWidth="0">
            <w:col w:w="11220"/>
          </w:cols>
        </w:sectPr>
      </w:pPr>
    </w:p>
    <w:p w14:paraId="0888CB05" w14:textId="77777777" w:rsidR="00D1587D" w:rsidRDefault="00410D07">
      <w:pPr>
        <w:numPr>
          <w:ilvl w:val="0"/>
          <w:numId w:val="15"/>
        </w:numPr>
        <w:tabs>
          <w:tab w:val="left" w:pos="1353"/>
        </w:tabs>
        <w:spacing w:line="253" w:lineRule="auto"/>
        <w:ind w:firstLine="656"/>
        <w:rPr>
          <w:rFonts w:ascii="Arial" w:eastAsia="Arial" w:hAnsi="Arial" w:cs="Arial"/>
          <w:sz w:val="18"/>
          <w:szCs w:val="18"/>
        </w:rPr>
      </w:pPr>
      <w:bookmarkStart w:id="26" w:name="page27"/>
      <w:bookmarkEnd w:id="26"/>
      <w:r>
        <w:rPr>
          <w:rFonts w:ascii="Arial" w:eastAsia="Arial" w:hAnsi="Arial" w:cs="Arial"/>
          <w:sz w:val="18"/>
          <w:szCs w:val="18"/>
          <w:u w:val="single"/>
        </w:rPr>
        <w:t xml:space="preserve">VS Financing Arrangements and </w:t>
      </w:r>
      <w:r>
        <w:rPr>
          <w:rFonts w:ascii="Arial" w:eastAsia="Arial" w:hAnsi="Arial" w:cs="Arial"/>
          <w:sz w:val="18"/>
          <w:szCs w:val="18"/>
          <w:u w:val="single"/>
        </w:rPr>
        <w:t>Payments</w:t>
      </w:r>
      <w:r>
        <w:rPr>
          <w:rFonts w:ascii="Arial" w:eastAsia="Arial" w:hAnsi="Arial" w:cs="Arial"/>
          <w:sz w:val="18"/>
          <w:szCs w:val="18"/>
        </w:rPr>
        <w:t>. Between the date of this Agreement and the Distribution, VS shall enter into (or shall have entered into) the VS Financing Arrangements and related financing transactions described in the Information Statement as occurring prior to the Distributi</w:t>
      </w:r>
      <w:r>
        <w:rPr>
          <w:rFonts w:ascii="Arial" w:eastAsia="Arial" w:hAnsi="Arial" w:cs="Arial"/>
          <w:sz w:val="18"/>
          <w:szCs w:val="18"/>
        </w:rPr>
        <w:t>on Date (the “</w:t>
      </w:r>
      <w:r>
        <w:rPr>
          <w:rFonts w:ascii="Arial" w:eastAsia="Arial" w:hAnsi="Arial" w:cs="Arial"/>
          <w:b/>
          <w:bCs/>
          <w:sz w:val="18"/>
          <w:szCs w:val="18"/>
        </w:rPr>
        <w:t>VS Financing Transactions</w:t>
      </w:r>
      <w:r>
        <w:rPr>
          <w:rFonts w:ascii="Arial" w:eastAsia="Arial" w:hAnsi="Arial" w:cs="Arial"/>
          <w:sz w:val="18"/>
          <w:szCs w:val="18"/>
        </w:rPr>
        <w:t>”), and receive the proceeds thereof. Immediately thereafter and prior to the Distribution, L Brands shall effect the Contribution. As consideration for the Contribution, VS shall (i) issue to L Brands [</w:t>
      </w:r>
      <w:r>
        <w:rPr>
          <w:rFonts w:ascii="Arial" w:eastAsia="Arial" w:hAnsi="Arial" w:cs="Arial"/>
          <w:b/>
          <w:bCs/>
          <w:sz w:val="18"/>
          <w:szCs w:val="18"/>
        </w:rPr>
        <w:t>—</w:t>
      </w:r>
      <w:r>
        <w:rPr>
          <w:rFonts w:ascii="Arial" w:eastAsia="Arial" w:hAnsi="Arial" w:cs="Arial"/>
          <w:sz w:val="18"/>
          <w:szCs w:val="18"/>
        </w:rPr>
        <w:t xml:space="preserve">] </w:t>
      </w:r>
      <w:r>
        <w:rPr>
          <w:rFonts w:ascii="Arial" w:eastAsia="Arial" w:hAnsi="Arial" w:cs="Arial"/>
          <w:sz w:val="18"/>
          <w:szCs w:val="18"/>
        </w:rPr>
        <w:t xml:space="preserve">shares of VS Common Stock and (ii) pay to L Brands the Special Cash Payment in immediately available funds to one or more accounts designated in writing by L Brands. L Brands will maintain the funds received from the Special Cash Payment in a non-interest </w:t>
      </w:r>
      <w:r>
        <w:rPr>
          <w:rFonts w:ascii="Arial" w:eastAsia="Arial" w:hAnsi="Arial" w:cs="Arial"/>
          <w:sz w:val="18"/>
          <w:szCs w:val="18"/>
        </w:rPr>
        <w:t>bearing segregated bank account (a “</w:t>
      </w:r>
      <w:r>
        <w:rPr>
          <w:rFonts w:ascii="Arial" w:eastAsia="Arial" w:hAnsi="Arial" w:cs="Arial"/>
          <w:b/>
          <w:bCs/>
          <w:sz w:val="18"/>
          <w:szCs w:val="18"/>
        </w:rPr>
        <w:t>Segregated Account</w:t>
      </w:r>
      <w:r>
        <w:rPr>
          <w:rFonts w:ascii="Arial" w:eastAsia="Arial" w:hAnsi="Arial" w:cs="Arial"/>
          <w:sz w:val="18"/>
          <w:szCs w:val="18"/>
        </w:rPr>
        <w:t>”) and will take into account for Tax purposes all items of income, gain, deduction or loss associated with the funds while maintained in this segregated account. Within [</w:t>
      </w:r>
      <w:r>
        <w:rPr>
          <w:rFonts w:ascii="Arial" w:eastAsia="Arial" w:hAnsi="Arial" w:cs="Arial"/>
          <w:b/>
          <w:bCs/>
          <w:sz w:val="18"/>
          <w:szCs w:val="18"/>
        </w:rPr>
        <w:t>—</w:t>
      </w:r>
      <w:r>
        <w:rPr>
          <w:rFonts w:ascii="Arial" w:eastAsia="Arial" w:hAnsi="Arial" w:cs="Arial"/>
          <w:sz w:val="18"/>
          <w:szCs w:val="18"/>
        </w:rPr>
        <w:t>] months following the Distrib</w:t>
      </w:r>
      <w:r>
        <w:rPr>
          <w:rFonts w:ascii="Arial" w:eastAsia="Arial" w:hAnsi="Arial" w:cs="Arial"/>
          <w:sz w:val="18"/>
          <w:szCs w:val="18"/>
        </w:rPr>
        <w:t>ution, L Brands will distribute the cash held in the Segregated Account to (i) L Brands’ creditors in retirement of outstanding L Brands indebtedness or (ii) to L Brands’ stockholders in repurchase of, or distribution with respect to, shares of L Brands co</w:t>
      </w:r>
      <w:r>
        <w:rPr>
          <w:rFonts w:ascii="Arial" w:eastAsia="Arial" w:hAnsi="Arial" w:cs="Arial"/>
          <w:sz w:val="18"/>
          <w:szCs w:val="18"/>
        </w:rPr>
        <w:t>mmon stock (together, the “</w:t>
      </w:r>
      <w:r>
        <w:rPr>
          <w:rFonts w:ascii="Arial" w:eastAsia="Arial" w:hAnsi="Arial" w:cs="Arial"/>
          <w:b/>
          <w:bCs/>
          <w:sz w:val="18"/>
          <w:szCs w:val="18"/>
        </w:rPr>
        <w:t>L Brands</w:t>
      </w:r>
      <w:r>
        <w:rPr>
          <w:rFonts w:ascii="Arial" w:eastAsia="Arial" w:hAnsi="Arial" w:cs="Arial"/>
          <w:sz w:val="18"/>
          <w:szCs w:val="18"/>
        </w:rPr>
        <w:t xml:space="preserve"> </w:t>
      </w:r>
      <w:r>
        <w:rPr>
          <w:rFonts w:ascii="Arial" w:eastAsia="Arial" w:hAnsi="Arial" w:cs="Arial"/>
          <w:b/>
          <w:bCs/>
          <w:sz w:val="18"/>
          <w:szCs w:val="18"/>
        </w:rPr>
        <w:t>Cash Distribution</w:t>
      </w:r>
      <w:r>
        <w:rPr>
          <w:rFonts w:ascii="Arial" w:eastAsia="Arial" w:hAnsi="Arial" w:cs="Arial"/>
          <w:sz w:val="18"/>
          <w:szCs w:val="18"/>
        </w:rPr>
        <w:t>”).</w:t>
      </w:r>
    </w:p>
    <w:p w14:paraId="02E14182" w14:textId="77777777" w:rsidR="00D1587D" w:rsidRDefault="00D1587D">
      <w:pPr>
        <w:spacing w:line="194" w:lineRule="exact"/>
        <w:rPr>
          <w:rFonts w:ascii="Arial" w:eastAsia="Arial" w:hAnsi="Arial" w:cs="Arial"/>
          <w:sz w:val="18"/>
          <w:szCs w:val="18"/>
        </w:rPr>
      </w:pPr>
    </w:p>
    <w:p w14:paraId="169ABEAB" w14:textId="77777777" w:rsidR="00D1587D" w:rsidRDefault="00410D07">
      <w:pPr>
        <w:numPr>
          <w:ilvl w:val="0"/>
          <w:numId w:val="15"/>
        </w:numPr>
        <w:tabs>
          <w:tab w:val="left" w:pos="1387"/>
        </w:tabs>
        <w:spacing w:line="275" w:lineRule="auto"/>
        <w:ind w:right="40" w:firstLine="656"/>
        <w:rPr>
          <w:rFonts w:ascii="Arial" w:eastAsia="Arial" w:hAnsi="Arial" w:cs="Arial"/>
          <w:sz w:val="17"/>
          <w:szCs w:val="17"/>
        </w:rPr>
      </w:pPr>
      <w:r>
        <w:rPr>
          <w:rFonts w:ascii="Arial" w:eastAsia="Arial" w:hAnsi="Arial" w:cs="Arial"/>
          <w:sz w:val="17"/>
          <w:szCs w:val="17"/>
          <w:u w:val="single"/>
        </w:rPr>
        <w:t>Amended and Restated Certificate of Incorporation and Amended and Restated Bylaws</w:t>
      </w:r>
      <w:r>
        <w:rPr>
          <w:rFonts w:ascii="Arial" w:eastAsia="Arial" w:hAnsi="Arial" w:cs="Arial"/>
          <w:sz w:val="17"/>
          <w:szCs w:val="17"/>
        </w:rPr>
        <w:t>. At or prior to the Distribution Time, (i) L Brands and VS shall each take (or shall have taken) all necessary actio</w:t>
      </w:r>
      <w:r>
        <w:rPr>
          <w:rFonts w:ascii="Arial" w:eastAsia="Arial" w:hAnsi="Arial" w:cs="Arial"/>
          <w:sz w:val="17"/>
          <w:szCs w:val="17"/>
        </w:rPr>
        <w:t xml:space="preserve">n that may be required to provide for the adoption by VS of an amended and restated certificate of incorporation of VS, substantially in the form of </w:t>
      </w:r>
      <w:r>
        <w:rPr>
          <w:rFonts w:ascii="Arial" w:eastAsia="Arial" w:hAnsi="Arial" w:cs="Arial"/>
          <w:sz w:val="17"/>
          <w:szCs w:val="17"/>
          <w:u w:val="single"/>
        </w:rPr>
        <w:t>Exhibit J</w:t>
      </w:r>
      <w:r>
        <w:rPr>
          <w:rFonts w:ascii="Arial" w:eastAsia="Arial" w:hAnsi="Arial" w:cs="Arial"/>
          <w:sz w:val="17"/>
          <w:szCs w:val="17"/>
        </w:rPr>
        <w:t xml:space="preserve"> (the “</w:t>
      </w:r>
      <w:r>
        <w:rPr>
          <w:rFonts w:ascii="Arial" w:eastAsia="Arial" w:hAnsi="Arial" w:cs="Arial"/>
          <w:b/>
          <w:bCs/>
          <w:sz w:val="17"/>
          <w:szCs w:val="17"/>
        </w:rPr>
        <w:t>Amended and Restated Certificate of Incorporation</w:t>
      </w:r>
      <w:r>
        <w:rPr>
          <w:rFonts w:ascii="Arial" w:eastAsia="Arial" w:hAnsi="Arial" w:cs="Arial"/>
          <w:sz w:val="17"/>
          <w:szCs w:val="17"/>
        </w:rPr>
        <w:t>”), and amended and restated bylaws of VS,</w:t>
      </w:r>
      <w:r>
        <w:rPr>
          <w:rFonts w:ascii="Arial" w:eastAsia="Arial" w:hAnsi="Arial" w:cs="Arial"/>
          <w:sz w:val="17"/>
          <w:szCs w:val="17"/>
        </w:rPr>
        <w:t xml:space="preserve"> substantially in the form of </w:t>
      </w:r>
      <w:r>
        <w:rPr>
          <w:rFonts w:ascii="Arial" w:eastAsia="Arial" w:hAnsi="Arial" w:cs="Arial"/>
          <w:sz w:val="17"/>
          <w:szCs w:val="17"/>
          <w:u w:val="single"/>
        </w:rPr>
        <w:t>Exhibit K</w:t>
      </w:r>
      <w:r>
        <w:rPr>
          <w:rFonts w:ascii="Arial" w:eastAsia="Arial" w:hAnsi="Arial" w:cs="Arial"/>
          <w:sz w:val="17"/>
          <w:szCs w:val="17"/>
        </w:rPr>
        <w:t xml:space="preserve"> (the “</w:t>
      </w:r>
      <w:r>
        <w:rPr>
          <w:rFonts w:ascii="Arial" w:eastAsia="Arial" w:hAnsi="Arial" w:cs="Arial"/>
          <w:b/>
          <w:bCs/>
          <w:sz w:val="17"/>
          <w:szCs w:val="17"/>
        </w:rPr>
        <w:t>Amended and Restated Bylaws</w:t>
      </w:r>
      <w:r>
        <w:rPr>
          <w:rFonts w:ascii="Arial" w:eastAsia="Arial" w:hAnsi="Arial" w:cs="Arial"/>
          <w:sz w:val="17"/>
          <w:szCs w:val="17"/>
        </w:rPr>
        <w:t>”), and (ii) VS shall file (or shall have filed) the Amended and Restated Certificate of Incorporation of VS with the Secretary of State of the State of Delaware.</w:t>
      </w:r>
    </w:p>
    <w:p w14:paraId="49916091" w14:textId="77777777" w:rsidR="00D1587D" w:rsidRDefault="00D1587D">
      <w:pPr>
        <w:spacing w:line="176" w:lineRule="exact"/>
        <w:rPr>
          <w:rFonts w:ascii="Arial" w:eastAsia="Arial" w:hAnsi="Arial" w:cs="Arial"/>
          <w:sz w:val="17"/>
          <w:szCs w:val="17"/>
        </w:rPr>
      </w:pPr>
    </w:p>
    <w:p w14:paraId="69327F3A" w14:textId="77777777" w:rsidR="00D1587D" w:rsidRDefault="00410D07">
      <w:pPr>
        <w:numPr>
          <w:ilvl w:val="0"/>
          <w:numId w:val="15"/>
        </w:numPr>
        <w:tabs>
          <w:tab w:val="left" w:pos="1353"/>
        </w:tabs>
        <w:spacing w:line="308" w:lineRule="auto"/>
        <w:ind w:right="540" w:firstLine="656"/>
        <w:rPr>
          <w:rFonts w:ascii="Arial" w:eastAsia="Arial" w:hAnsi="Arial" w:cs="Arial"/>
          <w:sz w:val="17"/>
          <w:szCs w:val="17"/>
        </w:rPr>
      </w:pPr>
      <w:r>
        <w:rPr>
          <w:rFonts w:ascii="Arial" w:eastAsia="Arial" w:hAnsi="Arial" w:cs="Arial"/>
          <w:sz w:val="17"/>
          <w:szCs w:val="17"/>
          <w:u w:val="single"/>
        </w:rPr>
        <w:t>The Distribution Ag</w:t>
      </w:r>
      <w:r>
        <w:rPr>
          <w:rFonts w:ascii="Arial" w:eastAsia="Arial" w:hAnsi="Arial" w:cs="Arial"/>
          <w:sz w:val="17"/>
          <w:szCs w:val="17"/>
          <w:u w:val="single"/>
        </w:rPr>
        <w:t>ent</w:t>
      </w:r>
      <w:r>
        <w:rPr>
          <w:rFonts w:ascii="Arial" w:eastAsia="Arial" w:hAnsi="Arial" w:cs="Arial"/>
          <w:sz w:val="17"/>
          <w:szCs w:val="17"/>
        </w:rPr>
        <w:t>. At or prior to the Distribution Time, L Brands shall enter (or shall have entered) into a distribution agent agreement with the Distribution Agent or otherwise provide instructions to the Distribution Agent regarding the Distribution.</w:t>
      </w:r>
    </w:p>
    <w:p w14:paraId="5147CB21" w14:textId="77777777" w:rsidR="00D1587D" w:rsidRDefault="00D1587D">
      <w:pPr>
        <w:spacing w:line="146" w:lineRule="exact"/>
        <w:rPr>
          <w:rFonts w:ascii="Arial" w:eastAsia="Arial" w:hAnsi="Arial" w:cs="Arial"/>
          <w:sz w:val="17"/>
          <w:szCs w:val="17"/>
        </w:rPr>
      </w:pPr>
    </w:p>
    <w:p w14:paraId="4A48A2E1" w14:textId="77777777" w:rsidR="00D1587D" w:rsidRDefault="00410D07">
      <w:pPr>
        <w:numPr>
          <w:ilvl w:val="0"/>
          <w:numId w:val="15"/>
        </w:numPr>
        <w:tabs>
          <w:tab w:val="left" w:pos="1342"/>
        </w:tabs>
        <w:spacing w:line="257" w:lineRule="auto"/>
        <w:ind w:right="60" w:firstLine="656"/>
        <w:rPr>
          <w:rFonts w:ascii="Arial" w:eastAsia="Arial" w:hAnsi="Arial" w:cs="Arial"/>
          <w:sz w:val="18"/>
          <w:szCs w:val="18"/>
        </w:rPr>
      </w:pPr>
      <w:r>
        <w:rPr>
          <w:rFonts w:ascii="Arial" w:eastAsia="Arial" w:hAnsi="Arial" w:cs="Arial"/>
          <w:sz w:val="18"/>
          <w:szCs w:val="18"/>
          <w:u w:val="single"/>
        </w:rPr>
        <w:t>Directors and O</w:t>
      </w:r>
      <w:r>
        <w:rPr>
          <w:rFonts w:ascii="Arial" w:eastAsia="Arial" w:hAnsi="Arial" w:cs="Arial"/>
          <w:sz w:val="18"/>
          <w:szCs w:val="18"/>
          <w:u w:val="single"/>
        </w:rPr>
        <w:t>fficers</w:t>
      </w:r>
      <w:r>
        <w:rPr>
          <w:rFonts w:ascii="Arial" w:eastAsia="Arial" w:hAnsi="Arial" w:cs="Arial"/>
          <w:sz w:val="18"/>
          <w:szCs w:val="18"/>
        </w:rPr>
        <w:t>. L Brands and VS shall take all necessary actions so that as of the Distribution Time: (i) the directors and executive officers of VS shall be those set forth in the Information Statement made available to the holders of L Brands Common Stock as of</w:t>
      </w:r>
      <w:r>
        <w:rPr>
          <w:rFonts w:ascii="Arial" w:eastAsia="Arial" w:hAnsi="Arial" w:cs="Arial"/>
          <w:sz w:val="18"/>
          <w:szCs w:val="18"/>
        </w:rPr>
        <w:t xml:space="preserve"> the Record Date prior to the Distribution Date, unless otherwise agreed by the Parties; (ii) each individual referred to in clause (i) shall have resigned from his or her position, if any, as a member of the Board of Directors of L Brands or as an executi</w:t>
      </w:r>
      <w:r>
        <w:rPr>
          <w:rFonts w:ascii="Arial" w:eastAsia="Arial" w:hAnsi="Arial" w:cs="Arial"/>
          <w:sz w:val="18"/>
          <w:szCs w:val="18"/>
        </w:rPr>
        <w:t>ve officer of L Brands; and (iii) VS shall have such other officers as VS shall appoint.</w:t>
      </w:r>
    </w:p>
    <w:p w14:paraId="5F9D6F2C" w14:textId="77777777" w:rsidR="00D1587D" w:rsidRDefault="00D1587D">
      <w:pPr>
        <w:spacing w:line="187" w:lineRule="exact"/>
        <w:rPr>
          <w:rFonts w:ascii="Arial" w:eastAsia="Arial" w:hAnsi="Arial" w:cs="Arial"/>
          <w:sz w:val="18"/>
          <w:szCs w:val="18"/>
        </w:rPr>
      </w:pPr>
    </w:p>
    <w:p w14:paraId="35BED83B" w14:textId="77777777" w:rsidR="00D1587D" w:rsidRDefault="00410D07">
      <w:pPr>
        <w:numPr>
          <w:ilvl w:val="0"/>
          <w:numId w:val="15"/>
        </w:numPr>
        <w:tabs>
          <w:tab w:val="left" w:pos="1368"/>
        </w:tabs>
        <w:spacing w:line="263" w:lineRule="auto"/>
        <w:ind w:right="180" w:firstLine="656"/>
        <w:rPr>
          <w:rFonts w:ascii="Arial" w:eastAsia="Arial" w:hAnsi="Arial" w:cs="Arial"/>
          <w:sz w:val="18"/>
          <w:szCs w:val="18"/>
        </w:rPr>
      </w:pPr>
      <w:r>
        <w:rPr>
          <w:rFonts w:ascii="Arial" w:eastAsia="Arial" w:hAnsi="Arial" w:cs="Arial"/>
          <w:sz w:val="18"/>
          <w:szCs w:val="18"/>
          <w:u w:val="single"/>
        </w:rPr>
        <w:t>Satisfying Conditions to the Distribution</w:t>
      </w:r>
      <w:r>
        <w:rPr>
          <w:rFonts w:ascii="Arial" w:eastAsia="Arial" w:hAnsi="Arial" w:cs="Arial"/>
          <w:i/>
          <w:iCs/>
          <w:sz w:val="18"/>
          <w:szCs w:val="18"/>
        </w:rPr>
        <w:t>.</w:t>
      </w:r>
      <w:r>
        <w:rPr>
          <w:rFonts w:ascii="Arial" w:eastAsia="Arial" w:hAnsi="Arial" w:cs="Arial"/>
          <w:sz w:val="18"/>
          <w:szCs w:val="18"/>
        </w:rPr>
        <w:t xml:space="preserve"> L Brands and VS shall cooperate (or shall have cooperated) to cause the conditions to the Distribution set forth in Section 3.01 to be satisfied (or waived by L Brands) and to effect the Distribution at the Distribution Time upon such satisfaction (or wai</w:t>
      </w:r>
      <w:r>
        <w:rPr>
          <w:rFonts w:ascii="Arial" w:eastAsia="Arial" w:hAnsi="Arial" w:cs="Arial"/>
          <w:sz w:val="18"/>
          <w:szCs w:val="18"/>
        </w:rPr>
        <w:t>ver by L Brands).</w:t>
      </w:r>
    </w:p>
    <w:p w14:paraId="757A22D3" w14:textId="77777777" w:rsidR="00D1587D" w:rsidRDefault="00D1587D">
      <w:pPr>
        <w:spacing w:line="170" w:lineRule="exact"/>
        <w:rPr>
          <w:sz w:val="20"/>
          <w:szCs w:val="20"/>
        </w:rPr>
      </w:pPr>
    </w:p>
    <w:p w14:paraId="6996FF39" w14:textId="77777777" w:rsidR="00D1587D" w:rsidRDefault="00410D07">
      <w:pPr>
        <w:ind w:right="40"/>
        <w:jc w:val="center"/>
        <w:rPr>
          <w:sz w:val="20"/>
          <w:szCs w:val="20"/>
        </w:rPr>
      </w:pPr>
      <w:r>
        <w:rPr>
          <w:rFonts w:ascii="Arial" w:eastAsia="Arial" w:hAnsi="Arial" w:cs="Arial"/>
          <w:sz w:val="18"/>
          <w:szCs w:val="18"/>
        </w:rPr>
        <w:t>18</w:t>
      </w:r>
    </w:p>
    <w:p w14:paraId="60CA103C" w14:textId="77777777" w:rsidR="00D1587D" w:rsidRDefault="00410D07">
      <w:pPr>
        <w:spacing w:line="20" w:lineRule="exact"/>
        <w:rPr>
          <w:sz w:val="20"/>
          <w:szCs w:val="20"/>
        </w:rPr>
      </w:pPr>
      <w:r>
        <w:rPr>
          <w:noProof/>
          <w:sz w:val="20"/>
          <w:szCs w:val="20"/>
        </w:rPr>
        <w:drawing>
          <wp:anchor distT="0" distB="0" distL="114300" distR="114300" simplePos="0" relativeHeight="251169792" behindDoc="1" locked="0" layoutInCell="0" allowOverlap="1" wp14:anchorId="23BCD368" wp14:editId="1E06F475">
            <wp:simplePos x="0" y="0"/>
            <wp:positionH relativeFrom="column">
              <wp:posOffset>5080</wp:posOffset>
            </wp:positionH>
            <wp:positionV relativeFrom="paragraph">
              <wp:posOffset>48895</wp:posOffset>
            </wp:positionV>
            <wp:extent cx="7132320" cy="1714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2DDC888" w14:textId="77777777" w:rsidR="00D1587D" w:rsidRDefault="00D1587D">
      <w:pPr>
        <w:sectPr w:rsidR="00D1587D">
          <w:pgSz w:w="11900" w:h="16838"/>
          <w:pgMar w:top="341" w:right="359" w:bottom="1440" w:left="320" w:header="0" w:footer="0" w:gutter="0"/>
          <w:cols w:space="720" w:equalWidth="0">
            <w:col w:w="11220"/>
          </w:cols>
        </w:sectPr>
      </w:pPr>
    </w:p>
    <w:p w14:paraId="5162D11D" w14:textId="77777777" w:rsidR="00D1587D" w:rsidRDefault="00410D07">
      <w:pPr>
        <w:spacing w:line="277" w:lineRule="auto"/>
        <w:ind w:right="140" w:firstLine="693"/>
        <w:rPr>
          <w:sz w:val="20"/>
          <w:szCs w:val="20"/>
        </w:rPr>
      </w:pPr>
      <w:bookmarkStart w:id="27" w:name="page28"/>
      <w:bookmarkEnd w:id="27"/>
      <w:r>
        <w:rPr>
          <w:rFonts w:ascii="Arial" w:eastAsia="Arial" w:hAnsi="Arial" w:cs="Arial"/>
          <w:sz w:val="18"/>
          <w:szCs w:val="18"/>
        </w:rPr>
        <w:t xml:space="preserve">Section 2.03. </w:t>
      </w:r>
      <w:r>
        <w:rPr>
          <w:rFonts w:ascii="Arial" w:eastAsia="Arial" w:hAnsi="Arial" w:cs="Arial"/>
          <w:i/>
          <w:iCs/>
          <w:sz w:val="18"/>
          <w:szCs w:val="18"/>
        </w:rPr>
        <w:t>Transfers of Certain Other Assets and Liabilities</w:t>
      </w:r>
      <w:r>
        <w:rPr>
          <w:rFonts w:ascii="Arial" w:eastAsia="Arial" w:hAnsi="Arial" w:cs="Arial"/>
          <w:sz w:val="18"/>
          <w:szCs w:val="18"/>
        </w:rPr>
        <w:t>. Unless otherwise provided in this Agreement or in any Ancillary Agreement and to the extent not previously effected pursuant to Section 2.02(a), ef</w:t>
      </w:r>
      <w:r>
        <w:rPr>
          <w:rFonts w:ascii="Arial" w:eastAsia="Arial" w:hAnsi="Arial" w:cs="Arial"/>
          <w:sz w:val="18"/>
          <w:szCs w:val="18"/>
        </w:rPr>
        <w:t>fective as of the Distribution Time:</w:t>
      </w:r>
    </w:p>
    <w:p w14:paraId="56FD18DB" w14:textId="77777777" w:rsidR="00D1587D" w:rsidRDefault="00D1587D">
      <w:pPr>
        <w:spacing w:line="170" w:lineRule="exact"/>
        <w:rPr>
          <w:sz w:val="20"/>
          <w:szCs w:val="20"/>
        </w:rPr>
      </w:pPr>
    </w:p>
    <w:p w14:paraId="46AF62CC" w14:textId="77777777" w:rsidR="00D1587D" w:rsidRDefault="00410D07">
      <w:pPr>
        <w:numPr>
          <w:ilvl w:val="0"/>
          <w:numId w:val="16"/>
        </w:numPr>
        <w:tabs>
          <w:tab w:val="left" w:pos="1163"/>
        </w:tabs>
        <w:spacing w:line="254" w:lineRule="auto"/>
        <w:ind w:right="80" w:firstLine="656"/>
        <w:rPr>
          <w:rFonts w:ascii="Arial" w:eastAsia="Arial" w:hAnsi="Arial" w:cs="Arial"/>
          <w:sz w:val="18"/>
          <w:szCs w:val="18"/>
        </w:rPr>
      </w:pPr>
      <w:r>
        <w:rPr>
          <w:rFonts w:ascii="Arial" w:eastAsia="Arial" w:hAnsi="Arial" w:cs="Arial"/>
          <w:sz w:val="18"/>
          <w:szCs w:val="18"/>
        </w:rPr>
        <w:t xml:space="preserve">L Brands hereby agrees, and hereby causes the relevant member of the L Brands Group, to assign, contribute, convey, transfer and deliver (or shall have assigned, contributed, conveyed, transferred and delivered) to VS </w:t>
      </w:r>
      <w:r>
        <w:rPr>
          <w:rFonts w:ascii="Arial" w:eastAsia="Arial" w:hAnsi="Arial" w:cs="Arial"/>
          <w:sz w:val="18"/>
          <w:szCs w:val="18"/>
        </w:rPr>
        <w:t>or any member of the VS Group as of the Distribution Time designated by VS (a “</w:t>
      </w:r>
      <w:r>
        <w:rPr>
          <w:rFonts w:ascii="Arial" w:eastAsia="Arial" w:hAnsi="Arial" w:cs="Arial"/>
          <w:b/>
          <w:bCs/>
          <w:sz w:val="18"/>
          <w:szCs w:val="18"/>
        </w:rPr>
        <w:t>VS Designee</w:t>
      </w:r>
      <w:r>
        <w:rPr>
          <w:rFonts w:ascii="Arial" w:eastAsia="Arial" w:hAnsi="Arial" w:cs="Arial"/>
          <w:sz w:val="18"/>
          <w:szCs w:val="18"/>
        </w:rPr>
        <w:t>”) all of the right, title and interest of L Brands or such member of the L Brands Group in and to all of the VS Assets, if any, held by any member of the L Brands Gr</w:t>
      </w:r>
      <w:r>
        <w:rPr>
          <w:rFonts w:ascii="Arial" w:eastAsia="Arial" w:hAnsi="Arial" w:cs="Arial"/>
          <w:sz w:val="18"/>
          <w:szCs w:val="18"/>
        </w:rPr>
        <w:t>oup, and L Brands and VS hereby agree, and hereby cause the relevant member of the VS Group, to assign, contribute, convey, transfer and deliver to L Brands or any member of the L Brands Group as of the Distribution Time designated by L Brands (a “</w:t>
      </w:r>
      <w:r>
        <w:rPr>
          <w:rFonts w:ascii="Arial" w:eastAsia="Arial" w:hAnsi="Arial" w:cs="Arial"/>
          <w:b/>
          <w:bCs/>
          <w:sz w:val="18"/>
          <w:szCs w:val="18"/>
        </w:rPr>
        <w:t>L Brands</w:t>
      </w:r>
      <w:r>
        <w:rPr>
          <w:rFonts w:ascii="Arial" w:eastAsia="Arial" w:hAnsi="Arial" w:cs="Arial"/>
          <w:sz w:val="18"/>
          <w:szCs w:val="18"/>
        </w:rPr>
        <w:t xml:space="preserve"> </w:t>
      </w:r>
      <w:r>
        <w:rPr>
          <w:rFonts w:ascii="Arial" w:eastAsia="Arial" w:hAnsi="Arial" w:cs="Arial"/>
          <w:b/>
          <w:bCs/>
          <w:sz w:val="18"/>
          <w:szCs w:val="18"/>
        </w:rPr>
        <w:t>Designee</w:t>
      </w:r>
      <w:r>
        <w:rPr>
          <w:rFonts w:ascii="Arial" w:eastAsia="Arial" w:hAnsi="Arial" w:cs="Arial"/>
          <w:sz w:val="18"/>
          <w:szCs w:val="18"/>
        </w:rPr>
        <w:t>”) all of the right, title and interest of VS or such member of the VS Group in and to all of the L Brands Assets, if any, held by any member of the</w:t>
      </w:r>
      <w:r>
        <w:rPr>
          <w:rFonts w:ascii="Arial" w:eastAsia="Arial" w:hAnsi="Arial" w:cs="Arial"/>
          <w:b/>
          <w:bCs/>
          <w:sz w:val="18"/>
          <w:szCs w:val="18"/>
        </w:rPr>
        <w:t xml:space="preserve"> </w:t>
      </w:r>
      <w:r>
        <w:rPr>
          <w:rFonts w:ascii="Arial" w:eastAsia="Arial" w:hAnsi="Arial" w:cs="Arial"/>
          <w:sz w:val="18"/>
          <w:szCs w:val="18"/>
        </w:rPr>
        <w:t>VS Group; and</w:t>
      </w:r>
    </w:p>
    <w:p w14:paraId="516E12C3" w14:textId="77777777" w:rsidR="00D1587D" w:rsidRDefault="00D1587D">
      <w:pPr>
        <w:spacing w:line="194" w:lineRule="exact"/>
        <w:rPr>
          <w:rFonts w:ascii="Arial" w:eastAsia="Arial" w:hAnsi="Arial" w:cs="Arial"/>
          <w:sz w:val="18"/>
          <w:szCs w:val="18"/>
        </w:rPr>
      </w:pPr>
    </w:p>
    <w:p w14:paraId="06D296D7" w14:textId="77777777" w:rsidR="00D1587D" w:rsidRDefault="00410D07">
      <w:pPr>
        <w:numPr>
          <w:ilvl w:val="0"/>
          <w:numId w:val="16"/>
        </w:numPr>
        <w:tabs>
          <w:tab w:val="left" w:pos="1173"/>
        </w:tabs>
        <w:spacing w:line="255" w:lineRule="auto"/>
        <w:ind w:right="40" w:firstLine="656"/>
        <w:rPr>
          <w:rFonts w:ascii="Arial" w:eastAsia="Arial" w:hAnsi="Arial" w:cs="Arial"/>
          <w:sz w:val="18"/>
          <w:szCs w:val="18"/>
        </w:rPr>
      </w:pPr>
      <w:r>
        <w:rPr>
          <w:rFonts w:ascii="Arial" w:eastAsia="Arial" w:hAnsi="Arial" w:cs="Arial"/>
          <w:sz w:val="18"/>
          <w:szCs w:val="18"/>
        </w:rPr>
        <w:t>L Brands hereby agrees, and hereby causes the relevant member of the L Brands Group</w:t>
      </w:r>
      <w:r>
        <w:rPr>
          <w:rFonts w:ascii="Arial" w:eastAsia="Arial" w:hAnsi="Arial" w:cs="Arial"/>
          <w:sz w:val="18"/>
          <w:szCs w:val="18"/>
        </w:rPr>
        <w:t>, to assign, contribute, convey, transfer and deliver (or shall have assigned, contributed, conveyed, transferred and delivered) to VS, and VS, on behalf of itself or such VS Designee, hereby accepts, assumes and agrees to perform, discharge and fulfill, a</w:t>
      </w:r>
      <w:r>
        <w:rPr>
          <w:rFonts w:ascii="Arial" w:eastAsia="Arial" w:hAnsi="Arial" w:cs="Arial"/>
          <w:sz w:val="18"/>
          <w:szCs w:val="18"/>
        </w:rPr>
        <w:t>ll of the VS Liabilities, if any, and L Brands and VS hereby agree, and hereby cause the relevant member of the VS Group, to assign, contribute, convey, transfer and deliver (or shall have assigned, contributed, conveyed, transferred and delivered) to L Br</w:t>
      </w:r>
      <w:r>
        <w:rPr>
          <w:rFonts w:ascii="Arial" w:eastAsia="Arial" w:hAnsi="Arial" w:cs="Arial"/>
          <w:sz w:val="18"/>
          <w:szCs w:val="18"/>
        </w:rPr>
        <w:t>ands, and L Brands, on behalf of itself or such L Brands Designee, hereby accepts, assumes and agrees to perform, discharge and fulfill, all of the L Brands Liabilities, if any.</w:t>
      </w:r>
    </w:p>
    <w:p w14:paraId="57F15AF8" w14:textId="77777777" w:rsidR="00D1587D" w:rsidRDefault="00D1587D">
      <w:pPr>
        <w:spacing w:line="192" w:lineRule="exact"/>
        <w:rPr>
          <w:rFonts w:ascii="Arial" w:eastAsia="Arial" w:hAnsi="Arial" w:cs="Arial"/>
          <w:sz w:val="18"/>
          <w:szCs w:val="18"/>
        </w:rPr>
      </w:pPr>
    </w:p>
    <w:p w14:paraId="613BC405" w14:textId="77777777" w:rsidR="00D1587D" w:rsidRDefault="00410D07">
      <w:pPr>
        <w:numPr>
          <w:ilvl w:val="0"/>
          <w:numId w:val="16"/>
        </w:numPr>
        <w:tabs>
          <w:tab w:val="left" w:pos="1159"/>
        </w:tabs>
        <w:spacing w:line="259" w:lineRule="auto"/>
        <w:ind w:right="140" w:firstLine="656"/>
        <w:jc w:val="both"/>
        <w:rPr>
          <w:rFonts w:ascii="Arial" w:eastAsia="Arial" w:hAnsi="Arial" w:cs="Arial"/>
          <w:sz w:val="18"/>
          <w:szCs w:val="18"/>
        </w:rPr>
      </w:pPr>
      <w:r>
        <w:rPr>
          <w:rFonts w:ascii="Arial" w:eastAsia="Arial" w:hAnsi="Arial" w:cs="Arial"/>
          <w:sz w:val="18"/>
          <w:szCs w:val="18"/>
        </w:rPr>
        <w:t>To the extent any assignment, contribution, conveyance, transfer, delivery or</w:t>
      </w:r>
      <w:r>
        <w:rPr>
          <w:rFonts w:ascii="Arial" w:eastAsia="Arial" w:hAnsi="Arial" w:cs="Arial"/>
          <w:sz w:val="18"/>
          <w:szCs w:val="18"/>
        </w:rPr>
        <w:t xml:space="preserve"> assumption of any asset or Liability of either Group as of the Distribution Time is not effected in accordance with this Section 2.03 as of the Distribution Time for any reason (including as a result of the failure of the Parties to identify it as being r</w:t>
      </w:r>
      <w:r>
        <w:rPr>
          <w:rFonts w:ascii="Arial" w:eastAsia="Arial" w:hAnsi="Arial" w:cs="Arial"/>
          <w:sz w:val="18"/>
          <w:szCs w:val="18"/>
        </w:rPr>
        <w:t>equired to be transferred pursuant to this Section 2.03, but subject to Section 2.04 and Section 2.06), the relevant Party shall transfer such asset or Liability as promptly thereafter as practicable.</w:t>
      </w:r>
    </w:p>
    <w:p w14:paraId="4CDBCB2F" w14:textId="77777777" w:rsidR="00D1587D" w:rsidRDefault="00D1587D">
      <w:pPr>
        <w:spacing w:line="187" w:lineRule="exact"/>
        <w:rPr>
          <w:sz w:val="20"/>
          <w:szCs w:val="20"/>
        </w:rPr>
      </w:pPr>
    </w:p>
    <w:p w14:paraId="270E9BF9" w14:textId="77777777" w:rsidR="00D1587D" w:rsidRDefault="00410D07">
      <w:pPr>
        <w:spacing w:line="288" w:lineRule="auto"/>
        <w:ind w:firstLine="693"/>
        <w:rPr>
          <w:sz w:val="20"/>
          <w:szCs w:val="20"/>
        </w:rPr>
      </w:pPr>
      <w:r>
        <w:rPr>
          <w:rFonts w:ascii="Arial" w:eastAsia="Arial" w:hAnsi="Arial" w:cs="Arial"/>
          <w:sz w:val="16"/>
          <w:szCs w:val="16"/>
        </w:rPr>
        <w:t>Section 2.04</w:t>
      </w:r>
      <w:r>
        <w:rPr>
          <w:rFonts w:ascii="Arial" w:eastAsia="Arial" w:hAnsi="Arial" w:cs="Arial"/>
          <w:i/>
          <w:iCs/>
          <w:sz w:val="16"/>
          <w:szCs w:val="16"/>
        </w:rPr>
        <w:t>. Restructuring Agreements</w:t>
      </w:r>
      <w:r>
        <w:rPr>
          <w:rFonts w:ascii="Arial" w:eastAsia="Arial" w:hAnsi="Arial" w:cs="Arial"/>
          <w:sz w:val="16"/>
          <w:szCs w:val="16"/>
        </w:rPr>
        <w:t xml:space="preserve">. The </w:t>
      </w:r>
      <w:r>
        <w:rPr>
          <w:rFonts w:ascii="Arial" w:eastAsia="Arial" w:hAnsi="Arial" w:cs="Arial"/>
          <w:sz w:val="16"/>
          <w:szCs w:val="16"/>
        </w:rPr>
        <w:t>transfers of the various entities and the contribution, assignment, transfer, conveyance and delivery of the assets and the acceptance and assumption of the Liabilities contemplated by Section 2.03 and the Restructuring Plan will be effected, in certain ca</w:t>
      </w:r>
      <w:r>
        <w:rPr>
          <w:rFonts w:ascii="Arial" w:eastAsia="Arial" w:hAnsi="Arial" w:cs="Arial"/>
          <w:sz w:val="16"/>
          <w:szCs w:val="16"/>
        </w:rPr>
        <w:t>ses, pursuant to one or more asset transfer agreements, share transfer agreements, business transfer agreements, certificates of demerger and merger and other agreements and instruments (the “</w:t>
      </w:r>
      <w:r>
        <w:rPr>
          <w:rFonts w:ascii="Arial" w:eastAsia="Arial" w:hAnsi="Arial" w:cs="Arial"/>
          <w:b/>
          <w:bCs/>
          <w:sz w:val="16"/>
          <w:szCs w:val="16"/>
        </w:rPr>
        <w:t>Restructuring Agreements</w:t>
      </w:r>
      <w:r>
        <w:rPr>
          <w:rFonts w:ascii="Arial" w:eastAsia="Arial" w:hAnsi="Arial" w:cs="Arial"/>
          <w:sz w:val="16"/>
          <w:szCs w:val="16"/>
        </w:rPr>
        <w:t xml:space="preserve">”); </w:t>
      </w:r>
      <w:r>
        <w:rPr>
          <w:rFonts w:ascii="Arial" w:eastAsia="Arial" w:hAnsi="Arial" w:cs="Arial"/>
          <w:i/>
          <w:iCs/>
          <w:sz w:val="16"/>
          <w:szCs w:val="16"/>
        </w:rPr>
        <w:t>provided</w:t>
      </w:r>
      <w:r>
        <w:rPr>
          <w:rFonts w:ascii="Arial" w:eastAsia="Arial" w:hAnsi="Arial" w:cs="Arial"/>
          <w:sz w:val="16"/>
          <w:szCs w:val="16"/>
        </w:rPr>
        <w:t xml:space="preserve"> that, in each case, it is i</w:t>
      </w:r>
      <w:r>
        <w:rPr>
          <w:rFonts w:ascii="Arial" w:eastAsia="Arial" w:hAnsi="Arial" w:cs="Arial"/>
          <w:sz w:val="16"/>
          <w:szCs w:val="16"/>
        </w:rPr>
        <w:t>ntended that the Restructuring Agreements shall serve purely to effect (i) the legal transfer of the VS Assets or L Brands Assets to the VS Group or the L Brands Group, as applicable, in accordance with the Restructuring Plan or as contemplated pursuant to</w:t>
      </w:r>
      <w:r>
        <w:rPr>
          <w:rFonts w:ascii="Arial" w:eastAsia="Arial" w:hAnsi="Arial" w:cs="Arial"/>
          <w:sz w:val="16"/>
          <w:szCs w:val="16"/>
        </w:rPr>
        <w:t xml:space="preserve"> Section 2.03 and (ii) the acceptance and assumption of the VS Liabilities or the L Brands Liabilities by a member of the VS Group or the L Brands Group, as applicable, in each case, in accordance with the Restructuring Plan or as contemplated pursuant to </w:t>
      </w:r>
      <w:r>
        <w:rPr>
          <w:rFonts w:ascii="Arial" w:eastAsia="Arial" w:hAnsi="Arial" w:cs="Arial"/>
          <w:sz w:val="16"/>
          <w:szCs w:val="16"/>
        </w:rPr>
        <w:t>Section 2.03. Notwithstanding anything in any Restructuring Agreement to the contrary, neither L Brands nor any member of the L Brands Group, on the one hand, nor VS nor any member of the VS Group, on the other hand, shall commence, bring or otherwise init</w:t>
      </w:r>
      <w:r>
        <w:rPr>
          <w:rFonts w:ascii="Arial" w:eastAsia="Arial" w:hAnsi="Arial" w:cs="Arial"/>
          <w:sz w:val="16"/>
          <w:szCs w:val="16"/>
        </w:rPr>
        <w:t>iate any Action under any Restructuring Agreement challenging the legal sufficiency of such Restructuring Agreement.</w:t>
      </w:r>
    </w:p>
    <w:p w14:paraId="76826763" w14:textId="77777777" w:rsidR="00D1587D" w:rsidRDefault="00D1587D">
      <w:pPr>
        <w:spacing w:line="155" w:lineRule="exact"/>
        <w:rPr>
          <w:sz w:val="20"/>
          <w:szCs w:val="20"/>
        </w:rPr>
      </w:pPr>
    </w:p>
    <w:p w14:paraId="03C52932" w14:textId="77777777" w:rsidR="00D1587D" w:rsidRDefault="00410D07">
      <w:pPr>
        <w:ind w:right="60"/>
        <w:jc w:val="center"/>
        <w:rPr>
          <w:sz w:val="20"/>
          <w:szCs w:val="20"/>
        </w:rPr>
      </w:pPr>
      <w:r>
        <w:rPr>
          <w:rFonts w:ascii="Arial" w:eastAsia="Arial" w:hAnsi="Arial" w:cs="Arial"/>
          <w:sz w:val="18"/>
          <w:szCs w:val="18"/>
        </w:rPr>
        <w:t>19</w:t>
      </w:r>
    </w:p>
    <w:p w14:paraId="3DCA09C1" w14:textId="77777777" w:rsidR="00D1587D" w:rsidRDefault="00410D07">
      <w:pPr>
        <w:spacing w:line="20" w:lineRule="exact"/>
        <w:rPr>
          <w:sz w:val="20"/>
          <w:szCs w:val="20"/>
        </w:rPr>
      </w:pPr>
      <w:r>
        <w:rPr>
          <w:noProof/>
          <w:sz w:val="20"/>
          <w:szCs w:val="20"/>
        </w:rPr>
        <w:drawing>
          <wp:anchor distT="0" distB="0" distL="114300" distR="114300" simplePos="0" relativeHeight="251170816" behindDoc="1" locked="0" layoutInCell="0" allowOverlap="1" wp14:anchorId="0BDCDE69" wp14:editId="334D1493">
            <wp:simplePos x="0" y="0"/>
            <wp:positionH relativeFrom="column">
              <wp:posOffset>5080</wp:posOffset>
            </wp:positionH>
            <wp:positionV relativeFrom="paragraph">
              <wp:posOffset>48895</wp:posOffset>
            </wp:positionV>
            <wp:extent cx="7132320" cy="1714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AE4F97F" w14:textId="77777777" w:rsidR="00D1587D" w:rsidRDefault="00D1587D">
      <w:pPr>
        <w:sectPr w:rsidR="00D1587D">
          <w:pgSz w:w="11900" w:h="16838"/>
          <w:pgMar w:top="557" w:right="339" w:bottom="1440" w:left="320" w:header="0" w:footer="0" w:gutter="0"/>
          <w:cols w:space="720" w:equalWidth="0">
            <w:col w:w="11240"/>
          </w:cols>
        </w:sectPr>
      </w:pPr>
    </w:p>
    <w:p w14:paraId="0D444273" w14:textId="77777777" w:rsidR="00D1587D" w:rsidRDefault="00410D07">
      <w:pPr>
        <w:spacing w:line="267" w:lineRule="auto"/>
        <w:ind w:firstLine="693"/>
        <w:rPr>
          <w:sz w:val="20"/>
          <w:szCs w:val="20"/>
        </w:rPr>
      </w:pPr>
      <w:bookmarkStart w:id="28" w:name="page29"/>
      <w:bookmarkEnd w:id="28"/>
      <w:r>
        <w:rPr>
          <w:rFonts w:ascii="Arial" w:eastAsia="Arial" w:hAnsi="Arial" w:cs="Arial"/>
          <w:sz w:val="17"/>
          <w:szCs w:val="17"/>
        </w:rPr>
        <w:t xml:space="preserve">Section 2.05. </w:t>
      </w:r>
      <w:r>
        <w:rPr>
          <w:rFonts w:ascii="Arial" w:eastAsia="Arial" w:hAnsi="Arial" w:cs="Arial"/>
          <w:i/>
          <w:iCs/>
          <w:sz w:val="17"/>
          <w:szCs w:val="17"/>
        </w:rPr>
        <w:t>Shared Contracts</w:t>
      </w:r>
      <w:r>
        <w:rPr>
          <w:rFonts w:ascii="Arial" w:eastAsia="Arial" w:hAnsi="Arial" w:cs="Arial"/>
          <w:sz w:val="17"/>
          <w:szCs w:val="17"/>
        </w:rPr>
        <w:t xml:space="preserve">. (a) Any Contract to be assigned, contributed, conveyed, transferred and </w:t>
      </w:r>
      <w:r>
        <w:rPr>
          <w:rFonts w:ascii="Arial" w:eastAsia="Arial" w:hAnsi="Arial" w:cs="Arial"/>
          <w:sz w:val="17"/>
          <w:szCs w:val="17"/>
        </w:rPr>
        <w:t>delivered to VS in accordance with the Restructuring Plan or as contemplated pursuant to Section 2.03 that does not exclusively relate to the VS Business (each, a “</w:t>
      </w:r>
      <w:r>
        <w:rPr>
          <w:rFonts w:ascii="Arial" w:eastAsia="Arial" w:hAnsi="Arial" w:cs="Arial"/>
          <w:b/>
          <w:bCs/>
          <w:sz w:val="17"/>
          <w:szCs w:val="17"/>
        </w:rPr>
        <w:t>Shared Contract</w:t>
      </w:r>
      <w:r>
        <w:rPr>
          <w:rFonts w:ascii="Arial" w:eastAsia="Arial" w:hAnsi="Arial" w:cs="Arial"/>
          <w:sz w:val="17"/>
          <w:szCs w:val="17"/>
        </w:rPr>
        <w:t>”) shall be assigned, contributed, conveyed, transferred and delivered only w</w:t>
      </w:r>
      <w:r>
        <w:rPr>
          <w:rFonts w:ascii="Arial" w:eastAsia="Arial" w:hAnsi="Arial" w:cs="Arial"/>
          <w:sz w:val="17"/>
          <w:szCs w:val="17"/>
        </w:rPr>
        <w:t>ith respect to (and preserving the meaning of) those parts that relate to the VS Business, to a member of the VS Group, if so assignable, conveyable or transferrable, or appropriately amended (including by entering into a new agreement) prior to, on or aft</w:t>
      </w:r>
      <w:r>
        <w:rPr>
          <w:rFonts w:ascii="Arial" w:eastAsia="Arial" w:hAnsi="Arial" w:cs="Arial"/>
          <w:sz w:val="17"/>
          <w:szCs w:val="17"/>
        </w:rPr>
        <w:t>er the Distribution Date, so that a member of the VS Group shall be entitled to the rights and benefit of those parts of such Shared Contract that relate to the VS Business and shall assume the related Liabilities with respect to such Shared Contract, as c</w:t>
      </w:r>
      <w:r>
        <w:rPr>
          <w:rFonts w:ascii="Arial" w:eastAsia="Arial" w:hAnsi="Arial" w:cs="Arial"/>
          <w:sz w:val="17"/>
          <w:szCs w:val="17"/>
        </w:rPr>
        <w:t xml:space="preserve">ontemplated by Section 2.03; </w:t>
      </w:r>
      <w:r>
        <w:rPr>
          <w:rFonts w:ascii="Arial" w:eastAsia="Arial" w:hAnsi="Arial" w:cs="Arial"/>
          <w:i/>
          <w:iCs/>
          <w:sz w:val="17"/>
          <w:szCs w:val="17"/>
        </w:rPr>
        <w:t>provided</w:t>
      </w:r>
      <w:r>
        <w:rPr>
          <w:rFonts w:ascii="Arial" w:eastAsia="Arial" w:hAnsi="Arial" w:cs="Arial"/>
          <w:sz w:val="17"/>
          <w:szCs w:val="17"/>
        </w:rPr>
        <w:t xml:space="preserve"> that (i) in no event shall any Person be required to assign, contribute, convey, transfer or deliver (or so amend), either in whole or in part, any Shared Contract that is not assignable (or cannot be amended) by its t</w:t>
      </w:r>
      <w:r>
        <w:rPr>
          <w:rFonts w:ascii="Arial" w:eastAsia="Arial" w:hAnsi="Arial" w:cs="Arial"/>
          <w:sz w:val="17"/>
          <w:szCs w:val="17"/>
        </w:rPr>
        <w:t xml:space="preserve">erms without the consent or approval of any other Person and (ii) if any Shared Contract cannot be so partially assigned by its terms or otherwise, or cannot be so amended, without such consent or approval, until such time that such consent or approval is </w:t>
      </w:r>
      <w:r>
        <w:rPr>
          <w:rFonts w:ascii="Arial" w:eastAsia="Arial" w:hAnsi="Arial" w:cs="Arial"/>
          <w:sz w:val="17"/>
          <w:szCs w:val="17"/>
        </w:rPr>
        <w:t>obtained, L Brands will cooperate with VS to establish an agency type or other similar arrangement reasonably satisfactory to L Brands and VS intended to both (A) provide a member of the VS Group, to the fullest extent practicable under such Shared Contrac</w:t>
      </w:r>
      <w:r>
        <w:rPr>
          <w:rFonts w:ascii="Arial" w:eastAsia="Arial" w:hAnsi="Arial" w:cs="Arial"/>
          <w:sz w:val="17"/>
          <w:szCs w:val="17"/>
        </w:rPr>
        <w:t>t, the claims, rights and benefits of those parts that relate to the VS Business and (B) cause such member of the VS Group to bear the related Liabilities thereunder from and after the Distribution in accordance with this Agreement (including by means of a</w:t>
      </w:r>
      <w:r>
        <w:rPr>
          <w:rFonts w:ascii="Arial" w:eastAsia="Arial" w:hAnsi="Arial" w:cs="Arial"/>
          <w:sz w:val="17"/>
          <w:szCs w:val="17"/>
        </w:rPr>
        <w:t xml:space="preserve">ny subcontracting, sublicensing or subleasing arrangement) and in furtherance of the foregoing, VS shall, or shall cause another member of the VS Group to, promptly pay, perform or discharge when due any such Liability arising after the Distribution Time, </w:t>
      </w:r>
      <w:r>
        <w:rPr>
          <w:rFonts w:ascii="Arial" w:eastAsia="Arial" w:hAnsi="Arial" w:cs="Arial"/>
          <w:sz w:val="17"/>
          <w:szCs w:val="17"/>
        </w:rPr>
        <w:t>which shall constitute VS Liabilities for purposes of this Agreement. Nothing in this Section 2.05 shall require any member of the L Brands Group or the VS Group to incur any non-</w:t>
      </w:r>
      <w:r>
        <w:rPr>
          <w:rFonts w:ascii="Arial" w:eastAsia="Arial" w:hAnsi="Arial" w:cs="Arial"/>
          <w:i/>
          <w:iCs/>
          <w:sz w:val="17"/>
          <w:szCs w:val="17"/>
        </w:rPr>
        <w:t>de minimis</w:t>
      </w:r>
      <w:r>
        <w:rPr>
          <w:rFonts w:ascii="Arial" w:eastAsia="Arial" w:hAnsi="Arial" w:cs="Arial"/>
          <w:sz w:val="17"/>
          <w:szCs w:val="17"/>
        </w:rPr>
        <w:t xml:space="preserve"> obligation or grant any non-</w:t>
      </w:r>
      <w:r>
        <w:rPr>
          <w:rFonts w:ascii="Arial" w:eastAsia="Arial" w:hAnsi="Arial" w:cs="Arial"/>
          <w:i/>
          <w:iCs/>
          <w:sz w:val="17"/>
          <w:szCs w:val="17"/>
        </w:rPr>
        <w:t>de minimis</w:t>
      </w:r>
      <w:r>
        <w:rPr>
          <w:rFonts w:ascii="Arial" w:eastAsia="Arial" w:hAnsi="Arial" w:cs="Arial"/>
          <w:sz w:val="17"/>
          <w:szCs w:val="17"/>
        </w:rPr>
        <w:t xml:space="preserve"> concession in order to effe</w:t>
      </w:r>
      <w:r>
        <w:rPr>
          <w:rFonts w:ascii="Arial" w:eastAsia="Arial" w:hAnsi="Arial" w:cs="Arial"/>
          <w:sz w:val="17"/>
          <w:szCs w:val="17"/>
        </w:rPr>
        <w:t>ct any transaction contemplated by this Section 2.05.</w:t>
      </w:r>
    </w:p>
    <w:p w14:paraId="0EB5E9EE" w14:textId="77777777" w:rsidR="00D1587D" w:rsidRDefault="00D1587D">
      <w:pPr>
        <w:spacing w:line="191" w:lineRule="exact"/>
        <w:rPr>
          <w:sz w:val="20"/>
          <w:szCs w:val="20"/>
        </w:rPr>
      </w:pPr>
    </w:p>
    <w:p w14:paraId="73DC131E" w14:textId="77777777" w:rsidR="00D1587D" w:rsidRDefault="00410D07">
      <w:pPr>
        <w:numPr>
          <w:ilvl w:val="0"/>
          <w:numId w:val="17"/>
        </w:numPr>
        <w:tabs>
          <w:tab w:val="left" w:pos="1209"/>
        </w:tabs>
        <w:spacing w:line="275" w:lineRule="auto"/>
        <w:ind w:right="20" w:firstLine="692"/>
        <w:rPr>
          <w:rFonts w:ascii="Arial" w:eastAsia="Arial" w:hAnsi="Arial" w:cs="Arial"/>
          <w:sz w:val="17"/>
          <w:szCs w:val="17"/>
        </w:rPr>
      </w:pPr>
      <w:r>
        <w:rPr>
          <w:rFonts w:ascii="Arial" w:eastAsia="Arial" w:hAnsi="Arial" w:cs="Arial"/>
          <w:sz w:val="17"/>
          <w:szCs w:val="17"/>
        </w:rPr>
        <w:t>For so long as any member of the L Brands Group is party to any Shared Contract and provides any member of the VS Group any claims, rights and benefits of any such Shared Contract pursuant to an arrang</w:t>
      </w:r>
      <w:r>
        <w:rPr>
          <w:rFonts w:ascii="Arial" w:eastAsia="Arial" w:hAnsi="Arial" w:cs="Arial"/>
          <w:sz w:val="17"/>
          <w:szCs w:val="17"/>
        </w:rPr>
        <w:t xml:space="preserve">ement described in Section 2.05(a), such member of the VS Group shall indemnify the L Brands Indemnitees against and shall hold each of them harmless from any and all Liabilities incurred or suffered by any of the L Brands Indemnitees arising out of or in </w:t>
      </w:r>
      <w:r>
        <w:rPr>
          <w:rFonts w:ascii="Arial" w:eastAsia="Arial" w:hAnsi="Arial" w:cs="Arial"/>
          <w:sz w:val="17"/>
          <w:szCs w:val="17"/>
        </w:rPr>
        <w:t>connection with such member of the L Brands Group’s post-Distribution direct or indirect ownership, management or operation of any such Shared Contract (to the extent that such Liabilities relate to the VS Business).</w:t>
      </w:r>
    </w:p>
    <w:p w14:paraId="5CD666EC" w14:textId="77777777" w:rsidR="00D1587D" w:rsidRDefault="00D1587D">
      <w:pPr>
        <w:spacing w:line="163" w:lineRule="exact"/>
        <w:rPr>
          <w:sz w:val="20"/>
          <w:szCs w:val="20"/>
        </w:rPr>
      </w:pPr>
    </w:p>
    <w:p w14:paraId="283763D9" w14:textId="77777777" w:rsidR="00D1587D" w:rsidRDefault="00410D07">
      <w:pPr>
        <w:ind w:right="60"/>
        <w:jc w:val="center"/>
        <w:rPr>
          <w:sz w:val="20"/>
          <w:szCs w:val="20"/>
        </w:rPr>
      </w:pPr>
      <w:r>
        <w:rPr>
          <w:rFonts w:ascii="Arial" w:eastAsia="Arial" w:hAnsi="Arial" w:cs="Arial"/>
          <w:sz w:val="18"/>
          <w:szCs w:val="18"/>
        </w:rPr>
        <w:t>20</w:t>
      </w:r>
    </w:p>
    <w:p w14:paraId="6FFE35D3" w14:textId="77777777" w:rsidR="00D1587D" w:rsidRDefault="00410D07">
      <w:pPr>
        <w:spacing w:line="20" w:lineRule="exact"/>
        <w:rPr>
          <w:sz w:val="20"/>
          <w:szCs w:val="20"/>
        </w:rPr>
      </w:pPr>
      <w:r>
        <w:rPr>
          <w:noProof/>
          <w:sz w:val="20"/>
          <w:szCs w:val="20"/>
        </w:rPr>
        <w:drawing>
          <wp:anchor distT="0" distB="0" distL="114300" distR="114300" simplePos="0" relativeHeight="251171840" behindDoc="1" locked="0" layoutInCell="0" allowOverlap="1" wp14:anchorId="2F1B083F" wp14:editId="3B181F3F">
            <wp:simplePos x="0" y="0"/>
            <wp:positionH relativeFrom="column">
              <wp:posOffset>5080</wp:posOffset>
            </wp:positionH>
            <wp:positionV relativeFrom="paragraph">
              <wp:posOffset>48895</wp:posOffset>
            </wp:positionV>
            <wp:extent cx="7132320" cy="1714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663D020" w14:textId="77777777" w:rsidR="00D1587D" w:rsidRDefault="00D1587D">
      <w:pPr>
        <w:sectPr w:rsidR="00D1587D">
          <w:pgSz w:w="11900" w:h="16838"/>
          <w:pgMar w:top="341" w:right="339" w:bottom="1440" w:left="320" w:header="0" w:footer="0" w:gutter="0"/>
          <w:cols w:space="720" w:equalWidth="0">
            <w:col w:w="11240"/>
          </w:cols>
        </w:sectPr>
      </w:pPr>
    </w:p>
    <w:p w14:paraId="3E340177" w14:textId="77777777" w:rsidR="00D1587D" w:rsidRDefault="00410D07">
      <w:pPr>
        <w:spacing w:line="284" w:lineRule="auto"/>
        <w:ind w:firstLine="693"/>
        <w:rPr>
          <w:sz w:val="20"/>
          <w:szCs w:val="20"/>
        </w:rPr>
      </w:pPr>
      <w:bookmarkStart w:id="29" w:name="page30"/>
      <w:bookmarkEnd w:id="29"/>
      <w:r>
        <w:rPr>
          <w:rFonts w:ascii="Arial" w:eastAsia="Arial" w:hAnsi="Arial" w:cs="Arial"/>
          <w:sz w:val="16"/>
          <w:szCs w:val="16"/>
        </w:rPr>
        <w:t>Section 2.06</w:t>
      </w:r>
      <w:r>
        <w:rPr>
          <w:rFonts w:ascii="Arial" w:eastAsia="Arial" w:hAnsi="Arial" w:cs="Arial"/>
          <w:i/>
          <w:iCs/>
          <w:sz w:val="16"/>
          <w:szCs w:val="16"/>
        </w:rPr>
        <w:t>.</w:t>
      </w:r>
      <w:r>
        <w:rPr>
          <w:rFonts w:ascii="Arial" w:eastAsia="Arial" w:hAnsi="Arial" w:cs="Arial"/>
          <w:i/>
          <w:iCs/>
          <w:sz w:val="16"/>
          <w:szCs w:val="16"/>
        </w:rPr>
        <w:t xml:space="preserve"> Agreement Relating To Consents Necessary To Transfer Assets and Liabilities.</w:t>
      </w:r>
      <w:r>
        <w:rPr>
          <w:rFonts w:ascii="Arial" w:eastAsia="Arial" w:hAnsi="Arial" w:cs="Arial"/>
          <w:sz w:val="16"/>
          <w:szCs w:val="16"/>
        </w:rPr>
        <w:t xml:space="preserve"> Notwithstanding any provision of this Agreement to the contrary, this Agreement shall not constitute an agreement to transfer or assign any asset (including any Contract) or any </w:t>
      </w:r>
      <w:r>
        <w:rPr>
          <w:rFonts w:ascii="Arial" w:eastAsia="Arial" w:hAnsi="Arial" w:cs="Arial"/>
          <w:sz w:val="16"/>
          <w:szCs w:val="16"/>
        </w:rPr>
        <w:t>claim or right or any benefit arising thereunder or resulting therefrom, or to assume any Liability, if such transfer, assignment, or assumption without the consent of a Third Party or a Governmental Authority, would result in a breach, or constitute a def</w:t>
      </w:r>
      <w:r>
        <w:rPr>
          <w:rFonts w:ascii="Arial" w:eastAsia="Arial" w:hAnsi="Arial" w:cs="Arial"/>
          <w:sz w:val="16"/>
          <w:szCs w:val="16"/>
        </w:rPr>
        <w:t>ault (or an event which, with the giving of notice or lapse of time, or both, would become a default), under any Contract, would otherwise adversely affect the rights of a member of the L Brands Group or the VS Group thereunder or would violate any Applica</w:t>
      </w:r>
      <w:r>
        <w:rPr>
          <w:rFonts w:ascii="Arial" w:eastAsia="Arial" w:hAnsi="Arial" w:cs="Arial"/>
          <w:sz w:val="16"/>
          <w:szCs w:val="16"/>
        </w:rPr>
        <w:t>ble Law. L Brands and VS will use their respective commercially reasonable efforts to obtain the consent of any Third Party (including any Governmental Authority), if any, required in connection with the transfer, assignment or assumption pursuant to Secti</w:t>
      </w:r>
      <w:r>
        <w:rPr>
          <w:rFonts w:ascii="Arial" w:eastAsia="Arial" w:hAnsi="Arial" w:cs="Arial"/>
          <w:sz w:val="16"/>
          <w:szCs w:val="16"/>
        </w:rPr>
        <w:t xml:space="preserve">on 2.03 of any such asset or any such claim or right or benefit arising thereunder or to the assumption of any Liability; </w:t>
      </w:r>
      <w:r>
        <w:rPr>
          <w:rFonts w:ascii="Arial" w:eastAsia="Arial" w:hAnsi="Arial" w:cs="Arial"/>
          <w:i/>
          <w:iCs/>
          <w:sz w:val="16"/>
          <w:szCs w:val="16"/>
        </w:rPr>
        <w:t>provided</w:t>
      </w:r>
      <w:r>
        <w:rPr>
          <w:rFonts w:ascii="Arial" w:eastAsia="Arial" w:hAnsi="Arial" w:cs="Arial"/>
          <w:sz w:val="16"/>
          <w:szCs w:val="16"/>
        </w:rPr>
        <w:t xml:space="preserve"> that in no event shall any member of a Group have any Liability whatsoever to any member of the other Group for any failure t</w:t>
      </w:r>
      <w:r>
        <w:rPr>
          <w:rFonts w:ascii="Arial" w:eastAsia="Arial" w:hAnsi="Arial" w:cs="Arial"/>
          <w:sz w:val="16"/>
          <w:szCs w:val="16"/>
        </w:rPr>
        <w:t>o obtain any such consent. If and when such consent is obtained, such transfer, assignment and assumption shall be effected in accordance with the terms of this Agreement and the applicable Ancillary Agreement. During the period in which any transfer, assi</w:t>
      </w:r>
      <w:r>
        <w:rPr>
          <w:rFonts w:ascii="Arial" w:eastAsia="Arial" w:hAnsi="Arial" w:cs="Arial"/>
          <w:sz w:val="16"/>
          <w:szCs w:val="16"/>
        </w:rPr>
        <w:t xml:space="preserve">gnment or assumption is delayed pursuant to this Section 2.06 as a result of the absence of a required consent, the Party (or relevant member in its Group) retaining such asset, claim or right shall thereafter hold (or shall cause such member in its Group </w:t>
      </w:r>
      <w:r>
        <w:rPr>
          <w:rFonts w:ascii="Arial" w:eastAsia="Arial" w:hAnsi="Arial" w:cs="Arial"/>
          <w:sz w:val="16"/>
          <w:szCs w:val="16"/>
        </w:rPr>
        <w:t>to hold) such asset, claim or right for the use and benefit of the Party (or relevant member in its Group) entitled thereto (at the expense of the Person entitled thereto) and the Party intended to assume such Liability shall, or shall cause the applicable</w:t>
      </w:r>
      <w:r>
        <w:rPr>
          <w:rFonts w:ascii="Arial" w:eastAsia="Arial" w:hAnsi="Arial" w:cs="Arial"/>
          <w:sz w:val="16"/>
          <w:szCs w:val="16"/>
        </w:rPr>
        <w:t xml:space="preserve"> member of its Group to, pay, hold harmless or reimburse the Party (or the relevant member of its Group) retaining such Liability for all amounts paid, incurred in connection with or arising out of the retention of such Liability. In addition, the Party re</w:t>
      </w:r>
      <w:r>
        <w:rPr>
          <w:rFonts w:ascii="Arial" w:eastAsia="Arial" w:hAnsi="Arial" w:cs="Arial"/>
          <w:sz w:val="16"/>
          <w:szCs w:val="16"/>
        </w:rPr>
        <w:t>taining such asset, claim or right, or such Liability (or relevant member of its Group) shall (or shall cause such member in its Group to), insofar as reasonably possible and to the extent permitted by Applicable Law, take such actions as may be reasonably</w:t>
      </w:r>
      <w:r>
        <w:rPr>
          <w:rFonts w:ascii="Arial" w:eastAsia="Arial" w:hAnsi="Arial" w:cs="Arial"/>
          <w:sz w:val="16"/>
          <w:szCs w:val="16"/>
        </w:rPr>
        <w:t xml:space="preserve"> requested by the Party to which such asset, claim or right, or such Liability, is to be transferred or assumed in order to place such Party, insofar as reasonably possible, in the same position as if such asset, claim or right, or such Liability, had been</w:t>
      </w:r>
      <w:r>
        <w:rPr>
          <w:rFonts w:ascii="Arial" w:eastAsia="Arial" w:hAnsi="Arial" w:cs="Arial"/>
          <w:sz w:val="16"/>
          <w:szCs w:val="16"/>
        </w:rPr>
        <w:t xml:space="preserve"> transferred or assumed on or prior to the Distribution Time as contemplated hereby and so that all the benefits and burdens relating to such asset, claim or right, or such Liability, including possession, use, risk of loss, potential for gain, and dominio</w:t>
      </w:r>
      <w:r>
        <w:rPr>
          <w:rFonts w:ascii="Arial" w:eastAsia="Arial" w:hAnsi="Arial" w:cs="Arial"/>
          <w:sz w:val="16"/>
          <w:szCs w:val="16"/>
        </w:rPr>
        <w:t>n, control and command over such asset, claim or right, or such Liability, are to inure from and after the Distribution Time to the relevant member of the L Brands Group or the VS Group, as the case may be, entitled to the receipt of such asset, claim or r</w:t>
      </w:r>
      <w:r>
        <w:rPr>
          <w:rFonts w:ascii="Arial" w:eastAsia="Arial" w:hAnsi="Arial" w:cs="Arial"/>
          <w:sz w:val="16"/>
          <w:szCs w:val="16"/>
        </w:rPr>
        <w:t>ight, or required to assume such Liability. Nothing in this Section 2.06 shall require any member of the L Brands Group or the VS Group to incur any non-</w:t>
      </w:r>
      <w:r>
        <w:rPr>
          <w:rFonts w:ascii="Arial" w:eastAsia="Arial" w:hAnsi="Arial" w:cs="Arial"/>
          <w:i/>
          <w:iCs/>
          <w:sz w:val="16"/>
          <w:szCs w:val="16"/>
        </w:rPr>
        <w:t>de minimis</w:t>
      </w:r>
      <w:r>
        <w:rPr>
          <w:rFonts w:ascii="Arial" w:eastAsia="Arial" w:hAnsi="Arial" w:cs="Arial"/>
          <w:sz w:val="16"/>
          <w:szCs w:val="16"/>
        </w:rPr>
        <w:t xml:space="preserve"> obligation or grant any non-</w:t>
      </w:r>
      <w:r>
        <w:rPr>
          <w:rFonts w:ascii="Arial" w:eastAsia="Arial" w:hAnsi="Arial" w:cs="Arial"/>
          <w:i/>
          <w:iCs/>
          <w:sz w:val="16"/>
          <w:szCs w:val="16"/>
        </w:rPr>
        <w:t>de minimis</w:t>
      </w:r>
      <w:r>
        <w:rPr>
          <w:rFonts w:ascii="Arial" w:eastAsia="Arial" w:hAnsi="Arial" w:cs="Arial"/>
          <w:sz w:val="16"/>
          <w:szCs w:val="16"/>
        </w:rPr>
        <w:t xml:space="preserve"> concession in order to effect any transaction contemp</w:t>
      </w:r>
      <w:r>
        <w:rPr>
          <w:rFonts w:ascii="Arial" w:eastAsia="Arial" w:hAnsi="Arial" w:cs="Arial"/>
          <w:sz w:val="16"/>
          <w:szCs w:val="16"/>
        </w:rPr>
        <w:t>lated by this Section 2.06.</w:t>
      </w:r>
    </w:p>
    <w:p w14:paraId="6C2901A7" w14:textId="77777777" w:rsidR="00D1587D" w:rsidRDefault="00D1587D">
      <w:pPr>
        <w:spacing w:line="379" w:lineRule="exact"/>
        <w:rPr>
          <w:sz w:val="20"/>
          <w:szCs w:val="20"/>
        </w:rPr>
      </w:pPr>
    </w:p>
    <w:p w14:paraId="7C31522F" w14:textId="77777777" w:rsidR="00D1587D" w:rsidRDefault="00410D07">
      <w:pPr>
        <w:ind w:right="40"/>
        <w:jc w:val="center"/>
        <w:rPr>
          <w:sz w:val="20"/>
          <w:szCs w:val="20"/>
        </w:rPr>
      </w:pPr>
      <w:r>
        <w:rPr>
          <w:rFonts w:ascii="Arial" w:eastAsia="Arial" w:hAnsi="Arial" w:cs="Arial"/>
          <w:sz w:val="18"/>
          <w:szCs w:val="18"/>
        </w:rPr>
        <w:t>21</w:t>
      </w:r>
    </w:p>
    <w:p w14:paraId="0B2AD248" w14:textId="77777777" w:rsidR="00D1587D" w:rsidRDefault="00410D07">
      <w:pPr>
        <w:spacing w:line="20" w:lineRule="exact"/>
        <w:rPr>
          <w:sz w:val="20"/>
          <w:szCs w:val="20"/>
        </w:rPr>
      </w:pPr>
      <w:r>
        <w:rPr>
          <w:noProof/>
          <w:sz w:val="20"/>
          <w:szCs w:val="20"/>
        </w:rPr>
        <w:drawing>
          <wp:anchor distT="0" distB="0" distL="114300" distR="114300" simplePos="0" relativeHeight="251172864" behindDoc="1" locked="0" layoutInCell="0" allowOverlap="1" wp14:anchorId="27737CDE" wp14:editId="148A2758">
            <wp:simplePos x="0" y="0"/>
            <wp:positionH relativeFrom="column">
              <wp:posOffset>5080</wp:posOffset>
            </wp:positionH>
            <wp:positionV relativeFrom="paragraph">
              <wp:posOffset>48895</wp:posOffset>
            </wp:positionV>
            <wp:extent cx="7132320" cy="1714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4D1DBB7" w14:textId="77777777" w:rsidR="00D1587D" w:rsidRDefault="00D1587D">
      <w:pPr>
        <w:sectPr w:rsidR="00D1587D">
          <w:pgSz w:w="11900" w:h="16838"/>
          <w:pgMar w:top="341" w:right="359" w:bottom="1440" w:left="320" w:header="0" w:footer="0" w:gutter="0"/>
          <w:cols w:space="720" w:equalWidth="0">
            <w:col w:w="11220"/>
          </w:cols>
        </w:sectPr>
      </w:pPr>
    </w:p>
    <w:p w14:paraId="01E6C0DE" w14:textId="77777777" w:rsidR="00D1587D" w:rsidRDefault="00410D07">
      <w:pPr>
        <w:spacing w:line="301" w:lineRule="auto"/>
        <w:ind w:firstLine="648"/>
        <w:rPr>
          <w:sz w:val="20"/>
          <w:szCs w:val="20"/>
        </w:rPr>
      </w:pPr>
      <w:bookmarkStart w:id="30" w:name="page31"/>
      <w:bookmarkEnd w:id="30"/>
      <w:r>
        <w:rPr>
          <w:rFonts w:ascii="Arial" w:eastAsia="Arial" w:hAnsi="Arial" w:cs="Arial"/>
          <w:sz w:val="16"/>
          <w:szCs w:val="16"/>
        </w:rPr>
        <w:t xml:space="preserve">Section 2.07. </w:t>
      </w:r>
      <w:r>
        <w:rPr>
          <w:rFonts w:ascii="Arial" w:eastAsia="Arial" w:hAnsi="Arial" w:cs="Arial"/>
          <w:i/>
          <w:iCs/>
          <w:sz w:val="16"/>
          <w:szCs w:val="16"/>
        </w:rPr>
        <w:t>Intercompany Accounts.</w:t>
      </w:r>
      <w:r>
        <w:rPr>
          <w:rFonts w:ascii="Arial" w:eastAsia="Arial" w:hAnsi="Arial" w:cs="Arial"/>
          <w:sz w:val="16"/>
          <w:szCs w:val="16"/>
        </w:rPr>
        <w:t xml:space="preserve"> The Parties shall settle or extinguish on or prior to the Distribution Date all intercompany receivables, payables and other balances, in each case, that arise prior to the Distribution Time between members of the L Brands Group, on the one hand, and memb</w:t>
      </w:r>
      <w:r>
        <w:rPr>
          <w:rFonts w:ascii="Arial" w:eastAsia="Arial" w:hAnsi="Arial" w:cs="Arial"/>
          <w:sz w:val="16"/>
          <w:szCs w:val="16"/>
        </w:rPr>
        <w:t>ers of the VS Group, on the other hand (“</w:t>
      </w:r>
      <w:r>
        <w:rPr>
          <w:rFonts w:ascii="Arial" w:eastAsia="Arial" w:hAnsi="Arial" w:cs="Arial"/>
          <w:b/>
          <w:bCs/>
          <w:sz w:val="16"/>
          <w:szCs w:val="16"/>
        </w:rPr>
        <w:t>Intercompany Accounts</w:t>
      </w:r>
      <w:r>
        <w:rPr>
          <w:rFonts w:ascii="Arial" w:eastAsia="Arial" w:hAnsi="Arial" w:cs="Arial"/>
          <w:sz w:val="16"/>
          <w:szCs w:val="16"/>
        </w:rPr>
        <w:t xml:space="preserve">”), in each case without any further Liability of any member of the L Brands Group to any member of the VS Group thereunder, or any further Liability of any member of the VS Group to any </w:t>
      </w:r>
      <w:r>
        <w:rPr>
          <w:rFonts w:ascii="Arial" w:eastAsia="Arial" w:hAnsi="Arial" w:cs="Arial"/>
          <w:sz w:val="16"/>
          <w:szCs w:val="16"/>
        </w:rPr>
        <w:t>member of the L Brands Group thereunder.</w:t>
      </w:r>
    </w:p>
    <w:p w14:paraId="0C81BFC5" w14:textId="77777777" w:rsidR="00D1587D" w:rsidRDefault="00D1587D">
      <w:pPr>
        <w:spacing w:line="157" w:lineRule="exact"/>
        <w:rPr>
          <w:sz w:val="20"/>
          <w:szCs w:val="20"/>
        </w:rPr>
      </w:pPr>
    </w:p>
    <w:p w14:paraId="68A6A81B" w14:textId="77777777" w:rsidR="00D1587D" w:rsidRDefault="00410D07">
      <w:pPr>
        <w:spacing w:line="255" w:lineRule="auto"/>
        <w:ind w:right="80" w:firstLine="693"/>
        <w:rPr>
          <w:sz w:val="20"/>
          <w:szCs w:val="20"/>
        </w:rPr>
      </w:pPr>
      <w:r>
        <w:rPr>
          <w:rFonts w:ascii="Arial" w:eastAsia="Arial" w:hAnsi="Arial" w:cs="Arial"/>
          <w:sz w:val="18"/>
          <w:szCs w:val="18"/>
        </w:rPr>
        <w:t>Section 2.08</w:t>
      </w:r>
      <w:r>
        <w:rPr>
          <w:rFonts w:ascii="Arial" w:eastAsia="Arial" w:hAnsi="Arial" w:cs="Arial"/>
          <w:i/>
          <w:iCs/>
          <w:sz w:val="18"/>
          <w:szCs w:val="18"/>
        </w:rPr>
        <w:t>. Intercompany Agreements.</w:t>
      </w:r>
      <w:r>
        <w:rPr>
          <w:rFonts w:ascii="Arial" w:eastAsia="Arial" w:hAnsi="Arial" w:cs="Arial"/>
          <w:sz w:val="18"/>
          <w:szCs w:val="18"/>
        </w:rPr>
        <w:t xml:space="preserve"> (a) Except as set forth in Section 2.08(b), all Contracts between members of the L Brands Group, on the one hand, and members of the VS Group, on the other hand, in effect imm</w:t>
      </w:r>
      <w:r>
        <w:rPr>
          <w:rFonts w:ascii="Arial" w:eastAsia="Arial" w:hAnsi="Arial" w:cs="Arial"/>
          <w:sz w:val="18"/>
          <w:szCs w:val="18"/>
        </w:rPr>
        <w:t>ediately prior to the Distribution are hereby agreed by L Brands (on behalf of itself and each member of the L Brands Group) and by VS (on behalf of itself and each member of the VS Group) to be terminated, cancelled and of no further force and effect from</w:t>
      </w:r>
      <w:r>
        <w:rPr>
          <w:rFonts w:ascii="Arial" w:eastAsia="Arial" w:hAnsi="Arial" w:cs="Arial"/>
          <w:sz w:val="18"/>
          <w:szCs w:val="18"/>
        </w:rPr>
        <w:t xml:space="preserve"> and after the Distribution Time (including any provision thereof that purports to survive termination) without any further Liability to any party thereto. Each Party shall, at the reasonable request of the other Party, take, or cause to be taken, such oth</w:t>
      </w:r>
      <w:r>
        <w:rPr>
          <w:rFonts w:ascii="Arial" w:eastAsia="Arial" w:hAnsi="Arial" w:cs="Arial"/>
          <w:sz w:val="18"/>
          <w:szCs w:val="18"/>
        </w:rPr>
        <w:t>er actions as may be necessary to effect the foregoing.</w:t>
      </w:r>
    </w:p>
    <w:p w14:paraId="5C8C05D7" w14:textId="77777777" w:rsidR="00D1587D" w:rsidRDefault="00D1587D">
      <w:pPr>
        <w:spacing w:line="192" w:lineRule="exact"/>
        <w:rPr>
          <w:sz w:val="20"/>
          <w:szCs w:val="20"/>
        </w:rPr>
      </w:pPr>
    </w:p>
    <w:p w14:paraId="02C8E532" w14:textId="77777777" w:rsidR="00D1587D" w:rsidRDefault="00410D07">
      <w:pPr>
        <w:numPr>
          <w:ilvl w:val="0"/>
          <w:numId w:val="18"/>
        </w:numPr>
        <w:tabs>
          <w:tab w:val="left" w:pos="1169"/>
        </w:tabs>
        <w:spacing w:line="257" w:lineRule="auto"/>
        <w:ind w:right="100" w:firstLine="656"/>
        <w:rPr>
          <w:rFonts w:ascii="Arial" w:eastAsia="Arial" w:hAnsi="Arial" w:cs="Arial"/>
          <w:sz w:val="18"/>
          <w:szCs w:val="18"/>
        </w:rPr>
      </w:pPr>
      <w:r>
        <w:rPr>
          <w:rFonts w:ascii="Arial" w:eastAsia="Arial" w:hAnsi="Arial" w:cs="Arial"/>
          <w:sz w:val="18"/>
          <w:szCs w:val="18"/>
        </w:rPr>
        <w:t xml:space="preserve">The provisions of Section 2.08(a) shall not apply to any of the following Contracts: (i) this Agreement and the Ancillary Agreements (and each other Contract expressly contemplated by this Agreement </w:t>
      </w:r>
      <w:r>
        <w:rPr>
          <w:rFonts w:ascii="Arial" w:eastAsia="Arial" w:hAnsi="Arial" w:cs="Arial"/>
          <w:sz w:val="18"/>
          <w:szCs w:val="18"/>
        </w:rPr>
        <w:t>or any Ancillary Agreement (A) to be entered into by any of the Parties or any of the members of their respective Groups or (B) to survive after the Distribution Time); (ii) any Contract to which any Person, other than solely the Parties and the members of</w:t>
      </w:r>
      <w:r>
        <w:rPr>
          <w:rFonts w:ascii="Arial" w:eastAsia="Arial" w:hAnsi="Arial" w:cs="Arial"/>
          <w:sz w:val="18"/>
          <w:szCs w:val="18"/>
        </w:rPr>
        <w:t xml:space="preserve"> their respective Groups is a party; (iii) the Contracts set forth on Schedule 2.08(b); (iv) any Shared Contracts; and (v) the Intercompany Accounts, which shall be settled in the manner contemplated by Section 2.07.</w:t>
      </w:r>
    </w:p>
    <w:p w14:paraId="700D6BB4" w14:textId="77777777" w:rsidR="00D1587D" w:rsidRDefault="00D1587D">
      <w:pPr>
        <w:spacing w:line="188" w:lineRule="exact"/>
        <w:rPr>
          <w:sz w:val="20"/>
          <w:szCs w:val="20"/>
        </w:rPr>
      </w:pPr>
    </w:p>
    <w:p w14:paraId="4DE9CF9A" w14:textId="77777777" w:rsidR="00D1587D" w:rsidRDefault="00410D07">
      <w:pPr>
        <w:spacing w:line="272" w:lineRule="auto"/>
        <w:ind w:right="80" w:firstLine="693"/>
        <w:rPr>
          <w:sz w:val="20"/>
          <w:szCs w:val="20"/>
        </w:rPr>
      </w:pPr>
      <w:r>
        <w:rPr>
          <w:rFonts w:ascii="Arial" w:eastAsia="Arial" w:hAnsi="Arial" w:cs="Arial"/>
          <w:sz w:val="17"/>
          <w:szCs w:val="17"/>
        </w:rPr>
        <w:t>Section 2.09</w:t>
      </w:r>
      <w:r>
        <w:rPr>
          <w:rFonts w:ascii="Arial" w:eastAsia="Arial" w:hAnsi="Arial" w:cs="Arial"/>
          <w:i/>
          <w:iCs/>
          <w:sz w:val="17"/>
          <w:szCs w:val="17"/>
        </w:rPr>
        <w:t>. Bank Accounts; Cash Bala</w:t>
      </w:r>
      <w:r>
        <w:rPr>
          <w:rFonts w:ascii="Arial" w:eastAsia="Arial" w:hAnsi="Arial" w:cs="Arial"/>
          <w:i/>
          <w:iCs/>
          <w:sz w:val="17"/>
          <w:szCs w:val="17"/>
        </w:rPr>
        <w:t>nces.</w:t>
      </w:r>
      <w:r>
        <w:rPr>
          <w:rFonts w:ascii="Arial" w:eastAsia="Arial" w:hAnsi="Arial" w:cs="Arial"/>
          <w:sz w:val="17"/>
          <w:szCs w:val="17"/>
        </w:rPr>
        <w:t xml:space="preserve"> (a) L Brands and VS shall, and shall cause the members of their respective Groups to, use reasonable best efforts such that, on or prior to the Distribution Time, the L Brands Group and the VS Group maintain separate bank accounts and separate cash m</w:t>
      </w:r>
      <w:r>
        <w:rPr>
          <w:rFonts w:ascii="Arial" w:eastAsia="Arial" w:hAnsi="Arial" w:cs="Arial"/>
          <w:sz w:val="17"/>
          <w:szCs w:val="17"/>
        </w:rPr>
        <w:t>anagement processes. Without limiting the generality of the foregoing, L Brands and VS shall use reasonable best efforts to, and shall cause the members of their respective Groups to use reasonable best efforts to, effective prior to the Distribution Time,</w:t>
      </w:r>
      <w:r>
        <w:rPr>
          <w:rFonts w:ascii="Arial" w:eastAsia="Arial" w:hAnsi="Arial" w:cs="Arial"/>
          <w:sz w:val="17"/>
          <w:szCs w:val="17"/>
        </w:rPr>
        <w:t xml:space="preserve"> (i) remove and replace the signatories of any bank or brokerage account owned by VS or any other member of the VS Group as of the Distribution Time with individuals designated by VS and (ii) if requested by L Brands, remove and replace the signatories of </w:t>
      </w:r>
      <w:r>
        <w:rPr>
          <w:rFonts w:ascii="Arial" w:eastAsia="Arial" w:hAnsi="Arial" w:cs="Arial"/>
          <w:sz w:val="17"/>
          <w:szCs w:val="17"/>
        </w:rPr>
        <w:t>any bank or brokerage account owned by L Brands or any other member of the L Brands Group as of the Distribution Time with individuals designated by L Brands</w:t>
      </w:r>
    </w:p>
    <w:p w14:paraId="1DCE376A" w14:textId="77777777" w:rsidR="00D1587D" w:rsidRDefault="00D1587D">
      <w:pPr>
        <w:spacing w:line="164" w:lineRule="exact"/>
        <w:rPr>
          <w:sz w:val="20"/>
          <w:szCs w:val="20"/>
        </w:rPr>
      </w:pPr>
    </w:p>
    <w:p w14:paraId="0B30A9A3" w14:textId="77777777" w:rsidR="00D1587D" w:rsidRDefault="00410D07">
      <w:pPr>
        <w:ind w:right="40"/>
        <w:jc w:val="center"/>
        <w:rPr>
          <w:sz w:val="20"/>
          <w:szCs w:val="20"/>
        </w:rPr>
      </w:pPr>
      <w:r>
        <w:rPr>
          <w:rFonts w:ascii="Arial" w:eastAsia="Arial" w:hAnsi="Arial" w:cs="Arial"/>
          <w:sz w:val="18"/>
          <w:szCs w:val="18"/>
        </w:rPr>
        <w:t>22</w:t>
      </w:r>
    </w:p>
    <w:p w14:paraId="64E89AAB" w14:textId="77777777" w:rsidR="00D1587D" w:rsidRDefault="00410D07">
      <w:pPr>
        <w:spacing w:line="20" w:lineRule="exact"/>
        <w:rPr>
          <w:sz w:val="20"/>
          <w:szCs w:val="20"/>
        </w:rPr>
      </w:pPr>
      <w:r>
        <w:rPr>
          <w:noProof/>
          <w:sz w:val="20"/>
          <w:szCs w:val="20"/>
        </w:rPr>
        <w:drawing>
          <wp:anchor distT="0" distB="0" distL="114300" distR="114300" simplePos="0" relativeHeight="251173888" behindDoc="1" locked="0" layoutInCell="0" allowOverlap="1" wp14:anchorId="13141484" wp14:editId="0463D29D">
            <wp:simplePos x="0" y="0"/>
            <wp:positionH relativeFrom="column">
              <wp:posOffset>5080</wp:posOffset>
            </wp:positionH>
            <wp:positionV relativeFrom="paragraph">
              <wp:posOffset>48895</wp:posOffset>
            </wp:positionV>
            <wp:extent cx="7132320" cy="1714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A8284C3" w14:textId="77777777" w:rsidR="00D1587D" w:rsidRDefault="00D1587D">
      <w:pPr>
        <w:sectPr w:rsidR="00D1587D">
          <w:pgSz w:w="11900" w:h="16838"/>
          <w:pgMar w:top="341" w:right="359" w:bottom="1440" w:left="320" w:header="0" w:footer="0" w:gutter="0"/>
          <w:cols w:space="720" w:equalWidth="0">
            <w:col w:w="11220"/>
          </w:cols>
        </w:sectPr>
      </w:pPr>
    </w:p>
    <w:p w14:paraId="0C2C033C" w14:textId="77777777" w:rsidR="00D1587D" w:rsidRDefault="00410D07">
      <w:pPr>
        <w:numPr>
          <w:ilvl w:val="0"/>
          <w:numId w:val="19"/>
        </w:numPr>
        <w:tabs>
          <w:tab w:val="left" w:pos="1169"/>
        </w:tabs>
        <w:spacing w:line="259" w:lineRule="auto"/>
        <w:ind w:right="100" w:firstLine="656"/>
        <w:jc w:val="both"/>
        <w:rPr>
          <w:rFonts w:ascii="Arial" w:eastAsia="Arial" w:hAnsi="Arial" w:cs="Arial"/>
          <w:sz w:val="18"/>
          <w:szCs w:val="18"/>
        </w:rPr>
      </w:pPr>
      <w:bookmarkStart w:id="31" w:name="page32"/>
      <w:bookmarkEnd w:id="31"/>
      <w:r>
        <w:rPr>
          <w:rFonts w:ascii="Arial" w:eastAsia="Arial" w:hAnsi="Arial" w:cs="Arial"/>
          <w:sz w:val="18"/>
          <w:szCs w:val="18"/>
        </w:rPr>
        <w:t>With respect to any outstanding checks issued or payments initiated by L</w:t>
      </w:r>
      <w:r>
        <w:rPr>
          <w:rFonts w:ascii="Arial" w:eastAsia="Arial" w:hAnsi="Arial" w:cs="Arial"/>
          <w:sz w:val="18"/>
          <w:szCs w:val="18"/>
        </w:rPr>
        <w:t xml:space="preserve"> Brands, VS, or any of their respective Subsidiaries prior to the Distribution Time, such outstanding checks and payments shall be honored following the Distribution by the Person or Group owning the account from which the payment was initiated, and such P</w:t>
      </w:r>
      <w:r>
        <w:rPr>
          <w:rFonts w:ascii="Arial" w:eastAsia="Arial" w:hAnsi="Arial" w:cs="Arial"/>
          <w:sz w:val="18"/>
          <w:szCs w:val="18"/>
        </w:rPr>
        <w:t>erson or Group owning such account shall not have any claim with respect to such check or payment from the members of the other Group.</w:t>
      </w:r>
    </w:p>
    <w:p w14:paraId="0F84D8D6" w14:textId="77777777" w:rsidR="00D1587D" w:rsidRDefault="00D1587D">
      <w:pPr>
        <w:spacing w:line="186" w:lineRule="exact"/>
        <w:rPr>
          <w:rFonts w:ascii="Arial" w:eastAsia="Arial" w:hAnsi="Arial" w:cs="Arial"/>
          <w:sz w:val="18"/>
          <w:szCs w:val="18"/>
        </w:rPr>
      </w:pPr>
    </w:p>
    <w:p w14:paraId="767F3A84" w14:textId="77777777" w:rsidR="00D1587D" w:rsidRDefault="00410D07">
      <w:pPr>
        <w:numPr>
          <w:ilvl w:val="0"/>
          <w:numId w:val="19"/>
        </w:numPr>
        <w:tabs>
          <w:tab w:val="left" w:pos="1153"/>
        </w:tabs>
        <w:spacing w:line="271" w:lineRule="auto"/>
        <w:ind w:right="60" w:firstLine="656"/>
        <w:rPr>
          <w:rFonts w:ascii="Arial" w:eastAsia="Arial" w:hAnsi="Arial" w:cs="Arial"/>
          <w:sz w:val="17"/>
          <w:szCs w:val="17"/>
        </w:rPr>
      </w:pPr>
      <w:r>
        <w:rPr>
          <w:rFonts w:ascii="Arial" w:eastAsia="Arial" w:hAnsi="Arial" w:cs="Arial"/>
          <w:sz w:val="17"/>
          <w:szCs w:val="17"/>
        </w:rPr>
        <w:t xml:space="preserve">As between L Brands and VS (and the members of their respective Groups) all payments received after the </w:t>
      </w:r>
      <w:r>
        <w:rPr>
          <w:rFonts w:ascii="Arial" w:eastAsia="Arial" w:hAnsi="Arial" w:cs="Arial"/>
          <w:sz w:val="17"/>
          <w:szCs w:val="17"/>
        </w:rPr>
        <w:t>Distribution Time by either Party (or member of its Group) that relate to a business, asset or Liability of the other Party (or member of its Group), shall be held by such Party for the use and benefit and at the expense of the Party entitled thereto. Each</w:t>
      </w:r>
      <w:r>
        <w:rPr>
          <w:rFonts w:ascii="Arial" w:eastAsia="Arial" w:hAnsi="Arial" w:cs="Arial"/>
          <w:sz w:val="17"/>
          <w:szCs w:val="17"/>
        </w:rPr>
        <w:t xml:space="preserve"> Party shall maintain an accounting of any such payments, and the Parties shall have a monthly reconciliation, whereby all such payments received by each Party are calculated and the net amount owed to L Brands or VS, as applicable, shall be paid over with</w:t>
      </w:r>
      <w:r>
        <w:rPr>
          <w:rFonts w:ascii="Arial" w:eastAsia="Arial" w:hAnsi="Arial" w:cs="Arial"/>
          <w:sz w:val="17"/>
          <w:szCs w:val="17"/>
        </w:rPr>
        <w:t xml:space="preserve"> a mutual right of set-off. If at any time the net amount owed to either Party exceeds $500,000, an interim payment of such net amount owed shall be made to the Party entitled thereto within five (5) Business Days of such amount exceeding $500,000. Notwith</w:t>
      </w:r>
      <w:r>
        <w:rPr>
          <w:rFonts w:ascii="Arial" w:eastAsia="Arial" w:hAnsi="Arial" w:cs="Arial"/>
          <w:sz w:val="17"/>
          <w:szCs w:val="17"/>
        </w:rPr>
        <w:t>standing the foregoing, neither L Brands nor VS shall act as collection agent for the other Party, nor shall either Party act as surety or endorser with respect to non-sufficient funds checks or funds to be returned in a bankruptcy or fraudulent conveyance</w:t>
      </w:r>
      <w:r>
        <w:rPr>
          <w:rFonts w:ascii="Arial" w:eastAsia="Arial" w:hAnsi="Arial" w:cs="Arial"/>
          <w:sz w:val="17"/>
          <w:szCs w:val="17"/>
        </w:rPr>
        <w:t xml:space="preserve"> action.</w:t>
      </w:r>
    </w:p>
    <w:p w14:paraId="09F4E3AD" w14:textId="77777777" w:rsidR="00D1587D" w:rsidRDefault="00D1587D">
      <w:pPr>
        <w:spacing w:line="178" w:lineRule="exact"/>
        <w:rPr>
          <w:sz w:val="20"/>
          <w:szCs w:val="20"/>
        </w:rPr>
      </w:pPr>
    </w:p>
    <w:p w14:paraId="12CF11EF" w14:textId="77777777" w:rsidR="00D1587D" w:rsidRDefault="00410D07">
      <w:pPr>
        <w:spacing w:line="283" w:lineRule="auto"/>
        <w:ind w:firstLine="648"/>
        <w:rPr>
          <w:sz w:val="20"/>
          <w:szCs w:val="20"/>
        </w:rPr>
      </w:pPr>
      <w:r>
        <w:rPr>
          <w:rFonts w:ascii="Arial" w:eastAsia="Arial" w:hAnsi="Arial" w:cs="Arial"/>
          <w:sz w:val="16"/>
          <w:szCs w:val="16"/>
        </w:rPr>
        <w:t xml:space="preserve">Section 2.10. </w:t>
      </w:r>
      <w:r>
        <w:rPr>
          <w:rFonts w:ascii="Arial" w:eastAsia="Arial" w:hAnsi="Arial" w:cs="Arial"/>
          <w:i/>
          <w:iCs/>
          <w:sz w:val="16"/>
          <w:szCs w:val="16"/>
        </w:rPr>
        <w:t>Replacement of Guarantees</w:t>
      </w:r>
      <w:r>
        <w:rPr>
          <w:rFonts w:ascii="Arial" w:eastAsia="Arial" w:hAnsi="Arial" w:cs="Arial"/>
          <w:sz w:val="16"/>
          <w:szCs w:val="16"/>
        </w:rPr>
        <w:t xml:space="preserve">. (a) L Brands and VS shall each use commercially reasonable efforts to, and shall cause the members of their respective Groups to use commercially reasonable efforts to, effective as of the </w:t>
      </w:r>
      <w:r>
        <w:rPr>
          <w:rFonts w:ascii="Arial" w:eastAsia="Arial" w:hAnsi="Arial" w:cs="Arial"/>
          <w:sz w:val="16"/>
          <w:szCs w:val="16"/>
        </w:rPr>
        <w:t>Distribution Time, terminate or cause a member of the VS Group to be substituted in all respects for a member of the L Brands Group with respect to, and for the members of the L Brands Group, as applicable, to be otherwise removed or released from, all obl</w:t>
      </w:r>
      <w:r>
        <w:rPr>
          <w:rFonts w:ascii="Arial" w:eastAsia="Arial" w:hAnsi="Arial" w:cs="Arial"/>
          <w:sz w:val="16"/>
          <w:szCs w:val="16"/>
        </w:rPr>
        <w:t xml:space="preserve">igations under the agreements set forth on Schedule 2.10(a) and under any guarantee, customs, workers compensation, performance or surety bond, letter of credit, letter of comfort or similar credit or performance support arrangement (each of the foregoing </w:t>
      </w:r>
      <w:r>
        <w:rPr>
          <w:rFonts w:ascii="Arial" w:eastAsia="Arial" w:hAnsi="Arial" w:cs="Arial"/>
          <w:sz w:val="16"/>
          <w:szCs w:val="16"/>
        </w:rPr>
        <w:t>agreements, guarantees, bonds, letters and arrangements, a “</w:t>
      </w:r>
      <w:r>
        <w:rPr>
          <w:rFonts w:ascii="Arial" w:eastAsia="Arial" w:hAnsi="Arial" w:cs="Arial"/>
          <w:b/>
          <w:bCs/>
          <w:sz w:val="16"/>
          <w:szCs w:val="16"/>
        </w:rPr>
        <w:t>Guarantee</w:t>
      </w:r>
      <w:r>
        <w:rPr>
          <w:rFonts w:ascii="Arial" w:eastAsia="Arial" w:hAnsi="Arial" w:cs="Arial"/>
          <w:sz w:val="16"/>
          <w:szCs w:val="16"/>
        </w:rPr>
        <w:t>”), given or obtained by any member of the L Brands Group for the benefit of any member of the VS Group or the VS Business. To the extent required to obtain such a substitution, release o</w:t>
      </w:r>
      <w:r>
        <w:rPr>
          <w:rFonts w:ascii="Arial" w:eastAsia="Arial" w:hAnsi="Arial" w:cs="Arial"/>
          <w:sz w:val="16"/>
          <w:szCs w:val="16"/>
        </w:rPr>
        <w:t>r removal, VS shall execute a guarantee or other agreement in the form of the existing Guarantee or such other form as is agreed to by the relevant parties to such guarantee or other agreement, which agreement shall include the removal of any security inte</w:t>
      </w:r>
      <w:r>
        <w:rPr>
          <w:rFonts w:ascii="Arial" w:eastAsia="Arial" w:hAnsi="Arial" w:cs="Arial"/>
          <w:sz w:val="16"/>
          <w:szCs w:val="16"/>
        </w:rPr>
        <w:t>rest on or in any asset of L Brands that may serve as collateral or security for any VS Liability. If L Brands and VS have been unable to effect any such substitution, removal, release and termination with respect to any such Guarantee as of the Distributi</w:t>
      </w:r>
      <w:r>
        <w:rPr>
          <w:rFonts w:ascii="Arial" w:eastAsia="Arial" w:hAnsi="Arial" w:cs="Arial"/>
          <w:sz w:val="16"/>
          <w:szCs w:val="16"/>
        </w:rPr>
        <w:t>on Time, then, following the Distribution Time, (i) the Parties shall cooperate to effect such substitution, removal, release and termination as soon as reasonably practicable after the Distribution Time, (ii) VS shall and shall cause the members of the VS</w:t>
      </w:r>
      <w:r>
        <w:rPr>
          <w:rFonts w:ascii="Arial" w:eastAsia="Arial" w:hAnsi="Arial" w:cs="Arial"/>
          <w:sz w:val="16"/>
          <w:szCs w:val="16"/>
        </w:rPr>
        <w:t xml:space="preserve"> Group to, from and after the Distribution Time, indemnify against, hold harmless and promptly reimburse the members of the L Brands Group for any payments made by members of the L Brands Group and for any and all Liabilities of the members of the L Brands</w:t>
      </w:r>
      <w:r>
        <w:rPr>
          <w:rFonts w:ascii="Arial" w:eastAsia="Arial" w:hAnsi="Arial" w:cs="Arial"/>
          <w:sz w:val="16"/>
          <w:szCs w:val="16"/>
        </w:rPr>
        <w:t xml:space="preserve"> Group arising out of, or in performing, in whole or in part, any obligation under any such Guarantee, and</w:t>
      </w:r>
    </w:p>
    <w:p w14:paraId="2CEFA623" w14:textId="77777777" w:rsidR="00D1587D" w:rsidRDefault="00D1587D">
      <w:pPr>
        <w:spacing w:line="1" w:lineRule="exact"/>
        <w:rPr>
          <w:sz w:val="20"/>
          <w:szCs w:val="20"/>
        </w:rPr>
      </w:pPr>
    </w:p>
    <w:p w14:paraId="00C55BEB" w14:textId="77777777" w:rsidR="00D1587D" w:rsidRDefault="00410D07">
      <w:pPr>
        <w:numPr>
          <w:ilvl w:val="0"/>
          <w:numId w:val="20"/>
        </w:numPr>
        <w:tabs>
          <w:tab w:val="left" w:pos="315"/>
        </w:tabs>
        <w:spacing w:line="253" w:lineRule="auto"/>
        <w:ind w:right="120" w:firstLine="8"/>
        <w:rPr>
          <w:rFonts w:ascii="Arial" w:eastAsia="Arial" w:hAnsi="Arial" w:cs="Arial"/>
          <w:sz w:val="18"/>
          <w:szCs w:val="18"/>
        </w:rPr>
      </w:pPr>
      <w:r>
        <w:rPr>
          <w:rFonts w:ascii="Arial" w:eastAsia="Arial" w:hAnsi="Arial" w:cs="Arial"/>
          <w:sz w:val="18"/>
          <w:szCs w:val="18"/>
        </w:rPr>
        <w:t xml:space="preserve">without the prior written consent of L Brands, no member of the VS Group may renew, extend the term of, increase any obligations under, or transfer </w:t>
      </w:r>
      <w:r>
        <w:rPr>
          <w:rFonts w:ascii="Arial" w:eastAsia="Arial" w:hAnsi="Arial" w:cs="Arial"/>
          <w:sz w:val="18"/>
          <w:szCs w:val="18"/>
        </w:rPr>
        <w:t>to a Third Party, any Liability for which any member of the L Brands Group is or might be liable pursuant to an applicable Guarantee unless such Guarantee, and all applicable obligations of the members of the L Brands Group with respect thereto, are thereu</w:t>
      </w:r>
      <w:r>
        <w:rPr>
          <w:rFonts w:ascii="Arial" w:eastAsia="Arial" w:hAnsi="Arial" w:cs="Arial"/>
          <w:sz w:val="18"/>
          <w:szCs w:val="18"/>
        </w:rPr>
        <w:t>pon terminated pursuant to documentation in form and substance reasonably acceptable to L Brands.</w:t>
      </w:r>
    </w:p>
    <w:p w14:paraId="2E63F9A0" w14:textId="77777777" w:rsidR="00D1587D" w:rsidRDefault="00D1587D">
      <w:pPr>
        <w:spacing w:line="179" w:lineRule="exact"/>
        <w:rPr>
          <w:sz w:val="20"/>
          <w:szCs w:val="20"/>
        </w:rPr>
      </w:pPr>
    </w:p>
    <w:p w14:paraId="4C6C2BE5" w14:textId="77777777" w:rsidR="00D1587D" w:rsidRDefault="00410D07">
      <w:pPr>
        <w:ind w:right="40"/>
        <w:jc w:val="center"/>
        <w:rPr>
          <w:sz w:val="20"/>
          <w:szCs w:val="20"/>
        </w:rPr>
      </w:pPr>
      <w:r>
        <w:rPr>
          <w:rFonts w:ascii="Arial" w:eastAsia="Arial" w:hAnsi="Arial" w:cs="Arial"/>
          <w:sz w:val="18"/>
          <w:szCs w:val="18"/>
        </w:rPr>
        <w:t>23</w:t>
      </w:r>
    </w:p>
    <w:p w14:paraId="6CDCBB14" w14:textId="77777777" w:rsidR="00D1587D" w:rsidRDefault="00410D07">
      <w:pPr>
        <w:spacing w:line="20" w:lineRule="exact"/>
        <w:rPr>
          <w:sz w:val="20"/>
          <w:szCs w:val="20"/>
        </w:rPr>
      </w:pPr>
      <w:r>
        <w:rPr>
          <w:noProof/>
          <w:sz w:val="20"/>
          <w:szCs w:val="20"/>
        </w:rPr>
        <w:drawing>
          <wp:anchor distT="0" distB="0" distL="114300" distR="114300" simplePos="0" relativeHeight="251174912" behindDoc="1" locked="0" layoutInCell="0" allowOverlap="1" wp14:anchorId="04938F88" wp14:editId="2BF5F441">
            <wp:simplePos x="0" y="0"/>
            <wp:positionH relativeFrom="column">
              <wp:posOffset>5080</wp:posOffset>
            </wp:positionH>
            <wp:positionV relativeFrom="paragraph">
              <wp:posOffset>48895</wp:posOffset>
            </wp:positionV>
            <wp:extent cx="7132320" cy="1714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B01F057" w14:textId="77777777" w:rsidR="00D1587D" w:rsidRDefault="00D1587D">
      <w:pPr>
        <w:sectPr w:rsidR="00D1587D">
          <w:pgSz w:w="11900" w:h="16838"/>
          <w:pgMar w:top="341" w:right="359" w:bottom="1440" w:left="320" w:header="0" w:footer="0" w:gutter="0"/>
          <w:cols w:space="720" w:equalWidth="0">
            <w:col w:w="11220"/>
          </w:cols>
        </w:sectPr>
      </w:pPr>
    </w:p>
    <w:p w14:paraId="446E2008" w14:textId="77777777" w:rsidR="00D1587D" w:rsidRDefault="00410D07">
      <w:pPr>
        <w:numPr>
          <w:ilvl w:val="0"/>
          <w:numId w:val="21"/>
        </w:numPr>
        <w:tabs>
          <w:tab w:val="left" w:pos="804"/>
        </w:tabs>
        <w:spacing w:line="271" w:lineRule="auto"/>
        <w:ind w:firstLine="557"/>
        <w:rPr>
          <w:rFonts w:ascii="Arial" w:eastAsia="Arial" w:hAnsi="Arial" w:cs="Arial"/>
          <w:sz w:val="17"/>
          <w:szCs w:val="17"/>
        </w:rPr>
      </w:pPr>
      <w:bookmarkStart w:id="32" w:name="page33"/>
      <w:bookmarkEnd w:id="32"/>
      <w:r>
        <w:rPr>
          <w:rFonts w:ascii="Arial" w:eastAsia="Arial" w:hAnsi="Arial" w:cs="Arial"/>
          <w:sz w:val="17"/>
          <w:szCs w:val="17"/>
        </w:rPr>
        <w:t xml:space="preserve">With respect to the obligations of any member of the L Brands Group under the guarantee identified as the “Specified Guarantee” set </w:t>
      </w:r>
      <w:r>
        <w:rPr>
          <w:rFonts w:ascii="Arial" w:eastAsia="Arial" w:hAnsi="Arial" w:cs="Arial"/>
          <w:sz w:val="17"/>
          <w:szCs w:val="17"/>
        </w:rPr>
        <w:t>forth on Schedule 2.10(b) (the “</w:t>
      </w:r>
      <w:r>
        <w:rPr>
          <w:rFonts w:ascii="Arial" w:eastAsia="Arial" w:hAnsi="Arial" w:cs="Arial"/>
          <w:b/>
          <w:bCs/>
          <w:sz w:val="17"/>
          <w:szCs w:val="17"/>
        </w:rPr>
        <w:t>Specified Guarantee</w:t>
      </w:r>
      <w:r>
        <w:rPr>
          <w:rFonts w:ascii="Arial" w:eastAsia="Arial" w:hAnsi="Arial" w:cs="Arial"/>
          <w:sz w:val="17"/>
          <w:szCs w:val="17"/>
        </w:rPr>
        <w:t>”), and without limiting VS’s obligations under Section 2.10(a), (i) VS shall cause the members of the VS Group not to (A) amend or modify the agreement (as amended) that is the subject of the Specified Gu</w:t>
      </w:r>
      <w:r>
        <w:rPr>
          <w:rFonts w:ascii="Arial" w:eastAsia="Arial" w:hAnsi="Arial" w:cs="Arial"/>
          <w:sz w:val="17"/>
          <w:szCs w:val="17"/>
        </w:rPr>
        <w:t>arantee in a manner that would adversely affect the release of the Specified Guarantee or (B) cause or create any breach or default under such agreement during the thirty (30)-day period from and after the Distribution Time, and (ii) VS shall cause the mem</w:t>
      </w:r>
      <w:r>
        <w:rPr>
          <w:rFonts w:ascii="Arial" w:eastAsia="Arial" w:hAnsi="Arial" w:cs="Arial"/>
          <w:sz w:val="17"/>
          <w:szCs w:val="17"/>
        </w:rPr>
        <w:t xml:space="preserve">bers of the VS Group to take all actions reasonably requested by L Brands to cause the conditions for the release of the Specified Guarantee to be satisfied, and will not take any action from and after the Distribution Time that may reasonably be expected </w:t>
      </w:r>
      <w:r>
        <w:rPr>
          <w:rFonts w:ascii="Arial" w:eastAsia="Arial" w:hAnsi="Arial" w:cs="Arial"/>
          <w:sz w:val="17"/>
          <w:szCs w:val="17"/>
        </w:rPr>
        <w:t>to cause the conditions for the release of the Specified Guarantee not to be satisfied, or that would reasonably be expected to cause the release of the Specified Guarantee to be invalid after the Distribution Time.</w:t>
      </w:r>
    </w:p>
    <w:p w14:paraId="4FCFB86F" w14:textId="77777777" w:rsidR="00D1587D" w:rsidRDefault="00D1587D">
      <w:pPr>
        <w:spacing w:line="178" w:lineRule="exact"/>
        <w:rPr>
          <w:sz w:val="20"/>
          <w:szCs w:val="20"/>
        </w:rPr>
      </w:pPr>
    </w:p>
    <w:p w14:paraId="6EE358E2" w14:textId="77777777" w:rsidR="00D1587D" w:rsidRDefault="00410D07">
      <w:pPr>
        <w:spacing w:line="290" w:lineRule="auto"/>
        <w:ind w:right="120" w:firstLine="693"/>
        <w:rPr>
          <w:sz w:val="20"/>
          <w:szCs w:val="20"/>
        </w:rPr>
      </w:pPr>
      <w:r>
        <w:rPr>
          <w:rFonts w:ascii="Arial" w:eastAsia="Arial" w:hAnsi="Arial" w:cs="Arial"/>
          <w:sz w:val="16"/>
          <w:szCs w:val="16"/>
        </w:rPr>
        <w:t>Section 2.11</w:t>
      </w:r>
      <w:r>
        <w:rPr>
          <w:rFonts w:ascii="Arial" w:eastAsia="Arial" w:hAnsi="Arial" w:cs="Arial"/>
          <w:i/>
          <w:iCs/>
          <w:sz w:val="16"/>
          <w:szCs w:val="16"/>
        </w:rPr>
        <w:t>. Further Assurances and Co</w:t>
      </w:r>
      <w:r>
        <w:rPr>
          <w:rFonts w:ascii="Arial" w:eastAsia="Arial" w:hAnsi="Arial" w:cs="Arial"/>
          <w:i/>
          <w:iCs/>
          <w:sz w:val="16"/>
          <w:szCs w:val="16"/>
        </w:rPr>
        <w:t>nsents.</w:t>
      </w:r>
      <w:r>
        <w:rPr>
          <w:rFonts w:ascii="Arial" w:eastAsia="Arial" w:hAnsi="Arial" w:cs="Arial"/>
          <w:sz w:val="16"/>
          <w:szCs w:val="16"/>
        </w:rPr>
        <w:t xml:space="preserve"> In addition to the actions specifically provided for elsewhere in this Agreement, each of the Parties shall use its reasonable best efforts to take, or cause to be taken, all actions, and to do, or cause to be done, all things, reasonably necessary</w:t>
      </w:r>
      <w:r>
        <w:rPr>
          <w:rFonts w:ascii="Arial" w:eastAsia="Arial" w:hAnsi="Arial" w:cs="Arial"/>
          <w:sz w:val="16"/>
          <w:szCs w:val="16"/>
        </w:rPr>
        <w:t>, proper or advisable under Applicable Law or applicable agreements or otherwise to consummate and make effective any transfers of assets, assignments and assumptions of Liabilities and any other transactions contemplated hereby, including using its reason</w:t>
      </w:r>
      <w:r>
        <w:rPr>
          <w:rFonts w:ascii="Arial" w:eastAsia="Arial" w:hAnsi="Arial" w:cs="Arial"/>
          <w:sz w:val="16"/>
          <w:szCs w:val="16"/>
        </w:rPr>
        <w:t xml:space="preserve">able best efforts to obtain any consents and approvals and to make any filings and applications necessary or desirable in order to consummate the transactions contemplated by this Agreement; </w:t>
      </w:r>
      <w:r>
        <w:rPr>
          <w:rFonts w:ascii="Arial" w:eastAsia="Arial" w:hAnsi="Arial" w:cs="Arial"/>
          <w:i/>
          <w:iCs/>
          <w:sz w:val="16"/>
          <w:szCs w:val="16"/>
        </w:rPr>
        <w:t>provided</w:t>
      </w:r>
      <w:r>
        <w:rPr>
          <w:rFonts w:ascii="Arial" w:eastAsia="Arial" w:hAnsi="Arial" w:cs="Arial"/>
          <w:sz w:val="16"/>
          <w:szCs w:val="16"/>
        </w:rPr>
        <w:t xml:space="preserve"> that in no event shall any member of a Group have any Li</w:t>
      </w:r>
      <w:r>
        <w:rPr>
          <w:rFonts w:ascii="Arial" w:eastAsia="Arial" w:hAnsi="Arial" w:cs="Arial"/>
          <w:sz w:val="16"/>
          <w:szCs w:val="16"/>
        </w:rPr>
        <w:t>ability whatsoever to any member of the other Group for any failure to obtain any such consent or approval. Nothing in this Section 2.11 shall require any member of the L Brands Group or the VS Group to incur any non-</w:t>
      </w:r>
      <w:r>
        <w:rPr>
          <w:rFonts w:ascii="Arial" w:eastAsia="Arial" w:hAnsi="Arial" w:cs="Arial"/>
          <w:i/>
          <w:iCs/>
          <w:sz w:val="16"/>
          <w:szCs w:val="16"/>
        </w:rPr>
        <w:t>de minimis</w:t>
      </w:r>
      <w:r>
        <w:rPr>
          <w:rFonts w:ascii="Arial" w:eastAsia="Arial" w:hAnsi="Arial" w:cs="Arial"/>
          <w:sz w:val="16"/>
          <w:szCs w:val="16"/>
        </w:rPr>
        <w:t xml:space="preserve"> obligation or grant any non-</w:t>
      </w:r>
      <w:r>
        <w:rPr>
          <w:rFonts w:ascii="Arial" w:eastAsia="Arial" w:hAnsi="Arial" w:cs="Arial"/>
          <w:i/>
          <w:iCs/>
          <w:sz w:val="16"/>
          <w:szCs w:val="16"/>
        </w:rPr>
        <w:t>de minimis</w:t>
      </w:r>
      <w:r>
        <w:rPr>
          <w:rFonts w:ascii="Arial" w:eastAsia="Arial" w:hAnsi="Arial" w:cs="Arial"/>
          <w:sz w:val="16"/>
          <w:szCs w:val="16"/>
        </w:rPr>
        <w:t xml:space="preserve"> concession in order to effect any transaction contemplated by this Section 2.11.</w:t>
      </w:r>
    </w:p>
    <w:p w14:paraId="22D5B8C9" w14:textId="77777777" w:rsidR="00D1587D" w:rsidRDefault="00D1587D">
      <w:pPr>
        <w:spacing w:line="152" w:lineRule="exact"/>
        <w:rPr>
          <w:sz w:val="20"/>
          <w:szCs w:val="20"/>
        </w:rPr>
      </w:pPr>
    </w:p>
    <w:p w14:paraId="7C1EB309" w14:textId="77777777" w:rsidR="00D1587D" w:rsidRDefault="00410D07">
      <w:pPr>
        <w:ind w:right="60"/>
        <w:jc w:val="center"/>
        <w:rPr>
          <w:sz w:val="20"/>
          <w:szCs w:val="20"/>
        </w:rPr>
      </w:pPr>
      <w:r>
        <w:rPr>
          <w:rFonts w:ascii="Arial" w:eastAsia="Arial" w:hAnsi="Arial" w:cs="Arial"/>
          <w:sz w:val="18"/>
          <w:szCs w:val="18"/>
        </w:rPr>
        <w:t>24</w:t>
      </w:r>
    </w:p>
    <w:p w14:paraId="40C74D11" w14:textId="77777777" w:rsidR="00D1587D" w:rsidRDefault="00410D07">
      <w:pPr>
        <w:spacing w:line="20" w:lineRule="exact"/>
        <w:rPr>
          <w:sz w:val="20"/>
          <w:szCs w:val="20"/>
        </w:rPr>
      </w:pPr>
      <w:r>
        <w:rPr>
          <w:noProof/>
          <w:sz w:val="20"/>
          <w:szCs w:val="20"/>
        </w:rPr>
        <w:drawing>
          <wp:anchor distT="0" distB="0" distL="114300" distR="114300" simplePos="0" relativeHeight="251175936" behindDoc="1" locked="0" layoutInCell="0" allowOverlap="1" wp14:anchorId="15A81CA9" wp14:editId="6D6037F7">
            <wp:simplePos x="0" y="0"/>
            <wp:positionH relativeFrom="column">
              <wp:posOffset>5080</wp:posOffset>
            </wp:positionH>
            <wp:positionV relativeFrom="paragraph">
              <wp:posOffset>48895</wp:posOffset>
            </wp:positionV>
            <wp:extent cx="7132320" cy="1714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8E45520" w14:textId="77777777" w:rsidR="00D1587D" w:rsidRDefault="00D1587D">
      <w:pPr>
        <w:sectPr w:rsidR="00D1587D">
          <w:pgSz w:w="11900" w:h="16838"/>
          <w:pgMar w:top="341" w:right="339" w:bottom="1440" w:left="320" w:header="0" w:footer="0" w:gutter="0"/>
          <w:cols w:space="720" w:equalWidth="0">
            <w:col w:w="11240"/>
          </w:cols>
        </w:sectPr>
      </w:pPr>
    </w:p>
    <w:p w14:paraId="2AA27F33" w14:textId="77777777" w:rsidR="00D1587D" w:rsidRDefault="00410D07">
      <w:pPr>
        <w:ind w:right="-39"/>
        <w:jc w:val="center"/>
        <w:rPr>
          <w:sz w:val="20"/>
          <w:szCs w:val="20"/>
        </w:rPr>
      </w:pPr>
      <w:bookmarkStart w:id="33" w:name="page34"/>
      <w:bookmarkEnd w:id="33"/>
      <w:r>
        <w:rPr>
          <w:rFonts w:ascii="Arial" w:eastAsia="Arial" w:hAnsi="Arial" w:cs="Arial"/>
          <w:sz w:val="18"/>
          <w:szCs w:val="18"/>
        </w:rPr>
        <w:t>ARTICLE 3</w:t>
      </w:r>
    </w:p>
    <w:p w14:paraId="36F68173" w14:textId="77777777" w:rsidR="00D1587D" w:rsidRDefault="00D1587D">
      <w:pPr>
        <w:spacing w:line="23" w:lineRule="exact"/>
        <w:rPr>
          <w:sz w:val="20"/>
          <w:szCs w:val="20"/>
        </w:rPr>
      </w:pPr>
    </w:p>
    <w:p w14:paraId="29D0DBEA" w14:textId="77777777" w:rsidR="00D1587D" w:rsidRDefault="00410D07">
      <w:pPr>
        <w:ind w:right="-39"/>
        <w:jc w:val="center"/>
        <w:rPr>
          <w:sz w:val="20"/>
          <w:szCs w:val="20"/>
        </w:rPr>
      </w:pPr>
      <w:r>
        <w:rPr>
          <w:rFonts w:ascii="Arial" w:eastAsia="Arial" w:hAnsi="Arial" w:cs="Arial"/>
          <w:sz w:val="18"/>
          <w:szCs w:val="18"/>
        </w:rPr>
        <w:t>D</w:t>
      </w:r>
      <w:r>
        <w:rPr>
          <w:rFonts w:ascii="Arial" w:eastAsia="Arial" w:hAnsi="Arial" w:cs="Arial"/>
          <w:sz w:val="12"/>
          <w:szCs w:val="12"/>
        </w:rPr>
        <w:t>ISTRIBUTION</w:t>
      </w:r>
    </w:p>
    <w:p w14:paraId="4C917041" w14:textId="77777777" w:rsidR="00D1587D" w:rsidRDefault="00D1587D">
      <w:pPr>
        <w:spacing w:line="211" w:lineRule="exact"/>
        <w:rPr>
          <w:sz w:val="20"/>
          <w:szCs w:val="20"/>
        </w:rPr>
      </w:pPr>
    </w:p>
    <w:p w14:paraId="028C5C10" w14:textId="77777777" w:rsidR="00D1587D" w:rsidRDefault="00410D07">
      <w:pPr>
        <w:spacing w:line="277" w:lineRule="auto"/>
        <w:ind w:right="100" w:firstLine="648"/>
        <w:rPr>
          <w:sz w:val="20"/>
          <w:szCs w:val="20"/>
        </w:rPr>
      </w:pPr>
      <w:r>
        <w:rPr>
          <w:rFonts w:ascii="Arial" w:eastAsia="Arial" w:hAnsi="Arial" w:cs="Arial"/>
          <w:sz w:val="18"/>
          <w:szCs w:val="18"/>
        </w:rPr>
        <w:t xml:space="preserve">Section 3.01. </w:t>
      </w:r>
      <w:r>
        <w:rPr>
          <w:rFonts w:ascii="Arial" w:eastAsia="Arial" w:hAnsi="Arial" w:cs="Arial"/>
          <w:i/>
          <w:iCs/>
          <w:sz w:val="18"/>
          <w:szCs w:val="18"/>
        </w:rPr>
        <w:t>Conditions Precedent to Distribution.</w:t>
      </w:r>
      <w:r>
        <w:rPr>
          <w:rFonts w:ascii="Arial" w:eastAsia="Arial" w:hAnsi="Arial" w:cs="Arial"/>
          <w:sz w:val="18"/>
          <w:szCs w:val="18"/>
        </w:rPr>
        <w:t xml:space="preserve"> (a) In no event shall the Distribution occur unless each of the following conditions shall have been satisfied (or waived by L Brands in its sole discretion):</w:t>
      </w:r>
    </w:p>
    <w:p w14:paraId="5DB47B3F" w14:textId="77777777" w:rsidR="00D1587D" w:rsidRDefault="00D1587D">
      <w:pPr>
        <w:spacing w:line="170" w:lineRule="exact"/>
        <w:rPr>
          <w:sz w:val="20"/>
          <w:szCs w:val="20"/>
        </w:rPr>
      </w:pPr>
    </w:p>
    <w:p w14:paraId="6FE90AE2" w14:textId="77777777" w:rsidR="00D1587D" w:rsidRDefault="00410D07">
      <w:pPr>
        <w:numPr>
          <w:ilvl w:val="0"/>
          <w:numId w:val="22"/>
        </w:numPr>
        <w:tabs>
          <w:tab w:val="left" w:pos="2200"/>
        </w:tabs>
        <w:ind w:left="2200" w:hanging="572"/>
        <w:rPr>
          <w:rFonts w:ascii="Arial" w:eastAsia="Arial" w:hAnsi="Arial" w:cs="Arial"/>
          <w:sz w:val="18"/>
          <w:szCs w:val="18"/>
        </w:rPr>
      </w:pPr>
      <w:r>
        <w:rPr>
          <w:rFonts w:ascii="Arial" w:eastAsia="Arial" w:hAnsi="Arial" w:cs="Arial"/>
          <w:sz w:val="18"/>
          <w:szCs w:val="18"/>
        </w:rPr>
        <w:t>the Restructuring, including the Contribution and the Special Cash Payment, shall have been com</w:t>
      </w:r>
      <w:r>
        <w:rPr>
          <w:rFonts w:ascii="Arial" w:eastAsia="Arial" w:hAnsi="Arial" w:cs="Arial"/>
          <w:sz w:val="18"/>
          <w:szCs w:val="18"/>
        </w:rPr>
        <w:t>pleted;</w:t>
      </w:r>
    </w:p>
    <w:p w14:paraId="5A537FA1" w14:textId="77777777" w:rsidR="00D1587D" w:rsidRDefault="00D1587D">
      <w:pPr>
        <w:spacing w:line="225" w:lineRule="exact"/>
        <w:rPr>
          <w:rFonts w:ascii="Arial" w:eastAsia="Arial" w:hAnsi="Arial" w:cs="Arial"/>
          <w:sz w:val="18"/>
          <w:szCs w:val="18"/>
        </w:rPr>
      </w:pPr>
    </w:p>
    <w:p w14:paraId="50542352" w14:textId="77777777" w:rsidR="00D1587D" w:rsidRDefault="00410D07">
      <w:pPr>
        <w:numPr>
          <w:ilvl w:val="0"/>
          <w:numId w:val="22"/>
        </w:numPr>
        <w:tabs>
          <w:tab w:val="left" w:pos="2212"/>
        </w:tabs>
        <w:spacing w:line="308" w:lineRule="auto"/>
        <w:ind w:left="660" w:right="640" w:firstLine="968"/>
        <w:rPr>
          <w:rFonts w:ascii="Arial" w:eastAsia="Arial" w:hAnsi="Arial" w:cs="Arial"/>
          <w:sz w:val="17"/>
          <w:szCs w:val="17"/>
        </w:rPr>
      </w:pPr>
      <w:r>
        <w:rPr>
          <w:rFonts w:ascii="Arial" w:eastAsia="Arial" w:hAnsi="Arial" w:cs="Arial"/>
          <w:sz w:val="17"/>
          <w:szCs w:val="17"/>
        </w:rPr>
        <w:t>the VS Financing Transactions shall have been consummated and L Brands shall be satisfied in its sole and absolute discretion that, as of the Distribution Time, it shall have no Liability whatsoever under the VS Financing Transactions;</w:t>
      </w:r>
    </w:p>
    <w:p w14:paraId="46DBE6D7" w14:textId="77777777" w:rsidR="00D1587D" w:rsidRDefault="00D1587D">
      <w:pPr>
        <w:spacing w:line="146" w:lineRule="exact"/>
        <w:rPr>
          <w:rFonts w:ascii="Arial" w:eastAsia="Arial" w:hAnsi="Arial" w:cs="Arial"/>
          <w:sz w:val="17"/>
          <w:szCs w:val="17"/>
        </w:rPr>
      </w:pPr>
    </w:p>
    <w:p w14:paraId="7D33AF14" w14:textId="77777777" w:rsidR="00D1587D" w:rsidRDefault="00410D07">
      <w:pPr>
        <w:numPr>
          <w:ilvl w:val="0"/>
          <w:numId w:val="22"/>
        </w:numPr>
        <w:tabs>
          <w:tab w:val="left" w:pos="2217"/>
        </w:tabs>
        <w:spacing w:line="277" w:lineRule="auto"/>
        <w:ind w:left="660" w:right="260" w:firstLine="968"/>
        <w:rPr>
          <w:rFonts w:ascii="Arial" w:eastAsia="Arial" w:hAnsi="Arial" w:cs="Arial"/>
          <w:sz w:val="18"/>
          <w:szCs w:val="18"/>
        </w:rPr>
      </w:pPr>
      <w:r>
        <w:rPr>
          <w:rFonts w:ascii="Arial" w:eastAsia="Arial" w:hAnsi="Arial" w:cs="Arial"/>
          <w:sz w:val="18"/>
          <w:szCs w:val="18"/>
        </w:rPr>
        <w:t xml:space="preserve">the Board </w:t>
      </w:r>
      <w:r>
        <w:rPr>
          <w:rFonts w:ascii="Arial" w:eastAsia="Arial" w:hAnsi="Arial" w:cs="Arial"/>
          <w:sz w:val="18"/>
          <w:szCs w:val="18"/>
        </w:rPr>
        <w:t>of Directors of L Brands shall have approved the Distribution and shall not have abandoned the Distribution or terminated this Agreement at any time prior to the Distribution;</w:t>
      </w:r>
    </w:p>
    <w:p w14:paraId="42D07E76" w14:textId="77777777" w:rsidR="00D1587D" w:rsidRDefault="00D1587D">
      <w:pPr>
        <w:spacing w:line="170" w:lineRule="exact"/>
        <w:rPr>
          <w:rFonts w:ascii="Arial" w:eastAsia="Arial" w:hAnsi="Arial" w:cs="Arial"/>
          <w:sz w:val="18"/>
          <w:szCs w:val="18"/>
        </w:rPr>
      </w:pPr>
    </w:p>
    <w:p w14:paraId="539059CB" w14:textId="77777777" w:rsidR="00D1587D" w:rsidRDefault="00410D07">
      <w:pPr>
        <w:numPr>
          <w:ilvl w:val="0"/>
          <w:numId w:val="22"/>
        </w:numPr>
        <w:tabs>
          <w:tab w:val="left" w:pos="2162"/>
        </w:tabs>
        <w:spacing w:line="259" w:lineRule="auto"/>
        <w:ind w:left="660" w:right="40" w:firstLine="968"/>
        <w:jc w:val="both"/>
        <w:rPr>
          <w:rFonts w:ascii="Arial" w:eastAsia="Arial" w:hAnsi="Arial" w:cs="Arial"/>
          <w:sz w:val="18"/>
          <w:szCs w:val="18"/>
        </w:rPr>
      </w:pPr>
      <w:r>
        <w:rPr>
          <w:rFonts w:ascii="Arial" w:eastAsia="Arial" w:hAnsi="Arial" w:cs="Arial"/>
          <w:sz w:val="18"/>
          <w:szCs w:val="18"/>
        </w:rPr>
        <w:t xml:space="preserve">the Form 10 shall have been filed with the Commission and declared </w:t>
      </w:r>
      <w:r>
        <w:rPr>
          <w:rFonts w:ascii="Arial" w:eastAsia="Arial" w:hAnsi="Arial" w:cs="Arial"/>
          <w:sz w:val="18"/>
          <w:szCs w:val="18"/>
        </w:rPr>
        <w:t>effective by the Commission, no stop order suspending the effectiveness of the Form 10 shall be in effect, no proceedings for such purpose shall be pending before or threatened by the Commission, and the Information Statement, or a notice of Internet avail</w:t>
      </w:r>
      <w:r>
        <w:rPr>
          <w:rFonts w:ascii="Arial" w:eastAsia="Arial" w:hAnsi="Arial" w:cs="Arial"/>
          <w:sz w:val="18"/>
          <w:szCs w:val="18"/>
        </w:rPr>
        <w:t>ability thereof, shall have been mailed to holders of the L Brands Common Stock as of the Record Date;</w:t>
      </w:r>
    </w:p>
    <w:p w14:paraId="63D1B449" w14:textId="77777777" w:rsidR="00D1587D" w:rsidRDefault="00D1587D">
      <w:pPr>
        <w:spacing w:line="186" w:lineRule="exact"/>
        <w:rPr>
          <w:rFonts w:ascii="Arial" w:eastAsia="Arial" w:hAnsi="Arial" w:cs="Arial"/>
          <w:sz w:val="18"/>
          <w:szCs w:val="18"/>
        </w:rPr>
      </w:pPr>
    </w:p>
    <w:p w14:paraId="7EFE31CD" w14:textId="77777777" w:rsidR="00D1587D" w:rsidRDefault="00410D07">
      <w:pPr>
        <w:numPr>
          <w:ilvl w:val="0"/>
          <w:numId w:val="22"/>
        </w:numPr>
        <w:tabs>
          <w:tab w:val="left" w:pos="2157"/>
        </w:tabs>
        <w:spacing w:line="308" w:lineRule="auto"/>
        <w:ind w:left="660" w:right="60" w:firstLine="968"/>
        <w:rPr>
          <w:rFonts w:ascii="Arial" w:eastAsia="Arial" w:hAnsi="Arial" w:cs="Arial"/>
          <w:sz w:val="17"/>
          <w:szCs w:val="17"/>
        </w:rPr>
      </w:pPr>
      <w:r>
        <w:rPr>
          <w:rFonts w:ascii="Arial" w:eastAsia="Arial" w:hAnsi="Arial" w:cs="Arial"/>
          <w:sz w:val="17"/>
          <w:szCs w:val="17"/>
        </w:rPr>
        <w:t xml:space="preserve">all actions and filings necessary or appropriate under applicable federal, state or foreign securities or “blue sky” laws and the rules and regulations </w:t>
      </w:r>
      <w:r>
        <w:rPr>
          <w:rFonts w:ascii="Arial" w:eastAsia="Arial" w:hAnsi="Arial" w:cs="Arial"/>
          <w:sz w:val="17"/>
          <w:szCs w:val="17"/>
        </w:rPr>
        <w:t>thereunder shall have been taken or made and, where applicable, become effective or been accepted;</w:t>
      </w:r>
    </w:p>
    <w:p w14:paraId="78C98B24" w14:textId="77777777" w:rsidR="00D1587D" w:rsidRDefault="00D1587D">
      <w:pPr>
        <w:spacing w:line="146" w:lineRule="exact"/>
        <w:rPr>
          <w:rFonts w:ascii="Arial" w:eastAsia="Arial" w:hAnsi="Arial" w:cs="Arial"/>
          <w:sz w:val="17"/>
          <w:szCs w:val="17"/>
        </w:rPr>
      </w:pPr>
    </w:p>
    <w:p w14:paraId="66EBE614" w14:textId="77777777" w:rsidR="00D1587D" w:rsidRDefault="00410D07">
      <w:pPr>
        <w:numPr>
          <w:ilvl w:val="0"/>
          <w:numId w:val="22"/>
        </w:numPr>
        <w:tabs>
          <w:tab w:val="left" w:pos="2162"/>
        </w:tabs>
        <w:spacing w:line="277" w:lineRule="auto"/>
        <w:ind w:left="660" w:right="500" w:firstLine="968"/>
        <w:rPr>
          <w:rFonts w:ascii="Arial" w:eastAsia="Arial" w:hAnsi="Arial" w:cs="Arial"/>
          <w:sz w:val="18"/>
          <w:szCs w:val="18"/>
        </w:rPr>
      </w:pPr>
      <w:r>
        <w:rPr>
          <w:rFonts w:ascii="Arial" w:eastAsia="Arial" w:hAnsi="Arial" w:cs="Arial"/>
          <w:sz w:val="18"/>
          <w:szCs w:val="18"/>
        </w:rPr>
        <w:t>the VS Common Stock to be delivered in the Distribution shall have been approved for listing on the NYSE, subject to official notice of issuance;</w:t>
      </w:r>
    </w:p>
    <w:p w14:paraId="02E66CCE" w14:textId="77777777" w:rsidR="00D1587D" w:rsidRDefault="00D1587D">
      <w:pPr>
        <w:spacing w:line="170" w:lineRule="exact"/>
        <w:rPr>
          <w:rFonts w:ascii="Arial" w:eastAsia="Arial" w:hAnsi="Arial" w:cs="Arial"/>
          <w:sz w:val="18"/>
          <w:szCs w:val="18"/>
        </w:rPr>
      </w:pPr>
    </w:p>
    <w:p w14:paraId="5CE8BEA6" w14:textId="77777777" w:rsidR="00D1587D" w:rsidRDefault="00410D07">
      <w:pPr>
        <w:numPr>
          <w:ilvl w:val="0"/>
          <w:numId w:val="22"/>
        </w:numPr>
        <w:tabs>
          <w:tab w:val="left" w:pos="2167"/>
        </w:tabs>
        <w:spacing w:line="263" w:lineRule="auto"/>
        <w:ind w:left="660" w:right="280" w:firstLine="968"/>
        <w:jc w:val="both"/>
        <w:rPr>
          <w:rFonts w:ascii="Arial" w:eastAsia="Arial" w:hAnsi="Arial" w:cs="Arial"/>
          <w:sz w:val="18"/>
          <w:szCs w:val="18"/>
        </w:rPr>
      </w:pPr>
      <w:r>
        <w:rPr>
          <w:rFonts w:ascii="Arial" w:eastAsia="Arial" w:hAnsi="Arial" w:cs="Arial"/>
          <w:sz w:val="18"/>
          <w:szCs w:val="18"/>
        </w:rPr>
        <w:t>the Board</w:t>
      </w:r>
      <w:r>
        <w:rPr>
          <w:rFonts w:ascii="Arial" w:eastAsia="Arial" w:hAnsi="Arial" w:cs="Arial"/>
          <w:sz w:val="18"/>
          <w:szCs w:val="18"/>
        </w:rPr>
        <w:t xml:space="preserve"> of Directors of VS, as named in the Information Statement, shall have been duly elected, and the Amended and Restated Certificate of Incorporation and the Amended and Restated Bylaws, each in substantially the form filed as an exhibit to the Form 10, shal</w:t>
      </w:r>
      <w:r>
        <w:rPr>
          <w:rFonts w:ascii="Arial" w:eastAsia="Arial" w:hAnsi="Arial" w:cs="Arial"/>
          <w:sz w:val="18"/>
          <w:szCs w:val="18"/>
        </w:rPr>
        <w:t>l be in effect;</w:t>
      </w:r>
    </w:p>
    <w:p w14:paraId="67E6DFC4" w14:textId="77777777" w:rsidR="00D1587D" w:rsidRDefault="00D1587D">
      <w:pPr>
        <w:spacing w:line="183" w:lineRule="exact"/>
        <w:rPr>
          <w:rFonts w:ascii="Arial" w:eastAsia="Arial" w:hAnsi="Arial" w:cs="Arial"/>
          <w:sz w:val="18"/>
          <w:szCs w:val="18"/>
        </w:rPr>
      </w:pPr>
    </w:p>
    <w:p w14:paraId="1F233D8B" w14:textId="77777777" w:rsidR="00D1587D" w:rsidRDefault="00410D07">
      <w:pPr>
        <w:numPr>
          <w:ilvl w:val="0"/>
          <w:numId w:val="22"/>
        </w:numPr>
        <w:tabs>
          <w:tab w:val="left" w:pos="2160"/>
        </w:tabs>
        <w:ind w:left="2160" w:hanging="532"/>
        <w:rPr>
          <w:rFonts w:ascii="Arial" w:eastAsia="Arial" w:hAnsi="Arial" w:cs="Arial"/>
          <w:sz w:val="18"/>
          <w:szCs w:val="18"/>
        </w:rPr>
      </w:pPr>
      <w:r>
        <w:rPr>
          <w:rFonts w:ascii="Arial" w:eastAsia="Arial" w:hAnsi="Arial" w:cs="Arial"/>
          <w:sz w:val="18"/>
          <w:szCs w:val="18"/>
        </w:rPr>
        <w:t>each of the Ancillary Agreements shall have been duly executed and delivered by the parties thereto;</w:t>
      </w:r>
    </w:p>
    <w:p w14:paraId="25FCC115" w14:textId="77777777" w:rsidR="00D1587D" w:rsidRDefault="00D1587D">
      <w:pPr>
        <w:spacing w:line="225" w:lineRule="exact"/>
        <w:rPr>
          <w:rFonts w:ascii="Arial" w:eastAsia="Arial" w:hAnsi="Arial" w:cs="Arial"/>
          <w:sz w:val="18"/>
          <w:szCs w:val="18"/>
        </w:rPr>
      </w:pPr>
    </w:p>
    <w:p w14:paraId="6C881652" w14:textId="77777777" w:rsidR="00D1587D" w:rsidRDefault="00410D07">
      <w:pPr>
        <w:numPr>
          <w:ilvl w:val="0"/>
          <w:numId w:val="22"/>
        </w:numPr>
        <w:tabs>
          <w:tab w:val="left" w:pos="2207"/>
        </w:tabs>
        <w:spacing w:line="275" w:lineRule="auto"/>
        <w:ind w:left="660" w:firstLine="968"/>
        <w:rPr>
          <w:rFonts w:ascii="Arial" w:eastAsia="Arial" w:hAnsi="Arial" w:cs="Arial"/>
          <w:sz w:val="17"/>
          <w:szCs w:val="17"/>
        </w:rPr>
      </w:pPr>
      <w:r>
        <w:rPr>
          <w:rFonts w:ascii="Arial" w:eastAsia="Arial" w:hAnsi="Arial" w:cs="Arial"/>
          <w:sz w:val="17"/>
          <w:szCs w:val="17"/>
        </w:rPr>
        <w:t xml:space="preserve">L Brands shall have received the Tax Opinion (which shall not have been revoked or modified in any material respect) that is </w:t>
      </w:r>
      <w:r>
        <w:rPr>
          <w:rFonts w:ascii="Arial" w:eastAsia="Arial" w:hAnsi="Arial" w:cs="Arial"/>
          <w:sz w:val="17"/>
          <w:szCs w:val="17"/>
        </w:rPr>
        <w:t>reasonably satisfactory to L Brands confirming that (A) the Contribution, the Special Cash Payment and the Distribution, taken together, will qualify as a “reorganization” within the meaning of Section 368(a)(1)(D) of the Code, (B) the Distribution will qu</w:t>
      </w:r>
      <w:r>
        <w:rPr>
          <w:rFonts w:ascii="Arial" w:eastAsia="Arial" w:hAnsi="Arial" w:cs="Arial"/>
          <w:sz w:val="17"/>
          <w:szCs w:val="17"/>
        </w:rPr>
        <w:t>alify as a tax-free transaction under Sections 355(a) and 361(c) of the Code and (C) the L Brands Cash Distribution should qualify as money distributed to L Brands creditors or stockholders in connection with the reorganization for purposes of Section 361(</w:t>
      </w:r>
      <w:r>
        <w:rPr>
          <w:rFonts w:ascii="Arial" w:eastAsia="Arial" w:hAnsi="Arial" w:cs="Arial"/>
          <w:sz w:val="17"/>
          <w:szCs w:val="17"/>
        </w:rPr>
        <w:t>b) of the Code;</w:t>
      </w:r>
    </w:p>
    <w:p w14:paraId="3BCD43DF" w14:textId="77777777" w:rsidR="00D1587D" w:rsidRDefault="00D1587D">
      <w:pPr>
        <w:spacing w:line="163" w:lineRule="exact"/>
        <w:rPr>
          <w:sz w:val="20"/>
          <w:szCs w:val="20"/>
        </w:rPr>
      </w:pPr>
    </w:p>
    <w:p w14:paraId="4CB1940F" w14:textId="77777777" w:rsidR="00D1587D" w:rsidRDefault="00410D07">
      <w:pPr>
        <w:ind w:right="20"/>
        <w:jc w:val="center"/>
        <w:rPr>
          <w:sz w:val="20"/>
          <w:szCs w:val="20"/>
        </w:rPr>
      </w:pPr>
      <w:r>
        <w:rPr>
          <w:rFonts w:ascii="Arial" w:eastAsia="Arial" w:hAnsi="Arial" w:cs="Arial"/>
          <w:sz w:val="18"/>
          <w:szCs w:val="18"/>
        </w:rPr>
        <w:t>25</w:t>
      </w:r>
    </w:p>
    <w:p w14:paraId="5389D951" w14:textId="77777777" w:rsidR="00D1587D" w:rsidRDefault="00410D07">
      <w:pPr>
        <w:spacing w:line="20" w:lineRule="exact"/>
        <w:rPr>
          <w:sz w:val="20"/>
          <w:szCs w:val="20"/>
        </w:rPr>
      </w:pPr>
      <w:r>
        <w:rPr>
          <w:noProof/>
          <w:sz w:val="20"/>
          <w:szCs w:val="20"/>
        </w:rPr>
        <w:drawing>
          <wp:anchor distT="0" distB="0" distL="114300" distR="114300" simplePos="0" relativeHeight="251176960" behindDoc="1" locked="0" layoutInCell="0" allowOverlap="1" wp14:anchorId="1F4FDDE4" wp14:editId="560041AD">
            <wp:simplePos x="0" y="0"/>
            <wp:positionH relativeFrom="column">
              <wp:posOffset>5080</wp:posOffset>
            </wp:positionH>
            <wp:positionV relativeFrom="paragraph">
              <wp:posOffset>48895</wp:posOffset>
            </wp:positionV>
            <wp:extent cx="7132320" cy="1714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A62D868" w14:textId="77777777" w:rsidR="00D1587D" w:rsidRDefault="00D1587D">
      <w:pPr>
        <w:sectPr w:rsidR="00D1587D">
          <w:pgSz w:w="11900" w:h="16838"/>
          <w:pgMar w:top="341" w:right="379" w:bottom="1440" w:left="320" w:header="0" w:footer="0" w:gutter="0"/>
          <w:cols w:space="720" w:equalWidth="0">
            <w:col w:w="11200"/>
          </w:cols>
        </w:sectPr>
      </w:pPr>
    </w:p>
    <w:p w14:paraId="6D1501C5" w14:textId="77777777" w:rsidR="00D1587D" w:rsidRDefault="00410D07">
      <w:pPr>
        <w:numPr>
          <w:ilvl w:val="0"/>
          <w:numId w:val="23"/>
        </w:numPr>
        <w:tabs>
          <w:tab w:val="left" w:pos="2157"/>
        </w:tabs>
        <w:spacing w:line="257" w:lineRule="auto"/>
        <w:ind w:left="660" w:right="100" w:firstLine="968"/>
        <w:rPr>
          <w:rFonts w:ascii="Arial" w:eastAsia="Arial" w:hAnsi="Arial" w:cs="Arial"/>
          <w:sz w:val="18"/>
          <w:szCs w:val="18"/>
        </w:rPr>
      </w:pPr>
      <w:bookmarkStart w:id="34" w:name="page35"/>
      <w:bookmarkEnd w:id="34"/>
      <w:r>
        <w:rPr>
          <w:rFonts w:ascii="Arial" w:eastAsia="Arial" w:hAnsi="Arial" w:cs="Arial"/>
          <w:sz w:val="18"/>
          <w:szCs w:val="18"/>
        </w:rPr>
        <w:t>an independent nationally recognized valuation advisory firm acceptable to L Brands shall have delivered one or more opinions to the Board of Directors of L Brands concerning the solvency and capital adequacy matte</w:t>
      </w:r>
      <w:r>
        <w:rPr>
          <w:rFonts w:ascii="Arial" w:eastAsia="Arial" w:hAnsi="Arial" w:cs="Arial"/>
          <w:sz w:val="18"/>
          <w:szCs w:val="18"/>
        </w:rPr>
        <w:t>rs relating to each of (A) L Brands and its Group prior to the consummation of the Distribution and (B) L Brands and its Group and VS and its Group after consummation of the Distribution, and such opinions shall be acceptable in form and substance to the B</w:t>
      </w:r>
      <w:r>
        <w:rPr>
          <w:rFonts w:ascii="Arial" w:eastAsia="Arial" w:hAnsi="Arial" w:cs="Arial"/>
          <w:sz w:val="18"/>
          <w:szCs w:val="18"/>
        </w:rPr>
        <w:t>oard of Directors of L Brands in its sole and absolute discretion and such opinions shall not have been withdrawn or rescinded;</w:t>
      </w:r>
    </w:p>
    <w:p w14:paraId="59F1C34C" w14:textId="77777777" w:rsidR="00D1587D" w:rsidRDefault="00D1587D">
      <w:pPr>
        <w:spacing w:line="187" w:lineRule="exact"/>
        <w:rPr>
          <w:rFonts w:ascii="Arial" w:eastAsia="Arial" w:hAnsi="Arial" w:cs="Arial"/>
          <w:sz w:val="18"/>
          <w:szCs w:val="18"/>
        </w:rPr>
      </w:pPr>
    </w:p>
    <w:p w14:paraId="2ADE27A2" w14:textId="77777777" w:rsidR="00D1587D" w:rsidRDefault="00410D07">
      <w:pPr>
        <w:numPr>
          <w:ilvl w:val="0"/>
          <w:numId w:val="23"/>
        </w:numPr>
        <w:tabs>
          <w:tab w:val="left" w:pos="2207"/>
        </w:tabs>
        <w:spacing w:line="277" w:lineRule="auto"/>
        <w:ind w:left="660" w:right="120" w:firstLine="968"/>
        <w:rPr>
          <w:rFonts w:ascii="Arial" w:eastAsia="Arial" w:hAnsi="Arial" w:cs="Arial"/>
          <w:sz w:val="18"/>
          <w:szCs w:val="18"/>
        </w:rPr>
      </w:pPr>
      <w:r>
        <w:rPr>
          <w:rFonts w:ascii="Arial" w:eastAsia="Arial" w:hAnsi="Arial" w:cs="Arial"/>
          <w:sz w:val="18"/>
          <w:szCs w:val="18"/>
        </w:rPr>
        <w:t>no Applicable Law shall have been adopted, promulgated or issued, and be in effect, that prohibits the consummation of the Dist</w:t>
      </w:r>
      <w:r>
        <w:rPr>
          <w:rFonts w:ascii="Arial" w:eastAsia="Arial" w:hAnsi="Arial" w:cs="Arial"/>
          <w:sz w:val="18"/>
          <w:szCs w:val="18"/>
        </w:rPr>
        <w:t>ribution or any of the other transactions contemplated hereby or in an Ancillary Agreement;</w:t>
      </w:r>
    </w:p>
    <w:p w14:paraId="27A33058" w14:textId="77777777" w:rsidR="00D1587D" w:rsidRDefault="00D1587D">
      <w:pPr>
        <w:spacing w:line="170" w:lineRule="exact"/>
        <w:rPr>
          <w:rFonts w:ascii="Arial" w:eastAsia="Arial" w:hAnsi="Arial" w:cs="Arial"/>
          <w:sz w:val="18"/>
          <w:szCs w:val="18"/>
        </w:rPr>
      </w:pPr>
    </w:p>
    <w:p w14:paraId="3A82662D" w14:textId="77777777" w:rsidR="00D1587D" w:rsidRDefault="00410D07">
      <w:pPr>
        <w:numPr>
          <w:ilvl w:val="0"/>
          <w:numId w:val="23"/>
        </w:numPr>
        <w:tabs>
          <w:tab w:val="left" w:pos="2212"/>
        </w:tabs>
        <w:spacing w:line="277" w:lineRule="auto"/>
        <w:ind w:left="660" w:firstLine="968"/>
        <w:rPr>
          <w:rFonts w:ascii="Arial" w:eastAsia="Arial" w:hAnsi="Arial" w:cs="Arial"/>
          <w:sz w:val="18"/>
          <w:szCs w:val="18"/>
        </w:rPr>
      </w:pPr>
      <w:r>
        <w:rPr>
          <w:rFonts w:ascii="Arial" w:eastAsia="Arial" w:hAnsi="Arial" w:cs="Arial"/>
          <w:sz w:val="18"/>
          <w:szCs w:val="18"/>
        </w:rPr>
        <w:t>any material governmental approvals and consents and any material permits, registrations and consents from Third Parties, in each case, necessary to effect the Dis</w:t>
      </w:r>
      <w:r>
        <w:rPr>
          <w:rFonts w:ascii="Arial" w:eastAsia="Arial" w:hAnsi="Arial" w:cs="Arial"/>
          <w:sz w:val="18"/>
          <w:szCs w:val="18"/>
        </w:rPr>
        <w:t>tribution shall have been obtained;</w:t>
      </w:r>
    </w:p>
    <w:p w14:paraId="3796ADC1" w14:textId="77777777" w:rsidR="00D1587D" w:rsidRDefault="00D1587D">
      <w:pPr>
        <w:spacing w:line="170" w:lineRule="exact"/>
        <w:rPr>
          <w:rFonts w:ascii="Arial" w:eastAsia="Arial" w:hAnsi="Arial" w:cs="Arial"/>
          <w:sz w:val="18"/>
          <w:szCs w:val="18"/>
        </w:rPr>
      </w:pPr>
    </w:p>
    <w:p w14:paraId="2A94A40D" w14:textId="77777777" w:rsidR="00D1587D" w:rsidRDefault="00410D07">
      <w:pPr>
        <w:numPr>
          <w:ilvl w:val="0"/>
          <w:numId w:val="23"/>
        </w:numPr>
        <w:tabs>
          <w:tab w:val="left" w:pos="2200"/>
        </w:tabs>
        <w:ind w:left="2200" w:hanging="572"/>
        <w:rPr>
          <w:rFonts w:ascii="Arial" w:eastAsia="Arial" w:hAnsi="Arial" w:cs="Arial"/>
          <w:sz w:val="18"/>
          <w:szCs w:val="18"/>
        </w:rPr>
      </w:pPr>
      <w:r>
        <w:rPr>
          <w:rFonts w:ascii="Arial" w:eastAsia="Arial" w:hAnsi="Arial" w:cs="Arial"/>
          <w:sz w:val="18"/>
          <w:szCs w:val="18"/>
        </w:rPr>
        <w:t>VS shall have entered into the Registration Rights Agreement with the other parties thereto; and</w:t>
      </w:r>
    </w:p>
    <w:p w14:paraId="23663F85" w14:textId="77777777" w:rsidR="00D1587D" w:rsidRDefault="00D1587D">
      <w:pPr>
        <w:spacing w:line="225" w:lineRule="exact"/>
        <w:rPr>
          <w:rFonts w:ascii="Arial" w:eastAsia="Arial" w:hAnsi="Arial" w:cs="Arial"/>
          <w:sz w:val="18"/>
          <w:szCs w:val="18"/>
        </w:rPr>
      </w:pPr>
    </w:p>
    <w:p w14:paraId="249F9F05" w14:textId="77777777" w:rsidR="00D1587D" w:rsidRDefault="00410D07">
      <w:pPr>
        <w:numPr>
          <w:ilvl w:val="0"/>
          <w:numId w:val="23"/>
        </w:numPr>
        <w:tabs>
          <w:tab w:val="left" w:pos="2207"/>
        </w:tabs>
        <w:spacing w:line="308" w:lineRule="auto"/>
        <w:ind w:left="660" w:right="160" w:firstLine="968"/>
        <w:rPr>
          <w:rFonts w:ascii="Arial" w:eastAsia="Arial" w:hAnsi="Arial" w:cs="Arial"/>
          <w:sz w:val="17"/>
          <w:szCs w:val="17"/>
        </w:rPr>
      </w:pPr>
      <w:r>
        <w:rPr>
          <w:rFonts w:ascii="Arial" w:eastAsia="Arial" w:hAnsi="Arial" w:cs="Arial"/>
          <w:sz w:val="17"/>
          <w:szCs w:val="17"/>
        </w:rPr>
        <w:t xml:space="preserve">no event or development shall have occurred or exist that, in the judgment of the Board of Directors of L Brands, in </w:t>
      </w:r>
      <w:r>
        <w:rPr>
          <w:rFonts w:ascii="Arial" w:eastAsia="Arial" w:hAnsi="Arial" w:cs="Arial"/>
          <w:sz w:val="17"/>
          <w:szCs w:val="17"/>
        </w:rPr>
        <w:t>its sole discretion, makes it inadvisable to effect the Distribution or the other transactions contemplated hereby or in an Ancillary Agreement.</w:t>
      </w:r>
    </w:p>
    <w:p w14:paraId="1AA44428" w14:textId="77777777" w:rsidR="00D1587D" w:rsidRDefault="00D1587D">
      <w:pPr>
        <w:spacing w:line="146" w:lineRule="exact"/>
        <w:rPr>
          <w:sz w:val="20"/>
          <w:szCs w:val="20"/>
        </w:rPr>
      </w:pPr>
    </w:p>
    <w:p w14:paraId="2AD774FF" w14:textId="77777777" w:rsidR="00D1587D" w:rsidRDefault="00410D07">
      <w:pPr>
        <w:numPr>
          <w:ilvl w:val="0"/>
          <w:numId w:val="24"/>
        </w:numPr>
        <w:tabs>
          <w:tab w:val="left" w:pos="1173"/>
        </w:tabs>
        <w:spacing w:line="257" w:lineRule="auto"/>
        <w:ind w:right="60" w:firstLine="656"/>
        <w:rPr>
          <w:rFonts w:ascii="Arial" w:eastAsia="Arial" w:hAnsi="Arial" w:cs="Arial"/>
          <w:sz w:val="18"/>
          <w:szCs w:val="18"/>
        </w:rPr>
      </w:pPr>
      <w:r>
        <w:rPr>
          <w:rFonts w:ascii="Arial" w:eastAsia="Arial" w:hAnsi="Arial" w:cs="Arial"/>
          <w:sz w:val="18"/>
          <w:szCs w:val="18"/>
        </w:rPr>
        <w:t>Each of the conditions set forth in Section 3.01(a) is for the sole benefit of L Brands and shall not give ris</w:t>
      </w:r>
      <w:r>
        <w:rPr>
          <w:rFonts w:ascii="Arial" w:eastAsia="Arial" w:hAnsi="Arial" w:cs="Arial"/>
          <w:sz w:val="18"/>
          <w:szCs w:val="18"/>
        </w:rPr>
        <w:t xml:space="preserve">e to or create any duty on the part of L Brands or its Board of Directors to waive or not to waive any such condition or to effect the Distribution, or in any way limit L Brands’ rights of termination as set forth in Section 6.12 or alter the consequences </w:t>
      </w:r>
      <w:r>
        <w:rPr>
          <w:rFonts w:ascii="Arial" w:eastAsia="Arial" w:hAnsi="Arial" w:cs="Arial"/>
          <w:sz w:val="18"/>
          <w:szCs w:val="18"/>
        </w:rPr>
        <w:t>of any termination from those specified in Section 6.12. Any determination made by L Brands on or prior to the Distribution concerning the satisfaction or waiver of any or all of the conditions set forth in this Section 3.01 shall be conclusive and binding</w:t>
      </w:r>
      <w:r>
        <w:rPr>
          <w:rFonts w:ascii="Arial" w:eastAsia="Arial" w:hAnsi="Arial" w:cs="Arial"/>
          <w:sz w:val="18"/>
          <w:szCs w:val="18"/>
        </w:rPr>
        <w:t xml:space="preserve"> on the Parties and all other affected Persons.</w:t>
      </w:r>
    </w:p>
    <w:p w14:paraId="26B01289" w14:textId="77777777" w:rsidR="00D1587D" w:rsidRDefault="00D1587D">
      <w:pPr>
        <w:spacing w:line="188" w:lineRule="exact"/>
        <w:rPr>
          <w:sz w:val="20"/>
          <w:szCs w:val="20"/>
        </w:rPr>
      </w:pPr>
    </w:p>
    <w:p w14:paraId="4BC3D894" w14:textId="77777777" w:rsidR="00D1587D" w:rsidRDefault="00410D07">
      <w:pPr>
        <w:spacing w:line="275" w:lineRule="auto"/>
        <w:ind w:right="100" w:firstLine="648"/>
        <w:rPr>
          <w:sz w:val="20"/>
          <w:szCs w:val="20"/>
        </w:rPr>
      </w:pPr>
      <w:r>
        <w:rPr>
          <w:rFonts w:ascii="Arial" w:eastAsia="Arial" w:hAnsi="Arial" w:cs="Arial"/>
          <w:sz w:val="17"/>
          <w:szCs w:val="17"/>
        </w:rPr>
        <w:t xml:space="preserve">Section 3.02. </w:t>
      </w:r>
      <w:r>
        <w:rPr>
          <w:rFonts w:ascii="Arial" w:eastAsia="Arial" w:hAnsi="Arial" w:cs="Arial"/>
          <w:i/>
          <w:iCs/>
          <w:sz w:val="17"/>
          <w:szCs w:val="17"/>
        </w:rPr>
        <w:t>The Distribution</w:t>
      </w:r>
      <w:r>
        <w:rPr>
          <w:rFonts w:ascii="Arial" w:eastAsia="Arial" w:hAnsi="Arial" w:cs="Arial"/>
          <w:sz w:val="17"/>
          <w:szCs w:val="17"/>
        </w:rPr>
        <w:t xml:space="preserve">. (a) L Brands shall, in its sole discretion, determine the Distribution Date and all terms of the Distribution, including the timing of the consummation of all or part of </w:t>
      </w:r>
      <w:r>
        <w:rPr>
          <w:rFonts w:ascii="Arial" w:eastAsia="Arial" w:hAnsi="Arial" w:cs="Arial"/>
          <w:sz w:val="17"/>
          <w:szCs w:val="17"/>
        </w:rPr>
        <w:t>the Distribution. L Brands may, at any time and from time to time until the consummation of the Distribution, modify or change the terms of the Distribution including by accelerating or delaying the timing of the consummation of all or part of the Distribu</w:t>
      </w:r>
      <w:r>
        <w:rPr>
          <w:rFonts w:ascii="Arial" w:eastAsia="Arial" w:hAnsi="Arial" w:cs="Arial"/>
          <w:sz w:val="17"/>
          <w:szCs w:val="17"/>
        </w:rPr>
        <w:t>tion. For the avoidance of doubt, nothing in this Agreement shall in any way limit L Brands’ right to terminate this Agreement or the Distribution as set forth in Section 6.12 or alter the consequences of any such termination from those specified in Sectio</w:t>
      </w:r>
      <w:r>
        <w:rPr>
          <w:rFonts w:ascii="Arial" w:eastAsia="Arial" w:hAnsi="Arial" w:cs="Arial"/>
          <w:sz w:val="17"/>
          <w:szCs w:val="17"/>
        </w:rPr>
        <w:t>n 6.12.</w:t>
      </w:r>
    </w:p>
    <w:p w14:paraId="33587232" w14:textId="77777777" w:rsidR="00D1587D" w:rsidRDefault="00D1587D">
      <w:pPr>
        <w:spacing w:line="163" w:lineRule="exact"/>
        <w:rPr>
          <w:sz w:val="20"/>
          <w:szCs w:val="20"/>
        </w:rPr>
      </w:pPr>
    </w:p>
    <w:p w14:paraId="6321A621" w14:textId="77777777" w:rsidR="00D1587D" w:rsidRDefault="00410D07">
      <w:pPr>
        <w:ind w:right="60"/>
        <w:jc w:val="center"/>
        <w:rPr>
          <w:sz w:val="20"/>
          <w:szCs w:val="20"/>
        </w:rPr>
      </w:pPr>
      <w:r>
        <w:rPr>
          <w:rFonts w:ascii="Arial" w:eastAsia="Arial" w:hAnsi="Arial" w:cs="Arial"/>
          <w:sz w:val="18"/>
          <w:szCs w:val="18"/>
        </w:rPr>
        <w:t>26</w:t>
      </w:r>
    </w:p>
    <w:p w14:paraId="1CEF2226" w14:textId="77777777" w:rsidR="00D1587D" w:rsidRDefault="00410D07">
      <w:pPr>
        <w:spacing w:line="20" w:lineRule="exact"/>
        <w:rPr>
          <w:sz w:val="20"/>
          <w:szCs w:val="20"/>
        </w:rPr>
      </w:pPr>
      <w:r>
        <w:rPr>
          <w:noProof/>
          <w:sz w:val="20"/>
          <w:szCs w:val="20"/>
        </w:rPr>
        <w:drawing>
          <wp:anchor distT="0" distB="0" distL="114300" distR="114300" simplePos="0" relativeHeight="251177984" behindDoc="1" locked="0" layoutInCell="0" allowOverlap="1" wp14:anchorId="62E47F7C" wp14:editId="72FB98A0">
            <wp:simplePos x="0" y="0"/>
            <wp:positionH relativeFrom="column">
              <wp:posOffset>5080</wp:posOffset>
            </wp:positionH>
            <wp:positionV relativeFrom="paragraph">
              <wp:posOffset>48895</wp:posOffset>
            </wp:positionV>
            <wp:extent cx="7132320" cy="1714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CFDBD56" w14:textId="77777777" w:rsidR="00D1587D" w:rsidRDefault="00D1587D">
      <w:pPr>
        <w:sectPr w:rsidR="00D1587D">
          <w:pgSz w:w="11900" w:h="16838"/>
          <w:pgMar w:top="341" w:right="339" w:bottom="1440" w:left="320" w:header="0" w:footer="0" w:gutter="0"/>
          <w:cols w:space="720" w:equalWidth="0">
            <w:col w:w="11240"/>
          </w:cols>
        </w:sectPr>
      </w:pPr>
    </w:p>
    <w:p w14:paraId="4D554231" w14:textId="77777777" w:rsidR="00D1587D" w:rsidRDefault="00410D07">
      <w:pPr>
        <w:numPr>
          <w:ilvl w:val="0"/>
          <w:numId w:val="25"/>
        </w:numPr>
        <w:tabs>
          <w:tab w:val="left" w:pos="1173"/>
        </w:tabs>
        <w:spacing w:line="254" w:lineRule="auto"/>
        <w:ind w:firstLine="656"/>
        <w:rPr>
          <w:rFonts w:ascii="Arial" w:eastAsia="Arial" w:hAnsi="Arial" w:cs="Arial"/>
          <w:sz w:val="18"/>
          <w:szCs w:val="18"/>
        </w:rPr>
      </w:pPr>
      <w:bookmarkStart w:id="35" w:name="page36"/>
      <w:bookmarkEnd w:id="35"/>
      <w:r>
        <w:rPr>
          <w:rFonts w:ascii="Arial" w:eastAsia="Arial" w:hAnsi="Arial" w:cs="Arial"/>
          <w:sz w:val="18"/>
          <w:szCs w:val="18"/>
        </w:rPr>
        <w:t>Subject to the terms and conditions set forth in this Agreement, (i) on or prior to the Distribution Date, L Brands shall take such steps as are reasonably necessary or appropriate to permit the Distribution by the Distrib</w:t>
      </w:r>
      <w:r>
        <w:rPr>
          <w:rFonts w:ascii="Arial" w:eastAsia="Arial" w:hAnsi="Arial" w:cs="Arial"/>
          <w:sz w:val="18"/>
          <w:szCs w:val="18"/>
        </w:rPr>
        <w:t>ution Agent of validly issued, fully paid and non-assessable shares of VS Common Stock, registered in book-entry form through the registration system, (ii) the Distribution shall be effective at the Distribution Time, and (iii) subject to Section 3.03, L B</w:t>
      </w:r>
      <w:r>
        <w:rPr>
          <w:rFonts w:ascii="Arial" w:eastAsia="Arial" w:hAnsi="Arial" w:cs="Arial"/>
          <w:sz w:val="18"/>
          <w:szCs w:val="18"/>
        </w:rPr>
        <w:t xml:space="preserve">rands shall instruct the Distribution Agent to distribute, on or as soon as practicable after the Distribution Date, to each holder of record of L Brands Common Stock as of the Record Date, by means of a </w:t>
      </w:r>
      <w:r>
        <w:rPr>
          <w:rFonts w:ascii="Arial" w:eastAsia="Arial" w:hAnsi="Arial" w:cs="Arial"/>
          <w:i/>
          <w:iCs/>
          <w:sz w:val="18"/>
          <w:szCs w:val="18"/>
        </w:rPr>
        <w:t>pro rata</w:t>
      </w:r>
      <w:r>
        <w:rPr>
          <w:rFonts w:ascii="Arial" w:eastAsia="Arial" w:hAnsi="Arial" w:cs="Arial"/>
          <w:sz w:val="18"/>
          <w:szCs w:val="18"/>
        </w:rPr>
        <w:t xml:space="preserve"> dividend, one share of VS Common Stock for </w:t>
      </w:r>
      <w:r>
        <w:rPr>
          <w:rFonts w:ascii="Arial" w:eastAsia="Arial" w:hAnsi="Arial" w:cs="Arial"/>
          <w:sz w:val="18"/>
          <w:szCs w:val="18"/>
        </w:rPr>
        <w:t>every [</w:t>
      </w:r>
      <w:r>
        <w:rPr>
          <w:rFonts w:ascii="Arial" w:eastAsia="Arial" w:hAnsi="Arial" w:cs="Arial"/>
          <w:b/>
          <w:bCs/>
          <w:sz w:val="18"/>
          <w:szCs w:val="18"/>
        </w:rPr>
        <w:t>—</w:t>
      </w:r>
      <w:r>
        <w:rPr>
          <w:rFonts w:ascii="Arial" w:eastAsia="Arial" w:hAnsi="Arial" w:cs="Arial"/>
          <w:sz w:val="18"/>
          <w:szCs w:val="18"/>
        </w:rPr>
        <w:t>] shares of L Brands Common Stock so held. VS will not issue paper stock certificates in respect of the VS Common Stock. Following the Distribution Date, VS agrees to provide all book-entry transfer authorizations for shares of VS Common Stock that</w:t>
      </w:r>
      <w:r>
        <w:rPr>
          <w:rFonts w:ascii="Arial" w:eastAsia="Arial" w:hAnsi="Arial" w:cs="Arial"/>
          <w:sz w:val="18"/>
          <w:szCs w:val="18"/>
        </w:rPr>
        <w:t xml:space="preserve"> L Brands or the Distribution Agent shall require (after giving effect to Section 3.03) in order to effect the Distribution.</w:t>
      </w:r>
    </w:p>
    <w:p w14:paraId="5AD9233F" w14:textId="77777777" w:rsidR="00D1587D" w:rsidRDefault="00D1587D">
      <w:pPr>
        <w:spacing w:line="191" w:lineRule="exact"/>
        <w:rPr>
          <w:rFonts w:ascii="Arial" w:eastAsia="Arial" w:hAnsi="Arial" w:cs="Arial"/>
          <w:sz w:val="18"/>
          <w:szCs w:val="18"/>
        </w:rPr>
      </w:pPr>
    </w:p>
    <w:p w14:paraId="572A12BC" w14:textId="77777777" w:rsidR="00D1587D" w:rsidRDefault="00410D07">
      <w:pPr>
        <w:numPr>
          <w:ilvl w:val="0"/>
          <w:numId w:val="25"/>
        </w:numPr>
        <w:tabs>
          <w:tab w:val="left" w:pos="1163"/>
        </w:tabs>
        <w:spacing w:line="273" w:lineRule="auto"/>
        <w:ind w:right="20" w:firstLine="656"/>
        <w:rPr>
          <w:rFonts w:ascii="Arial" w:eastAsia="Arial" w:hAnsi="Arial" w:cs="Arial"/>
          <w:sz w:val="17"/>
          <w:szCs w:val="17"/>
        </w:rPr>
      </w:pPr>
      <w:r>
        <w:rPr>
          <w:rFonts w:ascii="Arial" w:eastAsia="Arial" w:hAnsi="Arial" w:cs="Arial"/>
          <w:sz w:val="17"/>
          <w:szCs w:val="17"/>
        </w:rPr>
        <w:t>Until the VS Common Stock is duly transferred in accordance with this Article 3 and Applicable Law, from and after the Distributio</w:t>
      </w:r>
      <w:r>
        <w:rPr>
          <w:rFonts w:ascii="Arial" w:eastAsia="Arial" w:hAnsi="Arial" w:cs="Arial"/>
          <w:sz w:val="17"/>
          <w:szCs w:val="17"/>
        </w:rPr>
        <w:t>n Time, VS will regard the Persons entitled to receive such VS Common Stock as record holders of VS Common Stock in accordance with the terms of the Distribution without requiring any action on the part of such Persons. VS agrees that, subject to any trans</w:t>
      </w:r>
      <w:r>
        <w:rPr>
          <w:rFonts w:ascii="Arial" w:eastAsia="Arial" w:hAnsi="Arial" w:cs="Arial"/>
          <w:sz w:val="17"/>
          <w:szCs w:val="17"/>
        </w:rPr>
        <w:t>fers of such shares, from and after the Distribution Time (i) each such holder will be entitled to receive all dividends, if any, payable on, and exercise voting rights and all other rights and privileges with respect to, the shares of VS Common Stock then</w:t>
      </w:r>
      <w:r>
        <w:rPr>
          <w:rFonts w:ascii="Arial" w:eastAsia="Arial" w:hAnsi="Arial" w:cs="Arial"/>
          <w:sz w:val="17"/>
          <w:szCs w:val="17"/>
        </w:rPr>
        <w:t xml:space="preserve"> held by such holder, and (ii) each such holder will be entitled, without any action on the part of such holder, to receive evidence of ownership of the shares of VS Common Stock then held by such holder.</w:t>
      </w:r>
    </w:p>
    <w:p w14:paraId="041D90E4" w14:textId="77777777" w:rsidR="00D1587D" w:rsidRDefault="00D1587D">
      <w:pPr>
        <w:spacing w:line="178" w:lineRule="exact"/>
        <w:rPr>
          <w:sz w:val="20"/>
          <w:szCs w:val="20"/>
        </w:rPr>
      </w:pPr>
    </w:p>
    <w:p w14:paraId="7D4C1F17" w14:textId="77777777" w:rsidR="00D1587D" w:rsidRDefault="00410D07">
      <w:pPr>
        <w:spacing w:line="287" w:lineRule="auto"/>
        <w:ind w:right="60" w:firstLine="648"/>
        <w:rPr>
          <w:sz w:val="20"/>
          <w:szCs w:val="20"/>
        </w:rPr>
      </w:pPr>
      <w:r>
        <w:rPr>
          <w:rFonts w:ascii="Arial" w:eastAsia="Arial" w:hAnsi="Arial" w:cs="Arial"/>
          <w:sz w:val="16"/>
          <w:szCs w:val="16"/>
        </w:rPr>
        <w:t xml:space="preserve">Section 3.03. </w:t>
      </w:r>
      <w:r>
        <w:rPr>
          <w:rFonts w:ascii="Arial" w:eastAsia="Arial" w:hAnsi="Arial" w:cs="Arial"/>
          <w:i/>
          <w:iCs/>
          <w:sz w:val="16"/>
          <w:szCs w:val="16"/>
        </w:rPr>
        <w:t>Fractional Shares</w:t>
      </w:r>
      <w:r>
        <w:rPr>
          <w:rFonts w:ascii="Arial" w:eastAsia="Arial" w:hAnsi="Arial" w:cs="Arial"/>
          <w:sz w:val="16"/>
          <w:szCs w:val="16"/>
        </w:rPr>
        <w:t xml:space="preserve">. No </w:t>
      </w:r>
      <w:r>
        <w:rPr>
          <w:rFonts w:ascii="Arial" w:eastAsia="Arial" w:hAnsi="Arial" w:cs="Arial"/>
          <w:sz w:val="16"/>
          <w:szCs w:val="16"/>
        </w:rPr>
        <w:t>fractional shares of VS Common Stock will be distributed in the Distribution. The Distribution Agent will be directed to determine (based on the aggregate number of shares held by each holder) the number of whole shares and the fractional share of VS Commo</w:t>
      </w:r>
      <w:r>
        <w:rPr>
          <w:rFonts w:ascii="Arial" w:eastAsia="Arial" w:hAnsi="Arial" w:cs="Arial"/>
          <w:sz w:val="16"/>
          <w:szCs w:val="16"/>
        </w:rPr>
        <w:t>n Stock allocable to each holder of L Brands Common Stock as of the Record Date. Upon the determination by the Distribution Agent of such numbers of whole shares and fractional shares, as soon as practicable on or after the Distribution Date, the Distribut</w:t>
      </w:r>
      <w:r>
        <w:rPr>
          <w:rFonts w:ascii="Arial" w:eastAsia="Arial" w:hAnsi="Arial" w:cs="Arial"/>
          <w:sz w:val="16"/>
          <w:szCs w:val="16"/>
        </w:rPr>
        <w:t>ion Agent, acting on behalf of the holders thereof, shall aggregate the fractional shares into whole shares and shall sell the whole shares obtained thereby for cash on the open market (with the Distribution Agent, in its sole discretion, determining when,</w:t>
      </w:r>
      <w:r>
        <w:rPr>
          <w:rFonts w:ascii="Arial" w:eastAsia="Arial" w:hAnsi="Arial" w:cs="Arial"/>
          <w:sz w:val="16"/>
          <w:szCs w:val="16"/>
        </w:rPr>
        <w:t xml:space="preserve"> how and through which broker-dealer(s) and at which price(s) to make such sales) and shall thereafter promptly distribute to each such holder entitled thereto (</w:t>
      </w:r>
      <w:r>
        <w:rPr>
          <w:rFonts w:ascii="Arial" w:eastAsia="Arial" w:hAnsi="Arial" w:cs="Arial"/>
          <w:i/>
          <w:iCs/>
          <w:sz w:val="16"/>
          <w:szCs w:val="16"/>
        </w:rPr>
        <w:t>pro rata</w:t>
      </w:r>
      <w:r>
        <w:rPr>
          <w:rFonts w:ascii="Arial" w:eastAsia="Arial" w:hAnsi="Arial" w:cs="Arial"/>
          <w:sz w:val="16"/>
          <w:szCs w:val="16"/>
        </w:rPr>
        <w:t xml:space="preserve"> based on the fractional share such holder would have been entitled to receive in the D</w:t>
      </w:r>
      <w:r>
        <w:rPr>
          <w:rFonts w:ascii="Arial" w:eastAsia="Arial" w:hAnsi="Arial" w:cs="Arial"/>
          <w:sz w:val="16"/>
          <w:szCs w:val="16"/>
        </w:rPr>
        <w:t>istribution) the resulting aggregate cash proceeds, after making appropriate deductions of the amounts required to be withheld for United States federal income tax purposes, if any, and after deducting an amount equal to all brokerage fees and commissions,</w:t>
      </w:r>
      <w:r>
        <w:rPr>
          <w:rFonts w:ascii="Arial" w:eastAsia="Arial" w:hAnsi="Arial" w:cs="Arial"/>
          <w:sz w:val="16"/>
          <w:szCs w:val="16"/>
        </w:rPr>
        <w:t xml:space="preserve"> transfer taxes and other costs attributed to the sale of shares pursuant to this Section 3.03. Neither L Brands nor VS will be required to guarantee any minimum sale price for the fractional shares. Neither the Distribution Agent nor the broker-dealers th</w:t>
      </w:r>
      <w:r>
        <w:rPr>
          <w:rFonts w:ascii="Arial" w:eastAsia="Arial" w:hAnsi="Arial" w:cs="Arial"/>
          <w:sz w:val="16"/>
          <w:szCs w:val="16"/>
        </w:rPr>
        <w:t>rough which the aggregated fractional shares are sold shall be Affiliates of L Brands or VS. Recipients of cash in lieu of fractional shares will not be entitled to any interest on the amounts of payments made in lieu of fractional shares.</w:t>
      </w:r>
    </w:p>
    <w:p w14:paraId="6C51B242" w14:textId="77777777" w:rsidR="00D1587D" w:rsidRDefault="00D1587D">
      <w:pPr>
        <w:spacing w:line="154" w:lineRule="exact"/>
        <w:rPr>
          <w:sz w:val="20"/>
          <w:szCs w:val="20"/>
        </w:rPr>
      </w:pPr>
    </w:p>
    <w:p w14:paraId="15308664" w14:textId="77777777" w:rsidR="00D1587D" w:rsidRDefault="00410D07">
      <w:pPr>
        <w:ind w:right="60"/>
        <w:jc w:val="center"/>
        <w:rPr>
          <w:sz w:val="20"/>
          <w:szCs w:val="20"/>
        </w:rPr>
      </w:pPr>
      <w:r>
        <w:rPr>
          <w:rFonts w:ascii="Arial" w:eastAsia="Arial" w:hAnsi="Arial" w:cs="Arial"/>
          <w:sz w:val="18"/>
          <w:szCs w:val="18"/>
        </w:rPr>
        <w:t>27</w:t>
      </w:r>
    </w:p>
    <w:p w14:paraId="01A059E9" w14:textId="77777777" w:rsidR="00D1587D" w:rsidRDefault="00410D07">
      <w:pPr>
        <w:spacing w:line="20" w:lineRule="exact"/>
        <w:rPr>
          <w:sz w:val="20"/>
          <w:szCs w:val="20"/>
        </w:rPr>
      </w:pPr>
      <w:r>
        <w:rPr>
          <w:noProof/>
          <w:sz w:val="20"/>
          <w:szCs w:val="20"/>
        </w:rPr>
        <w:drawing>
          <wp:anchor distT="0" distB="0" distL="114300" distR="114300" simplePos="0" relativeHeight="251179008" behindDoc="1" locked="0" layoutInCell="0" allowOverlap="1" wp14:anchorId="391B3780" wp14:editId="642CE943">
            <wp:simplePos x="0" y="0"/>
            <wp:positionH relativeFrom="column">
              <wp:posOffset>5080</wp:posOffset>
            </wp:positionH>
            <wp:positionV relativeFrom="paragraph">
              <wp:posOffset>48895</wp:posOffset>
            </wp:positionV>
            <wp:extent cx="7132320" cy="1714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FA6003B" w14:textId="77777777" w:rsidR="00D1587D" w:rsidRDefault="00D1587D">
      <w:pPr>
        <w:sectPr w:rsidR="00D1587D">
          <w:pgSz w:w="11900" w:h="16838"/>
          <w:pgMar w:top="341" w:right="339" w:bottom="1440" w:left="320" w:header="0" w:footer="0" w:gutter="0"/>
          <w:cols w:space="720" w:equalWidth="0">
            <w:col w:w="11240"/>
          </w:cols>
        </w:sectPr>
      </w:pPr>
    </w:p>
    <w:p w14:paraId="1E63C74E" w14:textId="77777777" w:rsidR="00D1587D" w:rsidRDefault="00410D07">
      <w:pPr>
        <w:spacing w:line="251" w:lineRule="auto"/>
        <w:ind w:firstLine="648"/>
        <w:rPr>
          <w:sz w:val="20"/>
          <w:szCs w:val="20"/>
        </w:rPr>
      </w:pPr>
      <w:bookmarkStart w:id="36" w:name="page37"/>
      <w:bookmarkEnd w:id="36"/>
      <w:r>
        <w:rPr>
          <w:rFonts w:ascii="Arial" w:eastAsia="Arial" w:hAnsi="Arial" w:cs="Arial"/>
          <w:sz w:val="18"/>
          <w:szCs w:val="18"/>
        </w:rPr>
        <w:t xml:space="preserve">Section 3.04. </w:t>
      </w:r>
      <w:r>
        <w:rPr>
          <w:rFonts w:ascii="Arial" w:eastAsia="Arial" w:hAnsi="Arial" w:cs="Arial"/>
          <w:i/>
          <w:iCs/>
          <w:sz w:val="18"/>
          <w:szCs w:val="18"/>
        </w:rPr>
        <w:t>NO REPRESENTATIONS OR WARRANTIES.</w:t>
      </w:r>
      <w:r>
        <w:rPr>
          <w:rFonts w:ascii="Arial" w:eastAsia="Arial" w:hAnsi="Arial" w:cs="Arial"/>
          <w:sz w:val="18"/>
          <w:szCs w:val="18"/>
        </w:rPr>
        <w:t xml:space="preserve"> EXCEPT AS EXPRESSLY SET FORTH HEREIN OR IN ANY OTHER DISTRIBUTION DOCUMENT, NO MEMBER OF EITHER GROUP MAKES ANY REPRESENTATION OR WARRANTY OF ANY KIND WHATSOEVER, EXPRESS OR IMPLIED, TO AN</w:t>
      </w:r>
      <w:r>
        <w:rPr>
          <w:rFonts w:ascii="Arial" w:eastAsia="Arial" w:hAnsi="Arial" w:cs="Arial"/>
          <w:sz w:val="18"/>
          <w:szCs w:val="18"/>
        </w:rPr>
        <w:t xml:space="preserve">Y MEMBER OF THE OTHER GROUP OR ANY OTHER PERSON WITH RESPECT TO ANY OF THE TRANSACTIONS OR MATTERS CONTEMPLATED HEREBY OR IN ANY OTHER DISTRIBUTION DOCUMENT (INCLUDING WITH RESPECT TO THE BUSINESS, ASSETS, LIABILITIES, CONDITION OR PROSPECTS (FINANCIAL OR </w:t>
      </w:r>
      <w:r>
        <w:rPr>
          <w:rFonts w:ascii="Arial" w:eastAsia="Arial" w:hAnsi="Arial" w:cs="Arial"/>
          <w:sz w:val="18"/>
          <w:szCs w:val="18"/>
        </w:rPr>
        <w:t>OTHERWISE) OF, OR ANY OTHER MATTER INVOLVING, EITHER BUSINESS, OR THE SUFFICIENCY OF ANY ASSETS TRANSFERRED OR LICENSED TO THE APPLICABLE GROUP, OR ANY CONSENTS OR APPROVALS REQUIRED IN CONNECTION WITH SUCH TRANSFER OR LICENSE OR THE TITLE TO ANY SUCH ASSE</w:t>
      </w:r>
      <w:r>
        <w:rPr>
          <w:rFonts w:ascii="Arial" w:eastAsia="Arial" w:hAnsi="Arial" w:cs="Arial"/>
          <w:sz w:val="18"/>
          <w:szCs w:val="18"/>
        </w:rPr>
        <w:t xml:space="preserve">TS, OR THE VALUE OR FREEDOM FROM ANY SECURITY INTERESTS OF, OR ANY OTHER MATTER CONCERNING, ANY SUCH ASSETS, OR THAT ANY REQUIREMENTS OF APPLICABLE LAW ARE COMPLIED WITH WITH RESPECT TO THE RESTRUCTURING OR THE DISTRIBUTION, OR THE ABSENCE OF ANY DEFENSES </w:t>
      </w:r>
      <w:r>
        <w:rPr>
          <w:rFonts w:ascii="Arial" w:eastAsia="Arial" w:hAnsi="Arial" w:cs="Arial"/>
          <w:sz w:val="18"/>
          <w:szCs w:val="18"/>
        </w:rPr>
        <w:t>OR RIGHT OF SETOFF OR FREEDOM FROM COUNTERCLAIM WITH RESPECT TO ANY CLAIM OR OTHER ASSET, INCLUDING ANY ACCOUNTS RECEIVABLE, OF ANY PARTY). EXCEPT AS EXPRESSLY SET FORTH HEREIN OR IN ANY OTHER DISTRIBUTION DOCUMENT, EACH MEMBER OF EACH GROUP SHALL TAKE ALL</w:t>
      </w:r>
      <w:r>
        <w:rPr>
          <w:rFonts w:ascii="Arial" w:eastAsia="Arial" w:hAnsi="Arial" w:cs="Arial"/>
          <w:sz w:val="18"/>
          <w:szCs w:val="18"/>
        </w:rPr>
        <w:t xml:space="preserve"> OF THE BUSINESS, ASSETS AND LIABILITIES TRANSFERRED OR LICENSED TO OR ASSUMED BY IT PURSUANT TO THIS AGREEMENT OR ANY DISTRIBUTION DOCUMENT ON AN “AS IS, WHERE IS” BASIS, AND ALL IMPLIED WARRANTIES OF MERCHANTABILITY, FITNESS FOR A SPECIFIC PURPOSE OR OTH</w:t>
      </w:r>
      <w:r>
        <w:rPr>
          <w:rFonts w:ascii="Arial" w:eastAsia="Arial" w:hAnsi="Arial" w:cs="Arial"/>
          <w:sz w:val="18"/>
          <w:szCs w:val="18"/>
        </w:rPr>
        <w:t>ERWISE ARE HEREBY EXPRESSLY DISCLAIMED AND THE RESPECTIVE TRANSFEREES SHALL BEAR THE ECONOMIC AND LEGAL RISKS THAT (I) ANY CONVEYANCE WILL PROVE TO BE INSUFFICIENT TO VEST IN THE TRANSFEREE GOOD AND MARKETABLE TITLE, FREE AND CLEAR OF ANY SECURITY INTEREST</w:t>
      </w:r>
      <w:r>
        <w:rPr>
          <w:rFonts w:ascii="Arial" w:eastAsia="Arial" w:hAnsi="Arial" w:cs="Arial"/>
          <w:sz w:val="18"/>
          <w:szCs w:val="18"/>
        </w:rPr>
        <w:t>, AND (II) ANY NECESSARY APPROVALS OR NOTIFICATIONS ARE NOT OBTAINED OR MADE OR THAT ANY REQUIREMENTS OF LAWS OR JUDGMENTS ARE NOT COMPLIED WITH.</w:t>
      </w:r>
    </w:p>
    <w:p w14:paraId="74E1C1B1" w14:textId="77777777" w:rsidR="00D1587D" w:rsidRDefault="00D1587D">
      <w:pPr>
        <w:spacing w:line="194" w:lineRule="exact"/>
        <w:rPr>
          <w:sz w:val="20"/>
          <w:szCs w:val="20"/>
        </w:rPr>
      </w:pPr>
    </w:p>
    <w:p w14:paraId="13D092A6" w14:textId="77777777" w:rsidR="00D1587D" w:rsidRDefault="00410D07">
      <w:pPr>
        <w:ind w:right="60"/>
        <w:jc w:val="center"/>
        <w:rPr>
          <w:sz w:val="20"/>
          <w:szCs w:val="20"/>
        </w:rPr>
      </w:pPr>
      <w:r>
        <w:rPr>
          <w:rFonts w:ascii="Arial" w:eastAsia="Arial" w:hAnsi="Arial" w:cs="Arial"/>
          <w:sz w:val="18"/>
          <w:szCs w:val="18"/>
        </w:rPr>
        <w:t>28</w:t>
      </w:r>
    </w:p>
    <w:p w14:paraId="43969AC9" w14:textId="77777777" w:rsidR="00D1587D" w:rsidRDefault="00410D07">
      <w:pPr>
        <w:spacing w:line="20" w:lineRule="exact"/>
        <w:rPr>
          <w:sz w:val="20"/>
          <w:szCs w:val="20"/>
        </w:rPr>
      </w:pPr>
      <w:r>
        <w:rPr>
          <w:noProof/>
          <w:sz w:val="20"/>
          <w:szCs w:val="20"/>
        </w:rPr>
        <w:drawing>
          <wp:anchor distT="0" distB="0" distL="114300" distR="114300" simplePos="0" relativeHeight="251180032" behindDoc="1" locked="0" layoutInCell="0" allowOverlap="1" wp14:anchorId="29FD9F49" wp14:editId="01D4753C">
            <wp:simplePos x="0" y="0"/>
            <wp:positionH relativeFrom="column">
              <wp:posOffset>5080</wp:posOffset>
            </wp:positionH>
            <wp:positionV relativeFrom="paragraph">
              <wp:posOffset>48895</wp:posOffset>
            </wp:positionV>
            <wp:extent cx="7132320" cy="1714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3BCD881" w14:textId="77777777" w:rsidR="00D1587D" w:rsidRDefault="00D1587D">
      <w:pPr>
        <w:sectPr w:rsidR="00D1587D">
          <w:pgSz w:w="11900" w:h="16838"/>
          <w:pgMar w:top="341" w:right="339" w:bottom="1440" w:left="320" w:header="0" w:footer="0" w:gutter="0"/>
          <w:cols w:space="720" w:equalWidth="0">
            <w:col w:w="11240"/>
          </w:cols>
        </w:sectPr>
      </w:pPr>
    </w:p>
    <w:p w14:paraId="7ECA8B46" w14:textId="77777777" w:rsidR="00D1587D" w:rsidRDefault="00410D07">
      <w:pPr>
        <w:ind w:right="-19"/>
        <w:jc w:val="center"/>
        <w:rPr>
          <w:sz w:val="20"/>
          <w:szCs w:val="20"/>
        </w:rPr>
      </w:pPr>
      <w:bookmarkStart w:id="37" w:name="page38"/>
      <w:bookmarkEnd w:id="37"/>
      <w:r>
        <w:rPr>
          <w:rFonts w:ascii="Arial" w:eastAsia="Arial" w:hAnsi="Arial" w:cs="Arial"/>
          <w:sz w:val="18"/>
          <w:szCs w:val="18"/>
        </w:rPr>
        <w:t>ARTICLE 4</w:t>
      </w:r>
    </w:p>
    <w:p w14:paraId="3B4E0865" w14:textId="77777777" w:rsidR="00D1587D" w:rsidRDefault="00D1587D">
      <w:pPr>
        <w:spacing w:line="23" w:lineRule="exact"/>
        <w:rPr>
          <w:sz w:val="20"/>
          <w:szCs w:val="20"/>
        </w:rPr>
      </w:pPr>
    </w:p>
    <w:p w14:paraId="3BA4F038" w14:textId="77777777" w:rsidR="00D1587D" w:rsidRDefault="00410D07">
      <w:pPr>
        <w:ind w:right="-19"/>
        <w:jc w:val="center"/>
        <w:rPr>
          <w:sz w:val="20"/>
          <w:szCs w:val="20"/>
        </w:rPr>
      </w:pPr>
      <w:r>
        <w:rPr>
          <w:rFonts w:ascii="Arial" w:eastAsia="Arial" w:hAnsi="Arial" w:cs="Arial"/>
          <w:sz w:val="18"/>
          <w:szCs w:val="18"/>
        </w:rPr>
        <w:t>C</w:t>
      </w:r>
      <w:r>
        <w:rPr>
          <w:rFonts w:ascii="Arial" w:eastAsia="Arial" w:hAnsi="Arial" w:cs="Arial"/>
          <w:sz w:val="12"/>
          <w:szCs w:val="12"/>
        </w:rPr>
        <w:t>OVENANTS</w:t>
      </w:r>
    </w:p>
    <w:p w14:paraId="41A072E7" w14:textId="77777777" w:rsidR="00D1587D" w:rsidRDefault="00D1587D">
      <w:pPr>
        <w:spacing w:line="211" w:lineRule="exact"/>
        <w:rPr>
          <w:sz w:val="20"/>
          <w:szCs w:val="20"/>
        </w:rPr>
      </w:pPr>
    </w:p>
    <w:p w14:paraId="4364EA99" w14:textId="77777777" w:rsidR="00D1587D" w:rsidRDefault="00410D07">
      <w:pPr>
        <w:spacing w:line="286" w:lineRule="auto"/>
        <w:ind w:right="120" w:firstLine="648"/>
        <w:rPr>
          <w:sz w:val="20"/>
          <w:szCs w:val="20"/>
        </w:rPr>
      </w:pPr>
      <w:r>
        <w:rPr>
          <w:rFonts w:ascii="Arial" w:eastAsia="Arial" w:hAnsi="Arial" w:cs="Arial"/>
          <w:sz w:val="16"/>
          <w:szCs w:val="16"/>
        </w:rPr>
        <w:t xml:space="preserve">Section 4.01. </w:t>
      </w:r>
      <w:r>
        <w:rPr>
          <w:rFonts w:ascii="Arial" w:eastAsia="Arial" w:hAnsi="Arial" w:cs="Arial"/>
          <w:i/>
          <w:iCs/>
          <w:sz w:val="16"/>
          <w:szCs w:val="16"/>
        </w:rPr>
        <w:t>Access to Information</w:t>
      </w:r>
      <w:r>
        <w:rPr>
          <w:rFonts w:ascii="Arial" w:eastAsia="Arial" w:hAnsi="Arial" w:cs="Arial"/>
          <w:sz w:val="16"/>
          <w:szCs w:val="16"/>
        </w:rPr>
        <w:t>. (a) For a period of seven</w:t>
      </w:r>
      <w:r>
        <w:rPr>
          <w:rFonts w:ascii="Arial" w:eastAsia="Arial" w:hAnsi="Arial" w:cs="Arial"/>
          <w:sz w:val="16"/>
          <w:szCs w:val="16"/>
        </w:rPr>
        <w:t xml:space="preserve"> (7) years after the Distribution Date, each Group shall afford promptly the other Group and its agents and, to the extent required by Applicable Law, authorized representatives of any Governmental Authority of competent jurisdiction, reasonable access (wh</w:t>
      </w:r>
      <w:r>
        <w:rPr>
          <w:rFonts w:ascii="Arial" w:eastAsia="Arial" w:hAnsi="Arial" w:cs="Arial"/>
          <w:sz w:val="16"/>
          <w:szCs w:val="16"/>
        </w:rPr>
        <w:t>ich shall include, to the extent reasonably requested, the right to make copies) during normal business hours to its books of account, financial and other records (including accountant’s work papers, to the extent any required consents have been obtained),</w:t>
      </w:r>
      <w:r>
        <w:rPr>
          <w:rFonts w:ascii="Arial" w:eastAsia="Arial" w:hAnsi="Arial" w:cs="Arial"/>
          <w:sz w:val="16"/>
          <w:szCs w:val="16"/>
        </w:rPr>
        <w:t xml:space="preserve"> information (excluding any Commercial Data), employees and auditors to the extent necessary or useful for such other Group in connection with any audit, investigation, dispute or litigation, complying with their obligations under this Agreement or any Anc</w:t>
      </w:r>
      <w:r>
        <w:rPr>
          <w:rFonts w:ascii="Arial" w:eastAsia="Arial" w:hAnsi="Arial" w:cs="Arial"/>
          <w:sz w:val="16"/>
          <w:szCs w:val="16"/>
        </w:rPr>
        <w:t>illary Agreement, any regulatory proceeding, any regulatory filings, complying with reporting disclosure requirements or any other requirements imposed by any Governmental Authority or any other reasonable business purpose of the Group requesting such acce</w:t>
      </w:r>
      <w:r>
        <w:rPr>
          <w:rFonts w:ascii="Arial" w:eastAsia="Arial" w:hAnsi="Arial" w:cs="Arial"/>
          <w:sz w:val="16"/>
          <w:szCs w:val="16"/>
        </w:rPr>
        <w:t xml:space="preserve">ss that relates to such Group’s assets or Liabilities; </w:t>
      </w:r>
      <w:r>
        <w:rPr>
          <w:rFonts w:ascii="Arial" w:eastAsia="Arial" w:hAnsi="Arial" w:cs="Arial"/>
          <w:i/>
          <w:iCs/>
          <w:sz w:val="16"/>
          <w:szCs w:val="16"/>
        </w:rPr>
        <w:t>provided</w:t>
      </w:r>
      <w:r>
        <w:rPr>
          <w:rFonts w:ascii="Arial" w:eastAsia="Arial" w:hAnsi="Arial" w:cs="Arial"/>
          <w:sz w:val="16"/>
          <w:szCs w:val="16"/>
        </w:rPr>
        <w:t xml:space="preserve"> that (i) any such access shall not unreasonably interfere with the conduct of the business of the Group providing such access and (ii) if any Party reasonably determines that affording any suc</w:t>
      </w:r>
      <w:r>
        <w:rPr>
          <w:rFonts w:ascii="Arial" w:eastAsia="Arial" w:hAnsi="Arial" w:cs="Arial"/>
          <w:sz w:val="16"/>
          <w:szCs w:val="16"/>
        </w:rPr>
        <w:t>h access to the other Party would be commercially detrimental in any material respect or violate any Applicable Law or agreement to which such Party or member of its Group is a party, or waive any Privilege applicable to such Party or any member of its Gro</w:t>
      </w:r>
      <w:r>
        <w:rPr>
          <w:rFonts w:ascii="Arial" w:eastAsia="Arial" w:hAnsi="Arial" w:cs="Arial"/>
          <w:sz w:val="16"/>
          <w:szCs w:val="16"/>
        </w:rPr>
        <w:t>up, the Parties shall use commercially reasonable efforts to permit the compliance with such request in a manner that avoids any such harm or consequence. The Party providing information pursuant to this Section 4.01 shall only be obligated to provide such</w:t>
      </w:r>
      <w:r>
        <w:rPr>
          <w:rFonts w:ascii="Arial" w:eastAsia="Arial" w:hAnsi="Arial" w:cs="Arial"/>
          <w:sz w:val="16"/>
          <w:szCs w:val="16"/>
        </w:rPr>
        <w:t xml:space="preserve"> information in the form, condition and format in which it then exists, and in no event shall such Party be required to perform any improvement, modification, conversion, updating or reformatting of any such information.</w:t>
      </w:r>
    </w:p>
    <w:p w14:paraId="1188D1E4" w14:textId="77777777" w:rsidR="00D1587D" w:rsidRDefault="00D1587D">
      <w:pPr>
        <w:spacing w:line="171" w:lineRule="exact"/>
        <w:rPr>
          <w:sz w:val="20"/>
          <w:szCs w:val="20"/>
        </w:rPr>
      </w:pPr>
    </w:p>
    <w:p w14:paraId="48E8D74B" w14:textId="77777777" w:rsidR="00D1587D" w:rsidRDefault="00410D07">
      <w:pPr>
        <w:numPr>
          <w:ilvl w:val="0"/>
          <w:numId w:val="26"/>
        </w:numPr>
        <w:tabs>
          <w:tab w:val="left" w:pos="1169"/>
        </w:tabs>
        <w:spacing w:line="269" w:lineRule="auto"/>
        <w:ind w:firstLine="656"/>
        <w:rPr>
          <w:rFonts w:ascii="Arial" w:eastAsia="Arial" w:hAnsi="Arial" w:cs="Arial"/>
          <w:sz w:val="17"/>
          <w:szCs w:val="17"/>
        </w:rPr>
      </w:pPr>
      <w:r>
        <w:rPr>
          <w:rFonts w:ascii="Arial" w:eastAsia="Arial" w:hAnsi="Arial" w:cs="Arial"/>
          <w:sz w:val="17"/>
          <w:szCs w:val="17"/>
        </w:rPr>
        <w:t>Without limiting the generality of</w:t>
      </w:r>
      <w:r>
        <w:rPr>
          <w:rFonts w:ascii="Arial" w:eastAsia="Arial" w:hAnsi="Arial" w:cs="Arial"/>
          <w:sz w:val="17"/>
          <w:szCs w:val="17"/>
        </w:rPr>
        <w:t xml:space="preserve"> the foregoing, until the end of the first full VS fiscal year occurring after the Distribution Date (and for a reasonable period of time afterwards as required for each Party to prepare consolidated financial statements or complete a financial statement a</w:t>
      </w:r>
      <w:r>
        <w:rPr>
          <w:rFonts w:ascii="Arial" w:eastAsia="Arial" w:hAnsi="Arial" w:cs="Arial"/>
          <w:sz w:val="17"/>
          <w:szCs w:val="17"/>
        </w:rPr>
        <w:t xml:space="preserve">udit for the fiscal year during which the Distribution Date occurs), each Party shall use its commercially reasonable efforts to cooperate with the other Party’s information requests (other than with respect to any Commercial Data) to enable (i) the other </w:t>
      </w:r>
      <w:r>
        <w:rPr>
          <w:rFonts w:ascii="Arial" w:eastAsia="Arial" w:hAnsi="Arial" w:cs="Arial"/>
          <w:sz w:val="17"/>
          <w:szCs w:val="17"/>
        </w:rPr>
        <w:t>Party to meet its timetable for dissemination of its earnings releases, financial statements and management’s assessment of the effectiveness of its disclosure controls and procedures and its internal control over financial reporting in accordance with Ite</w:t>
      </w:r>
      <w:r>
        <w:rPr>
          <w:rFonts w:ascii="Arial" w:eastAsia="Arial" w:hAnsi="Arial" w:cs="Arial"/>
          <w:sz w:val="17"/>
          <w:szCs w:val="17"/>
        </w:rPr>
        <w:t>ms 307 and 308, respectively, of Regulation S-K promulgated under the Exchange Act; and (ii) the other Party’s auditors to timely complete their review of the quarterly financial statements and audit of the annual financial statements, including, to the ex</w:t>
      </w:r>
      <w:r>
        <w:rPr>
          <w:rFonts w:ascii="Arial" w:eastAsia="Arial" w:hAnsi="Arial" w:cs="Arial"/>
          <w:sz w:val="17"/>
          <w:szCs w:val="17"/>
        </w:rPr>
        <w:t>tent applicable to such Party, its auditor’s audit of its internal control over financial reporting and management’s assessment thereof in accordance with Section 404 of the Sarbanes-Oxley Act of 2002, the Commission’s and the Public Company Accounting Ove</w:t>
      </w:r>
      <w:r>
        <w:rPr>
          <w:rFonts w:ascii="Arial" w:eastAsia="Arial" w:hAnsi="Arial" w:cs="Arial"/>
          <w:sz w:val="17"/>
          <w:szCs w:val="17"/>
        </w:rPr>
        <w:t>rsight Board’s rules and auditing standards thereunder and any other Applicable Law.</w:t>
      </w:r>
    </w:p>
    <w:p w14:paraId="27982C51" w14:textId="77777777" w:rsidR="00D1587D" w:rsidRDefault="00D1587D">
      <w:pPr>
        <w:spacing w:line="172" w:lineRule="exact"/>
        <w:rPr>
          <w:sz w:val="20"/>
          <w:szCs w:val="20"/>
        </w:rPr>
      </w:pPr>
    </w:p>
    <w:p w14:paraId="13E8F1A0" w14:textId="77777777" w:rsidR="00D1587D" w:rsidRDefault="00410D07">
      <w:pPr>
        <w:ind w:right="40"/>
        <w:jc w:val="center"/>
        <w:rPr>
          <w:sz w:val="20"/>
          <w:szCs w:val="20"/>
        </w:rPr>
      </w:pPr>
      <w:r>
        <w:rPr>
          <w:rFonts w:ascii="Arial" w:eastAsia="Arial" w:hAnsi="Arial" w:cs="Arial"/>
          <w:sz w:val="18"/>
          <w:szCs w:val="18"/>
        </w:rPr>
        <w:t>29</w:t>
      </w:r>
    </w:p>
    <w:p w14:paraId="6A8A4490" w14:textId="77777777" w:rsidR="00D1587D" w:rsidRDefault="00410D07">
      <w:pPr>
        <w:spacing w:line="20" w:lineRule="exact"/>
        <w:rPr>
          <w:sz w:val="20"/>
          <w:szCs w:val="20"/>
        </w:rPr>
      </w:pPr>
      <w:r>
        <w:rPr>
          <w:noProof/>
          <w:sz w:val="20"/>
          <w:szCs w:val="20"/>
        </w:rPr>
        <w:drawing>
          <wp:anchor distT="0" distB="0" distL="114300" distR="114300" simplePos="0" relativeHeight="251181056" behindDoc="1" locked="0" layoutInCell="0" allowOverlap="1" wp14:anchorId="4EA23DBC" wp14:editId="41274551">
            <wp:simplePos x="0" y="0"/>
            <wp:positionH relativeFrom="column">
              <wp:posOffset>5080</wp:posOffset>
            </wp:positionH>
            <wp:positionV relativeFrom="paragraph">
              <wp:posOffset>48895</wp:posOffset>
            </wp:positionV>
            <wp:extent cx="7132320" cy="1714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575466A" w14:textId="77777777" w:rsidR="00D1587D" w:rsidRDefault="00D1587D">
      <w:pPr>
        <w:sectPr w:rsidR="00D1587D">
          <w:pgSz w:w="11900" w:h="16838"/>
          <w:pgMar w:top="341" w:right="359" w:bottom="1440" w:left="320" w:header="0" w:footer="0" w:gutter="0"/>
          <w:cols w:space="720" w:equalWidth="0">
            <w:col w:w="11220"/>
          </w:cols>
        </w:sectPr>
      </w:pPr>
    </w:p>
    <w:p w14:paraId="0F1B4540" w14:textId="77777777" w:rsidR="00D1587D" w:rsidRDefault="00410D07">
      <w:pPr>
        <w:spacing w:line="291" w:lineRule="auto"/>
        <w:ind w:right="180" w:firstLine="648"/>
        <w:rPr>
          <w:sz w:val="20"/>
          <w:szCs w:val="20"/>
        </w:rPr>
      </w:pPr>
      <w:bookmarkStart w:id="38" w:name="page39"/>
      <w:bookmarkEnd w:id="38"/>
      <w:r>
        <w:rPr>
          <w:rFonts w:ascii="Arial" w:eastAsia="Arial" w:hAnsi="Arial" w:cs="Arial"/>
          <w:sz w:val="16"/>
          <w:szCs w:val="16"/>
        </w:rPr>
        <w:t xml:space="preserve">Section 4.02. </w:t>
      </w:r>
      <w:r>
        <w:rPr>
          <w:rFonts w:ascii="Arial" w:eastAsia="Arial" w:hAnsi="Arial" w:cs="Arial"/>
          <w:i/>
          <w:iCs/>
          <w:sz w:val="16"/>
          <w:szCs w:val="16"/>
        </w:rPr>
        <w:t>Litigation Cooperation</w:t>
      </w:r>
      <w:r>
        <w:rPr>
          <w:rFonts w:ascii="Arial" w:eastAsia="Arial" w:hAnsi="Arial" w:cs="Arial"/>
          <w:sz w:val="16"/>
          <w:szCs w:val="16"/>
        </w:rPr>
        <w:t xml:space="preserve">. (a) After the Distribution Time (except in the case of a dispute between L Brands and VS, or any </w:t>
      </w:r>
      <w:r>
        <w:rPr>
          <w:rFonts w:ascii="Arial" w:eastAsia="Arial" w:hAnsi="Arial" w:cs="Arial"/>
          <w:sz w:val="16"/>
          <w:szCs w:val="16"/>
        </w:rPr>
        <w:t xml:space="preserve">members of their respective Groups), each Group shall use commercially reasonable efforts to make available to the other Group and its attorneys, accountants, consultants and other designated representatives, upon written request, its directors, officers, </w:t>
      </w:r>
      <w:r>
        <w:rPr>
          <w:rFonts w:ascii="Arial" w:eastAsia="Arial" w:hAnsi="Arial" w:cs="Arial"/>
          <w:sz w:val="16"/>
          <w:szCs w:val="16"/>
        </w:rPr>
        <w:t>employees and representatives as witnesses and any books, records or other documents within its control or which it otherwise has the ability to make available without undue burden, to the extent that any such person (giving consideration to business deman</w:t>
      </w:r>
      <w:r>
        <w:rPr>
          <w:rFonts w:ascii="Arial" w:eastAsia="Arial" w:hAnsi="Arial" w:cs="Arial"/>
          <w:sz w:val="16"/>
          <w:szCs w:val="16"/>
        </w:rPr>
        <w:t>ds of such directors, officers, employees and representatives) or books, records or other documents may reasonably be required in connection with any Action in which the requesting Party (or member of its Group) may from time to time be involved, regardles</w:t>
      </w:r>
      <w:r>
        <w:rPr>
          <w:rFonts w:ascii="Arial" w:eastAsia="Arial" w:hAnsi="Arial" w:cs="Arial"/>
          <w:sz w:val="16"/>
          <w:szCs w:val="16"/>
        </w:rPr>
        <w:t>s of whether such Action is a matter with respect to which indemnification may be sought hereunder.</w:t>
      </w:r>
    </w:p>
    <w:p w14:paraId="243C5B94" w14:textId="77777777" w:rsidR="00D1587D" w:rsidRDefault="00D1587D">
      <w:pPr>
        <w:spacing w:line="166" w:lineRule="exact"/>
        <w:rPr>
          <w:sz w:val="20"/>
          <w:szCs w:val="20"/>
        </w:rPr>
      </w:pPr>
    </w:p>
    <w:p w14:paraId="3A920080" w14:textId="77777777" w:rsidR="00D1587D" w:rsidRDefault="00410D07">
      <w:pPr>
        <w:numPr>
          <w:ilvl w:val="0"/>
          <w:numId w:val="27"/>
        </w:numPr>
        <w:tabs>
          <w:tab w:val="left" w:pos="1173"/>
        </w:tabs>
        <w:spacing w:line="257" w:lineRule="auto"/>
        <w:ind w:firstLine="656"/>
        <w:rPr>
          <w:rFonts w:ascii="Arial" w:eastAsia="Arial" w:hAnsi="Arial" w:cs="Arial"/>
          <w:sz w:val="18"/>
          <w:szCs w:val="18"/>
        </w:rPr>
      </w:pPr>
      <w:r>
        <w:rPr>
          <w:rFonts w:ascii="Arial" w:eastAsia="Arial" w:hAnsi="Arial" w:cs="Arial"/>
          <w:sz w:val="18"/>
          <w:szCs w:val="18"/>
        </w:rPr>
        <w:t>Notwithstanding the foregoing, this Section 4.02 shall not require the Party to whom any request pursuant to Section 4.02(a) has been made to make available Persons or information if such party determines that doing so would, in the reasonable good faith j</w:t>
      </w:r>
      <w:r>
        <w:rPr>
          <w:rFonts w:ascii="Arial" w:eastAsia="Arial" w:hAnsi="Arial" w:cs="Arial"/>
          <w:sz w:val="18"/>
          <w:szCs w:val="18"/>
        </w:rPr>
        <w:t xml:space="preserve">udgment of such party, reasonably be expected to result in any violation of any Applicable Law or agreement or adversely affect its ability to successfully assert a claim of Privilege under Applicable Law; </w:t>
      </w:r>
      <w:r>
        <w:rPr>
          <w:rFonts w:ascii="Arial" w:eastAsia="Arial" w:hAnsi="Arial" w:cs="Arial"/>
          <w:i/>
          <w:iCs/>
          <w:sz w:val="18"/>
          <w:szCs w:val="18"/>
        </w:rPr>
        <w:t>provided</w:t>
      </w:r>
      <w:r>
        <w:rPr>
          <w:rFonts w:ascii="Arial" w:eastAsia="Arial" w:hAnsi="Arial" w:cs="Arial"/>
          <w:sz w:val="18"/>
          <w:szCs w:val="18"/>
        </w:rPr>
        <w:t xml:space="preserve"> that the Parties shall use commercially r</w:t>
      </w:r>
      <w:r>
        <w:rPr>
          <w:rFonts w:ascii="Arial" w:eastAsia="Arial" w:hAnsi="Arial" w:cs="Arial"/>
          <w:sz w:val="18"/>
          <w:szCs w:val="18"/>
        </w:rPr>
        <w:t>easonable efforts to cooperate in seeking to find a way to permit compliance with such obligations to the extent and in a manner that avoids such consequence.</w:t>
      </w:r>
    </w:p>
    <w:p w14:paraId="0E2A1023" w14:textId="77777777" w:rsidR="00D1587D" w:rsidRDefault="00D1587D">
      <w:pPr>
        <w:spacing w:line="188" w:lineRule="exact"/>
        <w:rPr>
          <w:sz w:val="20"/>
          <w:szCs w:val="20"/>
        </w:rPr>
      </w:pPr>
    </w:p>
    <w:p w14:paraId="7EB9B5D3" w14:textId="77777777" w:rsidR="00D1587D" w:rsidRDefault="00410D07">
      <w:pPr>
        <w:spacing w:line="301" w:lineRule="auto"/>
        <w:ind w:right="180" w:firstLine="648"/>
        <w:rPr>
          <w:sz w:val="20"/>
          <w:szCs w:val="20"/>
        </w:rPr>
      </w:pPr>
      <w:r>
        <w:rPr>
          <w:rFonts w:ascii="Arial" w:eastAsia="Arial" w:hAnsi="Arial" w:cs="Arial"/>
          <w:sz w:val="16"/>
          <w:szCs w:val="16"/>
        </w:rPr>
        <w:t xml:space="preserve">Section 4.03. </w:t>
      </w:r>
      <w:r>
        <w:rPr>
          <w:rFonts w:ascii="Arial" w:eastAsia="Arial" w:hAnsi="Arial" w:cs="Arial"/>
          <w:i/>
          <w:iCs/>
          <w:sz w:val="16"/>
          <w:szCs w:val="16"/>
        </w:rPr>
        <w:t>Reimbursement</w:t>
      </w:r>
      <w:r>
        <w:rPr>
          <w:rFonts w:ascii="Arial" w:eastAsia="Arial" w:hAnsi="Arial" w:cs="Arial"/>
          <w:sz w:val="16"/>
          <w:szCs w:val="16"/>
        </w:rPr>
        <w:t>. Each Group providing information or witnesses to the other Group or</w:t>
      </w:r>
      <w:r>
        <w:rPr>
          <w:rFonts w:ascii="Arial" w:eastAsia="Arial" w:hAnsi="Arial" w:cs="Arial"/>
          <w:sz w:val="16"/>
          <w:szCs w:val="16"/>
        </w:rPr>
        <w:t xml:space="preserve"> otherwise incurring any out-of-pocket expense in connection with cooperating under Section 4.01 or Section 4.02 shall be entitled to receive from the recipient thereof, upon the presentation of invoices therefor, payment for all reasonable and documented </w:t>
      </w:r>
      <w:r>
        <w:rPr>
          <w:rFonts w:ascii="Arial" w:eastAsia="Arial" w:hAnsi="Arial" w:cs="Arial"/>
          <w:sz w:val="16"/>
          <w:szCs w:val="16"/>
        </w:rPr>
        <w:t>out-of-pocket costs and expenses (including outside attorney’s fees but excluding reimbursement for general overhead, salary and employee benefits) actually incurred in providing such access, information, witnesses or cooperation.</w:t>
      </w:r>
    </w:p>
    <w:p w14:paraId="358158D0" w14:textId="77777777" w:rsidR="00D1587D" w:rsidRDefault="00D1587D">
      <w:pPr>
        <w:spacing w:line="157" w:lineRule="exact"/>
        <w:rPr>
          <w:sz w:val="20"/>
          <w:szCs w:val="20"/>
        </w:rPr>
      </w:pPr>
    </w:p>
    <w:p w14:paraId="3E38F276" w14:textId="77777777" w:rsidR="00D1587D" w:rsidRDefault="00410D07">
      <w:pPr>
        <w:spacing w:line="259" w:lineRule="auto"/>
        <w:ind w:right="80" w:firstLine="648"/>
        <w:rPr>
          <w:sz w:val="20"/>
          <w:szCs w:val="20"/>
        </w:rPr>
      </w:pPr>
      <w:r>
        <w:rPr>
          <w:rFonts w:ascii="Arial" w:eastAsia="Arial" w:hAnsi="Arial" w:cs="Arial"/>
          <w:sz w:val="18"/>
          <w:szCs w:val="18"/>
        </w:rPr>
        <w:t xml:space="preserve">Section 4.04. </w:t>
      </w:r>
      <w:r>
        <w:rPr>
          <w:rFonts w:ascii="Arial" w:eastAsia="Arial" w:hAnsi="Arial" w:cs="Arial"/>
          <w:i/>
          <w:iCs/>
          <w:sz w:val="18"/>
          <w:szCs w:val="18"/>
        </w:rPr>
        <w:t xml:space="preserve">Ownership </w:t>
      </w:r>
      <w:r>
        <w:rPr>
          <w:rFonts w:ascii="Arial" w:eastAsia="Arial" w:hAnsi="Arial" w:cs="Arial"/>
          <w:i/>
          <w:iCs/>
          <w:sz w:val="18"/>
          <w:szCs w:val="18"/>
        </w:rPr>
        <w:t>of Information</w:t>
      </w:r>
      <w:r>
        <w:rPr>
          <w:rFonts w:ascii="Arial" w:eastAsia="Arial" w:hAnsi="Arial" w:cs="Arial"/>
          <w:sz w:val="18"/>
          <w:szCs w:val="18"/>
        </w:rPr>
        <w:t>. All information owned by one Party (or a member of its Group) that is provided to the other Party (or a member of its Group) under Section 4.01 or Section 4.02 shall be deemed to remain the property of the providing Party. Unless specifical</w:t>
      </w:r>
      <w:r>
        <w:rPr>
          <w:rFonts w:ascii="Arial" w:eastAsia="Arial" w:hAnsi="Arial" w:cs="Arial"/>
          <w:sz w:val="18"/>
          <w:szCs w:val="18"/>
        </w:rPr>
        <w:t>ly set forth herein or in any Ancillary Agreement, nothing contained in this Agreement shall be construed to grant or confer rights of license or otherwise in any such information.</w:t>
      </w:r>
    </w:p>
    <w:p w14:paraId="29BA7CF9" w14:textId="77777777" w:rsidR="00D1587D" w:rsidRDefault="00D1587D">
      <w:pPr>
        <w:spacing w:line="173" w:lineRule="exact"/>
        <w:rPr>
          <w:sz w:val="20"/>
          <w:szCs w:val="20"/>
        </w:rPr>
      </w:pPr>
    </w:p>
    <w:p w14:paraId="725929B5" w14:textId="77777777" w:rsidR="00D1587D" w:rsidRDefault="00410D07">
      <w:pPr>
        <w:ind w:right="60"/>
        <w:jc w:val="center"/>
        <w:rPr>
          <w:sz w:val="20"/>
          <w:szCs w:val="20"/>
        </w:rPr>
      </w:pPr>
      <w:r>
        <w:rPr>
          <w:rFonts w:ascii="Arial" w:eastAsia="Arial" w:hAnsi="Arial" w:cs="Arial"/>
          <w:sz w:val="18"/>
          <w:szCs w:val="18"/>
        </w:rPr>
        <w:t>30</w:t>
      </w:r>
    </w:p>
    <w:p w14:paraId="61A1E902" w14:textId="77777777" w:rsidR="00D1587D" w:rsidRDefault="00410D07">
      <w:pPr>
        <w:spacing w:line="20" w:lineRule="exact"/>
        <w:rPr>
          <w:sz w:val="20"/>
          <w:szCs w:val="20"/>
        </w:rPr>
      </w:pPr>
      <w:r>
        <w:rPr>
          <w:noProof/>
          <w:sz w:val="20"/>
          <w:szCs w:val="20"/>
        </w:rPr>
        <w:drawing>
          <wp:anchor distT="0" distB="0" distL="114300" distR="114300" simplePos="0" relativeHeight="251182080" behindDoc="1" locked="0" layoutInCell="0" allowOverlap="1" wp14:anchorId="1A9B141D" wp14:editId="4A5F4E4A">
            <wp:simplePos x="0" y="0"/>
            <wp:positionH relativeFrom="column">
              <wp:posOffset>5080</wp:posOffset>
            </wp:positionH>
            <wp:positionV relativeFrom="paragraph">
              <wp:posOffset>48895</wp:posOffset>
            </wp:positionV>
            <wp:extent cx="7132320" cy="1714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B74CD11" w14:textId="77777777" w:rsidR="00D1587D" w:rsidRDefault="00D1587D">
      <w:pPr>
        <w:sectPr w:rsidR="00D1587D">
          <w:pgSz w:w="11900" w:h="16838"/>
          <w:pgMar w:top="341" w:right="339" w:bottom="1440" w:left="320" w:header="0" w:footer="0" w:gutter="0"/>
          <w:cols w:space="720" w:equalWidth="0">
            <w:col w:w="11240"/>
          </w:cols>
        </w:sectPr>
      </w:pPr>
    </w:p>
    <w:p w14:paraId="6AEBC8C2" w14:textId="77777777" w:rsidR="00D1587D" w:rsidRDefault="00410D07">
      <w:pPr>
        <w:spacing w:line="268" w:lineRule="auto"/>
        <w:ind w:firstLine="648"/>
        <w:rPr>
          <w:sz w:val="20"/>
          <w:szCs w:val="20"/>
        </w:rPr>
      </w:pPr>
      <w:bookmarkStart w:id="39" w:name="page40"/>
      <w:bookmarkEnd w:id="39"/>
      <w:r>
        <w:rPr>
          <w:rFonts w:ascii="Arial" w:eastAsia="Arial" w:hAnsi="Arial" w:cs="Arial"/>
          <w:sz w:val="17"/>
          <w:szCs w:val="17"/>
        </w:rPr>
        <w:t xml:space="preserve">Section 4.05. </w:t>
      </w:r>
      <w:r>
        <w:rPr>
          <w:rFonts w:ascii="Arial" w:eastAsia="Arial" w:hAnsi="Arial" w:cs="Arial"/>
          <w:i/>
          <w:iCs/>
          <w:sz w:val="17"/>
          <w:szCs w:val="17"/>
        </w:rPr>
        <w:t>Retention of Records</w:t>
      </w:r>
      <w:r>
        <w:rPr>
          <w:rFonts w:ascii="Arial" w:eastAsia="Arial" w:hAnsi="Arial" w:cs="Arial"/>
          <w:sz w:val="17"/>
          <w:szCs w:val="17"/>
        </w:rPr>
        <w:t>. Except as oth</w:t>
      </w:r>
      <w:r>
        <w:rPr>
          <w:rFonts w:ascii="Arial" w:eastAsia="Arial" w:hAnsi="Arial" w:cs="Arial"/>
          <w:sz w:val="17"/>
          <w:szCs w:val="17"/>
        </w:rPr>
        <w:t>erwise required by Applicable Law or agreed to in writing, for a period of two (2) years following the Distribution Date, each Party shall, and shall cause the members of its Group to, retain any and all information in its possession or control relating to</w:t>
      </w:r>
      <w:r>
        <w:rPr>
          <w:rFonts w:ascii="Arial" w:eastAsia="Arial" w:hAnsi="Arial" w:cs="Arial"/>
          <w:sz w:val="17"/>
          <w:szCs w:val="17"/>
        </w:rPr>
        <w:t xml:space="preserve"> the other Group’s Business in accordance with the document retention practices of L Brands as in effect as of the date hereof. Neither Party shall destroy, or permit the destruction, or otherwise dispose, or permit the disposal, of any such information, s</w:t>
      </w:r>
      <w:r>
        <w:rPr>
          <w:rFonts w:ascii="Arial" w:eastAsia="Arial" w:hAnsi="Arial" w:cs="Arial"/>
          <w:sz w:val="17"/>
          <w:szCs w:val="17"/>
        </w:rPr>
        <w:t>ubject to such retention practice, unless, prior to such destruction or disposal, the Party proposing (or whose Group member is proposing) such destruction or disposal (the “</w:t>
      </w:r>
      <w:r>
        <w:rPr>
          <w:rFonts w:ascii="Arial" w:eastAsia="Arial" w:hAnsi="Arial" w:cs="Arial"/>
          <w:b/>
          <w:bCs/>
          <w:sz w:val="17"/>
          <w:szCs w:val="17"/>
        </w:rPr>
        <w:t>Disposing Party</w:t>
      </w:r>
      <w:r>
        <w:rPr>
          <w:rFonts w:ascii="Arial" w:eastAsia="Arial" w:hAnsi="Arial" w:cs="Arial"/>
          <w:sz w:val="17"/>
          <w:szCs w:val="17"/>
        </w:rPr>
        <w:t>”) provides not less than thirty (30) days’ prior written notice to</w:t>
      </w:r>
      <w:r>
        <w:rPr>
          <w:rFonts w:ascii="Arial" w:eastAsia="Arial" w:hAnsi="Arial" w:cs="Arial"/>
          <w:sz w:val="17"/>
          <w:szCs w:val="17"/>
        </w:rPr>
        <w:t xml:space="preserve"> the other Party (the “</w:t>
      </w:r>
      <w:r>
        <w:rPr>
          <w:rFonts w:ascii="Arial" w:eastAsia="Arial" w:hAnsi="Arial" w:cs="Arial"/>
          <w:b/>
          <w:bCs/>
          <w:sz w:val="17"/>
          <w:szCs w:val="17"/>
        </w:rPr>
        <w:t>Receiving Party</w:t>
      </w:r>
      <w:r>
        <w:rPr>
          <w:rFonts w:ascii="Arial" w:eastAsia="Arial" w:hAnsi="Arial" w:cs="Arial"/>
          <w:sz w:val="17"/>
          <w:szCs w:val="17"/>
        </w:rPr>
        <w:t>”), specifying the information proposed to be destroyed or disposed of and the scheduled date for such destruction or disposal. If the Receiving Party shall request in writing prior to the scheduled date for such destr</w:t>
      </w:r>
      <w:r>
        <w:rPr>
          <w:rFonts w:ascii="Arial" w:eastAsia="Arial" w:hAnsi="Arial" w:cs="Arial"/>
          <w:sz w:val="17"/>
          <w:szCs w:val="17"/>
        </w:rPr>
        <w:t>uction or disposal that any of the information proposed to be destroyed or disposed of be delivered to the Receiving Party, the Disposing Party shall promptly arrange for the delivery of such of the information as was requested at the expense of the Receiv</w:t>
      </w:r>
      <w:r>
        <w:rPr>
          <w:rFonts w:ascii="Arial" w:eastAsia="Arial" w:hAnsi="Arial" w:cs="Arial"/>
          <w:sz w:val="17"/>
          <w:szCs w:val="17"/>
        </w:rPr>
        <w:t xml:space="preserve">ing Party; </w:t>
      </w:r>
      <w:r>
        <w:rPr>
          <w:rFonts w:ascii="Arial" w:eastAsia="Arial" w:hAnsi="Arial" w:cs="Arial"/>
          <w:i/>
          <w:iCs/>
          <w:sz w:val="17"/>
          <w:szCs w:val="17"/>
        </w:rPr>
        <w:t>provided</w:t>
      </w:r>
      <w:r>
        <w:rPr>
          <w:rFonts w:ascii="Arial" w:eastAsia="Arial" w:hAnsi="Arial" w:cs="Arial"/>
          <w:sz w:val="17"/>
          <w:szCs w:val="17"/>
        </w:rPr>
        <w:t xml:space="preserve"> that, if the Disposing Party reasonably determines that any such provision of information would violate any Applicable Law or agreement to which such Party or member of its Group is a party, or waive any Privilege applicable to such Par</w:t>
      </w:r>
      <w:r>
        <w:rPr>
          <w:rFonts w:ascii="Arial" w:eastAsia="Arial" w:hAnsi="Arial" w:cs="Arial"/>
          <w:sz w:val="17"/>
          <w:szCs w:val="17"/>
        </w:rPr>
        <w:t>ty or any member of its Group, the Parties shall use commercially reasonable efforts to permit the prompt compliance with such request in a manner that avoids any such harm or consequence. Any records or documents that were subject to a litigation hold pri</w:t>
      </w:r>
      <w:r>
        <w:rPr>
          <w:rFonts w:ascii="Arial" w:eastAsia="Arial" w:hAnsi="Arial" w:cs="Arial"/>
          <w:sz w:val="17"/>
          <w:szCs w:val="17"/>
        </w:rPr>
        <w:t>or to the Distribution Date must be retained by the applicable Party until such Party or member of its Group is notified by the other Party that the litigation hold is no longer in effect.</w:t>
      </w:r>
    </w:p>
    <w:p w14:paraId="7281B488" w14:textId="77777777" w:rsidR="00D1587D" w:rsidRDefault="00D1587D">
      <w:pPr>
        <w:spacing w:line="184" w:lineRule="exact"/>
        <w:rPr>
          <w:sz w:val="20"/>
          <w:szCs w:val="20"/>
        </w:rPr>
      </w:pPr>
    </w:p>
    <w:p w14:paraId="74F7C18F" w14:textId="77777777" w:rsidR="00D1587D" w:rsidRDefault="00410D07">
      <w:pPr>
        <w:spacing w:line="284" w:lineRule="auto"/>
        <w:ind w:right="20" w:firstLine="648"/>
        <w:rPr>
          <w:sz w:val="20"/>
          <w:szCs w:val="20"/>
        </w:rPr>
      </w:pPr>
      <w:r>
        <w:rPr>
          <w:rFonts w:ascii="Arial" w:eastAsia="Arial" w:hAnsi="Arial" w:cs="Arial"/>
          <w:sz w:val="16"/>
          <w:szCs w:val="16"/>
        </w:rPr>
        <w:t xml:space="preserve">Section 4.06. </w:t>
      </w:r>
      <w:r>
        <w:rPr>
          <w:rFonts w:ascii="Arial" w:eastAsia="Arial" w:hAnsi="Arial" w:cs="Arial"/>
          <w:i/>
          <w:iCs/>
          <w:sz w:val="16"/>
          <w:szCs w:val="16"/>
        </w:rPr>
        <w:t>Confidentiality</w:t>
      </w:r>
      <w:r>
        <w:rPr>
          <w:rFonts w:ascii="Arial" w:eastAsia="Arial" w:hAnsi="Arial" w:cs="Arial"/>
          <w:sz w:val="16"/>
          <w:szCs w:val="16"/>
        </w:rPr>
        <w:t xml:space="preserve">. Each Party acknowledges that it </w:t>
      </w:r>
      <w:r>
        <w:rPr>
          <w:rFonts w:ascii="Arial" w:eastAsia="Arial" w:hAnsi="Arial" w:cs="Arial"/>
          <w:sz w:val="16"/>
          <w:szCs w:val="16"/>
        </w:rPr>
        <w:t>or a member of its Group may have in its possession, and, in connection with this Agreement and the Ancillary Agreements, may receive, Confidential Information of the other Party or any member of its Group (including information in the possession of such o</w:t>
      </w:r>
      <w:r>
        <w:rPr>
          <w:rFonts w:ascii="Arial" w:eastAsia="Arial" w:hAnsi="Arial" w:cs="Arial"/>
          <w:sz w:val="16"/>
          <w:szCs w:val="16"/>
        </w:rPr>
        <w:t>ther Party relating to its clients or customers). Each Party shall hold and shall cause its directors, officers, employees, agents, consultants and advisors (“</w:t>
      </w:r>
      <w:r>
        <w:rPr>
          <w:rFonts w:ascii="Arial" w:eastAsia="Arial" w:hAnsi="Arial" w:cs="Arial"/>
          <w:b/>
          <w:bCs/>
          <w:sz w:val="16"/>
          <w:szCs w:val="16"/>
        </w:rPr>
        <w:t>Representatives</w:t>
      </w:r>
      <w:r>
        <w:rPr>
          <w:rFonts w:ascii="Arial" w:eastAsia="Arial" w:hAnsi="Arial" w:cs="Arial"/>
          <w:sz w:val="16"/>
          <w:szCs w:val="16"/>
        </w:rPr>
        <w:t xml:space="preserve">”) and the members of its Group and their Representatives to hold in strict </w:t>
      </w:r>
      <w:r>
        <w:rPr>
          <w:rFonts w:ascii="Arial" w:eastAsia="Arial" w:hAnsi="Arial" w:cs="Arial"/>
          <w:sz w:val="16"/>
          <w:szCs w:val="16"/>
        </w:rPr>
        <w:t>confidence and not to use, with at least the same degree of care that applies to L Brands’ confidential and proprietary information pursuant to policies in effect as of the Distribution Time, except as permitted by this Agreement or any Ancillary Agreement</w:t>
      </w:r>
      <w:r>
        <w:rPr>
          <w:rFonts w:ascii="Arial" w:eastAsia="Arial" w:hAnsi="Arial" w:cs="Arial"/>
          <w:sz w:val="16"/>
          <w:szCs w:val="16"/>
        </w:rPr>
        <w:t>, all such Confidential Information concerning the other Group except to the extent (i) such Party or any of the members of its Group or its or their Representatives is compelled to disclose such Confidential Information by judicial or administrative proce</w:t>
      </w:r>
      <w:r>
        <w:rPr>
          <w:rFonts w:ascii="Arial" w:eastAsia="Arial" w:hAnsi="Arial" w:cs="Arial"/>
          <w:sz w:val="16"/>
          <w:szCs w:val="16"/>
        </w:rPr>
        <w:t>ss or by other requirements of Applicable Law, subject to the remainder of this Section 4.06 or (ii) such Confidential Information can be shown to have been (A) in the public domain through no fault of such Party or any of the members of its Group or its o</w:t>
      </w:r>
      <w:r>
        <w:rPr>
          <w:rFonts w:ascii="Arial" w:eastAsia="Arial" w:hAnsi="Arial" w:cs="Arial"/>
          <w:sz w:val="16"/>
          <w:szCs w:val="16"/>
        </w:rPr>
        <w:t xml:space="preserve">r their Representatives, (B) lawfully acquired after the Distribution Date on a non-confidential basis from other sources not known by such Party or any of the members of its Group to be bound by a confidentiality obligation or other contractual, legal or </w:t>
      </w:r>
      <w:r>
        <w:rPr>
          <w:rFonts w:ascii="Arial" w:eastAsia="Arial" w:hAnsi="Arial" w:cs="Arial"/>
          <w:sz w:val="16"/>
          <w:szCs w:val="16"/>
        </w:rPr>
        <w:t xml:space="preserve">fiduciary obligation of confidentiality with respect to such information or (C) independently developed by such Party or any of the members of its Group or its or their Representatives without reference to or the use of any Confidential Information of the </w:t>
      </w:r>
      <w:r>
        <w:rPr>
          <w:rFonts w:ascii="Arial" w:eastAsia="Arial" w:hAnsi="Arial" w:cs="Arial"/>
          <w:sz w:val="16"/>
          <w:szCs w:val="16"/>
        </w:rPr>
        <w:t>other Group. Notwithstanding the foregoing, such Party or member of its Group or its or their Representatives may disclose such Confidential Information to the members of its Group and its or their Representatives who need to know such information in their</w:t>
      </w:r>
      <w:r>
        <w:rPr>
          <w:rFonts w:ascii="Arial" w:eastAsia="Arial" w:hAnsi="Arial" w:cs="Arial"/>
          <w:sz w:val="16"/>
          <w:szCs w:val="16"/>
        </w:rPr>
        <w:t xml:space="preserve"> capacities as such so long as such Persons are informed by such Party of the confidential nature of such Confidential Information and are directed by such Party to treat such information confidentially. The obligation of each Party and the members of its </w:t>
      </w:r>
      <w:r>
        <w:rPr>
          <w:rFonts w:ascii="Arial" w:eastAsia="Arial" w:hAnsi="Arial" w:cs="Arial"/>
          <w:sz w:val="16"/>
          <w:szCs w:val="16"/>
        </w:rPr>
        <w:t>Group and its and their Representatives to hold any such Confidential Information in confidence shall be satisfied if they exercise the same level of care with respect to such Confidential Information as they would with respect to their own proprietary inf</w:t>
      </w:r>
      <w:r>
        <w:rPr>
          <w:rFonts w:ascii="Arial" w:eastAsia="Arial" w:hAnsi="Arial" w:cs="Arial"/>
          <w:sz w:val="16"/>
          <w:szCs w:val="16"/>
        </w:rPr>
        <w:t>ormation. If such Party or any of a member of its Group or any of its or their Representatives becomes legally compelled to disclose any documents or information subject to this Section 4.06, such Party will promptly notify the other Party and, upon reques</w:t>
      </w:r>
      <w:r>
        <w:rPr>
          <w:rFonts w:ascii="Arial" w:eastAsia="Arial" w:hAnsi="Arial" w:cs="Arial"/>
          <w:sz w:val="16"/>
          <w:szCs w:val="16"/>
        </w:rPr>
        <w:t>t, use commercially reasonable efforts to cooperate with the other Party’s efforts to seek a protective order or other remedy. If no such protective order or other remedy is obtained or if the other Party waives in writing such Party’s compliance with this</w:t>
      </w:r>
      <w:r>
        <w:rPr>
          <w:rFonts w:ascii="Arial" w:eastAsia="Arial" w:hAnsi="Arial" w:cs="Arial"/>
          <w:sz w:val="16"/>
          <w:szCs w:val="16"/>
        </w:rPr>
        <w:t xml:space="preserve"> Section 4.06, such Party or the member of its Group or its or their Representatives may furnish only that portion of the information which it concludes, after consultation with counsel, is legally required to be disclosed and will exercise its commerciall</w:t>
      </w:r>
      <w:r>
        <w:rPr>
          <w:rFonts w:ascii="Arial" w:eastAsia="Arial" w:hAnsi="Arial" w:cs="Arial"/>
          <w:sz w:val="16"/>
          <w:szCs w:val="16"/>
        </w:rPr>
        <w:t>y reasonable efforts to obtain reliable assurance that confidential treatment will be accorded such information. Each Party agrees to be responsible for any breach of this Section 4.06 by it, the members of its Group and its and their Representatives.</w:t>
      </w:r>
    </w:p>
    <w:p w14:paraId="5FC98A67" w14:textId="77777777" w:rsidR="00D1587D" w:rsidRDefault="00D1587D">
      <w:pPr>
        <w:spacing w:line="379" w:lineRule="exact"/>
        <w:rPr>
          <w:sz w:val="20"/>
          <w:szCs w:val="20"/>
        </w:rPr>
      </w:pPr>
    </w:p>
    <w:p w14:paraId="51CF6A35" w14:textId="77777777" w:rsidR="00D1587D" w:rsidRDefault="00410D07">
      <w:pPr>
        <w:ind w:right="60"/>
        <w:jc w:val="center"/>
        <w:rPr>
          <w:sz w:val="20"/>
          <w:szCs w:val="20"/>
        </w:rPr>
      </w:pPr>
      <w:r>
        <w:rPr>
          <w:rFonts w:ascii="Arial" w:eastAsia="Arial" w:hAnsi="Arial" w:cs="Arial"/>
          <w:sz w:val="18"/>
          <w:szCs w:val="18"/>
        </w:rPr>
        <w:t>31</w:t>
      </w:r>
    </w:p>
    <w:p w14:paraId="1D2A5676" w14:textId="77777777" w:rsidR="00D1587D" w:rsidRDefault="00410D07">
      <w:pPr>
        <w:spacing w:line="20" w:lineRule="exact"/>
        <w:rPr>
          <w:sz w:val="20"/>
          <w:szCs w:val="20"/>
        </w:rPr>
      </w:pPr>
      <w:r>
        <w:rPr>
          <w:noProof/>
          <w:sz w:val="20"/>
          <w:szCs w:val="20"/>
        </w:rPr>
        <w:drawing>
          <wp:anchor distT="0" distB="0" distL="114300" distR="114300" simplePos="0" relativeHeight="251183104" behindDoc="1" locked="0" layoutInCell="0" allowOverlap="1" wp14:anchorId="454B37BC" wp14:editId="71A612BE">
            <wp:simplePos x="0" y="0"/>
            <wp:positionH relativeFrom="column">
              <wp:posOffset>5080</wp:posOffset>
            </wp:positionH>
            <wp:positionV relativeFrom="paragraph">
              <wp:posOffset>48895</wp:posOffset>
            </wp:positionV>
            <wp:extent cx="7132320" cy="1714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C43B339" w14:textId="77777777" w:rsidR="00D1587D" w:rsidRDefault="00D1587D">
      <w:pPr>
        <w:sectPr w:rsidR="00D1587D">
          <w:pgSz w:w="11900" w:h="16838"/>
          <w:pgMar w:top="341" w:right="339" w:bottom="1440" w:left="320" w:header="0" w:footer="0" w:gutter="0"/>
          <w:cols w:space="720" w:equalWidth="0">
            <w:col w:w="11240"/>
          </w:cols>
        </w:sectPr>
      </w:pPr>
    </w:p>
    <w:p w14:paraId="4C3F810D" w14:textId="77777777" w:rsidR="00D1587D" w:rsidRDefault="00410D07">
      <w:pPr>
        <w:spacing w:line="268" w:lineRule="auto"/>
        <w:ind w:firstLine="648"/>
        <w:rPr>
          <w:sz w:val="20"/>
          <w:szCs w:val="20"/>
        </w:rPr>
      </w:pPr>
      <w:bookmarkStart w:id="40" w:name="page41"/>
      <w:bookmarkEnd w:id="40"/>
      <w:r>
        <w:rPr>
          <w:rFonts w:ascii="Arial" w:eastAsia="Arial" w:hAnsi="Arial" w:cs="Arial"/>
          <w:sz w:val="17"/>
          <w:szCs w:val="17"/>
        </w:rPr>
        <w:t>Section 4.07</w:t>
      </w:r>
      <w:r>
        <w:rPr>
          <w:rFonts w:ascii="Arial" w:eastAsia="Arial" w:hAnsi="Arial" w:cs="Arial"/>
          <w:i/>
          <w:iCs/>
          <w:sz w:val="17"/>
          <w:szCs w:val="17"/>
        </w:rPr>
        <w:t>. Privileged Information.</w:t>
      </w:r>
      <w:r>
        <w:rPr>
          <w:rFonts w:ascii="Arial" w:eastAsia="Arial" w:hAnsi="Arial" w:cs="Arial"/>
          <w:sz w:val="17"/>
          <w:szCs w:val="17"/>
        </w:rPr>
        <w:t xml:space="preserve"> (a) The Parties recognize that legal and other professional services that have been provided prior to the Distribution (whether by outside counsel, in-house counsel or other legal professionals) h</w:t>
      </w:r>
      <w:r>
        <w:rPr>
          <w:rFonts w:ascii="Arial" w:eastAsia="Arial" w:hAnsi="Arial" w:cs="Arial"/>
          <w:sz w:val="17"/>
          <w:szCs w:val="17"/>
        </w:rPr>
        <w:t>ave been and will be rendered for the collective benefit of each of the members of the L Brands Group and the VS Group, and that, except as set forth in Section 4.07(f), each of the members of the L Brands Group and the VS Group shall be deemed to be the c</w:t>
      </w:r>
      <w:r>
        <w:rPr>
          <w:rFonts w:ascii="Arial" w:eastAsia="Arial" w:hAnsi="Arial" w:cs="Arial"/>
          <w:sz w:val="17"/>
          <w:szCs w:val="17"/>
        </w:rPr>
        <w:t>lient with respect to such services for the purposes of asserting all attorney-client privilege, the work product doctrine or common interest privilege (collectively, “</w:t>
      </w:r>
      <w:r>
        <w:rPr>
          <w:rFonts w:ascii="Arial" w:eastAsia="Arial" w:hAnsi="Arial" w:cs="Arial"/>
          <w:b/>
          <w:bCs/>
          <w:sz w:val="17"/>
          <w:szCs w:val="17"/>
        </w:rPr>
        <w:t>Privileges</w:t>
      </w:r>
      <w:r>
        <w:rPr>
          <w:rFonts w:ascii="Arial" w:eastAsia="Arial" w:hAnsi="Arial" w:cs="Arial"/>
          <w:sz w:val="17"/>
          <w:szCs w:val="17"/>
        </w:rPr>
        <w:t xml:space="preserve">”) which may be asserted under Applicable Law in connection therewith. Except </w:t>
      </w:r>
      <w:r>
        <w:rPr>
          <w:rFonts w:ascii="Arial" w:eastAsia="Arial" w:hAnsi="Arial" w:cs="Arial"/>
          <w:sz w:val="17"/>
          <w:szCs w:val="17"/>
        </w:rPr>
        <w:t>as set forth in Section 4.07(f), the Parties agree that they shall have a shared privilege or immunity with respect to all Privileges. The Parties hereto acknowledge that members of the L Brands Group, on the one hand, and members of the VS Group, on the o</w:t>
      </w:r>
      <w:r>
        <w:rPr>
          <w:rFonts w:ascii="Arial" w:eastAsia="Arial" w:hAnsi="Arial" w:cs="Arial"/>
          <w:sz w:val="17"/>
          <w:szCs w:val="17"/>
        </w:rPr>
        <w:t>ther hand, may possess documents or other information regarding the other Group that is or may be subject to Privileges (such documents and other information collectively, the “</w:t>
      </w:r>
      <w:r>
        <w:rPr>
          <w:rFonts w:ascii="Arial" w:eastAsia="Arial" w:hAnsi="Arial" w:cs="Arial"/>
          <w:b/>
          <w:bCs/>
          <w:sz w:val="17"/>
          <w:szCs w:val="17"/>
        </w:rPr>
        <w:t>Privileged Information</w:t>
      </w:r>
      <w:r>
        <w:rPr>
          <w:rFonts w:ascii="Arial" w:eastAsia="Arial" w:hAnsi="Arial" w:cs="Arial"/>
          <w:sz w:val="17"/>
          <w:szCs w:val="17"/>
        </w:rPr>
        <w:t>”). Each Party agrees to use commercially reasonable effo</w:t>
      </w:r>
      <w:r>
        <w:rPr>
          <w:rFonts w:ascii="Arial" w:eastAsia="Arial" w:hAnsi="Arial" w:cs="Arial"/>
          <w:sz w:val="17"/>
          <w:szCs w:val="17"/>
        </w:rPr>
        <w:t xml:space="preserve">rts to protect and maintain, and to cause their respective Affiliates to protect and maintain, any applicable claim to Privilege in order to prevent any of the other Group’s Privileged Information from being disclosed or used in a manner inconsistent with </w:t>
      </w:r>
      <w:r>
        <w:rPr>
          <w:rFonts w:ascii="Arial" w:eastAsia="Arial" w:hAnsi="Arial" w:cs="Arial"/>
          <w:sz w:val="17"/>
          <w:szCs w:val="17"/>
        </w:rPr>
        <w:t>such Privilege without the other Party’s consent, including by executing joint defense or common interest agreements where necessary or useful for this purpose. Without limiting the generality of the foregoing, a Party and its Affiliates shall not, without</w:t>
      </w:r>
      <w:r>
        <w:rPr>
          <w:rFonts w:ascii="Arial" w:eastAsia="Arial" w:hAnsi="Arial" w:cs="Arial"/>
          <w:sz w:val="17"/>
          <w:szCs w:val="17"/>
        </w:rPr>
        <w:t xml:space="preserve"> the other Party’s prior written consent, (i) waive any Privilege with respect to any of the other Party’s or any member of its Group’s Privileged Information, (ii) fail to defend any Privilege with respect to any such Privileged Information, or (iii) fail</w:t>
      </w:r>
      <w:r>
        <w:rPr>
          <w:rFonts w:ascii="Arial" w:eastAsia="Arial" w:hAnsi="Arial" w:cs="Arial"/>
          <w:sz w:val="17"/>
          <w:szCs w:val="17"/>
        </w:rPr>
        <w:t xml:space="preserve"> to take any other actions reasonably necessary to preserve any Privilege with respect to any such Privileged Information.</w:t>
      </w:r>
    </w:p>
    <w:p w14:paraId="3B46A691" w14:textId="77777777" w:rsidR="00D1587D" w:rsidRDefault="00D1587D">
      <w:pPr>
        <w:spacing w:line="168" w:lineRule="exact"/>
        <w:rPr>
          <w:sz w:val="20"/>
          <w:szCs w:val="20"/>
        </w:rPr>
      </w:pPr>
    </w:p>
    <w:p w14:paraId="2070D029" w14:textId="77777777" w:rsidR="00D1587D" w:rsidRDefault="00410D07">
      <w:pPr>
        <w:ind w:right="40"/>
        <w:jc w:val="center"/>
        <w:rPr>
          <w:sz w:val="20"/>
          <w:szCs w:val="20"/>
        </w:rPr>
      </w:pPr>
      <w:r>
        <w:rPr>
          <w:rFonts w:ascii="Arial" w:eastAsia="Arial" w:hAnsi="Arial" w:cs="Arial"/>
          <w:sz w:val="18"/>
          <w:szCs w:val="18"/>
        </w:rPr>
        <w:t>32</w:t>
      </w:r>
    </w:p>
    <w:p w14:paraId="22EE7350" w14:textId="77777777" w:rsidR="00D1587D" w:rsidRDefault="00410D07">
      <w:pPr>
        <w:spacing w:line="20" w:lineRule="exact"/>
        <w:rPr>
          <w:sz w:val="20"/>
          <w:szCs w:val="20"/>
        </w:rPr>
      </w:pPr>
      <w:r>
        <w:rPr>
          <w:noProof/>
          <w:sz w:val="20"/>
          <w:szCs w:val="20"/>
        </w:rPr>
        <w:drawing>
          <wp:anchor distT="0" distB="0" distL="114300" distR="114300" simplePos="0" relativeHeight="251184128" behindDoc="1" locked="0" layoutInCell="0" allowOverlap="1" wp14:anchorId="0B29EF00" wp14:editId="62C27CBC">
            <wp:simplePos x="0" y="0"/>
            <wp:positionH relativeFrom="column">
              <wp:posOffset>5080</wp:posOffset>
            </wp:positionH>
            <wp:positionV relativeFrom="paragraph">
              <wp:posOffset>48895</wp:posOffset>
            </wp:positionV>
            <wp:extent cx="7132320" cy="1714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0CA834E" w14:textId="77777777" w:rsidR="00D1587D" w:rsidRDefault="00D1587D">
      <w:pPr>
        <w:sectPr w:rsidR="00D1587D">
          <w:pgSz w:w="11900" w:h="16838"/>
          <w:pgMar w:top="341" w:right="359" w:bottom="1440" w:left="320" w:header="0" w:footer="0" w:gutter="0"/>
          <w:cols w:space="720" w:equalWidth="0">
            <w:col w:w="11220"/>
          </w:cols>
        </w:sectPr>
      </w:pPr>
    </w:p>
    <w:p w14:paraId="641C0680" w14:textId="77777777" w:rsidR="00D1587D" w:rsidRDefault="00410D07">
      <w:pPr>
        <w:numPr>
          <w:ilvl w:val="0"/>
          <w:numId w:val="28"/>
        </w:numPr>
        <w:tabs>
          <w:tab w:val="left" w:pos="1173"/>
        </w:tabs>
        <w:spacing w:line="289" w:lineRule="auto"/>
        <w:ind w:firstLine="656"/>
        <w:rPr>
          <w:rFonts w:ascii="Arial" w:eastAsia="Arial" w:hAnsi="Arial" w:cs="Arial"/>
          <w:sz w:val="16"/>
          <w:szCs w:val="16"/>
        </w:rPr>
      </w:pPr>
      <w:bookmarkStart w:id="41" w:name="page42"/>
      <w:bookmarkEnd w:id="41"/>
      <w:r>
        <w:rPr>
          <w:rFonts w:ascii="Arial" w:eastAsia="Arial" w:hAnsi="Arial" w:cs="Arial"/>
          <w:sz w:val="16"/>
          <w:szCs w:val="16"/>
        </w:rPr>
        <w:t>Upon receipt by a Party or any member of such Party’s Group of any subpoena, discovery or other request tha</w:t>
      </w:r>
      <w:r>
        <w:rPr>
          <w:rFonts w:ascii="Arial" w:eastAsia="Arial" w:hAnsi="Arial" w:cs="Arial"/>
          <w:sz w:val="16"/>
          <w:szCs w:val="16"/>
        </w:rPr>
        <w:t>t calls for the production or disclosure of Privileged Information of the other Party or a member of its Group, or if a Party has knowledge that its or a member of its Group’s directors, officers, employees or representatives have received such a subpoena,</w:t>
      </w:r>
      <w:r>
        <w:rPr>
          <w:rFonts w:ascii="Arial" w:eastAsia="Arial" w:hAnsi="Arial" w:cs="Arial"/>
          <w:sz w:val="16"/>
          <w:szCs w:val="16"/>
        </w:rPr>
        <w:t xml:space="preserve"> discovery or other request, such Party shall promptly notify the other Party of the existence of the request and shall provide the other Party a reasonable opportunity to review the information and to assert any rights it or a member of its Group may have</w:t>
      </w:r>
      <w:r>
        <w:rPr>
          <w:rFonts w:ascii="Arial" w:eastAsia="Arial" w:hAnsi="Arial" w:cs="Arial"/>
          <w:sz w:val="16"/>
          <w:szCs w:val="16"/>
        </w:rPr>
        <w:t xml:space="preserve"> under this Section 4.07 or otherwise to prevent the production or disclosure of such Privileged Information. Each Party agrees that neither it nor any member of its Group will produce or disclose any information that may be covered by a Privilege of the o</w:t>
      </w:r>
      <w:r>
        <w:rPr>
          <w:rFonts w:ascii="Arial" w:eastAsia="Arial" w:hAnsi="Arial" w:cs="Arial"/>
          <w:sz w:val="16"/>
          <w:szCs w:val="16"/>
        </w:rPr>
        <w:t>ther Party or a member of its Group under this Section 4.07 unless (i) the other Party has provided its written consent to such production or disclosure (which consent shall not be unreasonably withheld) or (ii) a court of competent jurisdiction has entere</w:t>
      </w:r>
      <w:r>
        <w:rPr>
          <w:rFonts w:ascii="Arial" w:eastAsia="Arial" w:hAnsi="Arial" w:cs="Arial"/>
          <w:sz w:val="16"/>
          <w:szCs w:val="16"/>
        </w:rPr>
        <w:t>d an order finding that the information is not entitled to protection under any applicable Privilege or otherwise requires disclosure of such information, in each case except as set forth in Section 4.07(f).</w:t>
      </w:r>
    </w:p>
    <w:p w14:paraId="22323B10" w14:textId="77777777" w:rsidR="00D1587D" w:rsidRDefault="00D1587D">
      <w:pPr>
        <w:spacing w:line="166" w:lineRule="exact"/>
        <w:rPr>
          <w:rFonts w:ascii="Arial" w:eastAsia="Arial" w:hAnsi="Arial" w:cs="Arial"/>
          <w:sz w:val="16"/>
          <w:szCs w:val="16"/>
        </w:rPr>
      </w:pPr>
    </w:p>
    <w:p w14:paraId="7C109120" w14:textId="77777777" w:rsidR="00D1587D" w:rsidRDefault="00410D07">
      <w:pPr>
        <w:numPr>
          <w:ilvl w:val="0"/>
          <w:numId w:val="28"/>
        </w:numPr>
        <w:tabs>
          <w:tab w:val="left" w:pos="1153"/>
        </w:tabs>
        <w:spacing w:line="255" w:lineRule="auto"/>
        <w:ind w:right="20" w:firstLine="656"/>
        <w:rPr>
          <w:rFonts w:ascii="Arial" w:eastAsia="Arial" w:hAnsi="Arial" w:cs="Arial"/>
          <w:sz w:val="18"/>
          <w:szCs w:val="18"/>
        </w:rPr>
      </w:pPr>
      <w:r>
        <w:rPr>
          <w:rFonts w:ascii="Arial" w:eastAsia="Arial" w:hAnsi="Arial" w:cs="Arial"/>
          <w:sz w:val="18"/>
          <w:szCs w:val="18"/>
        </w:rPr>
        <w:t>Any furnishing of, or access or transfer of, an</w:t>
      </w:r>
      <w:r>
        <w:rPr>
          <w:rFonts w:ascii="Arial" w:eastAsia="Arial" w:hAnsi="Arial" w:cs="Arial"/>
          <w:sz w:val="18"/>
          <w:szCs w:val="18"/>
        </w:rPr>
        <w:t>y information pursuant to this Agreement is made in reliance on the agreement of L Brands and VS set forth in this Section 4.07 and in Section 4.06 to maintain the confidentiality of Privileged Information and to assert and maintain all applicable privileg</w:t>
      </w:r>
      <w:r>
        <w:rPr>
          <w:rFonts w:ascii="Arial" w:eastAsia="Arial" w:hAnsi="Arial" w:cs="Arial"/>
          <w:sz w:val="18"/>
          <w:szCs w:val="18"/>
        </w:rPr>
        <w:t>es and immunities. The Parties agree that their respective rights to any access to information, witnesses and other Persons, the furnishing of notices and documents and other cooperative efforts between the Parties contemplated by this Agreement, and the t</w:t>
      </w:r>
      <w:r>
        <w:rPr>
          <w:rFonts w:ascii="Arial" w:eastAsia="Arial" w:hAnsi="Arial" w:cs="Arial"/>
          <w:sz w:val="18"/>
          <w:szCs w:val="18"/>
        </w:rPr>
        <w:t>ransfer of Privileged Information between the Parties and members of their respective Groups as needed pursuant to this Agreement, shall not be deemed a waiver of any privilege that has been or may be asserted under this Agreement or otherwise.</w:t>
      </w:r>
    </w:p>
    <w:p w14:paraId="229C814C" w14:textId="77777777" w:rsidR="00D1587D" w:rsidRDefault="00D1587D">
      <w:pPr>
        <w:spacing w:line="192" w:lineRule="exact"/>
        <w:rPr>
          <w:rFonts w:ascii="Arial" w:eastAsia="Arial" w:hAnsi="Arial" w:cs="Arial"/>
          <w:sz w:val="18"/>
          <w:szCs w:val="18"/>
        </w:rPr>
      </w:pPr>
    </w:p>
    <w:p w14:paraId="69190012" w14:textId="77777777" w:rsidR="00D1587D" w:rsidRDefault="00410D07">
      <w:pPr>
        <w:numPr>
          <w:ilvl w:val="0"/>
          <w:numId w:val="28"/>
        </w:numPr>
        <w:tabs>
          <w:tab w:val="left" w:pos="1173"/>
        </w:tabs>
        <w:spacing w:line="342" w:lineRule="auto"/>
        <w:ind w:right="40" w:firstLine="656"/>
        <w:rPr>
          <w:rFonts w:ascii="Arial" w:eastAsia="Arial" w:hAnsi="Arial" w:cs="Arial"/>
          <w:sz w:val="16"/>
          <w:szCs w:val="16"/>
        </w:rPr>
      </w:pPr>
      <w:r>
        <w:rPr>
          <w:rFonts w:ascii="Arial" w:eastAsia="Arial" w:hAnsi="Arial" w:cs="Arial"/>
          <w:sz w:val="16"/>
          <w:szCs w:val="16"/>
        </w:rPr>
        <w:t xml:space="preserve">In the </w:t>
      </w:r>
      <w:r>
        <w:rPr>
          <w:rFonts w:ascii="Arial" w:eastAsia="Arial" w:hAnsi="Arial" w:cs="Arial"/>
          <w:sz w:val="16"/>
          <w:szCs w:val="16"/>
        </w:rPr>
        <w:t>event that any member of the L Brands Group and any member of the VS Group cooperate in the mutual defense of any Third Party Claim, such cooperation shall not constitute a waiver or qualification of such Party’s right to assert and defend any applicable c</w:t>
      </w:r>
      <w:r>
        <w:rPr>
          <w:rFonts w:ascii="Arial" w:eastAsia="Arial" w:hAnsi="Arial" w:cs="Arial"/>
          <w:sz w:val="16"/>
          <w:szCs w:val="16"/>
        </w:rPr>
        <w:t>laim to Privilege.</w:t>
      </w:r>
    </w:p>
    <w:p w14:paraId="7F24ACF8" w14:textId="77777777" w:rsidR="00D1587D" w:rsidRDefault="00D1587D">
      <w:pPr>
        <w:spacing w:line="110" w:lineRule="exact"/>
        <w:rPr>
          <w:sz w:val="20"/>
          <w:szCs w:val="20"/>
        </w:rPr>
      </w:pPr>
    </w:p>
    <w:p w14:paraId="3D0C9EA7" w14:textId="77777777" w:rsidR="00D1587D" w:rsidRDefault="00410D07">
      <w:pPr>
        <w:jc w:val="center"/>
        <w:rPr>
          <w:sz w:val="20"/>
          <w:szCs w:val="20"/>
        </w:rPr>
      </w:pPr>
      <w:r>
        <w:rPr>
          <w:rFonts w:ascii="Arial" w:eastAsia="Arial" w:hAnsi="Arial" w:cs="Arial"/>
          <w:sz w:val="18"/>
          <w:szCs w:val="18"/>
        </w:rPr>
        <w:t>33</w:t>
      </w:r>
    </w:p>
    <w:p w14:paraId="282F508D" w14:textId="77777777" w:rsidR="00D1587D" w:rsidRDefault="00410D07">
      <w:pPr>
        <w:spacing w:line="20" w:lineRule="exact"/>
        <w:rPr>
          <w:sz w:val="20"/>
          <w:szCs w:val="20"/>
        </w:rPr>
      </w:pPr>
      <w:r>
        <w:rPr>
          <w:noProof/>
          <w:sz w:val="20"/>
          <w:szCs w:val="20"/>
        </w:rPr>
        <w:drawing>
          <wp:anchor distT="0" distB="0" distL="114300" distR="114300" simplePos="0" relativeHeight="251185152" behindDoc="1" locked="0" layoutInCell="0" allowOverlap="1" wp14:anchorId="5A3818CE" wp14:editId="351C6EE1">
            <wp:simplePos x="0" y="0"/>
            <wp:positionH relativeFrom="column">
              <wp:posOffset>5080</wp:posOffset>
            </wp:positionH>
            <wp:positionV relativeFrom="paragraph">
              <wp:posOffset>48895</wp:posOffset>
            </wp:positionV>
            <wp:extent cx="7132320" cy="1714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A31E992" w14:textId="77777777" w:rsidR="00D1587D" w:rsidRDefault="00D1587D">
      <w:pPr>
        <w:sectPr w:rsidR="00D1587D">
          <w:pgSz w:w="11900" w:h="16838"/>
          <w:pgMar w:top="341" w:right="399" w:bottom="1440" w:left="320" w:header="0" w:footer="0" w:gutter="0"/>
          <w:cols w:space="720" w:equalWidth="0">
            <w:col w:w="11180"/>
          </w:cols>
        </w:sectPr>
      </w:pPr>
    </w:p>
    <w:p w14:paraId="27DA504B" w14:textId="77777777" w:rsidR="00D1587D" w:rsidRDefault="00410D07">
      <w:pPr>
        <w:numPr>
          <w:ilvl w:val="0"/>
          <w:numId w:val="29"/>
        </w:numPr>
        <w:tabs>
          <w:tab w:val="left" w:pos="1163"/>
        </w:tabs>
        <w:spacing w:line="269" w:lineRule="auto"/>
        <w:ind w:firstLine="656"/>
        <w:rPr>
          <w:rFonts w:ascii="Arial" w:eastAsia="Arial" w:hAnsi="Arial" w:cs="Arial"/>
          <w:sz w:val="17"/>
          <w:szCs w:val="17"/>
        </w:rPr>
      </w:pPr>
      <w:bookmarkStart w:id="42" w:name="page43"/>
      <w:bookmarkEnd w:id="42"/>
      <w:r>
        <w:rPr>
          <w:rFonts w:ascii="Arial" w:eastAsia="Arial" w:hAnsi="Arial" w:cs="Arial"/>
          <w:sz w:val="17"/>
          <w:szCs w:val="17"/>
        </w:rPr>
        <w:t xml:space="preserve">Each of the L Brands Group and the VS Group covenants and agrees that, following the Distribution Time, Davis Polk &amp; Wardwell LLP or any other internal or external legal counsel currently </w:t>
      </w:r>
      <w:r>
        <w:rPr>
          <w:rFonts w:ascii="Arial" w:eastAsia="Arial" w:hAnsi="Arial" w:cs="Arial"/>
          <w:sz w:val="17"/>
          <w:szCs w:val="17"/>
        </w:rPr>
        <w:t>representing the VS Group or any directors of the L Brands Group (each a “</w:t>
      </w:r>
      <w:r>
        <w:rPr>
          <w:rFonts w:ascii="Arial" w:eastAsia="Arial" w:hAnsi="Arial" w:cs="Arial"/>
          <w:b/>
          <w:bCs/>
          <w:sz w:val="17"/>
          <w:szCs w:val="17"/>
        </w:rPr>
        <w:t>Prior Company</w:t>
      </w:r>
      <w:r>
        <w:rPr>
          <w:rFonts w:ascii="Arial" w:eastAsia="Arial" w:hAnsi="Arial" w:cs="Arial"/>
          <w:sz w:val="17"/>
          <w:szCs w:val="17"/>
        </w:rPr>
        <w:t xml:space="preserve"> </w:t>
      </w:r>
      <w:r>
        <w:rPr>
          <w:rFonts w:ascii="Arial" w:eastAsia="Arial" w:hAnsi="Arial" w:cs="Arial"/>
          <w:b/>
          <w:bCs/>
          <w:sz w:val="17"/>
          <w:szCs w:val="17"/>
        </w:rPr>
        <w:t>Counsel</w:t>
      </w:r>
      <w:r>
        <w:rPr>
          <w:rFonts w:ascii="Arial" w:eastAsia="Arial" w:hAnsi="Arial" w:cs="Arial"/>
          <w:sz w:val="17"/>
          <w:szCs w:val="17"/>
        </w:rPr>
        <w:t>”) may serve as counsel to the L Brands Group and its Affiliates, or, with the prior written consent of L Brands (not to be unreasonably withheld,</w:t>
      </w:r>
      <w:r>
        <w:rPr>
          <w:rFonts w:ascii="Arial" w:eastAsia="Arial" w:hAnsi="Arial" w:cs="Arial"/>
          <w:b/>
          <w:bCs/>
          <w:sz w:val="17"/>
          <w:szCs w:val="17"/>
        </w:rPr>
        <w:t xml:space="preserve"> </w:t>
      </w:r>
      <w:r>
        <w:rPr>
          <w:rFonts w:ascii="Arial" w:eastAsia="Arial" w:hAnsi="Arial" w:cs="Arial"/>
          <w:sz w:val="17"/>
          <w:szCs w:val="17"/>
        </w:rPr>
        <w:t>conditioned or</w:t>
      </w:r>
      <w:r>
        <w:rPr>
          <w:rFonts w:ascii="Arial" w:eastAsia="Arial" w:hAnsi="Arial" w:cs="Arial"/>
          <w:sz w:val="17"/>
          <w:szCs w:val="17"/>
        </w:rPr>
        <w:t xml:space="preserve"> delayed), the VS Group and its Affiliates, in connection with any matters arising under or related to this Agreement or the transactions contemplated by this Agreement or any Ancillary Agreement, including with respect to any Action, claim or obligation a</w:t>
      </w:r>
      <w:r>
        <w:rPr>
          <w:rFonts w:ascii="Arial" w:eastAsia="Arial" w:hAnsi="Arial" w:cs="Arial"/>
          <w:sz w:val="17"/>
          <w:szCs w:val="17"/>
        </w:rPr>
        <w:t>rising out of or related to this Agreement or any Ancillary Agreement or the transactions contemplated by this Agreement or any Ancillary Agreement, notwithstanding any representation by the Prior Company Counsel prior to the Distribution Time. The VS Grou</w:t>
      </w:r>
      <w:r>
        <w:rPr>
          <w:rFonts w:ascii="Arial" w:eastAsia="Arial" w:hAnsi="Arial" w:cs="Arial"/>
          <w:sz w:val="17"/>
          <w:szCs w:val="17"/>
        </w:rPr>
        <w:t>p hereby irrevocably (i) waives any claim the VS Group has or may have that a Prior Company Counsel has a conflict of interest or is otherwise prohibited from engaging in such representation and (ii) covenants and agrees that, in the event that a dispute a</w:t>
      </w:r>
      <w:r>
        <w:rPr>
          <w:rFonts w:ascii="Arial" w:eastAsia="Arial" w:hAnsi="Arial" w:cs="Arial"/>
          <w:sz w:val="17"/>
          <w:szCs w:val="17"/>
        </w:rPr>
        <w:t>rises after the Distribution Time between the VS Group (or any of its Affiliates) and the L Brands Group (or any of its Affiliates), Prior Company Counsel may represent any member of the L Brands Group and any Affiliates thereof in such dispute even though</w:t>
      </w:r>
      <w:r>
        <w:rPr>
          <w:rFonts w:ascii="Arial" w:eastAsia="Arial" w:hAnsi="Arial" w:cs="Arial"/>
          <w:sz w:val="17"/>
          <w:szCs w:val="17"/>
        </w:rPr>
        <w:t xml:space="preserve"> the interests of such Person(s) may be directly adverse to the VS Group and even though Prior Company Counsel may have represented the VS Group in a matter substantially related to such dispute.</w:t>
      </w:r>
    </w:p>
    <w:p w14:paraId="7D47274E" w14:textId="77777777" w:rsidR="00D1587D" w:rsidRDefault="00D1587D">
      <w:pPr>
        <w:spacing w:line="178" w:lineRule="exact"/>
        <w:rPr>
          <w:rFonts w:ascii="Arial" w:eastAsia="Arial" w:hAnsi="Arial" w:cs="Arial"/>
          <w:sz w:val="17"/>
          <w:szCs w:val="17"/>
        </w:rPr>
      </w:pPr>
    </w:p>
    <w:p w14:paraId="2DBBE847" w14:textId="77777777" w:rsidR="00D1587D" w:rsidRDefault="00410D07">
      <w:pPr>
        <w:numPr>
          <w:ilvl w:val="0"/>
          <w:numId w:val="29"/>
        </w:numPr>
        <w:tabs>
          <w:tab w:val="left" w:pos="1188"/>
        </w:tabs>
        <w:spacing w:line="254" w:lineRule="auto"/>
        <w:ind w:right="60" w:firstLine="656"/>
        <w:rPr>
          <w:rFonts w:ascii="Arial" w:eastAsia="Arial" w:hAnsi="Arial" w:cs="Arial"/>
          <w:sz w:val="18"/>
          <w:szCs w:val="18"/>
        </w:rPr>
      </w:pPr>
      <w:r>
        <w:rPr>
          <w:rFonts w:ascii="Arial" w:eastAsia="Arial" w:hAnsi="Arial" w:cs="Arial"/>
          <w:sz w:val="18"/>
          <w:szCs w:val="18"/>
        </w:rPr>
        <w:t>Notwithstanding anything to the contrary in this Section 4.</w:t>
      </w:r>
      <w:r>
        <w:rPr>
          <w:rFonts w:ascii="Arial" w:eastAsia="Arial" w:hAnsi="Arial" w:cs="Arial"/>
          <w:sz w:val="18"/>
          <w:szCs w:val="18"/>
        </w:rPr>
        <w:t>07, in the event of any adversarial Action between any member of the L Brands Group, on the one hand, and any member of the VS Group on the other hand, related to the transactions contemplated by this Agreement or any Ancillary Agreement, L Brands shall be</w:t>
      </w:r>
      <w:r>
        <w:rPr>
          <w:rFonts w:ascii="Arial" w:eastAsia="Arial" w:hAnsi="Arial" w:cs="Arial"/>
          <w:sz w:val="18"/>
          <w:szCs w:val="18"/>
        </w:rPr>
        <w:t xml:space="preserve"> entitled to control the assertion or waiver of all Privileges in connection with such matter and shall have the sole right to waive any Privilege in connection with such matter, without obtaining VS’s consent pursuant to Section 4.07(a); </w:t>
      </w:r>
      <w:r>
        <w:rPr>
          <w:rFonts w:ascii="Arial" w:eastAsia="Arial" w:hAnsi="Arial" w:cs="Arial"/>
          <w:i/>
          <w:iCs/>
          <w:sz w:val="18"/>
          <w:szCs w:val="18"/>
        </w:rPr>
        <w:t>provided</w:t>
      </w:r>
      <w:r>
        <w:rPr>
          <w:rFonts w:ascii="Arial" w:eastAsia="Arial" w:hAnsi="Arial" w:cs="Arial"/>
          <w:sz w:val="18"/>
          <w:szCs w:val="18"/>
        </w:rPr>
        <w:t xml:space="preserve"> that suc</w:t>
      </w:r>
      <w:r>
        <w:rPr>
          <w:rFonts w:ascii="Arial" w:eastAsia="Arial" w:hAnsi="Arial" w:cs="Arial"/>
          <w:sz w:val="18"/>
          <w:szCs w:val="18"/>
        </w:rPr>
        <w:t>h waiver of Privilege shall be effective only as to the use of information with respect to the Action between the Parties or the applicable members of their respective Groups related to the transactions contemplated by this Agreement or any Ancillary Agree</w:t>
      </w:r>
      <w:r>
        <w:rPr>
          <w:rFonts w:ascii="Arial" w:eastAsia="Arial" w:hAnsi="Arial" w:cs="Arial"/>
          <w:sz w:val="18"/>
          <w:szCs w:val="18"/>
        </w:rPr>
        <w:t>ment, and shall not operate as a waiver of the Privilege with respect to any Third Party.</w:t>
      </w:r>
    </w:p>
    <w:p w14:paraId="1CCAB8E6" w14:textId="77777777" w:rsidR="00D1587D" w:rsidRDefault="00D1587D">
      <w:pPr>
        <w:spacing w:line="194" w:lineRule="exact"/>
        <w:rPr>
          <w:rFonts w:ascii="Arial" w:eastAsia="Arial" w:hAnsi="Arial" w:cs="Arial"/>
          <w:sz w:val="18"/>
          <w:szCs w:val="18"/>
        </w:rPr>
      </w:pPr>
    </w:p>
    <w:p w14:paraId="2823FF83" w14:textId="77777777" w:rsidR="00D1587D" w:rsidRDefault="00410D07">
      <w:pPr>
        <w:numPr>
          <w:ilvl w:val="0"/>
          <w:numId w:val="29"/>
        </w:numPr>
        <w:tabs>
          <w:tab w:val="left" w:pos="1128"/>
        </w:tabs>
        <w:spacing w:line="293" w:lineRule="auto"/>
        <w:ind w:firstLine="656"/>
        <w:rPr>
          <w:rFonts w:ascii="Arial" w:eastAsia="Arial" w:hAnsi="Arial" w:cs="Arial"/>
          <w:sz w:val="16"/>
          <w:szCs w:val="16"/>
        </w:rPr>
      </w:pPr>
      <w:r>
        <w:rPr>
          <w:rFonts w:ascii="Arial" w:eastAsia="Arial" w:hAnsi="Arial" w:cs="Arial"/>
          <w:sz w:val="16"/>
          <w:szCs w:val="16"/>
        </w:rPr>
        <w:t xml:space="preserve">Each of the VS Group and the L Brands Group hereby acknowledges and confirms that it has had the opportunity to review and obtain adequate information regarding the </w:t>
      </w:r>
      <w:r>
        <w:rPr>
          <w:rFonts w:ascii="Arial" w:eastAsia="Arial" w:hAnsi="Arial" w:cs="Arial"/>
          <w:sz w:val="16"/>
          <w:szCs w:val="16"/>
        </w:rPr>
        <w:t>significance and risks of the waivers and other terms and conditions of this Section 4.07, including the opportunity to discuss with counsel such matters and reasonable alternatives to such terms. This Section 4.07 is for the benefit of the L Brands Group,</w:t>
      </w:r>
      <w:r>
        <w:rPr>
          <w:rFonts w:ascii="Arial" w:eastAsia="Arial" w:hAnsi="Arial" w:cs="Arial"/>
          <w:sz w:val="16"/>
          <w:szCs w:val="16"/>
        </w:rPr>
        <w:t xml:space="preserve"> the VS Group and Prior Company Counsel, and the L Brands Group, VS Group and Prior Company Counsel are intended third party beneficiaries of this Section 4.07. This Section 4.07 shall be irrevocable, and no term of this Section 4.07 may be amended, waived</w:t>
      </w:r>
      <w:r>
        <w:rPr>
          <w:rFonts w:ascii="Arial" w:eastAsia="Arial" w:hAnsi="Arial" w:cs="Arial"/>
          <w:sz w:val="16"/>
          <w:szCs w:val="16"/>
        </w:rPr>
        <w:t xml:space="preserve"> or modified, without the prior written consent of L Brands, VS and Prior Company Counsel. The covenants and obligations set forth in this Section 4.07 shall survive the Distribution Time indefinitely.</w:t>
      </w:r>
    </w:p>
    <w:p w14:paraId="080E01A9" w14:textId="77777777" w:rsidR="00D1587D" w:rsidRDefault="00D1587D">
      <w:pPr>
        <w:spacing w:line="151" w:lineRule="exact"/>
        <w:rPr>
          <w:sz w:val="20"/>
          <w:szCs w:val="20"/>
        </w:rPr>
      </w:pPr>
    </w:p>
    <w:p w14:paraId="1C62654C" w14:textId="77777777" w:rsidR="00D1587D" w:rsidRDefault="00410D07">
      <w:pPr>
        <w:ind w:right="20"/>
        <w:jc w:val="center"/>
        <w:rPr>
          <w:sz w:val="20"/>
          <w:szCs w:val="20"/>
        </w:rPr>
      </w:pPr>
      <w:r>
        <w:rPr>
          <w:rFonts w:ascii="Arial" w:eastAsia="Arial" w:hAnsi="Arial" w:cs="Arial"/>
          <w:sz w:val="18"/>
          <w:szCs w:val="18"/>
        </w:rPr>
        <w:t>34</w:t>
      </w:r>
    </w:p>
    <w:p w14:paraId="05D4D13B" w14:textId="77777777" w:rsidR="00D1587D" w:rsidRDefault="00410D07">
      <w:pPr>
        <w:spacing w:line="20" w:lineRule="exact"/>
        <w:rPr>
          <w:sz w:val="20"/>
          <w:szCs w:val="20"/>
        </w:rPr>
      </w:pPr>
      <w:r>
        <w:rPr>
          <w:noProof/>
          <w:sz w:val="20"/>
          <w:szCs w:val="20"/>
        </w:rPr>
        <w:drawing>
          <wp:anchor distT="0" distB="0" distL="114300" distR="114300" simplePos="0" relativeHeight="251186176" behindDoc="1" locked="0" layoutInCell="0" allowOverlap="1" wp14:anchorId="1ED671A0" wp14:editId="23D1D055">
            <wp:simplePos x="0" y="0"/>
            <wp:positionH relativeFrom="column">
              <wp:posOffset>5080</wp:posOffset>
            </wp:positionH>
            <wp:positionV relativeFrom="paragraph">
              <wp:posOffset>48895</wp:posOffset>
            </wp:positionV>
            <wp:extent cx="7132320" cy="1714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06B75E3" w14:textId="77777777" w:rsidR="00D1587D" w:rsidRDefault="00D1587D">
      <w:pPr>
        <w:sectPr w:rsidR="00D1587D">
          <w:pgSz w:w="11900" w:h="16838"/>
          <w:pgMar w:top="341" w:right="379" w:bottom="1440" w:left="320" w:header="0" w:footer="0" w:gutter="0"/>
          <w:cols w:space="720" w:equalWidth="0">
            <w:col w:w="11200"/>
          </w:cols>
        </w:sectPr>
      </w:pPr>
    </w:p>
    <w:p w14:paraId="45965ACF" w14:textId="77777777" w:rsidR="00D1587D" w:rsidRDefault="00410D07">
      <w:pPr>
        <w:spacing w:line="257" w:lineRule="auto"/>
        <w:ind w:right="20" w:firstLine="648"/>
        <w:rPr>
          <w:sz w:val="20"/>
          <w:szCs w:val="20"/>
        </w:rPr>
      </w:pPr>
      <w:bookmarkStart w:id="43" w:name="page44"/>
      <w:bookmarkEnd w:id="43"/>
      <w:r>
        <w:rPr>
          <w:rFonts w:ascii="Arial" w:eastAsia="Arial" w:hAnsi="Arial" w:cs="Arial"/>
          <w:sz w:val="18"/>
          <w:szCs w:val="18"/>
        </w:rPr>
        <w:t xml:space="preserve">Section 4.08. </w:t>
      </w:r>
      <w:r>
        <w:rPr>
          <w:rFonts w:ascii="Arial" w:eastAsia="Arial" w:hAnsi="Arial" w:cs="Arial"/>
          <w:i/>
          <w:iCs/>
          <w:sz w:val="18"/>
          <w:szCs w:val="18"/>
        </w:rPr>
        <w:t>Limitation of Liability</w:t>
      </w:r>
      <w:r>
        <w:rPr>
          <w:rFonts w:ascii="Arial" w:eastAsia="Arial" w:hAnsi="Arial" w:cs="Arial"/>
          <w:sz w:val="18"/>
          <w:szCs w:val="18"/>
        </w:rPr>
        <w:t xml:space="preserve">. Except as otherwise provided in this Agreement, no Party shall have any liability to any other party in the event that any information, books or records exchanged or provided pursuant to this Agreement is found to be inaccurate or </w:t>
      </w:r>
      <w:r>
        <w:rPr>
          <w:rFonts w:ascii="Arial" w:eastAsia="Arial" w:hAnsi="Arial" w:cs="Arial"/>
          <w:sz w:val="18"/>
          <w:szCs w:val="18"/>
        </w:rPr>
        <w:t>the requested information, books or records is not provided, in the absence of willful misconduct by the party requested to provide such information, books or records. No Party shall have any liability to any other party if any information, books or record</w:t>
      </w:r>
      <w:r>
        <w:rPr>
          <w:rFonts w:ascii="Arial" w:eastAsia="Arial" w:hAnsi="Arial" w:cs="Arial"/>
          <w:sz w:val="18"/>
          <w:szCs w:val="18"/>
        </w:rPr>
        <w:t>s is destroyed after commercially reasonable efforts by such Party to comply with the provisions of Section 4.05.</w:t>
      </w:r>
    </w:p>
    <w:p w14:paraId="34268CC5" w14:textId="77777777" w:rsidR="00D1587D" w:rsidRDefault="00D1587D">
      <w:pPr>
        <w:spacing w:line="188" w:lineRule="exact"/>
        <w:rPr>
          <w:sz w:val="20"/>
          <w:szCs w:val="20"/>
        </w:rPr>
      </w:pPr>
    </w:p>
    <w:p w14:paraId="45F325AD" w14:textId="77777777" w:rsidR="00D1587D" w:rsidRDefault="00410D07">
      <w:pPr>
        <w:spacing w:line="284" w:lineRule="auto"/>
        <w:ind w:right="20" w:firstLine="648"/>
        <w:rPr>
          <w:sz w:val="20"/>
          <w:szCs w:val="20"/>
        </w:rPr>
      </w:pPr>
      <w:r>
        <w:rPr>
          <w:rFonts w:ascii="Arial" w:eastAsia="Arial" w:hAnsi="Arial" w:cs="Arial"/>
          <w:sz w:val="16"/>
          <w:szCs w:val="16"/>
        </w:rPr>
        <w:t xml:space="preserve">Section 4.09. </w:t>
      </w:r>
      <w:r>
        <w:rPr>
          <w:rFonts w:ascii="Arial" w:eastAsia="Arial" w:hAnsi="Arial" w:cs="Arial"/>
          <w:i/>
          <w:iCs/>
          <w:sz w:val="16"/>
          <w:szCs w:val="16"/>
        </w:rPr>
        <w:t>Other Agreements Providing for Exchange of Information</w:t>
      </w:r>
      <w:r>
        <w:rPr>
          <w:rFonts w:ascii="Arial" w:eastAsia="Arial" w:hAnsi="Arial" w:cs="Arial"/>
          <w:sz w:val="16"/>
          <w:szCs w:val="16"/>
        </w:rPr>
        <w:t xml:space="preserve">. The rights and obligations granted under this Article 4 are </w:t>
      </w:r>
      <w:r>
        <w:rPr>
          <w:rFonts w:ascii="Arial" w:eastAsia="Arial" w:hAnsi="Arial" w:cs="Arial"/>
          <w:sz w:val="16"/>
          <w:szCs w:val="16"/>
        </w:rPr>
        <w:t>subject to any specific limitations, qualifications or additional provisions on the sharing, exchange, retention, rights to use, or confidential treatment of information set forth in any Ancillary Agreement. Notwithstanding anything in this Agreement to th</w:t>
      </w:r>
      <w:r>
        <w:rPr>
          <w:rFonts w:ascii="Arial" w:eastAsia="Arial" w:hAnsi="Arial" w:cs="Arial"/>
          <w:sz w:val="16"/>
          <w:szCs w:val="16"/>
        </w:rPr>
        <w:t>e contrary, (i) the Tax Matters Agreement shall govern the retention of Tax related records and the exchange of Tax related information and (ii) the Employee Matters Agreement shall govern the retention of employment and benefits related records. Any Party</w:t>
      </w:r>
      <w:r>
        <w:rPr>
          <w:rFonts w:ascii="Arial" w:eastAsia="Arial" w:hAnsi="Arial" w:cs="Arial"/>
          <w:sz w:val="16"/>
          <w:szCs w:val="16"/>
        </w:rPr>
        <w:t xml:space="preserve"> that receives, pursuant to a request for information in accordance with this Article 4, information that is not relevant to its request shall, at the request of the providing Party, (i) return it to the providing Party or, at the providing Party’s request</w:t>
      </w:r>
      <w:r>
        <w:rPr>
          <w:rFonts w:ascii="Arial" w:eastAsia="Arial" w:hAnsi="Arial" w:cs="Arial"/>
          <w:sz w:val="16"/>
          <w:szCs w:val="16"/>
        </w:rPr>
        <w:t>, destroy such information; and</w:t>
      </w:r>
    </w:p>
    <w:p w14:paraId="1BF93BF6" w14:textId="77777777" w:rsidR="00D1587D" w:rsidRDefault="00D1587D">
      <w:pPr>
        <w:spacing w:line="4" w:lineRule="exact"/>
        <w:rPr>
          <w:sz w:val="20"/>
          <w:szCs w:val="20"/>
        </w:rPr>
      </w:pPr>
    </w:p>
    <w:p w14:paraId="437E053D" w14:textId="77777777" w:rsidR="00D1587D" w:rsidRDefault="00410D07">
      <w:pPr>
        <w:numPr>
          <w:ilvl w:val="0"/>
          <w:numId w:val="30"/>
        </w:numPr>
        <w:tabs>
          <w:tab w:val="left" w:pos="265"/>
        </w:tabs>
        <w:spacing w:line="260" w:lineRule="auto"/>
        <w:ind w:right="220" w:firstLine="8"/>
        <w:rPr>
          <w:rFonts w:ascii="Arial" w:eastAsia="Arial" w:hAnsi="Arial" w:cs="Arial"/>
          <w:sz w:val="18"/>
          <w:szCs w:val="18"/>
        </w:rPr>
      </w:pPr>
      <w:r>
        <w:rPr>
          <w:rFonts w:ascii="Arial" w:eastAsia="Arial" w:hAnsi="Arial" w:cs="Arial"/>
          <w:sz w:val="18"/>
          <w:szCs w:val="18"/>
        </w:rPr>
        <w:t>deliver to the providing Party written confirmation that such information was returned or destroyed, as the case may be, which confirmation shall be signed by an authorized representative of the requesting Party.</w:t>
      </w:r>
    </w:p>
    <w:p w14:paraId="549BC9D4" w14:textId="77777777" w:rsidR="00D1587D" w:rsidRDefault="00D1587D">
      <w:pPr>
        <w:spacing w:line="185" w:lineRule="exact"/>
        <w:rPr>
          <w:sz w:val="20"/>
          <w:szCs w:val="20"/>
        </w:rPr>
      </w:pPr>
    </w:p>
    <w:p w14:paraId="779AAD98" w14:textId="77777777" w:rsidR="00D1587D" w:rsidRDefault="00410D07">
      <w:pPr>
        <w:spacing w:line="301" w:lineRule="auto"/>
        <w:ind w:firstLine="648"/>
        <w:rPr>
          <w:sz w:val="20"/>
          <w:szCs w:val="20"/>
        </w:rPr>
      </w:pPr>
      <w:r>
        <w:rPr>
          <w:rFonts w:ascii="Arial" w:eastAsia="Arial" w:hAnsi="Arial" w:cs="Arial"/>
          <w:sz w:val="16"/>
          <w:szCs w:val="16"/>
        </w:rPr>
        <w:t>Section 4</w:t>
      </w:r>
      <w:r>
        <w:rPr>
          <w:rFonts w:ascii="Arial" w:eastAsia="Arial" w:hAnsi="Arial" w:cs="Arial"/>
          <w:sz w:val="16"/>
          <w:szCs w:val="16"/>
        </w:rPr>
        <w:t xml:space="preserve">.10. </w:t>
      </w:r>
      <w:r>
        <w:rPr>
          <w:rFonts w:ascii="Arial" w:eastAsia="Arial" w:hAnsi="Arial" w:cs="Arial"/>
          <w:i/>
          <w:iCs/>
          <w:sz w:val="16"/>
          <w:szCs w:val="16"/>
        </w:rPr>
        <w:t>L Brands Insurance</w:t>
      </w:r>
      <w:r>
        <w:rPr>
          <w:rFonts w:ascii="Arial" w:eastAsia="Arial" w:hAnsi="Arial" w:cs="Arial"/>
          <w:sz w:val="16"/>
          <w:szCs w:val="16"/>
        </w:rPr>
        <w:t xml:space="preserve">. (a) From and after the Distribution Time, the members of the VS Group shall cease to be insured by the current and historical insurance policies or programs of L Brands or any of its Subsidiaries, whether provided by a third-party </w:t>
      </w:r>
      <w:r>
        <w:rPr>
          <w:rFonts w:ascii="Arial" w:eastAsia="Arial" w:hAnsi="Arial" w:cs="Arial"/>
          <w:sz w:val="16"/>
          <w:szCs w:val="16"/>
        </w:rPr>
        <w:t>insurer, “captive insurer,” self-insurance or a co-insurance program (the “</w:t>
      </w:r>
      <w:r>
        <w:rPr>
          <w:rFonts w:ascii="Arial" w:eastAsia="Arial" w:hAnsi="Arial" w:cs="Arial"/>
          <w:b/>
          <w:bCs/>
          <w:sz w:val="16"/>
          <w:szCs w:val="16"/>
        </w:rPr>
        <w:t>L Brands Insurance Policies</w:t>
      </w:r>
      <w:r>
        <w:rPr>
          <w:rFonts w:ascii="Arial" w:eastAsia="Arial" w:hAnsi="Arial" w:cs="Arial"/>
          <w:sz w:val="16"/>
          <w:szCs w:val="16"/>
        </w:rPr>
        <w:t>”). From and after the Distribution Time, no member of the VS Group shall have any access, right, title or interest to or in any L Brands Insurance Policy</w:t>
      </w:r>
      <w:r>
        <w:rPr>
          <w:rFonts w:ascii="Arial" w:eastAsia="Arial" w:hAnsi="Arial" w:cs="Arial"/>
          <w:sz w:val="16"/>
          <w:szCs w:val="16"/>
        </w:rPr>
        <w:t xml:space="preserve"> (including to any claims or rights to make claims or any rights to proceeds).</w:t>
      </w:r>
    </w:p>
    <w:p w14:paraId="0402896C" w14:textId="77777777" w:rsidR="00D1587D" w:rsidRDefault="00D1587D">
      <w:pPr>
        <w:spacing w:line="144" w:lineRule="exact"/>
        <w:rPr>
          <w:sz w:val="20"/>
          <w:szCs w:val="20"/>
        </w:rPr>
      </w:pPr>
    </w:p>
    <w:p w14:paraId="705EA89B" w14:textId="77777777" w:rsidR="00D1587D" w:rsidRDefault="00410D07">
      <w:pPr>
        <w:ind w:right="-19"/>
        <w:jc w:val="center"/>
        <w:rPr>
          <w:sz w:val="20"/>
          <w:szCs w:val="20"/>
        </w:rPr>
      </w:pPr>
      <w:r>
        <w:rPr>
          <w:rFonts w:ascii="Arial" w:eastAsia="Arial" w:hAnsi="Arial" w:cs="Arial"/>
          <w:sz w:val="18"/>
          <w:szCs w:val="18"/>
        </w:rPr>
        <w:t>35</w:t>
      </w:r>
    </w:p>
    <w:p w14:paraId="7A77413C" w14:textId="77777777" w:rsidR="00D1587D" w:rsidRDefault="00410D07">
      <w:pPr>
        <w:spacing w:line="20" w:lineRule="exact"/>
        <w:rPr>
          <w:sz w:val="20"/>
          <w:szCs w:val="20"/>
        </w:rPr>
      </w:pPr>
      <w:r>
        <w:rPr>
          <w:noProof/>
          <w:sz w:val="20"/>
          <w:szCs w:val="20"/>
        </w:rPr>
        <w:drawing>
          <wp:anchor distT="0" distB="0" distL="114300" distR="114300" simplePos="0" relativeHeight="251187200" behindDoc="1" locked="0" layoutInCell="0" allowOverlap="1" wp14:anchorId="4332121D" wp14:editId="72EDB614">
            <wp:simplePos x="0" y="0"/>
            <wp:positionH relativeFrom="column">
              <wp:posOffset>5080</wp:posOffset>
            </wp:positionH>
            <wp:positionV relativeFrom="paragraph">
              <wp:posOffset>48895</wp:posOffset>
            </wp:positionV>
            <wp:extent cx="7132320" cy="1714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C0E8F9C" w14:textId="77777777" w:rsidR="00D1587D" w:rsidRDefault="00D1587D">
      <w:pPr>
        <w:sectPr w:rsidR="00D1587D">
          <w:pgSz w:w="11900" w:h="16838"/>
          <w:pgMar w:top="341" w:right="419" w:bottom="1440" w:left="320" w:header="0" w:footer="0" w:gutter="0"/>
          <w:cols w:space="720" w:equalWidth="0">
            <w:col w:w="11160"/>
          </w:cols>
        </w:sectPr>
      </w:pPr>
    </w:p>
    <w:p w14:paraId="65A83467" w14:textId="77777777" w:rsidR="00D1587D" w:rsidRDefault="00410D07">
      <w:pPr>
        <w:numPr>
          <w:ilvl w:val="0"/>
          <w:numId w:val="31"/>
        </w:numPr>
        <w:tabs>
          <w:tab w:val="left" w:pos="1163"/>
        </w:tabs>
        <w:spacing w:line="284" w:lineRule="auto"/>
        <w:ind w:firstLine="656"/>
        <w:rPr>
          <w:rFonts w:ascii="Arial" w:eastAsia="Arial" w:hAnsi="Arial" w:cs="Arial"/>
          <w:sz w:val="16"/>
          <w:szCs w:val="16"/>
        </w:rPr>
      </w:pPr>
      <w:bookmarkStart w:id="44" w:name="page45"/>
      <w:bookmarkEnd w:id="44"/>
      <w:r>
        <w:rPr>
          <w:rFonts w:ascii="Arial" w:eastAsia="Arial" w:hAnsi="Arial" w:cs="Arial"/>
          <w:sz w:val="16"/>
          <w:szCs w:val="16"/>
        </w:rPr>
        <w:t>After the Distribution, VS shall promptly notify L Brands about any events, acts, errors, accidents, omissions, incidents, injuries or other forms of o</w:t>
      </w:r>
      <w:r>
        <w:rPr>
          <w:rFonts w:ascii="Arial" w:eastAsia="Arial" w:hAnsi="Arial" w:cs="Arial"/>
          <w:sz w:val="16"/>
          <w:szCs w:val="16"/>
        </w:rPr>
        <w:t>ccurrences to the extent relating to any member of the VS Group or the properties, assets, business, operations, employees, officers or directors of any member of the VS Group that, in each case, occur prior to the Distribution (collectively, the “</w:t>
      </w:r>
      <w:r>
        <w:rPr>
          <w:rFonts w:ascii="Arial" w:eastAsia="Arial" w:hAnsi="Arial" w:cs="Arial"/>
          <w:b/>
          <w:bCs/>
          <w:sz w:val="16"/>
          <w:szCs w:val="16"/>
        </w:rPr>
        <w:t>Pre-Dist</w:t>
      </w:r>
      <w:r>
        <w:rPr>
          <w:rFonts w:ascii="Arial" w:eastAsia="Arial" w:hAnsi="Arial" w:cs="Arial"/>
          <w:b/>
          <w:bCs/>
          <w:sz w:val="16"/>
          <w:szCs w:val="16"/>
        </w:rPr>
        <w:t>ribution Occurrences</w:t>
      </w:r>
      <w:r>
        <w:rPr>
          <w:rFonts w:ascii="Arial" w:eastAsia="Arial" w:hAnsi="Arial" w:cs="Arial"/>
          <w:sz w:val="16"/>
          <w:szCs w:val="16"/>
        </w:rPr>
        <w:t xml:space="preserve">”) and that could potentially be covered by a L Brands Insurance Policy that is an occurrence-based policy (which, for the avoidance of doubt, includes any claim relating to a Pre-Distribution Occurrence that is below the deductible or </w:t>
      </w:r>
      <w:r>
        <w:rPr>
          <w:rFonts w:ascii="Arial" w:eastAsia="Arial" w:hAnsi="Arial" w:cs="Arial"/>
          <w:sz w:val="16"/>
          <w:szCs w:val="16"/>
        </w:rPr>
        <w:t>retention for such policy but could potentially be covered if it were above such deductible or retention), and L Brands shall use commercially reasonable efforts to (i) report such Pre-Distribution Occurrences to the applicable third-party insurance provid</w:t>
      </w:r>
      <w:r>
        <w:rPr>
          <w:rFonts w:ascii="Arial" w:eastAsia="Arial" w:hAnsi="Arial" w:cs="Arial"/>
          <w:sz w:val="16"/>
          <w:szCs w:val="16"/>
        </w:rPr>
        <w:t>er of such L Brands Insurance Policy, and (ii) to the extent such Pre-Distribution Occurrence is covered by such L Brands Insurance Policy, file a claim for such Pre-Distribution Occurrence under such L Brands Insurance Policy. All (i) insurance claims rel</w:t>
      </w:r>
      <w:r>
        <w:rPr>
          <w:rFonts w:ascii="Arial" w:eastAsia="Arial" w:hAnsi="Arial" w:cs="Arial"/>
          <w:sz w:val="16"/>
          <w:szCs w:val="16"/>
        </w:rPr>
        <w:t xml:space="preserve">ating to Pre-Distribution Occurrences that have been filed by L Brands or any of its Subsidiaries prior to the Distribution under a L Brands Insurance Policy (including those filed under L Brands Insurance Policies that are claims-made policies), and (ii) </w:t>
      </w:r>
      <w:r>
        <w:rPr>
          <w:rFonts w:ascii="Arial" w:eastAsia="Arial" w:hAnsi="Arial" w:cs="Arial"/>
          <w:sz w:val="16"/>
          <w:szCs w:val="16"/>
        </w:rPr>
        <w:t xml:space="preserve">insurance claims relating to Pre-Distribution Occurrences that are filed by L Brands or any or its Subsidiaries after the Distribution under a L Brands Insurance Policy that is an occurrence-based policy (the filed insurance claims in clauses (i) and (ii) </w:t>
      </w:r>
      <w:r>
        <w:rPr>
          <w:rFonts w:ascii="Arial" w:eastAsia="Arial" w:hAnsi="Arial" w:cs="Arial"/>
          <w:sz w:val="16"/>
          <w:szCs w:val="16"/>
        </w:rPr>
        <w:t>collectively, the “</w:t>
      </w:r>
      <w:r>
        <w:rPr>
          <w:rFonts w:ascii="Arial" w:eastAsia="Arial" w:hAnsi="Arial" w:cs="Arial"/>
          <w:b/>
          <w:bCs/>
          <w:sz w:val="16"/>
          <w:szCs w:val="16"/>
        </w:rPr>
        <w:t>L Brands Insurance Claims</w:t>
      </w:r>
      <w:r>
        <w:rPr>
          <w:rFonts w:ascii="Arial" w:eastAsia="Arial" w:hAnsi="Arial" w:cs="Arial"/>
          <w:sz w:val="16"/>
          <w:szCs w:val="16"/>
        </w:rPr>
        <w:t xml:space="preserve">”), shall be retained by L Brands and shall be L Brands Liabilities; </w:t>
      </w:r>
      <w:r>
        <w:rPr>
          <w:rFonts w:ascii="Arial" w:eastAsia="Arial" w:hAnsi="Arial" w:cs="Arial"/>
          <w:i/>
          <w:iCs/>
          <w:sz w:val="16"/>
          <w:szCs w:val="16"/>
        </w:rPr>
        <w:t>provided</w:t>
      </w:r>
      <w:r>
        <w:rPr>
          <w:rFonts w:ascii="Arial" w:eastAsia="Arial" w:hAnsi="Arial" w:cs="Arial"/>
          <w:sz w:val="16"/>
          <w:szCs w:val="16"/>
        </w:rPr>
        <w:t xml:space="preserve"> that in no event shall, pursuant to this Section 4.10(b), the L Brands Liabilities include any underlying fact, circumstance or event </w:t>
      </w:r>
      <w:r>
        <w:rPr>
          <w:rFonts w:ascii="Arial" w:eastAsia="Arial" w:hAnsi="Arial" w:cs="Arial"/>
          <w:sz w:val="16"/>
          <w:szCs w:val="16"/>
        </w:rPr>
        <w:t>related to a L Brands Insurance Claim, or any Liability relating to such underlying fact, circumstance, event or Liability (unless such underlying fact, circumstance or event is otherwise an L Brands Liability). After the Distribution, L Brands and its Sub</w:t>
      </w:r>
      <w:r>
        <w:rPr>
          <w:rFonts w:ascii="Arial" w:eastAsia="Arial" w:hAnsi="Arial" w:cs="Arial"/>
          <w:sz w:val="16"/>
          <w:szCs w:val="16"/>
        </w:rPr>
        <w:t>sidiaries shall have the sole responsibility for, and the sole right to, handle the claims administration for each L Brands Insurance Claim, including claims handling and resolution, defense costs, payments to claimants, deductibles and retentions, as appl</w:t>
      </w:r>
      <w:r>
        <w:rPr>
          <w:rFonts w:ascii="Arial" w:eastAsia="Arial" w:hAnsi="Arial" w:cs="Arial"/>
          <w:sz w:val="16"/>
          <w:szCs w:val="16"/>
        </w:rPr>
        <w:t>icable, under the terms and conditions of each L Brands Insurance Policy, discussions or negotiations with insurers and the control of any Action relating to any L Brands Insurance Claim. All proceeds paid or payable under a L Brands Insurance Policy shall</w:t>
      </w:r>
      <w:r>
        <w:rPr>
          <w:rFonts w:ascii="Arial" w:eastAsia="Arial" w:hAnsi="Arial" w:cs="Arial"/>
          <w:sz w:val="16"/>
          <w:szCs w:val="16"/>
        </w:rPr>
        <w:t xml:space="preserve"> be L Brands Assets. VS shall and shall cause the members of the VS Group to cooperate with L Brands with respect to the L Brands Insurance Claims, including in the investigation and pursuit of any L Brands Insurance Claim, comply with the terms of the L B</w:t>
      </w:r>
      <w:r>
        <w:rPr>
          <w:rFonts w:ascii="Arial" w:eastAsia="Arial" w:hAnsi="Arial" w:cs="Arial"/>
          <w:sz w:val="16"/>
          <w:szCs w:val="16"/>
        </w:rPr>
        <w:t xml:space="preserve">rands Insurance Policies with respect to the L Brands Insurance Claims, provide such information as is reasonably requested by L Brands in connection with the L Brands Insurance Claims and, upon L Brands’ request, assign the L Brands Insurance Claims to L </w:t>
      </w:r>
      <w:r>
        <w:rPr>
          <w:rFonts w:ascii="Arial" w:eastAsia="Arial" w:hAnsi="Arial" w:cs="Arial"/>
          <w:sz w:val="16"/>
          <w:szCs w:val="16"/>
        </w:rPr>
        <w:t>Brands or its Subsidiary.</w:t>
      </w:r>
    </w:p>
    <w:p w14:paraId="00EF405E" w14:textId="77777777" w:rsidR="00D1587D" w:rsidRDefault="00D1587D">
      <w:pPr>
        <w:spacing w:line="396" w:lineRule="exact"/>
        <w:rPr>
          <w:sz w:val="20"/>
          <w:szCs w:val="20"/>
        </w:rPr>
      </w:pPr>
    </w:p>
    <w:p w14:paraId="75850DAB" w14:textId="77777777" w:rsidR="00D1587D" w:rsidRDefault="00410D07">
      <w:pPr>
        <w:spacing w:line="293" w:lineRule="auto"/>
        <w:ind w:right="60" w:firstLine="648"/>
        <w:rPr>
          <w:sz w:val="20"/>
          <w:szCs w:val="20"/>
        </w:rPr>
      </w:pPr>
      <w:r>
        <w:rPr>
          <w:rFonts w:ascii="Arial" w:eastAsia="Arial" w:hAnsi="Arial" w:cs="Arial"/>
          <w:sz w:val="16"/>
          <w:szCs w:val="16"/>
        </w:rPr>
        <w:t xml:space="preserve">Section 4.11. </w:t>
      </w:r>
      <w:r>
        <w:rPr>
          <w:rFonts w:ascii="Arial" w:eastAsia="Arial" w:hAnsi="Arial" w:cs="Arial"/>
          <w:i/>
          <w:iCs/>
          <w:sz w:val="16"/>
          <w:szCs w:val="16"/>
        </w:rPr>
        <w:t>Intellectual Property License</w:t>
      </w:r>
      <w:r>
        <w:rPr>
          <w:rFonts w:ascii="Arial" w:eastAsia="Arial" w:hAnsi="Arial" w:cs="Arial"/>
          <w:sz w:val="16"/>
          <w:szCs w:val="16"/>
        </w:rPr>
        <w:t>. (a) Effective from and after the Distribution Time, L Brands (on behalf of itself and its Subsidiaries) hereby grants the VS Group a non-exclusive, worldwide, perpetual, irrevocable, f</w:t>
      </w:r>
      <w:r>
        <w:rPr>
          <w:rFonts w:ascii="Arial" w:eastAsia="Arial" w:hAnsi="Arial" w:cs="Arial"/>
          <w:sz w:val="16"/>
          <w:szCs w:val="16"/>
        </w:rPr>
        <w:t>ully paid-up, royalty-free, non-transferable, non-sublicensable (except as set forth in Section 4.11(d)) license under the Intellectual Property Rights (other than any and all Trademarks, formulas, Commercial Data and Personal Information) (i) that are own</w:t>
      </w:r>
      <w:r>
        <w:rPr>
          <w:rFonts w:ascii="Arial" w:eastAsia="Arial" w:hAnsi="Arial" w:cs="Arial"/>
          <w:sz w:val="16"/>
          <w:szCs w:val="16"/>
        </w:rPr>
        <w:t>ed by the L Brands Group as of the Distribution Time and (ii) that have been used or held for use in the VS Business on or prior to the Distribution Time but are not included in the VS Assets, in each case, to use, reproduce, create derivative works of, mo</w:t>
      </w:r>
      <w:r>
        <w:rPr>
          <w:rFonts w:ascii="Arial" w:eastAsia="Arial" w:hAnsi="Arial" w:cs="Arial"/>
          <w:sz w:val="16"/>
          <w:szCs w:val="16"/>
        </w:rPr>
        <w:t>dify, distribute, make, have made, sell, offer for sale, import or otherwise commercially exploit products and services solely in connection with the operation of the VS Business.</w:t>
      </w:r>
    </w:p>
    <w:p w14:paraId="0C6A49D1" w14:textId="77777777" w:rsidR="00D1587D" w:rsidRDefault="00D1587D">
      <w:pPr>
        <w:spacing w:line="151" w:lineRule="exact"/>
        <w:rPr>
          <w:sz w:val="20"/>
          <w:szCs w:val="20"/>
        </w:rPr>
      </w:pPr>
    </w:p>
    <w:p w14:paraId="649E9D22" w14:textId="77777777" w:rsidR="00D1587D" w:rsidRDefault="00410D07">
      <w:pPr>
        <w:ind w:right="20"/>
        <w:jc w:val="center"/>
        <w:rPr>
          <w:sz w:val="20"/>
          <w:szCs w:val="20"/>
        </w:rPr>
      </w:pPr>
      <w:r>
        <w:rPr>
          <w:rFonts w:ascii="Arial" w:eastAsia="Arial" w:hAnsi="Arial" w:cs="Arial"/>
          <w:sz w:val="18"/>
          <w:szCs w:val="18"/>
        </w:rPr>
        <w:t>36</w:t>
      </w:r>
    </w:p>
    <w:p w14:paraId="33FF02C2" w14:textId="77777777" w:rsidR="00D1587D" w:rsidRDefault="00410D07">
      <w:pPr>
        <w:spacing w:line="20" w:lineRule="exact"/>
        <w:rPr>
          <w:sz w:val="20"/>
          <w:szCs w:val="20"/>
        </w:rPr>
      </w:pPr>
      <w:r>
        <w:rPr>
          <w:noProof/>
          <w:sz w:val="20"/>
          <w:szCs w:val="20"/>
        </w:rPr>
        <w:drawing>
          <wp:anchor distT="0" distB="0" distL="114300" distR="114300" simplePos="0" relativeHeight="251188224" behindDoc="1" locked="0" layoutInCell="0" allowOverlap="1" wp14:anchorId="246F0B6A" wp14:editId="53159595">
            <wp:simplePos x="0" y="0"/>
            <wp:positionH relativeFrom="column">
              <wp:posOffset>5080</wp:posOffset>
            </wp:positionH>
            <wp:positionV relativeFrom="paragraph">
              <wp:posOffset>48895</wp:posOffset>
            </wp:positionV>
            <wp:extent cx="7132320" cy="1714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919AB69" w14:textId="77777777" w:rsidR="00D1587D" w:rsidRDefault="00D1587D">
      <w:pPr>
        <w:sectPr w:rsidR="00D1587D">
          <w:pgSz w:w="11900" w:h="16838"/>
          <w:pgMar w:top="341" w:right="379" w:bottom="1440" w:left="320" w:header="0" w:footer="0" w:gutter="0"/>
          <w:cols w:space="720" w:equalWidth="0">
            <w:col w:w="11200"/>
          </w:cols>
        </w:sectPr>
      </w:pPr>
    </w:p>
    <w:p w14:paraId="48D1BA4E" w14:textId="77777777" w:rsidR="00D1587D" w:rsidRDefault="00410D07">
      <w:pPr>
        <w:numPr>
          <w:ilvl w:val="0"/>
          <w:numId w:val="32"/>
        </w:numPr>
        <w:tabs>
          <w:tab w:val="left" w:pos="1173"/>
        </w:tabs>
        <w:spacing w:line="255" w:lineRule="auto"/>
        <w:ind w:right="20" w:firstLine="656"/>
        <w:rPr>
          <w:rFonts w:ascii="Arial" w:eastAsia="Arial" w:hAnsi="Arial" w:cs="Arial"/>
          <w:sz w:val="18"/>
          <w:szCs w:val="18"/>
        </w:rPr>
      </w:pPr>
      <w:bookmarkStart w:id="45" w:name="page46"/>
      <w:bookmarkEnd w:id="45"/>
      <w:r>
        <w:rPr>
          <w:rFonts w:ascii="Arial" w:eastAsia="Arial" w:hAnsi="Arial" w:cs="Arial"/>
          <w:sz w:val="18"/>
          <w:szCs w:val="18"/>
        </w:rPr>
        <w:t xml:space="preserve">Effective from and after the </w:t>
      </w:r>
      <w:r>
        <w:rPr>
          <w:rFonts w:ascii="Arial" w:eastAsia="Arial" w:hAnsi="Arial" w:cs="Arial"/>
          <w:sz w:val="18"/>
          <w:szCs w:val="18"/>
        </w:rPr>
        <w:t xml:space="preserve">Distribution Time, VS (on behalf of itself and its Subsidiaries) hereby grants the L Brands Group a non-exclusive, worldwide, perpetual, irrevocable, fully paid-up, royalty-free, non-transferable, non-sublicensable (except as set forth in Section 4.11(d)) </w:t>
      </w:r>
      <w:r>
        <w:rPr>
          <w:rFonts w:ascii="Arial" w:eastAsia="Arial" w:hAnsi="Arial" w:cs="Arial"/>
          <w:sz w:val="18"/>
          <w:szCs w:val="18"/>
        </w:rPr>
        <w:t xml:space="preserve">license under the VS IP (other than any and all Trademarks, formulas, Commercial Data and Personal Information) that has been used or held for use by the L Brands Group in the operation of the L Brands Business on or prior to the Distribution Time but are </w:t>
      </w:r>
      <w:r>
        <w:rPr>
          <w:rFonts w:ascii="Arial" w:eastAsia="Arial" w:hAnsi="Arial" w:cs="Arial"/>
          <w:sz w:val="18"/>
          <w:szCs w:val="18"/>
        </w:rPr>
        <w:t>not included in the L Brands Assets, in each case, to use, reproduce, create derivative works of, modify, distribute, make, have made, sell, offer for sale, import or otherwise commercially exploit products and services solely in connection with the operat</w:t>
      </w:r>
      <w:r>
        <w:rPr>
          <w:rFonts w:ascii="Arial" w:eastAsia="Arial" w:hAnsi="Arial" w:cs="Arial"/>
          <w:sz w:val="18"/>
          <w:szCs w:val="18"/>
        </w:rPr>
        <w:t>ion of the L Brands Business.</w:t>
      </w:r>
    </w:p>
    <w:p w14:paraId="30E5100A" w14:textId="77777777" w:rsidR="00D1587D" w:rsidRDefault="00D1587D">
      <w:pPr>
        <w:spacing w:line="192" w:lineRule="exact"/>
        <w:rPr>
          <w:rFonts w:ascii="Arial" w:eastAsia="Arial" w:hAnsi="Arial" w:cs="Arial"/>
          <w:sz w:val="18"/>
          <w:szCs w:val="18"/>
        </w:rPr>
      </w:pPr>
    </w:p>
    <w:p w14:paraId="5EA510F8" w14:textId="77777777" w:rsidR="00D1587D" w:rsidRDefault="00410D07">
      <w:pPr>
        <w:numPr>
          <w:ilvl w:val="0"/>
          <w:numId w:val="32"/>
        </w:numPr>
        <w:tabs>
          <w:tab w:val="left" w:pos="1163"/>
        </w:tabs>
        <w:spacing w:line="263" w:lineRule="auto"/>
        <w:ind w:right="200" w:firstLine="656"/>
        <w:rPr>
          <w:rFonts w:ascii="Arial" w:eastAsia="Arial" w:hAnsi="Arial" w:cs="Arial"/>
          <w:sz w:val="18"/>
          <w:szCs w:val="18"/>
        </w:rPr>
      </w:pPr>
      <w:r>
        <w:rPr>
          <w:rFonts w:ascii="Arial" w:eastAsia="Arial" w:hAnsi="Arial" w:cs="Arial"/>
          <w:sz w:val="18"/>
          <w:szCs w:val="18"/>
        </w:rPr>
        <w:t xml:space="preserve">Notwithstanding the assignment provision in Section 6.04, L Brands and VS may assign their respective licenses set forth in this Section 4.11, in whole or in part, in connection with a merger, consolidation or sale of all or </w:t>
      </w:r>
      <w:r>
        <w:rPr>
          <w:rFonts w:ascii="Arial" w:eastAsia="Arial" w:hAnsi="Arial" w:cs="Arial"/>
          <w:sz w:val="18"/>
          <w:szCs w:val="18"/>
        </w:rPr>
        <w:t>substantially all of, or any portion of the assets of, their respective Businesses to which the licenses relate.</w:t>
      </w:r>
    </w:p>
    <w:p w14:paraId="7D88E2EA" w14:textId="77777777" w:rsidR="00D1587D" w:rsidRDefault="00D1587D">
      <w:pPr>
        <w:spacing w:line="183" w:lineRule="exact"/>
        <w:rPr>
          <w:rFonts w:ascii="Arial" w:eastAsia="Arial" w:hAnsi="Arial" w:cs="Arial"/>
          <w:sz w:val="18"/>
          <w:szCs w:val="18"/>
        </w:rPr>
      </w:pPr>
    </w:p>
    <w:p w14:paraId="07762FA2" w14:textId="77777777" w:rsidR="00D1587D" w:rsidRDefault="00410D07">
      <w:pPr>
        <w:numPr>
          <w:ilvl w:val="0"/>
          <w:numId w:val="32"/>
        </w:numPr>
        <w:tabs>
          <w:tab w:val="left" w:pos="1173"/>
        </w:tabs>
        <w:spacing w:line="259" w:lineRule="auto"/>
        <w:ind w:right="140" w:firstLine="656"/>
        <w:rPr>
          <w:rFonts w:ascii="Arial" w:eastAsia="Arial" w:hAnsi="Arial" w:cs="Arial"/>
          <w:sz w:val="18"/>
          <w:szCs w:val="18"/>
        </w:rPr>
      </w:pPr>
      <w:r>
        <w:rPr>
          <w:rFonts w:ascii="Arial" w:eastAsia="Arial" w:hAnsi="Arial" w:cs="Arial"/>
          <w:sz w:val="18"/>
          <w:szCs w:val="18"/>
        </w:rPr>
        <w:t>L Brands and VS may sublicense their respective licenses set forth in this Section 4.11 to (i) their vendors, consultants, contractors and sup</w:t>
      </w:r>
      <w:r>
        <w:rPr>
          <w:rFonts w:ascii="Arial" w:eastAsia="Arial" w:hAnsi="Arial" w:cs="Arial"/>
          <w:sz w:val="18"/>
          <w:szCs w:val="18"/>
        </w:rPr>
        <w:t>pliers, in connection with the provision of services to their respective Businesses to which the licenses relate and (ii) their distributors, customers and end-users, in connection with the distribution, licensing, offering and sale of the current and futu</w:t>
      </w:r>
      <w:r>
        <w:rPr>
          <w:rFonts w:ascii="Arial" w:eastAsia="Arial" w:hAnsi="Arial" w:cs="Arial"/>
          <w:sz w:val="18"/>
          <w:szCs w:val="18"/>
        </w:rPr>
        <w:t>re products and services of their respective Businesses to which the licenses relate.</w:t>
      </w:r>
    </w:p>
    <w:p w14:paraId="5C0E20CF" w14:textId="77777777" w:rsidR="00D1587D" w:rsidRDefault="00D1587D">
      <w:pPr>
        <w:spacing w:line="186" w:lineRule="exact"/>
        <w:rPr>
          <w:rFonts w:ascii="Arial" w:eastAsia="Arial" w:hAnsi="Arial" w:cs="Arial"/>
          <w:sz w:val="18"/>
          <w:szCs w:val="18"/>
        </w:rPr>
      </w:pPr>
    </w:p>
    <w:p w14:paraId="250D7F91" w14:textId="77777777" w:rsidR="00D1587D" w:rsidRDefault="00410D07">
      <w:pPr>
        <w:numPr>
          <w:ilvl w:val="0"/>
          <w:numId w:val="32"/>
        </w:numPr>
        <w:tabs>
          <w:tab w:val="left" w:pos="1163"/>
        </w:tabs>
        <w:spacing w:line="286" w:lineRule="auto"/>
        <w:ind w:right="80" w:firstLine="656"/>
        <w:jc w:val="both"/>
        <w:rPr>
          <w:rFonts w:ascii="Arial" w:eastAsia="Arial" w:hAnsi="Arial" w:cs="Arial"/>
          <w:sz w:val="17"/>
          <w:szCs w:val="17"/>
        </w:rPr>
      </w:pPr>
      <w:r>
        <w:rPr>
          <w:rFonts w:ascii="Arial" w:eastAsia="Arial" w:hAnsi="Arial" w:cs="Arial"/>
          <w:sz w:val="17"/>
          <w:szCs w:val="17"/>
        </w:rPr>
        <w:t>Each license granted in this Section 4.11 is, and will otherwise be deemed to be, for purposes of Section 355(n) of the Bankruptcy Code, a license of rights to “intellec</w:t>
      </w:r>
      <w:r>
        <w:rPr>
          <w:rFonts w:ascii="Arial" w:eastAsia="Arial" w:hAnsi="Arial" w:cs="Arial"/>
          <w:sz w:val="17"/>
          <w:szCs w:val="17"/>
        </w:rPr>
        <w:t>tual property” (as defined under Section 101 of the Bankruptcy Code), and L Brands and VS will retain and may fully exercise all of their respective rights and elections under the Bankruptcy Code (or any similar foreign law) with respect thereto.</w:t>
      </w:r>
    </w:p>
    <w:p w14:paraId="11E39367" w14:textId="77777777" w:rsidR="00D1587D" w:rsidRDefault="00D1587D">
      <w:pPr>
        <w:spacing w:line="165" w:lineRule="exact"/>
        <w:rPr>
          <w:rFonts w:ascii="Arial" w:eastAsia="Arial" w:hAnsi="Arial" w:cs="Arial"/>
          <w:sz w:val="17"/>
          <w:szCs w:val="17"/>
        </w:rPr>
      </w:pPr>
    </w:p>
    <w:p w14:paraId="629A92F5" w14:textId="77777777" w:rsidR="00D1587D" w:rsidRDefault="00410D07">
      <w:pPr>
        <w:numPr>
          <w:ilvl w:val="0"/>
          <w:numId w:val="32"/>
        </w:numPr>
        <w:tabs>
          <w:tab w:val="left" w:pos="1200"/>
        </w:tabs>
        <w:ind w:left="1200" w:hanging="544"/>
        <w:rPr>
          <w:rFonts w:ascii="Arial" w:eastAsia="Arial" w:hAnsi="Arial" w:cs="Arial"/>
          <w:sz w:val="18"/>
          <w:szCs w:val="18"/>
        </w:rPr>
      </w:pPr>
      <w:r>
        <w:rPr>
          <w:rFonts w:ascii="Arial" w:eastAsia="Arial" w:hAnsi="Arial" w:cs="Arial"/>
          <w:sz w:val="18"/>
          <w:szCs w:val="18"/>
        </w:rPr>
        <w:t xml:space="preserve">For </w:t>
      </w:r>
      <w:r>
        <w:rPr>
          <w:rFonts w:ascii="Arial" w:eastAsia="Arial" w:hAnsi="Arial" w:cs="Arial"/>
          <w:sz w:val="18"/>
          <w:szCs w:val="18"/>
        </w:rPr>
        <w:t>the avoidance of doubt, this Section 4.11 shall survive in perpetuity.</w:t>
      </w:r>
    </w:p>
    <w:p w14:paraId="5F04B837" w14:textId="77777777" w:rsidR="00D1587D" w:rsidRDefault="00D1587D">
      <w:pPr>
        <w:spacing w:line="225" w:lineRule="exact"/>
        <w:rPr>
          <w:sz w:val="20"/>
          <w:szCs w:val="20"/>
        </w:rPr>
      </w:pPr>
    </w:p>
    <w:p w14:paraId="531BEF72" w14:textId="77777777" w:rsidR="00D1587D" w:rsidRDefault="00410D07">
      <w:pPr>
        <w:spacing w:line="254" w:lineRule="auto"/>
        <w:ind w:firstLine="648"/>
        <w:rPr>
          <w:sz w:val="20"/>
          <w:szCs w:val="20"/>
        </w:rPr>
      </w:pPr>
      <w:r>
        <w:rPr>
          <w:rFonts w:ascii="Arial" w:eastAsia="Arial" w:hAnsi="Arial" w:cs="Arial"/>
          <w:sz w:val="18"/>
          <w:szCs w:val="18"/>
        </w:rPr>
        <w:t xml:space="preserve">Section 4.12. </w:t>
      </w:r>
      <w:r>
        <w:rPr>
          <w:rFonts w:ascii="Arial" w:eastAsia="Arial" w:hAnsi="Arial" w:cs="Arial"/>
          <w:i/>
          <w:iCs/>
          <w:sz w:val="18"/>
          <w:szCs w:val="18"/>
        </w:rPr>
        <w:t>Trademark Phase Out</w:t>
      </w:r>
      <w:r>
        <w:rPr>
          <w:rFonts w:ascii="Arial" w:eastAsia="Arial" w:hAnsi="Arial" w:cs="Arial"/>
          <w:sz w:val="18"/>
          <w:szCs w:val="18"/>
        </w:rPr>
        <w:t xml:space="preserve">. (a) As soon as reasonably practicable after the Distribution, but in no event later than twelve (12) months after the Distribution Time, VS </w:t>
      </w:r>
      <w:r>
        <w:rPr>
          <w:rFonts w:ascii="Arial" w:eastAsia="Arial" w:hAnsi="Arial" w:cs="Arial"/>
          <w:sz w:val="18"/>
          <w:szCs w:val="18"/>
        </w:rPr>
        <w:t>shall and shall cause its Subsidiaries to (i) cease any and all use of the L Brands Names and Marks and (ii) destroy, conceal, cover, redact, replace or remove the L Brands Names and Marks from any and all VS Assets and any other assets and materials under</w:t>
      </w:r>
      <w:r>
        <w:rPr>
          <w:rFonts w:ascii="Arial" w:eastAsia="Arial" w:hAnsi="Arial" w:cs="Arial"/>
          <w:sz w:val="18"/>
          <w:szCs w:val="18"/>
        </w:rPr>
        <w:t xml:space="preserve"> their possession or control bearing such L Brands Names and Marks. VS acknowledges and agrees that, during the 12-month period set forth in this Section 4.12(a), VS shall only use the L Brands Names and Marks in substantially the same manner as such L Bra</w:t>
      </w:r>
      <w:r>
        <w:rPr>
          <w:rFonts w:ascii="Arial" w:eastAsia="Arial" w:hAnsi="Arial" w:cs="Arial"/>
          <w:sz w:val="18"/>
          <w:szCs w:val="18"/>
        </w:rPr>
        <w:t>nds Names and Marks were used by L Brands and its Subsidiaries prior to the Distribution Time. Any and all goodwill resulting from the VS Group’s use of the L Brands Names and Marks shall inure solely to the benefit of L Brands.</w:t>
      </w:r>
    </w:p>
    <w:p w14:paraId="71BDBD9B" w14:textId="77777777" w:rsidR="00D1587D" w:rsidRDefault="00D1587D">
      <w:pPr>
        <w:spacing w:line="181" w:lineRule="exact"/>
        <w:rPr>
          <w:sz w:val="20"/>
          <w:szCs w:val="20"/>
        </w:rPr>
      </w:pPr>
    </w:p>
    <w:p w14:paraId="171FD14E" w14:textId="77777777" w:rsidR="00D1587D" w:rsidRDefault="00410D07">
      <w:pPr>
        <w:ind w:right="20"/>
        <w:jc w:val="center"/>
        <w:rPr>
          <w:sz w:val="20"/>
          <w:szCs w:val="20"/>
        </w:rPr>
      </w:pPr>
      <w:r>
        <w:rPr>
          <w:rFonts w:ascii="Arial" w:eastAsia="Arial" w:hAnsi="Arial" w:cs="Arial"/>
          <w:sz w:val="18"/>
          <w:szCs w:val="18"/>
        </w:rPr>
        <w:t>37</w:t>
      </w:r>
    </w:p>
    <w:p w14:paraId="3AAD69B0" w14:textId="77777777" w:rsidR="00D1587D" w:rsidRDefault="00410D07">
      <w:pPr>
        <w:spacing w:line="20" w:lineRule="exact"/>
        <w:rPr>
          <w:sz w:val="20"/>
          <w:szCs w:val="20"/>
        </w:rPr>
      </w:pPr>
      <w:r>
        <w:rPr>
          <w:noProof/>
          <w:sz w:val="20"/>
          <w:szCs w:val="20"/>
        </w:rPr>
        <w:drawing>
          <wp:anchor distT="0" distB="0" distL="114300" distR="114300" simplePos="0" relativeHeight="251189248" behindDoc="1" locked="0" layoutInCell="0" allowOverlap="1" wp14:anchorId="7E18582E" wp14:editId="06FBE1DD">
            <wp:simplePos x="0" y="0"/>
            <wp:positionH relativeFrom="column">
              <wp:posOffset>5080</wp:posOffset>
            </wp:positionH>
            <wp:positionV relativeFrom="paragraph">
              <wp:posOffset>48895</wp:posOffset>
            </wp:positionV>
            <wp:extent cx="7132320" cy="1714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9BC624D" w14:textId="77777777" w:rsidR="00D1587D" w:rsidRDefault="00D1587D">
      <w:pPr>
        <w:sectPr w:rsidR="00D1587D">
          <w:pgSz w:w="11900" w:h="16838"/>
          <w:pgMar w:top="341" w:right="379" w:bottom="1440" w:left="320" w:header="0" w:footer="0" w:gutter="0"/>
          <w:cols w:space="720" w:equalWidth="0">
            <w:col w:w="11200"/>
          </w:cols>
        </w:sectPr>
      </w:pPr>
    </w:p>
    <w:p w14:paraId="3B13E3E3" w14:textId="77777777" w:rsidR="00D1587D" w:rsidRDefault="00410D07">
      <w:pPr>
        <w:numPr>
          <w:ilvl w:val="0"/>
          <w:numId w:val="33"/>
        </w:numPr>
        <w:tabs>
          <w:tab w:val="left" w:pos="1163"/>
        </w:tabs>
        <w:spacing w:line="255" w:lineRule="auto"/>
        <w:ind w:right="60" w:firstLine="656"/>
        <w:rPr>
          <w:rFonts w:ascii="Arial" w:eastAsia="Arial" w:hAnsi="Arial" w:cs="Arial"/>
          <w:sz w:val="18"/>
          <w:szCs w:val="18"/>
        </w:rPr>
      </w:pPr>
      <w:bookmarkStart w:id="46" w:name="page47"/>
      <w:bookmarkEnd w:id="46"/>
      <w:r>
        <w:rPr>
          <w:rFonts w:ascii="Arial" w:eastAsia="Arial" w:hAnsi="Arial" w:cs="Arial"/>
          <w:sz w:val="18"/>
          <w:szCs w:val="18"/>
        </w:rPr>
        <w:t>A</w:t>
      </w:r>
      <w:r>
        <w:rPr>
          <w:rFonts w:ascii="Arial" w:eastAsia="Arial" w:hAnsi="Arial" w:cs="Arial"/>
          <w:sz w:val="18"/>
          <w:szCs w:val="18"/>
        </w:rPr>
        <w:t xml:space="preserve">s soon as reasonably practicable after the Distribution, but in no event later than six (6) months after the Distribution Time, VS shall and shall cause its Subsidiaries to take any and all actions necessary (including the filing of amended organizational </w:t>
      </w:r>
      <w:r>
        <w:rPr>
          <w:rFonts w:ascii="Arial" w:eastAsia="Arial" w:hAnsi="Arial" w:cs="Arial"/>
          <w:sz w:val="18"/>
          <w:szCs w:val="18"/>
        </w:rPr>
        <w:t>documents and any other required documentation with the relevant Governmental Authorities) to initiate a change to the corporate name, “doing business as” name, trade name and any other similar corporate identifier of VS and its Subsidiaries to a corporate</w:t>
      </w:r>
      <w:r>
        <w:rPr>
          <w:rFonts w:ascii="Arial" w:eastAsia="Arial" w:hAnsi="Arial" w:cs="Arial"/>
          <w:sz w:val="18"/>
          <w:szCs w:val="18"/>
        </w:rPr>
        <w:t xml:space="preserve"> name, “doing business as” name, trade name or any other similar corporate identifier that does not contain any L Brands Names and Marks or any name confusingly similar to any L Brands Names and Marks, including “Limited,” “Limited Brands,” “LB,” “Bath &amp; B</w:t>
      </w:r>
      <w:r>
        <w:rPr>
          <w:rFonts w:ascii="Arial" w:eastAsia="Arial" w:hAnsi="Arial" w:cs="Arial"/>
          <w:sz w:val="18"/>
          <w:szCs w:val="18"/>
        </w:rPr>
        <w:t>ody Works” or “BBW.”</w:t>
      </w:r>
    </w:p>
    <w:p w14:paraId="051A52FC" w14:textId="77777777" w:rsidR="00D1587D" w:rsidRDefault="00D1587D">
      <w:pPr>
        <w:spacing w:line="192" w:lineRule="exact"/>
        <w:rPr>
          <w:rFonts w:ascii="Arial" w:eastAsia="Arial" w:hAnsi="Arial" w:cs="Arial"/>
          <w:sz w:val="18"/>
          <w:szCs w:val="18"/>
        </w:rPr>
      </w:pPr>
    </w:p>
    <w:p w14:paraId="5DEE4704" w14:textId="77777777" w:rsidR="00D1587D" w:rsidRDefault="00410D07">
      <w:pPr>
        <w:numPr>
          <w:ilvl w:val="0"/>
          <w:numId w:val="33"/>
        </w:numPr>
        <w:tabs>
          <w:tab w:val="left" w:pos="1159"/>
        </w:tabs>
        <w:spacing w:line="301" w:lineRule="auto"/>
        <w:ind w:right="180" w:firstLine="656"/>
        <w:rPr>
          <w:rFonts w:ascii="Arial" w:eastAsia="Arial" w:hAnsi="Arial" w:cs="Arial"/>
          <w:sz w:val="16"/>
          <w:szCs w:val="16"/>
        </w:rPr>
      </w:pPr>
      <w:r>
        <w:rPr>
          <w:rFonts w:ascii="Arial" w:eastAsia="Arial" w:hAnsi="Arial" w:cs="Arial"/>
          <w:sz w:val="16"/>
          <w:szCs w:val="16"/>
        </w:rPr>
        <w:t>VS agrees that (i) the L Brands Name and Marks are, as of the date of this Agreement, and shall continue to be following the Distribution Time, owned by L Brands or a Subsidiary of L Brands, as applicable, (ii) no member of the VS Gro</w:t>
      </w:r>
      <w:r>
        <w:rPr>
          <w:rFonts w:ascii="Arial" w:eastAsia="Arial" w:hAnsi="Arial" w:cs="Arial"/>
          <w:sz w:val="16"/>
          <w:szCs w:val="16"/>
        </w:rPr>
        <w:t>up has any rights in, and shall not use in any manner, any of the L Brands Names and Marks following the twelve (12)-month period set forth in Section 4.12(a) and (iii) no member of the VS Group shall contest the ownership, enforceability or validity of an</w:t>
      </w:r>
      <w:r>
        <w:rPr>
          <w:rFonts w:ascii="Arial" w:eastAsia="Arial" w:hAnsi="Arial" w:cs="Arial"/>
          <w:sz w:val="16"/>
          <w:szCs w:val="16"/>
        </w:rPr>
        <w:t>y rights of L Brands and its Subsidiaries in or to any of the L Brands Names and Marks.</w:t>
      </w:r>
    </w:p>
    <w:p w14:paraId="19274A82" w14:textId="77777777" w:rsidR="00D1587D" w:rsidRDefault="00D1587D">
      <w:pPr>
        <w:spacing w:line="157" w:lineRule="exact"/>
        <w:rPr>
          <w:rFonts w:ascii="Arial" w:eastAsia="Arial" w:hAnsi="Arial" w:cs="Arial"/>
          <w:sz w:val="16"/>
          <w:szCs w:val="16"/>
        </w:rPr>
      </w:pPr>
    </w:p>
    <w:p w14:paraId="13621FD7" w14:textId="77777777" w:rsidR="00D1587D" w:rsidRDefault="00410D07">
      <w:pPr>
        <w:numPr>
          <w:ilvl w:val="0"/>
          <w:numId w:val="33"/>
        </w:numPr>
        <w:tabs>
          <w:tab w:val="left" w:pos="1163"/>
        </w:tabs>
        <w:spacing w:line="273" w:lineRule="auto"/>
        <w:ind w:right="20" w:firstLine="656"/>
        <w:rPr>
          <w:rFonts w:ascii="Arial" w:eastAsia="Arial" w:hAnsi="Arial" w:cs="Arial"/>
          <w:sz w:val="17"/>
          <w:szCs w:val="17"/>
        </w:rPr>
      </w:pPr>
      <w:r>
        <w:rPr>
          <w:rFonts w:ascii="Arial" w:eastAsia="Arial" w:hAnsi="Arial" w:cs="Arial"/>
          <w:sz w:val="17"/>
          <w:szCs w:val="17"/>
        </w:rPr>
        <w:t>As soon as reasonably practicable after the Distribution, but in no event later than twelve (12) months after the Distribution Time, L Brands shall and shall cause its</w:t>
      </w:r>
      <w:r>
        <w:rPr>
          <w:rFonts w:ascii="Arial" w:eastAsia="Arial" w:hAnsi="Arial" w:cs="Arial"/>
          <w:sz w:val="17"/>
          <w:szCs w:val="17"/>
        </w:rPr>
        <w:t xml:space="preserve"> Subsidiaries to (i) cease any and all use of the VS Trademarks and (ii) destroy, conceal, cover, redact, replace or remove any and all VS Trademarks from any and all L Brands Assets and any other assets and materials under their possession or control bear</w:t>
      </w:r>
      <w:r>
        <w:rPr>
          <w:rFonts w:ascii="Arial" w:eastAsia="Arial" w:hAnsi="Arial" w:cs="Arial"/>
          <w:sz w:val="17"/>
          <w:szCs w:val="17"/>
        </w:rPr>
        <w:t>ing such VS Trademarks. L Brands acknowledges and agrees that, during the 12-month period set forth in this Section 4.12(d), L Brands shall only use the VS Trademarks in substantially the same manner as such VS Trademarks were used by L Brands and its Subs</w:t>
      </w:r>
      <w:r>
        <w:rPr>
          <w:rFonts w:ascii="Arial" w:eastAsia="Arial" w:hAnsi="Arial" w:cs="Arial"/>
          <w:sz w:val="17"/>
          <w:szCs w:val="17"/>
        </w:rPr>
        <w:t>idiaries prior to the Distribution Time. Any and all goodwill resulting from the L Brands Group’s use of the VS Trademarks shall inure solely to the benefit of VS.</w:t>
      </w:r>
    </w:p>
    <w:p w14:paraId="366C40F1" w14:textId="77777777" w:rsidR="00D1587D" w:rsidRDefault="00D1587D">
      <w:pPr>
        <w:spacing w:line="177" w:lineRule="exact"/>
        <w:rPr>
          <w:rFonts w:ascii="Arial" w:eastAsia="Arial" w:hAnsi="Arial" w:cs="Arial"/>
          <w:sz w:val="17"/>
          <w:szCs w:val="17"/>
        </w:rPr>
      </w:pPr>
    </w:p>
    <w:p w14:paraId="72041C1D" w14:textId="77777777" w:rsidR="00D1587D" w:rsidRDefault="00410D07">
      <w:pPr>
        <w:numPr>
          <w:ilvl w:val="0"/>
          <w:numId w:val="33"/>
        </w:numPr>
        <w:tabs>
          <w:tab w:val="left" w:pos="1153"/>
        </w:tabs>
        <w:spacing w:line="257" w:lineRule="auto"/>
        <w:ind w:firstLine="656"/>
        <w:rPr>
          <w:rFonts w:ascii="Arial" w:eastAsia="Arial" w:hAnsi="Arial" w:cs="Arial"/>
          <w:sz w:val="18"/>
          <w:szCs w:val="18"/>
        </w:rPr>
      </w:pPr>
      <w:r>
        <w:rPr>
          <w:rFonts w:ascii="Arial" w:eastAsia="Arial" w:hAnsi="Arial" w:cs="Arial"/>
          <w:sz w:val="18"/>
          <w:szCs w:val="18"/>
        </w:rPr>
        <w:t>As soon as reasonably practicable after the Distribution, but in no event later than six (6</w:t>
      </w:r>
      <w:r>
        <w:rPr>
          <w:rFonts w:ascii="Arial" w:eastAsia="Arial" w:hAnsi="Arial" w:cs="Arial"/>
          <w:sz w:val="18"/>
          <w:szCs w:val="18"/>
        </w:rPr>
        <w:t>) months after the Distribution Time, L Brands shall and shall cause its Subsidiaries to take any and all actions necessary (including the filing of amended organizational documents and any other required documentation with the relevant Governmental Author</w:t>
      </w:r>
      <w:r>
        <w:rPr>
          <w:rFonts w:ascii="Arial" w:eastAsia="Arial" w:hAnsi="Arial" w:cs="Arial"/>
          <w:sz w:val="18"/>
          <w:szCs w:val="18"/>
        </w:rPr>
        <w:t>ities) to initiate a change to the corporate name, “doing business as” name, trade name or any other similar corporate identifier of each Subsidiary of L Brands to a corporate name, “doing business as” name, trade name or any other similar corporate identi</w:t>
      </w:r>
      <w:r>
        <w:rPr>
          <w:rFonts w:ascii="Arial" w:eastAsia="Arial" w:hAnsi="Arial" w:cs="Arial"/>
          <w:sz w:val="18"/>
          <w:szCs w:val="18"/>
        </w:rPr>
        <w:t>fier that does not contain any VS Trademarks.</w:t>
      </w:r>
    </w:p>
    <w:p w14:paraId="22B77814" w14:textId="77777777" w:rsidR="00D1587D" w:rsidRDefault="00D1587D">
      <w:pPr>
        <w:spacing w:line="174" w:lineRule="exact"/>
        <w:rPr>
          <w:sz w:val="20"/>
          <w:szCs w:val="20"/>
        </w:rPr>
      </w:pPr>
    </w:p>
    <w:p w14:paraId="73864E56" w14:textId="77777777" w:rsidR="00D1587D" w:rsidRDefault="00410D07">
      <w:pPr>
        <w:ind w:right="60"/>
        <w:jc w:val="center"/>
        <w:rPr>
          <w:sz w:val="20"/>
          <w:szCs w:val="20"/>
        </w:rPr>
      </w:pPr>
      <w:r>
        <w:rPr>
          <w:rFonts w:ascii="Arial" w:eastAsia="Arial" w:hAnsi="Arial" w:cs="Arial"/>
          <w:sz w:val="18"/>
          <w:szCs w:val="18"/>
        </w:rPr>
        <w:t>38</w:t>
      </w:r>
    </w:p>
    <w:p w14:paraId="0278267E" w14:textId="77777777" w:rsidR="00D1587D" w:rsidRDefault="00410D07">
      <w:pPr>
        <w:spacing w:line="20" w:lineRule="exact"/>
        <w:rPr>
          <w:sz w:val="20"/>
          <w:szCs w:val="20"/>
        </w:rPr>
      </w:pPr>
      <w:r>
        <w:rPr>
          <w:noProof/>
          <w:sz w:val="20"/>
          <w:szCs w:val="20"/>
        </w:rPr>
        <w:drawing>
          <wp:anchor distT="0" distB="0" distL="114300" distR="114300" simplePos="0" relativeHeight="251190272" behindDoc="1" locked="0" layoutInCell="0" allowOverlap="1" wp14:anchorId="08148639" wp14:editId="166DEF42">
            <wp:simplePos x="0" y="0"/>
            <wp:positionH relativeFrom="column">
              <wp:posOffset>5080</wp:posOffset>
            </wp:positionH>
            <wp:positionV relativeFrom="paragraph">
              <wp:posOffset>48895</wp:posOffset>
            </wp:positionV>
            <wp:extent cx="7132320" cy="1714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6695CF4" w14:textId="77777777" w:rsidR="00D1587D" w:rsidRDefault="00D1587D">
      <w:pPr>
        <w:sectPr w:rsidR="00D1587D">
          <w:pgSz w:w="11900" w:h="16838"/>
          <w:pgMar w:top="341" w:right="339" w:bottom="1440" w:left="320" w:header="0" w:footer="0" w:gutter="0"/>
          <w:cols w:space="720" w:equalWidth="0">
            <w:col w:w="11240"/>
          </w:cols>
        </w:sectPr>
      </w:pPr>
    </w:p>
    <w:p w14:paraId="231FEACA" w14:textId="77777777" w:rsidR="00D1587D" w:rsidRDefault="00410D07">
      <w:pPr>
        <w:numPr>
          <w:ilvl w:val="0"/>
          <w:numId w:val="34"/>
        </w:numPr>
        <w:tabs>
          <w:tab w:val="left" w:pos="1337"/>
        </w:tabs>
        <w:spacing w:line="279" w:lineRule="auto"/>
        <w:ind w:right="160" w:firstLine="850"/>
        <w:rPr>
          <w:rFonts w:ascii="Arial" w:eastAsia="Arial" w:hAnsi="Arial" w:cs="Arial"/>
          <w:sz w:val="17"/>
          <w:szCs w:val="17"/>
        </w:rPr>
      </w:pPr>
      <w:bookmarkStart w:id="47" w:name="page48"/>
      <w:bookmarkEnd w:id="47"/>
      <w:r>
        <w:rPr>
          <w:rFonts w:ascii="Arial" w:eastAsia="Arial" w:hAnsi="Arial" w:cs="Arial"/>
          <w:sz w:val="17"/>
          <w:szCs w:val="17"/>
        </w:rPr>
        <w:t xml:space="preserve">L Brands agrees that (i) the VS Trademarks are, as of the date of this Agreement, and shall continue to be following the Distribution Time, owned by VS or a Subsidiary of VS, as </w:t>
      </w:r>
      <w:r>
        <w:rPr>
          <w:rFonts w:ascii="Arial" w:eastAsia="Arial" w:hAnsi="Arial" w:cs="Arial"/>
          <w:sz w:val="17"/>
          <w:szCs w:val="17"/>
        </w:rPr>
        <w:t>applicable, (ii) no member of the L Brands Group has any rights in, and shall not use in any manner, any of the VS Trademarks following the twelve (12)-month period set forth in Section 4.12(d) and (iii) no member of the L Brands Group shall contest the ow</w:t>
      </w:r>
      <w:r>
        <w:rPr>
          <w:rFonts w:ascii="Arial" w:eastAsia="Arial" w:hAnsi="Arial" w:cs="Arial"/>
          <w:sz w:val="17"/>
          <w:szCs w:val="17"/>
        </w:rPr>
        <w:t>nership, enforceability or validity of any rights of VS and its Subsidiaries in or to any of the VS Trademarks.</w:t>
      </w:r>
    </w:p>
    <w:p w14:paraId="1A7F1250" w14:textId="77777777" w:rsidR="00D1587D" w:rsidRDefault="00D1587D">
      <w:pPr>
        <w:spacing w:line="171" w:lineRule="exact"/>
        <w:rPr>
          <w:rFonts w:ascii="Arial" w:eastAsia="Arial" w:hAnsi="Arial" w:cs="Arial"/>
          <w:sz w:val="17"/>
          <w:szCs w:val="17"/>
        </w:rPr>
      </w:pPr>
    </w:p>
    <w:p w14:paraId="17EE531E" w14:textId="77777777" w:rsidR="00D1587D" w:rsidRDefault="00410D07">
      <w:pPr>
        <w:numPr>
          <w:ilvl w:val="0"/>
          <w:numId w:val="34"/>
        </w:numPr>
        <w:tabs>
          <w:tab w:val="left" w:pos="1367"/>
        </w:tabs>
        <w:spacing w:line="277" w:lineRule="auto"/>
        <w:ind w:right="280" w:firstLine="850"/>
        <w:rPr>
          <w:rFonts w:ascii="Arial" w:eastAsia="Arial" w:hAnsi="Arial" w:cs="Arial"/>
          <w:sz w:val="18"/>
          <w:szCs w:val="18"/>
        </w:rPr>
      </w:pPr>
      <w:r>
        <w:rPr>
          <w:rFonts w:ascii="Arial" w:eastAsia="Arial" w:hAnsi="Arial" w:cs="Arial"/>
          <w:sz w:val="18"/>
          <w:szCs w:val="18"/>
        </w:rPr>
        <w:t>Notwithstanding the foregoing, nothing in this Section 4.12 shall be construed as prohibiting either Party from making any use of the other Par</w:t>
      </w:r>
      <w:r>
        <w:rPr>
          <w:rFonts w:ascii="Arial" w:eastAsia="Arial" w:hAnsi="Arial" w:cs="Arial"/>
          <w:sz w:val="18"/>
          <w:szCs w:val="18"/>
        </w:rPr>
        <w:t>ty’s Trademarks to the extent such use constitutes “fair use” under Applicable Law.</w:t>
      </w:r>
    </w:p>
    <w:p w14:paraId="2CF76763" w14:textId="77777777" w:rsidR="00D1587D" w:rsidRDefault="00D1587D">
      <w:pPr>
        <w:spacing w:line="170" w:lineRule="exact"/>
        <w:rPr>
          <w:sz w:val="20"/>
          <w:szCs w:val="20"/>
        </w:rPr>
      </w:pPr>
    </w:p>
    <w:p w14:paraId="2A46115D" w14:textId="77777777" w:rsidR="00D1587D" w:rsidRDefault="00410D07">
      <w:pPr>
        <w:spacing w:line="254" w:lineRule="auto"/>
        <w:ind w:right="20" w:firstLine="873"/>
        <w:rPr>
          <w:sz w:val="20"/>
          <w:szCs w:val="20"/>
        </w:rPr>
      </w:pPr>
      <w:r>
        <w:rPr>
          <w:rFonts w:ascii="Arial" w:eastAsia="Arial" w:hAnsi="Arial" w:cs="Arial"/>
          <w:sz w:val="18"/>
          <w:szCs w:val="18"/>
        </w:rPr>
        <w:t xml:space="preserve">Section 4.13. </w:t>
      </w:r>
      <w:r>
        <w:rPr>
          <w:rFonts w:ascii="Arial" w:eastAsia="Arial" w:hAnsi="Arial" w:cs="Arial"/>
          <w:i/>
          <w:iCs/>
          <w:sz w:val="18"/>
          <w:szCs w:val="18"/>
        </w:rPr>
        <w:t>Commercial Data.</w:t>
      </w:r>
      <w:r>
        <w:rPr>
          <w:rFonts w:ascii="Arial" w:eastAsia="Arial" w:hAnsi="Arial" w:cs="Arial"/>
          <w:sz w:val="18"/>
          <w:szCs w:val="18"/>
        </w:rPr>
        <w:t xml:space="preserve"> VS shall not, and shall cause its Subsidiaries not to, following the Distribution Time, without the consent of the individuals to whom the V</w:t>
      </w:r>
      <w:r>
        <w:rPr>
          <w:rFonts w:ascii="Arial" w:eastAsia="Arial" w:hAnsi="Arial" w:cs="Arial"/>
          <w:sz w:val="18"/>
          <w:szCs w:val="18"/>
        </w:rPr>
        <w:t>S Commercial Data relates, use or disclose VS Commercial Data for purposes other than those for which such VS Commercial Data was collected by L Brands or its Subsidiaries prior to the Distribution Time (unless (i) such consent is obtained by VS or (ii) ot</w:t>
      </w:r>
      <w:r>
        <w:rPr>
          <w:rFonts w:ascii="Arial" w:eastAsia="Arial" w:hAnsi="Arial" w:cs="Arial"/>
          <w:sz w:val="18"/>
          <w:szCs w:val="18"/>
        </w:rPr>
        <w:t>herwise permitted or required by Applicable Law), and shall give effect to any withdrawal of consent made in accordance with Applicable Law. VS shall, and shall cause its Subsidiaries to, protect and safeguard the VS Commercial Data against unauthorized co</w:t>
      </w:r>
      <w:r>
        <w:rPr>
          <w:rFonts w:ascii="Arial" w:eastAsia="Arial" w:hAnsi="Arial" w:cs="Arial"/>
          <w:sz w:val="18"/>
          <w:szCs w:val="18"/>
        </w:rPr>
        <w:t>llection, use or disclosure, as provided by Applicable Law. To the extent required by Applicable Law, within a reasonable time after the Distribution Time, VS shall notify the individuals to whom the VS Commercial Data relates that the transactions contemp</w:t>
      </w:r>
      <w:r>
        <w:rPr>
          <w:rFonts w:ascii="Arial" w:eastAsia="Arial" w:hAnsi="Arial" w:cs="Arial"/>
          <w:sz w:val="18"/>
          <w:szCs w:val="18"/>
        </w:rPr>
        <w:t>lated by this Agreement have been completed and that their VS Commercial Data has been transferred to VS.</w:t>
      </w:r>
    </w:p>
    <w:p w14:paraId="5D14F2CD" w14:textId="77777777" w:rsidR="00D1587D" w:rsidRDefault="00D1587D">
      <w:pPr>
        <w:spacing w:line="192" w:lineRule="exact"/>
        <w:rPr>
          <w:sz w:val="20"/>
          <w:szCs w:val="20"/>
        </w:rPr>
      </w:pPr>
    </w:p>
    <w:p w14:paraId="07B39065" w14:textId="77777777" w:rsidR="00D1587D" w:rsidRDefault="00410D07">
      <w:pPr>
        <w:spacing w:line="286" w:lineRule="auto"/>
        <w:ind w:firstLine="873"/>
        <w:rPr>
          <w:sz w:val="20"/>
          <w:szCs w:val="20"/>
        </w:rPr>
      </w:pPr>
      <w:r>
        <w:rPr>
          <w:rFonts w:ascii="Arial" w:eastAsia="Arial" w:hAnsi="Arial" w:cs="Arial"/>
          <w:sz w:val="16"/>
          <w:szCs w:val="16"/>
        </w:rPr>
        <w:t xml:space="preserve">Section 4.14. </w:t>
      </w:r>
      <w:r>
        <w:rPr>
          <w:rFonts w:ascii="Arial" w:eastAsia="Arial" w:hAnsi="Arial" w:cs="Arial"/>
          <w:i/>
          <w:iCs/>
          <w:sz w:val="16"/>
          <w:szCs w:val="16"/>
        </w:rPr>
        <w:t>Limited License</w:t>
      </w:r>
      <w:r>
        <w:rPr>
          <w:rFonts w:ascii="Arial" w:eastAsia="Arial" w:hAnsi="Arial" w:cs="Arial"/>
          <w:sz w:val="16"/>
          <w:szCs w:val="16"/>
        </w:rPr>
        <w:t xml:space="preserve">. L Brands hereby grants to VS a limited license to use (and reasonable access to) space at certain facilities and to </w:t>
      </w:r>
      <w:r>
        <w:rPr>
          <w:rFonts w:ascii="Arial" w:eastAsia="Arial" w:hAnsi="Arial" w:cs="Arial"/>
          <w:sz w:val="16"/>
          <w:szCs w:val="16"/>
        </w:rPr>
        <w:t>continue to use certain equipment located at such facilities (including the use of office security and badge services) (the “</w:t>
      </w:r>
      <w:r>
        <w:rPr>
          <w:rFonts w:ascii="Arial" w:eastAsia="Arial" w:hAnsi="Arial" w:cs="Arial"/>
          <w:b/>
          <w:bCs/>
          <w:sz w:val="16"/>
          <w:szCs w:val="16"/>
        </w:rPr>
        <w:t>VS Temporary Facilities</w:t>
      </w:r>
      <w:r>
        <w:rPr>
          <w:rFonts w:ascii="Arial" w:eastAsia="Arial" w:hAnsi="Arial" w:cs="Arial"/>
          <w:sz w:val="16"/>
          <w:szCs w:val="16"/>
        </w:rPr>
        <w:t>”), for substantially the same purposes as used in the operation of the VS Business immediately prior to the</w:t>
      </w:r>
      <w:r>
        <w:rPr>
          <w:rFonts w:ascii="Arial" w:eastAsia="Arial" w:hAnsi="Arial" w:cs="Arial"/>
          <w:sz w:val="16"/>
          <w:szCs w:val="16"/>
        </w:rPr>
        <w:t xml:space="preserve"> Distribution. VS’s rights to the Temporary Facilities shall include reasonable access and a limited license to use ancillary services to the same extent as such services are provided as of the Distribution Date to its own employees at such facility. VS he</w:t>
      </w:r>
      <w:r>
        <w:rPr>
          <w:rFonts w:ascii="Arial" w:eastAsia="Arial" w:hAnsi="Arial" w:cs="Arial"/>
          <w:sz w:val="16"/>
          <w:szCs w:val="16"/>
        </w:rPr>
        <w:t>reby grants to L Brands a limited license to use (and reasonable access to) space at certain facilities and to continue to use certain equipment located at such facilities (including the use of office security and badge services) (the “</w:t>
      </w:r>
      <w:r>
        <w:rPr>
          <w:rFonts w:ascii="Arial" w:eastAsia="Arial" w:hAnsi="Arial" w:cs="Arial"/>
          <w:b/>
          <w:bCs/>
          <w:sz w:val="16"/>
          <w:szCs w:val="16"/>
        </w:rPr>
        <w:t>L Brands Temporary F</w:t>
      </w:r>
      <w:r>
        <w:rPr>
          <w:rFonts w:ascii="Arial" w:eastAsia="Arial" w:hAnsi="Arial" w:cs="Arial"/>
          <w:b/>
          <w:bCs/>
          <w:sz w:val="16"/>
          <w:szCs w:val="16"/>
        </w:rPr>
        <w:t>acilities</w:t>
      </w:r>
      <w:r>
        <w:rPr>
          <w:rFonts w:ascii="Arial" w:eastAsia="Arial" w:hAnsi="Arial" w:cs="Arial"/>
          <w:sz w:val="16"/>
          <w:szCs w:val="16"/>
        </w:rPr>
        <w:t>” and together with the VS Temporary Facilities, collectively, the “</w:t>
      </w:r>
      <w:r>
        <w:rPr>
          <w:rFonts w:ascii="Arial" w:eastAsia="Arial" w:hAnsi="Arial" w:cs="Arial"/>
          <w:b/>
          <w:bCs/>
          <w:sz w:val="16"/>
          <w:szCs w:val="16"/>
        </w:rPr>
        <w:t>Temporary Facilities</w:t>
      </w:r>
      <w:r>
        <w:rPr>
          <w:rFonts w:ascii="Arial" w:eastAsia="Arial" w:hAnsi="Arial" w:cs="Arial"/>
          <w:sz w:val="16"/>
          <w:szCs w:val="16"/>
        </w:rPr>
        <w:t>”), for substantially the same purposes as used in the operation of the L Brands Business immediately prior to the Distribution. L Brands’ rights to the Tempor</w:t>
      </w:r>
      <w:r>
        <w:rPr>
          <w:rFonts w:ascii="Arial" w:eastAsia="Arial" w:hAnsi="Arial" w:cs="Arial"/>
          <w:sz w:val="16"/>
          <w:szCs w:val="16"/>
        </w:rPr>
        <w:t xml:space="preserve">ary Facilities shall include reasonable access and a limited license to use ancillary services to the same extent as such services are provided as of the Distribution Date to its own employees at such facility. VS and L Brands shall each (i) vacate the VS </w:t>
      </w:r>
      <w:r>
        <w:rPr>
          <w:rFonts w:ascii="Arial" w:eastAsia="Arial" w:hAnsi="Arial" w:cs="Arial"/>
          <w:sz w:val="16"/>
          <w:szCs w:val="16"/>
        </w:rPr>
        <w:t>Temporary Facilities, in the case of VS, and the L Brands Temporary Facilities, in the case of L Brands, on or prior to the date that is three (3) months following the Distribution Date, and (ii) vacate or deliver back, as applicable, the VS Temporary Faci</w:t>
      </w:r>
      <w:r>
        <w:rPr>
          <w:rFonts w:ascii="Arial" w:eastAsia="Arial" w:hAnsi="Arial" w:cs="Arial"/>
          <w:sz w:val="16"/>
          <w:szCs w:val="16"/>
        </w:rPr>
        <w:t>lities, in the case of VS, and the L Brands Temporary Facilities, in the case of L Brands, in substantially the same repair and condition at that date as on the Distribution Date, ordinary wear and tear excepted. The rights granted with respect to the Temp</w:t>
      </w:r>
      <w:r>
        <w:rPr>
          <w:rFonts w:ascii="Arial" w:eastAsia="Arial" w:hAnsi="Arial" w:cs="Arial"/>
          <w:sz w:val="16"/>
          <w:szCs w:val="16"/>
        </w:rPr>
        <w:t>orary Facilities shall be in the nature of a license and shall not create a leasehold or other estate or possessory rights therein and shall not include any right of sub-license or sub-leasehold to any Third Party. The covenants set forth in this Section 4</w:t>
      </w:r>
      <w:r>
        <w:rPr>
          <w:rFonts w:ascii="Arial" w:eastAsia="Arial" w:hAnsi="Arial" w:cs="Arial"/>
          <w:sz w:val="16"/>
          <w:szCs w:val="16"/>
        </w:rPr>
        <w:t>.14 shall survive for six (6) months following the Distribution Date.</w:t>
      </w:r>
    </w:p>
    <w:p w14:paraId="0EB73814" w14:textId="77777777" w:rsidR="00D1587D" w:rsidRDefault="00D1587D">
      <w:pPr>
        <w:spacing w:line="154" w:lineRule="exact"/>
        <w:rPr>
          <w:sz w:val="20"/>
          <w:szCs w:val="20"/>
        </w:rPr>
      </w:pPr>
    </w:p>
    <w:p w14:paraId="25EF1263" w14:textId="77777777" w:rsidR="00D1587D" w:rsidRDefault="00410D07">
      <w:pPr>
        <w:ind w:right="40"/>
        <w:jc w:val="center"/>
        <w:rPr>
          <w:sz w:val="20"/>
          <w:szCs w:val="20"/>
        </w:rPr>
      </w:pPr>
      <w:r>
        <w:rPr>
          <w:rFonts w:ascii="Arial" w:eastAsia="Arial" w:hAnsi="Arial" w:cs="Arial"/>
          <w:sz w:val="18"/>
          <w:szCs w:val="18"/>
        </w:rPr>
        <w:t>39</w:t>
      </w:r>
    </w:p>
    <w:p w14:paraId="5FA11F81" w14:textId="77777777" w:rsidR="00D1587D" w:rsidRDefault="00410D07">
      <w:pPr>
        <w:spacing w:line="20" w:lineRule="exact"/>
        <w:rPr>
          <w:sz w:val="20"/>
          <w:szCs w:val="20"/>
        </w:rPr>
      </w:pPr>
      <w:r>
        <w:rPr>
          <w:noProof/>
          <w:sz w:val="20"/>
          <w:szCs w:val="20"/>
        </w:rPr>
        <w:drawing>
          <wp:anchor distT="0" distB="0" distL="114300" distR="114300" simplePos="0" relativeHeight="251191296" behindDoc="1" locked="0" layoutInCell="0" allowOverlap="1" wp14:anchorId="12807372" wp14:editId="64D9A64B">
            <wp:simplePos x="0" y="0"/>
            <wp:positionH relativeFrom="column">
              <wp:posOffset>5080</wp:posOffset>
            </wp:positionH>
            <wp:positionV relativeFrom="paragraph">
              <wp:posOffset>48895</wp:posOffset>
            </wp:positionV>
            <wp:extent cx="7132320" cy="1714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34272E7" w14:textId="77777777" w:rsidR="00D1587D" w:rsidRDefault="00D1587D">
      <w:pPr>
        <w:sectPr w:rsidR="00D1587D">
          <w:pgSz w:w="11900" w:h="16838"/>
          <w:pgMar w:top="341" w:right="359" w:bottom="1440" w:left="320" w:header="0" w:footer="0" w:gutter="0"/>
          <w:cols w:space="720" w:equalWidth="0">
            <w:col w:w="11220"/>
          </w:cols>
        </w:sectPr>
      </w:pPr>
    </w:p>
    <w:p w14:paraId="673ED5FE" w14:textId="77777777" w:rsidR="00D1587D" w:rsidRDefault="00410D07">
      <w:pPr>
        <w:ind w:left="880"/>
        <w:rPr>
          <w:sz w:val="20"/>
          <w:szCs w:val="20"/>
        </w:rPr>
      </w:pPr>
      <w:bookmarkStart w:id="48" w:name="page49"/>
      <w:bookmarkEnd w:id="48"/>
      <w:r>
        <w:rPr>
          <w:rFonts w:ascii="Arial" w:eastAsia="Arial" w:hAnsi="Arial" w:cs="Arial"/>
          <w:sz w:val="16"/>
          <w:szCs w:val="16"/>
        </w:rPr>
        <w:t xml:space="preserve">Section 4.15.  </w:t>
      </w:r>
      <w:r>
        <w:rPr>
          <w:rFonts w:ascii="Arial" w:eastAsia="Arial" w:hAnsi="Arial" w:cs="Arial"/>
          <w:i/>
          <w:iCs/>
          <w:sz w:val="16"/>
          <w:szCs w:val="16"/>
        </w:rPr>
        <w:t>Other Matters</w:t>
      </w:r>
      <w:r>
        <w:rPr>
          <w:rFonts w:ascii="Arial" w:eastAsia="Arial" w:hAnsi="Arial" w:cs="Arial"/>
          <w:sz w:val="16"/>
          <w:szCs w:val="16"/>
        </w:rPr>
        <w:t>. Each of L Brands and VS agrees to the covenants, agreements and undertakings set forth on Schedule 4.15.</w:t>
      </w:r>
    </w:p>
    <w:p w14:paraId="70A45573" w14:textId="77777777" w:rsidR="00D1587D" w:rsidRDefault="00D1587D">
      <w:pPr>
        <w:spacing w:line="248" w:lineRule="exact"/>
        <w:rPr>
          <w:sz w:val="20"/>
          <w:szCs w:val="20"/>
        </w:rPr>
      </w:pPr>
    </w:p>
    <w:p w14:paraId="6B6F175C" w14:textId="77777777" w:rsidR="00D1587D" w:rsidRDefault="00410D07">
      <w:pPr>
        <w:spacing w:line="293" w:lineRule="auto"/>
        <w:ind w:right="60" w:firstLine="873"/>
        <w:rPr>
          <w:sz w:val="20"/>
          <w:szCs w:val="20"/>
        </w:rPr>
      </w:pPr>
      <w:r>
        <w:rPr>
          <w:rFonts w:ascii="Arial" w:eastAsia="Arial" w:hAnsi="Arial" w:cs="Arial"/>
          <w:sz w:val="16"/>
          <w:szCs w:val="16"/>
        </w:rPr>
        <w:t xml:space="preserve">Section 4.16. </w:t>
      </w:r>
      <w:r>
        <w:rPr>
          <w:rFonts w:ascii="Arial" w:eastAsia="Arial" w:hAnsi="Arial" w:cs="Arial"/>
          <w:i/>
          <w:iCs/>
          <w:sz w:val="16"/>
          <w:szCs w:val="16"/>
        </w:rPr>
        <w:t>Inducement</w:t>
      </w:r>
      <w:r>
        <w:rPr>
          <w:rFonts w:ascii="Arial" w:eastAsia="Arial" w:hAnsi="Arial" w:cs="Arial"/>
          <w:sz w:val="16"/>
          <w:szCs w:val="16"/>
        </w:rPr>
        <w:t>. VS acknowledges and agrees that L Brands’ willingness to cause, effect and consummate the Distribution has been conditioned upon and induced by VS’s covenants and agreements in this Agreement and the Ancillary Agreements, includin</w:t>
      </w:r>
      <w:r>
        <w:rPr>
          <w:rFonts w:ascii="Arial" w:eastAsia="Arial" w:hAnsi="Arial" w:cs="Arial"/>
          <w:sz w:val="16"/>
          <w:szCs w:val="16"/>
        </w:rPr>
        <w:t>g VS’s assumption of the VS Liabilities. The Parties acknowledge that, after the Distribution Time, each Party shall be independent of the other Party, with responsibility for its own actions and inactions and its own Liabilities relating to, arising out o</w:t>
      </w:r>
      <w:r>
        <w:rPr>
          <w:rFonts w:ascii="Arial" w:eastAsia="Arial" w:hAnsi="Arial" w:cs="Arial"/>
          <w:sz w:val="16"/>
          <w:szCs w:val="16"/>
        </w:rPr>
        <w:t>f or resulting from the conduct of its business, operations and activities following the Distribution Time, except as may otherwise be provided in this Agreement or in any Ancillary Agreement, and each Party shall (except as otherwise provided in this Agre</w:t>
      </w:r>
      <w:r>
        <w:rPr>
          <w:rFonts w:ascii="Arial" w:eastAsia="Arial" w:hAnsi="Arial" w:cs="Arial"/>
          <w:sz w:val="16"/>
          <w:szCs w:val="16"/>
        </w:rPr>
        <w:t>ement) use commercially reasonable efforts to prevent such Liabilities from being inappropriately borne by the other Party.</w:t>
      </w:r>
    </w:p>
    <w:p w14:paraId="1FE0048F" w14:textId="77777777" w:rsidR="00D1587D" w:rsidRDefault="00D1587D">
      <w:pPr>
        <w:spacing w:line="164" w:lineRule="exact"/>
        <w:rPr>
          <w:sz w:val="20"/>
          <w:szCs w:val="20"/>
        </w:rPr>
      </w:pPr>
    </w:p>
    <w:p w14:paraId="701B9738" w14:textId="77777777" w:rsidR="00D1587D" w:rsidRDefault="00410D07">
      <w:pPr>
        <w:ind w:right="-19"/>
        <w:jc w:val="center"/>
        <w:rPr>
          <w:sz w:val="20"/>
          <w:szCs w:val="20"/>
        </w:rPr>
      </w:pPr>
      <w:r>
        <w:rPr>
          <w:rFonts w:ascii="Arial" w:eastAsia="Arial" w:hAnsi="Arial" w:cs="Arial"/>
          <w:sz w:val="18"/>
          <w:szCs w:val="18"/>
        </w:rPr>
        <w:t>ARTICLE 5</w:t>
      </w:r>
    </w:p>
    <w:p w14:paraId="6D85452A" w14:textId="77777777" w:rsidR="00D1587D" w:rsidRDefault="00D1587D">
      <w:pPr>
        <w:spacing w:line="23" w:lineRule="exact"/>
        <w:rPr>
          <w:sz w:val="20"/>
          <w:szCs w:val="20"/>
        </w:rPr>
      </w:pPr>
    </w:p>
    <w:p w14:paraId="2CBB45FC" w14:textId="77777777" w:rsidR="00D1587D" w:rsidRDefault="00410D07">
      <w:pPr>
        <w:ind w:right="-19"/>
        <w:jc w:val="center"/>
        <w:rPr>
          <w:sz w:val="20"/>
          <w:szCs w:val="20"/>
        </w:rPr>
      </w:pPr>
      <w:r>
        <w:rPr>
          <w:rFonts w:ascii="Arial" w:eastAsia="Arial" w:hAnsi="Arial" w:cs="Arial"/>
          <w:sz w:val="18"/>
          <w:szCs w:val="18"/>
        </w:rPr>
        <w:t>R</w:t>
      </w:r>
      <w:r>
        <w:rPr>
          <w:rFonts w:ascii="Arial" w:eastAsia="Arial" w:hAnsi="Arial" w:cs="Arial"/>
          <w:sz w:val="12"/>
          <w:szCs w:val="12"/>
        </w:rPr>
        <w:t>ELEASE</w:t>
      </w:r>
      <w:r>
        <w:rPr>
          <w:rFonts w:ascii="Arial" w:eastAsia="Arial" w:hAnsi="Arial" w:cs="Arial"/>
          <w:sz w:val="18"/>
          <w:szCs w:val="18"/>
        </w:rPr>
        <w:t>; I</w:t>
      </w:r>
      <w:r>
        <w:rPr>
          <w:rFonts w:ascii="Arial" w:eastAsia="Arial" w:hAnsi="Arial" w:cs="Arial"/>
          <w:sz w:val="12"/>
          <w:szCs w:val="12"/>
        </w:rPr>
        <w:t>NDEMNIFICATION</w:t>
      </w:r>
    </w:p>
    <w:p w14:paraId="2778936A" w14:textId="77777777" w:rsidR="00D1587D" w:rsidRDefault="00D1587D">
      <w:pPr>
        <w:spacing w:line="211" w:lineRule="exact"/>
        <w:rPr>
          <w:sz w:val="20"/>
          <w:szCs w:val="20"/>
        </w:rPr>
      </w:pPr>
    </w:p>
    <w:p w14:paraId="57BC0C31" w14:textId="77777777" w:rsidR="00D1587D" w:rsidRDefault="00410D07">
      <w:pPr>
        <w:spacing w:line="267" w:lineRule="auto"/>
        <w:ind w:firstLine="1067"/>
        <w:rPr>
          <w:sz w:val="20"/>
          <w:szCs w:val="20"/>
        </w:rPr>
      </w:pPr>
      <w:r>
        <w:rPr>
          <w:rFonts w:ascii="Arial" w:eastAsia="Arial" w:hAnsi="Arial" w:cs="Arial"/>
          <w:sz w:val="17"/>
          <w:szCs w:val="17"/>
        </w:rPr>
        <w:t>Section 5.01</w:t>
      </w:r>
      <w:r>
        <w:rPr>
          <w:rFonts w:ascii="Arial" w:eastAsia="Arial" w:hAnsi="Arial" w:cs="Arial"/>
          <w:i/>
          <w:iCs/>
          <w:sz w:val="17"/>
          <w:szCs w:val="17"/>
        </w:rPr>
        <w:t>. Release of Pre-Distribution Claims.</w:t>
      </w:r>
      <w:r>
        <w:rPr>
          <w:rFonts w:ascii="Arial" w:eastAsia="Arial" w:hAnsi="Arial" w:cs="Arial"/>
          <w:sz w:val="17"/>
          <w:szCs w:val="17"/>
        </w:rPr>
        <w:t xml:space="preserve"> (a) Except (i) as provided in Section 5.01(b</w:t>
      </w:r>
      <w:r>
        <w:rPr>
          <w:rFonts w:ascii="Arial" w:eastAsia="Arial" w:hAnsi="Arial" w:cs="Arial"/>
          <w:sz w:val="17"/>
          <w:szCs w:val="17"/>
        </w:rPr>
        <w:t xml:space="preserve">) and (ii) as otherwise expressly provided in this Agreement or any Ancillary Agreement, each Party does hereby, on behalf of itself and each member of its Group, and each of their successors and assigns, and to the extent permitted by Applicable Law, all </w:t>
      </w:r>
      <w:r>
        <w:rPr>
          <w:rFonts w:ascii="Arial" w:eastAsia="Arial" w:hAnsi="Arial" w:cs="Arial"/>
          <w:sz w:val="17"/>
          <w:szCs w:val="17"/>
        </w:rPr>
        <w:t>Persons who at any time prior to the Distribution Time have been directors, officers, employees or agents serving as independent contractors of such Party or any member of its Group (in each case, in their respective capacities as such), release and foreve</w:t>
      </w:r>
      <w:r>
        <w:rPr>
          <w:rFonts w:ascii="Arial" w:eastAsia="Arial" w:hAnsi="Arial" w:cs="Arial"/>
          <w:sz w:val="17"/>
          <w:szCs w:val="17"/>
        </w:rPr>
        <w:t>r discharge the other Party and the other members of such Party’s Group, and their respective successors and assigns, and all Persons who at any time prior to the Distribution Time have been directors, officers, employees or agents serving as independent c</w:t>
      </w:r>
      <w:r>
        <w:rPr>
          <w:rFonts w:ascii="Arial" w:eastAsia="Arial" w:hAnsi="Arial" w:cs="Arial"/>
          <w:sz w:val="17"/>
          <w:szCs w:val="17"/>
        </w:rPr>
        <w:t>ontractors of such other Party or any member of its Group (in each case, in their respective capacities as such), and their respective heirs, executors, administrators, successors and assigns (collectively, the “</w:t>
      </w:r>
      <w:r>
        <w:rPr>
          <w:rFonts w:ascii="Arial" w:eastAsia="Arial" w:hAnsi="Arial" w:cs="Arial"/>
          <w:b/>
          <w:bCs/>
          <w:sz w:val="17"/>
          <w:szCs w:val="17"/>
        </w:rPr>
        <w:t>Released Parties</w:t>
      </w:r>
      <w:r>
        <w:rPr>
          <w:rFonts w:ascii="Arial" w:eastAsia="Arial" w:hAnsi="Arial" w:cs="Arial"/>
          <w:sz w:val="17"/>
          <w:szCs w:val="17"/>
        </w:rPr>
        <w:t xml:space="preserve">”), from any and all </w:t>
      </w:r>
      <w:r>
        <w:rPr>
          <w:rFonts w:ascii="Arial" w:eastAsia="Arial" w:hAnsi="Arial" w:cs="Arial"/>
          <w:sz w:val="17"/>
          <w:szCs w:val="17"/>
        </w:rPr>
        <w:t xml:space="preserve">demands, claims, Actions and Liabilities whatsoever, whether at law or in equity (including any right of contribution or any right pursuant to any Environmental Law whether now or hereinafter in effect), whether arising under any Contract, by operation of </w:t>
      </w:r>
      <w:r>
        <w:rPr>
          <w:rFonts w:ascii="Arial" w:eastAsia="Arial" w:hAnsi="Arial" w:cs="Arial"/>
          <w:sz w:val="17"/>
          <w:szCs w:val="17"/>
        </w:rPr>
        <w:t xml:space="preserve">law or otherwise (and including for the avoidance of doubt, those arising as a result of the negligence, strict liability or any other liability under any theory of law or equity of, or any violation of law by any Released Party), existing or arising from </w:t>
      </w:r>
      <w:r>
        <w:rPr>
          <w:rFonts w:ascii="Arial" w:eastAsia="Arial" w:hAnsi="Arial" w:cs="Arial"/>
          <w:sz w:val="17"/>
          <w:szCs w:val="17"/>
        </w:rPr>
        <w:t>any acts or events occurring or failing to occur or alleged to have occurred or to have failed to occur or any conditions existing or alleged to have existed on or before the Distribution Date, in the case of the release by L Brands, to the extent relating</w:t>
      </w:r>
      <w:r>
        <w:rPr>
          <w:rFonts w:ascii="Arial" w:eastAsia="Arial" w:hAnsi="Arial" w:cs="Arial"/>
          <w:sz w:val="17"/>
          <w:szCs w:val="17"/>
        </w:rPr>
        <w:t xml:space="preserve"> to, arising out of or resulting from the L Brands Business, the L Brands Assets or the L Brands Liabilities, and in the case of the release by VS, to the extent relating to, arising out of or resulting from the VS Business, the VS Assets or the VS Liabili</w:t>
      </w:r>
      <w:r>
        <w:rPr>
          <w:rFonts w:ascii="Arial" w:eastAsia="Arial" w:hAnsi="Arial" w:cs="Arial"/>
          <w:sz w:val="17"/>
          <w:szCs w:val="17"/>
        </w:rPr>
        <w:t xml:space="preserve">ties. In furtherance of the foregoing, each Party shall cause each of the members of its respective Group to, effective as of the Distribution Time, release and forever discharge each of the Released Parties of the other Group as and to the same extent as </w:t>
      </w:r>
      <w:r>
        <w:rPr>
          <w:rFonts w:ascii="Arial" w:eastAsia="Arial" w:hAnsi="Arial" w:cs="Arial"/>
          <w:sz w:val="17"/>
          <w:szCs w:val="17"/>
        </w:rPr>
        <w:t>the release and discharge provided by such Party pursuant to the foregoing provisions of this Section 5.01(a).</w:t>
      </w:r>
    </w:p>
    <w:p w14:paraId="642CA6F7" w14:textId="77777777" w:rsidR="00D1587D" w:rsidRDefault="00D1587D">
      <w:pPr>
        <w:spacing w:line="178" w:lineRule="exact"/>
        <w:rPr>
          <w:sz w:val="20"/>
          <w:szCs w:val="20"/>
        </w:rPr>
      </w:pPr>
    </w:p>
    <w:p w14:paraId="200E328A" w14:textId="77777777" w:rsidR="00D1587D" w:rsidRDefault="00410D07">
      <w:pPr>
        <w:ind w:right="60"/>
        <w:jc w:val="center"/>
        <w:rPr>
          <w:sz w:val="20"/>
          <w:szCs w:val="20"/>
        </w:rPr>
      </w:pPr>
      <w:r>
        <w:rPr>
          <w:rFonts w:ascii="Arial" w:eastAsia="Arial" w:hAnsi="Arial" w:cs="Arial"/>
          <w:sz w:val="18"/>
          <w:szCs w:val="18"/>
        </w:rPr>
        <w:t>40</w:t>
      </w:r>
    </w:p>
    <w:p w14:paraId="5BB5A5AF" w14:textId="77777777" w:rsidR="00D1587D" w:rsidRDefault="00410D07">
      <w:pPr>
        <w:spacing w:line="20" w:lineRule="exact"/>
        <w:rPr>
          <w:sz w:val="20"/>
          <w:szCs w:val="20"/>
        </w:rPr>
      </w:pPr>
      <w:r>
        <w:rPr>
          <w:noProof/>
          <w:sz w:val="20"/>
          <w:szCs w:val="20"/>
        </w:rPr>
        <w:drawing>
          <wp:anchor distT="0" distB="0" distL="114300" distR="114300" simplePos="0" relativeHeight="251192320" behindDoc="1" locked="0" layoutInCell="0" allowOverlap="1" wp14:anchorId="0CCD68D6" wp14:editId="3F3B8833">
            <wp:simplePos x="0" y="0"/>
            <wp:positionH relativeFrom="column">
              <wp:posOffset>5080</wp:posOffset>
            </wp:positionH>
            <wp:positionV relativeFrom="paragraph">
              <wp:posOffset>48895</wp:posOffset>
            </wp:positionV>
            <wp:extent cx="7132320" cy="1714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2A20456" w14:textId="77777777" w:rsidR="00D1587D" w:rsidRDefault="00D1587D">
      <w:pPr>
        <w:sectPr w:rsidR="00D1587D">
          <w:pgSz w:w="11900" w:h="16838"/>
          <w:pgMar w:top="341" w:right="339" w:bottom="1440" w:left="320" w:header="0" w:footer="0" w:gutter="0"/>
          <w:cols w:space="720" w:equalWidth="0">
            <w:col w:w="11240"/>
          </w:cols>
        </w:sectPr>
      </w:pPr>
    </w:p>
    <w:p w14:paraId="7C8D484E" w14:textId="77777777" w:rsidR="00D1587D" w:rsidRDefault="00410D07">
      <w:pPr>
        <w:numPr>
          <w:ilvl w:val="0"/>
          <w:numId w:val="35"/>
        </w:numPr>
        <w:tabs>
          <w:tab w:val="left" w:pos="1367"/>
        </w:tabs>
        <w:spacing w:line="277" w:lineRule="auto"/>
        <w:ind w:right="40" w:firstLine="850"/>
        <w:rPr>
          <w:rFonts w:ascii="Arial" w:eastAsia="Arial" w:hAnsi="Arial" w:cs="Arial"/>
          <w:sz w:val="18"/>
          <w:szCs w:val="18"/>
        </w:rPr>
      </w:pPr>
      <w:bookmarkStart w:id="49" w:name="page50"/>
      <w:bookmarkEnd w:id="49"/>
      <w:r>
        <w:rPr>
          <w:rFonts w:ascii="Arial" w:eastAsia="Arial" w:hAnsi="Arial" w:cs="Arial"/>
          <w:sz w:val="18"/>
          <w:szCs w:val="18"/>
        </w:rPr>
        <w:t>Nothing contained in Section 5.01(a) shall impair any right of any Person identified in Section 5.01(a) to enforce this</w:t>
      </w:r>
      <w:r>
        <w:rPr>
          <w:rFonts w:ascii="Arial" w:eastAsia="Arial" w:hAnsi="Arial" w:cs="Arial"/>
          <w:sz w:val="18"/>
          <w:szCs w:val="18"/>
        </w:rPr>
        <w:t xml:space="preserve"> Agreement or any Ancillary Agreement. Nothing contained in Section 5.01(a) shall release or discharge any Person from:</w:t>
      </w:r>
    </w:p>
    <w:p w14:paraId="531BDC35" w14:textId="77777777" w:rsidR="00D1587D" w:rsidRDefault="00D1587D">
      <w:pPr>
        <w:spacing w:line="170" w:lineRule="exact"/>
        <w:rPr>
          <w:rFonts w:ascii="Arial" w:eastAsia="Arial" w:hAnsi="Arial" w:cs="Arial"/>
          <w:sz w:val="18"/>
          <w:szCs w:val="18"/>
        </w:rPr>
      </w:pPr>
    </w:p>
    <w:p w14:paraId="6EDBD177" w14:textId="77777777" w:rsidR="00D1587D" w:rsidRDefault="00410D07">
      <w:pPr>
        <w:numPr>
          <w:ilvl w:val="1"/>
          <w:numId w:val="35"/>
        </w:numPr>
        <w:tabs>
          <w:tab w:val="left" w:pos="2387"/>
        </w:tabs>
        <w:spacing w:line="277" w:lineRule="auto"/>
        <w:ind w:left="660" w:firstLine="1238"/>
        <w:rPr>
          <w:rFonts w:ascii="Arial" w:eastAsia="Arial" w:hAnsi="Arial" w:cs="Arial"/>
          <w:sz w:val="18"/>
          <w:szCs w:val="18"/>
        </w:rPr>
      </w:pPr>
      <w:r>
        <w:rPr>
          <w:rFonts w:ascii="Arial" w:eastAsia="Arial" w:hAnsi="Arial" w:cs="Arial"/>
          <w:sz w:val="18"/>
          <w:szCs w:val="18"/>
        </w:rPr>
        <w:t>any Liability assumed, transferred, assigned, retained or allocated to that Person in accordance with, or any other Liability of that P</w:t>
      </w:r>
      <w:r>
        <w:rPr>
          <w:rFonts w:ascii="Arial" w:eastAsia="Arial" w:hAnsi="Arial" w:cs="Arial"/>
          <w:sz w:val="18"/>
          <w:szCs w:val="18"/>
        </w:rPr>
        <w:t>erson under, this Agreement or any of the Ancillary Agreements;</w:t>
      </w:r>
    </w:p>
    <w:p w14:paraId="01FFB7DF" w14:textId="77777777" w:rsidR="00D1587D" w:rsidRDefault="00D1587D">
      <w:pPr>
        <w:spacing w:line="170" w:lineRule="exact"/>
        <w:rPr>
          <w:rFonts w:ascii="Arial" w:eastAsia="Arial" w:hAnsi="Arial" w:cs="Arial"/>
          <w:sz w:val="18"/>
          <w:szCs w:val="18"/>
        </w:rPr>
      </w:pPr>
    </w:p>
    <w:p w14:paraId="4A3DA061" w14:textId="77777777" w:rsidR="00D1587D" w:rsidRDefault="00410D07">
      <w:pPr>
        <w:numPr>
          <w:ilvl w:val="1"/>
          <w:numId w:val="35"/>
        </w:numPr>
        <w:tabs>
          <w:tab w:val="left" w:pos="2437"/>
        </w:tabs>
        <w:spacing w:line="263" w:lineRule="auto"/>
        <w:ind w:left="660" w:firstLine="1238"/>
        <w:rPr>
          <w:rFonts w:ascii="Arial" w:eastAsia="Arial" w:hAnsi="Arial" w:cs="Arial"/>
          <w:sz w:val="18"/>
          <w:szCs w:val="18"/>
        </w:rPr>
      </w:pPr>
      <w:r>
        <w:rPr>
          <w:rFonts w:ascii="Arial" w:eastAsia="Arial" w:hAnsi="Arial" w:cs="Arial"/>
          <w:sz w:val="18"/>
          <w:szCs w:val="18"/>
        </w:rPr>
        <w:t xml:space="preserve">any Liability that is expressly specified in this Agreement (including Section 2.08) or any Ancillary Agreement to continue after the Distribution Time, but subject to any </w:t>
      </w:r>
      <w:r>
        <w:rPr>
          <w:rFonts w:ascii="Arial" w:eastAsia="Arial" w:hAnsi="Arial" w:cs="Arial"/>
          <w:sz w:val="18"/>
          <w:szCs w:val="18"/>
        </w:rPr>
        <w:t>limitation set forth in this Agreement (including Section 2.08) or any Ancillary Agreement relating specifically to such Liability;</w:t>
      </w:r>
    </w:p>
    <w:p w14:paraId="393E9630" w14:textId="77777777" w:rsidR="00D1587D" w:rsidRDefault="00D1587D">
      <w:pPr>
        <w:spacing w:line="183" w:lineRule="exact"/>
        <w:rPr>
          <w:rFonts w:ascii="Arial" w:eastAsia="Arial" w:hAnsi="Arial" w:cs="Arial"/>
          <w:sz w:val="18"/>
          <w:szCs w:val="18"/>
        </w:rPr>
      </w:pPr>
    </w:p>
    <w:p w14:paraId="31147DF7" w14:textId="77777777" w:rsidR="00D1587D" w:rsidRDefault="00410D07">
      <w:pPr>
        <w:numPr>
          <w:ilvl w:val="1"/>
          <w:numId w:val="35"/>
        </w:numPr>
        <w:tabs>
          <w:tab w:val="left" w:pos="2487"/>
        </w:tabs>
        <w:spacing w:line="263" w:lineRule="auto"/>
        <w:ind w:left="660" w:firstLine="1238"/>
        <w:rPr>
          <w:rFonts w:ascii="Arial" w:eastAsia="Arial" w:hAnsi="Arial" w:cs="Arial"/>
          <w:sz w:val="18"/>
          <w:szCs w:val="18"/>
        </w:rPr>
      </w:pPr>
      <w:r>
        <w:rPr>
          <w:rFonts w:ascii="Arial" w:eastAsia="Arial" w:hAnsi="Arial" w:cs="Arial"/>
          <w:sz w:val="18"/>
          <w:szCs w:val="18"/>
        </w:rPr>
        <w:t>any Liability that the Parties may have with respect to claims for indemnification, recovery or contribution brought pursua</w:t>
      </w:r>
      <w:r>
        <w:rPr>
          <w:rFonts w:ascii="Arial" w:eastAsia="Arial" w:hAnsi="Arial" w:cs="Arial"/>
          <w:sz w:val="18"/>
          <w:szCs w:val="18"/>
        </w:rPr>
        <w:t>nt to this Agreement or any Ancillary Agreement, which Liability shall be governed by the provisions of this Article 5, or, if applicable, the appropriate provisions of the Ancillary Agreements; or</w:t>
      </w:r>
    </w:p>
    <w:p w14:paraId="7A312DFD" w14:textId="77777777" w:rsidR="00D1587D" w:rsidRDefault="00D1587D">
      <w:pPr>
        <w:spacing w:line="183" w:lineRule="exact"/>
        <w:rPr>
          <w:rFonts w:ascii="Arial" w:eastAsia="Arial" w:hAnsi="Arial" w:cs="Arial"/>
          <w:sz w:val="18"/>
          <w:szCs w:val="18"/>
        </w:rPr>
      </w:pPr>
    </w:p>
    <w:p w14:paraId="4BBE4B21" w14:textId="77777777" w:rsidR="00D1587D" w:rsidRDefault="00410D07">
      <w:pPr>
        <w:numPr>
          <w:ilvl w:val="1"/>
          <w:numId w:val="35"/>
        </w:numPr>
        <w:tabs>
          <w:tab w:val="left" w:pos="2477"/>
        </w:tabs>
        <w:spacing w:line="263" w:lineRule="auto"/>
        <w:ind w:left="660" w:right="40" w:firstLine="1238"/>
        <w:rPr>
          <w:rFonts w:ascii="Arial" w:eastAsia="Arial" w:hAnsi="Arial" w:cs="Arial"/>
          <w:sz w:val="18"/>
          <w:szCs w:val="18"/>
        </w:rPr>
      </w:pPr>
      <w:r>
        <w:rPr>
          <w:rFonts w:ascii="Arial" w:eastAsia="Arial" w:hAnsi="Arial" w:cs="Arial"/>
          <w:sz w:val="18"/>
          <w:szCs w:val="18"/>
        </w:rPr>
        <w:t>any Liability the release of which would result in the re</w:t>
      </w:r>
      <w:r>
        <w:rPr>
          <w:rFonts w:ascii="Arial" w:eastAsia="Arial" w:hAnsi="Arial" w:cs="Arial"/>
          <w:sz w:val="18"/>
          <w:szCs w:val="18"/>
        </w:rPr>
        <w:t xml:space="preserve">lease of any Person, other than a member of the L Brands Group, the VS Group or any related Released Party; </w:t>
      </w:r>
      <w:r>
        <w:rPr>
          <w:rFonts w:ascii="Arial" w:eastAsia="Arial" w:hAnsi="Arial" w:cs="Arial"/>
          <w:i/>
          <w:iCs/>
          <w:sz w:val="18"/>
          <w:szCs w:val="18"/>
        </w:rPr>
        <w:t>provided</w:t>
      </w:r>
      <w:r>
        <w:rPr>
          <w:rFonts w:ascii="Arial" w:eastAsia="Arial" w:hAnsi="Arial" w:cs="Arial"/>
          <w:sz w:val="18"/>
          <w:szCs w:val="18"/>
        </w:rPr>
        <w:t xml:space="preserve">, </w:t>
      </w:r>
      <w:r>
        <w:rPr>
          <w:rFonts w:ascii="Arial" w:eastAsia="Arial" w:hAnsi="Arial" w:cs="Arial"/>
          <w:i/>
          <w:iCs/>
          <w:sz w:val="18"/>
          <w:szCs w:val="18"/>
        </w:rPr>
        <w:t>however</w:t>
      </w:r>
      <w:r>
        <w:rPr>
          <w:rFonts w:ascii="Arial" w:eastAsia="Arial" w:hAnsi="Arial" w:cs="Arial"/>
          <w:sz w:val="18"/>
          <w:szCs w:val="18"/>
        </w:rPr>
        <w:t>, that the Parties agree not to bring or allow their respective Subsidiaries to bring suit against the other party or any related R</w:t>
      </w:r>
      <w:r>
        <w:rPr>
          <w:rFonts w:ascii="Arial" w:eastAsia="Arial" w:hAnsi="Arial" w:cs="Arial"/>
          <w:sz w:val="18"/>
          <w:szCs w:val="18"/>
        </w:rPr>
        <w:t>eleased Party with respect to any such Liability.</w:t>
      </w:r>
    </w:p>
    <w:p w14:paraId="5E551384" w14:textId="77777777" w:rsidR="00D1587D" w:rsidRDefault="00D1587D">
      <w:pPr>
        <w:spacing w:line="170" w:lineRule="exact"/>
        <w:rPr>
          <w:sz w:val="20"/>
          <w:szCs w:val="20"/>
        </w:rPr>
      </w:pPr>
    </w:p>
    <w:p w14:paraId="00DAA9B1" w14:textId="77777777" w:rsidR="00D1587D" w:rsidRDefault="00410D07">
      <w:pPr>
        <w:jc w:val="center"/>
        <w:rPr>
          <w:sz w:val="20"/>
          <w:szCs w:val="20"/>
        </w:rPr>
      </w:pPr>
      <w:r>
        <w:rPr>
          <w:rFonts w:ascii="Arial" w:eastAsia="Arial" w:hAnsi="Arial" w:cs="Arial"/>
          <w:sz w:val="18"/>
          <w:szCs w:val="18"/>
        </w:rPr>
        <w:t>41</w:t>
      </w:r>
    </w:p>
    <w:p w14:paraId="5FAC8CA4" w14:textId="77777777" w:rsidR="00D1587D" w:rsidRDefault="00410D07">
      <w:pPr>
        <w:spacing w:line="20" w:lineRule="exact"/>
        <w:rPr>
          <w:sz w:val="20"/>
          <w:szCs w:val="20"/>
        </w:rPr>
      </w:pPr>
      <w:r>
        <w:rPr>
          <w:noProof/>
          <w:sz w:val="20"/>
          <w:szCs w:val="20"/>
        </w:rPr>
        <w:drawing>
          <wp:anchor distT="0" distB="0" distL="114300" distR="114300" simplePos="0" relativeHeight="251193344" behindDoc="1" locked="0" layoutInCell="0" allowOverlap="1" wp14:anchorId="69E4D7AE" wp14:editId="0B330F2C">
            <wp:simplePos x="0" y="0"/>
            <wp:positionH relativeFrom="column">
              <wp:posOffset>5080</wp:posOffset>
            </wp:positionH>
            <wp:positionV relativeFrom="paragraph">
              <wp:posOffset>48895</wp:posOffset>
            </wp:positionV>
            <wp:extent cx="7132320" cy="1714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99C6942" w14:textId="77777777" w:rsidR="00D1587D" w:rsidRDefault="00D1587D">
      <w:pPr>
        <w:sectPr w:rsidR="00D1587D">
          <w:pgSz w:w="11900" w:h="16838"/>
          <w:pgMar w:top="341" w:right="399" w:bottom="1440" w:left="320" w:header="0" w:footer="0" w:gutter="0"/>
          <w:cols w:space="720" w:equalWidth="0">
            <w:col w:w="11180"/>
          </w:cols>
        </w:sectPr>
      </w:pPr>
    </w:p>
    <w:p w14:paraId="007F140C" w14:textId="77777777" w:rsidR="00D1587D" w:rsidRDefault="00410D07">
      <w:pPr>
        <w:spacing w:line="257" w:lineRule="auto"/>
        <w:ind w:right="40"/>
        <w:rPr>
          <w:sz w:val="20"/>
          <w:szCs w:val="20"/>
        </w:rPr>
      </w:pPr>
      <w:bookmarkStart w:id="50" w:name="page51"/>
      <w:bookmarkEnd w:id="50"/>
      <w:r>
        <w:rPr>
          <w:rFonts w:ascii="Arial" w:eastAsia="Arial" w:hAnsi="Arial" w:cs="Arial"/>
          <w:sz w:val="18"/>
          <w:szCs w:val="18"/>
        </w:rPr>
        <w:t>In addition, nothing contained in Section 5.01(a) shall release any Party or any member of its Group from honoring its existing obligations to indemnify, or advance expenses to, an</w:t>
      </w:r>
      <w:r>
        <w:rPr>
          <w:rFonts w:ascii="Arial" w:eastAsia="Arial" w:hAnsi="Arial" w:cs="Arial"/>
          <w:sz w:val="18"/>
          <w:szCs w:val="18"/>
        </w:rPr>
        <w:t>y Person who was a director, officer or employee of such Party or any member of its Group, at or prior to the Distribution Time, to the extent such Person was entitled to such indemnification or advancement of expenses pursuant to then-existing obligations</w:t>
      </w:r>
      <w:r>
        <w:rPr>
          <w:rFonts w:ascii="Arial" w:eastAsia="Arial" w:hAnsi="Arial" w:cs="Arial"/>
          <w:sz w:val="18"/>
          <w:szCs w:val="18"/>
        </w:rPr>
        <w:t xml:space="preserve"> and remains so entitled; </w:t>
      </w:r>
      <w:r>
        <w:rPr>
          <w:rFonts w:ascii="Arial" w:eastAsia="Arial" w:hAnsi="Arial" w:cs="Arial"/>
          <w:i/>
          <w:iCs/>
          <w:sz w:val="18"/>
          <w:szCs w:val="18"/>
        </w:rPr>
        <w:t>provided</w:t>
      </w:r>
      <w:r>
        <w:rPr>
          <w:rFonts w:ascii="Arial" w:eastAsia="Arial" w:hAnsi="Arial" w:cs="Arial"/>
          <w:sz w:val="18"/>
          <w:szCs w:val="18"/>
        </w:rPr>
        <w:t>,</w:t>
      </w:r>
      <w:r>
        <w:rPr>
          <w:rFonts w:ascii="Arial" w:eastAsia="Arial" w:hAnsi="Arial" w:cs="Arial"/>
          <w:i/>
          <w:iCs/>
          <w:sz w:val="18"/>
          <w:szCs w:val="18"/>
        </w:rPr>
        <w:t xml:space="preserve"> however</w:t>
      </w:r>
      <w:r>
        <w:rPr>
          <w:rFonts w:ascii="Arial" w:eastAsia="Arial" w:hAnsi="Arial" w:cs="Arial"/>
          <w:sz w:val="18"/>
          <w:szCs w:val="18"/>
        </w:rPr>
        <w:t>, that to the extent applicable, Section 5.02 hereof shall determine whether any Party shall be required to indemnify the other Party or a</w:t>
      </w:r>
      <w:r>
        <w:rPr>
          <w:rFonts w:ascii="Arial" w:eastAsia="Arial" w:hAnsi="Arial" w:cs="Arial"/>
          <w:i/>
          <w:iCs/>
          <w:sz w:val="18"/>
          <w:szCs w:val="18"/>
        </w:rPr>
        <w:t xml:space="preserve"> </w:t>
      </w:r>
      <w:r>
        <w:rPr>
          <w:rFonts w:ascii="Arial" w:eastAsia="Arial" w:hAnsi="Arial" w:cs="Arial"/>
          <w:sz w:val="18"/>
          <w:szCs w:val="18"/>
        </w:rPr>
        <w:t>member of its Group in respect of such Liability.</w:t>
      </w:r>
    </w:p>
    <w:p w14:paraId="2630C8A2" w14:textId="77777777" w:rsidR="00D1587D" w:rsidRDefault="00D1587D">
      <w:pPr>
        <w:spacing w:line="188" w:lineRule="exact"/>
        <w:rPr>
          <w:sz w:val="20"/>
          <w:szCs w:val="20"/>
        </w:rPr>
      </w:pPr>
    </w:p>
    <w:p w14:paraId="388DB224" w14:textId="77777777" w:rsidR="00D1587D" w:rsidRDefault="00410D07">
      <w:pPr>
        <w:numPr>
          <w:ilvl w:val="0"/>
          <w:numId w:val="36"/>
        </w:numPr>
        <w:tabs>
          <w:tab w:val="left" w:pos="1357"/>
        </w:tabs>
        <w:spacing w:line="263" w:lineRule="auto"/>
        <w:ind w:right="140" w:firstLine="850"/>
        <w:rPr>
          <w:rFonts w:ascii="Arial" w:eastAsia="Arial" w:hAnsi="Arial" w:cs="Arial"/>
          <w:sz w:val="18"/>
          <w:szCs w:val="18"/>
        </w:rPr>
      </w:pPr>
      <w:r>
        <w:rPr>
          <w:rFonts w:ascii="Arial" w:eastAsia="Arial" w:hAnsi="Arial" w:cs="Arial"/>
          <w:sz w:val="18"/>
          <w:szCs w:val="18"/>
        </w:rPr>
        <w:t>No Party shall make, no</w:t>
      </w:r>
      <w:r>
        <w:rPr>
          <w:rFonts w:ascii="Arial" w:eastAsia="Arial" w:hAnsi="Arial" w:cs="Arial"/>
          <w:sz w:val="18"/>
          <w:szCs w:val="18"/>
        </w:rPr>
        <w:t>r permit any member of its Group to make, any claim or demand, or commence any Action asserting any claim or demand, including any claim of contribution or indemnification, against the other Party, or any related Released Party, with respect to any Liabili</w:t>
      </w:r>
      <w:r>
        <w:rPr>
          <w:rFonts w:ascii="Arial" w:eastAsia="Arial" w:hAnsi="Arial" w:cs="Arial"/>
          <w:sz w:val="18"/>
          <w:szCs w:val="18"/>
        </w:rPr>
        <w:t>ty released pursuant to Section 5.01(a).</w:t>
      </w:r>
    </w:p>
    <w:p w14:paraId="2EF7D267" w14:textId="77777777" w:rsidR="00D1587D" w:rsidRDefault="00D1587D">
      <w:pPr>
        <w:spacing w:line="183" w:lineRule="exact"/>
        <w:rPr>
          <w:rFonts w:ascii="Arial" w:eastAsia="Arial" w:hAnsi="Arial" w:cs="Arial"/>
          <w:sz w:val="18"/>
          <w:szCs w:val="18"/>
        </w:rPr>
      </w:pPr>
    </w:p>
    <w:p w14:paraId="744F87F1" w14:textId="77777777" w:rsidR="00D1587D" w:rsidRDefault="00410D07">
      <w:pPr>
        <w:numPr>
          <w:ilvl w:val="0"/>
          <w:numId w:val="36"/>
        </w:numPr>
        <w:tabs>
          <w:tab w:val="left" w:pos="1367"/>
        </w:tabs>
        <w:spacing w:line="254" w:lineRule="auto"/>
        <w:ind w:firstLine="850"/>
        <w:rPr>
          <w:rFonts w:ascii="Arial" w:eastAsia="Arial" w:hAnsi="Arial" w:cs="Arial"/>
          <w:sz w:val="18"/>
          <w:szCs w:val="18"/>
        </w:rPr>
      </w:pPr>
      <w:r>
        <w:rPr>
          <w:rFonts w:ascii="Arial" w:eastAsia="Arial" w:hAnsi="Arial" w:cs="Arial"/>
          <w:sz w:val="18"/>
          <w:szCs w:val="18"/>
        </w:rPr>
        <w:t xml:space="preserve">It is the intent of each of the Parties by virtue of the provisions of this Section 5.01 to provide for a full and complete release and discharge of all Liabilities existing or arising from all acts and </w:t>
      </w:r>
      <w:r>
        <w:rPr>
          <w:rFonts w:ascii="Arial" w:eastAsia="Arial" w:hAnsi="Arial" w:cs="Arial"/>
          <w:sz w:val="18"/>
          <w:szCs w:val="18"/>
        </w:rPr>
        <w:t>events occurring or failing to occur or alleged to have occurred or to have failed to occur and all conditions existing or alleged to have existed on or before the Distribution Date between members of the L Brands Group, on the one hand, and members of the</w:t>
      </w:r>
      <w:r>
        <w:rPr>
          <w:rFonts w:ascii="Arial" w:eastAsia="Arial" w:hAnsi="Arial" w:cs="Arial"/>
          <w:sz w:val="18"/>
          <w:szCs w:val="18"/>
        </w:rPr>
        <w:t xml:space="preserve"> VS Group, on the other hand (including any Contract existing or alleged to exist between the Parties on or before the Distribution Date), except as expressly set forth in Section 5.01(b) or as expressly provided in this Agreement or any Ancillary Agreemen</w:t>
      </w:r>
      <w:r>
        <w:rPr>
          <w:rFonts w:ascii="Arial" w:eastAsia="Arial" w:hAnsi="Arial" w:cs="Arial"/>
          <w:sz w:val="18"/>
          <w:szCs w:val="18"/>
        </w:rPr>
        <w:t>t. At any time, at the reasonable request of either L Brands or VS, the other Party shall execute and deliver (and cause its respective Subsidiaries to execute and deliver) releases reflecting the provisions hereof.</w:t>
      </w:r>
    </w:p>
    <w:p w14:paraId="2A1F102E" w14:textId="77777777" w:rsidR="00D1587D" w:rsidRDefault="00D1587D">
      <w:pPr>
        <w:spacing w:line="195" w:lineRule="exact"/>
        <w:rPr>
          <w:sz w:val="20"/>
          <w:szCs w:val="20"/>
        </w:rPr>
      </w:pPr>
    </w:p>
    <w:p w14:paraId="04BC7048" w14:textId="77777777" w:rsidR="00D1587D" w:rsidRDefault="00410D07">
      <w:pPr>
        <w:spacing w:line="269" w:lineRule="auto"/>
        <w:ind w:right="40" w:firstLine="873"/>
        <w:rPr>
          <w:sz w:val="20"/>
          <w:szCs w:val="20"/>
        </w:rPr>
      </w:pPr>
      <w:r>
        <w:rPr>
          <w:rFonts w:ascii="Arial" w:eastAsia="Arial" w:hAnsi="Arial" w:cs="Arial"/>
          <w:sz w:val="17"/>
          <w:szCs w:val="17"/>
        </w:rPr>
        <w:t>Section 5.02</w:t>
      </w:r>
      <w:r>
        <w:rPr>
          <w:rFonts w:ascii="Arial" w:eastAsia="Arial" w:hAnsi="Arial" w:cs="Arial"/>
          <w:i/>
          <w:iCs/>
          <w:sz w:val="17"/>
          <w:szCs w:val="17"/>
        </w:rPr>
        <w:t>. VS Indemnification of the</w:t>
      </w:r>
      <w:r>
        <w:rPr>
          <w:rFonts w:ascii="Arial" w:eastAsia="Arial" w:hAnsi="Arial" w:cs="Arial"/>
          <w:i/>
          <w:iCs/>
          <w:sz w:val="17"/>
          <w:szCs w:val="17"/>
        </w:rPr>
        <w:t xml:space="preserve"> L Brands Group.</w:t>
      </w:r>
      <w:r>
        <w:rPr>
          <w:rFonts w:ascii="Arial" w:eastAsia="Arial" w:hAnsi="Arial" w:cs="Arial"/>
          <w:sz w:val="17"/>
          <w:szCs w:val="17"/>
        </w:rPr>
        <w:t xml:space="preserve"> (a) Effective as of and after the Distribution Time, VS shall, and shall cause the other members of the VS Group to, indemnify, defend and hold harmless each member of the L Brands Group, each Affiliate thereof and each of their respective</w:t>
      </w:r>
      <w:r>
        <w:rPr>
          <w:rFonts w:ascii="Arial" w:eastAsia="Arial" w:hAnsi="Arial" w:cs="Arial"/>
          <w:sz w:val="17"/>
          <w:szCs w:val="17"/>
        </w:rPr>
        <w:t xml:space="preserve"> past, present and future directors, officers, employees and agents and the respective heirs, executors, administrators, successors and assigns of any of the foregoing (the “</w:t>
      </w:r>
      <w:r>
        <w:rPr>
          <w:rFonts w:ascii="Arial" w:eastAsia="Arial" w:hAnsi="Arial" w:cs="Arial"/>
          <w:b/>
          <w:bCs/>
          <w:sz w:val="17"/>
          <w:szCs w:val="17"/>
        </w:rPr>
        <w:t>L Brands Indemnitees</w:t>
      </w:r>
      <w:r>
        <w:rPr>
          <w:rFonts w:ascii="Arial" w:eastAsia="Arial" w:hAnsi="Arial" w:cs="Arial"/>
          <w:sz w:val="17"/>
          <w:szCs w:val="17"/>
        </w:rPr>
        <w:t>”) from and against any and all Liabilities incurred or suffer</w:t>
      </w:r>
      <w:r>
        <w:rPr>
          <w:rFonts w:ascii="Arial" w:eastAsia="Arial" w:hAnsi="Arial" w:cs="Arial"/>
          <w:sz w:val="17"/>
          <w:szCs w:val="17"/>
        </w:rPr>
        <w:t>ed by any of the L Brands Indemnitees arising out of or in connection with (i) any of the VS Liabilities, or the failure of any member of the VS Group or any other Person to pay, perform or otherwise discharge any of the VS Liabilities, whether prior to, a</w:t>
      </w:r>
      <w:r>
        <w:rPr>
          <w:rFonts w:ascii="Arial" w:eastAsia="Arial" w:hAnsi="Arial" w:cs="Arial"/>
          <w:sz w:val="17"/>
          <w:szCs w:val="17"/>
        </w:rPr>
        <w:t>t or after the Distribution Time, (ii) any breach by VS or any member of the VS Group of this Agreement or any Ancillary Agreement, (iii) the ownership or operation of the VS Business, the businesses conducted by the VS Group or the VS Assets on or after t</w:t>
      </w:r>
      <w:r>
        <w:rPr>
          <w:rFonts w:ascii="Arial" w:eastAsia="Arial" w:hAnsi="Arial" w:cs="Arial"/>
          <w:sz w:val="17"/>
          <w:szCs w:val="17"/>
        </w:rPr>
        <w:t>he Distribution Date, (iv) any payments made by L Brands or any member of the L Brands Group in respect of any Guarantee given or obtained by any member of the L Brands Group for the benefit of any member of the VS Group or the VS Business, or any Liabilit</w:t>
      </w:r>
      <w:r>
        <w:rPr>
          <w:rFonts w:ascii="Arial" w:eastAsia="Arial" w:hAnsi="Arial" w:cs="Arial"/>
          <w:sz w:val="17"/>
          <w:szCs w:val="17"/>
        </w:rPr>
        <w:t>y of any member of the L Brands Group in respect thereof, and (v) any use of any L Brands Names and Marks by VS.</w:t>
      </w:r>
    </w:p>
    <w:p w14:paraId="4C2C3D24" w14:textId="77777777" w:rsidR="00D1587D" w:rsidRDefault="00D1587D">
      <w:pPr>
        <w:spacing w:line="172" w:lineRule="exact"/>
        <w:rPr>
          <w:sz w:val="20"/>
          <w:szCs w:val="20"/>
        </w:rPr>
      </w:pPr>
    </w:p>
    <w:p w14:paraId="583276C0" w14:textId="77777777" w:rsidR="00D1587D" w:rsidRDefault="00410D07">
      <w:pPr>
        <w:ind w:right="40"/>
        <w:jc w:val="center"/>
        <w:rPr>
          <w:sz w:val="20"/>
          <w:szCs w:val="20"/>
        </w:rPr>
      </w:pPr>
      <w:r>
        <w:rPr>
          <w:rFonts w:ascii="Arial" w:eastAsia="Arial" w:hAnsi="Arial" w:cs="Arial"/>
          <w:sz w:val="18"/>
          <w:szCs w:val="18"/>
        </w:rPr>
        <w:t>42</w:t>
      </w:r>
    </w:p>
    <w:p w14:paraId="23029A70" w14:textId="77777777" w:rsidR="00D1587D" w:rsidRDefault="00410D07">
      <w:pPr>
        <w:spacing w:line="20" w:lineRule="exact"/>
        <w:rPr>
          <w:sz w:val="20"/>
          <w:szCs w:val="20"/>
        </w:rPr>
      </w:pPr>
      <w:r>
        <w:rPr>
          <w:noProof/>
          <w:sz w:val="20"/>
          <w:szCs w:val="20"/>
        </w:rPr>
        <w:drawing>
          <wp:anchor distT="0" distB="0" distL="114300" distR="114300" simplePos="0" relativeHeight="251194368" behindDoc="1" locked="0" layoutInCell="0" allowOverlap="1" wp14:anchorId="40D9C01C" wp14:editId="7CABC3B1">
            <wp:simplePos x="0" y="0"/>
            <wp:positionH relativeFrom="column">
              <wp:posOffset>5080</wp:posOffset>
            </wp:positionH>
            <wp:positionV relativeFrom="paragraph">
              <wp:posOffset>48895</wp:posOffset>
            </wp:positionV>
            <wp:extent cx="7132320" cy="1714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5EB89BD" w14:textId="77777777" w:rsidR="00D1587D" w:rsidRDefault="00D1587D">
      <w:pPr>
        <w:sectPr w:rsidR="00D1587D">
          <w:pgSz w:w="11900" w:h="16838"/>
          <w:pgMar w:top="341" w:right="359" w:bottom="1440" w:left="320" w:header="0" w:footer="0" w:gutter="0"/>
          <w:cols w:space="720" w:equalWidth="0">
            <w:col w:w="11220"/>
          </w:cols>
        </w:sectPr>
      </w:pPr>
    </w:p>
    <w:p w14:paraId="280FE357" w14:textId="77777777" w:rsidR="00D1587D" w:rsidRDefault="00410D07">
      <w:pPr>
        <w:numPr>
          <w:ilvl w:val="0"/>
          <w:numId w:val="37"/>
        </w:numPr>
        <w:tabs>
          <w:tab w:val="left" w:pos="1367"/>
        </w:tabs>
        <w:spacing w:line="254" w:lineRule="auto"/>
        <w:ind w:right="20" w:firstLine="850"/>
        <w:rPr>
          <w:rFonts w:ascii="Arial" w:eastAsia="Arial" w:hAnsi="Arial" w:cs="Arial"/>
          <w:sz w:val="18"/>
          <w:szCs w:val="18"/>
        </w:rPr>
      </w:pPr>
      <w:bookmarkStart w:id="51" w:name="page52"/>
      <w:bookmarkEnd w:id="51"/>
      <w:r>
        <w:rPr>
          <w:rFonts w:ascii="Arial" w:eastAsia="Arial" w:hAnsi="Arial" w:cs="Arial"/>
          <w:sz w:val="18"/>
          <w:szCs w:val="18"/>
        </w:rPr>
        <w:t xml:space="preserve">Except to the extent set forth in Section 5.03(b), effective as of and after the Distribution Time, VS shall </w:t>
      </w:r>
      <w:r>
        <w:rPr>
          <w:rFonts w:ascii="Arial" w:eastAsia="Arial" w:hAnsi="Arial" w:cs="Arial"/>
          <w:sz w:val="18"/>
          <w:szCs w:val="18"/>
        </w:rPr>
        <w:t xml:space="preserve">indemnify, defend and hold harmless each of the L Brands Indemnitees and each Person, if any, who controls any L Brands Indemnitee within the meaning of either Section 15 of the Securities Act or Section 20 of the Exchange Act from and against any and all </w:t>
      </w:r>
      <w:r>
        <w:rPr>
          <w:rFonts w:ascii="Arial" w:eastAsia="Arial" w:hAnsi="Arial" w:cs="Arial"/>
          <w:sz w:val="18"/>
          <w:szCs w:val="18"/>
        </w:rPr>
        <w:t>Liabilities caused by any untrue statement or alleged untrue statement of a material fact contained in the Form 10 or any amendment thereof, the Information Statement (as amended or supplemented), the Equity Compensation Registration Statement or any offer</w:t>
      </w:r>
      <w:r>
        <w:rPr>
          <w:rFonts w:ascii="Arial" w:eastAsia="Arial" w:hAnsi="Arial" w:cs="Arial"/>
          <w:sz w:val="18"/>
          <w:szCs w:val="18"/>
        </w:rPr>
        <w:t>ing or marketing materials prepared in connection with the VS Financing Arrangements or caused by any omission or alleged omission to state therein a material fact necessary to make the statements therein, in the light of the circumstances under which they</w:t>
      </w:r>
      <w:r>
        <w:rPr>
          <w:rFonts w:ascii="Arial" w:eastAsia="Arial" w:hAnsi="Arial" w:cs="Arial"/>
          <w:sz w:val="18"/>
          <w:szCs w:val="18"/>
        </w:rPr>
        <w:t xml:space="preserve"> were made, not misleading.</w:t>
      </w:r>
    </w:p>
    <w:p w14:paraId="0491459E" w14:textId="77777777" w:rsidR="00D1587D" w:rsidRDefault="00D1587D">
      <w:pPr>
        <w:spacing w:line="195" w:lineRule="exact"/>
        <w:rPr>
          <w:sz w:val="20"/>
          <w:szCs w:val="20"/>
        </w:rPr>
      </w:pPr>
    </w:p>
    <w:p w14:paraId="54287D0A" w14:textId="77777777" w:rsidR="00D1587D" w:rsidRDefault="00410D07">
      <w:pPr>
        <w:spacing w:line="254" w:lineRule="auto"/>
        <w:ind w:right="140" w:firstLine="873"/>
        <w:rPr>
          <w:sz w:val="20"/>
          <w:szCs w:val="20"/>
        </w:rPr>
      </w:pPr>
      <w:r>
        <w:rPr>
          <w:rFonts w:ascii="Arial" w:eastAsia="Arial" w:hAnsi="Arial" w:cs="Arial"/>
          <w:sz w:val="18"/>
          <w:szCs w:val="18"/>
        </w:rPr>
        <w:t>Section 5.03</w:t>
      </w:r>
      <w:r>
        <w:rPr>
          <w:rFonts w:ascii="Arial" w:eastAsia="Arial" w:hAnsi="Arial" w:cs="Arial"/>
          <w:i/>
          <w:iCs/>
          <w:sz w:val="18"/>
          <w:szCs w:val="18"/>
        </w:rPr>
        <w:t>. L Brands Indemnification of the VS Group.</w:t>
      </w:r>
      <w:r>
        <w:rPr>
          <w:rFonts w:ascii="Arial" w:eastAsia="Arial" w:hAnsi="Arial" w:cs="Arial"/>
          <w:sz w:val="18"/>
          <w:szCs w:val="18"/>
        </w:rPr>
        <w:t xml:space="preserve"> (a) Effective as of and after the Distribution Time, L Brands shall, and shall cause the other members of the L Brands Group to, indemnify, defend and hold harmless each m</w:t>
      </w:r>
      <w:r>
        <w:rPr>
          <w:rFonts w:ascii="Arial" w:eastAsia="Arial" w:hAnsi="Arial" w:cs="Arial"/>
          <w:sz w:val="18"/>
          <w:szCs w:val="18"/>
        </w:rPr>
        <w:t>ember of the VS Group, each Affiliate thereof and each of their respective past, present and future directors, officers, employees and agents and the respective heirs, executors, administrators, successors and assigns of any of the foregoing (the “</w:t>
      </w:r>
      <w:r>
        <w:rPr>
          <w:rFonts w:ascii="Arial" w:eastAsia="Arial" w:hAnsi="Arial" w:cs="Arial"/>
          <w:b/>
          <w:bCs/>
          <w:sz w:val="18"/>
          <w:szCs w:val="18"/>
        </w:rPr>
        <w:t>VS Indem</w:t>
      </w:r>
      <w:r>
        <w:rPr>
          <w:rFonts w:ascii="Arial" w:eastAsia="Arial" w:hAnsi="Arial" w:cs="Arial"/>
          <w:b/>
          <w:bCs/>
          <w:sz w:val="18"/>
          <w:szCs w:val="18"/>
        </w:rPr>
        <w:t>nitees</w:t>
      </w:r>
      <w:r>
        <w:rPr>
          <w:rFonts w:ascii="Arial" w:eastAsia="Arial" w:hAnsi="Arial" w:cs="Arial"/>
          <w:sz w:val="18"/>
          <w:szCs w:val="18"/>
        </w:rPr>
        <w:t>”) from and against any and all Liabilities incurred or suffered by any of the VS Indemnitees and arising out of or in connection with (i) any of the L Brands Liabilities, or the failure of any member of the L Brands Group or any other Person to pay,</w:t>
      </w:r>
      <w:r>
        <w:rPr>
          <w:rFonts w:ascii="Arial" w:eastAsia="Arial" w:hAnsi="Arial" w:cs="Arial"/>
          <w:sz w:val="18"/>
          <w:szCs w:val="18"/>
        </w:rPr>
        <w:t xml:space="preserve"> perform or otherwise discharge any of the L Brands Liabilities, whether prior to, at or after the Distribution Time, (ii) the ownership or operation of the L Brands Business or the L Brands Assets on or after the Distribution Date, and (iii) any breach by</w:t>
      </w:r>
      <w:r>
        <w:rPr>
          <w:rFonts w:ascii="Arial" w:eastAsia="Arial" w:hAnsi="Arial" w:cs="Arial"/>
          <w:sz w:val="18"/>
          <w:szCs w:val="18"/>
        </w:rPr>
        <w:t xml:space="preserve"> L Brands or any member of the L Brands Group of this Agreement or any Ancillary Agreement.</w:t>
      </w:r>
    </w:p>
    <w:p w14:paraId="3051BCC7" w14:textId="77777777" w:rsidR="00D1587D" w:rsidRDefault="00D1587D">
      <w:pPr>
        <w:spacing w:line="192" w:lineRule="exact"/>
        <w:rPr>
          <w:sz w:val="20"/>
          <w:szCs w:val="20"/>
        </w:rPr>
      </w:pPr>
    </w:p>
    <w:p w14:paraId="4AC3F775" w14:textId="77777777" w:rsidR="00D1587D" w:rsidRDefault="00410D07">
      <w:pPr>
        <w:numPr>
          <w:ilvl w:val="0"/>
          <w:numId w:val="38"/>
        </w:numPr>
        <w:tabs>
          <w:tab w:val="left" w:pos="1367"/>
        </w:tabs>
        <w:spacing w:line="287" w:lineRule="auto"/>
        <w:ind w:firstLine="850"/>
        <w:rPr>
          <w:rFonts w:ascii="Arial" w:eastAsia="Arial" w:hAnsi="Arial" w:cs="Arial"/>
          <w:sz w:val="16"/>
          <w:szCs w:val="16"/>
        </w:rPr>
      </w:pPr>
      <w:r>
        <w:rPr>
          <w:rFonts w:ascii="Arial" w:eastAsia="Arial" w:hAnsi="Arial" w:cs="Arial"/>
          <w:sz w:val="16"/>
          <w:szCs w:val="16"/>
        </w:rPr>
        <w:t>Effective as of and after the Distribution Time, L Brands shall indemnify, defend and hold harmless each of the VS Indemnitees and each Person, if any, who control</w:t>
      </w:r>
      <w:r>
        <w:rPr>
          <w:rFonts w:ascii="Arial" w:eastAsia="Arial" w:hAnsi="Arial" w:cs="Arial"/>
          <w:sz w:val="16"/>
          <w:szCs w:val="16"/>
        </w:rPr>
        <w:t>s any VS Indemnitee within the meaning of either Section 15 of the Securities Act or Section 20 of the Exchange Act from and against any and all Liabilities caused by any untrue statement or alleged untrue statement of a material fact contained in the Form</w:t>
      </w:r>
      <w:r>
        <w:rPr>
          <w:rFonts w:ascii="Arial" w:eastAsia="Arial" w:hAnsi="Arial" w:cs="Arial"/>
          <w:sz w:val="16"/>
          <w:szCs w:val="16"/>
        </w:rPr>
        <w:t xml:space="preserve"> 10 or any amendment thereof, the Information Statement (as amended or supplemented), the Equity Compensation Registration Statement or any offering or marketing materials prepared in connection with the VS Financing Arrangements or caused by any omission </w:t>
      </w:r>
      <w:r>
        <w:rPr>
          <w:rFonts w:ascii="Arial" w:eastAsia="Arial" w:hAnsi="Arial" w:cs="Arial"/>
          <w:sz w:val="16"/>
          <w:szCs w:val="16"/>
        </w:rPr>
        <w:t>or alleged omission to state therein a material fact necessary to make the statements therein, in the light of the circumstances under which they were made, not misleading, in each case to the extent, but only to the extent, that such Liabilities are cause</w:t>
      </w:r>
      <w:r>
        <w:rPr>
          <w:rFonts w:ascii="Arial" w:eastAsia="Arial" w:hAnsi="Arial" w:cs="Arial"/>
          <w:sz w:val="16"/>
          <w:szCs w:val="16"/>
        </w:rPr>
        <w:t>d by any such untrue statement or omission or alleged untrue statement or omission based on information furnished by L Brands solely in respect of the L Brands Group and which information is set forth on Schedule 5.03(b), it being agreed that the statement</w:t>
      </w:r>
      <w:r>
        <w:rPr>
          <w:rFonts w:ascii="Arial" w:eastAsia="Arial" w:hAnsi="Arial" w:cs="Arial"/>
          <w:sz w:val="16"/>
          <w:szCs w:val="16"/>
        </w:rPr>
        <w:t>s set forth on Schedule 5.03(b) shall be the only information furnished by L Brands in respect of the L Brands Group in the Form 10, the Information Statement, the Equity Compensation Registration Statement or any offering or marketing materials prepared i</w:t>
      </w:r>
      <w:r>
        <w:rPr>
          <w:rFonts w:ascii="Arial" w:eastAsia="Arial" w:hAnsi="Arial" w:cs="Arial"/>
          <w:sz w:val="16"/>
          <w:szCs w:val="16"/>
        </w:rPr>
        <w:t>n connection with the VS Financing Arrangements, and all other information contained in the Form 10, the Information Statement, the Equity Compensation Registration Statement or any offering or marketing materials prepared in connection with the VS Financi</w:t>
      </w:r>
      <w:r>
        <w:rPr>
          <w:rFonts w:ascii="Arial" w:eastAsia="Arial" w:hAnsi="Arial" w:cs="Arial"/>
          <w:sz w:val="16"/>
          <w:szCs w:val="16"/>
        </w:rPr>
        <w:t>ng Arrangements shall be deemed to be information supplied by VS.</w:t>
      </w:r>
    </w:p>
    <w:p w14:paraId="5AF92330" w14:textId="77777777" w:rsidR="00D1587D" w:rsidRDefault="00D1587D">
      <w:pPr>
        <w:spacing w:line="154" w:lineRule="exact"/>
        <w:rPr>
          <w:sz w:val="20"/>
          <w:szCs w:val="20"/>
        </w:rPr>
      </w:pPr>
    </w:p>
    <w:p w14:paraId="22C7C08E" w14:textId="77777777" w:rsidR="00D1587D" w:rsidRDefault="00410D07">
      <w:pPr>
        <w:ind w:right="60"/>
        <w:jc w:val="center"/>
        <w:rPr>
          <w:sz w:val="20"/>
          <w:szCs w:val="20"/>
        </w:rPr>
      </w:pPr>
      <w:r>
        <w:rPr>
          <w:rFonts w:ascii="Arial" w:eastAsia="Arial" w:hAnsi="Arial" w:cs="Arial"/>
          <w:sz w:val="18"/>
          <w:szCs w:val="18"/>
        </w:rPr>
        <w:t>43</w:t>
      </w:r>
    </w:p>
    <w:p w14:paraId="6432D270" w14:textId="77777777" w:rsidR="00D1587D" w:rsidRDefault="00410D07">
      <w:pPr>
        <w:spacing w:line="20" w:lineRule="exact"/>
        <w:rPr>
          <w:sz w:val="20"/>
          <w:szCs w:val="20"/>
        </w:rPr>
      </w:pPr>
      <w:r>
        <w:rPr>
          <w:noProof/>
          <w:sz w:val="20"/>
          <w:szCs w:val="20"/>
        </w:rPr>
        <w:drawing>
          <wp:anchor distT="0" distB="0" distL="114300" distR="114300" simplePos="0" relativeHeight="251195392" behindDoc="1" locked="0" layoutInCell="0" allowOverlap="1" wp14:anchorId="647F4F1D" wp14:editId="030B0872">
            <wp:simplePos x="0" y="0"/>
            <wp:positionH relativeFrom="column">
              <wp:posOffset>5080</wp:posOffset>
            </wp:positionH>
            <wp:positionV relativeFrom="paragraph">
              <wp:posOffset>48895</wp:posOffset>
            </wp:positionV>
            <wp:extent cx="7132320" cy="1714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CBFFE23" w14:textId="77777777" w:rsidR="00D1587D" w:rsidRDefault="00D1587D">
      <w:pPr>
        <w:sectPr w:rsidR="00D1587D">
          <w:pgSz w:w="11900" w:h="16838"/>
          <w:pgMar w:top="125" w:right="339" w:bottom="1440" w:left="320" w:header="0" w:footer="0" w:gutter="0"/>
          <w:cols w:space="720" w:equalWidth="0">
            <w:col w:w="11240"/>
          </w:cols>
        </w:sectPr>
      </w:pPr>
    </w:p>
    <w:p w14:paraId="3C854A53" w14:textId="77777777" w:rsidR="00D1587D" w:rsidRDefault="00410D07">
      <w:pPr>
        <w:spacing w:line="277" w:lineRule="auto"/>
        <w:ind w:right="40" w:firstLine="873"/>
        <w:jc w:val="both"/>
        <w:rPr>
          <w:sz w:val="20"/>
          <w:szCs w:val="20"/>
        </w:rPr>
      </w:pPr>
      <w:bookmarkStart w:id="52" w:name="page53"/>
      <w:bookmarkEnd w:id="52"/>
      <w:r>
        <w:rPr>
          <w:rFonts w:ascii="Arial" w:eastAsia="Arial" w:hAnsi="Arial" w:cs="Arial"/>
          <w:sz w:val="17"/>
          <w:szCs w:val="17"/>
        </w:rPr>
        <w:t xml:space="preserve">Section 5.04. </w:t>
      </w:r>
      <w:r>
        <w:rPr>
          <w:rFonts w:ascii="Arial" w:eastAsia="Arial" w:hAnsi="Arial" w:cs="Arial"/>
          <w:i/>
          <w:iCs/>
          <w:sz w:val="17"/>
          <w:szCs w:val="17"/>
        </w:rPr>
        <w:t>Procedures</w:t>
      </w:r>
      <w:r>
        <w:rPr>
          <w:rFonts w:ascii="Arial" w:eastAsia="Arial" w:hAnsi="Arial" w:cs="Arial"/>
          <w:sz w:val="17"/>
          <w:szCs w:val="17"/>
        </w:rPr>
        <w:t>. (a) The Party seeking indemnification under Section 5.02 or Section 5.03 (the “</w:t>
      </w:r>
      <w:r>
        <w:rPr>
          <w:rFonts w:ascii="Arial" w:eastAsia="Arial" w:hAnsi="Arial" w:cs="Arial"/>
          <w:b/>
          <w:bCs/>
          <w:sz w:val="17"/>
          <w:szCs w:val="17"/>
        </w:rPr>
        <w:t>Indemnified Party</w:t>
      </w:r>
      <w:r>
        <w:rPr>
          <w:rFonts w:ascii="Arial" w:eastAsia="Arial" w:hAnsi="Arial" w:cs="Arial"/>
          <w:sz w:val="17"/>
          <w:szCs w:val="17"/>
        </w:rPr>
        <w:t xml:space="preserve">”) agrees to give prompt notice to the </w:t>
      </w:r>
      <w:r>
        <w:rPr>
          <w:rFonts w:ascii="Arial" w:eastAsia="Arial" w:hAnsi="Arial" w:cs="Arial"/>
          <w:sz w:val="17"/>
          <w:szCs w:val="17"/>
        </w:rPr>
        <w:t>Party against whom indemnity is sought (the “</w:t>
      </w:r>
      <w:r>
        <w:rPr>
          <w:rFonts w:ascii="Arial" w:eastAsia="Arial" w:hAnsi="Arial" w:cs="Arial"/>
          <w:b/>
          <w:bCs/>
          <w:sz w:val="17"/>
          <w:szCs w:val="17"/>
        </w:rPr>
        <w:t>Indemnifying Party</w:t>
      </w:r>
      <w:r>
        <w:rPr>
          <w:rFonts w:ascii="Arial" w:eastAsia="Arial" w:hAnsi="Arial" w:cs="Arial"/>
          <w:sz w:val="17"/>
          <w:szCs w:val="17"/>
        </w:rPr>
        <w:t>”) of the assertion of any claim, or the commencement of any suit, action or proceeding (each, a “</w:t>
      </w:r>
      <w:r>
        <w:rPr>
          <w:rFonts w:ascii="Arial" w:eastAsia="Arial" w:hAnsi="Arial" w:cs="Arial"/>
          <w:b/>
          <w:bCs/>
          <w:sz w:val="17"/>
          <w:szCs w:val="17"/>
        </w:rPr>
        <w:t>Claim</w:t>
      </w:r>
      <w:r>
        <w:rPr>
          <w:rFonts w:ascii="Arial" w:eastAsia="Arial" w:hAnsi="Arial" w:cs="Arial"/>
          <w:sz w:val="17"/>
          <w:szCs w:val="17"/>
        </w:rPr>
        <w:t xml:space="preserve">”) in respect of which indemnity may be sought hereunder and will provide the </w:t>
      </w:r>
      <w:r>
        <w:rPr>
          <w:rFonts w:ascii="Arial" w:eastAsia="Arial" w:hAnsi="Arial" w:cs="Arial"/>
          <w:sz w:val="17"/>
          <w:szCs w:val="17"/>
        </w:rPr>
        <w:t>Indemnifying Party such information with respect thereto that the Indemnifying Party may reasonably request. The failure to so notify the Indemnifying Party shall not relieve the Indemnifying Party of its obligations hereunder, except to the extent such fa</w:t>
      </w:r>
      <w:r>
        <w:rPr>
          <w:rFonts w:ascii="Arial" w:eastAsia="Arial" w:hAnsi="Arial" w:cs="Arial"/>
          <w:sz w:val="17"/>
          <w:szCs w:val="17"/>
        </w:rPr>
        <w:t>ilure shall have adversely prejudiced the Indemnifying Party.</w:t>
      </w:r>
    </w:p>
    <w:p w14:paraId="6081222D" w14:textId="77777777" w:rsidR="00D1587D" w:rsidRDefault="00D1587D">
      <w:pPr>
        <w:spacing w:line="172" w:lineRule="exact"/>
        <w:rPr>
          <w:sz w:val="20"/>
          <w:szCs w:val="20"/>
        </w:rPr>
      </w:pPr>
    </w:p>
    <w:p w14:paraId="5508F1E3" w14:textId="77777777" w:rsidR="00D1587D" w:rsidRDefault="00410D07">
      <w:pPr>
        <w:numPr>
          <w:ilvl w:val="0"/>
          <w:numId w:val="39"/>
        </w:numPr>
        <w:tabs>
          <w:tab w:val="left" w:pos="1364"/>
        </w:tabs>
        <w:spacing w:line="268" w:lineRule="auto"/>
        <w:ind w:firstLine="850"/>
        <w:rPr>
          <w:rFonts w:ascii="Arial" w:eastAsia="Arial" w:hAnsi="Arial" w:cs="Arial"/>
          <w:sz w:val="17"/>
          <w:szCs w:val="17"/>
        </w:rPr>
      </w:pPr>
      <w:r>
        <w:rPr>
          <w:rFonts w:ascii="Arial" w:eastAsia="Arial" w:hAnsi="Arial" w:cs="Arial"/>
          <w:sz w:val="17"/>
          <w:szCs w:val="17"/>
        </w:rPr>
        <w:t>The Indemnifying Party shall be entitled to participate in the defense of any Claim (other than any criminal Action or Action brought by a Governmental Authority) asserted by any Third Party (“</w:t>
      </w:r>
      <w:r>
        <w:rPr>
          <w:rFonts w:ascii="Arial" w:eastAsia="Arial" w:hAnsi="Arial" w:cs="Arial"/>
          <w:b/>
          <w:bCs/>
          <w:sz w:val="17"/>
          <w:szCs w:val="17"/>
        </w:rPr>
        <w:t>Third Party Claim</w:t>
      </w:r>
      <w:r>
        <w:rPr>
          <w:rFonts w:ascii="Arial" w:eastAsia="Arial" w:hAnsi="Arial" w:cs="Arial"/>
          <w:sz w:val="17"/>
          <w:szCs w:val="17"/>
        </w:rPr>
        <w:t>”) and, subject to the limitations set forth in this Section 5.04, if it so notifies the Indemnified Party no later than thirty (30) days after receipt of the notice described in Section 5.04(a), shall be entitled to control and appoint le</w:t>
      </w:r>
      <w:r>
        <w:rPr>
          <w:rFonts w:ascii="Arial" w:eastAsia="Arial" w:hAnsi="Arial" w:cs="Arial"/>
          <w:sz w:val="17"/>
          <w:szCs w:val="17"/>
        </w:rPr>
        <w:t xml:space="preserve">ad counsel for such defense (other than any criminal Action or Action brought by a Governmental Authority), in each case at its expense; </w:t>
      </w:r>
      <w:r>
        <w:rPr>
          <w:rFonts w:ascii="Arial" w:eastAsia="Arial" w:hAnsi="Arial" w:cs="Arial"/>
          <w:i/>
          <w:iCs/>
          <w:sz w:val="17"/>
          <w:szCs w:val="17"/>
        </w:rPr>
        <w:t>provided</w:t>
      </w:r>
      <w:r>
        <w:rPr>
          <w:rFonts w:ascii="Arial" w:eastAsia="Arial" w:hAnsi="Arial" w:cs="Arial"/>
          <w:sz w:val="17"/>
          <w:szCs w:val="17"/>
        </w:rPr>
        <w:t xml:space="preserve"> that, prior to the Indemnifying Party controlling the defense of such Third Party Claim, it shall first confir</w:t>
      </w:r>
      <w:r>
        <w:rPr>
          <w:rFonts w:ascii="Arial" w:eastAsia="Arial" w:hAnsi="Arial" w:cs="Arial"/>
          <w:sz w:val="17"/>
          <w:szCs w:val="17"/>
        </w:rPr>
        <w:t>m to the Indemnified Party in writing that, assuming the facts presented to the Indemnifying Party by the Indemnified Party are true, the Indemnifying Party shall indemnify the Indemnified Party for any such damages to the extent resulting from, or arising</w:t>
      </w:r>
      <w:r>
        <w:rPr>
          <w:rFonts w:ascii="Arial" w:eastAsia="Arial" w:hAnsi="Arial" w:cs="Arial"/>
          <w:sz w:val="17"/>
          <w:szCs w:val="17"/>
        </w:rPr>
        <w:t xml:space="preserve"> out of, such Third Party Claim. If the Indemnifying Party does not so notify the Indemnified Party, the Indemnified Party shall have the right to defend or contest such Third Party Claim through counsel chosen by the Indemnified Party that is reasonably a</w:t>
      </w:r>
      <w:r>
        <w:rPr>
          <w:rFonts w:ascii="Arial" w:eastAsia="Arial" w:hAnsi="Arial" w:cs="Arial"/>
          <w:sz w:val="17"/>
          <w:szCs w:val="17"/>
        </w:rPr>
        <w:t xml:space="preserve">cceptable to the Indemnifying Party, subject to the provisions of this Section 5.04, and if the Indemnifying Party has an indemnification obligation with respect to such Third Party Claim, then the Indemnifying Party shall be liable for all reasonable and </w:t>
      </w:r>
      <w:r>
        <w:rPr>
          <w:rFonts w:ascii="Arial" w:eastAsia="Arial" w:hAnsi="Arial" w:cs="Arial"/>
          <w:sz w:val="17"/>
          <w:szCs w:val="17"/>
        </w:rPr>
        <w:t>documented fees and expenses incurred by the Indemnified Party in connection with the defense of such Third Party Claim. If an Indemnifying Party has elected to control the defense of a Third Party Claim, then such Indemnifying Party shall be solely liable</w:t>
      </w:r>
      <w:r>
        <w:rPr>
          <w:rFonts w:ascii="Arial" w:eastAsia="Arial" w:hAnsi="Arial" w:cs="Arial"/>
          <w:sz w:val="17"/>
          <w:szCs w:val="17"/>
        </w:rPr>
        <w:t xml:space="preserve"> for all fees and expenses incurred by it in connection with the defense of such Third Party Claim and shall not be entitled to seek any indemnification or reimbursement from the Indemnified Party for any such fees or expenses incurred by the Indemnifying </w:t>
      </w:r>
      <w:r>
        <w:rPr>
          <w:rFonts w:ascii="Arial" w:eastAsia="Arial" w:hAnsi="Arial" w:cs="Arial"/>
          <w:sz w:val="17"/>
          <w:szCs w:val="17"/>
        </w:rPr>
        <w:t>Party during the course of the defense of such Third Party Claim by such Indemnifying Party, regardless of any subsequent decision by the Indemnifying Party to reject or otherwise abandon its assumption of such defense.</w:t>
      </w:r>
    </w:p>
    <w:p w14:paraId="53346DA0" w14:textId="77777777" w:rsidR="00D1587D" w:rsidRDefault="00D1587D">
      <w:pPr>
        <w:spacing w:line="168" w:lineRule="exact"/>
        <w:rPr>
          <w:sz w:val="20"/>
          <w:szCs w:val="20"/>
        </w:rPr>
      </w:pPr>
    </w:p>
    <w:p w14:paraId="1D5E7D00" w14:textId="77777777" w:rsidR="00D1587D" w:rsidRDefault="00410D07">
      <w:pPr>
        <w:jc w:val="center"/>
        <w:rPr>
          <w:sz w:val="20"/>
          <w:szCs w:val="20"/>
        </w:rPr>
      </w:pPr>
      <w:r>
        <w:rPr>
          <w:rFonts w:ascii="Arial" w:eastAsia="Arial" w:hAnsi="Arial" w:cs="Arial"/>
          <w:sz w:val="18"/>
          <w:szCs w:val="18"/>
        </w:rPr>
        <w:t>44</w:t>
      </w:r>
    </w:p>
    <w:p w14:paraId="4CEE35BA" w14:textId="77777777" w:rsidR="00D1587D" w:rsidRDefault="00410D07">
      <w:pPr>
        <w:spacing w:line="20" w:lineRule="exact"/>
        <w:rPr>
          <w:sz w:val="20"/>
          <w:szCs w:val="20"/>
        </w:rPr>
      </w:pPr>
      <w:r>
        <w:rPr>
          <w:noProof/>
          <w:sz w:val="20"/>
          <w:szCs w:val="20"/>
        </w:rPr>
        <w:drawing>
          <wp:anchor distT="0" distB="0" distL="114300" distR="114300" simplePos="0" relativeHeight="251196416" behindDoc="1" locked="0" layoutInCell="0" allowOverlap="1" wp14:anchorId="594FA905" wp14:editId="60141A14">
            <wp:simplePos x="0" y="0"/>
            <wp:positionH relativeFrom="column">
              <wp:posOffset>5080</wp:posOffset>
            </wp:positionH>
            <wp:positionV relativeFrom="paragraph">
              <wp:posOffset>48895</wp:posOffset>
            </wp:positionV>
            <wp:extent cx="7132320" cy="1714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98FFA68" w14:textId="77777777" w:rsidR="00D1587D" w:rsidRDefault="00D1587D">
      <w:pPr>
        <w:sectPr w:rsidR="00D1587D">
          <w:pgSz w:w="11900" w:h="16838"/>
          <w:pgMar w:top="337" w:right="399" w:bottom="1440" w:left="320" w:header="0" w:footer="0" w:gutter="0"/>
          <w:cols w:space="720" w:equalWidth="0">
            <w:col w:w="11180"/>
          </w:cols>
        </w:sectPr>
      </w:pPr>
    </w:p>
    <w:p w14:paraId="53865FD1" w14:textId="77777777" w:rsidR="00D1587D" w:rsidRDefault="00410D07">
      <w:pPr>
        <w:numPr>
          <w:ilvl w:val="0"/>
          <w:numId w:val="40"/>
        </w:numPr>
        <w:tabs>
          <w:tab w:val="left" w:pos="1357"/>
        </w:tabs>
        <w:spacing w:line="253" w:lineRule="auto"/>
        <w:ind w:firstLine="850"/>
        <w:rPr>
          <w:rFonts w:ascii="Arial" w:eastAsia="Arial" w:hAnsi="Arial" w:cs="Arial"/>
          <w:sz w:val="18"/>
          <w:szCs w:val="18"/>
        </w:rPr>
      </w:pPr>
      <w:bookmarkStart w:id="53" w:name="page54"/>
      <w:bookmarkEnd w:id="53"/>
      <w:r>
        <w:rPr>
          <w:rFonts w:ascii="Arial" w:eastAsia="Arial" w:hAnsi="Arial" w:cs="Arial"/>
          <w:sz w:val="18"/>
          <w:szCs w:val="18"/>
        </w:rPr>
        <w:t>If the Ind</w:t>
      </w:r>
      <w:r>
        <w:rPr>
          <w:rFonts w:ascii="Arial" w:eastAsia="Arial" w:hAnsi="Arial" w:cs="Arial"/>
          <w:sz w:val="18"/>
          <w:szCs w:val="18"/>
        </w:rPr>
        <w:t>emnifying Party shall assume the control of the defense of any Third Party Claim in accordance with the provisions of Section 5.04(b), (i) the Indemnifying Party shall obtain the prior written consent of the Indemnified Party (which shall not be unreasonab</w:t>
      </w:r>
      <w:r>
        <w:rPr>
          <w:rFonts w:ascii="Arial" w:eastAsia="Arial" w:hAnsi="Arial" w:cs="Arial"/>
          <w:sz w:val="18"/>
          <w:szCs w:val="18"/>
        </w:rPr>
        <w:t>ly withheld, conditioned or delayed) before entering into any settlement of such Third Party Claim, if the settlement does not release the Indemnified Party from all Liabilities and obligations with respect to such Third Party Claim or the settlement impos</w:t>
      </w:r>
      <w:r>
        <w:rPr>
          <w:rFonts w:ascii="Arial" w:eastAsia="Arial" w:hAnsi="Arial" w:cs="Arial"/>
          <w:sz w:val="18"/>
          <w:szCs w:val="18"/>
        </w:rPr>
        <w:t>es injunctive or other equitable relief against the Indemnified Party or any of its related Indemnitees or is otherwise materially prejudicial to any such Person and (ii) the Indemnified Party shall be entitled to participate in (but not control) the defen</w:t>
      </w:r>
      <w:r>
        <w:rPr>
          <w:rFonts w:ascii="Arial" w:eastAsia="Arial" w:hAnsi="Arial" w:cs="Arial"/>
          <w:sz w:val="18"/>
          <w:szCs w:val="18"/>
        </w:rPr>
        <w:t xml:space="preserve">se of such Third Party Claim and, at its own expense, to employ separate counsel (including local counsel as necessary) of its choice for such purpose; </w:t>
      </w:r>
      <w:r>
        <w:rPr>
          <w:rFonts w:ascii="Arial" w:eastAsia="Arial" w:hAnsi="Arial" w:cs="Arial"/>
          <w:i/>
          <w:iCs/>
          <w:sz w:val="18"/>
          <w:szCs w:val="18"/>
        </w:rPr>
        <w:t>provided</w:t>
      </w:r>
      <w:r>
        <w:rPr>
          <w:rFonts w:ascii="Arial" w:eastAsia="Arial" w:hAnsi="Arial" w:cs="Arial"/>
          <w:sz w:val="18"/>
          <w:szCs w:val="18"/>
        </w:rPr>
        <w:t xml:space="preserve"> that (A) in the event of a conflict of interest between the Indemnifying Party and the applicab</w:t>
      </w:r>
      <w:r>
        <w:rPr>
          <w:rFonts w:ascii="Arial" w:eastAsia="Arial" w:hAnsi="Arial" w:cs="Arial"/>
          <w:sz w:val="18"/>
          <w:szCs w:val="18"/>
        </w:rPr>
        <w:t xml:space="preserve">le Indemnified Party, the reasonable and documented fees and expenses of such separate counsel (including local counsel as necessary) shall be at the Indemnifying Party’s expense, and (B) the members of the VS Group shall not be entitled to participate in </w:t>
      </w:r>
      <w:r>
        <w:rPr>
          <w:rFonts w:ascii="Arial" w:eastAsia="Arial" w:hAnsi="Arial" w:cs="Arial"/>
          <w:sz w:val="18"/>
          <w:szCs w:val="18"/>
        </w:rPr>
        <w:t>the defense of any Third Party Claim to the extent relating to the matters set forth on Schedule 5.04(c).</w:t>
      </w:r>
    </w:p>
    <w:p w14:paraId="6516AE50" w14:textId="77777777" w:rsidR="00D1587D" w:rsidRDefault="00D1587D">
      <w:pPr>
        <w:spacing w:line="194" w:lineRule="exact"/>
        <w:rPr>
          <w:rFonts w:ascii="Arial" w:eastAsia="Arial" w:hAnsi="Arial" w:cs="Arial"/>
          <w:sz w:val="18"/>
          <w:szCs w:val="18"/>
        </w:rPr>
      </w:pPr>
    </w:p>
    <w:p w14:paraId="322A27A7" w14:textId="77777777" w:rsidR="00D1587D" w:rsidRDefault="00410D07">
      <w:pPr>
        <w:numPr>
          <w:ilvl w:val="0"/>
          <w:numId w:val="40"/>
        </w:numPr>
        <w:tabs>
          <w:tab w:val="left" w:pos="1367"/>
        </w:tabs>
        <w:spacing w:line="263" w:lineRule="auto"/>
        <w:ind w:right="40" w:firstLine="850"/>
        <w:rPr>
          <w:rFonts w:ascii="Arial" w:eastAsia="Arial" w:hAnsi="Arial" w:cs="Arial"/>
          <w:sz w:val="18"/>
          <w:szCs w:val="18"/>
        </w:rPr>
      </w:pPr>
      <w:r>
        <w:rPr>
          <w:rFonts w:ascii="Arial" w:eastAsia="Arial" w:hAnsi="Arial" w:cs="Arial"/>
          <w:sz w:val="18"/>
          <w:szCs w:val="18"/>
        </w:rPr>
        <w:t>Each Party shall cooperate, and cause their respective Affiliates to cooperate, in the defense or prosecution of any Third Party Claim and shall furn</w:t>
      </w:r>
      <w:r>
        <w:rPr>
          <w:rFonts w:ascii="Arial" w:eastAsia="Arial" w:hAnsi="Arial" w:cs="Arial"/>
          <w:sz w:val="18"/>
          <w:szCs w:val="18"/>
        </w:rPr>
        <w:t>ish or cause to be furnished such records, information and testimony, and attend such conferences, discovery proceedings, hearings, trials or appeals, as may be reasonably requested in connection therewith.</w:t>
      </w:r>
    </w:p>
    <w:p w14:paraId="163FFD6C" w14:textId="77777777" w:rsidR="00D1587D" w:rsidRDefault="00D1587D">
      <w:pPr>
        <w:spacing w:line="183" w:lineRule="exact"/>
        <w:rPr>
          <w:rFonts w:ascii="Arial" w:eastAsia="Arial" w:hAnsi="Arial" w:cs="Arial"/>
          <w:sz w:val="18"/>
          <w:szCs w:val="18"/>
        </w:rPr>
      </w:pPr>
    </w:p>
    <w:p w14:paraId="2FE9E437" w14:textId="77777777" w:rsidR="00D1587D" w:rsidRDefault="00410D07">
      <w:pPr>
        <w:numPr>
          <w:ilvl w:val="0"/>
          <w:numId w:val="40"/>
        </w:numPr>
        <w:tabs>
          <w:tab w:val="left" w:pos="1357"/>
        </w:tabs>
        <w:spacing w:line="254" w:lineRule="auto"/>
        <w:ind w:firstLine="850"/>
        <w:rPr>
          <w:rFonts w:ascii="Arial" w:eastAsia="Arial" w:hAnsi="Arial" w:cs="Arial"/>
          <w:sz w:val="18"/>
          <w:szCs w:val="18"/>
        </w:rPr>
      </w:pPr>
      <w:r>
        <w:rPr>
          <w:rFonts w:ascii="Arial" w:eastAsia="Arial" w:hAnsi="Arial" w:cs="Arial"/>
          <w:sz w:val="18"/>
          <w:szCs w:val="18"/>
        </w:rPr>
        <w:t>Each Indemnified Party shall use commercially re</w:t>
      </w:r>
      <w:r>
        <w:rPr>
          <w:rFonts w:ascii="Arial" w:eastAsia="Arial" w:hAnsi="Arial" w:cs="Arial"/>
          <w:sz w:val="18"/>
          <w:szCs w:val="18"/>
        </w:rPr>
        <w:t>asonable efforts to collect any amounts available under insurance coverage, or from any other Person alleged to be responsible, for any Liabilities payable under Section 5.02 or Section 5.03 and the reasonable expenses incurred in connection therewith will</w:t>
      </w:r>
      <w:r>
        <w:rPr>
          <w:rFonts w:ascii="Arial" w:eastAsia="Arial" w:hAnsi="Arial" w:cs="Arial"/>
          <w:sz w:val="18"/>
          <w:szCs w:val="18"/>
        </w:rPr>
        <w:t xml:space="preserve"> be treated as Liabilities subject to indemnification hereunder. Notwithstanding the foregoing, an Indemnifying Party may not delay making any indemnification payment required under the terms of this Agreement, or otherwise satisfying any indemnification o</w:t>
      </w:r>
      <w:r>
        <w:rPr>
          <w:rFonts w:ascii="Arial" w:eastAsia="Arial" w:hAnsi="Arial" w:cs="Arial"/>
          <w:sz w:val="18"/>
          <w:szCs w:val="18"/>
        </w:rPr>
        <w:t>bligation, pending the outcome of any Action to collect or recover any amounts available under insurance coverage, and an Indemnified Party need not attempt to collect any such amounts prior to making a claim for indemnification or contribution or receivin</w:t>
      </w:r>
      <w:r>
        <w:rPr>
          <w:rFonts w:ascii="Arial" w:eastAsia="Arial" w:hAnsi="Arial" w:cs="Arial"/>
          <w:sz w:val="18"/>
          <w:szCs w:val="18"/>
        </w:rPr>
        <w:t>g any payment otherwise owed to it under this Agreement or any Ancillary Agreement.</w:t>
      </w:r>
    </w:p>
    <w:p w14:paraId="3AE4CC80" w14:textId="77777777" w:rsidR="00D1587D" w:rsidRDefault="00D1587D">
      <w:pPr>
        <w:spacing w:line="194" w:lineRule="exact"/>
        <w:rPr>
          <w:rFonts w:ascii="Arial" w:eastAsia="Arial" w:hAnsi="Arial" w:cs="Arial"/>
          <w:sz w:val="18"/>
          <w:szCs w:val="18"/>
        </w:rPr>
      </w:pPr>
    </w:p>
    <w:p w14:paraId="76861F04" w14:textId="77777777" w:rsidR="00D1587D" w:rsidRDefault="00410D07">
      <w:pPr>
        <w:numPr>
          <w:ilvl w:val="0"/>
          <w:numId w:val="40"/>
        </w:numPr>
        <w:tabs>
          <w:tab w:val="left" w:pos="1337"/>
        </w:tabs>
        <w:spacing w:line="263" w:lineRule="auto"/>
        <w:ind w:right="60" w:firstLine="850"/>
        <w:rPr>
          <w:rFonts w:ascii="Arial" w:eastAsia="Arial" w:hAnsi="Arial" w:cs="Arial"/>
          <w:sz w:val="18"/>
          <w:szCs w:val="18"/>
        </w:rPr>
      </w:pPr>
      <w:r>
        <w:rPr>
          <w:rFonts w:ascii="Arial" w:eastAsia="Arial" w:hAnsi="Arial" w:cs="Arial"/>
          <w:sz w:val="18"/>
          <w:szCs w:val="18"/>
        </w:rPr>
        <w:t xml:space="preserve">In the event of any Action in which the Indemnifying Party is not also named defendant, at the request of either the Indemnified Party or the Indemnifying Party, the </w:t>
      </w:r>
      <w:r>
        <w:rPr>
          <w:rFonts w:ascii="Arial" w:eastAsia="Arial" w:hAnsi="Arial" w:cs="Arial"/>
          <w:sz w:val="18"/>
          <w:szCs w:val="18"/>
        </w:rPr>
        <w:t>Parties will use commercially reasonable efforts to substitute the Indemnifying Party or its applicable Affiliate for the named defendant in the Action.</w:t>
      </w:r>
    </w:p>
    <w:p w14:paraId="1260D876" w14:textId="77777777" w:rsidR="00D1587D" w:rsidRDefault="00D1587D">
      <w:pPr>
        <w:spacing w:line="170" w:lineRule="exact"/>
        <w:rPr>
          <w:sz w:val="20"/>
          <w:szCs w:val="20"/>
        </w:rPr>
      </w:pPr>
    </w:p>
    <w:p w14:paraId="285CF206" w14:textId="77777777" w:rsidR="00D1587D" w:rsidRDefault="00410D07">
      <w:pPr>
        <w:ind w:right="60"/>
        <w:jc w:val="center"/>
        <w:rPr>
          <w:sz w:val="20"/>
          <w:szCs w:val="20"/>
        </w:rPr>
      </w:pPr>
      <w:r>
        <w:rPr>
          <w:rFonts w:ascii="Arial" w:eastAsia="Arial" w:hAnsi="Arial" w:cs="Arial"/>
          <w:sz w:val="18"/>
          <w:szCs w:val="18"/>
        </w:rPr>
        <w:t>45</w:t>
      </w:r>
    </w:p>
    <w:p w14:paraId="10BD8AC7" w14:textId="77777777" w:rsidR="00D1587D" w:rsidRDefault="00410D07">
      <w:pPr>
        <w:spacing w:line="20" w:lineRule="exact"/>
        <w:rPr>
          <w:sz w:val="20"/>
          <w:szCs w:val="20"/>
        </w:rPr>
      </w:pPr>
      <w:r>
        <w:rPr>
          <w:noProof/>
          <w:sz w:val="20"/>
          <w:szCs w:val="20"/>
        </w:rPr>
        <w:drawing>
          <wp:anchor distT="0" distB="0" distL="114300" distR="114300" simplePos="0" relativeHeight="251197440" behindDoc="1" locked="0" layoutInCell="0" allowOverlap="1" wp14:anchorId="7E396C5F" wp14:editId="7BFF630E">
            <wp:simplePos x="0" y="0"/>
            <wp:positionH relativeFrom="column">
              <wp:posOffset>5080</wp:posOffset>
            </wp:positionH>
            <wp:positionV relativeFrom="paragraph">
              <wp:posOffset>48895</wp:posOffset>
            </wp:positionV>
            <wp:extent cx="7132320" cy="1714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281A96B" w14:textId="77777777" w:rsidR="00D1587D" w:rsidRDefault="00D1587D">
      <w:pPr>
        <w:sectPr w:rsidR="00D1587D">
          <w:pgSz w:w="11900" w:h="16838"/>
          <w:pgMar w:top="341" w:right="339" w:bottom="1440" w:left="320" w:header="0" w:footer="0" w:gutter="0"/>
          <w:cols w:space="720" w:equalWidth="0">
            <w:col w:w="11240"/>
          </w:cols>
        </w:sectPr>
      </w:pPr>
    </w:p>
    <w:p w14:paraId="534D3F64" w14:textId="77777777" w:rsidR="00D1587D" w:rsidRDefault="00410D07">
      <w:pPr>
        <w:spacing w:line="269" w:lineRule="auto"/>
        <w:ind w:firstLine="873"/>
        <w:rPr>
          <w:sz w:val="20"/>
          <w:szCs w:val="20"/>
        </w:rPr>
      </w:pPr>
      <w:bookmarkStart w:id="54" w:name="page55"/>
      <w:bookmarkEnd w:id="54"/>
      <w:r>
        <w:rPr>
          <w:rFonts w:ascii="Arial" w:eastAsia="Arial" w:hAnsi="Arial" w:cs="Arial"/>
          <w:sz w:val="17"/>
          <w:szCs w:val="17"/>
        </w:rPr>
        <w:t>Section 5.05</w:t>
      </w:r>
      <w:r>
        <w:rPr>
          <w:rFonts w:ascii="Arial" w:eastAsia="Arial" w:hAnsi="Arial" w:cs="Arial"/>
          <w:i/>
          <w:iCs/>
          <w:sz w:val="17"/>
          <w:szCs w:val="17"/>
        </w:rPr>
        <w:t>. Calculation of Indemnification Amount.</w:t>
      </w:r>
      <w:r>
        <w:rPr>
          <w:rFonts w:ascii="Arial" w:eastAsia="Arial" w:hAnsi="Arial" w:cs="Arial"/>
          <w:sz w:val="17"/>
          <w:szCs w:val="17"/>
        </w:rPr>
        <w:t xml:space="preserve"> Any indemnification amou</w:t>
      </w:r>
      <w:r>
        <w:rPr>
          <w:rFonts w:ascii="Arial" w:eastAsia="Arial" w:hAnsi="Arial" w:cs="Arial"/>
          <w:sz w:val="17"/>
          <w:szCs w:val="17"/>
        </w:rPr>
        <w:t xml:space="preserve">nt pursuant to Section 5.02 or Section 5.03 shall be paid (i) net of any amounts actually recovered (net of any out-of-pocket costs or expenses incurred in the collection thereof) by the Indemnified Party under applicable Third Party insurance policies or </w:t>
      </w:r>
      <w:r>
        <w:rPr>
          <w:rFonts w:ascii="Arial" w:eastAsia="Arial" w:hAnsi="Arial" w:cs="Arial"/>
          <w:sz w:val="17"/>
          <w:szCs w:val="17"/>
        </w:rPr>
        <w:t>from any other Third Party alleged to be responsible therefor, and (ii) taking into account any Tax Benefit allowable to the Indemnified Party (using the methodology set forth in Section 11(d) of the Tax Matters Agreement to determine the amount of any suc</w:t>
      </w:r>
      <w:r>
        <w:rPr>
          <w:rFonts w:ascii="Arial" w:eastAsia="Arial" w:hAnsi="Arial" w:cs="Arial"/>
          <w:sz w:val="17"/>
          <w:szCs w:val="17"/>
        </w:rPr>
        <w:t>h Tax Benefit) and any Tax cost incurred by the Indemnified Party arising from the incurrence or payment of the relevant Liabilities. L Brands and VS agree that, for United States federal income tax purposes, any payment made pursuant to this Article 5 wil</w:t>
      </w:r>
      <w:r>
        <w:rPr>
          <w:rFonts w:ascii="Arial" w:eastAsia="Arial" w:hAnsi="Arial" w:cs="Arial"/>
          <w:sz w:val="17"/>
          <w:szCs w:val="17"/>
        </w:rPr>
        <w:t>l be treated as provided under Section 12(b) of the Tax Matters Agreement. If the Indemnified Party receives any amounts under applicable Third Party insurance policies, or from any other Third Party alleged to be responsible for any Liabilities, subsequen</w:t>
      </w:r>
      <w:r>
        <w:rPr>
          <w:rFonts w:ascii="Arial" w:eastAsia="Arial" w:hAnsi="Arial" w:cs="Arial"/>
          <w:sz w:val="17"/>
          <w:szCs w:val="17"/>
        </w:rPr>
        <w:t>t to an indemnification payment by the Indemnifying Party in respect thereof, then such Indemnified Party shall promptly reimburse the Indemnifying Party for any payment made by such Indemnifying Party in respect thereof up to the amount received (net of a</w:t>
      </w:r>
      <w:r>
        <w:rPr>
          <w:rFonts w:ascii="Arial" w:eastAsia="Arial" w:hAnsi="Arial" w:cs="Arial"/>
          <w:sz w:val="17"/>
          <w:szCs w:val="17"/>
        </w:rPr>
        <w:t>ny out-of-pocket costs or expenses incurred in the collection thereof) by the Indemnified Party from such Third Party insurance policy or Third Party, as applicable.</w:t>
      </w:r>
    </w:p>
    <w:p w14:paraId="5585D125" w14:textId="77777777" w:rsidR="00D1587D" w:rsidRDefault="00D1587D">
      <w:pPr>
        <w:spacing w:line="182" w:lineRule="exact"/>
        <w:rPr>
          <w:sz w:val="20"/>
          <w:szCs w:val="20"/>
        </w:rPr>
      </w:pPr>
    </w:p>
    <w:p w14:paraId="09B54EEA" w14:textId="77777777" w:rsidR="00D1587D" w:rsidRDefault="00410D07">
      <w:pPr>
        <w:spacing w:line="269" w:lineRule="auto"/>
        <w:ind w:right="20" w:firstLine="873"/>
        <w:rPr>
          <w:sz w:val="20"/>
          <w:szCs w:val="20"/>
        </w:rPr>
      </w:pPr>
      <w:r>
        <w:rPr>
          <w:rFonts w:ascii="Arial" w:eastAsia="Arial" w:hAnsi="Arial" w:cs="Arial"/>
          <w:sz w:val="17"/>
          <w:szCs w:val="17"/>
        </w:rPr>
        <w:t xml:space="preserve">Section 5.06. </w:t>
      </w:r>
      <w:r>
        <w:rPr>
          <w:rFonts w:ascii="Arial" w:eastAsia="Arial" w:hAnsi="Arial" w:cs="Arial"/>
          <w:i/>
          <w:iCs/>
          <w:sz w:val="17"/>
          <w:szCs w:val="17"/>
        </w:rPr>
        <w:t>Contribution</w:t>
      </w:r>
      <w:r>
        <w:rPr>
          <w:rFonts w:ascii="Arial" w:eastAsia="Arial" w:hAnsi="Arial" w:cs="Arial"/>
          <w:sz w:val="17"/>
          <w:szCs w:val="17"/>
        </w:rPr>
        <w:t>. If for any reason the indemnification provided for in Section</w:t>
      </w:r>
      <w:r>
        <w:rPr>
          <w:rFonts w:ascii="Arial" w:eastAsia="Arial" w:hAnsi="Arial" w:cs="Arial"/>
          <w:sz w:val="17"/>
          <w:szCs w:val="17"/>
        </w:rPr>
        <w:t xml:space="preserve"> 5.02 or Section 5.03 is held to be unenforceable or is unavailable to any Indemnified Party, or insufficient to hold it harmless, then the Indemnifying Party shall contribute to the amount paid or payable by such Indemnified Party as a result of such Liab</w:t>
      </w:r>
      <w:r>
        <w:rPr>
          <w:rFonts w:ascii="Arial" w:eastAsia="Arial" w:hAnsi="Arial" w:cs="Arial"/>
          <w:sz w:val="17"/>
          <w:szCs w:val="17"/>
        </w:rPr>
        <w:t xml:space="preserve">ilities in such proportion as is appropriate to reflect the relative fault of the L Brands Group, on the one hand, and the VS Group, on the other hand, in connection with the conduct, statement or omission that resulted in such Liabilities. In case of any </w:t>
      </w:r>
      <w:r>
        <w:rPr>
          <w:rFonts w:ascii="Arial" w:eastAsia="Arial" w:hAnsi="Arial" w:cs="Arial"/>
          <w:sz w:val="17"/>
          <w:szCs w:val="17"/>
        </w:rPr>
        <w:t>Liabilities arising out of or related to information contained in the Form 10 or any amendment thereof, the Information Statement (as amended or supplemented), the Equity Compensation Registration Statement or any offering or marketing materials prepared i</w:t>
      </w:r>
      <w:r>
        <w:rPr>
          <w:rFonts w:ascii="Arial" w:eastAsia="Arial" w:hAnsi="Arial" w:cs="Arial"/>
          <w:sz w:val="17"/>
          <w:szCs w:val="17"/>
        </w:rPr>
        <w:t>n connection with the VS Financing Arrangements, the relative fault of the L Brands Group, on the one hand, and the VS Group, on the other hand, shall be determined by reference to, among other things, whether the untrue statement or alleged untrue stateme</w:t>
      </w:r>
      <w:r>
        <w:rPr>
          <w:rFonts w:ascii="Arial" w:eastAsia="Arial" w:hAnsi="Arial" w:cs="Arial"/>
          <w:sz w:val="17"/>
          <w:szCs w:val="17"/>
        </w:rPr>
        <w:t>nt of a material fact or the omission or alleged omission of a material fact relates to information supplied by VS or any member of its Group, on the one hand, or L Brands or any member of its Group (but solely to the extent such information is set forth o</w:t>
      </w:r>
      <w:r>
        <w:rPr>
          <w:rFonts w:ascii="Arial" w:eastAsia="Arial" w:hAnsi="Arial" w:cs="Arial"/>
          <w:sz w:val="17"/>
          <w:szCs w:val="17"/>
        </w:rPr>
        <w:t>n Schedule 5.03(b)), on the other hand.</w:t>
      </w:r>
    </w:p>
    <w:p w14:paraId="0BA10BA7" w14:textId="77777777" w:rsidR="00D1587D" w:rsidRDefault="00D1587D">
      <w:pPr>
        <w:spacing w:line="185" w:lineRule="exact"/>
        <w:rPr>
          <w:sz w:val="20"/>
          <w:szCs w:val="20"/>
        </w:rPr>
      </w:pPr>
    </w:p>
    <w:p w14:paraId="3C48B253" w14:textId="77777777" w:rsidR="00D1587D" w:rsidRDefault="00410D07">
      <w:pPr>
        <w:spacing w:line="286" w:lineRule="auto"/>
        <w:ind w:right="160" w:firstLine="873"/>
        <w:rPr>
          <w:sz w:val="20"/>
          <w:szCs w:val="20"/>
        </w:rPr>
      </w:pPr>
      <w:r>
        <w:rPr>
          <w:rFonts w:ascii="Arial" w:eastAsia="Arial" w:hAnsi="Arial" w:cs="Arial"/>
          <w:sz w:val="17"/>
          <w:szCs w:val="17"/>
        </w:rPr>
        <w:t xml:space="preserve">Section 5.07. </w:t>
      </w:r>
      <w:r>
        <w:rPr>
          <w:rFonts w:ascii="Arial" w:eastAsia="Arial" w:hAnsi="Arial" w:cs="Arial"/>
          <w:i/>
          <w:iCs/>
          <w:sz w:val="17"/>
          <w:szCs w:val="17"/>
        </w:rPr>
        <w:t>Non-Exclusivity of Remedies</w:t>
      </w:r>
      <w:r>
        <w:rPr>
          <w:rFonts w:ascii="Arial" w:eastAsia="Arial" w:hAnsi="Arial" w:cs="Arial"/>
          <w:sz w:val="17"/>
          <w:szCs w:val="17"/>
        </w:rPr>
        <w:t xml:space="preserve">. Subject to Section 5.01, the remedies provided for in this Article 5 are not exclusive and shall not limit any rights or remedies which may otherwise be available to any Indemnified Party at law or in equity; </w:t>
      </w:r>
      <w:r>
        <w:rPr>
          <w:rFonts w:ascii="Arial" w:eastAsia="Arial" w:hAnsi="Arial" w:cs="Arial"/>
          <w:i/>
          <w:iCs/>
          <w:sz w:val="17"/>
          <w:szCs w:val="17"/>
        </w:rPr>
        <w:t>provided</w:t>
      </w:r>
      <w:r>
        <w:rPr>
          <w:rFonts w:ascii="Arial" w:eastAsia="Arial" w:hAnsi="Arial" w:cs="Arial"/>
          <w:sz w:val="17"/>
          <w:szCs w:val="17"/>
        </w:rPr>
        <w:t xml:space="preserve"> that the procedures set forth in Sec</w:t>
      </w:r>
      <w:r>
        <w:rPr>
          <w:rFonts w:ascii="Arial" w:eastAsia="Arial" w:hAnsi="Arial" w:cs="Arial"/>
          <w:sz w:val="17"/>
          <w:szCs w:val="17"/>
        </w:rPr>
        <w:t>tions 5.04 and 5.05 shall be the exclusive procedures governing any indemnity action brought under this Agreement.</w:t>
      </w:r>
    </w:p>
    <w:p w14:paraId="4BEDFDE2" w14:textId="77777777" w:rsidR="00D1587D" w:rsidRDefault="00D1587D">
      <w:pPr>
        <w:spacing w:line="165" w:lineRule="exact"/>
        <w:rPr>
          <w:sz w:val="20"/>
          <w:szCs w:val="20"/>
        </w:rPr>
      </w:pPr>
    </w:p>
    <w:p w14:paraId="043197E1" w14:textId="77777777" w:rsidR="00D1587D" w:rsidRDefault="00410D07">
      <w:pPr>
        <w:spacing w:line="286" w:lineRule="auto"/>
        <w:ind w:right="140" w:firstLine="873"/>
        <w:rPr>
          <w:sz w:val="20"/>
          <w:szCs w:val="20"/>
        </w:rPr>
      </w:pPr>
      <w:r>
        <w:rPr>
          <w:rFonts w:ascii="Arial" w:eastAsia="Arial" w:hAnsi="Arial" w:cs="Arial"/>
          <w:sz w:val="17"/>
          <w:szCs w:val="17"/>
        </w:rPr>
        <w:t xml:space="preserve">Section 5.08. </w:t>
      </w:r>
      <w:r>
        <w:rPr>
          <w:rFonts w:ascii="Arial" w:eastAsia="Arial" w:hAnsi="Arial" w:cs="Arial"/>
          <w:i/>
          <w:iCs/>
          <w:sz w:val="17"/>
          <w:szCs w:val="17"/>
        </w:rPr>
        <w:t>Survival of Indemnities.</w:t>
      </w:r>
      <w:r>
        <w:rPr>
          <w:rFonts w:ascii="Arial" w:eastAsia="Arial" w:hAnsi="Arial" w:cs="Arial"/>
          <w:sz w:val="17"/>
          <w:szCs w:val="17"/>
        </w:rPr>
        <w:t xml:space="preserve"> The rights and obligations of any Indemnified Party or Indemnifying Party under this Article 5 shall </w:t>
      </w:r>
      <w:r>
        <w:rPr>
          <w:rFonts w:ascii="Arial" w:eastAsia="Arial" w:hAnsi="Arial" w:cs="Arial"/>
          <w:sz w:val="17"/>
          <w:szCs w:val="17"/>
        </w:rPr>
        <w:t>survive the sale or other transfer of any Party or any member of its Group of any of its assets, business or liabilities or any merger, consolidation, business combination, restructuring, recapitalization, reorganization or similar transaction involving ei</w:t>
      </w:r>
      <w:r>
        <w:rPr>
          <w:rFonts w:ascii="Arial" w:eastAsia="Arial" w:hAnsi="Arial" w:cs="Arial"/>
          <w:sz w:val="17"/>
          <w:szCs w:val="17"/>
        </w:rPr>
        <w:t>ther Party or any member of its Group.</w:t>
      </w:r>
    </w:p>
    <w:p w14:paraId="7D9C3EDE" w14:textId="77777777" w:rsidR="00D1587D" w:rsidRDefault="00D1587D">
      <w:pPr>
        <w:spacing w:line="152" w:lineRule="exact"/>
        <w:rPr>
          <w:sz w:val="20"/>
          <w:szCs w:val="20"/>
        </w:rPr>
      </w:pPr>
    </w:p>
    <w:p w14:paraId="6E24CA53" w14:textId="77777777" w:rsidR="00D1587D" w:rsidRDefault="00410D07">
      <w:pPr>
        <w:ind w:right="60"/>
        <w:jc w:val="center"/>
        <w:rPr>
          <w:sz w:val="20"/>
          <w:szCs w:val="20"/>
        </w:rPr>
      </w:pPr>
      <w:r>
        <w:rPr>
          <w:rFonts w:ascii="Arial" w:eastAsia="Arial" w:hAnsi="Arial" w:cs="Arial"/>
          <w:sz w:val="18"/>
          <w:szCs w:val="18"/>
        </w:rPr>
        <w:t>46</w:t>
      </w:r>
    </w:p>
    <w:p w14:paraId="1472BFC7" w14:textId="77777777" w:rsidR="00D1587D" w:rsidRDefault="00410D07">
      <w:pPr>
        <w:spacing w:line="20" w:lineRule="exact"/>
        <w:rPr>
          <w:sz w:val="20"/>
          <w:szCs w:val="20"/>
        </w:rPr>
      </w:pPr>
      <w:r>
        <w:rPr>
          <w:noProof/>
          <w:sz w:val="20"/>
          <w:szCs w:val="20"/>
        </w:rPr>
        <w:drawing>
          <wp:anchor distT="0" distB="0" distL="114300" distR="114300" simplePos="0" relativeHeight="251198464" behindDoc="1" locked="0" layoutInCell="0" allowOverlap="1" wp14:anchorId="0F881BAE" wp14:editId="739AA4F8">
            <wp:simplePos x="0" y="0"/>
            <wp:positionH relativeFrom="column">
              <wp:posOffset>5080</wp:posOffset>
            </wp:positionH>
            <wp:positionV relativeFrom="paragraph">
              <wp:posOffset>48895</wp:posOffset>
            </wp:positionV>
            <wp:extent cx="7132320" cy="1714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133DEE2" w14:textId="77777777" w:rsidR="00D1587D" w:rsidRDefault="00D1587D">
      <w:pPr>
        <w:sectPr w:rsidR="00D1587D">
          <w:pgSz w:w="11900" w:h="16838"/>
          <w:pgMar w:top="341" w:right="339" w:bottom="1440" w:left="320" w:header="0" w:footer="0" w:gutter="0"/>
          <w:cols w:space="720" w:equalWidth="0">
            <w:col w:w="11240"/>
          </w:cols>
        </w:sectPr>
      </w:pPr>
    </w:p>
    <w:p w14:paraId="0DFA3050" w14:textId="77777777" w:rsidR="00D1587D" w:rsidRDefault="00410D07">
      <w:pPr>
        <w:spacing w:line="286" w:lineRule="auto"/>
        <w:ind w:firstLine="873"/>
        <w:rPr>
          <w:sz w:val="20"/>
          <w:szCs w:val="20"/>
        </w:rPr>
      </w:pPr>
      <w:bookmarkStart w:id="55" w:name="page56"/>
      <w:bookmarkEnd w:id="55"/>
      <w:r>
        <w:rPr>
          <w:rFonts w:ascii="Arial" w:eastAsia="Arial" w:hAnsi="Arial" w:cs="Arial"/>
          <w:sz w:val="17"/>
          <w:szCs w:val="17"/>
        </w:rPr>
        <w:t xml:space="preserve">Section 5.09. </w:t>
      </w:r>
      <w:r>
        <w:rPr>
          <w:rFonts w:ascii="Arial" w:eastAsia="Arial" w:hAnsi="Arial" w:cs="Arial"/>
          <w:i/>
          <w:iCs/>
          <w:sz w:val="17"/>
          <w:szCs w:val="17"/>
        </w:rPr>
        <w:t>Ancillary Agreements</w:t>
      </w:r>
      <w:r>
        <w:rPr>
          <w:rFonts w:ascii="Arial" w:eastAsia="Arial" w:hAnsi="Arial" w:cs="Arial"/>
          <w:sz w:val="17"/>
          <w:szCs w:val="17"/>
        </w:rPr>
        <w:t xml:space="preserve">. If an indemnification claim is covered by the indemnification provisions of an Ancillary Agreement, the claim shall be made under the Ancillary </w:t>
      </w:r>
      <w:r>
        <w:rPr>
          <w:rFonts w:ascii="Arial" w:eastAsia="Arial" w:hAnsi="Arial" w:cs="Arial"/>
          <w:sz w:val="17"/>
          <w:szCs w:val="17"/>
        </w:rPr>
        <w:t>Agreement to the extent applicable and the provisions thereof shall govern such claim. In no event shall any Party be entitled to double recovery from the indemnification provisions of this Agreement and any Ancillary Agreement.</w:t>
      </w:r>
    </w:p>
    <w:p w14:paraId="521C26FB" w14:textId="77777777" w:rsidR="00D1587D" w:rsidRDefault="00D1587D">
      <w:pPr>
        <w:spacing w:line="165" w:lineRule="exact"/>
        <w:rPr>
          <w:sz w:val="20"/>
          <w:szCs w:val="20"/>
        </w:rPr>
      </w:pPr>
    </w:p>
    <w:p w14:paraId="1D1054AF" w14:textId="77777777" w:rsidR="00D1587D" w:rsidRDefault="00410D07">
      <w:pPr>
        <w:ind w:right="-119"/>
        <w:jc w:val="center"/>
        <w:rPr>
          <w:sz w:val="20"/>
          <w:szCs w:val="20"/>
        </w:rPr>
      </w:pPr>
      <w:r>
        <w:rPr>
          <w:rFonts w:ascii="Arial" w:eastAsia="Arial" w:hAnsi="Arial" w:cs="Arial"/>
          <w:sz w:val="18"/>
          <w:szCs w:val="18"/>
        </w:rPr>
        <w:t>ARTICLE 6</w:t>
      </w:r>
    </w:p>
    <w:p w14:paraId="168D8DD3" w14:textId="77777777" w:rsidR="00D1587D" w:rsidRDefault="00D1587D">
      <w:pPr>
        <w:spacing w:line="23" w:lineRule="exact"/>
        <w:rPr>
          <w:sz w:val="20"/>
          <w:szCs w:val="20"/>
        </w:rPr>
      </w:pPr>
    </w:p>
    <w:p w14:paraId="4F869FBC" w14:textId="77777777" w:rsidR="00D1587D" w:rsidRDefault="00410D07">
      <w:pPr>
        <w:ind w:right="-119"/>
        <w:jc w:val="center"/>
        <w:rPr>
          <w:sz w:val="20"/>
          <w:szCs w:val="20"/>
        </w:rPr>
      </w:pPr>
      <w:r>
        <w:rPr>
          <w:rFonts w:ascii="Arial" w:eastAsia="Arial" w:hAnsi="Arial" w:cs="Arial"/>
          <w:sz w:val="18"/>
          <w:szCs w:val="18"/>
        </w:rPr>
        <w:t>M</w:t>
      </w:r>
      <w:r>
        <w:rPr>
          <w:rFonts w:ascii="Arial" w:eastAsia="Arial" w:hAnsi="Arial" w:cs="Arial"/>
          <w:sz w:val="12"/>
          <w:szCs w:val="12"/>
        </w:rPr>
        <w:t>ISCELLANEOUS</w:t>
      </w:r>
    </w:p>
    <w:p w14:paraId="7AAABF18" w14:textId="77777777" w:rsidR="00D1587D" w:rsidRDefault="00D1587D">
      <w:pPr>
        <w:spacing w:line="211" w:lineRule="exact"/>
        <w:rPr>
          <w:sz w:val="20"/>
          <w:szCs w:val="20"/>
        </w:rPr>
      </w:pPr>
    </w:p>
    <w:p w14:paraId="0371E6B8" w14:textId="77777777" w:rsidR="00D1587D" w:rsidRDefault="00410D07">
      <w:pPr>
        <w:spacing w:line="277" w:lineRule="auto"/>
        <w:ind w:right="180" w:firstLine="873"/>
        <w:rPr>
          <w:sz w:val="20"/>
          <w:szCs w:val="20"/>
        </w:rPr>
      </w:pPr>
      <w:r>
        <w:rPr>
          <w:rFonts w:ascii="Arial" w:eastAsia="Arial" w:hAnsi="Arial" w:cs="Arial"/>
          <w:sz w:val="18"/>
          <w:szCs w:val="18"/>
        </w:rPr>
        <w:t>Section 6.01</w:t>
      </w:r>
      <w:r>
        <w:rPr>
          <w:rFonts w:ascii="Arial" w:eastAsia="Arial" w:hAnsi="Arial" w:cs="Arial"/>
          <w:i/>
          <w:iCs/>
          <w:sz w:val="18"/>
          <w:szCs w:val="18"/>
        </w:rPr>
        <w:t>. Notices.</w:t>
      </w:r>
      <w:r>
        <w:rPr>
          <w:rFonts w:ascii="Arial" w:eastAsia="Arial" w:hAnsi="Arial" w:cs="Arial"/>
          <w:sz w:val="18"/>
          <w:szCs w:val="18"/>
        </w:rPr>
        <w:t xml:space="preserve"> Any notice, instruction, direction or demand under the terms of this Agreement required to be in writing shall be duly given upon delivery, if delivered by hand, facsimile transmission, mail, or e-mail transmission to the following a</w:t>
      </w:r>
      <w:r>
        <w:rPr>
          <w:rFonts w:ascii="Arial" w:eastAsia="Arial" w:hAnsi="Arial" w:cs="Arial"/>
          <w:sz w:val="18"/>
          <w:szCs w:val="18"/>
        </w:rPr>
        <w:t>ddresses:</w:t>
      </w:r>
    </w:p>
    <w:p w14:paraId="43ACE301" w14:textId="77777777" w:rsidR="00D1587D" w:rsidRDefault="00D1587D">
      <w:pPr>
        <w:spacing w:line="170" w:lineRule="exact"/>
        <w:rPr>
          <w:sz w:val="20"/>
          <w:szCs w:val="20"/>
        </w:rPr>
      </w:pPr>
    </w:p>
    <w:p w14:paraId="5A8D861D" w14:textId="77777777" w:rsidR="00D1587D" w:rsidRDefault="00410D07">
      <w:pPr>
        <w:ind w:left="880"/>
        <w:rPr>
          <w:sz w:val="20"/>
          <w:szCs w:val="20"/>
        </w:rPr>
      </w:pPr>
      <w:r>
        <w:rPr>
          <w:rFonts w:ascii="Arial" w:eastAsia="Arial" w:hAnsi="Arial" w:cs="Arial"/>
          <w:sz w:val="18"/>
          <w:szCs w:val="18"/>
        </w:rPr>
        <w:t>If to L Brands to:</w:t>
      </w:r>
    </w:p>
    <w:p w14:paraId="025EDDD5" w14:textId="77777777" w:rsidR="00D1587D" w:rsidRDefault="00D1587D">
      <w:pPr>
        <w:spacing w:line="225" w:lineRule="exact"/>
        <w:rPr>
          <w:sz w:val="20"/>
          <w:szCs w:val="20"/>
        </w:rPr>
      </w:pPr>
    </w:p>
    <w:p w14:paraId="0C70D8F3" w14:textId="77777777" w:rsidR="00D1587D" w:rsidRDefault="00410D07">
      <w:pPr>
        <w:ind w:left="1300"/>
        <w:rPr>
          <w:sz w:val="20"/>
          <w:szCs w:val="20"/>
        </w:rPr>
      </w:pPr>
      <w:r>
        <w:rPr>
          <w:rFonts w:ascii="Arial" w:eastAsia="Arial" w:hAnsi="Arial" w:cs="Arial"/>
          <w:sz w:val="18"/>
          <w:szCs w:val="18"/>
        </w:rPr>
        <w:t>L Brands, Inc.</w:t>
      </w:r>
    </w:p>
    <w:p w14:paraId="603F87F8" w14:textId="77777777" w:rsidR="00D1587D" w:rsidRDefault="00D1587D">
      <w:pPr>
        <w:spacing w:line="23" w:lineRule="exact"/>
        <w:rPr>
          <w:sz w:val="20"/>
          <w:szCs w:val="20"/>
        </w:rPr>
      </w:pPr>
    </w:p>
    <w:p w14:paraId="00500D94" w14:textId="77777777" w:rsidR="00D1587D" w:rsidRDefault="00410D07">
      <w:pPr>
        <w:ind w:left="1300"/>
        <w:rPr>
          <w:sz w:val="20"/>
          <w:szCs w:val="20"/>
        </w:rPr>
      </w:pPr>
      <w:r>
        <w:rPr>
          <w:rFonts w:ascii="Arial" w:eastAsia="Arial" w:hAnsi="Arial" w:cs="Arial"/>
          <w:sz w:val="18"/>
          <w:szCs w:val="18"/>
        </w:rPr>
        <w:t>Three Limited Parkway</w:t>
      </w:r>
    </w:p>
    <w:p w14:paraId="1A259ED1" w14:textId="77777777" w:rsidR="00D1587D" w:rsidRDefault="00D1587D">
      <w:pPr>
        <w:spacing w:line="9" w:lineRule="exact"/>
        <w:rPr>
          <w:sz w:val="20"/>
          <w:szCs w:val="20"/>
        </w:rPr>
      </w:pPr>
    </w:p>
    <w:p w14:paraId="304A664F" w14:textId="77777777" w:rsidR="00D1587D" w:rsidRDefault="00410D07">
      <w:pPr>
        <w:ind w:left="1300"/>
        <w:rPr>
          <w:sz w:val="20"/>
          <w:szCs w:val="20"/>
        </w:rPr>
      </w:pPr>
      <w:r>
        <w:rPr>
          <w:rFonts w:ascii="Arial" w:eastAsia="Arial" w:hAnsi="Arial" w:cs="Arial"/>
          <w:sz w:val="18"/>
          <w:szCs w:val="18"/>
        </w:rPr>
        <w:t>Columbus, Ohio 43230</w:t>
      </w:r>
    </w:p>
    <w:p w14:paraId="3143B741" w14:textId="77777777" w:rsidR="00D1587D" w:rsidRDefault="00D1587D">
      <w:pPr>
        <w:spacing w:line="9" w:lineRule="exact"/>
        <w:rPr>
          <w:sz w:val="20"/>
          <w:szCs w:val="20"/>
        </w:rPr>
      </w:pPr>
    </w:p>
    <w:p w14:paraId="0DD9FA67" w14:textId="77777777" w:rsidR="00D1587D" w:rsidRDefault="00410D07">
      <w:pPr>
        <w:ind w:left="1300"/>
        <w:rPr>
          <w:sz w:val="20"/>
          <w:szCs w:val="20"/>
        </w:rPr>
      </w:pPr>
      <w:r>
        <w:rPr>
          <w:rFonts w:ascii="Arial" w:eastAsia="Arial" w:hAnsi="Arial" w:cs="Arial"/>
          <w:sz w:val="18"/>
          <w:szCs w:val="18"/>
        </w:rPr>
        <w:t>Attn: Michael Wu</w:t>
      </w:r>
    </w:p>
    <w:p w14:paraId="7E680753" w14:textId="77777777" w:rsidR="00D1587D" w:rsidRDefault="00D1587D">
      <w:pPr>
        <w:spacing w:line="9" w:lineRule="exact"/>
        <w:rPr>
          <w:sz w:val="20"/>
          <w:szCs w:val="20"/>
        </w:rPr>
      </w:pPr>
    </w:p>
    <w:p w14:paraId="77EDE70C" w14:textId="77777777" w:rsidR="00D1587D" w:rsidRDefault="00410D07">
      <w:pPr>
        <w:ind w:left="1700"/>
        <w:rPr>
          <w:sz w:val="20"/>
          <w:szCs w:val="20"/>
        </w:rPr>
      </w:pPr>
      <w:r>
        <w:rPr>
          <w:rFonts w:ascii="Arial" w:eastAsia="Arial" w:hAnsi="Arial" w:cs="Arial"/>
          <w:sz w:val="18"/>
          <w:szCs w:val="18"/>
        </w:rPr>
        <w:t>Tim Faber</w:t>
      </w:r>
    </w:p>
    <w:p w14:paraId="7CC5A6C6" w14:textId="77777777" w:rsidR="00D1587D" w:rsidRDefault="00D1587D">
      <w:pPr>
        <w:spacing w:line="9" w:lineRule="exact"/>
        <w:rPr>
          <w:sz w:val="20"/>
          <w:szCs w:val="20"/>
        </w:rPr>
      </w:pPr>
    </w:p>
    <w:p w14:paraId="459BFE07" w14:textId="77777777" w:rsidR="00D1587D" w:rsidRDefault="00410D07">
      <w:pPr>
        <w:ind w:left="1300"/>
        <w:rPr>
          <w:sz w:val="20"/>
          <w:szCs w:val="20"/>
        </w:rPr>
      </w:pPr>
      <w:r>
        <w:rPr>
          <w:rFonts w:ascii="Arial" w:eastAsia="Arial" w:hAnsi="Arial" w:cs="Arial"/>
          <w:sz w:val="18"/>
          <w:szCs w:val="18"/>
        </w:rPr>
        <w:t>Email: MiWu@lb.com</w:t>
      </w:r>
    </w:p>
    <w:p w14:paraId="0C6D3560" w14:textId="77777777" w:rsidR="00D1587D" w:rsidRDefault="00D1587D">
      <w:pPr>
        <w:spacing w:line="9" w:lineRule="exact"/>
        <w:rPr>
          <w:sz w:val="20"/>
          <w:szCs w:val="20"/>
        </w:rPr>
      </w:pPr>
    </w:p>
    <w:p w14:paraId="54A56DC1" w14:textId="77777777" w:rsidR="00D1587D" w:rsidRDefault="00410D07">
      <w:pPr>
        <w:ind w:left="1840"/>
        <w:rPr>
          <w:sz w:val="20"/>
          <w:szCs w:val="20"/>
        </w:rPr>
      </w:pPr>
      <w:r>
        <w:rPr>
          <w:rFonts w:ascii="Arial" w:eastAsia="Arial" w:hAnsi="Arial" w:cs="Arial"/>
          <w:sz w:val="18"/>
          <w:szCs w:val="18"/>
        </w:rPr>
        <w:t>TFaber@lb.com</w:t>
      </w:r>
    </w:p>
    <w:p w14:paraId="697062B2" w14:textId="77777777" w:rsidR="00D1587D" w:rsidRDefault="00D1587D">
      <w:pPr>
        <w:spacing w:line="211" w:lineRule="exact"/>
        <w:rPr>
          <w:sz w:val="20"/>
          <w:szCs w:val="20"/>
        </w:rPr>
      </w:pPr>
    </w:p>
    <w:p w14:paraId="178741D9" w14:textId="77777777" w:rsidR="00D1587D" w:rsidRDefault="00410D07">
      <w:pPr>
        <w:ind w:left="1300"/>
        <w:rPr>
          <w:sz w:val="20"/>
          <w:szCs w:val="20"/>
        </w:rPr>
      </w:pPr>
      <w:r>
        <w:rPr>
          <w:rFonts w:ascii="Arial" w:eastAsia="Arial" w:hAnsi="Arial" w:cs="Arial"/>
          <w:sz w:val="18"/>
          <w:szCs w:val="18"/>
        </w:rPr>
        <w:t>with a copy to:</w:t>
      </w:r>
    </w:p>
    <w:p w14:paraId="3AF5ECFC" w14:textId="77777777" w:rsidR="00D1587D" w:rsidRDefault="00D1587D">
      <w:pPr>
        <w:spacing w:line="225" w:lineRule="exact"/>
        <w:rPr>
          <w:sz w:val="20"/>
          <w:szCs w:val="20"/>
        </w:rPr>
      </w:pPr>
    </w:p>
    <w:p w14:paraId="07916082" w14:textId="77777777" w:rsidR="00D1587D" w:rsidRDefault="00410D07">
      <w:pPr>
        <w:ind w:left="1300"/>
        <w:rPr>
          <w:sz w:val="20"/>
          <w:szCs w:val="20"/>
        </w:rPr>
      </w:pPr>
      <w:r>
        <w:rPr>
          <w:rFonts w:ascii="Arial" w:eastAsia="Arial" w:hAnsi="Arial" w:cs="Arial"/>
          <w:sz w:val="18"/>
          <w:szCs w:val="18"/>
        </w:rPr>
        <w:t>Davis Polk &amp; Wardwell LLP</w:t>
      </w:r>
    </w:p>
    <w:p w14:paraId="6F301059" w14:textId="77777777" w:rsidR="00D1587D" w:rsidRDefault="00D1587D">
      <w:pPr>
        <w:spacing w:line="23" w:lineRule="exact"/>
        <w:rPr>
          <w:sz w:val="20"/>
          <w:szCs w:val="20"/>
        </w:rPr>
      </w:pPr>
    </w:p>
    <w:p w14:paraId="21F01E38" w14:textId="77777777" w:rsidR="00D1587D" w:rsidRDefault="00410D07">
      <w:pPr>
        <w:ind w:left="1300"/>
        <w:rPr>
          <w:sz w:val="20"/>
          <w:szCs w:val="20"/>
        </w:rPr>
      </w:pPr>
      <w:r>
        <w:rPr>
          <w:rFonts w:ascii="Arial" w:eastAsia="Arial" w:hAnsi="Arial" w:cs="Arial"/>
          <w:sz w:val="18"/>
          <w:szCs w:val="18"/>
        </w:rPr>
        <w:t>450 Lexington Avenue</w:t>
      </w:r>
    </w:p>
    <w:p w14:paraId="13C415CD" w14:textId="77777777" w:rsidR="00D1587D" w:rsidRDefault="00D1587D">
      <w:pPr>
        <w:spacing w:line="9" w:lineRule="exact"/>
        <w:rPr>
          <w:sz w:val="20"/>
          <w:szCs w:val="20"/>
        </w:rPr>
      </w:pPr>
    </w:p>
    <w:p w14:paraId="64850993" w14:textId="77777777" w:rsidR="00D1587D" w:rsidRDefault="00410D07">
      <w:pPr>
        <w:ind w:left="1300"/>
        <w:rPr>
          <w:sz w:val="20"/>
          <w:szCs w:val="20"/>
        </w:rPr>
      </w:pPr>
      <w:r>
        <w:rPr>
          <w:rFonts w:ascii="Arial" w:eastAsia="Arial" w:hAnsi="Arial" w:cs="Arial"/>
          <w:sz w:val="18"/>
          <w:szCs w:val="18"/>
        </w:rPr>
        <w:t>New York, New York 10017</w:t>
      </w:r>
    </w:p>
    <w:p w14:paraId="5ECD3DC4" w14:textId="77777777" w:rsidR="00D1587D" w:rsidRDefault="00D1587D">
      <w:pPr>
        <w:spacing w:line="9" w:lineRule="exact"/>
        <w:rPr>
          <w:sz w:val="20"/>
          <w:szCs w:val="20"/>
        </w:rPr>
      </w:pPr>
    </w:p>
    <w:p w14:paraId="02C78197" w14:textId="77777777" w:rsidR="00D1587D" w:rsidRDefault="00410D07">
      <w:pPr>
        <w:ind w:left="1300"/>
        <w:rPr>
          <w:sz w:val="20"/>
          <w:szCs w:val="20"/>
        </w:rPr>
      </w:pPr>
      <w:r>
        <w:rPr>
          <w:rFonts w:ascii="Arial" w:eastAsia="Arial" w:hAnsi="Arial" w:cs="Arial"/>
          <w:sz w:val="18"/>
          <w:szCs w:val="18"/>
        </w:rPr>
        <w:t>Attn: William H. Aaronson</w:t>
      </w:r>
    </w:p>
    <w:p w14:paraId="3AC33B39" w14:textId="77777777" w:rsidR="00D1587D" w:rsidRDefault="00D1587D">
      <w:pPr>
        <w:spacing w:line="9" w:lineRule="exact"/>
        <w:rPr>
          <w:sz w:val="20"/>
          <w:szCs w:val="20"/>
        </w:rPr>
      </w:pPr>
    </w:p>
    <w:p w14:paraId="6EC3CA7B" w14:textId="77777777" w:rsidR="00D1587D" w:rsidRDefault="00410D07">
      <w:pPr>
        <w:ind w:left="1700"/>
        <w:rPr>
          <w:sz w:val="20"/>
          <w:szCs w:val="20"/>
        </w:rPr>
      </w:pPr>
      <w:r>
        <w:rPr>
          <w:rFonts w:ascii="Arial" w:eastAsia="Arial" w:hAnsi="Arial" w:cs="Arial"/>
          <w:sz w:val="18"/>
          <w:szCs w:val="18"/>
        </w:rPr>
        <w:t>Cheryl Chan</w:t>
      </w:r>
    </w:p>
    <w:p w14:paraId="683BBA2E" w14:textId="77777777" w:rsidR="00D1587D" w:rsidRDefault="00D1587D">
      <w:pPr>
        <w:spacing w:line="9" w:lineRule="exact"/>
        <w:rPr>
          <w:sz w:val="20"/>
          <w:szCs w:val="20"/>
        </w:rPr>
      </w:pPr>
    </w:p>
    <w:p w14:paraId="56626D52" w14:textId="77777777" w:rsidR="00D1587D" w:rsidRDefault="00410D07">
      <w:pPr>
        <w:ind w:left="1300"/>
        <w:rPr>
          <w:sz w:val="20"/>
          <w:szCs w:val="20"/>
        </w:rPr>
      </w:pPr>
      <w:r>
        <w:rPr>
          <w:rFonts w:ascii="Arial" w:eastAsia="Arial" w:hAnsi="Arial" w:cs="Arial"/>
          <w:sz w:val="18"/>
          <w:szCs w:val="18"/>
        </w:rPr>
        <w:t>Email: william.aaronson@davispolk.com</w:t>
      </w:r>
    </w:p>
    <w:p w14:paraId="1908D13C" w14:textId="77777777" w:rsidR="00D1587D" w:rsidRDefault="00D1587D">
      <w:pPr>
        <w:spacing w:line="9" w:lineRule="exact"/>
        <w:rPr>
          <w:sz w:val="20"/>
          <w:szCs w:val="20"/>
        </w:rPr>
      </w:pPr>
    </w:p>
    <w:p w14:paraId="024FBA99" w14:textId="77777777" w:rsidR="00D1587D" w:rsidRDefault="00410D07">
      <w:pPr>
        <w:ind w:left="1840"/>
        <w:rPr>
          <w:sz w:val="20"/>
          <w:szCs w:val="20"/>
        </w:rPr>
      </w:pPr>
      <w:r>
        <w:rPr>
          <w:rFonts w:ascii="Arial" w:eastAsia="Arial" w:hAnsi="Arial" w:cs="Arial"/>
          <w:sz w:val="18"/>
          <w:szCs w:val="18"/>
        </w:rPr>
        <w:t>cheryl.chan@davispolk.com</w:t>
      </w:r>
    </w:p>
    <w:p w14:paraId="47B64437" w14:textId="77777777" w:rsidR="00D1587D" w:rsidRDefault="00D1587D">
      <w:pPr>
        <w:spacing w:line="211" w:lineRule="exact"/>
        <w:rPr>
          <w:sz w:val="20"/>
          <w:szCs w:val="20"/>
        </w:rPr>
      </w:pPr>
    </w:p>
    <w:p w14:paraId="3663DA82" w14:textId="77777777" w:rsidR="00D1587D" w:rsidRDefault="00410D07">
      <w:pPr>
        <w:ind w:left="880"/>
        <w:rPr>
          <w:sz w:val="20"/>
          <w:szCs w:val="20"/>
        </w:rPr>
      </w:pPr>
      <w:r>
        <w:rPr>
          <w:rFonts w:ascii="Arial" w:eastAsia="Arial" w:hAnsi="Arial" w:cs="Arial"/>
          <w:sz w:val="18"/>
          <w:szCs w:val="18"/>
        </w:rPr>
        <w:t>If to VS to:</w:t>
      </w:r>
    </w:p>
    <w:p w14:paraId="2FC2869E" w14:textId="77777777" w:rsidR="00D1587D" w:rsidRDefault="00D1587D">
      <w:pPr>
        <w:spacing w:line="225" w:lineRule="exact"/>
        <w:rPr>
          <w:sz w:val="20"/>
          <w:szCs w:val="20"/>
        </w:rPr>
      </w:pPr>
    </w:p>
    <w:p w14:paraId="54B3299F" w14:textId="77777777" w:rsidR="00D1587D" w:rsidRDefault="00410D07">
      <w:pPr>
        <w:ind w:left="1300"/>
        <w:rPr>
          <w:sz w:val="20"/>
          <w:szCs w:val="20"/>
        </w:rPr>
      </w:pPr>
      <w:r>
        <w:rPr>
          <w:rFonts w:ascii="Arial" w:eastAsia="Arial" w:hAnsi="Arial" w:cs="Arial"/>
          <w:sz w:val="18"/>
          <w:szCs w:val="18"/>
        </w:rPr>
        <w:t>Victoria’s Secret &amp; Co.</w:t>
      </w:r>
    </w:p>
    <w:p w14:paraId="7850AAE0" w14:textId="77777777" w:rsidR="00D1587D" w:rsidRDefault="00D1587D">
      <w:pPr>
        <w:spacing w:line="23" w:lineRule="exact"/>
        <w:rPr>
          <w:sz w:val="20"/>
          <w:szCs w:val="20"/>
        </w:rPr>
      </w:pPr>
    </w:p>
    <w:p w14:paraId="49B845B7" w14:textId="77777777" w:rsidR="00D1587D" w:rsidRDefault="00410D07">
      <w:pPr>
        <w:ind w:left="1300"/>
        <w:rPr>
          <w:sz w:val="20"/>
          <w:szCs w:val="20"/>
        </w:rPr>
      </w:pPr>
      <w:r>
        <w:rPr>
          <w:rFonts w:ascii="Arial" w:eastAsia="Arial" w:hAnsi="Arial" w:cs="Arial"/>
          <w:sz w:val="18"/>
          <w:szCs w:val="18"/>
        </w:rPr>
        <w:t>4 Limited Parkway East</w:t>
      </w:r>
    </w:p>
    <w:p w14:paraId="3D575E83" w14:textId="77777777" w:rsidR="00D1587D" w:rsidRDefault="00D1587D">
      <w:pPr>
        <w:spacing w:line="9" w:lineRule="exact"/>
        <w:rPr>
          <w:sz w:val="20"/>
          <w:szCs w:val="20"/>
        </w:rPr>
      </w:pPr>
    </w:p>
    <w:p w14:paraId="5BD1AA0B" w14:textId="77777777" w:rsidR="00D1587D" w:rsidRDefault="00410D07">
      <w:pPr>
        <w:ind w:left="1300"/>
        <w:rPr>
          <w:sz w:val="20"/>
          <w:szCs w:val="20"/>
        </w:rPr>
      </w:pPr>
      <w:r>
        <w:rPr>
          <w:rFonts w:ascii="Arial" w:eastAsia="Arial" w:hAnsi="Arial" w:cs="Arial"/>
          <w:sz w:val="18"/>
          <w:szCs w:val="18"/>
        </w:rPr>
        <w:t>Reynoldsburg, Ohio 43068</w:t>
      </w:r>
    </w:p>
    <w:p w14:paraId="15755BC3" w14:textId="77777777" w:rsidR="00D1587D" w:rsidRDefault="00D1587D">
      <w:pPr>
        <w:spacing w:line="9" w:lineRule="exact"/>
        <w:rPr>
          <w:sz w:val="20"/>
          <w:szCs w:val="20"/>
        </w:rPr>
      </w:pPr>
    </w:p>
    <w:p w14:paraId="524E13AB" w14:textId="77777777" w:rsidR="00D1587D" w:rsidRDefault="00410D07">
      <w:pPr>
        <w:ind w:left="1300"/>
        <w:rPr>
          <w:sz w:val="20"/>
          <w:szCs w:val="20"/>
        </w:rPr>
      </w:pPr>
      <w:r>
        <w:rPr>
          <w:rFonts w:ascii="Arial" w:eastAsia="Arial" w:hAnsi="Arial" w:cs="Arial"/>
          <w:sz w:val="18"/>
          <w:szCs w:val="18"/>
        </w:rPr>
        <w:t>Attn: Melinda McAfee</w:t>
      </w:r>
    </w:p>
    <w:p w14:paraId="18555A12" w14:textId="77777777" w:rsidR="00D1587D" w:rsidRDefault="00D1587D">
      <w:pPr>
        <w:spacing w:line="9" w:lineRule="exact"/>
        <w:rPr>
          <w:sz w:val="20"/>
          <w:szCs w:val="20"/>
        </w:rPr>
      </w:pPr>
    </w:p>
    <w:p w14:paraId="1D6D1AF0" w14:textId="77777777" w:rsidR="00D1587D" w:rsidRDefault="00410D07">
      <w:pPr>
        <w:ind w:left="1300"/>
        <w:rPr>
          <w:sz w:val="20"/>
          <w:szCs w:val="20"/>
        </w:rPr>
      </w:pPr>
      <w:r>
        <w:rPr>
          <w:rFonts w:ascii="Arial" w:eastAsia="Arial" w:hAnsi="Arial" w:cs="Arial"/>
          <w:sz w:val="18"/>
          <w:szCs w:val="18"/>
        </w:rPr>
        <w:t>Email: MMcAfee@lb.com</w:t>
      </w:r>
    </w:p>
    <w:p w14:paraId="7DAF3E14" w14:textId="77777777" w:rsidR="00D1587D" w:rsidRDefault="00D1587D">
      <w:pPr>
        <w:spacing w:line="197" w:lineRule="exact"/>
        <w:rPr>
          <w:sz w:val="20"/>
          <w:szCs w:val="20"/>
        </w:rPr>
      </w:pPr>
    </w:p>
    <w:p w14:paraId="46ED7DC0" w14:textId="77777777" w:rsidR="00D1587D" w:rsidRDefault="00410D07">
      <w:pPr>
        <w:ind w:right="-59"/>
        <w:jc w:val="center"/>
        <w:rPr>
          <w:sz w:val="20"/>
          <w:szCs w:val="20"/>
        </w:rPr>
      </w:pPr>
      <w:r>
        <w:rPr>
          <w:rFonts w:ascii="Arial" w:eastAsia="Arial" w:hAnsi="Arial" w:cs="Arial"/>
          <w:sz w:val="18"/>
          <w:szCs w:val="18"/>
        </w:rPr>
        <w:t>47</w:t>
      </w:r>
    </w:p>
    <w:p w14:paraId="1FFE0B97" w14:textId="77777777" w:rsidR="00D1587D" w:rsidRDefault="00410D07">
      <w:pPr>
        <w:spacing w:line="20" w:lineRule="exact"/>
        <w:rPr>
          <w:sz w:val="20"/>
          <w:szCs w:val="20"/>
        </w:rPr>
      </w:pPr>
      <w:r>
        <w:rPr>
          <w:noProof/>
          <w:sz w:val="20"/>
          <w:szCs w:val="20"/>
        </w:rPr>
        <w:drawing>
          <wp:anchor distT="0" distB="0" distL="114300" distR="114300" simplePos="0" relativeHeight="251199488" behindDoc="1" locked="0" layoutInCell="0" allowOverlap="1" wp14:anchorId="0EB7B83B" wp14:editId="392365E8">
            <wp:simplePos x="0" y="0"/>
            <wp:positionH relativeFrom="column">
              <wp:posOffset>5080</wp:posOffset>
            </wp:positionH>
            <wp:positionV relativeFrom="paragraph">
              <wp:posOffset>48895</wp:posOffset>
            </wp:positionV>
            <wp:extent cx="7132320" cy="1714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00F555A" w14:textId="77777777" w:rsidR="00D1587D" w:rsidRDefault="00D1587D">
      <w:pPr>
        <w:sectPr w:rsidR="00D1587D">
          <w:pgSz w:w="11900" w:h="16838"/>
          <w:pgMar w:top="341" w:right="439" w:bottom="1440" w:left="320" w:header="0" w:footer="0" w:gutter="0"/>
          <w:cols w:space="720" w:equalWidth="0">
            <w:col w:w="11140"/>
          </w:cols>
        </w:sectPr>
      </w:pPr>
    </w:p>
    <w:p w14:paraId="174A5210" w14:textId="77777777" w:rsidR="00D1587D" w:rsidRDefault="00410D07">
      <w:pPr>
        <w:spacing w:line="259" w:lineRule="auto"/>
        <w:ind w:right="40"/>
        <w:rPr>
          <w:sz w:val="20"/>
          <w:szCs w:val="20"/>
        </w:rPr>
      </w:pPr>
      <w:bookmarkStart w:id="56" w:name="page57"/>
      <w:bookmarkEnd w:id="56"/>
      <w:r>
        <w:rPr>
          <w:rFonts w:ascii="Arial" w:eastAsia="Arial" w:hAnsi="Arial" w:cs="Arial"/>
          <w:sz w:val="18"/>
          <w:szCs w:val="18"/>
        </w:rPr>
        <w:t>or such other address or facsimile number as such Party may hereafter specify for the purpose by notice to the other Party. All such notices, requests and other communications shall be deemed received on the date of receipt by the recip</w:t>
      </w:r>
      <w:r>
        <w:rPr>
          <w:rFonts w:ascii="Arial" w:eastAsia="Arial" w:hAnsi="Arial" w:cs="Arial"/>
          <w:sz w:val="18"/>
          <w:szCs w:val="18"/>
        </w:rPr>
        <w:t>ient thereof if received prior to 5:00 p.m. in the place of receipt and such day is a Business Day in the place of receipt. Otherwise, any such notice, request or communication shall be deemed not to have been received until the next succeeding Business Da</w:t>
      </w:r>
      <w:r>
        <w:rPr>
          <w:rFonts w:ascii="Arial" w:eastAsia="Arial" w:hAnsi="Arial" w:cs="Arial"/>
          <w:sz w:val="18"/>
          <w:szCs w:val="18"/>
        </w:rPr>
        <w:t>y in the place of receipt.</w:t>
      </w:r>
    </w:p>
    <w:p w14:paraId="193AE6BD" w14:textId="77777777" w:rsidR="00D1587D" w:rsidRDefault="00D1587D">
      <w:pPr>
        <w:spacing w:line="187" w:lineRule="exact"/>
        <w:rPr>
          <w:sz w:val="20"/>
          <w:szCs w:val="20"/>
        </w:rPr>
      </w:pPr>
    </w:p>
    <w:p w14:paraId="03B2999C" w14:textId="77777777" w:rsidR="00D1587D" w:rsidRDefault="00410D07">
      <w:pPr>
        <w:spacing w:line="263" w:lineRule="auto"/>
        <w:ind w:right="60" w:firstLine="873"/>
        <w:jc w:val="both"/>
        <w:rPr>
          <w:sz w:val="20"/>
          <w:szCs w:val="20"/>
        </w:rPr>
      </w:pPr>
      <w:r>
        <w:rPr>
          <w:rFonts w:ascii="Arial" w:eastAsia="Arial" w:hAnsi="Arial" w:cs="Arial"/>
          <w:sz w:val="18"/>
          <w:szCs w:val="18"/>
        </w:rPr>
        <w:t xml:space="preserve">Section 6.02. </w:t>
      </w:r>
      <w:r>
        <w:rPr>
          <w:rFonts w:ascii="Arial" w:eastAsia="Arial" w:hAnsi="Arial" w:cs="Arial"/>
          <w:i/>
          <w:iCs/>
          <w:sz w:val="18"/>
          <w:szCs w:val="18"/>
        </w:rPr>
        <w:t>Amendments; No Waivers</w:t>
      </w:r>
      <w:r>
        <w:rPr>
          <w:rFonts w:ascii="Arial" w:eastAsia="Arial" w:hAnsi="Arial" w:cs="Arial"/>
          <w:sz w:val="18"/>
          <w:szCs w:val="18"/>
        </w:rPr>
        <w:t>. (a) Any provision of this Agreement may be amended or waived if, and only if, such amendment or waiver is in writing and is signed, in the case of an amendment, by L Brands and VS, or in the</w:t>
      </w:r>
      <w:r>
        <w:rPr>
          <w:rFonts w:ascii="Arial" w:eastAsia="Arial" w:hAnsi="Arial" w:cs="Arial"/>
          <w:sz w:val="18"/>
          <w:szCs w:val="18"/>
        </w:rPr>
        <w:t xml:space="preserve"> case of a waiver, by the Party against whom the waiver is to be effective.</w:t>
      </w:r>
    </w:p>
    <w:p w14:paraId="75BBAAF1" w14:textId="77777777" w:rsidR="00D1587D" w:rsidRDefault="00D1587D">
      <w:pPr>
        <w:spacing w:line="184" w:lineRule="exact"/>
        <w:rPr>
          <w:sz w:val="20"/>
          <w:szCs w:val="20"/>
        </w:rPr>
      </w:pPr>
    </w:p>
    <w:p w14:paraId="3B99E560" w14:textId="77777777" w:rsidR="00D1587D" w:rsidRDefault="00410D07">
      <w:pPr>
        <w:numPr>
          <w:ilvl w:val="0"/>
          <w:numId w:val="41"/>
        </w:numPr>
        <w:tabs>
          <w:tab w:val="left" w:pos="1367"/>
        </w:tabs>
        <w:spacing w:line="286" w:lineRule="auto"/>
        <w:ind w:right="320" w:firstLine="850"/>
        <w:rPr>
          <w:rFonts w:ascii="Arial" w:eastAsia="Arial" w:hAnsi="Arial" w:cs="Arial"/>
          <w:sz w:val="17"/>
          <w:szCs w:val="17"/>
        </w:rPr>
      </w:pPr>
      <w:r>
        <w:rPr>
          <w:rFonts w:ascii="Arial" w:eastAsia="Arial" w:hAnsi="Arial" w:cs="Arial"/>
          <w:sz w:val="17"/>
          <w:szCs w:val="17"/>
        </w:rPr>
        <w:t xml:space="preserve">No failure or delay by any Party in exercising any right, power or privilege hereunder shall operate as a waiver thereof nor shall any single or partial exercise thereof preclude </w:t>
      </w:r>
      <w:r>
        <w:rPr>
          <w:rFonts w:ascii="Arial" w:eastAsia="Arial" w:hAnsi="Arial" w:cs="Arial"/>
          <w:sz w:val="17"/>
          <w:szCs w:val="17"/>
        </w:rPr>
        <w:t>any other or further exercise thereof or the exercise of any other right, power or privilege. The rights and remedies herein provided shall be cumulative and not exclusive of any rights or remedies provided by Applicable Law.</w:t>
      </w:r>
    </w:p>
    <w:p w14:paraId="1A01573D" w14:textId="77777777" w:rsidR="00D1587D" w:rsidRDefault="00D1587D">
      <w:pPr>
        <w:spacing w:line="165" w:lineRule="exact"/>
        <w:rPr>
          <w:sz w:val="20"/>
          <w:szCs w:val="20"/>
        </w:rPr>
      </w:pPr>
    </w:p>
    <w:p w14:paraId="407C7DF3" w14:textId="77777777" w:rsidR="00D1587D" w:rsidRDefault="00410D07">
      <w:pPr>
        <w:spacing w:line="257" w:lineRule="auto"/>
        <w:ind w:right="160" w:firstLine="873"/>
        <w:rPr>
          <w:sz w:val="20"/>
          <w:szCs w:val="20"/>
        </w:rPr>
      </w:pPr>
      <w:r>
        <w:rPr>
          <w:rFonts w:ascii="Arial" w:eastAsia="Arial" w:hAnsi="Arial" w:cs="Arial"/>
          <w:sz w:val="18"/>
          <w:szCs w:val="18"/>
        </w:rPr>
        <w:t xml:space="preserve">Section 6.03. </w:t>
      </w:r>
      <w:r>
        <w:rPr>
          <w:rFonts w:ascii="Arial" w:eastAsia="Arial" w:hAnsi="Arial" w:cs="Arial"/>
          <w:i/>
          <w:iCs/>
          <w:sz w:val="18"/>
          <w:szCs w:val="18"/>
        </w:rPr>
        <w:t>Expenses</w:t>
      </w:r>
      <w:r>
        <w:rPr>
          <w:rFonts w:ascii="Arial" w:eastAsia="Arial" w:hAnsi="Arial" w:cs="Arial"/>
          <w:sz w:val="18"/>
          <w:szCs w:val="18"/>
        </w:rPr>
        <w:t>. L Brands and VS shall each bear the costs and expenses incurred or paid in connection with the Restructuring, the Distribution and any other related transaction, as applicable, set forth below their respective names on Schedule 6.03. All other th</w:t>
      </w:r>
      <w:r>
        <w:rPr>
          <w:rFonts w:ascii="Arial" w:eastAsia="Arial" w:hAnsi="Arial" w:cs="Arial"/>
          <w:sz w:val="18"/>
          <w:szCs w:val="18"/>
        </w:rPr>
        <w:t>ird-party fees, costs and expenses paid or incurred in connection with the foregoing (except as specifically allocated pursuant to the terms of this Agreement or any Ancillary Agreement) will be paid by the Party incurring such fees or expenses, whether or</w:t>
      </w:r>
      <w:r>
        <w:rPr>
          <w:rFonts w:ascii="Arial" w:eastAsia="Arial" w:hAnsi="Arial" w:cs="Arial"/>
          <w:sz w:val="18"/>
          <w:szCs w:val="18"/>
        </w:rPr>
        <w:t xml:space="preserve"> not the Distribution occurs, or as otherwise agreed by the Parties in writing.</w:t>
      </w:r>
    </w:p>
    <w:p w14:paraId="02F8B55D" w14:textId="77777777" w:rsidR="00D1587D" w:rsidRDefault="00D1587D">
      <w:pPr>
        <w:spacing w:line="188" w:lineRule="exact"/>
        <w:rPr>
          <w:sz w:val="20"/>
          <w:szCs w:val="20"/>
        </w:rPr>
      </w:pPr>
    </w:p>
    <w:p w14:paraId="1A525B59" w14:textId="77777777" w:rsidR="00D1587D" w:rsidRDefault="00410D07">
      <w:pPr>
        <w:spacing w:line="254" w:lineRule="auto"/>
        <w:ind w:firstLine="873"/>
        <w:rPr>
          <w:sz w:val="20"/>
          <w:szCs w:val="20"/>
        </w:rPr>
      </w:pPr>
      <w:r>
        <w:rPr>
          <w:rFonts w:ascii="Arial" w:eastAsia="Arial" w:hAnsi="Arial" w:cs="Arial"/>
          <w:sz w:val="18"/>
          <w:szCs w:val="18"/>
        </w:rPr>
        <w:t xml:space="preserve">Section 6.04. </w:t>
      </w:r>
      <w:r>
        <w:rPr>
          <w:rFonts w:ascii="Arial" w:eastAsia="Arial" w:hAnsi="Arial" w:cs="Arial"/>
          <w:i/>
          <w:iCs/>
          <w:sz w:val="18"/>
          <w:szCs w:val="18"/>
        </w:rPr>
        <w:t>Successors and Assigns</w:t>
      </w:r>
      <w:r>
        <w:rPr>
          <w:rFonts w:ascii="Arial" w:eastAsia="Arial" w:hAnsi="Arial" w:cs="Arial"/>
          <w:sz w:val="18"/>
          <w:szCs w:val="18"/>
        </w:rPr>
        <w:t>. The provisions of this Agreement shall be binding upon and inure to the benefit of the Parties and their respective successors and permit</w:t>
      </w:r>
      <w:r>
        <w:rPr>
          <w:rFonts w:ascii="Arial" w:eastAsia="Arial" w:hAnsi="Arial" w:cs="Arial"/>
          <w:sz w:val="18"/>
          <w:szCs w:val="18"/>
        </w:rPr>
        <w:t xml:space="preserve">ted assigns; </w:t>
      </w:r>
      <w:r>
        <w:rPr>
          <w:rFonts w:ascii="Arial" w:eastAsia="Arial" w:hAnsi="Arial" w:cs="Arial"/>
          <w:i/>
          <w:iCs/>
          <w:sz w:val="18"/>
          <w:szCs w:val="18"/>
        </w:rPr>
        <w:t>provided</w:t>
      </w:r>
      <w:r>
        <w:rPr>
          <w:rFonts w:ascii="Arial" w:eastAsia="Arial" w:hAnsi="Arial" w:cs="Arial"/>
          <w:sz w:val="18"/>
          <w:szCs w:val="18"/>
        </w:rPr>
        <w:t xml:space="preserve"> that neither Party may assign, delegate or otherwise transfer any of its rights or obligations under this Agreement without the consent of the other Party, except pursuant to Section 4.11(c). If any Party or any of its successors or p</w:t>
      </w:r>
      <w:r>
        <w:rPr>
          <w:rFonts w:ascii="Arial" w:eastAsia="Arial" w:hAnsi="Arial" w:cs="Arial"/>
          <w:sz w:val="18"/>
          <w:szCs w:val="18"/>
        </w:rPr>
        <w:t>ermitted assigns (i) shall consolidate with or merge into any other Person and shall not be the continuing or surviving corporation or entity of such consolidation or merger or (ii) shall transfer all or substantially all of its properties and assets to an</w:t>
      </w:r>
      <w:r>
        <w:rPr>
          <w:rFonts w:ascii="Arial" w:eastAsia="Arial" w:hAnsi="Arial" w:cs="Arial"/>
          <w:sz w:val="18"/>
          <w:szCs w:val="18"/>
        </w:rPr>
        <w:t xml:space="preserve">y Person, then, and in each such case, no such consent shall be required and proper provisions shall be made so that the successors and assigns of such Party shall assume all of the obligations of such Party under the Distribution Documents; </w:t>
      </w:r>
      <w:r>
        <w:rPr>
          <w:rFonts w:ascii="Arial" w:eastAsia="Arial" w:hAnsi="Arial" w:cs="Arial"/>
          <w:i/>
          <w:iCs/>
          <w:sz w:val="18"/>
          <w:szCs w:val="18"/>
        </w:rPr>
        <w:t>provided</w:t>
      </w:r>
      <w:r>
        <w:rPr>
          <w:rFonts w:ascii="Arial" w:eastAsia="Arial" w:hAnsi="Arial" w:cs="Arial"/>
          <w:sz w:val="18"/>
          <w:szCs w:val="18"/>
        </w:rPr>
        <w:t xml:space="preserve"> that </w:t>
      </w:r>
      <w:r>
        <w:rPr>
          <w:rFonts w:ascii="Arial" w:eastAsia="Arial" w:hAnsi="Arial" w:cs="Arial"/>
          <w:sz w:val="18"/>
          <w:szCs w:val="18"/>
        </w:rPr>
        <w:t>no such assignment shall release the assigning Party from liability for the full performance of its obligations under the Distribution Documents.</w:t>
      </w:r>
    </w:p>
    <w:p w14:paraId="64871F67" w14:textId="77777777" w:rsidR="00D1587D" w:rsidRDefault="00D1587D">
      <w:pPr>
        <w:spacing w:line="192" w:lineRule="exact"/>
        <w:rPr>
          <w:sz w:val="20"/>
          <w:szCs w:val="20"/>
        </w:rPr>
      </w:pPr>
    </w:p>
    <w:p w14:paraId="2ECC9A7F" w14:textId="77777777" w:rsidR="00D1587D" w:rsidRDefault="00410D07">
      <w:pPr>
        <w:spacing w:line="277" w:lineRule="auto"/>
        <w:ind w:right="400" w:firstLine="873"/>
        <w:rPr>
          <w:sz w:val="20"/>
          <w:szCs w:val="20"/>
        </w:rPr>
      </w:pPr>
      <w:r>
        <w:rPr>
          <w:rFonts w:ascii="Arial" w:eastAsia="Arial" w:hAnsi="Arial" w:cs="Arial"/>
          <w:sz w:val="18"/>
          <w:szCs w:val="18"/>
        </w:rPr>
        <w:t xml:space="preserve">Section 6.05. </w:t>
      </w:r>
      <w:r>
        <w:rPr>
          <w:rFonts w:ascii="Arial" w:eastAsia="Arial" w:hAnsi="Arial" w:cs="Arial"/>
          <w:i/>
          <w:iCs/>
          <w:sz w:val="18"/>
          <w:szCs w:val="18"/>
        </w:rPr>
        <w:t>Governing Law</w:t>
      </w:r>
      <w:r>
        <w:rPr>
          <w:rFonts w:ascii="Arial" w:eastAsia="Arial" w:hAnsi="Arial" w:cs="Arial"/>
          <w:sz w:val="18"/>
          <w:szCs w:val="18"/>
        </w:rPr>
        <w:t>. This Agreement shall be governed by and construed in accordance with the laws of</w:t>
      </w:r>
      <w:r>
        <w:rPr>
          <w:rFonts w:ascii="Arial" w:eastAsia="Arial" w:hAnsi="Arial" w:cs="Arial"/>
          <w:sz w:val="18"/>
          <w:szCs w:val="18"/>
        </w:rPr>
        <w:t xml:space="preserve"> the State of Delaware, without regard to the conflicts of law rules of such state.</w:t>
      </w:r>
    </w:p>
    <w:p w14:paraId="7A4FB913" w14:textId="77777777" w:rsidR="00D1587D" w:rsidRDefault="00D1587D">
      <w:pPr>
        <w:spacing w:line="157" w:lineRule="exact"/>
        <w:rPr>
          <w:sz w:val="20"/>
          <w:szCs w:val="20"/>
        </w:rPr>
      </w:pPr>
    </w:p>
    <w:p w14:paraId="5F7BFDEB" w14:textId="77777777" w:rsidR="00D1587D" w:rsidRDefault="00410D07">
      <w:pPr>
        <w:ind w:right="20"/>
        <w:jc w:val="center"/>
        <w:rPr>
          <w:sz w:val="20"/>
          <w:szCs w:val="20"/>
        </w:rPr>
      </w:pPr>
      <w:r>
        <w:rPr>
          <w:rFonts w:ascii="Arial" w:eastAsia="Arial" w:hAnsi="Arial" w:cs="Arial"/>
          <w:sz w:val="18"/>
          <w:szCs w:val="18"/>
        </w:rPr>
        <w:t>48</w:t>
      </w:r>
    </w:p>
    <w:p w14:paraId="32C90F7E" w14:textId="77777777" w:rsidR="00D1587D" w:rsidRDefault="00410D07">
      <w:pPr>
        <w:spacing w:line="20" w:lineRule="exact"/>
        <w:rPr>
          <w:sz w:val="20"/>
          <w:szCs w:val="20"/>
        </w:rPr>
      </w:pPr>
      <w:r>
        <w:rPr>
          <w:noProof/>
          <w:sz w:val="20"/>
          <w:szCs w:val="20"/>
        </w:rPr>
        <w:drawing>
          <wp:anchor distT="0" distB="0" distL="114300" distR="114300" simplePos="0" relativeHeight="251200512" behindDoc="1" locked="0" layoutInCell="0" allowOverlap="1" wp14:anchorId="1E095125" wp14:editId="667AC671">
            <wp:simplePos x="0" y="0"/>
            <wp:positionH relativeFrom="column">
              <wp:posOffset>5080</wp:posOffset>
            </wp:positionH>
            <wp:positionV relativeFrom="paragraph">
              <wp:posOffset>48895</wp:posOffset>
            </wp:positionV>
            <wp:extent cx="7132320" cy="1714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664168F" w14:textId="77777777" w:rsidR="00D1587D" w:rsidRDefault="00D1587D">
      <w:pPr>
        <w:sectPr w:rsidR="00D1587D">
          <w:pgSz w:w="11900" w:h="16838"/>
          <w:pgMar w:top="341" w:right="379" w:bottom="1440" w:left="320" w:header="0" w:footer="0" w:gutter="0"/>
          <w:cols w:space="720" w:equalWidth="0">
            <w:col w:w="11200"/>
          </w:cols>
        </w:sectPr>
      </w:pPr>
    </w:p>
    <w:p w14:paraId="28C25839" w14:textId="77777777" w:rsidR="00D1587D" w:rsidRDefault="00410D07">
      <w:pPr>
        <w:spacing w:line="287" w:lineRule="auto"/>
        <w:ind w:right="40" w:firstLine="873"/>
        <w:rPr>
          <w:sz w:val="20"/>
          <w:szCs w:val="20"/>
        </w:rPr>
      </w:pPr>
      <w:bookmarkStart w:id="57" w:name="page58"/>
      <w:bookmarkEnd w:id="57"/>
      <w:r>
        <w:rPr>
          <w:rFonts w:ascii="Arial" w:eastAsia="Arial" w:hAnsi="Arial" w:cs="Arial"/>
          <w:sz w:val="16"/>
          <w:szCs w:val="16"/>
        </w:rPr>
        <w:t>Section 6.06</w:t>
      </w:r>
      <w:r>
        <w:rPr>
          <w:rFonts w:ascii="Arial" w:eastAsia="Arial" w:hAnsi="Arial" w:cs="Arial"/>
          <w:i/>
          <w:iCs/>
          <w:sz w:val="16"/>
          <w:szCs w:val="16"/>
        </w:rPr>
        <w:t>. Counterparts; Effectiveness; Third-party Beneficiaries.</w:t>
      </w:r>
      <w:r>
        <w:rPr>
          <w:rFonts w:ascii="Arial" w:eastAsia="Arial" w:hAnsi="Arial" w:cs="Arial"/>
          <w:sz w:val="16"/>
          <w:szCs w:val="16"/>
        </w:rPr>
        <w:t xml:space="preserve"> This Agreement may be signed in any number of counterparts (which may include counterparts delivered by any standard form of telecommunication), each of which shall be an original, with the same effect as if the signatures thereto and hereto were upon the</w:t>
      </w:r>
      <w:r>
        <w:rPr>
          <w:rFonts w:ascii="Arial" w:eastAsia="Arial" w:hAnsi="Arial" w:cs="Arial"/>
          <w:sz w:val="16"/>
          <w:szCs w:val="16"/>
        </w:rPr>
        <w:t xml:space="preserve"> same instrument. The words “execution,” “signed,” “signature,” and words of like import in this Agreement or in any other certificate, agreement or document related to this Agreement shall include images of manually executed signatures transmitted by facs</w:t>
      </w:r>
      <w:r>
        <w:rPr>
          <w:rFonts w:ascii="Arial" w:eastAsia="Arial" w:hAnsi="Arial" w:cs="Arial"/>
          <w:sz w:val="16"/>
          <w:szCs w:val="16"/>
        </w:rPr>
        <w:t>imile or other electronic format (including “pdf,” “tif” or “jpg”) and other electronic signatures (including DocuSign and AdobeSign). The use of electronic signatures and electronic records (including any contract or other record created, generated, sent,</w:t>
      </w:r>
      <w:r>
        <w:rPr>
          <w:rFonts w:ascii="Arial" w:eastAsia="Arial" w:hAnsi="Arial" w:cs="Arial"/>
          <w:sz w:val="16"/>
          <w:szCs w:val="16"/>
        </w:rPr>
        <w:t xml:space="preserve"> communicated, received, or stored by electronic means) shall be of the same legal effect, validity and enforceability as a manually executed signature or use of a paper-based recordkeeping system to the fullest extent permitted by Applicable Law. This Agr</w:t>
      </w:r>
      <w:r>
        <w:rPr>
          <w:rFonts w:ascii="Arial" w:eastAsia="Arial" w:hAnsi="Arial" w:cs="Arial"/>
          <w:sz w:val="16"/>
          <w:szCs w:val="16"/>
        </w:rPr>
        <w:t>eement shall become effective when each Party shall have received a counterpart hereof signed by the other Party. Until and unless each Party has received a counterpart hereof signed by the other Party, this Agreement shall have no effect and no Party shal</w:t>
      </w:r>
      <w:r>
        <w:rPr>
          <w:rFonts w:ascii="Arial" w:eastAsia="Arial" w:hAnsi="Arial" w:cs="Arial"/>
          <w:sz w:val="16"/>
          <w:szCs w:val="16"/>
        </w:rPr>
        <w:t>l have any right or obligation hereunder (whether by virtue of any other oral or written agreement or other communication). Except for Section 4.07, Section 6.12, and the indemnification and release provisions of Article 5, neither this Agreement nor any p</w:t>
      </w:r>
      <w:r>
        <w:rPr>
          <w:rFonts w:ascii="Arial" w:eastAsia="Arial" w:hAnsi="Arial" w:cs="Arial"/>
          <w:sz w:val="16"/>
          <w:szCs w:val="16"/>
        </w:rPr>
        <w:t>rovision hereof is intended to confer any rights, benefits, remedies, obligations, or liabilities hereunder upon any Person other than the Parties and their respective successors and permitted assigns.</w:t>
      </w:r>
    </w:p>
    <w:p w14:paraId="42BF483E" w14:textId="77777777" w:rsidR="00D1587D" w:rsidRDefault="00D1587D">
      <w:pPr>
        <w:spacing w:line="168" w:lineRule="exact"/>
        <w:rPr>
          <w:sz w:val="20"/>
          <w:szCs w:val="20"/>
        </w:rPr>
      </w:pPr>
    </w:p>
    <w:p w14:paraId="3F433B94" w14:textId="77777777" w:rsidR="00D1587D" w:rsidRDefault="00410D07">
      <w:pPr>
        <w:spacing w:line="290" w:lineRule="auto"/>
        <w:ind w:right="20" w:firstLine="873"/>
        <w:rPr>
          <w:sz w:val="20"/>
          <w:szCs w:val="20"/>
        </w:rPr>
      </w:pPr>
      <w:r>
        <w:rPr>
          <w:rFonts w:ascii="Arial" w:eastAsia="Arial" w:hAnsi="Arial" w:cs="Arial"/>
          <w:sz w:val="16"/>
          <w:szCs w:val="16"/>
        </w:rPr>
        <w:t xml:space="preserve">Section 6.07. </w:t>
      </w:r>
      <w:r>
        <w:rPr>
          <w:rFonts w:ascii="Arial" w:eastAsia="Arial" w:hAnsi="Arial" w:cs="Arial"/>
          <w:i/>
          <w:iCs/>
          <w:sz w:val="16"/>
          <w:szCs w:val="16"/>
        </w:rPr>
        <w:t>Entire Agreement</w:t>
      </w:r>
      <w:r>
        <w:rPr>
          <w:rFonts w:ascii="Arial" w:eastAsia="Arial" w:hAnsi="Arial" w:cs="Arial"/>
          <w:sz w:val="16"/>
          <w:szCs w:val="16"/>
        </w:rPr>
        <w:t>. This Agreement and th</w:t>
      </w:r>
      <w:r>
        <w:rPr>
          <w:rFonts w:ascii="Arial" w:eastAsia="Arial" w:hAnsi="Arial" w:cs="Arial"/>
          <w:sz w:val="16"/>
          <w:szCs w:val="16"/>
        </w:rPr>
        <w:t>e other Distribution Documents constitute the entire understanding of the Parties with respect to the subject matter hereof and thereof and supersede all prior agreements, understandings and negotiations, both written and oral, between the Parties with res</w:t>
      </w:r>
      <w:r>
        <w:rPr>
          <w:rFonts w:ascii="Arial" w:eastAsia="Arial" w:hAnsi="Arial" w:cs="Arial"/>
          <w:sz w:val="16"/>
          <w:szCs w:val="16"/>
        </w:rPr>
        <w:t>pect to the subject matter hereof and thereof. No representation, inducement, promise, understanding, condition or warranty not set forth herein or in the other Distribution Documents has been made or relied upon by any Party or any member of their Group w</w:t>
      </w:r>
      <w:r>
        <w:rPr>
          <w:rFonts w:ascii="Arial" w:eastAsia="Arial" w:hAnsi="Arial" w:cs="Arial"/>
          <w:sz w:val="16"/>
          <w:szCs w:val="16"/>
        </w:rPr>
        <w:t>ith respect to the transactions contemplated by the Distribution Documents. Without limiting Section 5.09 and subject to Section 6.08, in the event and to the extent that there shall be a conflict between the provisions of this Agreement and the provisions</w:t>
      </w:r>
      <w:r>
        <w:rPr>
          <w:rFonts w:ascii="Arial" w:eastAsia="Arial" w:hAnsi="Arial" w:cs="Arial"/>
          <w:sz w:val="16"/>
          <w:szCs w:val="16"/>
        </w:rPr>
        <w:t xml:space="preserve"> of any Ancillary Agreement, the Ancillary Agreement shall control with respect to the subject matter thereof, and this Agreement shall control with respect to all other matters; </w:t>
      </w:r>
      <w:r>
        <w:rPr>
          <w:rFonts w:ascii="Arial" w:eastAsia="Arial" w:hAnsi="Arial" w:cs="Arial"/>
          <w:i/>
          <w:iCs/>
          <w:sz w:val="16"/>
          <w:szCs w:val="16"/>
        </w:rPr>
        <w:t>provided</w:t>
      </w:r>
      <w:r>
        <w:rPr>
          <w:rFonts w:ascii="Arial" w:eastAsia="Arial" w:hAnsi="Arial" w:cs="Arial"/>
          <w:sz w:val="16"/>
          <w:szCs w:val="16"/>
        </w:rPr>
        <w:t xml:space="preserve"> that to the extent that there shall be a conflict between the provis</w:t>
      </w:r>
      <w:r>
        <w:rPr>
          <w:rFonts w:ascii="Arial" w:eastAsia="Arial" w:hAnsi="Arial" w:cs="Arial"/>
          <w:sz w:val="16"/>
          <w:szCs w:val="16"/>
        </w:rPr>
        <w:t>ions of this Agreement and the provisions of any Restructuring Agreement, this Agreement shall control with respect to all matters.</w:t>
      </w:r>
    </w:p>
    <w:p w14:paraId="11517A6E" w14:textId="77777777" w:rsidR="00D1587D" w:rsidRDefault="00D1587D">
      <w:pPr>
        <w:spacing w:line="165" w:lineRule="exact"/>
        <w:rPr>
          <w:sz w:val="20"/>
          <w:szCs w:val="20"/>
        </w:rPr>
      </w:pPr>
    </w:p>
    <w:p w14:paraId="7DD28362" w14:textId="77777777" w:rsidR="00D1587D" w:rsidRDefault="00410D07">
      <w:pPr>
        <w:spacing w:line="255" w:lineRule="auto"/>
        <w:ind w:firstLine="873"/>
        <w:rPr>
          <w:sz w:val="20"/>
          <w:szCs w:val="20"/>
        </w:rPr>
      </w:pPr>
      <w:r>
        <w:rPr>
          <w:rFonts w:ascii="Arial" w:eastAsia="Arial" w:hAnsi="Arial" w:cs="Arial"/>
          <w:sz w:val="18"/>
          <w:szCs w:val="18"/>
        </w:rPr>
        <w:t xml:space="preserve">Section 6.08. </w:t>
      </w:r>
      <w:r>
        <w:rPr>
          <w:rFonts w:ascii="Arial" w:eastAsia="Arial" w:hAnsi="Arial" w:cs="Arial"/>
          <w:i/>
          <w:iCs/>
          <w:sz w:val="18"/>
          <w:szCs w:val="18"/>
        </w:rPr>
        <w:t>Tax and Employee Matters</w:t>
      </w:r>
      <w:r>
        <w:rPr>
          <w:rFonts w:ascii="Arial" w:eastAsia="Arial" w:hAnsi="Arial" w:cs="Arial"/>
          <w:sz w:val="18"/>
          <w:szCs w:val="18"/>
        </w:rPr>
        <w:t>. Except as otherwise provided herein, this Agreement shall not govern (i) Tax matter</w:t>
      </w:r>
      <w:r>
        <w:rPr>
          <w:rFonts w:ascii="Arial" w:eastAsia="Arial" w:hAnsi="Arial" w:cs="Arial"/>
          <w:sz w:val="18"/>
          <w:szCs w:val="18"/>
        </w:rPr>
        <w:t>s (including any administrative, procedural and related matters thereto), which shall be exclusively governed by the Tax Matters Agreement and the Employee Matters Agreement or (ii) employee matters (including any labor, compensation plans, benefit plans a</w:t>
      </w:r>
      <w:r>
        <w:rPr>
          <w:rFonts w:ascii="Arial" w:eastAsia="Arial" w:hAnsi="Arial" w:cs="Arial"/>
          <w:sz w:val="18"/>
          <w:szCs w:val="18"/>
        </w:rPr>
        <w:t>nd related matters thereto), which shall be exclusively governed by the Employee Matters Agreement. For the avoidance of doubt, to the extent of any inconsistency between this Agreement and either of the Tax Matters Agreement or Employee Matters Agreement,</w:t>
      </w:r>
      <w:r>
        <w:rPr>
          <w:rFonts w:ascii="Arial" w:eastAsia="Arial" w:hAnsi="Arial" w:cs="Arial"/>
          <w:sz w:val="18"/>
          <w:szCs w:val="18"/>
        </w:rPr>
        <w:t xml:space="preserve"> the terms of the Tax Matters Agreement or Employee Matters Agreement, as the case may be, shall govern.</w:t>
      </w:r>
    </w:p>
    <w:p w14:paraId="10073400" w14:textId="77777777" w:rsidR="00D1587D" w:rsidRDefault="00D1587D">
      <w:pPr>
        <w:spacing w:line="179" w:lineRule="exact"/>
        <w:rPr>
          <w:sz w:val="20"/>
          <w:szCs w:val="20"/>
        </w:rPr>
      </w:pPr>
    </w:p>
    <w:p w14:paraId="7F629EF7" w14:textId="77777777" w:rsidR="00D1587D" w:rsidRDefault="00410D07">
      <w:pPr>
        <w:ind w:right="60"/>
        <w:jc w:val="center"/>
        <w:rPr>
          <w:sz w:val="20"/>
          <w:szCs w:val="20"/>
        </w:rPr>
      </w:pPr>
      <w:r>
        <w:rPr>
          <w:rFonts w:ascii="Arial" w:eastAsia="Arial" w:hAnsi="Arial" w:cs="Arial"/>
          <w:sz w:val="18"/>
          <w:szCs w:val="18"/>
        </w:rPr>
        <w:t>49</w:t>
      </w:r>
    </w:p>
    <w:p w14:paraId="05796810" w14:textId="77777777" w:rsidR="00D1587D" w:rsidRDefault="00410D07">
      <w:pPr>
        <w:spacing w:line="20" w:lineRule="exact"/>
        <w:rPr>
          <w:sz w:val="20"/>
          <w:szCs w:val="20"/>
        </w:rPr>
      </w:pPr>
      <w:r>
        <w:rPr>
          <w:noProof/>
          <w:sz w:val="20"/>
          <w:szCs w:val="20"/>
        </w:rPr>
        <w:drawing>
          <wp:anchor distT="0" distB="0" distL="114300" distR="114300" simplePos="0" relativeHeight="251201536" behindDoc="1" locked="0" layoutInCell="0" allowOverlap="1" wp14:anchorId="0F1BBA44" wp14:editId="35C574AE">
            <wp:simplePos x="0" y="0"/>
            <wp:positionH relativeFrom="column">
              <wp:posOffset>5080</wp:posOffset>
            </wp:positionH>
            <wp:positionV relativeFrom="paragraph">
              <wp:posOffset>48895</wp:posOffset>
            </wp:positionV>
            <wp:extent cx="7132320" cy="1714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D99EAE2" w14:textId="77777777" w:rsidR="00D1587D" w:rsidRDefault="00D1587D">
      <w:pPr>
        <w:sectPr w:rsidR="00D1587D">
          <w:pgSz w:w="11900" w:h="16838"/>
          <w:pgMar w:top="341" w:right="339" w:bottom="1440" w:left="320" w:header="0" w:footer="0" w:gutter="0"/>
          <w:cols w:space="720" w:equalWidth="0">
            <w:col w:w="11240"/>
          </w:cols>
        </w:sectPr>
      </w:pPr>
    </w:p>
    <w:p w14:paraId="34D49500" w14:textId="77777777" w:rsidR="00D1587D" w:rsidRDefault="00410D07">
      <w:pPr>
        <w:spacing w:line="281" w:lineRule="auto"/>
        <w:ind w:right="40" w:firstLine="873"/>
        <w:rPr>
          <w:sz w:val="20"/>
          <w:szCs w:val="20"/>
        </w:rPr>
      </w:pPr>
      <w:bookmarkStart w:id="58" w:name="page59"/>
      <w:bookmarkEnd w:id="58"/>
      <w:r>
        <w:rPr>
          <w:rFonts w:ascii="Arial" w:eastAsia="Arial" w:hAnsi="Arial" w:cs="Arial"/>
          <w:sz w:val="17"/>
          <w:szCs w:val="17"/>
        </w:rPr>
        <w:t xml:space="preserve">Section 6.09. </w:t>
      </w:r>
      <w:r>
        <w:rPr>
          <w:rFonts w:ascii="Arial" w:eastAsia="Arial" w:hAnsi="Arial" w:cs="Arial"/>
          <w:i/>
          <w:iCs/>
          <w:sz w:val="17"/>
          <w:szCs w:val="17"/>
        </w:rPr>
        <w:t>Dispute Resolution</w:t>
      </w:r>
      <w:r>
        <w:rPr>
          <w:rFonts w:ascii="Arial" w:eastAsia="Arial" w:hAnsi="Arial" w:cs="Arial"/>
          <w:sz w:val="17"/>
          <w:szCs w:val="17"/>
        </w:rPr>
        <w:t>. (a) With respect to matters under this Agreement requiring dispute resolution (each, a “</w:t>
      </w:r>
      <w:r>
        <w:rPr>
          <w:rFonts w:ascii="Arial" w:eastAsia="Arial" w:hAnsi="Arial" w:cs="Arial"/>
          <w:b/>
          <w:bCs/>
          <w:sz w:val="17"/>
          <w:szCs w:val="17"/>
        </w:rPr>
        <w:t>Dispute</w:t>
      </w:r>
      <w:r>
        <w:rPr>
          <w:rFonts w:ascii="Arial" w:eastAsia="Arial" w:hAnsi="Arial" w:cs="Arial"/>
          <w:sz w:val="17"/>
          <w:szCs w:val="17"/>
        </w:rPr>
        <w:t>”), the disputing Party shall notify the other Party of such Dispute in writing and, upon the non-disputing Party’s receipt of such written notice, the Parties shall attempt to resolve such Dispute in good faith within thirty (30) days of such recei</w:t>
      </w:r>
      <w:r>
        <w:rPr>
          <w:rFonts w:ascii="Arial" w:eastAsia="Arial" w:hAnsi="Arial" w:cs="Arial"/>
          <w:sz w:val="17"/>
          <w:szCs w:val="17"/>
        </w:rPr>
        <w:t>pt, and if the Parties are unable to resolve such Dispute in such thirty (30) day period, then the Parties shall escalate such Dispute to each party’s Chief Financial Officer for resolution.</w:t>
      </w:r>
    </w:p>
    <w:p w14:paraId="5A6503FB" w14:textId="77777777" w:rsidR="00D1587D" w:rsidRDefault="00D1587D">
      <w:pPr>
        <w:spacing w:line="169" w:lineRule="exact"/>
        <w:rPr>
          <w:sz w:val="20"/>
          <w:szCs w:val="20"/>
        </w:rPr>
      </w:pPr>
    </w:p>
    <w:p w14:paraId="70568BFF" w14:textId="77777777" w:rsidR="00D1587D" w:rsidRDefault="00410D07">
      <w:pPr>
        <w:numPr>
          <w:ilvl w:val="0"/>
          <w:numId w:val="42"/>
        </w:numPr>
        <w:tabs>
          <w:tab w:val="left" w:pos="1412"/>
        </w:tabs>
        <w:spacing w:line="263" w:lineRule="auto"/>
        <w:ind w:firstLine="850"/>
        <w:rPr>
          <w:rFonts w:ascii="Arial" w:eastAsia="Arial" w:hAnsi="Arial" w:cs="Arial"/>
          <w:sz w:val="18"/>
          <w:szCs w:val="18"/>
        </w:rPr>
      </w:pPr>
      <w:r>
        <w:rPr>
          <w:rFonts w:ascii="Arial" w:eastAsia="Arial" w:hAnsi="Arial" w:cs="Arial"/>
          <w:sz w:val="18"/>
          <w:szCs w:val="18"/>
        </w:rPr>
        <w:t>If the Parties’ Chief Financial Officers are unable to resolve s</w:t>
      </w:r>
      <w:r>
        <w:rPr>
          <w:rFonts w:ascii="Arial" w:eastAsia="Arial" w:hAnsi="Arial" w:cs="Arial"/>
          <w:sz w:val="18"/>
          <w:szCs w:val="18"/>
        </w:rPr>
        <w:t>uch Dispute within thirty (30) days following such receipt of such notice, then either Party shall initiate a non-binding mediation by providing written notice (a “</w:t>
      </w:r>
      <w:r>
        <w:rPr>
          <w:rFonts w:ascii="Arial" w:eastAsia="Arial" w:hAnsi="Arial" w:cs="Arial"/>
          <w:b/>
          <w:bCs/>
          <w:sz w:val="18"/>
          <w:szCs w:val="18"/>
        </w:rPr>
        <w:t>Mediation Notice</w:t>
      </w:r>
      <w:r>
        <w:rPr>
          <w:rFonts w:ascii="Arial" w:eastAsia="Arial" w:hAnsi="Arial" w:cs="Arial"/>
          <w:sz w:val="18"/>
          <w:szCs w:val="18"/>
        </w:rPr>
        <w:t xml:space="preserve">”) to the other Party within five (5) Business Days following the </w:t>
      </w:r>
      <w:r>
        <w:rPr>
          <w:rFonts w:ascii="Arial" w:eastAsia="Arial" w:hAnsi="Arial" w:cs="Arial"/>
          <w:sz w:val="18"/>
          <w:szCs w:val="18"/>
        </w:rPr>
        <w:t>expiration of such thirty (30) day period.</w:t>
      </w:r>
    </w:p>
    <w:p w14:paraId="4345B158" w14:textId="77777777" w:rsidR="00D1587D" w:rsidRDefault="00D1587D">
      <w:pPr>
        <w:spacing w:line="183" w:lineRule="exact"/>
        <w:rPr>
          <w:rFonts w:ascii="Arial" w:eastAsia="Arial" w:hAnsi="Arial" w:cs="Arial"/>
          <w:sz w:val="18"/>
          <w:szCs w:val="18"/>
        </w:rPr>
      </w:pPr>
    </w:p>
    <w:p w14:paraId="63B1529C" w14:textId="77777777" w:rsidR="00D1587D" w:rsidRDefault="00410D07">
      <w:pPr>
        <w:numPr>
          <w:ilvl w:val="0"/>
          <w:numId w:val="42"/>
        </w:numPr>
        <w:tabs>
          <w:tab w:val="left" w:pos="1402"/>
        </w:tabs>
        <w:spacing w:line="255" w:lineRule="auto"/>
        <w:ind w:right="20" w:firstLine="850"/>
        <w:rPr>
          <w:rFonts w:ascii="Arial" w:eastAsia="Arial" w:hAnsi="Arial" w:cs="Arial"/>
          <w:sz w:val="18"/>
          <w:szCs w:val="18"/>
        </w:rPr>
      </w:pPr>
      <w:r>
        <w:rPr>
          <w:rFonts w:ascii="Arial" w:eastAsia="Arial" w:hAnsi="Arial" w:cs="Arial"/>
          <w:sz w:val="18"/>
          <w:szCs w:val="18"/>
        </w:rPr>
        <w:t>Upon receipt of a Mediation Notice, the applicable Dispute shall be submitted within five (5) Business Days following such receipt of such Mediation Notice for non-binding mediation conducted in accordance with t</w:t>
      </w:r>
      <w:r>
        <w:rPr>
          <w:rFonts w:ascii="Arial" w:eastAsia="Arial" w:hAnsi="Arial" w:cs="Arial"/>
          <w:sz w:val="18"/>
          <w:szCs w:val="18"/>
        </w:rPr>
        <w:t>he Commercial Mediation Rules of the American Arbitration Association (“</w:t>
      </w:r>
      <w:r>
        <w:rPr>
          <w:rFonts w:ascii="Arial" w:eastAsia="Arial" w:hAnsi="Arial" w:cs="Arial"/>
          <w:b/>
          <w:bCs/>
          <w:sz w:val="18"/>
          <w:szCs w:val="18"/>
        </w:rPr>
        <w:t>Arbitration Association</w:t>
      </w:r>
      <w:r>
        <w:rPr>
          <w:rFonts w:ascii="Arial" w:eastAsia="Arial" w:hAnsi="Arial" w:cs="Arial"/>
          <w:sz w:val="18"/>
          <w:szCs w:val="18"/>
        </w:rPr>
        <w:t xml:space="preserve">”), and the Parties agree to bear equally the costs of such mediation (including any fees or expenses of the applicable mediator); </w:t>
      </w:r>
      <w:r>
        <w:rPr>
          <w:rFonts w:ascii="Arial" w:eastAsia="Arial" w:hAnsi="Arial" w:cs="Arial"/>
          <w:i/>
          <w:iCs/>
          <w:sz w:val="18"/>
          <w:szCs w:val="18"/>
        </w:rPr>
        <w:t xml:space="preserve">provided </w:t>
      </w:r>
      <w:r>
        <w:rPr>
          <w:rFonts w:ascii="Arial" w:eastAsia="Arial" w:hAnsi="Arial" w:cs="Arial"/>
          <w:sz w:val="18"/>
          <w:szCs w:val="18"/>
        </w:rPr>
        <w:t>that each Party shall</w:t>
      </w:r>
      <w:r>
        <w:rPr>
          <w:rFonts w:ascii="Arial" w:eastAsia="Arial" w:hAnsi="Arial" w:cs="Arial"/>
          <w:sz w:val="18"/>
          <w:szCs w:val="18"/>
        </w:rPr>
        <w:t xml:space="preserve"> bear its own costs in connection with participating in such mediation. The Parties agree to participate in good faith in such</w:t>
      </w:r>
      <w:r>
        <w:rPr>
          <w:rFonts w:ascii="Arial" w:eastAsia="Arial" w:hAnsi="Arial" w:cs="Arial"/>
          <w:i/>
          <w:iCs/>
          <w:sz w:val="18"/>
          <w:szCs w:val="18"/>
        </w:rPr>
        <w:t xml:space="preserve"> </w:t>
      </w:r>
      <w:r>
        <w:rPr>
          <w:rFonts w:ascii="Arial" w:eastAsia="Arial" w:hAnsi="Arial" w:cs="Arial"/>
          <w:sz w:val="18"/>
          <w:szCs w:val="18"/>
        </w:rPr>
        <w:t xml:space="preserve">mediation for a period of forty-five (45) days or such longer period as the Parties may mutually agree following receipt of such </w:t>
      </w:r>
      <w:r>
        <w:rPr>
          <w:rFonts w:ascii="Arial" w:eastAsia="Arial" w:hAnsi="Arial" w:cs="Arial"/>
          <w:sz w:val="18"/>
          <w:szCs w:val="18"/>
        </w:rPr>
        <w:t>Mediation Notice (the “</w:t>
      </w:r>
      <w:r>
        <w:rPr>
          <w:rFonts w:ascii="Arial" w:eastAsia="Arial" w:hAnsi="Arial" w:cs="Arial"/>
          <w:b/>
          <w:bCs/>
          <w:sz w:val="18"/>
          <w:szCs w:val="18"/>
        </w:rPr>
        <w:t>Mediation Period</w:t>
      </w:r>
      <w:r>
        <w:rPr>
          <w:rFonts w:ascii="Arial" w:eastAsia="Arial" w:hAnsi="Arial" w:cs="Arial"/>
          <w:sz w:val="18"/>
          <w:szCs w:val="18"/>
        </w:rPr>
        <w:t>”).</w:t>
      </w:r>
    </w:p>
    <w:p w14:paraId="24BB1C1E" w14:textId="77777777" w:rsidR="00D1587D" w:rsidRDefault="00D1587D">
      <w:pPr>
        <w:spacing w:line="192" w:lineRule="exact"/>
        <w:rPr>
          <w:rFonts w:ascii="Arial" w:eastAsia="Arial" w:hAnsi="Arial" w:cs="Arial"/>
          <w:sz w:val="18"/>
          <w:szCs w:val="18"/>
        </w:rPr>
      </w:pPr>
    </w:p>
    <w:p w14:paraId="39325E86" w14:textId="77777777" w:rsidR="00D1587D" w:rsidRDefault="00410D07">
      <w:pPr>
        <w:numPr>
          <w:ilvl w:val="0"/>
          <w:numId w:val="42"/>
        </w:numPr>
        <w:tabs>
          <w:tab w:val="left" w:pos="1367"/>
        </w:tabs>
        <w:spacing w:line="257" w:lineRule="auto"/>
        <w:ind w:right="80" w:firstLine="850"/>
        <w:rPr>
          <w:rFonts w:ascii="Arial" w:eastAsia="Arial" w:hAnsi="Arial" w:cs="Arial"/>
          <w:sz w:val="18"/>
          <w:szCs w:val="18"/>
        </w:rPr>
      </w:pPr>
      <w:r>
        <w:rPr>
          <w:rFonts w:ascii="Arial" w:eastAsia="Arial" w:hAnsi="Arial" w:cs="Arial"/>
          <w:sz w:val="18"/>
          <w:szCs w:val="18"/>
        </w:rPr>
        <w:t>In connection with such mediation, the Parties shall cooperate with the Arbitration Association and with one another in selecting a neutral mediator with relevant industry experience and in scheduling the mediati</w:t>
      </w:r>
      <w:r>
        <w:rPr>
          <w:rFonts w:ascii="Arial" w:eastAsia="Arial" w:hAnsi="Arial" w:cs="Arial"/>
          <w:sz w:val="18"/>
          <w:szCs w:val="18"/>
        </w:rPr>
        <w:t>on proceedings during the applicable Mediation Period. If the Parties are unable to agree on a neutral mediator within five (5) Business Days of submitting a Dispute for mediation pursuant to Section 6.09(c), application shall be made by the Parties to the</w:t>
      </w:r>
      <w:r>
        <w:rPr>
          <w:rFonts w:ascii="Arial" w:eastAsia="Arial" w:hAnsi="Arial" w:cs="Arial"/>
          <w:sz w:val="18"/>
          <w:szCs w:val="18"/>
        </w:rPr>
        <w:t xml:space="preserve"> Arbitration Association for the Arbitration Association to select and appoint a neutral mediator on the Parties’ behalf in accordance with the Commercial Mediation Rules of the Arbitration Association.</w:t>
      </w:r>
    </w:p>
    <w:p w14:paraId="5C611A49" w14:textId="77777777" w:rsidR="00D1587D" w:rsidRDefault="00D1587D">
      <w:pPr>
        <w:spacing w:line="187" w:lineRule="exact"/>
        <w:rPr>
          <w:rFonts w:ascii="Arial" w:eastAsia="Arial" w:hAnsi="Arial" w:cs="Arial"/>
          <w:sz w:val="18"/>
          <w:szCs w:val="18"/>
        </w:rPr>
      </w:pPr>
    </w:p>
    <w:p w14:paraId="143A5A08" w14:textId="77777777" w:rsidR="00D1587D" w:rsidRDefault="00410D07">
      <w:pPr>
        <w:numPr>
          <w:ilvl w:val="0"/>
          <w:numId w:val="42"/>
        </w:numPr>
        <w:tabs>
          <w:tab w:val="left" w:pos="1354"/>
        </w:tabs>
        <w:spacing w:line="259" w:lineRule="auto"/>
        <w:ind w:right="40" w:firstLine="850"/>
        <w:rPr>
          <w:rFonts w:ascii="Arial" w:eastAsia="Arial" w:hAnsi="Arial" w:cs="Arial"/>
          <w:sz w:val="18"/>
          <w:szCs w:val="18"/>
        </w:rPr>
      </w:pPr>
      <w:r>
        <w:rPr>
          <w:rFonts w:ascii="Arial" w:eastAsia="Arial" w:hAnsi="Arial" w:cs="Arial"/>
          <w:sz w:val="18"/>
          <w:szCs w:val="18"/>
        </w:rPr>
        <w:t>The Parties further agree that all information, whet</w:t>
      </w:r>
      <w:r>
        <w:rPr>
          <w:rFonts w:ascii="Arial" w:eastAsia="Arial" w:hAnsi="Arial" w:cs="Arial"/>
          <w:sz w:val="18"/>
          <w:szCs w:val="18"/>
        </w:rPr>
        <w:t xml:space="preserve">her oral or written, provided in the course of any such mediation by either Party or their Representatives, and by the applicable mediator and any employees of the mediation service, is confidential, privileged, and inadmissible for any purpose, including </w:t>
      </w:r>
      <w:r>
        <w:rPr>
          <w:rFonts w:ascii="Arial" w:eastAsia="Arial" w:hAnsi="Arial" w:cs="Arial"/>
          <w:sz w:val="18"/>
          <w:szCs w:val="18"/>
        </w:rPr>
        <w:t xml:space="preserve">impeachment, in any Action involving the Parties; </w:t>
      </w:r>
      <w:r>
        <w:rPr>
          <w:rFonts w:ascii="Arial" w:eastAsia="Arial" w:hAnsi="Arial" w:cs="Arial"/>
          <w:i/>
          <w:iCs/>
          <w:sz w:val="18"/>
          <w:szCs w:val="18"/>
        </w:rPr>
        <w:t>provided</w:t>
      </w:r>
      <w:r>
        <w:rPr>
          <w:rFonts w:ascii="Arial" w:eastAsia="Arial" w:hAnsi="Arial" w:cs="Arial"/>
          <w:sz w:val="18"/>
          <w:szCs w:val="18"/>
        </w:rPr>
        <w:t xml:space="preserve"> that any such information that is otherwise admissible or discoverable shall not be rendered inadmissible or non-discoverable as a result of its use in such mediation.</w:t>
      </w:r>
    </w:p>
    <w:p w14:paraId="1D9CB3E2" w14:textId="77777777" w:rsidR="00D1587D" w:rsidRDefault="00D1587D">
      <w:pPr>
        <w:spacing w:line="186" w:lineRule="exact"/>
        <w:rPr>
          <w:rFonts w:ascii="Arial" w:eastAsia="Arial" w:hAnsi="Arial" w:cs="Arial"/>
          <w:sz w:val="18"/>
          <w:szCs w:val="18"/>
        </w:rPr>
      </w:pPr>
    </w:p>
    <w:p w14:paraId="1FADA9D0" w14:textId="77777777" w:rsidR="00D1587D" w:rsidRDefault="00410D07">
      <w:pPr>
        <w:numPr>
          <w:ilvl w:val="0"/>
          <w:numId w:val="42"/>
        </w:numPr>
        <w:tabs>
          <w:tab w:val="left" w:pos="1337"/>
        </w:tabs>
        <w:spacing w:line="279" w:lineRule="auto"/>
        <w:ind w:right="100" w:firstLine="850"/>
        <w:rPr>
          <w:rFonts w:ascii="Arial" w:eastAsia="Arial" w:hAnsi="Arial" w:cs="Arial"/>
          <w:sz w:val="17"/>
          <w:szCs w:val="17"/>
        </w:rPr>
      </w:pPr>
      <w:r>
        <w:rPr>
          <w:rFonts w:ascii="Arial" w:eastAsia="Arial" w:hAnsi="Arial" w:cs="Arial"/>
          <w:sz w:val="17"/>
          <w:szCs w:val="17"/>
        </w:rPr>
        <w:t xml:space="preserve">If the Parties cannot </w:t>
      </w:r>
      <w:r>
        <w:rPr>
          <w:rFonts w:ascii="Arial" w:eastAsia="Arial" w:hAnsi="Arial" w:cs="Arial"/>
          <w:sz w:val="17"/>
          <w:szCs w:val="17"/>
        </w:rPr>
        <w:t>resolve the Dispute for any reason, on and following the expiration of the Mediation Period, either party may commence litigation in a court of competent jurisdiction pursuant to the provisions of Section 6.10. Nothing contained in this Agreement shall den</w:t>
      </w:r>
      <w:r>
        <w:rPr>
          <w:rFonts w:ascii="Arial" w:eastAsia="Arial" w:hAnsi="Arial" w:cs="Arial"/>
          <w:sz w:val="17"/>
          <w:szCs w:val="17"/>
        </w:rPr>
        <w:t>y either Party the right to seek injunctive or other equitable relief from a court of competent jurisdiction in the context of a bona fide emergency or prospective irreparable harm, and such an Action may be filed and maintained notwithstanding any ongoing</w:t>
      </w:r>
      <w:r>
        <w:rPr>
          <w:rFonts w:ascii="Arial" w:eastAsia="Arial" w:hAnsi="Arial" w:cs="Arial"/>
          <w:sz w:val="17"/>
          <w:szCs w:val="17"/>
        </w:rPr>
        <w:t xml:space="preserve"> efforts under this Section 6.09.</w:t>
      </w:r>
    </w:p>
    <w:p w14:paraId="645859B1" w14:textId="77777777" w:rsidR="00D1587D" w:rsidRDefault="00D1587D">
      <w:pPr>
        <w:spacing w:line="158" w:lineRule="exact"/>
        <w:rPr>
          <w:sz w:val="20"/>
          <w:szCs w:val="20"/>
        </w:rPr>
      </w:pPr>
    </w:p>
    <w:p w14:paraId="2C75BFEE" w14:textId="77777777" w:rsidR="00D1587D" w:rsidRDefault="00410D07">
      <w:pPr>
        <w:ind w:right="20"/>
        <w:jc w:val="center"/>
        <w:rPr>
          <w:sz w:val="20"/>
          <w:szCs w:val="20"/>
        </w:rPr>
      </w:pPr>
      <w:r>
        <w:rPr>
          <w:rFonts w:ascii="Arial" w:eastAsia="Arial" w:hAnsi="Arial" w:cs="Arial"/>
          <w:sz w:val="18"/>
          <w:szCs w:val="18"/>
        </w:rPr>
        <w:t>50</w:t>
      </w:r>
    </w:p>
    <w:p w14:paraId="3C50E521" w14:textId="77777777" w:rsidR="00D1587D" w:rsidRDefault="00410D07">
      <w:pPr>
        <w:spacing w:line="20" w:lineRule="exact"/>
        <w:rPr>
          <w:sz w:val="20"/>
          <w:szCs w:val="20"/>
        </w:rPr>
      </w:pPr>
      <w:r>
        <w:rPr>
          <w:noProof/>
          <w:sz w:val="20"/>
          <w:szCs w:val="20"/>
        </w:rPr>
        <w:drawing>
          <wp:anchor distT="0" distB="0" distL="114300" distR="114300" simplePos="0" relativeHeight="251202560" behindDoc="1" locked="0" layoutInCell="0" allowOverlap="1" wp14:anchorId="731A16F7" wp14:editId="4AF0072D">
            <wp:simplePos x="0" y="0"/>
            <wp:positionH relativeFrom="column">
              <wp:posOffset>5080</wp:posOffset>
            </wp:positionH>
            <wp:positionV relativeFrom="paragraph">
              <wp:posOffset>48895</wp:posOffset>
            </wp:positionV>
            <wp:extent cx="7132320" cy="1714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672EA66" w14:textId="77777777" w:rsidR="00D1587D" w:rsidRDefault="00D1587D">
      <w:pPr>
        <w:sectPr w:rsidR="00D1587D">
          <w:pgSz w:w="11900" w:h="16838"/>
          <w:pgMar w:top="337" w:right="379" w:bottom="1440" w:left="320" w:header="0" w:footer="0" w:gutter="0"/>
          <w:cols w:space="720" w:equalWidth="0">
            <w:col w:w="11200"/>
          </w:cols>
        </w:sectPr>
      </w:pPr>
    </w:p>
    <w:p w14:paraId="01970281" w14:textId="77777777" w:rsidR="00D1587D" w:rsidRDefault="00410D07">
      <w:pPr>
        <w:spacing w:line="289" w:lineRule="auto"/>
        <w:ind w:right="60" w:firstLine="873"/>
        <w:rPr>
          <w:sz w:val="20"/>
          <w:szCs w:val="20"/>
        </w:rPr>
      </w:pPr>
      <w:bookmarkStart w:id="59" w:name="page60"/>
      <w:bookmarkEnd w:id="59"/>
      <w:r>
        <w:rPr>
          <w:rFonts w:ascii="Arial" w:eastAsia="Arial" w:hAnsi="Arial" w:cs="Arial"/>
          <w:sz w:val="16"/>
          <w:szCs w:val="16"/>
        </w:rPr>
        <w:t xml:space="preserve">Section 6.10. </w:t>
      </w:r>
      <w:r>
        <w:rPr>
          <w:rFonts w:ascii="Arial" w:eastAsia="Arial" w:hAnsi="Arial" w:cs="Arial"/>
          <w:i/>
          <w:iCs/>
          <w:sz w:val="16"/>
          <w:szCs w:val="16"/>
        </w:rPr>
        <w:t>Jurisdiction.</w:t>
      </w:r>
      <w:r>
        <w:rPr>
          <w:rFonts w:ascii="Arial" w:eastAsia="Arial" w:hAnsi="Arial" w:cs="Arial"/>
          <w:sz w:val="16"/>
          <w:szCs w:val="16"/>
        </w:rPr>
        <w:t xml:space="preserve"> The Parties agree that any suit, action or proceeding seeking to enforce any provision of, or based on any matter arising out of or in connection with, this Agreement o</w:t>
      </w:r>
      <w:r>
        <w:rPr>
          <w:rFonts w:ascii="Arial" w:eastAsia="Arial" w:hAnsi="Arial" w:cs="Arial"/>
          <w:sz w:val="16"/>
          <w:szCs w:val="16"/>
        </w:rPr>
        <w:t>r the transactions contemplated hereby shall be brought in the Chancery Court of the State of Delaware and any state appellate court therefrom within the State of Delaware (or if the Chancery Court of the State of Delaware declines to accept jurisdiction o</w:t>
      </w:r>
      <w:r>
        <w:rPr>
          <w:rFonts w:ascii="Arial" w:eastAsia="Arial" w:hAnsi="Arial" w:cs="Arial"/>
          <w:sz w:val="16"/>
          <w:szCs w:val="16"/>
        </w:rPr>
        <w:t>ver a particular matter, any federal or state court sitting in the State of Delaware and any federal or state appellate court therefrom), and each of the Parties hereto hereby irrevocably consents to the exclusive jurisdiction of such courts in any such su</w:t>
      </w:r>
      <w:r>
        <w:rPr>
          <w:rFonts w:ascii="Arial" w:eastAsia="Arial" w:hAnsi="Arial" w:cs="Arial"/>
          <w:sz w:val="16"/>
          <w:szCs w:val="16"/>
        </w:rPr>
        <w:t>it, action or proceeding and irrevocably waives, to the fullest extent permitted by law, any objection that it may now or hereafter have to the laying of the venue of any such suit, action or proceeding in any such court or that any such suit, action or pr</w:t>
      </w:r>
      <w:r>
        <w:rPr>
          <w:rFonts w:ascii="Arial" w:eastAsia="Arial" w:hAnsi="Arial" w:cs="Arial"/>
          <w:sz w:val="16"/>
          <w:szCs w:val="16"/>
        </w:rPr>
        <w:t>oceeding brought in any such court has been brought in an inconvenient forum. Process in any such suit, action or proceeding may be served on any Party anywhere in the world, whether within or without the jurisdiction of any such court. Without limiting th</w:t>
      </w:r>
      <w:r>
        <w:rPr>
          <w:rFonts w:ascii="Arial" w:eastAsia="Arial" w:hAnsi="Arial" w:cs="Arial"/>
          <w:sz w:val="16"/>
          <w:szCs w:val="16"/>
        </w:rPr>
        <w:t>e foregoing, each Party agrees that service of process on such Party as provided in Section 6.01 shall be deemed effective service of process on such Party.</w:t>
      </w:r>
    </w:p>
    <w:p w14:paraId="1947D23A" w14:textId="77777777" w:rsidR="00D1587D" w:rsidRDefault="00D1587D">
      <w:pPr>
        <w:spacing w:line="166" w:lineRule="exact"/>
        <w:rPr>
          <w:sz w:val="20"/>
          <w:szCs w:val="20"/>
        </w:rPr>
      </w:pPr>
    </w:p>
    <w:p w14:paraId="7358B9DC" w14:textId="77777777" w:rsidR="00D1587D" w:rsidRDefault="00410D07">
      <w:pPr>
        <w:spacing w:line="263" w:lineRule="auto"/>
        <w:ind w:right="460" w:firstLine="918"/>
        <w:rPr>
          <w:sz w:val="20"/>
          <w:szCs w:val="20"/>
        </w:rPr>
      </w:pPr>
      <w:r>
        <w:rPr>
          <w:rFonts w:ascii="Arial" w:eastAsia="Arial" w:hAnsi="Arial" w:cs="Arial"/>
          <w:sz w:val="18"/>
          <w:szCs w:val="18"/>
        </w:rPr>
        <w:t>Section 6.11</w:t>
      </w:r>
      <w:r>
        <w:rPr>
          <w:rFonts w:ascii="Arial" w:eastAsia="Arial" w:hAnsi="Arial" w:cs="Arial"/>
          <w:i/>
          <w:iCs/>
          <w:sz w:val="18"/>
          <w:szCs w:val="18"/>
        </w:rPr>
        <w:t>. WAIVER OF JURY TRIAL.</w:t>
      </w:r>
      <w:r>
        <w:rPr>
          <w:rFonts w:ascii="Arial" w:eastAsia="Arial" w:hAnsi="Arial" w:cs="Arial"/>
          <w:sz w:val="18"/>
          <w:szCs w:val="18"/>
        </w:rPr>
        <w:t xml:space="preserve"> EACH OF THE PARTIES HERETO HEREBY IRREVOCABLY WAIVES ANY AND A</w:t>
      </w:r>
      <w:r>
        <w:rPr>
          <w:rFonts w:ascii="Arial" w:eastAsia="Arial" w:hAnsi="Arial" w:cs="Arial"/>
          <w:sz w:val="18"/>
          <w:szCs w:val="18"/>
        </w:rPr>
        <w:t>LL RIGHT TO TRIAL BY JURY IN ANY LEGAL PROCEEDING ARISING OUT OF OR RELATED TO THIS AGREEMENT OR THE TRANSACTIONS CONTEMPLATED HEREBY.</w:t>
      </w:r>
    </w:p>
    <w:p w14:paraId="2DDF1A82" w14:textId="77777777" w:rsidR="00D1587D" w:rsidRDefault="00D1587D">
      <w:pPr>
        <w:spacing w:line="184" w:lineRule="exact"/>
        <w:rPr>
          <w:sz w:val="20"/>
          <w:szCs w:val="20"/>
        </w:rPr>
      </w:pPr>
    </w:p>
    <w:p w14:paraId="6308A68B" w14:textId="77777777" w:rsidR="00D1587D" w:rsidRDefault="00410D07">
      <w:pPr>
        <w:spacing w:line="272" w:lineRule="auto"/>
        <w:ind w:firstLine="873"/>
        <w:rPr>
          <w:sz w:val="20"/>
          <w:szCs w:val="20"/>
        </w:rPr>
      </w:pPr>
      <w:r>
        <w:rPr>
          <w:rFonts w:ascii="Arial" w:eastAsia="Arial" w:hAnsi="Arial" w:cs="Arial"/>
          <w:sz w:val="17"/>
          <w:szCs w:val="17"/>
        </w:rPr>
        <w:t xml:space="preserve">Section 6.12. </w:t>
      </w:r>
      <w:r>
        <w:rPr>
          <w:rFonts w:ascii="Arial" w:eastAsia="Arial" w:hAnsi="Arial" w:cs="Arial"/>
          <w:i/>
          <w:iCs/>
          <w:sz w:val="17"/>
          <w:szCs w:val="17"/>
        </w:rPr>
        <w:t>Termination</w:t>
      </w:r>
      <w:r>
        <w:rPr>
          <w:rFonts w:ascii="Arial" w:eastAsia="Arial" w:hAnsi="Arial" w:cs="Arial"/>
          <w:sz w:val="17"/>
          <w:szCs w:val="17"/>
        </w:rPr>
        <w:t xml:space="preserve">. Notwithstanding any provision of this Agreement to the contrary, the Board of </w:t>
      </w:r>
      <w:r>
        <w:rPr>
          <w:rFonts w:ascii="Arial" w:eastAsia="Arial" w:hAnsi="Arial" w:cs="Arial"/>
          <w:sz w:val="17"/>
          <w:szCs w:val="17"/>
        </w:rPr>
        <w:t>Directors of L Brands may, in its sole discretion and without the approval of VS or any other Person, at any time prior to the Distribution terminate this Agreement and the Ancillary Agreements or abandon the Distribution, whether or not it has theretofore</w:t>
      </w:r>
      <w:r>
        <w:rPr>
          <w:rFonts w:ascii="Arial" w:eastAsia="Arial" w:hAnsi="Arial" w:cs="Arial"/>
          <w:sz w:val="17"/>
          <w:szCs w:val="17"/>
        </w:rPr>
        <w:t xml:space="preserve"> approved this Agreement and the Ancillary Agreements or the Distribution. In the event this Agreement and the Ancillary Agreements are terminated pursuant to the preceding sentence, this Agreement and the Ancillary Agreements shall forthwith become void a</w:t>
      </w:r>
      <w:r>
        <w:rPr>
          <w:rFonts w:ascii="Arial" w:eastAsia="Arial" w:hAnsi="Arial" w:cs="Arial"/>
          <w:sz w:val="17"/>
          <w:szCs w:val="17"/>
        </w:rPr>
        <w:t>nd neither Party nor any of its Affiliates or its or their directors or officers shall have any liability or further obligation to the other Party or its Affiliates or any other Person by reason of this Agreement or the Ancillary Agreements. After the Dist</w:t>
      </w:r>
      <w:r>
        <w:rPr>
          <w:rFonts w:ascii="Arial" w:eastAsia="Arial" w:hAnsi="Arial" w:cs="Arial"/>
          <w:sz w:val="17"/>
          <w:szCs w:val="17"/>
        </w:rPr>
        <w:t>ribution Time, this Agreement may not be terminated except by an agreement in writing signed by a duly authorized officer of each of the Parties.</w:t>
      </w:r>
    </w:p>
    <w:p w14:paraId="5DEA20F9" w14:textId="77777777" w:rsidR="00D1587D" w:rsidRDefault="00D1587D">
      <w:pPr>
        <w:spacing w:line="177" w:lineRule="exact"/>
        <w:rPr>
          <w:sz w:val="20"/>
          <w:szCs w:val="20"/>
        </w:rPr>
      </w:pPr>
    </w:p>
    <w:p w14:paraId="79FFE1AC" w14:textId="77777777" w:rsidR="00D1587D" w:rsidRDefault="00410D07">
      <w:pPr>
        <w:spacing w:line="301" w:lineRule="auto"/>
        <w:ind w:right="60" w:firstLine="873"/>
        <w:rPr>
          <w:sz w:val="20"/>
          <w:szCs w:val="20"/>
        </w:rPr>
      </w:pPr>
      <w:r>
        <w:rPr>
          <w:rFonts w:ascii="Arial" w:eastAsia="Arial" w:hAnsi="Arial" w:cs="Arial"/>
          <w:sz w:val="16"/>
          <w:szCs w:val="16"/>
        </w:rPr>
        <w:t xml:space="preserve">Section 6.13. </w:t>
      </w:r>
      <w:r>
        <w:rPr>
          <w:rFonts w:ascii="Arial" w:eastAsia="Arial" w:hAnsi="Arial" w:cs="Arial"/>
          <w:i/>
          <w:iCs/>
          <w:sz w:val="16"/>
          <w:szCs w:val="16"/>
        </w:rPr>
        <w:t>Severability</w:t>
      </w:r>
      <w:r>
        <w:rPr>
          <w:rFonts w:ascii="Arial" w:eastAsia="Arial" w:hAnsi="Arial" w:cs="Arial"/>
          <w:sz w:val="16"/>
          <w:szCs w:val="16"/>
        </w:rPr>
        <w:t>. If any one or more of the provisions contained in this Agreement should be declar</w:t>
      </w:r>
      <w:r>
        <w:rPr>
          <w:rFonts w:ascii="Arial" w:eastAsia="Arial" w:hAnsi="Arial" w:cs="Arial"/>
          <w:sz w:val="16"/>
          <w:szCs w:val="16"/>
        </w:rPr>
        <w:t>ed invalid, illegal or unenforceable in any respect, the validity, legality and enforceability of the remaining provisions contained in this Agreement shall not in any way be affected or impaired thereby. Upon such a declaration, the Parties shall modify t</w:t>
      </w:r>
      <w:r>
        <w:rPr>
          <w:rFonts w:ascii="Arial" w:eastAsia="Arial" w:hAnsi="Arial" w:cs="Arial"/>
          <w:sz w:val="16"/>
          <w:szCs w:val="16"/>
        </w:rPr>
        <w:t>his Agreement so as to effect the original intent of the Parties as closely as possible in an acceptable manner so that the transactions contemplated hereby are consummated as originally contemplated to the fullest extent possible.</w:t>
      </w:r>
    </w:p>
    <w:p w14:paraId="68816EEE" w14:textId="77777777" w:rsidR="00D1587D" w:rsidRDefault="00D1587D">
      <w:pPr>
        <w:spacing w:line="144" w:lineRule="exact"/>
        <w:rPr>
          <w:sz w:val="20"/>
          <w:szCs w:val="20"/>
        </w:rPr>
      </w:pPr>
    </w:p>
    <w:p w14:paraId="48898C95" w14:textId="77777777" w:rsidR="00D1587D" w:rsidRDefault="00410D07">
      <w:pPr>
        <w:ind w:right="-19"/>
        <w:jc w:val="center"/>
        <w:rPr>
          <w:sz w:val="20"/>
          <w:szCs w:val="20"/>
        </w:rPr>
      </w:pPr>
      <w:r>
        <w:rPr>
          <w:rFonts w:ascii="Arial" w:eastAsia="Arial" w:hAnsi="Arial" w:cs="Arial"/>
          <w:sz w:val="18"/>
          <w:szCs w:val="18"/>
        </w:rPr>
        <w:t>51</w:t>
      </w:r>
    </w:p>
    <w:p w14:paraId="5FE30E16" w14:textId="77777777" w:rsidR="00D1587D" w:rsidRDefault="00410D07">
      <w:pPr>
        <w:spacing w:line="20" w:lineRule="exact"/>
        <w:rPr>
          <w:sz w:val="20"/>
          <w:szCs w:val="20"/>
        </w:rPr>
      </w:pPr>
      <w:r>
        <w:rPr>
          <w:noProof/>
          <w:sz w:val="20"/>
          <w:szCs w:val="20"/>
        </w:rPr>
        <w:drawing>
          <wp:anchor distT="0" distB="0" distL="114300" distR="114300" simplePos="0" relativeHeight="251203584" behindDoc="1" locked="0" layoutInCell="0" allowOverlap="1" wp14:anchorId="75503684" wp14:editId="214858BF">
            <wp:simplePos x="0" y="0"/>
            <wp:positionH relativeFrom="column">
              <wp:posOffset>5080</wp:posOffset>
            </wp:positionH>
            <wp:positionV relativeFrom="paragraph">
              <wp:posOffset>48895</wp:posOffset>
            </wp:positionV>
            <wp:extent cx="7132320" cy="1714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4A059A8" w14:textId="77777777" w:rsidR="00D1587D" w:rsidRDefault="00D1587D">
      <w:pPr>
        <w:sectPr w:rsidR="00D1587D">
          <w:pgSz w:w="11900" w:h="16838"/>
          <w:pgMar w:top="341" w:right="399" w:bottom="1440" w:left="320" w:header="0" w:footer="0" w:gutter="0"/>
          <w:cols w:space="720" w:equalWidth="0">
            <w:col w:w="11180"/>
          </w:cols>
        </w:sectPr>
      </w:pPr>
    </w:p>
    <w:p w14:paraId="369C3894" w14:textId="77777777" w:rsidR="00D1587D" w:rsidRDefault="00410D07">
      <w:pPr>
        <w:spacing w:line="263" w:lineRule="auto"/>
        <w:ind w:right="400" w:firstLine="873"/>
        <w:rPr>
          <w:sz w:val="20"/>
          <w:szCs w:val="20"/>
        </w:rPr>
      </w:pPr>
      <w:bookmarkStart w:id="60" w:name="page61"/>
      <w:bookmarkEnd w:id="60"/>
      <w:r>
        <w:rPr>
          <w:rFonts w:ascii="Arial" w:eastAsia="Arial" w:hAnsi="Arial" w:cs="Arial"/>
          <w:sz w:val="18"/>
          <w:szCs w:val="18"/>
        </w:rPr>
        <w:t xml:space="preserve">Section 6.14. </w:t>
      </w:r>
      <w:r>
        <w:rPr>
          <w:rFonts w:ascii="Arial" w:eastAsia="Arial" w:hAnsi="Arial" w:cs="Arial"/>
          <w:i/>
          <w:iCs/>
          <w:sz w:val="18"/>
          <w:szCs w:val="18"/>
        </w:rPr>
        <w:t>Survival</w:t>
      </w:r>
      <w:r>
        <w:rPr>
          <w:rFonts w:ascii="Arial" w:eastAsia="Arial" w:hAnsi="Arial" w:cs="Arial"/>
          <w:sz w:val="18"/>
          <w:szCs w:val="18"/>
        </w:rPr>
        <w:t>. All covenants and agreements of the Parties contained in this Agreement, and Liability for the breach of any obligations contained herein, shall survive the Distribution Date indefinitely, unless a specific survi</w:t>
      </w:r>
      <w:r>
        <w:rPr>
          <w:rFonts w:ascii="Arial" w:eastAsia="Arial" w:hAnsi="Arial" w:cs="Arial"/>
          <w:sz w:val="18"/>
          <w:szCs w:val="18"/>
        </w:rPr>
        <w:t>val or other applicable period is expressly set forth herein.</w:t>
      </w:r>
    </w:p>
    <w:p w14:paraId="22336899" w14:textId="77777777" w:rsidR="00D1587D" w:rsidRDefault="00D1587D">
      <w:pPr>
        <w:spacing w:line="184" w:lineRule="exact"/>
        <w:rPr>
          <w:sz w:val="20"/>
          <w:szCs w:val="20"/>
        </w:rPr>
      </w:pPr>
    </w:p>
    <w:p w14:paraId="29407F77" w14:textId="77777777" w:rsidR="00D1587D" w:rsidRDefault="00410D07">
      <w:pPr>
        <w:spacing w:line="277" w:lineRule="auto"/>
        <w:ind w:right="600" w:firstLine="873"/>
        <w:rPr>
          <w:sz w:val="20"/>
          <w:szCs w:val="20"/>
        </w:rPr>
      </w:pPr>
      <w:r>
        <w:rPr>
          <w:rFonts w:ascii="Arial" w:eastAsia="Arial" w:hAnsi="Arial" w:cs="Arial"/>
          <w:sz w:val="18"/>
          <w:szCs w:val="18"/>
        </w:rPr>
        <w:t xml:space="preserve">Section 6.15. </w:t>
      </w:r>
      <w:r>
        <w:rPr>
          <w:rFonts w:ascii="Arial" w:eastAsia="Arial" w:hAnsi="Arial" w:cs="Arial"/>
          <w:i/>
          <w:iCs/>
          <w:sz w:val="18"/>
          <w:szCs w:val="18"/>
        </w:rPr>
        <w:t>Captions</w:t>
      </w:r>
      <w:r>
        <w:rPr>
          <w:rFonts w:ascii="Arial" w:eastAsia="Arial" w:hAnsi="Arial" w:cs="Arial"/>
          <w:sz w:val="18"/>
          <w:szCs w:val="18"/>
        </w:rPr>
        <w:t>. The captions herein are included for convenience of reference only and shall be ignored in the construction or interpretation hereof.</w:t>
      </w:r>
    </w:p>
    <w:p w14:paraId="2A66AF74" w14:textId="77777777" w:rsidR="00D1587D" w:rsidRDefault="00D1587D">
      <w:pPr>
        <w:spacing w:line="170" w:lineRule="exact"/>
        <w:rPr>
          <w:sz w:val="20"/>
          <w:szCs w:val="20"/>
        </w:rPr>
      </w:pPr>
    </w:p>
    <w:p w14:paraId="4065C9F6" w14:textId="77777777" w:rsidR="00D1587D" w:rsidRDefault="00410D07">
      <w:pPr>
        <w:spacing w:line="263" w:lineRule="auto"/>
        <w:ind w:right="180" w:firstLine="873"/>
        <w:jc w:val="both"/>
        <w:rPr>
          <w:sz w:val="20"/>
          <w:szCs w:val="20"/>
        </w:rPr>
      </w:pPr>
      <w:r>
        <w:rPr>
          <w:rFonts w:ascii="Arial" w:eastAsia="Arial" w:hAnsi="Arial" w:cs="Arial"/>
          <w:sz w:val="18"/>
          <w:szCs w:val="18"/>
        </w:rPr>
        <w:t>Section 6.16</w:t>
      </w:r>
      <w:r>
        <w:rPr>
          <w:rFonts w:ascii="Arial" w:eastAsia="Arial" w:hAnsi="Arial" w:cs="Arial"/>
          <w:i/>
          <w:iCs/>
          <w:sz w:val="18"/>
          <w:szCs w:val="18"/>
        </w:rPr>
        <w:t>. Interpretation.</w:t>
      </w:r>
      <w:r>
        <w:rPr>
          <w:rFonts w:ascii="Arial" w:eastAsia="Arial" w:hAnsi="Arial" w:cs="Arial"/>
          <w:sz w:val="18"/>
          <w:szCs w:val="18"/>
        </w:rPr>
        <w:t xml:space="preserve"> In t</w:t>
      </w:r>
      <w:r>
        <w:rPr>
          <w:rFonts w:ascii="Arial" w:eastAsia="Arial" w:hAnsi="Arial" w:cs="Arial"/>
          <w:sz w:val="18"/>
          <w:szCs w:val="18"/>
        </w:rPr>
        <w:t>he event an ambiguity or question of intent or interpretation arises, this Agreement shall be construed as if drafted jointly by the Parties, and no presumption or burden of proof shall arise favoring or disfavoring any Party by virtue of its authorship of</w:t>
      </w:r>
      <w:r>
        <w:rPr>
          <w:rFonts w:ascii="Arial" w:eastAsia="Arial" w:hAnsi="Arial" w:cs="Arial"/>
          <w:sz w:val="18"/>
          <w:szCs w:val="18"/>
        </w:rPr>
        <w:t xml:space="preserve"> any of the provisions of this Agreement.</w:t>
      </w:r>
    </w:p>
    <w:p w14:paraId="1C01AD86" w14:textId="77777777" w:rsidR="00D1587D" w:rsidRDefault="00D1587D">
      <w:pPr>
        <w:spacing w:line="184" w:lineRule="exact"/>
        <w:rPr>
          <w:sz w:val="20"/>
          <w:szCs w:val="20"/>
        </w:rPr>
      </w:pPr>
    </w:p>
    <w:p w14:paraId="076AA847" w14:textId="77777777" w:rsidR="00D1587D" w:rsidRDefault="00410D07">
      <w:pPr>
        <w:spacing w:line="253" w:lineRule="auto"/>
        <w:ind w:firstLine="873"/>
        <w:rPr>
          <w:sz w:val="20"/>
          <w:szCs w:val="20"/>
        </w:rPr>
      </w:pPr>
      <w:r>
        <w:rPr>
          <w:rFonts w:ascii="Arial" w:eastAsia="Arial" w:hAnsi="Arial" w:cs="Arial"/>
          <w:sz w:val="18"/>
          <w:szCs w:val="18"/>
        </w:rPr>
        <w:t xml:space="preserve">Section 6.17. </w:t>
      </w:r>
      <w:r>
        <w:rPr>
          <w:rFonts w:ascii="Arial" w:eastAsia="Arial" w:hAnsi="Arial" w:cs="Arial"/>
          <w:i/>
          <w:iCs/>
          <w:sz w:val="18"/>
          <w:szCs w:val="18"/>
        </w:rPr>
        <w:t>Specific Performance</w:t>
      </w:r>
      <w:r>
        <w:rPr>
          <w:rFonts w:ascii="Arial" w:eastAsia="Arial" w:hAnsi="Arial" w:cs="Arial"/>
          <w:sz w:val="18"/>
          <w:szCs w:val="18"/>
        </w:rPr>
        <w:t>. Each Party to this Agreement acknowledges and agrees that damages for a breach or threatened breach of any of the provisions of this Agreement would be inadequate and irreparabl</w:t>
      </w:r>
      <w:r>
        <w:rPr>
          <w:rFonts w:ascii="Arial" w:eastAsia="Arial" w:hAnsi="Arial" w:cs="Arial"/>
          <w:sz w:val="18"/>
          <w:szCs w:val="18"/>
        </w:rPr>
        <w:t>e harm would occur. In recognition of this fact, each Party agrees that, if there is a breach or threatened breach, in addition to any and all other rights and remedies at law or in equity, the other nonbreaching Party to this Agreement, without posting an</w:t>
      </w:r>
      <w:r>
        <w:rPr>
          <w:rFonts w:ascii="Arial" w:eastAsia="Arial" w:hAnsi="Arial" w:cs="Arial"/>
          <w:sz w:val="18"/>
          <w:szCs w:val="18"/>
        </w:rPr>
        <w:t>y bond, shall be entitled to seek and obtain equitable relief in the form of specific performance, temporary restraining order, temporary or permanent injunction, attachment, or any other equitable remedy which may then be available to obligate the breachi</w:t>
      </w:r>
      <w:r>
        <w:rPr>
          <w:rFonts w:ascii="Arial" w:eastAsia="Arial" w:hAnsi="Arial" w:cs="Arial"/>
          <w:sz w:val="18"/>
          <w:szCs w:val="18"/>
        </w:rPr>
        <w:t>ng Party (i) to perform its obligations under this Agreement or (ii) if the breaching Party is unable, for whatever reason, to perform those obligations, to take any other actions as are necessary, advisable or appropriate to give the other Party to this A</w:t>
      </w:r>
      <w:r>
        <w:rPr>
          <w:rFonts w:ascii="Arial" w:eastAsia="Arial" w:hAnsi="Arial" w:cs="Arial"/>
          <w:sz w:val="18"/>
          <w:szCs w:val="18"/>
        </w:rPr>
        <w:t>greement the economic effect which comes as close as possible to the performance of those obligations (including transferring, or granting liens on, the assets of the breaching Party to secure the performance by the breaching Party of those obligations).</w:t>
      </w:r>
    </w:p>
    <w:p w14:paraId="21C660EB" w14:textId="77777777" w:rsidR="00D1587D" w:rsidRDefault="00D1587D">
      <w:pPr>
        <w:spacing w:line="196" w:lineRule="exact"/>
        <w:rPr>
          <w:sz w:val="20"/>
          <w:szCs w:val="20"/>
        </w:rPr>
      </w:pPr>
    </w:p>
    <w:p w14:paraId="5280E8E4" w14:textId="77777777" w:rsidR="00D1587D" w:rsidRDefault="00410D07">
      <w:pPr>
        <w:spacing w:line="277" w:lineRule="auto"/>
        <w:ind w:right="480" w:firstLine="873"/>
        <w:rPr>
          <w:sz w:val="20"/>
          <w:szCs w:val="20"/>
        </w:rPr>
      </w:pPr>
      <w:r>
        <w:rPr>
          <w:rFonts w:ascii="Arial" w:eastAsia="Arial" w:hAnsi="Arial" w:cs="Arial"/>
          <w:sz w:val="18"/>
          <w:szCs w:val="18"/>
        </w:rPr>
        <w:t xml:space="preserve">Section 6.18. </w:t>
      </w:r>
      <w:r>
        <w:rPr>
          <w:rFonts w:ascii="Arial" w:eastAsia="Arial" w:hAnsi="Arial" w:cs="Arial"/>
          <w:i/>
          <w:iCs/>
          <w:sz w:val="18"/>
          <w:szCs w:val="18"/>
        </w:rPr>
        <w:t>Performance</w:t>
      </w:r>
      <w:r>
        <w:rPr>
          <w:rFonts w:ascii="Arial" w:eastAsia="Arial" w:hAnsi="Arial" w:cs="Arial"/>
          <w:sz w:val="18"/>
          <w:szCs w:val="18"/>
        </w:rPr>
        <w:t>. Each Party shall cause to be performed, and shall guarantee the performance of, all actions, agreements and obligations set forth herein to be performed by any member of such Party’s Group.</w:t>
      </w:r>
    </w:p>
    <w:p w14:paraId="367364A5" w14:textId="77777777" w:rsidR="00D1587D" w:rsidRDefault="00D1587D">
      <w:pPr>
        <w:spacing w:line="170" w:lineRule="exact"/>
        <w:rPr>
          <w:sz w:val="20"/>
          <w:szCs w:val="20"/>
        </w:rPr>
      </w:pPr>
    </w:p>
    <w:p w14:paraId="03E8E46A" w14:textId="77777777" w:rsidR="00D1587D" w:rsidRDefault="00410D07">
      <w:pPr>
        <w:jc w:val="center"/>
        <w:rPr>
          <w:sz w:val="20"/>
          <w:szCs w:val="20"/>
        </w:rPr>
      </w:pPr>
      <w:r>
        <w:rPr>
          <w:rFonts w:ascii="Arial" w:eastAsia="Arial" w:hAnsi="Arial" w:cs="Arial"/>
          <w:sz w:val="18"/>
          <w:szCs w:val="18"/>
        </w:rPr>
        <w:t>[</w:t>
      </w:r>
      <w:r>
        <w:rPr>
          <w:rFonts w:ascii="Arial" w:eastAsia="Arial" w:hAnsi="Arial" w:cs="Arial"/>
          <w:i/>
          <w:iCs/>
          <w:sz w:val="18"/>
          <w:szCs w:val="18"/>
        </w:rPr>
        <w:t xml:space="preserve">Remainder of page intentionally left </w:t>
      </w:r>
      <w:r>
        <w:rPr>
          <w:rFonts w:ascii="Arial" w:eastAsia="Arial" w:hAnsi="Arial" w:cs="Arial"/>
          <w:i/>
          <w:iCs/>
          <w:sz w:val="18"/>
          <w:szCs w:val="18"/>
        </w:rPr>
        <w:t>blank</w:t>
      </w:r>
      <w:r>
        <w:rPr>
          <w:rFonts w:ascii="Arial" w:eastAsia="Arial" w:hAnsi="Arial" w:cs="Arial"/>
          <w:sz w:val="18"/>
          <w:szCs w:val="18"/>
        </w:rPr>
        <w:t>]</w:t>
      </w:r>
    </w:p>
    <w:p w14:paraId="188F5B27" w14:textId="77777777" w:rsidR="00D1587D" w:rsidRDefault="00D1587D">
      <w:pPr>
        <w:spacing w:line="212" w:lineRule="exact"/>
        <w:rPr>
          <w:sz w:val="20"/>
          <w:szCs w:val="20"/>
        </w:rPr>
      </w:pPr>
    </w:p>
    <w:p w14:paraId="4EA893D3" w14:textId="77777777" w:rsidR="00D1587D" w:rsidRDefault="00410D07">
      <w:pPr>
        <w:ind w:right="20"/>
        <w:jc w:val="center"/>
        <w:rPr>
          <w:sz w:val="20"/>
          <w:szCs w:val="20"/>
        </w:rPr>
      </w:pPr>
      <w:r>
        <w:rPr>
          <w:rFonts w:ascii="Arial" w:eastAsia="Arial" w:hAnsi="Arial" w:cs="Arial"/>
          <w:sz w:val="18"/>
          <w:szCs w:val="18"/>
        </w:rPr>
        <w:t>52</w:t>
      </w:r>
    </w:p>
    <w:p w14:paraId="343BE962" w14:textId="77777777" w:rsidR="00D1587D" w:rsidRDefault="00410D07">
      <w:pPr>
        <w:spacing w:line="20" w:lineRule="exact"/>
        <w:rPr>
          <w:sz w:val="20"/>
          <w:szCs w:val="20"/>
        </w:rPr>
      </w:pPr>
      <w:r>
        <w:rPr>
          <w:noProof/>
          <w:sz w:val="20"/>
          <w:szCs w:val="20"/>
        </w:rPr>
        <w:drawing>
          <wp:anchor distT="0" distB="0" distL="114300" distR="114300" simplePos="0" relativeHeight="251204608" behindDoc="1" locked="0" layoutInCell="0" allowOverlap="1" wp14:anchorId="6F81555A" wp14:editId="4FB43FDA">
            <wp:simplePos x="0" y="0"/>
            <wp:positionH relativeFrom="column">
              <wp:posOffset>5080</wp:posOffset>
            </wp:positionH>
            <wp:positionV relativeFrom="paragraph">
              <wp:posOffset>48895</wp:posOffset>
            </wp:positionV>
            <wp:extent cx="7132320" cy="1714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975255F" w14:textId="77777777" w:rsidR="00D1587D" w:rsidRDefault="00D1587D">
      <w:pPr>
        <w:sectPr w:rsidR="00D1587D">
          <w:pgSz w:w="11900" w:h="16838"/>
          <w:pgMar w:top="341" w:right="379" w:bottom="1440" w:left="320" w:header="0" w:footer="0" w:gutter="0"/>
          <w:cols w:space="720" w:equalWidth="0">
            <w:col w:w="11200"/>
          </w:cols>
        </w:sectPr>
      </w:pPr>
    </w:p>
    <w:p w14:paraId="1E27A660" w14:textId="77777777" w:rsidR="00D1587D" w:rsidRDefault="00410D07">
      <w:pPr>
        <w:spacing w:line="277" w:lineRule="auto"/>
        <w:ind w:firstLine="648"/>
        <w:rPr>
          <w:sz w:val="20"/>
          <w:szCs w:val="20"/>
        </w:rPr>
      </w:pPr>
      <w:bookmarkStart w:id="61" w:name="page62"/>
      <w:bookmarkEnd w:id="61"/>
      <w:r>
        <w:rPr>
          <w:rFonts w:ascii="Arial" w:eastAsia="Arial" w:hAnsi="Arial" w:cs="Arial"/>
          <w:sz w:val="18"/>
          <w:szCs w:val="18"/>
        </w:rPr>
        <w:t>IN WITNESS WHEREOF the Parties have caused this Agreement to be duly executed by their respective authorized officers as of the date first above written.</w:t>
      </w:r>
    </w:p>
    <w:p w14:paraId="722663E6" w14:textId="77777777" w:rsidR="00D1587D" w:rsidRDefault="00D1587D">
      <w:pPr>
        <w:spacing w:line="166" w:lineRule="exact"/>
        <w:rPr>
          <w:sz w:val="20"/>
          <w:szCs w:val="20"/>
        </w:rPr>
      </w:pPr>
    </w:p>
    <w:p w14:paraId="45D36325" w14:textId="77777777" w:rsidR="00D1587D" w:rsidRDefault="00410D07">
      <w:pPr>
        <w:ind w:left="5640"/>
        <w:rPr>
          <w:sz w:val="20"/>
          <w:szCs w:val="20"/>
        </w:rPr>
      </w:pPr>
      <w:r>
        <w:rPr>
          <w:rFonts w:ascii="Arial" w:eastAsia="Arial" w:hAnsi="Arial" w:cs="Arial"/>
          <w:b/>
          <w:bCs/>
          <w:sz w:val="18"/>
          <w:szCs w:val="18"/>
        </w:rPr>
        <w:t>L BRANDS, INC.</w:t>
      </w:r>
    </w:p>
    <w:p w14:paraId="598F4E31" w14:textId="77777777" w:rsidR="00D1587D" w:rsidRDefault="00D1587D">
      <w:pPr>
        <w:spacing w:line="229" w:lineRule="exact"/>
        <w:rPr>
          <w:sz w:val="20"/>
          <w:szCs w:val="20"/>
        </w:rPr>
      </w:pPr>
    </w:p>
    <w:p w14:paraId="69B7A024" w14:textId="77777777" w:rsidR="00D1587D" w:rsidRDefault="00410D07">
      <w:pPr>
        <w:ind w:right="-519"/>
        <w:jc w:val="center"/>
        <w:rPr>
          <w:sz w:val="20"/>
          <w:szCs w:val="20"/>
        </w:rPr>
      </w:pPr>
      <w:r>
        <w:rPr>
          <w:rFonts w:ascii="Arial" w:eastAsia="Arial" w:hAnsi="Arial" w:cs="Arial"/>
          <w:sz w:val="18"/>
          <w:szCs w:val="18"/>
        </w:rPr>
        <w:t>By:</w:t>
      </w:r>
    </w:p>
    <w:p w14:paraId="448765F6" w14:textId="77777777" w:rsidR="00D1587D" w:rsidRDefault="00410D07">
      <w:pPr>
        <w:spacing w:line="20" w:lineRule="exact"/>
        <w:rPr>
          <w:sz w:val="20"/>
          <w:szCs w:val="20"/>
        </w:rPr>
      </w:pPr>
      <w:r>
        <w:rPr>
          <w:noProof/>
          <w:sz w:val="20"/>
          <w:szCs w:val="20"/>
        </w:rPr>
        <w:drawing>
          <wp:anchor distT="0" distB="0" distL="114300" distR="114300" simplePos="0" relativeHeight="251205632" behindDoc="1" locked="0" layoutInCell="0" allowOverlap="1" wp14:anchorId="5102663C" wp14:editId="6418F60B">
            <wp:simplePos x="0" y="0"/>
            <wp:positionH relativeFrom="column">
              <wp:posOffset>3931285</wp:posOffset>
            </wp:positionH>
            <wp:positionV relativeFrom="paragraph">
              <wp:posOffset>23495</wp:posOffset>
            </wp:positionV>
            <wp:extent cx="3206115" cy="1714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srcRect/>
                    <a:stretch>
                      <a:fillRect/>
                    </a:stretch>
                  </pic:blipFill>
                  <pic:spPr bwMode="auto">
                    <a:xfrm>
                      <a:off x="0" y="0"/>
                      <a:ext cx="3206115" cy="17145"/>
                    </a:xfrm>
                    <a:prstGeom prst="rect">
                      <a:avLst/>
                    </a:prstGeom>
                    <a:noFill/>
                  </pic:spPr>
                </pic:pic>
              </a:graphicData>
            </a:graphic>
          </wp:anchor>
        </w:drawing>
      </w:r>
    </w:p>
    <w:p w14:paraId="195F62E4" w14:textId="77777777" w:rsidR="00D1587D" w:rsidRDefault="00D1587D">
      <w:pPr>
        <w:spacing w:line="30" w:lineRule="exact"/>
        <w:rPr>
          <w:sz w:val="20"/>
          <w:szCs w:val="20"/>
        </w:rPr>
      </w:pPr>
    </w:p>
    <w:p w14:paraId="7B61741B" w14:textId="77777777" w:rsidR="00D1587D" w:rsidRDefault="00410D07">
      <w:pPr>
        <w:ind w:left="6200"/>
        <w:rPr>
          <w:sz w:val="20"/>
          <w:szCs w:val="20"/>
        </w:rPr>
      </w:pPr>
      <w:r>
        <w:rPr>
          <w:rFonts w:ascii="Arial" w:eastAsia="Arial" w:hAnsi="Arial" w:cs="Arial"/>
          <w:sz w:val="18"/>
          <w:szCs w:val="18"/>
        </w:rPr>
        <w:t>Name:</w:t>
      </w:r>
    </w:p>
    <w:p w14:paraId="64B02140" w14:textId="77777777" w:rsidR="00D1587D" w:rsidRDefault="00D1587D">
      <w:pPr>
        <w:spacing w:line="23" w:lineRule="exact"/>
        <w:rPr>
          <w:sz w:val="20"/>
          <w:szCs w:val="20"/>
        </w:rPr>
      </w:pPr>
    </w:p>
    <w:p w14:paraId="53F86E63" w14:textId="77777777" w:rsidR="00D1587D" w:rsidRDefault="00410D07">
      <w:pPr>
        <w:ind w:left="6200"/>
        <w:rPr>
          <w:sz w:val="20"/>
          <w:szCs w:val="20"/>
        </w:rPr>
      </w:pPr>
      <w:r>
        <w:rPr>
          <w:rFonts w:ascii="Arial" w:eastAsia="Arial" w:hAnsi="Arial" w:cs="Arial"/>
          <w:sz w:val="18"/>
          <w:szCs w:val="18"/>
        </w:rPr>
        <w:t>Title:</w:t>
      </w:r>
    </w:p>
    <w:p w14:paraId="7CAFB982" w14:textId="77777777" w:rsidR="00D1587D" w:rsidRDefault="00D1587D">
      <w:pPr>
        <w:spacing w:line="207" w:lineRule="exact"/>
        <w:rPr>
          <w:sz w:val="20"/>
          <w:szCs w:val="20"/>
        </w:rPr>
      </w:pPr>
    </w:p>
    <w:p w14:paraId="7C6C9F7E" w14:textId="77777777" w:rsidR="00D1587D" w:rsidRDefault="00410D07">
      <w:pPr>
        <w:ind w:left="5640"/>
        <w:rPr>
          <w:sz w:val="20"/>
          <w:szCs w:val="20"/>
        </w:rPr>
      </w:pPr>
      <w:r>
        <w:rPr>
          <w:rFonts w:ascii="Arial" w:eastAsia="Arial" w:hAnsi="Arial" w:cs="Arial"/>
          <w:b/>
          <w:bCs/>
          <w:sz w:val="18"/>
          <w:szCs w:val="18"/>
        </w:rPr>
        <w:t>VICTORIA’S SECRET &amp; CO.</w:t>
      </w:r>
    </w:p>
    <w:p w14:paraId="6E2F9AEF" w14:textId="77777777" w:rsidR="00D1587D" w:rsidRDefault="00D1587D">
      <w:pPr>
        <w:spacing w:line="229" w:lineRule="exact"/>
        <w:rPr>
          <w:sz w:val="20"/>
          <w:szCs w:val="20"/>
        </w:rPr>
      </w:pPr>
    </w:p>
    <w:p w14:paraId="3357ADE6" w14:textId="77777777" w:rsidR="00D1587D" w:rsidRDefault="00410D07">
      <w:pPr>
        <w:ind w:right="-519"/>
        <w:jc w:val="center"/>
        <w:rPr>
          <w:sz w:val="20"/>
          <w:szCs w:val="20"/>
        </w:rPr>
      </w:pPr>
      <w:r>
        <w:rPr>
          <w:rFonts w:ascii="Arial" w:eastAsia="Arial" w:hAnsi="Arial" w:cs="Arial"/>
          <w:sz w:val="18"/>
          <w:szCs w:val="18"/>
        </w:rPr>
        <w:t>By:</w:t>
      </w:r>
    </w:p>
    <w:p w14:paraId="45B719C2" w14:textId="77777777" w:rsidR="00D1587D" w:rsidRDefault="00410D07">
      <w:pPr>
        <w:spacing w:line="20" w:lineRule="exact"/>
        <w:rPr>
          <w:sz w:val="20"/>
          <w:szCs w:val="20"/>
        </w:rPr>
      </w:pPr>
      <w:r>
        <w:rPr>
          <w:noProof/>
          <w:sz w:val="20"/>
          <w:szCs w:val="20"/>
        </w:rPr>
        <w:drawing>
          <wp:anchor distT="0" distB="0" distL="114300" distR="114300" simplePos="0" relativeHeight="251206656" behindDoc="1" locked="0" layoutInCell="0" allowOverlap="1" wp14:anchorId="2CA3F391" wp14:editId="28C3C6E9">
            <wp:simplePos x="0" y="0"/>
            <wp:positionH relativeFrom="column">
              <wp:posOffset>3931285</wp:posOffset>
            </wp:positionH>
            <wp:positionV relativeFrom="paragraph">
              <wp:posOffset>23495</wp:posOffset>
            </wp:positionV>
            <wp:extent cx="3206115" cy="1714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srcRect/>
                    <a:stretch>
                      <a:fillRect/>
                    </a:stretch>
                  </pic:blipFill>
                  <pic:spPr bwMode="auto">
                    <a:xfrm>
                      <a:off x="0" y="0"/>
                      <a:ext cx="3206115" cy="17145"/>
                    </a:xfrm>
                    <a:prstGeom prst="rect">
                      <a:avLst/>
                    </a:prstGeom>
                    <a:noFill/>
                  </pic:spPr>
                </pic:pic>
              </a:graphicData>
            </a:graphic>
          </wp:anchor>
        </w:drawing>
      </w:r>
    </w:p>
    <w:p w14:paraId="1C641313" w14:textId="77777777" w:rsidR="00D1587D" w:rsidRDefault="00D1587D">
      <w:pPr>
        <w:spacing w:line="30" w:lineRule="exact"/>
        <w:rPr>
          <w:sz w:val="20"/>
          <w:szCs w:val="20"/>
        </w:rPr>
      </w:pPr>
    </w:p>
    <w:p w14:paraId="463C9373" w14:textId="77777777" w:rsidR="00D1587D" w:rsidRDefault="00410D07">
      <w:pPr>
        <w:ind w:left="6200"/>
        <w:rPr>
          <w:sz w:val="20"/>
          <w:szCs w:val="20"/>
        </w:rPr>
      </w:pPr>
      <w:r>
        <w:rPr>
          <w:rFonts w:ascii="Arial" w:eastAsia="Arial" w:hAnsi="Arial" w:cs="Arial"/>
          <w:sz w:val="18"/>
          <w:szCs w:val="18"/>
        </w:rPr>
        <w:t>Name:</w:t>
      </w:r>
    </w:p>
    <w:p w14:paraId="1CF16A90" w14:textId="77777777" w:rsidR="00D1587D" w:rsidRDefault="00D1587D">
      <w:pPr>
        <w:spacing w:line="23" w:lineRule="exact"/>
        <w:rPr>
          <w:sz w:val="20"/>
          <w:szCs w:val="20"/>
        </w:rPr>
      </w:pPr>
    </w:p>
    <w:p w14:paraId="7491CA3C" w14:textId="77777777" w:rsidR="00D1587D" w:rsidRDefault="00410D07">
      <w:pPr>
        <w:ind w:left="6200"/>
        <w:rPr>
          <w:sz w:val="20"/>
          <w:szCs w:val="20"/>
        </w:rPr>
      </w:pPr>
      <w:r>
        <w:rPr>
          <w:rFonts w:ascii="Arial" w:eastAsia="Arial" w:hAnsi="Arial" w:cs="Arial"/>
          <w:sz w:val="18"/>
          <w:szCs w:val="18"/>
        </w:rPr>
        <w:t>Title:</w:t>
      </w:r>
    </w:p>
    <w:p w14:paraId="18085B48" w14:textId="77777777" w:rsidR="00D1587D" w:rsidRDefault="00410D07">
      <w:pPr>
        <w:spacing w:line="20" w:lineRule="exact"/>
        <w:rPr>
          <w:sz w:val="20"/>
          <w:szCs w:val="20"/>
        </w:rPr>
      </w:pPr>
      <w:r>
        <w:rPr>
          <w:noProof/>
          <w:sz w:val="20"/>
          <w:szCs w:val="20"/>
        </w:rPr>
        <w:drawing>
          <wp:anchor distT="0" distB="0" distL="114300" distR="114300" simplePos="0" relativeHeight="251207680" behindDoc="1" locked="0" layoutInCell="0" allowOverlap="1" wp14:anchorId="79B2AC30" wp14:editId="56849B95">
            <wp:simplePos x="0" y="0"/>
            <wp:positionH relativeFrom="column">
              <wp:posOffset>5080</wp:posOffset>
            </wp:positionH>
            <wp:positionV relativeFrom="paragraph">
              <wp:posOffset>228600</wp:posOffset>
            </wp:positionV>
            <wp:extent cx="7132320" cy="1714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3A299D3" w14:textId="77777777" w:rsidR="00D1587D" w:rsidRDefault="00D1587D">
      <w:pPr>
        <w:sectPr w:rsidR="00D1587D">
          <w:pgSz w:w="11900" w:h="16838"/>
          <w:pgMar w:top="341" w:right="579" w:bottom="1440" w:left="320" w:header="0" w:footer="0" w:gutter="0"/>
          <w:cols w:space="720" w:equalWidth="0">
            <w:col w:w="11000"/>
          </w:cols>
        </w:sectPr>
      </w:pPr>
    </w:p>
    <w:p w14:paraId="5FF3DDC3" w14:textId="77777777" w:rsidR="00D1587D" w:rsidRDefault="00410D07">
      <w:pPr>
        <w:jc w:val="right"/>
        <w:rPr>
          <w:sz w:val="20"/>
          <w:szCs w:val="20"/>
        </w:rPr>
      </w:pPr>
      <w:bookmarkStart w:id="62" w:name="page63"/>
      <w:bookmarkEnd w:id="62"/>
      <w:r>
        <w:rPr>
          <w:rFonts w:ascii="Arial" w:eastAsia="Arial" w:hAnsi="Arial" w:cs="Arial"/>
          <w:b/>
          <w:bCs/>
          <w:noProof/>
        </w:rPr>
        <w:drawing>
          <wp:anchor distT="0" distB="0" distL="114300" distR="114300" simplePos="0" relativeHeight="251208704" behindDoc="1" locked="0" layoutInCell="0" allowOverlap="1" wp14:anchorId="38517D91" wp14:editId="294B06BC">
            <wp:simplePos x="0" y="0"/>
            <wp:positionH relativeFrom="page">
              <wp:posOffset>208280</wp:posOffset>
            </wp:positionH>
            <wp:positionV relativeFrom="page">
              <wp:posOffset>88900</wp:posOffset>
            </wp:positionV>
            <wp:extent cx="7132320" cy="3429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3.1</w:t>
      </w:r>
    </w:p>
    <w:p w14:paraId="298F5ED4" w14:textId="77777777" w:rsidR="00D1587D" w:rsidRDefault="00D1587D">
      <w:pPr>
        <w:spacing w:line="200" w:lineRule="exact"/>
        <w:rPr>
          <w:sz w:val="20"/>
          <w:szCs w:val="20"/>
        </w:rPr>
      </w:pPr>
    </w:p>
    <w:p w14:paraId="7C35AE73" w14:textId="77777777" w:rsidR="00D1587D" w:rsidRDefault="00D1587D">
      <w:pPr>
        <w:spacing w:line="276" w:lineRule="exact"/>
        <w:rPr>
          <w:sz w:val="20"/>
          <w:szCs w:val="20"/>
        </w:rPr>
      </w:pPr>
    </w:p>
    <w:p w14:paraId="32725DE6" w14:textId="77777777" w:rsidR="00D1587D" w:rsidRDefault="00410D07">
      <w:pPr>
        <w:jc w:val="center"/>
        <w:rPr>
          <w:sz w:val="20"/>
          <w:szCs w:val="20"/>
        </w:rPr>
      </w:pPr>
      <w:r>
        <w:rPr>
          <w:rFonts w:ascii="Arial" w:eastAsia="Arial" w:hAnsi="Arial" w:cs="Arial"/>
          <w:b/>
          <w:bCs/>
        </w:rPr>
        <w:t>FORM OF AMENDED AND RESTATED CERTIFICATE OF INCORPORATION</w:t>
      </w:r>
    </w:p>
    <w:p w14:paraId="68891E96" w14:textId="77777777" w:rsidR="00D1587D" w:rsidRDefault="00D1587D">
      <w:pPr>
        <w:spacing w:line="4" w:lineRule="exact"/>
        <w:rPr>
          <w:sz w:val="20"/>
          <w:szCs w:val="20"/>
        </w:rPr>
      </w:pPr>
    </w:p>
    <w:p w14:paraId="6F675F1E" w14:textId="77777777" w:rsidR="00D1587D" w:rsidRDefault="00410D07">
      <w:pPr>
        <w:jc w:val="center"/>
        <w:rPr>
          <w:sz w:val="20"/>
          <w:szCs w:val="20"/>
        </w:rPr>
      </w:pPr>
      <w:r>
        <w:rPr>
          <w:rFonts w:ascii="Arial" w:eastAsia="Arial" w:hAnsi="Arial" w:cs="Arial"/>
          <w:b/>
          <w:bCs/>
        </w:rPr>
        <w:t>OF</w:t>
      </w:r>
    </w:p>
    <w:p w14:paraId="6BB9010D" w14:textId="77777777" w:rsidR="00D1587D" w:rsidRDefault="00410D07">
      <w:pPr>
        <w:jc w:val="center"/>
        <w:rPr>
          <w:sz w:val="20"/>
          <w:szCs w:val="20"/>
        </w:rPr>
      </w:pPr>
      <w:r>
        <w:rPr>
          <w:rFonts w:ascii="Arial" w:eastAsia="Arial" w:hAnsi="Arial" w:cs="Arial"/>
          <w:b/>
          <w:bCs/>
        </w:rPr>
        <w:t>VICTORIA’S SECRET &amp; CO.</w:t>
      </w:r>
    </w:p>
    <w:p w14:paraId="336A3301" w14:textId="77777777" w:rsidR="00D1587D" w:rsidRDefault="00D1587D">
      <w:pPr>
        <w:spacing w:line="215" w:lineRule="exact"/>
        <w:rPr>
          <w:sz w:val="20"/>
          <w:szCs w:val="20"/>
        </w:rPr>
      </w:pPr>
    </w:p>
    <w:p w14:paraId="0C337AC5" w14:textId="77777777" w:rsidR="00D1587D" w:rsidRDefault="00410D07">
      <w:pPr>
        <w:ind w:left="660"/>
        <w:rPr>
          <w:sz w:val="20"/>
          <w:szCs w:val="20"/>
        </w:rPr>
      </w:pPr>
      <w:r>
        <w:rPr>
          <w:rFonts w:ascii="Arial" w:eastAsia="Arial" w:hAnsi="Arial" w:cs="Arial"/>
        </w:rPr>
        <w:t>FIRST. The name of the Corporation is: Victoria’s Secret &amp; Co.</w:t>
      </w:r>
    </w:p>
    <w:p w14:paraId="2DF97D08" w14:textId="77777777" w:rsidR="00D1587D" w:rsidRDefault="00D1587D">
      <w:pPr>
        <w:spacing w:line="233" w:lineRule="exact"/>
        <w:rPr>
          <w:sz w:val="20"/>
          <w:szCs w:val="20"/>
        </w:rPr>
      </w:pPr>
    </w:p>
    <w:p w14:paraId="573E6EDA" w14:textId="77777777" w:rsidR="00D1587D" w:rsidRDefault="00410D07">
      <w:pPr>
        <w:ind w:right="480" w:firstLine="648"/>
        <w:rPr>
          <w:sz w:val="20"/>
          <w:szCs w:val="20"/>
        </w:rPr>
      </w:pPr>
      <w:r>
        <w:rPr>
          <w:rFonts w:ascii="Arial" w:eastAsia="Arial" w:hAnsi="Arial" w:cs="Arial"/>
        </w:rPr>
        <w:t xml:space="preserve">SECOND. The address of the registered </w:t>
      </w:r>
      <w:r>
        <w:rPr>
          <w:rFonts w:ascii="Arial" w:eastAsia="Arial" w:hAnsi="Arial" w:cs="Arial"/>
        </w:rPr>
        <w:t>office of the Corporation in the State of Delaware is 1209 Orange Street, Wilmington, Delaware, County of New Castle 19801, and the name of its registered agent at that address is The Corporation Trust Company.</w:t>
      </w:r>
    </w:p>
    <w:p w14:paraId="112F7DF6" w14:textId="77777777" w:rsidR="00D1587D" w:rsidRDefault="00D1587D">
      <w:pPr>
        <w:spacing w:line="213" w:lineRule="exact"/>
        <w:rPr>
          <w:sz w:val="20"/>
          <w:szCs w:val="20"/>
        </w:rPr>
      </w:pPr>
    </w:p>
    <w:p w14:paraId="65FFF4E5" w14:textId="77777777" w:rsidR="00D1587D" w:rsidRDefault="00410D07">
      <w:pPr>
        <w:spacing w:line="250" w:lineRule="auto"/>
        <w:ind w:right="820" w:firstLine="648"/>
        <w:rPr>
          <w:sz w:val="20"/>
          <w:szCs w:val="20"/>
        </w:rPr>
      </w:pPr>
      <w:r>
        <w:rPr>
          <w:rFonts w:ascii="Arial" w:eastAsia="Arial" w:hAnsi="Arial" w:cs="Arial"/>
        </w:rPr>
        <w:t xml:space="preserve">THIRD. The purpose of the Corporation is to </w:t>
      </w:r>
      <w:r>
        <w:rPr>
          <w:rFonts w:ascii="Arial" w:eastAsia="Arial" w:hAnsi="Arial" w:cs="Arial"/>
        </w:rPr>
        <w:t>engage in any lawful act or activity for which corporations may be organized under the Delaware General Corporation Law (the “DGCL”).</w:t>
      </w:r>
    </w:p>
    <w:p w14:paraId="2762EDAE" w14:textId="77777777" w:rsidR="00D1587D" w:rsidRDefault="00D1587D">
      <w:pPr>
        <w:spacing w:line="202" w:lineRule="exact"/>
        <w:rPr>
          <w:sz w:val="20"/>
          <w:szCs w:val="20"/>
        </w:rPr>
      </w:pPr>
    </w:p>
    <w:p w14:paraId="1944E2B0" w14:textId="77777777" w:rsidR="00D1587D" w:rsidRDefault="00410D07">
      <w:pPr>
        <w:ind w:left="660"/>
        <w:rPr>
          <w:sz w:val="20"/>
          <w:szCs w:val="20"/>
        </w:rPr>
      </w:pPr>
      <w:r>
        <w:rPr>
          <w:rFonts w:ascii="Arial" w:eastAsia="Arial" w:hAnsi="Arial" w:cs="Arial"/>
        </w:rPr>
        <w:t>FOURTH.</w:t>
      </w:r>
    </w:p>
    <w:p w14:paraId="02B92F71" w14:textId="77777777" w:rsidR="00D1587D" w:rsidRDefault="00D1587D">
      <w:pPr>
        <w:spacing w:line="233" w:lineRule="exact"/>
        <w:rPr>
          <w:sz w:val="20"/>
          <w:szCs w:val="20"/>
        </w:rPr>
      </w:pPr>
    </w:p>
    <w:p w14:paraId="155DA9B1" w14:textId="77777777" w:rsidR="00D1587D" w:rsidRDefault="00410D07">
      <w:pPr>
        <w:spacing w:line="287" w:lineRule="auto"/>
        <w:ind w:right="140" w:firstLine="648"/>
        <w:rPr>
          <w:sz w:val="20"/>
          <w:szCs w:val="20"/>
        </w:rPr>
      </w:pPr>
      <w:r>
        <w:rPr>
          <w:rFonts w:ascii="Arial" w:eastAsia="Arial" w:hAnsi="Arial" w:cs="Arial"/>
          <w:sz w:val="19"/>
          <w:szCs w:val="19"/>
        </w:rPr>
        <w:t xml:space="preserve">Section 1. </w:t>
      </w:r>
      <w:r>
        <w:rPr>
          <w:rFonts w:ascii="Arial" w:eastAsia="Arial" w:hAnsi="Arial" w:cs="Arial"/>
          <w:sz w:val="19"/>
          <w:szCs w:val="19"/>
          <w:u w:val="single"/>
        </w:rPr>
        <w:t>Capital Stock</w:t>
      </w:r>
      <w:r>
        <w:rPr>
          <w:rFonts w:ascii="Arial" w:eastAsia="Arial" w:hAnsi="Arial" w:cs="Arial"/>
          <w:sz w:val="19"/>
          <w:szCs w:val="19"/>
        </w:rPr>
        <w:t xml:space="preserve">. The Corporation shall be authorized to issue two classes of stock to be </w:t>
      </w:r>
      <w:r>
        <w:rPr>
          <w:rFonts w:ascii="Arial" w:eastAsia="Arial" w:hAnsi="Arial" w:cs="Arial"/>
          <w:sz w:val="19"/>
          <w:szCs w:val="19"/>
        </w:rPr>
        <w:t xml:space="preserve">designated, respectively, “Preferred Stock” and “Common Stock”; the total number of shares which the Corporation shall have authority to issue is [—]; the total number of shares of Preferred Stock shall be [—] and each such share shall have a par value of </w:t>
      </w:r>
      <w:r>
        <w:rPr>
          <w:rFonts w:ascii="Arial" w:eastAsia="Arial" w:hAnsi="Arial" w:cs="Arial"/>
          <w:sz w:val="19"/>
          <w:szCs w:val="19"/>
        </w:rPr>
        <w:t>$0.01; and the total number of shares of Common Stock shall be [—] and each such share shall have a par value of $0.01.</w:t>
      </w:r>
    </w:p>
    <w:p w14:paraId="4543A227" w14:textId="77777777" w:rsidR="00D1587D" w:rsidRDefault="00D1587D">
      <w:pPr>
        <w:spacing w:line="170" w:lineRule="exact"/>
        <w:rPr>
          <w:sz w:val="20"/>
          <w:szCs w:val="20"/>
        </w:rPr>
      </w:pPr>
    </w:p>
    <w:p w14:paraId="4EB07B26" w14:textId="77777777" w:rsidR="00D1587D" w:rsidRDefault="00410D07">
      <w:pPr>
        <w:ind w:left="660"/>
        <w:rPr>
          <w:sz w:val="20"/>
          <w:szCs w:val="20"/>
        </w:rPr>
      </w:pPr>
      <w:r>
        <w:rPr>
          <w:rFonts w:ascii="Arial" w:eastAsia="Arial" w:hAnsi="Arial" w:cs="Arial"/>
        </w:rPr>
        <w:t xml:space="preserve">Section 2. </w:t>
      </w:r>
      <w:r>
        <w:rPr>
          <w:rFonts w:ascii="Arial" w:eastAsia="Arial" w:hAnsi="Arial" w:cs="Arial"/>
          <w:u w:val="single"/>
        </w:rPr>
        <w:t>Preferred Stock</w:t>
      </w:r>
      <w:r>
        <w:rPr>
          <w:rFonts w:ascii="Arial" w:eastAsia="Arial" w:hAnsi="Arial" w:cs="Arial"/>
        </w:rPr>
        <w:t>.</w:t>
      </w:r>
    </w:p>
    <w:p w14:paraId="6371377F" w14:textId="77777777" w:rsidR="00D1587D" w:rsidRDefault="00D1587D">
      <w:pPr>
        <w:spacing w:line="233" w:lineRule="exact"/>
        <w:rPr>
          <w:sz w:val="20"/>
          <w:szCs w:val="20"/>
        </w:rPr>
      </w:pPr>
    </w:p>
    <w:p w14:paraId="096AE30C" w14:textId="77777777" w:rsidR="00D1587D" w:rsidRDefault="00410D07">
      <w:pPr>
        <w:spacing w:line="274" w:lineRule="auto"/>
        <w:ind w:firstLine="648"/>
        <w:rPr>
          <w:sz w:val="20"/>
          <w:szCs w:val="20"/>
        </w:rPr>
      </w:pPr>
      <w:r>
        <w:rPr>
          <w:rFonts w:ascii="Arial" w:eastAsia="Arial" w:hAnsi="Arial" w:cs="Arial"/>
          <w:sz w:val="19"/>
          <w:szCs w:val="19"/>
        </w:rPr>
        <w:t xml:space="preserve">2.1 </w:t>
      </w:r>
      <w:r>
        <w:rPr>
          <w:rFonts w:ascii="Arial" w:eastAsia="Arial" w:hAnsi="Arial" w:cs="Arial"/>
          <w:sz w:val="19"/>
          <w:szCs w:val="19"/>
          <w:u w:val="single"/>
        </w:rPr>
        <w:t>Series and Limits of Variations between Series</w:t>
      </w:r>
      <w:r>
        <w:rPr>
          <w:rFonts w:ascii="Arial" w:eastAsia="Arial" w:hAnsi="Arial" w:cs="Arial"/>
          <w:sz w:val="19"/>
          <w:szCs w:val="19"/>
        </w:rPr>
        <w:t xml:space="preserve">. Any unissued or treasury shares of the </w:t>
      </w:r>
      <w:r>
        <w:rPr>
          <w:rFonts w:ascii="Arial" w:eastAsia="Arial" w:hAnsi="Arial" w:cs="Arial"/>
          <w:sz w:val="19"/>
          <w:szCs w:val="19"/>
        </w:rPr>
        <w:t>Preferred Stock may be issued from time to time in one or more series for such consideration as may be fixed from time to time by the Board of Directors and each share of a series shall be identical in all respects with the other shares of such series, exc</w:t>
      </w:r>
      <w:r>
        <w:rPr>
          <w:rFonts w:ascii="Arial" w:eastAsia="Arial" w:hAnsi="Arial" w:cs="Arial"/>
          <w:sz w:val="19"/>
          <w:szCs w:val="19"/>
        </w:rPr>
        <w:t xml:space="preserve">ept that, if the dividends thereon are cumulative, the date from which they shall be cumulative may differ. Before any shares of Preferred Stock of any particular series shall be issued, a certificate shall be filed with the Secretary of State of Delaware </w:t>
      </w:r>
      <w:r>
        <w:rPr>
          <w:rFonts w:ascii="Arial" w:eastAsia="Arial" w:hAnsi="Arial" w:cs="Arial"/>
          <w:sz w:val="19"/>
          <w:szCs w:val="19"/>
        </w:rPr>
        <w:t>setting forth the designation, rights, privileges, restrictions, and conditions to be attached to the Preferred Stock of such series and such other matters as may be required, and the Board of Directors shall fix and determine, and is hereby expressly empo</w:t>
      </w:r>
      <w:r>
        <w:rPr>
          <w:rFonts w:ascii="Arial" w:eastAsia="Arial" w:hAnsi="Arial" w:cs="Arial"/>
          <w:sz w:val="19"/>
          <w:szCs w:val="19"/>
        </w:rPr>
        <w:t>wered to fix and determine, in the manner provided by law, the particulars of the shares of such series (so far as not inconsistent with the provisions of this Article applicable to all series of Preferred Stock), including, but not limited to, the followi</w:t>
      </w:r>
      <w:r>
        <w:rPr>
          <w:rFonts w:ascii="Arial" w:eastAsia="Arial" w:hAnsi="Arial" w:cs="Arial"/>
          <w:sz w:val="19"/>
          <w:szCs w:val="19"/>
        </w:rPr>
        <w:t>ng:</w:t>
      </w:r>
    </w:p>
    <w:p w14:paraId="64950A04" w14:textId="77777777" w:rsidR="00D1587D" w:rsidRDefault="00D1587D">
      <w:pPr>
        <w:spacing w:line="185" w:lineRule="exact"/>
        <w:rPr>
          <w:sz w:val="20"/>
          <w:szCs w:val="20"/>
        </w:rPr>
      </w:pPr>
    </w:p>
    <w:p w14:paraId="44AE204F" w14:textId="77777777" w:rsidR="00D1587D" w:rsidRDefault="00410D07">
      <w:pPr>
        <w:spacing w:line="297" w:lineRule="auto"/>
        <w:ind w:right="180" w:firstLine="972"/>
        <w:rPr>
          <w:sz w:val="20"/>
          <w:szCs w:val="20"/>
        </w:rPr>
      </w:pPr>
      <w:r>
        <w:rPr>
          <w:rFonts w:ascii="Arial" w:eastAsia="Arial" w:hAnsi="Arial" w:cs="Arial"/>
          <w:sz w:val="19"/>
          <w:szCs w:val="19"/>
        </w:rPr>
        <w:t>2.1.1 the distinctive designation of such series and the number of shares which shall constitute such series, which number may be increased (except where otherwise provided by the Board of Directors in creating such series) or decreased (but not below</w:t>
      </w:r>
      <w:r>
        <w:rPr>
          <w:rFonts w:ascii="Arial" w:eastAsia="Arial" w:hAnsi="Arial" w:cs="Arial"/>
          <w:sz w:val="19"/>
          <w:szCs w:val="19"/>
        </w:rPr>
        <w:t xml:space="preserve"> the number of shares thereof then outstanding) from time to time by like action of the Board of Directors;</w:t>
      </w:r>
    </w:p>
    <w:p w14:paraId="671A3CE8" w14:textId="77777777" w:rsidR="00D1587D" w:rsidRDefault="00D1587D">
      <w:pPr>
        <w:spacing w:line="161" w:lineRule="exact"/>
        <w:rPr>
          <w:sz w:val="20"/>
          <w:szCs w:val="20"/>
        </w:rPr>
      </w:pPr>
    </w:p>
    <w:p w14:paraId="749F71AF" w14:textId="77777777" w:rsidR="00D1587D" w:rsidRDefault="00410D07">
      <w:pPr>
        <w:ind w:right="100" w:firstLine="972"/>
        <w:rPr>
          <w:sz w:val="20"/>
          <w:szCs w:val="20"/>
        </w:rPr>
      </w:pPr>
      <w:r>
        <w:rPr>
          <w:rFonts w:ascii="Arial" w:eastAsia="Arial" w:hAnsi="Arial" w:cs="Arial"/>
        </w:rPr>
        <w:t>2.1.2 the annual rate of dividends payable on shares of such series, the conditions upon which such dividends shall be payable and the date from wh</w:t>
      </w:r>
      <w:r>
        <w:rPr>
          <w:rFonts w:ascii="Arial" w:eastAsia="Arial" w:hAnsi="Arial" w:cs="Arial"/>
        </w:rPr>
        <w:t>ich dividends shall be cumulative in the event the Board of Directors determines that dividends shall be cumulative;</w:t>
      </w:r>
    </w:p>
    <w:p w14:paraId="23D94BE0" w14:textId="77777777" w:rsidR="00D1587D" w:rsidRDefault="00D1587D">
      <w:pPr>
        <w:spacing w:line="213" w:lineRule="exact"/>
        <w:rPr>
          <w:sz w:val="20"/>
          <w:szCs w:val="20"/>
        </w:rPr>
      </w:pPr>
    </w:p>
    <w:p w14:paraId="6240893E" w14:textId="77777777" w:rsidR="00D1587D" w:rsidRDefault="00410D07">
      <w:pPr>
        <w:spacing w:line="250" w:lineRule="auto"/>
        <w:ind w:right="60" w:firstLine="972"/>
        <w:rPr>
          <w:sz w:val="20"/>
          <w:szCs w:val="20"/>
        </w:rPr>
      </w:pPr>
      <w:r>
        <w:rPr>
          <w:rFonts w:ascii="Arial" w:eastAsia="Arial" w:hAnsi="Arial" w:cs="Arial"/>
        </w:rPr>
        <w:t xml:space="preserve">2.1.3 whether such series shall have voting rights, in addition to the voting rights provided by law and, if so, the terms of such voting </w:t>
      </w:r>
      <w:r>
        <w:rPr>
          <w:rFonts w:ascii="Arial" w:eastAsia="Arial" w:hAnsi="Arial" w:cs="Arial"/>
        </w:rPr>
        <w:t>rights;</w:t>
      </w:r>
    </w:p>
    <w:p w14:paraId="60DE0A8E" w14:textId="77777777" w:rsidR="00D1587D" w:rsidRDefault="00D1587D">
      <w:pPr>
        <w:spacing w:line="202" w:lineRule="exact"/>
        <w:rPr>
          <w:sz w:val="20"/>
          <w:szCs w:val="20"/>
        </w:rPr>
      </w:pPr>
    </w:p>
    <w:p w14:paraId="4147CD2A" w14:textId="77777777" w:rsidR="00D1587D" w:rsidRDefault="00410D07">
      <w:pPr>
        <w:ind w:firstLine="972"/>
        <w:rPr>
          <w:sz w:val="20"/>
          <w:szCs w:val="20"/>
        </w:rPr>
      </w:pPr>
      <w:r>
        <w:rPr>
          <w:rFonts w:ascii="Arial" w:eastAsia="Arial" w:hAnsi="Arial" w:cs="Arial"/>
        </w:rPr>
        <w:t xml:space="preserve">2.1.4 whether such series shall have conversion privileges and, if so, the terms and conditions of such conversion, including, but not limited to, provision for adjustment of the conversion rate upon such events and in such manner as the Board of </w:t>
      </w:r>
      <w:r>
        <w:rPr>
          <w:rFonts w:ascii="Arial" w:eastAsia="Arial" w:hAnsi="Arial" w:cs="Arial"/>
        </w:rPr>
        <w:t>Directors shall determine;</w:t>
      </w:r>
    </w:p>
    <w:p w14:paraId="7A96AD74" w14:textId="77777777" w:rsidR="00D1587D" w:rsidRDefault="00410D07">
      <w:pPr>
        <w:spacing w:line="20" w:lineRule="exact"/>
        <w:rPr>
          <w:sz w:val="20"/>
          <w:szCs w:val="20"/>
        </w:rPr>
      </w:pPr>
      <w:r>
        <w:rPr>
          <w:noProof/>
          <w:sz w:val="20"/>
          <w:szCs w:val="20"/>
        </w:rPr>
        <w:drawing>
          <wp:anchor distT="0" distB="0" distL="114300" distR="114300" simplePos="0" relativeHeight="251209728" behindDoc="1" locked="0" layoutInCell="0" allowOverlap="1" wp14:anchorId="3E4E12B8" wp14:editId="5430EE11">
            <wp:simplePos x="0" y="0"/>
            <wp:positionH relativeFrom="column">
              <wp:posOffset>5080</wp:posOffset>
            </wp:positionH>
            <wp:positionV relativeFrom="paragraph">
              <wp:posOffset>106045</wp:posOffset>
            </wp:positionV>
            <wp:extent cx="7132320" cy="1714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1893C3F" w14:textId="77777777" w:rsidR="00D1587D" w:rsidRDefault="00D1587D">
      <w:pPr>
        <w:sectPr w:rsidR="00D1587D">
          <w:pgSz w:w="11900" w:h="16838"/>
          <w:pgMar w:top="274" w:right="339" w:bottom="1440" w:left="320" w:header="0" w:footer="0" w:gutter="0"/>
          <w:cols w:space="720" w:equalWidth="0">
            <w:col w:w="11240"/>
          </w:cols>
        </w:sectPr>
      </w:pPr>
    </w:p>
    <w:p w14:paraId="08D8EF2B" w14:textId="77777777" w:rsidR="00D1587D" w:rsidRDefault="00410D07">
      <w:pPr>
        <w:spacing w:line="257" w:lineRule="auto"/>
        <w:ind w:firstLine="972"/>
        <w:rPr>
          <w:sz w:val="20"/>
          <w:szCs w:val="20"/>
        </w:rPr>
      </w:pPr>
      <w:bookmarkStart w:id="63" w:name="page64"/>
      <w:bookmarkEnd w:id="63"/>
      <w:r>
        <w:rPr>
          <w:rFonts w:ascii="Arial" w:eastAsia="Arial" w:hAnsi="Arial" w:cs="Arial"/>
          <w:sz w:val="21"/>
          <w:szCs w:val="21"/>
        </w:rPr>
        <w:t>2.1.5 whether or not the shares of such series shall be redeemable and, if so, the terms and conditions of such redemption, including the date or dates upon or after which they shall be redeemable, and the a</w:t>
      </w:r>
      <w:r>
        <w:rPr>
          <w:rFonts w:ascii="Arial" w:eastAsia="Arial" w:hAnsi="Arial" w:cs="Arial"/>
          <w:sz w:val="21"/>
          <w:szCs w:val="21"/>
        </w:rPr>
        <w:t>mount per share payable in case of redemption, which amount may vary under different conditions and at different redemption dates;</w:t>
      </w:r>
    </w:p>
    <w:p w14:paraId="055BF388" w14:textId="77777777" w:rsidR="00D1587D" w:rsidRDefault="00D1587D">
      <w:pPr>
        <w:spacing w:line="196" w:lineRule="exact"/>
        <w:rPr>
          <w:sz w:val="20"/>
          <w:szCs w:val="20"/>
        </w:rPr>
      </w:pPr>
    </w:p>
    <w:p w14:paraId="339A5C25" w14:textId="77777777" w:rsidR="00D1587D" w:rsidRDefault="00410D07">
      <w:pPr>
        <w:spacing w:line="250" w:lineRule="auto"/>
        <w:ind w:right="240" w:firstLine="972"/>
        <w:rPr>
          <w:sz w:val="20"/>
          <w:szCs w:val="20"/>
        </w:rPr>
      </w:pPr>
      <w:r>
        <w:rPr>
          <w:rFonts w:ascii="Arial" w:eastAsia="Arial" w:hAnsi="Arial" w:cs="Arial"/>
        </w:rPr>
        <w:t xml:space="preserve">2.1.6 whether such series shall have a sinking fund for the redemption or purchase of shares of that series and, if so, the </w:t>
      </w:r>
      <w:r>
        <w:rPr>
          <w:rFonts w:ascii="Arial" w:eastAsia="Arial" w:hAnsi="Arial" w:cs="Arial"/>
        </w:rPr>
        <w:t>terms and amount of such sinking fund;</w:t>
      </w:r>
    </w:p>
    <w:p w14:paraId="43CDCE52" w14:textId="77777777" w:rsidR="00D1587D" w:rsidRDefault="00D1587D">
      <w:pPr>
        <w:spacing w:line="202" w:lineRule="exact"/>
        <w:rPr>
          <w:sz w:val="20"/>
          <w:szCs w:val="20"/>
        </w:rPr>
      </w:pPr>
    </w:p>
    <w:p w14:paraId="4970FDF0" w14:textId="77777777" w:rsidR="00D1587D" w:rsidRDefault="00410D07">
      <w:pPr>
        <w:spacing w:line="274" w:lineRule="auto"/>
        <w:ind w:right="60" w:firstLine="972"/>
        <w:rPr>
          <w:sz w:val="20"/>
          <w:szCs w:val="20"/>
        </w:rPr>
      </w:pPr>
      <w:r>
        <w:rPr>
          <w:rFonts w:ascii="Arial" w:eastAsia="Arial" w:hAnsi="Arial" w:cs="Arial"/>
          <w:sz w:val="21"/>
          <w:szCs w:val="21"/>
        </w:rPr>
        <w:t xml:space="preserve">2.1.7 the rights of the shares of such series in the event of voluntary or involuntary liquidation, dissolution or winding up of the Corporation, and the relative rights of priority, if any, of payment of </w:t>
      </w:r>
      <w:r>
        <w:rPr>
          <w:rFonts w:ascii="Arial" w:eastAsia="Arial" w:hAnsi="Arial" w:cs="Arial"/>
          <w:sz w:val="21"/>
          <w:szCs w:val="21"/>
        </w:rPr>
        <w:t>shares of that series; and</w:t>
      </w:r>
    </w:p>
    <w:p w14:paraId="0ECAAFC4" w14:textId="77777777" w:rsidR="00D1587D" w:rsidRDefault="00D1587D">
      <w:pPr>
        <w:spacing w:line="178" w:lineRule="exact"/>
        <w:rPr>
          <w:sz w:val="20"/>
          <w:szCs w:val="20"/>
        </w:rPr>
      </w:pPr>
    </w:p>
    <w:p w14:paraId="10C5A1F0" w14:textId="77777777" w:rsidR="00D1587D" w:rsidRDefault="00410D07">
      <w:pPr>
        <w:ind w:left="980"/>
        <w:rPr>
          <w:sz w:val="20"/>
          <w:szCs w:val="20"/>
        </w:rPr>
      </w:pPr>
      <w:r>
        <w:rPr>
          <w:rFonts w:ascii="Arial" w:eastAsia="Arial" w:hAnsi="Arial" w:cs="Arial"/>
        </w:rPr>
        <w:t>2.1.8 any other relative rights, preferences and limitations of such series.</w:t>
      </w:r>
    </w:p>
    <w:p w14:paraId="08E21C5A" w14:textId="77777777" w:rsidR="00D1587D" w:rsidRDefault="00D1587D">
      <w:pPr>
        <w:spacing w:line="233" w:lineRule="exact"/>
        <w:rPr>
          <w:sz w:val="20"/>
          <w:szCs w:val="20"/>
        </w:rPr>
      </w:pPr>
    </w:p>
    <w:p w14:paraId="656669F5" w14:textId="77777777" w:rsidR="00D1587D" w:rsidRDefault="00410D07">
      <w:pPr>
        <w:ind w:left="660"/>
        <w:rPr>
          <w:sz w:val="20"/>
          <w:szCs w:val="20"/>
        </w:rPr>
      </w:pPr>
      <w:r>
        <w:rPr>
          <w:rFonts w:ascii="Arial" w:eastAsia="Arial" w:hAnsi="Arial" w:cs="Arial"/>
        </w:rPr>
        <w:t xml:space="preserve">Section 3. </w:t>
      </w:r>
      <w:r>
        <w:rPr>
          <w:rFonts w:ascii="Arial" w:eastAsia="Arial" w:hAnsi="Arial" w:cs="Arial"/>
          <w:u w:val="single"/>
        </w:rPr>
        <w:t>Common Stock</w:t>
      </w:r>
      <w:r>
        <w:rPr>
          <w:rFonts w:ascii="Arial" w:eastAsia="Arial" w:hAnsi="Arial" w:cs="Arial"/>
        </w:rPr>
        <w:t>.</w:t>
      </w:r>
    </w:p>
    <w:p w14:paraId="24FBBDDD" w14:textId="77777777" w:rsidR="00D1587D" w:rsidRDefault="00D1587D">
      <w:pPr>
        <w:spacing w:line="233" w:lineRule="exact"/>
        <w:rPr>
          <w:sz w:val="20"/>
          <w:szCs w:val="20"/>
        </w:rPr>
      </w:pPr>
    </w:p>
    <w:p w14:paraId="68AF834D" w14:textId="77777777" w:rsidR="00D1587D" w:rsidRDefault="00410D07">
      <w:pPr>
        <w:spacing w:line="328" w:lineRule="auto"/>
        <w:ind w:right="1000" w:firstLine="648"/>
        <w:rPr>
          <w:sz w:val="20"/>
          <w:szCs w:val="20"/>
        </w:rPr>
      </w:pPr>
      <w:r>
        <w:rPr>
          <w:rFonts w:ascii="Arial" w:eastAsia="Arial" w:hAnsi="Arial" w:cs="Arial"/>
          <w:sz w:val="19"/>
          <w:szCs w:val="19"/>
        </w:rPr>
        <w:t xml:space="preserve">3.1 </w:t>
      </w:r>
      <w:r>
        <w:rPr>
          <w:rFonts w:ascii="Arial" w:eastAsia="Arial" w:hAnsi="Arial" w:cs="Arial"/>
          <w:sz w:val="19"/>
          <w:szCs w:val="19"/>
          <w:u w:val="single"/>
        </w:rPr>
        <w:t>Issuance and Consideration</w:t>
      </w:r>
      <w:r>
        <w:rPr>
          <w:rFonts w:ascii="Arial" w:eastAsia="Arial" w:hAnsi="Arial" w:cs="Arial"/>
          <w:sz w:val="19"/>
          <w:szCs w:val="19"/>
        </w:rPr>
        <w:t xml:space="preserve">. Any unissued or treasury shares of the Common Stock may be issued for such consideration as </w:t>
      </w:r>
      <w:r>
        <w:rPr>
          <w:rFonts w:ascii="Arial" w:eastAsia="Arial" w:hAnsi="Arial" w:cs="Arial"/>
          <w:sz w:val="19"/>
          <w:szCs w:val="19"/>
        </w:rPr>
        <w:t>may be fixed in accordance with applicable law from time to time by the Board of Directors.</w:t>
      </w:r>
    </w:p>
    <w:p w14:paraId="304D0DC5" w14:textId="77777777" w:rsidR="00D1587D" w:rsidRDefault="00D1587D">
      <w:pPr>
        <w:spacing w:line="132" w:lineRule="exact"/>
        <w:rPr>
          <w:sz w:val="20"/>
          <w:szCs w:val="20"/>
        </w:rPr>
      </w:pPr>
    </w:p>
    <w:p w14:paraId="17160E85" w14:textId="77777777" w:rsidR="00D1587D" w:rsidRDefault="00410D07">
      <w:pPr>
        <w:ind w:right="180" w:firstLine="648"/>
        <w:jc w:val="both"/>
        <w:rPr>
          <w:sz w:val="20"/>
          <w:szCs w:val="20"/>
        </w:rPr>
      </w:pPr>
      <w:r>
        <w:rPr>
          <w:rFonts w:ascii="Arial" w:eastAsia="Arial" w:hAnsi="Arial" w:cs="Arial"/>
        </w:rPr>
        <w:t xml:space="preserve">3.2 </w:t>
      </w:r>
      <w:r>
        <w:rPr>
          <w:rFonts w:ascii="Arial" w:eastAsia="Arial" w:hAnsi="Arial" w:cs="Arial"/>
          <w:u w:val="single"/>
        </w:rPr>
        <w:t>Voting Rights</w:t>
      </w:r>
      <w:r>
        <w:rPr>
          <w:rFonts w:ascii="Arial" w:eastAsia="Arial" w:hAnsi="Arial" w:cs="Arial"/>
        </w:rPr>
        <w:t>. At every meeting of the stockholders every holder of Common Stock shall be entitled to one vote, in person or by proxy, for each share of Common</w:t>
      </w:r>
      <w:r>
        <w:rPr>
          <w:rFonts w:ascii="Arial" w:eastAsia="Arial" w:hAnsi="Arial" w:cs="Arial"/>
        </w:rPr>
        <w:t xml:space="preserve"> Stock standing in the name of such stockholder on the books of the Corporation, on each matter on which the stockholders generally are entitled to vote.</w:t>
      </w:r>
    </w:p>
    <w:p w14:paraId="4437B086" w14:textId="77777777" w:rsidR="00D1587D" w:rsidRDefault="00D1587D">
      <w:pPr>
        <w:spacing w:line="213" w:lineRule="exact"/>
        <w:rPr>
          <w:sz w:val="20"/>
          <w:szCs w:val="20"/>
        </w:rPr>
      </w:pPr>
    </w:p>
    <w:p w14:paraId="277BE4F7" w14:textId="77777777" w:rsidR="00D1587D" w:rsidRDefault="00410D07">
      <w:pPr>
        <w:spacing w:line="236" w:lineRule="auto"/>
        <w:ind w:right="100" w:firstLine="648"/>
        <w:rPr>
          <w:sz w:val="20"/>
          <w:szCs w:val="20"/>
        </w:rPr>
      </w:pPr>
      <w:r>
        <w:rPr>
          <w:rFonts w:ascii="Arial" w:eastAsia="Arial" w:hAnsi="Arial" w:cs="Arial"/>
        </w:rPr>
        <w:t xml:space="preserve">3.3 </w:t>
      </w:r>
      <w:r>
        <w:rPr>
          <w:rFonts w:ascii="Arial" w:eastAsia="Arial" w:hAnsi="Arial" w:cs="Arial"/>
          <w:u w:val="single"/>
        </w:rPr>
        <w:t>Dividends</w:t>
      </w:r>
      <w:r>
        <w:rPr>
          <w:rFonts w:ascii="Arial" w:eastAsia="Arial" w:hAnsi="Arial" w:cs="Arial"/>
        </w:rPr>
        <w:t>. Subject to the rights of holders of the Preferred Stock, the holders of the Common Sto</w:t>
      </w:r>
      <w:r>
        <w:rPr>
          <w:rFonts w:ascii="Arial" w:eastAsia="Arial" w:hAnsi="Arial" w:cs="Arial"/>
        </w:rPr>
        <w:t>ck shall be entitled to receive, when and as declared by the Board of Directors, out of the assets of the Corporation which are by law available therefor, dividends payable either in cash, in property, or in shares of stock and the holders of the Preferred</w:t>
      </w:r>
      <w:r>
        <w:rPr>
          <w:rFonts w:ascii="Arial" w:eastAsia="Arial" w:hAnsi="Arial" w:cs="Arial"/>
        </w:rPr>
        <w:t xml:space="preserve"> Stock shall not be entitled to participate in any such dividends (unless otherwise provided by the Board of Directors in any resolution providing for the issue of a series of Preferred Stock).</w:t>
      </w:r>
    </w:p>
    <w:p w14:paraId="570B9ADD" w14:textId="77777777" w:rsidR="00D1587D" w:rsidRDefault="00D1587D">
      <w:pPr>
        <w:spacing w:line="214" w:lineRule="exact"/>
        <w:rPr>
          <w:sz w:val="20"/>
          <w:szCs w:val="20"/>
        </w:rPr>
      </w:pPr>
    </w:p>
    <w:p w14:paraId="734106E5" w14:textId="77777777" w:rsidR="00D1587D" w:rsidRDefault="00410D07">
      <w:pPr>
        <w:spacing w:line="277" w:lineRule="auto"/>
        <w:ind w:right="20" w:firstLine="648"/>
        <w:rPr>
          <w:sz w:val="20"/>
          <w:szCs w:val="20"/>
        </w:rPr>
      </w:pPr>
      <w:r>
        <w:rPr>
          <w:rFonts w:ascii="Arial" w:eastAsia="Arial" w:hAnsi="Arial" w:cs="Arial"/>
          <w:sz w:val="19"/>
          <w:szCs w:val="19"/>
        </w:rPr>
        <w:t xml:space="preserve">3.4 </w:t>
      </w:r>
      <w:r>
        <w:rPr>
          <w:rFonts w:ascii="Arial" w:eastAsia="Arial" w:hAnsi="Arial" w:cs="Arial"/>
          <w:sz w:val="19"/>
          <w:szCs w:val="19"/>
          <w:u w:val="single"/>
        </w:rPr>
        <w:t>Rights in Event of Dissolution</w:t>
      </w:r>
      <w:r>
        <w:rPr>
          <w:rFonts w:ascii="Arial" w:eastAsia="Arial" w:hAnsi="Arial" w:cs="Arial"/>
          <w:sz w:val="19"/>
          <w:szCs w:val="19"/>
        </w:rPr>
        <w:t>. In the event of any disso</w:t>
      </w:r>
      <w:r>
        <w:rPr>
          <w:rFonts w:ascii="Arial" w:eastAsia="Arial" w:hAnsi="Arial" w:cs="Arial"/>
          <w:sz w:val="19"/>
          <w:szCs w:val="19"/>
        </w:rPr>
        <w:t>lution, liquidation or winding up of the affairs of the Corporation, either voluntarily or involuntarily, the holders of the Common Stock shall be entitled, after payment or provision for payment of the debts and other liabilities of the Corporation and th</w:t>
      </w:r>
      <w:r>
        <w:rPr>
          <w:rFonts w:ascii="Arial" w:eastAsia="Arial" w:hAnsi="Arial" w:cs="Arial"/>
          <w:sz w:val="19"/>
          <w:szCs w:val="19"/>
        </w:rPr>
        <w:t>e amounts to which the holders of the Preferred Stock shall be entitled, to share ratably in the remaining assets of the Corporation to the exclusion of the Preferred Stock (unless otherwise provided by the Board of Directors in any resolution providing fo</w:t>
      </w:r>
      <w:r>
        <w:rPr>
          <w:rFonts w:ascii="Arial" w:eastAsia="Arial" w:hAnsi="Arial" w:cs="Arial"/>
          <w:sz w:val="19"/>
          <w:szCs w:val="19"/>
        </w:rPr>
        <w:t>r the issue of a series of Preferred Stock). Neither the merger or consolidation of the Corporation, nor the sale, lease or conveyance of all or part of its assets, shall be deemed to be a liquidation, dissolution or winding up of the affairs of the Corpor</w:t>
      </w:r>
      <w:r>
        <w:rPr>
          <w:rFonts w:ascii="Arial" w:eastAsia="Arial" w:hAnsi="Arial" w:cs="Arial"/>
          <w:sz w:val="19"/>
          <w:szCs w:val="19"/>
        </w:rPr>
        <w:t>ation within the meaning of this Section 3.4.</w:t>
      </w:r>
    </w:p>
    <w:p w14:paraId="20B26DA3" w14:textId="77777777" w:rsidR="00D1587D" w:rsidRDefault="00D1587D">
      <w:pPr>
        <w:spacing w:line="179" w:lineRule="exact"/>
        <w:rPr>
          <w:sz w:val="20"/>
          <w:szCs w:val="20"/>
        </w:rPr>
      </w:pPr>
    </w:p>
    <w:p w14:paraId="7824D629" w14:textId="77777777" w:rsidR="00D1587D" w:rsidRDefault="00410D07">
      <w:pPr>
        <w:spacing w:line="328" w:lineRule="auto"/>
        <w:ind w:right="160" w:firstLine="648"/>
        <w:rPr>
          <w:sz w:val="20"/>
          <w:szCs w:val="20"/>
        </w:rPr>
      </w:pPr>
      <w:r>
        <w:rPr>
          <w:rFonts w:ascii="Arial" w:eastAsia="Arial" w:hAnsi="Arial" w:cs="Arial"/>
          <w:sz w:val="19"/>
          <w:szCs w:val="19"/>
        </w:rPr>
        <w:t xml:space="preserve">FIFTH. </w:t>
      </w:r>
      <w:r>
        <w:rPr>
          <w:rFonts w:ascii="Arial" w:eastAsia="Arial" w:hAnsi="Arial" w:cs="Arial"/>
          <w:sz w:val="19"/>
          <w:szCs w:val="19"/>
          <w:u w:val="single"/>
        </w:rPr>
        <w:t>Amendment of Bylaws by Directors</w:t>
      </w:r>
      <w:r>
        <w:rPr>
          <w:rFonts w:ascii="Arial" w:eastAsia="Arial" w:hAnsi="Arial" w:cs="Arial"/>
          <w:sz w:val="19"/>
          <w:szCs w:val="19"/>
        </w:rPr>
        <w:t xml:space="preserve">. In furtherance and not in limitation of the powers conferred by statute, the Board of Directors is expressly authorized to make, repeal, alter, amend and rescind the </w:t>
      </w:r>
      <w:r>
        <w:rPr>
          <w:rFonts w:ascii="Arial" w:eastAsia="Arial" w:hAnsi="Arial" w:cs="Arial"/>
          <w:sz w:val="19"/>
          <w:szCs w:val="19"/>
        </w:rPr>
        <w:t>bylaws of the Corporation.</w:t>
      </w:r>
    </w:p>
    <w:p w14:paraId="3838DBD4" w14:textId="77777777" w:rsidR="00D1587D" w:rsidRDefault="00D1587D">
      <w:pPr>
        <w:spacing w:line="132" w:lineRule="exact"/>
        <w:rPr>
          <w:sz w:val="20"/>
          <w:szCs w:val="20"/>
        </w:rPr>
      </w:pPr>
    </w:p>
    <w:p w14:paraId="78563472" w14:textId="77777777" w:rsidR="00D1587D" w:rsidRDefault="00410D07">
      <w:pPr>
        <w:ind w:left="660"/>
        <w:rPr>
          <w:sz w:val="20"/>
          <w:szCs w:val="20"/>
        </w:rPr>
      </w:pPr>
      <w:r>
        <w:rPr>
          <w:rFonts w:ascii="Arial" w:eastAsia="Arial" w:hAnsi="Arial" w:cs="Arial"/>
        </w:rPr>
        <w:t>SIXTH.</w:t>
      </w:r>
    </w:p>
    <w:p w14:paraId="1E26F0DA" w14:textId="77777777" w:rsidR="00D1587D" w:rsidRDefault="00D1587D">
      <w:pPr>
        <w:spacing w:line="233" w:lineRule="exact"/>
        <w:rPr>
          <w:sz w:val="20"/>
          <w:szCs w:val="20"/>
        </w:rPr>
      </w:pPr>
    </w:p>
    <w:p w14:paraId="56F2A35A" w14:textId="77777777" w:rsidR="00D1587D" w:rsidRDefault="00410D07">
      <w:pPr>
        <w:spacing w:line="297" w:lineRule="auto"/>
        <w:ind w:right="60" w:firstLine="648"/>
        <w:rPr>
          <w:sz w:val="20"/>
          <w:szCs w:val="20"/>
        </w:rPr>
      </w:pPr>
      <w:r>
        <w:rPr>
          <w:rFonts w:ascii="Arial" w:eastAsia="Arial" w:hAnsi="Arial" w:cs="Arial"/>
          <w:sz w:val="19"/>
          <w:szCs w:val="19"/>
        </w:rPr>
        <w:t xml:space="preserve">Section 1. </w:t>
      </w:r>
      <w:r>
        <w:rPr>
          <w:rFonts w:ascii="Arial" w:eastAsia="Arial" w:hAnsi="Arial" w:cs="Arial"/>
          <w:sz w:val="19"/>
          <w:szCs w:val="19"/>
          <w:u w:val="single"/>
        </w:rPr>
        <w:t>Election of Directors</w:t>
      </w:r>
      <w:r>
        <w:rPr>
          <w:rFonts w:ascii="Arial" w:eastAsia="Arial" w:hAnsi="Arial" w:cs="Arial"/>
          <w:sz w:val="19"/>
          <w:szCs w:val="19"/>
        </w:rPr>
        <w:t xml:space="preserve">. Subject to the right of the holders of any class or series of Preferred Stock to elect one or more directors of the Corporation, each director shall be elected for a term </w:t>
      </w:r>
      <w:r>
        <w:rPr>
          <w:rFonts w:ascii="Arial" w:eastAsia="Arial" w:hAnsi="Arial" w:cs="Arial"/>
          <w:sz w:val="19"/>
          <w:szCs w:val="19"/>
        </w:rPr>
        <w:t>expiring at the next annual meeting, and shall hold office until such director’s successor is elected and qualified or until such director’s earlier death, resignation or removal.</w:t>
      </w:r>
    </w:p>
    <w:p w14:paraId="35718A77" w14:textId="77777777" w:rsidR="00D1587D" w:rsidRDefault="00410D07">
      <w:pPr>
        <w:spacing w:line="20" w:lineRule="exact"/>
        <w:rPr>
          <w:sz w:val="20"/>
          <w:szCs w:val="20"/>
        </w:rPr>
      </w:pPr>
      <w:r>
        <w:rPr>
          <w:noProof/>
          <w:sz w:val="20"/>
          <w:szCs w:val="20"/>
        </w:rPr>
        <w:drawing>
          <wp:anchor distT="0" distB="0" distL="114300" distR="114300" simplePos="0" relativeHeight="251210752" behindDoc="1" locked="0" layoutInCell="0" allowOverlap="1" wp14:anchorId="7429D81E" wp14:editId="0454DDDB">
            <wp:simplePos x="0" y="0"/>
            <wp:positionH relativeFrom="column">
              <wp:posOffset>5080</wp:posOffset>
            </wp:positionH>
            <wp:positionV relativeFrom="paragraph">
              <wp:posOffset>227330</wp:posOffset>
            </wp:positionV>
            <wp:extent cx="7132320" cy="1714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FD9B7BE" w14:textId="77777777" w:rsidR="00D1587D" w:rsidRDefault="00D1587D">
      <w:pPr>
        <w:sectPr w:rsidR="00D1587D">
          <w:pgSz w:w="11900" w:h="16838"/>
          <w:pgMar w:top="361" w:right="359" w:bottom="1440" w:left="320" w:header="0" w:footer="0" w:gutter="0"/>
          <w:cols w:space="720" w:equalWidth="0">
            <w:col w:w="11220"/>
          </w:cols>
        </w:sectPr>
      </w:pPr>
    </w:p>
    <w:p w14:paraId="3E6ADCEC" w14:textId="77777777" w:rsidR="00D1587D" w:rsidRDefault="00410D07">
      <w:pPr>
        <w:spacing w:line="272" w:lineRule="auto"/>
        <w:ind w:firstLine="648"/>
        <w:rPr>
          <w:sz w:val="20"/>
          <w:szCs w:val="20"/>
        </w:rPr>
      </w:pPr>
      <w:bookmarkStart w:id="64" w:name="page65"/>
      <w:bookmarkEnd w:id="64"/>
      <w:r>
        <w:rPr>
          <w:rFonts w:ascii="Arial" w:eastAsia="Arial" w:hAnsi="Arial" w:cs="Arial"/>
          <w:sz w:val="19"/>
          <w:szCs w:val="19"/>
        </w:rPr>
        <w:t xml:space="preserve">Section 2. </w:t>
      </w:r>
      <w:r>
        <w:rPr>
          <w:rFonts w:ascii="Arial" w:eastAsia="Arial" w:hAnsi="Arial" w:cs="Arial"/>
          <w:sz w:val="19"/>
          <w:szCs w:val="19"/>
          <w:u w:val="single"/>
        </w:rPr>
        <w:t>Election by Holders of Preferred Stock</w:t>
      </w:r>
      <w:r>
        <w:rPr>
          <w:rFonts w:ascii="Arial" w:eastAsia="Arial" w:hAnsi="Arial" w:cs="Arial"/>
          <w:sz w:val="19"/>
          <w:szCs w:val="19"/>
        </w:rPr>
        <w:t>. Dur</w:t>
      </w:r>
      <w:r>
        <w:rPr>
          <w:rFonts w:ascii="Arial" w:eastAsia="Arial" w:hAnsi="Arial" w:cs="Arial"/>
          <w:sz w:val="19"/>
          <w:szCs w:val="19"/>
        </w:rPr>
        <w:t>ing any period when the holders of any Preferred Stock or any one or more series thereof, voting as a class, shall be entitled to elect a specified number of directors, by reason of divided arrearages or other provisions giving them the right to do so, the</w:t>
      </w:r>
      <w:r>
        <w:rPr>
          <w:rFonts w:ascii="Arial" w:eastAsia="Arial" w:hAnsi="Arial" w:cs="Arial"/>
          <w:sz w:val="19"/>
          <w:szCs w:val="19"/>
        </w:rPr>
        <w:t>n and during such time as such right continues (i) the then otherwise authorized number of directors shall be increased by such specified number of directors, and the holders of such Preferred Stock or such series thereof, voting as a class, shall be entit</w:t>
      </w:r>
      <w:r>
        <w:rPr>
          <w:rFonts w:ascii="Arial" w:eastAsia="Arial" w:hAnsi="Arial" w:cs="Arial"/>
          <w:sz w:val="19"/>
          <w:szCs w:val="19"/>
        </w:rPr>
        <w:t xml:space="preserve">led to elect the additional directors so provided for, pursuant to the provisions of such Preferred Stock or series; (ii) each such additional director shall serve for such term, and have such voting powers, as shall be stated in the provisions pertaining </w:t>
      </w:r>
      <w:r>
        <w:rPr>
          <w:rFonts w:ascii="Arial" w:eastAsia="Arial" w:hAnsi="Arial" w:cs="Arial"/>
          <w:sz w:val="19"/>
          <w:szCs w:val="19"/>
        </w:rPr>
        <w:t>to such Preferred Stock or series; and (iii) whenever the holders of any such Preferred Stock or series thereof are divested of such rights to elect a specified number of directors, voting as a class, pursuant to the provisions of such Preferred Stock or s</w:t>
      </w:r>
      <w:r>
        <w:rPr>
          <w:rFonts w:ascii="Arial" w:eastAsia="Arial" w:hAnsi="Arial" w:cs="Arial"/>
          <w:sz w:val="19"/>
          <w:szCs w:val="19"/>
        </w:rPr>
        <w:t>eries, the terms of office of all directors elected by the holders of such Preferred Stock or series, voting as a class pursuant to such provisions or elected to fill any vacancies resulting from the death, resignation or removal of directors so elected by</w:t>
      </w:r>
      <w:r>
        <w:rPr>
          <w:rFonts w:ascii="Arial" w:eastAsia="Arial" w:hAnsi="Arial" w:cs="Arial"/>
          <w:sz w:val="19"/>
          <w:szCs w:val="19"/>
        </w:rPr>
        <w:t xml:space="preserve"> the holders of such Preferred Stock or series, shall forthwith terminate and the authorized number of directors shall be reduced accordingly.</w:t>
      </w:r>
    </w:p>
    <w:p w14:paraId="24AA2EF7" w14:textId="77777777" w:rsidR="00D1587D" w:rsidRDefault="00D1587D">
      <w:pPr>
        <w:spacing w:line="188" w:lineRule="exact"/>
        <w:rPr>
          <w:sz w:val="20"/>
          <w:szCs w:val="20"/>
        </w:rPr>
      </w:pPr>
    </w:p>
    <w:p w14:paraId="2FD87C6B" w14:textId="77777777" w:rsidR="00D1587D" w:rsidRDefault="00410D07">
      <w:pPr>
        <w:ind w:left="660"/>
        <w:rPr>
          <w:sz w:val="20"/>
          <w:szCs w:val="20"/>
        </w:rPr>
      </w:pPr>
      <w:r>
        <w:rPr>
          <w:rFonts w:ascii="Arial" w:eastAsia="Arial" w:hAnsi="Arial" w:cs="Arial"/>
        </w:rPr>
        <w:t xml:space="preserve">Section 3. </w:t>
      </w:r>
      <w:r>
        <w:rPr>
          <w:rFonts w:ascii="Arial" w:eastAsia="Arial" w:hAnsi="Arial" w:cs="Arial"/>
          <w:u w:val="single"/>
        </w:rPr>
        <w:t>Cumulative Voting</w:t>
      </w:r>
      <w:r>
        <w:rPr>
          <w:rFonts w:ascii="Arial" w:eastAsia="Arial" w:hAnsi="Arial" w:cs="Arial"/>
        </w:rPr>
        <w:t>. There shall be no cumulative voting in the election of directors.</w:t>
      </w:r>
    </w:p>
    <w:p w14:paraId="1F29E1AD" w14:textId="77777777" w:rsidR="00D1587D" w:rsidRDefault="00D1587D">
      <w:pPr>
        <w:spacing w:line="233" w:lineRule="exact"/>
        <w:rPr>
          <w:sz w:val="20"/>
          <w:szCs w:val="20"/>
        </w:rPr>
      </w:pPr>
    </w:p>
    <w:p w14:paraId="24C3644B" w14:textId="77777777" w:rsidR="00D1587D" w:rsidRDefault="00410D07">
      <w:pPr>
        <w:spacing w:line="233" w:lineRule="auto"/>
        <w:ind w:right="40" w:firstLine="648"/>
        <w:rPr>
          <w:sz w:val="20"/>
          <w:szCs w:val="20"/>
        </w:rPr>
      </w:pPr>
      <w:r>
        <w:rPr>
          <w:rFonts w:ascii="Arial" w:eastAsia="Arial" w:hAnsi="Arial" w:cs="Arial"/>
        </w:rPr>
        <w:t xml:space="preserve">Section 4. </w:t>
      </w:r>
      <w:r>
        <w:rPr>
          <w:rFonts w:ascii="Arial" w:eastAsia="Arial" w:hAnsi="Arial" w:cs="Arial"/>
          <w:u w:val="single"/>
        </w:rPr>
        <w:t>Elim</w:t>
      </w:r>
      <w:r>
        <w:rPr>
          <w:rFonts w:ascii="Arial" w:eastAsia="Arial" w:hAnsi="Arial" w:cs="Arial"/>
          <w:u w:val="single"/>
        </w:rPr>
        <w:t>ination of Certain Personal Liability of Directors</w:t>
      </w:r>
      <w:r>
        <w:rPr>
          <w:rFonts w:ascii="Arial" w:eastAsia="Arial" w:hAnsi="Arial" w:cs="Arial"/>
        </w:rPr>
        <w:t>. A director of this Corporation shall not be personally liable to the Corporation or its stockholders for monetary damages for breach of any fiduciary duty as a director, except for liability (i) for any b</w:t>
      </w:r>
      <w:r>
        <w:rPr>
          <w:rFonts w:ascii="Arial" w:eastAsia="Arial" w:hAnsi="Arial" w:cs="Arial"/>
        </w:rPr>
        <w:t>reach of the director’s duty of loyalty to the Corporation or its stockholders, (ii) for acts or omissions not in good faith or which involve intentional misconduct or a knowing violation of law, (iii) under Section 174 of the DGCL or (iv) for any transact</w:t>
      </w:r>
      <w:r>
        <w:rPr>
          <w:rFonts w:ascii="Arial" w:eastAsia="Arial" w:hAnsi="Arial" w:cs="Arial"/>
        </w:rPr>
        <w:t>ion from which the director derives an improper personal benefit. If the DGCL is amended after approval by the stockholders of this Section to authorize corporate action further eliminating or limiting the personal liability of directors, then the liabilit</w:t>
      </w:r>
      <w:r>
        <w:rPr>
          <w:rFonts w:ascii="Arial" w:eastAsia="Arial" w:hAnsi="Arial" w:cs="Arial"/>
        </w:rPr>
        <w:t>y of a director of the Corporation shall be eliminated or limited to the fullest extent permitted by the DGCL, as so amended. The foregoing limitation on liability shall not apply to acts or omissions occurring prior to the effective date of this Section.</w:t>
      </w:r>
    </w:p>
    <w:p w14:paraId="76EB5ECB" w14:textId="77777777" w:rsidR="00D1587D" w:rsidRDefault="00D1587D">
      <w:pPr>
        <w:spacing w:line="220" w:lineRule="exact"/>
        <w:rPr>
          <w:sz w:val="20"/>
          <w:szCs w:val="20"/>
        </w:rPr>
      </w:pPr>
    </w:p>
    <w:p w14:paraId="3EA091E0" w14:textId="77777777" w:rsidR="00D1587D" w:rsidRDefault="00410D07">
      <w:pPr>
        <w:ind w:left="660"/>
        <w:rPr>
          <w:sz w:val="20"/>
          <w:szCs w:val="20"/>
        </w:rPr>
      </w:pPr>
      <w:r>
        <w:rPr>
          <w:rFonts w:ascii="Arial" w:eastAsia="Arial" w:hAnsi="Arial" w:cs="Arial"/>
          <w:sz w:val="21"/>
          <w:szCs w:val="21"/>
        </w:rPr>
        <w:t>SEVENTH. No action shall be taken by the stockholders except at an annual or special meeting of stockholders.</w:t>
      </w:r>
    </w:p>
    <w:p w14:paraId="3109093B" w14:textId="77777777" w:rsidR="00D1587D" w:rsidRDefault="00D1587D">
      <w:pPr>
        <w:spacing w:line="245" w:lineRule="exact"/>
        <w:rPr>
          <w:sz w:val="20"/>
          <w:szCs w:val="20"/>
        </w:rPr>
      </w:pPr>
    </w:p>
    <w:p w14:paraId="42B3E185" w14:textId="77777777" w:rsidR="00D1587D" w:rsidRDefault="00410D07">
      <w:pPr>
        <w:spacing w:line="282" w:lineRule="auto"/>
        <w:ind w:right="40" w:firstLine="648"/>
        <w:rPr>
          <w:sz w:val="20"/>
          <w:szCs w:val="20"/>
        </w:rPr>
      </w:pPr>
      <w:r>
        <w:rPr>
          <w:rFonts w:ascii="Arial" w:eastAsia="Arial" w:hAnsi="Arial" w:cs="Arial"/>
          <w:sz w:val="19"/>
          <w:szCs w:val="19"/>
        </w:rPr>
        <w:t>EIGHTH. Any director may be removed at any annual or special stockholders’ meeting, with or without cause, upon the affirmative vote of the hold</w:t>
      </w:r>
      <w:r>
        <w:rPr>
          <w:rFonts w:ascii="Arial" w:eastAsia="Arial" w:hAnsi="Arial" w:cs="Arial"/>
          <w:sz w:val="19"/>
          <w:szCs w:val="19"/>
        </w:rPr>
        <w:t>ers of not less than a majority of the outstanding shares of capital stock of the Corporation at that time entitled to vote generally in the election of directors, voting together as a single class; provided, that directors who shall have been elected by t</w:t>
      </w:r>
      <w:r>
        <w:rPr>
          <w:rFonts w:ascii="Arial" w:eastAsia="Arial" w:hAnsi="Arial" w:cs="Arial"/>
          <w:sz w:val="19"/>
          <w:szCs w:val="19"/>
        </w:rPr>
        <w:t>he holders of a series or class of Preferred Stock, voting separately as a class, shall be removed only pursuant to the provisions establishing the rights of such series or class to elect such directors.</w:t>
      </w:r>
    </w:p>
    <w:p w14:paraId="09DF70EE" w14:textId="77777777" w:rsidR="00D1587D" w:rsidRDefault="00D1587D">
      <w:pPr>
        <w:spacing w:line="174" w:lineRule="exact"/>
        <w:rPr>
          <w:sz w:val="20"/>
          <w:szCs w:val="20"/>
        </w:rPr>
      </w:pPr>
    </w:p>
    <w:p w14:paraId="5BFC041F" w14:textId="77777777" w:rsidR="00D1587D" w:rsidRDefault="00410D07">
      <w:pPr>
        <w:ind w:right="360" w:firstLine="648"/>
        <w:rPr>
          <w:sz w:val="20"/>
          <w:szCs w:val="20"/>
        </w:rPr>
      </w:pPr>
      <w:r>
        <w:rPr>
          <w:rFonts w:ascii="Arial" w:eastAsia="Arial" w:hAnsi="Arial" w:cs="Arial"/>
        </w:rPr>
        <w:t xml:space="preserve">NINTH. </w:t>
      </w:r>
      <w:r>
        <w:rPr>
          <w:rFonts w:ascii="Arial" w:eastAsia="Arial" w:hAnsi="Arial" w:cs="Arial"/>
          <w:u w:val="single"/>
        </w:rPr>
        <w:t>Amendments Generally</w:t>
      </w:r>
      <w:r>
        <w:rPr>
          <w:rFonts w:ascii="Arial" w:eastAsia="Arial" w:hAnsi="Arial" w:cs="Arial"/>
        </w:rPr>
        <w:t xml:space="preserve">. The </w:t>
      </w:r>
      <w:r>
        <w:rPr>
          <w:rFonts w:ascii="Arial" w:eastAsia="Arial" w:hAnsi="Arial" w:cs="Arial"/>
        </w:rPr>
        <w:t>Corporation reserves the right to amend, alter, change or repeal any provision contained in this Certificate of Incorporation, in the manner now or hereafter prescribed by statute, and all rights conferred on stockholders herein are granted subject to this</w:t>
      </w:r>
      <w:r>
        <w:rPr>
          <w:rFonts w:ascii="Arial" w:eastAsia="Arial" w:hAnsi="Arial" w:cs="Arial"/>
        </w:rPr>
        <w:t xml:space="preserve"> reservation.</w:t>
      </w:r>
    </w:p>
    <w:p w14:paraId="6E36F2CC" w14:textId="77777777" w:rsidR="00D1587D" w:rsidRDefault="00410D07">
      <w:pPr>
        <w:spacing w:line="20" w:lineRule="exact"/>
        <w:rPr>
          <w:sz w:val="20"/>
          <w:szCs w:val="20"/>
        </w:rPr>
      </w:pPr>
      <w:r>
        <w:rPr>
          <w:noProof/>
          <w:sz w:val="20"/>
          <w:szCs w:val="20"/>
        </w:rPr>
        <w:drawing>
          <wp:anchor distT="0" distB="0" distL="114300" distR="114300" simplePos="0" relativeHeight="251211776" behindDoc="1" locked="0" layoutInCell="0" allowOverlap="1" wp14:anchorId="46CFBDDA" wp14:editId="2AB31CE1">
            <wp:simplePos x="0" y="0"/>
            <wp:positionH relativeFrom="column">
              <wp:posOffset>5080</wp:posOffset>
            </wp:positionH>
            <wp:positionV relativeFrom="paragraph">
              <wp:posOffset>217805</wp:posOffset>
            </wp:positionV>
            <wp:extent cx="7132320" cy="1714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D0D7EA2" w14:textId="77777777" w:rsidR="00D1587D" w:rsidRDefault="00D1587D">
      <w:pPr>
        <w:sectPr w:rsidR="00D1587D">
          <w:pgSz w:w="11900" w:h="16838"/>
          <w:pgMar w:top="361" w:right="339" w:bottom="1440" w:left="320" w:header="0" w:footer="0" w:gutter="0"/>
          <w:cols w:space="720" w:equalWidth="0">
            <w:col w:w="11240"/>
          </w:cols>
        </w:sectPr>
      </w:pPr>
    </w:p>
    <w:p w14:paraId="19BFF6E1" w14:textId="77777777" w:rsidR="00D1587D" w:rsidRDefault="00410D07">
      <w:pPr>
        <w:jc w:val="right"/>
        <w:rPr>
          <w:sz w:val="20"/>
          <w:szCs w:val="20"/>
        </w:rPr>
      </w:pPr>
      <w:bookmarkStart w:id="65" w:name="page66"/>
      <w:bookmarkEnd w:id="65"/>
      <w:r>
        <w:rPr>
          <w:rFonts w:ascii="Arial" w:eastAsia="Arial" w:hAnsi="Arial" w:cs="Arial"/>
          <w:b/>
          <w:bCs/>
          <w:noProof/>
        </w:rPr>
        <w:drawing>
          <wp:anchor distT="0" distB="0" distL="114300" distR="114300" simplePos="0" relativeHeight="251212800" behindDoc="1" locked="0" layoutInCell="0" allowOverlap="1" wp14:anchorId="34679E8F" wp14:editId="063A9DFB">
            <wp:simplePos x="0" y="0"/>
            <wp:positionH relativeFrom="page">
              <wp:posOffset>208280</wp:posOffset>
            </wp:positionH>
            <wp:positionV relativeFrom="page">
              <wp:posOffset>88900</wp:posOffset>
            </wp:positionV>
            <wp:extent cx="7132320" cy="3429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3.2</w:t>
      </w:r>
    </w:p>
    <w:p w14:paraId="746ECA09" w14:textId="77777777" w:rsidR="00D1587D" w:rsidRDefault="00D1587D">
      <w:pPr>
        <w:spacing w:line="233" w:lineRule="exact"/>
        <w:rPr>
          <w:sz w:val="20"/>
          <w:szCs w:val="20"/>
        </w:rPr>
      </w:pPr>
    </w:p>
    <w:p w14:paraId="5949B33A" w14:textId="77777777" w:rsidR="00D1587D" w:rsidRDefault="00410D07">
      <w:pPr>
        <w:jc w:val="center"/>
        <w:rPr>
          <w:sz w:val="20"/>
          <w:szCs w:val="20"/>
        </w:rPr>
      </w:pPr>
      <w:r>
        <w:rPr>
          <w:rFonts w:ascii="Arial" w:eastAsia="Arial" w:hAnsi="Arial" w:cs="Arial"/>
          <w:b/>
          <w:bCs/>
        </w:rPr>
        <w:t>FORM OF AMENDED AND RESTATED BYLAWS</w:t>
      </w:r>
    </w:p>
    <w:p w14:paraId="7B6DB0ED" w14:textId="77777777" w:rsidR="00D1587D" w:rsidRDefault="00D1587D">
      <w:pPr>
        <w:spacing w:line="4" w:lineRule="exact"/>
        <w:rPr>
          <w:sz w:val="20"/>
          <w:szCs w:val="20"/>
        </w:rPr>
      </w:pPr>
    </w:p>
    <w:p w14:paraId="3A2973C7" w14:textId="77777777" w:rsidR="00D1587D" w:rsidRDefault="00410D07">
      <w:pPr>
        <w:jc w:val="center"/>
        <w:rPr>
          <w:sz w:val="20"/>
          <w:szCs w:val="20"/>
        </w:rPr>
      </w:pPr>
      <w:r>
        <w:rPr>
          <w:rFonts w:ascii="Arial" w:eastAsia="Arial" w:hAnsi="Arial" w:cs="Arial"/>
          <w:b/>
          <w:bCs/>
        </w:rPr>
        <w:t>OF</w:t>
      </w:r>
    </w:p>
    <w:p w14:paraId="634B608C" w14:textId="77777777" w:rsidR="00D1587D" w:rsidRDefault="00410D07">
      <w:pPr>
        <w:jc w:val="center"/>
        <w:rPr>
          <w:sz w:val="20"/>
          <w:szCs w:val="20"/>
        </w:rPr>
      </w:pPr>
      <w:r>
        <w:rPr>
          <w:rFonts w:ascii="Arial" w:eastAsia="Arial" w:hAnsi="Arial" w:cs="Arial"/>
          <w:b/>
          <w:bCs/>
        </w:rPr>
        <w:t>VICTORIA’S SECRET &amp; CO.</w:t>
      </w:r>
    </w:p>
    <w:p w14:paraId="5DC3D118" w14:textId="77777777" w:rsidR="00D1587D" w:rsidRDefault="00D1587D">
      <w:pPr>
        <w:spacing w:line="215" w:lineRule="exact"/>
        <w:rPr>
          <w:sz w:val="20"/>
          <w:szCs w:val="20"/>
        </w:rPr>
      </w:pPr>
    </w:p>
    <w:p w14:paraId="3C3977AF" w14:textId="77777777" w:rsidR="00D1587D" w:rsidRDefault="00410D07">
      <w:pPr>
        <w:jc w:val="center"/>
        <w:rPr>
          <w:sz w:val="20"/>
          <w:szCs w:val="20"/>
        </w:rPr>
      </w:pPr>
      <w:r>
        <w:rPr>
          <w:rFonts w:ascii="Arial" w:eastAsia="Arial" w:hAnsi="Arial" w:cs="Arial"/>
        </w:rPr>
        <w:t>Adopted as of [—], 2021</w:t>
      </w:r>
    </w:p>
    <w:p w14:paraId="03B158FB" w14:textId="77777777" w:rsidR="00D1587D" w:rsidRDefault="00D1587D">
      <w:pPr>
        <w:spacing w:line="233" w:lineRule="exact"/>
        <w:rPr>
          <w:sz w:val="20"/>
          <w:szCs w:val="20"/>
        </w:rPr>
      </w:pPr>
    </w:p>
    <w:p w14:paraId="45AF57F2" w14:textId="77777777" w:rsidR="00D1587D" w:rsidRDefault="00410D07">
      <w:pPr>
        <w:ind w:left="660"/>
        <w:rPr>
          <w:sz w:val="20"/>
          <w:szCs w:val="20"/>
        </w:rPr>
      </w:pPr>
      <w:r>
        <w:rPr>
          <w:rFonts w:ascii="Arial" w:eastAsia="Arial" w:hAnsi="Arial" w:cs="Arial"/>
        </w:rPr>
        <w:t>ARTICLE I STOCKHOLDERS</w:t>
      </w:r>
    </w:p>
    <w:p w14:paraId="72CDB2AE" w14:textId="77777777" w:rsidR="00D1587D" w:rsidRDefault="00D1587D">
      <w:pPr>
        <w:spacing w:line="233" w:lineRule="exact"/>
        <w:rPr>
          <w:sz w:val="20"/>
          <w:szCs w:val="20"/>
        </w:rPr>
      </w:pPr>
    </w:p>
    <w:p w14:paraId="584CC042" w14:textId="77777777" w:rsidR="00D1587D" w:rsidRDefault="00410D07">
      <w:pPr>
        <w:spacing w:line="250" w:lineRule="auto"/>
        <w:ind w:right="140" w:firstLine="648"/>
        <w:rPr>
          <w:sz w:val="20"/>
          <w:szCs w:val="20"/>
        </w:rPr>
      </w:pPr>
      <w:r>
        <w:rPr>
          <w:rFonts w:ascii="Arial" w:eastAsia="Arial" w:hAnsi="Arial" w:cs="Arial"/>
        </w:rPr>
        <w:t xml:space="preserve">Section 1.01. Annual Meeting. An annual meeting of the stockholders of this </w:t>
      </w:r>
      <w:r>
        <w:rPr>
          <w:rFonts w:ascii="Arial" w:eastAsia="Arial" w:hAnsi="Arial" w:cs="Arial"/>
        </w:rPr>
        <w:t>corporation shall be held for the purpose of electing directors and transacting such other business as may properly come before the meeting.</w:t>
      </w:r>
    </w:p>
    <w:p w14:paraId="13789858" w14:textId="77777777" w:rsidR="00D1587D" w:rsidRDefault="00D1587D">
      <w:pPr>
        <w:spacing w:line="202" w:lineRule="exact"/>
        <w:rPr>
          <w:sz w:val="20"/>
          <w:szCs w:val="20"/>
        </w:rPr>
      </w:pPr>
    </w:p>
    <w:p w14:paraId="14791ED2" w14:textId="77777777" w:rsidR="00D1587D" w:rsidRDefault="00410D07">
      <w:pPr>
        <w:ind w:left="660"/>
        <w:rPr>
          <w:sz w:val="20"/>
          <w:szCs w:val="20"/>
        </w:rPr>
      </w:pPr>
      <w:r>
        <w:rPr>
          <w:rFonts w:ascii="Arial" w:eastAsia="Arial" w:hAnsi="Arial" w:cs="Arial"/>
        </w:rPr>
        <w:t>Section 1.02. Special Meetings.</w:t>
      </w:r>
    </w:p>
    <w:p w14:paraId="05A01045" w14:textId="77777777" w:rsidR="00D1587D" w:rsidRDefault="00D1587D">
      <w:pPr>
        <w:spacing w:line="233" w:lineRule="exact"/>
        <w:rPr>
          <w:sz w:val="20"/>
          <w:szCs w:val="20"/>
        </w:rPr>
      </w:pPr>
    </w:p>
    <w:p w14:paraId="689CE076" w14:textId="77777777" w:rsidR="00D1587D" w:rsidRDefault="00410D07">
      <w:pPr>
        <w:spacing w:line="272" w:lineRule="auto"/>
        <w:ind w:right="60" w:firstLine="648"/>
        <w:rPr>
          <w:sz w:val="20"/>
          <w:szCs w:val="20"/>
        </w:rPr>
      </w:pPr>
      <w:r>
        <w:rPr>
          <w:rFonts w:ascii="Arial" w:eastAsia="Arial" w:hAnsi="Arial" w:cs="Arial"/>
          <w:sz w:val="19"/>
          <w:szCs w:val="19"/>
        </w:rPr>
        <w:t>1.02.01. Special meetings of the stockholders may be called at any time by the ch</w:t>
      </w:r>
      <w:r>
        <w:rPr>
          <w:rFonts w:ascii="Arial" w:eastAsia="Arial" w:hAnsi="Arial" w:cs="Arial"/>
          <w:sz w:val="19"/>
          <w:szCs w:val="19"/>
        </w:rPr>
        <w:t xml:space="preserve">air of the board of directors (the “Board of Directors”), any vice chair of the Board of Directors, or in case of the death, absence, or disability of the chair of the Board of Directors (and, if elected, a vice chair of the Board of Directors), the chief </w:t>
      </w:r>
      <w:r>
        <w:rPr>
          <w:rFonts w:ascii="Arial" w:eastAsia="Arial" w:hAnsi="Arial" w:cs="Arial"/>
          <w:sz w:val="19"/>
          <w:szCs w:val="19"/>
        </w:rPr>
        <w:t xml:space="preserve">executive officer, or in the case of the chief executive officer’s death, absence or disability, the president, or in case of the president’s death, absence, or disability, the vice president, if any, authorized to exercise the authority of the president, </w:t>
      </w:r>
      <w:r>
        <w:rPr>
          <w:rFonts w:ascii="Arial" w:eastAsia="Arial" w:hAnsi="Arial" w:cs="Arial"/>
          <w:sz w:val="19"/>
          <w:szCs w:val="19"/>
        </w:rPr>
        <w:t>or a majority of the Board of Directors acting with or without a meeting and may not be called by any other person or persons; provided that if and to the extent that any special meeting of stockholders may be called by any other person or persons specifie</w:t>
      </w:r>
      <w:r>
        <w:rPr>
          <w:rFonts w:ascii="Arial" w:eastAsia="Arial" w:hAnsi="Arial" w:cs="Arial"/>
          <w:sz w:val="19"/>
          <w:szCs w:val="19"/>
        </w:rPr>
        <w:t xml:space="preserve">d in any provision of the certificate of incorporation or any amendment thereto or any certificate filed under Section 151(g) of the Delaware General Corporation Law (the “DGCL”) (or its successor statute as in effect from time to time), then such special </w:t>
      </w:r>
      <w:r>
        <w:rPr>
          <w:rFonts w:ascii="Arial" w:eastAsia="Arial" w:hAnsi="Arial" w:cs="Arial"/>
          <w:sz w:val="19"/>
          <w:szCs w:val="19"/>
        </w:rPr>
        <w:t>meeting may also be called by such person or persons. A special meeting shall be held only in the manner, at the times and for the purposes specified on the notice of meeting or at the meeting by the person or persons properly calling the meeting in accord</w:t>
      </w:r>
      <w:r>
        <w:rPr>
          <w:rFonts w:ascii="Arial" w:eastAsia="Arial" w:hAnsi="Arial" w:cs="Arial"/>
          <w:sz w:val="19"/>
          <w:szCs w:val="19"/>
        </w:rPr>
        <w:t>ance with this Section 1.02.01. For the avoidance of doubt, the Board of Directors shall be permitted to submit matters to the stockholders at any special meeting requested by the stockholders pursuant to Section 1.02.02.</w:t>
      </w:r>
    </w:p>
    <w:p w14:paraId="655BEDF3" w14:textId="77777777" w:rsidR="00D1587D" w:rsidRDefault="00D1587D">
      <w:pPr>
        <w:spacing w:line="200" w:lineRule="exact"/>
        <w:rPr>
          <w:sz w:val="20"/>
          <w:szCs w:val="20"/>
        </w:rPr>
      </w:pPr>
    </w:p>
    <w:p w14:paraId="12C47060" w14:textId="77777777" w:rsidR="00D1587D" w:rsidRDefault="00D1587D">
      <w:pPr>
        <w:spacing w:line="231" w:lineRule="exact"/>
        <w:rPr>
          <w:sz w:val="20"/>
          <w:szCs w:val="20"/>
        </w:rPr>
      </w:pPr>
    </w:p>
    <w:p w14:paraId="1517D856" w14:textId="77777777" w:rsidR="00D1587D" w:rsidRDefault="00410D07">
      <w:pPr>
        <w:spacing w:line="269" w:lineRule="auto"/>
        <w:ind w:right="100" w:firstLine="648"/>
        <w:rPr>
          <w:sz w:val="20"/>
          <w:szCs w:val="20"/>
        </w:rPr>
      </w:pPr>
      <w:r>
        <w:rPr>
          <w:rFonts w:ascii="Arial" w:eastAsia="Arial" w:hAnsi="Arial" w:cs="Arial"/>
          <w:sz w:val="19"/>
          <w:szCs w:val="19"/>
        </w:rPr>
        <w:t xml:space="preserve">1.02.02. A special </w:t>
      </w:r>
      <w:r>
        <w:rPr>
          <w:rFonts w:ascii="Arial" w:eastAsia="Arial" w:hAnsi="Arial" w:cs="Arial"/>
          <w:sz w:val="19"/>
          <w:szCs w:val="19"/>
        </w:rPr>
        <w:t>meeting of stockholders shall be called by the Board of Directors pursuant to Section 1.02.01 at the written request or requests to the secretary (the “secretary”) of the corporation (each, a “Special Meeting Request” and, collectively, the “Special Meetin</w:t>
      </w:r>
      <w:r>
        <w:rPr>
          <w:rFonts w:ascii="Arial" w:eastAsia="Arial" w:hAnsi="Arial" w:cs="Arial"/>
          <w:sz w:val="19"/>
          <w:szCs w:val="19"/>
        </w:rPr>
        <w:t>g Requests”) of holders of record who Own (as defined in Section 2.05) or, if such Special Meeting Request is made on behalf of one or more beneficial owners, of such beneficial owners who Own, at least 25% of the number of outstanding shares of common sto</w:t>
      </w:r>
      <w:r>
        <w:rPr>
          <w:rFonts w:ascii="Arial" w:eastAsia="Arial" w:hAnsi="Arial" w:cs="Arial"/>
          <w:sz w:val="19"/>
          <w:szCs w:val="19"/>
        </w:rPr>
        <w:t>ck of the corporation entitled to vote on the matter or matters to be brought before the proposed special meeting (the “Requisite Percentage”). The Special Meeting Requests to the secretary shall be signed and dated by each stockholder of record (or a duly</w:t>
      </w:r>
      <w:r>
        <w:rPr>
          <w:rFonts w:ascii="Arial" w:eastAsia="Arial" w:hAnsi="Arial" w:cs="Arial"/>
          <w:sz w:val="19"/>
          <w:szCs w:val="19"/>
        </w:rPr>
        <w:t xml:space="preserve"> authorized agent of such stockholder) requesting the special meeting (each, a “Requesting Stockholder”), shall comply with this Section 1.02.02 and, if applicable, Section 2.04, and shall include (i) a statement of the specific purpose or purposes of the </w:t>
      </w:r>
      <w:r>
        <w:rPr>
          <w:rFonts w:ascii="Arial" w:eastAsia="Arial" w:hAnsi="Arial" w:cs="Arial"/>
          <w:sz w:val="19"/>
          <w:szCs w:val="19"/>
        </w:rPr>
        <w:t>special meeting, (ii) the information required by Section 1.12 and, if applicable, Section 2.04, (iii) an acknowledgment by the Requesting Stockholders and the beneficial owners, if any, on whose behalf the Special Meeting Requests are being made that a di</w:t>
      </w:r>
      <w:r>
        <w:rPr>
          <w:rFonts w:ascii="Arial" w:eastAsia="Arial" w:hAnsi="Arial" w:cs="Arial"/>
          <w:sz w:val="19"/>
          <w:szCs w:val="19"/>
        </w:rPr>
        <w:t xml:space="preserve">sposition (prior to the time of the special meeting) of shares of the corporation’s stock Owned as of the date on which a Special Meeting Request in respect of such shares is delivered to the secretary shall constitute a revocation of such Special Meeting </w:t>
      </w:r>
      <w:r>
        <w:rPr>
          <w:rFonts w:ascii="Arial" w:eastAsia="Arial" w:hAnsi="Arial" w:cs="Arial"/>
          <w:sz w:val="19"/>
          <w:szCs w:val="19"/>
        </w:rPr>
        <w:t>Request with respect to such disposed shares and (iv) documentary evidence that the Requesting Stockholders or the beneficial owners, if any, on whose behalf the Special Meeting Requests are being made Own the Requisite Percentage as of the dates of such w</w:t>
      </w:r>
      <w:r>
        <w:rPr>
          <w:rFonts w:ascii="Arial" w:eastAsia="Arial" w:hAnsi="Arial" w:cs="Arial"/>
          <w:sz w:val="19"/>
          <w:szCs w:val="19"/>
        </w:rPr>
        <w:t>ritten requests to the secretary; provided, however, that if the Requesting Stockholders are not the beneficial owners of the shares representing the Requisite Percentage, then to be valid, the Special Meeting Requests must also include documentary evidenc</w:t>
      </w:r>
      <w:r>
        <w:rPr>
          <w:rFonts w:ascii="Arial" w:eastAsia="Arial" w:hAnsi="Arial" w:cs="Arial"/>
          <w:sz w:val="19"/>
          <w:szCs w:val="19"/>
        </w:rPr>
        <w:t>e (or, if not simultaneously provided with any Special Meeting Request, such documentary evidence must be delivered to the secretary within 10 business days after the date on which such Special Meeting Request is delivered to the secretary) that the benefi</w:t>
      </w:r>
      <w:r>
        <w:rPr>
          <w:rFonts w:ascii="Arial" w:eastAsia="Arial" w:hAnsi="Arial" w:cs="Arial"/>
          <w:sz w:val="19"/>
          <w:szCs w:val="19"/>
        </w:rPr>
        <w:t>cial owners on whose behalf the Special Meeting Requests are made Own the Requisite Percentage as of the dates on which such Special Meeting Requests are delivered to the secretary. In addition, the Requesting Stockholders and the beneficial owners, if any</w:t>
      </w:r>
      <w:r>
        <w:rPr>
          <w:rFonts w:ascii="Arial" w:eastAsia="Arial" w:hAnsi="Arial" w:cs="Arial"/>
          <w:sz w:val="19"/>
          <w:szCs w:val="19"/>
        </w:rPr>
        <w:t>, on whose behalf the Special Meeting Requests are being made shall promptly provide any other information reasonably requested by the corporation. The information required under clauses (iii), (iv) and (v) of Section 1.12.02(a) shall be supplemented by ea</w:t>
      </w:r>
      <w:r>
        <w:rPr>
          <w:rFonts w:ascii="Arial" w:eastAsia="Arial" w:hAnsi="Arial" w:cs="Arial"/>
          <w:sz w:val="19"/>
          <w:szCs w:val="19"/>
        </w:rPr>
        <w:t>ch Requesting Stockholder and any beneficial owner on whose behalf the Special Meeting Requests are made not later than 10 days after the record date for the special meeting to disclose such information as of the record date.</w:t>
      </w:r>
    </w:p>
    <w:p w14:paraId="4ED31D54" w14:textId="77777777" w:rsidR="00D1587D" w:rsidRDefault="00410D07">
      <w:pPr>
        <w:spacing w:line="20" w:lineRule="exact"/>
        <w:rPr>
          <w:sz w:val="20"/>
          <w:szCs w:val="20"/>
        </w:rPr>
      </w:pPr>
      <w:r>
        <w:rPr>
          <w:noProof/>
          <w:sz w:val="20"/>
          <w:szCs w:val="20"/>
        </w:rPr>
        <w:drawing>
          <wp:anchor distT="0" distB="0" distL="114300" distR="114300" simplePos="0" relativeHeight="251213824" behindDoc="1" locked="0" layoutInCell="0" allowOverlap="1" wp14:anchorId="11CB6B58" wp14:editId="43E1DB8C">
            <wp:simplePos x="0" y="0"/>
            <wp:positionH relativeFrom="column">
              <wp:posOffset>5080</wp:posOffset>
            </wp:positionH>
            <wp:positionV relativeFrom="paragraph">
              <wp:posOffset>250825</wp:posOffset>
            </wp:positionV>
            <wp:extent cx="7132320" cy="1714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419014D" w14:textId="77777777" w:rsidR="00D1587D" w:rsidRDefault="00D1587D">
      <w:pPr>
        <w:sectPr w:rsidR="00D1587D">
          <w:pgSz w:w="11900" w:h="16838"/>
          <w:pgMar w:top="274" w:right="339" w:bottom="1440" w:left="320" w:header="0" w:footer="0" w:gutter="0"/>
          <w:cols w:space="720" w:equalWidth="0">
            <w:col w:w="11240"/>
          </w:cols>
        </w:sectPr>
      </w:pPr>
    </w:p>
    <w:p w14:paraId="1E539C06" w14:textId="77777777" w:rsidR="00D1587D" w:rsidRDefault="00410D07">
      <w:pPr>
        <w:spacing w:line="287" w:lineRule="auto"/>
        <w:ind w:right="180" w:firstLine="648"/>
        <w:rPr>
          <w:sz w:val="20"/>
          <w:szCs w:val="20"/>
        </w:rPr>
      </w:pPr>
      <w:bookmarkStart w:id="66" w:name="page67"/>
      <w:bookmarkEnd w:id="66"/>
      <w:r>
        <w:rPr>
          <w:rFonts w:ascii="Arial" w:eastAsia="Arial" w:hAnsi="Arial" w:cs="Arial"/>
          <w:sz w:val="19"/>
          <w:szCs w:val="19"/>
        </w:rPr>
        <w:t>1.02.03.</w:t>
      </w:r>
      <w:r>
        <w:rPr>
          <w:rFonts w:ascii="Arial" w:eastAsia="Arial" w:hAnsi="Arial" w:cs="Arial"/>
          <w:sz w:val="19"/>
          <w:szCs w:val="19"/>
        </w:rPr>
        <w:t xml:space="preserve"> Special meetings of the stockholders shall be held on such date, at such time, and at such place as may be designated by the Board of Directors in accordance with these bylaws; provided, however, that in the case of a special meeting requested by stockhol</w:t>
      </w:r>
      <w:r>
        <w:rPr>
          <w:rFonts w:ascii="Arial" w:eastAsia="Arial" w:hAnsi="Arial" w:cs="Arial"/>
          <w:sz w:val="19"/>
          <w:szCs w:val="19"/>
        </w:rPr>
        <w:t>ders pursuant to Section 1.02.02, the date of any such special meeting shall not be more than 90 days after Special Meeting Requests that satisfy the requirements of this Section 1.02 are received by the secretary.</w:t>
      </w:r>
    </w:p>
    <w:p w14:paraId="08955CBD" w14:textId="77777777" w:rsidR="00D1587D" w:rsidRDefault="00D1587D">
      <w:pPr>
        <w:spacing w:line="170" w:lineRule="exact"/>
        <w:rPr>
          <w:sz w:val="20"/>
          <w:szCs w:val="20"/>
        </w:rPr>
      </w:pPr>
    </w:p>
    <w:p w14:paraId="651367DE" w14:textId="77777777" w:rsidR="00D1587D" w:rsidRDefault="00410D07">
      <w:pPr>
        <w:spacing w:line="269" w:lineRule="auto"/>
        <w:ind w:right="60" w:firstLine="648"/>
        <w:rPr>
          <w:sz w:val="20"/>
          <w:szCs w:val="20"/>
        </w:rPr>
      </w:pPr>
      <w:r>
        <w:rPr>
          <w:rFonts w:ascii="Arial" w:eastAsia="Arial" w:hAnsi="Arial" w:cs="Arial"/>
          <w:sz w:val="19"/>
          <w:szCs w:val="19"/>
        </w:rPr>
        <w:t>1.02.04. Notwithstanding the foregoing p</w:t>
      </w:r>
      <w:r>
        <w:rPr>
          <w:rFonts w:ascii="Arial" w:eastAsia="Arial" w:hAnsi="Arial" w:cs="Arial"/>
          <w:sz w:val="19"/>
          <w:szCs w:val="19"/>
        </w:rPr>
        <w:t>rovisions of this Section 1.02, a special meeting requested by stockholders shall not be held if (i) the Special Meeting Requests do not comply with this Section 1.02, (ii) the Special Meeting Requests relate to an item of business that is not a proper sub</w:t>
      </w:r>
      <w:r>
        <w:rPr>
          <w:rFonts w:ascii="Arial" w:eastAsia="Arial" w:hAnsi="Arial" w:cs="Arial"/>
          <w:sz w:val="19"/>
          <w:szCs w:val="19"/>
        </w:rPr>
        <w:t>ject for stockholder action under the certificate of incorporation or applicable law, (iii) any of the Special Meeting Requests are received by the corporation during the period commencing 90 days prior to the first anniversary of the date of the immediate</w:t>
      </w:r>
      <w:r>
        <w:rPr>
          <w:rFonts w:ascii="Arial" w:eastAsia="Arial" w:hAnsi="Arial" w:cs="Arial"/>
          <w:sz w:val="19"/>
          <w:szCs w:val="19"/>
        </w:rPr>
        <w:t>ly preceding annual meeting and ending on the date of the next annual meeting, (iv) an annual or special meeting of stockholders that included an identical or substantially similar item of business (“Similar Business”) was held not more than 120 days befor</w:t>
      </w:r>
      <w:r>
        <w:rPr>
          <w:rFonts w:ascii="Arial" w:eastAsia="Arial" w:hAnsi="Arial" w:cs="Arial"/>
          <w:sz w:val="19"/>
          <w:szCs w:val="19"/>
        </w:rPr>
        <w:t>e any of the Special Meeting Requests were received by the secretary, (v) the Board of Directors has called or calls for an annual or special meeting of stockholders to be held within 90 days after any of the Special Meeting Requests are received by the se</w:t>
      </w:r>
      <w:r>
        <w:rPr>
          <w:rFonts w:ascii="Arial" w:eastAsia="Arial" w:hAnsi="Arial" w:cs="Arial"/>
          <w:sz w:val="19"/>
          <w:szCs w:val="19"/>
        </w:rPr>
        <w:t>cretary and the business to be conducted at such meeting includes Similar Business or</w:t>
      </w:r>
    </w:p>
    <w:p w14:paraId="3484AC1B" w14:textId="77777777" w:rsidR="00D1587D" w:rsidRDefault="00D1587D">
      <w:pPr>
        <w:spacing w:line="1" w:lineRule="exact"/>
        <w:rPr>
          <w:sz w:val="20"/>
          <w:szCs w:val="20"/>
        </w:rPr>
      </w:pPr>
    </w:p>
    <w:p w14:paraId="60CB5655" w14:textId="77777777" w:rsidR="00D1587D" w:rsidRDefault="00410D07">
      <w:pPr>
        <w:numPr>
          <w:ilvl w:val="0"/>
          <w:numId w:val="43"/>
        </w:numPr>
        <w:tabs>
          <w:tab w:val="left" w:pos="366"/>
        </w:tabs>
        <w:spacing w:line="243" w:lineRule="auto"/>
        <w:ind w:firstLine="8"/>
        <w:rPr>
          <w:rFonts w:ascii="Arial" w:eastAsia="Arial" w:hAnsi="Arial" w:cs="Arial"/>
          <w:sz w:val="21"/>
          <w:szCs w:val="21"/>
        </w:rPr>
      </w:pPr>
      <w:r>
        <w:rPr>
          <w:rFonts w:ascii="Arial" w:eastAsia="Arial" w:hAnsi="Arial" w:cs="Arial"/>
          <w:sz w:val="21"/>
          <w:szCs w:val="21"/>
        </w:rPr>
        <w:t>any Special Meeting Request was made in a manner that involved a violation of Regulation 14A under the Securities Exchange Act of 1934 and the rules and regulations ther</w:t>
      </w:r>
      <w:r>
        <w:rPr>
          <w:rFonts w:ascii="Arial" w:eastAsia="Arial" w:hAnsi="Arial" w:cs="Arial"/>
          <w:sz w:val="21"/>
          <w:szCs w:val="21"/>
        </w:rPr>
        <w:t>eunder (the “Exchange Act”) or other applicable law. For purposes of this Section 1.02.04, the nomination, election or removal of directors shall be deemed to be Similar Business with respect to all items of business involving the nomination, election or r</w:t>
      </w:r>
      <w:r>
        <w:rPr>
          <w:rFonts w:ascii="Arial" w:eastAsia="Arial" w:hAnsi="Arial" w:cs="Arial"/>
          <w:sz w:val="21"/>
          <w:szCs w:val="21"/>
        </w:rPr>
        <w:t>emoval of directors, changing the size of the Board of Directors and filling of vacancies and/or newly created directorships resulting from any increase in the authorized number of directors. The Board of Directors shall determine in good faith whether the</w:t>
      </w:r>
      <w:r>
        <w:rPr>
          <w:rFonts w:ascii="Arial" w:eastAsia="Arial" w:hAnsi="Arial" w:cs="Arial"/>
          <w:sz w:val="21"/>
          <w:szCs w:val="21"/>
        </w:rPr>
        <w:t xml:space="preserve"> requirements set forth in this Section 1.02.04 have been satisfied. For purposes of Sections 1.02.04, 1.12.01 and 2.04.01 of these bylaws, the first anniversary of the 2021 annual meeting of stockholders shall be deemed to be May 20, 2022.</w:t>
      </w:r>
    </w:p>
    <w:p w14:paraId="73BBE280" w14:textId="77777777" w:rsidR="00D1587D" w:rsidRDefault="00D1587D">
      <w:pPr>
        <w:spacing w:line="213" w:lineRule="exact"/>
        <w:rPr>
          <w:sz w:val="20"/>
          <w:szCs w:val="20"/>
        </w:rPr>
      </w:pPr>
    </w:p>
    <w:p w14:paraId="09ED50B9" w14:textId="77777777" w:rsidR="00D1587D" w:rsidRDefault="00410D07">
      <w:pPr>
        <w:spacing w:line="273" w:lineRule="auto"/>
        <w:ind w:right="60" w:firstLine="648"/>
        <w:rPr>
          <w:sz w:val="20"/>
          <w:szCs w:val="20"/>
        </w:rPr>
      </w:pPr>
      <w:r>
        <w:rPr>
          <w:rFonts w:ascii="Arial" w:eastAsia="Arial" w:hAnsi="Arial" w:cs="Arial"/>
          <w:sz w:val="19"/>
          <w:szCs w:val="19"/>
        </w:rPr>
        <w:t>1.02.05. In de</w:t>
      </w:r>
      <w:r>
        <w:rPr>
          <w:rFonts w:ascii="Arial" w:eastAsia="Arial" w:hAnsi="Arial" w:cs="Arial"/>
          <w:sz w:val="19"/>
          <w:szCs w:val="19"/>
        </w:rPr>
        <w:t>termining whether a special meeting of stockholders has been requested by the record holders of shares representing in the aggregate at least the Requisite Percentage, multiple Special Meeting Requests delivered to the secretary will be considered together</w:t>
      </w:r>
      <w:r>
        <w:rPr>
          <w:rFonts w:ascii="Arial" w:eastAsia="Arial" w:hAnsi="Arial" w:cs="Arial"/>
          <w:sz w:val="19"/>
          <w:szCs w:val="19"/>
        </w:rPr>
        <w:t xml:space="preserve"> only if (i) each Special Meeting Request identifies substantially the same purpose or purposes of the special meeting and substantially the same matters proposed to be acted on at the requested special meeting (in each case as determined in good faith by </w:t>
      </w:r>
      <w:r>
        <w:rPr>
          <w:rFonts w:ascii="Arial" w:eastAsia="Arial" w:hAnsi="Arial" w:cs="Arial"/>
          <w:sz w:val="19"/>
          <w:szCs w:val="19"/>
        </w:rPr>
        <w:t>the Board of Directors) and (ii) such Special Meeting Requests have been dated and delivered to the secretary within 60 days of the earliest dated Special Meeting Request. A Requesting Stockholder may revoke a Special Meeting Request at any time by written</w:t>
      </w:r>
      <w:r>
        <w:rPr>
          <w:rFonts w:ascii="Arial" w:eastAsia="Arial" w:hAnsi="Arial" w:cs="Arial"/>
          <w:sz w:val="19"/>
          <w:szCs w:val="19"/>
        </w:rPr>
        <w:t xml:space="preserve"> revocation delivered to the secretary and if, following such revocation, there are outstanding un-revoked requests from Requesting Stockholders holding less than the Requisite Percentage, the Board of Directors may, in its discretion, cancel the special m</w:t>
      </w:r>
      <w:r>
        <w:rPr>
          <w:rFonts w:ascii="Arial" w:eastAsia="Arial" w:hAnsi="Arial" w:cs="Arial"/>
          <w:sz w:val="19"/>
          <w:szCs w:val="19"/>
        </w:rPr>
        <w:t>eeting. If none of the Requesting Stockholders appears or sends a duly authorized agent to present the business to be presented for consideration that was specified in the Special Meeting Request, the corporation need not present such business for a vote a</w:t>
      </w:r>
      <w:r>
        <w:rPr>
          <w:rFonts w:ascii="Arial" w:eastAsia="Arial" w:hAnsi="Arial" w:cs="Arial"/>
          <w:sz w:val="19"/>
          <w:szCs w:val="19"/>
        </w:rPr>
        <w:t>t such special meeting.</w:t>
      </w:r>
    </w:p>
    <w:p w14:paraId="703E855F" w14:textId="77777777" w:rsidR="00D1587D" w:rsidRDefault="00D1587D">
      <w:pPr>
        <w:spacing w:line="182" w:lineRule="exact"/>
        <w:rPr>
          <w:sz w:val="20"/>
          <w:szCs w:val="20"/>
        </w:rPr>
      </w:pPr>
    </w:p>
    <w:p w14:paraId="298F883F" w14:textId="77777777" w:rsidR="00D1587D" w:rsidRDefault="00410D07">
      <w:pPr>
        <w:ind w:right="240" w:firstLine="648"/>
        <w:rPr>
          <w:sz w:val="20"/>
          <w:szCs w:val="20"/>
        </w:rPr>
      </w:pPr>
      <w:r>
        <w:rPr>
          <w:rFonts w:ascii="Arial" w:eastAsia="Arial" w:hAnsi="Arial" w:cs="Arial"/>
        </w:rPr>
        <w:t>Section 1.03. Time and Place of Meetings. Meetings of stockholders shall be held at such place or, in its sole discretion, by means of remote communication, either within or without the State of Delaware, on such date and at such t</w:t>
      </w:r>
      <w:r>
        <w:rPr>
          <w:rFonts w:ascii="Arial" w:eastAsia="Arial" w:hAnsi="Arial" w:cs="Arial"/>
        </w:rPr>
        <w:t>ime as may be determined from time to time by the Board of Directors.</w:t>
      </w:r>
    </w:p>
    <w:p w14:paraId="026AA0BF" w14:textId="77777777" w:rsidR="00D1587D" w:rsidRDefault="00D1587D">
      <w:pPr>
        <w:spacing w:line="213" w:lineRule="exact"/>
        <w:rPr>
          <w:sz w:val="20"/>
          <w:szCs w:val="20"/>
        </w:rPr>
      </w:pPr>
    </w:p>
    <w:p w14:paraId="4FA57A48" w14:textId="77777777" w:rsidR="00D1587D" w:rsidRDefault="00410D07">
      <w:pPr>
        <w:spacing w:line="272" w:lineRule="auto"/>
        <w:ind w:right="100" w:firstLine="648"/>
        <w:rPr>
          <w:sz w:val="20"/>
          <w:szCs w:val="20"/>
        </w:rPr>
      </w:pPr>
      <w:r>
        <w:rPr>
          <w:rFonts w:ascii="Arial" w:eastAsia="Arial" w:hAnsi="Arial" w:cs="Arial"/>
          <w:sz w:val="19"/>
          <w:szCs w:val="19"/>
        </w:rPr>
        <w:t xml:space="preserve">Section 1.04. Notices of Meetings. Unless waived, notice of each annual or special meeting, stating the date, time, and place and the purpose or purposes thereof, and the means of </w:t>
      </w:r>
      <w:r>
        <w:rPr>
          <w:rFonts w:ascii="Arial" w:eastAsia="Arial" w:hAnsi="Arial" w:cs="Arial"/>
          <w:sz w:val="19"/>
          <w:szCs w:val="19"/>
        </w:rPr>
        <w:t>remote communications, if any, by which stockholders and proxy holders may be deemed to be present in person and vote at such meeting, shall be served upon, mailed, or delivered in any other manner permitted under Delaware law, including, but not limited t</w:t>
      </w:r>
      <w:r>
        <w:rPr>
          <w:rFonts w:ascii="Arial" w:eastAsia="Arial" w:hAnsi="Arial" w:cs="Arial"/>
          <w:sz w:val="19"/>
          <w:szCs w:val="19"/>
        </w:rPr>
        <w:t>o, electronic delivery, to each stockholder of record entitled to vote or entitled to notice, not more than 60 days nor less than 10 days before any such meeting. If mailed, such notice shall be directed to a stockholder at his or her address as the same a</w:t>
      </w:r>
      <w:r>
        <w:rPr>
          <w:rFonts w:ascii="Arial" w:eastAsia="Arial" w:hAnsi="Arial" w:cs="Arial"/>
          <w:sz w:val="19"/>
          <w:szCs w:val="19"/>
        </w:rPr>
        <w:t>ppears on the records of the corporation. If a meeting is adjourned to another time or place and such adjournment is for 30 days or less and no new record date is fixed for the adjourned meeting, no further notice as to such adjourned meeting need be given</w:t>
      </w:r>
      <w:r>
        <w:rPr>
          <w:rFonts w:ascii="Arial" w:eastAsia="Arial" w:hAnsi="Arial" w:cs="Arial"/>
          <w:sz w:val="19"/>
          <w:szCs w:val="19"/>
        </w:rPr>
        <w:t xml:space="preserve"> if the time and place to which it is adjourned, and the means of remote communications, if any, by which stockholders and proxy holders may be deemed to be present in person and vote at such meeting, are fixed and announced at such meeting. In the event o</w:t>
      </w:r>
      <w:r>
        <w:rPr>
          <w:rFonts w:ascii="Arial" w:eastAsia="Arial" w:hAnsi="Arial" w:cs="Arial"/>
          <w:sz w:val="19"/>
          <w:szCs w:val="19"/>
        </w:rPr>
        <w:t>f a transfer of shares after notice has been given and prior to the holding of the meeting, it shall not be necessary to serve notice on the transferee. Such notice shall specify the place where the stockholders list will be open for examination prior to t</w:t>
      </w:r>
      <w:r>
        <w:rPr>
          <w:rFonts w:ascii="Arial" w:eastAsia="Arial" w:hAnsi="Arial" w:cs="Arial"/>
          <w:sz w:val="19"/>
          <w:szCs w:val="19"/>
        </w:rPr>
        <w:t>he meeting if required by Section 1.08 hereof.</w:t>
      </w:r>
    </w:p>
    <w:p w14:paraId="1A50ED29" w14:textId="77777777" w:rsidR="00D1587D" w:rsidRDefault="00D1587D">
      <w:pPr>
        <w:spacing w:line="123" w:lineRule="exact"/>
        <w:rPr>
          <w:sz w:val="20"/>
          <w:szCs w:val="20"/>
        </w:rPr>
      </w:pPr>
    </w:p>
    <w:p w14:paraId="2DA6EF93" w14:textId="77777777" w:rsidR="00D1587D" w:rsidRDefault="00410D07">
      <w:pPr>
        <w:jc w:val="center"/>
        <w:rPr>
          <w:sz w:val="20"/>
          <w:szCs w:val="20"/>
        </w:rPr>
      </w:pPr>
      <w:r>
        <w:rPr>
          <w:rFonts w:ascii="Arial" w:eastAsia="Arial" w:hAnsi="Arial" w:cs="Arial"/>
          <w:sz w:val="14"/>
          <w:szCs w:val="14"/>
        </w:rPr>
        <w:t>2</w:t>
      </w:r>
    </w:p>
    <w:p w14:paraId="78419E49" w14:textId="77777777" w:rsidR="00D1587D" w:rsidRDefault="00410D07">
      <w:pPr>
        <w:spacing w:line="20" w:lineRule="exact"/>
        <w:rPr>
          <w:sz w:val="20"/>
          <w:szCs w:val="20"/>
        </w:rPr>
      </w:pPr>
      <w:r>
        <w:rPr>
          <w:noProof/>
          <w:sz w:val="20"/>
          <w:szCs w:val="20"/>
        </w:rPr>
        <w:drawing>
          <wp:anchor distT="0" distB="0" distL="114300" distR="114300" simplePos="0" relativeHeight="251214848" behindDoc="1" locked="0" layoutInCell="0" allowOverlap="1" wp14:anchorId="4AB055C3" wp14:editId="69D6F3C0">
            <wp:simplePos x="0" y="0"/>
            <wp:positionH relativeFrom="column">
              <wp:posOffset>5080</wp:posOffset>
            </wp:positionH>
            <wp:positionV relativeFrom="paragraph">
              <wp:posOffset>38100</wp:posOffset>
            </wp:positionV>
            <wp:extent cx="7132320" cy="1714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8624617" w14:textId="77777777" w:rsidR="00D1587D" w:rsidRDefault="00D1587D">
      <w:pPr>
        <w:sectPr w:rsidR="00D1587D">
          <w:pgSz w:w="11900" w:h="16838"/>
          <w:pgMar w:top="361" w:right="339" w:bottom="1440" w:left="320" w:header="0" w:footer="0" w:gutter="0"/>
          <w:cols w:space="720" w:equalWidth="0">
            <w:col w:w="11240"/>
          </w:cols>
        </w:sectPr>
      </w:pPr>
    </w:p>
    <w:p w14:paraId="3D27A5AA" w14:textId="77777777" w:rsidR="00D1587D" w:rsidRDefault="00410D07">
      <w:pPr>
        <w:spacing w:line="272" w:lineRule="auto"/>
        <w:ind w:right="120" w:firstLine="648"/>
        <w:rPr>
          <w:sz w:val="20"/>
          <w:szCs w:val="20"/>
        </w:rPr>
      </w:pPr>
      <w:bookmarkStart w:id="67" w:name="page68"/>
      <w:bookmarkEnd w:id="67"/>
      <w:r>
        <w:rPr>
          <w:rFonts w:ascii="Arial" w:eastAsia="Arial" w:hAnsi="Arial" w:cs="Arial"/>
          <w:sz w:val="19"/>
          <w:szCs w:val="19"/>
        </w:rPr>
        <w:t>Section 1.05. Fixing Date for Determination of Stockholders of Record. In order that the corporation may determine the stockholders entitled to notice of or to vote at any meeting of s</w:t>
      </w:r>
      <w:r>
        <w:rPr>
          <w:rFonts w:ascii="Arial" w:eastAsia="Arial" w:hAnsi="Arial" w:cs="Arial"/>
          <w:sz w:val="19"/>
          <w:szCs w:val="19"/>
        </w:rPr>
        <w:t xml:space="preserve">tockholders or any adjournment thereof, or entitled to receive payment of any dividend or other distribution or allotment of any rights, or entitled to exercise any rights in respect of any other change, conversion, or exchange of stock or for the purpose </w:t>
      </w:r>
      <w:r>
        <w:rPr>
          <w:rFonts w:ascii="Arial" w:eastAsia="Arial" w:hAnsi="Arial" w:cs="Arial"/>
          <w:sz w:val="19"/>
          <w:szCs w:val="19"/>
        </w:rPr>
        <w:t>of any other lawful action, the Board of Directors may fix, in advance, a record date, which shall not be more than 60 nor less than 10 days before the date of such meeting, nor more than 60 days prior to any other action. If the Board shall not fix such a</w:t>
      </w:r>
      <w:r>
        <w:rPr>
          <w:rFonts w:ascii="Arial" w:eastAsia="Arial" w:hAnsi="Arial" w:cs="Arial"/>
          <w:sz w:val="19"/>
          <w:szCs w:val="19"/>
        </w:rPr>
        <w:t xml:space="preserve"> record date, (i) the record date for determining stockholders entitled to notice of or to vote at a meeting of stockholders shall be the close of business on the day next preceding the day on which notice is given, or, if notice is waived, at the close of</w:t>
      </w:r>
      <w:r>
        <w:rPr>
          <w:rFonts w:ascii="Arial" w:eastAsia="Arial" w:hAnsi="Arial" w:cs="Arial"/>
          <w:sz w:val="19"/>
          <w:szCs w:val="19"/>
        </w:rPr>
        <w:t xml:space="preserve"> business on the day next preceding the day on which the meeting is held, and (ii) in any case involving the determination of stockholders for any purpose other than notice of or voting at a meeting of stockholders, the record date for determining stockhol</w:t>
      </w:r>
      <w:r>
        <w:rPr>
          <w:rFonts w:ascii="Arial" w:eastAsia="Arial" w:hAnsi="Arial" w:cs="Arial"/>
          <w:sz w:val="19"/>
          <w:szCs w:val="19"/>
        </w:rPr>
        <w:t>ders for such purpose shall be the close of business on the day on which the Board of Directors shall adopt the resolution relating thereto. Determination of stockholders entitled to notice of or to vote at a meeting of stockholders shall apply to any adjo</w:t>
      </w:r>
      <w:r>
        <w:rPr>
          <w:rFonts w:ascii="Arial" w:eastAsia="Arial" w:hAnsi="Arial" w:cs="Arial"/>
          <w:sz w:val="19"/>
          <w:szCs w:val="19"/>
        </w:rPr>
        <w:t>urnment of such meeting; provided, however, that the Board of Directors may fix a new record date for the adjourned meeting.</w:t>
      </w:r>
    </w:p>
    <w:p w14:paraId="350B4546" w14:textId="77777777" w:rsidR="00D1587D" w:rsidRDefault="00D1587D">
      <w:pPr>
        <w:spacing w:line="183" w:lineRule="exact"/>
        <w:rPr>
          <w:sz w:val="20"/>
          <w:szCs w:val="20"/>
        </w:rPr>
      </w:pPr>
    </w:p>
    <w:p w14:paraId="0C6D5218" w14:textId="77777777" w:rsidR="00D1587D" w:rsidRDefault="00410D07">
      <w:pPr>
        <w:spacing w:line="275" w:lineRule="auto"/>
        <w:ind w:right="20" w:firstLine="648"/>
        <w:rPr>
          <w:sz w:val="20"/>
          <w:szCs w:val="20"/>
        </w:rPr>
      </w:pPr>
      <w:r>
        <w:rPr>
          <w:rFonts w:ascii="Arial" w:eastAsia="Arial" w:hAnsi="Arial" w:cs="Arial"/>
          <w:sz w:val="19"/>
          <w:szCs w:val="19"/>
        </w:rPr>
        <w:t xml:space="preserve">Section 1.06. Organization. At each meeting of the stockholders, the chair of the Board of Directors, or, in the chair’s absence, </w:t>
      </w:r>
      <w:r>
        <w:rPr>
          <w:rFonts w:ascii="Arial" w:eastAsia="Arial" w:hAnsi="Arial" w:cs="Arial"/>
          <w:sz w:val="19"/>
          <w:szCs w:val="19"/>
        </w:rPr>
        <w:t>any vice chair of the Board of Directors, or, in the absence of any vice chair, the chief executive officer, or, in the chief executive officer’s absence, the president, or, in the president’s absence, any vice president, or, in any vice president’s absenc</w:t>
      </w:r>
      <w:r>
        <w:rPr>
          <w:rFonts w:ascii="Arial" w:eastAsia="Arial" w:hAnsi="Arial" w:cs="Arial"/>
          <w:sz w:val="19"/>
          <w:szCs w:val="19"/>
        </w:rPr>
        <w:t>e, any person selected by the Board of Directors, or, in the absence of the chair of the Board of Directors, any vice chair of the Board of Directors, the chief executive officer, the president, any vice president, or a person selected by the Board of Dire</w:t>
      </w:r>
      <w:r>
        <w:rPr>
          <w:rFonts w:ascii="Arial" w:eastAsia="Arial" w:hAnsi="Arial" w:cs="Arial"/>
          <w:sz w:val="19"/>
          <w:szCs w:val="19"/>
        </w:rPr>
        <w:t>ctors, any person chosen by a majority in voting interest of the stockholders present in person or by proxy and entitled to vote, shall act as chair, and the secretary, or, in the secretary’s absence, the assistant secretary, or, in the assistant secretary</w:t>
      </w:r>
      <w:r>
        <w:rPr>
          <w:rFonts w:ascii="Arial" w:eastAsia="Arial" w:hAnsi="Arial" w:cs="Arial"/>
          <w:sz w:val="19"/>
          <w:szCs w:val="19"/>
        </w:rPr>
        <w:t>’s absence, any person whom the chair of the meeting shall appoint, shall act as secretary of the meeting.</w:t>
      </w:r>
    </w:p>
    <w:p w14:paraId="58F31704" w14:textId="77777777" w:rsidR="00D1587D" w:rsidRDefault="00D1587D">
      <w:pPr>
        <w:spacing w:line="184" w:lineRule="exact"/>
        <w:rPr>
          <w:sz w:val="20"/>
          <w:szCs w:val="20"/>
        </w:rPr>
      </w:pPr>
    </w:p>
    <w:p w14:paraId="00C6EC6B" w14:textId="77777777" w:rsidR="00D1587D" w:rsidRDefault="00410D07">
      <w:pPr>
        <w:spacing w:line="272" w:lineRule="auto"/>
        <w:ind w:firstLine="648"/>
        <w:rPr>
          <w:sz w:val="20"/>
          <w:szCs w:val="20"/>
        </w:rPr>
      </w:pPr>
      <w:r>
        <w:rPr>
          <w:rFonts w:ascii="Arial" w:eastAsia="Arial" w:hAnsi="Arial" w:cs="Arial"/>
          <w:sz w:val="19"/>
          <w:szCs w:val="19"/>
        </w:rPr>
        <w:t xml:space="preserve">Section 1.07. Quorum. A stockholders’ meeting duly called shall not be organized for the transaction of business unless a quorum is present. Except </w:t>
      </w:r>
      <w:r>
        <w:rPr>
          <w:rFonts w:ascii="Arial" w:eastAsia="Arial" w:hAnsi="Arial" w:cs="Arial"/>
          <w:sz w:val="19"/>
          <w:szCs w:val="19"/>
        </w:rPr>
        <w:t>as otherwise expressly provided by law, the certificate of incorporation, these bylaws, or any certificate filed under Section 151(g) of the DGCL (or its successor statute as in effect from time to time), (i) at any meeting called by the Board of Directors</w:t>
      </w:r>
      <w:r>
        <w:rPr>
          <w:rFonts w:ascii="Arial" w:eastAsia="Arial" w:hAnsi="Arial" w:cs="Arial"/>
          <w:sz w:val="19"/>
          <w:szCs w:val="19"/>
        </w:rPr>
        <w:t xml:space="preserve">, the presence in person or by proxy of holders of record entitling them to exercise at least one-third of the voting power of the corporation shall constitute a quorum for such meeting, and (ii) at any meeting called other than by the Board of Directors, </w:t>
      </w:r>
      <w:r>
        <w:rPr>
          <w:rFonts w:ascii="Arial" w:eastAsia="Arial" w:hAnsi="Arial" w:cs="Arial"/>
          <w:sz w:val="19"/>
          <w:szCs w:val="19"/>
        </w:rPr>
        <w:t>the presence in person or by proxy of holders of record entitling them to exercise at least a majority of the voting power of the corporation shall constitute a quorum for such meeting. The stockholders present at a duly organized meeting can continue to d</w:t>
      </w:r>
      <w:r>
        <w:rPr>
          <w:rFonts w:ascii="Arial" w:eastAsia="Arial" w:hAnsi="Arial" w:cs="Arial"/>
          <w:sz w:val="19"/>
          <w:szCs w:val="19"/>
        </w:rPr>
        <w:t>o business until adjournment, notwithstanding the withdrawal of enough stockholders to leave less than a quorum. If a meeting cannot be organized because a quorum has not attended, a majority in voting interest of the stockholders present or the chair of t</w:t>
      </w:r>
      <w:r>
        <w:rPr>
          <w:rFonts w:ascii="Arial" w:eastAsia="Arial" w:hAnsi="Arial" w:cs="Arial"/>
          <w:sz w:val="19"/>
          <w:szCs w:val="19"/>
        </w:rPr>
        <w:t>he meeting may adjourn the meeting from time to time to such date and time (not more than 30 days after the previously adjourned meeting) and place as they (or the chair of the meeting) may determine, without notice other than by announcement at the meetin</w:t>
      </w:r>
      <w:r>
        <w:rPr>
          <w:rFonts w:ascii="Arial" w:eastAsia="Arial" w:hAnsi="Arial" w:cs="Arial"/>
          <w:sz w:val="19"/>
          <w:szCs w:val="19"/>
        </w:rPr>
        <w:t>g of the time and place of the adjourned meeting. At any such adjourned meeting at which a quorum is present any business may be transacted which might have been transacted at the meeting as originally called.</w:t>
      </w:r>
    </w:p>
    <w:p w14:paraId="6A6870ED" w14:textId="77777777" w:rsidR="00D1587D" w:rsidRDefault="00D1587D">
      <w:pPr>
        <w:spacing w:line="183" w:lineRule="exact"/>
        <w:rPr>
          <w:sz w:val="20"/>
          <w:szCs w:val="20"/>
        </w:rPr>
      </w:pPr>
    </w:p>
    <w:p w14:paraId="43C12CCF" w14:textId="77777777" w:rsidR="00D1587D" w:rsidRDefault="00410D07">
      <w:pPr>
        <w:spacing w:line="272" w:lineRule="auto"/>
        <w:ind w:firstLine="648"/>
        <w:rPr>
          <w:sz w:val="20"/>
          <w:szCs w:val="20"/>
        </w:rPr>
      </w:pPr>
      <w:r>
        <w:rPr>
          <w:rFonts w:ascii="Arial" w:eastAsia="Arial" w:hAnsi="Arial" w:cs="Arial"/>
          <w:sz w:val="19"/>
          <w:szCs w:val="19"/>
        </w:rPr>
        <w:t>Section 1.08. List of Stockholders. The secre</w:t>
      </w:r>
      <w:r>
        <w:rPr>
          <w:rFonts w:ascii="Arial" w:eastAsia="Arial" w:hAnsi="Arial" w:cs="Arial"/>
          <w:sz w:val="19"/>
          <w:szCs w:val="19"/>
        </w:rPr>
        <w:t>tary shall prepare and make a complete list of the stockholders of record as of the applicable record date entitled to vote at the meeting, arranged in alphabetical order, and showing the address of each stockholder and the number of shares registered in t</w:t>
      </w:r>
      <w:r>
        <w:rPr>
          <w:rFonts w:ascii="Arial" w:eastAsia="Arial" w:hAnsi="Arial" w:cs="Arial"/>
          <w:sz w:val="19"/>
          <w:szCs w:val="19"/>
        </w:rPr>
        <w:t>he name of each stockholder. The corporation shall not be required to include electronic mail addresses or other electronic contact information on such list. Such list shall be open to the examination of any stockholder, for any purpose germane to the meet</w:t>
      </w:r>
      <w:r>
        <w:rPr>
          <w:rFonts w:ascii="Arial" w:eastAsia="Arial" w:hAnsi="Arial" w:cs="Arial"/>
          <w:sz w:val="19"/>
          <w:szCs w:val="19"/>
        </w:rPr>
        <w:t>ing, during ordinary business hours, for a period of at least 10 days prior to the meeting, either (i) on a reasonably accessible electronic network, provided that the information required to gain access to such list is provided with the notice of the meet</w:t>
      </w:r>
      <w:r>
        <w:rPr>
          <w:rFonts w:ascii="Arial" w:eastAsia="Arial" w:hAnsi="Arial" w:cs="Arial"/>
          <w:sz w:val="19"/>
          <w:szCs w:val="19"/>
        </w:rPr>
        <w:t>ing, or (ii) during ordinary business hours, at the principal place of business of the corporation. If the meeting is to be held at a place, the list shall also be produced and kept at the time and place of the meeting during the whole time thereof, and ma</w:t>
      </w:r>
      <w:r>
        <w:rPr>
          <w:rFonts w:ascii="Arial" w:eastAsia="Arial" w:hAnsi="Arial" w:cs="Arial"/>
          <w:sz w:val="19"/>
          <w:szCs w:val="19"/>
        </w:rPr>
        <w:t xml:space="preserve">y be inspected by any stockholder who is present. If the meeting is to be held solely by means of remote communication, then such list shall also be open to the examination of any stockholder during the whole time of the meeting on a reasonably accessible </w:t>
      </w:r>
      <w:r>
        <w:rPr>
          <w:rFonts w:ascii="Arial" w:eastAsia="Arial" w:hAnsi="Arial" w:cs="Arial"/>
          <w:sz w:val="19"/>
          <w:szCs w:val="19"/>
        </w:rPr>
        <w:t>electronic network, and the information required to access such list shall be provided with the notice of the meeting. Except as otherwise provided by law, the list shall presumptively determine the identity of the stockholders entitled to vote at the meet</w:t>
      </w:r>
      <w:r>
        <w:rPr>
          <w:rFonts w:ascii="Arial" w:eastAsia="Arial" w:hAnsi="Arial" w:cs="Arial"/>
          <w:sz w:val="19"/>
          <w:szCs w:val="19"/>
        </w:rPr>
        <w:t>ing and the number of shares held by each of them.</w:t>
      </w:r>
    </w:p>
    <w:p w14:paraId="64E0D80A" w14:textId="77777777" w:rsidR="00D1587D" w:rsidRDefault="00D1587D">
      <w:pPr>
        <w:spacing w:line="118" w:lineRule="exact"/>
        <w:rPr>
          <w:sz w:val="20"/>
          <w:szCs w:val="20"/>
        </w:rPr>
      </w:pPr>
    </w:p>
    <w:p w14:paraId="20CCE57B" w14:textId="77777777" w:rsidR="00D1587D" w:rsidRDefault="00410D07">
      <w:pPr>
        <w:ind w:right="-19"/>
        <w:jc w:val="center"/>
        <w:rPr>
          <w:sz w:val="20"/>
          <w:szCs w:val="20"/>
        </w:rPr>
      </w:pPr>
      <w:r>
        <w:rPr>
          <w:rFonts w:ascii="Arial" w:eastAsia="Arial" w:hAnsi="Arial" w:cs="Arial"/>
          <w:sz w:val="14"/>
          <w:szCs w:val="14"/>
        </w:rPr>
        <w:t>3</w:t>
      </w:r>
    </w:p>
    <w:p w14:paraId="6F8C5E19" w14:textId="77777777" w:rsidR="00D1587D" w:rsidRDefault="00410D07">
      <w:pPr>
        <w:spacing w:line="20" w:lineRule="exact"/>
        <w:rPr>
          <w:sz w:val="20"/>
          <w:szCs w:val="20"/>
        </w:rPr>
      </w:pPr>
      <w:r>
        <w:rPr>
          <w:noProof/>
          <w:sz w:val="20"/>
          <w:szCs w:val="20"/>
        </w:rPr>
        <w:drawing>
          <wp:anchor distT="0" distB="0" distL="114300" distR="114300" simplePos="0" relativeHeight="251215872" behindDoc="1" locked="0" layoutInCell="0" allowOverlap="1" wp14:anchorId="76520BC0" wp14:editId="4499C062">
            <wp:simplePos x="0" y="0"/>
            <wp:positionH relativeFrom="column">
              <wp:posOffset>5080</wp:posOffset>
            </wp:positionH>
            <wp:positionV relativeFrom="paragraph">
              <wp:posOffset>38100</wp:posOffset>
            </wp:positionV>
            <wp:extent cx="7132320" cy="1714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702CAAF" w14:textId="77777777" w:rsidR="00D1587D" w:rsidRDefault="00D1587D">
      <w:pPr>
        <w:sectPr w:rsidR="00D1587D">
          <w:pgSz w:w="11900" w:h="16838"/>
          <w:pgMar w:top="361" w:right="339" w:bottom="1440" w:left="320" w:header="0" w:footer="0" w:gutter="0"/>
          <w:cols w:space="720" w:equalWidth="0">
            <w:col w:w="11240"/>
          </w:cols>
        </w:sectPr>
      </w:pPr>
    </w:p>
    <w:p w14:paraId="4126811A" w14:textId="77777777" w:rsidR="00D1587D" w:rsidRDefault="00410D07">
      <w:pPr>
        <w:spacing w:line="287" w:lineRule="auto"/>
        <w:ind w:right="80" w:firstLine="648"/>
        <w:rPr>
          <w:sz w:val="20"/>
          <w:szCs w:val="20"/>
        </w:rPr>
      </w:pPr>
      <w:bookmarkStart w:id="68" w:name="page69"/>
      <w:bookmarkEnd w:id="68"/>
      <w:r>
        <w:rPr>
          <w:rFonts w:ascii="Arial" w:eastAsia="Arial" w:hAnsi="Arial" w:cs="Arial"/>
          <w:sz w:val="19"/>
          <w:szCs w:val="19"/>
        </w:rPr>
        <w:t xml:space="preserve">Section 1.09. Order of Business and Procedure. The order of business at all meetings of the stockholders and all matters relating to the manner of conducting the meeting shall be </w:t>
      </w:r>
      <w:r>
        <w:rPr>
          <w:rFonts w:ascii="Arial" w:eastAsia="Arial" w:hAnsi="Arial" w:cs="Arial"/>
          <w:sz w:val="19"/>
          <w:szCs w:val="19"/>
        </w:rPr>
        <w:t>determined by the chair of the meeting. Meetings shall be conducted in a manner designed to accomplish the business of the meeting in a prompt and orderly fashion and to be fair and equitable to all stockholders, but it shall not be necessary to follow any</w:t>
      </w:r>
      <w:r>
        <w:rPr>
          <w:rFonts w:ascii="Arial" w:eastAsia="Arial" w:hAnsi="Arial" w:cs="Arial"/>
          <w:sz w:val="19"/>
          <w:szCs w:val="19"/>
        </w:rPr>
        <w:t xml:space="preserve"> manual of parliamentary procedure.</w:t>
      </w:r>
    </w:p>
    <w:p w14:paraId="7D33A114" w14:textId="77777777" w:rsidR="00D1587D" w:rsidRDefault="00D1587D">
      <w:pPr>
        <w:spacing w:line="170" w:lineRule="exact"/>
        <w:rPr>
          <w:sz w:val="20"/>
          <w:szCs w:val="20"/>
        </w:rPr>
      </w:pPr>
    </w:p>
    <w:p w14:paraId="40B765EA" w14:textId="77777777" w:rsidR="00D1587D" w:rsidRDefault="00410D07">
      <w:pPr>
        <w:ind w:left="660"/>
        <w:rPr>
          <w:sz w:val="20"/>
          <w:szCs w:val="20"/>
        </w:rPr>
      </w:pPr>
      <w:r>
        <w:rPr>
          <w:rFonts w:ascii="Arial" w:eastAsia="Arial" w:hAnsi="Arial" w:cs="Arial"/>
        </w:rPr>
        <w:t>Section 1.10. Voting.</w:t>
      </w:r>
    </w:p>
    <w:p w14:paraId="56CDA057" w14:textId="77777777" w:rsidR="00D1587D" w:rsidRDefault="00D1587D">
      <w:pPr>
        <w:spacing w:line="233" w:lineRule="exact"/>
        <w:rPr>
          <w:sz w:val="20"/>
          <w:szCs w:val="20"/>
        </w:rPr>
      </w:pPr>
    </w:p>
    <w:p w14:paraId="298D1DBF" w14:textId="77777777" w:rsidR="00D1587D" w:rsidRDefault="00410D07">
      <w:pPr>
        <w:spacing w:line="287" w:lineRule="auto"/>
        <w:ind w:right="20" w:firstLine="648"/>
        <w:rPr>
          <w:sz w:val="20"/>
          <w:szCs w:val="20"/>
        </w:rPr>
      </w:pPr>
      <w:r>
        <w:rPr>
          <w:rFonts w:ascii="Arial" w:eastAsia="Arial" w:hAnsi="Arial" w:cs="Arial"/>
          <w:sz w:val="19"/>
          <w:szCs w:val="19"/>
        </w:rPr>
        <w:t xml:space="preserve">1.10.01. Each stockholder shall, at each meeting of the stockholders, be entitled to vote in person or by proxy each share or fractional share of the stock of the corporation having voting </w:t>
      </w:r>
      <w:r>
        <w:rPr>
          <w:rFonts w:ascii="Arial" w:eastAsia="Arial" w:hAnsi="Arial" w:cs="Arial"/>
          <w:sz w:val="19"/>
          <w:szCs w:val="19"/>
        </w:rPr>
        <w:t>rights on the matter in question and which shall have been held by such person and registered in such person’s name on the books of the corporation on the date fixed pursuant to Section 1.05 of these bylaws as the record date for the determination of stock</w:t>
      </w:r>
      <w:r>
        <w:rPr>
          <w:rFonts w:ascii="Arial" w:eastAsia="Arial" w:hAnsi="Arial" w:cs="Arial"/>
          <w:sz w:val="19"/>
          <w:szCs w:val="19"/>
        </w:rPr>
        <w:t>holders entitled to notice of and to vote at such meeting.</w:t>
      </w:r>
    </w:p>
    <w:p w14:paraId="25BAF0B2" w14:textId="77777777" w:rsidR="00D1587D" w:rsidRDefault="00D1587D">
      <w:pPr>
        <w:spacing w:line="170" w:lineRule="exact"/>
        <w:rPr>
          <w:sz w:val="20"/>
          <w:szCs w:val="20"/>
        </w:rPr>
      </w:pPr>
    </w:p>
    <w:p w14:paraId="0FB09B02" w14:textId="77777777" w:rsidR="00D1587D" w:rsidRDefault="00410D07">
      <w:pPr>
        <w:ind w:right="60" w:firstLine="648"/>
        <w:rPr>
          <w:sz w:val="20"/>
          <w:szCs w:val="20"/>
        </w:rPr>
      </w:pPr>
      <w:r>
        <w:rPr>
          <w:rFonts w:ascii="Arial" w:eastAsia="Arial" w:hAnsi="Arial" w:cs="Arial"/>
        </w:rPr>
        <w:t>1.10.02. Shares of its own stock belonging to the corporation or to another corporation, if a majority of the shares entitled to vote in the election of directors in such other corporation is held</w:t>
      </w:r>
      <w:r>
        <w:rPr>
          <w:rFonts w:ascii="Arial" w:eastAsia="Arial" w:hAnsi="Arial" w:cs="Arial"/>
        </w:rPr>
        <w:t>, directly or indirectly, by the corporation, shall neither be entitled to vote nor be counted for quorum purposes.</w:t>
      </w:r>
    </w:p>
    <w:p w14:paraId="05375400" w14:textId="77777777" w:rsidR="00D1587D" w:rsidRDefault="00D1587D">
      <w:pPr>
        <w:spacing w:line="213" w:lineRule="exact"/>
        <w:rPr>
          <w:sz w:val="20"/>
          <w:szCs w:val="20"/>
        </w:rPr>
      </w:pPr>
    </w:p>
    <w:p w14:paraId="369E4749" w14:textId="77777777" w:rsidR="00D1587D" w:rsidRDefault="00410D07">
      <w:pPr>
        <w:spacing w:line="244" w:lineRule="auto"/>
        <w:ind w:firstLine="648"/>
        <w:rPr>
          <w:sz w:val="20"/>
          <w:szCs w:val="20"/>
        </w:rPr>
      </w:pPr>
      <w:r>
        <w:rPr>
          <w:rFonts w:ascii="Arial" w:eastAsia="Arial" w:hAnsi="Arial" w:cs="Arial"/>
          <w:sz w:val="21"/>
          <w:szCs w:val="21"/>
        </w:rPr>
        <w:t>1.10.03. Any such voting rights may be exercised by the stockholder entitled thereto or by such person’s proxy appointed by an instrument i</w:t>
      </w:r>
      <w:r>
        <w:rPr>
          <w:rFonts w:ascii="Arial" w:eastAsia="Arial" w:hAnsi="Arial" w:cs="Arial"/>
          <w:sz w:val="21"/>
          <w:szCs w:val="21"/>
        </w:rPr>
        <w:t>n writing or in any other manner then permitted by law, subscribed by such person or such person’s attorney thereunto authorized in any manner then permitted by law and delivered to the secretary in sufficient time to permit the necessary examination and t</w:t>
      </w:r>
      <w:r>
        <w:rPr>
          <w:rFonts w:ascii="Arial" w:eastAsia="Arial" w:hAnsi="Arial" w:cs="Arial"/>
          <w:sz w:val="21"/>
          <w:szCs w:val="21"/>
        </w:rPr>
        <w:t>abulation thereof before the vote is taken; provided, however, that no proxy shall be valid after the expiration of three years after its date of execution, unless the stockholder executing it shall have specified therein the length of time it is to contin</w:t>
      </w:r>
      <w:r>
        <w:rPr>
          <w:rFonts w:ascii="Arial" w:eastAsia="Arial" w:hAnsi="Arial" w:cs="Arial"/>
          <w:sz w:val="21"/>
          <w:szCs w:val="21"/>
        </w:rPr>
        <w:t>ue in force. At any meeting of the stockholders all matters, except as otherwise provided in the certificate of incorporation, in these bylaws, or by applicable law, rules or regulations, shall be decided by the affirmative vote of the holders of a majorit</w:t>
      </w:r>
      <w:r>
        <w:rPr>
          <w:rFonts w:ascii="Arial" w:eastAsia="Arial" w:hAnsi="Arial" w:cs="Arial"/>
          <w:sz w:val="21"/>
          <w:szCs w:val="21"/>
        </w:rPr>
        <w:t>y of the votes cast at the meeting on such matter, a quorum being present. The vote at any meeting of the stockholders on any question need not be by ballot, unless so directed by the chair of the meeting or required by the certificate of incorporation. Fo</w:t>
      </w:r>
      <w:r>
        <w:rPr>
          <w:rFonts w:ascii="Arial" w:eastAsia="Arial" w:hAnsi="Arial" w:cs="Arial"/>
          <w:sz w:val="21"/>
          <w:szCs w:val="21"/>
        </w:rPr>
        <w:t>r the purposes of these bylaws, abstentions and broker non-votes shall not be counted as votes cast. On a vote by ballot, each ballot shall be signed by the stockholder voting, or by such person’s proxy, if there be such proxy, and it shall state the numbe</w:t>
      </w:r>
      <w:r>
        <w:rPr>
          <w:rFonts w:ascii="Arial" w:eastAsia="Arial" w:hAnsi="Arial" w:cs="Arial"/>
          <w:sz w:val="21"/>
          <w:szCs w:val="21"/>
        </w:rPr>
        <w:t>r of shares voted.</w:t>
      </w:r>
    </w:p>
    <w:p w14:paraId="712199B4" w14:textId="77777777" w:rsidR="00D1587D" w:rsidRDefault="00D1587D">
      <w:pPr>
        <w:spacing w:line="213" w:lineRule="exact"/>
        <w:rPr>
          <w:sz w:val="20"/>
          <w:szCs w:val="20"/>
        </w:rPr>
      </w:pPr>
    </w:p>
    <w:p w14:paraId="31127498" w14:textId="77777777" w:rsidR="00D1587D" w:rsidRDefault="00410D07">
      <w:pPr>
        <w:spacing w:line="272" w:lineRule="auto"/>
        <w:ind w:right="20" w:firstLine="648"/>
        <w:rPr>
          <w:sz w:val="20"/>
          <w:szCs w:val="20"/>
        </w:rPr>
      </w:pPr>
      <w:r>
        <w:rPr>
          <w:rFonts w:ascii="Arial" w:eastAsia="Arial" w:hAnsi="Arial" w:cs="Arial"/>
          <w:sz w:val="19"/>
          <w:szCs w:val="19"/>
        </w:rPr>
        <w:t>Section 1.11. Inspectors. The Board of Directors, in advance of any meeting of the stockholders, may appoint one or more inspectors to act at the meeting. If inspectors are not so appointed, the person presiding at the meeting may appoi</w:t>
      </w:r>
      <w:r>
        <w:rPr>
          <w:rFonts w:ascii="Arial" w:eastAsia="Arial" w:hAnsi="Arial" w:cs="Arial"/>
          <w:sz w:val="19"/>
          <w:szCs w:val="19"/>
        </w:rPr>
        <w:t>nt one or more inspectors. If any person so appointed fails to appear or act, the vacancy may be filled by appointment made by the Board of Directors in advance of the meeting or at the meeting by the person presiding thereat. Each inspector, before enteri</w:t>
      </w:r>
      <w:r>
        <w:rPr>
          <w:rFonts w:ascii="Arial" w:eastAsia="Arial" w:hAnsi="Arial" w:cs="Arial"/>
          <w:sz w:val="19"/>
          <w:szCs w:val="19"/>
        </w:rPr>
        <w:t>ng upon the discharge of his or her duties, shall take and sign an oath faithfully to execute the duties of inspector at the meeting with strict impartiality and according to the best of such person’s ability. The inspectors so appointed shall determine th</w:t>
      </w:r>
      <w:r>
        <w:rPr>
          <w:rFonts w:ascii="Arial" w:eastAsia="Arial" w:hAnsi="Arial" w:cs="Arial"/>
          <w:sz w:val="19"/>
          <w:szCs w:val="19"/>
        </w:rPr>
        <w:t>e number of shares outstanding, the shares represented at the meeting, the existence of a quorum and the authenticity, validity, and effect of proxies and shall receive votes, ballots, waivers, releases, or consents, hear and determine all challenges and q</w:t>
      </w:r>
      <w:r>
        <w:rPr>
          <w:rFonts w:ascii="Arial" w:eastAsia="Arial" w:hAnsi="Arial" w:cs="Arial"/>
          <w:sz w:val="19"/>
          <w:szCs w:val="19"/>
        </w:rPr>
        <w:t>uestions arising in connection with the right to vote, count and tabulate all votes, ballots, waivers, releases, or consents, determine and announce the results, and do such acts as are proper to conduct the election or vote with fairness to all stockholde</w:t>
      </w:r>
      <w:r>
        <w:rPr>
          <w:rFonts w:ascii="Arial" w:eastAsia="Arial" w:hAnsi="Arial" w:cs="Arial"/>
          <w:sz w:val="19"/>
          <w:szCs w:val="19"/>
        </w:rPr>
        <w:t xml:space="preserve">rs. On request of the person presiding at the meeting, the inspectors shall make a report in writing of any challenge, question, or matter determined by them and execute a certificate of any fact found by them. Any report or certificate made by them shall </w:t>
      </w:r>
      <w:r>
        <w:rPr>
          <w:rFonts w:ascii="Arial" w:eastAsia="Arial" w:hAnsi="Arial" w:cs="Arial"/>
          <w:sz w:val="19"/>
          <w:szCs w:val="19"/>
        </w:rPr>
        <w:t>be prima facie evidence of the facts stated and of the vote as certified by them.</w:t>
      </w:r>
    </w:p>
    <w:p w14:paraId="2C0FBBC5" w14:textId="77777777" w:rsidR="00D1587D" w:rsidRDefault="00D1587D">
      <w:pPr>
        <w:spacing w:line="118" w:lineRule="exact"/>
        <w:rPr>
          <w:sz w:val="20"/>
          <w:szCs w:val="20"/>
        </w:rPr>
      </w:pPr>
    </w:p>
    <w:p w14:paraId="72A33228" w14:textId="77777777" w:rsidR="00D1587D" w:rsidRDefault="00410D07">
      <w:pPr>
        <w:ind w:right="-19"/>
        <w:jc w:val="center"/>
        <w:rPr>
          <w:sz w:val="20"/>
          <w:szCs w:val="20"/>
        </w:rPr>
      </w:pPr>
      <w:r>
        <w:rPr>
          <w:rFonts w:ascii="Arial" w:eastAsia="Arial" w:hAnsi="Arial" w:cs="Arial"/>
          <w:sz w:val="14"/>
          <w:szCs w:val="14"/>
        </w:rPr>
        <w:t>4</w:t>
      </w:r>
    </w:p>
    <w:p w14:paraId="79C80E35" w14:textId="77777777" w:rsidR="00D1587D" w:rsidRDefault="00410D07">
      <w:pPr>
        <w:spacing w:line="20" w:lineRule="exact"/>
        <w:rPr>
          <w:sz w:val="20"/>
          <w:szCs w:val="20"/>
        </w:rPr>
      </w:pPr>
      <w:r>
        <w:rPr>
          <w:noProof/>
          <w:sz w:val="20"/>
          <w:szCs w:val="20"/>
        </w:rPr>
        <w:drawing>
          <wp:anchor distT="0" distB="0" distL="114300" distR="114300" simplePos="0" relativeHeight="251216896" behindDoc="1" locked="0" layoutInCell="0" allowOverlap="1" wp14:anchorId="59763E5A" wp14:editId="2842D8DD">
            <wp:simplePos x="0" y="0"/>
            <wp:positionH relativeFrom="column">
              <wp:posOffset>5080</wp:posOffset>
            </wp:positionH>
            <wp:positionV relativeFrom="paragraph">
              <wp:posOffset>38100</wp:posOffset>
            </wp:positionV>
            <wp:extent cx="7132320" cy="1714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AD5F3D4" w14:textId="77777777" w:rsidR="00D1587D" w:rsidRDefault="00D1587D">
      <w:pPr>
        <w:sectPr w:rsidR="00D1587D">
          <w:pgSz w:w="11900" w:h="16838"/>
          <w:pgMar w:top="361" w:right="359" w:bottom="1440" w:left="320" w:header="0" w:footer="0" w:gutter="0"/>
          <w:cols w:space="720" w:equalWidth="0">
            <w:col w:w="11220"/>
          </w:cols>
        </w:sectPr>
      </w:pPr>
    </w:p>
    <w:p w14:paraId="4CF7C722" w14:textId="77777777" w:rsidR="00D1587D" w:rsidRDefault="00410D07">
      <w:pPr>
        <w:ind w:left="660"/>
        <w:rPr>
          <w:sz w:val="20"/>
          <w:szCs w:val="20"/>
        </w:rPr>
      </w:pPr>
      <w:bookmarkStart w:id="69" w:name="page70"/>
      <w:bookmarkEnd w:id="69"/>
      <w:r>
        <w:rPr>
          <w:rFonts w:ascii="Arial" w:eastAsia="Arial" w:hAnsi="Arial" w:cs="Arial"/>
        </w:rPr>
        <w:t>Section 1.12. Notice of Business.</w:t>
      </w:r>
    </w:p>
    <w:p w14:paraId="589F4941" w14:textId="77777777" w:rsidR="00D1587D" w:rsidRDefault="00D1587D">
      <w:pPr>
        <w:spacing w:line="233" w:lineRule="exact"/>
        <w:rPr>
          <w:sz w:val="20"/>
          <w:szCs w:val="20"/>
        </w:rPr>
      </w:pPr>
    </w:p>
    <w:p w14:paraId="71CA1DA6" w14:textId="77777777" w:rsidR="00D1587D" w:rsidRDefault="00410D07">
      <w:pPr>
        <w:spacing w:line="270" w:lineRule="auto"/>
        <w:ind w:firstLine="648"/>
        <w:rPr>
          <w:sz w:val="20"/>
          <w:szCs w:val="20"/>
        </w:rPr>
      </w:pPr>
      <w:r>
        <w:rPr>
          <w:rFonts w:ascii="Arial" w:eastAsia="Arial" w:hAnsi="Arial" w:cs="Arial"/>
          <w:sz w:val="19"/>
          <w:szCs w:val="19"/>
        </w:rPr>
        <w:t>1.12.01. At any meeting of the stockholders, only such business shall be conducted as shall have been brought befo</w:t>
      </w:r>
      <w:r>
        <w:rPr>
          <w:rFonts w:ascii="Arial" w:eastAsia="Arial" w:hAnsi="Arial" w:cs="Arial"/>
          <w:sz w:val="19"/>
          <w:szCs w:val="19"/>
        </w:rPr>
        <w:t>re the meeting (i) by or at the direction of the Board of Directors or such other person or persons authorized to present business to a meeting of stockholders in accordance with Section 1.02.01 of these bylaws or (ii) by any stockholder of the corporation</w:t>
      </w:r>
      <w:r>
        <w:rPr>
          <w:rFonts w:ascii="Arial" w:eastAsia="Arial" w:hAnsi="Arial" w:cs="Arial"/>
          <w:sz w:val="19"/>
          <w:szCs w:val="19"/>
        </w:rPr>
        <w:t xml:space="preserve"> who is a stockholder of record at the time of giving of the notice provided for in this Section 1.12, who shall be entitled to vote at such meeting and who complies with the notice procedures set forth in this Section 1.12; provided that, notwithstanding </w:t>
      </w:r>
      <w:r>
        <w:rPr>
          <w:rFonts w:ascii="Arial" w:eastAsia="Arial" w:hAnsi="Arial" w:cs="Arial"/>
          <w:sz w:val="19"/>
          <w:szCs w:val="19"/>
        </w:rPr>
        <w:t>the foregoing provisions of this Section 1.12, (A) in the case of special meetings, the provisions of Section 1.02 shall govern and (B) in the case of nominations of directors, the provisions of Section 2.04 shall govern. For business to be properly brough</w:t>
      </w:r>
      <w:r>
        <w:rPr>
          <w:rFonts w:ascii="Arial" w:eastAsia="Arial" w:hAnsi="Arial" w:cs="Arial"/>
          <w:sz w:val="19"/>
          <w:szCs w:val="19"/>
        </w:rPr>
        <w:t>t by a stockholder before an annual meeting of stockholders, the stockholder must have given timely notice thereof in writing to the secretary. To be timely, a stockholder’s notice shall be delivered to or mailed and received at the principal executive off</w:t>
      </w:r>
      <w:r>
        <w:rPr>
          <w:rFonts w:ascii="Arial" w:eastAsia="Arial" w:hAnsi="Arial" w:cs="Arial"/>
          <w:sz w:val="19"/>
          <w:szCs w:val="19"/>
        </w:rPr>
        <w:t>ices of the corporation not less than 90 days nor more than 120 days prior to the first anniversary of the preceding year’s annual meeting of stockholders; provided that, (A) in the event that the date of the annual meeting is advanced more than 30 days pr</w:t>
      </w:r>
      <w:r>
        <w:rPr>
          <w:rFonts w:ascii="Arial" w:eastAsia="Arial" w:hAnsi="Arial" w:cs="Arial"/>
          <w:sz w:val="19"/>
          <w:szCs w:val="19"/>
        </w:rPr>
        <w:t>ior to such anniversary date or delayed more than 90 days after such anniversary date then to be timely such notice must be received by the corporation no earlier than 120 days prior to such annual meeting and no later than the later of 90 days prior to th</w:t>
      </w:r>
      <w:r>
        <w:rPr>
          <w:rFonts w:ascii="Arial" w:eastAsia="Arial" w:hAnsi="Arial" w:cs="Arial"/>
          <w:sz w:val="19"/>
          <w:szCs w:val="19"/>
        </w:rPr>
        <w:t>e meeting or the 10th day following the day on which public announcement of the date of the meeting was made and (B) a stockholder may deliver or mail the notice contemplated by this Section 1.12 prior to the time periods specified above if earlier deliver</w:t>
      </w:r>
      <w:r>
        <w:rPr>
          <w:rFonts w:ascii="Arial" w:eastAsia="Arial" w:hAnsi="Arial" w:cs="Arial"/>
          <w:sz w:val="19"/>
          <w:szCs w:val="19"/>
        </w:rPr>
        <w:t>y or mailing is required under Rule 14a-8 of the Exchange Act, as such Rule may be amended from time to time. In no event shall any adjournment or postponement of an annual meeting or the public announcement thereof commence a new time period (or extend an</w:t>
      </w:r>
      <w:r>
        <w:rPr>
          <w:rFonts w:ascii="Arial" w:eastAsia="Arial" w:hAnsi="Arial" w:cs="Arial"/>
          <w:sz w:val="19"/>
          <w:szCs w:val="19"/>
        </w:rPr>
        <w:t>y time period) for the giving of a stockholder’s notice.</w:t>
      </w:r>
    </w:p>
    <w:p w14:paraId="71E05DBE" w14:textId="77777777" w:rsidR="00D1587D" w:rsidRDefault="00D1587D">
      <w:pPr>
        <w:spacing w:line="200" w:lineRule="exact"/>
        <w:rPr>
          <w:sz w:val="20"/>
          <w:szCs w:val="20"/>
        </w:rPr>
      </w:pPr>
    </w:p>
    <w:p w14:paraId="4779265A" w14:textId="77777777" w:rsidR="00D1587D" w:rsidRDefault="00D1587D">
      <w:pPr>
        <w:spacing w:line="238" w:lineRule="exact"/>
        <w:rPr>
          <w:sz w:val="20"/>
          <w:szCs w:val="20"/>
        </w:rPr>
      </w:pPr>
    </w:p>
    <w:p w14:paraId="0DC12CEE" w14:textId="77777777" w:rsidR="00D1587D" w:rsidRDefault="00410D07">
      <w:pPr>
        <w:spacing w:line="328" w:lineRule="auto"/>
        <w:ind w:right="160" w:firstLine="648"/>
        <w:rPr>
          <w:sz w:val="20"/>
          <w:szCs w:val="20"/>
        </w:rPr>
      </w:pPr>
      <w:r>
        <w:rPr>
          <w:rFonts w:ascii="Arial" w:eastAsia="Arial" w:hAnsi="Arial" w:cs="Arial"/>
          <w:sz w:val="19"/>
          <w:szCs w:val="19"/>
        </w:rPr>
        <w:t xml:space="preserve">1.12.02. (a) A stockholder’s notice to the secretary (in the case of an annual meeting) or Special Meeting Request (in the case of a special meeting) shall set forth as to each matter the </w:t>
      </w:r>
      <w:r>
        <w:rPr>
          <w:rFonts w:ascii="Arial" w:eastAsia="Arial" w:hAnsi="Arial" w:cs="Arial"/>
          <w:sz w:val="19"/>
          <w:szCs w:val="19"/>
        </w:rPr>
        <w:t>stockholder proposes to bring before the meeting:</w:t>
      </w:r>
    </w:p>
    <w:p w14:paraId="46E55EF5" w14:textId="77777777" w:rsidR="00D1587D" w:rsidRDefault="00D1587D">
      <w:pPr>
        <w:spacing w:line="132" w:lineRule="exact"/>
        <w:rPr>
          <w:sz w:val="20"/>
          <w:szCs w:val="20"/>
        </w:rPr>
      </w:pPr>
    </w:p>
    <w:p w14:paraId="6878B531" w14:textId="77777777" w:rsidR="00D1587D" w:rsidRDefault="00410D07">
      <w:pPr>
        <w:numPr>
          <w:ilvl w:val="0"/>
          <w:numId w:val="44"/>
        </w:numPr>
        <w:tabs>
          <w:tab w:val="left" w:pos="1554"/>
        </w:tabs>
        <w:ind w:right="160" w:firstLine="1304"/>
        <w:rPr>
          <w:rFonts w:ascii="Arial" w:eastAsia="Arial" w:hAnsi="Arial" w:cs="Arial"/>
        </w:rPr>
      </w:pPr>
      <w:r>
        <w:rPr>
          <w:rFonts w:ascii="Arial" w:eastAsia="Arial" w:hAnsi="Arial" w:cs="Arial"/>
        </w:rPr>
        <w:t>a brief description of the business desired to be brought before the meeting (including the text of any resolutions proposed for consideration and in the event that such business includes a proposal to ame</w:t>
      </w:r>
      <w:r>
        <w:rPr>
          <w:rFonts w:ascii="Arial" w:eastAsia="Arial" w:hAnsi="Arial" w:cs="Arial"/>
        </w:rPr>
        <w:t>nd these bylaws, the text of the proposed amendment) and the reasons for conducting such business at the meeting;</w:t>
      </w:r>
    </w:p>
    <w:p w14:paraId="79CC10FC" w14:textId="77777777" w:rsidR="00D1587D" w:rsidRDefault="00D1587D">
      <w:pPr>
        <w:spacing w:line="213" w:lineRule="exact"/>
        <w:rPr>
          <w:rFonts w:ascii="Arial" w:eastAsia="Arial" w:hAnsi="Arial" w:cs="Arial"/>
        </w:rPr>
      </w:pPr>
    </w:p>
    <w:p w14:paraId="24B47AE0" w14:textId="77777777" w:rsidR="00D1587D" w:rsidRDefault="00410D07">
      <w:pPr>
        <w:numPr>
          <w:ilvl w:val="0"/>
          <w:numId w:val="44"/>
        </w:numPr>
        <w:tabs>
          <w:tab w:val="left" w:pos="1614"/>
        </w:tabs>
        <w:ind w:right="200" w:firstLine="1304"/>
        <w:rPr>
          <w:rFonts w:ascii="Arial" w:eastAsia="Arial" w:hAnsi="Arial" w:cs="Arial"/>
        </w:rPr>
      </w:pPr>
      <w:r>
        <w:rPr>
          <w:rFonts w:ascii="Arial" w:eastAsia="Arial" w:hAnsi="Arial" w:cs="Arial"/>
        </w:rPr>
        <w:t>the name and address, as they appear on the corporation’s books, of the stockholder proposing such business, the beneficial owner, if any, on</w:t>
      </w:r>
      <w:r>
        <w:rPr>
          <w:rFonts w:ascii="Arial" w:eastAsia="Arial" w:hAnsi="Arial" w:cs="Arial"/>
        </w:rPr>
        <w:t xml:space="preserve"> whose behalf the proposal is made, and any Stockholder Associated Person covered by clauses (iii), (iv) and (v) of this Section 1.12.02(a);</w:t>
      </w:r>
    </w:p>
    <w:p w14:paraId="3ADAA96F" w14:textId="77777777" w:rsidR="00D1587D" w:rsidRDefault="00D1587D">
      <w:pPr>
        <w:spacing w:line="213" w:lineRule="exact"/>
        <w:rPr>
          <w:rFonts w:ascii="Arial" w:eastAsia="Arial" w:hAnsi="Arial" w:cs="Arial"/>
        </w:rPr>
      </w:pPr>
    </w:p>
    <w:p w14:paraId="71A2DACB" w14:textId="77777777" w:rsidR="00D1587D" w:rsidRDefault="00410D07">
      <w:pPr>
        <w:numPr>
          <w:ilvl w:val="0"/>
          <w:numId w:val="44"/>
        </w:numPr>
        <w:tabs>
          <w:tab w:val="left" w:pos="1674"/>
        </w:tabs>
        <w:spacing w:line="257" w:lineRule="auto"/>
        <w:ind w:right="300" w:firstLine="1304"/>
        <w:rPr>
          <w:rFonts w:ascii="Arial" w:eastAsia="Arial" w:hAnsi="Arial" w:cs="Arial"/>
          <w:sz w:val="21"/>
          <w:szCs w:val="21"/>
        </w:rPr>
      </w:pPr>
      <w:r>
        <w:rPr>
          <w:rFonts w:ascii="Arial" w:eastAsia="Arial" w:hAnsi="Arial" w:cs="Arial"/>
          <w:sz w:val="21"/>
          <w:szCs w:val="21"/>
        </w:rPr>
        <w:t>a description of any agreement, arrangement or understanding between or among such stockholder, the beneficial own</w:t>
      </w:r>
      <w:r>
        <w:rPr>
          <w:rFonts w:ascii="Arial" w:eastAsia="Arial" w:hAnsi="Arial" w:cs="Arial"/>
          <w:sz w:val="21"/>
          <w:szCs w:val="21"/>
        </w:rPr>
        <w:t>er, if any, on whose behalf the proposal is made, or any Stockholder Associated Person, and any other person or persons (including their names), in connection with the proposal of such business;</w:t>
      </w:r>
    </w:p>
    <w:p w14:paraId="0FB084ED" w14:textId="77777777" w:rsidR="00D1587D" w:rsidRDefault="00D1587D">
      <w:pPr>
        <w:spacing w:line="196" w:lineRule="exact"/>
        <w:rPr>
          <w:rFonts w:ascii="Arial" w:eastAsia="Arial" w:hAnsi="Arial" w:cs="Arial"/>
          <w:sz w:val="21"/>
          <w:szCs w:val="21"/>
        </w:rPr>
      </w:pPr>
    </w:p>
    <w:p w14:paraId="01E83039" w14:textId="77777777" w:rsidR="00D1587D" w:rsidRDefault="00410D07">
      <w:pPr>
        <w:numPr>
          <w:ilvl w:val="0"/>
          <w:numId w:val="44"/>
        </w:numPr>
        <w:tabs>
          <w:tab w:val="left" w:pos="1661"/>
        </w:tabs>
        <w:spacing w:line="274" w:lineRule="auto"/>
        <w:ind w:left="80" w:right="60" w:firstLine="1224"/>
        <w:rPr>
          <w:rFonts w:ascii="Arial" w:eastAsia="Arial" w:hAnsi="Arial" w:cs="Arial"/>
          <w:sz w:val="19"/>
          <w:szCs w:val="19"/>
        </w:rPr>
      </w:pPr>
      <w:r>
        <w:rPr>
          <w:rFonts w:ascii="Arial" w:eastAsia="Arial" w:hAnsi="Arial" w:cs="Arial"/>
          <w:sz w:val="19"/>
          <w:szCs w:val="19"/>
        </w:rPr>
        <w:t xml:space="preserve">(A) the class and number of shares of the corporation which </w:t>
      </w:r>
      <w:r>
        <w:rPr>
          <w:rFonts w:ascii="Arial" w:eastAsia="Arial" w:hAnsi="Arial" w:cs="Arial"/>
          <w:sz w:val="19"/>
          <w:szCs w:val="19"/>
        </w:rPr>
        <w:t>are held of record or are beneficially owned by such stockholder, the beneficial owner, if any, on whose behalf the proposal is made, or by any Stockholder Associated Person with respect to the corporation’s securities and (B) a description of any agreemen</w:t>
      </w:r>
      <w:r>
        <w:rPr>
          <w:rFonts w:ascii="Arial" w:eastAsia="Arial" w:hAnsi="Arial" w:cs="Arial"/>
          <w:sz w:val="19"/>
          <w:szCs w:val="19"/>
        </w:rPr>
        <w:t>t, arrangement or understanding (including any derivative or short positions, profit interests, options, warrants, convertible securities, stock appreciation or similar rights, hedging transactions, and borrowed or loaned shares) that has been entered into</w:t>
      </w:r>
      <w:r>
        <w:rPr>
          <w:rFonts w:ascii="Arial" w:eastAsia="Arial" w:hAnsi="Arial" w:cs="Arial"/>
          <w:sz w:val="19"/>
          <w:szCs w:val="19"/>
        </w:rPr>
        <w:t xml:space="preserve"> as of the date of such notice by, or on behalf of, such stockholder, beneficial owner or Stockholder Associated Person, whether or not such agreement, arrangement or understanding shall be subject to settlement in underlying shares of capital stock of the</w:t>
      </w:r>
      <w:r>
        <w:rPr>
          <w:rFonts w:ascii="Arial" w:eastAsia="Arial" w:hAnsi="Arial" w:cs="Arial"/>
          <w:sz w:val="19"/>
          <w:szCs w:val="19"/>
        </w:rPr>
        <w:t xml:space="preserve"> corporation, the effect or intent of which is to increase or decrease the voting power of, mitigate loss to, or manage risk or benefit of share price changes for, such stockholder, such beneficial owner or any Stockholder Associated Person with respect to</w:t>
      </w:r>
      <w:r>
        <w:rPr>
          <w:rFonts w:ascii="Arial" w:eastAsia="Arial" w:hAnsi="Arial" w:cs="Arial"/>
          <w:sz w:val="19"/>
          <w:szCs w:val="19"/>
        </w:rPr>
        <w:t xml:space="preserve"> the corporation’s securities;</w:t>
      </w:r>
    </w:p>
    <w:p w14:paraId="438EB00E" w14:textId="77777777" w:rsidR="00D1587D" w:rsidRDefault="00D1587D">
      <w:pPr>
        <w:spacing w:line="120" w:lineRule="exact"/>
        <w:rPr>
          <w:sz w:val="20"/>
          <w:szCs w:val="20"/>
        </w:rPr>
      </w:pPr>
    </w:p>
    <w:p w14:paraId="5404EF84" w14:textId="77777777" w:rsidR="00D1587D" w:rsidRDefault="00410D07">
      <w:pPr>
        <w:ind w:right="-19"/>
        <w:jc w:val="center"/>
        <w:rPr>
          <w:sz w:val="20"/>
          <w:szCs w:val="20"/>
        </w:rPr>
      </w:pPr>
      <w:r>
        <w:rPr>
          <w:rFonts w:ascii="Arial" w:eastAsia="Arial" w:hAnsi="Arial" w:cs="Arial"/>
          <w:sz w:val="14"/>
          <w:szCs w:val="14"/>
        </w:rPr>
        <w:t>5</w:t>
      </w:r>
    </w:p>
    <w:p w14:paraId="5C65710B" w14:textId="77777777" w:rsidR="00D1587D" w:rsidRDefault="00410D07">
      <w:pPr>
        <w:spacing w:line="20" w:lineRule="exact"/>
        <w:rPr>
          <w:sz w:val="20"/>
          <w:szCs w:val="20"/>
        </w:rPr>
      </w:pPr>
      <w:r>
        <w:rPr>
          <w:noProof/>
          <w:sz w:val="20"/>
          <w:szCs w:val="20"/>
        </w:rPr>
        <w:drawing>
          <wp:anchor distT="0" distB="0" distL="114300" distR="114300" simplePos="0" relativeHeight="251217920" behindDoc="1" locked="0" layoutInCell="0" allowOverlap="1" wp14:anchorId="27866BC8" wp14:editId="6AE194CC">
            <wp:simplePos x="0" y="0"/>
            <wp:positionH relativeFrom="column">
              <wp:posOffset>5080</wp:posOffset>
            </wp:positionH>
            <wp:positionV relativeFrom="paragraph">
              <wp:posOffset>38100</wp:posOffset>
            </wp:positionV>
            <wp:extent cx="7132320" cy="1714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AAEA7E3" w14:textId="77777777" w:rsidR="00D1587D" w:rsidRDefault="00D1587D">
      <w:pPr>
        <w:sectPr w:rsidR="00D1587D">
          <w:pgSz w:w="11900" w:h="16838"/>
          <w:pgMar w:top="361" w:right="339" w:bottom="1440" w:left="320" w:header="0" w:footer="0" w:gutter="0"/>
          <w:cols w:space="720" w:equalWidth="0">
            <w:col w:w="11240"/>
          </w:cols>
        </w:sectPr>
      </w:pPr>
    </w:p>
    <w:p w14:paraId="596B70BA" w14:textId="77777777" w:rsidR="00D1587D" w:rsidRDefault="00410D07">
      <w:pPr>
        <w:ind w:left="1300"/>
        <w:rPr>
          <w:sz w:val="20"/>
          <w:szCs w:val="20"/>
        </w:rPr>
      </w:pPr>
      <w:bookmarkStart w:id="70" w:name="page71"/>
      <w:bookmarkEnd w:id="70"/>
      <w:r>
        <w:rPr>
          <w:rFonts w:ascii="Arial" w:eastAsia="Arial" w:hAnsi="Arial" w:cs="Arial"/>
          <w:sz w:val="19"/>
          <w:szCs w:val="19"/>
        </w:rPr>
        <w:t>(v) any material interest of the stockholder, such beneficial owner or any Stockholder Associated Person in such</w:t>
      </w:r>
    </w:p>
    <w:p w14:paraId="09D0716E" w14:textId="77777777" w:rsidR="00D1587D" w:rsidRDefault="00D1587D">
      <w:pPr>
        <w:spacing w:line="43" w:lineRule="exact"/>
        <w:rPr>
          <w:sz w:val="20"/>
          <w:szCs w:val="20"/>
        </w:rPr>
      </w:pPr>
    </w:p>
    <w:p w14:paraId="1C9C44FB" w14:textId="77777777" w:rsidR="00D1587D" w:rsidRDefault="00410D07">
      <w:pPr>
        <w:rPr>
          <w:sz w:val="20"/>
          <w:szCs w:val="20"/>
        </w:rPr>
      </w:pPr>
      <w:r>
        <w:rPr>
          <w:rFonts w:ascii="Arial" w:eastAsia="Arial" w:hAnsi="Arial" w:cs="Arial"/>
        </w:rPr>
        <w:t>business;</w:t>
      </w:r>
    </w:p>
    <w:p w14:paraId="320F179E" w14:textId="77777777" w:rsidR="00D1587D" w:rsidRDefault="00D1587D">
      <w:pPr>
        <w:spacing w:line="215" w:lineRule="exact"/>
        <w:rPr>
          <w:sz w:val="20"/>
          <w:szCs w:val="20"/>
        </w:rPr>
      </w:pPr>
    </w:p>
    <w:p w14:paraId="0809D85A" w14:textId="77777777" w:rsidR="00D1587D" w:rsidRDefault="00410D07">
      <w:pPr>
        <w:numPr>
          <w:ilvl w:val="1"/>
          <w:numId w:val="45"/>
        </w:numPr>
        <w:tabs>
          <w:tab w:val="left" w:pos="1662"/>
        </w:tabs>
        <w:spacing w:line="250" w:lineRule="auto"/>
        <w:ind w:right="520" w:firstLine="1304"/>
        <w:rPr>
          <w:rFonts w:ascii="Arial" w:eastAsia="Arial" w:hAnsi="Arial" w:cs="Arial"/>
        </w:rPr>
      </w:pPr>
      <w:r>
        <w:rPr>
          <w:rFonts w:ascii="Arial" w:eastAsia="Arial" w:hAnsi="Arial" w:cs="Arial"/>
        </w:rPr>
        <w:t xml:space="preserve">a representation that the stockholder intends to appear in person or by </w:t>
      </w:r>
      <w:r>
        <w:rPr>
          <w:rFonts w:ascii="Arial" w:eastAsia="Arial" w:hAnsi="Arial" w:cs="Arial"/>
        </w:rPr>
        <w:t>proxy at the meeting to bring such business before the meeting; and</w:t>
      </w:r>
    </w:p>
    <w:p w14:paraId="7CBDA0E6" w14:textId="77777777" w:rsidR="00D1587D" w:rsidRDefault="00D1587D">
      <w:pPr>
        <w:spacing w:line="201" w:lineRule="exact"/>
        <w:rPr>
          <w:rFonts w:ascii="Arial" w:eastAsia="Arial" w:hAnsi="Arial" w:cs="Arial"/>
        </w:rPr>
      </w:pPr>
    </w:p>
    <w:p w14:paraId="11D29E34" w14:textId="77777777" w:rsidR="00D1587D" w:rsidRDefault="00410D07">
      <w:pPr>
        <w:numPr>
          <w:ilvl w:val="1"/>
          <w:numId w:val="45"/>
        </w:numPr>
        <w:tabs>
          <w:tab w:val="left" w:pos="1722"/>
        </w:tabs>
        <w:spacing w:line="297" w:lineRule="auto"/>
        <w:ind w:firstLine="1304"/>
        <w:jc w:val="both"/>
        <w:rPr>
          <w:rFonts w:ascii="Arial" w:eastAsia="Arial" w:hAnsi="Arial" w:cs="Arial"/>
          <w:sz w:val="19"/>
          <w:szCs w:val="19"/>
        </w:rPr>
      </w:pPr>
      <w:r>
        <w:rPr>
          <w:rFonts w:ascii="Arial" w:eastAsia="Arial" w:hAnsi="Arial" w:cs="Arial"/>
          <w:sz w:val="19"/>
          <w:szCs w:val="19"/>
        </w:rPr>
        <w:t xml:space="preserve">any other information relating to such stockholder or such beneficial owner, if any, required to be disclosed in a proxy statement or other filings required to be made in connection with </w:t>
      </w:r>
      <w:r>
        <w:rPr>
          <w:rFonts w:ascii="Arial" w:eastAsia="Arial" w:hAnsi="Arial" w:cs="Arial"/>
          <w:sz w:val="19"/>
          <w:szCs w:val="19"/>
        </w:rPr>
        <w:t>solicitations of proxies for the proposal pursuant to and in accordance with Section 14(a) of the Exchange Act and the rules and regulations promulgated thereunder.</w:t>
      </w:r>
    </w:p>
    <w:p w14:paraId="580BF41A" w14:textId="77777777" w:rsidR="00D1587D" w:rsidRDefault="00D1587D">
      <w:pPr>
        <w:spacing w:line="160" w:lineRule="exact"/>
        <w:rPr>
          <w:rFonts w:ascii="Arial" w:eastAsia="Arial" w:hAnsi="Arial" w:cs="Arial"/>
          <w:sz w:val="19"/>
          <w:szCs w:val="19"/>
        </w:rPr>
      </w:pPr>
    </w:p>
    <w:p w14:paraId="5DA060A9" w14:textId="77777777" w:rsidR="00D1587D" w:rsidRDefault="00410D07">
      <w:pPr>
        <w:numPr>
          <w:ilvl w:val="0"/>
          <w:numId w:val="46"/>
        </w:numPr>
        <w:tabs>
          <w:tab w:val="left" w:pos="954"/>
        </w:tabs>
        <w:ind w:right="40" w:firstLine="656"/>
        <w:rPr>
          <w:rFonts w:ascii="Arial" w:eastAsia="Arial" w:hAnsi="Arial" w:cs="Arial"/>
        </w:rPr>
      </w:pPr>
      <w:r>
        <w:rPr>
          <w:rFonts w:ascii="Arial" w:eastAsia="Arial" w:hAnsi="Arial" w:cs="Arial"/>
        </w:rPr>
        <w:t>If requested by the Corporation, the information required under clauses (iii), (iv) and (v</w:t>
      </w:r>
      <w:r>
        <w:rPr>
          <w:rFonts w:ascii="Arial" w:eastAsia="Arial" w:hAnsi="Arial" w:cs="Arial"/>
        </w:rPr>
        <w:t>) of Section 1.12.02(a) shall be supplemented by such stockholder not later than 10 days after the record date for the meeting to disclose such information as of the record date.</w:t>
      </w:r>
    </w:p>
    <w:p w14:paraId="6CA91DB7" w14:textId="77777777" w:rsidR="00D1587D" w:rsidRDefault="00D1587D">
      <w:pPr>
        <w:spacing w:line="213" w:lineRule="exact"/>
        <w:rPr>
          <w:rFonts w:ascii="Arial" w:eastAsia="Arial" w:hAnsi="Arial" w:cs="Arial"/>
        </w:rPr>
      </w:pPr>
    </w:p>
    <w:p w14:paraId="2EE5EC05" w14:textId="77777777" w:rsidR="00D1587D" w:rsidRDefault="00410D07">
      <w:pPr>
        <w:numPr>
          <w:ilvl w:val="0"/>
          <w:numId w:val="46"/>
        </w:numPr>
        <w:tabs>
          <w:tab w:val="left" w:pos="942"/>
        </w:tabs>
        <w:spacing w:line="252" w:lineRule="auto"/>
        <w:ind w:right="20" w:firstLine="656"/>
        <w:rPr>
          <w:rFonts w:ascii="Arial" w:eastAsia="Arial" w:hAnsi="Arial" w:cs="Arial"/>
          <w:sz w:val="21"/>
          <w:szCs w:val="21"/>
        </w:rPr>
      </w:pPr>
      <w:r>
        <w:rPr>
          <w:rFonts w:ascii="Arial" w:eastAsia="Arial" w:hAnsi="Arial" w:cs="Arial"/>
          <w:sz w:val="21"/>
          <w:szCs w:val="21"/>
        </w:rPr>
        <w:t>“Stockholder Associated Person” of any stockholder means (i) any person cont</w:t>
      </w:r>
      <w:r>
        <w:rPr>
          <w:rFonts w:ascii="Arial" w:eastAsia="Arial" w:hAnsi="Arial" w:cs="Arial"/>
          <w:sz w:val="21"/>
          <w:szCs w:val="21"/>
        </w:rPr>
        <w:t>rolling, controlled by or under common control with, or acting in concert with, such stockholder, and (ii) any person controlling, controlled by or under common control with any person described in clause (i). The term “beneficially” held (or any similar t</w:t>
      </w:r>
      <w:r>
        <w:rPr>
          <w:rFonts w:ascii="Arial" w:eastAsia="Arial" w:hAnsi="Arial" w:cs="Arial"/>
          <w:sz w:val="21"/>
          <w:szCs w:val="21"/>
        </w:rPr>
        <w:t>erm) includes direct or indirect holdings and has the meaning set forth in Rule 13d-3 (or any successor thereto) under the Exchange Act.</w:t>
      </w:r>
    </w:p>
    <w:p w14:paraId="459C3D14" w14:textId="77777777" w:rsidR="00D1587D" w:rsidRDefault="00D1587D">
      <w:pPr>
        <w:spacing w:line="201" w:lineRule="exact"/>
        <w:rPr>
          <w:sz w:val="20"/>
          <w:szCs w:val="20"/>
        </w:rPr>
      </w:pPr>
    </w:p>
    <w:p w14:paraId="15E00A20" w14:textId="77777777" w:rsidR="00D1587D" w:rsidRDefault="00410D07">
      <w:pPr>
        <w:ind w:right="500" w:firstLine="648"/>
        <w:rPr>
          <w:sz w:val="20"/>
          <w:szCs w:val="20"/>
        </w:rPr>
      </w:pPr>
      <w:r>
        <w:rPr>
          <w:rFonts w:ascii="Arial" w:eastAsia="Arial" w:hAnsi="Arial" w:cs="Arial"/>
        </w:rPr>
        <w:t>1.12.03. If the stockholder does not appear or does not send a duly authorized agent to present the business to be pre</w:t>
      </w:r>
      <w:r>
        <w:rPr>
          <w:rFonts w:ascii="Arial" w:eastAsia="Arial" w:hAnsi="Arial" w:cs="Arial"/>
        </w:rPr>
        <w:t>sented for consideration that was specified in the notice submitted pursuant to this Section 1.12, the corporation need not present such business for a vote at such meeting.</w:t>
      </w:r>
    </w:p>
    <w:p w14:paraId="4EF129A4" w14:textId="77777777" w:rsidR="00D1587D" w:rsidRDefault="00D1587D">
      <w:pPr>
        <w:spacing w:line="213" w:lineRule="exact"/>
        <w:rPr>
          <w:sz w:val="20"/>
          <w:szCs w:val="20"/>
        </w:rPr>
      </w:pPr>
    </w:p>
    <w:p w14:paraId="14D76561" w14:textId="77777777" w:rsidR="00D1587D" w:rsidRDefault="00410D07">
      <w:pPr>
        <w:spacing w:line="246" w:lineRule="auto"/>
        <w:ind w:right="40" w:firstLine="648"/>
        <w:rPr>
          <w:sz w:val="20"/>
          <w:szCs w:val="20"/>
        </w:rPr>
      </w:pPr>
      <w:r>
        <w:rPr>
          <w:rFonts w:ascii="Arial" w:eastAsia="Arial" w:hAnsi="Arial" w:cs="Arial"/>
          <w:sz w:val="21"/>
          <w:szCs w:val="21"/>
        </w:rPr>
        <w:t xml:space="preserve">1.12.04. Notwithstanding anything in these bylaws to the contrary, no </w:t>
      </w:r>
      <w:r>
        <w:rPr>
          <w:rFonts w:ascii="Arial" w:eastAsia="Arial" w:hAnsi="Arial" w:cs="Arial"/>
          <w:sz w:val="21"/>
          <w:szCs w:val="21"/>
        </w:rPr>
        <w:t>business shall be conducted at a stockholder meeting except in accordance with the procedures set forth in this Article I and, when applicable, Section 2.04. The chair of the meeting shall, if the facts warrant, determine and declare to the meeting that bu</w:t>
      </w:r>
      <w:r>
        <w:rPr>
          <w:rFonts w:ascii="Arial" w:eastAsia="Arial" w:hAnsi="Arial" w:cs="Arial"/>
          <w:sz w:val="21"/>
          <w:szCs w:val="21"/>
        </w:rPr>
        <w:t xml:space="preserve">siness was not properly brought before the meeting and in accordance with the provisions of the bylaws, and if he or she should so determine, he or she shall so declare to the meeting and any such business not properly brought before the meeting shall not </w:t>
      </w:r>
      <w:r>
        <w:rPr>
          <w:rFonts w:ascii="Arial" w:eastAsia="Arial" w:hAnsi="Arial" w:cs="Arial"/>
          <w:sz w:val="21"/>
          <w:szCs w:val="21"/>
        </w:rPr>
        <w:t>be transacted. The provisions of this Section 1.12 are in addition to the applicable requirements of the Exchange Act. Accordingly, notwithstanding the foregoing provisions of this Section 1.12, a stockholder shall also comply with all applicable requireme</w:t>
      </w:r>
      <w:r>
        <w:rPr>
          <w:rFonts w:ascii="Arial" w:eastAsia="Arial" w:hAnsi="Arial" w:cs="Arial"/>
          <w:sz w:val="21"/>
          <w:szCs w:val="21"/>
        </w:rPr>
        <w:t>nts of the Exchange Act with respect to the matters set forth in this Section 1.12.</w:t>
      </w:r>
    </w:p>
    <w:p w14:paraId="2658E3D3" w14:textId="77777777" w:rsidR="00D1587D" w:rsidRDefault="00D1587D">
      <w:pPr>
        <w:spacing w:line="207" w:lineRule="exact"/>
        <w:rPr>
          <w:sz w:val="20"/>
          <w:szCs w:val="20"/>
        </w:rPr>
      </w:pPr>
    </w:p>
    <w:p w14:paraId="3B28E839" w14:textId="77777777" w:rsidR="00D1587D" w:rsidRDefault="00410D07">
      <w:pPr>
        <w:ind w:left="660"/>
        <w:rPr>
          <w:sz w:val="20"/>
          <w:szCs w:val="20"/>
        </w:rPr>
      </w:pPr>
      <w:r>
        <w:rPr>
          <w:rFonts w:ascii="Arial" w:eastAsia="Arial" w:hAnsi="Arial" w:cs="Arial"/>
        </w:rPr>
        <w:t>ARTICLE II BOARD OF DIRECTORS</w:t>
      </w:r>
    </w:p>
    <w:p w14:paraId="2B61B2FE" w14:textId="77777777" w:rsidR="00D1587D" w:rsidRDefault="00D1587D">
      <w:pPr>
        <w:spacing w:line="233" w:lineRule="exact"/>
        <w:rPr>
          <w:sz w:val="20"/>
          <w:szCs w:val="20"/>
        </w:rPr>
      </w:pPr>
    </w:p>
    <w:p w14:paraId="5E1C7D68" w14:textId="77777777" w:rsidR="00D1587D" w:rsidRDefault="00410D07">
      <w:pPr>
        <w:ind w:right="200" w:firstLine="648"/>
        <w:rPr>
          <w:sz w:val="20"/>
          <w:szCs w:val="20"/>
        </w:rPr>
      </w:pPr>
      <w:r>
        <w:rPr>
          <w:rFonts w:ascii="Arial" w:eastAsia="Arial" w:hAnsi="Arial" w:cs="Arial"/>
        </w:rPr>
        <w:t>Section 2.01. General Powers of Board. The powers of the corporation shall be exercised, its business and affairs conducted, and its propert</w:t>
      </w:r>
      <w:r>
        <w:rPr>
          <w:rFonts w:ascii="Arial" w:eastAsia="Arial" w:hAnsi="Arial" w:cs="Arial"/>
        </w:rPr>
        <w:t>y controlled by the Board of Directors, except as otherwise provided by the law of Delaware or in the certificate of incorporation.</w:t>
      </w:r>
    </w:p>
    <w:p w14:paraId="0603F566" w14:textId="77777777" w:rsidR="00D1587D" w:rsidRDefault="00D1587D">
      <w:pPr>
        <w:spacing w:line="213" w:lineRule="exact"/>
        <w:rPr>
          <w:sz w:val="20"/>
          <w:szCs w:val="20"/>
        </w:rPr>
      </w:pPr>
    </w:p>
    <w:p w14:paraId="60E9EBC5" w14:textId="77777777" w:rsidR="00D1587D" w:rsidRDefault="00410D07">
      <w:pPr>
        <w:spacing w:line="282" w:lineRule="auto"/>
        <w:ind w:right="60" w:firstLine="648"/>
        <w:rPr>
          <w:sz w:val="20"/>
          <w:szCs w:val="20"/>
        </w:rPr>
      </w:pPr>
      <w:r>
        <w:rPr>
          <w:rFonts w:ascii="Arial" w:eastAsia="Arial" w:hAnsi="Arial" w:cs="Arial"/>
          <w:sz w:val="19"/>
          <w:szCs w:val="19"/>
        </w:rPr>
        <w:t xml:space="preserve">Section 2.02. Number of Directors. The number of directors of the corporation (exclusive of directors to be elected by the </w:t>
      </w:r>
      <w:r>
        <w:rPr>
          <w:rFonts w:ascii="Arial" w:eastAsia="Arial" w:hAnsi="Arial" w:cs="Arial"/>
          <w:sz w:val="19"/>
          <w:szCs w:val="19"/>
        </w:rPr>
        <w:t>holders of any one or more series of Preferred Stock voting separately as a class or classes) shall not be less than 6 nor more than 15, the exact number of directors to be such number as may be set from time to time within the limits set forth above by re</w:t>
      </w:r>
      <w:r>
        <w:rPr>
          <w:rFonts w:ascii="Arial" w:eastAsia="Arial" w:hAnsi="Arial" w:cs="Arial"/>
          <w:sz w:val="19"/>
          <w:szCs w:val="19"/>
        </w:rPr>
        <w:t>solution adopted by affirmative vote of a majority of the whole Board of Directors. As used in these Bylaws, the term “whole Board” means the total number of directors that the corporation would have if there were no vacancies.</w:t>
      </w:r>
    </w:p>
    <w:p w14:paraId="0906DABB" w14:textId="77777777" w:rsidR="00D1587D" w:rsidRDefault="00D1587D">
      <w:pPr>
        <w:spacing w:line="174" w:lineRule="exact"/>
        <w:rPr>
          <w:sz w:val="20"/>
          <w:szCs w:val="20"/>
        </w:rPr>
      </w:pPr>
    </w:p>
    <w:p w14:paraId="6701FC91" w14:textId="77777777" w:rsidR="00D1587D" w:rsidRDefault="00410D07">
      <w:pPr>
        <w:ind w:left="660"/>
        <w:rPr>
          <w:sz w:val="20"/>
          <w:szCs w:val="20"/>
        </w:rPr>
      </w:pPr>
      <w:r>
        <w:rPr>
          <w:rFonts w:ascii="Arial" w:eastAsia="Arial" w:hAnsi="Arial" w:cs="Arial"/>
        </w:rPr>
        <w:t>Section 2.03. Election of D</w:t>
      </w:r>
      <w:r>
        <w:rPr>
          <w:rFonts w:ascii="Arial" w:eastAsia="Arial" w:hAnsi="Arial" w:cs="Arial"/>
        </w:rPr>
        <w:t>irectors.</w:t>
      </w:r>
    </w:p>
    <w:p w14:paraId="52432F33" w14:textId="77777777" w:rsidR="00D1587D" w:rsidRDefault="00D1587D">
      <w:pPr>
        <w:spacing w:line="233" w:lineRule="exact"/>
        <w:rPr>
          <w:sz w:val="20"/>
          <w:szCs w:val="20"/>
        </w:rPr>
      </w:pPr>
    </w:p>
    <w:p w14:paraId="7676A046" w14:textId="77777777" w:rsidR="00D1587D" w:rsidRDefault="00410D07">
      <w:pPr>
        <w:spacing w:line="275" w:lineRule="auto"/>
        <w:ind w:firstLine="648"/>
        <w:rPr>
          <w:sz w:val="20"/>
          <w:szCs w:val="20"/>
        </w:rPr>
      </w:pPr>
      <w:r>
        <w:rPr>
          <w:rFonts w:ascii="Arial" w:eastAsia="Arial" w:hAnsi="Arial" w:cs="Arial"/>
          <w:sz w:val="19"/>
          <w:szCs w:val="19"/>
        </w:rPr>
        <w:t>2.03.01. Except as otherwise provided in these bylaws, each director shall be elected by the affirmative vote of the holders of a majority of the votes cast at the meeting with respect to that director’s election, a quorum being present. For pur</w:t>
      </w:r>
      <w:r>
        <w:rPr>
          <w:rFonts w:ascii="Arial" w:eastAsia="Arial" w:hAnsi="Arial" w:cs="Arial"/>
          <w:sz w:val="19"/>
          <w:szCs w:val="19"/>
        </w:rPr>
        <w:t>poses of this Section 2.03, any “withhold” or “against” votes in a director’s election will count as a vote cast, but “abstentions” and broker non-votes will not count as a vote cast with respect to that director’s election. In a contested election, the no</w:t>
      </w:r>
      <w:r>
        <w:rPr>
          <w:rFonts w:ascii="Arial" w:eastAsia="Arial" w:hAnsi="Arial" w:cs="Arial"/>
          <w:sz w:val="19"/>
          <w:szCs w:val="19"/>
        </w:rPr>
        <w:t>minees receiving a plurality of the votes cast by holders of shares entitled to vote in the election at a meeting at which a quorum is present shall be elected. A “contested election” is one in which, as of the last date by which stockholders may submit no</w:t>
      </w:r>
      <w:r>
        <w:rPr>
          <w:rFonts w:ascii="Arial" w:eastAsia="Arial" w:hAnsi="Arial" w:cs="Arial"/>
          <w:sz w:val="19"/>
          <w:szCs w:val="19"/>
        </w:rPr>
        <w:t>tice to nominate a person for election as a director pursuant to Section 2.04 or Section 2.05 of these bylaws, the number of nominees for any election of directors exceeds the number of directors to be elected.</w:t>
      </w:r>
    </w:p>
    <w:p w14:paraId="3FEF9B16" w14:textId="77777777" w:rsidR="00D1587D" w:rsidRDefault="00D1587D">
      <w:pPr>
        <w:sectPr w:rsidR="00D1587D">
          <w:pgSz w:w="11900" w:h="16838"/>
          <w:pgMar w:top="361" w:right="359" w:bottom="1440" w:left="320" w:header="0" w:footer="0" w:gutter="0"/>
          <w:cols w:space="720" w:equalWidth="0">
            <w:col w:w="11220"/>
          </w:cols>
        </w:sectPr>
      </w:pPr>
    </w:p>
    <w:p w14:paraId="661D65FE" w14:textId="77777777" w:rsidR="00D1587D" w:rsidRDefault="00D1587D">
      <w:pPr>
        <w:spacing w:line="119" w:lineRule="exact"/>
        <w:rPr>
          <w:sz w:val="20"/>
          <w:szCs w:val="20"/>
        </w:rPr>
      </w:pPr>
    </w:p>
    <w:p w14:paraId="10DEBAA9" w14:textId="77777777" w:rsidR="00D1587D" w:rsidRDefault="00410D07">
      <w:pPr>
        <w:ind w:right="-19"/>
        <w:jc w:val="center"/>
        <w:rPr>
          <w:sz w:val="20"/>
          <w:szCs w:val="20"/>
        </w:rPr>
      </w:pPr>
      <w:r>
        <w:rPr>
          <w:rFonts w:ascii="Arial" w:eastAsia="Arial" w:hAnsi="Arial" w:cs="Arial"/>
          <w:sz w:val="14"/>
          <w:szCs w:val="14"/>
        </w:rPr>
        <w:t>6</w:t>
      </w:r>
    </w:p>
    <w:p w14:paraId="4BABA2C3" w14:textId="77777777" w:rsidR="00D1587D" w:rsidRDefault="00410D07">
      <w:pPr>
        <w:spacing w:line="20" w:lineRule="exact"/>
        <w:rPr>
          <w:sz w:val="20"/>
          <w:szCs w:val="20"/>
        </w:rPr>
      </w:pPr>
      <w:r>
        <w:rPr>
          <w:noProof/>
          <w:sz w:val="20"/>
          <w:szCs w:val="20"/>
        </w:rPr>
        <w:drawing>
          <wp:anchor distT="0" distB="0" distL="114300" distR="114300" simplePos="0" relativeHeight="251218944" behindDoc="1" locked="0" layoutInCell="0" allowOverlap="1" wp14:anchorId="6B163857" wp14:editId="4E7C408A">
            <wp:simplePos x="0" y="0"/>
            <wp:positionH relativeFrom="column">
              <wp:posOffset>5080</wp:posOffset>
            </wp:positionH>
            <wp:positionV relativeFrom="paragraph">
              <wp:posOffset>38100</wp:posOffset>
            </wp:positionV>
            <wp:extent cx="7132320" cy="1714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28FE39E" w14:textId="77777777" w:rsidR="00D1587D" w:rsidRDefault="00D1587D">
      <w:pPr>
        <w:sectPr w:rsidR="00D1587D">
          <w:type w:val="continuous"/>
          <w:pgSz w:w="11900" w:h="16838"/>
          <w:pgMar w:top="361" w:right="359" w:bottom="1440" w:left="320" w:header="0" w:footer="0" w:gutter="0"/>
          <w:cols w:space="720" w:equalWidth="0">
            <w:col w:w="11220"/>
          </w:cols>
        </w:sectPr>
      </w:pPr>
    </w:p>
    <w:p w14:paraId="351BD088" w14:textId="77777777" w:rsidR="00D1587D" w:rsidRDefault="00410D07">
      <w:pPr>
        <w:spacing w:line="287" w:lineRule="auto"/>
        <w:ind w:right="200" w:firstLine="648"/>
        <w:rPr>
          <w:sz w:val="20"/>
          <w:szCs w:val="20"/>
        </w:rPr>
      </w:pPr>
      <w:bookmarkStart w:id="71" w:name="page72"/>
      <w:bookmarkEnd w:id="71"/>
      <w:r>
        <w:rPr>
          <w:rFonts w:ascii="Arial" w:eastAsia="Arial" w:hAnsi="Arial" w:cs="Arial"/>
          <w:sz w:val="19"/>
          <w:szCs w:val="19"/>
        </w:rPr>
        <w:t xml:space="preserve">2.03.02. (a) In order for any incumbent director to become a nominee for further service on the Board of Directors, such person must submit an irrevocable resignation, which resignation shall become effective upon (i) that </w:t>
      </w:r>
      <w:r>
        <w:rPr>
          <w:rFonts w:ascii="Arial" w:eastAsia="Arial" w:hAnsi="Arial" w:cs="Arial"/>
          <w:sz w:val="19"/>
          <w:szCs w:val="19"/>
        </w:rPr>
        <w:t>person not receiving a majority of the votes cast in an election that is not a contested election and (ii) acceptance by the Board of Directors of that resignation in accordance with any policies and procedures adopted by the Board of Directors for such pu</w:t>
      </w:r>
      <w:r>
        <w:rPr>
          <w:rFonts w:ascii="Arial" w:eastAsia="Arial" w:hAnsi="Arial" w:cs="Arial"/>
          <w:sz w:val="19"/>
          <w:szCs w:val="19"/>
        </w:rPr>
        <w:t>rpose.</w:t>
      </w:r>
    </w:p>
    <w:p w14:paraId="071BCAB9" w14:textId="77777777" w:rsidR="00D1587D" w:rsidRDefault="00D1587D">
      <w:pPr>
        <w:spacing w:line="170" w:lineRule="exact"/>
        <w:rPr>
          <w:sz w:val="20"/>
          <w:szCs w:val="20"/>
        </w:rPr>
      </w:pPr>
    </w:p>
    <w:p w14:paraId="503CE277" w14:textId="77777777" w:rsidR="00D1587D" w:rsidRDefault="00410D07">
      <w:pPr>
        <w:numPr>
          <w:ilvl w:val="0"/>
          <w:numId w:val="47"/>
        </w:numPr>
        <w:tabs>
          <w:tab w:val="left" w:pos="954"/>
        </w:tabs>
        <w:spacing w:line="235" w:lineRule="auto"/>
        <w:ind w:right="160" w:firstLine="656"/>
        <w:rPr>
          <w:rFonts w:ascii="Arial" w:eastAsia="Arial" w:hAnsi="Arial" w:cs="Arial"/>
        </w:rPr>
      </w:pPr>
      <w:r>
        <w:rPr>
          <w:rFonts w:ascii="Arial" w:eastAsia="Arial" w:hAnsi="Arial" w:cs="Arial"/>
        </w:rPr>
        <w:t>In order for any other person to become a nominee for service on the Board of Directors, such person must submit an irrevocable commitment that, if elected, such individual will tender, promptly upon such person’s election, an irrevocable resignati</w:t>
      </w:r>
      <w:r>
        <w:rPr>
          <w:rFonts w:ascii="Arial" w:eastAsia="Arial" w:hAnsi="Arial" w:cs="Arial"/>
        </w:rPr>
        <w:t>on, which resignation shall become effective upon (i) that person not receiving a majority of the votes cast in the next election that is not a contested election following such person’s initial election to the Board of Directors and (ii) acceptance by the</w:t>
      </w:r>
      <w:r>
        <w:rPr>
          <w:rFonts w:ascii="Arial" w:eastAsia="Arial" w:hAnsi="Arial" w:cs="Arial"/>
        </w:rPr>
        <w:t xml:space="preserve"> Board of Directors of that resignation in accordance with any policies and procedures adopted by the Board of Directors for such purpose.</w:t>
      </w:r>
    </w:p>
    <w:p w14:paraId="4AC8BF1B" w14:textId="77777777" w:rsidR="00D1587D" w:rsidRDefault="00D1587D">
      <w:pPr>
        <w:spacing w:line="215" w:lineRule="exact"/>
        <w:rPr>
          <w:sz w:val="20"/>
          <w:szCs w:val="20"/>
        </w:rPr>
      </w:pPr>
    </w:p>
    <w:p w14:paraId="12583A6A" w14:textId="77777777" w:rsidR="00D1587D" w:rsidRDefault="00410D07">
      <w:pPr>
        <w:spacing w:line="236" w:lineRule="auto"/>
        <w:ind w:right="240" w:firstLine="648"/>
        <w:rPr>
          <w:sz w:val="20"/>
          <w:szCs w:val="20"/>
        </w:rPr>
      </w:pPr>
      <w:r>
        <w:rPr>
          <w:rFonts w:ascii="Arial" w:eastAsia="Arial" w:hAnsi="Arial" w:cs="Arial"/>
        </w:rPr>
        <w:t>2.03.03. In the event an incumbent director does not receive a majority of the votes cast with respect to that direc</w:t>
      </w:r>
      <w:r>
        <w:rPr>
          <w:rFonts w:ascii="Arial" w:eastAsia="Arial" w:hAnsi="Arial" w:cs="Arial"/>
        </w:rPr>
        <w:t>tor’s election at any meeting for the uncontested election of directors at which a quorum is present, the Board of Directors, acting on the recommendation of the Nominating and Governance Committee, shall no later than at its first regularly scheduled meet</w:t>
      </w:r>
      <w:r>
        <w:rPr>
          <w:rFonts w:ascii="Arial" w:eastAsia="Arial" w:hAnsi="Arial" w:cs="Arial"/>
        </w:rPr>
        <w:t>ing following certification of the stockholder vote for the election of directors determine whether to accept the resignation of the incumbent director or whether to take other action.</w:t>
      </w:r>
    </w:p>
    <w:p w14:paraId="5DC5B28C" w14:textId="77777777" w:rsidR="00D1587D" w:rsidRDefault="00D1587D">
      <w:pPr>
        <w:spacing w:line="214" w:lineRule="exact"/>
        <w:rPr>
          <w:sz w:val="20"/>
          <w:szCs w:val="20"/>
        </w:rPr>
      </w:pPr>
    </w:p>
    <w:p w14:paraId="045F8DFD" w14:textId="77777777" w:rsidR="00D1587D" w:rsidRDefault="00410D07">
      <w:pPr>
        <w:spacing w:line="328" w:lineRule="auto"/>
        <w:ind w:right="160" w:firstLine="648"/>
        <w:rPr>
          <w:sz w:val="20"/>
          <w:szCs w:val="20"/>
        </w:rPr>
      </w:pPr>
      <w:r>
        <w:rPr>
          <w:rFonts w:ascii="Arial" w:eastAsia="Arial" w:hAnsi="Arial" w:cs="Arial"/>
          <w:sz w:val="19"/>
          <w:szCs w:val="19"/>
        </w:rPr>
        <w:t>2.03.04. The Nominating and Governance Committee, in making any such r</w:t>
      </w:r>
      <w:r>
        <w:rPr>
          <w:rFonts w:ascii="Arial" w:eastAsia="Arial" w:hAnsi="Arial" w:cs="Arial"/>
          <w:sz w:val="19"/>
          <w:szCs w:val="19"/>
        </w:rPr>
        <w:t>ecommendation, and the Board of Directors, in making its determination, may consider any factors or other information that they believe appropriate and relevant.</w:t>
      </w:r>
    </w:p>
    <w:p w14:paraId="60D6D051" w14:textId="77777777" w:rsidR="00D1587D" w:rsidRDefault="00D1587D">
      <w:pPr>
        <w:spacing w:line="132" w:lineRule="exact"/>
        <w:rPr>
          <w:sz w:val="20"/>
          <w:szCs w:val="20"/>
        </w:rPr>
      </w:pPr>
    </w:p>
    <w:p w14:paraId="2C02901D" w14:textId="77777777" w:rsidR="00D1587D" w:rsidRDefault="00410D07">
      <w:pPr>
        <w:spacing w:line="257" w:lineRule="auto"/>
        <w:ind w:right="80" w:firstLine="648"/>
        <w:jc w:val="both"/>
        <w:rPr>
          <w:sz w:val="20"/>
          <w:szCs w:val="20"/>
        </w:rPr>
      </w:pPr>
      <w:r>
        <w:rPr>
          <w:rFonts w:ascii="Arial" w:eastAsia="Arial" w:hAnsi="Arial" w:cs="Arial"/>
          <w:sz w:val="21"/>
          <w:szCs w:val="21"/>
        </w:rPr>
        <w:t>2.03.05. If the Board of Directors determines to accept the resignation contemplated by Secti</w:t>
      </w:r>
      <w:r>
        <w:rPr>
          <w:rFonts w:ascii="Arial" w:eastAsia="Arial" w:hAnsi="Arial" w:cs="Arial"/>
          <w:sz w:val="21"/>
          <w:szCs w:val="21"/>
        </w:rPr>
        <w:t>on 2.03.02 of a nominee, the Nominating and Governance Committee shall promptly either recommend a candidate to the Board of Directors to fill the office formerly held by such person or recommend a reduction in the size of the Board of Directors.</w:t>
      </w:r>
    </w:p>
    <w:p w14:paraId="795F7675" w14:textId="77777777" w:rsidR="00D1587D" w:rsidRDefault="00D1587D">
      <w:pPr>
        <w:spacing w:line="196" w:lineRule="exact"/>
        <w:rPr>
          <w:sz w:val="20"/>
          <w:szCs w:val="20"/>
        </w:rPr>
      </w:pPr>
    </w:p>
    <w:p w14:paraId="5E50631C" w14:textId="77777777" w:rsidR="00D1587D" w:rsidRDefault="00410D07">
      <w:pPr>
        <w:spacing w:line="245" w:lineRule="auto"/>
        <w:ind w:right="20" w:firstLine="648"/>
        <w:rPr>
          <w:sz w:val="20"/>
          <w:szCs w:val="20"/>
        </w:rPr>
      </w:pPr>
      <w:r>
        <w:rPr>
          <w:rFonts w:ascii="Arial" w:eastAsia="Arial" w:hAnsi="Arial" w:cs="Arial"/>
          <w:sz w:val="21"/>
          <w:szCs w:val="21"/>
        </w:rPr>
        <w:t>2.03.06.</w:t>
      </w:r>
      <w:r>
        <w:rPr>
          <w:rFonts w:ascii="Arial" w:eastAsia="Arial" w:hAnsi="Arial" w:cs="Arial"/>
          <w:sz w:val="21"/>
          <w:szCs w:val="21"/>
        </w:rPr>
        <w:t xml:space="preserve"> The Nominating and Governance Committee and the Board of Directors shall take the actions required under this Section 2.03 without the participation of any nominee whose resignation, as contemplated by Section 2.03.02, is under consideration, except that </w:t>
      </w:r>
      <w:r>
        <w:rPr>
          <w:rFonts w:ascii="Arial" w:eastAsia="Arial" w:hAnsi="Arial" w:cs="Arial"/>
          <w:sz w:val="21"/>
          <w:szCs w:val="21"/>
        </w:rPr>
        <w:t>(i) if every member of the Nominating and Governance Committee is such a nominee, then a majority of the Board of Directors shall appoint a Board committee of independent directors for the purpose of considering the tendered resignations and making a recom</w:t>
      </w:r>
      <w:r>
        <w:rPr>
          <w:rFonts w:ascii="Arial" w:eastAsia="Arial" w:hAnsi="Arial" w:cs="Arial"/>
          <w:sz w:val="21"/>
          <w:szCs w:val="21"/>
        </w:rPr>
        <w:t>mendation to the Board of Directors whether to accept or reject them; and (ii) if the number of independent directors who are not such nominees is three or fewer, all directors may participate in the decisions under this Section 2.03. As used above, the te</w:t>
      </w:r>
      <w:r>
        <w:rPr>
          <w:rFonts w:ascii="Arial" w:eastAsia="Arial" w:hAnsi="Arial" w:cs="Arial"/>
          <w:sz w:val="21"/>
          <w:szCs w:val="21"/>
        </w:rPr>
        <w:t>rm “independent director” shall mean a director who complies with the “independent director” requirements under the rules of the principal securities exchange upon which the common stock of the corporation is listed or traded.</w:t>
      </w:r>
    </w:p>
    <w:p w14:paraId="4CF705B5" w14:textId="77777777" w:rsidR="00D1587D" w:rsidRDefault="00D1587D">
      <w:pPr>
        <w:spacing w:line="211" w:lineRule="exact"/>
        <w:rPr>
          <w:sz w:val="20"/>
          <w:szCs w:val="20"/>
        </w:rPr>
      </w:pPr>
    </w:p>
    <w:p w14:paraId="3BA2D71B" w14:textId="77777777" w:rsidR="00D1587D" w:rsidRDefault="00410D07">
      <w:pPr>
        <w:spacing w:line="238" w:lineRule="auto"/>
        <w:ind w:firstLine="648"/>
        <w:rPr>
          <w:sz w:val="20"/>
          <w:szCs w:val="20"/>
        </w:rPr>
      </w:pPr>
      <w:r>
        <w:rPr>
          <w:rFonts w:ascii="Arial" w:eastAsia="Arial" w:hAnsi="Arial" w:cs="Arial"/>
        </w:rPr>
        <w:t xml:space="preserve">2.03.07. If the Board of </w:t>
      </w:r>
      <w:r>
        <w:rPr>
          <w:rFonts w:ascii="Arial" w:eastAsia="Arial" w:hAnsi="Arial" w:cs="Arial"/>
        </w:rPr>
        <w:t>Directors accepts the resignation contemplated by Section 2.03.02 of any nominee, or if a nominee for director who is not an incumbent director does not receive a majority of the votes cast with respect to that director’s election, then the Board of Direct</w:t>
      </w:r>
      <w:r>
        <w:rPr>
          <w:rFonts w:ascii="Arial" w:eastAsia="Arial" w:hAnsi="Arial" w:cs="Arial"/>
        </w:rPr>
        <w:t>ors may fill the resulting vacancy pursuant to Section 2.07 or may decrease the size of the Board of Directors pursuant to the provisions of Section 2.02.</w:t>
      </w:r>
    </w:p>
    <w:p w14:paraId="7123054A" w14:textId="77777777" w:rsidR="00D1587D" w:rsidRDefault="00D1587D">
      <w:pPr>
        <w:spacing w:line="147" w:lineRule="exact"/>
        <w:rPr>
          <w:sz w:val="20"/>
          <w:szCs w:val="20"/>
        </w:rPr>
      </w:pPr>
    </w:p>
    <w:p w14:paraId="678EE9F5" w14:textId="77777777" w:rsidR="00D1587D" w:rsidRDefault="00410D07">
      <w:pPr>
        <w:ind w:right="-19"/>
        <w:jc w:val="center"/>
        <w:rPr>
          <w:sz w:val="20"/>
          <w:szCs w:val="20"/>
        </w:rPr>
      </w:pPr>
      <w:r>
        <w:rPr>
          <w:rFonts w:ascii="Arial" w:eastAsia="Arial" w:hAnsi="Arial" w:cs="Arial"/>
          <w:sz w:val="14"/>
          <w:szCs w:val="14"/>
        </w:rPr>
        <w:t>7</w:t>
      </w:r>
    </w:p>
    <w:p w14:paraId="70B2426E" w14:textId="77777777" w:rsidR="00D1587D" w:rsidRDefault="00410D07">
      <w:pPr>
        <w:spacing w:line="20" w:lineRule="exact"/>
        <w:rPr>
          <w:sz w:val="20"/>
          <w:szCs w:val="20"/>
        </w:rPr>
      </w:pPr>
      <w:r>
        <w:rPr>
          <w:noProof/>
          <w:sz w:val="20"/>
          <w:szCs w:val="20"/>
        </w:rPr>
        <w:drawing>
          <wp:anchor distT="0" distB="0" distL="114300" distR="114300" simplePos="0" relativeHeight="251219968" behindDoc="1" locked="0" layoutInCell="0" allowOverlap="1" wp14:anchorId="0FC4CD5F" wp14:editId="0C0763D2">
            <wp:simplePos x="0" y="0"/>
            <wp:positionH relativeFrom="column">
              <wp:posOffset>5080</wp:posOffset>
            </wp:positionH>
            <wp:positionV relativeFrom="paragraph">
              <wp:posOffset>38100</wp:posOffset>
            </wp:positionV>
            <wp:extent cx="7132320" cy="1714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1AB5B6B" w14:textId="77777777" w:rsidR="00D1587D" w:rsidRDefault="00D1587D">
      <w:pPr>
        <w:sectPr w:rsidR="00D1587D">
          <w:pgSz w:w="11900" w:h="16838"/>
          <w:pgMar w:top="361" w:right="339" w:bottom="1440" w:left="320" w:header="0" w:footer="0" w:gutter="0"/>
          <w:cols w:space="720" w:equalWidth="0">
            <w:col w:w="11240"/>
          </w:cols>
        </w:sectPr>
      </w:pPr>
    </w:p>
    <w:p w14:paraId="25DEC940" w14:textId="77777777" w:rsidR="00D1587D" w:rsidRDefault="00410D07">
      <w:pPr>
        <w:ind w:left="660"/>
        <w:rPr>
          <w:sz w:val="20"/>
          <w:szCs w:val="20"/>
        </w:rPr>
      </w:pPr>
      <w:bookmarkStart w:id="72" w:name="page73"/>
      <w:bookmarkEnd w:id="72"/>
      <w:r>
        <w:rPr>
          <w:rFonts w:ascii="Arial" w:eastAsia="Arial" w:hAnsi="Arial" w:cs="Arial"/>
        </w:rPr>
        <w:t>Section 2.04. Nominations.</w:t>
      </w:r>
    </w:p>
    <w:p w14:paraId="6EDB6AA0" w14:textId="77777777" w:rsidR="00D1587D" w:rsidRDefault="00D1587D">
      <w:pPr>
        <w:spacing w:line="233" w:lineRule="exact"/>
        <w:rPr>
          <w:sz w:val="20"/>
          <w:szCs w:val="20"/>
        </w:rPr>
      </w:pPr>
    </w:p>
    <w:p w14:paraId="72966CD0" w14:textId="77777777" w:rsidR="00D1587D" w:rsidRDefault="00410D07">
      <w:pPr>
        <w:spacing w:line="269" w:lineRule="auto"/>
        <w:ind w:right="240" w:firstLine="648"/>
        <w:rPr>
          <w:sz w:val="20"/>
          <w:szCs w:val="20"/>
        </w:rPr>
      </w:pPr>
      <w:r>
        <w:rPr>
          <w:rFonts w:ascii="Arial" w:eastAsia="Arial" w:hAnsi="Arial" w:cs="Arial"/>
          <w:sz w:val="19"/>
          <w:szCs w:val="19"/>
        </w:rPr>
        <w:t xml:space="preserve">2.04.01. (a) At any meeting of the </w:t>
      </w:r>
      <w:r>
        <w:rPr>
          <w:rFonts w:ascii="Arial" w:eastAsia="Arial" w:hAnsi="Arial" w:cs="Arial"/>
          <w:sz w:val="19"/>
          <w:szCs w:val="19"/>
        </w:rPr>
        <w:t>stockholders, only persons who are nominated in accordance with the procedures set forth in these bylaws shall be eligible to serve as directors. Nominations of persons for election to the Board of Directors of the corporation may be made at a meeting of s</w:t>
      </w:r>
      <w:r>
        <w:rPr>
          <w:rFonts w:ascii="Arial" w:eastAsia="Arial" w:hAnsi="Arial" w:cs="Arial"/>
          <w:sz w:val="19"/>
          <w:szCs w:val="19"/>
        </w:rPr>
        <w:t>tockholders (i) by or at the direction of the Board of Directors, (ii) by or at the direction of the Nominating and Governance Committee of the Board of Directors, (iii) by any stockholder of the corporation who is a stockholder of record at the time of gi</w:t>
      </w:r>
      <w:r>
        <w:rPr>
          <w:rFonts w:ascii="Arial" w:eastAsia="Arial" w:hAnsi="Arial" w:cs="Arial"/>
          <w:sz w:val="19"/>
          <w:szCs w:val="19"/>
        </w:rPr>
        <w:t>ving of notice provided for in this Section 2.04, who shall be entitled to vote for the election of directors at the meeting and who complies with the notice procedures set forth in this Section 2.04, (iv) in accordance with Section 2.05 or (v) in accordan</w:t>
      </w:r>
      <w:r>
        <w:rPr>
          <w:rFonts w:ascii="Arial" w:eastAsia="Arial" w:hAnsi="Arial" w:cs="Arial"/>
          <w:sz w:val="19"/>
          <w:szCs w:val="19"/>
        </w:rPr>
        <w:t>ce with any certificate filed under Section 151(g) of the DGCL; provided that,</w:t>
      </w:r>
    </w:p>
    <w:p w14:paraId="0FD96EF6" w14:textId="77777777" w:rsidR="00D1587D" w:rsidRDefault="00D1587D">
      <w:pPr>
        <w:spacing w:line="5" w:lineRule="exact"/>
        <w:rPr>
          <w:sz w:val="20"/>
          <w:szCs w:val="20"/>
        </w:rPr>
      </w:pPr>
    </w:p>
    <w:p w14:paraId="23828F89" w14:textId="77777777" w:rsidR="00D1587D" w:rsidRDefault="00410D07">
      <w:pPr>
        <w:numPr>
          <w:ilvl w:val="0"/>
          <w:numId w:val="48"/>
        </w:numPr>
        <w:tabs>
          <w:tab w:val="left" w:pos="354"/>
        </w:tabs>
        <w:spacing w:line="266" w:lineRule="auto"/>
        <w:ind w:right="60" w:firstLine="8"/>
        <w:rPr>
          <w:rFonts w:ascii="Arial" w:eastAsia="Arial" w:hAnsi="Arial" w:cs="Arial"/>
          <w:sz w:val="19"/>
          <w:szCs w:val="19"/>
        </w:rPr>
      </w:pPr>
      <w:r>
        <w:rPr>
          <w:rFonts w:ascii="Arial" w:eastAsia="Arial" w:hAnsi="Arial" w:cs="Arial"/>
          <w:sz w:val="19"/>
          <w:szCs w:val="19"/>
        </w:rPr>
        <w:t>notwithstanding the foregoing provisions of Section 2.04, in the case of special meetings, the provisions of Section 1.02 shall govern and (B) all nominees must comply with the</w:t>
      </w:r>
      <w:r>
        <w:rPr>
          <w:rFonts w:ascii="Arial" w:eastAsia="Arial" w:hAnsi="Arial" w:cs="Arial"/>
          <w:sz w:val="19"/>
          <w:szCs w:val="19"/>
        </w:rPr>
        <w:t xml:space="preserve"> requirements of Section 2.03.02 (in addition to all other applicable requirements). Such nominations, other than those made by or at the direction of the Board of Directors or its Nominating and Governance Committee or pursuant to Section 2.05, shall be m</w:t>
      </w:r>
      <w:r>
        <w:rPr>
          <w:rFonts w:ascii="Arial" w:eastAsia="Arial" w:hAnsi="Arial" w:cs="Arial"/>
          <w:sz w:val="19"/>
          <w:szCs w:val="19"/>
        </w:rPr>
        <w:t>ade pursuant to Special Meeting Requests made in accordance with Section 1.02 or, in the case of an annual meeting, pursuant to timely notice in writing to the secretary. For a nomination pursuant to this Section 2.04 to be timely, a stockholder’s notice s</w:t>
      </w:r>
      <w:r>
        <w:rPr>
          <w:rFonts w:ascii="Arial" w:eastAsia="Arial" w:hAnsi="Arial" w:cs="Arial"/>
          <w:sz w:val="19"/>
          <w:szCs w:val="19"/>
        </w:rPr>
        <w:t>hall be delivered to or mailed and received at the principal executive offices of the corporation not less than 90 days nor more than 120 days prior to the first anniversary of the preceding year’s annual meeting of stockholders; provided, however, that in</w:t>
      </w:r>
      <w:r>
        <w:rPr>
          <w:rFonts w:ascii="Arial" w:eastAsia="Arial" w:hAnsi="Arial" w:cs="Arial"/>
          <w:sz w:val="19"/>
          <w:szCs w:val="19"/>
        </w:rPr>
        <w:t xml:space="preserve"> the event that the date of the annual meeting is advanced more than 30 days prior to such anniversary date or delayed more than 90 days after such anniversary date then to be timely such notice must be received by the corporation no earlier than 120 days </w:t>
      </w:r>
      <w:r>
        <w:rPr>
          <w:rFonts w:ascii="Arial" w:eastAsia="Arial" w:hAnsi="Arial" w:cs="Arial"/>
          <w:sz w:val="19"/>
          <w:szCs w:val="19"/>
        </w:rPr>
        <w:t>prior to such annual meeting and no later than the later of 90 days prior to the date of the meeting or the 10th day following the day on which public announcement of the date of the meeting was made. In no event shall any adjournment or postponement of an</w:t>
      </w:r>
      <w:r>
        <w:rPr>
          <w:rFonts w:ascii="Arial" w:eastAsia="Arial" w:hAnsi="Arial" w:cs="Arial"/>
          <w:sz w:val="19"/>
          <w:szCs w:val="19"/>
        </w:rPr>
        <w:t xml:space="preserve"> annual meeting or the public announcement thereof commence a new time period (or extend any time period) for the giving of such notice pursuant to this Section 2.04. Each such notice or Special Meeting Request, as applicable, shall include (1) (x) the nam</w:t>
      </w:r>
      <w:r>
        <w:rPr>
          <w:rFonts w:ascii="Arial" w:eastAsia="Arial" w:hAnsi="Arial" w:cs="Arial"/>
          <w:sz w:val="19"/>
          <w:szCs w:val="19"/>
        </w:rPr>
        <w:t>e and address of the stockholder making such nomination, as they appear on the corporation’s books, the beneficial owner, if any, on whose behalf the proposal is made, and any Stockholder Associated Person covered by clause (5) or (6) and (y) the name, age</w:t>
      </w:r>
      <w:r>
        <w:rPr>
          <w:rFonts w:ascii="Arial" w:eastAsia="Arial" w:hAnsi="Arial" w:cs="Arial"/>
          <w:sz w:val="19"/>
          <w:szCs w:val="19"/>
        </w:rPr>
        <w:t>, business address and, if known, residence address of each nominee proposed in such notice, (2) the principal occupation or employment of each such nominee, (3) all information relating to such person that is required to be disclosed in solicitations of p</w:t>
      </w:r>
      <w:r>
        <w:rPr>
          <w:rFonts w:ascii="Arial" w:eastAsia="Arial" w:hAnsi="Arial" w:cs="Arial"/>
          <w:sz w:val="19"/>
          <w:szCs w:val="19"/>
        </w:rPr>
        <w:t>roxies for election of directors, or is otherwise required, in each case pursuant to Regulation 14A under the Exchange Act (including such person’s written consent to being named in the proxy statement as a nominee and to serving as a director if elected),</w:t>
      </w:r>
      <w:r>
        <w:rPr>
          <w:rFonts w:ascii="Arial" w:eastAsia="Arial" w:hAnsi="Arial" w:cs="Arial"/>
          <w:sz w:val="19"/>
          <w:szCs w:val="19"/>
        </w:rPr>
        <w:t xml:space="preserve"> (4) a reasonably detailed description of any compensatory or other financial agreement, arrangement or understanding that each such nominee has with any other person or entity other than the corporation, including the amount of any payment or payments rec</w:t>
      </w:r>
      <w:r>
        <w:rPr>
          <w:rFonts w:ascii="Arial" w:eastAsia="Arial" w:hAnsi="Arial" w:cs="Arial"/>
          <w:sz w:val="19"/>
          <w:szCs w:val="19"/>
        </w:rPr>
        <w:t>eived or receivable thereunder, in each case in connection with candidacy or service as a director of the corporation (each, a “Third-Party Compensation Arrangement”),</w:t>
      </w:r>
    </w:p>
    <w:p w14:paraId="62C94F23" w14:textId="77777777" w:rsidR="00D1587D" w:rsidRDefault="00D1587D">
      <w:pPr>
        <w:spacing w:line="19" w:lineRule="exact"/>
        <w:rPr>
          <w:rFonts w:ascii="Arial" w:eastAsia="Arial" w:hAnsi="Arial" w:cs="Arial"/>
          <w:sz w:val="19"/>
          <w:szCs w:val="19"/>
        </w:rPr>
      </w:pPr>
    </w:p>
    <w:p w14:paraId="5FEDDFC8" w14:textId="77777777" w:rsidR="00D1587D" w:rsidRDefault="00410D07">
      <w:pPr>
        <w:spacing w:line="269" w:lineRule="auto"/>
        <w:rPr>
          <w:rFonts w:ascii="Arial" w:eastAsia="Arial" w:hAnsi="Arial" w:cs="Arial"/>
          <w:sz w:val="19"/>
          <w:szCs w:val="19"/>
        </w:rPr>
      </w:pPr>
      <w:r>
        <w:rPr>
          <w:rFonts w:ascii="Arial" w:eastAsia="Arial" w:hAnsi="Arial" w:cs="Arial"/>
          <w:sz w:val="19"/>
          <w:szCs w:val="19"/>
        </w:rPr>
        <w:t>(5) a description of any agreement, arrangement or understanding between or among the s</w:t>
      </w:r>
      <w:r>
        <w:rPr>
          <w:rFonts w:ascii="Arial" w:eastAsia="Arial" w:hAnsi="Arial" w:cs="Arial"/>
          <w:sz w:val="19"/>
          <w:szCs w:val="19"/>
        </w:rPr>
        <w:t>tockholder giving the notice, the beneficial owner, if any, on whose behalf the proposal is made, or any Stockholder Associated Person, on the one hand, and any other person or persons (including their names), including the nominee, on the other hand, in c</w:t>
      </w:r>
      <w:r>
        <w:rPr>
          <w:rFonts w:ascii="Arial" w:eastAsia="Arial" w:hAnsi="Arial" w:cs="Arial"/>
          <w:sz w:val="19"/>
          <w:szCs w:val="19"/>
        </w:rPr>
        <w:t>onnection with the proposal of each such nominee, (6) (x) the class and number of shares of the corporation which are held of record or beneficially by the stockholder giving the notice, the beneficial owner, if any, on whose behalf the proposal is made, o</w:t>
      </w:r>
      <w:r>
        <w:rPr>
          <w:rFonts w:ascii="Arial" w:eastAsia="Arial" w:hAnsi="Arial" w:cs="Arial"/>
          <w:sz w:val="19"/>
          <w:szCs w:val="19"/>
        </w:rPr>
        <w:t>r any Stockholder Associated Person and (y) a description of any agreement, arrangement or understanding (including any derivative or short positions, profit interests, options, warrants, convertible securities, stock appreciation or similar rights, hedgin</w:t>
      </w:r>
      <w:r>
        <w:rPr>
          <w:rFonts w:ascii="Arial" w:eastAsia="Arial" w:hAnsi="Arial" w:cs="Arial"/>
          <w:sz w:val="19"/>
          <w:szCs w:val="19"/>
        </w:rPr>
        <w:t>g transactions, and borrowed or loaned shares) that has been entered into as of the date of such notice by, or on behalf of, such stockholder, beneficial owner or any Stockholder Associated Person, whether or not such agreement, arrangement or understandin</w:t>
      </w:r>
      <w:r>
        <w:rPr>
          <w:rFonts w:ascii="Arial" w:eastAsia="Arial" w:hAnsi="Arial" w:cs="Arial"/>
          <w:sz w:val="19"/>
          <w:szCs w:val="19"/>
        </w:rPr>
        <w:t>g shall be subject to settlement in underlying shares of capital stock of the corporation, the effect or intent of which is to create or mitigate loss to, manage risk or benefit of share price changes for or increase or decrease the voting power of, such s</w:t>
      </w:r>
      <w:r>
        <w:rPr>
          <w:rFonts w:ascii="Arial" w:eastAsia="Arial" w:hAnsi="Arial" w:cs="Arial"/>
          <w:sz w:val="19"/>
          <w:szCs w:val="19"/>
        </w:rPr>
        <w:t>tockholder, such beneficial owner or any Stockholder Associated Person with respect to the corporation’s securities, (7) a representation that the stockholder intends to appear in person or by proxy at the meeting to bring such nomination before the meetin</w:t>
      </w:r>
      <w:r>
        <w:rPr>
          <w:rFonts w:ascii="Arial" w:eastAsia="Arial" w:hAnsi="Arial" w:cs="Arial"/>
          <w:sz w:val="19"/>
          <w:szCs w:val="19"/>
        </w:rPr>
        <w:t>g, and (8) any other information relating to such stockholder, such beneficial owner, if any, or nominee that would be required to be disclosed in a proxy statement or other filing required to be made in connection with the solicitation of proxies in suppo</w:t>
      </w:r>
      <w:r>
        <w:rPr>
          <w:rFonts w:ascii="Arial" w:eastAsia="Arial" w:hAnsi="Arial" w:cs="Arial"/>
          <w:sz w:val="19"/>
          <w:szCs w:val="19"/>
        </w:rPr>
        <w:t>rt of such nominee pursuant to Section 14(a) of the Exchange Act and the rules and regulations promulgated thereunder.</w:t>
      </w:r>
    </w:p>
    <w:p w14:paraId="43AEF557" w14:textId="77777777" w:rsidR="00D1587D" w:rsidRDefault="00D1587D">
      <w:pPr>
        <w:spacing w:line="375" w:lineRule="exact"/>
        <w:rPr>
          <w:sz w:val="20"/>
          <w:szCs w:val="20"/>
        </w:rPr>
      </w:pPr>
    </w:p>
    <w:p w14:paraId="2A06E3D9" w14:textId="77777777" w:rsidR="00D1587D" w:rsidRDefault="00410D07">
      <w:pPr>
        <w:ind w:right="-19"/>
        <w:jc w:val="center"/>
        <w:rPr>
          <w:sz w:val="20"/>
          <w:szCs w:val="20"/>
        </w:rPr>
      </w:pPr>
      <w:r>
        <w:rPr>
          <w:rFonts w:ascii="Arial" w:eastAsia="Arial" w:hAnsi="Arial" w:cs="Arial"/>
          <w:sz w:val="14"/>
          <w:szCs w:val="14"/>
        </w:rPr>
        <w:t>8</w:t>
      </w:r>
    </w:p>
    <w:p w14:paraId="655FBC1E" w14:textId="77777777" w:rsidR="00D1587D" w:rsidRDefault="00410D07">
      <w:pPr>
        <w:spacing w:line="20" w:lineRule="exact"/>
        <w:rPr>
          <w:sz w:val="20"/>
          <w:szCs w:val="20"/>
        </w:rPr>
      </w:pPr>
      <w:r>
        <w:rPr>
          <w:noProof/>
          <w:sz w:val="20"/>
          <w:szCs w:val="20"/>
        </w:rPr>
        <w:drawing>
          <wp:anchor distT="0" distB="0" distL="114300" distR="114300" simplePos="0" relativeHeight="251220992" behindDoc="1" locked="0" layoutInCell="0" allowOverlap="1" wp14:anchorId="128D2C82" wp14:editId="4CF13A10">
            <wp:simplePos x="0" y="0"/>
            <wp:positionH relativeFrom="column">
              <wp:posOffset>5080</wp:posOffset>
            </wp:positionH>
            <wp:positionV relativeFrom="paragraph">
              <wp:posOffset>38100</wp:posOffset>
            </wp:positionV>
            <wp:extent cx="7132320" cy="1714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4C0C542" w14:textId="77777777" w:rsidR="00D1587D" w:rsidRDefault="00D1587D">
      <w:pPr>
        <w:sectPr w:rsidR="00D1587D">
          <w:pgSz w:w="11900" w:h="16838"/>
          <w:pgMar w:top="361" w:right="339" w:bottom="1440" w:left="320" w:header="0" w:footer="0" w:gutter="0"/>
          <w:cols w:space="720" w:equalWidth="0">
            <w:col w:w="11240"/>
          </w:cols>
        </w:sectPr>
      </w:pPr>
    </w:p>
    <w:p w14:paraId="125C4035" w14:textId="77777777" w:rsidR="00D1587D" w:rsidRDefault="00410D07">
      <w:pPr>
        <w:numPr>
          <w:ilvl w:val="0"/>
          <w:numId w:val="49"/>
        </w:numPr>
        <w:tabs>
          <w:tab w:val="left" w:pos="954"/>
        </w:tabs>
        <w:spacing w:line="270" w:lineRule="auto"/>
        <w:ind w:firstLine="656"/>
        <w:rPr>
          <w:rFonts w:ascii="Arial" w:eastAsia="Arial" w:hAnsi="Arial" w:cs="Arial"/>
          <w:sz w:val="19"/>
          <w:szCs w:val="19"/>
        </w:rPr>
      </w:pPr>
      <w:bookmarkStart w:id="73" w:name="page74"/>
      <w:bookmarkEnd w:id="73"/>
      <w:r>
        <w:rPr>
          <w:rFonts w:ascii="Arial" w:eastAsia="Arial" w:hAnsi="Arial" w:cs="Arial"/>
          <w:sz w:val="19"/>
          <w:szCs w:val="19"/>
        </w:rPr>
        <w:t>To be eligible to be a nominee for election as a director pursuant to this Section 2.04, the proposed nominee mu</w:t>
      </w:r>
      <w:r>
        <w:rPr>
          <w:rFonts w:ascii="Arial" w:eastAsia="Arial" w:hAnsi="Arial" w:cs="Arial"/>
          <w:sz w:val="19"/>
          <w:szCs w:val="19"/>
        </w:rPr>
        <w:t>st provide to the secretary in accordance with the applicable time periods prescribed for delivery of notice under Section 1.02 or this Section 2.04, as applicable, a written representation and agreement that such nominee (i) is not and will not become a p</w:t>
      </w:r>
      <w:r>
        <w:rPr>
          <w:rFonts w:ascii="Arial" w:eastAsia="Arial" w:hAnsi="Arial" w:cs="Arial"/>
          <w:sz w:val="19"/>
          <w:szCs w:val="19"/>
        </w:rPr>
        <w:t>arty to any agreement, arrangement or understanding with, and has not given any commitment or assurance to, any person or entity as to how such nominee, if elected as a director of the corporation, will act or vote on any issue or question that has not bee</w:t>
      </w:r>
      <w:r>
        <w:rPr>
          <w:rFonts w:ascii="Arial" w:eastAsia="Arial" w:hAnsi="Arial" w:cs="Arial"/>
          <w:sz w:val="19"/>
          <w:szCs w:val="19"/>
        </w:rPr>
        <w:t xml:space="preserve">n disclosed to the corporation prior to or concurrently with the notice submitted pursuant to this Section 2.04, (ii) is not and will not become a party to any Third-Party Compensation Arrangement that has not been disclosed to the corporation prior to or </w:t>
      </w:r>
      <w:r>
        <w:rPr>
          <w:rFonts w:ascii="Arial" w:eastAsia="Arial" w:hAnsi="Arial" w:cs="Arial"/>
          <w:sz w:val="19"/>
          <w:szCs w:val="19"/>
        </w:rPr>
        <w:t>concurrently with the notice submitted pursuant to this Section 2.04, (iii) would be in compliance, if elected as a director of the corporation, and will comply with the corporation’s code of conduct and ethics, corporate governance guidelines, stock owner</w:t>
      </w:r>
      <w:r>
        <w:rPr>
          <w:rFonts w:ascii="Arial" w:eastAsia="Arial" w:hAnsi="Arial" w:cs="Arial"/>
          <w:sz w:val="19"/>
          <w:szCs w:val="19"/>
        </w:rPr>
        <w:t>ship and trading policies and guidelines, related person transaction policy and any other policies or guidelines of the corporation applicable to directors and (iv) will make such other acknowledgments, enter into such agreements and provide such informati</w:t>
      </w:r>
      <w:r>
        <w:rPr>
          <w:rFonts w:ascii="Arial" w:eastAsia="Arial" w:hAnsi="Arial" w:cs="Arial"/>
          <w:sz w:val="19"/>
          <w:szCs w:val="19"/>
        </w:rPr>
        <w:t>on as the Board of Directors requires of all directors, including promptly submitting all completed and signed questionnaires required of the corporation’s directors. The corporation may require any proposed nominee pursuant to this Section 2.04 to furnish</w:t>
      </w:r>
      <w:r>
        <w:rPr>
          <w:rFonts w:ascii="Arial" w:eastAsia="Arial" w:hAnsi="Arial" w:cs="Arial"/>
          <w:sz w:val="19"/>
          <w:szCs w:val="19"/>
        </w:rPr>
        <w:t xml:space="preserve"> any other information (A) that may reasonably be requested by the corporation to determine whether such nominee would belong to any of the categories described in clauses (i) through (viii) of Section 2.05.10, (B) that could be material to a reasonable st</w:t>
      </w:r>
      <w:r>
        <w:rPr>
          <w:rFonts w:ascii="Arial" w:eastAsia="Arial" w:hAnsi="Arial" w:cs="Arial"/>
          <w:sz w:val="19"/>
          <w:szCs w:val="19"/>
        </w:rPr>
        <w:t>ockholder’s understanding of the independence, or lack thereof, of such nominee or (C) that may reasonably be requested by the corporation to determine the eligibility of such nominee to serve as a director of the corporation.</w:t>
      </w:r>
    </w:p>
    <w:p w14:paraId="7817F2D0" w14:textId="77777777" w:rsidR="00D1587D" w:rsidRDefault="00D1587D">
      <w:pPr>
        <w:spacing w:line="195" w:lineRule="exact"/>
        <w:rPr>
          <w:rFonts w:ascii="Arial" w:eastAsia="Arial" w:hAnsi="Arial" w:cs="Arial"/>
          <w:sz w:val="19"/>
          <w:szCs w:val="19"/>
        </w:rPr>
      </w:pPr>
    </w:p>
    <w:p w14:paraId="49CB134B" w14:textId="77777777" w:rsidR="00D1587D" w:rsidRDefault="00410D07">
      <w:pPr>
        <w:numPr>
          <w:ilvl w:val="0"/>
          <w:numId w:val="49"/>
        </w:numPr>
        <w:tabs>
          <w:tab w:val="left" w:pos="996"/>
        </w:tabs>
        <w:ind w:right="360" w:firstLine="656"/>
        <w:rPr>
          <w:rFonts w:ascii="Arial" w:eastAsia="Arial" w:hAnsi="Arial" w:cs="Arial"/>
        </w:rPr>
      </w:pPr>
      <w:r>
        <w:rPr>
          <w:rFonts w:ascii="Arial" w:eastAsia="Arial" w:hAnsi="Arial" w:cs="Arial"/>
        </w:rPr>
        <w:t xml:space="preserve">If the </w:t>
      </w:r>
      <w:r>
        <w:rPr>
          <w:rFonts w:ascii="Arial" w:eastAsia="Arial" w:hAnsi="Arial" w:cs="Arial"/>
        </w:rPr>
        <w:t>stockholder does not appear or does not send a duly authorized agent to present the nomination that was submitted pursuant to this Section 2.04, such nomination shall be disregarded at such meeting for which such nomination was submitted.</w:t>
      </w:r>
    </w:p>
    <w:p w14:paraId="0EAFF64C" w14:textId="77777777" w:rsidR="00D1587D" w:rsidRDefault="00D1587D">
      <w:pPr>
        <w:spacing w:line="213" w:lineRule="exact"/>
        <w:rPr>
          <w:rFonts w:ascii="Arial" w:eastAsia="Arial" w:hAnsi="Arial" w:cs="Arial"/>
        </w:rPr>
      </w:pPr>
    </w:p>
    <w:p w14:paraId="0F88711E" w14:textId="77777777" w:rsidR="00D1587D" w:rsidRDefault="00410D07">
      <w:pPr>
        <w:numPr>
          <w:ilvl w:val="0"/>
          <w:numId w:val="49"/>
        </w:numPr>
        <w:tabs>
          <w:tab w:val="left" w:pos="954"/>
        </w:tabs>
        <w:spacing w:line="235" w:lineRule="auto"/>
        <w:ind w:right="80" w:firstLine="656"/>
        <w:rPr>
          <w:rFonts w:ascii="Arial" w:eastAsia="Arial" w:hAnsi="Arial" w:cs="Arial"/>
        </w:rPr>
      </w:pPr>
      <w:r>
        <w:rPr>
          <w:rFonts w:ascii="Arial" w:eastAsia="Arial" w:hAnsi="Arial" w:cs="Arial"/>
        </w:rPr>
        <w:t xml:space="preserve">Notwithstanding </w:t>
      </w:r>
      <w:r>
        <w:rPr>
          <w:rFonts w:ascii="Arial" w:eastAsia="Arial" w:hAnsi="Arial" w:cs="Arial"/>
        </w:rPr>
        <w:t>anything in these bylaws to the contrary, no nomination for the election of directors shall be made except in accordance with the procedures set forth in this Section 2.04 or Section 2.05, as applicable. The provisions of this Section 2.04 and Section 2.05</w:t>
      </w:r>
      <w:r>
        <w:rPr>
          <w:rFonts w:ascii="Arial" w:eastAsia="Arial" w:hAnsi="Arial" w:cs="Arial"/>
        </w:rPr>
        <w:t xml:space="preserve"> are in addition to the applicable requirements of the Exchange Act. Accordingly, notwithstanding the foregoing provisions of this Section 2.04 or the following provisions of Section 2.05, a stockholder shall also comply with all applicable requirements of</w:t>
      </w:r>
      <w:r>
        <w:rPr>
          <w:rFonts w:ascii="Arial" w:eastAsia="Arial" w:hAnsi="Arial" w:cs="Arial"/>
        </w:rPr>
        <w:t xml:space="preserve"> the Exchange Act with respect to the matters set forth in this Section 2.04 or Section 2.05, as applicable.</w:t>
      </w:r>
    </w:p>
    <w:p w14:paraId="00684586" w14:textId="77777777" w:rsidR="00D1587D" w:rsidRDefault="00D1587D">
      <w:pPr>
        <w:spacing w:line="215" w:lineRule="exact"/>
        <w:rPr>
          <w:sz w:val="20"/>
          <w:szCs w:val="20"/>
        </w:rPr>
      </w:pPr>
    </w:p>
    <w:p w14:paraId="3B3FCCF1" w14:textId="77777777" w:rsidR="00D1587D" w:rsidRDefault="00410D07">
      <w:pPr>
        <w:spacing w:line="250" w:lineRule="auto"/>
        <w:ind w:right="80" w:firstLine="648"/>
        <w:rPr>
          <w:sz w:val="20"/>
          <w:szCs w:val="20"/>
        </w:rPr>
      </w:pPr>
      <w:r>
        <w:rPr>
          <w:rFonts w:ascii="Arial" w:eastAsia="Arial" w:hAnsi="Arial" w:cs="Arial"/>
        </w:rPr>
        <w:t>2.04.02. Notice of nominations that are proposed by the Board of Directors or its nominating committee shall be given by the chair of the meeting.</w:t>
      </w:r>
    </w:p>
    <w:p w14:paraId="19A61A4A" w14:textId="77777777" w:rsidR="00D1587D" w:rsidRDefault="00D1587D">
      <w:pPr>
        <w:spacing w:line="202" w:lineRule="exact"/>
        <w:rPr>
          <w:sz w:val="20"/>
          <w:szCs w:val="20"/>
        </w:rPr>
      </w:pPr>
    </w:p>
    <w:p w14:paraId="144B377E" w14:textId="77777777" w:rsidR="00D1587D" w:rsidRDefault="00410D07">
      <w:pPr>
        <w:spacing w:line="297" w:lineRule="auto"/>
        <w:ind w:right="80" w:firstLine="648"/>
        <w:rPr>
          <w:sz w:val="20"/>
          <w:szCs w:val="20"/>
        </w:rPr>
      </w:pPr>
      <w:r>
        <w:rPr>
          <w:rFonts w:ascii="Arial" w:eastAsia="Arial" w:hAnsi="Arial" w:cs="Arial"/>
          <w:sz w:val="19"/>
          <w:szCs w:val="19"/>
        </w:rPr>
        <w:t>2.04.03. The chair of the meeting shall, if the facts warrant, determine and declare to the meeting that a nomination was not properly brought before the meeting and in accordance with the provisions of these bylaws, and if he should so determine, he sha</w:t>
      </w:r>
      <w:r>
        <w:rPr>
          <w:rFonts w:ascii="Arial" w:eastAsia="Arial" w:hAnsi="Arial" w:cs="Arial"/>
          <w:sz w:val="19"/>
          <w:szCs w:val="19"/>
        </w:rPr>
        <w:t>ll so declare to the meeting and any such nomination not properly brought before the meeting shall not be given effect.</w:t>
      </w:r>
    </w:p>
    <w:p w14:paraId="249C8F80" w14:textId="77777777" w:rsidR="00D1587D" w:rsidRDefault="00D1587D">
      <w:pPr>
        <w:spacing w:line="161" w:lineRule="exact"/>
        <w:rPr>
          <w:sz w:val="20"/>
          <w:szCs w:val="20"/>
        </w:rPr>
      </w:pPr>
    </w:p>
    <w:p w14:paraId="2539FA38" w14:textId="77777777" w:rsidR="00D1587D" w:rsidRDefault="00410D07">
      <w:pPr>
        <w:ind w:left="660"/>
        <w:rPr>
          <w:sz w:val="20"/>
          <w:szCs w:val="20"/>
        </w:rPr>
      </w:pPr>
      <w:r>
        <w:rPr>
          <w:rFonts w:ascii="Arial" w:eastAsia="Arial" w:hAnsi="Arial" w:cs="Arial"/>
        </w:rPr>
        <w:t>Section 2.05. Proxy Access.</w:t>
      </w:r>
    </w:p>
    <w:p w14:paraId="3C40EC38" w14:textId="77777777" w:rsidR="00D1587D" w:rsidRDefault="00D1587D">
      <w:pPr>
        <w:spacing w:line="233" w:lineRule="exact"/>
        <w:rPr>
          <w:sz w:val="20"/>
          <w:szCs w:val="20"/>
        </w:rPr>
      </w:pPr>
    </w:p>
    <w:p w14:paraId="21B2EAD3" w14:textId="77777777" w:rsidR="00D1587D" w:rsidRDefault="00410D07">
      <w:pPr>
        <w:spacing w:line="268" w:lineRule="auto"/>
        <w:ind w:firstLine="648"/>
        <w:rPr>
          <w:sz w:val="20"/>
          <w:szCs w:val="20"/>
        </w:rPr>
      </w:pPr>
      <w:r>
        <w:rPr>
          <w:rFonts w:ascii="Arial" w:eastAsia="Arial" w:hAnsi="Arial" w:cs="Arial"/>
          <w:sz w:val="19"/>
          <w:szCs w:val="19"/>
        </w:rPr>
        <w:t xml:space="preserve">2.05.01. Whenever the Board of Directors solicits proxies with respect to the election of directors at an </w:t>
      </w:r>
      <w:r>
        <w:rPr>
          <w:rFonts w:ascii="Arial" w:eastAsia="Arial" w:hAnsi="Arial" w:cs="Arial"/>
          <w:sz w:val="19"/>
          <w:szCs w:val="19"/>
        </w:rPr>
        <w:t>annual meeting of stockholders, subject to the provisions of this Section 2.05, the corporation shall include in its proxy statement for such annual meeting, in addition to any persons nominated for election by or at the direction of the Board of Directors</w:t>
      </w:r>
      <w:r>
        <w:rPr>
          <w:rFonts w:ascii="Arial" w:eastAsia="Arial" w:hAnsi="Arial" w:cs="Arial"/>
          <w:sz w:val="19"/>
          <w:szCs w:val="19"/>
        </w:rPr>
        <w:t xml:space="preserve"> (or any duly authorized committee thereof), the name, together with the Required Information (as defined below), of any person nominated for election (the “Stockholder Nominee”) to the Board of Directors by an Eligible Stockholder (as defined in Section 2</w:t>
      </w:r>
      <w:r>
        <w:rPr>
          <w:rFonts w:ascii="Arial" w:eastAsia="Arial" w:hAnsi="Arial" w:cs="Arial"/>
          <w:sz w:val="19"/>
          <w:szCs w:val="19"/>
        </w:rPr>
        <w:t>.05.4) that expressly elects at the time of providing the notice required by this Section 2.05 to have such nominee included in the corporation’s proxy materials pursuant to this Section 2.05 and that has satisfied all applicable conditions and complied wi</w:t>
      </w:r>
      <w:r>
        <w:rPr>
          <w:rFonts w:ascii="Arial" w:eastAsia="Arial" w:hAnsi="Arial" w:cs="Arial"/>
          <w:sz w:val="19"/>
          <w:szCs w:val="19"/>
        </w:rPr>
        <w:t xml:space="preserve">th all applicable procedures set forth in this Section 2.05. For purposes of this Section 2.05, the “Required Information” that the corporation will include in its proxy statement is (i) the information provided to the secretary concerning the Stockholder </w:t>
      </w:r>
      <w:r>
        <w:rPr>
          <w:rFonts w:ascii="Arial" w:eastAsia="Arial" w:hAnsi="Arial" w:cs="Arial"/>
          <w:sz w:val="19"/>
          <w:szCs w:val="19"/>
        </w:rPr>
        <w:t>Nominee and the Eligible Stockholder that is required to be disclosed in the corporation’s proxy statement pursuant to Section 14 of the Exchange Act and the rules and regulations promulgated thereunder and (ii) if the Eligible Stockholder so elects, a Sup</w:t>
      </w:r>
      <w:r>
        <w:rPr>
          <w:rFonts w:ascii="Arial" w:eastAsia="Arial" w:hAnsi="Arial" w:cs="Arial"/>
          <w:sz w:val="19"/>
          <w:szCs w:val="19"/>
        </w:rPr>
        <w:t>porting Statement (as defined in Section 2.05.8). For the avoidance of doubt, nothing in this Section 2.05 shall limit the corporation’s ability to solicit against any Stockholder Nominee or include in its proxy materials the corporation’s own statements o</w:t>
      </w:r>
      <w:r>
        <w:rPr>
          <w:rFonts w:ascii="Arial" w:eastAsia="Arial" w:hAnsi="Arial" w:cs="Arial"/>
          <w:sz w:val="19"/>
          <w:szCs w:val="19"/>
        </w:rPr>
        <w:t>r other information relating to any Eligible Stockholder or Stockholder Nominee, including any information provided to the corporation pursuant to this Section</w:t>
      </w:r>
    </w:p>
    <w:p w14:paraId="67E76941" w14:textId="77777777" w:rsidR="00D1587D" w:rsidRDefault="00D1587D">
      <w:pPr>
        <w:spacing w:line="4" w:lineRule="exact"/>
        <w:rPr>
          <w:sz w:val="20"/>
          <w:szCs w:val="20"/>
        </w:rPr>
      </w:pPr>
    </w:p>
    <w:p w14:paraId="33BDE331" w14:textId="77777777" w:rsidR="00D1587D" w:rsidRDefault="00410D07">
      <w:pPr>
        <w:spacing w:line="234" w:lineRule="auto"/>
        <w:ind w:right="340"/>
        <w:rPr>
          <w:sz w:val="20"/>
          <w:szCs w:val="20"/>
        </w:rPr>
      </w:pPr>
      <w:r>
        <w:rPr>
          <w:rFonts w:ascii="Arial" w:eastAsia="Arial" w:hAnsi="Arial" w:cs="Arial"/>
        </w:rPr>
        <w:t>2.05. Subject to the provisions of this Section 2.05, the name of any Stockholder Nominee inclu</w:t>
      </w:r>
      <w:r>
        <w:rPr>
          <w:rFonts w:ascii="Arial" w:eastAsia="Arial" w:hAnsi="Arial" w:cs="Arial"/>
        </w:rPr>
        <w:t>ded in the corporation’s proxy statement for an annual meeting of stockholders shall also be set forth on the form of proxy distributed by the corporation in connection with such annual meeting.</w:t>
      </w:r>
    </w:p>
    <w:p w14:paraId="16C19CF4" w14:textId="77777777" w:rsidR="00D1587D" w:rsidRDefault="00D1587D">
      <w:pPr>
        <w:sectPr w:rsidR="00D1587D">
          <w:pgSz w:w="11900" w:h="16838"/>
          <w:pgMar w:top="361" w:right="339" w:bottom="1440" w:left="320" w:header="0" w:footer="0" w:gutter="0"/>
          <w:cols w:space="720" w:equalWidth="0">
            <w:col w:w="11240"/>
          </w:cols>
        </w:sectPr>
      </w:pPr>
    </w:p>
    <w:p w14:paraId="1CAF016D" w14:textId="77777777" w:rsidR="00D1587D" w:rsidRDefault="00D1587D">
      <w:pPr>
        <w:spacing w:line="149" w:lineRule="exact"/>
        <w:rPr>
          <w:sz w:val="20"/>
          <w:szCs w:val="20"/>
        </w:rPr>
      </w:pPr>
    </w:p>
    <w:p w14:paraId="00D682B3" w14:textId="77777777" w:rsidR="00D1587D" w:rsidRDefault="00410D07">
      <w:pPr>
        <w:jc w:val="center"/>
        <w:rPr>
          <w:sz w:val="20"/>
          <w:szCs w:val="20"/>
        </w:rPr>
      </w:pPr>
      <w:r>
        <w:rPr>
          <w:rFonts w:ascii="Arial" w:eastAsia="Arial" w:hAnsi="Arial" w:cs="Arial"/>
          <w:sz w:val="14"/>
          <w:szCs w:val="14"/>
        </w:rPr>
        <w:t>9</w:t>
      </w:r>
    </w:p>
    <w:p w14:paraId="4060C72C" w14:textId="77777777" w:rsidR="00D1587D" w:rsidRDefault="00410D07">
      <w:pPr>
        <w:spacing w:line="20" w:lineRule="exact"/>
        <w:rPr>
          <w:sz w:val="20"/>
          <w:szCs w:val="20"/>
        </w:rPr>
      </w:pPr>
      <w:r>
        <w:rPr>
          <w:noProof/>
          <w:sz w:val="20"/>
          <w:szCs w:val="20"/>
        </w:rPr>
        <w:drawing>
          <wp:anchor distT="0" distB="0" distL="114300" distR="114300" simplePos="0" relativeHeight="251222016" behindDoc="1" locked="0" layoutInCell="0" allowOverlap="1" wp14:anchorId="5D4D528D" wp14:editId="7A64C3C9">
            <wp:simplePos x="0" y="0"/>
            <wp:positionH relativeFrom="column">
              <wp:posOffset>5080</wp:posOffset>
            </wp:positionH>
            <wp:positionV relativeFrom="paragraph">
              <wp:posOffset>38100</wp:posOffset>
            </wp:positionV>
            <wp:extent cx="7132320" cy="1714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BC5BB06" w14:textId="77777777" w:rsidR="00D1587D" w:rsidRDefault="00D1587D">
      <w:pPr>
        <w:sectPr w:rsidR="00D1587D">
          <w:type w:val="continuous"/>
          <w:pgSz w:w="11900" w:h="16838"/>
          <w:pgMar w:top="361" w:right="339" w:bottom="1440" w:left="320" w:header="0" w:footer="0" w:gutter="0"/>
          <w:cols w:space="720" w:equalWidth="0">
            <w:col w:w="11240"/>
          </w:cols>
        </w:sectPr>
      </w:pPr>
    </w:p>
    <w:p w14:paraId="4BA4CAE4" w14:textId="77777777" w:rsidR="00D1587D" w:rsidRDefault="00410D07">
      <w:pPr>
        <w:spacing w:line="246" w:lineRule="auto"/>
        <w:ind w:right="60" w:firstLine="648"/>
        <w:rPr>
          <w:sz w:val="20"/>
          <w:szCs w:val="20"/>
        </w:rPr>
      </w:pPr>
      <w:bookmarkStart w:id="74" w:name="page75"/>
      <w:bookmarkEnd w:id="74"/>
      <w:r>
        <w:rPr>
          <w:rFonts w:ascii="Arial" w:eastAsia="Arial" w:hAnsi="Arial" w:cs="Arial"/>
          <w:sz w:val="21"/>
          <w:szCs w:val="21"/>
        </w:rPr>
        <w:t>2.05.02. In addition to any other applicable requirements, for a nomination to be made by an Eligible Stockholder pursuant to this Section 2.05, the Eligible Stockholder must have given timely notice of such nomination (the “Notice of Proxy Access Nominati</w:t>
      </w:r>
      <w:r>
        <w:rPr>
          <w:rFonts w:ascii="Arial" w:eastAsia="Arial" w:hAnsi="Arial" w:cs="Arial"/>
          <w:sz w:val="21"/>
          <w:szCs w:val="21"/>
        </w:rPr>
        <w:t xml:space="preserve">on”) in proper written form to the secretary. To be timely, the Notice of Proxy Access Nomination shall be delivered to or mailed and received at the principal executive offices of the corporation not less than 120 days nor more than 150 days prior to the </w:t>
      </w:r>
      <w:r>
        <w:rPr>
          <w:rFonts w:ascii="Arial" w:eastAsia="Arial" w:hAnsi="Arial" w:cs="Arial"/>
          <w:sz w:val="21"/>
          <w:szCs w:val="21"/>
        </w:rPr>
        <w:t>first anniversary of the date that the corporation first distributed its proxy statement to stockholders for the immediately preceding annual meeting of stockholders. In no event shall any adjournment or postponement of an annual meeting or the public anno</w:t>
      </w:r>
      <w:r>
        <w:rPr>
          <w:rFonts w:ascii="Arial" w:eastAsia="Arial" w:hAnsi="Arial" w:cs="Arial"/>
          <w:sz w:val="21"/>
          <w:szCs w:val="21"/>
        </w:rPr>
        <w:t>uncement thereof commence a new time period (or extend any time period) for the giving of a Notice of Proxy Access Nomination pursuant to this Section 2.05.</w:t>
      </w:r>
    </w:p>
    <w:p w14:paraId="0C087462" w14:textId="77777777" w:rsidR="00D1587D" w:rsidRDefault="00D1587D">
      <w:pPr>
        <w:spacing w:line="207" w:lineRule="exact"/>
        <w:rPr>
          <w:sz w:val="20"/>
          <w:szCs w:val="20"/>
        </w:rPr>
      </w:pPr>
    </w:p>
    <w:p w14:paraId="3B658820" w14:textId="77777777" w:rsidR="00D1587D" w:rsidRDefault="00410D07">
      <w:pPr>
        <w:spacing w:line="268" w:lineRule="auto"/>
        <w:ind w:firstLine="648"/>
        <w:rPr>
          <w:sz w:val="20"/>
          <w:szCs w:val="20"/>
        </w:rPr>
      </w:pPr>
      <w:r>
        <w:rPr>
          <w:rFonts w:ascii="Arial" w:eastAsia="Arial" w:hAnsi="Arial" w:cs="Arial"/>
          <w:sz w:val="19"/>
          <w:szCs w:val="19"/>
        </w:rPr>
        <w:t>2.05.03. The maximum number of Stockholder Nominees nominated by all Eligible Stockholders that wi</w:t>
      </w:r>
      <w:r>
        <w:rPr>
          <w:rFonts w:ascii="Arial" w:eastAsia="Arial" w:hAnsi="Arial" w:cs="Arial"/>
          <w:sz w:val="19"/>
          <w:szCs w:val="19"/>
        </w:rPr>
        <w:t>ll be included in the corporation’s proxy materials with respect to an annual meeting of stockholders shall not exceed 20% of the number of directors (rounded down to the nearest whole number but not less than two) in office as of the last day on which a N</w:t>
      </w:r>
      <w:r>
        <w:rPr>
          <w:rFonts w:ascii="Arial" w:eastAsia="Arial" w:hAnsi="Arial" w:cs="Arial"/>
          <w:sz w:val="19"/>
          <w:szCs w:val="19"/>
        </w:rPr>
        <w:t>otice of Proxy Access Nomination may be delivered pursuant to and in accordance with this Section 2.05 (such date, the “Final Proxy Access Nomination Date” and such maximum number, the “Permitted Number”). In the event that one or more vacancies for any re</w:t>
      </w:r>
      <w:r>
        <w:rPr>
          <w:rFonts w:ascii="Arial" w:eastAsia="Arial" w:hAnsi="Arial" w:cs="Arial"/>
          <w:sz w:val="19"/>
          <w:szCs w:val="19"/>
        </w:rPr>
        <w:t>ason occurs on the Board of Directors after the Final Proxy Access Nomination Date but before the date of the annual meeting and the Board of Directors resolves to reduce the size of the Board of Directors in connection therewith, the Permitted Number shal</w:t>
      </w:r>
      <w:r>
        <w:rPr>
          <w:rFonts w:ascii="Arial" w:eastAsia="Arial" w:hAnsi="Arial" w:cs="Arial"/>
          <w:sz w:val="19"/>
          <w:szCs w:val="19"/>
        </w:rPr>
        <w:t>l be calculated based on the number of directors in office as so reduced. For purposes of determining when the Permitted Number has been reached, each of the following persons shall be counted as one of the Stockholder Nominees: (i) any individual nominate</w:t>
      </w:r>
      <w:r>
        <w:rPr>
          <w:rFonts w:ascii="Arial" w:eastAsia="Arial" w:hAnsi="Arial" w:cs="Arial"/>
          <w:sz w:val="19"/>
          <w:szCs w:val="19"/>
        </w:rPr>
        <w:t xml:space="preserve">d by an Eligible Stockholder for inclusion in the corporation’s proxy materials pursuant to this Section 2.05 whose nomination is subsequently withdrawn, (ii) (A) any individual nominated by an Eligible Stockholder for inclusion in the corporation’s proxy </w:t>
      </w:r>
      <w:r>
        <w:rPr>
          <w:rFonts w:ascii="Arial" w:eastAsia="Arial" w:hAnsi="Arial" w:cs="Arial"/>
          <w:sz w:val="19"/>
          <w:szCs w:val="19"/>
        </w:rPr>
        <w:t>materials pursuant to this Section 2.05 who ceases to satisfy the eligibility requirements to be a Stockholder Nominee or (B) any individual nominated by a stockholder that ceases to satisfy the eligibility requirements to be an Eligible Stockholder, (iii)</w:t>
      </w:r>
      <w:r>
        <w:rPr>
          <w:rFonts w:ascii="Arial" w:eastAsia="Arial" w:hAnsi="Arial" w:cs="Arial"/>
          <w:sz w:val="19"/>
          <w:szCs w:val="19"/>
        </w:rPr>
        <w:t xml:space="preserve"> any individual nominated by an Eligible Stockholder for inclusion in the corporation’s proxy materials pursuant to this Section 2.05 whom the Board of Directors decides to nominate for election to the Board of Directors and (iv) any director in office as </w:t>
      </w:r>
      <w:r>
        <w:rPr>
          <w:rFonts w:ascii="Arial" w:eastAsia="Arial" w:hAnsi="Arial" w:cs="Arial"/>
          <w:sz w:val="19"/>
          <w:szCs w:val="19"/>
        </w:rPr>
        <w:t xml:space="preserve">of the Final Proxy Access Nomination Date who was included in the corporation’s proxy materials as a Stockholder Nominee for either of the two preceding annual meetings of stockholders (including any individual counted as a Stockholder Nominee pursuant to </w:t>
      </w:r>
      <w:r>
        <w:rPr>
          <w:rFonts w:ascii="Arial" w:eastAsia="Arial" w:hAnsi="Arial" w:cs="Arial"/>
          <w:sz w:val="19"/>
          <w:szCs w:val="19"/>
        </w:rPr>
        <w:t xml:space="preserve">the immediately preceding clause (iii)) and whom the Board of Directors decides to nominate for re-election to the Board of Directors. Any Eligible Stockholder submitting more than one Stockholder Nominee for inclusion in the corporation’s proxy materials </w:t>
      </w:r>
      <w:r>
        <w:rPr>
          <w:rFonts w:ascii="Arial" w:eastAsia="Arial" w:hAnsi="Arial" w:cs="Arial"/>
          <w:sz w:val="19"/>
          <w:szCs w:val="19"/>
        </w:rPr>
        <w:t>pursuant to this Section 2.05 shall rank such Stockholder Nominees based on the order in which the Eligible Stockholder desires such Stockholder Nominees to be selected for inclusion in the corporation’s proxy materials in the event that the total number o</w:t>
      </w:r>
      <w:r>
        <w:rPr>
          <w:rFonts w:ascii="Arial" w:eastAsia="Arial" w:hAnsi="Arial" w:cs="Arial"/>
          <w:sz w:val="19"/>
          <w:szCs w:val="19"/>
        </w:rPr>
        <w:t>f Stockholder Nominees submitted by Eligible Stockholders pursuant to this Section 2.05 exceeds the Permitted Number. In the event that the number of Stockholder Nominees submitted by Eligible Stockholders pursuant to this Section 2.05 exceeds the Permitte</w:t>
      </w:r>
      <w:r>
        <w:rPr>
          <w:rFonts w:ascii="Arial" w:eastAsia="Arial" w:hAnsi="Arial" w:cs="Arial"/>
          <w:sz w:val="19"/>
          <w:szCs w:val="19"/>
        </w:rPr>
        <w:t>d Number, the highest ranking Stockholder Nominee who meets the requirements of this Section 2.05 from each Eligible Stockholder will be selected for inclusion in the corporation’s proxy materials until the Permitted Number is reached, going in order of th</w:t>
      </w:r>
      <w:r>
        <w:rPr>
          <w:rFonts w:ascii="Arial" w:eastAsia="Arial" w:hAnsi="Arial" w:cs="Arial"/>
          <w:sz w:val="19"/>
          <w:szCs w:val="19"/>
        </w:rPr>
        <w:t>e number (largest to smallest) of shares of common stock of the corporation each Eligible Stockholder disclosed as Owned (as defined in Section 2.05.05) in its Notice of Proxy Access Nomination. If the Permitted Number is not reached after the highest rank</w:t>
      </w:r>
      <w:r>
        <w:rPr>
          <w:rFonts w:ascii="Arial" w:eastAsia="Arial" w:hAnsi="Arial" w:cs="Arial"/>
          <w:sz w:val="19"/>
          <w:szCs w:val="19"/>
        </w:rPr>
        <w:t xml:space="preserve">ing Stockholder Nominee who meets the requirements of this Section 2.05 from each Eligible Stockholder has been selected, then the next highest ranking Stockholder Nominee who meets the requirements of this Section 2.05 from each Eligible Stockholder will </w:t>
      </w:r>
      <w:r>
        <w:rPr>
          <w:rFonts w:ascii="Arial" w:eastAsia="Arial" w:hAnsi="Arial" w:cs="Arial"/>
          <w:sz w:val="19"/>
          <w:szCs w:val="19"/>
        </w:rPr>
        <w:t>be selected for inclusion in the corporation’s proxy materials, and this process will continue as many times as necessary, following the same order each time, until the Permitted Number is reached. Notwithstanding anything to the contrary contained in this</w:t>
      </w:r>
      <w:r>
        <w:rPr>
          <w:rFonts w:ascii="Arial" w:eastAsia="Arial" w:hAnsi="Arial" w:cs="Arial"/>
          <w:sz w:val="19"/>
          <w:szCs w:val="19"/>
        </w:rPr>
        <w:t xml:space="preserve"> Section 2.05, the corporation shall not be required to include any Stockholder Nominees in its proxy materials pursuant to this Section 2.05 for any meeting of stockholders for which the secretary receives notice (whether or not subsequently withdrawn or </w:t>
      </w:r>
      <w:r>
        <w:rPr>
          <w:rFonts w:ascii="Arial" w:eastAsia="Arial" w:hAnsi="Arial" w:cs="Arial"/>
          <w:sz w:val="19"/>
          <w:szCs w:val="19"/>
        </w:rPr>
        <w:t>made the subject of a settlement with the corporation) that a stockholder intends to nominate one or more persons for election to the Board of Directors pursuant to the advance notice requirements for stockholder nominees set forth in Section 2.04.</w:t>
      </w:r>
    </w:p>
    <w:p w14:paraId="41241A21" w14:textId="77777777" w:rsidR="00D1587D" w:rsidRDefault="00D1587D">
      <w:pPr>
        <w:spacing w:line="387" w:lineRule="exact"/>
        <w:rPr>
          <w:sz w:val="20"/>
          <w:szCs w:val="20"/>
        </w:rPr>
      </w:pPr>
    </w:p>
    <w:p w14:paraId="210B2A0C" w14:textId="77777777" w:rsidR="00D1587D" w:rsidRDefault="00410D07">
      <w:pPr>
        <w:ind w:right="-19"/>
        <w:jc w:val="center"/>
        <w:rPr>
          <w:sz w:val="20"/>
          <w:szCs w:val="20"/>
        </w:rPr>
      </w:pPr>
      <w:r>
        <w:rPr>
          <w:rFonts w:ascii="Arial" w:eastAsia="Arial" w:hAnsi="Arial" w:cs="Arial"/>
          <w:sz w:val="14"/>
          <w:szCs w:val="14"/>
        </w:rPr>
        <w:t>10</w:t>
      </w:r>
    </w:p>
    <w:p w14:paraId="4458E1D4" w14:textId="77777777" w:rsidR="00D1587D" w:rsidRDefault="00410D07">
      <w:pPr>
        <w:spacing w:line="20" w:lineRule="exact"/>
        <w:rPr>
          <w:sz w:val="20"/>
          <w:szCs w:val="20"/>
        </w:rPr>
      </w:pPr>
      <w:r>
        <w:rPr>
          <w:noProof/>
          <w:sz w:val="20"/>
          <w:szCs w:val="20"/>
        </w:rPr>
        <w:drawing>
          <wp:anchor distT="0" distB="0" distL="114300" distR="114300" simplePos="0" relativeHeight="251223040" behindDoc="1" locked="0" layoutInCell="0" allowOverlap="1" wp14:anchorId="06B7EAB0" wp14:editId="58B30E5E">
            <wp:simplePos x="0" y="0"/>
            <wp:positionH relativeFrom="column">
              <wp:posOffset>5080</wp:posOffset>
            </wp:positionH>
            <wp:positionV relativeFrom="paragraph">
              <wp:posOffset>38100</wp:posOffset>
            </wp:positionV>
            <wp:extent cx="7132320" cy="1714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0DC6932" w14:textId="77777777" w:rsidR="00D1587D" w:rsidRDefault="00D1587D">
      <w:pPr>
        <w:sectPr w:rsidR="00D1587D">
          <w:pgSz w:w="11900" w:h="16838"/>
          <w:pgMar w:top="361" w:right="339" w:bottom="1440" w:left="320" w:header="0" w:footer="0" w:gutter="0"/>
          <w:cols w:space="720" w:equalWidth="0">
            <w:col w:w="11240"/>
          </w:cols>
        </w:sectPr>
      </w:pPr>
    </w:p>
    <w:p w14:paraId="42BC5B36" w14:textId="77777777" w:rsidR="00D1587D" w:rsidRDefault="00410D07">
      <w:pPr>
        <w:spacing w:line="269" w:lineRule="auto"/>
        <w:ind w:firstLine="648"/>
        <w:rPr>
          <w:sz w:val="20"/>
          <w:szCs w:val="20"/>
        </w:rPr>
      </w:pPr>
      <w:bookmarkStart w:id="75" w:name="page76"/>
      <w:bookmarkEnd w:id="75"/>
      <w:r>
        <w:rPr>
          <w:rFonts w:ascii="Arial" w:eastAsia="Arial" w:hAnsi="Arial" w:cs="Arial"/>
          <w:sz w:val="19"/>
          <w:szCs w:val="19"/>
        </w:rPr>
        <w:t xml:space="preserve">2.05.04. An “Eligible Stockholder” is a holder of record or group of no more than 20 holders of record and, to the extent that a holder of record is acting on behalf of one or more beneficial owners, such beneficial owners (counting as </w:t>
      </w:r>
      <w:r>
        <w:rPr>
          <w:rFonts w:ascii="Arial" w:eastAsia="Arial" w:hAnsi="Arial" w:cs="Arial"/>
          <w:sz w:val="19"/>
          <w:szCs w:val="19"/>
        </w:rPr>
        <w:t>one holder of record or beneficial owner, as applicable, for this purpose, any two or more funds that are part of the same Qualifying Fund Group (as defined below)) that (i) has Owned continuously for at least three years preceding and including the date o</w:t>
      </w:r>
      <w:r>
        <w:rPr>
          <w:rFonts w:ascii="Arial" w:eastAsia="Arial" w:hAnsi="Arial" w:cs="Arial"/>
          <w:sz w:val="19"/>
          <w:szCs w:val="19"/>
        </w:rPr>
        <w:t>f submission of the Notice of Proxy Access Nomination (the “Minimum Holding Period”) at least 3% of the number of outstanding shares of common stock of the corporation as of the most recent date for which such number is given in any filing by the corporati</w:t>
      </w:r>
      <w:r>
        <w:rPr>
          <w:rFonts w:ascii="Arial" w:eastAsia="Arial" w:hAnsi="Arial" w:cs="Arial"/>
          <w:sz w:val="19"/>
          <w:szCs w:val="19"/>
        </w:rPr>
        <w:t>on with the U.S. Securities and Exchange Commission (the “SEC”) prior to the submission of the Notice of Proxy Access Nomination (the “Required Shares”) (as adjusted for any stock splits, reverse stock splits, stock dividends or similar events), (ii) conti</w:t>
      </w:r>
      <w:r>
        <w:rPr>
          <w:rFonts w:ascii="Arial" w:eastAsia="Arial" w:hAnsi="Arial" w:cs="Arial"/>
          <w:sz w:val="19"/>
          <w:szCs w:val="19"/>
        </w:rPr>
        <w:t>nues to Own the Required Shares through the date of the annual meeting and (iii) satisfies all other requirements of, and complies with all applicable procedures set forth in, this Section 2.05. A “Qualifying Fund Group” is a group of two or more funds tha</w:t>
      </w:r>
      <w:r>
        <w:rPr>
          <w:rFonts w:ascii="Arial" w:eastAsia="Arial" w:hAnsi="Arial" w:cs="Arial"/>
          <w:sz w:val="19"/>
          <w:szCs w:val="19"/>
        </w:rPr>
        <w:t>t are (A) under common management and investment control, (B) under common management and funded primarily by the same employer or (C) a “family of investment companies” or a “group of investment companies” as each such term is defined in the Investment Co</w:t>
      </w:r>
      <w:r>
        <w:rPr>
          <w:rFonts w:ascii="Arial" w:eastAsia="Arial" w:hAnsi="Arial" w:cs="Arial"/>
          <w:sz w:val="19"/>
          <w:szCs w:val="19"/>
        </w:rPr>
        <w:t>mpany Act of 1940 and the rules, regulations and forms adopted thereunder, all as amended. Whenever the Eligible Stockholder consists of a group (including a group of funds that are part of the same Qualifying Fund Group), each provision in this Section 2.</w:t>
      </w:r>
      <w:r>
        <w:rPr>
          <w:rFonts w:ascii="Arial" w:eastAsia="Arial" w:hAnsi="Arial" w:cs="Arial"/>
          <w:sz w:val="19"/>
          <w:szCs w:val="19"/>
        </w:rPr>
        <w:t xml:space="preserve">05 that requires the Eligible Stockholder to provide any written statements, representations, undertakings, agreements or other instruments or to meet any other conditions shall be deemed to require each holder of record or beneficial owner, as applicable </w:t>
      </w:r>
      <w:r>
        <w:rPr>
          <w:rFonts w:ascii="Arial" w:eastAsia="Arial" w:hAnsi="Arial" w:cs="Arial"/>
          <w:sz w:val="19"/>
          <w:szCs w:val="19"/>
        </w:rPr>
        <w:t>(including each individual fund within any Qualifying Fund Group) that is a member of such group to provide such statements, representations, undertakings, agreements or other instruments and to meet such other conditions (except that the members of such g</w:t>
      </w:r>
      <w:r>
        <w:rPr>
          <w:rFonts w:ascii="Arial" w:eastAsia="Arial" w:hAnsi="Arial" w:cs="Arial"/>
          <w:sz w:val="19"/>
          <w:szCs w:val="19"/>
        </w:rPr>
        <w:t>roup may aggregate the shares that each member has Owned continuously for the Minimum Holding Period in order to meet the 3% ownership requirement of the “Required Shares” definition). Whenever the Eligible Stockholder consists of a group, should any holde</w:t>
      </w:r>
      <w:r>
        <w:rPr>
          <w:rFonts w:ascii="Arial" w:eastAsia="Arial" w:hAnsi="Arial" w:cs="Arial"/>
          <w:sz w:val="19"/>
          <w:szCs w:val="19"/>
        </w:rPr>
        <w:t>r of record or beneficial owner, as applicable (including each individual fund within any Qualifying Fund Group) that is a member of such group cease to satisfy the eligibility requirements in this Section 2.05 or withdraw from such group at any time prior</w:t>
      </w:r>
      <w:r>
        <w:rPr>
          <w:rFonts w:ascii="Arial" w:eastAsia="Arial" w:hAnsi="Arial" w:cs="Arial"/>
          <w:sz w:val="19"/>
          <w:szCs w:val="19"/>
        </w:rPr>
        <w:t xml:space="preserve"> to the annual meeting, the Eligible Stockholder shall be deemed to Own only the shares held by the remaining members of such group. No person may be a member of more than one group constituting an Eligible Stockholder with respect to any annual meeting, a</w:t>
      </w:r>
      <w:r>
        <w:rPr>
          <w:rFonts w:ascii="Arial" w:eastAsia="Arial" w:hAnsi="Arial" w:cs="Arial"/>
          <w:sz w:val="19"/>
          <w:szCs w:val="19"/>
        </w:rPr>
        <w:t>nd if any person appears as a member of more than one such group, it shall be deemed to be a member only of the group that Owns the largest number of shares of common stock of the corporation as reflected in the Notice of Proxy Access Nomination.</w:t>
      </w:r>
    </w:p>
    <w:p w14:paraId="4F03FB5C" w14:textId="77777777" w:rsidR="00D1587D" w:rsidRDefault="00D1587D">
      <w:pPr>
        <w:spacing w:line="200" w:lineRule="exact"/>
        <w:rPr>
          <w:sz w:val="20"/>
          <w:szCs w:val="20"/>
        </w:rPr>
      </w:pPr>
    </w:p>
    <w:p w14:paraId="66CEE2F8" w14:textId="77777777" w:rsidR="00D1587D" w:rsidRDefault="00D1587D">
      <w:pPr>
        <w:spacing w:line="237" w:lineRule="exact"/>
        <w:rPr>
          <w:sz w:val="20"/>
          <w:szCs w:val="20"/>
        </w:rPr>
      </w:pPr>
    </w:p>
    <w:p w14:paraId="29E6292C" w14:textId="77777777" w:rsidR="00D1587D" w:rsidRDefault="00410D07">
      <w:pPr>
        <w:spacing w:line="270" w:lineRule="auto"/>
        <w:ind w:firstLine="648"/>
        <w:rPr>
          <w:sz w:val="20"/>
          <w:szCs w:val="20"/>
        </w:rPr>
      </w:pPr>
      <w:r>
        <w:rPr>
          <w:rFonts w:ascii="Arial" w:eastAsia="Arial" w:hAnsi="Arial" w:cs="Arial"/>
          <w:sz w:val="19"/>
          <w:szCs w:val="19"/>
        </w:rPr>
        <w:t>2.05.05</w:t>
      </w:r>
      <w:r>
        <w:rPr>
          <w:rFonts w:ascii="Arial" w:eastAsia="Arial" w:hAnsi="Arial" w:cs="Arial"/>
          <w:sz w:val="19"/>
          <w:szCs w:val="19"/>
        </w:rPr>
        <w:t>. A person shall be deemed to “Own” only those outstanding shares of common stock of the corporation as to which such person possesses both (i) the full voting and investment rights pertaining to the shares and (ii) the full economic interest in (including</w:t>
      </w:r>
      <w:r>
        <w:rPr>
          <w:rFonts w:ascii="Arial" w:eastAsia="Arial" w:hAnsi="Arial" w:cs="Arial"/>
          <w:sz w:val="19"/>
          <w:szCs w:val="19"/>
        </w:rPr>
        <w:t xml:space="preserve"> the opportunity for profit from and risk of loss on) such shares; provided that the number of shares calculated in accordance with clauses (i) and (ii) shall not include any shares (A) sold by such person or any of its affiliates in any transaction that h</w:t>
      </w:r>
      <w:r>
        <w:rPr>
          <w:rFonts w:ascii="Arial" w:eastAsia="Arial" w:hAnsi="Arial" w:cs="Arial"/>
          <w:sz w:val="19"/>
          <w:szCs w:val="19"/>
        </w:rPr>
        <w:t>as not been settled or closed, (B) borrowed by such person or any of its affiliates for any purpose or purchased by such person or any of its affiliates pursuant to an agreement to resell or subject to any other obligation to resell to another person or (C</w:t>
      </w:r>
      <w:r>
        <w:rPr>
          <w:rFonts w:ascii="Arial" w:eastAsia="Arial" w:hAnsi="Arial" w:cs="Arial"/>
          <w:sz w:val="19"/>
          <w:szCs w:val="19"/>
        </w:rPr>
        <w:t>) subject to any option, warrant, forward contract, swap, contract of sale or other derivative or similar instrument or agreement entered into by such person or any of its affiliates, whether any such instrument or agreement is to be settled with shares or</w:t>
      </w:r>
      <w:r>
        <w:rPr>
          <w:rFonts w:ascii="Arial" w:eastAsia="Arial" w:hAnsi="Arial" w:cs="Arial"/>
          <w:sz w:val="19"/>
          <w:szCs w:val="19"/>
        </w:rPr>
        <w:t xml:space="preserve"> with cash based on the notional amount or value of shares of outstanding common stock of the corporation, in any such case which instrument or agreement has, or is intended to have, the purpose or effect of (x) reducing in any manner, to any extent or at </w:t>
      </w:r>
      <w:r>
        <w:rPr>
          <w:rFonts w:ascii="Arial" w:eastAsia="Arial" w:hAnsi="Arial" w:cs="Arial"/>
          <w:sz w:val="19"/>
          <w:szCs w:val="19"/>
        </w:rPr>
        <w:t>any time in the future, such person’s or its affiliates’ full right to vote or direct the voting of any such shares and/or (y) hedging, offsetting or altering to any degree any gain or loss realized or realizable from maintaining the full economic ownershi</w:t>
      </w:r>
      <w:r>
        <w:rPr>
          <w:rFonts w:ascii="Arial" w:eastAsia="Arial" w:hAnsi="Arial" w:cs="Arial"/>
          <w:sz w:val="19"/>
          <w:szCs w:val="19"/>
        </w:rPr>
        <w:t>p of such shares by such person or affiliate. A person shall “Own” shares held in the name of a nominee or other intermediary so long as such person retains the right to instruct how the shares are voted with respect to the election of directors and posses</w:t>
      </w:r>
      <w:r>
        <w:rPr>
          <w:rFonts w:ascii="Arial" w:eastAsia="Arial" w:hAnsi="Arial" w:cs="Arial"/>
          <w:sz w:val="19"/>
          <w:szCs w:val="19"/>
        </w:rPr>
        <w:t>ses the full economic interest in the shares. A person’s ownership of shares shall be deemed to continue during any period in which (1) such person has loaned such shares; provided that such person has the power to recall such loaned shares on five busines</w:t>
      </w:r>
      <w:r>
        <w:rPr>
          <w:rFonts w:ascii="Arial" w:eastAsia="Arial" w:hAnsi="Arial" w:cs="Arial"/>
          <w:sz w:val="19"/>
          <w:szCs w:val="19"/>
        </w:rPr>
        <w:t>s days’ notice or (2) such person has delegated any voting power by means of a proxy, power of attorney or other instrument or arrangement which is revocable at any time by such person. The terms “Owned,” “Owning” and other variations of the word “Own” sha</w:t>
      </w:r>
      <w:r>
        <w:rPr>
          <w:rFonts w:ascii="Arial" w:eastAsia="Arial" w:hAnsi="Arial" w:cs="Arial"/>
          <w:sz w:val="19"/>
          <w:szCs w:val="19"/>
        </w:rPr>
        <w:t>ll have correlative meanings. For purposes of this Section 2.05, the term “affiliate” or “affiliates” shall have the meaning ascribed thereto under the General Rules and Regulations under the Exchange Act.</w:t>
      </w:r>
    </w:p>
    <w:p w14:paraId="7DC65818" w14:textId="77777777" w:rsidR="00D1587D" w:rsidRDefault="00D1587D">
      <w:pPr>
        <w:spacing w:line="122" w:lineRule="exact"/>
        <w:rPr>
          <w:sz w:val="20"/>
          <w:szCs w:val="20"/>
        </w:rPr>
      </w:pPr>
    </w:p>
    <w:p w14:paraId="3D2E8C20" w14:textId="77777777" w:rsidR="00D1587D" w:rsidRDefault="00410D07">
      <w:pPr>
        <w:jc w:val="center"/>
        <w:rPr>
          <w:sz w:val="20"/>
          <w:szCs w:val="20"/>
        </w:rPr>
      </w:pPr>
      <w:r>
        <w:rPr>
          <w:rFonts w:ascii="Arial" w:eastAsia="Arial" w:hAnsi="Arial" w:cs="Arial"/>
          <w:sz w:val="14"/>
          <w:szCs w:val="14"/>
        </w:rPr>
        <w:t>11</w:t>
      </w:r>
    </w:p>
    <w:p w14:paraId="3DC287C2" w14:textId="77777777" w:rsidR="00D1587D" w:rsidRDefault="00410D07">
      <w:pPr>
        <w:spacing w:line="20" w:lineRule="exact"/>
        <w:rPr>
          <w:sz w:val="20"/>
          <w:szCs w:val="20"/>
        </w:rPr>
      </w:pPr>
      <w:r>
        <w:rPr>
          <w:noProof/>
          <w:sz w:val="20"/>
          <w:szCs w:val="20"/>
        </w:rPr>
        <w:drawing>
          <wp:anchor distT="0" distB="0" distL="114300" distR="114300" simplePos="0" relativeHeight="251224064" behindDoc="1" locked="0" layoutInCell="0" allowOverlap="1" wp14:anchorId="683B2156" wp14:editId="3F7ABD61">
            <wp:simplePos x="0" y="0"/>
            <wp:positionH relativeFrom="column">
              <wp:posOffset>5080</wp:posOffset>
            </wp:positionH>
            <wp:positionV relativeFrom="paragraph">
              <wp:posOffset>38100</wp:posOffset>
            </wp:positionV>
            <wp:extent cx="7132320" cy="1714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ADEF909" w14:textId="77777777" w:rsidR="00D1587D" w:rsidRDefault="00D1587D">
      <w:pPr>
        <w:sectPr w:rsidR="00D1587D">
          <w:pgSz w:w="11900" w:h="16838"/>
          <w:pgMar w:top="361" w:right="339" w:bottom="1440" w:left="320" w:header="0" w:footer="0" w:gutter="0"/>
          <w:cols w:space="720" w:equalWidth="0">
            <w:col w:w="11240"/>
          </w:cols>
        </w:sectPr>
      </w:pPr>
    </w:p>
    <w:p w14:paraId="0704CD20" w14:textId="77777777" w:rsidR="00D1587D" w:rsidRDefault="00410D07">
      <w:pPr>
        <w:spacing w:line="250" w:lineRule="auto"/>
        <w:ind w:right="440" w:firstLine="648"/>
        <w:rPr>
          <w:sz w:val="20"/>
          <w:szCs w:val="20"/>
        </w:rPr>
      </w:pPr>
      <w:bookmarkStart w:id="76" w:name="page77"/>
      <w:bookmarkEnd w:id="76"/>
      <w:r>
        <w:rPr>
          <w:rFonts w:ascii="Arial" w:eastAsia="Arial" w:hAnsi="Arial" w:cs="Arial"/>
        </w:rPr>
        <w:t xml:space="preserve">2.05.06. To be in </w:t>
      </w:r>
      <w:r>
        <w:rPr>
          <w:rFonts w:ascii="Arial" w:eastAsia="Arial" w:hAnsi="Arial" w:cs="Arial"/>
        </w:rPr>
        <w:t>proper written form for purposes of this Section 2.05, the Notice of Proxy Access Nomination must include or be accompanied by the following:</w:t>
      </w:r>
    </w:p>
    <w:p w14:paraId="5E3E0C08" w14:textId="77777777" w:rsidR="00D1587D" w:rsidRDefault="00D1587D">
      <w:pPr>
        <w:spacing w:line="202" w:lineRule="exact"/>
        <w:rPr>
          <w:sz w:val="20"/>
          <w:szCs w:val="20"/>
        </w:rPr>
      </w:pPr>
    </w:p>
    <w:p w14:paraId="0D606CB8" w14:textId="77777777" w:rsidR="00D1587D" w:rsidRDefault="00410D07">
      <w:pPr>
        <w:numPr>
          <w:ilvl w:val="0"/>
          <w:numId w:val="50"/>
        </w:numPr>
        <w:tabs>
          <w:tab w:val="left" w:pos="942"/>
        </w:tabs>
        <w:spacing w:line="273" w:lineRule="auto"/>
        <w:ind w:firstLine="656"/>
        <w:rPr>
          <w:rFonts w:ascii="Arial" w:eastAsia="Arial" w:hAnsi="Arial" w:cs="Arial"/>
          <w:sz w:val="19"/>
          <w:szCs w:val="19"/>
        </w:rPr>
      </w:pPr>
      <w:r>
        <w:rPr>
          <w:rFonts w:ascii="Arial" w:eastAsia="Arial" w:hAnsi="Arial" w:cs="Arial"/>
          <w:sz w:val="19"/>
          <w:szCs w:val="19"/>
        </w:rPr>
        <w:t>a written statement by the Eligible Stockholder certifying as to the number of shares it Owns and has Owned conti</w:t>
      </w:r>
      <w:r>
        <w:rPr>
          <w:rFonts w:ascii="Arial" w:eastAsia="Arial" w:hAnsi="Arial" w:cs="Arial"/>
          <w:sz w:val="19"/>
          <w:szCs w:val="19"/>
        </w:rPr>
        <w:t>nuously during the Minimum Holding Period, and the Eligible Stockholder’s agreement to provide (i) not later than 10 days after the record date for the annual meeting, a written statement by the Eligible Stockholder certifying as to the number of shares it</w:t>
      </w:r>
      <w:r>
        <w:rPr>
          <w:rFonts w:ascii="Arial" w:eastAsia="Arial" w:hAnsi="Arial" w:cs="Arial"/>
          <w:sz w:val="19"/>
          <w:szCs w:val="19"/>
        </w:rPr>
        <w:t xml:space="preserve"> Owns and has Owned continuously through the record date and (ii) immediate notice if the Eligible Stockholder ceases to Own any of the Required Shares prior to the date of the annual meeting; provided, however, that if such Eligible Stockholder, or any me</w:t>
      </w:r>
      <w:r>
        <w:rPr>
          <w:rFonts w:ascii="Arial" w:eastAsia="Arial" w:hAnsi="Arial" w:cs="Arial"/>
          <w:sz w:val="19"/>
          <w:szCs w:val="19"/>
        </w:rPr>
        <w:t>mber of the group that together constitutes such Eligible Stockholder, is not the beneficial owner of the shares representing the Required Shares, then to be valid, the Notice of Proxy Access Nomination must also include documentary evidence (or, if not si</w:t>
      </w:r>
      <w:r>
        <w:rPr>
          <w:rFonts w:ascii="Arial" w:eastAsia="Arial" w:hAnsi="Arial" w:cs="Arial"/>
          <w:sz w:val="19"/>
          <w:szCs w:val="19"/>
        </w:rPr>
        <w:t>multaneously provided with the Notice of Proxy Access Nomination, such documentary evidence must be delivered to the secretary within 10 business days after the date on which such Notice of Proxy Access Nomination is delivered to the secretary) that the be</w:t>
      </w:r>
      <w:r>
        <w:rPr>
          <w:rFonts w:ascii="Arial" w:eastAsia="Arial" w:hAnsi="Arial" w:cs="Arial"/>
          <w:sz w:val="19"/>
          <w:szCs w:val="19"/>
        </w:rPr>
        <w:t>neficial owners on whose behalf the Notice of Proxy Access Nomination is made Own the Required Shares as of the date on which the Notice of Proxy Access Nomination is delivered to the secretary.</w:t>
      </w:r>
    </w:p>
    <w:p w14:paraId="47379234" w14:textId="77777777" w:rsidR="00D1587D" w:rsidRDefault="00D1587D">
      <w:pPr>
        <w:spacing w:line="182" w:lineRule="exact"/>
        <w:rPr>
          <w:rFonts w:ascii="Arial" w:eastAsia="Arial" w:hAnsi="Arial" w:cs="Arial"/>
          <w:sz w:val="19"/>
          <w:szCs w:val="19"/>
        </w:rPr>
      </w:pPr>
    </w:p>
    <w:p w14:paraId="39F0BA0B" w14:textId="77777777" w:rsidR="00D1587D" w:rsidRDefault="00410D07">
      <w:pPr>
        <w:numPr>
          <w:ilvl w:val="0"/>
          <w:numId w:val="50"/>
        </w:numPr>
        <w:tabs>
          <w:tab w:val="left" w:pos="954"/>
        </w:tabs>
        <w:spacing w:line="250" w:lineRule="auto"/>
        <w:ind w:right="560" w:firstLine="656"/>
        <w:rPr>
          <w:rFonts w:ascii="Arial" w:eastAsia="Arial" w:hAnsi="Arial" w:cs="Arial"/>
        </w:rPr>
      </w:pPr>
      <w:r>
        <w:rPr>
          <w:rFonts w:ascii="Arial" w:eastAsia="Arial" w:hAnsi="Arial" w:cs="Arial"/>
        </w:rPr>
        <w:t xml:space="preserve">a copy of the Schedule 14N (or any successor form) that has </w:t>
      </w:r>
      <w:r>
        <w:rPr>
          <w:rFonts w:ascii="Arial" w:eastAsia="Arial" w:hAnsi="Arial" w:cs="Arial"/>
        </w:rPr>
        <w:t>been or is concurrently being filed with the SEC as required by Rule 14a-18 under the Exchange Act;</w:t>
      </w:r>
    </w:p>
    <w:p w14:paraId="631E1A13" w14:textId="77777777" w:rsidR="00D1587D" w:rsidRDefault="00D1587D">
      <w:pPr>
        <w:spacing w:line="201" w:lineRule="exact"/>
        <w:rPr>
          <w:rFonts w:ascii="Arial" w:eastAsia="Arial" w:hAnsi="Arial" w:cs="Arial"/>
        </w:rPr>
      </w:pPr>
    </w:p>
    <w:p w14:paraId="14DB4231" w14:textId="77777777" w:rsidR="00D1587D" w:rsidRDefault="00410D07">
      <w:pPr>
        <w:numPr>
          <w:ilvl w:val="0"/>
          <w:numId w:val="50"/>
        </w:numPr>
        <w:tabs>
          <w:tab w:val="left" w:pos="942"/>
        </w:tabs>
        <w:spacing w:line="328" w:lineRule="auto"/>
        <w:ind w:right="160" w:firstLine="656"/>
        <w:rPr>
          <w:rFonts w:ascii="Arial" w:eastAsia="Arial" w:hAnsi="Arial" w:cs="Arial"/>
          <w:sz w:val="19"/>
          <w:szCs w:val="19"/>
        </w:rPr>
      </w:pPr>
      <w:r>
        <w:rPr>
          <w:rFonts w:ascii="Arial" w:eastAsia="Arial" w:hAnsi="Arial" w:cs="Arial"/>
          <w:sz w:val="19"/>
          <w:szCs w:val="19"/>
        </w:rPr>
        <w:t>the details of any relationship that existed within the past three years and that would have been described pursuant to Item 6(e) of Schedule 14N (or any s</w:t>
      </w:r>
      <w:r>
        <w:rPr>
          <w:rFonts w:ascii="Arial" w:eastAsia="Arial" w:hAnsi="Arial" w:cs="Arial"/>
          <w:sz w:val="19"/>
          <w:szCs w:val="19"/>
        </w:rPr>
        <w:t>uccessor form) if it existed on the date of submission of the Schedule 14N;</w:t>
      </w:r>
    </w:p>
    <w:p w14:paraId="3A870BDF" w14:textId="77777777" w:rsidR="00D1587D" w:rsidRDefault="00D1587D">
      <w:pPr>
        <w:spacing w:line="131" w:lineRule="exact"/>
        <w:rPr>
          <w:rFonts w:ascii="Arial" w:eastAsia="Arial" w:hAnsi="Arial" w:cs="Arial"/>
          <w:sz w:val="19"/>
          <w:szCs w:val="19"/>
        </w:rPr>
      </w:pPr>
    </w:p>
    <w:p w14:paraId="69DF3B15" w14:textId="77777777" w:rsidR="00D1587D" w:rsidRDefault="00410D07">
      <w:pPr>
        <w:numPr>
          <w:ilvl w:val="0"/>
          <w:numId w:val="50"/>
        </w:numPr>
        <w:tabs>
          <w:tab w:val="left" w:pos="954"/>
        </w:tabs>
        <w:spacing w:line="250" w:lineRule="auto"/>
        <w:ind w:right="360" w:firstLine="656"/>
        <w:rPr>
          <w:rFonts w:ascii="Arial" w:eastAsia="Arial" w:hAnsi="Arial" w:cs="Arial"/>
        </w:rPr>
      </w:pPr>
      <w:r>
        <w:rPr>
          <w:rFonts w:ascii="Arial" w:eastAsia="Arial" w:hAnsi="Arial" w:cs="Arial"/>
        </w:rPr>
        <w:t>the information that would be required to be set forth in a stockholder’s notice of a nomination pursuant to the last sentence of Section 2.04.1(a);</w:t>
      </w:r>
    </w:p>
    <w:p w14:paraId="33EA8300" w14:textId="77777777" w:rsidR="00D1587D" w:rsidRDefault="00D1587D">
      <w:pPr>
        <w:spacing w:line="201" w:lineRule="exact"/>
        <w:rPr>
          <w:rFonts w:ascii="Arial" w:eastAsia="Arial" w:hAnsi="Arial" w:cs="Arial"/>
        </w:rPr>
      </w:pPr>
    </w:p>
    <w:p w14:paraId="46B05FD5" w14:textId="77777777" w:rsidR="00D1587D" w:rsidRDefault="00410D07">
      <w:pPr>
        <w:numPr>
          <w:ilvl w:val="0"/>
          <w:numId w:val="50"/>
        </w:numPr>
        <w:tabs>
          <w:tab w:val="left" w:pos="942"/>
        </w:tabs>
        <w:spacing w:line="272" w:lineRule="auto"/>
        <w:ind w:right="20" w:firstLine="656"/>
        <w:rPr>
          <w:rFonts w:ascii="Arial" w:eastAsia="Arial" w:hAnsi="Arial" w:cs="Arial"/>
          <w:sz w:val="19"/>
          <w:szCs w:val="19"/>
        </w:rPr>
      </w:pPr>
      <w:r>
        <w:rPr>
          <w:rFonts w:ascii="Arial" w:eastAsia="Arial" w:hAnsi="Arial" w:cs="Arial"/>
          <w:sz w:val="19"/>
          <w:szCs w:val="19"/>
        </w:rPr>
        <w:t>a representation that the Eli</w:t>
      </w:r>
      <w:r>
        <w:rPr>
          <w:rFonts w:ascii="Arial" w:eastAsia="Arial" w:hAnsi="Arial" w:cs="Arial"/>
          <w:sz w:val="19"/>
          <w:szCs w:val="19"/>
        </w:rPr>
        <w:t xml:space="preserve">gible Stockholder (i) satisfies the eligibility requirements set forth in Section 2.05.04, (ii) will continue to hold the Required Shares through the date of the annual meeting, (iii) acquired the Required Shares in the ordinary course of business and not </w:t>
      </w:r>
      <w:r>
        <w:rPr>
          <w:rFonts w:ascii="Arial" w:eastAsia="Arial" w:hAnsi="Arial" w:cs="Arial"/>
          <w:sz w:val="19"/>
          <w:szCs w:val="19"/>
        </w:rPr>
        <w:t xml:space="preserve">with the intent to change or influence control at the corporation, and does not have such intent, (iv) has not nominated and will not nominate for election to the Board of Directors at the annual meeting any person other than the Stockholder Nominee(s) it </w:t>
      </w:r>
      <w:r>
        <w:rPr>
          <w:rFonts w:ascii="Arial" w:eastAsia="Arial" w:hAnsi="Arial" w:cs="Arial"/>
          <w:sz w:val="19"/>
          <w:szCs w:val="19"/>
        </w:rPr>
        <w:t>is nominating pursuant to this Section 2.05, (v) has not engaged and will not engage in, and has not and will not be a “participant” in another person’s, “solicitation” within the meaning of Rule 14a-1(l) under the Exchange Act in support of the election o</w:t>
      </w:r>
      <w:r>
        <w:rPr>
          <w:rFonts w:ascii="Arial" w:eastAsia="Arial" w:hAnsi="Arial" w:cs="Arial"/>
          <w:sz w:val="19"/>
          <w:szCs w:val="19"/>
        </w:rPr>
        <w:t>f any individual as a director at the annual meeting other than its Stockholder Nominee(s) or a nominee of the Board of Directors, (vi) has not distributed and will not distribute to any stockholder of the corporation any form of proxy for the annual meeti</w:t>
      </w:r>
      <w:r>
        <w:rPr>
          <w:rFonts w:ascii="Arial" w:eastAsia="Arial" w:hAnsi="Arial" w:cs="Arial"/>
          <w:sz w:val="19"/>
          <w:szCs w:val="19"/>
        </w:rPr>
        <w:t>ng other than the form distributed by the corporation, (vii) has complied and will comply with all laws and regulations applicable to solicitations and the use, if any, of soliciting material in connection with the annual meeting and (viii) has provided an</w:t>
      </w:r>
      <w:r>
        <w:rPr>
          <w:rFonts w:ascii="Arial" w:eastAsia="Arial" w:hAnsi="Arial" w:cs="Arial"/>
          <w:sz w:val="19"/>
          <w:szCs w:val="19"/>
        </w:rPr>
        <w:t>d will provide facts, statements and other information in all communications with the corporation and its stockholders that are or will be true and correct in all material respects and do not and will not omit to state a material fact necessary in order to</w:t>
      </w:r>
      <w:r>
        <w:rPr>
          <w:rFonts w:ascii="Arial" w:eastAsia="Arial" w:hAnsi="Arial" w:cs="Arial"/>
          <w:sz w:val="19"/>
          <w:szCs w:val="19"/>
        </w:rPr>
        <w:t xml:space="preserve"> make the statements made, in light of the circumstances under which they were made, not misleading;</w:t>
      </w:r>
    </w:p>
    <w:p w14:paraId="77593722" w14:textId="77777777" w:rsidR="00D1587D" w:rsidRDefault="00D1587D">
      <w:pPr>
        <w:spacing w:line="182" w:lineRule="exact"/>
        <w:rPr>
          <w:rFonts w:ascii="Arial" w:eastAsia="Arial" w:hAnsi="Arial" w:cs="Arial"/>
          <w:sz w:val="19"/>
          <w:szCs w:val="19"/>
        </w:rPr>
      </w:pPr>
    </w:p>
    <w:p w14:paraId="34A4FB81" w14:textId="77777777" w:rsidR="00D1587D" w:rsidRDefault="00410D07">
      <w:pPr>
        <w:numPr>
          <w:ilvl w:val="0"/>
          <w:numId w:val="50"/>
        </w:numPr>
        <w:tabs>
          <w:tab w:val="left" w:pos="918"/>
        </w:tabs>
        <w:spacing w:line="250" w:lineRule="auto"/>
        <w:ind w:right="280" w:firstLine="656"/>
        <w:rPr>
          <w:rFonts w:ascii="Arial" w:eastAsia="Arial" w:hAnsi="Arial" w:cs="Arial"/>
        </w:rPr>
      </w:pPr>
      <w:r>
        <w:rPr>
          <w:rFonts w:ascii="Arial" w:eastAsia="Arial" w:hAnsi="Arial" w:cs="Arial"/>
        </w:rPr>
        <w:t xml:space="preserve">a representation from the Eligible Stockholder that the Stockholder Nominee does not fall into any of the categories and has not taken any of the </w:t>
      </w:r>
      <w:r>
        <w:rPr>
          <w:rFonts w:ascii="Arial" w:eastAsia="Arial" w:hAnsi="Arial" w:cs="Arial"/>
        </w:rPr>
        <w:t>actions described in clauses (i) through (ix) of Section 2.05.10;</w:t>
      </w:r>
    </w:p>
    <w:p w14:paraId="385149EC" w14:textId="77777777" w:rsidR="00D1587D" w:rsidRDefault="00D1587D">
      <w:pPr>
        <w:spacing w:line="201" w:lineRule="exact"/>
        <w:rPr>
          <w:rFonts w:ascii="Arial" w:eastAsia="Arial" w:hAnsi="Arial" w:cs="Arial"/>
        </w:rPr>
      </w:pPr>
    </w:p>
    <w:p w14:paraId="218DB635" w14:textId="77777777" w:rsidR="00D1587D" w:rsidRDefault="00410D07">
      <w:pPr>
        <w:numPr>
          <w:ilvl w:val="0"/>
          <w:numId w:val="50"/>
        </w:numPr>
        <w:tabs>
          <w:tab w:val="left" w:pos="954"/>
        </w:tabs>
        <w:spacing w:line="244" w:lineRule="auto"/>
        <w:ind w:right="40" w:firstLine="656"/>
        <w:rPr>
          <w:rFonts w:ascii="Arial" w:eastAsia="Arial" w:hAnsi="Arial" w:cs="Arial"/>
          <w:sz w:val="21"/>
          <w:szCs w:val="21"/>
        </w:rPr>
      </w:pPr>
      <w:r>
        <w:rPr>
          <w:rFonts w:ascii="Arial" w:eastAsia="Arial" w:hAnsi="Arial" w:cs="Arial"/>
          <w:sz w:val="21"/>
          <w:szCs w:val="21"/>
        </w:rPr>
        <w:t>an undertaking that the Eligible Stockholder agrees to (i) assume all liability stemming from any actual or alleged legal or regulatory violation arising out of the Eligible Stockholder’s c</w:t>
      </w:r>
      <w:r>
        <w:rPr>
          <w:rFonts w:ascii="Arial" w:eastAsia="Arial" w:hAnsi="Arial" w:cs="Arial"/>
          <w:sz w:val="21"/>
          <w:szCs w:val="21"/>
        </w:rPr>
        <w:t>ommunications with the stockholders of the corporation or any other person in connection with the nomination or election of its Stockholder Nominee or out of the information that the Eligible Stockholder provided to the corporation, (ii) indemnify and hold</w:t>
      </w:r>
      <w:r>
        <w:rPr>
          <w:rFonts w:ascii="Arial" w:eastAsia="Arial" w:hAnsi="Arial" w:cs="Arial"/>
          <w:sz w:val="21"/>
          <w:szCs w:val="21"/>
        </w:rPr>
        <w:t xml:space="preserve"> harmless the corporation and each of its directors, officers and employees individually against any liability, loss, damages, expenses or other costs (including attorneys’ fees) in connection with any threatened or pending action, suit or proceeding, whet</w:t>
      </w:r>
      <w:r>
        <w:rPr>
          <w:rFonts w:ascii="Arial" w:eastAsia="Arial" w:hAnsi="Arial" w:cs="Arial"/>
          <w:sz w:val="21"/>
          <w:szCs w:val="21"/>
        </w:rPr>
        <w:t>her legal, administrative or investigative, against the corporation or any of its directors, officers or employees arising out of any nomination submitted by the Eligible Stockholder pursuant to this Section 2.05 or any solicitation or other activity in co</w:t>
      </w:r>
      <w:r>
        <w:rPr>
          <w:rFonts w:ascii="Arial" w:eastAsia="Arial" w:hAnsi="Arial" w:cs="Arial"/>
          <w:sz w:val="21"/>
          <w:szCs w:val="21"/>
        </w:rPr>
        <w:t>nnection therewith and (iii) file with the SEC any solicitation or other communication with the stockholders of the corporation relating to the meeting at which its Stockholder Nominee(s) will be nominated, regardless of whether any such filing is required</w:t>
      </w:r>
      <w:r>
        <w:rPr>
          <w:rFonts w:ascii="Arial" w:eastAsia="Arial" w:hAnsi="Arial" w:cs="Arial"/>
          <w:sz w:val="21"/>
          <w:szCs w:val="21"/>
        </w:rPr>
        <w:t xml:space="preserve"> under Regulation 14A of the Exchange Act or whether any exemption from filing is available for such solicitation or other communication under Regulation 14A of the Exchange Act;</w:t>
      </w:r>
    </w:p>
    <w:p w14:paraId="5493D011" w14:textId="77777777" w:rsidR="00D1587D" w:rsidRDefault="00D1587D">
      <w:pPr>
        <w:sectPr w:rsidR="00D1587D">
          <w:pgSz w:w="11900" w:h="16838"/>
          <w:pgMar w:top="361" w:right="379" w:bottom="1440" w:left="320" w:header="0" w:footer="0" w:gutter="0"/>
          <w:cols w:space="720" w:equalWidth="0">
            <w:col w:w="11200"/>
          </w:cols>
        </w:sectPr>
      </w:pPr>
    </w:p>
    <w:p w14:paraId="45A1FA96" w14:textId="77777777" w:rsidR="00D1587D" w:rsidRDefault="00D1587D">
      <w:pPr>
        <w:spacing w:line="148" w:lineRule="exact"/>
        <w:rPr>
          <w:sz w:val="20"/>
          <w:szCs w:val="20"/>
        </w:rPr>
      </w:pPr>
    </w:p>
    <w:p w14:paraId="7217213C" w14:textId="77777777" w:rsidR="00D1587D" w:rsidRDefault="00410D07">
      <w:pPr>
        <w:ind w:right="-59"/>
        <w:jc w:val="center"/>
        <w:rPr>
          <w:sz w:val="20"/>
          <w:szCs w:val="20"/>
        </w:rPr>
      </w:pPr>
      <w:r>
        <w:rPr>
          <w:rFonts w:ascii="Arial" w:eastAsia="Arial" w:hAnsi="Arial" w:cs="Arial"/>
          <w:sz w:val="12"/>
          <w:szCs w:val="12"/>
        </w:rPr>
        <w:t>12</w:t>
      </w:r>
    </w:p>
    <w:p w14:paraId="7C62E557" w14:textId="77777777" w:rsidR="00D1587D" w:rsidRDefault="00410D07">
      <w:pPr>
        <w:spacing w:line="20" w:lineRule="exact"/>
        <w:rPr>
          <w:sz w:val="20"/>
          <w:szCs w:val="20"/>
        </w:rPr>
      </w:pPr>
      <w:r>
        <w:rPr>
          <w:noProof/>
          <w:sz w:val="20"/>
          <w:szCs w:val="20"/>
        </w:rPr>
        <w:drawing>
          <wp:anchor distT="0" distB="0" distL="114300" distR="114300" simplePos="0" relativeHeight="251225088" behindDoc="1" locked="0" layoutInCell="0" allowOverlap="1" wp14:anchorId="62C0039C" wp14:editId="7B575B8C">
            <wp:simplePos x="0" y="0"/>
            <wp:positionH relativeFrom="column">
              <wp:posOffset>5080</wp:posOffset>
            </wp:positionH>
            <wp:positionV relativeFrom="paragraph">
              <wp:posOffset>52705</wp:posOffset>
            </wp:positionV>
            <wp:extent cx="7132320" cy="1714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9054632" w14:textId="77777777" w:rsidR="00D1587D" w:rsidRDefault="00D1587D">
      <w:pPr>
        <w:sectPr w:rsidR="00D1587D">
          <w:type w:val="continuous"/>
          <w:pgSz w:w="11900" w:h="16838"/>
          <w:pgMar w:top="361" w:right="379" w:bottom="1440" w:left="320" w:header="0" w:footer="0" w:gutter="0"/>
          <w:cols w:space="720" w:equalWidth="0">
            <w:col w:w="11200"/>
          </w:cols>
        </w:sectPr>
      </w:pPr>
    </w:p>
    <w:p w14:paraId="5A62D54A" w14:textId="77777777" w:rsidR="00D1587D" w:rsidRDefault="00410D07">
      <w:pPr>
        <w:numPr>
          <w:ilvl w:val="0"/>
          <w:numId w:val="51"/>
        </w:numPr>
        <w:tabs>
          <w:tab w:val="left" w:pos="954"/>
        </w:tabs>
        <w:spacing w:line="272" w:lineRule="auto"/>
        <w:ind w:right="80" w:firstLine="656"/>
        <w:rPr>
          <w:rFonts w:ascii="Arial" w:eastAsia="Arial" w:hAnsi="Arial" w:cs="Arial"/>
          <w:sz w:val="19"/>
          <w:szCs w:val="19"/>
        </w:rPr>
      </w:pPr>
      <w:bookmarkStart w:id="77" w:name="page78"/>
      <w:bookmarkEnd w:id="77"/>
      <w:r>
        <w:rPr>
          <w:rFonts w:ascii="Arial" w:eastAsia="Arial" w:hAnsi="Arial" w:cs="Arial"/>
          <w:sz w:val="19"/>
          <w:szCs w:val="19"/>
        </w:rPr>
        <w:t xml:space="preserve">a written </w:t>
      </w:r>
      <w:r>
        <w:rPr>
          <w:rFonts w:ascii="Arial" w:eastAsia="Arial" w:hAnsi="Arial" w:cs="Arial"/>
          <w:sz w:val="19"/>
          <w:szCs w:val="19"/>
        </w:rPr>
        <w:t>representation and agreement from each Stockholder Nominee that such Stockholder Nominee (i) is not and will not become a party to any agreement, arrangement or understanding with, and has not given any commitment or assurance to, any person or entity as t</w:t>
      </w:r>
      <w:r>
        <w:rPr>
          <w:rFonts w:ascii="Arial" w:eastAsia="Arial" w:hAnsi="Arial" w:cs="Arial"/>
          <w:sz w:val="19"/>
          <w:szCs w:val="19"/>
        </w:rPr>
        <w:t>o how such Stockholder Nominee, if elected as a director of the corporation, will act or vote on any issue or question (a “Voting Commitment”) that has not been disclosed to the corporation prior to or concurrently with the Eligible Stockholder’s submissio</w:t>
      </w:r>
      <w:r>
        <w:rPr>
          <w:rFonts w:ascii="Arial" w:eastAsia="Arial" w:hAnsi="Arial" w:cs="Arial"/>
          <w:sz w:val="19"/>
          <w:szCs w:val="19"/>
        </w:rPr>
        <w:t>n of the Notice of Proxy Access Nomination, (ii) is not and will not become a party to any agreement, arrangement or understanding with any person or entity other than the corporation with respect to any direct or indirect compensation, reimbursement or in</w:t>
      </w:r>
      <w:r>
        <w:rPr>
          <w:rFonts w:ascii="Arial" w:eastAsia="Arial" w:hAnsi="Arial" w:cs="Arial"/>
          <w:sz w:val="19"/>
          <w:szCs w:val="19"/>
        </w:rPr>
        <w:t>demnification in connection with service or action as a director that has not been disclosed to the corporation prior to or concurrently with the Eligible Stockholder’s submission of the Notice of Proxy Access Nomination, (iii) would be in compliance, if e</w:t>
      </w:r>
      <w:r>
        <w:rPr>
          <w:rFonts w:ascii="Arial" w:eastAsia="Arial" w:hAnsi="Arial" w:cs="Arial"/>
          <w:sz w:val="19"/>
          <w:szCs w:val="19"/>
        </w:rPr>
        <w:t>lected as a director of the corporation, and will comply with the corporation’s code of conduct and ethics, corporate governance guidelines, stock ownership and trading policies and guidelines, related person transaction policy and any other policies or gu</w:t>
      </w:r>
      <w:r>
        <w:rPr>
          <w:rFonts w:ascii="Arial" w:eastAsia="Arial" w:hAnsi="Arial" w:cs="Arial"/>
          <w:sz w:val="19"/>
          <w:szCs w:val="19"/>
        </w:rPr>
        <w:t xml:space="preserve">idelines of the corporation applicable to directors and (iv) will make such other acknowledgments, enter into such agreements and provide such information as the Board of Directors requires of all directors, including promptly submitting all completed and </w:t>
      </w:r>
      <w:r>
        <w:rPr>
          <w:rFonts w:ascii="Arial" w:eastAsia="Arial" w:hAnsi="Arial" w:cs="Arial"/>
          <w:sz w:val="19"/>
          <w:szCs w:val="19"/>
        </w:rPr>
        <w:t>signed questionnaires required of the corporation’s directors;</w:t>
      </w:r>
    </w:p>
    <w:p w14:paraId="1C9D4BBB" w14:textId="77777777" w:rsidR="00D1587D" w:rsidRDefault="00D1587D">
      <w:pPr>
        <w:spacing w:line="182" w:lineRule="exact"/>
        <w:rPr>
          <w:rFonts w:ascii="Arial" w:eastAsia="Arial" w:hAnsi="Arial" w:cs="Arial"/>
          <w:sz w:val="19"/>
          <w:szCs w:val="19"/>
        </w:rPr>
      </w:pPr>
    </w:p>
    <w:p w14:paraId="596F0239" w14:textId="77777777" w:rsidR="00D1587D" w:rsidRDefault="00410D07">
      <w:pPr>
        <w:numPr>
          <w:ilvl w:val="0"/>
          <w:numId w:val="51"/>
        </w:numPr>
        <w:tabs>
          <w:tab w:val="left" w:pos="906"/>
        </w:tabs>
        <w:spacing w:line="238" w:lineRule="auto"/>
        <w:ind w:right="200" w:firstLine="656"/>
        <w:jc w:val="both"/>
        <w:rPr>
          <w:rFonts w:ascii="Arial" w:eastAsia="Arial" w:hAnsi="Arial" w:cs="Arial"/>
        </w:rPr>
      </w:pPr>
      <w:r>
        <w:rPr>
          <w:rFonts w:ascii="Arial" w:eastAsia="Arial" w:hAnsi="Arial" w:cs="Arial"/>
        </w:rPr>
        <w:t>in the case of a nomination by a group constituting an Eligible Stockholder, the designation by all group members of one member of the group that is authorized to receive communications, notic</w:t>
      </w:r>
      <w:r>
        <w:rPr>
          <w:rFonts w:ascii="Arial" w:eastAsia="Arial" w:hAnsi="Arial" w:cs="Arial"/>
        </w:rPr>
        <w:t>es and inquiries from the corporation and to act on behalf of all members of the group with respect to all matters relating to the nomination under this Section 2.05 (including withdrawal of the nomination); and</w:t>
      </w:r>
    </w:p>
    <w:p w14:paraId="12B534E1" w14:textId="77777777" w:rsidR="00D1587D" w:rsidRDefault="00D1587D">
      <w:pPr>
        <w:spacing w:line="211" w:lineRule="exact"/>
        <w:rPr>
          <w:rFonts w:ascii="Arial" w:eastAsia="Arial" w:hAnsi="Arial" w:cs="Arial"/>
        </w:rPr>
      </w:pPr>
    </w:p>
    <w:p w14:paraId="4CBA4BFE" w14:textId="77777777" w:rsidR="00D1587D" w:rsidRDefault="00410D07">
      <w:pPr>
        <w:numPr>
          <w:ilvl w:val="0"/>
          <w:numId w:val="51"/>
        </w:numPr>
        <w:tabs>
          <w:tab w:val="left" w:pos="906"/>
        </w:tabs>
        <w:spacing w:line="238" w:lineRule="auto"/>
        <w:ind w:right="60" w:firstLine="656"/>
        <w:rPr>
          <w:rFonts w:ascii="Arial" w:eastAsia="Arial" w:hAnsi="Arial" w:cs="Arial"/>
        </w:rPr>
      </w:pPr>
      <w:r>
        <w:rPr>
          <w:rFonts w:ascii="Arial" w:eastAsia="Arial" w:hAnsi="Arial" w:cs="Arial"/>
        </w:rPr>
        <w:t>in the case of a nomination by a group cons</w:t>
      </w:r>
      <w:r>
        <w:rPr>
          <w:rFonts w:ascii="Arial" w:eastAsia="Arial" w:hAnsi="Arial" w:cs="Arial"/>
        </w:rPr>
        <w:t>tituting an Eligible Stockholder in which two or more funds that are part of the same Qualifying Fund Group are counted as one holder of record or beneficial owner, as applicable, for purposes of qualifying as an Eligible Stockholder, documentation reasona</w:t>
      </w:r>
      <w:r>
        <w:rPr>
          <w:rFonts w:ascii="Arial" w:eastAsia="Arial" w:hAnsi="Arial" w:cs="Arial"/>
        </w:rPr>
        <w:t>bly satisfactory to the corporation that demonstrates that such funds are part of the same Qualifying Fund Group.</w:t>
      </w:r>
    </w:p>
    <w:p w14:paraId="22022837" w14:textId="77777777" w:rsidR="00D1587D" w:rsidRDefault="00D1587D">
      <w:pPr>
        <w:spacing w:line="212" w:lineRule="exact"/>
        <w:rPr>
          <w:sz w:val="20"/>
          <w:szCs w:val="20"/>
        </w:rPr>
      </w:pPr>
    </w:p>
    <w:p w14:paraId="47CD90C2" w14:textId="77777777" w:rsidR="00D1587D" w:rsidRDefault="00410D07">
      <w:pPr>
        <w:spacing w:line="274" w:lineRule="auto"/>
        <w:ind w:firstLine="648"/>
        <w:rPr>
          <w:sz w:val="20"/>
          <w:szCs w:val="20"/>
        </w:rPr>
      </w:pPr>
      <w:r>
        <w:rPr>
          <w:rFonts w:ascii="Arial" w:eastAsia="Arial" w:hAnsi="Arial" w:cs="Arial"/>
          <w:sz w:val="19"/>
          <w:szCs w:val="19"/>
        </w:rPr>
        <w:t xml:space="preserve">2.05.07. In addition to the information required pursuant to Section 2.05.6 or any other provision of these bylaws, (a) the </w:t>
      </w:r>
      <w:r>
        <w:rPr>
          <w:rFonts w:ascii="Arial" w:eastAsia="Arial" w:hAnsi="Arial" w:cs="Arial"/>
          <w:sz w:val="19"/>
          <w:szCs w:val="19"/>
        </w:rPr>
        <w:t>corporation may require any proposed Stockholder Nominee to furnish any other information (i) that may reasonably be requested by the corporation to determine whether the Stockholder Nominee would belong to any of the categories described in clauses (i) th</w:t>
      </w:r>
      <w:r>
        <w:rPr>
          <w:rFonts w:ascii="Arial" w:eastAsia="Arial" w:hAnsi="Arial" w:cs="Arial"/>
          <w:sz w:val="19"/>
          <w:szCs w:val="19"/>
        </w:rPr>
        <w:t>rough (viii) of Section 2.05.10, (ii) that could be material to a reasonable stockholder’s understanding of the independence, or lack thereof, of such Stockholder Nominee or (iii) that may reasonably be requested by the corporation to determine the eligibi</w:t>
      </w:r>
      <w:r>
        <w:rPr>
          <w:rFonts w:ascii="Arial" w:eastAsia="Arial" w:hAnsi="Arial" w:cs="Arial"/>
          <w:sz w:val="19"/>
          <w:szCs w:val="19"/>
        </w:rPr>
        <w:t>lity of such Stockholder Nominee to be included in the corporation’s proxy materials pursuant to this Section 2.05 or to serve as a director of the corporation and (b) the corporation may require the Eligible Stockholder to furnish any other information th</w:t>
      </w:r>
      <w:r>
        <w:rPr>
          <w:rFonts w:ascii="Arial" w:eastAsia="Arial" w:hAnsi="Arial" w:cs="Arial"/>
          <w:sz w:val="19"/>
          <w:szCs w:val="19"/>
        </w:rPr>
        <w:t>at may reasonably be requested by the corporation to verify the Eligible Stockholder’s continuous ownership of the Required Shares for the Minimum Holding Period.</w:t>
      </w:r>
    </w:p>
    <w:p w14:paraId="343746F5" w14:textId="77777777" w:rsidR="00D1587D" w:rsidRDefault="00D1587D">
      <w:pPr>
        <w:spacing w:line="185" w:lineRule="exact"/>
        <w:rPr>
          <w:sz w:val="20"/>
          <w:szCs w:val="20"/>
        </w:rPr>
      </w:pPr>
    </w:p>
    <w:p w14:paraId="47A9EEBC" w14:textId="77777777" w:rsidR="00D1587D" w:rsidRDefault="00410D07">
      <w:pPr>
        <w:spacing w:line="279" w:lineRule="auto"/>
        <w:ind w:right="260" w:firstLine="648"/>
        <w:rPr>
          <w:sz w:val="20"/>
          <w:szCs w:val="20"/>
        </w:rPr>
      </w:pPr>
      <w:r>
        <w:rPr>
          <w:rFonts w:ascii="Arial" w:eastAsia="Arial" w:hAnsi="Arial" w:cs="Arial"/>
          <w:sz w:val="19"/>
          <w:szCs w:val="19"/>
        </w:rPr>
        <w:t xml:space="preserve">2.05.08. The Eligible Stockholder may, at its option, provide to the secretary, at the time </w:t>
      </w:r>
      <w:r>
        <w:rPr>
          <w:rFonts w:ascii="Arial" w:eastAsia="Arial" w:hAnsi="Arial" w:cs="Arial"/>
          <w:sz w:val="19"/>
          <w:szCs w:val="19"/>
        </w:rPr>
        <w:t>the Notice of Proxy Access Nomination is provided, a written statement, not to exceed 500 words, in support of the Stockholder Nominee(s)’ candidacy (a “Supporting Statement”). Only one Supporting Statement may be submitted by an Eligible Stockholder (incl</w:t>
      </w:r>
      <w:r>
        <w:rPr>
          <w:rFonts w:ascii="Arial" w:eastAsia="Arial" w:hAnsi="Arial" w:cs="Arial"/>
          <w:sz w:val="19"/>
          <w:szCs w:val="19"/>
        </w:rPr>
        <w:t>uding any group constituting an Eligible Stockholder) in support of its Stockholder Nominee(s). Notwithstanding anything to the contrary contained in this Section 2.05, the corporation may omit from its proxy materials any information or Supporting Stateme</w:t>
      </w:r>
      <w:r>
        <w:rPr>
          <w:rFonts w:ascii="Arial" w:eastAsia="Arial" w:hAnsi="Arial" w:cs="Arial"/>
          <w:sz w:val="19"/>
          <w:szCs w:val="19"/>
        </w:rPr>
        <w:t>nt (or portion thereof) that it, in good faith, believes would violate any applicable law or regulation.</w:t>
      </w:r>
    </w:p>
    <w:p w14:paraId="5D3871F2" w14:textId="77777777" w:rsidR="00D1587D" w:rsidRDefault="00D1587D">
      <w:pPr>
        <w:spacing w:line="177" w:lineRule="exact"/>
        <w:rPr>
          <w:sz w:val="20"/>
          <w:szCs w:val="20"/>
        </w:rPr>
      </w:pPr>
    </w:p>
    <w:p w14:paraId="59782DF9" w14:textId="77777777" w:rsidR="00D1587D" w:rsidRDefault="00410D07">
      <w:pPr>
        <w:spacing w:line="272" w:lineRule="auto"/>
        <w:ind w:right="20" w:firstLine="648"/>
        <w:rPr>
          <w:sz w:val="20"/>
          <w:szCs w:val="20"/>
        </w:rPr>
      </w:pPr>
      <w:r>
        <w:rPr>
          <w:rFonts w:ascii="Arial" w:eastAsia="Arial" w:hAnsi="Arial" w:cs="Arial"/>
          <w:sz w:val="19"/>
          <w:szCs w:val="19"/>
        </w:rPr>
        <w:t>2.05.09. In the event that any information or communication provided by an Eligible Stockholder or a Stockholder Nominee to the corporation or its sto</w:t>
      </w:r>
      <w:r>
        <w:rPr>
          <w:rFonts w:ascii="Arial" w:eastAsia="Arial" w:hAnsi="Arial" w:cs="Arial"/>
          <w:sz w:val="19"/>
          <w:szCs w:val="19"/>
        </w:rPr>
        <w:t>ckholders ceases to be true and correct in all material respects or omits to state a material fact necessary to make the statements made, in light of the circumstances under which they were made, not misleading, such Eligible Stockholder or Stockholder Nom</w:t>
      </w:r>
      <w:r>
        <w:rPr>
          <w:rFonts w:ascii="Arial" w:eastAsia="Arial" w:hAnsi="Arial" w:cs="Arial"/>
          <w:sz w:val="19"/>
          <w:szCs w:val="19"/>
        </w:rPr>
        <w:t>inee, as the case may be, shall promptly notify the corporation and any other recipient of such communication of any such defect in such previously provided information and of the information that is required to correct any such defect; it being understood</w:t>
      </w:r>
      <w:r>
        <w:rPr>
          <w:rFonts w:ascii="Arial" w:eastAsia="Arial" w:hAnsi="Arial" w:cs="Arial"/>
          <w:sz w:val="19"/>
          <w:szCs w:val="19"/>
        </w:rPr>
        <w:t xml:space="preserve"> that providing such notification shall not be deemed to cure any such defect or limit the remedies available to the corporation relating to any such defect (including the right to omit a Stockholder Nominee from its proxy materials pursuant to this Sectio</w:t>
      </w:r>
      <w:r>
        <w:rPr>
          <w:rFonts w:ascii="Arial" w:eastAsia="Arial" w:hAnsi="Arial" w:cs="Arial"/>
          <w:sz w:val="19"/>
          <w:szCs w:val="19"/>
        </w:rPr>
        <w:t>n 2.05). In addition, any person providing any information to the corporation pursuant to this Section 2.05 shall further update and supplement such information, if necessary, so that all such information shall be true and correct as of the record date for</w:t>
      </w:r>
      <w:r>
        <w:rPr>
          <w:rFonts w:ascii="Arial" w:eastAsia="Arial" w:hAnsi="Arial" w:cs="Arial"/>
          <w:sz w:val="19"/>
          <w:szCs w:val="19"/>
        </w:rPr>
        <w:t xml:space="preserve"> the determination of stockholders entitled to vote at the annual meeting, and such update and supplement shall be delivered to or be mailed and received by the secretary at the principal executive offices of the corporation not later than 10 days after th</w:t>
      </w:r>
      <w:r>
        <w:rPr>
          <w:rFonts w:ascii="Arial" w:eastAsia="Arial" w:hAnsi="Arial" w:cs="Arial"/>
          <w:sz w:val="19"/>
          <w:szCs w:val="19"/>
        </w:rPr>
        <w:t>e record date for the annual meeting.</w:t>
      </w:r>
    </w:p>
    <w:p w14:paraId="72889A39" w14:textId="77777777" w:rsidR="00D1587D" w:rsidRDefault="00D1587D">
      <w:pPr>
        <w:sectPr w:rsidR="00D1587D">
          <w:pgSz w:w="11900" w:h="16838"/>
          <w:pgMar w:top="361" w:right="359" w:bottom="1440" w:left="320" w:header="0" w:footer="0" w:gutter="0"/>
          <w:cols w:space="720" w:equalWidth="0">
            <w:col w:w="11220"/>
          </w:cols>
        </w:sectPr>
      </w:pPr>
    </w:p>
    <w:p w14:paraId="7D9164B4" w14:textId="77777777" w:rsidR="00D1587D" w:rsidRDefault="00D1587D">
      <w:pPr>
        <w:spacing w:line="123" w:lineRule="exact"/>
        <w:rPr>
          <w:sz w:val="20"/>
          <w:szCs w:val="20"/>
        </w:rPr>
      </w:pPr>
    </w:p>
    <w:p w14:paraId="4DD15217" w14:textId="77777777" w:rsidR="00D1587D" w:rsidRDefault="00410D07">
      <w:pPr>
        <w:ind w:right="-39"/>
        <w:jc w:val="center"/>
        <w:rPr>
          <w:sz w:val="20"/>
          <w:szCs w:val="20"/>
        </w:rPr>
      </w:pPr>
      <w:r>
        <w:rPr>
          <w:rFonts w:ascii="Arial" w:eastAsia="Arial" w:hAnsi="Arial" w:cs="Arial"/>
          <w:sz w:val="12"/>
          <w:szCs w:val="12"/>
        </w:rPr>
        <w:t>13</w:t>
      </w:r>
    </w:p>
    <w:p w14:paraId="72470A34" w14:textId="77777777" w:rsidR="00D1587D" w:rsidRDefault="00410D07">
      <w:pPr>
        <w:spacing w:line="20" w:lineRule="exact"/>
        <w:rPr>
          <w:sz w:val="20"/>
          <w:szCs w:val="20"/>
        </w:rPr>
      </w:pPr>
      <w:r>
        <w:rPr>
          <w:noProof/>
          <w:sz w:val="20"/>
          <w:szCs w:val="20"/>
        </w:rPr>
        <w:drawing>
          <wp:anchor distT="0" distB="0" distL="114300" distR="114300" simplePos="0" relativeHeight="251226112" behindDoc="1" locked="0" layoutInCell="0" allowOverlap="1" wp14:anchorId="61600EEE" wp14:editId="3D29B114">
            <wp:simplePos x="0" y="0"/>
            <wp:positionH relativeFrom="column">
              <wp:posOffset>5080</wp:posOffset>
            </wp:positionH>
            <wp:positionV relativeFrom="paragraph">
              <wp:posOffset>52705</wp:posOffset>
            </wp:positionV>
            <wp:extent cx="7132320" cy="171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A5F6288" w14:textId="77777777" w:rsidR="00D1587D" w:rsidRDefault="00D1587D">
      <w:pPr>
        <w:sectPr w:rsidR="00D1587D">
          <w:type w:val="continuous"/>
          <w:pgSz w:w="11900" w:h="16838"/>
          <w:pgMar w:top="361" w:right="359" w:bottom="1440" w:left="320" w:header="0" w:footer="0" w:gutter="0"/>
          <w:cols w:space="720" w:equalWidth="0">
            <w:col w:w="11220"/>
          </w:cols>
        </w:sectPr>
      </w:pPr>
    </w:p>
    <w:p w14:paraId="2853B5C7" w14:textId="77777777" w:rsidR="00D1587D" w:rsidRDefault="00410D07">
      <w:pPr>
        <w:spacing w:line="270" w:lineRule="auto"/>
        <w:ind w:right="60" w:firstLine="648"/>
        <w:rPr>
          <w:sz w:val="20"/>
          <w:szCs w:val="20"/>
        </w:rPr>
      </w:pPr>
      <w:bookmarkStart w:id="78" w:name="page79"/>
      <w:bookmarkEnd w:id="78"/>
      <w:r>
        <w:rPr>
          <w:rFonts w:ascii="Arial" w:eastAsia="Arial" w:hAnsi="Arial" w:cs="Arial"/>
          <w:sz w:val="19"/>
          <w:szCs w:val="19"/>
        </w:rPr>
        <w:t>2.05.10. Notwithstanding anything to the contrary contained in this Section 2.05, the corporation shall not be required to include in its proxy materials, pursuant to thi</w:t>
      </w:r>
      <w:r>
        <w:rPr>
          <w:rFonts w:ascii="Arial" w:eastAsia="Arial" w:hAnsi="Arial" w:cs="Arial"/>
          <w:sz w:val="19"/>
          <w:szCs w:val="19"/>
        </w:rPr>
        <w:t xml:space="preserve">s Section 2.05, any Stockholder Nominee (i) who would not be an independent director under the rules and listing standards of the principal securities exchange upon which the common stock of the corporation is listed or traded, any applicable rules of the </w:t>
      </w:r>
      <w:r>
        <w:rPr>
          <w:rFonts w:ascii="Arial" w:eastAsia="Arial" w:hAnsi="Arial" w:cs="Arial"/>
          <w:sz w:val="19"/>
          <w:szCs w:val="19"/>
        </w:rPr>
        <w:t>SEC or any publicly disclosed standards used by the Board of Directors in determining and disclosing the independence of the corporation’s directors, (ii) whose election as a member of the Board of Directors would cause the corporation to be in violation o</w:t>
      </w:r>
      <w:r>
        <w:rPr>
          <w:rFonts w:ascii="Arial" w:eastAsia="Arial" w:hAnsi="Arial" w:cs="Arial"/>
          <w:sz w:val="19"/>
          <w:szCs w:val="19"/>
        </w:rPr>
        <w:t>f these bylaws, the certificate of incorporation, the rules and listing standards of the principal securities exchanges upon which the common stock of the corporation is listed or traded or any applicable law, rule or regulation, (iii) who would not meet t</w:t>
      </w:r>
      <w:r>
        <w:rPr>
          <w:rFonts w:ascii="Arial" w:eastAsia="Arial" w:hAnsi="Arial" w:cs="Arial"/>
          <w:sz w:val="19"/>
          <w:szCs w:val="19"/>
        </w:rPr>
        <w:t>he audit committee and compensation committee independence requirements under the rules and listing standards of the principal securities exchange upon which the common stock of the corporation is listed or traded, any applicable rules of the SEC or any pu</w:t>
      </w:r>
      <w:r>
        <w:rPr>
          <w:rFonts w:ascii="Arial" w:eastAsia="Arial" w:hAnsi="Arial" w:cs="Arial"/>
          <w:sz w:val="19"/>
          <w:szCs w:val="19"/>
        </w:rPr>
        <w:t xml:space="preserve">blicly disclosed standards used by the Board of Directors in determining and disclosing the independence of such committee members, (iv) who would not be, if elected to the Board of Directors, a “non-employee director” for the purposes of Rule 16b-3 under </w:t>
      </w:r>
      <w:r>
        <w:rPr>
          <w:rFonts w:ascii="Arial" w:eastAsia="Arial" w:hAnsi="Arial" w:cs="Arial"/>
          <w:sz w:val="19"/>
          <w:szCs w:val="19"/>
        </w:rPr>
        <w:t>the Exchange Act, (v) who would not be, if elected to the Board of Directors, an “outside director” for the purposes of Section 162(m) under the Internal Revenue Code, (vi) who is or has been, within the past three years, an officer or director of a compet</w:t>
      </w:r>
      <w:r>
        <w:rPr>
          <w:rFonts w:ascii="Arial" w:eastAsia="Arial" w:hAnsi="Arial" w:cs="Arial"/>
          <w:sz w:val="19"/>
          <w:szCs w:val="19"/>
        </w:rPr>
        <w:t>itor, as defined in Section 8 of the Clayton Antitrust Act of 1914, as amended, (vii) who is a named subject of a pending criminal proceeding (excluding traffic violations and other minor offenses) or has been convicted in such a criminal proceeding within</w:t>
      </w:r>
      <w:r>
        <w:rPr>
          <w:rFonts w:ascii="Arial" w:eastAsia="Arial" w:hAnsi="Arial" w:cs="Arial"/>
          <w:sz w:val="19"/>
          <w:szCs w:val="19"/>
        </w:rPr>
        <w:t xml:space="preserve"> the past 10 years, (viii) who is or has been subject to any event of the type specified in Rule 506(d)(1) of Regulation D promulgated under the Securities Act of 1933, as amended (the “Securities Act”), or (ix) who shall have provided any information to t</w:t>
      </w:r>
      <w:r>
        <w:rPr>
          <w:rFonts w:ascii="Arial" w:eastAsia="Arial" w:hAnsi="Arial" w:cs="Arial"/>
          <w:sz w:val="19"/>
          <w:szCs w:val="19"/>
        </w:rPr>
        <w:t>he corporation or its stockholders that was untrue in any material respect or that omitted to state a material fact necessary to make the statements made, in light of the circumstances in which they were made, not misleading.</w:t>
      </w:r>
    </w:p>
    <w:p w14:paraId="2E7159E0" w14:textId="77777777" w:rsidR="00D1587D" w:rsidRDefault="00D1587D">
      <w:pPr>
        <w:spacing w:line="200" w:lineRule="exact"/>
        <w:rPr>
          <w:sz w:val="20"/>
          <w:szCs w:val="20"/>
        </w:rPr>
      </w:pPr>
    </w:p>
    <w:p w14:paraId="4D91C442" w14:textId="77777777" w:rsidR="00D1587D" w:rsidRDefault="00D1587D">
      <w:pPr>
        <w:spacing w:line="233" w:lineRule="exact"/>
        <w:rPr>
          <w:sz w:val="20"/>
          <w:szCs w:val="20"/>
        </w:rPr>
      </w:pPr>
    </w:p>
    <w:p w14:paraId="6C2308AB" w14:textId="77777777" w:rsidR="00D1587D" w:rsidRDefault="00410D07">
      <w:pPr>
        <w:spacing w:line="273" w:lineRule="auto"/>
        <w:ind w:right="40" w:firstLine="648"/>
        <w:rPr>
          <w:sz w:val="20"/>
          <w:szCs w:val="20"/>
        </w:rPr>
      </w:pPr>
      <w:r>
        <w:rPr>
          <w:rFonts w:ascii="Arial" w:eastAsia="Arial" w:hAnsi="Arial" w:cs="Arial"/>
          <w:sz w:val="19"/>
          <w:szCs w:val="19"/>
        </w:rPr>
        <w:t>2.05.11. Notwithstanding any</w:t>
      </w:r>
      <w:r>
        <w:rPr>
          <w:rFonts w:ascii="Arial" w:eastAsia="Arial" w:hAnsi="Arial" w:cs="Arial"/>
          <w:sz w:val="19"/>
          <w:szCs w:val="19"/>
        </w:rPr>
        <w:t>thing to the contrary set forth herein, if (i) a Stockholder Nominee and/or the applicable Eligible Stockholder breaches any of its agreements or representations or fails to comply with any of its obligations under this Section 2.05 or (ii) a Stockholder N</w:t>
      </w:r>
      <w:r>
        <w:rPr>
          <w:rFonts w:ascii="Arial" w:eastAsia="Arial" w:hAnsi="Arial" w:cs="Arial"/>
          <w:sz w:val="19"/>
          <w:szCs w:val="19"/>
        </w:rPr>
        <w:t>ominee otherwise becomes ineligible for inclusion in the corporation’s proxy materials pursuant to this Section 2.05 or dies, becomes disabled or otherwise becomes ineligible or unavailable for election at the annual meeting, (A) the corporation may omit o</w:t>
      </w:r>
      <w:r>
        <w:rPr>
          <w:rFonts w:ascii="Arial" w:eastAsia="Arial" w:hAnsi="Arial" w:cs="Arial"/>
          <w:sz w:val="19"/>
          <w:szCs w:val="19"/>
        </w:rPr>
        <w:t>r, to the extent feasible, remove the information concerning such Stockholder Nominee and the related Supporting Statement from its proxy materials and/or otherwise communicate to its stockholders that such Stockholder Nominee will not be eligible for elec</w:t>
      </w:r>
      <w:r>
        <w:rPr>
          <w:rFonts w:ascii="Arial" w:eastAsia="Arial" w:hAnsi="Arial" w:cs="Arial"/>
          <w:sz w:val="19"/>
          <w:szCs w:val="19"/>
        </w:rPr>
        <w:t>tion at the annual meeting and (B) the Board of Directors (or any duly authorized committee thereof) or the chair of the annual meeting shall declare such nomination to be invalid and such nomination shall be disregarded notwithstanding that proxies in res</w:t>
      </w:r>
      <w:r>
        <w:rPr>
          <w:rFonts w:ascii="Arial" w:eastAsia="Arial" w:hAnsi="Arial" w:cs="Arial"/>
          <w:sz w:val="19"/>
          <w:szCs w:val="19"/>
        </w:rPr>
        <w:t>pect of such vote may have been received by the corporation. In addition, if the Eligible Stockholder (or a representative thereof) does not appear at the annual meeting to present any nomination pursuant to this Section 2.05, such nomination shall be decl</w:t>
      </w:r>
      <w:r>
        <w:rPr>
          <w:rFonts w:ascii="Arial" w:eastAsia="Arial" w:hAnsi="Arial" w:cs="Arial"/>
          <w:sz w:val="19"/>
          <w:szCs w:val="19"/>
        </w:rPr>
        <w:t>ared invalid and disregarded as provided in clause (B) above.</w:t>
      </w:r>
    </w:p>
    <w:p w14:paraId="17106928" w14:textId="77777777" w:rsidR="00D1587D" w:rsidRDefault="00D1587D">
      <w:pPr>
        <w:spacing w:line="182" w:lineRule="exact"/>
        <w:rPr>
          <w:sz w:val="20"/>
          <w:szCs w:val="20"/>
        </w:rPr>
      </w:pPr>
    </w:p>
    <w:p w14:paraId="6B9EDFB2" w14:textId="77777777" w:rsidR="00D1587D" w:rsidRDefault="00410D07">
      <w:pPr>
        <w:spacing w:line="235" w:lineRule="auto"/>
        <w:ind w:firstLine="648"/>
        <w:rPr>
          <w:sz w:val="20"/>
          <w:szCs w:val="20"/>
        </w:rPr>
      </w:pPr>
      <w:r>
        <w:rPr>
          <w:rFonts w:ascii="Arial" w:eastAsia="Arial" w:hAnsi="Arial" w:cs="Arial"/>
        </w:rPr>
        <w:t xml:space="preserve">2.05.12. Any Stockholder Nominee who is included in the corporation’s proxy materials for a particular annual meeting of stockholders but either (i) withdraws from or becomes </w:t>
      </w:r>
      <w:r>
        <w:rPr>
          <w:rFonts w:ascii="Arial" w:eastAsia="Arial" w:hAnsi="Arial" w:cs="Arial"/>
        </w:rPr>
        <w:t xml:space="preserve">ineligible or unavailable for election at the annual meeting or (ii) does not receive at least 25% of the votes cast in favor of such Stockholder Nominee’s election, will be ineligible to be a Stockholder Nominee pursuant to this Section 2.05 for the next </w:t>
      </w:r>
      <w:r>
        <w:rPr>
          <w:rFonts w:ascii="Arial" w:eastAsia="Arial" w:hAnsi="Arial" w:cs="Arial"/>
        </w:rPr>
        <w:t>two annual meetings of stockholders. For the avoidance of doubt, the immediately preceding sentence shall not prevent any stockholder from nominating any person to the Board of Directors pursuant to and in accordance with Section 2.04.</w:t>
      </w:r>
    </w:p>
    <w:p w14:paraId="48F8AA65" w14:textId="77777777" w:rsidR="00D1587D" w:rsidRDefault="00D1587D">
      <w:pPr>
        <w:spacing w:line="215" w:lineRule="exact"/>
        <w:rPr>
          <w:sz w:val="20"/>
          <w:szCs w:val="20"/>
        </w:rPr>
      </w:pPr>
    </w:p>
    <w:p w14:paraId="06ADD2EA" w14:textId="77777777" w:rsidR="00D1587D" w:rsidRDefault="00410D07">
      <w:pPr>
        <w:spacing w:line="250" w:lineRule="auto"/>
        <w:ind w:right="140" w:firstLine="648"/>
        <w:rPr>
          <w:sz w:val="20"/>
          <w:szCs w:val="20"/>
        </w:rPr>
      </w:pPr>
      <w:r>
        <w:rPr>
          <w:rFonts w:ascii="Arial" w:eastAsia="Arial" w:hAnsi="Arial" w:cs="Arial"/>
        </w:rPr>
        <w:t>2.05.13. This Secti</w:t>
      </w:r>
      <w:r>
        <w:rPr>
          <w:rFonts w:ascii="Arial" w:eastAsia="Arial" w:hAnsi="Arial" w:cs="Arial"/>
        </w:rPr>
        <w:t>on 2.05 provides the exclusive method for a stockholder to include nominees for election to the Board of Directors in the corporation’s proxy materials.</w:t>
      </w:r>
    </w:p>
    <w:p w14:paraId="558115E7" w14:textId="77777777" w:rsidR="00D1587D" w:rsidRDefault="00D1587D">
      <w:pPr>
        <w:spacing w:line="202" w:lineRule="exact"/>
        <w:rPr>
          <w:sz w:val="20"/>
          <w:szCs w:val="20"/>
        </w:rPr>
      </w:pPr>
    </w:p>
    <w:p w14:paraId="54320FEA" w14:textId="77777777" w:rsidR="00D1587D" w:rsidRDefault="00410D07">
      <w:pPr>
        <w:spacing w:line="238" w:lineRule="auto"/>
        <w:ind w:right="380" w:firstLine="648"/>
        <w:rPr>
          <w:sz w:val="20"/>
          <w:szCs w:val="20"/>
        </w:rPr>
      </w:pPr>
      <w:r>
        <w:rPr>
          <w:rFonts w:ascii="Arial" w:eastAsia="Arial" w:hAnsi="Arial" w:cs="Arial"/>
        </w:rPr>
        <w:t>Section 2.06. Resignations. Any director of the corporation may resign at any time by giving written n</w:t>
      </w:r>
      <w:r>
        <w:rPr>
          <w:rFonts w:ascii="Arial" w:eastAsia="Arial" w:hAnsi="Arial" w:cs="Arial"/>
        </w:rPr>
        <w:t>otice (including electronic transmission) to the chair of the Board of Directors or the secretary. Such resignation shall take effect at the time specified therein, and, unless otherwise specified therein, the acceptance of such resignation shall not be ne</w:t>
      </w:r>
      <w:r>
        <w:rPr>
          <w:rFonts w:ascii="Arial" w:eastAsia="Arial" w:hAnsi="Arial" w:cs="Arial"/>
        </w:rPr>
        <w:t>cessary to make it effective.</w:t>
      </w:r>
    </w:p>
    <w:p w14:paraId="1F996B69" w14:textId="77777777" w:rsidR="00D1587D" w:rsidRDefault="00D1587D">
      <w:pPr>
        <w:spacing w:line="147" w:lineRule="exact"/>
        <w:rPr>
          <w:sz w:val="20"/>
          <w:szCs w:val="20"/>
        </w:rPr>
      </w:pPr>
    </w:p>
    <w:p w14:paraId="5BBA6818" w14:textId="77777777" w:rsidR="00D1587D" w:rsidRDefault="00410D07">
      <w:pPr>
        <w:ind w:right="-19"/>
        <w:jc w:val="center"/>
        <w:rPr>
          <w:sz w:val="20"/>
          <w:szCs w:val="20"/>
        </w:rPr>
      </w:pPr>
      <w:r>
        <w:rPr>
          <w:rFonts w:ascii="Arial" w:eastAsia="Arial" w:hAnsi="Arial" w:cs="Arial"/>
          <w:sz w:val="14"/>
          <w:szCs w:val="14"/>
        </w:rPr>
        <w:t>14</w:t>
      </w:r>
    </w:p>
    <w:p w14:paraId="19384F77" w14:textId="77777777" w:rsidR="00D1587D" w:rsidRDefault="00410D07">
      <w:pPr>
        <w:spacing w:line="20" w:lineRule="exact"/>
        <w:rPr>
          <w:sz w:val="20"/>
          <w:szCs w:val="20"/>
        </w:rPr>
      </w:pPr>
      <w:r>
        <w:rPr>
          <w:noProof/>
          <w:sz w:val="20"/>
          <w:szCs w:val="20"/>
        </w:rPr>
        <w:drawing>
          <wp:anchor distT="0" distB="0" distL="114300" distR="114300" simplePos="0" relativeHeight="251227136" behindDoc="1" locked="0" layoutInCell="0" allowOverlap="1" wp14:anchorId="037B2655" wp14:editId="267A4B18">
            <wp:simplePos x="0" y="0"/>
            <wp:positionH relativeFrom="column">
              <wp:posOffset>5080</wp:posOffset>
            </wp:positionH>
            <wp:positionV relativeFrom="paragraph">
              <wp:posOffset>38100</wp:posOffset>
            </wp:positionV>
            <wp:extent cx="7132320" cy="1714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04D4D8B" w14:textId="77777777" w:rsidR="00D1587D" w:rsidRDefault="00D1587D">
      <w:pPr>
        <w:sectPr w:rsidR="00D1587D">
          <w:pgSz w:w="11900" w:h="16838"/>
          <w:pgMar w:top="361" w:right="339" w:bottom="1440" w:left="320" w:header="0" w:footer="0" w:gutter="0"/>
          <w:cols w:space="720" w:equalWidth="0">
            <w:col w:w="11240"/>
          </w:cols>
        </w:sectPr>
      </w:pPr>
    </w:p>
    <w:p w14:paraId="50A481A5" w14:textId="77777777" w:rsidR="00D1587D" w:rsidRDefault="00410D07">
      <w:pPr>
        <w:spacing w:line="248" w:lineRule="auto"/>
        <w:ind w:right="40" w:firstLine="648"/>
        <w:rPr>
          <w:sz w:val="20"/>
          <w:szCs w:val="20"/>
        </w:rPr>
      </w:pPr>
      <w:bookmarkStart w:id="79" w:name="page80"/>
      <w:bookmarkEnd w:id="79"/>
      <w:r>
        <w:rPr>
          <w:rFonts w:ascii="Arial" w:eastAsia="Arial" w:hAnsi="Arial" w:cs="Arial"/>
          <w:sz w:val="21"/>
          <w:szCs w:val="21"/>
        </w:rPr>
        <w:t>Section 2.07. Vacancies. In the event that any vacancy shall occur in the Board of Directors, whether because of death, resignation, removal, newly created directorships resulting from any increase in</w:t>
      </w:r>
      <w:r>
        <w:rPr>
          <w:rFonts w:ascii="Arial" w:eastAsia="Arial" w:hAnsi="Arial" w:cs="Arial"/>
          <w:sz w:val="21"/>
          <w:szCs w:val="21"/>
        </w:rPr>
        <w:t xml:space="preserve"> the authorized number of directors, the failure of the stockholders to elect the whole authorized number of directors, or any other reason, such vacancy may be filled by the vote of a majority of the directors then in office, although less than a quorum. </w:t>
      </w:r>
      <w:r>
        <w:rPr>
          <w:rFonts w:ascii="Arial" w:eastAsia="Arial" w:hAnsi="Arial" w:cs="Arial"/>
          <w:sz w:val="21"/>
          <w:szCs w:val="21"/>
        </w:rPr>
        <w:t>A director elected to fill a vacancy, other than a newly created directorship, shall hold office until such director’s successor shall have been duly elected and qualified or until such director’s earlier death, resignation or removal.</w:t>
      </w:r>
    </w:p>
    <w:p w14:paraId="520E80F7" w14:textId="77777777" w:rsidR="00D1587D" w:rsidRDefault="00D1587D">
      <w:pPr>
        <w:spacing w:line="204" w:lineRule="exact"/>
        <w:rPr>
          <w:sz w:val="20"/>
          <w:szCs w:val="20"/>
        </w:rPr>
      </w:pPr>
    </w:p>
    <w:p w14:paraId="11765E66" w14:textId="77777777" w:rsidR="00D1587D" w:rsidRDefault="00410D07">
      <w:pPr>
        <w:ind w:left="660"/>
        <w:rPr>
          <w:sz w:val="20"/>
          <w:szCs w:val="20"/>
        </w:rPr>
      </w:pPr>
      <w:r>
        <w:rPr>
          <w:rFonts w:ascii="Arial" w:eastAsia="Arial" w:hAnsi="Arial" w:cs="Arial"/>
          <w:sz w:val="21"/>
          <w:szCs w:val="21"/>
        </w:rPr>
        <w:t>Section 2.08. Remov</w:t>
      </w:r>
      <w:r>
        <w:rPr>
          <w:rFonts w:ascii="Arial" w:eastAsia="Arial" w:hAnsi="Arial" w:cs="Arial"/>
          <w:sz w:val="21"/>
          <w:szCs w:val="21"/>
        </w:rPr>
        <w:t>al of Directors. Directors may be removed only as provided in the certificate of incorporation.</w:t>
      </w:r>
    </w:p>
    <w:p w14:paraId="05101A4B" w14:textId="77777777" w:rsidR="00D1587D" w:rsidRDefault="00D1587D">
      <w:pPr>
        <w:spacing w:line="245" w:lineRule="exact"/>
        <w:rPr>
          <w:sz w:val="20"/>
          <w:szCs w:val="20"/>
        </w:rPr>
      </w:pPr>
    </w:p>
    <w:p w14:paraId="55CD5B4E" w14:textId="77777777" w:rsidR="00D1587D" w:rsidRDefault="00410D07">
      <w:pPr>
        <w:spacing w:line="249" w:lineRule="auto"/>
        <w:ind w:right="120" w:firstLine="648"/>
        <w:rPr>
          <w:sz w:val="20"/>
          <w:szCs w:val="20"/>
        </w:rPr>
      </w:pPr>
      <w:r>
        <w:rPr>
          <w:rFonts w:ascii="Arial" w:eastAsia="Arial" w:hAnsi="Arial" w:cs="Arial"/>
          <w:sz w:val="21"/>
          <w:szCs w:val="21"/>
        </w:rPr>
        <w:t>Section 2.09. Place of Meeting, etc. The Board of Directors may hold any of its meetings at the principal office of the corporation or at such other place or p</w:t>
      </w:r>
      <w:r>
        <w:rPr>
          <w:rFonts w:ascii="Arial" w:eastAsia="Arial" w:hAnsi="Arial" w:cs="Arial"/>
          <w:sz w:val="21"/>
          <w:szCs w:val="21"/>
        </w:rPr>
        <w:t>laces as the Board of Directors may from time to time designate. Directors may participate in any regular or special meeting of the Board of Directors by means of conference telephone or similar communications equipment pursuant to which all persons partic</w:t>
      </w:r>
      <w:r>
        <w:rPr>
          <w:rFonts w:ascii="Arial" w:eastAsia="Arial" w:hAnsi="Arial" w:cs="Arial"/>
          <w:sz w:val="21"/>
          <w:szCs w:val="21"/>
        </w:rPr>
        <w:t>ipating in the meeting of the Board of Directors can hear each other and such participation shall constitute presence in person at such meeting.</w:t>
      </w:r>
    </w:p>
    <w:p w14:paraId="423491AF" w14:textId="77777777" w:rsidR="00D1587D" w:rsidRDefault="00D1587D">
      <w:pPr>
        <w:spacing w:line="205" w:lineRule="exact"/>
        <w:rPr>
          <w:sz w:val="20"/>
          <w:szCs w:val="20"/>
        </w:rPr>
      </w:pPr>
    </w:p>
    <w:p w14:paraId="75C5B1F3" w14:textId="77777777" w:rsidR="00D1587D" w:rsidRDefault="00410D07">
      <w:pPr>
        <w:spacing w:line="238" w:lineRule="auto"/>
        <w:ind w:right="120" w:firstLine="648"/>
        <w:rPr>
          <w:sz w:val="20"/>
          <w:szCs w:val="20"/>
        </w:rPr>
      </w:pPr>
      <w:r>
        <w:rPr>
          <w:rFonts w:ascii="Arial" w:eastAsia="Arial" w:hAnsi="Arial" w:cs="Arial"/>
        </w:rPr>
        <w:t xml:space="preserve">Section 2.10. Annual Meeting. A regular annual meeting of the Board of Directors shall be held each year at </w:t>
      </w:r>
      <w:r>
        <w:rPr>
          <w:rFonts w:ascii="Arial" w:eastAsia="Arial" w:hAnsi="Arial" w:cs="Arial"/>
        </w:rPr>
        <w:t>the same place as and immediately after the annual meeting of stockholders, or at such other place and time as shall theretofore have been determined by the Board of Directors, and notice thereof need not be given. At its regular annual meeting the Board o</w:t>
      </w:r>
      <w:r>
        <w:rPr>
          <w:rFonts w:ascii="Arial" w:eastAsia="Arial" w:hAnsi="Arial" w:cs="Arial"/>
        </w:rPr>
        <w:t>f Directors shall organize itself and may transact any business.</w:t>
      </w:r>
    </w:p>
    <w:p w14:paraId="3C48AD24" w14:textId="77777777" w:rsidR="00D1587D" w:rsidRDefault="00D1587D">
      <w:pPr>
        <w:spacing w:line="212" w:lineRule="exact"/>
        <w:rPr>
          <w:sz w:val="20"/>
          <w:szCs w:val="20"/>
        </w:rPr>
      </w:pPr>
    </w:p>
    <w:p w14:paraId="4B270D47" w14:textId="77777777" w:rsidR="00D1587D" w:rsidRDefault="00410D07">
      <w:pPr>
        <w:spacing w:line="238" w:lineRule="auto"/>
        <w:ind w:right="140" w:firstLine="648"/>
        <w:rPr>
          <w:sz w:val="20"/>
          <w:szCs w:val="20"/>
        </w:rPr>
      </w:pPr>
      <w:r>
        <w:rPr>
          <w:rFonts w:ascii="Arial" w:eastAsia="Arial" w:hAnsi="Arial" w:cs="Arial"/>
        </w:rPr>
        <w:t>Section 2.11. Regular Meetings. Regular meetings of the Board of Directors may be held at such intervals and at such times as shall from time to time be determined by the Board of Directors.</w:t>
      </w:r>
      <w:r>
        <w:rPr>
          <w:rFonts w:ascii="Arial" w:eastAsia="Arial" w:hAnsi="Arial" w:cs="Arial"/>
        </w:rPr>
        <w:t xml:space="preserve"> After such determination and notice thereof has been once given to each person then a member of the Board of Directors, regular meetings may be held at such intervals and time and place without further notice being given.</w:t>
      </w:r>
    </w:p>
    <w:p w14:paraId="34353669" w14:textId="77777777" w:rsidR="00D1587D" w:rsidRDefault="00D1587D">
      <w:pPr>
        <w:spacing w:line="212" w:lineRule="exact"/>
        <w:rPr>
          <w:sz w:val="20"/>
          <w:szCs w:val="20"/>
        </w:rPr>
      </w:pPr>
    </w:p>
    <w:p w14:paraId="787516E9" w14:textId="77777777" w:rsidR="00D1587D" w:rsidRDefault="00410D07">
      <w:pPr>
        <w:ind w:right="240" w:firstLine="648"/>
        <w:rPr>
          <w:sz w:val="20"/>
          <w:szCs w:val="20"/>
        </w:rPr>
      </w:pPr>
      <w:r>
        <w:rPr>
          <w:rFonts w:ascii="Arial" w:eastAsia="Arial" w:hAnsi="Arial" w:cs="Arial"/>
        </w:rPr>
        <w:t xml:space="preserve">Section 2.12. Special </w:t>
      </w:r>
      <w:r>
        <w:rPr>
          <w:rFonts w:ascii="Arial" w:eastAsia="Arial" w:hAnsi="Arial" w:cs="Arial"/>
        </w:rPr>
        <w:t>Meetings. Special meetings of the Board of Directors may be called at any time by the Board of Directors or by the chief executive officer or by a majority of directors then in office to be held on such day and at such time as shall be specified by the per</w:t>
      </w:r>
      <w:r>
        <w:rPr>
          <w:rFonts w:ascii="Arial" w:eastAsia="Arial" w:hAnsi="Arial" w:cs="Arial"/>
        </w:rPr>
        <w:t>son or persons calling the meeting.</w:t>
      </w:r>
    </w:p>
    <w:p w14:paraId="3EFCCE66" w14:textId="77777777" w:rsidR="00D1587D" w:rsidRDefault="00D1587D">
      <w:pPr>
        <w:spacing w:line="213" w:lineRule="exact"/>
        <w:rPr>
          <w:sz w:val="20"/>
          <w:szCs w:val="20"/>
        </w:rPr>
      </w:pPr>
    </w:p>
    <w:p w14:paraId="0386EC4F" w14:textId="77777777" w:rsidR="00D1587D" w:rsidRDefault="00410D07">
      <w:pPr>
        <w:spacing w:line="271" w:lineRule="auto"/>
        <w:ind w:firstLine="648"/>
        <w:rPr>
          <w:sz w:val="20"/>
          <w:szCs w:val="20"/>
        </w:rPr>
      </w:pPr>
      <w:r>
        <w:rPr>
          <w:rFonts w:ascii="Arial" w:eastAsia="Arial" w:hAnsi="Arial" w:cs="Arial"/>
          <w:sz w:val="19"/>
          <w:szCs w:val="19"/>
        </w:rPr>
        <w:t>Section 2.13. Notice of Meetings. Notice of each special meeting or, where required, each regular meeting, of the Board of Directors shall be given to each director either by being mailed on at least the third day prior</w:t>
      </w:r>
      <w:r>
        <w:rPr>
          <w:rFonts w:ascii="Arial" w:eastAsia="Arial" w:hAnsi="Arial" w:cs="Arial"/>
          <w:sz w:val="19"/>
          <w:szCs w:val="19"/>
        </w:rPr>
        <w:t xml:space="preserve"> to the date of the meeting or by being delivered electronically or given personally or by telephone on at least 24 hours’ notice prior to the date of meeting. Such notice shall specify the place, date, and time of the meeting and, if it is for a special m</w:t>
      </w:r>
      <w:r>
        <w:rPr>
          <w:rFonts w:ascii="Arial" w:eastAsia="Arial" w:hAnsi="Arial" w:cs="Arial"/>
          <w:sz w:val="19"/>
          <w:szCs w:val="19"/>
        </w:rPr>
        <w:t xml:space="preserve">eeting, the purpose or purposes for which the meeting is called. At any meeting of the Board of Directors at which every director shall be present, even though without such notice, any business may be transacted. Any acts or proceedings taken at a meeting </w:t>
      </w:r>
      <w:r>
        <w:rPr>
          <w:rFonts w:ascii="Arial" w:eastAsia="Arial" w:hAnsi="Arial" w:cs="Arial"/>
          <w:sz w:val="19"/>
          <w:szCs w:val="19"/>
        </w:rPr>
        <w:t>of the Board of Directors not validly called or constituted may be made valid and fully effective by ratification at a subsequent meeting which shall be legally and validly called or constituted. Notice of any regular meeting of the Board of Directors need</w:t>
      </w:r>
      <w:r>
        <w:rPr>
          <w:rFonts w:ascii="Arial" w:eastAsia="Arial" w:hAnsi="Arial" w:cs="Arial"/>
          <w:sz w:val="19"/>
          <w:szCs w:val="19"/>
        </w:rPr>
        <w:t xml:space="preserve"> not state the purpose of the meeting and, at any regular meeting duly held, any business may be transacted. If the notice of a special meeting shall state as a purpose of the meeting the transaction of any business that may come before the meeting, then a</w:t>
      </w:r>
      <w:r>
        <w:rPr>
          <w:rFonts w:ascii="Arial" w:eastAsia="Arial" w:hAnsi="Arial" w:cs="Arial"/>
          <w:sz w:val="19"/>
          <w:szCs w:val="19"/>
        </w:rPr>
        <w:t>t the meeting any business may be transacted, whether or not referred to in the notice thereof. A written waiver of notice of a special or regular meeting, signed by the person or persons entitled to such notice, whether before or after the time stated the</w:t>
      </w:r>
      <w:r>
        <w:rPr>
          <w:rFonts w:ascii="Arial" w:eastAsia="Arial" w:hAnsi="Arial" w:cs="Arial"/>
          <w:sz w:val="19"/>
          <w:szCs w:val="19"/>
        </w:rPr>
        <w:t>rein, shall be deemed the equivalent of such notice, and attendance of a director at a meeting shall constitute a waiver of notice of such meeting except when the director attends the meeting and prior to or at the commencement of such meeting protests the</w:t>
      </w:r>
      <w:r>
        <w:rPr>
          <w:rFonts w:ascii="Arial" w:eastAsia="Arial" w:hAnsi="Arial" w:cs="Arial"/>
          <w:sz w:val="19"/>
          <w:szCs w:val="19"/>
        </w:rPr>
        <w:t xml:space="preserve"> lack of proper notice.</w:t>
      </w:r>
    </w:p>
    <w:p w14:paraId="6A245096" w14:textId="77777777" w:rsidR="00D1587D" w:rsidRDefault="00D1587D">
      <w:pPr>
        <w:spacing w:line="191" w:lineRule="exact"/>
        <w:rPr>
          <w:sz w:val="20"/>
          <w:szCs w:val="20"/>
        </w:rPr>
      </w:pPr>
    </w:p>
    <w:p w14:paraId="0E348C0C" w14:textId="77777777" w:rsidR="00D1587D" w:rsidRDefault="00410D07">
      <w:pPr>
        <w:spacing w:line="287" w:lineRule="auto"/>
        <w:ind w:right="20" w:firstLine="648"/>
        <w:rPr>
          <w:sz w:val="20"/>
          <w:szCs w:val="20"/>
        </w:rPr>
      </w:pPr>
      <w:r>
        <w:rPr>
          <w:rFonts w:ascii="Arial" w:eastAsia="Arial" w:hAnsi="Arial" w:cs="Arial"/>
          <w:sz w:val="19"/>
          <w:szCs w:val="19"/>
        </w:rPr>
        <w:t xml:space="preserve">Section 2.14. Quorum and Voting. At all meetings of the Board of Directors, the presence of a majority of the directors then in office shall constitute a quorum for the transaction of business. Except as otherwise required by law, </w:t>
      </w:r>
      <w:r>
        <w:rPr>
          <w:rFonts w:ascii="Arial" w:eastAsia="Arial" w:hAnsi="Arial" w:cs="Arial"/>
          <w:sz w:val="19"/>
          <w:szCs w:val="19"/>
        </w:rPr>
        <w:t>the certificate of incorporation, or these bylaws, the vote of a majority of the directors present at any meeting at which a quorum is present shall be the act of the Board of Directors. At all meetings of the Board of Directors, each director shall have o</w:t>
      </w:r>
      <w:r>
        <w:rPr>
          <w:rFonts w:ascii="Arial" w:eastAsia="Arial" w:hAnsi="Arial" w:cs="Arial"/>
          <w:sz w:val="19"/>
          <w:szCs w:val="19"/>
        </w:rPr>
        <w:t>ne vote.</w:t>
      </w:r>
    </w:p>
    <w:p w14:paraId="10ED5E03" w14:textId="77777777" w:rsidR="00D1587D" w:rsidRDefault="00D1587D">
      <w:pPr>
        <w:spacing w:line="105" w:lineRule="exact"/>
        <w:rPr>
          <w:sz w:val="20"/>
          <w:szCs w:val="20"/>
        </w:rPr>
      </w:pPr>
    </w:p>
    <w:p w14:paraId="7D3C4EA9" w14:textId="77777777" w:rsidR="00D1587D" w:rsidRDefault="00410D07">
      <w:pPr>
        <w:ind w:right="-19"/>
        <w:jc w:val="center"/>
        <w:rPr>
          <w:sz w:val="20"/>
          <w:szCs w:val="20"/>
        </w:rPr>
      </w:pPr>
      <w:r>
        <w:rPr>
          <w:rFonts w:ascii="Arial" w:eastAsia="Arial" w:hAnsi="Arial" w:cs="Arial"/>
          <w:sz w:val="14"/>
          <w:szCs w:val="14"/>
        </w:rPr>
        <w:t>15</w:t>
      </w:r>
    </w:p>
    <w:p w14:paraId="0DA2A4BB" w14:textId="77777777" w:rsidR="00D1587D" w:rsidRDefault="00410D07">
      <w:pPr>
        <w:spacing w:line="20" w:lineRule="exact"/>
        <w:rPr>
          <w:sz w:val="20"/>
          <w:szCs w:val="20"/>
        </w:rPr>
      </w:pPr>
      <w:r>
        <w:rPr>
          <w:noProof/>
          <w:sz w:val="20"/>
          <w:szCs w:val="20"/>
        </w:rPr>
        <w:drawing>
          <wp:anchor distT="0" distB="0" distL="114300" distR="114300" simplePos="0" relativeHeight="251228160" behindDoc="1" locked="0" layoutInCell="0" allowOverlap="1" wp14:anchorId="3C9FA4BF" wp14:editId="538002BC">
            <wp:simplePos x="0" y="0"/>
            <wp:positionH relativeFrom="column">
              <wp:posOffset>5080</wp:posOffset>
            </wp:positionH>
            <wp:positionV relativeFrom="paragraph">
              <wp:posOffset>38100</wp:posOffset>
            </wp:positionV>
            <wp:extent cx="7132320" cy="1714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3964CD0" w14:textId="77777777" w:rsidR="00D1587D" w:rsidRDefault="00D1587D">
      <w:pPr>
        <w:sectPr w:rsidR="00D1587D">
          <w:pgSz w:w="11900" w:h="16838"/>
          <w:pgMar w:top="361" w:right="339" w:bottom="1440" w:left="320" w:header="0" w:footer="0" w:gutter="0"/>
          <w:cols w:space="720" w:equalWidth="0">
            <w:col w:w="11240"/>
          </w:cols>
        </w:sectPr>
      </w:pPr>
    </w:p>
    <w:p w14:paraId="280D87DA" w14:textId="77777777" w:rsidR="00D1587D" w:rsidRDefault="00410D07">
      <w:pPr>
        <w:ind w:left="660"/>
        <w:rPr>
          <w:sz w:val="20"/>
          <w:szCs w:val="20"/>
        </w:rPr>
      </w:pPr>
      <w:bookmarkStart w:id="80" w:name="page81"/>
      <w:bookmarkEnd w:id="80"/>
      <w:r>
        <w:rPr>
          <w:rFonts w:ascii="Arial" w:eastAsia="Arial" w:hAnsi="Arial" w:cs="Arial"/>
        </w:rPr>
        <w:t>Section 2.15. Committees.</w:t>
      </w:r>
    </w:p>
    <w:p w14:paraId="2A218A31" w14:textId="77777777" w:rsidR="00D1587D" w:rsidRDefault="00D1587D">
      <w:pPr>
        <w:spacing w:line="233" w:lineRule="exact"/>
        <w:rPr>
          <w:sz w:val="20"/>
          <w:szCs w:val="20"/>
        </w:rPr>
      </w:pPr>
    </w:p>
    <w:p w14:paraId="63BF4507" w14:textId="77777777" w:rsidR="00D1587D" w:rsidRDefault="00410D07">
      <w:pPr>
        <w:spacing w:line="248" w:lineRule="auto"/>
        <w:ind w:right="60" w:firstLine="648"/>
        <w:rPr>
          <w:sz w:val="20"/>
          <w:szCs w:val="20"/>
        </w:rPr>
      </w:pPr>
      <w:r>
        <w:rPr>
          <w:rFonts w:ascii="Arial" w:eastAsia="Arial" w:hAnsi="Arial" w:cs="Arial"/>
          <w:sz w:val="21"/>
          <w:szCs w:val="21"/>
        </w:rPr>
        <w:t xml:space="preserve">2.15.01. The Board of Directors may designate one or more committees of the Board of Directors, to consist of one or more directors of the corporation, and may delegate to any such </w:t>
      </w:r>
      <w:r>
        <w:rPr>
          <w:rFonts w:ascii="Arial" w:eastAsia="Arial" w:hAnsi="Arial" w:cs="Arial"/>
          <w:sz w:val="21"/>
          <w:szCs w:val="21"/>
        </w:rPr>
        <w:t>committee any of the authority of the Board of Directors, however conferred, other than the power or authority in reference to amending the certificate of incorporation, adopting an agreement of merger or consolidation, recommending to the stockholders the</w:t>
      </w:r>
      <w:r>
        <w:rPr>
          <w:rFonts w:ascii="Arial" w:eastAsia="Arial" w:hAnsi="Arial" w:cs="Arial"/>
          <w:sz w:val="21"/>
          <w:szCs w:val="21"/>
        </w:rPr>
        <w:t xml:space="preserve"> sale, lease, or exchange of all or substantially all of the corporation’s property and assets, recommending to the stockholders a dissolution of the corporation or a revocation of a dissolution, or amending the bylaws of the corporation.</w:t>
      </w:r>
    </w:p>
    <w:p w14:paraId="3BC80578" w14:textId="77777777" w:rsidR="00D1587D" w:rsidRDefault="00D1587D">
      <w:pPr>
        <w:spacing w:line="204" w:lineRule="exact"/>
        <w:rPr>
          <w:sz w:val="20"/>
          <w:szCs w:val="20"/>
        </w:rPr>
      </w:pPr>
    </w:p>
    <w:p w14:paraId="0386A3F7" w14:textId="77777777" w:rsidR="00D1587D" w:rsidRDefault="00410D07">
      <w:pPr>
        <w:spacing w:line="236" w:lineRule="auto"/>
        <w:ind w:right="60" w:firstLine="648"/>
        <w:rPr>
          <w:sz w:val="20"/>
          <w:szCs w:val="20"/>
        </w:rPr>
      </w:pPr>
      <w:r>
        <w:rPr>
          <w:rFonts w:ascii="Arial" w:eastAsia="Arial" w:hAnsi="Arial" w:cs="Arial"/>
        </w:rPr>
        <w:t>2.15.02. Each su</w:t>
      </w:r>
      <w:r>
        <w:rPr>
          <w:rFonts w:ascii="Arial" w:eastAsia="Arial" w:hAnsi="Arial" w:cs="Arial"/>
        </w:rPr>
        <w:t>ch committee shall serve at the pleasure of the Board of Directors, shall act only in the intervals between meetings of the Board of Directors, and shall be subject to the control and direction of the Board of Directors. Any such committee may act by a maj</w:t>
      </w:r>
      <w:r>
        <w:rPr>
          <w:rFonts w:ascii="Arial" w:eastAsia="Arial" w:hAnsi="Arial" w:cs="Arial"/>
        </w:rPr>
        <w:t>ority of its members at a meeting or by a writing or writings signed by all of its members. Any such committee shall keep written minutes of its meetings and report the same to the Board of Directors at the next regular meeting of the Board of Directors.</w:t>
      </w:r>
    </w:p>
    <w:p w14:paraId="5F4CE643" w14:textId="77777777" w:rsidR="00D1587D" w:rsidRDefault="00D1587D">
      <w:pPr>
        <w:spacing w:line="214" w:lineRule="exact"/>
        <w:rPr>
          <w:sz w:val="20"/>
          <w:szCs w:val="20"/>
        </w:rPr>
      </w:pPr>
    </w:p>
    <w:p w14:paraId="242A86A3" w14:textId="77777777" w:rsidR="00D1587D" w:rsidRDefault="00410D07">
      <w:pPr>
        <w:spacing w:line="238" w:lineRule="auto"/>
        <w:ind w:right="320" w:firstLine="648"/>
        <w:rPr>
          <w:sz w:val="20"/>
          <w:szCs w:val="20"/>
        </w:rPr>
      </w:pPr>
      <w:r>
        <w:rPr>
          <w:rFonts w:ascii="Arial" w:eastAsia="Arial" w:hAnsi="Arial" w:cs="Arial"/>
        </w:rPr>
        <w:t>Section 2.16. Compensation. The Board of Directors may, by resolution passed by a majority of those in office, fix the compensation of directors for service in any capacity and may fix fees for attendance at meetings and may authorize the corporation to pa</w:t>
      </w:r>
      <w:r>
        <w:rPr>
          <w:rFonts w:ascii="Arial" w:eastAsia="Arial" w:hAnsi="Arial" w:cs="Arial"/>
        </w:rPr>
        <w:t>y the traveling and other expenses of directors incident to their attendance at meetings, or may delegate such authority to a committee of the Board of Directors.</w:t>
      </w:r>
    </w:p>
    <w:p w14:paraId="0E7BDD15" w14:textId="77777777" w:rsidR="00D1587D" w:rsidRDefault="00D1587D">
      <w:pPr>
        <w:spacing w:line="212" w:lineRule="exact"/>
        <w:rPr>
          <w:sz w:val="20"/>
          <w:szCs w:val="20"/>
        </w:rPr>
      </w:pPr>
    </w:p>
    <w:p w14:paraId="40DD1524" w14:textId="77777777" w:rsidR="00D1587D" w:rsidRDefault="00410D07">
      <w:pPr>
        <w:spacing w:line="238" w:lineRule="auto"/>
        <w:ind w:firstLine="648"/>
        <w:rPr>
          <w:sz w:val="20"/>
          <w:szCs w:val="20"/>
        </w:rPr>
      </w:pPr>
      <w:r>
        <w:rPr>
          <w:rFonts w:ascii="Arial" w:eastAsia="Arial" w:hAnsi="Arial" w:cs="Arial"/>
        </w:rPr>
        <w:t>Section 2.17. Action by Consent. Any action required or permitted to be taken at any meeting</w:t>
      </w:r>
      <w:r>
        <w:rPr>
          <w:rFonts w:ascii="Arial" w:eastAsia="Arial" w:hAnsi="Arial" w:cs="Arial"/>
        </w:rPr>
        <w:t xml:space="preserve"> of the Board of Directors or any committee thereof may be taken without a meeting if a written consent thereto is signed by all members of the Board of Directors or of such committee, as the case may be, and such written consent is filed with the minutes </w:t>
      </w:r>
      <w:r>
        <w:rPr>
          <w:rFonts w:ascii="Arial" w:eastAsia="Arial" w:hAnsi="Arial" w:cs="Arial"/>
        </w:rPr>
        <w:t>of proceedings of the Board of Directors or such committee.</w:t>
      </w:r>
    </w:p>
    <w:p w14:paraId="7C80EDDA" w14:textId="77777777" w:rsidR="00D1587D" w:rsidRDefault="00D1587D">
      <w:pPr>
        <w:spacing w:line="212" w:lineRule="exact"/>
        <w:rPr>
          <w:sz w:val="20"/>
          <w:szCs w:val="20"/>
        </w:rPr>
      </w:pPr>
    </w:p>
    <w:p w14:paraId="7931B3FC" w14:textId="77777777" w:rsidR="00D1587D" w:rsidRDefault="00410D07">
      <w:pPr>
        <w:spacing w:line="274" w:lineRule="auto"/>
        <w:ind w:right="40" w:firstLine="648"/>
        <w:rPr>
          <w:sz w:val="20"/>
          <w:szCs w:val="20"/>
        </w:rPr>
      </w:pPr>
      <w:r>
        <w:rPr>
          <w:rFonts w:ascii="Arial" w:eastAsia="Arial" w:hAnsi="Arial" w:cs="Arial"/>
          <w:sz w:val="19"/>
          <w:szCs w:val="19"/>
        </w:rPr>
        <w:t>Section 2.18. Chair of the Board of Directors; Vice Chair of the Board of Directors. There shall be a chair of the Board of Directors and, if determined by the Board of Directors, a vice chair of</w:t>
      </w:r>
      <w:r>
        <w:rPr>
          <w:rFonts w:ascii="Arial" w:eastAsia="Arial" w:hAnsi="Arial" w:cs="Arial"/>
          <w:sz w:val="19"/>
          <w:szCs w:val="19"/>
        </w:rPr>
        <w:t xml:space="preserve"> the Board of Directors, each of whom shall be chosen by the Board of Directors from among the directors. The chair of the Board of Directors and the vice chair of the Board of Directors may but need not be officers of or employed by the corporation. The c</w:t>
      </w:r>
      <w:r>
        <w:rPr>
          <w:rFonts w:ascii="Arial" w:eastAsia="Arial" w:hAnsi="Arial" w:cs="Arial"/>
          <w:sz w:val="19"/>
          <w:szCs w:val="19"/>
        </w:rPr>
        <w:t>hair of the Board of Directors shall preside at all meetings of the Board of Directors and all meetings of the stockholders, shall have the respective powers and duties set forth in these bylaws, and shall also have such other powers and duties as from tim</w:t>
      </w:r>
      <w:r>
        <w:rPr>
          <w:rFonts w:ascii="Arial" w:eastAsia="Arial" w:hAnsi="Arial" w:cs="Arial"/>
          <w:sz w:val="19"/>
          <w:szCs w:val="19"/>
        </w:rPr>
        <w:t>e to time may be conferred by the Board of Directors. The vice chair of the Board of Directors shall perform the duties of the chair of the Board of Directors in his or her absence or disability, shall have the respective powers and duties set forth in the</w:t>
      </w:r>
      <w:r>
        <w:rPr>
          <w:rFonts w:ascii="Arial" w:eastAsia="Arial" w:hAnsi="Arial" w:cs="Arial"/>
          <w:sz w:val="19"/>
          <w:szCs w:val="19"/>
        </w:rPr>
        <w:t>se bylaws, and shall also have such other powers and duties as from time to time may be conferred by the Board of Directors.</w:t>
      </w:r>
    </w:p>
    <w:p w14:paraId="02D2CB0E" w14:textId="77777777" w:rsidR="00D1587D" w:rsidRDefault="00D1587D">
      <w:pPr>
        <w:spacing w:line="185" w:lineRule="exact"/>
        <w:rPr>
          <w:sz w:val="20"/>
          <w:szCs w:val="20"/>
        </w:rPr>
      </w:pPr>
    </w:p>
    <w:p w14:paraId="6BC478FA" w14:textId="77777777" w:rsidR="00D1587D" w:rsidRDefault="00410D07">
      <w:pPr>
        <w:ind w:left="660"/>
        <w:rPr>
          <w:sz w:val="20"/>
          <w:szCs w:val="20"/>
        </w:rPr>
      </w:pPr>
      <w:r>
        <w:rPr>
          <w:rFonts w:ascii="Arial" w:eastAsia="Arial" w:hAnsi="Arial" w:cs="Arial"/>
        </w:rPr>
        <w:t>ARTICLE III OFFICERS</w:t>
      </w:r>
    </w:p>
    <w:p w14:paraId="6B62050F" w14:textId="77777777" w:rsidR="00D1587D" w:rsidRDefault="00D1587D">
      <w:pPr>
        <w:spacing w:line="233" w:lineRule="exact"/>
        <w:rPr>
          <w:sz w:val="20"/>
          <w:szCs w:val="20"/>
        </w:rPr>
      </w:pPr>
    </w:p>
    <w:p w14:paraId="2A68F322" w14:textId="77777777" w:rsidR="00D1587D" w:rsidRDefault="00410D07">
      <w:pPr>
        <w:spacing w:line="297" w:lineRule="auto"/>
        <w:ind w:right="60" w:firstLine="648"/>
        <w:rPr>
          <w:sz w:val="20"/>
          <w:szCs w:val="20"/>
        </w:rPr>
      </w:pPr>
      <w:r>
        <w:rPr>
          <w:rFonts w:ascii="Arial" w:eastAsia="Arial" w:hAnsi="Arial" w:cs="Arial"/>
          <w:sz w:val="19"/>
          <w:szCs w:val="19"/>
        </w:rPr>
        <w:t>Section 3.01. General Provisions. The officers of the corporation shall include the following: a chief execu</w:t>
      </w:r>
      <w:r>
        <w:rPr>
          <w:rFonts w:ascii="Arial" w:eastAsia="Arial" w:hAnsi="Arial" w:cs="Arial"/>
          <w:sz w:val="19"/>
          <w:szCs w:val="19"/>
        </w:rPr>
        <w:t>tive officer; a president; such number of vice presidents as the board may from time to time determine; a secretary; and a treasurer. Any person may hold any two or more offices and perform the duties thereof, except the offices of president and secretary.</w:t>
      </w:r>
    </w:p>
    <w:p w14:paraId="17441B5F" w14:textId="77777777" w:rsidR="00D1587D" w:rsidRDefault="00D1587D">
      <w:pPr>
        <w:spacing w:line="161" w:lineRule="exact"/>
        <w:rPr>
          <w:sz w:val="20"/>
          <w:szCs w:val="20"/>
        </w:rPr>
      </w:pPr>
    </w:p>
    <w:p w14:paraId="2ADAD1F2" w14:textId="77777777" w:rsidR="00D1587D" w:rsidRDefault="00410D07">
      <w:pPr>
        <w:ind w:right="200" w:firstLine="648"/>
        <w:rPr>
          <w:sz w:val="20"/>
          <w:szCs w:val="20"/>
        </w:rPr>
      </w:pPr>
      <w:r>
        <w:rPr>
          <w:rFonts w:ascii="Arial" w:eastAsia="Arial" w:hAnsi="Arial" w:cs="Arial"/>
        </w:rPr>
        <w:t>Section 3.02. Election, Terms of Office, and Qualification. The officers of the corporation named in Section 3.01 of this Article III shall be elected by the Board of Directors for an indeterminate term and shall hold office during the pleasure of the Bo</w:t>
      </w:r>
      <w:r>
        <w:rPr>
          <w:rFonts w:ascii="Arial" w:eastAsia="Arial" w:hAnsi="Arial" w:cs="Arial"/>
        </w:rPr>
        <w:t>ard of Directors.</w:t>
      </w:r>
    </w:p>
    <w:p w14:paraId="27B500DD" w14:textId="77777777" w:rsidR="00D1587D" w:rsidRDefault="00D1587D">
      <w:pPr>
        <w:spacing w:line="213" w:lineRule="exact"/>
        <w:rPr>
          <w:sz w:val="20"/>
          <w:szCs w:val="20"/>
        </w:rPr>
      </w:pPr>
    </w:p>
    <w:p w14:paraId="65EEF0DB" w14:textId="77777777" w:rsidR="00D1587D" w:rsidRDefault="00410D07">
      <w:pPr>
        <w:spacing w:line="277" w:lineRule="auto"/>
        <w:ind w:right="80" w:firstLine="648"/>
        <w:rPr>
          <w:sz w:val="20"/>
          <w:szCs w:val="20"/>
        </w:rPr>
      </w:pPr>
      <w:r>
        <w:rPr>
          <w:rFonts w:ascii="Arial" w:eastAsia="Arial" w:hAnsi="Arial" w:cs="Arial"/>
          <w:sz w:val="19"/>
          <w:szCs w:val="19"/>
        </w:rPr>
        <w:t xml:space="preserve">Section 3.03. Additional Officers, Agents, etc. In addition to the officers mentioned in Section 3.01 of this Article III, the corporation may have such other officers or agents as the Board of Directors may deem necessary and may </w:t>
      </w:r>
      <w:r>
        <w:rPr>
          <w:rFonts w:ascii="Arial" w:eastAsia="Arial" w:hAnsi="Arial" w:cs="Arial"/>
          <w:sz w:val="19"/>
          <w:szCs w:val="19"/>
        </w:rPr>
        <w:t>appoint, each of whom or each member of which shall hold office for such period, have such authority, and perform such duties as may be provided in these bylaws or as the Board of Directors may from time to time determine. The Board of Directors may delega</w:t>
      </w:r>
      <w:r>
        <w:rPr>
          <w:rFonts w:ascii="Arial" w:eastAsia="Arial" w:hAnsi="Arial" w:cs="Arial"/>
          <w:sz w:val="19"/>
          <w:szCs w:val="19"/>
        </w:rPr>
        <w:t>te to any officer the power to appoint any subordinate officers or agents. In the absence of any officer of the corporation, or for any other reason the Board of Directors may deem sufficient, the Board of Directors may delegate, for the time being, any or</w:t>
      </w:r>
      <w:r>
        <w:rPr>
          <w:rFonts w:ascii="Arial" w:eastAsia="Arial" w:hAnsi="Arial" w:cs="Arial"/>
          <w:sz w:val="19"/>
          <w:szCs w:val="19"/>
        </w:rPr>
        <w:t xml:space="preserve"> all of the powers and duties of such officer to any other officer or to any director.</w:t>
      </w:r>
    </w:p>
    <w:p w14:paraId="1A9AE1D8" w14:textId="77777777" w:rsidR="00D1587D" w:rsidRDefault="00D1587D">
      <w:pPr>
        <w:spacing w:line="114" w:lineRule="exact"/>
        <w:rPr>
          <w:sz w:val="20"/>
          <w:szCs w:val="20"/>
        </w:rPr>
      </w:pPr>
    </w:p>
    <w:p w14:paraId="42D6DE9B" w14:textId="77777777" w:rsidR="00D1587D" w:rsidRDefault="00410D07">
      <w:pPr>
        <w:ind w:right="-39"/>
        <w:jc w:val="center"/>
        <w:rPr>
          <w:sz w:val="20"/>
          <w:szCs w:val="20"/>
        </w:rPr>
      </w:pPr>
      <w:r>
        <w:rPr>
          <w:rFonts w:ascii="Arial" w:eastAsia="Arial" w:hAnsi="Arial" w:cs="Arial"/>
          <w:sz w:val="14"/>
          <w:szCs w:val="14"/>
        </w:rPr>
        <w:t>16</w:t>
      </w:r>
    </w:p>
    <w:p w14:paraId="4826B08E" w14:textId="77777777" w:rsidR="00D1587D" w:rsidRDefault="00410D07">
      <w:pPr>
        <w:spacing w:line="20" w:lineRule="exact"/>
        <w:rPr>
          <w:sz w:val="20"/>
          <w:szCs w:val="20"/>
        </w:rPr>
      </w:pPr>
      <w:r>
        <w:rPr>
          <w:noProof/>
          <w:sz w:val="20"/>
          <w:szCs w:val="20"/>
        </w:rPr>
        <w:drawing>
          <wp:anchor distT="0" distB="0" distL="114300" distR="114300" simplePos="0" relativeHeight="251229184" behindDoc="1" locked="0" layoutInCell="0" allowOverlap="1" wp14:anchorId="70F5CDD8" wp14:editId="20E6D8B9">
            <wp:simplePos x="0" y="0"/>
            <wp:positionH relativeFrom="column">
              <wp:posOffset>5080</wp:posOffset>
            </wp:positionH>
            <wp:positionV relativeFrom="paragraph">
              <wp:posOffset>38100</wp:posOffset>
            </wp:positionV>
            <wp:extent cx="7132320" cy="1714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F502609" w14:textId="77777777" w:rsidR="00D1587D" w:rsidRDefault="00D1587D">
      <w:pPr>
        <w:sectPr w:rsidR="00D1587D">
          <w:pgSz w:w="11900" w:h="16838"/>
          <w:pgMar w:top="361" w:right="379" w:bottom="1440" w:left="320" w:header="0" w:footer="0" w:gutter="0"/>
          <w:cols w:space="720" w:equalWidth="0">
            <w:col w:w="11200"/>
          </w:cols>
        </w:sectPr>
      </w:pPr>
    </w:p>
    <w:p w14:paraId="10CFD0B5" w14:textId="77777777" w:rsidR="00D1587D" w:rsidRDefault="00410D07">
      <w:pPr>
        <w:spacing w:line="282" w:lineRule="auto"/>
        <w:ind w:right="340" w:firstLine="648"/>
        <w:rPr>
          <w:sz w:val="20"/>
          <w:szCs w:val="20"/>
        </w:rPr>
      </w:pPr>
      <w:bookmarkStart w:id="81" w:name="page82"/>
      <w:bookmarkEnd w:id="81"/>
      <w:r>
        <w:rPr>
          <w:rFonts w:ascii="Arial" w:eastAsia="Arial" w:hAnsi="Arial" w:cs="Arial"/>
          <w:sz w:val="19"/>
          <w:szCs w:val="19"/>
        </w:rPr>
        <w:t>Section 3.04. Removal. Any officer of the corporation may be removed, either with or without cause, at any time, by resolution adopted by the B</w:t>
      </w:r>
      <w:r>
        <w:rPr>
          <w:rFonts w:ascii="Arial" w:eastAsia="Arial" w:hAnsi="Arial" w:cs="Arial"/>
          <w:sz w:val="19"/>
          <w:szCs w:val="19"/>
        </w:rPr>
        <w:t>oard of Directors at any meeting. Any officer appointed not by the Board of Directors but by an officer or committee to which the Board of Directors shall have delegated the power of appointment may be removed, with or without cause, by the committee or su</w:t>
      </w:r>
      <w:r>
        <w:rPr>
          <w:rFonts w:ascii="Arial" w:eastAsia="Arial" w:hAnsi="Arial" w:cs="Arial"/>
          <w:sz w:val="19"/>
          <w:szCs w:val="19"/>
        </w:rPr>
        <w:t>perior officer (including successors) who made the appointment or by any committee or officer upon whom such power of removal may be conferred by the Board of Directors.</w:t>
      </w:r>
    </w:p>
    <w:p w14:paraId="0F867464" w14:textId="77777777" w:rsidR="00D1587D" w:rsidRDefault="00D1587D">
      <w:pPr>
        <w:spacing w:line="174" w:lineRule="exact"/>
        <w:rPr>
          <w:sz w:val="20"/>
          <w:szCs w:val="20"/>
        </w:rPr>
      </w:pPr>
    </w:p>
    <w:p w14:paraId="342BE27E" w14:textId="77777777" w:rsidR="00D1587D" w:rsidRDefault="00410D07">
      <w:pPr>
        <w:spacing w:line="252" w:lineRule="auto"/>
        <w:ind w:right="280" w:firstLine="648"/>
        <w:rPr>
          <w:sz w:val="20"/>
          <w:szCs w:val="20"/>
        </w:rPr>
      </w:pPr>
      <w:r>
        <w:rPr>
          <w:rFonts w:ascii="Arial" w:eastAsia="Arial" w:hAnsi="Arial" w:cs="Arial"/>
          <w:sz w:val="21"/>
          <w:szCs w:val="21"/>
        </w:rPr>
        <w:t>Section 3.05. Resignations. Any officer may resign at any time by giving written noti</w:t>
      </w:r>
      <w:r>
        <w:rPr>
          <w:rFonts w:ascii="Arial" w:eastAsia="Arial" w:hAnsi="Arial" w:cs="Arial"/>
          <w:sz w:val="21"/>
          <w:szCs w:val="21"/>
        </w:rPr>
        <w:t>ce to the Board of Directors, or to the chair of the Board of Directors, the vice chair of the Board of Directors, the chief executive officer, the president, or the secretary. Any such resignation shall take effect at the time specified therein, and unles</w:t>
      </w:r>
      <w:r>
        <w:rPr>
          <w:rFonts w:ascii="Arial" w:eastAsia="Arial" w:hAnsi="Arial" w:cs="Arial"/>
          <w:sz w:val="21"/>
          <w:szCs w:val="21"/>
        </w:rPr>
        <w:t>s otherwise specified therein, the acceptance of such resignation shall not be necessary to make it effective.</w:t>
      </w:r>
    </w:p>
    <w:p w14:paraId="129CBE2A" w14:textId="77777777" w:rsidR="00D1587D" w:rsidRDefault="00D1587D">
      <w:pPr>
        <w:spacing w:line="201" w:lineRule="exact"/>
        <w:rPr>
          <w:sz w:val="20"/>
          <w:szCs w:val="20"/>
        </w:rPr>
      </w:pPr>
    </w:p>
    <w:p w14:paraId="22380230" w14:textId="77777777" w:rsidR="00D1587D" w:rsidRDefault="00410D07">
      <w:pPr>
        <w:spacing w:line="274" w:lineRule="auto"/>
        <w:ind w:right="340" w:firstLine="648"/>
        <w:rPr>
          <w:sz w:val="20"/>
          <w:szCs w:val="20"/>
        </w:rPr>
      </w:pPr>
      <w:r>
        <w:rPr>
          <w:rFonts w:ascii="Arial" w:eastAsia="Arial" w:hAnsi="Arial" w:cs="Arial"/>
          <w:sz w:val="21"/>
          <w:szCs w:val="21"/>
        </w:rPr>
        <w:t>Section 3.06. Vacancies. A vacancy in any office because of death, resignation, removal, disqualification, or otherwise shall be filled in the m</w:t>
      </w:r>
      <w:r>
        <w:rPr>
          <w:rFonts w:ascii="Arial" w:eastAsia="Arial" w:hAnsi="Arial" w:cs="Arial"/>
          <w:sz w:val="21"/>
          <w:szCs w:val="21"/>
        </w:rPr>
        <w:t>anner prescribed in these bylaws for regular appointments or elections to such office.</w:t>
      </w:r>
    </w:p>
    <w:p w14:paraId="59B8B65D" w14:textId="77777777" w:rsidR="00D1587D" w:rsidRDefault="00D1587D">
      <w:pPr>
        <w:spacing w:line="178" w:lineRule="exact"/>
        <w:rPr>
          <w:sz w:val="20"/>
          <w:szCs w:val="20"/>
        </w:rPr>
      </w:pPr>
    </w:p>
    <w:p w14:paraId="1E390034" w14:textId="77777777" w:rsidR="00D1587D" w:rsidRDefault="00410D07">
      <w:pPr>
        <w:ind w:left="660"/>
        <w:rPr>
          <w:sz w:val="20"/>
          <w:szCs w:val="20"/>
        </w:rPr>
      </w:pPr>
      <w:r>
        <w:rPr>
          <w:rFonts w:ascii="Arial" w:eastAsia="Arial" w:hAnsi="Arial" w:cs="Arial"/>
        </w:rPr>
        <w:t>ARTICLE IV DUTIES OF THE OFFICERS</w:t>
      </w:r>
    </w:p>
    <w:p w14:paraId="0BC98C62" w14:textId="77777777" w:rsidR="00D1587D" w:rsidRDefault="00D1587D">
      <w:pPr>
        <w:spacing w:line="233" w:lineRule="exact"/>
        <w:rPr>
          <w:sz w:val="20"/>
          <w:szCs w:val="20"/>
        </w:rPr>
      </w:pPr>
    </w:p>
    <w:p w14:paraId="4E1B35A3" w14:textId="77777777" w:rsidR="00D1587D" w:rsidRDefault="00410D07">
      <w:pPr>
        <w:spacing w:line="273" w:lineRule="auto"/>
        <w:ind w:right="60" w:firstLine="648"/>
        <w:rPr>
          <w:sz w:val="20"/>
          <w:szCs w:val="20"/>
        </w:rPr>
      </w:pPr>
      <w:r>
        <w:rPr>
          <w:rFonts w:ascii="Arial" w:eastAsia="Arial" w:hAnsi="Arial" w:cs="Arial"/>
          <w:sz w:val="19"/>
          <w:szCs w:val="19"/>
        </w:rPr>
        <w:t>Section 4.01. The Chief Executive Officer. The chief executive officer of the corporation shall have general supervision over the pro</w:t>
      </w:r>
      <w:r>
        <w:rPr>
          <w:rFonts w:ascii="Arial" w:eastAsia="Arial" w:hAnsi="Arial" w:cs="Arial"/>
          <w:sz w:val="19"/>
          <w:szCs w:val="19"/>
        </w:rPr>
        <w:t>perty, business, and affairs of the corporation and over its several officers, subject, however, to the control of the Board of Directors. The chief executive officer may sign, with the secretary, treasurer, or any other proper officer of the corporation t</w:t>
      </w:r>
      <w:r>
        <w:rPr>
          <w:rFonts w:ascii="Arial" w:eastAsia="Arial" w:hAnsi="Arial" w:cs="Arial"/>
          <w:sz w:val="19"/>
          <w:szCs w:val="19"/>
        </w:rPr>
        <w:t>hereunto authorized by the Board of Directors, certificates for shares in the corporation. The chief executive officer may sign, execute, and deliver in the name of the corporation all deeds, mortgages, bonds, leases, contracts, or other instruments, eithe</w:t>
      </w:r>
      <w:r>
        <w:rPr>
          <w:rFonts w:ascii="Arial" w:eastAsia="Arial" w:hAnsi="Arial" w:cs="Arial"/>
          <w:sz w:val="19"/>
          <w:szCs w:val="19"/>
        </w:rPr>
        <w:t>r when specially authorized by the Board of Directors or when required or deemed necessary or advisable by the chief executive officer in the ordinary conduct of the corporation’s normal business, except in cases where the signing and execution thereof sha</w:t>
      </w:r>
      <w:r>
        <w:rPr>
          <w:rFonts w:ascii="Arial" w:eastAsia="Arial" w:hAnsi="Arial" w:cs="Arial"/>
          <w:sz w:val="19"/>
          <w:szCs w:val="19"/>
        </w:rPr>
        <w:t>ll be expressly delegated by these bylaws to some other officer or agent of the corporation or shall be required by law or otherwise to be signed or executed by some other officer or agent, and the chief executive officer may cause the seal of the corporat</w:t>
      </w:r>
      <w:r>
        <w:rPr>
          <w:rFonts w:ascii="Arial" w:eastAsia="Arial" w:hAnsi="Arial" w:cs="Arial"/>
          <w:sz w:val="19"/>
          <w:szCs w:val="19"/>
        </w:rPr>
        <w:t>ion, if any, to be affixed to any instrument requiring the same.</w:t>
      </w:r>
    </w:p>
    <w:p w14:paraId="04E5843D" w14:textId="77777777" w:rsidR="00D1587D" w:rsidRDefault="00D1587D">
      <w:pPr>
        <w:spacing w:line="188" w:lineRule="exact"/>
        <w:rPr>
          <w:sz w:val="20"/>
          <w:szCs w:val="20"/>
        </w:rPr>
      </w:pPr>
    </w:p>
    <w:p w14:paraId="740EB95A" w14:textId="77777777" w:rsidR="00D1587D" w:rsidRDefault="00410D07">
      <w:pPr>
        <w:spacing w:line="250" w:lineRule="auto"/>
        <w:ind w:firstLine="648"/>
        <w:rPr>
          <w:sz w:val="20"/>
          <w:szCs w:val="20"/>
        </w:rPr>
      </w:pPr>
      <w:r>
        <w:rPr>
          <w:rFonts w:ascii="Arial" w:eastAsia="Arial" w:hAnsi="Arial" w:cs="Arial"/>
        </w:rPr>
        <w:t xml:space="preserve">Section 4.02. The President. The president shall perform such duties as are conferred upon such officer by these bylaws or as may from time to time be assigned to such officer by the </w:t>
      </w:r>
      <w:r>
        <w:rPr>
          <w:rFonts w:ascii="Arial" w:eastAsia="Arial" w:hAnsi="Arial" w:cs="Arial"/>
        </w:rPr>
        <w:t>Board of Directors.</w:t>
      </w:r>
    </w:p>
    <w:p w14:paraId="73E99D70" w14:textId="77777777" w:rsidR="00D1587D" w:rsidRDefault="00D1587D">
      <w:pPr>
        <w:spacing w:line="202" w:lineRule="exact"/>
        <w:rPr>
          <w:sz w:val="20"/>
          <w:szCs w:val="20"/>
        </w:rPr>
      </w:pPr>
    </w:p>
    <w:p w14:paraId="6449D9AE" w14:textId="77777777" w:rsidR="00D1587D" w:rsidRDefault="00410D07">
      <w:pPr>
        <w:spacing w:line="252" w:lineRule="auto"/>
        <w:ind w:right="180" w:firstLine="648"/>
        <w:rPr>
          <w:sz w:val="20"/>
          <w:szCs w:val="20"/>
        </w:rPr>
      </w:pPr>
      <w:r>
        <w:rPr>
          <w:rFonts w:ascii="Arial" w:eastAsia="Arial" w:hAnsi="Arial" w:cs="Arial"/>
          <w:sz w:val="21"/>
          <w:szCs w:val="21"/>
        </w:rPr>
        <w:t>Section 4.03. Vice Presidents. The vice presidents shall perform such duties as are conferred upon them by these bylaws or as may from time to time be assigned to them by the Board of Directors. At the request of the Board of Directors</w:t>
      </w:r>
      <w:r>
        <w:rPr>
          <w:rFonts w:ascii="Arial" w:eastAsia="Arial" w:hAnsi="Arial" w:cs="Arial"/>
          <w:sz w:val="21"/>
          <w:szCs w:val="21"/>
        </w:rPr>
        <w:t>, in the absence or disability of the president, a vice president designated by the Board of Directors shall perform all the duties of the president, and when so acting, shall have all of the powers of the president.</w:t>
      </w:r>
    </w:p>
    <w:p w14:paraId="0030DC21" w14:textId="77777777" w:rsidR="00D1587D" w:rsidRDefault="00D1587D">
      <w:pPr>
        <w:spacing w:line="201" w:lineRule="exact"/>
        <w:rPr>
          <w:sz w:val="20"/>
          <w:szCs w:val="20"/>
        </w:rPr>
      </w:pPr>
    </w:p>
    <w:p w14:paraId="6D799163" w14:textId="77777777" w:rsidR="00D1587D" w:rsidRDefault="00410D07">
      <w:pPr>
        <w:spacing w:line="282" w:lineRule="auto"/>
        <w:ind w:right="40" w:firstLine="648"/>
        <w:rPr>
          <w:sz w:val="20"/>
          <w:szCs w:val="20"/>
        </w:rPr>
      </w:pPr>
      <w:r>
        <w:rPr>
          <w:rFonts w:ascii="Arial" w:eastAsia="Arial" w:hAnsi="Arial" w:cs="Arial"/>
          <w:sz w:val="19"/>
          <w:szCs w:val="19"/>
        </w:rPr>
        <w:t>Section 4.04. The Treasurer. The treas</w:t>
      </w:r>
      <w:r>
        <w:rPr>
          <w:rFonts w:ascii="Arial" w:eastAsia="Arial" w:hAnsi="Arial" w:cs="Arial"/>
          <w:sz w:val="19"/>
          <w:szCs w:val="19"/>
        </w:rPr>
        <w:t>urer shall be the custodian of all funds and securities of the corporation. Whenever so directed by the Board of Directors, the treasurer shall render a statement of the cash and other accounts of the corporation, and the treasurer shall cause to be entere</w:t>
      </w:r>
      <w:r>
        <w:rPr>
          <w:rFonts w:ascii="Arial" w:eastAsia="Arial" w:hAnsi="Arial" w:cs="Arial"/>
          <w:sz w:val="19"/>
          <w:szCs w:val="19"/>
        </w:rPr>
        <w:t xml:space="preserve">d regularly in the books and records of the corporation to be kept for such purpose full and accurate accounts of the corporation’s receipts and disbursements. The treasurer shall have such other powers and shall perform such other duties as may from time </w:t>
      </w:r>
      <w:r>
        <w:rPr>
          <w:rFonts w:ascii="Arial" w:eastAsia="Arial" w:hAnsi="Arial" w:cs="Arial"/>
          <w:sz w:val="19"/>
          <w:szCs w:val="19"/>
        </w:rPr>
        <w:t>to time be assigned to such officer by the Board of Directors.</w:t>
      </w:r>
    </w:p>
    <w:p w14:paraId="6BCB7408" w14:textId="77777777" w:rsidR="00D1587D" w:rsidRDefault="00D1587D">
      <w:pPr>
        <w:spacing w:line="174" w:lineRule="exact"/>
        <w:rPr>
          <w:sz w:val="20"/>
          <w:szCs w:val="20"/>
        </w:rPr>
      </w:pPr>
    </w:p>
    <w:p w14:paraId="772F42E0" w14:textId="77777777" w:rsidR="00D1587D" w:rsidRDefault="00410D07">
      <w:pPr>
        <w:spacing w:line="279" w:lineRule="auto"/>
        <w:ind w:right="100" w:firstLine="648"/>
        <w:rPr>
          <w:sz w:val="20"/>
          <w:szCs w:val="20"/>
        </w:rPr>
      </w:pPr>
      <w:r>
        <w:rPr>
          <w:rFonts w:ascii="Arial" w:eastAsia="Arial" w:hAnsi="Arial" w:cs="Arial"/>
          <w:sz w:val="19"/>
          <w:szCs w:val="19"/>
        </w:rPr>
        <w:t>Section 4.05. The Secretary. The secretary shall record and keep the minutes of all meetings of the stockholders and the Board of Directors in a book to be kept for that purpose. The secretary</w:t>
      </w:r>
      <w:r>
        <w:rPr>
          <w:rFonts w:ascii="Arial" w:eastAsia="Arial" w:hAnsi="Arial" w:cs="Arial"/>
          <w:sz w:val="19"/>
          <w:szCs w:val="19"/>
        </w:rPr>
        <w:t xml:space="preserve"> shall be the custodian of, and shall make or cause to be made the proper entries in, the minute book of the corporation and such other books and records as the Board of Directors may direct. The secretary shall be the custodian of the seal of the corporat</w:t>
      </w:r>
      <w:r>
        <w:rPr>
          <w:rFonts w:ascii="Arial" w:eastAsia="Arial" w:hAnsi="Arial" w:cs="Arial"/>
          <w:sz w:val="19"/>
          <w:szCs w:val="19"/>
        </w:rPr>
        <w:t>ion, if any, and shall affix such seal to such contracts, instruments, and other documents as the Board of Directors or any committee thereof may direct. The secretary shall have such other powers and shall perform such other duties as may from time to tim</w:t>
      </w:r>
      <w:r>
        <w:rPr>
          <w:rFonts w:ascii="Arial" w:eastAsia="Arial" w:hAnsi="Arial" w:cs="Arial"/>
          <w:sz w:val="19"/>
          <w:szCs w:val="19"/>
        </w:rPr>
        <w:t>e be assigned to such officer by the Board of Directors.</w:t>
      </w:r>
    </w:p>
    <w:p w14:paraId="6B2581D6" w14:textId="77777777" w:rsidR="00D1587D" w:rsidRDefault="00D1587D">
      <w:pPr>
        <w:spacing w:line="112" w:lineRule="exact"/>
        <w:rPr>
          <w:sz w:val="20"/>
          <w:szCs w:val="20"/>
        </w:rPr>
      </w:pPr>
    </w:p>
    <w:p w14:paraId="18F2CF54" w14:textId="77777777" w:rsidR="00D1587D" w:rsidRDefault="00410D07">
      <w:pPr>
        <w:ind w:right="-19"/>
        <w:jc w:val="center"/>
        <w:rPr>
          <w:sz w:val="20"/>
          <w:szCs w:val="20"/>
        </w:rPr>
      </w:pPr>
      <w:r>
        <w:rPr>
          <w:rFonts w:ascii="Arial" w:eastAsia="Arial" w:hAnsi="Arial" w:cs="Arial"/>
          <w:sz w:val="14"/>
          <w:szCs w:val="14"/>
        </w:rPr>
        <w:t>17</w:t>
      </w:r>
    </w:p>
    <w:p w14:paraId="3608823D" w14:textId="77777777" w:rsidR="00D1587D" w:rsidRDefault="00410D07">
      <w:pPr>
        <w:spacing w:line="20" w:lineRule="exact"/>
        <w:rPr>
          <w:sz w:val="20"/>
          <w:szCs w:val="20"/>
        </w:rPr>
      </w:pPr>
      <w:r>
        <w:rPr>
          <w:noProof/>
          <w:sz w:val="20"/>
          <w:szCs w:val="20"/>
        </w:rPr>
        <w:drawing>
          <wp:anchor distT="0" distB="0" distL="114300" distR="114300" simplePos="0" relativeHeight="251230208" behindDoc="1" locked="0" layoutInCell="0" allowOverlap="1" wp14:anchorId="5314F16B" wp14:editId="657E8942">
            <wp:simplePos x="0" y="0"/>
            <wp:positionH relativeFrom="column">
              <wp:posOffset>5080</wp:posOffset>
            </wp:positionH>
            <wp:positionV relativeFrom="paragraph">
              <wp:posOffset>38100</wp:posOffset>
            </wp:positionV>
            <wp:extent cx="7132320" cy="1714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F7924E4" w14:textId="77777777" w:rsidR="00D1587D" w:rsidRDefault="00D1587D">
      <w:pPr>
        <w:sectPr w:rsidR="00D1587D">
          <w:pgSz w:w="11900" w:h="16838"/>
          <w:pgMar w:top="361" w:right="359" w:bottom="1440" w:left="320" w:header="0" w:footer="0" w:gutter="0"/>
          <w:cols w:space="720" w:equalWidth="0">
            <w:col w:w="11220"/>
          </w:cols>
        </w:sectPr>
      </w:pPr>
    </w:p>
    <w:p w14:paraId="65892AA6" w14:textId="77777777" w:rsidR="00D1587D" w:rsidRDefault="00410D07">
      <w:pPr>
        <w:ind w:left="660"/>
        <w:rPr>
          <w:sz w:val="20"/>
          <w:szCs w:val="20"/>
        </w:rPr>
      </w:pPr>
      <w:bookmarkStart w:id="82" w:name="page83"/>
      <w:bookmarkEnd w:id="82"/>
      <w:r>
        <w:rPr>
          <w:rFonts w:ascii="Arial" w:eastAsia="Arial" w:hAnsi="Arial" w:cs="Arial"/>
        </w:rPr>
        <w:t>ARTICLE V INDEMNIFICATION OF DIRECTORS AND OFFICERS</w:t>
      </w:r>
    </w:p>
    <w:p w14:paraId="5A360AD4" w14:textId="77777777" w:rsidR="00D1587D" w:rsidRDefault="00D1587D">
      <w:pPr>
        <w:spacing w:line="233" w:lineRule="exact"/>
        <w:rPr>
          <w:sz w:val="20"/>
          <w:szCs w:val="20"/>
        </w:rPr>
      </w:pPr>
    </w:p>
    <w:p w14:paraId="664A4FC3" w14:textId="77777777" w:rsidR="00D1587D" w:rsidRDefault="00410D07">
      <w:pPr>
        <w:spacing w:line="275" w:lineRule="auto"/>
        <w:ind w:right="40" w:firstLine="648"/>
        <w:rPr>
          <w:sz w:val="20"/>
          <w:szCs w:val="20"/>
        </w:rPr>
      </w:pPr>
      <w:r>
        <w:rPr>
          <w:rFonts w:ascii="Arial" w:eastAsia="Arial" w:hAnsi="Arial" w:cs="Arial"/>
          <w:sz w:val="19"/>
          <w:szCs w:val="19"/>
        </w:rPr>
        <w:t>Section 5.01. Indemnification. The corporation shall indemnify any person who was or is a party or is threatened to be m</w:t>
      </w:r>
      <w:r>
        <w:rPr>
          <w:rFonts w:ascii="Arial" w:eastAsia="Arial" w:hAnsi="Arial" w:cs="Arial"/>
          <w:sz w:val="19"/>
          <w:szCs w:val="19"/>
        </w:rPr>
        <w:t xml:space="preserve">ade a party to any threatened, pending, or completed action, suit, or proceeding, whether civil, criminal, administrative, or investigative, by reason of the fact that such person, or such person’s testator or intestate, is or was a director or officer of </w:t>
      </w:r>
      <w:r>
        <w:rPr>
          <w:rFonts w:ascii="Arial" w:eastAsia="Arial" w:hAnsi="Arial" w:cs="Arial"/>
          <w:sz w:val="19"/>
          <w:szCs w:val="19"/>
        </w:rPr>
        <w:t>the corporation, or is or was serving at the request of the corporation as a director, officer, employee, or agent of another corporation, partnership, joint venture, trust, or other enterprise, or as a member of any committee or similar body against all e</w:t>
      </w:r>
      <w:r>
        <w:rPr>
          <w:rFonts w:ascii="Arial" w:eastAsia="Arial" w:hAnsi="Arial" w:cs="Arial"/>
          <w:sz w:val="19"/>
          <w:szCs w:val="19"/>
        </w:rPr>
        <w:t>xpenses (including attorneys’ fees), judgments, penalties, fines, and amounts paid in settlement actually and reasonably incurred by such person in connection with such action, suit, or proceeding (including appeals) or the defense or settlement thereof or</w:t>
      </w:r>
      <w:r>
        <w:rPr>
          <w:rFonts w:ascii="Arial" w:eastAsia="Arial" w:hAnsi="Arial" w:cs="Arial"/>
          <w:sz w:val="19"/>
          <w:szCs w:val="19"/>
        </w:rPr>
        <w:t xml:space="preserve"> any claim, issue, or matter therein, to the fullest extent permitted by the laws of Delaware as they may exist from time to time.</w:t>
      </w:r>
    </w:p>
    <w:p w14:paraId="4BE2E97F" w14:textId="77777777" w:rsidR="00D1587D" w:rsidRDefault="00D1587D">
      <w:pPr>
        <w:spacing w:line="184" w:lineRule="exact"/>
        <w:rPr>
          <w:sz w:val="20"/>
          <w:szCs w:val="20"/>
        </w:rPr>
      </w:pPr>
    </w:p>
    <w:p w14:paraId="5B247810" w14:textId="77777777" w:rsidR="00D1587D" w:rsidRDefault="00410D07">
      <w:pPr>
        <w:spacing w:line="252" w:lineRule="auto"/>
        <w:ind w:firstLine="648"/>
        <w:rPr>
          <w:sz w:val="20"/>
          <w:szCs w:val="20"/>
        </w:rPr>
      </w:pPr>
      <w:r>
        <w:rPr>
          <w:rFonts w:ascii="Arial" w:eastAsia="Arial" w:hAnsi="Arial" w:cs="Arial"/>
          <w:sz w:val="21"/>
          <w:szCs w:val="21"/>
        </w:rPr>
        <w:t xml:space="preserve">Section 5.02. Insurance. The proper officers of the corporation, without further authorization by the Board of </w:t>
      </w:r>
      <w:r>
        <w:rPr>
          <w:rFonts w:ascii="Arial" w:eastAsia="Arial" w:hAnsi="Arial" w:cs="Arial"/>
          <w:sz w:val="21"/>
          <w:szCs w:val="21"/>
        </w:rPr>
        <w:t>Directors, may in their discretion purchase and maintain insurance on behalf of any person who is or was a director, officer, employee, or agent of the corporation, or is or was serving at the request of the corporation as a director, officer, employee, or</w:t>
      </w:r>
      <w:r>
        <w:rPr>
          <w:rFonts w:ascii="Arial" w:eastAsia="Arial" w:hAnsi="Arial" w:cs="Arial"/>
          <w:sz w:val="21"/>
          <w:szCs w:val="21"/>
        </w:rPr>
        <w:t xml:space="preserve"> agent for another corporation, partnership, joint venture, trust, or other enterprise, against any liability.</w:t>
      </w:r>
    </w:p>
    <w:p w14:paraId="211EF03B" w14:textId="77777777" w:rsidR="00D1587D" w:rsidRDefault="00D1587D">
      <w:pPr>
        <w:spacing w:line="201" w:lineRule="exact"/>
        <w:rPr>
          <w:sz w:val="20"/>
          <w:szCs w:val="20"/>
        </w:rPr>
      </w:pPr>
    </w:p>
    <w:p w14:paraId="3AF2C8EC" w14:textId="77777777" w:rsidR="00D1587D" w:rsidRDefault="00410D07">
      <w:pPr>
        <w:spacing w:line="273" w:lineRule="auto"/>
        <w:ind w:right="60" w:firstLine="648"/>
        <w:rPr>
          <w:sz w:val="20"/>
          <w:szCs w:val="20"/>
        </w:rPr>
      </w:pPr>
      <w:r>
        <w:rPr>
          <w:rFonts w:ascii="Arial" w:eastAsia="Arial" w:hAnsi="Arial" w:cs="Arial"/>
          <w:sz w:val="19"/>
          <w:szCs w:val="19"/>
        </w:rPr>
        <w:t xml:space="preserve">Section 5.03. ERISA. To assure indemnification under this Article of all such persons who are or were “fiduciaries” of an employee benefit plan </w:t>
      </w:r>
      <w:r>
        <w:rPr>
          <w:rFonts w:ascii="Arial" w:eastAsia="Arial" w:hAnsi="Arial" w:cs="Arial"/>
          <w:sz w:val="19"/>
          <w:szCs w:val="19"/>
        </w:rPr>
        <w:t>governed by the Act of Congress entitled “Employee Retirement Income Security Act of 1974”, as amended from time to time, the provisions of this Article V shall, for the purposes hereof, be interpreted as follows: an “other enterprise” shall be deemed to i</w:t>
      </w:r>
      <w:r>
        <w:rPr>
          <w:rFonts w:ascii="Arial" w:eastAsia="Arial" w:hAnsi="Arial" w:cs="Arial"/>
          <w:sz w:val="19"/>
          <w:szCs w:val="19"/>
        </w:rPr>
        <w:t xml:space="preserve">nclude an employee benefit plan; the corporation shall be deemed to have requested a person to serve as an employee of an employee benefit plan where the performance by such person of duties to the corporation also imposes duties on, or otherwise involves </w:t>
      </w:r>
      <w:r>
        <w:rPr>
          <w:rFonts w:ascii="Arial" w:eastAsia="Arial" w:hAnsi="Arial" w:cs="Arial"/>
          <w:sz w:val="19"/>
          <w:szCs w:val="19"/>
        </w:rPr>
        <w:t xml:space="preserve">services by, such person to the plan or participants or beneficiaries of the plan; excise taxes assessed on a person with respect to an employee benefit plan pursuant to said Act of Congress shall be deemed “fines”; and action taken or omitted by a person </w:t>
      </w:r>
      <w:r>
        <w:rPr>
          <w:rFonts w:ascii="Arial" w:eastAsia="Arial" w:hAnsi="Arial" w:cs="Arial"/>
          <w:sz w:val="19"/>
          <w:szCs w:val="19"/>
        </w:rPr>
        <w:t>with respect to an employee benefit plan in the performance of such person’s duties for a purpose reasonably believed by such person to be in the interest of the participants and beneficiaries of the plan shall be deemed to be for a purpose which is not op</w:t>
      </w:r>
      <w:r>
        <w:rPr>
          <w:rFonts w:ascii="Arial" w:eastAsia="Arial" w:hAnsi="Arial" w:cs="Arial"/>
          <w:sz w:val="19"/>
          <w:szCs w:val="19"/>
        </w:rPr>
        <w:t>posed to the best interests of the corporation.</w:t>
      </w:r>
    </w:p>
    <w:p w14:paraId="0F12D623" w14:textId="77777777" w:rsidR="00D1587D" w:rsidRDefault="00D1587D">
      <w:pPr>
        <w:spacing w:line="188" w:lineRule="exact"/>
        <w:rPr>
          <w:sz w:val="20"/>
          <w:szCs w:val="20"/>
        </w:rPr>
      </w:pPr>
    </w:p>
    <w:p w14:paraId="60ADAC5E" w14:textId="77777777" w:rsidR="00D1587D" w:rsidRDefault="00410D07">
      <w:pPr>
        <w:spacing w:line="287" w:lineRule="auto"/>
        <w:ind w:right="60" w:firstLine="648"/>
        <w:jc w:val="both"/>
        <w:rPr>
          <w:sz w:val="20"/>
          <w:szCs w:val="20"/>
        </w:rPr>
      </w:pPr>
      <w:r>
        <w:rPr>
          <w:rFonts w:ascii="Arial" w:eastAsia="Arial" w:hAnsi="Arial" w:cs="Arial"/>
          <w:sz w:val="19"/>
          <w:szCs w:val="19"/>
        </w:rPr>
        <w:t>Section 5.04. Contractual Nature. The foregoing provisions of this Article V shall be deemed to be a contract between the corporation and each director and officer who serves in such capacity at any time whi</w:t>
      </w:r>
      <w:r>
        <w:rPr>
          <w:rFonts w:ascii="Arial" w:eastAsia="Arial" w:hAnsi="Arial" w:cs="Arial"/>
          <w:sz w:val="19"/>
          <w:szCs w:val="19"/>
        </w:rPr>
        <w:t>le this Article V is in effect, and any repeal or modification thereof shall not affect any rights or obligations then existing with respect to any state of facts then or theretofore existing or any action, suit, or proceeding theretofore or thereafter bro</w:t>
      </w:r>
      <w:r>
        <w:rPr>
          <w:rFonts w:ascii="Arial" w:eastAsia="Arial" w:hAnsi="Arial" w:cs="Arial"/>
          <w:sz w:val="19"/>
          <w:szCs w:val="19"/>
        </w:rPr>
        <w:t>ught based in whole or in part upon any such state of facts.</w:t>
      </w:r>
    </w:p>
    <w:p w14:paraId="01BA8013" w14:textId="77777777" w:rsidR="00D1587D" w:rsidRDefault="00D1587D">
      <w:pPr>
        <w:spacing w:line="170" w:lineRule="exact"/>
        <w:rPr>
          <w:sz w:val="20"/>
          <w:szCs w:val="20"/>
        </w:rPr>
      </w:pPr>
    </w:p>
    <w:p w14:paraId="6ACFF7EC" w14:textId="77777777" w:rsidR="00D1587D" w:rsidRDefault="00410D07">
      <w:pPr>
        <w:spacing w:line="275" w:lineRule="auto"/>
        <w:ind w:right="100" w:firstLine="648"/>
        <w:rPr>
          <w:sz w:val="20"/>
          <w:szCs w:val="20"/>
        </w:rPr>
      </w:pPr>
      <w:r>
        <w:rPr>
          <w:rFonts w:ascii="Arial" w:eastAsia="Arial" w:hAnsi="Arial" w:cs="Arial"/>
          <w:sz w:val="19"/>
          <w:szCs w:val="19"/>
        </w:rPr>
        <w:t>Section 5.05. Construction. For the purposes of this Article V, references to “the corporation” include in addition to the resulting corporation, any constituent corporation (including any const</w:t>
      </w:r>
      <w:r>
        <w:rPr>
          <w:rFonts w:ascii="Arial" w:eastAsia="Arial" w:hAnsi="Arial" w:cs="Arial"/>
          <w:sz w:val="19"/>
          <w:szCs w:val="19"/>
        </w:rPr>
        <w:t>ituent of a constituent) absorbed in a consolidation or merger which, if its separate existence had continued, would have had power and authority to indemnify its directors, officers, employees or agents, so that any person who is or was a director or offi</w:t>
      </w:r>
      <w:r>
        <w:rPr>
          <w:rFonts w:ascii="Arial" w:eastAsia="Arial" w:hAnsi="Arial" w:cs="Arial"/>
          <w:sz w:val="19"/>
          <w:szCs w:val="19"/>
        </w:rPr>
        <w:t>cer of such constituent corporation or is or was serving at the request of such constituent corporation as a director, officer, employee, or agent of another corporation, partnership, joint venture, trust, or other enterprise, or as a member of any committ</w:t>
      </w:r>
      <w:r>
        <w:rPr>
          <w:rFonts w:ascii="Arial" w:eastAsia="Arial" w:hAnsi="Arial" w:cs="Arial"/>
          <w:sz w:val="19"/>
          <w:szCs w:val="19"/>
        </w:rPr>
        <w:t>ee or similar body, shall stand in the same position under the provisions of this Article with respect to the resulting or surviving corporation as such person would have with respect to such constituent corporation, if its separate existence had continued</w:t>
      </w:r>
      <w:r>
        <w:rPr>
          <w:rFonts w:ascii="Arial" w:eastAsia="Arial" w:hAnsi="Arial" w:cs="Arial"/>
          <w:sz w:val="19"/>
          <w:szCs w:val="19"/>
        </w:rPr>
        <w:t>.</w:t>
      </w:r>
    </w:p>
    <w:p w14:paraId="4766FA38" w14:textId="77777777" w:rsidR="00D1587D" w:rsidRDefault="00D1587D">
      <w:pPr>
        <w:spacing w:line="184" w:lineRule="exact"/>
        <w:rPr>
          <w:sz w:val="20"/>
          <w:szCs w:val="20"/>
        </w:rPr>
      </w:pPr>
    </w:p>
    <w:p w14:paraId="549A0CE3" w14:textId="77777777" w:rsidR="00D1587D" w:rsidRDefault="00410D07">
      <w:pPr>
        <w:spacing w:line="235" w:lineRule="auto"/>
        <w:ind w:right="60" w:firstLine="648"/>
        <w:rPr>
          <w:sz w:val="20"/>
          <w:szCs w:val="20"/>
        </w:rPr>
      </w:pPr>
      <w:r>
        <w:rPr>
          <w:rFonts w:ascii="Arial" w:eastAsia="Arial" w:hAnsi="Arial" w:cs="Arial"/>
        </w:rPr>
        <w:t>Section 5.06. Non-Exclusive. The corporation may indemnify, or agree to indemnify, any person against any liabilities and expenses and pay any expenses, including attorneys’ fees, in, advance of final disposition of any action, suit, or proceeding, unde</w:t>
      </w:r>
      <w:r>
        <w:rPr>
          <w:rFonts w:ascii="Arial" w:eastAsia="Arial" w:hAnsi="Arial" w:cs="Arial"/>
        </w:rPr>
        <w:t>r any circumstances, if such indemnification and/or payment is approved by the vote of the stockholders or of the disinterested directors, or is, in the opinion of independent legal counsel selected by the Board of Directors, to be made on behalf of an ind</w:t>
      </w:r>
      <w:r>
        <w:rPr>
          <w:rFonts w:ascii="Arial" w:eastAsia="Arial" w:hAnsi="Arial" w:cs="Arial"/>
        </w:rPr>
        <w:t>emnitee who acted in good faith and in a manner such person reasonably believed to be in, or not opposed to, the best interests of the corporation.</w:t>
      </w:r>
    </w:p>
    <w:p w14:paraId="34ED3270" w14:textId="77777777" w:rsidR="00D1587D" w:rsidRDefault="00D1587D">
      <w:pPr>
        <w:spacing w:line="150" w:lineRule="exact"/>
        <w:rPr>
          <w:sz w:val="20"/>
          <w:szCs w:val="20"/>
        </w:rPr>
      </w:pPr>
    </w:p>
    <w:p w14:paraId="0AB4C197" w14:textId="77777777" w:rsidR="00D1587D" w:rsidRDefault="00410D07">
      <w:pPr>
        <w:ind w:right="-19"/>
        <w:jc w:val="center"/>
        <w:rPr>
          <w:sz w:val="20"/>
          <w:szCs w:val="20"/>
        </w:rPr>
      </w:pPr>
      <w:r>
        <w:rPr>
          <w:rFonts w:ascii="Arial" w:eastAsia="Arial" w:hAnsi="Arial" w:cs="Arial"/>
          <w:sz w:val="14"/>
          <w:szCs w:val="14"/>
        </w:rPr>
        <w:t>18</w:t>
      </w:r>
    </w:p>
    <w:p w14:paraId="53737B98" w14:textId="77777777" w:rsidR="00D1587D" w:rsidRDefault="00410D07">
      <w:pPr>
        <w:spacing w:line="20" w:lineRule="exact"/>
        <w:rPr>
          <w:sz w:val="20"/>
          <w:szCs w:val="20"/>
        </w:rPr>
      </w:pPr>
      <w:r>
        <w:rPr>
          <w:noProof/>
          <w:sz w:val="20"/>
          <w:szCs w:val="20"/>
        </w:rPr>
        <w:drawing>
          <wp:anchor distT="0" distB="0" distL="114300" distR="114300" simplePos="0" relativeHeight="251231232" behindDoc="1" locked="0" layoutInCell="0" allowOverlap="1" wp14:anchorId="42649EB0" wp14:editId="2928AD7D">
            <wp:simplePos x="0" y="0"/>
            <wp:positionH relativeFrom="column">
              <wp:posOffset>5080</wp:posOffset>
            </wp:positionH>
            <wp:positionV relativeFrom="paragraph">
              <wp:posOffset>38100</wp:posOffset>
            </wp:positionV>
            <wp:extent cx="7132320" cy="1714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05969D6" w14:textId="77777777" w:rsidR="00D1587D" w:rsidRDefault="00D1587D">
      <w:pPr>
        <w:sectPr w:rsidR="00D1587D">
          <w:pgSz w:w="11900" w:h="16838"/>
          <w:pgMar w:top="361" w:right="359" w:bottom="1440" w:left="320" w:header="0" w:footer="0" w:gutter="0"/>
          <w:cols w:space="720" w:equalWidth="0">
            <w:col w:w="11220"/>
          </w:cols>
        </w:sectPr>
      </w:pPr>
    </w:p>
    <w:p w14:paraId="513DF4A2" w14:textId="77777777" w:rsidR="00D1587D" w:rsidRDefault="00410D07">
      <w:pPr>
        <w:ind w:left="660"/>
        <w:rPr>
          <w:sz w:val="20"/>
          <w:szCs w:val="20"/>
        </w:rPr>
      </w:pPr>
      <w:bookmarkStart w:id="83" w:name="page84"/>
      <w:bookmarkEnd w:id="83"/>
      <w:r>
        <w:rPr>
          <w:rFonts w:ascii="Arial" w:eastAsia="Arial" w:hAnsi="Arial" w:cs="Arial"/>
        </w:rPr>
        <w:t>ARTICLE VI DEPOSITORIES, CONTRACTS AND OTHER INSTRUMENTS</w:t>
      </w:r>
    </w:p>
    <w:p w14:paraId="50DEC60A" w14:textId="77777777" w:rsidR="00D1587D" w:rsidRDefault="00D1587D">
      <w:pPr>
        <w:spacing w:line="233" w:lineRule="exact"/>
        <w:rPr>
          <w:sz w:val="20"/>
          <w:szCs w:val="20"/>
        </w:rPr>
      </w:pPr>
    </w:p>
    <w:p w14:paraId="0D6049A6" w14:textId="77777777" w:rsidR="00D1587D" w:rsidRDefault="00410D07">
      <w:pPr>
        <w:spacing w:line="273" w:lineRule="auto"/>
        <w:ind w:firstLine="648"/>
        <w:rPr>
          <w:sz w:val="20"/>
          <w:szCs w:val="20"/>
        </w:rPr>
      </w:pPr>
      <w:r>
        <w:rPr>
          <w:rFonts w:ascii="Arial" w:eastAsia="Arial" w:hAnsi="Arial" w:cs="Arial"/>
          <w:sz w:val="19"/>
          <w:szCs w:val="19"/>
        </w:rPr>
        <w:t xml:space="preserve">Section 6.01. </w:t>
      </w:r>
      <w:r>
        <w:rPr>
          <w:rFonts w:ascii="Arial" w:eastAsia="Arial" w:hAnsi="Arial" w:cs="Arial"/>
          <w:sz w:val="19"/>
          <w:szCs w:val="19"/>
        </w:rPr>
        <w:t>Depositories. The chief executive officer, the president, the treasurer, and any vice president of the corporation whom the Board of Directors authorizes to designate depositories for the funds of the corporation are each authorized to designate depositori</w:t>
      </w:r>
      <w:r>
        <w:rPr>
          <w:rFonts w:ascii="Arial" w:eastAsia="Arial" w:hAnsi="Arial" w:cs="Arial"/>
          <w:sz w:val="19"/>
          <w:szCs w:val="19"/>
        </w:rPr>
        <w:t>es for the funds of the corporation deposited in its name and the signatories and conditions with respect thereto in each case, and from time to time to change such depositories, signatories, and conditions with the same force and effect as if each such de</w:t>
      </w:r>
      <w:r>
        <w:rPr>
          <w:rFonts w:ascii="Arial" w:eastAsia="Arial" w:hAnsi="Arial" w:cs="Arial"/>
          <w:sz w:val="19"/>
          <w:szCs w:val="19"/>
        </w:rPr>
        <w:t>pository, signatory, and condition with respect thereto and changes therein had been specifically designated or authorized by the Board of Directors; and each depository designated by the Board of Directors or by the chief executive officer, the president,</w:t>
      </w:r>
      <w:r>
        <w:rPr>
          <w:rFonts w:ascii="Arial" w:eastAsia="Arial" w:hAnsi="Arial" w:cs="Arial"/>
          <w:sz w:val="19"/>
          <w:szCs w:val="19"/>
        </w:rPr>
        <w:t xml:space="preserve"> the treasurer, or any vice president of the corporation, shall be entitled to rely upon the certificate of the secretary or any assistant secretary of the corporation setting forth the fact of such designation and of the appointment of the officers of the</w:t>
      </w:r>
      <w:r>
        <w:rPr>
          <w:rFonts w:ascii="Arial" w:eastAsia="Arial" w:hAnsi="Arial" w:cs="Arial"/>
          <w:sz w:val="19"/>
          <w:szCs w:val="19"/>
        </w:rPr>
        <w:t xml:space="preserve"> corporation or of both or of other persons who are to be signatories with respect to the withdrawal of funds deposited with such depository, or from time to time the fact of any change in any depository or in the signatories with respect thereto.</w:t>
      </w:r>
    </w:p>
    <w:p w14:paraId="41F61AE1" w14:textId="77777777" w:rsidR="00D1587D" w:rsidRDefault="00D1587D">
      <w:pPr>
        <w:spacing w:line="188" w:lineRule="exact"/>
        <w:rPr>
          <w:sz w:val="20"/>
          <w:szCs w:val="20"/>
        </w:rPr>
      </w:pPr>
    </w:p>
    <w:p w14:paraId="1971FEB6" w14:textId="77777777" w:rsidR="00D1587D" w:rsidRDefault="00410D07">
      <w:pPr>
        <w:spacing w:line="248" w:lineRule="auto"/>
        <w:ind w:right="20" w:firstLine="648"/>
        <w:rPr>
          <w:sz w:val="20"/>
          <w:szCs w:val="20"/>
        </w:rPr>
      </w:pPr>
      <w:r>
        <w:rPr>
          <w:rFonts w:ascii="Arial" w:eastAsia="Arial" w:hAnsi="Arial" w:cs="Arial"/>
          <w:sz w:val="21"/>
          <w:szCs w:val="21"/>
        </w:rPr>
        <w:t>Section</w:t>
      </w:r>
      <w:r>
        <w:rPr>
          <w:rFonts w:ascii="Arial" w:eastAsia="Arial" w:hAnsi="Arial" w:cs="Arial"/>
          <w:sz w:val="21"/>
          <w:szCs w:val="21"/>
        </w:rPr>
        <w:t xml:space="preserve"> 6.02. Execution of Instruments Generally. In addition to the powers conferred upon the chief executive officer in Section 4.01 and except as otherwise provided in Section 6.01, the authority to sign contracts and other instruments entered into in the ordi</w:t>
      </w:r>
      <w:r>
        <w:rPr>
          <w:rFonts w:ascii="Arial" w:eastAsia="Arial" w:hAnsi="Arial" w:cs="Arial"/>
          <w:sz w:val="21"/>
          <w:szCs w:val="21"/>
        </w:rPr>
        <w:t>nary course of business requiring execution by the corporation, which may be general or confined to specific instances, shall be conferred by the Board of Directors upon any person or persons. Any person having authority to sign on behalf of the corporatio</w:t>
      </w:r>
      <w:r>
        <w:rPr>
          <w:rFonts w:ascii="Arial" w:eastAsia="Arial" w:hAnsi="Arial" w:cs="Arial"/>
          <w:sz w:val="21"/>
          <w:szCs w:val="21"/>
        </w:rPr>
        <w:t>n may delegate, from time to time, by instrument in writing, all or any part of such authority to any person or persons if authorized so to do by the Board of Directors.</w:t>
      </w:r>
    </w:p>
    <w:p w14:paraId="45453ED8" w14:textId="77777777" w:rsidR="00D1587D" w:rsidRDefault="00D1587D">
      <w:pPr>
        <w:spacing w:line="204" w:lineRule="exact"/>
        <w:rPr>
          <w:sz w:val="20"/>
          <w:szCs w:val="20"/>
        </w:rPr>
      </w:pPr>
    </w:p>
    <w:p w14:paraId="0C88BD30" w14:textId="77777777" w:rsidR="00D1587D" w:rsidRDefault="00410D07">
      <w:pPr>
        <w:ind w:left="660"/>
        <w:rPr>
          <w:sz w:val="20"/>
          <w:szCs w:val="20"/>
        </w:rPr>
      </w:pPr>
      <w:r>
        <w:rPr>
          <w:rFonts w:ascii="Arial" w:eastAsia="Arial" w:hAnsi="Arial" w:cs="Arial"/>
        </w:rPr>
        <w:t>ARTICLE VII SHARES AND THEIR TRANSFER</w:t>
      </w:r>
    </w:p>
    <w:p w14:paraId="74CE904F" w14:textId="77777777" w:rsidR="00D1587D" w:rsidRDefault="00D1587D">
      <w:pPr>
        <w:spacing w:line="233" w:lineRule="exact"/>
        <w:rPr>
          <w:sz w:val="20"/>
          <w:szCs w:val="20"/>
        </w:rPr>
      </w:pPr>
    </w:p>
    <w:p w14:paraId="3383178B" w14:textId="77777777" w:rsidR="00D1587D" w:rsidRDefault="00410D07">
      <w:pPr>
        <w:spacing w:line="271" w:lineRule="auto"/>
        <w:ind w:right="60" w:firstLine="648"/>
        <w:rPr>
          <w:sz w:val="20"/>
          <w:szCs w:val="20"/>
        </w:rPr>
      </w:pPr>
      <w:r>
        <w:rPr>
          <w:rFonts w:ascii="Arial" w:eastAsia="Arial" w:hAnsi="Arial" w:cs="Arial"/>
          <w:sz w:val="19"/>
          <w:szCs w:val="19"/>
        </w:rPr>
        <w:t>Section 7.01. Certificates for Shares, Uncerti</w:t>
      </w:r>
      <w:r>
        <w:rPr>
          <w:rFonts w:ascii="Arial" w:eastAsia="Arial" w:hAnsi="Arial" w:cs="Arial"/>
          <w:sz w:val="19"/>
          <w:szCs w:val="19"/>
        </w:rPr>
        <w:t>ficated Shares. The shares of the corporation shall be represented by certificates; provided that the Board of Directors of the corporation may provide by resolution or resolutions that some or all of any or all classes or series of its stock shall be unce</w:t>
      </w:r>
      <w:r>
        <w:rPr>
          <w:rFonts w:ascii="Arial" w:eastAsia="Arial" w:hAnsi="Arial" w:cs="Arial"/>
          <w:sz w:val="19"/>
          <w:szCs w:val="19"/>
        </w:rPr>
        <w:t xml:space="preserve">rtificated shares. Any such resolution shall not apply to shares represented by a certificate until such certificate is surrendered to the corporation. Except as otherwise provided by law, the rights and obligations of the holders of uncertificated shares </w:t>
      </w:r>
      <w:r>
        <w:rPr>
          <w:rFonts w:ascii="Arial" w:eastAsia="Arial" w:hAnsi="Arial" w:cs="Arial"/>
          <w:sz w:val="19"/>
          <w:szCs w:val="19"/>
        </w:rPr>
        <w:t xml:space="preserve">and the rights and obligations of the holders of shares represented by certificates of the same class and series shall be identical. Every owner of one or more shares in the corporation represented by certificates shall be entitled to a certificate, which </w:t>
      </w:r>
      <w:r>
        <w:rPr>
          <w:rFonts w:ascii="Arial" w:eastAsia="Arial" w:hAnsi="Arial" w:cs="Arial"/>
          <w:sz w:val="19"/>
          <w:szCs w:val="19"/>
        </w:rPr>
        <w:t>shall be in such form as the Board of Directors shall prescribe, certifying the number and class of shares in the corporation owned by such person. When such certificate is counter-signed by an incorporated transfer agent or registrar, the signature of any</w:t>
      </w:r>
      <w:r>
        <w:rPr>
          <w:rFonts w:ascii="Arial" w:eastAsia="Arial" w:hAnsi="Arial" w:cs="Arial"/>
          <w:sz w:val="19"/>
          <w:szCs w:val="19"/>
        </w:rPr>
        <w:t xml:space="preserve"> of said officers may be facsimile, engraved, stamped, or printed. A record shall be kept of the name of the person, corporation, or other entity owning shares, whether represented by certificates or in uncertificated form, including, in the case of shares</w:t>
      </w:r>
      <w:r>
        <w:rPr>
          <w:rFonts w:ascii="Arial" w:eastAsia="Arial" w:hAnsi="Arial" w:cs="Arial"/>
          <w:sz w:val="19"/>
          <w:szCs w:val="19"/>
        </w:rPr>
        <w:t xml:space="preserve"> represented by certificates, the number of shares represented thereby, the date thereof, and in case of cancellation, the date of cancellation. Every certificate surrendered to the corporation for exchange or transfer shall be cancelled, and no new certif</w:t>
      </w:r>
      <w:r>
        <w:rPr>
          <w:rFonts w:ascii="Arial" w:eastAsia="Arial" w:hAnsi="Arial" w:cs="Arial"/>
          <w:sz w:val="19"/>
          <w:szCs w:val="19"/>
        </w:rPr>
        <w:t>icate or certificates (or shares in uncertificated form) shall be issued in exchange for any existing certificates until such existing certificates shall have been so cancelled.</w:t>
      </w:r>
    </w:p>
    <w:p w14:paraId="472AF840" w14:textId="77777777" w:rsidR="00D1587D" w:rsidRDefault="00D1587D">
      <w:pPr>
        <w:spacing w:line="191" w:lineRule="exact"/>
        <w:rPr>
          <w:sz w:val="20"/>
          <w:szCs w:val="20"/>
        </w:rPr>
      </w:pPr>
    </w:p>
    <w:p w14:paraId="56829766" w14:textId="77777777" w:rsidR="00D1587D" w:rsidRDefault="00410D07">
      <w:pPr>
        <w:spacing w:line="273" w:lineRule="auto"/>
        <w:ind w:right="40" w:firstLine="648"/>
        <w:rPr>
          <w:sz w:val="20"/>
          <w:szCs w:val="20"/>
        </w:rPr>
      </w:pPr>
      <w:r>
        <w:rPr>
          <w:rFonts w:ascii="Arial" w:eastAsia="Arial" w:hAnsi="Arial" w:cs="Arial"/>
          <w:sz w:val="19"/>
          <w:szCs w:val="19"/>
        </w:rPr>
        <w:t>Section 7.02. Lost, Destroyed and Mutilated Certificates. If any certificates</w:t>
      </w:r>
      <w:r>
        <w:rPr>
          <w:rFonts w:ascii="Arial" w:eastAsia="Arial" w:hAnsi="Arial" w:cs="Arial"/>
          <w:sz w:val="19"/>
          <w:szCs w:val="19"/>
        </w:rPr>
        <w:t xml:space="preserve"> for shares in this corporation become worn, defaced, or mutilated but are still substantially intact and recognizable, the directors, upon production and surrender thereof, shall order the same cancelled and, unless the shares are thereafter to be held in</w:t>
      </w:r>
      <w:r>
        <w:rPr>
          <w:rFonts w:ascii="Arial" w:eastAsia="Arial" w:hAnsi="Arial" w:cs="Arial"/>
          <w:sz w:val="19"/>
          <w:szCs w:val="19"/>
        </w:rPr>
        <w:t xml:space="preserve"> uncertificated form, shall issue a new certificate in lieu of same. The holder of any shares in the corporation shall immediately notify the corporation if a certificate therefore shall be lost, destroyed, or mutilated beyond recognition, and the corporat</w:t>
      </w:r>
      <w:r>
        <w:rPr>
          <w:rFonts w:ascii="Arial" w:eastAsia="Arial" w:hAnsi="Arial" w:cs="Arial"/>
          <w:sz w:val="19"/>
          <w:szCs w:val="19"/>
        </w:rPr>
        <w:t>ion may issue a new certificate in the place of any certificate theretofore issued by it which is alleged to have been lost or destroyed or mutilated beyond recognition, and the Board of Directors may, in its discretion, require the owner of the certificat</w:t>
      </w:r>
      <w:r>
        <w:rPr>
          <w:rFonts w:ascii="Arial" w:eastAsia="Arial" w:hAnsi="Arial" w:cs="Arial"/>
          <w:sz w:val="19"/>
          <w:szCs w:val="19"/>
        </w:rPr>
        <w:t>e which has been lost, destroyed, or mutilated beyond recognition, or such owner’s legal representative, to give the corporation a bond in such sum and with such surety or sureties as it may direct, not exceeding double the value of the stock, to indemnify</w:t>
      </w:r>
      <w:r>
        <w:rPr>
          <w:rFonts w:ascii="Arial" w:eastAsia="Arial" w:hAnsi="Arial" w:cs="Arial"/>
          <w:sz w:val="19"/>
          <w:szCs w:val="19"/>
        </w:rPr>
        <w:t xml:space="preserve"> the corporation against any claim that may be made against it on account of the alleged loss, destruction, or mutilation of any such certificate.</w:t>
      </w:r>
    </w:p>
    <w:p w14:paraId="6AF71053" w14:textId="77777777" w:rsidR="00D1587D" w:rsidRDefault="00D1587D">
      <w:pPr>
        <w:spacing w:line="123" w:lineRule="exact"/>
        <w:rPr>
          <w:sz w:val="20"/>
          <w:szCs w:val="20"/>
        </w:rPr>
      </w:pPr>
    </w:p>
    <w:p w14:paraId="233A2C0D" w14:textId="77777777" w:rsidR="00D1587D" w:rsidRDefault="00410D07">
      <w:pPr>
        <w:ind w:right="-19"/>
        <w:jc w:val="center"/>
        <w:rPr>
          <w:sz w:val="20"/>
          <w:szCs w:val="20"/>
        </w:rPr>
      </w:pPr>
      <w:r>
        <w:rPr>
          <w:rFonts w:ascii="Arial" w:eastAsia="Arial" w:hAnsi="Arial" w:cs="Arial"/>
          <w:sz w:val="14"/>
          <w:szCs w:val="14"/>
        </w:rPr>
        <w:t>19</w:t>
      </w:r>
    </w:p>
    <w:p w14:paraId="09B8B7C8" w14:textId="77777777" w:rsidR="00D1587D" w:rsidRDefault="00410D07">
      <w:pPr>
        <w:spacing w:line="20" w:lineRule="exact"/>
        <w:rPr>
          <w:sz w:val="20"/>
          <w:szCs w:val="20"/>
        </w:rPr>
      </w:pPr>
      <w:r>
        <w:rPr>
          <w:noProof/>
          <w:sz w:val="20"/>
          <w:szCs w:val="20"/>
        </w:rPr>
        <w:drawing>
          <wp:anchor distT="0" distB="0" distL="114300" distR="114300" simplePos="0" relativeHeight="251232256" behindDoc="1" locked="0" layoutInCell="0" allowOverlap="1" wp14:anchorId="18946F4D" wp14:editId="117E9D1D">
            <wp:simplePos x="0" y="0"/>
            <wp:positionH relativeFrom="column">
              <wp:posOffset>5080</wp:posOffset>
            </wp:positionH>
            <wp:positionV relativeFrom="paragraph">
              <wp:posOffset>38100</wp:posOffset>
            </wp:positionV>
            <wp:extent cx="7132320" cy="1714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E6F2AF5" w14:textId="77777777" w:rsidR="00D1587D" w:rsidRDefault="00D1587D">
      <w:pPr>
        <w:sectPr w:rsidR="00D1587D">
          <w:pgSz w:w="11900" w:h="16838"/>
          <w:pgMar w:top="361" w:right="339" w:bottom="1440" w:left="320" w:header="0" w:footer="0" w:gutter="0"/>
          <w:cols w:space="720" w:equalWidth="0">
            <w:col w:w="11240"/>
          </w:cols>
        </w:sectPr>
      </w:pPr>
    </w:p>
    <w:p w14:paraId="59CFAE6D" w14:textId="77777777" w:rsidR="00D1587D" w:rsidRDefault="00410D07">
      <w:pPr>
        <w:spacing w:line="250" w:lineRule="auto"/>
        <w:ind w:right="260" w:firstLine="648"/>
        <w:rPr>
          <w:sz w:val="20"/>
          <w:szCs w:val="20"/>
        </w:rPr>
      </w:pPr>
      <w:bookmarkStart w:id="84" w:name="page85"/>
      <w:bookmarkEnd w:id="84"/>
      <w:r>
        <w:rPr>
          <w:rFonts w:ascii="Arial" w:eastAsia="Arial" w:hAnsi="Arial" w:cs="Arial"/>
        </w:rPr>
        <w:t>The Board of Directors may, however, in its discretion, refuse to issue any such ne</w:t>
      </w:r>
      <w:r>
        <w:rPr>
          <w:rFonts w:ascii="Arial" w:eastAsia="Arial" w:hAnsi="Arial" w:cs="Arial"/>
        </w:rPr>
        <w:t>w certificate except pursuant to legal proceedings under the laws of the State of Delaware.</w:t>
      </w:r>
    </w:p>
    <w:p w14:paraId="0F6378FF" w14:textId="77777777" w:rsidR="00D1587D" w:rsidRDefault="00D1587D">
      <w:pPr>
        <w:spacing w:line="202" w:lineRule="exact"/>
        <w:rPr>
          <w:sz w:val="20"/>
          <w:szCs w:val="20"/>
        </w:rPr>
      </w:pPr>
    </w:p>
    <w:p w14:paraId="7625899A" w14:textId="77777777" w:rsidR="00D1587D" w:rsidRDefault="00410D07">
      <w:pPr>
        <w:spacing w:line="274" w:lineRule="auto"/>
        <w:ind w:right="20" w:firstLine="648"/>
        <w:rPr>
          <w:sz w:val="20"/>
          <w:szCs w:val="20"/>
        </w:rPr>
      </w:pPr>
      <w:r>
        <w:rPr>
          <w:rFonts w:ascii="Arial" w:eastAsia="Arial" w:hAnsi="Arial" w:cs="Arial"/>
          <w:sz w:val="19"/>
          <w:szCs w:val="19"/>
        </w:rPr>
        <w:t xml:space="preserve">Section 7.03. Transfers of Shares. Transfers of shares in the corporation shall be made only on the books of the corporation by the registered holder </w:t>
      </w:r>
      <w:r>
        <w:rPr>
          <w:rFonts w:ascii="Arial" w:eastAsia="Arial" w:hAnsi="Arial" w:cs="Arial"/>
          <w:sz w:val="19"/>
          <w:szCs w:val="19"/>
        </w:rPr>
        <w:t>thereof, such person’s legal guardian, executor, or administrator, or by such person’s attorney thereunto authorized by power of attorney duly executed and filed with the secretary or with a transfer agent appointed by the Board of Directors, and (i) in th</w:t>
      </w:r>
      <w:r>
        <w:rPr>
          <w:rFonts w:ascii="Arial" w:eastAsia="Arial" w:hAnsi="Arial" w:cs="Arial"/>
          <w:sz w:val="19"/>
          <w:szCs w:val="19"/>
        </w:rPr>
        <w:t>e case of certificated shares, on surrender of the certificate or certificates for such shares properly endorsed or accompanied by properly executed stock powers and (ii) in the case of uncertificated shares, upon compliance with appropriate procedures for</w:t>
      </w:r>
      <w:r>
        <w:rPr>
          <w:rFonts w:ascii="Arial" w:eastAsia="Arial" w:hAnsi="Arial" w:cs="Arial"/>
          <w:sz w:val="19"/>
          <w:szCs w:val="19"/>
        </w:rPr>
        <w:t xml:space="preserve"> transferring shares in uncertificated form established by the corporation. In addition, no transfer shall be effected unless the corporation has received appropriate evidence of the payment of all taxes imposed upon such transfer. The person in whose name</w:t>
      </w:r>
      <w:r>
        <w:rPr>
          <w:rFonts w:ascii="Arial" w:eastAsia="Arial" w:hAnsi="Arial" w:cs="Arial"/>
          <w:sz w:val="19"/>
          <w:szCs w:val="19"/>
        </w:rPr>
        <w:t xml:space="preserve"> shares stand on the books of the corporation shall, to the full extent permitted by law, be deemed the owner thereof for all purposes as regards the corporation.</w:t>
      </w:r>
    </w:p>
    <w:p w14:paraId="191CD747" w14:textId="77777777" w:rsidR="00D1587D" w:rsidRDefault="00D1587D">
      <w:pPr>
        <w:spacing w:line="185" w:lineRule="exact"/>
        <w:rPr>
          <w:sz w:val="20"/>
          <w:szCs w:val="20"/>
        </w:rPr>
      </w:pPr>
    </w:p>
    <w:p w14:paraId="027B7BDD" w14:textId="77777777" w:rsidR="00D1587D" w:rsidRDefault="00410D07">
      <w:pPr>
        <w:spacing w:line="238" w:lineRule="auto"/>
        <w:ind w:right="60" w:firstLine="648"/>
        <w:rPr>
          <w:sz w:val="20"/>
          <w:szCs w:val="20"/>
        </w:rPr>
      </w:pPr>
      <w:r>
        <w:rPr>
          <w:rFonts w:ascii="Arial" w:eastAsia="Arial" w:hAnsi="Arial" w:cs="Arial"/>
        </w:rPr>
        <w:t xml:space="preserve">Section 7.04. Regulations. The Board of Directors may make such rules and regulations as it </w:t>
      </w:r>
      <w:r>
        <w:rPr>
          <w:rFonts w:ascii="Arial" w:eastAsia="Arial" w:hAnsi="Arial" w:cs="Arial"/>
        </w:rPr>
        <w:t>may deem expedient but not inconsistent with these bylaws concerning the issue, transfer, and registration of certificated or uncertificated shares in the corporation. It may appoint one or more transfer agents or one or more registrars, or both, and may r</w:t>
      </w:r>
      <w:r>
        <w:rPr>
          <w:rFonts w:ascii="Arial" w:eastAsia="Arial" w:hAnsi="Arial" w:cs="Arial"/>
        </w:rPr>
        <w:t>equire all certificates for shares to bear the signature of either or both.</w:t>
      </w:r>
    </w:p>
    <w:p w14:paraId="564B822F" w14:textId="77777777" w:rsidR="00D1587D" w:rsidRDefault="00D1587D">
      <w:pPr>
        <w:spacing w:line="212" w:lineRule="exact"/>
        <w:rPr>
          <w:sz w:val="20"/>
          <w:szCs w:val="20"/>
        </w:rPr>
      </w:pPr>
    </w:p>
    <w:p w14:paraId="29CE280F" w14:textId="77777777" w:rsidR="00D1587D" w:rsidRDefault="00410D07">
      <w:pPr>
        <w:ind w:left="660"/>
        <w:rPr>
          <w:sz w:val="20"/>
          <w:szCs w:val="20"/>
        </w:rPr>
      </w:pPr>
      <w:r>
        <w:rPr>
          <w:rFonts w:ascii="Arial" w:eastAsia="Arial" w:hAnsi="Arial" w:cs="Arial"/>
        </w:rPr>
        <w:t>ARTICLE VIII SECURITIES OF OTHER CORPORATIONS</w:t>
      </w:r>
    </w:p>
    <w:p w14:paraId="64E38FE7" w14:textId="77777777" w:rsidR="00D1587D" w:rsidRDefault="00D1587D">
      <w:pPr>
        <w:spacing w:line="233" w:lineRule="exact"/>
        <w:rPr>
          <w:sz w:val="20"/>
          <w:szCs w:val="20"/>
        </w:rPr>
      </w:pPr>
    </w:p>
    <w:p w14:paraId="09148390" w14:textId="77777777" w:rsidR="00D1587D" w:rsidRDefault="00410D07">
      <w:pPr>
        <w:spacing w:line="236" w:lineRule="auto"/>
        <w:ind w:firstLine="648"/>
        <w:rPr>
          <w:sz w:val="20"/>
          <w:szCs w:val="20"/>
        </w:rPr>
      </w:pPr>
      <w:r>
        <w:rPr>
          <w:rFonts w:ascii="Arial" w:eastAsia="Arial" w:hAnsi="Arial" w:cs="Arial"/>
        </w:rPr>
        <w:t>Unless otherwise directed by the Board of Directors, the chief executive officer, the president, and any vice president of the corpo</w:t>
      </w:r>
      <w:r>
        <w:rPr>
          <w:rFonts w:ascii="Arial" w:eastAsia="Arial" w:hAnsi="Arial" w:cs="Arial"/>
        </w:rPr>
        <w:t>ration shall have the power to vote and otherwise act on behalf of the corporation, in person or by proxy, at any meeting, or with respect to any action, of stockholders of any other corporation In which this corporation may hold securities and otherwise t</w:t>
      </w:r>
      <w:r>
        <w:rPr>
          <w:rFonts w:ascii="Arial" w:eastAsia="Arial" w:hAnsi="Arial" w:cs="Arial"/>
        </w:rPr>
        <w:t>o exercise any and all rights and powers which this corporation may possess by reason of its ownership of securities in such other corporation.</w:t>
      </w:r>
    </w:p>
    <w:p w14:paraId="7307DB57" w14:textId="77777777" w:rsidR="00D1587D" w:rsidRDefault="00D1587D">
      <w:pPr>
        <w:spacing w:line="214" w:lineRule="exact"/>
        <w:rPr>
          <w:sz w:val="20"/>
          <w:szCs w:val="20"/>
        </w:rPr>
      </w:pPr>
    </w:p>
    <w:p w14:paraId="0F768302" w14:textId="77777777" w:rsidR="00D1587D" w:rsidRDefault="00410D07">
      <w:pPr>
        <w:ind w:left="660"/>
        <w:rPr>
          <w:sz w:val="20"/>
          <w:szCs w:val="20"/>
        </w:rPr>
      </w:pPr>
      <w:r>
        <w:rPr>
          <w:rFonts w:ascii="Arial" w:eastAsia="Arial" w:hAnsi="Arial" w:cs="Arial"/>
        </w:rPr>
        <w:t>ARTICLE IX SEAL</w:t>
      </w:r>
    </w:p>
    <w:p w14:paraId="508C9481" w14:textId="77777777" w:rsidR="00D1587D" w:rsidRDefault="00D1587D">
      <w:pPr>
        <w:spacing w:line="233" w:lineRule="exact"/>
        <w:rPr>
          <w:sz w:val="20"/>
          <w:szCs w:val="20"/>
        </w:rPr>
      </w:pPr>
    </w:p>
    <w:p w14:paraId="3C29FC38" w14:textId="77777777" w:rsidR="00D1587D" w:rsidRDefault="00410D07">
      <w:pPr>
        <w:spacing w:line="328" w:lineRule="auto"/>
        <w:ind w:right="560" w:firstLine="648"/>
        <w:rPr>
          <w:sz w:val="20"/>
          <w:szCs w:val="20"/>
        </w:rPr>
      </w:pPr>
      <w:r>
        <w:rPr>
          <w:rFonts w:ascii="Arial" w:eastAsia="Arial" w:hAnsi="Arial" w:cs="Arial"/>
          <w:sz w:val="19"/>
          <w:szCs w:val="19"/>
        </w:rPr>
        <w:t>The Board of Directors may provide a corporate seal, which shall be circular and shall contain</w:t>
      </w:r>
      <w:r>
        <w:rPr>
          <w:rFonts w:ascii="Arial" w:eastAsia="Arial" w:hAnsi="Arial" w:cs="Arial"/>
          <w:sz w:val="19"/>
          <w:szCs w:val="19"/>
        </w:rPr>
        <w:t xml:space="preserve"> the name of the corporation engraved around the margin, the words “corporate seal”, the year of its organization, and the word “Delaware”.</w:t>
      </w:r>
    </w:p>
    <w:p w14:paraId="31BDC4A4" w14:textId="77777777" w:rsidR="00D1587D" w:rsidRDefault="00D1587D">
      <w:pPr>
        <w:spacing w:line="132" w:lineRule="exact"/>
        <w:rPr>
          <w:sz w:val="20"/>
          <w:szCs w:val="20"/>
        </w:rPr>
      </w:pPr>
    </w:p>
    <w:p w14:paraId="582D8851" w14:textId="77777777" w:rsidR="00D1587D" w:rsidRDefault="00410D07">
      <w:pPr>
        <w:ind w:left="660"/>
        <w:rPr>
          <w:sz w:val="20"/>
          <w:szCs w:val="20"/>
        </w:rPr>
      </w:pPr>
      <w:r>
        <w:rPr>
          <w:rFonts w:ascii="Arial" w:eastAsia="Arial" w:hAnsi="Arial" w:cs="Arial"/>
        </w:rPr>
        <w:t>ARTICLE X EXCLUSIVE FORUM</w:t>
      </w:r>
    </w:p>
    <w:p w14:paraId="65D362DD" w14:textId="77777777" w:rsidR="00D1587D" w:rsidRDefault="00D1587D">
      <w:pPr>
        <w:spacing w:line="233" w:lineRule="exact"/>
        <w:rPr>
          <w:sz w:val="20"/>
          <w:szCs w:val="20"/>
        </w:rPr>
      </w:pPr>
    </w:p>
    <w:p w14:paraId="7984B783" w14:textId="77777777" w:rsidR="00D1587D" w:rsidRDefault="00410D07">
      <w:pPr>
        <w:ind w:right="-39"/>
        <w:jc w:val="center"/>
        <w:rPr>
          <w:sz w:val="20"/>
          <w:szCs w:val="20"/>
        </w:rPr>
      </w:pPr>
      <w:r>
        <w:rPr>
          <w:rFonts w:ascii="Arial" w:eastAsia="Arial" w:hAnsi="Arial" w:cs="Arial"/>
        </w:rPr>
        <w:t>Unless the corporation consents in writing to the selection of an alternative forum, the</w:t>
      </w:r>
      <w:r>
        <w:rPr>
          <w:rFonts w:ascii="Arial" w:eastAsia="Arial" w:hAnsi="Arial" w:cs="Arial"/>
        </w:rPr>
        <w:t xml:space="preserve"> sole and exclusive forum for</w:t>
      </w:r>
    </w:p>
    <w:p w14:paraId="738106C3" w14:textId="77777777" w:rsidR="00D1587D" w:rsidRDefault="00D1587D">
      <w:pPr>
        <w:spacing w:line="233" w:lineRule="exact"/>
        <w:rPr>
          <w:sz w:val="20"/>
          <w:szCs w:val="20"/>
        </w:rPr>
      </w:pPr>
    </w:p>
    <w:p w14:paraId="37ED4F84" w14:textId="77777777" w:rsidR="00D1587D" w:rsidRDefault="00410D07">
      <w:pPr>
        <w:numPr>
          <w:ilvl w:val="0"/>
          <w:numId w:val="52"/>
        </w:numPr>
        <w:tabs>
          <w:tab w:val="left" w:pos="960"/>
        </w:tabs>
        <w:ind w:left="960" w:hanging="250"/>
        <w:rPr>
          <w:rFonts w:ascii="Arial" w:eastAsia="Arial" w:hAnsi="Arial" w:cs="Arial"/>
        </w:rPr>
      </w:pPr>
      <w:r>
        <w:rPr>
          <w:rFonts w:ascii="Arial" w:eastAsia="Arial" w:hAnsi="Arial" w:cs="Arial"/>
        </w:rPr>
        <w:t>any derivative action or proceeding brought on behalf of the corporation;</w:t>
      </w:r>
    </w:p>
    <w:p w14:paraId="26104B5A" w14:textId="77777777" w:rsidR="00D1587D" w:rsidRDefault="00D1587D">
      <w:pPr>
        <w:spacing w:line="233" w:lineRule="exact"/>
        <w:rPr>
          <w:rFonts w:ascii="Arial" w:eastAsia="Arial" w:hAnsi="Arial" w:cs="Arial"/>
        </w:rPr>
      </w:pPr>
    </w:p>
    <w:p w14:paraId="5A2791B6" w14:textId="77777777" w:rsidR="00D1587D" w:rsidRDefault="00410D07">
      <w:pPr>
        <w:numPr>
          <w:ilvl w:val="0"/>
          <w:numId w:val="52"/>
        </w:numPr>
        <w:tabs>
          <w:tab w:val="left" w:pos="966"/>
        </w:tabs>
        <w:ind w:right="340" w:firstLine="656"/>
        <w:jc w:val="both"/>
        <w:rPr>
          <w:rFonts w:ascii="Arial" w:eastAsia="Arial" w:hAnsi="Arial" w:cs="Arial"/>
        </w:rPr>
      </w:pPr>
      <w:r>
        <w:rPr>
          <w:rFonts w:ascii="Arial" w:eastAsia="Arial" w:hAnsi="Arial" w:cs="Arial"/>
        </w:rPr>
        <w:t xml:space="preserve">any action asserting a claim for or based on a breach of a fiduciary duty owed by any current or former director or officer or other employee or </w:t>
      </w:r>
      <w:r>
        <w:rPr>
          <w:rFonts w:ascii="Arial" w:eastAsia="Arial" w:hAnsi="Arial" w:cs="Arial"/>
        </w:rPr>
        <w:t>agent of the corporation to the corporation or to the corporation’s stockholders, including a claim alleging the aiding and abetting of such a breach of fiduciary duty;</w:t>
      </w:r>
    </w:p>
    <w:p w14:paraId="3B0DE10A" w14:textId="77777777" w:rsidR="00D1587D" w:rsidRDefault="00D1587D">
      <w:pPr>
        <w:spacing w:line="213" w:lineRule="exact"/>
        <w:rPr>
          <w:rFonts w:ascii="Arial" w:eastAsia="Arial" w:hAnsi="Arial" w:cs="Arial"/>
        </w:rPr>
      </w:pPr>
    </w:p>
    <w:p w14:paraId="1E7F0205" w14:textId="77777777" w:rsidR="00D1587D" w:rsidRDefault="00410D07">
      <w:pPr>
        <w:numPr>
          <w:ilvl w:val="1"/>
          <w:numId w:val="52"/>
        </w:numPr>
        <w:tabs>
          <w:tab w:val="left" w:pos="1026"/>
        </w:tabs>
        <w:ind w:right="40" w:firstLine="656"/>
        <w:rPr>
          <w:rFonts w:ascii="Arial" w:eastAsia="Arial" w:hAnsi="Arial" w:cs="Arial"/>
        </w:rPr>
      </w:pPr>
      <w:r>
        <w:rPr>
          <w:rFonts w:ascii="Arial" w:eastAsia="Arial" w:hAnsi="Arial" w:cs="Arial"/>
        </w:rPr>
        <w:t>any action asserting a claim against the corporation or any current or former director</w:t>
      </w:r>
      <w:r>
        <w:rPr>
          <w:rFonts w:ascii="Arial" w:eastAsia="Arial" w:hAnsi="Arial" w:cs="Arial"/>
        </w:rPr>
        <w:t xml:space="preserve"> or officer or other employee or agent of the corporation arising pursuant to any provision of the DGCL or the corporation’s certificate of incorporation or bylaws (as any of the foregoing may be amended from time to time);</w:t>
      </w:r>
    </w:p>
    <w:p w14:paraId="097D34F0" w14:textId="77777777" w:rsidR="00D1587D" w:rsidRDefault="00D1587D">
      <w:pPr>
        <w:spacing w:line="148" w:lineRule="exact"/>
        <w:rPr>
          <w:sz w:val="20"/>
          <w:szCs w:val="20"/>
        </w:rPr>
      </w:pPr>
    </w:p>
    <w:p w14:paraId="23649ABB" w14:textId="77777777" w:rsidR="00D1587D" w:rsidRDefault="00410D07">
      <w:pPr>
        <w:ind w:right="-19"/>
        <w:jc w:val="center"/>
        <w:rPr>
          <w:sz w:val="20"/>
          <w:szCs w:val="20"/>
        </w:rPr>
      </w:pPr>
      <w:r>
        <w:rPr>
          <w:rFonts w:ascii="Arial" w:eastAsia="Arial" w:hAnsi="Arial" w:cs="Arial"/>
          <w:sz w:val="14"/>
          <w:szCs w:val="14"/>
        </w:rPr>
        <w:t>20</w:t>
      </w:r>
    </w:p>
    <w:p w14:paraId="6590AC9B" w14:textId="77777777" w:rsidR="00D1587D" w:rsidRDefault="00410D07">
      <w:pPr>
        <w:spacing w:line="20" w:lineRule="exact"/>
        <w:rPr>
          <w:sz w:val="20"/>
          <w:szCs w:val="20"/>
        </w:rPr>
      </w:pPr>
      <w:r>
        <w:rPr>
          <w:noProof/>
          <w:sz w:val="20"/>
          <w:szCs w:val="20"/>
        </w:rPr>
        <w:drawing>
          <wp:anchor distT="0" distB="0" distL="114300" distR="114300" simplePos="0" relativeHeight="251233280" behindDoc="1" locked="0" layoutInCell="0" allowOverlap="1" wp14:anchorId="415E2798" wp14:editId="5421C5B0">
            <wp:simplePos x="0" y="0"/>
            <wp:positionH relativeFrom="column">
              <wp:posOffset>5080</wp:posOffset>
            </wp:positionH>
            <wp:positionV relativeFrom="paragraph">
              <wp:posOffset>38100</wp:posOffset>
            </wp:positionV>
            <wp:extent cx="7132320" cy="1714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A3AAABE" w14:textId="77777777" w:rsidR="00D1587D" w:rsidRDefault="00D1587D">
      <w:pPr>
        <w:sectPr w:rsidR="00D1587D">
          <w:pgSz w:w="11900" w:h="16838"/>
          <w:pgMar w:top="361" w:right="359" w:bottom="1440" w:left="320" w:header="0" w:footer="0" w:gutter="0"/>
          <w:cols w:space="720" w:equalWidth="0">
            <w:col w:w="11220"/>
          </w:cols>
        </w:sectPr>
      </w:pPr>
    </w:p>
    <w:p w14:paraId="37B54591" w14:textId="77777777" w:rsidR="00D1587D" w:rsidRDefault="00410D07">
      <w:pPr>
        <w:numPr>
          <w:ilvl w:val="0"/>
          <w:numId w:val="53"/>
        </w:numPr>
        <w:tabs>
          <w:tab w:val="left" w:pos="940"/>
        </w:tabs>
        <w:ind w:left="940" w:hanging="364"/>
        <w:rPr>
          <w:rFonts w:ascii="Arial" w:eastAsia="Arial" w:hAnsi="Arial" w:cs="Arial"/>
          <w:sz w:val="19"/>
          <w:szCs w:val="19"/>
        </w:rPr>
      </w:pPr>
      <w:bookmarkStart w:id="85" w:name="page86"/>
      <w:bookmarkEnd w:id="85"/>
      <w:r>
        <w:rPr>
          <w:rFonts w:ascii="Arial" w:eastAsia="Arial" w:hAnsi="Arial" w:cs="Arial"/>
          <w:sz w:val="19"/>
          <w:szCs w:val="19"/>
        </w:rPr>
        <w:t xml:space="preserve">any </w:t>
      </w:r>
      <w:r>
        <w:rPr>
          <w:rFonts w:ascii="Arial" w:eastAsia="Arial" w:hAnsi="Arial" w:cs="Arial"/>
          <w:sz w:val="19"/>
          <w:szCs w:val="19"/>
        </w:rPr>
        <w:t>action asserting a claim related to or involving the corporation that is governed by the internal affairs doctrine; or</w:t>
      </w:r>
    </w:p>
    <w:p w14:paraId="403A9FF8" w14:textId="77777777" w:rsidR="00D1587D" w:rsidRDefault="00D1587D">
      <w:pPr>
        <w:spacing w:line="267" w:lineRule="exact"/>
        <w:rPr>
          <w:rFonts w:ascii="Arial" w:eastAsia="Arial" w:hAnsi="Arial" w:cs="Arial"/>
          <w:sz w:val="19"/>
          <w:szCs w:val="19"/>
        </w:rPr>
      </w:pPr>
    </w:p>
    <w:p w14:paraId="2417D432" w14:textId="77777777" w:rsidR="00D1587D" w:rsidRDefault="00410D07">
      <w:pPr>
        <w:numPr>
          <w:ilvl w:val="0"/>
          <w:numId w:val="53"/>
        </w:numPr>
        <w:tabs>
          <w:tab w:val="left" w:pos="874"/>
        </w:tabs>
        <w:ind w:left="-80" w:right="80" w:firstLine="656"/>
        <w:jc w:val="both"/>
        <w:rPr>
          <w:rFonts w:ascii="Arial" w:eastAsia="Arial" w:hAnsi="Arial" w:cs="Arial"/>
        </w:rPr>
      </w:pPr>
      <w:r>
        <w:rPr>
          <w:rFonts w:ascii="Arial" w:eastAsia="Arial" w:hAnsi="Arial" w:cs="Arial"/>
        </w:rPr>
        <w:t>any action asserting an “internal corporate claim” as that term is defined in Section 115 of the DGCL; shall be a state court located wi</w:t>
      </w:r>
      <w:r>
        <w:rPr>
          <w:rFonts w:ascii="Arial" w:eastAsia="Arial" w:hAnsi="Arial" w:cs="Arial"/>
        </w:rPr>
        <w:t>thin the State of Delaware (or, if no state court located within the State of Delaware has jurisdiction, the federal court for the District of Delaware).</w:t>
      </w:r>
    </w:p>
    <w:p w14:paraId="4134599B" w14:textId="77777777" w:rsidR="00D1587D" w:rsidRDefault="00D1587D">
      <w:pPr>
        <w:spacing w:line="216" w:lineRule="exact"/>
        <w:rPr>
          <w:sz w:val="20"/>
          <w:szCs w:val="20"/>
        </w:rPr>
      </w:pPr>
    </w:p>
    <w:p w14:paraId="105E682D" w14:textId="77777777" w:rsidR="00D1587D" w:rsidRDefault="00410D07">
      <w:pPr>
        <w:jc w:val="center"/>
        <w:rPr>
          <w:sz w:val="20"/>
          <w:szCs w:val="20"/>
        </w:rPr>
      </w:pPr>
      <w:r>
        <w:rPr>
          <w:rFonts w:ascii="Arial" w:eastAsia="Arial" w:hAnsi="Arial" w:cs="Arial"/>
          <w:sz w:val="14"/>
          <w:szCs w:val="14"/>
        </w:rPr>
        <w:t>21</w:t>
      </w:r>
    </w:p>
    <w:p w14:paraId="10CF4A29" w14:textId="77777777" w:rsidR="00D1587D" w:rsidRDefault="00410D07">
      <w:pPr>
        <w:spacing w:line="20" w:lineRule="exact"/>
        <w:rPr>
          <w:sz w:val="20"/>
          <w:szCs w:val="20"/>
        </w:rPr>
      </w:pPr>
      <w:r>
        <w:rPr>
          <w:noProof/>
          <w:sz w:val="20"/>
          <w:szCs w:val="20"/>
        </w:rPr>
        <w:drawing>
          <wp:anchor distT="0" distB="0" distL="114300" distR="114300" simplePos="0" relativeHeight="251234304" behindDoc="1" locked="0" layoutInCell="0" allowOverlap="1" wp14:anchorId="2EA9D81D" wp14:editId="44D4AEF2">
            <wp:simplePos x="0" y="0"/>
            <wp:positionH relativeFrom="column">
              <wp:posOffset>-45085</wp:posOffset>
            </wp:positionH>
            <wp:positionV relativeFrom="paragraph">
              <wp:posOffset>167005</wp:posOffset>
            </wp:positionV>
            <wp:extent cx="7132320" cy="1714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B5CC921" w14:textId="77777777" w:rsidR="00D1587D" w:rsidRDefault="00D1587D">
      <w:pPr>
        <w:sectPr w:rsidR="00D1587D">
          <w:pgSz w:w="11900" w:h="16838"/>
          <w:pgMar w:top="361" w:right="419" w:bottom="1440" w:left="400" w:header="0" w:footer="0" w:gutter="0"/>
          <w:cols w:space="720" w:equalWidth="0">
            <w:col w:w="11080"/>
          </w:cols>
        </w:sectPr>
      </w:pPr>
    </w:p>
    <w:p w14:paraId="319CE6B5" w14:textId="77777777" w:rsidR="00D1587D" w:rsidRDefault="00410D07">
      <w:pPr>
        <w:jc w:val="right"/>
        <w:rPr>
          <w:sz w:val="20"/>
          <w:szCs w:val="20"/>
        </w:rPr>
      </w:pPr>
      <w:bookmarkStart w:id="86" w:name="page87"/>
      <w:bookmarkEnd w:id="86"/>
      <w:r>
        <w:rPr>
          <w:rFonts w:ascii="Arial" w:eastAsia="Arial" w:hAnsi="Arial" w:cs="Arial"/>
          <w:b/>
          <w:bCs/>
          <w:noProof/>
        </w:rPr>
        <w:drawing>
          <wp:anchor distT="0" distB="0" distL="114300" distR="114300" simplePos="0" relativeHeight="251235328" behindDoc="1" locked="0" layoutInCell="0" allowOverlap="1" wp14:anchorId="2E484EA9" wp14:editId="26FE6D95">
            <wp:simplePos x="0" y="0"/>
            <wp:positionH relativeFrom="page">
              <wp:posOffset>208280</wp:posOffset>
            </wp:positionH>
            <wp:positionV relativeFrom="page">
              <wp:posOffset>88900</wp:posOffset>
            </wp:positionV>
            <wp:extent cx="7132320" cy="3429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10.1</w:t>
      </w:r>
    </w:p>
    <w:p w14:paraId="6B4B80FF" w14:textId="77777777" w:rsidR="00D1587D" w:rsidRDefault="00D1587D">
      <w:pPr>
        <w:spacing w:line="200" w:lineRule="exact"/>
        <w:rPr>
          <w:sz w:val="20"/>
          <w:szCs w:val="20"/>
        </w:rPr>
      </w:pPr>
    </w:p>
    <w:p w14:paraId="4AA0AF45" w14:textId="77777777" w:rsidR="00D1587D" w:rsidRDefault="00D1587D">
      <w:pPr>
        <w:spacing w:line="276" w:lineRule="exact"/>
        <w:rPr>
          <w:sz w:val="20"/>
          <w:szCs w:val="20"/>
        </w:rPr>
      </w:pPr>
    </w:p>
    <w:p w14:paraId="1170D4FE" w14:textId="77777777" w:rsidR="00D1587D" w:rsidRDefault="00410D07">
      <w:pPr>
        <w:ind w:right="1120"/>
        <w:jc w:val="center"/>
        <w:rPr>
          <w:sz w:val="20"/>
          <w:szCs w:val="20"/>
        </w:rPr>
      </w:pPr>
      <w:r>
        <w:rPr>
          <w:rFonts w:ascii="Arial" w:eastAsia="Arial" w:hAnsi="Arial" w:cs="Arial"/>
          <w:b/>
          <w:bCs/>
        </w:rPr>
        <w:t>FORM OF</w:t>
      </w:r>
    </w:p>
    <w:p w14:paraId="30A7CF78" w14:textId="77777777" w:rsidR="00D1587D" w:rsidRDefault="00D1587D">
      <w:pPr>
        <w:spacing w:line="233" w:lineRule="exact"/>
        <w:rPr>
          <w:sz w:val="20"/>
          <w:szCs w:val="20"/>
        </w:rPr>
      </w:pPr>
    </w:p>
    <w:p w14:paraId="30CEF51A" w14:textId="77777777" w:rsidR="00D1587D" w:rsidRDefault="00410D07">
      <w:pPr>
        <w:ind w:right="1120"/>
        <w:jc w:val="center"/>
        <w:rPr>
          <w:sz w:val="20"/>
          <w:szCs w:val="20"/>
        </w:rPr>
      </w:pPr>
      <w:r>
        <w:rPr>
          <w:rFonts w:ascii="Arial" w:eastAsia="Arial" w:hAnsi="Arial" w:cs="Arial"/>
          <w:b/>
          <w:bCs/>
          <w:sz w:val="21"/>
          <w:szCs w:val="21"/>
        </w:rPr>
        <w:t xml:space="preserve">L BRANDS TO VS TRANSITION SERVICES </w:t>
      </w:r>
      <w:r>
        <w:rPr>
          <w:rFonts w:ascii="Arial" w:eastAsia="Arial" w:hAnsi="Arial" w:cs="Arial"/>
          <w:b/>
          <w:bCs/>
          <w:sz w:val="21"/>
          <w:szCs w:val="21"/>
        </w:rPr>
        <w:t>AGREEMENT</w:t>
      </w:r>
    </w:p>
    <w:p w14:paraId="0E9DBD5E" w14:textId="77777777" w:rsidR="00D1587D" w:rsidRDefault="00D1587D">
      <w:pPr>
        <w:spacing w:line="245" w:lineRule="exact"/>
        <w:rPr>
          <w:sz w:val="20"/>
          <w:szCs w:val="20"/>
        </w:rPr>
      </w:pPr>
    </w:p>
    <w:p w14:paraId="5476673C" w14:textId="77777777" w:rsidR="00D1587D" w:rsidRDefault="00410D07">
      <w:pPr>
        <w:ind w:left="4000"/>
        <w:rPr>
          <w:sz w:val="20"/>
          <w:szCs w:val="20"/>
        </w:rPr>
      </w:pPr>
      <w:r>
        <w:rPr>
          <w:rFonts w:ascii="Arial" w:eastAsia="Arial" w:hAnsi="Arial" w:cs="Arial"/>
          <w:b/>
          <w:bCs/>
        </w:rPr>
        <w:t>dated as of</w:t>
      </w:r>
    </w:p>
    <w:p w14:paraId="5D634974" w14:textId="77777777" w:rsidR="00D1587D" w:rsidRDefault="00D1587D">
      <w:pPr>
        <w:spacing w:line="233" w:lineRule="exact"/>
        <w:rPr>
          <w:sz w:val="20"/>
          <w:szCs w:val="20"/>
        </w:rPr>
      </w:pPr>
    </w:p>
    <w:p w14:paraId="4505CD1E" w14:textId="77777777" w:rsidR="00D1587D" w:rsidRDefault="00410D07">
      <w:pPr>
        <w:ind w:left="4060"/>
        <w:rPr>
          <w:sz w:val="20"/>
          <w:szCs w:val="20"/>
        </w:rPr>
      </w:pPr>
      <w:r>
        <w:rPr>
          <w:rFonts w:ascii="Arial" w:eastAsia="Arial" w:hAnsi="Arial" w:cs="Arial"/>
          <w:b/>
          <w:bCs/>
        </w:rPr>
        <w:t>[__], 2021</w:t>
      </w:r>
    </w:p>
    <w:p w14:paraId="0A9AD9E9" w14:textId="77777777" w:rsidR="00D1587D" w:rsidRDefault="00D1587D">
      <w:pPr>
        <w:spacing w:line="233" w:lineRule="exact"/>
        <w:rPr>
          <w:sz w:val="20"/>
          <w:szCs w:val="20"/>
        </w:rPr>
      </w:pPr>
    </w:p>
    <w:p w14:paraId="71A6633C" w14:textId="77777777" w:rsidR="00D1587D" w:rsidRDefault="00410D07">
      <w:pPr>
        <w:ind w:right="1120"/>
        <w:jc w:val="center"/>
        <w:rPr>
          <w:sz w:val="20"/>
          <w:szCs w:val="20"/>
        </w:rPr>
      </w:pPr>
      <w:r>
        <w:rPr>
          <w:rFonts w:ascii="Arial" w:eastAsia="Arial" w:hAnsi="Arial" w:cs="Arial"/>
          <w:b/>
          <w:bCs/>
        </w:rPr>
        <w:t>by and between</w:t>
      </w:r>
    </w:p>
    <w:p w14:paraId="1739D95A" w14:textId="77777777" w:rsidR="00D1587D" w:rsidRDefault="00D1587D">
      <w:pPr>
        <w:spacing w:line="233" w:lineRule="exact"/>
        <w:rPr>
          <w:sz w:val="20"/>
          <w:szCs w:val="20"/>
        </w:rPr>
      </w:pPr>
    </w:p>
    <w:p w14:paraId="2154228C" w14:textId="77777777" w:rsidR="00D1587D" w:rsidRDefault="00410D07">
      <w:pPr>
        <w:ind w:right="1120"/>
        <w:jc w:val="center"/>
        <w:rPr>
          <w:sz w:val="20"/>
          <w:szCs w:val="20"/>
        </w:rPr>
      </w:pPr>
      <w:r>
        <w:rPr>
          <w:rFonts w:ascii="Arial" w:eastAsia="Arial" w:hAnsi="Arial" w:cs="Arial"/>
          <w:b/>
          <w:bCs/>
        </w:rPr>
        <w:t>L BRANDS, INC.</w:t>
      </w:r>
    </w:p>
    <w:p w14:paraId="33BE07F6" w14:textId="77777777" w:rsidR="00D1587D" w:rsidRDefault="00D1587D">
      <w:pPr>
        <w:spacing w:line="233" w:lineRule="exact"/>
        <w:rPr>
          <w:sz w:val="20"/>
          <w:szCs w:val="20"/>
        </w:rPr>
      </w:pPr>
    </w:p>
    <w:p w14:paraId="1C443D90" w14:textId="77777777" w:rsidR="00D1587D" w:rsidRDefault="00410D07">
      <w:pPr>
        <w:ind w:right="1120"/>
        <w:jc w:val="center"/>
        <w:rPr>
          <w:sz w:val="20"/>
          <w:szCs w:val="20"/>
        </w:rPr>
      </w:pPr>
      <w:r>
        <w:rPr>
          <w:rFonts w:ascii="Arial" w:eastAsia="Arial" w:hAnsi="Arial" w:cs="Arial"/>
          <w:b/>
          <w:bCs/>
        </w:rPr>
        <w:t>and</w:t>
      </w:r>
    </w:p>
    <w:p w14:paraId="00FA84F3" w14:textId="77777777" w:rsidR="00D1587D" w:rsidRDefault="00D1587D">
      <w:pPr>
        <w:spacing w:line="233" w:lineRule="exact"/>
        <w:rPr>
          <w:sz w:val="20"/>
          <w:szCs w:val="20"/>
        </w:rPr>
      </w:pPr>
    </w:p>
    <w:p w14:paraId="25CB0445" w14:textId="77777777" w:rsidR="00D1587D" w:rsidRDefault="00410D07">
      <w:pPr>
        <w:ind w:left="3080"/>
        <w:rPr>
          <w:sz w:val="20"/>
          <w:szCs w:val="20"/>
        </w:rPr>
      </w:pPr>
      <w:r>
        <w:rPr>
          <w:rFonts w:ascii="Arial" w:eastAsia="Arial" w:hAnsi="Arial" w:cs="Arial"/>
          <w:b/>
          <w:bCs/>
        </w:rPr>
        <w:t>VICTORIA’S SECRET &amp; CO.</w:t>
      </w:r>
    </w:p>
    <w:p w14:paraId="786F8210" w14:textId="77777777" w:rsidR="00D1587D" w:rsidRDefault="00410D07">
      <w:pPr>
        <w:spacing w:line="20" w:lineRule="exact"/>
        <w:rPr>
          <w:sz w:val="20"/>
          <w:szCs w:val="20"/>
        </w:rPr>
      </w:pPr>
      <w:r>
        <w:rPr>
          <w:noProof/>
          <w:sz w:val="20"/>
          <w:szCs w:val="20"/>
        </w:rPr>
        <w:drawing>
          <wp:anchor distT="0" distB="0" distL="114300" distR="114300" simplePos="0" relativeHeight="251236352" behindDoc="1" locked="0" layoutInCell="0" allowOverlap="1" wp14:anchorId="09BEABD9" wp14:editId="72D35894">
            <wp:simplePos x="0" y="0"/>
            <wp:positionH relativeFrom="column">
              <wp:posOffset>-705485</wp:posOffset>
            </wp:positionH>
            <wp:positionV relativeFrom="paragraph">
              <wp:posOffset>122555</wp:posOffset>
            </wp:positionV>
            <wp:extent cx="7132320" cy="1714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8DD9197" w14:textId="77777777" w:rsidR="00D1587D" w:rsidRDefault="00D1587D">
      <w:pPr>
        <w:sectPr w:rsidR="00D1587D">
          <w:pgSz w:w="11900" w:h="16838"/>
          <w:pgMar w:top="274" w:right="339" w:bottom="1440" w:left="1440" w:header="0" w:footer="0" w:gutter="0"/>
          <w:cols w:space="720" w:equalWidth="0">
            <w:col w:w="10120"/>
          </w:cols>
        </w:sectPr>
      </w:pPr>
    </w:p>
    <w:p w14:paraId="17273423" w14:textId="77777777" w:rsidR="00D1587D" w:rsidRDefault="00410D07">
      <w:pPr>
        <w:jc w:val="center"/>
        <w:rPr>
          <w:sz w:val="20"/>
          <w:szCs w:val="20"/>
        </w:rPr>
      </w:pPr>
      <w:bookmarkStart w:id="87" w:name="page88"/>
      <w:bookmarkEnd w:id="87"/>
      <w:r>
        <w:rPr>
          <w:rFonts w:ascii="Arial" w:eastAsia="Arial" w:hAnsi="Arial" w:cs="Arial"/>
          <w:b/>
          <w:bCs/>
        </w:rPr>
        <w:t>TABLE OF CONTENTS</w:t>
      </w:r>
    </w:p>
    <w:tbl>
      <w:tblPr>
        <w:tblW w:w="0" w:type="auto"/>
        <w:tblLayout w:type="fixed"/>
        <w:tblCellMar>
          <w:left w:w="0" w:type="dxa"/>
          <w:right w:w="0" w:type="dxa"/>
        </w:tblCellMar>
        <w:tblLook w:val="04A0" w:firstRow="1" w:lastRow="0" w:firstColumn="1" w:lastColumn="0" w:noHBand="0" w:noVBand="1"/>
      </w:tblPr>
      <w:tblGrid>
        <w:gridCol w:w="1040"/>
        <w:gridCol w:w="9780"/>
        <w:gridCol w:w="420"/>
        <w:gridCol w:w="20"/>
      </w:tblGrid>
      <w:tr w:rsidR="00D1587D" w14:paraId="2D0DCF44" w14:textId="77777777">
        <w:trPr>
          <w:trHeight w:val="221"/>
        </w:trPr>
        <w:tc>
          <w:tcPr>
            <w:tcW w:w="1040" w:type="dxa"/>
            <w:vAlign w:val="bottom"/>
          </w:tcPr>
          <w:p w14:paraId="5607D3DE" w14:textId="77777777" w:rsidR="00D1587D" w:rsidRDefault="00D1587D">
            <w:pPr>
              <w:rPr>
                <w:sz w:val="19"/>
                <w:szCs w:val="19"/>
              </w:rPr>
            </w:pPr>
          </w:p>
        </w:tc>
        <w:tc>
          <w:tcPr>
            <w:tcW w:w="9780" w:type="dxa"/>
            <w:vMerge w:val="restart"/>
            <w:vAlign w:val="bottom"/>
          </w:tcPr>
          <w:p w14:paraId="0557CB7C" w14:textId="77777777" w:rsidR="00D1587D" w:rsidRDefault="00410D07">
            <w:pPr>
              <w:ind w:right="530"/>
              <w:jc w:val="center"/>
              <w:rPr>
                <w:sz w:val="20"/>
                <w:szCs w:val="20"/>
              </w:rPr>
            </w:pPr>
            <w:r>
              <w:rPr>
                <w:rFonts w:ascii="Arial" w:eastAsia="Arial" w:hAnsi="Arial" w:cs="Arial"/>
                <w:w w:val="96"/>
                <w:sz w:val="18"/>
                <w:szCs w:val="18"/>
              </w:rPr>
              <w:t>ARTICLE 1</w:t>
            </w:r>
          </w:p>
        </w:tc>
        <w:tc>
          <w:tcPr>
            <w:tcW w:w="420" w:type="dxa"/>
            <w:tcBorders>
              <w:bottom w:val="single" w:sz="8" w:space="0" w:color="auto"/>
            </w:tcBorders>
            <w:vAlign w:val="bottom"/>
          </w:tcPr>
          <w:p w14:paraId="142613BD" w14:textId="77777777" w:rsidR="00D1587D" w:rsidRDefault="00410D07">
            <w:pPr>
              <w:spacing w:line="221" w:lineRule="exact"/>
              <w:jc w:val="right"/>
              <w:rPr>
                <w:sz w:val="20"/>
                <w:szCs w:val="20"/>
              </w:rPr>
            </w:pPr>
            <w:r>
              <w:rPr>
                <w:rFonts w:ascii="Arial" w:eastAsia="Arial" w:hAnsi="Arial" w:cs="Arial"/>
                <w:w w:val="90"/>
              </w:rPr>
              <w:t>P</w:t>
            </w:r>
            <w:r>
              <w:rPr>
                <w:rFonts w:ascii="Arial" w:eastAsia="Arial" w:hAnsi="Arial" w:cs="Arial"/>
                <w:w w:val="90"/>
                <w:sz w:val="14"/>
                <w:szCs w:val="14"/>
              </w:rPr>
              <w:t>AGE</w:t>
            </w:r>
          </w:p>
        </w:tc>
        <w:tc>
          <w:tcPr>
            <w:tcW w:w="0" w:type="dxa"/>
            <w:vAlign w:val="bottom"/>
          </w:tcPr>
          <w:p w14:paraId="13CFFC46" w14:textId="77777777" w:rsidR="00D1587D" w:rsidRDefault="00D1587D">
            <w:pPr>
              <w:rPr>
                <w:sz w:val="1"/>
                <w:szCs w:val="1"/>
              </w:rPr>
            </w:pPr>
          </w:p>
        </w:tc>
      </w:tr>
      <w:tr w:rsidR="00D1587D" w14:paraId="415C3FDD" w14:textId="77777777">
        <w:trPr>
          <w:trHeight w:val="222"/>
        </w:trPr>
        <w:tc>
          <w:tcPr>
            <w:tcW w:w="1040" w:type="dxa"/>
            <w:vAlign w:val="bottom"/>
          </w:tcPr>
          <w:p w14:paraId="05D52246" w14:textId="77777777" w:rsidR="00D1587D" w:rsidRDefault="00D1587D">
            <w:pPr>
              <w:rPr>
                <w:sz w:val="19"/>
                <w:szCs w:val="19"/>
              </w:rPr>
            </w:pPr>
          </w:p>
        </w:tc>
        <w:tc>
          <w:tcPr>
            <w:tcW w:w="9780" w:type="dxa"/>
            <w:vMerge/>
            <w:vAlign w:val="bottom"/>
          </w:tcPr>
          <w:p w14:paraId="5C907E3E" w14:textId="77777777" w:rsidR="00D1587D" w:rsidRDefault="00D1587D">
            <w:pPr>
              <w:rPr>
                <w:sz w:val="19"/>
                <w:szCs w:val="19"/>
              </w:rPr>
            </w:pPr>
          </w:p>
        </w:tc>
        <w:tc>
          <w:tcPr>
            <w:tcW w:w="420" w:type="dxa"/>
            <w:vAlign w:val="bottom"/>
          </w:tcPr>
          <w:p w14:paraId="2E47EDD0" w14:textId="77777777" w:rsidR="00D1587D" w:rsidRDefault="00D1587D">
            <w:pPr>
              <w:rPr>
                <w:sz w:val="19"/>
                <w:szCs w:val="19"/>
              </w:rPr>
            </w:pPr>
          </w:p>
        </w:tc>
        <w:tc>
          <w:tcPr>
            <w:tcW w:w="0" w:type="dxa"/>
            <w:vAlign w:val="bottom"/>
          </w:tcPr>
          <w:p w14:paraId="187AFD83" w14:textId="77777777" w:rsidR="00D1587D" w:rsidRDefault="00D1587D">
            <w:pPr>
              <w:rPr>
                <w:sz w:val="1"/>
                <w:szCs w:val="1"/>
              </w:rPr>
            </w:pPr>
          </w:p>
        </w:tc>
      </w:tr>
      <w:tr w:rsidR="00D1587D" w14:paraId="677A2C92" w14:textId="77777777">
        <w:trPr>
          <w:trHeight w:val="230"/>
        </w:trPr>
        <w:tc>
          <w:tcPr>
            <w:tcW w:w="1040" w:type="dxa"/>
            <w:vAlign w:val="bottom"/>
          </w:tcPr>
          <w:p w14:paraId="0B0AE0BF" w14:textId="77777777" w:rsidR="00D1587D" w:rsidRDefault="00D1587D">
            <w:pPr>
              <w:rPr>
                <w:sz w:val="20"/>
                <w:szCs w:val="20"/>
              </w:rPr>
            </w:pPr>
          </w:p>
        </w:tc>
        <w:tc>
          <w:tcPr>
            <w:tcW w:w="9780" w:type="dxa"/>
            <w:vAlign w:val="bottom"/>
          </w:tcPr>
          <w:p w14:paraId="3B5CC299" w14:textId="77777777" w:rsidR="00D1587D" w:rsidRDefault="00410D07">
            <w:pPr>
              <w:ind w:right="530"/>
              <w:jc w:val="center"/>
              <w:rPr>
                <w:sz w:val="20"/>
                <w:szCs w:val="20"/>
              </w:rPr>
            </w:pPr>
            <w:r>
              <w:rPr>
                <w:rFonts w:ascii="Arial" w:eastAsia="Arial" w:hAnsi="Arial" w:cs="Arial"/>
                <w:w w:val="98"/>
                <w:sz w:val="18"/>
                <w:szCs w:val="18"/>
              </w:rPr>
              <w:t>DEFINITIONS</w:t>
            </w:r>
          </w:p>
        </w:tc>
        <w:tc>
          <w:tcPr>
            <w:tcW w:w="420" w:type="dxa"/>
            <w:vAlign w:val="bottom"/>
          </w:tcPr>
          <w:p w14:paraId="70A23ECC" w14:textId="77777777" w:rsidR="00D1587D" w:rsidRDefault="00D1587D">
            <w:pPr>
              <w:rPr>
                <w:sz w:val="20"/>
                <w:szCs w:val="20"/>
              </w:rPr>
            </w:pPr>
          </w:p>
        </w:tc>
        <w:tc>
          <w:tcPr>
            <w:tcW w:w="0" w:type="dxa"/>
            <w:vAlign w:val="bottom"/>
          </w:tcPr>
          <w:p w14:paraId="1B50026F" w14:textId="77777777" w:rsidR="00D1587D" w:rsidRDefault="00D1587D">
            <w:pPr>
              <w:rPr>
                <w:sz w:val="1"/>
                <w:szCs w:val="1"/>
              </w:rPr>
            </w:pPr>
          </w:p>
        </w:tc>
      </w:tr>
      <w:tr w:rsidR="00D1587D" w14:paraId="30B17DDD" w14:textId="77777777">
        <w:trPr>
          <w:trHeight w:val="418"/>
        </w:trPr>
        <w:tc>
          <w:tcPr>
            <w:tcW w:w="1040" w:type="dxa"/>
            <w:vAlign w:val="bottom"/>
          </w:tcPr>
          <w:p w14:paraId="550CCB7B" w14:textId="77777777" w:rsidR="00D1587D" w:rsidRDefault="00410D07">
            <w:pPr>
              <w:rPr>
                <w:sz w:val="20"/>
                <w:szCs w:val="20"/>
              </w:rPr>
            </w:pPr>
            <w:r>
              <w:rPr>
                <w:rFonts w:ascii="Arial" w:eastAsia="Arial" w:hAnsi="Arial" w:cs="Arial"/>
                <w:w w:val="97"/>
                <w:sz w:val="18"/>
                <w:szCs w:val="18"/>
              </w:rPr>
              <w:t>Section 1.01.</w:t>
            </w:r>
          </w:p>
        </w:tc>
        <w:tc>
          <w:tcPr>
            <w:tcW w:w="9780" w:type="dxa"/>
            <w:vAlign w:val="bottom"/>
          </w:tcPr>
          <w:p w14:paraId="66E723D8" w14:textId="77777777" w:rsidR="00D1587D" w:rsidRDefault="00410D07">
            <w:pPr>
              <w:ind w:left="100"/>
              <w:rPr>
                <w:sz w:val="20"/>
                <w:szCs w:val="20"/>
              </w:rPr>
            </w:pPr>
            <w:r>
              <w:rPr>
                <w:rFonts w:ascii="Arial" w:eastAsia="Arial" w:hAnsi="Arial" w:cs="Arial"/>
                <w:i/>
                <w:iCs/>
                <w:sz w:val="18"/>
                <w:szCs w:val="18"/>
              </w:rPr>
              <w:t>Definitions</w:t>
            </w:r>
          </w:p>
        </w:tc>
        <w:tc>
          <w:tcPr>
            <w:tcW w:w="420" w:type="dxa"/>
            <w:vAlign w:val="bottom"/>
          </w:tcPr>
          <w:p w14:paraId="4C570077" w14:textId="77777777" w:rsidR="00D1587D" w:rsidRDefault="00410D07">
            <w:pPr>
              <w:jc w:val="right"/>
              <w:rPr>
                <w:sz w:val="20"/>
                <w:szCs w:val="20"/>
              </w:rPr>
            </w:pPr>
            <w:r>
              <w:rPr>
                <w:rFonts w:ascii="Arial" w:eastAsia="Arial" w:hAnsi="Arial" w:cs="Arial"/>
                <w:sz w:val="18"/>
                <w:szCs w:val="18"/>
              </w:rPr>
              <w:t>1</w:t>
            </w:r>
          </w:p>
        </w:tc>
        <w:tc>
          <w:tcPr>
            <w:tcW w:w="0" w:type="dxa"/>
            <w:vAlign w:val="bottom"/>
          </w:tcPr>
          <w:p w14:paraId="40B9BDC1" w14:textId="77777777" w:rsidR="00D1587D" w:rsidRDefault="00D1587D">
            <w:pPr>
              <w:rPr>
                <w:sz w:val="1"/>
                <w:szCs w:val="1"/>
              </w:rPr>
            </w:pPr>
          </w:p>
        </w:tc>
      </w:tr>
      <w:tr w:rsidR="00D1587D" w14:paraId="245B7A55" w14:textId="77777777">
        <w:trPr>
          <w:trHeight w:val="230"/>
        </w:trPr>
        <w:tc>
          <w:tcPr>
            <w:tcW w:w="10820" w:type="dxa"/>
            <w:gridSpan w:val="2"/>
            <w:vAlign w:val="bottom"/>
          </w:tcPr>
          <w:p w14:paraId="24365E94" w14:textId="77777777" w:rsidR="00D1587D" w:rsidRDefault="00410D07">
            <w:pPr>
              <w:rPr>
                <w:sz w:val="20"/>
                <w:szCs w:val="20"/>
              </w:rPr>
            </w:pPr>
            <w:r>
              <w:rPr>
                <w:rFonts w:ascii="Arial" w:eastAsia="Arial" w:hAnsi="Arial" w:cs="Arial"/>
                <w:sz w:val="18"/>
                <w:szCs w:val="18"/>
              </w:rPr>
              <w:t xml:space="preserve">Section 1.02.  </w:t>
            </w:r>
            <w:r>
              <w:rPr>
                <w:rFonts w:ascii="Arial" w:eastAsia="Arial" w:hAnsi="Arial" w:cs="Arial"/>
                <w:i/>
                <w:iCs/>
                <w:sz w:val="18"/>
                <w:szCs w:val="18"/>
              </w:rPr>
              <w:t xml:space="preserve">Other Definitional and </w:t>
            </w:r>
            <w:r>
              <w:rPr>
                <w:rFonts w:ascii="Arial" w:eastAsia="Arial" w:hAnsi="Arial" w:cs="Arial"/>
                <w:i/>
                <w:iCs/>
                <w:sz w:val="18"/>
                <w:szCs w:val="18"/>
              </w:rPr>
              <w:t>Interpretive Provisions</w:t>
            </w:r>
          </w:p>
        </w:tc>
        <w:tc>
          <w:tcPr>
            <w:tcW w:w="420" w:type="dxa"/>
            <w:vAlign w:val="bottom"/>
          </w:tcPr>
          <w:p w14:paraId="54D71EB1" w14:textId="77777777" w:rsidR="00D1587D" w:rsidRDefault="00410D07">
            <w:pPr>
              <w:jc w:val="right"/>
              <w:rPr>
                <w:sz w:val="20"/>
                <w:szCs w:val="20"/>
              </w:rPr>
            </w:pPr>
            <w:r>
              <w:rPr>
                <w:rFonts w:ascii="Arial" w:eastAsia="Arial" w:hAnsi="Arial" w:cs="Arial"/>
                <w:sz w:val="18"/>
                <w:szCs w:val="18"/>
              </w:rPr>
              <w:t>3</w:t>
            </w:r>
          </w:p>
        </w:tc>
        <w:tc>
          <w:tcPr>
            <w:tcW w:w="0" w:type="dxa"/>
            <w:vAlign w:val="bottom"/>
          </w:tcPr>
          <w:p w14:paraId="5BC15EB7" w14:textId="77777777" w:rsidR="00D1587D" w:rsidRDefault="00D1587D">
            <w:pPr>
              <w:rPr>
                <w:sz w:val="1"/>
                <w:szCs w:val="1"/>
              </w:rPr>
            </w:pPr>
          </w:p>
        </w:tc>
      </w:tr>
      <w:tr w:rsidR="00D1587D" w14:paraId="7DFA546C" w14:textId="77777777">
        <w:trPr>
          <w:trHeight w:val="418"/>
        </w:trPr>
        <w:tc>
          <w:tcPr>
            <w:tcW w:w="1040" w:type="dxa"/>
            <w:vAlign w:val="bottom"/>
          </w:tcPr>
          <w:p w14:paraId="6470DF46" w14:textId="77777777" w:rsidR="00D1587D" w:rsidRDefault="00D1587D">
            <w:pPr>
              <w:rPr>
                <w:sz w:val="24"/>
                <w:szCs w:val="24"/>
              </w:rPr>
            </w:pPr>
          </w:p>
        </w:tc>
        <w:tc>
          <w:tcPr>
            <w:tcW w:w="9780" w:type="dxa"/>
            <w:vAlign w:val="bottom"/>
          </w:tcPr>
          <w:p w14:paraId="59327CCF" w14:textId="77777777" w:rsidR="00D1587D" w:rsidRDefault="00410D07">
            <w:pPr>
              <w:ind w:right="530"/>
              <w:jc w:val="center"/>
              <w:rPr>
                <w:sz w:val="20"/>
                <w:szCs w:val="20"/>
              </w:rPr>
            </w:pPr>
            <w:r>
              <w:rPr>
                <w:rFonts w:ascii="Arial" w:eastAsia="Arial" w:hAnsi="Arial" w:cs="Arial"/>
                <w:w w:val="96"/>
                <w:sz w:val="18"/>
                <w:szCs w:val="18"/>
              </w:rPr>
              <w:t>ARTICLE 2</w:t>
            </w:r>
          </w:p>
        </w:tc>
        <w:tc>
          <w:tcPr>
            <w:tcW w:w="420" w:type="dxa"/>
            <w:vAlign w:val="bottom"/>
          </w:tcPr>
          <w:p w14:paraId="00EAFF20" w14:textId="77777777" w:rsidR="00D1587D" w:rsidRDefault="00D1587D">
            <w:pPr>
              <w:rPr>
                <w:sz w:val="24"/>
                <w:szCs w:val="24"/>
              </w:rPr>
            </w:pPr>
          </w:p>
        </w:tc>
        <w:tc>
          <w:tcPr>
            <w:tcW w:w="0" w:type="dxa"/>
            <w:vAlign w:val="bottom"/>
          </w:tcPr>
          <w:p w14:paraId="524A0DA5" w14:textId="77777777" w:rsidR="00D1587D" w:rsidRDefault="00D1587D">
            <w:pPr>
              <w:rPr>
                <w:sz w:val="1"/>
                <w:szCs w:val="1"/>
              </w:rPr>
            </w:pPr>
          </w:p>
        </w:tc>
      </w:tr>
      <w:tr w:rsidR="00D1587D" w14:paraId="18939A48" w14:textId="77777777">
        <w:trPr>
          <w:trHeight w:val="230"/>
        </w:trPr>
        <w:tc>
          <w:tcPr>
            <w:tcW w:w="1040" w:type="dxa"/>
            <w:vAlign w:val="bottom"/>
          </w:tcPr>
          <w:p w14:paraId="0785A49B" w14:textId="77777777" w:rsidR="00D1587D" w:rsidRDefault="00D1587D">
            <w:pPr>
              <w:rPr>
                <w:sz w:val="20"/>
                <w:szCs w:val="20"/>
              </w:rPr>
            </w:pPr>
          </w:p>
        </w:tc>
        <w:tc>
          <w:tcPr>
            <w:tcW w:w="9780" w:type="dxa"/>
            <w:vAlign w:val="bottom"/>
          </w:tcPr>
          <w:p w14:paraId="2D087B0B" w14:textId="77777777" w:rsidR="00D1587D" w:rsidRDefault="00410D07">
            <w:pPr>
              <w:ind w:right="530"/>
              <w:jc w:val="center"/>
              <w:rPr>
                <w:sz w:val="20"/>
                <w:szCs w:val="20"/>
              </w:rPr>
            </w:pPr>
            <w:r>
              <w:rPr>
                <w:rFonts w:ascii="Arial" w:eastAsia="Arial" w:hAnsi="Arial" w:cs="Arial"/>
                <w:w w:val="92"/>
                <w:sz w:val="18"/>
                <w:szCs w:val="18"/>
              </w:rPr>
              <w:t>SERVICES</w:t>
            </w:r>
          </w:p>
        </w:tc>
        <w:tc>
          <w:tcPr>
            <w:tcW w:w="420" w:type="dxa"/>
            <w:vAlign w:val="bottom"/>
          </w:tcPr>
          <w:p w14:paraId="39651955" w14:textId="77777777" w:rsidR="00D1587D" w:rsidRDefault="00D1587D">
            <w:pPr>
              <w:rPr>
                <w:sz w:val="20"/>
                <w:szCs w:val="20"/>
              </w:rPr>
            </w:pPr>
          </w:p>
        </w:tc>
        <w:tc>
          <w:tcPr>
            <w:tcW w:w="0" w:type="dxa"/>
            <w:vAlign w:val="bottom"/>
          </w:tcPr>
          <w:p w14:paraId="76899E87" w14:textId="77777777" w:rsidR="00D1587D" w:rsidRDefault="00D1587D">
            <w:pPr>
              <w:rPr>
                <w:sz w:val="1"/>
                <w:szCs w:val="1"/>
              </w:rPr>
            </w:pPr>
          </w:p>
        </w:tc>
      </w:tr>
      <w:tr w:rsidR="00D1587D" w14:paraId="3CECB48D" w14:textId="77777777">
        <w:trPr>
          <w:trHeight w:val="418"/>
        </w:trPr>
        <w:tc>
          <w:tcPr>
            <w:tcW w:w="1040" w:type="dxa"/>
            <w:vAlign w:val="bottom"/>
          </w:tcPr>
          <w:p w14:paraId="71926BBC" w14:textId="77777777" w:rsidR="00D1587D" w:rsidRDefault="00410D07">
            <w:pPr>
              <w:rPr>
                <w:sz w:val="20"/>
                <w:szCs w:val="20"/>
              </w:rPr>
            </w:pPr>
            <w:r>
              <w:rPr>
                <w:rFonts w:ascii="Arial" w:eastAsia="Arial" w:hAnsi="Arial" w:cs="Arial"/>
                <w:w w:val="97"/>
                <w:sz w:val="18"/>
                <w:szCs w:val="18"/>
              </w:rPr>
              <w:t>Section 2.01.</w:t>
            </w:r>
          </w:p>
        </w:tc>
        <w:tc>
          <w:tcPr>
            <w:tcW w:w="9780" w:type="dxa"/>
            <w:vAlign w:val="bottom"/>
          </w:tcPr>
          <w:p w14:paraId="193BF240" w14:textId="77777777" w:rsidR="00D1587D" w:rsidRDefault="00410D07">
            <w:pPr>
              <w:ind w:left="100"/>
              <w:rPr>
                <w:sz w:val="20"/>
                <w:szCs w:val="20"/>
              </w:rPr>
            </w:pPr>
            <w:r>
              <w:rPr>
                <w:rFonts w:ascii="Arial" w:eastAsia="Arial" w:hAnsi="Arial" w:cs="Arial"/>
                <w:i/>
                <w:iCs/>
                <w:sz w:val="18"/>
                <w:szCs w:val="18"/>
              </w:rPr>
              <w:t>Services</w:t>
            </w:r>
          </w:p>
        </w:tc>
        <w:tc>
          <w:tcPr>
            <w:tcW w:w="420" w:type="dxa"/>
            <w:vAlign w:val="bottom"/>
          </w:tcPr>
          <w:p w14:paraId="2BC94AE8" w14:textId="77777777" w:rsidR="00D1587D" w:rsidRDefault="00410D07">
            <w:pPr>
              <w:jc w:val="right"/>
              <w:rPr>
                <w:sz w:val="20"/>
                <w:szCs w:val="20"/>
              </w:rPr>
            </w:pPr>
            <w:r>
              <w:rPr>
                <w:rFonts w:ascii="Arial" w:eastAsia="Arial" w:hAnsi="Arial" w:cs="Arial"/>
                <w:sz w:val="18"/>
                <w:szCs w:val="18"/>
              </w:rPr>
              <w:t>3</w:t>
            </w:r>
          </w:p>
        </w:tc>
        <w:tc>
          <w:tcPr>
            <w:tcW w:w="0" w:type="dxa"/>
            <w:vAlign w:val="bottom"/>
          </w:tcPr>
          <w:p w14:paraId="644B6EF6" w14:textId="77777777" w:rsidR="00D1587D" w:rsidRDefault="00D1587D">
            <w:pPr>
              <w:rPr>
                <w:sz w:val="1"/>
                <w:szCs w:val="1"/>
              </w:rPr>
            </w:pPr>
          </w:p>
        </w:tc>
      </w:tr>
      <w:tr w:rsidR="00D1587D" w14:paraId="59F07C21" w14:textId="77777777">
        <w:trPr>
          <w:trHeight w:val="216"/>
        </w:trPr>
        <w:tc>
          <w:tcPr>
            <w:tcW w:w="10820" w:type="dxa"/>
            <w:gridSpan w:val="2"/>
            <w:vAlign w:val="bottom"/>
          </w:tcPr>
          <w:p w14:paraId="5FD74F40" w14:textId="77777777" w:rsidR="00D1587D" w:rsidRDefault="00410D07">
            <w:pPr>
              <w:rPr>
                <w:sz w:val="20"/>
                <w:szCs w:val="20"/>
              </w:rPr>
            </w:pPr>
            <w:r>
              <w:rPr>
                <w:rFonts w:ascii="Arial" w:eastAsia="Arial" w:hAnsi="Arial" w:cs="Arial"/>
                <w:sz w:val="18"/>
                <w:szCs w:val="18"/>
              </w:rPr>
              <w:t xml:space="preserve">Section 2.02.  </w:t>
            </w:r>
            <w:r>
              <w:rPr>
                <w:rFonts w:ascii="Arial" w:eastAsia="Arial" w:hAnsi="Arial" w:cs="Arial"/>
                <w:i/>
                <w:iCs/>
                <w:sz w:val="18"/>
                <w:szCs w:val="18"/>
              </w:rPr>
              <w:t>Service Provider’s Affiliates and Third Party Providers</w:t>
            </w:r>
          </w:p>
        </w:tc>
        <w:tc>
          <w:tcPr>
            <w:tcW w:w="420" w:type="dxa"/>
            <w:vAlign w:val="bottom"/>
          </w:tcPr>
          <w:p w14:paraId="620835C5" w14:textId="77777777" w:rsidR="00D1587D" w:rsidRDefault="00410D07">
            <w:pPr>
              <w:jc w:val="right"/>
              <w:rPr>
                <w:sz w:val="20"/>
                <w:szCs w:val="20"/>
              </w:rPr>
            </w:pPr>
            <w:r>
              <w:rPr>
                <w:rFonts w:ascii="Arial" w:eastAsia="Arial" w:hAnsi="Arial" w:cs="Arial"/>
                <w:sz w:val="18"/>
                <w:szCs w:val="18"/>
              </w:rPr>
              <w:t>3</w:t>
            </w:r>
          </w:p>
        </w:tc>
        <w:tc>
          <w:tcPr>
            <w:tcW w:w="0" w:type="dxa"/>
            <w:vAlign w:val="bottom"/>
          </w:tcPr>
          <w:p w14:paraId="7003B981" w14:textId="77777777" w:rsidR="00D1587D" w:rsidRDefault="00D1587D">
            <w:pPr>
              <w:rPr>
                <w:sz w:val="1"/>
                <w:szCs w:val="1"/>
              </w:rPr>
            </w:pPr>
          </w:p>
        </w:tc>
      </w:tr>
      <w:tr w:rsidR="00D1587D" w14:paraId="6A51B325" w14:textId="77777777">
        <w:trPr>
          <w:trHeight w:val="216"/>
        </w:trPr>
        <w:tc>
          <w:tcPr>
            <w:tcW w:w="10820" w:type="dxa"/>
            <w:gridSpan w:val="2"/>
            <w:vAlign w:val="bottom"/>
          </w:tcPr>
          <w:p w14:paraId="79D6D7F9" w14:textId="77777777" w:rsidR="00D1587D" w:rsidRDefault="00410D07">
            <w:pPr>
              <w:rPr>
                <w:sz w:val="20"/>
                <w:szCs w:val="20"/>
              </w:rPr>
            </w:pPr>
            <w:r>
              <w:rPr>
                <w:rFonts w:ascii="Arial" w:eastAsia="Arial" w:hAnsi="Arial" w:cs="Arial"/>
                <w:sz w:val="18"/>
                <w:szCs w:val="18"/>
              </w:rPr>
              <w:t xml:space="preserve">Section 2.03.  </w:t>
            </w:r>
            <w:r>
              <w:rPr>
                <w:rFonts w:ascii="Arial" w:eastAsia="Arial" w:hAnsi="Arial" w:cs="Arial"/>
                <w:i/>
                <w:iCs/>
                <w:sz w:val="18"/>
                <w:szCs w:val="18"/>
              </w:rPr>
              <w:t>General Standard of Service</w:t>
            </w:r>
          </w:p>
        </w:tc>
        <w:tc>
          <w:tcPr>
            <w:tcW w:w="420" w:type="dxa"/>
            <w:vAlign w:val="bottom"/>
          </w:tcPr>
          <w:p w14:paraId="4228716E" w14:textId="77777777" w:rsidR="00D1587D" w:rsidRDefault="00410D07">
            <w:pPr>
              <w:jc w:val="right"/>
              <w:rPr>
                <w:sz w:val="20"/>
                <w:szCs w:val="20"/>
              </w:rPr>
            </w:pPr>
            <w:r>
              <w:rPr>
                <w:rFonts w:ascii="Arial" w:eastAsia="Arial" w:hAnsi="Arial" w:cs="Arial"/>
                <w:sz w:val="18"/>
                <w:szCs w:val="18"/>
              </w:rPr>
              <w:t>4</w:t>
            </w:r>
          </w:p>
        </w:tc>
        <w:tc>
          <w:tcPr>
            <w:tcW w:w="0" w:type="dxa"/>
            <w:vAlign w:val="bottom"/>
          </w:tcPr>
          <w:p w14:paraId="24945A1C" w14:textId="77777777" w:rsidR="00D1587D" w:rsidRDefault="00D1587D">
            <w:pPr>
              <w:rPr>
                <w:sz w:val="1"/>
                <w:szCs w:val="1"/>
              </w:rPr>
            </w:pPr>
          </w:p>
        </w:tc>
      </w:tr>
      <w:tr w:rsidR="00D1587D" w14:paraId="1949A7A5" w14:textId="77777777">
        <w:trPr>
          <w:trHeight w:val="216"/>
        </w:trPr>
        <w:tc>
          <w:tcPr>
            <w:tcW w:w="10820" w:type="dxa"/>
            <w:gridSpan w:val="2"/>
            <w:vAlign w:val="bottom"/>
          </w:tcPr>
          <w:p w14:paraId="5B527D83" w14:textId="77777777" w:rsidR="00D1587D" w:rsidRDefault="00410D07">
            <w:pPr>
              <w:rPr>
                <w:sz w:val="20"/>
                <w:szCs w:val="20"/>
              </w:rPr>
            </w:pPr>
            <w:r>
              <w:rPr>
                <w:rFonts w:ascii="Arial" w:eastAsia="Arial" w:hAnsi="Arial" w:cs="Arial"/>
                <w:sz w:val="18"/>
                <w:szCs w:val="18"/>
              </w:rPr>
              <w:t xml:space="preserve">Section 2.04.  </w:t>
            </w:r>
            <w:r>
              <w:rPr>
                <w:rFonts w:ascii="Arial" w:eastAsia="Arial" w:hAnsi="Arial" w:cs="Arial"/>
                <w:i/>
                <w:iCs/>
                <w:sz w:val="18"/>
                <w:szCs w:val="18"/>
              </w:rPr>
              <w:t>Compliance with Applicable Law</w:t>
            </w:r>
          </w:p>
        </w:tc>
        <w:tc>
          <w:tcPr>
            <w:tcW w:w="420" w:type="dxa"/>
            <w:vAlign w:val="bottom"/>
          </w:tcPr>
          <w:p w14:paraId="06A5FA16" w14:textId="77777777" w:rsidR="00D1587D" w:rsidRDefault="00410D07">
            <w:pPr>
              <w:jc w:val="right"/>
              <w:rPr>
                <w:sz w:val="20"/>
                <w:szCs w:val="20"/>
              </w:rPr>
            </w:pPr>
            <w:r>
              <w:rPr>
                <w:rFonts w:ascii="Arial" w:eastAsia="Arial" w:hAnsi="Arial" w:cs="Arial"/>
                <w:sz w:val="18"/>
                <w:szCs w:val="18"/>
              </w:rPr>
              <w:t>4</w:t>
            </w:r>
          </w:p>
        </w:tc>
        <w:tc>
          <w:tcPr>
            <w:tcW w:w="0" w:type="dxa"/>
            <w:vAlign w:val="bottom"/>
          </w:tcPr>
          <w:p w14:paraId="2877DC42" w14:textId="77777777" w:rsidR="00D1587D" w:rsidRDefault="00D1587D">
            <w:pPr>
              <w:rPr>
                <w:sz w:val="1"/>
                <w:szCs w:val="1"/>
              </w:rPr>
            </w:pPr>
          </w:p>
        </w:tc>
      </w:tr>
      <w:tr w:rsidR="00D1587D" w14:paraId="28BC1335" w14:textId="77777777">
        <w:trPr>
          <w:trHeight w:val="216"/>
        </w:trPr>
        <w:tc>
          <w:tcPr>
            <w:tcW w:w="1040" w:type="dxa"/>
            <w:vAlign w:val="bottom"/>
          </w:tcPr>
          <w:p w14:paraId="39B12C59" w14:textId="77777777" w:rsidR="00D1587D" w:rsidRDefault="00410D07">
            <w:pPr>
              <w:rPr>
                <w:sz w:val="20"/>
                <w:szCs w:val="20"/>
              </w:rPr>
            </w:pPr>
            <w:r>
              <w:rPr>
                <w:rFonts w:ascii="Arial" w:eastAsia="Arial" w:hAnsi="Arial" w:cs="Arial"/>
                <w:w w:val="97"/>
                <w:sz w:val="18"/>
                <w:szCs w:val="18"/>
              </w:rPr>
              <w:t>Section 2.05.</w:t>
            </w:r>
          </w:p>
        </w:tc>
        <w:tc>
          <w:tcPr>
            <w:tcW w:w="9780" w:type="dxa"/>
            <w:vAlign w:val="bottom"/>
          </w:tcPr>
          <w:p w14:paraId="5CFF3024" w14:textId="77777777" w:rsidR="00D1587D" w:rsidRDefault="00410D07">
            <w:pPr>
              <w:ind w:left="100"/>
              <w:rPr>
                <w:sz w:val="20"/>
                <w:szCs w:val="20"/>
              </w:rPr>
            </w:pPr>
            <w:r>
              <w:rPr>
                <w:rFonts w:ascii="Arial" w:eastAsia="Arial" w:hAnsi="Arial" w:cs="Arial"/>
                <w:i/>
                <w:iCs/>
                <w:sz w:val="18"/>
                <w:szCs w:val="18"/>
              </w:rPr>
              <w:t>Force Majeure</w:t>
            </w:r>
          </w:p>
        </w:tc>
        <w:tc>
          <w:tcPr>
            <w:tcW w:w="420" w:type="dxa"/>
            <w:vAlign w:val="bottom"/>
          </w:tcPr>
          <w:p w14:paraId="44E6BECD" w14:textId="77777777" w:rsidR="00D1587D" w:rsidRDefault="00410D07">
            <w:pPr>
              <w:jc w:val="right"/>
              <w:rPr>
                <w:sz w:val="20"/>
                <w:szCs w:val="20"/>
              </w:rPr>
            </w:pPr>
            <w:r>
              <w:rPr>
                <w:rFonts w:ascii="Arial" w:eastAsia="Arial" w:hAnsi="Arial" w:cs="Arial"/>
                <w:sz w:val="18"/>
                <w:szCs w:val="18"/>
              </w:rPr>
              <w:t>4</w:t>
            </w:r>
          </w:p>
        </w:tc>
        <w:tc>
          <w:tcPr>
            <w:tcW w:w="0" w:type="dxa"/>
            <w:vAlign w:val="bottom"/>
          </w:tcPr>
          <w:p w14:paraId="6332A3A0" w14:textId="77777777" w:rsidR="00D1587D" w:rsidRDefault="00D1587D">
            <w:pPr>
              <w:rPr>
                <w:sz w:val="1"/>
                <w:szCs w:val="1"/>
              </w:rPr>
            </w:pPr>
          </w:p>
        </w:tc>
      </w:tr>
      <w:tr w:rsidR="00D1587D" w14:paraId="72523F61" w14:textId="77777777">
        <w:trPr>
          <w:trHeight w:val="216"/>
        </w:trPr>
        <w:tc>
          <w:tcPr>
            <w:tcW w:w="1040" w:type="dxa"/>
            <w:vAlign w:val="bottom"/>
          </w:tcPr>
          <w:p w14:paraId="5239A92D" w14:textId="77777777" w:rsidR="00D1587D" w:rsidRDefault="00410D07">
            <w:pPr>
              <w:rPr>
                <w:sz w:val="20"/>
                <w:szCs w:val="20"/>
              </w:rPr>
            </w:pPr>
            <w:r>
              <w:rPr>
                <w:rFonts w:ascii="Arial" w:eastAsia="Arial" w:hAnsi="Arial" w:cs="Arial"/>
                <w:w w:val="97"/>
                <w:sz w:val="18"/>
                <w:szCs w:val="18"/>
              </w:rPr>
              <w:t>Section 2.06.</w:t>
            </w:r>
          </w:p>
        </w:tc>
        <w:tc>
          <w:tcPr>
            <w:tcW w:w="9780" w:type="dxa"/>
            <w:vAlign w:val="bottom"/>
          </w:tcPr>
          <w:p w14:paraId="091C03C9" w14:textId="77777777" w:rsidR="00D1587D" w:rsidRDefault="00410D07">
            <w:pPr>
              <w:ind w:left="100"/>
              <w:rPr>
                <w:sz w:val="20"/>
                <w:szCs w:val="20"/>
              </w:rPr>
            </w:pPr>
            <w:r>
              <w:rPr>
                <w:rFonts w:ascii="Arial" w:eastAsia="Arial" w:hAnsi="Arial" w:cs="Arial"/>
                <w:i/>
                <w:iCs/>
                <w:sz w:val="18"/>
                <w:szCs w:val="18"/>
              </w:rPr>
              <w:t>Limitations</w:t>
            </w:r>
          </w:p>
        </w:tc>
        <w:tc>
          <w:tcPr>
            <w:tcW w:w="420" w:type="dxa"/>
            <w:vAlign w:val="bottom"/>
          </w:tcPr>
          <w:p w14:paraId="12C9E0BB" w14:textId="77777777" w:rsidR="00D1587D" w:rsidRDefault="00410D07">
            <w:pPr>
              <w:jc w:val="right"/>
              <w:rPr>
                <w:sz w:val="20"/>
                <w:szCs w:val="20"/>
              </w:rPr>
            </w:pPr>
            <w:r>
              <w:rPr>
                <w:rFonts w:ascii="Arial" w:eastAsia="Arial" w:hAnsi="Arial" w:cs="Arial"/>
                <w:sz w:val="18"/>
                <w:szCs w:val="18"/>
              </w:rPr>
              <w:t>4</w:t>
            </w:r>
          </w:p>
        </w:tc>
        <w:tc>
          <w:tcPr>
            <w:tcW w:w="0" w:type="dxa"/>
            <w:vAlign w:val="bottom"/>
          </w:tcPr>
          <w:p w14:paraId="65BF2DF0" w14:textId="77777777" w:rsidR="00D1587D" w:rsidRDefault="00D1587D">
            <w:pPr>
              <w:rPr>
                <w:sz w:val="1"/>
                <w:szCs w:val="1"/>
              </w:rPr>
            </w:pPr>
          </w:p>
        </w:tc>
      </w:tr>
      <w:tr w:rsidR="00D1587D" w14:paraId="7F30CE05" w14:textId="77777777">
        <w:trPr>
          <w:trHeight w:val="216"/>
        </w:trPr>
        <w:tc>
          <w:tcPr>
            <w:tcW w:w="1040" w:type="dxa"/>
            <w:vAlign w:val="bottom"/>
          </w:tcPr>
          <w:p w14:paraId="58565B5B" w14:textId="77777777" w:rsidR="00D1587D" w:rsidRDefault="00410D07">
            <w:pPr>
              <w:rPr>
                <w:sz w:val="20"/>
                <w:szCs w:val="20"/>
              </w:rPr>
            </w:pPr>
            <w:r>
              <w:rPr>
                <w:rFonts w:ascii="Arial" w:eastAsia="Arial" w:hAnsi="Arial" w:cs="Arial"/>
                <w:w w:val="97"/>
                <w:sz w:val="18"/>
                <w:szCs w:val="18"/>
              </w:rPr>
              <w:t>Section 2.07.</w:t>
            </w:r>
          </w:p>
        </w:tc>
        <w:tc>
          <w:tcPr>
            <w:tcW w:w="9780" w:type="dxa"/>
            <w:vAlign w:val="bottom"/>
          </w:tcPr>
          <w:p w14:paraId="03FB9A4A" w14:textId="77777777" w:rsidR="00D1587D" w:rsidRDefault="00410D07">
            <w:pPr>
              <w:ind w:left="100"/>
              <w:rPr>
                <w:sz w:val="20"/>
                <w:szCs w:val="20"/>
              </w:rPr>
            </w:pPr>
            <w:r>
              <w:rPr>
                <w:rFonts w:ascii="Arial" w:eastAsia="Arial" w:hAnsi="Arial" w:cs="Arial"/>
                <w:i/>
                <w:iCs/>
                <w:sz w:val="18"/>
                <w:szCs w:val="18"/>
              </w:rPr>
              <w:t>Labor Matters</w:t>
            </w:r>
          </w:p>
        </w:tc>
        <w:tc>
          <w:tcPr>
            <w:tcW w:w="420" w:type="dxa"/>
            <w:vAlign w:val="bottom"/>
          </w:tcPr>
          <w:p w14:paraId="665AAF65" w14:textId="77777777" w:rsidR="00D1587D" w:rsidRDefault="00410D07">
            <w:pPr>
              <w:jc w:val="right"/>
              <w:rPr>
                <w:sz w:val="20"/>
                <w:szCs w:val="20"/>
              </w:rPr>
            </w:pPr>
            <w:r>
              <w:rPr>
                <w:rFonts w:ascii="Arial" w:eastAsia="Arial" w:hAnsi="Arial" w:cs="Arial"/>
                <w:sz w:val="18"/>
                <w:szCs w:val="18"/>
              </w:rPr>
              <w:t>5</w:t>
            </w:r>
          </w:p>
        </w:tc>
        <w:tc>
          <w:tcPr>
            <w:tcW w:w="0" w:type="dxa"/>
            <w:vAlign w:val="bottom"/>
          </w:tcPr>
          <w:p w14:paraId="40079D78" w14:textId="77777777" w:rsidR="00D1587D" w:rsidRDefault="00D1587D">
            <w:pPr>
              <w:rPr>
                <w:sz w:val="1"/>
                <w:szCs w:val="1"/>
              </w:rPr>
            </w:pPr>
          </w:p>
        </w:tc>
      </w:tr>
      <w:tr w:rsidR="00D1587D" w14:paraId="50C6BC66" w14:textId="77777777">
        <w:trPr>
          <w:trHeight w:val="216"/>
        </w:trPr>
        <w:tc>
          <w:tcPr>
            <w:tcW w:w="10820" w:type="dxa"/>
            <w:gridSpan w:val="2"/>
            <w:vAlign w:val="bottom"/>
          </w:tcPr>
          <w:p w14:paraId="0E5C9652" w14:textId="77777777" w:rsidR="00D1587D" w:rsidRDefault="00410D07">
            <w:pPr>
              <w:rPr>
                <w:sz w:val="20"/>
                <w:szCs w:val="20"/>
              </w:rPr>
            </w:pPr>
            <w:r>
              <w:rPr>
                <w:rFonts w:ascii="Arial" w:eastAsia="Arial" w:hAnsi="Arial" w:cs="Arial"/>
                <w:sz w:val="18"/>
                <w:szCs w:val="18"/>
              </w:rPr>
              <w:t xml:space="preserve">Section 2.08.  </w:t>
            </w:r>
            <w:r>
              <w:rPr>
                <w:rFonts w:ascii="Arial" w:eastAsia="Arial" w:hAnsi="Arial" w:cs="Arial"/>
                <w:i/>
                <w:iCs/>
                <w:sz w:val="18"/>
                <w:szCs w:val="18"/>
              </w:rPr>
              <w:t>Facilities; Cooperation; Further Actions</w:t>
            </w:r>
          </w:p>
        </w:tc>
        <w:tc>
          <w:tcPr>
            <w:tcW w:w="420" w:type="dxa"/>
            <w:vAlign w:val="bottom"/>
          </w:tcPr>
          <w:p w14:paraId="10FF8F0D" w14:textId="77777777" w:rsidR="00D1587D" w:rsidRDefault="00410D07">
            <w:pPr>
              <w:jc w:val="right"/>
              <w:rPr>
                <w:sz w:val="20"/>
                <w:szCs w:val="20"/>
              </w:rPr>
            </w:pPr>
            <w:r>
              <w:rPr>
                <w:rFonts w:ascii="Arial" w:eastAsia="Arial" w:hAnsi="Arial" w:cs="Arial"/>
                <w:sz w:val="18"/>
                <w:szCs w:val="18"/>
              </w:rPr>
              <w:t>5</w:t>
            </w:r>
          </w:p>
        </w:tc>
        <w:tc>
          <w:tcPr>
            <w:tcW w:w="0" w:type="dxa"/>
            <w:vAlign w:val="bottom"/>
          </w:tcPr>
          <w:p w14:paraId="371F8F3C" w14:textId="77777777" w:rsidR="00D1587D" w:rsidRDefault="00D1587D">
            <w:pPr>
              <w:rPr>
                <w:sz w:val="1"/>
                <w:szCs w:val="1"/>
              </w:rPr>
            </w:pPr>
          </w:p>
        </w:tc>
      </w:tr>
      <w:tr w:rsidR="00D1587D" w14:paraId="726003B9" w14:textId="77777777">
        <w:trPr>
          <w:trHeight w:val="216"/>
        </w:trPr>
        <w:tc>
          <w:tcPr>
            <w:tcW w:w="1040" w:type="dxa"/>
            <w:vAlign w:val="bottom"/>
          </w:tcPr>
          <w:p w14:paraId="73367975" w14:textId="77777777" w:rsidR="00D1587D" w:rsidRDefault="00410D07">
            <w:pPr>
              <w:rPr>
                <w:sz w:val="20"/>
                <w:szCs w:val="20"/>
              </w:rPr>
            </w:pPr>
            <w:r>
              <w:rPr>
                <w:rFonts w:ascii="Arial" w:eastAsia="Arial" w:hAnsi="Arial" w:cs="Arial"/>
                <w:w w:val="97"/>
                <w:sz w:val="18"/>
                <w:szCs w:val="18"/>
              </w:rPr>
              <w:t>Section 2.09.</w:t>
            </w:r>
          </w:p>
        </w:tc>
        <w:tc>
          <w:tcPr>
            <w:tcW w:w="9780" w:type="dxa"/>
            <w:vAlign w:val="bottom"/>
          </w:tcPr>
          <w:p w14:paraId="0BDE66A2" w14:textId="77777777" w:rsidR="00D1587D" w:rsidRDefault="00410D07">
            <w:pPr>
              <w:ind w:left="100"/>
              <w:rPr>
                <w:sz w:val="20"/>
                <w:szCs w:val="20"/>
              </w:rPr>
            </w:pPr>
            <w:r>
              <w:rPr>
                <w:rFonts w:ascii="Arial" w:eastAsia="Arial" w:hAnsi="Arial" w:cs="Arial"/>
                <w:i/>
                <w:iCs/>
                <w:sz w:val="18"/>
                <w:szCs w:val="18"/>
              </w:rPr>
              <w:t>Intellectual Property</w:t>
            </w:r>
          </w:p>
        </w:tc>
        <w:tc>
          <w:tcPr>
            <w:tcW w:w="420" w:type="dxa"/>
            <w:vAlign w:val="bottom"/>
          </w:tcPr>
          <w:p w14:paraId="6E140255" w14:textId="77777777" w:rsidR="00D1587D" w:rsidRDefault="00410D07">
            <w:pPr>
              <w:jc w:val="right"/>
              <w:rPr>
                <w:sz w:val="20"/>
                <w:szCs w:val="20"/>
              </w:rPr>
            </w:pPr>
            <w:r>
              <w:rPr>
                <w:rFonts w:ascii="Arial" w:eastAsia="Arial" w:hAnsi="Arial" w:cs="Arial"/>
                <w:sz w:val="18"/>
                <w:szCs w:val="18"/>
              </w:rPr>
              <w:t>6</w:t>
            </w:r>
          </w:p>
        </w:tc>
        <w:tc>
          <w:tcPr>
            <w:tcW w:w="0" w:type="dxa"/>
            <w:vAlign w:val="bottom"/>
          </w:tcPr>
          <w:p w14:paraId="10AA5A89" w14:textId="77777777" w:rsidR="00D1587D" w:rsidRDefault="00D1587D">
            <w:pPr>
              <w:rPr>
                <w:sz w:val="1"/>
                <w:szCs w:val="1"/>
              </w:rPr>
            </w:pPr>
          </w:p>
        </w:tc>
      </w:tr>
      <w:tr w:rsidR="00D1587D" w14:paraId="69828EC2" w14:textId="77777777">
        <w:trPr>
          <w:trHeight w:val="216"/>
        </w:trPr>
        <w:tc>
          <w:tcPr>
            <w:tcW w:w="10820" w:type="dxa"/>
            <w:gridSpan w:val="2"/>
            <w:vAlign w:val="bottom"/>
          </w:tcPr>
          <w:p w14:paraId="687BB4C2" w14:textId="77777777" w:rsidR="00D1587D" w:rsidRDefault="00410D07">
            <w:pPr>
              <w:rPr>
                <w:sz w:val="20"/>
                <w:szCs w:val="20"/>
              </w:rPr>
            </w:pPr>
            <w:r>
              <w:rPr>
                <w:rFonts w:ascii="Arial" w:eastAsia="Arial" w:hAnsi="Arial" w:cs="Arial"/>
                <w:sz w:val="18"/>
                <w:szCs w:val="18"/>
              </w:rPr>
              <w:t xml:space="preserve">Section 2.10.  </w:t>
            </w:r>
            <w:r>
              <w:rPr>
                <w:rFonts w:ascii="Arial" w:eastAsia="Arial" w:hAnsi="Arial" w:cs="Arial"/>
                <w:i/>
                <w:iCs/>
                <w:sz w:val="18"/>
                <w:szCs w:val="18"/>
              </w:rPr>
              <w:t>Data Ownership and Data Protection</w:t>
            </w:r>
          </w:p>
        </w:tc>
        <w:tc>
          <w:tcPr>
            <w:tcW w:w="420" w:type="dxa"/>
            <w:vAlign w:val="bottom"/>
          </w:tcPr>
          <w:p w14:paraId="6CD26DAF" w14:textId="77777777" w:rsidR="00D1587D" w:rsidRDefault="00410D07">
            <w:pPr>
              <w:jc w:val="right"/>
              <w:rPr>
                <w:sz w:val="20"/>
                <w:szCs w:val="20"/>
              </w:rPr>
            </w:pPr>
            <w:r>
              <w:rPr>
                <w:rFonts w:ascii="Arial" w:eastAsia="Arial" w:hAnsi="Arial" w:cs="Arial"/>
                <w:sz w:val="18"/>
                <w:szCs w:val="18"/>
              </w:rPr>
              <w:t>6</w:t>
            </w:r>
          </w:p>
        </w:tc>
        <w:tc>
          <w:tcPr>
            <w:tcW w:w="0" w:type="dxa"/>
            <w:vAlign w:val="bottom"/>
          </w:tcPr>
          <w:p w14:paraId="5FC6D266" w14:textId="77777777" w:rsidR="00D1587D" w:rsidRDefault="00D1587D">
            <w:pPr>
              <w:rPr>
                <w:sz w:val="1"/>
                <w:szCs w:val="1"/>
              </w:rPr>
            </w:pPr>
          </w:p>
        </w:tc>
      </w:tr>
      <w:tr w:rsidR="00D1587D" w14:paraId="504712B8" w14:textId="77777777">
        <w:trPr>
          <w:trHeight w:val="216"/>
        </w:trPr>
        <w:tc>
          <w:tcPr>
            <w:tcW w:w="1040" w:type="dxa"/>
            <w:vAlign w:val="bottom"/>
          </w:tcPr>
          <w:p w14:paraId="50ABA468" w14:textId="77777777" w:rsidR="00D1587D" w:rsidRDefault="00410D07">
            <w:pPr>
              <w:rPr>
                <w:sz w:val="20"/>
                <w:szCs w:val="20"/>
              </w:rPr>
            </w:pPr>
            <w:r>
              <w:rPr>
                <w:rFonts w:ascii="Arial" w:eastAsia="Arial" w:hAnsi="Arial" w:cs="Arial"/>
                <w:w w:val="97"/>
                <w:sz w:val="18"/>
                <w:szCs w:val="18"/>
              </w:rPr>
              <w:t>Section 2.11.</w:t>
            </w:r>
          </w:p>
        </w:tc>
        <w:tc>
          <w:tcPr>
            <w:tcW w:w="9780" w:type="dxa"/>
            <w:vAlign w:val="bottom"/>
          </w:tcPr>
          <w:p w14:paraId="63CF1441" w14:textId="77777777" w:rsidR="00D1587D" w:rsidRDefault="00410D07">
            <w:pPr>
              <w:ind w:left="100"/>
              <w:rPr>
                <w:sz w:val="20"/>
                <w:szCs w:val="20"/>
              </w:rPr>
            </w:pPr>
            <w:r>
              <w:rPr>
                <w:rFonts w:ascii="Arial" w:eastAsia="Arial" w:hAnsi="Arial" w:cs="Arial"/>
                <w:i/>
                <w:iCs/>
                <w:sz w:val="18"/>
                <w:szCs w:val="18"/>
              </w:rPr>
              <w:t>Information Technology</w:t>
            </w:r>
          </w:p>
        </w:tc>
        <w:tc>
          <w:tcPr>
            <w:tcW w:w="420" w:type="dxa"/>
            <w:vAlign w:val="bottom"/>
          </w:tcPr>
          <w:p w14:paraId="1A48DFBA" w14:textId="77777777" w:rsidR="00D1587D" w:rsidRDefault="00410D07">
            <w:pPr>
              <w:jc w:val="right"/>
              <w:rPr>
                <w:sz w:val="20"/>
                <w:szCs w:val="20"/>
              </w:rPr>
            </w:pPr>
            <w:r>
              <w:rPr>
                <w:rFonts w:ascii="Arial" w:eastAsia="Arial" w:hAnsi="Arial" w:cs="Arial"/>
                <w:sz w:val="18"/>
                <w:szCs w:val="18"/>
              </w:rPr>
              <w:t>7</w:t>
            </w:r>
          </w:p>
        </w:tc>
        <w:tc>
          <w:tcPr>
            <w:tcW w:w="0" w:type="dxa"/>
            <w:vAlign w:val="bottom"/>
          </w:tcPr>
          <w:p w14:paraId="78BB9B70" w14:textId="77777777" w:rsidR="00D1587D" w:rsidRDefault="00D1587D">
            <w:pPr>
              <w:rPr>
                <w:sz w:val="1"/>
                <w:szCs w:val="1"/>
              </w:rPr>
            </w:pPr>
          </w:p>
        </w:tc>
      </w:tr>
      <w:tr w:rsidR="00D1587D" w14:paraId="50BA1FC8" w14:textId="77777777">
        <w:trPr>
          <w:trHeight w:val="216"/>
        </w:trPr>
        <w:tc>
          <w:tcPr>
            <w:tcW w:w="10820" w:type="dxa"/>
            <w:gridSpan w:val="2"/>
            <w:vAlign w:val="bottom"/>
          </w:tcPr>
          <w:p w14:paraId="51A60093" w14:textId="77777777" w:rsidR="00D1587D" w:rsidRDefault="00410D07">
            <w:pPr>
              <w:rPr>
                <w:sz w:val="20"/>
                <w:szCs w:val="20"/>
              </w:rPr>
            </w:pPr>
            <w:r>
              <w:rPr>
                <w:rFonts w:ascii="Arial" w:eastAsia="Arial" w:hAnsi="Arial" w:cs="Arial"/>
                <w:sz w:val="18"/>
                <w:szCs w:val="18"/>
              </w:rPr>
              <w:t xml:space="preserve">Section 2.12.  </w:t>
            </w:r>
            <w:r>
              <w:rPr>
                <w:rFonts w:ascii="Arial" w:eastAsia="Arial" w:hAnsi="Arial" w:cs="Arial"/>
                <w:i/>
                <w:iCs/>
                <w:sz w:val="18"/>
                <w:szCs w:val="18"/>
              </w:rPr>
              <w:t>Policies and Procedures</w:t>
            </w:r>
          </w:p>
        </w:tc>
        <w:tc>
          <w:tcPr>
            <w:tcW w:w="420" w:type="dxa"/>
            <w:vAlign w:val="bottom"/>
          </w:tcPr>
          <w:p w14:paraId="6870D82C" w14:textId="77777777" w:rsidR="00D1587D" w:rsidRDefault="00410D07">
            <w:pPr>
              <w:jc w:val="right"/>
              <w:rPr>
                <w:sz w:val="20"/>
                <w:szCs w:val="20"/>
              </w:rPr>
            </w:pPr>
            <w:r>
              <w:rPr>
                <w:rFonts w:ascii="Arial" w:eastAsia="Arial" w:hAnsi="Arial" w:cs="Arial"/>
                <w:sz w:val="18"/>
                <w:szCs w:val="18"/>
              </w:rPr>
              <w:t>7</w:t>
            </w:r>
          </w:p>
        </w:tc>
        <w:tc>
          <w:tcPr>
            <w:tcW w:w="0" w:type="dxa"/>
            <w:vAlign w:val="bottom"/>
          </w:tcPr>
          <w:p w14:paraId="4C2208D8" w14:textId="77777777" w:rsidR="00D1587D" w:rsidRDefault="00D1587D">
            <w:pPr>
              <w:rPr>
                <w:sz w:val="1"/>
                <w:szCs w:val="1"/>
              </w:rPr>
            </w:pPr>
          </w:p>
        </w:tc>
      </w:tr>
      <w:tr w:rsidR="00D1587D" w14:paraId="5642949C" w14:textId="77777777">
        <w:trPr>
          <w:trHeight w:val="216"/>
        </w:trPr>
        <w:tc>
          <w:tcPr>
            <w:tcW w:w="10820" w:type="dxa"/>
            <w:gridSpan w:val="2"/>
            <w:vAlign w:val="bottom"/>
          </w:tcPr>
          <w:p w14:paraId="0F622948" w14:textId="77777777" w:rsidR="00D1587D" w:rsidRDefault="00410D07">
            <w:pPr>
              <w:rPr>
                <w:sz w:val="20"/>
                <w:szCs w:val="20"/>
              </w:rPr>
            </w:pPr>
            <w:r>
              <w:rPr>
                <w:rFonts w:ascii="Arial" w:eastAsia="Arial" w:hAnsi="Arial" w:cs="Arial"/>
                <w:sz w:val="18"/>
                <w:szCs w:val="18"/>
              </w:rPr>
              <w:t xml:space="preserve">Section 2.13.  </w:t>
            </w:r>
            <w:r>
              <w:rPr>
                <w:rFonts w:ascii="Arial" w:eastAsia="Arial" w:hAnsi="Arial" w:cs="Arial"/>
                <w:i/>
                <w:iCs/>
                <w:sz w:val="18"/>
                <w:szCs w:val="18"/>
              </w:rPr>
              <w:t>Access to Information</w:t>
            </w:r>
          </w:p>
        </w:tc>
        <w:tc>
          <w:tcPr>
            <w:tcW w:w="420" w:type="dxa"/>
            <w:vAlign w:val="bottom"/>
          </w:tcPr>
          <w:p w14:paraId="43D658AB" w14:textId="77777777" w:rsidR="00D1587D" w:rsidRDefault="00410D07">
            <w:pPr>
              <w:jc w:val="right"/>
              <w:rPr>
                <w:sz w:val="20"/>
                <w:szCs w:val="20"/>
              </w:rPr>
            </w:pPr>
            <w:r>
              <w:rPr>
                <w:rFonts w:ascii="Arial" w:eastAsia="Arial" w:hAnsi="Arial" w:cs="Arial"/>
                <w:sz w:val="18"/>
                <w:szCs w:val="18"/>
              </w:rPr>
              <w:t>7</w:t>
            </w:r>
          </w:p>
        </w:tc>
        <w:tc>
          <w:tcPr>
            <w:tcW w:w="0" w:type="dxa"/>
            <w:vAlign w:val="bottom"/>
          </w:tcPr>
          <w:p w14:paraId="111463BA" w14:textId="77777777" w:rsidR="00D1587D" w:rsidRDefault="00D1587D">
            <w:pPr>
              <w:rPr>
                <w:sz w:val="1"/>
                <w:szCs w:val="1"/>
              </w:rPr>
            </w:pPr>
          </w:p>
        </w:tc>
      </w:tr>
      <w:tr w:rsidR="00D1587D" w14:paraId="56D16BEC" w14:textId="77777777">
        <w:trPr>
          <w:trHeight w:val="230"/>
        </w:trPr>
        <w:tc>
          <w:tcPr>
            <w:tcW w:w="1040" w:type="dxa"/>
            <w:vAlign w:val="bottom"/>
          </w:tcPr>
          <w:p w14:paraId="534C0DCC" w14:textId="77777777" w:rsidR="00D1587D" w:rsidRDefault="00410D07">
            <w:pPr>
              <w:rPr>
                <w:sz w:val="20"/>
                <w:szCs w:val="20"/>
              </w:rPr>
            </w:pPr>
            <w:r>
              <w:rPr>
                <w:rFonts w:ascii="Arial" w:eastAsia="Arial" w:hAnsi="Arial" w:cs="Arial"/>
                <w:w w:val="97"/>
                <w:sz w:val="18"/>
                <w:szCs w:val="18"/>
              </w:rPr>
              <w:t>Section 2.14.</w:t>
            </w:r>
          </w:p>
        </w:tc>
        <w:tc>
          <w:tcPr>
            <w:tcW w:w="9780" w:type="dxa"/>
            <w:vAlign w:val="bottom"/>
          </w:tcPr>
          <w:p w14:paraId="27BA1EE2" w14:textId="77777777" w:rsidR="00D1587D" w:rsidRDefault="00410D07">
            <w:pPr>
              <w:ind w:left="100"/>
              <w:rPr>
                <w:sz w:val="20"/>
                <w:szCs w:val="20"/>
              </w:rPr>
            </w:pPr>
            <w:r>
              <w:rPr>
                <w:rFonts w:ascii="Arial" w:eastAsia="Arial" w:hAnsi="Arial" w:cs="Arial"/>
                <w:i/>
                <w:iCs/>
                <w:sz w:val="18"/>
                <w:szCs w:val="18"/>
              </w:rPr>
              <w:t>Transition Governance</w:t>
            </w:r>
          </w:p>
        </w:tc>
        <w:tc>
          <w:tcPr>
            <w:tcW w:w="420" w:type="dxa"/>
            <w:vAlign w:val="bottom"/>
          </w:tcPr>
          <w:p w14:paraId="2A3F7A6D" w14:textId="77777777" w:rsidR="00D1587D" w:rsidRDefault="00410D07">
            <w:pPr>
              <w:jc w:val="right"/>
              <w:rPr>
                <w:sz w:val="20"/>
                <w:szCs w:val="20"/>
              </w:rPr>
            </w:pPr>
            <w:r>
              <w:rPr>
                <w:rFonts w:ascii="Arial" w:eastAsia="Arial" w:hAnsi="Arial" w:cs="Arial"/>
                <w:sz w:val="18"/>
                <w:szCs w:val="18"/>
              </w:rPr>
              <w:t>8</w:t>
            </w:r>
          </w:p>
        </w:tc>
        <w:tc>
          <w:tcPr>
            <w:tcW w:w="0" w:type="dxa"/>
            <w:vAlign w:val="bottom"/>
          </w:tcPr>
          <w:p w14:paraId="60487585" w14:textId="77777777" w:rsidR="00D1587D" w:rsidRDefault="00D1587D">
            <w:pPr>
              <w:rPr>
                <w:sz w:val="1"/>
                <w:szCs w:val="1"/>
              </w:rPr>
            </w:pPr>
          </w:p>
        </w:tc>
      </w:tr>
      <w:tr w:rsidR="00D1587D" w14:paraId="095F53A1" w14:textId="77777777">
        <w:trPr>
          <w:trHeight w:val="418"/>
        </w:trPr>
        <w:tc>
          <w:tcPr>
            <w:tcW w:w="1040" w:type="dxa"/>
            <w:vAlign w:val="bottom"/>
          </w:tcPr>
          <w:p w14:paraId="3B261932" w14:textId="77777777" w:rsidR="00D1587D" w:rsidRDefault="00D1587D">
            <w:pPr>
              <w:rPr>
                <w:sz w:val="24"/>
                <w:szCs w:val="24"/>
              </w:rPr>
            </w:pPr>
          </w:p>
        </w:tc>
        <w:tc>
          <w:tcPr>
            <w:tcW w:w="9780" w:type="dxa"/>
            <w:vAlign w:val="bottom"/>
          </w:tcPr>
          <w:p w14:paraId="3FA1728C" w14:textId="77777777" w:rsidR="00D1587D" w:rsidRDefault="00410D07">
            <w:pPr>
              <w:ind w:right="530"/>
              <w:jc w:val="center"/>
              <w:rPr>
                <w:sz w:val="20"/>
                <w:szCs w:val="20"/>
              </w:rPr>
            </w:pPr>
            <w:r>
              <w:rPr>
                <w:rFonts w:ascii="Arial" w:eastAsia="Arial" w:hAnsi="Arial" w:cs="Arial"/>
                <w:w w:val="96"/>
                <w:sz w:val="18"/>
                <w:szCs w:val="18"/>
              </w:rPr>
              <w:t>ARTICLE 3</w:t>
            </w:r>
          </w:p>
        </w:tc>
        <w:tc>
          <w:tcPr>
            <w:tcW w:w="420" w:type="dxa"/>
            <w:vAlign w:val="bottom"/>
          </w:tcPr>
          <w:p w14:paraId="2FB44777" w14:textId="77777777" w:rsidR="00D1587D" w:rsidRDefault="00D1587D">
            <w:pPr>
              <w:rPr>
                <w:sz w:val="24"/>
                <w:szCs w:val="24"/>
              </w:rPr>
            </w:pPr>
          </w:p>
        </w:tc>
        <w:tc>
          <w:tcPr>
            <w:tcW w:w="0" w:type="dxa"/>
            <w:vAlign w:val="bottom"/>
          </w:tcPr>
          <w:p w14:paraId="32267B92" w14:textId="77777777" w:rsidR="00D1587D" w:rsidRDefault="00D1587D">
            <w:pPr>
              <w:rPr>
                <w:sz w:val="1"/>
                <w:szCs w:val="1"/>
              </w:rPr>
            </w:pPr>
          </w:p>
        </w:tc>
      </w:tr>
      <w:tr w:rsidR="00D1587D" w14:paraId="35BC9718" w14:textId="77777777">
        <w:trPr>
          <w:trHeight w:val="230"/>
        </w:trPr>
        <w:tc>
          <w:tcPr>
            <w:tcW w:w="1040" w:type="dxa"/>
            <w:vAlign w:val="bottom"/>
          </w:tcPr>
          <w:p w14:paraId="2917F4D2" w14:textId="77777777" w:rsidR="00D1587D" w:rsidRDefault="00D1587D">
            <w:pPr>
              <w:rPr>
                <w:sz w:val="20"/>
                <w:szCs w:val="20"/>
              </w:rPr>
            </w:pPr>
          </w:p>
        </w:tc>
        <w:tc>
          <w:tcPr>
            <w:tcW w:w="9780" w:type="dxa"/>
            <w:vAlign w:val="bottom"/>
          </w:tcPr>
          <w:p w14:paraId="1717F203" w14:textId="77777777" w:rsidR="00D1587D" w:rsidRDefault="00410D07">
            <w:pPr>
              <w:ind w:right="530"/>
              <w:jc w:val="center"/>
              <w:rPr>
                <w:sz w:val="20"/>
                <w:szCs w:val="20"/>
              </w:rPr>
            </w:pPr>
            <w:r>
              <w:rPr>
                <w:rFonts w:ascii="Arial" w:eastAsia="Arial" w:hAnsi="Arial" w:cs="Arial"/>
                <w:w w:val="91"/>
                <w:sz w:val="18"/>
                <w:szCs w:val="18"/>
              </w:rPr>
              <w:t>SERVICE FEES</w:t>
            </w:r>
          </w:p>
        </w:tc>
        <w:tc>
          <w:tcPr>
            <w:tcW w:w="420" w:type="dxa"/>
            <w:vAlign w:val="bottom"/>
          </w:tcPr>
          <w:p w14:paraId="0CAC08C7" w14:textId="77777777" w:rsidR="00D1587D" w:rsidRDefault="00D1587D">
            <w:pPr>
              <w:rPr>
                <w:sz w:val="20"/>
                <w:szCs w:val="20"/>
              </w:rPr>
            </w:pPr>
          </w:p>
        </w:tc>
        <w:tc>
          <w:tcPr>
            <w:tcW w:w="0" w:type="dxa"/>
            <w:vAlign w:val="bottom"/>
          </w:tcPr>
          <w:p w14:paraId="3ED969CC" w14:textId="77777777" w:rsidR="00D1587D" w:rsidRDefault="00D1587D">
            <w:pPr>
              <w:rPr>
                <w:sz w:val="1"/>
                <w:szCs w:val="1"/>
              </w:rPr>
            </w:pPr>
          </w:p>
        </w:tc>
      </w:tr>
      <w:tr w:rsidR="00D1587D" w14:paraId="5CFD667E" w14:textId="77777777">
        <w:trPr>
          <w:trHeight w:val="418"/>
        </w:trPr>
        <w:tc>
          <w:tcPr>
            <w:tcW w:w="10820" w:type="dxa"/>
            <w:gridSpan w:val="2"/>
            <w:vAlign w:val="bottom"/>
          </w:tcPr>
          <w:p w14:paraId="1EFD4159" w14:textId="77777777" w:rsidR="00D1587D" w:rsidRDefault="00410D07">
            <w:pPr>
              <w:rPr>
                <w:sz w:val="20"/>
                <w:szCs w:val="20"/>
              </w:rPr>
            </w:pPr>
            <w:r>
              <w:rPr>
                <w:rFonts w:ascii="Arial" w:eastAsia="Arial" w:hAnsi="Arial" w:cs="Arial"/>
                <w:sz w:val="18"/>
                <w:szCs w:val="18"/>
              </w:rPr>
              <w:t xml:space="preserve">Section 3.01.  </w:t>
            </w:r>
            <w:r>
              <w:rPr>
                <w:rFonts w:ascii="Arial" w:eastAsia="Arial" w:hAnsi="Arial" w:cs="Arial"/>
                <w:i/>
                <w:iCs/>
                <w:sz w:val="18"/>
                <w:szCs w:val="18"/>
              </w:rPr>
              <w:t>Fees for Services</w:t>
            </w:r>
          </w:p>
        </w:tc>
        <w:tc>
          <w:tcPr>
            <w:tcW w:w="420" w:type="dxa"/>
            <w:vAlign w:val="bottom"/>
          </w:tcPr>
          <w:p w14:paraId="74C0ADB3" w14:textId="77777777" w:rsidR="00D1587D" w:rsidRDefault="00410D07">
            <w:pPr>
              <w:jc w:val="right"/>
              <w:rPr>
                <w:sz w:val="20"/>
                <w:szCs w:val="20"/>
              </w:rPr>
            </w:pPr>
            <w:r>
              <w:rPr>
                <w:rFonts w:ascii="Arial" w:eastAsia="Arial" w:hAnsi="Arial" w:cs="Arial"/>
                <w:sz w:val="18"/>
                <w:szCs w:val="18"/>
              </w:rPr>
              <w:t>8</w:t>
            </w:r>
          </w:p>
        </w:tc>
        <w:tc>
          <w:tcPr>
            <w:tcW w:w="0" w:type="dxa"/>
            <w:vAlign w:val="bottom"/>
          </w:tcPr>
          <w:p w14:paraId="1ED498FA" w14:textId="77777777" w:rsidR="00D1587D" w:rsidRDefault="00D1587D">
            <w:pPr>
              <w:rPr>
                <w:sz w:val="1"/>
                <w:szCs w:val="1"/>
              </w:rPr>
            </w:pPr>
          </w:p>
        </w:tc>
      </w:tr>
      <w:tr w:rsidR="00D1587D" w14:paraId="7C4E4F4A" w14:textId="77777777">
        <w:trPr>
          <w:trHeight w:val="216"/>
        </w:trPr>
        <w:tc>
          <w:tcPr>
            <w:tcW w:w="1040" w:type="dxa"/>
            <w:vAlign w:val="bottom"/>
          </w:tcPr>
          <w:p w14:paraId="0051C80B" w14:textId="77777777" w:rsidR="00D1587D" w:rsidRDefault="00410D07">
            <w:pPr>
              <w:rPr>
                <w:sz w:val="20"/>
                <w:szCs w:val="20"/>
              </w:rPr>
            </w:pPr>
            <w:r>
              <w:rPr>
                <w:rFonts w:ascii="Arial" w:eastAsia="Arial" w:hAnsi="Arial" w:cs="Arial"/>
                <w:w w:val="97"/>
                <w:sz w:val="18"/>
                <w:szCs w:val="18"/>
              </w:rPr>
              <w:t>Section 3.02.</w:t>
            </w:r>
          </w:p>
        </w:tc>
        <w:tc>
          <w:tcPr>
            <w:tcW w:w="9780" w:type="dxa"/>
            <w:vAlign w:val="bottom"/>
          </w:tcPr>
          <w:p w14:paraId="5C74006C" w14:textId="77777777" w:rsidR="00D1587D" w:rsidRDefault="00410D07">
            <w:pPr>
              <w:ind w:left="100"/>
              <w:rPr>
                <w:sz w:val="20"/>
                <w:szCs w:val="20"/>
              </w:rPr>
            </w:pPr>
            <w:r>
              <w:rPr>
                <w:rFonts w:ascii="Arial" w:eastAsia="Arial" w:hAnsi="Arial" w:cs="Arial"/>
                <w:i/>
                <w:iCs/>
                <w:sz w:val="18"/>
                <w:szCs w:val="18"/>
              </w:rPr>
              <w:t>Customary Billing</w:t>
            </w:r>
          </w:p>
        </w:tc>
        <w:tc>
          <w:tcPr>
            <w:tcW w:w="420" w:type="dxa"/>
            <w:vAlign w:val="bottom"/>
          </w:tcPr>
          <w:p w14:paraId="69411270" w14:textId="77777777" w:rsidR="00D1587D" w:rsidRDefault="00410D07">
            <w:pPr>
              <w:jc w:val="right"/>
              <w:rPr>
                <w:sz w:val="20"/>
                <w:szCs w:val="20"/>
              </w:rPr>
            </w:pPr>
            <w:r>
              <w:rPr>
                <w:rFonts w:ascii="Arial" w:eastAsia="Arial" w:hAnsi="Arial" w:cs="Arial"/>
                <w:sz w:val="18"/>
                <w:szCs w:val="18"/>
              </w:rPr>
              <w:t>9</w:t>
            </w:r>
          </w:p>
        </w:tc>
        <w:tc>
          <w:tcPr>
            <w:tcW w:w="0" w:type="dxa"/>
            <w:vAlign w:val="bottom"/>
          </w:tcPr>
          <w:p w14:paraId="006D4DCD" w14:textId="77777777" w:rsidR="00D1587D" w:rsidRDefault="00D1587D">
            <w:pPr>
              <w:rPr>
                <w:sz w:val="1"/>
                <w:szCs w:val="1"/>
              </w:rPr>
            </w:pPr>
          </w:p>
        </w:tc>
      </w:tr>
      <w:tr w:rsidR="00D1587D" w14:paraId="17FEE571" w14:textId="77777777">
        <w:trPr>
          <w:trHeight w:val="216"/>
        </w:trPr>
        <w:tc>
          <w:tcPr>
            <w:tcW w:w="1040" w:type="dxa"/>
            <w:vAlign w:val="bottom"/>
          </w:tcPr>
          <w:p w14:paraId="6344D553" w14:textId="77777777" w:rsidR="00D1587D" w:rsidRDefault="00410D07">
            <w:pPr>
              <w:rPr>
                <w:sz w:val="20"/>
                <w:szCs w:val="20"/>
              </w:rPr>
            </w:pPr>
            <w:r>
              <w:rPr>
                <w:rFonts w:ascii="Arial" w:eastAsia="Arial" w:hAnsi="Arial" w:cs="Arial"/>
                <w:w w:val="97"/>
                <w:sz w:val="18"/>
                <w:szCs w:val="18"/>
              </w:rPr>
              <w:t>Section 3.03.</w:t>
            </w:r>
          </w:p>
        </w:tc>
        <w:tc>
          <w:tcPr>
            <w:tcW w:w="9780" w:type="dxa"/>
            <w:vAlign w:val="bottom"/>
          </w:tcPr>
          <w:p w14:paraId="62B8B7E1" w14:textId="77777777" w:rsidR="00D1587D" w:rsidRDefault="00410D07">
            <w:pPr>
              <w:ind w:left="100"/>
              <w:rPr>
                <w:sz w:val="20"/>
                <w:szCs w:val="20"/>
              </w:rPr>
            </w:pPr>
            <w:r>
              <w:rPr>
                <w:rFonts w:ascii="Arial" w:eastAsia="Arial" w:hAnsi="Arial" w:cs="Arial"/>
                <w:i/>
                <w:iCs/>
                <w:sz w:val="18"/>
                <w:szCs w:val="18"/>
              </w:rPr>
              <w:t>Pass-Through Billing</w:t>
            </w:r>
          </w:p>
        </w:tc>
        <w:tc>
          <w:tcPr>
            <w:tcW w:w="420" w:type="dxa"/>
            <w:vAlign w:val="bottom"/>
          </w:tcPr>
          <w:p w14:paraId="63730DB3" w14:textId="77777777" w:rsidR="00D1587D" w:rsidRDefault="00410D07">
            <w:pPr>
              <w:jc w:val="right"/>
              <w:rPr>
                <w:sz w:val="20"/>
                <w:szCs w:val="20"/>
              </w:rPr>
            </w:pPr>
            <w:r>
              <w:rPr>
                <w:rFonts w:ascii="Arial" w:eastAsia="Arial" w:hAnsi="Arial" w:cs="Arial"/>
                <w:sz w:val="18"/>
                <w:szCs w:val="18"/>
              </w:rPr>
              <w:t>9</w:t>
            </w:r>
          </w:p>
        </w:tc>
        <w:tc>
          <w:tcPr>
            <w:tcW w:w="0" w:type="dxa"/>
            <w:vAlign w:val="bottom"/>
          </w:tcPr>
          <w:p w14:paraId="4FE1797F" w14:textId="77777777" w:rsidR="00D1587D" w:rsidRDefault="00D1587D">
            <w:pPr>
              <w:rPr>
                <w:sz w:val="1"/>
                <w:szCs w:val="1"/>
              </w:rPr>
            </w:pPr>
          </w:p>
        </w:tc>
      </w:tr>
      <w:tr w:rsidR="00D1587D" w14:paraId="0B62C505" w14:textId="77777777">
        <w:trPr>
          <w:trHeight w:val="216"/>
        </w:trPr>
        <w:tc>
          <w:tcPr>
            <w:tcW w:w="10820" w:type="dxa"/>
            <w:gridSpan w:val="2"/>
            <w:vAlign w:val="bottom"/>
          </w:tcPr>
          <w:p w14:paraId="28B4CD89" w14:textId="77777777" w:rsidR="00D1587D" w:rsidRDefault="00410D07">
            <w:pPr>
              <w:rPr>
                <w:sz w:val="20"/>
                <w:szCs w:val="20"/>
              </w:rPr>
            </w:pPr>
            <w:r>
              <w:rPr>
                <w:rFonts w:ascii="Arial" w:eastAsia="Arial" w:hAnsi="Arial" w:cs="Arial"/>
                <w:sz w:val="18"/>
                <w:szCs w:val="18"/>
              </w:rPr>
              <w:t xml:space="preserve">Section 3.04.  </w:t>
            </w:r>
            <w:r>
              <w:rPr>
                <w:rFonts w:ascii="Arial" w:eastAsia="Arial" w:hAnsi="Arial" w:cs="Arial"/>
                <w:i/>
                <w:iCs/>
                <w:sz w:val="18"/>
                <w:szCs w:val="18"/>
              </w:rPr>
              <w:t>Percent of Sales Billing</w:t>
            </w:r>
          </w:p>
        </w:tc>
        <w:tc>
          <w:tcPr>
            <w:tcW w:w="420" w:type="dxa"/>
            <w:vAlign w:val="bottom"/>
          </w:tcPr>
          <w:p w14:paraId="3B3DBE10" w14:textId="77777777" w:rsidR="00D1587D" w:rsidRDefault="00410D07">
            <w:pPr>
              <w:jc w:val="right"/>
              <w:rPr>
                <w:sz w:val="20"/>
                <w:szCs w:val="20"/>
              </w:rPr>
            </w:pPr>
            <w:r>
              <w:rPr>
                <w:rFonts w:ascii="Arial" w:eastAsia="Arial" w:hAnsi="Arial" w:cs="Arial"/>
                <w:sz w:val="18"/>
                <w:szCs w:val="18"/>
              </w:rPr>
              <w:t>9</w:t>
            </w:r>
          </w:p>
        </w:tc>
        <w:tc>
          <w:tcPr>
            <w:tcW w:w="0" w:type="dxa"/>
            <w:vAlign w:val="bottom"/>
          </w:tcPr>
          <w:p w14:paraId="4AB1359E" w14:textId="77777777" w:rsidR="00D1587D" w:rsidRDefault="00D1587D">
            <w:pPr>
              <w:rPr>
                <w:sz w:val="1"/>
                <w:szCs w:val="1"/>
              </w:rPr>
            </w:pPr>
          </w:p>
        </w:tc>
      </w:tr>
      <w:tr w:rsidR="00D1587D" w14:paraId="6BA626A1" w14:textId="77777777">
        <w:trPr>
          <w:trHeight w:val="216"/>
        </w:trPr>
        <w:tc>
          <w:tcPr>
            <w:tcW w:w="10820" w:type="dxa"/>
            <w:gridSpan w:val="2"/>
            <w:vAlign w:val="bottom"/>
          </w:tcPr>
          <w:p w14:paraId="672D0364" w14:textId="77777777" w:rsidR="00D1587D" w:rsidRDefault="00410D07">
            <w:pPr>
              <w:rPr>
                <w:sz w:val="20"/>
                <w:szCs w:val="20"/>
              </w:rPr>
            </w:pPr>
            <w:r>
              <w:rPr>
                <w:rFonts w:ascii="Arial" w:eastAsia="Arial" w:hAnsi="Arial" w:cs="Arial"/>
                <w:sz w:val="18"/>
                <w:szCs w:val="18"/>
              </w:rPr>
              <w:t xml:space="preserve">Section 3.05.  </w:t>
            </w:r>
            <w:r>
              <w:rPr>
                <w:rFonts w:ascii="Arial" w:eastAsia="Arial" w:hAnsi="Arial" w:cs="Arial"/>
                <w:i/>
                <w:iCs/>
                <w:sz w:val="18"/>
                <w:szCs w:val="18"/>
              </w:rPr>
              <w:t>Fixed Fee Billing</w:t>
            </w:r>
          </w:p>
        </w:tc>
        <w:tc>
          <w:tcPr>
            <w:tcW w:w="420" w:type="dxa"/>
            <w:vAlign w:val="bottom"/>
          </w:tcPr>
          <w:p w14:paraId="44E80478" w14:textId="77777777" w:rsidR="00D1587D" w:rsidRDefault="00410D07">
            <w:pPr>
              <w:jc w:val="right"/>
              <w:rPr>
                <w:sz w:val="20"/>
                <w:szCs w:val="20"/>
              </w:rPr>
            </w:pPr>
            <w:r>
              <w:rPr>
                <w:rFonts w:ascii="Arial" w:eastAsia="Arial" w:hAnsi="Arial" w:cs="Arial"/>
                <w:sz w:val="18"/>
                <w:szCs w:val="18"/>
              </w:rPr>
              <w:t>9</w:t>
            </w:r>
          </w:p>
        </w:tc>
        <w:tc>
          <w:tcPr>
            <w:tcW w:w="0" w:type="dxa"/>
            <w:vAlign w:val="bottom"/>
          </w:tcPr>
          <w:p w14:paraId="14005413" w14:textId="77777777" w:rsidR="00D1587D" w:rsidRDefault="00D1587D">
            <w:pPr>
              <w:rPr>
                <w:sz w:val="1"/>
                <w:szCs w:val="1"/>
              </w:rPr>
            </w:pPr>
          </w:p>
        </w:tc>
      </w:tr>
      <w:tr w:rsidR="00D1587D" w14:paraId="46FEFB60" w14:textId="77777777">
        <w:trPr>
          <w:trHeight w:val="216"/>
        </w:trPr>
        <w:tc>
          <w:tcPr>
            <w:tcW w:w="10820" w:type="dxa"/>
            <w:gridSpan w:val="2"/>
            <w:vAlign w:val="bottom"/>
          </w:tcPr>
          <w:p w14:paraId="6024E480" w14:textId="77777777" w:rsidR="00D1587D" w:rsidRDefault="00410D07">
            <w:pPr>
              <w:rPr>
                <w:sz w:val="20"/>
                <w:szCs w:val="20"/>
              </w:rPr>
            </w:pPr>
            <w:r>
              <w:rPr>
                <w:rFonts w:ascii="Arial" w:eastAsia="Arial" w:hAnsi="Arial" w:cs="Arial"/>
                <w:sz w:val="18"/>
                <w:szCs w:val="18"/>
              </w:rPr>
              <w:t xml:space="preserve">Section 3.06.  </w:t>
            </w:r>
            <w:r>
              <w:rPr>
                <w:rFonts w:ascii="Arial" w:eastAsia="Arial" w:hAnsi="Arial" w:cs="Arial"/>
                <w:i/>
                <w:iCs/>
                <w:sz w:val="18"/>
                <w:szCs w:val="18"/>
              </w:rPr>
              <w:t>Invoicing of Fees</w:t>
            </w:r>
          </w:p>
        </w:tc>
        <w:tc>
          <w:tcPr>
            <w:tcW w:w="420" w:type="dxa"/>
            <w:vAlign w:val="bottom"/>
          </w:tcPr>
          <w:p w14:paraId="025EDFA4" w14:textId="77777777" w:rsidR="00D1587D" w:rsidRDefault="00410D07">
            <w:pPr>
              <w:jc w:val="right"/>
              <w:rPr>
                <w:sz w:val="20"/>
                <w:szCs w:val="20"/>
              </w:rPr>
            </w:pPr>
            <w:r>
              <w:rPr>
                <w:rFonts w:ascii="Arial" w:eastAsia="Arial" w:hAnsi="Arial" w:cs="Arial"/>
                <w:sz w:val="18"/>
                <w:szCs w:val="18"/>
              </w:rPr>
              <w:t>10</w:t>
            </w:r>
          </w:p>
        </w:tc>
        <w:tc>
          <w:tcPr>
            <w:tcW w:w="0" w:type="dxa"/>
            <w:vAlign w:val="bottom"/>
          </w:tcPr>
          <w:p w14:paraId="0CB64197" w14:textId="77777777" w:rsidR="00D1587D" w:rsidRDefault="00D1587D">
            <w:pPr>
              <w:rPr>
                <w:sz w:val="1"/>
                <w:szCs w:val="1"/>
              </w:rPr>
            </w:pPr>
          </w:p>
        </w:tc>
      </w:tr>
      <w:tr w:rsidR="00D1587D" w14:paraId="73BA5F71" w14:textId="77777777">
        <w:trPr>
          <w:trHeight w:val="216"/>
        </w:trPr>
        <w:tc>
          <w:tcPr>
            <w:tcW w:w="1040" w:type="dxa"/>
            <w:vAlign w:val="bottom"/>
          </w:tcPr>
          <w:p w14:paraId="3EFE6137" w14:textId="77777777" w:rsidR="00D1587D" w:rsidRDefault="00410D07">
            <w:pPr>
              <w:rPr>
                <w:sz w:val="20"/>
                <w:szCs w:val="20"/>
              </w:rPr>
            </w:pPr>
            <w:r>
              <w:rPr>
                <w:rFonts w:ascii="Arial" w:eastAsia="Arial" w:hAnsi="Arial" w:cs="Arial"/>
                <w:w w:val="97"/>
                <w:sz w:val="18"/>
                <w:szCs w:val="18"/>
              </w:rPr>
              <w:t>Section 3.07.</w:t>
            </w:r>
          </w:p>
        </w:tc>
        <w:tc>
          <w:tcPr>
            <w:tcW w:w="9780" w:type="dxa"/>
            <w:vAlign w:val="bottom"/>
          </w:tcPr>
          <w:p w14:paraId="3FE4533F" w14:textId="77777777" w:rsidR="00D1587D" w:rsidRDefault="00410D07">
            <w:pPr>
              <w:ind w:left="100"/>
              <w:rPr>
                <w:sz w:val="20"/>
                <w:szCs w:val="20"/>
              </w:rPr>
            </w:pPr>
            <w:r>
              <w:rPr>
                <w:rFonts w:ascii="Arial" w:eastAsia="Arial" w:hAnsi="Arial" w:cs="Arial"/>
                <w:i/>
                <w:iCs/>
                <w:sz w:val="18"/>
                <w:szCs w:val="18"/>
              </w:rPr>
              <w:t>Right to Set Off</w:t>
            </w:r>
          </w:p>
        </w:tc>
        <w:tc>
          <w:tcPr>
            <w:tcW w:w="420" w:type="dxa"/>
            <w:vAlign w:val="bottom"/>
          </w:tcPr>
          <w:p w14:paraId="355A70AD" w14:textId="77777777" w:rsidR="00D1587D" w:rsidRDefault="00410D07">
            <w:pPr>
              <w:jc w:val="right"/>
              <w:rPr>
                <w:sz w:val="20"/>
                <w:szCs w:val="20"/>
              </w:rPr>
            </w:pPr>
            <w:r>
              <w:rPr>
                <w:rFonts w:ascii="Arial" w:eastAsia="Arial" w:hAnsi="Arial" w:cs="Arial"/>
                <w:sz w:val="18"/>
                <w:szCs w:val="18"/>
              </w:rPr>
              <w:t>10</w:t>
            </w:r>
          </w:p>
        </w:tc>
        <w:tc>
          <w:tcPr>
            <w:tcW w:w="0" w:type="dxa"/>
            <w:vAlign w:val="bottom"/>
          </w:tcPr>
          <w:p w14:paraId="69A1800D" w14:textId="77777777" w:rsidR="00D1587D" w:rsidRDefault="00D1587D">
            <w:pPr>
              <w:rPr>
                <w:sz w:val="1"/>
                <w:szCs w:val="1"/>
              </w:rPr>
            </w:pPr>
          </w:p>
        </w:tc>
      </w:tr>
      <w:tr w:rsidR="00D1587D" w14:paraId="36311326" w14:textId="77777777">
        <w:trPr>
          <w:trHeight w:val="216"/>
        </w:trPr>
        <w:tc>
          <w:tcPr>
            <w:tcW w:w="1040" w:type="dxa"/>
            <w:vAlign w:val="bottom"/>
          </w:tcPr>
          <w:p w14:paraId="4FEC6165" w14:textId="77777777" w:rsidR="00D1587D" w:rsidRDefault="00410D07">
            <w:pPr>
              <w:rPr>
                <w:sz w:val="20"/>
                <w:szCs w:val="20"/>
              </w:rPr>
            </w:pPr>
            <w:r>
              <w:rPr>
                <w:rFonts w:ascii="Arial" w:eastAsia="Arial" w:hAnsi="Arial" w:cs="Arial"/>
                <w:w w:val="97"/>
                <w:sz w:val="18"/>
                <w:szCs w:val="18"/>
              </w:rPr>
              <w:t>Section 3.08.</w:t>
            </w:r>
          </w:p>
        </w:tc>
        <w:tc>
          <w:tcPr>
            <w:tcW w:w="9780" w:type="dxa"/>
            <w:vAlign w:val="bottom"/>
          </w:tcPr>
          <w:p w14:paraId="3A613689" w14:textId="77777777" w:rsidR="00D1587D" w:rsidRDefault="00410D07">
            <w:pPr>
              <w:ind w:left="100"/>
              <w:rPr>
                <w:sz w:val="20"/>
                <w:szCs w:val="20"/>
              </w:rPr>
            </w:pPr>
            <w:r>
              <w:rPr>
                <w:rFonts w:ascii="Arial" w:eastAsia="Arial" w:hAnsi="Arial" w:cs="Arial"/>
                <w:i/>
                <w:iCs/>
                <w:sz w:val="18"/>
                <w:szCs w:val="18"/>
              </w:rPr>
              <w:t>Taxes</w:t>
            </w:r>
          </w:p>
        </w:tc>
        <w:tc>
          <w:tcPr>
            <w:tcW w:w="420" w:type="dxa"/>
            <w:vAlign w:val="bottom"/>
          </w:tcPr>
          <w:p w14:paraId="3E75ED40" w14:textId="77777777" w:rsidR="00D1587D" w:rsidRDefault="00410D07">
            <w:pPr>
              <w:jc w:val="right"/>
              <w:rPr>
                <w:sz w:val="20"/>
                <w:szCs w:val="20"/>
              </w:rPr>
            </w:pPr>
            <w:r>
              <w:rPr>
                <w:rFonts w:ascii="Arial" w:eastAsia="Arial" w:hAnsi="Arial" w:cs="Arial"/>
                <w:sz w:val="18"/>
                <w:szCs w:val="18"/>
              </w:rPr>
              <w:t>10</w:t>
            </w:r>
          </w:p>
        </w:tc>
        <w:tc>
          <w:tcPr>
            <w:tcW w:w="0" w:type="dxa"/>
            <w:vAlign w:val="bottom"/>
          </w:tcPr>
          <w:p w14:paraId="4D1B9507" w14:textId="77777777" w:rsidR="00D1587D" w:rsidRDefault="00D1587D">
            <w:pPr>
              <w:rPr>
                <w:sz w:val="1"/>
                <w:szCs w:val="1"/>
              </w:rPr>
            </w:pPr>
          </w:p>
        </w:tc>
      </w:tr>
      <w:tr w:rsidR="00D1587D" w14:paraId="577ECB0B" w14:textId="77777777">
        <w:trPr>
          <w:trHeight w:val="230"/>
        </w:trPr>
        <w:tc>
          <w:tcPr>
            <w:tcW w:w="1040" w:type="dxa"/>
            <w:vAlign w:val="bottom"/>
          </w:tcPr>
          <w:p w14:paraId="13B857F9" w14:textId="77777777" w:rsidR="00D1587D" w:rsidRDefault="00410D07">
            <w:pPr>
              <w:rPr>
                <w:sz w:val="20"/>
                <w:szCs w:val="20"/>
              </w:rPr>
            </w:pPr>
            <w:r>
              <w:rPr>
                <w:rFonts w:ascii="Arial" w:eastAsia="Arial" w:hAnsi="Arial" w:cs="Arial"/>
                <w:w w:val="97"/>
                <w:sz w:val="18"/>
                <w:szCs w:val="18"/>
              </w:rPr>
              <w:t xml:space="preserve">Section </w:t>
            </w:r>
            <w:r>
              <w:rPr>
                <w:rFonts w:ascii="Arial" w:eastAsia="Arial" w:hAnsi="Arial" w:cs="Arial"/>
                <w:w w:val="97"/>
                <w:sz w:val="18"/>
                <w:szCs w:val="18"/>
              </w:rPr>
              <w:t>3.09.</w:t>
            </w:r>
          </w:p>
        </w:tc>
        <w:tc>
          <w:tcPr>
            <w:tcW w:w="9780" w:type="dxa"/>
            <w:vAlign w:val="bottom"/>
          </w:tcPr>
          <w:p w14:paraId="2213A3A8" w14:textId="77777777" w:rsidR="00D1587D" w:rsidRDefault="00410D07">
            <w:pPr>
              <w:ind w:left="100"/>
              <w:rPr>
                <w:sz w:val="20"/>
                <w:szCs w:val="20"/>
              </w:rPr>
            </w:pPr>
            <w:r>
              <w:rPr>
                <w:rFonts w:ascii="Arial" w:eastAsia="Arial" w:hAnsi="Arial" w:cs="Arial"/>
                <w:i/>
                <w:iCs/>
                <w:sz w:val="18"/>
                <w:szCs w:val="18"/>
              </w:rPr>
              <w:t>Audits</w:t>
            </w:r>
          </w:p>
        </w:tc>
        <w:tc>
          <w:tcPr>
            <w:tcW w:w="420" w:type="dxa"/>
            <w:vAlign w:val="bottom"/>
          </w:tcPr>
          <w:p w14:paraId="667A2059" w14:textId="77777777" w:rsidR="00D1587D" w:rsidRDefault="00410D07">
            <w:pPr>
              <w:jc w:val="right"/>
              <w:rPr>
                <w:sz w:val="20"/>
                <w:szCs w:val="20"/>
              </w:rPr>
            </w:pPr>
            <w:r>
              <w:rPr>
                <w:rFonts w:ascii="Arial" w:eastAsia="Arial" w:hAnsi="Arial" w:cs="Arial"/>
                <w:sz w:val="18"/>
                <w:szCs w:val="18"/>
              </w:rPr>
              <w:t>11</w:t>
            </w:r>
          </w:p>
        </w:tc>
        <w:tc>
          <w:tcPr>
            <w:tcW w:w="0" w:type="dxa"/>
            <w:vAlign w:val="bottom"/>
          </w:tcPr>
          <w:p w14:paraId="7637D8A3" w14:textId="77777777" w:rsidR="00D1587D" w:rsidRDefault="00D1587D">
            <w:pPr>
              <w:rPr>
                <w:sz w:val="1"/>
                <w:szCs w:val="1"/>
              </w:rPr>
            </w:pPr>
          </w:p>
        </w:tc>
      </w:tr>
      <w:tr w:rsidR="00D1587D" w14:paraId="220FC55E" w14:textId="77777777">
        <w:trPr>
          <w:trHeight w:val="418"/>
        </w:trPr>
        <w:tc>
          <w:tcPr>
            <w:tcW w:w="1040" w:type="dxa"/>
            <w:vAlign w:val="bottom"/>
          </w:tcPr>
          <w:p w14:paraId="36403924" w14:textId="77777777" w:rsidR="00D1587D" w:rsidRDefault="00D1587D">
            <w:pPr>
              <w:rPr>
                <w:sz w:val="24"/>
                <w:szCs w:val="24"/>
              </w:rPr>
            </w:pPr>
          </w:p>
        </w:tc>
        <w:tc>
          <w:tcPr>
            <w:tcW w:w="9780" w:type="dxa"/>
            <w:vAlign w:val="bottom"/>
          </w:tcPr>
          <w:p w14:paraId="58DCF33E" w14:textId="77777777" w:rsidR="00D1587D" w:rsidRDefault="00410D07">
            <w:pPr>
              <w:ind w:right="530"/>
              <w:jc w:val="center"/>
              <w:rPr>
                <w:sz w:val="20"/>
                <w:szCs w:val="20"/>
              </w:rPr>
            </w:pPr>
            <w:r>
              <w:rPr>
                <w:rFonts w:ascii="Arial" w:eastAsia="Arial" w:hAnsi="Arial" w:cs="Arial"/>
                <w:w w:val="96"/>
                <w:sz w:val="18"/>
                <w:szCs w:val="18"/>
              </w:rPr>
              <w:t>ARTICLE 4</w:t>
            </w:r>
          </w:p>
        </w:tc>
        <w:tc>
          <w:tcPr>
            <w:tcW w:w="420" w:type="dxa"/>
            <w:vAlign w:val="bottom"/>
          </w:tcPr>
          <w:p w14:paraId="2F6C7135" w14:textId="77777777" w:rsidR="00D1587D" w:rsidRDefault="00D1587D">
            <w:pPr>
              <w:rPr>
                <w:sz w:val="24"/>
                <w:szCs w:val="24"/>
              </w:rPr>
            </w:pPr>
          </w:p>
        </w:tc>
        <w:tc>
          <w:tcPr>
            <w:tcW w:w="0" w:type="dxa"/>
            <w:vAlign w:val="bottom"/>
          </w:tcPr>
          <w:p w14:paraId="6E3FD65E" w14:textId="77777777" w:rsidR="00D1587D" w:rsidRDefault="00D1587D">
            <w:pPr>
              <w:rPr>
                <w:sz w:val="1"/>
                <w:szCs w:val="1"/>
              </w:rPr>
            </w:pPr>
          </w:p>
        </w:tc>
      </w:tr>
      <w:tr w:rsidR="00D1587D" w14:paraId="2BDE3668" w14:textId="77777777">
        <w:trPr>
          <w:trHeight w:val="230"/>
        </w:trPr>
        <w:tc>
          <w:tcPr>
            <w:tcW w:w="1040" w:type="dxa"/>
            <w:vAlign w:val="bottom"/>
          </w:tcPr>
          <w:p w14:paraId="52136C4E" w14:textId="77777777" w:rsidR="00D1587D" w:rsidRDefault="00D1587D">
            <w:pPr>
              <w:rPr>
                <w:sz w:val="20"/>
                <w:szCs w:val="20"/>
              </w:rPr>
            </w:pPr>
          </w:p>
        </w:tc>
        <w:tc>
          <w:tcPr>
            <w:tcW w:w="9780" w:type="dxa"/>
            <w:vAlign w:val="bottom"/>
          </w:tcPr>
          <w:p w14:paraId="4E2EDF47" w14:textId="77777777" w:rsidR="00D1587D" w:rsidRDefault="00410D07">
            <w:pPr>
              <w:ind w:right="510"/>
              <w:jc w:val="center"/>
              <w:rPr>
                <w:sz w:val="20"/>
                <w:szCs w:val="20"/>
              </w:rPr>
            </w:pPr>
            <w:r>
              <w:rPr>
                <w:rFonts w:ascii="Arial" w:eastAsia="Arial" w:hAnsi="Arial" w:cs="Arial"/>
                <w:w w:val="95"/>
                <w:sz w:val="18"/>
                <w:szCs w:val="18"/>
              </w:rPr>
              <w:t>RETENTION AND TRANSFER OF CERTAIN TSA EMPLOYEES</w:t>
            </w:r>
          </w:p>
        </w:tc>
        <w:tc>
          <w:tcPr>
            <w:tcW w:w="420" w:type="dxa"/>
            <w:vAlign w:val="bottom"/>
          </w:tcPr>
          <w:p w14:paraId="773872B1" w14:textId="77777777" w:rsidR="00D1587D" w:rsidRDefault="00D1587D">
            <w:pPr>
              <w:rPr>
                <w:sz w:val="20"/>
                <w:szCs w:val="20"/>
              </w:rPr>
            </w:pPr>
          </w:p>
        </w:tc>
        <w:tc>
          <w:tcPr>
            <w:tcW w:w="0" w:type="dxa"/>
            <w:vAlign w:val="bottom"/>
          </w:tcPr>
          <w:p w14:paraId="4B94F094" w14:textId="77777777" w:rsidR="00D1587D" w:rsidRDefault="00D1587D">
            <w:pPr>
              <w:rPr>
                <w:sz w:val="1"/>
                <w:szCs w:val="1"/>
              </w:rPr>
            </w:pPr>
          </w:p>
        </w:tc>
      </w:tr>
      <w:tr w:rsidR="00D1587D" w14:paraId="37F19B56" w14:textId="77777777">
        <w:trPr>
          <w:trHeight w:val="418"/>
        </w:trPr>
        <w:tc>
          <w:tcPr>
            <w:tcW w:w="10820" w:type="dxa"/>
            <w:gridSpan w:val="2"/>
            <w:vAlign w:val="bottom"/>
          </w:tcPr>
          <w:p w14:paraId="06DA090E" w14:textId="77777777" w:rsidR="00D1587D" w:rsidRDefault="00410D07">
            <w:pPr>
              <w:rPr>
                <w:sz w:val="20"/>
                <w:szCs w:val="20"/>
              </w:rPr>
            </w:pPr>
            <w:r>
              <w:rPr>
                <w:rFonts w:ascii="Arial" w:eastAsia="Arial" w:hAnsi="Arial" w:cs="Arial"/>
                <w:sz w:val="18"/>
                <w:szCs w:val="18"/>
              </w:rPr>
              <w:t xml:space="preserve">Section 4.01.  </w:t>
            </w:r>
            <w:r>
              <w:rPr>
                <w:rFonts w:ascii="Arial" w:eastAsia="Arial" w:hAnsi="Arial" w:cs="Arial"/>
                <w:i/>
                <w:iCs/>
                <w:sz w:val="18"/>
                <w:szCs w:val="18"/>
              </w:rPr>
              <w:t>Employment of Transition Employees</w:t>
            </w:r>
          </w:p>
        </w:tc>
        <w:tc>
          <w:tcPr>
            <w:tcW w:w="420" w:type="dxa"/>
            <w:vAlign w:val="bottom"/>
          </w:tcPr>
          <w:p w14:paraId="759A0652" w14:textId="77777777" w:rsidR="00D1587D" w:rsidRDefault="00410D07">
            <w:pPr>
              <w:jc w:val="right"/>
              <w:rPr>
                <w:sz w:val="20"/>
                <w:szCs w:val="20"/>
              </w:rPr>
            </w:pPr>
            <w:r>
              <w:rPr>
                <w:rFonts w:ascii="Arial" w:eastAsia="Arial" w:hAnsi="Arial" w:cs="Arial"/>
                <w:sz w:val="18"/>
                <w:szCs w:val="18"/>
              </w:rPr>
              <w:t>11</w:t>
            </w:r>
          </w:p>
        </w:tc>
        <w:tc>
          <w:tcPr>
            <w:tcW w:w="0" w:type="dxa"/>
            <w:vAlign w:val="bottom"/>
          </w:tcPr>
          <w:p w14:paraId="30F16662" w14:textId="77777777" w:rsidR="00D1587D" w:rsidRDefault="00D1587D">
            <w:pPr>
              <w:rPr>
                <w:sz w:val="1"/>
                <w:szCs w:val="1"/>
              </w:rPr>
            </w:pPr>
          </w:p>
        </w:tc>
      </w:tr>
      <w:tr w:rsidR="00D1587D" w14:paraId="17CB2824" w14:textId="77777777">
        <w:trPr>
          <w:trHeight w:val="230"/>
        </w:trPr>
        <w:tc>
          <w:tcPr>
            <w:tcW w:w="10820" w:type="dxa"/>
            <w:gridSpan w:val="2"/>
            <w:vAlign w:val="bottom"/>
          </w:tcPr>
          <w:p w14:paraId="4AE114FF" w14:textId="77777777" w:rsidR="00D1587D" w:rsidRDefault="00410D07">
            <w:pPr>
              <w:rPr>
                <w:sz w:val="20"/>
                <w:szCs w:val="20"/>
              </w:rPr>
            </w:pPr>
            <w:r>
              <w:rPr>
                <w:rFonts w:ascii="Arial" w:eastAsia="Arial" w:hAnsi="Arial" w:cs="Arial"/>
                <w:sz w:val="18"/>
                <w:szCs w:val="18"/>
              </w:rPr>
              <w:t xml:space="preserve">Section 4.02.  </w:t>
            </w:r>
            <w:r>
              <w:rPr>
                <w:rFonts w:ascii="Arial" w:eastAsia="Arial" w:hAnsi="Arial" w:cs="Arial"/>
                <w:i/>
                <w:iCs/>
                <w:sz w:val="18"/>
                <w:szCs w:val="18"/>
              </w:rPr>
              <w:t>Transfer of Transition Employees</w:t>
            </w:r>
          </w:p>
        </w:tc>
        <w:tc>
          <w:tcPr>
            <w:tcW w:w="420" w:type="dxa"/>
            <w:vAlign w:val="bottom"/>
          </w:tcPr>
          <w:p w14:paraId="37EF63E9" w14:textId="77777777" w:rsidR="00D1587D" w:rsidRDefault="00410D07">
            <w:pPr>
              <w:jc w:val="right"/>
              <w:rPr>
                <w:sz w:val="20"/>
                <w:szCs w:val="20"/>
              </w:rPr>
            </w:pPr>
            <w:r>
              <w:rPr>
                <w:rFonts w:ascii="Arial" w:eastAsia="Arial" w:hAnsi="Arial" w:cs="Arial"/>
                <w:sz w:val="18"/>
                <w:szCs w:val="18"/>
              </w:rPr>
              <w:t>12</w:t>
            </w:r>
          </w:p>
        </w:tc>
        <w:tc>
          <w:tcPr>
            <w:tcW w:w="0" w:type="dxa"/>
            <w:vAlign w:val="bottom"/>
          </w:tcPr>
          <w:p w14:paraId="75D8C359" w14:textId="77777777" w:rsidR="00D1587D" w:rsidRDefault="00D1587D">
            <w:pPr>
              <w:rPr>
                <w:sz w:val="1"/>
                <w:szCs w:val="1"/>
              </w:rPr>
            </w:pPr>
          </w:p>
        </w:tc>
      </w:tr>
      <w:tr w:rsidR="00D1587D" w14:paraId="7FE1BEF0" w14:textId="77777777">
        <w:trPr>
          <w:trHeight w:val="418"/>
        </w:trPr>
        <w:tc>
          <w:tcPr>
            <w:tcW w:w="1040" w:type="dxa"/>
            <w:vAlign w:val="bottom"/>
          </w:tcPr>
          <w:p w14:paraId="67CFBBD3" w14:textId="77777777" w:rsidR="00D1587D" w:rsidRDefault="00D1587D">
            <w:pPr>
              <w:rPr>
                <w:sz w:val="24"/>
                <w:szCs w:val="24"/>
              </w:rPr>
            </w:pPr>
          </w:p>
        </w:tc>
        <w:tc>
          <w:tcPr>
            <w:tcW w:w="9780" w:type="dxa"/>
            <w:vAlign w:val="bottom"/>
          </w:tcPr>
          <w:p w14:paraId="27658A2F" w14:textId="77777777" w:rsidR="00D1587D" w:rsidRDefault="00410D07">
            <w:pPr>
              <w:ind w:right="530"/>
              <w:jc w:val="center"/>
              <w:rPr>
                <w:sz w:val="20"/>
                <w:szCs w:val="20"/>
              </w:rPr>
            </w:pPr>
            <w:r>
              <w:rPr>
                <w:rFonts w:ascii="Arial" w:eastAsia="Arial" w:hAnsi="Arial" w:cs="Arial"/>
                <w:w w:val="96"/>
                <w:sz w:val="18"/>
                <w:szCs w:val="18"/>
              </w:rPr>
              <w:t>ARTICLE 5</w:t>
            </w:r>
          </w:p>
        </w:tc>
        <w:tc>
          <w:tcPr>
            <w:tcW w:w="420" w:type="dxa"/>
            <w:vAlign w:val="bottom"/>
          </w:tcPr>
          <w:p w14:paraId="7D730290" w14:textId="77777777" w:rsidR="00D1587D" w:rsidRDefault="00D1587D">
            <w:pPr>
              <w:rPr>
                <w:sz w:val="24"/>
                <w:szCs w:val="24"/>
              </w:rPr>
            </w:pPr>
          </w:p>
        </w:tc>
        <w:tc>
          <w:tcPr>
            <w:tcW w:w="0" w:type="dxa"/>
            <w:vAlign w:val="bottom"/>
          </w:tcPr>
          <w:p w14:paraId="4036582E" w14:textId="77777777" w:rsidR="00D1587D" w:rsidRDefault="00D1587D">
            <w:pPr>
              <w:rPr>
                <w:sz w:val="1"/>
                <w:szCs w:val="1"/>
              </w:rPr>
            </w:pPr>
          </w:p>
        </w:tc>
      </w:tr>
      <w:tr w:rsidR="00D1587D" w14:paraId="178D6778" w14:textId="77777777">
        <w:trPr>
          <w:trHeight w:val="230"/>
        </w:trPr>
        <w:tc>
          <w:tcPr>
            <w:tcW w:w="1040" w:type="dxa"/>
            <w:vAlign w:val="bottom"/>
          </w:tcPr>
          <w:p w14:paraId="1267026A" w14:textId="77777777" w:rsidR="00D1587D" w:rsidRDefault="00D1587D">
            <w:pPr>
              <w:rPr>
                <w:sz w:val="20"/>
                <w:szCs w:val="20"/>
              </w:rPr>
            </w:pPr>
          </w:p>
        </w:tc>
        <w:tc>
          <w:tcPr>
            <w:tcW w:w="9780" w:type="dxa"/>
            <w:vAlign w:val="bottom"/>
          </w:tcPr>
          <w:p w14:paraId="14D44E7D" w14:textId="77777777" w:rsidR="00D1587D" w:rsidRDefault="00410D07">
            <w:pPr>
              <w:ind w:right="510"/>
              <w:jc w:val="center"/>
              <w:rPr>
                <w:sz w:val="20"/>
                <w:szCs w:val="20"/>
              </w:rPr>
            </w:pPr>
            <w:r>
              <w:rPr>
                <w:rFonts w:ascii="Arial" w:eastAsia="Arial" w:hAnsi="Arial" w:cs="Arial"/>
                <w:sz w:val="18"/>
                <w:szCs w:val="18"/>
              </w:rPr>
              <w:t>CONFIDENTIALITY</w:t>
            </w:r>
          </w:p>
        </w:tc>
        <w:tc>
          <w:tcPr>
            <w:tcW w:w="420" w:type="dxa"/>
            <w:vAlign w:val="bottom"/>
          </w:tcPr>
          <w:p w14:paraId="2FD3CACE" w14:textId="77777777" w:rsidR="00D1587D" w:rsidRDefault="00D1587D">
            <w:pPr>
              <w:rPr>
                <w:sz w:val="20"/>
                <w:szCs w:val="20"/>
              </w:rPr>
            </w:pPr>
          </w:p>
        </w:tc>
        <w:tc>
          <w:tcPr>
            <w:tcW w:w="0" w:type="dxa"/>
            <w:vAlign w:val="bottom"/>
          </w:tcPr>
          <w:p w14:paraId="6B181FEB" w14:textId="77777777" w:rsidR="00D1587D" w:rsidRDefault="00D1587D">
            <w:pPr>
              <w:rPr>
                <w:sz w:val="1"/>
                <w:szCs w:val="1"/>
              </w:rPr>
            </w:pPr>
          </w:p>
        </w:tc>
      </w:tr>
      <w:tr w:rsidR="00D1587D" w14:paraId="1667BDF4" w14:textId="77777777">
        <w:trPr>
          <w:trHeight w:val="418"/>
        </w:trPr>
        <w:tc>
          <w:tcPr>
            <w:tcW w:w="1040" w:type="dxa"/>
            <w:vAlign w:val="bottom"/>
          </w:tcPr>
          <w:p w14:paraId="26C72C0E" w14:textId="77777777" w:rsidR="00D1587D" w:rsidRDefault="00410D07">
            <w:pPr>
              <w:rPr>
                <w:sz w:val="20"/>
                <w:szCs w:val="20"/>
              </w:rPr>
            </w:pPr>
            <w:r>
              <w:rPr>
                <w:rFonts w:ascii="Arial" w:eastAsia="Arial" w:hAnsi="Arial" w:cs="Arial"/>
                <w:w w:val="97"/>
                <w:sz w:val="18"/>
                <w:szCs w:val="18"/>
              </w:rPr>
              <w:t>Section 5.01.</w:t>
            </w:r>
          </w:p>
        </w:tc>
        <w:tc>
          <w:tcPr>
            <w:tcW w:w="9780" w:type="dxa"/>
            <w:vAlign w:val="bottom"/>
          </w:tcPr>
          <w:p w14:paraId="41F1D72C" w14:textId="77777777" w:rsidR="00D1587D" w:rsidRDefault="00410D07">
            <w:pPr>
              <w:ind w:left="100"/>
              <w:rPr>
                <w:sz w:val="20"/>
                <w:szCs w:val="20"/>
              </w:rPr>
            </w:pPr>
            <w:r>
              <w:rPr>
                <w:rFonts w:ascii="Arial" w:eastAsia="Arial" w:hAnsi="Arial" w:cs="Arial"/>
                <w:i/>
                <w:iCs/>
                <w:sz w:val="18"/>
                <w:szCs w:val="18"/>
              </w:rPr>
              <w:t>Confidentiality</w:t>
            </w:r>
          </w:p>
        </w:tc>
        <w:tc>
          <w:tcPr>
            <w:tcW w:w="420" w:type="dxa"/>
            <w:vAlign w:val="bottom"/>
          </w:tcPr>
          <w:p w14:paraId="75D894C3" w14:textId="77777777" w:rsidR="00D1587D" w:rsidRDefault="00410D07">
            <w:pPr>
              <w:jc w:val="right"/>
              <w:rPr>
                <w:sz w:val="20"/>
                <w:szCs w:val="20"/>
              </w:rPr>
            </w:pPr>
            <w:r>
              <w:rPr>
                <w:rFonts w:ascii="Arial" w:eastAsia="Arial" w:hAnsi="Arial" w:cs="Arial"/>
                <w:sz w:val="18"/>
                <w:szCs w:val="18"/>
              </w:rPr>
              <w:t>13</w:t>
            </w:r>
          </w:p>
        </w:tc>
        <w:tc>
          <w:tcPr>
            <w:tcW w:w="0" w:type="dxa"/>
            <w:vAlign w:val="bottom"/>
          </w:tcPr>
          <w:p w14:paraId="10CFFE9E" w14:textId="77777777" w:rsidR="00D1587D" w:rsidRDefault="00D1587D">
            <w:pPr>
              <w:rPr>
                <w:sz w:val="1"/>
                <w:szCs w:val="1"/>
              </w:rPr>
            </w:pPr>
          </w:p>
        </w:tc>
      </w:tr>
      <w:tr w:rsidR="00D1587D" w14:paraId="649AC939" w14:textId="77777777">
        <w:trPr>
          <w:trHeight w:val="216"/>
        </w:trPr>
        <w:tc>
          <w:tcPr>
            <w:tcW w:w="10820" w:type="dxa"/>
            <w:gridSpan w:val="2"/>
            <w:vAlign w:val="bottom"/>
          </w:tcPr>
          <w:p w14:paraId="24EF0937" w14:textId="77777777" w:rsidR="00D1587D" w:rsidRDefault="00410D07">
            <w:pPr>
              <w:rPr>
                <w:sz w:val="20"/>
                <w:szCs w:val="20"/>
              </w:rPr>
            </w:pPr>
            <w:r>
              <w:rPr>
                <w:rFonts w:ascii="Arial" w:eastAsia="Arial" w:hAnsi="Arial" w:cs="Arial"/>
                <w:sz w:val="18"/>
                <w:szCs w:val="18"/>
              </w:rPr>
              <w:t xml:space="preserve">Section 5.02.  </w:t>
            </w:r>
            <w:r>
              <w:rPr>
                <w:rFonts w:ascii="Arial" w:eastAsia="Arial" w:hAnsi="Arial" w:cs="Arial"/>
                <w:i/>
                <w:iCs/>
                <w:sz w:val="18"/>
                <w:szCs w:val="18"/>
              </w:rPr>
              <w:t>No Rights to Confidential Information</w:t>
            </w:r>
          </w:p>
        </w:tc>
        <w:tc>
          <w:tcPr>
            <w:tcW w:w="420" w:type="dxa"/>
            <w:vAlign w:val="bottom"/>
          </w:tcPr>
          <w:p w14:paraId="01415914" w14:textId="77777777" w:rsidR="00D1587D" w:rsidRDefault="00410D07">
            <w:pPr>
              <w:jc w:val="right"/>
              <w:rPr>
                <w:sz w:val="20"/>
                <w:szCs w:val="20"/>
              </w:rPr>
            </w:pPr>
            <w:r>
              <w:rPr>
                <w:rFonts w:ascii="Arial" w:eastAsia="Arial" w:hAnsi="Arial" w:cs="Arial"/>
                <w:sz w:val="18"/>
                <w:szCs w:val="18"/>
              </w:rPr>
              <w:t>13</w:t>
            </w:r>
          </w:p>
        </w:tc>
        <w:tc>
          <w:tcPr>
            <w:tcW w:w="0" w:type="dxa"/>
            <w:vAlign w:val="bottom"/>
          </w:tcPr>
          <w:p w14:paraId="4302FC6D" w14:textId="77777777" w:rsidR="00D1587D" w:rsidRDefault="00D1587D">
            <w:pPr>
              <w:rPr>
                <w:sz w:val="1"/>
                <w:szCs w:val="1"/>
              </w:rPr>
            </w:pPr>
          </w:p>
        </w:tc>
      </w:tr>
      <w:tr w:rsidR="00D1587D" w14:paraId="6648200D" w14:textId="77777777">
        <w:trPr>
          <w:trHeight w:val="216"/>
        </w:trPr>
        <w:tc>
          <w:tcPr>
            <w:tcW w:w="10820" w:type="dxa"/>
            <w:gridSpan w:val="2"/>
            <w:vAlign w:val="bottom"/>
          </w:tcPr>
          <w:p w14:paraId="21267D08" w14:textId="77777777" w:rsidR="00D1587D" w:rsidRDefault="00410D07">
            <w:pPr>
              <w:rPr>
                <w:sz w:val="20"/>
                <w:szCs w:val="20"/>
              </w:rPr>
            </w:pPr>
            <w:r>
              <w:rPr>
                <w:rFonts w:ascii="Arial" w:eastAsia="Arial" w:hAnsi="Arial" w:cs="Arial"/>
                <w:sz w:val="18"/>
                <w:szCs w:val="18"/>
              </w:rPr>
              <w:t xml:space="preserve">Section 5.03.  </w:t>
            </w:r>
            <w:r>
              <w:rPr>
                <w:rFonts w:ascii="Arial" w:eastAsia="Arial" w:hAnsi="Arial" w:cs="Arial"/>
                <w:i/>
                <w:iCs/>
                <w:sz w:val="18"/>
                <w:szCs w:val="18"/>
              </w:rPr>
              <w:t>Third Party Non-Disclosure Agreements</w:t>
            </w:r>
          </w:p>
        </w:tc>
        <w:tc>
          <w:tcPr>
            <w:tcW w:w="420" w:type="dxa"/>
            <w:vAlign w:val="bottom"/>
          </w:tcPr>
          <w:p w14:paraId="5C974FE8" w14:textId="77777777" w:rsidR="00D1587D" w:rsidRDefault="00410D07">
            <w:pPr>
              <w:jc w:val="right"/>
              <w:rPr>
                <w:sz w:val="20"/>
                <w:szCs w:val="20"/>
              </w:rPr>
            </w:pPr>
            <w:r>
              <w:rPr>
                <w:rFonts w:ascii="Arial" w:eastAsia="Arial" w:hAnsi="Arial" w:cs="Arial"/>
                <w:sz w:val="18"/>
                <w:szCs w:val="18"/>
              </w:rPr>
              <w:t>13</w:t>
            </w:r>
          </w:p>
        </w:tc>
        <w:tc>
          <w:tcPr>
            <w:tcW w:w="0" w:type="dxa"/>
            <w:vAlign w:val="bottom"/>
          </w:tcPr>
          <w:p w14:paraId="33E1535F" w14:textId="77777777" w:rsidR="00D1587D" w:rsidRDefault="00D1587D">
            <w:pPr>
              <w:rPr>
                <w:sz w:val="1"/>
                <w:szCs w:val="1"/>
              </w:rPr>
            </w:pPr>
          </w:p>
        </w:tc>
      </w:tr>
      <w:tr w:rsidR="00D1587D" w14:paraId="70D37CAF" w14:textId="77777777">
        <w:trPr>
          <w:trHeight w:val="230"/>
        </w:trPr>
        <w:tc>
          <w:tcPr>
            <w:tcW w:w="1040" w:type="dxa"/>
            <w:vAlign w:val="bottom"/>
          </w:tcPr>
          <w:p w14:paraId="780289EE" w14:textId="77777777" w:rsidR="00D1587D" w:rsidRDefault="00410D07">
            <w:pPr>
              <w:rPr>
                <w:sz w:val="20"/>
                <w:szCs w:val="20"/>
              </w:rPr>
            </w:pPr>
            <w:r>
              <w:rPr>
                <w:rFonts w:ascii="Arial" w:eastAsia="Arial" w:hAnsi="Arial" w:cs="Arial"/>
                <w:w w:val="97"/>
                <w:sz w:val="18"/>
                <w:szCs w:val="18"/>
              </w:rPr>
              <w:t>Section 5.04.</w:t>
            </w:r>
          </w:p>
        </w:tc>
        <w:tc>
          <w:tcPr>
            <w:tcW w:w="9780" w:type="dxa"/>
            <w:vAlign w:val="bottom"/>
          </w:tcPr>
          <w:p w14:paraId="14726F4B" w14:textId="77777777" w:rsidR="00D1587D" w:rsidRDefault="00410D07">
            <w:pPr>
              <w:ind w:left="100"/>
              <w:rPr>
                <w:sz w:val="20"/>
                <w:szCs w:val="20"/>
              </w:rPr>
            </w:pPr>
            <w:r>
              <w:rPr>
                <w:rFonts w:ascii="Arial" w:eastAsia="Arial" w:hAnsi="Arial" w:cs="Arial"/>
                <w:i/>
                <w:iCs/>
                <w:sz w:val="18"/>
                <w:szCs w:val="18"/>
              </w:rPr>
              <w:t>Safeguards</w:t>
            </w:r>
          </w:p>
        </w:tc>
        <w:tc>
          <w:tcPr>
            <w:tcW w:w="420" w:type="dxa"/>
            <w:vAlign w:val="bottom"/>
          </w:tcPr>
          <w:p w14:paraId="05243F3B" w14:textId="77777777" w:rsidR="00D1587D" w:rsidRDefault="00410D07">
            <w:pPr>
              <w:jc w:val="right"/>
              <w:rPr>
                <w:sz w:val="20"/>
                <w:szCs w:val="20"/>
              </w:rPr>
            </w:pPr>
            <w:r>
              <w:rPr>
                <w:rFonts w:ascii="Arial" w:eastAsia="Arial" w:hAnsi="Arial" w:cs="Arial"/>
                <w:sz w:val="18"/>
                <w:szCs w:val="18"/>
              </w:rPr>
              <w:t>13</w:t>
            </w:r>
          </w:p>
        </w:tc>
        <w:tc>
          <w:tcPr>
            <w:tcW w:w="0" w:type="dxa"/>
            <w:vAlign w:val="bottom"/>
          </w:tcPr>
          <w:p w14:paraId="5A9A69A3" w14:textId="77777777" w:rsidR="00D1587D" w:rsidRDefault="00D1587D">
            <w:pPr>
              <w:rPr>
                <w:sz w:val="1"/>
                <w:szCs w:val="1"/>
              </w:rPr>
            </w:pPr>
          </w:p>
        </w:tc>
      </w:tr>
    </w:tbl>
    <w:p w14:paraId="7C634A0B" w14:textId="77777777" w:rsidR="00D1587D" w:rsidRDefault="00D1587D">
      <w:pPr>
        <w:spacing w:line="400" w:lineRule="exact"/>
        <w:rPr>
          <w:sz w:val="20"/>
          <w:szCs w:val="20"/>
        </w:rPr>
      </w:pPr>
    </w:p>
    <w:p w14:paraId="081C8D99" w14:textId="77777777" w:rsidR="00D1587D" w:rsidRDefault="00410D07">
      <w:pPr>
        <w:jc w:val="center"/>
        <w:rPr>
          <w:sz w:val="20"/>
          <w:szCs w:val="20"/>
        </w:rPr>
      </w:pPr>
      <w:r>
        <w:rPr>
          <w:rFonts w:ascii="Arial" w:eastAsia="Arial" w:hAnsi="Arial" w:cs="Arial"/>
          <w:sz w:val="14"/>
          <w:szCs w:val="14"/>
        </w:rPr>
        <w:t>i</w:t>
      </w:r>
    </w:p>
    <w:p w14:paraId="4A70D4F6" w14:textId="77777777" w:rsidR="00D1587D" w:rsidRDefault="00410D07">
      <w:pPr>
        <w:spacing w:line="20" w:lineRule="exact"/>
        <w:rPr>
          <w:sz w:val="20"/>
          <w:szCs w:val="20"/>
        </w:rPr>
      </w:pPr>
      <w:r>
        <w:rPr>
          <w:noProof/>
          <w:sz w:val="20"/>
          <w:szCs w:val="20"/>
        </w:rPr>
        <w:drawing>
          <wp:anchor distT="0" distB="0" distL="114300" distR="114300" simplePos="0" relativeHeight="251237376" behindDoc="1" locked="0" layoutInCell="0" allowOverlap="1" wp14:anchorId="30FA212C" wp14:editId="06D7751F">
            <wp:simplePos x="0" y="0"/>
            <wp:positionH relativeFrom="column">
              <wp:posOffset>5080</wp:posOffset>
            </wp:positionH>
            <wp:positionV relativeFrom="paragraph">
              <wp:posOffset>38100</wp:posOffset>
            </wp:positionV>
            <wp:extent cx="7132320" cy="1714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5A6CBEA" w14:textId="77777777" w:rsidR="00D1587D" w:rsidRDefault="00D1587D">
      <w:pPr>
        <w:sectPr w:rsidR="00D1587D">
          <w:pgSz w:w="11900" w:h="16838"/>
          <w:pgMar w:top="111" w:right="339" w:bottom="1440" w:left="320" w:header="0" w:footer="0" w:gutter="0"/>
          <w:cols w:space="720" w:equalWidth="0">
            <w:col w:w="11240"/>
          </w:cols>
        </w:sectPr>
      </w:pPr>
    </w:p>
    <w:tbl>
      <w:tblPr>
        <w:tblW w:w="0" w:type="auto"/>
        <w:tblLayout w:type="fixed"/>
        <w:tblCellMar>
          <w:left w:w="0" w:type="dxa"/>
          <w:right w:w="0" w:type="dxa"/>
        </w:tblCellMar>
        <w:tblLook w:val="04A0" w:firstRow="1" w:lastRow="0" w:firstColumn="1" w:lastColumn="0" w:noHBand="0" w:noVBand="1"/>
      </w:tblPr>
      <w:tblGrid>
        <w:gridCol w:w="1040"/>
        <w:gridCol w:w="8280"/>
        <w:gridCol w:w="1920"/>
      </w:tblGrid>
      <w:tr w:rsidR="00D1587D" w14:paraId="72011341" w14:textId="77777777">
        <w:trPr>
          <w:trHeight w:val="216"/>
        </w:trPr>
        <w:tc>
          <w:tcPr>
            <w:tcW w:w="1040" w:type="dxa"/>
            <w:vAlign w:val="bottom"/>
          </w:tcPr>
          <w:p w14:paraId="4AE9B516" w14:textId="77777777" w:rsidR="00D1587D" w:rsidRDefault="00D1587D">
            <w:pPr>
              <w:rPr>
                <w:sz w:val="18"/>
                <w:szCs w:val="18"/>
              </w:rPr>
            </w:pPr>
            <w:bookmarkStart w:id="88" w:name="page89"/>
            <w:bookmarkEnd w:id="88"/>
          </w:p>
        </w:tc>
        <w:tc>
          <w:tcPr>
            <w:tcW w:w="8280" w:type="dxa"/>
            <w:vAlign w:val="bottom"/>
          </w:tcPr>
          <w:p w14:paraId="02D4E81C" w14:textId="77777777" w:rsidR="00D1587D" w:rsidRDefault="00410D07">
            <w:pPr>
              <w:ind w:left="790"/>
              <w:jc w:val="center"/>
              <w:rPr>
                <w:sz w:val="20"/>
                <w:szCs w:val="20"/>
              </w:rPr>
            </w:pPr>
            <w:r>
              <w:rPr>
                <w:rFonts w:ascii="Arial" w:eastAsia="Arial" w:hAnsi="Arial" w:cs="Arial"/>
                <w:w w:val="96"/>
                <w:sz w:val="18"/>
                <w:szCs w:val="18"/>
              </w:rPr>
              <w:t>ARTICLE 6</w:t>
            </w:r>
          </w:p>
        </w:tc>
        <w:tc>
          <w:tcPr>
            <w:tcW w:w="1920" w:type="dxa"/>
            <w:vAlign w:val="bottom"/>
          </w:tcPr>
          <w:p w14:paraId="3CD928DA" w14:textId="77777777" w:rsidR="00D1587D" w:rsidRDefault="00D1587D">
            <w:pPr>
              <w:rPr>
                <w:sz w:val="18"/>
                <w:szCs w:val="18"/>
              </w:rPr>
            </w:pPr>
          </w:p>
        </w:tc>
      </w:tr>
      <w:tr w:rsidR="00D1587D" w14:paraId="37B893EC" w14:textId="77777777">
        <w:trPr>
          <w:trHeight w:val="230"/>
        </w:trPr>
        <w:tc>
          <w:tcPr>
            <w:tcW w:w="1040" w:type="dxa"/>
            <w:vAlign w:val="bottom"/>
          </w:tcPr>
          <w:p w14:paraId="2E4C9036" w14:textId="77777777" w:rsidR="00D1587D" w:rsidRDefault="00D1587D">
            <w:pPr>
              <w:rPr>
                <w:sz w:val="20"/>
                <w:szCs w:val="20"/>
              </w:rPr>
            </w:pPr>
          </w:p>
        </w:tc>
        <w:tc>
          <w:tcPr>
            <w:tcW w:w="8280" w:type="dxa"/>
            <w:vAlign w:val="bottom"/>
          </w:tcPr>
          <w:p w14:paraId="4A453B29" w14:textId="77777777" w:rsidR="00D1587D" w:rsidRDefault="00410D07">
            <w:pPr>
              <w:ind w:left="790"/>
              <w:jc w:val="center"/>
              <w:rPr>
                <w:sz w:val="20"/>
                <w:szCs w:val="20"/>
              </w:rPr>
            </w:pPr>
            <w:r>
              <w:rPr>
                <w:rFonts w:ascii="Arial" w:eastAsia="Arial" w:hAnsi="Arial" w:cs="Arial"/>
                <w:sz w:val="18"/>
                <w:szCs w:val="18"/>
              </w:rPr>
              <w:t>INDEMNIFICATION; LIMITATION OF LIABILITY</w:t>
            </w:r>
          </w:p>
        </w:tc>
        <w:tc>
          <w:tcPr>
            <w:tcW w:w="1920" w:type="dxa"/>
            <w:vAlign w:val="bottom"/>
          </w:tcPr>
          <w:p w14:paraId="5CFB820A" w14:textId="77777777" w:rsidR="00D1587D" w:rsidRDefault="00D1587D">
            <w:pPr>
              <w:rPr>
                <w:sz w:val="20"/>
                <w:szCs w:val="20"/>
              </w:rPr>
            </w:pPr>
          </w:p>
        </w:tc>
      </w:tr>
      <w:tr w:rsidR="00D1587D" w14:paraId="0CBF6FB3" w14:textId="77777777">
        <w:trPr>
          <w:trHeight w:val="418"/>
        </w:trPr>
        <w:tc>
          <w:tcPr>
            <w:tcW w:w="1040" w:type="dxa"/>
            <w:vAlign w:val="bottom"/>
          </w:tcPr>
          <w:p w14:paraId="3F0F99DA" w14:textId="77777777" w:rsidR="00D1587D" w:rsidRDefault="00410D07">
            <w:pPr>
              <w:rPr>
                <w:sz w:val="20"/>
                <w:szCs w:val="20"/>
              </w:rPr>
            </w:pPr>
            <w:r>
              <w:rPr>
                <w:rFonts w:ascii="Arial" w:eastAsia="Arial" w:hAnsi="Arial" w:cs="Arial"/>
                <w:w w:val="97"/>
                <w:sz w:val="18"/>
                <w:szCs w:val="18"/>
              </w:rPr>
              <w:t>Section 6.01.</w:t>
            </w:r>
          </w:p>
        </w:tc>
        <w:tc>
          <w:tcPr>
            <w:tcW w:w="8280" w:type="dxa"/>
            <w:vAlign w:val="bottom"/>
          </w:tcPr>
          <w:p w14:paraId="548E2739" w14:textId="77777777" w:rsidR="00D1587D" w:rsidRDefault="00410D07">
            <w:pPr>
              <w:ind w:left="100"/>
              <w:rPr>
                <w:sz w:val="20"/>
                <w:szCs w:val="20"/>
              </w:rPr>
            </w:pPr>
            <w:r>
              <w:rPr>
                <w:rFonts w:ascii="Arial" w:eastAsia="Arial" w:hAnsi="Arial" w:cs="Arial"/>
                <w:i/>
                <w:iCs/>
                <w:sz w:val="18"/>
                <w:szCs w:val="18"/>
              </w:rPr>
              <w:t>Indemnification</w:t>
            </w:r>
          </w:p>
        </w:tc>
        <w:tc>
          <w:tcPr>
            <w:tcW w:w="1920" w:type="dxa"/>
            <w:vAlign w:val="bottom"/>
          </w:tcPr>
          <w:p w14:paraId="6C83862D" w14:textId="77777777" w:rsidR="00D1587D" w:rsidRDefault="00410D07">
            <w:pPr>
              <w:jc w:val="right"/>
              <w:rPr>
                <w:sz w:val="20"/>
                <w:szCs w:val="20"/>
              </w:rPr>
            </w:pPr>
            <w:r>
              <w:rPr>
                <w:rFonts w:ascii="Arial" w:eastAsia="Arial" w:hAnsi="Arial" w:cs="Arial"/>
                <w:sz w:val="18"/>
                <w:szCs w:val="18"/>
              </w:rPr>
              <w:t>13</w:t>
            </w:r>
          </w:p>
        </w:tc>
      </w:tr>
      <w:tr w:rsidR="00D1587D" w14:paraId="2FBB14C3" w14:textId="77777777">
        <w:trPr>
          <w:trHeight w:val="216"/>
        </w:trPr>
        <w:tc>
          <w:tcPr>
            <w:tcW w:w="9320" w:type="dxa"/>
            <w:gridSpan w:val="2"/>
            <w:vAlign w:val="bottom"/>
          </w:tcPr>
          <w:p w14:paraId="272CE98A" w14:textId="77777777" w:rsidR="00D1587D" w:rsidRDefault="00410D07">
            <w:pPr>
              <w:rPr>
                <w:sz w:val="20"/>
                <w:szCs w:val="20"/>
              </w:rPr>
            </w:pPr>
            <w:r>
              <w:rPr>
                <w:rFonts w:ascii="Arial" w:eastAsia="Arial" w:hAnsi="Arial" w:cs="Arial"/>
                <w:sz w:val="18"/>
                <w:szCs w:val="18"/>
              </w:rPr>
              <w:t xml:space="preserve">Section 6.02.  </w:t>
            </w:r>
            <w:r>
              <w:rPr>
                <w:rFonts w:ascii="Arial" w:eastAsia="Arial" w:hAnsi="Arial" w:cs="Arial"/>
                <w:i/>
                <w:iCs/>
                <w:sz w:val="18"/>
                <w:szCs w:val="18"/>
              </w:rPr>
              <w:t>Third Party Claim Procedures</w:t>
            </w:r>
          </w:p>
        </w:tc>
        <w:tc>
          <w:tcPr>
            <w:tcW w:w="1920" w:type="dxa"/>
            <w:vAlign w:val="bottom"/>
          </w:tcPr>
          <w:p w14:paraId="01081FDD" w14:textId="77777777" w:rsidR="00D1587D" w:rsidRDefault="00410D07">
            <w:pPr>
              <w:jc w:val="right"/>
              <w:rPr>
                <w:sz w:val="20"/>
                <w:szCs w:val="20"/>
              </w:rPr>
            </w:pPr>
            <w:r>
              <w:rPr>
                <w:rFonts w:ascii="Arial" w:eastAsia="Arial" w:hAnsi="Arial" w:cs="Arial"/>
                <w:sz w:val="18"/>
                <w:szCs w:val="18"/>
              </w:rPr>
              <w:t>14</w:t>
            </w:r>
          </w:p>
        </w:tc>
      </w:tr>
      <w:tr w:rsidR="00D1587D" w14:paraId="2F7F3799" w14:textId="77777777">
        <w:trPr>
          <w:trHeight w:val="216"/>
        </w:trPr>
        <w:tc>
          <w:tcPr>
            <w:tcW w:w="9320" w:type="dxa"/>
            <w:gridSpan w:val="2"/>
            <w:vAlign w:val="bottom"/>
          </w:tcPr>
          <w:p w14:paraId="37184E84" w14:textId="77777777" w:rsidR="00D1587D" w:rsidRDefault="00410D07">
            <w:pPr>
              <w:rPr>
                <w:sz w:val="20"/>
                <w:szCs w:val="20"/>
              </w:rPr>
            </w:pPr>
            <w:r>
              <w:rPr>
                <w:rFonts w:ascii="Arial" w:eastAsia="Arial" w:hAnsi="Arial" w:cs="Arial"/>
                <w:sz w:val="18"/>
                <w:szCs w:val="18"/>
              </w:rPr>
              <w:t xml:space="preserve">Section 6.03.  </w:t>
            </w:r>
            <w:r>
              <w:rPr>
                <w:rFonts w:ascii="Arial" w:eastAsia="Arial" w:hAnsi="Arial" w:cs="Arial"/>
                <w:i/>
                <w:iCs/>
                <w:sz w:val="18"/>
                <w:szCs w:val="18"/>
              </w:rPr>
              <w:t>Direct Claim Procedure</w:t>
            </w:r>
            <w:r>
              <w:rPr>
                <w:rFonts w:ascii="Arial" w:eastAsia="Arial" w:hAnsi="Arial" w:cs="Arial"/>
                <w:sz w:val="18"/>
                <w:szCs w:val="18"/>
              </w:rPr>
              <w:t>s</w:t>
            </w:r>
          </w:p>
        </w:tc>
        <w:tc>
          <w:tcPr>
            <w:tcW w:w="1920" w:type="dxa"/>
            <w:vAlign w:val="bottom"/>
          </w:tcPr>
          <w:p w14:paraId="3A88DC7B" w14:textId="77777777" w:rsidR="00D1587D" w:rsidRDefault="00410D07">
            <w:pPr>
              <w:jc w:val="right"/>
              <w:rPr>
                <w:sz w:val="20"/>
                <w:szCs w:val="20"/>
              </w:rPr>
            </w:pPr>
            <w:r>
              <w:rPr>
                <w:rFonts w:ascii="Arial" w:eastAsia="Arial" w:hAnsi="Arial" w:cs="Arial"/>
                <w:sz w:val="18"/>
                <w:szCs w:val="18"/>
              </w:rPr>
              <w:t>14</w:t>
            </w:r>
          </w:p>
        </w:tc>
      </w:tr>
      <w:tr w:rsidR="00D1587D" w14:paraId="3E5CCA88" w14:textId="77777777">
        <w:trPr>
          <w:trHeight w:val="216"/>
        </w:trPr>
        <w:tc>
          <w:tcPr>
            <w:tcW w:w="9320" w:type="dxa"/>
            <w:gridSpan w:val="2"/>
            <w:vAlign w:val="bottom"/>
          </w:tcPr>
          <w:p w14:paraId="3E84A50D" w14:textId="77777777" w:rsidR="00D1587D" w:rsidRDefault="00410D07">
            <w:pPr>
              <w:rPr>
                <w:sz w:val="20"/>
                <w:szCs w:val="20"/>
              </w:rPr>
            </w:pPr>
            <w:r>
              <w:rPr>
                <w:rFonts w:ascii="Arial" w:eastAsia="Arial" w:hAnsi="Arial" w:cs="Arial"/>
                <w:sz w:val="18"/>
                <w:szCs w:val="18"/>
              </w:rPr>
              <w:t xml:space="preserve">Section 6.04.  </w:t>
            </w:r>
            <w:r>
              <w:rPr>
                <w:rFonts w:ascii="Arial" w:eastAsia="Arial" w:hAnsi="Arial" w:cs="Arial"/>
                <w:i/>
                <w:iCs/>
                <w:sz w:val="18"/>
                <w:szCs w:val="18"/>
              </w:rPr>
              <w:t>Calculation of Damages</w:t>
            </w:r>
          </w:p>
        </w:tc>
        <w:tc>
          <w:tcPr>
            <w:tcW w:w="1920" w:type="dxa"/>
            <w:vAlign w:val="bottom"/>
          </w:tcPr>
          <w:p w14:paraId="01BCAD9B" w14:textId="77777777" w:rsidR="00D1587D" w:rsidRDefault="00410D07">
            <w:pPr>
              <w:jc w:val="right"/>
              <w:rPr>
                <w:sz w:val="20"/>
                <w:szCs w:val="20"/>
              </w:rPr>
            </w:pPr>
            <w:r>
              <w:rPr>
                <w:rFonts w:ascii="Arial" w:eastAsia="Arial" w:hAnsi="Arial" w:cs="Arial"/>
                <w:sz w:val="18"/>
                <w:szCs w:val="18"/>
              </w:rPr>
              <w:t>15</w:t>
            </w:r>
          </w:p>
        </w:tc>
      </w:tr>
      <w:tr w:rsidR="00D1587D" w14:paraId="7D8884AD" w14:textId="77777777">
        <w:trPr>
          <w:trHeight w:val="216"/>
        </w:trPr>
        <w:tc>
          <w:tcPr>
            <w:tcW w:w="1040" w:type="dxa"/>
            <w:vAlign w:val="bottom"/>
          </w:tcPr>
          <w:p w14:paraId="08D2983B" w14:textId="77777777" w:rsidR="00D1587D" w:rsidRDefault="00410D07">
            <w:pPr>
              <w:rPr>
                <w:sz w:val="20"/>
                <w:szCs w:val="20"/>
              </w:rPr>
            </w:pPr>
            <w:r>
              <w:rPr>
                <w:rFonts w:ascii="Arial" w:eastAsia="Arial" w:hAnsi="Arial" w:cs="Arial"/>
                <w:w w:val="97"/>
                <w:sz w:val="18"/>
                <w:szCs w:val="18"/>
              </w:rPr>
              <w:t>Section 6.05.</w:t>
            </w:r>
          </w:p>
        </w:tc>
        <w:tc>
          <w:tcPr>
            <w:tcW w:w="8280" w:type="dxa"/>
            <w:vAlign w:val="bottom"/>
          </w:tcPr>
          <w:p w14:paraId="1226CB3B" w14:textId="77777777" w:rsidR="00D1587D" w:rsidRDefault="00410D07">
            <w:pPr>
              <w:ind w:left="100"/>
              <w:rPr>
                <w:sz w:val="20"/>
                <w:szCs w:val="20"/>
              </w:rPr>
            </w:pPr>
            <w:r>
              <w:rPr>
                <w:rFonts w:ascii="Arial" w:eastAsia="Arial" w:hAnsi="Arial" w:cs="Arial"/>
                <w:i/>
                <w:iCs/>
                <w:sz w:val="18"/>
                <w:szCs w:val="18"/>
              </w:rPr>
              <w:t>No Warranties</w:t>
            </w:r>
          </w:p>
        </w:tc>
        <w:tc>
          <w:tcPr>
            <w:tcW w:w="1920" w:type="dxa"/>
            <w:vAlign w:val="bottom"/>
          </w:tcPr>
          <w:p w14:paraId="754F47F5" w14:textId="77777777" w:rsidR="00D1587D" w:rsidRDefault="00410D07">
            <w:pPr>
              <w:jc w:val="right"/>
              <w:rPr>
                <w:sz w:val="20"/>
                <w:szCs w:val="20"/>
              </w:rPr>
            </w:pPr>
            <w:r>
              <w:rPr>
                <w:rFonts w:ascii="Arial" w:eastAsia="Arial" w:hAnsi="Arial" w:cs="Arial"/>
                <w:sz w:val="18"/>
                <w:szCs w:val="18"/>
              </w:rPr>
              <w:t>15</w:t>
            </w:r>
          </w:p>
        </w:tc>
      </w:tr>
      <w:tr w:rsidR="00D1587D" w14:paraId="2A196546" w14:textId="77777777">
        <w:trPr>
          <w:trHeight w:val="230"/>
        </w:trPr>
        <w:tc>
          <w:tcPr>
            <w:tcW w:w="9320" w:type="dxa"/>
            <w:gridSpan w:val="2"/>
            <w:vAlign w:val="bottom"/>
          </w:tcPr>
          <w:p w14:paraId="7956D8A8" w14:textId="77777777" w:rsidR="00D1587D" w:rsidRDefault="00410D07">
            <w:pPr>
              <w:rPr>
                <w:sz w:val="20"/>
                <w:szCs w:val="20"/>
              </w:rPr>
            </w:pPr>
            <w:r>
              <w:rPr>
                <w:rFonts w:ascii="Arial" w:eastAsia="Arial" w:hAnsi="Arial" w:cs="Arial"/>
                <w:sz w:val="18"/>
                <w:szCs w:val="18"/>
              </w:rPr>
              <w:t xml:space="preserve">Section 6.06.  </w:t>
            </w:r>
            <w:r>
              <w:rPr>
                <w:rFonts w:ascii="Arial" w:eastAsia="Arial" w:hAnsi="Arial" w:cs="Arial"/>
                <w:i/>
                <w:iCs/>
                <w:sz w:val="18"/>
                <w:szCs w:val="18"/>
              </w:rPr>
              <w:t xml:space="preserve">Limitation of Liability; </w:t>
            </w:r>
            <w:r>
              <w:rPr>
                <w:rFonts w:ascii="Arial" w:eastAsia="Arial" w:hAnsi="Arial" w:cs="Arial"/>
                <w:i/>
                <w:iCs/>
                <w:sz w:val="18"/>
                <w:szCs w:val="18"/>
              </w:rPr>
              <w:t>Exclusion of Damages</w:t>
            </w:r>
          </w:p>
        </w:tc>
        <w:tc>
          <w:tcPr>
            <w:tcW w:w="1920" w:type="dxa"/>
            <w:vAlign w:val="bottom"/>
          </w:tcPr>
          <w:p w14:paraId="13C28FF5" w14:textId="77777777" w:rsidR="00D1587D" w:rsidRDefault="00410D07">
            <w:pPr>
              <w:jc w:val="right"/>
              <w:rPr>
                <w:sz w:val="20"/>
                <w:szCs w:val="20"/>
              </w:rPr>
            </w:pPr>
            <w:r>
              <w:rPr>
                <w:rFonts w:ascii="Arial" w:eastAsia="Arial" w:hAnsi="Arial" w:cs="Arial"/>
                <w:sz w:val="18"/>
                <w:szCs w:val="18"/>
              </w:rPr>
              <w:t>15</w:t>
            </w:r>
          </w:p>
        </w:tc>
      </w:tr>
      <w:tr w:rsidR="00D1587D" w14:paraId="59DD9B7D" w14:textId="77777777">
        <w:trPr>
          <w:trHeight w:val="418"/>
        </w:trPr>
        <w:tc>
          <w:tcPr>
            <w:tcW w:w="1040" w:type="dxa"/>
            <w:vAlign w:val="bottom"/>
          </w:tcPr>
          <w:p w14:paraId="2B4EFBE8" w14:textId="77777777" w:rsidR="00D1587D" w:rsidRDefault="00D1587D">
            <w:pPr>
              <w:rPr>
                <w:sz w:val="24"/>
                <w:szCs w:val="24"/>
              </w:rPr>
            </w:pPr>
          </w:p>
        </w:tc>
        <w:tc>
          <w:tcPr>
            <w:tcW w:w="8280" w:type="dxa"/>
            <w:vAlign w:val="bottom"/>
          </w:tcPr>
          <w:p w14:paraId="1022C615" w14:textId="77777777" w:rsidR="00D1587D" w:rsidRDefault="00410D07">
            <w:pPr>
              <w:ind w:left="790"/>
              <w:jc w:val="center"/>
              <w:rPr>
                <w:sz w:val="20"/>
                <w:szCs w:val="20"/>
              </w:rPr>
            </w:pPr>
            <w:r>
              <w:rPr>
                <w:rFonts w:ascii="Arial" w:eastAsia="Arial" w:hAnsi="Arial" w:cs="Arial"/>
                <w:w w:val="96"/>
                <w:sz w:val="18"/>
                <w:szCs w:val="18"/>
              </w:rPr>
              <w:t>ARTICLE 7</w:t>
            </w:r>
          </w:p>
        </w:tc>
        <w:tc>
          <w:tcPr>
            <w:tcW w:w="1920" w:type="dxa"/>
            <w:vAlign w:val="bottom"/>
          </w:tcPr>
          <w:p w14:paraId="2115BC18" w14:textId="77777777" w:rsidR="00D1587D" w:rsidRDefault="00D1587D">
            <w:pPr>
              <w:rPr>
                <w:sz w:val="24"/>
                <w:szCs w:val="24"/>
              </w:rPr>
            </w:pPr>
          </w:p>
        </w:tc>
      </w:tr>
      <w:tr w:rsidR="00D1587D" w14:paraId="195EB1C2" w14:textId="77777777">
        <w:trPr>
          <w:trHeight w:val="230"/>
        </w:trPr>
        <w:tc>
          <w:tcPr>
            <w:tcW w:w="1040" w:type="dxa"/>
            <w:vAlign w:val="bottom"/>
          </w:tcPr>
          <w:p w14:paraId="25A30226" w14:textId="77777777" w:rsidR="00D1587D" w:rsidRDefault="00D1587D">
            <w:pPr>
              <w:rPr>
                <w:sz w:val="20"/>
                <w:szCs w:val="20"/>
              </w:rPr>
            </w:pPr>
          </w:p>
        </w:tc>
        <w:tc>
          <w:tcPr>
            <w:tcW w:w="8280" w:type="dxa"/>
            <w:vAlign w:val="bottom"/>
          </w:tcPr>
          <w:p w14:paraId="79962951" w14:textId="77777777" w:rsidR="00D1587D" w:rsidRDefault="00410D07">
            <w:pPr>
              <w:ind w:left="810"/>
              <w:jc w:val="center"/>
              <w:rPr>
                <w:sz w:val="20"/>
                <w:szCs w:val="20"/>
              </w:rPr>
            </w:pPr>
            <w:r>
              <w:rPr>
                <w:rFonts w:ascii="Arial" w:eastAsia="Arial" w:hAnsi="Arial" w:cs="Arial"/>
                <w:w w:val="95"/>
                <w:sz w:val="18"/>
                <w:szCs w:val="18"/>
              </w:rPr>
              <w:t>TERMINATION OF SERVICES</w:t>
            </w:r>
          </w:p>
        </w:tc>
        <w:tc>
          <w:tcPr>
            <w:tcW w:w="1920" w:type="dxa"/>
            <w:vAlign w:val="bottom"/>
          </w:tcPr>
          <w:p w14:paraId="10BC0D80" w14:textId="77777777" w:rsidR="00D1587D" w:rsidRDefault="00D1587D">
            <w:pPr>
              <w:rPr>
                <w:sz w:val="20"/>
                <w:szCs w:val="20"/>
              </w:rPr>
            </w:pPr>
          </w:p>
        </w:tc>
      </w:tr>
      <w:tr w:rsidR="00D1587D" w14:paraId="122B2AFA" w14:textId="77777777">
        <w:trPr>
          <w:trHeight w:val="418"/>
        </w:trPr>
        <w:tc>
          <w:tcPr>
            <w:tcW w:w="1040" w:type="dxa"/>
            <w:vAlign w:val="bottom"/>
          </w:tcPr>
          <w:p w14:paraId="60D6132D" w14:textId="77777777" w:rsidR="00D1587D" w:rsidRDefault="00410D07">
            <w:pPr>
              <w:rPr>
                <w:sz w:val="20"/>
                <w:szCs w:val="20"/>
              </w:rPr>
            </w:pPr>
            <w:r>
              <w:rPr>
                <w:rFonts w:ascii="Arial" w:eastAsia="Arial" w:hAnsi="Arial" w:cs="Arial"/>
                <w:w w:val="97"/>
                <w:sz w:val="18"/>
                <w:szCs w:val="18"/>
              </w:rPr>
              <w:t>Section 7.01.</w:t>
            </w:r>
          </w:p>
        </w:tc>
        <w:tc>
          <w:tcPr>
            <w:tcW w:w="8280" w:type="dxa"/>
            <w:vAlign w:val="bottom"/>
          </w:tcPr>
          <w:p w14:paraId="0FAA8BEE" w14:textId="77777777" w:rsidR="00D1587D" w:rsidRDefault="00410D07">
            <w:pPr>
              <w:ind w:left="100"/>
              <w:rPr>
                <w:sz w:val="20"/>
                <w:szCs w:val="20"/>
              </w:rPr>
            </w:pPr>
            <w:r>
              <w:rPr>
                <w:rFonts w:ascii="Arial" w:eastAsia="Arial" w:hAnsi="Arial" w:cs="Arial"/>
                <w:i/>
                <w:iCs/>
                <w:sz w:val="18"/>
                <w:szCs w:val="18"/>
              </w:rPr>
              <w:t>Termination</w:t>
            </w:r>
          </w:p>
        </w:tc>
        <w:tc>
          <w:tcPr>
            <w:tcW w:w="1920" w:type="dxa"/>
            <w:vAlign w:val="bottom"/>
          </w:tcPr>
          <w:p w14:paraId="1CC6D020" w14:textId="77777777" w:rsidR="00D1587D" w:rsidRDefault="00410D07">
            <w:pPr>
              <w:jc w:val="right"/>
              <w:rPr>
                <w:sz w:val="20"/>
                <w:szCs w:val="20"/>
              </w:rPr>
            </w:pPr>
            <w:r>
              <w:rPr>
                <w:rFonts w:ascii="Arial" w:eastAsia="Arial" w:hAnsi="Arial" w:cs="Arial"/>
                <w:sz w:val="18"/>
                <w:szCs w:val="18"/>
              </w:rPr>
              <w:t>15</w:t>
            </w:r>
          </w:p>
        </w:tc>
      </w:tr>
      <w:tr w:rsidR="00D1587D" w14:paraId="4A236289" w14:textId="77777777">
        <w:trPr>
          <w:trHeight w:val="230"/>
        </w:trPr>
        <w:tc>
          <w:tcPr>
            <w:tcW w:w="9320" w:type="dxa"/>
            <w:gridSpan w:val="2"/>
            <w:vAlign w:val="bottom"/>
          </w:tcPr>
          <w:p w14:paraId="1D1C7A03" w14:textId="77777777" w:rsidR="00D1587D" w:rsidRDefault="00410D07">
            <w:pPr>
              <w:rPr>
                <w:sz w:val="20"/>
                <w:szCs w:val="20"/>
              </w:rPr>
            </w:pPr>
            <w:r>
              <w:rPr>
                <w:rFonts w:ascii="Arial" w:eastAsia="Arial" w:hAnsi="Arial" w:cs="Arial"/>
                <w:sz w:val="18"/>
                <w:szCs w:val="18"/>
              </w:rPr>
              <w:t xml:space="preserve">Section 7.02.  </w:t>
            </w:r>
            <w:r>
              <w:rPr>
                <w:rFonts w:ascii="Arial" w:eastAsia="Arial" w:hAnsi="Arial" w:cs="Arial"/>
                <w:i/>
                <w:iCs/>
                <w:sz w:val="18"/>
                <w:szCs w:val="18"/>
              </w:rPr>
              <w:t>Effect of Termination</w:t>
            </w:r>
          </w:p>
        </w:tc>
        <w:tc>
          <w:tcPr>
            <w:tcW w:w="1920" w:type="dxa"/>
            <w:vAlign w:val="bottom"/>
          </w:tcPr>
          <w:p w14:paraId="6881799D" w14:textId="77777777" w:rsidR="00D1587D" w:rsidRDefault="00410D07">
            <w:pPr>
              <w:jc w:val="right"/>
              <w:rPr>
                <w:sz w:val="20"/>
                <w:szCs w:val="20"/>
              </w:rPr>
            </w:pPr>
            <w:r>
              <w:rPr>
                <w:rFonts w:ascii="Arial" w:eastAsia="Arial" w:hAnsi="Arial" w:cs="Arial"/>
                <w:sz w:val="18"/>
                <w:szCs w:val="18"/>
              </w:rPr>
              <w:t>16</w:t>
            </w:r>
          </w:p>
        </w:tc>
      </w:tr>
      <w:tr w:rsidR="00D1587D" w14:paraId="6AE8B7EE" w14:textId="77777777">
        <w:trPr>
          <w:trHeight w:val="418"/>
        </w:trPr>
        <w:tc>
          <w:tcPr>
            <w:tcW w:w="1040" w:type="dxa"/>
            <w:vAlign w:val="bottom"/>
          </w:tcPr>
          <w:p w14:paraId="4A880E31" w14:textId="77777777" w:rsidR="00D1587D" w:rsidRDefault="00D1587D">
            <w:pPr>
              <w:rPr>
                <w:sz w:val="24"/>
                <w:szCs w:val="24"/>
              </w:rPr>
            </w:pPr>
          </w:p>
        </w:tc>
        <w:tc>
          <w:tcPr>
            <w:tcW w:w="8280" w:type="dxa"/>
            <w:vAlign w:val="bottom"/>
          </w:tcPr>
          <w:p w14:paraId="60954145" w14:textId="77777777" w:rsidR="00D1587D" w:rsidRDefault="00410D07">
            <w:pPr>
              <w:ind w:left="790"/>
              <w:jc w:val="center"/>
              <w:rPr>
                <w:sz w:val="20"/>
                <w:szCs w:val="20"/>
              </w:rPr>
            </w:pPr>
            <w:r>
              <w:rPr>
                <w:rFonts w:ascii="Arial" w:eastAsia="Arial" w:hAnsi="Arial" w:cs="Arial"/>
                <w:w w:val="96"/>
                <w:sz w:val="18"/>
                <w:szCs w:val="18"/>
              </w:rPr>
              <w:t>ARTICLE 8</w:t>
            </w:r>
          </w:p>
        </w:tc>
        <w:tc>
          <w:tcPr>
            <w:tcW w:w="1920" w:type="dxa"/>
            <w:vAlign w:val="bottom"/>
          </w:tcPr>
          <w:p w14:paraId="58F5DB3E" w14:textId="77777777" w:rsidR="00D1587D" w:rsidRDefault="00D1587D">
            <w:pPr>
              <w:rPr>
                <w:sz w:val="24"/>
                <w:szCs w:val="24"/>
              </w:rPr>
            </w:pPr>
          </w:p>
        </w:tc>
      </w:tr>
      <w:tr w:rsidR="00D1587D" w14:paraId="5D35C3F8" w14:textId="77777777">
        <w:trPr>
          <w:trHeight w:val="230"/>
        </w:trPr>
        <w:tc>
          <w:tcPr>
            <w:tcW w:w="1040" w:type="dxa"/>
            <w:vAlign w:val="bottom"/>
          </w:tcPr>
          <w:p w14:paraId="7CE52091" w14:textId="77777777" w:rsidR="00D1587D" w:rsidRDefault="00D1587D">
            <w:pPr>
              <w:rPr>
                <w:sz w:val="20"/>
                <w:szCs w:val="20"/>
              </w:rPr>
            </w:pPr>
          </w:p>
        </w:tc>
        <w:tc>
          <w:tcPr>
            <w:tcW w:w="8280" w:type="dxa"/>
            <w:vAlign w:val="bottom"/>
          </w:tcPr>
          <w:p w14:paraId="7D1F454C" w14:textId="77777777" w:rsidR="00D1587D" w:rsidRDefault="00410D07">
            <w:pPr>
              <w:ind w:left="790"/>
              <w:jc w:val="center"/>
              <w:rPr>
                <w:sz w:val="20"/>
                <w:szCs w:val="20"/>
              </w:rPr>
            </w:pPr>
            <w:r>
              <w:rPr>
                <w:rFonts w:ascii="Arial" w:eastAsia="Arial" w:hAnsi="Arial" w:cs="Arial"/>
                <w:w w:val="95"/>
                <w:sz w:val="18"/>
                <w:szCs w:val="18"/>
              </w:rPr>
              <w:t>REPRESENTATIONS AND WARRANTIES</w:t>
            </w:r>
          </w:p>
        </w:tc>
        <w:tc>
          <w:tcPr>
            <w:tcW w:w="1920" w:type="dxa"/>
            <w:vAlign w:val="bottom"/>
          </w:tcPr>
          <w:p w14:paraId="33B260BB" w14:textId="77777777" w:rsidR="00D1587D" w:rsidRDefault="00D1587D">
            <w:pPr>
              <w:rPr>
                <w:sz w:val="20"/>
                <w:szCs w:val="20"/>
              </w:rPr>
            </w:pPr>
          </w:p>
        </w:tc>
      </w:tr>
      <w:tr w:rsidR="00D1587D" w14:paraId="36F035E6" w14:textId="77777777">
        <w:trPr>
          <w:trHeight w:val="418"/>
        </w:trPr>
        <w:tc>
          <w:tcPr>
            <w:tcW w:w="9320" w:type="dxa"/>
            <w:gridSpan w:val="2"/>
            <w:vAlign w:val="bottom"/>
          </w:tcPr>
          <w:p w14:paraId="72ABD95B" w14:textId="77777777" w:rsidR="00D1587D" w:rsidRDefault="00410D07">
            <w:pPr>
              <w:rPr>
                <w:sz w:val="20"/>
                <w:szCs w:val="20"/>
              </w:rPr>
            </w:pPr>
            <w:r>
              <w:rPr>
                <w:rFonts w:ascii="Arial" w:eastAsia="Arial" w:hAnsi="Arial" w:cs="Arial"/>
                <w:sz w:val="18"/>
                <w:szCs w:val="18"/>
              </w:rPr>
              <w:t xml:space="preserve">Section 8.01.  </w:t>
            </w:r>
            <w:r>
              <w:rPr>
                <w:rFonts w:ascii="Arial" w:eastAsia="Arial" w:hAnsi="Arial" w:cs="Arial"/>
                <w:i/>
                <w:iCs/>
                <w:sz w:val="18"/>
                <w:szCs w:val="18"/>
              </w:rPr>
              <w:t>Representations and Warranties of Service Provider</w:t>
            </w:r>
          </w:p>
        </w:tc>
        <w:tc>
          <w:tcPr>
            <w:tcW w:w="1920" w:type="dxa"/>
            <w:vAlign w:val="bottom"/>
          </w:tcPr>
          <w:p w14:paraId="45BE7736" w14:textId="77777777" w:rsidR="00D1587D" w:rsidRDefault="00410D07">
            <w:pPr>
              <w:jc w:val="right"/>
              <w:rPr>
                <w:sz w:val="20"/>
                <w:szCs w:val="20"/>
              </w:rPr>
            </w:pPr>
            <w:r>
              <w:rPr>
                <w:rFonts w:ascii="Arial" w:eastAsia="Arial" w:hAnsi="Arial" w:cs="Arial"/>
                <w:sz w:val="18"/>
                <w:szCs w:val="18"/>
              </w:rPr>
              <w:t>17</w:t>
            </w:r>
          </w:p>
        </w:tc>
      </w:tr>
      <w:tr w:rsidR="00D1587D" w14:paraId="4B97FB6F" w14:textId="77777777">
        <w:trPr>
          <w:trHeight w:val="230"/>
        </w:trPr>
        <w:tc>
          <w:tcPr>
            <w:tcW w:w="9320" w:type="dxa"/>
            <w:gridSpan w:val="2"/>
            <w:vAlign w:val="bottom"/>
          </w:tcPr>
          <w:p w14:paraId="385085E2" w14:textId="77777777" w:rsidR="00D1587D" w:rsidRDefault="00410D07">
            <w:pPr>
              <w:rPr>
                <w:sz w:val="20"/>
                <w:szCs w:val="20"/>
              </w:rPr>
            </w:pPr>
            <w:r>
              <w:rPr>
                <w:rFonts w:ascii="Arial" w:eastAsia="Arial" w:hAnsi="Arial" w:cs="Arial"/>
                <w:sz w:val="18"/>
                <w:szCs w:val="18"/>
              </w:rPr>
              <w:t xml:space="preserve">Section 8.02.  </w:t>
            </w:r>
            <w:r>
              <w:rPr>
                <w:rFonts w:ascii="Arial" w:eastAsia="Arial" w:hAnsi="Arial" w:cs="Arial"/>
                <w:i/>
                <w:iCs/>
                <w:sz w:val="18"/>
                <w:szCs w:val="18"/>
              </w:rPr>
              <w:t>Representations and Warranties of VS</w:t>
            </w:r>
          </w:p>
        </w:tc>
        <w:tc>
          <w:tcPr>
            <w:tcW w:w="1920" w:type="dxa"/>
            <w:vAlign w:val="bottom"/>
          </w:tcPr>
          <w:p w14:paraId="042CF3F7" w14:textId="77777777" w:rsidR="00D1587D" w:rsidRDefault="00410D07">
            <w:pPr>
              <w:jc w:val="right"/>
              <w:rPr>
                <w:sz w:val="20"/>
                <w:szCs w:val="20"/>
              </w:rPr>
            </w:pPr>
            <w:r>
              <w:rPr>
                <w:rFonts w:ascii="Arial" w:eastAsia="Arial" w:hAnsi="Arial" w:cs="Arial"/>
                <w:sz w:val="18"/>
                <w:szCs w:val="18"/>
              </w:rPr>
              <w:t>17</w:t>
            </w:r>
          </w:p>
        </w:tc>
      </w:tr>
      <w:tr w:rsidR="00D1587D" w14:paraId="62930A50" w14:textId="77777777">
        <w:trPr>
          <w:trHeight w:val="418"/>
        </w:trPr>
        <w:tc>
          <w:tcPr>
            <w:tcW w:w="1040" w:type="dxa"/>
            <w:vAlign w:val="bottom"/>
          </w:tcPr>
          <w:p w14:paraId="2095ADB7" w14:textId="77777777" w:rsidR="00D1587D" w:rsidRDefault="00D1587D">
            <w:pPr>
              <w:rPr>
                <w:sz w:val="24"/>
                <w:szCs w:val="24"/>
              </w:rPr>
            </w:pPr>
          </w:p>
        </w:tc>
        <w:tc>
          <w:tcPr>
            <w:tcW w:w="8280" w:type="dxa"/>
            <w:vAlign w:val="bottom"/>
          </w:tcPr>
          <w:p w14:paraId="2935F789" w14:textId="77777777" w:rsidR="00D1587D" w:rsidRDefault="00410D07">
            <w:pPr>
              <w:ind w:left="790"/>
              <w:jc w:val="center"/>
              <w:rPr>
                <w:sz w:val="20"/>
                <w:szCs w:val="20"/>
              </w:rPr>
            </w:pPr>
            <w:r>
              <w:rPr>
                <w:rFonts w:ascii="Arial" w:eastAsia="Arial" w:hAnsi="Arial" w:cs="Arial"/>
                <w:w w:val="96"/>
                <w:sz w:val="18"/>
                <w:szCs w:val="18"/>
              </w:rPr>
              <w:t>ARTICLE 9</w:t>
            </w:r>
          </w:p>
        </w:tc>
        <w:tc>
          <w:tcPr>
            <w:tcW w:w="1920" w:type="dxa"/>
            <w:vAlign w:val="bottom"/>
          </w:tcPr>
          <w:p w14:paraId="16660323" w14:textId="77777777" w:rsidR="00D1587D" w:rsidRDefault="00D1587D">
            <w:pPr>
              <w:rPr>
                <w:sz w:val="24"/>
                <w:szCs w:val="24"/>
              </w:rPr>
            </w:pPr>
          </w:p>
        </w:tc>
      </w:tr>
      <w:tr w:rsidR="00D1587D" w14:paraId="7D1E253C" w14:textId="77777777">
        <w:trPr>
          <w:trHeight w:val="230"/>
        </w:trPr>
        <w:tc>
          <w:tcPr>
            <w:tcW w:w="1040" w:type="dxa"/>
            <w:vAlign w:val="bottom"/>
          </w:tcPr>
          <w:p w14:paraId="3DFF8C88" w14:textId="77777777" w:rsidR="00D1587D" w:rsidRDefault="00D1587D">
            <w:pPr>
              <w:rPr>
                <w:sz w:val="20"/>
                <w:szCs w:val="20"/>
              </w:rPr>
            </w:pPr>
          </w:p>
        </w:tc>
        <w:tc>
          <w:tcPr>
            <w:tcW w:w="8280" w:type="dxa"/>
            <w:vAlign w:val="bottom"/>
          </w:tcPr>
          <w:p w14:paraId="0FBF25B6" w14:textId="77777777" w:rsidR="00D1587D" w:rsidRDefault="00410D07">
            <w:pPr>
              <w:ind w:left="810"/>
              <w:jc w:val="center"/>
              <w:rPr>
                <w:sz w:val="20"/>
                <w:szCs w:val="20"/>
              </w:rPr>
            </w:pPr>
            <w:r>
              <w:rPr>
                <w:rFonts w:ascii="Arial" w:eastAsia="Arial" w:hAnsi="Arial" w:cs="Arial"/>
                <w:w w:val="97"/>
                <w:sz w:val="18"/>
                <w:szCs w:val="18"/>
              </w:rPr>
              <w:t>MISCELLANEOUS</w:t>
            </w:r>
          </w:p>
        </w:tc>
        <w:tc>
          <w:tcPr>
            <w:tcW w:w="1920" w:type="dxa"/>
            <w:vAlign w:val="bottom"/>
          </w:tcPr>
          <w:p w14:paraId="3316649A" w14:textId="77777777" w:rsidR="00D1587D" w:rsidRDefault="00D1587D">
            <w:pPr>
              <w:rPr>
                <w:sz w:val="20"/>
                <w:szCs w:val="20"/>
              </w:rPr>
            </w:pPr>
          </w:p>
        </w:tc>
      </w:tr>
      <w:tr w:rsidR="00D1587D" w14:paraId="7905C518" w14:textId="77777777">
        <w:trPr>
          <w:trHeight w:val="418"/>
        </w:trPr>
        <w:tc>
          <w:tcPr>
            <w:tcW w:w="1040" w:type="dxa"/>
            <w:vAlign w:val="bottom"/>
          </w:tcPr>
          <w:p w14:paraId="08875EF8" w14:textId="77777777" w:rsidR="00D1587D" w:rsidRDefault="00410D07">
            <w:pPr>
              <w:rPr>
                <w:sz w:val="20"/>
                <w:szCs w:val="20"/>
              </w:rPr>
            </w:pPr>
            <w:r>
              <w:rPr>
                <w:rFonts w:ascii="Arial" w:eastAsia="Arial" w:hAnsi="Arial" w:cs="Arial"/>
                <w:w w:val="97"/>
                <w:sz w:val="18"/>
                <w:szCs w:val="18"/>
              </w:rPr>
              <w:t>Section 9.01.</w:t>
            </w:r>
          </w:p>
        </w:tc>
        <w:tc>
          <w:tcPr>
            <w:tcW w:w="8280" w:type="dxa"/>
            <w:vAlign w:val="bottom"/>
          </w:tcPr>
          <w:p w14:paraId="4C53006C" w14:textId="77777777" w:rsidR="00D1587D" w:rsidRDefault="00410D07">
            <w:pPr>
              <w:ind w:left="100"/>
              <w:rPr>
                <w:sz w:val="20"/>
                <w:szCs w:val="20"/>
              </w:rPr>
            </w:pPr>
            <w:r>
              <w:rPr>
                <w:rFonts w:ascii="Arial" w:eastAsia="Arial" w:hAnsi="Arial" w:cs="Arial"/>
                <w:i/>
                <w:iCs/>
                <w:sz w:val="18"/>
                <w:szCs w:val="18"/>
              </w:rPr>
              <w:t>Notices</w:t>
            </w:r>
          </w:p>
        </w:tc>
        <w:tc>
          <w:tcPr>
            <w:tcW w:w="1920" w:type="dxa"/>
            <w:vAlign w:val="bottom"/>
          </w:tcPr>
          <w:p w14:paraId="27440F25" w14:textId="77777777" w:rsidR="00D1587D" w:rsidRDefault="00410D07">
            <w:pPr>
              <w:jc w:val="right"/>
              <w:rPr>
                <w:sz w:val="20"/>
                <w:szCs w:val="20"/>
              </w:rPr>
            </w:pPr>
            <w:r>
              <w:rPr>
                <w:rFonts w:ascii="Arial" w:eastAsia="Arial" w:hAnsi="Arial" w:cs="Arial"/>
                <w:sz w:val="18"/>
                <w:szCs w:val="18"/>
              </w:rPr>
              <w:t>18</w:t>
            </w:r>
          </w:p>
        </w:tc>
      </w:tr>
      <w:tr w:rsidR="00D1587D" w14:paraId="1B5040EB" w14:textId="77777777">
        <w:trPr>
          <w:trHeight w:val="216"/>
        </w:trPr>
        <w:tc>
          <w:tcPr>
            <w:tcW w:w="9320" w:type="dxa"/>
            <w:gridSpan w:val="2"/>
            <w:vAlign w:val="bottom"/>
          </w:tcPr>
          <w:p w14:paraId="6D6734EF" w14:textId="77777777" w:rsidR="00D1587D" w:rsidRDefault="00410D07">
            <w:pPr>
              <w:rPr>
                <w:sz w:val="20"/>
                <w:szCs w:val="20"/>
              </w:rPr>
            </w:pPr>
            <w:r>
              <w:rPr>
                <w:rFonts w:ascii="Arial" w:eastAsia="Arial" w:hAnsi="Arial" w:cs="Arial"/>
                <w:sz w:val="18"/>
                <w:szCs w:val="18"/>
              </w:rPr>
              <w:t xml:space="preserve">Section 9.02.  </w:t>
            </w:r>
            <w:r>
              <w:rPr>
                <w:rFonts w:ascii="Arial" w:eastAsia="Arial" w:hAnsi="Arial" w:cs="Arial"/>
                <w:i/>
                <w:iCs/>
                <w:sz w:val="18"/>
                <w:szCs w:val="18"/>
              </w:rPr>
              <w:t>Amendments; No Waivers</w:t>
            </w:r>
          </w:p>
        </w:tc>
        <w:tc>
          <w:tcPr>
            <w:tcW w:w="1920" w:type="dxa"/>
            <w:vAlign w:val="bottom"/>
          </w:tcPr>
          <w:p w14:paraId="2B66A18C" w14:textId="77777777" w:rsidR="00D1587D" w:rsidRDefault="00410D07">
            <w:pPr>
              <w:jc w:val="right"/>
              <w:rPr>
                <w:sz w:val="20"/>
                <w:szCs w:val="20"/>
              </w:rPr>
            </w:pPr>
            <w:r>
              <w:rPr>
                <w:rFonts w:ascii="Arial" w:eastAsia="Arial" w:hAnsi="Arial" w:cs="Arial"/>
                <w:sz w:val="18"/>
                <w:szCs w:val="18"/>
              </w:rPr>
              <w:t>18</w:t>
            </w:r>
          </w:p>
        </w:tc>
      </w:tr>
      <w:tr w:rsidR="00D1587D" w14:paraId="48EC740D" w14:textId="77777777">
        <w:trPr>
          <w:trHeight w:val="216"/>
        </w:trPr>
        <w:tc>
          <w:tcPr>
            <w:tcW w:w="1040" w:type="dxa"/>
            <w:vAlign w:val="bottom"/>
          </w:tcPr>
          <w:p w14:paraId="70D72EAA" w14:textId="77777777" w:rsidR="00D1587D" w:rsidRDefault="00410D07">
            <w:pPr>
              <w:rPr>
                <w:sz w:val="20"/>
                <w:szCs w:val="20"/>
              </w:rPr>
            </w:pPr>
            <w:r>
              <w:rPr>
                <w:rFonts w:ascii="Arial" w:eastAsia="Arial" w:hAnsi="Arial" w:cs="Arial"/>
                <w:w w:val="97"/>
                <w:sz w:val="18"/>
                <w:szCs w:val="18"/>
              </w:rPr>
              <w:t>Section 9.03.</w:t>
            </w:r>
          </w:p>
        </w:tc>
        <w:tc>
          <w:tcPr>
            <w:tcW w:w="8280" w:type="dxa"/>
            <w:vAlign w:val="bottom"/>
          </w:tcPr>
          <w:p w14:paraId="0A2631E9" w14:textId="77777777" w:rsidR="00D1587D" w:rsidRDefault="00410D07">
            <w:pPr>
              <w:ind w:left="100"/>
              <w:rPr>
                <w:sz w:val="20"/>
                <w:szCs w:val="20"/>
              </w:rPr>
            </w:pPr>
            <w:r>
              <w:rPr>
                <w:rFonts w:ascii="Arial" w:eastAsia="Arial" w:hAnsi="Arial" w:cs="Arial"/>
                <w:i/>
                <w:iCs/>
                <w:sz w:val="18"/>
                <w:szCs w:val="18"/>
              </w:rPr>
              <w:t>Expenses</w:t>
            </w:r>
          </w:p>
        </w:tc>
        <w:tc>
          <w:tcPr>
            <w:tcW w:w="1920" w:type="dxa"/>
            <w:vAlign w:val="bottom"/>
          </w:tcPr>
          <w:p w14:paraId="76557EC0" w14:textId="77777777" w:rsidR="00D1587D" w:rsidRDefault="00410D07">
            <w:pPr>
              <w:jc w:val="right"/>
              <w:rPr>
                <w:sz w:val="20"/>
                <w:szCs w:val="20"/>
              </w:rPr>
            </w:pPr>
            <w:r>
              <w:rPr>
                <w:rFonts w:ascii="Arial" w:eastAsia="Arial" w:hAnsi="Arial" w:cs="Arial"/>
                <w:sz w:val="18"/>
                <w:szCs w:val="18"/>
              </w:rPr>
              <w:t>19</w:t>
            </w:r>
          </w:p>
        </w:tc>
      </w:tr>
      <w:tr w:rsidR="00D1587D" w14:paraId="3E26A6AF" w14:textId="77777777">
        <w:trPr>
          <w:trHeight w:val="216"/>
        </w:trPr>
        <w:tc>
          <w:tcPr>
            <w:tcW w:w="9320" w:type="dxa"/>
            <w:gridSpan w:val="2"/>
            <w:vAlign w:val="bottom"/>
          </w:tcPr>
          <w:p w14:paraId="322CEA92" w14:textId="77777777" w:rsidR="00D1587D" w:rsidRDefault="00410D07">
            <w:pPr>
              <w:rPr>
                <w:sz w:val="20"/>
                <w:szCs w:val="20"/>
              </w:rPr>
            </w:pPr>
            <w:r>
              <w:rPr>
                <w:rFonts w:ascii="Arial" w:eastAsia="Arial" w:hAnsi="Arial" w:cs="Arial"/>
                <w:sz w:val="18"/>
                <w:szCs w:val="18"/>
              </w:rPr>
              <w:t xml:space="preserve">Section 9.04.  </w:t>
            </w:r>
            <w:r>
              <w:rPr>
                <w:rFonts w:ascii="Arial" w:eastAsia="Arial" w:hAnsi="Arial" w:cs="Arial"/>
                <w:i/>
                <w:iCs/>
                <w:sz w:val="18"/>
                <w:szCs w:val="18"/>
              </w:rPr>
              <w:t>Independent Contractor Status</w:t>
            </w:r>
          </w:p>
        </w:tc>
        <w:tc>
          <w:tcPr>
            <w:tcW w:w="1920" w:type="dxa"/>
            <w:vAlign w:val="bottom"/>
          </w:tcPr>
          <w:p w14:paraId="002FA056" w14:textId="77777777" w:rsidR="00D1587D" w:rsidRDefault="00410D07">
            <w:pPr>
              <w:jc w:val="right"/>
              <w:rPr>
                <w:sz w:val="20"/>
                <w:szCs w:val="20"/>
              </w:rPr>
            </w:pPr>
            <w:r>
              <w:rPr>
                <w:rFonts w:ascii="Arial" w:eastAsia="Arial" w:hAnsi="Arial" w:cs="Arial"/>
                <w:sz w:val="18"/>
                <w:szCs w:val="18"/>
              </w:rPr>
              <w:t>19</w:t>
            </w:r>
          </w:p>
        </w:tc>
      </w:tr>
      <w:tr w:rsidR="00D1587D" w14:paraId="45B3690C" w14:textId="77777777">
        <w:trPr>
          <w:trHeight w:val="216"/>
        </w:trPr>
        <w:tc>
          <w:tcPr>
            <w:tcW w:w="9320" w:type="dxa"/>
            <w:gridSpan w:val="2"/>
            <w:vAlign w:val="bottom"/>
          </w:tcPr>
          <w:p w14:paraId="6BD55E31" w14:textId="77777777" w:rsidR="00D1587D" w:rsidRDefault="00410D07">
            <w:pPr>
              <w:rPr>
                <w:sz w:val="20"/>
                <w:szCs w:val="20"/>
              </w:rPr>
            </w:pPr>
            <w:r>
              <w:rPr>
                <w:rFonts w:ascii="Arial" w:eastAsia="Arial" w:hAnsi="Arial" w:cs="Arial"/>
                <w:sz w:val="18"/>
                <w:szCs w:val="18"/>
              </w:rPr>
              <w:t xml:space="preserve">Section 9.05.  </w:t>
            </w:r>
            <w:r>
              <w:rPr>
                <w:rFonts w:ascii="Arial" w:eastAsia="Arial" w:hAnsi="Arial" w:cs="Arial"/>
                <w:i/>
                <w:iCs/>
                <w:sz w:val="18"/>
                <w:szCs w:val="18"/>
              </w:rPr>
              <w:t>Successors and Assigns</w:t>
            </w:r>
          </w:p>
        </w:tc>
        <w:tc>
          <w:tcPr>
            <w:tcW w:w="1920" w:type="dxa"/>
            <w:vAlign w:val="bottom"/>
          </w:tcPr>
          <w:p w14:paraId="738B6520" w14:textId="77777777" w:rsidR="00D1587D" w:rsidRDefault="00410D07">
            <w:pPr>
              <w:jc w:val="right"/>
              <w:rPr>
                <w:sz w:val="20"/>
                <w:szCs w:val="20"/>
              </w:rPr>
            </w:pPr>
            <w:r>
              <w:rPr>
                <w:rFonts w:ascii="Arial" w:eastAsia="Arial" w:hAnsi="Arial" w:cs="Arial"/>
                <w:sz w:val="18"/>
                <w:szCs w:val="18"/>
              </w:rPr>
              <w:t>19</w:t>
            </w:r>
          </w:p>
        </w:tc>
      </w:tr>
      <w:tr w:rsidR="00D1587D" w14:paraId="5104BA90" w14:textId="77777777">
        <w:trPr>
          <w:trHeight w:val="216"/>
        </w:trPr>
        <w:tc>
          <w:tcPr>
            <w:tcW w:w="1040" w:type="dxa"/>
            <w:vAlign w:val="bottom"/>
          </w:tcPr>
          <w:p w14:paraId="0ED1C4E8" w14:textId="77777777" w:rsidR="00D1587D" w:rsidRDefault="00410D07">
            <w:pPr>
              <w:rPr>
                <w:sz w:val="20"/>
                <w:szCs w:val="20"/>
              </w:rPr>
            </w:pPr>
            <w:r>
              <w:rPr>
                <w:rFonts w:ascii="Arial" w:eastAsia="Arial" w:hAnsi="Arial" w:cs="Arial"/>
                <w:w w:val="97"/>
                <w:sz w:val="18"/>
                <w:szCs w:val="18"/>
              </w:rPr>
              <w:t>Section 9.06.</w:t>
            </w:r>
          </w:p>
        </w:tc>
        <w:tc>
          <w:tcPr>
            <w:tcW w:w="8280" w:type="dxa"/>
            <w:vAlign w:val="bottom"/>
          </w:tcPr>
          <w:p w14:paraId="207BC011" w14:textId="77777777" w:rsidR="00D1587D" w:rsidRDefault="00410D07">
            <w:pPr>
              <w:ind w:left="100"/>
              <w:rPr>
                <w:sz w:val="20"/>
                <w:szCs w:val="20"/>
              </w:rPr>
            </w:pPr>
            <w:r>
              <w:rPr>
                <w:rFonts w:ascii="Arial" w:eastAsia="Arial" w:hAnsi="Arial" w:cs="Arial"/>
                <w:i/>
                <w:iCs/>
                <w:sz w:val="18"/>
                <w:szCs w:val="18"/>
              </w:rPr>
              <w:t>Governing Law</w:t>
            </w:r>
          </w:p>
        </w:tc>
        <w:tc>
          <w:tcPr>
            <w:tcW w:w="1920" w:type="dxa"/>
            <w:vAlign w:val="bottom"/>
          </w:tcPr>
          <w:p w14:paraId="4684001A" w14:textId="77777777" w:rsidR="00D1587D" w:rsidRDefault="00410D07">
            <w:pPr>
              <w:jc w:val="right"/>
              <w:rPr>
                <w:sz w:val="20"/>
                <w:szCs w:val="20"/>
              </w:rPr>
            </w:pPr>
            <w:r>
              <w:rPr>
                <w:rFonts w:ascii="Arial" w:eastAsia="Arial" w:hAnsi="Arial" w:cs="Arial"/>
                <w:sz w:val="18"/>
                <w:szCs w:val="18"/>
              </w:rPr>
              <w:t>19</w:t>
            </w:r>
          </w:p>
        </w:tc>
      </w:tr>
      <w:tr w:rsidR="00D1587D" w14:paraId="7235D81F" w14:textId="77777777">
        <w:trPr>
          <w:trHeight w:val="216"/>
        </w:trPr>
        <w:tc>
          <w:tcPr>
            <w:tcW w:w="1040" w:type="dxa"/>
            <w:vAlign w:val="bottom"/>
          </w:tcPr>
          <w:p w14:paraId="3D760D57" w14:textId="77777777" w:rsidR="00D1587D" w:rsidRDefault="00410D07">
            <w:pPr>
              <w:rPr>
                <w:sz w:val="20"/>
                <w:szCs w:val="20"/>
              </w:rPr>
            </w:pPr>
            <w:r>
              <w:rPr>
                <w:rFonts w:ascii="Arial" w:eastAsia="Arial" w:hAnsi="Arial" w:cs="Arial"/>
                <w:w w:val="97"/>
                <w:sz w:val="18"/>
                <w:szCs w:val="18"/>
              </w:rPr>
              <w:t>Section 9.07.</w:t>
            </w:r>
          </w:p>
        </w:tc>
        <w:tc>
          <w:tcPr>
            <w:tcW w:w="8280" w:type="dxa"/>
            <w:vAlign w:val="bottom"/>
          </w:tcPr>
          <w:p w14:paraId="74EA9313" w14:textId="77777777" w:rsidR="00D1587D" w:rsidRDefault="00410D07">
            <w:pPr>
              <w:ind w:left="100"/>
              <w:rPr>
                <w:sz w:val="20"/>
                <w:szCs w:val="20"/>
              </w:rPr>
            </w:pPr>
            <w:r>
              <w:rPr>
                <w:rFonts w:ascii="Arial" w:eastAsia="Arial" w:hAnsi="Arial" w:cs="Arial"/>
                <w:i/>
                <w:iCs/>
                <w:sz w:val="18"/>
                <w:szCs w:val="18"/>
              </w:rPr>
              <w:t>Dispute Resolution</w:t>
            </w:r>
          </w:p>
        </w:tc>
        <w:tc>
          <w:tcPr>
            <w:tcW w:w="1920" w:type="dxa"/>
            <w:vAlign w:val="bottom"/>
          </w:tcPr>
          <w:p w14:paraId="66194340" w14:textId="77777777" w:rsidR="00D1587D" w:rsidRDefault="00410D07">
            <w:pPr>
              <w:jc w:val="right"/>
              <w:rPr>
                <w:sz w:val="20"/>
                <w:szCs w:val="20"/>
              </w:rPr>
            </w:pPr>
            <w:r>
              <w:rPr>
                <w:rFonts w:ascii="Arial" w:eastAsia="Arial" w:hAnsi="Arial" w:cs="Arial"/>
                <w:sz w:val="18"/>
                <w:szCs w:val="18"/>
              </w:rPr>
              <w:t>19</w:t>
            </w:r>
          </w:p>
        </w:tc>
      </w:tr>
      <w:tr w:rsidR="00D1587D" w14:paraId="4291F371" w14:textId="77777777">
        <w:trPr>
          <w:trHeight w:val="216"/>
        </w:trPr>
        <w:tc>
          <w:tcPr>
            <w:tcW w:w="1040" w:type="dxa"/>
            <w:vAlign w:val="bottom"/>
          </w:tcPr>
          <w:p w14:paraId="16B1105B" w14:textId="77777777" w:rsidR="00D1587D" w:rsidRDefault="00410D07">
            <w:pPr>
              <w:rPr>
                <w:sz w:val="20"/>
                <w:szCs w:val="20"/>
              </w:rPr>
            </w:pPr>
            <w:r>
              <w:rPr>
                <w:rFonts w:ascii="Arial" w:eastAsia="Arial" w:hAnsi="Arial" w:cs="Arial"/>
                <w:w w:val="97"/>
                <w:sz w:val="18"/>
                <w:szCs w:val="18"/>
              </w:rPr>
              <w:t>Section 9.08.</w:t>
            </w:r>
          </w:p>
        </w:tc>
        <w:tc>
          <w:tcPr>
            <w:tcW w:w="8280" w:type="dxa"/>
            <w:vAlign w:val="bottom"/>
          </w:tcPr>
          <w:p w14:paraId="21CD2689" w14:textId="77777777" w:rsidR="00D1587D" w:rsidRDefault="00410D07">
            <w:pPr>
              <w:ind w:left="100"/>
              <w:rPr>
                <w:sz w:val="20"/>
                <w:szCs w:val="20"/>
              </w:rPr>
            </w:pPr>
            <w:r>
              <w:rPr>
                <w:rFonts w:ascii="Arial" w:eastAsia="Arial" w:hAnsi="Arial" w:cs="Arial"/>
                <w:i/>
                <w:iCs/>
                <w:sz w:val="18"/>
                <w:szCs w:val="18"/>
              </w:rPr>
              <w:t>Jurisdiction</w:t>
            </w:r>
          </w:p>
        </w:tc>
        <w:tc>
          <w:tcPr>
            <w:tcW w:w="1920" w:type="dxa"/>
            <w:vAlign w:val="bottom"/>
          </w:tcPr>
          <w:p w14:paraId="564C2771" w14:textId="77777777" w:rsidR="00D1587D" w:rsidRDefault="00410D07">
            <w:pPr>
              <w:jc w:val="right"/>
              <w:rPr>
                <w:sz w:val="20"/>
                <w:szCs w:val="20"/>
              </w:rPr>
            </w:pPr>
            <w:r>
              <w:rPr>
                <w:rFonts w:ascii="Arial" w:eastAsia="Arial" w:hAnsi="Arial" w:cs="Arial"/>
                <w:sz w:val="18"/>
                <w:szCs w:val="18"/>
              </w:rPr>
              <w:t>20</w:t>
            </w:r>
          </w:p>
        </w:tc>
      </w:tr>
      <w:tr w:rsidR="00D1587D" w14:paraId="4AB33DE9" w14:textId="77777777">
        <w:trPr>
          <w:trHeight w:val="216"/>
        </w:trPr>
        <w:tc>
          <w:tcPr>
            <w:tcW w:w="9320" w:type="dxa"/>
            <w:gridSpan w:val="2"/>
            <w:vAlign w:val="bottom"/>
          </w:tcPr>
          <w:p w14:paraId="74350446" w14:textId="77777777" w:rsidR="00D1587D" w:rsidRDefault="00410D07">
            <w:pPr>
              <w:rPr>
                <w:sz w:val="20"/>
                <w:szCs w:val="20"/>
              </w:rPr>
            </w:pPr>
            <w:r>
              <w:rPr>
                <w:rFonts w:ascii="Arial" w:eastAsia="Arial" w:hAnsi="Arial" w:cs="Arial"/>
                <w:sz w:val="18"/>
                <w:szCs w:val="18"/>
              </w:rPr>
              <w:t xml:space="preserve">Section 9.09.  </w:t>
            </w:r>
            <w:r>
              <w:rPr>
                <w:rFonts w:ascii="Arial" w:eastAsia="Arial" w:hAnsi="Arial" w:cs="Arial"/>
                <w:i/>
                <w:iCs/>
                <w:sz w:val="18"/>
                <w:szCs w:val="18"/>
              </w:rPr>
              <w:t>WAIVER OF JURY TRIAL</w:t>
            </w:r>
          </w:p>
        </w:tc>
        <w:tc>
          <w:tcPr>
            <w:tcW w:w="1920" w:type="dxa"/>
            <w:vAlign w:val="bottom"/>
          </w:tcPr>
          <w:p w14:paraId="30F1E38C" w14:textId="77777777" w:rsidR="00D1587D" w:rsidRDefault="00410D07">
            <w:pPr>
              <w:jc w:val="right"/>
              <w:rPr>
                <w:sz w:val="20"/>
                <w:szCs w:val="20"/>
              </w:rPr>
            </w:pPr>
            <w:r>
              <w:rPr>
                <w:rFonts w:ascii="Arial" w:eastAsia="Arial" w:hAnsi="Arial" w:cs="Arial"/>
                <w:sz w:val="18"/>
                <w:szCs w:val="18"/>
              </w:rPr>
              <w:t>20</w:t>
            </w:r>
          </w:p>
        </w:tc>
      </w:tr>
      <w:tr w:rsidR="00D1587D" w14:paraId="4880E8C9" w14:textId="77777777">
        <w:trPr>
          <w:trHeight w:val="216"/>
        </w:trPr>
        <w:tc>
          <w:tcPr>
            <w:tcW w:w="9320" w:type="dxa"/>
            <w:gridSpan w:val="2"/>
            <w:vAlign w:val="bottom"/>
          </w:tcPr>
          <w:p w14:paraId="595AFB7E" w14:textId="77777777" w:rsidR="00D1587D" w:rsidRDefault="00410D07">
            <w:pPr>
              <w:rPr>
                <w:sz w:val="20"/>
                <w:szCs w:val="20"/>
              </w:rPr>
            </w:pPr>
            <w:r>
              <w:rPr>
                <w:rFonts w:ascii="Arial" w:eastAsia="Arial" w:hAnsi="Arial" w:cs="Arial"/>
                <w:sz w:val="18"/>
                <w:szCs w:val="18"/>
              </w:rPr>
              <w:t xml:space="preserve">Section 9.10.  </w:t>
            </w:r>
            <w:r>
              <w:rPr>
                <w:rFonts w:ascii="Arial" w:eastAsia="Arial" w:hAnsi="Arial" w:cs="Arial"/>
                <w:i/>
                <w:iCs/>
                <w:sz w:val="18"/>
                <w:szCs w:val="18"/>
              </w:rPr>
              <w:t xml:space="preserve">Counterparts; Effectiveness; Third Party </w:t>
            </w:r>
            <w:r>
              <w:rPr>
                <w:rFonts w:ascii="Arial" w:eastAsia="Arial" w:hAnsi="Arial" w:cs="Arial"/>
                <w:i/>
                <w:iCs/>
                <w:sz w:val="18"/>
                <w:szCs w:val="18"/>
              </w:rPr>
              <w:t>Beneficiaries</w:t>
            </w:r>
          </w:p>
        </w:tc>
        <w:tc>
          <w:tcPr>
            <w:tcW w:w="1920" w:type="dxa"/>
            <w:vAlign w:val="bottom"/>
          </w:tcPr>
          <w:p w14:paraId="126F078A" w14:textId="77777777" w:rsidR="00D1587D" w:rsidRDefault="00410D07">
            <w:pPr>
              <w:jc w:val="right"/>
              <w:rPr>
                <w:sz w:val="20"/>
                <w:szCs w:val="20"/>
              </w:rPr>
            </w:pPr>
            <w:r>
              <w:rPr>
                <w:rFonts w:ascii="Arial" w:eastAsia="Arial" w:hAnsi="Arial" w:cs="Arial"/>
                <w:sz w:val="18"/>
                <w:szCs w:val="18"/>
              </w:rPr>
              <w:t>20</w:t>
            </w:r>
          </w:p>
        </w:tc>
      </w:tr>
      <w:tr w:rsidR="00D1587D" w14:paraId="603D563D" w14:textId="77777777">
        <w:trPr>
          <w:trHeight w:val="216"/>
        </w:trPr>
        <w:tc>
          <w:tcPr>
            <w:tcW w:w="1040" w:type="dxa"/>
            <w:vAlign w:val="bottom"/>
          </w:tcPr>
          <w:p w14:paraId="146F54F1" w14:textId="77777777" w:rsidR="00D1587D" w:rsidRDefault="00410D07">
            <w:pPr>
              <w:rPr>
                <w:sz w:val="20"/>
                <w:szCs w:val="20"/>
              </w:rPr>
            </w:pPr>
            <w:r>
              <w:rPr>
                <w:rFonts w:ascii="Arial" w:eastAsia="Arial" w:hAnsi="Arial" w:cs="Arial"/>
                <w:w w:val="97"/>
                <w:sz w:val="18"/>
                <w:szCs w:val="18"/>
              </w:rPr>
              <w:t>Section 9.11.</w:t>
            </w:r>
          </w:p>
        </w:tc>
        <w:tc>
          <w:tcPr>
            <w:tcW w:w="8280" w:type="dxa"/>
            <w:vAlign w:val="bottom"/>
          </w:tcPr>
          <w:p w14:paraId="0E1A66F0" w14:textId="77777777" w:rsidR="00D1587D" w:rsidRDefault="00410D07">
            <w:pPr>
              <w:ind w:left="100"/>
              <w:rPr>
                <w:sz w:val="20"/>
                <w:szCs w:val="20"/>
              </w:rPr>
            </w:pPr>
            <w:r>
              <w:rPr>
                <w:rFonts w:ascii="Arial" w:eastAsia="Arial" w:hAnsi="Arial" w:cs="Arial"/>
                <w:i/>
                <w:iCs/>
                <w:sz w:val="18"/>
                <w:szCs w:val="18"/>
              </w:rPr>
              <w:t>Entire Agreement</w:t>
            </w:r>
          </w:p>
        </w:tc>
        <w:tc>
          <w:tcPr>
            <w:tcW w:w="1920" w:type="dxa"/>
            <w:vAlign w:val="bottom"/>
          </w:tcPr>
          <w:p w14:paraId="25EBC04F" w14:textId="77777777" w:rsidR="00D1587D" w:rsidRDefault="00410D07">
            <w:pPr>
              <w:jc w:val="right"/>
              <w:rPr>
                <w:sz w:val="20"/>
                <w:szCs w:val="20"/>
              </w:rPr>
            </w:pPr>
            <w:r>
              <w:rPr>
                <w:rFonts w:ascii="Arial" w:eastAsia="Arial" w:hAnsi="Arial" w:cs="Arial"/>
                <w:sz w:val="18"/>
                <w:szCs w:val="18"/>
              </w:rPr>
              <w:t>20</w:t>
            </w:r>
          </w:p>
        </w:tc>
      </w:tr>
      <w:tr w:rsidR="00D1587D" w14:paraId="1A7D6AD9" w14:textId="77777777">
        <w:trPr>
          <w:trHeight w:val="216"/>
        </w:trPr>
        <w:tc>
          <w:tcPr>
            <w:tcW w:w="1040" w:type="dxa"/>
            <w:vAlign w:val="bottom"/>
          </w:tcPr>
          <w:p w14:paraId="2C223D33" w14:textId="77777777" w:rsidR="00D1587D" w:rsidRDefault="00410D07">
            <w:pPr>
              <w:rPr>
                <w:sz w:val="20"/>
                <w:szCs w:val="20"/>
              </w:rPr>
            </w:pPr>
            <w:r>
              <w:rPr>
                <w:rFonts w:ascii="Arial" w:eastAsia="Arial" w:hAnsi="Arial" w:cs="Arial"/>
                <w:w w:val="97"/>
                <w:sz w:val="18"/>
                <w:szCs w:val="18"/>
              </w:rPr>
              <w:t>Section 9.12.</w:t>
            </w:r>
          </w:p>
        </w:tc>
        <w:tc>
          <w:tcPr>
            <w:tcW w:w="8280" w:type="dxa"/>
            <w:vAlign w:val="bottom"/>
          </w:tcPr>
          <w:p w14:paraId="38929B9A" w14:textId="77777777" w:rsidR="00D1587D" w:rsidRDefault="00410D07">
            <w:pPr>
              <w:ind w:left="100"/>
              <w:rPr>
                <w:sz w:val="20"/>
                <w:szCs w:val="20"/>
              </w:rPr>
            </w:pPr>
            <w:r>
              <w:rPr>
                <w:rFonts w:ascii="Arial" w:eastAsia="Arial" w:hAnsi="Arial" w:cs="Arial"/>
                <w:i/>
                <w:iCs/>
                <w:sz w:val="18"/>
                <w:szCs w:val="18"/>
              </w:rPr>
              <w:t>Severability</w:t>
            </w:r>
          </w:p>
        </w:tc>
        <w:tc>
          <w:tcPr>
            <w:tcW w:w="1920" w:type="dxa"/>
            <w:vAlign w:val="bottom"/>
          </w:tcPr>
          <w:p w14:paraId="6B68471F" w14:textId="77777777" w:rsidR="00D1587D" w:rsidRDefault="00410D07">
            <w:pPr>
              <w:jc w:val="right"/>
              <w:rPr>
                <w:sz w:val="20"/>
                <w:szCs w:val="20"/>
              </w:rPr>
            </w:pPr>
            <w:r>
              <w:rPr>
                <w:rFonts w:ascii="Arial" w:eastAsia="Arial" w:hAnsi="Arial" w:cs="Arial"/>
                <w:sz w:val="18"/>
                <w:szCs w:val="18"/>
              </w:rPr>
              <w:t>21</w:t>
            </w:r>
          </w:p>
        </w:tc>
      </w:tr>
      <w:tr w:rsidR="00D1587D" w14:paraId="3A3DE82D" w14:textId="77777777">
        <w:trPr>
          <w:trHeight w:val="216"/>
        </w:trPr>
        <w:tc>
          <w:tcPr>
            <w:tcW w:w="1040" w:type="dxa"/>
            <w:vAlign w:val="bottom"/>
          </w:tcPr>
          <w:p w14:paraId="5878C09A" w14:textId="77777777" w:rsidR="00D1587D" w:rsidRDefault="00410D07">
            <w:pPr>
              <w:rPr>
                <w:sz w:val="20"/>
                <w:szCs w:val="20"/>
              </w:rPr>
            </w:pPr>
            <w:r>
              <w:rPr>
                <w:rFonts w:ascii="Arial" w:eastAsia="Arial" w:hAnsi="Arial" w:cs="Arial"/>
                <w:w w:val="97"/>
                <w:sz w:val="18"/>
                <w:szCs w:val="18"/>
              </w:rPr>
              <w:t>Section 9.13.</w:t>
            </w:r>
          </w:p>
        </w:tc>
        <w:tc>
          <w:tcPr>
            <w:tcW w:w="8280" w:type="dxa"/>
            <w:vAlign w:val="bottom"/>
          </w:tcPr>
          <w:p w14:paraId="2B81AF82" w14:textId="77777777" w:rsidR="00D1587D" w:rsidRDefault="00410D07">
            <w:pPr>
              <w:ind w:left="100"/>
              <w:rPr>
                <w:sz w:val="20"/>
                <w:szCs w:val="20"/>
              </w:rPr>
            </w:pPr>
            <w:r>
              <w:rPr>
                <w:rFonts w:ascii="Arial" w:eastAsia="Arial" w:hAnsi="Arial" w:cs="Arial"/>
                <w:i/>
                <w:iCs/>
                <w:sz w:val="18"/>
                <w:szCs w:val="18"/>
              </w:rPr>
              <w:t>Specific Performance</w:t>
            </w:r>
          </w:p>
        </w:tc>
        <w:tc>
          <w:tcPr>
            <w:tcW w:w="1920" w:type="dxa"/>
            <w:vAlign w:val="bottom"/>
          </w:tcPr>
          <w:p w14:paraId="2936E6B8" w14:textId="77777777" w:rsidR="00D1587D" w:rsidRDefault="00410D07">
            <w:pPr>
              <w:jc w:val="right"/>
              <w:rPr>
                <w:sz w:val="20"/>
                <w:szCs w:val="20"/>
              </w:rPr>
            </w:pPr>
            <w:r>
              <w:rPr>
                <w:rFonts w:ascii="Arial" w:eastAsia="Arial" w:hAnsi="Arial" w:cs="Arial"/>
                <w:sz w:val="18"/>
                <w:szCs w:val="18"/>
              </w:rPr>
              <w:t>21</w:t>
            </w:r>
          </w:p>
        </w:tc>
      </w:tr>
      <w:tr w:rsidR="00D1587D" w14:paraId="4D00542B" w14:textId="77777777">
        <w:trPr>
          <w:trHeight w:val="216"/>
        </w:trPr>
        <w:tc>
          <w:tcPr>
            <w:tcW w:w="1040" w:type="dxa"/>
            <w:vAlign w:val="bottom"/>
          </w:tcPr>
          <w:p w14:paraId="7400DD30" w14:textId="77777777" w:rsidR="00D1587D" w:rsidRDefault="00410D07">
            <w:pPr>
              <w:rPr>
                <w:sz w:val="20"/>
                <w:szCs w:val="20"/>
              </w:rPr>
            </w:pPr>
            <w:r>
              <w:rPr>
                <w:rFonts w:ascii="Arial" w:eastAsia="Arial" w:hAnsi="Arial" w:cs="Arial"/>
                <w:w w:val="97"/>
                <w:sz w:val="18"/>
                <w:szCs w:val="18"/>
              </w:rPr>
              <w:t>Section 9.14.</w:t>
            </w:r>
          </w:p>
        </w:tc>
        <w:tc>
          <w:tcPr>
            <w:tcW w:w="8280" w:type="dxa"/>
            <w:vAlign w:val="bottom"/>
          </w:tcPr>
          <w:p w14:paraId="60326848" w14:textId="77777777" w:rsidR="00D1587D" w:rsidRDefault="00410D07">
            <w:pPr>
              <w:ind w:left="100"/>
              <w:rPr>
                <w:sz w:val="20"/>
                <w:szCs w:val="20"/>
              </w:rPr>
            </w:pPr>
            <w:r>
              <w:rPr>
                <w:rFonts w:ascii="Arial" w:eastAsia="Arial" w:hAnsi="Arial" w:cs="Arial"/>
                <w:i/>
                <w:iCs/>
                <w:sz w:val="18"/>
                <w:szCs w:val="18"/>
              </w:rPr>
              <w:t>Interpretation</w:t>
            </w:r>
          </w:p>
        </w:tc>
        <w:tc>
          <w:tcPr>
            <w:tcW w:w="1920" w:type="dxa"/>
            <w:vAlign w:val="bottom"/>
          </w:tcPr>
          <w:p w14:paraId="08D77717" w14:textId="77777777" w:rsidR="00D1587D" w:rsidRDefault="00410D07">
            <w:pPr>
              <w:jc w:val="right"/>
              <w:rPr>
                <w:sz w:val="20"/>
                <w:szCs w:val="20"/>
              </w:rPr>
            </w:pPr>
            <w:r>
              <w:rPr>
                <w:rFonts w:ascii="Arial" w:eastAsia="Arial" w:hAnsi="Arial" w:cs="Arial"/>
                <w:sz w:val="18"/>
                <w:szCs w:val="18"/>
              </w:rPr>
              <w:t>21</w:t>
            </w:r>
          </w:p>
        </w:tc>
      </w:tr>
      <w:tr w:rsidR="00D1587D" w14:paraId="418AE23B" w14:textId="77777777">
        <w:trPr>
          <w:trHeight w:val="230"/>
        </w:trPr>
        <w:tc>
          <w:tcPr>
            <w:tcW w:w="1040" w:type="dxa"/>
            <w:vAlign w:val="bottom"/>
          </w:tcPr>
          <w:p w14:paraId="20A9D2E9" w14:textId="77777777" w:rsidR="00D1587D" w:rsidRDefault="00410D07">
            <w:pPr>
              <w:rPr>
                <w:sz w:val="20"/>
                <w:szCs w:val="20"/>
              </w:rPr>
            </w:pPr>
            <w:r>
              <w:rPr>
                <w:rFonts w:ascii="Arial" w:eastAsia="Arial" w:hAnsi="Arial" w:cs="Arial"/>
                <w:w w:val="97"/>
                <w:sz w:val="18"/>
                <w:szCs w:val="18"/>
              </w:rPr>
              <w:t>Section 9.15.</w:t>
            </w:r>
          </w:p>
        </w:tc>
        <w:tc>
          <w:tcPr>
            <w:tcW w:w="8280" w:type="dxa"/>
            <w:vAlign w:val="bottom"/>
          </w:tcPr>
          <w:p w14:paraId="2E0CED97" w14:textId="77777777" w:rsidR="00D1587D" w:rsidRDefault="00410D07">
            <w:pPr>
              <w:ind w:left="100"/>
              <w:rPr>
                <w:sz w:val="20"/>
                <w:szCs w:val="20"/>
              </w:rPr>
            </w:pPr>
            <w:r>
              <w:rPr>
                <w:rFonts w:ascii="Arial" w:eastAsia="Arial" w:hAnsi="Arial" w:cs="Arial"/>
                <w:i/>
                <w:iCs/>
                <w:sz w:val="18"/>
                <w:szCs w:val="18"/>
              </w:rPr>
              <w:t>Integration</w:t>
            </w:r>
          </w:p>
        </w:tc>
        <w:tc>
          <w:tcPr>
            <w:tcW w:w="1920" w:type="dxa"/>
            <w:vAlign w:val="bottom"/>
          </w:tcPr>
          <w:p w14:paraId="4103957E" w14:textId="77777777" w:rsidR="00D1587D" w:rsidRDefault="00410D07">
            <w:pPr>
              <w:jc w:val="right"/>
              <w:rPr>
                <w:sz w:val="20"/>
                <w:szCs w:val="20"/>
              </w:rPr>
            </w:pPr>
            <w:r>
              <w:rPr>
                <w:rFonts w:ascii="Arial" w:eastAsia="Arial" w:hAnsi="Arial" w:cs="Arial"/>
                <w:sz w:val="18"/>
                <w:szCs w:val="18"/>
              </w:rPr>
              <w:t>21</w:t>
            </w:r>
          </w:p>
        </w:tc>
      </w:tr>
    </w:tbl>
    <w:p w14:paraId="0815DB03" w14:textId="77777777" w:rsidR="00D1587D" w:rsidRDefault="00D1587D">
      <w:pPr>
        <w:spacing w:line="216" w:lineRule="exact"/>
        <w:rPr>
          <w:sz w:val="20"/>
          <w:szCs w:val="20"/>
        </w:rPr>
      </w:pPr>
    </w:p>
    <w:p w14:paraId="497FB2F1" w14:textId="77777777" w:rsidR="00D1587D" w:rsidRDefault="00410D07">
      <w:pPr>
        <w:rPr>
          <w:sz w:val="20"/>
          <w:szCs w:val="20"/>
        </w:rPr>
      </w:pPr>
      <w:r>
        <w:rPr>
          <w:rFonts w:ascii="Arial" w:eastAsia="Arial" w:hAnsi="Arial" w:cs="Arial"/>
          <w:b/>
          <w:bCs/>
          <w:u w:val="single"/>
        </w:rPr>
        <w:t>SCHEDULES</w:t>
      </w:r>
    </w:p>
    <w:p w14:paraId="4300B1E0" w14:textId="77777777" w:rsidR="00D1587D" w:rsidRDefault="00D1587D">
      <w:pPr>
        <w:spacing w:line="239" w:lineRule="exact"/>
        <w:rPr>
          <w:sz w:val="20"/>
          <w:szCs w:val="20"/>
        </w:rPr>
      </w:pPr>
    </w:p>
    <w:p w14:paraId="0CB4AE8D" w14:textId="77777777" w:rsidR="00D1587D" w:rsidRDefault="00410D07">
      <w:pPr>
        <w:tabs>
          <w:tab w:val="left" w:pos="1520"/>
        </w:tabs>
        <w:rPr>
          <w:sz w:val="20"/>
          <w:szCs w:val="20"/>
        </w:rPr>
      </w:pPr>
      <w:r>
        <w:rPr>
          <w:rFonts w:ascii="Arial" w:eastAsia="Arial" w:hAnsi="Arial" w:cs="Arial"/>
          <w:u w:val="single"/>
        </w:rPr>
        <w:t>Schedule A</w:t>
      </w:r>
      <w:r>
        <w:rPr>
          <w:sz w:val="20"/>
          <w:szCs w:val="20"/>
        </w:rPr>
        <w:tab/>
      </w:r>
      <w:r>
        <w:rPr>
          <w:rFonts w:ascii="Arial" w:eastAsia="Arial" w:hAnsi="Arial" w:cs="Arial"/>
          <w:sz w:val="19"/>
          <w:szCs w:val="19"/>
        </w:rPr>
        <w:t>Service Schedules</w:t>
      </w:r>
    </w:p>
    <w:p w14:paraId="0A991857" w14:textId="77777777" w:rsidR="00D1587D" w:rsidRDefault="00D1587D">
      <w:pPr>
        <w:spacing w:line="227" w:lineRule="exact"/>
        <w:rPr>
          <w:sz w:val="20"/>
          <w:szCs w:val="20"/>
        </w:rPr>
      </w:pPr>
    </w:p>
    <w:p w14:paraId="2E476F2A" w14:textId="77777777" w:rsidR="00D1587D" w:rsidRDefault="00410D07">
      <w:pPr>
        <w:rPr>
          <w:sz w:val="20"/>
          <w:szCs w:val="20"/>
        </w:rPr>
      </w:pPr>
      <w:r>
        <w:rPr>
          <w:rFonts w:ascii="Arial" w:eastAsia="Arial" w:hAnsi="Arial" w:cs="Arial"/>
          <w:b/>
          <w:bCs/>
          <w:u w:val="single"/>
        </w:rPr>
        <w:t>ANNEXES</w:t>
      </w:r>
    </w:p>
    <w:p w14:paraId="05806285" w14:textId="77777777" w:rsidR="00D1587D" w:rsidRDefault="00D1587D">
      <w:pPr>
        <w:spacing w:line="239" w:lineRule="exact"/>
        <w:rPr>
          <w:sz w:val="20"/>
          <w:szCs w:val="20"/>
        </w:rPr>
      </w:pPr>
    </w:p>
    <w:p w14:paraId="29504E00" w14:textId="77777777" w:rsidR="00D1587D" w:rsidRDefault="00410D07">
      <w:pPr>
        <w:tabs>
          <w:tab w:val="left" w:pos="1320"/>
        </w:tabs>
        <w:rPr>
          <w:sz w:val="20"/>
          <w:szCs w:val="20"/>
        </w:rPr>
      </w:pPr>
      <w:r>
        <w:rPr>
          <w:rFonts w:ascii="Arial" w:eastAsia="Arial" w:hAnsi="Arial" w:cs="Arial"/>
          <w:u w:val="single"/>
        </w:rPr>
        <w:t>Annex A</w:t>
      </w:r>
      <w:r>
        <w:rPr>
          <w:sz w:val="20"/>
          <w:szCs w:val="20"/>
        </w:rPr>
        <w:tab/>
      </w:r>
      <w:r>
        <w:rPr>
          <w:rFonts w:ascii="Arial" w:eastAsia="Arial" w:hAnsi="Arial" w:cs="Arial"/>
          <w:sz w:val="19"/>
          <w:szCs w:val="19"/>
        </w:rPr>
        <w:t xml:space="preserve">Data </w:t>
      </w:r>
      <w:r>
        <w:rPr>
          <w:rFonts w:ascii="Arial" w:eastAsia="Arial" w:hAnsi="Arial" w:cs="Arial"/>
          <w:sz w:val="19"/>
          <w:szCs w:val="19"/>
        </w:rPr>
        <w:t>Processing Addendum</w:t>
      </w:r>
    </w:p>
    <w:p w14:paraId="08CD2CFF" w14:textId="77777777" w:rsidR="00D1587D" w:rsidRDefault="00D1587D">
      <w:pPr>
        <w:spacing w:line="200" w:lineRule="exact"/>
        <w:rPr>
          <w:sz w:val="20"/>
          <w:szCs w:val="20"/>
        </w:rPr>
      </w:pPr>
    </w:p>
    <w:p w14:paraId="4243E1B1" w14:textId="77777777" w:rsidR="00D1587D" w:rsidRDefault="00D1587D">
      <w:pPr>
        <w:spacing w:line="211" w:lineRule="exact"/>
        <w:rPr>
          <w:sz w:val="20"/>
          <w:szCs w:val="20"/>
        </w:rPr>
      </w:pPr>
    </w:p>
    <w:p w14:paraId="41361FD6" w14:textId="77777777" w:rsidR="00D1587D" w:rsidRDefault="00410D07">
      <w:pPr>
        <w:jc w:val="center"/>
        <w:rPr>
          <w:sz w:val="20"/>
          <w:szCs w:val="20"/>
        </w:rPr>
      </w:pPr>
      <w:r>
        <w:rPr>
          <w:rFonts w:ascii="Arial" w:eastAsia="Arial" w:hAnsi="Arial" w:cs="Arial"/>
          <w:sz w:val="14"/>
          <w:szCs w:val="14"/>
        </w:rPr>
        <w:t>ii</w:t>
      </w:r>
    </w:p>
    <w:p w14:paraId="54703B18" w14:textId="77777777" w:rsidR="00D1587D" w:rsidRDefault="00410D07">
      <w:pPr>
        <w:spacing w:line="20" w:lineRule="exact"/>
        <w:rPr>
          <w:sz w:val="20"/>
          <w:szCs w:val="20"/>
        </w:rPr>
      </w:pPr>
      <w:r>
        <w:rPr>
          <w:noProof/>
          <w:sz w:val="20"/>
          <w:szCs w:val="20"/>
        </w:rPr>
        <w:drawing>
          <wp:anchor distT="0" distB="0" distL="114300" distR="114300" simplePos="0" relativeHeight="251238400" behindDoc="1" locked="0" layoutInCell="0" allowOverlap="1" wp14:anchorId="12B4DB77" wp14:editId="3F54165C">
            <wp:simplePos x="0" y="0"/>
            <wp:positionH relativeFrom="column">
              <wp:posOffset>5080</wp:posOffset>
            </wp:positionH>
            <wp:positionV relativeFrom="paragraph">
              <wp:posOffset>38100</wp:posOffset>
            </wp:positionV>
            <wp:extent cx="7132320" cy="1714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097E633" w14:textId="77777777" w:rsidR="00D1587D" w:rsidRDefault="00D1587D">
      <w:pPr>
        <w:sectPr w:rsidR="00D1587D">
          <w:pgSz w:w="11900" w:h="16838"/>
          <w:pgMar w:top="368" w:right="339" w:bottom="1440" w:left="320" w:header="0" w:footer="0" w:gutter="0"/>
          <w:cols w:space="720" w:equalWidth="0">
            <w:col w:w="11240"/>
          </w:cols>
        </w:sectPr>
      </w:pPr>
    </w:p>
    <w:p w14:paraId="0E67349B" w14:textId="77777777" w:rsidR="00D1587D" w:rsidRDefault="00410D07">
      <w:pPr>
        <w:ind w:right="-19"/>
        <w:jc w:val="center"/>
        <w:rPr>
          <w:sz w:val="20"/>
          <w:szCs w:val="20"/>
        </w:rPr>
      </w:pPr>
      <w:bookmarkStart w:id="89" w:name="page90"/>
      <w:bookmarkEnd w:id="89"/>
      <w:r>
        <w:rPr>
          <w:rFonts w:ascii="Arial" w:eastAsia="Arial" w:hAnsi="Arial" w:cs="Arial"/>
          <w:b/>
          <w:bCs/>
        </w:rPr>
        <w:t>L BRANDS TO VS TRANSITION SERVICES AGREEMENT</w:t>
      </w:r>
    </w:p>
    <w:p w14:paraId="2859DE60" w14:textId="77777777" w:rsidR="00D1587D" w:rsidRDefault="00D1587D">
      <w:pPr>
        <w:spacing w:line="234" w:lineRule="exact"/>
        <w:rPr>
          <w:sz w:val="20"/>
          <w:szCs w:val="20"/>
        </w:rPr>
      </w:pPr>
    </w:p>
    <w:p w14:paraId="1AB4C7F8" w14:textId="77777777" w:rsidR="00D1587D" w:rsidRDefault="00410D07">
      <w:pPr>
        <w:ind w:left="660"/>
        <w:rPr>
          <w:sz w:val="20"/>
          <w:szCs w:val="20"/>
        </w:rPr>
      </w:pPr>
      <w:r>
        <w:rPr>
          <w:rFonts w:ascii="Arial" w:eastAsia="Arial" w:hAnsi="Arial" w:cs="Arial"/>
        </w:rPr>
        <w:t>L BRANDS TO VS TRANSITION SERVICES AGREEMENT (this “</w:t>
      </w:r>
      <w:r>
        <w:rPr>
          <w:rFonts w:ascii="Arial" w:eastAsia="Arial" w:hAnsi="Arial" w:cs="Arial"/>
          <w:b/>
          <w:bCs/>
        </w:rPr>
        <w:t>Agreement</w:t>
      </w:r>
      <w:r>
        <w:rPr>
          <w:rFonts w:ascii="Arial" w:eastAsia="Arial" w:hAnsi="Arial" w:cs="Arial"/>
        </w:rPr>
        <w:t>”) dated as of [__], 2021 (the</w:t>
      </w:r>
    </w:p>
    <w:p w14:paraId="24682653" w14:textId="77777777" w:rsidR="00D1587D" w:rsidRDefault="00D1587D">
      <w:pPr>
        <w:spacing w:line="14" w:lineRule="exact"/>
        <w:rPr>
          <w:sz w:val="20"/>
          <w:szCs w:val="20"/>
        </w:rPr>
      </w:pPr>
    </w:p>
    <w:p w14:paraId="4A92FE97" w14:textId="77777777" w:rsidR="00D1587D" w:rsidRDefault="00410D07">
      <w:pPr>
        <w:rPr>
          <w:sz w:val="20"/>
          <w:szCs w:val="20"/>
        </w:rPr>
      </w:pPr>
      <w:r>
        <w:rPr>
          <w:rFonts w:ascii="Arial" w:eastAsia="Arial" w:hAnsi="Arial" w:cs="Arial"/>
          <w:sz w:val="19"/>
          <w:szCs w:val="19"/>
        </w:rPr>
        <w:t>“</w:t>
      </w:r>
      <w:r>
        <w:rPr>
          <w:rFonts w:ascii="Arial" w:eastAsia="Arial" w:hAnsi="Arial" w:cs="Arial"/>
          <w:b/>
          <w:bCs/>
          <w:sz w:val="19"/>
          <w:szCs w:val="19"/>
        </w:rPr>
        <w:t>Effective Date</w:t>
      </w:r>
      <w:r>
        <w:rPr>
          <w:rFonts w:ascii="Arial" w:eastAsia="Arial" w:hAnsi="Arial" w:cs="Arial"/>
          <w:sz w:val="19"/>
          <w:szCs w:val="19"/>
        </w:rPr>
        <w:t xml:space="preserve">”) between Victoria’s Secret &amp; Co., a Delaware </w:t>
      </w:r>
      <w:r>
        <w:rPr>
          <w:rFonts w:ascii="Arial" w:eastAsia="Arial" w:hAnsi="Arial" w:cs="Arial"/>
          <w:sz w:val="19"/>
          <w:szCs w:val="19"/>
        </w:rPr>
        <w:t>corporation (“</w:t>
      </w:r>
      <w:r>
        <w:rPr>
          <w:rFonts w:ascii="Arial" w:eastAsia="Arial" w:hAnsi="Arial" w:cs="Arial"/>
          <w:b/>
          <w:bCs/>
          <w:sz w:val="19"/>
          <w:szCs w:val="19"/>
        </w:rPr>
        <w:t>VS</w:t>
      </w:r>
      <w:r>
        <w:rPr>
          <w:rFonts w:ascii="Arial" w:eastAsia="Arial" w:hAnsi="Arial" w:cs="Arial"/>
          <w:sz w:val="19"/>
          <w:szCs w:val="19"/>
        </w:rPr>
        <w:t>”), and L Brands, Inc., a Delaware corporation</w:t>
      </w:r>
    </w:p>
    <w:p w14:paraId="043DC8CA" w14:textId="77777777" w:rsidR="00D1587D" w:rsidRDefault="00D1587D">
      <w:pPr>
        <w:spacing w:line="25" w:lineRule="exact"/>
        <w:rPr>
          <w:sz w:val="20"/>
          <w:szCs w:val="20"/>
        </w:rPr>
      </w:pPr>
    </w:p>
    <w:p w14:paraId="514CB05E" w14:textId="77777777" w:rsidR="00D1587D" w:rsidRDefault="00410D07">
      <w:pPr>
        <w:rPr>
          <w:sz w:val="20"/>
          <w:szCs w:val="20"/>
        </w:rPr>
      </w:pPr>
      <w:r>
        <w:rPr>
          <w:rFonts w:ascii="Arial" w:eastAsia="Arial" w:hAnsi="Arial" w:cs="Arial"/>
        </w:rPr>
        <w:t>(“</w:t>
      </w:r>
      <w:r>
        <w:rPr>
          <w:rFonts w:ascii="Arial" w:eastAsia="Arial" w:hAnsi="Arial" w:cs="Arial"/>
          <w:b/>
          <w:bCs/>
        </w:rPr>
        <w:t>Service Provider</w:t>
      </w:r>
      <w:r>
        <w:rPr>
          <w:rFonts w:ascii="Arial" w:eastAsia="Arial" w:hAnsi="Arial" w:cs="Arial"/>
        </w:rPr>
        <w:t>”).</w:t>
      </w:r>
    </w:p>
    <w:p w14:paraId="0616EED4" w14:textId="77777777" w:rsidR="00D1587D" w:rsidRDefault="00D1587D">
      <w:pPr>
        <w:spacing w:line="209" w:lineRule="exact"/>
        <w:rPr>
          <w:sz w:val="20"/>
          <w:szCs w:val="20"/>
        </w:rPr>
      </w:pPr>
    </w:p>
    <w:p w14:paraId="38D4E4FA" w14:textId="77777777" w:rsidR="00D1587D" w:rsidRDefault="00410D07">
      <w:pPr>
        <w:ind w:right="-19"/>
        <w:jc w:val="center"/>
        <w:rPr>
          <w:sz w:val="20"/>
          <w:szCs w:val="20"/>
        </w:rPr>
      </w:pPr>
      <w:r>
        <w:rPr>
          <w:rFonts w:ascii="Arial" w:eastAsia="Arial" w:hAnsi="Arial" w:cs="Arial"/>
          <w:b/>
          <w:bCs/>
        </w:rPr>
        <w:t>W I T N E S S E T H :</w:t>
      </w:r>
    </w:p>
    <w:p w14:paraId="5A6119DE" w14:textId="77777777" w:rsidR="00D1587D" w:rsidRDefault="00D1587D">
      <w:pPr>
        <w:spacing w:line="239" w:lineRule="exact"/>
        <w:rPr>
          <w:sz w:val="20"/>
          <w:szCs w:val="20"/>
        </w:rPr>
      </w:pPr>
    </w:p>
    <w:p w14:paraId="5A2A4BB0" w14:textId="77777777" w:rsidR="00D1587D" w:rsidRDefault="00410D07">
      <w:pPr>
        <w:spacing w:line="297" w:lineRule="auto"/>
        <w:ind w:right="60" w:firstLine="648"/>
        <w:rPr>
          <w:sz w:val="20"/>
          <w:szCs w:val="20"/>
        </w:rPr>
      </w:pPr>
      <w:r>
        <w:rPr>
          <w:rFonts w:ascii="Arial" w:eastAsia="Arial" w:hAnsi="Arial" w:cs="Arial"/>
          <w:sz w:val="19"/>
          <w:szCs w:val="19"/>
        </w:rPr>
        <w:t>WHEREAS, VS and Service Provider have entered into a Separation and Distribution Agreement dated as of [__], 2021 (the “</w:t>
      </w:r>
      <w:r>
        <w:rPr>
          <w:rFonts w:ascii="Arial" w:eastAsia="Arial" w:hAnsi="Arial" w:cs="Arial"/>
          <w:b/>
          <w:bCs/>
          <w:sz w:val="19"/>
          <w:szCs w:val="19"/>
        </w:rPr>
        <w:t>Separation Agreement</w:t>
      </w:r>
      <w:r>
        <w:rPr>
          <w:rFonts w:ascii="Arial" w:eastAsia="Arial" w:hAnsi="Arial" w:cs="Arial"/>
          <w:sz w:val="19"/>
          <w:szCs w:val="19"/>
        </w:rPr>
        <w:t>”), pu</w:t>
      </w:r>
      <w:r>
        <w:rPr>
          <w:rFonts w:ascii="Arial" w:eastAsia="Arial" w:hAnsi="Arial" w:cs="Arial"/>
          <w:sz w:val="19"/>
          <w:szCs w:val="19"/>
        </w:rPr>
        <w:t>rsuant to which and on the terms and conditions set forth therein, among other things, Service Provider has agreed to distribute the VS Business to the holders of the L Brands Common Stock as of the Record Date;</w:t>
      </w:r>
    </w:p>
    <w:p w14:paraId="23A68A50" w14:textId="77777777" w:rsidR="00D1587D" w:rsidRDefault="00D1587D">
      <w:pPr>
        <w:spacing w:line="161" w:lineRule="exact"/>
        <w:rPr>
          <w:sz w:val="20"/>
          <w:szCs w:val="20"/>
        </w:rPr>
      </w:pPr>
    </w:p>
    <w:p w14:paraId="4714DDB4" w14:textId="77777777" w:rsidR="00D1587D" w:rsidRDefault="00410D07">
      <w:pPr>
        <w:ind w:right="160" w:firstLine="648"/>
        <w:rPr>
          <w:sz w:val="20"/>
          <w:szCs w:val="20"/>
        </w:rPr>
      </w:pPr>
      <w:r>
        <w:rPr>
          <w:rFonts w:ascii="Arial" w:eastAsia="Arial" w:hAnsi="Arial" w:cs="Arial"/>
        </w:rPr>
        <w:t>WHEREAS, pursuant to the Separation Agreeme</w:t>
      </w:r>
      <w:r>
        <w:rPr>
          <w:rFonts w:ascii="Arial" w:eastAsia="Arial" w:hAnsi="Arial" w:cs="Arial"/>
        </w:rPr>
        <w:t>nt, Service Provider has agreed to enter into this Agreement to cause to be provided certain services to the Service Recipients on the terms and conditions set forth herein in connection with the transactions contemplated by the Separation Agreement; and</w:t>
      </w:r>
    </w:p>
    <w:p w14:paraId="068A168A" w14:textId="77777777" w:rsidR="00D1587D" w:rsidRDefault="00D1587D">
      <w:pPr>
        <w:spacing w:line="213" w:lineRule="exact"/>
        <w:rPr>
          <w:sz w:val="20"/>
          <w:szCs w:val="20"/>
        </w:rPr>
      </w:pPr>
    </w:p>
    <w:p w14:paraId="7A8F5EEE" w14:textId="77777777" w:rsidR="00D1587D" w:rsidRDefault="00410D07">
      <w:pPr>
        <w:ind w:right="60" w:firstLine="648"/>
        <w:rPr>
          <w:sz w:val="20"/>
          <w:szCs w:val="20"/>
        </w:rPr>
      </w:pPr>
      <w:r>
        <w:rPr>
          <w:rFonts w:ascii="Arial" w:eastAsia="Arial" w:hAnsi="Arial" w:cs="Arial"/>
        </w:rPr>
        <w:t xml:space="preserve">WHEREAS, Service Provider has agreed to cause the Services to be provided in accordance with the terms hereof in order to facilitate the orderly transition of the VS Business from L Brands and the members of the L Brands Group to VS and the members of the </w:t>
      </w:r>
      <w:r>
        <w:rPr>
          <w:rFonts w:ascii="Arial" w:eastAsia="Arial" w:hAnsi="Arial" w:cs="Arial"/>
        </w:rPr>
        <w:t>VS Group.</w:t>
      </w:r>
    </w:p>
    <w:p w14:paraId="6939D681" w14:textId="77777777" w:rsidR="00D1587D" w:rsidRDefault="00D1587D">
      <w:pPr>
        <w:spacing w:line="213" w:lineRule="exact"/>
        <w:rPr>
          <w:sz w:val="20"/>
          <w:szCs w:val="20"/>
        </w:rPr>
      </w:pPr>
    </w:p>
    <w:p w14:paraId="6AE7116A" w14:textId="77777777" w:rsidR="00D1587D" w:rsidRDefault="00410D07">
      <w:pPr>
        <w:spacing w:line="328" w:lineRule="auto"/>
        <w:ind w:firstLine="648"/>
        <w:rPr>
          <w:sz w:val="20"/>
          <w:szCs w:val="20"/>
        </w:rPr>
      </w:pPr>
      <w:r>
        <w:rPr>
          <w:rFonts w:ascii="Arial" w:eastAsia="Arial" w:hAnsi="Arial" w:cs="Arial"/>
          <w:sz w:val="19"/>
          <w:szCs w:val="19"/>
        </w:rPr>
        <w:t>NOW, THEREFORE, in consideration of the covenants and agreements contained herein and other good and valuable consideration, the receipt and sufficiency of which are hereby mutually acknowledged, the parties hereto hereby agree as follows:</w:t>
      </w:r>
    </w:p>
    <w:p w14:paraId="3D9407B1" w14:textId="77777777" w:rsidR="00D1587D" w:rsidRDefault="00D1587D">
      <w:pPr>
        <w:spacing w:line="132" w:lineRule="exact"/>
        <w:rPr>
          <w:sz w:val="20"/>
          <w:szCs w:val="20"/>
        </w:rPr>
      </w:pPr>
    </w:p>
    <w:p w14:paraId="72F7F8A0" w14:textId="77777777" w:rsidR="00D1587D" w:rsidRDefault="00410D07">
      <w:pPr>
        <w:ind w:right="-19"/>
        <w:jc w:val="center"/>
        <w:rPr>
          <w:sz w:val="20"/>
          <w:szCs w:val="20"/>
        </w:rPr>
      </w:pPr>
      <w:r>
        <w:rPr>
          <w:rFonts w:ascii="Arial" w:eastAsia="Arial" w:hAnsi="Arial" w:cs="Arial"/>
        </w:rPr>
        <w:t>ARTI</w:t>
      </w:r>
      <w:r>
        <w:rPr>
          <w:rFonts w:ascii="Arial" w:eastAsia="Arial" w:hAnsi="Arial" w:cs="Arial"/>
        </w:rPr>
        <w:t>CLE 1</w:t>
      </w:r>
    </w:p>
    <w:p w14:paraId="2E09FE79" w14:textId="77777777" w:rsidR="00D1587D" w:rsidRDefault="00D1587D">
      <w:pPr>
        <w:spacing w:line="8" w:lineRule="exact"/>
        <w:rPr>
          <w:sz w:val="20"/>
          <w:szCs w:val="20"/>
        </w:rPr>
      </w:pPr>
    </w:p>
    <w:p w14:paraId="5074349C" w14:textId="77777777" w:rsidR="00D1587D" w:rsidRDefault="00410D07">
      <w:pPr>
        <w:ind w:right="-19"/>
        <w:jc w:val="center"/>
        <w:rPr>
          <w:sz w:val="20"/>
          <w:szCs w:val="20"/>
        </w:rPr>
      </w:pPr>
      <w:r>
        <w:rPr>
          <w:rFonts w:ascii="Arial" w:eastAsia="Arial" w:hAnsi="Arial" w:cs="Arial"/>
        </w:rPr>
        <w:t>D</w:t>
      </w:r>
      <w:r>
        <w:rPr>
          <w:rFonts w:ascii="Arial" w:eastAsia="Arial" w:hAnsi="Arial" w:cs="Arial"/>
          <w:sz w:val="14"/>
          <w:szCs w:val="14"/>
        </w:rPr>
        <w:t>EFINITIONS</w:t>
      </w:r>
    </w:p>
    <w:p w14:paraId="1513178C" w14:textId="77777777" w:rsidR="00D1587D" w:rsidRDefault="00D1587D">
      <w:pPr>
        <w:spacing w:line="215" w:lineRule="exact"/>
        <w:rPr>
          <w:sz w:val="20"/>
          <w:szCs w:val="20"/>
        </w:rPr>
      </w:pPr>
    </w:p>
    <w:p w14:paraId="187B054B" w14:textId="77777777" w:rsidR="00D1587D" w:rsidRDefault="00410D07">
      <w:pPr>
        <w:tabs>
          <w:tab w:val="left" w:pos="2300"/>
        </w:tabs>
        <w:ind w:left="660"/>
        <w:rPr>
          <w:sz w:val="20"/>
          <w:szCs w:val="20"/>
        </w:rPr>
      </w:pPr>
      <w:r>
        <w:rPr>
          <w:rFonts w:ascii="Arial" w:eastAsia="Arial" w:hAnsi="Arial" w:cs="Arial"/>
        </w:rPr>
        <w:t>Section 1.01.</w:t>
      </w:r>
      <w:r>
        <w:rPr>
          <w:sz w:val="20"/>
          <w:szCs w:val="20"/>
        </w:rPr>
        <w:tab/>
      </w:r>
      <w:r>
        <w:rPr>
          <w:rFonts w:ascii="Arial" w:eastAsia="Arial" w:hAnsi="Arial" w:cs="Arial"/>
          <w:i/>
          <w:iCs/>
          <w:sz w:val="19"/>
          <w:szCs w:val="19"/>
        </w:rPr>
        <w:t>Definitions</w:t>
      </w:r>
      <w:r>
        <w:rPr>
          <w:rFonts w:ascii="Arial" w:eastAsia="Arial" w:hAnsi="Arial" w:cs="Arial"/>
          <w:sz w:val="19"/>
          <w:szCs w:val="19"/>
        </w:rPr>
        <w:t>. (a) As used herein, the following terms shall have the following meanings:</w:t>
      </w:r>
    </w:p>
    <w:p w14:paraId="4286C0E6" w14:textId="77777777" w:rsidR="00D1587D" w:rsidRDefault="00D1587D">
      <w:pPr>
        <w:spacing w:line="227" w:lineRule="exact"/>
        <w:rPr>
          <w:sz w:val="20"/>
          <w:szCs w:val="20"/>
        </w:rPr>
      </w:pPr>
    </w:p>
    <w:p w14:paraId="46A3094D" w14:textId="77777777" w:rsidR="00D1587D" w:rsidRDefault="00410D07">
      <w:pPr>
        <w:spacing w:line="239" w:lineRule="auto"/>
        <w:ind w:right="60" w:firstLine="648"/>
        <w:rPr>
          <w:sz w:val="20"/>
          <w:szCs w:val="20"/>
        </w:rPr>
      </w:pPr>
      <w:r>
        <w:rPr>
          <w:rFonts w:ascii="Arial" w:eastAsia="Arial" w:hAnsi="Arial" w:cs="Arial"/>
        </w:rPr>
        <w:t>“</w:t>
      </w:r>
      <w:r>
        <w:rPr>
          <w:rFonts w:ascii="Arial" w:eastAsia="Arial" w:hAnsi="Arial" w:cs="Arial"/>
          <w:b/>
          <w:bCs/>
        </w:rPr>
        <w:t>Dependent Services</w:t>
      </w:r>
      <w:r>
        <w:rPr>
          <w:rFonts w:ascii="Arial" w:eastAsia="Arial" w:hAnsi="Arial" w:cs="Arial"/>
        </w:rPr>
        <w:t xml:space="preserve">” means, with respect to any specified Service (or portion thereof), any and all Services (or portion </w:t>
      </w:r>
      <w:r>
        <w:rPr>
          <w:rFonts w:ascii="Arial" w:eastAsia="Arial" w:hAnsi="Arial" w:cs="Arial"/>
        </w:rPr>
        <w:t>thereof) that, in Service Provider’s good faith reasonable determination, are dependent on the continuation of such specified Service (or portion thereof) or would be adversely affected by the termination or suspension of such specified Service (or portion</w:t>
      </w:r>
      <w:r>
        <w:rPr>
          <w:rFonts w:ascii="Arial" w:eastAsia="Arial" w:hAnsi="Arial" w:cs="Arial"/>
        </w:rPr>
        <w:t xml:space="preserve"> thereof).</w:t>
      </w:r>
    </w:p>
    <w:p w14:paraId="77A8AF54" w14:textId="77777777" w:rsidR="00D1587D" w:rsidRDefault="00D1587D">
      <w:pPr>
        <w:spacing w:line="207" w:lineRule="exact"/>
        <w:rPr>
          <w:sz w:val="20"/>
          <w:szCs w:val="20"/>
        </w:rPr>
      </w:pPr>
    </w:p>
    <w:p w14:paraId="1D5B19FC" w14:textId="77777777" w:rsidR="00D1587D" w:rsidRDefault="00410D07">
      <w:pPr>
        <w:spacing w:line="239" w:lineRule="auto"/>
        <w:ind w:right="180" w:firstLine="648"/>
        <w:rPr>
          <w:sz w:val="20"/>
          <w:szCs w:val="20"/>
        </w:rPr>
      </w:pPr>
      <w:r>
        <w:rPr>
          <w:rFonts w:ascii="Arial" w:eastAsia="Arial" w:hAnsi="Arial" w:cs="Arial"/>
        </w:rPr>
        <w:t>“</w:t>
      </w:r>
      <w:r>
        <w:rPr>
          <w:rFonts w:ascii="Arial" w:eastAsia="Arial" w:hAnsi="Arial" w:cs="Arial"/>
          <w:b/>
          <w:bCs/>
        </w:rPr>
        <w:t>Disengagement Costs</w:t>
      </w:r>
      <w:r>
        <w:rPr>
          <w:rFonts w:ascii="Arial" w:eastAsia="Arial" w:hAnsi="Arial" w:cs="Arial"/>
        </w:rPr>
        <w:t>” means any and all costs, charges and expenses of any kind incurred by Service Provider or any of its Affiliates in connection with the termination of this Agreement or relating to the cessation of any Services hereunder, i</w:t>
      </w:r>
      <w:r>
        <w:rPr>
          <w:rFonts w:ascii="Arial" w:eastAsia="Arial" w:hAnsi="Arial" w:cs="Arial"/>
        </w:rPr>
        <w:t>ncluding all third party charges, costs or fees, all third party cancellation or termination charges, costs or fees and the market value of all Disengagement Services provided by other Persons.</w:t>
      </w:r>
    </w:p>
    <w:p w14:paraId="4B00A4C0" w14:textId="77777777" w:rsidR="00D1587D" w:rsidRDefault="00D1587D">
      <w:pPr>
        <w:spacing w:line="207" w:lineRule="exact"/>
        <w:rPr>
          <w:sz w:val="20"/>
          <w:szCs w:val="20"/>
        </w:rPr>
      </w:pPr>
    </w:p>
    <w:p w14:paraId="72BD292C" w14:textId="77777777" w:rsidR="00D1587D" w:rsidRDefault="00410D07">
      <w:pPr>
        <w:spacing w:line="334" w:lineRule="auto"/>
        <w:ind w:firstLine="648"/>
        <w:rPr>
          <w:sz w:val="20"/>
          <w:szCs w:val="20"/>
        </w:rPr>
      </w:pPr>
      <w:r>
        <w:rPr>
          <w:rFonts w:ascii="Arial" w:eastAsia="Arial" w:hAnsi="Arial" w:cs="Arial"/>
          <w:sz w:val="19"/>
          <w:szCs w:val="19"/>
        </w:rPr>
        <w:t>“</w:t>
      </w:r>
      <w:r>
        <w:rPr>
          <w:rFonts w:ascii="Arial" w:eastAsia="Arial" w:hAnsi="Arial" w:cs="Arial"/>
          <w:b/>
          <w:bCs/>
          <w:sz w:val="19"/>
          <w:szCs w:val="19"/>
        </w:rPr>
        <w:t>Disengagement Services</w:t>
      </w:r>
      <w:r>
        <w:rPr>
          <w:rFonts w:ascii="Arial" w:eastAsia="Arial" w:hAnsi="Arial" w:cs="Arial"/>
          <w:sz w:val="19"/>
          <w:szCs w:val="19"/>
        </w:rPr>
        <w:t>” means all services (other than the S</w:t>
      </w:r>
      <w:r>
        <w:rPr>
          <w:rFonts w:ascii="Arial" w:eastAsia="Arial" w:hAnsi="Arial" w:cs="Arial"/>
          <w:sz w:val="19"/>
          <w:szCs w:val="19"/>
        </w:rPr>
        <w:t>ervices) provided hereunder at the request of VS primarily for the purpose of disengaging and transitioning Services from Service Provider and its Affiliates to VS or any of its Affiliates.</w:t>
      </w:r>
    </w:p>
    <w:p w14:paraId="5DE16B81" w14:textId="77777777" w:rsidR="00D1587D" w:rsidRDefault="00D1587D">
      <w:pPr>
        <w:spacing w:line="121" w:lineRule="exact"/>
        <w:rPr>
          <w:sz w:val="20"/>
          <w:szCs w:val="20"/>
        </w:rPr>
      </w:pPr>
    </w:p>
    <w:p w14:paraId="2BE60AB5" w14:textId="77777777" w:rsidR="00D1587D" w:rsidRDefault="00410D07">
      <w:pPr>
        <w:ind w:left="660"/>
        <w:rPr>
          <w:sz w:val="20"/>
          <w:szCs w:val="20"/>
        </w:rPr>
      </w:pPr>
      <w:r>
        <w:rPr>
          <w:rFonts w:ascii="Arial" w:eastAsia="Arial" w:hAnsi="Arial" w:cs="Arial"/>
        </w:rPr>
        <w:t>“</w:t>
      </w:r>
      <w:r>
        <w:rPr>
          <w:rFonts w:ascii="Arial" w:eastAsia="Arial" w:hAnsi="Arial" w:cs="Arial"/>
          <w:b/>
          <w:bCs/>
        </w:rPr>
        <w:t>Service Costs</w:t>
      </w:r>
      <w:r>
        <w:rPr>
          <w:rFonts w:ascii="Arial" w:eastAsia="Arial" w:hAnsi="Arial" w:cs="Arial"/>
        </w:rPr>
        <w:t>” means the Service Fees and Service Taxes.</w:t>
      </w:r>
    </w:p>
    <w:p w14:paraId="3335893D" w14:textId="77777777" w:rsidR="00D1587D" w:rsidRDefault="00D1587D">
      <w:pPr>
        <w:spacing w:line="233" w:lineRule="exact"/>
        <w:rPr>
          <w:sz w:val="20"/>
          <w:szCs w:val="20"/>
        </w:rPr>
      </w:pPr>
    </w:p>
    <w:p w14:paraId="27DEA794" w14:textId="77777777" w:rsidR="00D1587D" w:rsidRDefault="00410D07">
      <w:pPr>
        <w:spacing w:line="243" w:lineRule="auto"/>
        <w:ind w:right="340" w:firstLine="648"/>
        <w:rPr>
          <w:sz w:val="20"/>
          <w:szCs w:val="20"/>
        </w:rPr>
      </w:pPr>
      <w:r>
        <w:rPr>
          <w:rFonts w:ascii="Arial" w:eastAsia="Arial" w:hAnsi="Arial" w:cs="Arial"/>
        </w:rPr>
        <w:t>“</w:t>
      </w:r>
      <w:r>
        <w:rPr>
          <w:rFonts w:ascii="Arial" w:eastAsia="Arial" w:hAnsi="Arial" w:cs="Arial"/>
          <w:b/>
          <w:bCs/>
        </w:rPr>
        <w:t>Servi</w:t>
      </w:r>
      <w:r>
        <w:rPr>
          <w:rFonts w:ascii="Arial" w:eastAsia="Arial" w:hAnsi="Arial" w:cs="Arial"/>
          <w:b/>
          <w:bCs/>
        </w:rPr>
        <w:t>ces</w:t>
      </w:r>
      <w:r>
        <w:rPr>
          <w:rFonts w:ascii="Arial" w:eastAsia="Arial" w:hAnsi="Arial" w:cs="Arial"/>
        </w:rPr>
        <w:t xml:space="preserve">” means, subject to the limitations set forth herein and solely to the extent related to the VS Business, the transition services described on </w:t>
      </w:r>
      <w:r>
        <w:rPr>
          <w:rFonts w:ascii="Arial" w:eastAsia="Arial" w:hAnsi="Arial" w:cs="Arial"/>
          <w:u w:val="single"/>
        </w:rPr>
        <w:t>Schedules A-1 through A-[__]</w:t>
      </w:r>
      <w:r>
        <w:rPr>
          <w:rFonts w:ascii="Arial" w:eastAsia="Arial" w:hAnsi="Arial" w:cs="Arial"/>
        </w:rPr>
        <w:t>; each such schedule a “</w:t>
      </w:r>
      <w:r>
        <w:rPr>
          <w:rFonts w:ascii="Arial" w:eastAsia="Arial" w:hAnsi="Arial" w:cs="Arial"/>
          <w:b/>
          <w:bCs/>
        </w:rPr>
        <w:t>Service Schedule</w:t>
      </w:r>
      <w:r>
        <w:rPr>
          <w:rFonts w:ascii="Arial" w:eastAsia="Arial" w:hAnsi="Arial" w:cs="Arial"/>
        </w:rPr>
        <w:t>” and collectively the “</w:t>
      </w:r>
      <w:r>
        <w:rPr>
          <w:rFonts w:ascii="Arial" w:eastAsia="Arial" w:hAnsi="Arial" w:cs="Arial"/>
          <w:b/>
          <w:bCs/>
        </w:rPr>
        <w:t>Service Schedules</w:t>
      </w:r>
      <w:r>
        <w:rPr>
          <w:rFonts w:ascii="Arial" w:eastAsia="Arial" w:hAnsi="Arial" w:cs="Arial"/>
        </w:rPr>
        <w:t>”</w:t>
      </w:r>
      <w:r>
        <w:rPr>
          <w:rFonts w:ascii="Arial" w:eastAsia="Arial" w:hAnsi="Arial" w:cs="Arial"/>
        </w:rPr>
        <w:t>.</w:t>
      </w:r>
    </w:p>
    <w:p w14:paraId="23CF9802" w14:textId="77777777" w:rsidR="00D1587D" w:rsidRDefault="00410D07">
      <w:pPr>
        <w:spacing w:line="20" w:lineRule="exact"/>
        <w:rPr>
          <w:sz w:val="20"/>
          <w:szCs w:val="20"/>
        </w:rPr>
      </w:pPr>
      <w:r>
        <w:rPr>
          <w:noProof/>
          <w:sz w:val="20"/>
          <w:szCs w:val="20"/>
        </w:rPr>
        <w:drawing>
          <wp:anchor distT="0" distB="0" distL="114300" distR="114300" simplePos="0" relativeHeight="251239424" behindDoc="1" locked="0" layoutInCell="0" allowOverlap="1" wp14:anchorId="17EA8EC2" wp14:editId="1C7358F5">
            <wp:simplePos x="0" y="0"/>
            <wp:positionH relativeFrom="column">
              <wp:posOffset>5080</wp:posOffset>
            </wp:positionH>
            <wp:positionV relativeFrom="paragraph">
              <wp:posOffset>104140</wp:posOffset>
            </wp:positionV>
            <wp:extent cx="7132320" cy="1714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E0743E3" w14:textId="77777777" w:rsidR="00D1587D" w:rsidRDefault="00D1587D">
      <w:pPr>
        <w:sectPr w:rsidR="00D1587D">
          <w:pgSz w:w="11900" w:h="16838"/>
          <w:pgMar w:top="111" w:right="359" w:bottom="1440" w:left="320" w:header="0" w:footer="0" w:gutter="0"/>
          <w:cols w:space="720" w:equalWidth="0">
            <w:col w:w="11220"/>
          </w:cols>
        </w:sectPr>
      </w:pPr>
    </w:p>
    <w:p w14:paraId="27C46064" w14:textId="77777777" w:rsidR="00D1587D" w:rsidRDefault="00410D07">
      <w:pPr>
        <w:spacing w:line="243" w:lineRule="auto"/>
        <w:ind w:right="160" w:firstLine="648"/>
        <w:rPr>
          <w:sz w:val="20"/>
          <w:szCs w:val="20"/>
        </w:rPr>
      </w:pPr>
      <w:bookmarkStart w:id="90" w:name="page91"/>
      <w:bookmarkEnd w:id="90"/>
      <w:r>
        <w:rPr>
          <w:rFonts w:ascii="Arial" w:eastAsia="Arial" w:hAnsi="Arial" w:cs="Arial"/>
        </w:rPr>
        <w:t>“</w:t>
      </w:r>
      <w:r>
        <w:rPr>
          <w:rFonts w:ascii="Arial" w:eastAsia="Arial" w:hAnsi="Arial" w:cs="Arial"/>
          <w:b/>
          <w:bCs/>
        </w:rPr>
        <w:t>TSA Employee</w:t>
      </w:r>
      <w:r>
        <w:rPr>
          <w:rFonts w:ascii="Arial" w:eastAsia="Arial" w:hAnsi="Arial" w:cs="Arial"/>
        </w:rPr>
        <w:t xml:space="preserve">” means each individual who (i) is employed by Service Provider or any of its Affiliates (other than, for the avoidance of doubt, any employee of any Service Recipient) and (ii) provides Services (or any portion </w:t>
      </w:r>
      <w:r>
        <w:rPr>
          <w:rFonts w:ascii="Arial" w:eastAsia="Arial" w:hAnsi="Arial" w:cs="Arial"/>
        </w:rPr>
        <w:t>thereof) pursuant to this Agreement.</w:t>
      </w:r>
    </w:p>
    <w:p w14:paraId="33B298CC" w14:textId="77777777" w:rsidR="00D1587D" w:rsidRDefault="00D1587D">
      <w:pPr>
        <w:spacing w:line="210" w:lineRule="exact"/>
        <w:rPr>
          <w:sz w:val="20"/>
          <w:szCs w:val="20"/>
        </w:rPr>
      </w:pPr>
    </w:p>
    <w:p w14:paraId="659C93FD" w14:textId="77777777" w:rsidR="00D1587D" w:rsidRDefault="00410D07">
      <w:pPr>
        <w:numPr>
          <w:ilvl w:val="0"/>
          <w:numId w:val="54"/>
        </w:numPr>
        <w:tabs>
          <w:tab w:val="left" w:pos="1428"/>
        </w:tabs>
        <w:spacing w:line="250" w:lineRule="auto"/>
        <w:ind w:right="960" w:firstLine="656"/>
        <w:rPr>
          <w:rFonts w:ascii="Arial" w:eastAsia="Arial" w:hAnsi="Arial" w:cs="Arial"/>
        </w:rPr>
      </w:pPr>
      <w:r>
        <w:rPr>
          <w:rFonts w:ascii="Arial" w:eastAsia="Arial" w:hAnsi="Arial" w:cs="Arial"/>
        </w:rPr>
        <w:t>All capitalized terms used but not defined herein shall have the meanings ascribed to such terms in the Separation Agreement.</w:t>
      </w:r>
    </w:p>
    <w:p w14:paraId="42E62E7F" w14:textId="77777777" w:rsidR="00D1587D" w:rsidRDefault="00D1587D">
      <w:pPr>
        <w:spacing w:line="201" w:lineRule="exact"/>
        <w:rPr>
          <w:rFonts w:ascii="Arial" w:eastAsia="Arial" w:hAnsi="Arial" w:cs="Arial"/>
        </w:rPr>
      </w:pPr>
    </w:p>
    <w:p w14:paraId="139292F5" w14:textId="77777777" w:rsidR="00D1587D" w:rsidRDefault="00410D07">
      <w:pPr>
        <w:numPr>
          <w:ilvl w:val="0"/>
          <w:numId w:val="54"/>
        </w:numPr>
        <w:tabs>
          <w:tab w:val="left" w:pos="1440"/>
        </w:tabs>
        <w:ind w:left="1440" w:hanging="784"/>
        <w:rPr>
          <w:rFonts w:ascii="Arial" w:eastAsia="Arial" w:hAnsi="Arial" w:cs="Arial"/>
        </w:rPr>
      </w:pPr>
      <w:r>
        <w:rPr>
          <w:rFonts w:ascii="Arial" w:eastAsia="Arial" w:hAnsi="Arial" w:cs="Arial"/>
        </w:rPr>
        <w:t>Each of the following terms is defined in the Section set forth opposite such term:</w:t>
      </w:r>
    </w:p>
    <w:p w14:paraId="791C8C27" w14:textId="77777777" w:rsidR="00D1587D" w:rsidRDefault="00D1587D">
      <w:pPr>
        <w:spacing w:line="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80"/>
        <w:gridCol w:w="7160"/>
      </w:tblGrid>
      <w:tr w:rsidR="00D1587D" w14:paraId="465559D1" w14:textId="77777777">
        <w:trPr>
          <w:trHeight w:val="207"/>
        </w:trPr>
        <w:tc>
          <w:tcPr>
            <w:tcW w:w="4080" w:type="dxa"/>
            <w:vAlign w:val="bottom"/>
          </w:tcPr>
          <w:p w14:paraId="5739BB7D" w14:textId="77777777" w:rsidR="00D1587D" w:rsidRDefault="00410D07">
            <w:pPr>
              <w:rPr>
                <w:sz w:val="20"/>
                <w:szCs w:val="20"/>
              </w:rPr>
            </w:pPr>
            <w:r>
              <w:rPr>
                <w:rFonts w:ascii="Arial" w:eastAsia="Arial" w:hAnsi="Arial" w:cs="Arial"/>
                <w:b/>
                <w:bCs/>
                <w:sz w:val="18"/>
                <w:szCs w:val="18"/>
              </w:rPr>
              <w:t>Term</w:t>
            </w:r>
          </w:p>
        </w:tc>
        <w:tc>
          <w:tcPr>
            <w:tcW w:w="7160" w:type="dxa"/>
            <w:vAlign w:val="bottom"/>
          </w:tcPr>
          <w:p w14:paraId="5CDA860C" w14:textId="77777777" w:rsidR="00D1587D" w:rsidRDefault="00410D07">
            <w:pPr>
              <w:ind w:left="4600"/>
              <w:rPr>
                <w:sz w:val="20"/>
                <w:szCs w:val="20"/>
              </w:rPr>
            </w:pPr>
            <w:r>
              <w:rPr>
                <w:rFonts w:ascii="Arial" w:eastAsia="Arial" w:hAnsi="Arial" w:cs="Arial"/>
                <w:b/>
                <w:bCs/>
                <w:sz w:val="18"/>
                <w:szCs w:val="18"/>
              </w:rPr>
              <w:t>S</w:t>
            </w:r>
            <w:r>
              <w:rPr>
                <w:rFonts w:ascii="Arial" w:eastAsia="Arial" w:hAnsi="Arial" w:cs="Arial"/>
                <w:b/>
                <w:bCs/>
                <w:sz w:val="18"/>
                <w:szCs w:val="18"/>
              </w:rPr>
              <w:t>ection</w:t>
            </w:r>
          </w:p>
        </w:tc>
      </w:tr>
      <w:tr w:rsidR="00D1587D" w14:paraId="210437CE" w14:textId="77777777">
        <w:trPr>
          <w:trHeight w:val="216"/>
        </w:trPr>
        <w:tc>
          <w:tcPr>
            <w:tcW w:w="4080" w:type="dxa"/>
            <w:vAlign w:val="bottom"/>
          </w:tcPr>
          <w:p w14:paraId="53639080" w14:textId="77777777" w:rsidR="00D1587D" w:rsidRDefault="00410D07">
            <w:pPr>
              <w:rPr>
                <w:sz w:val="20"/>
                <w:szCs w:val="20"/>
              </w:rPr>
            </w:pPr>
            <w:r>
              <w:rPr>
                <w:rFonts w:ascii="Arial" w:eastAsia="Arial" w:hAnsi="Arial" w:cs="Arial"/>
                <w:sz w:val="18"/>
                <w:szCs w:val="18"/>
              </w:rPr>
              <w:t>Additional Service</w:t>
            </w:r>
          </w:p>
        </w:tc>
        <w:tc>
          <w:tcPr>
            <w:tcW w:w="7160" w:type="dxa"/>
            <w:vAlign w:val="bottom"/>
          </w:tcPr>
          <w:p w14:paraId="2DAB55B8" w14:textId="77777777" w:rsidR="00D1587D" w:rsidRDefault="00410D07">
            <w:pPr>
              <w:ind w:left="4600"/>
              <w:rPr>
                <w:sz w:val="20"/>
                <w:szCs w:val="20"/>
              </w:rPr>
            </w:pPr>
            <w:r>
              <w:rPr>
                <w:rFonts w:ascii="Arial" w:eastAsia="Arial" w:hAnsi="Arial" w:cs="Arial"/>
                <w:sz w:val="18"/>
                <w:szCs w:val="18"/>
              </w:rPr>
              <w:t>2.01(c)</w:t>
            </w:r>
          </w:p>
        </w:tc>
      </w:tr>
      <w:tr w:rsidR="00D1587D" w14:paraId="5024FCCF" w14:textId="77777777">
        <w:trPr>
          <w:trHeight w:val="216"/>
        </w:trPr>
        <w:tc>
          <w:tcPr>
            <w:tcW w:w="4080" w:type="dxa"/>
            <w:vAlign w:val="bottom"/>
          </w:tcPr>
          <w:p w14:paraId="39DDAA03" w14:textId="77777777" w:rsidR="00D1587D" w:rsidRDefault="00410D07">
            <w:pPr>
              <w:rPr>
                <w:sz w:val="20"/>
                <w:szCs w:val="20"/>
              </w:rPr>
            </w:pPr>
            <w:r>
              <w:rPr>
                <w:rFonts w:ascii="Arial" w:eastAsia="Arial" w:hAnsi="Arial" w:cs="Arial"/>
                <w:sz w:val="18"/>
                <w:szCs w:val="18"/>
              </w:rPr>
              <w:t>Administrative Charge</w:t>
            </w:r>
          </w:p>
        </w:tc>
        <w:tc>
          <w:tcPr>
            <w:tcW w:w="7160" w:type="dxa"/>
            <w:vAlign w:val="bottom"/>
          </w:tcPr>
          <w:p w14:paraId="07CFF635" w14:textId="77777777" w:rsidR="00D1587D" w:rsidRDefault="00410D07">
            <w:pPr>
              <w:ind w:left="4600"/>
              <w:rPr>
                <w:sz w:val="20"/>
                <w:szCs w:val="20"/>
              </w:rPr>
            </w:pPr>
            <w:r>
              <w:rPr>
                <w:rFonts w:ascii="Arial" w:eastAsia="Arial" w:hAnsi="Arial" w:cs="Arial"/>
                <w:sz w:val="18"/>
                <w:szCs w:val="18"/>
              </w:rPr>
              <w:t>3.01(c)</w:t>
            </w:r>
          </w:p>
        </w:tc>
      </w:tr>
      <w:tr w:rsidR="00D1587D" w14:paraId="509CA13C" w14:textId="77777777">
        <w:trPr>
          <w:trHeight w:val="216"/>
        </w:trPr>
        <w:tc>
          <w:tcPr>
            <w:tcW w:w="4080" w:type="dxa"/>
            <w:vAlign w:val="bottom"/>
          </w:tcPr>
          <w:p w14:paraId="36037BD3" w14:textId="77777777" w:rsidR="00D1587D" w:rsidRDefault="00410D07">
            <w:pPr>
              <w:rPr>
                <w:sz w:val="20"/>
                <w:szCs w:val="20"/>
              </w:rPr>
            </w:pPr>
            <w:r>
              <w:rPr>
                <w:rFonts w:ascii="Arial" w:eastAsia="Arial" w:hAnsi="Arial" w:cs="Arial"/>
                <w:sz w:val="18"/>
                <w:szCs w:val="18"/>
              </w:rPr>
              <w:t>Agreement</w:t>
            </w:r>
          </w:p>
        </w:tc>
        <w:tc>
          <w:tcPr>
            <w:tcW w:w="7160" w:type="dxa"/>
            <w:vAlign w:val="bottom"/>
          </w:tcPr>
          <w:p w14:paraId="3EB21356" w14:textId="77777777" w:rsidR="00D1587D" w:rsidRDefault="00410D07">
            <w:pPr>
              <w:ind w:left="4600"/>
              <w:rPr>
                <w:sz w:val="20"/>
                <w:szCs w:val="20"/>
              </w:rPr>
            </w:pPr>
            <w:r>
              <w:rPr>
                <w:rFonts w:ascii="Arial" w:eastAsia="Arial" w:hAnsi="Arial" w:cs="Arial"/>
                <w:sz w:val="18"/>
                <w:szCs w:val="18"/>
              </w:rPr>
              <w:t>Preamble</w:t>
            </w:r>
          </w:p>
        </w:tc>
      </w:tr>
      <w:tr w:rsidR="00D1587D" w14:paraId="0567F04F" w14:textId="77777777">
        <w:trPr>
          <w:trHeight w:val="216"/>
        </w:trPr>
        <w:tc>
          <w:tcPr>
            <w:tcW w:w="4080" w:type="dxa"/>
            <w:vAlign w:val="bottom"/>
          </w:tcPr>
          <w:p w14:paraId="23E25038" w14:textId="77777777" w:rsidR="00D1587D" w:rsidRDefault="00410D07">
            <w:pPr>
              <w:rPr>
                <w:sz w:val="20"/>
                <w:szCs w:val="20"/>
              </w:rPr>
            </w:pPr>
            <w:r>
              <w:rPr>
                <w:rFonts w:ascii="Arial" w:eastAsia="Arial" w:hAnsi="Arial" w:cs="Arial"/>
                <w:sz w:val="18"/>
                <w:szCs w:val="18"/>
              </w:rPr>
              <w:t>Allocated Cost</w:t>
            </w:r>
          </w:p>
        </w:tc>
        <w:tc>
          <w:tcPr>
            <w:tcW w:w="7160" w:type="dxa"/>
            <w:vAlign w:val="bottom"/>
          </w:tcPr>
          <w:p w14:paraId="3C2C2A84" w14:textId="77777777" w:rsidR="00D1587D" w:rsidRDefault="00410D07">
            <w:pPr>
              <w:ind w:left="4600"/>
              <w:rPr>
                <w:sz w:val="20"/>
                <w:szCs w:val="20"/>
              </w:rPr>
            </w:pPr>
            <w:r>
              <w:rPr>
                <w:rFonts w:ascii="Arial" w:eastAsia="Arial" w:hAnsi="Arial" w:cs="Arial"/>
                <w:sz w:val="18"/>
                <w:szCs w:val="18"/>
              </w:rPr>
              <w:t>3.01(c)</w:t>
            </w:r>
          </w:p>
        </w:tc>
      </w:tr>
      <w:tr w:rsidR="00D1587D" w14:paraId="0644986E" w14:textId="77777777">
        <w:trPr>
          <w:trHeight w:val="216"/>
        </w:trPr>
        <w:tc>
          <w:tcPr>
            <w:tcW w:w="4080" w:type="dxa"/>
            <w:vAlign w:val="bottom"/>
          </w:tcPr>
          <w:p w14:paraId="7F7ABED1" w14:textId="77777777" w:rsidR="00D1587D" w:rsidRDefault="00410D07">
            <w:pPr>
              <w:rPr>
                <w:sz w:val="20"/>
                <w:szCs w:val="20"/>
              </w:rPr>
            </w:pPr>
            <w:r>
              <w:rPr>
                <w:rFonts w:ascii="Arial" w:eastAsia="Arial" w:hAnsi="Arial" w:cs="Arial"/>
                <w:sz w:val="18"/>
                <w:szCs w:val="18"/>
              </w:rPr>
              <w:t>Applicable Agreements</w:t>
            </w:r>
          </w:p>
        </w:tc>
        <w:tc>
          <w:tcPr>
            <w:tcW w:w="7160" w:type="dxa"/>
            <w:vAlign w:val="bottom"/>
          </w:tcPr>
          <w:p w14:paraId="22F75A01" w14:textId="77777777" w:rsidR="00D1587D" w:rsidRDefault="00410D07">
            <w:pPr>
              <w:ind w:left="4600"/>
              <w:rPr>
                <w:sz w:val="20"/>
                <w:szCs w:val="20"/>
              </w:rPr>
            </w:pPr>
            <w:r>
              <w:rPr>
                <w:rFonts w:ascii="Arial" w:eastAsia="Arial" w:hAnsi="Arial" w:cs="Arial"/>
                <w:sz w:val="18"/>
                <w:szCs w:val="18"/>
              </w:rPr>
              <w:t>9.15</w:t>
            </w:r>
          </w:p>
        </w:tc>
      </w:tr>
      <w:tr w:rsidR="00D1587D" w14:paraId="030D90DE" w14:textId="77777777">
        <w:trPr>
          <w:trHeight w:val="216"/>
        </w:trPr>
        <w:tc>
          <w:tcPr>
            <w:tcW w:w="4080" w:type="dxa"/>
            <w:vAlign w:val="bottom"/>
          </w:tcPr>
          <w:p w14:paraId="1098730E" w14:textId="77777777" w:rsidR="00D1587D" w:rsidRDefault="00410D07">
            <w:pPr>
              <w:rPr>
                <w:sz w:val="20"/>
                <w:szCs w:val="20"/>
              </w:rPr>
            </w:pPr>
            <w:r>
              <w:rPr>
                <w:rFonts w:ascii="Arial" w:eastAsia="Arial" w:hAnsi="Arial" w:cs="Arial"/>
                <w:sz w:val="18"/>
                <w:szCs w:val="18"/>
              </w:rPr>
              <w:t>Arbitration Association</w:t>
            </w:r>
          </w:p>
        </w:tc>
        <w:tc>
          <w:tcPr>
            <w:tcW w:w="7160" w:type="dxa"/>
            <w:vAlign w:val="bottom"/>
          </w:tcPr>
          <w:p w14:paraId="43829150" w14:textId="77777777" w:rsidR="00D1587D" w:rsidRDefault="00410D07">
            <w:pPr>
              <w:ind w:left="4600"/>
              <w:rPr>
                <w:sz w:val="20"/>
                <w:szCs w:val="20"/>
              </w:rPr>
            </w:pPr>
            <w:r>
              <w:rPr>
                <w:rFonts w:ascii="Arial" w:eastAsia="Arial" w:hAnsi="Arial" w:cs="Arial"/>
                <w:sz w:val="18"/>
                <w:szCs w:val="18"/>
              </w:rPr>
              <w:t>9.07(c)</w:t>
            </w:r>
          </w:p>
        </w:tc>
      </w:tr>
      <w:tr w:rsidR="00D1587D" w14:paraId="3A749132" w14:textId="77777777">
        <w:trPr>
          <w:trHeight w:val="216"/>
        </w:trPr>
        <w:tc>
          <w:tcPr>
            <w:tcW w:w="4080" w:type="dxa"/>
            <w:vAlign w:val="bottom"/>
          </w:tcPr>
          <w:p w14:paraId="3A7B5038" w14:textId="77777777" w:rsidR="00D1587D" w:rsidRDefault="00410D07">
            <w:pPr>
              <w:rPr>
                <w:sz w:val="20"/>
                <w:szCs w:val="20"/>
              </w:rPr>
            </w:pPr>
            <w:r>
              <w:rPr>
                <w:rFonts w:ascii="Arial" w:eastAsia="Arial" w:hAnsi="Arial" w:cs="Arial"/>
                <w:sz w:val="18"/>
                <w:szCs w:val="18"/>
              </w:rPr>
              <w:t>Cap</w:t>
            </w:r>
          </w:p>
        </w:tc>
        <w:tc>
          <w:tcPr>
            <w:tcW w:w="7160" w:type="dxa"/>
            <w:vAlign w:val="bottom"/>
          </w:tcPr>
          <w:p w14:paraId="27C13755" w14:textId="77777777" w:rsidR="00D1587D" w:rsidRDefault="00410D07">
            <w:pPr>
              <w:ind w:left="4600"/>
              <w:rPr>
                <w:sz w:val="20"/>
                <w:szCs w:val="20"/>
              </w:rPr>
            </w:pPr>
            <w:r>
              <w:rPr>
                <w:rFonts w:ascii="Arial" w:eastAsia="Arial" w:hAnsi="Arial" w:cs="Arial"/>
                <w:sz w:val="18"/>
                <w:szCs w:val="18"/>
              </w:rPr>
              <w:t>6.06(b)</w:t>
            </w:r>
          </w:p>
        </w:tc>
      </w:tr>
      <w:tr w:rsidR="00D1587D" w14:paraId="2FDDA2C7" w14:textId="77777777">
        <w:trPr>
          <w:trHeight w:val="216"/>
        </w:trPr>
        <w:tc>
          <w:tcPr>
            <w:tcW w:w="4080" w:type="dxa"/>
            <w:vAlign w:val="bottom"/>
          </w:tcPr>
          <w:p w14:paraId="24F2F26C" w14:textId="77777777" w:rsidR="00D1587D" w:rsidRDefault="00410D07">
            <w:pPr>
              <w:rPr>
                <w:sz w:val="20"/>
                <w:szCs w:val="20"/>
              </w:rPr>
            </w:pPr>
            <w:r>
              <w:rPr>
                <w:rFonts w:ascii="Arial" w:eastAsia="Arial" w:hAnsi="Arial" w:cs="Arial"/>
                <w:sz w:val="18"/>
                <w:szCs w:val="18"/>
              </w:rPr>
              <w:t>Confidential Information</w:t>
            </w:r>
          </w:p>
        </w:tc>
        <w:tc>
          <w:tcPr>
            <w:tcW w:w="7160" w:type="dxa"/>
            <w:vAlign w:val="bottom"/>
          </w:tcPr>
          <w:p w14:paraId="174AE91C" w14:textId="77777777" w:rsidR="00D1587D" w:rsidRDefault="00410D07">
            <w:pPr>
              <w:ind w:left="4600"/>
              <w:rPr>
                <w:sz w:val="20"/>
                <w:szCs w:val="20"/>
              </w:rPr>
            </w:pPr>
            <w:r>
              <w:rPr>
                <w:rFonts w:ascii="Arial" w:eastAsia="Arial" w:hAnsi="Arial" w:cs="Arial"/>
                <w:sz w:val="18"/>
                <w:szCs w:val="18"/>
              </w:rPr>
              <w:t>5.01</w:t>
            </w:r>
          </w:p>
        </w:tc>
      </w:tr>
      <w:tr w:rsidR="00D1587D" w14:paraId="0EA18223" w14:textId="77777777">
        <w:trPr>
          <w:trHeight w:val="216"/>
        </w:trPr>
        <w:tc>
          <w:tcPr>
            <w:tcW w:w="4080" w:type="dxa"/>
            <w:vAlign w:val="bottom"/>
          </w:tcPr>
          <w:p w14:paraId="64BA6A55" w14:textId="77777777" w:rsidR="00D1587D" w:rsidRDefault="00410D07">
            <w:pPr>
              <w:rPr>
                <w:sz w:val="20"/>
                <w:szCs w:val="20"/>
              </w:rPr>
            </w:pPr>
            <w:r>
              <w:rPr>
                <w:rFonts w:ascii="Arial" w:eastAsia="Arial" w:hAnsi="Arial" w:cs="Arial"/>
                <w:sz w:val="18"/>
                <w:szCs w:val="18"/>
              </w:rPr>
              <w:t>Cost Components</w:t>
            </w:r>
          </w:p>
        </w:tc>
        <w:tc>
          <w:tcPr>
            <w:tcW w:w="7160" w:type="dxa"/>
            <w:vAlign w:val="bottom"/>
          </w:tcPr>
          <w:p w14:paraId="5E8E2800" w14:textId="77777777" w:rsidR="00D1587D" w:rsidRDefault="00410D07">
            <w:pPr>
              <w:ind w:left="4600"/>
              <w:rPr>
                <w:sz w:val="20"/>
                <w:szCs w:val="20"/>
              </w:rPr>
            </w:pPr>
            <w:r>
              <w:rPr>
                <w:rFonts w:ascii="Arial" w:eastAsia="Arial" w:hAnsi="Arial" w:cs="Arial"/>
                <w:sz w:val="18"/>
                <w:szCs w:val="18"/>
              </w:rPr>
              <w:t>3.01(c)</w:t>
            </w:r>
          </w:p>
        </w:tc>
      </w:tr>
      <w:tr w:rsidR="00D1587D" w14:paraId="79742430" w14:textId="77777777">
        <w:trPr>
          <w:trHeight w:val="216"/>
        </w:trPr>
        <w:tc>
          <w:tcPr>
            <w:tcW w:w="4080" w:type="dxa"/>
            <w:vAlign w:val="bottom"/>
          </w:tcPr>
          <w:p w14:paraId="650A2F09" w14:textId="77777777" w:rsidR="00D1587D" w:rsidRDefault="00410D07">
            <w:pPr>
              <w:rPr>
                <w:sz w:val="20"/>
                <w:szCs w:val="20"/>
              </w:rPr>
            </w:pPr>
            <w:r>
              <w:rPr>
                <w:rFonts w:ascii="Arial" w:eastAsia="Arial" w:hAnsi="Arial" w:cs="Arial"/>
                <w:sz w:val="18"/>
                <w:szCs w:val="18"/>
              </w:rPr>
              <w:t>Customary Billing</w:t>
            </w:r>
          </w:p>
        </w:tc>
        <w:tc>
          <w:tcPr>
            <w:tcW w:w="7160" w:type="dxa"/>
            <w:vAlign w:val="bottom"/>
          </w:tcPr>
          <w:p w14:paraId="52BB608F" w14:textId="77777777" w:rsidR="00D1587D" w:rsidRDefault="00410D07">
            <w:pPr>
              <w:ind w:left="4600"/>
              <w:rPr>
                <w:sz w:val="20"/>
                <w:szCs w:val="20"/>
              </w:rPr>
            </w:pPr>
            <w:r>
              <w:rPr>
                <w:rFonts w:ascii="Arial" w:eastAsia="Arial" w:hAnsi="Arial" w:cs="Arial"/>
                <w:sz w:val="18"/>
                <w:szCs w:val="18"/>
              </w:rPr>
              <w:t>3.01(b)</w:t>
            </w:r>
          </w:p>
        </w:tc>
      </w:tr>
      <w:tr w:rsidR="00D1587D" w14:paraId="19BC88A2" w14:textId="77777777">
        <w:trPr>
          <w:trHeight w:val="216"/>
        </w:trPr>
        <w:tc>
          <w:tcPr>
            <w:tcW w:w="4080" w:type="dxa"/>
            <w:vAlign w:val="bottom"/>
          </w:tcPr>
          <w:p w14:paraId="779D4842" w14:textId="77777777" w:rsidR="00D1587D" w:rsidRDefault="00410D07">
            <w:pPr>
              <w:rPr>
                <w:sz w:val="20"/>
                <w:szCs w:val="20"/>
              </w:rPr>
            </w:pPr>
            <w:r>
              <w:rPr>
                <w:rFonts w:ascii="Arial" w:eastAsia="Arial" w:hAnsi="Arial" w:cs="Arial"/>
                <w:sz w:val="18"/>
                <w:szCs w:val="18"/>
              </w:rPr>
              <w:t>Damages</w:t>
            </w:r>
          </w:p>
        </w:tc>
        <w:tc>
          <w:tcPr>
            <w:tcW w:w="7160" w:type="dxa"/>
            <w:vAlign w:val="bottom"/>
          </w:tcPr>
          <w:p w14:paraId="67EA11DF" w14:textId="77777777" w:rsidR="00D1587D" w:rsidRDefault="00410D07">
            <w:pPr>
              <w:ind w:left="4600"/>
              <w:rPr>
                <w:sz w:val="20"/>
                <w:szCs w:val="20"/>
              </w:rPr>
            </w:pPr>
            <w:r>
              <w:rPr>
                <w:rFonts w:ascii="Arial" w:eastAsia="Arial" w:hAnsi="Arial" w:cs="Arial"/>
                <w:sz w:val="18"/>
                <w:szCs w:val="18"/>
              </w:rPr>
              <w:t>6.01(a)</w:t>
            </w:r>
          </w:p>
        </w:tc>
      </w:tr>
      <w:tr w:rsidR="00D1587D" w14:paraId="091B0294" w14:textId="77777777">
        <w:trPr>
          <w:trHeight w:val="216"/>
        </w:trPr>
        <w:tc>
          <w:tcPr>
            <w:tcW w:w="4080" w:type="dxa"/>
            <w:vAlign w:val="bottom"/>
          </w:tcPr>
          <w:p w14:paraId="70D2628D" w14:textId="77777777" w:rsidR="00D1587D" w:rsidRDefault="00410D07">
            <w:pPr>
              <w:rPr>
                <w:sz w:val="20"/>
                <w:szCs w:val="20"/>
              </w:rPr>
            </w:pPr>
            <w:r>
              <w:rPr>
                <w:rFonts w:ascii="Arial" w:eastAsia="Arial" w:hAnsi="Arial" w:cs="Arial"/>
                <w:sz w:val="18"/>
                <w:szCs w:val="18"/>
              </w:rPr>
              <w:t>Developed Intellectual Property</w:t>
            </w:r>
          </w:p>
        </w:tc>
        <w:tc>
          <w:tcPr>
            <w:tcW w:w="7160" w:type="dxa"/>
            <w:vAlign w:val="bottom"/>
          </w:tcPr>
          <w:p w14:paraId="521BA1CC" w14:textId="77777777" w:rsidR="00D1587D" w:rsidRDefault="00410D07">
            <w:pPr>
              <w:ind w:left="4600"/>
              <w:rPr>
                <w:sz w:val="20"/>
                <w:szCs w:val="20"/>
              </w:rPr>
            </w:pPr>
            <w:r>
              <w:rPr>
                <w:rFonts w:ascii="Arial" w:eastAsia="Arial" w:hAnsi="Arial" w:cs="Arial"/>
                <w:sz w:val="18"/>
                <w:szCs w:val="18"/>
              </w:rPr>
              <w:t>2.09(d)</w:t>
            </w:r>
          </w:p>
        </w:tc>
      </w:tr>
      <w:tr w:rsidR="00D1587D" w14:paraId="55EDC5C4" w14:textId="77777777">
        <w:trPr>
          <w:trHeight w:val="216"/>
        </w:trPr>
        <w:tc>
          <w:tcPr>
            <w:tcW w:w="4080" w:type="dxa"/>
            <w:vAlign w:val="bottom"/>
          </w:tcPr>
          <w:p w14:paraId="6C3E97B8" w14:textId="77777777" w:rsidR="00D1587D" w:rsidRDefault="00410D07">
            <w:pPr>
              <w:rPr>
                <w:sz w:val="20"/>
                <w:szCs w:val="20"/>
              </w:rPr>
            </w:pPr>
            <w:r>
              <w:rPr>
                <w:rFonts w:ascii="Arial" w:eastAsia="Arial" w:hAnsi="Arial" w:cs="Arial"/>
                <w:sz w:val="18"/>
                <w:szCs w:val="18"/>
              </w:rPr>
              <w:t>Dispute</w:t>
            </w:r>
          </w:p>
        </w:tc>
        <w:tc>
          <w:tcPr>
            <w:tcW w:w="7160" w:type="dxa"/>
            <w:vAlign w:val="bottom"/>
          </w:tcPr>
          <w:p w14:paraId="384F5146" w14:textId="77777777" w:rsidR="00D1587D" w:rsidRDefault="00410D07">
            <w:pPr>
              <w:ind w:left="4600"/>
              <w:rPr>
                <w:sz w:val="20"/>
                <w:szCs w:val="20"/>
              </w:rPr>
            </w:pPr>
            <w:r>
              <w:rPr>
                <w:rFonts w:ascii="Arial" w:eastAsia="Arial" w:hAnsi="Arial" w:cs="Arial"/>
                <w:sz w:val="18"/>
                <w:szCs w:val="18"/>
              </w:rPr>
              <w:t>9.07(a)</w:t>
            </w:r>
          </w:p>
        </w:tc>
      </w:tr>
      <w:tr w:rsidR="00D1587D" w14:paraId="07FD3D02" w14:textId="77777777">
        <w:trPr>
          <w:trHeight w:val="216"/>
        </w:trPr>
        <w:tc>
          <w:tcPr>
            <w:tcW w:w="4080" w:type="dxa"/>
            <w:vAlign w:val="bottom"/>
          </w:tcPr>
          <w:p w14:paraId="1DC8DA27" w14:textId="77777777" w:rsidR="00D1587D" w:rsidRDefault="00410D07">
            <w:pPr>
              <w:rPr>
                <w:sz w:val="20"/>
                <w:szCs w:val="20"/>
              </w:rPr>
            </w:pPr>
            <w:r>
              <w:rPr>
                <w:rFonts w:ascii="Arial" w:eastAsia="Arial" w:hAnsi="Arial" w:cs="Arial"/>
                <w:sz w:val="18"/>
                <w:szCs w:val="18"/>
              </w:rPr>
              <w:t>Effective Date</w:t>
            </w:r>
          </w:p>
        </w:tc>
        <w:tc>
          <w:tcPr>
            <w:tcW w:w="7160" w:type="dxa"/>
            <w:vAlign w:val="bottom"/>
          </w:tcPr>
          <w:p w14:paraId="3D65DDDD" w14:textId="77777777" w:rsidR="00D1587D" w:rsidRDefault="00410D07">
            <w:pPr>
              <w:ind w:left="4600"/>
              <w:rPr>
                <w:sz w:val="20"/>
                <w:szCs w:val="20"/>
              </w:rPr>
            </w:pPr>
            <w:r>
              <w:rPr>
                <w:rFonts w:ascii="Arial" w:eastAsia="Arial" w:hAnsi="Arial" w:cs="Arial"/>
                <w:sz w:val="18"/>
                <w:szCs w:val="18"/>
              </w:rPr>
              <w:t>Preamble</w:t>
            </w:r>
          </w:p>
        </w:tc>
      </w:tr>
      <w:tr w:rsidR="00D1587D" w14:paraId="50FB4613" w14:textId="77777777">
        <w:trPr>
          <w:trHeight w:val="216"/>
        </w:trPr>
        <w:tc>
          <w:tcPr>
            <w:tcW w:w="4080" w:type="dxa"/>
            <w:vAlign w:val="bottom"/>
          </w:tcPr>
          <w:p w14:paraId="191A216A" w14:textId="77777777" w:rsidR="00D1587D" w:rsidRDefault="00410D07">
            <w:pPr>
              <w:rPr>
                <w:sz w:val="20"/>
                <w:szCs w:val="20"/>
              </w:rPr>
            </w:pPr>
            <w:r>
              <w:rPr>
                <w:rFonts w:ascii="Arial" w:eastAsia="Arial" w:hAnsi="Arial" w:cs="Arial"/>
                <w:sz w:val="18"/>
                <w:szCs w:val="18"/>
              </w:rPr>
              <w:t>Fixed Fee Billing</w:t>
            </w:r>
          </w:p>
        </w:tc>
        <w:tc>
          <w:tcPr>
            <w:tcW w:w="7160" w:type="dxa"/>
            <w:vAlign w:val="bottom"/>
          </w:tcPr>
          <w:p w14:paraId="1A808F04" w14:textId="77777777" w:rsidR="00D1587D" w:rsidRDefault="00410D07">
            <w:pPr>
              <w:ind w:left="4600"/>
              <w:rPr>
                <w:sz w:val="20"/>
                <w:szCs w:val="20"/>
              </w:rPr>
            </w:pPr>
            <w:r>
              <w:rPr>
                <w:rFonts w:ascii="Arial" w:eastAsia="Arial" w:hAnsi="Arial" w:cs="Arial"/>
                <w:sz w:val="18"/>
                <w:szCs w:val="18"/>
              </w:rPr>
              <w:t>3.01(b)</w:t>
            </w:r>
          </w:p>
        </w:tc>
      </w:tr>
      <w:tr w:rsidR="00D1587D" w14:paraId="1CA31BE1" w14:textId="77777777">
        <w:trPr>
          <w:trHeight w:val="216"/>
        </w:trPr>
        <w:tc>
          <w:tcPr>
            <w:tcW w:w="4080" w:type="dxa"/>
            <w:vAlign w:val="bottom"/>
          </w:tcPr>
          <w:p w14:paraId="52BC1487" w14:textId="77777777" w:rsidR="00D1587D" w:rsidRDefault="00410D07">
            <w:pPr>
              <w:rPr>
                <w:sz w:val="20"/>
                <w:szCs w:val="20"/>
              </w:rPr>
            </w:pPr>
            <w:r>
              <w:rPr>
                <w:rFonts w:ascii="Arial" w:eastAsia="Arial" w:hAnsi="Arial" w:cs="Arial"/>
                <w:sz w:val="18"/>
                <w:szCs w:val="18"/>
              </w:rPr>
              <w:t>Indemnified Party</w:t>
            </w:r>
          </w:p>
        </w:tc>
        <w:tc>
          <w:tcPr>
            <w:tcW w:w="7160" w:type="dxa"/>
            <w:vAlign w:val="bottom"/>
          </w:tcPr>
          <w:p w14:paraId="146C5FC7" w14:textId="77777777" w:rsidR="00D1587D" w:rsidRDefault="00410D07">
            <w:pPr>
              <w:ind w:left="4600"/>
              <w:rPr>
                <w:sz w:val="20"/>
                <w:szCs w:val="20"/>
              </w:rPr>
            </w:pPr>
            <w:r>
              <w:rPr>
                <w:rFonts w:ascii="Arial" w:eastAsia="Arial" w:hAnsi="Arial" w:cs="Arial"/>
                <w:sz w:val="18"/>
                <w:szCs w:val="18"/>
              </w:rPr>
              <w:t>6.02(a)</w:t>
            </w:r>
          </w:p>
        </w:tc>
      </w:tr>
      <w:tr w:rsidR="00D1587D" w14:paraId="03993328" w14:textId="77777777">
        <w:trPr>
          <w:trHeight w:val="216"/>
        </w:trPr>
        <w:tc>
          <w:tcPr>
            <w:tcW w:w="4080" w:type="dxa"/>
            <w:vAlign w:val="bottom"/>
          </w:tcPr>
          <w:p w14:paraId="38713E43" w14:textId="77777777" w:rsidR="00D1587D" w:rsidRDefault="00410D07">
            <w:pPr>
              <w:rPr>
                <w:sz w:val="20"/>
                <w:szCs w:val="20"/>
              </w:rPr>
            </w:pPr>
            <w:r>
              <w:rPr>
                <w:rFonts w:ascii="Arial" w:eastAsia="Arial" w:hAnsi="Arial" w:cs="Arial"/>
                <w:sz w:val="18"/>
                <w:szCs w:val="18"/>
              </w:rPr>
              <w:t>Indemnifying Party</w:t>
            </w:r>
          </w:p>
        </w:tc>
        <w:tc>
          <w:tcPr>
            <w:tcW w:w="7160" w:type="dxa"/>
            <w:vAlign w:val="bottom"/>
          </w:tcPr>
          <w:p w14:paraId="6B6E5AAB" w14:textId="77777777" w:rsidR="00D1587D" w:rsidRDefault="00410D07">
            <w:pPr>
              <w:ind w:left="4600"/>
              <w:rPr>
                <w:sz w:val="20"/>
                <w:szCs w:val="20"/>
              </w:rPr>
            </w:pPr>
            <w:r>
              <w:rPr>
                <w:rFonts w:ascii="Arial" w:eastAsia="Arial" w:hAnsi="Arial" w:cs="Arial"/>
                <w:sz w:val="18"/>
                <w:szCs w:val="18"/>
              </w:rPr>
              <w:t>6.02(a)</w:t>
            </w:r>
          </w:p>
        </w:tc>
      </w:tr>
      <w:tr w:rsidR="00D1587D" w14:paraId="0129C4C4" w14:textId="77777777">
        <w:trPr>
          <w:trHeight w:val="216"/>
        </w:trPr>
        <w:tc>
          <w:tcPr>
            <w:tcW w:w="4080" w:type="dxa"/>
            <w:vAlign w:val="bottom"/>
          </w:tcPr>
          <w:p w14:paraId="274C41B3" w14:textId="77777777" w:rsidR="00D1587D" w:rsidRDefault="00410D07">
            <w:pPr>
              <w:rPr>
                <w:sz w:val="20"/>
                <w:szCs w:val="20"/>
              </w:rPr>
            </w:pPr>
            <w:r>
              <w:rPr>
                <w:rFonts w:ascii="Arial" w:eastAsia="Arial" w:hAnsi="Arial" w:cs="Arial"/>
                <w:sz w:val="18"/>
                <w:szCs w:val="18"/>
              </w:rPr>
              <w:t>Integrated Agreements</w:t>
            </w:r>
          </w:p>
        </w:tc>
        <w:tc>
          <w:tcPr>
            <w:tcW w:w="7160" w:type="dxa"/>
            <w:vAlign w:val="bottom"/>
          </w:tcPr>
          <w:p w14:paraId="33814466" w14:textId="77777777" w:rsidR="00D1587D" w:rsidRDefault="00410D07">
            <w:pPr>
              <w:ind w:left="4600"/>
              <w:rPr>
                <w:sz w:val="20"/>
                <w:szCs w:val="20"/>
              </w:rPr>
            </w:pPr>
            <w:r>
              <w:rPr>
                <w:rFonts w:ascii="Arial" w:eastAsia="Arial" w:hAnsi="Arial" w:cs="Arial"/>
                <w:sz w:val="18"/>
                <w:szCs w:val="18"/>
              </w:rPr>
              <w:t>9.15</w:t>
            </w:r>
          </w:p>
        </w:tc>
      </w:tr>
      <w:tr w:rsidR="00D1587D" w14:paraId="487C9078" w14:textId="77777777">
        <w:trPr>
          <w:trHeight w:val="216"/>
        </w:trPr>
        <w:tc>
          <w:tcPr>
            <w:tcW w:w="4080" w:type="dxa"/>
            <w:vAlign w:val="bottom"/>
          </w:tcPr>
          <w:p w14:paraId="3A6E4029" w14:textId="77777777" w:rsidR="00D1587D" w:rsidRDefault="00410D07">
            <w:pPr>
              <w:rPr>
                <w:sz w:val="20"/>
                <w:szCs w:val="20"/>
              </w:rPr>
            </w:pPr>
            <w:r>
              <w:rPr>
                <w:rFonts w:ascii="Arial" w:eastAsia="Arial" w:hAnsi="Arial" w:cs="Arial"/>
                <w:sz w:val="18"/>
                <w:szCs w:val="18"/>
              </w:rPr>
              <w:t>IT Breach</w:t>
            </w:r>
          </w:p>
        </w:tc>
        <w:tc>
          <w:tcPr>
            <w:tcW w:w="7160" w:type="dxa"/>
            <w:vAlign w:val="bottom"/>
          </w:tcPr>
          <w:p w14:paraId="32A03E23" w14:textId="77777777" w:rsidR="00D1587D" w:rsidRDefault="00410D07">
            <w:pPr>
              <w:ind w:left="4600"/>
              <w:rPr>
                <w:sz w:val="20"/>
                <w:szCs w:val="20"/>
              </w:rPr>
            </w:pPr>
            <w:r>
              <w:rPr>
                <w:rFonts w:ascii="Arial" w:eastAsia="Arial" w:hAnsi="Arial" w:cs="Arial"/>
                <w:sz w:val="18"/>
                <w:szCs w:val="18"/>
              </w:rPr>
              <w:t>2.11</w:t>
            </w:r>
          </w:p>
        </w:tc>
      </w:tr>
      <w:tr w:rsidR="00D1587D" w14:paraId="077A5E55" w14:textId="77777777">
        <w:trPr>
          <w:trHeight w:val="216"/>
        </w:trPr>
        <w:tc>
          <w:tcPr>
            <w:tcW w:w="4080" w:type="dxa"/>
            <w:vAlign w:val="bottom"/>
          </w:tcPr>
          <w:p w14:paraId="6DBF1792" w14:textId="77777777" w:rsidR="00D1587D" w:rsidRDefault="00410D07">
            <w:pPr>
              <w:rPr>
                <w:sz w:val="20"/>
                <w:szCs w:val="20"/>
              </w:rPr>
            </w:pPr>
            <w:r>
              <w:rPr>
                <w:rFonts w:ascii="Arial" w:eastAsia="Arial" w:hAnsi="Arial" w:cs="Arial"/>
                <w:sz w:val="18"/>
                <w:szCs w:val="18"/>
              </w:rPr>
              <w:t>Mediation Notice</w:t>
            </w:r>
          </w:p>
        </w:tc>
        <w:tc>
          <w:tcPr>
            <w:tcW w:w="7160" w:type="dxa"/>
            <w:vAlign w:val="bottom"/>
          </w:tcPr>
          <w:p w14:paraId="56F81CEC" w14:textId="77777777" w:rsidR="00D1587D" w:rsidRDefault="00410D07">
            <w:pPr>
              <w:ind w:left="4600"/>
              <w:rPr>
                <w:sz w:val="20"/>
                <w:szCs w:val="20"/>
              </w:rPr>
            </w:pPr>
            <w:r>
              <w:rPr>
                <w:rFonts w:ascii="Arial" w:eastAsia="Arial" w:hAnsi="Arial" w:cs="Arial"/>
                <w:sz w:val="18"/>
                <w:szCs w:val="18"/>
              </w:rPr>
              <w:t>9.07(b)</w:t>
            </w:r>
          </w:p>
        </w:tc>
      </w:tr>
      <w:tr w:rsidR="00D1587D" w14:paraId="28A7175B" w14:textId="77777777">
        <w:trPr>
          <w:trHeight w:val="216"/>
        </w:trPr>
        <w:tc>
          <w:tcPr>
            <w:tcW w:w="4080" w:type="dxa"/>
            <w:vAlign w:val="bottom"/>
          </w:tcPr>
          <w:p w14:paraId="7C819920" w14:textId="77777777" w:rsidR="00D1587D" w:rsidRDefault="00410D07">
            <w:pPr>
              <w:rPr>
                <w:sz w:val="20"/>
                <w:szCs w:val="20"/>
              </w:rPr>
            </w:pPr>
            <w:r>
              <w:rPr>
                <w:rFonts w:ascii="Arial" w:eastAsia="Arial" w:hAnsi="Arial" w:cs="Arial"/>
                <w:sz w:val="18"/>
                <w:szCs w:val="18"/>
              </w:rPr>
              <w:t>Mediation Period</w:t>
            </w:r>
          </w:p>
        </w:tc>
        <w:tc>
          <w:tcPr>
            <w:tcW w:w="7160" w:type="dxa"/>
            <w:vAlign w:val="bottom"/>
          </w:tcPr>
          <w:p w14:paraId="12DC4DF3" w14:textId="77777777" w:rsidR="00D1587D" w:rsidRDefault="00410D07">
            <w:pPr>
              <w:ind w:left="4600"/>
              <w:rPr>
                <w:sz w:val="20"/>
                <w:szCs w:val="20"/>
              </w:rPr>
            </w:pPr>
            <w:r>
              <w:rPr>
                <w:rFonts w:ascii="Arial" w:eastAsia="Arial" w:hAnsi="Arial" w:cs="Arial"/>
                <w:sz w:val="18"/>
                <w:szCs w:val="18"/>
              </w:rPr>
              <w:t>9.07(c)</w:t>
            </w:r>
          </w:p>
        </w:tc>
      </w:tr>
      <w:tr w:rsidR="00D1587D" w14:paraId="12ACF6FF" w14:textId="77777777">
        <w:trPr>
          <w:trHeight w:val="216"/>
        </w:trPr>
        <w:tc>
          <w:tcPr>
            <w:tcW w:w="4080" w:type="dxa"/>
            <w:vAlign w:val="bottom"/>
          </w:tcPr>
          <w:p w14:paraId="2D37BAC1" w14:textId="77777777" w:rsidR="00D1587D" w:rsidRDefault="00410D07">
            <w:pPr>
              <w:rPr>
                <w:sz w:val="20"/>
                <w:szCs w:val="20"/>
              </w:rPr>
            </w:pPr>
            <w:r>
              <w:rPr>
                <w:rFonts w:ascii="Arial" w:eastAsia="Arial" w:hAnsi="Arial" w:cs="Arial"/>
                <w:sz w:val="18"/>
                <w:szCs w:val="18"/>
              </w:rPr>
              <w:t>Net Sales Ratio</w:t>
            </w:r>
          </w:p>
        </w:tc>
        <w:tc>
          <w:tcPr>
            <w:tcW w:w="7160" w:type="dxa"/>
            <w:vAlign w:val="bottom"/>
          </w:tcPr>
          <w:p w14:paraId="4E043689" w14:textId="77777777" w:rsidR="00D1587D" w:rsidRDefault="00410D07">
            <w:pPr>
              <w:ind w:left="4600"/>
              <w:rPr>
                <w:sz w:val="20"/>
                <w:szCs w:val="20"/>
              </w:rPr>
            </w:pPr>
            <w:r>
              <w:rPr>
                <w:rFonts w:ascii="Arial" w:eastAsia="Arial" w:hAnsi="Arial" w:cs="Arial"/>
                <w:sz w:val="18"/>
                <w:szCs w:val="18"/>
              </w:rPr>
              <w:t>3.04</w:t>
            </w:r>
          </w:p>
        </w:tc>
      </w:tr>
      <w:tr w:rsidR="00D1587D" w14:paraId="5D8C1254" w14:textId="77777777">
        <w:trPr>
          <w:trHeight w:val="216"/>
        </w:trPr>
        <w:tc>
          <w:tcPr>
            <w:tcW w:w="4080" w:type="dxa"/>
            <w:vAlign w:val="bottom"/>
          </w:tcPr>
          <w:p w14:paraId="108C4438" w14:textId="77777777" w:rsidR="00D1587D" w:rsidRDefault="00410D07">
            <w:pPr>
              <w:rPr>
                <w:sz w:val="20"/>
                <w:szCs w:val="20"/>
              </w:rPr>
            </w:pPr>
            <w:r>
              <w:rPr>
                <w:rFonts w:ascii="Arial" w:eastAsia="Arial" w:hAnsi="Arial" w:cs="Arial"/>
                <w:sz w:val="18"/>
                <w:szCs w:val="18"/>
              </w:rPr>
              <w:t>Pass-Through Billing</w:t>
            </w:r>
          </w:p>
        </w:tc>
        <w:tc>
          <w:tcPr>
            <w:tcW w:w="7160" w:type="dxa"/>
            <w:vAlign w:val="bottom"/>
          </w:tcPr>
          <w:p w14:paraId="7021D8EE" w14:textId="77777777" w:rsidR="00D1587D" w:rsidRDefault="00410D07">
            <w:pPr>
              <w:ind w:left="4600"/>
              <w:rPr>
                <w:sz w:val="20"/>
                <w:szCs w:val="20"/>
              </w:rPr>
            </w:pPr>
            <w:r>
              <w:rPr>
                <w:rFonts w:ascii="Arial" w:eastAsia="Arial" w:hAnsi="Arial" w:cs="Arial"/>
                <w:sz w:val="18"/>
                <w:szCs w:val="18"/>
              </w:rPr>
              <w:t>3.01(b)</w:t>
            </w:r>
          </w:p>
        </w:tc>
      </w:tr>
      <w:tr w:rsidR="00D1587D" w14:paraId="4E66D69C" w14:textId="77777777">
        <w:trPr>
          <w:trHeight w:val="216"/>
        </w:trPr>
        <w:tc>
          <w:tcPr>
            <w:tcW w:w="4080" w:type="dxa"/>
            <w:vAlign w:val="bottom"/>
          </w:tcPr>
          <w:p w14:paraId="61A801B2" w14:textId="77777777" w:rsidR="00D1587D" w:rsidRDefault="00410D07">
            <w:pPr>
              <w:rPr>
                <w:sz w:val="20"/>
                <w:szCs w:val="20"/>
              </w:rPr>
            </w:pPr>
            <w:r>
              <w:rPr>
                <w:rFonts w:ascii="Arial" w:eastAsia="Arial" w:hAnsi="Arial" w:cs="Arial"/>
                <w:sz w:val="18"/>
                <w:szCs w:val="18"/>
              </w:rPr>
              <w:t>Payment Date</w:t>
            </w:r>
          </w:p>
        </w:tc>
        <w:tc>
          <w:tcPr>
            <w:tcW w:w="7160" w:type="dxa"/>
            <w:vAlign w:val="bottom"/>
          </w:tcPr>
          <w:p w14:paraId="0555FA0F" w14:textId="77777777" w:rsidR="00D1587D" w:rsidRDefault="00410D07">
            <w:pPr>
              <w:ind w:left="4600"/>
              <w:rPr>
                <w:sz w:val="20"/>
                <w:szCs w:val="20"/>
              </w:rPr>
            </w:pPr>
            <w:r>
              <w:rPr>
                <w:rFonts w:ascii="Arial" w:eastAsia="Arial" w:hAnsi="Arial" w:cs="Arial"/>
                <w:sz w:val="18"/>
                <w:szCs w:val="18"/>
              </w:rPr>
              <w:t>3.06(b)</w:t>
            </w:r>
          </w:p>
        </w:tc>
      </w:tr>
      <w:tr w:rsidR="00D1587D" w14:paraId="1DB92C16" w14:textId="77777777">
        <w:trPr>
          <w:trHeight w:val="216"/>
        </w:trPr>
        <w:tc>
          <w:tcPr>
            <w:tcW w:w="4080" w:type="dxa"/>
            <w:vAlign w:val="bottom"/>
          </w:tcPr>
          <w:p w14:paraId="5A43EB3F" w14:textId="77777777" w:rsidR="00D1587D" w:rsidRDefault="00410D07">
            <w:pPr>
              <w:rPr>
                <w:sz w:val="20"/>
                <w:szCs w:val="20"/>
              </w:rPr>
            </w:pPr>
            <w:r>
              <w:rPr>
                <w:rFonts w:ascii="Arial" w:eastAsia="Arial" w:hAnsi="Arial" w:cs="Arial"/>
                <w:sz w:val="18"/>
                <w:szCs w:val="18"/>
              </w:rPr>
              <w:t>Percent of Sales Billing</w:t>
            </w:r>
          </w:p>
        </w:tc>
        <w:tc>
          <w:tcPr>
            <w:tcW w:w="7160" w:type="dxa"/>
            <w:vAlign w:val="bottom"/>
          </w:tcPr>
          <w:p w14:paraId="7AA4C226" w14:textId="77777777" w:rsidR="00D1587D" w:rsidRDefault="00410D07">
            <w:pPr>
              <w:ind w:left="4600"/>
              <w:rPr>
                <w:sz w:val="20"/>
                <w:szCs w:val="20"/>
              </w:rPr>
            </w:pPr>
            <w:r>
              <w:rPr>
                <w:rFonts w:ascii="Arial" w:eastAsia="Arial" w:hAnsi="Arial" w:cs="Arial"/>
                <w:sz w:val="18"/>
                <w:szCs w:val="18"/>
              </w:rPr>
              <w:t>3.01(b)</w:t>
            </w:r>
          </w:p>
        </w:tc>
      </w:tr>
      <w:tr w:rsidR="00D1587D" w14:paraId="761EF7D7" w14:textId="77777777">
        <w:trPr>
          <w:trHeight w:val="216"/>
        </w:trPr>
        <w:tc>
          <w:tcPr>
            <w:tcW w:w="4080" w:type="dxa"/>
            <w:vAlign w:val="bottom"/>
          </w:tcPr>
          <w:p w14:paraId="63DCFA44" w14:textId="77777777" w:rsidR="00D1587D" w:rsidRDefault="00410D07">
            <w:pPr>
              <w:rPr>
                <w:sz w:val="20"/>
                <w:szCs w:val="20"/>
              </w:rPr>
            </w:pPr>
            <w:r>
              <w:rPr>
                <w:rFonts w:ascii="Arial" w:eastAsia="Arial" w:hAnsi="Arial" w:cs="Arial"/>
                <w:sz w:val="18"/>
                <w:szCs w:val="18"/>
              </w:rPr>
              <w:t>Representatives</w:t>
            </w:r>
          </w:p>
        </w:tc>
        <w:tc>
          <w:tcPr>
            <w:tcW w:w="7160" w:type="dxa"/>
            <w:vAlign w:val="bottom"/>
          </w:tcPr>
          <w:p w14:paraId="2F79FE56" w14:textId="77777777" w:rsidR="00D1587D" w:rsidRDefault="00410D07">
            <w:pPr>
              <w:ind w:left="4600"/>
              <w:rPr>
                <w:sz w:val="20"/>
                <w:szCs w:val="20"/>
              </w:rPr>
            </w:pPr>
            <w:r>
              <w:rPr>
                <w:rFonts w:ascii="Arial" w:eastAsia="Arial" w:hAnsi="Arial" w:cs="Arial"/>
                <w:sz w:val="18"/>
                <w:szCs w:val="18"/>
              </w:rPr>
              <w:t>2.12</w:t>
            </w:r>
          </w:p>
        </w:tc>
      </w:tr>
      <w:tr w:rsidR="00D1587D" w14:paraId="76C8B498" w14:textId="77777777">
        <w:trPr>
          <w:trHeight w:val="216"/>
        </w:trPr>
        <w:tc>
          <w:tcPr>
            <w:tcW w:w="4080" w:type="dxa"/>
            <w:vAlign w:val="bottom"/>
          </w:tcPr>
          <w:p w14:paraId="1D16E1B4" w14:textId="77777777" w:rsidR="00D1587D" w:rsidRDefault="00410D07">
            <w:pPr>
              <w:rPr>
                <w:sz w:val="20"/>
                <w:szCs w:val="20"/>
              </w:rPr>
            </w:pPr>
            <w:r>
              <w:rPr>
                <w:rFonts w:ascii="Arial" w:eastAsia="Arial" w:hAnsi="Arial" w:cs="Arial"/>
                <w:sz w:val="18"/>
                <w:szCs w:val="18"/>
              </w:rPr>
              <w:t>Separation Agreement</w:t>
            </w:r>
          </w:p>
        </w:tc>
        <w:tc>
          <w:tcPr>
            <w:tcW w:w="7160" w:type="dxa"/>
            <w:vAlign w:val="bottom"/>
          </w:tcPr>
          <w:p w14:paraId="11DD6DC4" w14:textId="77777777" w:rsidR="00D1587D" w:rsidRDefault="00410D07">
            <w:pPr>
              <w:ind w:left="4600"/>
              <w:rPr>
                <w:sz w:val="20"/>
                <w:szCs w:val="20"/>
              </w:rPr>
            </w:pPr>
            <w:r>
              <w:rPr>
                <w:rFonts w:ascii="Arial" w:eastAsia="Arial" w:hAnsi="Arial" w:cs="Arial"/>
                <w:sz w:val="18"/>
                <w:szCs w:val="18"/>
              </w:rPr>
              <w:t>Recitals</w:t>
            </w:r>
          </w:p>
        </w:tc>
      </w:tr>
      <w:tr w:rsidR="00D1587D" w14:paraId="1F1EAE00" w14:textId="77777777">
        <w:trPr>
          <w:trHeight w:val="216"/>
        </w:trPr>
        <w:tc>
          <w:tcPr>
            <w:tcW w:w="4080" w:type="dxa"/>
            <w:vAlign w:val="bottom"/>
          </w:tcPr>
          <w:p w14:paraId="0CC5147F" w14:textId="77777777" w:rsidR="00D1587D" w:rsidRDefault="00410D07">
            <w:pPr>
              <w:rPr>
                <w:sz w:val="20"/>
                <w:szCs w:val="20"/>
              </w:rPr>
            </w:pPr>
            <w:r>
              <w:rPr>
                <w:rFonts w:ascii="Arial" w:eastAsia="Arial" w:hAnsi="Arial" w:cs="Arial"/>
                <w:sz w:val="18"/>
                <w:szCs w:val="18"/>
              </w:rPr>
              <w:t>Service Fees</w:t>
            </w:r>
          </w:p>
        </w:tc>
        <w:tc>
          <w:tcPr>
            <w:tcW w:w="7160" w:type="dxa"/>
            <w:vAlign w:val="bottom"/>
          </w:tcPr>
          <w:p w14:paraId="7FB0078D" w14:textId="77777777" w:rsidR="00D1587D" w:rsidRDefault="00410D07">
            <w:pPr>
              <w:ind w:left="4600"/>
              <w:rPr>
                <w:sz w:val="20"/>
                <w:szCs w:val="20"/>
              </w:rPr>
            </w:pPr>
            <w:r>
              <w:rPr>
                <w:rFonts w:ascii="Arial" w:eastAsia="Arial" w:hAnsi="Arial" w:cs="Arial"/>
                <w:sz w:val="18"/>
                <w:szCs w:val="18"/>
              </w:rPr>
              <w:t>3.01(b)</w:t>
            </w:r>
          </w:p>
        </w:tc>
      </w:tr>
      <w:tr w:rsidR="00D1587D" w14:paraId="67955623" w14:textId="77777777">
        <w:trPr>
          <w:trHeight w:val="216"/>
        </w:trPr>
        <w:tc>
          <w:tcPr>
            <w:tcW w:w="4080" w:type="dxa"/>
            <w:vAlign w:val="bottom"/>
          </w:tcPr>
          <w:p w14:paraId="7706008D" w14:textId="77777777" w:rsidR="00D1587D" w:rsidRDefault="00410D07">
            <w:pPr>
              <w:rPr>
                <w:sz w:val="20"/>
                <w:szCs w:val="20"/>
              </w:rPr>
            </w:pPr>
            <w:r>
              <w:rPr>
                <w:rFonts w:ascii="Arial" w:eastAsia="Arial" w:hAnsi="Arial" w:cs="Arial"/>
                <w:sz w:val="18"/>
                <w:szCs w:val="18"/>
              </w:rPr>
              <w:t xml:space="preserve">Service </w:t>
            </w:r>
            <w:r>
              <w:rPr>
                <w:rFonts w:ascii="Arial" w:eastAsia="Arial" w:hAnsi="Arial" w:cs="Arial"/>
                <w:sz w:val="18"/>
                <w:szCs w:val="18"/>
              </w:rPr>
              <w:t>Manager</w:t>
            </w:r>
          </w:p>
        </w:tc>
        <w:tc>
          <w:tcPr>
            <w:tcW w:w="7160" w:type="dxa"/>
            <w:vAlign w:val="bottom"/>
          </w:tcPr>
          <w:p w14:paraId="3C501729" w14:textId="77777777" w:rsidR="00D1587D" w:rsidRDefault="00410D07">
            <w:pPr>
              <w:ind w:left="4600"/>
              <w:rPr>
                <w:sz w:val="20"/>
                <w:szCs w:val="20"/>
              </w:rPr>
            </w:pPr>
            <w:r>
              <w:rPr>
                <w:rFonts w:ascii="Arial" w:eastAsia="Arial" w:hAnsi="Arial" w:cs="Arial"/>
                <w:sz w:val="18"/>
                <w:szCs w:val="18"/>
              </w:rPr>
              <w:t>2.14</w:t>
            </w:r>
          </w:p>
        </w:tc>
      </w:tr>
      <w:tr w:rsidR="00D1587D" w14:paraId="31D7D28A" w14:textId="77777777">
        <w:trPr>
          <w:trHeight w:val="216"/>
        </w:trPr>
        <w:tc>
          <w:tcPr>
            <w:tcW w:w="4080" w:type="dxa"/>
            <w:vAlign w:val="bottom"/>
          </w:tcPr>
          <w:p w14:paraId="6716592D" w14:textId="77777777" w:rsidR="00D1587D" w:rsidRDefault="00410D07">
            <w:pPr>
              <w:rPr>
                <w:sz w:val="20"/>
                <w:szCs w:val="20"/>
              </w:rPr>
            </w:pPr>
            <w:r>
              <w:rPr>
                <w:rFonts w:ascii="Arial" w:eastAsia="Arial" w:hAnsi="Arial" w:cs="Arial"/>
                <w:sz w:val="18"/>
                <w:szCs w:val="18"/>
              </w:rPr>
              <w:t>Service Provider</w:t>
            </w:r>
          </w:p>
        </w:tc>
        <w:tc>
          <w:tcPr>
            <w:tcW w:w="7160" w:type="dxa"/>
            <w:vAlign w:val="bottom"/>
          </w:tcPr>
          <w:p w14:paraId="5F67F2BB" w14:textId="77777777" w:rsidR="00D1587D" w:rsidRDefault="00410D07">
            <w:pPr>
              <w:ind w:left="4600"/>
              <w:rPr>
                <w:sz w:val="20"/>
                <w:szCs w:val="20"/>
              </w:rPr>
            </w:pPr>
            <w:r>
              <w:rPr>
                <w:rFonts w:ascii="Arial" w:eastAsia="Arial" w:hAnsi="Arial" w:cs="Arial"/>
                <w:sz w:val="18"/>
                <w:szCs w:val="18"/>
              </w:rPr>
              <w:t>Preamble</w:t>
            </w:r>
          </w:p>
        </w:tc>
      </w:tr>
      <w:tr w:rsidR="00D1587D" w14:paraId="7D198430" w14:textId="77777777">
        <w:trPr>
          <w:trHeight w:val="216"/>
        </w:trPr>
        <w:tc>
          <w:tcPr>
            <w:tcW w:w="4080" w:type="dxa"/>
            <w:vAlign w:val="bottom"/>
          </w:tcPr>
          <w:p w14:paraId="3FB4D379" w14:textId="77777777" w:rsidR="00D1587D" w:rsidRDefault="00410D07">
            <w:pPr>
              <w:rPr>
                <w:sz w:val="20"/>
                <w:szCs w:val="20"/>
              </w:rPr>
            </w:pPr>
            <w:r>
              <w:rPr>
                <w:rFonts w:ascii="Arial" w:eastAsia="Arial" w:hAnsi="Arial" w:cs="Arial"/>
                <w:sz w:val="18"/>
                <w:szCs w:val="18"/>
              </w:rPr>
              <w:t>Service Provider Indemnitees</w:t>
            </w:r>
          </w:p>
        </w:tc>
        <w:tc>
          <w:tcPr>
            <w:tcW w:w="7160" w:type="dxa"/>
            <w:vAlign w:val="bottom"/>
          </w:tcPr>
          <w:p w14:paraId="17218C8C" w14:textId="77777777" w:rsidR="00D1587D" w:rsidRDefault="00410D07">
            <w:pPr>
              <w:ind w:left="4600"/>
              <w:rPr>
                <w:sz w:val="20"/>
                <w:szCs w:val="20"/>
              </w:rPr>
            </w:pPr>
            <w:r>
              <w:rPr>
                <w:rFonts w:ascii="Arial" w:eastAsia="Arial" w:hAnsi="Arial" w:cs="Arial"/>
                <w:sz w:val="18"/>
                <w:szCs w:val="18"/>
              </w:rPr>
              <w:t>6.01(a)</w:t>
            </w:r>
          </w:p>
        </w:tc>
      </w:tr>
      <w:tr w:rsidR="00D1587D" w14:paraId="3A306EA7" w14:textId="77777777">
        <w:trPr>
          <w:trHeight w:val="216"/>
        </w:trPr>
        <w:tc>
          <w:tcPr>
            <w:tcW w:w="4080" w:type="dxa"/>
            <w:vAlign w:val="bottom"/>
          </w:tcPr>
          <w:p w14:paraId="56F12185" w14:textId="77777777" w:rsidR="00D1587D" w:rsidRDefault="00410D07">
            <w:pPr>
              <w:rPr>
                <w:sz w:val="20"/>
                <w:szCs w:val="20"/>
              </w:rPr>
            </w:pPr>
            <w:r>
              <w:rPr>
                <w:rFonts w:ascii="Arial" w:eastAsia="Arial" w:hAnsi="Arial" w:cs="Arial"/>
                <w:sz w:val="18"/>
                <w:szCs w:val="18"/>
              </w:rPr>
              <w:t>Service Provider Party</w:t>
            </w:r>
          </w:p>
        </w:tc>
        <w:tc>
          <w:tcPr>
            <w:tcW w:w="7160" w:type="dxa"/>
            <w:vAlign w:val="bottom"/>
          </w:tcPr>
          <w:p w14:paraId="7B9FBD5C" w14:textId="77777777" w:rsidR="00D1587D" w:rsidRDefault="00410D07">
            <w:pPr>
              <w:ind w:left="4600"/>
              <w:rPr>
                <w:sz w:val="20"/>
                <w:szCs w:val="20"/>
              </w:rPr>
            </w:pPr>
            <w:r>
              <w:rPr>
                <w:rFonts w:ascii="Arial" w:eastAsia="Arial" w:hAnsi="Arial" w:cs="Arial"/>
                <w:sz w:val="18"/>
                <w:szCs w:val="18"/>
              </w:rPr>
              <w:t>2.02</w:t>
            </w:r>
          </w:p>
        </w:tc>
      </w:tr>
      <w:tr w:rsidR="00D1587D" w14:paraId="7A4CB1E8" w14:textId="77777777">
        <w:trPr>
          <w:trHeight w:val="216"/>
        </w:trPr>
        <w:tc>
          <w:tcPr>
            <w:tcW w:w="4080" w:type="dxa"/>
            <w:vAlign w:val="bottom"/>
          </w:tcPr>
          <w:p w14:paraId="6F11DCCC" w14:textId="77777777" w:rsidR="00D1587D" w:rsidRDefault="00410D07">
            <w:pPr>
              <w:rPr>
                <w:sz w:val="20"/>
                <w:szCs w:val="20"/>
              </w:rPr>
            </w:pPr>
            <w:r>
              <w:rPr>
                <w:rFonts w:ascii="Arial" w:eastAsia="Arial" w:hAnsi="Arial" w:cs="Arial"/>
                <w:sz w:val="18"/>
                <w:szCs w:val="18"/>
              </w:rPr>
              <w:t>Service Recipients</w:t>
            </w:r>
          </w:p>
        </w:tc>
        <w:tc>
          <w:tcPr>
            <w:tcW w:w="7160" w:type="dxa"/>
            <w:vAlign w:val="bottom"/>
          </w:tcPr>
          <w:p w14:paraId="1B50800A" w14:textId="77777777" w:rsidR="00D1587D" w:rsidRDefault="00410D07">
            <w:pPr>
              <w:ind w:left="4600"/>
              <w:rPr>
                <w:sz w:val="20"/>
                <w:szCs w:val="20"/>
              </w:rPr>
            </w:pPr>
            <w:r>
              <w:rPr>
                <w:rFonts w:ascii="Arial" w:eastAsia="Arial" w:hAnsi="Arial" w:cs="Arial"/>
                <w:sz w:val="18"/>
                <w:szCs w:val="18"/>
              </w:rPr>
              <w:t>2.01(a)</w:t>
            </w:r>
          </w:p>
        </w:tc>
      </w:tr>
      <w:tr w:rsidR="00D1587D" w14:paraId="60EF57B8" w14:textId="77777777">
        <w:trPr>
          <w:trHeight w:val="216"/>
        </w:trPr>
        <w:tc>
          <w:tcPr>
            <w:tcW w:w="4080" w:type="dxa"/>
            <w:vAlign w:val="bottom"/>
          </w:tcPr>
          <w:p w14:paraId="6B520CE9" w14:textId="77777777" w:rsidR="00D1587D" w:rsidRDefault="00410D07">
            <w:pPr>
              <w:rPr>
                <w:sz w:val="20"/>
                <w:szCs w:val="20"/>
              </w:rPr>
            </w:pPr>
            <w:r>
              <w:rPr>
                <w:rFonts w:ascii="Arial" w:eastAsia="Arial" w:hAnsi="Arial" w:cs="Arial"/>
                <w:sz w:val="18"/>
                <w:szCs w:val="18"/>
              </w:rPr>
              <w:t>Service Recipient Indemnitees</w:t>
            </w:r>
          </w:p>
        </w:tc>
        <w:tc>
          <w:tcPr>
            <w:tcW w:w="7160" w:type="dxa"/>
            <w:vAlign w:val="bottom"/>
          </w:tcPr>
          <w:p w14:paraId="45C63BC2" w14:textId="77777777" w:rsidR="00D1587D" w:rsidRDefault="00410D07">
            <w:pPr>
              <w:ind w:left="4600"/>
              <w:rPr>
                <w:sz w:val="20"/>
                <w:szCs w:val="20"/>
              </w:rPr>
            </w:pPr>
            <w:r>
              <w:rPr>
                <w:rFonts w:ascii="Arial" w:eastAsia="Arial" w:hAnsi="Arial" w:cs="Arial"/>
                <w:sz w:val="18"/>
                <w:szCs w:val="18"/>
              </w:rPr>
              <w:t>6.01(b)</w:t>
            </w:r>
          </w:p>
        </w:tc>
      </w:tr>
      <w:tr w:rsidR="00D1587D" w14:paraId="2BA54273" w14:textId="77777777">
        <w:trPr>
          <w:trHeight w:val="216"/>
        </w:trPr>
        <w:tc>
          <w:tcPr>
            <w:tcW w:w="4080" w:type="dxa"/>
            <w:vAlign w:val="bottom"/>
          </w:tcPr>
          <w:p w14:paraId="59050A4E" w14:textId="77777777" w:rsidR="00D1587D" w:rsidRDefault="00410D07">
            <w:pPr>
              <w:rPr>
                <w:sz w:val="20"/>
                <w:szCs w:val="20"/>
              </w:rPr>
            </w:pPr>
            <w:r>
              <w:rPr>
                <w:rFonts w:ascii="Arial" w:eastAsia="Arial" w:hAnsi="Arial" w:cs="Arial"/>
                <w:sz w:val="18"/>
                <w:szCs w:val="18"/>
              </w:rPr>
              <w:t>Service Taxes</w:t>
            </w:r>
          </w:p>
        </w:tc>
        <w:tc>
          <w:tcPr>
            <w:tcW w:w="7160" w:type="dxa"/>
            <w:vAlign w:val="bottom"/>
          </w:tcPr>
          <w:p w14:paraId="316931B9" w14:textId="77777777" w:rsidR="00D1587D" w:rsidRDefault="00410D07">
            <w:pPr>
              <w:ind w:left="4600"/>
              <w:rPr>
                <w:sz w:val="20"/>
                <w:szCs w:val="20"/>
              </w:rPr>
            </w:pPr>
            <w:r>
              <w:rPr>
                <w:rFonts w:ascii="Arial" w:eastAsia="Arial" w:hAnsi="Arial" w:cs="Arial"/>
                <w:sz w:val="18"/>
                <w:szCs w:val="18"/>
              </w:rPr>
              <w:t>3.08(a)</w:t>
            </w:r>
          </w:p>
        </w:tc>
      </w:tr>
      <w:tr w:rsidR="00D1587D" w14:paraId="0695BBE5" w14:textId="77777777">
        <w:trPr>
          <w:trHeight w:val="216"/>
        </w:trPr>
        <w:tc>
          <w:tcPr>
            <w:tcW w:w="4080" w:type="dxa"/>
            <w:vAlign w:val="bottom"/>
          </w:tcPr>
          <w:p w14:paraId="7DF3111D" w14:textId="77777777" w:rsidR="00D1587D" w:rsidRDefault="00410D07">
            <w:pPr>
              <w:rPr>
                <w:sz w:val="20"/>
                <w:szCs w:val="20"/>
              </w:rPr>
            </w:pPr>
            <w:r>
              <w:rPr>
                <w:rFonts w:ascii="Arial" w:eastAsia="Arial" w:hAnsi="Arial" w:cs="Arial"/>
                <w:sz w:val="18"/>
                <w:szCs w:val="18"/>
              </w:rPr>
              <w:t>Specific Billing</w:t>
            </w:r>
          </w:p>
        </w:tc>
        <w:tc>
          <w:tcPr>
            <w:tcW w:w="7160" w:type="dxa"/>
            <w:vAlign w:val="bottom"/>
          </w:tcPr>
          <w:p w14:paraId="70E46F7B" w14:textId="77777777" w:rsidR="00D1587D" w:rsidRDefault="00410D07">
            <w:pPr>
              <w:ind w:left="4600"/>
              <w:rPr>
                <w:sz w:val="20"/>
                <w:szCs w:val="20"/>
              </w:rPr>
            </w:pPr>
            <w:r>
              <w:rPr>
                <w:rFonts w:ascii="Arial" w:eastAsia="Arial" w:hAnsi="Arial" w:cs="Arial"/>
                <w:sz w:val="18"/>
                <w:szCs w:val="18"/>
              </w:rPr>
              <w:t>3.01(b)</w:t>
            </w:r>
          </w:p>
        </w:tc>
      </w:tr>
      <w:tr w:rsidR="00D1587D" w14:paraId="4F19B6B4" w14:textId="77777777">
        <w:trPr>
          <w:trHeight w:val="216"/>
        </w:trPr>
        <w:tc>
          <w:tcPr>
            <w:tcW w:w="4080" w:type="dxa"/>
            <w:vAlign w:val="bottom"/>
          </w:tcPr>
          <w:p w14:paraId="3955FD8F" w14:textId="77777777" w:rsidR="00D1587D" w:rsidRDefault="00410D07">
            <w:pPr>
              <w:rPr>
                <w:sz w:val="20"/>
                <w:szCs w:val="20"/>
              </w:rPr>
            </w:pPr>
            <w:r>
              <w:rPr>
                <w:rFonts w:ascii="Arial" w:eastAsia="Arial" w:hAnsi="Arial" w:cs="Arial"/>
                <w:sz w:val="18"/>
                <w:szCs w:val="18"/>
              </w:rPr>
              <w:t>Term</w:t>
            </w:r>
          </w:p>
        </w:tc>
        <w:tc>
          <w:tcPr>
            <w:tcW w:w="7160" w:type="dxa"/>
            <w:vAlign w:val="bottom"/>
          </w:tcPr>
          <w:p w14:paraId="32ED27B9" w14:textId="77777777" w:rsidR="00D1587D" w:rsidRDefault="00410D07">
            <w:pPr>
              <w:ind w:left="4600"/>
              <w:rPr>
                <w:sz w:val="20"/>
                <w:szCs w:val="20"/>
              </w:rPr>
            </w:pPr>
            <w:r>
              <w:rPr>
                <w:rFonts w:ascii="Arial" w:eastAsia="Arial" w:hAnsi="Arial" w:cs="Arial"/>
                <w:sz w:val="18"/>
                <w:szCs w:val="18"/>
              </w:rPr>
              <w:t>2.01(b)</w:t>
            </w:r>
          </w:p>
        </w:tc>
      </w:tr>
      <w:tr w:rsidR="00D1587D" w14:paraId="6ED49DF6" w14:textId="77777777">
        <w:trPr>
          <w:trHeight w:val="216"/>
        </w:trPr>
        <w:tc>
          <w:tcPr>
            <w:tcW w:w="4080" w:type="dxa"/>
            <w:vAlign w:val="bottom"/>
          </w:tcPr>
          <w:p w14:paraId="2882F0B5" w14:textId="77777777" w:rsidR="00D1587D" w:rsidRDefault="00410D07">
            <w:pPr>
              <w:rPr>
                <w:sz w:val="20"/>
                <w:szCs w:val="20"/>
              </w:rPr>
            </w:pPr>
            <w:r>
              <w:rPr>
                <w:rFonts w:ascii="Arial" w:eastAsia="Arial" w:hAnsi="Arial" w:cs="Arial"/>
                <w:sz w:val="18"/>
                <w:szCs w:val="18"/>
              </w:rPr>
              <w:t>Termination Fees</w:t>
            </w:r>
          </w:p>
        </w:tc>
        <w:tc>
          <w:tcPr>
            <w:tcW w:w="7160" w:type="dxa"/>
            <w:vAlign w:val="bottom"/>
          </w:tcPr>
          <w:p w14:paraId="42591703" w14:textId="77777777" w:rsidR="00D1587D" w:rsidRDefault="00410D07">
            <w:pPr>
              <w:ind w:left="4600"/>
              <w:rPr>
                <w:sz w:val="20"/>
                <w:szCs w:val="20"/>
              </w:rPr>
            </w:pPr>
            <w:r>
              <w:rPr>
                <w:rFonts w:ascii="Arial" w:eastAsia="Arial" w:hAnsi="Arial" w:cs="Arial"/>
                <w:sz w:val="18"/>
                <w:szCs w:val="18"/>
              </w:rPr>
              <w:t>7.02</w:t>
            </w:r>
          </w:p>
        </w:tc>
      </w:tr>
      <w:tr w:rsidR="00D1587D" w14:paraId="7E0DA839" w14:textId="77777777">
        <w:trPr>
          <w:trHeight w:val="216"/>
        </w:trPr>
        <w:tc>
          <w:tcPr>
            <w:tcW w:w="4080" w:type="dxa"/>
            <w:vAlign w:val="bottom"/>
          </w:tcPr>
          <w:p w14:paraId="6DBCD855" w14:textId="77777777" w:rsidR="00D1587D" w:rsidRDefault="00410D07">
            <w:pPr>
              <w:rPr>
                <w:sz w:val="20"/>
                <w:szCs w:val="20"/>
              </w:rPr>
            </w:pPr>
            <w:r>
              <w:rPr>
                <w:rFonts w:ascii="Arial" w:eastAsia="Arial" w:hAnsi="Arial" w:cs="Arial"/>
                <w:sz w:val="18"/>
                <w:szCs w:val="18"/>
              </w:rPr>
              <w:t>Third Party Claim</w:t>
            </w:r>
          </w:p>
        </w:tc>
        <w:tc>
          <w:tcPr>
            <w:tcW w:w="7160" w:type="dxa"/>
            <w:vAlign w:val="bottom"/>
          </w:tcPr>
          <w:p w14:paraId="00C4195D" w14:textId="77777777" w:rsidR="00D1587D" w:rsidRDefault="00410D07">
            <w:pPr>
              <w:ind w:left="4600"/>
              <w:rPr>
                <w:sz w:val="20"/>
                <w:szCs w:val="20"/>
              </w:rPr>
            </w:pPr>
            <w:r>
              <w:rPr>
                <w:rFonts w:ascii="Arial" w:eastAsia="Arial" w:hAnsi="Arial" w:cs="Arial"/>
                <w:sz w:val="18"/>
                <w:szCs w:val="18"/>
              </w:rPr>
              <w:t>6.02(a)</w:t>
            </w:r>
          </w:p>
        </w:tc>
      </w:tr>
      <w:tr w:rsidR="00D1587D" w14:paraId="478ECDAD" w14:textId="77777777">
        <w:trPr>
          <w:trHeight w:val="216"/>
        </w:trPr>
        <w:tc>
          <w:tcPr>
            <w:tcW w:w="4080" w:type="dxa"/>
            <w:vAlign w:val="bottom"/>
          </w:tcPr>
          <w:p w14:paraId="6CFB8FB0" w14:textId="77777777" w:rsidR="00D1587D" w:rsidRDefault="00410D07">
            <w:pPr>
              <w:rPr>
                <w:sz w:val="20"/>
                <w:szCs w:val="20"/>
              </w:rPr>
            </w:pPr>
            <w:r>
              <w:rPr>
                <w:rFonts w:ascii="Arial" w:eastAsia="Arial" w:hAnsi="Arial" w:cs="Arial"/>
                <w:sz w:val="18"/>
                <w:szCs w:val="18"/>
              </w:rPr>
              <w:t>Third Party Consent Costs</w:t>
            </w:r>
          </w:p>
        </w:tc>
        <w:tc>
          <w:tcPr>
            <w:tcW w:w="7160" w:type="dxa"/>
            <w:vAlign w:val="bottom"/>
          </w:tcPr>
          <w:p w14:paraId="09C4376C" w14:textId="77777777" w:rsidR="00D1587D" w:rsidRDefault="00410D07">
            <w:pPr>
              <w:ind w:left="4600"/>
              <w:rPr>
                <w:sz w:val="20"/>
                <w:szCs w:val="20"/>
              </w:rPr>
            </w:pPr>
            <w:r>
              <w:rPr>
                <w:rFonts w:ascii="Arial" w:eastAsia="Arial" w:hAnsi="Arial" w:cs="Arial"/>
                <w:sz w:val="18"/>
                <w:szCs w:val="18"/>
              </w:rPr>
              <w:t>2.08(a)</w:t>
            </w:r>
          </w:p>
        </w:tc>
      </w:tr>
      <w:tr w:rsidR="00D1587D" w14:paraId="5C64B4C3" w14:textId="77777777">
        <w:trPr>
          <w:trHeight w:val="216"/>
        </w:trPr>
        <w:tc>
          <w:tcPr>
            <w:tcW w:w="4080" w:type="dxa"/>
            <w:vAlign w:val="bottom"/>
          </w:tcPr>
          <w:p w14:paraId="4C753C77" w14:textId="77777777" w:rsidR="00D1587D" w:rsidRDefault="00410D07">
            <w:pPr>
              <w:rPr>
                <w:sz w:val="20"/>
                <w:szCs w:val="20"/>
              </w:rPr>
            </w:pPr>
            <w:r>
              <w:rPr>
                <w:rFonts w:ascii="Arial" w:eastAsia="Arial" w:hAnsi="Arial" w:cs="Arial"/>
                <w:sz w:val="18"/>
                <w:szCs w:val="18"/>
              </w:rPr>
              <w:t>Third Party Provider</w:t>
            </w:r>
          </w:p>
        </w:tc>
        <w:tc>
          <w:tcPr>
            <w:tcW w:w="7160" w:type="dxa"/>
            <w:vAlign w:val="bottom"/>
          </w:tcPr>
          <w:p w14:paraId="489D7A2C" w14:textId="77777777" w:rsidR="00D1587D" w:rsidRDefault="00410D07">
            <w:pPr>
              <w:ind w:left="4600"/>
              <w:rPr>
                <w:sz w:val="20"/>
                <w:szCs w:val="20"/>
              </w:rPr>
            </w:pPr>
            <w:r>
              <w:rPr>
                <w:rFonts w:ascii="Arial" w:eastAsia="Arial" w:hAnsi="Arial" w:cs="Arial"/>
                <w:sz w:val="18"/>
                <w:szCs w:val="18"/>
              </w:rPr>
              <w:t>2.02</w:t>
            </w:r>
          </w:p>
        </w:tc>
      </w:tr>
      <w:tr w:rsidR="00D1587D" w14:paraId="111FEDF8" w14:textId="77777777">
        <w:trPr>
          <w:trHeight w:val="216"/>
        </w:trPr>
        <w:tc>
          <w:tcPr>
            <w:tcW w:w="4080" w:type="dxa"/>
            <w:vAlign w:val="bottom"/>
          </w:tcPr>
          <w:p w14:paraId="1E778152" w14:textId="77777777" w:rsidR="00D1587D" w:rsidRDefault="00410D07">
            <w:pPr>
              <w:rPr>
                <w:sz w:val="20"/>
                <w:szCs w:val="20"/>
              </w:rPr>
            </w:pPr>
            <w:r>
              <w:rPr>
                <w:rFonts w:ascii="Arial" w:eastAsia="Arial" w:hAnsi="Arial" w:cs="Arial"/>
                <w:sz w:val="18"/>
                <w:szCs w:val="18"/>
              </w:rPr>
              <w:t>Transition Date</w:t>
            </w:r>
          </w:p>
        </w:tc>
        <w:tc>
          <w:tcPr>
            <w:tcW w:w="7160" w:type="dxa"/>
            <w:vAlign w:val="bottom"/>
          </w:tcPr>
          <w:p w14:paraId="69A8F084" w14:textId="77777777" w:rsidR="00D1587D" w:rsidRDefault="00410D07">
            <w:pPr>
              <w:ind w:left="4600"/>
              <w:rPr>
                <w:sz w:val="20"/>
                <w:szCs w:val="20"/>
              </w:rPr>
            </w:pPr>
            <w:r>
              <w:rPr>
                <w:rFonts w:ascii="Arial" w:eastAsia="Arial" w:hAnsi="Arial" w:cs="Arial"/>
                <w:sz w:val="18"/>
                <w:szCs w:val="18"/>
              </w:rPr>
              <w:t>4.01(c)(ii)</w:t>
            </w:r>
          </w:p>
        </w:tc>
      </w:tr>
      <w:tr w:rsidR="00D1587D" w14:paraId="4E19B8CE" w14:textId="77777777">
        <w:trPr>
          <w:trHeight w:val="216"/>
        </w:trPr>
        <w:tc>
          <w:tcPr>
            <w:tcW w:w="4080" w:type="dxa"/>
            <w:vAlign w:val="bottom"/>
          </w:tcPr>
          <w:p w14:paraId="10F8F9CB" w14:textId="77777777" w:rsidR="00D1587D" w:rsidRDefault="00410D07">
            <w:pPr>
              <w:rPr>
                <w:sz w:val="20"/>
                <w:szCs w:val="20"/>
              </w:rPr>
            </w:pPr>
            <w:r>
              <w:rPr>
                <w:rFonts w:ascii="Arial" w:eastAsia="Arial" w:hAnsi="Arial" w:cs="Arial"/>
                <w:sz w:val="18"/>
                <w:szCs w:val="18"/>
              </w:rPr>
              <w:t>Transition Employee</w:t>
            </w:r>
          </w:p>
        </w:tc>
        <w:tc>
          <w:tcPr>
            <w:tcW w:w="7160" w:type="dxa"/>
            <w:vAlign w:val="bottom"/>
          </w:tcPr>
          <w:p w14:paraId="3A93AB27" w14:textId="77777777" w:rsidR="00D1587D" w:rsidRDefault="00410D07">
            <w:pPr>
              <w:ind w:left="4600"/>
              <w:rPr>
                <w:sz w:val="20"/>
                <w:szCs w:val="20"/>
              </w:rPr>
            </w:pPr>
            <w:r>
              <w:rPr>
                <w:rFonts w:ascii="Arial" w:eastAsia="Arial" w:hAnsi="Arial" w:cs="Arial"/>
                <w:sz w:val="18"/>
                <w:szCs w:val="18"/>
              </w:rPr>
              <w:t>4.01(c)(i)</w:t>
            </w:r>
          </w:p>
        </w:tc>
      </w:tr>
      <w:tr w:rsidR="00D1587D" w14:paraId="3B54AF25" w14:textId="77777777">
        <w:trPr>
          <w:trHeight w:val="216"/>
        </w:trPr>
        <w:tc>
          <w:tcPr>
            <w:tcW w:w="4080" w:type="dxa"/>
            <w:vAlign w:val="bottom"/>
          </w:tcPr>
          <w:p w14:paraId="4BD3952C" w14:textId="77777777" w:rsidR="00D1587D" w:rsidRDefault="00410D07">
            <w:pPr>
              <w:rPr>
                <w:sz w:val="20"/>
                <w:szCs w:val="20"/>
              </w:rPr>
            </w:pPr>
            <w:r>
              <w:rPr>
                <w:rFonts w:ascii="Arial" w:eastAsia="Arial" w:hAnsi="Arial" w:cs="Arial"/>
                <w:sz w:val="18"/>
                <w:szCs w:val="18"/>
              </w:rPr>
              <w:t>VS</w:t>
            </w:r>
          </w:p>
        </w:tc>
        <w:tc>
          <w:tcPr>
            <w:tcW w:w="7160" w:type="dxa"/>
            <w:vAlign w:val="bottom"/>
          </w:tcPr>
          <w:p w14:paraId="0F0E86C3" w14:textId="77777777" w:rsidR="00D1587D" w:rsidRDefault="00410D07">
            <w:pPr>
              <w:ind w:left="4600"/>
              <w:rPr>
                <w:sz w:val="20"/>
                <w:szCs w:val="20"/>
              </w:rPr>
            </w:pPr>
            <w:r>
              <w:rPr>
                <w:rFonts w:ascii="Arial" w:eastAsia="Arial" w:hAnsi="Arial" w:cs="Arial"/>
                <w:sz w:val="18"/>
                <w:szCs w:val="18"/>
              </w:rPr>
              <w:t>Preamble</w:t>
            </w:r>
          </w:p>
        </w:tc>
      </w:tr>
      <w:tr w:rsidR="00D1587D" w14:paraId="29059F8E" w14:textId="77777777">
        <w:trPr>
          <w:trHeight w:val="216"/>
        </w:trPr>
        <w:tc>
          <w:tcPr>
            <w:tcW w:w="4080" w:type="dxa"/>
            <w:vAlign w:val="bottom"/>
          </w:tcPr>
          <w:p w14:paraId="3AD00325" w14:textId="77777777" w:rsidR="00D1587D" w:rsidRDefault="00410D07">
            <w:pPr>
              <w:rPr>
                <w:sz w:val="20"/>
                <w:szCs w:val="20"/>
              </w:rPr>
            </w:pPr>
            <w:r>
              <w:rPr>
                <w:rFonts w:ascii="Arial" w:eastAsia="Arial" w:hAnsi="Arial" w:cs="Arial"/>
                <w:sz w:val="18"/>
                <w:szCs w:val="18"/>
              </w:rPr>
              <w:t>VS Developed Intellectual Property</w:t>
            </w:r>
          </w:p>
        </w:tc>
        <w:tc>
          <w:tcPr>
            <w:tcW w:w="7160" w:type="dxa"/>
            <w:vAlign w:val="bottom"/>
          </w:tcPr>
          <w:p w14:paraId="59158113" w14:textId="77777777" w:rsidR="00D1587D" w:rsidRDefault="00410D07">
            <w:pPr>
              <w:ind w:left="4600"/>
              <w:rPr>
                <w:sz w:val="20"/>
                <w:szCs w:val="20"/>
              </w:rPr>
            </w:pPr>
            <w:r>
              <w:rPr>
                <w:rFonts w:ascii="Arial" w:eastAsia="Arial" w:hAnsi="Arial" w:cs="Arial"/>
                <w:sz w:val="18"/>
                <w:szCs w:val="18"/>
              </w:rPr>
              <w:t>2.09(d)</w:t>
            </w:r>
          </w:p>
        </w:tc>
      </w:tr>
      <w:tr w:rsidR="00D1587D" w14:paraId="15159519" w14:textId="77777777">
        <w:trPr>
          <w:trHeight w:val="230"/>
        </w:trPr>
        <w:tc>
          <w:tcPr>
            <w:tcW w:w="4080" w:type="dxa"/>
            <w:vAlign w:val="bottom"/>
          </w:tcPr>
          <w:p w14:paraId="57C6C268" w14:textId="77777777" w:rsidR="00D1587D" w:rsidRDefault="00410D07">
            <w:pPr>
              <w:rPr>
                <w:sz w:val="20"/>
                <w:szCs w:val="20"/>
              </w:rPr>
            </w:pPr>
            <w:r>
              <w:rPr>
                <w:rFonts w:ascii="Arial" w:eastAsia="Arial" w:hAnsi="Arial" w:cs="Arial"/>
                <w:sz w:val="18"/>
                <w:szCs w:val="18"/>
              </w:rPr>
              <w:t>VS to L Brands TSA</w:t>
            </w:r>
          </w:p>
        </w:tc>
        <w:tc>
          <w:tcPr>
            <w:tcW w:w="7160" w:type="dxa"/>
            <w:vAlign w:val="bottom"/>
          </w:tcPr>
          <w:p w14:paraId="7F1CF5FB" w14:textId="77777777" w:rsidR="00D1587D" w:rsidRDefault="00410D07">
            <w:pPr>
              <w:ind w:left="4600"/>
              <w:rPr>
                <w:sz w:val="20"/>
                <w:szCs w:val="20"/>
              </w:rPr>
            </w:pPr>
            <w:r>
              <w:rPr>
                <w:rFonts w:ascii="Arial" w:eastAsia="Arial" w:hAnsi="Arial" w:cs="Arial"/>
                <w:sz w:val="18"/>
                <w:szCs w:val="18"/>
              </w:rPr>
              <w:t>9.15</w:t>
            </w:r>
          </w:p>
        </w:tc>
      </w:tr>
      <w:tr w:rsidR="00D1587D" w14:paraId="283F3C6F" w14:textId="77777777">
        <w:trPr>
          <w:trHeight w:val="582"/>
        </w:trPr>
        <w:tc>
          <w:tcPr>
            <w:tcW w:w="4080" w:type="dxa"/>
            <w:vAlign w:val="bottom"/>
          </w:tcPr>
          <w:p w14:paraId="78059DBF" w14:textId="77777777" w:rsidR="00D1587D" w:rsidRDefault="00D1587D">
            <w:pPr>
              <w:rPr>
                <w:sz w:val="24"/>
                <w:szCs w:val="24"/>
              </w:rPr>
            </w:pPr>
          </w:p>
        </w:tc>
        <w:tc>
          <w:tcPr>
            <w:tcW w:w="7160" w:type="dxa"/>
            <w:vAlign w:val="bottom"/>
          </w:tcPr>
          <w:p w14:paraId="0A819509" w14:textId="77777777" w:rsidR="00D1587D" w:rsidRDefault="00410D07">
            <w:pPr>
              <w:ind w:left="1500"/>
              <w:rPr>
                <w:sz w:val="20"/>
                <w:szCs w:val="20"/>
              </w:rPr>
            </w:pPr>
            <w:r>
              <w:rPr>
                <w:rFonts w:ascii="Arial" w:eastAsia="Arial" w:hAnsi="Arial" w:cs="Arial"/>
                <w:sz w:val="14"/>
                <w:szCs w:val="14"/>
              </w:rPr>
              <w:t>2</w:t>
            </w:r>
          </w:p>
        </w:tc>
      </w:tr>
      <w:tr w:rsidR="00D1587D" w14:paraId="2A00C013" w14:textId="77777777">
        <w:trPr>
          <w:trHeight w:val="46"/>
        </w:trPr>
        <w:tc>
          <w:tcPr>
            <w:tcW w:w="4080" w:type="dxa"/>
            <w:tcBorders>
              <w:bottom w:val="single" w:sz="8" w:space="0" w:color="auto"/>
            </w:tcBorders>
            <w:vAlign w:val="bottom"/>
          </w:tcPr>
          <w:p w14:paraId="1CFE30B7" w14:textId="77777777" w:rsidR="00D1587D" w:rsidRDefault="00D1587D">
            <w:pPr>
              <w:rPr>
                <w:sz w:val="4"/>
                <w:szCs w:val="4"/>
              </w:rPr>
            </w:pPr>
          </w:p>
        </w:tc>
        <w:tc>
          <w:tcPr>
            <w:tcW w:w="7160" w:type="dxa"/>
            <w:tcBorders>
              <w:bottom w:val="single" w:sz="8" w:space="0" w:color="auto"/>
            </w:tcBorders>
            <w:vAlign w:val="bottom"/>
          </w:tcPr>
          <w:p w14:paraId="5E9F8D68" w14:textId="77777777" w:rsidR="00D1587D" w:rsidRDefault="00D1587D">
            <w:pPr>
              <w:rPr>
                <w:sz w:val="4"/>
                <w:szCs w:val="4"/>
              </w:rPr>
            </w:pPr>
          </w:p>
        </w:tc>
      </w:tr>
    </w:tbl>
    <w:p w14:paraId="79D564F4" w14:textId="77777777" w:rsidR="00D1587D" w:rsidRDefault="00D1587D">
      <w:pPr>
        <w:sectPr w:rsidR="00D1587D">
          <w:pgSz w:w="11900" w:h="16838"/>
          <w:pgMar w:top="355" w:right="339" w:bottom="1440" w:left="320" w:header="0" w:footer="0" w:gutter="0"/>
          <w:cols w:space="720" w:equalWidth="0">
            <w:col w:w="11240"/>
          </w:cols>
        </w:sectPr>
      </w:pPr>
    </w:p>
    <w:p w14:paraId="0A8ECC7F" w14:textId="77777777" w:rsidR="00D1587D" w:rsidRDefault="00410D07">
      <w:pPr>
        <w:spacing w:line="269" w:lineRule="auto"/>
        <w:ind w:firstLine="648"/>
        <w:rPr>
          <w:sz w:val="20"/>
          <w:szCs w:val="20"/>
        </w:rPr>
      </w:pPr>
      <w:bookmarkStart w:id="91" w:name="page92"/>
      <w:bookmarkEnd w:id="91"/>
      <w:r>
        <w:rPr>
          <w:rFonts w:ascii="Arial" w:eastAsia="Arial" w:hAnsi="Arial" w:cs="Arial"/>
          <w:sz w:val="19"/>
          <w:szCs w:val="19"/>
        </w:rPr>
        <w:t xml:space="preserve">Section 1.02. </w:t>
      </w:r>
      <w:r>
        <w:rPr>
          <w:rFonts w:ascii="Arial" w:eastAsia="Arial" w:hAnsi="Arial" w:cs="Arial"/>
          <w:i/>
          <w:iCs/>
          <w:sz w:val="19"/>
          <w:szCs w:val="19"/>
        </w:rPr>
        <w:t>Other Definitional and Interpretive Provisions</w:t>
      </w:r>
      <w:r>
        <w:rPr>
          <w:rFonts w:ascii="Arial" w:eastAsia="Arial" w:hAnsi="Arial" w:cs="Arial"/>
          <w:sz w:val="19"/>
          <w:szCs w:val="19"/>
        </w:rPr>
        <w:t xml:space="preserve">. The words “hereof”, “herein” and “hereunder” and words of like import used in this Agreement shall refer to this Agreement as a whole and not to any </w:t>
      </w:r>
      <w:r>
        <w:rPr>
          <w:rFonts w:ascii="Arial" w:eastAsia="Arial" w:hAnsi="Arial" w:cs="Arial"/>
          <w:sz w:val="19"/>
          <w:szCs w:val="19"/>
        </w:rPr>
        <w:t xml:space="preserve">particular provision of this Agreement. The captions herein are included for convenience of reference only and shall be ignored in the construction or interpretation hereof. References to Articles, Sections, Exhibits, Appendices, Annexes and Schedules are </w:t>
      </w:r>
      <w:r>
        <w:rPr>
          <w:rFonts w:ascii="Arial" w:eastAsia="Arial" w:hAnsi="Arial" w:cs="Arial"/>
          <w:sz w:val="19"/>
          <w:szCs w:val="19"/>
        </w:rPr>
        <w:t>to Articles, Sections, Exhibits, Appendices, Annexes and Schedules of this Agreement unless otherwise specified. All Exhibits, Appendices, Annexes and Schedules annexed hereto or referred to herein are hereby incorporated in and made a part of this Agreeme</w:t>
      </w:r>
      <w:r>
        <w:rPr>
          <w:rFonts w:ascii="Arial" w:eastAsia="Arial" w:hAnsi="Arial" w:cs="Arial"/>
          <w:sz w:val="19"/>
          <w:szCs w:val="19"/>
        </w:rPr>
        <w:t>nt as if set forth in full herein. Any capitalized terms used in any Exhibit, Appendix, Annex or Schedule but not otherwise defined therein, shall have the meaning as defined in this Agreement. Any singular term in this Agreement shall be deemed to include</w:t>
      </w:r>
      <w:r>
        <w:rPr>
          <w:rFonts w:ascii="Arial" w:eastAsia="Arial" w:hAnsi="Arial" w:cs="Arial"/>
          <w:sz w:val="19"/>
          <w:szCs w:val="19"/>
        </w:rPr>
        <w:t xml:space="preserve"> the plural, and any plural term the singular. Whenever the words “include”, “includes” or “including” are used in this Agreement, they shall be deemed to be followed by the words “without limitation”, whether or not they are in fact followed by those word</w:t>
      </w:r>
      <w:r>
        <w:rPr>
          <w:rFonts w:ascii="Arial" w:eastAsia="Arial" w:hAnsi="Arial" w:cs="Arial"/>
          <w:sz w:val="19"/>
          <w:szCs w:val="19"/>
        </w:rPr>
        <w:t>s or words of like import. “Writing”, “written” and comparable terms refer to printing, typing and other means of reproducing words (including electronic media) in a visible form. References to any statute shall be deemed to refer to such statute as amende</w:t>
      </w:r>
      <w:r>
        <w:rPr>
          <w:rFonts w:ascii="Arial" w:eastAsia="Arial" w:hAnsi="Arial" w:cs="Arial"/>
          <w:sz w:val="19"/>
          <w:szCs w:val="19"/>
        </w:rPr>
        <w:t>d from time to time and to any rules or regulations promulgated thereunder. References to any agreement or contract are to that agreement or contract as amended, modified or supplemented from time to time in accordance with the terms hereof and thereof. Re</w:t>
      </w:r>
      <w:r>
        <w:rPr>
          <w:rFonts w:ascii="Arial" w:eastAsia="Arial" w:hAnsi="Arial" w:cs="Arial"/>
          <w:sz w:val="19"/>
          <w:szCs w:val="19"/>
        </w:rPr>
        <w:t>ferences to any Person include the successors and permitted assigns of that Person. References from or through any date mean, unless otherwise specified, from and including or through and including, respectively. References to “law”, “laws” or to a particu</w:t>
      </w:r>
      <w:r>
        <w:rPr>
          <w:rFonts w:ascii="Arial" w:eastAsia="Arial" w:hAnsi="Arial" w:cs="Arial"/>
          <w:sz w:val="19"/>
          <w:szCs w:val="19"/>
        </w:rPr>
        <w:t>lar statute or law shall be deemed also to include any and all Applicable Law. The word “or” means “and/or” unless the context provides otherwise. References to “dollars” or “$” shall mean U.S. dollars, and whenever conversion of values to or from any curr</w:t>
      </w:r>
      <w:r>
        <w:rPr>
          <w:rFonts w:ascii="Arial" w:eastAsia="Arial" w:hAnsi="Arial" w:cs="Arial"/>
          <w:sz w:val="19"/>
          <w:szCs w:val="19"/>
        </w:rPr>
        <w:t>ency other than U.S. dollars for a particular date shall be required, such conversion shall be made using the closing rate provided by Bloomberg as of the date that is one Business Day prior to such date. References to one gender shall be held to include t</w:t>
      </w:r>
      <w:r>
        <w:rPr>
          <w:rFonts w:ascii="Arial" w:eastAsia="Arial" w:hAnsi="Arial" w:cs="Arial"/>
          <w:sz w:val="19"/>
          <w:szCs w:val="19"/>
        </w:rPr>
        <w:t>he other gender as the context requires. In the event of any inconsistency between the terms of this Agreement and the terms set forth in any Service Schedule, the terms set forth in the applicable Service Schedule shall prevail unless expressly provided o</w:t>
      </w:r>
      <w:r>
        <w:rPr>
          <w:rFonts w:ascii="Arial" w:eastAsia="Arial" w:hAnsi="Arial" w:cs="Arial"/>
          <w:sz w:val="19"/>
          <w:szCs w:val="19"/>
        </w:rPr>
        <w:t>therwise.</w:t>
      </w:r>
    </w:p>
    <w:p w14:paraId="2347CE53" w14:textId="77777777" w:rsidR="00D1587D" w:rsidRDefault="00D1587D">
      <w:pPr>
        <w:spacing w:line="200" w:lineRule="exact"/>
        <w:rPr>
          <w:sz w:val="20"/>
          <w:szCs w:val="20"/>
        </w:rPr>
      </w:pPr>
    </w:p>
    <w:p w14:paraId="14C303BF" w14:textId="77777777" w:rsidR="00D1587D" w:rsidRDefault="00D1587D">
      <w:pPr>
        <w:spacing w:line="244" w:lineRule="exact"/>
        <w:rPr>
          <w:sz w:val="20"/>
          <w:szCs w:val="20"/>
        </w:rPr>
      </w:pPr>
    </w:p>
    <w:p w14:paraId="187375B4" w14:textId="77777777" w:rsidR="00D1587D" w:rsidRDefault="00410D07">
      <w:pPr>
        <w:ind w:right="-19"/>
        <w:jc w:val="center"/>
        <w:rPr>
          <w:sz w:val="20"/>
          <w:szCs w:val="20"/>
        </w:rPr>
      </w:pPr>
      <w:r>
        <w:rPr>
          <w:rFonts w:ascii="Arial" w:eastAsia="Arial" w:hAnsi="Arial" w:cs="Arial"/>
        </w:rPr>
        <w:t>ARTICLE 2</w:t>
      </w:r>
    </w:p>
    <w:p w14:paraId="20774087" w14:textId="77777777" w:rsidR="00D1587D" w:rsidRDefault="00D1587D">
      <w:pPr>
        <w:spacing w:line="8" w:lineRule="exact"/>
        <w:rPr>
          <w:sz w:val="20"/>
          <w:szCs w:val="20"/>
        </w:rPr>
      </w:pPr>
    </w:p>
    <w:p w14:paraId="19F32F1F" w14:textId="77777777" w:rsidR="00D1587D" w:rsidRDefault="00410D07">
      <w:pPr>
        <w:ind w:right="-19"/>
        <w:jc w:val="center"/>
        <w:rPr>
          <w:sz w:val="20"/>
          <w:szCs w:val="20"/>
        </w:rPr>
      </w:pPr>
      <w:r>
        <w:rPr>
          <w:rFonts w:ascii="Arial" w:eastAsia="Arial" w:hAnsi="Arial" w:cs="Arial"/>
        </w:rPr>
        <w:t>S</w:t>
      </w:r>
      <w:r>
        <w:rPr>
          <w:rFonts w:ascii="Arial" w:eastAsia="Arial" w:hAnsi="Arial" w:cs="Arial"/>
          <w:sz w:val="14"/>
          <w:szCs w:val="14"/>
        </w:rPr>
        <w:t>ERVICES</w:t>
      </w:r>
    </w:p>
    <w:p w14:paraId="216374F5" w14:textId="77777777" w:rsidR="00D1587D" w:rsidRDefault="00D1587D">
      <w:pPr>
        <w:spacing w:line="215" w:lineRule="exact"/>
        <w:rPr>
          <w:sz w:val="20"/>
          <w:szCs w:val="20"/>
        </w:rPr>
      </w:pPr>
    </w:p>
    <w:p w14:paraId="7F8A936C" w14:textId="77777777" w:rsidR="00D1587D" w:rsidRDefault="00410D07">
      <w:pPr>
        <w:spacing w:line="252" w:lineRule="auto"/>
        <w:ind w:right="100" w:firstLine="648"/>
        <w:rPr>
          <w:sz w:val="20"/>
          <w:szCs w:val="20"/>
        </w:rPr>
      </w:pPr>
      <w:r>
        <w:rPr>
          <w:rFonts w:ascii="Arial" w:eastAsia="Arial" w:hAnsi="Arial" w:cs="Arial"/>
          <w:sz w:val="21"/>
          <w:szCs w:val="21"/>
        </w:rPr>
        <w:t xml:space="preserve">Section 2.01. </w:t>
      </w:r>
      <w:r>
        <w:rPr>
          <w:rFonts w:ascii="Arial" w:eastAsia="Arial" w:hAnsi="Arial" w:cs="Arial"/>
          <w:i/>
          <w:iCs/>
          <w:sz w:val="21"/>
          <w:szCs w:val="21"/>
        </w:rPr>
        <w:t>Services</w:t>
      </w:r>
      <w:r>
        <w:rPr>
          <w:rFonts w:ascii="Arial" w:eastAsia="Arial" w:hAnsi="Arial" w:cs="Arial"/>
          <w:sz w:val="21"/>
          <w:szCs w:val="21"/>
        </w:rPr>
        <w:t>. (a) Subject to the terms and conditions set forth herein, Service Provider shall cause the Service Provider Parties to provide to VS and its Affiliates (collectively the “</w:t>
      </w:r>
      <w:r>
        <w:rPr>
          <w:rFonts w:ascii="Arial" w:eastAsia="Arial" w:hAnsi="Arial" w:cs="Arial"/>
          <w:b/>
          <w:bCs/>
          <w:sz w:val="21"/>
          <w:szCs w:val="21"/>
        </w:rPr>
        <w:t>Service Recipients</w:t>
      </w:r>
      <w:r>
        <w:rPr>
          <w:rFonts w:ascii="Arial" w:eastAsia="Arial" w:hAnsi="Arial" w:cs="Arial"/>
          <w:sz w:val="21"/>
          <w:szCs w:val="21"/>
        </w:rPr>
        <w:t>”), and th</w:t>
      </w:r>
      <w:r>
        <w:rPr>
          <w:rFonts w:ascii="Arial" w:eastAsia="Arial" w:hAnsi="Arial" w:cs="Arial"/>
          <w:sz w:val="21"/>
          <w:szCs w:val="21"/>
        </w:rPr>
        <w:t>e Service Recipients shall receive, the Services for the term indicated in Section 2.01(b). A detailed description of each Service to be provided by the Service Provider Parties to the Service Recipients hereunder is set forth in the Service Schedules.</w:t>
      </w:r>
    </w:p>
    <w:p w14:paraId="02468DD3" w14:textId="77777777" w:rsidR="00D1587D" w:rsidRDefault="00D1587D">
      <w:pPr>
        <w:spacing w:line="201" w:lineRule="exact"/>
        <w:rPr>
          <w:sz w:val="20"/>
          <w:szCs w:val="20"/>
        </w:rPr>
      </w:pPr>
    </w:p>
    <w:p w14:paraId="67BB873B" w14:textId="77777777" w:rsidR="00D1587D" w:rsidRDefault="00410D07">
      <w:pPr>
        <w:numPr>
          <w:ilvl w:val="0"/>
          <w:numId w:val="55"/>
        </w:numPr>
        <w:tabs>
          <w:tab w:val="left" w:pos="1634"/>
        </w:tabs>
        <w:spacing w:line="236" w:lineRule="auto"/>
        <w:ind w:firstLine="850"/>
        <w:rPr>
          <w:rFonts w:ascii="Arial" w:eastAsia="Arial" w:hAnsi="Arial" w:cs="Arial"/>
        </w:rPr>
      </w:pPr>
      <w:r>
        <w:rPr>
          <w:rFonts w:ascii="Arial" w:eastAsia="Arial" w:hAnsi="Arial" w:cs="Arial"/>
        </w:rPr>
        <w:t>Se</w:t>
      </w:r>
      <w:r>
        <w:rPr>
          <w:rFonts w:ascii="Arial" w:eastAsia="Arial" w:hAnsi="Arial" w:cs="Arial"/>
        </w:rPr>
        <w:t>rvice Provider shall cause the Service Provider Parties to provide, and the Service Recipients shall receive, each Service for the period specified for such Service in the applicable Service Schedule (each such period, a “</w:t>
      </w:r>
      <w:r>
        <w:rPr>
          <w:rFonts w:ascii="Arial" w:eastAsia="Arial" w:hAnsi="Arial" w:cs="Arial"/>
          <w:b/>
          <w:bCs/>
        </w:rPr>
        <w:t>Term</w:t>
      </w:r>
      <w:r>
        <w:rPr>
          <w:rFonts w:ascii="Arial" w:eastAsia="Arial" w:hAnsi="Arial" w:cs="Arial"/>
        </w:rPr>
        <w:t xml:space="preserve">”). The Term for each Service </w:t>
      </w:r>
      <w:r>
        <w:rPr>
          <w:rFonts w:ascii="Arial" w:eastAsia="Arial" w:hAnsi="Arial" w:cs="Arial"/>
        </w:rPr>
        <w:t>may be (i) extended or shortened by mutual written agreement of VS and Service Provider, and (ii) terminated by VS or Service Provider, as applicable, pursuant to Section 7.01, in each case to be reflected in an amendment to the applicable Service Schedule</w:t>
      </w:r>
      <w:r>
        <w:rPr>
          <w:rFonts w:ascii="Arial" w:eastAsia="Arial" w:hAnsi="Arial" w:cs="Arial"/>
        </w:rPr>
        <w:t>.</w:t>
      </w:r>
    </w:p>
    <w:p w14:paraId="203FC964" w14:textId="77777777" w:rsidR="00D1587D" w:rsidRDefault="00D1587D">
      <w:pPr>
        <w:spacing w:line="214" w:lineRule="exact"/>
        <w:rPr>
          <w:rFonts w:ascii="Arial" w:eastAsia="Arial" w:hAnsi="Arial" w:cs="Arial"/>
        </w:rPr>
      </w:pPr>
    </w:p>
    <w:p w14:paraId="4A1DBB79" w14:textId="77777777" w:rsidR="00D1587D" w:rsidRDefault="00410D07">
      <w:pPr>
        <w:numPr>
          <w:ilvl w:val="0"/>
          <w:numId w:val="55"/>
        </w:numPr>
        <w:tabs>
          <w:tab w:val="left" w:pos="1622"/>
        </w:tabs>
        <w:spacing w:line="272" w:lineRule="auto"/>
        <w:ind w:right="20" w:firstLine="850"/>
        <w:rPr>
          <w:rFonts w:ascii="Arial" w:eastAsia="Arial" w:hAnsi="Arial" w:cs="Arial"/>
          <w:sz w:val="19"/>
          <w:szCs w:val="19"/>
        </w:rPr>
      </w:pPr>
      <w:r>
        <w:rPr>
          <w:rFonts w:ascii="Arial" w:eastAsia="Arial" w:hAnsi="Arial" w:cs="Arial"/>
          <w:sz w:val="19"/>
          <w:szCs w:val="19"/>
        </w:rPr>
        <w:t xml:space="preserve">In addition to the Services to be provided or procured by Service Provider in accordance with Section 2.01(a), if due to a good faith oversight, the Service Schedules fail to identify a service provided by the Service Provider Parties to the VS </w:t>
      </w:r>
      <w:r>
        <w:rPr>
          <w:rFonts w:ascii="Arial" w:eastAsia="Arial" w:hAnsi="Arial" w:cs="Arial"/>
          <w:sz w:val="19"/>
          <w:szCs w:val="19"/>
        </w:rPr>
        <w:t>Business during the twelve month period prior to the date hereof (an “</w:t>
      </w:r>
      <w:r>
        <w:rPr>
          <w:rFonts w:ascii="Arial" w:eastAsia="Arial" w:hAnsi="Arial" w:cs="Arial"/>
          <w:b/>
          <w:bCs/>
          <w:sz w:val="19"/>
          <w:szCs w:val="19"/>
        </w:rPr>
        <w:t>Additional Service</w:t>
      </w:r>
      <w:r>
        <w:rPr>
          <w:rFonts w:ascii="Arial" w:eastAsia="Arial" w:hAnsi="Arial" w:cs="Arial"/>
          <w:sz w:val="19"/>
          <w:szCs w:val="19"/>
        </w:rPr>
        <w:t>”), and such Additional Service is necessary for the Service Recipients during the term of this Agreement to operate the VS Business in substantially the same manner as the VS Business had been operated during the twelve month period prior to the date here</w:t>
      </w:r>
      <w:r>
        <w:rPr>
          <w:rFonts w:ascii="Arial" w:eastAsia="Arial" w:hAnsi="Arial" w:cs="Arial"/>
          <w:sz w:val="19"/>
          <w:szCs w:val="19"/>
        </w:rPr>
        <w:t xml:space="preserve">of, upon written request of any Service Recipient that identifies and states its desire to receive such Additional Service, the parties hereto shall negotiate in good faith for Service Provider to provide or cause to be provided such Additional Service; </w:t>
      </w:r>
      <w:r>
        <w:rPr>
          <w:rFonts w:ascii="Arial" w:eastAsia="Arial" w:hAnsi="Arial" w:cs="Arial"/>
          <w:i/>
          <w:iCs/>
          <w:sz w:val="19"/>
          <w:szCs w:val="19"/>
        </w:rPr>
        <w:t>pr</w:t>
      </w:r>
      <w:r>
        <w:rPr>
          <w:rFonts w:ascii="Arial" w:eastAsia="Arial" w:hAnsi="Arial" w:cs="Arial"/>
          <w:i/>
          <w:iCs/>
          <w:sz w:val="19"/>
          <w:szCs w:val="19"/>
        </w:rPr>
        <w:t>ovided</w:t>
      </w:r>
      <w:r>
        <w:rPr>
          <w:rFonts w:ascii="Arial" w:eastAsia="Arial" w:hAnsi="Arial" w:cs="Arial"/>
          <w:sz w:val="19"/>
          <w:szCs w:val="19"/>
        </w:rPr>
        <w:t xml:space="preserve"> that (i) nothing herein shall obligate either party hereto to agree to any such terms or to provide or receive any such Additional Service unless agreed in writing by both parties hereto and (ii) no Additional which such Additional Service would be </w:t>
      </w:r>
      <w:r>
        <w:rPr>
          <w:rFonts w:ascii="Arial" w:eastAsia="Arial" w:hAnsi="Arial" w:cs="Arial"/>
          <w:sz w:val="19"/>
          <w:szCs w:val="19"/>
        </w:rPr>
        <w:t>provided, the Service Fees for such Additional Service and any other terms applicable thereto. Upon amendment of the Service Schedules to include such Additional Service, such Additional Service shall be deemed part of the “Services” provided under this Ag</w:t>
      </w:r>
      <w:r>
        <w:rPr>
          <w:rFonts w:ascii="Arial" w:eastAsia="Arial" w:hAnsi="Arial" w:cs="Arial"/>
          <w:sz w:val="19"/>
          <w:szCs w:val="19"/>
        </w:rPr>
        <w:t>reement subject to the terms and conditions of this Agreement.</w:t>
      </w:r>
    </w:p>
    <w:p w14:paraId="71ADE8FF" w14:textId="77777777" w:rsidR="00D1587D" w:rsidRDefault="00D1587D">
      <w:pPr>
        <w:spacing w:line="200" w:lineRule="exact"/>
        <w:rPr>
          <w:sz w:val="20"/>
          <w:szCs w:val="20"/>
        </w:rPr>
      </w:pPr>
    </w:p>
    <w:p w14:paraId="37D068E3" w14:textId="77777777" w:rsidR="00D1587D" w:rsidRDefault="00D1587D">
      <w:pPr>
        <w:spacing w:line="235" w:lineRule="exact"/>
        <w:rPr>
          <w:sz w:val="20"/>
          <w:szCs w:val="20"/>
        </w:rPr>
      </w:pPr>
    </w:p>
    <w:p w14:paraId="515495D2" w14:textId="77777777" w:rsidR="00D1587D" w:rsidRDefault="00410D07">
      <w:pPr>
        <w:spacing w:line="246" w:lineRule="auto"/>
        <w:ind w:right="40" w:firstLine="648"/>
        <w:rPr>
          <w:sz w:val="20"/>
          <w:szCs w:val="20"/>
        </w:rPr>
      </w:pPr>
      <w:r>
        <w:rPr>
          <w:rFonts w:ascii="Arial" w:eastAsia="Arial" w:hAnsi="Arial" w:cs="Arial"/>
          <w:sz w:val="21"/>
          <w:szCs w:val="21"/>
        </w:rPr>
        <w:t xml:space="preserve">Section 2.02. </w:t>
      </w:r>
      <w:r>
        <w:rPr>
          <w:rFonts w:ascii="Arial" w:eastAsia="Arial" w:hAnsi="Arial" w:cs="Arial"/>
          <w:i/>
          <w:iCs/>
          <w:sz w:val="21"/>
          <w:szCs w:val="21"/>
        </w:rPr>
        <w:t>Service Provider’s Affiliates and Third Party Providers</w:t>
      </w:r>
      <w:r>
        <w:rPr>
          <w:rFonts w:ascii="Arial" w:eastAsia="Arial" w:hAnsi="Arial" w:cs="Arial"/>
          <w:sz w:val="21"/>
          <w:szCs w:val="21"/>
        </w:rPr>
        <w:t>. In providing, or otherwise making available, the Services to the Service Recipients, Service Provider may use, at its di</w:t>
      </w:r>
      <w:r>
        <w:rPr>
          <w:rFonts w:ascii="Arial" w:eastAsia="Arial" w:hAnsi="Arial" w:cs="Arial"/>
          <w:sz w:val="21"/>
          <w:szCs w:val="21"/>
        </w:rPr>
        <w:t>scretion, its own personnel or the personnel of any of its Affiliates (including the TSA Employees) or employ the services of contractors, subcontractors, vendors or other third parties (each, a “</w:t>
      </w:r>
      <w:r>
        <w:rPr>
          <w:rFonts w:ascii="Arial" w:eastAsia="Arial" w:hAnsi="Arial" w:cs="Arial"/>
          <w:b/>
          <w:bCs/>
          <w:sz w:val="21"/>
          <w:szCs w:val="21"/>
        </w:rPr>
        <w:t>Third Party Provider</w:t>
      </w:r>
      <w:r>
        <w:rPr>
          <w:rFonts w:ascii="Arial" w:eastAsia="Arial" w:hAnsi="Arial" w:cs="Arial"/>
          <w:sz w:val="21"/>
          <w:szCs w:val="21"/>
        </w:rPr>
        <w:t xml:space="preserve">”); </w:t>
      </w:r>
      <w:r>
        <w:rPr>
          <w:rFonts w:ascii="Arial" w:eastAsia="Arial" w:hAnsi="Arial" w:cs="Arial"/>
          <w:i/>
          <w:iCs/>
          <w:sz w:val="21"/>
          <w:szCs w:val="21"/>
        </w:rPr>
        <w:t>provided</w:t>
      </w:r>
      <w:r>
        <w:rPr>
          <w:rFonts w:ascii="Arial" w:eastAsia="Arial" w:hAnsi="Arial" w:cs="Arial"/>
          <w:sz w:val="21"/>
          <w:szCs w:val="21"/>
        </w:rPr>
        <w:t xml:space="preserve"> that Service Provider shall</w:t>
      </w:r>
      <w:r>
        <w:rPr>
          <w:rFonts w:ascii="Arial" w:eastAsia="Arial" w:hAnsi="Arial" w:cs="Arial"/>
          <w:sz w:val="21"/>
          <w:szCs w:val="21"/>
        </w:rPr>
        <w:t xml:space="preserve"> remain responsible for ensuring that its obligations with respect to such Services, including the general standard of service described below under Section 2.03, are satisfied with respect to all Services provided by any Service Provider Party. Each of Se</w:t>
      </w:r>
      <w:r>
        <w:rPr>
          <w:rFonts w:ascii="Arial" w:eastAsia="Arial" w:hAnsi="Arial" w:cs="Arial"/>
          <w:sz w:val="21"/>
          <w:szCs w:val="21"/>
        </w:rPr>
        <w:t>rvice Provider, its Affiliates and any Third Party Provider that provides Services shall be referred to as a “</w:t>
      </w:r>
      <w:r>
        <w:rPr>
          <w:rFonts w:ascii="Arial" w:eastAsia="Arial" w:hAnsi="Arial" w:cs="Arial"/>
          <w:b/>
          <w:bCs/>
          <w:sz w:val="21"/>
          <w:szCs w:val="21"/>
        </w:rPr>
        <w:t>Service Provider Party</w:t>
      </w:r>
      <w:r>
        <w:rPr>
          <w:rFonts w:ascii="Arial" w:eastAsia="Arial" w:hAnsi="Arial" w:cs="Arial"/>
          <w:sz w:val="21"/>
          <w:szCs w:val="21"/>
        </w:rPr>
        <w:t>”.</w:t>
      </w:r>
    </w:p>
    <w:p w14:paraId="35046C76" w14:textId="77777777" w:rsidR="00D1587D" w:rsidRDefault="00D1587D">
      <w:pPr>
        <w:sectPr w:rsidR="00D1587D">
          <w:pgSz w:w="11900" w:h="16838"/>
          <w:pgMar w:top="361" w:right="359" w:bottom="1440" w:left="320" w:header="0" w:footer="0" w:gutter="0"/>
          <w:cols w:space="720" w:equalWidth="0">
            <w:col w:w="11220"/>
          </w:cols>
        </w:sectPr>
      </w:pPr>
    </w:p>
    <w:p w14:paraId="05C1B62D" w14:textId="77777777" w:rsidR="00D1587D" w:rsidRDefault="00D1587D">
      <w:pPr>
        <w:spacing w:line="147" w:lineRule="exact"/>
        <w:rPr>
          <w:sz w:val="20"/>
          <w:szCs w:val="20"/>
        </w:rPr>
      </w:pPr>
    </w:p>
    <w:p w14:paraId="73767E83" w14:textId="77777777" w:rsidR="00D1587D" w:rsidRDefault="00410D07">
      <w:pPr>
        <w:ind w:right="-19"/>
        <w:jc w:val="center"/>
        <w:rPr>
          <w:sz w:val="20"/>
          <w:szCs w:val="20"/>
        </w:rPr>
      </w:pPr>
      <w:r>
        <w:rPr>
          <w:rFonts w:ascii="Arial" w:eastAsia="Arial" w:hAnsi="Arial" w:cs="Arial"/>
          <w:sz w:val="14"/>
          <w:szCs w:val="14"/>
        </w:rPr>
        <w:t>3</w:t>
      </w:r>
    </w:p>
    <w:p w14:paraId="23E06133" w14:textId="77777777" w:rsidR="00D1587D" w:rsidRDefault="00410D07">
      <w:pPr>
        <w:spacing w:line="20" w:lineRule="exact"/>
        <w:rPr>
          <w:sz w:val="20"/>
          <w:szCs w:val="20"/>
        </w:rPr>
      </w:pPr>
      <w:r>
        <w:rPr>
          <w:noProof/>
          <w:sz w:val="20"/>
          <w:szCs w:val="20"/>
        </w:rPr>
        <w:drawing>
          <wp:anchor distT="0" distB="0" distL="114300" distR="114300" simplePos="0" relativeHeight="251240448" behindDoc="1" locked="0" layoutInCell="0" allowOverlap="1" wp14:anchorId="1028767D" wp14:editId="7B5657D2">
            <wp:simplePos x="0" y="0"/>
            <wp:positionH relativeFrom="column">
              <wp:posOffset>5080</wp:posOffset>
            </wp:positionH>
            <wp:positionV relativeFrom="paragraph">
              <wp:posOffset>38100</wp:posOffset>
            </wp:positionV>
            <wp:extent cx="7132320" cy="1714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1FDB3DF" w14:textId="77777777" w:rsidR="00D1587D" w:rsidRDefault="00D1587D">
      <w:pPr>
        <w:sectPr w:rsidR="00D1587D">
          <w:type w:val="continuous"/>
          <w:pgSz w:w="11900" w:h="16838"/>
          <w:pgMar w:top="361" w:right="359" w:bottom="1440" w:left="320" w:header="0" w:footer="0" w:gutter="0"/>
          <w:cols w:space="720" w:equalWidth="0">
            <w:col w:w="11220"/>
          </w:cols>
        </w:sectPr>
      </w:pPr>
    </w:p>
    <w:p w14:paraId="2CEA63C1" w14:textId="77777777" w:rsidR="00D1587D" w:rsidRDefault="00410D07">
      <w:pPr>
        <w:spacing w:line="273" w:lineRule="auto"/>
        <w:ind w:right="20" w:firstLine="648"/>
        <w:rPr>
          <w:sz w:val="20"/>
          <w:szCs w:val="20"/>
        </w:rPr>
      </w:pPr>
      <w:bookmarkStart w:id="92" w:name="page93"/>
      <w:bookmarkEnd w:id="92"/>
      <w:r>
        <w:rPr>
          <w:rFonts w:ascii="Arial" w:eastAsia="Arial" w:hAnsi="Arial" w:cs="Arial"/>
          <w:sz w:val="19"/>
          <w:szCs w:val="19"/>
        </w:rPr>
        <w:t xml:space="preserve">Section 2.03. </w:t>
      </w:r>
      <w:r>
        <w:rPr>
          <w:rFonts w:ascii="Arial" w:eastAsia="Arial" w:hAnsi="Arial" w:cs="Arial"/>
          <w:i/>
          <w:iCs/>
          <w:sz w:val="19"/>
          <w:szCs w:val="19"/>
        </w:rPr>
        <w:t>General Standard of Service.</w:t>
      </w:r>
      <w:r>
        <w:rPr>
          <w:rFonts w:ascii="Arial" w:eastAsia="Arial" w:hAnsi="Arial" w:cs="Arial"/>
          <w:sz w:val="19"/>
          <w:szCs w:val="19"/>
        </w:rPr>
        <w:t xml:space="preserve"> Except as otherwise agreed in w</w:t>
      </w:r>
      <w:r>
        <w:rPr>
          <w:rFonts w:ascii="Arial" w:eastAsia="Arial" w:hAnsi="Arial" w:cs="Arial"/>
          <w:sz w:val="19"/>
          <w:szCs w:val="19"/>
        </w:rPr>
        <w:t>riting by the parties hereto or expressly provided in this Agreement, each Service Provider Party shall provide Services in all material respects in substantially the same manner in terms of the nature, quality and standard of care as such services have be</w:t>
      </w:r>
      <w:r>
        <w:rPr>
          <w:rFonts w:ascii="Arial" w:eastAsia="Arial" w:hAnsi="Arial" w:cs="Arial"/>
          <w:sz w:val="19"/>
          <w:szCs w:val="19"/>
        </w:rPr>
        <w:t xml:space="preserve">en provided by Service Provider and its Affiliates to the Affiliates and other businesses of Service Provider during the twelve month period prior to the date hereof and after the date hereof. Service Provider shall not be responsible for any inability to </w:t>
      </w:r>
      <w:r>
        <w:rPr>
          <w:rFonts w:ascii="Arial" w:eastAsia="Arial" w:hAnsi="Arial" w:cs="Arial"/>
          <w:sz w:val="19"/>
          <w:szCs w:val="19"/>
        </w:rPr>
        <w:t>provide a Service or any delay in doing so to the extent that such inability or delay is the result of the failure of any Service Recipient to timely provide the information, access or other cooperation necessary for a Service Provider Party to provide suc</w:t>
      </w:r>
      <w:r>
        <w:rPr>
          <w:rFonts w:ascii="Arial" w:eastAsia="Arial" w:hAnsi="Arial" w:cs="Arial"/>
          <w:sz w:val="19"/>
          <w:szCs w:val="19"/>
        </w:rPr>
        <w:t>h Service. Service Provider’s obligation to cause the Services to be provided in accordance with the standards set forth in this Section 2.03 shall be subject to Service Provider’s right to supplement, modify, substitute or otherwise alter any of the Servi</w:t>
      </w:r>
      <w:r>
        <w:rPr>
          <w:rFonts w:ascii="Arial" w:eastAsia="Arial" w:hAnsi="Arial" w:cs="Arial"/>
          <w:sz w:val="19"/>
          <w:szCs w:val="19"/>
        </w:rPr>
        <w:t>ces from time to time in a manner that is generally consistent with supplements, modifications, substitutions or alterations made for similar services provided or otherwise made available by a Service Provider Party to Service Provider or any of its Affili</w:t>
      </w:r>
      <w:r>
        <w:rPr>
          <w:rFonts w:ascii="Arial" w:eastAsia="Arial" w:hAnsi="Arial" w:cs="Arial"/>
          <w:sz w:val="19"/>
          <w:szCs w:val="19"/>
        </w:rPr>
        <w:t>ates or as required by Applicable Law.</w:t>
      </w:r>
    </w:p>
    <w:p w14:paraId="3701B2C3" w14:textId="77777777" w:rsidR="00D1587D" w:rsidRDefault="00D1587D">
      <w:pPr>
        <w:spacing w:line="182" w:lineRule="exact"/>
        <w:rPr>
          <w:sz w:val="20"/>
          <w:szCs w:val="20"/>
        </w:rPr>
      </w:pPr>
    </w:p>
    <w:p w14:paraId="5733BFE6" w14:textId="77777777" w:rsidR="00D1587D" w:rsidRDefault="00410D07">
      <w:pPr>
        <w:spacing w:line="250" w:lineRule="auto"/>
        <w:ind w:right="200" w:firstLine="648"/>
        <w:rPr>
          <w:sz w:val="20"/>
          <w:szCs w:val="20"/>
        </w:rPr>
      </w:pPr>
      <w:r>
        <w:rPr>
          <w:rFonts w:ascii="Arial" w:eastAsia="Arial" w:hAnsi="Arial" w:cs="Arial"/>
        </w:rPr>
        <w:t xml:space="preserve">Section 2.04. </w:t>
      </w:r>
      <w:r>
        <w:rPr>
          <w:rFonts w:ascii="Arial" w:eastAsia="Arial" w:hAnsi="Arial" w:cs="Arial"/>
          <w:i/>
          <w:iCs/>
        </w:rPr>
        <w:t>Compliance with Applicable Law.</w:t>
      </w:r>
      <w:r>
        <w:rPr>
          <w:rFonts w:ascii="Arial" w:eastAsia="Arial" w:hAnsi="Arial" w:cs="Arial"/>
        </w:rPr>
        <w:t xml:space="preserve"> The parties hereto will comply, and will cause their Affiliates and their respective employees to comply, with all Applicable Law in the performance of this Agreement.</w:t>
      </w:r>
    </w:p>
    <w:p w14:paraId="7755CB52" w14:textId="77777777" w:rsidR="00D1587D" w:rsidRDefault="00D1587D">
      <w:pPr>
        <w:spacing w:line="202" w:lineRule="exact"/>
        <w:rPr>
          <w:sz w:val="20"/>
          <w:szCs w:val="20"/>
        </w:rPr>
      </w:pPr>
    </w:p>
    <w:p w14:paraId="3165F0CA" w14:textId="77777777" w:rsidR="00D1587D" w:rsidRDefault="00410D07">
      <w:pPr>
        <w:spacing w:line="270" w:lineRule="auto"/>
        <w:ind w:firstLine="648"/>
        <w:rPr>
          <w:sz w:val="20"/>
          <w:szCs w:val="20"/>
        </w:rPr>
      </w:pPr>
      <w:r>
        <w:rPr>
          <w:rFonts w:ascii="Arial" w:eastAsia="Arial" w:hAnsi="Arial" w:cs="Arial"/>
          <w:sz w:val="19"/>
          <w:szCs w:val="19"/>
        </w:rPr>
        <w:t xml:space="preserve">Section 2.05. </w:t>
      </w:r>
      <w:r>
        <w:rPr>
          <w:rFonts w:ascii="Arial" w:eastAsia="Arial" w:hAnsi="Arial" w:cs="Arial"/>
          <w:i/>
          <w:iCs/>
          <w:sz w:val="19"/>
          <w:szCs w:val="19"/>
        </w:rPr>
        <w:t>Force Majeure</w:t>
      </w:r>
      <w:r>
        <w:rPr>
          <w:rFonts w:ascii="Arial" w:eastAsia="Arial" w:hAnsi="Arial" w:cs="Arial"/>
          <w:sz w:val="19"/>
          <w:szCs w:val="19"/>
        </w:rPr>
        <w:t>. Neither party hereto shall be liable to the other party hereto for any interruption of service, any delays or any failure to perform under this Agreement caused by matters or events occurring that are beyond the reasonable cont</w:t>
      </w:r>
      <w:r>
        <w:rPr>
          <w:rFonts w:ascii="Arial" w:eastAsia="Arial" w:hAnsi="Arial" w:cs="Arial"/>
          <w:sz w:val="19"/>
          <w:szCs w:val="19"/>
        </w:rPr>
        <w:t xml:space="preserve">rol of such party, including, strikes, lockouts or other labor difficulties; fires, floods, acts of God, extremes of weather, earthquakes, tornadoes, or similar occurrences; riot, insurrection or other hostilities; embargo; fuel or energy shortage; delays </w:t>
      </w:r>
      <w:r>
        <w:rPr>
          <w:rFonts w:ascii="Arial" w:eastAsia="Arial" w:hAnsi="Arial" w:cs="Arial"/>
          <w:sz w:val="19"/>
          <w:szCs w:val="19"/>
        </w:rPr>
        <w:t>by unaffiliated suppliers or carriers; inability to obtain necessary labor, materials or utilities; or any epidemic, pandemic or disease outbreak (including COVID-19) or worsening thereof. Any delays, interruptions or failures to perform caused by such occ</w:t>
      </w:r>
      <w:r>
        <w:rPr>
          <w:rFonts w:ascii="Arial" w:eastAsia="Arial" w:hAnsi="Arial" w:cs="Arial"/>
          <w:sz w:val="19"/>
          <w:szCs w:val="19"/>
        </w:rPr>
        <w:t xml:space="preserve">urrences shall not be deemed to be a breach or failure to perform under this Agreement; </w:t>
      </w:r>
      <w:r>
        <w:rPr>
          <w:rFonts w:ascii="Arial" w:eastAsia="Arial" w:hAnsi="Arial" w:cs="Arial"/>
          <w:i/>
          <w:iCs/>
          <w:sz w:val="19"/>
          <w:szCs w:val="19"/>
        </w:rPr>
        <w:t>provided</w:t>
      </w:r>
      <w:r>
        <w:rPr>
          <w:rFonts w:ascii="Arial" w:eastAsia="Arial" w:hAnsi="Arial" w:cs="Arial"/>
          <w:sz w:val="19"/>
          <w:szCs w:val="19"/>
        </w:rPr>
        <w:t xml:space="preserve"> that (i) this Section 2.05 only operates to suspend, and not to discharge, a party’s obligations under this Agreement, and that when the causes of the failure </w:t>
      </w:r>
      <w:r>
        <w:rPr>
          <w:rFonts w:ascii="Arial" w:eastAsia="Arial" w:hAnsi="Arial" w:cs="Arial"/>
          <w:sz w:val="19"/>
          <w:szCs w:val="19"/>
        </w:rPr>
        <w:t>or delay are removed or alleviated, the affected party shall resume performance of its obligations hereunder and to the extent such suspension adversely impacts the progress of the transition of any Service to a Service Recipient, the Service Recipient may</w:t>
      </w:r>
      <w:r>
        <w:rPr>
          <w:rFonts w:ascii="Arial" w:eastAsia="Arial" w:hAnsi="Arial" w:cs="Arial"/>
          <w:sz w:val="19"/>
          <w:szCs w:val="19"/>
        </w:rPr>
        <w:t xml:space="preserve"> request in writing that the Term for such Service shall be tolled for the duration of such suspension and (ii) this Section 2.05 shall not excuse a party’s obligation to pay money; </w:t>
      </w:r>
      <w:r>
        <w:rPr>
          <w:rFonts w:ascii="Arial" w:eastAsia="Arial" w:hAnsi="Arial" w:cs="Arial"/>
          <w:i/>
          <w:iCs/>
          <w:sz w:val="19"/>
          <w:szCs w:val="19"/>
        </w:rPr>
        <w:t>provided, further,</w:t>
      </w:r>
      <w:r>
        <w:rPr>
          <w:rFonts w:ascii="Arial" w:eastAsia="Arial" w:hAnsi="Arial" w:cs="Arial"/>
          <w:sz w:val="19"/>
          <w:szCs w:val="19"/>
        </w:rPr>
        <w:t xml:space="preserve"> that VS shall not be obligated to pay (other than previ</w:t>
      </w:r>
      <w:r>
        <w:rPr>
          <w:rFonts w:ascii="Arial" w:eastAsia="Arial" w:hAnsi="Arial" w:cs="Arial"/>
          <w:sz w:val="19"/>
          <w:szCs w:val="19"/>
        </w:rPr>
        <w:t>ously accrued Service Costs) for any particular Service during the pendency of Service Provider’s failure to provide such particular Service. Each party hereto shall use its good faith efforts to promptly notify the other upon learning of the occurrence of</w:t>
      </w:r>
      <w:r>
        <w:rPr>
          <w:rFonts w:ascii="Arial" w:eastAsia="Arial" w:hAnsi="Arial" w:cs="Arial"/>
          <w:sz w:val="19"/>
          <w:szCs w:val="19"/>
        </w:rPr>
        <w:t xml:space="preserve"> such event of a force majeure and (x) the affected party shall use its commercially reasonable efforts to mitigate and eliminate the force majeure in order to resume performance as promptly as practicable, </w:t>
      </w:r>
      <w:r>
        <w:rPr>
          <w:rFonts w:ascii="Arial" w:eastAsia="Arial" w:hAnsi="Arial" w:cs="Arial"/>
          <w:i/>
          <w:iCs/>
          <w:sz w:val="19"/>
          <w:szCs w:val="19"/>
        </w:rPr>
        <w:t>provided</w:t>
      </w:r>
      <w:r>
        <w:rPr>
          <w:rFonts w:ascii="Arial" w:eastAsia="Arial" w:hAnsi="Arial" w:cs="Arial"/>
          <w:sz w:val="19"/>
          <w:szCs w:val="19"/>
        </w:rPr>
        <w:t xml:space="preserve"> that such affected party will have no ob</w:t>
      </w:r>
      <w:r>
        <w:rPr>
          <w:rFonts w:ascii="Arial" w:eastAsia="Arial" w:hAnsi="Arial" w:cs="Arial"/>
          <w:sz w:val="19"/>
          <w:szCs w:val="19"/>
        </w:rPr>
        <w:t>ligation to incur any costs or liabilities to do so, and (y) the unaffected party shall have no obligation hereunder with respect to the obligations the affected party is unable to perform due to the force majeure event. If Service Provider is unable to pr</w:t>
      </w:r>
      <w:r>
        <w:rPr>
          <w:rFonts w:ascii="Arial" w:eastAsia="Arial" w:hAnsi="Arial" w:cs="Arial"/>
          <w:sz w:val="19"/>
          <w:szCs w:val="19"/>
        </w:rPr>
        <w:t xml:space="preserve">ovide any of the Services due to a force majeure event, the parties hereto shall use commercially reasonably efforts to cooperatively seek a solution that is mutually satisfactory, such as the subcontracting of all or part of the provision of the Services </w:t>
      </w:r>
      <w:r>
        <w:rPr>
          <w:rFonts w:ascii="Arial" w:eastAsia="Arial" w:hAnsi="Arial" w:cs="Arial"/>
          <w:sz w:val="19"/>
          <w:szCs w:val="19"/>
        </w:rPr>
        <w:t>under the supervision of Service Provider for the period of time during or affected by the force majeure.</w:t>
      </w:r>
    </w:p>
    <w:p w14:paraId="2ED353B8" w14:textId="77777777" w:rsidR="00D1587D" w:rsidRDefault="00D1587D">
      <w:pPr>
        <w:spacing w:line="184" w:lineRule="exact"/>
        <w:rPr>
          <w:sz w:val="20"/>
          <w:szCs w:val="20"/>
        </w:rPr>
      </w:pPr>
    </w:p>
    <w:p w14:paraId="7C3F879E" w14:textId="77777777" w:rsidR="00D1587D" w:rsidRDefault="00410D07">
      <w:pPr>
        <w:spacing w:line="287" w:lineRule="auto"/>
        <w:ind w:right="180" w:firstLine="648"/>
        <w:rPr>
          <w:sz w:val="20"/>
          <w:szCs w:val="20"/>
        </w:rPr>
      </w:pPr>
      <w:r>
        <w:rPr>
          <w:rFonts w:ascii="Arial" w:eastAsia="Arial" w:hAnsi="Arial" w:cs="Arial"/>
          <w:sz w:val="19"/>
          <w:szCs w:val="19"/>
        </w:rPr>
        <w:t xml:space="preserve">Section 2.06. </w:t>
      </w:r>
      <w:r>
        <w:rPr>
          <w:rFonts w:ascii="Arial" w:eastAsia="Arial" w:hAnsi="Arial" w:cs="Arial"/>
          <w:i/>
          <w:iCs/>
          <w:sz w:val="19"/>
          <w:szCs w:val="19"/>
        </w:rPr>
        <w:t>Limitations</w:t>
      </w:r>
      <w:r>
        <w:rPr>
          <w:rFonts w:ascii="Arial" w:eastAsia="Arial" w:hAnsi="Arial" w:cs="Arial"/>
          <w:sz w:val="19"/>
          <w:szCs w:val="19"/>
        </w:rPr>
        <w:t xml:space="preserve">. (a) VS agrees that the Services will be used by each Service Recipient solely in connection with the operation of the VS </w:t>
      </w:r>
      <w:r>
        <w:rPr>
          <w:rFonts w:ascii="Arial" w:eastAsia="Arial" w:hAnsi="Arial" w:cs="Arial"/>
          <w:sz w:val="19"/>
          <w:szCs w:val="19"/>
        </w:rPr>
        <w:t>Business and to facilitate an orderly transition of the operation of the VS Business following the Distribution Time. No member of the VS Group may resell, license the use of or otherwise permit the use by any Person other than the Service Recipients of an</w:t>
      </w:r>
      <w:r>
        <w:rPr>
          <w:rFonts w:ascii="Arial" w:eastAsia="Arial" w:hAnsi="Arial" w:cs="Arial"/>
          <w:sz w:val="19"/>
          <w:szCs w:val="19"/>
        </w:rPr>
        <w:t>y Services, except with the prior written consent of Service Provider.</w:t>
      </w:r>
    </w:p>
    <w:p w14:paraId="2C42A712" w14:textId="77777777" w:rsidR="00D1587D" w:rsidRDefault="00D1587D">
      <w:pPr>
        <w:spacing w:line="105" w:lineRule="exact"/>
        <w:rPr>
          <w:sz w:val="20"/>
          <w:szCs w:val="20"/>
        </w:rPr>
      </w:pPr>
    </w:p>
    <w:p w14:paraId="14101BF5" w14:textId="77777777" w:rsidR="00D1587D" w:rsidRDefault="00410D07">
      <w:pPr>
        <w:ind w:right="-19"/>
        <w:jc w:val="center"/>
        <w:rPr>
          <w:sz w:val="20"/>
          <w:szCs w:val="20"/>
        </w:rPr>
      </w:pPr>
      <w:r>
        <w:rPr>
          <w:rFonts w:ascii="Arial" w:eastAsia="Arial" w:hAnsi="Arial" w:cs="Arial"/>
          <w:sz w:val="14"/>
          <w:szCs w:val="14"/>
        </w:rPr>
        <w:t>4</w:t>
      </w:r>
    </w:p>
    <w:p w14:paraId="490D453E" w14:textId="77777777" w:rsidR="00D1587D" w:rsidRDefault="00410D07">
      <w:pPr>
        <w:spacing w:line="20" w:lineRule="exact"/>
        <w:rPr>
          <w:sz w:val="20"/>
          <w:szCs w:val="20"/>
        </w:rPr>
      </w:pPr>
      <w:r>
        <w:rPr>
          <w:noProof/>
          <w:sz w:val="20"/>
          <w:szCs w:val="20"/>
        </w:rPr>
        <w:drawing>
          <wp:anchor distT="0" distB="0" distL="114300" distR="114300" simplePos="0" relativeHeight="251241472" behindDoc="1" locked="0" layoutInCell="0" allowOverlap="1" wp14:anchorId="3A741F41" wp14:editId="13DFE625">
            <wp:simplePos x="0" y="0"/>
            <wp:positionH relativeFrom="column">
              <wp:posOffset>5080</wp:posOffset>
            </wp:positionH>
            <wp:positionV relativeFrom="paragraph">
              <wp:posOffset>38100</wp:posOffset>
            </wp:positionV>
            <wp:extent cx="7132320" cy="1714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D26410E" w14:textId="77777777" w:rsidR="00D1587D" w:rsidRDefault="00D1587D">
      <w:pPr>
        <w:sectPr w:rsidR="00D1587D">
          <w:pgSz w:w="11900" w:h="16838"/>
          <w:pgMar w:top="361" w:right="359" w:bottom="1440" w:left="320" w:header="0" w:footer="0" w:gutter="0"/>
          <w:cols w:space="720" w:equalWidth="0">
            <w:col w:w="11220"/>
          </w:cols>
        </w:sectPr>
      </w:pPr>
    </w:p>
    <w:p w14:paraId="5F9A6E48" w14:textId="77777777" w:rsidR="00D1587D" w:rsidRDefault="00410D07">
      <w:pPr>
        <w:numPr>
          <w:ilvl w:val="0"/>
          <w:numId w:val="56"/>
        </w:numPr>
        <w:tabs>
          <w:tab w:val="left" w:pos="1634"/>
        </w:tabs>
        <w:spacing w:line="246" w:lineRule="auto"/>
        <w:ind w:right="180" w:firstLine="850"/>
        <w:rPr>
          <w:rFonts w:ascii="Arial" w:eastAsia="Arial" w:hAnsi="Arial" w:cs="Arial"/>
          <w:sz w:val="21"/>
          <w:szCs w:val="21"/>
        </w:rPr>
      </w:pPr>
      <w:bookmarkStart w:id="93" w:name="page94"/>
      <w:bookmarkEnd w:id="93"/>
      <w:r>
        <w:rPr>
          <w:rFonts w:ascii="Arial" w:eastAsia="Arial" w:hAnsi="Arial" w:cs="Arial"/>
          <w:sz w:val="21"/>
          <w:szCs w:val="21"/>
        </w:rPr>
        <w:t>In providing the Services, no Service Provider Party shall be obligated to, unless expressly agreed in writing by the parties or expressly set forth on the appl</w:t>
      </w:r>
      <w:r>
        <w:rPr>
          <w:rFonts w:ascii="Arial" w:eastAsia="Arial" w:hAnsi="Arial" w:cs="Arial"/>
          <w:sz w:val="21"/>
          <w:szCs w:val="21"/>
        </w:rPr>
        <w:t>icable Service Schedule: (i) hire any additional employees; (ii) maintain the employment of any specific employee; (iii) purchase, lease or license any additional equipment, hardware, Intellectual Property Right or software, except to the extent (A) softwa</w:t>
      </w:r>
      <w:r>
        <w:rPr>
          <w:rFonts w:ascii="Arial" w:eastAsia="Arial" w:hAnsi="Arial" w:cs="Arial"/>
          <w:sz w:val="21"/>
          <w:szCs w:val="21"/>
        </w:rPr>
        <w:t>re is reasonably necessary for the performance or receipt of a Service and (B) VS agrees to solely bear the applicable cost and expense (and which shall be subject to VS’s prior written approval) or (iv) provide any Service to any Service Recipient for any</w:t>
      </w:r>
      <w:r>
        <w:rPr>
          <w:rFonts w:ascii="Arial" w:eastAsia="Arial" w:hAnsi="Arial" w:cs="Arial"/>
          <w:sz w:val="21"/>
          <w:szCs w:val="21"/>
        </w:rPr>
        <w:t xml:space="preserve"> fiscal year at a volume or level that is more than 120% of the volume or level of such Service in the preceding fiscal year.</w:t>
      </w:r>
    </w:p>
    <w:p w14:paraId="4285A2D6" w14:textId="77777777" w:rsidR="00D1587D" w:rsidRDefault="00D1587D">
      <w:pPr>
        <w:spacing w:line="211" w:lineRule="exact"/>
        <w:rPr>
          <w:sz w:val="20"/>
          <w:szCs w:val="20"/>
        </w:rPr>
      </w:pPr>
    </w:p>
    <w:p w14:paraId="1BC4CE0D" w14:textId="77777777" w:rsidR="00D1587D" w:rsidRDefault="00410D07">
      <w:pPr>
        <w:spacing w:line="272" w:lineRule="auto"/>
        <w:ind w:firstLine="648"/>
        <w:rPr>
          <w:sz w:val="20"/>
          <w:szCs w:val="20"/>
        </w:rPr>
      </w:pPr>
      <w:r>
        <w:rPr>
          <w:rFonts w:ascii="Arial" w:eastAsia="Arial" w:hAnsi="Arial" w:cs="Arial"/>
          <w:sz w:val="19"/>
          <w:szCs w:val="19"/>
        </w:rPr>
        <w:t xml:space="preserve">Section 2.07. </w:t>
      </w:r>
      <w:r>
        <w:rPr>
          <w:rFonts w:ascii="Arial" w:eastAsia="Arial" w:hAnsi="Arial" w:cs="Arial"/>
          <w:i/>
          <w:iCs/>
          <w:sz w:val="19"/>
          <w:szCs w:val="19"/>
        </w:rPr>
        <w:t>Labor Matters.</w:t>
      </w:r>
      <w:r>
        <w:rPr>
          <w:rFonts w:ascii="Arial" w:eastAsia="Arial" w:hAnsi="Arial" w:cs="Arial"/>
          <w:sz w:val="19"/>
          <w:szCs w:val="19"/>
        </w:rPr>
        <w:t xml:space="preserve"> All labor matters relating to any TSA Employees shall be within the exclusive control of Service Pro</w:t>
      </w:r>
      <w:r>
        <w:rPr>
          <w:rFonts w:ascii="Arial" w:eastAsia="Arial" w:hAnsi="Arial" w:cs="Arial"/>
          <w:sz w:val="19"/>
          <w:szCs w:val="19"/>
        </w:rPr>
        <w:t xml:space="preserve">vider (or its applicable Affiliate or Third Party Provider), and VS and its Affiliates shall not take any action affecting such matters. Except as expressly provided in Article 4, nothing in this Agreement is intended to transfer the employment of any TSA </w:t>
      </w:r>
      <w:r>
        <w:rPr>
          <w:rFonts w:ascii="Arial" w:eastAsia="Arial" w:hAnsi="Arial" w:cs="Arial"/>
          <w:sz w:val="19"/>
          <w:szCs w:val="19"/>
        </w:rPr>
        <w:t>Employee to VS or any of its Affiliates. All TSA Employees will be deemed for all compensation, employee benefits, tax and social security contribution purposes to be employees of Service Provider (or its applicable Affiliate or Third Party Provider) and n</w:t>
      </w:r>
      <w:r>
        <w:rPr>
          <w:rFonts w:ascii="Arial" w:eastAsia="Arial" w:hAnsi="Arial" w:cs="Arial"/>
          <w:sz w:val="19"/>
          <w:szCs w:val="19"/>
        </w:rPr>
        <w:t>ot employees of VS or any of its Affiliates. In providing the Services, the TSA Employees will be under the direction, control and supervision of Service Provider or its Affiliates or Third Party Provider and not of VS or any of its Affiliates. Except with</w:t>
      </w:r>
      <w:r>
        <w:rPr>
          <w:rFonts w:ascii="Arial" w:eastAsia="Arial" w:hAnsi="Arial" w:cs="Arial"/>
          <w:sz w:val="19"/>
          <w:szCs w:val="19"/>
        </w:rPr>
        <w:t xml:space="preserve"> respect to the VS Assets, or any other assets and materials provided by VS in accordance with Section 2.08(b), all procedures, methods, systems, strategies, tools, equipment, facilities and other resources of any Service Provider Party that are used by an</w:t>
      </w:r>
      <w:r>
        <w:rPr>
          <w:rFonts w:ascii="Arial" w:eastAsia="Arial" w:hAnsi="Arial" w:cs="Arial"/>
          <w:sz w:val="19"/>
          <w:szCs w:val="19"/>
        </w:rPr>
        <w:t xml:space="preserve">y Service Provider Party in connection with the provision of Services hereunder (including any Intellectual Property Right whether existing or created in connection with the provision of the Services or otherwise) shall remain the property of such Service </w:t>
      </w:r>
      <w:r>
        <w:rPr>
          <w:rFonts w:ascii="Arial" w:eastAsia="Arial" w:hAnsi="Arial" w:cs="Arial"/>
          <w:sz w:val="19"/>
          <w:szCs w:val="19"/>
        </w:rPr>
        <w:t>Provider Party and shall at all times be under the sole direction and control of Service Provider.</w:t>
      </w:r>
    </w:p>
    <w:p w14:paraId="6821882F" w14:textId="77777777" w:rsidR="00D1587D" w:rsidRDefault="00D1587D">
      <w:pPr>
        <w:spacing w:line="188" w:lineRule="exact"/>
        <w:rPr>
          <w:sz w:val="20"/>
          <w:szCs w:val="20"/>
        </w:rPr>
      </w:pPr>
    </w:p>
    <w:p w14:paraId="69726D81" w14:textId="77777777" w:rsidR="00D1587D" w:rsidRDefault="00410D07">
      <w:pPr>
        <w:spacing w:line="272" w:lineRule="auto"/>
        <w:ind w:firstLine="648"/>
        <w:rPr>
          <w:sz w:val="20"/>
          <w:szCs w:val="20"/>
        </w:rPr>
      </w:pPr>
      <w:r>
        <w:rPr>
          <w:rFonts w:ascii="Arial" w:eastAsia="Arial" w:hAnsi="Arial" w:cs="Arial"/>
          <w:sz w:val="19"/>
          <w:szCs w:val="19"/>
        </w:rPr>
        <w:t xml:space="preserve">Section 2.08. </w:t>
      </w:r>
      <w:r>
        <w:rPr>
          <w:rFonts w:ascii="Arial" w:eastAsia="Arial" w:hAnsi="Arial" w:cs="Arial"/>
          <w:i/>
          <w:iCs/>
          <w:sz w:val="19"/>
          <w:szCs w:val="19"/>
        </w:rPr>
        <w:t>Facilities; Cooperation; Further Actions.</w:t>
      </w:r>
      <w:r>
        <w:rPr>
          <w:rFonts w:ascii="Arial" w:eastAsia="Arial" w:hAnsi="Arial" w:cs="Arial"/>
          <w:sz w:val="19"/>
          <w:szCs w:val="19"/>
        </w:rPr>
        <w:t xml:space="preserve"> (a) Service Provider and VS shall use commercially reasonable efforts to obtain, and to keep and mai</w:t>
      </w:r>
      <w:r>
        <w:rPr>
          <w:rFonts w:ascii="Arial" w:eastAsia="Arial" w:hAnsi="Arial" w:cs="Arial"/>
          <w:sz w:val="19"/>
          <w:szCs w:val="19"/>
        </w:rPr>
        <w:t>ntain in effect (or to cause their respective Affiliates to obtain, and to keep and maintain in effect), all governmental or third party licenses and consents required for the provision of any Service by a Service Provider Party in accordance with the term</w:t>
      </w:r>
      <w:r>
        <w:rPr>
          <w:rFonts w:ascii="Arial" w:eastAsia="Arial" w:hAnsi="Arial" w:cs="Arial"/>
          <w:sz w:val="19"/>
          <w:szCs w:val="19"/>
        </w:rPr>
        <w:t xml:space="preserve">s of this Agreement; </w:t>
      </w:r>
      <w:r>
        <w:rPr>
          <w:rFonts w:ascii="Arial" w:eastAsia="Arial" w:hAnsi="Arial" w:cs="Arial"/>
          <w:i/>
          <w:iCs/>
          <w:sz w:val="19"/>
          <w:szCs w:val="19"/>
        </w:rPr>
        <w:t>provided</w:t>
      </w:r>
      <w:r>
        <w:rPr>
          <w:rFonts w:ascii="Arial" w:eastAsia="Arial" w:hAnsi="Arial" w:cs="Arial"/>
          <w:sz w:val="19"/>
          <w:szCs w:val="19"/>
        </w:rPr>
        <w:t xml:space="preserve"> that if Service Provider or any of its Affiliates is unable to obtain any such license or consent, Service Provider shall promptly notify VS in writing and shall, and shall cause its Affiliates to, use commercially reasonable </w:t>
      </w:r>
      <w:r>
        <w:rPr>
          <w:rFonts w:ascii="Arial" w:eastAsia="Arial" w:hAnsi="Arial" w:cs="Arial"/>
          <w:sz w:val="19"/>
          <w:szCs w:val="19"/>
        </w:rPr>
        <w:t>efforts to implement an appropriate alternative arrangement. The costs relating to obtaining any such licenses or consents shall be borne solely by VS (the “</w:t>
      </w:r>
      <w:r>
        <w:rPr>
          <w:rFonts w:ascii="Arial" w:eastAsia="Arial" w:hAnsi="Arial" w:cs="Arial"/>
          <w:b/>
          <w:bCs/>
          <w:sz w:val="19"/>
          <w:szCs w:val="19"/>
        </w:rPr>
        <w:t>Third Party Consent Costs</w:t>
      </w:r>
      <w:r>
        <w:rPr>
          <w:rFonts w:ascii="Arial" w:eastAsia="Arial" w:hAnsi="Arial" w:cs="Arial"/>
          <w:sz w:val="19"/>
          <w:szCs w:val="19"/>
        </w:rPr>
        <w:t>”) and none of Service Provider or any of its Affiliates shall be required to pay any money or other consideration or grant any other accommodation to any Person (including any amendment to any contract) or initiate any action, suit or proceeding against a</w:t>
      </w:r>
      <w:r>
        <w:rPr>
          <w:rFonts w:ascii="Arial" w:eastAsia="Arial" w:hAnsi="Arial" w:cs="Arial"/>
          <w:sz w:val="19"/>
          <w:szCs w:val="19"/>
        </w:rPr>
        <w:t xml:space="preserve">ny Person to obtain any such license or consent; </w:t>
      </w:r>
      <w:r>
        <w:rPr>
          <w:rFonts w:ascii="Arial" w:eastAsia="Arial" w:hAnsi="Arial" w:cs="Arial"/>
          <w:i/>
          <w:iCs/>
          <w:sz w:val="19"/>
          <w:szCs w:val="19"/>
        </w:rPr>
        <w:t>provided</w:t>
      </w:r>
      <w:r>
        <w:rPr>
          <w:rFonts w:ascii="Arial" w:eastAsia="Arial" w:hAnsi="Arial" w:cs="Arial"/>
          <w:sz w:val="19"/>
          <w:szCs w:val="19"/>
        </w:rPr>
        <w:t xml:space="preserve"> that Service Provider and its Affiliates shall not incur any such costs without the prior written consent of VS. If any such license, consent or alternative arrangement is not available despite the </w:t>
      </w:r>
      <w:r>
        <w:rPr>
          <w:rFonts w:ascii="Arial" w:eastAsia="Arial" w:hAnsi="Arial" w:cs="Arial"/>
          <w:sz w:val="19"/>
          <w:szCs w:val="19"/>
        </w:rPr>
        <w:t xml:space="preserve">commercially reasonable efforts of Service Provider and its Affiliates or as a result of VS failing to consent to the incurrence of costs relating to obtaining any such license or consent, Service Provider shall not be required to cause to be provided the </w:t>
      </w:r>
      <w:r>
        <w:rPr>
          <w:rFonts w:ascii="Arial" w:eastAsia="Arial" w:hAnsi="Arial" w:cs="Arial"/>
          <w:sz w:val="19"/>
          <w:szCs w:val="19"/>
        </w:rPr>
        <w:t>affected Services.</w:t>
      </w:r>
    </w:p>
    <w:p w14:paraId="65DFE66C" w14:textId="77777777" w:rsidR="00D1587D" w:rsidRDefault="00D1587D">
      <w:pPr>
        <w:spacing w:line="183" w:lineRule="exact"/>
        <w:rPr>
          <w:sz w:val="20"/>
          <w:szCs w:val="20"/>
        </w:rPr>
      </w:pPr>
    </w:p>
    <w:p w14:paraId="5997A10A" w14:textId="77777777" w:rsidR="00D1587D" w:rsidRDefault="00410D07">
      <w:pPr>
        <w:numPr>
          <w:ilvl w:val="0"/>
          <w:numId w:val="57"/>
        </w:numPr>
        <w:tabs>
          <w:tab w:val="left" w:pos="1630"/>
        </w:tabs>
        <w:spacing w:line="273" w:lineRule="auto"/>
        <w:ind w:right="40" w:firstLine="850"/>
        <w:rPr>
          <w:rFonts w:ascii="Arial" w:eastAsia="Arial" w:hAnsi="Arial" w:cs="Arial"/>
          <w:sz w:val="19"/>
          <w:szCs w:val="19"/>
        </w:rPr>
      </w:pPr>
      <w:r>
        <w:rPr>
          <w:rFonts w:ascii="Arial" w:eastAsia="Arial" w:hAnsi="Arial" w:cs="Arial"/>
          <w:sz w:val="19"/>
          <w:szCs w:val="19"/>
        </w:rPr>
        <w:t>To the extent necessary, or upon Service Provider’s reasonable request, VS shall make all VS Assets or other facilities (including all ancillary facilities-related services), assets, information technology systems and applications or ma</w:t>
      </w:r>
      <w:r>
        <w:rPr>
          <w:rFonts w:ascii="Arial" w:eastAsia="Arial" w:hAnsi="Arial" w:cs="Arial"/>
          <w:sz w:val="19"/>
          <w:szCs w:val="19"/>
        </w:rPr>
        <w:t>terials of the Service Recipients available to Service Provider or the applicable Service Provider Party for the provision of the Services (it being understood that, as between the parties hereto, title to all VS Assets and such other facilities, assets, i</w:t>
      </w:r>
      <w:r>
        <w:rPr>
          <w:rFonts w:ascii="Arial" w:eastAsia="Arial" w:hAnsi="Arial" w:cs="Arial"/>
          <w:sz w:val="19"/>
          <w:szCs w:val="19"/>
        </w:rPr>
        <w:t>nformation technology systems and applications or materials shall at all times remain with the applicable Service Recipient and such Service Recipient shall at all times be the owner of record of such VS Assets and other facilities, assets information tech</w:t>
      </w:r>
      <w:r>
        <w:rPr>
          <w:rFonts w:ascii="Arial" w:eastAsia="Arial" w:hAnsi="Arial" w:cs="Arial"/>
          <w:sz w:val="19"/>
          <w:szCs w:val="19"/>
        </w:rPr>
        <w:t xml:space="preserve">nology systems and applications or materials and shall be solely responsible for any matters arising therefrom or related thereto); </w:t>
      </w:r>
      <w:r>
        <w:rPr>
          <w:rFonts w:ascii="Arial" w:eastAsia="Arial" w:hAnsi="Arial" w:cs="Arial"/>
          <w:i/>
          <w:iCs/>
          <w:sz w:val="19"/>
          <w:szCs w:val="19"/>
        </w:rPr>
        <w:t>provided</w:t>
      </w:r>
      <w:r>
        <w:rPr>
          <w:rFonts w:ascii="Arial" w:eastAsia="Arial" w:hAnsi="Arial" w:cs="Arial"/>
          <w:sz w:val="19"/>
          <w:szCs w:val="19"/>
        </w:rPr>
        <w:t xml:space="preserve"> that in the event VS fails to make any such VS Assets or other facilities, assets, information technology systems a</w:t>
      </w:r>
      <w:r>
        <w:rPr>
          <w:rFonts w:ascii="Arial" w:eastAsia="Arial" w:hAnsi="Arial" w:cs="Arial"/>
          <w:sz w:val="19"/>
          <w:szCs w:val="19"/>
        </w:rPr>
        <w:t>nd applications or materials available to Service Provider or the applicable Service Provider Party, Service Provider shall have no further obligation to provide any affected Services to the extent such VS Assets or other facilities, assets, information te</w:t>
      </w:r>
      <w:r>
        <w:rPr>
          <w:rFonts w:ascii="Arial" w:eastAsia="Arial" w:hAnsi="Arial" w:cs="Arial"/>
          <w:sz w:val="19"/>
          <w:szCs w:val="19"/>
        </w:rPr>
        <w:t>chnology systems and applications or materials are required for the provision of such Services.</w:t>
      </w:r>
    </w:p>
    <w:p w14:paraId="2909D460" w14:textId="77777777" w:rsidR="00D1587D" w:rsidRDefault="00D1587D">
      <w:pPr>
        <w:spacing w:line="117" w:lineRule="exact"/>
        <w:rPr>
          <w:sz w:val="20"/>
          <w:szCs w:val="20"/>
        </w:rPr>
      </w:pPr>
    </w:p>
    <w:p w14:paraId="7925353F" w14:textId="77777777" w:rsidR="00D1587D" w:rsidRDefault="00410D07">
      <w:pPr>
        <w:ind w:right="-39"/>
        <w:jc w:val="center"/>
        <w:rPr>
          <w:sz w:val="20"/>
          <w:szCs w:val="20"/>
        </w:rPr>
      </w:pPr>
      <w:r>
        <w:rPr>
          <w:rFonts w:ascii="Arial" w:eastAsia="Arial" w:hAnsi="Arial" w:cs="Arial"/>
          <w:sz w:val="14"/>
          <w:szCs w:val="14"/>
        </w:rPr>
        <w:t>5</w:t>
      </w:r>
    </w:p>
    <w:p w14:paraId="2378B1F1" w14:textId="77777777" w:rsidR="00D1587D" w:rsidRDefault="00410D07">
      <w:pPr>
        <w:spacing w:line="20" w:lineRule="exact"/>
        <w:rPr>
          <w:sz w:val="20"/>
          <w:szCs w:val="20"/>
        </w:rPr>
      </w:pPr>
      <w:r>
        <w:rPr>
          <w:noProof/>
          <w:sz w:val="20"/>
          <w:szCs w:val="20"/>
        </w:rPr>
        <w:drawing>
          <wp:anchor distT="0" distB="0" distL="114300" distR="114300" simplePos="0" relativeHeight="251242496" behindDoc="1" locked="0" layoutInCell="0" allowOverlap="1" wp14:anchorId="0F8CD1A4" wp14:editId="28533CE6">
            <wp:simplePos x="0" y="0"/>
            <wp:positionH relativeFrom="column">
              <wp:posOffset>5080</wp:posOffset>
            </wp:positionH>
            <wp:positionV relativeFrom="paragraph">
              <wp:posOffset>38100</wp:posOffset>
            </wp:positionV>
            <wp:extent cx="7132320" cy="1714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84F2E5C" w14:textId="77777777" w:rsidR="00D1587D" w:rsidRDefault="00D1587D">
      <w:pPr>
        <w:sectPr w:rsidR="00D1587D">
          <w:pgSz w:w="11900" w:h="16838"/>
          <w:pgMar w:top="604" w:right="359" w:bottom="1440" w:left="320" w:header="0" w:footer="0" w:gutter="0"/>
          <w:cols w:space="720" w:equalWidth="0">
            <w:col w:w="11220"/>
          </w:cols>
        </w:sectPr>
      </w:pPr>
    </w:p>
    <w:p w14:paraId="40B26806" w14:textId="77777777" w:rsidR="00D1587D" w:rsidRDefault="00410D07">
      <w:pPr>
        <w:spacing w:line="246" w:lineRule="auto"/>
        <w:ind w:right="140" w:firstLine="648"/>
        <w:rPr>
          <w:sz w:val="20"/>
          <w:szCs w:val="20"/>
        </w:rPr>
      </w:pPr>
      <w:bookmarkStart w:id="94" w:name="page95"/>
      <w:bookmarkEnd w:id="94"/>
      <w:r>
        <w:rPr>
          <w:rFonts w:ascii="Arial" w:eastAsia="Arial" w:hAnsi="Arial" w:cs="Arial"/>
          <w:sz w:val="21"/>
          <w:szCs w:val="21"/>
        </w:rPr>
        <w:t xml:space="preserve">Section 2.09. </w:t>
      </w:r>
      <w:r>
        <w:rPr>
          <w:rFonts w:ascii="Arial" w:eastAsia="Arial" w:hAnsi="Arial" w:cs="Arial"/>
          <w:i/>
          <w:iCs/>
          <w:sz w:val="21"/>
          <w:szCs w:val="21"/>
        </w:rPr>
        <w:t>Intellectual Property</w:t>
      </w:r>
      <w:r>
        <w:rPr>
          <w:rFonts w:ascii="Arial" w:eastAsia="Arial" w:hAnsi="Arial" w:cs="Arial"/>
          <w:sz w:val="21"/>
          <w:szCs w:val="21"/>
        </w:rPr>
        <w:t xml:space="preserve">. (a) Subject to the terms and conditions of this Agreement, with respect to each Service, </w:t>
      </w:r>
      <w:r>
        <w:rPr>
          <w:rFonts w:ascii="Arial" w:eastAsia="Arial" w:hAnsi="Arial" w:cs="Arial"/>
          <w:sz w:val="21"/>
          <w:szCs w:val="21"/>
        </w:rPr>
        <w:t xml:space="preserve">Service Provider (on behalf of itself and its Affiliates) hereby grants to each Service Recipient and its Affiliates a limited, non-exclusive, non-sublicenseable, non-assignable (except as expressly provided for in Section 9.04) license, solely during the </w:t>
      </w:r>
      <w:r>
        <w:rPr>
          <w:rFonts w:ascii="Arial" w:eastAsia="Arial" w:hAnsi="Arial" w:cs="Arial"/>
          <w:sz w:val="21"/>
          <w:szCs w:val="21"/>
        </w:rPr>
        <w:t>Term for such Service, to use any Intellectual Property Right (other than Trademarks), software and data that is (i) owned by Service Provider or its Affiliates and (ii) provided or otherwise made available by Service Provider or its Affiliates to such Ser</w:t>
      </w:r>
      <w:r>
        <w:rPr>
          <w:rFonts w:ascii="Arial" w:eastAsia="Arial" w:hAnsi="Arial" w:cs="Arial"/>
          <w:sz w:val="21"/>
          <w:szCs w:val="21"/>
        </w:rPr>
        <w:t>vice Recipient as part of such Service, but in each case solely to the extent necessary for such Service Recipient and its Affiliates to receive and use such Service as provided for and in accordance with this Agreement, subject to any applicable third par</w:t>
      </w:r>
      <w:r>
        <w:rPr>
          <w:rFonts w:ascii="Arial" w:eastAsia="Arial" w:hAnsi="Arial" w:cs="Arial"/>
          <w:sz w:val="21"/>
          <w:szCs w:val="21"/>
        </w:rPr>
        <w:t>ty restrictions or limitations.</w:t>
      </w:r>
    </w:p>
    <w:p w14:paraId="174D778A" w14:textId="77777777" w:rsidR="00D1587D" w:rsidRDefault="00D1587D">
      <w:pPr>
        <w:spacing w:line="207" w:lineRule="exact"/>
        <w:rPr>
          <w:sz w:val="20"/>
          <w:szCs w:val="20"/>
        </w:rPr>
      </w:pPr>
    </w:p>
    <w:p w14:paraId="11EF95F1" w14:textId="77777777" w:rsidR="00D1587D" w:rsidRDefault="00410D07">
      <w:pPr>
        <w:numPr>
          <w:ilvl w:val="0"/>
          <w:numId w:val="58"/>
        </w:numPr>
        <w:tabs>
          <w:tab w:val="left" w:pos="1634"/>
        </w:tabs>
        <w:spacing w:line="275" w:lineRule="auto"/>
        <w:ind w:right="140" w:firstLine="850"/>
        <w:rPr>
          <w:rFonts w:ascii="Arial" w:eastAsia="Arial" w:hAnsi="Arial" w:cs="Arial"/>
          <w:sz w:val="19"/>
          <w:szCs w:val="19"/>
        </w:rPr>
      </w:pPr>
      <w:r>
        <w:rPr>
          <w:rFonts w:ascii="Arial" w:eastAsia="Arial" w:hAnsi="Arial" w:cs="Arial"/>
          <w:sz w:val="19"/>
          <w:szCs w:val="19"/>
        </w:rPr>
        <w:t>Subject to the terms and conditions of this Agreement, with respect to each Service, each Service Recipient (on behalf of itself and its Affiliates) hereby grants to Service Provider and its Affiliates a limited, non-exclus</w:t>
      </w:r>
      <w:r>
        <w:rPr>
          <w:rFonts w:ascii="Arial" w:eastAsia="Arial" w:hAnsi="Arial" w:cs="Arial"/>
          <w:sz w:val="19"/>
          <w:szCs w:val="19"/>
        </w:rPr>
        <w:t>ive, royalty-free, non-sublicenseable (except as expressly set forth herein), non-assignable (except as expressly provided for in Section 9.04) license, solely during the Term for such Service, in and to any Intellectual Property Right (other than Trademar</w:t>
      </w:r>
      <w:r>
        <w:rPr>
          <w:rFonts w:ascii="Arial" w:eastAsia="Arial" w:hAnsi="Arial" w:cs="Arial"/>
          <w:sz w:val="19"/>
          <w:szCs w:val="19"/>
        </w:rPr>
        <w:t>ks), software and data owned or controlled by such Service Recipient or any of its Affiliates, but in each case solely to the extent necessary for Service Provider, its Affiliates or any Third Party Provider to perform such Service as provided for and in a</w:t>
      </w:r>
      <w:r>
        <w:rPr>
          <w:rFonts w:ascii="Arial" w:eastAsia="Arial" w:hAnsi="Arial" w:cs="Arial"/>
          <w:sz w:val="19"/>
          <w:szCs w:val="19"/>
        </w:rPr>
        <w:t>ccordance with this Agreement, subject to any applicable third party restrictions or limitations (it being understood that Service Provider shall have the right to grant a sublicense under the foregoing license to any Third Party Provider).</w:t>
      </w:r>
    </w:p>
    <w:p w14:paraId="2F5809DB" w14:textId="77777777" w:rsidR="00D1587D" w:rsidRDefault="00D1587D">
      <w:pPr>
        <w:spacing w:line="184" w:lineRule="exact"/>
        <w:rPr>
          <w:rFonts w:ascii="Arial" w:eastAsia="Arial" w:hAnsi="Arial" w:cs="Arial"/>
          <w:sz w:val="19"/>
          <w:szCs w:val="19"/>
        </w:rPr>
      </w:pPr>
    </w:p>
    <w:p w14:paraId="5F7EDF16" w14:textId="77777777" w:rsidR="00D1587D" w:rsidRDefault="00410D07">
      <w:pPr>
        <w:numPr>
          <w:ilvl w:val="0"/>
          <w:numId w:val="58"/>
        </w:numPr>
        <w:tabs>
          <w:tab w:val="left" w:pos="1610"/>
        </w:tabs>
        <w:spacing w:line="234" w:lineRule="auto"/>
        <w:ind w:right="160" w:firstLine="850"/>
        <w:rPr>
          <w:rFonts w:ascii="Arial" w:eastAsia="Arial" w:hAnsi="Arial" w:cs="Arial"/>
        </w:rPr>
      </w:pPr>
      <w:r>
        <w:rPr>
          <w:rFonts w:ascii="Arial" w:eastAsia="Arial" w:hAnsi="Arial" w:cs="Arial"/>
        </w:rPr>
        <w:t>ALL SERVICES A</w:t>
      </w:r>
      <w:r>
        <w:rPr>
          <w:rFonts w:ascii="Arial" w:eastAsia="Arial" w:hAnsi="Arial" w:cs="Arial"/>
        </w:rPr>
        <w:t>ND INTELLECTUAL PROPERTY RIGHTS LICENSED HEREUNDER ARE PROVIDED ON AN “AS IS” BASIS WITH NO REPRESENTATION OR WARRANTY, EXPRESS OR IMPLIED, OF ANY KIND, INCLUDING WITH RESPECT TO MERCHANTABILITY, FITNESS FOR PARTICULAR PURPOSE OR NON-INFRINGEMENT. EXCEPT A</w:t>
      </w:r>
      <w:r>
        <w:rPr>
          <w:rFonts w:ascii="Arial" w:eastAsia="Arial" w:hAnsi="Arial" w:cs="Arial"/>
        </w:rPr>
        <w:t>S EXPRESSLY SET FORTH IN THIS AGREEMENT, NO LICENSES OR OTHER RIGHTS TO ANY SOFTWARE, INTELLECTUAL PROPERTY RIGHTS, DATA OR OTHER ASSETS ARE GRANTED TO EITHER PARTY HERETO UNDER THIS AGREEMENT, WHETHER BY IMPLICATION, ESTOPPEL, EXHAUSTION OR OTHERWISE, AND</w:t>
      </w:r>
      <w:r>
        <w:rPr>
          <w:rFonts w:ascii="Arial" w:eastAsia="Arial" w:hAnsi="Arial" w:cs="Arial"/>
        </w:rPr>
        <w:t xml:space="preserve"> EACH PARTY HERETO RETAINS AND RESERVES ALL RIGHTS NOT EXPRESSLY GRANTED UNDER THIS AGREEMENT.</w:t>
      </w:r>
    </w:p>
    <w:p w14:paraId="2141489A" w14:textId="77777777" w:rsidR="00D1587D" w:rsidRDefault="00D1587D">
      <w:pPr>
        <w:spacing w:line="213" w:lineRule="exact"/>
        <w:rPr>
          <w:rFonts w:ascii="Arial" w:eastAsia="Arial" w:hAnsi="Arial" w:cs="Arial"/>
        </w:rPr>
      </w:pPr>
    </w:p>
    <w:p w14:paraId="608B0E37" w14:textId="77777777" w:rsidR="00D1587D" w:rsidRDefault="00410D07">
      <w:pPr>
        <w:numPr>
          <w:ilvl w:val="0"/>
          <w:numId w:val="58"/>
        </w:numPr>
        <w:tabs>
          <w:tab w:val="left" w:pos="1630"/>
        </w:tabs>
        <w:spacing w:line="272" w:lineRule="auto"/>
        <w:ind w:firstLine="850"/>
        <w:rPr>
          <w:rFonts w:ascii="Arial" w:eastAsia="Arial" w:hAnsi="Arial" w:cs="Arial"/>
          <w:sz w:val="19"/>
          <w:szCs w:val="19"/>
        </w:rPr>
      </w:pPr>
      <w:r>
        <w:rPr>
          <w:rFonts w:ascii="Arial" w:eastAsia="Arial" w:hAnsi="Arial" w:cs="Arial"/>
          <w:sz w:val="19"/>
          <w:szCs w:val="19"/>
        </w:rPr>
        <w:t>The parties hereto acknowledge and agree that, as between the parties, Service Provider shall solely own all right, title and interest in and to all Intellectua</w:t>
      </w:r>
      <w:r>
        <w:rPr>
          <w:rFonts w:ascii="Arial" w:eastAsia="Arial" w:hAnsi="Arial" w:cs="Arial"/>
          <w:sz w:val="19"/>
          <w:szCs w:val="19"/>
        </w:rPr>
        <w:t>l Property Rights (other than Trademarks) authored, conceived, developed or reduced to practice by any Service Provider Party (whether solely or jointly with others) in connection with the Services (“</w:t>
      </w:r>
      <w:r>
        <w:rPr>
          <w:rFonts w:ascii="Arial" w:eastAsia="Arial" w:hAnsi="Arial" w:cs="Arial"/>
          <w:b/>
          <w:bCs/>
          <w:sz w:val="19"/>
          <w:szCs w:val="19"/>
        </w:rPr>
        <w:t>Developed Intellectual Property</w:t>
      </w:r>
      <w:r>
        <w:rPr>
          <w:rFonts w:ascii="Arial" w:eastAsia="Arial" w:hAnsi="Arial" w:cs="Arial"/>
          <w:sz w:val="19"/>
          <w:szCs w:val="19"/>
        </w:rPr>
        <w:t xml:space="preserve">”), </w:t>
      </w:r>
      <w:r>
        <w:rPr>
          <w:rFonts w:ascii="Arial" w:eastAsia="Arial" w:hAnsi="Arial" w:cs="Arial"/>
          <w:i/>
          <w:iCs/>
          <w:sz w:val="19"/>
          <w:szCs w:val="19"/>
        </w:rPr>
        <w:t>provided</w:t>
      </w:r>
      <w:r>
        <w:rPr>
          <w:rFonts w:ascii="Arial" w:eastAsia="Arial" w:hAnsi="Arial" w:cs="Arial"/>
          <w:sz w:val="19"/>
          <w:szCs w:val="19"/>
        </w:rPr>
        <w:t xml:space="preserve"> that VS shall own all right, title and interest in and to all Developed Intellectual Property exclusively used in the VS Business (“</w:t>
      </w:r>
      <w:r>
        <w:rPr>
          <w:rFonts w:ascii="Arial" w:eastAsia="Arial" w:hAnsi="Arial" w:cs="Arial"/>
          <w:b/>
          <w:bCs/>
          <w:sz w:val="19"/>
          <w:szCs w:val="19"/>
        </w:rPr>
        <w:t>VS Developed Intellectual Property</w:t>
      </w:r>
      <w:r>
        <w:rPr>
          <w:rFonts w:ascii="Arial" w:eastAsia="Arial" w:hAnsi="Arial" w:cs="Arial"/>
          <w:sz w:val="19"/>
          <w:szCs w:val="19"/>
        </w:rPr>
        <w:t>”). VS hereby irrevocably assigns, and shall cause the other Service Recipients to assign</w:t>
      </w:r>
      <w:r>
        <w:rPr>
          <w:rFonts w:ascii="Arial" w:eastAsia="Arial" w:hAnsi="Arial" w:cs="Arial"/>
          <w:sz w:val="19"/>
          <w:szCs w:val="19"/>
        </w:rPr>
        <w:t>, to Service Provider all of its or their right, title and interest in and to all Developed Intellectual Property (other than VS Developed Intellectual Property), and hereby waives any and all moral rights that it or they may have in all such Developed Int</w:t>
      </w:r>
      <w:r>
        <w:rPr>
          <w:rFonts w:ascii="Arial" w:eastAsia="Arial" w:hAnsi="Arial" w:cs="Arial"/>
          <w:sz w:val="19"/>
          <w:szCs w:val="19"/>
        </w:rPr>
        <w:t>ellectual Property. Service Provider hereby irrevocably assigns, and shall cause the other Service Provider Parties to assign, to VS all of its or their right, title and interest in and to all VS Developed Intellectual Property, and hereby waives any and a</w:t>
      </w:r>
      <w:r>
        <w:rPr>
          <w:rFonts w:ascii="Arial" w:eastAsia="Arial" w:hAnsi="Arial" w:cs="Arial"/>
          <w:sz w:val="19"/>
          <w:szCs w:val="19"/>
        </w:rPr>
        <w:t>ll moral rights that it or they may have in any VS Developed Intellectual Property. The parties hereto agree to execute all other documents and take all actions as may be necessary or desirable to enable the other party to prosecute, perfect, enforce, defe</w:t>
      </w:r>
      <w:r>
        <w:rPr>
          <w:rFonts w:ascii="Arial" w:eastAsia="Arial" w:hAnsi="Arial" w:cs="Arial"/>
          <w:sz w:val="19"/>
          <w:szCs w:val="19"/>
        </w:rPr>
        <w:t>nd, register and/or record its right, title and interest in, to and under the Developed Intellectual Property or VS Developed Intellectual Property, as applicable.</w:t>
      </w:r>
    </w:p>
    <w:p w14:paraId="51AD3EC1" w14:textId="77777777" w:rsidR="00D1587D" w:rsidRDefault="00D1587D">
      <w:pPr>
        <w:spacing w:line="200" w:lineRule="exact"/>
        <w:rPr>
          <w:sz w:val="20"/>
          <w:szCs w:val="20"/>
        </w:rPr>
      </w:pPr>
    </w:p>
    <w:p w14:paraId="7E4D45BB" w14:textId="77777777" w:rsidR="00D1587D" w:rsidRDefault="00D1587D">
      <w:pPr>
        <w:spacing w:line="231" w:lineRule="exact"/>
        <w:rPr>
          <w:sz w:val="20"/>
          <w:szCs w:val="20"/>
        </w:rPr>
      </w:pPr>
    </w:p>
    <w:p w14:paraId="75790C0B" w14:textId="77777777" w:rsidR="00D1587D" w:rsidRDefault="00410D07">
      <w:pPr>
        <w:spacing w:line="249" w:lineRule="auto"/>
        <w:ind w:right="20" w:firstLine="648"/>
        <w:rPr>
          <w:sz w:val="20"/>
          <w:szCs w:val="20"/>
        </w:rPr>
      </w:pPr>
      <w:r>
        <w:rPr>
          <w:rFonts w:ascii="Arial" w:eastAsia="Arial" w:hAnsi="Arial" w:cs="Arial"/>
          <w:sz w:val="21"/>
          <w:szCs w:val="21"/>
        </w:rPr>
        <w:t xml:space="preserve">Section 2.10. </w:t>
      </w:r>
      <w:r>
        <w:rPr>
          <w:rFonts w:ascii="Arial" w:eastAsia="Arial" w:hAnsi="Arial" w:cs="Arial"/>
          <w:i/>
          <w:iCs/>
          <w:sz w:val="21"/>
          <w:szCs w:val="21"/>
        </w:rPr>
        <w:t>Data Ownership and Data Protection.</w:t>
      </w:r>
      <w:r>
        <w:rPr>
          <w:rFonts w:ascii="Arial" w:eastAsia="Arial" w:hAnsi="Arial" w:cs="Arial"/>
          <w:sz w:val="21"/>
          <w:szCs w:val="21"/>
        </w:rPr>
        <w:t xml:space="preserve"> As between the parties hereto, the appli</w:t>
      </w:r>
      <w:r>
        <w:rPr>
          <w:rFonts w:ascii="Arial" w:eastAsia="Arial" w:hAnsi="Arial" w:cs="Arial"/>
          <w:sz w:val="21"/>
          <w:szCs w:val="21"/>
        </w:rPr>
        <w:t>cable Service Recipient shall be the owner of all data collected, used, stored or otherwise processed by or on behalf of such Service Recipient under this Agreement to the extent related to the VS Business. Service Provider shall, and VS shall cause the Se</w:t>
      </w:r>
      <w:r>
        <w:rPr>
          <w:rFonts w:ascii="Arial" w:eastAsia="Arial" w:hAnsi="Arial" w:cs="Arial"/>
          <w:sz w:val="21"/>
          <w:szCs w:val="21"/>
        </w:rPr>
        <w:t xml:space="preserve">rvice Recipients to, comply with the Data Processing Addendum attached as </w:t>
      </w:r>
      <w:r>
        <w:rPr>
          <w:rFonts w:ascii="Arial" w:eastAsia="Arial" w:hAnsi="Arial" w:cs="Arial"/>
          <w:sz w:val="21"/>
          <w:szCs w:val="21"/>
          <w:u w:val="single"/>
        </w:rPr>
        <w:t>Annex A</w:t>
      </w:r>
      <w:r>
        <w:rPr>
          <w:rFonts w:ascii="Arial" w:eastAsia="Arial" w:hAnsi="Arial" w:cs="Arial"/>
          <w:sz w:val="21"/>
          <w:szCs w:val="21"/>
        </w:rPr>
        <w:t xml:space="preserve"> hereto and all applicable privacy and data protection laws that are or that may in the future be applicable to the provision of Services hereunder.</w:t>
      </w:r>
    </w:p>
    <w:p w14:paraId="3FCFFE9A" w14:textId="77777777" w:rsidR="00D1587D" w:rsidRDefault="00D1587D">
      <w:pPr>
        <w:spacing w:line="141" w:lineRule="exact"/>
        <w:rPr>
          <w:sz w:val="20"/>
          <w:szCs w:val="20"/>
        </w:rPr>
      </w:pPr>
    </w:p>
    <w:p w14:paraId="2967367C" w14:textId="77777777" w:rsidR="00D1587D" w:rsidRDefault="00410D07">
      <w:pPr>
        <w:ind w:right="-39"/>
        <w:jc w:val="center"/>
        <w:rPr>
          <w:sz w:val="20"/>
          <w:szCs w:val="20"/>
        </w:rPr>
      </w:pPr>
      <w:r>
        <w:rPr>
          <w:rFonts w:ascii="Arial" w:eastAsia="Arial" w:hAnsi="Arial" w:cs="Arial"/>
          <w:sz w:val="14"/>
          <w:szCs w:val="14"/>
        </w:rPr>
        <w:t>6</w:t>
      </w:r>
    </w:p>
    <w:p w14:paraId="77A1F308" w14:textId="77777777" w:rsidR="00D1587D" w:rsidRDefault="00410D07">
      <w:pPr>
        <w:spacing w:line="20" w:lineRule="exact"/>
        <w:rPr>
          <w:sz w:val="20"/>
          <w:szCs w:val="20"/>
        </w:rPr>
      </w:pPr>
      <w:r>
        <w:rPr>
          <w:noProof/>
          <w:sz w:val="20"/>
          <w:szCs w:val="20"/>
        </w:rPr>
        <w:drawing>
          <wp:anchor distT="0" distB="0" distL="114300" distR="114300" simplePos="0" relativeHeight="251243520" behindDoc="1" locked="0" layoutInCell="0" allowOverlap="1" wp14:anchorId="1C53FF80" wp14:editId="5D7D90F6">
            <wp:simplePos x="0" y="0"/>
            <wp:positionH relativeFrom="column">
              <wp:posOffset>5080</wp:posOffset>
            </wp:positionH>
            <wp:positionV relativeFrom="paragraph">
              <wp:posOffset>38100</wp:posOffset>
            </wp:positionV>
            <wp:extent cx="7132320" cy="1714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AF57EC2" w14:textId="77777777" w:rsidR="00D1587D" w:rsidRDefault="00D1587D">
      <w:pPr>
        <w:sectPr w:rsidR="00D1587D">
          <w:pgSz w:w="11900" w:h="16838"/>
          <w:pgMar w:top="604" w:right="359" w:bottom="1440" w:left="320" w:header="0" w:footer="0" w:gutter="0"/>
          <w:cols w:space="720" w:equalWidth="0">
            <w:col w:w="11220"/>
          </w:cols>
        </w:sectPr>
      </w:pPr>
    </w:p>
    <w:p w14:paraId="570C8DE6" w14:textId="77777777" w:rsidR="00D1587D" w:rsidRDefault="00410D07">
      <w:pPr>
        <w:tabs>
          <w:tab w:val="left" w:pos="2300"/>
        </w:tabs>
        <w:ind w:left="660"/>
        <w:rPr>
          <w:sz w:val="20"/>
          <w:szCs w:val="20"/>
        </w:rPr>
      </w:pPr>
      <w:bookmarkStart w:id="95" w:name="page96"/>
      <w:bookmarkEnd w:id="95"/>
      <w:r>
        <w:rPr>
          <w:rFonts w:ascii="Arial" w:eastAsia="Arial" w:hAnsi="Arial" w:cs="Arial"/>
        </w:rPr>
        <w:t>Section 2.11.</w:t>
      </w:r>
      <w:r>
        <w:rPr>
          <w:sz w:val="20"/>
          <w:szCs w:val="20"/>
        </w:rPr>
        <w:tab/>
      </w:r>
      <w:r>
        <w:rPr>
          <w:rFonts w:ascii="Arial" w:eastAsia="Arial" w:hAnsi="Arial" w:cs="Arial"/>
          <w:i/>
          <w:iCs/>
          <w:sz w:val="19"/>
          <w:szCs w:val="19"/>
        </w:rPr>
        <w:t>Information Technology</w:t>
      </w:r>
      <w:r>
        <w:rPr>
          <w:rFonts w:ascii="Arial" w:eastAsia="Arial" w:hAnsi="Arial" w:cs="Arial"/>
          <w:sz w:val="19"/>
          <w:szCs w:val="19"/>
        </w:rPr>
        <w:t>. VS shall cause each Service Recipient, its employees and any subcontractors</w:t>
      </w:r>
    </w:p>
    <w:p w14:paraId="17AC9DF4" w14:textId="77777777" w:rsidR="00D1587D" w:rsidRDefault="00D1587D">
      <w:pPr>
        <w:spacing w:line="8" w:lineRule="exact"/>
        <w:rPr>
          <w:sz w:val="20"/>
          <w:szCs w:val="20"/>
        </w:rPr>
      </w:pPr>
    </w:p>
    <w:p w14:paraId="5434549C" w14:textId="77777777" w:rsidR="00D1587D" w:rsidRDefault="00410D07">
      <w:pPr>
        <w:spacing w:line="242" w:lineRule="auto"/>
        <w:ind w:right="20"/>
        <w:rPr>
          <w:sz w:val="20"/>
          <w:szCs w:val="20"/>
        </w:rPr>
      </w:pPr>
      <w:r>
        <w:rPr>
          <w:rFonts w:ascii="Arial" w:eastAsia="Arial" w:hAnsi="Arial" w:cs="Arial"/>
          <w:sz w:val="21"/>
          <w:szCs w:val="21"/>
        </w:rPr>
        <w:t>to: (a) not attempt to obtain access to or use any information technology systems of any Service Provider Party, or any data owned by any Ser</w:t>
      </w:r>
      <w:r>
        <w:rPr>
          <w:rFonts w:ascii="Arial" w:eastAsia="Arial" w:hAnsi="Arial" w:cs="Arial"/>
          <w:sz w:val="21"/>
          <w:szCs w:val="21"/>
        </w:rPr>
        <w:t>vice Provider Party, or any data used or processed by any Service Provider Party (other than any data of any Service Recipient), except to the extent required to receive the Services; (b) maintain reasonable security measures to protect the systems of each</w:t>
      </w:r>
      <w:r>
        <w:rPr>
          <w:rFonts w:ascii="Arial" w:eastAsia="Arial" w:hAnsi="Arial" w:cs="Arial"/>
          <w:sz w:val="21"/>
          <w:szCs w:val="21"/>
        </w:rPr>
        <w:t xml:space="preserve"> Service Provider Party to which it has access pursuant to this Agreement from access by unauthorized third parties, and any “back door”, “time bomb”, “Trojan Horse”, “worm”, “drop dead device”, “virus” or other computer software routine intended or design</w:t>
      </w:r>
      <w:r>
        <w:rPr>
          <w:rFonts w:ascii="Arial" w:eastAsia="Arial" w:hAnsi="Arial" w:cs="Arial"/>
          <w:sz w:val="21"/>
          <w:szCs w:val="21"/>
        </w:rPr>
        <w:t>ed to disrupt, disable, harm or otherwise impede in any manner the operation of such systems; (c) not permit access or use of information technology systems of any Service Provider Party by a third party other than as authorized by prior written consent of</w:t>
      </w:r>
      <w:r>
        <w:rPr>
          <w:rFonts w:ascii="Arial" w:eastAsia="Arial" w:hAnsi="Arial" w:cs="Arial"/>
          <w:sz w:val="21"/>
          <w:szCs w:val="21"/>
        </w:rPr>
        <w:t xml:space="preserve"> Service Provider; (d) not disable, damage or erase or disrupt or impair the normal operation of the information technology systems of any Service Provider Party; and (e) comply with the security policies and procedures of each Service Provider Party (to t</w:t>
      </w:r>
      <w:r>
        <w:rPr>
          <w:rFonts w:ascii="Arial" w:eastAsia="Arial" w:hAnsi="Arial" w:cs="Arial"/>
          <w:sz w:val="21"/>
          <w:szCs w:val="21"/>
        </w:rPr>
        <w:t>he extent previously provided to each Service Recipient in writing). Each party hereto shall promptly notify the other party in the event it or any of its respective Affiliates becomes aware of or suspects that there has been a breach of security or a loss</w:t>
      </w:r>
      <w:r>
        <w:rPr>
          <w:rFonts w:ascii="Arial" w:eastAsia="Arial" w:hAnsi="Arial" w:cs="Arial"/>
          <w:sz w:val="21"/>
          <w:szCs w:val="21"/>
        </w:rPr>
        <w:t>, theft or unauthorized access, use or disclosure of any information technology systems (collectively, “</w:t>
      </w:r>
      <w:r>
        <w:rPr>
          <w:rFonts w:ascii="Arial" w:eastAsia="Arial" w:hAnsi="Arial" w:cs="Arial"/>
          <w:b/>
          <w:bCs/>
          <w:sz w:val="21"/>
          <w:szCs w:val="21"/>
        </w:rPr>
        <w:t>IT</w:t>
      </w:r>
      <w:r>
        <w:rPr>
          <w:rFonts w:ascii="Arial" w:eastAsia="Arial" w:hAnsi="Arial" w:cs="Arial"/>
          <w:sz w:val="21"/>
          <w:szCs w:val="21"/>
        </w:rPr>
        <w:t xml:space="preserve"> </w:t>
      </w:r>
      <w:r>
        <w:rPr>
          <w:rFonts w:ascii="Arial" w:eastAsia="Arial" w:hAnsi="Arial" w:cs="Arial"/>
          <w:b/>
          <w:bCs/>
          <w:sz w:val="21"/>
          <w:szCs w:val="21"/>
        </w:rPr>
        <w:t>Breach</w:t>
      </w:r>
      <w:r>
        <w:rPr>
          <w:rFonts w:ascii="Arial" w:eastAsia="Arial" w:hAnsi="Arial" w:cs="Arial"/>
          <w:sz w:val="21"/>
          <w:szCs w:val="21"/>
        </w:rPr>
        <w:t>”) of any Service Provider Party or any Service Recipient to the extent such (i) IT Breach could adversely affect the</w:t>
      </w:r>
      <w:r>
        <w:rPr>
          <w:rFonts w:ascii="Arial" w:eastAsia="Arial" w:hAnsi="Arial" w:cs="Arial"/>
          <w:b/>
          <w:bCs/>
          <w:sz w:val="21"/>
          <w:szCs w:val="21"/>
        </w:rPr>
        <w:t xml:space="preserve"> </w:t>
      </w:r>
      <w:r>
        <w:rPr>
          <w:rFonts w:ascii="Arial" w:eastAsia="Arial" w:hAnsi="Arial" w:cs="Arial"/>
          <w:sz w:val="21"/>
          <w:szCs w:val="21"/>
        </w:rPr>
        <w:t xml:space="preserve">provision or </w:t>
      </w:r>
      <w:r>
        <w:rPr>
          <w:rFonts w:ascii="Arial" w:eastAsia="Arial" w:hAnsi="Arial" w:cs="Arial"/>
          <w:sz w:val="21"/>
          <w:szCs w:val="21"/>
        </w:rPr>
        <w:t>receipt of the Services hereunder or such other party’s data or Confidential Information or (ii) notice is required by Applicable Law.</w:t>
      </w:r>
    </w:p>
    <w:p w14:paraId="769EBCA2" w14:textId="77777777" w:rsidR="00D1587D" w:rsidRDefault="00D1587D">
      <w:pPr>
        <w:spacing w:line="218" w:lineRule="exact"/>
        <w:rPr>
          <w:sz w:val="20"/>
          <w:szCs w:val="20"/>
        </w:rPr>
      </w:pPr>
    </w:p>
    <w:p w14:paraId="42B79C7F" w14:textId="77777777" w:rsidR="00D1587D" w:rsidRDefault="00410D07">
      <w:pPr>
        <w:spacing w:line="277" w:lineRule="auto"/>
        <w:ind w:right="40" w:firstLine="648"/>
        <w:rPr>
          <w:sz w:val="20"/>
          <w:szCs w:val="20"/>
        </w:rPr>
      </w:pPr>
      <w:r>
        <w:rPr>
          <w:rFonts w:ascii="Arial" w:eastAsia="Arial" w:hAnsi="Arial" w:cs="Arial"/>
          <w:sz w:val="19"/>
          <w:szCs w:val="19"/>
        </w:rPr>
        <w:t xml:space="preserve">Section 2.12. </w:t>
      </w:r>
      <w:r>
        <w:rPr>
          <w:rFonts w:ascii="Arial" w:eastAsia="Arial" w:hAnsi="Arial" w:cs="Arial"/>
          <w:i/>
          <w:iCs/>
          <w:sz w:val="19"/>
          <w:szCs w:val="19"/>
        </w:rPr>
        <w:t>Policies and Procedures</w:t>
      </w:r>
      <w:r>
        <w:rPr>
          <w:rFonts w:ascii="Arial" w:eastAsia="Arial" w:hAnsi="Arial" w:cs="Arial"/>
          <w:sz w:val="19"/>
          <w:szCs w:val="19"/>
        </w:rPr>
        <w:t>. VS shall cause each Service Recipient and its employees, officers, directors, adv</w:t>
      </w:r>
      <w:r>
        <w:rPr>
          <w:rFonts w:ascii="Arial" w:eastAsia="Arial" w:hAnsi="Arial" w:cs="Arial"/>
          <w:sz w:val="19"/>
          <w:szCs w:val="19"/>
        </w:rPr>
        <w:t>isors and representatives (collectively, “</w:t>
      </w:r>
      <w:r>
        <w:rPr>
          <w:rFonts w:ascii="Arial" w:eastAsia="Arial" w:hAnsi="Arial" w:cs="Arial"/>
          <w:b/>
          <w:bCs/>
          <w:sz w:val="19"/>
          <w:szCs w:val="19"/>
        </w:rPr>
        <w:t>Representatives</w:t>
      </w:r>
      <w:r>
        <w:rPr>
          <w:rFonts w:ascii="Arial" w:eastAsia="Arial" w:hAnsi="Arial" w:cs="Arial"/>
          <w:sz w:val="19"/>
          <w:szCs w:val="19"/>
        </w:rPr>
        <w:t>”) and any subcontractors to comply with the internal policies, procedures, rules and regulations of the Service Provider Parties (as may be updated from time to time) applicable to (a) the use of th</w:t>
      </w:r>
      <w:r>
        <w:rPr>
          <w:rFonts w:ascii="Arial" w:eastAsia="Arial" w:hAnsi="Arial" w:cs="Arial"/>
          <w:sz w:val="19"/>
          <w:szCs w:val="19"/>
        </w:rPr>
        <w:t>e Service Provider Parties’ information technology systems, computers, networks, telephone systems, software, data, equipment or other facilities in connection with the Services or (b) such Service Recipient’s conduct while on a Service Provider Party’s pr</w:t>
      </w:r>
      <w:r>
        <w:rPr>
          <w:rFonts w:ascii="Arial" w:eastAsia="Arial" w:hAnsi="Arial" w:cs="Arial"/>
          <w:sz w:val="19"/>
          <w:szCs w:val="19"/>
        </w:rPr>
        <w:t>emises or utilizing a Service Provider Party’s facilities in connection with the Services, in each case to the extent such policies, procedures, rules or regulations are generally applicable to such Service Provider Party’s own organization.</w:t>
      </w:r>
    </w:p>
    <w:p w14:paraId="18FB818A" w14:textId="77777777" w:rsidR="00D1587D" w:rsidRDefault="00D1587D">
      <w:pPr>
        <w:spacing w:line="179" w:lineRule="exact"/>
        <w:rPr>
          <w:sz w:val="20"/>
          <w:szCs w:val="20"/>
        </w:rPr>
      </w:pPr>
    </w:p>
    <w:p w14:paraId="03A556F7" w14:textId="77777777" w:rsidR="00D1587D" w:rsidRDefault="00410D07">
      <w:pPr>
        <w:spacing w:line="282" w:lineRule="auto"/>
        <w:ind w:right="300" w:firstLine="648"/>
        <w:rPr>
          <w:sz w:val="20"/>
          <w:szCs w:val="20"/>
        </w:rPr>
      </w:pPr>
      <w:r>
        <w:rPr>
          <w:rFonts w:ascii="Arial" w:eastAsia="Arial" w:hAnsi="Arial" w:cs="Arial"/>
          <w:sz w:val="19"/>
          <w:szCs w:val="19"/>
        </w:rPr>
        <w:t>Section 2.13.</w:t>
      </w:r>
      <w:r>
        <w:rPr>
          <w:rFonts w:ascii="Arial" w:eastAsia="Arial" w:hAnsi="Arial" w:cs="Arial"/>
          <w:sz w:val="19"/>
          <w:szCs w:val="19"/>
        </w:rPr>
        <w:t xml:space="preserve"> </w:t>
      </w:r>
      <w:r>
        <w:rPr>
          <w:rFonts w:ascii="Arial" w:eastAsia="Arial" w:hAnsi="Arial" w:cs="Arial"/>
          <w:i/>
          <w:iCs/>
          <w:sz w:val="19"/>
          <w:szCs w:val="19"/>
        </w:rPr>
        <w:t>Access to Information.</w:t>
      </w:r>
      <w:r>
        <w:rPr>
          <w:rFonts w:ascii="Arial" w:eastAsia="Arial" w:hAnsi="Arial" w:cs="Arial"/>
          <w:sz w:val="19"/>
          <w:szCs w:val="19"/>
        </w:rPr>
        <w:t xml:space="preserve"> (a) Subject to Applicable Law, VS shall, and shall cause the other Service Recipients to, with respect to any Service during the Term of such Service, upon reasonable advance notice, afford Service Provider and its Representatives, </w:t>
      </w:r>
      <w:r>
        <w:rPr>
          <w:rFonts w:ascii="Arial" w:eastAsia="Arial" w:hAnsi="Arial" w:cs="Arial"/>
          <w:sz w:val="19"/>
          <w:szCs w:val="19"/>
        </w:rPr>
        <w:t>including Service Provider’s internal and external auditors, reasonable access, during normal business hours, to the employees, properties, books and records and other documents of the Service Recipients that are reasonably requested by Service Provider in</w:t>
      </w:r>
      <w:r>
        <w:rPr>
          <w:rFonts w:ascii="Arial" w:eastAsia="Arial" w:hAnsi="Arial" w:cs="Arial"/>
          <w:sz w:val="19"/>
          <w:szCs w:val="19"/>
        </w:rPr>
        <w:t xml:space="preserve"> connection with the provision and receipt of such Service hereunder.</w:t>
      </w:r>
    </w:p>
    <w:p w14:paraId="7905EE4F" w14:textId="77777777" w:rsidR="00D1587D" w:rsidRDefault="00D1587D">
      <w:pPr>
        <w:spacing w:line="174" w:lineRule="exact"/>
        <w:rPr>
          <w:sz w:val="20"/>
          <w:szCs w:val="20"/>
        </w:rPr>
      </w:pPr>
    </w:p>
    <w:p w14:paraId="73944FD2" w14:textId="77777777" w:rsidR="00D1587D" w:rsidRDefault="00410D07">
      <w:pPr>
        <w:numPr>
          <w:ilvl w:val="0"/>
          <w:numId w:val="59"/>
        </w:numPr>
        <w:tabs>
          <w:tab w:val="left" w:pos="1634"/>
        </w:tabs>
        <w:spacing w:line="273" w:lineRule="auto"/>
        <w:ind w:firstLine="850"/>
        <w:rPr>
          <w:rFonts w:ascii="Arial" w:eastAsia="Arial" w:hAnsi="Arial" w:cs="Arial"/>
          <w:sz w:val="19"/>
          <w:szCs w:val="19"/>
        </w:rPr>
      </w:pPr>
      <w:r>
        <w:rPr>
          <w:rFonts w:ascii="Arial" w:eastAsia="Arial" w:hAnsi="Arial" w:cs="Arial"/>
          <w:sz w:val="19"/>
          <w:szCs w:val="19"/>
        </w:rPr>
        <w:t>Subject to Applicable Law, Service Provider shall, upon reasonable advance notice, afford VS’s internal audit associates and VS’s current external audit firm (who has executed an approp</w:t>
      </w:r>
      <w:r>
        <w:rPr>
          <w:rFonts w:ascii="Arial" w:eastAsia="Arial" w:hAnsi="Arial" w:cs="Arial"/>
          <w:sz w:val="19"/>
          <w:szCs w:val="19"/>
        </w:rPr>
        <w:t xml:space="preserve">riate confidentiality agreement reasonably acceptable to Service Provider) reasonable access, during normal business hours, to the information technology systems used by Service Provider with respect to the provision of any Service hereunder solely during </w:t>
      </w:r>
      <w:r>
        <w:rPr>
          <w:rFonts w:ascii="Arial" w:eastAsia="Arial" w:hAnsi="Arial" w:cs="Arial"/>
          <w:sz w:val="19"/>
          <w:szCs w:val="19"/>
        </w:rPr>
        <w:t>the Term of such Service and solely for the purpose of performing audit procedures to support the audit of VS’s financial statements and VS’s internal control environment, including VS’s Report on Internal Control over Financial Reporting. VS’s internal au</w:t>
      </w:r>
      <w:r>
        <w:rPr>
          <w:rFonts w:ascii="Arial" w:eastAsia="Arial" w:hAnsi="Arial" w:cs="Arial"/>
          <w:sz w:val="19"/>
          <w:szCs w:val="19"/>
        </w:rPr>
        <w:t>dit associates and VS’s external audit firm shall be authorized to maintain documentation supporting the findings of their respective audit procedures. If VS wishes to use a new external audit firm for its 2021 or 2022 fiscal year audits, VS must obtain pr</w:t>
      </w:r>
      <w:r>
        <w:rPr>
          <w:rFonts w:ascii="Arial" w:eastAsia="Arial" w:hAnsi="Arial" w:cs="Arial"/>
          <w:sz w:val="19"/>
          <w:szCs w:val="19"/>
        </w:rPr>
        <w:t>ior written consent from Service Provider, and such new firm must execute an appropriate confidentiality agreement reasonable acceptable to Service Provider, before such new firm is granted access to Service Provider’s information technology systems pursua</w:t>
      </w:r>
      <w:r>
        <w:rPr>
          <w:rFonts w:ascii="Arial" w:eastAsia="Arial" w:hAnsi="Arial" w:cs="Arial"/>
          <w:sz w:val="19"/>
          <w:szCs w:val="19"/>
        </w:rPr>
        <w:t>nt to this Section 2.13(b).</w:t>
      </w:r>
    </w:p>
    <w:p w14:paraId="1BC726B3" w14:textId="77777777" w:rsidR="00D1587D" w:rsidRDefault="00D1587D">
      <w:pPr>
        <w:spacing w:line="123" w:lineRule="exact"/>
        <w:rPr>
          <w:sz w:val="20"/>
          <w:szCs w:val="20"/>
        </w:rPr>
      </w:pPr>
    </w:p>
    <w:p w14:paraId="42245ACC" w14:textId="77777777" w:rsidR="00D1587D" w:rsidRDefault="00410D07">
      <w:pPr>
        <w:ind w:right="-19"/>
        <w:jc w:val="center"/>
        <w:rPr>
          <w:sz w:val="20"/>
          <w:szCs w:val="20"/>
        </w:rPr>
      </w:pPr>
      <w:r>
        <w:rPr>
          <w:rFonts w:ascii="Arial" w:eastAsia="Arial" w:hAnsi="Arial" w:cs="Arial"/>
          <w:sz w:val="14"/>
          <w:szCs w:val="14"/>
        </w:rPr>
        <w:t>7</w:t>
      </w:r>
    </w:p>
    <w:p w14:paraId="07BC1FAD" w14:textId="77777777" w:rsidR="00D1587D" w:rsidRDefault="00410D07">
      <w:pPr>
        <w:spacing w:line="20" w:lineRule="exact"/>
        <w:rPr>
          <w:sz w:val="20"/>
          <w:szCs w:val="20"/>
        </w:rPr>
      </w:pPr>
      <w:r>
        <w:rPr>
          <w:noProof/>
          <w:sz w:val="20"/>
          <w:szCs w:val="20"/>
        </w:rPr>
        <w:drawing>
          <wp:anchor distT="0" distB="0" distL="114300" distR="114300" simplePos="0" relativeHeight="251244544" behindDoc="1" locked="0" layoutInCell="0" allowOverlap="1" wp14:anchorId="352F27CD" wp14:editId="6D16B5AB">
            <wp:simplePos x="0" y="0"/>
            <wp:positionH relativeFrom="column">
              <wp:posOffset>5080</wp:posOffset>
            </wp:positionH>
            <wp:positionV relativeFrom="paragraph">
              <wp:posOffset>38100</wp:posOffset>
            </wp:positionV>
            <wp:extent cx="7132320" cy="1714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717E1F9" w14:textId="77777777" w:rsidR="00D1587D" w:rsidRDefault="00D1587D">
      <w:pPr>
        <w:sectPr w:rsidR="00D1587D">
          <w:pgSz w:w="11900" w:h="16838"/>
          <w:pgMar w:top="361" w:right="359" w:bottom="1440" w:left="320" w:header="0" w:footer="0" w:gutter="0"/>
          <w:cols w:space="720" w:equalWidth="0">
            <w:col w:w="11220"/>
          </w:cols>
        </w:sectPr>
      </w:pPr>
    </w:p>
    <w:p w14:paraId="4A44FB27" w14:textId="77777777" w:rsidR="00D1587D" w:rsidRDefault="00410D07">
      <w:pPr>
        <w:spacing w:line="272" w:lineRule="auto"/>
        <w:ind w:right="120" w:firstLine="648"/>
        <w:rPr>
          <w:sz w:val="20"/>
          <w:szCs w:val="20"/>
        </w:rPr>
      </w:pPr>
      <w:bookmarkStart w:id="96" w:name="page97"/>
      <w:bookmarkEnd w:id="96"/>
      <w:r>
        <w:rPr>
          <w:rFonts w:ascii="Arial" w:eastAsia="Arial" w:hAnsi="Arial" w:cs="Arial"/>
          <w:sz w:val="19"/>
          <w:szCs w:val="19"/>
        </w:rPr>
        <w:t xml:space="preserve">Section 2.14. </w:t>
      </w:r>
      <w:r>
        <w:rPr>
          <w:rFonts w:ascii="Arial" w:eastAsia="Arial" w:hAnsi="Arial" w:cs="Arial"/>
          <w:i/>
          <w:iCs/>
          <w:sz w:val="19"/>
          <w:szCs w:val="19"/>
        </w:rPr>
        <w:t>Transition Governance</w:t>
      </w:r>
      <w:r>
        <w:rPr>
          <w:rFonts w:ascii="Arial" w:eastAsia="Arial" w:hAnsi="Arial" w:cs="Arial"/>
          <w:sz w:val="19"/>
          <w:szCs w:val="19"/>
        </w:rPr>
        <w:t>. Service Provider, on the one hand, and VS, on the other hand, shall each designate a service manager (that party’s “</w:t>
      </w:r>
      <w:r>
        <w:rPr>
          <w:rFonts w:ascii="Arial" w:eastAsia="Arial" w:hAnsi="Arial" w:cs="Arial"/>
          <w:b/>
          <w:bCs/>
          <w:sz w:val="19"/>
          <w:szCs w:val="19"/>
        </w:rPr>
        <w:t>Service Manager</w:t>
      </w:r>
      <w:r>
        <w:rPr>
          <w:rFonts w:ascii="Arial" w:eastAsia="Arial" w:hAnsi="Arial" w:cs="Arial"/>
          <w:sz w:val="19"/>
          <w:szCs w:val="19"/>
        </w:rPr>
        <w:t>”), who shall be directly responsib</w:t>
      </w:r>
      <w:r>
        <w:rPr>
          <w:rFonts w:ascii="Arial" w:eastAsia="Arial" w:hAnsi="Arial" w:cs="Arial"/>
          <w:sz w:val="19"/>
          <w:szCs w:val="19"/>
        </w:rPr>
        <w:t>le for coordinating and managing for the party he or she represents all activities undertaken by such party hereunder, including making available to the other party the information, facilities, resources and other support services required for the performa</w:t>
      </w:r>
      <w:r>
        <w:rPr>
          <w:rFonts w:ascii="Arial" w:eastAsia="Arial" w:hAnsi="Arial" w:cs="Arial"/>
          <w:sz w:val="19"/>
          <w:szCs w:val="19"/>
        </w:rPr>
        <w:t xml:space="preserve">nce of, or receipt of, the Services in accordance with the terms of this Agreement. The Service Managers shall meet or confer, by telephone or in person, from time to time as necessary, and at least once per month or otherwise as the parties agree, during </w:t>
      </w:r>
      <w:r>
        <w:rPr>
          <w:rFonts w:ascii="Arial" w:eastAsia="Arial" w:hAnsi="Arial" w:cs="Arial"/>
          <w:sz w:val="19"/>
          <w:szCs w:val="19"/>
        </w:rPr>
        <w:t>the term of this Agreement in order to promote open and efficient communication regarding effective and coordinated performance of, and the resolution of questions and issues related to, the Services. The Service Managers shall also discuss progress in the</w:t>
      </w:r>
      <w:r>
        <w:rPr>
          <w:rFonts w:ascii="Arial" w:eastAsia="Arial" w:hAnsi="Arial" w:cs="Arial"/>
          <w:sz w:val="19"/>
          <w:szCs w:val="19"/>
        </w:rPr>
        <w:t xml:space="preserve"> transition of the Services hereunder and may establish a set of procedures, including frequency of meetings and reporting, and other reasonable structures for their cooperation and the cooperation of the parties in the execution of their obligations pursu</w:t>
      </w:r>
      <w:r>
        <w:rPr>
          <w:rFonts w:ascii="Arial" w:eastAsia="Arial" w:hAnsi="Arial" w:cs="Arial"/>
          <w:sz w:val="19"/>
          <w:szCs w:val="19"/>
        </w:rPr>
        <w:t>ant to this Agreement. Service Provider, on the one hand, and VS, on the other hand, may, in its sole discretion, replace its respective Service Manager from time to time with a substitute upon notice to the other party.</w:t>
      </w:r>
    </w:p>
    <w:p w14:paraId="5363DE02" w14:textId="77777777" w:rsidR="00D1587D" w:rsidRDefault="00D1587D">
      <w:pPr>
        <w:spacing w:line="188" w:lineRule="exact"/>
        <w:rPr>
          <w:sz w:val="20"/>
          <w:szCs w:val="20"/>
        </w:rPr>
      </w:pPr>
    </w:p>
    <w:p w14:paraId="3948E092" w14:textId="77777777" w:rsidR="00D1587D" w:rsidRDefault="00410D07">
      <w:pPr>
        <w:ind w:right="-39"/>
        <w:jc w:val="center"/>
        <w:rPr>
          <w:sz w:val="20"/>
          <w:szCs w:val="20"/>
        </w:rPr>
      </w:pPr>
      <w:r>
        <w:rPr>
          <w:rFonts w:ascii="Arial" w:eastAsia="Arial" w:hAnsi="Arial" w:cs="Arial"/>
        </w:rPr>
        <w:t>ARTICLE 3</w:t>
      </w:r>
    </w:p>
    <w:p w14:paraId="3BDC25D1" w14:textId="77777777" w:rsidR="00D1587D" w:rsidRDefault="00D1587D">
      <w:pPr>
        <w:spacing w:line="8" w:lineRule="exact"/>
        <w:rPr>
          <w:sz w:val="20"/>
          <w:szCs w:val="20"/>
        </w:rPr>
      </w:pPr>
    </w:p>
    <w:p w14:paraId="07A3A888" w14:textId="77777777" w:rsidR="00D1587D" w:rsidRDefault="00410D07">
      <w:pPr>
        <w:ind w:right="-39"/>
        <w:jc w:val="center"/>
        <w:rPr>
          <w:sz w:val="20"/>
          <w:szCs w:val="20"/>
        </w:rPr>
      </w:pPr>
      <w:r>
        <w:rPr>
          <w:rFonts w:ascii="Arial" w:eastAsia="Arial" w:hAnsi="Arial" w:cs="Arial"/>
        </w:rPr>
        <w:t>S</w:t>
      </w:r>
      <w:r>
        <w:rPr>
          <w:rFonts w:ascii="Arial" w:eastAsia="Arial" w:hAnsi="Arial" w:cs="Arial"/>
          <w:sz w:val="14"/>
          <w:szCs w:val="14"/>
        </w:rPr>
        <w:t>ERVICE</w:t>
      </w:r>
      <w:r>
        <w:rPr>
          <w:rFonts w:ascii="Arial" w:eastAsia="Arial" w:hAnsi="Arial" w:cs="Arial"/>
        </w:rPr>
        <w:t xml:space="preserve"> F</w:t>
      </w:r>
      <w:r>
        <w:rPr>
          <w:rFonts w:ascii="Arial" w:eastAsia="Arial" w:hAnsi="Arial" w:cs="Arial"/>
          <w:sz w:val="14"/>
          <w:szCs w:val="14"/>
        </w:rPr>
        <w:t>EES</w:t>
      </w:r>
    </w:p>
    <w:p w14:paraId="2C852893" w14:textId="77777777" w:rsidR="00D1587D" w:rsidRDefault="00D1587D">
      <w:pPr>
        <w:spacing w:line="215" w:lineRule="exact"/>
        <w:rPr>
          <w:sz w:val="20"/>
          <w:szCs w:val="20"/>
        </w:rPr>
      </w:pPr>
    </w:p>
    <w:p w14:paraId="0B72479A" w14:textId="77777777" w:rsidR="00D1587D" w:rsidRDefault="00410D07">
      <w:pPr>
        <w:tabs>
          <w:tab w:val="left" w:pos="2300"/>
        </w:tabs>
        <w:ind w:left="660"/>
        <w:rPr>
          <w:sz w:val="20"/>
          <w:szCs w:val="20"/>
        </w:rPr>
      </w:pPr>
      <w:r>
        <w:rPr>
          <w:rFonts w:ascii="Arial" w:eastAsia="Arial" w:hAnsi="Arial" w:cs="Arial"/>
        </w:rPr>
        <w:t>Section 3.01.</w:t>
      </w:r>
      <w:r>
        <w:rPr>
          <w:sz w:val="20"/>
          <w:szCs w:val="20"/>
        </w:rPr>
        <w:tab/>
      </w:r>
      <w:r>
        <w:rPr>
          <w:rFonts w:ascii="Arial" w:eastAsia="Arial" w:hAnsi="Arial" w:cs="Arial"/>
          <w:i/>
          <w:iCs/>
          <w:sz w:val="19"/>
          <w:szCs w:val="19"/>
        </w:rPr>
        <w:t>Fees for Services.</w:t>
      </w:r>
    </w:p>
    <w:p w14:paraId="3A319B43" w14:textId="77777777" w:rsidR="00D1587D" w:rsidRDefault="00D1587D">
      <w:pPr>
        <w:spacing w:line="233" w:lineRule="exact"/>
        <w:rPr>
          <w:sz w:val="20"/>
          <w:szCs w:val="20"/>
        </w:rPr>
      </w:pPr>
    </w:p>
    <w:p w14:paraId="1C1E3BA6" w14:textId="77777777" w:rsidR="00D1587D" w:rsidRDefault="00410D07">
      <w:pPr>
        <w:numPr>
          <w:ilvl w:val="0"/>
          <w:numId w:val="60"/>
        </w:numPr>
        <w:tabs>
          <w:tab w:val="left" w:pos="1622"/>
        </w:tabs>
        <w:spacing w:line="274" w:lineRule="auto"/>
        <w:ind w:right="480" w:firstLine="850"/>
        <w:rPr>
          <w:rFonts w:ascii="Arial" w:eastAsia="Arial" w:hAnsi="Arial" w:cs="Arial"/>
          <w:sz w:val="21"/>
          <w:szCs w:val="21"/>
        </w:rPr>
      </w:pPr>
      <w:r>
        <w:rPr>
          <w:rFonts w:ascii="Arial" w:eastAsia="Arial" w:hAnsi="Arial" w:cs="Arial"/>
          <w:sz w:val="21"/>
          <w:szCs w:val="21"/>
        </w:rPr>
        <w:t>In consideration for the Services provided under this Agreement, VS shall pay to Service Provider (or the Service Provider Party designated by Service Provider) the fees for each Service, as calculated below.</w:t>
      </w:r>
    </w:p>
    <w:p w14:paraId="4EE30EC5" w14:textId="77777777" w:rsidR="00D1587D" w:rsidRDefault="00D1587D">
      <w:pPr>
        <w:spacing w:line="177" w:lineRule="exact"/>
        <w:rPr>
          <w:rFonts w:ascii="Arial" w:eastAsia="Arial" w:hAnsi="Arial" w:cs="Arial"/>
          <w:sz w:val="21"/>
          <w:szCs w:val="21"/>
        </w:rPr>
      </w:pPr>
    </w:p>
    <w:p w14:paraId="77BA6FA2" w14:textId="77777777" w:rsidR="00D1587D" w:rsidRDefault="00410D07">
      <w:pPr>
        <w:numPr>
          <w:ilvl w:val="0"/>
          <w:numId w:val="60"/>
        </w:numPr>
        <w:tabs>
          <w:tab w:val="left" w:pos="1634"/>
        </w:tabs>
        <w:spacing w:line="273" w:lineRule="auto"/>
        <w:ind w:right="20" w:firstLine="850"/>
        <w:rPr>
          <w:rFonts w:ascii="Arial" w:eastAsia="Arial" w:hAnsi="Arial" w:cs="Arial"/>
          <w:sz w:val="19"/>
          <w:szCs w:val="19"/>
        </w:rPr>
      </w:pPr>
      <w:r>
        <w:rPr>
          <w:rFonts w:ascii="Arial" w:eastAsia="Arial" w:hAnsi="Arial" w:cs="Arial"/>
          <w:sz w:val="19"/>
          <w:szCs w:val="19"/>
        </w:rPr>
        <w:t>Each Service</w:t>
      </w:r>
      <w:r>
        <w:rPr>
          <w:rFonts w:ascii="Arial" w:eastAsia="Arial" w:hAnsi="Arial" w:cs="Arial"/>
          <w:sz w:val="19"/>
          <w:szCs w:val="19"/>
        </w:rPr>
        <w:t xml:space="preserve"> Schedule indicates, with respect to each Service listed therein, whether the costs to be charged to the Service Recipients for such Service are determined by (i) the customary billing method described in Section 3.02 (“</w:t>
      </w:r>
      <w:r>
        <w:rPr>
          <w:rFonts w:ascii="Arial" w:eastAsia="Arial" w:hAnsi="Arial" w:cs="Arial"/>
          <w:b/>
          <w:bCs/>
          <w:sz w:val="19"/>
          <w:szCs w:val="19"/>
        </w:rPr>
        <w:t>Customary Billing</w:t>
      </w:r>
      <w:r>
        <w:rPr>
          <w:rFonts w:ascii="Arial" w:eastAsia="Arial" w:hAnsi="Arial" w:cs="Arial"/>
          <w:sz w:val="19"/>
          <w:szCs w:val="19"/>
        </w:rPr>
        <w:t>”), (ii) the pass-t</w:t>
      </w:r>
      <w:r>
        <w:rPr>
          <w:rFonts w:ascii="Arial" w:eastAsia="Arial" w:hAnsi="Arial" w:cs="Arial"/>
          <w:sz w:val="19"/>
          <w:szCs w:val="19"/>
        </w:rPr>
        <w:t>hrough billing method described in Section 3.03 (“</w:t>
      </w:r>
      <w:r>
        <w:rPr>
          <w:rFonts w:ascii="Arial" w:eastAsia="Arial" w:hAnsi="Arial" w:cs="Arial"/>
          <w:b/>
          <w:bCs/>
          <w:sz w:val="19"/>
          <w:szCs w:val="19"/>
        </w:rPr>
        <w:t>Pass-Through Billing</w:t>
      </w:r>
      <w:r>
        <w:rPr>
          <w:rFonts w:ascii="Arial" w:eastAsia="Arial" w:hAnsi="Arial" w:cs="Arial"/>
          <w:sz w:val="19"/>
          <w:szCs w:val="19"/>
        </w:rPr>
        <w:t>”), (iii) the percentage of net sales method described in Section 3.04 (“</w:t>
      </w:r>
      <w:r>
        <w:rPr>
          <w:rFonts w:ascii="Arial" w:eastAsia="Arial" w:hAnsi="Arial" w:cs="Arial"/>
          <w:b/>
          <w:bCs/>
          <w:sz w:val="19"/>
          <w:szCs w:val="19"/>
        </w:rPr>
        <w:t>Percent of Sales Billing</w:t>
      </w:r>
      <w:r>
        <w:rPr>
          <w:rFonts w:ascii="Arial" w:eastAsia="Arial" w:hAnsi="Arial" w:cs="Arial"/>
          <w:sz w:val="19"/>
          <w:szCs w:val="19"/>
        </w:rPr>
        <w:t>”), (iv) the fixed fee method described in Section 3.05 (“</w:t>
      </w:r>
      <w:r>
        <w:rPr>
          <w:rFonts w:ascii="Arial" w:eastAsia="Arial" w:hAnsi="Arial" w:cs="Arial"/>
          <w:b/>
          <w:bCs/>
          <w:sz w:val="19"/>
          <w:szCs w:val="19"/>
        </w:rPr>
        <w:t>Fixed Fee Billing</w:t>
      </w:r>
      <w:r>
        <w:rPr>
          <w:rFonts w:ascii="Arial" w:eastAsia="Arial" w:hAnsi="Arial" w:cs="Arial"/>
          <w:sz w:val="19"/>
          <w:szCs w:val="19"/>
        </w:rPr>
        <w:t>”), (v) a spec</w:t>
      </w:r>
      <w:r>
        <w:rPr>
          <w:rFonts w:ascii="Arial" w:eastAsia="Arial" w:hAnsi="Arial" w:cs="Arial"/>
          <w:sz w:val="19"/>
          <w:szCs w:val="19"/>
        </w:rPr>
        <w:t>ific billing method to be mutually agreed upon by the applicable Service Recipients and Service Provider (“</w:t>
      </w:r>
      <w:r>
        <w:rPr>
          <w:rFonts w:ascii="Arial" w:eastAsia="Arial" w:hAnsi="Arial" w:cs="Arial"/>
          <w:b/>
          <w:bCs/>
          <w:sz w:val="19"/>
          <w:szCs w:val="19"/>
        </w:rPr>
        <w:t>Specific Billing</w:t>
      </w:r>
      <w:r>
        <w:rPr>
          <w:rFonts w:ascii="Arial" w:eastAsia="Arial" w:hAnsi="Arial" w:cs="Arial"/>
          <w:sz w:val="19"/>
          <w:szCs w:val="19"/>
        </w:rPr>
        <w:t>”) or (vi) some combination thereof. The amounts calculated by the Service Provider pursuant to the Customary Billing, Pass-Through B</w:t>
      </w:r>
      <w:r>
        <w:rPr>
          <w:rFonts w:ascii="Arial" w:eastAsia="Arial" w:hAnsi="Arial" w:cs="Arial"/>
          <w:sz w:val="19"/>
          <w:szCs w:val="19"/>
        </w:rPr>
        <w:t>illing, Percent of Sales Billing, Fixed Fee Billing and Specific Billing methods applicable to Services provided to the Service Recipients and charged to the Service Recipients as provided herein, together with any and all Disengagement Costs incurred in c</w:t>
      </w:r>
      <w:r>
        <w:rPr>
          <w:rFonts w:ascii="Arial" w:eastAsia="Arial" w:hAnsi="Arial" w:cs="Arial"/>
          <w:sz w:val="19"/>
          <w:szCs w:val="19"/>
        </w:rPr>
        <w:t>onnection with the provision of any and all Disengagement Services, are collectively referred to herein as the “</w:t>
      </w:r>
      <w:r>
        <w:rPr>
          <w:rFonts w:ascii="Arial" w:eastAsia="Arial" w:hAnsi="Arial" w:cs="Arial"/>
          <w:b/>
          <w:bCs/>
          <w:sz w:val="19"/>
          <w:szCs w:val="19"/>
        </w:rPr>
        <w:t>Service Fees</w:t>
      </w:r>
      <w:r>
        <w:rPr>
          <w:rFonts w:ascii="Arial" w:eastAsia="Arial" w:hAnsi="Arial" w:cs="Arial"/>
          <w:sz w:val="19"/>
          <w:szCs w:val="19"/>
        </w:rPr>
        <w:t>.”</w:t>
      </w:r>
    </w:p>
    <w:p w14:paraId="46599269" w14:textId="77777777" w:rsidR="00D1587D" w:rsidRDefault="00D1587D">
      <w:pPr>
        <w:spacing w:line="187" w:lineRule="exact"/>
        <w:rPr>
          <w:rFonts w:ascii="Arial" w:eastAsia="Arial" w:hAnsi="Arial" w:cs="Arial"/>
          <w:sz w:val="19"/>
          <w:szCs w:val="19"/>
        </w:rPr>
      </w:pPr>
    </w:p>
    <w:p w14:paraId="7552AA05" w14:textId="77777777" w:rsidR="00D1587D" w:rsidRDefault="00410D07">
      <w:pPr>
        <w:numPr>
          <w:ilvl w:val="0"/>
          <w:numId w:val="60"/>
        </w:numPr>
        <w:tabs>
          <w:tab w:val="left" w:pos="1618"/>
        </w:tabs>
        <w:spacing w:line="272" w:lineRule="auto"/>
        <w:ind w:firstLine="850"/>
        <w:rPr>
          <w:rFonts w:ascii="Arial" w:eastAsia="Arial" w:hAnsi="Arial" w:cs="Arial"/>
          <w:sz w:val="19"/>
          <w:szCs w:val="19"/>
        </w:rPr>
      </w:pPr>
      <w:r>
        <w:rPr>
          <w:rFonts w:ascii="Arial" w:eastAsia="Arial" w:hAnsi="Arial" w:cs="Arial"/>
          <w:sz w:val="19"/>
          <w:szCs w:val="19"/>
        </w:rPr>
        <w:t>The Service Fees calculated pursuant to each of the specific billing methods described herein may include without limitation (an</w:t>
      </w:r>
      <w:r>
        <w:rPr>
          <w:rFonts w:ascii="Arial" w:eastAsia="Arial" w:hAnsi="Arial" w:cs="Arial"/>
          <w:sz w:val="19"/>
          <w:szCs w:val="19"/>
        </w:rPr>
        <w:t>d without duplication) one or more of the following costs: (i) direct (i.e., out-of-pocket) costs incurred by the Service Provider Parties in providing the Services, (ii) subject to the express terms of any applicable Service Schedule, a reasonably and fai</w:t>
      </w:r>
      <w:r>
        <w:rPr>
          <w:rFonts w:ascii="Arial" w:eastAsia="Arial" w:hAnsi="Arial" w:cs="Arial"/>
          <w:sz w:val="19"/>
          <w:szCs w:val="19"/>
        </w:rPr>
        <w:t>rly allocated portion of costs or expenses (including the allocable portion of the compensation, benefits and other employment-related costs relating to the TSA Employees (including with respect to participation by such TSA Employees in any L Brands H&amp;W Pl</w:t>
      </w:r>
      <w:r>
        <w:rPr>
          <w:rFonts w:ascii="Arial" w:eastAsia="Arial" w:hAnsi="Arial" w:cs="Arial"/>
          <w:sz w:val="19"/>
          <w:szCs w:val="19"/>
        </w:rPr>
        <w:t>an (as defined in the Employee Matters Agreement)) and service-specific overhead costs and the costs of depreciation of new and existing assets) incurred by one or more of the Service Provider Parties in providing services to one or more of the Service Pro</w:t>
      </w:r>
      <w:r>
        <w:rPr>
          <w:rFonts w:ascii="Arial" w:eastAsia="Arial" w:hAnsi="Arial" w:cs="Arial"/>
          <w:sz w:val="19"/>
          <w:szCs w:val="19"/>
        </w:rPr>
        <w:t>vider and its Affiliates and the Service Recipients (each, an “</w:t>
      </w:r>
      <w:r>
        <w:rPr>
          <w:rFonts w:ascii="Arial" w:eastAsia="Arial" w:hAnsi="Arial" w:cs="Arial"/>
          <w:b/>
          <w:bCs/>
          <w:sz w:val="19"/>
          <w:szCs w:val="19"/>
        </w:rPr>
        <w:t>Allocated Cost</w:t>
      </w:r>
      <w:r>
        <w:rPr>
          <w:rFonts w:ascii="Arial" w:eastAsia="Arial" w:hAnsi="Arial" w:cs="Arial"/>
          <w:sz w:val="19"/>
          <w:szCs w:val="19"/>
        </w:rPr>
        <w:t>”), and (iii) third party costs, including but not limited to Third Party Consent Costs, incurred by one or more of the Service Provider Parties in providing the Services (each of</w:t>
      </w:r>
      <w:r>
        <w:rPr>
          <w:rFonts w:ascii="Arial" w:eastAsia="Arial" w:hAnsi="Arial" w:cs="Arial"/>
          <w:sz w:val="19"/>
          <w:szCs w:val="19"/>
        </w:rPr>
        <w:t xml:space="preserve"> (i)-(iii), a “</w:t>
      </w:r>
      <w:r>
        <w:rPr>
          <w:rFonts w:ascii="Arial" w:eastAsia="Arial" w:hAnsi="Arial" w:cs="Arial"/>
          <w:b/>
          <w:bCs/>
          <w:sz w:val="19"/>
          <w:szCs w:val="19"/>
        </w:rPr>
        <w:t>Cost Component</w:t>
      </w:r>
      <w:r>
        <w:rPr>
          <w:rFonts w:ascii="Arial" w:eastAsia="Arial" w:hAnsi="Arial" w:cs="Arial"/>
          <w:sz w:val="19"/>
          <w:szCs w:val="19"/>
        </w:rPr>
        <w:t>,” and collectively, the “</w:t>
      </w:r>
      <w:r>
        <w:rPr>
          <w:rFonts w:ascii="Arial" w:eastAsia="Arial" w:hAnsi="Arial" w:cs="Arial"/>
          <w:b/>
          <w:bCs/>
          <w:sz w:val="19"/>
          <w:szCs w:val="19"/>
        </w:rPr>
        <w:t>Cost Components</w:t>
      </w:r>
      <w:r>
        <w:rPr>
          <w:rFonts w:ascii="Arial" w:eastAsia="Arial" w:hAnsi="Arial" w:cs="Arial"/>
          <w:sz w:val="19"/>
          <w:szCs w:val="19"/>
        </w:rPr>
        <w:t>”). To the extent expressly set forth in the Service Schedules, the Service Fees may include a cost-plus billing method based upon the aggregate costs incurred by Service Provider or its</w:t>
      </w:r>
      <w:r>
        <w:rPr>
          <w:rFonts w:ascii="Arial" w:eastAsia="Arial" w:hAnsi="Arial" w:cs="Arial"/>
          <w:sz w:val="19"/>
          <w:szCs w:val="19"/>
        </w:rPr>
        <w:t xml:space="preserve"> Affiliates relative to a particular Service plus a percentage of such costs in consideration of Service Provider’s or its Affiliates’ procurement and administration (“</w:t>
      </w:r>
      <w:r>
        <w:rPr>
          <w:rFonts w:ascii="Arial" w:eastAsia="Arial" w:hAnsi="Arial" w:cs="Arial"/>
          <w:b/>
          <w:bCs/>
          <w:sz w:val="19"/>
          <w:szCs w:val="19"/>
        </w:rPr>
        <w:t>Administrative Charge</w:t>
      </w:r>
      <w:r>
        <w:rPr>
          <w:rFonts w:ascii="Arial" w:eastAsia="Arial" w:hAnsi="Arial" w:cs="Arial"/>
          <w:sz w:val="19"/>
          <w:szCs w:val="19"/>
        </w:rPr>
        <w:t>”) of such Service.</w:t>
      </w:r>
    </w:p>
    <w:p w14:paraId="7F5186E3" w14:textId="77777777" w:rsidR="00D1587D" w:rsidRDefault="00D1587D">
      <w:pPr>
        <w:spacing w:line="118" w:lineRule="exact"/>
        <w:rPr>
          <w:sz w:val="20"/>
          <w:szCs w:val="20"/>
        </w:rPr>
      </w:pPr>
    </w:p>
    <w:p w14:paraId="75B0A314" w14:textId="77777777" w:rsidR="00D1587D" w:rsidRDefault="00410D07">
      <w:pPr>
        <w:ind w:right="-39"/>
        <w:jc w:val="center"/>
        <w:rPr>
          <w:sz w:val="20"/>
          <w:szCs w:val="20"/>
        </w:rPr>
      </w:pPr>
      <w:r>
        <w:rPr>
          <w:rFonts w:ascii="Arial" w:eastAsia="Arial" w:hAnsi="Arial" w:cs="Arial"/>
          <w:sz w:val="14"/>
          <w:szCs w:val="14"/>
        </w:rPr>
        <w:t>8</w:t>
      </w:r>
    </w:p>
    <w:p w14:paraId="146D36C5" w14:textId="77777777" w:rsidR="00D1587D" w:rsidRDefault="00410D07">
      <w:pPr>
        <w:spacing w:line="20" w:lineRule="exact"/>
        <w:rPr>
          <w:sz w:val="20"/>
          <w:szCs w:val="20"/>
        </w:rPr>
      </w:pPr>
      <w:r>
        <w:rPr>
          <w:noProof/>
          <w:sz w:val="20"/>
          <w:szCs w:val="20"/>
        </w:rPr>
        <w:drawing>
          <wp:anchor distT="0" distB="0" distL="114300" distR="114300" simplePos="0" relativeHeight="251245568" behindDoc="1" locked="0" layoutInCell="0" allowOverlap="1" wp14:anchorId="1B4444EE" wp14:editId="25150FD7">
            <wp:simplePos x="0" y="0"/>
            <wp:positionH relativeFrom="column">
              <wp:posOffset>5080</wp:posOffset>
            </wp:positionH>
            <wp:positionV relativeFrom="paragraph">
              <wp:posOffset>38100</wp:posOffset>
            </wp:positionV>
            <wp:extent cx="7132320" cy="1714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CDAEAD3" w14:textId="77777777" w:rsidR="00D1587D" w:rsidRDefault="00D1587D">
      <w:pPr>
        <w:sectPr w:rsidR="00D1587D">
          <w:pgSz w:w="11900" w:h="16838"/>
          <w:pgMar w:top="604" w:right="359" w:bottom="1440" w:left="320" w:header="0" w:footer="0" w:gutter="0"/>
          <w:cols w:space="720" w:equalWidth="0">
            <w:col w:w="11220"/>
          </w:cols>
        </w:sectPr>
      </w:pPr>
    </w:p>
    <w:p w14:paraId="356F7087" w14:textId="77777777" w:rsidR="00D1587D" w:rsidRDefault="00410D07">
      <w:pPr>
        <w:numPr>
          <w:ilvl w:val="0"/>
          <w:numId w:val="61"/>
        </w:numPr>
        <w:tabs>
          <w:tab w:val="left" w:pos="1630"/>
        </w:tabs>
        <w:spacing w:line="273" w:lineRule="auto"/>
        <w:ind w:firstLine="850"/>
        <w:rPr>
          <w:rFonts w:ascii="Arial" w:eastAsia="Arial" w:hAnsi="Arial" w:cs="Arial"/>
          <w:sz w:val="19"/>
          <w:szCs w:val="19"/>
        </w:rPr>
      </w:pPr>
      <w:bookmarkStart w:id="97" w:name="page98"/>
      <w:bookmarkEnd w:id="97"/>
      <w:r>
        <w:rPr>
          <w:rFonts w:ascii="Arial" w:eastAsia="Arial" w:hAnsi="Arial" w:cs="Arial"/>
          <w:sz w:val="19"/>
          <w:szCs w:val="19"/>
        </w:rPr>
        <w:t xml:space="preserve">The parties </w:t>
      </w:r>
      <w:r>
        <w:rPr>
          <w:rFonts w:ascii="Arial" w:eastAsia="Arial" w:hAnsi="Arial" w:cs="Arial"/>
          <w:sz w:val="19"/>
          <w:szCs w:val="19"/>
        </w:rPr>
        <w:t>hereto intend and agree that this Agreement provides for the orderly and efficient transition of the VS Business to stand-alone functionality and that the methods of calculation of the Service Fees hereunder shall permit the Service Provider (or its Affili</w:t>
      </w:r>
      <w:r>
        <w:rPr>
          <w:rFonts w:ascii="Arial" w:eastAsia="Arial" w:hAnsi="Arial" w:cs="Arial"/>
          <w:sz w:val="19"/>
          <w:szCs w:val="19"/>
        </w:rPr>
        <w:t>ates, if so designated) to receive full reimbursement for all overhead, administrative and supervisory costs and expenses incurred directly or indirectly by the Service Provider Parties in connection with the provision of the Services consistent with the m</w:t>
      </w:r>
      <w:r>
        <w:rPr>
          <w:rFonts w:ascii="Arial" w:eastAsia="Arial" w:hAnsi="Arial" w:cs="Arial"/>
          <w:sz w:val="19"/>
          <w:szCs w:val="19"/>
        </w:rPr>
        <w:t>anner in which the Service Provider Party charges and/or receives reimbursement from its Affiliates from time to time (including one or more of the Cost Components, together with any other amounts agreed to by the parties hereto) as provided in the applica</w:t>
      </w:r>
      <w:r>
        <w:rPr>
          <w:rFonts w:ascii="Arial" w:eastAsia="Arial" w:hAnsi="Arial" w:cs="Arial"/>
          <w:sz w:val="19"/>
          <w:szCs w:val="19"/>
        </w:rPr>
        <w:t>ble Service Schedule or as otherwise agreed by the parties hereto. It is further understood and agreed that when any Service Fees for Services hereunder are to be determined or agreed upon by Service Provider and VS (whether before or after the Distributio</w:t>
      </w:r>
      <w:r>
        <w:rPr>
          <w:rFonts w:ascii="Arial" w:eastAsia="Arial" w:hAnsi="Arial" w:cs="Arial"/>
          <w:sz w:val="19"/>
          <w:szCs w:val="19"/>
        </w:rPr>
        <w:t>n Time), such Service Fees shall, except as otherwise set forth in this Agreement, in all events include all pertinent Cost Components and any other amounts therefor mutually agreed to by the parties hereto, including any Administrative Charge to the exten</w:t>
      </w:r>
      <w:r>
        <w:rPr>
          <w:rFonts w:ascii="Arial" w:eastAsia="Arial" w:hAnsi="Arial" w:cs="Arial"/>
          <w:sz w:val="19"/>
          <w:szCs w:val="19"/>
        </w:rPr>
        <w:t>t expressly set forth in the Service Schedule.</w:t>
      </w:r>
    </w:p>
    <w:p w14:paraId="0F3CB6A6" w14:textId="77777777" w:rsidR="00D1587D" w:rsidRDefault="00D1587D">
      <w:pPr>
        <w:spacing w:line="182" w:lineRule="exact"/>
        <w:rPr>
          <w:sz w:val="20"/>
          <w:szCs w:val="20"/>
        </w:rPr>
      </w:pPr>
    </w:p>
    <w:p w14:paraId="2737BC59" w14:textId="77777777" w:rsidR="00D1587D" w:rsidRDefault="00410D07">
      <w:pPr>
        <w:spacing w:line="244" w:lineRule="auto"/>
        <w:ind w:right="20" w:firstLine="648"/>
        <w:rPr>
          <w:sz w:val="20"/>
          <w:szCs w:val="20"/>
        </w:rPr>
      </w:pPr>
      <w:r>
        <w:rPr>
          <w:rFonts w:ascii="Arial" w:eastAsia="Arial" w:hAnsi="Arial" w:cs="Arial"/>
          <w:sz w:val="21"/>
          <w:szCs w:val="21"/>
        </w:rPr>
        <w:t xml:space="preserve">Section 3.02. </w:t>
      </w:r>
      <w:r>
        <w:rPr>
          <w:rFonts w:ascii="Arial" w:eastAsia="Arial" w:hAnsi="Arial" w:cs="Arial"/>
          <w:i/>
          <w:iCs/>
          <w:sz w:val="21"/>
          <w:szCs w:val="21"/>
        </w:rPr>
        <w:t>Customary Billing</w:t>
      </w:r>
      <w:r>
        <w:rPr>
          <w:rFonts w:ascii="Arial" w:eastAsia="Arial" w:hAnsi="Arial" w:cs="Arial"/>
          <w:sz w:val="21"/>
          <w:szCs w:val="21"/>
        </w:rPr>
        <w:t>. The Service Fees to which the Customary Billing method applies shall, subject to Section 3.01(c) and (d), be calculated on a basis that is substantially equivalent to the basi</w:t>
      </w:r>
      <w:r>
        <w:rPr>
          <w:rFonts w:ascii="Arial" w:eastAsia="Arial" w:hAnsi="Arial" w:cs="Arial"/>
          <w:sz w:val="21"/>
          <w:szCs w:val="21"/>
        </w:rPr>
        <w:t>s on which costs are attributed (whether through direct or indirect charges, allocations or otherwise) from time to time, now or in the future, to other companies or businesses operated by Service Provider for the same or comparable services (including one</w:t>
      </w:r>
      <w:r>
        <w:rPr>
          <w:rFonts w:ascii="Arial" w:eastAsia="Arial" w:hAnsi="Arial" w:cs="Arial"/>
          <w:sz w:val="21"/>
          <w:szCs w:val="21"/>
        </w:rPr>
        <w:t xml:space="preserve"> or more of the Cost Components); </w:t>
      </w:r>
      <w:r>
        <w:rPr>
          <w:rFonts w:ascii="Arial" w:eastAsia="Arial" w:hAnsi="Arial" w:cs="Arial"/>
          <w:i/>
          <w:iCs/>
          <w:sz w:val="21"/>
          <w:szCs w:val="21"/>
        </w:rPr>
        <w:t>provided</w:t>
      </w:r>
      <w:r>
        <w:rPr>
          <w:rFonts w:ascii="Arial" w:eastAsia="Arial" w:hAnsi="Arial" w:cs="Arial"/>
          <w:sz w:val="21"/>
          <w:szCs w:val="21"/>
        </w:rPr>
        <w:t>, that (i) in respect of any particular Services, if Service Provider does not generally attribute costs associated with the</w:t>
      </w:r>
      <w:r>
        <w:rPr>
          <w:rFonts w:ascii="Arial" w:eastAsia="Arial" w:hAnsi="Arial" w:cs="Arial"/>
          <w:i/>
          <w:iCs/>
          <w:sz w:val="21"/>
          <w:szCs w:val="21"/>
        </w:rPr>
        <w:t xml:space="preserve"> </w:t>
      </w:r>
      <w:r>
        <w:rPr>
          <w:rFonts w:ascii="Arial" w:eastAsia="Arial" w:hAnsi="Arial" w:cs="Arial"/>
          <w:sz w:val="21"/>
          <w:szCs w:val="21"/>
        </w:rPr>
        <w:t>same or comparable services to other companies or businesses operated by Service Provider</w:t>
      </w:r>
      <w:r>
        <w:rPr>
          <w:rFonts w:ascii="Arial" w:eastAsia="Arial" w:hAnsi="Arial" w:cs="Arial"/>
          <w:sz w:val="21"/>
          <w:szCs w:val="21"/>
        </w:rPr>
        <w:t xml:space="preserve"> as provided above, then the Customary Billing method for such Services shall be equivalent to the market value of all Services provided by Service Provider personnel and other Persons (including all Cost Components) which are reasonably allocable to the p</w:t>
      </w:r>
      <w:r>
        <w:rPr>
          <w:rFonts w:ascii="Arial" w:eastAsia="Arial" w:hAnsi="Arial" w:cs="Arial"/>
          <w:sz w:val="21"/>
          <w:szCs w:val="21"/>
        </w:rPr>
        <w:t>rovision of such Services to the Service Recipients and (ii) if Service Provider provides financial relief from time to time to any companies or businesses operated by Service Provider with respect to any costs, fees, expenses and/or allocations that are o</w:t>
      </w:r>
      <w:r>
        <w:rPr>
          <w:rFonts w:ascii="Arial" w:eastAsia="Arial" w:hAnsi="Arial" w:cs="Arial"/>
          <w:sz w:val="21"/>
          <w:szCs w:val="21"/>
        </w:rPr>
        <w:t>therwise generally allocated to or paid by companies or businesses operated by Service Provider, the Service Recipients shall not be entitled to the same financial relief.</w:t>
      </w:r>
    </w:p>
    <w:p w14:paraId="20416518" w14:textId="77777777" w:rsidR="00D1587D" w:rsidRDefault="00D1587D">
      <w:pPr>
        <w:spacing w:line="213" w:lineRule="exact"/>
        <w:rPr>
          <w:sz w:val="20"/>
          <w:szCs w:val="20"/>
        </w:rPr>
      </w:pPr>
    </w:p>
    <w:p w14:paraId="07D01D7E" w14:textId="77777777" w:rsidR="00D1587D" w:rsidRDefault="00410D07">
      <w:pPr>
        <w:spacing w:line="238" w:lineRule="auto"/>
        <w:ind w:right="120" w:firstLine="648"/>
        <w:rPr>
          <w:sz w:val="20"/>
          <w:szCs w:val="20"/>
        </w:rPr>
      </w:pPr>
      <w:r>
        <w:rPr>
          <w:rFonts w:ascii="Arial" w:eastAsia="Arial" w:hAnsi="Arial" w:cs="Arial"/>
        </w:rPr>
        <w:t xml:space="preserve">Section 3.03. </w:t>
      </w:r>
      <w:r>
        <w:rPr>
          <w:rFonts w:ascii="Arial" w:eastAsia="Arial" w:hAnsi="Arial" w:cs="Arial"/>
          <w:i/>
          <w:iCs/>
        </w:rPr>
        <w:t>Pass-Through Billing</w:t>
      </w:r>
      <w:r>
        <w:rPr>
          <w:rFonts w:ascii="Arial" w:eastAsia="Arial" w:hAnsi="Arial" w:cs="Arial"/>
        </w:rPr>
        <w:t>. The costs of Services to which the Pass-Through</w:t>
      </w:r>
      <w:r>
        <w:rPr>
          <w:rFonts w:ascii="Arial" w:eastAsia="Arial" w:hAnsi="Arial" w:cs="Arial"/>
        </w:rPr>
        <w:t xml:space="preserve"> Billing method applies shall, subject to Section 3.01(c) and (d), be equal to the aggregate amount of the third-party costs and expenses incurred (which costs shall include but not be limited to adjustments for attributable rebates and Third Party Consent</w:t>
      </w:r>
      <w:r>
        <w:rPr>
          <w:rFonts w:ascii="Arial" w:eastAsia="Arial" w:hAnsi="Arial" w:cs="Arial"/>
        </w:rPr>
        <w:t xml:space="preserve"> Costs) by any Service Provider Party on behalf of the Service Recipients.</w:t>
      </w:r>
    </w:p>
    <w:p w14:paraId="56082118" w14:textId="77777777" w:rsidR="00D1587D" w:rsidRDefault="00D1587D">
      <w:pPr>
        <w:spacing w:line="212" w:lineRule="exact"/>
        <w:rPr>
          <w:sz w:val="20"/>
          <w:szCs w:val="20"/>
        </w:rPr>
      </w:pPr>
    </w:p>
    <w:p w14:paraId="10EA8A03" w14:textId="77777777" w:rsidR="00D1587D" w:rsidRDefault="00410D07">
      <w:pPr>
        <w:spacing w:line="273" w:lineRule="auto"/>
        <w:ind w:right="60" w:firstLine="648"/>
        <w:rPr>
          <w:sz w:val="20"/>
          <w:szCs w:val="20"/>
        </w:rPr>
      </w:pPr>
      <w:r>
        <w:rPr>
          <w:rFonts w:ascii="Arial" w:eastAsia="Arial" w:hAnsi="Arial" w:cs="Arial"/>
          <w:sz w:val="19"/>
          <w:szCs w:val="19"/>
        </w:rPr>
        <w:t xml:space="preserve">Section 3.04. </w:t>
      </w:r>
      <w:r>
        <w:rPr>
          <w:rFonts w:ascii="Arial" w:eastAsia="Arial" w:hAnsi="Arial" w:cs="Arial"/>
          <w:i/>
          <w:iCs/>
          <w:sz w:val="19"/>
          <w:szCs w:val="19"/>
        </w:rPr>
        <w:t>Percent of Sales Billing</w:t>
      </w:r>
      <w:r>
        <w:rPr>
          <w:rFonts w:ascii="Arial" w:eastAsia="Arial" w:hAnsi="Arial" w:cs="Arial"/>
          <w:sz w:val="19"/>
          <w:szCs w:val="19"/>
        </w:rPr>
        <w:t>. The costs of Services to which the Percent-of-Sales Billing method applies shall, subject to Section 3.01(c) and (d), be equal to the amount</w:t>
      </w:r>
      <w:r>
        <w:rPr>
          <w:rFonts w:ascii="Arial" w:eastAsia="Arial" w:hAnsi="Arial" w:cs="Arial"/>
          <w:sz w:val="19"/>
          <w:szCs w:val="19"/>
        </w:rPr>
        <w:t xml:space="preserve"> obtained by multiplying (x) the aggregate cost incurred each month by the Service Provider and its Affiliates in providing such Services to one or more businesses of Service Provider or its Affiliates and to all Service Recipients by (y) the Net Sales Rat</w:t>
      </w:r>
      <w:r>
        <w:rPr>
          <w:rFonts w:ascii="Arial" w:eastAsia="Arial" w:hAnsi="Arial" w:cs="Arial"/>
          <w:sz w:val="19"/>
          <w:szCs w:val="19"/>
        </w:rPr>
        <w:t>io for such month. “</w:t>
      </w:r>
      <w:r>
        <w:rPr>
          <w:rFonts w:ascii="Arial" w:eastAsia="Arial" w:hAnsi="Arial" w:cs="Arial"/>
          <w:b/>
          <w:bCs/>
          <w:sz w:val="19"/>
          <w:szCs w:val="19"/>
        </w:rPr>
        <w:t>Net Sales Ratio</w:t>
      </w:r>
      <w:r>
        <w:rPr>
          <w:rFonts w:ascii="Arial" w:eastAsia="Arial" w:hAnsi="Arial" w:cs="Arial"/>
          <w:sz w:val="19"/>
          <w:szCs w:val="19"/>
        </w:rPr>
        <w:t>” means the net sales of the applicable Service Recipients for a particular month divided by the aggregate net sales of all businesses of Service Provider, combined with (i) the net sales of the Service Recipient to which</w:t>
      </w:r>
      <w:r>
        <w:rPr>
          <w:rFonts w:ascii="Arial" w:eastAsia="Arial" w:hAnsi="Arial" w:cs="Arial"/>
          <w:sz w:val="19"/>
          <w:szCs w:val="19"/>
        </w:rPr>
        <w:t xml:space="preserve"> costs for such month are being allocated and (ii) the net sales of any Service Recipient other than the Service Recipient identified in clause (i) receiving such Services to which costs for such month are being allocated. In order to permit Service Provid</w:t>
      </w:r>
      <w:r>
        <w:rPr>
          <w:rFonts w:ascii="Arial" w:eastAsia="Arial" w:hAnsi="Arial" w:cs="Arial"/>
          <w:sz w:val="19"/>
          <w:szCs w:val="19"/>
        </w:rPr>
        <w:t>er to calculate the billing method provided for in this Section 3.04 (and for no other purpose), the applicable Service Recipient shall provide Service Provider with all reasonably necessary sales information not later than the close of business on the fir</w:t>
      </w:r>
      <w:r>
        <w:rPr>
          <w:rFonts w:ascii="Arial" w:eastAsia="Arial" w:hAnsi="Arial" w:cs="Arial"/>
          <w:sz w:val="19"/>
          <w:szCs w:val="19"/>
        </w:rPr>
        <w:t>st Business Day immediately following such calendar month.</w:t>
      </w:r>
    </w:p>
    <w:p w14:paraId="10BD44F9" w14:textId="77777777" w:rsidR="00D1587D" w:rsidRDefault="00D1587D">
      <w:pPr>
        <w:spacing w:line="188" w:lineRule="exact"/>
        <w:rPr>
          <w:sz w:val="20"/>
          <w:szCs w:val="20"/>
        </w:rPr>
      </w:pPr>
    </w:p>
    <w:p w14:paraId="480BBA8E" w14:textId="77777777" w:rsidR="00D1587D" w:rsidRDefault="00410D07">
      <w:pPr>
        <w:spacing w:line="250" w:lineRule="auto"/>
        <w:ind w:right="140" w:firstLine="648"/>
        <w:rPr>
          <w:sz w:val="20"/>
          <w:szCs w:val="20"/>
        </w:rPr>
      </w:pPr>
      <w:r>
        <w:rPr>
          <w:rFonts w:ascii="Arial" w:eastAsia="Arial" w:hAnsi="Arial" w:cs="Arial"/>
        </w:rPr>
        <w:t xml:space="preserve">Section 3.05. </w:t>
      </w:r>
      <w:r>
        <w:rPr>
          <w:rFonts w:ascii="Arial" w:eastAsia="Arial" w:hAnsi="Arial" w:cs="Arial"/>
          <w:i/>
          <w:iCs/>
        </w:rPr>
        <w:t>Fixed Fee Billing.</w:t>
      </w:r>
      <w:r>
        <w:rPr>
          <w:rFonts w:ascii="Arial" w:eastAsia="Arial" w:hAnsi="Arial" w:cs="Arial"/>
        </w:rPr>
        <w:t xml:space="preserve"> The cost of Services to which the Fixed Fee Billing method applies shall be in the amount set forth in the applicable Service Schedule.</w:t>
      </w:r>
    </w:p>
    <w:p w14:paraId="0500B8F9" w14:textId="77777777" w:rsidR="00D1587D" w:rsidRDefault="00D1587D">
      <w:pPr>
        <w:spacing w:line="137" w:lineRule="exact"/>
        <w:rPr>
          <w:sz w:val="20"/>
          <w:szCs w:val="20"/>
        </w:rPr>
      </w:pPr>
    </w:p>
    <w:p w14:paraId="07C4E4B4" w14:textId="77777777" w:rsidR="00D1587D" w:rsidRDefault="00410D07">
      <w:pPr>
        <w:ind w:right="-39"/>
        <w:jc w:val="center"/>
        <w:rPr>
          <w:sz w:val="20"/>
          <w:szCs w:val="20"/>
        </w:rPr>
      </w:pPr>
      <w:r>
        <w:rPr>
          <w:rFonts w:ascii="Arial" w:eastAsia="Arial" w:hAnsi="Arial" w:cs="Arial"/>
          <w:sz w:val="14"/>
          <w:szCs w:val="14"/>
        </w:rPr>
        <w:t>9</w:t>
      </w:r>
    </w:p>
    <w:p w14:paraId="2786825E" w14:textId="77777777" w:rsidR="00D1587D" w:rsidRDefault="00410D07">
      <w:pPr>
        <w:spacing w:line="20" w:lineRule="exact"/>
        <w:rPr>
          <w:sz w:val="20"/>
          <w:szCs w:val="20"/>
        </w:rPr>
      </w:pPr>
      <w:r>
        <w:rPr>
          <w:noProof/>
          <w:sz w:val="20"/>
          <w:szCs w:val="20"/>
        </w:rPr>
        <w:drawing>
          <wp:anchor distT="0" distB="0" distL="114300" distR="114300" simplePos="0" relativeHeight="251246592" behindDoc="1" locked="0" layoutInCell="0" allowOverlap="1" wp14:anchorId="340D797B" wp14:editId="03FA3D60">
            <wp:simplePos x="0" y="0"/>
            <wp:positionH relativeFrom="column">
              <wp:posOffset>5080</wp:posOffset>
            </wp:positionH>
            <wp:positionV relativeFrom="paragraph">
              <wp:posOffset>38100</wp:posOffset>
            </wp:positionV>
            <wp:extent cx="7132320" cy="1714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E4413BB" w14:textId="77777777" w:rsidR="00D1587D" w:rsidRDefault="00D1587D">
      <w:pPr>
        <w:sectPr w:rsidR="00D1587D">
          <w:pgSz w:w="11900" w:h="16838"/>
          <w:pgMar w:top="361" w:right="359" w:bottom="1440" w:left="320" w:header="0" w:footer="0" w:gutter="0"/>
          <w:cols w:space="720" w:equalWidth="0">
            <w:col w:w="11220"/>
          </w:cols>
        </w:sectPr>
      </w:pPr>
    </w:p>
    <w:p w14:paraId="44B5E6FE" w14:textId="77777777" w:rsidR="00D1587D" w:rsidRDefault="00410D07">
      <w:pPr>
        <w:spacing w:line="235" w:lineRule="auto"/>
        <w:ind w:right="60" w:firstLine="648"/>
        <w:rPr>
          <w:sz w:val="20"/>
          <w:szCs w:val="20"/>
        </w:rPr>
      </w:pPr>
      <w:bookmarkStart w:id="98" w:name="page99"/>
      <w:bookmarkEnd w:id="98"/>
      <w:r>
        <w:rPr>
          <w:rFonts w:ascii="Arial" w:eastAsia="Arial" w:hAnsi="Arial" w:cs="Arial"/>
        </w:rPr>
        <w:t xml:space="preserve">Section 3.06. </w:t>
      </w:r>
      <w:r>
        <w:rPr>
          <w:rFonts w:ascii="Arial" w:eastAsia="Arial" w:hAnsi="Arial" w:cs="Arial"/>
          <w:i/>
          <w:iCs/>
        </w:rPr>
        <w:t>Invoicing of Fees</w:t>
      </w:r>
      <w:r>
        <w:rPr>
          <w:rFonts w:ascii="Arial" w:eastAsia="Arial" w:hAnsi="Arial" w:cs="Arial"/>
        </w:rPr>
        <w:t>. (a) Service Provider shall invoice, or shall cause the applic</w:t>
      </w:r>
      <w:r>
        <w:rPr>
          <w:rFonts w:ascii="Arial" w:eastAsia="Arial" w:hAnsi="Arial" w:cs="Arial"/>
        </w:rPr>
        <w:t>able Service Provider Party to invoice, VS on a monthly basis (not later than the fifteenth day of the following month), for the Service Costs and any applicable Disengagement Costs incurred in the prior month, including reasonable supporting data. Service</w:t>
      </w:r>
      <w:r>
        <w:rPr>
          <w:rFonts w:ascii="Arial" w:eastAsia="Arial" w:hAnsi="Arial" w:cs="Arial"/>
        </w:rPr>
        <w:t xml:space="preserve"> Provider shall use its commercially reasonable efforts to cause invoices to be presented to VS on the schedule set forth in this Section 3.06, but no delay in presentation of an invoice shall affect VS’s obligation to pay the full amount of such invoice, </w:t>
      </w:r>
      <w:r>
        <w:rPr>
          <w:rFonts w:ascii="Arial" w:eastAsia="Arial" w:hAnsi="Arial" w:cs="Arial"/>
        </w:rPr>
        <w:t>when presented, on the terms set forth herein.</w:t>
      </w:r>
    </w:p>
    <w:p w14:paraId="116B7412" w14:textId="77777777" w:rsidR="00D1587D" w:rsidRDefault="00D1587D">
      <w:pPr>
        <w:spacing w:line="215" w:lineRule="exact"/>
        <w:rPr>
          <w:sz w:val="20"/>
          <w:szCs w:val="20"/>
        </w:rPr>
      </w:pPr>
    </w:p>
    <w:p w14:paraId="62508930" w14:textId="77777777" w:rsidR="00D1587D" w:rsidRDefault="00410D07">
      <w:pPr>
        <w:numPr>
          <w:ilvl w:val="0"/>
          <w:numId w:val="62"/>
        </w:numPr>
        <w:tabs>
          <w:tab w:val="left" w:pos="1634"/>
        </w:tabs>
        <w:spacing w:line="238" w:lineRule="auto"/>
        <w:ind w:right="240" w:firstLine="850"/>
        <w:rPr>
          <w:rFonts w:ascii="Arial" w:eastAsia="Arial" w:hAnsi="Arial" w:cs="Arial"/>
        </w:rPr>
      </w:pPr>
      <w:r>
        <w:rPr>
          <w:rFonts w:ascii="Arial" w:eastAsia="Arial" w:hAnsi="Arial" w:cs="Arial"/>
        </w:rPr>
        <w:t>Except as specifically provided on the applicable Service Schedule, VS shall pay, or shall cause to be paid, each invoice delivered pursuant to Section 3.06(a) on or before the date (each, a “</w:t>
      </w:r>
      <w:r>
        <w:rPr>
          <w:rFonts w:ascii="Arial" w:eastAsia="Arial" w:hAnsi="Arial" w:cs="Arial"/>
          <w:b/>
          <w:bCs/>
        </w:rPr>
        <w:t>Payment Date</w:t>
      </w:r>
      <w:r>
        <w:rPr>
          <w:rFonts w:ascii="Arial" w:eastAsia="Arial" w:hAnsi="Arial" w:cs="Arial"/>
        </w:rPr>
        <w:t xml:space="preserve">”) </w:t>
      </w:r>
      <w:r>
        <w:rPr>
          <w:rFonts w:ascii="Arial" w:eastAsia="Arial" w:hAnsi="Arial" w:cs="Arial"/>
        </w:rPr>
        <w:t>that is 30 days after the date of receipt of such invoice. Such payments shall be made by wire transfer of immediately available funds to an account designated by Service Provider.</w:t>
      </w:r>
    </w:p>
    <w:p w14:paraId="46ABEE8C" w14:textId="77777777" w:rsidR="00D1587D" w:rsidRDefault="00D1587D">
      <w:pPr>
        <w:spacing w:line="211" w:lineRule="exact"/>
        <w:rPr>
          <w:rFonts w:ascii="Arial" w:eastAsia="Arial" w:hAnsi="Arial" w:cs="Arial"/>
        </w:rPr>
      </w:pPr>
    </w:p>
    <w:p w14:paraId="4CEB5137" w14:textId="77777777" w:rsidR="00D1587D" w:rsidRDefault="00410D07">
      <w:pPr>
        <w:numPr>
          <w:ilvl w:val="0"/>
          <w:numId w:val="62"/>
        </w:numPr>
        <w:tabs>
          <w:tab w:val="left" w:pos="1622"/>
        </w:tabs>
        <w:spacing w:line="245" w:lineRule="auto"/>
        <w:ind w:right="60" w:firstLine="850"/>
        <w:rPr>
          <w:rFonts w:ascii="Arial" w:eastAsia="Arial" w:hAnsi="Arial" w:cs="Arial"/>
          <w:sz w:val="21"/>
          <w:szCs w:val="21"/>
        </w:rPr>
      </w:pPr>
      <w:r>
        <w:rPr>
          <w:rFonts w:ascii="Arial" w:eastAsia="Arial" w:hAnsi="Arial" w:cs="Arial"/>
          <w:sz w:val="21"/>
          <w:szCs w:val="21"/>
        </w:rPr>
        <w:t>If VS fails to pay the full amount of any invoice under this Agreement wit</w:t>
      </w:r>
      <w:r>
        <w:rPr>
          <w:rFonts w:ascii="Arial" w:eastAsia="Arial" w:hAnsi="Arial" w:cs="Arial"/>
          <w:sz w:val="21"/>
          <w:szCs w:val="21"/>
        </w:rPr>
        <w:t>hin 15 days of the applicable Payment Date, VS shall be obligated to pay, in addition to the amount due on such Payment Date, interest on such amount at the rate of 12% per annum, compounded monthly from the applicable Payment Date through the date of paym</w:t>
      </w:r>
      <w:r>
        <w:rPr>
          <w:rFonts w:ascii="Arial" w:eastAsia="Arial" w:hAnsi="Arial" w:cs="Arial"/>
          <w:sz w:val="21"/>
          <w:szCs w:val="21"/>
        </w:rPr>
        <w:t xml:space="preserve">ent; </w:t>
      </w:r>
      <w:r>
        <w:rPr>
          <w:rFonts w:ascii="Arial" w:eastAsia="Arial" w:hAnsi="Arial" w:cs="Arial"/>
          <w:i/>
          <w:iCs/>
          <w:sz w:val="21"/>
          <w:szCs w:val="21"/>
        </w:rPr>
        <w:t>provided</w:t>
      </w:r>
      <w:r>
        <w:rPr>
          <w:rFonts w:ascii="Arial" w:eastAsia="Arial" w:hAnsi="Arial" w:cs="Arial"/>
          <w:sz w:val="21"/>
          <w:szCs w:val="21"/>
        </w:rPr>
        <w:t xml:space="preserve"> that such interest rate shall not exceed the maximum rate permitted by Applicable Law. All payments made shall be applied first to unpaid interest and then to amounts invoiced but unpaid. If VS fails to pay the full amount of any invoice with</w:t>
      </w:r>
      <w:r>
        <w:rPr>
          <w:rFonts w:ascii="Arial" w:eastAsia="Arial" w:hAnsi="Arial" w:cs="Arial"/>
          <w:sz w:val="21"/>
          <w:szCs w:val="21"/>
        </w:rPr>
        <w:t>in 30 days of the applicable Payment Date, such failure shall be considered a material breach of this Agreement, and to the extent the aggregate amount of such overdue unpaid invoices exceeds $1,000,000, Service Provider may, after 10 days’ prior notice to</w:t>
      </w:r>
      <w:r>
        <w:rPr>
          <w:rFonts w:ascii="Arial" w:eastAsia="Arial" w:hAnsi="Arial" w:cs="Arial"/>
          <w:sz w:val="21"/>
          <w:szCs w:val="21"/>
        </w:rPr>
        <w:t xml:space="preserve"> VS, elect to suspend, without liability, its obligations hereunder to cause to be provided any or all Services to VS until such time as such invoices have been paid in full.</w:t>
      </w:r>
    </w:p>
    <w:p w14:paraId="7A979B72" w14:textId="77777777" w:rsidR="00D1587D" w:rsidRDefault="00D1587D">
      <w:pPr>
        <w:spacing w:line="211" w:lineRule="exact"/>
        <w:rPr>
          <w:rFonts w:ascii="Arial" w:eastAsia="Arial" w:hAnsi="Arial" w:cs="Arial"/>
          <w:sz w:val="21"/>
          <w:szCs w:val="21"/>
        </w:rPr>
      </w:pPr>
    </w:p>
    <w:p w14:paraId="253356E8" w14:textId="77777777" w:rsidR="00D1587D" w:rsidRDefault="00410D07">
      <w:pPr>
        <w:numPr>
          <w:ilvl w:val="0"/>
          <w:numId w:val="62"/>
        </w:numPr>
        <w:tabs>
          <w:tab w:val="left" w:pos="1634"/>
        </w:tabs>
        <w:spacing w:line="235" w:lineRule="auto"/>
        <w:ind w:firstLine="850"/>
        <w:rPr>
          <w:rFonts w:ascii="Arial" w:eastAsia="Arial" w:hAnsi="Arial" w:cs="Arial"/>
        </w:rPr>
      </w:pPr>
      <w:r>
        <w:rPr>
          <w:rFonts w:ascii="Arial" w:eastAsia="Arial" w:hAnsi="Arial" w:cs="Arial"/>
        </w:rPr>
        <w:t>If any Service requires any Service Provider Party to make any payment to any th</w:t>
      </w:r>
      <w:r>
        <w:rPr>
          <w:rFonts w:ascii="Arial" w:eastAsia="Arial" w:hAnsi="Arial" w:cs="Arial"/>
        </w:rPr>
        <w:t>ird party on behalf of any Service Recipient or any of its Affiliates, VS shall deposit, by wire transfer of immediately available funds to an account designated by Service Provider, the amount of such payment at least one Business Day prior to the date on</w:t>
      </w:r>
      <w:r>
        <w:rPr>
          <w:rFonts w:ascii="Arial" w:eastAsia="Arial" w:hAnsi="Arial" w:cs="Arial"/>
        </w:rPr>
        <w:t xml:space="preserve"> which such payment is to be made; </w:t>
      </w:r>
      <w:r>
        <w:rPr>
          <w:rFonts w:ascii="Arial" w:eastAsia="Arial" w:hAnsi="Arial" w:cs="Arial"/>
          <w:i/>
          <w:iCs/>
        </w:rPr>
        <w:t>provided</w:t>
      </w:r>
      <w:r>
        <w:rPr>
          <w:rFonts w:ascii="Arial" w:eastAsia="Arial" w:hAnsi="Arial" w:cs="Arial"/>
        </w:rPr>
        <w:t xml:space="preserve"> that, notwithstanding anything to the contrary in this Agreement, Service Provider shall have no obligation to cause any such payment to be made unless and until VS deposits the full amount of any such payment in</w:t>
      </w:r>
      <w:r>
        <w:rPr>
          <w:rFonts w:ascii="Arial" w:eastAsia="Arial" w:hAnsi="Arial" w:cs="Arial"/>
        </w:rPr>
        <w:t xml:space="preserve"> accordance with this Section 3.06(d).</w:t>
      </w:r>
    </w:p>
    <w:p w14:paraId="3D99CABD" w14:textId="77777777" w:rsidR="00D1587D" w:rsidRDefault="00D1587D">
      <w:pPr>
        <w:spacing w:line="215" w:lineRule="exact"/>
        <w:rPr>
          <w:sz w:val="20"/>
          <w:szCs w:val="20"/>
        </w:rPr>
      </w:pPr>
    </w:p>
    <w:p w14:paraId="500380F0" w14:textId="77777777" w:rsidR="00D1587D" w:rsidRDefault="00410D07">
      <w:pPr>
        <w:spacing w:line="275" w:lineRule="auto"/>
        <w:ind w:right="80" w:firstLine="648"/>
        <w:rPr>
          <w:sz w:val="20"/>
          <w:szCs w:val="20"/>
        </w:rPr>
      </w:pPr>
      <w:r>
        <w:rPr>
          <w:rFonts w:ascii="Arial" w:eastAsia="Arial" w:hAnsi="Arial" w:cs="Arial"/>
          <w:sz w:val="19"/>
          <w:szCs w:val="19"/>
        </w:rPr>
        <w:t xml:space="preserve">Section 3.07. </w:t>
      </w:r>
      <w:r>
        <w:rPr>
          <w:rFonts w:ascii="Arial" w:eastAsia="Arial" w:hAnsi="Arial" w:cs="Arial"/>
          <w:i/>
          <w:iCs/>
          <w:sz w:val="19"/>
          <w:szCs w:val="19"/>
        </w:rPr>
        <w:t>Right to Set Off</w:t>
      </w:r>
      <w:r>
        <w:rPr>
          <w:rFonts w:ascii="Arial" w:eastAsia="Arial" w:hAnsi="Arial" w:cs="Arial"/>
          <w:sz w:val="19"/>
          <w:szCs w:val="19"/>
        </w:rPr>
        <w:t>. Notwithstanding anything in this Agreement or the VS to L Brands TSA to the contrary and without limiting any of VS’s or any of its Affiliates’ other remedies under contract or Applicable Law, VS shall have the right, but not the obligation, to set off a</w:t>
      </w:r>
      <w:r>
        <w:rPr>
          <w:rFonts w:ascii="Arial" w:eastAsia="Arial" w:hAnsi="Arial" w:cs="Arial"/>
          <w:sz w:val="19"/>
          <w:szCs w:val="19"/>
        </w:rPr>
        <w:t>ny payments that are past due by Service Provider or any member of the L Brands Group under the VS to L Brands TSA and not yet paid by Service Provider or any such L Brands Group member against any Service Fees that have become payable and not yet been pai</w:t>
      </w:r>
      <w:r>
        <w:rPr>
          <w:rFonts w:ascii="Arial" w:eastAsia="Arial" w:hAnsi="Arial" w:cs="Arial"/>
          <w:sz w:val="19"/>
          <w:szCs w:val="19"/>
        </w:rPr>
        <w:t xml:space="preserve">d by VS hereunder; </w:t>
      </w:r>
      <w:r>
        <w:rPr>
          <w:rFonts w:ascii="Arial" w:eastAsia="Arial" w:hAnsi="Arial" w:cs="Arial"/>
          <w:i/>
          <w:iCs/>
          <w:sz w:val="19"/>
          <w:szCs w:val="19"/>
        </w:rPr>
        <w:t>provided</w:t>
      </w:r>
      <w:r>
        <w:rPr>
          <w:rFonts w:ascii="Arial" w:eastAsia="Arial" w:hAnsi="Arial" w:cs="Arial"/>
          <w:sz w:val="19"/>
          <w:szCs w:val="19"/>
        </w:rPr>
        <w:t xml:space="preserve"> that such set off amount shall be identified in reasonable detail in the next applicable invoice sent to Service Provider. Except as set forth herein, VS hereby unconditionally and irrevocably waives any rights of set off, netti</w:t>
      </w:r>
      <w:r>
        <w:rPr>
          <w:rFonts w:ascii="Arial" w:eastAsia="Arial" w:hAnsi="Arial" w:cs="Arial"/>
          <w:sz w:val="19"/>
          <w:szCs w:val="19"/>
        </w:rPr>
        <w:t>ng, offset, recoupment, or similar right that VS has or may have with respect to the payment of the Service Fees or any other payments to be made by VS pursuant to this Agreement.</w:t>
      </w:r>
    </w:p>
    <w:p w14:paraId="31764D95" w14:textId="77777777" w:rsidR="00D1587D" w:rsidRDefault="00D1587D">
      <w:pPr>
        <w:spacing w:line="184" w:lineRule="exact"/>
        <w:rPr>
          <w:sz w:val="20"/>
          <w:szCs w:val="20"/>
        </w:rPr>
      </w:pPr>
    </w:p>
    <w:p w14:paraId="228B112A" w14:textId="77777777" w:rsidR="00D1587D" w:rsidRDefault="00410D07">
      <w:pPr>
        <w:spacing w:line="234" w:lineRule="auto"/>
        <w:ind w:right="20" w:firstLine="648"/>
        <w:rPr>
          <w:sz w:val="20"/>
          <w:szCs w:val="20"/>
        </w:rPr>
      </w:pPr>
      <w:r>
        <w:rPr>
          <w:rFonts w:ascii="Arial" w:eastAsia="Arial" w:hAnsi="Arial" w:cs="Arial"/>
        </w:rPr>
        <w:t xml:space="preserve">Section 3.08. </w:t>
      </w:r>
      <w:r>
        <w:rPr>
          <w:rFonts w:ascii="Arial" w:eastAsia="Arial" w:hAnsi="Arial" w:cs="Arial"/>
          <w:i/>
          <w:iCs/>
        </w:rPr>
        <w:t>Taxes.</w:t>
      </w:r>
      <w:r>
        <w:rPr>
          <w:rFonts w:ascii="Arial" w:eastAsia="Arial" w:hAnsi="Arial" w:cs="Arial"/>
        </w:rPr>
        <w:t xml:space="preserve"> (a) VS shall bear and pay all applicable sales, use, t</w:t>
      </w:r>
      <w:r>
        <w:rPr>
          <w:rFonts w:ascii="Arial" w:eastAsia="Arial" w:hAnsi="Arial" w:cs="Arial"/>
        </w:rPr>
        <w:t>ransaction, consumption, excise, services, value added, transfer, payroll, employment and other similar Taxes (and any related interest, penalty, addition to tax or additional amount imposed) incurred or imposed with respect to the provision of the Service</w:t>
      </w:r>
      <w:r>
        <w:rPr>
          <w:rFonts w:ascii="Arial" w:eastAsia="Arial" w:hAnsi="Arial" w:cs="Arial"/>
        </w:rPr>
        <w:t>s, to this Agreement or to any payment hereunder (“</w:t>
      </w:r>
      <w:r>
        <w:rPr>
          <w:rFonts w:ascii="Arial" w:eastAsia="Arial" w:hAnsi="Arial" w:cs="Arial"/>
          <w:b/>
          <w:bCs/>
        </w:rPr>
        <w:t>Service Taxes</w:t>
      </w:r>
      <w:r>
        <w:rPr>
          <w:rFonts w:ascii="Arial" w:eastAsia="Arial" w:hAnsi="Arial" w:cs="Arial"/>
        </w:rPr>
        <w:t>”), whether or not such Service Taxes are shown on any invoices. If any Service Provider Party pays any portion of such Service Taxes, VS shall reimburse such Service Provider Party within fiv</w:t>
      </w:r>
      <w:r>
        <w:rPr>
          <w:rFonts w:ascii="Arial" w:eastAsia="Arial" w:hAnsi="Arial" w:cs="Arial"/>
        </w:rPr>
        <w:t>e (5) days of receipt of evidence that such Service Taxes have been paid. Any Service Taxes shall be incremental to other payments or charges identified in this Agreement.</w:t>
      </w:r>
    </w:p>
    <w:p w14:paraId="4C1E4F66" w14:textId="77777777" w:rsidR="00D1587D" w:rsidRDefault="00D1587D">
      <w:pPr>
        <w:spacing w:line="153" w:lineRule="exact"/>
        <w:rPr>
          <w:sz w:val="20"/>
          <w:szCs w:val="20"/>
        </w:rPr>
      </w:pPr>
    </w:p>
    <w:p w14:paraId="41D8DF69" w14:textId="77777777" w:rsidR="00D1587D" w:rsidRDefault="00410D07">
      <w:pPr>
        <w:ind w:right="-19"/>
        <w:jc w:val="center"/>
        <w:rPr>
          <w:sz w:val="20"/>
          <w:szCs w:val="20"/>
        </w:rPr>
      </w:pPr>
      <w:r>
        <w:rPr>
          <w:rFonts w:ascii="Arial" w:eastAsia="Arial" w:hAnsi="Arial" w:cs="Arial"/>
          <w:sz w:val="14"/>
          <w:szCs w:val="14"/>
        </w:rPr>
        <w:t>10</w:t>
      </w:r>
    </w:p>
    <w:p w14:paraId="37FF9371" w14:textId="77777777" w:rsidR="00D1587D" w:rsidRDefault="00410D07">
      <w:pPr>
        <w:spacing w:line="20" w:lineRule="exact"/>
        <w:rPr>
          <w:sz w:val="20"/>
          <w:szCs w:val="20"/>
        </w:rPr>
      </w:pPr>
      <w:r>
        <w:rPr>
          <w:noProof/>
          <w:sz w:val="20"/>
          <w:szCs w:val="20"/>
        </w:rPr>
        <w:drawing>
          <wp:anchor distT="0" distB="0" distL="114300" distR="114300" simplePos="0" relativeHeight="251247616" behindDoc="1" locked="0" layoutInCell="0" allowOverlap="1" wp14:anchorId="32114F9D" wp14:editId="5D27F54D">
            <wp:simplePos x="0" y="0"/>
            <wp:positionH relativeFrom="column">
              <wp:posOffset>5080</wp:posOffset>
            </wp:positionH>
            <wp:positionV relativeFrom="paragraph">
              <wp:posOffset>38100</wp:posOffset>
            </wp:positionV>
            <wp:extent cx="7132320" cy="1714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2C816C9" w14:textId="77777777" w:rsidR="00D1587D" w:rsidRDefault="00D1587D">
      <w:pPr>
        <w:sectPr w:rsidR="00D1587D">
          <w:pgSz w:w="11900" w:h="16838"/>
          <w:pgMar w:top="361" w:right="339" w:bottom="1440" w:left="320" w:header="0" w:footer="0" w:gutter="0"/>
          <w:cols w:space="720" w:equalWidth="0">
            <w:col w:w="11240"/>
          </w:cols>
        </w:sectPr>
      </w:pPr>
    </w:p>
    <w:p w14:paraId="311F1AD3" w14:textId="77777777" w:rsidR="00D1587D" w:rsidRDefault="00410D07">
      <w:pPr>
        <w:numPr>
          <w:ilvl w:val="0"/>
          <w:numId w:val="63"/>
        </w:numPr>
        <w:tabs>
          <w:tab w:val="left" w:pos="1622"/>
        </w:tabs>
        <w:spacing w:line="246" w:lineRule="auto"/>
        <w:ind w:right="20" w:firstLine="850"/>
        <w:rPr>
          <w:rFonts w:ascii="Arial" w:eastAsia="Arial" w:hAnsi="Arial" w:cs="Arial"/>
          <w:sz w:val="21"/>
          <w:szCs w:val="21"/>
        </w:rPr>
      </w:pPr>
      <w:bookmarkStart w:id="99" w:name="page100"/>
      <w:bookmarkEnd w:id="99"/>
      <w:r>
        <w:rPr>
          <w:rFonts w:ascii="Arial" w:eastAsia="Arial" w:hAnsi="Arial" w:cs="Arial"/>
          <w:sz w:val="21"/>
          <w:szCs w:val="21"/>
        </w:rPr>
        <w:t xml:space="preserve">All sums payable under this Agreement shall be paid </w:t>
      </w:r>
      <w:r>
        <w:rPr>
          <w:rFonts w:ascii="Arial" w:eastAsia="Arial" w:hAnsi="Arial" w:cs="Arial"/>
          <w:sz w:val="21"/>
          <w:szCs w:val="21"/>
        </w:rPr>
        <w:t xml:space="preserve">free and clear of all deductions or withholdings unless such deduction or withholding is required by Applicable Law, in which event VS shall promptly inform the Service Provider Party of such required deduction or withholding and the amount of the payment </w:t>
      </w:r>
      <w:r>
        <w:rPr>
          <w:rFonts w:ascii="Arial" w:eastAsia="Arial" w:hAnsi="Arial" w:cs="Arial"/>
          <w:sz w:val="21"/>
          <w:szCs w:val="21"/>
        </w:rPr>
        <w:t>due from VS shall be increased to an amount that after any deduction or withholding leaves an amount equal to the payment that would have been due if no such deduction or withholding had been required. VS shall pay (or cause to be paid) such deducted or wi</w:t>
      </w:r>
      <w:r>
        <w:rPr>
          <w:rFonts w:ascii="Arial" w:eastAsia="Arial" w:hAnsi="Arial" w:cs="Arial"/>
          <w:sz w:val="21"/>
          <w:szCs w:val="21"/>
        </w:rPr>
        <w:t>thheld amounts over to the applicable Governmental Authority in accordance with the requirements of Applicable Law and provide the applicable Service Provider Party with an official receipt confirming payment.</w:t>
      </w:r>
    </w:p>
    <w:p w14:paraId="1154E985" w14:textId="77777777" w:rsidR="00D1587D" w:rsidRDefault="00D1587D">
      <w:pPr>
        <w:spacing w:line="211" w:lineRule="exact"/>
        <w:rPr>
          <w:sz w:val="20"/>
          <w:szCs w:val="20"/>
        </w:rPr>
      </w:pPr>
    </w:p>
    <w:p w14:paraId="018F5721" w14:textId="77777777" w:rsidR="00D1587D" w:rsidRDefault="00410D07">
      <w:pPr>
        <w:tabs>
          <w:tab w:val="left" w:pos="2300"/>
        </w:tabs>
        <w:ind w:left="660"/>
        <w:rPr>
          <w:sz w:val="20"/>
          <w:szCs w:val="20"/>
        </w:rPr>
      </w:pPr>
      <w:r>
        <w:rPr>
          <w:rFonts w:ascii="Arial" w:eastAsia="Arial" w:hAnsi="Arial" w:cs="Arial"/>
        </w:rPr>
        <w:t>Section 3.09.</w:t>
      </w:r>
      <w:r>
        <w:rPr>
          <w:sz w:val="20"/>
          <w:szCs w:val="20"/>
        </w:rPr>
        <w:tab/>
      </w:r>
      <w:r>
        <w:rPr>
          <w:rFonts w:ascii="Arial" w:eastAsia="Arial" w:hAnsi="Arial" w:cs="Arial"/>
          <w:i/>
          <w:iCs/>
          <w:sz w:val="19"/>
          <w:szCs w:val="19"/>
        </w:rPr>
        <w:t xml:space="preserve">Audits. </w:t>
      </w:r>
      <w:r>
        <w:rPr>
          <w:rFonts w:ascii="Arial" w:eastAsia="Arial" w:hAnsi="Arial" w:cs="Arial"/>
          <w:sz w:val="19"/>
          <w:szCs w:val="19"/>
        </w:rPr>
        <w:t xml:space="preserve">Throughout the term of </w:t>
      </w:r>
      <w:r>
        <w:rPr>
          <w:rFonts w:ascii="Arial" w:eastAsia="Arial" w:hAnsi="Arial" w:cs="Arial"/>
          <w:sz w:val="19"/>
          <w:szCs w:val="19"/>
        </w:rPr>
        <w:t>this Agreement and for one year thereafter, VS shall have the right</w:t>
      </w:r>
    </w:p>
    <w:p w14:paraId="730E4F39" w14:textId="77777777" w:rsidR="00D1587D" w:rsidRDefault="00D1587D">
      <w:pPr>
        <w:spacing w:line="8" w:lineRule="exact"/>
        <w:rPr>
          <w:sz w:val="20"/>
          <w:szCs w:val="20"/>
        </w:rPr>
      </w:pPr>
    </w:p>
    <w:p w14:paraId="07022D6E" w14:textId="77777777" w:rsidR="00D1587D" w:rsidRDefault="00410D07">
      <w:pPr>
        <w:rPr>
          <w:sz w:val="20"/>
          <w:szCs w:val="20"/>
        </w:rPr>
      </w:pPr>
      <w:r>
        <w:rPr>
          <w:rFonts w:ascii="Arial" w:eastAsia="Arial" w:hAnsi="Arial" w:cs="Arial"/>
          <w:sz w:val="19"/>
          <w:szCs w:val="19"/>
        </w:rPr>
        <w:t>once within each calendar year, at its own expense and on 30 days’ advance written notice to Service Provider, to have an</w:t>
      </w:r>
    </w:p>
    <w:p w14:paraId="79958D61" w14:textId="77777777" w:rsidR="00D1587D" w:rsidRDefault="00D1587D">
      <w:pPr>
        <w:spacing w:line="25" w:lineRule="exact"/>
        <w:rPr>
          <w:sz w:val="20"/>
          <w:szCs w:val="20"/>
        </w:rPr>
      </w:pPr>
    </w:p>
    <w:p w14:paraId="795DB9D2" w14:textId="77777777" w:rsidR="00D1587D" w:rsidRDefault="00410D07">
      <w:pPr>
        <w:rPr>
          <w:sz w:val="20"/>
          <w:szCs w:val="20"/>
        </w:rPr>
      </w:pPr>
      <w:r>
        <w:rPr>
          <w:rFonts w:ascii="Arial" w:eastAsia="Arial" w:hAnsi="Arial" w:cs="Arial"/>
          <w:sz w:val="19"/>
          <w:szCs w:val="19"/>
        </w:rPr>
        <w:t>independent auditor reasonably acceptable to Service Provider (a</w:t>
      </w:r>
      <w:r>
        <w:rPr>
          <w:rFonts w:ascii="Arial" w:eastAsia="Arial" w:hAnsi="Arial" w:cs="Arial"/>
          <w:sz w:val="19"/>
          <w:szCs w:val="19"/>
        </w:rPr>
        <w:t>nd who has executed an appropriate confidentiality agreement</w:t>
      </w:r>
    </w:p>
    <w:p w14:paraId="1BAEA999" w14:textId="77777777" w:rsidR="00D1587D" w:rsidRDefault="00D1587D">
      <w:pPr>
        <w:spacing w:line="25" w:lineRule="exact"/>
        <w:rPr>
          <w:sz w:val="20"/>
          <w:szCs w:val="20"/>
        </w:rPr>
      </w:pPr>
    </w:p>
    <w:p w14:paraId="16AD133F" w14:textId="77777777" w:rsidR="00D1587D" w:rsidRDefault="00410D07">
      <w:pPr>
        <w:rPr>
          <w:sz w:val="20"/>
          <w:szCs w:val="20"/>
        </w:rPr>
      </w:pPr>
      <w:r>
        <w:rPr>
          <w:rFonts w:ascii="Arial" w:eastAsia="Arial" w:hAnsi="Arial" w:cs="Arial"/>
          <w:sz w:val="19"/>
          <w:szCs w:val="19"/>
        </w:rPr>
        <w:t>reasonably acceptable to Service Provider) audit the books and records of Service Provider or any of its Affiliates for the sole</w:t>
      </w:r>
    </w:p>
    <w:p w14:paraId="08C8285D" w14:textId="77777777" w:rsidR="00D1587D" w:rsidRDefault="00D1587D">
      <w:pPr>
        <w:spacing w:line="25" w:lineRule="exact"/>
        <w:rPr>
          <w:sz w:val="20"/>
          <w:szCs w:val="20"/>
        </w:rPr>
      </w:pPr>
    </w:p>
    <w:p w14:paraId="01C12E69" w14:textId="77777777" w:rsidR="00D1587D" w:rsidRDefault="00410D07">
      <w:pPr>
        <w:rPr>
          <w:sz w:val="20"/>
          <w:szCs w:val="20"/>
        </w:rPr>
      </w:pPr>
      <w:r>
        <w:rPr>
          <w:rFonts w:ascii="Arial" w:eastAsia="Arial" w:hAnsi="Arial" w:cs="Arial"/>
          <w:sz w:val="21"/>
          <w:szCs w:val="21"/>
        </w:rPr>
        <w:t xml:space="preserve">purpose of certifying the accuracy of the Service Fees and </w:t>
      </w:r>
      <w:r>
        <w:rPr>
          <w:rFonts w:ascii="Arial" w:eastAsia="Arial" w:hAnsi="Arial" w:cs="Arial"/>
          <w:sz w:val="21"/>
          <w:szCs w:val="21"/>
        </w:rPr>
        <w:t>Cost Components charged by Service Provider to the Service</w:t>
      </w:r>
    </w:p>
    <w:p w14:paraId="6B1E3594" w14:textId="77777777" w:rsidR="00D1587D" w:rsidRDefault="00D1587D">
      <w:pPr>
        <w:spacing w:line="2" w:lineRule="exact"/>
        <w:rPr>
          <w:sz w:val="20"/>
          <w:szCs w:val="20"/>
        </w:rPr>
      </w:pPr>
    </w:p>
    <w:p w14:paraId="00FA5AE5" w14:textId="77777777" w:rsidR="00D1587D" w:rsidRDefault="00410D07">
      <w:pPr>
        <w:rPr>
          <w:sz w:val="20"/>
          <w:szCs w:val="20"/>
        </w:rPr>
      </w:pPr>
      <w:r>
        <w:rPr>
          <w:rFonts w:ascii="Arial" w:eastAsia="Arial" w:hAnsi="Arial" w:cs="Arial"/>
          <w:sz w:val="19"/>
          <w:szCs w:val="19"/>
        </w:rPr>
        <w:t xml:space="preserve">Recipients in accordance with the terms of this Agreement for the preceding calendar year; </w:t>
      </w:r>
      <w:r>
        <w:rPr>
          <w:rFonts w:ascii="Arial" w:eastAsia="Arial" w:hAnsi="Arial" w:cs="Arial"/>
          <w:i/>
          <w:iCs/>
          <w:sz w:val="19"/>
          <w:szCs w:val="19"/>
        </w:rPr>
        <w:t>provided</w:t>
      </w:r>
      <w:r>
        <w:rPr>
          <w:rFonts w:ascii="Arial" w:eastAsia="Arial" w:hAnsi="Arial" w:cs="Arial"/>
          <w:sz w:val="19"/>
          <w:szCs w:val="19"/>
        </w:rPr>
        <w:t xml:space="preserve"> that (i) any such audit shall</w:t>
      </w:r>
    </w:p>
    <w:p w14:paraId="1F7DAB6E" w14:textId="77777777" w:rsidR="00D1587D" w:rsidRDefault="00D1587D">
      <w:pPr>
        <w:spacing w:line="25" w:lineRule="exact"/>
        <w:rPr>
          <w:sz w:val="20"/>
          <w:szCs w:val="20"/>
        </w:rPr>
      </w:pPr>
    </w:p>
    <w:p w14:paraId="33266332" w14:textId="77777777" w:rsidR="00D1587D" w:rsidRDefault="00410D07">
      <w:pPr>
        <w:rPr>
          <w:sz w:val="20"/>
          <w:szCs w:val="20"/>
        </w:rPr>
      </w:pPr>
      <w:r>
        <w:rPr>
          <w:rFonts w:ascii="Arial" w:eastAsia="Arial" w:hAnsi="Arial" w:cs="Arial"/>
          <w:sz w:val="19"/>
          <w:szCs w:val="19"/>
        </w:rPr>
        <w:t xml:space="preserve">take place during reasonable business hours on a mutually agreed </w:t>
      </w:r>
      <w:r>
        <w:rPr>
          <w:rFonts w:ascii="Arial" w:eastAsia="Arial" w:hAnsi="Arial" w:cs="Arial"/>
          <w:sz w:val="19"/>
          <w:szCs w:val="19"/>
        </w:rPr>
        <w:t>upon date, (ii) such auditor shall in no event be entitled to any</w:t>
      </w:r>
    </w:p>
    <w:p w14:paraId="62B83809" w14:textId="77777777" w:rsidR="00D1587D" w:rsidRDefault="00D1587D">
      <w:pPr>
        <w:spacing w:line="25" w:lineRule="exact"/>
        <w:rPr>
          <w:sz w:val="20"/>
          <w:szCs w:val="20"/>
        </w:rPr>
      </w:pPr>
    </w:p>
    <w:p w14:paraId="504AA2AC" w14:textId="77777777" w:rsidR="00D1587D" w:rsidRDefault="00410D07">
      <w:pPr>
        <w:rPr>
          <w:sz w:val="20"/>
          <w:szCs w:val="20"/>
        </w:rPr>
      </w:pPr>
      <w:r>
        <w:rPr>
          <w:rFonts w:ascii="Arial" w:eastAsia="Arial" w:hAnsi="Arial" w:cs="Arial"/>
          <w:sz w:val="19"/>
          <w:szCs w:val="19"/>
        </w:rPr>
        <w:t>contingency fee (or otherwise have any portion of its compensation be directly or indirectly determined based on the outcome of</w:t>
      </w:r>
    </w:p>
    <w:p w14:paraId="5A4F8A22" w14:textId="77777777" w:rsidR="00D1587D" w:rsidRDefault="00D1587D">
      <w:pPr>
        <w:spacing w:line="25" w:lineRule="exact"/>
        <w:rPr>
          <w:sz w:val="20"/>
          <w:szCs w:val="20"/>
        </w:rPr>
      </w:pPr>
    </w:p>
    <w:p w14:paraId="3873188A" w14:textId="77777777" w:rsidR="00D1587D" w:rsidRDefault="00410D07">
      <w:pPr>
        <w:rPr>
          <w:sz w:val="20"/>
          <w:szCs w:val="20"/>
        </w:rPr>
      </w:pPr>
      <w:r>
        <w:rPr>
          <w:rFonts w:ascii="Arial" w:eastAsia="Arial" w:hAnsi="Arial" w:cs="Arial"/>
          <w:sz w:val="21"/>
          <w:szCs w:val="21"/>
        </w:rPr>
        <w:t>such audit) and (iii) no such books and records may be audit</w:t>
      </w:r>
      <w:r>
        <w:rPr>
          <w:rFonts w:ascii="Arial" w:eastAsia="Arial" w:hAnsi="Arial" w:cs="Arial"/>
          <w:sz w:val="21"/>
          <w:szCs w:val="21"/>
        </w:rPr>
        <w:t>ed more than one time. Service Provider may designate</w:t>
      </w:r>
    </w:p>
    <w:p w14:paraId="328125F9" w14:textId="77777777" w:rsidR="00D1587D" w:rsidRDefault="00D1587D">
      <w:pPr>
        <w:spacing w:line="2" w:lineRule="exact"/>
        <w:rPr>
          <w:sz w:val="20"/>
          <w:szCs w:val="20"/>
        </w:rPr>
      </w:pPr>
    </w:p>
    <w:p w14:paraId="1F9A9202" w14:textId="77777777" w:rsidR="00D1587D" w:rsidRDefault="00410D07">
      <w:pPr>
        <w:rPr>
          <w:sz w:val="20"/>
          <w:szCs w:val="20"/>
        </w:rPr>
      </w:pPr>
      <w:r>
        <w:rPr>
          <w:rFonts w:ascii="Arial" w:eastAsia="Arial" w:hAnsi="Arial" w:cs="Arial"/>
          <w:sz w:val="19"/>
          <w:szCs w:val="19"/>
        </w:rPr>
        <w:t>competitively sensitive information which such auditor may see and review but which it may not disclose to VS and all such</w:t>
      </w:r>
    </w:p>
    <w:p w14:paraId="07E01452" w14:textId="77777777" w:rsidR="00D1587D" w:rsidRDefault="00D1587D">
      <w:pPr>
        <w:spacing w:line="25" w:lineRule="exact"/>
        <w:rPr>
          <w:sz w:val="20"/>
          <w:szCs w:val="20"/>
        </w:rPr>
      </w:pPr>
    </w:p>
    <w:p w14:paraId="3A784D1B" w14:textId="77777777" w:rsidR="00D1587D" w:rsidRDefault="00410D07">
      <w:pPr>
        <w:rPr>
          <w:sz w:val="20"/>
          <w:szCs w:val="20"/>
        </w:rPr>
      </w:pPr>
      <w:r>
        <w:rPr>
          <w:rFonts w:ascii="Arial" w:eastAsia="Arial" w:hAnsi="Arial" w:cs="Arial"/>
          <w:sz w:val="19"/>
          <w:szCs w:val="19"/>
        </w:rPr>
        <w:t>books and records, and any applicable audit report and findings, shall be the</w:t>
      </w:r>
      <w:r>
        <w:rPr>
          <w:rFonts w:ascii="Arial" w:eastAsia="Arial" w:hAnsi="Arial" w:cs="Arial"/>
          <w:sz w:val="19"/>
          <w:szCs w:val="19"/>
        </w:rPr>
        <w:t xml:space="preserve"> Confidential Information of Service Provider. VS</w:t>
      </w:r>
    </w:p>
    <w:p w14:paraId="3432CAF1" w14:textId="77777777" w:rsidR="00D1587D" w:rsidRDefault="00D1587D">
      <w:pPr>
        <w:spacing w:line="25" w:lineRule="exact"/>
        <w:rPr>
          <w:sz w:val="20"/>
          <w:szCs w:val="20"/>
        </w:rPr>
      </w:pPr>
    </w:p>
    <w:p w14:paraId="1BA059FE" w14:textId="77777777" w:rsidR="00D1587D" w:rsidRDefault="00410D07">
      <w:pPr>
        <w:rPr>
          <w:sz w:val="20"/>
          <w:szCs w:val="20"/>
        </w:rPr>
      </w:pPr>
      <w:r>
        <w:rPr>
          <w:rFonts w:ascii="Arial" w:eastAsia="Arial" w:hAnsi="Arial" w:cs="Arial"/>
          <w:sz w:val="19"/>
          <w:szCs w:val="19"/>
        </w:rPr>
        <w:t>shall provide to Service Provider a copy of each such audit report promptly after its receipt thereof. In the event that any such</w:t>
      </w:r>
    </w:p>
    <w:p w14:paraId="71A921F6" w14:textId="77777777" w:rsidR="00D1587D" w:rsidRDefault="00D1587D">
      <w:pPr>
        <w:spacing w:line="25" w:lineRule="exact"/>
        <w:rPr>
          <w:sz w:val="20"/>
          <w:szCs w:val="20"/>
        </w:rPr>
      </w:pPr>
    </w:p>
    <w:p w14:paraId="0088DF85" w14:textId="77777777" w:rsidR="00D1587D" w:rsidRDefault="00410D07">
      <w:pPr>
        <w:rPr>
          <w:sz w:val="20"/>
          <w:szCs w:val="20"/>
        </w:rPr>
      </w:pPr>
      <w:r>
        <w:rPr>
          <w:rFonts w:ascii="Arial" w:eastAsia="Arial" w:hAnsi="Arial" w:cs="Arial"/>
          <w:sz w:val="19"/>
          <w:szCs w:val="19"/>
        </w:rPr>
        <w:t xml:space="preserve">audit indicates any overpayment or underpayment of amounts paid to </w:t>
      </w:r>
      <w:r>
        <w:rPr>
          <w:rFonts w:ascii="Arial" w:eastAsia="Arial" w:hAnsi="Arial" w:cs="Arial"/>
          <w:sz w:val="19"/>
          <w:szCs w:val="19"/>
        </w:rPr>
        <w:t>Service Provider by any Service Recipient, the applicable</w:t>
      </w:r>
    </w:p>
    <w:p w14:paraId="1DF39C41" w14:textId="77777777" w:rsidR="00D1587D" w:rsidRDefault="00D1587D">
      <w:pPr>
        <w:spacing w:line="25" w:lineRule="exact"/>
        <w:rPr>
          <w:sz w:val="20"/>
          <w:szCs w:val="20"/>
        </w:rPr>
      </w:pPr>
    </w:p>
    <w:p w14:paraId="25BE202A" w14:textId="77777777" w:rsidR="00D1587D" w:rsidRDefault="00410D07">
      <w:pPr>
        <w:rPr>
          <w:sz w:val="20"/>
          <w:szCs w:val="20"/>
        </w:rPr>
      </w:pPr>
      <w:r>
        <w:rPr>
          <w:rFonts w:ascii="Arial" w:eastAsia="Arial" w:hAnsi="Arial" w:cs="Arial"/>
          <w:sz w:val="19"/>
          <w:szCs w:val="19"/>
        </w:rPr>
        <w:t>party shall pay to the other party (within 30 days following the date of delivery of such audit report to Service Provider) the</w:t>
      </w:r>
    </w:p>
    <w:p w14:paraId="09E4B33B" w14:textId="77777777" w:rsidR="00D1587D" w:rsidRDefault="00D1587D">
      <w:pPr>
        <w:spacing w:line="25" w:lineRule="exact"/>
        <w:rPr>
          <w:sz w:val="20"/>
          <w:szCs w:val="20"/>
        </w:rPr>
      </w:pPr>
    </w:p>
    <w:p w14:paraId="25BC909A" w14:textId="77777777" w:rsidR="00D1587D" w:rsidRDefault="00410D07">
      <w:pPr>
        <w:rPr>
          <w:sz w:val="20"/>
          <w:szCs w:val="20"/>
        </w:rPr>
      </w:pPr>
      <w:r>
        <w:rPr>
          <w:rFonts w:ascii="Arial" w:eastAsia="Arial" w:hAnsi="Arial" w:cs="Arial"/>
          <w:sz w:val="19"/>
          <w:szCs w:val="19"/>
        </w:rPr>
        <w:t>amount of such overpayment or underpayment, as the case may be, plus</w:t>
      </w:r>
      <w:r>
        <w:rPr>
          <w:rFonts w:ascii="Arial" w:eastAsia="Arial" w:hAnsi="Arial" w:cs="Arial"/>
          <w:sz w:val="19"/>
          <w:szCs w:val="19"/>
        </w:rPr>
        <w:t xml:space="preserve"> (if the overpayment or underpayment amount exceeds</w:t>
      </w:r>
    </w:p>
    <w:p w14:paraId="4E041B94" w14:textId="77777777" w:rsidR="00D1587D" w:rsidRDefault="00D1587D">
      <w:pPr>
        <w:spacing w:line="25" w:lineRule="exact"/>
        <w:rPr>
          <w:sz w:val="20"/>
          <w:szCs w:val="20"/>
        </w:rPr>
      </w:pPr>
    </w:p>
    <w:p w14:paraId="0EA2E4BB" w14:textId="77777777" w:rsidR="00D1587D" w:rsidRDefault="00410D07">
      <w:pPr>
        <w:rPr>
          <w:sz w:val="20"/>
          <w:szCs w:val="20"/>
        </w:rPr>
      </w:pPr>
      <w:r>
        <w:rPr>
          <w:rFonts w:ascii="Arial" w:eastAsia="Arial" w:hAnsi="Arial" w:cs="Arial"/>
          <w:sz w:val="19"/>
          <w:szCs w:val="19"/>
        </w:rPr>
        <w:t>$250,000.00) interest accruing monthly from the date of such overpayment or underpayment until such amount is paid at 12% per</w:t>
      </w:r>
    </w:p>
    <w:p w14:paraId="1A2DA191" w14:textId="77777777" w:rsidR="00D1587D" w:rsidRDefault="00D1587D">
      <w:pPr>
        <w:spacing w:line="25" w:lineRule="exact"/>
        <w:rPr>
          <w:sz w:val="20"/>
          <w:szCs w:val="20"/>
        </w:rPr>
      </w:pPr>
    </w:p>
    <w:p w14:paraId="639C0407" w14:textId="77777777" w:rsidR="00D1587D" w:rsidRDefault="00410D07">
      <w:pPr>
        <w:rPr>
          <w:sz w:val="20"/>
          <w:szCs w:val="20"/>
        </w:rPr>
      </w:pPr>
      <w:r>
        <w:rPr>
          <w:rFonts w:ascii="Arial" w:eastAsia="Arial" w:hAnsi="Arial" w:cs="Arial"/>
          <w:sz w:val="19"/>
          <w:szCs w:val="19"/>
        </w:rPr>
        <w:t>annum, compounded monthly from the relevant payment due date through the dat</w:t>
      </w:r>
      <w:r>
        <w:rPr>
          <w:rFonts w:ascii="Arial" w:eastAsia="Arial" w:hAnsi="Arial" w:cs="Arial"/>
          <w:sz w:val="19"/>
          <w:szCs w:val="19"/>
        </w:rPr>
        <w:t>e of payment (</w:t>
      </w:r>
      <w:r>
        <w:rPr>
          <w:rFonts w:ascii="Arial" w:eastAsia="Arial" w:hAnsi="Arial" w:cs="Arial"/>
          <w:i/>
          <w:iCs/>
          <w:sz w:val="19"/>
          <w:szCs w:val="19"/>
        </w:rPr>
        <w:t>provided</w:t>
      </w:r>
      <w:r>
        <w:rPr>
          <w:rFonts w:ascii="Arial" w:eastAsia="Arial" w:hAnsi="Arial" w:cs="Arial"/>
          <w:sz w:val="19"/>
          <w:szCs w:val="19"/>
        </w:rPr>
        <w:t xml:space="preserve"> that such interest rate</w:t>
      </w:r>
    </w:p>
    <w:p w14:paraId="73535DE7" w14:textId="77777777" w:rsidR="00D1587D" w:rsidRDefault="00D1587D">
      <w:pPr>
        <w:spacing w:line="25" w:lineRule="exact"/>
        <w:rPr>
          <w:sz w:val="20"/>
          <w:szCs w:val="20"/>
        </w:rPr>
      </w:pPr>
    </w:p>
    <w:p w14:paraId="60464D32" w14:textId="77777777" w:rsidR="00D1587D" w:rsidRDefault="00410D07">
      <w:pPr>
        <w:rPr>
          <w:sz w:val="20"/>
          <w:szCs w:val="20"/>
        </w:rPr>
      </w:pPr>
      <w:r>
        <w:rPr>
          <w:rFonts w:ascii="Arial" w:eastAsia="Arial" w:hAnsi="Arial" w:cs="Arial"/>
          <w:sz w:val="19"/>
          <w:szCs w:val="19"/>
        </w:rPr>
        <w:t>shall not exceed the maximum rate permitted by Applicable Law). If either party hereto has a good faith dispute with respect to</w:t>
      </w:r>
    </w:p>
    <w:p w14:paraId="040C4EC2" w14:textId="77777777" w:rsidR="00D1587D" w:rsidRDefault="00D1587D">
      <w:pPr>
        <w:spacing w:line="25" w:lineRule="exact"/>
        <w:rPr>
          <w:sz w:val="20"/>
          <w:szCs w:val="20"/>
        </w:rPr>
      </w:pPr>
    </w:p>
    <w:p w14:paraId="673628EA" w14:textId="77777777" w:rsidR="00D1587D" w:rsidRDefault="00410D07">
      <w:pPr>
        <w:rPr>
          <w:sz w:val="20"/>
          <w:szCs w:val="20"/>
        </w:rPr>
      </w:pPr>
      <w:r>
        <w:rPr>
          <w:rFonts w:ascii="Arial" w:eastAsia="Arial" w:hAnsi="Arial" w:cs="Arial"/>
        </w:rPr>
        <w:t>the findings of such audit, the parties shall follow the dispute resolution pro</w:t>
      </w:r>
      <w:r>
        <w:rPr>
          <w:rFonts w:ascii="Arial" w:eastAsia="Arial" w:hAnsi="Arial" w:cs="Arial"/>
        </w:rPr>
        <w:t>cedures set forth in Section 9.07.</w:t>
      </w:r>
    </w:p>
    <w:p w14:paraId="23CC7AF1" w14:textId="77777777" w:rsidR="00D1587D" w:rsidRDefault="00D1587D">
      <w:pPr>
        <w:spacing w:line="215" w:lineRule="exact"/>
        <w:rPr>
          <w:sz w:val="20"/>
          <w:szCs w:val="20"/>
        </w:rPr>
      </w:pPr>
    </w:p>
    <w:p w14:paraId="76953289" w14:textId="77777777" w:rsidR="00D1587D" w:rsidRDefault="00410D07">
      <w:pPr>
        <w:ind w:right="-19"/>
        <w:jc w:val="center"/>
        <w:rPr>
          <w:sz w:val="20"/>
          <w:szCs w:val="20"/>
        </w:rPr>
      </w:pPr>
      <w:r>
        <w:rPr>
          <w:rFonts w:ascii="Arial" w:eastAsia="Arial" w:hAnsi="Arial" w:cs="Arial"/>
        </w:rPr>
        <w:t>ARTICLE 4</w:t>
      </w:r>
    </w:p>
    <w:p w14:paraId="54C09A72" w14:textId="77777777" w:rsidR="00D1587D" w:rsidRDefault="00D1587D">
      <w:pPr>
        <w:spacing w:line="8" w:lineRule="exact"/>
        <w:rPr>
          <w:sz w:val="20"/>
          <w:szCs w:val="20"/>
        </w:rPr>
      </w:pPr>
    </w:p>
    <w:p w14:paraId="7BF1D7CF" w14:textId="77777777" w:rsidR="00D1587D" w:rsidRDefault="00410D07">
      <w:pPr>
        <w:ind w:right="-19"/>
        <w:jc w:val="center"/>
        <w:rPr>
          <w:sz w:val="20"/>
          <w:szCs w:val="20"/>
        </w:rPr>
      </w:pPr>
      <w:r>
        <w:rPr>
          <w:rFonts w:ascii="Arial" w:eastAsia="Arial" w:hAnsi="Arial" w:cs="Arial"/>
        </w:rPr>
        <w:t>R</w:t>
      </w:r>
      <w:r>
        <w:rPr>
          <w:rFonts w:ascii="Arial" w:eastAsia="Arial" w:hAnsi="Arial" w:cs="Arial"/>
          <w:sz w:val="14"/>
          <w:szCs w:val="14"/>
        </w:rPr>
        <w:t>ETENTION AND</w:t>
      </w:r>
      <w:r>
        <w:rPr>
          <w:rFonts w:ascii="Arial" w:eastAsia="Arial" w:hAnsi="Arial" w:cs="Arial"/>
        </w:rPr>
        <w:t xml:space="preserve"> T</w:t>
      </w:r>
      <w:r>
        <w:rPr>
          <w:rFonts w:ascii="Arial" w:eastAsia="Arial" w:hAnsi="Arial" w:cs="Arial"/>
          <w:sz w:val="14"/>
          <w:szCs w:val="14"/>
        </w:rPr>
        <w:t>RANSFER OF</w:t>
      </w:r>
      <w:r>
        <w:rPr>
          <w:rFonts w:ascii="Arial" w:eastAsia="Arial" w:hAnsi="Arial" w:cs="Arial"/>
        </w:rPr>
        <w:t xml:space="preserve"> C</w:t>
      </w:r>
      <w:r>
        <w:rPr>
          <w:rFonts w:ascii="Arial" w:eastAsia="Arial" w:hAnsi="Arial" w:cs="Arial"/>
          <w:sz w:val="14"/>
          <w:szCs w:val="14"/>
        </w:rPr>
        <w:t>ERTAIN</w:t>
      </w:r>
      <w:r>
        <w:rPr>
          <w:rFonts w:ascii="Arial" w:eastAsia="Arial" w:hAnsi="Arial" w:cs="Arial"/>
        </w:rPr>
        <w:t xml:space="preserve"> TSA E</w:t>
      </w:r>
      <w:r>
        <w:rPr>
          <w:rFonts w:ascii="Arial" w:eastAsia="Arial" w:hAnsi="Arial" w:cs="Arial"/>
          <w:sz w:val="14"/>
          <w:szCs w:val="14"/>
        </w:rPr>
        <w:t>MPLOYEES</w:t>
      </w:r>
    </w:p>
    <w:p w14:paraId="07F11C95" w14:textId="77777777" w:rsidR="00D1587D" w:rsidRDefault="00D1587D">
      <w:pPr>
        <w:spacing w:line="215" w:lineRule="exact"/>
        <w:rPr>
          <w:sz w:val="20"/>
          <w:szCs w:val="20"/>
        </w:rPr>
      </w:pPr>
    </w:p>
    <w:p w14:paraId="47E247AF" w14:textId="77777777" w:rsidR="00D1587D" w:rsidRDefault="00410D07">
      <w:pPr>
        <w:spacing w:line="250" w:lineRule="auto"/>
        <w:ind w:right="120" w:firstLine="648"/>
        <w:rPr>
          <w:sz w:val="20"/>
          <w:szCs w:val="20"/>
        </w:rPr>
      </w:pPr>
      <w:r>
        <w:rPr>
          <w:rFonts w:ascii="Arial" w:eastAsia="Arial" w:hAnsi="Arial" w:cs="Arial"/>
        </w:rPr>
        <w:t xml:space="preserve">Section 4.01. </w:t>
      </w:r>
      <w:r>
        <w:rPr>
          <w:rFonts w:ascii="Arial" w:eastAsia="Arial" w:hAnsi="Arial" w:cs="Arial"/>
          <w:i/>
          <w:iCs/>
        </w:rPr>
        <w:t>Employment of Transition Employees</w:t>
      </w:r>
      <w:r>
        <w:rPr>
          <w:rFonts w:ascii="Arial" w:eastAsia="Arial" w:hAnsi="Arial" w:cs="Arial"/>
        </w:rPr>
        <w:t>. Notwithstanding anything to the contrary in this Agreement or in the Employee Matters Agreement:</w:t>
      </w:r>
    </w:p>
    <w:p w14:paraId="4EE4F052" w14:textId="77777777" w:rsidR="00D1587D" w:rsidRDefault="00D1587D">
      <w:pPr>
        <w:spacing w:line="202" w:lineRule="exact"/>
        <w:rPr>
          <w:sz w:val="20"/>
          <w:szCs w:val="20"/>
        </w:rPr>
      </w:pPr>
    </w:p>
    <w:p w14:paraId="3FE45B45" w14:textId="77777777" w:rsidR="00D1587D" w:rsidRDefault="00410D07">
      <w:pPr>
        <w:numPr>
          <w:ilvl w:val="0"/>
          <w:numId w:val="64"/>
        </w:numPr>
        <w:tabs>
          <w:tab w:val="left" w:pos="1622"/>
        </w:tabs>
        <w:spacing w:line="238" w:lineRule="auto"/>
        <w:ind w:right="200" w:firstLine="850"/>
        <w:rPr>
          <w:rFonts w:ascii="Arial" w:eastAsia="Arial" w:hAnsi="Arial" w:cs="Arial"/>
        </w:rPr>
      </w:pPr>
      <w:r>
        <w:rPr>
          <w:rFonts w:ascii="Arial" w:eastAsia="Arial" w:hAnsi="Arial" w:cs="Arial"/>
        </w:rPr>
        <w:t xml:space="preserve">Service Provider or an Affiliate of Service Provider shall retain in its employ each Transition Employee until the Transition Date applicable to such Transition Employee (unless the employment of the relevant Transition Employee is otherwise terminated by </w:t>
      </w:r>
      <w:r>
        <w:rPr>
          <w:rFonts w:ascii="Arial" w:eastAsia="Arial" w:hAnsi="Arial" w:cs="Arial"/>
        </w:rPr>
        <w:t>such Transition Employee or by the employer of such Transition Employee in the ordinary course of business); and</w:t>
      </w:r>
    </w:p>
    <w:p w14:paraId="368E4BF8" w14:textId="77777777" w:rsidR="00D1587D" w:rsidRDefault="00D1587D">
      <w:pPr>
        <w:spacing w:line="211" w:lineRule="exact"/>
        <w:rPr>
          <w:rFonts w:ascii="Arial" w:eastAsia="Arial" w:hAnsi="Arial" w:cs="Arial"/>
        </w:rPr>
      </w:pPr>
    </w:p>
    <w:p w14:paraId="0C054423" w14:textId="77777777" w:rsidR="00D1587D" w:rsidRDefault="00410D07">
      <w:pPr>
        <w:numPr>
          <w:ilvl w:val="0"/>
          <w:numId w:val="64"/>
        </w:numPr>
        <w:tabs>
          <w:tab w:val="left" w:pos="1630"/>
        </w:tabs>
        <w:spacing w:line="250" w:lineRule="auto"/>
        <w:ind w:right="120" w:firstLine="850"/>
        <w:rPr>
          <w:rFonts w:ascii="Arial" w:eastAsia="Arial" w:hAnsi="Arial" w:cs="Arial"/>
        </w:rPr>
      </w:pPr>
      <w:r>
        <w:rPr>
          <w:rFonts w:ascii="Arial" w:eastAsia="Arial" w:hAnsi="Arial" w:cs="Arial"/>
        </w:rPr>
        <w:t>VS shall, or shall cause one of its Affiliates to, offer employment to each Transition Employee, effective as of the Transition Date applicabl</w:t>
      </w:r>
      <w:r>
        <w:rPr>
          <w:rFonts w:ascii="Arial" w:eastAsia="Arial" w:hAnsi="Arial" w:cs="Arial"/>
        </w:rPr>
        <w:t>e to such Transition Employee, in accordance with Section 4.02 below.</w:t>
      </w:r>
    </w:p>
    <w:p w14:paraId="41139A6D" w14:textId="77777777" w:rsidR="00D1587D" w:rsidRDefault="00D1587D">
      <w:pPr>
        <w:spacing w:line="380" w:lineRule="exact"/>
        <w:rPr>
          <w:sz w:val="20"/>
          <w:szCs w:val="20"/>
        </w:rPr>
      </w:pPr>
    </w:p>
    <w:p w14:paraId="28182BC7" w14:textId="77777777" w:rsidR="00D1587D" w:rsidRDefault="00410D07">
      <w:pPr>
        <w:ind w:right="-19"/>
        <w:jc w:val="center"/>
        <w:rPr>
          <w:sz w:val="20"/>
          <w:szCs w:val="20"/>
        </w:rPr>
      </w:pPr>
      <w:r>
        <w:rPr>
          <w:rFonts w:ascii="Arial" w:eastAsia="Arial" w:hAnsi="Arial" w:cs="Arial"/>
          <w:sz w:val="14"/>
          <w:szCs w:val="14"/>
        </w:rPr>
        <w:t>11</w:t>
      </w:r>
    </w:p>
    <w:p w14:paraId="42544583" w14:textId="77777777" w:rsidR="00D1587D" w:rsidRDefault="00410D07">
      <w:pPr>
        <w:spacing w:line="20" w:lineRule="exact"/>
        <w:rPr>
          <w:sz w:val="20"/>
          <w:szCs w:val="20"/>
        </w:rPr>
      </w:pPr>
      <w:r>
        <w:rPr>
          <w:noProof/>
          <w:sz w:val="20"/>
          <w:szCs w:val="20"/>
        </w:rPr>
        <w:drawing>
          <wp:anchor distT="0" distB="0" distL="114300" distR="114300" simplePos="0" relativeHeight="251248640" behindDoc="1" locked="0" layoutInCell="0" allowOverlap="1" wp14:anchorId="60FA7ECF" wp14:editId="04DFC45D">
            <wp:simplePos x="0" y="0"/>
            <wp:positionH relativeFrom="column">
              <wp:posOffset>5080</wp:posOffset>
            </wp:positionH>
            <wp:positionV relativeFrom="paragraph">
              <wp:posOffset>38100</wp:posOffset>
            </wp:positionV>
            <wp:extent cx="7132320" cy="1714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5FB92B9" w14:textId="77777777" w:rsidR="00D1587D" w:rsidRDefault="00D1587D">
      <w:pPr>
        <w:sectPr w:rsidR="00D1587D">
          <w:pgSz w:w="11900" w:h="16838"/>
          <w:pgMar w:top="604" w:right="339" w:bottom="1440" w:left="320" w:header="0" w:footer="0" w:gutter="0"/>
          <w:cols w:space="720" w:equalWidth="0">
            <w:col w:w="11240"/>
          </w:cols>
        </w:sectPr>
      </w:pPr>
    </w:p>
    <w:p w14:paraId="0F389EC6" w14:textId="77777777" w:rsidR="00D1587D" w:rsidRDefault="00410D07">
      <w:pPr>
        <w:numPr>
          <w:ilvl w:val="0"/>
          <w:numId w:val="65"/>
        </w:numPr>
        <w:tabs>
          <w:tab w:val="left" w:pos="1600"/>
        </w:tabs>
        <w:ind w:left="1600" w:hanging="770"/>
        <w:rPr>
          <w:rFonts w:ascii="Arial" w:eastAsia="Arial" w:hAnsi="Arial" w:cs="Arial"/>
        </w:rPr>
      </w:pPr>
      <w:bookmarkStart w:id="100" w:name="page101"/>
      <w:bookmarkEnd w:id="100"/>
      <w:r>
        <w:rPr>
          <w:rFonts w:ascii="Arial" w:eastAsia="Arial" w:hAnsi="Arial" w:cs="Arial"/>
        </w:rPr>
        <w:t>For these purposes:</w:t>
      </w:r>
    </w:p>
    <w:p w14:paraId="0A2FC40F" w14:textId="77777777" w:rsidR="00D1587D" w:rsidRDefault="00D1587D">
      <w:pPr>
        <w:spacing w:line="227" w:lineRule="exact"/>
        <w:rPr>
          <w:rFonts w:ascii="Arial" w:eastAsia="Arial" w:hAnsi="Arial" w:cs="Arial"/>
        </w:rPr>
      </w:pPr>
    </w:p>
    <w:p w14:paraId="65813AC7" w14:textId="77777777" w:rsidR="00D1587D" w:rsidRDefault="00410D07">
      <w:pPr>
        <w:numPr>
          <w:ilvl w:val="1"/>
          <w:numId w:val="65"/>
        </w:numPr>
        <w:tabs>
          <w:tab w:val="left" w:pos="2356"/>
        </w:tabs>
        <w:spacing w:line="243" w:lineRule="auto"/>
        <w:ind w:left="640" w:right="160" w:firstLine="968"/>
        <w:jc w:val="both"/>
        <w:rPr>
          <w:rFonts w:ascii="Arial" w:eastAsia="Arial" w:hAnsi="Arial" w:cs="Arial"/>
        </w:rPr>
      </w:pPr>
      <w:r>
        <w:rPr>
          <w:rFonts w:ascii="Arial" w:eastAsia="Arial" w:hAnsi="Arial" w:cs="Arial"/>
        </w:rPr>
        <w:t>“</w:t>
      </w:r>
      <w:r>
        <w:rPr>
          <w:rFonts w:ascii="Arial" w:eastAsia="Arial" w:hAnsi="Arial" w:cs="Arial"/>
          <w:b/>
          <w:bCs/>
        </w:rPr>
        <w:t>Transition Employee</w:t>
      </w:r>
      <w:r>
        <w:rPr>
          <w:rFonts w:ascii="Arial" w:eastAsia="Arial" w:hAnsi="Arial" w:cs="Arial"/>
        </w:rPr>
        <w:t>” means each TSA Employee with respect to whom Service Provider and VS have mutually identified and agreed in writing w</w:t>
      </w:r>
      <w:r>
        <w:rPr>
          <w:rFonts w:ascii="Arial" w:eastAsia="Arial" w:hAnsi="Arial" w:cs="Arial"/>
        </w:rPr>
        <w:t>ill transfer employment from Service Provider or one of its Affiliates to VS or one of its Affiliates.</w:t>
      </w:r>
    </w:p>
    <w:p w14:paraId="29B8E180" w14:textId="77777777" w:rsidR="00D1587D" w:rsidRDefault="00D1587D">
      <w:pPr>
        <w:spacing w:line="203" w:lineRule="exact"/>
        <w:rPr>
          <w:rFonts w:ascii="Arial" w:eastAsia="Arial" w:hAnsi="Arial" w:cs="Arial"/>
        </w:rPr>
      </w:pPr>
    </w:p>
    <w:p w14:paraId="34AFB2FC" w14:textId="77777777" w:rsidR="00D1587D" w:rsidRDefault="00410D07">
      <w:pPr>
        <w:numPr>
          <w:ilvl w:val="1"/>
          <w:numId w:val="65"/>
        </w:numPr>
        <w:tabs>
          <w:tab w:val="left" w:pos="2416"/>
        </w:tabs>
        <w:spacing w:line="280" w:lineRule="auto"/>
        <w:ind w:left="640" w:right="160" w:firstLine="968"/>
        <w:rPr>
          <w:rFonts w:ascii="Arial" w:eastAsia="Arial" w:hAnsi="Arial" w:cs="Arial"/>
          <w:sz w:val="19"/>
          <w:szCs w:val="19"/>
        </w:rPr>
      </w:pPr>
      <w:r>
        <w:rPr>
          <w:rFonts w:ascii="Arial" w:eastAsia="Arial" w:hAnsi="Arial" w:cs="Arial"/>
          <w:sz w:val="19"/>
          <w:szCs w:val="19"/>
        </w:rPr>
        <w:t>“</w:t>
      </w:r>
      <w:r>
        <w:rPr>
          <w:rFonts w:ascii="Arial" w:eastAsia="Arial" w:hAnsi="Arial" w:cs="Arial"/>
          <w:b/>
          <w:bCs/>
          <w:sz w:val="19"/>
          <w:szCs w:val="19"/>
        </w:rPr>
        <w:t>Transition Date</w:t>
      </w:r>
      <w:r>
        <w:rPr>
          <w:rFonts w:ascii="Arial" w:eastAsia="Arial" w:hAnsi="Arial" w:cs="Arial"/>
          <w:sz w:val="19"/>
          <w:szCs w:val="19"/>
        </w:rPr>
        <w:t>” means, with respect to each Transition Employee who accepts an offer of employment from VS or its applicable Affiliate pursuant to thi</w:t>
      </w:r>
      <w:r>
        <w:rPr>
          <w:rFonts w:ascii="Arial" w:eastAsia="Arial" w:hAnsi="Arial" w:cs="Arial"/>
          <w:sz w:val="19"/>
          <w:szCs w:val="19"/>
        </w:rPr>
        <w:t>s Article 4, the date on which such Transition Employee’s employment commences with VS or an applicable Affiliate of VS, which shall be the earliest of (A) the first day immediately following the last day of the applicable Term, as identified in the applic</w:t>
      </w:r>
      <w:r>
        <w:rPr>
          <w:rFonts w:ascii="Arial" w:eastAsia="Arial" w:hAnsi="Arial" w:cs="Arial"/>
          <w:sz w:val="19"/>
          <w:szCs w:val="19"/>
        </w:rPr>
        <w:t>able Service Schedule, (B) the termination of (x) the applicable Service in which such Transition Employee is engaged or (y) this Agreement, in each case pursuant to Section 7.01 or (C) any other day mutually agreed upon in writing by VS and Service Provid</w:t>
      </w:r>
      <w:r>
        <w:rPr>
          <w:rFonts w:ascii="Arial" w:eastAsia="Arial" w:hAnsi="Arial" w:cs="Arial"/>
          <w:sz w:val="19"/>
          <w:szCs w:val="19"/>
        </w:rPr>
        <w:t>er.</w:t>
      </w:r>
    </w:p>
    <w:p w14:paraId="53722BF6" w14:textId="77777777" w:rsidR="00D1587D" w:rsidRDefault="00D1587D">
      <w:pPr>
        <w:spacing w:line="178" w:lineRule="exact"/>
        <w:rPr>
          <w:sz w:val="20"/>
          <w:szCs w:val="20"/>
        </w:rPr>
      </w:pPr>
    </w:p>
    <w:p w14:paraId="5E0D61F8" w14:textId="77777777" w:rsidR="00D1587D" w:rsidRDefault="00410D07">
      <w:pPr>
        <w:tabs>
          <w:tab w:val="left" w:pos="2280"/>
        </w:tabs>
        <w:ind w:left="640"/>
        <w:rPr>
          <w:sz w:val="20"/>
          <w:szCs w:val="20"/>
        </w:rPr>
      </w:pPr>
      <w:r>
        <w:rPr>
          <w:rFonts w:ascii="Arial" w:eastAsia="Arial" w:hAnsi="Arial" w:cs="Arial"/>
        </w:rPr>
        <w:t>Section 4.02.</w:t>
      </w:r>
      <w:r>
        <w:rPr>
          <w:sz w:val="20"/>
          <w:szCs w:val="20"/>
        </w:rPr>
        <w:tab/>
      </w:r>
      <w:r>
        <w:rPr>
          <w:rFonts w:ascii="Arial" w:eastAsia="Arial" w:hAnsi="Arial" w:cs="Arial"/>
          <w:i/>
          <w:iCs/>
          <w:sz w:val="19"/>
          <w:szCs w:val="19"/>
        </w:rPr>
        <w:t>Transfer of Transition Employees.</w:t>
      </w:r>
    </w:p>
    <w:p w14:paraId="42744C9F" w14:textId="77777777" w:rsidR="00D1587D" w:rsidRDefault="00D1587D">
      <w:pPr>
        <w:spacing w:line="233" w:lineRule="exact"/>
        <w:rPr>
          <w:sz w:val="20"/>
          <w:szCs w:val="20"/>
        </w:rPr>
      </w:pPr>
    </w:p>
    <w:p w14:paraId="02AC4E53" w14:textId="77777777" w:rsidR="00D1587D" w:rsidRDefault="00410D07">
      <w:pPr>
        <w:numPr>
          <w:ilvl w:val="0"/>
          <w:numId w:val="66"/>
        </w:numPr>
        <w:tabs>
          <w:tab w:val="left" w:pos="1602"/>
        </w:tabs>
        <w:spacing w:line="250" w:lineRule="auto"/>
        <w:ind w:left="-20" w:right="20" w:firstLine="850"/>
        <w:rPr>
          <w:rFonts w:ascii="Arial" w:eastAsia="Arial" w:hAnsi="Arial" w:cs="Arial"/>
        </w:rPr>
      </w:pPr>
      <w:r>
        <w:rPr>
          <w:rFonts w:ascii="Arial" w:eastAsia="Arial" w:hAnsi="Arial" w:cs="Arial"/>
        </w:rPr>
        <w:t>Each of Service Provider and VS will cooperate in good faith to mutually identify the Transition Employees as promptly as practicable following the date of this Agreement.</w:t>
      </w:r>
    </w:p>
    <w:p w14:paraId="27458279" w14:textId="77777777" w:rsidR="00D1587D" w:rsidRDefault="00D1587D">
      <w:pPr>
        <w:spacing w:line="201" w:lineRule="exact"/>
        <w:rPr>
          <w:rFonts w:ascii="Arial" w:eastAsia="Arial" w:hAnsi="Arial" w:cs="Arial"/>
        </w:rPr>
      </w:pPr>
    </w:p>
    <w:p w14:paraId="30AB17E7" w14:textId="77777777" w:rsidR="00D1587D" w:rsidRDefault="00410D07">
      <w:pPr>
        <w:numPr>
          <w:ilvl w:val="0"/>
          <w:numId w:val="66"/>
        </w:numPr>
        <w:tabs>
          <w:tab w:val="left" w:pos="1610"/>
        </w:tabs>
        <w:spacing w:line="234" w:lineRule="auto"/>
        <w:ind w:left="-20" w:firstLine="850"/>
        <w:rPr>
          <w:rFonts w:ascii="Arial" w:eastAsia="Arial" w:hAnsi="Arial" w:cs="Arial"/>
        </w:rPr>
      </w:pPr>
      <w:r>
        <w:rPr>
          <w:rFonts w:ascii="Arial" w:eastAsia="Arial" w:hAnsi="Arial" w:cs="Arial"/>
        </w:rPr>
        <w:t xml:space="preserve">VS shall, or shall cause an </w:t>
      </w:r>
      <w:r>
        <w:rPr>
          <w:rFonts w:ascii="Arial" w:eastAsia="Arial" w:hAnsi="Arial" w:cs="Arial"/>
        </w:rPr>
        <w:t>Affiliate of VS to, offer employment to each Transition Employee on terms and conditions consistent with (i) the Employee Matters Agreement and (ii) the terms and conditions of employment applicable to such Transition Employee as of immediately prior to th</w:t>
      </w:r>
      <w:r>
        <w:rPr>
          <w:rFonts w:ascii="Arial" w:eastAsia="Arial" w:hAnsi="Arial" w:cs="Arial"/>
        </w:rPr>
        <w:t>e applicable Transition Date. Subject to such Transition Employee’s acceptance of such offer, such employment shall commence effective as of the Transition Date applicable to such Transition Employee. Such offer of employment shall be communicated by VS (o</w:t>
      </w:r>
      <w:r>
        <w:rPr>
          <w:rFonts w:ascii="Arial" w:eastAsia="Arial" w:hAnsi="Arial" w:cs="Arial"/>
        </w:rPr>
        <w:t>r its applicable Affiliate) to such Transition Employee in a reasonable amount of time prior to such Transition Date in accordance with procedures to be mutually determined by Service Provider and VS.</w:t>
      </w:r>
    </w:p>
    <w:p w14:paraId="2EC0CF63" w14:textId="77777777" w:rsidR="00D1587D" w:rsidRDefault="00D1587D">
      <w:pPr>
        <w:spacing w:line="217" w:lineRule="exact"/>
        <w:rPr>
          <w:rFonts w:ascii="Arial" w:eastAsia="Arial" w:hAnsi="Arial" w:cs="Arial"/>
        </w:rPr>
      </w:pPr>
    </w:p>
    <w:p w14:paraId="35E0D3F8" w14:textId="77777777" w:rsidR="00D1587D" w:rsidRDefault="00410D07">
      <w:pPr>
        <w:numPr>
          <w:ilvl w:val="0"/>
          <w:numId w:val="66"/>
        </w:numPr>
        <w:tabs>
          <w:tab w:val="left" w:pos="1602"/>
        </w:tabs>
        <w:spacing w:line="252" w:lineRule="auto"/>
        <w:ind w:left="-20" w:right="20" w:firstLine="850"/>
        <w:rPr>
          <w:rFonts w:ascii="Arial" w:eastAsia="Arial" w:hAnsi="Arial" w:cs="Arial"/>
          <w:sz w:val="21"/>
          <w:szCs w:val="21"/>
        </w:rPr>
      </w:pPr>
      <w:r>
        <w:rPr>
          <w:rFonts w:ascii="Arial" w:eastAsia="Arial" w:hAnsi="Arial" w:cs="Arial"/>
          <w:sz w:val="21"/>
          <w:szCs w:val="21"/>
        </w:rPr>
        <w:t xml:space="preserve">Subject to such Transition Employee’s </w:t>
      </w:r>
      <w:r>
        <w:rPr>
          <w:rFonts w:ascii="Arial" w:eastAsia="Arial" w:hAnsi="Arial" w:cs="Arial"/>
          <w:sz w:val="21"/>
          <w:szCs w:val="21"/>
        </w:rPr>
        <w:t>acceptance of such offer of employment, such Transition Employee shall be deemed a Delayed VS Transfer Employee (as defined in the Employee Matters Agreement), effective as of such Transition Employee’s applicable Transition Date, for all purposes under th</w:t>
      </w:r>
      <w:r>
        <w:rPr>
          <w:rFonts w:ascii="Arial" w:eastAsia="Arial" w:hAnsi="Arial" w:cs="Arial"/>
          <w:sz w:val="21"/>
          <w:szCs w:val="21"/>
        </w:rPr>
        <w:t>e Employee Matters Agreement, and the provisions of Employee Matters Agreement shall apply with respect to such Transition Employee.</w:t>
      </w:r>
    </w:p>
    <w:p w14:paraId="0D30A41E" w14:textId="77777777" w:rsidR="00D1587D" w:rsidRDefault="00D1587D">
      <w:pPr>
        <w:spacing w:line="200" w:lineRule="exact"/>
        <w:rPr>
          <w:rFonts w:ascii="Arial" w:eastAsia="Arial" w:hAnsi="Arial" w:cs="Arial"/>
          <w:sz w:val="21"/>
          <w:szCs w:val="21"/>
        </w:rPr>
      </w:pPr>
    </w:p>
    <w:p w14:paraId="1E14D044" w14:textId="77777777" w:rsidR="00D1587D" w:rsidRDefault="00410D07">
      <w:pPr>
        <w:numPr>
          <w:ilvl w:val="0"/>
          <w:numId w:val="66"/>
        </w:numPr>
        <w:tabs>
          <w:tab w:val="left" w:pos="1602"/>
        </w:tabs>
        <w:spacing w:line="275" w:lineRule="auto"/>
        <w:ind w:left="-20" w:right="20" w:firstLine="850"/>
        <w:rPr>
          <w:rFonts w:ascii="Arial" w:eastAsia="Arial" w:hAnsi="Arial" w:cs="Arial"/>
          <w:sz w:val="19"/>
          <w:szCs w:val="19"/>
        </w:rPr>
      </w:pPr>
      <w:r>
        <w:rPr>
          <w:rFonts w:ascii="Arial" w:eastAsia="Arial" w:hAnsi="Arial" w:cs="Arial"/>
          <w:sz w:val="19"/>
          <w:szCs w:val="19"/>
        </w:rPr>
        <w:t>As provided under the Employee Matters Agreement, and without limiting any other provisions of this Agreement or the Emplo</w:t>
      </w:r>
      <w:r>
        <w:rPr>
          <w:rFonts w:ascii="Arial" w:eastAsia="Arial" w:hAnsi="Arial" w:cs="Arial"/>
          <w:sz w:val="19"/>
          <w:szCs w:val="19"/>
        </w:rPr>
        <w:t xml:space="preserve">yee Matters Agreement, VS (or its applicable Affiliate) will take all measures that are required or appropriate in order to (i) effectuate the transfer of employment of each Transition Employee to VS (or its applicable Affiliate) as of the Transition Date </w:t>
      </w:r>
      <w:r>
        <w:rPr>
          <w:rFonts w:ascii="Arial" w:eastAsia="Arial" w:hAnsi="Arial" w:cs="Arial"/>
          <w:sz w:val="19"/>
          <w:szCs w:val="19"/>
        </w:rPr>
        <w:t>applicable to such Transition Employee (including by making an offer of employment to such Transition Employee in accordance with the terms of this Article 4) and (ii) avoid and mitigate, to the maximum extent possible, the incurrence of any severance obli</w:t>
      </w:r>
      <w:r>
        <w:rPr>
          <w:rFonts w:ascii="Arial" w:eastAsia="Arial" w:hAnsi="Arial" w:cs="Arial"/>
          <w:sz w:val="19"/>
          <w:szCs w:val="19"/>
        </w:rPr>
        <w:t xml:space="preserve">gations or termination-related obligations (including by the provision of all appropriate notices, assurances and offers of employment and the assignment and assumption of obligations or undertakings with respect to the employment, compensation, benefits, </w:t>
      </w:r>
      <w:r>
        <w:rPr>
          <w:rFonts w:ascii="Arial" w:eastAsia="Arial" w:hAnsi="Arial" w:cs="Arial"/>
          <w:sz w:val="19"/>
          <w:szCs w:val="19"/>
        </w:rPr>
        <w:t>protections or other obligations relating to any such Transition Employee).</w:t>
      </w:r>
    </w:p>
    <w:p w14:paraId="1F86917A" w14:textId="77777777" w:rsidR="00D1587D" w:rsidRDefault="00D1587D">
      <w:pPr>
        <w:spacing w:line="184" w:lineRule="exact"/>
        <w:rPr>
          <w:rFonts w:ascii="Arial" w:eastAsia="Arial" w:hAnsi="Arial" w:cs="Arial"/>
          <w:sz w:val="19"/>
          <w:szCs w:val="19"/>
        </w:rPr>
      </w:pPr>
    </w:p>
    <w:p w14:paraId="0887C7D2" w14:textId="77777777" w:rsidR="00D1587D" w:rsidRDefault="00410D07">
      <w:pPr>
        <w:numPr>
          <w:ilvl w:val="0"/>
          <w:numId w:val="66"/>
        </w:numPr>
        <w:tabs>
          <w:tab w:val="left" w:pos="1602"/>
        </w:tabs>
        <w:spacing w:line="274" w:lineRule="auto"/>
        <w:ind w:left="-20" w:firstLine="850"/>
        <w:rPr>
          <w:rFonts w:ascii="Arial" w:eastAsia="Arial" w:hAnsi="Arial" w:cs="Arial"/>
          <w:sz w:val="19"/>
          <w:szCs w:val="19"/>
        </w:rPr>
      </w:pPr>
      <w:r>
        <w:rPr>
          <w:rFonts w:ascii="Arial" w:eastAsia="Arial" w:hAnsi="Arial" w:cs="Arial"/>
          <w:sz w:val="19"/>
          <w:szCs w:val="19"/>
        </w:rPr>
        <w:t xml:space="preserve">Service Provider and VS shall reasonably cooperate to (i) enable VS and its applicable Affiliates to communicate with the Transition Employees and receive information with </w:t>
      </w:r>
      <w:r>
        <w:rPr>
          <w:rFonts w:ascii="Arial" w:eastAsia="Arial" w:hAnsi="Arial" w:cs="Arial"/>
          <w:sz w:val="19"/>
          <w:szCs w:val="19"/>
        </w:rPr>
        <w:t>respect to the terms of employment of the Transition Employees as necessary and appropriate to facilitate VS’s obligations under this Article 4 and (ii) transfer and assign to VS (or its applicable Affiliate), and effectuate the assumption by VS (or its ap</w:t>
      </w:r>
      <w:r>
        <w:rPr>
          <w:rFonts w:ascii="Arial" w:eastAsia="Arial" w:hAnsi="Arial" w:cs="Arial"/>
          <w:sz w:val="19"/>
          <w:szCs w:val="19"/>
        </w:rPr>
        <w:t>plicable Affiliate), all employment- and benefit-related obligations of the Service Provider (and its Affiliates) with respect to each Transition Employee who accepts and commences employment with VS (or its applicable Affiliate) in accordance with the Emp</w:t>
      </w:r>
      <w:r>
        <w:rPr>
          <w:rFonts w:ascii="Arial" w:eastAsia="Arial" w:hAnsi="Arial" w:cs="Arial"/>
          <w:sz w:val="19"/>
          <w:szCs w:val="19"/>
        </w:rPr>
        <w:t>loyee Matters Agreement, other than the obligations expressly retained by the Service Provider (and its Affiliates) pursuant to the Employee Matters Agreement. VS shall notify Service Provider in writing of each offer of employment made by VS (or its appli</w:t>
      </w:r>
      <w:r>
        <w:rPr>
          <w:rFonts w:ascii="Arial" w:eastAsia="Arial" w:hAnsi="Arial" w:cs="Arial"/>
          <w:sz w:val="19"/>
          <w:szCs w:val="19"/>
        </w:rPr>
        <w:t>cable Affiliate) to each Transition Employee, including the date of the offer, the proposed employment date and the terms and conditions of the offer.</w:t>
      </w:r>
    </w:p>
    <w:p w14:paraId="5C09763D" w14:textId="77777777" w:rsidR="00D1587D" w:rsidRDefault="00D1587D">
      <w:pPr>
        <w:spacing w:line="120" w:lineRule="exact"/>
        <w:rPr>
          <w:sz w:val="20"/>
          <w:szCs w:val="20"/>
        </w:rPr>
      </w:pPr>
    </w:p>
    <w:p w14:paraId="7209EFC7" w14:textId="77777777" w:rsidR="00D1587D" w:rsidRDefault="00410D07">
      <w:pPr>
        <w:jc w:val="center"/>
        <w:rPr>
          <w:sz w:val="20"/>
          <w:szCs w:val="20"/>
        </w:rPr>
      </w:pPr>
      <w:r>
        <w:rPr>
          <w:rFonts w:ascii="Arial" w:eastAsia="Arial" w:hAnsi="Arial" w:cs="Arial"/>
          <w:sz w:val="14"/>
          <w:szCs w:val="14"/>
        </w:rPr>
        <w:t>12</w:t>
      </w:r>
    </w:p>
    <w:p w14:paraId="02409B89" w14:textId="77777777" w:rsidR="00D1587D" w:rsidRDefault="00410D07">
      <w:pPr>
        <w:spacing w:line="20" w:lineRule="exact"/>
        <w:rPr>
          <w:sz w:val="20"/>
          <w:szCs w:val="20"/>
        </w:rPr>
      </w:pPr>
      <w:r>
        <w:rPr>
          <w:noProof/>
          <w:sz w:val="20"/>
          <w:szCs w:val="20"/>
        </w:rPr>
        <w:drawing>
          <wp:anchor distT="0" distB="0" distL="114300" distR="114300" simplePos="0" relativeHeight="251249664" behindDoc="1" locked="0" layoutInCell="0" allowOverlap="1" wp14:anchorId="177CCC40" wp14:editId="29B46A06">
            <wp:simplePos x="0" y="0"/>
            <wp:positionH relativeFrom="column">
              <wp:posOffset>-6985</wp:posOffset>
            </wp:positionH>
            <wp:positionV relativeFrom="paragraph">
              <wp:posOffset>38100</wp:posOffset>
            </wp:positionV>
            <wp:extent cx="7132320" cy="1714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39B7C2A" w14:textId="77777777" w:rsidR="00D1587D" w:rsidRDefault="00D1587D">
      <w:pPr>
        <w:sectPr w:rsidR="00D1587D">
          <w:pgSz w:w="11900" w:h="16838"/>
          <w:pgMar w:top="361" w:right="359" w:bottom="1440" w:left="340" w:header="0" w:footer="0" w:gutter="0"/>
          <w:cols w:space="720" w:equalWidth="0">
            <w:col w:w="11200"/>
          </w:cols>
        </w:sectPr>
      </w:pPr>
    </w:p>
    <w:p w14:paraId="7EF6FCDF" w14:textId="77777777" w:rsidR="00D1587D" w:rsidRDefault="00410D07">
      <w:pPr>
        <w:numPr>
          <w:ilvl w:val="0"/>
          <w:numId w:val="67"/>
        </w:numPr>
        <w:tabs>
          <w:tab w:val="left" w:pos="1598"/>
        </w:tabs>
        <w:spacing w:line="238" w:lineRule="auto"/>
        <w:ind w:right="140" w:firstLine="850"/>
        <w:rPr>
          <w:rFonts w:ascii="Arial" w:eastAsia="Arial" w:hAnsi="Arial" w:cs="Arial"/>
        </w:rPr>
      </w:pPr>
      <w:bookmarkStart w:id="101" w:name="page102"/>
      <w:bookmarkEnd w:id="101"/>
      <w:r>
        <w:rPr>
          <w:rFonts w:ascii="Arial" w:eastAsia="Arial" w:hAnsi="Arial" w:cs="Arial"/>
        </w:rPr>
        <w:t>Each of Service Provider and VS agree and acknowledge that, to the extent appli</w:t>
      </w:r>
      <w:r>
        <w:rPr>
          <w:rFonts w:ascii="Arial" w:eastAsia="Arial" w:hAnsi="Arial" w:cs="Arial"/>
        </w:rPr>
        <w:t>cable and mutually agreed between the parties hereto, each applicable Service Schedule shall set forth the terms and conditions relating to the allocation of responsibility between Service Provider and VS with respect to any severance or other termination-</w:t>
      </w:r>
      <w:r>
        <w:rPr>
          <w:rFonts w:ascii="Arial" w:eastAsia="Arial" w:hAnsi="Arial" w:cs="Arial"/>
        </w:rPr>
        <w:t>related payments or benefits that may become payable to any TSA Employees.</w:t>
      </w:r>
    </w:p>
    <w:p w14:paraId="644FEEE3" w14:textId="77777777" w:rsidR="00D1587D" w:rsidRDefault="00D1587D">
      <w:pPr>
        <w:spacing w:line="212" w:lineRule="exact"/>
        <w:rPr>
          <w:sz w:val="20"/>
          <w:szCs w:val="20"/>
        </w:rPr>
      </w:pPr>
    </w:p>
    <w:p w14:paraId="698C5D25" w14:textId="77777777" w:rsidR="00D1587D" w:rsidRDefault="00410D07">
      <w:pPr>
        <w:ind w:right="-39"/>
        <w:jc w:val="center"/>
        <w:rPr>
          <w:sz w:val="20"/>
          <w:szCs w:val="20"/>
        </w:rPr>
      </w:pPr>
      <w:r>
        <w:rPr>
          <w:rFonts w:ascii="Arial" w:eastAsia="Arial" w:hAnsi="Arial" w:cs="Arial"/>
        </w:rPr>
        <w:t>ARTICLE 5</w:t>
      </w:r>
    </w:p>
    <w:p w14:paraId="48DE36BF" w14:textId="77777777" w:rsidR="00D1587D" w:rsidRDefault="00D1587D">
      <w:pPr>
        <w:spacing w:line="8" w:lineRule="exact"/>
        <w:rPr>
          <w:sz w:val="20"/>
          <w:szCs w:val="20"/>
        </w:rPr>
      </w:pPr>
    </w:p>
    <w:p w14:paraId="0FE72338" w14:textId="77777777" w:rsidR="00D1587D" w:rsidRDefault="00410D07">
      <w:pPr>
        <w:ind w:right="-39"/>
        <w:jc w:val="center"/>
        <w:rPr>
          <w:sz w:val="20"/>
          <w:szCs w:val="20"/>
        </w:rPr>
      </w:pPr>
      <w:r>
        <w:rPr>
          <w:rFonts w:ascii="Arial" w:eastAsia="Arial" w:hAnsi="Arial" w:cs="Arial"/>
        </w:rPr>
        <w:t>C</w:t>
      </w:r>
      <w:r>
        <w:rPr>
          <w:rFonts w:ascii="Arial" w:eastAsia="Arial" w:hAnsi="Arial" w:cs="Arial"/>
          <w:sz w:val="14"/>
          <w:szCs w:val="14"/>
        </w:rPr>
        <w:t>ONFIDENTIALITY</w:t>
      </w:r>
    </w:p>
    <w:p w14:paraId="313EC90D" w14:textId="77777777" w:rsidR="00D1587D" w:rsidRDefault="00D1587D">
      <w:pPr>
        <w:spacing w:line="215" w:lineRule="exact"/>
        <w:rPr>
          <w:sz w:val="20"/>
          <w:szCs w:val="20"/>
        </w:rPr>
      </w:pPr>
    </w:p>
    <w:p w14:paraId="50B3C9EB" w14:textId="77777777" w:rsidR="00D1587D" w:rsidRDefault="00410D07">
      <w:pPr>
        <w:spacing w:line="270" w:lineRule="auto"/>
        <w:ind w:firstLine="648"/>
        <w:rPr>
          <w:sz w:val="20"/>
          <w:szCs w:val="20"/>
        </w:rPr>
      </w:pPr>
      <w:r>
        <w:rPr>
          <w:rFonts w:ascii="Arial" w:eastAsia="Arial" w:hAnsi="Arial" w:cs="Arial"/>
          <w:sz w:val="19"/>
          <w:szCs w:val="19"/>
        </w:rPr>
        <w:t xml:space="preserve">Section 5.01. </w:t>
      </w:r>
      <w:r>
        <w:rPr>
          <w:rFonts w:ascii="Arial" w:eastAsia="Arial" w:hAnsi="Arial" w:cs="Arial"/>
          <w:i/>
          <w:iCs/>
          <w:sz w:val="19"/>
          <w:szCs w:val="19"/>
        </w:rPr>
        <w:t>Confidentiality.</w:t>
      </w:r>
      <w:r>
        <w:rPr>
          <w:rFonts w:ascii="Arial" w:eastAsia="Arial" w:hAnsi="Arial" w:cs="Arial"/>
          <w:sz w:val="19"/>
          <w:szCs w:val="19"/>
        </w:rPr>
        <w:t xml:space="preserve"> From and after the Effective Date, each party hereto shall hold, and cause its Representatives to hold, in confidence, un</w:t>
      </w:r>
      <w:r>
        <w:rPr>
          <w:rFonts w:ascii="Arial" w:eastAsia="Arial" w:hAnsi="Arial" w:cs="Arial"/>
          <w:sz w:val="19"/>
          <w:szCs w:val="19"/>
        </w:rPr>
        <w:t>less compelled to disclose by judicial or administrative process or by other requirements of law (in which event the disclosing party first notifies the other party hereto of such process or requirement and allows such party a reasonable opportunity to see</w:t>
      </w:r>
      <w:r>
        <w:rPr>
          <w:rFonts w:ascii="Arial" w:eastAsia="Arial" w:hAnsi="Arial" w:cs="Arial"/>
          <w:sz w:val="19"/>
          <w:szCs w:val="19"/>
        </w:rPr>
        <w:t>k a protective order or other appropriate remedy to prevent such disclosure), all documents and information concerning the other party hereto provided to it pursuant to this Agreement (“</w:t>
      </w:r>
      <w:r>
        <w:rPr>
          <w:rFonts w:ascii="Arial" w:eastAsia="Arial" w:hAnsi="Arial" w:cs="Arial"/>
          <w:b/>
          <w:bCs/>
          <w:sz w:val="19"/>
          <w:szCs w:val="19"/>
        </w:rPr>
        <w:t>Confidential</w:t>
      </w:r>
      <w:r>
        <w:rPr>
          <w:rFonts w:ascii="Arial" w:eastAsia="Arial" w:hAnsi="Arial" w:cs="Arial"/>
          <w:sz w:val="19"/>
          <w:szCs w:val="19"/>
        </w:rPr>
        <w:t xml:space="preserve"> </w:t>
      </w:r>
      <w:r>
        <w:rPr>
          <w:rFonts w:ascii="Arial" w:eastAsia="Arial" w:hAnsi="Arial" w:cs="Arial"/>
          <w:b/>
          <w:bCs/>
          <w:sz w:val="19"/>
          <w:szCs w:val="19"/>
        </w:rPr>
        <w:t>Information</w:t>
      </w:r>
      <w:r>
        <w:rPr>
          <w:rFonts w:ascii="Arial" w:eastAsia="Arial" w:hAnsi="Arial" w:cs="Arial"/>
          <w:sz w:val="19"/>
          <w:szCs w:val="19"/>
        </w:rPr>
        <w:t>”), and shall not, without the prior written c</w:t>
      </w:r>
      <w:r>
        <w:rPr>
          <w:rFonts w:ascii="Arial" w:eastAsia="Arial" w:hAnsi="Arial" w:cs="Arial"/>
          <w:sz w:val="19"/>
          <w:szCs w:val="19"/>
        </w:rPr>
        <w:t>onsent of the other party hereto, disclose or use any Confidential</w:t>
      </w:r>
      <w:r>
        <w:rPr>
          <w:rFonts w:ascii="Arial" w:eastAsia="Arial" w:hAnsi="Arial" w:cs="Arial"/>
          <w:b/>
          <w:bCs/>
          <w:sz w:val="19"/>
          <w:szCs w:val="19"/>
        </w:rPr>
        <w:t xml:space="preserve"> </w:t>
      </w:r>
      <w:r>
        <w:rPr>
          <w:rFonts w:ascii="Arial" w:eastAsia="Arial" w:hAnsi="Arial" w:cs="Arial"/>
          <w:sz w:val="19"/>
          <w:szCs w:val="19"/>
        </w:rPr>
        <w:t xml:space="preserve">Information of the other party hereto except as necessary in the performance of its obligations under this Agreement; </w:t>
      </w:r>
      <w:r>
        <w:rPr>
          <w:rFonts w:ascii="Arial" w:eastAsia="Arial" w:hAnsi="Arial" w:cs="Arial"/>
          <w:i/>
          <w:iCs/>
          <w:sz w:val="19"/>
          <w:szCs w:val="19"/>
        </w:rPr>
        <w:t>provided</w:t>
      </w:r>
      <w:r>
        <w:rPr>
          <w:rFonts w:ascii="Arial" w:eastAsia="Arial" w:hAnsi="Arial" w:cs="Arial"/>
          <w:sz w:val="19"/>
          <w:szCs w:val="19"/>
        </w:rPr>
        <w:t xml:space="preserve"> that the term “Confidential Information” (a) does not include </w:t>
      </w:r>
      <w:r>
        <w:rPr>
          <w:rFonts w:ascii="Arial" w:eastAsia="Arial" w:hAnsi="Arial" w:cs="Arial"/>
          <w:sz w:val="19"/>
          <w:szCs w:val="19"/>
        </w:rPr>
        <w:t>information that is or becomes generally available to the public (other than as a result of a breach of this Agreement), (b) does not include information that was available to the receiving party or any of its Affiliates on a non-confidential basis prior t</w:t>
      </w:r>
      <w:r>
        <w:rPr>
          <w:rFonts w:ascii="Arial" w:eastAsia="Arial" w:hAnsi="Arial" w:cs="Arial"/>
          <w:sz w:val="19"/>
          <w:szCs w:val="19"/>
        </w:rPr>
        <w:t>o its disclosure to such receiving party or its Affiliates pursuant to this Agreement (except that this clause (b) shall not apply to information of either party hereto in the possession of the other party prior to the date hereof by virtue of their previo</w:t>
      </w:r>
      <w:r>
        <w:rPr>
          <w:rFonts w:ascii="Arial" w:eastAsia="Arial" w:hAnsi="Arial" w:cs="Arial"/>
          <w:sz w:val="19"/>
          <w:szCs w:val="19"/>
        </w:rPr>
        <w:t>us Affiliate relationship), (c) does not include information that is or becomes available to the receiving party or any of its Affiliates from a third party not known by the receiving party or its Affiliates to be bound by a confidentiality agreement or an</w:t>
      </w:r>
      <w:r>
        <w:rPr>
          <w:rFonts w:ascii="Arial" w:eastAsia="Arial" w:hAnsi="Arial" w:cs="Arial"/>
          <w:sz w:val="19"/>
          <w:szCs w:val="19"/>
        </w:rPr>
        <w:t>y legal, fiduciary or other obligation restricting disclosure of such information and (d) does not include information that is or was independently developed by the receiving party or any of its Affiliates without use of Confidential Information or otherwi</w:t>
      </w:r>
      <w:r>
        <w:rPr>
          <w:rFonts w:ascii="Arial" w:eastAsia="Arial" w:hAnsi="Arial" w:cs="Arial"/>
          <w:sz w:val="19"/>
          <w:szCs w:val="19"/>
        </w:rPr>
        <w:t>se violating this Agreement. Nothing in this Section 5.01 shall limit any other confidentiality obligations among the parties to this Agreement pursuant to any other agreement among such parties.</w:t>
      </w:r>
    </w:p>
    <w:p w14:paraId="1C56202E" w14:textId="77777777" w:rsidR="00D1587D" w:rsidRDefault="00D1587D">
      <w:pPr>
        <w:spacing w:line="200" w:lineRule="exact"/>
        <w:rPr>
          <w:sz w:val="20"/>
          <w:szCs w:val="20"/>
        </w:rPr>
      </w:pPr>
    </w:p>
    <w:p w14:paraId="2F1D3617" w14:textId="77777777" w:rsidR="00D1587D" w:rsidRDefault="00D1587D">
      <w:pPr>
        <w:spacing w:line="241" w:lineRule="exact"/>
        <w:rPr>
          <w:sz w:val="20"/>
          <w:szCs w:val="20"/>
        </w:rPr>
      </w:pPr>
    </w:p>
    <w:p w14:paraId="0EB0DEBC" w14:textId="77777777" w:rsidR="00D1587D" w:rsidRDefault="00410D07">
      <w:pPr>
        <w:ind w:right="80" w:firstLine="648"/>
        <w:rPr>
          <w:sz w:val="20"/>
          <w:szCs w:val="20"/>
        </w:rPr>
      </w:pPr>
      <w:r>
        <w:rPr>
          <w:rFonts w:ascii="Arial" w:eastAsia="Arial" w:hAnsi="Arial" w:cs="Arial"/>
        </w:rPr>
        <w:t xml:space="preserve">Section 5.02. </w:t>
      </w:r>
      <w:r>
        <w:rPr>
          <w:rFonts w:ascii="Arial" w:eastAsia="Arial" w:hAnsi="Arial" w:cs="Arial"/>
          <w:i/>
          <w:iCs/>
        </w:rPr>
        <w:t xml:space="preserve">No Rights to Confidential </w:t>
      </w:r>
      <w:r>
        <w:rPr>
          <w:rFonts w:ascii="Arial" w:eastAsia="Arial" w:hAnsi="Arial" w:cs="Arial"/>
          <w:i/>
          <w:iCs/>
        </w:rPr>
        <w:t>Information.</w:t>
      </w:r>
      <w:r>
        <w:rPr>
          <w:rFonts w:ascii="Arial" w:eastAsia="Arial" w:hAnsi="Arial" w:cs="Arial"/>
        </w:rPr>
        <w:t xml:space="preserve"> Each party hereto acknowledges that it will not acquire any right, title or interest in or to any Confidential Information of the other party hereto by reason of this Agreement or the provision or receipt of Services hereunder.</w:t>
      </w:r>
    </w:p>
    <w:p w14:paraId="325D85A0" w14:textId="77777777" w:rsidR="00D1587D" w:rsidRDefault="00D1587D">
      <w:pPr>
        <w:spacing w:line="213" w:lineRule="exact"/>
        <w:rPr>
          <w:sz w:val="20"/>
          <w:szCs w:val="20"/>
        </w:rPr>
      </w:pPr>
    </w:p>
    <w:p w14:paraId="48DC0EDC" w14:textId="77777777" w:rsidR="00D1587D" w:rsidRDefault="00410D07">
      <w:pPr>
        <w:spacing w:line="249" w:lineRule="auto"/>
        <w:ind w:right="80" w:firstLine="648"/>
        <w:rPr>
          <w:sz w:val="20"/>
          <w:szCs w:val="20"/>
        </w:rPr>
      </w:pPr>
      <w:r>
        <w:rPr>
          <w:rFonts w:ascii="Arial" w:eastAsia="Arial" w:hAnsi="Arial" w:cs="Arial"/>
          <w:sz w:val="21"/>
          <w:szCs w:val="21"/>
        </w:rPr>
        <w:t xml:space="preserve">Section 5.03. </w:t>
      </w:r>
      <w:r>
        <w:rPr>
          <w:rFonts w:ascii="Arial" w:eastAsia="Arial" w:hAnsi="Arial" w:cs="Arial"/>
          <w:i/>
          <w:iCs/>
          <w:sz w:val="21"/>
          <w:szCs w:val="21"/>
        </w:rPr>
        <w:t>Third Party Non-Disclosure Agreements.</w:t>
      </w:r>
      <w:r>
        <w:rPr>
          <w:rFonts w:ascii="Arial" w:eastAsia="Arial" w:hAnsi="Arial" w:cs="Arial"/>
          <w:sz w:val="21"/>
          <w:szCs w:val="21"/>
        </w:rPr>
        <w:t xml:space="preserve"> To the extent that any third party proprietor of information or software to be disclosed or made available to any Service Recipient in connection with the performance of Services requires a specific form</w:t>
      </w:r>
      <w:r>
        <w:rPr>
          <w:rFonts w:ascii="Arial" w:eastAsia="Arial" w:hAnsi="Arial" w:cs="Arial"/>
          <w:sz w:val="21"/>
          <w:szCs w:val="21"/>
        </w:rPr>
        <w:t xml:space="preserve"> of non-disclosure agreement as a condition of its consent to use of the same for the benefit of such Service Recipient or to permit any Service Recipient access to such information or software, VS shall cause such Service Recipient to execute (and will ca</w:t>
      </w:r>
      <w:r>
        <w:rPr>
          <w:rFonts w:ascii="Arial" w:eastAsia="Arial" w:hAnsi="Arial" w:cs="Arial"/>
          <w:sz w:val="21"/>
          <w:szCs w:val="21"/>
        </w:rPr>
        <w:t>use such Service Recipient’s employees to execute, if required) any such form.</w:t>
      </w:r>
    </w:p>
    <w:p w14:paraId="3D32EF8E" w14:textId="77777777" w:rsidR="00D1587D" w:rsidRDefault="00D1587D">
      <w:pPr>
        <w:spacing w:line="205" w:lineRule="exact"/>
        <w:rPr>
          <w:sz w:val="20"/>
          <w:szCs w:val="20"/>
        </w:rPr>
      </w:pPr>
    </w:p>
    <w:p w14:paraId="661CE80F" w14:textId="77777777" w:rsidR="00D1587D" w:rsidRDefault="00410D07">
      <w:pPr>
        <w:spacing w:line="238" w:lineRule="auto"/>
        <w:ind w:right="60" w:firstLine="648"/>
        <w:jc w:val="both"/>
        <w:rPr>
          <w:sz w:val="20"/>
          <w:szCs w:val="20"/>
        </w:rPr>
      </w:pPr>
      <w:r>
        <w:rPr>
          <w:rFonts w:ascii="Arial" w:eastAsia="Arial" w:hAnsi="Arial" w:cs="Arial"/>
        </w:rPr>
        <w:t xml:space="preserve">Section 5.04. </w:t>
      </w:r>
      <w:r>
        <w:rPr>
          <w:rFonts w:ascii="Arial" w:eastAsia="Arial" w:hAnsi="Arial" w:cs="Arial"/>
          <w:i/>
          <w:iCs/>
        </w:rPr>
        <w:t>Safeguards.</w:t>
      </w:r>
      <w:r>
        <w:rPr>
          <w:rFonts w:ascii="Arial" w:eastAsia="Arial" w:hAnsi="Arial" w:cs="Arial"/>
        </w:rPr>
        <w:t xml:space="preserve"> Each party hereto agrees to establish and maintain administrative, physical and technical safeguards, information technology and data security procedu</w:t>
      </w:r>
      <w:r>
        <w:rPr>
          <w:rFonts w:ascii="Arial" w:eastAsia="Arial" w:hAnsi="Arial" w:cs="Arial"/>
        </w:rPr>
        <w:t>res and other protections against the destruction, loss, unauthorized access or alteration of the other party’s Confidential Information which are no less rigorous than those otherwise maintained for its own Confidential Information.</w:t>
      </w:r>
    </w:p>
    <w:p w14:paraId="7DFF809B" w14:textId="77777777" w:rsidR="00D1587D" w:rsidRDefault="00D1587D">
      <w:pPr>
        <w:spacing w:line="212" w:lineRule="exact"/>
        <w:rPr>
          <w:sz w:val="20"/>
          <w:szCs w:val="20"/>
        </w:rPr>
      </w:pPr>
    </w:p>
    <w:p w14:paraId="4DF5AF7F" w14:textId="77777777" w:rsidR="00D1587D" w:rsidRDefault="00410D07">
      <w:pPr>
        <w:ind w:right="-39"/>
        <w:jc w:val="center"/>
        <w:rPr>
          <w:sz w:val="20"/>
          <w:szCs w:val="20"/>
        </w:rPr>
      </w:pPr>
      <w:r>
        <w:rPr>
          <w:rFonts w:ascii="Arial" w:eastAsia="Arial" w:hAnsi="Arial" w:cs="Arial"/>
        </w:rPr>
        <w:t>ARTICLE 6</w:t>
      </w:r>
    </w:p>
    <w:p w14:paraId="655A7845" w14:textId="77777777" w:rsidR="00D1587D" w:rsidRDefault="00D1587D">
      <w:pPr>
        <w:spacing w:line="8" w:lineRule="exact"/>
        <w:rPr>
          <w:sz w:val="20"/>
          <w:szCs w:val="20"/>
        </w:rPr>
      </w:pPr>
    </w:p>
    <w:p w14:paraId="5AC4E6CD" w14:textId="77777777" w:rsidR="00D1587D" w:rsidRDefault="00410D07">
      <w:pPr>
        <w:ind w:right="-39"/>
        <w:jc w:val="center"/>
        <w:rPr>
          <w:sz w:val="20"/>
          <w:szCs w:val="20"/>
        </w:rPr>
      </w:pPr>
      <w:r>
        <w:rPr>
          <w:rFonts w:ascii="Arial" w:eastAsia="Arial" w:hAnsi="Arial" w:cs="Arial"/>
        </w:rPr>
        <w:t>I</w:t>
      </w:r>
      <w:r>
        <w:rPr>
          <w:rFonts w:ascii="Arial" w:eastAsia="Arial" w:hAnsi="Arial" w:cs="Arial"/>
          <w:sz w:val="14"/>
          <w:szCs w:val="14"/>
        </w:rPr>
        <w:t>NDEMNIFIC</w:t>
      </w:r>
      <w:r>
        <w:rPr>
          <w:rFonts w:ascii="Arial" w:eastAsia="Arial" w:hAnsi="Arial" w:cs="Arial"/>
          <w:sz w:val="14"/>
          <w:szCs w:val="14"/>
        </w:rPr>
        <w:t>ATION</w:t>
      </w:r>
      <w:r>
        <w:rPr>
          <w:rFonts w:ascii="Arial" w:eastAsia="Arial" w:hAnsi="Arial" w:cs="Arial"/>
        </w:rPr>
        <w:t>; L</w:t>
      </w:r>
      <w:r>
        <w:rPr>
          <w:rFonts w:ascii="Arial" w:eastAsia="Arial" w:hAnsi="Arial" w:cs="Arial"/>
          <w:sz w:val="14"/>
          <w:szCs w:val="14"/>
        </w:rPr>
        <w:t>IMITATION OF</w:t>
      </w:r>
      <w:r>
        <w:rPr>
          <w:rFonts w:ascii="Arial" w:eastAsia="Arial" w:hAnsi="Arial" w:cs="Arial"/>
        </w:rPr>
        <w:t xml:space="preserve"> L</w:t>
      </w:r>
      <w:r>
        <w:rPr>
          <w:rFonts w:ascii="Arial" w:eastAsia="Arial" w:hAnsi="Arial" w:cs="Arial"/>
          <w:sz w:val="14"/>
          <w:szCs w:val="14"/>
        </w:rPr>
        <w:t>IABILITY</w:t>
      </w:r>
    </w:p>
    <w:p w14:paraId="4ED72A5A" w14:textId="77777777" w:rsidR="00D1587D" w:rsidRDefault="00D1587D">
      <w:pPr>
        <w:spacing w:line="215" w:lineRule="exact"/>
        <w:rPr>
          <w:sz w:val="20"/>
          <w:szCs w:val="20"/>
        </w:rPr>
      </w:pPr>
    </w:p>
    <w:p w14:paraId="2F809D68" w14:textId="77777777" w:rsidR="00D1587D" w:rsidRDefault="00410D07">
      <w:pPr>
        <w:spacing w:line="245" w:lineRule="auto"/>
        <w:ind w:right="20" w:firstLine="648"/>
        <w:rPr>
          <w:sz w:val="20"/>
          <w:szCs w:val="20"/>
        </w:rPr>
      </w:pPr>
      <w:r>
        <w:rPr>
          <w:rFonts w:ascii="Arial" w:eastAsia="Arial" w:hAnsi="Arial" w:cs="Arial"/>
          <w:sz w:val="21"/>
          <w:szCs w:val="21"/>
        </w:rPr>
        <w:t xml:space="preserve">Section 6.01. </w:t>
      </w:r>
      <w:r>
        <w:rPr>
          <w:rFonts w:ascii="Arial" w:eastAsia="Arial" w:hAnsi="Arial" w:cs="Arial"/>
          <w:i/>
          <w:iCs/>
          <w:sz w:val="21"/>
          <w:szCs w:val="21"/>
        </w:rPr>
        <w:t>Indemnification</w:t>
      </w:r>
      <w:r>
        <w:rPr>
          <w:rFonts w:ascii="Arial" w:eastAsia="Arial" w:hAnsi="Arial" w:cs="Arial"/>
          <w:sz w:val="21"/>
          <w:szCs w:val="21"/>
        </w:rPr>
        <w:t>. (a) VS agrees to indemnify and hold harmless Service Provider and each other Service Provider Party, their respective Affiliates and their and their respective Representatives (collectively, th</w:t>
      </w:r>
      <w:r>
        <w:rPr>
          <w:rFonts w:ascii="Arial" w:eastAsia="Arial" w:hAnsi="Arial" w:cs="Arial"/>
          <w:sz w:val="21"/>
          <w:szCs w:val="21"/>
        </w:rPr>
        <w:t>e “</w:t>
      </w:r>
      <w:r>
        <w:rPr>
          <w:rFonts w:ascii="Arial" w:eastAsia="Arial" w:hAnsi="Arial" w:cs="Arial"/>
          <w:b/>
          <w:bCs/>
          <w:sz w:val="21"/>
          <w:szCs w:val="21"/>
        </w:rPr>
        <w:t>Service</w:t>
      </w:r>
      <w:r>
        <w:rPr>
          <w:rFonts w:ascii="Arial" w:eastAsia="Arial" w:hAnsi="Arial" w:cs="Arial"/>
          <w:sz w:val="21"/>
          <w:szCs w:val="21"/>
        </w:rPr>
        <w:t xml:space="preserve"> </w:t>
      </w:r>
      <w:r>
        <w:rPr>
          <w:rFonts w:ascii="Arial" w:eastAsia="Arial" w:hAnsi="Arial" w:cs="Arial"/>
          <w:b/>
          <w:bCs/>
          <w:sz w:val="21"/>
          <w:szCs w:val="21"/>
        </w:rPr>
        <w:t>Provider Indemnitees</w:t>
      </w:r>
      <w:r>
        <w:rPr>
          <w:rFonts w:ascii="Arial" w:eastAsia="Arial" w:hAnsi="Arial" w:cs="Arial"/>
          <w:sz w:val="21"/>
          <w:szCs w:val="21"/>
        </w:rPr>
        <w:t>”) from and against any and all damage, loss and expense (including reasonable expenses of investigation</w:t>
      </w:r>
      <w:r>
        <w:rPr>
          <w:rFonts w:ascii="Arial" w:eastAsia="Arial" w:hAnsi="Arial" w:cs="Arial"/>
          <w:b/>
          <w:bCs/>
          <w:sz w:val="21"/>
          <w:szCs w:val="21"/>
        </w:rPr>
        <w:t xml:space="preserve"> </w:t>
      </w:r>
      <w:r>
        <w:rPr>
          <w:rFonts w:ascii="Arial" w:eastAsia="Arial" w:hAnsi="Arial" w:cs="Arial"/>
          <w:sz w:val="21"/>
          <w:szCs w:val="21"/>
        </w:rPr>
        <w:t xml:space="preserve">and reasonable attorneys’ fees and expenses in connection with any action, suit or proceeding whether involving a third </w:t>
      </w:r>
      <w:r>
        <w:rPr>
          <w:rFonts w:ascii="Arial" w:eastAsia="Arial" w:hAnsi="Arial" w:cs="Arial"/>
          <w:sz w:val="21"/>
          <w:szCs w:val="21"/>
        </w:rPr>
        <w:t>party claim or a claim solely between the parties hereto) (“</w:t>
      </w:r>
      <w:r>
        <w:rPr>
          <w:rFonts w:ascii="Arial" w:eastAsia="Arial" w:hAnsi="Arial" w:cs="Arial"/>
          <w:b/>
          <w:bCs/>
          <w:sz w:val="21"/>
          <w:szCs w:val="21"/>
        </w:rPr>
        <w:t>Damages</w:t>
      </w:r>
      <w:r>
        <w:rPr>
          <w:rFonts w:ascii="Arial" w:eastAsia="Arial" w:hAnsi="Arial" w:cs="Arial"/>
          <w:sz w:val="21"/>
          <w:szCs w:val="21"/>
        </w:rPr>
        <w:t>”) asserted against or incurred by any Service Provider Indemnitee as a result or arising out of (i) a Service Recipient’s or any of its Affiliates’ breach of this Agreement, (ii) the provi</w:t>
      </w:r>
      <w:r>
        <w:rPr>
          <w:rFonts w:ascii="Arial" w:eastAsia="Arial" w:hAnsi="Arial" w:cs="Arial"/>
          <w:sz w:val="21"/>
          <w:szCs w:val="21"/>
        </w:rPr>
        <w:t xml:space="preserve">sion of the Services by such Service Provider Indemnitee or the use of the Services by a Service Recipient or any of its Affiliates or (iii) a Service Recipient’s or any of its Affiliates’ gross negligence, fraud or willful misconduct; </w:t>
      </w:r>
      <w:r>
        <w:rPr>
          <w:rFonts w:ascii="Arial" w:eastAsia="Arial" w:hAnsi="Arial" w:cs="Arial"/>
          <w:i/>
          <w:iCs/>
          <w:sz w:val="21"/>
          <w:szCs w:val="21"/>
        </w:rPr>
        <w:t>provided</w:t>
      </w:r>
      <w:r>
        <w:rPr>
          <w:rFonts w:ascii="Arial" w:eastAsia="Arial" w:hAnsi="Arial" w:cs="Arial"/>
          <w:sz w:val="21"/>
          <w:szCs w:val="21"/>
        </w:rPr>
        <w:t xml:space="preserve"> that VS sha</w:t>
      </w:r>
      <w:r>
        <w:rPr>
          <w:rFonts w:ascii="Arial" w:eastAsia="Arial" w:hAnsi="Arial" w:cs="Arial"/>
          <w:sz w:val="21"/>
          <w:szCs w:val="21"/>
        </w:rPr>
        <w:t>ll not be responsible for any Damages to the extent Service Provider is required to indemnify a Service Recipient Indemnitee pursuant to Section 6.01(b).</w:t>
      </w:r>
    </w:p>
    <w:p w14:paraId="74236908" w14:textId="77777777" w:rsidR="00D1587D" w:rsidRDefault="00D1587D">
      <w:pPr>
        <w:sectPr w:rsidR="00D1587D">
          <w:pgSz w:w="11900" w:h="16838"/>
          <w:pgMar w:top="361" w:right="379" w:bottom="1440" w:left="320" w:header="0" w:footer="0" w:gutter="0"/>
          <w:cols w:space="720" w:equalWidth="0">
            <w:col w:w="11200"/>
          </w:cols>
        </w:sectPr>
      </w:pPr>
    </w:p>
    <w:p w14:paraId="0D815856" w14:textId="77777777" w:rsidR="00D1587D" w:rsidRDefault="00D1587D">
      <w:pPr>
        <w:spacing w:line="143" w:lineRule="exact"/>
        <w:rPr>
          <w:sz w:val="20"/>
          <w:szCs w:val="20"/>
        </w:rPr>
      </w:pPr>
    </w:p>
    <w:p w14:paraId="36269B9B" w14:textId="77777777" w:rsidR="00D1587D" w:rsidRDefault="00410D07">
      <w:pPr>
        <w:ind w:right="-59"/>
        <w:jc w:val="center"/>
        <w:rPr>
          <w:sz w:val="20"/>
          <w:szCs w:val="20"/>
        </w:rPr>
      </w:pPr>
      <w:r>
        <w:rPr>
          <w:rFonts w:ascii="Arial" w:eastAsia="Arial" w:hAnsi="Arial" w:cs="Arial"/>
          <w:sz w:val="12"/>
          <w:szCs w:val="12"/>
        </w:rPr>
        <w:t>13</w:t>
      </w:r>
    </w:p>
    <w:p w14:paraId="022C6447" w14:textId="77777777" w:rsidR="00D1587D" w:rsidRDefault="00410D07">
      <w:pPr>
        <w:spacing w:line="20" w:lineRule="exact"/>
        <w:rPr>
          <w:sz w:val="20"/>
          <w:szCs w:val="20"/>
        </w:rPr>
      </w:pPr>
      <w:r>
        <w:rPr>
          <w:noProof/>
          <w:sz w:val="20"/>
          <w:szCs w:val="20"/>
        </w:rPr>
        <w:drawing>
          <wp:anchor distT="0" distB="0" distL="114300" distR="114300" simplePos="0" relativeHeight="251250688" behindDoc="1" locked="0" layoutInCell="0" allowOverlap="1" wp14:anchorId="0954398E" wp14:editId="7F30BA19">
            <wp:simplePos x="0" y="0"/>
            <wp:positionH relativeFrom="column">
              <wp:posOffset>5080</wp:posOffset>
            </wp:positionH>
            <wp:positionV relativeFrom="paragraph">
              <wp:posOffset>52705</wp:posOffset>
            </wp:positionV>
            <wp:extent cx="7132320" cy="1714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C0F9889" w14:textId="77777777" w:rsidR="00D1587D" w:rsidRDefault="00D1587D">
      <w:pPr>
        <w:sectPr w:rsidR="00D1587D">
          <w:type w:val="continuous"/>
          <w:pgSz w:w="11900" w:h="16838"/>
          <w:pgMar w:top="361" w:right="379" w:bottom="1440" w:left="320" w:header="0" w:footer="0" w:gutter="0"/>
          <w:cols w:space="720" w:equalWidth="0">
            <w:col w:w="11200"/>
          </w:cols>
        </w:sectPr>
      </w:pPr>
    </w:p>
    <w:p w14:paraId="7D5BA812" w14:textId="77777777" w:rsidR="00D1587D" w:rsidRDefault="00410D07">
      <w:pPr>
        <w:numPr>
          <w:ilvl w:val="0"/>
          <w:numId w:val="68"/>
        </w:numPr>
        <w:tabs>
          <w:tab w:val="left" w:pos="1634"/>
        </w:tabs>
        <w:spacing w:line="282" w:lineRule="auto"/>
        <w:ind w:firstLine="850"/>
        <w:rPr>
          <w:rFonts w:ascii="Arial" w:eastAsia="Arial" w:hAnsi="Arial" w:cs="Arial"/>
          <w:sz w:val="19"/>
          <w:szCs w:val="19"/>
        </w:rPr>
      </w:pPr>
      <w:bookmarkStart w:id="102" w:name="page103"/>
      <w:bookmarkEnd w:id="102"/>
      <w:r>
        <w:rPr>
          <w:rFonts w:ascii="Arial" w:eastAsia="Arial" w:hAnsi="Arial" w:cs="Arial"/>
          <w:sz w:val="19"/>
          <w:szCs w:val="19"/>
        </w:rPr>
        <w:t xml:space="preserve">Service Provider agrees to indemnify and hold </w:t>
      </w:r>
      <w:r>
        <w:rPr>
          <w:rFonts w:ascii="Arial" w:eastAsia="Arial" w:hAnsi="Arial" w:cs="Arial"/>
          <w:sz w:val="19"/>
          <w:szCs w:val="19"/>
        </w:rPr>
        <w:t>harmless each Service Recipient, its Affiliates and its and their respective Representatives (collectively, the “</w:t>
      </w:r>
      <w:r>
        <w:rPr>
          <w:rFonts w:ascii="Arial" w:eastAsia="Arial" w:hAnsi="Arial" w:cs="Arial"/>
          <w:b/>
          <w:bCs/>
          <w:sz w:val="19"/>
          <w:szCs w:val="19"/>
        </w:rPr>
        <w:t>Service Recipient Indemnitees</w:t>
      </w:r>
      <w:r>
        <w:rPr>
          <w:rFonts w:ascii="Arial" w:eastAsia="Arial" w:hAnsi="Arial" w:cs="Arial"/>
          <w:sz w:val="19"/>
          <w:szCs w:val="19"/>
        </w:rPr>
        <w:t>”) from and against any and all Damages asserted against or incurred by any Service Recipient Indemnitee as a resu</w:t>
      </w:r>
      <w:r>
        <w:rPr>
          <w:rFonts w:ascii="Arial" w:eastAsia="Arial" w:hAnsi="Arial" w:cs="Arial"/>
          <w:sz w:val="19"/>
          <w:szCs w:val="19"/>
        </w:rPr>
        <w:t xml:space="preserve">lt or arising out of (i) a Service Provider Party’s breach of this Agreement or (ii) a Service Provider’s gross negligence, fraud or willful misconduct; </w:t>
      </w:r>
      <w:r>
        <w:rPr>
          <w:rFonts w:ascii="Arial" w:eastAsia="Arial" w:hAnsi="Arial" w:cs="Arial"/>
          <w:i/>
          <w:iCs/>
          <w:sz w:val="19"/>
          <w:szCs w:val="19"/>
        </w:rPr>
        <w:t>provided</w:t>
      </w:r>
      <w:r>
        <w:rPr>
          <w:rFonts w:ascii="Arial" w:eastAsia="Arial" w:hAnsi="Arial" w:cs="Arial"/>
          <w:sz w:val="19"/>
          <w:szCs w:val="19"/>
        </w:rPr>
        <w:t xml:space="preserve"> that Service Provider shall not be responsible for any Damages to the extent VS is required to</w:t>
      </w:r>
      <w:r>
        <w:rPr>
          <w:rFonts w:ascii="Arial" w:eastAsia="Arial" w:hAnsi="Arial" w:cs="Arial"/>
          <w:sz w:val="19"/>
          <w:szCs w:val="19"/>
        </w:rPr>
        <w:t xml:space="preserve"> indemnify a Service Provider Indemnitee pursuant to Section 6.01(a).</w:t>
      </w:r>
    </w:p>
    <w:p w14:paraId="404BA576" w14:textId="77777777" w:rsidR="00D1587D" w:rsidRDefault="00D1587D">
      <w:pPr>
        <w:spacing w:line="174" w:lineRule="exact"/>
        <w:rPr>
          <w:sz w:val="20"/>
          <w:szCs w:val="20"/>
        </w:rPr>
      </w:pPr>
    </w:p>
    <w:p w14:paraId="31178180" w14:textId="77777777" w:rsidR="00D1587D" w:rsidRDefault="00410D07">
      <w:pPr>
        <w:tabs>
          <w:tab w:val="left" w:pos="2300"/>
        </w:tabs>
        <w:ind w:left="660"/>
        <w:rPr>
          <w:sz w:val="20"/>
          <w:szCs w:val="20"/>
        </w:rPr>
      </w:pPr>
      <w:r>
        <w:rPr>
          <w:rFonts w:ascii="Arial" w:eastAsia="Arial" w:hAnsi="Arial" w:cs="Arial"/>
        </w:rPr>
        <w:t>Section 6.02.</w:t>
      </w:r>
      <w:r>
        <w:rPr>
          <w:sz w:val="20"/>
          <w:szCs w:val="20"/>
        </w:rPr>
        <w:tab/>
      </w:r>
      <w:r>
        <w:rPr>
          <w:rFonts w:ascii="Arial" w:eastAsia="Arial" w:hAnsi="Arial" w:cs="Arial"/>
          <w:i/>
          <w:iCs/>
          <w:sz w:val="19"/>
          <w:szCs w:val="19"/>
        </w:rPr>
        <w:t>Third Party Claim Procedures</w:t>
      </w:r>
      <w:r>
        <w:rPr>
          <w:rFonts w:ascii="Arial" w:eastAsia="Arial" w:hAnsi="Arial" w:cs="Arial"/>
          <w:sz w:val="19"/>
          <w:szCs w:val="19"/>
        </w:rPr>
        <w:t>. (a) The party seeking indemnification under Section 6.01 (the</w:t>
      </w:r>
    </w:p>
    <w:p w14:paraId="6DCFD8F9" w14:textId="77777777" w:rsidR="00D1587D" w:rsidRDefault="00D1587D">
      <w:pPr>
        <w:spacing w:line="8" w:lineRule="exact"/>
        <w:rPr>
          <w:sz w:val="20"/>
          <w:szCs w:val="20"/>
        </w:rPr>
      </w:pPr>
    </w:p>
    <w:p w14:paraId="59C3C19D" w14:textId="77777777" w:rsidR="00D1587D" w:rsidRDefault="00410D07">
      <w:pPr>
        <w:rPr>
          <w:sz w:val="20"/>
          <w:szCs w:val="20"/>
        </w:rPr>
      </w:pPr>
      <w:r>
        <w:rPr>
          <w:rFonts w:ascii="Arial" w:eastAsia="Arial" w:hAnsi="Arial" w:cs="Arial"/>
          <w:sz w:val="21"/>
          <w:szCs w:val="21"/>
        </w:rPr>
        <w:t>“</w:t>
      </w:r>
      <w:r>
        <w:rPr>
          <w:rFonts w:ascii="Arial" w:eastAsia="Arial" w:hAnsi="Arial" w:cs="Arial"/>
          <w:b/>
          <w:bCs/>
          <w:sz w:val="21"/>
          <w:szCs w:val="21"/>
        </w:rPr>
        <w:t>Indemnified Party</w:t>
      </w:r>
      <w:r>
        <w:rPr>
          <w:rFonts w:ascii="Arial" w:eastAsia="Arial" w:hAnsi="Arial" w:cs="Arial"/>
          <w:sz w:val="21"/>
          <w:szCs w:val="21"/>
        </w:rPr>
        <w:t xml:space="preserve">”) agrees to give prompt notice in writing to the party </w:t>
      </w:r>
      <w:r>
        <w:rPr>
          <w:rFonts w:ascii="Arial" w:eastAsia="Arial" w:hAnsi="Arial" w:cs="Arial"/>
          <w:sz w:val="21"/>
          <w:szCs w:val="21"/>
        </w:rPr>
        <w:t>against whom indemnity is to be sought (the</w:t>
      </w:r>
    </w:p>
    <w:p w14:paraId="45E7994C" w14:textId="77777777" w:rsidR="00D1587D" w:rsidRDefault="00D1587D">
      <w:pPr>
        <w:spacing w:line="2" w:lineRule="exact"/>
        <w:rPr>
          <w:sz w:val="20"/>
          <w:szCs w:val="20"/>
        </w:rPr>
      </w:pPr>
    </w:p>
    <w:p w14:paraId="60F0DCB6" w14:textId="77777777" w:rsidR="00D1587D" w:rsidRDefault="00410D07">
      <w:pPr>
        <w:rPr>
          <w:sz w:val="20"/>
          <w:szCs w:val="20"/>
        </w:rPr>
      </w:pPr>
      <w:r>
        <w:rPr>
          <w:rFonts w:ascii="Arial" w:eastAsia="Arial" w:hAnsi="Arial" w:cs="Arial"/>
          <w:sz w:val="19"/>
          <w:szCs w:val="19"/>
        </w:rPr>
        <w:t>“</w:t>
      </w:r>
      <w:r>
        <w:rPr>
          <w:rFonts w:ascii="Arial" w:eastAsia="Arial" w:hAnsi="Arial" w:cs="Arial"/>
          <w:b/>
          <w:bCs/>
          <w:sz w:val="19"/>
          <w:szCs w:val="19"/>
        </w:rPr>
        <w:t>Indemnifying Party</w:t>
      </w:r>
      <w:r>
        <w:rPr>
          <w:rFonts w:ascii="Arial" w:eastAsia="Arial" w:hAnsi="Arial" w:cs="Arial"/>
          <w:sz w:val="19"/>
          <w:szCs w:val="19"/>
        </w:rPr>
        <w:t>”) of the assertion of any claim or the commencement of any suit, action or proceeding by any third party</w:t>
      </w:r>
    </w:p>
    <w:p w14:paraId="135025BC" w14:textId="77777777" w:rsidR="00D1587D" w:rsidRDefault="00D1587D">
      <w:pPr>
        <w:spacing w:line="25" w:lineRule="exact"/>
        <w:rPr>
          <w:sz w:val="20"/>
          <w:szCs w:val="20"/>
        </w:rPr>
      </w:pPr>
    </w:p>
    <w:p w14:paraId="04C45B31" w14:textId="77777777" w:rsidR="00D1587D" w:rsidRDefault="00410D07">
      <w:pPr>
        <w:rPr>
          <w:sz w:val="20"/>
          <w:szCs w:val="20"/>
        </w:rPr>
      </w:pPr>
      <w:r>
        <w:rPr>
          <w:rFonts w:ascii="Arial" w:eastAsia="Arial" w:hAnsi="Arial" w:cs="Arial"/>
          <w:sz w:val="21"/>
          <w:szCs w:val="21"/>
        </w:rPr>
        <w:t>(“</w:t>
      </w:r>
      <w:r>
        <w:rPr>
          <w:rFonts w:ascii="Arial" w:eastAsia="Arial" w:hAnsi="Arial" w:cs="Arial"/>
          <w:b/>
          <w:bCs/>
          <w:sz w:val="21"/>
          <w:szCs w:val="21"/>
        </w:rPr>
        <w:t>Third Party Claim</w:t>
      </w:r>
      <w:r>
        <w:rPr>
          <w:rFonts w:ascii="Arial" w:eastAsia="Arial" w:hAnsi="Arial" w:cs="Arial"/>
          <w:sz w:val="21"/>
          <w:szCs w:val="21"/>
        </w:rPr>
        <w:t>”) in respect of which indemnity may be sought under such Section.</w:t>
      </w:r>
      <w:r>
        <w:rPr>
          <w:rFonts w:ascii="Arial" w:eastAsia="Arial" w:hAnsi="Arial" w:cs="Arial"/>
          <w:sz w:val="21"/>
          <w:szCs w:val="21"/>
        </w:rPr>
        <w:t xml:space="preserve"> Such notice shall set forth in</w:t>
      </w:r>
    </w:p>
    <w:p w14:paraId="7BEB1B9F" w14:textId="77777777" w:rsidR="00D1587D" w:rsidRDefault="00D1587D">
      <w:pPr>
        <w:spacing w:line="2" w:lineRule="exact"/>
        <w:rPr>
          <w:sz w:val="20"/>
          <w:szCs w:val="20"/>
        </w:rPr>
      </w:pPr>
    </w:p>
    <w:p w14:paraId="058FA524" w14:textId="77777777" w:rsidR="00D1587D" w:rsidRDefault="00410D07">
      <w:pPr>
        <w:rPr>
          <w:sz w:val="20"/>
          <w:szCs w:val="20"/>
        </w:rPr>
      </w:pPr>
      <w:r>
        <w:rPr>
          <w:rFonts w:ascii="Arial" w:eastAsia="Arial" w:hAnsi="Arial" w:cs="Arial"/>
          <w:sz w:val="19"/>
          <w:szCs w:val="19"/>
        </w:rPr>
        <w:t>reasonable detail such Third Party Claim and the basis for indemnification (taking into account the information then available to</w:t>
      </w:r>
    </w:p>
    <w:p w14:paraId="72BF0BA6" w14:textId="77777777" w:rsidR="00D1587D" w:rsidRDefault="00D1587D">
      <w:pPr>
        <w:spacing w:line="25" w:lineRule="exact"/>
        <w:rPr>
          <w:sz w:val="20"/>
          <w:szCs w:val="20"/>
        </w:rPr>
      </w:pPr>
    </w:p>
    <w:p w14:paraId="262EDAA3" w14:textId="77777777" w:rsidR="00D1587D" w:rsidRDefault="00410D07">
      <w:pPr>
        <w:rPr>
          <w:sz w:val="20"/>
          <w:szCs w:val="20"/>
        </w:rPr>
      </w:pPr>
      <w:r>
        <w:rPr>
          <w:rFonts w:ascii="Arial" w:eastAsia="Arial" w:hAnsi="Arial" w:cs="Arial"/>
          <w:sz w:val="19"/>
          <w:szCs w:val="19"/>
        </w:rPr>
        <w:t xml:space="preserve">the Indemnified Party). The failure to so notify the Indemnifying Party shall not </w:t>
      </w:r>
      <w:r>
        <w:rPr>
          <w:rFonts w:ascii="Arial" w:eastAsia="Arial" w:hAnsi="Arial" w:cs="Arial"/>
          <w:sz w:val="19"/>
          <w:szCs w:val="19"/>
        </w:rPr>
        <w:t>relieve the Indemnifying Party of its obligations</w:t>
      </w:r>
    </w:p>
    <w:p w14:paraId="6E867874" w14:textId="77777777" w:rsidR="00D1587D" w:rsidRDefault="00D1587D">
      <w:pPr>
        <w:spacing w:line="25" w:lineRule="exact"/>
        <w:rPr>
          <w:sz w:val="20"/>
          <w:szCs w:val="20"/>
        </w:rPr>
      </w:pPr>
    </w:p>
    <w:p w14:paraId="37C7E0CB" w14:textId="77777777" w:rsidR="00D1587D" w:rsidRDefault="00410D07">
      <w:pPr>
        <w:rPr>
          <w:sz w:val="20"/>
          <w:szCs w:val="20"/>
        </w:rPr>
      </w:pPr>
      <w:r>
        <w:rPr>
          <w:rFonts w:ascii="Arial" w:eastAsia="Arial" w:hAnsi="Arial" w:cs="Arial"/>
        </w:rPr>
        <w:t>hereunder, except to the extent such failure shall have materially and adversely prejudiced the Indemnifying Party.</w:t>
      </w:r>
    </w:p>
    <w:p w14:paraId="0A079FE5" w14:textId="77777777" w:rsidR="00D1587D" w:rsidRDefault="00D1587D">
      <w:pPr>
        <w:spacing w:line="215" w:lineRule="exact"/>
        <w:rPr>
          <w:sz w:val="20"/>
          <w:szCs w:val="20"/>
        </w:rPr>
      </w:pPr>
    </w:p>
    <w:p w14:paraId="618DC6FE" w14:textId="77777777" w:rsidR="00D1587D" w:rsidRDefault="00410D07">
      <w:pPr>
        <w:numPr>
          <w:ilvl w:val="0"/>
          <w:numId w:val="69"/>
        </w:numPr>
        <w:tabs>
          <w:tab w:val="left" w:pos="1630"/>
        </w:tabs>
        <w:ind w:right="120" w:firstLine="850"/>
        <w:rPr>
          <w:rFonts w:ascii="Arial" w:eastAsia="Arial" w:hAnsi="Arial" w:cs="Arial"/>
        </w:rPr>
      </w:pPr>
      <w:r>
        <w:rPr>
          <w:rFonts w:ascii="Arial" w:eastAsia="Arial" w:hAnsi="Arial" w:cs="Arial"/>
        </w:rPr>
        <w:t>The Indemnifying Party shall be entitled to participate in the defense of any Third Part</w:t>
      </w:r>
      <w:r>
        <w:rPr>
          <w:rFonts w:ascii="Arial" w:eastAsia="Arial" w:hAnsi="Arial" w:cs="Arial"/>
        </w:rPr>
        <w:t>y Claim and, subject to the limitations set forth in this Section, shall be entitled to control and appoint lead counsel for such defense, in each case at its own expense.</w:t>
      </w:r>
    </w:p>
    <w:p w14:paraId="1717DDF6" w14:textId="77777777" w:rsidR="00D1587D" w:rsidRDefault="00D1587D">
      <w:pPr>
        <w:spacing w:line="213" w:lineRule="exact"/>
        <w:rPr>
          <w:rFonts w:ascii="Arial" w:eastAsia="Arial" w:hAnsi="Arial" w:cs="Arial"/>
        </w:rPr>
      </w:pPr>
    </w:p>
    <w:p w14:paraId="09AAD820" w14:textId="77777777" w:rsidR="00D1587D" w:rsidRDefault="00410D07">
      <w:pPr>
        <w:numPr>
          <w:ilvl w:val="0"/>
          <w:numId w:val="69"/>
        </w:numPr>
        <w:tabs>
          <w:tab w:val="left" w:pos="1622"/>
        </w:tabs>
        <w:spacing w:line="234" w:lineRule="auto"/>
        <w:ind w:right="40" w:firstLine="850"/>
        <w:rPr>
          <w:rFonts w:ascii="Arial" w:eastAsia="Arial" w:hAnsi="Arial" w:cs="Arial"/>
        </w:rPr>
      </w:pPr>
      <w:r>
        <w:rPr>
          <w:rFonts w:ascii="Arial" w:eastAsia="Arial" w:hAnsi="Arial" w:cs="Arial"/>
        </w:rPr>
        <w:t>If the Indemnifying Party shall assume the control of the defense of any Third Part</w:t>
      </w:r>
      <w:r>
        <w:rPr>
          <w:rFonts w:ascii="Arial" w:eastAsia="Arial" w:hAnsi="Arial" w:cs="Arial"/>
        </w:rPr>
        <w:t>y Claim in accordance with the provisions of this Section 6.02, (i) the Indemnifying Party shall obtain the prior written consent of the Indemnified Party (which shall not be unreasonably withheld, conditioned or delayed) before entering into any settlemen</w:t>
      </w:r>
      <w:r>
        <w:rPr>
          <w:rFonts w:ascii="Arial" w:eastAsia="Arial" w:hAnsi="Arial" w:cs="Arial"/>
        </w:rPr>
        <w:t xml:space="preserve">t of such Third Party Claim, if the settlement does not release the Indemnified Party and its Affiliates from all liabilities and obligations with respect to such Third Party Claim or the settlement imposes injunctive or other equitable relief against the </w:t>
      </w:r>
      <w:r>
        <w:rPr>
          <w:rFonts w:ascii="Arial" w:eastAsia="Arial" w:hAnsi="Arial" w:cs="Arial"/>
        </w:rPr>
        <w:t>Indemnified Party or any of its Affiliates and (ii) the Indemnified Party shall be entitled to participate in the defense of any Third Party Claim and to employ separate counsel of its choice for such purpose. The fees and expenses of such separate counsel</w:t>
      </w:r>
      <w:r>
        <w:rPr>
          <w:rFonts w:ascii="Arial" w:eastAsia="Arial" w:hAnsi="Arial" w:cs="Arial"/>
        </w:rPr>
        <w:t xml:space="preserve"> shall be paid by the Indemnified Party.</w:t>
      </w:r>
    </w:p>
    <w:p w14:paraId="7A31E81D" w14:textId="77777777" w:rsidR="00D1587D" w:rsidRDefault="00D1587D">
      <w:pPr>
        <w:spacing w:line="213" w:lineRule="exact"/>
        <w:rPr>
          <w:rFonts w:ascii="Arial" w:eastAsia="Arial" w:hAnsi="Arial" w:cs="Arial"/>
        </w:rPr>
      </w:pPr>
    </w:p>
    <w:p w14:paraId="67A28BFB" w14:textId="77777777" w:rsidR="00D1587D" w:rsidRDefault="00410D07">
      <w:pPr>
        <w:numPr>
          <w:ilvl w:val="0"/>
          <w:numId w:val="69"/>
        </w:numPr>
        <w:tabs>
          <w:tab w:val="left" w:pos="1634"/>
        </w:tabs>
        <w:spacing w:line="238" w:lineRule="auto"/>
        <w:ind w:right="440" w:firstLine="850"/>
        <w:rPr>
          <w:rFonts w:ascii="Arial" w:eastAsia="Arial" w:hAnsi="Arial" w:cs="Arial"/>
        </w:rPr>
      </w:pPr>
      <w:r>
        <w:rPr>
          <w:rFonts w:ascii="Arial" w:eastAsia="Arial" w:hAnsi="Arial" w:cs="Arial"/>
        </w:rPr>
        <w:t xml:space="preserve">Each party hereto shall cooperate, and cause their respective Affiliates to cooperate, in the defense or prosecution of any Third Party Claim and shall furnish or cause to be furnished such records, </w:t>
      </w:r>
      <w:r>
        <w:rPr>
          <w:rFonts w:ascii="Arial" w:eastAsia="Arial" w:hAnsi="Arial" w:cs="Arial"/>
        </w:rPr>
        <w:t>information and testimony, and attend such conferences, discovery proceedings, hearings, trials or appeals, as may be reasonably requested in connection therewith.</w:t>
      </w:r>
    </w:p>
    <w:p w14:paraId="61E1084E" w14:textId="77777777" w:rsidR="00D1587D" w:rsidRDefault="00D1587D">
      <w:pPr>
        <w:spacing w:line="212" w:lineRule="exact"/>
        <w:rPr>
          <w:sz w:val="20"/>
          <w:szCs w:val="20"/>
        </w:rPr>
      </w:pPr>
    </w:p>
    <w:p w14:paraId="1108764D" w14:textId="77777777" w:rsidR="00D1587D" w:rsidRDefault="00410D07">
      <w:pPr>
        <w:spacing w:line="273" w:lineRule="auto"/>
        <w:ind w:right="40" w:firstLine="648"/>
        <w:rPr>
          <w:sz w:val="20"/>
          <w:szCs w:val="20"/>
        </w:rPr>
      </w:pPr>
      <w:r>
        <w:rPr>
          <w:rFonts w:ascii="Arial" w:eastAsia="Arial" w:hAnsi="Arial" w:cs="Arial"/>
          <w:sz w:val="19"/>
          <w:szCs w:val="19"/>
        </w:rPr>
        <w:t xml:space="preserve">Section 6.03. </w:t>
      </w:r>
      <w:r>
        <w:rPr>
          <w:rFonts w:ascii="Arial" w:eastAsia="Arial" w:hAnsi="Arial" w:cs="Arial"/>
          <w:i/>
          <w:iCs/>
          <w:sz w:val="19"/>
          <w:szCs w:val="19"/>
        </w:rPr>
        <w:t>Direct Claim Procedure</w:t>
      </w:r>
      <w:r>
        <w:rPr>
          <w:rFonts w:ascii="Arial" w:eastAsia="Arial" w:hAnsi="Arial" w:cs="Arial"/>
          <w:sz w:val="19"/>
          <w:szCs w:val="19"/>
        </w:rPr>
        <w:t>s. In the event an Indemnified Party has a claim for in</w:t>
      </w:r>
      <w:r>
        <w:rPr>
          <w:rFonts w:ascii="Arial" w:eastAsia="Arial" w:hAnsi="Arial" w:cs="Arial"/>
          <w:sz w:val="19"/>
          <w:szCs w:val="19"/>
        </w:rPr>
        <w:t>demnity under Section 6.01 against an Indemnifying Party that does not involve a Third Party Claim, the Indemnified Party agrees to give prompt notice in writing of such claim to the Indemnifying Party. Such notice shall set forth in reasonable detail such</w:t>
      </w:r>
      <w:r>
        <w:rPr>
          <w:rFonts w:ascii="Arial" w:eastAsia="Arial" w:hAnsi="Arial" w:cs="Arial"/>
          <w:sz w:val="19"/>
          <w:szCs w:val="19"/>
        </w:rPr>
        <w:t xml:space="preserve"> claim and the basis for indemnification (taking into account the information then available to the Indemnified Party). The failure to so notify the Indemnifying Party shall not relieve the Indemnifying Party of its obligations hereunder, except to the ext</w:t>
      </w:r>
      <w:r>
        <w:rPr>
          <w:rFonts w:ascii="Arial" w:eastAsia="Arial" w:hAnsi="Arial" w:cs="Arial"/>
          <w:sz w:val="19"/>
          <w:szCs w:val="19"/>
        </w:rPr>
        <w:t>ent such failure shall have materially and adversely prejudiced the Indemnifying Party. If the Indemnifying Party does not notify the Indemnified Party within 30 days following the receipt of a notice with respect to any such claim that the Indemnifying Pa</w:t>
      </w:r>
      <w:r>
        <w:rPr>
          <w:rFonts w:ascii="Arial" w:eastAsia="Arial" w:hAnsi="Arial" w:cs="Arial"/>
          <w:sz w:val="19"/>
          <w:szCs w:val="19"/>
        </w:rPr>
        <w:t>rty disputes its indemnity obligation to the Indemnified Party for any Damages with respect to such claim, such Damages shall be conclusively deemed a liability of the Indemnifying Party and the Indemnifying Party shall promptly pay to the Indemnified Part</w:t>
      </w:r>
      <w:r>
        <w:rPr>
          <w:rFonts w:ascii="Arial" w:eastAsia="Arial" w:hAnsi="Arial" w:cs="Arial"/>
          <w:sz w:val="19"/>
          <w:szCs w:val="19"/>
        </w:rPr>
        <w:t>y any and all Damages arising out of such claim. If the Indemnifying Party has timely disputed its indemnity obligation for any Damages with respect to such claim, the parties shall follow the dispute resolution procedures set forth in Section 9.07.</w:t>
      </w:r>
    </w:p>
    <w:p w14:paraId="0CAF12E9" w14:textId="77777777" w:rsidR="00D1587D" w:rsidRDefault="00D1587D">
      <w:pPr>
        <w:spacing w:line="117" w:lineRule="exact"/>
        <w:rPr>
          <w:sz w:val="20"/>
          <w:szCs w:val="20"/>
        </w:rPr>
      </w:pPr>
    </w:p>
    <w:p w14:paraId="33752B32" w14:textId="77777777" w:rsidR="00D1587D" w:rsidRDefault="00410D07">
      <w:pPr>
        <w:ind w:right="-19"/>
        <w:jc w:val="center"/>
        <w:rPr>
          <w:sz w:val="20"/>
          <w:szCs w:val="20"/>
        </w:rPr>
      </w:pPr>
      <w:r>
        <w:rPr>
          <w:rFonts w:ascii="Arial" w:eastAsia="Arial" w:hAnsi="Arial" w:cs="Arial"/>
          <w:sz w:val="14"/>
          <w:szCs w:val="14"/>
        </w:rPr>
        <w:t>14</w:t>
      </w:r>
    </w:p>
    <w:p w14:paraId="3106D9A2" w14:textId="77777777" w:rsidR="00D1587D" w:rsidRDefault="00410D07">
      <w:pPr>
        <w:spacing w:line="20" w:lineRule="exact"/>
        <w:rPr>
          <w:sz w:val="20"/>
          <w:szCs w:val="20"/>
        </w:rPr>
      </w:pPr>
      <w:r>
        <w:rPr>
          <w:noProof/>
          <w:sz w:val="20"/>
          <w:szCs w:val="20"/>
        </w:rPr>
        <w:drawing>
          <wp:anchor distT="0" distB="0" distL="114300" distR="114300" simplePos="0" relativeHeight="251251712" behindDoc="1" locked="0" layoutInCell="0" allowOverlap="1" wp14:anchorId="0B605629" wp14:editId="09D606CA">
            <wp:simplePos x="0" y="0"/>
            <wp:positionH relativeFrom="column">
              <wp:posOffset>5080</wp:posOffset>
            </wp:positionH>
            <wp:positionV relativeFrom="paragraph">
              <wp:posOffset>38100</wp:posOffset>
            </wp:positionV>
            <wp:extent cx="7132320" cy="1714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ED7E5BA" w14:textId="77777777" w:rsidR="00D1587D" w:rsidRDefault="00D1587D">
      <w:pPr>
        <w:sectPr w:rsidR="00D1587D">
          <w:pgSz w:w="11900" w:h="16838"/>
          <w:pgMar w:top="361" w:right="339" w:bottom="1440" w:left="320" w:header="0" w:footer="0" w:gutter="0"/>
          <w:cols w:space="720" w:equalWidth="0">
            <w:col w:w="11240"/>
          </w:cols>
        </w:sectPr>
      </w:pPr>
    </w:p>
    <w:p w14:paraId="6B951484" w14:textId="77777777" w:rsidR="00D1587D" w:rsidRDefault="00410D07">
      <w:pPr>
        <w:spacing w:line="277" w:lineRule="auto"/>
        <w:ind w:right="180" w:firstLine="648"/>
        <w:rPr>
          <w:sz w:val="20"/>
          <w:szCs w:val="20"/>
        </w:rPr>
      </w:pPr>
      <w:bookmarkStart w:id="103" w:name="page104"/>
      <w:bookmarkEnd w:id="103"/>
      <w:r>
        <w:rPr>
          <w:rFonts w:ascii="Arial" w:eastAsia="Arial" w:hAnsi="Arial" w:cs="Arial"/>
          <w:sz w:val="19"/>
          <w:szCs w:val="19"/>
        </w:rPr>
        <w:t xml:space="preserve">Section 6.04. </w:t>
      </w:r>
      <w:r>
        <w:rPr>
          <w:rFonts w:ascii="Arial" w:eastAsia="Arial" w:hAnsi="Arial" w:cs="Arial"/>
          <w:i/>
          <w:iCs/>
          <w:sz w:val="19"/>
          <w:szCs w:val="19"/>
        </w:rPr>
        <w:t>Calculation of Damages.</w:t>
      </w:r>
      <w:r>
        <w:rPr>
          <w:rFonts w:ascii="Arial" w:eastAsia="Arial" w:hAnsi="Arial" w:cs="Arial"/>
          <w:sz w:val="19"/>
          <w:szCs w:val="19"/>
        </w:rPr>
        <w:t xml:space="preserve"> The amount of any Damages payable under Section 6.01 by the Indemnifying Party shall be net of any amounts recovered by the Indemnified Party under applicable insurance policies or from any other Pe</w:t>
      </w:r>
      <w:r>
        <w:rPr>
          <w:rFonts w:ascii="Arial" w:eastAsia="Arial" w:hAnsi="Arial" w:cs="Arial"/>
          <w:sz w:val="19"/>
          <w:szCs w:val="19"/>
        </w:rPr>
        <w:t>rson alleged to be responsible therefor. If the Indemnified Party receives any amounts under applicable insurance policies, or from any other Person alleged to be responsible for any Damages, subsequent to an indemnification payment by the Indemnifying Par</w:t>
      </w:r>
      <w:r>
        <w:rPr>
          <w:rFonts w:ascii="Arial" w:eastAsia="Arial" w:hAnsi="Arial" w:cs="Arial"/>
          <w:sz w:val="19"/>
          <w:szCs w:val="19"/>
        </w:rPr>
        <w:t>ty, then such Indemnified Party shall promptly reimburse the Indemnifying Party for any payment made or expense incurred by such Indemnifying Party in connection with providing such indemnification payment up to the amount received by the Indemnified Party</w:t>
      </w:r>
      <w:r>
        <w:rPr>
          <w:rFonts w:ascii="Arial" w:eastAsia="Arial" w:hAnsi="Arial" w:cs="Arial"/>
          <w:sz w:val="19"/>
          <w:szCs w:val="19"/>
        </w:rPr>
        <w:t>, net of any expenses incurred by such Indemnified Party in collecting such amount.</w:t>
      </w:r>
    </w:p>
    <w:p w14:paraId="51410736" w14:textId="77777777" w:rsidR="00D1587D" w:rsidRDefault="00D1587D">
      <w:pPr>
        <w:spacing w:line="179" w:lineRule="exact"/>
        <w:rPr>
          <w:sz w:val="20"/>
          <w:szCs w:val="20"/>
        </w:rPr>
      </w:pPr>
    </w:p>
    <w:p w14:paraId="46BE74D0" w14:textId="77777777" w:rsidR="00D1587D" w:rsidRDefault="00410D07">
      <w:pPr>
        <w:ind w:right="20" w:firstLine="648"/>
        <w:rPr>
          <w:sz w:val="20"/>
          <w:szCs w:val="20"/>
        </w:rPr>
      </w:pPr>
      <w:r>
        <w:rPr>
          <w:rFonts w:ascii="Arial" w:eastAsia="Arial" w:hAnsi="Arial" w:cs="Arial"/>
        </w:rPr>
        <w:t xml:space="preserve">Section 6.05. </w:t>
      </w:r>
      <w:r>
        <w:rPr>
          <w:rFonts w:ascii="Arial" w:eastAsia="Arial" w:hAnsi="Arial" w:cs="Arial"/>
          <w:i/>
          <w:iCs/>
        </w:rPr>
        <w:t>No Warranties.</w:t>
      </w:r>
      <w:r>
        <w:rPr>
          <w:rFonts w:ascii="Arial" w:eastAsia="Arial" w:hAnsi="Arial" w:cs="Arial"/>
        </w:rPr>
        <w:t xml:space="preserve"> Except as expressly set forth in this Agreement, neither party hereto makes, and no party hereto is relying on, any warranty, express or impli</w:t>
      </w:r>
      <w:r>
        <w:rPr>
          <w:rFonts w:ascii="Arial" w:eastAsia="Arial" w:hAnsi="Arial" w:cs="Arial"/>
        </w:rPr>
        <w:t>ed, with respect to the Services and each party hereto hereby specifically disclaims any implied warranty of reasonable care or workmanlike effort.</w:t>
      </w:r>
    </w:p>
    <w:p w14:paraId="1394335F" w14:textId="77777777" w:rsidR="00D1587D" w:rsidRDefault="00D1587D">
      <w:pPr>
        <w:spacing w:line="213" w:lineRule="exact"/>
        <w:rPr>
          <w:sz w:val="20"/>
          <w:szCs w:val="20"/>
        </w:rPr>
      </w:pPr>
    </w:p>
    <w:p w14:paraId="378374E4" w14:textId="77777777" w:rsidR="00D1587D" w:rsidRDefault="00410D07">
      <w:pPr>
        <w:spacing w:line="245" w:lineRule="auto"/>
        <w:ind w:right="20" w:firstLine="648"/>
        <w:rPr>
          <w:sz w:val="20"/>
          <w:szCs w:val="20"/>
        </w:rPr>
      </w:pPr>
      <w:r>
        <w:rPr>
          <w:rFonts w:ascii="Arial" w:eastAsia="Arial" w:hAnsi="Arial" w:cs="Arial"/>
          <w:sz w:val="21"/>
          <w:szCs w:val="21"/>
        </w:rPr>
        <w:t xml:space="preserve">Section 6.06. </w:t>
      </w:r>
      <w:r>
        <w:rPr>
          <w:rFonts w:ascii="Arial" w:eastAsia="Arial" w:hAnsi="Arial" w:cs="Arial"/>
          <w:i/>
          <w:iCs/>
          <w:sz w:val="21"/>
          <w:szCs w:val="21"/>
        </w:rPr>
        <w:t>Limitation of Liability; Exclusion of Damages</w:t>
      </w:r>
      <w:r>
        <w:rPr>
          <w:rFonts w:ascii="Arial" w:eastAsia="Arial" w:hAnsi="Arial" w:cs="Arial"/>
          <w:sz w:val="21"/>
          <w:szCs w:val="21"/>
        </w:rPr>
        <w:t>. (a) TO THE MAXIMUM EXTENT PERMITTED BY APPLICA</w:t>
      </w:r>
      <w:r>
        <w:rPr>
          <w:rFonts w:ascii="Arial" w:eastAsia="Arial" w:hAnsi="Arial" w:cs="Arial"/>
          <w:sz w:val="21"/>
          <w:szCs w:val="21"/>
        </w:rPr>
        <w:t>BLE LAW, EXCEPT FOR A PARTY’S BREACH OF ITS CONFIDENTIALITY OBLIGATIONS HEREUNDER OR A PARTY’S GROSS NEGLIGENCE, FRAUD OR WILLFUL MISCONDUCT, NO PARTY HERETO WILL BE LIABLE FOR ANY (I) PUNITIVE, SPECIAL, CONSEQUENTIAL, EXEMPLARY OR TREBLED DAMAGES (IN EACH</w:t>
      </w:r>
      <w:r>
        <w:rPr>
          <w:rFonts w:ascii="Arial" w:eastAsia="Arial" w:hAnsi="Arial" w:cs="Arial"/>
          <w:sz w:val="21"/>
          <w:szCs w:val="21"/>
        </w:rPr>
        <w:t xml:space="preserve"> CASE, EXCEPT TO THE EXTENT PAYABLE TO A THIRD PARTY IN RESPECT OF A THIRD PARTY PROCEEDING BASED ON A FINAL JUDGMENT OF A COURT OF COMPETENT JURISDICTION) OR (II) LOST PROFITS, DIMINUTION IN VALUE, MULTIPLE-BASED OR OTHER DAMAGES CALCULATED BASED ON A MUL</w:t>
      </w:r>
      <w:r>
        <w:rPr>
          <w:rFonts w:ascii="Arial" w:eastAsia="Arial" w:hAnsi="Arial" w:cs="Arial"/>
          <w:sz w:val="21"/>
          <w:szCs w:val="21"/>
        </w:rPr>
        <w:t>TIPLE OF ANOTHER FINANCIAL MEASURE, IN EACH CASE, ARISING OUT OF OR RELATING TO THIS AGREEMENT EVEN IF THE OTHER PARTY HAD BEEN ADVISED OF THE POSSIBILITY OF SUCH DAMAGES.</w:t>
      </w:r>
    </w:p>
    <w:p w14:paraId="49281D34" w14:textId="77777777" w:rsidR="00D1587D" w:rsidRDefault="00D1587D">
      <w:pPr>
        <w:spacing w:line="211" w:lineRule="exact"/>
        <w:rPr>
          <w:sz w:val="20"/>
          <w:szCs w:val="20"/>
        </w:rPr>
      </w:pPr>
    </w:p>
    <w:p w14:paraId="22F52D95" w14:textId="77777777" w:rsidR="00D1587D" w:rsidRDefault="00410D07">
      <w:pPr>
        <w:numPr>
          <w:ilvl w:val="0"/>
          <w:numId w:val="70"/>
        </w:numPr>
        <w:tabs>
          <w:tab w:val="left" w:pos="1634"/>
        </w:tabs>
        <w:spacing w:line="233" w:lineRule="auto"/>
        <w:ind w:firstLine="850"/>
        <w:rPr>
          <w:rFonts w:ascii="Arial" w:eastAsia="Arial" w:hAnsi="Arial" w:cs="Arial"/>
        </w:rPr>
      </w:pPr>
      <w:r>
        <w:rPr>
          <w:rFonts w:ascii="Arial" w:eastAsia="Arial" w:hAnsi="Arial" w:cs="Arial"/>
        </w:rPr>
        <w:t>NOTWITHSTANDING ANYTHING ELSE HEREIN TO THE CONTRARY, EXCEPT FOR SERVICE PROVIDER’S</w:t>
      </w:r>
      <w:r>
        <w:rPr>
          <w:rFonts w:ascii="Arial" w:eastAsia="Arial" w:hAnsi="Arial" w:cs="Arial"/>
        </w:rPr>
        <w:t xml:space="preserve"> GROSS NEGLIGENCE, FRAUD OR WILLFUL MISCONDUCT, THE MAXIMUM AGGREGATE LIABILITY OF SERVICE PROVIDER TO THE SERVICE RECIPIENTS OR TO ANY THIRD PARTY UNDER OR IN CONNECTION WITH THIS AGREEMENT SHALL NOT EXCEED AND SHALL BE LIMITED TO THE FEES ACTUALLY RECEIV</w:t>
      </w:r>
      <w:r>
        <w:rPr>
          <w:rFonts w:ascii="Arial" w:eastAsia="Arial" w:hAnsi="Arial" w:cs="Arial"/>
        </w:rPr>
        <w:t>ED BY SERVICE PROVIDER FOR THE SERVICES HEREUNDER (THE “</w:t>
      </w:r>
      <w:r>
        <w:rPr>
          <w:rFonts w:ascii="Arial" w:eastAsia="Arial" w:hAnsi="Arial" w:cs="Arial"/>
          <w:b/>
          <w:bCs/>
        </w:rPr>
        <w:t>CAP</w:t>
      </w:r>
      <w:r>
        <w:rPr>
          <w:rFonts w:ascii="Arial" w:eastAsia="Arial" w:hAnsi="Arial" w:cs="Arial"/>
        </w:rPr>
        <w:t xml:space="preserve">”); </w:t>
      </w:r>
      <w:r>
        <w:rPr>
          <w:rFonts w:ascii="Arial" w:eastAsia="Arial" w:hAnsi="Arial" w:cs="Arial"/>
          <w:i/>
          <w:iCs/>
        </w:rPr>
        <w:t>PROVIDED</w:t>
      </w:r>
      <w:r>
        <w:rPr>
          <w:rFonts w:ascii="Arial" w:eastAsia="Arial" w:hAnsi="Arial" w:cs="Arial"/>
        </w:rPr>
        <w:t xml:space="preserve"> THAT, WITH RESPECT TO ANY DAMAGES FOR WHICH SERVICE PROVIDER IS OBLIGATED TO INDEMNIFY VS UNDER SECTION 6.01(b) AND THAT RELATE TO DATA PRIVACY, CYBERSECURITY OR OTHER SIMILAR MATTERS, IF SERVICE PROVIDER, USING COMMERCIALLY REASONABLE EFFORTS AND EXERCIS</w:t>
      </w:r>
      <w:r>
        <w:rPr>
          <w:rFonts w:ascii="Arial" w:eastAsia="Arial" w:hAnsi="Arial" w:cs="Arial"/>
        </w:rPr>
        <w:t>ING GOOD FAITH, IS ABLE TO RECOVER AN AMOUNT GREATER THAN THE CAP FROM ITS APPLICABLE THIRD-PARTY SERVICE PROVIDERS, SUCH EXCESS RECOVERY SHALL BE PASSED THROUGH TO VS ON A PRO-RATA BASIS TO THE EXTENT OF SUCH DAMAGES.</w:t>
      </w:r>
    </w:p>
    <w:p w14:paraId="32E270DD" w14:textId="77777777" w:rsidR="00D1587D" w:rsidRDefault="00D1587D">
      <w:pPr>
        <w:spacing w:line="215" w:lineRule="exact"/>
        <w:rPr>
          <w:sz w:val="20"/>
          <w:szCs w:val="20"/>
        </w:rPr>
      </w:pPr>
    </w:p>
    <w:p w14:paraId="3410AFEB" w14:textId="77777777" w:rsidR="00D1587D" w:rsidRDefault="00410D07">
      <w:pPr>
        <w:ind w:right="-39"/>
        <w:jc w:val="center"/>
        <w:rPr>
          <w:sz w:val="20"/>
          <w:szCs w:val="20"/>
        </w:rPr>
      </w:pPr>
      <w:r>
        <w:rPr>
          <w:rFonts w:ascii="Arial" w:eastAsia="Arial" w:hAnsi="Arial" w:cs="Arial"/>
        </w:rPr>
        <w:t>ARTICLE 7</w:t>
      </w:r>
    </w:p>
    <w:p w14:paraId="7F3997D8" w14:textId="77777777" w:rsidR="00D1587D" w:rsidRDefault="00D1587D">
      <w:pPr>
        <w:spacing w:line="8" w:lineRule="exact"/>
        <w:rPr>
          <w:sz w:val="20"/>
          <w:szCs w:val="20"/>
        </w:rPr>
      </w:pPr>
    </w:p>
    <w:p w14:paraId="5F8332A0" w14:textId="77777777" w:rsidR="00D1587D" w:rsidRDefault="00410D07">
      <w:pPr>
        <w:ind w:right="-39"/>
        <w:jc w:val="center"/>
        <w:rPr>
          <w:sz w:val="20"/>
          <w:szCs w:val="20"/>
        </w:rPr>
      </w:pPr>
      <w:r>
        <w:rPr>
          <w:rFonts w:ascii="Arial" w:eastAsia="Arial" w:hAnsi="Arial" w:cs="Arial"/>
        </w:rPr>
        <w:t>T</w:t>
      </w:r>
      <w:r>
        <w:rPr>
          <w:rFonts w:ascii="Arial" w:eastAsia="Arial" w:hAnsi="Arial" w:cs="Arial"/>
          <w:sz w:val="14"/>
          <w:szCs w:val="14"/>
        </w:rPr>
        <w:t>ERMINATION OF</w:t>
      </w:r>
      <w:r>
        <w:rPr>
          <w:rFonts w:ascii="Arial" w:eastAsia="Arial" w:hAnsi="Arial" w:cs="Arial"/>
        </w:rPr>
        <w:t xml:space="preserve"> S</w:t>
      </w:r>
      <w:r>
        <w:rPr>
          <w:rFonts w:ascii="Arial" w:eastAsia="Arial" w:hAnsi="Arial" w:cs="Arial"/>
          <w:sz w:val="14"/>
          <w:szCs w:val="14"/>
        </w:rPr>
        <w:t>ERVICES</w:t>
      </w:r>
    </w:p>
    <w:p w14:paraId="473A1963" w14:textId="77777777" w:rsidR="00D1587D" w:rsidRDefault="00D1587D">
      <w:pPr>
        <w:spacing w:line="215" w:lineRule="exact"/>
        <w:rPr>
          <w:sz w:val="20"/>
          <w:szCs w:val="20"/>
        </w:rPr>
      </w:pPr>
    </w:p>
    <w:p w14:paraId="1AECCF12" w14:textId="77777777" w:rsidR="00D1587D" w:rsidRDefault="00410D07">
      <w:pPr>
        <w:spacing w:line="272" w:lineRule="auto"/>
        <w:ind w:right="20" w:firstLine="648"/>
        <w:rPr>
          <w:sz w:val="20"/>
          <w:szCs w:val="20"/>
        </w:rPr>
      </w:pPr>
      <w:r>
        <w:rPr>
          <w:rFonts w:ascii="Arial" w:eastAsia="Arial" w:hAnsi="Arial" w:cs="Arial"/>
          <w:sz w:val="19"/>
          <w:szCs w:val="19"/>
        </w:rPr>
        <w:t xml:space="preserve">Section 7.01. </w:t>
      </w:r>
      <w:r>
        <w:rPr>
          <w:rFonts w:ascii="Arial" w:eastAsia="Arial" w:hAnsi="Arial" w:cs="Arial"/>
          <w:i/>
          <w:iCs/>
          <w:sz w:val="19"/>
          <w:szCs w:val="19"/>
        </w:rPr>
        <w:t>Termination</w:t>
      </w:r>
      <w:r>
        <w:rPr>
          <w:rFonts w:ascii="Arial" w:eastAsia="Arial" w:hAnsi="Arial" w:cs="Arial"/>
          <w:sz w:val="19"/>
          <w:szCs w:val="19"/>
        </w:rPr>
        <w:t>. (a) Notwithstanding Section 2.01, except as expressly set forth otherwise in the applicable Service Schedule, VS may, at any time during the term of this Agreement and for any reason, terminate Service Provider’s obligat</w:t>
      </w:r>
      <w:r>
        <w:rPr>
          <w:rFonts w:ascii="Arial" w:eastAsia="Arial" w:hAnsi="Arial" w:cs="Arial"/>
          <w:sz w:val="19"/>
          <w:szCs w:val="19"/>
        </w:rPr>
        <w:t xml:space="preserve">ions to cause to be provided any or all Services, or any part of any Service, by giving at least 60 days’ prior written notice of such termination to Service Provider; </w:t>
      </w:r>
      <w:r>
        <w:rPr>
          <w:rFonts w:ascii="Arial" w:eastAsia="Arial" w:hAnsi="Arial" w:cs="Arial"/>
          <w:i/>
          <w:iCs/>
          <w:sz w:val="19"/>
          <w:szCs w:val="19"/>
        </w:rPr>
        <w:t>provided</w:t>
      </w:r>
      <w:r>
        <w:rPr>
          <w:rFonts w:ascii="Arial" w:eastAsia="Arial" w:hAnsi="Arial" w:cs="Arial"/>
          <w:sz w:val="19"/>
          <w:szCs w:val="19"/>
        </w:rPr>
        <w:t xml:space="preserve"> that in the event VS elects to terminate any (but not all) of the Services, (i)</w:t>
      </w:r>
      <w:r>
        <w:rPr>
          <w:rFonts w:ascii="Arial" w:eastAsia="Arial" w:hAnsi="Arial" w:cs="Arial"/>
          <w:sz w:val="19"/>
          <w:szCs w:val="19"/>
        </w:rPr>
        <w:t xml:space="preserve"> Service Provider may, within 10 Business Days following its receipt of such termination notice, provide VS with written notice of all applicable Dependent Services, (ii) upon receiving Service Provider’s notice pursuant to the foregoing clause (i), VS may</w:t>
      </w:r>
      <w:r>
        <w:rPr>
          <w:rFonts w:ascii="Arial" w:eastAsia="Arial" w:hAnsi="Arial" w:cs="Arial"/>
          <w:sz w:val="19"/>
          <w:szCs w:val="19"/>
        </w:rPr>
        <w:t xml:space="preserve"> provide notice within 5 Business Days of such receipt of its withdrawal of its termination notice and (iii) if VS does not withdraw its termination notice within such 5 Business Day period, the Dependent Services shall automatically terminate upon the eff</w:t>
      </w:r>
      <w:r>
        <w:rPr>
          <w:rFonts w:ascii="Arial" w:eastAsia="Arial" w:hAnsi="Arial" w:cs="Arial"/>
          <w:sz w:val="19"/>
          <w:szCs w:val="19"/>
        </w:rPr>
        <w:t>ective date of termination of such terminated Service. If VS notifies Service Provider of its intent to terminate any Service in part or reduce any Service, the Service Fees shall be reduced accordingly. For the avoidance of doubt, subject to the first sen</w:t>
      </w:r>
      <w:r>
        <w:rPr>
          <w:rFonts w:ascii="Arial" w:eastAsia="Arial" w:hAnsi="Arial" w:cs="Arial"/>
          <w:sz w:val="19"/>
          <w:szCs w:val="19"/>
        </w:rPr>
        <w:t>tence of this Section 7.01(a), if VS elects to terminate the provision of less than all Services, Service Provider shall continue to be obligated to cause to be provided any and all remaining Services.</w:t>
      </w:r>
    </w:p>
    <w:p w14:paraId="09D0B2CB" w14:textId="77777777" w:rsidR="00D1587D" w:rsidRDefault="00D1587D">
      <w:pPr>
        <w:spacing w:line="370" w:lineRule="exact"/>
        <w:rPr>
          <w:sz w:val="20"/>
          <w:szCs w:val="20"/>
        </w:rPr>
      </w:pPr>
    </w:p>
    <w:p w14:paraId="2667D3A4" w14:textId="77777777" w:rsidR="00D1587D" w:rsidRDefault="00410D07">
      <w:pPr>
        <w:ind w:right="-39"/>
        <w:jc w:val="center"/>
        <w:rPr>
          <w:sz w:val="20"/>
          <w:szCs w:val="20"/>
        </w:rPr>
      </w:pPr>
      <w:r>
        <w:rPr>
          <w:rFonts w:ascii="Arial" w:eastAsia="Arial" w:hAnsi="Arial" w:cs="Arial"/>
          <w:sz w:val="14"/>
          <w:szCs w:val="14"/>
        </w:rPr>
        <w:t>15</w:t>
      </w:r>
    </w:p>
    <w:p w14:paraId="782EEF66" w14:textId="77777777" w:rsidR="00D1587D" w:rsidRDefault="00410D07">
      <w:pPr>
        <w:spacing w:line="20" w:lineRule="exact"/>
        <w:rPr>
          <w:sz w:val="20"/>
          <w:szCs w:val="20"/>
        </w:rPr>
      </w:pPr>
      <w:r>
        <w:rPr>
          <w:noProof/>
          <w:sz w:val="20"/>
          <w:szCs w:val="20"/>
        </w:rPr>
        <w:drawing>
          <wp:anchor distT="0" distB="0" distL="114300" distR="114300" simplePos="0" relativeHeight="251252736" behindDoc="1" locked="0" layoutInCell="0" allowOverlap="1" wp14:anchorId="72CF2715" wp14:editId="101B3736">
            <wp:simplePos x="0" y="0"/>
            <wp:positionH relativeFrom="column">
              <wp:posOffset>5080</wp:posOffset>
            </wp:positionH>
            <wp:positionV relativeFrom="paragraph">
              <wp:posOffset>38100</wp:posOffset>
            </wp:positionV>
            <wp:extent cx="7132320" cy="1714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BA31E6E" w14:textId="77777777" w:rsidR="00D1587D" w:rsidRDefault="00D1587D">
      <w:pPr>
        <w:sectPr w:rsidR="00D1587D">
          <w:pgSz w:w="11900" w:h="16838"/>
          <w:pgMar w:top="361" w:right="359" w:bottom="1440" w:left="320" w:header="0" w:footer="0" w:gutter="0"/>
          <w:cols w:space="720" w:equalWidth="0">
            <w:col w:w="11220"/>
          </w:cols>
        </w:sectPr>
      </w:pPr>
    </w:p>
    <w:p w14:paraId="7BD33DE5" w14:textId="77777777" w:rsidR="00D1587D" w:rsidRDefault="00410D07">
      <w:pPr>
        <w:numPr>
          <w:ilvl w:val="0"/>
          <w:numId w:val="71"/>
        </w:numPr>
        <w:tabs>
          <w:tab w:val="left" w:pos="1634"/>
        </w:tabs>
        <w:spacing w:line="236" w:lineRule="auto"/>
        <w:ind w:right="300" w:firstLine="850"/>
        <w:rPr>
          <w:rFonts w:ascii="Arial" w:eastAsia="Arial" w:hAnsi="Arial" w:cs="Arial"/>
        </w:rPr>
      </w:pPr>
      <w:bookmarkStart w:id="104" w:name="page105"/>
      <w:bookmarkEnd w:id="104"/>
      <w:r>
        <w:rPr>
          <w:rFonts w:ascii="Arial" w:eastAsia="Arial" w:hAnsi="Arial" w:cs="Arial"/>
        </w:rPr>
        <w:t>Service Provider may termina</w:t>
      </w:r>
      <w:r>
        <w:rPr>
          <w:rFonts w:ascii="Arial" w:eastAsia="Arial" w:hAnsi="Arial" w:cs="Arial"/>
        </w:rPr>
        <w:t>te its obligations to cause to be provided any or all Services at any time if VS shall have failed to perform any of its material obligations under this Agreement relating to any such Service (including the failure to provide any access, information or dat</w:t>
      </w:r>
      <w:r>
        <w:rPr>
          <w:rFonts w:ascii="Arial" w:eastAsia="Arial" w:hAnsi="Arial" w:cs="Arial"/>
        </w:rPr>
        <w:t>a required to effectuate such Service), but only if Service Provider shall have notified VS in writing of such failure and such failure shall have continued for a period of 30 days after receipt by VS of such written notice.</w:t>
      </w:r>
    </w:p>
    <w:p w14:paraId="71FA7585" w14:textId="77777777" w:rsidR="00D1587D" w:rsidRDefault="00D1587D">
      <w:pPr>
        <w:spacing w:line="214" w:lineRule="exact"/>
        <w:rPr>
          <w:rFonts w:ascii="Arial" w:eastAsia="Arial" w:hAnsi="Arial" w:cs="Arial"/>
        </w:rPr>
      </w:pPr>
    </w:p>
    <w:p w14:paraId="307B6EEC" w14:textId="77777777" w:rsidR="00D1587D" w:rsidRDefault="00410D07">
      <w:pPr>
        <w:numPr>
          <w:ilvl w:val="0"/>
          <w:numId w:val="71"/>
        </w:numPr>
        <w:tabs>
          <w:tab w:val="left" w:pos="1622"/>
        </w:tabs>
        <w:spacing w:line="270" w:lineRule="auto"/>
        <w:ind w:firstLine="850"/>
        <w:rPr>
          <w:rFonts w:ascii="Arial" w:eastAsia="Arial" w:hAnsi="Arial" w:cs="Arial"/>
          <w:sz w:val="19"/>
          <w:szCs w:val="19"/>
        </w:rPr>
      </w:pPr>
      <w:r>
        <w:rPr>
          <w:rFonts w:ascii="Arial" w:eastAsia="Arial" w:hAnsi="Arial" w:cs="Arial"/>
          <w:sz w:val="19"/>
          <w:szCs w:val="19"/>
        </w:rPr>
        <w:t>If the performance of any Serv</w:t>
      </w:r>
      <w:r>
        <w:rPr>
          <w:rFonts w:ascii="Arial" w:eastAsia="Arial" w:hAnsi="Arial" w:cs="Arial"/>
          <w:sz w:val="19"/>
          <w:szCs w:val="19"/>
        </w:rPr>
        <w:t>ice subjects any Service Provider Party to a reasonable risk of violating an Applicable Law or would reasonably be expected to, individually or in the aggregate, materially and adversely affect the business of Service Provider or its Affiliates, then the r</w:t>
      </w:r>
      <w:r>
        <w:rPr>
          <w:rFonts w:ascii="Arial" w:eastAsia="Arial" w:hAnsi="Arial" w:cs="Arial"/>
          <w:sz w:val="19"/>
          <w:szCs w:val="19"/>
        </w:rPr>
        <w:t>elevant Service Provider Party (i) in the case of a violation of an Applicable Law, may immediately upon Service Provider providing written notice of such fact and the applicable Dependent Services to VS (it being understood that Service Provider shall pro</w:t>
      </w:r>
      <w:r>
        <w:rPr>
          <w:rFonts w:ascii="Arial" w:eastAsia="Arial" w:hAnsi="Arial" w:cs="Arial"/>
          <w:sz w:val="19"/>
          <w:szCs w:val="19"/>
        </w:rPr>
        <w:t xml:space="preserve">vide VS with as much advance notice as is reasonably practicable under the circumstances and permitted by Applicable Law), suspend performance of such Service and any and all Dependent Services without liability to Service Provider or any Service Provider </w:t>
      </w:r>
      <w:r>
        <w:rPr>
          <w:rFonts w:ascii="Arial" w:eastAsia="Arial" w:hAnsi="Arial" w:cs="Arial"/>
          <w:sz w:val="19"/>
          <w:szCs w:val="19"/>
        </w:rPr>
        <w:t>Party and (ii) in the case of a material and adverse effect to the business of Service Provider or its Affiliates, may, upon Service Provider providing written notice of such fact to VS sufficiently in advance to permit VS (acting reasonably) to arrange fo</w:t>
      </w:r>
      <w:r>
        <w:rPr>
          <w:rFonts w:ascii="Arial" w:eastAsia="Arial" w:hAnsi="Arial" w:cs="Arial"/>
          <w:sz w:val="19"/>
          <w:szCs w:val="19"/>
        </w:rPr>
        <w:t xml:space="preserve">r replacement services, suspend performance of such Service without liability; </w:t>
      </w:r>
      <w:r>
        <w:rPr>
          <w:rFonts w:ascii="Arial" w:eastAsia="Arial" w:hAnsi="Arial" w:cs="Arial"/>
          <w:i/>
          <w:iCs/>
          <w:sz w:val="19"/>
          <w:szCs w:val="19"/>
        </w:rPr>
        <w:t>provided</w:t>
      </w:r>
      <w:r>
        <w:rPr>
          <w:rFonts w:ascii="Arial" w:eastAsia="Arial" w:hAnsi="Arial" w:cs="Arial"/>
          <w:sz w:val="19"/>
          <w:szCs w:val="19"/>
        </w:rPr>
        <w:t xml:space="preserve"> that, (A) following delivery of such notice, the parties hereto will cooperate in good faith to promptly amend this Agreement to the extent necessary to eliminate such </w:t>
      </w:r>
      <w:r>
        <w:rPr>
          <w:rFonts w:ascii="Arial" w:eastAsia="Arial" w:hAnsi="Arial" w:cs="Arial"/>
          <w:sz w:val="19"/>
          <w:szCs w:val="19"/>
        </w:rPr>
        <w:t>violation of Applicable Law or such effect while as nearly as possible accomplishing the purpose of the intended Service in a mutually satisfactory manner and (B) VS shall not be obligated to pay for any such suspended Services during the pendency of any S</w:t>
      </w:r>
      <w:r>
        <w:rPr>
          <w:rFonts w:ascii="Arial" w:eastAsia="Arial" w:hAnsi="Arial" w:cs="Arial"/>
          <w:sz w:val="19"/>
          <w:szCs w:val="19"/>
        </w:rPr>
        <w:t xml:space="preserve">ervice Provider Party’s suspension of such Services (it being understood that VS shall remain liable for any Service Costs incurred or accrued for such Services prior to such suspension). If the parties hereto are unable to agree upon such an amendment to </w:t>
      </w:r>
      <w:r>
        <w:rPr>
          <w:rFonts w:ascii="Arial" w:eastAsia="Arial" w:hAnsi="Arial" w:cs="Arial"/>
          <w:sz w:val="19"/>
          <w:szCs w:val="19"/>
        </w:rPr>
        <w:t xml:space="preserve">this Agreement within 30 days of such notification, then either party hereto may terminate its obligation with respect to such suspended Services upon written notice to the other party hereto; </w:t>
      </w:r>
      <w:r>
        <w:rPr>
          <w:rFonts w:ascii="Arial" w:eastAsia="Arial" w:hAnsi="Arial" w:cs="Arial"/>
          <w:i/>
          <w:iCs/>
          <w:sz w:val="19"/>
          <w:szCs w:val="19"/>
        </w:rPr>
        <w:t xml:space="preserve">provided </w:t>
      </w:r>
      <w:r>
        <w:rPr>
          <w:rFonts w:ascii="Arial" w:eastAsia="Arial" w:hAnsi="Arial" w:cs="Arial"/>
          <w:sz w:val="19"/>
          <w:szCs w:val="19"/>
        </w:rPr>
        <w:t>that the applicable Dependent Services shall also auto</w:t>
      </w:r>
      <w:r>
        <w:rPr>
          <w:rFonts w:ascii="Arial" w:eastAsia="Arial" w:hAnsi="Arial" w:cs="Arial"/>
          <w:sz w:val="19"/>
          <w:szCs w:val="19"/>
        </w:rPr>
        <w:t>matically terminate upon the effective date of termination of such</w:t>
      </w:r>
      <w:r>
        <w:rPr>
          <w:rFonts w:ascii="Arial" w:eastAsia="Arial" w:hAnsi="Arial" w:cs="Arial"/>
          <w:i/>
          <w:iCs/>
          <w:sz w:val="19"/>
          <w:szCs w:val="19"/>
        </w:rPr>
        <w:t xml:space="preserve"> </w:t>
      </w:r>
      <w:r>
        <w:rPr>
          <w:rFonts w:ascii="Arial" w:eastAsia="Arial" w:hAnsi="Arial" w:cs="Arial"/>
          <w:sz w:val="19"/>
          <w:szCs w:val="19"/>
        </w:rPr>
        <w:t>suspended Services.</w:t>
      </w:r>
    </w:p>
    <w:p w14:paraId="0A5B141A" w14:textId="77777777" w:rsidR="00D1587D" w:rsidRDefault="00D1587D">
      <w:pPr>
        <w:spacing w:line="200" w:lineRule="exact"/>
        <w:rPr>
          <w:rFonts w:ascii="Arial" w:eastAsia="Arial" w:hAnsi="Arial" w:cs="Arial"/>
          <w:sz w:val="19"/>
          <w:szCs w:val="19"/>
        </w:rPr>
      </w:pPr>
    </w:p>
    <w:p w14:paraId="631EDE0B" w14:textId="77777777" w:rsidR="00D1587D" w:rsidRDefault="00D1587D">
      <w:pPr>
        <w:spacing w:line="238" w:lineRule="exact"/>
        <w:rPr>
          <w:rFonts w:ascii="Arial" w:eastAsia="Arial" w:hAnsi="Arial" w:cs="Arial"/>
          <w:sz w:val="19"/>
          <w:szCs w:val="19"/>
        </w:rPr>
      </w:pPr>
    </w:p>
    <w:p w14:paraId="32393978" w14:textId="77777777" w:rsidR="00D1587D" w:rsidRDefault="00410D07">
      <w:pPr>
        <w:numPr>
          <w:ilvl w:val="0"/>
          <w:numId w:val="71"/>
        </w:numPr>
        <w:tabs>
          <w:tab w:val="left" w:pos="1630"/>
        </w:tabs>
        <w:spacing w:line="238" w:lineRule="auto"/>
        <w:ind w:right="20" w:firstLine="850"/>
        <w:rPr>
          <w:rFonts w:ascii="Arial" w:eastAsia="Arial" w:hAnsi="Arial" w:cs="Arial"/>
        </w:rPr>
      </w:pPr>
      <w:r>
        <w:rPr>
          <w:rFonts w:ascii="Arial" w:eastAsia="Arial" w:hAnsi="Arial" w:cs="Arial"/>
        </w:rPr>
        <w:t xml:space="preserve">VS may terminate Service Provider’s obligation to cause to be provided any Service at any time if Service Provider shall have failed to perform any of its </w:t>
      </w:r>
      <w:r>
        <w:rPr>
          <w:rFonts w:ascii="Arial" w:eastAsia="Arial" w:hAnsi="Arial" w:cs="Arial"/>
        </w:rPr>
        <w:t>material obligations under this Agreement relating to such Service, but only if VS shall have notified Service Provider in writing of such failure and such failure shall have continued for a period of 30 days after receipt by Service Provider of such writt</w:t>
      </w:r>
      <w:r>
        <w:rPr>
          <w:rFonts w:ascii="Arial" w:eastAsia="Arial" w:hAnsi="Arial" w:cs="Arial"/>
        </w:rPr>
        <w:t>en notice.</w:t>
      </w:r>
    </w:p>
    <w:p w14:paraId="585E7288" w14:textId="77777777" w:rsidR="00D1587D" w:rsidRDefault="00D1587D">
      <w:pPr>
        <w:spacing w:line="211" w:lineRule="exact"/>
        <w:rPr>
          <w:rFonts w:ascii="Arial" w:eastAsia="Arial" w:hAnsi="Arial" w:cs="Arial"/>
        </w:rPr>
      </w:pPr>
    </w:p>
    <w:p w14:paraId="3A5C9F40" w14:textId="77777777" w:rsidR="00D1587D" w:rsidRDefault="00410D07">
      <w:pPr>
        <w:numPr>
          <w:ilvl w:val="0"/>
          <w:numId w:val="71"/>
        </w:numPr>
        <w:tabs>
          <w:tab w:val="left" w:pos="1622"/>
        </w:tabs>
        <w:spacing w:line="274" w:lineRule="auto"/>
        <w:ind w:right="100" w:firstLine="850"/>
        <w:rPr>
          <w:rFonts w:ascii="Arial" w:eastAsia="Arial" w:hAnsi="Arial" w:cs="Arial"/>
          <w:sz w:val="21"/>
          <w:szCs w:val="21"/>
        </w:rPr>
      </w:pPr>
      <w:r>
        <w:rPr>
          <w:rFonts w:ascii="Arial" w:eastAsia="Arial" w:hAnsi="Arial" w:cs="Arial"/>
          <w:sz w:val="21"/>
          <w:szCs w:val="21"/>
        </w:rPr>
        <w:t>Subject to Section 7.02, this Agreement shall terminate in its entirety on the date when no additional Services are to be provided as set forth in each applicable Service Schedules, as the same may hereafter be amended.</w:t>
      </w:r>
    </w:p>
    <w:p w14:paraId="0E563DE8" w14:textId="77777777" w:rsidR="00D1587D" w:rsidRDefault="00D1587D">
      <w:pPr>
        <w:spacing w:line="178" w:lineRule="exact"/>
        <w:rPr>
          <w:sz w:val="20"/>
          <w:szCs w:val="20"/>
        </w:rPr>
      </w:pPr>
    </w:p>
    <w:p w14:paraId="1D91B717" w14:textId="77777777" w:rsidR="00D1587D" w:rsidRDefault="00410D07">
      <w:pPr>
        <w:spacing w:line="268" w:lineRule="auto"/>
        <w:ind w:right="20" w:firstLine="648"/>
        <w:rPr>
          <w:sz w:val="20"/>
          <w:szCs w:val="20"/>
        </w:rPr>
      </w:pPr>
      <w:r>
        <w:rPr>
          <w:rFonts w:ascii="Arial" w:eastAsia="Arial" w:hAnsi="Arial" w:cs="Arial"/>
          <w:sz w:val="19"/>
          <w:szCs w:val="19"/>
        </w:rPr>
        <w:t xml:space="preserve">Section 7.02. </w:t>
      </w:r>
      <w:r>
        <w:rPr>
          <w:rFonts w:ascii="Arial" w:eastAsia="Arial" w:hAnsi="Arial" w:cs="Arial"/>
          <w:i/>
          <w:iCs/>
          <w:sz w:val="19"/>
          <w:szCs w:val="19"/>
        </w:rPr>
        <w:t>Effect of Termination.</w:t>
      </w:r>
      <w:r>
        <w:rPr>
          <w:rFonts w:ascii="Arial" w:eastAsia="Arial" w:hAnsi="Arial" w:cs="Arial"/>
          <w:sz w:val="19"/>
          <w:szCs w:val="19"/>
        </w:rPr>
        <w:t xml:space="preserve"> Other than as required by Applicable Law, upon expiration or termination of any or all Service(s) pursuant to Section 7.01 or otherwise pursuant to this Agreement, Service Provider shall have no further obligation to ca</w:t>
      </w:r>
      <w:r>
        <w:rPr>
          <w:rFonts w:ascii="Arial" w:eastAsia="Arial" w:hAnsi="Arial" w:cs="Arial"/>
          <w:sz w:val="19"/>
          <w:szCs w:val="19"/>
        </w:rPr>
        <w:t xml:space="preserve">use to be provided the terminated Service(s) and VS shall have no obligation to pay any Service Fees relating to such terminated Service(s); </w:t>
      </w:r>
      <w:r>
        <w:rPr>
          <w:rFonts w:ascii="Arial" w:eastAsia="Arial" w:hAnsi="Arial" w:cs="Arial"/>
          <w:i/>
          <w:iCs/>
          <w:sz w:val="19"/>
          <w:szCs w:val="19"/>
        </w:rPr>
        <w:t>provided</w:t>
      </w:r>
      <w:r>
        <w:rPr>
          <w:rFonts w:ascii="Arial" w:eastAsia="Arial" w:hAnsi="Arial" w:cs="Arial"/>
          <w:sz w:val="19"/>
          <w:szCs w:val="19"/>
        </w:rPr>
        <w:t xml:space="preserve"> that, notwithstanding such termination, the Service Recipients shall remain liable to Service Provider for</w:t>
      </w:r>
      <w:r>
        <w:rPr>
          <w:rFonts w:ascii="Arial" w:eastAsia="Arial" w:hAnsi="Arial" w:cs="Arial"/>
          <w:sz w:val="19"/>
          <w:szCs w:val="19"/>
        </w:rPr>
        <w:t xml:space="preserve"> (a) Service Costs incurred prior to the effective date of the expiration or termination of such Service(s), (b) the Disengagement Costs relating to the termination of such Service(s), and (c) in the case of a termination under Section 7.01(a), Section 7.0</w:t>
      </w:r>
      <w:r>
        <w:rPr>
          <w:rFonts w:ascii="Arial" w:eastAsia="Arial" w:hAnsi="Arial" w:cs="Arial"/>
          <w:sz w:val="19"/>
          <w:szCs w:val="19"/>
        </w:rPr>
        <w:t>1(b) or Section 7.01(c), without duplication of any Disengagement Costs, any fees, costs and expenses incurred by Service Provider (or any of its Affiliates) between the time of such termination and the time the provision of such Service(s) would have term</w:t>
      </w:r>
      <w:r>
        <w:rPr>
          <w:rFonts w:ascii="Arial" w:eastAsia="Arial" w:hAnsi="Arial" w:cs="Arial"/>
          <w:sz w:val="19"/>
          <w:szCs w:val="19"/>
        </w:rPr>
        <w:t xml:space="preserve">inated under this Agreement absent such early termination (including early termination charges, kill fees, wind-down costs, reasonable minimum volume make-up fees and other fees and costs, in each case actually payable or that have been paid in advance by </w:t>
      </w:r>
      <w:r>
        <w:rPr>
          <w:rFonts w:ascii="Arial" w:eastAsia="Arial" w:hAnsi="Arial" w:cs="Arial"/>
          <w:sz w:val="19"/>
          <w:szCs w:val="19"/>
        </w:rPr>
        <w:t>any Service Provider Party to a third party, and unamortized costs that Service Provider or its Affiliates previously incurred or are required to pay to a third party for services, equipment, licenses or other assets used for the provisions of such termina</w:t>
      </w:r>
      <w:r>
        <w:rPr>
          <w:rFonts w:ascii="Arial" w:eastAsia="Arial" w:hAnsi="Arial" w:cs="Arial"/>
          <w:sz w:val="19"/>
          <w:szCs w:val="19"/>
        </w:rPr>
        <w:t>ted Service) (collectively, “</w:t>
      </w:r>
      <w:r>
        <w:rPr>
          <w:rFonts w:ascii="Arial" w:eastAsia="Arial" w:hAnsi="Arial" w:cs="Arial"/>
          <w:b/>
          <w:bCs/>
          <w:sz w:val="19"/>
          <w:szCs w:val="19"/>
        </w:rPr>
        <w:t>Termination Fees</w:t>
      </w:r>
      <w:r>
        <w:rPr>
          <w:rFonts w:ascii="Arial" w:eastAsia="Arial" w:hAnsi="Arial" w:cs="Arial"/>
          <w:sz w:val="19"/>
          <w:szCs w:val="19"/>
        </w:rPr>
        <w:t>”) to the extent Service Provider or such other Service Provider Party cannot avoid the incurrence of any such Termination Fees using commercially reasonable efforts. For clarity, no Disengagement Costs are paya</w:t>
      </w:r>
      <w:r>
        <w:rPr>
          <w:rFonts w:ascii="Arial" w:eastAsia="Arial" w:hAnsi="Arial" w:cs="Arial"/>
          <w:sz w:val="19"/>
          <w:szCs w:val="19"/>
        </w:rPr>
        <w:t>ble in case of a termination under Section 7.01(d) or upon the expiration of the Term of any Service. All amounts payable pursuant to this Section 7.02 shall be invoiced to and payable by VS within 30 days after the date of invoice and otherwise in accorda</w:t>
      </w:r>
      <w:r>
        <w:rPr>
          <w:rFonts w:ascii="Arial" w:eastAsia="Arial" w:hAnsi="Arial" w:cs="Arial"/>
          <w:sz w:val="19"/>
          <w:szCs w:val="19"/>
        </w:rPr>
        <w:t>nce with Section 3.06. Notwithstanding any expiration or termination pursuant to Section</w:t>
      </w:r>
    </w:p>
    <w:p w14:paraId="7A299D9B" w14:textId="77777777" w:rsidR="00D1587D" w:rsidRDefault="00D1587D">
      <w:pPr>
        <w:spacing w:line="1" w:lineRule="exact"/>
        <w:rPr>
          <w:sz w:val="20"/>
          <w:szCs w:val="20"/>
        </w:rPr>
      </w:pPr>
    </w:p>
    <w:p w14:paraId="2990429D" w14:textId="77777777" w:rsidR="00D1587D" w:rsidRDefault="00410D07">
      <w:pPr>
        <w:spacing w:line="236" w:lineRule="auto"/>
        <w:ind w:right="80"/>
        <w:rPr>
          <w:sz w:val="20"/>
          <w:szCs w:val="20"/>
        </w:rPr>
      </w:pPr>
      <w:r>
        <w:rPr>
          <w:rFonts w:ascii="Arial" w:eastAsia="Arial" w:hAnsi="Arial" w:cs="Arial"/>
        </w:rPr>
        <w:t>7.01, Section 2.10 (but solely with respect to the first sentence), Section 3.08 and Articles 4, 5, 6, 7, and 9 shall survive any such expiration or termination indef</w:t>
      </w:r>
      <w:r>
        <w:rPr>
          <w:rFonts w:ascii="Arial" w:eastAsia="Arial" w:hAnsi="Arial" w:cs="Arial"/>
        </w:rPr>
        <w:t>initely.</w:t>
      </w:r>
    </w:p>
    <w:p w14:paraId="1E584BE4" w14:textId="77777777" w:rsidR="00D1587D" w:rsidRDefault="00D1587D">
      <w:pPr>
        <w:spacing w:line="149" w:lineRule="exact"/>
        <w:rPr>
          <w:sz w:val="20"/>
          <w:szCs w:val="20"/>
        </w:rPr>
      </w:pPr>
    </w:p>
    <w:p w14:paraId="3C642EEA" w14:textId="77777777" w:rsidR="00D1587D" w:rsidRDefault="00410D07">
      <w:pPr>
        <w:ind w:right="-39"/>
        <w:jc w:val="center"/>
        <w:rPr>
          <w:sz w:val="20"/>
          <w:szCs w:val="20"/>
        </w:rPr>
      </w:pPr>
      <w:r>
        <w:rPr>
          <w:rFonts w:ascii="Arial" w:eastAsia="Arial" w:hAnsi="Arial" w:cs="Arial"/>
          <w:sz w:val="14"/>
          <w:szCs w:val="14"/>
        </w:rPr>
        <w:t>16</w:t>
      </w:r>
    </w:p>
    <w:p w14:paraId="6A688C9D" w14:textId="77777777" w:rsidR="00D1587D" w:rsidRDefault="00410D07">
      <w:pPr>
        <w:spacing w:line="20" w:lineRule="exact"/>
        <w:rPr>
          <w:sz w:val="20"/>
          <w:szCs w:val="20"/>
        </w:rPr>
      </w:pPr>
      <w:r>
        <w:rPr>
          <w:noProof/>
          <w:sz w:val="20"/>
          <w:szCs w:val="20"/>
        </w:rPr>
        <w:drawing>
          <wp:anchor distT="0" distB="0" distL="114300" distR="114300" simplePos="0" relativeHeight="251253760" behindDoc="1" locked="0" layoutInCell="0" allowOverlap="1" wp14:anchorId="7F21B95A" wp14:editId="4BD0AE60">
            <wp:simplePos x="0" y="0"/>
            <wp:positionH relativeFrom="column">
              <wp:posOffset>5080</wp:posOffset>
            </wp:positionH>
            <wp:positionV relativeFrom="paragraph">
              <wp:posOffset>38100</wp:posOffset>
            </wp:positionV>
            <wp:extent cx="7132320" cy="1714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7E7596C" w14:textId="77777777" w:rsidR="00D1587D" w:rsidRDefault="00D1587D">
      <w:pPr>
        <w:sectPr w:rsidR="00D1587D">
          <w:pgSz w:w="11900" w:h="16838"/>
          <w:pgMar w:top="361" w:right="379" w:bottom="1440" w:left="320" w:header="0" w:footer="0" w:gutter="0"/>
          <w:cols w:space="720" w:equalWidth="0">
            <w:col w:w="11200"/>
          </w:cols>
        </w:sectPr>
      </w:pPr>
    </w:p>
    <w:p w14:paraId="115E5DC7" w14:textId="77777777" w:rsidR="00D1587D" w:rsidRDefault="00410D07">
      <w:pPr>
        <w:ind w:right="-39"/>
        <w:jc w:val="center"/>
        <w:rPr>
          <w:sz w:val="20"/>
          <w:szCs w:val="20"/>
        </w:rPr>
      </w:pPr>
      <w:bookmarkStart w:id="105" w:name="page106"/>
      <w:bookmarkEnd w:id="105"/>
      <w:r>
        <w:rPr>
          <w:rFonts w:ascii="Arial" w:eastAsia="Arial" w:hAnsi="Arial" w:cs="Arial"/>
        </w:rPr>
        <w:t>ARTICLE 8</w:t>
      </w:r>
    </w:p>
    <w:p w14:paraId="6C405117" w14:textId="77777777" w:rsidR="00D1587D" w:rsidRDefault="00D1587D">
      <w:pPr>
        <w:spacing w:line="8" w:lineRule="exact"/>
        <w:rPr>
          <w:sz w:val="20"/>
          <w:szCs w:val="20"/>
        </w:rPr>
      </w:pPr>
    </w:p>
    <w:p w14:paraId="7A73C93A" w14:textId="77777777" w:rsidR="00D1587D" w:rsidRDefault="00410D07">
      <w:pPr>
        <w:ind w:right="-39"/>
        <w:jc w:val="center"/>
        <w:rPr>
          <w:sz w:val="20"/>
          <w:szCs w:val="20"/>
        </w:rPr>
      </w:pPr>
      <w:r>
        <w:rPr>
          <w:rFonts w:ascii="Arial" w:eastAsia="Arial" w:hAnsi="Arial" w:cs="Arial"/>
        </w:rPr>
        <w:t>R</w:t>
      </w:r>
      <w:r>
        <w:rPr>
          <w:rFonts w:ascii="Arial" w:eastAsia="Arial" w:hAnsi="Arial" w:cs="Arial"/>
          <w:sz w:val="14"/>
          <w:szCs w:val="14"/>
        </w:rPr>
        <w:t>EPRESENTATIONS</w:t>
      </w:r>
      <w:r>
        <w:rPr>
          <w:rFonts w:ascii="Arial" w:eastAsia="Arial" w:hAnsi="Arial" w:cs="Arial"/>
        </w:rPr>
        <w:t xml:space="preserve"> A</w:t>
      </w:r>
      <w:r>
        <w:rPr>
          <w:rFonts w:ascii="Arial" w:eastAsia="Arial" w:hAnsi="Arial" w:cs="Arial"/>
          <w:sz w:val="14"/>
          <w:szCs w:val="14"/>
        </w:rPr>
        <w:t>ND</w:t>
      </w:r>
      <w:r>
        <w:rPr>
          <w:rFonts w:ascii="Arial" w:eastAsia="Arial" w:hAnsi="Arial" w:cs="Arial"/>
        </w:rPr>
        <w:t xml:space="preserve"> W</w:t>
      </w:r>
      <w:r>
        <w:rPr>
          <w:rFonts w:ascii="Arial" w:eastAsia="Arial" w:hAnsi="Arial" w:cs="Arial"/>
          <w:sz w:val="14"/>
          <w:szCs w:val="14"/>
        </w:rPr>
        <w:t>ARRANTIES</w:t>
      </w:r>
    </w:p>
    <w:p w14:paraId="46FBA93C" w14:textId="77777777" w:rsidR="00D1587D" w:rsidRDefault="00D1587D">
      <w:pPr>
        <w:spacing w:line="215" w:lineRule="exact"/>
        <w:rPr>
          <w:sz w:val="20"/>
          <w:szCs w:val="20"/>
        </w:rPr>
      </w:pPr>
    </w:p>
    <w:p w14:paraId="3F9843AE" w14:textId="77777777" w:rsidR="00D1587D" w:rsidRDefault="00410D07">
      <w:pPr>
        <w:tabs>
          <w:tab w:val="left" w:pos="2300"/>
        </w:tabs>
        <w:ind w:left="660"/>
        <w:rPr>
          <w:sz w:val="20"/>
          <w:szCs w:val="20"/>
        </w:rPr>
      </w:pPr>
      <w:r>
        <w:rPr>
          <w:rFonts w:ascii="Arial" w:eastAsia="Arial" w:hAnsi="Arial" w:cs="Arial"/>
        </w:rPr>
        <w:t>Section 8.01.</w:t>
      </w:r>
      <w:r>
        <w:rPr>
          <w:sz w:val="20"/>
          <w:szCs w:val="20"/>
        </w:rPr>
        <w:tab/>
      </w:r>
      <w:r>
        <w:rPr>
          <w:rFonts w:ascii="Arial" w:eastAsia="Arial" w:hAnsi="Arial" w:cs="Arial"/>
          <w:i/>
          <w:iCs/>
          <w:sz w:val="19"/>
          <w:szCs w:val="19"/>
        </w:rPr>
        <w:t>Representations and Warranties of Service Provider</w:t>
      </w:r>
      <w:r>
        <w:rPr>
          <w:rFonts w:ascii="Arial" w:eastAsia="Arial" w:hAnsi="Arial" w:cs="Arial"/>
          <w:sz w:val="19"/>
          <w:szCs w:val="19"/>
        </w:rPr>
        <w:t>. Service Provider represents and warrants to VS</w:t>
      </w:r>
    </w:p>
    <w:p w14:paraId="4F693EBB" w14:textId="77777777" w:rsidR="00D1587D" w:rsidRDefault="00D1587D">
      <w:pPr>
        <w:spacing w:line="8" w:lineRule="exact"/>
        <w:rPr>
          <w:sz w:val="20"/>
          <w:szCs w:val="20"/>
        </w:rPr>
      </w:pPr>
    </w:p>
    <w:p w14:paraId="13986194" w14:textId="77777777" w:rsidR="00D1587D" w:rsidRDefault="00410D07">
      <w:pPr>
        <w:rPr>
          <w:sz w:val="20"/>
          <w:szCs w:val="20"/>
        </w:rPr>
      </w:pPr>
      <w:r>
        <w:rPr>
          <w:rFonts w:ascii="Arial" w:eastAsia="Arial" w:hAnsi="Arial" w:cs="Arial"/>
        </w:rPr>
        <w:t>that:</w:t>
      </w:r>
    </w:p>
    <w:p w14:paraId="57E435D8" w14:textId="77777777" w:rsidR="00D1587D" w:rsidRDefault="00D1587D">
      <w:pPr>
        <w:spacing w:line="215" w:lineRule="exact"/>
        <w:rPr>
          <w:sz w:val="20"/>
          <w:szCs w:val="20"/>
        </w:rPr>
      </w:pPr>
    </w:p>
    <w:p w14:paraId="68F27975" w14:textId="77777777" w:rsidR="00D1587D" w:rsidRDefault="00410D07">
      <w:pPr>
        <w:numPr>
          <w:ilvl w:val="0"/>
          <w:numId w:val="72"/>
        </w:numPr>
        <w:tabs>
          <w:tab w:val="left" w:pos="1622"/>
        </w:tabs>
        <w:ind w:right="460" w:firstLine="850"/>
        <w:rPr>
          <w:rFonts w:ascii="Arial" w:eastAsia="Arial" w:hAnsi="Arial" w:cs="Arial"/>
        </w:rPr>
      </w:pPr>
      <w:r>
        <w:rPr>
          <w:rFonts w:ascii="Arial" w:eastAsia="Arial" w:hAnsi="Arial" w:cs="Arial"/>
        </w:rPr>
        <w:t xml:space="preserve">Service Provider is a corporation duly </w:t>
      </w:r>
      <w:r>
        <w:rPr>
          <w:rFonts w:ascii="Arial" w:eastAsia="Arial" w:hAnsi="Arial" w:cs="Arial"/>
        </w:rPr>
        <w:t>incorporated, validly existing and in good standing (with respect to jurisdictions that recognize such concept) under the laws of Delaware and has all corporate powers required to carry on its business as now conducted.</w:t>
      </w:r>
    </w:p>
    <w:p w14:paraId="392A5D1D" w14:textId="77777777" w:rsidR="00D1587D" w:rsidRDefault="00D1587D">
      <w:pPr>
        <w:spacing w:line="213" w:lineRule="exact"/>
        <w:rPr>
          <w:rFonts w:ascii="Arial" w:eastAsia="Arial" w:hAnsi="Arial" w:cs="Arial"/>
        </w:rPr>
      </w:pPr>
    </w:p>
    <w:p w14:paraId="2942F2AF" w14:textId="77777777" w:rsidR="00D1587D" w:rsidRDefault="00410D07">
      <w:pPr>
        <w:numPr>
          <w:ilvl w:val="0"/>
          <w:numId w:val="72"/>
        </w:numPr>
        <w:tabs>
          <w:tab w:val="left" w:pos="1630"/>
        </w:tabs>
        <w:spacing w:line="235" w:lineRule="auto"/>
        <w:ind w:right="80" w:firstLine="850"/>
        <w:rPr>
          <w:rFonts w:ascii="Arial" w:eastAsia="Arial" w:hAnsi="Arial" w:cs="Arial"/>
        </w:rPr>
      </w:pPr>
      <w:r>
        <w:rPr>
          <w:rFonts w:ascii="Arial" w:eastAsia="Arial" w:hAnsi="Arial" w:cs="Arial"/>
        </w:rPr>
        <w:t>The execution, delivery and perform</w:t>
      </w:r>
      <w:r>
        <w:rPr>
          <w:rFonts w:ascii="Arial" w:eastAsia="Arial" w:hAnsi="Arial" w:cs="Arial"/>
        </w:rPr>
        <w:t>ance by Service Provider of this Agreement and the consummation of the transactions contemplated hereby by Service Provider are within Service Provider’s corporate powers and have been duly authorized by all necessary corporate action on the part of Servic</w:t>
      </w:r>
      <w:r>
        <w:rPr>
          <w:rFonts w:ascii="Arial" w:eastAsia="Arial" w:hAnsi="Arial" w:cs="Arial"/>
        </w:rPr>
        <w:t>e Provider. This Agreement constitutes a valid and binding agreement of Service Provider enforceable against Service Provider in accordance with its terms (subject to applicable bankruptcy, insolvency, fraudulent transfer, reorganization, moratorium and ot</w:t>
      </w:r>
      <w:r>
        <w:rPr>
          <w:rFonts w:ascii="Arial" w:eastAsia="Arial" w:hAnsi="Arial" w:cs="Arial"/>
        </w:rPr>
        <w:t>her laws affecting creditors’ rights generally and general principles of equity).</w:t>
      </w:r>
    </w:p>
    <w:p w14:paraId="0864F28D" w14:textId="77777777" w:rsidR="00D1587D" w:rsidRDefault="00D1587D">
      <w:pPr>
        <w:spacing w:line="214" w:lineRule="exact"/>
        <w:rPr>
          <w:rFonts w:ascii="Arial" w:eastAsia="Arial" w:hAnsi="Arial" w:cs="Arial"/>
        </w:rPr>
      </w:pPr>
    </w:p>
    <w:p w14:paraId="23B9CFEF" w14:textId="77777777" w:rsidR="00D1587D" w:rsidRDefault="00410D07">
      <w:pPr>
        <w:numPr>
          <w:ilvl w:val="0"/>
          <w:numId w:val="72"/>
        </w:numPr>
        <w:tabs>
          <w:tab w:val="left" w:pos="1618"/>
        </w:tabs>
        <w:spacing w:line="236" w:lineRule="auto"/>
        <w:ind w:right="100" w:firstLine="850"/>
        <w:rPr>
          <w:rFonts w:ascii="Arial" w:eastAsia="Arial" w:hAnsi="Arial" w:cs="Arial"/>
        </w:rPr>
      </w:pPr>
      <w:r>
        <w:rPr>
          <w:rFonts w:ascii="Arial" w:eastAsia="Arial" w:hAnsi="Arial" w:cs="Arial"/>
        </w:rPr>
        <w:t>The execution, delivery and performance by Service Provider of this Agreement and the consummation of the transactions contemplated hereby by Service Provider require no act</w:t>
      </w:r>
      <w:r>
        <w:rPr>
          <w:rFonts w:ascii="Arial" w:eastAsia="Arial" w:hAnsi="Arial" w:cs="Arial"/>
        </w:rPr>
        <w:t>ion by or in respect of, or filing with, any Governmental Authority other than any such action or filing that has already been taken or made or as to which the failure to make or obtain would not reasonably be expected to materially impede or delay the per</w:t>
      </w:r>
      <w:r>
        <w:rPr>
          <w:rFonts w:ascii="Arial" w:eastAsia="Arial" w:hAnsi="Arial" w:cs="Arial"/>
        </w:rPr>
        <w:t>formance by Service Provider of its obligations hereunder.</w:t>
      </w:r>
    </w:p>
    <w:p w14:paraId="2A6ACCF5" w14:textId="77777777" w:rsidR="00D1587D" w:rsidRDefault="00D1587D">
      <w:pPr>
        <w:spacing w:line="214" w:lineRule="exact"/>
        <w:rPr>
          <w:sz w:val="20"/>
          <w:szCs w:val="20"/>
        </w:rPr>
      </w:pPr>
    </w:p>
    <w:p w14:paraId="5E459145" w14:textId="77777777" w:rsidR="00D1587D" w:rsidRDefault="00410D07">
      <w:pPr>
        <w:tabs>
          <w:tab w:val="left" w:pos="1660"/>
        </w:tabs>
        <w:rPr>
          <w:sz w:val="20"/>
          <w:szCs w:val="20"/>
        </w:rPr>
      </w:pPr>
      <w:r>
        <w:rPr>
          <w:rFonts w:ascii="Arial" w:eastAsia="Arial" w:hAnsi="Arial" w:cs="Arial"/>
        </w:rPr>
        <w:t>Section 8.02.</w:t>
      </w:r>
      <w:r>
        <w:rPr>
          <w:sz w:val="20"/>
          <w:szCs w:val="20"/>
        </w:rPr>
        <w:tab/>
      </w:r>
      <w:r>
        <w:rPr>
          <w:rFonts w:ascii="Arial" w:eastAsia="Arial" w:hAnsi="Arial" w:cs="Arial"/>
          <w:i/>
          <w:iCs/>
          <w:sz w:val="19"/>
          <w:szCs w:val="19"/>
        </w:rPr>
        <w:t>Representations and Warranties of VS</w:t>
      </w:r>
      <w:r>
        <w:rPr>
          <w:rFonts w:ascii="Arial" w:eastAsia="Arial" w:hAnsi="Arial" w:cs="Arial"/>
          <w:sz w:val="19"/>
          <w:szCs w:val="19"/>
        </w:rPr>
        <w:t>.  VS represents and warrants to Service Provider that:</w:t>
      </w:r>
    </w:p>
    <w:p w14:paraId="2DE2DBBC" w14:textId="77777777" w:rsidR="00D1587D" w:rsidRDefault="00D1587D">
      <w:pPr>
        <w:spacing w:line="233" w:lineRule="exact"/>
        <w:rPr>
          <w:sz w:val="20"/>
          <w:szCs w:val="20"/>
        </w:rPr>
      </w:pPr>
    </w:p>
    <w:p w14:paraId="731482B3" w14:textId="77777777" w:rsidR="00D1587D" w:rsidRDefault="00410D07">
      <w:pPr>
        <w:numPr>
          <w:ilvl w:val="0"/>
          <w:numId w:val="73"/>
        </w:numPr>
        <w:tabs>
          <w:tab w:val="left" w:pos="1618"/>
        </w:tabs>
        <w:ind w:right="380" w:firstLine="850"/>
        <w:rPr>
          <w:rFonts w:ascii="Arial" w:eastAsia="Arial" w:hAnsi="Arial" w:cs="Arial"/>
        </w:rPr>
      </w:pPr>
      <w:r>
        <w:rPr>
          <w:rFonts w:ascii="Arial" w:eastAsia="Arial" w:hAnsi="Arial" w:cs="Arial"/>
        </w:rPr>
        <w:t>VS is an entity duly organized, validly existing and in good standing (with respect to ju</w:t>
      </w:r>
      <w:r>
        <w:rPr>
          <w:rFonts w:ascii="Arial" w:eastAsia="Arial" w:hAnsi="Arial" w:cs="Arial"/>
        </w:rPr>
        <w:t>risdictions that recognize such concept) under the laws of its jurisdiction of organization and has all corporate powers required to carry on its business as now conducted.</w:t>
      </w:r>
    </w:p>
    <w:p w14:paraId="74E71133" w14:textId="77777777" w:rsidR="00D1587D" w:rsidRDefault="00D1587D">
      <w:pPr>
        <w:spacing w:line="213" w:lineRule="exact"/>
        <w:rPr>
          <w:rFonts w:ascii="Arial" w:eastAsia="Arial" w:hAnsi="Arial" w:cs="Arial"/>
        </w:rPr>
      </w:pPr>
    </w:p>
    <w:p w14:paraId="5F8BBB40" w14:textId="77777777" w:rsidR="00D1587D" w:rsidRDefault="00410D07">
      <w:pPr>
        <w:numPr>
          <w:ilvl w:val="0"/>
          <w:numId w:val="73"/>
        </w:numPr>
        <w:tabs>
          <w:tab w:val="left" w:pos="1630"/>
        </w:tabs>
        <w:spacing w:line="249" w:lineRule="auto"/>
        <w:ind w:right="20" w:firstLine="850"/>
        <w:rPr>
          <w:rFonts w:ascii="Arial" w:eastAsia="Arial" w:hAnsi="Arial" w:cs="Arial"/>
          <w:sz w:val="21"/>
          <w:szCs w:val="21"/>
        </w:rPr>
      </w:pPr>
      <w:r>
        <w:rPr>
          <w:rFonts w:ascii="Arial" w:eastAsia="Arial" w:hAnsi="Arial" w:cs="Arial"/>
          <w:sz w:val="21"/>
          <w:szCs w:val="21"/>
        </w:rPr>
        <w:t>The execution, delivery and performance by VS of this Agreement and the consummati</w:t>
      </w:r>
      <w:r>
        <w:rPr>
          <w:rFonts w:ascii="Arial" w:eastAsia="Arial" w:hAnsi="Arial" w:cs="Arial"/>
          <w:sz w:val="21"/>
          <w:szCs w:val="21"/>
        </w:rPr>
        <w:t>on of the transactions contemplated hereby by VS are within VS’s corporate powers and have been duly authorized by all necessary corporate action on the part of VS. This Agreement constitutes a valid and binding agreement of VS, enforceable against VS acco</w:t>
      </w:r>
      <w:r>
        <w:rPr>
          <w:rFonts w:ascii="Arial" w:eastAsia="Arial" w:hAnsi="Arial" w:cs="Arial"/>
          <w:sz w:val="21"/>
          <w:szCs w:val="21"/>
        </w:rPr>
        <w:t>rdance with its terms (subject to applicable bankruptcy, insolvency, fraudulent transfer, reorganization, moratorium and other laws affecting creditors’ rights generally and general principles of equity).</w:t>
      </w:r>
    </w:p>
    <w:p w14:paraId="0E9B6B7B" w14:textId="77777777" w:rsidR="00D1587D" w:rsidRDefault="00D1587D">
      <w:pPr>
        <w:spacing w:line="205" w:lineRule="exact"/>
        <w:rPr>
          <w:rFonts w:ascii="Arial" w:eastAsia="Arial" w:hAnsi="Arial" w:cs="Arial"/>
          <w:sz w:val="21"/>
          <w:szCs w:val="21"/>
        </w:rPr>
      </w:pPr>
    </w:p>
    <w:p w14:paraId="7B77105E" w14:textId="77777777" w:rsidR="00D1587D" w:rsidRDefault="00410D07">
      <w:pPr>
        <w:numPr>
          <w:ilvl w:val="0"/>
          <w:numId w:val="73"/>
        </w:numPr>
        <w:tabs>
          <w:tab w:val="left" w:pos="1618"/>
        </w:tabs>
        <w:spacing w:line="252" w:lineRule="auto"/>
        <w:ind w:firstLine="850"/>
        <w:rPr>
          <w:rFonts w:ascii="Arial" w:eastAsia="Arial" w:hAnsi="Arial" w:cs="Arial"/>
          <w:sz w:val="21"/>
          <w:szCs w:val="21"/>
        </w:rPr>
      </w:pPr>
      <w:r>
        <w:rPr>
          <w:rFonts w:ascii="Arial" w:eastAsia="Arial" w:hAnsi="Arial" w:cs="Arial"/>
          <w:sz w:val="21"/>
          <w:szCs w:val="21"/>
        </w:rPr>
        <w:t>The execution, delivery and performance by VS of t</w:t>
      </w:r>
      <w:r>
        <w:rPr>
          <w:rFonts w:ascii="Arial" w:eastAsia="Arial" w:hAnsi="Arial" w:cs="Arial"/>
          <w:sz w:val="21"/>
          <w:szCs w:val="21"/>
        </w:rPr>
        <w:t>his Agreement and the consummation of the transactions contemplated hereby by VS require no action by or in respect of, or filing with, any Governmental Authority other than any such action or filing that has already been taken or made or as to which the f</w:t>
      </w:r>
      <w:r>
        <w:rPr>
          <w:rFonts w:ascii="Arial" w:eastAsia="Arial" w:hAnsi="Arial" w:cs="Arial"/>
          <w:sz w:val="21"/>
          <w:szCs w:val="21"/>
        </w:rPr>
        <w:t>ailure to make or obtain would not reasonably be expected to materially impede or delay the performance by VS of its obligations hereunder.</w:t>
      </w:r>
    </w:p>
    <w:p w14:paraId="21BBD951" w14:textId="77777777" w:rsidR="00D1587D" w:rsidRDefault="00D1587D">
      <w:pPr>
        <w:spacing w:line="379" w:lineRule="exact"/>
        <w:rPr>
          <w:sz w:val="20"/>
          <w:szCs w:val="20"/>
        </w:rPr>
      </w:pPr>
    </w:p>
    <w:p w14:paraId="3E8CB2F2" w14:textId="77777777" w:rsidR="00D1587D" w:rsidRDefault="00410D07">
      <w:pPr>
        <w:ind w:right="-39"/>
        <w:jc w:val="center"/>
        <w:rPr>
          <w:sz w:val="20"/>
          <w:szCs w:val="20"/>
        </w:rPr>
      </w:pPr>
      <w:r>
        <w:rPr>
          <w:rFonts w:ascii="Arial" w:eastAsia="Arial" w:hAnsi="Arial" w:cs="Arial"/>
          <w:sz w:val="14"/>
          <w:szCs w:val="14"/>
        </w:rPr>
        <w:t>17</w:t>
      </w:r>
    </w:p>
    <w:p w14:paraId="36B9C26F" w14:textId="77777777" w:rsidR="00D1587D" w:rsidRDefault="00410D07">
      <w:pPr>
        <w:spacing w:line="20" w:lineRule="exact"/>
        <w:rPr>
          <w:sz w:val="20"/>
          <w:szCs w:val="20"/>
        </w:rPr>
      </w:pPr>
      <w:r>
        <w:rPr>
          <w:noProof/>
          <w:sz w:val="20"/>
          <w:szCs w:val="20"/>
        </w:rPr>
        <w:drawing>
          <wp:anchor distT="0" distB="0" distL="114300" distR="114300" simplePos="0" relativeHeight="251254784" behindDoc="1" locked="0" layoutInCell="0" allowOverlap="1" wp14:anchorId="1FBE7C4F" wp14:editId="69B39799">
            <wp:simplePos x="0" y="0"/>
            <wp:positionH relativeFrom="column">
              <wp:posOffset>5080</wp:posOffset>
            </wp:positionH>
            <wp:positionV relativeFrom="paragraph">
              <wp:posOffset>38100</wp:posOffset>
            </wp:positionV>
            <wp:extent cx="7132320" cy="1714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F64F1F8" w14:textId="77777777" w:rsidR="00D1587D" w:rsidRDefault="00D1587D">
      <w:pPr>
        <w:sectPr w:rsidR="00D1587D">
          <w:pgSz w:w="11900" w:h="16838"/>
          <w:pgMar w:top="361" w:right="359" w:bottom="1440" w:left="320" w:header="0" w:footer="0" w:gutter="0"/>
          <w:cols w:space="720" w:equalWidth="0">
            <w:col w:w="11220"/>
          </w:cols>
        </w:sectPr>
      </w:pPr>
    </w:p>
    <w:p w14:paraId="2EA3822C" w14:textId="77777777" w:rsidR="00D1587D" w:rsidRDefault="00410D07">
      <w:pPr>
        <w:jc w:val="center"/>
        <w:rPr>
          <w:sz w:val="20"/>
          <w:szCs w:val="20"/>
        </w:rPr>
      </w:pPr>
      <w:bookmarkStart w:id="106" w:name="page107"/>
      <w:bookmarkEnd w:id="106"/>
      <w:r>
        <w:rPr>
          <w:rFonts w:ascii="Arial" w:eastAsia="Arial" w:hAnsi="Arial" w:cs="Arial"/>
        </w:rPr>
        <w:t>ARTICLE 9</w:t>
      </w:r>
    </w:p>
    <w:p w14:paraId="51C5ABF9" w14:textId="77777777" w:rsidR="00D1587D" w:rsidRDefault="00D1587D">
      <w:pPr>
        <w:spacing w:line="8" w:lineRule="exact"/>
        <w:rPr>
          <w:sz w:val="20"/>
          <w:szCs w:val="20"/>
        </w:rPr>
      </w:pPr>
    </w:p>
    <w:p w14:paraId="27634F11" w14:textId="77777777" w:rsidR="00D1587D" w:rsidRDefault="00410D07">
      <w:pPr>
        <w:jc w:val="center"/>
        <w:rPr>
          <w:sz w:val="20"/>
          <w:szCs w:val="20"/>
        </w:rPr>
      </w:pPr>
      <w:r>
        <w:rPr>
          <w:rFonts w:ascii="Arial" w:eastAsia="Arial" w:hAnsi="Arial" w:cs="Arial"/>
        </w:rPr>
        <w:t>M</w:t>
      </w:r>
      <w:r>
        <w:rPr>
          <w:rFonts w:ascii="Arial" w:eastAsia="Arial" w:hAnsi="Arial" w:cs="Arial"/>
          <w:sz w:val="14"/>
          <w:szCs w:val="14"/>
        </w:rPr>
        <w:t>ISCELLANEOUS</w:t>
      </w:r>
    </w:p>
    <w:p w14:paraId="27DD1053" w14:textId="77777777" w:rsidR="00D1587D" w:rsidRDefault="00D1587D">
      <w:pPr>
        <w:spacing w:line="215" w:lineRule="exact"/>
        <w:rPr>
          <w:sz w:val="20"/>
          <w:szCs w:val="20"/>
        </w:rPr>
      </w:pPr>
    </w:p>
    <w:p w14:paraId="66C80F20" w14:textId="77777777" w:rsidR="00D1587D" w:rsidRDefault="00410D07">
      <w:pPr>
        <w:ind w:firstLine="648"/>
        <w:rPr>
          <w:sz w:val="20"/>
          <w:szCs w:val="20"/>
        </w:rPr>
      </w:pPr>
      <w:r>
        <w:rPr>
          <w:rFonts w:ascii="Arial" w:eastAsia="Arial" w:hAnsi="Arial" w:cs="Arial"/>
        </w:rPr>
        <w:t xml:space="preserve">Section 9.01. </w:t>
      </w:r>
      <w:r>
        <w:rPr>
          <w:rFonts w:ascii="Arial" w:eastAsia="Arial" w:hAnsi="Arial" w:cs="Arial"/>
          <w:i/>
          <w:iCs/>
        </w:rPr>
        <w:t>Notices.</w:t>
      </w:r>
      <w:r>
        <w:rPr>
          <w:rFonts w:ascii="Arial" w:eastAsia="Arial" w:hAnsi="Arial" w:cs="Arial"/>
        </w:rPr>
        <w:t xml:space="preserve"> Any notice, instruction, direction or demand under the terms of this Agreement required to be in writing shall be duly given upon delivery, if delivered by hand, facsimile transmission, mail, or e-mail transmission to the following addresses:</w:t>
      </w:r>
    </w:p>
    <w:p w14:paraId="23F929B3" w14:textId="77777777" w:rsidR="00D1587D" w:rsidRDefault="00D1587D">
      <w:pPr>
        <w:spacing w:line="213" w:lineRule="exact"/>
        <w:rPr>
          <w:sz w:val="20"/>
          <w:szCs w:val="20"/>
        </w:rPr>
      </w:pPr>
    </w:p>
    <w:p w14:paraId="28C18129" w14:textId="77777777" w:rsidR="00D1587D" w:rsidRDefault="00410D07">
      <w:pPr>
        <w:ind w:left="660"/>
        <w:rPr>
          <w:sz w:val="20"/>
          <w:szCs w:val="20"/>
        </w:rPr>
      </w:pPr>
      <w:r>
        <w:rPr>
          <w:rFonts w:ascii="Arial" w:eastAsia="Arial" w:hAnsi="Arial" w:cs="Arial"/>
        </w:rPr>
        <w:t>if to VS, t</w:t>
      </w:r>
      <w:r>
        <w:rPr>
          <w:rFonts w:ascii="Arial" w:eastAsia="Arial" w:hAnsi="Arial" w:cs="Arial"/>
        </w:rPr>
        <w:t>o:</w:t>
      </w:r>
    </w:p>
    <w:p w14:paraId="2284C029" w14:textId="77777777" w:rsidR="00D1587D" w:rsidRDefault="00D1587D">
      <w:pPr>
        <w:spacing w:line="240" w:lineRule="exact"/>
        <w:rPr>
          <w:sz w:val="20"/>
          <w:szCs w:val="20"/>
        </w:rPr>
      </w:pPr>
    </w:p>
    <w:p w14:paraId="59CCBC8F" w14:textId="77777777" w:rsidR="00D1587D" w:rsidRDefault="00410D07">
      <w:pPr>
        <w:ind w:left="1720"/>
        <w:rPr>
          <w:sz w:val="20"/>
          <w:szCs w:val="20"/>
        </w:rPr>
      </w:pPr>
      <w:r>
        <w:rPr>
          <w:rFonts w:ascii="Arial" w:eastAsia="Arial" w:hAnsi="Arial" w:cs="Arial"/>
          <w:sz w:val="18"/>
          <w:szCs w:val="18"/>
        </w:rPr>
        <w:t>Victoria’s Secret &amp; Co.</w:t>
      </w:r>
    </w:p>
    <w:p w14:paraId="1E6AA7B9" w14:textId="77777777" w:rsidR="00D1587D" w:rsidRDefault="00D1587D">
      <w:pPr>
        <w:spacing w:line="23" w:lineRule="exact"/>
        <w:rPr>
          <w:sz w:val="20"/>
          <w:szCs w:val="20"/>
        </w:rPr>
      </w:pPr>
    </w:p>
    <w:p w14:paraId="7CB11BA7" w14:textId="77777777" w:rsidR="00D1587D" w:rsidRDefault="00410D07">
      <w:pPr>
        <w:ind w:left="1720"/>
        <w:rPr>
          <w:sz w:val="20"/>
          <w:szCs w:val="20"/>
        </w:rPr>
      </w:pPr>
      <w:r>
        <w:rPr>
          <w:rFonts w:ascii="Arial" w:eastAsia="Arial" w:hAnsi="Arial" w:cs="Arial"/>
          <w:sz w:val="18"/>
          <w:szCs w:val="18"/>
        </w:rPr>
        <w:t>4 Limited Parkway East</w:t>
      </w:r>
    </w:p>
    <w:p w14:paraId="317EBF65" w14:textId="77777777" w:rsidR="00D1587D" w:rsidRDefault="00D1587D">
      <w:pPr>
        <w:spacing w:line="9" w:lineRule="exact"/>
        <w:rPr>
          <w:sz w:val="20"/>
          <w:szCs w:val="20"/>
        </w:rPr>
      </w:pPr>
    </w:p>
    <w:p w14:paraId="6681448E" w14:textId="77777777" w:rsidR="00D1587D" w:rsidRDefault="00410D07">
      <w:pPr>
        <w:ind w:left="1720"/>
        <w:rPr>
          <w:sz w:val="20"/>
          <w:szCs w:val="20"/>
        </w:rPr>
      </w:pPr>
      <w:r>
        <w:rPr>
          <w:rFonts w:ascii="Arial" w:eastAsia="Arial" w:hAnsi="Arial" w:cs="Arial"/>
          <w:sz w:val="18"/>
          <w:szCs w:val="18"/>
        </w:rPr>
        <w:t>Reynoldsburg, Ohio 43068</w:t>
      </w:r>
    </w:p>
    <w:p w14:paraId="082FE4A4" w14:textId="77777777" w:rsidR="00D1587D" w:rsidRDefault="00D1587D">
      <w:pPr>
        <w:spacing w:line="9" w:lineRule="exact"/>
        <w:rPr>
          <w:sz w:val="20"/>
          <w:szCs w:val="20"/>
        </w:rPr>
      </w:pPr>
    </w:p>
    <w:p w14:paraId="30630E05" w14:textId="77777777" w:rsidR="00D1587D" w:rsidRDefault="00410D07">
      <w:pPr>
        <w:tabs>
          <w:tab w:val="left" w:pos="2820"/>
        </w:tabs>
        <w:ind w:left="1720"/>
        <w:rPr>
          <w:sz w:val="20"/>
          <w:szCs w:val="20"/>
        </w:rPr>
      </w:pPr>
      <w:r>
        <w:rPr>
          <w:rFonts w:ascii="Arial" w:eastAsia="Arial" w:hAnsi="Arial" w:cs="Arial"/>
          <w:sz w:val="18"/>
          <w:szCs w:val="18"/>
        </w:rPr>
        <w:t>Attention:</w:t>
      </w:r>
      <w:r>
        <w:rPr>
          <w:sz w:val="20"/>
          <w:szCs w:val="20"/>
        </w:rPr>
        <w:tab/>
      </w:r>
      <w:r>
        <w:rPr>
          <w:rFonts w:ascii="Arial" w:eastAsia="Arial" w:hAnsi="Arial" w:cs="Arial"/>
          <w:sz w:val="18"/>
          <w:szCs w:val="18"/>
        </w:rPr>
        <w:t>[__]</w:t>
      </w:r>
    </w:p>
    <w:p w14:paraId="631D9042" w14:textId="77777777" w:rsidR="00D1587D" w:rsidRDefault="00D1587D">
      <w:pPr>
        <w:spacing w:line="9" w:lineRule="exact"/>
        <w:rPr>
          <w:sz w:val="20"/>
          <w:szCs w:val="20"/>
        </w:rPr>
      </w:pPr>
    </w:p>
    <w:p w14:paraId="003427E5" w14:textId="77777777" w:rsidR="00D1587D" w:rsidRDefault="00410D07">
      <w:pPr>
        <w:tabs>
          <w:tab w:val="left" w:pos="2820"/>
        </w:tabs>
        <w:ind w:left="1720"/>
        <w:rPr>
          <w:sz w:val="20"/>
          <w:szCs w:val="20"/>
        </w:rPr>
      </w:pPr>
      <w:r>
        <w:rPr>
          <w:rFonts w:ascii="Arial" w:eastAsia="Arial" w:hAnsi="Arial" w:cs="Arial"/>
          <w:sz w:val="18"/>
          <w:szCs w:val="18"/>
        </w:rPr>
        <w:t>E-mail:</w:t>
      </w:r>
      <w:r>
        <w:rPr>
          <w:sz w:val="20"/>
          <w:szCs w:val="20"/>
        </w:rPr>
        <w:tab/>
      </w:r>
      <w:r>
        <w:rPr>
          <w:rFonts w:ascii="Arial" w:eastAsia="Arial" w:hAnsi="Arial" w:cs="Arial"/>
          <w:sz w:val="17"/>
          <w:szCs w:val="17"/>
        </w:rPr>
        <w:t>[__]</w:t>
      </w:r>
    </w:p>
    <w:p w14:paraId="6BEB2F97" w14:textId="77777777" w:rsidR="00D1587D" w:rsidRDefault="00D1587D">
      <w:pPr>
        <w:spacing w:line="231" w:lineRule="exact"/>
        <w:rPr>
          <w:sz w:val="20"/>
          <w:szCs w:val="20"/>
        </w:rPr>
      </w:pPr>
    </w:p>
    <w:p w14:paraId="388DA4ED" w14:textId="77777777" w:rsidR="00D1587D" w:rsidRDefault="00410D07">
      <w:pPr>
        <w:ind w:left="660"/>
        <w:rPr>
          <w:sz w:val="20"/>
          <w:szCs w:val="20"/>
        </w:rPr>
      </w:pPr>
      <w:r>
        <w:rPr>
          <w:rFonts w:ascii="Arial" w:eastAsia="Arial" w:hAnsi="Arial" w:cs="Arial"/>
        </w:rPr>
        <w:t>with a copy (which shall not constitute notice) to:</w:t>
      </w:r>
    </w:p>
    <w:p w14:paraId="2CFCDDB5" w14:textId="77777777" w:rsidR="00D1587D" w:rsidRDefault="00D1587D">
      <w:pPr>
        <w:spacing w:line="240" w:lineRule="exact"/>
        <w:rPr>
          <w:sz w:val="20"/>
          <w:szCs w:val="20"/>
        </w:rPr>
      </w:pPr>
    </w:p>
    <w:p w14:paraId="7BD238C6" w14:textId="77777777" w:rsidR="00D1587D" w:rsidRDefault="00410D07">
      <w:pPr>
        <w:ind w:left="1660"/>
        <w:rPr>
          <w:sz w:val="20"/>
          <w:szCs w:val="20"/>
        </w:rPr>
      </w:pPr>
      <w:r>
        <w:rPr>
          <w:rFonts w:ascii="Arial" w:eastAsia="Arial" w:hAnsi="Arial" w:cs="Arial"/>
          <w:sz w:val="18"/>
          <w:szCs w:val="18"/>
        </w:rPr>
        <w:t>Davis Polk &amp; Wardwell LLP</w:t>
      </w:r>
    </w:p>
    <w:p w14:paraId="4AD903D5" w14:textId="77777777" w:rsidR="00D1587D" w:rsidRDefault="00D1587D">
      <w:pPr>
        <w:spacing w:line="23" w:lineRule="exact"/>
        <w:rPr>
          <w:sz w:val="20"/>
          <w:szCs w:val="20"/>
        </w:rPr>
      </w:pPr>
    </w:p>
    <w:p w14:paraId="0274DE9F" w14:textId="77777777" w:rsidR="00D1587D" w:rsidRDefault="00410D07">
      <w:pPr>
        <w:ind w:left="1660"/>
        <w:rPr>
          <w:sz w:val="20"/>
          <w:szCs w:val="20"/>
        </w:rPr>
      </w:pPr>
      <w:r>
        <w:rPr>
          <w:rFonts w:ascii="Arial" w:eastAsia="Arial" w:hAnsi="Arial" w:cs="Arial"/>
          <w:sz w:val="18"/>
          <w:szCs w:val="18"/>
        </w:rPr>
        <w:t>450 Lexington Avenue</w:t>
      </w:r>
    </w:p>
    <w:p w14:paraId="588D1DE0" w14:textId="77777777" w:rsidR="00D1587D" w:rsidRDefault="00D1587D">
      <w:pPr>
        <w:spacing w:line="9" w:lineRule="exact"/>
        <w:rPr>
          <w:sz w:val="20"/>
          <w:szCs w:val="20"/>
        </w:rPr>
      </w:pPr>
    </w:p>
    <w:p w14:paraId="38C00959" w14:textId="77777777" w:rsidR="00D1587D" w:rsidRDefault="00410D07">
      <w:pPr>
        <w:ind w:left="1660"/>
        <w:rPr>
          <w:sz w:val="20"/>
          <w:szCs w:val="20"/>
        </w:rPr>
      </w:pPr>
      <w:r>
        <w:rPr>
          <w:rFonts w:ascii="Arial" w:eastAsia="Arial" w:hAnsi="Arial" w:cs="Arial"/>
          <w:sz w:val="18"/>
          <w:szCs w:val="18"/>
        </w:rPr>
        <w:t>New York, New York 10017</w:t>
      </w:r>
    </w:p>
    <w:p w14:paraId="3A336630" w14:textId="77777777" w:rsidR="00D1587D" w:rsidRDefault="00D1587D">
      <w:pPr>
        <w:spacing w:line="9" w:lineRule="exact"/>
        <w:rPr>
          <w:sz w:val="20"/>
          <w:szCs w:val="20"/>
        </w:rPr>
      </w:pPr>
    </w:p>
    <w:p w14:paraId="60E40485" w14:textId="77777777" w:rsidR="00D1587D" w:rsidRDefault="00410D07">
      <w:pPr>
        <w:tabs>
          <w:tab w:val="left" w:pos="2760"/>
        </w:tabs>
        <w:ind w:left="1660"/>
        <w:rPr>
          <w:sz w:val="20"/>
          <w:szCs w:val="20"/>
        </w:rPr>
      </w:pPr>
      <w:r>
        <w:rPr>
          <w:rFonts w:ascii="Arial" w:eastAsia="Arial" w:hAnsi="Arial" w:cs="Arial"/>
          <w:sz w:val="18"/>
          <w:szCs w:val="18"/>
        </w:rPr>
        <w:t>Attention:</w:t>
      </w:r>
      <w:r>
        <w:rPr>
          <w:sz w:val="20"/>
          <w:szCs w:val="20"/>
        </w:rPr>
        <w:tab/>
      </w:r>
      <w:r>
        <w:rPr>
          <w:rFonts w:ascii="Arial" w:eastAsia="Arial" w:hAnsi="Arial" w:cs="Arial"/>
          <w:sz w:val="18"/>
          <w:szCs w:val="18"/>
        </w:rPr>
        <w:t>William H. Aaronson</w:t>
      </w:r>
    </w:p>
    <w:p w14:paraId="268E4E4A" w14:textId="77777777" w:rsidR="00D1587D" w:rsidRDefault="00D1587D">
      <w:pPr>
        <w:spacing w:line="9" w:lineRule="exact"/>
        <w:rPr>
          <w:sz w:val="20"/>
          <w:szCs w:val="20"/>
        </w:rPr>
      </w:pPr>
    </w:p>
    <w:p w14:paraId="3C5E3CE8" w14:textId="77777777" w:rsidR="00D1587D" w:rsidRDefault="00410D07">
      <w:pPr>
        <w:ind w:left="2780"/>
        <w:rPr>
          <w:sz w:val="20"/>
          <w:szCs w:val="20"/>
        </w:rPr>
      </w:pPr>
      <w:r>
        <w:rPr>
          <w:rFonts w:ascii="Arial" w:eastAsia="Arial" w:hAnsi="Arial" w:cs="Arial"/>
          <w:sz w:val="18"/>
          <w:szCs w:val="18"/>
        </w:rPr>
        <w:t>Cheryl Chan</w:t>
      </w:r>
    </w:p>
    <w:p w14:paraId="065369D3" w14:textId="77777777" w:rsidR="00D1587D" w:rsidRDefault="00D1587D">
      <w:pPr>
        <w:spacing w:line="9" w:lineRule="exact"/>
        <w:rPr>
          <w:sz w:val="20"/>
          <w:szCs w:val="20"/>
        </w:rPr>
      </w:pPr>
    </w:p>
    <w:p w14:paraId="490F7973" w14:textId="77777777" w:rsidR="00D1587D" w:rsidRDefault="00410D07">
      <w:pPr>
        <w:tabs>
          <w:tab w:val="left" w:pos="2760"/>
        </w:tabs>
        <w:ind w:left="1660"/>
        <w:rPr>
          <w:sz w:val="20"/>
          <w:szCs w:val="20"/>
        </w:rPr>
      </w:pPr>
      <w:r>
        <w:rPr>
          <w:rFonts w:ascii="Arial" w:eastAsia="Arial" w:hAnsi="Arial" w:cs="Arial"/>
          <w:sz w:val="18"/>
          <w:szCs w:val="18"/>
        </w:rPr>
        <w:t>E-mail:</w:t>
      </w:r>
      <w:r>
        <w:rPr>
          <w:sz w:val="20"/>
          <w:szCs w:val="20"/>
        </w:rPr>
        <w:tab/>
      </w:r>
      <w:r>
        <w:rPr>
          <w:rFonts w:ascii="Arial" w:eastAsia="Arial" w:hAnsi="Arial" w:cs="Arial"/>
          <w:sz w:val="16"/>
          <w:szCs w:val="16"/>
        </w:rPr>
        <w:t>william.aaronson@davispolk.com</w:t>
      </w:r>
    </w:p>
    <w:p w14:paraId="71B31AA6" w14:textId="77777777" w:rsidR="00D1587D" w:rsidRDefault="00D1587D">
      <w:pPr>
        <w:spacing w:line="9" w:lineRule="exact"/>
        <w:rPr>
          <w:sz w:val="20"/>
          <w:szCs w:val="20"/>
        </w:rPr>
      </w:pPr>
    </w:p>
    <w:p w14:paraId="7F124564" w14:textId="77777777" w:rsidR="00D1587D" w:rsidRDefault="00410D07">
      <w:pPr>
        <w:ind w:left="2780"/>
        <w:rPr>
          <w:sz w:val="20"/>
          <w:szCs w:val="20"/>
        </w:rPr>
      </w:pPr>
      <w:r>
        <w:rPr>
          <w:rFonts w:ascii="Arial" w:eastAsia="Arial" w:hAnsi="Arial" w:cs="Arial"/>
          <w:sz w:val="18"/>
          <w:szCs w:val="18"/>
        </w:rPr>
        <w:t>cheryl.chan@davispolk.com</w:t>
      </w:r>
    </w:p>
    <w:p w14:paraId="7AFD0D87" w14:textId="77777777" w:rsidR="00D1587D" w:rsidRDefault="00D1587D">
      <w:pPr>
        <w:spacing w:line="231" w:lineRule="exact"/>
        <w:rPr>
          <w:sz w:val="20"/>
          <w:szCs w:val="20"/>
        </w:rPr>
      </w:pPr>
    </w:p>
    <w:p w14:paraId="58FCEC27" w14:textId="77777777" w:rsidR="00D1587D" w:rsidRDefault="00410D07">
      <w:pPr>
        <w:ind w:left="660"/>
        <w:rPr>
          <w:sz w:val="20"/>
          <w:szCs w:val="20"/>
        </w:rPr>
      </w:pPr>
      <w:r>
        <w:rPr>
          <w:rFonts w:ascii="Arial" w:eastAsia="Arial" w:hAnsi="Arial" w:cs="Arial"/>
        </w:rPr>
        <w:t>if to Service Provider, to:</w:t>
      </w:r>
    </w:p>
    <w:p w14:paraId="79FC7499" w14:textId="77777777" w:rsidR="00D1587D" w:rsidRDefault="00D1587D">
      <w:pPr>
        <w:spacing w:line="240" w:lineRule="exact"/>
        <w:rPr>
          <w:sz w:val="20"/>
          <w:szCs w:val="20"/>
        </w:rPr>
      </w:pPr>
    </w:p>
    <w:p w14:paraId="65120904" w14:textId="77777777" w:rsidR="00D1587D" w:rsidRDefault="00410D07">
      <w:pPr>
        <w:ind w:left="1700"/>
        <w:rPr>
          <w:sz w:val="20"/>
          <w:szCs w:val="20"/>
        </w:rPr>
      </w:pPr>
      <w:r>
        <w:rPr>
          <w:rFonts w:ascii="Arial" w:eastAsia="Arial" w:hAnsi="Arial" w:cs="Arial"/>
          <w:sz w:val="18"/>
          <w:szCs w:val="18"/>
        </w:rPr>
        <w:t>L Brands, Inc.</w:t>
      </w:r>
    </w:p>
    <w:p w14:paraId="7FF0CCF8" w14:textId="77777777" w:rsidR="00D1587D" w:rsidRDefault="00D1587D">
      <w:pPr>
        <w:spacing w:line="23" w:lineRule="exact"/>
        <w:rPr>
          <w:sz w:val="20"/>
          <w:szCs w:val="20"/>
        </w:rPr>
      </w:pPr>
    </w:p>
    <w:p w14:paraId="53F44339" w14:textId="77777777" w:rsidR="00D1587D" w:rsidRDefault="00410D07">
      <w:pPr>
        <w:ind w:left="1700"/>
        <w:rPr>
          <w:sz w:val="20"/>
          <w:szCs w:val="20"/>
        </w:rPr>
      </w:pPr>
      <w:r>
        <w:rPr>
          <w:rFonts w:ascii="Arial" w:eastAsia="Arial" w:hAnsi="Arial" w:cs="Arial"/>
          <w:sz w:val="18"/>
          <w:szCs w:val="18"/>
        </w:rPr>
        <w:t>Three Limited Parkway</w:t>
      </w:r>
    </w:p>
    <w:p w14:paraId="5CC3C8BB" w14:textId="77777777" w:rsidR="00D1587D" w:rsidRDefault="00D1587D">
      <w:pPr>
        <w:spacing w:line="9" w:lineRule="exact"/>
        <w:rPr>
          <w:sz w:val="20"/>
          <w:szCs w:val="20"/>
        </w:rPr>
      </w:pPr>
    </w:p>
    <w:p w14:paraId="5DF8A4C5" w14:textId="77777777" w:rsidR="00D1587D" w:rsidRDefault="00410D07">
      <w:pPr>
        <w:ind w:left="1700"/>
        <w:rPr>
          <w:sz w:val="20"/>
          <w:szCs w:val="20"/>
        </w:rPr>
      </w:pPr>
      <w:r>
        <w:rPr>
          <w:rFonts w:ascii="Arial" w:eastAsia="Arial" w:hAnsi="Arial" w:cs="Arial"/>
          <w:sz w:val="18"/>
          <w:szCs w:val="18"/>
        </w:rPr>
        <w:t>Columbus, Ohio 43230</w:t>
      </w:r>
    </w:p>
    <w:p w14:paraId="26D5F68E" w14:textId="77777777" w:rsidR="00D1587D" w:rsidRDefault="00D1587D">
      <w:pPr>
        <w:spacing w:line="9" w:lineRule="exact"/>
        <w:rPr>
          <w:sz w:val="20"/>
          <w:szCs w:val="20"/>
        </w:rPr>
      </w:pPr>
    </w:p>
    <w:p w14:paraId="79606905" w14:textId="77777777" w:rsidR="00D1587D" w:rsidRDefault="00410D07">
      <w:pPr>
        <w:tabs>
          <w:tab w:val="left" w:pos="2800"/>
        </w:tabs>
        <w:ind w:left="1700"/>
        <w:rPr>
          <w:sz w:val="20"/>
          <w:szCs w:val="20"/>
        </w:rPr>
      </w:pPr>
      <w:r>
        <w:rPr>
          <w:rFonts w:ascii="Arial" w:eastAsia="Arial" w:hAnsi="Arial" w:cs="Arial"/>
          <w:sz w:val="18"/>
          <w:szCs w:val="18"/>
        </w:rPr>
        <w:t>Attention:</w:t>
      </w:r>
      <w:r>
        <w:rPr>
          <w:sz w:val="20"/>
          <w:szCs w:val="20"/>
        </w:rPr>
        <w:tab/>
      </w:r>
      <w:r>
        <w:rPr>
          <w:rFonts w:ascii="Arial" w:eastAsia="Arial" w:hAnsi="Arial" w:cs="Arial"/>
          <w:sz w:val="18"/>
          <w:szCs w:val="18"/>
        </w:rPr>
        <w:t>Tim Faber</w:t>
      </w:r>
    </w:p>
    <w:p w14:paraId="02A9D0F1" w14:textId="77777777" w:rsidR="00D1587D" w:rsidRDefault="00D1587D">
      <w:pPr>
        <w:spacing w:line="9" w:lineRule="exact"/>
        <w:rPr>
          <w:sz w:val="20"/>
          <w:szCs w:val="20"/>
        </w:rPr>
      </w:pPr>
    </w:p>
    <w:p w14:paraId="47C16539" w14:textId="77777777" w:rsidR="00D1587D" w:rsidRDefault="00410D07">
      <w:pPr>
        <w:tabs>
          <w:tab w:val="left" w:pos="2800"/>
        </w:tabs>
        <w:ind w:left="1700"/>
        <w:rPr>
          <w:sz w:val="20"/>
          <w:szCs w:val="20"/>
        </w:rPr>
      </w:pPr>
      <w:r>
        <w:rPr>
          <w:rFonts w:ascii="Arial" w:eastAsia="Arial" w:hAnsi="Arial" w:cs="Arial"/>
          <w:sz w:val="18"/>
          <w:szCs w:val="18"/>
        </w:rPr>
        <w:t>E-mail:</w:t>
      </w:r>
      <w:r>
        <w:rPr>
          <w:sz w:val="20"/>
          <w:szCs w:val="20"/>
        </w:rPr>
        <w:tab/>
      </w:r>
      <w:r>
        <w:rPr>
          <w:rFonts w:ascii="Arial" w:eastAsia="Arial" w:hAnsi="Arial" w:cs="Arial"/>
          <w:sz w:val="16"/>
          <w:szCs w:val="16"/>
        </w:rPr>
        <w:t>TFaber@lb.com</w:t>
      </w:r>
    </w:p>
    <w:p w14:paraId="615513F9" w14:textId="77777777" w:rsidR="00D1587D" w:rsidRDefault="00D1587D">
      <w:pPr>
        <w:spacing w:line="231" w:lineRule="exact"/>
        <w:rPr>
          <w:sz w:val="20"/>
          <w:szCs w:val="20"/>
        </w:rPr>
      </w:pPr>
    </w:p>
    <w:p w14:paraId="17EC2741" w14:textId="77777777" w:rsidR="00D1587D" w:rsidRDefault="00410D07">
      <w:pPr>
        <w:ind w:left="660"/>
        <w:rPr>
          <w:sz w:val="20"/>
          <w:szCs w:val="20"/>
        </w:rPr>
      </w:pPr>
      <w:r>
        <w:rPr>
          <w:rFonts w:ascii="Arial" w:eastAsia="Arial" w:hAnsi="Arial" w:cs="Arial"/>
        </w:rPr>
        <w:t>with a copy (which shall not constitute notice) to:</w:t>
      </w:r>
    </w:p>
    <w:p w14:paraId="59AA9C63" w14:textId="77777777" w:rsidR="00D1587D" w:rsidRDefault="00D1587D">
      <w:pPr>
        <w:spacing w:line="240" w:lineRule="exact"/>
        <w:rPr>
          <w:sz w:val="20"/>
          <w:szCs w:val="20"/>
        </w:rPr>
      </w:pPr>
    </w:p>
    <w:p w14:paraId="013E6F84" w14:textId="77777777" w:rsidR="00D1587D" w:rsidRDefault="00410D07">
      <w:pPr>
        <w:ind w:left="1660"/>
        <w:rPr>
          <w:sz w:val="20"/>
          <w:szCs w:val="20"/>
        </w:rPr>
      </w:pPr>
      <w:r>
        <w:rPr>
          <w:rFonts w:ascii="Arial" w:eastAsia="Arial" w:hAnsi="Arial" w:cs="Arial"/>
          <w:sz w:val="18"/>
          <w:szCs w:val="18"/>
        </w:rPr>
        <w:t>Davis Polk &amp; Wardwell LLP</w:t>
      </w:r>
    </w:p>
    <w:p w14:paraId="5348BD7F" w14:textId="77777777" w:rsidR="00D1587D" w:rsidRDefault="00D1587D">
      <w:pPr>
        <w:spacing w:line="23" w:lineRule="exact"/>
        <w:rPr>
          <w:sz w:val="20"/>
          <w:szCs w:val="20"/>
        </w:rPr>
      </w:pPr>
    </w:p>
    <w:p w14:paraId="289A80DD" w14:textId="77777777" w:rsidR="00D1587D" w:rsidRDefault="00410D07">
      <w:pPr>
        <w:ind w:left="1660"/>
        <w:rPr>
          <w:sz w:val="20"/>
          <w:szCs w:val="20"/>
        </w:rPr>
      </w:pPr>
      <w:r>
        <w:rPr>
          <w:rFonts w:ascii="Arial" w:eastAsia="Arial" w:hAnsi="Arial" w:cs="Arial"/>
          <w:sz w:val="18"/>
          <w:szCs w:val="18"/>
        </w:rPr>
        <w:t>450 Lexington Avenue</w:t>
      </w:r>
    </w:p>
    <w:p w14:paraId="4A4E676A" w14:textId="77777777" w:rsidR="00D1587D" w:rsidRDefault="00D1587D">
      <w:pPr>
        <w:spacing w:line="9" w:lineRule="exact"/>
        <w:rPr>
          <w:sz w:val="20"/>
          <w:szCs w:val="20"/>
        </w:rPr>
      </w:pPr>
    </w:p>
    <w:p w14:paraId="3CE23223" w14:textId="77777777" w:rsidR="00D1587D" w:rsidRDefault="00410D07">
      <w:pPr>
        <w:ind w:left="1660"/>
        <w:rPr>
          <w:sz w:val="20"/>
          <w:szCs w:val="20"/>
        </w:rPr>
      </w:pPr>
      <w:r>
        <w:rPr>
          <w:rFonts w:ascii="Arial" w:eastAsia="Arial" w:hAnsi="Arial" w:cs="Arial"/>
          <w:sz w:val="18"/>
          <w:szCs w:val="18"/>
        </w:rPr>
        <w:t>New York, New York 10017</w:t>
      </w:r>
    </w:p>
    <w:p w14:paraId="4CAA4061" w14:textId="77777777" w:rsidR="00D1587D" w:rsidRDefault="00D1587D">
      <w:pPr>
        <w:spacing w:line="9" w:lineRule="exact"/>
        <w:rPr>
          <w:sz w:val="20"/>
          <w:szCs w:val="20"/>
        </w:rPr>
      </w:pPr>
    </w:p>
    <w:p w14:paraId="3A74B702" w14:textId="77777777" w:rsidR="00D1587D" w:rsidRDefault="00410D07">
      <w:pPr>
        <w:tabs>
          <w:tab w:val="left" w:pos="2760"/>
        </w:tabs>
        <w:ind w:left="1660"/>
        <w:rPr>
          <w:sz w:val="20"/>
          <w:szCs w:val="20"/>
        </w:rPr>
      </w:pPr>
      <w:r>
        <w:rPr>
          <w:rFonts w:ascii="Arial" w:eastAsia="Arial" w:hAnsi="Arial" w:cs="Arial"/>
          <w:sz w:val="18"/>
          <w:szCs w:val="18"/>
        </w:rPr>
        <w:t>Attention:</w:t>
      </w:r>
      <w:r>
        <w:rPr>
          <w:sz w:val="20"/>
          <w:szCs w:val="20"/>
        </w:rPr>
        <w:tab/>
      </w:r>
      <w:r>
        <w:rPr>
          <w:rFonts w:ascii="Arial" w:eastAsia="Arial" w:hAnsi="Arial" w:cs="Arial"/>
          <w:sz w:val="18"/>
          <w:szCs w:val="18"/>
        </w:rPr>
        <w:t>William H. Aaronson</w:t>
      </w:r>
    </w:p>
    <w:p w14:paraId="2A9DA58A" w14:textId="77777777" w:rsidR="00D1587D" w:rsidRDefault="00D1587D">
      <w:pPr>
        <w:spacing w:line="9" w:lineRule="exact"/>
        <w:rPr>
          <w:sz w:val="20"/>
          <w:szCs w:val="20"/>
        </w:rPr>
      </w:pPr>
    </w:p>
    <w:p w14:paraId="7CE4627D" w14:textId="77777777" w:rsidR="00D1587D" w:rsidRDefault="00410D07">
      <w:pPr>
        <w:ind w:left="2780"/>
        <w:rPr>
          <w:sz w:val="20"/>
          <w:szCs w:val="20"/>
        </w:rPr>
      </w:pPr>
      <w:r>
        <w:rPr>
          <w:rFonts w:ascii="Arial" w:eastAsia="Arial" w:hAnsi="Arial" w:cs="Arial"/>
          <w:sz w:val="18"/>
          <w:szCs w:val="18"/>
        </w:rPr>
        <w:t>Cheryl Chan</w:t>
      </w:r>
    </w:p>
    <w:p w14:paraId="60A360ED" w14:textId="77777777" w:rsidR="00D1587D" w:rsidRDefault="00D1587D">
      <w:pPr>
        <w:spacing w:line="9" w:lineRule="exact"/>
        <w:rPr>
          <w:sz w:val="20"/>
          <w:szCs w:val="20"/>
        </w:rPr>
      </w:pPr>
    </w:p>
    <w:p w14:paraId="76CA4653" w14:textId="77777777" w:rsidR="00D1587D" w:rsidRDefault="00410D07">
      <w:pPr>
        <w:tabs>
          <w:tab w:val="left" w:pos="2760"/>
        </w:tabs>
        <w:ind w:left="1660"/>
        <w:rPr>
          <w:sz w:val="20"/>
          <w:szCs w:val="20"/>
        </w:rPr>
      </w:pPr>
      <w:r>
        <w:rPr>
          <w:rFonts w:ascii="Arial" w:eastAsia="Arial" w:hAnsi="Arial" w:cs="Arial"/>
          <w:sz w:val="18"/>
          <w:szCs w:val="18"/>
        </w:rPr>
        <w:t>E-mail:</w:t>
      </w:r>
      <w:r>
        <w:rPr>
          <w:sz w:val="20"/>
          <w:szCs w:val="20"/>
        </w:rPr>
        <w:tab/>
      </w:r>
      <w:r>
        <w:rPr>
          <w:rFonts w:ascii="Arial" w:eastAsia="Arial" w:hAnsi="Arial" w:cs="Arial"/>
          <w:sz w:val="16"/>
          <w:szCs w:val="16"/>
        </w:rPr>
        <w:t>william.aaronson@davispolk.com</w:t>
      </w:r>
    </w:p>
    <w:p w14:paraId="48F8E360" w14:textId="77777777" w:rsidR="00D1587D" w:rsidRDefault="00D1587D">
      <w:pPr>
        <w:spacing w:line="9" w:lineRule="exact"/>
        <w:rPr>
          <w:sz w:val="20"/>
          <w:szCs w:val="20"/>
        </w:rPr>
      </w:pPr>
    </w:p>
    <w:p w14:paraId="0F37B238" w14:textId="77777777" w:rsidR="00D1587D" w:rsidRDefault="00410D07">
      <w:pPr>
        <w:ind w:left="2780"/>
        <w:rPr>
          <w:sz w:val="20"/>
          <w:szCs w:val="20"/>
        </w:rPr>
      </w:pPr>
      <w:r>
        <w:rPr>
          <w:rFonts w:ascii="Arial" w:eastAsia="Arial" w:hAnsi="Arial" w:cs="Arial"/>
          <w:sz w:val="18"/>
          <w:szCs w:val="18"/>
        </w:rPr>
        <w:t>cheryl.chan@davispolk.com</w:t>
      </w:r>
    </w:p>
    <w:p w14:paraId="66BCC7BD" w14:textId="77777777" w:rsidR="00D1587D" w:rsidRDefault="00D1587D">
      <w:pPr>
        <w:spacing w:line="231" w:lineRule="exact"/>
        <w:rPr>
          <w:sz w:val="20"/>
          <w:szCs w:val="20"/>
        </w:rPr>
      </w:pPr>
    </w:p>
    <w:p w14:paraId="73477CBE" w14:textId="77777777" w:rsidR="00D1587D" w:rsidRDefault="00410D07">
      <w:pPr>
        <w:spacing w:line="236" w:lineRule="auto"/>
        <w:ind w:right="160"/>
        <w:rPr>
          <w:sz w:val="20"/>
          <w:szCs w:val="20"/>
        </w:rPr>
      </w:pPr>
      <w:r>
        <w:rPr>
          <w:rFonts w:ascii="Arial" w:eastAsia="Arial" w:hAnsi="Arial" w:cs="Arial"/>
        </w:rPr>
        <w:t>or such other address or facsimile number as such party may hereafter specify for the purpose by notice to the other parties hereto. All such notices, requests and other communications shall be deemed received on the date of rece</w:t>
      </w:r>
      <w:r>
        <w:rPr>
          <w:rFonts w:ascii="Arial" w:eastAsia="Arial" w:hAnsi="Arial" w:cs="Arial"/>
        </w:rPr>
        <w:t>ipt by the recipient thereof if received prior to 5:00 p.m. in the place of receipt and such day is a Business Day in the place of receipt. Otherwise, any such notice, request or communication shall be deemed not to have been received until the next succee</w:t>
      </w:r>
      <w:r>
        <w:rPr>
          <w:rFonts w:ascii="Arial" w:eastAsia="Arial" w:hAnsi="Arial" w:cs="Arial"/>
        </w:rPr>
        <w:t>ding Business Day in the place of receipt.</w:t>
      </w:r>
    </w:p>
    <w:p w14:paraId="1889721F" w14:textId="77777777" w:rsidR="00D1587D" w:rsidRDefault="00D1587D">
      <w:pPr>
        <w:spacing w:line="214" w:lineRule="exact"/>
        <w:rPr>
          <w:sz w:val="20"/>
          <w:szCs w:val="20"/>
        </w:rPr>
      </w:pPr>
    </w:p>
    <w:p w14:paraId="6BEBD4B8" w14:textId="77777777" w:rsidR="00D1587D" w:rsidRDefault="00410D07">
      <w:pPr>
        <w:ind w:right="200" w:firstLine="648"/>
        <w:rPr>
          <w:sz w:val="20"/>
          <w:szCs w:val="20"/>
        </w:rPr>
      </w:pPr>
      <w:r>
        <w:rPr>
          <w:rFonts w:ascii="Arial" w:eastAsia="Arial" w:hAnsi="Arial" w:cs="Arial"/>
        </w:rPr>
        <w:t xml:space="preserve">Section 9.02. </w:t>
      </w:r>
      <w:r>
        <w:rPr>
          <w:rFonts w:ascii="Arial" w:eastAsia="Arial" w:hAnsi="Arial" w:cs="Arial"/>
          <w:i/>
          <w:iCs/>
        </w:rPr>
        <w:t>Amendments; No Waivers</w:t>
      </w:r>
      <w:r>
        <w:rPr>
          <w:rFonts w:ascii="Arial" w:eastAsia="Arial" w:hAnsi="Arial" w:cs="Arial"/>
        </w:rPr>
        <w:t>. (a) Any provision of this Agreement may be amended or waived if, but only if, such amendment or waiver is in writing and is signed, in the case of an amendment, by each party</w:t>
      </w:r>
      <w:r>
        <w:rPr>
          <w:rFonts w:ascii="Arial" w:eastAsia="Arial" w:hAnsi="Arial" w:cs="Arial"/>
        </w:rPr>
        <w:t xml:space="preserve"> to this Agreement, or in the case of a waiver, by the party against whom the waiver is to be effective.</w:t>
      </w:r>
    </w:p>
    <w:p w14:paraId="514C7F4B" w14:textId="77777777" w:rsidR="00D1587D" w:rsidRDefault="00D1587D">
      <w:pPr>
        <w:spacing w:line="213" w:lineRule="exact"/>
        <w:rPr>
          <w:sz w:val="20"/>
          <w:szCs w:val="20"/>
        </w:rPr>
      </w:pPr>
    </w:p>
    <w:p w14:paraId="7EBC422D" w14:textId="77777777" w:rsidR="00D1587D" w:rsidRDefault="00410D07">
      <w:pPr>
        <w:numPr>
          <w:ilvl w:val="0"/>
          <w:numId w:val="74"/>
        </w:numPr>
        <w:tabs>
          <w:tab w:val="left" w:pos="1634"/>
        </w:tabs>
        <w:spacing w:line="238" w:lineRule="auto"/>
        <w:ind w:right="80" w:firstLine="850"/>
        <w:jc w:val="both"/>
        <w:rPr>
          <w:rFonts w:ascii="Arial" w:eastAsia="Arial" w:hAnsi="Arial" w:cs="Arial"/>
        </w:rPr>
      </w:pPr>
      <w:r>
        <w:rPr>
          <w:rFonts w:ascii="Arial" w:eastAsia="Arial" w:hAnsi="Arial" w:cs="Arial"/>
        </w:rPr>
        <w:t>No failure or delay by any party hereto in exercising any right, power or privilege hereunder shall operate as a waiver thereof nor shall any single o</w:t>
      </w:r>
      <w:r>
        <w:rPr>
          <w:rFonts w:ascii="Arial" w:eastAsia="Arial" w:hAnsi="Arial" w:cs="Arial"/>
        </w:rPr>
        <w:t>r partial exercise thereof preclude any other or further exercise thereof or the exercise of any other right, power or privilege. Except as set forth in Section 6.06, the rights and remedies herein provided shall be cumulative and not exclusive of any righ</w:t>
      </w:r>
      <w:r>
        <w:rPr>
          <w:rFonts w:ascii="Arial" w:eastAsia="Arial" w:hAnsi="Arial" w:cs="Arial"/>
        </w:rPr>
        <w:t>ts or remedies provided by law.</w:t>
      </w:r>
    </w:p>
    <w:p w14:paraId="1743A1B3" w14:textId="77777777" w:rsidR="00D1587D" w:rsidRDefault="00D1587D">
      <w:pPr>
        <w:sectPr w:rsidR="00D1587D">
          <w:pgSz w:w="11900" w:h="16838"/>
          <w:pgMar w:top="361" w:right="339" w:bottom="1440" w:left="320" w:header="0" w:footer="0" w:gutter="0"/>
          <w:cols w:space="720" w:equalWidth="0">
            <w:col w:w="11240"/>
          </w:cols>
        </w:sectPr>
      </w:pPr>
    </w:p>
    <w:p w14:paraId="189F127E" w14:textId="77777777" w:rsidR="00D1587D" w:rsidRDefault="00D1587D">
      <w:pPr>
        <w:spacing w:line="147" w:lineRule="exact"/>
        <w:rPr>
          <w:sz w:val="20"/>
          <w:szCs w:val="20"/>
        </w:rPr>
      </w:pPr>
    </w:p>
    <w:p w14:paraId="299523AC" w14:textId="77777777" w:rsidR="00D1587D" w:rsidRDefault="00410D07">
      <w:pPr>
        <w:ind w:right="-19"/>
        <w:jc w:val="center"/>
        <w:rPr>
          <w:sz w:val="20"/>
          <w:szCs w:val="20"/>
        </w:rPr>
      </w:pPr>
      <w:r>
        <w:rPr>
          <w:rFonts w:ascii="Arial" w:eastAsia="Arial" w:hAnsi="Arial" w:cs="Arial"/>
          <w:sz w:val="12"/>
          <w:szCs w:val="12"/>
        </w:rPr>
        <w:t>18</w:t>
      </w:r>
    </w:p>
    <w:p w14:paraId="5986444A" w14:textId="77777777" w:rsidR="00D1587D" w:rsidRDefault="00410D07">
      <w:pPr>
        <w:spacing w:line="20" w:lineRule="exact"/>
        <w:rPr>
          <w:sz w:val="20"/>
          <w:szCs w:val="20"/>
        </w:rPr>
      </w:pPr>
      <w:r>
        <w:rPr>
          <w:noProof/>
          <w:sz w:val="20"/>
          <w:szCs w:val="20"/>
        </w:rPr>
        <w:drawing>
          <wp:anchor distT="0" distB="0" distL="114300" distR="114300" simplePos="0" relativeHeight="251255808" behindDoc="1" locked="0" layoutInCell="0" allowOverlap="1" wp14:anchorId="29CBAB90" wp14:editId="05818B22">
            <wp:simplePos x="0" y="0"/>
            <wp:positionH relativeFrom="column">
              <wp:posOffset>5080</wp:posOffset>
            </wp:positionH>
            <wp:positionV relativeFrom="paragraph">
              <wp:posOffset>52705</wp:posOffset>
            </wp:positionV>
            <wp:extent cx="7132320" cy="1714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EF6BDAD" w14:textId="77777777" w:rsidR="00D1587D" w:rsidRDefault="00D1587D">
      <w:pPr>
        <w:sectPr w:rsidR="00D1587D">
          <w:type w:val="continuous"/>
          <w:pgSz w:w="11900" w:h="16838"/>
          <w:pgMar w:top="361" w:right="339" w:bottom="1440" w:left="320" w:header="0" w:footer="0" w:gutter="0"/>
          <w:cols w:space="720" w:equalWidth="0">
            <w:col w:w="11240"/>
          </w:cols>
        </w:sectPr>
      </w:pPr>
    </w:p>
    <w:p w14:paraId="2AD753D1" w14:textId="77777777" w:rsidR="00D1587D" w:rsidRDefault="00410D07">
      <w:pPr>
        <w:spacing w:line="328" w:lineRule="auto"/>
        <w:ind w:right="680" w:firstLine="648"/>
        <w:rPr>
          <w:sz w:val="20"/>
          <w:szCs w:val="20"/>
        </w:rPr>
      </w:pPr>
      <w:bookmarkStart w:id="107" w:name="page108"/>
      <w:bookmarkEnd w:id="107"/>
      <w:r>
        <w:rPr>
          <w:rFonts w:ascii="Arial" w:eastAsia="Arial" w:hAnsi="Arial" w:cs="Arial"/>
          <w:sz w:val="19"/>
          <w:szCs w:val="19"/>
        </w:rPr>
        <w:t xml:space="preserve">Section 9.03. </w:t>
      </w:r>
      <w:r>
        <w:rPr>
          <w:rFonts w:ascii="Arial" w:eastAsia="Arial" w:hAnsi="Arial" w:cs="Arial"/>
          <w:i/>
          <w:iCs/>
          <w:sz w:val="19"/>
          <w:szCs w:val="19"/>
        </w:rPr>
        <w:t>Expenses.</w:t>
      </w:r>
      <w:r>
        <w:rPr>
          <w:rFonts w:ascii="Arial" w:eastAsia="Arial" w:hAnsi="Arial" w:cs="Arial"/>
          <w:sz w:val="19"/>
          <w:szCs w:val="19"/>
        </w:rPr>
        <w:t xml:space="preserve"> Except as otherwise provided herein, all third-party fees, costs and expenses paid or incurred in connection with this Agreement shall be paid by the party hereto incurring such fees, cost or expenses.</w:t>
      </w:r>
    </w:p>
    <w:p w14:paraId="21B734B9" w14:textId="77777777" w:rsidR="00D1587D" w:rsidRDefault="00D1587D">
      <w:pPr>
        <w:spacing w:line="132" w:lineRule="exact"/>
        <w:rPr>
          <w:sz w:val="20"/>
          <w:szCs w:val="20"/>
        </w:rPr>
      </w:pPr>
    </w:p>
    <w:p w14:paraId="0C6E4EBD" w14:textId="77777777" w:rsidR="00D1587D" w:rsidRDefault="00410D07">
      <w:pPr>
        <w:spacing w:line="275" w:lineRule="auto"/>
        <w:ind w:right="40" w:firstLine="648"/>
        <w:rPr>
          <w:sz w:val="20"/>
          <w:szCs w:val="20"/>
        </w:rPr>
      </w:pPr>
      <w:r>
        <w:rPr>
          <w:rFonts w:ascii="Arial" w:eastAsia="Arial" w:hAnsi="Arial" w:cs="Arial"/>
          <w:sz w:val="19"/>
          <w:szCs w:val="19"/>
        </w:rPr>
        <w:t xml:space="preserve">Section 9.04. </w:t>
      </w:r>
      <w:r>
        <w:rPr>
          <w:rFonts w:ascii="Arial" w:eastAsia="Arial" w:hAnsi="Arial" w:cs="Arial"/>
          <w:i/>
          <w:iCs/>
          <w:sz w:val="19"/>
          <w:szCs w:val="19"/>
        </w:rPr>
        <w:t>Independent Contractor Status</w:t>
      </w:r>
      <w:r>
        <w:rPr>
          <w:rFonts w:ascii="Arial" w:eastAsia="Arial" w:hAnsi="Arial" w:cs="Arial"/>
          <w:sz w:val="19"/>
          <w:szCs w:val="19"/>
        </w:rPr>
        <w:t xml:space="preserve">. </w:t>
      </w:r>
      <w:r>
        <w:rPr>
          <w:rFonts w:ascii="Arial" w:eastAsia="Arial" w:hAnsi="Arial" w:cs="Arial"/>
          <w:sz w:val="19"/>
          <w:szCs w:val="19"/>
        </w:rPr>
        <w:t>Nothing in this Agreement shall constitute or be deemed to constitute a partnership or joint venture between the parties hereto. Neither party hereto is now, nor shall it be made by this Agreement, an agent, employee or legal representative of the other pa</w:t>
      </w:r>
      <w:r>
        <w:rPr>
          <w:rFonts w:ascii="Arial" w:eastAsia="Arial" w:hAnsi="Arial" w:cs="Arial"/>
          <w:sz w:val="19"/>
          <w:szCs w:val="19"/>
        </w:rPr>
        <w:t>rty hereto or any of its Affiliates for any purpose. Each party hereto acknowledges and agrees that neither party hereto shall have authority or power to bind the other party hereto or any of its Affiliates or to contract in the name of, or create a liabil</w:t>
      </w:r>
      <w:r>
        <w:rPr>
          <w:rFonts w:ascii="Arial" w:eastAsia="Arial" w:hAnsi="Arial" w:cs="Arial"/>
          <w:sz w:val="19"/>
          <w:szCs w:val="19"/>
        </w:rPr>
        <w:t>ity against, the other party hereto or any of its Affiliates in any way or for any purpose, to accept any service of process upon the other party hereto or any of its Affiliates or to receive any notices of any kind on behalf of the other party hereto or a</w:t>
      </w:r>
      <w:r>
        <w:rPr>
          <w:rFonts w:ascii="Arial" w:eastAsia="Arial" w:hAnsi="Arial" w:cs="Arial"/>
          <w:sz w:val="19"/>
          <w:szCs w:val="19"/>
        </w:rPr>
        <w:t>ny of its Affiliates. Each party hereto is and shall be an independent contractor in the performance of Services hereunder and nothing herein shall be construed to be inconsistent with this status.</w:t>
      </w:r>
    </w:p>
    <w:p w14:paraId="7ECF5E9B" w14:textId="77777777" w:rsidR="00D1587D" w:rsidRDefault="00D1587D">
      <w:pPr>
        <w:spacing w:line="184" w:lineRule="exact"/>
        <w:rPr>
          <w:sz w:val="20"/>
          <w:szCs w:val="20"/>
        </w:rPr>
      </w:pPr>
    </w:p>
    <w:p w14:paraId="746D581E" w14:textId="77777777" w:rsidR="00D1587D" w:rsidRDefault="00410D07">
      <w:pPr>
        <w:spacing w:line="275" w:lineRule="auto"/>
        <w:ind w:firstLine="648"/>
        <w:rPr>
          <w:sz w:val="20"/>
          <w:szCs w:val="20"/>
        </w:rPr>
      </w:pPr>
      <w:r>
        <w:rPr>
          <w:rFonts w:ascii="Arial" w:eastAsia="Arial" w:hAnsi="Arial" w:cs="Arial"/>
          <w:sz w:val="19"/>
          <w:szCs w:val="19"/>
        </w:rPr>
        <w:t xml:space="preserve">Section 9.05. </w:t>
      </w:r>
      <w:r>
        <w:rPr>
          <w:rFonts w:ascii="Arial" w:eastAsia="Arial" w:hAnsi="Arial" w:cs="Arial"/>
          <w:i/>
          <w:iCs/>
          <w:sz w:val="19"/>
          <w:szCs w:val="19"/>
        </w:rPr>
        <w:t>Successors and Assigns.</w:t>
      </w:r>
      <w:r>
        <w:rPr>
          <w:rFonts w:ascii="Arial" w:eastAsia="Arial" w:hAnsi="Arial" w:cs="Arial"/>
          <w:sz w:val="19"/>
          <w:szCs w:val="19"/>
        </w:rPr>
        <w:t xml:space="preserve"> The provisions of t</w:t>
      </w:r>
      <w:r>
        <w:rPr>
          <w:rFonts w:ascii="Arial" w:eastAsia="Arial" w:hAnsi="Arial" w:cs="Arial"/>
          <w:sz w:val="19"/>
          <w:szCs w:val="19"/>
        </w:rPr>
        <w:t>his Agreement shall be binding upon and inure to the benefit of the parties hereto and their respective successors and assigns. Neither this Agreement nor any right, remedy, obligations or liability arising hereunder or by reason hereof nor any of the docu</w:t>
      </w:r>
      <w:r>
        <w:rPr>
          <w:rFonts w:ascii="Arial" w:eastAsia="Arial" w:hAnsi="Arial" w:cs="Arial"/>
          <w:sz w:val="19"/>
          <w:szCs w:val="19"/>
        </w:rPr>
        <w:t xml:space="preserve">ments executed in connection herewith may be assigned by any party hereto without the consent of the other party, which consent may be granted or withheld in the discretion of such other party. Notwithstanding the foregoing, either party hereto may assign </w:t>
      </w:r>
      <w:r>
        <w:rPr>
          <w:rFonts w:ascii="Arial" w:eastAsia="Arial" w:hAnsi="Arial" w:cs="Arial"/>
          <w:sz w:val="19"/>
          <w:szCs w:val="19"/>
        </w:rPr>
        <w:t>or transfer this Agreement and all of its rights and obligations hereunder to an Affiliate or to any third party that acquires all or substantially all of such party’s assets or business to which this Agreement relates (whether by sale of assets, stock, me</w:t>
      </w:r>
      <w:r>
        <w:rPr>
          <w:rFonts w:ascii="Arial" w:eastAsia="Arial" w:hAnsi="Arial" w:cs="Arial"/>
          <w:sz w:val="19"/>
          <w:szCs w:val="19"/>
        </w:rPr>
        <w:t xml:space="preserve">rger, consolidation, reorganization or otherwise); </w:t>
      </w:r>
      <w:r>
        <w:rPr>
          <w:rFonts w:ascii="Arial" w:eastAsia="Arial" w:hAnsi="Arial" w:cs="Arial"/>
          <w:i/>
          <w:iCs/>
          <w:sz w:val="19"/>
          <w:szCs w:val="19"/>
        </w:rPr>
        <w:t>provided</w:t>
      </w:r>
      <w:r>
        <w:rPr>
          <w:rFonts w:ascii="Arial" w:eastAsia="Arial" w:hAnsi="Arial" w:cs="Arial"/>
          <w:sz w:val="19"/>
          <w:szCs w:val="19"/>
        </w:rPr>
        <w:t xml:space="preserve"> that this Agreement and the Services shall not apply to any other business of such third party acquirer.</w:t>
      </w:r>
    </w:p>
    <w:p w14:paraId="21DA61D3" w14:textId="77777777" w:rsidR="00D1587D" w:rsidRDefault="00D1587D">
      <w:pPr>
        <w:spacing w:line="184" w:lineRule="exact"/>
        <w:rPr>
          <w:sz w:val="20"/>
          <w:szCs w:val="20"/>
        </w:rPr>
      </w:pPr>
    </w:p>
    <w:p w14:paraId="51E796EB" w14:textId="77777777" w:rsidR="00D1587D" w:rsidRDefault="00410D07">
      <w:pPr>
        <w:spacing w:line="250" w:lineRule="auto"/>
        <w:ind w:right="280" w:firstLine="648"/>
        <w:rPr>
          <w:sz w:val="20"/>
          <w:szCs w:val="20"/>
        </w:rPr>
      </w:pPr>
      <w:r>
        <w:rPr>
          <w:rFonts w:ascii="Arial" w:eastAsia="Arial" w:hAnsi="Arial" w:cs="Arial"/>
        </w:rPr>
        <w:t xml:space="preserve">Section 9.06. </w:t>
      </w:r>
      <w:r>
        <w:rPr>
          <w:rFonts w:ascii="Arial" w:eastAsia="Arial" w:hAnsi="Arial" w:cs="Arial"/>
          <w:i/>
          <w:iCs/>
        </w:rPr>
        <w:t>Governing Law.</w:t>
      </w:r>
      <w:r>
        <w:rPr>
          <w:rFonts w:ascii="Arial" w:eastAsia="Arial" w:hAnsi="Arial" w:cs="Arial"/>
        </w:rPr>
        <w:t xml:space="preserve"> This Agreement shall be governed by and construed in accordan</w:t>
      </w:r>
      <w:r>
        <w:rPr>
          <w:rFonts w:ascii="Arial" w:eastAsia="Arial" w:hAnsi="Arial" w:cs="Arial"/>
        </w:rPr>
        <w:t>ce with the law of the State of Delaware, without regard to the conflicts of law rules of such state.</w:t>
      </w:r>
    </w:p>
    <w:p w14:paraId="3C95A936" w14:textId="77777777" w:rsidR="00D1587D" w:rsidRDefault="00D1587D">
      <w:pPr>
        <w:spacing w:line="202" w:lineRule="exact"/>
        <w:rPr>
          <w:sz w:val="20"/>
          <w:szCs w:val="20"/>
        </w:rPr>
      </w:pPr>
    </w:p>
    <w:p w14:paraId="54894F69" w14:textId="77777777" w:rsidR="00D1587D" w:rsidRDefault="00410D07">
      <w:pPr>
        <w:spacing w:line="235" w:lineRule="auto"/>
        <w:ind w:right="20" w:firstLine="648"/>
        <w:rPr>
          <w:sz w:val="20"/>
          <w:szCs w:val="20"/>
        </w:rPr>
      </w:pPr>
      <w:r>
        <w:rPr>
          <w:rFonts w:ascii="Arial" w:eastAsia="Arial" w:hAnsi="Arial" w:cs="Arial"/>
        </w:rPr>
        <w:t xml:space="preserve">Section 9.07. </w:t>
      </w:r>
      <w:r>
        <w:rPr>
          <w:rFonts w:ascii="Arial" w:eastAsia="Arial" w:hAnsi="Arial" w:cs="Arial"/>
          <w:i/>
          <w:iCs/>
        </w:rPr>
        <w:t>Dispute Resolution.</w:t>
      </w:r>
      <w:r>
        <w:rPr>
          <w:rFonts w:ascii="Arial" w:eastAsia="Arial" w:hAnsi="Arial" w:cs="Arial"/>
        </w:rPr>
        <w:t xml:space="preserve"> (a) With respect to matters relating to the Services or under this Agreement requiring dispute resolution (each, a “</w:t>
      </w:r>
      <w:r>
        <w:rPr>
          <w:rFonts w:ascii="Arial" w:eastAsia="Arial" w:hAnsi="Arial" w:cs="Arial"/>
          <w:b/>
          <w:bCs/>
        </w:rPr>
        <w:t>Dis</w:t>
      </w:r>
      <w:r>
        <w:rPr>
          <w:rFonts w:ascii="Arial" w:eastAsia="Arial" w:hAnsi="Arial" w:cs="Arial"/>
          <w:b/>
          <w:bCs/>
        </w:rPr>
        <w:t>pute</w:t>
      </w:r>
      <w:r>
        <w:rPr>
          <w:rFonts w:ascii="Arial" w:eastAsia="Arial" w:hAnsi="Arial" w:cs="Arial"/>
        </w:rPr>
        <w:t>”), the disputing party shall notify the other party hereto of such Dispute in writing and, upon the non-disputing party’s receipt of such written notice, the parties’ respective Service Managers shall attempt to resolve such Dispute in good faith with</w:t>
      </w:r>
      <w:r>
        <w:rPr>
          <w:rFonts w:ascii="Arial" w:eastAsia="Arial" w:hAnsi="Arial" w:cs="Arial"/>
        </w:rPr>
        <w:t>in 30 days of such receipt, and if such Service Managers are unable to resolve such Dispute in such 30 day period, then such Service Managers shall escalate such Dispute to each party’s Chief Financial Officer for resolution.</w:t>
      </w:r>
    </w:p>
    <w:p w14:paraId="32B86455" w14:textId="77777777" w:rsidR="00D1587D" w:rsidRDefault="00D1587D">
      <w:pPr>
        <w:spacing w:line="215" w:lineRule="exact"/>
        <w:rPr>
          <w:sz w:val="20"/>
          <w:szCs w:val="20"/>
        </w:rPr>
      </w:pPr>
    </w:p>
    <w:p w14:paraId="66EDEE03" w14:textId="77777777" w:rsidR="00D1587D" w:rsidRDefault="00410D07">
      <w:pPr>
        <w:numPr>
          <w:ilvl w:val="0"/>
          <w:numId w:val="75"/>
        </w:numPr>
        <w:tabs>
          <w:tab w:val="left" w:pos="1634"/>
        </w:tabs>
        <w:spacing w:line="297" w:lineRule="auto"/>
        <w:ind w:right="360" w:firstLine="850"/>
        <w:rPr>
          <w:rFonts w:ascii="Arial" w:eastAsia="Arial" w:hAnsi="Arial" w:cs="Arial"/>
          <w:sz w:val="19"/>
          <w:szCs w:val="19"/>
        </w:rPr>
      </w:pPr>
      <w:r>
        <w:rPr>
          <w:rFonts w:ascii="Arial" w:eastAsia="Arial" w:hAnsi="Arial" w:cs="Arial"/>
          <w:sz w:val="19"/>
          <w:szCs w:val="19"/>
        </w:rPr>
        <w:t>If the parties’ Chief Financi</w:t>
      </w:r>
      <w:r>
        <w:rPr>
          <w:rFonts w:ascii="Arial" w:eastAsia="Arial" w:hAnsi="Arial" w:cs="Arial"/>
          <w:sz w:val="19"/>
          <w:szCs w:val="19"/>
        </w:rPr>
        <w:t>al Officers are unable to resolve such Dispute within 30 days following such receipt of such notice, then either party hereto shall initiate a non-binding mediation by providing written notice (“</w:t>
      </w:r>
      <w:r>
        <w:rPr>
          <w:rFonts w:ascii="Arial" w:eastAsia="Arial" w:hAnsi="Arial" w:cs="Arial"/>
          <w:b/>
          <w:bCs/>
          <w:sz w:val="19"/>
          <w:szCs w:val="19"/>
        </w:rPr>
        <w:t>Mediation</w:t>
      </w:r>
      <w:r>
        <w:rPr>
          <w:rFonts w:ascii="Arial" w:eastAsia="Arial" w:hAnsi="Arial" w:cs="Arial"/>
          <w:sz w:val="19"/>
          <w:szCs w:val="19"/>
        </w:rPr>
        <w:t xml:space="preserve"> </w:t>
      </w:r>
      <w:r>
        <w:rPr>
          <w:rFonts w:ascii="Arial" w:eastAsia="Arial" w:hAnsi="Arial" w:cs="Arial"/>
          <w:b/>
          <w:bCs/>
          <w:sz w:val="19"/>
          <w:szCs w:val="19"/>
        </w:rPr>
        <w:t>Notice</w:t>
      </w:r>
      <w:r>
        <w:rPr>
          <w:rFonts w:ascii="Arial" w:eastAsia="Arial" w:hAnsi="Arial" w:cs="Arial"/>
          <w:sz w:val="19"/>
          <w:szCs w:val="19"/>
        </w:rPr>
        <w:t>”) to the other party hereto within five Busi</w:t>
      </w:r>
      <w:r>
        <w:rPr>
          <w:rFonts w:ascii="Arial" w:eastAsia="Arial" w:hAnsi="Arial" w:cs="Arial"/>
          <w:sz w:val="19"/>
          <w:szCs w:val="19"/>
        </w:rPr>
        <w:t>ness Days following the expiration of such 30 day period.</w:t>
      </w:r>
    </w:p>
    <w:p w14:paraId="50D0E0D3" w14:textId="77777777" w:rsidR="00D1587D" w:rsidRDefault="00D1587D">
      <w:pPr>
        <w:spacing w:line="160" w:lineRule="exact"/>
        <w:rPr>
          <w:rFonts w:ascii="Arial" w:eastAsia="Arial" w:hAnsi="Arial" w:cs="Arial"/>
          <w:sz w:val="19"/>
          <w:szCs w:val="19"/>
        </w:rPr>
      </w:pPr>
    </w:p>
    <w:p w14:paraId="784DE287" w14:textId="77777777" w:rsidR="00D1587D" w:rsidRDefault="00410D07">
      <w:pPr>
        <w:numPr>
          <w:ilvl w:val="0"/>
          <w:numId w:val="75"/>
        </w:numPr>
        <w:tabs>
          <w:tab w:val="left" w:pos="1622"/>
        </w:tabs>
        <w:spacing w:line="246" w:lineRule="auto"/>
        <w:ind w:right="120" w:firstLine="850"/>
        <w:rPr>
          <w:rFonts w:ascii="Arial" w:eastAsia="Arial" w:hAnsi="Arial" w:cs="Arial"/>
          <w:sz w:val="21"/>
          <w:szCs w:val="21"/>
        </w:rPr>
      </w:pPr>
      <w:r>
        <w:rPr>
          <w:rFonts w:ascii="Arial" w:eastAsia="Arial" w:hAnsi="Arial" w:cs="Arial"/>
          <w:sz w:val="21"/>
          <w:szCs w:val="21"/>
        </w:rPr>
        <w:t>Upon receipt of a Mediation Notice, the applicable Dispute shall be submitted within five Business Days following such receipt of such Mediation Notice for non-binding mediation conducted in accord</w:t>
      </w:r>
      <w:r>
        <w:rPr>
          <w:rFonts w:ascii="Arial" w:eastAsia="Arial" w:hAnsi="Arial" w:cs="Arial"/>
          <w:sz w:val="21"/>
          <w:szCs w:val="21"/>
        </w:rPr>
        <w:t>ance with the Commercial Mediation Rules of the American Arbitration Association (“</w:t>
      </w:r>
      <w:r>
        <w:rPr>
          <w:rFonts w:ascii="Arial" w:eastAsia="Arial" w:hAnsi="Arial" w:cs="Arial"/>
          <w:b/>
          <w:bCs/>
          <w:sz w:val="21"/>
          <w:szCs w:val="21"/>
        </w:rPr>
        <w:t>Arbitration Association</w:t>
      </w:r>
      <w:r>
        <w:rPr>
          <w:rFonts w:ascii="Arial" w:eastAsia="Arial" w:hAnsi="Arial" w:cs="Arial"/>
          <w:sz w:val="21"/>
          <w:szCs w:val="21"/>
        </w:rPr>
        <w:t xml:space="preserve">”), and the parties hereto agree to bear equally the costs of such mediation (including any fees or expenses of the applicable mediator); </w:t>
      </w:r>
      <w:r>
        <w:rPr>
          <w:rFonts w:ascii="Arial" w:eastAsia="Arial" w:hAnsi="Arial" w:cs="Arial"/>
          <w:i/>
          <w:iCs/>
          <w:sz w:val="21"/>
          <w:szCs w:val="21"/>
        </w:rPr>
        <w:t>provided</w:t>
      </w:r>
      <w:r>
        <w:rPr>
          <w:rFonts w:ascii="Arial" w:eastAsia="Arial" w:hAnsi="Arial" w:cs="Arial"/>
          <w:sz w:val="21"/>
          <w:szCs w:val="21"/>
        </w:rPr>
        <w:t>, however, that each party hereto shall bear its own costs in connection with participating in such mediation. The parties hereto agree to participate in good faith in such mediation for a period of 45 days or such longer period as the parties here</w:t>
      </w:r>
      <w:r>
        <w:rPr>
          <w:rFonts w:ascii="Arial" w:eastAsia="Arial" w:hAnsi="Arial" w:cs="Arial"/>
          <w:sz w:val="21"/>
          <w:szCs w:val="21"/>
        </w:rPr>
        <w:t>to may mutually agree following receipt of such Mediation Notice (the “</w:t>
      </w:r>
      <w:r>
        <w:rPr>
          <w:rFonts w:ascii="Arial" w:eastAsia="Arial" w:hAnsi="Arial" w:cs="Arial"/>
          <w:b/>
          <w:bCs/>
          <w:sz w:val="21"/>
          <w:szCs w:val="21"/>
        </w:rPr>
        <w:t>Mediation Period</w:t>
      </w:r>
      <w:r>
        <w:rPr>
          <w:rFonts w:ascii="Arial" w:eastAsia="Arial" w:hAnsi="Arial" w:cs="Arial"/>
          <w:sz w:val="21"/>
          <w:szCs w:val="21"/>
        </w:rPr>
        <w:t>”).</w:t>
      </w:r>
    </w:p>
    <w:p w14:paraId="5EF85A1D" w14:textId="77777777" w:rsidR="00D1587D" w:rsidRDefault="00D1587D">
      <w:pPr>
        <w:spacing w:line="211" w:lineRule="exact"/>
        <w:rPr>
          <w:rFonts w:ascii="Arial" w:eastAsia="Arial" w:hAnsi="Arial" w:cs="Arial"/>
          <w:sz w:val="21"/>
          <w:szCs w:val="21"/>
        </w:rPr>
      </w:pPr>
    </w:p>
    <w:p w14:paraId="78A5FB26" w14:textId="77777777" w:rsidR="00D1587D" w:rsidRDefault="00410D07">
      <w:pPr>
        <w:numPr>
          <w:ilvl w:val="0"/>
          <w:numId w:val="75"/>
        </w:numPr>
        <w:tabs>
          <w:tab w:val="left" w:pos="1634"/>
        </w:tabs>
        <w:spacing w:line="248" w:lineRule="auto"/>
        <w:ind w:firstLine="850"/>
        <w:rPr>
          <w:rFonts w:ascii="Arial" w:eastAsia="Arial" w:hAnsi="Arial" w:cs="Arial"/>
          <w:sz w:val="21"/>
          <w:szCs w:val="21"/>
        </w:rPr>
      </w:pPr>
      <w:r>
        <w:rPr>
          <w:rFonts w:ascii="Arial" w:eastAsia="Arial" w:hAnsi="Arial" w:cs="Arial"/>
          <w:sz w:val="21"/>
          <w:szCs w:val="21"/>
        </w:rPr>
        <w:t>In connection with such mediation, the parties hereto shall cooperate with the Arbitration Association and with one another in selecting a neutral mediator with rel</w:t>
      </w:r>
      <w:r>
        <w:rPr>
          <w:rFonts w:ascii="Arial" w:eastAsia="Arial" w:hAnsi="Arial" w:cs="Arial"/>
          <w:sz w:val="21"/>
          <w:szCs w:val="21"/>
        </w:rPr>
        <w:t>evant industry experience and in scheduling the mediation proceedings during the applicable Mediation Period. If the parties hereto are unable to agree on a neutral mediator within five Business Days of submitting a Dispute for mediation pursuant to Sectio</w:t>
      </w:r>
      <w:r>
        <w:rPr>
          <w:rFonts w:ascii="Arial" w:eastAsia="Arial" w:hAnsi="Arial" w:cs="Arial"/>
          <w:sz w:val="21"/>
          <w:szCs w:val="21"/>
        </w:rPr>
        <w:t>n 9.07(c), application shall be made by the parties to the Arbitration Association for the Arbitration Association to select and appoint a neutral mediator on the parties’ behalf in accordance with the Commercial Mediation Rules of the Arbitration Associat</w:t>
      </w:r>
      <w:r>
        <w:rPr>
          <w:rFonts w:ascii="Arial" w:eastAsia="Arial" w:hAnsi="Arial" w:cs="Arial"/>
          <w:sz w:val="21"/>
          <w:szCs w:val="21"/>
        </w:rPr>
        <w:t>ion.</w:t>
      </w:r>
    </w:p>
    <w:p w14:paraId="12A0E13C" w14:textId="77777777" w:rsidR="00D1587D" w:rsidRDefault="00D1587D">
      <w:pPr>
        <w:spacing w:line="139" w:lineRule="exact"/>
        <w:rPr>
          <w:sz w:val="20"/>
          <w:szCs w:val="20"/>
        </w:rPr>
      </w:pPr>
    </w:p>
    <w:p w14:paraId="40ED7B29" w14:textId="77777777" w:rsidR="00D1587D" w:rsidRDefault="00410D07">
      <w:pPr>
        <w:ind w:right="-19"/>
        <w:jc w:val="center"/>
        <w:rPr>
          <w:sz w:val="20"/>
          <w:szCs w:val="20"/>
        </w:rPr>
      </w:pPr>
      <w:r>
        <w:rPr>
          <w:rFonts w:ascii="Arial" w:eastAsia="Arial" w:hAnsi="Arial" w:cs="Arial"/>
          <w:sz w:val="14"/>
          <w:szCs w:val="14"/>
        </w:rPr>
        <w:t>19</w:t>
      </w:r>
    </w:p>
    <w:p w14:paraId="719AAEDB" w14:textId="77777777" w:rsidR="00D1587D" w:rsidRDefault="00410D07">
      <w:pPr>
        <w:spacing w:line="20" w:lineRule="exact"/>
        <w:rPr>
          <w:sz w:val="20"/>
          <w:szCs w:val="20"/>
        </w:rPr>
      </w:pPr>
      <w:r>
        <w:rPr>
          <w:noProof/>
          <w:sz w:val="20"/>
          <w:szCs w:val="20"/>
        </w:rPr>
        <w:drawing>
          <wp:anchor distT="0" distB="0" distL="114300" distR="114300" simplePos="0" relativeHeight="251256832" behindDoc="1" locked="0" layoutInCell="0" allowOverlap="1" wp14:anchorId="55C34655" wp14:editId="3F6E0073">
            <wp:simplePos x="0" y="0"/>
            <wp:positionH relativeFrom="column">
              <wp:posOffset>5080</wp:posOffset>
            </wp:positionH>
            <wp:positionV relativeFrom="paragraph">
              <wp:posOffset>38100</wp:posOffset>
            </wp:positionV>
            <wp:extent cx="7132320" cy="1714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632F507" w14:textId="77777777" w:rsidR="00D1587D" w:rsidRDefault="00D1587D">
      <w:pPr>
        <w:sectPr w:rsidR="00D1587D">
          <w:pgSz w:w="11900" w:h="16838"/>
          <w:pgMar w:top="361" w:right="359" w:bottom="1440" w:left="320" w:header="0" w:footer="0" w:gutter="0"/>
          <w:cols w:space="720" w:equalWidth="0">
            <w:col w:w="11220"/>
          </w:cols>
        </w:sectPr>
      </w:pPr>
    </w:p>
    <w:p w14:paraId="7BEEF5EA" w14:textId="77777777" w:rsidR="00D1587D" w:rsidRDefault="00410D07">
      <w:pPr>
        <w:numPr>
          <w:ilvl w:val="0"/>
          <w:numId w:val="76"/>
        </w:numPr>
        <w:tabs>
          <w:tab w:val="left" w:pos="1618"/>
        </w:tabs>
        <w:spacing w:line="282" w:lineRule="auto"/>
        <w:ind w:right="80" w:firstLine="850"/>
        <w:rPr>
          <w:rFonts w:ascii="Arial" w:eastAsia="Arial" w:hAnsi="Arial" w:cs="Arial"/>
          <w:sz w:val="19"/>
          <w:szCs w:val="19"/>
        </w:rPr>
      </w:pPr>
      <w:bookmarkStart w:id="108" w:name="page109"/>
      <w:bookmarkEnd w:id="108"/>
      <w:r>
        <w:rPr>
          <w:rFonts w:ascii="Arial" w:eastAsia="Arial" w:hAnsi="Arial" w:cs="Arial"/>
          <w:sz w:val="19"/>
          <w:szCs w:val="19"/>
        </w:rPr>
        <w:t>The parties hereto further agree that all information, whether oral or written, provided in the course of any such mediation by either party hereto, their agents, employees, experts and attorneys, and by the applicable mediator and any employees of the med</w:t>
      </w:r>
      <w:r>
        <w:rPr>
          <w:rFonts w:ascii="Arial" w:eastAsia="Arial" w:hAnsi="Arial" w:cs="Arial"/>
          <w:sz w:val="19"/>
          <w:szCs w:val="19"/>
        </w:rPr>
        <w:t xml:space="preserve">iation service, is confidential, privileged, and inadmissible for any purpose, including impeachment, in any Action involving the parties hereto; </w:t>
      </w:r>
      <w:r>
        <w:rPr>
          <w:rFonts w:ascii="Arial" w:eastAsia="Arial" w:hAnsi="Arial" w:cs="Arial"/>
          <w:i/>
          <w:iCs/>
          <w:sz w:val="19"/>
          <w:szCs w:val="19"/>
        </w:rPr>
        <w:t>provided</w:t>
      </w:r>
      <w:r>
        <w:rPr>
          <w:rFonts w:ascii="Arial" w:eastAsia="Arial" w:hAnsi="Arial" w:cs="Arial"/>
          <w:sz w:val="19"/>
          <w:szCs w:val="19"/>
        </w:rPr>
        <w:t xml:space="preserve"> that any such information that is otherwise admissible or discoverable shall not be rendered inadmiss</w:t>
      </w:r>
      <w:r>
        <w:rPr>
          <w:rFonts w:ascii="Arial" w:eastAsia="Arial" w:hAnsi="Arial" w:cs="Arial"/>
          <w:sz w:val="19"/>
          <w:szCs w:val="19"/>
        </w:rPr>
        <w:t>ible or non-discoverable as a result of its use in such mediation.</w:t>
      </w:r>
    </w:p>
    <w:p w14:paraId="195D1330" w14:textId="77777777" w:rsidR="00D1587D" w:rsidRDefault="00D1587D">
      <w:pPr>
        <w:spacing w:line="174" w:lineRule="exact"/>
        <w:rPr>
          <w:rFonts w:ascii="Arial" w:eastAsia="Arial" w:hAnsi="Arial" w:cs="Arial"/>
          <w:sz w:val="19"/>
          <w:szCs w:val="19"/>
        </w:rPr>
      </w:pPr>
    </w:p>
    <w:p w14:paraId="22B5D19C" w14:textId="77777777" w:rsidR="00D1587D" w:rsidRDefault="00410D07">
      <w:pPr>
        <w:numPr>
          <w:ilvl w:val="0"/>
          <w:numId w:val="76"/>
        </w:numPr>
        <w:tabs>
          <w:tab w:val="left" w:pos="1598"/>
        </w:tabs>
        <w:spacing w:line="249" w:lineRule="auto"/>
        <w:ind w:right="20" w:firstLine="850"/>
        <w:rPr>
          <w:rFonts w:ascii="Arial" w:eastAsia="Arial" w:hAnsi="Arial" w:cs="Arial"/>
          <w:sz w:val="21"/>
          <w:szCs w:val="21"/>
        </w:rPr>
      </w:pPr>
      <w:r>
        <w:rPr>
          <w:rFonts w:ascii="Arial" w:eastAsia="Arial" w:hAnsi="Arial" w:cs="Arial"/>
          <w:sz w:val="21"/>
          <w:szCs w:val="21"/>
        </w:rPr>
        <w:t>If the parties hereto cannot resolve the Dispute for any reason, on and following the expiration of the Mediation Period, either party may commence litigation in a court of competent juris</w:t>
      </w:r>
      <w:r>
        <w:rPr>
          <w:rFonts w:ascii="Arial" w:eastAsia="Arial" w:hAnsi="Arial" w:cs="Arial"/>
          <w:sz w:val="21"/>
          <w:szCs w:val="21"/>
        </w:rPr>
        <w:t xml:space="preserve">diction pursuant to the provisions of Section 9.08. Nothing contained in this Agreement shall deny either party hereto the right to seek injunctive or other equitable relief from a court of competent jurisdiction in the context of a bona fide emergency or </w:t>
      </w:r>
      <w:r>
        <w:rPr>
          <w:rFonts w:ascii="Arial" w:eastAsia="Arial" w:hAnsi="Arial" w:cs="Arial"/>
          <w:sz w:val="21"/>
          <w:szCs w:val="21"/>
        </w:rPr>
        <w:t>prospective irreparable harm, and such an Action may be filed and maintained notwithstanding any ongoing efforts under this Section 9.07.</w:t>
      </w:r>
    </w:p>
    <w:p w14:paraId="343717DA" w14:textId="77777777" w:rsidR="00D1587D" w:rsidRDefault="00D1587D">
      <w:pPr>
        <w:spacing w:line="205" w:lineRule="exact"/>
        <w:rPr>
          <w:sz w:val="20"/>
          <w:szCs w:val="20"/>
        </w:rPr>
      </w:pPr>
    </w:p>
    <w:p w14:paraId="409AD94B" w14:textId="77777777" w:rsidR="00D1587D" w:rsidRDefault="00410D07">
      <w:pPr>
        <w:spacing w:line="272" w:lineRule="auto"/>
        <w:ind w:firstLine="648"/>
        <w:rPr>
          <w:sz w:val="20"/>
          <w:szCs w:val="20"/>
        </w:rPr>
      </w:pPr>
      <w:r>
        <w:rPr>
          <w:rFonts w:ascii="Arial" w:eastAsia="Arial" w:hAnsi="Arial" w:cs="Arial"/>
          <w:sz w:val="19"/>
          <w:szCs w:val="19"/>
        </w:rPr>
        <w:t xml:space="preserve">Section 9.08. </w:t>
      </w:r>
      <w:r>
        <w:rPr>
          <w:rFonts w:ascii="Arial" w:eastAsia="Arial" w:hAnsi="Arial" w:cs="Arial"/>
          <w:i/>
          <w:iCs/>
          <w:sz w:val="19"/>
          <w:szCs w:val="19"/>
        </w:rPr>
        <w:t>Jurisdiction.</w:t>
      </w:r>
      <w:r>
        <w:rPr>
          <w:rFonts w:ascii="Arial" w:eastAsia="Arial" w:hAnsi="Arial" w:cs="Arial"/>
          <w:sz w:val="19"/>
          <w:szCs w:val="19"/>
        </w:rPr>
        <w:t xml:space="preserve"> The parties hereto agree that any suit, action or proceeding seeking to enforce any provi</w:t>
      </w:r>
      <w:r>
        <w:rPr>
          <w:rFonts w:ascii="Arial" w:eastAsia="Arial" w:hAnsi="Arial" w:cs="Arial"/>
          <w:sz w:val="19"/>
          <w:szCs w:val="19"/>
        </w:rPr>
        <w:t>sion of, or based on any matter arising out of or in connection with, this Agreement or the transactions contemplated hereby shall be brought in the Chancery Court of the State of Delaware and any state appellate court therefrom within the State of Delawar</w:t>
      </w:r>
      <w:r>
        <w:rPr>
          <w:rFonts w:ascii="Arial" w:eastAsia="Arial" w:hAnsi="Arial" w:cs="Arial"/>
          <w:sz w:val="19"/>
          <w:szCs w:val="19"/>
        </w:rPr>
        <w:t>e (or if the Chancery Court of the State of Delaware declines to accept jurisdiction over a particular matter, any federal or state court sitting in the State of Delaware and any federal or state appellate court therefrom), and each of the parties hereto h</w:t>
      </w:r>
      <w:r>
        <w:rPr>
          <w:rFonts w:ascii="Arial" w:eastAsia="Arial" w:hAnsi="Arial" w:cs="Arial"/>
          <w:sz w:val="19"/>
          <w:szCs w:val="19"/>
        </w:rPr>
        <w:t>ereby irrevocably consents to the exclusive jurisdiction of such courts (and of the appropriate appellate courts therefrom) in any such suit, action or proceeding and irrevocably waives, to the fullest extent permitted by law, any objection that it may now</w:t>
      </w:r>
      <w:r>
        <w:rPr>
          <w:rFonts w:ascii="Arial" w:eastAsia="Arial" w:hAnsi="Arial" w:cs="Arial"/>
          <w:sz w:val="19"/>
          <w:szCs w:val="19"/>
        </w:rPr>
        <w:t xml:space="preserve"> or hereafter have to the laying of the venue of any such suit, action or proceeding in any such court or that any such suit, action or proceeding brought in any such court has been brought in an inconvenient forum. Process in any such suit, action or proc</w:t>
      </w:r>
      <w:r>
        <w:rPr>
          <w:rFonts w:ascii="Arial" w:eastAsia="Arial" w:hAnsi="Arial" w:cs="Arial"/>
          <w:sz w:val="19"/>
          <w:szCs w:val="19"/>
        </w:rPr>
        <w:t>eeding may be served on any party hereto anywhere in the world, whether within or without the jurisdiction of any such court. Without limiting the foregoing, each party hereto agrees that service of process on such party as provided in Section 9.01 shall b</w:t>
      </w:r>
      <w:r>
        <w:rPr>
          <w:rFonts w:ascii="Arial" w:eastAsia="Arial" w:hAnsi="Arial" w:cs="Arial"/>
          <w:sz w:val="19"/>
          <w:szCs w:val="19"/>
        </w:rPr>
        <w:t>e deemed effective service of process on such party.</w:t>
      </w:r>
    </w:p>
    <w:p w14:paraId="0F8ED695" w14:textId="77777777" w:rsidR="00D1587D" w:rsidRDefault="00D1587D">
      <w:pPr>
        <w:spacing w:line="200" w:lineRule="exact"/>
        <w:rPr>
          <w:sz w:val="20"/>
          <w:szCs w:val="20"/>
        </w:rPr>
      </w:pPr>
    </w:p>
    <w:p w14:paraId="75CADEC7" w14:textId="77777777" w:rsidR="00D1587D" w:rsidRDefault="00D1587D">
      <w:pPr>
        <w:spacing w:line="235" w:lineRule="exact"/>
        <w:rPr>
          <w:sz w:val="20"/>
          <w:szCs w:val="20"/>
        </w:rPr>
      </w:pPr>
    </w:p>
    <w:p w14:paraId="02D17188" w14:textId="77777777" w:rsidR="00D1587D" w:rsidRDefault="00410D07">
      <w:pPr>
        <w:tabs>
          <w:tab w:val="left" w:pos="2300"/>
        </w:tabs>
        <w:ind w:left="660"/>
        <w:rPr>
          <w:sz w:val="20"/>
          <w:szCs w:val="20"/>
        </w:rPr>
      </w:pPr>
      <w:r>
        <w:rPr>
          <w:rFonts w:ascii="Arial" w:eastAsia="Arial" w:hAnsi="Arial" w:cs="Arial"/>
        </w:rPr>
        <w:t>Section 9.09.</w:t>
      </w:r>
      <w:r>
        <w:rPr>
          <w:sz w:val="20"/>
          <w:szCs w:val="20"/>
        </w:rPr>
        <w:tab/>
      </w:r>
      <w:r>
        <w:rPr>
          <w:rFonts w:ascii="Arial" w:eastAsia="Arial" w:hAnsi="Arial" w:cs="Arial"/>
          <w:i/>
          <w:iCs/>
          <w:sz w:val="19"/>
          <w:szCs w:val="19"/>
        </w:rPr>
        <w:t>WAIVER OF JURY TRIAL</w:t>
      </w:r>
      <w:r>
        <w:rPr>
          <w:rFonts w:ascii="Arial" w:eastAsia="Arial" w:hAnsi="Arial" w:cs="Arial"/>
          <w:sz w:val="19"/>
          <w:szCs w:val="19"/>
        </w:rPr>
        <w:t>. EACH OF THE PARTIES HERETO HEREBY IRREVOCABLY</w:t>
      </w:r>
    </w:p>
    <w:p w14:paraId="37FD1DFD" w14:textId="77777777" w:rsidR="00D1587D" w:rsidRDefault="00D1587D">
      <w:pPr>
        <w:spacing w:line="8" w:lineRule="exact"/>
        <w:rPr>
          <w:sz w:val="20"/>
          <w:szCs w:val="20"/>
        </w:rPr>
      </w:pPr>
    </w:p>
    <w:p w14:paraId="04743381" w14:textId="77777777" w:rsidR="00D1587D" w:rsidRDefault="00410D07">
      <w:pPr>
        <w:spacing w:line="236" w:lineRule="auto"/>
        <w:ind w:right="80"/>
        <w:rPr>
          <w:sz w:val="20"/>
          <w:szCs w:val="20"/>
        </w:rPr>
      </w:pPr>
      <w:r>
        <w:rPr>
          <w:rFonts w:ascii="Arial" w:eastAsia="Arial" w:hAnsi="Arial" w:cs="Arial"/>
        </w:rPr>
        <w:t xml:space="preserve">WAIVES ANY AND ALL RIGHT TO TRIAL BY JURY IN ANY LEGAL PROCEEDING ARISING OUT OF OR RELATED TO THIS AGREEMENT OR </w:t>
      </w:r>
      <w:r>
        <w:rPr>
          <w:rFonts w:ascii="Arial" w:eastAsia="Arial" w:hAnsi="Arial" w:cs="Arial"/>
        </w:rPr>
        <w:t>THE TRANSACTIONS CONTEMPLATED HEREBY.</w:t>
      </w:r>
    </w:p>
    <w:p w14:paraId="78E89601" w14:textId="77777777" w:rsidR="00D1587D" w:rsidRDefault="00D1587D">
      <w:pPr>
        <w:spacing w:line="214" w:lineRule="exact"/>
        <w:rPr>
          <w:sz w:val="20"/>
          <w:szCs w:val="20"/>
        </w:rPr>
      </w:pPr>
    </w:p>
    <w:p w14:paraId="0DCFA2C5" w14:textId="77777777" w:rsidR="00D1587D" w:rsidRDefault="00410D07">
      <w:pPr>
        <w:spacing w:line="271" w:lineRule="auto"/>
        <w:ind w:firstLine="648"/>
        <w:rPr>
          <w:sz w:val="20"/>
          <w:szCs w:val="20"/>
        </w:rPr>
      </w:pPr>
      <w:r>
        <w:rPr>
          <w:rFonts w:ascii="Arial" w:eastAsia="Arial" w:hAnsi="Arial" w:cs="Arial"/>
          <w:sz w:val="19"/>
          <w:szCs w:val="19"/>
        </w:rPr>
        <w:t xml:space="preserve">Section 9.10. </w:t>
      </w:r>
      <w:r>
        <w:rPr>
          <w:rFonts w:ascii="Arial" w:eastAsia="Arial" w:hAnsi="Arial" w:cs="Arial"/>
          <w:i/>
          <w:iCs/>
          <w:sz w:val="19"/>
          <w:szCs w:val="19"/>
        </w:rPr>
        <w:t>Counterparts; Effectiveness; Third Party Beneficiaries.</w:t>
      </w:r>
      <w:r>
        <w:rPr>
          <w:rFonts w:ascii="Arial" w:eastAsia="Arial" w:hAnsi="Arial" w:cs="Arial"/>
          <w:sz w:val="19"/>
          <w:szCs w:val="19"/>
        </w:rPr>
        <w:t xml:space="preserve"> This Agreement may be signed in any number of counterparts (which may include counterparts delivered by any standard form of telecommunication), ea</w:t>
      </w:r>
      <w:r>
        <w:rPr>
          <w:rFonts w:ascii="Arial" w:eastAsia="Arial" w:hAnsi="Arial" w:cs="Arial"/>
          <w:sz w:val="19"/>
          <w:szCs w:val="19"/>
        </w:rPr>
        <w:t>ch of which shall be an original, with the same effect as if the signatures thereto and hereto were upon the same instrument. The words “execution,” “signed,” “signature,” and words of like import in this Agreement or in any other certificate, agreement or</w:t>
      </w:r>
      <w:r>
        <w:rPr>
          <w:rFonts w:ascii="Arial" w:eastAsia="Arial" w:hAnsi="Arial" w:cs="Arial"/>
          <w:sz w:val="19"/>
          <w:szCs w:val="19"/>
        </w:rPr>
        <w:t xml:space="preserve"> document related to this Agreement shall include images of manually executed signatures transmitted by facsimile or other electronic format (including “pdf,” “tif” or “jpg”) and other electronic signatures (including DocuSign and AdobeSign). The use of el</w:t>
      </w:r>
      <w:r>
        <w:rPr>
          <w:rFonts w:ascii="Arial" w:eastAsia="Arial" w:hAnsi="Arial" w:cs="Arial"/>
          <w:sz w:val="19"/>
          <w:szCs w:val="19"/>
        </w:rPr>
        <w:t>ectronic signatures and electronic records (including any contract or other record created, generated, sent, communicated, received, or stored by electronic means) shall be of the same legal effect, validity and enforceability as a manually executed signat</w:t>
      </w:r>
      <w:r>
        <w:rPr>
          <w:rFonts w:ascii="Arial" w:eastAsia="Arial" w:hAnsi="Arial" w:cs="Arial"/>
          <w:sz w:val="19"/>
          <w:szCs w:val="19"/>
        </w:rPr>
        <w:t>ure or use of a paper-based recordkeeping system to the fullest extent permitted by Applicable Law. This Agreement shall become effective when each party hereto shall have received a counterpart hereof signed by the other party hereto. Until and unless eac</w:t>
      </w:r>
      <w:r>
        <w:rPr>
          <w:rFonts w:ascii="Arial" w:eastAsia="Arial" w:hAnsi="Arial" w:cs="Arial"/>
          <w:sz w:val="19"/>
          <w:szCs w:val="19"/>
        </w:rPr>
        <w:t>h party hereto has received a counterpart hereof signed by the other party hereto, this Agreement shall have no effect and no party hereto shall have any right or obligation hereunder (whether by virtue of any other oral or written agreement or other commu</w:t>
      </w:r>
      <w:r>
        <w:rPr>
          <w:rFonts w:ascii="Arial" w:eastAsia="Arial" w:hAnsi="Arial" w:cs="Arial"/>
          <w:sz w:val="19"/>
          <w:szCs w:val="19"/>
        </w:rPr>
        <w:t>nication). Except for the indemnification and release provisions of Article 6, neither this Agreement nor any provision hereof is intended to confer any rights, benefits, remedies, obligations, or liabilities hereunder upon any Person other than the partie</w:t>
      </w:r>
      <w:r>
        <w:rPr>
          <w:rFonts w:ascii="Arial" w:eastAsia="Arial" w:hAnsi="Arial" w:cs="Arial"/>
          <w:sz w:val="19"/>
          <w:szCs w:val="19"/>
        </w:rPr>
        <w:t>s hereto and their respective successors and permitted assigns.</w:t>
      </w:r>
    </w:p>
    <w:p w14:paraId="71A42386" w14:textId="77777777" w:rsidR="00D1587D" w:rsidRDefault="00D1587D">
      <w:pPr>
        <w:spacing w:line="200" w:lineRule="exact"/>
        <w:rPr>
          <w:sz w:val="20"/>
          <w:szCs w:val="20"/>
        </w:rPr>
      </w:pPr>
    </w:p>
    <w:p w14:paraId="40F3C237" w14:textId="77777777" w:rsidR="00D1587D" w:rsidRDefault="00D1587D">
      <w:pPr>
        <w:spacing w:line="234" w:lineRule="exact"/>
        <w:rPr>
          <w:sz w:val="20"/>
          <w:szCs w:val="20"/>
        </w:rPr>
      </w:pPr>
    </w:p>
    <w:p w14:paraId="626E9F9B" w14:textId="77777777" w:rsidR="00D1587D" w:rsidRDefault="00410D07">
      <w:pPr>
        <w:spacing w:line="282" w:lineRule="auto"/>
        <w:ind w:right="80" w:firstLine="648"/>
        <w:rPr>
          <w:sz w:val="20"/>
          <w:szCs w:val="20"/>
        </w:rPr>
      </w:pPr>
      <w:r>
        <w:rPr>
          <w:rFonts w:ascii="Arial" w:eastAsia="Arial" w:hAnsi="Arial" w:cs="Arial"/>
          <w:sz w:val="19"/>
          <w:szCs w:val="19"/>
        </w:rPr>
        <w:t xml:space="preserve">Section 9.11. </w:t>
      </w:r>
      <w:r>
        <w:rPr>
          <w:rFonts w:ascii="Arial" w:eastAsia="Arial" w:hAnsi="Arial" w:cs="Arial"/>
          <w:i/>
          <w:iCs/>
          <w:sz w:val="19"/>
          <w:szCs w:val="19"/>
        </w:rPr>
        <w:t>Entire Agreement</w:t>
      </w:r>
      <w:r>
        <w:rPr>
          <w:rFonts w:ascii="Arial" w:eastAsia="Arial" w:hAnsi="Arial" w:cs="Arial"/>
          <w:sz w:val="19"/>
          <w:szCs w:val="19"/>
        </w:rPr>
        <w:t xml:space="preserve">. This Agreement, together with the other Distribution Documents, constitutes the entire agreement between the parties hereto with respect to the subject </w:t>
      </w:r>
      <w:r>
        <w:rPr>
          <w:rFonts w:ascii="Arial" w:eastAsia="Arial" w:hAnsi="Arial" w:cs="Arial"/>
          <w:sz w:val="19"/>
          <w:szCs w:val="19"/>
        </w:rPr>
        <w:t>matter of this Agreement and supersedes all prior agreements and understandings, both oral and written, between the parties with respect to the subject matter of this Agreement. No representation, inducement, promise, understanding, condition or warranty n</w:t>
      </w:r>
      <w:r>
        <w:rPr>
          <w:rFonts w:ascii="Arial" w:eastAsia="Arial" w:hAnsi="Arial" w:cs="Arial"/>
          <w:sz w:val="19"/>
          <w:szCs w:val="19"/>
        </w:rPr>
        <w:t>ot set forth herein or in the other Distribution Documents has been made or relied upon by either party hereto with respect to the transactions contemplated by this Agreement.</w:t>
      </w:r>
    </w:p>
    <w:p w14:paraId="48EDDF2A" w14:textId="77777777" w:rsidR="00D1587D" w:rsidRDefault="00D1587D">
      <w:pPr>
        <w:spacing w:line="110" w:lineRule="exact"/>
        <w:rPr>
          <w:sz w:val="20"/>
          <w:szCs w:val="20"/>
        </w:rPr>
      </w:pPr>
    </w:p>
    <w:p w14:paraId="689730A3" w14:textId="77777777" w:rsidR="00D1587D" w:rsidRDefault="00410D07">
      <w:pPr>
        <w:ind w:right="-19"/>
        <w:jc w:val="center"/>
        <w:rPr>
          <w:sz w:val="20"/>
          <w:szCs w:val="20"/>
        </w:rPr>
      </w:pPr>
      <w:r>
        <w:rPr>
          <w:rFonts w:ascii="Arial" w:eastAsia="Arial" w:hAnsi="Arial" w:cs="Arial"/>
          <w:sz w:val="14"/>
          <w:szCs w:val="14"/>
        </w:rPr>
        <w:t>20</w:t>
      </w:r>
    </w:p>
    <w:p w14:paraId="0B31CA04" w14:textId="77777777" w:rsidR="00D1587D" w:rsidRDefault="00410D07">
      <w:pPr>
        <w:spacing w:line="20" w:lineRule="exact"/>
        <w:rPr>
          <w:sz w:val="20"/>
          <w:szCs w:val="20"/>
        </w:rPr>
      </w:pPr>
      <w:r>
        <w:rPr>
          <w:noProof/>
          <w:sz w:val="20"/>
          <w:szCs w:val="20"/>
        </w:rPr>
        <w:drawing>
          <wp:anchor distT="0" distB="0" distL="114300" distR="114300" simplePos="0" relativeHeight="251257856" behindDoc="1" locked="0" layoutInCell="0" allowOverlap="1" wp14:anchorId="7A13FFE2" wp14:editId="6C4C8593">
            <wp:simplePos x="0" y="0"/>
            <wp:positionH relativeFrom="column">
              <wp:posOffset>5080</wp:posOffset>
            </wp:positionH>
            <wp:positionV relativeFrom="paragraph">
              <wp:posOffset>38100</wp:posOffset>
            </wp:positionV>
            <wp:extent cx="7132320" cy="1714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01FA50B" w14:textId="77777777" w:rsidR="00D1587D" w:rsidRDefault="00D1587D">
      <w:pPr>
        <w:sectPr w:rsidR="00D1587D">
          <w:pgSz w:w="11900" w:h="16838"/>
          <w:pgMar w:top="361" w:right="359" w:bottom="1440" w:left="320" w:header="0" w:footer="0" w:gutter="0"/>
          <w:cols w:space="720" w:equalWidth="0">
            <w:col w:w="11220"/>
          </w:cols>
        </w:sectPr>
      </w:pPr>
    </w:p>
    <w:p w14:paraId="290B4335" w14:textId="77777777" w:rsidR="00D1587D" w:rsidRDefault="00410D07">
      <w:pPr>
        <w:spacing w:line="234" w:lineRule="auto"/>
        <w:ind w:right="100" w:firstLine="648"/>
        <w:rPr>
          <w:sz w:val="20"/>
          <w:szCs w:val="20"/>
        </w:rPr>
      </w:pPr>
      <w:bookmarkStart w:id="109" w:name="page110"/>
      <w:bookmarkEnd w:id="109"/>
      <w:r>
        <w:rPr>
          <w:rFonts w:ascii="Arial" w:eastAsia="Arial" w:hAnsi="Arial" w:cs="Arial"/>
        </w:rPr>
        <w:t xml:space="preserve">Section 9.12. </w:t>
      </w:r>
      <w:r>
        <w:rPr>
          <w:rFonts w:ascii="Arial" w:eastAsia="Arial" w:hAnsi="Arial" w:cs="Arial"/>
          <w:i/>
          <w:iCs/>
        </w:rPr>
        <w:t>Severability.</w:t>
      </w:r>
      <w:r>
        <w:rPr>
          <w:rFonts w:ascii="Arial" w:eastAsia="Arial" w:hAnsi="Arial" w:cs="Arial"/>
        </w:rPr>
        <w:t xml:space="preserve"> If any one or more of the </w:t>
      </w:r>
      <w:r>
        <w:rPr>
          <w:rFonts w:ascii="Arial" w:eastAsia="Arial" w:hAnsi="Arial" w:cs="Arial"/>
        </w:rPr>
        <w:t>provisions contained in this Agreement should be declared invalid, illegal or unenforceable in any respect, the validity, legality and enforceability of the remaining provisions contained in this Agreement shall not in any way be affected or impaired there</w:t>
      </w:r>
      <w:r>
        <w:rPr>
          <w:rFonts w:ascii="Arial" w:eastAsia="Arial" w:hAnsi="Arial" w:cs="Arial"/>
        </w:rPr>
        <w:t>by so long as the economic or legal substance of the transactions contemplated hereby is not affected in any manner materially adverse to any party hereto. Upon such a declaration, the parties hereto shall modify this Agreement so as to effect the original</w:t>
      </w:r>
      <w:r>
        <w:rPr>
          <w:rFonts w:ascii="Arial" w:eastAsia="Arial" w:hAnsi="Arial" w:cs="Arial"/>
        </w:rPr>
        <w:t xml:space="preserve"> intent of the parties as closely as possible in an acceptable manner so that the transactions contemplated hereby are consummated as originally contemplated to the fullest extent possible.</w:t>
      </w:r>
    </w:p>
    <w:p w14:paraId="301E022D" w14:textId="77777777" w:rsidR="00D1587D" w:rsidRDefault="00D1587D">
      <w:pPr>
        <w:spacing w:line="218" w:lineRule="exact"/>
        <w:rPr>
          <w:sz w:val="20"/>
          <w:szCs w:val="20"/>
        </w:rPr>
      </w:pPr>
    </w:p>
    <w:p w14:paraId="0A463B7D" w14:textId="77777777" w:rsidR="00D1587D" w:rsidRDefault="00410D07">
      <w:pPr>
        <w:spacing w:line="273" w:lineRule="auto"/>
        <w:ind w:right="60" w:firstLine="648"/>
        <w:rPr>
          <w:sz w:val="20"/>
          <w:szCs w:val="20"/>
        </w:rPr>
      </w:pPr>
      <w:r>
        <w:rPr>
          <w:rFonts w:ascii="Arial" w:eastAsia="Arial" w:hAnsi="Arial" w:cs="Arial"/>
          <w:sz w:val="19"/>
          <w:szCs w:val="19"/>
        </w:rPr>
        <w:t xml:space="preserve">Section 9.13. </w:t>
      </w:r>
      <w:r>
        <w:rPr>
          <w:rFonts w:ascii="Arial" w:eastAsia="Arial" w:hAnsi="Arial" w:cs="Arial"/>
          <w:i/>
          <w:iCs/>
          <w:sz w:val="19"/>
          <w:szCs w:val="19"/>
        </w:rPr>
        <w:t>Specific Performance</w:t>
      </w:r>
      <w:r>
        <w:rPr>
          <w:rFonts w:ascii="Arial" w:eastAsia="Arial" w:hAnsi="Arial" w:cs="Arial"/>
          <w:sz w:val="19"/>
          <w:szCs w:val="19"/>
        </w:rPr>
        <w:t>. The parties hereto acknowledg</w:t>
      </w:r>
      <w:r>
        <w:rPr>
          <w:rFonts w:ascii="Arial" w:eastAsia="Arial" w:hAnsi="Arial" w:cs="Arial"/>
          <w:sz w:val="19"/>
          <w:szCs w:val="19"/>
        </w:rPr>
        <w:t>e and agree that damages for a breach or threatened breach of any of the provisions of this Agreement would be inadequate and irreparable harm would occur. In recognition of this fact, each party hereto agrees that, if there is a breach or threatened breac</w:t>
      </w:r>
      <w:r>
        <w:rPr>
          <w:rFonts w:ascii="Arial" w:eastAsia="Arial" w:hAnsi="Arial" w:cs="Arial"/>
          <w:sz w:val="19"/>
          <w:szCs w:val="19"/>
        </w:rPr>
        <w:t>h, in addition to any damages, the other non-breaching party to this Agreement, without posting any bond, shall be entitled to seek and obtain equitable relief in the form of specific performance, temporary restraining order, temporary or permanent injunct</w:t>
      </w:r>
      <w:r>
        <w:rPr>
          <w:rFonts w:ascii="Arial" w:eastAsia="Arial" w:hAnsi="Arial" w:cs="Arial"/>
          <w:sz w:val="19"/>
          <w:szCs w:val="19"/>
        </w:rPr>
        <w:t>ion, attachment, or any other equitable remedy which may then be available to obligate the breaching party (i) to perform its obligations under this Agreement or (ii) if the breaching party is unable, for whatever reason, to perform those obligations, to t</w:t>
      </w:r>
      <w:r>
        <w:rPr>
          <w:rFonts w:ascii="Arial" w:eastAsia="Arial" w:hAnsi="Arial" w:cs="Arial"/>
          <w:sz w:val="19"/>
          <w:szCs w:val="19"/>
        </w:rPr>
        <w:t>ake any other actions as are necessary, advisable or appropriate to give the other party to this Agreement the economic effect which comes as close as possible to the performance of those obligations (including transferring, or granting liens on, the asset</w:t>
      </w:r>
      <w:r>
        <w:rPr>
          <w:rFonts w:ascii="Arial" w:eastAsia="Arial" w:hAnsi="Arial" w:cs="Arial"/>
          <w:sz w:val="19"/>
          <w:szCs w:val="19"/>
        </w:rPr>
        <w:t>s of the breaching party to secure the performance by the breaching party of those obligations).</w:t>
      </w:r>
    </w:p>
    <w:p w14:paraId="4364D44C" w14:textId="77777777" w:rsidR="00D1587D" w:rsidRDefault="00D1587D">
      <w:pPr>
        <w:spacing w:line="188" w:lineRule="exact"/>
        <w:rPr>
          <w:sz w:val="20"/>
          <w:szCs w:val="20"/>
        </w:rPr>
      </w:pPr>
    </w:p>
    <w:p w14:paraId="0E312FB2" w14:textId="77777777" w:rsidR="00D1587D" w:rsidRDefault="00410D07">
      <w:pPr>
        <w:spacing w:line="257" w:lineRule="auto"/>
        <w:ind w:right="100" w:firstLine="648"/>
        <w:rPr>
          <w:sz w:val="20"/>
          <w:szCs w:val="20"/>
        </w:rPr>
      </w:pPr>
      <w:r>
        <w:rPr>
          <w:rFonts w:ascii="Arial" w:eastAsia="Arial" w:hAnsi="Arial" w:cs="Arial"/>
          <w:sz w:val="21"/>
          <w:szCs w:val="21"/>
        </w:rPr>
        <w:t xml:space="preserve">Section 9.14. </w:t>
      </w:r>
      <w:r>
        <w:rPr>
          <w:rFonts w:ascii="Arial" w:eastAsia="Arial" w:hAnsi="Arial" w:cs="Arial"/>
          <w:i/>
          <w:iCs/>
          <w:sz w:val="21"/>
          <w:szCs w:val="21"/>
        </w:rPr>
        <w:t>Interpretation.</w:t>
      </w:r>
      <w:r>
        <w:rPr>
          <w:rFonts w:ascii="Arial" w:eastAsia="Arial" w:hAnsi="Arial" w:cs="Arial"/>
          <w:sz w:val="21"/>
          <w:szCs w:val="21"/>
        </w:rPr>
        <w:t xml:space="preserve"> In the event an ambiguity or question of intent or interpretation arises, this Agreement shall be construed as if drafted jointl</w:t>
      </w:r>
      <w:r>
        <w:rPr>
          <w:rFonts w:ascii="Arial" w:eastAsia="Arial" w:hAnsi="Arial" w:cs="Arial"/>
          <w:sz w:val="21"/>
          <w:szCs w:val="21"/>
        </w:rPr>
        <w:t>y by the parties hereto, and no presumption or burden of proof shall arise favoring or disfavoring any party hereto by virtue of its authorship of any of the provisions of this Agreement.</w:t>
      </w:r>
    </w:p>
    <w:p w14:paraId="0FFF691A" w14:textId="77777777" w:rsidR="00D1587D" w:rsidRDefault="00D1587D">
      <w:pPr>
        <w:spacing w:line="196" w:lineRule="exact"/>
        <w:rPr>
          <w:sz w:val="20"/>
          <w:szCs w:val="20"/>
        </w:rPr>
      </w:pPr>
    </w:p>
    <w:p w14:paraId="546FCF14" w14:textId="77777777" w:rsidR="00D1587D" w:rsidRDefault="00410D07">
      <w:pPr>
        <w:spacing w:line="270" w:lineRule="auto"/>
        <w:ind w:firstLine="648"/>
        <w:rPr>
          <w:sz w:val="20"/>
          <w:szCs w:val="20"/>
        </w:rPr>
      </w:pPr>
      <w:r>
        <w:rPr>
          <w:rFonts w:ascii="Arial" w:eastAsia="Arial" w:hAnsi="Arial" w:cs="Arial"/>
          <w:sz w:val="19"/>
          <w:szCs w:val="19"/>
        </w:rPr>
        <w:t xml:space="preserve">Section 9.15. </w:t>
      </w:r>
      <w:r>
        <w:rPr>
          <w:rFonts w:ascii="Arial" w:eastAsia="Arial" w:hAnsi="Arial" w:cs="Arial"/>
          <w:i/>
          <w:iCs/>
          <w:sz w:val="19"/>
          <w:szCs w:val="19"/>
        </w:rPr>
        <w:t>Integration.</w:t>
      </w:r>
      <w:r>
        <w:rPr>
          <w:rFonts w:ascii="Arial" w:eastAsia="Arial" w:hAnsi="Arial" w:cs="Arial"/>
          <w:sz w:val="19"/>
          <w:szCs w:val="19"/>
        </w:rPr>
        <w:t xml:space="preserve"> The parties hereto agree that each of (a</w:t>
      </w:r>
      <w:r>
        <w:rPr>
          <w:rFonts w:ascii="Arial" w:eastAsia="Arial" w:hAnsi="Arial" w:cs="Arial"/>
          <w:sz w:val="19"/>
          <w:szCs w:val="19"/>
        </w:rPr>
        <w:t>) this Agreement, (b) each of the Service Schedules, (c) the VS to L Brands Transition Services Agreement, dated as of the date hereof between VS and Service Provider (the “</w:t>
      </w:r>
      <w:r>
        <w:rPr>
          <w:rFonts w:ascii="Arial" w:eastAsia="Arial" w:hAnsi="Arial" w:cs="Arial"/>
          <w:b/>
          <w:bCs/>
          <w:sz w:val="19"/>
          <w:szCs w:val="19"/>
        </w:rPr>
        <w:t>VS to L Brands TSA</w:t>
      </w:r>
      <w:r>
        <w:rPr>
          <w:rFonts w:ascii="Arial" w:eastAsia="Arial" w:hAnsi="Arial" w:cs="Arial"/>
          <w:sz w:val="19"/>
          <w:szCs w:val="19"/>
        </w:rPr>
        <w:t>”), (d) each of the Service Schedules (as defined in the VS to L</w:t>
      </w:r>
      <w:r>
        <w:rPr>
          <w:rFonts w:ascii="Arial" w:eastAsia="Arial" w:hAnsi="Arial" w:cs="Arial"/>
          <w:sz w:val="19"/>
          <w:szCs w:val="19"/>
        </w:rPr>
        <w:t xml:space="preserve"> Brands TSA), and (e) all addenda, supplemental agreements, amendments and letter agreements executed in connection with the foregoing, ((a) through (e) collectively, the “</w:t>
      </w:r>
      <w:r>
        <w:rPr>
          <w:rFonts w:ascii="Arial" w:eastAsia="Arial" w:hAnsi="Arial" w:cs="Arial"/>
          <w:b/>
          <w:bCs/>
          <w:sz w:val="19"/>
          <w:szCs w:val="19"/>
        </w:rPr>
        <w:t>Integrated Agreements</w:t>
      </w:r>
      <w:r>
        <w:rPr>
          <w:rFonts w:ascii="Arial" w:eastAsia="Arial" w:hAnsi="Arial" w:cs="Arial"/>
          <w:sz w:val="19"/>
          <w:szCs w:val="19"/>
        </w:rPr>
        <w:t>”) are integrated and non-severable parts of one and the same t</w:t>
      </w:r>
      <w:r>
        <w:rPr>
          <w:rFonts w:ascii="Arial" w:eastAsia="Arial" w:hAnsi="Arial" w:cs="Arial"/>
          <w:sz w:val="19"/>
          <w:szCs w:val="19"/>
        </w:rPr>
        <w:t>ransaction among the parties hereto, each representing an essential, necessary and interdependent component of such transaction forming part of the consideration given by the parties hereto under and in connection with this Agreement, and the parties heret</w:t>
      </w:r>
      <w:r>
        <w:rPr>
          <w:rFonts w:ascii="Arial" w:eastAsia="Arial" w:hAnsi="Arial" w:cs="Arial"/>
          <w:sz w:val="19"/>
          <w:szCs w:val="19"/>
        </w:rPr>
        <w:t>o agree that all of the Integrated Agreements comprising such transaction constitute one single agreement and are integrated and non-severable for all purposes at law and equity, including for purposes of section 365 of title 11 of the United States Code a</w:t>
      </w:r>
      <w:r>
        <w:rPr>
          <w:rFonts w:ascii="Arial" w:eastAsia="Arial" w:hAnsi="Arial" w:cs="Arial"/>
          <w:sz w:val="19"/>
          <w:szCs w:val="19"/>
        </w:rPr>
        <w:t>nd New York law, and that any breach of any one of such agreements shall be deemed a breach under all such agreements. The Integrated Agreements embody the entire understanding of the parties hereto, and there are no further or other agreements or understa</w:t>
      </w:r>
      <w:r>
        <w:rPr>
          <w:rFonts w:ascii="Arial" w:eastAsia="Arial" w:hAnsi="Arial" w:cs="Arial"/>
          <w:sz w:val="19"/>
          <w:szCs w:val="19"/>
        </w:rPr>
        <w:t>ndings, written or oral, in effect between the parties hereto, relating to the subject matter of this Agreement. In addition to, and without limitation of, the rights of the parties hereto set forth above or any right available in law or in equity, pursuan</w:t>
      </w:r>
      <w:r>
        <w:rPr>
          <w:rFonts w:ascii="Arial" w:eastAsia="Arial" w:hAnsi="Arial" w:cs="Arial"/>
          <w:sz w:val="19"/>
          <w:szCs w:val="19"/>
        </w:rPr>
        <w:t>t to contract or otherwise, in the event of the failure by a party to this Agreement or any Affiliate of such party to make timely payment of amounts due and owing (following the expiration of any relevant cure periods thereunder) under any of the Integrat</w:t>
      </w:r>
      <w:r>
        <w:rPr>
          <w:rFonts w:ascii="Arial" w:eastAsia="Arial" w:hAnsi="Arial" w:cs="Arial"/>
          <w:sz w:val="19"/>
          <w:szCs w:val="19"/>
        </w:rPr>
        <w:t>ed Agreements, the Separation Agreement or any other agreement related to the transactions contemplated hereby and thereby (together, the “</w:t>
      </w:r>
      <w:r>
        <w:rPr>
          <w:rFonts w:ascii="Arial" w:eastAsia="Arial" w:hAnsi="Arial" w:cs="Arial"/>
          <w:b/>
          <w:bCs/>
          <w:sz w:val="19"/>
          <w:szCs w:val="19"/>
        </w:rPr>
        <w:t>Applicable</w:t>
      </w:r>
      <w:r>
        <w:rPr>
          <w:rFonts w:ascii="Arial" w:eastAsia="Arial" w:hAnsi="Arial" w:cs="Arial"/>
          <w:sz w:val="19"/>
          <w:szCs w:val="19"/>
        </w:rPr>
        <w:t xml:space="preserve"> </w:t>
      </w:r>
      <w:r>
        <w:rPr>
          <w:rFonts w:ascii="Arial" w:eastAsia="Arial" w:hAnsi="Arial" w:cs="Arial"/>
          <w:b/>
          <w:bCs/>
          <w:sz w:val="19"/>
          <w:szCs w:val="19"/>
        </w:rPr>
        <w:t>Agreements</w:t>
      </w:r>
      <w:r>
        <w:rPr>
          <w:rFonts w:ascii="Arial" w:eastAsia="Arial" w:hAnsi="Arial" w:cs="Arial"/>
          <w:sz w:val="19"/>
          <w:szCs w:val="19"/>
        </w:rPr>
        <w:t>”), such amounts may at the election of the non-defaulting party be reduced by set-off against a</w:t>
      </w:r>
      <w:r>
        <w:rPr>
          <w:rFonts w:ascii="Arial" w:eastAsia="Arial" w:hAnsi="Arial" w:cs="Arial"/>
          <w:sz w:val="19"/>
          <w:szCs w:val="19"/>
        </w:rPr>
        <w:t>ny sum or obligation</w:t>
      </w:r>
      <w:r>
        <w:rPr>
          <w:rFonts w:ascii="Arial" w:eastAsia="Arial" w:hAnsi="Arial" w:cs="Arial"/>
          <w:b/>
          <w:bCs/>
          <w:sz w:val="19"/>
          <w:szCs w:val="19"/>
        </w:rPr>
        <w:t xml:space="preserve"> </w:t>
      </w:r>
      <w:r>
        <w:rPr>
          <w:rFonts w:ascii="Arial" w:eastAsia="Arial" w:hAnsi="Arial" w:cs="Arial"/>
          <w:sz w:val="19"/>
          <w:szCs w:val="19"/>
        </w:rPr>
        <w:t xml:space="preserve">(whether or not matured or contingent and irrespective of the currency or place of payment) owed by the non-defaulting party or any Affiliate of the non-defaulting party to the defaulting party or any Affiliate of the defaulting party </w:t>
      </w:r>
      <w:r>
        <w:rPr>
          <w:rFonts w:ascii="Arial" w:eastAsia="Arial" w:hAnsi="Arial" w:cs="Arial"/>
          <w:sz w:val="19"/>
          <w:szCs w:val="19"/>
        </w:rPr>
        <w:t>under any Applicable Agreement.</w:t>
      </w:r>
    </w:p>
    <w:p w14:paraId="60681ACA" w14:textId="77777777" w:rsidR="00D1587D" w:rsidRDefault="00D1587D">
      <w:pPr>
        <w:spacing w:line="200" w:lineRule="exact"/>
        <w:rPr>
          <w:sz w:val="20"/>
          <w:szCs w:val="20"/>
        </w:rPr>
      </w:pPr>
    </w:p>
    <w:p w14:paraId="14D8A023" w14:textId="77777777" w:rsidR="00D1587D" w:rsidRDefault="00D1587D">
      <w:pPr>
        <w:spacing w:line="233" w:lineRule="exact"/>
        <w:rPr>
          <w:sz w:val="20"/>
          <w:szCs w:val="20"/>
        </w:rPr>
      </w:pPr>
    </w:p>
    <w:p w14:paraId="55840FA4" w14:textId="77777777" w:rsidR="00D1587D" w:rsidRDefault="00410D07">
      <w:pPr>
        <w:jc w:val="center"/>
        <w:rPr>
          <w:sz w:val="20"/>
          <w:szCs w:val="20"/>
        </w:rPr>
      </w:pPr>
      <w:r>
        <w:rPr>
          <w:rFonts w:ascii="Arial" w:eastAsia="Arial" w:hAnsi="Arial" w:cs="Arial"/>
        </w:rPr>
        <w:t>[</w:t>
      </w:r>
      <w:r>
        <w:rPr>
          <w:rFonts w:ascii="Arial" w:eastAsia="Arial" w:hAnsi="Arial" w:cs="Arial"/>
          <w:i/>
          <w:iCs/>
        </w:rPr>
        <w:t>Signature page follows</w:t>
      </w:r>
      <w:r>
        <w:rPr>
          <w:rFonts w:ascii="Arial" w:eastAsia="Arial" w:hAnsi="Arial" w:cs="Arial"/>
        </w:rPr>
        <w:t>]</w:t>
      </w:r>
    </w:p>
    <w:p w14:paraId="4658F7DF" w14:textId="77777777" w:rsidR="00D1587D" w:rsidRDefault="00D1587D">
      <w:pPr>
        <w:spacing w:line="168" w:lineRule="exact"/>
        <w:rPr>
          <w:sz w:val="20"/>
          <w:szCs w:val="20"/>
        </w:rPr>
      </w:pPr>
    </w:p>
    <w:p w14:paraId="5E29F210" w14:textId="77777777" w:rsidR="00D1587D" w:rsidRDefault="00410D07">
      <w:pPr>
        <w:jc w:val="center"/>
        <w:rPr>
          <w:sz w:val="20"/>
          <w:szCs w:val="20"/>
        </w:rPr>
      </w:pPr>
      <w:r>
        <w:rPr>
          <w:rFonts w:ascii="Arial" w:eastAsia="Arial" w:hAnsi="Arial" w:cs="Arial"/>
          <w:sz w:val="14"/>
          <w:szCs w:val="14"/>
        </w:rPr>
        <w:t>21</w:t>
      </w:r>
    </w:p>
    <w:p w14:paraId="0A3837AB" w14:textId="77777777" w:rsidR="00D1587D" w:rsidRDefault="00410D07">
      <w:pPr>
        <w:spacing w:line="20" w:lineRule="exact"/>
        <w:rPr>
          <w:sz w:val="20"/>
          <w:szCs w:val="20"/>
        </w:rPr>
      </w:pPr>
      <w:r>
        <w:rPr>
          <w:noProof/>
          <w:sz w:val="20"/>
          <w:szCs w:val="20"/>
        </w:rPr>
        <w:drawing>
          <wp:anchor distT="0" distB="0" distL="114300" distR="114300" simplePos="0" relativeHeight="251258880" behindDoc="1" locked="0" layoutInCell="0" allowOverlap="1" wp14:anchorId="4EAD37A3" wp14:editId="663C3CF5">
            <wp:simplePos x="0" y="0"/>
            <wp:positionH relativeFrom="column">
              <wp:posOffset>5080</wp:posOffset>
            </wp:positionH>
            <wp:positionV relativeFrom="paragraph">
              <wp:posOffset>38100</wp:posOffset>
            </wp:positionV>
            <wp:extent cx="7132320" cy="1714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9BC4528" w14:textId="77777777" w:rsidR="00D1587D" w:rsidRDefault="00D1587D">
      <w:pPr>
        <w:sectPr w:rsidR="00D1587D">
          <w:pgSz w:w="11900" w:h="16838"/>
          <w:pgMar w:top="361" w:right="339" w:bottom="1440" w:left="320" w:header="0" w:footer="0" w:gutter="0"/>
          <w:cols w:space="720" w:equalWidth="0">
            <w:col w:w="11240"/>
          </w:cols>
        </w:sectPr>
      </w:pPr>
    </w:p>
    <w:p w14:paraId="36B5E58D" w14:textId="77777777" w:rsidR="00D1587D" w:rsidRDefault="00410D07">
      <w:pPr>
        <w:spacing w:line="250" w:lineRule="auto"/>
        <w:ind w:firstLine="648"/>
        <w:rPr>
          <w:sz w:val="20"/>
          <w:szCs w:val="20"/>
        </w:rPr>
      </w:pPr>
      <w:bookmarkStart w:id="110" w:name="page111"/>
      <w:bookmarkEnd w:id="110"/>
      <w:r>
        <w:rPr>
          <w:rFonts w:ascii="Arial" w:eastAsia="Arial" w:hAnsi="Arial" w:cs="Arial"/>
        </w:rPr>
        <w:t xml:space="preserve">IN WITNESS WHEREOF the parties hereto have caused this Agreement to be duly executed by their respective authorized officers as of the day and year first above </w:t>
      </w:r>
      <w:r>
        <w:rPr>
          <w:rFonts w:ascii="Arial" w:eastAsia="Arial" w:hAnsi="Arial" w:cs="Arial"/>
        </w:rPr>
        <w:t>written.</w:t>
      </w:r>
    </w:p>
    <w:p w14:paraId="7B3419C7" w14:textId="77777777" w:rsidR="00D1587D" w:rsidRDefault="00D1587D">
      <w:pPr>
        <w:spacing w:line="205" w:lineRule="exact"/>
        <w:rPr>
          <w:sz w:val="20"/>
          <w:szCs w:val="20"/>
        </w:rPr>
      </w:pPr>
    </w:p>
    <w:p w14:paraId="18CDD30B" w14:textId="77777777" w:rsidR="00D1587D" w:rsidRDefault="00410D07">
      <w:pPr>
        <w:ind w:left="5640"/>
        <w:rPr>
          <w:sz w:val="20"/>
          <w:szCs w:val="20"/>
        </w:rPr>
      </w:pPr>
      <w:r>
        <w:rPr>
          <w:rFonts w:ascii="Arial" w:eastAsia="Arial" w:hAnsi="Arial" w:cs="Arial"/>
          <w:b/>
          <w:bCs/>
          <w:sz w:val="18"/>
          <w:szCs w:val="18"/>
        </w:rPr>
        <w:t>VICTORIA’S SECRET &amp; CO.</w:t>
      </w:r>
    </w:p>
    <w:p w14:paraId="2B260844" w14:textId="77777777" w:rsidR="00D1587D" w:rsidRDefault="00D1587D">
      <w:pPr>
        <w:spacing w:line="229" w:lineRule="exact"/>
        <w:rPr>
          <w:sz w:val="20"/>
          <w:szCs w:val="20"/>
        </w:rPr>
      </w:pPr>
    </w:p>
    <w:p w14:paraId="6D17E62D" w14:textId="77777777" w:rsidR="00D1587D" w:rsidRDefault="00410D07">
      <w:pPr>
        <w:ind w:left="5640"/>
        <w:rPr>
          <w:sz w:val="20"/>
          <w:szCs w:val="20"/>
        </w:rPr>
      </w:pPr>
      <w:r>
        <w:rPr>
          <w:rFonts w:ascii="Arial" w:eastAsia="Arial" w:hAnsi="Arial" w:cs="Arial"/>
          <w:sz w:val="18"/>
          <w:szCs w:val="18"/>
        </w:rPr>
        <w:t>By:</w:t>
      </w:r>
    </w:p>
    <w:p w14:paraId="48E64582" w14:textId="77777777" w:rsidR="00D1587D" w:rsidRDefault="00410D07">
      <w:pPr>
        <w:spacing w:line="20" w:lineRule="exact"/>
        <w:rPr>
          <w:sz w:val="20"/>
          <w:szCs w:val="20"/>
        </w:rPr>
      </w:pPr>
      <w:r>
        <w:rPr>
          <w:noProof/>
          <w:sz w:val="20"/>
          <w:szCs w:val="20"/>
        </w:rPr>
        <w:drawing>
          <wp:anchor distT="0" distB="0" distL="114300" distR="114300" simplePos="0" relativeHeight="251259904" behindDoc="1" locked="0" layoutInCell="0" allowOverlap="1" wp14:anchorId="2FFB6D8E" wp14:editId="5BA69F4D">
            <wp:simplePos x="0" y="0"/>
            <wp:positionH relativeFrom="column">
              <wp:posOffset>4076700</wp:posOffset>
            </wp:positionH>
            <wp:positionV relativeFrom="paragraph">
              <wp:posOffset>14605</wp:posOffset>
            </wp:positionV>
            <wp:extent cx="3060065" cy="1714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
                    <a:srcRect/>
                    <a:stretch>
                      <a:fillRect/>
                    </a:stretch>
                  </pic:blipFill>
                  <pic:spPr bwMode="auto">
                    <a:xfrm>
                      <a:off x="0" y="0"/>
                      <a:ext cx="3060065" cy="17145"/>
                    </a:xfrm>
                    <a:prstGeom prst="rect">
                      <a:avLst/>
                    </a:prstGeom>
                    <a:noFill/>
                  </pic:spPr>
                </pic:pic>
              </a:graphicData>
            </a:graphic>
          </wp:anchor>
        </w:drawing>
      </w:r>
    </w:p>
    <w:p w14:paraId="45055B20" w14:textId="77777777" w:rsidR="00D1587D" w:rsidRDefault="00D1587D">
      <w:pPr>
        <w:spacing w:line="16" w:lineRule="exact"/>
        <w:rPr>
          <w:sz w:val="20"/>
          <w:szCs w:val="20"/>
        </w:rPr>
      </w:pPr>
    </w:p>
    <w:p w14:paraId="7985BEBA" w14:textId="77777777" w:rsidR="00D1587D" w:rsidRDefault="00410D07">
      <w:pPr>
        <w:ind w:left="6420"/>
        <w:rPr>
          <w:sz w:val="20"/>
          <w:szCs w:val="20"/>
        </w:rPr>
      </w:pPr>
      <w:r>
        <w:rPr>
          <w:rFonts w:ascii="Arial" w:eastAsia="Arial" w:hAnsi="Arial" w:cs="Arial"/>
          <w:sz w:val="18"/>
          <w:szCs w:val="18"/>
        </w:rPr>
        <w:t>Name:</w:t>
      </w:r>
    </w:p>
    <w:p w14:paraId="1AF2D930" w14:textId="77777777" w:rsidR="00D1587D" w:rsidRDefault="00D1587D">
      <w:pPr>
        <w:spacing w:line="23" w:lineRule="exact"/>
        <w:rPr>
          <w:sz w:val="20"/>
          <w:szCs w:val="20"/>
        </w:rPr>
      </w:pPr>
    </w:p>
    <w:p w14:paraId="7182C467" w14:textId="77777777" w:rsidR="00D1587D" w:rsidRDefault="00410D07">
      <w:pPr>
        <w:ind w:left="6420"/>
        <w:rPr>
          <w:sz w:val="20"/>
          <w:szCs w:val="20"/>
        </w:rPr>
      </w:pPr>
      <w:r>
        <w:rPr>
          <w:rFonts w:ascii="Arial" w:eastAsia="Arial" w:hAnsi="Arial" w:cs="Arial"/>
          <w:sz w:val="18"/>
          <w:szCs w:val="18"/>
        </w:rPr>
        <w:t>Title:</w:t>
      </w:r>
    </w:p>
    <w:p w14:paraId="40B58593" w14:textId="77777777" w:rsidR="00D1587D" w:rsidRDefault="00D1587D">
      <w:pPr>
        <w:spacing w:line="234" w:lineRule="exact"/>
        <w:rPr>
          <w:sz w:val="20"/>
          <w:szCs w:val="20"/>
        </w:rPr>
      </w:pPr>
    </w:p>
    <w:p w14:paraId="0ED23072" w14:textId="77777777" w:rsidR="00D1587D" w:rsidRDefault="00410D07">
      <w:pPr>
        <w:ind w:left="5640"/>
        <w:rPr>
          <w:sz w:val="20"/>
          <w:szCs w:val="20"/>
        </w:rPr>
      </w:pPr>
      <w:r>
        <w:rPr>
          <w:rFonts w:ascii="Arial" w:eastAsia="Arial" w:hAnsi="Arial" w:cs="Arial"/>
          <w:b/>
          <w:bCs/>
          <w:sz w:val="18"/>
          <w:szCs w:val="18"/>
        </w:rPr>
        <w:t>L BRANDS, INC.</w:t>
      </w:r>
    </w:p>
    <w:p w14:paraId="3099494D" w14:textId="77777777" w:rsidR="00D1587D" w:rsidRDefault="00D1587D">
      <w:pPr>
        <w:spacing w:line="229" w:lineRule="exact"/>
        <w:rPr>
          <w:sz w:val="20"/>
          <w:szCs w:val="20"/>
        </w:rPr>
      </w:pPr>
    </w:p>
    <w:p w14:paraId="039DD82E" w14:textId="77777777" w:rsidR="00D1587D" w:rsidRDefault="00410D07">
      <w:pPr>
        <w:ind w:left="5640"/>
        <w:rPr>
          <w:sz w:val="20"/>
          <w:szCs w:val="20"/>
        </w:rPr>
      </w:pPr>
      <w:r>
        <w:rPr>
          <w:rFonts w:ascii="Arial" w:eastAsia="Arial" w:hAnsi="Arial" w:cs="Arial"/>
          <w:sz w:val="18"/>
          <w:szCs w:val="18"/>
        </w:rPr>
        <w:t>By:</w:t>
      </w:r>
    </w:p>
    <w:p w14:paraId="597B21F2" w14:textId="77777777" w:rsidR="00D1587D" w:rsidRDefault="00410D07">
      <w:pPr>
        <w:spacing w:line="20" w:lineRule="exact"/>
        <w:rPr>
          <w:sz w:val="20"/>
          <w:szCs w:val="20"/>
        </w:rPr>
      </w:pPr>
      <w:r>
        <w:rPr>
          <w:noProof/>
          <w:sz w:val="20"/>
          <w:szCs w:val="20"/>
        </w:rPr>
        <w:drawing>
          <wp:anchor distT="0" distB="0" distL="114300" distR="114300" simplePos="0" relativeHeight="251260928" behindDoc="1" locked="0" layoutInCell="0" allowOverlap="1" wp14:anchorId="223A2816" wp14:editId="2C20A90A">
            <wp:simplePos x="0" y="0"/>
            <wp:positionH relativeFrom="column">
              <wp:posOffset>4076700</wp:posOffset>
            </wp:positionH>
            <wp:positionV relativeFrom="paragraph">
              <wp:posOffset>14605</wp:posOffset>
            </wp:positionV>
            <wp:extent cx="3060065" cy="1714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
                    <a:srcRect/>
                    <a:stretch>
                      <a:fillRect/>
                    </a:stretch>
                  </pic:blipFill>
                  <pic:spPr bwMode="auto">
                    <a:xfrm>
                      <a:off x="0" y="0"/>
                      <a:ext cx="3060065" cy="17145"/>
                    </a:xfrm>
                    <a:prstGeom prst="rect">
                      <a:avLst/>
                    </a:prstGeom>
                    <a:noFill/>
                  </pic:spPr>
                </pic:pic>
              </a:graphicData>
            </a:graphic>
          </wp:anchor>
        </w:drawing>
      </w:r>
    </w:p>
    <w:p w14:paraId="63D21475" w14:textId="77777777" w:rsidR="00D1587D" w:rsidRDefault="00D1587D">
      <w:pPr>
        <w:spacing w:line="16" w:lineRule="exact"/>
        <w:rPr>
          <w:sz w:val="20"/>
          <w:szCs w:val="20"/>
        </w:rPr>
      </w:pPr>
    </w:p>
    <w:p w14:paraId="0D67BAA7" w14:textId="77777777" w:rsidR="00D1587D" w:rsidRDefault="00410D07">
      <w:pPr>
        <w:ind w:left="6420"/>
        <w:rPr>
          <w:sz w:val="20"/>
          <w:szCs w:val="20"/>
        </w:rPr>
      </w:pPr>
      <w:r>
        <w:rPr>
          <w:rFonts w:ascii="Arial" w:eastAsia="Arial" w:hAnsi="Arial" w:cs="Arial"/>
          <w:sz w:val="18"/>
          <w:szCs w:val="18"/>
        </w:rPr>
        <w:t>Name:</w:t>
      </w:r>
    </w:p>
    <w:p w14:paraId="5F704C97" w14:textId="77777777" w:rsidR="00D1587D" w:rsidRDefault="00D1587D">
      <w:pPr>
        <w:spacing w:line="23" w:lineRule="exact"/>
        <w:rPr>
          <w:sz w:val="20"/>
          <w:szCs w:val="20"/>
        </w:rPr>
      </w:pPr>
    </w:p>
    <w:p w14:paraId="72373856" w14:textId="77777777" w:rsidR="00D1587D" w:rsidRDefault="00410D07">
      <w:pPr>
        <w:ind w:left="6420"/>
        <w:rPr>
          <w:sz w:val="20"/>
          <w:szCs w:val="20"/>
        </w:rPr>
      </w:pPr>
      <w:r>
        <w:rPr>
          <w:rFonts w:ascii="Arial" w:eastAsia="Arial" w:hAnsi="Arial" w:cs="Arial"/>
          <w:sz w:val="18"/>
          <w:szCs w:val="18"/>
        </w:rPr>
        <w:t>Title:</w:t>
      </w:r>
    </w:p>
    <w:p w14:paraId="4B792245" w14:textId="77777777" w:rsidR="00D1587D" w:rsidRDefault="00410D07">
      <w:pPr>
        <w:spacing w:line="20" w:lineRule="exact"/>
        <w:rPr>
          <w:sz w:val="20"/>
          <w:szCs w:val="20"/>
        </w:rPr>
      </w:pPr>
      <w:r>
        <w:rPr>
          <w:noProof/>
          <w:sz w:val="20"/>
          <w:szCs w:val="20"/>
        </w:rPr>
        <w:drawing>
          <wp:anchor distT="0" distB="0" distL="114300" distR="114300" simplePos="0" relativeHeight="251261952" behindDoc="1" locked="0" layoutInCell="0" allowOverlap="1" wp14:anchorId="7C019E53" wp14:editId="6523D11C">
            <wp:simplePos x="0" y="0"/>
            <wp:positionH relativeFrom="column">
              <wp:posOffset>5080</wp:posOffset>
            </wp:positionH>
            <wp:positionV relativeFrom="paragraph">
              <wp:posOffset>382905</wp:posOffset>
            </wp:positionV>
            <wp:extent cx="7132320" cy="1714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124819E" w14:textId="77777777" w:rsidR="00D1587D" w:rsidRDefault="00D1587D">
      <w:pPr>
        <w:sectPr w:rsidR="00D1587D">
          <w:pgSz w:w="11900" w:h="16838"/>
          <w:pgMar w:top="604" w:right="1199" w:bottom="1440" w:left="320" w:header="0" w:footer="0" w:gutter="0"/>
          <w:cols w:space="720" w:equalWidth="0">
            <w:col w:w="10380"/>
          </w:cols>
        </w:sectPr>
      </w:pPr>
    </w:p>
    <w:p w14:paraId="708D47FD" w14:textId="77777777" w:rsidR="00D1587D" w:rsidRDefault="00410D07">
      <w:pPr>
        <w:jc w:val="right"/>
        <w:rPr>
          <w:sz w:val="20"/>
          <w:szCs w:val="20"/>
        </w:rPr>
      </w:pPr>
      <w:bookmarkStart w:id="111" w:name="page112"/>
      <w:bookmarkEnd w:id="111"/>
      <w:r>
        <w:rPr>
          <w:rFonts w:ascii="Arial" w:eastAsia="Arial" w:hAnsi="Arial" w:cs="Arial"/>
          <w:b/>
          <w:bCs/>
          <w:noProof/>
        </w:rPr>
        <w:drawing>
          <wp:anchor distT="0" distB="0" distL="114300" distR="114300" simplePos="0" relativeHeight="251262976" behindDoc="1" locked="0" layoutInCell="0" allowOverlap="1" wp14:anchorId="2A19FBDC" wp14:editId="41DFF4D9">
            <wp:simplePos x="0" y="0"/>
            <wp:positionH relativeFrom="page">
              <wp:posOffset>208280</wp:posOffset>
            </wp:positionH>
            <wp:positionV relativeFrom="page">
              <wp:posOffset>88900</wp:posOffset>
            </wp:positionV>
            <wp:extent cx="7132320" cy="3429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10.2</w:t>
      </w:r>
    </w:p>
    <w:p w14:paraId="770F9A96" w14:textId="77777777" w:rsidR="00D1587D" w:rsidRDefault="00D1587D">
      <w:pPr>
        <w:spacing w:line="233" w:lineRule="exact"/>
        <w:rPr>
          <w:sz w:val="20"/>
          <w:szCs w:val="20"/>
        </w:rPr>
      </w:pPr>
    </w:p>
    <w:p w14:paraId="2CAA649B" w14:textId="77777777" w:rsidR="00D1587D" w:rsidRDefault="00410D07">
      <w:pPr>
        <w:ind w:right="1120"/>
        <w:jc w:val="center"/>
        <w:rPr>
          <w:sz w:val="20"/>
          <w:szCs w:val="20"/>
        </w:rPr>
      </w:pPr>
      <w:r>
        <w:rPr>
          <w:rFonts w:ascii="Arial" w:eastAsia="Arial" w:hAnsi="Arial" w:cs="Arial"/>
          <w:b/>
          <w:bCs/>
        </w:rPr>
        <w:t>FORM OF</w:t>
      </w:r>
    </w:p>
    <w:p w14:paraId="1FE24861" w14:textId="77777777" w:rsidR="00D1587D" w:rsidRDefault="00D1587D">
      <w:pPr>
        <w:spacing w:line="233" w:lineRule="exact"/>
        <w:rPr>
          <w:sz w:val="20"/>
          <w:szCs w:val="20"/>
        </w:rPr>
      </w:pPr>
    </w:p>
    <w:p w14:paraId="46FF8250" w14:textId="77777777" w:rsidR="00D1587D" w:rsidRDefault="00410D07">
      <w:pPr>
        <w:ind w:right="1120"/>
        <w:jc w:val="center"/>
        <w:rPr>
          <w:sz w:val="20"/>
          <w:szCs w:val="20"/>
        </w:rPr>
      </w:pPr>
      <w:r>
        <w:rPr>
          <w:rFonts w:ascii="Arial" w:eastAsia="Arial" w:hAnsi="Arial" w:cs="Arial"/>
          <w:b/>
          <w:bCs/>
          <w:sz w:val="21"/>
          <w:szCs w:val="21"/>
        </w:rPr>
        <w:t>VS TO L BRANDS TRANSITION SERVICES AGREEMENT</w:t>
      </w:r>
    </w:p>
    <w:p w14:paraId="5336FF11" w14:textId="77777777" w:rsidR="00D1587D" w:rsidRDefault="00D1587D">
      <w:pPr>
        <w:spacing w:line="245" w:lineRule="exact"/>
        <w:rPr>
          <w:sz w:val="20"/>
          <w:szCs w:val="20"/>
        </w:rPr>
      </w:pPr>
    </w:p>
    <w:p w14:paraId="7FE41E5E" w14:textId="77777777" w:rsidR="00D1587D" w:rsidRDefault="00410D07">
      <w:pPr>
        <w:ind w:left="4000"/>
        <w:rPr>
          <w:sz w:val="20"/>
          <w:szCs w:val="20"/>
        </w:rPr>
      </w:pPr>
      <w:r>
        <w:rPr>
          <w:rFonts w:ascii="Arial" w:eastAsia="Arial" w:hAnsi="Arial" w:cs="Arial"/>
          <w:b/>
          <w:bCs/>
        </w:rPr>
        <w:t>dated as of</w:t>
      </w:r>
    </w:p>
    <w:p w14:paraId="6D6DEB44" w14:textId="77777777" w:rsidR="00D1587D" w:rsidRDefault="00D1587D">
      <w:pPr>
        <w:spacing w:line="233" w:lineRule="exact"/>
        <w:rPr>
          <w:sz w:val="20"/>
          <w:szCs w:val="20"/>
        </w:rPr>
      </w:pPr>
    </w:p>
    <w:p w14:paraId="2CE777EE" w14:textId="77777777" w:rsidR="00D1587D" w:rsidRDefault="00410D07">
      <w:pPr>
        <w:ind w:left="4060"/>
        <w:rPr>
          <w:sz w:val="20"/>
          <w:szCs w:val="20"/>
        </w:rPr>
      </w:pPr>
      <w:r>
        <w:rPr>
          <w:rFonts w:ascii="Arial" w:eastAsia="Arial" w:hAnsi="Arial" w:cs="Arial"/>
          <w:b/>
          <w:bCs/>
        </w:rPr>
        <w:t>[__], 2021</w:t>
      </w:r>
    </w:p>
    <w:p w14:paraId="46F0B26A" w14:textId="77777777" w:rsidR="00D1587D" w:rsidRDefault="00D1587D">
      <w:pPr>
        <w:spacing w:line="233" w:lineRule="exact"/>
        <w:rPr>
          <w:sz w:val="20"/>
          <w:szCs w:val="20"/>
        </w:rPr>
      </w:pPr>
    </w:p>
    <w:p w14:paraId="1AF954E4" w14:textId="77777777" w:rsidR="00D1587D" w:rsidRDefault="00410D07">
      <w:pPr>
        <w:ind w:right="1120"/>
        <w:jc w:val="center"/>
        <w:rPr>
          <w:sz w:val="20"/>
          <w:szCs w:val="20"/>
        </w:rPr>
      </w:pPr>
      <w:r>
        <w:rPr>
          <w:rFonts w:ascii="Arial" w:eastAsia="Arial" w:hAnsi="Arial" w:cs="Arial"/>
          <w:b/>
          <w:bCs/>
        </w:rPr>
        <w:t>by and between</w:t>
      </w:r>
    </w:p>
    <w:p w14:paraId="6A3A7422" w14:textId="77777777" w:rsidR="00D1587D" w:rsidRDefault="00D1587D">
      <w:pPr>
        <w:spacing w:line="233" w:lineRule="exact"/>
        <w:rPr>
          <w:sz w:val="20"/>
          <w:szCs w:val="20"/>
        </w:rPr>
      </w:pPr>
    </w:p>
    <w:p w14:paraId="5F863D3A" w14:textId="77777777" w:rsidR="00D1587D" w:rsidRDefault="00410D07">
      <w:pPr>
        <w:ind w:right="1120"/>
        <w:jc w:val="center"/>
        <w:rPr>
          <w:sz w:val="20"/>
          <w:szCs w:val="20"/>
        </w:rPr>
      </w:pPr>
      <w:r>
        <w:rPr>
          <w:rFonts w:ascii="Arial" w:eastAsia="Arial" w:hAnsi="Arial" w:cs="Arial"/>
          <w:b/>
          <w:bCs/>
        </w:rPr>
        <w:t>L BRANDS, INC.</w:t>
      </w:r>
    </w:p>
    <w:p w14:paraId="3BE7C418" w14:textId="77777777" w:rsidR="00D1587D" w:rsidRDefault="00D1587D">
      <w:pPr>
        <w:spacing w:line="233" w:lineRule="exact"/>
        <w:rPr>
          <w:sz w:val="20"/>
          <w:szCs w:val="20"/>
        </w:rPr>
      </w:pPr>
    </w:p>
    <w:p w14:paraId="455AA762" w14:textId="77777777" w:rsidR="00D1587D" w:rsidRDefault="00410D07">
      <w:pPr>
        <w:ind w:right="1120"/>
        <w:jc w:val="center"/>
        <w:rPr>
          <w:sz w:val="20"/>
          <w:szCs w:val="20"/>
        </w:rPr>
      </w:pPr>
      <w:r>
        <w:rPr>
          <w:rFonts w:ascii="Arial" w:eastAsia="Arial" w:hAnsi="Arial" w:cs="Arial"/>
          <w:b/>
          <w:bCs/>
        </w:rPr>
        <w:t>and</w:t>
      </w:r>
    </w:p>
    <w:p w14:paraId="41D42C33" w14:textId="77777777" w:rsidR="00D1587D" w:rsidRDefault="00D1587D">
      <w:pPr>
        <w:spacing w:line="233" w:lineRule="exact"/>
        <w:rPr>
          <w:sz w:val="20"/>
          <w:szCs w:val="20"/>
        </w:rPr>
      </w:pPr>
    </w:p>
    <w:p w14:paraId="03B072F4" w14:textId="77777777" w:rsidR="00D1587D" w:rsidRDefault="00410D07">
      <w:pPr>
        <w:ind w:left="3080"/>
        <w:rPr>
          <w:sz w:val="20"/>
          <w:szCs w:val="20"/>
        </w:rPr>
      </w:pPr>
      <w:r>
        <w:rPr>
          <w:rFonts w:ascii="Arial" w:eastAsia="Arial" w:hAnsi="Arial" w:cs="Arial"/>
          <w:b/>
          <w:bCs/>
        </w:rPr>
        <w:t>VICTORIA’S SECRET &amp; CO.</w:t>
      </w:r>
    </w:p>
    <w:p w14:paraId="2336A6A0" w14:textId="77777777" w:rsidR="00D1587D" w:rsidRDefault="00410D07">
      <w:pPr>
        <w:spacing w:line="20" w:lineRule="exact"/>
        <w:rPr>
          <w:sz w:val="20"/>
          <w:szCs w:val="20"/>
        </w:rPr>
      </w:pPr>
      <w:r>
        <w:rPr>
          <w:noProof/>
          <w:sz w:val="20"/>
          <w:szCs w:val="20"/>
        </w:rPr>
        <w:drawing>
          <wp:anchor distT="0" distB="0" distL="114300" distR="114300" simplePos="0" relativeHeight="251264000" behindDoc="1" locked="0" layoutInCell="0" allowOverlap="1" wp14:anchorId="47C0FF13" wp14:editId="5206585D">
            <wp:simplePos x="0" y="0"/>
            <wp:positionH relativeFrom="column">
              <wp:posOffset>-705485</wp:posOffset>
            </wp:positionH>
            <wp:positionV relativeFrom="paragraph">
              <wp:posOffset>276860</wp:posOffset>
            </wp:positionV>
            <wp:extent cx="7132320" cy="1714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2A31382" w14:textId="77777777" w:rsidR="00D1587D" w:rsidRDefault="00D1587D">
      <w:pPr>
        <w:sectPr w:rsidR="00D1587D">
          <w:pgSz w:w="11900" w:h="16838"/>
          <w:pgMar w:top="274" w:right="339" w:bottom="1440" w:left="1440" w:header="0" w:footer="0" w:gutter="0"/>
          <w:cols w:space="720" w:equalWidth="0">
            <w:col w:w="10120"/>
          </w:cols>
        </w:sectPr>
      </w:pPr>
    </w:p>
    <w:tbl>
      <w:tblPr>
        <w:tblW w:w="0" w:type="auto"/>
        <w:tblLayout w:type="fixed"/>
        <w:tblCellMar>
          <w:left w:w="0" w:type="dxa"/>
          <w:right w:w="0" w:type="dxa"/>
        </w:tblCellMar>
        <w:tblLook w:val="04A0" w:firstRow="1" w:lastRow="0" w:firstColumn="1" w:lastColumn="0" w:noHBand="0" w:noVBand="1"/>
      </w:tblPr>
      <w:tblGrid>
        <w:gridCol w:w="1040"/>
        <w:gridCol w:w="9620"/>
        <w:gridCol w:w="580"/>
      </w:tblGrid>
      <w:tr w:rsidR="00D1587D" w14:paraId="50BD846E" w14:textId="77777777">
        <w:trPr>
          <w:trHeight w:val="280"/>
        </w:trPr>
        <w:tc>
          <w:tcPr>
            <w:tcW w:w="1040" w:type="dxa"/>
            <w:vAlign w:val="bottom"/>
          </w:tcPr>
          <w:p w14:paraId="45300B5D" w14:textId="77777777" w:rsidR="00D1587D" w:rsidRDefault="00D1587D">
            <w:pPr>
              <w:rPr>
                <w:sz w:val="24"/>
                <w:szCs w:val="24"/>
              </w:rPr>
            </w:pPr>
            <w:bookmarkStart w:id="112" w:name="page113"/>
            <w:bookmarkEnd w:id="112"/>
          </w:p>
        </w:tc>
        <w:tc>
          <w:tcPr>
            <w:tcW w:w="9620" w:type="dxa"/>
            <w:vAlign w:val="bottom"/>
          </w:tcPr>
          <w:p w14:paraId="5F30BDE9" w14:textId="77777777" w:rsidR="00D1587D" w:rsidRDefault="00410D07">
            <w:pPr>
              <w:ind w:right="309"/>
              <w:jc w:val="center"/>
              <w:rPr>
                <w:sz w:val="20"/>
                <w:szCs w:val="20"/>
              </w:rPr>
            </w:pPr>
            <w:r>
              <w:rPr>
                <w:rFonts w:ascii="Arial" w:eastAsia="Arial" w:hAnsi="Arial" w:cs="Arial"/>
                <w:b/>
                <w:bCs/>
                <w:w w:val="96"/>
              </w:rPr>
              <w:t>TABLE OF CONTENTS</w:t>
            </w:r>
          </w:p>
        </w:tc>
        <w:tc>
          <w:tcPr>
            <w:tcW w:w="580" w:type="dxa"/>
            <w:vAlign w:val="bottom"/>
          </w:tcPr>
          <w:p w14:paraId="6BF27D4B" w14:textId="77777777" w:rsidR="00D1587D" w:rsidRDefault="00D1587D">
            <w:pPr>
              <w:rPr>
                <w:sz w:val="24"/>
                <w:szCs w:val="24"/>
              </w:rPr>
            </w:pPr>
          </w:p>
        </w:tc>
      </w:tr>
      <w:tr w:rsidR="00D1587D" w14:paraId="6B0FD643" w14:textId="77777777">
        <w:trPr>
          <w:trHeight w:val="435"/>
        </w:trPr>
        <w:tc>
          <w:tcPr>
            <w:tcW w:w="1040" w:type="dxa"/>
            <w:vAlign w:val="bottom"/>
          </w:tcPr>
          <w:p w14:paraId="118E563E" w14:textId="77777777" w:rsidR="00D1587D" w:rsidRDefault="00D1587D">
            <w:pPr>
              <w:rPr>
                <w:sz w:val="24"/>
                <w:szCs w:val="24"/>
              </w:rPr>
            </w:pPr>
          </w:p>
        </w:tc>
        <w:tc>
          <w:tcPr>
            <w:tcW w:w="9620" w:type="dxa"/>
            <w:vAlign w:val="bottom"/>
          </w:tcPr>
          <w:p w14:paraId="1C8F39AE" w14:textId="77777777" w:rsidR="00D1587D" w:rsidRDefault="00D1587D">
            <w:pPr>
              <w:rPr>
                <w:sz w:val="24"/>
                <w:szCs w:val="24"/>
              </w:rPr>
            </w:pPr>
          </w:p>
        </w:tc>
        <w:tc>
          <w:tcPr>
            <w:tcW w:w="580" w:type="dxa"/>
            <w:tcBorders>
              <w:bottom w:val="single" w:sz="8" w:space="0" w:color="auto"/>
            </w:tcBorders>
            <w:vAlign w:val="bottom"/>
          </w:tcPr>
          <w:p w14:paraId="3DA481AE" w14:textId="77777777" w:rsidR="00D1587D" w:rsidRDefault="00410D07">
            <w:pPr>
              <w:jc w:val="right"/>
              <w:rPr>
                <w:sz w:val="20"/>
                <w:szCs w:val="20"/>
              </w:rPr>
            </w:pPr>
            <w:r>
              <w:rPr>
                <w:rFonts w:ascii="Arial" w:eastAsia="Arial" w:hAnsi="Arial" w:cs="Arial"/>
                <w:b/>
                <w:bCs/>
                <w:w w:val="89"/>
              </w:rPr>
              <w:t>PAGE</w:t>
            </w:r>
          </w:p>
        </w:tc>
      </w:tr>
      <w:tr w:rsidR="00D1587D" w14:paraId="0953095A" w14:textId="77777777">
        <w:trPr>
          <w:trHeight w:val="465"/>
        </w:trPr>
        <w:tc>
          <w:tcPr>
            <w:tcW w:w="1040" w:type="dxa"/>
            <w:vAlign w:val="bottom"/>
          </w:tcPr>
          <w:p w14:paraId="599BB150" w14:textId="77777777" w:rsidR="00D1587D" w:rsidRDefault="00D1587D">
            <w:pPr>
              <w:rPr>
                <w:sz w:val="24"/>
                <w:szCs w:val="24"/>
              </w:rPr>
            </w:pPr>
          </w:p>
        </w:tc>
        <w:tc>
          <w:tcPr>
            <w:tcW w:w="9620" w:type="dxa"/>
            <w:vAlign w:val="bottom"/>
          </w:tcPr>
          <w:p w14:paraId="44EE3655" w14:textId="77777777" w:rsidR="00D1587D" w:rsidRDefault="00410D07">
            <w:pPr>
              <w:ind w:right="369"/>
              <w:jc w:val="center"/>
              <w:rPr>
                <w:sz w:val="20"/>
                <w:szCs w:val="20"/>
              </w:rPr>
            </w:pPr>
            <w:r>
              <w:rPr>
                <w:rFonts w:ascii="Arial" w:eastAsia="Arial" w:hAnsi="Arial" w:cs="Arial"/>
                <w:w w:val="96"/>
                <w:sz w:val="18"/>
                <w:szCs w:val="18"/>
              </w:rPr>
              <w:t>ARTICLE 1</w:t>
            </w:r>
          </w:p>
        </w:tc>
        <w:tc>
          <w:tcPr>
            <w:tcW w:w="580" w:type="dxa"/>
            <w:vAlign w:val="bottom"/>
          </w:tcPr>
          <w:p w14:paraId="01A746C8" w14:textId="77777777" w:rsidR="00D1587D" w:rsidRDefault="00D1587D">
            <w:pPr>
              <w:rPr>
                <w:sz w:val="24"/>
                <w:szCs w:val="24"/>
              </w:rPr>
            </w:pPr>
          </w:p>
        </w:tc>
      </w:tr>
      <w:tr w:rsidR="00D1587D" w14:paraId="046DCDF5" w14:textId="77777777">
        <w:trPr>
          <w:trHeight w:val="230"/>
        </w:trPr>
        <w:tc>
          <w:tcPr>
            <w:tcW w:w="1040" w:type="dxa"/>
            <w:vAlign w:val="bottom"/>
          </w:tcPr>
          <w:p w14:paraId="519A78FE" w14:textId="77777777" w:rsidR="00D1587D" w:rsidRDefault="00D1587D">
            <w:pPr>
              <w:rPr>
                <w:sz w:val="20"/>
                <w:szCs w:val="20"/>
              </w:rPr>
            </w:pPr>
          </w:p>
        </w:tc>
        <w:tc>
          <w:tcPr>
            <w:tcW w:w="9620" w:type="dxa"/>
            <w:vAlign w:val="bottom"/>
          </w:tcPr>
          <w:p w14:paraId="2E208F90" w14:textId="77777777" w:rsidR="00D1587D" w:rsidRDefault="00410D07">
            <w:pPr>
              <w:ind w:right="369"/>
              <w:jc w:val="center"/>
              <w:rPr>
                <w:sz w:val="20"/>
                <w:szCs w:val="20"/>
              </w:rPr>
            </w:pPr>
            <w:r>
              <w:rPr>
                <w:rFonts w:ascii="Arial" w:eastAsia="Arial" w:hAnsi="Arial" w:cs="Arial"/>
                <w:w w:val="98"/>
                <w:sz w:val="18"/>
                <w:szCs w:val="18"/>
              </w:rPr>
              <w:t>DEFINITIONS</w:t>
            </w:r>
          </w:p>
        </w:tc>
        <w:tc>
          <w:tcPr>
            <w:tcW w:w="580" w:type="dxa"/>
            <w:vAlign w:val="bottom"/>
          </w:tcPr>
          <w:p w14:paraId="32305D08" w14:textId="77777777" w:rsidR="00D1587D" w:rsidRDefault="00D1587D">
            <w:pPr>
              <w:rPr>
                <w:sz w:val="20"/>
                <w:szCs w:val="20"/>
              </w:rPr>
            </w:pPr>
          </w:p>
        </w:tc>
      </w:tr>
      <w:tr w:rsidR="00D1587D" w14:paraId="3D082A42" w14:textId="77777777">
        <w:trPr>
          <w:trHeight w:val="418"/>
        </w:trPr>
        <w:tc>
          <w:tcPr>
            <w:tcW w:w="1040" w:type="dxa"/>
            <w:vAlign w:val="bottom"/>
          </w:tcPr>
          <w:p w14:paraId="0382DF83" w14:textId="77777777" w:rsidR="00D1587D" w:rsidRDefault="00410D07">
            <w:pPr>
              <w:rPr>
                <w:sz w:val="20"/>
                <w:szCs w:val="20"/>
              </w:rPr>
            </w:pPr>
            <w:r>
              <w:rPr>
                <w:rFonts w:ascii="Arial" w:eastAsia="Arial" w:hAnsi="Arial" w:cs="Arial"/>
                <w:w w:val="97"/>
                <w:sz w:val="18"/>
                <w:szCs w:val="18"/>
              </w:rPr>
              <w:t>Section 1.01.</w:t>
            </w:r>
          </w:p>
        </w:tc>
        <w:tc>
          <w:tcPr>
            <w:tcW w:w="9620" w:type="dxa"/>
            <w:vAlign w:val="bottom"/>
          </w:tcPr>
          <w:p w14:paraId="4EC55E36" w14:textId="77777777" w:rsidR="00D1587D" w:rsidRDefault="00410D07">
            <w:pPr>
              <w:ind w:left="100"/>
              <w:rPr>
                <w:sz w:val="20"/>
                <w:szCs w:val="20"/>
              </w:rPr>
            </w:pPr>
            <w:r>
              <w:rPr>
                <w:rFonts w:ascii="Arial" w:eastAsia="Arial" w:hAnsi="Arial" w:cs="Arial"/>
                <w:i/>
                <w:iCs/>
                <w:sz w:val="18"/>
                <w:szCs w:val="18"/>
              </w:rPr>
              <w:t>Definitions</w:t>
            </w:r>
          </w:p>
        </w:tc>
        <w:tc>
          <w:tcPr>
            <w:tcW w:w="580" w:type="dxa"/>
            <w:vAlign w:val="bottom"/>
          </w:tcPr>
          <w:p w14:paraId="04BC0B3F" w14:textId="77777777" w:rsidR="00D1587D" w:rsidRDefault="00410D07">
            <w:pPr>
              <w:jc w:val="right"/>
              <w:rPr>
                <w:sz w:val="20"/>
                <w:szCs w:val="20"/>
              </w:rPr>
            </w:pPr>
            <w:r>
              <w:rPr>
                <w:rFonts w:ascii="Arial" w:eastAsia="Arial" w:hAnsi="Arial" w:cs="Arial"/>
                <w:sz w:val="18"/>
                <w:szCs w:val="18"/>
              </w:rPr>
              <w:t>1</w:t>
            </w:r>
          </w:p>
        </w:tc>
      </w:tr>
      <w:tr w:rsidR="00D1587D" w14:paraId="140A6726" w14:textId="77777777">
        <w:trPr>
          <w:trHeight w:val="230"/>
        </w:trPr>
        <w:tc>
          <w:tcPr>
            <w:tcW w:w="10660" w:type="dxa"/>
            <w:gridSpan w:val="2"/>
            <w:vAlign w:val="bottom"/>
          </w:tcPr>
          <w:p w14:paraId="7D49EC8E" w14:textId="77777777" w:rsidR="00D1587D" w:rsidRDefault="00410D07">
            <w:pPr>
              <w:rPr>
                <w:sz w:val="20"/>
                <w:szCs w:val="20"/>
              </w:rPr>
            </w:pPr>
            <w:r>
              <w:rPr>
                <w:rFonts w:ascii="Arial" w:eastAsia="Arial" w:hAnsi="Arial" w:cs="Arial"/>
                <w:sz w:val="18"/>
                <w:szCs w:val="18"/>
              </w:rPr>
              <w:t xml:space="preserve">Section 1.02.  </w:t>
            </w:r>
            <w:r>
              <w:rPr>
                <w:rFonts w:ascii="Arial" w:eastAsia="Arial" w:hAnsi="Arial" w:cs="Arial"/>
                <w:i/>
                <w:iCs/>
                <w:sz w:val="18"/>
                <w:szCs w:val="18"/>
              </w:rPr>
              <w:t>Other Definitional and Interpretive Provisions</w:t>
            </w:r>
          </w:p>
        </w:tc>
        <w:tc>
          <w:tcPr>
            <w:tcW w:w="580" w:type="dxa"/>
            <w:vAlign w:val="bottom"/>
          </w:tcPr>
          <w:p w14:paraId="180507D6" w14:textId="77777777" w:rsidR="00D1587D" w:rsidRDefault="00410D07">
            <w:pPr>
              <w:jc w:val="right"/>
              <w:rPr>
                <w:sz w:val="20"/>
                <w:szCs w:val="20"/>
              </w:rPr>
            </w:pPr>
            <w:r>
              <w:rPr>
                <w:rFonts w:ascii="Arial" w:eastAsia="Arial" w:hAnsi="Arial" w:cs="Arial"/>
                <w:sz w:val="18"/>
                <w:szCs w:val="18"/>
              </w:rPr>
              <w:t>3</w:t>
            </w:r>
          </w:p>
        </w:tc>
      </w:tr>
      <w:tr w:rsidR="00D1587D" w14:paraId="724AA346" w14:textId="77777777">
        <w:trPr>
          <w:trHeight w:val="418"/>
        </w:trPr>
        <w:tc>
          <w:tcPr>
            <w:tcW w:w="1040" w:type="dxa"/>
            <w:vAlign w:val="bottom"/>
          </w:tcPr>
          <w:p w14:paraId="6E23DE70" w14:textId="77777777" w:rsidR="00D1587D" w:rsidRDefault="00D1587D">
            <w:pPr>
              <w:rPr>
                <w:sz w:val="24"/>
                <w:szCs w:val="24"/>
              </w:rPr>
            </w:pPr>
          </w:p>
        </w:tc>
        <w:tc>
          <w:tcPr>
            <w:tcW w:w="9620" w:type="dxa"/>
            <w:vAlign w:val="bottom"/>
          </w:tcPr>
          <w:p w14:paraId="71197362" w14:textId="77777777" w:rsidR="00D1587D" w:rsidRDefault="00410D07">
            <w:pPr>
              <w:ind w:right="369"/>
              <w:jc w:val="center"/>
              <w:rPr>
                <w:sz w:val="20"/>
                <w:szCs w:val="20"/>
              </w:rPr>
            </w:pPr>
            <w:r>
              <w:rPr>
                <w:rFonts w:ascii="Arial" w:eastAsia="Arial" w:hAnsi="Arial" w:cs="Arial"/>
                <w:w w:val="96"/>
                <w:sz w:val="18"/>
                <w:szCs w:val="18"/>
              </w:rPr>
              <w:t>ARTICLE 2</w:t>
            </w:r>
          </w:p>
        </w:tc>
        <w:tc>
          <w:tcPr>
            <w:tcW w:w="580" w:type="dxa"/>
            <w:vAlign w:val="bottom"/>
          </w:tcPr>
          <w:p w14:paraId="786C6AD0" w14:textId="77777777" w:rsidR="00D1587D" w:rsidRDefault="00D1587D">
            <w:pPr>
              <w:rPr>
                <w:sz w:val="24"/>
                <w:szCs w:val="24"/>
              </w:rPr>
            </w:pPr>
          </w:p>
        </w:tc>
      </w:tr>
      <w:tr w:rsidR="00D1587D" w14:paraId="4752FA26" w14:textId="77777777">
        <w:trPr>
          <w:trHeight w:val="230"/>
        </w:trPr>
        <w:tc>
          <w:tcPr>
            <w:tcW w:w="1040" w:type="dxa"/>
            <w:vAlign w:val="bottom"/>
          </w:tcPr>
          <w:p w14:paraId="34669C0E" w14:textId="77777777" w:rsidR="00D1587D" w:rsidRDefault="00D1587D">
            <w:pPr>
              <w:rPr>
                <w:sz w:val="20"/>
                <w:szCs w:val="20"/>
              </w:rPr>
            </w:pPr>
          </w:p>
        </w:tc>
        <w:tc>
          <w:tcPr>
            <w:tcW w:w="9620" w:type="dxa"/>
            <w:vAlign w:val="bottom"/>
          </w:tcPr>
          <w:p w14:paraId="5F7DA704" w14:textId="77777777" w:rsidR="00D1587D" w:rsidRDefault="00410D07">
            <w:pPr>
              <w:ind w:right="369"/>
              <w:jc w:val="center"/>
              <w:rPr>
                <w:sz w:val="20"/>
                <w:szCs w:val="20"/>
              </w:rPr>
            </w:pPr>
            <w:r>
              <w:rPr>
                <w:rFonts w:ascii="Arial" w:eastAsia="Arial" w:hAnsi="Arial" w:cs="Arial"/>
                <w:w w:val="92"/>
                <w:sz w:val="18"/>
                <w:szCs w:val="18"/>
              </w:rPr>
              <w:t>SERVICES</w:t>
            </w:r>
          </w:p>
        </w:tc>
        <w:tc>
          <w:tcPr>
            <w:tcW w:w="580" w:type="dxa"/>
            <w:vAlign w:val="bottom"/>
          </w:tcPr>
          <w:p w14:paraId="727D2DCD" w14:textId="77777777" w:rsidR="00D1587D" w:rsidRDefault="00D1587D">
            <w:pPr>
              <w:rPr>
                <w:sz w:val="20"/>
                <w:szCs w:val="20"/>
              </w:rPr>
            </w:pPr>
          </w:p>
        </w:tc>
      </w:tr>
      <w:tr w:rsidR="00D1587D" w14:paraId="6D667E59" w14:textId="77777777">
        <w:trPr>
          <w:trHeight w:val="418"/>
        </w:trPr>
        <w:tc>
          <w:tcPr>
            <w:tcW w:w="1040" w:type="dxa"/>
            <w:vAlign w:val="bottom"/>
          </w:tcPr>
          <w:p w14:paraId="55535434" w14:textId="77777777" w:rsidR="00D1587D" w:rsidRDefault="00410D07">
            <w:pPr>
              <w:rPr>
                <w:sz w:val="20"/>
                <w:szCs w:val="20"/>
              </w:rPr>
            </w:pPr>
            <w:r>
              <w:rPr>
                <w:rFonts w:ascii="Arial" w:eastAsia="Arial" w:hAnsi="Arial" w:cs="Arial"/>
                <w:w w:val="97"/>
                <w:sz w:val="18"/>
                <w:szCs w:val="18"/>
              </w:rPr>
              <w:t>Section 2.01.</w:t>
            </w:r>
          </w:p>
        </w:tc>
        <w:tc>
          <w:tcPr>
            <w:tcW w:w="9620" w:type="dxa"/>
            <w:vAlign w:val="bottom"/>
          </w:tcPr>
          <w:p w14:paraId="78D224E8" w14:textId="77777777" w:rsidR="00D1587D" w:rsidRDefault="00410D07">
            <w:pPr>
              <w:ind w:left="100"/>
              <w:rPr>
                <w:sz w:val="20"/>
                <w:szCs w:val="20"/>
              </w:rPr>
            </w:pPr>
            <w:r>
              <w:rPr>
                <w:rFonts w:ascii="Arial" w:eastAsia="Arial" w:hAnsi="Arial" w:cs="Arial"/>
                <w:i/>
                <w:iCs/>
                <w:sz w:val="18"/>
                <w:szCs w:val="18"/>
              </w:rPr>
              <w:t>Services</w:t>
            </w:r>
          </w:p>
        </w:tc>
        <w:tc>
          <w:tcPr>
            <w:tcW w:w="580" w:type="dxa"/>
            <w:vAlign w:val="bottom"/>
          </w:tcPr>
          <w:p w14:paraId="30DEC634" w14:textId="77777777" w:rsidR="00D1587D" w:rsidRDefault="00410D07">
            <w:pPr>
              <w:jc w:val="right"/>
              <w:rPr>
                <w:sz w:val="20"/>
                <w:szCs w:val="20"/>
              </w:rPr>
            </w:pPr>
            <w:r>
              <w:rPr>
                <w:rFonts w:ascii="Arial" w:eastAsia="Arial" w:hAnsi="Arial" w:cs="Arial"/>
                <w:sz w:val="18"/>
                <w:szCs w:val="18"/>
              </w:rPr>
              <w:t>3</w:t>
            </w:r>
          </w:p>
        </w:tc>
      </w:tr>
      <w:tr w:rsidR="00D1587D" w14:paraId="4EE1B9D7" w14:textId="77777777">
        <w:trPr>
          <w:trHeight w:val="216"/>
        </w:trPr>
        <w:tc>
          <w:tcPr>
            <w:tcW w:w="10660" w:type="dxa"/>
            <w:gridSpan w:val="2"/>
            <w:vAlign w:val="bottom"/>
          </w:tcPr>
          <w:p w14:paraId="100A04C9" w14:textId="77777777" w:rsidR="00D1587D" w:rsidRDefault="00410D07">
            <w:pPr>
              <w:rPr>
                <w:sz w:val="20"/>
                <w:szCs w:val="20"/>
              </w:rPr>
            </w:pPr>
            <w:r>
              <w:rPr>
                <w:rFonts w:ascii="Arial" w:eastAsia="Arial" w:hAnsi="Arial" w:cs="Arial"/>
                <w:sz w:val="18"/>
                <w:szCs w:val="18"/>
              </w:rPr>
              <w:t xml:space="preserve">Section 2.02.  </w:t>
            </w:r>
            <w:r>
              <w:rPr>
                <w:rFonts w:ascii="Arial" w:eastAsia="Arial" w:hAnsi="Arial" w:cs="Arial"/>
                <w:i/>
                <w:iCs/>
                <w:sz w:val="18"/>
                <w:szCs w:val="18"/>
              </w:rPr>
              <w:t>Service Provider’s Affiliates and Third Party Providers</w:t>
            </w:r>
          </w:p>
        </w:tc>
        <w:tc>
          <w:tcPr>
            <w:tcW w:w="580" w:type="dxa"/>
            <w:vAlign w:val="bottom"/>
          </w:tcPr>
          <w:p w14:paraId="6B664E96" w14:textId="77777777" w:rsidR="00D1587D" w:rsidRDefault="00410D07">
            <w:pPr>
              <w:jc w:val="right"/>
              <w:rPr>
                <w:sz w:val="20"/>
                <w:szCs w:val="20"/>
              </w:rPr>
            </w:pPr>
            <w:r>
              <w:rPr>
                <w:rFonts w:ascii="Arial" w:eastAsia="Arial" w:hAnsi="Arial" w:cs="Arial"/>
                <w:sz w:val="18"/>
                <w:szCs w:val="18"/>
              </w:rPr>
              <w:t>3</w:t>
            </w:r>
          </w:p>
        </w:tc>
      </w:tr>
      <w:tr w:rsidR="00D1587D" w14:paraId="14F8A504" w14:textId="77777777">
        <w:trPr>
          <w:trHeight w:val="216"/>
        </w:trPr>
        <w:tc>
          <w:tcPr>
            <w:tcW w:w="10660" w:type="dxa"/>
            <w:gridSpan w:val="2"/>
            <w:vAlign w:val="bottom"/>
          </w:tcPr>
          <w:p w14:paraId="44A355EE" w14:textId="77777777" w:rsidR="00D1587D" w:rsidRDefault="00410D07">
            <w:pPr>
              <w:rPr>
                <w:sz w:val="20"/>
                <w:szCs w:val="20"/>
              </w:rPr>
            </w:pPr>
            <w:r>
              <w:rPr>
                <w:rFonts w:ascii="Arial" w:eastAsia="Arial" w:hAnsi="Arial" w:cs="Arial"/>
                <w:sz w:val="18"/>
                <w:szCs w:val="18"/>
              </w:rPr>
              <w:t xml:space="preserve">Section 2.03.  </w:t>
            </w:r>
            <w:r>
              <w:rPr>
                <w:rFonts w:ascii="Arial" w:eastAsia="Arial" w:hAnsi="Arial" w:cs="Arial"/>
                <w:i/>
                <w:iCs/>
                <w:sz w:val="18"/>
                <w:szCs w:val="18"/>
              </w:rPr>
              <w:t>General Standard of Service</w:t>
            </w:r>
          </w:p>
        </w:tc>
        <w:tc>
          <w:tcPr>
            <w:tcW w:w="580" w:type="dxa"/>
            <w:vAlign w:val="bottom"/>
          </w:tcPr>
          <w:p w14:paraId="492469B8" w14:textId="77777777" w:rsidR="00D1587D" w:rsidRDefault="00410D07">
            <w:pPr>
              <w:jc w:val="right"/>
              <w:rPr>
                <w:sz w:val="20"/>
                <w:szCs w:val="20"/>
              </w:rPr>
            </w:pPr>
            <w:r>
              <w:rPr>
                <w:rFonts w:ascii="Arial" w:eastAsia="Arial" w:hAnsi="Arial" w:cs="Arial"/>
                <w:sz w:val="18"/>
                <w:szCs w:val="18"/>
              </w:rPr>
              <w:t>4</w:t>
            </w:r>
          </w:p>
        </w:tc>
      </w:tr>
      <w:tr w:rsidR="00D1587D" w14:paraId="0AFEA056" w14:textId="77777777">
        <w:trPr>
          <w:trHeight w:val="216"/>
        </w:trPr>
        <w:tc>
          <w:tcPr>
            <w:tcW w:w="10660" w:type="dxa"/>
            <w:gridSpan w:val="2"/>
            <w:vAlign w:val="bottom"/>
          </w:tcPr>
          <w:p w14:paraId="21DF56E2" w14:textId="77777777" w:rsidR="00D1587D" w:rsidRDefault="00410D07">
            <w:pPr>
              <w:rPr>
                <w:sz w:val="20"/>
                <w:szCs w:val="20"/>
              </w:rPr>
            </w:pPr>
            <w:r>
              <w:rPr>
                <w:rFonts w:ascii="Arial" w:eastAsia="Arial" w:hAnsi="Arial" w:cs="Arial"/>
                <w:sz w:val="18"/>
                <w:szCs w:val="18"/>
              </w:rPr>
              <w:t xml:space="preserve">Section 2.04.  </w:t>
            </w:r>
            <w:r>
              <w:rPr>
                <w:rFonts w:ascii="Arial" w:eastAsia="Arial" w:hAnsi="Arial" w:cs="Arial"/>
                <w:i/>
                <w:iCs/>
                <w:sz w:val="18"/>
                <w:szCs w:val="18"/>
              </w:rPr>
              <w:t>Compliance with Applicable Law</w:t>
            </w:r>
          </w:p>
        </w:tc>
        <w:tc>
          <w:tcPr>
            <w:tcW w:w="580" w:type="dxa"/>
            <w:vAlign w:val="bottom"/>
          </w:tcPr>
          <w:p w14:paraId="1014DA12" w14:textId="77777777" w:rsidR="00D1587D" w:rsidRDefault="00410D07">
            <w:pPr>
              <w:jc w:val="right"/>
              <w:rPr>
                <w:sz w:val="20"/>
                <w:szCs w:val="20"/>
              </w:rPr>
            </w:pPr>
            <w:r>
              <w:rPr>
                <w:rFonts w:ascii="Arial" w:eastAsia="Arial" w:hAnsi="Arial" w:cs="Arial"/>
                <w:sz w:val="18"/>
                <w:szCs w:val="18"/>
              </w:rPr>
              <w:t>4</w:t>
            </w:r>
          </w:p>
        </w:tc>
      </w:tr>
      <w:tr w:rsidR="00D1587D" w14:paraId="4B9567EC" w14:textId="77777777">
        <w:trPr>
          <w:trHeight w:val="216"/>
        </w:trPr>
        <w:tc>
          <w:tcPr>
            <w:tcW w:w="1040" w:type="dxa"/>
            <w:vAlign w:val="bottom"/>
          </w:tcPr>
          <w:p w14:paraId="6559B4C5" w14:textId="77777777" w:rsidR="00D1587D" w:rsidRDefault="00410D07">
            <w:pPr>
              <w:rPr>
                <w:sz w:val="20"/>
                <w:szCs w:val="20"/>
              </w:rPr>
            </w:pPr>
            <w:r>
              <w:rPr>
                <w:rFonts w:ascii="Arial" w:eastAsia="Arial" w:hAnsi="Arial" w:cs="Arial"/>
                <w:w w:val="97"/>
                <w:sz w:val="18"/>
                <w:szCs w:val="18"/>
              </w:rPr>
              <w:t>Section 2.05.</w:t>
            </w:r>
          </w:p>
        </w:tc>
        <w:tc>
          <w:tcPr>
            <w:tcW w:w="9620" w:type="dxa"/>
            <w:vAlign w:val="bottom"/>
          </w:tcPr>
          <w:p w14:paraId="3D78C5E1" w14:textId="77777777" w:rsidR="00D1587D" w:rsidRDefault="00410D07">
            <w:pPr>
              <w:ind w:left="100"/>
              <w:rPr>
                <w:sz w:val="20"/>
                <w:szCs w:val="20"/>
              </w:rPr>
            </w:pPr>
            <w:r>
              <w:rPr>
                <w:rFonts w:ascii="Arial" w:eastAsia="Arial" w:hAnsi="Arial" w:cs="Arial"/>
                <w:i/>
                <w:iCs/>
                <w:sz w:val="18"/>
                <w:szCs w:val="18"/>
              </w:rPr>
              <w:t>Force Majeure</w:t>
            </w:r>
          </w:p>
        </w:tc>
        <w:tc>
          <w:tcPr>
            <w:tcW w:w="580" w:type="dxa"/>
            <w:vAlign w:val="bottom"/>
          </w:tcPr>
          <w:p w14:paraId="5D4C1A2F" w14:textId="77777777" w:rsidR="00D1587D" w:rsidRDefault="00410D07">
            <w:pPr>
              <w:jc w:val="right"/>
              <w:rPr>
                <w:sz w:val="20"/>
                <w:szCs w:val="20"/>
              </w:rPr>
            </w:pPr>
            <w:r>
              <w:rPr>
                <w:rFonts w:ascii="Arial" w:eastAsia="Arial" w:hAnsi="Arial" w:cs="Arial"/>
                <w:sz w:val="18"/>
                <w:szCs w:val="18"/>
              </w:rPr>
              <w:t>4</w:t>
            </w:r>
          </w:p>
        </w:tc>
      </w:tr>
      <w:tr w:rsidR="00D1587D" w14:paraId="0E176281" w14:textId="77777777">
        <w:trPr>
          <w:trHeight w:val="216"/>
        </w:trPr>
        <w:tc>
          <w:tcPr>
            <w:tcW w:w="1040" w:type="dxa"/>
            <w:vAlign w:val="bottom"/>
          </w:tcPr>
          <w:p w14:paraId="3DC0A353" w14:textId="77777777" w:rsidR="00D1587D" w:rsidRDefault="00410D07">
            <w:pPr>
              <w:rPr>
                <w:sz w:val="20"/>
                <w:szCs w:val="20"/>
              </w:rPr>
            </w:pPr>
            <w:r>
              <w:rPr>
                <w:rFonts w:ascii="Arial" w:eastAsia="Arial" w:hAnsi="Arial" w:cs="Arial"/>
                <w:w w:val="97"/>
                <w:sz w:val="18"/>
                <w:szCs w:val="18"/>
              </w:rPr>
              <w:t>Section 2.06.</w:t>
            </w:r>
          </w:p>
        </w:tc>
        <w:tc>
          <w:tcPr>
            <w:tcW w:w="9620" w:type="dxa"/>
            <w:vAlign w:val="bottom"/>
          </w:tcPr>
          <w:p w14:paraId="224671C8" w14:textId="77777777" w:rsidR="00D1587D" w:rsidRDefault="00410D07">
            <w:pPr>
              <w:ind w:left="100"/>
              <w:rPr>
                <w:sz w:val="20"/>
                <w:szCs w:val="20"/>
              </w:rPr>
            </w:pPr>
            <w:r>
              <w:rPr>
                <w:rFonts w:ascii="Arial" w:eastAsia="Arial" w:hAnsi="Arial" w:cs="Arial"/>
                <w:i/>
                <w:iCs/>
                <w:sz w:val="18"/>
                <w:szCs w:val="18"/>
              </w:rPr>
              <w:t>Limitations</w:t>
            </w:r>
          </w:p>
        </w:tc>
        <w:tc>
          <w:tcPr>
            <w:tcW w:w="580" w:type="dxa"/>
            <w:vAlign w:val="bottom"/>
          </w:tcPr>
          <w:p w14:paraId="0387DC34" w14:textId="77777777" w:rsidR="00D1587D" w:rsidRDefault="00410D07">
            <w:pPr>
              <w:jc w:val="right"/>
              <w:rPr>
                <w:sz w:val="20"/>
                <w:szCs w:val="20"/>
              </w:rPr>
            </w:pPr>
            <w:r>
              <w:rPr>
                <w:rFonts w:ascii="Arial" w:eastAsia="Arial" w:hAnsi="Arial" w:cs="Arial"/>
                <w:sz w:val="18"/>
                <w:szCs w:val="18"/>
              </w:rPr>
              <w:t>4</w:t>
            </w:r>
          </w:p>
        </w:tc>
      </w:tr>
      <w:tr w:rsidR="00D1587D" w14:paraId="2005A1B3" w14:textId="77777777">
        <w:trPr>
          <w:trHeight w:val="216"/>
        </w:trPr>
        <w:tc>
          <w:tcPr>
            <w:tcW w:w="1040" w:type="dxa"/>
            <w:vAlign w:val="bottom"/>
          </w:tcPr>
          <w:p w14:paraId="322A9767" w14:textId="77777777" w:rsidR="00D1587D" w:rsidRDefault="00410D07">
            <w:pPr>
              <w:rPr>
                <w:sz w:val="20"/>
                <w:szCs w:val="20"/>
              </w:rPr>
            </w:pPr>
            <w:r>
              <w:rPr>
                <w:rFonts w:ascii="Arial" w:eastAsia="Arial" w:hAnsi="Arial" w:cs="Arial"/>
                <w:w w:val="97"/>
                <w:sz w:val="18"/>
                <w:szCs w:val="18"/>
              </w:rPr>
              <w:t>Section 2.07.</w:t>
            </w:r>
          </w:p>
        </w:tc>
        <w:tc>
          <w:tcPr>
            <w:tcW w:w="9620" w:type="dxa"/>
            <w:vAlign w:val="bottom"/>
          </w:tcPr>
          <w:p w14:paraId="26FF0829" w14:textId="77777777" w:rsidR="00D1587D" w:rsidRDefault="00410D07">
            <w:pPr>
              <w:ind w:left="100"/>
              <w:rPr>
                <w:sz w:val="20"/>
                <w:szCs w:val="20"/>
              </w:rPr>
            </w:pPr>
            <w:r>
              <w:rPr>
                <w:rFonts w:ascii="Arial" w:eastAsia="Arial" w:hAnsi="Arial" w:cs="Arial"/>
                <w:i/>
                <w:iCs/>
                <w:sz w:val="18"/>
                <w:szCs w:val="18"/>
              </w:rPr>
              <w:t xml:space="preserve">Labor </w:t>
            </w:r>
            <w:r>
              <w:rPr>
                <w:rFonts w:ascii="Arial" w:eastAsia="Arial" w:hAnsi="Arial" w:cs="Arial"/>
                <w:i/>
                <w:iCs/>
                <w:sz w:val="18"/>
                <w:szCs w:val="18"/>
              </w:rPr>
              <w:t>Matters</w:t>
            </w:r>
          </w:p>
        </w:tc>
        <w:tc>
          <w:tcPr>
            <w:tcW w:w="580" w:type="dxa"/>
            <w:vAlign w:val="bottom"/>
          </w:tcPr>
          <w:p w14:paraId="20E8DA26" w14:textId="77777777" w:rsidR="00D1587D" w:rsidRDefault="00410D07">
            <w:pPr>
              <w:jc w:val="right"/>
              <w:rPr>
                <w:sz w:val="20"/>
                <w:szCs w:val="20"/>
              </w:rPr>
            </w:pPr>
            <w:r>
              <w:rPr>
                <w:rFonts w:ascii="Arial" w:eastAsia="Arial" w:hAnsi="Arial" w:cs="Arial"/>
                <w:sz w:val="18"/>
                <w:szCs w:val="18"/>
              </w:rPr>
              <w:t>5</w:t>
            </w:r>
          </w:p>
        </w:tc>
      </w:tr>
      <w:tr w:rsidR="00D1587D" w14:paraId="2F40FC31" w14:textId="77777777">
        <w:trPr>
          <w:trHeight w:val="216"/>
        </w:trPr>
        <w:tc>
          <w:tcPr>
            <w:tcW w:w="10660" w:type="dxa"/>
            <w:gridSpan w:val="2"/>
            <w:vAlign w:val="bottom"/>
          </w:tcPr>
          <w:p w14:paraId="131904DB" w14:textId="77777777" w:rsidR="00D1587D" w:rsidRDefault="00410D07">
            <w:pPr>
              <w:rPr>
                <w:sz w:val="20"/>
                <w:szCs w:val="20"/>
              </w:rPr>
            </w:pPr>
            <w:r>
              <w:rPr>
                <w:rFonts w:ascii="Arial" w:eastAsia="Arial" w:hAnsi="Arial" w:cs="Arial"/>
                <w:sz w:val="18"/>
                <w:szCs w:val="18"/>
              </w:rPr>
              <w:t xml:space="preserve">Section 2.08.  </w:t>
            </w:r>
            <w:r>
              <w:rPr>
                <w:rFonts w:ascii="Arial" w:eastAsia="Arial" w:hAnsi="Arial" w:cs="Arial"/>
                <w:i/>
                <w:iCs/>
                <w:sz w:val="18"/>
                <w:szCs w:val="18"/>
              </w:rPr>
              <w:t>Facilities; Cooperation; Further Actions</w:t>
            </w:r>
          </w:p>
        </w:tc>
        <w:tc>
          <w:tcPr>
            <w:tcW w:w="580" w:type="dxa"/>
            <w:vAlign w:val="bottom"/>
          </w:tcPr>
          <w:p w14:paraId="41DBFB35" w14:textId="77777777" w:rsidR="00D1587D" w:rsidRDefault="00410D07">
            <w:pPr>
              <w:jc w:val="right"/>
              <w:rPr>
                <w:sz w:val="20"/>
                <w:szCs w:val="20"/>
              </w:rPr>
            </w:pPr>
            <w:r>
              <w:rPr>
                <w:rFonts w:ascii="Arial" w:eastAsia="Arial" w:hAnsi="Arial" w:cs="Arial"/>
                <w:sz w:val="18"/>
                <w:szCs w:val="18"/>
              </w:rPr>
              <w:t>5</w:t>
            </w:r>
          </w:p>
        </w:tc>
      </w:tr>
      <w:tr w:rsidR="00D1587D" w14:paraId="219A927F" w14:textId="77777777">
        <w:trPr>
          <w:trHeight w:val="216"/>
        </w:trPr>
        <w:tc>
          <w:tcPr>
            <w:tcW w:w="1040" w:type="dxa"/>
            <w:vAlign w:val="bottom"/>
          </w:tcPr>
          <w:p w14:paraId="6B17B8C4" w14:textId="77777777" w:rsidR="00D1587D" w:rsidRDefault="00410D07">
            <w:pPr>
              <w:rPr>
                <w:sz w:val="20"/>
                <w:szCs w:val="20"/>
              </w:rPr>
            </w:pPr>
            <w:r>
              <w:rPr>
                <w:rFonts w:ascii="Arial" w:eastAsia="Arial" w:hAnsi="Arial" w:cs="Arial"/>
                <w:w w:val="97"/>
                <w:sz w:val="18"/>
                <w:szCs w:val="18"/>
              </w:rPr>
              <w:t>Section 2.09.</w:t>
            </w:r>
          </w:p>
        </w:tc>
        <w:tc>
          <w:tcPr>
            <w:tcW w:w="9620" w:type="dxa"/>
            <w:vAlign w:val="bottom"/>
          </w:tcPr>
          <w:p w14:paraId="081836A9" w14:textId="77777777" w:rsidR="00D1587D" w:rsidRDefault="00410D07">
            <w:pPr>
              <w:ind w:left="100"/>
              <w:rPr>
                <w:sz w:val="20"/>
                <w:szCs w:val="20"/>
              </w:rPr>
            </w:pPr>
            <w:r>
              <w:rPr>
                <w:rFonts w:ascii="Arial" w:eastAsia="Arial" w:hAnsi="Arial" w:cs="Arial"/>
                <w:i/>
                <w:iCs/>
                <w:sz w:val="18"/>
                <w:szCs w:val="18"/>
              </w:rPr>
              <w:t>Intellectual Property</w:t>
            </w:r>
          </w:p>
        </w:tc>
        <w:tc>
          <w:tcPr>
            <w:tcW w:w="580" w:type="dxa"/>
            <w:vAlign w:val="bottom"/>
          </w:tcPr>
          <w:p w14:paraId="23F5A3D3" w14:textId="77777777" w:rsidR="00D1587D" w:rsidRDefault="00410D07">
            <w:pPr>
              <w:jc w:val="right"/>
              <w:rPr>
                <w:sz w:val="20"/>
                <w:szCs w:val="20"/>
              </w:rPr>
            </w:pPr>
            <w:r>
              <w:rPr>
                <w:rFonts w:ascii="Arial" w:eastAsia="Arial" w:hAnsi="Arial" w:cs="Arial"/>
                <w:sz w:val="18"/>
                <w:szCs w:val="18"/>
              </w:rPr>
              <w:t>5</w:t>
            </w:r>
          </w:p>
        </w:tc>
      </w:tr>
      <w:tr w:rsidR="00D1587D" w14:paraId="67C9DA97" w14:textId="77777777">
        <w:trPr>
          <w:trHeight w:val="216"/>
        </w:trPr>
        <w:tc>
          <w:tcPr>
            <w:tcW w:w="10660" w:type="dxa"/>
            <w:gridSpan w:val="2"/>
            <w:vAlign w:val="bottom"/>
          </w:tcPr>
          <w:p w14:paraId="41F2D87F" w14:textId="77777777" w:rsidR="00D1587D" w:rsidRDefault="00410D07">
            <w:pPr>
              <w:rPr>
                <w:sz w:val="20"/>
                <w:szCs w:val="20"/>
              </w:rPr>
            </w:pPr>
            <w:r>
              <w:rPr>
                <w:rFonts w:ascii="Arial" w:eastAsia="Arial" w:hAnsi="Arial" w:cs="Arial"/>
                <w:sz w:val="18"/>
                <w:szCs w:val="18"/>
              </w:rPr>
              <w:t xml:space="preserve">Section 2.10.  </w:t>
            </w:r>
            <w:r>
              <w:rPr>
                <w:rFonts w:ascii="Arial" w:eastAsia="Arial" w:hAnsi="Arial" w:cs="Arial"/>
                <w:i/>
                <w:iCs/>
                <w:sz w:val="18"/>
                <w:szCs w:val="18"/>
              </w:rPr>
              <w:t>Data Ownership and Data Protection</w:t>
            </w:r>
          </w:p>
        </w:tc>
        <w:tc>
          <w:tcPr>
            <w:tcW w:w="580" w:type="dxa"/>
            <w:vAlign w:val="bottom"/>
          </w:tcPr>
          <w:p w14:paraId="1C68491F" w14:textId="77777777" w:rsidR="00D1587D" w:rsidRDefault="00410D07">
            <w:pPr>
              <w:jc w:val="right"/>
              <w:rPr>
                <w:sz w:val="20"/>
                <w:szCs w:val="20"/>
              </w:rPr>
            </w:pPr>
            <w:r>
              <w:rPr>
                <w:rFonts w:ascii="Arial" w:eastAsia="Arial" w:hAnsi="Arial" w:cs="Arial"/>
                <w:sz w:val="18"/>
                <w:szCs w:val="18"/>
              </w:rPr>
              <w:t>6</w:t>
            </w:r>
          </w:p>
        </w:tc>
      </w:tr>
      <w:tr w:rsidR="00D1587D" w14:paraId="4C160B80" w14:textId="77777777">
        <w:trPr>
          <w:trHeight w:val="216"/>
        </w:trPr>
        <w:tc>
          <w:tcPr>
            <w:tcW w:w="1040" w:type="dxa"/>
            <w:vAlign w:val="bottom"/>
          </w:tcPr>
          <w:p w14:paraId="45D3B2C3" w14:textId="77777777" w:rsidR="00D1587D" w:rsidRDefault="00410D07">
            <w:pPr>
              <w:rPr>
                <w:sz w:val="20"/>
                <w:szCs w:val="20"/>
              </w:rPr>
            </w:pPr>
            <w:r>
              <w:rPr>
                <w:rFonts w:ascii="Arial" w:eastAsia="Arial" w:hAnsi="Arial" w:cs="Arial"/>
                <w:w w:val="97"/>
                <w:sz w:val="18"/>
                <w:szCs w:val="18"/>
              </w:rPr>
              <w:t>Section 2.11.</w:t>
            </w:r>
          </w:p>
        </w:tc>
        <w:tc>
          <w:tcPr>
            <w:tcW w:w="9620" w:type="dxa"/>
            <w:vAlign w:val="bottom"/>
          </w:tcPr>
          <w:p w14:paraId="657DCFDC" w14:textId="77777777" w:rsidR="00D1587D" w:rsidRDefault="00410D07">
            <w:pPr>
              <w:ind w:left="100"/>
              <w:rPr>
                <w:sz w:val="20"/>
                <w:szCs w:val="20"/>
              </w:rPr>
            </w:pPr>
            <w:r>
              <w:rPr>
                <w:rFonts w:ascii="Arial" w:eastAsia="Arial" w:hAnsi="Arial" w:cs="Arial"/>
                <w:i/>
                <w:iCs/>
                <w:sz w:val="18"/>
                <w:szCs w:val="18"/>
              </w:rPr>
              <w:t>Information Technology</w:t>
            </w:r>
          </w:p>
        </w:tc>
        <w:tc>
          <w:tcPr>
            <w:tcW w:w="580" w:type="dxa"/>
            <w:vAlign w:val="bottom"/>
          </w:tcPr>
          <w:p w14:paraId="269C0FC7" w14:textId="77777777" w:rsidR="00D1587D" w:rsidRDefault="00410D07">
            <w:pPr>
              <w:jc w:val="right"/>
              <w:rPr>
                <w:sz w:val="20"/>
                <w:szCs w:val="20"/>
              </w:rPr>
            </w:pPr>
            <w:r>
              <w:rPr>
                <w:rFonts w:ascii="Arial" w:eastAsia="Arial" w:hAnsi="Arial" w:cs="Arial"/>
                <w:sz w:val="18"/>
                <w:szCs w:val="18"/>
              </w:rPr>
              <w:t>7</w:t>
            </w:r>
          </w:p>
        </w:tc>
      </w:tr>
      <w:tr w:rsidR="00D1587D" w14:paraId="7BDA5223" w14:textId="77777777">
        <w:trPr>
          <w:trHeight w:val="216"/>
        </w:trPr>
        <w:tc>
          <w:tcPr>
            <w:tcW w:w="10660" w:type="dxa"/>
            <w:gridSpan w:val="2"/>
            <w:vAlign w:val="bottom"/>
          </w:tcPr>
          <w:p w14:paraId="04C40EE9" w14:textId="77777777" w:rsidR="00D1587D" w:rsidRDefault="00410D07">
            <w:pPr>
              <w:rPr>
                <w:sz w:val="20"/>
                <w:szCs w:val="20"/>
              </w:rPr>
            </w:pPr>
            <w:r>
              <w:rPr>
                <w:rFonts w:ascii="Arial" w:eastAsia="Arial" w:hAnsi="Arial" w:cs="Arial"/>
                <w:sz w:val="18"/>
                <w:szCs w:val="18"/>
              </w:rPr>
              <w:t xml:space="preserve">Section 2.12.  </w:t>
            </w:r>
            <w:r>
              <w:rPr>
                <w:rFonts w:ascii="Arial" w:eastAsia="Arial" w:hAnsi="Arial" w:cs="Arial"/>
                <w:i/>
                <w:iCs/>
                <w:sz w:val="18"/>
                <w:szCs w:val="18"/>
              </w:rPr>
              <w:t>Policies and Procedures</w:t>
            </w:r>
          </w:p>
        </w:tc>
        <w:tc>
          <w:tcPr>
            <w:tcW w:w="580" w:type="dxa"/>
            <w:vAlign w:val="bottom"/>
          </w:tcPr>
          <w:p w14:paraId="707CB936" w14:textId="77777777" w:rsidR="00D1587D" w:rsidRDefault="00410D07">
            <w:pPr>
              <w:jc w:val="right"/>
              <w:rPr>
                <w:sz w:val="20"/>
                <w:szCs w:val="20"/>
              </w:rPr>
            </w:pPr>
            <w:r>
              <w:rPr>
                <w:rFonts w:ascii="Arial" w:eastAsia="Arial" w:hAnsi="Arial" w:cs="Arial"/>
                <w:sz w:val="18"/>
                <w:szCs w:val="18"/>
              </w:rPr>
              <w:t>7</w:t>
            </w:r>
          </w:p>
        </w:tc>
      </w:tr>
      <w:tr w:rsidR="00D1587D" w14:paraId="3D44BDC0" w14:textId="77777777">
        <w:trPr>
          <w:trHeight w:val="216"/>
        </w:trPr>
        <w:tc>
          <w:tcPr>
            <w:tcW w:w="10660" w:type="dxa"/>
            <w:gridSpan w:val="2"/>
            <w:vAlign w:val="bottom"/>
          </w:tcPr>
          <w:p w14:paraId="018DFCEF" w14:textId="77777777" w:rsidR="00D1587D" w:rsidRDefault="00410D07">
            <w:pPr>
              <w:rPr>
                <w:sz w:val="20"/>
                <w:szCs w:val="20"/>
              </w:rPr>
            </w:pPr>
            <w:r>
              <w:rPr>
                <w:rFonts w:ascii="Arial" w:eastAsia="Arial" w:hAnsi="Arial" w:cs="Arial"/>
                <w:sz w:val="18"/>
                <w:szCs w:val="18"/>
              </w:rPr>
              <w:t xml:space="preserve">Section 2.13.  </w:t>
            </w:r>
            <w:r>
              <w:rPr>
                <w:rFonts w:ascii="Arial" w:eastAsia="Arial" w:hAnsi="Arial" w:cs="Arial"/>
                <w:i/>
                <w:iCs/>
                <w:sz w:val="18"/>
                <w:szCs w:val="18"/>
              </w:rPr>
              <w:t>Access to Information</w:t>
            </w:r>
          </w:p>
        </w:tc>
        <w:tc>
          <w:tcPr>
            <w:tcW w:w="580" w:type="dxa"/>
            <w:vAlign w:val="bottom"/>
          </w:tcPr>
          <w:p w14:paraId="3F2D05CF" w14:textId="77777777" w:rsidR="00D1587D" w:rsidRDefault="00410D07">
            <w:pPr>
              <w:jc w:val="right"/>
              <w:rPr>
                <w:sz w:val="20"/>
                <w:szCs w:val="20"/>
              </w:rPr>
            </w:pPr>
            <w:r>
              <w:rPr>
                <w:rFonts w:ascii="Arial" w:eastAsia="Arial" w:hAnsi="Arial" w:cs="Arial"/>
                <w:sz w:val="18"/>
                <w:szCs w:val="18"/>
              </w:rPr>
              <w:t>7</w:t>
            </w:r>
          </w:p>
        </w:tc>
      </w:tr>
      <w:tr w:rsidR="00D1587D" w14:paraId="7411F069" w14:textId="77777777">
        <w:trPr>
          <w:trHeight w:val="230"/>
        </w:trPr>
        <w:tc>
          <w:tcPr>
            <w:tcW w:w="1040" w:type="dxa"/>
            <w:vAlign w:val="bottom"/>
          </w:tcPr>
          <w:p w14:paraId="1130551B" w14:textId="77777777" w:rsidR="00D1587D" w:rsidRDefault="00410D07">
            <w:pPr>
              <w:rPr>
                <w:sz w:val="20"/>
                <w:szCs w:val="20"/>
              </w:rPr>
            </w:pPr>
            <w:r>
              <w:rPr>
                <w:rFonts w:ascii="Arial" w:eastAsia="Arial" w:hAnsi="Arial" w:cs="Arial"/>
                <w:w w:val="97"/>
                <w:sz w:val="18"/>
                <w:szCs w:val="18"/>
              </w:rPr>
              <w:t>Section 2.14.</w:t>
            </w:r>
          </w:p>
        </w:tc>
        <w:tc>
          <w:tcPr>
            <w:tcW w:w="9620" w:type="dxa"/>
            <w:vAlign w:val="bottom"/>
          </w:tcPr>
          <w:p w14:paraId="063DA4EF" w14:textId="77777777" w:rsidR="00D1587D" w:rsidRDefault="00410D07">
            <w:pPr>
              <w:ind w:left="100"/>
              <w:rPr>
                <w:sz w:val="20"/>
                <w:szCs w:val="20"/>
              </w:rPr>
            </w:pPr>
            <w:r>
              <w:rPr>
                <w:rFonts w:ascii="Arial" w:eastAsia="Arial" w:hAnsi="Arial" w:cs="Arial"/>
                <w:i/>
                <w:iCs/>
                <w:sz w:val="18"/>
                <w:szCs w:val="18"/>
              </w:rPr>
              <w:t>Transition Governance</w:t>
            </w:r>
          </w:p>
        </w:tc>
        <w:tc>
          <w:tcPr>
            <w:tcW w:w="580" w:type="dxa"/>
            <w:vAlign w:val="bottom"/>
          </w:tcPr>
          <w:p w14:paraId="05ED1A2D" w14:textId="77777777" w:rsidR="00D1587D" w:rsidRDefault="00410D07">
            <w:pPr>
              <w:jc w:val="right"/>
              <w:rPr>
                <w:sz w:val="20"/>
                <w:szCs w:val="20"/>
              </w:rPr>
            </w:pPr>
            <w:r>
              <w:rPr>
                <w:rFonts w:ascii="Arial" w:eastAsia="Arial" w:hAnsi="Arial" w:cs="Arial"/>
                <w:sz w:val="18"/>
                <w:szCs w:val="18"/>
              </w:rPr>
              <w:t>8</w:t>
            </w:r>
          </w:p>
        </w:tc>
      </w:tr>
      <w:tr w:rsidR="00D1587D" w14:paraId="77963C9A" w14:textId="77777777">
        <w:trPr>
          <w:trHeight w:val="418"/>
        </w:trPr>
        <w:tc>
          <w:tcPr>
            <w:tcW w:w="1040" w:type="dxa"/>
            <w:vAlign w:val="bottom"/>
          </w:tcPr>
          <w:p w14:paraId="6F40D198" w14:textId="77777777" w:rsidR="00D1587D" w:rsidRDefault="00D1587D">
            <w:pPr>
              <w:rPr>
                <w:sz w:val="24"/>
                <w:szCs w:val="24"/>
              </w:rPr>
            </w:pPr>
          </w:p>
        </w:tc>
        <w:tc>
          <w:tcPr>
            <w:tcW w:w="9620" w:type="dxa"/>
            <w:vAlign w:val="bottom"/>
          </w:tcPr>
          <w:p w14:paraId="24B5B253" w14:textId="77777777" w:rsidR="00D1587D" w:rsidRDefault="00410D07">
            <w:pPr>
              <w:ind w:right="369"/>
              <w:jc w:val="center"/>
              <w:rPr>
                <w:sz w:val="20"/>
                <w:szCs w:val="20"/>
              </w:rPr>
            </w:pPr>
            <w:r>
              <w:rPr>
                <w:rFonts w:ascii="Arial" w:eastAsia="Arial" w:hAnsi="Arial" w:cs="Arial"/>
                <w:w w:val="96"/>
                <w:sz w:val="18"/>
                <w:szCs w:val="18"/>
              </w:rPr>
              <w:t>ARTICLE 3</w:t>
            </w:r>
          </w:p>
        </w:tc>
        <w:tc>
          <w:tcPr>
            <w:tcW w:w="580" w:type="dxa"/>
            <w:vAlign w:val="bottom"/>
          </w:tcPr>
          <w:p w14:paraId="6986E89A" w14:textId="77777777" w:rsidR="00D1587D" w:rsidRDefault="00D1587D">
            <w:pPr>
              <w:rPr>
                <w:sz w:val="24"/>
                <w:szCs w:val="24"/>
              </w:rPr>
            </w:pPr>
          </w:p>
        </w:tc>
      </w:tr>
      <w:tr w:rsidR="00D1587D" w14:paraId="70AD0F43" w14:textId="77777777">
        <w:trPr>
          <w:trHeight w:val="230"/>
        </w:trPr>
        <w:tc>
          <w:tcPr>
            <w:tcW w:w="1040" w:type="dxa"/>
            <w:vAlign w:val="bottom"/>
          </w:tcPr>
          <w:p w14:paraId="599FC5EC" w14:textId="77777777" w:rsidR="00D1587D" w:rsidRDefault="00D1587D">
            <w:pPr>
              <w:rPr>
                <w:sz w:val="20"/>
                <w:szCs w:val="20"/>
              </w:rPr>
            </w:pPr>
          </w:p>
        </w:tc>
        <w:tc>
          <w:tcPr>
            <w:tcW w:w="9620" w:type="dxa"/>
            <w:vAlign w:val="bottom"/>
          </w:tcPr>
          <w:p w14:paraId="6178D0D0" w14:textId="77777777" w:rsidR="00D1587D" w:rsidRDefault="00410D07">
            <w:pPr>
              <w:ind w:right="369"/>
              <w:jc w:val="center"/>
              <w:rPr>
                <w:sz w:val="20"/>
                <w:szCs w:val="20"/>
              </w:rPr>
            </w:pPr>
            <w:r>
              <w:rPr>
                <w:rFonts w:ascii="Arial" w:eastAsia="Arial" w:hAnsi="Arial" w:cs="Arial"/>
                <w:w w:val="91"/>
                <w:sz w:val="18"/>
                <w:szCs w:val="18"/>
              </w:rPr>
              <w:t>SERVICE FEES</w:t>
            </w:r>
          </w:p>
        </w:tc>
        <w:tc>
          <w:tcPr>
            <w:tcW w:w="580" w:type="dxa"/>
            <w:vAlign w:val="bottom"/>
          </w:tcPr>
          <w:p w14:paraId="72EFB2D8" w14:textId="77777777" w:rsidR="00D1587D" w:rsidRDefault="00D1587D">
            <w:pPr>
              <w:rPr>
                <w:sz w:val="20"/>
                <w:szCs w:val="20"/>
              </w:rPr>
            </w:pPr>
          </w:p>
        </w:tc>
      </w:tr>
      <w:tr w:rsidR="00D1587D" w14:paraId="7E9DA290" w14:textId="77777777">
        <w:trPr>
          <w:trHeight w:val="418"/>
        </w:trPr>
        <w:tc>
          <w:tcPr>
            <w:tcW w:w="10660" w:type="dxa"/>
            <w:gridSpan w:val="2"/>
            <w:vAlign w:val="bottom"/>
          </w:tcPr>
          <w:p w14:paraId="3A2F74DA" w14:textId="77777777" w:rsidR="00D1587D" w:rsidRDefault="00410D07">
            <w:pPr>
              <w:rPr>
                <w:sz w:val="20"/>
                <w:szCs w:val="20"/>
              </w:rPr>
            </w:pPr>
            <w:r>
              <w:rPr>
                <w:rFonts w:ascii="Arial" w:eastAsia="Arial" w:hAnsi="Arial" w:cs="Arial"/>
                <w:sz w:val="18"/>
                <w:szCs w:val="18"/>
              </w:rPr>
              <w:t xml:space="preserve">Section 3.01.  </w:t>
            </w:r>
            <w:r>
              <w:rPr>
                <w:rFonts w:ascii="Arial" w:eastAsia="Arial" w:hAnsi="Arial" w:cs="Arial"/>
                <w:i/>
                <w:iCs/>
                <w:sz w:val="18"/>
                <w:szCs w:val="18"/>
              </w:rPr>
              <w:t>Fees for Services</w:t>
            </w:r>
          </w:p>
        </w:tc>
        <w:tc>
          <w:tcPr>
            <w:tcW w:w="580" w:type="dxa"/>
            <w:vAlign w:val="bottom"/>
          </w:tcPr>
          <w:p w14:paraId="49A29E3F" w14:textId="77777777" w:rsidR="00D1587D" w:rsidRDefault="00410D07">
            <w:pPr>
              <w:jc w:val="right"/>
              <w:rPr>
                <w:sz w:val="20"/>
                <w:szCs w:val="20"/>
              </w:rPr>
            </w:pPr>
            <w:r>
              <w:rPr>
                <w:rFonts w:ascii="Arial" w:eastAsia="Arial" w:hAnsi="Arial" w:cs="Arial"/>
                <w:sz w:val="18"/>
                <w:szCs w:val="18"/>
              </w:rPr>
              <w:t>8</w:t>
            </w:r>
          </w:p>
        </w:tc>
      </w:tr>
      <w:tr w:rsidR="00D1587D" w14:paraId="5EF3E12A" w14:textId="77777777">
        <w:trPr>
          <w:trHeight w:val="216"/>
        </w:trPr>
        <w:tc>
          <w:tcPr>
            <w:tcW w:w="1040" w:type="dxa"/>
            <w:vAlign w:val="bottom"/>
          </w:tcPr>
          <w:p w14:paraId="007259B0" w14:textId="77777777" w:rsidR="00D1587D" w:rsidRDefault="00410D07">
            <w:pPr>
              <w:rPr>
                <w:sz w:val="20"/>
                <w:szCs w:val="20"/>
              </w:rPr>
            </w:pPr>
            <w:r>
              <w:rPr>
                <w:rFonts w:ascii="Arial" w:eastAsia="Arial" w:hAnsi="Arial" w:cs="Arial"/>
                <w:w w:val="97"/>
                <w:sz w:val="18"/>
                <w:szCs w:val="18"/>
              </w:rPr>
              <w:t>Section 3.02.</w:t>
            </w:r>
          </w:p>
        </w:tc>
        <w:tc>
          <w:tcPr>
            <w:tcW w:w="9620" w:type="dxa"/>
            <w:vAlign w:val="bottom"/>
          </w:tcPr>
          <w:p w14:paraId="3DE773A7" w14:textId="77777777" w:rsidR="00D1587D" w:rsidRDefault="00410D07">
            <w:pPr>
              <w:ind w:left="100"/>
              <w:rPr>
                <w:sz w:val="20"/>
                <w:szCs w:val="20"/>
              </w:rPr>
            </w:pPr>
            <w:r>
              <w:rPr>
                <w:rFonts w:ascii="Arial" w:eastAsia="Arial" w:hAnsi="Arial" w:cs="Arial"/>
                <w:i/>
                <w:iCs/>
                <w:sz w:val="18"/>
                <w:szCs w:val="18"/>
              </w:rPr>
              <w:t>Customary Billing</w:t>
            </w:r>
          </w:p>
        </w:tc>
        <w:tc>
          <w:tcPr>
            <w:tcW w:w="580" w:type="dxa"/>
            <w:vAlign w:val="bottom"/>
          </w:tcPr>
          <w:p w14:paraId="734CA8C7" w14:textId="77777777" w:rsidR="00D1587D" w:rsidRDefault="00410D07">
            <w:pPr>
              <w:jc w:val="right"/>
              <w:rPr>
                <w:sz w:val="20"/>
                <w:szCs w:val="20"/>
              </w:rPr>
            </w:pPr>
            <w:r>
              <w:rPr>
                <w:rFonts w:ascii="Arial" w:eastAsia="Arial" w:hAnsi="Arial" w:cs="Arial"/>
                <w:sz w:val="18"/>
                <w:szCs w:val="18"/>
              </w:rPr>
              <w:t>9</w:t>
            </w:r>
          </w:p>
        </w:tc>
      </w:tr>
      <w:tr w:rsidR="00D1587D" w14:paraId="079DA93A" w14:textId="77777777">
        <w:trPr>
          <w:trHeight w:val="216"/>
        </w:trPr>
        <w:tc>
          <w:tcPr>
            <w:tcW w:w="1040" w:type="dxa"/>
            <w:vAlign w:val="bottom"/>
          </w:tcPr>
          <w:p w14:paraId="4D11E04C" w14:textId="77777777" w:rsidR="00D1587D" w:rsidRDefault="00410D07">
            <w:pPr>
              <w:rPr>
                <w:sz w:val="20"/>
                <w:szCs w:val="20"/>
              </w:rPr>
            </w:pPr>
            <w:r>
              <w:rPr>
                <w:rFonts w:ascii="Arial" w:eastAsia="Arial" w:hAnsi="Arial" w:cs="Arial"/>
                <w:w w:val="97"/>
                <w:sz w:val="18"/>
                <w:szCs w:val="18"/>
              </w:rPr>
              <w:t>Section 3.03.</w:t>
            </w:r>
          </w:p>
        </w:tc>
        <w:tc>
          <w:tcPr>
            <w:tcW w:w="9620" w:type="dxa"/>
            <w:vAlign w:val="bottom"/>
          </w:tcPr>
          <w:p w14:paraId="41D6ADDC" w14:textId="77777777" w:rsidR="00D1587D" w:rsidRDefault="00410D07">
            <w:pPr>
              <w:ind w:left="100"/>
              <w:rPr>
                <w:sz w:val="20"/>
                <w:szCs w:val="20"/>
              </w:rPr>
            </w:pPr>
            <w:r>
              <w:rPr>
                <w:rFonts w:ascii="Arial" w:eastAsia="Arial" w:hAnsi="Arial" w:cs="Arial"/>
                <w:i/>
                <w:iCs/>
                <w:sz w:val="18"/>
                <w:szCs w:val="18"/>
              </w:rPr>
              <w:t>Pass-Through Billing</w:t>
            </w:r>
          </w:p>
        </w:tc>
        <w:tc>
          <w:tcPr>
            <w:tcW w:w="580" w:type="dxa"/>
            <w:vAlign w:val="bottom"/>
          </w:tcPr>
          <w:p w14:paraId="63D89A20" w14:textId="77777777" w:rsidR="00D1587D" w:rsidRDefault="00410D07">
            <w:pPr>
              <w:jc w:val="right"/>
              <w:rPr>
                <w:sz w:val="20"/>
                <w:szCs w:val="20"/>
              </w:rPr>
            </w:pPr>
            <w:r>
              <w:rPr>
                <w:rFonts w:ascii="Arial" w:eastAsia="Arial" w:hAnsi="Arial" w:cs="Arial"/>
                <w:sz w:val="18"/>
                <w:szCs w:val="18"/>
              </w:rPr>
              <w:t>9</w:t>
            </w:r>
          </w:p>
        </w:tc>
      </w:tr>
      <w:tr w:rsidR="00D1587D" w14:paraId="135168FC" w14:textId="77777777">
        <w:trPr>
          <w:trHeight w:val="216"/>
        </w:trPr>
        <w:tc>
          <w:tcPr>
            <w:tcW w:w="10660" w:type="dxa"/>
            <w:gridSpan w:val="2"/>
            <w:vAlign w:val="bottom"/>
          </w:tcPr>
          <w:p w14:paraId="4671C341" w14:textId="77777777" w:rsidR="00D1587D" w:rsidRDefault="00410D07">
            <w:pPr>
              <w:rPr>
                <w:sz w:val="20"/>
                <w:szCs w:val="20"/>
              </w:rPr>
            </w:pPr>
            <w:r>
              <w:rPr>
                <w:rFonts w:ascii="Arial" w:eastAsia="Arial" w:hAnsi="Arial" w:cs="Arial"/>
                <w:sz w:val="18"/>
                <w:szCs w:val="18"/>
              </w:rPr>
              <w:t xml:space="preserve">Section 3.04.  </w:t>
            </w:r>
            <w:r>
              <w:rPr>
                <w:rFonts w:ascii="Arial" w:eastAsia="Arial" w:hAnsi="Arial" w:cs="Arial"/>
                <w:i/>
                <w:iCs/>
                <w:sz w:val="18"/>
                <w:szCs w:val="18"/>
              </w:rPr>
              <w:t xml:space="preserve">Percent of Sales </w:t>
            </w:r>
            <w:r>
              <w:rPr>
                <w:rFonts w:ascii="Arial" w:eastAsia="Arial" w:hAnsi="Arial" w:cs="Arial"/>
                <w:i/>
                <w:iCs/>
                <w:sz w:val="18"/>
                <w:szCs w:val="18"/>
              </w:rPr>
              <w:t>Billing</w:t>
            </w:r>
          </w:p>
        </w:tc>
        <w:tc>
          <w:tcPr>
            <w:tcW w:w="580" w:type="dxa"/>
            <w:vAlign w:val="bottom"/>
          </w:tcPr>
          <w:p w14:paraId="155C5C66" w14:textId="77777777" w:rsidR="00D1587D" w:rsidRDefault="00410D07">
            <w:pPr>
              <w:jc w:val="right"/>
              <w:rPr>
                <w:sz w:val="20"/>
                <w:szCs w:val="20"/>
              </w:rPr>
            </w:pPr>
            <w:r>
              <w:rPr>
                <w:rFonts w:ascii="Arial" w:eastAsia="Arial" w:hAnsi="Arial" w:cs="Arial"/>
                <w:sz w:val="18"/>
                <w:szCs w:val="18"/>
              </w:rPr>
              <w:t>9</w:t>
            </w:r>
          </w:p>
        </w:tc>
      </w:tr>
      <w:tr w:rsidR="00D1587D" w14:paraId="6C506778" w14:textId="77777777">
        <w:trPr>
          <w:trHeight w:val="216"/>
        </w:trPr>
        <w:tc>
          <w:tcPr>
            <w:tcW w:w="10660" w:type="dxa"/>
            <w:gridSpan w:val="2"/>
            <w:vAlign w:val="bottom"/>
          </w:tcPr>
          <w:p w14:paraId="35353A4E" w14:textId="77777777" w:rsidR="00D1587D" w:rsidRDefault="00410D07">
            <w:pPr>
              <w:rPr>
                <w:sz w:val="20"/>
                <w:szCs w:val="20"/>
              </w:rPr>
            </w:pPr>
            <w:r>
              <w:rPr>
                <w:rFonts w:ascii="Arial" w:eastAsia="Arial" w:hAnsi="Arial" w:cs="Arial"/>
                <w:sz w:val="18"/>
                <w:szCs w:val="18"/>
              </w:rPr>
              <w:t xml:space="preserve">Section 3.05.  </w:t>
            </w:r>
            <w:r>
              <w:rPr>
                <w:rFonts w:ascii="Arial" w:eastAsia="Arial" w:hAnsi="Arial" w:cs="Arial"/>
                <w:i/>
                <w:iCs/>
                <w:sz w:val="18"/>
                <w:szCs w:val="18"/>
              </w:rPr>
              <w:t>Fixed Fee Billing</w:t>
            </w:r>
          </w:p>
        </w:tc>
        <w:tc>
          <w:tcPr>
            <w:tcW w:w="580" w:type="dxa"/>
            <w:vAlign w:val="bottom"/>
          </w:tcPr>
          <w:p w14:paraId="560A82FF" w14:textId="77777777" w:rsidR="00D1587D" w:rsidRDefault="00410D07">
            <w:pPr>
              <w:jc w:val="right"/>
              <w:rPr>
                <w:sz w:val="20"/>
                <w:szCs w:val="20"/>
              </w:rPr>
            </w:pPr>
            <w:r>
              <w:rPr>
                <w:rFonts w:ascii="Arial" w:eastAsia="Arial" w:hAnsi="Arial" w:cs="Arial"/>
                <w:sz w:val="18"/>
                <w:szCs w:val="18"/>
              </w:rPr>
              <w:t>10</w:t>
            </w:r>
          </w:p>
        </w:tc>
      </w:tr>
      <w:tr w:rsidR="00D1587D" w14:paraId="44DC1E53" w14:textId="77777777">
        <w:trPr>
          <w:trHeight w:val="216"/>
        </w:trPr>
        <w:tc>
          <w:tcPr>
            <w:tcW w:w="10660" w:type="dxa"/>
            <w:gridSpan w:val="2"/>
            <w:vAlign w:val="bottom"/>
          </w:tcPr>
          <w:p w14:paraId="639E69F1" w14:textId="77777777" w:rsidR="00D1587D" w:rsidRDefault="00410D07">
            <w:pPr>
              <w:rPr>
                <w:sz w:val="20"/>
                <w:szCs w:val="20"/>
              </w:rPr>
            </w:pPr>
            <w:r>
              <w:rPr>
                <w:rFonts w:ascii="Arial" w:eastAsia="Arial" w:hAnsi="Arial" w:cs="Arial"/>
                <w:sz w:val="18"/>
                <w:szCs w:val="18"/>
              </w:rPr>
              <w:t xml:space="preserve">Section 3.06.  </w:t>
            </w:r>
            <w:r>
              <w:rPr>
                <w:rFonts w:ascii="Arial" w:eastAsia="Arial" w:hAnsi="Arial" w:cs="Arial"/>
                <w:i/>
                <w:iCs/>
                <w:sz w:val="18"/>
                <w:szCs w:val="18"/>
              </w:rPr>
              <w:t>Invoicing of Fees</w:t>
            </w:r>
          </w:p>
        </w:tc>
        <w:tc>
          <w:tcPr>
            <w:tcW w:w="580" w:type="dxa"/>
            <w:vAlign w:val="bottom"/>
          </w:tcPr>
          <w:p w14:paraId="4F532C6D" w14:textId="77777777" w:rsidR="00D1587D" w:rsidRDefault="00410D07">
            <w:pPr>
              <w:jc w:val="right"/>
              <w:rPr>
                <w:sz w:val="20"/>
                <w:szCs w:val="20"/>
              </w:rPr>
            </w:pPr>
            <w:r>
              <w:rPr>
                <w:rFonts w:ascii="Arial" w:eastAsia="Arial" w:hAnsi="Arial" w:cs="Arial"/>
                <w:sz w:val="18"/>
                <w:szCs w:val="18"/>
              </w:rPr>
              <w:t>10</w:t>
            </w:r>
          </w:p>
        </w:tc>
      </w:tr>
      <w:tr w:rsidR="00D1587D" w14:paraId="0B9A9B91" w14:textId="77777777">
        <w:trPr>
          <w:trHeight w:val="216"/>
        </w:trPr>
        <w:tc>
          <w:tcPr>
            <w:tcW w:w="1040" w:type="dxa"/>
            <w:vAlign w:val="bottom"/>
          </w:tcPr>
          <w:p w14:paraId="4B842FFE" w14:textId="77777777" w:rsidR="00D1587D" w:rsidRDefault="00410D07">
            <w:pPr>
              <w:rPr>
                <w:sz w:val="20"/>
                <w:szCs w:val="20"/>
              </w:rPr>
            </w:pPr>
            <w:r>
              <w:rPr>
                <w:rFonts w:ascii="Arial" w:eastAsia="Arial" w:hAnsi="Arial" w:cs="Arial"/>
                <w:w w:val="97"/>
                <w:sz w:val="18"/>
                <w:szCs w:val="18"/>
              </w:rPr>
              <w:t>Section 3.07.</w:t>
            </w:r>
          </w:p>
        </w:tc>
        <w:tc>
          <w:tcPr>
            <w:tcW w:w="9620" w:type="dxa"/>
            <w:vAlign w:val="bottom"/>
          </w:tcPr>
          <w:p w14:paraId="2931F4F2" w14:textId="77777777" w:rsidR="00D1587D" w:rsidRDefault="00410D07">
            <w:pPr>
              <w:ind w:left="100"/>
              <w:rPr>
                <w:sz w:val="20"/>
                <w:szCs w:val="20"/>
              </w:rPr>
            </w:pPr>
            <w:r>
              <w:rPr>
                <w:rFonts w:ascii="Arial" w:eastAsia="Arial" w:hAnsi="Arial" w:cs="Arial"/>
                <w:i/>
                <w:iCs/>
                <w:sz w:val="18"/>
                <w:szCs w:val="18"/>
              </w:rPr>
              <w:t>Right to Set Off</w:t>
            </w:r>
          </w:p>
        </w:tc>
        <w:tc>
          <w:tcPr>
            <w:tcW w:w="580" w:type="dxa"/>
            <w:vAlign w:val="bottom"/>
          </w:tcPr>
          <w:p w14:paraId="7C8EC14D" w14:textId="77777777" w:rsidR="00D1587D" w:rsidRDefault="00410D07">
            <w:pPr>
              <w:jc w:val="right"/>
              <w:rPr>
                <w:sz w:val="20"/>
                <w:szCs w:val="20"/>
              </w:rPr>
            </w:pPr>
            <w:r>
              <w:rPr>
                <w:rFonts w:ascii="Arial" w:eastAsia="Arial" w:hAnsi="Arial" w:cs="Arial"/>
                <w:sz w:val="18"/>
                <w:szCs w:val="18"/>
              </w:rPr>
              <w:t>10</w:t>
            </w:r>
          </w:p>
        </w:tc>
      </w:tr>
      <w:tr w:rsidR="00D1587D" w14:paraId="03977F52" w14:textId="77777777">
        <w:trPr>
          <w:trHeight w:val="216"/>
        </w:trPr>
        <w:tc>
          <w:tcPr>
            <w:tcW w:w="1040" w:type="dxa"/>
            <w:vAlign w:val="bottom"/>
          </w:tcPr>
          <w:p w14:paraId="454EAF11" w14:textId="77777777" w:rsidR="00D1587D" w:rsidRDefault="00410D07">
            <w:pPr>
              <w:rPr>
                <w:sz w:val="20"/>
                <w:szCs w:val="20"/>
              </w:rPr>
            </w:pPr>
            <w:r>
              <w:rPr>
                <w:rFonts w:ascii="Arial" w:eastAsia="Arial" w:hAnsi="Arial" w:cs="Arial"/>
                <w:w w:val="97"/>
                <w:sz w:val="18"/>
                <w:szCs w:val="18"/>
              </w:rPr>
              <w:t>Section 3.08.</w:t>
            </w:r>
          </w:p>
        </w:tc>
        <w:tc>
          <w:tcPr>
            <w:tcW w:w="9620" w:type="dxa"/>
            <w:vAlign w:val="bottom"/>
          </w:tcPr>
          <w:p w14:paraId="769EEB26" w14:textId="77777777" w:rsidR="00D1587D" w:rsidRDefault="00410D07">
            <w:pPr>
              <w:ind w:left="100"/>
              <w:rPr>
                <w:sz w:val="20"/>
                <w:szCs w:val="20"/>
              </w:rPr>
            </w:pPr>
            <w:r>
              <w:rPr>
                <w:rFonts w:ascii="Arial" w:eastAsia="Arial" w:hAnsi="Arial" w:cs="Arial"/>
                <w:i/>
                <w:iCs/>
                <w:sz w:val="18"/>
                <w:szCs w:val="18"/>
              </w:rPr>
              <w:t>Taxes</w:t>
            </w:r>
          </w:p>
        </w:tc>
        <w:tc>
          <w:tcPr>
            <w:tcW w:w="580" w:type="dxa"/>
            <w:vAlign w:val="bottom"/>
          </w:tcPr>
          <w:p w14:paraId="49B0180D" w14:textId="77777777" w:rsidR="00D1587D" w:rsidRDefault="00410D07">
            <w:pPr>
              <w:jc w:val="right"/>
              <w:rPr>
                <w:sz w:val="20"/>
                <w:szCs w:val="20"/>
              </w:rPr>
            </w:pPr>
            <w:r>
              <w:rPr>
                <w:rFonts w:ascii="Arial" w:eastAsia="Arial" w:hAnsi="Arial" w:cs="Arial"/>
                <w:sz w:val="18"/>
                <w:szCs w:val="18"/>
              </w:rPr>
              <w:t>10</w:t>
            </w:r>
          </w:p>
        </w:tc>
      </w:tr>
      <w:tr w:rsidR="00D1587D" w14:paraId="0F62946F" w14:textId="77777777">
        <w:trPr>
          <w:trHeight w:val="230"/>
        </w:trPr>
        <w:tc>
          <w:tcPr>
            <w:tcW w:w="1040" w:type="dxa"/>
            <w:vAlign w:val="bottom"/>
          </w:tcPr>
          <w:p w14:paraId="65FC2309" w14:textId="77777777" w:rsidR="00D1587D" w:rsidRDefault="00410D07">
            <w:pPr>
              <w:rPr>
                <w:sz w:val="20"/>
                <w:szCs w:val="20"/>
              </w:rPr>
            </w:pPr>
            <w:r>
              <w:rPr>
                <w:rFonts w:ascii="Arial" w:eastAsia="Arial" w:hAnsi="Arial" w:cs="Arial"/>
                <w:w w:val="97"/>
                <w:sz w:val="18"/>
                <w:szCs w:val="18"/>
              </w:rPr>
              <w:t>Section 3.09.</w:t>
            </w:r>
          </w:p>
        </w:tc>
        <w:tc>
          <w:tcPr>
            <w:tcW w:w="9620" w:type="dxa"/>
            <w:vAlign w:val="bottom"/>
          </w:tcPr>
          <w:p w14:paraId="14D8FD98" w14:textId="77777777" w:rsidR="00D1587D" w:rsidRDefault="00410D07">
            <w:pPr>
              <w:ind w:left="100"/>
              <w:rPr>
                <w:sz w:val="20"/>
                <w:szCs w:val="20"/>
              </w:rPr>
            </w:pPr>
            <w:r>
              <w:rPr>
                <w:rFonts w:ascii="Arial" w:eastAsia="Arial" w:hAnsi="Arial" w:cs="Arial"/>
                <w:i/>
                <w:iCs/>
                <w:sz w:val="18"/>
                <w:szCs w:val="18"/>
              </w:rPr>
              <w:t>Audits</w:t>
            </w:r>
          </w:p>
        </w:tc>
        <w:tc>
          <w:tcPr>
            <w:tcW w:w="580" w:type="dxa"/>
            <w:vAlign w:val="bottom"/>
          </w:tcPr>
          <w:p w14:paraId="63856438" w14:textId="77777777" w:rsidR="00D1587D" w:rsidRDefault="00410D07">
            <w:pPr>
              <w:jc w:val="right"/>
              <w:rPr>
                <w:sz w:val="20"/>
                <w:szCs w:val="20"/>
              </w:rPr>
            </w:pPr>
            <w:r>
              <w:rPr>
                <w:rFonts w:ascii="Arial" w:eastAsia="Arial" w:hAnsi="Arial" w:cs="Arial"/>
                <w:sz w:val="18"/>
                <w:szCs w:val="18"/>
              </w:rPr>
              <w:t>11</w:t>
            </w:r>
          </w:p>
        </w:tc>
      </w:tr>
      <w:tr w:rsidR="00D1587D" w14:paraId="64D7CD23" w14:textId="77777777">
        <w:trPr>
          <w:trHeight w:val="418"/>
        </w:trPr>
        <w:tc>
          <w:tcPr>
            <w:tcW w:w="1040" w:type="dxa"/>
            <w:vAlign w:val="bottom"/>
          </w:tcPr>
          <w:p w14:paraId="53E522DE" w14:textId="77777777" w:rsidR="00D1587D" w:rsidRDefault="00D1587D">
            <w:pPr>
              <w:rPr>
                <w:sz w:val="24"/>
                <w:szCs w:val="24"/>
              </w:rPr>
            </w:pPr>
          </w:p>
        </w:tc>
        <w:tc>
          <w:tcPr>
            <w:tcW w:w="9620" w:type="dxa"/>
            <w:vAlign w:val="bottom"/>
          </w:tcPr>
          <w:p w14:paraId="18776F80" w14:textId="77777777" w:rsidR="00D1587D" w:rsidRDefault="00410D07">
            <w:pPr>
              <w:ind w:right="369"/>
              <w:jc w:val="center"/>
              <w:rPr>
                <w:sz w:val="20"/>
                <w:szCs w:val="20"/>
              </w:rPr>
            </w:pPr>
            <w:r>
              <w:rPr>
                <w:rFonts w:ascii="Arial" w:eastAsia="Arial" w:hAnsi="Arial" w:cs="Arial"/>
                <w:w w:val="96"/>
                <w:sz w:val="18"/>
                <w:szCs w:val="18"/>
              </w:rPr>
              <w:t>ARTICLE 4</w:t>
            </w:r>
          </w:p>
        </w:tc>
        <w:tc>
          <w:tcPr>
            <w:tcW w:w="580" w:type="dxa"/>
            <w:vAlign w:val="bottom"/>
          </w:tcPr>
          <w:p w14:paraId="38FD349A" w14:textId="77777777" w:rsidR="00D1587D" w:rsidRDefault="00D1587D">
            <w:pPr>
              <w:rPr>
                <w:sz w:val="24"/>
                <w:szCs w:val="24"/>
              </w:rPr>
            </w:pPr>
          </w:p>
        </w:tc>
      </w:tr>
      <w:tr w:rsidR="00D1587D" w14:paraId="249A49EB" w14:textId="77777777">
        <w:trPr>
          <w:trHeight w:val="230"/>
        </w:trPr>
        <w:tc>
          <w:tcPr>
            <w:tcW w:w="1040" w:type="dxa"/>
            <w:vAlign w:val="bottom"/>
          </w:tcPr>
          <w:p w14:paraId="45E5A5B6" w14:textId="77777777" w:rsidR="00D1587D" w:rsidRDefault="00D1587D">
            <w:pPr>
              <w:rPr>
                <w:sz w:val="20"/>
                <w:szCs w:val="20"/>
              </w:rPr>
            </w:pPr>
          </w:p>
        </w:tc>
        <w:tc>
          <w:tcPr>
            <w:tcW w:w="9620" w:type="dxa"/>
            <w:vAlign w:val="bottom"/>
          </w:tcPr>
          <w:p w14:paraId="16130379" w14:textId="77777777" w:rsidR="00D1587D" w:rsidRDefault="00410D07">
            <w:pPr>
              <w:ind w:right="349"/>
              <w:jc w:val="center"/>
              <w:rPr>
                <w:sz w:val="20"/>
                <w:szCs w:val="20"/>
              </w:rPr>
            </w:pPr>
            <w:r>
              <w:rPr>
                <w:rFonts w:ascii="Arial" w:eastAsia="Arial" w:hAnsi="Arial" w:cs="Arial"/>
                <w:w w:val="95"/>
                <w:sz w:val="18"/>
                <w:szCs w:val="18"/>
              </w:rPr>
              <w:t>RETENTION AND TRANSFER OF CERTAIN TSA EMPLOYEES</w:t>
            </w:r>
          </w:p>
        </w:tc>
        <w:tc>
          <w:tcPr>
            <w:tcW w:w="580" w:type="dxa"/>
            <w:vAlign w:val="bottom"/>
          </w:tcPr>
          <w:p w14:paraId="7278EFF4" w14:textId="77777777" w:rsidR="00D1587D" w:rsidRDefault="00D1587D">
            <w:pPr>
              <w:rPr>
                <w:sz w:val="20"/>
                <w:szCs w:val="20"/>
              </w:rPr>
            </w:pPr>
          </w:p>
        </w:tc>
      </w:tr>
      <w:tr w:rsidR="00D1587D" w14:paraId="0F5BF28E" w14:textId="77777777">
        <w:trPr>
          <w:trHeight w:val="418"/>
        </w:trPr>
        <w:tc>
          <w:tcPr>
            <w:tcW w:w="10660" w:type="dxa"/>
            <w:gridSpan w:val="2"/>
            <w:vAlign w:val="bottom"/>
          </w:tcPr>
          <w:p w14:paraId="4E1293F6" w14:textId="77777777" w:rsidR="00D1587D" w:rsidRDefault="00410D07">
            <w:pPr>
              <w:rPr>
                <w:sz w:val="20"/>
                <w:szCs w:val="20"/>
              </w:rPr>
            </w:pPr>
            <w:r>
              <w:rPr>
                <w:rFonts w:ascii="Arial" w:eastAsia="Arial" w:hAnsi="Arial" w:cs="Arial"/>
                <w:sz w:val="18"/>
                <w:szCs w:val="18"/>
              </w:rPr>
              <w:t xml:space="preserve">Section 4.01.  </w:t>
            </w:r>
            <w:r>
              <w:rPr>
                <w:rFonts w:ascii="Arial" w:eastAsia="Arial" w:hAnsi="Arial" w:cs="Arial"/>
                <w:i/>
                <w:iCs/>
                <w:sz w:val="18"/>
                <w:szCs w:val="18"/>
              </w:rPr>
              <w:t>Employment of Transition Employees</w:t>
            </w:r>
          </w:p>
        </w:tc>
        <w:tc>
          <w:tcPr>
            <w:tcW w:w="580" w:type="dxa"/>
            <w:vAlign w:val="bottom"/>
          </w:tcPr>
          <w:p w14:paraId="39C32B2B" w14:textId="77777777" w:rsidR="00D1587D" w:rsidRDefault="00410D07">
            <w:pPr>
              <w:jc w:val="right"/>
              <w:rPr>
                <w:sz w:val="20"/>
                <w:szCs w:val="20"/>
              </w:rPr>
            </w:pPr>
            <w:r>
              <w:rPr>
                <w:rFonts w:ascii="Arial" w:eastAsia="Arial" w:hAnsi="Arial" w:cs="Arial"/>
                <w:sz w:val="18"/>
                <w:szCs w:val="18"/>
              </w:rPr>
              <w:t>11</w:t>
            </w:r>
          </w:p>
        </w:tc>
      </w:tr>
      <w:tr w:rsidR="00D1587D" w14:paraId="0B4F0EE4" w14:textId="77777777">
        <w:trPr>
          <w:trHeight w:val="230"/>
        </w:trPr>
        <w:tc>
          <w:tcPr>
            <w:tcW w:w="1040" w:type="dxa"/>
            <w:vAlign w:val="bottom"/>
          </w:tcPr>
          <w:p w14:paraId="5574F492" w14:textId="77777777" w:rsidR="00D1587D" w:rsidRDefault="00410D07">
            <w:pPr>
              <w:rPr>
                <w:sz w:val="20"/>
                <w:szCs w:val="20"/>
              </w:rPr>
            </w:pPr>
            <w:r>
              <w:rPr>
                <w:rFonts w:ascii="Arial" w:eastAsia="Arial" w:hAnsi="Arial" w:cs="Arial"/>
                <w:w w:val="97"/>
                <w:sz w:val="18"/>
                <w:szCs w:val="18"/>
              </w:rPr>
              <w:t>Section 4.02.</w:t>
            </w:r>
          </w:p>
        </w:tc>
        <w:tc>
          <w:tcPr>
            <w:tcW w:w="9620" w:type="dxa"/>
            <w:vAlign w:val="bottom"/>
          </w:tcPr>
          <w:p w14:paraId="02D76DB8" w14:textId="77777777" w:rsidR="00D1587D" w:rsidRDefault="00410D07">
            <w:pPr>
              <w:ind w:left="100"/>
              <w:rPr>
                <w:sz w:val="20"/>
                <w:szCs w:val="20"/>
              </w:rPr>
            </w:pPr>
            <w:r>
              <w:rPr>
                <w:rFonts w:ascii="Arial" w:eastAsia="Arial" w:hAnsi="Arial" w:cs="Arial"/>
                <w:i/>
                <w:iCs/>
                <w:sz w:val="18"/>
                <w:szCs w:val="18"/>
              </w:rPr>
              <w:t>Transfer of Transition Employees</w:t>
            </w:r>
          </w:p>
        </w:tc>
        <w:tc>
          <w:tcPr>
            <w:tcW w:w="580" w:type="dxa"/>
            <w:vAlign w:val="bottom"/>
          </w:tcPr>
          <w:p w14:paraId="1D98D5CE" w14:textId="77777777" w:rsidR="00D1587D" w:rsidRDefault="00410D07">
            <w:pPr>
              <w:jc w:val="right"/>
              <w:rPr>
                <w:sz w:val="20"/>
                <w:szCs w:val="20"/>
              </w:rPr>
            </w:pPr>
            <w:r>
              <w:rPr>
                <w:rFonts w:ascii="Arial" w:eastAsia="Arial" w:hAnsi="Arial" w:cs="Arial"/>
                <w:sz w:val="18"/>
                <w:szCs w:val="18"/>
              </w:rPr>
              <w:t>12</w:t>
            </w:r>
          </w:p>
        </w:tc>
      </w:tr>
    </w:tbl>
    <w:p w14:paraId="72FAFD25" w14:textId="77777777" w:rsidR="00D1587D" w:rsidRDefault="00D1587D">
      <w:pPr>
        <w:spacing w:line="400" w:lineRule="exact"/>
        <w:rPr>
          <w:sz w:val="20"/>
          <w:szCs w:val="20"/>
        </w:rPr>
      </w:pPr>
    </w:p>
    <w:p w14:paraId="21CE56C0" w14:textId="77777777" w:rsidR="00D1587D" w:rsidRDefault="00410D07">
      <w:pPr>
        <w:jc w:val="center"/>
        <w:rPr>
          <w:sz w:val="20"/>
          <w:szCs w:val="20"/>
        </w:rPr>
      </w:pPr>
      <w:r>
        <w:rPr>
          <w:rFonts w:ascii="Arial" w:eastAsia="Arial" w:hAnsi="Arial" w:cs="Arial"/>
          <w:sz w:val="14"/>
          <w:szCs w:val="14"/>
        </w:rPr>
        <w:t>i</w:t>
      </w:r>
    </w:p>
    <w:p w14:paraId="03E2C338" w14:textId="77777777" w:rsidR="00D1587D" w:rsidRDefault="00410D07">
      <w:pPr>
        <w:spacing w:line="20" w:lineRule="exact"/>
        <w:rPr>
          <w:sz w:val="20"/>
          <w:szCs w:val="20"/>
        </w:rPr>
      </w:pPr>
      <w:r>
        <w:rPr>
          <w:noProof/>
          <w:sz w:val="20"/>
          <w:szCs w:val="20"/>
        </w:rPr>
        <w:drawing>
          <wp:anchor distT="0" distB="0" distL="114300" distR="114300" simplePos="0" relativeHeight="251265024" behindDoc="1" locked="0" layoutInCell="0" allowOverlap="1" wp14:anchorId="5878C72B" wp14:editId="2C7D9F3A">
            <wp:simplePos x="0" y="0"/>
            <wp:positionH relativeFrom="column">
              <wp:posOffset>5080</wp:posOffset>
            </wp:positionH>
            <wp:positionV relativeFrom="paragraph">
              <wp:posOffset>38100</wp:posOffset>
            </wp:positionV>
            <wp:extent cx="7132320" cy="1714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D67E90D" w14:textId="77777777" w:rsidR="00D1587D" w:rsidRDefault="00D1587D">
      <w:pPr>
        <w:sectPr w:rsidR="00D1587D">
          <w:pgSz w:w="11900" w:h="16838"/>
          <w:pgMar w:top="355" w:right="339" w:bottom="1440" w:left="320" w:header="0" w:footer="0" w:gutter="0"/>
          <w:cols w:space="720" w:equalWidth="0">
            <w:col w:w="11240"/>
          </w:cols>
        </w:sectPr>
      </w:pPr>
    </w:p>
    <w:tbl>
      <w:tblPr>
        <w:tblW w:w="0" w:type="auto"/>
        <w:tblLayout w:type="fixed"/>
        <w:tblCellMar>
          <w:left w:w="0" w:type="dxa"/>
          <w:right w:w="0" w:type="dxa"/>
        </w:tblCellMar>
        <w:tblLook w:val="04A0" w:firstRow="1" w:lastRow="0" w:firstColumn="1" w:lastColumn="0" w:noHBand="0" w:noVBand="1"/>
      </w:tblPr>
      <w:tblGrid>
        <w:gridCol w:w="1040"/>
        <w:gridCol w:w="8280"/>
        <w:gridCol w:w="1920"/>
      </w:tblGrid>
      <w:tr w:rsidR="00D1587D" w14:paraId="7823FEBA" w14:textId="77777777">
        <w:trPr>
          <w:trHeight w:val="216"/>
        </w:trPr>
        <w:tc>
          <w:tcPr>
            <w:tcW w:w="1040" w:type="dxa"/>
            <w:vAlign w:val="bottom"/>
          </w:tcPr>
          <w:p w14:paraId="066469EC" w14:textId="77777777" w:rsidR="00D1587D" w:rsidRDefault="00D1587D">
            <w:pPr>
              <w:rPr>
                <w:sz w:val="18"/>
                <w:szCs w:val="18"/>
              </w:rPr>
            </w:pPr>
            <w:bookmarkStart w:id="113" w:name="page114"/>
            <w:bookmarkEnd w:id="113"/>
          </w:p>
        </w:tc>
        <w:tc>
          <w:tcPr>
            <w:tcW w:w="8280" w:type="dxa"/>
            <w:vAlign w:val="bottom"/>
          </w:tcPr>
          <w:p w14:paraId="5540402D" w14:textId="77777777" w:rsidR="00D1587D" w:rsidRDefault="00410D07">
            <w:pPr>
              <w:ind w:left="790"/>
              <w:jc w:val="center"/>
              <w:rPr>
                <w:sz w:val="20"/>
                <w:szCs w:val="20"/>
              </w:rPr>
            </w:pPr>
            <w:r>
              <w:rPr>
                <w:rFonts w:ascii="Arial" w:eastAsia="Arial" w:hAnsi="Arial" w:cs="Arial"/>
                <w:w w:val="96"/>
                <w:sz w:val="18"/>
                <w:szCs w:val="18"/>
              </w:rPr>
              <w:t>ARTICLE 5</w:t>
            </w:r>
          </w:p>
        </w:tc>
        <w:tc>
          <w:tcPr>
            <w:tcW w:w="1920" w:type="dxa"/>
            <w:vAlign w:val="bottom"/>
          </w:tcPr>
          <w:p w14:paraId="1CEAD617" w14:textId="77777777" w:rsidR="00D1587D" w:rsidRDefault="00D1587D">
            <w:pPr>
              <w:rPr>
                <w:sz w:val="18"/>
                <w:szCs w:val="18"/>
              </w:rPr>
            </w:pPr>
          </w:p>
        </w:tc>
      </w:tr>
      <w:tr w:rsidR="00D1587D" w14:paraId="3D4071F4" w14:textId="77777777">
        <w:trPr>
          <w:trHeight w:val="230"/>
        </w:trPr>
        <w:tc>
          <w:tcPr>
            <w:tcW w:w="1040" w:type="dxa"/>
            <w:vAlign w:val="bottom"/>
          </w:tcPr>
          <w:p w14:paraId="17F025A0" w14:textId="77777777" w:rsidR="00D1587D" w:rsidRDefault="00D1587D">
            <w:pPr>
              <w:rPr>
                <w:sz w:val="20"/>
                <w:szCs w:val="20"/>
              </w:rPr>
            </w:pPr>
          </w:p>
        </w:tc>
        <w:tc>
          <w:tcPr>
            <w:tcW w:w="8280" w:type="dxa"/>
            <w:vAlign w:val="bottom"/>
          </w:tcPr>
          <w:p w14:paraId="72E02EEF" w14:textId="77777777" w:rsidR="00D1587D" w:rsidRDefault="00410D07">
            <w:pPr>
              <w:ind w:left="810"/>
              <w:jc w:val="center"/>
              <w:rPr>
                <w:sz w:val="20"/>
                <w:szCs w:val="20"/>
              </w:rPr>
            </w:pPr>
            <w:r>
              <w:rPr>
                <w:rFonts w:ascii="Arial" w:eastAsia="Arial" w:hAnsi="Arial" w:cs="Arial"/>
                <w:sz w:val="18"/>
                <w:szCs w:val="18"/>
              </w:rPr>
              <w:t>CONFIDENTIALITY</w:t>
            </w:r>
          </w:p>
        </w:tc>
        <w:tc>
          <w:tcPr>
            <w:tcW w:w="1920" w:type="dxa"/>
            <w:vAlign w:val="bottom"/>
          </w:tcPr>
          <w:p w14:paraId="1D756F6D" w14:textId="77777777" w:rsidR="00D1587D" w:rsidRDefault="00D1587D">
            <w:pPr>
              <w:rPr>
                <w:sz w:val="20"/>
                <w:szCs w:val="20"/>
              </w:rPr>
            </w:pPr>
          </w:p>
        </w:tc>
      </w:tr>
      <w:tr w:rsidR="00D1587D" w14:paraId="6A43A6D3" w14:textId="77777777">
        <w:trPr>
          <w:trHeight w:val="418"/>
        </w:trPr>
        <w:tc>
          <w:tcPr>
            <w:tcW w:w="1040" w:type="dxa"/>
            <w:vAlign w:val="bottom"/>
          </w:tcPr>
          <w:p w14:paraId="6C6070CF" w14:textId="77777777" w:rsidR="00D1587D" w:rsidRDefault="00410D07">
            <w:pPr>
              <w:rPr>
                <w:sz w:val="20"/>
                <w:szCs w:val="20"/>
              </w:rPr>
            </w:pPr>
            <w:r>
              <w:rPr>
                <w:rFonts w:ascii="Arial" w:eastAsia="Arial" w:hAnsi="Arial" w:cs="Arial"/>
                <w:w w:val="97"/>
                <w:sz w:val="18"/>
                <w:szCs w:val="18"/>
              </w:rPr>
              <w:t>Section 5.01.</w:t>
            </w:r>
          </w:p>
        </w:tc>
        <w:tc>
          <w:tcPr>
            <w:tcW w:w="8280" w:type="dxa"/>
            <w:vAlign w:val="bottom"/>
          </w:tcPr>
          <w:p w14:paraId="4AD4A6DD" w14:textId="77777777" w:rsidR="00D1587D" w:rsidRDefault="00410D07">
            <w:pPr>
              <w:ind w:left="100"/>
              <w:rPr>
                <w:sz w:val="20"/>
                <w:szCs w:val="20"/>
              </w:rPr>
            </w:pPr>
            <w:r>
              <w:rPr>
                <w:rFonts w:ascii="Arial" w:eastAsia="Arial" w:hAnsi="Arial" w:cs="Arial"/>
                <w:i/>
                <w:iCs/>
                <w:sz w:val="18"/>
                <w:szCs w:val="18"/>
              </w:rPr>
              <w:t>Confidentiality</w:t>
            </w:r>
          </w:p>
        </w:tc>
        <w:tc>
          <w:tcPr>
            <w:tcW w:w="1920" w:type="dxa"/>
            <w:vAlign w:val="bottom"/>
          </w:tcPr>
          <w:p w14:paraId="5B125B41" w14:textId="77777777" w:rsidR="00D1587D" w:rsidRDefault="00410D07">
            <w:pPr>
              <w:jc w:val="right"/>
              <w:rPr>
                <w:sz w:val="20"/>
                <w:szCs w:val="20"/>
              </w:rPr>
            </w:pPr>
            <w:r>
              <w:rPr>
                <w:rFonts w:ascii="Arial" w:eastAsia="Arial" w:hAnsi="Arial" w:cs="Arial"/>
                <w:sz w:val="18"/>
                <w:szCs w:val="18"/>
              </w:rPr>
              <w:t>13</w:t>
            </w:r>
          </w:p>
        </w:tc>
      </w:tr>
      <w:tr w:rsidR="00D1587D" w14:paraId="75A3ACE0" w14:textId="77777777">
        <w:trPr>
          <w:trHeight w:val="216"/>
        </w:trPr>
        <w:tc>
          <w:tcPr>
            <w:tcW w:w="9320" w:type="dxa"/>
            <w:gridSpan w:val="2"/>
            <w:vAlign w:val="bottom"/>
          </w:tcPr>
          <w:p w14:paraId="4063E12B" w14:textId="77777777" w:rsidR="00D1587D" w:rsidRDefault="00410D07">
            <w:pPr>
              <w:rPr>
                <w:sz w:val="20"/>
                <w:szCs w:val="20"/>
              </w:rPr>
            </w:pPr>
            <w:r>
              <w:rPr>
                <w:rFonts w:ascii="Arial" w:eastAsia="Arial" w:hAnsi="Arial" w:cs="Arial"/>
                <w:sz w:val="18"/>
                <w:szCs w:val="18"/>
              </w:rPr>
              <w:t xml:space="preserve">Section 5.02.  </w:t>
            </w:r>
            <w:r>
              <w:rPr>
                <w:rFonts w:ascii="Arial" w:eastAsia="Arial" w:hAnsi="Arial" w:cs="Arial"/>
                <w:i/>
                <w:iCs/>
                <w:sz w:val="18"/>
                <w:szCs w:val="18"/>
              </w:rPr>
              <w:t xml:space="preserve">No Rights to Confidential </w:t>
            </w:r>
            <w:r>
              <w:rPr>
                <w:rFonts w:ascii="Arial" w:eastAsia="Arial" w:hAnsi="Arial" w:cs="Arial"/>
                <w:i/>
                <w:iCs/>
                <w:sz w:val="18"/>
                <w:szCs w:val="18"/>
              </w:rPr>
              <w:t>Information</w:t>
            </w:r>
          </w:p>
        </w:tc>
        <w:tc>
          <w:tcPr>
            <w:tcW w:w="1920" w:type="dxa"/>
            <w:vAlign w:val="bottom"/>
          </w:tcPr>
          <w:p w14:paraId="52C1F368" w14:textId="77777777" w:rsidR="00D1587D" w:rsidRDefault="00410D07">
            <w:pPr>
              <w:jc w:val="right"/>
              <w:rPr>
                <w:sz w:val="20"/>
                <w:szCs w:val="20"/>
              </w:rPr>
            </w:pPr>
            <w:r>
              <w:rPr>
                <w:rFonts w:ascii="Arial" w:eastAsia="Arial" w:hAnsi="Arial" w:cs="Arial"/>
                <w:sz w:val="18"/>
                <w:szCs w:val="18"/>
              </w:rPr>
              <w:t>13</w:t>
            </w:r>
          </w:p>
        </w:tc>
      </w:tr>
      <w:tr w:rsidR="00D1587D" w14:paraId="55584A58" w14:textId="77777777">
        <w:trPr>
          <w:trHeight w:val="216"/>
        </w:trPr>
        <w:tc>
          <w:tcPr>
            <w:tcW w:w="9320" w:type="dxa"/>
            <w:gridSpan w:val="2"/>
            <w:vAlign w:val="bottom"/>
          </w:tcPr>
          <w:p w14:paraId="232C143F" w14:textId="77777777" w:rsidR="00D1587D" w:rsidRDefault="00410D07">
            <w:pPr>
              <w:rPr>
                <w:sz w:val="20"/>
                <w:szCs w:val="20"/>
              </w:rPr>
            </w:pPr>
            <w:r>
              <w:rPr>
                <w:rFonts w:ascii="Arial" w:eastAsia="Arial" w:hAnsi="Arial" w:cs="Arial"/>
                <w:sz w:val="18"/>
                <w:szCs w:val="18"/>
              </w:rPr>
              <w:t xml:space="preserve">Section 5.03.  </w:t>
            </w:r>
            <w:r>
              <w:rPr>
                <w:rFonts w:ascii="Arial" w:eastAsia="Arial" w:hAnsi="Arial" w:cs="Arial"/>
                <w:i/>
                <w:iCs/>
                <w:sz w:val="18"/>
                <w:szCs w:val="18"/>
              </w:rPr>
              <w:t>Third Party Non-Disclosure Agreements</w:t>
            </w:r>
          </w:p>
        </w:tc>
        <w:tc>
          <w:tcPr>
            <w:tcW w:w="1920" w:type="dxa"/>
            <w:vAlign w:val="bottom"/>
          </w:tcPr>
          <w:p w14:paraId="6D118CED" w14:textId="77777777" w:rsidR="00D1587D" w:rsidRDefault="00410D07">
            <w:pPr>
              <w:jc w:val="right"/>
              <w:rPr>
                <w:sz w:val="20"/>
                <w:szCs w:val="20"/>
              </w:rPr>
            </w:pPr>
            <w:r>
              <w:rPr>
                <w:rFonts w:ascii="Arial" w:eastAsia="Arial" w:hAnsi="Arial" w:cs="Arial"/>
                <w:sz w:val="18"/>
                <w:szCs w:val="18"/>
              </w:rPr>
              <w:t>13</w:t>
            </w:r>
          </w:p>
        </w:tc>
      </w:tr>
      <w:tr w:rsidR="00D1587D" w14:paraId="34DC09DA" w14:textId="77777777">
        <w:trPr>
          <w:trHeight w:val="230"/>
        </w:trPr>
        <w:tc>
          <w:tcPr>
            <w:tcW w:w="1040" w:type="dxa"/>
            <w:vAlign w:val="bottom"/>
          </w:tcPr>
          <w:p w14:paraId="372901B0" w14:textId="77777777" w:rsidR="00D1587D" w:rsidRDefault="00410D07">
            <w:pPr>
              <w:rPr>
                <w:sz w:val="20"/>
                <w:szCs w:val="20"/>
              </w:rPr>
            </w:pPr>
            <w:r>
              <w:rPr>
                <w:rFonts w:ascii="Arial" w:eastAsia="Arial" w:hAnsi="Arial" w:cs="Arial"/>
                <w:w w:val="97"/>
                <w:sz w:val="18"/>
                <w:szCs w:val="18"/>
              </w:rPr>
              <w:t>Section 5.04.</w:t>
            </w:r>
          </w:p>
        </w:tc>
        <w:tc>
          <w:tcPr>
            <w:tcW w:w="8280" w:type="dxa"/>
            <w:vAlign w:val="bottom"/>
          </w:tcPr>
          <w:p w14:paraId="3B32901C" w14:textId="77777777" w:rsidR="00D1587D" w:rsidRDefault="00410D07">
            <w:pPr>
              <w:ind w:left="100"/>
              <w:rPr>
                <w:sz w:val="20"/>
                <w:szCs w:val="20"/>
              </w:rPr>
            </w:pPr>
            <w:r>
              <w:rPr>
                <w:rFonts w:ascii="Arial" w:eastAsia="Arial" w:hAnsi="Arial" w:cs="Arial"/>
                <w:i/>
                <w:iCs/>
                <w:sz w:val="18"/>
                <w:szCs w:val="18"/>
              </w:rPr>
              <w:t>Safeguards</w:t>
            </w:r>
          </w:p>
        </w:tc>
        <w:tc>
          <w:tcPr>
            <w:tcW w:w="1920" w:type="dxa"/>
            <w:vAlign w:val="bottom"/>
          </w:tcPr>
          <w:p w14:paraId="1DCF4D7A" w14:textId="77777777" w:rsidR="00D1587D" w:rsidRDefault="00410D07">
            <w:pPr>
              <w:jc w:val="right"/>
              <w:rPr>
                <w:sz w:val="20"/>
                <w:szCs w:val="20"/>
              </w:rPr>
            </w:pPr>
            <w:r>
              <w:rPr>
                <w:rFonts w:ascii="Arial" w:eastAsia="Arial" w:hAnsi="Arial" w:cs="Arial"/>
                <w:sz w:val="18"/>
                <w:szCs w:val="18"/>
              </w:rPr>
              <w:t>13</w:t>
            </w:r>
          </w:p>
        </w:tc>
      </w:tr>
      <w:tr w:rsidR="00D1587D" w14:paraId="2D7763AD" w14:textId="77777777">
        <w:trPr>
          <w:trHeight w:val="418"/>
        </w:trPr>
        <w:tc>
          <w:tcPr>
            <w:tcW w:w="1040" w:type="dxa"/>
            <w:vAlign w:val="bottom"/>
          </w:tcPr>
          <w:p w14:paraId="7872C370" w14:textId="77777777" w:rsidR="00D1587D" w:rsidRDefault="00D1587D">
            <w:pPr>
              <w:rPr>
                <w:sz w:val="24"/>
                <w:szCs w:val="24"/>
              </w:rPr>
            </w:pPr>
          </w:p>
        </w:tc>
        <w:tc>
          <w:tcPr>
            <w:tcW w:w="8280" w:type="dxa"/>
            <w:vAlign w:val="bottom"/>
          </w:tcPr>
          <w:p w14:paraId="65C09852" w14:textId="77777777" w:rsidR="00D1587D" w:rsidRDefault="00410D07">
            <w:pPr>
              <w:ind w:left="790"/>
              <w:jc w:val="center"/>
              <w:rPr>
                <w:sz w:val="20"/>
                <w:szCs w:val="20"/>
              </w:rPr>
            </w:pPr>
            <w:r>
              <w:rPr>
                <w:rFonts w:ascii="Arial" w:eastAsia="Arial" w:hAnsi="Arial" w:cs="Arial"/>
                <w:w w:val="96"/>
                <w:sz w:val="18"/>
                <w:szCs w:val="18"/>
              </w:rPr>
              <w:t>ARTICLE 6</w:t>
            </w:r>
          </w:p>
        </w:tc>
        <w:tc>
          <w:tcPr>
            <w:tcW w:w="1920" w:type="dxa"/>
            <w:vAlign w:val="bottom"/>
          </w:tcPr>
          <w:p w14:paraId="28A06CB7" w14:textId="77777777" w:rsidR="00D1587D" w:rsidRDefault="00D1587D">
            <w:pPr>
              <w:rPr>
                <w:sz w:val="24"/>
                <w:szCs w:val="24"/>
              </w:rPr>
            </w:pPr>
          </w:p>
        </w:tc>
      </w:tr>
      <w:tr w:rsidR="00D1587D" w14:paraId="609C9BB9" w14:textId="77777777">
        <w:trPr>
          <w:trHeight w:val="230"/>
        </w:trPr>
        <w:tc>
          <w:tcPr>
            <w:tcW w:w="1040" w:type="dxa"/>
            <w:vAlign w:val="bottom"/>
          </w:tcPr>
          <w:p w14:paraId="5837AA5B" w14:textId="77777777" w:rsidR="00D1587D" w:rsidRDefault="00D1587D">
            <w:pPr>
              <w:rPr>
                <w:sz w:val="20"/>
                <w:szCs w:val="20"/>
              </w:rPr>
            </w:pPr>
          </w:p>
        </w:tc>
        <w:tc>
          <w:tcPr>
            <w:tcW w:w="8280" w:type="dxa"/>
            <w:vAlign w:val="bottom"/>
          </w:tcPr>
          <w:p w14:paraId="6A8F3BF9" w14:textId="77777777" w:rsidR="00D1587D" w:rsidRDefault="00410D07">
            <w:pPr>
              <w:ind w:left="790"/>
              <w:jc w:val="center"/>
              <w:rPr>
                <w:sz w:val="20"/>
                <w:szCs w:val="20"/>
              </w:rPr>
            </w:pPr>
            <w:r>
              <w:rPr>
                <w:rFonts w:ascii="Arial" w:eastAsia="Arial" w:hAnsi="Arial" w:cs="Arial"/>
                <w:sz w:val="18"/>
                <w:szCs w:val="18"/>
              </w:rPr>
              <w:t>INDEMNIFICATION; LIMITATION OF LIABILITY</w:t>
            </w:r>
          </w:p>
        </w:tc>
        <w:tc>
          <w:tcPr>
            <w:tcW w:w="1920" w:type="dxa"/>
            <w:vAlign w:val="bottom"/>
          </w:tcPr>
          <w:p w14:paraId="13FCB446" w14:textId="77777777" w:rsidR="00D1587D" w:rsidRDefault="00D1587D">
            <w:pPr>
              <w:rPr>
                <w:sz w:val="20"/>
                <w:szCs w:val="20"/>
              </w:rPr>
            </w:pPr>
          </w:p>
        </w:tc>
      </w:tr>
      <w:tr w:rsidR="00D1587D" w14:paraId="2C3FC6AF" w14:textId="77777777">
        <w:trPr>
          <w:trHeight w:val="418"/>
        </w:trPr>
        <w:tc>
          <w:tcPr>
            <w:tcW w:w="1040" w:type="dxa"/>
            <w:vAlign w:val="bottom"/>
          </w:tcPr>
          <w:p w14:paraId="730EEE2F" w14:textId="77777777" w:rsidR="00D1587D" w:rsidRDefault="00410D07">
            <w:pPr>
              <w:rPr>
                <w:sz w:val="20"/>
                <w:szCs w:val="20"/>
              </w:rPr>
            </w:pPr>
            <w:r>
              <w:rPr>
                <w:rFonts w:ascii="Arial" w:eastAsia="Arial" w:hAnsi="Arial" w:cs="Arial"/>
                <w:w w:val="97"/>
                <w:sz w:val="18"/>
                <w:szCs w:val="18"/>
              </w:rPr>
              <w:t>Section 6.01.</w:t>
            </w:r>
          </w:p>
        </w:tc>
        <w:tc>
          <w:tcPr>
            <w:tcW w:w="8280" w:type="dxa"/>
            <w:vAlign w:val="bottom"/>
          </w:tcPr>
          <w:p w14:paraId="1ED46315" w14:textId="77777777" w:rsidR="00D1587D" w:rsidRDefault="00410D07">
            <w:pPr>
              <w:ind w:left="100"/>
              <w:rPr>
                <w:sz w:val="20"/>
                <w:szCs w:val="20"/>
              </w:rPr>
            </w:pPr>
            <w:r>
              <w:rPr>
                <w:rFonts w:ascii="Arial" w:eastAsia="Arial" w:hAnsi="Arial" w:cs="Arial"/>
                <w:i/>
                <w:iCs/>
                <w:sz w:val="18"/>
                <w:szCs w:val="18"/>
              </w:rPr>
              <w:t>Indemnification</w:t>
            </w:r>
          </w:p>
        </w:tc>
        <w:tc>
          <w:tcPr>
            <w:tcW w:w="1920" w:type="dxa"/>
            <w:vAlign w:val="bottom"/>
          </w:tcPr>
          <w:p w14:paraId="54E9E695" w14:textId="77777777" w:rsidR="00D1587D" w:rsidRDefault="00410D07">
            <w:pPr>
              <w:jc w:val="right"/>
              <w:rPr>
                <w:sz w:val="20"/>
                <w:szCs w:val="20"/>
              </w:rPr>
            </w:pPr>
            <w:r>
              <w:rPr>
                <w:rFonts w:ascii="Arial" w:eastAsia="Arial" w:hAnsi="Arial" w:cs="Arial"/>
                <w:sz w:val="18"/>
                <w:szCs w:val="18"/>
              </w:rPr>
              <w:t>14</w:t>
            </w:r>
          </w:p>
        </w:tc>
      </w:tr>
      <w:tr w:rsidR="00D1587D" w14:paraId="634E7470" w14:textId="77777777">
        <w:trPr>
          <w:trHeight w:val="216"/>
        </w:trPr>
        <w:tc>
          <w:tcPr>
            <w:tcW w:w="9320" w:type="dxa"/>
            <w:gridSpan w:val="2"/>
            <w:vAlign w:val="bottom"/>
          </w:tcPr>
          <w:p w14:paraId="25B5F846" w14:textId="77777777" w:rsidR="00D1587D" w:rsidRDefault="00410D07">
            <w:pPr>
              <w:rPr>
                <w:sz w:val="20"/>
                <w:szCs w:val="20"/>
              </w:rPr>
            </w:pPr>
            <w:r>
              <w:rPr>
                <w:rFonts w:ascii="Arial" w:eastAsia="Arial" w:hAnsi="Arial" w:cs="Arial"/>
                <w:sz w:val="18"/>
                <w:szCs w:val="18"/>
              </w:rPr>
              <w:t xml:space="preserve">Section 6.02.  </w:t>
            </w:r>
            <w:r>
              <w:rPr>
                <w:rFonts w:ascii="Arial" w:eastAsia="Arial" w:hAnsi="Arial" w:cs="Arial"/>
                <w:i/>
                <w:iCs/>
                <w:sz w:val="18"/>
                <w:szCs w:val="18"/>
              </w:rPr>
              <w:t>Third Party Claim Procedures</w:t>
            </w:r>
          </w:p>
        </w:tc>
        <w:tc>
          <w:tcPr>
            <w:tcW w:w="1920" w:type="dxa"/>
            <w:vAlign w:val="bottom"/>
          </w:tcPr>
          <w:p w14:paraId="510260F5" w14:textId="77777777" w:rsidR="00D1587D" w:rsidRDefault="00410D07">
            <w:pPr>
              <w:jc w:val="right"/>
              <w:rPr>
                <w:sz w:val="20"/>
                <w:szCs w:val="20"/>
              </w:rPr>
            </w:pPr>
            <w:r>
              <w:rPr>
                <w:rFonts w:ascii="Arial" w:eastAsia="Arial" w:hAnsi="Arial" w:cs="Arial"/>
                <w:sz w:val="18"/>
                <w:szCs w:val="18"/>
              </w:rPr>
              <w:t>14</w:t>
            </w:r>
          </w:p>
        </w:tc>
      </w:tr>
      <w:tr w:rsidR="00D1587D" w14:paraId="4F35398D" w14:textId="77777777">
        <w:trPr>
          <w:trHeight w:val="216"/>
        </w:trPr>
        <w:tc>
          <w:tcPr>
            <w:tcW w:w="9320" w:type="dxa"/>
            <w:gridSpan w:val="2"/>
            <w:vAlign w:val="bottom"/>
          </w:tcPr>
          <w:p w14:paraId="53D5D9EF" w14:textId="77777777" w:rsidR="00D1587D" w:rsidRDefault="00410D07">
            <w:pPr>
              <w:rPr>
                <w:sz w:val="20"/>
                <w:szCs w:val="20"/>
              </w:rPr>
            </w:pPr>
            <w:r>
              <w:rPr>
                <w:rFonts w:ascii="Arial" w:eastAsia="Arial" w:hAnsi="Arial" w:cs="Arial"/>
                <w:sz w:val="18"/>
                <w:szCs w:val="18"/>
              </w:rPr>
              <w:t xml:space="preserve">Section 6.03.  </w:t>
            </w:r>
            <w:r>
              <w:rPr>
                <w:rFonts w:ascii="Arial" w:eastAsia="Arial" w:hAnsi="Arial" w:cs="Arial"/>
                <w:i/>
                <w:iCs/>
                <w:sz w:val="18"/>
                <w:szCs w:val="18"/>
              </w:rPr>
              <w:t>Direct Claim Procedures</w:t>
            </w:r>
          </w:p>
        </w:tc>
        <w:tc>
          <w:tcPr>
            <w:tcW w:w="1920" w:type="dxa"/>
            <w:vAlign w:val="bottom"/>
          </w:tcPr>
          <w:p w14:paraId="4E167938" w14:textId="77777777" w:rsidR="00D1587D" w:rsidRDefault="00410D07">
            <w:pPr>
              <w:jc w:val="right"/>
              <w:rPr>
                <w:sz w:val="20"/>
                <w:szCs w:val="20"/>
              </w:rPr>
            </w:pPr>
            <w:r>
              <w:rPr>
                <w:rFonts w:ascii="Arial" w:eastAsia="Arial" w:hAnsi="Arial" w:cs="Arial"/>
                <w:sz w:val="18"/>
                <w:szCs w:val="18"/>
              </w:rPr>
              <w:t>15</w:t>
            </w:r>
          </w:p>
        </w:tc>
      </w:tr>
      <w:tr w:rsidR="00D1587D" w14:paraId="6E4794C0" w14:textId="77777777">
        <w:trPr>
          <w:trHeight w:val="216"/>
        </w:trPr>
        <w:tc>
          <w:tcPr>
            <w:tcW w:w="9320" w:type="dxa"/>
            <w:gridSpan w:val="2"/>
            <w:vAlign w:val="bottom"/>
          </w:tcPr>
          <w:p w14:paraId="47EDB8C1" w14:textId="77777777" w:rsidR="00D1587D" w:rsidRDefault="00410D07">
            <w:pPr>
              <w:rPr>
                <w:sz w:val="20"/>
                <w:szCs w:val="20"/>
              </w:rPr>
            </w:pPr>
            <w:r>
              <w:rPr>
                <w:rFonts w:ascii="Arial" w:eastAsia="Arial" w:hAnsi="Arial" w:cs="Arial"/>
                <w:sz w:val="18"/>
                <w:szCs w:val="18"/>
              </w:rPr>
              <w:t xml:space="preserve">Section 6.04.  </w:t>
            </w:r>
            <w:r>
              <w:rPr>
                <w:rFonts w:ascii="Arial" w:eastAsia="Arial" w:hAnsi="Arial" w:cs="Arial"/>
                <w:i/>
                <w:iCs/>
                <w:sz w:val="18"/>
                <w:szCs w:val="18"/>
              </w:rPr>
              <w:t>Calculation of Damages</w:t>
            </w:r>
          </w:p>
        </w:tc>
        <w:tc>
          <w:tcPr>
            <w:tcW w:w="1920" w:type="dxa"/>
            <w:vAlign w:val="bottom"/>
          </w:tcPr>
          <w:p w14:paraId="05D5987D" w14:textId="77777777" w:rsidR="00D1587D" w:rsidRDefault="00410D07">
            <w:pPr>
              <w:jc w:val="right"/>
              <w:rPr>
                <w:sz w:val="20"/>
                <w:szCs w:val="20"/>
              </w:rPr>
            </w:pPr>
            <w:r>
              <w:rPr>
                <w:rFonts w:ascii="Arial" w:eastAsia="Arial" w:hAnsi="Arial" w:cs="Arial"/>
                <w:sz w:val="18"/>
                <w:szCs w:val="18"/>
              </w:rPr>
              <w:t>15</w:t>
            </w:r>
          </w:p>
        </w:tc>
      </w:tr>
      <w:tr w:rsidR="00D1587D" w14:paraId="4ECD4BB9" w14:textId="77777777">
        <w:trPr>
          <w:trHeight w:val="216"/>
        </w:trPr>
        <w:tc>
          <w:tcPr>
            <w:tcW w:w="1040" w:type="dxa"/>
            <w:vAlign w:val="bottom"/>
          </w:tcPr>
          <w:p w14:paraId="4B22836F" w14:textId="77777777" w:rsidR="00D1587D" w:rsidRDefault="00410D07">
            <w:pPr>
              <w:rPr>
                <w:sz w:val="20"/>
                <w:szCs w:val="20"/>
              </w:rPr>
            </w:pPr>
            <w:r>
              <w:rPr>
                <w:rFonts w:ascii="Arial" w:eastAsia="Arial" w:hAnsi="Arial" w:cs="Arial"/>
                <w:w w:val="97"/>
                <w:sz w:val="18"/>
                <w:szCs w:val="18"/>
              </w:rPr>
              <w:t>Section 6.05.</w:t>
            </w:r>
          </w:p>
        </w:tc>
        <w:tc>
          <w:tcPr>
            <w:tcW w:w="8280" w:type="dxa"/>
            <w:vAlign w:val="bottom"/>
          </w:tcPr>
          <w:p w14:paraId="06191291" w14:textId="77777777" w:rsidR="00D1587D" w:rsidRDefault="00410D07">
            <w:pPr>
              <w:ind w:left="100"/>
              <w:rPr>
                <w:sz w:val="20"/>
                <w:szCs w:val="20"/>
              </w:rPr>
            </w:pPr>
            <w:r>
              <w:rPr>
                <w:rFonts w:ascii="Arial" w:eastAsia="Arial" w:hAnsi="Arial" w:cs="Arial"/>
                <w:i/>
                <w:iCs/>
                <w:sz w:val="18"/>
                <w:szCs w:val="18"/>
              </w:rPr>
              <w:t>No Warranties</w:t>
            </w:r>
          </w:p>
        </w:tc>
        <w:tc>
          <w:tcPr>
            <w:tcW w:w="1920" w:type="dxa"/>
            <w:vAlign w:val="bottom"/>
          </w:tcPr>
          <w:p w14:paraId="0AEA04F8" w14:textId="77777777" w:rsidR="00D1587D" w:rsidRDefault="00410D07">
            <w:pPr>
              <w:jc w:val="right"/>
              <w:rPr>
                <w:sz w:val="20"/>
                <w:szCs w:val="20"/>
              </w:rPr>
            </w:pPr>
            <w:r>
              <w:rPr>
                <w:rFonts w:ascii="Arial" w:eastAsia="Arial" w:hAnsi="Arial" w:cs="Arial"/>
                <w:sz w:val="18"/>
                <w:szCs w:val="18"/>
              </w:rPr>
              <w:t>15</w:t>
            </w:r>
          </w:p>
        </w:tc>
      </w:tr>
      <w:tr w:rsidR="00D1587D" w14:paraId="59FF73A2" w14:textId="77777777">
        <w:trPr>
          <w:trHeight w:val="230"/>
        </w:trPr>
        <w:tc>
          <w:tcPr>
            <w:tcW w:w="9320" w:type="dxa"/>
            <w:gridSpan w:val="2"/>
            <w:vAlign w:val="bottom"/>
          </w:tcPr>
          <w:p w14:paraId="34DEE9CD" w14:textId="77777777" w:rsidR="00D1587D" w:rsidRDefault="00410D07">
            <w:pPr>
              <w:rPr>
                <w:sz w:val="20"/>
                <w:szCs w:val="20"/>
              </w:rPr>
            </w:pPr>
            <w:r>
              <w:rPr>
                <w:rFonts w:ascii="Arial" w:eastAsia="Arial" w:hAnsi="Arial" w:cs="Arial"/>
                <w:sz w:val="18"/>
                <w:szCs w:val="18"/>
              </w:rPr>
              <w:t xml:space="preserve">Section 6.06.  </w:t>
            </w:r>
            <w:r>
              <w:rPr>
                <w:rFonts w:ascii="Arial" w:eastAsia="Arial" w:hAnsi="Arial" w:cs="Arial"/>
                <w:i/>
                <w:iCs/>
                <w:sz w:val="18"/>
                <w:szCs w:val="18"/>
              </w:rPr>
              <w:t>Limitation of Liability; Exclusion of Damages</w:t>
            </w:r>
          </w:p>
        </w:tc>
        <w:tc>
          <w:tcPr>
            <w:tcW w:w="1920" w:type="dxa"/>
            <w:vAlign w:val="bottom"/>
          </w:tcPr>
          <w:p w14:paraId="66BC1F08" w14:textId="77777777" w:rsidR="00D1587D" w:rsidRDefault="00410D07">
            <w:pPr>
              <w:jc w:val="right"/>
              <w:rPr>
                <w:sz w:val="20"/>
                <w:szCs w:val="20"/>
              </w:rPr>
            </w:pPr>
            <w:r>
              <w:rPr>
                <w:rFonts w:ascii="Arial" w:eastAsia="Arial" w:hAnsi="Arial" w:cs="Arial"/>
                <w:sz w:val="18"/>
                <w:szCs w:val="18"/>
              </w:rPr>
              <w:t>15</w:t>
            </w:r>
          </w:p>
        </w:tc>
      </w:tr>
      <w:tr w:rsidR="00D1587D" w14:paraId="792D3C61" w14:textId="77777777">
        <w:trPr>
          <w:trHeight w:val="418"/>
        </w:trPr>
        <w:tc>
          <w:tcPr>
            <w:tcW w:w="1040" w:type="dxa"/>
            <w:vAlign w:val="bottom"/>
          </w:tcPr>
          <w:p w14:paraId="3804061D" w14:textId="77777777" w:rsidR="00D1587D" w:rsidRDefault="00D1587D">
            <w:pPr>
              <w:rPr>
                <w:sz w:val="24"/>
                <w:szCs w:val="24"/>
              </w:rPr>
            </w:pPr>
          </w:p>
        </w:tc>
        <w:tc>
          <w:tcPr>
            <w:tcW w:w="8280" w:type="dxa"/>
            <w:vAlign w:val="bottom"/>
          </w:tcPr>
          <w:p w14:paraId="0D6B4E78" w14:textId="77777777" w:rsidR="00D1587D" w:rsidRDefault="00410D07">
            <w:pPr>
              <w:ind w:left="790"/>
              <w:jc w:val="center"/>
              <w:rPr>
                <w:sz w:val="20"/>
                <w:szCs w:val="20"/>
              </w:rPr>
            </w:pPr>
            <w:r>
              <w:rPr>
                <w:rFonts w:ascii="Arial" w:eastAsia="Arial" w:hAnsi="Arial" w:cs="Arial"/>
                <w:w w:val="96"/>
                <w:sz w:val="18"/>
                <w:szCs w:val="18"/>
              </w:rPr>
              <w:t>ARTICLE 7</w:t>
            </w:r>
          </w:p>
        </w:tc>
        <w:tc>
          <w:tcPr>
            <w:tcW w:w="1920" w:type="dxa"/>
            <w:vAlign w:val="bottom"/>
          </w:tcPr>
          <w:p w14:paraId="68AE1374" w14:textId="77777777" w:rsidR="00D1587D" w:rsidRDefault="00D1587D">
            <w:pPr>
              <w:rPr>
                <w:sz w:val="24"/>
                <w:szCs w:val="24"/>
              </w:rPr>
            </w:pPr>
          </w:p>
        </w:tc>
      </w:tr>
      <w:tr w:rsidR="00D1587D" w14:paraId="51647698" w14:textId="77777777">
        <w:trPr>
          <w:trHeight w:val="230"/>
        </w:trPr>
        <w:tc>
          <w:tcPr>
            <w:tcW w:w="1040" w:type="dxa"/>
            <w:vAlign w:val="bottom"/>
          </w:tcPr>
          <w:p w14:paraId="57723D03" w14:textId="77777777" w:rsidR="00D1587D" w:rsidRDefault="00D1587D">
            <w:pPr>
              <w:rPr>
                <w:sz w:val="20"/>
                <w:szCs w:val="20"/>
              </w:rPr>
            </w:pPr>
          </w:p>
        </w:tc>
        <w:tc>
          <w:tcPr>
            <w:tcW w:w="8280" w:type="dxa"/>
            <w:vAlign w:val="bottom"/>
          </w:tcPr>
          <w:p w14:paraId="549B8BF5" w14:textId="77777777" w:rsidR="00D1587D" w:rsidRDefault="00410D07">
            <w:pPr>
              <w:ind w:left="810"/>
              <w:jc w:val="center"/>
              <w:rPr>
                <w:sz w:val="20"/>
                <w:szCs w:val="20"/>
              </w:rPr>
            </w:pPr>
            <w:r>
              <w:rPr>
                <w:rFonts w:ascii="Arial" w:eastAsia="Arial" w:hAnsi="Arial" w:cs="Arial"/>
                <w:w w:val="95"/>
                <w:sz w:val="18"/>
                <w:szCs w:val="18"/>
              </w:rPr>
              <w:t>TERMINATION OF SERVICES</w:t>
            </w:r>
          </w:p>
        </w:tc>
        <w:tc>
          <w:tcPr>
            <w:tcW w:w="1920" w:type="dxa"/>
            <w:vAlign w:val="bottom"/>
          </w:tcPr>
          <w:p w14:paraId="6E55171C" w14:textId="77777777" w:rsidR="00D1587D" w:rsidRDefault="00D1587D">
            <w:pPr>
              <w:rPr>
                <w:sz w:val="20"/>
                <w:szCs w:val="20"/>
              </w:rPr>
            </w:pPr>
          </w:p>
        </w:tc>
      </w:tr>
      <w:tr w:rsidR="00D1587D" w14:paraId="0899EA1B" w14:textId="77777777">
        <w:trPr>
          <w:trHeight w:val="418"/>
        </w:trPr>
        <w:tc>
          <w:tcPr>
            <w:tcW w:w="1040" w:type="dxa"/>
            <w:vAlign w:val="bottom"/>
          </w:tcPr>
          <w:p w14:paraId="162694F1" w14:textId="77777777" w:rsidR="00D1587D" w:rsidRDefault="00410D07">
            <w:pPr>
              <w:rPr>
                <w:sz w:val="20"/>
                <w:szCs w:val="20"/>
              </w:rPr>
            </w:pPr>
            <w:r>
              <w:rPr>
                <w:rFonts w:ascii="Arial" w:eastAsia="Arial" w:hAnsi="Arial" w:cs="Arial"/>
                <w:w w:val="97"/>
                <w:sz w:val="18"/>
                <w:szCs w:val="18"/>
              </w:rPr>
              <w:t>Section 7.01.</w:t>
            </w:r>
          </w:p>
        </w:tc>
        <w:tc>
          <w:tcPr>
            <w:tcW w:w="8280" w:type="dxa"/>
            <w:vAlign w:val="bottom"/>
          </w:tcPr>
          <w:p w14:paraId="612C8E5B" w14:textId="77777777" w:rsidR="00D1587D" w:rsidRDefault="00410D07">
            <w:pPr>
              <w:ind w:left="100"/>
              <w:rPr>
                <w:sz w:val="20"/>
                <w:szCs w:val="20"/>
              </w:rPr>
            </w:pPr>
            <w:r>
              <w:rPr>
                <w:rFonts w:ascii="Arial" w:eastAsia="Arial" w:hAnsi="Arial" w:cs="Arial"/>
                <w:i/>
                <w:iCs/>
                <w:sz w:val="18"/>
                <w:szCs w:val="18"/>
              </w:rPr>
              <w:t>Termination</w:t>
            </w:r>
          </w:p>
        </w:tc>
        <w:tc>
          <w:tcPr>
            <w:tcW w:w="1920" w:type="dxa"/>
            <w:vAlign w:val="bottom"/>
          </w:tcPr>
          <w:p w14:paraId="055E2ABB" w14:textId="77777777" w:rsidR="00D1587D" w:rsidRDefault="00410D07">
            <w:pPr>
              <w:jc w:val="right"/>
              <w:rPr>
                <w:sz w:val="20"/>
                <w:szCs w:val="20"/>
              </w:rPr>
            </w:pPr>
            <w:r>
              <w:rPr>
                <w:rFonts w:ascii="Arial" w:eastAsia="Arial" w:hAnsi="Arial" w:cs="Arial"/>
                <w:sz w:val="18"/>
                <w:szCs w:val="18"/>
              </w:rPr>
              <w:t>16</w:t>
            </w:r>
          </w:p>
        </w:tc>
      </w:tr>
      <w:tr w:rsidR="00D1587D" w14:paraId="7747CDCF" w14:textId="77777777">
        <w:trPr>
          <w:trHeight w:val="230"/>
        </w:trPr>
        <w:tc>
          <w:tcPr>
            <w:tcW w:w="9320" w:type="dxa"/>
            <w:gridSpan w:val="2"/>
            <w:vAlign w:val="bottom"/>
          </w:tcPr>
          <w:p w14:paraId="13B6BAB2" w14:textId="77777777" w:rsidR="00D1587D" w:rsidRDefault="00410D07">
            <w:pPr>
              <w:rPr>
                <w:sz w:val="20"/>
                <w:szCs w:val="20"/>
              </w:rPr>
            </w:pPr>
            <w:r>
              <w:rPr>
                <w:rFonts w:ascii="Arial" w:eastAsia="Arial" w:hAnsi="Arial" w:cs="Arial"/>
                <w:sz w:val="18"/>
                <w:szCs w:val="18"/>
              </w:rPr>
              <w:t xml:space="preserve">Section 7.02.  </w:t>
            </w:r>
            <w:r>
              <w:rPr>
                <w:rFonts w:ascii="Arial" w:eastAsia="Arial" w:hAnsi="Arial" w:cs="Arial"/>
                <w:i/>
                <w:iCs/>
                <w:sz w:val="18"/>
                <w:szCs w:val="18"/>
              </w:rPr>
              <w:t>Effect of Termination</w:t>
            </w:r>
          </w:p>
        </w:tc>
        <w:tc>
          <w:tcPr>
            <w:tcW w:w="1920" w:type="dxa"/>
            <w:vAlign w:val="bottom"/>
          </w:tcPr>
          <w:p w14:paraId="6424EA92" w14:textId="77777777" w:rsidR="00D1587D" w:rsidRDefault="00410D07">
            <w:pPr>
              <w:jc w:val="right"/>
              <w:rPr>
                <w:sz w:val="20"/>
                <w:szCs w:val="20"/>
              </w:rPr>
            </w:pPr>
            <w:r>
              <w:rPr>
                <w:rFonts w:ascii="Arial" w:eastAsia="Arial" w:hAnsi="Arial" w:cs="Arial"/>
                <w:sz w:val="18"/>
                <w:szCs w:val="18"/>
              </w:rPr>
              <w:t>17</w:t>
            </w:r>
          </w:p>
        </w:tc>
      </w:tr>
      <w:tr w:rsidR="00D1587D" w14:paraId="5D822AC8" w14:textId="77777777">
        <w:trPr>
          <w:trHeight w:val="418"/>
        </w:trPr>
        <w:tc>
          <w:tcPr>
            <w:tcW w:w="1040" w:type="dxa"/>
            <w:vAlign w:val="bottom"/>
          </w:tcPr>
          <w:p w14:paraId="18AF782F" w14:textId="77777777" w:rsidR="00D1587D" w:rsidRDefault="00D1587D">
            <w:pPr>
              <w:rPr>
                <w:sz w:val="24"/>
                <w:szCs w:val="24"/>
              </w:rPr>
            </w:pPr>
          </w:p>
        </w:tc>
        <w:tc>
          <w:tcPr>
            <w:tcW w:w="8280" w:type="dxa"/>
            <w:vAlign w:val="bottom"/>
          </w:tcPr>
          <w:p w14:paraId="1EA271D4" w14:textId="77777777" w:rsidR="00D1587D" w:rsidRDefault="00410D07">
            <w:pPr>
              <w:ind w:left="790"/>
              <w:jc w:val="center"/>
              <w:rPr>
                <w:sz w:val="20"/>
                <w:szCs w:val="20"/>
              </w:rPr>
            </w:pPr>
            <w:r>
              <w:rPr>
                <w:rFonts w:ascii="Arial" w:eastAsia="Arial" w:hAnsi="Arial" w:cs="Arial"/>
                <w:w w:val="96"/>
                <w:sz w:val="18"/>
                <w:szCs w:val="18"/>
              </w:rPr>
              <w:t>ARTICLE 8</w:t>
            </w:r>
          </w:p>
        </w:tc>
        <w:tc>
          <w:tcPr>
            <w:tcW w:w="1920" w:type="dxa"/>
            <w:vAlign w:val="bottom"/>
          </w:tcPr>
          <w:p w14:paraId="58F581D2" w14:textId="77777777" w:rsidR="00D1587D" w:rsidRDefault="00D1587D">
            <w:pPr>
              <w:rPr>
                <w:sz w:val="24"/>
                <w:szCs w:val="24"/>
              </w:rPr>
            </w:pPr>
          </w:p>
        </w:tc>
      </w:tr>
      <w:tr w:rsidR="00D1587D" w14:paraId="64C2443C" w14:textId="77777777">
        <w:trPr>
          <w:trHeight w:val="230"/>
        </w:trPr>
        <w:tc>
          <w:tcPr>
            <w:tcW w:w="1040" w:type="dxa"/>
            <w:vAlign w:val="bottom"/>
          </w:tcPr>
          <w:p w14:paraId="65B01E29" w14:textId="77777777" w:rsidR="00D1587D" w:rsidRDefault="00D1587D">
            <w:pPr>
              <w:rPr>
                <w:sz w:val="20"/>
                <w:szCs w:val="20"/>
              </w:rPr>
            </w:pPr>
          </w:p>
        </w:tc>
        <w:tc>
          <w:tcPr>
            <w:tcW w:w="8280" w:type="dxa"/>
            <w:vAlign w:val="bottom"/>
          </w:tcPr>
          <w:p w14:paraId="3081ED20" w14:textId="77777777" w:rsidR="00D1587D" w:rsidRDefault="00410D07">
            <w:pPr>
              <w:ind w:left="790"/>
              <w:jc w:val="center"/>
              <w:rPr>
                <w:sz w:val="20"/>
                <w:szCs w:val="20"/>
              </w:rPr>
            </w:pPr>
            <w:r>
              <w:rPr>
                <w:rFonts w:ascii="Arial" w:eastAsia="Arial" w:hAnsi="Arial" w:cs="Arial"/>
                <w:w w:val="95"/>
                <w:sz w:val="18"/>
                <w:szCs w:val="18"/>
              </w:rPr>
              <w:t>REPRESENTATIONS AND WARRANTIES</w:t>
            </w:r>
          </w:p>
        </w:tc>
        <w:tc>
          <w:tcPr>
            <w:tcW w:w="1920" w:type="dxa"/>
            <w:vAlign w:val="bottom"/>
          </w:tcPr>
          <w:p w14:paraId="0372C37D" w14:textId="77777777" w:rsidR="00D1587D" w:rsidRDefault="00D1587D">
            <w:pPr>
              <w:rPr>
                <w:sz w:val="20"/>
                <w:szCs w:val="20"/>
              </w:rPr>
            </w:pPr>
          </w:p>
        </w:tc>
      </w:tr>
      <w:tr w:rsidR="00D1587D" w14:paraId="0A1C0C94" w14:textId="77777777">
        <w:trPr>
          <w:trHeight w:val="418"/>
        </w:trPr>
        <w:tc>
          <w:tcPr>
            <w:tcW w:w="9320" w:type="dxa"/>
            <w:gridSpan w:val="2"/>
            <w:vAlign w:val="bottom"/>
          </w:tcPr>
          <w:p w14:paraId="0BC0A9FC" w14:textId="77777777" w:rsidR="00D1587D" w:rsidRDefault="00410D07">
            <w:pPr>
              <w:rPr>
                <w:sz w:val="20"/>
                <w:szCs w:val="20"/>
              </w:rPr>
            </w:pPr>
            <w:r>
              <w:rPr>
                <w:rFonts w:ascii="Arial" w:eastAsia="Arial" w:hAnsi="Arial" w:cs="Arial"/>
                <w:sz w:val="18"/>
                <w:szCs w:val="18"/>
              </w:rPr>
              <w:t xml:space="preserve">Section 8.01.  </w:t>
            </w:r>
            <w:r>
              <w:rPr>
                <w:rFonts w:ascii="Arial" w:eastAsia="Arial" w:hAnsi="Arial" w:cs="Arial"/>
                <w:i/>
                <w:iCs/>
                <w:sz w:val="18"/>
                <w:szCs w:val="18"/>
              </w:rPr>
              <w:t>Representations and Warranties of Service Provider</w:t>
            </w:r>
          </w:p>
        </w:tc>
        <w:tc>
          <w:tcPr>
            <w:tcW w:w="1920" w:type="dxa"/>
            <w:vAlign w:val="bottom"/>
          </w:tcPr>
          <w:p w14:paraId="7945E982" w14:textId="77777777" w:rsidR="00D1587D" w:rsidRDefault="00410D07">
            <w:pPr>
              <w:jc w:val="right"/>
              <w:rPr>
                <w:sz w:val="20"/>
                <w:szCs w:val="20"/>
              </w:rPr>
            </w:pPr>
            <w:r>
              <w:rPr>
                <w:rFonts w:ascii="Arial" w:eastAsia="Arial" w:hAnsi="Arial" w:cs="Arial"/>
                <w:sz w:val="18"/>
                <w:szCs w:val="18"/>
              </w:rPr>
              <w:t>17</w:t>
            </w:r>
          </w:p>
        </w:tc>
      </w:tr>
      <w:tr w:rsidR="00D1587D" w14:paraId="57479BF2" w14:textId="77777777">
        <w:trPr>
          <w:trHeight w:val="230"/>
        </w:trPr>
        <w:tc>
          <w:tcPr>
            <w:tcW w:w="9320" w:type="dxa"/>
            <w:gridSpan w:val="2"/>
            <w:vAlign w:val="bottom"/>
          </w:tcPr>
          <w:p w14:paraId="711B300D" w14:textId="77777777" w:rsidR="00D1587D" w:rsidRDefault="00410D07">
            <w:pPr>
              <w:rPr>
                <w:sz w:val="20"/>
                <w:szCs w:val="20"/>
              </w:rPr>
            </w:pPr>
            <w:r>
              <w:rPr>
                <w:rFonts w:ascii="Arial" w:eastAsia="Arial" w:hAnsi="Arial" w:cs="Arial"/>
                <w:sz w:val="18"/>
                <w:szCs w:val="18"/>
              </w:rPr>
              <w:t xml:space="preserve">Section 8.02.  </w:t>
            </w:r>
            <w:r>
              <w:rPr>
                <w:rFonts w:ascii="Arial" w:eastAsia="Arial" w:hAnsi="Arial" w:cs="Arial"/>
                <w:i/>
                <w:iCs/>
                <w:sz w:val="18"/>
                <w:szCs w:val="18"/>
              </w:rPr>
              <w:t>Representations and Warranties of L Brands</w:t>
            </w:r>
          </w:p>
        </w:tc>
        <w:tc>
          <w:tcPr>
            <w:tcW w:w="1920" w:type="dxa"/>
            <w:vAlign w:val="bottom"/>
          </w:tcPr>
          <w:p w14:paraId="3B0F5BF5" w14:textId="77777777" w:rsidR="00D1587D" w:rsidRDefault="00410D07">
            <w:pPr>
              <w:jc w:val="right"/>
              <w:rPr>
                <w:sz w:val="20"/>
                <w:szCs w:val="20"/>
              </w:rPr>
            </w:pPr>
            <w:r>
              <w:rPr>
                <w:rFonts w:ascii="Arial" w:eastAsia="Arial" w:hAnsi="Arial" w:cs="Arial"/>
                <w:sz w:val="18"/>
                <w:szCs w:val="18"/>
              </w:rPr>
              <w:t>18</w:t>
            </w:r>
          </w:p>
        </w:tc>
      </w:tr>
      <w:tr w:rsidR="00D1587D" w14:paraId="0174D6BB" w14:textId="77777777">
        <w:trPr>
          <w:trHeight w:val="418"/>
        </w:trPr>
        <w:tc>
          <w:tcPr>
            <w:tcW w:w="1040" w:type="dxa"/>
            <w:vAlign w:val="bottom"/>
          </w:tcPr>
          <w:p w14:paraId="713679DD" w14:textId="77777777" w:rsidR="00D1587D" w:rsidRDefault="00D1587D">
            <w:pPr>
              <w:rPr>
                <w:sz w:val="24"/>
                <w:szCs w:val="24"/>
              </w:rPr>
            </w:pPr>
          </w:p>
        </w:tc>
        <w:tc>
          <w:tcPr>
            <w:tcW w:w="8280" w:type="dxa"/>
            <w:vAlign w:val="bottom"/>
          </w:tcPr>
          <w:p w14:paraId="51EE0327" w14:textId="77777777" w:rsidR="00D1587D" w:rsidRDefault="00410D07">
            <w:pPr>
              <w:ind w:left="790"/>
              <w:jc w:val="center"/>
              <w:rPr>
                <w:sz w:val="20"/>
                <w:szCs w:val="20"/>
              </w:rPr>
            </w:pPr>
            <w:r>
              <w:rPr>
                <w:rFonts w:ascii="Arial" w:eastAsia="Arial" w:hAnsi="Arial" w:cs="Arial"/>
                <w:w w:val="96"/>
                <w:sz w:val="18"/>
                <w:szCs w:val="18"/>
              </w:rPr>
              <w:t>ARTICLE 9</w:t>
            </w:r>
          </w:p>
        </w:tc>
        <w:tc>
          <w:tcPr>
            <w:tcW w:w="1920" w:type="dxa"/>
            <w:vAlign w:val="bottom"/>
          </w:tcPr>
          <w:p w14:paraId="32FBD05A" w14:textId="77777777" w:rsidR="00D1587D" w:rsidRDefault="00D1587D">
            <w:pPr>
              <w:rPr>
                <w:sz w:val="24"/>
                <w:szCs w:val="24"/>
              </w:rPr>
            </w:pPr>
          </w:p>
        </w:tc>
      </w:tr>
      <w:tr w:rsidR="00D1587D" w14:paraId="524ECCC5" w14:textId="77777777">
        <w:trPr>
          <w:trHeight w:val="230"/>
        </w:trPr>
        <w:tc>
          <w:tcPr>
            <w:tcW w:w="1040" w:type="dxa"/>
            <w:vAlign w:val="bottom"/>
          </w:tcPr>
          <w:p w14:paraId="7A5E62BA" w14:textId="77777777" w:rsidR="00D1587D" w:rsidRDefault="00D1587D">
            <w:pPr>
              <w:rPr>
                <w:sz w:val="20"/>
                <w:szCs w:val="20"/>
              </w:rPr>
            </w:pPr>
          </w:p>
        </w:tc>
        <w:tc>
          <w:tcPr>
            <w:tcW w:w="8280" w:type="dxa"/>
            <w:vAlign w:val="bottom"/>
          </w:tcPr>
          <w:p w14:paraId="11FE6C84" w14:textId="77777777" w:rsidR="00D1587D" w:rsidRDefault="00410D07">
            <w:pPr>
              <w:ind w:left="810"/>
              <w:jc w:val="center"/>
              <w:rPr>
                <w:sz w:val="20"/>
                <w:szCs w:val="20"/>
              </w:rPr>
            </w:pPr>
            <w:r>
              <w:rPr>
                <w:rFonts w:ascii="Arial" w:eastAsia="Arial" w:hAnsi="Arial" w:cs="Arial"/>
                <w:w w:val="97"/>
                <w:sz w:val="18"/>
                <w:szCs w:val="18"/>
              </w:rPr>
              <w:t>MISCELLANEOUS</w:t>
            </w:r>
          </w:p>
        </w:tc>
        <w:tc>
          <w:tcPr>
            <w:tcW w:w="1920" w:type="dxa"/>
            <w:vAlign w:val="bottom"/>
          </w:tcPr>
          <w:p w14:paraId="6895B507" w14:textId="77777777" w:rsidR="00D1587D" w:rsidRDefault="00D1587D">
            <w:pPr>
              <w:rPr>
                <w:sz w:val="20"/>
                <w:szCs w:val="20"/>
              </w:rPr>
            </w:pPr>
          </w:p>
        </w:tc>
      </w:tr>
      <w:tr w:rsidR="00D1587D" w14:paraId="30A730D6" w14:textId="77777777">
        <w:trPr>
          <w:trHeight w:val="418"/>
        </w:trPr>
        <w:tc>
          <w:tcPr>
            <w:tcW w:w="1040" w:type="dxa"/>
            <w:vAlign w:val="bottom"/>
          </w:tcPr>
          <w:p w14:paraId="34128BBE" w14:textId="77777777" w:rsidR="00D1587D" w:rsidRDefault="00410D07">
            <w:pPr>
              <w:rPr>
                <w:sz w:val="20"/>
                <w:szCs w:val="20"/>
              </w:rPr>
            </w:pPr>
            <w:r>
              <w:rPr>
                <w:rFonts w:ascii="Arial" w:eastAsia="Arial" w:hAnsi="Arial" w:cs="Arial"/>
                <w:w w:val="97"/>
                <w:sz w:val="18"/>
                <w:szCs w:val="18"/>
              </w:rPr>
              <w:t>Section 9.01.</w:t>
            </w:r>
          </w:p>
        </w:tc>
        <w:tc>
          <w:tcPr>
            <w:tcW w:w="8280" w:type="dxa"/>
            <w:vAlign w:val="bottom"/>
          </w:tcPr>
          <w:p w14:paraId="4687BA43" w14:textId="77777777" w:rsidR="00D1587D" w:rsidRDefault="00410D07">
            <w:pPr>
              <w:ind w:left="100"/>
              <w:rPr>
                <w:sz w:val="20"/>
                <w:szCs w:val="20"/>
              </w:rPr>
            </w:pPr>
            <w:r>
              <w:rPr>
                <w:rFonts w:ascii="Arial" w:eastAsia="Arial" w:hAnsi="Arial" w:cs="Arial"/>
                <w:i/>
                <w:iCs/>
                <w:sz w:val="18"/>
                <w:szCs w:val="18"/>
              </w:rPr>
              <w:t>Notices</w:t>
            </w:r>
          </w:p>
        </w:tc>
        <w:tc>
          <w:tcPr>
            <w:tcW w:w="1920" w:type="dxa"/>
            <w:vAlign w:val="bottom"/>
          </w:tcPr>
          <w:p w14:paraId="600165B1" w14:textId="77777777" w:rsidR="00D1587D" w:rsidRDefault="00410D07">
            <w:pPr>
              <w:jc w:val="right"/>
              <w:rPr>
                <w:sz w:val="20"/>
                <w:szCs w:val="20"/>
              </w:rPr>
            </w:pPr>
            <w:r>
              <w:rPr>
                <w:rFonts w:ascii="Arial" w:eastAsia="Arial" w:hAnsi="Arial" w:cs="Arial"/>
                <w:sz w:val="18"/>
                <w:szCs w:val="18"/>
              </w:rPr>
              <w:t>18</w:t>
            </w:r>
          </w:p>
        </w:tc>
      </w:tr>
      <w:tr w:rsidR="00D1587D" w14:paraId="12993714" w14:textId="77777777">
        <w:trPr>
          <w:trHeight w:val="216"/>
        </w:trPr>
        <w:tc>
          <w:tcPr>
            <w:tcW w:w="9320" w:type="dxa"/>
            <w:gridSpan w:val="2"/>
            <w:vAlign w:val="bottom"/>
          </w:tcPr>
          <w:p w14:paraId="19094D0C" w14:textId="77777777" w:rsidR="00D1587D" w:rsidRDefault="00410D07">
            <w:pPr>
              <w:rPr>
                <w:sz w:val="20"/>
                <w:szCs w:val="20"/>
              </w:rPr>
            </w:pPr>
            <w:r>
              <w:rPr>
                <w:rFonts w:ascii="Arial" w:eastAsia="Arial" w:hAnsi="Arial" w:cs="Arial"/>
                <w:sz w:val="18"/>
                <w:szCs w:val="18"/>
              </w:rPr>
              <w:t xml:space="preserve">Section 9.02.  </w:t>
            </w:r>
            <w:r>
              <w:rPr>
                <w:rFonts w:ascii="Arial" w:eastAsia="Arial" w:hAnsi="Arial" w:cs="Arial"/>
                <w:i/>
                <w:iCs/>
                <w:sz w:val="18"/>
                <w:szCs w:val="18"/>
              </w:rPr>
              <w:t>Amendments; No Waivers</w:t>
            </w:r>
          </w:p>
        </w:tc>
        <w:tc>
          <w:tcPr>
            <w:tcW w:w="1920" w:type="dxa"/>
            <w:vAlign w:val="bottom"/>
          </w:tcPr>
          <w:p w14:paraId="14DD8DE5" w14:textId="77777777" w:rsidR="00D1587D" w:rsidRDefault="00410D07">
            <w:pPr>
              <w:jc w:val="right"/>
              <w:rPr>
                <w:sz w:val="20"/>
                <w:szCs w:val="20"/>
              </w:rPr>
            </w:pPr>
            <w:r>
              <w:rPr>
                <w:rFonts w:ascii="Arial" w:eastAsia="Arial" w:hAnsi="Arial" w:cs="Arial"/>
                <w:sz w:val="18"/>
                <w:szCs w:val="18"/>
              </w:rPr>
              <w:t>19</w:t>
            </w:r>
          </w:p>
        </w:tc>
      </w:tr>
      <w:tr w:rsidR="00D1587D" w14:paraId="42D56BD5" w14:textId="77777777">
        <w:trPr>
          <w:trHeight w:val="216"/>
        </w:trPr>
        <w:tc>
          <w:tcPr>
            <w:tcW w:w="1040" w:type="dxa"/>
            <w:vAlign w:val="bottom"/>
          </w:tcPr>
          <w:p w14:paraId="1AE2A62D" w14:textId="77777777" w:rsidR="00D1587D" w:rsidRDefault="00410D07">
            <w:pPr>
              <w:rPr>
                <w:sz w:val="20"/>
                <w:szCs w:val="20"/>
              </w:rPr>
            </w:pPr>
            <w:r>
              <w:rPr>
                <w:rFonts w:ascii="Arial" w:eastAsia="Arial" w:hAnsi="Arial" w:cs="Arial"/>
                <w:w w:val="97"/>
                <w:sz w:val="18"/>
                <w:szCs w:val="18"/>
              </w:rPr>
              <w:t>Section 9.03.</w:t>
            </w:r>
          </w:p>
        </w:tc>
        <w:tc>
          <w:tcPr>
            <w:tcW w:w="8280" w:type="dxa"/>
            <w:vAlign w:val="bottom"/>
          </w:tcPr>
          <w:p w14:paraId="040DD0C3" w14:textId="77777777" w:rsidR="00D1587D" w:rsidRDefault="00410D07">
            <w:pPr>
              <w:ind w:left="100"/>
              <w:rPr>
                <w:sz w:val="20"/>
                <w:szCs w:val="20"/>
              </w:rPr>
            </w:pPr>
            <w:r>
              <w:rPr>
                <w:rFonts w:ascii="Arial" w:eastAsia="Arial" w:hAnsi="Arial" w:cs="Arial"/>
                <w:i/>
                <w:iCs/>
                <w:sz w:val="18"/>
                <w:szCs w:val="18"/>
              </w:rPr>
              <w:t>Expenses</w:t>
            </w:r>
          </w:p>
        </w:tc>
        <w:tc>
          <w:tcPr>
            <w:tcW w:w="1920" w:type="dxa"/>
            <w:vAlign w:val="bottom"/>
          </w:tcPr>
          <w:p w14:paraId="210E7619" w14:textId="77777777" w:rsidR="00D1587D" w:rsidRDefault="00410D07">
            <w:pPr>
              <w:jc w:val="right"/>
              <w:rPr>
                <w:sz w:val="20"/>
                <w:szCs w:val="20"/>
              </w:rPr>
            </w:pPr>
            <w:r>
              <w:rPr>
                <w:rFonts w:ascii="Arial" w:eastAsia="Arial" w:hAnsi="Arial" w:cs="Arial"/>
                <w:sz w:val="18"/>
                <w:szCs w:val="18"/>
              </w:rPr>
              <w:t>19</w:t>
            </w:r>
          </w:p>
        </w:tc>
      </w:tr>
      <w:tr w:rsidR="00D1587D" w14:paraId="15A69034" w14:textId="77777777">
        <w:trPr>
          <w:trHeight w:val="216"/>
        </w:trPr>
        <w:tc>
          <w:tcPr>
            <w:tcW w:w="9320" w:type="dxa"/>
            <w:gridSpan w:val="2"/>
            <w:vAlign w:val="bottom"/>
          </w:tcPr>
          <w:p w14:paraId="1096A08D" w14:textId="77777777" w:rsidR="00D1587D" w:rsidRDefault="00410D07">
            <w:pPr>
              <w:rPr>
                <w:sz w:val="20"/>
                <w:szCs w:val="20"/>
              </w:rPr>
            </w:pPr>
            <w:r>
              <w:rPr>
                <w:rFonts w:ascii="Arial" w:eastAsia="Arial" w:hAnsi="Arial" w:cs="Arial"/>
                <w:sz w:val="18"/>
                <w:szCs w:val="18"/>
              </w:rPr>
              <w:t xml:space="preserve">Section 9.04.  </w:t>
            </w:r>
            <w:r>
              <w:rPr>
                <w:rFonts w:ascii="Arial" w:eastAsia="Arial" w:hAnsi="Arial" w:cs="Arial"/>
                <w:i/>
                <w:iCs/>
                <w:sz w:val="18"/>
                <w:szCs w:val="18"/>
              </w:rPr>
              <w:t>Independent Contractor Status</w:t>
            </w:r>
          </w:p>
        </w:tc>
        <w:tc>
          <w:tcPr>
            <w:tcW w:w="1920" w:type="dxa"/>
            <w:vAlign w:val="bottom"/>
          </w:tcPr>
          <w:p w14:paraId="7D99F059" w14:textId="77777777" w:rsidR="00D1587D" w:rsidRDefault="00410D07">
            <w:pPr>
              <w:jc w:val="right"/>
              <w:rPr>
                <w:sz w:val="20"/>
                <w:szCs w:val="20"/>
              </w:rPr>
            </w:pPr>
            <w:r>
              <w:rPr>
                <w:rFonts w:ascii="Arial" w:eastAsia="Arial" w:hAnsi="Arial" w:cs="Arial"/>
                <w:sz w:val="18"/>
                <w:szCs w:val="18"/>
              </w:rPr>
              <w:t>19</w:t>
            </w:r>
          </w:p>
        </w:tc>
      </w:tr>
      <w:tr w:rsidR="00D1587D" w14:paraId="53E84E6F" w14:textId="77777777">
        <w:trPr>
          <w:trHeight w:val="216"/>
        </w:trPr>
        <w:tc>
          <w:tcPr>
            <w:tcW w:w="9320" w:type="dxa"/>
            <w:gridSpan w:val="2"/>
            <w:vAlign w:val="bottom"/>
          </w:tcPr>
          <w:p w14:paraId="31F6D6C2" w14:textId="77777777" w:rsidR="00D1587D" w:rsidRDefault="00410D07">
            <w:pPr>
              <w:rPr>
                <w:sz w:val="20"/>
                <w:szCs w:val="20"/>
              </w:rPr>
            </w:pPr>
            <w:r>
              <w:rPr>
                <w:rFonts w:ascii="Arial" w:eastAsia="Arial" w:hAnsi="Arial" w:cs="Arial"/>
                <w:sz w:val="18"/>
                <w:szCs w:val="18"/>
              </w:rPr>
              <w:t xml:space="preserve">Section 9.05.  </w:t>
            </w:r>
            <w:r>
              <w:rPr>
                <w:rFonts w:ascii="Arial" w:eastAsia="Arial" w:hAnsi="Arial" w:cs="Arial"/>
                <w:i/>
                <w:iCs/>
                <w:sz w:val="18"/>
                <w:szCs w:val="18"/>
              </w:rPr>
              <w:t>Successors and Assigns</w:t>
            </w:r>
          </w:p>
        </w:tc>
        <w:tc>
          <w:tcPr>
            <w:tcW w:w="1920" w:type="dxa"/>
            <w:vAlign w:val="bottom"/>
          </w:tcPr>
          <w:p w14:paraId="6599AF55" w14:textId="77777777" w:rsidR="00D1587D" w:rsidRDefault="00410D07">
            <w:pPr>
              <w:jc w:val="right"/>
              <w:rPr>
                <w:sz w:val="20"/>
                <w:szCs w:val="20"/>
              </w:rPr>
            </w:pPr>
            <w:r>
              <w:rPr>
                <w:rFonts w:ascii="Arial" w:eastAsia="Arial" w:hAnsi="Arial" w:cs="Arial"/>
                <w:sz w:val="18"/>
                <w:szCs w:val="18"/>
              </w:rPr>
              <w:t>19</w:t>
            </w:r>
          </w:p>
        </w:tc>
      </w:tr>
      <w:tr w:rsidR="00D1587D" w14:paraId="0C83A0BA" w14:textId="77777777">
        <w:trPr>
          <w:trHeight w:val="216"/>
        </w:trPr>
        <w:tc>
          <w:tcPr>
            <w:tcW w:w="1040" w:type="dxa"/>
            <w:vAlign w:val="bottom"/>
          </w:tcPr>
          <w:p w14:paraId="1215CA26" w14:textId="77777777" w:rsidR="00D1587D" w:rsidRDefault="00410D07">
            <w:pPr>
              <w:rPr>
                <w:sz w:val="20"/>
                <w:szCs w:val="20"/>
              </w:rPr>
            </w:pPr>
            <w:r>
              <w:rPr>
                <w:rFonts w:ascii="Arial" w:eastAsia="Arial" w:hAnsi="Arial" w:cs="Arial"/>
                <w:w w:val="97"/>
                <w:sz w:val="18"/>
                <w:szCs w:val="18"/>
              </w:rPr>
              <w:t>Section 9.06.</w:t>
            </w:r>
          </w:p>
        </w:tc>
        <w:tc>
          <w:tcPr>
            <w:tcW w:w="8280" w:type="dxa"/>
            <w:vAlign w:val="bottom"/>
          </w:tcPr>
          <w:p w14:paraId="68F8D4C4" w14:textId="77777777" w:rsidR="00D1587D" w:rsidRDefault="00410D07">
            <w:pPr>
              <w:ind w:left="100"/>
              <w:rPr>
                <w:sz w:val="20"/>
                <w:szCs w:val="20"/>
              </w:rPr>
            </w:pPr>
            <w:r>
              <w:rPr>
                <w:rFonts w:ascii="Arial" w:eastAsia="Arial" w:hAnsi="Arial" w:cs="Arial"/>
                <w:i/>
                <w:iCs/>
                <w:sz w:val="18"/>
                <w:szCs w:val="18"/>
              </w:rPr>
              <w:t>Governing Law</w:t>
            </w:r>
          </w:p>
        </w:tc>
        <w:tc>
          <w:tcPr>
            <w:tcW w:w="1920" w:type="dxa"/>
            <w:vAlign w:val="bottom"/>
          </w:tcPr>
          <w:p w14:paraId="2D074F8D" w14:textId="77777777" w:rsidR="00D1587D" w:rsidRDefault="00410D07">
            <w:pPr>
              <w:jc w:val="right"/>
              <w:rPr>
                <w:sz w:val="20"/>
                <w:szCs w:val="20"/>
              </w:rPr>
            </w:pPr>
            <w:r>
              <w:rPr>
                <w:rFonts w:ascii="Arial" w:eastAsia="Arial" w:hAnsi="Arial" w:cs="Arial"/>
                <w:sz w:val="18"/>
                <w:szCs w:val="18"/>
              </w:rPr>
              <w:t>19</w:t>
            </w:r>
          </w:p>
        </w:tc>
      </w:tr>
      <w:tr w:rsidR="00D1587D" w14:paraId="01081A15" w14:textId="77777777">
        <w:trPr>
          <w:trHeight w:val="216"/>
        </w:trPr>
        <w:tc>
          <w:tcPr>
            <w:tcW w:w="1040" w:type="dxa"/>
            <w:vAlign w:val="bottom"/>
          </w:tcPr>
          <w:p w14:paraId="30B9C481" w14:textId="77777777" w:rsidR="00D1587D" w:rsidRDefault="00410D07">
            <w:pPr>
              <w:rPr>
                <w:sz w:val="20"/>
                <w:szCs w:val="20"/>
              </w:rPr>
            </w:pPr>
            <w:r>
              <w:rPr>
                <w:rFonts w:ascii="Arial" w:eastAsia="Arial" w:hAnsi="Arial" w:cs="Arial"/>
                <w:w w:val="97"/>
                <w:sz w:val="18"/>
                <w:szCs w:val="18"/>
              </w:rPr>
              <w:t>Section 9.07.</w:t>
            </w:r>
          </w:p>
        </w:tc>
        <w:tc>
          <w:tcPr>
            <w:tcW w:w="8280" w:type="dxa"/>
            <w:vAlign w:val="bottom"/>
          </w:tcPr>
          <w:p w14:paraId="61B466E6" w14:textId="77777777" w:rsidR="00D1587D" w:rsidRDefault="00410D07">
            <w:pPr>
              <w:ind w:left="100"/>
              <w:rPr>
                <w:sz w:val="20"/>
                <w:szCs w:val="20"/>
              </w:rPr>
            </w:pPr>
            <w:r>
              <w:rPr>
                <w:rFonts w:ascii="Arial" w:eastAsia="Arial" w:hAnsi="Arial" w:cs="Arial"/>
                <w:i/>
                <w:iCs/>
                <w:sz w:val="18"/>
                <w:szCs w:val="18"/>
              </w:rPr>
              <w:t>Dispute Resolution</w:t>
            </w:r>
          </w:p>
        </w:tc>
        <w:tc>
          <w:tcPr>
            <w:tcW w:w="1920" w:type="dxa"/>
            <w:vAlign w:val="bottom"/>
          </w:tcPr>
          <w:p w14:paraId="60DC5DD2" w14:textId="77777777" w:rsidR="00D1587D" w:rsidRDefault="00410D07">
            <w:pPr>
              <w:jc w:val="right"/>
              <w:rPr>
                <w:sz w:val="20"/>
                <w:szCs w:val="20"/>
              </w:rPr>
            </w:pPr>
            <w:r>
              <w:rPr>
                <w:rFonts w:ascii="Arial" w:eastAsia="Arial" w:hAnsi="Arial" w:cs="Arial"/>
                <w:sz w:val="18"/>
                <w:szCs w:val="18"/>
              </w:rPr>
              <w:t>20</w:t>
            </w:r>
          </w:p>
        </w:tc>
      </w:tr>
      <w:tr w:rsidR="00D1587D" w14:paraId="6C6A30A8" w14:textId="77777777">
        <w:trPr>
          <w:trHeight w:val="216"/>
        </w:trPr>
        <w:tc>
          <w:tcPr>
            <w:tcW w:w="1040" w:type="dxa"/>
            <w:vAlign w:val="bottom"/>
          </w:tcPr>
          <w:p w14:paraId="2EDD5479" w14:textId="77777777" w:rsidR="00D1587D" w:rsidRDefault="00410D07">
            <w:pPr>
              <w:rPr>
                <w:sz w:val="20"/>
                <w:szCs w:val="20"/>
              </w:rPr>
            </w:pPr>
            <w:r>
              <w:rPr>
                <w:rFonts w:ascii="Arial" w:eastAsia="Arial" w:hAnsi="Arial" w:cs="Arial"/>
                <w:w w:val="97"/>
                <w:sz w:val="18"/>
                <w:szCs w:val="18"/>
              </w:rPr>
              <w:t>Section 9.08.</w:t>
            </w:r>
          </w:p>
        </w:tc>
        <w:tc>
          <w:tcPr>
            <w:tcW w:w="8280" w:type="dxa"/>
            <w:vAlign w:val="bottom"/>
          </w:tcPr>
          <w:p w14:paraId="7BFE6C50" w14:textId="77777777" w:rsidR="00D1587D" w:rsidRDefault="00410D07">
            <w:pPr>
              <w:ind w:left="100"/>
              <w:rPr>
                <w:sz w:val="20"/>
                <w:szCs w:val="20"/>
              </w:rPr>
            </w:pPr>
            <w:r>
              <w:rPr>
                <w:rFonts w:ascii="Arial" w:eastAsia="Arial" w:hAnsi="Arial" w:cs="Arial"/>
                <w:i/>
                <w:iCs/>
                <w:sz w:val="18"/>
                <w:szCs w:val="18"/>
              </w:rPr>
              <w:t>Jurisdiction</w:t>
            </w:r>
          </w:p>
        </w:tc>
        <w:tc>
          <w:tcPr>
            <w:tcW w:w="1920" w:type="dxa"/>
            <w:vAlign w:val="bottom"/>
          </w:tcPr>
          <w:p w14:paraId="6A8E33E8" w14:textId="77777777" w:rsidR="00D1587D" w:rsidRDefault="00410D07">
            <w:pPr>
              <w:jc w:val="right"/>
              <w:rPr>
                <w:sz w:val="20"/>
                <w:szCs w:val="20"/>
              </w:rPr>
            </w:pPr>
            <w:r>
              <w:rPr>
                <w:rFonts w:ascii="Arial" w:eastAsia="Arial" w:hAnsi="Arial" w:cs="Arial"/>
                <w:sz w:val="18"/>
                <w:szCs w:val="18"/>
              </w:rPr>
              <w:t>20</w:t>
            </w:r>
          </w:p>
        </w:tc>
      </w:tr>
      <w:tr w:rsidR="00D1587D" w14:paraId="69B56C6E" w14:textId="77777777">
        <w:trPr>
          <w:trHeight w:val="216"/>
        </w:trPr>
        <w:tc>
          <w:tcPr>
            <w:tcW w:w="9320" w:type="dxa"/>
            <w:gridSpan w:val="2"/>
            <w:vAlign w:val="bottom"/>
          </w:tcPr>
          <w:p w14:paraId="40D99405" w14:textId="77777777" w:rsidR="00D1587D" w:rsidRDefault="00410D07">
            <w:pPr>
              <w:rPr>
                <w:sz w:val="20"/>
                <w:szCs w:val="20"/>
              </w:rPr>
            </w:pPr>
            <w:r>
              <w:rPr>
                <w:rFonts w:ascii="Arial" w:eastAsia="Arial" w:hAnsi="Arial" w:cs="Arial"/>
                <w:sz w:val="18"/>
                <w:szCs w:val="18"/>
              </w:rPr>
              <w:t xml:space="preserve">Section 9.09.  </w:t>
            </w:r>
            <w:r>
              <w:rPr>
                <w:rFonts w:ascii="Arial" w:eastAsia="Arial" w:hAnsi="Arial" w:cs="Arial"/>
                <w:i/>
                <w:iCs/>
                <w:sz w:val="18"/>
                <w:szCs w:val="18"/>
              </w:rPr>
              <w:t>WAIVER OF JURY TRIAL</w:t>
            </w:r>
          </w:p>
        </w:tc>
        <w:tc>
          <w:tcPr>
            <w:tcW w:w="1920" w:type="dxa"/>
            <w:vAlign w:val="bottom"/>
          </w:tcPr>
          <w:p w14:paraId="7610485F" w14:textId="77777777" w:rsidR="00D1587D" w:rsidRDefault="00410D07">
            <w:pPr>
              <w:jc w:val="right"/>
              <w:rPr>
                <w:sz w:val="20"/>
                <w:szCs w:val="20"/>
              </w:rPr>
            </w:pPr>
            <w:r>
              <w:rPr>
                <w:rFonts w:ascii="Arial" w:eastAsia="Arial" w:hAnsi="Arial" w:cs="Arial"/>
                <w:sz w:val="18"/>
                <w:szCs w:val="18"/>
              </w:rPr>
              <w:t>21</w:t>
            </w:r>
          </w:p>
        </w:tc>
      </w:tr>
      <w:tr w:rsidR="00D1587D" w14:paraId="647D43FD" w14:textId="77777777">
        <w:trPr>
          <w:trHeight w:val="216"/>
        </w:trPr>
        <w:tc>
          <w:tcPr>
            <w:tcW w:w="9320" w:type="dxa"/>
            <w:gridSpan w:val="2"/>
            <w:vAlign w:val="bottom"/>
          </w:tcPr>
          <w:p w14:paraId="700DA4FB" w14:textId="77777777" w:rsidR="00D1587D" w:rsidRDefault="00410D07">
            <w:pPr>
              <w:rPr>
                <w:sz w:val="20"/>
                <w:szCs w:val="20"/>
              </w:rPr>
            </w:pPr>
            <w:r>
              <w:rPr>
                <w:rFonts w:ascii="Arial" w:eastAsia="Arial" w:hAnsi="Arial" w:cs="Arial"/>
                <w:sz w:val="18"/>
                <w:szCs w:val="18"/>
              </w:rPr>
              <w:t xml:space="preserve">Section 9.10.  </w:t>
            </w:r>
            <w:r>
              <w:rPr>
                <w:rFonts w:ascii="Arial" w:eastAsia="Arial" w:hAnsi="Arial" w:cs="Arial"/>
                <w:i/>
                <w:iCs/>
                <w:sz w:val="18"/>
                <w:szCs w:val="18"/>
              </w:rPr>
              <w:t>Counterparts; Effectiveness; Third Party Beneficiaries</w:t>
            </w:r>
          </w:p>
        </w:tc>
        <w:tc>
          <w:tcPr>
            <w:tcW w:w="1920" w:type="dxa"/>
            <w:vAlign w:val="bottom"/>
          </w:tcPr>
          <w:p w14:paraId="567F1609" w14:textId="77777777" w:rsidR="00D1587D" w:rsidRDefault="00410D07">
            <w:pPr>
              <w:jc w:val="right"/>
              <w:rPr>
                <w:sz w:val="20"/>
                <w:szCs w:val="20"/>
              </w:rPr>
            </w:pPr>
            <w:r>
              <w:rPr>
                <w:rFonts w:ascii="Arial" w:eastAsia="Arial" w:hAnsi="Arial" w:cs="Arial"/>
                <w:sz w:val="18"/>
                <w:szCs w:val="18"/>
              </w:rPr>
              <w:t>21</w:t>
            </w:r>
          </w:p>
        </w:tc>
      </w:tr>
      <w:tr w:rsidR="00D1587D" w14:paraId="611FAB8B" w14:textId="77777777">
        <w:trPr>
          <w:trHeight w:val="216"/>
        </w:trPr>
        <w:tc>
          <w:tcPr>
            <w:tcW w:w="1040" w:type="dxa"/>
            <w:vAlign w:val="bottom"/>
          </w:tcPr>
          <w:p w14:paraId="34A63041" w14:textId="77777777" w:rsidR="00D1587D" w:rsidRDefault="00410D07">
            <w:pPr>
              <w:rPr>
                <w:sz w:val="20"/>
                <w:szCs w:val="20"/>
              </w:rPr>
            </w:pPr>
            <w:r>
              <w:rPr>
                <w:rFonts w:ascii="Arial" w:eastAsia="Arial" w:hAnsi="Arial" w:cs="Arial"/>
                <w:w w:val="97"/>
                <w:sz w:val="18"/>
                <w:szCs w:val="18"/>
              </w:rPr>
              <w:t>Section 9.11.</w:t>
            </w:r>
          </w:p>
        </w:tc>
        <w:tc>
          <w:tcPr>
            <w:tcW w:w="8280" w:type="dxa"/>
            <w:vAlign w:val="bottom"/>
          </w:tcPr>
          <w:p w14:paraId="6696044E" w14:textId="77777777" w:rsidR="00D1587D" w:rsidRDefault="00410D07">
            <w:pPr>
              <w:ind w:left="100"/>
              <w:rPr>
                <w:sz w:val="20"/>
                <w:szCs w:val="20"/>
              </w:rPr>
            </w:pPr>
            <w:r>
              <w:rPr>
                <w:rFonts w:ascii="Arial" w:eastAsia="Arial" w:hAnsi="Arial" w:cs="Arial"/>
                <w:i/>
                <w:iCs/>
                <w:sz w:val="18"/>
                <w:szCs w:val="18"/>
              </w:rPr>
              <w:t>Entire Agreement</w:t>
            </w:r>
          </w:p>
        </w:tc>
        <w:tc>
          <w:tcPr>
            <w:tcW w:w="1920" w:type="dxa"/>
            <w:vAlign w:val="bottom"/>
          </w:tcPr>
          <w:p w14:paraId="2430043F" w14:textId="77777777" w:rsidR="00D1587D" w:rsidRDefault="00410D07">
            <w:pPr>
              <w:jc w:val="right"/>
              <w:rPr>
                <w:sz w:val="20"/>
                <w:szCs w:val="20"/>
              </w:rPr>
            </w:pPr>
            <w:r>
              <w:rPr>
                <w:rFonts w:ascii="Arial" w:eastAsia="Arial" w:hAnsi="Arial" w:cs="Arial"/>
                <w:sz w:val="18"/>
                <w:szCs w:val="18"/>
              </w:rPr>
              <w:t>21</w:t>
            </w:r>
          </w:p>
        </w:tc>
      </w:tr>
      <w:tr w:rsidR="00D1587D" w14:paraId="34647C16" w14:textId="77777777">
        <w:trPr>
          <w:trHeight w:val="216"/>
        </w:trPr>
        <w:tc>
          <w:tcPr>
            <w:tcW w:w="1040" w:type="dxa"/>
            <w:vAlign w:val="bottom"/>
          </w:tcPr>
          <w:p w14:paraId="1704D85A" w14:textId="77777777" w:rsidR="00D1587D" w:rsidRDefault="00410D07">
            <w:pPr>
              <w:rPr>
                <w:sz w:val="20"/>
                <w:szCs w:val="20"/>
              </w:rPr>
            </w:pPr>
            <w:r>
              <w:rPr>
                <w:rFonts w:ascii="Arial" w:eastAsia="Arial" w:hAnsi="Arial" w:cs="Arial"/>
                <w:w w:val="97"/>
                <w:sz w:val="18"/>
                <w:szCs w:val="18"/>
              </w:rPr>
              <w:t>Section 9.12.</w:t>
            </w:r>
          </w:p>
        </w:tc>
        <w:tc>
          <w:tcPr>
            <w:tcW w:w="8280" w:type="dxa"/>
            <w:vAlign w:val="bottom"/>
          </w:tcPr>
          <w:p w14:paraId="2FECBAE8" w14:textId="77777777" w:rsidR="00D1587D" w:rsidRDefault="00410D07">
            <w:pPr>
              <w:ind w:left="100"/>
              <w:rPr>
                <w:sz w:val="20"/>
                <w:szCs w:val="20"/>
              </w:rPr>
            </w:pPr>
            <w:r>
              <w:rPr>
                <w:rFonts w:ascii="Arial" w:eastAsia="Arial" w:hAnsi="Arial" w:cs="Arial"/>
                <w:i/>
                <w:iCs/>
                <w:sz w:val="18"/>
                <w:szCs w:val="18"/>
              </w:rPr>
              <w:t>Severability</w:t>
            </w:r>
          </w:p>
        </w:tc>
        <w:tc>
          <w:tcPr>
            <w:tcW w:w="1920" w:type="dxa"/>
            <w:vAlign w:val="bottom"/>
          </w:tcPr>
          <w:p w14:paraId="27CB1154" w14:textId="77777777" w:rsidR="00D1587D" w:rsidRDefault="00410D07">
            <w:pPr>
              <w:jc w:val="right"/>
              <w:rPr>
                <w:sz w:val="20"/>
                <w:szCs w:val="20"/>
              </w:rPr>
            </w:pPr>
            <w:r>
              <w:rPr>
                <w:rFonts w:ascii="Arial" w:eastAsia="Arial" w:hAnsi="Arial" w:cs="Arial"/>
                <w:sz w:val="18"/>
                <w:szCs w:val="18"/>
              </w:rPr>
              <w:t>21</w:t>
            </w:r>
          </w:p>
        </w:tc>
      </w:tr>
      <w:tr w:rsidR="00D1587D" w14:paraId="43B2DB28" w14:textId="77777777">
        <w:trPr>
          <w:trHeight w:val="216"/>
        </w:trPr>
        <w:tc>
          <w:tcPr>
            <w:tcW w:w="1040" w:type="dxa"/>
            <w:vAlign w:val="bottom"/>
          </w:tcPr>
          <w:p w14:paraId="0DF93728" w14:textId="77777777" w:rsidR="00D1587D" w:rsidRDefault="00410D07">
            <w:pPr>
              <w:rPr>
                <w:sz w:val="20"/>
                <w:szCs w:val="20"/>
              </w:rPr>
            </w:pPr>
            <w:r>
              <w:rPr>
                <w:rFonts w:ascii="Arial" w:eastAsia="Arial" w:hAnsi="Arial" w:cs="Arial"/>
                <w:w w:val="97"/>
                <w:sz w:val="18"/>
                <w:szCs w:val="18"/>
              </w:rPr>
              <w:t>Section 9.13.</w:t>
            </w:r>
          </w:p>
        </w:tc>
        <w:tc>
          <w:tcPr>
            <w:tcW w:w="8280" w:type="dxa"/>
            <w:vAlign w:val="bottom"/>
          </w:tcPr>
          <w:p w14:paraId="2CC5A0DF" w14:textId="77777777" w:rsidR="00D1587D" w:rsidRDefault="00410D07">
            <w:pPr>
              <w:ind w:left="100"/>
              <w:rPr>
                <w:sz w:val="20"/>
                <w:szCs w:val="20"/>
              </w:rPr>
            </w:pPr>
            <w:r>
              <w:rPr>
                <w:rFonts w:ascii="Arial" w:eastAsia="Arial" w:hAnsi="Arial" w:cs="Arial"/>
                <w:i/>
                <w:iCs/>
                <w:sz w:val="18"/>
                <w:szCs w:val="18"/>
              </w:rPr>
              <w:t>Specific Performance</w:t>
            </w:r>
          </w:p>
        </w:tc>
        <w:tc>
          <w:tcPr>
            <w:tcW w:w="1920" w:type="dxa"/>
            <w:vAlign w:val="bottom"/>
          </w:tcPr>
          <w:p w14:paraId="34B94C5A" w14:textId="77777777" w:rsidR="00D1587D" w:rsidRDefault="00410D07">
            <w:pPr>
              <w:jc w:val="right"/>
              <w:rPr>
                <w:sz w:val="20"/>
                <w:szCs w:val="20"/>
              </w:rPr>
            </w:pPr>
            <w:r>
              <w:rPr>
                <w:rFonts w:ascii="Arial" w:eastAsia="Arial" w:hAnsi="Arial" w:cs="Arial"/>
                <w:sz w:val="18"/>
                <w:szCs w:val="18"/>
              </w:rPr>
              <w:t>21</w:t>
            </w:r>
          </w:p>
        </w:tc>
      </w:tr>
      <w:tr w:rsidR="00D1587D" w14:paraId="3E9AF46B" w14:textId="77777777">
        <w:trPr>
          <w:trHeight w:val="216"/>
        </w:trPr>
        <w:tc>
          <w:tcPr>
            <w:tcW w:w="1040" w:type="dxa"/>
            <w:vAlign w:val="bottom"/>
          </w:tcPr>
          <w:p w14:paraId="3F8E6BCB" w14:textId="77777777" w:rsidR="00D1587D" w:rsidRDefault="00410D07">
            <w:pPr>
              <w:rPr>
                <w:sz w:val="20"/>
                <w:szCs w:val="20"/>
              </w:rPr>
            </w:pPr>
            <w:r>
              <w:rPr>
                <w:rFonts w:ascii="Arial" w:eastAsia="Arial" w:hAnsi="Arial" w:cs="Arial"/>
                <w:w w:val="97"/>
                <w:sz w:val="18"/>
                <w:szCs w:val="18"/>
              </w:rPr>
              <w:t>Section 9.14.</w:t>
            </w:r>
          </w:p>
        </w:tc>
        <w:tc>
          <w:tcPr>
            <w:tcW w:w="8280" w:type="dxa"/>
            <w:vAlign w:val="bottom"/>
          </w:tcPr>
          <w:p w14:paraId="55CA118D" w14:textId="77777777" w:rsidR="00D1587D" w:rsidRDefault="00410D07">
            <w:pPr>
              <w:ind w:left="100"/>
              <w:rPr>
                <w:sz w:val="20"/>
                <w:szCs w:val="20"/>
              </w:rPr>
            </w:pPr>
            <w:r>
              <w:rPr>
                <w:rFonts w:ascii="Arial" w:eastAsia="Arial" w:hAnsi="Arial" w:cs="Arial"/>
                <w:i/>
                <w:iCs/>
                <w:sz w:val="18"/>
                <w:szCs w:val="18"/>
              </w:rPr>
              <w:t>Interpretation</w:t>
            </w:r>
          </w:p>
        </w:tc>
        <w:tc>
          <w:tcPr>
            <w:tcW w:w="1920" w:type="dxa"/>
            <w:vAlign w:val="bottom"/>
          </w:tcPr>
          <w:p w14:paraId="44104103" w14:textId="77777777" w:rsidR="00D1587D" w:rsidRDefault="00410D07">
            <w:pPr>
              <w:jc w:val="right"/>
              <w:rPr>
                <w:sz w:val="20"/>
                <w:szCs w:val="20"/>
              </w:rPr>
            </w:pPr>
            <w:r>
              <w:rPr>
                <w:rFonts w:ascii="Arial" w:eastAsia="Arial" w:hAnsi="Arial" w:cs="Arial"/>
                <w:sz w:val="18"/>
                <w:szCs w:val="18"/>
              </w:rPr>
              <w:t>21</w:t>
            </w:r>
          </w:p>
        </w:tc>
      </w:tr>
      <w:tr w:rsidR="00D1587D" w14:paraId="35A1D3AA" w14:textId="77777777">
        <w:trPr>
          <w:trHeight w:val="230"/>
        </w:trPr>
        <w:tc>
          <w:tcPr>
            <w:tcW w:w="1040" w:type="dxa"/>
            <w:vAlign w:val="bottom"/>
          </w:tcPr>
          <w:p w14:paraId="599F8F07" w14:textId="77777777" w:rsidR="00D1587D" w:rsidRDefault="00410D07">
            <w:pPr>
              <w:rPr>
                <w:sz w:val="20"/>
                <w:szCs w:val="20"/>
              </w:rPr>
            </w:pPr>
            <w:r>
              <w:rPr>
                <w:rFonts w:ascii="Arial" w:eastAsia="Arial" w:hAnsi="Arial" w:cs="Arial"/>
                <w:w w:val="97"/>
                <w:sz w:val="18"/>
                <w:szCs w:val="18"/>
              </w:rPr>
              <w:t>Section 9.15.</w:t>
            </w:r>
          </w:p>
        </w:tc>
        <w:tc>
          <w:tcPr>
            <w:tcW w:w="8280" w:type="dxa"/>
            <w:vAlign w:val="bottom"/>
          </w:tcPr>
          <w:p w14:paraId="593ED76F" w14:textId="77777777" w:rsidR="00D1587D" w:rsidRDefault="00410D07">
            <w:pPr>
              <w:ind w:left="100"/>
              <w:rPr>
                <w:sz w:val="20"/>
                <w:szCs w:val="20"/>
              </w:rPr>
            </w:pPr>
            <w:r>
              <w:rPr>
                <w:rFonts w:ascii="Arial" w:eastAsia="Arial" w:hAnsi="Arial" w:cs="Arial"/>
                <w:i/>
                <w:iCs/>
                <w:sz w:val="18"/>
                <w:szCs w:val="18"/>
              </w:rPr>
              <w:t>Integration</w:t>
            </w:r>
          </w:p>
        </w:tc>
        <w:tc>
          <w:tcPr>
            <w:tcW w:w="1920" w:type="dxa"/>
            <w:vAlign w:val="bottom"/>
          </w:tcPr>
          <w:p w14:paraId="5ADB99A2" w14:textId="77777777" w:rsidR="00D1587D" w:rsidRDefault="00410D07">
            <w:pPr>
              <w:jc w:val="right"/>
              <w:rPr>
                <w:sz w:val="20"/>
                <w:szCs w:val="20"/>
              </w:rPr>
            </w:pPr>
            <w:r>
              <w:rPr>
                <w:rFonts w:ascii="Arial" w:eastAsia="Arial" w:hAnsi="Arial" w:cs="Arial"/>
                <w:sz w:val="18"/>
                <w:szCs w:val="18"/>
              </w:rPr>
              <w:t>22</w:t>
            </w:r>
          </w:p>
        </w:tc>
      </w:tr>
    </w:tbl>
    <w:p w14:paraId="1C41E53F" w14:textId="77777777" w:rsidR="00D1587D" w:rsidRDefault="00D1587D">
      <w:pPr>
        <w:spacing w:line="216" w:lineRule="exact"/>
        <w:rPr>
          <w:sz w:val="20"/>
          <w:szCs w:val="20"/>
        </w:rPr>
      </w:pPr>
    </w:p>
    <w:p w14:paraId="2704561D" w14:textId="77777777" w:rsidR="00D1587D" w:rsidRDefault="00410D07">
      <w:pPr>
        <w:rPr>
          <w:sz w:val="20"/>
          <w:szCs w:val="20"/>
        </w:rPr>
      </w:pPr>
      <w:r>
        <w:rPr>
          <w:rFonts w:ascii="Arial" w:eastAsia="Arial" w:hAnsi="Arial" w:cs="Arial"/>
          <w:b/>
          <w:bCs/>
          <w:u w:val="single"/>
        </w:rPr>
        <w:t>SCHEDULES</w:t>
      </w:r>
    </w:p>
    <w:p w14:paraId="6C686129" w14:textId="77777777" w:rsidR="00D1587D" w:rsidRDefault="00D1587D">
      <w:pPr>
        <w:spacing w:line="239" w:lineRule="exact"/>
        <w:rPr>
          <w:sz w:val="20"/>
          <w:szCs w:val="20"/>
        </w:rPr>
      </w:pPr>
    </w:p>
    <w:p w14:paraId="7B645ECC" w14:textId="77777777" w:rsidR="00D1587D" w:rsidRDefault="00410D07">
      <w:pPr>
        <w:tabs>
          <w:tab w:val="left" w:pos="1520"/>
        </w:tabs>
        <w:rPr>
          <w:sz w:val="20"/>
          <w:szCs w:val="20"/>
        </w:rPr>
      </w:pPr>
      <w:r>
        <w:rPr>
          <w:rFonts w:ascii="Arial" w:eastAsia="Arial" w:hAnsi="Arial" w:cs="Arial"/>
          <w:u w:val="single"/>
        </w:rPr>
        <w:t>Schedule A</w:t>
      </w:r>
      <w:r>
        <w:rPr>
          <w:sz w:val="20"/>
          <w:szCs w:val="20"/>
        </w:rPr>
        <w:tab/>
      </w:r>
      <w:r>
        <w:rPr>
          <w:rFonts w:ascii="Arial" w:eastAsia="Arial" w:hAnsi="Arial" w:cs="Arial"/>
          <w:sz w:val="19"/>
          <w:szCs w:val="19"/>
        </w:rPr>
        <w:t>Service Schedules</w:t>
      </w:r>
    </w:p>
    <w:p w14:paraId="5495B085" w14:textId="77777777" w:rsidR="00D1587D" w:rsidRDefault="00D1587D">
      <w:pPr>
        <w:spacing w:line="227" w:lineRule="exact"/>
        <w:rPr>
          <w:sz w:val="20"/>
          <w:szCs w:val="20"/>
        </w:rPr>
      </w:pPr>
    </w:p>
    <w:p w14:paraId="0DA1B443" w14:textId="77777777" w:rsidR="00D1587D" w:rsidRDefault="00410D07">
      <w:pPr>
        <w:rPr>
          <w:sz w:val="20"/>
          <w:szCs w:val="20"/>
        </w:rPr>
      </w:pPr>
      <w:r>
        <w:rPr>
          <w:rFonts w:ascii="Arial" w:eastAsia="Arial" w:hAnsi="Arial" w:cs="Arial"/>
          <w:b/>
          <w:bCs/>
          <w:u w:val="single"/>
        </w:rPr>
        <w:t>ANNEXES</w:t>
      </w:r>
    </w:p>
    <w:p w14:paraId="0F8D2EEE" w14:textId="77777777" w:rsidR="00D1587D" w:rsidRDefault="00D1587D">
      <w:pPr>
        <w:spacing w:line="239" w:lineRule="exact"/>
        <w:rPr>
          <w:sz w:val="20"/>
          <w:szCs w:val="20"/>
        </w:rPr>
      </w:pPr>
    </w:p>
    <w:p w14:paraId="364E29F7" w14:textId="77777777" w:rsidR="00D1587D" w:rsidRDefault="00410D07">
      <w:pPr>
        <w:tabs>
          <w:tab w:val="left" w:pos="1320"/>
        </w:tabs>
        <w:rPr>
          <w:sz w:val="20"/>
          <w:szCs w:val="20"/>
        </w:rPr>
      </w:pPr>
      <w:r>
        <w:rPr>
          <w:rFonts w:ascii="Arial" w:eastAsia="Arial" w:hAnsi="Arial" w:cs="Arial"/>
          <w:u w:val="single"/>
        </w:rPr>
        <w:t>Annex A</w:t>
      </w:r>
      <w:r>
        <w:rPr>
          <w:sz w:val="20"/>
          <w:szCs w:val="20"/>
        </w:rPr>
        <w:tab/>
      </w:r>
      <w:r>
        <w:rPr>
          <w:rFonts w:ascii="Arial" w:eastAsia="Arial" w:hAnsi="Arial" w:cs="Arial"/>
          <w:sz w:val="19"/>
          <w:szCs w:val="19"/>
        </w:rPr>
        <w:t>Data Processing Addendum</w:t>
      </w:r>
    </w:p>
    <w:p w14:paraId="6FACC9D6" w14:textId="77777777" w:rsidR="00D1587D" w:rsidRDefault="00D1587D">
      <w:pPr>
        <w:spacing w:line="200" w:lineRule="exact"/>
        <w:rPr>
          <w:sz w:val="20"/>
          <w:szCs w:val="20"/>
        </w:rPr>
      </w:pPr>
    </w:p>
    <w:p w14:paraId="52C8002A" w14:textId="77777777" w:rsidR="00D1587D" w:rsidRDefault="00D1587D">
      <w:pPr>
        <w:spacing w:line="211" w:lineRule="exact"/>
        <w:rPr>
          <w:sz w:val="20"/>
          <w:szCs w:val="20"/>
        </w:rPr>
      </w:pPr>
    </w:p>
    <w:p w14:paraId="5DBB3AF9" w14:textId="77777777" w:rsidR="00D1587D" w:rsidRDefault="00410D07">
      <w:pPr>
        <w:jc w:val="center"/>
        <w:rPr>
          <w:sz w:val="20"/>
          <w:szCs w:val="20"/>
        </w:rPr>
      </w:pPr>
      <w:r>
        <w:rPr>
          <w:rFonts w:ascii="Arial" w:eastAsia="Arial" w:hAnsi="Arial" w:cs="Arial"/>
          <w:sz w:val="14"/>
          <w:szCs w:val="14"/>
        </w:rPr>
        <w:t>ii</w:t>
      </w:r>
    </w:p>
    <w:p w14:paraId="72D25BFD" w14:textId="77777777" w:rsidR="00D1587D" w:rsidRDefault="00410D07">
      <w:pPr>
        <w:spacing w:line="20" w:lineRule="exact"/>
        <w:rPr>
          <w:sz w:val="20"/>
          <w:szCs w:val="20"/>
        </w:rPr>
      </w:pPr>
      <w:r>
        <w:rPr>
          <w:noProof/>
          <w:sz w:val="20"/>
          <w:szCs w:val="20"/>
        </w:rPr>
        <w:drawing>
          <wp:anchor distT="0" distB="0" distL="114300" distR="114300" simplePos="0" relativeHeight="251266048" behindDoc="1" locked="0" layoutInCell="0" allowOverlap="1" wp14:anchorId="6A524F68" wp14:editId="72BD32BA">
            <wp:simplePos x="0" y="0"/>
            <wp:positionH relativeFrom="column">
              <wp:posOffset>5080</wp:posOffset>
            </wp:positionH>
            <wp:positionV relativeFrom="paragraph">
              <wp:posOffset>38100</wp:posOffset>
            </wp:positionV>
            <wp:extent cx="7132320" cy="1714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B1FEA94" w14:textId="77777777" w:rsidR="00D1587D" w:rsidRDefault="00D1587D">
      <w:pPr>
        <w:sectPr w:rsidR="00D1587D">
          <w:pgSz w:w="11900" w:h="16838"/>
          <w:pgMar w:top="341" w:right="339" w:bottom="1440" w:left="320" w:header="0" w:footer="0" w:gutter="0"/>
          <w:cols w:space="720" w:equalWidth="0">
            <w:col w:w="11240"/>
          </w:cols>
        </w:sectPr>
      </w:pPr>
    </w:p>
    <w:p w14:paraId="6276F85F" w14:textId="77777777" w:rsidR="00D1587D" w:rsidRDefault="00410D07">
      <w:pPr>
        <w:ind w:right="-39"/>
        <w:jc w:val="center"/>
        <w:rPr>
          <w:sz w:val="20"/>
          <w:szCs w:val="20"/>
        </w:rPr>
      </w:pPr>
      <w:bookmarkStart w:id="114" w:name="page115"/>
      <w:bookmarkEnd w:id="114"/>
      <w:r>
        <w:rPr>
          <w:rFonts w:ascii="Arial" w:eastAsia="Arial" w:hAnsi="Arial" w:cs="Arial"/>
          <w:b/>
          <w:bCs/>
        </w:rPr>
        <w:t>VS TO L BRANDS TRANSITION SERVICES AGREEMENT</w:t>
      </w:r>
    </w:p>
    <w:p w14:paraId="09232EBB" w14:textId="77777777" w:rsidR="00D1587D" w:rsidRDefault="00D1587D">
      <w:pPr>
        <w:spacing w:line="233" w:lineRule="exact"/>
        <w:rPr>
          <w:sz w:val="20"/>
          <w:szCs w:val="20"/>
        </w:rPr>
      </w:pPr>
    </w:p>
    <w:p w14:paraId="25C463B9" w14:textId="77777777" w:rsidR="00D1587D" w:rsidRDefault="00410D07">
      <w:pPr>
        <w:spacing w:line="243" w:lineRule="auto"/>
        <w:ind w:right="820" w:firstLine="648"/>
        <w:jc w:val="both"/>
        <w:rPr>
          <w:sz w:val="20"/>
          <w:szCs w:val="20"/>
        </w:rPr>
      </w:pPr>
      <w:r>
        <w:rPr>
          <w:rFonts w:ascii="Arial" w:eastAsia="Arial" w:hAnsi="Arial" w:cs="Arial"/>
        </w:rPr>
        <w:t xml:space="preserve">VS TO L </w:t>
      </w:r>
      <w:r>
        <w:rPr>
          <w:rFonts w:ascii="Arial" w:eastAsia="Arial" w:hAnsi="Arial" w:cs="Arial"/>
        </w:rPr>
        <w:t>BRANDS TRANSITION SERVICES AGREEMENT (this “</w:t>
      </w:r>
      <w:r>
        <w:rPr>
          <w:rFonts w:ascii="Arial" w:eastAsia="Arial" w:hAnsi="Arial" w:cs="Arial"/>
          <w:b/>
          <w:bCs/>
        </w:rPr>
        <w:t>Agreement</w:t>
      </w:r>
      <w:r>
        <w:rPr>
          <w:rFonts w:ascii="Arial" w:eastAsia="Arial" w:hAnsi="Arial" w:cs="Arial"/>
        </w:rPr>
        <w:t>”) dated as of [__], 2021 (the “</w:t>
      </w:r>
      <w:r>
        <w:rPr>
          <w:rFonts w:ascii="Arial" w:eastAsia="Arial" w:hAnsi="Arial" w:cs="Arial"/>
          <w:b/>
          <w:bCs/>
        </w:rPr>
        <w:t>Effective Date</w:t>
      </w:r>
      <w:r>
        <w:rPr>
          <w:rFonts w:ascii="Arial" w:eastAsia="Arial" w:hAnsi="Arial" w:cs="Arial"/>
        </w:rPr>
        <w:t>”) between Victoria’s Secret &amp; Co., a Delaware corporation (“</w:t>
      </w:r>
      <w:r>
        <w:rPr>
          <w:rFonts w:ascii="Arial" w:eastAsia="Arial" w:hAnsi="Arial" w:cs="Arial"/>
          <w:b/>
          <w:bCs/>
        </w:rPr>
        <w:t>Service Provider</w:t>
      </w:r>
      <w:r>
        <w:rPr>
          <w:rFonts w:ascii="Arial" w:eastAsia="Arial" w:hAnsi="Arial" w:cs="Arial"/>
        </w:rPr>
        <w:t>”), and L Brands, Inc., a Delaware corporation (“</w:t>
      </w:r>
      <w:r>
        <w:rPr>
          <w:rFonts w:ascii="Arial" w:eastAsia="Arial" w:hAnsi="Arial" w:cs="Arial"/>
          <w:b/>
          <w:bCs/>
        </w:rPr>
        <w:t>L Brands</w:t>
      </w:r>
      <w:r>
        <w:rPr>
          <w:rFonts w:ascii="Arial" w:eastAsia="Arial" w:hAnsi="Arial" w:cs="Arial"/>
        </w:rPr>
        <w:t>”).</w:t>
      </w:r>
    </w:p>
    <w:p w14:paraId="7A3274FD" w14:textId="77777777" w:rsidR="00D1587D" w:rsidRDefault="00D1587D">
      <w:pPr>
        <w:spacing w:line="204" w:lineRule="exact"/>
        <w:rPr>
          <w:sz w:val="20"/>
          <w:szCs w:val="20"/>
        </w:rPr>
      </w:pPr>
    </w:p>
    <w:p w14:paraId="7CBF045E" w14:textId="77777777" w:rsidR="00D1587D" w:rsidRDefault="00410D07">
      <w:pPr>
        <w:ind w:right="-39"/>
        <w:jc w:val="center"/>
        <w:rPr>
          <w:sz w:val="20"/>
          <w:szCs w:val="20"/>
        </w:rPr>
      </w:pPr>
      <w:r>
        <w:rPr>
          <w:rFonts w:ascii="Arial" w:eastAsia="Arial" w:hAnsi="Arial" w:cs="Arial"/>
          <w:b/>
          <w:bCs/>
        </w:rPr>
        <w:t xml:space="preserve">W I T N E S S E T </w:t>
      </w:r>
      <w:r>
        <w:rPr>
          <w:rFonts w:ascii="Arial" w:eastAsia="Arial" w:hAnsi="Arial" w:cs="Arial"/>
          <w:b/>
          <w:bCs/>
        </w:rPr>
        <w:t>H :</w:t>
      </w:r>
    </w:p>
    <w:p w14:paraId="47179118" w14:textId="77777777" w:rsidR="00D1587D" w:rsidRDefault="00D1587D">
      <w:pPr>
        <w:spacing w:line="239" w:lineRule="exact"/>
        <w:rPr>
          <w:sz w:val="20"/>
          <w:szCs w:val="20"/>
        </w:rPr>
      </w:pPr>
    </w:p>
    <w:p w14:paraId="6E2624CD" w14:textId="77777777" w:rsidR="00D1587D" w:rsidRDefault="00410D07">
      <w:pPr>
        <w:spacing w:line="297" w:lineRule="auto"/>
        <w:ind w:right="100" w:firstLine="648"/>
        <w:jc w:val="both"/>
        <w:rPr>
          <w:sz w:val="20"/>
          <w:szCs w:val="20"/>
        </w:rPr>
      </w:pPr>
      <w:r>
        <w:rPr>
          <w:rFonts w:ascii="Arial" w:eastAsia="Arial" w:hAnsi="Arial" w:cs="Arial"/>
          <w:sz w:val="19"/>
          <w:szCs w:val="19"/>
        </w:rPr>
        <w:t>WHEREAS, L Brands and Service Provider have entered into a Separation and Distribution Agreement dated as of [__], 2021 (the “</w:t>
      </w:r>
      <w:r>
        <w:rPr>
          <w:rFonts w:ascii="Arial" w:eastAsia="Arial" w:hAnsi="Arial" w:cs="Arial"/>
          <w:b/>
          <w:bCs/>
          <w:sz w:val="19"/>
          <w:szCs w:val="19"/>
        </w:rPr>
        <w:t>Separation Agreement</w:t>
      </w:r>
      <w:r>
        <w:rPr>
          <w:rFonts w:ascii="Arial" w:eastAsia="Arial" w:hAnsi="Arial" w:cs="Arial"/>
          <w:sz w:val="19"/>
          <w:szCs w:val="19"/>
        </w:rPr>
        <w:t>”), pursuant to which and on the terms and conditions set forth therein, among other things, L Brands has</w:t>
      </w:r>
      <w:r>
        <w:rPr>
          <w:rFonts w:ascii="Arial" w:eastAsia="Arial" w:hAnsi="Arial" w:cs="Arial"/>
          <w:sz w:val="19"/>
          <w:szCs w:val="19"/>
        </w:rPr>
        <w:t xml:space="preserve"> agreed to distribute the VS Business to the holders of the L Brands Common Stock as of the Record Date;</w:t>
      </w:r>
    </w:p>
    <w:p w14:paraId="485EB991" w14:textId="77777777" w:rsidR="00D1587D" w:rsidRDefault="00D1587D">
      <w:pPr>
        <w:spacing w:line="161" w:lineRule="exact"/>
        <w:rPr>
          <w:sz w:val="20"/>
          <w:szCs w:val="20"/>
        </w:rPr>
      </w:pPr>
    </w:p>
    <w:p w14:paraId="7501DB7F" w14:textId="77777777" w:rsidR="00D1587D" w:rsidRDefault="00410D07">
      <w:pPr>
        <w:ind w:right="160" w:firstLine="648"/>
        <w:rPr>
          <w:sz w:val="20"/>
          <w:szCs w:val="20"/>
        </w:rPr>
      </w:pPr>
      <w:r>
        <w:rPr>
          <w:rFonts w:ascii="Arial" w:eastAsia="Arial" w:hAnsi="Arial" w:cs="Arial"/>
        </w:rPr>
        <w:t xml:space="preserve">WHEREAS, pursuant to the Separation Agreement, Service Provider has agreed to enter into this Agreement to cause to be provided certain </w:t>
      </w:r>
      <w:r>
        <w:rPr>
          <w:rFonts w:ascii="Arial" w:eastAsia="Arial" w:hAnsi="Arial" w:cs="Arial"/>
        </w:rPr>
        <w:t>services to the Service Recipients on the terms and conditions set forth herein in connection with the transactions contemplated by the Separation Agreement; and</w:t>
      </w:r>
    </w:p>
    <w:p w14:paraId="634E7F96" w14:textId="77777777" w:rsidR="00D1587D" w:rsidRDefault="00D1587D">
      <w:pPr>
        <w:spacing w:line="213" w:lineRule="exact"/>
        <w:rPr>
          <w:sz w:val="20"/>
          <w:szCs w:val="20"/>
        </w:rPr>
      </w:pPr>
    </w:p>
    <w:p w14:paraId="55817F6C" w14:textId="77777777" w:rsidR="00D1587D" w:rsidRDefault="00410D07">
      <w:pPr>
        <w:spacing w:line="250" w:lineRule="auto"/>
        <w:ind w:right="460" w:firstLine="648"/>
        <w:rPr>
          <w:sz w:val="20"/>
          <w:szCs w:val="20"/>
        </w:rPr>
      </w:pPr>
      <w:r>
        <w:rPr>
          <w:rFonts w:ascii="Arial" w:eastAsia="Arial" w:hAnsi="Arial" w:cs="Arial"/>
        </w:rPr>
        <w:t xml:space="preserve">WHEREAS, Service Provider has agreed to cause the Services to be provided in accordance with </w:t>
      </w:r>
      <w:r>
        <w:rPr>
          <w:rFonts w:ascii="Arial" w:eastAsia="Arial" w:hAnsi="Arial" w:cs="Arial"/>
        </w:rPr>
        <w:t>the terms hereof in order to facilitate the orderly separation of the L Brands Business from the VS Business.</w:t>
      </w:r>
    </w:p>
    <w:p w14:paraId="64023B95" w14:textId="77777777" w:rsidR="00D1587D" w:rsidRDefault="00D1587D">
      <w:pPr>
        <w:spacing w:line="202" w:lineRule="exact"/>
        <w:rPr>
          <w:sz w:val="20"/>
          <w:szCs w:val="20"/>
        </w:rPr>
      </w:pPr>
    </w:p>
    <w:p w14:paraId="44B4ABCE" w14:textId="77777777" w:rsidR="00D1587D" w:rsidRDefault="00410D07">
      <w:pPr>
        <w:spacing w:line="328" w:lineRule="auto"/>
        <w:ind w:firstLine="648"/>
        <w:rPr>
          <w:sz w:val="20"/>
          <w:szCs w:val="20"/>
        </w:rPr>
      </w:pPr>
      <w:r>
        <w:rPr>
          <w:rFonts w:ascii="Arial" w:eastAsia="Arial" w:hAnsi="Arial" w:cs="Arial"/>
          <w:sz w:val="19"/>
          <w:szCs w:val="19"/>
        </w:rPr>
        <w:t>NOW, THEREFORE, in consideration of the covenants and agreements contained herein and other good and valuable consideration, the receipt and suff</w:t>
      </w:r>
      <w:r>
        <w:rPr>
          <w:rFonts w:ascii="Arial" w:eastAsia="Arial" w:hAnsi="Arial" w:cs="Arial"/>
          <w:sz w:val="19"/>
          <w:szCs w:val="19"/>
        </w:rPr>
        <w:t>iciency of which are hereby mutually acknowledged, the parties hereto hereby agree as follows:</w:t>
      </w:r>
    </w:p>
    <w:p w14:paraId="622FCE28" w14:textId="77777777" w:rsidR="00D1587D" w:rsidRDefault="00D1587D">
      <w:pPr>
        <w:spacing w:line="132" w:lineRule="exact"/>
        <w:rPr>
          <w:sz w:val="20"/>
          <w:szCs w:val="20"/>
        </w:rPr>
      </w:pPr>
    </w:p>
    <w:p w14:paraId="5F04C9F1" w14:textId="77777777" w:rsidR="00D1587D" w:rsidRDefault="00410D07">
      <w:pPr>
        <w:ind w:right="-39"/>
        <w:jc w:val="center"/>
        <w:rPr>
          <w:sz w:val="20"/>
          <w:szCs w:val="20"/>
        </w:rPr>
      </w:pPr>
      <w:r>
        <w:rPr>
          <w:rFonts w:ascii="Arial" w:eastAsia="Arial" w:hAnsi="Arial" w:cs="Arial"/>
        </w:rPr>
        <w:t>ARTICLE 1</w:t>
      </w:r>
    </w:p>
    <w:p w14:paraId="55C41497" w14:textId="77777777" w:rsidR="00D1587D" w:rsidRDefault="00D1587D">
      <w:pPr>
        <w:spacing w:line="8" w:lineRule="exact"/>
        <w:rPr>
          <w:sz w:val="20"/>
          <w:szCs w:val="20"/>
        </w:rPr>
      </w:pPr>
    </w:p>
    <w:p w14:paraId="5E56D03A" w14:textId="77777777" w:rsidR="00D1587D" w:rsidRDefault="00410D07">
      <w:pPr>
        <w:ind w:right="-39"/>
        <w:jc w:val="center"/>
        <w:rPr>
          <w:sz w:val="20"/>
          <w:szCs w:val="20"/>
        </w:rPr>
      </w:pPr>
      <w:r>
        <w:rPr>
          <w:rFonts w:ascii="Arial" w:eastAsia="Arial" w:hAnsi="Arial" w:cs="Arial"/>
        </w:rPr>
        <w:t>DEFINITIONS</w:t>
      </w:r>
    </w:p>
    <w:p w14:paraId="437F2613" w14:textId="77777777" w:rsidR="00D1587D" w:rsidRDefault="00D1587D">
      <w:pPr>
        <w:spacing w:line="215" w:lineRule="exact"/>
        <w:rPr>
          <w:sz w:val="20"/>
          <w:szCs w:val="20"/>
        </w:rPr>
      </w:pPr>
    </w:p>
    <w:p w14:paraId="7FE47B0B" w14:textId="77777777" w:rsidR="00D1587D" w:rsidRDefault="00410D07">
      <w:pPr>
        <w:tabs>
          <w:tab w:val="left" w:pos="2300"/>
        </w:tabs>
        <w:ind w:left="660"/>
        <w:rPr>
          <w:sz w:val="20"/>
          <w:szCs w:val="20"/>
        </w:rPr>
      </w:pPr>
      <w:r>
        <w:rPr>
          <w:rFonts w:ascii="Arial" w:eastAsia="Arial" w:hAnsi="Arial" w:cs="Arial"/>
        </w:rPr>
        <w:t>Section 1.01.</w:t>
      </w:r>
      <w:r>
        <w:rPr>
          <w:sz w:val="20"/>
          <w:szCs w:val="20"/>
        </w:rPr>
        <w:tab/>
      </w:r>
      <w:r>
        <w:rPr>
          <w:rFonts w:ascii="Arial" w:eastAsia="Arial" w:hAnsi="Arial" w:cs="Arial"/>
          <w:i/>
          <w:iCs/>
          <w:sz w:val="19"/>
          <w:szCs w:val="19"/>
        </w:rPr>
        <w:t>Definitions</w:t>
      </w:r>
      <w:r>
        <w:rPr>
          <w:rFonts w:ascii="Arial" w:eastAsia="Arial" w:hAnsi="Arial" w:cs="Arial"/>
          <w:sz w:val="19"/>
          <w:szCs w:val="19"/>
        </w:rPr>
        <w:t>. (a) As used herein, the following terms shall have the following meanings:</w:t>
      </w:r>
    </w:p>
    <w:p w14:paraId="7B515485" w14:textId="77777777" w:rsidR="00D1587D" w:rsidRDefault="00D1587D">
      <w:pPr>
        <w:spacing w:line="227" w:lineRule="exact"/>
        <w:rPr>
          <w:sz w:val="20"/>
          <w:szCs w:val="20"/>
        </w:rPr>
      </w:pPr>
    </w:p>
    <w:p w14:paraId="7A247882" w14:textId="77777777" w:rsidR="00D1587D" w:rsidRDefault="00410D07">
      <w:pPr>
        <w:spacing w:line="239" w:lineRule="auto"/>
        <w:ind w:right="60" w:firstLine="648"/>
        <w:rPr>
          <w:sz w:val="20"/>
          <w:szCs w:val="20"/>
        </w:rPr>
      </w:pPr>
      <w:r>
        <w:rPr>
          <w:rFonts w:ascii="Arial" w:eastAsia="Arial" w:hAnsi="Arial" w:cs="Arial"/>
        </w:rPr>
        <w:t>“</w:t>
      </w:r>
      <w:r>
        <w:rPr>
          <w:rFonts w:ascii="Arial" w:eastAsia="Arial" w:hAnsi="Arial" w:cs="Arial"/>
          <w:b/>
          <w:bCs/>
        </w:rPr>
        <w:t>Dependent Services</w:t>
      </w:r>
      <w:r>
        <w:rPr>
          <w:rFonts w:ascii="Arial" w:eastAsia="Arial" w:hAnsi="Arial" w:cs="Arial"/>
        </w:rPr>
        <w:t xml:space="preserve">” means, </w:t>
      </w:r>
      <w:r>
        <w:rPr>
          <w:rFonts w:ascii="Arial" w:eastAsia="Arial" w:hAnsi="Arial" w:cs="Arial"/>
        </w:rPr>
        <w:t>with respect to any specified Service (or portion thereof), any and all Services (or portion thereof) that, in Service Provider’s good faith reasonable determination, are dependent on the continuation of such specified Service (or portion thereof) or would</w:t>
      </w:r>
      <w:r>
        <w:rPr>
          <w:rFonts w:ascii="Arial" w:eastAsia="Arial" w:hAnsi="Arial" w:cs="Arial"/>
        </w:rPr>
        <w:t xml:space="preserve"> be adversely affected by the termination or suspension of such specified Service (or portion thereof).</w:t>
      </w:r>
    </w:p>
    <w:p w14:paraId="64301FB7" w14:textId="77777777" w:rsidR="00D1587D" w:rsidRDefault="00D1587D">
      <w:pPr>
        <w:spacing w:line="207" w:lineRule="exact"/>
        <w:rPr>
          <w:sz w:val="20"/>
          <w:szCs w:val="20"/>
        </w:rPr>
      </w:pPr>
    </w:p>
    <w:p w14:paraId="253D9F80" w14:textId="77777777" w:rsidR="00D1587D" w:rsidRDefault="00410D07">
      <w:pPr>
        <w:spacing w:line="239" w:lineRule="auto"/>
        <w:ind w:right="180" w:firstLine="648"/>
        <w:rPr>
          <w:sz w:val="20"/>
          <w:szCs w:val="20"/>
        </w:rPr>
      </w:pPr>
      <w:r>
        <w:rPr>
          <w:rFonts w:ascii="Arial" w:eastAsia="Arial" w:hAnsi="Arial" w:cs="Arial"/>
        </w:rPr>
        <w:t>“</w:t>
      </w:r>
      <w:r>
        <w:rPr>
          <w:rFonts w:ascii="Arial" w:eastAsia="Arial" w:hAnsi="Arial" w:cs="Arial"/>
          <w:b/>
          <w:bCs/>
        </w:rPr>
        <w:t>Disengagement Costs</w:t>
      </w:r>
      <w:r>
        <w:rPr>
          <w:rFonts w:ascii="Arial" w:eastAsia="Arial" w:hAnsi="Arial" w:cs="Arial"/>
        </w:rPr>
        <w:t>” means any and all costs, charges and expenses of any kind incurred by Service Provider or any of its Affiliates in connection wit</w:t>
      </w:r>
      <w:r>
        <w:rPr>
          <w:rFonts w:ascii="Arial" w:eastAsia="Arial" w:hAnsi="Arial" w:cs="Arial"/>
        </w:rPr>
        <w:t>h the termination of this Agreement or relating to the cessation of any Services hereunder, including all third party charges, costs or fees, all third party cancellation or termination charges, costs or fees and the market value of all Disengagement Servi</w:t>
      </w:r>
      <w:r>
        <w:rPr>
          <w:rFonts w:ascii="Arial" w:eastAsia="Arial" w:hAnsi="Arial" w:cs="Arial"/>
        </w:rPr>
        <w:t>ces provided by other Persons.</w:t>
      </w:r>
    </w:p>
    <w:p w14:paraId="481CBA2E" w14:textId="77777777" w:rsidR="00D1587D" w:rsidRDefault="00D1587D">
      <w:pPr>
        <w:spacing w:line="207" w:lineRule="exact"/>
        <w:rPr>
          <w:sz w:val="20"/>
          <w:szCs w:val="20"/>
        </w:rPr>
      </w:pPr>
    </w:p>
    <w:p w14:paraId="111F57E5" w14:textId="77777777" w:rsidR="00D1587D" w:rsidRDefault="00410D07">
      <w:pPr>
        <w:spacing w:line="243" w:lineRule="auto"/>
        <w:ind w:right="40" w:firstLine="648"/>
        <w:rPr>
          <w:sz w:val="20"/>
          <w:szCs w:val="20"/>
        </w:rPr>
      </w:pPr>
      <w:r>
        <w:rPr>
          <w:rFonts w:ascii="Arial" w:eastAsia="Arial" w:hAnsi="Arial" w:cs="Arial"/>
        </w:rPr>
        <w:t>“</w:t>
      </w:r>
      <w:r>
        <w:rPr>
          <w:rFonts w:ascii="Arial" w:eastAsia="Arial" w:hAnsi="Arial" w:cs="Arial"/>
          <w:b/>
          <w:bCs/>
        </w:rPr>
        <w:t>Disengagement Services</w:t>
      </w:r>
      <w:r>
        <w:rPr>
          <w:rFonts w:ascii="Arial" w:eastAsia="Arial" w:hAnsi="Arial" w:cs="Arial"/>
        </w:rPr>
        <w:t>” means all services (other than the Services) provided hereunder at the request of L Brands primarily for the purpose of disengaging and transitioning Services from Service Provider and its Affiliates</w:t>
      </w:r>
      <w:r>
        <w:rPr>
          <w:rFonts w:ascii="Arial" w:eastAsia="Arial" w:hAnsi="Arial" w:cs="Arial"/>
        </w:rPr>
        <w:t xml:space="preserve"> to L Brands or any of its Affiliates.</w:t>
      </w:r>
    </w:p>
    <w:p w14:paraId="7A7BB638" w14:textId="77777777" w:rsidR="00D1587D" w:rsidRDefault="00D1587D">
      <w:pPr>
        <w:spacing w:line="204" w:lineRule="exact"/>
        <w:rPr>
          <w:sz w:val="20"/>
          <w:szCs w:val="20"/>
        </w:rPr>
      </w:pPr>
    </w:p>
    <w:p w14:paraId="770A6DDD" w14:textId="77777777" w:rsidR="00D1587D" w:rsidRDefault="00410D07">
      <w:pPr>
        <w:ind w:left="660"/>
        <w:rPr>
          <w:sz w:val="20"/>
          <w:szCs w:val="20"/>
        </w:rPr>
      </w:pPr>
      <w:r>
        <w:rPr>
          <w:rFonts w:ascii="Arial" w:eastAsia="Arial" w:hAnsi="Arial" w:cs="Arial"/>
        </w:rPr>
        <w:t>“</w:t>
      </w:r>
      <w:r>
        <w:rPr>
          <w:rFonts w:ascii="Arial" w:eastAsia="Arial" w:hAnsi="Arial" w:cs="Arial"/>
          <w:b/>
          <w:bCs/>
        </w:rPr>
        <w:t>Service Costs</w:t>
      </w:r>
      <w:r>
        <w:rPr>
          <w:rFonts w:ascii="Arial" w:eastAsia="Arial" w:hAnsi="Arial" w:cs="Arial"/>
        </w:rPr>
        <w:t>” means the Service Fees and Service Taxes.</w:t>
      </w:r>
    </w:p>
    <w:p w14:paraId="6625AA4C" w14:textId="77777777" w:rsidR="00D1587D" w:rsidRDefault="00D1587D">
      <w:pPr>
        <w:spacing w:line="233" w:lineRule="exact"/>
        <w:rPr>
          <w:sz w:val="20"/>
          <w:szCs w:val="20"/>
        </w:rPr>
      </w:pPr>
    </w:p>
    <w:p w14:paraId="4E031EEB" w14:textId="77777777" w:rsidR="00D1587D" w:rsidRDefault="00410D07">
      <w:pPr>
        <w:spacing w:line="243" w:lineRule="auto"/>
        <w:ind w:right="120" w:firstLine="648"/>
        <w:rPr>
          <w:sz w:val="20"/>
          <w:szCs w:val="20"/>
        </w:rPr>
      </w:pPr>
      <w:r>
        <w:rPr>
          <w:rFonts w:ascii="Arial" w:eastAsia="Arial" w:hAnsi="Arial" w:cs="Arial"/>
        </w:rPr>
        <w:t>“</w:t>
      </w:r>
      <w:r>
        <w:rPr>
          <w:rFonts w:ascii="Arial" w:eastAsia="Arial" w:hAnsi="Arial" w:cs="Arial"/>
          <w:b/>
          <w:bCs/>
        </w:rPr>
        <w:t>Services</w:t>
      </w:r>
      <w:r>
        <w:rPr>
          <w:rFonts w:ascii="Arial" w:eastAsia="Arial" w:hAnsi="Arial" w:cs="Arial"/>
        </w:rPr>
        <w:t>” means, subject to the limitations set forth herein and solely to the extent related to the L Brands Business, the transition services described on</w:t>
      </w:r>
      <w:r>
        <w:rPr>
          <w:rFonts w:ascii="Arial" w:eastAsia="Arial" w:hAnsi="Arial" w:cs="Arial"/>
        </w:rPr>
        <w:t xml:space="preserve"> </w:t>
      </w:r>
      <w:r>
        <w:rPr>
          <w:rFonts w:ascii="Arial" w:eastAsia="Arial" w:hAnsi="Arial" w:cs="Arial"/>
          <w:u w:val="single"/>
        </w:rPr>
        <w:t>Schedules A-1 through A-[__]</w:t>
      </w:r>
      <w:r>
        <w:rPr>
          <w:rFonts w:ascii="Arial" w:eastAsia="Arial" w:hAnsi="Arial" w:cs="Arial"/>
        </w:rPr>
        <w:t>; each such schedule a “</w:t>
      </w:r>
      <w:r>
        <w:rPr>
          <w:rFonts w:ascii="Arial" w:eastAsia="Arial" w:hAnsi="Arial" w:cs="Arial"/>
          <w:b/>
          <w:bCs/>
        </w:rPr>
        <w:t>Service Schedule</w:t>
      </w:r>
      <w:r>
        <w:rPr>
          <w:rFonts w:ascii="Arial" w:eastAsia="Arial" w:hAnsi="Arial" w:cs="Arial"/>
        </w:rPr>
        <w:t>” and collectively the “</w:t>
      </w:r>
      <w:r>
        <w:rPr>
          <w:rFonts w:ascii="Arial" w:eastAsia="Arial" w:hAnsi="Arial" w:cs="Arial"/>
          <w:b/>
          <w:bCs/>
        </w:rPr>
        <w:t>Service Schedules</w:t>
      </w:r>
      <w:r>
        <w:rPr>
          <w:rFonts w:ascii="Arial" w:eastAsia="Arial" w:hAnsi="Arial" w:cs="Arial"/>
        </w:rPr>
        <w:t>”.</w:t>
      </w:r>
    </w:p>
    <w:p w14:paraId="68C5FA21" w14:textId="77777777" w:rsidR="00D1587D" w:rsidRDefault="00D1587D">
      <w:pPr>
        <w:spacing w:line="204" w:lineRule="exact"/>
        <w:rPr>
          <w:sz w:val="20"/>
          <w:szCs w:val="20"/>
        </w:rPr>
      </w:pPr>
    </w:p>
    <w:p w14:paraId="0E19BF40" w14:textId="77777777" w:rsidR="00D1587D" w:rsidRDefault="00410D07">
      <w:pPr>
        <w:spacing w:line="243" w:lineRule="auto"/>
        <w:ind w:right="140" w:firstLine="648"/>
        <w:rPr>
          <w:sz w:val="20"/>
          <w:szCs w:val="20"/>
        </w:rPr>
      </w:pPr>
      <w:r>
        <w:rPr>
          <w:rFonts w:ascii="Arial" w:eastAsia="Arial" w:hAnsi="Arial" w:cs="Arial"/>
        </w:rPr>
        <w:t>“</w:t>
      </w:r>
      <w:r>
        <w:rPr>
          <w:rFonts w:ascii="Arial" w:eastAsia="Arial" w:hAnsi="Arial" w:cs="Arial"/>
          <w:b/>
          <w:bCs/>
        </w:rPr>
        <w:t>TSA Employee</w:t>
      </w:r>
      <w:r>
        <w:rPr>
          <w:rFonts w:ascii="Arial" w:eastAsia="Arial" w:hAnsi="Arial" w:cs="Arial"/>
        </w:rPr>
        <w:t>” means each individual who (i) is employed by Service Provider or any of its Affiliates (other than, for the avoidance of doubt,</w:t>
      </w:r>
      <w:r>
        <w:rPr>
          <w:rFonts w:ascii="Arial" w:eastAsia="Arial" w:hAnsi="Arial" w:cs="Arial"/>
        </w:rPr>
        <w:t xml:space="preserve"> any employee of any Service Recipient) and (ii) provides Services (or any portion thereof) pursuant to this Agreement.</w:t>
      </w:r>
    </w:p>
    <w:p w14:paraId="0CCAA603" w14:textId="77777777" w:rsidR="00D1587D" w:rsidRDefault="00410D07">
      <w:pPr>
        <w:spacing w:line="20" w:lineRule="exact"/>
        <w:rPr>
          <w:sz w:val="20"/>
          <w:szCs w:val="20"/>
        </w:rPr>
      </w:pPr>
      <w:r>
        <w:rPr>
          <w:noProof/>
          <w:sz w:val="20"/>
          <w:szCs w:val="20"/>
        </w:rPr>
        <w:drawing>
          <wp:anchor distT="0" distB="0" distL="114300" distR="114300" simplePos="0" relativeHeight="251267072" behindDoc="1" locked="0" layoutInCell="0" allowOverlap="1" wp14:anchorId="5F5003A0" wp14:editId="1BA80D49">
            <wp:simplePos x="0" y="0"/>
            <wp:positionH relativeFrom="column">
              <wp:posOffset>5080</wp:posOffset>
            </wp:positionH>
            <wp:positionV relativeFrom="paragraph">
              <wp:posOffset>258445</wp:posOffset>
            </wp:positionV>
            <wp:extent cx="7132320" cy="1714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54F7790" w14:textId="77777777" w:rsidR="00D1587D" w:rsidRDefault="00D1587D">
      <w:pPr>
        <w:sectPr w:rsidR="00D1587D">
          <w:pgSz w:w="11900" w:h="16838"/>
          <w:pgMar w:top="355" w:right="359" w:bottom="1440" w:left="320" w:header="0" w:footer="0" w:gutter="0"/>
          <w:cols w:space="720" w:equalWidth="0">
            <w:col w:w="11220"/>
          </w:cols>
        </w:sectPr>
      </w:pPr>
    </w:p>
    <w:p w14:paraId="64AAAB2C" w14:textId="77777777" w:rsidR="00D1587D" w:rsidRDefault="00410D07">
      <w:pPr>
        <w:numPr>
          <w:ilvl w:val="0"/>
          <w:numId w:val="77"/>
        </w:numPr>
        <w:tabs>
          <w:tab w:val="left" w:pos="1440"/>
        </w:tabs>
        <w:spacing w:line="250" w:lineRule="auto"/>
        <w:ind w:right="940" w:firstLine="656"/>
        <w:rPr>
          <w:rFonts w:ascii="Arial" w:eastAsia="Arial" w:hAnsi="Arial" w:cs="Arial"/>
        </w:rPr>
      </w:pPr>
      <w:bookmarkStart w:id="115" w:name="page116"/>
      <w:bookmarkEnd w:id="115"/>
      <w:r>
        <w:rPr>
          <w:rFonts w:ascii="Arial" w:eastAsia="Arial" w:hAnsi="Arial" w:cs="Arial"/>
        </w:rPr>
        <w:t xml:space="preserve">All capitalized terms used but not defined herein shall have the meanings ascribed to such terms in the </w:t>
      </w:r>
      <w:r>
        <w:rPr>
          <w:rFonts w:ascii="Arial" w:eastAsia="Arial" w:hAnsi="Arial" w:cs="Arial"/>
        </w:rPr>
        <w:t>Separation Agreement.</w:t>
      </w:r>
    </w:p>
    <w:p w14:paraId="0275AB5A" w14:textId="77777777" w:rsidR="00D1587D" w:rsidRDefault="00D1587D">
      <w:pPr>
        <w:spacing w:line="201" w:lineRule="exact"/>
        <w:rPr>
          <w:rFonts w:ascii="Arial" w:eastAsia="Arial" w:hAnsi="Arial" w:cs="Arial"/>
        </w:rPr>
      </w:pPr>
    </w:p>
    <w:p w14:paraId="773B528A" w14:textId="77777777" w:rsidR="00D1587D" w:rsidRDefault="00410D07">
      <w:pPr>
        <w:numPr>
          <w:ilvl w:val="0"/>
          <w:numId w:val="77"/>
        </w:numPr>
        <w:tabs>
          <w:tab w:val="left" w:pos="1440"/>
        </w:tabs>
        <w:ind w:left="1440" w:hanging="784"/>
        <w:rPr>
          <w:rFonts w:ascii="Arial" w:eastAsia="Arial" w:hAnsi="Arial" w:cs="Arial"/>
        </w:rPr>
      </w:pPr>
      <w:r>
        <w:rPr>
          <w:rFonts w:ascii="Arial" w:eastAsia="Arial" w:hAnsi="Arial" w:cs="Arial"/>
        </w:rPr>
        <w:t>Each of the following terms is defined in the Section set forth opposite such term:</w:t>
      </w:r>
    </w:p>
    <w:p w14:paraId="39DA76D7" w14:textId="77777777" w:rsidR="00D1587D" w:rsidRDefault="00D1587D">
      <w:pPr>
        <w:spacing w:line="23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860"/>
        <w:gridCol w:w="6380"/>
      </w:tblGrid>
      <w:tr w:rsidR="00D1587D" w14:paraId="58D17DA8" w14:textId="77777777">
        <w:trPr>
          <w:trHeight w:val="220"/>
        </w:trPr>
        <w:tc>
          <w:tcPr>
            <w:tcW w:w="4860" w:type="dxa"/>
            <w:vAlign w:val="bottom"/>
          </w:tcPr>
          <w:p w14:paraId="0D0DE682" w14:textId="77777777" w:rsidR="00D1587D" w:rsidRDefault="00410D07">
            <w:pPr>
              <w:ind w:left="1140"/>
              <w:rPr>
                <w:sz w:val="20"/>
                <w:szCs w:val="20"/>
              </w:rPr>
            </w:pPr>
            <w:r>
              <w:rPr>
                <w:rFonts w:ascii="Arial" w:eastAsia="Arial" w:hAnsi="Arial" w:cs="Arial"/>
                <w:b/>
                <w:bCs/>
                <w:sz w:val="18"/>
                <w:szCs w:val="18"/>
              </w:rPr>
              <w:t>Term</w:t>
            </w:r>
          </w:p>
        </w:tc>
        <w:tc>
          <w:tcPr>
            <w:tcW w:w="6380" w:type="dxa"/>
            <w:vAlign w:val="bottom"/>
          </w:tcPr>
          <w:p w14:paraId="6950B8E1" w14:textId="77777777" w:rsidR="00D1587D" w:rsidRDefault="00410D07">
            <w:pPr>
              <w:ind w:left="2560"/>
              <w:rPr>
                <w:sz w:val="20"/>
                <w:szCs w:val="20"/>
              </w:rPr>
            </w:pPr>
            <w:r>
              <w:rPr>
                <w:rFonts w:ascii="Arial" w:eastAsia="Arial" w:hAnsi="Arial" w:cs="Arial"/>
                <w:b/>
                <w:bCs/>
                <w:sz w:val="18"/>
                <w:szCs w:val="18"/>
              </w:rPr>
              <w:t>Section</w:t>
            </w:r>
          </w:p>
        </w:tc>
      </w:tr>
      <w:tr w:rsidR="00D1587D" w14:paraId="159FE1E9" w14:textId="77777777">
        <w:trPr>
          <w:trHeight w:val="216"/>
        </w:trPr>
        <w:tc>
          <w:tcPr>
            <w:tcW w:w="4860" w:type="dxa"/>
            <w:vAlign w:val="bottom"/>
          </w:tcPr>
          <w:p w14:paraId="77CE81C6" w14:textId="77777777" w:rsidR="00D1587D" w:rsidRDefault="00410D07">
            <w:pPr>
              <w:ind w:left="1140"/>
              <w:rPr>
                <w:sz w:val="20"/>
                <w:szCs w:val="20"/>
              </w:rPr>
            </w:pPr>
            <w:r>
              <w:rPr>
                <w:rFonts w:ascii="Arial" w:eastAsia="Arial" w:hAnsi="Arial" w:cs="Arial"/>
                <w:sz w:val="18"/>
                <w:szCs w:val="18"/>
              </w:rPr>
              <w:t>Additional Service</w:t>
            </w:r>
          </w:p>
        </w:tc>
        <w:tc>
          <w:tcPr>
            <w:tcW w:w="6380" w:type="dxa"/>
            <w:vAlign w:val="bottom"/>
          </w:tcPr>
          <w:p w14:paraId="485590C6" w14:textId="77777777" w:rsidR="00D1587D" w:rsidRDefault="00410D07">
            <w:pPr>
              <w:ind w:left="2560"/>
              <w:rPr>
                <w:sz w:val="20"/>
                <w:szCs w:val="20"/>
              </w:rPr>
            </w:pPr>
            <w:r>
              <w:rPr>
                <w:rFonts w:ascii="Arial" w:eastAsia="Arial" w:hAnsi="Arial" w:cs="Arial"/>
                <w:sz w:val="18"/>
                <w:szCs w:val="18"/>
              </w:rPr>
              <w:t>2.01(c)</w:t>
            </w:r>
          </w:p>
        </w:tc>
      </w:tr>
      <w:tr w:rsidR="00D1587D" w14:paraId="24F8114C" w14:textId="77777777">
        <w:trPr>
          <w:trHeight w:val="216"/>
        </w:trPr>
        <w:tc>
          <w:tcPr>
            <w:tcW w:w="4860" w:type="dxa"/>
            <w:vAlign w:val="bottom"/>
          </w:tcPr>
          <w:p w14:paraId="31AA634A" w14:textId="77777777" w:rsidR="00D1587D" w:rsidRDefault="00410D07">
            <w:pPr>
              <w:ind w:left="1140"/>
              <w:rPr>
                <w:sz w:val="20"/>
                <w:szCs w:val="20"/>
              </w:rPr>
            </w:pPr>
            <w:r>
              <w:rPr>
                <w:rFonts w:ascii="Arial" w:eastAsia="Arial" w:hAnsi="Arial" w:cs="Arial"/>
                <w:sz w:val="18"/>
                <w:szCs w:val="18"/>
              </w:rPr>
              <w:t>Administrative Charge</w:t>
            </w:r>
          </w:p>
        </w:tc>
        <w:tc>
          <w:tcPr>
            <w:tcW w:w="6380" w:type="dxa"/>
            <w:vAlign w:val="bottom"/>
          </w:tcPr>
          <w:p w14:paraId="70AFD7D6" w14:textId="77777777" w:rsidR="00D1587D" w:rsidRDefault="00410D07">
            <w:pPr>
              <w:ind w:left="2560"/>
              <w:rPr>
                <w:sz w:val="20"/>
                <w:szCs w:val="20"/>
              </w:rPr>
            </w:pPr>
            <w:r>
              <w:rPr>
                <w:rFonts w:ascii="Arial" w:eastAsia="Arial" w:hAnsi="Arial" w:cs="Arial"/>
                <w:sz w:val="18"/>
                <w:szCs w:val="18"/>
              </w:rPr>
              <w:t>3.01(c)</w:t>
            </w:r>
          </w:p>
        </w:tc>
      </w:tr>
      <w:tr w:rsidR="00D1587D" w14:paraId="71266549" w14:textId="77777777">
        <w:trPr>
          <w:trHeight w:val="216"/>
        </w:trPr>
        <w:tc>
          <w:tcPr>
            <w:tcW w:w="4860" w:type="dxa"/>
            <w:vAlign w:val="bottom"/>
          </w:tcPr>
          <w:p w14:paraId="5BBC6175" w14:textId="77777777" w:rsidR="00D1587D" w:rsidRDefault="00410D07">
            <w:pPr>
              <w:ind w:left="1140"/>
              <w:rPr>
                <w:sz w:val="20"/>
                <w:szCs w:val="20"/>
              </w:rPr>
            </w:pPr>
            <w:r>
              <w:rPr>
                <w:rFonts w:ascii="Arial" w:eastAsia="Arial" w:hAnsi="Arial" w:cs="Arial"/>
                <w:sz w:val="18"/>
                <w:szCs w:val="18"/>
              </w:rPr>
              <w:t>Agreement</w:t>
            </w:r>
          </w:p>
        </w:tc>
        <w:tc>
          <w:tcPr>
            <w:tcW w:w="6380" w:type="dxa"/>
            <w:vAlign w:val="bottom"/>
          </w:tcPr>
          <w:p w14:paraId="64F39EF7" w14:textId="77777777" w:rsidR="00D1587D" w:rsidRDefault="00410D07">
            <w:pPr>
              <w:ind w:left="2560"/>
              <w:rPr>
                <w:sz w:val="20"/>
                <w:szCs w:val="20"/>
              </w:rPr>
            </w:pPr>
            <w:r>
              <w:rPr>
                <w:rFonts w:ascii="Arial" w:eastAsia="Arial" w:hAnsi="Arial" w:cs="Arial"/>
                <w:sz w:val="18"/>
                <w:szCs w:val="18"/>
              </w:rPr>
              <w:t>Preamble</w:t>
            </w:r>
          </w:p>
        </w:tc>
      </w:tr>
      <w:tr w:rsidR="00D1587D" w14:paraId="463198B2" w14:textId="77777777">
        <w:trPr>
          <w:trHeight w:val="216"/>
        </w:trPr>
        <w:tc>
          <w:tcPr>
            <w:tcW w:w="4860" w:type="dxa"/>
            <w:vAlign w:val="bottom"/>
          </w:tcPr>
          <w:p w14:paraId="69088F83" w14:textId="77777777" w:rsidR="00D1587D" w:rsidRDefault="00410D07">
            <w:pPr>
              <w:ind w:left="1140"/>
              <w:rPr>
                <w:sz w:val="20"/>
                <w:szCs w:val="20"/>
              </w:rPr>
            </w:pPr>
            <w:r>
              <w:rPr>
                <w:rFonts w:ascii="Arial" w:eastAsia="Arial" w:hAnsi="Arial" w:cs="Arial"/>
                <w:sz w:val="18"/>
                <w:szCs w:val="18"/>
              </w:rPr>
              <w:t>Allocated Cost</w:t>
            </w:r>
          </w:p>
        </w:tc>
        <w:tc>
          <w:tcPr>
            <w:tcW w:w="6380" w:type="dxa"/>
            <w:vAlign w:val="bottom"/>
          </w:tcPr>
          <w:p w14:paraId="0876874F" w14:textId="77777777" w:rsidR="00D1587D" w:rsidRDefault="00410D07">
            <w:pPr>
              <w:ind w:left="2560"/>
              <w:rPr>
                <w:sz w:val="20"/>
                <w:szCs w:val="20"/>
              </w:rPr>
            </w:pPr>
            <w:r>
              <w:rPr>
                <w:rFonts w:ascii="Arial" w:eastAsia="Arial" w:hAnsi="Arial" w:cs="Arial"/>
                <w:sz w:val="18"/>
                <w:szCs w:val="18"/>
              </w:rPr>
              <w:t>3.01(c)</w:t>
            </w:r>
          </w:p>
        </w:tc>
      </w:tr>
      <w:tr w:rsidR="00D1587D" w14:paraId="1CCA0703" w14:textId="77777777">
        <w:trPr>
          <w:trHeight w:val="216"/>
        </w:trPr>
        <w:tc>
          <w:tcPr>
            <w:tcW w:w="4860" w:type="dxa"/>
            <w:vAlign w:val="bottom"/>
          </w:tcPr>
          <w:p w14:paraId="77BBCAF0" w14:textId="77777777" w:rsidR="00D1587D" w:rsidRDefault="00410D07">
            <w:pPr>
              <w:ind w:left="1140"/>
              <w:rPr>
                <w:sz w:val="20"/>
                <w:szCs w:val="20"/>
              </w:rPr>
            </w:pPr>
            <w:r>
              <w:rPr>
                <w:rFonts w:ascii="Arial" w:eastAsia="Arial" w:hAnsi="Arial" w:cs="Arial"/>
                <w:sz w:val="18"/>
                <w:szCs w:val="18"/>
              </w:rPr>
              <w:t>Applicable Agreements</w:t>
            </w:r>
          </w:p>
        </w:tc>
        <w:tc>
          <w:tcPr>
            <w:tcW w:w="6380" w:type="dxa"/>
            <w:vAlign w:val="bottom"/>
          </w:tcPr>
          <w:p w14:paraId="7A655710" w14:textId="77777777" w:rsidR="00D1587D" w:rsidRDefault="00410D07">
            <w:pPr>
              <w:ind w:left="2560"/>
              <w:rPr>
                <w:sz w:val="20"/>
                <w:szCs w:val="20"/>
              </w:rPr>
            </w:pPr>
            <w:r>
              <w:rPr>
                <w:rFonts w:ascii="Arial" w:eastAsia="Arial" w:hAnsi="Arial" w:cs="Arial"/>
                <w:sz w:val="18"/>
                <w:szCs w:val="18"/>
              </w:rPr>
              <w:t>9.15</w:t>
            </w:r>
          </w:p>
        </w:tc>
      </w:tr>
      <w:tr w:rsidR="00D1587D" w14:paraId="3355DACB" w14:textId="77777777">
        <w:trPr>
          <w:trHeight w:val="216"/>
        </w:trPr>
        <w:tc>
          <w:tcPr>
            <w:tcW w:w="4860" w:type="dxa"/>
            <w:vAlign w:val="bottom"/>
          </w:tcPr>
          <w:p w14:paraId="0D7BBDDB" w14:textId="77777777" w:rsidR="00D1587D" w:rsidRDefault="00410D07">
            <w:pPr>
              <w:ind w:left="1140"/>
              <w:rPr>
                <w:sz w:val="20"/>
                <w:szCs w:val="20"/>
              </w:rPr>
            </w:pPr>
            <w:r>
              <w:rPr>
                <w:rFonts w:ascii="Arial" w:eastAsia="Arial" w:hAnsi="Arial" w:cs="Arial"/>
                <w:sz w:val="18"/>
                <w:szCs w:val="18"/>
              </w:rPr>
              <w:t>Arbitration Association</w:t>
            </w:r>
          </w:p>
        </w:tc>
        <w:tc>
          <w:tcPr>
            <w:tcW w:w="6380" w:type="dxa"/>
            <w:vAlign w:val="bottom"/>
          </w:tcPr>
          <w:p w14:paraId="5F2F4423" w14:textId="77777777" w:rsidR="00D1587D" w:rsidRDefault="00410D07">
            <w:pPr>
              <w:ind w:left="2560"/>
              <w:rPr>
                <w:sz w:val="20"/>
                <w:szCs w:val="20"/>
              </w:rPr>
            </w:pPr>
            <w:r>
              <w:rPr>
                <w:rFonts w:ascii="Arial" w:eastAsia="Arial" w:hAnsi="Arial" w:cs="Arial"/>
                <w:sz w:val="18"/>
                <w:szCs w:val="18"/>
              </w:rPr>
              <w:t>9.07(c)</w:t>
            </w:r>
          </w:p>
        </w:tc>
      </w:tr>
      <w:tr w:rsidR="00D1587D" w14:paraId="1256B0FA" w14:textId="77777777">
        <w:trPr>
          <w:trHeight w:val="216"/>
        </w:trPr>
        <w:tc>
          <w:tcPr>
            <w:tcW w:w="4860" w:type="dxa"/>
            <w:vAlign w:val="bottom"/>
          </w:tcPr>
          <w:p w14:paraId="7FB75CAF" w14:textId="77777777" w:rsidR="00D1587D" w:rsidRDefault="00410D07">
            <w:pPr>
              <w:ind w:left="1140"/>
              <w:rPr>
                <w:sz w:val="20"/>
                <w:szCs w:val="20"/>
              </w:rPr>
            </w:pPr>
            <w:r>
              <w:rPr>
                <w:rFonts w:ascii="Arial" w:eastAsia="Arial" w:hAnsi="Arial" w:cs="Arial"/>
                <w:sz w:val="18"/>
                <w:szCs w:val="18"/>
              </w:rPr>
              <w:t>Cap</w:t>
            </w:r>
          </w:p>
        </w:tc>
        <w:tc>
          <w:tcPr>
            <w:tcW w:w="6380" w:type="dxa"/>
            <w:vAlign w:val="bottom"/>
          </w:tcPr>
          <w:p w14:paraId="386B9598" w14:textId="77777777" w:rsidR="00D1587D" w:rsidRDefault="00410D07">
            <w:pPr>
              <w:ind w:left="2560"/>
              <w:rPr>
                <w:sz w:val="20"/>
                <w:szCs w:val="20"/>
              </w:rPr>
            </w:pPr>
            <w:r>
              <w:rPr>
                <w:rFonts w:ascii="Arial" w:eastAsia="Arial" w:hAnsi="Arial" w:cs="Arial"/>
                <w:sz w:val="18"/>
                <w:szCs w:val="18"/>
              </w:rPr>
              <w:t>6.06(b)</w:t>
            </w:r>
          </w:p>
        </w:tc>
      </w:tr>
      <w:tr w:rsidR="00D1587D" w14:paraId="2FE04FAA" w14:textId="77777777">
        <w:trPr>
          <w:trHeight w:val="216"/>
        </w:trPr>
        <w:tc>
          <w:tcPr>
            <w:tcW w:w="4860" w:type="dxa"/>
            <w:vAlign w:val="bottom"/>
          </w:tcPr>
          <w:p w14:paraId="22D0289C" w14:textId="77777777" w:rsidR="00D1587D" w:rsidRDefault="00410D07">
            <w:pPr>
              <w:ind w:left="1140"/>
              <w:rPr>
                <w:sz w:val="20"/>
                <w:szCs w:val="20"/>
              </w:rPr>
            </w:pPr>
            <w:r>
              <w:rPr>
                <w:rFonts w:ascii="Arial" w:eastAsia="Arial" w:hAnsi="Arial" w:cs="Arial"/>
                <w:sz w:val="18"/>
                <w:szCs w:val="18"/>
              </w:rPr>
              <w:t>Confidential Information</w:t>
            </w:r>
          </w:p>
        </w:tc>
        <w:tc>
          <w:tcPr>
            <w:tcW w:w="6380" w:type="dxa"/>
            <w:vAlign w:val="bottom"/>
          </w:tcPr>
          <w:p w14:paraId="26B2AE95" w14:textId="77777777" w:rsidR="00D1587D" w:rsidRDefault="00410D07">
            <w:pPr>
              <w:ind w:left="2560"/>
              <w:rPr>
                <w:sz w:val="20"/>
                <w:szCs w:val="20"/>
              </w:rPr>
            </w:pPr>
            <w:r>
              <w:rPr>
                <w:rFonts w:ascii="Arial" w:eastAsia="Arial" w:hAnsi="Arial" w:cs="Arial"/>
                <w:sz w:val="18"/>
                <w:szCs w:val="18"/>
              </w:rPr>
              <w:t>5.01</w:t>
            </w:r>
          </w:p>
        </w:tc>
      </w:tr>
      <w:tr w:rsidR="00D1587D" w14:paraId="1B48087F" w14:textId="77777777">
        <w:trPr>
          <w:trHeight w:val="216"/>
        </w:trPr>
        <w:tc>
          <w:tcPr>
            <w:tcW w:w="4860" w:type="dxa"/>
            <w:vAlign w:val="bottom"/>
          </w:tcPr>
          <w:p w14:paraId="4B5CF5D0" w14:textId="77777777" w:rsidR="00D1587D" w:rsidRDefault="00410D07">
            <w:pPr>
              <w:ind w:left="1140"/>
              <w:rPr>
                <w:sz w:val="20"/>
                <w:szCs w:val="20"/>
              </w:rPr>
            </w:pPr>
            <w:r>
              <w:rPr>
                <w:rFonts w:ascii="Arial" w:eastAsia="Arial" w:hAnsi="Arial" w:cs="Arial"/>
                <w:sz w:val="18"/>
                <w:szCs w:val="18"/>
              </w:rPr>
              <w:t>Cost Components</w:t>
            </w:r>
          </w:p>
        </w:tc>
        <w:tc>
          <w:tcPr>
            <w:tcW w:w="6380" w:type="dxa"/>
            <w:vAlign w:val="bottom"/>
          </w:tcPr>
          <w:p w14:paraId="484F0A39" w14:textId="77777777" w:rsidR="00D1587D" w:rsidRDefault="00410D07">
            <w:pPr>
              <w:ind w:left="2560"/>
              <w:rPr>
                <w:sz w:val="20"/>
                <w:szCs w:val="20"/>
              </w:rPr>
            </w:pPr>
            <w:r>
              <w:rPr>
                <w:rFonts w:ascii="Arial" w:eastAsia="Arial" w:hAnsi="Arial" w:cs="Arial"/>
                <w:sz w:val="18"/>
                <w:szCs w:val="18"/>
              </w:rPr>
              <w:t>3.01(c)</w:t>
            </w:r>
          </w:p>
        </w:tc>
      </w:tr>
      <w:tr w:rsidR="00D1587D" w14:paraId="6ED6E19B" w14:textId="77777777">
        <w:trPr>
          <w:trHeight w:val="216"/>
        </w:trPr>
        <w:tc>
          <w:tcPr>
            <w:tcW w:w="4860" w:type="dxa"/>
            <w:vAlign w:val="bottom"/>
          </w:tcPr>
          <w:p w14:paraId="357AB72B" w14:textId="77777777" w:rsidR="00D1587D" w:rsidRDefault="00410D07">
            <w:pPr>
              <w:ind w:left="1140"/>
              <w:rPr>
                <w:sz w:val="20"/>
                <w:szCs w:val="20"/>
              </w:rPr>
            </w:pPr>
            <w:r>
              <w:rPr>
                <w:rFonts w:ascii="Arial" w:eastAsia="Arial" w:hAnsi="Arial" w:cs="Arial"/>
                <w:sz w:val="18"/>
                <w:szCs w:val="18"/>
              </w:rPr>
              <w:t>Customary Billing</w:t>
            </w:r>
          </w:p>
        </w:tc>
        <w:tc>
          <w:tcPr>
            <w:tcW w:w="6380" w:type="dxa"/>
            <w:vAlign w:val="bottom"/>
          </w:tcPr>
          <w:p w14:paraId="3FD1CDF4" w14:textId="77777777" w:rsidR="00D1587D" w:rsidRDefault="00410D07">
            <w:pPr>
              <w:ind w:left="2560"/>
              <w:rPr>
                <w:sz w:val="20"/>
                <w:szCs w:val="20"/>
              </w:rPr>
            </w:pPr>
            <w:r>
              <w:rPr>
                <w:rFonts w:ascii="Arial" w:eastAsia="Arial" w:hAnsi="Arial" w:cs="Arial"/>
                <w:sz w:val="18"/>
                <w:szCs w:val="18"/>
              </w:rPr>
              <w:t>3.01(b)</w:t>
            </w:r>
          </w:p>
        </w:tc>
      </w:tr>
      <w:tr w:rsidR="00D1587D" w14:paraId="5207CFCE" w14:textId="77777777">
        <w:trPr>
          <w:trHeight w:val="216"/>
        </w:trPr>
        <w:tc>
          <w:tcPr>
            <w:tcW w:w="4860" w:type="dxa"/>
            <w:vAlign w:val="bottom"/>
          </w:tcPr>
          <w:p w14:paraId="4499DA97" w14:textId="77777777" w:rsidR="00D1587D" w:rsidRDefault="00410D07">
            <w:pPr>
              <w:ind w:left="1140"/>
              <w:rPr>
                <w:sz w:val="20"/>
                <w:szCs w:val="20"/>
              </w:rPr>
            </w:pPr>
            <w:r>
              <w:rPr>
                <w:rFonts w:ascii="Arial" w:eastAsia="Arial" w:hAnsi="Arial" w:cs="Arial"/>
                <w:sz w:val="18"/>
                <w:szCs w:val="18"/>
              </w:rPr>
              <w:t>Damages</w:t>
            </w:r>
          </w:p>
        </w:tc>
        <w:tc>
          <w:tcPr>
            <w:tcW w:w="6380" w:type="dxa"/>
            <w:vAlign w:val="bottom"/>
          </w:tcPr>
          <w:p w14:paraId="5D63A041" w14:textId="77777777" w:rsidR="00D1587D" w:rsidRDefault="00410D07">
            <w:pPr>
              <w:ind w:left="2560"/>
              <w:rPr>
                <w:sz w:val="20"/>
                <w:szCs w:val="20"/>
              </w:rPr>
            </w:pPr>
            <w:r>
              <w:rPr>
                <w:rFonts w:ascii="Arial" w:eastAsia="Arial" w:hAnsi="Arial" w:cs="Arial"/>
                <w:sz w:val="18"/>
                <w:szCs w:val="18"/>
              </w:rPr>
              <w:t>6.01(a)</w:t>
            </w:r>
          </w:p>
        </w:tc>
      </w:tr>
      <w:tr w:rsidR="00D1587D" w14:paraId="4C2442C4" w14:textId="77777777">
        <w:trPr>
          <w:trHeight w:val="216"/>
        </w:trPr>
        <w:tc>
          <w:tcPr>
            <w:tcW w:w="4860" w:type="dxa"/>
            <w:vAlign w:val="bottom"/>
          </w:tcPr>
          <w:p w14:paraId="10BBE4C9" w14:textId="77777777" w:rsidR="00D1587D" w:rsidRDefault="00410D07">
            <w:pPr>
              <w:ind w:left="1140"/>
              <w:rPr>
                <w:sz w:val="20"/>
                <w:szCs w:val="20"/>
              </w:rPr>
            </w:pPr>
            <w:r>
              <w:rPr>
                <w:rFonts w:ascii="Arial" w:eastAsia="Arial" w:hAnsi="Arial" w:cs="Arial"/>
                <w:sz w:val="18"/>
                <w:szCs w:val="18"/>
              </w:rPr>
              <w:t>Developed Intellectual Property</w:t>
            </w:r>
          </w:p>
        </w:tc>
        <w:tc>
          <w:tcPr>
            <w:tcW w:w="6380" w:type="dxa"/>
            <w:vAlign w:val="bottom"/>
          </w:tcPr>
          <w:p w14:paraId="1344A96C" w14:textId="77777777" w:rsidR="00D1587D" w:rsidRDefault="00410D07">
            <w:pPr>
              <w:ind w:left="2560"/>
              <w:rPr>
                <w:sz w:val="20"/>
                <w:szCs w:val="20"/>
              </w:rPr>
            </w:pPr>
            <w:r>
              <w:rPr>
                <w:rFonts w:ascii="Arial" w:eastAsia="Arial" w:hAnsi="Arial" w:cs="Arial"/>
                <w:sz w:val="18"/>
                <w:szCs w:val="18"/>
              </w:rPr>
              <w:t>2.09(d)</w:t>
            </w:r>
          </w:p>
        </w:tc>
      </w:tr>
      <w:tr w:rsidR="00D1587D" w14:paraId="743E24C5" w14:textId="77777777">
        <w:trPr>
          <w:trHeight w:val="216"/>
        </w:trPr>
        <w:tc>
          <w:tcPr>
            <w:tcW w:w="4860" w:type="dxa"/>
            <w:vAlign w:val="bottom"/>
          </w:tcPr>
          <w:p w14:paraId="26222B54" w14:textId="77777777" w:rsidR="00D1587D" w:rsidRDefault="00410D07">
            <w:pPr>
              <w:ind w:left="1140"/>
              <w:rPr>
                <w:sz w:val="20"/>
                <w:szCs w:val="20"/>
              </w:rPr>
            </w:pPr>
            <w:r>
              <w:rPr>
                <w:rFonts w:ascii="Arial" w:eastAsia="Arial" w:hAnsi="Arial" w:cs="Arial"/>
                <w:sz w:val="18"/>
                <w:szCs w:val="18"/>
              </w:rPr>
              <w:t>Dispute</w:t>
            </w:r>
          </w:p>
        </w:tc>
        <w:tc>
          <w:tcPr>
            <w:tcW w:w="6380" w:type="dxa"/>
            <w:vAlign w:val="bottom"/>
          </w:tcPr>
          <w:p w14:paraId="07E4EBFE" w14:textId="77777777" w:rsidR="00D1587D" w:rsidRDefault="00410D07">
            <w:pPr>
              <w:ind w:left="2560"/>
              <w:rPr>
                <w:sz w:val="20"/>
                <w:szCs w:val="20"/>
              </w:rPr>
            </w:pPr>
            <w:r>
              <w:rPr>
                <w:rFonts w:ascii="Arial" w:eastAsia="Arial" w:hAnsi="Arial" w:cs="Arial"/>
                <w:sz w:val="18"/>
                <w:szCs w:val="18"/>
              </w:rPr>
              <w:t>9.07(a)</w:t>
            </w:r>
          </w:p>
        </w:tc>
      </w:tr>
      <w:tr w:rsidR="00D1587D" w14:paraId="23D93EB3" w14:textId="77777777">
        <w:trPr>
          <w:trHeight w:val="216"/>
        </w:trPr>
        <w:tc>
          <w:tcPr>
            <w:tcW w:w="4860" w:type="dxa"/>
            <w:vAlign w:val="bottom"/>
          </w:tcPr>
          <w:p w14:paraId="0F158DEF" w14:textId="77777777" w:rsidR="00D1587D" w:rsidRDefault="00410D07">
            <w:pPr>
              <w:ind w:left="1140"/>
              <w:rPr>
                <w:sz w:val="20"/>
                <w:szCs w:val="20"/>
              </w:rPr>
            </w:pPr>
            <w:r>
              <w:rPr>
                <w:rFonts w:ascii="Arial" w:eastAsia="Arial" w:hAnsi="Arial" w:cs="Arial"/>
                <w:sz w:val="18"/>
                <w:szCs w:val="18"/>
              </w:rPr>
              <w:t>Effective Date</w:t>
            </w:r>
          </w:p>
        </w:tc>
        <w:tc>
          <w:tcPr>
            <w:tcW w:w="6380" w:type="dxa"/>
            <w:vAlign w:val="bottom"/>
          </w:tcPr>
          <w:p w14:paraId="48F2C0BF" w14:textId="77777777" w:rsidR="00D1587D" w:rsidRDefault="00410D07">
            <w:pPr>
              <w:ind w:left="2560"/>
              <w:rPr>
                <w:sz w:val="20"/>
                <w:szCs w:val="20"/>
              </w:rPr>
            </w:pPr>
            <w:r>
              <w:rPr>
                <w:rFonts w:ascii="Arial" w:eastAsia="Arial" w:hAnsi="Arial" w:cs="Arial"/>
                <w:sz w:val="18"/>
                <w:szCs w:val="18"/>
              </w:rPr>
              <w:t>Preamble</w:t>
            </w:r>
          </w:p>
        </w:tc>
      </w:tr>
      <w:tr w:rsidR="00D1587D" w14:paraId="11B1888A" w14:textId="77777777">
        <w:trPr>
          <w:trHeight w:val="216"/>
        </w:trPr>
        <w:tc>
          <w:tcPr>
            <w:tcW w:w="4860" w:type="dxa"/>
            <w:vAlign w:val="bottom"/>
          </w:tcPr>
          <w:p w14:paraId="60470E4D" w14:textId="77777777" w:rsidR="00D1587D" w:rsidRDefault="00410D07">
            <w:pPr>
              <w:ind w:left="1140"/>
              <w:rPr>
                <w:sz w:val="20"/>
                <w:szCs w:val="20"/>
              </w:rPr>
            </w:pPr>
            <w:r>
              <w:rPr>
                <w:rFonts w:ascii="Arial" w:eastAsia="Arial" w:hAnsi="Arial" w:cs="Arial"/>
                <w:sz w:val="18"/>
                <w:szCs w:val="18"/>
              </w:rPr>
              <w:t>Fixed Fee Billing</w:t>
            </w:r>
          </w:p>
        </w:tc>
        <w:tc>
          <w:tcPr>
            <w:tcW w:w="6380" w:type="dxa"/>
            <w:vAlign w:val="bottom"/>
          </w:tcPr>
          <w:p w14:paraId="20FC7F6F" w14:textId="77777777" w:rsidR="00D1587D" w:rsidRDefault="00410D07">
            <w:pPr>
              <w:ind w:left="2560"/>
              <w:rPr>
                <w:sz w:val="20"/>
                <w:szCs w:val="20"/>
              </w:rPr>
            </w:pPr>
            <w:r>
              <w:rPr>
                <w:rFonts w:ascii="Arial" w:eastAsia="Arial" w:hAnsi="Arial" w:cs="Arial"/>
                <w:sz w:val="18"/>
                <w:szCs w:val="18"/>
              </w:rPr>
              <w:t>3.01(b)</w:t>
            </w:r>
          </w:p>
        </w:tc>
      </w:tr>
      <w:tr w:rsidR="00D1587D" w14:paraId="36958A30" w14:textId="77777777">
        <w:trPr>
          <w:trHeight w:val="216"/>
        </w:trPr>
        <w:tc>
          <w:tcPr>
            <w:tcW w:w="4860" w:type="dxa"/>
            <w:vAlign w:val="bottom"/>
          </w:tcPr>
          <w:p w14:paraId="62CFC6FC" w14:textId="77777777" w:rsidR="00D1587D" w:rsidRDefault="00410D07">
            <w:pPr>
              <w:ind w:left="1140"/>
              <w:rPr>
                <w:sz w:val="20"/>
                <w:szCs w:val="20"/>
              </w:rPr>
            </w:pPr>
            <w:r>
              <w:rPr>
                <w:rFonts w:ascii="Arial" w:eastAsia="Arial" w:hAnsi="Arial" w:cs="Arial"/>
                <w:sz w:val="18"/>
                <w:szCs w:val="18"/>
              </w:rPr>
              <w:t>Indemnified Party</w:t>
            </w:r>
          </w:p>
        </w:tc>
        <w:tc>
          <w:tcPr>
            <w:tcW w:w="6380" w:type="dxa"/>
            <w:vAlign w:val="bottom"/>
          </w:tcPr>
          <w:p w14:paraId="58119BDE" w14:textId="77777777" w:rsidR="00D1587D" w:rsidRDefault="00410D07">
            <w:pPr>
              <w:ind w:left="2560"/>
              <w:rPr>
                <w:sz w:val="20"/>
                <w:szCs w:val="20"/>
              </w:rPr>
            </w:pPr>
            <w:r>
              <w:rPr>
                <w:rFonts w:ascii="Arial" w:eastAsia="Arial" w:hAnsi="Arial" w:cs="Arial"/>
                <w:sz w:val="18"/>
                <w:szCs w:val="18"/>
              </w:rPr>
              <w:t>6.02(a)</w:t>
            </w:r>
          </w:p>
        </w:tc>
      </w:tr>
      <w:tr w:rsidR="00D1587D" w14:paraId="2DD504B4" w14:textId="77777777">
        <w:trPr>
          <w:trHeight w:val="216"/>
        </w:trPr>
        <w:tc>
          <w:tcPr>
            <w:tcW w:w="4860" w:type="dxa"/>
            <w:vAlign w:val="bottom"/>
          </w:tcPr>
          <w:p w14:paraId="21E3148D" w14:textId="77777777" w:rsidR="00D1587D" w:rsidRDefault="00410D07">
            <w:pPr>
              <w:ind w:left="1140"/>
              <w:rPr>
                <w:sz w:val="20"/>
                <w:szCs w:val="20"/>
              </w:rPr>
            </w:pPr>
            <w:r>
              <w:rPr>
                <w:rFonts w:ascii="Arial" w:eastAsia="Arial" w:hAnsi="Arial" w:cs="Arial"/>
                <w:sz w:val="18"/>
                <w:szCs w:val="18"/>
              </w:rPr>
              <w:t>Indemnifying Party</w:t>
            </w:r>
          </w:p>
        </w:tc>
        <w:tc>
          <w:tcPr>
            <w:tcW w:w="6380" w:type="dxa"/>
            <w:vAlign w:val="bottom"/>
          </w:tcPr>
          <w:p w14:paraId="1F983925" w14:textId="77777777" w:rsidR="00D1587D" w:rsidRDefault="00410D07">
            <w:pPr>
              <w:ind w:left="2560"/>
              <w:rPr>
                <w:sz w:val="20"/>
                <w:szCs w:val="20"/>
              </w:rPr>
            </w:pPr>
            <w:r>
              <w:rPr>
                <w:rFonts w:ascii="Arial" w:eastAsia="Arial" w:hAnsi="Arial" w:cs="Arial"/>
                <w:sz w:val="18"/>
                <w:szCs w:val="18"/>
              </w:rPr>
              <w:t>6.02(a)</w:t>
            </w:r>
          </w:p>
        </w:tc>
      </w:tr>
      <w:tr w:rsidR="00D1587D" w14:paraId="0B5CC49D" w14:textId="77777777">
        <w:trPr>
          <w:trHeight w:val="216"/>
        </w:trPr>
        <w:tc>
          <w:tcPr>
            <w:tcW w:w="4860" w:type="dxa"/>
            <w:vAlign w:val="bottom"/>
          </w:tcPr>
          <w:p w14:paraId="60223313" w14:textId="77777777" w:rsidR="00D1587D" w:rsidRDefault="00410D07">
            <w:pPr>
              <w:ind w:left="1140"/>
              <w:rPr>
                <w:sz w:val="20"/>
                <w:szCs w:val="20"/>
              </w:rPr>
            </w:pPr>
            <w:r>
              <w:rPr>
                <w:rFonts w:ascii="Arial" w:eastAsia="Arial" w:hAnsi="Arial" w:cs="Arial"/>
                <w:sz w:val="18"/>
                <w:szCs w:val="18"/>
              </w:rPr>
              <w:t>Integrated Agreements</w:t>
            </w:r>
          </w:p>
        </w:tc>
        <w:tc>
          <w:tcPr>
            <w:tcW w:w="6380" w:type="dxa"/>
            <w:vAlign w:val="bottom"/>
          </w:tcPr>
          <w:p w14:paraId="1B0E36E6" w14:textId="77777777" w:rsidR="00D1587D" w:rsidRDefault="00410D07">
            <w:pPr>
              <w:ind w:left="2560"/>
              <w:rPr>
                <w:sz w:val="20"/>
                <w:szCs w:val="20"/>
              </w:rPr>
            </w:pPr>
            <w:r>
              <w:rPr>
                <w:rFonts w:ascii="Arial" w:eastAsia="Arial" w:hAnsi="Arial" w:cs="Arial"/>
                <w:sz w:val="18"/>
                <w:szCs w:val="18"/>
              </w:rPr>
              <w:t>9.15</w:t>
            </w:r>
          </w:p>
        </w:tc>
      </w:tr>
      <w:tr w:rsidR="00D1587D" w14:paraId="5B0CECCB" w14:textId="77777777">
        <w:trPr>
          <w:trHeight w:val="216"/>
        </w:trPr>
        <w:tc>
          <w:tcPr>
            <w:tcW w:w="4860" w:type="dxa"/>
            <w:vAlign w:val="bottom"/>
          </w:tcPr>
          <w:p w14:paraId="00EF7136" w14:textId="77777777" w:rsidR="00D1587D" w:rsidRDefault="00410D07">
            <w:pPr>
              <w:ind w:left="1140"/>
              <w:rPr>
                <w:sz w:val="20"/>
                <w:szCs w:val="20"/>
              </w:rPr>
            </w:pPr>
            <w:r>
              <w:rPr>
                <w:rFonts w:ascii="Arial" w:eastAsia="Arial" w:hAnsi="Arial" w:cs="Arial"/>
                <w:sz w:val="18"/>
                <w:szCs w:val="18"/>
              </w:rPr>
              <w:t>IT Breach</w:t>
            </w:r>
          </w:p>
        </w:tc>
        <w:tc>
          <w:tcPr>
            <w:tcW w:w="6380" w:type="dxa"/>
            <w:vAlign w:val="bottom"/>
          </w:tcPr>
          <w:p w14:paraId="7CD6E49A" w14:textId="77777777" w:rsidR="00D1587D" w:rsidRDefault="00410D07">
            <w:pPr>
              <w:ind w:left="2560"/>
              <w:rPr>
                <w:sz w:val="20"/>
                <w:szCs w:val="20"/>
              </w:rPr>
            </w:pPr>
            <w:r>
              <w:rPr>
                <w:rFonts w:ascii="Arial" w:eastAsia="Arial" w:hAnsi="Arial" w:cs="Arial"/>
                <w:sz w:val="18"/>
                <w:szCs w:val="18"/>
              </w:rPr>
              <w:t>2.11</w:t>
            </w:r>
          </w:p>
        </w:tc>
      </w:tr>
      <w:tr w:rsidR="00D1587D" w14:paraId="633AFDF7" w14:textId="77777777">
        <w:trPr>
          <w:trHeight w:val="216"/>
        </w:trPr>
        <w:tc>
          <w:tcPr>
            <w:tcW w:w="4860" w:type="dxa"/>
            <w:vAlign w:val="bottom"/>
          </w:tcPr>
          <w:p w14:paraId="19E50F13" w14:textId="77777777" w:rsidR="00D1587D" w:rsidRDefault="00410D07">
            <w:pPr>
              <w:ind w:left="1140"/>
              <w:rPr>
                <w:sz w:val="20"/>
                <w:szCs w:val="20"/>
              </w:rPr>
            </w:pPr>
            <w:r>
              <w:rPr>
                <w:rFonts w:ascii="Arial" w:eastAsia="Arial" w:hAnsi="Arial" w:cs="Arial"/>
                <w:sz w:val="18"/>
                <w:szCs w:val="18"/>
              </w:rPr>
              <w:t>Mediation Notice</w:t>
            </w:r>
          </w:p>
        </w:tc>
        <w:tc>
          <w:tcPr>
            <w:tcW w:w="6380" w:type="dxa"/>
            <w:vAlign w:val="bottom"/>
          </w:tcPr>
          <w:p w14:paraId="038011E4" w14:textId="77777777" w:rsidR="00D1587D" w:rsidRDefault="00410D07">
            <w:pPr>
              <w:ind w:left="2560"/>
              <w:rPr>
                <w:sz w:val="20"/>
                <w:szCs w:val="20"/>
              </w:rPr>
            </w:pPr>
            <w:r>
              <w:rPr>
                <w:rFonts w:ascii="Arial" w:eastAsia="Arial" w:hAnsi="Arial" w:cs="Arial"/>
                <w:sz w:val="18"/>
                <w:szCs w:val="18"/>
              </w:rPr>
              <w:t>9.07(b)</w:t>
            </w:r>
          </w:p>
        </w:tc>
      </w:tr>
      <w:tr w:rsidR="00D1587D" w14:paraId="1563A009" w14:textId="77777777">
        <w:trPr>
          <w:trHeight w:val="216"/>
        </w:trPr>
        <w:tc>
          <w:tcPr>
            <w:tcW w:w="4860" w:type="dxa"/>
            <w:vAlign w:val="bottom"/>
          </w:tcPr>
          <w:p w14:paraId="692DD807" w14:textId="77777777" w:rsidR="00D1587D" w:rsidRDefault="00410D07">
            <w:pPr>
              <w:ind w:left="1140"/>
              <w:rPr>
                <w:sz w:val="20"/>
                <w:szCs w:val="20"/>
              </w:rPr>
            </w:pPr>
            <w:r>
              <w:rPr>
                <w:rFonts w:ascii="Arial" w:eastAsia="Arial" w:hAnsi="Arial" w:cs="Arial"/>
                <w:sz w:val="18"/>
                <w:szCs w:val="18"/>
              </w:rPr>
              <w:t>Mediation Period</w:t>
            </w:r>
          </w:p>
        </w:tc>
        <w:tc>
          <w:tcPr>
            <w:tcW w:w="6380" w:type="dxa"/>
            <w:vAlign w:val="bottom"/>
          </w:tcPr>
          <w:p w14:paraId="1EC56295" w14:textId="77777777" w:rsidR="00D1587D" w:rsidRDefault="00410D07">
            <w:pPr>
              <w:ind w:left="2560"/>
              <w:rPr>
                <w:sz w:val="20"/>
                <w:szCs w:val="20"/>
              </w:rPr>
            </w:pPr>
            <w:r>
              <w:rPr>
                <w:rFonts w:ascii="Arial" w:eastAsia="Arial" w:hAnsi="Arial" w:cs="Arial"/>
                <w:sz w:val="18"/>
                <w:szCs w:val="18"/>
              </w:rPr>
              <w:t>9.07(c)</w:t>
            </w:r>
          </w:p>
        </w:tc>
      </w:tr>
      <w:tr w:rsidR="00D1587D" w14:paraId="48DEE75F" w14:textId="77777777">
        <w:trPr>
          <w:trHeight w:val="216"/>
        </w:trPr>
        <w:tc>
          <w:tcPr>
            <w:tcW w:w="4860" w:type="dxa"/>
            <w:vAlign w:val="bottom"/>
          </w:tcPr>
          <w:p w14:paraId="29FF2BB3" w14:textId="77777777" w:rsidR="00D1587D" w:rsidRDefault="00410D07">
            <w:pPr>
              <w:ind w:left="1140"/>
              <w:rPr>
                <w:sz w:val="20"/>
                <w:szCs w:val="20"/>
              </w:rPr>
            </w:pPr>
            <w:r>
              <w:rPr>
                <w:rFonts w:ascii="Arial" w:eastAsia="Arial" w:hAnsi="Arial" w:cs="Arial"/>
                <w:sz w:val="18"/>
                <w:szCs w:val="18"/>
              </w:rPr>
              <w:t>L Brands</w:t>
            </w:r>
          </w:p>
        </w:tc>
        <w:tc>
          <w:tcPr>
            <w:tcW w:w="6380" w:type="dxa"/>
            <w:vAlign w:val="bottom"/>
          </w:tcPr>
          <w:p w14:paraId="3D3C2EDF" w14:textId="77777777" w:rsidR="00D1587D" w:rsidRDefault="00410D07">
            <w:pPr>
              <w:ind w:left="2560"/>
              <w:rPr>
                <w:sz w:val="20"/>
                <w:szCs w:val="20"/>
              </w:rPr>
            </w:pPr>
            <w:r>
              <w:rPr>
                <w:rFonts w:ascii="Arial" w:eastAsia="Arial" w:hAnsi="Arial" w:cs="Arial"/>
                <w:sz w:val="18"/>
                <w:szCs w:val="18"/>
              </w:rPr>
              <w:t>Preamble</w:t>
            </w:r>
          </w:p>
        </w:tc>
      </w:tr>
      <w:tr w:rsidR="00D1587D" w14:paraId="16AEFD24" w14:textId="77777777">
        <w:trPr>
          <w:trHeight w:val="216"/>
        </w:trPr>
        <w:tc>
          <w:tcPr>
            <w:tcW w:w="4860" w:type="dxa"/>
            <w:vAlign w:val="bottom"/>
          </w:tcPr>
          <w:p w14:paraId="2A5EF07E" w14:textId="77777777" w:rsidR="00D1587D" w:rsidRDefault="00410D07">
            <w:pPr>
              <w:ind w:left="1140"/>
              <w:rPr>
                <w:sz w:val="20"/>
                <w:szCs w:val="20"/>
              </w:rPr>
            </w:pPr>
            <w:r>
              <w:rPr>
                <w:rFonts w:ascii="Arial" w:eastAsia="Arial" w:hAnsi="Arial" w:cs="Arial"/>
                <w:sz w:val="18"/>
                <w:szCs w:val="18"/>
              </w:rPr>
              <w:t>L Brands Developed Intellectual Property</w:t>
            </w:r>
          </w:p>
        </w:tc>
        <w:tc>
          <w:tcPr>
            <w:tcW w:w="6380" w:type="dxa"/>
            <w:vAlign w:val="bottom"/>
          </w:tcPr>
          <w:p w14:paraId="173CE878" w14:textId="77777777" w:rsidR="00D1587D" w:rsidRDefault="00410D07">
            <w:pPr>
              <w:ind w:left="2560"/>
              <w:rPr>
                <w:sz w:val="20"/>
                <w:szCs w:val="20"/>
              </w:rPr>
            </w:pPr>
            <w:r>
              <w:rPr>
                <w:rFonts w:ascii="Arial" w:eastAsia="Arial" w:hAnsi="Arial" w:cs="Arial"/>
                <w:sz w:val="18"/>
                <w:szCs w:val="18"/>
              </w:rPr>
              <w:t>2.09(d)</w:t>
            </w:r>
          </w:p>
        </w:tc>
      </w:tr>
      <w:tr w:rsidR="00D1587D" w14:paraId="7F997F5F" w14:textId="77777777">
        <w:trPr>
          <w:trHeight w:val="216"/>
        </w:trPr>
        <w:tc>
          <w:tcPr>
            <w:tcW w:w="4860" w:type="dxa"/>
            <w:vAlign w:val="bottom"/>
          </w:tcPr>
          <w:p w14:paraId="523214BC" w14:textId="77777777" w:rsidR="00D1587D" w:rsidRDefault="00410D07">
            <w:pPr>
              <w:ind w:left="1140"/>
              <w:rPr>
                <w:sz w:val="20"/>
                <w:szCs w:val="20"/>
              </w:rPr>
            </w:pPr>
            <w:r>
              <w:rPr>
                <w:rFonts w:ascii="Arial" w:eastAsia="Arial" w:hAnsi="Arial" w:cs="Arial"/>
                <w:sz w:val="18"/>
                <w:szCs w:val="18"/>
              </w:rPr>
              <w:t>L Brands to VS TSA</w:t>
            </w:r>
          </w:p>
        </w:tc>
        <w:tc>
          <w:tcPr>
            <w:tcW w:w="6380" w:type="dxa"/>
            <w:vAlign w:val="bottom"/>
          </w:tcPr>
          <w:p w14:paraId="66525526" w14:textId="77777777" w:rsidR="00D1587D" w:rsidRDefault="00410D07">
            <w:pPr>
              <w:ind w:left="2560"/>
              <w:rPr>
                <w:sz w:val="20"/>
                <w:szCs w:val="20"/>
              </w:rPr>
            </w:pPr>
            <w:r>
              <w:rPr>
                <w:rFonts w:ascii="Arial" w:eastAsia="Arial" w:hAnsi="Arial" w:cs="Arial"/>
                <w:sz w:val="18"/>
                <w:szCs w:val="18"/>
              </w:rPr>
              <w:t>9.15</w:t>
            </w:r>
          </w:p>
        </w:tc>
      </w:tr>
      <w:tr w:rsidR="00D1587D" w14:paraId="31929584" w14:textId="77777777">
        <w:trPr>
          <w:trHeight w:val="216"/>
        </w:trPr>
        <w:tc>
          <w:tcPr>
            <w:tcW w:w="4860" w:type="dxa"/>
            <w:vAlign w:val="bottom"/>
          </w:tcPr>
          <w:p w14:paraId="3EB86748" w14:textId="77777777" w:rsidR="00D1587D" w:rsidRDefault="00410D07">
            <w:pPr>
              <w:ind w:left="1140"/>
              <w:rPr>
                <w:sz w:val="20"/>
                <w:szCs w:val="20"/>
              </w:rPr>
            </w:pPr>
            <w:r>
              <w:rPr>
                <w:rFonts w:ascii="Arial" w:eastAsia="Arial" w:hAnsi="Arial" w:cs="Arial"/>
                <w:sz w:val="18"/>
                <w:szCs w:val="18"/>
              </w:rPr>
              <w:t>Net Sales Ratio</w:t>
            </w:r>
          </w:p>
        </w:tc>
        <w:tc>
          <w:tcPr>
            <w:tcW w:w="6380" w:type="dxa"/>
            <w:vAlign w:val="bottom"/>
          </w:tcPr>
          <w:p w14:paraId="435F1417" w14:textId="77777777" w:rsidR="00D1587D" w:rsidRDefault="00410D07">
            <w:pPr>
              <w:ind w:left="2560"/>
              <w:rPr>
                <w:sz w:val="20"/>
                <w:szCs w:val="20"/>
              </w:rPr>
            </w:pPr>
            <w:r>
              <w:rPr>
                <w:rFonts w:ascii="Arial" w:eastAsia="Arial" w:hAnsi="Arial" w:cs="Arial"/>
                <w:sz w:val="18"/>
                <w:szCs w:val="18"/>
              </w:rPr>
              <w:t>3.04</w:t>
            </w:r>
          </w:p>
        </w:tc>
      </w:tr>
      <w:tr w:rsidR="00D1587D" w14:paraId="6A115AF9" w14:textId="77777777">
        <w:trPr>
          <w:trHeight w:val="216"/>
        </w:trPr>
        <w:tc>
          <w:tcPr>
            <w:tcW w:w="4860" w:type="dxa"/>
            <w:vAlign w:val="bottom"/>
          </w:tcPr>
          <w:p w14:paraId="5F7EB6A7" w14:textId="77777777" w:rsidR="00D1587D" w:rsidRDefault="00410D07">
            <w:pPr>
              <w:ind w:left="1140"/>
              <w:rPr>
                <w:sz w:val="20"/>
                <w:szCs w:val="20"/>
              </w:rPr>
            </w:pPr>
            <w:r>
              <w:rPr>
                <w:rFonts w:ascii="Arial" w:eastAsia="Arial" w:hAnsi="Arial" w:cs="Arial"/>
                <w:sz w:val="18"/>
                <w:szCs w:val="18"/>
              </w:rPr>
              <w:t>Pass-Through Billing</w:t>
            </w:r>
          </w:p>
        </w:tc>
        <w:tc>
          <w:tcPr>
            <w:tcW w:w="6380" w:type="dxa"/>
            <w:vAlign w:val="bottom"/>
          </w:tcPr>
          <w:p w14:paraId="1B320C5F" w14:textId="77777777" w:rsidR="00D1587D" w:rsidRDefault="00410D07">
            <w:pPr>
              <w:ind w:left="2560"/>
              <w:rPr>
                <w:sz w:val="20"/>
                <w:szCs w:val="20"/>
              </w:rPr>
            </w:pPr>
            <w:r>
              <w:rPr>
                <w:rFonts w:ascii="Arial" w:eastAsia="Arial" w:hAnsi="Arial" w:cs="Arial"/>
                <w:sz w:val="18"/>
                <w:szCs w:val="18"/>
              </w:rPr>
              <w:t>3.01(b)</w:t>
            </w:r>
          </w:p>
        </w:tc>
      </w:tr>
      <w:tr w:rsidR="00D1587D" w14:paraId="7D070817" w14:textId="77777777">
        <w:trPr>
          <w:trHeight w:val="216"/>
        </w:trPr>
        <w:tc>
          <w:tcPr>
            <w:tcW w:w="4860" w:type="dxa"/>
            <w:vAlign w:val="bottom"/>
          </w:tcPr>
          <w:p w14:paraId="36DBE0B8" w14:textId="77777777" w:rsidR="00D1587D" w:rsidRDefault="00410D07">
            <w:pPr>
              <w:ind w:left="1140"/>
              <w:rPr>
                <w:sz w:val="20"/>
                <w:szCs w:val="20"/>
              </w:rPr>
            </w:pPr>
            <w:r>
              <w:rPr>
                <w:rFonts w:ascii="Arial" w:eastAsia="Arial" w:hAnsi="Arial" w:cs="Arial"/>
                <w:sz w:val="18"/>
                <w:szCs w:val="18"/>
              </w:rPr>
              <w:t>Payment Date</w:t>
            </w:r>
          </w:p>
        </w:tc>
        <w:tc>
          <w:tcPr>
            <w:tcW w:w="6380" w:type="dxa"/>
            <w:vAlign w:val="bottom"/>
          </w:tcPr>
          <w:p w14:paraId="2C48B9A7" w14:textId="77777777" w:rsidR="00D1587D" w:rsidRDefault="00410D07">
            <w:pPr>
              <w:ind w:left="2560"/>
              <w:rPr>
                <w:sz w:val="20"/>
                <w:szCs w:val="20"/>
              </w:rPr>
            </w:pPr>
            <w:r>
              <w:rPr>
                <w:rFonts w:ascii="Arial" w:eastAsia="Arial" w:hAnsi="Arial" w:cs="Arial"/>
                <w:sz w:val="18"/>
                <w:szCs w:val="18"/>
              </w:rPr>
              <w:t>3.06(b)</w:t>
            </w:r>
          </w:p>
        </w:tc>
      </w:tr>
      <w:tr w:rsidR="00D1587D" w14:paraId="53EB02B7" w14:textId="77777777">
        <w:trPr>
          <w:trHeight w:val="216"/>
        </w:trPr>
        <w:tc>
          <w:tcPr>
            <w:tcW w:w="4860" w:type="dxa"/>
            <w:vAlign w:val="bottom"/>
          </w:tcPr>
          <w:p w14:paraId="11CE650D" w14:textId="77777777" w:rsidR="00D1587D" w:rsidRDefault="00410D07">
            <w:pPr>
              <w:ind w:left="1140"/>
              <w:rPr>
                <w:sz w:val="20"/>
                <w:szCs w:val="20"/>
              </w:rPr>
            </w:pPr>
            <w:r>
              <w:rPr>
                <w:rFonts w:ascii="Arial" w:eastAsia="Arial" w:hAnsi="Arial" w:cs="Arial"/>
                <w:sz w:val="18"/>
                <w:szCs w:val="18"/>
              </w:rPr>
              <w:t>Percent of Sales Billing</w:t>
            </w:r>
          </w:p>
        </w:tc>
        <w:tc>
          <w:tcPr>
            <w:tcW w:w="6380" w:type="dxa"/>
            <w:vAlign w:val="bottom"/>
          </w:tcPr>
          <w:p w14:paraId="36075F97" w14:textId="77777777" w:rsidR="00D1587D" w:rsidRDefault="00410D07">
            <w:pPr>
              <w:ind w:left="2560"/>
              <w:rPr>
                <w:sz w:val="20"/>
                <w:szCs w:val="20"/>
              </w:rPr>
            </w:pPr>
            <w:r>
              <w:rPr>
                <w:rFonts w:ascii="Arial" w:eastAsia="Arial" w:hAnsi="Arial" w:cs="Arial"/>
                <w:sz w:val="18"/>
                <w:szCs w:val="18"/>
              </w:rPr>
              <w:t>3.01(b)</w:t>
            </w:r>
          </w:p>
        </w:tc>
      </w:tr>
      <w:tr w:rsidR="00D1587D" w14:paraId="5EA63DA9" w14:textId="77777777">
        <w:trPr>
          <w:trHeight w:val="216"/>
        </w:trPr>
        <w:tc>
          <w:tcPr>
            <w:tcW w:w="4860" w:type="dxa"/>
            <w:vAlign w:val="bottom"/>
          </w:tcPr>
          <w:p w14:paraId="79D3FEAB" w14:textId="77777777" w:rsidR="00D1587D" w:rsidRDefault="00410D07">
            <w:pPr>
              <w:ind w:left="1140"/>
              <w:rPr>
                <w:sz w:val="20"/>
                <w:szCs w:val="20"/>
              </w:rPr>
            </w:pPr>
            <w:r>
              <w:rPr>
                <w:rFonts w:ascii="Arial" w:eastAsia="Arial" w:hAnsi="Arial" w:cs="Arial"/>
                <w:sz w:val="18"/>
                <w:szCs w:val="18"/>
              </w:rPr>
              <w:t>Representatives</w:t>
            </w:r>
          </w:p>
        </w:tc>
        <w:tc>
          <w:tcPr>
            <w:tcW w:w="6380" w:type="dxa"/>
            <w:vAlign w:val="bottom"/>
          </w:tcPr>
          <w:p w14:paraId="54DDDE4E" w14:textId="77777777" w:rsidR="00D1587D" w:rsidRDefault="00410D07">
            <w:pPr>
              <w:ind w:left="2560"/>
              <w:rPr>
                <w:sz w:val="20"/>
                <w:szCs w:val="20"/>
              </w:rPr>
            </w:pPr>
            <w:r>
              <w:rPr>
                <w:rFonts w:ascii="Arial" w:eastAsia="Arial" w:hAnsi="Arial" w:cs="Arial"/>
                <w:sz w:val="18"/>
                <w:szCs w:val="18"/>
              </w:rPr>
              <w:t>2.12</w:t>
            </w:r>
          </w:p>
        </w:tc>
      </w:tr>
      <w:tr w:rsidR="00D1587D" w14:paraId="27CEB8FB" w14:textId="77777777">
        <w:trPr>
          <w:trHeight w:val="216"/>
        </w:trPr>
        <w:tc>
          <w:tcPr>
            <w:tcW w:w="4860" w:type="dxa"/>
            <w:vAlign w:val="bottom"/>
          </w:tcPr>
          <w:p w14:paraId="2A9868BE" w14:textId="77777777" w:rsidR="00D1587D" w:rsidRDefault="00410D07">
            <w:pPr>
              <w:ind w:left="1140"/>
              <w:rPr>
                <w:sz w:val="20"/>
                <w:szCs w:val="20"/>
              </w:rPr>
            </w:pPr>
            <w:r>
              <w:rPr>
                <w:rFonts w:ascii="Arial" w:eastAsia="Arial" w:hAnsi="Arial" w:cs="Arial"/>
                <w:sz w:val="18"/>
                <w:szCs w:val="18"/>
              </w:rPr>
              <w:t>Separation Agreement</w:t>
            </w:r>
          </w:p>
        </w:tc>
        <w:tc>
          <w:tcPr>
            <w:tcW w:w="6380" w:type="dxa"/>
            <w:vAlign w:val="bottom"/>
          </w:tcPr>
          <w:p w14:paraId="33F70D87" w14:textId="77777777" w:rsidR="00D1587D" w:rsidRDefault="00410D07">
            <w:pPr>
              <w:ind w:left="2560"/>
              <w:rPr>
                <w:sz w:val="20"/>
                <w:szCs w:val="20"/>
              </w:rPr>
            </w:pPr>
            <w:r>
              <w:rPr>
                <w:rFonts w:ascii="Arial" w:eastAsia="Arial" w:hAnsi="Arial" w:cs="Arial"/>
                <w:sz w:val="18"/>
                <w:szCs w:val="18"/>
              </w:rPr>
              <w:t>Recitals</w:t>
            </w:r>
          </w:p>
        </w:tc>
      </w:tr>
      <w:tr w:rsidR="00D1587D" w14:paraId="5F2A6871" w14:textId="77777777">
        <w:trPr>
          <w:trHeight w:val="216"/>
        </w:trPr>
        <w:tc>
          <w:tcPr>
            <w:tcW w:w="4860" w:type="dxa"/>
            <w:vAlign w:val="bottom"/>
          </w:tcPr>
          <w:p w14:paraId="409B2CDB" w14:textId="77777777" w:rsidR="00D1587D" w:rsidRDefault="00410D07">
            <w:pPr>
              <w:ind w:left="1140"/>
              <w:rPr>
                <w:sz w:val="20"/>
                <w:szCs w:val="20"/>
              </w:rPr>
            </w:pPr>
            <w:r>
              <w:rPr>
                <w:rFonts w:ascii="Arial" w:eastAsia="Arial" w:hAnsi="Arial" w:cs="Arial"/>
                <w:sz w:val="18"/>
                <w:szCs w:val="18"/>
              </w:rPr>
              <w:t>Service Fees</w:t>
            </w:r>
          </w:p>
        </w:tc>
        <w:tc>
          <w:tcPr>
            <w:tcW w:w="6380" w:type="dxa"/>
            <w:vAlign w:val="bottom"/>
          </w:tcPr>
          <w:p w14:paraId="1C14A5D4" w14:textId="77777777" w:rsidR="00D1587D" w:rsidRDefault="00410D07">
            <w:pPr>
              <w:ind w:left="2560"/>
              <w:rPr>
                <w:sz w:val="20"/>
                <w:szCs w:val="20"/>
              </w:rPr>
            </w:pPr>
            <w:r>
              <w:rPr>
                <w:rFonts w:ascii="Arial" w:eastAsia="Arial" w:hAnsi="Arial" w:cs="Arial"/>
                <w:sz w:val="18"/>
                <w:szCs w:val="18"/>
              </w:rPr>
              <w:t>3.01(b)</w:t>
            </w:r>
          </w:p>
        </w:tc>
      </w:tr>
      <w:tr w:rsidR="00D1587D" w14:paraId="0119584D" w14:textId="77777777">
        <w:trPr>
          <w:trHeight w:val="216"/>
        </w:trPr>
        <w:tc>
          <w:tcPr>
            <w:tcW w:w="4860" w:type="dxa"/>
            <w:vAlign w:val="bottom"/>
          </w:tcPr>
          <w:p w14:paraId="78F59A41" w14:textId="77777777" w:rsidR="00D1587D" w:rsidRDefault="00410D07">
            <w:pPr>
              <w:ind w:left="1140"/>
              <w:rPr>
                <w:sz w:val="20"/>
                <w:szCs w:val="20"/>
              </w:rPr>
            </w:pPr>
            <w:r>
              <w:rPr>
                <w:rFonts w:ascii="Arial" w:eastAsia="Arial" w:hAnsi="Arial" w:cs="Arial"/>
                <w:sz w:val="18"/>
                <w:szCs w:val="18"/>
              </w:rPr>
              <w:t>Service Manager</w:t>
            </w:r>
          </w:p>
        </w:tc>
        <w:tc>
          <w:tcPr>
            <w:tcW w:w="6380" w:type="dxa"/>
            <w:vAlign w:val="bottom"/>
          </w:tcPr>
          <w:p w14:paraId="012B9C57" w14:textId="77777777" w:rsidR="00D1587D" w:rsidRDefault="00410D07">
            <w:pPr>
              <w:ind w:left="2560"/>
              <w:rPr>
                <w:sz w:val="20"/>
                <w:szCs w:val="20"/>
              </w:rPr>
            </w:pPr>
            <w:r>
              <w:rPr>
                <w:rFonts w:ascii="Arial" w:eastAsia="Arial" w:hAnsi="Arial" w:cs="Arial"/>
                <w:sz w:val="18"/>
                <w:szCs w:val="18"/>
              </w:rPr>
              <w:t>2.14</w:t>
            </w:r>
          </w:p>
        </w:tc>
      </w:tr>
      <w:tr w:rsidR="00D1587D" w14:paraId="6D06A8C5" w14:textId="77777777">
        <w:trPr>
          <w:trHeight w:val="216"/>
        </w:trPr>
        <w:tc>
          <w:tcPr>
            <w:tcW w:w="4860" w:type="dxa"/>
            <w:vAlign w:val="bottom"/>
          </w:tcPr>
          <w:p w14:paraId="445D3945" w14:textId="77777777" w:rsidR="00D1587D" w:rsidRDefault="00410D07">
            <w:pPr>
              <w:ind w:left="1140"/>
              <w:rPr>
                <w:sz w:val="20"/>
                <w:szCs w:val="20"/>
              </w:rPr>
            </w:pPr>
            <w:r>
              <w:rPr>
                <w:rFonts w:ascii="Arial" w:eastAsia="Arial" w:hAnsi="Arial" w:cs="Arial"/>
                <w:sz w:val="18"/>
                <w:szCs w:val="18"/>
              </w:rPr>
              <w:t>Service Provider</w:t>
            </w:r>
          </w:p>
        </w:tc>
        <w:tc>
          <w:tcPr>
            <w:tcW w:w="6380" w:type="dxa"/>
            <w:vAlign w:val="bottom"/>
          </w:tcPr>
          <w:p w14:paraId="476AF35A" w14:textId="77777777" w:rsidR="00D1587D" w:rsidRDefault="00410D07">
            <w:pPr>
              <w:ind w:left="2560"/>
              <w:rPr>
                <w:sz w:val="20"/>
                <w:szCs w:val="20"/>
              </w:rPr>
            </w:pPr>
            <w:r>
              <w:rPr>
                <w:rFonts w:ascii="Arial" w:eastAsia="Arial" w:hAnsi="Arial" w:cs="Arial"/>
                <w:sz w:val="18"/>
                <w:szCs w:val="18"/>
              </w:rPr>
              <w:t>Preamble</w:t>
            </w:r>
          </w:p>
        </w:tc>
      </w:tr>
      <w:tr w:rsidR="00D1587D" w14:paraId="550355B1" w14:textId="77777777">
        <w:trPr>
          <w:trHeight w:val="216"/>
        </w:trPr>
        <w:tc>
          <w:tcPr>
            <w:tcW w:w="4860" w:type="dxa"/>
            <w:vAlign w:val="bottom"/>
          </w:tcPr>
          <w:p w14:paraId="33858F0B" w14:textId="77777777" w:rsidR="00D1587D" w:rsidRDefault="00410D07">
            <w:pPr>
              <w:ind w:left="1140"/>
              <w:rPr>
                <w:sz w:val="20"/>
                <w:szCs w:val="20"/>
              </w:rPr>
            </w:pPr>
            <w:r>
              <w:rPr>
                <w:rFonts w:ascii="Arial" w:eastAsia="Arial" w:hAnsi="Arial" w:cs="Arial"/>
                <w:sz w:val="18"/>
                <w:szCs w:val="18"/>
              </w:rPr>
              <w:t xml:space="preserve">Service Provider </w:t>
            </w:r>
            <w:r>
              <w:rPr>
                <w:rFonts w:ascii="Arial" w:eastAsia="Arial" w:hAnsi="Arial" w:cs="Arial"/>
                <w:sz w:val="18"/>
                <w:szCs w:val="18"/>
              </w:rPr>
              <w:t>Indemnitees</w:t>
            </w:r>
          </w:p>
        </w:tc>
        <w:tc>
          <w:tcPr>
            <w:tcW w:w="6380" w:type="dxa"/>
            <w:vAlign w:val="bottom"/>
          </w:tcPr>
          <w:p w14:paraId="25CD6E0B" w14:textId="77777777" w:rsidR="00D1587D" w:rsidRDefault="00410D07">
            <w:pPr>
              <w:ind w:left="2560"/>
              <w:rPr>
                <w:sz w:val="20"/>
                <w:szCs w:val="20"/>
              </w:rPr>
            </w:pPr>
            <w:r>
              <w:rPr>
                <w:rFonts w:ascii="Arial" w:eastAsia="Arial" w:hAnsi="Arial" w:cs="Arial"/>
                <w:sz w:val="18"/>
                <w:szCs w:val="18"/>
              </w:rPr>
              <w:t>6.01(a)</w:t>
            </w:r>
          </w:p>
        </w:tc>
      </w:tr>
      <w:tr w:rsidR="00D1587D" w14:paraId="53CD51CB" w14:textId="77777777">
        <w:trPr>
          <w:trHeight w:val="216"/>
        </w:trPr>
        <w:tc>
          <w:tcPr>
            <w:tcW w:w="4860" w:type="dxa"/>
            <w:vAlign w:val="bottom"/>
          </w:tcPr>
          <w:p w14:paraId="7BFB3BE4" w14:textId="77777777" w:rsidR="00D1587D" w:rsidRDefault="00410D07">
            <w:pPr>
              <w:ind w:left="1140"/>
              <w:rPr>
                <w:sz w:val="20"/>
                <w:szCs w:val="20"/>
              </w:rPr>
            </w:pPr>
            <w:r>
              <w:rPr>
                <w:rFonts w:ascii="Arial" w:eastAsia="Arial" w:hAnsi="Arial" w:cs="Arial"/>
                <w:sz w:val="18"/>
                <w:szCs w:val="18"/>
              </w:rPr>
              <w:t>Service Provider Party</w:t>
            </w:r>
          </w:p>
        </w:tc>
        <w:tc>
          <w:tcPr>
            <w:tcW w:w="6380" w:type="dxa"/>
            <w:vAlign w:val="bottom"/>
          </w:tcPr>
          <w:p w14:paraId="70359CCD" w14:textId="77777777" w:rsidR="00D1587D" w:rsidRDefault="00410D07">
            <w:pPr>
              <w:ind w:left="2560"/>
              <w:rPr>
                <w:sz w:val="20"/>
                <w:szCs w:val="20"/>
              </w:rPr>
            </w:pPr>
            <w:r>
              <w:rPr>
                <w:rFonts w:ascii="Arial" w:eastAsia="Arial" w:hAnsi="Arial" w:cs="Arial"/>
                <w:sz w:val="18"/>
                <w:szCs w:val="18"/>
              </w:rPr>
              <w:t>2.02</w:t>
            </w:r>
          </w:p>
        </w:tc>
      </w:tr>
      <w:tr w:rsidR="00D1587D" w14:paraId="3595D1C6" w14:textId="77777777">
        <w:trPr>
          <w:trHeight w:val="216"/>
        </w:trPr>
        <w:tc>
          <w:tcPr>
            <w:tcW w:w="4860" w:type="dxa"/>
            <w:vAlign w:val="bottom"/>
          </w:tcPr>
          <w:p w14:paraId="06C7B330" w14:textId="77777777" w:rsidR="00D1587D" w:rsidRDefault="00410D07">
            <w:pPr>
              <w:ind w:left="1140"/>
              <w:rPr>
                <w:sz w:val="20"/>
                <w:szCs w:val="20"/>
              </w:rPr>
            </w:pPr>
            <w:r>
              <w:rPr>
                <w:rFonts w:ascii="Arial" w:eastAsia="Arial" w:hAnsi="Arial" w:cs="Arial"/>
                <w:sz w:val="18"/>
                <w:szCs w:val="18"/>
              </w:rPr>
              <w:t>Service Recipients</w:t>
            </w:r>
          </w:p>
        </w:tc>
        <w:tc>
          <w:tcPr>
            <w:tcW w:w="6380" w:type="dxa"/>
            <w:vAlign w:val="bottom"/>
          </w:tcPr>
          <w:p w14:paraId="3631F521" w14:textId="77777777" w:rsidR="00D1587D" w:rsidRDefault="00410D07">
            <w:pPr>
              <w:ind w:left="2560"/>
              <w:rPr>
                <w:sz w:val="20"/>
                <w:szCs w:val="20"/>
              </w:rPr>
            </w:pPr>
            <w:r>
              <w:rPr>
                <w:rFonts w:ascii="Arial" w:eastAsia="Arial" w:hAnsi="Arial" w:cs="Arial"/>
                <w:sz w:val="18"/>
                <w:szCs w:val="18"/>
              </w:rPr>
              <w:t>2.01(a)</w:t>
            </w:r>
          </w:p>
        </w:tc>
      </w:tr>
      <w:tr w:rsidR="00D1587D" w14:paraId="06888921" w14:textId="77777777">
        <w:trPr>
          <w:trHeight w:val="216"/>
        </w:trPr>
        <w:tc>
          <w:tcPr>
            <w:tcW w:w="4860" w:type="dxa"/>
            <w:vAlign w:val="bottom"/>
          </w:tcPr>
          <w:p w14:paraId="4F9D6A27" w14:textId="77777777" w:rsidR="00D1587D" w:rsidRDefault="00410D07">
            <w:pPr>
              <w:ind w:left="1140"/>
              <w:rPr>
                <w:sz w:val="20"/>
                <w:szCs w:val="20"/>
              </w:rPr>
            </w:pPr>
            <w:r>
              <w:rPr>
                <w:rFonts w:ascii="Arial" w:eastAsia="Arial" w:hAnsi="Arial" w:cs="Arial"/>
                <w:sz w:val="18"/>
                <w:szCs w:val="18"/>
              </w:rPr>
              <w:t>Service Recipient Indemnitees</w:t>
            </w:r>
          </w:p>
        </w:tc>
        <w:tc>
          <w:tcPr>
            <w:tcW w:w="6380" w:type="dxa"/>
            <w:vAlign w:val="bottom"/>
          </w:tcPr>
          <w:p w14:paraId="64FE301C" w14:textId="77777777" w:rsidR="00D1587D" w:rsidRDefault="00410D07">
            <w:pPr>
              <w:ind w:left="2560"/>
              <w:rPr>
                <w:sz w:val="20"/>
                <w:szCs w:val="20"/>
              </w:rPr>
            </w:pPr>
            <w:r>
              <w:rPr>
                <w:rFonts w:ascii="Arial" w:eastAsia="Arial" w:hAnsi="Arial" w:cs="Arial"/>
                <w:sz w:val="18"/>
                <w:szCs w:val="18"/>
              </w:rPr>
              <w:t>6.01(b)</w:t>
            </w:r>
          </w:p>
        </w:tc>
      </w:tr>
      <w:tr w:rsidR="00D1587D" w14:paraId="335DD325" w14:textId="77777777">
        <w:trPr>
          <w:trHeight w:val="216"/>
        </w:trPr>
        <w:tc>
          <w:tcPr>
            <w:tcW w:w="4860" w:type="dxa"/>
            <w:vAlign w:val="bottom"/>
          </w:tcPr>
          <w:p w14:paraId="3F015A21" w14:textId="77777777" w:rsidR="00D1587D" w:rsidRDefault="00410D07">
            <w:pPr>
              <w:ind w:left="1140"/>
              <w:rPr>
                <w:sz w:val="20"/>
                <w:szCs w:val="20"/>
              </w:rPr>
            </w:pPr>
            <w:r>
              <w:rPr>
                <w:rFonts w:ascii="Arial" w:eastAsia="Arial" w:hAnsi="Arial" w:cs="Arial"/>
                <w:sz w:val="18"/>
                <w:szCs w:val="18"/>
              </w:rPr>
              <w:t>Service Taxes</w:t>
            </w:r>
          </w:p>
        </w:tc>
        <w:tc>
          <w:tcPr>
            <w:tcW w:w="6380" w:type="dxa"/>
            <w:vAlign w:val="bottom"/>
          </w:tcPr>
          <w:p w14:paraId="31EB8519" w14:textId="77777777" w:rsidR="00D1587D" w:rsidRDefault="00410D07">
            <w:pPr>
              <w:ind w:left="2560"/>
              <w:rPr>
                <w:sz w:val="20"/>
                <w:szCs w:val="20"/>
              </w:rPr>
            </w:pPr>
            <w:r>
              <w:rPr>
                <w:rFonts w:ascii="Arial" w:eastAsia="Arial" w:hAnsi="Arial" w:cs="Arial"/>
                <w:sz w:val="18"/>
                <w:szCs w:val="18"/>
              </w:rPr>
              <w:t>3.08(a)</w:t>
            </w:r>
          </w:p>
        </w:tc>
      </w:tr>
      <w:tr w:rsidR="00D1587D" w14:paraId="28A7EF92" w14:textId="77777777">
        <w:trPr>
          <w:trHeight w:val="216"/>
        </w:trPr>
        <w:tc>
          <w:tcPr>
            <w:tcW w:w="4860" w:type="dxa"/>
            <w:vAlign w:val="bottom"/>
          </w:tcPr>
          <w:p w14:paraId="3179FBB9" w14:textId="77777777" w:rsidR="00D1587D" w:rsidRDefault="00410D07">
            <w:pPr>
              <w:ind w:left="1140"/>
              <w:rPr>
                <w:sz w:val="20"/>
                <w:szCs w:val="20"/>
              </w:rPr>
            </w:pPr>
            <w:r>
              <w:rPr>
                <w:rFonts w:ascii="Arial" w:eastAsia="Arial" w:hAnsi="Arial" w:cs="Arial"/>
                <w:sz w:val="18"/>
                <w:szCs w:val="18"/>
              </w:rPr>
              <w:t>Specific Billing</w:t>
            </w:r>
          </w:p>
        </w:tc>
        <w:tc>
          <w:tcPr>
            <w:tcW w:w="6380" w:type="dxa"/>
            <w:vAlign w:val="bottom"/>
          </w:tcPr>
          <w:p w14:paraId="2FBAB469" w14:textId="77777777" w:rsidR="00D1587D" w:rsidRDefault="00410D07">
            <w:pPr>
              <w:ind w:left="2560"/>
              <w:rPr>
                <w:sz w:val="20"/>
                <w:szCs w:val="20"/>
              </w:rPr>
            </w:pPr>
            <w:r>
              <w:rPr>
                <w:rFonts w:ascii="Arial" w:eastAsia="Arial" w:hAnsi="Arial" w:cs="Arial"/>
                <w:sz w:val="18"/>
                <w:szCs w:val="18"/>
              </w:rPr>
              <w:t>3.01(b)</w:t>
            </w:r>
          </w:p>
        </w:tc>
      </w:tr>
      <w:tr w:rsidR="00D1587D" w14:paraId="6D067156" w14:textId="77777777">
        <w:trPr>
          <w:trHeight w:val="216"/>
        </w:trPr>
        <w:tc>
          <w:tcPr>
            <w:tcW w:w="4860" w:type="dxa"/>
            <w:vAlign w:val="bottom"/>
          </w:tcPr>
          <w:p w14:paraId="4D9E7C32" w14:textId="77777777" w:rsidR="00D1587D" w:rsidRDefault="00410D07">
            <w:pPr>
              <w:ind w:left="1140"/>
              <w:rPr>
                <w:sz w:val="20"/>
                <w:szCs w:val="20"/>
              </w:rPr>
            </w:pPr>
            <w:r>
              <w:rPr>
                <w:rFonts w:ascii="Arial" w:eastAsia="Arial" w:hAnsi="Arial" w:cs="Arial"/>
                <w:sz w:val="18"/>
                <w:szCs w:val="18"/>
              </w:rPr>
              <w:t>Term</w:t>
            </w:r>
          </w:p>
        </w:tc>
        <w:tc>
          <w:tcPr>
            <w:tcW w:w="6380" w:type="dxa"/>
            <w:vAlign w:val="bottom"/>
          </w:tcPr>
          <w:p w14:paraId="540F60EE" w14:textId="77777777" w:rsidR="00D1587D" w:rsidRDefault="00410D07">
            <w:pPr>
              <w:ind w:left="2560"/>
              <w:rPr>
                <w:sz w:val="20"/>
                <w:szCs w:val="20"/>
              </w:rPr>
            </w:pPr>
            <w:r>
              <w:rPr>
                <w:rFonts w:ascii="Arial" w:eastAsia="Arial" w:hAnsi="Arial" w:cs="Arial"/>
                <w:sz w:val="18"/>
                <w:szCs w:val="18"/>
              </w:rPr>
              <w:t>2.01(b)</w:t>
            </w:r>
          </w:p>
        </w:tc>
      </w:tr>
      <w:tr w:rsidR="00D1587D" w14:paraId="7AFEDC62" w14:textId="77777777">
        <w:trPr>
          <w:trHeight w:val="216"/>
        </w:trPr>
        <w:tc>
          <w:tcPr>
            <w:tcW w:w="4860" w:type="dxa"/>
            <w:vAlign w:val="bottom"/>
          </w:tcPr>
          <w:p w14:paraId="2B36D925" w14:textId="77777777" w:rsidR="00D1587D" w:rsidRDefault="00410D07">
            <w:pPr>
              <w:ind w:left="1140"/>
              <w:rPr>
                <w:sz w:val="20"/>
                <w:szCs w:val="20"/>
              </w:rPr>
            </w:pPr>
            <w:r>
              <w:rPr>
                <w:rFonts w:ascii="Arial" w:eastAsia="Arial" w:hAnsi="Arial" w:cs="Arial"/>
                <w:sz w:val="18"/>
                <w:szCs w:val="18"/>
              </w:rPr>
              <w:t>Termination Fees</w:t>
            </w:r>
          </w:p>
        </w:tc>
        <w:tc>
          <w:tcPr>
            <w:tcW w:w="6380" w:type="dxa"/>
            <w:vAlign w:val="bottom"/>
          </w:tcPr>
          <w:p w14:paraId="72351F4E" w14:textId="77777777" w:rsidR="00D1587D" w:rsidRDefault="00410D07">
            <w:pPr>
              <w:ind w:left="2560"/>
              <w:rPr>
                <w:sz w:val="20"/>
                <w:szCs w:val="20"/>
              </w:rPr>
            </w:pPr>
            <w:r>
              <w:rPr>
                <w:rFonts w:ascii="Arial" w:eastAsia="Arial" w:hAnsi="Arial" w:cs="Arial"/>
                <w:sz w:val="18"/>
                <w:szCs w:val="18"/>
              </w:rPr>
              <w:t>7.02</w:t>
            </w:r>
          </w:p>
        </w:tc>
      </w:tr>
      <w:tr w:rsidR="00D1587D" w14:paraId="7F9CB24A" w14:textId="77777777">
        <w:trPr>
          <w:trHeight w:val="216"/>
        </w:trPr>
        <w:tc>
          <w:tcPr>
            <w:tcW w:w="4860" w:type="dxa"/>
            <w:vAlign w:val="bottom"/>
          </w:tcPr>
          <w:p w14:paraId="1E598EEB" w14:textId="77777777" w:rsidR="00D1587D" w:rsidRDefault="00410D07">
            <w:pPr>
              <w:ind w:left="1140"/>
              <w:rPr>
                <w:sz w:val="20"/>
                <w:szCs w:val="20"/>
              </w:rPr>
            </w:pPr>
            <w:r>
              <w:rPr>
                <w:rFonts w:ascii="Arial" w:eastAsia="Arial" w:hAnsi="Arial" w:cs="Arial"/>
                <w:sz w:val="18"/>
                <w:szCs w:val="18"/>
              </w:rPr>
              <w:t>Third Party Claim</w:t>
            </w:r>
          </w:p>
        </w:tc>
        <w:tc>
          <w:tcPr>
            <w:tcW w:w="6380" w:type="dxa"/>
            <w:vAlign w:val="bottom"/>
          </w:tcPr>
          <w:p w14:paraId="6CCC95D3" w14:textId="77777777" w:rsidR="00D1587D" w:rsidRDefault="00410D07">
            <w:pPr>
              <w:ind w:left="2560"/>
              <w:rPr>
                <w:sz w:val="20"/>
                <w:szCs w:val="20"/>
              </w:rPr>
            </w:pPr>
            <w:r>
              <w:rPr>
                <w:rFonts w:ascii="Arial" w:eastAsia="Arial" w:hAnsi="Arial" w:cs="Arial"/>
                <w:sz w:val="18"/>
                <w:szCs w:val="18"/>
              </w:rPr>
              <w:t>6.02(a)</w:t>
            </w:r>
          </w:p>
        </w:tc>
      </w:tr>
      <w:tr w:rsidR="00D1587D" w14:paraId="373C11D4" w14:textId="77777777">
        <w:trPr>
          <w:trHeight w:val="216"/>
        </w:trPr>
        <w:tc>
          <w:tcPr>
            <w:tcW w:w="4860" w:type="dxa"/>
            <w:vAlign w:val="bottom"/>
          </w:tcPr>
          <w:p w14:paraId="3970BDCA" w14:textId="77777777" w:rsidR="00D1587D" w:rsidRDefault="00410D07">
            <w:pPr>
              <w:ind w:left="1140"/>
              <w:rPr>
                <w:sz w:val="20"/>
                <w:szCs w:val="20"/>
              </w:rPr>
            </w:pPr>
            <w:r>
              <w:rPr>
                <w:rFonts w:ascii="Arial" w:eastAsia="Arial" w:hAnsi="Arial" w:cs="Arial"/>
                <w:sz w:val="18"/>
                <w:szCs w:val="18"/>
              </w:rPr>
              <w:t xml:space="preserve">Third Party Consent </w:t>
            </w:r>
            <w:r>
              <w:rPr>
                <w:rFonts w:ascii="Arial" w:eastAsia="Arial" w:hAnsi="Arial" w:cs="Arial"/>
                <w:sz w:val="18"/>
                <w:szCs w:val="18"/>
              </w:rPr>
              <w:t>Costs</w:t>
            </w:r>
          </w:p>
        </w:tc>
        <w:tc>
          <w:tcPr>
            <w:tcW w:w="6380" w:type="dxa"/>
            <w:vAlign w:val="bottom"/>
          </w:tcPr>
          <w:p w14:paraId="352DC06E" w14:textId="77777777" w:rsidR="00D1587D" w:rsidRDefault="00410D07">
            <w:pPr>
              <w:ind w:left="2560"/>
              <w:rPr>
                <w:sz w:val="20"/>
                <w:szCs w:val="20"/>
              </w:rPr>
            </w:pPr>
            <w:r>
              <w:rPr>
                <w:rFonts w:ascii="Arial" w:eastAsia="Arial" w:hAnsi="Arial" w:cs="Arial"/>
                <w:sz w:val="18"/>
                <w:szCs w:val="18"/>
              </w:rPr>
              <w:t>2.08(a)</w:t>
            </w:r>
          </w:p>
        </w:tc>
      </w:tr>
      <w:tr w:rsidR="00D1587D" w14:paraId="408C35DC" w14:textId="77777777">
        <w:trPr>
          <w:trHeight w:val="216"/>
        </w:trPr>
        <w:tc>
          <w:tcPr>
            <w:tcW w:w="4860" w:type="dxa"/>
            <w:vAlign w:val="bottom"/>
          </w:tcPr>
          <w:p w14:paraId="1684D200" w14:textId="77777777" w:rsidR="00D1587D" w:rsidRDefault="00410D07">
            <w:pPr>
              <w:ind w:left="1140"/>
              <w:rPr>
                <w:sz w:val="20"/>
                <w:szCs w:val="20"/>
              </w:rPr>
            </w:pPr>
            <w:r>
              <w:rPr>
                <w:rFonts w:ascii="Arial" w:eastAsia="Arial" w:hAnsi="Arial" w:cs="Arial"/>
                <w:sz w:val="18"/>
                <w:szCs w:val="18"/>
              </w:rPr>
              <w:t>Third Party Provider</w:t>
            </w:r>
          </w:p>
        </w:tc>
        <w:tc>
          <w:tcPr>
            <w:tcW w:w="6380" w:type="dxa"/>
            <w:vAlign w:val="bottom"/>
          </w:tcPr>
          <w:p w14:paraId="007917A1" w14:textId="77777777" w:rsidR="00D1587D" w:rsidRDefault="00410D07">
            <w:pPr>
              <w:ind w:left="2560"/>
              <w:rPr>
                <w:sz w:val="20"/>
                <w:szCs w:val="20"/>
              </w:rPr>
            </w:pPr>
            <w:r>
              <w:rPr>
                <w:rFonts w:ascii="Arial" w:eastAsia="Arial" w:hAnsi="Arial" w:cs="Arial"/>
                <w:sz w:val="18"/>
                <w:szCs w:val="18"/>
              </w:rPr>
              <w:t>2.02</w:t>
            </w:r>
          </w:p>
        </w:tc>
      </w:tr>
      <w:tr w:rsidR="00D1587D" w14:paraId="1854BD4B" w14:textId="77777777">
        <w:trPr>
          <w:trHeight w:val="216"/>
        </w:trPr>
        <w:tc>
          <w:tcPr>
            <w:tcW w:w="4860" w:type="dxa"/>
            <w:vAlign w:val="bottom"/>
          </w:tcPr>
          <w:p w14:paraId="5DFAFF81" w14:textId="77777777" w:rsidR="00D1587D" w:rsidRDefault="00410D07">
            <w:pPr>
              <w:ind w:left="1140"/>
              <w:rPr>
                <w:sz w:val="20"/>
                <w:szCs w:val="20"/>
              </w:rPr>
            </w:pPr>
            <w:r>
              <w:rPr>
                <w:rFonts w:ascii="Arial" w:eastAsia="Arial" w:hAnsi="Arial" w:cs="Arial"/>
                <w:sz w:val="18"/>
                <w:szCs w:val="18"/>
              </w:rPr>
              <w:t>Transition Date</w:t>
            </w:r>
          </w:p>
        </w:tc>
        <w:tc>
          <w:tcPr>
            <w:tcW w:w="6380" w:type="dxa"/>
            <w:vAlign w:val="bottom"/>
          </w:tcPr>
          <w:p w14:paraId="0128E137" w14:textId="77777777" w:rsidR="00D1587D" w:rsidRDefault="00410D07">
            <w:pPr>
              <w:ind w:left="2560"/>
              <w:rPr>
                <w:sz w:val="20"/>
                <w:szCs w:val="20"/>
              </w:rPr>
            </w:pPr>
            <w:r>
              <w:rPr>
                <w:rFonts w:ascii="Arial" w:eastAsia="Arial" w:hAnsi="Arial" w:cs="Arial"/>
                <w:sz w:val="18"/>
                <w:szCs w:val="18"/>
              </w:rPr>
              <w:t>4.01(c)(ii)</w:t>
            </w:r>
          </w:p>
        </w:tc>
      </w:tr>
      <w:tr w:rsidR="00D1587D" w14:paraId="4D4E502E" w14:textId="77777777">
        <w:trPr>
          <w:trHeight w:val="230"/>
        </w:trPr>
        <w:tc>
          <w:tcPr>
            <w:tcW w:w="4860" w:type="dxa"/>
            <w:vAlign w:val="bottom"/>
          </w:tcPr>
          <w:p w14:paraId="05EEB693" w14:textId="77777777" w:rsidR="00D1587D" w:rsidRDefault="00410D07">
            <w:pPr>
              <w:ind w:left="1140"/>
              <w:rPr>
                <w:sz w:val="20"/>
                <w:szCs w:val="20"/>
              </w:rPr>
            </w:pPr>
            <w:r>
              <w:rPr>
                <w:rFonts w:ascii="Arial" w:eastAsia="Arial" w:hAnsi="Arial" w:cs="Arial"/>
                <w:sz w:val="18"/>
                <w:szCs w:val="18"/>
              </w:rPr>
              <w:t>Transition Employee</w:t>
            </w:r>
          </w:p>
        </w:tc>
        <w:tc>
          <w:tcPr>
            <w:tcW w:w="6380" w:type="dxa"/>
            <w:vAlign w:val="bottom"/>
          </w:tcPr>
          <w:p w14:paraId="31DED997" w14:textId="77777777" w:rsidR="00D1587D" w:rsidRDefault="00410D07">
            <w:pPr>
              <w:ind w:left="2560"/>
              <w:rPr>
                <w:sz w:val="20"/>
                <w:szCs w:val="20"/>
              </w:rPr>
            </w:pPr>
            <w:r>
              <w:rPr>
                <w:rFonts w:ascii="Arial" w:eastAsia="Arial" w:hAnsi="Arial" w:cs="Arial"/>
                <w:sz w:val="18"/>
                <w:szCs w:val="18"/>
              </w:rPr>
              <w:t>4.01(c)(i)</w:t>
            </w:r>
          </w:p>
        </w:tc>
      </w:tr>
      <w:tr w:rsidR="00D1587D" w14:paraId="641F5354" w14:textId="77777777">
        <w:trPr>
          <w:trHeight w:val="582"/>
        </w:trPr>
        <w:tc>
          <w:tcPr>
            <w:tcW w:w="4860" w:type="dxa"/>
            <w:vAlign w:val="bottom"/>
          </w:tcPr>
          <w:p w14:paraId="5066E07F" w14:textId="77777777" w:rsidR="00D1587D" w:rsidRDefault="00D1587D">
            <w:pPr>
              <w:rPr>
                <w:sz w:val="24"/>
                <w:szCs w:val="24"/>
              </w:rPr>
            </w:pPr>
          </w:p>
        </w:tc>
        <w:tc>
          <w:tcPr>
            <w:tcW w:w="6380" w:type="dxa"/>
            <w:vAlign w:val="bottom"/>
          </w:tcPr>
          <w:p w14:paraId="15BF39F6" w14:textId="77777777" w:rsidR="00D1587D" w:rsidRDefault="00410D07">
            <w:pPr>
              <w:ind w:left="720"/>
              <w:rPr>
                <w:sz w:val="20"/>
                <w:szCs w:val="20"/>
              </w:rPr>
            </w:pPr>
            <w:r>
              <w:rPr>
                <w:rFonts w:ascii="Arial" w:eastAsia="Arial" w:hAnsi="Arial" w:cs="Arial"/>
                <w:sz w:val="14"/>
                <w:szCs w:val="14"/>
              </w:rPr>
              <w:t>2</w:t>
            </w:r>
          </w:p>
        </w:tc>
      </w:tr>
      <w:tr w:rsidR="00D1587D" w14:paraId="3C0ABD51" w14:textId="77777777">
        <w:trPr>
          <w:trHeight w:val="46"/>
        </w:trPr>
        <w:tc>
          <w:tcPr>
            <w:tcW w:w="4860" w:type="dxa"/>
            <w:tcBorders>
              <w:bottom w:val="single" w:sz="8" w:space="0" w:color="auto"/>
            </w:tcBorders>
            <w:vAlign w:val="bottom"/>
          </w:tcPr>
          <w:p w14:paraId="20CCA9DD" w14:textId="77777777" w:rsidR="00D1587D" w:rsidRDefault="00D1587D">
            <w:pPr>
              <w:rPr>
                <w:sz w:val="4"/>
                <w:szCs w:val="4"/>
              </w:rPr>
            </w:pPr>
          </w:p>
        </w:tc>
        <w:tc>
          <w:tcPr>
            <w:tcW w:w="6380" w:type="dxa"/>
            <w:tcBorders>
              <w:bottom w:val="single" w:sz="8" w:space="0" w:color="auto"/>
            </w:tcBorders>
            <w:vAlign w:val="bottom"/>
          </w:tcPr>
          <w:p w14:paraId="669D4FC9" w14:textId="77777777" w:rsidR="00D1587D" w:rsidRDefault="00D1587D">
            <w:pPr>
              <w:rPr>
                <w:sz w:val="4"/>
                <w:szCs w:val="4"/>
              </w:rPr>
            </w:pPr>
          </w:p>
        </w:tc>
      </w:tr>
    </w:tbl>
    <w:p w14:paraId="030DAA77" w14:textId="77777777" w:rsidR="00D1587D" w:rsidRDefault="00D1587D">
      <w:pPr>
        <w:sectPr w:rsidR="00D1587D">
          <w:pgSz w:w="11900" w:h="16838"/>
          <w:pgMar w:top="361" w:right="339" w:bottom="1440" w:left="320" w:header="0" w:footer="0" w:gutter="0"/>
          <w:cols w:space="720" w:equalWidth="0">
            <w:col w:w="11240"/>
          </w:cols>
        </w:sectPr>
      </w:pPr>
    </w:p>
    <w:p w14:paraId="3E514922" w14:textId="77777777" w:rsidR="00D1587D" w:rsidRDefault="00410D07">
      <w:pPr>
        <w:spacing w:line="269" w:lineRule="auto"/>
        <w:ind w:firstLine="648"/>
        <w:rPr>
          <w:sz w:val="20"/>
          <w:szCs w:val="20"/>
        </w:rPr>
      </w:pPr>
      <w:bookmarkStart w:id="116" w:name="page117"/>
      <w:bookmarkEnd w:id="116"/>
      <w:r>
        <w:rPr>
          <w:rFonts w:ascii="Arial" w:eastAsia="Arial" w:hAnsi="Arial" w:cs="Arial"/>
          <w:sz w:val="19"/>
          <w:szCs w:val="19"/>
        </w:rPr>
        <w:t xml:space="preserve">Section 1.02. </w:t>
      </w:r>
      <w:r>
        <w:rPr>
          <w:rFonts w:ascii="Arial" w:eastAsia="Arial" w:hAnsi="Arial" w:cs="Arial"/>
          <w:i/>
          <w:iCs/>
          <w:sz w:val="19"/>
          <w:szCs w:val="19"/>
        </w:rPr>
        <w:t>Other Definitional and Interpretive Provisions</w:t>
      </w:r>
      <w:r>
        <w:rPr>
          <w:rFonts w:ascii="Arial" w:eastAsia="Arial" w:hAnsi="Arial" w:cs="Arial"/>
          <w:sz w:val="19"/>
          <w:szCs w:val="19"/>
        </w:rPr>
        <w:t xml:space="preserve">. The words “hereof”, “herein” and “hereunder” and words of </w:t>
      </w:r>
      <w:r>
        <w:rPr>
          <w:rFonts w:ascii="Arial" w:eastAsia="Arial" w:hAnsi="Arial" w:cs="Arial"/>
          <w:sz w:val="19"/>
          <w:szCs w:val="19"/>
        </w:rPr>
        <w:t>like import used in this Agreement shall refer to this Agreement as a whole and not to any particular provision of this Agreement. The captions herein are included for convenience of reference only and shall be ignored in the construction or interpretation</w:t>
      </w:r>
      <w:r>
        <w:rPr>
          <w:rFonts w:ascii="Arial" w:eastAsia="Arial" w:hAnsi="Arial" w:cs="Arial"/>
          <w:sz w:val="19"/>
          <w:szCs w:val="19"/>
        </w:rPr>
        <w:t xml:space="preserve"> hereof. References to Articles, Sections, Exhibits, Appendices, Annexes and Schedules are to Articles, Sections, Exhibits, Appendices, Annexes and Schedules of this Agreement unless otherwise specified. All Exhibits, Appendices, Annexes and Schedules anne</w:t>
      </w:r>
      <w:r>
        <w:rPr>
          <w:rFonts w:ascii="Arial" w:eastAsia="Arial" w:hAnsi="Arial" w:cs="Arial"/>
          <w:sz w:val="19"/>
          <w:szCs w:val="19"/>
        </w:rPr>
        <w:t>xed hereto or referred to herein are hereby incorporated in and made a part of this Agreement as if set forth in full herein. Any capitalized terms used in any Exhibit, Appendix, Annex or Schedule but not otherwise defined therein, shall have the meaning a</w:t>
      </w:r>
      <w:r>
        <w:rPr>
          <w:rFonts w:ascii="Arial" w:eastAsia="Arial" w:hAnsi="Arial" w:cs="Arial"/>
          <w:sz w:val="19"/>
          <w:szCs w:val="19"/>
        </w:rPr>
        <w:t>s defined in this Agreement. Any singular term in this Agreement shall be deemed to include the plural, and any plural term the singular. Whenever the words “include”, “includes” or “including” are used in this Agreement, they shall be deemed to be followe</w:t>
      </w:r>
      <w:r>
        <w:rPr>
          <w:rFonts w:ascii="Arial" w:eastAsia="Arial" w:hAnsi="Arial" w:cs="Arial"/>
          <w:sz w:val="19"/>
          <w:szCs w:val="19"/>
        </w:rPr>
        <w:t>d by the words “without limitation”, whether or not they are in fact followed by those words or words of like import. “Writing”, “written” and comparable terms refer to printing, typing and other means of reproducing words (including electronic media) in a</w:t>
      </w:r>
      <w:r>
        <w:rPr>
          <w:rFonts w:ascii="Arial" w:eastAsia="Arial" w:hAnsi="Arial" w:cs="Arial"/>
          <w:sz w:val="19"/>
          <w:szCs w:val="19"/>
        </w:rPr>
        <w:t xml:space="preserve"> visible form. References to any statute shall be deemed to refer to such statute as amended from time to time and to any rules or regulations promulgated thereunder. References to any agreement or contract are to that agreement or contract as amended, mod</w:t>
      </w:r>
      <w:r>
        <w:rPr>
          <w:rFonts w:ascii="Arial" w:eastAsia="Arial" w:hAnsi="Arial" w:cs="Arial"/>
          <w:sz w:val="19"/>
          <w:szCs w:val="19"/>
        </w:rPr>
        <w:t>ified or supplemented from time to time in accordance with the terms hereof and thereof. References to any Person include the successors and permitted assigns of that Person. References from or through any date mean, unless otherwise specified, from and in</w:t>
      </w:r>
      <w:r>
        <w:rPr>
          <w:rFonts w:ascii="Arial" w:eastAsia="Arial" w:hAnsi="Arial" w:cs="Arial"/>
          <w:sz w:val="19"/>
          <w:szCs w:val="19"/>
        </w:rPr>
        <w:t>cluding or through and including, respectively. References to “law”, “laws” or to a particular statute or law shall be deemed also to include any and all Applicable Law. The word “or” means “and/or” unless the context provides otherwise. References to “dol</w:t>
      </w:r>
      <w:r>
        <w:rPr>
          <w:rFonts w:ascii="Arial" w:eastAsia="Arial" w:hAnsi="Arial" w:cs="Arial"/>
          <w:sz w:val="19"/>
          <w:szCs w:val="19"/>
        </w:rPr>
        <w:t xml:space="preserve">lars” or “$” shall mean U.S. dollars, and whenever conversion of values to or from any currency other than U.S. dollars for a particular date shall be required, such conversion shall be made using the closing rate provided by Bloomberg as of the date that </w:t>
      </w:r>
      <w:r>
        <w:rPr>
          <w:rFonts w:ascii="Arial" w:eastAsia="Arial" w:hAnsi="Arial" w:cs="Arial"/>
          <w:sz w:val="19"/>
          <w:szCs w:val="19"/>
        </w:rPr>
        <w:t>is one Business Day prior to such date. References to one gender shall be held to include the other gender as the context requires. In the event of any inconsistency between the terms of this Agreement and the terms set forth in any Service Schedule, the t</w:t>
      </w:r>
      <w:r>
        <w:rPr>
          <w:rFonts w:ascii="Arial" w:eastAsia="Arial" w:hAnsi="Arial" w:cs="Arial"/>
          <w:sz w:val="19"/>
          <w:szCs w:val="19"/>
        </w:rPr>
        <w:t>erms set forth in the applicable Service Schedule shall prevail unless expressly provided otherwise.</w:t>
      </w:r>
    </w:p>
    <w:p w14:paraId="4F6F7625" w14:textId="77777777" w:rsidR="00D1587D" w:rsidRDefault="00D1587D">
      <w:pPr>
        <w:spacing w:line="200" w:lineRule="exact"/>
        <w:rPr>
          <w:sz w:val="20"/>
          <w:szCs w:val="20"/>
        </w:rPr>
      </w:pPr>
    </w:p>
    <w:p w14:paraId="02143D4A" w14:textId="77777777" w:rsidR="00D1587D" w:rsidRDefault="00D1587D">
      <w:pPr>
        <w:spacing w:line="244" w:lineRule="exact"/>
        <w:rPr>
          <w:sz w:val="20"/>
          <w:szCs w:val="20"/>
        </w:rPr>
      </w:pPr>
    </w:p>
    <w:p w14:paraId="5D7FFD2C" w14:textId="77777777" w:rsidR="00D1587D" w:rsidRDefault="00410D07">
      <w:pPr>
        <w:ind w:left="5100"/>
        <w:rPr>
          <w:sz w:val="20"/>
          <w:szCs w:val="20"/>
        </w:rPr>
      </w:pPr>
      <w:r>
        <w:rPr>
          <w:rFonts w:ascii="Arial" w:eastAsia="Arial" w:hAnsi="Arial" w:cs="Arial"/>
        </w:rPr>
        <w:t>ARTICLE 2</w:t>
      </w:r>
    </w:p>
    <w:p w14:paraId="12207128" w14:textId="77777777" w:rsidR="00D1587D" w:rsidRDefault="00D1587D">
      <w:pPr>
        <w:spacing w:line="8" w:lineRule="exact"/>
        <w:rPr>
          <w:sz w:val="20"/>
          <w:szCs w:val="20"/>
        </w:rPr>
      </w:pPr>
    </w:p>
    <w:p w14:paraId="01A1D2CB" w14:textId="77777777" w:rsidR="00D1587D" w:rsidRDefault="00410D07">
      <w:pPr>
        <w:ind w:left="5120"/>
        <w:rPr>
          <w:sz w:val="20"/>
          <w:szCs w:val="20"/>
        </w:rPr>
      </w:pPr>
      <w:r>
        <w:rPr>
          <w:rFonts w:ascii="Arial" w:eastAsia="Arial" w:hAnsi="Arial" w:cs="Arial"/>
        </w:rPr>
        <w:t>SERVICES</w:t>
      </w:r>
    </w:p>
    <w:p w14:paraId="38205F42" w14:textId="77777777" w:rsidR="00D1587D" w:rsidRDefault="00D1587D">
      <w:pPr>
        <w:spacing w:line="215" w:lineRule="exact"/>
        <w:rPr>
          <w:sz w:val="20"/>
          <w:szCs w:val="20"/>
        </w:rPr>
      </w:pPr>
    </w:p>
    <w:p w14:paraId="4CF33294" w14:textId="77777777" w:rsidR="00D1587D" w:rsidRDefault="00410D07">
      <w:pPr>
        <w:spacing w:line="287" w:lineRule="auto"/>
        <w:ind w:right="440" w:firstLine="648"/>
        <w:rPr>
          <w:sz w:val="20"/>
          <w:szCs w:val="20"/>
        </w:rPr>
      </w:pPr>
      <w:r>
        <w:rPr>
          <w:rFonts w:ascii="Arial" w:eastAsia="Arial" w:hAnsi="Arial" w:cs="Arial"/>
          <w:sz w:val="19"/>
          <w:szCs w:val="19"/>
        </w:rPr>
        <w:t xml:space="preserve">Section 2.01. </w:t>
      </w:r>
      <w:r>
        <w:rPr>
          <w:rFonts w:ascii="Arial" w:eastAsia="Arial" w:hAnsi="Arial" w:cs="Arial"/>
          <w:i/>
          <w:iCs/>
          <w:sz w:val="19"/>
          <w:szCs w:val="19"/>
        </w:rPr>
        <w:t>Services</w:t>
      </w:r>
      <w:r>
        <w:rPr>
          <w:rFonts w:ascii="Arial" w:eastAsia="Arial" w:hAnsi="Arial" w:cs="Arial"/>
          <w:sz w:val="19"/>
          <w:szCs w:val="19"/>
        </w:rPr>
        <w:t xml:space="preserve">. (a) Subject to the terms and conditions set forth herein, Service Provider shall cause the Service </w:t>
      </w:r>
      <w:r>
        <w:rPr>
          <w:rFonts w:ascii="Arial" w:eastAsia="Arial" w:hAnsi="Arial" w:cs="Arial"/>
          <w:sz w:val="19"/>
          <w:szCs w:val="19"/>
        </w:rPr>
        <w:t>Provider Parties to provide to L Brands and its Affiliates (collectively the “</w:t>
      </w:r>
      <w:r>
        <w:rPr>
          <w:rFonts w:ascii="Arial" w:eastAsia="Arial" w:hAnsi="Arial" w:cs="Arial"/>
          <w:b/>
          <w:bCs/>
          <w:sz w:val="19"/>
          <w:szCs w:val="19"/>
        </w:rPr>
        <w:t>Service Recipients</w:t>
      </w:r>
      <w:r>
        <w:rPr>
          <w:rFonts w:ascii="Arial" w:eastAsia="Arial" w:hAnsi="Arial" w:cs="Arial"/>
          <w:sz w:val="19"/>
          <w:szCs w:val="19"/>
        </w:rPr>
        <w:t>”), and the Service Recipients shall receive, the Services for the term indicated in Section 2.01(b). A detailed description of each Service to be provided by t</w:t>
      </w:r>
      <w:r>
        <w:rPr>
          <w:rFonts w:ascii="Arial" w:eastAsia="Arial" w:hAnsi="Arial" w:cs="Arial"/>
          <w:sz w:val="19"/>
          <w:szCs w:val="19"/>
        </w:rPr>
        <w:t>he Service Provider Parties to the Service Recipients hereunder is set forth in the Service Schedules.</w:t>
      </w:r>
    </w:p>
    <w:p w14:paraId="28E847A3" w14:textId="77777777" w:rsidR="00D1587D" w:rsidRDefault="00D1587D">
      <w:pPr>
        <w:spacing w:line="170" w:lineRule="exact"/>
        <w:rPr>
          <w:sz w:val="20"/>
          <w:szCs w:val="20"/>
        </w:rPr>
      </w:pPr>
    </w:p>
    <w:p w14:paraId="7210F2F5" w14:textId="77777777" w:rsidR="00D1587D" w:rsidRDefault="00410D07">
      <w:pPr>
        <w:numPr>
          <w:ilvl w:val="0"/>
          <w:numId w:val="78"/>
        </w:numPr>
        <w:tabs>
          <w:tab w:val="left" w:pos="1440"/>
        </w:tabs>
        <w:spacing w:line="236" w:lineRule="auto"/>
        <w:ind w:right="20" w:firstLine="656"/>
        <w:rPr>
          <w:rFonts w:ascii="Arial" w:eastAsia="Arial" w:hAnsi="Arial" w:cs="Arial"/>
        </w:rPr>
      </w:pPr>
      <w:r>
        <w:rPr>
          <w:rFonts w:ascii="Arial" w:eastAsia="Arial" w:hAnsi="Arial" w:cs="Arial"/>
        </w:rPr>
        <w:t>Service Provider shall cause the Service Provider Parties to provide, and the Service Recipients shall receive, each Service for the period specified fo</w:t>
      </w:r>
      <w:r>
        <w:rPr>
          <w:rFonts w:ascii="Arial" w:eastAsia="Arial" w:hAnsi="Arial" w:cs="Arial"/>
        </w:rPr>
        <w:t>r such Service in the applicable Service Schedule (each such period, a “</w:t>
      </w:r>
      <w:r>
        <w:rPr>
          <w:rFonts w:ascii="Arial" w:eastAsia="Arial" w:hAnsi="Arial" w:cs="Arial"/>
          <w:b/>
          <w:bCs/>
        </w:rPr>
        <w:t>Term</w:t>
      </w:r>
      <w:r>
        <w:rPr>
          <w:rFonts w:ascii="Arial" w:eastAsia="Arial" w:hAnsi="Arial" w:cs="Arial"/>
        </w:rPr>
        <w:t>”). The Term for each Service may be (i) extended or shortened by mutual written agreement of L Brands and Service Provider, and (ii) terminated by L Brands or Service Provider, as</w:t>
      </w:r>
      <w:r>
        <w:rPr>
          <w:rFonts w:ascii="Arial" w:eastAsia="Arial" w:hAnsi="Arial" w:cs="Arial"/>
        </w:rPr>
        <w:t xml:space="preserve"> applicable, pursuant to Section 7.01, in each case to be reflected in an amendment to the applicable Service Schedule.</w:t>
      </w:r>
    </w:p>
    <w:p w14:paraId="0F458A6E" w14:textId="77777777" w:rsidR="00D1587D" w:rsidRDefault="00D1587D">
      <w:pPr>
        <w:spacing w:line="214" w:lineRule="exact"/>
        <w:rPr>
          <w:rFonts w:ascii="Arial" w:eastAsia="Arial" w:hAnsi="Arial" w:cs="Arial"/>
        </w:rPr>
      </w:pPr>
    </w:p>
    <w:p w14:paraId="79DC6750" w14:textId="77777777" w:rsidR="00D1587D" w:rsidRDefault="00410D07">
      <w:pPr>
        <w:numPr>
          <w:ilvl w:val="0"/>
          <w:numId w:val="78"/>
        </w:numPr>
        <w:tabs>
          <w:tab w:val="left" w:pos="1428"/>
        </w:tabs>
        <w:spacing w:line="271" w:lineRule="auto"/>
        <w:ind w:right="60" w:firstLine="656"/>
        <w:rPr>
          <w:rFonts w:ascii="Arial" w:eastAsia="Arial" w:hAnsi="Arial" w:cs="Arial"/>
          <w:sz w:val="19"/>
          <w:szCs w:val="19"/>
        </w:rPr>
      </w:pPr>
      <w:r>
        <w:rPr>
          <w:rFonts w:ascii="Arial" w:eastAsia="Arial" w:hAnsi="Arial" w:cs="Arial"/>
          <w:sz w:val="19"/>
          <w:szCs w:val="19"/>
        </w:rPr>
        <w:t>In addition to the Services to be provided or procured by Service Provider in accordance with Section 2.01(a), if due to a good faith o</w:t>
      </w:r>
      <w:r>
        <w:rPr>
          <w:rFonts w:ascii="Arial" w:eastAsia="Arial" w:hAnsi="Arial" w:cs="Arial"/>
          <w:sz w:val="19"/>
          <w:szCs w:val="19"/>
        </w:rPr>
        <w:t>versight, the Service Schedules fail to identify a service provided by the Service Provider Parties to the L Brands Business during the twelve month period prior to the date hereof (an “</w:t>
      </w:r>
      <w:r>
        <w:rPr>
          <w:rFonts w:ascii="Arial" w:eastAsia="Arial" w:hAnsi="Arial" w:cs="Arial"/>
          <w:b/>
          <w:bCs/>
          <w:sz w:val="19"/>
          <w:szCs w:val="19"/>
        </w:rPr>
        <w:t>Additional Service</w:t>
      </w:r>
      <w:r>
        <w:rPr>
          <w:rFonts w:ascii="Arial" w:eastAsia="Arial" w:hAnsi="Arial" w:cs="Arial"/>
          <w:sz w:val="19"/>
          <w:szCs w:val="19"/>
        </w:rPr>
        <w:t>”), and such Additional Service is necessary for the</w:t>
      </w:r>
      <w:r>
        <w:rPr>
          <w:rFonts w:ascii="Arial" w:eastAsia="Arial" w:hAnsi="Arial" w:cs="Arial"/>
          <w:sz w:val="19"/>
          <w:szCs w:val="19"/>
        </w:rPr>
        <w:t xml:space="preserve"> Service Recipients during the term of this Agreement to operate the L Brands Business in substantially the same manner as the L Brands Business had been operated during the twelve month period prior to the date hereof, upon written request of any Service </w:t>
      </w:r>
      <w:r>
        <w:rPr>
          <w:rFonts w:ascii="Arial" w:eastAsia="Arial" w:hAnsi="Arial" w:cs="Arial"/>
          <w:sz w:val="19"/>
          <w:szCs w:val="19"/>
        </w:rPr>
        <w:t xml:space="preserve">Recipient that identifies and states its desire to receive such Additional Service, the parties hereto shall negotiate in good faith for Service Provider to provide or cause to be provided such Additional Service; </w:t>
      </w:r>
      <w:r>
        <w:rPr>
          <w:rFonts w:ascii="Arial" w:eastAsia="Arial" w:hAnsi="Arial" w:cs="Arial"/>
          <w:i/>
          <w:iCs/>
          <w:sz w:val="19"/>
          <w:szCs w:val="19"/>
        </w:rPr>
        <w:t>provided</w:t>
      </w:r>
      <w:r>
        <w:rPr>
          <w:rFonts w:ascii="Arial" w:eastAsia="Arial" w:hAnsi="Arial" w:cs="Arial"/>
          <w:sz w:val="19"/>
          <w:szCs w:val="19"/>
        </w:rPr>
        <w:t xml:space="preserve"> that (i) nothing herein shall obl</w:t>
      </w:r>
      <w:r>
        <w:rPr>
          <w:rFonts w:ascii="Arial" w:eastAsia="Arial" w:hAnsi="Arial" w:cs="Arial"/>
          <w:sz w:val="19"/>
          <w:szCs w:val="19"/>
        </w:rPr>
        <w:t>igate either party hereto to agree to any such terms or to provide or receive any such Additional Service unless agreed in writing by both parties hereto and (ii) no Additional Service shall be provided for a Term extending beyond 24 months following the D</w:t>
      </w:r>
      <w:r>
        <w:rPr>
          <w:rFonts w:ascii="Arial" w:eastAsia="Arial" w:hAnsi="Arial" w:cs="Arial"/>
          <w:sz w:val="19"/>
          <w:szCs w:val="19"/>
        </w:rPr>
        <w:t xml:space="preserve">istribution Date. To the extent the parties hereto reach a written agreement with respect to providing such Additional Service, the parties shall cooperate and act in good faith to add such Additional Service to the Service Schedules and mutually agree in </w:t>
      </w:r>
      <w:r>
        <w:rPr>
          <w:rFonts w:ascii="Arial" w:eastAsia="Arial" w:hAnsi="Arial" w:cs="Arial"/>
          <w:sz w:val="19"/>
          <w:szCs w:val="19"/>
        </w:rPr>
        <w:t>good faith to a description of such Additional Service, the Term during which such Additional Service would be provided, the Service Fees for such Additional Service and any other terms applicable thereto. Upon amendment of the Service Schedules to include</w:t>
      </w:r>
      <w:r>
        <w:rPr>
          <w:rFonts w:ascii="Arial" w:eastAsia="Arial" w:hAnsi="Arial" w:cs="Arial"/>
          <w:sz w:val="19"/>
          <w:szCs w:val="19"/>
        </w:rPr>
        <w:t xml:space="preserve"> such Additional Service, such Additional Service shall be deemed part of the “Services” provided under this Agreement subject to the terms and conditions of this Agreement.</w:t>
      </w:r>
    </w:p>
    <w:p w14:paraId="17746199" w14:textId="77777777" w:rsidR="00D1587D" w:rsidRDefault="00D1587D">
      <w:pPr>
        <w:spacing w:line="187" w:lineRule="exact"/>
        <w:rPr>
          <w:sz w:val="20"/>
          <w:szCs w:val="20"/>
        </w:rPr>
      </w:pPr>
    </w:p>
    <w:p w14:paraId="66D0F608" w14:textId="77777777" w:rsidR="00D1587D" w:rsidRDefault="00410D07">
      <w:pPr>
        <w:spacing w:line="246" w:lineRule="auto"/>
        <w:ind w:right="40" w:firstLine="648"/>
        <w:rPr>
          <w:sz w:val="20"/>
          <w:szCs w:val="20"/>
        </w:rPr>
      </w:pPr>
      <w:r>
        <w:rPr>
          <w:rFonts w:ascii="Arial" w:eastAsia="Arial" w:hAnsi="Arial" w:cs="Arial"/>
          <w:sz w:val="21"/>
          <w:szCs w:val="21"/>
        </w:rPr>
        <w:t xml:space="preserve">Section 2.02. </w:t>
      </w:r>
      <w:r>
        <w:rPr>
          <w:rFonts w:ascii="Arial" w:eastAsia="Arial" w:hAnsi="Arial" w:cs="Arial"/>
          <w:i/>
          <w:iCs/>
          <w:sz w:val="21"/>
          <w:szCs w:val="21"/>
        </w:rPr>
        <w:t>Service Provider’s Affiliates and Third Party Providers</w:t>
      </w:r>
      <w:r>
        <w:rPr>
          <w:rFonts w:ascii="Arial" w:eastAsia="Arial" w:hAnsi="Arial" w:cs="Arial"/>
          <w:sz w:val="21"/>
          <w:szCs w:val="21"/>
        </w:rPr>
        <w:t xml:space="preserve">. In </w:t>
      </w:r>
      <w:r>
        <w:rPr>
          <w:rFonts w:ascii="Arial" w:eastAsia="Arial" w:hAnsi="Arial" w:cs="Arial"/>
          <w:sz w:val="21"/>
          <w:szCs w:val="21"/>
        </w:rPr>
        <w:t xml:space="preserve">providing, or otherwise making available, the Services to the Service Recipients, Service Provider may use, at its discretion, its own personnel or the personnel of any of its Affiliates (including the TSA Employees) or employ the services of contractors, </w:t>
      </w:r>
      <w:r>
        <w:rPr>
          <w:rFonts w:ascii="Arial" w:eastAsia="Arial" w:hAnsi="Arial" w:cs="Arial"/>
          <w:sz w:val="21"/>
          <w:szCs w:val="21"/>
        </w:rPr>
        <w:t>subcontractors, vendors or other third parties (each, a “</w:t>
      </w:r>
      <w:r>
        <w:rPr>
          <w:rFonts w:ascii="Arial" w:eastAsia="Arial" w:hAnsi="Arial" w:cs="Arial"/>
          <w:b/>
          <w:bCs/>
          <w:sz w:val="21"/>
          <w:szCs w:val="21"/>
        </w:rPr>
        <w:t>Third Party Provider</w:t>
      </w:r>
      <w:r>
        <w:rPr>
          <w:rFonts w:ascii="Arial" w:eastAsia="Arial" w:hAnsi="Arial" w:cs="Arial"/>
          <w:sz w:val="21"/>
          <w:szCs w:val="21"/>
        </w:rPr>
        <w:t>”); provided that Service Provider shall remain responsible for ensuring that its obligations with respect to such Services, including the general standard of service described be</w:t>
      </w:r>
      <w:r>
        <w:rPr>
          <w:rFonts w:ascii="Arial" w:eastAsia="Arial" w:hAnsi="Arial" w:cs="Arial"/>
          <w:sz w:val="21"/>
          <w:szCs w:val="21"/>
        </w:rPr>
        <w:t>low under Section 2.03, are satisfied with respect to all Services provided by any Service Provider Party. Each of Service Provider, its Affiliates and any Third Party Provider that provides Services shall be referred to as a “</w:t>
      </w:r>
      <w:r>
        <w:rPr>
          <w:rFonts w:ascii="Arial" w:eastAsia="Arial" w:hAnsi="Arial" w:cs="Arial"/>
          <w:b/>
          <w:bCs/>
          <w:sz w:val="21"/>
          <w:szCs w:val="21"/>
        </w:rPr>
        <w:t>Service Provider Party</w:t>
      </w:r>
      <w:r>
        <w:rPr>
          <w:rFonts w:ascii="Arial" w:eastAsia="Arial" w:hAnsi="Arial" w:cs="Arial"/>
          <w:sz w:val="21"/>
          <w:szCs w:val="21"/>
        </w:rPr>
        <w:t>”.</w:t>
      </w:r>
    </w:p>
    <w:p w14:paraId="797B8DBC" w14:textId="77777777" w:rsidR="00D1587D" w:rsidRDefault="00D1587D">
      <w:pPr>
        <w:sectPr w:rsidR="00D1587D">
          <w:pgSz w:w="11900" w:h="16838"/>
          <w:pgMar w:top="361" w:right="359" w:bottom="507" w:left="320" w:header="0" w:footer="0" w:gutter="0"/>
          <w:cols w:space="720" w:equalWidth="0">
            <w:col w:w="11220"/>
          </w:cols>
        </w:sectPr>
      </w:pPr>
    </w:p>
    <w:p w14:paraId="13F956AB" w14:textId="77777777" w:rsidR="00D1587D" w:rsidRDefault="00D1587D">
      <w:pPr>
        <w:spacing w:line="390" w:lineRule="exact"/>
        <w:rPr>
          <w:sz w:val="20"/>
          <w:szCs w:val="20"/>
        </w:rPr>
      </w:pPr>
    </w:p>
    <w:p w14:paraId="5F7E8ADA" w14:textId="77777777" w:rsidR="00D1587D" w:rsidRDefault="00410D07">
      <w:pPr>
        <w:ind w:right="-19"/>
        <w:jc w:val="center"/>
        <w:rPr>
          <w:sz w:val="20"/>
          <w:szCs w:val="20"/>
        </w:rPr>
      </w:pPr>
      <w:r>
        <w:rPr>
          <w:rFonts w:ascii="Arial" w:eastAsia="Arial" w:hAnsi="Arial" w:cs="Arial"/>
          <w:sz w:val="14"/>
          <w:szCs w:val="14"/>
        </w:rPr>
        <w:t>3</w:t>
      </w:r>
    </w:p>
    <w:p w14:paraId="14A1B7E5" w14:textId="77777777" w:rsidR="00D1587D" w:rsidRDefault="00410D07">
      <w:pPr>
        <w:spacing w:line="20" w:lineRule="exact"/>
        <w:rPr>
          <w:sz w:val="20"/>
          <w:szCs w:val="20"/>
        </w:rPr>
      </w:pPr>
      <w:r>
        <w:rPr>
          <w:noProof/>
          <w:sz w:val="20"/>
          <w:szCs w:val="20"/>
        </w:rPr>
        <w:drawing>
          <wp:anchor distT="0" distB="0" distL="114300" distR="114300" simplePos="0" relativeHeight="251268096" behindDoc="1" locked="0" layoutInCell="0" allowOverlap="1" wp14:anchorId="19125C2C" wp14:editId="7066D5BA">
            <wp:simplePos x="0" y="0"/>
            <wp:positionH relativeFrom="column">
              <wp:posOffset>5080</wp:posOffset>
            </wp:positionH>
            <wp:positionV relativeFrom="paragraph">
              <wp:posOffset>38100</wp:posOffset>
            </wp:positionV>
            <wp:extent cx="7132320" cy="1714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B1898D8" w14:textId="77777777" w:rsidR="00D1587D" w:rsidRDefault="00D1587D">
      <w:pPr>
        <w:sectPr w:rsidR="00D1587D">
          <w:type w:val="continuous"/>
          <w:pgSz w:w="11900" w:h="16838"/>
          <w:pgMar w:top="361" w:right="359" w:bottom="507" w:left="320" w:header="0" w:footer="0" w:gutter="0"/>
          <w:cols w:space="720" w:equalWidth="0">
            <w:col w:w="11220"/>
          </w:cols>
        </w:sectPr>
      </w:pPr>
    </w:p>
    <w:p w14:paraId="19AC6958" w14:textId="77777777" w:rsidR="00D1587D" w:rsidRDefault="00410D07">
      <w:pPr>
        <w:spacing w:line="273" w:lineRule="auto"/>
        <w:ind w:right="60" w:firstLine="648"/>
        <w:rPr>
          <w:sz w:val="20"/>
          <w:szCs w:val="20"/>
        </w:rPr>
      </w:pPr>
      <w:bookmarkStart w:id="117" w:name="page118"/>
      <w:bookmarkEnd w:id="117"/>
      <w:r>
        <w:rPr>
          <w:rFonts w:ascii="Arial" w:eastAsia="Arial" w:hAnsi="Arial" w:cs="Arial"/>
          <w:sz w:val="19"/>
          <w:szCs w:val="19"/>
        </w:rPr>
        <w:t xml:space="preserve">Section 2.03. </w:t>
      </w:r>
      <w:r>
        <w:rPr>
          <w:rFonts w:ascii="Arial" w:eastAsia="Arial" w:hAnsi="Arial" w:cs="Arial"/>
          <w:i/>
          <w:iCs/>
          <w:sz w:val="19"/>
          <w:szCs w:val="19"/>
        </w:rPr>
        <w:t>General Standard of Service</w:t>
      </w:r>
      <w:r>
        <w:rPr>
          <w:rFonts w:ascii="Arial" w:eastAsia="Arial" w:hAnsi="Arial" w:cs="Arial"/>
          <w:sz w:val="19"/>
          <w:szCs w:val="19"/>
        </w:rPr>
        <w:t xml:space="preserve">. Except as otherwise agreed in writing by the parties hereto or expressly provided in this Agreement, each Service Provider Party shall provide Services in all </w:t>
      </w:r>
      <w:r>
        <w:rPr>
          <w:rFonts w:ascii="Arial" w:eastAsia="Arial" w:hAnsi="Arial" w:cs="Arial"/>
          <w:sz w:val="19"/>
          <w:szCs w:val="19"/>
        </w:rPr>
        <w:t>material respects in substantially the same manner in terms of the nature, quality and standard of care as such services have been provided to the Affiliates and other businesses of Service Provider or L Brands, as applicable, during the twelve month perio</w:t>
      </w:r>
      <w:r>
        <w:rPr>
          <w:rFonts w:ascii="Arial" w:eastAsia="Arial" w:hAnsi="Arial" w:cs="Arial"/>
          <w:sz w:val="19"/>
          <w:szCs w:val="19"/>
        </w:rPr>
        <w:t>d prior to the date hereof and after the date hereof. Service Provider shall not be responsible for any inability to provide a Service or any delay in doing so to the extent that such inability or delay is the result of the failure of any Service Recipient</w:t>
      </w:r>
      <w:r>
        <w:rPr>
          <w:rFonts w:ascii="Arial" w:eastAsia="Arial" w:hAnsi="Arial" w:cs="Arial"/>
          <w:sz w:val="19"/>
          <w:szCs w:val="19"/>
        </w:rPr>
        <w:t xml:space="preserve"> to timely provide the information, access or other cooperation necessary for a Service Provider Party to provide such Service. Service Provider’s obligation to cause the Services to be provided in accordance with the standards set forth in this Section 2.</w:t>
      </w:r>
      <w:r>
        <w:rPr>
          <w:rFonts w:ascii="Arial" w:eastAsia="Arial" w:hAnsi="Arial" w:cs="Arial"/>
          <w:sz w:val="19"/>
          <w:szCs w:val="19"/>
        </w:rPr>
        <w:t>03 shall be subject to Service Provider’s right to supplement, modify, substitute or otherwise alter any of the Services from time to time in a manner that is generally consistent with supplements, modifications, substitutions or alterations made for simil</w:t>
      </w:r>
      <w:r>
        <w:rPr>
          <w:rFonts w:ascii="Arial" w:eastAsia="Arial" w:hAnsi="Arial" w:cs="Arial"/>
          <w:sz w:val="19"/>
          <w:szCs w:val="19"/>
        </w:rPr>
        <w:t>ar services provided or otherwise made available by a Service Provider Party to Service Provider or any of its Affiliates or as required by Applicable Law.</w:t>
      </w:r>
    </w:p>
    <w:p w14:paraId="06520467" w14:textId="77777777" w:rsidR="00D1587D" w:rsidRDefault="00D1587D">
      <w:pPr>
        <w:spacing w:line="182" w:lineRule="exact"/>
        <w:rPr>
          <w:sz w:val="20"/>
          <w:szCs w:val="20"/>
        </w:rPr>
      </w:pPr>
    </w:p>
    <w:p w14:paraId="137F9613" w14:textId="77777777" w:rsidR="00D1587D" w:rsidRDefault="00410D07">
      <w:pPr>
        <w:spacing w:line="250" w:lineRule="auto"/>
        <w:ind w:right="180" w:firstLine="648"/>
        <w:rPr>
          <w:sz w:val="20"/>
          <w:szCs w:val="20"/>
        </w:rPr>
      </w:pPr>
      <w:r>
        <w:rPr>
          <w:rFonts w:ascii="Arial" w:eastAsia="Arial" w:hAnsi="Arial" w:cs="Arial"/>
        </w:rPr>
        <w:t xml:space="preserve">Section 2.04. </w:t>
      </w:r>
      <w:r>
        <w:rPr>
          <w:rFonts w:ascii="Arial" w:eastAsia="Arial" w:hAnsi="Arial" w:cs="Arial"/>
          <w:i/>
          <w:iCs/>
        </w:rPr>
        <w:t>Compliance with Applicable Law</w:t>
      </w:r>
      <w:r>
        <w:rPr>
          <w:rFonts w:ascii="Arial" w:eastAsia="Arial" w:hAnsi="Arial" w:cs="Arial"/>
        </w:rPr>
        <w:t xml:space="preserve">. The parties hereto will comply, and will cause their </w:t>
      </w:r>
      <w:r>
        <w:rPr>
          <w:rFonts w:ascii="Arial" w:eastAsia="Arial" w:hAnsi="Arial" w:cs="Arial"/>
        </w:rPr>
        <w:t>Affiliates and their respective employees to comply, with all Applicable Law in the performance of this Agreement.</w:t>
      </w:r>
    </w:p>
    <w:p w14:paraId="20AD024A" w14:textId="77777777" w:rsidR="00D1587D" w:rsidRDefault="00D1587D">
      <w:pPr>
        <w:spacing w:line="202" w:lineRule="exact"/>
        <w:rPr>
          <w:sz w:val="20"/>
          <w:szCs w:val="20"/>
        </w:rPr>
      </w:pPr>
    </w:p>
    <w:p w14:paraId="283D8AE1" w14:textId="77777777" w:rsidR="00D1587D" w:rsidRDefault="00410D07">
      <w:pPr>
        <w:spacing w:line="270" w:lineRule="auto"/>
        <w:ind w:firstLine="648"/>
        <w:rPr>
          <w:sz w:val="20"/>
          <w:szCs w:val="20"/>
        </w:rPr>
      </w:pPr>
      <w:r>
        <w:rPr>
          <w:rFonts w:ascii="Arial" w:eastAsia="Arial" w:hAnsi="Arial" w:cs="Arial"/>
          <w:sz w:val="19"/>
          <w:szCs w:val="19"/>
        </w:rPr>
        <w:t xml:space="preserve">Section 2.05. </w:t>
      </w:r>
      <w:r>
        <w:rPr>
          <w:rFonts w:ascii="Arial" w:eastAsia="Arial" w:hAnsi="Arial" w:cs="Arial"/>
          <w:i/>
          <w:iCs/>
          <w:sz w:val="19"/>
          <w:szCs w:val="19"/>
        </w:rPr>
        <w:t>Force Majeure</w:t>
      </w:r>
      <w:r>
        <w:rPr>
          <w:rFonts w:ascii="Arial" w:eastAsia="Arial" w:hAnsi="Arial" w:cs="Arial"/>
          <w:sz w:val="19"/>
          <w:szCs w:val="19"/>
        </w:rPr>
        <w:t>. Neither party hereto shall be liable to the other party hereto for any interruption of service, any delays or a</w:t>
      </w:r>
      <w:r>
        <w:rPr>
          <w:rFonts w:ascii="Arial" w:eastAsia="Arial" w:hAnsi="Arial" w:cs="Arial"/>
          <w:sz w:val="19"/>
          <w:szCs w:val="19"/>
        </w:rPr>
        <w:t>ny failure to perform under this Agreement caused by matters or events occurring that are beyond the reasonable control of such party, including, strikes, lockouts or other labor difficulties; fires, floods, acts of God, extremes of weather, earthquakes, t</w:t>
      </w:r>
      <w:r>
        <w:rPr>
          <w:rFonts w:ascii="Arial" w:eastAsia="Arial" w:hAnsi="Arial" w:cs="Arial"/>
          <w:sz w:val="19"/>
          <w:szCs w:val="19"/>
        </w:rPr>
        <w:t>ornadoes, or similar occurrences; riot, insurrection or other hostilities; embargo; fuel or energy shortage; delays by unaffiliated suppliers or carriers; inability to obtain necessary labor, materials or utilities; or any epidemic, pandemic or disease out</w:t>
      </w:r>
      <w:r>
        <w:rPr>
          <w:rFonts w:ascii="Arial" w:eastAsia="Arial" w:hAnsi="Arial" w:cs="Arial"/>
          <w:sz w:val="19"/>
          <w:szCs w:val="19"/>
        </w:rPr>
        <w:t xml:space="preserve">break (including COVID-19) or worsening thereof. Any delays, interruptions or failures to perform caused by such occurrences shall not be deemed to be a breach or failure to perform under this Agreement; </w:t>
      </w:r>
      <w:r>
        <w:rPr>
          <w:rFonts w:ascii="Arial" w:eastAsia="Arial" w:hAnsi="Arial" w:cs="Arial"/>
          <w:i/>
          <w:iCs/>
          <w:sz w:val="19"/>
          <w:szCs w:val="19"/>
        </w:rPr>
        <w:t>provided</w:t>
      </w:r>
      <w:r>
        <w:rPr>
          <w:rFonts w:ascii="Arial" w:eastAsia="Arial" w:hAnsi="Arial" w:cs="Arial"/>
          <w:sz w:val="19"/>
          <w:szCs w:val="19"/>
        </w:rPr>
        <w:t xml:space="preserve"> that (i) this Section 2.05 only operates to</w:t>
      </w:r>
      <w:r>
        <w:rPr>
          <w:rFonts w:ascii="Arial" w:eastAsia="Arial" w:hAnsi="Arial" w:cs="Arial"/>
          <w:sz w:val="19"/>
          <w:szCs w:val="19"/>
        </w:rPr>
        <w:t xml:space="preserve"> suspend, and not to discharge, a party’s obligations under this Agreement, and that when the causes of the failure or delay are removed or alleviated, the affected party shall resume performance of its obligations hereunder and to the extent such suspensi</w:t>
      </w:r>
      <w:r>
        <w:rPr>
          <w:rFonts w:ascii="Arial" w:eastAsia="Arial" w:hAnsi="Arial" w:cs="Arial"/>
          <w:sz w:val="19"/>
          <w:szCs w:val="19"/>
        </w:rPr>
        <w:t xml:space="preserve">on adversely impacts the progress of the transition of any Service to a Service Recipient, the Service Recipient may request in writing that the Term for such Service shall be tolled for the duration of such suspension and (ii) this Section 2.05 shall not </w:t>
      </w:r>
      <w:r>
        <w:rPr>
          <w:rFonts w:ascii="Arial" w:eastAsia="Arial" w:hAnsi="Arial" w:cs="Arial"/>
          <w:sz w:val="19"/>
          <w:szCs w:val="19"/>
        </w:rPr>
        <w:t xml:space="preserve">excuse a party’s obligation to pay money; </w:t>
      </w:r>
      <w:r>
        <w:rPr>
          <w:rFonts w:ascii="Arial" w:eastAsia="Arial" w:hAnsi="Arial" w:cs="Arial"/>
          <w:i/>
          <w:iCs/>
          <w:sz w:val="19"/>
          <w:szCs w:val="19"/>
        </w:rPr>
        <w:t>provided</w:t>
      </w:r>
      <w:r>
        <w:rPr>
          <w:rFonts w:ascii="Arial" w:eastAsia="Arial" w:hAnsi="Arial" w:cs="Arial"/>
          <w:sz w:val="19"/>
          <w:szCs w:val="19"/>
        </w:rPr>
        <w:t xml:space="preserve">, </w:t>
      </w:r>
      <w:r>
        <w:rPr>
          <w:rFonts w:ascii="Arial" w:eastAsia="Arial" w:hAnsi="Arial" w:cs="Arial"/>
          <w:i/>
          <w:iCs/>
          <w:sz w:val="19"/>
          <w:szCs w:val="19"/>
        </w:rPr>
        <w:t>further</w:t>
      </w:r>
      <w:r>
        <w:rPr>
          <w:rFonts w:ascii="Arial" w:eastAsia="Arial" w:hAnsi="Arial" w:cs="Arial"/>
          <w:sz w:val="19"/>
          <w:szCs w:val="19"/>
        </w:rPr>
        <w:t>, that L Brands shall not be obligated to pay (other than previously accrued Service Costs) for any particular Service during the pendency of Service Provider’s failure to provide such particular S</w:t>
      </w:r>
      <w:r>
        <w:rPr>
          <w:rFonts w:ascii="Arial" w:eastAsia="Arial" w:hAnsi="Arial" w:cs="Arial"/>
          <w:sz w:val="19"/>
          <w:szCs w:val="19"/>
        </w:rPr>
        <w:t xml:space="preserve">ervice. Each party hereto shall use its good faith efforts to promptly notify the other upon learning of the occurrence of such event of a force majeure and (x) the affected party shall use its commercially reasonable efforts to mitigate and eliminate the </w:t>
      </w:r>
      <w:r>
        <w:rPr>
          <w:rFonts w:ascii="Arial" w:eastAsia="Arial" w:hAnsi="Arial" w:cs="Arial"/>
          <w:sz w:val="19"/>
          <w:szCs w:val="19"/>
        </w:rPr>
        <w:t>force majeure in order to resume performance as promptly as practicable, provided that such affected party will have no obligation to incur any costs or liabilities to do so, and (y) the unaffected party shall have no obligation hereunder with respect to t</w:t>
      </w:r>
      <w:r>
        <w:rPr>
          <w:rFonts w:ascii="Arial" w:eastAsia="Arial" w:hAnsi="Arial" w:cs="Arial"/>
          <w:sz w:val="19"/>
          <w:szCs w:val="19"/>
        </w:rPr>
        <w:t xml:space="preserve">he obligations the affected party is unable to perform due to the force majeure event. If Service Provider is unable to provide any of the Services due to a force majeure event, the parties hereto shall use commercially reasonably efforts to cooperatively </w:t>
      </w:r>
      <w:r>
        <w:rPr>
          <w:rFonts w:ascii="Arial" w:eastAsia="Arial" w:hAnsi="Arial" w:cs="Arial"/>
          <w:sz w:val="19"/>
          <w:szCs w:val="19"/>
        </w:rPr>
        <w:t>seek a solution that is mutually satisfactory, such as the subcontracting of all or part of the provision of the Services under the supervision of Service Provider for the period of time during or affected by the force majeure.</w:t>
      </w:r>
    </w:p>
    <w:p w14:paraId="5C05A3D7" w14:textId="77777777" w:rsidR="00D1587D" w:rsidRDefault="00D1587D">
      <w:pPr>
        <w:spacing w:line="184" w:lineRule="exact"/>
        <w:rPr>
          <w:sz w:val="20"/>
          <w:szCs w:val="20"/>
        </w:rPr>
      </w:pPr>
    </w:p>
    <w:p w14:paraId="5F6B6198" w14:textId="77777777" w:rsidR="00D1587D" w:rsidRDefault="00410D07">
      <w:pPr>
        <w:spacing w:line="236" w:lineRule="auto"/>
        <w:ind w:right="120" w:firstLine="648"/>
        <w:rPr>
          <w:sz w:val="20"/>
          <w:szCs w:val="20"/>
        </w:rPr>
      </w:pPr>
      <w:r>
        <w:rPr>
          <w:rFonts w:ascii="Arial" w:eastAsia="Arial" w:hAnsi="Arial" w:cs="Arial"/>
        </w:rPr>
        <w:t xml:space="preserve">Section 2.06. </w:t>
      </w:r>
      <w:r>
        <w:rPr>
          <w:rFonts w:ascii="Arial" w:eastAsia="Arial" w:hAnsi="Arial" w:cs="Arial"/>
          <w:i/>
          <w:iCs/>
        </w:rPr>
        <w:t>Limitations</w:t>
      </w:r>
      <w:r>
        <w:rPr>
          <w:rFonts w:ascii="Arial" w:eastAsia="Arial" w:hAnsi="Arial" w:cs="Arial"/>
        </w:rPr>
        <w:t>. (a) L Brands agrees that the Services will be used by each Service Recipient solely in connection with the operation of the L Brands Business and to facilitate an orderly separation of the L Brands Business from the VS Business following the D</w:t>
      </w:r>
      <w:r>
        <w:rPr>
          <w:rFonts w:ascii="Arial" w:eastAsia="Arial" w:hAnsi="Arial" w:cs="Arial"/>
        </w:rPr>
        <w:t>istribution Time. No member of the L Brands Group may resell, license the use of or otherwise permit the use by any Person other than the Service Recipients of any Services, except with the prior written consent of Service Provider.</w:t>
      </w:r>
    </w:p>
    <w:p w14:paraId="358BF30A" w14:textId="77777777" w:rsidR="00D1587D" w:rsidRDefault="00D1587D">
      <w:pPr>
        <w:spacing w:line="214" w:lineRule="exact"/>
        <w:rPr>
          <w:sz w:val="20"/>
          <w:szCs w:val="20"/>
        </w:rPr>
      </w:pPr>
    </w:p>
    <w:p w14:paraId="54F792E9" w14:textId="77777777" w:rsidR="00D1587D" w:rsidRDefault="00410D07">
      <w:pPr>
        <w:numPr>
          <w:ilvl w:val="1"/>
          <w:numId w:val="79"/>
        </w:numPr>
        <w:tabs>
          <w:tab w:val="left" w:pos="1440"/>
        </w:tabs>
        <w:spacing w:line="270" w:lineRule="auto"/>
        <w:ind w:right="40" w:firstLine="656"/>
        <w:rPr>
          <w:rFonts w:ascii="Arial" w:eastAsia="Arial" w:hAnsi="Arial" w:cs="Arial"/>
          <w:sz w:val="19"/>
          <w:szCs w:val="19"/>
        </w:rPr>
      </w:pPr>
      <w:r>
        <w:rPr>
          <w:rFonts w:ascii="Arial" w:eastAsia="Arial" w:hAnsi="Arial" w:cs="Arial"/>
          <w:sz w:val="19"/>
          <w:szCs w:val="19"/>
        </w:rPr>
        <w:t>In providing the Servi</w:t>
      </w:r>
      <w:r>
        <w:rPr>
          <w:rFonts w:ascii="Arial" w:eastAsia="Arial" w:hAnsi="Arial" w:cs="Arial"/>
          <w:sz w:val="19"/>
          <w:szCs w:val="19"/>
        </w:rPr>
        <w:t>ces, no Service Provider Party shall be obligated to, unless expressly agreed in writing by the parties or expressly set forth on the applicable Service Schedule: (i) hire any additional employees; (ii) maintain the employment of any specific employee; (ii</w:t>
      </w:r>
      <w:r>
        <w:rPr>
          <w:rFonts w:ascii="Arial" w:eastAsia="Arial" w:hAnsi="Arial" w:cs="Arial"/>
          <w:sz w:val="19"/>
          <w:szCs w:val="19"/>
        </w:rPr>
        <w:t>i) purchase, lease or license any additional equipment, hardware, Intellectual Property Right or software, except to the extent (A) software is reasonably necessary for the performance or receipt of a Service and (B) L Brands agrees to solely bear the appl</w:t>
      </w:r>
      <w:r>
        <w:rPr>
          <w:rFonts w:ascii="Arial" w:eastAsia="Arial" w:hAnsi="Arial" w:cs="Arial"/>
          <w:sz w:val="19"/>
          <w:szCs w:val="19"/>
        </w:rPr>
        <w:t>icable cost and expense (and which shall be subject to L Brands’ prior written approval) or</w:t>
      </w:r>
    </w:p>
    <w:p w14:paraId="38CBCB0A" w14:textId="77777777" w:rsidR="00D1587D" w:rsidRDefault="00D1587D">
      <w:pPr>
        <w:spacing w:line="4" w:lineRule="exact"/>
        <w:rPr>
          <w:rFonts w:ascii="Arial" w:eastAsia="Arial" w:hAnsi="Arial" w:cs="Arial"/>
          <w:sz w:val="19"/>
          <w:szCs w:val="19"/>
        </w:rPr>
      </w:pPr>
    </w:p>
    <w:p w14:paraId="7D3902AA" w14:textId="77777777" w:rsidR="00D1587D" w:rsidRDefault="00410D07">
      <w:pPr>
        <w:numPr>
          <w:ilvl w:val="0"/>
          <w:numId w:val="80"/>
        </w:numPr>
        <w:tabs>
          <w:tab w:val="left" w:pos="366"/>
        </w:tabs>
        <w:spacing w:line="236" w:lineRule="auto"/>
        <w:ind w:right="20" w:firstLine="8"/>
        <w:rPr>
          <w:rFonts w:ascii="Arial" w:eastAsia="Arial" w:hAnsi="Arial" w:cs="Arial"/>
        </w:rPr>
      </w:pPr>
      <w:r>
        <w:rPr>
          <w:rFonts w:ascii="Arial" w:eastAsia="Arial" w:hAnsi="Arial" w:cs="Arial"/>
        </w:rPr>
        <w:t>provide any Service to any Service Recipient for any fiscal year at a volume or level that is more than 120% of the volume or level of such Service in the precedin</w:t>
      </w:r>
      <w:r>
        <w:rPr>
          <w:rFonts w:ascii="Arial" w:eastAsia="Arial" w:hAnsi="Arial" w:cs="Arial"/>
        </w:rPr>
        <w:t>g fiscal year.</w:t>
      </w:r>
    </w:p>
    <w:p w14:paraId="0F283144" w14:textId="77777777" w:rsidR="00D1587D" w:rsidRDefault="00D1587D">
      <w:pPr>
        <w:spacing w:line="392" w:lineRule="exact"/>
        <w:rPr>
          <w:sz w:val="20"/>
          <w:szCs w:val="20"/>
        </w:rPr>
      </w:pPr>
    </w:p>
    <w:p w14:paraId="13F6BAC6" w14:textId="77777777" w:rsidR="00D1587D" w:rsidRDefault="00410D07">
      <w:pPr>
        <w:ind w:right="-19"/>
        <w:jc w:val="center"/>
        <w:rPr>
          <w:sz w:val="20"/>
          <w:szCs w:val="20"/>
        </w:rPr>
      </w:pPr>
      <w:r>
        <w:rPr>
          <w:rFonts w:ascii="Arial" w:eastAsia="Arial" w:hAnsi="Arial" w:cs="Arial"/>
          <w:sz w:val="14"/>
          <w:szCs w:val="14"/>
        </w:rPr>
        <w:t>4</w:t>
      </w:r>
    </w:p>
    <w:p w14:paraId="7B67F2D3" w14:textId="77777777" w:rsidR="00D1587D" w:rsidRDefault="00410D07">
      <w:pPr>
        <w:spacing w:line="20" w:lineRule="exact"/>
        <w:rPr>
          <w:sz w:val="20"/>
          <w:szCs w:val="20"/>
        </w:rPr>
      </w:pPr>
      <w:r>
        <w:rPr>
          <w:noProof/>
          <w:sz w:val="20"/>
          <w:szCs w:val="20"/>
        </w:rPr>
        <w:drawing>
          <wp:anchor distT="0" distB="0" distL="114300" distR="114300" simplePos="0" relativeHeight="251269120" behindDoc="1" locked="0" layoutInCell="0" allowOverlap="1" wp14:anchorId="3422474B" wp14:editId="2215D281">
            <wp:simplePos x="0" y="0"/>
            <wp:positionH relativeFrom="column">
              <wp:posOffset>5080</wp:posOffset>
            </wp:positionH>
            <wp:positionV relativeFrom="paragraph">
              <wp:posOffset>38100</wp:posOffset>
            </wp:positionV>
            <wp:extent cx="7132320" cy="1714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DDB91FF" w14:textId="77777777" w:rsidR="00D1587D" w:rsidRDefault="00D1587D">
      <w:pPr>
        <w:sectPr w:rsidR="00D1587D">
          <w:pgSz w:w="11900" w:h="16838"/>
          <w:pgMar w:top="361" w:right="359" w:bottom="1440" w:left="320" w:header="0" w:footer="0" w:gutter="0"/>
          <w:cols w:space="720" w:equalWidth="0">
            <w:col w:w="11220"/>
          </w:cols>
        </w:sectPr>
      </w:pPr>
    </w:p>
    <w:p w14:paraId="4B7CBB87" w14:textId="77777777" w:rsidR="00D1587D" w:rsidRDefault="00410D07">
      <w:pPr>
        <w:spacing w:line="244" w:lineRule="auto"/>
        <w:ind w:firstLine="648"/>
        <w:rPr>
          <w:sz w:val="20"/>
          <w:szCs w:val="20"/>
        </w:rPr>
      </w:pPr>
      <w:bookmarkStart w:id="118" w:name="page119"/>
      <w:bookmarkEnd w:id="118"/>
      <w:r>
        <w:rPr>
          <w:rFonts w:ascii="Arial" w:eastAsia="Arial" w:hAnsi="Arial" w:cs="Arial"/>
          <w:sz w:val="21"/>
          <w:szCs w:val="21"/>
        </w:rPr>
        <w:t xml:space="preserve">Section 2.07. </w:t>
      </w:r>
      <w:r>
        <w:rPr>
          <w:rFonts w:ascii="Arial" w:eastAsia="Arial" w:hAnsi="Arial" w:cs="Arial"/>
          <w:i/>
          <w:iCs/>
          <w:sz w:val="21"/>
          <w:szCs w:val="21"/>
        </w:rPr>
        <w:t>Labor Matters</w:t>
      </w:r>
      <w:r>
        <w:rPr>
          <w:rFonts w:ascii="Arial" w:eastAsia="Arial" w:hAnsi="Arial" w:cs="Arial"/>
          <w:sz w:val="21"/>
          <w:szCs w:val="21"/>
        </w:rPr>
        <w:t xml:space="preserve">. All labor matters relating to any TSA Employees shall be within the exclusive control of Service Provider (or its applicable Affiliate or Third Party Provider), and L Brands and its </w:t>
      </w:r>
      <w:r>
        <w:rPr>
          <w:rFonts w:ascii="Arial" w:eastAsia="Arial" w:hAnsi="Arial" w:cs="Arial"/>
          <w:sz w:val="21"/>
          <w:szCs w:val="21"/>
        </w:rPr>
        <w:t>Affiliates shall not take any action affecting such matters. Except as expressly provided in Article 4, nothing in this Agreement is intended to transfer the employment of any TSA Employee to L Brands or any of its Affiliates. All TSA Employees will be dee</w:t>
      </w:r>
      <w:r>
        <w:rPr>
          <w:rFonts w:ascii="Arial" w:eastAsia="Arial" w:hAnsi="Arial" w:cs="Arial"/>
          <w:sz w:val="21"/>
          <w:szCs w:val="21"/>
        </w:rPr>
        <w:t>med for all compensation, employee benefits, tax and social security contribution purposes to be employees of Service Provider (or its applicable Affiliate or Third Party Provider) and not employees of L Brands or any of its Affiliates. In providing the Se</w:t>
      </w:r>
      <w:r>
        <w:rPr>
          <w:rFonts w:ascii="Arial" w:eastAsia="Arial" w:hAnsi="Arial" w:cs="Arial"/>
          <w:sz w:val="21"/>
          <w:szCs w:val="21"/>
        </w:rPr>
        <w:t>rvices, the TSA Employees will be under the direction, control and supervision of Service Provider or its Affiliates or Third Party Provider and not of L Brands or any of its Affiliates. Except with respect to the L Brands Assets, or any other assets and m</w:t>
      </w:r>
      <w:r>
        <w:rPr>
          <w:rFonts w:ascii="Arial" w:eastAsia="Arial" w:hAnsi="Arial" w:cs="Arial"/>
          <w:sz w:val="21"/>
          <w:szCs w:val="21"/>
        </w:rPr>
        <w:t>aterials provided by L Brands in accordance with Section 2.08(b), all procedures, methods, systems, strategies, tools, equipment, facilities and other resources of any Service Provider Party that are used by any Service Provider Party in connection with th</w:t>
      </w:r>
      <w:r>
        <w:rPr>
          <w:rFonts w:ascii="Arial" w:eastAsia="Arial" w:hAnsi="Arial" w:cs="Arial"/>
          <w:sz w:val="21"/>
          <w:szCs w:val="21"/>
        </w:rPr>
        <w:t>e provision of Services hereunder (including any Intellectual Property Right whether existing or created in connection with the provision of the Services or otherwise) shall remain the property of such Service Provider Party and shall at all times be under</w:t>
      </w:r>
      <w:r>
        <w:rPr>
          <w:rFonts w:ascii="Arial" w:eastAsia="Arial" w:hAnsi="Arial" w:cs="Arial"/>
          <w:sz w:val="21"/>
          <w:szCs w:val="21"/>
        </w:rPr>
        <w:t xml:space="preserve"> the sole direction and control of Service Provider.</w:t>
      </w:r>
    </w:p>
    <w:p w14:paraId="0B33065C" w14:textId="77777777" w:rsidR="00D1587D" w:rsidRDefault="00D1587D">
      <w:pPr>
        <w:spacing w:line="210" w:lineRule="exact"/>
        <w:rPr>
          <w:sz w:val="20"/>
          <w:szCs w:val="20"/>
        </w:rPr>
      </w:pPr>
    </w:p>
    <w:p w14:paraId="3F87A282" w14:textId="77777777" w:rsidR="00D1587D" w:rsidRDefault="00410D07">
      <w:pPr>
        <w:spacing w:line="244" w:lineRule="auto"/>
        <w:ind w:right="100" w:firstLine="648"/>
        <w:rPr>
          <w:sz w:val="20"/>
          <w:szCs w:val="20"/>
        </w:rPr>
      </w:pPr>
      <w:r>
        <w:rPr>
          <w:rFonts w:ascii="Arial" w:eastAsia="Arial" w:hAnsi="Arial" w:cs="Arial"/>
          <w:sz w:val="21"/>
          <w:szCs w:val="21"/>
        </w:rPr>
        <w:t xml:space="preserve">Section 2.08. </w:t>
      </w:r>
      <w:r>
        <w:rPr>
          <w:rFonts w:ascii="Arial" w:eastAsia="Arial" w:hAnsi="Arial" w:cs="Arial"/>
          <w:i/>
          <w:iCs/>
          <w:sz w:val="21"/>
          <w:szCs w:val="21"/>
        </w:rPr>
        <w:t>Facilities; Cooperation; Further Actions</w:t>
      </w:r>
      <w:r>
        <w:rPr>
          <w:rFonts w:ascii="Arial" w:eastAsia="Arial" w:hAnsi="Arial" w:cs="Arial"/>
          <w:sz w:val="21"/>
          <w:szCs w:val="21"/>
        </w:rPr>
        <w:t>. (a) Service Provider and L Brands shall use commercially reasonable efforts to obtain, and to keep and maintain in effect (or to cause their respe</w:t>
      </w:r>
      <w:r>
        <w:rPr>
          <w:rFonts w:ascii="Arial" w:eastAsia="Arial" w:hAnsi="Arial" w:cs="Arial"/>
          <w:sz w:val="21"/>
          <w:szCs w:val="21"/>
        </w:rPr>
        <w:t>ctive Affiliates to obtain, and to keep and maintain in effect), all governmental or third party licenses and consents required for the provision of any Service by a Service Provider Party in accordance with the terms of this Agreement; provided that if Se</w:t>
      </w:r>
      <w:r>
        <w:rPr>
          <w:rFonts w:ascii="Arial" w:eastAsia="Arial" w:hAnsi="Arial" w:cs="Arial"/>
          <w:sz w:val="21"/>
          <w:szCs w:val="21"/>
        </w:rPr>
        <w:t>rvice Provider or any of its Affiliates is unable to obtain any such license or consent, Service Provider shall promptly notify L Brands in writing and shall, and shall cause its Affiliates to, use commercially reasonable efforts to implement an appropriat</w:t>
      </w:r>
      <w:r>
        <w:rPr>
          <w:rFonts w:ascii="Arial" w:eastAsia="Arial" w:hAnsi="Arial" w:cs="Arial"/>
          <w:sz w:val="21"/>
          <w:szCs w:val="21"/>
        </w:rPr>
        <w:t>e alternative arrangement. The costs relating to obtaining any such licenses or consents shall be borne solely by L Brands (the “</w:t>
      </w:r>
      <w:r>
        <w:rPr>
          <w:rFonts w:ascii="Arial" w:eastAsia="Arial" w:hAnsi="Arial" w:cs="Arial"/>
          <w:b/>
          <w:bCs/>
          <w:sz w:val="21"/>
          <w:szCs w:val="21"/>
        </w:rPr>
        <w:t>Third Party Consent Costs</w:t>
      </w:r>
      <w:r>
        <w:rPr>
          <w:rFonts w:ascii="Arial" w:eastAsia="Arial" w:hAnsi="Arial" w:cs="Arial"/>
          <w:sz w:val="21"/>
          <w:szCs w:val="21"/>
        </w:rPr>
        <w:t>”) and none of Service Provider or any of its Affiliates shall be required to pay any money or other c</w:t>
      </w:r>
      <w:r>
        <w:rPr>
          <w:rFonts w:ascii="Arial" w:eastAsia="Arial" w:hAnsi="Arial" w:cs="Arial"/>
          <w:sz w:val="21"/>
          <w:szCs w:val="21"/>
        </w:rPr>
        <w:t>onsideration or grant any other accommodation to any Person (including any amendment to any contract) or initiate any action, suit or proceeding against any Person to obtain any such license or consent; provided that Service Provider and its Affiliates sha</w:t>
      </w:r>
      <w:r>
        <w:rPr>
          <w:rFonts w:ascii="Arial" w:eastAsia="Arial" w:hAnsi="Arial" w:cs="Arial"/>
          <w:sz w:val="21"/>
          <w:szCs w:val="21"/>
        </w:rPr>
        <w:t>ll not incur any such costs without the prior written consent of L Brands. If any such license, consent or alternative arrangement is not available despite the commercially reasonable efforts of Service Provider and its Affiliates or as a result of L Brand</w:t>
      </w:r>
      <w:r>
        <w:rPr>
          <w:rFonts w:ascii="Arial" w:eastAsia="Arial" w:hAnsi="Arial" w:cs="Arial"/>
          <w:sz w:val="21"/>
          <w:szCs w:val="21"/>
        </w:rPr>
        <w:t>s failing to consent to the incurrence of costs relating to obtaining any such license or consent, Service Provider shall not be required to cause to be provided the affected Services.</w:t>
      </w:r>
    </w:p>
    <w:p w14:paraId="517219B6" w14:textId="77777777" w:rsidR="00D1587D" w:rsidRDefault="00D1587D">
      <w:pPr>
        <w:spacing w:line="208" w:lineRule="exact"/>
        <w:rPr>
          <w:sz w:val="20"/>
          <w:szCs w:val="20"/>
        </w:rPr>
      </w:pPr>
    </w:p>
    <w:p w14:paraId="215135B5" w14:textId="77777777" w:rsidR="00D1587D" w:rsidRDefault="00410D07">
      <w:pPr>
        <w:numPr>
          <w:ilvl w:val="0"/>
          <w:numId w:val="81"/>
        </w:numPr>
        <w:tabs>
          <w:tab w:val="left" w:pos="1440"/>
        </w:tabs>
        <w:spacing w:line="273" w:lineRule="auto"/>
        <w:ind w:right="80" w:firstLine="656"/>
        <w:rPr>
          <w:rFonts w:ascii="Arial" w:eastAsia="Arial" w:hAnsi="Arial" w:cs="Arial"/>
          <w:sz w:val="19"/>
          <w:szCs w:val="19"/>
        </w:rPr>
      </w:pPr>
      <w:r>
        <w:rPr>
          <w:rFonts w:ascii="Arial" w:eastAsia="Arial" w:hAnsi="Arial" w:cs="Arial"/>
          <w:sz w:val="19"/>
          <w:szCs w:val="19"/>
        </w:rPr>
        <w:t>To the extent necessary, or upon Service Provider’s reasonable request</w:t>
      </w:r>
      <w:r>
        <w:rPr>
          <w:rFonts w:ascii="Arial" w:eastAsia="Arial" w:hAnsi="Arial" w:cs="Arial"/>
          <w:sz w:val="19"/>
          <w:szCs w:val="19"/>
        </w:rPr>
        <w:t>, L Brands shall make all L Brands Assets or other facilities (including all ancillary facilities-related services), assets, information technology systems and applications or materials of the Service Recipients available to Service Provider or the applica</w:t>
      </w:r>
      <w:r>
        <w:rPr>
          <w:rFonts w:ascii="Arial" w:eastAsia="Arial" w:hAnsi="Arial" w:cs="Arial"/>
          <w:sz w:val="19"/>
          <w:szCs w:val="19"/>
        </w:rPr>
        <w:t>ble Service Provider Party for the provision of the Services (it being understood that, as between the parties hereto, title to all L Brands Assets and such other facilities, assets, information technology systems and applications or materials shall at all</w:t>
      </w:r>
      <w:r>
        <w:rPr>
          <w:rFonts w:ascii="Arial" w:eastAsia="Arial" w:hAnsi="Arial" w:cs="Arial"/>
          <w:sz w:val="19"/>
          <w:szCs w:val="19"/>
        </w:rPr>
        <w:t xml:space="preserve"> times remain with the applicable Service Recipient and such Service Recipient shall at all times be the owner of record of such L Brands Assets and other facilities, assets, information technology systems and applications or materials and shall be solely </w:t>
      </w:r>
      <w:r>
        <w:rPr>
          <w:rFonts w:ascii="Arial" w:eastAsia="Arial" w:hAnsi="Arial" w:cs="Arial"/>
          <w:sz w:val="19"/>
          <w:szCs w:val="19"/>
        </w:rPr>
        <w:t>responsible for any matters arising therefrom or related thereto); provided that in the event L Brands fails to make any such L Brands Assets or other facilities, assets, information technology systems and applications or materials available to Service Pro</w:t>
      </w:r>
      <w:r>
        <w:rPr>
          <w:rFonts w:ascii="Arial" w:eastAsia="Arial" w:hAnsi="Arial" w:cs="Arial"/>
          <w:sz w:val="19"/>
          <w:szCs w:val="19"/>
        </w:rPr>
        <w:t xml:space="preserve">vider or the applicable Service Provider Party, Service Provider shall have no further obligation to provide any affected Services to the extent such L Brands Assets or other facilities, assets, information technology systems and applications or materials </w:t>
      </w:r>
      <w:r>
        <w:rPr>
          <w:rFonts w:ascii="Arial" w:eastAsia="Arial" w:hAnsi="Arial" w:cs="Arial"/>
          <w:sz w:val="19"/>
          <w:szCs w:val="19"/>
        </w:rPr>
        <w:t>are required for the provision of such Services.</w:t>
      </w:r>
    </w:p>
    <w:p w14:paraId="43862B62" w14:textId="77777777" w:rsidR="00D1587D" w:rsidRDefault="00D1587D">
      <w:pPr>
        <w:spacing w:line="182" w:lineRule="exact"/>
        <w:rPr>
          <w:sz w:val="20"/>
          <w:szCs w:val="20"/>
        </w:rPr>
      </w:pPr>
    </w:p>
    <w:p w14:paraId="0D3B2526" w14:textId="77777777" w:rsidR="00D1587D" w:rsidRDefault="00410D07">
      <w:pPr>
        <w:spacing w:line="246" w:lineRule="auto"/>
        <w:ind w:right="160" w:firstLine="648"/>
        <w:rPr>
          <w:sz w:val="20"/>
          <w:szCs w:val="20"/>
        </w:rPr>
      </w:pPr>
      <w:r>
        <w:rPr>
          <w:rFonts w:ascii="Arial" w:eastAsia="Arial" w:hAnsi="Arial" w:cs="Arial"/>
          <w:sz w:val="21"/>
          <w:szCs w:val="21"/>
        </w:rPr>
        <w:t xml:space="preserve">Section 2.09. </w:t>
      </w:r>
      <w:r>
        <w:rPr>
          <w:rFonts w:ascii="Arial" w:eastAsia="Arial" w:hAnsi="Arial" w:cs="Arial"/>
          <w:i/>
          <w:iCs/>
          <w:sz w:val="21"/>
          <w:szCs w:val="21"/>
        </w:rPr>
        <w:t>Intellectual Property</w:t>
      </w:r>
      <w:r>
        <w:rPr>
          <w:rFonts w:ascii="Arial" w:eastAsia="Arial" w:hAnsi="Arial" w:cs="Arial"/>
          <w:sz w:val="21"/>
          <w:szCs w:val="21"/>
        </w:rPr>
        <w:t xml:space="preserve">. (a) Subject to the terms and conditions of this Agreement, with respect to each Service, Service Provider (on behalf of itself and its Affiliates) hereby grants to </w:t>
      </w:r>
      <w:r>
        <w:rPr>
          <w:rFonts w:ascii="Arial" w:eastAsia="Arial" w:hAnsi="Arial" w:cs="Arial"/>
          <w:sz w:val="21"/>
          <w:szCs w:val="21"/>
        </w:rPr>
        <w:t>each Service Recipient and its Affiliates a limited, non-exclusive, non-sublicenseable, non-assignable (except as expressly provided for in Section 9.04) license, solely during the Term for such Service, to use any Intellectual Property Right (other than T</w:t>
      </w:r>
      <w:r>
        <w:rPr>
          <w:rFonts w:ascii="Arial" w:eastAsia="Arial" w:hAnsi="Arial" w:cs="Arial"/>
          <w:sz w:val="21"/>
          <w:szCs w:val="21"/>
        </w:rPr>
        <w:t>rademarks), software and data that is (i) owned by Service Provider or its Affiliates and (ii) provided or otherwise made available by Service Provider or its Affiliates to such Service Recipient as part of such Service, but in each case solely to the exte</w:t>
      </w:r>
      <w:r>
        <w:rPr>
          <w:rFonts w:ascii="Arial" w:eastAsia="Arial" w:hAnsi="Arial" w:cs="Arial"/>
          <w:sz w:val="21"/>
          <w:szCs w:val="21"/>
        </w:rPr>
        <w:t>nt necessary for such Service Recipient and its Affiliates to receive and use such Service as provided for and in accordance with this Agreement, subject to any applicable third party restrictions or limitations.</w:t>
      </w:r>
    </w:p>
    <w:p w14:paraId="310CCE6A" w14:textId="77777777" w:rsidR="00D1587D" w:rsidRDefault="00D1587D">
      <w:pPr>
        <w:spacing w:line="385" w:lineRule="exact"/>
        <w:rPr>
          <w:sz w:val="20"/>
          <w:szCs w:val="20"/>
        </w:rPr>
      </w:pPr>
    </w:p>
    <w:p w14:paraId="53578768" w14:textId="77777777" w:rsidR="00D1587D" w:rsidRDefault="00410D07">
      <w:pPr>
        <w:ind w:right="-19"/>
        <w:jc w:val="center"/>
        <w:rPr>
          <w:sz w:val="20"/>
          <w:szCs w:val="20"/>
        </w:rPr>
      </w:pPr>
      <w:r>
        <w:rPr>
          <w:rFonts w:ascii="Arial" w:eastAsia="Arial" w:hAnsi="Arial" w:cs="Arial"/>
          <w:sz w:val="14"/>
          <w:szCs w:val="14"/>
        </w:rPr>
        <w:t>5</w:t>
      </w:r>
    </w:p>
    <w:p w14:paraId="5FF284E2" w14:textId="77777777" w:rsidR="00D1587D" w:rsidRDefault="00410D07">
      <w:pPr>
        <w:spacing w:line="20" w:lineRule="exact"/>
        <w:rPr>
          <w:sz w:val="20"/>
          <w:szCs w:val="20"/>
        </w:rPr>
      </w:pPr>
      <w:r>
        <w:rPr>
          <w:noProof/>
          <w:sz w:val="20"/>
          <w:szCs w:val="20"/>
        </w:rPr>
        <w:drawing>
          <wp:anchor distT="0" distB="0" distL="114300" distR="114300" simplePos="0" relativeHeight="251270144" behindDoc="1" locked="0" layoutInCell="0" allowOverlap="1" wp14:anchorId="3A395291" wp14:editId="442144E4">
            <wp:simplePos x="0" y="0"/>
            <wp:positionH relativeFrom="column">
              <wp:posOffset>5080</wp:posOffset>
            </wp:positionH>
            <wp:positionV relativeFrom="paragraph">
              <wp:posOffset>38100</wp:posOffset>
            </wp:positionV>
            <wp:extent cx="7132320" cy="1714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5E0C5B7" w14:textId="77777777" w:rsidR="00D1587D" w:rsidRDefault="00D1587D">
      <w:pPr>
        <w:sectPr w:rsidR="00D1587D">
          <w:pgSz w:w="11900" w:h="16838"/>
          <w:pgMar w:top="361" w:right="339" w:bottom="1440" w:left="320" w:header="0" w:footer="0" w:gutter="0"/>
          <w:cols w:space="720" w:equalWidth="0">
            <w:col w:w="11240"/>
          </w:cols>
        </w:sectPr>
      </w:pPr>
    </w:p>
    <w:p w14:paraId="4B0DE1BC" w14:textId="77777777" w:rsidR="00D1587D" w:rsidRDefault="00410D07">
      <w:pPr>
        <w:numPr>
          <w:ilvl w:val="0"/>
          <w:numId w:val="82"/>
        </w:numPr>
        <w:tabs>
          <w:tab w:val="left" w:pos="1440"/>
        </w:tabs>
        <w:spacing w:line="275" w:lineRule="auto"/>
        <w:ind w:right="140" w:firstLine="656"/>
        <w:rPr>
          <w:rFonts w:ascii="Arial" w:eastAsia="Arial" w:hAnsi="Arial" w:cs="Arial"/>
          <w:sz w:val="19"/>
          <w:szCs w:val="19"/>
        </w:rPr>
      </w:pPr>
      <w:bookmarkStart w:id="119" w:name="page120"/>
      <w:bookmarkEnd w:id="119"/>
      <w:r>
        <w:rPr>
          <w:rFonts w:ascii="Arial" w:eastAsia="Arial" w:hAnsi="Arial" w:cs="Arial"/>
          <w:sz w:val="19"/>
          <w:szCs w:val="19"/>
        </w:rPr>
        <w:t>Subject to the ter</w:t>
      </w:r>
      <w:r>
        <w:rPr>
          <w:rFonts w:ascii="Arial" w:eastAsia="Arial" w:hAnsi="Arial" w:cs="Arial"/>
          <w:sz w:val="19"/>
          <w:szCs w:val="19"/>
        </w:rPr>
        <w:t>ms and conditions of this Agreement, with respect to each Service, each Service Recipient (on behalf of itself and its Affiliates) hereby grants to Service Provider and its Affiliates a limited, non-exclusive, royalty-free, non-sublicenseable (except as ex</w:t>
      </w:r>
      <w:r>
        <w:rPr>
          <w:rFonts w:ascii="Arial" w:eastAsia="Arial" w:hAnsi="Arial" w:cs="Arial"/>
          <w:sz w:val="19"/>
          <w:szCs w:val="19"/>
        </w:rPr>
        <w:t xml:space="preserve">pressly set forth herein), non-assignable (except as expressly provided for in Section 9.04) license, solely during the Term for such Service, in and to any Intellectual Property Right (other than Trademarks), software and data owned or controlled by such </w:t>
      </w:r>
      <w:r>
        <w:rPr>
          <w:rFonts w:ascii="Arial" w:eastAsia="Arial" w:hAnsi="Arial" w:cs="Arial"/>
          <w:sz w:val="19"/>
          <w:szCs w:val="19"/>
        </w:rPr>
        <w:t>Service Recipient or any of its Affiliates, but in each case solely to the extent necessary for Service Provider, its Affiliates or any Third Party Provider to perform such Service as provided for and in accordance with this Agreement, subject to any appli</w:t>
      </w:r>
      <w:r>
        <w:rPr>
          <w:rFonts w:ascii="Arial" w:eastAsia="Arial" w:hAnsi="Arial" w:cs="Arial"/>
          <w:sz w:val="19"/>
          <w:szCs w:val="19"/>
        </w:rPr>
        <w:t>cable third party restrictions or limitations (it being understood that Service Provider shall have the right to grant a sublicense under the foregoing license to any Third Party Provider).</w:t>
      </w:r>
    </w:p>
    <w:p w14:paraId="6E99C4A2" w14:textId="77777777" w:rsidR="00D1587D" w:rsidRDefault="00D1587D">
      <w:pPr>
        <w:spacing w:line="184" w:lineRule="exact"/>
        <w:rPr>
          <w:rFonts w:ascii="Arial" w:eastAsia="Arial" w:hAnsi="Arial" w:cs="Arial"/>
          <w:sz w:val="19"/>
          <w:szCs w:val="19"/>
        </w:rPr>
      </w:pPr>
    </w:p>
    <w:p w14:paraId="1C1964CD" w14:textId="77777777" w:rsidR="00D1587D" w:rsidRDefault="00410D07">
      <w:pPr>
        <w:numPr>
          <w:ilvl w:val="0"/>
          <w:numId w:val="82"/>
        </w:numPr>
        <w:tabs>
          <w:tab w:val="left" w:pos="1428"/>
        </w:tabs>
        <w:spacing w:line="234" w:lineRule="auto"/>
        <w:ind w:right="60" w:firstLine="656"/>
        <w:rPr>
          <w:rFonts w:ascii="Arial" w:eastAsia="Arial" w:hAnsi="Arial" w:cs="Arial"/>
        </w:rPr>
      </w:pPr>
      <w:r>
        <w:rPr>
          <w:rFonts w:ascii="Arial" w:eastAsia="Arial" w:hAnsi="Arial" w:cs="Arial"/>
        </w:rPr>
        <w:t xml:space="preserve">ALL SERVICES AND INTELLECTUAL PROPERTY RIGHTS LICENSED </w:t>
      </w:r>
      <w:r>
        <w:rPr>
          <w:rFonts w:ascii="Arial" w:eastAsia="Arial" w:hAnsi="Arial" w:cs="Arial"/>
        </w:rPr>
        <w:t xml:space="preserve">HEREUNDER ARE PROVIDED ON AN “AS IS” BASIS WITH NO REPRESENTATION OR WARRANTY, EXPRESS OR IMPLIED, OF ANY KIND, INCLUDING WITH RESPECT TO MERCHANTABILITY, FITNESS FOR PARTICULAR PURPOSE OR NON-INFRINGEMENT. EXCEPT AS EXPRESSLY SET FORTH IN THIS AGREEMENT, </w:t>
      </w:r>
      <w:r>
        <w:rPr>
          <w:rFonts w:ascii="Arial" w:eastAsia="Arial" w:hAnsi="Arial" w:cs="Arial"/>
        </w:rPr>
        <w:t>NO LICENSES OR OTHER RIGHTS TO ANY SOFTWARE, INTELLECTUAL PROPERTY RIGHTS, DATA OR OTHER ASSETS ARE GRANTED TO EITHER PARTY HERETO UNDER THIS AGREEMENT, WHETHER BY IMPLICATION, ESTOPPEL, EXHAUSTION OR OTHERWISE, AND EACH PARTY HERETO RETAINS AND RESERVES A</w:t>
      </w:r>
      <w:r>
        <w:rPr>
          <w:rFonts w:ascii="Arial" w:eastAsia="Arial" w:hAnsi="Arial" w:cs="Arial"/>
        </w:rPr>
        <w:t>LL RIGHTS NOT EXPRESSLY GRANTED UNDER THIS AGREEMENT.</w:t>
      </w:r>
    </w:p>
    <w:p w14:paraId="153CE052" w14:textId="77777777" w:rsidR="00D1587D" w:rsidRDefault="00D1587D">
      <w:pPr>
        <w:spacing w:line="213" w:lineRule="exact"/>
        <w:rPr>
          <w:rFonts w:ascii="Arial" w:eastAsia="Arial" w:hAnsi="Arial" w:cs="Arial"/>
        </w:rPr>
      </w:pPr>
    </w:p>
    <w:p w14:paraId="5B766714" w14:textId="77777777" w:rsidR="00D1587D" w:rsidRDefault="00410D07">
      <w:pPr>
        <w:numPr>
          <w:ilvl w:val="0"/>
          <w:numId w:val="82"/>
        </w:numPr>
        <w:tabs>
          <w:tab w:val="left" w:pos="1440"/>
        </w:tabs>
        <w:spacing w:line="244" w:lineRule="auto"/>
        <w:ind w:right="60" w:firstLine="656"/>
        <w:rPr>
          <w:rFonts w:ascii="Arial" w:eastAsia="Arial" w:hAnsi="Arial" w:cs="Arial"/>
          <w:sz w:val="21"/>
          <w:szCs w:val="21"/>
        </w:rPr>
      </w:pPr>
      <w:r>
        <w:rPr>
          <w:rFonts w:ascii="Arial" w:eastAsia="Arial" w:hAnsi="Arial" w:cs="Arial"/>
          <w:sz w:val="21"/>
          <w:szCs w:val="21"/>
        </w:rPr>
        <w:t>The parties hereto acknowledge and agree that, as between the parties, Service Provider shall solely own all right, title and interest in and to all Intellectual Property Rights (other than Trademarks)</w:t>
      </w:r>
      <w:r>
        <w:rPr>
          <w:rFonts w:ascii="Arial" w:eastAsia="Arial" w:hAnsi="Arial" w:cs="Arial"/>
          <w:sz w:val="21"/>
          <w:szCs w:val="21"/>
        </w:rPr>
        <w:t xml:space="preserve"> authored, conceived, developed or reduced to practice by any Service Provider Party (whether solely or jointly with others) in connection with the Services (“</w:t>
      </w:r>
      <w:r>
        <w:rPr>
          <w:rFonts w:ascii="Arial" w:eastAsia="Arial" w:hAnsi="Arial" w:cs="Arial"/>
          <w:b/>
          <w:bCs/>
          <w:sz w:val="21"/>
          <w:szCs w:val="21"/>
        </w:rPr>
        <w:t>Developed Intellectual Property</w:t>
      </w:r>
      <w:r>
        <w:rPr>
          <w:rFonts w:ascii="Arial" w:eastAsia="Arial" w:hAnsi="Arial" w:cs="Arial"/>
          <w:sz w:val="21"/>
          <w:szCs w:val="21"/>
        </w:rPr>
        <w:t xml:space="preserve">”), </w:t>
      </w:r>
      <w:r>
        <w:rPr>
          <w:rFonts w:ascii="Arial" w:eastAsia="Arial" w:hAnsi="Arial" w:cs="Arial"/>
          <w:i/>
          <w:iCs/>
          <w:sz w:val="21"/>
          <w:szCs w:val="21"/>
        </w:rPr>
        <w:t>provided</w:t>
      </w:r>
      <w:r>
        <w:rPr>
          <w:rFonts w:ascii="Arial" w:eastAsia="Arial" w:hAnsi="Arial" w:cs="Arial"/>
          <w:sz w:val="21"/>
          <w:szCs w:val="21"/>
        </w:rPr>
        <w:t xml:space="preserve"> that L Brands shall own all right, title and interest</w:t>
      </w:r>
      <w:r>
        <w:rPr>
          <w:rFonts w:ascii="Arial" w:eastAsia="Arial" w:hAnsi="Arial" w:cs="Arial"/>
          <w:sz w:val="21"/>
          <w:szCs w:val="21"/>
        </w:rPr>
        <w:t xml:space="preserve"> in and to all Developed Intellectual Property exclusively used in the L Brands Business (“</w:t>
      </w:r>
      <w:r>
        <w:rPr>
          <w:rFonts w:ascii="Arial" w:eastAsia="Arial" w:hAnsi="Arial" w:cs="Arial"/>
          <w:b/>
          <w:bCs/>
          <w:sz w:val="21"/>
          <w:szCs w:val="21"/>
        </w:rPr>
        <w:t>L Brands Developed Intellectual Property</w:t>
      </w:r>
      <w:r>
        <w:rPr>
          <w:rFonts w:ascii="Arial" w:eastAsia="Arial" w:hAnsi="Arial" w:cs="Arial"/>
          <w:sz w:val="21"/>
          <w:szCs w:val="21"/>
        </w:rPr>
        <w:t>”). L Brands hereby irrevocably assigns, and shall cause the other Service Recipients to assign, to Service Provider all of i</w:t>
      </w:r>
      <w:r>
        <w:rPr>
          <w:rFonts w:ascii="Arial" w:eastAsia="Arial" w:hAnsi="Arial" w:cs="Arial"/>
          <w:sz w:val="21"/>
          <w:szCs w:val="21"/>
        </w:rPr>
        <w:t>ts or their right, title and interest in and to all Developed Intellectual Property (other than L Brands Developed Intellectual Property), and hereby waives any and all moral rights that it or they may have in all such Developed Intellectual Property. Serv</w:t>
      </w:r>
      <w:r>
        <w:rPr>
          <w:rFonts w:ascii="Arial" w:eastAsia="Arial" w:hAnsi="Arial" w:cs="Arial"/>
          <w:sz w:val="21"/>
          <w:szCs w:val="21"/>
        </w:rPr>
        <w:t>ice Provider hereby irrevocably assigns, and shall cause the other Service Provider Parties to assign, to L Brands all of its or their right, title and interest in and to all L Brands Developed Intellectual Property, and hereby waives any and all moral rig</w:t>
      </w:r>
      <w:r>
        <w:rPr>
          <w:rFonts w:ascii="Arial" w:eastAsia="Arial" w:hAnsi="Arial" w:cs="Arial"/>
          <w:sz w:val="21"/>
          <w:szCs w:val="21"/>
        </w:rPr>
        <w:t>hts that it or they may have in any L Brands Developed Intellectual Property. The parties hereto agree to execute all other documents and take all actions as may be necessary or desirable to enable the other party to prosecute, perfect, enforce, defend, re</w:t>
      </w:r>
      <w:r>
        <w:rPr>
          <w:rFonts w:ascii="Arial" w:eastAsia="Arial" w:hAnsi="Arial" w:cs="Arial"/>
          <w:sz w:val="21"/>
          <w:szCs w:val="21"/>
        </w:rPr>
        <w:t>gister and/or record its right, title and interest in, to and under the Developed Intellectual Property or L Brands Developed Intellectual Property, as applicable.</w:t>
      </w:r>
    </w:p>
    <w:p w14:paraId="685D5A6E" w14:textId="77777777" w:rsidR="00D1587D" w:rsidRDefault="00D1587D">
      <w:pPr>
        <w:spacing w:line="208" w:lineRule="exact"/>
        <w:rPr>
          <w:sz w:val="20"/>
          <w:szCs w:val="20"/>
        </w:rPr>
      </w:pPr>
    </w:p>
    <w:p w14:paraId="60632AF1" w14:textId="77777777" w:rsidR="00D1587D" w:rsidRDefault="00410D07">
      <w:pPr>
        <w:spacing w:line="282" w:lineRule="auto"/>
        <w:ind w:firstLine="648"/>
        <w:rPr>
          <w:sz w:val="20"/>
          <w:szCs w:val="20"/>
        </w:rPr>
      </w:pPr>
      <w:r>
        <w:rPr>
          <w:rFonts w:ascii="Arial" w:eastAsia="Arial" w:hAnsi="Arial" w:cs="Arial"/>
          <w:sz w:val="19"/>
          <w:szCs w:val="19"/>
        </w:rPr>
        <w:t xml:space="preserve">Section 2.10. </w:t>
      </w:r>
      <w:r>
        <w:rPr>
          <w:rFonts w:ascii="Arial" w:eastAsia="Arial" w:hAnsi="Arial" w:cs="Arial"/>
          <w:i/>
          <w:iCs/>
          <w:sz w:val="19"/>
          <w:szCs w:val="19"/>
        </w:rPr>
        <w:t>Data Ownership and Data Protection</w:t>
      </w:r>
      <w:r>
        <w:rPr>
          <w:rFonts w:ascii="Arial" w:eastAsia="Arial" w:hAnsi="Arial" w:cs="Arial"/>
          <w:sz w:val="19"/>
          <w:szCs w:val="19"/>
        </w:rPr>
        <w:t>. As between the parties hereto, the applicable Service Recipient shall be the owner of all data collected, used, stored or otherwise processed by or on behalf of such Service Recipient under this Agreement to the extent related to the L Brands Business. S</w:t>
      </w:r>
      <w:r>
        <w:rPr>
          <w:rFonts w:ascii="Arial" w:eastAsia="Arial" w:hAnsi="Arial" w:cs="Arial"/>
          <w:sz w:val="19"/>
          <w:szCs w:val="19"/>
        </w:rPr>
        <w:t xml:space="preserve">ervice Provider shall, and L Brands shall cause the Service Recipients to, comply with the Data Processing Addendum attached as </w:t>
      </w:r>
      <w:r>
        <w:rPr>
          <w:rFonts w:ascii="Arial" w:eastAsia="Arial" w:hAnsi="Arial" w:cs="Arial"/>
          <w:sz w:val="19"/>
          <w:szCs w:val="19"/>
          <w:u w:val="single"/>
        </w:rPr>
        <w:t>Annex A</w:t>
      </w:r>
      <w:r>
        <w:rPr>
          <w:rFonts w:ascii="Arial" w:eastAsia="Arial" w:hAnsi="Arial" w:cs="Arial"/>
          <w:sz w:val="19"/>
          <w:szCs w:val="19"/>
        </w:rPr>
        <w:t xml:space="preserve"> hereto and all applicable privacy and data protection laws that are or that may in the future be applicable to the provi</w:t>
      </w:r>
      <w:r>
        <w:rPr>
          <w:rFonts w:ascii="Arial" w:eastAsia="Arial" w:hAnsi="Arial" w:cs="Arial"/>
          <w:sz w:val="19"/>
          <w:szCs w:val="19"/>
        </w:rPr>
        <w:t>sion of Services hereunder.</w:t>
      </w:r>
    </w:p>
    <w:p w14:paraId="5773387D" w14:textId="77777777" w:rsidR="00D1587D" w:rsidRDefault="00D1587D">
      <w:pPr>
        <w:spacing w:line="353" w:lineRule="exact"/>
        <w:rPr>
          <w:sz w:val="20"/>
          <w:szCs w:val="20"/>
        </w:rPr>
      </w:pPr>
    </w:p>
    <w:p w14:paraId="7A4B048C" w14:textId="77777777" w:rsidR="00D1587D" w:rsidRDefault="00410D07">
      <w:pPr>
        <w:ind w:right="-39"/>
        <w:jc w:val="center"/>
        <w:rPr>
          <w:sz w:val="20"/>
          <w:szCs w:val="20"/>
        </w:rPr>
      </w:pPr>
      <w:r>
        <w:rPr>
          <w:rFonts w:ascii="Arial" w:eastAsia="Arial" w:hAnsi="Arial" w:cs="Arial"/>
          <w:sz w:val="14"/>
          <w:szCs w:val="14"/>
        </w:rPr>
        <w:t>6</w:t>
      </w:r>
    </w:p>
    <w:p w14:paraId="2AFA79B4" w14:textId="77777777" w:rsidR="00D1587D" w:rsidRDefault="00410D07">
      <w:pPr>
        <w:spacing w:line="20" w:lineRule="exact"/>
        <w:rPr>
          <w:sz w:val="20"/>
          <w:szCs w:val="20"/>
        </w:rPr>
      </w:pPr>
      <w:r>
        <w:rPr>
          <w:noProof/>
          <w:sz w:val="20"/>
          <w:szCs w:val="20"/>
        </w:rPr>
        <w:drawing>
          <wp:anchor distT="0" distB="0" distL="114300" distR="114300" simplePos="0" relativeHeight="251271168" behindDoc="1" locked="0" layoutInCell="0" allowOverlap="1" wp14:anchorId="4B5CABDB" wp14:editId="3D39BFE8">
            <wp:simplePos x="0" y="0"/>
            <wp:positionH relativeFrom="column">
              <wp:posOffset>5080</wp:posOffset>
            </wp:positionH>
            <wp:positionV relativeFrom="paragraph">
              <wp:posOffset>38100</wp:posOffset>
            </wp:positionV>
            <wp:extent cx="7132320" cy="1714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61BB831" w14:textId="77777777" w:rsidR="00D1587D" w:rsidRDefault="00D1587D">
      <w:pPr>
        <w:sectPr w:rsidR="00D1587D">
          <w:pgSz w:w="11900" w:h="16838"/>
          <w:pgMar w:top="361" w:right="359" w:bottom="1440" w:left="320" w:header="0" w:footer="0" w:gutter="0"/>
          <w:cols w:space="720" w:equalWidth="0">
            <w:col w:w="11220"/>
          </w:cols>
        </w:sectPr>
      </w:pPr>
    </w:p>
    <w:p w14:paraId="50762CC8" w14:textId="77777777" w:rsidR="00D1587D" w:rsidRDefault="00410D07">
      <w:pPr>
        <w:spacing w:line="269" w:lineRule="auto"/>
        <w:ind w:firstLine="648"/>
        <w:rPr>
          <w:sz w:val="20"/>
          <w:szCs w:val="20"/>
        </w:rPr>
      </w:pPr>
      <w:bookmarkStart w:id="120" w:name="page121"/>
      <w:bookmarkEnd w:id="120"/>
      <w:r>
        <w:rPr>
          <w:rFonts w:ascii="Arial" w:eastAsia="Arial" w:hAnsi="Arial" w:cs="Arial"/>
          <w:sz w:val="19"/>
          <w:szCs w:val="19"/>
        </w:rPr>
        <w:t xml:space="preserve">Section 2.11. </w:t>
      </w:r>
      <w:r>
        <w:rPr>
          <w:rFonts w:ascii="Arial" w:eastAsia="Arial" w:hAnsi="Arial" w:cs="Arial"/>
          <w:i/>
          <w:iCs/>
          <w:sz w:val="19"/>
          <w:szCs w:val="19"/>
        </w:rPr>
        <w:t>Information Technology</w:t>
      </w:r>
      <w:r>
        <w:rPr>
          <w:rFonts w:ascii="Arial" w:eastAsia="Arial" w:hAnsi="Arial" w:cs="Arial"/>
          <w:sz w:val="19"/>
          <w:szCs w:val="19"/>
        </w:rPr>
        <w:t>. L Brands shall cause each Service Recipient, its employees and any subcontractors to: (a) not attempt to obtain access to or use any information technology systems o</w:t>
      </w:r>
      <w:r>
        <w:rPr>
          <w:rFonts w:ascii="Arial" w:eastAsia="Arial" w:hAnsi="Arial" w:cs="Arial"/>
          <w:sz w:val="19"/>
          <w:szCs w:val="19"/>
        </w:rPr>
        <w:t>f any Service Provider Party, or any data owned by any Service Provider Party, or any data used or processed by any Service Provider Party (other than any data of any Service Recipient), except to the extent required to receive the Services; (b) maintain r</w:t>
      </w:r>
      <w:r>
        <w:rPr>
          <w:rFonts w:ascii="Arial" w:eastAsia="Arial" w:hAnsi="Arial" w:cs="Arial"/>
          <w:sz w:val="19"/>
          <w:szCs w:val="19"/>
        </w:rPr>
        <w:t>easonable security measures to protect the systems of each Service Provider Party to which it has access pursuant to this Agreement from access by unauthorized third parties, and any “back door”, “time bomb”, “Trojan Horse”, “worm”, “drop dead device”, “vi</w:t>
      </w:r>
      <w:r>
        <w:rPr>
          <w:rFonts w:ascii="Arial" w:eastAsia="Arial" w:hAnsi="Arial" w:cs="Arial"/>
          <w:sz w:val="19"/>
          <w:szCs w:val="19"/>
        </w:rPr>
        <w:t>rus” or other computer software routine intended or designed to disrupt, disable, harm or otherwise impede in any manner the operation of such systems;</w:t>
      </w:r>
    </w:p>
    <w:p w14:paraId="60A0CD98" w14:textId="77777777" w:rsidR="00D1587D" w:rsidRDefault="00D1587D">
      <w:pPr>
        <w:spacing w:line="5" w:lineRule="exact"/>
        <w:rPr>
          <w:sz w:val="20"/>
          <w:szCs w:val="20"/>
        </w:rPr>
      </w:pPr>
    </w:p>
    <w:p w14:paraId="13FC315D" w14:textId="77777777" w:rsidR="00D1587D" w:rsidRDefault="00410D07">
      <w:pPr>
        <w:numPr>
          <w:ilvl w:val="0"/>
          <w:numId w:val="83"/>
        </w:numPr>
        <w:tabs>
          <w:tab w:val="left" w:pos="294"/>
        </w:tabs>
        <w:spacing w:line="243" w:lineRule="auto"/>
        <w:ind w:right="20" w:firstLine="8"/>
        <w:rPr>
          <w:rFonts w:ascii="Arial" w:eastAsia="Arial" w:hAnsi="Arial" w:cs="Arial"/>
          <w:sz w:val="21"/>
          <w:szCs w:val="21"/>
        </w:rPr>
      </w:pPr>
      <w:r>
        <w:rPr>
          <w:rFonts w:ascii="Arial" w:eastAsia="Arial" w:hAnsi="Arial" w:cs="Arial"/>
          <w:sz w:val="21"/>
          <w:szCs w:val="21"/>
        </w:rPr>
        <w:t>not permit access or use of information technology systems of any Service Provider Party by a third par</w:t>
      </w:r>
      <w:r>
        <w:rPr>
          <w:rFonts w:ascii="Arial" w:eastAsia="Arial" w:hAnsi="Arial" w:cs="Arial"/>
          <w:sz w:val="21"/>
          <w:szCs w:val="21"/>
        </w:rPr>
        <w:t>ty other than as authorized by prior written consent of Service Provider; (d) not disable, damage or erase or disrupt or impair the normal operation of the information technology systems of any Service Provider Party; and (e) comply with the security polic</w:t>
      </w:r>
      <w:r>
        <w:rPr>
          <w:rFonts w:ascii="Arial" w:eastAsia="Arial" w:hAnsi="Arial" w:cs="Arial"/>
          <w:sz w:val="21"/>
          <w:szCs w:val="21"/>
        </w:rPr>
        <w:t>ies and procedures of each Service Provider Party (to the extent previously provided to each Service Recipient in writing). Each party hereto shall promptly notify the other party in the event it or any of its respective Affiliates becomes aware of or susp</w:t>
      </w:r>
      <w:r>
        <w:rPr>
          <w:rFonts w:ascii="Arial" w:eastAsia="Arial" w:hAnsi="Arial" w:cs="Arial"/>
          <w:sz w:val="21"/>
          <w:szCs w:val="21"/>
        </w:rPr>
        <w:t>ects that there has been a breach of security or a loss, theft or unauthorized access, use or disclosure of any information technology systems (collectively, “</w:t>
      </w:r>
      <w:r>
        <w:rPr>
          <w:rFonts w:ascii="Arial" w:eastAsia="Arial" w:hAnsi="Arial" w:cs="Arial"/>
          <w:b/>
          <w:bCs/>
          <w:sz w:val="21"/>
          <w:szCs w:val="21"/>
        </w:rPr>
        <w:t>IT Breach</w:t>
      </w:r>
      <w:r>
        <w:rPr>
          <w:rFonts w:ascii="Arial" w:eastAsia="Arial" w:hAnsi="Arial" w:cs="Arial"/>
          <w:sz w:val="21"/>
          <w:szCs w:val="21"/>
        </w:rPr>
        <w:t>”) of any Service Provider Party or any Service Recipient to the extent such (i) IT Brea</w:t>
      </w:r>
      <w:r>
        <w:rPr>
          <w:rFonts w:ascii="Arial" w:eastAsia="Arial" w:hAnsi="Arial" w:cs="Arial"/>
          <w:sz w:val="21"/>
          <w:szCs w:val="21"/>
        </w:rPr>
        <w:t>ch could adversely affect the provision or receipt of the Services hereunder or such other party’s data or Confidential Information or (ii) notice is required by Applicable Law.</w:t>
      </w:r>
    </w:p>
    <w:p w14:paraId="4CFE7AE6" w14:textId="77777777" w:rsidR="00D1587D" w:rsidRDefault="00D1587D">
      <w:pPr>
        <w:spacing w:line="211" w:lineRule="exact"/>
        <w:rPr>
          <w:sz w:val="20"/>
          <w:szCs w:val="20"/>
        </w:rPr>
      </w:pPr>
    </w:p>
    <w:p w14:paraId="59BDB9A5" w14:textId="77777777" w:rsidR="00D1587D" w:rsidRDefault="00410D07">
      <w:pPr>
        <w:spacing w:line="277" w:lineRule="auto"/>
        <w:ind w:right="40" w:firstLine="648"/>
        <w:rPr>
          <w:sz w:val="20"/>
          <w:szCs w:val="20"/>
        </w:rPr>
      </w:pPr>
      <w:r>
        <w:rPr>
          <w:rFonts w:ascii="Arial" w:eastAsia="Arial" w:hAnsi="Arial" w:cs="Arial"/>
          <w:sz w:val="19"/>
          <w:szCs w:val="19"/>
        </w:rPr>
        <w:t xml:space="preserve">Section 2.12. </w:t>
      </w:r>
      <w:r>
        <w:rPr>
          <w:rFonts w:ascii="Arial" w:eastAsia="Arial" w:hAnsi="Arial" w:cs="Arial"/>
          <w:i/>
          <w:iCs/>
          <w:sz w:val="19"/>
          <w:szCs w:val="19"/>
        </w:rPr>
        <w:t>Policies and Procedures</w:t>
      </w:r>
      <w:r>
        <w:rPr>
          <w:rFonts w:ascii="Arial" w:eastAsia="Arial" w:hAnsi="Arial" w:cs="Arial"/>
          <w:sz w:val="19"/>
          <w:szCs w:val="19"/>
        </w:rPr>
        <w:t>. L Brands shall cause each Service Reci</w:t>
      </w:r>
      <w:r>
        <w:rPr>
          <w:rFonts w:ascii="Arial" w:eastAsia="Arial" w:hAnsi="Arial" w:cs="Arial"/>
          <w:sz w:val="19"/>
          <w:szCs w:val="19"/>
        </w:rPr>
        <w:t>pient and its employees, officers, directors, advisors and representatives (collectively, “</w:t>
      </w:r>
      <w:r>
        <w:rPr>
          <w:rFonts w:ascii="Arial" w:eastAsia="Arial" w:hAnsi="Arial" w:cs="Arial"/>
          <w:b/>
          <w:bCs/>
          <w:sz w:val="19"/>
          <w:szCs w:val="19"/>
        </w:rPr>
        <w:t>Representatives</w:t>
      </w:r>
      <w:r>
        <w:rPr>
          <w:rFonts w:ascii="Arial" w:eastAsia="Arial" w:hAnsi="Arial" w:cs="Arial"/>
          <w:sz w:val="19"/>
          <w:szCs w:val="19"/>
        </w:rPr>
        <w:t>”) and any subcontractors to comply with the internal policies, procedures, rules and regulations of the Service Provider Parties (as may be updated f</w:t>
      </w:r>
      <w:r>
        <w:rPr>
          <w:rFonts w:ascii="Arial" w:eastAsia="Arial" w:hAnsi="Arial" w:cs="Arial"/>
          <w:sz w:val="19"/>
          <w:szCs w:val="19"/>
        </w:rPr>
        <w:t>rom time to time) applicable to (a) the use of the Service Provider Parties’ information technology systems, computers, networks, telephone systems, software, data, equipment or other facilities in connection with the Services or (b) such Service Recipient</w:t>
      </w:r>
      <w:r>
        <w:rPr>
          <w:rFonts w:ascii="Arial" w:eastAsia="Arial" w:hAnsi="Arial" w:cs="Arial"/>
          <w:sz w:val="19"/>
          <w:szCs w:val="19"/>
        </w:rPr>
        <w:t xml:space="preserve">’s conduct while on a Service Provider Party’s premises or utilizing a Service Provider Party’s facilities in connection with the Services, in each case to the extent such policies, procedures, rules or regulations are generally applicable to such Service </w:t>
      </w:r>
      <w:r>
        <w:rPr>
          <w:rFonts w:ascii="Arial" w:eastAsia="Arial" w:hAnsi="Arial" w:cs="Arial"/>
          <w:sz w:val="19"/>
          <w:szCs w:val="19"/>
        </w:rPr>
        <w:t>Provider Party’s own organization.</w:t>
      </w:r>
    </w:p>
    <w:p w14:paraId="5E87E4F4" w14:textId="77777777" w:rsidR="00D1587D" w:rsidRDefault="00D1587D">
      <w:pPr>
        <w:spacing w:line="179" w:lineRule="exact"/>
        <w:rPr>
          <w:sz w:val="20"/>
          <w:szCs w:val="20"/>
        </w:rPr>
      </w:pPr>
    </w:p>
    <w:p w14:paraId="1E6741B4" w14:textId="77777777" w:rsidR="00D1587D" w:rsidRDefault="00410D07">
      <w:pPr>
        <w:spacing w:line="282" w:lineRule="auto"/>
        <w:ind w:right="260" w:firstLine="648"/>
        <w:rPr>
          <w:sz w:val="20"/>
          <w:szCs w:val="20"/>
        </w:rPr>
      </w:pPr>
      <w:r>
        <w:rPr>
          <w:rFonts w:ascii="Arial" w:eastAsia="Arial" w:hAnsi="Arial" w:cs="Arial"/>
          <w:sz w:val="19"/>
          <w:szCs w:val="19"/>
        </w:rPr>
        <w:t xml:space="preserve">Section 2.13. </w:t>
      </w:r>
      <w:r>
        <w:rPr>
          <w:rFonts w:ascii="Arial" w:eastAsia="Arial" w:hAnsi="Arial" w:cs="Arial"/>
          <w:i/>
          <w:iCs/>
          <w:sz w:val="19"/>
          <w:szCs w:val="19"/>
        </w:rPr>
        <w:t>Access to Information</w:t>
      </w:r>
      <w:r>
        <w:rPr>
          <w:rFonts w:ascii="Arial" w:eastAsia="Arial" w:hAnsi="Arial" w:cs="Arial"/>
          <w:sz w:val="19"/>
          <w:szCs w:val="19"/>
        </w:rPr>
        <w:t xml:space="preserve">. (a) Subject to Applicable Law, L Brands shall, and shall cause the other Service Recipients to, with respect to any Service during the Term of such Service, upon reasonable </w:t>
      </w:r>
      <w:r>
        <w:rPr>
          <w:rFonts w:ascii="Arial" w:eastAsia="Arial" w:hAnsi="Arial" w:cs="Arial"/>
          <w:sz w:val="19"/>
          <w:szCs w:val="19"/>
        </w:rPr>
        <w:t>advance notice, afford Service Provider and its Representatives, including Service Provider’s internal and external auditors, reasonable access, during normal business hours, to the employees, properties, books and records and other documents of the Servic</w:t>
      </w:r>
      <w:r>
        <w:rPr>
          <w:rFonts w:ascii="Arial" w:eastAsia="Arial" w:hAnsi="Arial" w:cs="Arial"/>
          <w:sz w:val="19"/>
          <w:szCs w:val="19"/>
        </w:rPr>
        <w:t>e Recipients that are reasonably requested by Service Provider in connection with the provision and receipt of such Service hereunder.</w:t>
      </w:r>
    </w:p>
    <w:p w14:paraId="7A5060CB" w14:textId="77777777" w:rsidR="00D1587D" w:rsidRDefault="00D1587D">
      <w:pPr>
        <w:spacing w:line="174" w:lineRule="exact"/>
        <w:rPr>
          <w:sz w:val="20"/>
          <w:szCs w:val="20"/>
        </w:rPr>
      </w:pPr>
    </w:p>
    <w:p w14:paraId="789E33BE" w14:textId="77777777" w:rsidR="00D1587D" w:rsidRDefault="00410D07">
      <w:pPr>
        <w:numPr>
          <w:ilvl w:val="0"/>
          <w:numId w:val="84"/>
        </w:numPr>
        <w:tabs>
          <w:tab w:val="left" w:pos="1440"/>
        </w:tabs>
        <w:spacing w:line="273" w:lineRule="auto"/>
        <w:ind w:firstLine="656"/>
        <w:rPr>
          <w:rFonts w:ascii="Arial" w:eastAsia="Arial" w:hAnsi="Arial" w:cs="Arial"/>
          <w:sz w:val="19"/>
          <w:szCs w:val="19"/>
        </w:rPr>
      </w:pPr>
      <w:r>
        <w:rPr>
          <w:rFonts w:ascii="Arial" w:eastAsia="Arial" w:hAnsi="Arial" w:cs="Arial"/>
          <w:sz w:val="19"/>
          <w:szCs w:val="19"/>
        </w:rPr>
        <w:t xml:space="preserve">Subject to Applicable Law, Service Provider shall, upon reasonable advance notice, afford L Brands’ internal audit </w:t>
      </w:r>
      <w:r>
        <w:rPr>
          <w:rFonts w:ascii="Arial" w:eastAsia="Arial" w:hAnsi="Arial" w:cs="Arial"/>
          <w:sz w:val="19"/>
          <w:szCs w:val="19"/>
        </w:rPr>
        <w:t>associates and L Brands’ current external audit firm (who has executed an appropriate confidentiality agreement reasonably acceptable to Service Provider) reasonable access, during normal business hours, to the information technology systems used by Servic</w:t>
      </w:r>
      <w:r>
        <w:rPr>
          <w:rFonts w:ascii="Arial" w:eastAsia="Arial" w:hAnsi="Arial" w:cs="Arial"/>
          <w:sz w:val="19"/>
          <w:szCs w:val="19"/>
        </w:rPr>
        <w:t>e Provider with respect to the provision of any Service hereunder solely during the Term of such Service and solely for the purpose of performing audit procedures to support the audit of L Brands’ financial statements and L Brands’ internal control environ</w:t>
      </w:r>
      <w:r>
        <w:rPr>
          <w:rFonts w:ascii="Arial" w:eastAsia="Arial" w:hAnsi="Arial" w:cs="Arial"/>
          <w:sz w:val="19"/>
          <w:szCs w:val="19"/>
        </w:rPr>
        <w:t>ment, including L Brands’ Report on Internal Control over Financial Reporting. L Brands’ internal audit associates and L Brands’ external audit firm shall be authorized to maintain documentation supporting the findings of their respective audit procedures.</w:t>
      </w:r>
      <w:r>
        <w:rPr>
          <w:rFonts w:ascii="Arial" w:eastAsia="Arial" w:hAnsi="Arial" w:cs="Arial"/>
          <w:sz w:val="19"/>
          <w:szCs w:val="19"/>
        </w:rPr>
        <w:t xml:space="preserve"> If L Brands wishes to use a new external audit firm for its 2021 or 2022 fiscal year audits, L Brands must obtain prior written consent from Service Provider, and such new firm must execute an appropriate confidentiality agreement reasonable acceptable to</w:t>
      </w:r>
      <w:r>
        <w:rPr>
          <w:rFonts w:ascii="Arial" w:eastAsia="Arial" w:hAnsi="Arial" w:cs="Arial"/>
          <w:sz w:val="19"/>
          <w:szCs w:val="19"/>
        </w:rPr>
        <w:t xml:space="preserve"> Service Provider, before such new firm is granted access to Service Provider’s information technology systems pursuant to this Section 2.13(b).</w:t>
      </w:r>
    </w:p>
    <w:p w14:paraId="683404B8" w14:textId="77777777" w:rsidR="00D1587D" w:rsidRDefault="00D1587D">
      <w:pPr>
        <w:spacing w:line="360" w:lineRule="exact"/>
        <w:rPr>
          <w:sz w:val="20"/>
          <w:szCs w:val="20"/>
        </w:rPr>
      </w:pPr>
    </w:p>
    <w:p w14:paraId="2EA5FB0F" w14:textId="77777777" w:rsidR="00D1587D" w:rsidRDefault="00410D07">
      <w:pPr>
        <w:ind w:right="-19"/>
        <w:jc w:val="center"/>
        <w:rPr>
          <w:sz w:val="20"/>
          <w:szCs w:val="20"/>
        </w:rPr>
      </w:pPr>
      <w:r>
        <w:rPr>
          <w:rFonts w:ascii="Arial" w:eastAsia="Arial" w:hAnsi="Arial" w:cs="Arial"/>
          <w:sz w:val="14"/>
          <w:szCs w:val="14"/>
        </w:rPr>
        <w:t>7</w:t>
      </w:r>
    </w:p>
    <w:p w14:paraId="309D3DBA" w14:textId="77777777" w:rsidR="00D1587D" w:rsidRDefault="00410D07">
      <w:pPr>
        <w:spacing w:line="20" w:lineRule="exact"/>
        <w:rPr>
          <w:sz w:val="20"/>
          <w:szCs w:val="20"/>
        </w:rPr>
      </w:pPr>
      <w:r>
        <w:rPr>
          <w:noProof/>
          <w:sz w:val="20"/>
          <w:szCs w:val="20"/>
        </w:rPr>
        <w:drawing>
          <wp:anchor distT="0" distB="0" distL="114300" distR="114300" simplePos="0" relativeHeight="251272192" behindDoc="1" locked="0" layoutInCell="0" allowOverlap="1" wp14:anchorId="6B840ED4" wp14:editId="4439DC44">
            <wp:simplePos x="0" y="0"/>
            <wp:positionH relativeFrom="column">
              <wp:posOffset>5080</wp:posOffset>
            </wp:positionH>
            <wp:positionV relativeFrom="paragraph">
              <wp:posOffset>38100</wp:posOffset>
            </wp:positionV>
            <wp:extent cx="7132320" cy="1714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B55C2CB" w14:textId="77777777" w:rsidR="00D1587D" w:rsidRDefault="00D1587D">
      <w:pPr>
        <w:sectPr w:rsidR="00D1587D">
          <w:pgSz w:w="11900" w:h="16838"/>
          <w:pgMar w:top="604" w:right="359" w:bottom="1440" w:left="320" w:header="0" w:footer="0" w:gutter="0"/>
          <w:cols w:space="720" w:equalWidth="0">
            <w:col w:w="11220"/>
          </w:cols>
        </w:sectPr>
      </w:pPr>
    </w:p>
    <w:p w14:paraId="441E9E64" w14:textId="77777777" w:rsidR="00D1587D" w:rsidRDefault="00410D07">
      <w:pPr>
        <w:spacing w:line="272" w:lineRule="auto"/>
        <w:ind w:firstLine="648"/>
        <w:rPr>
          <w:sz w:val="20"/>
          <w:szCs w:val="20"/>
        </w:rPr>
      </w:pPr>
      <w:bookmarkStart w:id="121" w:name="page122"/>
      <w:bookmarkEnd w:id="121"/>
      <w:r>
        <w:rPr>
          <w:rFonts w:ascii="Arial" w:eastAsia="Arial" w:hAnsi="Arial" w:cs="Arial"/>
          <w:sz w:val="19"/>
          <w:szCs w:val="19"/>
        </w:rPr>
        <w:t xml:space="preserve">Section 2.14. </w:t>
      </w:r>
      <w:r>
        <w:rPr>
          <w:rFonts w:ascii="Arial" w:eastAsia="Arial" w:hAnsi="Arial" w:cs="Arial"/>
          <w:i/>
          <w:iCs/>
          <w:sz w:val="19"/>
          <w:szCs w:val="19"/>
        </w:rPr>
        <w:t>Transition Governance</w:t>
      </w:r>
      <w:r>
        <w:rPr>
          <w:rFonts w:ascii="Arial" w:eastAsia="Arial" w:hAnsi="Arial" w:cs="Arial"/>
          <w:sz w:val="19"/>
          <w:szCs w:val="19"/>
        </w:rPr>
        <w:t xml:space="preserve">. Service Provider, on the one hand, and L Brands, </w:t>
      </w:r>
      <w:r>
        <w:rPr>
          <w:rFonts w:ascii="Arial" w:eastAsia="Arial" w:hAnsi="Arial" w:cs="Arial"/>
          <w:sz w:val="19"/>
          <w:szCs w:val="19"/>
        </w:rPr>
        <w:t>on the other hand, shall each designate a service manager (that party’s “</w:t>
      </w:r>
      <w:r>
        <w:rPr>
          <w:rFonts w:ascii="Arial" w:eastAsia="Arial" w:hAnsi="Arial" w:cs="Arial"/>
          <w:b/>
          <w:bCs/>
          <w:sz w:val="19"/>
          <w:szCs w:val="19"/>
        </w:rPr>
        <w:t>Service Manager</w:t>
      </w:r>
      <w:r>
        <w:rPr>
          <w:rFonts w:ascii="Arial" w:eastAsia="Arial" w:hAnsi="Arial" w:cs="Arial"/>
          <w:sz w:val="19"/>
          <w:szCs w:val="19"/>
        </w:rPr>
        <w:t>”), who shall be directly responsible for coordinating and managing for the party he or she represents all activities undertaken by such party hereunder, including maki</w:t>
      </w:r>
      <w:r>
        <w:rPr>
          <w:rFonts w:ascii="Arial" w:eastAsia="Arial" w:hAnsi="Arial" w:cs="Arial"/>
          <w:sz w:val="19"/>
          <w:szCs w:val="19"/>
        </w:rPr>
        <w:t>ng available to the other party the information, facilities, resources and other support services required for the performance of, or receipt of, the Services in accordance with the terms of this Agreement. The Service Managers shall meet or confer, by tel</w:t>
      </w:r>
      <w:r>
        <w:rPr>
          <w:rFonts w:ascii="Arial" w:eastAsia="Arial" w:hAnsi="Arial" w:cs="Arial"/>
          <w:sz w:val="19"/>
          <w:szCs w:val="19"/>
        </w:rPr>
        <w:t>ephone or in person, from time to time as necessary, and at least once per month or otherwise as the parties agree, during the term of this Agreement in order to promote open and efficient communication regarding effective and coordinated performance of, a</w:t>
      </w:r>
      <w:r>
        <w:rPr>
          <w:rFonts w:ascii="Arial" w:eastAsia="Arial" w:hAnsi="Arial" w:cs="Arial"/>
          <w:sz w:val="19"/>
          <w:szCs w:val="19"/>
        </w:rPr>
        <w:t>nd the resolution of questions and issues related to, the Services. The Service Managers shall also discuss progress in the transition of the Services hereunder and may establish a set of procedures, including frequency of meetings and reporting, and other</w:t>
      </w:r>
      <w:r>
        <w:rPr>
          <w:rFonts w:ascii="Arial" w:eastAsia="Arial" w:hAnsi="Arial" w:cs="Arial"/>
          <w:sz w:val="19"/>
          <w:szCs w:val="19"/>
        </w:rPr>
        <w:t xml:space="preserve"> reasonable structures for their cooperation and the cooperation of the parties in the execution of their obligations pursuant to this Agreement. Service Provider, on the one hand, and L Brands, on the other hand, may, in its sole discretion, replace its r</w:t>
      </w:r>
      <w:r>
        <w:rPr>
          <w:rFonts w:ascii="Arial" w:eastAsia="Arial" w:hAnsi="Arial" w:cs="Arial"/>
          <w:sz w:val="19"/>
          <w:szCs w:val="19"/>
        </w:rPr>
        <w:t>espective Service Manager from time to time with a substitute upon notice to the other party.</w:t>
      </w:r>
    </w:p>
    <w:p w14:paraId="65AF4874" w14:textId="77777777" w:rsidR="00D1587D" w:rsidRDefault="00D1587D">
      <w:pPr>
        <w:spacing w:line="188" w:lineRule="exact"/>
        <w:rPr>
          <w:sz w:val="20"/>
          <w:szCs w:val="20"/>
        </w:rPr>
      </w:pPr>
    </w:p>
    <w:p w14:paraId="107B7A16" w14:textId="77777777" w:rsidR="00D1587D" w:rsidRDefault="00410D07">
      <w:pPr>
        <w:ind w:right="-19"/>
        <w:jc w:val="center"/>
        <w:rPr>
          <w:sz w:val="20"/>
          <w:szCs w:val="20"/>
        </w:rPr>
      </w:pPr>
      <w:r>
        <w:rPr>
          <w:rFonts w:ascii="Arial" w:eastAsia="Arial" w:hAnsi="Arial" w:cs="Arial"/>
        </w:rPr>
        <w:t>ARTICLE 3</w:t>
      </w:r>
    </w:p>
    <w:p w14:paraId="6C075FB4" w14:textId="77777777" w:rsidR="00D1587D" w:rsidRDefault="00D1587D">
      <w:pPr>
        <w:spacing w:line="8" w:lineRule="exact"/>
        <w:rPr>
          <w:sz w:val="20"/>
          <w:szCs w:val="20"/>
        </w:rPr>
      </w:pPr>
    </w:p>
    <w:p w14:paraId="71EF61B1" w14:textId="77777777" w:rsidR="00D1587D" w:rsidRDefault="00410D07">
      <w:pPr>
        <w:ind w:right="-19"/>
        <w:jc w:val="center"/>
        <w:rPr>
          <w:sz w:val="20"/>
          <w:szCs w:val="20"/>
        </w:rPr>
      </w:pPr>
      <w:r>
        <w:rPr>
          <w:rFonts w:ascii="Arial" w:eastAsia="Arial" w:hAnsi="Arial" w:cs="Arial"/>
        </w:rPr>
        <w:t>SERVICE FEES</w:t>
      </w:r>
    </w:p>
    <w:p w14:paraId="0783B353" w14:textId="77777777" w:rsidR="00D1587D" w:rsidRDefault="00D1587D">
      <w:pPr>
        <w:spacing w:line="215" w:lineRule="exact"/>
        <w:rPr>
          <w:sz w:val="20"/>
          <w:szCs w:val="20"/>
        </w:rPr>
      </w:pPr>
    </w:p>
    <w:p w14:paraId="6283198B" w14:textId="77777777" w:rsidR="00D1587D" w:rsidRDefault="00410D07">
      <w:pPr>
        <w:tabs>
          <w:tab w:val="left" w:pos="2300"/>
        </w:tabs>
        <w:ind w:left="660"/>
        <w:rPr>
          <w:sz w:val="20"/>
          <w:szCs w:val="20"/>
        </w:rPr>
      </w:pPr>
      <w:r>
        <w:rPr>
          <w:rFonts w:ascii="Arial" w:eastAsia="Arial" w:hAnsi="Arial" w:cs="Arial"/>
        </w:rPr>
        <w:t>Section 3.01.</w:t>
      </w:r>
      <w:r>
        <w:rPr>
          <w:sz w:val="20"/>
          <w:szCs w:val="20"/>
        </w:rPr>
        <w:tab/>
      </w:r>
      <w:r>
        <w:rPr>
          <w:rFonts w:ascii="Arial" w:eastAsia="Arial" w:hAnsi="Arial" w:cs="Arial"/>
          <w:i/>
          <w:iCs/>
          <w:sz w:val="19"/>
          <w:szCs w:val="19"/>
        </w:rPr>
        <w:t>Fees for Services</w:t>
      </w:r>
      <w:r>
        <w:rPr>
          <w:rFonts w:ascii="Arial" w:eastAsia="Arial" w:hAnsi="Arial" w:cs="Arial"/>
          <w:sz w:val="19"/>
          <w:szCs w:val="19"/>
        </w:rPr>
        <w:t>.</w:t>
      </w:r>
    </w:p>
    <w:p w14:paraId="5A77D1A5" w14:textId="77777777" w:rsidR="00D1587D" w:rsidRDefault="00D1587D">
      <w:pPr>
        <w:spacing w:line="233" w:lineRule="exact"/>
        <w:rPr>
          <w:sz w:val="20"/>
          <w:szCs w:val="20"/>
        </w:rPr>
      </w:pPr>
    </w:p>
    <w:p w14:paraId="41B29337" w14:textId="77777777" w:rsidR="00D1587D" w:rsidRDefault="00410D07">
      <w:pPr>
        <w:numPr>
          <w:ilvl w:val="0"/>
          <w:numId w:val="85"/>
        </w:numPr>
        <w:tabs>
          <w:tab w:val="left" w:pos="1428"/>
        </w:tabs>
        <w:spacing w:line="274" w:lineRule="auto"/>
        <w:ind w:right="140" w:firstLine="656"/>
        <w:rPr>
          <w:rFonts w:ascii="Arial" w:eastAsia="Arial" w:hAnsi="Arial" w:cs="Arial"/>
          <w:sz w:val="21"/>
          <w:szCs w:val="21"/>
        </w:rPr>
      </w:pPr>
      <w:r>
        <w:rPr>
          <w:rFonts w:ascii="Arial" w:eastAsia="Arial" w:hAnsi="Arial" w:cs="Arial"/>
          <w:sz w:val="21"/>
          <w:szCs w:val="21"/>
        </w:rPr>
        <w:t xml:space="preserve">In consideration for the Services provided under this Agreement, L Brands shall pay to Service </w:t>
      </w:r>
      <w:r>
        <w:rPr>
          <w:rFonts w:ascii="Arial" w:eastAsia="Arial" w:hAnsi="Arial" w:cs="Arial"/>
          <w:sz w:val="21"/>
          <w:szCs w:val="21"/>
        </w:rPr>
        <w:t>Provider (or the Service Provider Party designated by Service Provider) the fees for each Service, as calculated below.</w:t>
      </w:r>
    </w:p>
    <w:p w14:paraId="7AC66A83" w14:textId="77777777" w:rsidR="00D1587D" w:rsidRDefault="00D1587D">
      <w:pPr>
        <w:spacing w:line="177" w:lineRule="exact"/>
        <w:rPr>
          <w:rFonts w:ascii="Arial" w:eastAsia="Arial" w:hAnsi="Arial" w:cs="Arial"/>
          <w:sz w:val="21"/>
          <w:szCs w:val="21"/>
        </w:rPr>
      </w:pPr>
    </w:p>
    <w:p w14:paraId="28F11303" w14:textId="77777777" w:rsidR="00D1587D" w:rsidRDefault="00410D07">
      <w:pPr>
        <w:numPr>
          <w:ilvl w:val="0"/>
          <w:numId w:val="85"/>
        </w:numPr>
        <w:tabs>
          <w:tab w:val="left" w:pos="1440"/>
        </w:tabs>
        <w:spacing w:line="273" w:lineRule="auto"/>
        <w:ind w:right="20" w:firstLine="656"/>
        <w:rPr>
          <w:rFonts w:ascii="Arial" w:eastAsia="Arial" w:hAnsi="Arial" w:cs="Arial"/>
          <w:sz w:val="19"/>
          <w:szCs w:val="19"/>
        </w:rPr>
      </w:pPr>
      <w:r>
        <w:rPr>
          <w:rFonts w:ascii="Arial" w:eastAsia="Arial" w:hAnsi="Arial" w:cs="Arial"/>
          <w:sz w:val="19"/>
          <w:szCs w:val="19"/>
        </w:rPr>
        <w:t>Each Service Schedule indicates, with respect to each Service listed therein, whether the costs to be charged to the Service Recipients</w:t>
      </w:r>
      <w:r>
        <w:rPr>
          <w:rFonts w:ascii="Arial" w:eastAsia="Arial" w:hAnsi="Arial" w:cs="Arial"/>
          <w:sz w:val="19"/>
          <w:szCs w:val="19"/>
        </w:rPr>
        <w:t xml:space="preserve"> for such Service are determined by (i) the customary billing method described in Section 3.02 (“</w:t>
      </w:r>
      <w:r>
        <w:rPr>
          <w:rFonts w:ascii="Arial" w:eastAsia="Arial" w:hAnsi="Arial" w:cs="Arial"/>
          <w:b/>
          <w:bCs/>
          <w:sz w:val="19"/>
          <w:szCs w:val="19"/>
        </w:rPr>
        <w:t>Customary Billing</w:t>
      </w:r>
      <w:r>
        <w:rPr>
          <w:rFonts w:ascii="Arial" w:eastAsia="Arial" w:hAnsi="Arial" w:cs="Arial"/>
          <w:sz w:val="19"/>
          <w:szCs w:val="19"/>
        </w:rPr>
        <w:t>”), (ii) the pass-through billing method described in Section 3.03 (“</w:t>
      </w:r>
      <w:r>
        <w:rPr>
          <w:rFonts w:ascii="Arial" w:eastAsia="Arial" w:hAnsi="Arial" w:cs="Arial"/>
          <w:b/>
          <w:bCs/>
          <w:sz w:val="19"/>
          <w:szCs w:val="19"/>
        </w:rPr>
        <w:t>Pass-Through Billing</w:t>
      </w:r>
      <w:r>
        <w:rPr>
          <w:rFonts w:ascii="Arial" w:eastAsia="Arial" w:hAnsi="Arial" w:cs="Arial"/>
          <w:sz w:val="19"/>
          <w:szCs w:val="19"/>
        </w:rPr>
        <w:t>”), (iii) the percentage of net sales method describe</w:t>
      </w:r>
      <w:r>
        <w:rPr>
          <w:rFonts w:ascii="Arial" w:eastAsia="Arial" w:hAnsi="Arial" w:cs="Arial"/>
          <w:sz w:val="19"/>
          <w:szCs w:val="19"/>
        </w:rPr>
        <w:t>d in Section 3.04 (“</w:t>
      </w:r>
      <w:r>
        <w:rPr>
          <w:rFonts w:ascii="Arial" w:eastAsia="Arial" w:hAnsi="Arial" w:cs="Arial"/>
          <w:b/>
          <w:bCs/>
          <w:sz w:val="19"/>
          <w:szCs w:val="19"/>
        </w:rPr>
        <w:t>Percent of Sales Billing</w:t>
      </w:r>
      <w:r>
        <w:rPr>
          <w:rFonts w:ascii="Arial" w:eastAsia="Arial" w:hAnsi="Arial" w:cs="Arial"/>
          <w:sz w:val="19"/>
          <w:szCs w:val="19"/>
        </w:rPr>
        <w:t>”), (iv) the fixed fee method described in Section 3.05 (“</w:t>
      </w:r>
      <w:r>
        <w:rPr>
          <w:rFonts w:ascii="Arial" w:eastAsia="Arial" w:hAnsi="Arial" w:cs="Arial"/>
          <w:b/>
          <w:bCs/>
          <w:sz w:val="19"/>
          <w:szCs w:val="19"/>
        </w:rPr>
        <w:t>Fixed Fee Billing</w:t>
      </w:r>
      <w:r>
        <w:rPr>
          <w:rFonts w:ascii="Arial" w:eastAsia="Arial" w:hAnsi="Arial" w:cs="Arial"/>
          <w:sz w:val="19"/>
          <w:szCs w:val="19"/>
        </w:rPr>
        <w:t>”), (v) a specific billing method to be mutually agreed upon by the applicable Service Recipients and Service Provider (“</w:t>
      </w:r>
      <w:r>
        <w:rPr>
          <w:rFonts w:ascii="Arial" w:eastAsia="Arial" w:hAnsi="Arial" w:cs="Arial"/>
          <w:b/>
          <w:bCs/>
          <w:sz w:val="19"/>
          <w:szCs w:val="19"/>
        </w:rPr>
        <w:t xml:space="preserve">Specific </w:t>
      </w:r>
      <w:r>
        <w:rPr>
          <w:rFonts w:ascii="Arial" w:eastAsia="Arial" w:hAnsi="Arial" w:cs="Arial"/>
          <w:b/>
          <w:bCs/>
          <w:sz w:val="19"/>
          <w:szCs w:val="19"/>
        </w:rPr>
        <w:t>Billing</w:t>
      </w:r>
      <w:r>
        <w:rPr>
          <w:rFonts w:ascii="Arial" w:eastAsia="Arial" w:hAnsi="Arial" w:cs="Arial"/>
          <w:sz w:val="19"/>
          <w:szCs w:val="19"/>
        </w:rPr>
        <w:t xml:space="preserve">”) or (vi) some combination thereof. The amounts calculated by the Service Provider pursuant to the Customary Billing, Pass-Through Billing, Percent of Sales Billing, Fixed Fee Billing and Specific Billing methods applicable to Services provided to </w:t>
      </w:r>
      <w:r>
        <w:rPr>
          <w:rFonts w:ascii="Arial" w:eastAsia="Arial" w:hAnsi="Arial" w:cs="Arial"/>
          <w:sz w:val="19"/>
          <w:szCs w:val="19"/>
        </w:rPr>
        <w:t>the Service Recipients and charged to the Service Recipients as provided herein, together with any and all Disengagement Costs incurred in connection with the provision of any and all Disengagement Services, are collectively referred to herein as the “Serv</w:t>
      </w:r>
      <w:r>
        <w:rPr>
          <w:rFonts w:ascii="Arial" w:eastAsia="Arial" w:hAnsi="Arial" w:cs="Arial"/>
          <w:sz w:val="19"/>
          <w:szCs w:val="19"/>
        </w:rPr>
        <w:t>ice Fees.”</w:t>
      </w:r>
    </w:p>
    <w:p w14:paraId="43731176" w14:textId="77777777" w:rsidR="00D1587D" w:rsidRDefault="00D1587D">
      <w:pPr>
        <w:spacing w:line="187" w:lineRule="exact"/>
        <w:rPr>
          <w:rFonts w:ascii="Arial" w:eastAsia="Arial" w:hAnsi="Arial" w:cs="Arial"/>
          <w:sz w:val="19"/>
          <w:szCs w:val="19"/>
        </w:rPr>
      </w:pPr>
    </w:p>
    <w:p w14:paraId="3071BEA0" w14:textId="77777777" w:rsidR="00D1587D" w:rsidRDefault="00410D07">
      <w:pPr>
        <w:numPr>
          <w:ilvl w:val="0"/>
          <w:numId w:val="85"/>
        </w:numPr>
        <w:tabs>
          <w:tab w:val="left" w:pos="1428"/>
        </w:tabs>
        <w:spacing w:line="272" w:lineRule="auto"/>
        <w:ind w:right="80" w:firstLine="656"/>
        <w:rPr>
          <w:rFonts w:ascii="Arial" w:eastAsia="Arial" w:hAnsi="Arial" w:cs="Arial"/>
          <w:sz w:val="19"/>
          <w:szCs w:val="19"/>
        </w:rPr>
      </w:pPr>
      <w:r>
        <w:rPr>
          <w:rFonts w:ascii="Arial" w:eastAsia="Arial" w:hAnsi="Arial" w:cs="Arial"/>
          <w:sz w:val="19"/>
          <w:szCs w:val="19"/>
        </w:rPr>
        <w:t>The Service Fees calculated pursuant to each of the specific billing methods described herein may include without limitation (and without duplication) one or more of the following costs: (i) direct (i.e., out-of-pocket) costs incurred by the Se</w:t>
      </w:r>
      <w:r>
        <w:rPr>
          <w:rFonts w:ascii="Arial" w:eastAsia="Arial" w:hAnsi="Arial" w:cs="Arial"/>
          <w:sz w:val="19"/>
          <w:szCs w:val="19"/>
        </w:rPr>
        <w:t xml:space="preserve">rvice Provider Parties in providing the Services, (ii) subject to the express terms of any applicable Service Schedule, a reasonably and fairly allocated portion of costs or expenses (including the allocable portion of the compensation, benefits and other </w:t>
      </w:r>
      <w:r>
        <w:rPr>
          <w:rFonts w:ascii="Arial" w:eastAsia="Arial" w:hAnsi="Arial" w:cs="Arial"/>
          <w:sz w:val="19"/>
          <w:szCs w:val="19"/>
        </w:rPr>
        <w:t>employment-related costs relating to the TSA Employees (including with respect to participation by such TSA Employees in any VS H&amp;W Plan (as defined in the Employee Matters Agreement)) and service-specific overhead costs and the costs of depreciation of ne</w:t>
      </w:r>
      <w:r>
        <w:rPr>
          <w:rFonts w:ascii="Arial" w:eastAsia="Arial" w:hAnsi="Arial" w:cs="Arial"/>
          <w:sz w:val="19"/>
          <w:szCs w:val="19"/>
        </w:rPr>
        <w:t>w and existing assets) incurred by one or more of the Service Provider Parties in providing services to one or more of the Service Provider and its Affiliates and the Service Recipients (each, an “</w:t>
      </w:r>
      <w:r>
        <w:rPr>
          <w:rFonts w:ascii="Arial" w:eastAsia="Arial" w:hAnsi="Arial" w:cs="Arial"/>
          <w:b/>
          <w:bCs/>
          <w:sz w:val="19"/>
          <w:szCs w:val="19"/>
        </w:rPr>
        <w:t>Allocated Cost</w:t>
      </w:r>
      <w:r>
        <w:rPr>
          <w:rFonts w:ascii="Arial" w:eastAsia="Arial" w:hAnsi="Arial" w:cs="Arial"/>
          <w:sz w:val="19"/>
          <w:szCs w:val="19"/>
        </w:rPr>
        <w:t>”), and (iii) third party costs, including bu</w:t>
      </w:r>
      <w:r>
        <w:rPr>
          <w:rFonts w:ascii="Arial" w:eastAsia="Arial" w:hAnsi="Arial" w:cs="Arial"/>
          <w:sz w:val="19"/>
          <w:szCs w:val="19"/>
        </w:rPr>
        <w:t>t not limited to Third Party Consent Costs, incurred by one or more of the Service Provider Parties in providing the Services (each of (i)-(iii), a “</w:t>
      </w:r>
      <w:r>
        <w:rPr>
          <w:rFonts w:ascii="Arial" w:eastAsia="Arial" w:hAnsi="Arial" w:cs="Arial"/>
          <w:b/>
          <w:bCs/>
          <w:sz w:val="19"/>
          <w:szCs w:val="19"/>
        </w:rPr>
        <w:t>Cost Component</w:t>
      </w:r>
      <w:r>
        <w:rPr>
          <w:rFonts w:ascii="Arial" w:eastAsia="Arial" w:hAnsi="Arial" w:cs="Arial"/>
          <w:sz w:val="19"/>
          <w:szCs w:val="19"/>
        </w:rPr>
        <w:t>,” and collectively, the “</w:t>
      </w:r>
      <w:r>
        <w:rPr>
          <w:rFonts w:ascii="Arial" w:eastAsia="Arial" w:hAnsi="Arial" w:cs="Arial"/>
          <w:b/>
          <w:bCs/>
          <w:sz w:val="19"/>
          <w:szCs w:val="19"/>
        </w:rPr>
        <w:t>Cost Components</w:t>
      </w:r>
      <w:r>
        <w:rPr>
          <w:rFonts w:ascii="Arial" w:eastAsia="Arial" w:hAnsi="Arial" w:cs="Arial"/>
          <w:sz w:val="19"/>
          <w:szCs w:val="19"/>
        </w:rPr>
        <w:t>”). To the extent expressly set forth in the Service</w:t>
      </w:r>
      <w:r>
        <w:rPr>
          <w:rFonts w:ascii="Arial" w:eastAsia="Arial" w:hAnsi="Arial" w:cs="Arial"/>
          <w:sz w:val="19"/>
          <w:szCs w:val="19"/>
        </w:rPr>
        <w:t xml:space="preserve"> Schedules, the Service Fees may include a cost-plus billing method based upon the aggregate costs incurred by Service Provider or its Affiliates relative to a particular Service plus a percentage of such costs in consideration of Service Provider’s or its</w:t>
      </w:r>
      <w:r>
        <w:rPr>
          <w:rFonts w:ascii="Arial" w:eastAsia="Arial" w:hAnsi="Arial" w:cs="Arial"/>
          <w:sz w:val="19"/>
          <w:szCs w:val="19"/>
        </w:rPr>
        <w:t xml:space="preserve"> Affiliates’ procurement and administration (“</w:t>
      </w:r>
      <w:r>
        <w:rPr>
          <w:rFonts w:ascii="Arial" w:eastAsia="Arial" w:hAnsi="Arial" w:cs="Arial"/>
          <w:b/>
          <w:bCs/>
          <w:sz w:val="19"/>
          <w:szCs w:val="19"/>
        </w:rPr>
        <w:t>Administrative Charge</w:t>
      </w:r>
      <w:r>
        <w:rPr>
          <w:rFonts w:ascii="Arial" w:eastAsia="Arial" w:hAnsi="Arial" w:cs="Arial"/>
          <w:sz w:val="19"/>
          <w:szCs w:val="19"/>
        </w:rPr>
        <w:t>”) of such Service.</w:t>
      </w:r>
    </w:p>
    <w:p w14:paraId="16AAC30A" w14:textId="77777777" w:rsidR="00D1587D" w:rsidRDefault="00D1587D">
      <w:pPr>
        <w:spacing w:line="361" w:lineRule="exact"/>
        <w:rPr>
          <w:sz w:val="20"/>
          <w:szCs w:val="20"/>
        </w:rPr>
      </w:pPr>
    </w:p>
    <w:p w14:paraId="300911FA" w14:textId="77777777" w:rsidR="00D1587D" w:rsidRDefault="00410D07">
      <w:pPr>
        <w:ind w:right="-19"/>
        <w:jc w:val="center"/>
        <w:rPr>
          <w:sz w:val="20"/>
          <w:szCs w:val="20"/>
        </w:rPr>
      </w:pPr>
      <w:r>
        <w:rPr>
          <w:rFonts w:ascii="Arial" w:eastAsia="Arial" w:hAnsi="Arial" w:cs="Arial"/>
          <w:sz w:val="14"/>
          <w:szCs w:val="14"/>
        </w:rPr>
        <w:t>8</w:t>
      </w:r>
    </w:p>
    <w:p w14:paraId="67037843" w14:textId="77777777" w:rsidR="00D1587D" w:rsidRDefault="00410D07">
      <w:pPr>
        <w:spacing w:line="20" w:lineRule="exact"/>
        <w:rPr>
          <w:sz w:val="20"/>
          <w:szCs w:val="20"/>
        </w:rPr>
      </w:pPr>
      <w:r>
        <w:rPr>
          <w:noProof/>
          <w:sz w:val="20"/>
          <w:szCs w:val="20"/>
        </w:rPr>
        <w:drawing>
          <wp:anchor distT="0" distB="0" distL="114300" distR="114300" simplePos="0" relativeHeight="251273216" behindDoc="1" locked="0" layoutInCell="0" allowOverlap="1" wp14:anchorId="7AC40347" wp14:editId="4CBEAE2F">
            <wp:simplePos x="0" y="0"/>
            <wp:positionH relativeFrom="column">
              <wp:posOffset>5080</wp:posOffset>
            </wp:positionH>
            <wp:positionV relativeFrom="paragraph">
              <wp:posOffset>38100</wp:posOffset>
            </wp:positionV>
            <wp:extent cx="7132320" cy="1714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B299762" w14:textId="77777777" w:rsidR="00D1587D" w:rsidRDefault="00D1587D">
      <w:pPr>
        <w:sectPr w:rsidR="00D1587D">
          <w:pgSz w:w="11900" w:h="16838"/>
          <w:pgMar w:top="604" w:right="359" w:bottom="1440" w:left="320" w:header="0" w:footer="0" w:gutter="0"/>
          <w:cols w:space="720" w:equalWidth="0">
            <w:col w:w="11220"/>
          </w:cols>
        </w:sectPr>
      </w:pPr>
    </w:p>
    <w:p w14:paraId="55A13370" w14:textId="77777777" w:rsidR="00D1587D" w:rsidRDefault="00410D07">
      <w:pPr>
        <w:numPr>
          <w:ilvl w:val="0"/>
          <w:numId w:val="86"/>
        </w:numPr>
        <w:tabs>
          <w:tab w:val="left" w:pos="1440"/>
        </w:tabs>
        <w:spacing w:line="244" w:lineRule="auto"/>
        <w:ind w:right="40" w:firstLine="656"/>
        <w:rPr>
          <w:rFonts w:ascii="Arial" w:eastAsia="Arial" w:hAnsi="Arial" w:cs="Arial"/>
          <w:sz w:val="21"/>
          <w:szCs w:val="21"/>
        </w:rPr>
      </w:pPr>
      <w:bookmarkStart w:id="122" w:name="page123"/>
      <w:bookmarkEnd w:id="122"/>
      <w:r>
        <w:rPr>
          <w:rFonts w:ascii="Arial" w:eastAsia="Arial" w:hAnsi="Arial" w:cs="Arial"/>
          <w:sz w:val="21"/>
          <w:szCs w:val="21"/>
        </w:rPr>
        <w:t>The parties hereto intend and agree that this Agreement provides for the orderly and efficient separation of the L Brands Business from the VS B</w:t>
      </w:r>
      <w:r>
        <w:rPr>
          <w:rFonts w:ascii="Arial" w:eastAsia="Arial" w:hAnsi="Arial" w:cs="Arial"/>
          <w:sz w:val="21"/>
          <w:szCs w:val="21"/>
        </w:rPr>
        <w:t>usiness following the Distribution Time and that the methods of calculation of the Service Fees hereunder shall permit the Service Provider (or its Affiliates, if so designated) to receive full reimbursement for all overhead, administrative and supervisory</w:t>
      </w:r>
      <w:r>
        <w:rPr>
          <w:rFonts w:ascii="Arial" w:eastAsia="Arial" w:hAnsi="Arial" w:cs="Arial"/>
          <w:sz w:val="21"/>
          <w:szCs w:val="21"/>
        </w:rPr>
        <w:t xml:space="preserve"> costs and expenses incurred directly or indirectly by the Service Provider Parties in connection with the provision of the Services consistent with the manner in which the Service Provider Party charges and/or receives reimbursement from its Affiliates fr</w:t>
      </w:r>
      <w:r>
        <w:rPr>
          <w:rFonts w:ascii="Arial" w:eastAsia="Arial" w:hAnsi="Arial" w:cs="Arial"/>
          <w:sz w:val="21"/>
          <w:szCs w:val="21"/>
        </w:rPr>
        <w:t>om time to time (including one or more of the Cost Components, together with any other amounts agreed to by the parties hereto) as provided in the applicable Service Schedule or as otherwise agreed by the parties hereto. It is further understood and agreed</w:t>
      </w:r>
      <w:r>
        <w:rPr>
          <w:rFonts w:ascii="Arial" w:eastAsia="Arial" w:hAnsi="Arial" w:cs="Arial"/>
          <w:sz w:val="21"/>
          <w:szCs w:val="21"/>
        </w:rPr>
        <w:t xml:space="preserve"> that when any Service Fees for Services hereunder are to be determined or agreed upon by Service Provider and L Brands (whether before or after the Distribution Time), such Service Fees shall, except as otherwise set forth in this Agreement, in all events</w:t>
      </w:r>
      <w:r>
        <w:rPr>
          <w:rFonts w:ascii="Arial" w:eastAsia="Arial" w:hAnsi="Arial" w:cs="Arial"/>
          <w:sz w:val="21"/>
          <w:szCs w:val="21"/>
        </w:rPr>
        <w:t xml:space="preserve"> include all pertinent Cost Components and any other amounts therefor mutually agreed to by the parties hereto, including any Administrative Charge to the extent expressly set forth in the Service Schedule.</w:t>
      </w:r>
    </w:p>
    <w:p w14:paraId="243F294E" w14:textId="77777777" w:rsidR="00D1587D" w:rsidRDefault="00D1587D">
      <w:pPr>
        <w:spacing w:line="213" w:lineRule="exact"/>
        <w:rPr>
          <w:sz w:val="20"/>
          <w:szCs w:val="20"/>
        </w:rPr>
      </w:pPr>
    </w:p>
    <w:p w14:paraId="2620521B" w14:textId="77777777" w:rsidR="00D1587D" w:rsidRDefault="00410D07">
      <w:pPr>
        <w:spacing w:line="244" w:lineRule="auto"/>
        <w:ind w:firstLine="648"/>
        <w:rPr>
          <w:sz w:val="20"/>
          <w:szCs w:val="20"/>
        </w:rPr>
      </w:pPr>
      <w:r>
        <w:rPr>
          <w:rFonts w:ascii="Arial" w:eastAsia="Arial" w:hAnsi="Arial" w:cs="Arial"/>
          <w:sz w:val="21"/>
          <w:szCs w:val="21"/>
        </w:rPr>
        <w:t xml:space="preserve">Section 3.02. </w:t>
      </w:r>
      <w:r>
        <w:rPr>
          <w:rFonts w:ascii="Arial" w:eastAsia="Arial" w:hAnsi="Arial" w:cs="Arial"/>
          <w:i/>
          <w:iCs/>
          <w:sz w:val="21"/>
          <w:szCs w:val="21"/>
        </w:rPr>
        <w:t>Customary Billing</w:t>
      </w:r>
      <w:r>
        <w:rPr>
          <w:rFonts w:ascii="Arial" w:eastAsia="Arial" w:hAnsi="Arial" w:cs="Arial"/>
          <w:sz w:val="21"/>
          <w:szCs w:val="21"/>
        </w:rPr>
        <w:t>. The Service Fee</w:t>
      </w:r>
      <w:r>
        <w:rPr>
          <w:rFonts w:ascii="Arial" w:eastAsia="Arial" w:hAnsi="Arial" w:cs="Arial"/>
          <w:sz w:val="21"/>
          <w:szCs w:val="21"/>
        </w:rPr>
        <w:t>s to which the Customary Billing method applies shall, subject to Section 3.01(c) and (d), be calculated on a basis that is substantially equivalent to the basis on which costs are attributed (whether through direct or indirect charges, allocations or othe</w:t>
      </w:r>
      <w:r>
        <w:rPr>
          <w:rFonts w:ascii="Arial" w:eastAsia="Arial" w:hAnsi="Arial" w:cs="Arial"/>
          <w:sz w:val="21"/>
          <w:szCs w:val="21"/>
        </w:rPr>
        <w:t>rwise) from time to time, now or in the future, to other companies or businesses operated by Service Provider for the same or comparable services (including one or more of the Cost Components); provided, that (i) in respect of any particular Services, if S</w:t>
      </w:r>
      <w:r>
        <w:rPr>
          <w:rFonts w:ascii="Arial" w:eastAsia="Arial" w:hAnsi="Arial" w:cs="Arial"/>
          <w:sz w:val="21"/>
          <w:szCs w:val="21"/>
        </w:rPr>
        <w:t>ervice Provider does not generally attribute costs associated with the same or comparable services to other companies or businesses operated by Service Provider as provided above, then the Customary Billing method for such Services shall be equivalent to t</w:t>
      </w:r>
      <w:r>
        <w:rPr>
          <w:rFonts w:ascii="Arial" w:eastAsia="Arial" w:hAnsi="Arial" w:cs="Arial"/>
          <w:sz w:val="21"/>
          <w:szCs w:val="21"/>
        </w:rPr>
        <w:t>he market value of all Services provided by Service Provider personnel and other Persons (including all Cost Components) which are reasonably allocable to the provision of such Services to the Service Recipients and (ii) if Service Provider provides financ</w:t>
      </w:r>
      <w:r>
        <w:rPr>
          <w:rFonts w:ascii="Arial" w:eastAsia="Arial" w:hAnsi="Arial" w:cs="Arial"/>
          <w:sz w:val="21"/>
          <w:szCs w:val="21"/>
        </w:rPr>
        <w:t>ial relief from time to time to any companies or businesses operated by Service Provider with respect to any costs, fees, expenses and/or allocations that are otherwise generally allocated to or paid by companies or businesses operated by Service Provider,</w:t>
      </w:r>
      <w:r>
        <w:rPr>
          <w:rFonts w:ascii="Arial" w:eastAsia="Arial" w:hAnsi="Arial" w:cs="Arial"/>
          <w:sz w:val="21"/>
          <w:szCs w:val="21"/>
        </w:rPr>
        <w:t xml:space="preserve"> the Service Recipients shall not be entitled to the same financial relief.</w:t>
      </w:r>
    </w:p>
    <w:p w14:paraId="40FA9533" w14:textId="77777777" w:rsidR="00D1587D" w:rsidRDefault="00D1587D">
      <w:pPr>
        <w:spacing w:line="213" w:lineRule="exact"/>
        <w:rPr>
          <w:sz w:val="20"/>
          <w:szCs w:val="20"/>
        </w:rPr>
      </w:pPr>
    </w:p>
    <w:p w14:paraId="683A92A0" w14:textId="77777777" w:rsidR="00D1587D" w:rsidRDefault="00410D07">
      <w:pPr>
        <w:spacing w:line="238" w:lineRule="auto"/>
        <w:ind w:right="100" w:firstLine="648"/>
        <w:rPr>
          <w:sz w:val="20"/>
          <w:szCs w:val="20"/>
        </w:rPr>
      </w:pPr>
      <w:r>
        <w:rPr>
          <w:rFonts w:ascii="Arial" w:eastAsia="Arial" w:hAnsi="Arial" w:cs="Arial"/>
        </w:rPr>
        <w:t xml:space="preserve">Section 3.03. </w:t>
      </w:r>
      <w:r>
        <w:rPr>
          <w:rFonts w:ascii="Arial" w:eastAsia="Arial" w:hAnsi="Arial" w:cs="Arial"/>
          <w:i/>
          <w:iCs/>
        </w:rPr>
        <w:t>Pass-Through Billing</w:t>
      </w:r>
      <w:r>
        <w:rPr>
          <w:rFonts w:ascii="Arial" w:eastAsia="Arial" w:hAnsi="Arial" w:cs="Arial"/>
        </w:rPr>
        <w:t xml:space="preserve">. The costs of Services to which the Pass-Through Billing method applies shall, subject to Section 3.01(c) and (d), be equal to the </w:t>
      </w:r>
      <w:r>
        <w:rPr>
          <w:rFonts w:ascii="Arial" w:eastAsia="Arial" w:hAnsi="Arial" w:cs="Arial"/>
        </w:rPr>
        <w:t>aggregate amount of the third-party costs and expenses incurred (which costs shall include but not be limited to adjustments for attributable rebates and Third Party Consent Costs) by any Service Provider Party on behalf of the Service Recipients.</w:t>
      </w:r>
    </w:p>
    <w:p w14:paraId="2A1800CF" w14:textId="77777777" w:rsidR="00D1587D" w:rsidRDefault="00D1587D">
      <w:pPr>
        <w:spacing w:line="212" w:lineRule="exact"/>
        <w:rPr>
          <w:sz w:val="20"/>
          <w:szCs w:val="20"/>
        </w:rPr>
      </w:pPr>
    </w:p>
    <w:p w14:paraId="75E3C243" w14:textId="77777777" w:rsidR="00D1587D" w:rsidRDefault="00410D07">
      <w:pPr>
        <w:spacing w:line="273" w:lineRule="auto"/>
        <w:ind w:right="40" w:firstLine="648"/>
        <w:rPr>
          <w:sz w:val="20"/>
          <w:szCs w:val="20"/>
        </w:rPr>
      </w:pPr>
      <w:r>
        <w:rPr>
          <w:rFonts w:ascii="Arial" w:eastAsia="Arial" w:hAnsi="Arial" w:cs="Arial"/>
          <w:sz w:val="19"/>
          <w:szCs w:val="19"/>
        </w:rPr>
        <w:t>Section</w:t>
      </w:r>
      <w:r>
        <w:rPr>
          <w:rFonts w:ascii="Arial" w:eastAsia="Arial" w:hAnsi="Arial" w:cs="Arial"/>
          <w:sz w:val="19"/>
          <w:szCs w:val="19"/>
        </w:rPr>
        <w:t xml:space="preserve"> 3.04. </w:t>
      </w:r>
      <w:r>
        <w:rPr>
          <w:rFonts w:ascii="Arial" w:eastAsia="Arial" w:hAnsi="Arial" w:cs="Arial"/>
          <w:i/>
          <w:iCs/>
          <w:sz w:val="19"/>
          <w:szCs w:val="19"/>
        </w:rPr>
        <w:t>Percent of Sales Billing</w:t>
      </w:r>
      <w:r>
        <w:rPr>
          <w:rFonts w:ascii="Arial" w:eastAsia="Arial" w:hAnsi="Arial" w:cs="Arial"/>
          <w:sz w:val="19"/>
          <w:szCs w:val="19"/>
        </w:rPr>
        <w:t xml:space="preserve">. The costs of Services to which the Percent-of-Sales Billing method applies shall, subject to Section 3.01(c) and (d), be equal to the amount obtained by multiplying (x) the aggregate cost incurred each month by the Service </w:t>
      </w:r>
      <w:r>
        <w:rPr>
          <w:rFonts w:ascii="Arial" w:eastAsia="Arial" w:hAnsi="Arial" w:cs="Arial"/>
          <w:sz w:val="19"/>
          <w:szCs w:val="19"/>
        </w:rPr>
        <w:t>Provider and its Affiliates in providing such Services to one or more businesses of Service Provider or its Affiliates and to all Service Recipients by (y) the Net Sales Ratio for such month. “</w:t>
      </w:r>
      <w:r>
        <w:rPr>
          <w:rFonts w:ascii="Arial" w:eastAsia="Arial" w:hAnsi="Arial" w:cs="Arial"/>
          <w:b/>
          <w:bCs/>
          <w:sz w:val="19"/>
          <w:szCs w:val="19"/>
        </w:rPr>
        <w:t>Net Sales Ratio</w:t>
      </w:r>
      <w:r>
        <w:rPr>
          <w:rFonts w:ascii="Arial" w:eastAsia="Arial" w:hAnsi="Arial" w:cs="Arial"/>
          <w:sz w:val="19"/>
          <w:szCs w:val="19"/>
        </w:rPr>
        <w:t xml:space="preserve">” means the net sales of the applicable Service </w:t>
      </w:r>
      <w:r>
        <w:rPr>
          <w:rFonts w:ascii="Arial" w:eastAsia="Arial" w:hAnsi="Arial" w:cs="Arial"/>
          <w:sz w:val="19"/>
          <w:szCs w:val="19"/>
        </w:rPr>
        <w:t>Recipients for a particular month divided by the aggregate net sales of all businesses of Service Provider, combined with (i) the net sales of the Service Recipient to which costs for such month are being allocated and (ii) the net sales of any Service Rec</w:t>
      </w:r>
      <w:r>
        <w:rPr>
          <w:rFonts w:ascii="Arial" w:eastAsia="Arial" w:hAnsi="Arial" w:cs="Arial"/>
          <w:sz w:val="19"/>
          <w:szCs w:val="19"/>
        </w:rPr>
        <w:t>ipient other than the Service Recipient identified in clause (i) receiving such Services to which costs for such month are being allocated. In order to permit Service Provider to calculate the billing method provided for in this Section 3.04 (and for no ot</w:t>
      </w:r>
      <w:r>
        <w:rPr>
          <w:rFonts w:ascii="Arial" w:eastAsia="Arial" w:hAnsi="Arial" w:cs="Arial"/>
          <w:sz w:val="19"/>
          <w:szCs w:val="19"/>
        </w:rPr>
        <w:t>her purpose), the applicable Service Recipient shall provide Service Provider with all reasonably necessary sales information not later than the close of business on the first Business Day immediately following such calendar month.</w:t>
      </w:r>
    </w:p>
    <w:p w14:paraId="3DA085F7" w14:textId="77777777" w:rsidR="00D1587D" w:rsidRDefault="00D1587D">
      <w:pPr>
        <w:spacing w:line="366" w:lineRule="exact"/>
        <w:rPr>
          <w:sz w:val="20"/>
          <w:szCs w:val="20"/>
        </w:rPr>
      </w:pPr>
    </w:p>
    <w:p w14:paraId="524037DC" w14:textId="77777777" w:rsidR="00D1587D" w:rsidRDefault="00410D07">
      <w:pPr>
        <w:ind w:right="-39"/>
        <w:jc w:val="center"/>
        <w:rPr>
          <w:sz w:val="20"/>
          <w:szCs w:val="20"/>
        </w:rPr>
      </w:pPr>
      <w:r>
        <w:rPr>
          <w:rFonts w:ascii="Arial" w:eastAsia="Arial" w:hAnsi="Arial" w:cs="Arial"/>
          <w:sz w:val="14"/>
          <w:szCs w:val="14"/>
        </w:rPr>
        <w:t>9</w:t>
      </w:r>
    </w:p>
    <w:p w14:paraId="04ABD8AE" w14:textId="77777777" w:rsidR="00D1587D" w:rsidRDefault="00410D07">
      <w:pPr>
        <w:spacing w:line="20" w:lineRule="exact"/>
        <w:rPr>
          <w:sz w:val="20"/>
          <w:szCs w:val="20"/>
        </w:rPr>
      </w:pPr>
      <w:r>
        <w:rPr>
          <w:noProof/>
          <w:sz w:val="20"/>
          <w:szCs w:val="20"/>
        </w:rPr>
        <w:drawing>
          <wp:anchor distT="0" distB="0" distL="114300" distR="114300" simplePos="0" relativeHeight="251274240" behindDoc="1" locked="0" layoutInCell="0" allowOverlap="1" wp14:anchorId="4A2D106C" wp14:editId="3DDBE6C9">
            <wp:simplePos x="0" y="0"/>
            <wp:positionH relativeFrom="column">
              <wp:posOffset>5080</wp:posOffset>
            </wp:positionH>
            <wp:positionV relativeFrom="paragraph">
              <wp:posOffset>38100</wp:posOffset>
            </wp:positionV>
            <wp:extent cx="7132320" cy="171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FA431F3" w14:textId="77777777" w:rsidR="00D1587D" w:rsidRDefault="00D1587D">
      <w:pPr>
        <w:sectPr w:rsidR="00D1587D">
          <w:pgSz w:w="11900" w:h="16838"/>
          <w:pgMar w:top="604" w:right="379" w:bottom="1440" w:left="320" w:header="0" w:footer="0" w:gutter="0"/>
          <w:cols w:space="720" w:equalWidth="0">
            <w:col w:w="11200"/>
          </w:cols>
        </w:sectPr>
      </w:pPr>
    </w:p>
    <w:p w14:paraId="691D0D98" w14:textId="77777777" w:rsidR="00D1587D" w:rsidRDefault="00410D07">
      <w:pPr>
        <w:spacing w:line="250" w:lineRule="auto"/>
        <w:ind w:right="160" w:firstLine="648"/>
        <w:rPr>
          <w:sz w:val="20"/>
          <w:szCs w:val="20"/>
        </w:rPr>
      </w:pPr>
      <w:bookmarkStart w:id="123" w:name="page124"/>
      <w:bookmarkEnd w:id="123"/>
      <w:r>
        <w:rPr>
          <w:rFonts w:ascii="Arial" w:eastAsia="Arial" w:hAnsi="Arial" w:cs="Arial"/>
        </w:rPr>
        <w:t xml:space="preserve">Section 3.05. </w:t>
      </w:r>
      <w:r>
        <w:rPr>
          <w:rFonts w:ascii="Arial" w:eastAsia="Arial" w:hAnsi="Arial" w:cs="Arial"/>
          <w:i/>
          <w:iCs/>
        </w:rPr>
        <w:t>Fixed Fee Billing</w:t>
      </w:r>
      <w:r>
        <w:rPr>
          <w:rFonts w:ascii="Arial" w:eastAsia="Arial" w:hAnsi="Arial" w:cs="Arial"/>
        </w:rPr>
        <w:t>. The cost of Services to which the Fixed Fee Billing method applies shall be in the amount set forth in the applicable Service Schedule.</w:t>
      </w:r>
    </w:p>
    <w:p w14:paraId="1A9F63A7" w14:textId="77777777" w:rsidR="00D1587D" w:rsidRDefault="00D1587D">
      <w:pPr>
        <w:spacing w:line="202" w:lineRule="exact"/>
        <w:rPr>
          <w:sz w:val="20"/>
          <w:szCs w:val="20"/>
        </w:rPr>
      </w:pPr>
    </w:p>
    <w:p w14:paraId="6FBEB291" w14:textId="77777777" w:rsidR="00D1587D" w:rsidRDefault="00410D07">
      <w:pPr>
        <w:spacing w:line="271" w:lineRule="auto"/>
        <w:ind w:right="140" w:firstLine="648"/>
        <w:rPr>
          <w:sz w:val="20"/>
          <w:szCs w:val="20"/>
        </w:rPr>
      </w:pPr>
      <w:r>
        <w:rPr>
          <w:rFonts w:ascii="Arial" w:eastAsia="Arial" w:hAnsi="Arial" w:cs="Arial"/>
          <w:sz w:val="19"/>
          <w:szCs w:val="19"/>
        </w:rPr>
        <w:t xml:space="preserve">Section 3.06. </w:t>
      </w:r>
      <w:r>
        <w:rPr>
          <w:rFonts w:ascii="Arial" w:eastAsia="Arial" w:hAnsi="Arial" w:cs="Arial"/>
          <w:i/>
          <w:iCs/>
          <w:sz w:val="19"/>
          <w:szCs w:val="19"/>
        </w:rPr>
        <w:t>Invoicing of Fees</w:t>
      </w:r>
      <w:r>
        <w:rPr>
          <w:rFonts w:ascii="Arial" w:eastAsia="Arial" w:hAnsi="Arial" w:cs="Arial"/>
          <w:sz w:val="19"/>
          <w:szCs w:val="19"/>
        </w:rPr>
        <w:t>. (a) Service Provider shall invoice, or shall cause t</w:t>
      </w:r>
      <w:r>
        <w:rPr>
          <w:rFonts w:ascii="Arial" w:eastAsia="Arial" w:hAnsi="Arial" w:cs="Arial"/>
          <w:sz w:val="19"/>
          <w:szCs w:val="19"/>
        </w:rPr>
        <w:t>he applicable Service Provider Party to invoice, L Brands on a monthly basis (not later than the fifteenth day of the following month), for the Service Costs and any applicable Disengagement Costs incurred in the prior month, including reasonable supportin</w:t>
      </w:r>
      <w:r>
        <w:rPr>
          <w:rFonts w:ascii="Arial" w:eastAsia="Arial" w:hAnsi="Arial" w:cs="Arial"/>
          <w:sz w:val="19"/>
          <w:szCs w:val="19"/>
        </w:rPr>
        <w:t>g data. Service Provider shall use its commercially reasonable efforts to cause invoices to be presented to L Brands on the schedule set forth in this Section</w:t>
      </w:r>
    </w:p>
    <w:p w14:paraId="01D547A9" w14:textId="77777777" w:rsidR="00D1587D" w:rsidRDefault="00D1587D">
      <w:pPr>
        <w:spacing w:line="3" w:lineRule="exact"/>
        <w:rPr>
          <w:sz w:val="20"/>
          <w:szCs w:val="20"/>
        </w:rPr>
      </w:pPr>
    </w:p>
    <w:p w14:paraId="6E2ACFEB" w14:textId="77777777" w:rsidR="00D1587D" w:rsidRDefault="00410D07">
      <w:pPr>
        <w:spacing w:line="236" w:lineRule="auto"/>
        <w:ind w:right="400"/>
        <w:rPr>
          <w:sz w:val="20"/>
          <w:szCs w:val="20"/>
        </w:rPr>
      </w:pPr>
      <w:r>
        <w:rPr>
          <w:rFonts w:ascii="Arial" w:eastAsia="Arial" w:hAnsi="Arial" w:cs="Arial"/>
        </w:rPr>
        <w:t>3.06, but no delay in presentation of an invoice shall affect L Brands’ obligation to pay the fu</w:t>
      </w:r>
      <w:r>
        <w:rPr>
          <w:rFonts w:ascii="Arial" w:eastAsia="Arial" w:hAnsi="Arial" w:cs="Arial"/>
        </w:rPr>
        <w:t>ll amount of such invoice, when presented, on the terms set forth herein.</w:t>
      </w:r>
    </w:p>
    <w:p w14:paraId="7B776D0C" w14:textId="77777777" w:rsidR="00D1587D" w:rsidRDefault="00D1587D">
      <w:pPr>
        <w:spacing w:line="214" w:lineRule="exact"/>
        <w:rPr>
          <w:sz w:val="20"/>
          <w:szCs w:val="20"/>
        </w:rPr>
      </w:pPr>
    </w:p>
    <w:p w14:paraId="2F9F4DE3" w14:textId="77777777" w:rsidR="00D1587D" w:rsidRDefault="00410D07">
      <w:pPr>
        <w:numPr>
          <w:ilvl w:val="0"/>
          <w:numId w:val="87"/>
        </w:numPr>
        <w:tabs>
          <w:tab w:val="left" w:pos="1440"/>
        </w:tabs>
        <w:spacing w:line="238" w:lineRule="auto"/>
        <w:ind w:right="160" w:firstLine="656"/>
        <w:rPr>
          <w:rFonts w:ascii="Arial" w:eastAsia="Arial" w:hAnsi="Arial" w:cs="Arial"/>
        </w:rPr>
      </w:pPr>
      <w:r>
        <w:rPr>
          <w:rFonts w:ascii="Arial" w:eastAsia="Arial" w:hAnsi="Arial" w:cs="Arial"/>
        </w:rPr>
        <w:t>Except as specifically provided on the applicable Service Schedule, L Brands shall pay, or shall cause to be paid, each invoice delivered pursuant to Section 3.06(a) on or before th</w:t>
      </w:r>
      <w:r>
        <w:rPr>
          <w:rFonts w:ascii="Arial" w:eastAsia="Arial" w:hAnsi="Arial" w:cs="Arial"/>
        </w:rPr>
        <w:t>e date (each, a “</w:t>
      </w:r>
      <w:r>
        <w:rPr>
          <w:rFonts w:ascii="Arial" w:eastAsia="Arial" w:hAnsi="Arial" w:cs="Arial"/>
          <w:b/>
          <w:bCs/>
        </w:rPr>
        <w:t>Payment Date</w:t>
      </w:r>
      <w:r>
        <w:rPr>
          <w:rFonts w:ascii="Arial" w:eastAsia="Arial" w:hAnsi="Arial" w:cs="Arial"/>
        </w:rPr>
        <w:t>”) that is 30 days after the date of receipt of such invoice. Such payments shall be made by wire transfer of immediately available funds to an account designated by Service Provider.</w:t>
      </w:r>
    </w:p>
    <w:p w14:paraId="0D7BBFEE" w14:textId="77777777" w:rsidR="00D1587D" w:rsidRDefault="00D1587D">
      <w:pPr>
        <w:spacing w:line="211" w:lineRule="exact"/>
        <w:rPr>
          <w:rFonts w:ascii="Arial" w:eastAsia="Arial" w:hAnsi="Arial" w:cs="Arial"/>
        </w:rPr>
      </w:pPr>
    </w:p>
    <w:p w14:paraId="5F7EC55B" w14:textId="77777777" w:rsidR="00D1587D" w:rsidRDefault="00410D07">
      <w:pPr>
        <w:numPr>
          <w:ilvl w:val="0"/>
          <w:numId w:val="87"/>
        </w:numPr>
        <w:tabs>
          <w:tab w:val="left" w:pos="1428"/>
        </w:tabs>
        <w:spacing w:line="245" w:lineRule="auto"/>
        <w:ind w:firstLine="656"/>
        <w:rPr>
          <w:rFonts w:ascii="Arial" w:eastAsia="Arial" w:hAnsi="Arial" w:cs="Arial"/>
          <w:sz w:val="21"/>
          <w:szCs w:val="21"/>
        </w:rPr>
      </w:pPr>
      <w:r>
        <w:rPr>
          <w:rFonts w:ascii="Arial" w:eastAsia="Arial" w:hAnsi="Arial" w:cs="Arial"/>
          <w:sz w:val="21"/>
          <w:szCs w:val="21"/>
        </w:rPr>
        <w:t xml:space="preserve">If L Brands fails to pay the full </w:t>
      </w:r>
      <w:r>
        <w:rPr>
          <w:rFonts w:ascii="Arial" w:eastAsia="Arial" w:hAnsi="Arial" w:cs="Arial"/>
          <w:sz w:val="21"/>
          <w:szCs w:val="21"/>
        </w:rPr>
        <w:t xml:space="preserve">amount of any invoice under this Agreement within 15 days of the applicable Payment Date, L Brands shall be obligated to pay, in addition to the amount due on such Payment Date, interest on such amount at the rate of 12% per annum, compounded monthly from </w:t>
      </w:r>
      <w:r>
        <w:rPr>
          <w:rFonts w:ascii="Arial" w:eastAsia="Arial" w:hAnsi="Arial" w:cs="Arial"/>
          <w:sz w:val="21"/>
          <w:szCs w:val="21"/>
        </w:rPr>
        <w:t>the applicable Payment Date through the date of payment; provided that such interest rate shall not exceed the maximum rate permitted by Applicable Law. All payments made shall be applied first to unpaid interest and then to amounts invoiced but unpaid. If</w:t>
      </w:r>
      <w:r>
        <w:rPr>
          <w:rFonts w:ascii="Arial" w:eastAsia="Arial" w:hAnsi="Arial" w:cs="Arial"/>
          <w:sz w:val="21"/>
          <w:szCs w:val="21"/>
        </w:rPr>
        <w:t xml:space="preserve"> L Brands fails to pay the full amount of any invoice within 30 days of the applicable Payment Date, such failure shall be considered a material breach of this Agreement, and to the extent the aggregate amount of such overdue unpaid invoices exceeds $1,000</w:t>
      </w:r>
      <w:r>
        <w:rPr>
          <w:rFonts w:ascii="Arial" w:eastAsia="Arial" w:hAnsi="Arial" w:cs="Arial"/>
          <w:sz w:val="21"/>
          <w:szCs w:val="21"/>
        </w:rPr>
        <w:t>,000, Service Provider may, after 10 days’ prior notice to L Brands, elect to suspend, without liability, its obligations hereunder to cause to be provided any or all Services to L Brands until such time as such invoices have been paid in full.</w:t>
      </w:r>
    </w:p>
    <w:p w14:paraId="1D66213B" w14:textId="77777777" w:rsidR="00D1587D" w:rsidRDefault="00D1587D">
      <w:pPr>
        <w:spacing w:line="211" w:lineRule="exact"/>
        <w:rPr>
          <w:rFonts w:ascii="Arial" w:eastAsia="Arial" w:hAnsi="Arial" w:cs="Arial"/>
          <w:sz w:val="21"/>
          <w:szCs w:val="21"/>
        </w:rPr>
      </w:pPr>
    </w:p>
    <w:p w14:paraId="7215A0DC" w14:textId="77777777" w:rsidR="00D1587D" w:rsidRDefault="00410D07">
      <w:pPr>
        <w:numPr>
          <w:ilvl w:val="0"/>
          <w:numId w:val="87"/>
        </w:numPr>
        <w:tabs>
          <w:tab w:val="left" w:pos="1440"/>
        </w:tabs>
        <w:spacing w:line="235" w:lineRule="auto"/>
        <w:ind w:firstLine="656"/>
        <w:rPr>
          <w:rFonts w:ascii="Arial" w:eastAsia="Arial" w:hAnsi="Arial" w:cs="Arial"/>
        </w:rPr>
      </w:pPr>
      <w:r>
        <w:rPr>
          <w:rFonts w:ascii="Arial" w:eastAsia="Arial" w:hAnsi="Arial" w:cs="Arial"/>
        </w:rPr>
        <w:t>If any Ser</w:t>
      </w:r>
      <w:r>
        <w:rPr>
          <w:rFonts w:ascii="Arial" w:eastAsia="Arial" w:hAnsi="Arial" w:cs="Arial"/>
        </w:rPr>
        <w:t>vice requires any Service Provider Party to make any payment to any third party on behalf of any Service Recipient or any of its Affiliates, L Brands shall deposit, by wire transfer of immediately available funds to an account designated by Service Provide</w:t>
      </w:r>
      <w:r>
        <w:rPr>
          <w:rFonts w:ascii="Arial" w:eastAsia="Arial" w:hAnsi="Arial" w:cs="Arial"/>
        </w:rPr>
        <w:t>r, the amount of such payment at least one Business Day prior to the date on which such payment is to be made; provided that, notwithstanding anything to the contrary in this Agreement, Service Provider shall have no obligation to cause any such payment to</w:t>
      </w:r>
      <w:r>
        <w:rPr>
          <w:rFonts w:ascii="Arial" w:eastAsia="Arial" w:hAnsi="Arial" w:cs="Arial"/>
        </w:rPr>
        <w:t xml:space="preserve"> be made unless and until L Brands deposits the full amount of any such payment in accordance with this Section 3.06(d).</w:t>
      </w:r>
    </w:p>
    <w:p w14:paraId="42C8FC40" w14:textId="77777777" w:rsidR="00D1587D" w:rsidRDefault="00D1587D">
      <w:pPr>
        <w:spacing w:line="215" w:lineRule="exact"/>
        <w:rPr>
          <w:sz w:val="20"/>
          <w:szCs w:val="20"/>
        </w:rPr>
      </w:pPr>
    </w:p>
    <w:p w14:paraId="3382057B" w14:textId="77777777" w:rsidR="00D1587D" w:rsidRDefault="00410D07">
      <w:pPr>
        <w:spacing w:line="275" w:lineRule="auto"/>
        <w:ind w:firstLine="648"/>
        <w:rPr>
          <w:sz w:val="20"/>
          <w:szCs w:val="20"/>
        </w:rPr>
      </w:pPr>
      <w:r>
        <w:rPr>
          <w:rFonts w:ascii="Arial" w:eastAsia="Arial" w:hAnsi="Arial" w:cs="Arial"/>
          <w:sz w:val="19"/>
          <w:szCs w:val="19"/>
        </w:rPr>
        <w:t xml:space="preserve">Section 3.07. </w:t>
      </w:r>
      <w:r>
        <w:rPr>
          <w:rFonts w:ascii="Arial" w:eastAsia="Arial" w:hAnsi="Arial" w:cs="Arial"/>
          <w:i/>
          <w:iCs/>
          <w:sz w:val="19"/>
          <w:szCs w:val="19"/>
        </w:rPr>
        <w:t>Right to Set Off</w:t>
      </w:r>
      <w:r>
        <w:rPr>
          <w:rFonts w:ascii="Arial" w:eastAsia="Arial" w:hAnsi="Arial" w:cs="Arial"/>
          <w:sz w:val="19"/>
          <w:szCs w:val="19"/>
        </w:rPr>
        <w:t>. Notwithstanding anything in this Agreement or the L Brands to VS TSA to the contrary and without limit</w:t>
      </w:r>
      <w:r>
        <w:rPr>
          <w:rFonts w:ascii="Arial" w:eastAsia="Arial" w:hAnsi="Arial" w:cs="Arial"/>
          <w:sz w:val="19"/>
          <w:szCs w:val="19"/>
        </w:rPr>
        <w:t>ing any of L Brands’ or any of its Affiliates’ other remedies under contract or Applicable Law, L Brands shall have the right, but not the obligation, to set off any payments that are past due by Service Provider or any member of the VS Group under the L B</w:t>
      </w:r>
      <w:r>
        <w:rPr>
          <w:rFonts w:ascii="Arial" w:eastAsia="Arial" w:hAnsi="Arial" w:cs="Arial"/>
          <w:sz w:val="19"/>
          <w:szCs w:val="19"/>
        </w:rPr>
        <w:t>rands to VS TSA and not yet paid by Service Provider or any such VS Group member against any Service Fees that have become payable and not yet been paid by L Brands hereunder; provided that such set off amount shall be identified in reasonable detail in th</w:t>
      </w:r>
      <w:r>
        <w:rPr>
          <w:rFonts w:ascii="Arial" w:eastAsia="Arial" w:hAnsi="Arial" w:cs="Arial"/>
          <w:sz w:val="19"/>
          <w:szCs w:val="19"/>
        </w:rPr>
        <w:t>e next applicable invoice sent to Service Provider. Except as set forth herein, L Brands hereby unconditionally and irrevocably waives any rights of set off, netting, offset, recoupment or similar right that L Brands has or may have with respect to the pay</w:t>
      </w:r>
      <w:r>
        <w:rPr>
          <w:rFonts w:ascii="Arial" w:eastAsia="Arial" w:hAnsi="Arial" w:cs="Arial"/>
          <w:sz w:val="19"/>
          <w:szCs w:val="19"/>
        </w:rPr>
        <w:t>ment of the Service Fees or any other payments to be made by L Brands pursuant to this Agreement.</w:t>
      </w:r>
    </w:p>
    <w:p w14:paraId="1E191E8C" w14:textId="77777777" w:rsidR="00D1587D" w:rsidRDefault="00D1587D">
      <w:pPr>
        <w:spacing w:line="184" w:lineRule="exact"/>
        <w:rPr>
          <w:sz w:val="20"/>
          <w:szCs w:val="20"/>
        </w:rPr>
      </w:pPr>
    </w:p>
    <w:p w14:paraId="44B592B0" w14:textId="77777777" w:rsidR="00D1587D" w:rsidRDefault="00410D07">
      <w:pPr>
        <w:spacing w:line="234" w:lineRule="auto"/>
        <w:ind w:right="80" w:firstLine="648"/>
        <w:rPr>
          <w:sz w:val="20"/>
          <w:szCs w:val="20"/>
        </w:rPr>
      </w:pPr>
      <w:r>
        <w:rPr>
          <w:rFonts w:ascii="Arial" w:eastAsia="Arial" w:hAnsi="Arial" w:cs="Arial"/>
        </w:rPr>
        <w:t xml:space="preserve">Section 3.08. </w:t>
      </w:r>
      <w:r>
        <w:rPr>
          <w:rFonts w:ascii="Arial" w:eastAsia="Arial" w:hAnsi="Arial" w:cs="Arial"/>
          <w:i/>
          <w:iCs/>
        </w:rPr>
        <w:t>Taxes</w:t>
      </w:r>
      <w:r>
        <w:rPr>
          <w:rFonts w:ascii="Arial" w:eastAsia="Arial" w:hAnsi="Arial" w:cs="Arial"/>
        </w:rPr>
        <w:t>. (a) L Brands shall bear and pay all applicable sales, use, transaction, consumption, excise, services, value added, transfer, payroll, e</w:t>
      </w:r>
      <w:r>
        <w:rPr>
          <w:rFonts w:ascii="Arial" w:eastAsia="Arial" w:hAnsi="Arial" w:cs="Arial"/>
        </w:rPr>
        <w:t>mployment and other similar Taxes (and any related interest, penalty, addition to tax or additional amount imposed) incurred or imposed with respect to the provision of the Services, to this Agreement or to any payment hereunder (“</w:t>
      </w:r>
      <w:r>
        <w:rPr>
          <w:rFonts w:ascii="Arial" w:eastAsia="Arial" w:hAnsi="Arial" w:cs="Arial"/>
          <w:b/>
          <w:bCs/>
        </w:rPr>
        <w:t>Service Taxes</w:t>
      </w:r>
      <w:r>
        <w:rPr>
          <w:rFonts w:ascii="Arial" w:eastAsia="Arial" w:hAnsi="Arial" w:cs="Arial"/>
        </w:rPr>
        <w:t xml:space="preserve">”), whether </w:t>
      </w:r>
      <w:r>
        <w:rPr>
          <w:rFonts w:ascii="Arial" w:eastAsia="Arial" w:hAnsi="Arial" w:cs="Arial"/>
        </w:rPr>
        <w:t>or not such Service Taxes are shown on any invoices. If any Service Provider Party pays any portion of such Service Taxes, L Brands shall reimburse such Service Provider Party within five (5) days of receipt of evidence that such Service Taxes have been pa</w:t>
      </w:r>
      <w:r>
        <w:rPr>
          <w:rFonts w:ascii="Arial" w:eastAsia="Arial" w:hAnsi="Arial" w:cs="Arial"/>
        </w:rPr>
        <w:t>id. Any Service Taxes shall be incremental to other payments or charges identified in this Agreement.</w:t>
      </w:r>
    </w:p>
    <w:p w14:paraId="04C93BC3" w14:textId="77777777" w:rsidR="00D1587D" w:rsidRDefault="00D1587D">
      <w:pPr>
        <w:spacing w:line="396" w:lineRule="exact"/>
        <w:rPr>
          <w:sz w:val="20"/>
          <w:szCs w:val="20"/>
        </w:rPr>
      </w:pPr>
    </w:p>
    <w:p w14:paraId="370668CE" w14:textId="77777777" w:rsidR="00D1587D" w:rsidRDefault="00410D07">
      <w:pPr>
        <w:jc w:val="center"/>
        <w:rPr>
          <w:sz w:val="20"/>
          <w:szCs w:val="20"/>
        </w:rPr>
      </w:pPr>
      <w:r>
        <w:rPr>
          <w:rFonts w:ascii="Arial" w:eastAsia="Arial" w:hAnsi="Arial" w:cs="Arial"/>
          <w:sz w:val="14"/>
          <w:szCs w:val="14"/>
        </w:rPr>
        <w:t>10</w:t>
      </w:r>
    </w:p>
    <w:p w14:paraId="0BEF6CD3" w14:textId="77777777" w:rsidR="00D1587D" w:rsidRDefault="00410D07">
      <w:pPr>
        <w:spacing w:line="20" w:lineRule="exact"/>
        <w:rPr>
          <w:sz w:val="20"/>
          <w:szCs w:val="20"/>
        </w:rPr>
      </w:pPr>
      <w:r>
        <w:rPr>
          <w:noProof/>
          <w:sz w:val="20"/>
          <w:szCs w:val="20"/>
        </w:rPr>
        <w:drawing>
          <wp:anchor distT="0" distB="0" distL="114300" distR="114300" simplePos="0" relativeHeight="251275264" behindDoc="1" locked="0" layoutInCell="0" allowOverlap="1" wp14:anchorId="383187E9" wp14:editId="5F37B5C8">
            <wp:simplePos x="0" y="0"/>
            <wp:positionH relativeFrom="column">
              <wp:posOffset>5080</wp:posOffset>
            </wp:positionH>
            <wp:positionV relativeFrom="paragraph">
              <wp:posOffset>38100</wp:posOffset>
            </wp:positionV>
            <wp:extent cx="7132320" cy="1714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B2E80CA" w14:textId="77777777" w:rsidR="00D1587D" w:rsidRDefault="00D1587D">
      <w:pPr>
        <w:sectPr w:rsidR="00D1587D">
          <w:pgSz w:w="11900" w:h="16838"/>
          <w:pgMar w:top="604" w:right="339" w:bottom="1440" w:left="320" w:header="0" w:footer="0" w:gutter="0"/>
          <w:cols w:space="720" w:equalWidth="0">
            <w:col w:w="11240"/>
          </w:cols>
        </w:sectPr>
      </w:pPr>
    </w:p>
    <w:p w14:paraId="420FB0AE" w14:textId="77777777" w:rsidR="00D1587D" w:rsidRDefault="00410D07">
      <w:pPr>
        <w:numPr>
          <w:ilvl w:val="0"/>
          <w:numId w:val="88"/>
        </w:numPr>
        <w:tabs>
          <w:tab w:val="left" w:pos="1440"/>
        </w:tabs>
        <w:spacing w:line="246" w:lineRule="auto"/>
        <w:ind w:right="20" w:firstLine="656"/>
        <w:rPr>
          <w:rFonts w:ascii="Arial" w:eastAsia="Arial" w:hAnsi="Arial" w:cs="Arial"/>
          <w:sz w:val="21"/>
          <w:szCs w:val="21"/>
        </w:rPr>
      </w:pPr>
      <w:bookmarkStart w:id="124" w:name="page125"/>
      <w:bookmarkEnd w:id="124"/>
      <w:r>
        <w:rPr>
          <w:rFonts w:ascii="Arial" w:eastAsia="Arial" w:hAnsi="Arial" w:cs="Arial"/>
          <w:sz w:val="21"/>
          <w:szCs w:val="21"/>
        </w:rPr>
        <w:t>All sums payable under this Agreement shall be paid free and clear of all deductions or withholdings unless such deduction or wi</w:t>
      </w:r>
      <w:r>
        <w:rPr>
          <w:rFonts w:ascii="Arial" w:eastAsia="Arial" w:hAnsi="Arial" w:cs="Arial"/>
          <w:sz w:val="21"/>
          <w:szCs w:val="21"/>
        </w:rPr>
        <w:t>thholding is required by Applicable Law, in which event L Brands shall promptly inform the Service Provider Party of such required deduction or withholding and the amount of the payment due from L Brands shall be increased to an amount that after any deduc</w:t>
      </w:r>
      <w:r>
        <w:rPr>
          <w:rFonts w:ascii="Arial" w:eastAsia="Arial" w:hAnsi="Arial" w:cs="Arial"/>
          <w:sz w:val="21"/>
          <w:szCs w:val="21"/>
        </w:rPr>
        <w:t>tion or withholding leaves an amount equal to the payment that would have been due if no such deduction or withholding had been required. L Brands shall pay (or cause to be paid) such deducted or withheld amounts over to the applicable Governmental Authori</w:t>
      </w:r>
      <w:r>
        <w:rPr>
          <w:rFonts w:ascii="Arial" w:eastAsia="Arial" w:hAnsi="Arial" w:cs="Arial"/>
          <w:sz w:val="21"/>
          <w:szCs w:val="21"/>
        </w:rPr>
        <w:t>ty in accordance with the requirements of Applicable Law and provide the applicable Service Provider Party with an official receipt confirming payment.</w:t>
      </w:r>
    </w:p>
    <w:p w14:paraId="6EF9E13E" w14:textId="77777777" w:rsidR="00D1587D" w:rsidRDefault="00D1587D">
      <w:pPr>
        <w:spacing w:line="211" w:lineRule="exact"/>
        <w:rPr>
          <w:sz w:val="20"/>
          <w:szCs w:val="20"/>
        </w:rPr>
      </w:pPr>
    </w:p>
    <w:p w14:paraId="03430628" w14:textId="77777777" w:rsidR="00D1587D" w:rsidRDefault="00410D07">
      <w:pPr>
        <w:spacing w:line="270" w:lineRule="auto"/>
        <w:ind w:right="20" w:firstLine="648"/>
        <w:rPr>
          <w:sz w:val="20"/>
          <w:szCs w:val="20"/>
        </w:rPr>
      </w:pPr>
      <w:r>
        <w:rPr>
          <w:rFonts w:ascii="Arial" w:eastAsia="Arial" w:hAnsi="Arial" w:cs="Arial"/>
          <w:sz w:val="19"/>
          <w:szCs w:val="19"/>
        </w:rPr>
        <w:t xml:space="preserve">Section 3.09. </w:t>
      </w:r>
      <w:r>
        <w:rPr>
          <w:rFonts w:ascii="Arial" w:eastAsia="Arial" w:hAnsi="Arial" w:cs="Arial"/>
          <w:i/>
          <w:iCs/>
          <w:sz w:val="19"/>
          <w:szCs w:val="19"/>
        </w:rPr>
        <w:t>Audits</w:t>
      </w:r>
      <w:r>
        <w:rPr>
          <w:rFonts w:ascii="Arial" w:eastAsia="Arial" w:hAnsi="Arial" w:cs="Arial"/>
          <w:sz w:val="19"/>
          <w:szCs w:val="19"/>
        </w:rPr>
        <w:t>. Throughout the term of this Agreement and for one year thereafter, L Brands shall</w:t>
      </w:r>
      <w:r>
        <w:rPr>
          <w:rFonts w:ascii="Arial" w:eastAsia="Arial" w:hAnsi="Arial" w:cs="Arial"/>
          <w:sz w:val="19"/>
          <w:szCs w:val="19"/>
        </w:rPr>
        <w:t xml:space="preserve"> have the right once within each calendar year, at its own expense and on 30 days’ advance written notice to Service Provider, to have an independent auditor reasonably acceptable to Service Provider (and who has executed an appropriate confidentiality agr</w:t>
      </w:r>
      <w:r>
        <w:rPr>
          <w:rFonts w:ascii="Arial" w:eastAsia="Arial" w:hAnsi="Arial" w:cs="Arial"/>
          <w:sz w:val="19"/>
          <w:szCs w:val="19"/>
        </w:rPr>
        <w:t>eement reasonably acceptable to Service Provider) audit the books and records of Service Provider or any of its Affiliates for the sole purpose of certifying the accuracy of the Service Fees and Cost Components charged by Service Provider to the Service Re</w:t>
      </w:r>
      <w:r>
        <w:rPr>
          <w:rFonts w:ascii="Arial" w:eastAsia="Arial" w:hAnsi="Arial" w:cs="Arial"/>
          <w:sz w:val="19"/>
          <w:szCs w:val="19"/>
        </w:rPr>
        <w:t xml:space="preserve">cipients in accordance with the terms of this Agreement for the preceding calendar year; </w:t>
      </w:r>
      <w:r>
        <w:rPr>
          <w:rFonts w:ascii="Arial" w:eastAsia="Arial" w:hAnsi="Arial" w:cs="Arial"/>
          <w:i/>
          <w:iCs/>
          <w:sz w:val="19"/>
          <w:szCs w:val="19"/>
        </w:rPr>
        <w:t>provided</w:t>
      </w:r>
      <w:r>
        <w:rPr>
          <w:rFonts w:ascii="Arial" w:eastAsia="Arial" w:hAnsi="Arial" w:cs="Arial"/>
          <w:sz w:val="19"/>
          <w:szCs w:val="19"/>
        </w:rPr>
        <w:t xml:space="preserve"> that (i) any such audit shall take place during reasonable business hours on a mutually agreed upon date, (ii) such auditor shall in no event be entitled to a</w:t>
      </w:r>
      <w:r>
        <w:rPr>
          <w:rFonts w:ascii="Arial" w:eastAsia="Arial" w:hAnsi="Arial" w:cs="Arial"/>
          <w:sz w:val="19"/>
          <w:szCs w:val="19"/>
        </w:rPr>
        <w:t>ny contingency fee (or otherwise have any portion of its compensation be directly or indirectly determined based on the outcome of such audit) and (iii) no such books and records may be audited more than one time. Service Provider may designate competitive</w:t>
      </w:r>
      <w:r>
        <w:rPr>
          <w:rFonts w:ascii="Arial" w:eastAsia="Arial" w:hAnsi="Arial" w:cs="Arial"/>
          <w:sz w:val="19"/>
          <w:szCs w:val="19"/>
        </w:rPr>
        <w:t>ly sensitive information which such auditor may see and review but which it may not disclose to L Brands and all such books and records, and any applicable audit report and findings, shall be the Confidential Information of Service Provider. L Brands shall</w:t>
      </w:r>
      <w:r>
        <w:rPr>
          <w:rFonts w:ascii="Arial" w:eastAsia="Arial" w:hAnsi="Arial" w:cs="Arial"/>
          <w:sz w:val="19"/>
          <w:szCs w:val="19"/>
        </w:rPr>
        <w:t xml:space="preserve"> provide to Service Provider a copy of each such audit report promptly after its receipt thereof. In the event that any such audit indicates any overpayment or underpayment of amounts paid to Service Provider by any Service Recipient, the applicable party </w:t>
      </w:r>
      <w:r>
        <w:rPr>
          <w:rFonts w:ascii="Arial" w:eastAsia="Arial" w:hAnsi="Arial" w:cs="Arial"/>
          <w:sz w:val="19"/>
          <w:szCs w:val="19"/>
        </w:rPr>
        <w:t>shall pay to the other party (within 30 days following the date of delivery of such audit report to Service Provider) the amount of such overpayment or underpayment, as the case may be, plus (if the overpayment or underpayment amount exceeds $250,000.00) i</w:t>
      </w:r>
      <w:r>
        <w:rPr>
          <w:rFonts w:ascii="Arial" w:eastAsia="Arial" w:hAnsi="Arial" w:cs="Arial"/>
          <w:sz w:val="19"/>
          <w:szCs w:val="19"/>
        </w:rPr>
        <w:t xml:space="preserve">nterest accruing monthly from the date of such overpayment or underpayment until such amount is paid at 12% per annum, compounded monthly from the relevant payment due date through the date of payment (provided that such interest rate shall not exceed the </w:t>
      </w:r>
      <w:r>
        <w:rPr>
          <w:rFonts w:ascii="Arial" w:eastAsia="Arial" w:hAnsi="Arial" w:cs="Arial"/>
          <w:sz w:val="19"/>
          <w:szCs w:val="19"/>
        </w:rPr>
        <w:t>maximum rate permitted by Applicable Law). If either party hereto has a good faith dispute with respect to the findings of such audit, the parties shall follow the dispute resolution procedures set forth in Section 9.07.</w:t>
      </w:r>
    </w:p>
    <w:p w14:paraId="3D4FDF1C" w14:textId="77777777" w:rsidR="00D1587D" w:rsidRDefault="00D1587D">
      <w:pPr>
        <w:spacing w:line="190" w:lineRule="exact"/>
        <w:rPr>
          <w:sz w:val="20"/>
          <w:szCs w:val="20"/>
        </w:rPr>
      </w:pPr>
    </w:p>
    <w:p w14:paraId="3C2EFFF4" w14:textId="77777777" w:rsidR="00D1587D" w:rsidRDefault="00410D07">
      <w:pPr>
        <w:ind w:right="-19"/>
        <w:jc w:val="center"/>
        <w:rPr>
          <w:sz w:val="20"/>
          <w:szCs w:val="20"/>
        </w:rPr>
      </w:pPr>
      <w:r>
        <w:rPr>
          <w:rFonts w:ascii="Arial" w:eastAsia="Arial" w:hAnsi="Arial" w:cs="Arial"/>
        </w:rPr>
        <w:t>ARTICLE 4</w:t>
      </w:r>
    </w:p>
    <w:p w14:paraId="721E08C2" w14:textId="77777777" w:rsidR="00D1587D" w:rsidRDefault="00D1587D">
      <w:pPr>
        <w:spacing w:line="8" w:lineRule="exact"/>
        <w:rPr>
          <w:sz w:val="20"/>
          <w:szCs w:val="20"/>
        </w:rPr>
      </w:pPr>
    </w:p>
    <w:p w14:paraId="0542E182" w14:textId="77777777" w:rsidR="00D1587D" w:rsidRDefault="00410D07">
      <w:pPr>
        <w:ind w:right="-19"/>
        <w:jc w:val="center"/>
        <w:rPr>
          <w:sz w:val="20"/>
          <w:szCs w:val="20"/>
        </w:rPr>
      </w:pPr>
      <w:r>
        <w:rPr>
          <w:rFonts w:ascii="Arial" w:eastAsia="Arial" w:hAnsi="Arial" w:cs="Arial"/>
        </w:rPr>
        <w:t xml:space="preserve">RETENTION AND </w:t>
      </w:r>
      <w:r>
        <w:rPr>
          <w:rFonts w:ascii="Arial" w:eastAsia="Arial" w:hAnsi="Arial" w:cs="Arial"/>
        </w:rPr>
        <w:t>TRANSFER OF CERTAIN TSA EMPLOYEES</w:t>
      </w:r>
    </w:p>
    <w:p w14:paraId="71D1E269" w14:textId="77777777" w:rsidR="00D1587D" w:rsidRDefault="00D1587D">
      <w:pPr>
        <w:spacing w:line="215" w:lineRule="exact"/>
        <w:rPr>
          <w:sz w:val="20"/>
          <w:szCs w:val="20"/>
        </w:rPr>
      </w:pPr>
    </w:p>
    <w:p w14:paraId="1BE7BA1A" w14:textId="77777777" w:rsidR="00D1587D" w:rsidRDefault="00410D07">
      <w:pPr>
        <w:spacing w:line="250" w:lineRule="auto"/>
        <w:ind w:right="100" w:firstLine="648"/>
        <w:rPr>
          <w:sz w:val="20"/>
          <w:szCs w:val="20"/>
        </w:rPr>
      </w:pPr>
      <w:r>
        <w:rPr>
          <w:rFonts w:ascii="Arial" w:eastAsia="Arial" w:hAnsi="Arial" w:cs="Arial"/>
        </w:rPr>
        <w:t xml:space="preserve">Section 4.01. </w:t>
      </w:r>
      <w:r>
        <w:rPr>
          <w:rFonts w:ascii="Arial" w:eastAsia="Arial" w:hAnsi="Arial" w:cs="Arial"/>
          <w:i/>
          <w:iCs/>
        </w:rPr>
        <w:t>Employment of Transition Employees</w:t>
      </w:r>
      <w:r>
        <w:rPr>
          <w:rFonts w:ascii="Arial" w:eastAsia="Arial" w:hAnsi="Arial" w:cs="Arial"/>
        </w:rPr>
        <w:t>. Notwithstanding anything to the contrary in this Agreement or in the Employee Matters Agreement:</w:t>
      </w:r>
    </w:p>
    <w:p w14:paraId="23DB36E9" w14:textId="77777777" w:rsidR="00D1587D" w:rsidRDefault="00D1587D">
      <w:pPr>
        <w:spacing w:line="202" w:lineRule="exact"/>
        <w:rPr>
          <w:sz w:val="20"/>
          <w:szCs w:val="20"/>
        </w:rPr>
      </w:pPr>
    </w:p>
    <w:p w14:paraId="2BD65CB7" w14:textId="77777777" w:rsidR="00D1587D" w:rsidRDefault="00410D07">
      <w:pPr>
        <w:numPr>
          <w:ilvl w:val="0"/>
          <w:numId w:val="89"/>
        </w:numPr>
        <w:tabs>
          <w:tab w:val="left" w:pos="1428"/>
        </w:tabs>
        <w:spacing w:line="297" w:lineRule="auto"/>
        <w:ind w:firstLine="656"/>
        <w:jc w:val="both"/>
        <w:rPr>
          <w:rFonts w:ascii="Arial" w:eastAsia="Arial" w:hAnsi="Arial" w:cs="Arial"/>
          <w:sz w:val="19"/>
          <w:szCs w:val="19"/>
        </w:rPr>
      </w:pPr>
      <w:r>
        <w:rPr>
          <w:rFonts w:ascii="Arial" w:eastAsia="Arial" w:hAnsi="Arial" w:cs="Arial"/>
          <w:sz w:val="19"/>
          <w:szCs w:val="19"/>
        </w:rPr>
        <w:t xml:space="preserve">Service Provider or an Affiliate of Service Provider shall retain in its </w:t>
      </w:r>
      <w:r>
        <w:rPr>
          <w:rFonts w:ascii="Arial" w:eastAsia="Arial" w:hAnsi="Arial" w:cs="Arial"/>
          <w:sz w:val="19"/>
          <w:szCs w:val="19"/>
        </w:rPr>
        <w:t>employ each Transition Employee until the Transition Date applicable to such Transition Employee (unless the employment of the relevant Transition Employee is otherwise terminated by such Transition Employee or by the employer of such Transition Employee i</w:t>
      </w:r>
      <w:r>
        <w:rPr>
          <w:rFonts w:ascii="Arial" w:eastAsia="Arial" w:hAnsi="Arial" w:cs="Arial"/>
          <w:sz w:val="19"/>
          <w:szCs w:val="19"/>
        </w:rPr>
        <w:t>n the ordinary course of business); and</w:t>
      </w:r>
    </w:p>
    <w:p w14:paraId="59AFAAAD" w14:textId="77777777" w:rsidR="00D1587D" w:rsidRDefault="00D1587D">
      <w:pPr>
        <w:spacing w:line="160" w:lineRule="exact"/>
        <w:rPr>
          <w:rFonts w:ascii="Arial" w:eastAsia="Arial" w:hAnsi="Arial" w:cs="Arial"/>
          <w:sz w:val="19"/>
          <w:szCs w:val="19"/>
        </w:rPr>
      </w:pPr>
    </w:p>
    <w:p w14:paraId="433392A7" w14:textId="77777777" w:rsidR="00D1587D" w:rsidRDefault="00410D07">
      <w:pPr>
        <w:numPr>
          <w:ilvl w:val="0"/>
          <w:numId w:val="89"/>
        </w:numPr>
        <w:tabs>
          <w:tab w:val="left" w:pos="1440"/>
        </w:tabs>
        <w:spacing w:line="250" w:lineRule="auto"/>
        <w:ind w:firstLine="656"/>
        <w:rPr>
          <w:rFonts w:ascii="Arial" w:eastAsia="Arial" w:hAnsi="Arial" w:cs="Arial"/>
        </w:rPr>
      </w:pPr>
      <w:r>
        <w:rPr>
          <w:rFonts w:ascii="Arial" w:eastAsia="Arial" w:hAnsi="Arial" w:cs="Arial"/>
        </w:rPr>
        <w:t>L Brands shall, or shall cause one of its Affiliates to, offer employment to each Transition Employee, effective as of the Transition Date applicable to such Transition Employee, in accordance with Section 4.02 belo</w:t>
      </w:r>
      <w:r>
        <w:rPr>
          <w:rFonts w:ascii="Arial" w:eastAsia="Arial" w:hAnsi="Arial" w:cs="Arial"/>
        </w:rPr>
        <w:t>w.</w:t>
      </w:r>
    </w:p>
    <w:p w14:paraId="2C8DE869" w14:textId="77777777" w:rsidR="00D1587D" w:rsidRDefault="00D1587D">
      <w:pPr>
        <w:spacing w:line="201" w:lineRule="exact"/>
        <w:rPr>
          <w:rFonts w:ascii="Arial" w:eastAsia="Arial" w:hAnsi="Arial" w:cs="Arial"/>
        </w:rPr>
      </w:pPr>
    </w:p>
    <w:p w14:paraId="5B19D285" w14:textId="77777777" w:rsidR="00D1587D" w:rsidRDefault="00410D07">
      <w:pPr>
        <w:numPr>
          <w:ilvl w:val="0"/>
          <w:numId w:val="89"/>
        </w:numPr>
        <w:tabs>
          <w:tab w:val="left" w:pos="1440"/>
        </w:tabs>
        <w:ind w:left="1440" w:hanging="784"/>
        <w:rPr>
          <w:rFonts w:ascii="Arial" w:eastAsia="Arial" w:hAnsi="Arial" w:cs="Arial"/>
        </w:rPr>
      </w:pPr>
      <w:r>
        <w:rPr>
          <w:rFonts w:ascii="Arial" w:eastAsia="Arial" w:hAnsi="Arial" w:cs="Arial"/>
        </w:rPr>
        <w:t>For these purposes:</w:t>
      </w:r>
    </w:p>
    <w:p w14:paraId="08AE1202" w14:textId="77777777" w:rsidR="00D1587D" w:rsidRDefault="00D1587D">
      <w:pPr>
        <w:spacing w:line="227" w:lineRule="exact"/>
        <w:rPr>
          <w:rFonts w:ascii="Arial" w:eastAsia="Arial" w:hAnsi="Arial" w:cs="Arial"/>
        </w:rPr>
      </w:pPr>
    </w:p>
    <w:p w14:paraId="18F59A77" w14:textId="77777777" w:rsidR="00D1587D" w:rsidRDefault="00410D07">
      <w:pPr>
        <w:numPr>
          <w:ilvl w:val="1"/>
          <w:numId w:val="89"/>
        </w:numPr>
        <w:tabs>
          <w:tab w:val="left" w:pos="2052"/>
        </w:tabs>
        <w:spacing w:line="243" w:lineRule="auto"/>
        <w:ind w:left="660" w:right="580" w:firstLine="644"/>
        <w:jc w:val="both"/>
        <w:rPr>
          <w:rFonts w:ascii="Arial" w:eastAsia="Arial" w:hAnsi="Arial" w:cs="Arial"/>
        </w:rPr>
      </w:pPr>
      <w:r>
        <w:rPr>
          <w:rFonts w:ascii="Arial" w:eastAsia="Arial" w:hAnsi="Arial" w:cs="Arial"/>
        </w:rPr>
        <w:t>“</w:t>
      </w:r>
      <w:r>
        <w:rPr>
          <w:rFonts w:ascii="Arial" w:eastAsia="Arial" w:hAnsi="Arial" w:cs="Arial"/>
          <w:b/>
          <w:bCs/>
        </w:rPr>
        <w:t>Transition Employee</w:t>
      </w:r>
      <w:r>
        <w:rPr>
          <w:rFonts w:ascii="Arial" w:eastAsia="Arial" w:hAnsi="Arial" w:cs="Arial"/>
        </w:rPr>
        <w:t xml:space="preserve">” means each TSA Employee with respect to whom Service Provider and L Brands have mutually identified and agreed in writing will transfer employment from Service Provider or one of its Affiliates to L </w:t>
      </w:r>
      <w:r>
        <w:rPr>
          <w:rFonts w:ascii="Arial" w:eastAsia="Arial" w:hAnsi="Arial" w:cs="Arial"/>
        </w:rPr>
        <w:t>Brands or one of its Affiliates.</w:t>
      </w:r>
    </w:p>
    <w:p w14:paraId="21338280" w14:textId="77777777" w:rsidR="00D1587D" w:rsidRDefault="00D1587D">
      <w:pPr>
        <w:spacing w:line="203" w:lineRule="exact"/>
        <w:rPr>
          <w:rFonts w:ascii="Arial" w:eastAsia="Arial" w:hAnsi="Arial" w:cs="Arial"/>
        </w:rPr>
      </w:pPr>
    </w:p>
    <w:p w14:paraId="502235FA" w14:textId="77777777" w:rsidR="00D1587D" w:rsidRDefault="00410D07">
      <w:pPr>
        <w:numPr>
          <w:ilvl w:val="1"/>
          <w:numId w:val="89"/>
        </w:numPr>
        <w:tabs>
          <w:tab w:val="left" w:pos="2112"/>
        </w:tabs>
        <w:spacing w:line="275" w:lineRule="auto"/>
        <w:ind w:left="660" w:right="160" w:firstLine="644"/>
        <w:rPr>
          <w:rFonts w:ascii="Arial" w:eastAsia="Arial" w:hAnsi="Arial" w:cs="Arial"/>
          <w:sz w:val="19"/>
          <w:szCs w:val="19"/>
        </w:rPr>
      </w:pPr>
      <w:r>
        <w:rPr>
          <w:rFonts w:ascii="Arial" w:eastAsia="Arial" w:hAnsi="Arial" w:cs="Arial"/>
          <w:sz w:val="19"/>
          <w:szCs w:val="19"/>
        </w:rPr>
        <w:t>“</w:t>
      </w:r>
      <w:r>
        <w:rPr>
          <w:rFonts w:ascii="Arial" w:eastAsia="Arial" w:hAnsi="Arial" w:cs="Arial"/>
          <w:b/>
          <w:bCs/>
          <w:sz w:val="19"/>
          <w:szCs w:val="19"/>
        </w:rPr>
        <w:t>Transition Date</w:t>
      </w:r>
      <w:r>
        <w:rPr>
          <w:rFonts w:ascii="Arial" w:eastAsia="Arial" w:hAnsi="Arial" w:cs="Arial"/>
          <w:sz w:val="19"/>
          <w:szCs w:val="19"/>
        </w:rPr>
        <w:t>” means, with respect to each Transition Employee who accepts an offer of employment from L Brands or its applicable Affiliate pursuant to this Article 4, the date on which such Transition Employee’s employ</w:t>
      </w:r>
      <w:r>
        <w:rPr>
          <w:rFonts w:ascii="Arial" w:eastAsia="Arial" w:hAnsi="Arial" w:cs="Arial"/>
          <w:sz w:val="19"/>
          <w:szCs w:val="19"/>
        </w:rPr>
        <w:t>ment commences with L Brands or an applicable Affiliate of L Brands, which shall be the earliest of</w:t>
      </w:r>
    </w:p>
    <w:p w14:paraId="4B7D8A9E" w14:textId="77777777" w:rsidR="00D1587D" w:rsidRDefault="00D1587D">
      <w:pPr>
        <w:spacing w:line="1" w:lineRule="exact"/>
        <w:rPr>
          <w:rFonts w:ascii="Arial" w:eastAsia="Arial" w:hAnsi="Arial" w:cs="Arial"/>
          <w:sz w:val="19"/>
          <w:szCs w:val="19"/>
        </w:rPr>
      </w:pPr>
    </w:p>
    <w:p w14:paraId="2A3B9E3A" w14:textId="77777777" w:rsidR="00D1587D" w:rsidRDefault="00410D07">
      <w:pPr>
        <w:spacing w:line="233" w:lineRule="auto"/>
        <w:ind w:left="660" w:right="160"/>
        <w:rPr>
          <w:rFonts w:ascii="Arial" w:eastAsia="Arial" w:hAnsi="Arial" w:cs="Arial"/>
          <w:sz w:val="19"/>
          <w:szCs w:val="19"/>
        </w:rPr>
      </w:pPr>
      <w:r>
        <w:rPr>
          <w:rFonts w:ascii="Arial" w:eastAsia="Arial" w:hAnsi="Arial" w:cs="Arial"/>
        </w:rPr>
        <w:t>(A) the first day immediately following the last day of the applicable Term, as identified in the applicable Service Schedule, (B) the termination of (x) t</w:t>
      </w:r>
      <w:r>
        <w:rPr>
          <w:rFonts w:ascii="Arial" w:eastAsia="Arial" w:hAnsi="Arial" w:cs="Arial"/>
        </w:rPr>
        <w:t>he applicable Service in which such Transition Employee is engaged or (y) this Agreement, in each case pursuant to Section 7.01 or (C) any other day mutually agreed upon in writing by L Brands and Service Provider.</w:t>
      </w:r>
    </w:p>
    <w:p w14:paraId="4C31CDD8" w14:textId="77777777" w:rsidR="00D1587D" w:rsidRDefault="00D1587D">
      <w:pPr>
        <w:sectPr w:rsidR="00D1587D">
          <w:pgSz w:w="11900" w:h="16838"/>
          <w:pgMar w:top="604" w:right="359" w:bottom="1440" w:left="320" w:header="0" w:footer="0" w:gutter="0"/>
          <w:cols w:space="720" w:equalWidth="0">
            <w:col w:w="11220"/>
          </w:cols>
        </w:sectPr>
      </w:pPr>
    </w:p>
    <w:p w14:paraId="2DB2A8D8" w14:textId="77777777" w:rsidR="00D1587D" w:rsidRDefault="00D1587D">
      <w:pPr>
        <w:spacing w:line="393" w:lineRule="exact"/>
        <w:rPr>
          <w:sz w:val="20"/>
          <w:szCs w:val="20"/>
        </w:rPr>
      </w:pPr>
    </w:p>
    <w:p w14:paraId="3A0423FC" w14:textId="77777777" w:rsidR="00D1587D" w:rsidRDefault="00410D07">
      <w:pPr>
        <w:ind w:right="-39"/>
        <w:jc w:val="center"/>
        <w:rPr>
          <w:sz w:val="20"/>
          <w:szCs w:val="20"/>
        </w:rPr>
      </w:pPr>
      <w:r>
        <w:rPr>
          <w:rFonts w:ascii="Arial" w:eastAsia="Arial" w:hAnsi="Arial" w:cs="Arial"/>
          <w:sz w:val="12"/>
          <w:szCs w:val="12"/>
        </w:rPr>
        <w:t>11</w:t>
      </w:r>
    </w:p>
    <w:p w14:paraId="4BE55941" w14:textId="77777777" w:rsidR="00D1587D" w:rsidRDefault="00410D07">
      <w:pPr>
        <w:spacing w:line="20" w:lineRule="exact"/>
        <w:rPr>
          <w:sz w:val="20"/>
          <w:szCs w:val="20"/>
        </w:rPr>
      </w:pPr>
      <w:r>
        <w:rPr>
          <w:noProof/>
          <w:sz w:val="20"/>
          <w:szCs w:val="20"/>
        </w:rPr>
        <w:drawing>
          <wp:anchor distT="0" distB="0" distL="114300" distR="114300" simplePos="0" relativeHeight="251276288" behindDoc="1" locked="0" layoutInCell="0" allowOverlap="1" wp14:anchorId="7745A613" wp14:editId="460120BC">
            <wp:simplePos x="0" y="0"/>
            <wp:positionH relativeFrom="column">
              <wp:posOffset>5080</wp:posOffset>
            </wp:positionH>
            <wp:positionV relativeFrom="paragraph">
              <wp:posOffset>52705</wp:posOffset>
            </wp:positionV>
            <wp:extent cx="7132320" cy="1714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89E033B" w14:textId="77777777" w:rsidR="00D1587D" w:rsidRDefault="00D1587D">
      <w:pPr>
        <w:sectPr w:rsidR="00D1587D">
          <w:type w:val="continuous"/>
          <w:pgSz w:w="11900" w:h="16838"/>
          <w:pgMar w:top="604" w:right="359" w:bottom="1440" w:left="320" w:header="0" w:footer="0" w:gutter="0"/>
          <w:cols w:space="720" w:equalWidth="0">
            <w:col w:w="11220"/>
          </w:cols>
        </w:sectPr>
      </w:pPr>
    </w:p>
    <w:p w14:paraId="20EEC880" w14:textId="77777777" w:rsidR="00D1587D" w:rsidRDefault="00410D07">
      <w:pPr>
        <w:tabs>
          <w:tab w:val="left" w:pos="2260"/>
        </w:tabs>
        <w:ind w:left="620"/>
        <w:rPr>
          <w:sz w:val="20"/>
          <w:szCs w:val="20"/>
        </w:rPr>
      </w:pPr>
      <w:bookmarkStart w:id="125" w:name="page126"/>
      <w:bookmarkEnd w:id="125"/>
      <w:r>
        <w:rPr>
          <w:rFonts w:ascii="Arial" w:eastAsia="Arial" w:hAnsi="Arial" w:cs="Arial"/>
        </w:rPr>
        <w:t>Section 4.02.</w:t>
      </w:r>
      <w:r>
        <w:rPr>
          <w:sz w:val="20"/>
          <w:szCs w:val="20"/>
        </w:rPr>
        <w:tab/>
      </w:r>
      <w:r>
        <w:rPr>
          <w:rFonts w:ascii="Arial" w:eastAsia="Arial" w:hAnsi="Arial" w:cs="Arial"/>
          <w:i/>
          <w:iCs/>
          <w:sz w:val="19"/>
          <w:szCs w:val="19"/>
        </w:rPr>
        <w:t>Transfer of Transition Employees</w:t>
      </w:r>
      <w:r>
        <w:rPr>
          <w:rFonts w:ascii="Arial" w:eastAsia="Arial" w:hAnsi="Arial" w:cs="Arial"/>
          <w:sz w:val="19"/>
          <w:szCs w:val="19"/>
        </w:rPr>
        <w:t>.</w:t>
      </w:r>
    </w:p>
    <w:p w14:paraId="038E96B8" w14:textId="77777777" w:rsidR="00D1587D" w:rsidRDefault="00D1587D">
      <w:pPr>
        <w:spacing w:line="233" w:lineRule="exact"/>
        <w:rPr>
          <w:sz w:val="20"/>
          <w:szCs w:val="20"/>
        </w:rPr>
      </w:pPr>
    </w:p>
    <w:p w14:paraId="1038B783" w14:textId="77777777" w:rsidR="00D1587D" w:rsidRDefault="00410D07">
      <w:pPr>
        <w:numPr>
          <w:ilvl w:val="0"/>
          <w:numId w:val="90"/>
        </w:numPr>
        <w:tabs>
          <w:tab w:val="left" w:pos="1388"/>
        </w:tabs>
        <w:spacing w:line="250" w:lineRule="auto"/>
        <w:ind w:left="-40" w:right="920" w:firstLine="656"/>
        <w:rPr>
          <w:rFonts w:ascii="Arial" w:eastAsia="Arial" w:hAnsi="Arial" w:cs="Arial"/>
        </w:rPr>
      </w:pPr>
      <w:r>
        <w:rPr>
          <w:rFonts w:ascii="Arial" w:eastAsia="Arial" w:hAnsi="Arial" w:cs="Arial"/>
        </w:rPr>
        <w:t xml:space="preserve">Each of Service Provider and L Brands will cooperate in good faith to mutually identify the Transition Employees as promptly as practicable following the date of this </w:t>
      </w:r>
      <w:r>
        <w:rPr>
          <w:rFonts w:ascii="Arial" w:eastAsia="Arial" w:hAnsi="Arial" w:cs="Arial"/>
        </w:rPr>
        <w:t>Agreement.</w:t>
      </w:r>
    </w:p>
    <w:p w14:paraId="6AE4C593" w14:textId="77777777" w:rsidR="00D1587D" w:rsidRDefault="00D1587D">
      <w:pPr>
        <w:spacing w:line="201" w:lineRule="exact"/>
        <w:rPr>
          <w:rFonts w:ascii="Arial" w:eastAsia="Arial" w:hAnsi="Arial" w:cs="Arial"/>
        </w:rPr>
      </w:pPr>
    </w:p>
    <w:p w14:paraId="657C7FF4" w14:textId="77777777" w:rsidR="00D1587D" w:rsidRDefault="00410D07">
      <w:pPr>
        <w:numPr>
          <w:ilvl w:val="0"/>
          <w:numId w:val="90"/>
        </w:numPr>
        <w:tabs>
          <w:tab w:val="left" w:pos="1400"/>
        </w:tabs>
        <w:spacing w:line="246" w:lineRule="auto"/>
        <w:ind w:left="-40" w:right="120" w:firstLine="656"/>
        <w:rPr>
          <w:rFonts w:ascii="Arial" w:eastAsia="Arial" w:hAnsi="Arial" w:cs="Arial"/>
          <w:sz w:val="21"/>
          <w:szCs w:val="21"/>
        </w:rPr>
      </w:pPr>
      <w:r>
        <w:rPr>
          <w:rFonts w:ascii="Arial" w:eastAsia="Arial" w:hAnsi="Arial" w:cs="Arial"/>
          <w:sz w:val="21"/>
          <w:szCs w:val="21"/>
        </w:rPr>
        <w:t xml:space="preserve">L Brands shall, or shall cause an Affiliate of L Brands to, offer employment to each Transition Employee on terms and conditions consistent with (i) the Employee Matters Agreement and (ii) the terms and conditions of employment </w:t>
      </w:r>
      <w:r>
        <w:rPr>
          <w:rFonts w:ascii="Arial" w:eastAsia="Arial" w:hAnsi="Arial" w:cs="Arial"/>
          <w:sz w:val="21"/>
          <w:szCs w:val="21"/>
        </w:rPr>
        <w:t>applicable to such Transition Employee as of immediately prior to the applicable Transition Date. Subject to such Transition Employee’s acceptance of such offer, such employment shall commence effective as of the Transition Date applicable to such Transiti</w:t>
      </w:r>
      <w:r>
        <w:rPr>
          <w:rFonts w:ascii="Arial" w:eastAsia="Arial" w:hAnsi="Arial" w:cs="Arial"/>
          <w:sz w:val="21"/>
          <w:szCs w:val="21"/>
        </w:rPr>
        <w:t>on Employee. Such offer of employment shall be communicated by L Brands (or its applicable Affiliate) to such Transition Employee in a reasonable amount of time prior to such Transition Date in accordance with procedures to be mutually determined by Servic</w:t>
      </w:r>
      <w:r>
        <w:rPr>
          <w:rFonts w:ascii="Arial" w:eastAsia="Arial" w:hAnsi="Arial" w:cs="Arial"/>
          <w:sz w:val="21"/>
          <w:szCs w:val="21"/>
        </w:rPr>
        <w:t>e Provider and L Brands.</w:t>
      </w:r>
    </w:p>
    <w:p w14:paraId="74458EAD" w14:textId="77777777" w:rsidR="00D1587D" w:rsidRDefault="00D1587D">
      <w:pPr>
        <w:spacing w:line="211" w:lineRule="exact"/>
        <w:rPr>
          <w:rFonts w:ascii="Arial" w:eastAsia="Arial" w:hAnsi="Arial" w:cs="Arial"/>
          <w:sz w:val="21"/>
          <w:szCs w:val="21"/>
        </w:rPr>
      </w:pPr>
    </w:p>
    <w:p w14:paraId="2B7F774A" w14:textId="77777777" w:rsidR="00D1587D" w:rsidRDefault="00410D07">
      <w:pPr>
        <w:numPr>
          <w:ilvl w:val="0"/>
          <w:numId w:val="90"/>
        </w:numPr>
        <w:tabs>
          <w:tab w:val="left" w:pos="1388"/>
        </w:tabs>
        <w:spacing w:line="252" w:lineRule="auto"/>
        <w:ind w:left="-40" w:firstLine="656"/>
        <w:rPr>
          <w:rFonts w:ascii="Arial" w:eastAsia="Arial" w:hAnsi="Arial" w:cs="Arial"/>
          <w:sz w:val="21"/>
          <w:szCs w:val="21"/>
        </w:rPr>
      </w:pPr>
      <w:r>
        <w:rPr>
          <w:rFonts w:ascii="Arial" w:eastAsia="Arial" w:hAnsi="Arial" w:cs="Arial"/>
          <w:sz w:val="21"/>
          <w:szCs w:val="21"/>
        </w:rPr>
        <w:t>Subject to such Transition Employee’s acceptance of such offer of employment, such Transition Employee shall be deemed a Delayed L Brands Transfer Employee (as defined in the Employee Matters Agreement), effective as of such Trans</w:t>
      </w:r>
      <w:r>
        <w:rPr>
          <w:rFonts w:ascii="Arial" w:eastAsia="Arial" w:hAnsi="Arial" w:cs="Arial"/>
          <w:sz w:val="21"/>
          <w:szCs w:val="21"/>
        </w:rPr>
        <w:t>ition Employee’s applicable Transition Date, for all purposes under the Employee Matters Agreement, and the provisions of Employee Matters Agreement shall apply with respect to such Transition Employee.</w:t>
      </w:r>
    </w:p>
    <w:p w14:paraId="54100FD9" w14:textId="77777777" w:rsidR="00D1587D" w:rsidRDefault="00D1587D">
      <w:pPr>
        <w:spacing w:line="200" w:lineRule="exact"/>
        <w:rPr>
          <w:rFonts w:ascii="Arial" w:eastAsia="Arial" w:hAnsi="Arial" w:cs="Arial"/>
          <w:sz w:val="21"/>
          <w:szCs w:val="21"/>
        </w:rPr>
      </w:pPr>
    </w:p>
    <w:p w14:paraId="073CD9FE" w14:textId="77777777" w:rsidR="00D1587D" w:rsidRDefault="00410D07">
      <w:pPr>
        <w:numPr>
          <w:ilvl w:val="0"/>
          <w:numId w:val="90"/>
        </w:numPr>
        <w:tabs>
          <w:tab w:val="left" w:pos="1400"/>
        </w:tabs>
        <w:spacing w:line="275" w:lineRule="auto"/>
        <w:ind w:left="-40" w:right="60" w:firstLine="656"/>
        <w:rPr>
          <w:rFonts w:ascii="Arial" w:eastAsia="Arial" w:hAnsi="Arial" w:cs="Arial"/>
          <w:sz w:val="19"/>
          <w:szCs w:val="19"/>
        </w:rPr>
      </w:pPr>
      <w:r>
        <w:rPr>
          <w:rFonts w:ascii="Arial" w:eastAsia="Arial" w:hAnsi="Arial" w:cs="Arial"/>
          <w:sz w:val="19"/>
          <w:szCs w:val="19"/>
        </w:rPr>
        <w:t>As provided under the Employee Matters Agreement, an</w:t>
      </w:r>
      <w:r>
        <w:rPr>
          <w:rFonts w:ascii="Arial" w:eastAsia="Arial" w:hAnsi="Arial" w:cs="Arial"/>
          <w:sz w:val="19"/>
          <w:szCs w:val="19"/>
        </w:rPr>
        <w:t>d without limiting any other provisions of this Agreement or the Employee Matters Agreement, L Brands (or its applicable Affiliate) will take all measures that are required or appropriate in order to (i) effectuate the transfer of employment of each Transi</w:t>
      </w:r>
      <w:r>
        <w:rPr>
          <w:rFonts w:ascii="Arial" w:eastAsia="Arial" w:hAnsi="Arial" w:cs="Arial"/>
          <w:sz w:val="19"/>
          <w:szCs w:val="19"/>
        </w:rPr>
        <w:t xml:space="preserve">tion Employee to L Brands (or its applicable Affiliate) as of the Transition Date applicable to such Transition Employee (including by making an offer of employment to such Transition Employee in accordance with the terms of this Article 4) and (ii) avoid </w:t>
      </w:r>
      <w:r>
        <w:rPr>
          <w:rFonts w:ascii="Arial" w:eastAsia="Arial" w:hAnsi="Arial" w:cs="Arial"/>
          <w:sz w:val="19"/>
          <w:szCs w:val="19"/>
        </w:rPr>
        <w:t>and mitigate, to the maximum extent possible, the incurrence of any severance obligations or termination-related obligations (including by the provision of all appropriate notices, assurances and offers of employment and the assignment and assumption of ob</w:t>
      </w:r>
      <w:r>
        <w:rPr>
          <w:rFonts w:ascii="Arial" w:eastAsia="Arial" w:hAnsi="Arial" w:cs="Arial"/>
          <w:sz w:val="19"/>
          <w:szCs w:val="19"/>
        </w:rPr>
        <w:t>ligations or undertakings with respect to the employment, compensation, benefits, protections or other obligations relating to any such Transition Employee).</w:t>
      </w:r>
    </w:p>
    <w:p w14:paraId="448396CD" w14:textId="77777777" w:rsidR="00D1587D" w:rsidRDefault="00D1587D">
      <w:pPr>
        <w:spacing w:line="184" w:lineRule="exact"/>
        <w:rPr>
          <w:rFonts w:ascii="Arial" w:eastAsia="Arial" w:hAnsi="Arial" w:cs="Arial"/>
          <w:sz w:val="19"/>
          <w:szCs w:val="19"/>
        </w:rPr>
      </w:pPr>
    </w:p>
    <w:p w14:paraId="073D12CA" w14:textId="77777777" w:rsidR="00D1587D" w:rsidRDefault="00410D07">
      <w:pPr>
        <w:numPr>
          <w:ilvl w:val="0"/>
          <w:numId w:val="90"/>
        </w:numPr>
        <w:tabs>
          <w:tab w:val="left" w:pos="1388"/>
        </w:tabs>
        <w:spacing w:line="245" w:lineRule="auto"/>
        <w:ind w:left="-40" w:right="100" w:firstLine="656"/>
        <w:rPr>
          <w:rFonts w:ascii="Arial" w:eastAsia="Arial" w:hAnsi="Arial" w:cs="Arial"/>
          <w:sz w:val="21"/>
          <w:szCs w:val="21"/>
        </w:rPr>
      </w:pPr>
      <w:r>
        <w:rPr>
          <w:rFonts w:ascii="Arial" w:eastAsia="Arial" w:hAnsi="Arial" w:cs="Arial"/>
          <w:sz w:val="21"/>
          <w:szCs w:val="21"/>
        </w:rPr>
        <w:t>Service Provider and L Brands shall reasonably cooperate to (i) enable L Brands and its applicabl</w:t>
      </w:r>
      <w:r>
        <w:rPr>
          <w:rFonts w:ascii="Arial" w:eastAsia="Arial" w:hAnsi="Arial" w:cs="Arial"/>
          <w:sz w:val="21"/>
          <w:szCs w:val="21"/>
        </w:rPr>
        <w:t>e Affiliates to communicate with the Transition Employees and receive information with respect to the terms of employment of the Transition Employees as necessary and appropriate to facilitate L Brands’ obligations under this Article 4 and (ii) transfer an</w:t>
      </w:r>
      <w:r>
        <w:rPr>
          <w:rFonts w:ascii="Arial" w:eastAsia="Arial" w:hAnsi="Arial" w:cs="Arial"/>
          <w:sz w:val="21"/>
          <w:szCs w:val="21"/>
        </w:rPr>
        <w:t>d assign to L Brands (or its applicable Affiliate), and effectuate the assumption by L Brands (or its applicable Affiliate), all employment- and benefit-related obligations of the Service Provider (and its Affiliates) with respect to each Transition Employ</w:t>
      </w:r>
      <w:r>
        <w:rPr>
          <w:rFonts w:ascii="Arial" w:eastAsia="Arial" w:hAnsi="Arial" w:cs="Arial"/>
          <w:sz w:val="21"/>
          <w:szCs w:val="21"/>
        </w:rPr>
        <w:t>ee who accepts and commences employment with L Brands (or its applicable Affiliate) in accordance with the Employee Matters Agreement, other than the obligations expressly retained by the Service Provider (and its Affiliates) pursuant to the Employee Matte</w:t>
      </w:r>
      <w:r>
        <w:rPr>
          <w:rFonts w:ascii="Arial" w:eastAsia="Arial" w:hAnsi="Arial" w:cs="Arial"/>
          <w:sz w:val="21"/>
          <w:szCs w:val="21"/>
        </w:rPr>
        <w:t>rs Agreement. L Brands shall notify Service Provider in writing of each offer of employment made by L Brands (or its applicable Affiliate) to each Transition Employee, including the date of the offer, the proposed employment date and the terms and conditio</w:t>
      </w:r>
      <w:r>
        <w:rPr>
          <w:rFonts w:ascii="Arial" w:eastAsia="Arial" w:hAnsi="Arial" w:cs="Arial"/>
          <w:sz w:val="21"/>
          <w:szCs w:val="21"/>
        </w:rPr>
        <w:t>ns of the offer.</w:t>
      </w:r>
    </w:p>
    <w:p w14:paraId="4D067A77" w14:textId="77777777" w:rsidR="00D1587D" w:rsidRDefault="00D1587D">
      <w:pPr>
        <w:spacing w:line="386" w:lineRule="exact"/>
        <w:rPr>
          <w:sz w:val="20"/>
          <w:szCs w:val="20"/>
        </w:rPr>
      </w:pPr>
    </w:p>
    <w:p w14:paraId="0C951215" w14:textId="77777777" w:rsidR="00D1587D" w:rsidRDefault="00410D07">
      <w:pPr>
        <w:jc w:val="center"/>
        <w:rPr>
          <w:sz w:val="20"/>
          <w:szCs w:val="20"/>
        </w:rPr>
      </w:pPr>
      <w:r>
        <w:rPr>
          <w:rFonts w:ascii="Arial" w:eastAsia="Arial" w:hAnsi="Arial" w:cs="Arial"/>
          <w:sz w:val="14"/>
          <w:szCs w:val="14"/>
        </w:rPr>
        <w:t>12</w:t>
      </w:r>
    </w:p>
    <w:p w14:paraId="4DE363DA" w14:textId="77777777" w:rsidR="00D1587D" w:rsidRDefault="00410D07">
      <w:pPr>
        <w:spacing w:line="20" w:lineRule="exact"/>
        <w:rPr>
          <w:sz w:val="20"/>
          <w:szCs w:val="20"/>
        </w:rPr>
      </w:pPr>
      <w:r>
        <w:rPr>
          <w:noProof/>
          <w:sz w:val="20"/>
          <w:szCs w:val="20"/>
        </w:rPr>
        <w:drawing>
          <wp:anchor distT="0" distB="0" distL="114300" distR="114300" simplePos="0" relativeHeight="251277312" behindDoc="1" locked="0" layoutInCell="0" allowOverlap="1" wp14:anchorId="3451B3A0" wp14:editId="3D64C71C">
            <wp:simplePos x="0" y="0"/>
            <wp:positionH relativeFrom="column">
              <wp:posOffset>-19685</wp:posOffset>
            </wp:positionH>
            <wp:positionV relativeFrom="paragraph">
              <wp:posOffset>38100</wp:posOffset>
            </wp:positionV>
            <wp:extent cx="7132320" cy="1714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77A9330" w14:textId="77777777" w:rsidR="00D1587D" w:rsidRDefault="00D1587D">
      <w:pPr>
        <w:sectPr w:rsidR="00D1587D">
          <w:pgSz w:w="11900" w:h="16838"/>
          <w:pgMar w:top="361" w:right="379" w:bottom="1440" w:left="360" w:header="0" w:footer="0" w:gutter="0"/>
          <w:cols w:space="720" w:equalWidth="0">
            <w:col w:w="11160"/>
          </w:cols>
        </w:sectPr>
      </w:pPr>
    </w:p>
    <w:p w14:paraId="246D6EFB" w14:textId="77777777" w:rsidR="00D1587D" w:rsidRDefault="00410D07">
      <w:pPr>
        <w:numPr>
          <w:ilvl w:val="0"/>
          <w:numId w:val="91"/>
        </w:numPr>
        <w:tabs>
          <w:tab w:val="left" w:pos="1404"/>
        </w:tabs>
        <w:spacing w:line="238" w:lineRule="auto"/>
        <w:ind w:right="20" w:firstLine="656"/>
        <w:rPr>
          <w:rFonts w:ascii="Arial" w:eastAsia="Arial" w:hAnsi="Arial" w:cs="Arial"/>
        </w:rPr>
      </w:pPr>
      <w:bookmarkStart w:id="126" w:name="page127"/>
      <w:bookmarkEnd w:id="126"/>
      <w:r>
        <w:rPr>
          <w:rFonts w:ascii="Arial" w:eastAsia="Arial" w:hAnsi="Arial" w:cs="Arial"/>
        </w:rPr>
        <w:t xml:space="preserve">Each of Service Provider and L Brands agree and acknowledge that, to the extent applicable and mutually agreed between the parties hereto, each applicable Service Schedule shall set forth the terms and </w:t>
      </w:r>
      <w:r>
        <w:rPr>
          <w:rFonts w:ascii="Arial" w:eastAsia="Arial" w:hAnsi="Arial" w:cs="Arial"/>
        </w:rPr>
        <w:t>conditions relating to the allocation of responsibility between Service Provider and L Brands with respect to any severance or other termination-related payments or benefits that may become payable to any TSA Employees.</w:t>
      </w:r>
    </w:p>
    <w:p w14:paraId="15476528" w14:textId="77777777" w:rsidR="00D1587D" w:rsidRDefault="00D1587D">
      <w:pPr>
        <w:spacing w:line="212" w:lineRule="exact"/>
        <w:rPr>
          <w:sz w:val="20"/>
          <w:szCs w:val="20"/>
        </w:rPr>
      </w:pPr>
    </w:p>
    <w:p w14:paraId="6F007E6E" w14:textId="77777777" w:rsidR="00D1587D" w:rsidRDefault="00410D07">
      <w:pPr>
        <w:ind w:right="-39"/>
        <w:jc w:val="center"/>
        <w:rPr>
          <w:sz w:val="20"/>
          <w:szCs w:val="20"/>
        </w:rPr>
      </w:pPr>
      <w:r>
        <w:rPr>
          <w:rFonts w:ascii="Arial" w:eastAsia="Arial" w:hAnsi="Arial" w:cs="Arial"/>
        </w:rPr>
        <w:t>ARTICLE 5</w:t>
      </w:r>
    </w:p>
    <w:p w14:paraId="00FF2612" w14:textId="77777777" w:rsidR="00D1587D" w:rsidRDefault="00D1587D">
      <w:pPr>
        <w:spacing w:line="8" w:lineRule="exact"/>
        <w:rPr>
          <w:sz w:val="20"/>
          <w:szCs w:val="20"/>
        </w:rPr>
      </w:pPr>
    </w:p>
    <w:p w14:paraId="5764276D" w14:textId="77777777" w:rsidR="00D1587D" w:rsidRDefault="00410D07">
      <w:pPr>
        <w:ind w:right="-39"/>
        <w:jc w:val="center"/>
        <w:rPr>
          <w:sz w:val="20"/>
          <w:szCs w:val="20"/>
        </w:rPr>
      </w:pPr>
      <w:r>
        <w:rPr>
          <w:rFonts w:ascii="Arial" w:eastAsia="Arial" w:hAnsi="Arial" w:cs="Arial"/>
        </w:rPr>
        <w:t>CONFIDENTIALITY</w:t>
      </w:r>
    </w:p>
    <w:p w14:paraId="384964DB" w14:textId="77777777" w:rsidR="00D1587D" w:rsidRDefault="00D1587D">
      <w:pPr>
        <w:spacing w:line="215" w:lineRule="exact"/>
        <w:rPr>
          <w:sz w:val="20"/>
          <w:szCs w:val="20"/>
        </w:rPr>
      </w:pPr>
    </w:p>
    <w:p w14:paraId="72AEE5D8" w14:textId="77777777" w:rsidR="00D1587D" w:rsidRDefault="00410D07">
      <w:pPr>
        <w:spacing w:line="270" w:lineRule="auto"/>
        <w:ind w:firstLine="648"/>
        <w:rPr>
          <w:sz w:val="20"/>
          <w:szCs w:val="20"/>
        </w:rPr>
      </w:pPr>
      <w:r>
        <w:rPr>
          <w:rFonts w:ascii="Arial" w:eastAsia="Arial" w:hAnsi="Arial" w:cs="Arial"/>
          <w:sz w:val="19"/>
          <w:szCs w:val="19"/>
        </w:rPr>
        <w:t>Section</w:t>
      </w:r>
      <w:r>
        <w:rPr>
          <w:rFonts w:ascii="Arial" w:eastAsia="Arial" w:hAnsi="Arial" w:cs="Arial"/>
          <w:sz w:val="19"/>
          <w:szCs w:val="19"/>
        </w:rPr>
        <w:t xml:space="preserve"> 5.01. </w:t>
      </w:r>
      <w:r>
        <w:rPr>
          <w:rFonts w:ascii="Arial" w:eastAsia="Arial" w:hAnsi="Arial" w:cs="Arial"/>
          <w:i/>
          <w:iCs/>
          <w:sz w:val="19"/>
          <w:szCs w:val="19"/>
        </w:rPr>
        <w:t>Confidentiality</w:t>
      </w:r>
      <w:r>
        <w:rPr>
          <w:rFonts w:ascii="Arial" w:eastAsia="Arial" w:hAnsi="Arial" w:cs="Arial"/>
          <w:sz w:val="19"/>
          <w:szCs w:val="19"/>
        </w:rPr>
        <w:t>. From and after the Effective Date, each party hereto shall hold, and cause its Representatives to hold, in confidence, unless compelled to disclose by judicial or administrative process or by other requirements of law (in which even</w:t>
      </w:r>
      <w:r>
        <w:rPr>
          <w:rFonts w:ascii="Arial" w:eastAsia="Arial" w:hAnsi="Arial" w:cs="Arial"/>
          <w:sz w:val="19"/>
          <w:szCs w:val="19"/>
        </w:rPr>
        <w:t>t the disclosing party first notifies the other party hereto of such process or requirement and allows such party a reasonable opportunity to seek a protective order or other appropriate remedy to prevent such disclosure), all documents and information con</w:t>
      </w:r>
      <w:r>
        <w:rPr>
          <w:rFonts w:ascii="Arial" w:eastAsia="Arial" w:hAnsi="Arial" w:cs="Arial"/>
          <w:sz w:val="19"/>
          <w:szCs w:val="19"/>
        </w:rPr>
        <w:t>cerning the other party hereto provided to it pursuant to this Agreement (“</w:t>
      </w:r>
      <w:r>
        <w:rPr>
          <w:rFonts w:ascii="Arial" w:eastAsia="Arial" w:hAnsi="Arial" w:cs="Arial"/>
          <w:b/>
          <w:bCs/>
          <w:sz w:val="19"/>
          <w:szCs w:val="19"/>
        </w:rPr>
        <w:t>Confidential</w:t>
      </w:r>
      <w:r>
        <w:rPr>
          <w:rFonts w:ascii="Arial" w:eastAsia="Arial" w:hAnsi="Arial" w:cs="Arial"/>
          <w:sz w:val="19"/>
          <w:szCs w:val="19"/>
        </w:rPr>
        <w:t xml:space="preserve"> </w:t>
      </w:r>
      <w:r>
        <w:rPr>
          <w:rFonts w:ascii="Arial" w:eastAsia="Arial" w:hAnsi="Arial" w:cs="Arial"/>
          <w:b/>
          <w:bCs/>
          <w:sz w:val="19"/>
          <w:szCs w:val="19"/>
        </w:rPr>
        <w:t>Information</w:t>
      </w:r>
      <w:r>
        <w:rPr>
          <w:rFonts w:ascii="Arial" w:eastAsia="Arial" w:hAnsi="Arial" w:cs="Arial"/>
          <w:sz w:val="19"/>
          <w:szCs w:val="19"/>
        </w:rPr>
        <w:t>”), and shall not, without the prior written consent of the other party hereto, disclose or use any Confidential</w:t>
      </w:r>
      <w:r>
        <w:rPr>
          <w:rFonts w:ascii="Arial" w:eastAsia="Arial" w:hAnsi="Arial" w:cs="Arial"/>
          <w:b/>
          <w:bCs/>
          <w:sz w:val="19"/>
          <w:szCs w:val="19"/>
        </w:rPr>
        <w:t xml:space="preserve"> </w:t>
      </w:r>
      <w:r>
        <w:rPr>
          <w:rFonts w:ascii="Arial" w:eastAsia="Arial" w:hAnsi="Arial" w:cs="Arial"/>
          <w:sz w:val="19"/>
          <w:szCs w:val="19"/>
        </w:rPr>
        <w:t xml:space="preserve">Information of the other party hereto </w:t>
      </w:r>
      <w:r>
        <w:rPr>
          <w:rFonts w:ascii="Arial" w:eastAsia="Arial" w:hAnsi="Arial" w:cs="Arial"/>
          <w:sz w:val="19"/>
          <w:szCs w:val="19"/>
        </w:rPr>
        <w:t>except as necessary in the performance of its obligations under this Agreement; provided that the term “Confidential Information” (a) does not include information that is or becomes generally available to the public (other than as a result of a breach of t</w:t>
      </w:r>
      <w:r>
        <w:rPr>
          <w:rFonts w:ascii="Arial" w:eastAsia="Arial" w:hAnsi="Arial" w:cs="Arial"/>
          <w:sz w:val="19"/>
          <w:szCs w:val="19"/>
        </w:rPr>
        <w:t>his Agreement), (b) does not include information that was available to the receiving party or any of its Affiliates on a non-confidential basis prior to its disclosure to such receiving party or its Affiliates pursuant to this Agreement (except that this c</w:t>
      </w:r>
      <w:r>
        <w:rPr>
          <w:rFonts w:ascii="Arial" w:eastAsia="Arial" w:hAnsi="Arial" w:cs="Arial"/>
          <w:sz w:val="19"/>
          <w:szCs w:val="19"/>
        </w:rPr>
        <w:t>lause (b) shall not apply to information of either party hereto in the possession of the other party prior to the date hereof by virtue of their previous Affiliate relationship), (c) does not include information that is or becomes available to the receivin</w:t>
      </w:r>
      <w:r>
        <w:rPr>
          <w:rFonts w:ascii="Arial" w:eastAsia="Arial" w:hAnsi="Arial" w:cs="Arial"/>
          <w:sz w:val="19"/>
          <w:szCs w:val="19"/>
        </w:rPr>
        <w:t>g party or any of its Affiliates from a third party not known by the receiving party or its Affiliates to be bound by a confidentiality agreement or any legal, fiduciary or other obligation restricting disclosure of such information and (d) does not includ</w:t>
      </w:r>
      <w:r>
        <w:rPr>
          <w:rFonts w:ascii="Arial" w:eastAsia="Arial" w:hAnsi="Arial" w:cs="Arial"/>
          <w:sz w:val="19"/>
          <w:szCs w:val="19"/>
        </w:rPr>
        <w:t>e information that is or was independently developed by the receiving party or any of its Affiliates without use of Confidential Information or otherwise violating this Agreement. Nothing in this Section 5.01 shall limit any other confidentiality obligatio</w:t>
      </w:r>
      <w:r>
        <w:rPr>
          <w:rFonts w:ascii="Arial" w:eastAsia="Arial" w:hAnsi="Arial" w:cs="Arial"/>
          <w:sz w:val="19"/>
          <w:szCs w:val="19"/>
        </w:rPr>
        <w:t>ns among the parties to this Agreement pursuant to any other agreement among such parties.</w:t>
      </w:r>
    </w:p>
    <w:p w14:paraId="3AB489D4" w14:textId="77777777" w:rsidR="00D1587D" w:rsidRDefault="00D1587D">
      <w:pPr>
        <w:spacing w:line="200" w:lineRule="exact"/>
        <w:rPr>
          <w:sz w:val="20"/>
          <w:szCs w:val="20"/>
        </w:rPr>
      </w:pPr>
    </w:p>
    <w:p w14:paraId="3B185552" w14:textId="77777777" w:rsidR="00D1587D" w:rsidRDefault="00D1587D">
      <w:pPr>
        <w:spacing w:line="241" w:lineRule="exact"/>
        <w:rPr>
          <w:sz w:val="20"/>
          <w:szCs w:val="20"/>
        </w:rPr>
      </w:pPr>
    </w:p>
    <w:p w14:paraId="2F8DF352" w14:textId="77777777" w:rsidR="00D1587D" w:rsidRDefault="00410D07">
      <w:pPr>
        <w:ind w:right="80" w:firstLine="648"/>
        <w:rPr>
          <w:sz w:val="20"/>
          <w:szCs w:val="20"/>
        </w:rPr>
      </w:pPr>
      <w:r>
        <w:rPr>
          <w:rFonts w:ascii="Arial" w:eastAsia="Arial" w:hAnsi="Arial" w:cs="Arial"/>
        </w:rPr>
        <w:t xml:space="preserve">Section 5.02. </w:t>
      </w:r>
      <w:r>
        <w:rPr>
          <w:rFonts w:ascii="Arial" w:eastAsia="Arial" w:hAnsi="Arial" w:cs="Arial"/>
          <w:i/>
          <w:iCs/>
        </w:rPr>
        <w:t>No Rights to Confidential Information</w:t>
      </w:r>
      <w:r>
        <w:rPr>
          <w:rFonts w:ascii="Arial" w:eastAsia="Arial" w:hAnsi="Arial" w:cs="Arial"/>
        </w:rPr>
        <w:t>. Each party hereto acknowledges that it will not acquire any right, title or interest in or to any Confidential</w:t>
      </w:r>
      <w:r>
        <w:rPr>
          <w:rFonts w:ascii="Arial" w:eastAsia="Arial" w:hAnsi="Arial" w:cs="Arial"/>
        </w:rPr>
        <w:t xml:space="preserve"> Information of the other party hereto by reason of this Agreement or the provision or receipt of Services hereunder.</w:t>
      </w:r>
    </w:p>
    <w:p w14:paraId="73BC6408" w14:textId="77777777" w:rsidR="00D1587D" w:rsidRDefault="00D1587D">
      <w:pPr>
        <w:spacing w:line="213" w:lineRule="exact"/>
        <w:rPr>
          <w:sz w:val="20"/>
          <w:szCs w:val="20"/>
        </w:rPr>
      </w:pPr>
    </w:p>
    <w:p w14:paraId="1D567F8B" w14:textId="77777777" w:rsidR="00D1587D" w:rsidRDefault="00410D07">
      <w:pPr>
        <w:spacing w:line="282" w:lineRule="auto"/>
        <w:ind w:right="20" w:firstLine="648"/>
        <w:rPr>
          <w:sz w:val="20"/>
          <w:szCs w:val="20"/>
        </w:rPr>
      </w:pPr>
      <w:r>
        <w:rPr>
          <w:rFonts w:ascii="Arial" w:eastAsia="Arial" w:hAnsi="Arial" w:cs="Arial"/>
          <w:sz w:val="19"/>
          <w:szCs w:val="19"/>
        </w:rPr>
        <w:t xml:space="preserve">Section 5.03. </w:t>
      </w:r>
      <w:r>
        <w:rPr>
          <w:rFonts w:ascii="Arial" w:eastAsia="Arial" w:hAnsi="Arial" w:cs="Arial"/>
          <w:i/>
          <w:iCs/>
          <w:sz w:val="19"/>
          <w:szCs w:val="19"/>
        </w:rPr>
        <w:t>Third Party Non-Disclosure Agreements</w:t>
      </w:r>
      <w:r>
        <w:rPr>
          <w:rFonts w:ascii="Arial" w:eastAsia="Arial" w:hAnsi="Arial" w:cs="Arial"/>
          <w:sz w:val="19"/>
          <w:szCs w:val="19"/>
        </w:rPr>
        <w:t>. To the extent that any third party proprietor of information or software to be discl</w:t>
      </w:r>
      <w:r>
        <w:rPr>
          <w:rFonts w:ascii="Arial" w:eastAsia="Arial" w:hAnsi="Arial" w:cs="Arial"/>
          <w:sz w:val="19"/>
          <w:szCs w:val="19"/>
        </w:rPr>
        <w:t xml:space="preserve">osed or made available to any Service Recipient in connection with the performance of Services requires a specific form of non-disclosure agreement as a condition of its consent to use of the same for the benefit of such Service Recipient or to permit any </w:t>
      </w:r>
      <w:r>
        <w:rPr>
          <w:rFonts w:ascii="Arial" w:eastAsia="Arial" w:hAnsi="Arial" w:cs="Arial"/>
          <w:sz w:val="19"/>
          <w:szCs w:val="19"/>
        </w:rPr>
        <w:t>Service Recipient access to such information or software, L Brands shall cause such Service Recipient to execute (and will cause such Service Recipient’s employees to execute, if required) any such form.</w:t>
      </w:r>
    </w:p>
    <w:p w14:paraId="1A67BC0F" w14:textId="77777777" w:rsidR="00D1587D" w:rsidRDefault="00D1587D">
      <w:pPr>
        <w:spacing w:line="174" w:lineRule="exact"/>
        <w:rPr>
          <w:sz w:val="20"/>
          <w:szCs w:val="20"/>
        </w:rPr>
      </w:pPr>
    </w:p>
    <w:p w14:paraId="18A646A5" w14:textId="77777777" w:rsidR="00D1587D" w:rsidRDefault="00410D07">
      <w:pPr>
        <w:spacing w:line="238" w:lineRule="auto"/>
        <w:ind w:right="60" w:firstLine="648"/>
        <w:jc w:val="both"/>
        <w:rPr>
          <w:sz w:val="20"/>
          <w:szCs w:val="20"/>
        </w:rPr>
      </w:pPr>
      <w:r>
        <w:rPr>
          <w:rFonts w:ascii="Arial" w:eastAsia="Arial" w:hAnsi="Arial" w:cs="Arial"/>
        </w:rPr>
        <w:t xml:space="preserve">Section 5.04. Safeguards. Each party hereto agrees </w:t>
      </w:r>
      <w:r>
        <w:rPr>
          <w:rFonts w:ascii="Arial" w:eastAsia="Arial" w:hAnsi="Arial" w:cs="Arial"/>
        </w:rPr>
        <w:t>to establish and maintain administrative, physical and technical safeguards, information technology and data security procedures and other protections against the destruction, loss, unauthorized access or alteration of the other party’s Confidential Inform</w:t>
      </w:r>
      <w:r>
        <w:rPr>
          <w:rFonts w:ascii="Arial" w:eastAsia="Arial" w:hAnsi="Arial" w:cs="Arial"/>
        </w:rPr>
        <w:t>ation which are no less rigorous than those otherwise maintained for its own Confidential Information.</w:t>
      </w:r>
    </w:p>
    <w:p w14:paraId="3DF0EE73" w14:textId="77777777" w:rsidR="00D1587D" w:rsidRDefault="00D1587D">
      <w:pPr>
        <w:spacing w:line="390" w:lineRule="exact"/>
        <w:rPr>
          <w:sz w:val="20"/>
          <w:szCs w:val="20"/>
        </w:rPr>
      </w:pPr>
    </w:p>
    <w:p w14:paraId="5EF888B1" w14:textId="77777777" w:rsidR="00D1587D" w:rsidRDefault="00410D07">
      <w:pPr>
        <w:ind w:right="-39"/>
        <w:jc w:val="center"/>
        <w:rPr>
          <w:sz w:val="20"/>
          <w:szCs w:val="20"/>
        </w:rPr>
      </w:pPr>
      <w:r>
        <w:rPr>
          <w:rFonts w:ascii="Arial" w:eastAsia="Arial" w:hAnsi="Arial" w:cs="Arial"/>
          <w:sz w:val="14"/>
          <w:szCs w:val="14"/>
        </w:rPr>
        <w:t>13</w:t>
      </w:r>
    </w:p>
    <w:p w14:paraId="7FA0E31C" w14:textId="77777777" w:rsidR="00D1587D" w:rsidRDefault="00410D07">
      <w:pPr>
        <w:spacing w:line="20" w:lineRule="exact"/>
        <w:rPr>
          <w:sz w:val="20"/>
          <w:szCs w:val="20"/>
        </w:rPr>
      </w:pPr>
      <w:r>
        <w:rPr>
          <w:noProof/>
          <w:sz w:val="20"/>
          <w:szCs w:val="20"/>
        </w:rPr>
        <w:drawing>
          <wp:anchor distT="0" distB="0" distL="114300" distR="114300" simplePos="0" relativeHeight="251278336" behindDoc="1" locked="0" layoutInCell="0" allowOverlap="1" wp14:anchorId="5E3749AC" wp14:editId="0A1236C9">
            <wp:simplePos x="0" y="0"/>
            <wp:positionH relativeFrom="column">
              <wp:posOffset>5080</wp:posOffset>
            </wp:positionH>
            <wp:positionV relativeFrom="paragraph">
              <wp:posOffset>38100</wp:posOffset>
            </wp:positionV>
            <wp:extent cx="7132320" cy="1714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A35B031" w14:textId="77777777" w:rsidR="00D1587D" w:rsidRDefault="00D1587D">
      <w:pPr>
        <w:sectPr w:rsidR="00D1587D">
          <w:pgSz w:w="11900" w:h="16838"/>
          <w:pgMar w:top="361" w:right="379" w:bottom="1440" w:left="320" w:header="0" w:footer="0" w:gutter="0"/>
          <w:cols w:space="720" w:equalWidth="0">
            <w:col w:w="11200"/>
          </w:cols>
        </w:sectPr>
      </w:pPr>
    </w:p>
    <w:p w14:paraId="58B52DED" w14:textId="77777777" w:rsidR="00D1587D" w:rsidRDefault="00410D07">
      <w:pPr>
        <w:jc w:val="center"/>
        <w:rPr>
          <w:sz w:val="20"/>
          <w:szCs w:val="20"/>
        </w:rPr>
      </w:pPr>
      <w:bookmarkStart w:id="127" w:name="page128"/>
      <w:bookmarkEnd w:id="127"/>
      <w:r>
        <w:rPr>
          <w:rFonts w:ascii="Arial" w:eastAsia="Arial" w:hAnsi="Arial" w:cs="Arial"/>
        </w:rPr>
        <w:t>ARTICLE 6</w:t>
      </w:r>
    </w:p>
    <w:p w14:paraId="39AFCD0B" w14:textId="77777777" w:rsidR="00D1587D" w:rsidRDefault="00D1587D">
      <w:pPr>
        <w:spacing w:line="8" w:lineRule="exact"/>
        <w:rPr>
          <w:sz w:val="20"/>
          <w:szCs w:val="20"/>
        </w:rPr>
      </w:pPr>
    </w:p>
    <w:p w14:paraId="2859E0B6" w14:textId="77777777" w:rsidR="00D1587D" w:rsidRDefault="00410D07">
      <w:pPr>
        <w:jc w:val="center"/>
        <w:rPr>
          <w:sz w:val="20"/>
          <w:szCs w:val="20"/>
        </w:rPr>
      </w:pPr>
      <w:r>
        <w:rPr>
          <w:rFonts w:ascii="Arial" w:eastAsia="Arial" w:hAnsi="Arial" w:cs="Arial"/>
        </w:rPr>
        <w:t>INDEMNIFICATION; LIMITATION OF LIABILITY</w:t>
      </w:r>
    </w:p>
    <w:p w14:paraId="1B0E650F" w14:textId="77777777" w:rsidR="00D1587D" w:rsidRDefault="00D1587D">
      <w:pPr>
        <w:spacing w:line="215" w:lineRule="exact"/>
        <w:rPr>
          <w:sz w:val="20"/>
          <w:szCs w:val="20"/>
        </w:rPr>
      </w:pPr>
    </w:p>
    <w:p w14:paraId="1247BA1B" w14:textId="77777777" w:rsidR="00D1587D" w:rsidRDefault="00410D07">
      <w:pPr>
        <w:spacing w:line="245" w:lineRule="auto"/>
        <w:ind w:right="60" w:firstLine="648"/>
        <w:rPr>
          <w:sz w:val="20"/>
          <w:szCs w:val="20"/>
        </w:rPr>
      </w:pPr>
      <w:r>
        <w:rPr>
          <w:rFonts w:ascii="Arial" w:eastAsia="Arial" w:hAnsi="Arial" w:cs="Arial"/>
          <w:sz w:val="21"/>
          <w:szCs w:val="21"/>
        </w:rPr>
        <w:t xml:space="preserve">Section 6.01. </w:t>
      </w:r>
      <w:r>
        <w:rPr>
          <w:rFonts w:ascii="Arial" w:eastAsia="Arial" w:hAnsi="Arial" w:cs="Arial"/>
          <w:i/>
          <w:iCs/>
          <w:sz w:val="21"/>
          <w:szCs w:val="21"/>
        </w:rPr>
        <w:t>Indemnification</w:t>
      </w:r>
      <w:r>
        <w:rPr>
          <w:rFonts w:ascii="Arial" w:eastAsia="Arial" w:hAnsi="Arial" w:cs="Arial"/>
          <w:sz w:val="21"/>
          <w:szCs w:val="21"/>
        </w:rPr>
        <w:t xml:space="preserve">. (a) L Brands agrees to indemnify and </w:t>
      </w:r>
      <w:r>
        <w:rPr>
          <w:rFonts w:ascii="Arial" w:eastAsia="Arial" w:hAnsi="Arial" w:cs="Arial"/>
          <w:sz w:val="21"/>
          <w:szCs w:val="21"/>
        </w:rPr>
        <w:t>hold harmless Service Provider and each other Service Provider Party, their respective Affiliates and their and their respective Representatives (collectively, the “</w:t>
      </w:r>
      <w:r>
        <w:rPr>
          <w:rFonts w:ascii="Arial" w:eastAsia="Arial" w:hAnsi="Arial" w:cs="Arial"/>
          <w:b/>
          <w:bCs/>
          <w:sz w:val="21"/>
          <w:szCs w:val="21"/>
        </w:rPr>
        <w:t>Service</w:t>
      </w:r>
      <w:r>
        <w:rPr>
          <w:rFonts w:ascii="Arial" w:eastAsia="Arial" w:hAnsi="Arial" w:cs="Arial"/>
          <w:sz w:val="21"/>
          <w:szCs w:val="21"/>
        </w:rPr>
        <w:t xml:space="preserve"> </w:t>
      </w:r>
      <w:r>
        <w:rPr>
          <w:rFonts w:ascii="Arial" w:eastAsia="Arial" w:hAnsi="Arial" w:cs="Arial"/>
          <w:b/>
          <w:bCs/>
          <w:sz w:val="21"/>
          <w:szCs w:val="21"/>
        </w:rPr>
        <w:t>Provider Indemnitees</w:t>
      </w:r>
      <w:r>
        <w:rPr>
          <w:rFonts w:ascii="Arial" w:eastAsia="Arial" w:hAnsi="Arial" w:cs="Arial"/>
          <w:sz w:val="21"/>
          <w:szCs w:val="21"/>
        </w:rPr>
        <w:t xml:space="preserve">”) from and against any and all damage, loss and expense </w:t>
      </w:r>
      <w:r>
        <w:rPr>
          <w:rFonts w:ascii="Arial" w:eastAsia="Arial" w:hAnsi="Arial" w:cs="Arial"/>
          <w:sz w:val="21"/>
          <w:szCs w:val="21"/>
        </w:rPr>
        <w:t>(including reasonable expenses of investigation</w:t>
      </w:r>
      <w:r>
        <w:rPr>
          <w:rFonts w:ascii="Arial" w:eastAsia="Arial" w:hAnsi="Arial" w:cs="Arial"/>
          <w:b/>
          <w:bCs/>
          <w:sz w:val="21"/>
          <w:szCs w:val="21"/>
        </w:rPr>
        <w:t xml:space="preserve"> </w:t>
      </w:r>
      <w:r>
        <w:rPr>
          <w:rFonts w:ascii="Arial" w:eastAsia="Arial" w:hAnsi="Arial" w:cs="Arial"/>
          <w:sz w:val="21"/>
          <w:szCs w:val="21"/>
        </w:rPr>
        <w:t>and reasonable attorneys’ fees and expenses in connection with any action, suit or proceeding whether involving a third party claim or a claim solely between the parties hereto) (“</w:t>
      </w:r>
      <w:r>
        <w:rPr>
          <w:rFonts w:ascii="Arial" w:eastAsia="Arial" w:hAnsi="Arial" w:cs="Arial"/>
          <w:b/>
          <w:bCs/>
          <w:sz w:val="21"/>
          <w:szCs w:val="21"/>
        </w:rPr>
        <w:t>Damages</w:t>
      </w:r>
      <w:r>
        <w:rPr>
          <w:rFonts w:ascii="Arial" w:eastAsia="Arial" w:hAnsi="Arial" w:cs="Arial"/>
          <w:sz w:val="21"/>
          <w:szCs w:val="21"/>
        </w:rPr>
        <w:t>”) asserted against o</w:t>
      </w:r>
      <w:r>
        <w:rPr>
          <w:rFonts w:ascii="Arial" w:eastAsia="Arial" w:hAnsi="Arial" w:cs="Arial"/>
          <w:sz w:val="21"/>
          <w:szCs w:val="21"/>
        </w:rPr>
        <w:t>r incurred by any Service Provider Indemnitee as a result or arising out of (i) a Service Recipient’s or any of its Affiliates’ breach of this Agreement, (ii) the provision of the Services by such Service Provider Indemnitee or the use of the Services by a</w:t>
      </w:r>
      <w:r>
        <w:rPr>
          <w:rFonts w:ascii="Arial" w:eastAsia="Arial" w:hAnsi="Arial" w:cs="Arial"/>
          <w:sz w:val="21"/>
          <w:szCs w:val="21"/>
        </w:rPr>
        <w:t xml:space="preserve"> Service Recipient or any of its Affiliates or (iii) a Service Recipient’s or any of its Affiliates’ gross negligence, fraud or willful misconduct; </w:t>
      </w:r>
      <w:r>
        <w:rPr>
          <w:rFonts w:ascii="Arial" w:eastAsia="Arial" w:hAnsi="Arial" w:cs="Arial"/>
          <w:i/>
          <w:iCs/>
          <w:sz w:val="21"/>
          <w:szCs w:val="21"/>
        </w:rPr>
        <w:t>provided</w:t>
      </w:r>
      <w:r>
        <w:rPr>
          <w:rFonts w:ascii="Arial" w:eastAsia="Arial" w:hAnsi="Arial" w:cs="Arial"/>
          <w:sz w:val="21"/>
          <w:szCs w:val="21"/>
        </w:rPr>
        <w:t xml:space="preserve"> that L Brands shall not be responsible for any Damages to the extent Service Provider is required t</w:t>
      </w:r>
      <w:r>
        <w:rPr>
          <w:rFonts w:ascii="Arial" w:eastAsia="Arial" w:hAnsi="Arial" w:cs="Arial"/>
          <w:sz w:val="21"/>
          <w:szCs w:val="21"/>
        </w:rPr>
        <w:t>o indemnify a Service Recipient Indemnitee pursuant to Section 6.01(b).</w:t>
      </w:r>
    </w:p>
    <w:p w14:paraId="64BB667D" w14:textId="77777777" w:rsidR="00D1587D" w:rsidRDefault="00D1587D">
      <w:pPr>
        <w:spacing w:line="208" w:lineRule="exact"/>
        <w:rPr>
          <w:sz w:val="20"/>
          <w:szCs w:val="20"/>
        </w:rPr>
      </w:pPr>
    </w:p>
    <w:p w14:paraId="0457AA99" w14:textId="77777777" w:rsidR="00D1587D" w:rsidRDefault="00410D07">
      <w:pPr>
        <w:numPr>
          <w:ilvl w:val="0"/>
          <w:numId w:val="92"/>
        </w:numPr>
        <w:tabs>
          <w:tab w:val="left" w:pos="1440"/>
        </w:tabs>
        <w:spacing w:line="235" w:lineRule="auto"/>
        <w:ind w:right="140" w:firstLine="656"/>
        <w:rPr>
          <w:rFonts w:ascii="Arial" w:eastAsia="Arial" w:hAnsi="Arial" w:cs="Arial"/>
        </w:rPr>
      </w:pPr>
      <w:r>
        <w:rPr>
          <w:rFonts w:ascii="Arial" w:eastAsia="Arial" w:hAnsi="Arial" w:cs="Arial"/>
        </w:rPr>
        <w:t>Service Provider agrees to indemnify and hold harmless each Service Recipient, its Affiliates and its and their respective Representatives (collectively, the “</w:t>
      </w:r>
      <w:r>
        <w:rPr>
          <w:rFonts w:ascii="Arial" w:eastAsia="Arial" w:hAnsi="Arial" w:cs="Arial"/>
          <w:b/>
          <w:bCs/>
        </w:rPr>
        <w:t>Service Recipient Indemn</w:t>
      </w:r>
      <w:r>
        <w:rPr>
          <w:rFonts w:ascii="Arial" w:eastAsia="Arial" w:hAnsi="Arial" w:cs="Arial"/>
          <w:b/>
          <w:bCs/>
        </w:rPr>
        <w:t>itees</w:t>
      </w:r>
      <w:r>
        <w:rPr>
          <w:rFonts w:ascii="Arial" w:eastAsia="Arial" w:hAnsi="Arial" w:cs="Arial"/>
        </w:rPr>
        <w:t>”) from and against any and all Damages asserted against or incurred by any Service Recipient Indemnitee as a result or arising out of (i) a Service Provider Party’s breach of this Agreement or (ii) a Service Provider’s gross negligence, fraud or will</w:t>
      </w:r>
      <w:r>
        <w:rPr>
          <w:rFonts w:ascii="Arial" w:eastAsia="Arial" w:hAnsi="Arial" w:cs="Arial"/>
        </w:rPr>
        <w:t xml:space="preserve">ful misconduct; </w:t>
      </w:r>
      <w:r>
        <w:rPr>
          <w:rFonts w:ascii="Arial" w:eastAsia="Arial" w:hAnsi="Arial" w:cs="Arial"/>
          <w:i/>
          <w:iCs/>
        </w:rPr>
        <w:t>provided</w:t>
      </w:r>
      <w:r>
        <w:rPr>
          <w:rFonts w:ascii="Arial" w:eastAsia="Arial" w:hAnsi="Arial" w:cs="Arial"/>
        </w:rPr>
        <w:t xml:space="preserve"> that Service Provider shall not be responsible for any Damages to the extent L Brands is required to indemnify a Service Provider Indemnitee pursuant to Section 6.01(a).</w:t>
      </w:r>
    </w:p>
    <w:p w14:paraId="32385340" w14:textId="77777777" w:rsidR="00D1587D" w:rsidRDefault="00D1587D">
      <w:pPr>
        <w:spacing w:line="215" w:lineRule="exact"/>
        <w:rPr>
          <w:sz w:val="20"/>
          <w:szCs w:val="20"/>
        </w:rPr>
      </w:pPr>
    </w:p>
    <w:p w14:paraId="35DE8369" w14:textId="77777777" w:rsidR="00D1587D" w:rsidRDefault="00410D07">
      <w:pPr>
        <w:tabs>
          <w:tab w:val="left" w:pos="2300"/>
        </w:tabs>
        <w:ind w:left="660"/>
        <w:rPr>
          <w:sz w:val="20"/>
          <w:szCs w:val="20"/>
        </w:rPr>
      </w:pPr>
      <w:r>
        <w:rPr>
          <w:rFonts w:ascii="Arial" w:eastAsia="Arial" w:hAnsi="Arial" w:cs="Arial"/>
        </w:rPr>
        <w:t>Section 6.02.</w:t>
      </w:r>
      <w:r>
        <w:rPr>
          <w:sz w:val="20"/>
          <w:szCs w:val="20"/>
        </w:rPr>
        <w:tab/>
      </w:r>
      <w:r>
        <w:rPr>
          <w:rFonts w:ascii="Arial" w:eastAsia="Arial" w:hAnsi="Arial" w:cs="Arial"/>
          <w:i/>
          <w:iCs/>
          <w:sz w:val="19"/>
          <w:szCs w:val="19"/>
        </w:rPr>
        <w:t>Third Party Claim Procedures</w:t>
      </w:r>
      <w:r>
        <w:rPr>
          <w:rFonts w:ascii="Arial" w:eastAsia="Arial" w:hAnsi="Arial" w:cs="Arial"/>
          <w:sz w:val="19"/>
          <w:szCs w:val="19"/>
        </w:rPr>
        <w:t>. (a) The party se</w:t>
      </w:r>
      <w:r>
        <w:rPr>
          <w:rFonts w:ascii="Arial" w:eastAsia="Arial" w:hAnsi="Arial" w:cs="Arial"/>
          <w:sz w:val="19"/>
          <w:szCs w:val="19"/>
        </w:rPr>
        <w:t>eking indemnification under Section 6.01 (the</w:t>
      </w:r>
    </w:p>
    <w:p w14:paraId="34641FB9" w14:textId="77777777" w:rsidR="00D1587D" w:rsidRDefault="00D1587D">
      <w:pPr>
        <w:spacing w:line="8" w:lineRule="exact"/>
        <w:rPr>
          <w:sz w:val="20"/>
          <w:szCs w:val="20"/>
        </w:rPr>
      </w:pPr>
    </w:p>
    <w:p w14:paraId="0021C81D" w14:textId="77777777" w:rsidR="00D1587D" w:rsidRDefault="00410D07">
      <w:pPr>
        <w:rPr>
          <w:sz w:val="20"/>
          <w:szCs w:val="20"/>
        </w:rPr>
      </w:pPr>
      <w:r>
        <w:rPr>
          <w:rFonts w:ascii="Arial" w:eastAsia="Arial" w:hAnsi="Arial" w:cs="Arial"/>
          <w:sz w:val="21"/>
          <w:szCs w:val="21"/>
        </w:rPr>
        <w:t>“</w:t>
      </w:r>
      <w:r>
        <w:rPr>
          <w:rFonts w:ascii="Arial" w:eastAsia="Arial" w:hAnsi="Arial" w:cs="Arial"/>
          <w:b/>
          <w:bCs/>
          <w:sz w:val="21"/>
          <w:szCs w:val="21"/>
        </w:rPr>
        <w:t>Indemnified Party</w:t>
      </w:r>
      <w:r>
        <w:rPr>
          <w:rFonts w:ascii="Arial" w:eastAsia="Arial" w:hAnsi="Arial" w:cs="Arial"/>
          <w:sz w:val="21"/>
          <w:szCs w:val="21"/>
        </w:rPr>
        <w:t>”) agrees to give prompt notice in writing to the party against whom indemnity is to be sought (the</w:t>
      </w:r>
    </w:p>
    <w:p w14:paraId="2B06B416" w14:textId="77777777" w:rsidR="00D1587D" w:rsidRDefault="00D1587D">
      <w:pPr>
        <w:spacing w:line="2" w:lineRule="exact"/>
        <w:rPr>
          <w:sz w:val="20"/>
          <w:szCs w:val="20"/>
        </w:rPr>
      </w:pPr>
    </w:p>
    <w:p w14:paraId="3B3788A2" w14:textId="77777777" w:rsidR="00D1587D" w:rsidRDefault="00410D07">
      <w:pPr>
        <w:rPr>
          <w:sz w:val="20"/>
          <w:szCs w:val="20"/>
        </w:rPr>
      </w:pPr>
      <w:r>
        <w:rPr>
          <w:rFonts w:ascii="Arial" w:eastAsia="Arial" w:hAnsi="Arial" w:cs="Arial"/>
          <w:sz w:val="19"/>
          <w:szCs w:val="19"/>
        </w:rPr>
        <w:t>“</w:t>
      </w:r>
      <w:r>
        <w:rPr>
          <w:rFonts w:ascii="Arial" w:eastAsia="Arial" w:hAnsi="Arial" w:cs="Arial"/>
          <w:b/>
          <w:bCs/>
          <w:sz w:val="19"/>
          <w:szCs w:val="19"/>
        </w:rPr>
        <w:t>Indemnifying Party</w:t>
      </w:r>
      <w:r>
        <w:rPr>
          <w:rFonts w:ascii="Arial" w:eastAsia="Arial" w:hAnsi="Arial" w:cs="Arial"/>
          <w:sz w:val="19"/>
          <w:szCs w:val="19"/>
        </w:rPr>
        <w:t xml:space="preserve">”) of the assertion of any claim or the commencement of any suit, </w:t>
      </w:r>
      <w:r>
        <w:rPr>
          <w:rFonts w:ascii="Arial" w:eastAsia="Arial" w:hAnsi="Arial" w:cs="Arial"/>
          <w:sz w:val="19"/>
          <w:szCs w:val="19"/>
        </w:rPr>
        <w:t>action or proceeding by any third party</w:t>
      </w:r>
    </w:p>
    <w:p w14:paraId="5C819281" w14:textId="77777777" w:rsidR="00D1587D" w:rsidRDefault="00D1587D">
      <w:pPr>
        <w:spacing w:line="25" w:lineRule="exact"/>
        <w:rPr>
          <w:sz w:val="20"/>
          <w:szCs w:val="20"/>
        </w:rPr>
      </w:pPr>
    </w:p>
    <w:p w14:paraId="71DE4F07" w14:textId="77777777" w:rsidR="00D1587D" w:rsidRDefault="00410D07">
      <w:pPr>
        <w:rPr>
          <w:sz w:val="20"/>
          <w:szCs w:val="20"/>
        </w:rPr>
      </w:pPr>
      <w:r>
        <w:rPr>
          <w:rFonts w:ascii="Arial" w:eastAsia="Arial" w:hAnsi="Arial" w:cs="Arial"/>
          <w:sz w:val="21"/>
          <w:szCs w:val="21"/>
        </w:rPr>
        <w:t>(“</w:t>
      </w:r>
      <w:r>
        <w:rPr>
          <w:rFonts w:ascii="Arial" w:eastAsia="Arial" w:hAnsi="Arial" w:cs="Arial"/>
          <w:b/>
          <w:bCs/>
          <w:sz w:val="21"/>
          <w:szCs w:val="21"/>
        </w:rPr>
        <w:t>Third Party Claim</w:t>
      </w:r>
      <w:r>
        <w:rPr>
          <w:rFonts w:ascii="Arial" w:eastAsia="Arial" w:hAnsi="Arial" w:cs="Arial"/>
          <w:sz w:val="21"/>
          <w:szCs w:val="21"/>
        </w:rPr>
        <w:t>”) in respect of which indemnity may be sought under such Section. Such notice shall set forth in</w:t>
      </w:r>
    </w:p>
    <w:p w14:paraId="788ABC85" w14:textId="77777777" w:rsidR="00D1587D" w:rsidRDefault="00D1587D">
      <w:pPr>
        <w:spacing w:line="2" w:lineRule="exact"/>
        <w:rPr>
          <w:sz w:val="20"/>
          <w:szCs w:val="20"/>
        </w:rPr>
      </w:pPr>
    </w:p>
    <w:p w14:paraId="7D6F399E" w14:textId="77777777" w:rsidR="00D1587D" w:rsidRDefault="00410D07">
      <w:pPr>
        <w:rPr>
          <w:sz w:val="20"/>
          <w:szCs w:val="20"/>
        </w:rPr>
      </w:pPr>
      <w:r>
        <w:rPr>
          <w:rFonts w:ascii="Arial" w:eastAsia="Arial" w:hAnsi="Arial" w:cs="Arial"/>
          <w:sz w:val="19"/>
          <w:szCs w:val="19"/>
        </w:rPr>
        <w:t>reasonable detail such Third Party Claim and the basis for indemnification (taking into account t</w:t>
      </w:r>
      <w:r>
        <w:rPr>
          <w:rFonts w:ascii="Arial" w:eastAsia="Arial" w:hAnsi="Arial" w:cs="Arial"/>
          <w:sz w:val="19"/>
          <w:szCs w:val="19"/>
        </w:rPr>
        <w:t>he information then available to</w:t>
      </w:r>
    </w:p>
    <w:p w14:paraId="2F02539E" w14:textId="77777777" w:rsidR="00D1587D" w:rsidRDefault="00D1587D">
      <w:pPr>
        <w:spacing w:line="25" w:lineRule="exact"/>
        <w:rPr>
          <w:sz w:val="20"/>
          <w:szCs w:val="20"/>
        </w:rPr>
      </w:pPr>
    </w:p>
    <w:p w14:paraId="074E9990" w14:textId="77777777" w:rsidR="00D1587D" w:rsidRDefault="00410D07">
      <w:pPr>
        <w:rPr>
          <w:sz w:val="20"/>
          <w:szCs w:val="20"/>
        </w:rPr>
      </w:pPr>
      <w:r>
        <w:rPr>
          <w:rFonts w:ascii="Arial" w:eastAsia="Arial" w:hAnsi="Arial" w:cs="Arial"/>
          <w:sz w:val="19"/>
          <w:szCs w:val="19"/>
        </w:rPr>
        <w:t>the Indemnified Party). The failure to so notify the Indemnifying Party shall not relieve the Indemnifying Party of its obligations</w:t>
      </w:r>
    </w:p>
    <w:p w14:paraId="6D65CF86" w14:textId="77777777" w:rsidR="00D1587D" w:rsidRDefault="00D1587D">
      <w:pPr>
        <w:spacing w:line="25" w:lineRule="exact"/>
        <w:rPr>
          <w:sz w:val="20"/>
          <w:szCs w:val="20"/>
        </w:rPr>
      </w:pPr>
    </w:p>
    <w:p w14:paraId="75D739F1" w14:textId="77777777" w:rsidR="00D1587D" w:rsidRDefault="00410D07">
      <w:pPr>
        <w:rPr>
          <w:sz w:val="20"/>
          <w:szCs w:val="20"/>
        </w:rPr>
      </w:pPr>
      <w:r>
        <w:rPr>
          <w:rFonts w:ascii="Arial" w:eastAsia="Arial" w:hAnsi="Arial" w:cs="Arial"/>
        </w:rPr>
        <w:t xml:space="preserve">hereunder, except to the extent such failure shall have materially and adversely </w:t>
      </w:r>
      <w:r>
        <w:rPr>
          <w:rFonts w:ascii="Arial" w:eastAsia="Arial" w:hAnsi="Arial" w:cs="Arial"/>
        </w:rPr>
        <w:t>prejudiced the Indemnifying Party.</w:t>
      </w:r>
    </w:p>
    <w:p w14:paraId="5CD6D2E7" w14:textId="77777777" w:rsidR="00D1587D" w:rsidRDefault="00D1587D">
      <w:pPr>
        <w:spacing w:line="215" w:lineRule="exact"/>
        <w:rPr>
          <w:sz w:val="20"/>
          <w:szCs w:val="20"/>
        </w:rPr>
      </w:pPr>
    </w:p>
    <w:p w14:paraId="3865C79A" w14:textId="77777777" w:rsidR="00D1587D" w:rsidRDefault="00410D07">
      <w:pPr>
        <w:numPr>
          <w:ilvl w:val="0"/>
          <w:numId w:val="93"/>
        </w:numPr>
        <w:tabs>
          <w:tab w:val="left" w:pos="1440"/>
        </w:tabs>
        <w:ind w:firstLine="656"/>
        <w:rPr>
          <w:rFonts w:ascii="Arial" w:eastAsia="Arial" w:hAnsi="Arial" w:cs="Arial"/>
        </w:rPr>
      </w:pPr>
      <w:r>
        <w:rPr>
          <w:rFonts w:ascii="Arial" w:eastAsia="Arial" w:hAnsi="Arial" w:cs="Arial"/>
        </w:rPr>
        <w:t>The Indemnifying Party shall be entitled to participate in the defense of any Third Party Claim and, subject to the limitations set forth in this Section, shall be entitled to control and appoint lead counsel for such de</w:t>
      </w:r>
      <w:r>
        <w:rPr>
          <w:rFonts w:ascii="Arial" w:eastAsia="Arial" w:hAnsi="Arial" w:cs="Arial"/>
        </w:rPr>
        <w:t>fense, in each case at its own expense.</w:t>
      </w:r>
    </w:p>
    <w:p w14:paraId="33A73710" w14:textId="77777777" w:rsidR="00D1587D" w:rsidRDefault="00D1587D">
      <w:pPr>
        <w:spacing w:line="213" w:lineRule="exact"/>
        <w:rPr>
          <w:rFonts w:ascii="Arial" w:eastAsia="Arial" w:hAnsi="Arial" w:cs="Arial"/>
        </w:rPr>
      </w:pPr>
    </w:p>
    <w:p w14:paraId="30F82BAB" w14:textId="77777777" w:rsidR="00D1587D" w:rsidRDefault="00410D07">
      <w:pPr>
        <w:numPr>
          <w:ilvl w:val="0"/>
          <w:numId w:val="93"/>
        </w:numPr>
        <w:tabs>
          <w:tab w:val="left" w:pos="1428"/>
        </w:tabs>
        <w:spacing w:line="234" w:lineRule="auto"/>
        <w:ind w:right="40" w:firstLine="656"/>
        <w:rPr>
          <w:rFonts w:ascii="Arial" w:eastAsia="Arial" w:hAnsi="Arial" w:cs="Arial"/>
        </w:rPr>
      </w:pPr>
      <w:r>
        <w:rPr>
          <w:rFonts w:ascii="Arial" w:eastAsia="Arial" w:hAnsi="Arial" w:cs="Arial"/>
        </w:rPr>
        <w:t>If the Indemnifying Party shall assume the control of the defense of any Third Party Claim in accordance with the provisions of this Section 6.02, (i) the Indemnifying Party shall obtain the prior written consent of</w:t>
      </w:r>
      <w:r>
        <w:rPr>
          <w:rFonts w:ascii="Arial" w:eastAsia="Arial" w:hAnsi="Arial" w:cs="Arial"/>
        </w:rPr>
        <w:t xml:space="preserve"> the Indemnified Party (which shall not be unreasonably withheld, conditioned or delayed) before entering into any settlement of such Third Party Claim, if the settlement does not release the Indemnified Party and its Affiliates from all liabilities and ob</w:t>
      </w:r>
      <w:r>
        <w:rPr>
          <w:rFonts w:ascii="Arial" w:eastAsia="Arial" w:hAnsi="Arial" w:cs="Arial"/>
        </w:rPr>
        <w:t>ligations with respect to such Third Party Claim or the settlement imposes injunctive or other equitable relief against the Indemnified Party or any of its Affiliates and (ii) the Indemnified Party shall be entitled to participate in the defense of any Thi</w:t>
      </w:r>
      <w:r>
        <w:rPr>
          <w:rFonts w:ascii="Arial" w:eastAsia="Arial" w:hAnsi="Arial" w:cs="Arial"/>
        </w:rPr>
        <w:t>rd Party Claim and to employ separate counsel of its choice for such purpose. The fees and expenses of such separate counsel shall be paid by the Indemnified Party.</w:t>
      </w:r>
    </w:p>
    <w:p w14:paraId="3BB00435" w14:textId="77777777" w:rsidR="00D1587D" w:rsidRDefault="00D1587D">
      <w:pPr>
        <w:spacing w:line="213" w:lineRule="exact"/>
        <w:rPr>
          <w:rFonts w:ascii="Arial" w:eastAsia="Arial" w:hAnsi="Arial" w:cs="Arial"/>
        </w:rPr>
      </w:pPr>
    </w:p>
    <w:p w14:paraId="6A9E2ADC" w14:textId="77777777" w:rsidR="00D1587D" w:rsidRDefault="00410D07">
      <w:pPr>
        <w:numPr>
          <w:ilvl w:val="0"/>
          <w:numId w:val="93"/>
        </w:numPr>
        <w:tabs>
          <w:tab w:val="left" w:pos="1440"/>
        </w:tabs>
        <w:spacing w:line="238" w:lineRule="auto"/>
        <w:ind w:right="440" w:firstLine="656"/>
        <w:rPr>
          <w:rFonts w:ascii="Arial" w:eastAsia="Arial" w:hAnsi="Arial" w:cs="Arial"/>
        </w:rPr>
      </w:pPr>
      <w:r>
        <w:rPr>
          <w:rFonts w:ascii="Arial" w:eastAsia="Arial" w:hAnsi="Arial" w:cs="Arial"/>
        </w:rPr>
        <w:t xml:space="preserve">Each party hereto shall cooperate, and cause their respective Affiliates to cooperate, in </w:t>
      </w:r>
      <w:r>
        <w:rPr>
          <w:rFonts w:ascii="Arial" w:eastAsia="Arial" w:hAnsi="Arial" w:cs="Arial"/>
        </w:rPr>
        <w:t>the defense or prosecution of any Third Party Claim and shall furnish or cause to be furnished such records, information and testimony, and attend such conferences, discovery proceedings, hearings, trials or appeals, as may be reasonably requested in conne</w:t>
      </w:r>
      <w:r>
        <w:rPr>
          <w:rFonts w:ascii="Arial" w:eastAsia="Arial" w:hAnsi="Arial" w:cs="Arial"/>
        </w:rPr>
        <w:t>ction therewith.</w:t>
      </w:r>
    </w:p>
    <w:p w14:paraId="50DF304F" w14:textId="77777777" w:rsidR="00D1587D" w:rsidRDefault="00D1587D">
      <w:pPr>
        <w:spacing w:line="390" w:lineRule="exact"/>
        <w:rPr>
          <w:sz w:val="20"/>
          <w:szCs w:val="20"/>
        </w:rPr>
      </w:pPr>
    </w:p>
    <w:p w14:paraId="1D4D203E" w14:textId="77777777" w:rsidR="00D1587D" w:rsidRDefault="00410D07">
      <w:pPr>
        <w:jc w:val="center"/>
        <w:rPr>
          <w:sz w:val="20"/>
          <w:szCs w:val="20"/>
        </w:rPr>
      </w:pPr>
      <w:r>
        <w:rPr>
          <w:rFonts w:ascii="Arial" w:eastAsia="Arial" w:hAnsi="Arial" w:cs="Arial"/>
          <w:sz w:val="14"/>
          <w:szCs w:val="14"/>
        </w:rPr>
        <w:t>14</w:t>
      </w:r>
    </w:p>
    <w:p w14:paraId="32DAA053" w14:textId="77777777" w:rsidR="00D1587D" w:rsidRDefault="00410D07">
      <w:pPr>
        <w:spacing w:line="20" w:lineRule="exact"/>
        <w:rPr>
          <w:sz w:val="20"/>
          <w:szCs w:val="20"/>
        </w:rPr>
      </w:pPr>
      <w:r>
        <w:rPr>
          <w:noProof/>
          <w:sz w:val="20"/>
          <w:szCs w:val="20"/>
        </w:rPr>
        <w:drawing>
          <wp:anchor distT="0" distB="0" distL="114300" distR="114300" simplePos="0" relativeHeight="251279360" behindDoc="1" locked="0" layoutInCell="0" allowOverlap="1" wp14:anchorId="77CC74B0" wp14:editId="79A58290">
            <wp:simplePos x="0" y="0"/>
            <wp:positionH relativeFrom="column">
              <wp:posOffset>5080</wp:posOffset>
            </wp:positionH>
            <wp:positionV relativeFrom="paragraph">
              <wp:posOffset>38100</wp:posOffset>
            </wp:positionV>
            <wp:extent cx="7132320" cy="1714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84553AB" w14:textId="77777777" w:rsidR="00D1587D" w:rsidRDefault="00D1587D">
      <w:pPr>
        <w:sectPr w:rsidR="00D1587D">
          <w:pgSz w:w="11900" w:h="16838"/>
          <w:pgMar w:top="361" w:right="339" w:bottom="1440" w:left="320" w:header="0" w:footer="0" w:gutter="0"/>
          <w:cols w:space="720" w:equalWidth="0">
            <w:col w:w="11240"/>
          </w:cols>
        </w:sectPr>
      </w:pPr>
    </w:p>
    <w:p w14:paraId="66A76D7B" w14:textId="77777777" w:rsidR="00D1587D" w:rsidRDefault="00410D07">
      <w:pPr>
        <w:spacing w:line="273" w:lineRule="auto"/>
        <w:ind w:right="20" w:firstLine="648"/>
        <w:rPr>
          <w:sz w:val="20"/>
          <w:szCs w:val="20"/>
        </w:rPr>
      </w:pPr>
      <w:bookmarkStart w:id="128" w:name="page129"/>
      <w:bookmarkEnd w:id="128"/>
      <w:r>
        <w:rPr>
          <w:rFonts w:ascii="Arial" w:eastAsia="Arial" w:hAnsi="Arial" w:cs="Arial"/>
          <w:sz w:val="19"/>
          <w:szCs w:val="19"/>
        </w:rPr>
        <w:t xml:space="preserve">Section 6.03. </w:t>
      </w:r>
      <w:r>
        <w:rPr>
          <w:rFonts w:ascii="Arial" w:eastAsia="Arial" w:hAnsi="Arial" w:cs="Arial"/>
          <w:i/>
          <w:iCs/>
          <w:sz w:val="19"/>
          <w:szCs w:val="19"/>
        </w:rPr>
        <w:t>Direct Claim Procedures</w:t>
      </w:r>
      <w:r>
        <w:rPr>
          <w:rFonts w:ascii="Arial" w:eastAsia="Arial" w:hAnsi="Arial" w:cs="Arial"/>
          <w:sz w:val="19"/>
          <w:szCs w:val="19"/>
        </w:rPr>
        <w:t xml:space="preserve">. In the event an Indemnified Party has a claim for indemnity under Section 6.01 against an Indemnifying Party that does not involve a Third Party Claim, the Indemnified Party </w:t>
      </w:r>
      <w:r>
        <w:rPr>
          <w:rFonts w:ascii="Arial" w:eastAsia="Arial" w:hAnsi="Arial" w:cs="Arial"/>
          <w:sz w:val="19"/>
          <w:szCs w:val="19"/>
        </w:rPr>
        <w:t>agrees to give prompt notice in writing of such claim to the Indemnifying Party. Such notice shall set forth in reasonable detail such claim and the basis for indemnification (taking into account the information then available to the Indemnified Party). Th</w:t>
      </w:r>
      <w:r>
        <w:rPr>
          <w:rFonts w:ascii="Arial" w:eastAsia="Arial" w:hAnsi="Arial" w:cs="Arial"/>
          <w:sz w:val="19"/>
          <w:szCs w:val="19"/>
        </w:rPr>
        <w:t>e failure to so notify the Indemnifying Party shall not relieve the Indemnifying Party of its obligations hereunder, except to the extent such failure shall have materially and adversely prejudiced the Indemnifying Party. If the Indemnifying Party does not</w:t>
      </w:r>
      <w:r>
        <w:rPr>
          <w:rFonts w:ascii="Arial" w:eastAsia="Arial" w:hAnsi="Arial" w:cs="Arial"/>
          <w:sz w:val="19"/>
          <w:szCs w:val="19"/>
        </w:rPr>
        <w:t xml:space="preserve"> notify the Indemnified Party within 30 days following the receipt of a notice with respect to any such claim that the Indemnifying Party disputes its indemnity obligation to the Indemnified Party for any Damages with respect to such claim, such Damages sh</w:t>
      </w:r>
      <w:r>
        <w:rPr>
          <w:rFonts w:ascii="Arial" w:eastAsia="Arial" w:hAnsi="Arial" w:cs="Arial"/>
          <w:sz w:val="19"/>
          <w:szCs w:val="19"/>
        </w:rPr>
        <w:t>all be conclusively deemed a liability of the Indemnifying Party and the Indemnifying Party shall promptly pay to the Indemnified Party any and all Damages arising out of such claim. If the Indemnifying Party has timely disputed its indemnity obligation fo</w:t>
      </w:r>
      <w:r>
        <w:rPr>
          <w:rFonts w:ascii="Arial" w:eastAsia="Arial" w:hAnsi="Arial" w:cs="Arial"/>
          <w:sz w:val="19"/>
          <w:szCs w:val="19"/>
        </w:rPr>
        <w:t>r any Damages with respect to such claim, the parties shall follow the dispute resolution procedures set forth in Section 9.07.</w:t>
      </w:r>
    </w:p>
    <w:p w14:paraId="402007E3" w14:textId="77777777" w:rsidR="00D1587D" w:rsidRDefault="00D1587D">
      <w:pPr>
        <w:spacing w:line="182" w:lineRule="exact"/>
        <w:rPr>
          <w:sz w:val="20"/>
          <w:szCs w:val="20"/>
        </w:rPr>
      </w:pPr>
    </w:p>
    <w:p w14:paraId="27DB6123" w14:textId="77777777" w:rsidR="00D1587D" w:rsidRDefault="00410D07">
      <w:pPr>
        <w:spacing w:line="277" w:lineRule="auto"/>
        <w:ind w:right="180" w:firstLine="648"/>
        <w:rPr>
          <w:sz w:val="20"/>
          <w:szCs w:val="20"/>
        </w:rPr>
      </w:pPr>
      <w:r>
        <w:rPr>
          <w:rFonts w:ascii="Arial" w:eastAsia="Arial" w:hAnsi="Arial" w:cs="Arial"/>
          <w:sz w:val="19"/>
          <w:szCs w:val="19"/>
        </w:rPr>
        <w:t xml:space="preserve">Section 6.04. </w:t>
      </w:r>
      <w:r>
        <w:rPr>
          <w:rFonts w:ascii="Arial" w:eastAsia="Arial" w:hAnsi="Arial" w:cs="Arial"/>
          <w:i/>
          <w:iCs/>
          <w:sz w:val="19"/>
          <w:szCs w:val="19"/>
        </w:rPr>
        <w:t>Calculation of Damages</w:t>
      </w:r>
      <w:r>
        <w:rPr>
          <w:rFonts w:ascii="Arial" w:eastAsia="Arial" w:hAnsi="Arial" w:cs="Arial"/>
          <w:sz w:val="19"/>
          <w:szCs w:val="19"/>
        </w:rPr>
        <w:t>. The amount of any Damages payable under Section 6.01 by the Indemnifying Party shall be n</w:t>
      </w:r>
      <w:r>
        <w:rPr>
          <w:rFonts w:ascii="Arial" w:eastAsia="Arial" w:hAnsi="Arial" w:cs="Arial"/>
          <w:sz w:val="19"/>
          <w:szCs w:val="19"/>
        </w:rPr>
        <w:t>et of any amounts recovered by the Indemnified Party under applicable insurance policies or from any other Person alleged to be responsible therefor. If the Indemnified Party receives any amounts under applicable insurance policies, or from any other Perso</w:t>
      </w:r>
      <w:r>
        <w:rPr>
          <w:rFonts w:ascii="Arial" w:eastAsia="Arial" w:hAnsi="Arial" w:cs="Arial"/>
          <w:sz w:val="19"/>
          <w:szCs w:val="19"/>
        </w:rPr>
        <w:t>n alleged to be responsible for any Damages, subsequent to an indemnification payment by the Indemnifying Party, then such Indemnified Party shall promptly reimburse the Indemnifying Party for any payment made or expense incurred by such Indemnifying Party</w:t>
      </w:r>
      <w:r>
        <w:rPr>
          <w:rFonts w:ascii="Arial" w:eastAsia="Arial" w:hAnsi="Arial" w:cs="Arial"/>
          <w:sz w:val="19"/>
          <w:szCs w:val="19"/>
        </w:rPr>
        <w:t xml:space="preserve"> in connection with providing such indemnification payment up to the amount received by the Indemnified Party, net of any expenses incurred by such Indemnified Party in collecting such amount.</w:t>
      </w:r>
    </w:p>
    <w:p w14:paraId="262A551B" w14:textId="77777777" w:rsidR="00D1587D" w:rsidRDefault="00D1587D">
      <w:pPr>
        <w:spacing w:line="179" w:lineRule="exact"/>
        <w:rPr>
          <w:sz w:val="20"/>
          <w:szCs w:val="20"/>
        </w:rPr>
      </w:pPr>
    </w:p>
    <w:p w14:paraId="410FBB09" w14:textId="77777777" w:rsidR="00D1587D" w:rsidRDefault="00410D07">
      <w:pPr>
        <w:ind w:right="20" w:firstLine="648"/>
        <w:rPr>
          <w:sz w:val="20"/>
          <w:szCs w:val="20"/>
        </w:rPr>
      </w:pPr>
      <w:r>
        <w:rPr>
          <w:rFonts w:ascii="Arial" w:eastAsia="Arial" w:hAnsi="Arial" w:cs="Arial"/>
        </w:rPr>
        <w:t xml:space="preserve">Section 6.05. </w:t>
      </w:r>
      <w:r>
        <w:rPr>
          <w:rFonts w:ascii="Arial" w:eastAsia="Arial" w:hAnsi="Arial" w:cs="Arial"/>
          <w:i/>
          <w:iCs/>
        </w:rPr>
        <w:t>No Warranties</w:t>
      </w:r>
      <w:r>
        <w:rPr>
          <w:rFonts w:ascii="Arial" w:eastAsia="Arial" w:hAnsi="Arial" w:cs="Arial"/>
        </w:rPr>
        <w:t xml:space="preserve">. Except as expressly set </w:t>
      </w:r>
      <w:r>
        <w:rPr>
          <w:rFonts w:ascii="Arial" w:eastAsia="Arial" w:hAnsi="Arial" w:cs="Arial"/>
        </w:rPr>
        <w:t>forth in this Agreement, neither party hereto makes, and no party hereto is relying on, any warranty, express or implied, with respect to the Services and each party hereto hereby specifically disclaims any implied warranty of reasonable care or workmanlik</w:t>
      </w:r>
      <w:r>
        <w:rPr>
          <w:rFonts w:ascii="Arial" w:eastAsia="Arial" w:hAnsi="Arial" w:cs="Arial"/>
        </w:rPr>
        <w:t>e effort.</w:t>
      </w:r>
    </w:p>
    <w:p w14:paraId="13871406" w14:textId="77777777" w:rsidR="00D1587D" w:rsidRDefault="00D1587D">
      <w:pPr>
        <w:spacing w:line="213" w:lineRule="exact"/>
        <w:rPr>
          <w:sz w:val="20"/>
          <w:szCs w:val="20"/>
        </w:rPr>
      </w:pPr>
    </w:p>
    <w:p w14:paraId="4017F628" w14:textId="77777777" w:rsidR="00D1587D" w:rsidRDefault="00410D07">
      <w:pPr>
        <w:spacing w:line="245" w:lineRule="auto"/>
        <w:ind w:right="20" w:firstLine="648"/>
        <w:rPr>
          <w:sz w:val="20"/>
          <w:szCs w:val="20"/>
        </w:rPr>
      </w:pPr>
      <w:r>
        <w:rPr>
          <w:rFonts w:ascii="Arial" w:eastAsia="Arial" w:hAnsi="Arial" w:cs="Arial"/>
          <w:sz w:val="21"/>
          <w:szCs w:val="21"/>
        </w:rPr>
        <w:t xml:space="preserve">Section 6.06. </w:t>
      </w:r>
      <w:r>
        <w:rPr>
          <w:rFonts w:ascii="Arial" w:eastAsia="Arial" w:hAnsi="Arial" w:cs="Arial"/>
          <w:i/>
          <w:iCs/>
          <w:sz w:val="21"/>
          <w:szCs w:val="21"/>
        </w:rPr>
        <w:t>Limitation of Liability; Exclusion of Damages</w:t>
      </w:r>
      <w:r>
        <w:rPr>
          <w:rFonts w:ascii="Arial" w:eastAsia="Arial" w:hAnsi="Arial" w:cs="Arial"/>
          <w:sz w:val="21"/>
          <w:szCs w:val="21"/>
        </w:rPr>
        <w:t>. (a) TO THE MAXIMUM EXTENT PERMITTED BY APPLICABLE LAW, EXCEPT FOR A PARTY’S BREACH OF ITS CONFIDENTIALITY OBLIGATIONS HEREUNDER OR A PARTY’S GROSS NEGLIGENCE, FRAUD OR WILLFUL MISCONDU</w:t>
      </w:r>
      <w:r>
        <w:rPr>
          <w:rFonts w:ascii="Arial" w:eastAsia="Arial" w:hAnsi="Arial" w:cs="Arial"/>
          <w:sz w:val="21"/>
          <w:szCs w:val="21"/>
        </w:rPr>
        <w:t>CT, NO PARTY HERETO WILL BE LIABLE FOR ANY (I) PUNITIVE, SPECIAL, CONSEQUENTIAL, EXEMPLARY OR TREBLED DAMAGES (IN EACH CASE, EXCEPT TO THE EXTENT PAYABLE TO A THIRD PARTY IN RESPECT OF A THIRD PARTY PROCEEDING BASED ON A FINAL JUDGMENT OF A COURT OF COMPET</w:t>
      </w:r>
      <w:r>
        <w:rPr>
          <w:rFonts w:ascii="Arial" w:eastAsia="Arial" w:hAnsi="Arial" w:cs="Arial"/>
          <w:sz w:val="21"/>
          <w:szCs w:val="21"/>
        </w:rPr>
        <w:t>ENT JURISDICTION) OR (II) LOST PROFITS, DIMINUTION IN VALUE, MULTIPLE-BASED OR OTHER DAMAGES CALCULATED BASED ON A MULTIPLE OF ANOTHER FINANCIAL MEASURE, IN EACH CASE, ARISING OUT OF OR RELATING TO THIS AGREEMENT EVEN IF THE OTHER PARTY HAD BEEN ADVISED OF</w:t>
      </w:r>
      <w:r>
        <w:rPr>
          <w:rFonts w:ascii="Arial" w:eastAsia="Arial" w:hAnsi="Arial" w:cs="Arial"/>
          <w:sz w:val="21"/>
          <w:szCs w:val="21"/>
        </w:rPr>
        <w:t xml:space="preserve"> THE POSSIBILITY OF SUCH DAMAGES.</w:t>
      </w:r>
    </w:p>
    <w:p w14:paraId="724B3D69" w14:textId="77777777" w:rsidR="00D1587D" w:rsidRDefault="00D1587D">
      <w:pPr>
        <w:spacing w:line="211" w:lineRule="exact"/>
        <w:rPr>
          <w:sz w:val="20"/>
          <w:szCs w:val="20"/>
        </w:rPr>
      </w:pPr>
    </w:p>
    <w:p w14:paraId="4B7FE007" w14:textId="77777777" w:rsidR="00D1587D" w:rsidRDefault="00410D07">
      <w:pPr>
        <w:numPr>
          <w:ilvl w:val="0"/>
          <w:numId w:val="94"/>
        </w:numPr>
        <w:tabs>
          <w:tab w:val="left" w:pos="1440"/>
        </w:tabs>
        <w:spacing w:line="233" w:lineRule="auto"/>
        <w:ind w:firstLine="656"/>
        <w:rPr>
          <w:rFonts w:ascii="Arial" w:eastAsia="Arial" w:hAnsi="Arial" w:cs="Arial"/>
        </w:rPr>
      </w:pPr>
      <w:r>
        <w:rPr>
          <w:rFonts w:ascii="Arial" w:eastAsia="Arial" w:hAnsi="Arial" w:cs="Arial"/>
        </w:rPr>
        <w:t>NOTWITHSTANDING ANYTHING ELSE HEREIN TO THE CONTRARY, EXCEPT FOR SERVICE PROVIDER’S GROSS NEGLIGENCE, FRAUD OR WILLFUL MISCONDUCT, THE MAXIMUM AGGREGATE LIABILITY OF SERVICE PROVIDER TO THE SERVICE RECIPIENTS OR TO ANY TH</w:t>
      </w:r>
      <w:r>
        <w:rPr>
          <w:rFonts w:ascii="Arial" w:eastAsia="Arial" w:hAnsi="Arial" w:cs="Arial"/>
        </w:rPr>
        <w:t>IRD PARTY UNDER OR IN CONNECTION WITH THIS AGREEMENT SHALL NOT EXCEED AND SHALL BE LIMITED TO THE FEES ACTUALLY RECEIVED BY SERVICE PROVIDER FOR THE SERVICES HEREUNDER (THE “</w:t>
      </w:r>
      <w:r>
        <w:rPr>
          <w:rFonts w:ascii="Arial" w:eastAsia="Arial" w:hAnsi="Arial" w:cs="Arial"/>
          <w:b/>
          <w:bCs/>
        </w:rPr>
        <w:t>CAP</w:t>
      </w:r>
      <w:r>
        <w:rPr>
          <w:rFonts w:ascii="Arial" w:eastAsia="Arial" w:hAnsi="Arial" w:cs="Arial"/>
        </w:rPr>
        <w:t xml:space="preserve">”); </w:t>
      </w:r>
      <w:r>
        <w:rPr>
          <w:rFonts w:ascii="Arial" w:eastAsia="Arial" w:hAnsi="Arial" w:cs="Arial"/>
          <w:i/>
          <w:iCs/>
        </w:rPr>
        <w:t>PROVIDED</w:t>
      </w:r>
      <w:r>
        <w:rPr>
          <w:rFonts w:ascii="Arial" w:eastAsia="Arial" w:hAnsi="Arial" w:cs="Arial"/>
        </w:rPr>
        <w:t xml:space="preserve"> THAT, WITH RESPECT TO ANY DAMAGES FOR WHICH SERVICE PROVIDER IS OB</w:t>
      </w:r>
      <w:r>
        <w:rPr>
          <w:rFonts w:ascii="Arial" w:eastAsia="Arial" w:hAnsi="Arial" w:cs="Arial"/>
        </w:rPr>
        <w:t>LIGATED TO INDEMNIFY L BRANDS UNDER SECTION 6.01(b) AND THAT RELATE TO DATA PRIVACY, CYBERSECURITY OR OTHER SIMILAR MATTERS, IF SERVICE PROVIDER, USING COMMERCIALLY REASONABLE EFFORTS AND EXERCISING GOOD FAITH, IS ABLE TO RECOVER AN AMOUNT GREATER THAN THE</w:t>
      </w:r>
      <w:r>
        <w:rPr>
          <w:rFonts w:ascii="Arial" w:eastAsia="Arial" w:hAnsi="Arial" w:cs="Arial"/>
        </w:rPr>
        <w:t xml:space="preserve"> CAP FROM ITS APPLICABLE THIRD-PARTY SERVICE PROVIDERS, SUCH EXCESS RECOVERY SHALL BE PASSED THROUGH TO L BRANDS ON A PRO-RATA BASIS TO THE EXTENT OF SUCH DAMAGES.</w:t>
      </w:r>
    </w:p>
    <w:p w14:paraId="03C24231" w14:textId="77777777" w:rsidR="00D1587D" w:rsidRDefault="00D1587D">
      <w:pPr>
        <w:spacing w:line="393" w:lineRule="exact"/>
        <w:rPr>
          <w:sz w:val="20"/>
          <w:szCs w:val="20"/>
        </w:rPr>
      </w:pPr>
    </w:p>
    <w:p w14:paraId="4E71F684" w14:textId="77777777" w:rsidR="00D1587D" w:rsidRDefault="00410D07">
      <w:pPr>
        <w:ind w:right="-39"/>
        <w:jc w:val="center"/>
        <w:rPr>
          <w:sz w:val="20"/>
          <w:szCs w:val="20"/>
        </w:rPr>
      </w:pPr>
      <w:r>
        <w:rPr>
          <w:rFonts w:ascii="Arial" w:eastAsia="Arial" w:hAnsi="Arial" w:cs="Arial"/>
          <w:sz w:val="14"/>
          <w:szCs w:val="14"/>
        </w:rPr>
        <w:t>15</w:t>
      </w:r>
    </w:p>
    <w:p w14:paraId="050AFFF2" w14:textId="77777777" w:rsidR="00D1587D" w:rsidRDefault="00410D07">
      <w:pPr>
        <w:spacing w:line="20" w:lineRule="exact"/>
        <w:rPr>
          <w:sz w:val="20"/>
          <w:szCs w:val="20"/>
        </w:rPr>
      </w:pPr>
      <w:r>
        <w:rPr>
          <w:noProof/>
          <w:sz w:val="20"/>
          <w:szCs w:val="20"/>
        </w:rPr>
        <w:drawing>
          <wp:anchor distT="0" distB="0" distL="114300" distR="114300" simplePos="0" relativeHeight="251280384" behindDoc="1" locked="0" layoutInCell="0" allowOverlap="1" wp14:anchorId="5D8ECD9D" wp14:editId="4A72F140">
            <wp:simplePos x="0" y="0"/>
            <wp:positionH relativeFrom="column">
              <wp:posOffset>5080</wp:posOffset>
            </wp:positionH>
            <wp:positionV relativeFrom="paragraph">
              <wp:posOffset>38100</wp:posOffset>
            </wp:positionV>
            <wp:extent cx="7132320" cy="1714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209A02A" w14:textId="77777777" w:rsidR="00D1587D" w:rsidRDefault="00D1587D">
      <w:pPr>
        <w:sectPr w:rsidR="00D1587D">
          <w:pgSz w:w="11900" w:h="16838"/>
          <w:pgMar w:top="361" w:right="359" w:bottom="1440" w:left="320" w:header="0" w:footer="0" w:gutter="0"/>
          <w:cols w:space="720" w:equalWidth="0">
            <w:col w:w="11220"/>
          </w:cols>
        </w:sectPr>
      </w:pPr>
    </w:p>
    <w:p w14:paraId="1652160B" w14:textId="77777777" w:rsidR="00D1587D" w:rsidRDefault="00410D07">
      <w:pPr>
        <w:ind w:right="-19"/>
        <w:jc w:val="center"/>
        <w:rPr>
          <w:sz w:val="20"/>
          <w:szCs w:val="20"/>
        </w:rPr>
      </w:pPr>
      <w:bookmarkStart w:id="129" w:name="page130"/>
      <w:bookmarkEnd w:id="129"/>
      <w:r>
        <w:rPr>
          <w:rFonts w:ascii="Arial" w:eastAsia="Arial" w:hAnsi="Arial" w:cs="Arial"/>
        </w:rPr>
        <w:t>ARTICLE 7</w:t>
      </w:r>
    </w:p>
    <w:p w14:paraId="662472F8" w14:textId="77777777" w:rsidR="00D1587D" w:rsidRDefault="00D1587D">
      <w:pPr>
        <w:spacing w:line="8" w:lineRule="exact"/>
        <w:rPr>
          <w:sz w:val="20"/>
          <w:szCs w:val="20"/>
        </w:rPr>
      </w:pPr>
    </w:p>
    <w:p w14:paraId="1F5B7F2B" w14:textId="77777777" w:rsidR="00D1587D" w:rsidRDefault="00410D07">
      <w:pPr>
        <w:ind w:right="-19"/>
        <w:jc w:val="center"/>
        <w:rPr>
          <w:sz w:val="20"/>
          <w:szCs w:val="20"/>
        </w:rPr>
      </w:pPr>
      <w:r>
        <w:rPr>
          <w:rFonts w:ascii="Arial" w:eastAsia="Arial" w:hAnsi="Arial" w:cs="Arial"/>
        </w:rPr>
        <w:t>TERMINATION OF SERVICES</w:t>
      </w:r>
    </w:p>
    <w:p w14:paraId="142A5DC1" w14:textId="77777777" w:rsidR="00D1587D" w:rsidRDefault="00D1587D">
      <w:pPr>
        <w:spacing w:line="215" w:lineRule="exact"/>
        <w:rPr>
          <w:sz w:val="20"/>
          <w:szCs w:val="20"/>
        </w:rPr>
      </w:pPr>
    </w:p>
    <w:p w14:paraId="385B7361" w14:textId="77777777" w:rsidR="00D1587D" w:rsidRDefault="00410D07">
      <w:pPr>
        <w:spacing w:line="272" w:lineRule="auto"/>
        <w:ind w:right="80" w:firstLine="648"/>
        <w:rPr>
          <w:sz w:val="20"/>
          <w:szCs w:val="20"/>
        </w:rPr>
      </w:pPr>
      <w:r>
        <w:rPr>
          <w:rFonts w:ascii="Arial" w:eastAsia="Arial" w:hAnsi="Arial" w:cs="Arial"/>
          <w:sz w:val="19"/>
          <w:szCs w:val="19"/>
        </w:rPr>
        <w:t xml:space="preserve">Section 7.01. </w:t>
      </w:r>
      <w:r>
        <w:rPr>
          <w:rFonts w:ascii="Arial" w:eastAsia="Arial" w:hAnsi="Arial" w:cs="Arial"/>
          <w:i/>
          <w:iCs/>
          <w:sz w:val="19"/>
          <w:szCs w:val="19"/>
        </w:rPr>
        <w:t>Termination</w:t>
      </w:r>
      <w:r>
        <w:rPr>
          <w:rFonts w:ascii="Arial" w:eastAsia="Arial" w:hAnsi="Arial" w:cs="Arial"/>
          <w:sz w:val="19"/>
          <w:szCs w:val="19"/>
        </w:rPr>
        <w:t>. (a)</w:t>
      </w:r>
      <w:r>
        <w:rPr>
          <w:rFonts w:ascii="Arial" w:eastAsia="Arial" w:hAnsi="Arial" w:cs="Arial"/>
          <w:sz w:val="19"/>
          <w:szCs w:val="19"/>
        </w:rPr>
        <w:t xml:space="preserve"> Notwithstanding Section 2.01, except as expressly set forth otherwise in the applicable Service Schedule, L Brands may, at any time during the term of this Agreement and for any reason, terminate Service Provider’s obligations to cause to be provided any </w:t>
      </w:r>
      <w:r>
        <w:rPr>
          <w:rFonts w:ascii="Arial" w:eastAsia="Arial" w:hAnsi="Arial" w:cs="Arial"/>
          <w:sz w:val="19"/>
          <w:szCs w:val="19"/>
        </w:rPr>
        <w:t>or all Services, or any part of any Service, by giving at least 60 days’ prior written notice of such termination to Service Provider; provided that in the event L Brands elects to terminate any (but not all) of the Services, (i) Service Provider may, with</w:t>
      </w:r>
      <w:r>
        <w:rPr>
          <w:rFonts w:ascii="Arial" w:eastAsia="Arial" w:hAnsi="Arial" w:cs="Arial"/>
          <w:sz w:val="19"/>
          <w:szCs w:val="19"/>
        </w:rPr>
        <w:t>in 10 Business Days following its receipt of such termination notice, provide L Brands with written notice of all applicable Dependent Services, (ii) upon receiving Service Provider’s notice pursuant to the foregoing clause (i), L Brands may provide notice</w:t>
      </w:r>
      <w:r>
        <w:rPr>
          <w:rFonts w:ascii="Arial" w:eastAsia="Arial" w:hAnsi="Arial" w:cs="Arial"/>
          <w:sz w:val="19"/>
          <w:szCs w:val="19"/>
        </w:rPr>
        <w:t xml:space="preserve"> within 5 Business Days of such receipt of its withdrawal of its termination notice and (iii) if L Brands does not withdraw its termination notice within such 5 Business Day period, the Dependent Services shall automatically terminate upon the effective da</w:t>
      </w:r>
      <w:r>
        <w:rPr>
          <w:rFonts w:ascii="Arial" w:eastAsia="Arial" w:hAnsi="Arial" w:cs="Arial"/>
          <w:sz w:val="19"/>
          <w:szCs w:val="19"/>
        </w:rPr>
        <w:t>te of termination of such terminated Service. If L Brands notifies Service Provider of its intent to terminate any Service in part or reduce any Service, the Service Fees shall be reduced accordingly. For the avoidance of doubt, subject to the first senten</w:t>
      </w:r>
      <w:r>
        <w:rPr>
          <w:rFonts w:ascii="Arial" w:eastAsia="Arial" w:hAnsi="Arial" w:cs="Arial"/>
          <w:sz w:val="19"/>
          <w:szCs w:val="19"/>
        </w:rPr>
        <w:t>ce of this Section 7.01(a), if L Brands elects to terminate the provision of less than all Services, Service Provider shall continue to be obligated to cause to be provided any and all remaining Services.</w:t>
      </w:r>
    </w:p>
    <w:p w14:paraId="276627E8" w14:textId="77777777" w:rsidR="00D1587D" w:rsidRDefault="00D1587D">
      <w:pPr>
        <w:spacing w:line="188" w:lineRule="exact"/>
        <w:rPr>
          <w:sz w:val="20"/>
          <w:szCs w:val="20"/>
        </w:rPr>
      </w:pPr>
    </w:p>
    <w:p w14:paraId="1515B6B1" w14:textId="77777777" w:rsidR="00D1587D" w:rsidRDefault="00410D07">
      <w:pPr>
        <w:numPr>
          <w:ilvl w:val="0"/>
          <w:numId w:val="95"/>
        </w:numPr>
        <w:tabs>
          <w:tab w:val="left" w:pos="1440"/>
        </w:tabs>
        <w:spacing w:line="236" w:lineRule="auto"/>
        <w:ind w:firstLine="656"/>
        <w:rPr>
          <w:rFonts w:ascii="Arial" w:eastAsia="Arial" w:hAnsi="Arial" w:cs="Arial"/>
        </w:rPr>
      </w:pPr>
      <w:r>
        <w:rPr>
          <w:rFonts w:ascii="Arial" w:eastAsia="Arial" w:hAnsi="Arial" w:cs="Arial"/>
        </w:rPr>
        <w:t xml:space="preserve">Service Provider may terminate its </w:t>
      </w:r>
      <w:r>
        <w:rPr>
          <w:rFonts w:ascii="Arial" w:eastAsia="Arial" w:hAnsi="Arial" w:cs="Arial"/>
        </w:rPr>
        <w:t>obligations to cause to be provided any or all Services at any time if L Brands shall have failed to perform any of its material obligations under this Agreement relating to any such Service (including the failure to provide any access, information or data</w:t>
      </w:r>
      <w:r>
        <w:rPr>
          <w:rFonts w:ascii="Arial" w:eastAsia="Arial" w:hAnsi="Arial" w:cs="Arial"/>
        </w:rPr>
        <w:t xml:space="preserve"> required to effectuate such Service), but only if Service Provider shall have notified L Brands in writing of such failure and such failure shall have continued for a period of 30 days after receipt by L Brands of such written notice.</w:t>
      </w:r>
    </w:p>
    <w:p w14:paraId="7D0E5BBF" w14:textId="77777777" w:rsidR="00D1587D" w:rsidRDefault="00D1587D">
      <w:pPr>
        <w:spacing w:line="214" w:lineRule="exact"/>
        <w:rPr>
          <w:rFonts w:ascii="Arial" w:eastAsia="Arial" w:hAnsi="Arial" w:cs="Arial"/>
        </w:rPr>
      </w:pPr>
    </w:p>
    <w:p w14:paraId="2AE2981D" w14:textId="77777777" w:rsidR="00D1587D" w:rsidRDefault="00410D07">
      <w:pPr>
        <w:numPr>
          <w:ilvl w:val="0"/>
          <w:numId w:val="95"/>
        </w:numPr>
        <w:tabs>
          <w:tab w:val="left" w:pos="1428"/>
        </w:tabs>
        <w:spacing w:line="270" w:lineRule="auto"/>
        <w:ind w:right="20" w:firstLine="656"/>
        <w:rPr>
          <w:rFonts w:ascii="Arial" w:eastAsia="Arial" w:hAnsi="Arial" w:cs="Arial"/>
          <w:sz w:val="19"/>
          <w:szCs w:val="19"/>
        </w:rPr>
      </w:pPr>
      <w:r>
        <w:rPr>
          <w:rFonts w:ascii="Arial" w:eastAsia="Arial" w:hAnsi="Arial" w:cs="Arial"/>
          <w:sz w:val="19"/>
          <w:szCs w:val="19"/>
        </w:rPr>
        <w:t xml:space="preserve">If the performance </w:t>
      </w:r>
      <w:r>
        <w:rPr>
          <w:rFonts w:ascii="Arial" w:eastAsia="Arial" w:hAnsi="Arial" w:cs="Arial"/>
          <w:sz w:val="19"/>
          <w:szCs w:val="19"/>
        </w:rPr>
        <w:t>of any Service subjects any Service Provider Party to a reasonable risk of violating an Applicable Law or would reasonably be expected to, individually or in the aggregate, materially and adversely affect the business of Service Provider or its Affiliates,</w:t>
      </w:r>
      <w:r>
        <w:rPr>
          <w:rFonts w:ascii="Arial" w:eastAsia="Arial" w:hAnsi="Arial" w:cs="Arial"/>
          <w:sz w:val="19"/>
          <w:szCs w:val="19"/>
        </w:rPr>
        <w:t xml:space="preserve"> then the relevant Service Provider Party (i) in the case of a violation of an Applicable Law, may immediately upon Service Provider providing written notice of such fact and the applicable Dependent Services to L Brands (it being understood that Service P</w:t>
      </w:r>
      <w:r>
        <w:rPr>
          <w:rFonts w:ascii="Arial" w:eastAsia="Arial" w:hAnsi="Arial" w:cs="Arial"/>
          <w:sz w:val="19"/>
          <w:szCs w:val="19"/>
        </w:rPr>
        <w:t>rovider shall provide L Brands with as much advance notice as is reasonably practicable under the circumstances and permitted by Applicable Law), suspend performance of such Service and any and all Dependent Services without liability to Service Provider o</w:t>
      </w:r>
      <w:r>
        <w:rPr>
          <w:rFonts w:ascii="Arial" w:eastAsia="Arial" w:hAnsi="Arial" w:cs="Arial"/>
          <w:sz w:val="19"/>
          <w:szCs w:val="19"/>
        </w:rPr>
        <w:t>r any Service Provider Party and (ii) in the case of a material and adverse effect to the business of Service Provider or its Affiliates, may, upon Service Provider providing written notice of such fact to L Brands sufficiently in advance to permit L Brand</w:t>
      </w:r>
      <w:r>
        <w:rPr>
          <w:rFonts w:ascii="Arial" w:eastAsia="Arial" w:hAnsi="Arial" w:cs="Arial"/>
          <w:sz w:val="19"/>
          <w:szCs w:val="19"/>
        </w:rPr>
        <w:t xml:space="preserve">s (acting reasonably) to arrange for replacement services, suspend performance of such Service without liability; </w:t>
      </w:r>
      <w:r>
        <w:rPr>
          <w:rFonts w:ascii="Arial" w:eastAsia="Arial" w:hAnsi="Arial" w:cs="Arial"/>
          <w:i/>
          <w:iCs/>
          <w:sz w:val="19"/>
          <w:szCs w:val="19"/>
        </w:rPr>
        <w:t>provided</w:t>
      </w:r>
      <w:r>
        <w:rPr>
          <w:rFonts w:ascii="Arial" w:eastAsia="Arial" w:hAnsi="Arial" w:cs="Arial"/>
          <w:sz w:val="19"/>
          <w:szCs w:val="19"/>
        </w:rPr>
        <w:t xml:space="preserve"> that, (A) following delivery of such notice, the parties hereto will cooperate in good faith to promptly amend this Agreement to the </w:t>
      </w:r>
      <w:r>
        <w:rPr>
          <w:rFonts w:ascii="Arial" w:eastAsia="Arial" w:hAnsi="Arial" w:cs="Arial"/>
          <w:sz w:val="19"/>
          <w:szCs w:val="19"/>
        </w:rPr>
        <w:t>extent necessary to eliminate such violation of Applicable Law or such effect while as nearly as possible accomplishing the purpose of the intended Service in a mutually satisfactory manner and (B) L Brands shall not be obligated to pay for any such suspen</w:t>
      </w:r>
      <w:r>
        <w:rPr>
          <w:rFonts w:ascii="Arial" w:eastAsia="Arial" w:hAnsi="Arial" w:cs="Arial"/>
          <w:sz w:val="19"/>
          <w:szCs w:val="19"/>
        </w:rPr>
        <w:t>ded Services during the pendency of any Service Provider Party’s suspension of such Services (it being understood that L Brands shall remain liable for any Service Costs incurred or accrued for such Services prior to such suspension). If the parties hereto</w:t>
      </w:r>
      <w:r>
        <w:rPr>
          <w:rFonts w:ascii="Arial" w:eastAsia="Arial" w:hAnsi="Arial" w:cs="Arial"/>
          <w:sz w:val="19"/>
          <w:szCs w:val="19"/>
        </w:rPr>
        <w:t xml:space="preserve"> are unable to agree upon such an amendment to this Agreement within 30 days of such notification, then either party hereto may terminate its obligation with respect to such suspended Services upon written notice to the other party hereto; provided that th</w:t>
      </w:r>
      <w:r>
        <w:rPr>
          <w:rFonts w:ascii="Arial" w:eastAsia="Arial" w:hAnsi="Arial" w:cs="Arial"/>
          <w:sz w:val="19"/>
          <w:szCs w:val="19"/>
        </w:rPr>
        <w:t>e applicable Dependent Services shall also automatically terminate upon the effective date of termination of such suspended Services.</w:t>
      </w:r>
    </w:p>
    <w:p w14:paraId="51F24F66" w14:textId="77777777" w:rsidR="00D1587D" w:rsidRDefault="00D1587D">
      <w:pPr>
        <w:spacing w:line="200" w:lineRule="exact"/>
        <w:rPr>
          <w:rFonts w:ascii="Arial" w:eastAsia="Arial" w:hAnsi="Arial" w:cs="Arial"/>
          <w:sz w:val="19"/>
          <w:szCs w:val="19"/>
        </w:rPr>
      </w:pPr>
    </w:p>
    <w:p w14:paraId="57DCE51A" w14:textId="77777777" w:rsidR="00D1587D" w:rsidRDefault="00D1587D">
      <w:pPr>
        <w:spacing w:line="238" w:lineRule="exact"/>
        <w:rPr>
          <w:rFonts w:ascii="Arial" w:eastAsia="Arial" w:hAnsi="Arial" w:cs="Arial"/>
          <w:sz w:val="19"/>
          <w:szCs w:val="19"/>
        </w:rPr>
      </w:pPr>
    </w:p>
    <w:p w14:paraId="504E099C" w14:textId="77777777" w:rsidR="00D1587D" w:rsidRDefault="00410D07">
      <w:pPr>
        <w:numPr>
          <w:ilvl w:val="0"/>
          <w:numId w:val="95"/>
        </w:numPr>
        <w:tabs>
          <w:tab w:val="left" w:pos="1440"/>
        </w:tabs>
        <w:spacing w:line="238" w:lineRule="auto"/>
        <w:ind w:right="80" w:firstLine="656"/>
        <w:rPr>
          <w:rFonts w:ascii="Arial" w:eastAsia="Arial" w:hAnsi="Arial" w:cs="Arial"/>
        </w:rPr>
      </w:pPr>
      <w:r>
        <w:rPr>
          <w:rFonts w:ascii="Arial" w:eastAsia="Arial" w:hAnsi="Arial" w:cs="Arial"/>
        </w:rPr>
        <w:t>L Brands may terminate Service Provider’s obligation to cause to be provided any Service at any time if Service Provider</w:t>
      </w:r>
      <w:r>
        <w:rPr>
          <w:rFonts w:ascii="Arial" w:eastAsia="Arial" w:hAnsi="Arial" w:cs="Arial"/>
        </w:rPr>
        <w:t xml:space="preserve"> shall have failed to perform any of its material obligations under this Agreement relating to such Service, but only if L Brands shall have notified Service Provider in writing of such failure and such failure shall have continued for a period of 30 days </w:t>
      </w:r>
      <w:r>
        <w:rPr>
          <w:rFonts w:ascii="Arial" w:eastAsia="Arial" w:hAnsi="Arial" w:cs="Arial"/>
        </w:rPr>
        <w:t>after receipt by Service Provider of such written notice.</w:t>
      </w:r>
    </w:p>
    <w:p w14:paraId="5CD3867A" w14:textId="77777777" w:rsidR="00D1587D" w:rsidRDefault="00D1587D">
      <w:pPr>
        <w:spacing w:line="390" w:lineRule="exact"/>
        <w:rPr>
          <w:sz w:val="20"/>
          <w:szCs w:val="20"/>
        </w:rPr>
      </w:pPr>
    </w:p>
    <w:p w14:paraId="39DAEA3C" w14:textId="77777777" w:rsidR="00D1587D" w:rsidRDefault="00410D07">
      <w:pPr>
        <w:ind w:right="-19"/>
        <w:jc w:val="center"/>
        <w:rPr>
          <w:sz w:val="20"/>
          <w:szCs w:val="20"/>
        </w:rPr>
      </w:pPr>
      <w:r>
        <w:rPr>
          <w:rFonts w:ascii="Arial" w:eastAsia="Arial" w:hAnsi="Arial" w:cs="Arial"/>
          <w:sz w:val="14"/>
          <w:szCs w:val="14"/>
        </w:rPr>
        <w:t>16</w:t>
      </w:r>
    </w:p>
    <w:p w14:paraId="1E58D990" w14:textId="77777777" w:rsidR="00D1587D" w:rsidRDefault="00410D07">
      <w:pPr>
        <w:spacing w:line="20" w:lineRule="exact"/>
        <w:rPr>
          <w:sz w:val="20"/>
          <w:szCs w:val="20"/>
        </w:rPr>
      </w:pPr>
      <w:r>
        <w:rPr>
          <w:noProof/>
          <w:sz w:val="20"/>
          <w:szCs w:val="20"/>
        </w:rPr>
        <w:drawing>
          <wp:anchor distT="0" distB="0" distL="114300" distR="114300" simplePos="0" relativeHeight="251281408" behindDoc="1" locked="0" layoutInCell="0" allowOverlap="1" wp14:anchorId="369E0FB3" wp14:editId="68CD0BA2">
            <wp:simplePos x="0" y="0"/>
            <wp:positionH relativeFrom="column">
              <wp:posOffset>5080</wp:posOffset>
            </wp:positionH>
            <wp:positionV relativeFrom="paragraph">
              <wp:posOffset>38100</wp:posOffset>
            </wp:positionV>
            <wp:extent cx="7132320" cy="1714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19F3404" w14:textId="77777777" w:rsidR="00D1587D" w:rsidRDefault="00D1587D">
      <w:pPr>
        <w:sectPr w:rsidR="00D1587D">
          <w:pgSz w:w="11900" w:h="16838"/>
          <w:pgMar w:top="361" w:right="359" w:bottom="1440" w:left="320" w:header="0" w:footer="0" w:gutter="0"/>
          <w:cols w:space="720" w:equalWidth="0">
            <w:col w:w="11220"/>
          </w:cols>
        </w:sectPr>
      </w:pPr>
    </w:p>
    <w:p w14:paraId="639B5AF6" w14:textId="77777777" w:rsidR="00D1587D" w:rsidRDefault="00410D07">
      <w:pPr>
        <w:numPr>
          <w:ilvl w:val="0"/>
          <w:numId w:val="96"/>
        </w:numPr>
        <w:tabs>
          <w:tab w:val="left" w:pos="1428"/>
        </w:tabs>
        <w:spacing w:line="274" w:lineRule="auto"/>
        <w:ind w:firstLine="656"/>
        <w:rPr>
          <w:rFonts w:ascii="Arial" w:eastAsia="Arial" w:hAnsi="Arial" w:cs="Arial"/>
          <w:sz w:val="21"/>
          <w:szCs w:val="21"/>
        </w:rPr>
      </w:pPr>
      <w:bookmarkStart w:id="130" w:name="page131"/>
      <w:bookmarkEnd w:id="130"/>
      <w:r>
        <w:rPr>
          <w:rFonts w:ascii="Arial" w:eastAsia="Arial" w:hAnsi="Arial" w:cs="Arial"/>
          <w:sz w:val="21"/>
          <w:szCs w:val="21"/>
        </w:rPr>
        <w:t>Subject to Section 7.02, this Agreement shall terminate in its entirety on the date when no additional Services are to be provided as set forth in each applicable Service S</w:t>
      </w:r>
      <w:r>
        <w:rPr>
          <w:rFonts w:ascii="Arial" w:eastAsia="Arial" w:hAnsi="Arial" w:cs="Arial"/>
          <w:sz w:val="21"/>
          <w:szCs w:val="21"/>
        </w:rPr>
        <w:t>chedules, as the same may hereafter be amended.</w:t>
      </w:r>
    </w:p>
    <w:p w14:paraId="59FD8394" w14:textId="77777777" w:rsidR="00D1587D" w:rsidRDefault="00D1587D">
      <w:pPr>
        <w:spacing w:line="178" w:lineRule="exact"/>
        <w:rPr>
          <w:sz w:val="20"/>
          <w:szCs w:val="20"/>
        </w:rPr>
      </w:pPr>
    </w:p>
    <w:p w14:paraId="6DADBA67" w14:textId="77777777" w:rsidR="00D1587D" w:rsidRDefault="00410D07">
      <w:pPr>
        <w:spacing w:line="270" w:lineRule="auto"/>
        <w:ind w:right="20" w:firstLine="648"/>
        <w:rPr>
          <w:sz w:val="20"/>
          <w:szCs w:val="20"/>
        </w:rPr>
      </w:pPr>
      <w:r>
        <w:rPr>
          <w:rFonts w:ascii="Arial" w:eastAsia="Arial" w:hAnsi="Arial" w:cs="Arial"/>
          <w:sz w:val="19"/>
          <w:szCs w:val="19"/>
        </w:rPr>
        <w:t xml:space="preserve">Section 7.02. </w:t>
      </w:r>
      <w:r>
        <w:rPr>
          <w:rFonts w:ascii="Arial" w:eastAsia="Arial" w:hAnsi="Arial" w:cs="Arial"/>
          <w:i/>
          <w:iCs/>
          <w:sz w:val="19"/>
          <w:szCs w:val="19"/>
        </w:rPr>
        <w:t>Effect of Termination</w:t>
      </w:r>
      <w:r>
        <w:rPr>
          <w:rFonts w:ascii="Arial" w:eastAsia="Arial" w:hAnsi="Arial" w:cs="Arial"/>
          <w:sz w:val="19"/>
          <w:szCs w:val="19"/>
        </w:rPr>
        <w:t>. Other than as required by Applicable Law, upon expiration or termination of any or all Service(s) pursuant to Section 7.01 or otherwise pursuant to this Agreement, Servic</w:t>
      </w:r>
      <w:r>
        <w:rPr>
          <w:rFonts w:ascii="Arial" w:eastAsia="Arial" w:hAnsi="Arial" w:cs="Arial"/>
          <w:sz w:val="19"/>
          <w:szCs w:val="19"/>
        </w:rPr>
        <w:t>e Provider shall have no further obligation to cause to be provided the terminated Service(s) and L Brands shall have no obligation to pay any Service Fees relating to such terminated Service(s); provided that, notwithstanding such termination, the Service</w:t>
      </w:r>
      <w:r>
        <w:rPr>
          <w:rFonts w:ascii="Arial" w:eastAsia="Arial" w:hAnsi="Arial" w:cs="Arial"/>
          <w:sz w:val="19"/>
          <w:szCs w:val="19"/>
        </w:rPr>
        <w:t xml:space="preserve"> Recipients shall remain liable to Service Provider for (a) Service Costs incurred prior to the effective date of the expiration or termination of such Service(s),</w:t>
      </w:r>
    </w:p>
    <w:p w14:paraId="3CD4E200" w14:textId="77777777" w:rsidR="00D1587D" w:rsidRDefault="00D1587D">
      <w:pPr>
        <w:spacing w:line="4" w:lineRule="exact"/>
        <w:rPr>
          <w:sz w:val="20"/>
          <w:szCs w:val="20"/>
        </w:rPr>
      </w:pPr>
    </w:p>
    <w:p w14:paraId="4DEEF915" w14:textId="77777777" w:rsidR="00D1587D" w:rsidRDefault="00410D07">
      <w:pPr>
        <w:numPr>
          <w:ilvl w:val="0"/>
          <w:numId w:val="97"/>
        </w:numPr>
        <w:tabs>
          <w:tab w:val="left" w:pos="306"/>
        </w:tabs>
        <w:spacing w:line="270" w:lineRule="auto"/>
        <w:ind w:right="40" w:firstLine="8"/>
        <w:rPr>
          <w:rFonts w:ascii="Arial" w:eastAsia="Arial" w:hAnsi="Arial" w:cs="Arial"/>
          <w:sz w:val="19"/>
          <w:szCs w:val="19"/>
        </w:rPr>
      </w:pPr>
      <w:r>
        <w:rPr>
          <w:rFonts w:ascii="Arial" w:eastAsia="Arial" w:hAnsi="Arial" w:cs="Arial"/>
          <w:sz w:val="19"/>
          <w:szCs w:val="19"/>
        </w:rPr>
        <w:t xml:space="preserve">the Disengagement Costs relating to the termination of such Service(s), and (c) in the </w:t>
      </w:r>
      <w:r>
        <w:rPr>
          <w:rFonts w:ascii="Arial" w:eastAsia="Arial" w:hAnsi="Arial" w:cs="Arial"/>
          <w:sz w:val="19"/>
          <w:szCs w:val="19"/>
        </w:rPr>
        <w:t>case of a termination under Section 7.01(a), Section 7.01(b) or Section 7.01(c), without duplication of any Disengagement Costs, any fees, costs and expenses incurred by Service Provider (or any of its Affiliates) between the time of such termination and t</w:t>
      </w:r>
      <w:r>
        <w:rPr>
          <w:rFonts w:ascii="Arial" w:eastAsia="Arial" w:hAnsi="Arial" w:cs="Arial"/>
          <w:sz w:val="19"/>
          <w:szCs w:val="19"/>
        </w:rPr>
        <w:t>he time the provision of such Service(s) would have terminated under this Agreement absent such early termination (including early termination charges, kill fees, wind-down costs, reasonable minimum volume make-up fees and other fees and costs, in each cas</w:t>
      </w:r>
      <w:r>
        <w:rPr>
          <w:rFonts w:ascii="Arial" w:eastAsia="Arial" w:hAnsi="Arial" w:cs="Arial"/>
          <w:sz w:val="19"/>
          <w:szCs w:val="19"/>
        </w:rPr>
        <w:t>e actually payable or that have been paid in advance by any Service Provider Party to a third party, and unamortized costs that Service Provider or its Affiliates previously incurred or are required to pay to a third party for services, equipment, licenses</w:t>
      </w:r>
      <w:r>
        <w:rPr>
          <w:rFonts w:ascii="Arial" w:eastAsia="Arial" w:hAnsi="Arial" w:cs="Arial"/>
          <w:sz w:val="19"/>
          <w:szCs w:val="19"/>
        </w:rPr>
        <w:t xml:space="preserve"> or other assets used for the provisions of such terminated Service) (collectively, “</w:t>
      </w:r>
      <w:r>
        <w:rPr>
          <w:rFonts w:ascii="Arial" w:eastAsia="Arial" w:hAnsi="Arial" w:cs="Arial"/>
          <w:b/>
          <w:bCs/>
          <w:sz w:val="19"/>
          <w:szCs w:val="19"/>
        </w:rPr>
        <w:t>Termination Fees</w:t>
      </w:r>
      <w:r>
        <w:rPr>
          <w:rFonts w:ascii="Arial" w:eastAsia="Arial" w:hAnsi="Arial" w:cs="Arial"/>
          <w:sz w:val="19"/>
          <w:szCs w:val="19"/>
        </w:rPr>
        <w:t>”) to the extent Service Provider or such other Service Provider Party cannot avoid the incurrence of any such Termination Fees using commercially reasonab</w:t>
      </w:r>
      <w:r>
        <w:rPr>
          <w:rFonts w:ascii="Arial" w:eastAsia="Arial" w:hAnsi="Arial" w:cs="Arial"/>
          <w:sz w:val="19"/>
          <w:szCs w:val="19"/>
        </w:rPr>
        <w:t>le efforts. For clarity, no Disengagement Costs are payable in case of a termination under Section 7.01(d) or upon the expiration of the Term of any Service. All amounts payable pursuant to this Section 7.02 shall be invoiced to and payable by L Brands wit</w:t>
      </w:r>
      <w:r>
        <w:rPr>
          <w:rFonts w:ascii="Arial" w:eastAsia="Arial" w:hAnsi="Arial" w:cs="Arial"/>
          <w:sz w:val="19"/>
          <w:szCs w:val="19"/>
        </w:rPr>
        <w:t>hin 30 days after the date of invoice and otherwise in accordance with Section 3.06. Notwithstanding any expiration or termination pursuant to Section 7.01, Section 2.10 (but solely with respect to the first sentence), Section 3.08 and Articles 4, 5, 6, 7,</w:t>
      </w:r>
      <w:r>
        <w:rPr>
          <w:rFonts w:ascii="Arial" w:eastAsia="Arial" w:hAnsi="Arial" w:cs="Arial"/>
          <w:sz w:val="19"/>
          <w:szCs w:val="19"/>
        </w:rPr>
        <w:t xml:space="preserve"> and 9 shall survive any such expiration or termination indefinitely.</w:t>
      </w:r>
    </w:p>
    <w:p w14:paraId="63D687B9" w14:textId="77777777" w:rsidR="00D1587D" w:rsidRDefault="00D1587D">
      <w:pPr>
        <w:spacing w:line="200" w:lineRule="exact"/>
        <w:rPr>
          <w:sz w:val="20"/>
          <w:szCs w:val="20"/>
        </w:rPr>
      </w:pPr>
    </w:p>
    <w:p w14:paraId="3821B008" w14:textId="77777777" w:rsidR="00D1587D" w:rsidRDefault="00D1587D">
      <w:pPr>
        <w:spacing w:line="232" w:lineRule="exact"/>
        <w:rPr>
          <w:sz w:val="20"/>
          <w:szCs w:val="20"/>
        </w:rPr>
      </w:pPr>
    </w:p>
    <w:p w14:paraId="7F6AE4FD" w14:textId="77777777" w:rsidR="00D1587D" w:rsidRDefault="00410D07">
      <w:pPr>
        <w:ind w:right="-19"/>
        <w:jc w:val="center"/>
        <w:rPr>
          <w:sz w:val="20"/>
          <w:szCs w:val="20"/>
        </w:rPr>
      </w:pPr>
      <w:r>
        <w:rPr>
          <w:rFonts w:ascii="Arial" w:eastAsia="Arial" w:hAnsi="Arial" w:cs="Arial"/>
        </w:rPr>
        <w:t>ARTICLE 8</w:t>
      </w:r>
    </w:p>
    <w:p w14:paraId="42DFC60E" w14:textId="77777777" w:rsidR="00D1587D" w:rsidRDefault="00D1587D">
      <w:pPr>
        <w:spacing w:line="8" w:lineRule="exact"/>
        <w:rPr>
          <w:sz w:val="20"/>
          <w:szCs w:val="20"/>
        </w:rPr>
      </w:pPr>
    </w:p>
    <w:p w14:paraId="1DBDE293" w14:textId="77777777" w:rsidR="00D1587D" w:rsidRDefault="00410D07">
      <w:pPr>
        <w:ind w:right="-19"/>
        <w:jc w:val="center"/>
        <w:rPr>
          <w:sz w:val="20"/>
          <w:szCs w:val="20"/>
        </w:rPr>
      </w:pPr>
      <w:r>
        <w:rPr>
          <w:rFonts w:ascii="Arial" w:eastAsia="Arial" w:hAnsi="Arial" w:cs="Arial"/>
        </w:rPr>
        <w:t>REPRESENTATIONS AND WARRANTIES</w:t>
      </w:r>
    </w:p>
    <w:p w14:paraId="18A9F2ED" w14:textId="77777777" w:rsidR="00D1587D" w:rsidRDefault="00D1587D">
      <w:pPr>
        <w:spacing w:line="215" w:lineRule="exact"/>
        <w:rPr>
          <w:sz w:val="20"/>
          <w:szCs w:val="20"/>
        </w:rPr>
      </w:pPr>
    </w:p>
    <w:p w14:paraId="4AD9398D" w14:textId="77777777" w:rsidR="00D1587D" w:rsidRDefault="00410D07">
      <w:pPr>
        <w:spacing w:line="250" w:lineRule="auto"/>
        <w:ind w:right="280" w:firstLine="648"/>
        <w:rPr>
          <w:sz w:val="20"/>
          <w:szCs w:val="20"/>
        </w:rPr>
      </w:pPr>
      <w:r>
        <w:rPr>
          <w:rFonts w:ascii="Arial" w:eastAsia="Arial" w:hAnsi="Arial" w:cs="Arial"/>
        </w:rPr>
        <w:t xml:space="preserve">Section 8.01. </w:t>
      </w:r>
      <w:r>
        <w:rPr>
          <w:rFonts w:ascii="Arial" w:eastAsia="Arial" w:hAnsi="Arial" w:cs="Arial"/>
          <w:i/>
          <w:iCs/>
        </w:rPr>
        <w:t>Representations and Warranties of Service Provider</w:t>
      </w:r>
      <w:r>
        <w:rPr>
          <w:rFonts w:ascii="Arial" w:eastAsia="Arial" w:hAnsi="Arial" w:cs="Arial"/>
        </w:rPr>
        <w:t>. Service Provider represents and warrants to L Brands that:</w:t>
      </w:r>
    </w:p>
    <w:p w14:paraId="0A81ACB2" w14:textId="77777777" w:rsidR="00D1587D" w:rsidRDefault="00D1587D">
      <w:pPr>
        <w:spacing w:line="202" w:lineRule="exact"/>
        <w:rPr>
          <w:sz w:val="20"/>
          <w:szCs w:val="20"/>
        </w:rPr>
      </w:pPr>
    </w:p>
    <w:p w14:paraId="2BCACD4E" w14:textId="77777777" w:rsidR="00D1587D" w:rsidRDefault="00410D07">
      <w:pPr>
        <w:numPr>
          <w:ilvl w:val="0"/>
          <w:numId w:val="98"/>
        </w:numPr>
        <w:tabs>
          <w:tab w:val="left" w:pos="1428"/>
        </w:tabs>
        <w:ind w:firstLine="656"/>
        <w:rPr>
          <w:rFonts w:ascii="Arial" w:eastAsia="Arial" w:hAnsi="Arial" w:cs="Arial"/>
        </w:rPr>
      </w:pPr>
      <w:r>
        <w:rPr>
          <w:rFonts w:ascii="Arial" w:eastAsia="Arial" w:hAnsi="Arial" w:cs="Arial"/>
        </w:rPr>
        <w:t xml:space="preserve">Service </w:t>
      </w:r>
      <w:r>
        <w:rPr>
          <w:rFonts w:ascii="Arial" w:eastAsia="Arial" w:hAnsi="Arial" w:cs="Arial"/>
        </w:rPr>
        <w:t>Provider is an entity duly organized, validly existing and in good standing (with respect to jurisdictions that recognize such concept) under the laws of its jurisdiction of organization and has all corporate powers required to carry on its business as now</w:t>
      </w:r>
      <w:r>
        <w:rPr>
          <w:rFonts w:ascii="Arial" w:eastAsia="Arial" w:hAnsi="Arial" w:cs="Arial"/>
        </w:rPr>
        <w:t xml:space="preserve"> conducted.</w:t>
      </w:r>
    </w:p>
    <w:p w14:paraId="1E32FC5C" w14:textId="77777777" w:rsidR="00D1587D" w:rsidRDefault="00D1587D">
      <w:pPr>
        <w:spacing w:line="213" w:lineRule="exact"/>
        <w:rPr>
          <w:rFonts w:ascii="Arial" w:eastAsia="Arial" w:hAnsi="Arial" w:cs="Arial"/>
        </w:rPr>
      </w:pPr>
    </w:p>
    <w:p w14:paraId="250812CA" w14:textId="77777777" w:rsidR="00D1587D" w:rsidRDefault="00410D07">
      <w:pPr>
        <w:numPr>
          <w:ilvl w:val="0"/>
          <w:numId w:val="98"/>
        </w:numPr>
        <w:tabs>
          <w:tab w:val="left" w:pos="1440"/>
        </w:tabs>
        <w:spacing w:line="235" w:lineRule="auto"/>
        <w:ind w:right="260" w:firstLine="656"/>
        <w:rPr>
          <w:rFonts w:ascii="Arial" w:eastAsia="Arial" w:hAnsi="Arial" w:cs="Arial"/>
        </w:rPr>
      </w:pPr>
      <w:r>
        <w:rPr>
          <w:rFonts w:ascii="Arial" w:eastAsia="Arial" w:hAnsi="Arial" w:cs="Arial"/>
        </w:rPr>
        <w:t xml:space="preserve">The execution, delivery and performance by Service Provider of this Agreement and the consummation of the transactions contemplated hereby by Service Provider are within Service Provider’s corporate powers and have been duly authorized by all </w:t>
      </w:r>
      <w:r>
        <w:rPr>
          <w:rFonts w:ascii="Arial" w:eastAsia="Arial" w:hAnsi="Arial" w:cs="Arial"/>
        </w:rPr>
        <w:t>necessary corporate action on the part of Service Provider. This Agreement constitutes a valid and binding agreement of Service Provider enforceable against Service Provider in accordance with its terms (subject to applicable bankruptcy, insolvency, fraudu</w:t>
      </w:r>
      <w:r>
        <w:rPr>
          <w:rFonts w:ascii="Arial" w:eastAsia="Arial" w:hAnsi="Arial" w:cs="Arial"/>
        </w:rPr>
        <w:t>lent transfer, reorganization, moratorium and other laws affecting creditors’ rights generally and general principles of equity).</w:t>
      </w:r>
    </w:p>
    <w:p w14:paraId="41C5A028" w14:textId="77777777" w:rsidR="00D1587D" w:rsidRDefault="00D1587D">
      <w:pPr>
        <w:spacing w:line="214" w:lineRule="exact"/>
        <w:rPr>
          <w:rFonts w:ascii="Arial" w:eastAsia="Arial" w:hAnsi="Arial" w:cs="Arial"/>
        </w:rPr>
      </w:pPr>
    </w:p>
    <w:p w14:paraId="559DF107" w14:textId="77777777" w:rsidR="00D1587D" w:rsidRDefault="00410D07">
      <w:pPr>
        <w:numPr>
          <w:ilvl w:val="0"/>
          <w:numId w:val="98"/>
        </w:numPr>
        <w:tabs>
          <w:tab w:val="left" w:pos="1428"/>
        </w:tabs>
        <w:spacing w:line="236" w:lineRule="auto"/>
        <w:ind w:right="280" w:firstLine="656"/>
        <w:rPr>
          <w:rFonts w:ascii="Arial" w:eastAsia="Arial" w:hAnsi="Arial" w:cs="Arial"/>
        </w:rPr>
      </w:pPr>
      <w:r>
        <w:rPr>
          <w:rFonts w:ascii="Arial" w:eastAsia="Arial" w:hAnsi="Arial" w:cs="Arial"/>
        </w:rPr>
        <w:t>The execution, delivery and performance by Service Provider of this Agreement and the consummation of the transactions contem</w:t>
      </w:r>
      <w:r>
        <w:rPr>
          <w:rFonts w:ascii="Arial" w:eastAsia="Arial" w:hAnsi="Arial" w:cs="Arial"/>
        </w:rPr>
        <w:t>plated hereby by Service Provider require no action by or in respect of, or filing with, any Governmental Authority other than any such action or filing that has already been taken or made or as to which the failure to make or obtain would not reasonably b</w:t>
      </w:r>
      <w:r>
        <w:rPr>
          <w:rFonts w:ascii="Arial" w:eastAsia="Arial" w:hAnsi="Arial" w:cs="Arial"/>
        </w:rPr>
        <w:t>e expected to materially impede or delay the performance by Service Provider of its obligations hereunder.</w:t>
      </w:r>
    </w:p>
    <w:p w14:paraId="273472DC" w14:textId="77777777" w:rsidR="00D1587D" w:rsidRDefault="00D1587D">
      <w:pPr>
        <w:spacing w:line="392" w:lineRule="exact"/>
        <w:rPr>
          <w:sz w:val="20"/>
          <w:szCs w:val="20"/>
        </w:rPr>
      </w:pPr>
    </w:p>
    <w:p w14:paraId="2227292E" w14:textId="77777777" w:rsidR="00D1587D" w:rsidRDefault="00410D07">
      <w:pPr>
        <w:ind w:right="-19"/>
        <w:jc w:val="center"/>
        <w:rPr>
          <w:sz w:val="20"/>
          <w:szCs w:val="20"/>
        </w:rPr>
      </w:pPr>
      <w:r>
        <w:rPr>
          <w:rFonts w:ascii="Arial" w:eastAsia="Arial" w:hAnsi="Arial" w:cs="Arial"/>
          <w:sz w:val="14"/>
          <w:szCs w:val="14"/>
        </w:rPr>
        <w:t>17</w:t>
      </w:r>
    </w:p>
    <w:p w14:paraId="53639995" w14:textId="77777777" w:rsidR="00D1587D" w:rsidRDefault="00410D07">
      <w:pPr>
        <w:spacing w:line="20" w:lineRule="exact"/>
        <w:rPr>
          <w:sz w:val="20"/>
          <w:szCs w:val="20"/>
        </w:rPr>
      </w:pPr>
      <w:r>
        <w:rPr>
          <w:noProof/>
          <w:sz w:val="20"/>
          <w:szCs w:val="20"/>
        </w:rPr>
        <w:drawing>
          <wp:anchor distT="0" distB="0" distL="114300" distR="114300" simplePos="0" relativeHeight="251282432" behindDoc="1" locked="0" layoutInCell="0" allowOverlap="1" wp14:anchorId="1D443C3E" wp14:editId="5DC7C9B3">
            <wp:simplePos x="0" y="0"/>
            <wp:positionH relativeFrom="column">
              <wp:posOffset>5080</wp:posOffset>
            </wp:positionH>
            <wp:positionV relativeFrom="paragraph">
              <wp:posOffset>38100</wp:posOffset>
            </wp:positionV>
            <wp:extent cx="7132320" cy="1714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F07DB19" w14:textId="77777777" w:rsidR="00D1587D" w:rsidRDefault="00D1587D">
      <w:pPr>
        <w:sectPr w:rsidR="00D1587D">
          <w:pgSz w:w="11900" w:h="16838"/>
          <w:pgMar w:top="604" w:right="359" w:bottom="1440" w:left="320" w:header="0" w:footer="0" w:gutter="0"/>
          <w:cols w:space="720" w:equalWidth="0">
            <w:col w:w="11220"/>
          </w:cols>
        </w:sectPr>
      </w:pPr>
    </w:p>
    <w:p w14:paraId="5B6D0C1F" w14:textId="77777777" w:rsidR="00D1587D" w:rsidRDefault="00410D07">
      <w:pPr>
        <w:tabs>
          <w:tab w:val="left" w:pos="2300"/>
        </w:tabs>
        <w:ind w:left="660"/>
        <w:rPr>
          <w:sz w:val="20"/>
          <w:szCs w:val="20"/>
        </w:rPr>
      </w:pPr>
      <w:bookmarkStart w:id="131" w:name="page132"/>
      <w:bookmarkEnd w:id="131"/>
      <w:r>
        <w:rPr>
          <w:rFonts w:ascii="Arial" w:eastAsia="Arial" w:hAnsi="Arial" w:cs="Arial"/>
        </w:rPr>
        <w:t>Section 8.02.</w:t>
      </w:r>
      <w:r>
        <w:rPr>
          <w:sz w:val="20"/>
          <w:szCs w:val="20"/>
        </w:rPr>
        <w:tab/>
      </w:r>
      <w:r>
        <w:rPr>
          <w:rFonts w:ascii="Arial" w:eastAsia="Arial" w:hAnsi="Arial" w:cs="Arial"/>
          <w:i/>
          <w:iCs/>
          <w:sz w:val="19"/>
          <w:szCs w:val="19"/>
        </w:rPr>
        <w:t>Representations and Warranties of L Brands</w:t>
      </w:r>
      <w:r>
        <w:rPr>
          <w:rFonts w:ascii="Arial" w:eastAsia="Arial" w:hAnsi="Arial" w:cs="Arial"/>
          <w:sz w:val="19"/>
          <w:szCs w:val="19"/>
        </w:rPr>
        <w:t>. L Brands represents and warrants to Service Provider</w:t>
      </w:r>
    </w:p>
    <w:p w14:paraId="0176EA64" w14:textId="77777777" w:rsidR="00D1587D" w:rsidRDefault="00D1587D">
      <w:pPr>
        <w:spacing w:line="8" w:lineRule="exact"/>
        <w:rPr>
          <w:sz w:val="20"/>
          <w:szCs w:val="20"/>
        </w:rPr>
      </w:pPr>
    </w:p>
    <w:p w14:paraId="4A0AABBC" w14:textId="77777777" w:rsidR="00D1587D" w:rsidRDefault="00410D07">
      <w:pPr>
        <w:rPr>
          <w:sz w:val="20"/>
          <w:szCs w:val="20"/>
        </w:rPr>
      </w:pPr>
      <w:r>
        <w:rPr>
          <w:rFonts w:ascii="Arial" w:eastAsia="Arial" w:hAnsi="Arial" w:cs="Arial"/>
        </w:rPr>
        <w:t>that:</w:t>
      </w:r>
    </w:p>
    <w:p w14:paraId="166B27FD" w14:textId="77777777" w:rsidR="00D1587D" w:rsidRDefault="00D1587D">
      <w:pPr>
        <w:spacing w:line="215" w:lineRule="exact"/>
        <w:rPr>
          <w:sz w:val="20"/>
          <w:szCs w:val="20"/>
        </w:rPr>
      </w:pPr>
    </w:p>
    <w:p w14:paraId="27E9C7F0" w14:textId="77777777" w:rsidR="00D1587D" w:rsidRDefault="00410D07">
      <w:pPr>
        <w:numPr>
          <w:ilvl w:val="0"/>
          <w:numId w:val="99"/>
        </w:numPr>
        <w:tabs>
          <w:tab w:val="left" w:pos="1428"/>
        </w:tabs>
        <w:ind w:right="200" w:firstLine="656"/>
        <w:rPr>
          <w:rFonts w:ascii="Arial" w:eastAsia="Arial" w:hAnsi="Arial" w:cs="Arial"/>
        </w:rPr>
      </w:pPr>
      <w:r>
        <w:rPr>
          <w:rFonts w:ascii="Arial" w:eastAsia="Arial" w:hAnsi="Arial" w:cs="Arial"/>
        </w:rPr>
        <w:t xml:space="preserve">L </w:t>
      </w:r>
      <w:r>
        <w:rPr>
          <w:rFonts w:ascii="Arial" w:eastAsia="Arial" w:hAnsi="Arial" w:cs="Arial"/>
        </w:rPr>
        <w:t>Brands is a corporation duly incorporated, validly existing and in good standing (with respect to jurisdictions that recognize such concept) under the laws of Delaware and has all corporate powers required to carry on its business as now conducted.</w:t>
      </w:r>
    </w:p>
    <w:p w14:paraId="4EA81069" w14:textId="77777777" w:rsidR="00D1587D" w:rsidRDefault="00D1587D">
      <w:pPr>
        <w:spacing w:line="213" w:lineRule="exact"/>
        <w:rPr>
          <w:rFonts w:ascii="Arial" w:eastAsia="Arial" w:hAnsi="Arial" w:cs="Arial"/>
        </w:rPr>
      </w:pPr>
    </w:p>
    <w:p w14:paraId="208A7E43" w14:textId="77777777" w:rsidR="00D1587D" w:rsidRDefault="00410D07">
      <w:pPr>
        <w:numPr>
          <w:ilvl w:val="0"/>
          <w:numId w:val="99"/>
        </w:numPr>
        <w:tabs>
          <w:tab w:val="left" w:pos="1440"/>
        </w:tabs>
        <w:spacing w:line="282" w:lineRule="auto"/>
        <w:ind w:right="520" w:firstLine="656"/>
        <w:rPr>
          <w:rFonts w:ascii="Arial" w:eastAsia="Arial" w:hAnsi="Arial" w:cs="Arial"/>
          <w:sz w:val="19"/>
          <w:szCs w:val="19"/>
        </w:rPr>
      </w:pPr>
      <w:r>
        <w:rPr>
          <w:rFonts w:ascii="Arial" w:eastAsia="Arial" w:hAnsi="Arial" w:cs="Arial"/>
          <w:sz w:val="19"/>
          <w:szCs w:val="19"/>
        </w:rPr>
        <w:t>The ex</w:t>
      </w:r>
      <w:r>
        <w:rPr>
          <w:rFonts w:ascii="Arial" w:eastAsia="Arial" w:hAnsi="Arial" w:cs="Arial"/>
          <w:sz w:val="19"/>
          <w:szCs w:val="19"/>
        </w:rPr>
        <w:t xml:space="preserve">ecution, delivery and performance by L Brands of this Agreement and the consummation of the transactions contemplated hereby by L Brands are within L Brands’ corporate powers and have been duly authorized by all necessary corporate action on the part of L </w:t>
      </w:r>
      <w:r>
        <w:rPr>
          <w:rFonts w:ascii="Arial" w:eastAsia="Arial" w:hAnsi="Arial" w:cs="Arial"/>
          <w:sz w:val="19"/>
          <w:szCs w:val="19"/>
        </w:rPr>
        <w:t>Brands. This Agreement constitutes a valid and binding agreement of L Brands, enforceable against L Brands accordance with its terms (subject to applicable bankruptcy, insolvency, fraudulent transfer, reorganization, moratorium and other laws affecting cre</w:t>
      </w:r>
      <w:r>
        <w:rPr>
          <w:rFonts w:ascii="Arial" w:eastAsia="Arial" w:hAnsi="Arial" w:cs="Arial"/>
          <w:sz w:val="19"/>
          <w:szCs w:val="19"/>
        </w:rPr>
        <w:t>ditors’ rights generally and general principles of equity).</w:t>
      </w:r>
    </w:p>
    <w:p w14:paraId="7C1A9C50" w14:textId="77777777" w:rsidR="00D1587D" w:rsidRDefault="00D1587D">
      <w:pPr>
        <w:spacing w:line="174" w:lineRule="exact"/>
        <w:rPr>
          <w:rFonts w:ascii="Arial" w:eastAsia="Arial" w:hAnsi="Arial" w:cs="Arial"/>
          <w:sz w:val="19"/>
          <w:szCs w:val="19"/>
        </w:rPr>
      </w:pPr>
    </w:p>
    <w:p w14:paraId="23EBB04F" w14:textId="77777777" w:rsidR="00D1587D" w:rsidRDefault="00410D07">
      <w:pPr>
        <w:numPr>
          <w:ilvl w:val="0"/>
          <w:numId w:val="99"/>
        </w:numPr>
        <w:tabs>
          <w:tab w:val="left" w:pos="1428"/>
        </w:tabs>
        <w:spacing w:line="287" w:lineRule="auto"/>
        <w:ind w:right="220" w:firstLine="656"/>
        <w:rPr>
          <w:rFonts w:ascii="Arial" w:eastAsia="Arial" w:hAnsi="Arial" w:cs="Arial"/>
          <w:sz w:val="19"/>
          <w:szCs w:val="19"/>
        </w:rPr>
      </w:pPr>
      <w:r>
        <w:rPr>
          <w:rFonts w:ascii="Arial" w:eastAsia="Arial" w:hAnsi="Arial" w:cs="Arial"/>
          <w:sz w:val="19"/>
          <w:szCs w:val="19"/>
        </w:rPr>
        <w:t>The execution, delivery and performance by L Brands of this Agreement and the consummation of the transactions contemplated hereby by L Brands require no action by or in respect of, or filing wit</w:t>
      </w:r>
      <w:r>
        <w:rPr>
          <w:rFonts w:ascii="Arial" w:eastAsia="Arial" w:hAnsi="Arial" w:cs="Arial"/>
          <w:sz w:val="19"/>
          <w:szCs w:val="19"/>
        </w:rPr>
        <w:t>h, any Governmental Authority other than any such action or filing that has already been taken or made or as to which the failure to make or obtain would not reasonably be expected to materially impede or delay the performance by L Brands of its obligation</w:t>
      </w:r>
      <w:r>
        <w:rPr>
          <w:rFonts w:ascii="Arial" w:eastAsia="Arial" w:hAnsi="Arial" w:cs="Arial"/>
          <w:sz w:val="19"/>
          <w:szCs w:val="19"/>
        </w:rPr>
        <w:t>s hereunder.</w:t>
      </w:r>
    </w:p>
    <w:p w14:paraId="23D79B4C" w14:textId="77777777" w:rsidR="00D1587D" w:rsidRDefault="00D1587D">
      <w:pPr>
        <w:spacing w:line="170" w:lineRule="exact"/>
        <w:rPr>
          <w:sz w:val="20"/>
          <w:szCs w:val="20"/>
        </w:rPr>
      </w:pPr>
    </w:p>
    <w:p w14:paraId="216D68DC" w14:textId="77777777" w:rsidR="00D1587D" w:rsidRDefault="00410D07">
      <w:pPr>
        <w:jc w:val="center"/>
        <w:rPr>
          <w:sz w:val="20"/>
          <w:szCs w:val="20"/>
        </w:rPr>
      </w:pPr>
      <w:r>
        <w:rPr>
          <w:rFonts w:ascii="Arial" w:eastAsia="Arial" w:hAnsi="Arial" w:cs="Arial"/>
        </w:rPr>
        <w:t>ARTICLE 9</w:t>
      </w:r>
    </w:p>
    <w:p w14:paraId="7D5C86E0" w14:textId="77777777" w:rsidR="00D1587D" w:rsidRDefault="00D1587D">
      <w:pPr>
        <w:spacing w:line="8" w:lineRule="exact"/>
        <w:rPr>
          <w:sz w:val="20"/>
          <w:szCs w:val="20"/>
        </w:rPr>
      </w:pPr>
    </w:p>
    <w:p w14:paraId="61AF401A" w14:textId="77777777" w:rsidR="00D1587D" w:rsidRDefault="00410D07">
      <w:pPr>
        <w:jc w:val="center"/>
        <w:rPr>
          <w:sz w:val="20"/>
          <w:szCs w:val="20"/>
        </w:rPr>
      </w:pPr>
      <w:r>
        <w:rPr>
          <w:rFonts w:ascii="Arial" w:eastAsia="Arial" w:hAnsi="Arial" w:cs="Arial"/>
        </w:rPr>
        <w:t>MISCELLANEOUS</w:t>
      </w:r>
    </w:p>
    <w:p w14:paraId="1B3B01AF" w14:textId="77777777" w:rsidR="00D1587D" w:rsidRDefault="00D1587D">
      <w:pPr>
        <w:spacing w:line="215" w:lineRule="exact"/>
        <w:rPr>
          <w:sz w:val="20"/>
          <w:szCs w:val="20"/>
        </w:rPr>
      </w:pPr>
    </w:p>
    <w:p w14:paraId="41BC610E" w14:textId="77777777" w:rsidR="00D1587D" w:rsidRDefault="00410D07">
      <w:pPr>
        <w:ind w:firstLine="648"/>
        <w:rPr>
          <w:sz w:val="20"/>
          <w:szCs w:val="20"/>
        </w:rPr>
      </w:pPr>
      <w:r>
        <w:rPr>
          <w:rFonts w:ascii="Arial" w:eastAsia="Arial" w:hAnsi="Arial" w:cs="Arial"/>
        </w:rPr>
        <w:t xml:space="preserve">Section 9.01. </w:t>
      </w:r>
      <w:r>
        <w:rPr>
          <w:rFonts w:ascii="Arial" w:eastAsia="Arial" w:hAnsi="Arial" w:cs="Arial"/>
          <w:i/>
          <w:iCs/>
        </w:rPr>
        <w:t>Notices</w:t>
      </w:r>
      <w:r>
        <w:rPr>
          <w:rFonts w:ascii="Arial" w:eastAsia="Arial" w:hAnsi="Arial" w:cs="Arial"/>
        </w:rPr>
        <w:t xml:space="preserve">. Any notice, instruction, direction or demand under the terms of this Agreement required to be in writing shall be duly given upon delivery, if delivered by hand, facsimile </w:t>
      </w:r>
      <w:r>
        <w:rPr>
          <w:rFonts w:ascii="Arial" w:eastAsia="Arial" w:hAnsi="Arial" w:cs="Arial"/>
        </w:rPr>
        <w:t>transmission, mail, or e-mail transmission to the following addresses:</w:t>
      </w:r>
    </w:p>
    <w:p w14:paraId="72E41EB0" w14:textId="77777777" w:rsidR="00D1587D" w:rsidRDefault="00D1587D">
      <w:pPr>
        <w:spacing w:line="213" w:lineRule="exact"/>
        <w:rPr>
          <w:sz w:val="20"/>
          <w:szCs w:val="20"/>
        </w:rPr>
      </w:pPr>
    </w:p>
    <w:p w14:paraId="347A4684" w14:textId="77777777" w:rsidR="00D1587D" w:rsidRDefault="00410D07">
      <w:pPr>
        <w:ind w:left="660"/>
        <w:rPr>
          <w:sz w:val="20"/>
          <w:szCs w:val="20"/>
        </w:rPr>
      </w:pPr>
      <w:r>
        <w:rPr>
          <w:rFonts w:ascii="Arial" w:eastAsia="Arial" w:hAnsi="Arial" w:cs="Arial"/>
        </w:rPr>
        <w:t>if to Service Provider, to:</w:t>
      </w:r>
    </w:p>
    <w:p w14:paraId="51F0041A" w14:textId="77777777" w:rsidR="00D1587D" w:rsidRDefault="00D1587D">
      <w:pPr>
        <w:spacing w:line="240" w:lineRule="exact"/>
        <w:rPr>
          <w:sz w:val="20"/>
          <w:szCs w:val="20"/>
        </w:rPr>
      </w:pPr>
    </w:p>
    <w:p w14:paraId="7FDA4497" w14:textId="77777777" w:rsidR="00D1587D" w:rsidRDefault="00410D07">
      <w:pPr>
        <w:ind w:left="1660"/>
        <w:rPr>
          <w:sz w:val="20"/>
          <w:szCs w:val="20"/>
        </w:rPr>
      </w:pPr>
      <w:r>
        <w:rPr>
          <w:rFonts w:ascii="Arial" w:eastAsia="Arial" w:hAnsi="Arial" w:cs="Arial"/>
          <w:sz w:val="18"/>
          <w:szCs w:val="18"/>
        </w:rPr>
        <w:t>Victoria’s Secret &amp; Co.</w:t>
      </w:r>
    </w:p>
    <w:p w14:paraId="73864B50" w14:textId="77777777" w:rsidR="00D1587D" w:rsidRDefault="00D1587D">
      <w:pPr>
        <w:spacing w:line="23" w:lineRule="exact"/>
        <w:rPr>
          <w:sz w:val="20"/>
          <w:szCs w:val="20"/>
        </w:rPr>
      </w:pPr>
    </w:p>
    <w:p w14:paraId="02044303" w14:textId="77777777" w:rsidR="00D1587D" w:rsidRDefault="00410D07">
      <w:pPr>
        <w:ind w:left="1660"/>
        <w:rPr>
          <w:sz w:val="20"/>
          <w:szCs w:val="20"/>
        </w:rPr>
      </w:pPr>
      <w:r>
        <w:rPr>
          <w:rFonts w:ascii="Arial" w:eastAsia="Arial" w:hAnsi="Arial" w:cs="Arial"/>
          <w:sz w:val="18"/>
          <w:szCs w:val="18"/>
        </w:rPr>
        <w:t>4 Limited Parkway East</w:t>
      </w:r>
    </w:p>
    <w:p w14:paraId="788B82CF" w14:textId="77777777" w:rsidR="00D1587D" w:rsidRDefault="00D1587D">
      <w:pPr>
        <w:spacing w:line="9" w:lineRule="exact"/>
        <w:rPr>
          <w:sz w:val="20"/>
          <w:szCs w:val="20"/>
        </w:rPr>
      </w:pPr>
    </w:p>
    <w:p w14:paraId="1B262C4D" w14:textId="77777777" w:rsidR="00D1587D" w:rsidRDefault="00410D07">
      <w:pPr>
        <w:ind w:left="1660"/>
        <w:rPr>
          <w:sz w:val="20"/>
          <w:szCs w:val="20"/>
        </w:rPr>
      </w:pPr>
      <w:r>
        <w:rPr>
          <w:rFonts w:ascii="Arial" w:eastAsia="Arial" w:hAnsi="Arial" w:cs="Arial"/>
          <w:sz w:val="18"/>
          <w:szCs w:val="18"/>
        </w:rPr>
        <w:t>Reynoldsburg, Ohio 43068</w:t>
      </w:r>
    </w:p>
    <w:p w14:paraId="227E3C26" w14:textId="77777777" w:rsidR="00D1587D" w:rsidRDefault="00D1587D">
      <w:pPr>
        <w:spacing w:line="9" w:lineRule="exact"/>
        <w:rPr>
          <w:sz w:val="20"/>
          <w:szCs w:val="20"/>
        </w:rPr>
      </w:pPr>
    </w:p>
    <w:p w14:paraId="5FD63DCB" w14:textId="77777777" w:rsidR="00D1587D" w:rsidRDefault="00410D07">
      <w:pPr>
        <w:ind w:left="1660"/>
        <w:rPr>
          <w:sz w:val="20"/>
          <w:szCs w:val="20"/>
        </w:rPr>
      </w:pPr>
      <w:r>
        <w:rPr>
          <w:rFonts w:ascii="Arial" w:eastAsia="Arial" w:hAnsi="Arial" w:cs="Arial"/>
          <w:sz w:val="18"/>
          <w:szCs w:val="18"/>
        </w:rPr>
        <w:t>Attention:[__]</w:t>
      </w:r>
    </w:p>
    <w:p w14:paraId="390D733B" w14:textId="77777777" w:rsidR="00D1587D" w:rsidRDefault="00D1587D">
      <w:pPr>
        <w:spacing w:line="9" w:lineRule="exact"/>
        <w:rPr>
          <w:sz w:val="20"/>
          <w:szCs w:val="20"/>
        </w:rPr>
      </w:pPr>
    </w:p>
    <w:p w14:paraId="540A7A25" w14:textId="77777777" w:rsidR="00D1587D" w:rsidRDefault="00410D07">
      <w:pPr>
        <w:tabs>
          <w:tab w:val="left" w:pos="2380"/>
        </w:tabs>
        <w:ind w:left="1660"/>
        <w:rPr>
          <w:sz w:val="20"/>
          <w:szCs w:val="20"/>
        </w:rPr>
      </w:pPr>
      <w:r>
        <w:rPr>
          <w:rFonts w:ascii="Arial" w:eastAsia="Arial" w:hAnsi="Arial" w:cs="Arial"/>
          <w:sz w:val="18"/>
          <w:szCs w:val="18"/>
        </w:rPr>
        <w:t>E-mail:</w:t>
      </w:r>
      <w:r>
        <w:rPr>
          <w:sz w:val="20"/>
          <w:szCs w:val="20"/>
        </w:rPr>
        <w:tab/>
      </w:r>
      <w:r>
        <w:rPr>
          <w:rFonts w:ascii="Arial" w:eastAsia="Arial" w:hAnsi="Arial" w:cs="Arial"/>
          <w:sz w:val="17"/>
          <w:szCs w:val="17"/>
        </w:rPr>
        <w:t>[__]</w:t>
      </w:r>
    </w:p>
    <w:p w14:paraId="30FCC3DF" w14:textId="77777777" w:rsidR="00D1587D" w:rsidRDefault="00D1587D">
      <w:pPr>
        <w:spacing w:line="231" w:lineRule="exact"/>
        <w:rPr>
          <w:sz w:val="20"/>
          <w:szCs w:val="20"/>
        </w:rPr>
      </w:pPr>
    </w:p>
    <w:p w14:paraId="6BF30119" w14:textId="77777777" w:rsidR="00D1587D" w:rsidRDefault="00410D07">
      <w:pPr>
        <w:ind w:left="660"/>
        <w:rPr>
          <w:sz w:val="20"/>
          <w:szCs w:val="20"/>
        </w:rPr>
      </w:pPr>
      <w:r>
        <w:rPr>
          <w:rFonts w:ascii="Arial" w:eastAsia="Arial" w:hAnsi="Arial" w:cs="Arial"/>
        </w:rPr>
        <w:t xml:space="preserve">with a copy (which shall not constitute </w:t>
      </w:r>
      <w:r>
        <w:rPr>
          <w:rFonts w:ascii="Arial" w:eastAsia="Arial" w:hAnsi="Arial" w:cs="Arial"/>
        </w:rPr>
        <w:t>notice) to:</w:t>
      </w:r>
    </w:p>
    <w:p w14:paraId="647E1A09" w14:textId="77777777" w:rsidR="00D1587D" w:rsidRDefault="00D1587D">
      <w:pPr>
        <w:spacing w:line="240" w:lineRule="exact"/>
        <w:rPr>
          <w:sz w:val="20"/>
          <w:szCs w:val="20"/>
        </w:rPr>
      </w:pPr>
    </w:p>
    <w:p w14:paraId="54B9B225" w14:textId="77777777" w:rsidR="00D1587D" w:rsidRDefault="00410D07">
      <w:pPr>
        <w:ind w:left="1640"/>
        <w:rPr>
          <w:sz w:val="20"/>
          <w:szCs w:val="20"/>
        </w:rPr>
      </w:pPr>
      <w:r>
        <w:rPr>
          <w:rFonts w:ascii="Arial" w:eastAsia="Arial" w:hAnsi="Arial" w:cs="Arial"/>
          <w:sz w:val="18"/>
          <w:szCs w:val="18"/>
        </w:rPr>
        <w:t>Davis Polk &amp; Wardwell LLP</w:t>
      </w:r>
    </w:p>
    <w:p w14:paraId="72F41E57" w14:textId="77777777" w:rsidR="00D1587D" w:rsidRDefault="00D1587D">
      <w:pPr>
        <w:spacing w:line="23" w:lineRule="exact"/>
        <w:rPr>
          <w:sz w:val="20"/>
          <w:szCs w:val="20"/>
        </w:rPr>
      </w:pPr>
    </w:p>
    <w:p w14:paraId="1A3CD4D6" w14:textId="77777777" w:rsidR="00D1587D" w:rsidRDefault="00410D07">
      <w:pPr>
        <w:ind w:left="1640"/>
        <w:rPr>
          <w:sz w:val="20"/>
          <w:szCs w:val="20"/>
        </w:rPr>
      </w:pPr>
      <w:r>
        <w:rPr>
          <w:rFonts w:ascii="Arial" w:eastAsia="Arial" w:hAnsi="Arial" w:cs="Arial"/>
          <w:sz w:val="18"/>
          <w:szCs w:val="18"/>
        </w:rPr>
        <w:t>450 Lexington Avenue</w:t>
      </w:r>
    </w:p>
    <w:p w14:paraId="2ABDD881" w14:textId="77777777" w:rsidR="00D1587D" w:rsidRDefault="00D1587D">
      <w:pPr>
        <w:spacing w:line="9" w:lineRule="exact"/>
        <w:rPr>
          <w:sz w:val="20"/>
          <w:szCs w:val="20"/>
        </w:rPr>
      </w:pPr>
    </w:p>
    <w:p w14:paraId="5027A0A2" w14:textId="77777777" w:rsidR="00D1587D" w:rsidRDefault="00410D07">
      <w:pPr>
        <w:ind w:left="1640"/>
        <w:rPr>
          <w:sz w:val="20"/>
          <w:szCs w:val="20"/>
        </w:rPr>
      </w:pPr>
      <w:r>
        <w:rPr>
          <w:rFonts w:ascii="Arial" w:eastAsia="Arial" w:hAnsi="Arial" w:cs="Arial"/>
          <w:sz w:val="18"/>
          <w:szCs w:val="18"/>
        </w:rPr>
        <w:t>New York, New York 10017</w:t>
      </w:r>
    </w:p>
    <w:p w14:paraId="1B4A438A" w14:textId="77777777" w:rsidR="00D1587D" w:rsidRDefault="00D1587D">
      <w:pPr>
        <w:spacing w:line="9" w:lineRule="exact"/>
        <w:rPr>
          <w:sz w:val="20"/>
          <w:szCs w:val="20"/>
        </w:rPr>
      </w:pPr>
    </w:p>
    <w:p w14:paraId="0B0DD310" w14:textId="77777777" w:rsidR="00D1587D" w:rsidRDefault="00410D07">
      <w:pPr>
        <w:ind w:left="1640"/>
        <w:rPr>
          <w:sz w:val="20"/>
          <w:szCs w:val="20"/>
        </w:rPr>
      </w:pPr>
      <w:r>
        <w:rPr>
          <w:rFonts w:ascii="Arial" w:eastAsia="Arial" w:hAnsi="Arial" w:cs="Arial"/>
          <w:sz w:val="18"/>
          <w:szCs w:val="18"/>
        </w:rPr>
        <w:t>Attention:William H. Aaronson</w:t>
      </w:r>
    </w:p>
    <w:p w14:paraId="2C66BCB1" w14:textId="77777777" w:rsidR="00D1587D" w:rsidRDefault="00D1587D">
      <w:pPr>
        <w:spacing w:line="9" w:lineRule="exact"/>
        <w:rPr>
          <w:sz w:val="20"/>
          <w:szCs w:val="20"/>
        </w:rPr>
      </w:pPr>
    </w:p>
    <w:p w14:paraId="7C61AEC2" w14:textId="77777777" w:rsidR="00D1587D" w:rsidRDefault="00410D07">
      <w:pPr>
        <w:ind w:left="2380"/>
        <w:rPr>
          <w:sz w:val="20"/>
          <w:szCs w:val="20"/>
        </w:rPr>
      </w:pPr>
      <w:r>
        <w:rPr>
          <w:rFonts w:ascii="Arial" w:eastAsia="Arial" w:hAnsi="Arial" w:cs="Arial"/>
          <w:sz w:val="18"/>
          <w:szCs w:val="18"/>
        </w:rPr>
        <w:t>Cheryl Chan</w:t>
      </w:r>
    </w:p>
    <w:p w14:paraId="4A7A4E39" w14:textId="77777777" w:rsidR="00D1587D" w:rsidRDefault="00D1587D">
      <w:pPr>
        <w:spacing w:line="9" w:lineRule="exact"/>
        <w:rPr>
          <w:sz w:val="20"/>
          <w:szCs w:val="20"/>
        </w:rPr>
      </w:pPr>
    </w:p>
    <w:p w14:paraId="5117C363" w14:textId="77777777" w:rsidR="00D1587D" w:rsidRDefault="00410D07">
      <w:pPr>
        <w:tabs>
          <w:tab w:val="left" w:pos="2360"/>
        </w:tabs>
        <w:ind w:left="1640"/>
        <w:rPr>
          <w:sz w:val="20"/>
          <w:szCs w:val="20"/>
        </w:rPr>
      </w:pPr>
      <w:r>
        <w:rPr>
          <w:rFonts w:ascii="Arial" w:eastAsia="Arial" w:hAnsi="Arial" w:cs="Arial"/>
          <w:sz w:val="18"/>
          <w:szCs w:val="18"/>
        </w:rPr>
        <w:t>E-mail:</w:t>
      </w:r>
      <w:r>
        <w:rPr>
          <w:sz w:val="20"/>
          <w:szCs w:val="20"/>
        </w:rPr>
        <w:tab/>
      </w:r>
      <w:r>
        <w:rPr>
          <w:rFonts w:ascii="Arial" w:eastAsia="Arial" w:hAnsi="Arial" w:cs="Arial"/>
          <w:sz w:val="16"/>
          <w:szCs w:val="16"/>
        </w:rPr>
        <w:t>william.aaronson@davispolk.com</w:t>
      </w:r>
    </w:p>
    <w:p w14:paraId="17AF8F46" w14:textId="77777777" w:rsidR="00D1587D" w:rsidRDefault="00D1587D">
      <w:pPr>
        <w:spacing w:line="9" w:lineRule="exact"/>
        <w:rPr>
          <w:sz w:val="20"/>
          <w:szCs w:val="20"/>
        </w:rPr>
      </w:pPr>
    </w:p>
    <w:p w14:paraId="45182FE5" w14:textId="77777777" w:rsidR="00D1587D" w:rsidRDefault="00410D07">
      <w:pPr>
        <w:ind w:left="2380"/>
        <w:rPr>
          <w:sz w:val="20"/>
          <w:szCs w:val="20"/>
        </w:rPr>
      </w:pPr>
      <w:r>
        <w:rPr>
          <w:rFonts w:ascii="Arial" w:eastAsia="Arial" w:hAnsi="Arial" w:cs="Arial"/>
          <w:sz w:val="18"/>
          <w:szCs w:val="18"/>
        </w:rPr>
        <w:t>cheryl.chan@davispolk.com</w:t>
      </w:r>
    </w:p>
    <w:p w14:paraId="4BF23843" w14:textId="77777777" w:rsidR="00D1587D" w:rsidRDefault="00D1587D">
      <w:pPr>
        <w:spacing w:line="231" w:lineRule="exact"/>
        <w:rPr>
          <w:sz w:val="20"/>
          <w:szCs w:val="20"/>
        </w:rPr>
      </w:pPr>
    </w:p>
    <w:p w14:paraId="2665348A" w14:textId="77777777" w:rsidR="00D1587D" w:rsidRDefault="00410D07">
      <w:pPr>
        <w:ind w:left="660"/>
        <w:rPr>
          <w:sz w:val="20"/>
          <w:szCs w:val="20"/>
        </w:rPr>
      </w:pPr>
      <w:r>
        <w:rPr>
          <w:rFonts w:ascii="Arial" w:eastAsia="Arial" w:hAnsi="Arial" w:cs="Arial"/>
        </w:rPr>
        <w:t>if to L Brands, to:</w:t>
      </w:r>
    </w:p>
    <w:p w14:paraId="139D4F94" w14:textId="77777777" w:rsidR="00D1587D" w:rsidRDefault="00D1587D">
      <w:pPr>
        <w:spacing w:line="240" w:lineRule="exact"/>
        <w:rPr>
          <w:sz w:val="20"/>
          <w:szCs w:val="20"/>
        </w:rPr>
      </w:pPr>
    </w:p>
    <w:p w14:paraId="15029225" w14:textId="77777777" w:rsidR="00D1587D" w:rsidRDefault="00410D07">
      <w:pPr>
        <w:ind w:left="1640"/>
        <w:rPr>
          <w:sz w:val="20"/>
          <w:szCs w:val="20"/>
        </w:rPr>
      </w:pPr>
      <w:r>
        <w:rPr>
          <w:rFonts w:ascii="Arial" w:eastAsia="Arial" w:hAnsi="Arial" w:cs="Arial"/>
          <w:sz w:val="18"/>
          <w:szCs w:val="18"/>
        </w:rPr>
        <w:t>L Brands, Inc.</w:t>
      </w:r>
    </w:p>
    <w:p w14:paraId="1EAD63D2" w14:textId="77777777" w:rsidR="00D1587D" w:rsidRDefault="00D1587D">
      <w:pPr>
        <w:spacing w:line="23" w:lineRule="exact"/>
        <w:rPr>
          <w:sz w:val="20"/>
          <w:szCs w:val="20"/>
        </w:rPr>
      </w:pPr>
    </w:p>
    <w:p w14:paraId="7CDB229D" w14:textId="77777777" w:rsidR="00D1587D" w:rsidRDefault="00410D07">
      <w:pPr>
        <w:ind w:left="1640"/>
        <w:rPr>
          <w:sz w:val="20"/>
          <w:szCs w:val="20"/>
        </w:rPr>
      </w:pPr>
      <w:r>
        <w:rPr>
          <w:rFonts w:ascii="Arial" w:eastAsia="Arial" w:hAnsi="Arial" w:cs="Arial"/>
          <w:sz w:val="18"/>
          <w:szCs w:val="18"/>
        </w:rPr>
        <w:t xml:space="preserve">Three Limited </w:t>
      </w:r>
      <w:r>
        <w:rPr>
          <w:rFonts w:ascii="Arial" w:eastAsia="Arial" w:hAnsi="Arial" w:cs="Arial"/>
          <w:sz w:val="18"/>
          <w:szCs w:val="18"/>
        </w:rPr>
        <w:t>Parkway</w:t>
      </w:r>
    </w:p>
    <w:p w14:paraId="7DCBCB21" w14:textId="77777777" w:rsidR="00D1587D" w:rsidRDefault="00D1587D">
      <w:pPr>
        <w:spacing w:line="9" w:lineRule="exact"/>
        <w:rPr>
          <w:sz w:val="20"/>
          <w:szCs w:val="20"/>
        </w:rPr>
      </w:pPr>
    </w:p>
    <w:p w14:paraId="0E3CB8FD" w14:textId="77777777" w:rsidR="00D1587D" w:rsidRDefault="00410D07">
      <w:pPr>
        <w:ind w:left="1640"/>
        <w:rPr>
          <w:sz w:val="20"/>
          <w:szCs w:val="20"/>
        </w:rPr>
      </w:pPr>
      <w:r>
        <w:rPr>
          <w:rFonts w:ascii="Arial" w:eastAsia="Arial" w:hAnsi="Arial" w:cs="Arial"/>
          <w:sz w:val="18"/>
          <w:szCs w:val="18"/>
        </w:rPr>
        <w:t>Columbus, Ohio 43230</w:t>
      </w:r>
    </w:p>
    <w:p w14:paraId="4A916919" w14:textId="77777777" w:rsidR="00D1587D" w:rsidRDefault="00D1587D">
      <w:pPr>
        <w:spacing w:line="9" w:lineRule="exact"/>
        <w:rPr>
          <w:sz w:val="20"/>
          <w:szCs w:val="20"/>
        </w:rPr>
      </w:pPr>
    </w:p>
    <w:p w14:paraId="4779BDD9" w14:textId="77777777" w:rsidR="00D1587D" w:rsidRDefault="00410D07">
      <w:pPr>
        <w:ind w:left="1640"/>
        <w:rPr>
          <w:sz w:val="20"/>
          <w:szCs w:val="20"/>
        </w:rPr>
      </w:pPr>
      <w:r>
        <w:rPr>
          <w:rFonts w:ascii="Arial" w:eastAsia="Arial" w:hAnsi="Arial" w:cs="Arial"/>
          <w:sz w:val="18"/>
          <w:szCs w:val="18"/>
        </w:rPr>
        <w:t>Attention:Tim Faber</w:t>
      </w:r>
    </w:p>
    <w:p w14:paraId="2474F88A" w14:textId="77777777" w:rsidR="00D1587D" w:rsidRDefault="00D1587D">
      <w:pPr>
        <w:spacing w:line="9" w:lineRule="exact"/>
        <w:rPr>
          <w:sz w:val="20"/>
          <w:szCs w:val="20"/>
        </w:rPr>
      </w:pPr>
    </w:p>
    <w:p w14:paraId="366F7D48" w14:textId="77777777" w:rsidR="00D1587D" w:rsidRDefault="00410D07">
      <w:pPr>
        <w:tabs>
          <w:tab w:val="left" w:pos="2360"/>
        </w:tabs>
        <w:ind w:left="1640"/>
        <w:rPr>
          <w:sz w:val="20"/>
          <w:szCs w:val="20"/>
        </w:rPr>
      </w:pPr>
      <w:r>
        <w:rPr>
          <w:rFonts w:ascii="Arial" w:eastAsia="Arial" w:hAnsi="Arial" w:cs="Arial"/>
          <w:sz w:val="18"/>
          <w:szCs w:val="18"/>
        </w:rPr>
        <w:t>E-mail:</w:t>
      </w:r>
      <w:r>
        <w:rPr>
          <w:sz w:val="20"/>
          <w:szCs w:val="20"/>
        </w:rPr>
        <w:tab/>
      </w:r>
      <w:r>
        <w:rPr>
          <w:rFonts w:ascii="Arial" w:eastAsia="Arial" w:hAnsi="Arial" w:cs="Arial"/>
          <w:sz w:val="16"/>
          <w:szCs w:val="16"/>
        </w:rPr>
        <w:t>TFaber@lb.com</w:t>
      </w:r>
    </w:p>
    <w:p w14:paraId="6E260101" w14:textId="77777777" w:rsidR="00D1587D" w:rsidRDefault="00D1587D">
      <w:pPr>
        <w:spacing w:line="200" w:lineRule="exact"/>
        <w:rPr>
          <w:sz w:val="20"/>
          <w:szCs w:val="20"/>
        </w:rPr>
      </w:pPr>
    </w:p>
    <w:p w14:paraId="43017900" w14:textId="77777777" w:rsidR="00D1587D" w:rsidRDefault="00D1587D">
      <w:pPr>
        <w:spacing w:line="200" w:lineRule="exact"/>
        <w:rPr>
          <w:sz w:val="20"/>
          <w:szCs w:val="20"/>
        </w:rPr>
      </w:pPr>
    </w:p>
    <w:p w14:paraId="2A8BD5BC" w14:textId="77777777" w:rsidR="00D1587D" w:rsidRDefault="00D1587D">
      <w:pPr>
        <w:spacing w:line="252" w:lineRule="exact"/>
        <w:rPr>
          <w:sz w:val="20"/>
          <w:szCs w:val="20"/>
        </w:rPr>
      </w:pPr>
    </w:p>
    <w:p w14:paraId="519353E1" w14:textId="77777777" w:rsidR="00D1587D" w:rsidRDefault="00410D07">
      <w:pPr>
        <w:jc w:val="center"/>
        <w:rPr>
          <w:sz w:val="20"/>
          <w:szCs w:val="20"/>
        </w:rPr>
      </w:pPr>
      <w:r>
        <w:rPr>
          <w:rFonts w:ascii="Arial" w:eastAsia="Arial" w:hAnsi="Arial" w:cs="Arial"/>
          <w:sz w:val="14"/>
          <w:szCs w:val="14"/>
        </w:rPr>
        <w:t>18</w:t>
      </w:r>
    </w:p>
    <w:p w14:paraId="1C05BCA0" w14:textId="77777777" w:rsidR="00D1587D" w:rsidRDefault="00410D07">
      <w:pPr>
        <w:spacing w:line="20" w:lineRule="exact"/>
        <w:rPr>
          <w:sz w:val="20"/>
          <w:szCs w:val="20"/>
        </w:rPr>
      </w:pPr>
      <w:r>
        <w:rPr>
          <w:noProof/>
          <w:sz w:val="20"/>
          <w:szCs w:val="20"/>
        </w:rPr>
        <w:drawing>
          <wp:anchor distT="0" distB="0" distL="114300" distR="114300" simplePos="0" relativeHeight="251283456" behindDoc="1" locked="0" layoutInCell="0" allowOverlap="1" wp14:anchorId="5491B430" wp14:editId="74BA7F4F">
            <wp:simplePos x="0" y="0"/>
            <wp:positionH relativeFrom="column">
              <wp:posOffset>5080</wp:posOffset>
            </wp:positionH>
            <wp:positionV relativeFrom="paragraph">
              <wp:posOffset>38100</wp:posOffset>
            </wp:positionV>
            <wp:extent cx="7132320" cy="1714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3221075" w14:textId="77777777" w:rsidR="00D1587D" w:rsidRDefault="00D1587D">
      <w:pPr>
        <w:sectPr w:rsidR="00D1587D">
          <w:pgSz w:w="11900" w:h="16838"/>
          <w:pgMar w:top="604" w:right="339" w:bottom="1440" w:left="320" w:header="0" w:footer="0" w:gutter="0"/>
          <w:cols w:space="720" w:equalWidth="0">
            <w:col w:w="11240"/>
          </w:cols>
        </w:sectPr>
      </w:pPr>
    </w:p>
    <w:p w14:paraId="6CDE132C" w14:textId="77777777" w:rsidR="00D1587D" w:rsidRDefault="00410D07">
      <w:pPr>
        <w:ind w:left="660"/>
        <w:rPr>
          <w:sz w:val="20"/>
          <w:szCs w:val="20"/>
        </w:rPr>
      </w:pPr>
      <w:bookmarkStart w:id="132" w:name="page133"/>
      <w:bookmarkEnd w:id="132"/>
      <w:r>
        <w:rPr>
          <w:rFonts w:ascii="Arial" w:eastAsia="Arial" w:hAnsi="Arial" w:cs="Arial"/>
        </w:rPr>
        <w:t>with a copy (which shall not constitute notice) to:</w:t>
      </w:r>
    </w:p>
    <w:p w14:paraId="1E926171" w14:textId="77777777" w:rsidR="00D1587D" w:rsidRDefault="00D1587D">
      <w:pPr>
        <w:spacing w:line="240" w:lineRule="exact"/>
        <w:rPr>
          <w:sz w:val="20"/>
          <w:szCs w:val="20"/>
        </w:rPr>
      </w:pPr>
    </w:p>
    <w:p w14:paraId="70B0F999" w14:textId="77777777" w:rsidR="00D1587D" w:rsidRDefault="00410D07">
      <w:pPr>
        <w:ind w:left="1640"/>
        <w:rPr>
          <w:sz w:val="20"/>
          <w:szCs w:val="20"/>
        </w:rPr>
      </w:pPr>
      <w:r>
        <w:rPr>
          <w:rFonts w:ascii="Arial" w:eastAsia="Arial" w:hAnsi="Arial" w:cs="Arial"/>
          <w:sz w:val="18"/>
          <w:szCs w:val="18"/>
        </w:rPr>
        <w:t>Davis Polk &amp; Wardwell LLP</w:t>
      </w:r>
    </w:p>
    <w:p w14:paraId="506462B5" w14:textId="77777777" w:rsidR="00D1587D" w:rsidRDefault="00D1587D">
      <w:pPr>
        <w:spacing w:line="23" w:lineRule="exact"/>
        <w:rPr>
          <w:sz w:val="20"/>
          <w:szCs w:val="20"/>
        </w:rPr>
      </w:pPr>
    </w:p>
    <w:p w14:paraId="362BAAF9" w14:textId="77777777" w:rsidR="00D1587D" w:rsidRDefault="00410D07">
      <w:pPr>
        <w:ind w:left="1640"/>
        <w:rPr>
          <w:sz w:val="20"/>
          <w:szCs w:val="20"/>
        </w:rPr>
      </w:pPr>
      <w:r>
        <w:rPr>
          <w:rFonts w:ascii="Arial" w:eastAsia="Arial" w:hAnsi="Arial" w:cs="Arial"/>
          <w:sz w:val="18"/>
          <w:szCs w:val="18"/>
        </w:rPr>
        <w:t>450 Lexington Avenue</w:t>
      </w:r>
    </w:p>
    <w:p w14:paraId="444AD78A" w14:textId="77777777" w:rsidR="00D1587D" w:rsidRDefault="00D1587D">
      <w:pPr>
        <w:spacing w:line="9" w:lineRule="exact"/>
        <w:rPr>
          <w:sz w:val="20"/>
          <w:szCs w:val="20"/>
        </w:rPr>
      </w:pPr>
    </w:p>
    <w:p w14:paraId="063BB51C" w14:textId="77777777" w:rsidR="00D1587D" w:rsidRDefault="00410D07">
      <w:pPr>
        <w:ind w:left="1640"/>
        <w:rPr>
          <w:sz w:val="20"/>
          <w:szCs w:val="20"/>
        </w:rPr>
      </w:pPr>
      <w:r>
        <w:rPr>
          <w:rFonts w:ascii="Arial" w:eastAsia="Arial" w:hAnsi="Arial" w:cs="Arial"/>
          <w:sz w:val="18"/>
          <w:szCs w:val="18"/>
        </w:rPr>
        <w:t>New York, New York 10017</w:t>
      </w:r>
    </w:p>
    <w:p w14:paraId="3B9F9CD5" w14:textId="77777777" w:rsidR="00D1587D" w:rsidRDefault="00D1587D">
      <w:pPr>
        <w:spacing w:line="9" w:lineRule="exact"/>
        <w:rPr>
          <w:sz w:val="20"/>
          <w:szCs w:val="20"/>
        </w:rPr>
      </w:pPr>
    </w:p>
    <w:p w14:paraId="755070EA" w14:textId="77777777" w:rsidR="00D1587D" w:rsidRDefault="00410D07">
      <w:pPr>
        <w:ind w:left="1640"/>
        <w:rPr>
          <w:sz w:val="20"/>
          <w:szCs w:val="20"/>
        </w:rPr>
      </w:pPr>
      <w:r>
        <w:rPr>
          <w:rFonts w:ascii="Arial" w:eastAsia="Arial" w:hAnsi="Arial" w:cs="Arial"/>
          <w:sz w:val="18"/>
          <w:szCs w:val="18"/>
        </w:rPr>
        <w:t>Attention:William H. Aaronson</w:t>
      </w:r>
    </w:p>
    <w:p w14:paraId="2A08C389" w14:textId="77777777" w:rsidR="00D1587D" w:rsidRDefault="00D1587D">
      <w:pPr>
        <w:spacing w:line="9" w:lineRule="exact"/>
        <w:rPr>
          <w:sz w:val="20"/>
          <w:szCs w:val="20"/>
        </w:rPr>
      </w:pPr>
    </w:p>
    <w:p w14:paraId="2D42226E" w14:textId="77777777" w:rsidR="00D1587D" w:rsidRDefault="00410D07">
      <w:pPr>
        <w:ind w:left="2380"/>
        <w:rPr>
          <w:sz w:val="20"/>
          <w:szCs w:val="20"/>
        </w:rPr>
      </w:pPr>
      <w:r>
        <w:rPr>
          <w:rFonts w:ascii="Arial" w:eastAsia="Arial" w:hAnsi="Arial" w:cs="Arial"/>
          <w:sz w:val="18"/>
          <w:szCs w:val="18"/>
        </w:rPr>
        <w:t>Cheryl Chan</w:t>
      </w:r>
    </w:p>
    <w:p w14:paraId="5D2FB09F" w14:textId="77777777" w:rsidR="00D1587D" w:rsidRDefault="00D1587D">
      <w:pPr>
        <w:spacing w:line="9" w:lineRule="exact"/>
        <w:rPr>
          <w:sz w:val="20"/>
          <w:szCs w:val="20"/>
        </w:rPr>
      </w:pPr>
    </w:p>
    <w:p w14:paraId="0997BBBA" w14:textId="77777777" w:rsidR="00D1587D" w:rsidRDefault="00410D07">
      <w:pPr>
        <w:tabs>
          <w:tab w:val="left" w:pos="2360"/>
        </w:tabs>
        <w:ind w:left="1640"/>
        <w:rPr>
          <w:sz w:val="20"/>
          <w:szCs w:val="20"/>
        </w:rPr>
      </w:pPr>
      <w:r>
        <w:rPr>
          <w:rFonts w:ascii="Arial" w:eastAsia="Arial" w:hAnsi="Arial" w:cs="Arial"/>
          <w:sz w:val="18"/>
          <w:szCs w:val="18"/>
        </w:rPr>
        <w:t>E-mail:</w:t>
      </w:r>
      <w:r>
        <w:rPr>
          <w:sz w:val="20"/>
          <w:szCs w:val="20"/>
        </w:rPr>
        <w:tab/>
      </w:r>
      <w:r>
        <w:rPr>
          <w:rFonts w:ascii="Arial" w:eastAsia="Arial" w:hAnsi="Arial" w:cs="Arial"/>
          <w:sz w:val="16"/>
          <w:szCs w:val="16"/>
        </w:rPr>
        <w:t>william.aaronson@davispolk.com</w:t>
      </w:r>
    </w:p>
    <w:p w14:paraId="1D097AA1" w14:textId="77777777" w:rsidR="00D1587D" w:rsidRDefault="00D1587D">
      <w:pPr>
        <w:spacing w:line="9" w:lineRule="exact"/>
        <w:rPr>
          <w:sz w:val="20"/>
          <w:szCs w:val="20"/>
        </w:rPr>
      </w:pPr>
    </w:p>
    <w:p w14:paraId="0FB244D6" w14:textId="77777777" w:rsidR="00D1587D" w:rsidRDefault="00410D07">
      <w:pPr>
        <w:ind w:left="2380"/>
        <w:rPr>
          <w:sz w:val="20"/>
          <w:szCs w:val="20"/>
        </w:rPr>
      </w:pPr>
      <w:r>
        <w:rPr>
          <w:rFonts w:ascii="Arial" w:eastAsia="Arial" w:hAnsi="Arial" w:cs="Arial"/>
          <w:sz w:val="18"/>
          <w:szCs w:val="18"/>
        </w:rPr>
        <w:t>cheryl.chan@davispolk.com</w:t>
      </w:r>
    </w:p>
    <w:p w14:paraId="4507911F" w14:textId="77777777" w:rsidR="00D1587D" w:rsidRDefault="00D1587D">
      <w:pPr>
        <w:spacing w:line="231" w:lineRule="exact"/>
        <w:rPr>
          <w:sz w:val="20"/>
          <w:szCs w:val="20"/>
        </w:rPr>
      </w:pPr>
    </w:p>
    <w:p w14:paraId="4E5721C3" w14:textId="77777777" w:rsidR="00D1587D" w:rsidRDefault="00410D07">
      <w:pPr>
        <w:spacing w:line="236" w:lineRule="auto"/>
        <w:ind w:right="140"/>
        <w:rPr>
          <w:sz w:val="20"/>
          <w:szCs w:val="20"/>
        </w:rPr>
      </w:pPr>
      <w:r>
        <w:rPr>
          <w:rFonts w:ascii="Arial" w:eastAsia="Arial" w:hAnsi="Arial" w:cs="Arial"/>
        </w:rPr>
        <w:t xml:space="preserve">or such other address or facsimile number as such party may hereafter specify for the purpose by notice to the other parties hereto. All such </w:t>
      </w:r>
      <w:r>
        <w:rPr>
          <w:rFonts w:ascii="Arial" w:eastAsia="Arial" w:hAnsi="Arial" w:cs="Arial"/>
        </w:rPr>
        <w:t>notices, requests and other communications shall be deemed received on the date of receipt by the recipient thereof if received prior to 5:00 p.m. in the place of receipt and such day is a Business Day in the place of receipt. Otherwise, any such notice, r</w:t>
      </w:r>
      <w:r>
        <w:rPr>
          <w:rFonts w:ascii="Arial" w:eastAsia="Arial" w:hAnsi="Arial" w:cs="Arial"/>
        </w:rPr>
        <w:t>equest or communication shall be deemed not to have been received until the next succeeding Business Day in the place of receipt.</w:t>
      </w:r>
    </w:p>
    <w:p w14:paraId="7FB704F6" w14:textId="77777777" w:rsidR="00D1587D" w:rsidRDefault="00D1587D">
      <w:pPr>
        <w:spacing w:line="214" w:lineRule="exact"/>
        <w:rPr>
          <w:sz w:val="20"/>
          <w:szCs w:val="20"/>
        </w:rPr>
      </w:pPr>
    </w:p>
    <w:p w14:paraId="2B464A61" w14:textId="77777777" w:rsidR="00D1587D" w:rsidRDefault="00410D07">
      <w:pPr>
        <w:ind w:right="180" w:firstLine="648"/>
        <w:rPr>
          <w:sz w:val="20"/>
          <w:szCs w:val="20"/>
        </w:rPr>
      </w:pPr>
      <w:r>
        <w:rPr>
          <w:rFonts w:ascii="Arial" w:eastAsia="Arial" w:hAnsi="Arial" w:cs="Arial"/>
        </w:rPr>
        <w:t xml:space="preserve">Section 9.02. </w:t>
      </w:r>
      <w:r>
        <w:rPr>
          <w:rFonts w:ascii="Arial" w:eastAsia="Arial" w:hAnsi="Arial" w:cs="Arial"/>
          <w:i/>
          <w:iCs/>
        </w:rPr>
        <w:t>Amendments; No Waivers</w:t>
      </w:r>
      <w:r>
        <w:rPr>
          <w:rFonts w:ascii="Arial" w:eastAsia="Arial" w:hAnsi="Arial" w:cs="Arial"/>
        </w:rPr>
        <w:t>. (a) Any provision of this Agreement may be amended or waived if, but only if, such amen</w:t>
      </w:r>
      <w:r>
        <w:rPr>
          <w:rFonts w:ascii="Arial" w:eastAsia="Arial" w:hAnsi="Arial" w:cs="Arial"/>
        </w:rPr>
        <w:t>dment or waiver is in writing and is signed, in the case of an amendment, by each party to this Agreement, or in the case of a waiver, by the party against whom the waiver is to be effective.</w:t>
      </w:r>
    </w:p>
    <w:p w14:paraId="42A02C34" w14:textId="77777777" w:rsidR="00D1587D" w:rsidRDefault="00D1587D">
      <w:pPr>
        <w:spacing w:line="213" w:lineRule="exact"/>
        <w:rPr>
          <w:sz w:val="20"/>
          <w:szCs w:val="20"/>
        </w:rPr>
      </w:pPr>
    </w:p>
    <w:p w14:paraId="15CC8CE0" w14:textId="77777777" w:rsidR="00D1587D" w:rsidRDefault="00410D07">
      <w:pPr>
        <w:numPr>
          <w:ilvl w:val="0"/>
          <w:numId w:val="100"/>
        </w:numPr>
        <w:tabs>
          <w:tab w:val="left" w:pos="1440"/>
        </w:tabs>
        <w:spacing w:line="238" w:lineRule="auto"/>
        <w:ind w:right="80" w:firstLine="656"/>
        <w:rPr>
          <w:rFonts w:ascii="Arial" w:eastAsia="Arial" w:hAnsi="Arial" w:cs="Arial"/>
        </w:rPr>
      </w:pPr>
      <w:r>
        <w:rPr>
          <w:rFonts w:ascii="Arial" w:eastAsia="Arial" w:hAnsi="Arial" w:cs="Arial"/>
        </w:rPr>
        <w:t>No failure or delay by any party hereto in exercising any right</w:t>
      </w:r>
      <w:r>
        <w:rPr>
          <w:rFonts w:ascii="Arial" w:eastAsia="Arial" w:hAnsi="Arial" w:cs="Arial"/>
        </w:rPr>
        <w:t>, power or privilege hereunder shall operate as a waiver thereof nor shall any single or partial exercise thereof preclude any other or further exercise thereof or the exercise of any other right, power or privilege. Except as set forth in Section 6.06, th</w:t>
      </w:r>
      <w:r>
        <w:rPr>
          <w:rFonts w:ascii="Arial" w:eastAsia="Arial" w:hAnsi="Arial" w:cs="Arial"/>
        </w:rPr>
        <w:t>e rights and remedies herein provided shall be cumulative and not exclusive of any rights or remedies provided by law.</w:t>
      </w:r>
    </w:p>
    <w:p w14:paraId="634539E0" w14:textId="77777777" w:rsidR="00D1587D" w:rsidRDefault="00D1587D">
      <w:pPr>
        <w:spacing w:line="212" w:lineRule="exact"/>
        <w:rPr>
          <w:sz w:val="20"/>
          <w:szCs w:val="20"/>
        </w:rPr>
      </w:pPr>
    </w:p>
    <w:p w14:paraId="71CA31AB" w14:textId="77777777" w:rsidR="00D1587D" w:rsidRDefault="00410D07">
      <w:pPr>
        <w:spacing w:line="328" w:lineRule="auto"/>
        <w:ind w:right="680" w:firstLine="648"/>
        <w:rPr>
          <w:sz w:val="20"/>
          <w:szCs w:val="20"/>
        </w:rPr>
      </w:pPr>
      <w:r>
        <w:rPr>
          <w:rFonts w:ascii="Arial" w:eastAsia="Arial" w:hAnsi="Arial" w:cs="Arial"/>
          <w:sz w:val="19"/>
          <w:szCs w:val="19"/>
        </w:rPr>
        <w:t xml:space="preserve">Section 9.03. </w:t>
      </w:r>
      <w:r>
        <w:rPr>
          <w:rFonts w:ascii="Arial" w:eastAsia="Arial" w:hAnsi="Arial" w:cs="Arial"/>
          <w:i/>
          <w:iCs/>
          <w:sz w:val="19"/>
          <w:szCs w:val="19"/>
        </w:rPr>
        <w:t>Expenses</w:t>
      </w:r>
      <w:r>
        <w:rPr>
          <w:rFonts w:ascii="Arial" w:eastAsia="Arial" w:hAnsi="Arial" w:cs="Arial"/>
          <w:sz w:val="19"/>
          <w:szCs w:val="19"/>
        </w:rPr>
        <w:t>. Except as otherwise provided herein, all third-party fees, costs and expenses paid or incurred in connection wit</w:t>
      </w:r>
      <w:r>
        <w:rPr>
          <w:rFonts w:ascii="Arial" w:eastAsia="Arial" w:hAnsi="Arial" w:cs="Arial"/>
          <w:sz w:val="19"/>
          <w:szCs w:val="19"/>
        </w:rPr>
        <w:t>h this Agreement shall be paid by the party hereto incurring such fees, cost or expenses.</w:t>
      </w:r>
    </w:p>
    <w:p w14:paraId="74E07184" w14:textId="77777777" w:rsidR="00D1587D" w:rsidRDefault="00D1587D">
      <w:pPr>
        <w:spacing w:line="132" w:lineRule="exact"/>
        <w:rPr>
          <w:sz w:val="20"/>
          <w:szCs w:val="20"/>
        </w:rPr>
      </w:pPr>
    </w:p>
    <w:p w14:paraId="616FD3A8" w14:textId="77777777" w:rsidR="00D1587D" w:rsidRDefault="00410D07">
      <w:pPr>
        <w:spacing w:line="275" w:lineRule="auto"/>
        <w:ind w:right="40" w:firstLine="648"/>
        <w:rPr>
          <w:sz w:val="20"/>
          <w:szCs w:val="20"/>
        </w:rPr>
      </w:pPr>
      <w:r>
        <w:rPr>
          <w:rFonts w:ascii="Arial" w:eastAsia="Arial" w:hAnsi="Arial" w:cs="Arial"/>
          <w:sz w:val="19"/>
          <w:szCs w:val="19"/>
        </w:rPr>
        <w:t xml:space="preserve">Section 9.04. </w:t>
      </w:r>
      <w:r>
        <w:rPr>
          <w:rFonts w:ascii="Arial" w:eastAsia="Arial" w:hAnsi="Arial" w:cs="Arial"/>
          <w:i/>
          <w:iCs/>
          <w:sz w:val="19"/>
          <w:szCs w:val="19"/>
        </w:rPr>
        <w:t>Independent Contractor Status</w:t>
      </w:r>
      <w:r>
        <w:rPr>
          <w:rFonts w:ascii="Arial" w:eastAsia="Arial" w:hAnsi="Arial" w:cs="Arial"/>
          <w:sz w:val="19"/>
          <w:szCs w:val="19"/>
        </w:rPr>
        <w:t>. Nothing in this Agreement shall constitute or be deemed to constitute a partnership or joint venture between the parties</w:t>
      </w:r>
      <w:r>
        <w:rPr>
          <w:rFonts w:ascii="Arial" w:eastAsia="Arial" w:hAnsi="Arial" w:cs="Arial"/>
          <w:sz w:val="19"/>
          <w:szCs w:val="19"/>
        </w:rPr>
        <w:t xml:space="preserve"> hereto. Neither party hereto is now, nor shall it be made by this Agreement, an agent, employee or legal representative of the other party hereto or any of its Affiliates for any purpose. Each party hereto acknowledges and agrees that neither party hereto</w:t>
      </w:r>
      <w:r>
        <w:rPr>
          <w:rFonts w:ascii="Arial" w:eastAsia="Arial" w:hAnsi="Arial" w:cs="Arial"/>
          <w:sz w:val="19"/>
          <w:szCs w:val="19"/>
        </w:rPr>
        <w:t xml:space="preserve"> shall have authority or power to bind the other party hereto or any of its Affiliates or to contract in the name of, or create a liability against, the other party hereto or any of its Affiliates in any way or for any purpose, to accept any service of pro</w:t>
      </w:r>
      <w:r>
        <w:rPr>
          <w:rFonts w:ascii="Arial" w:eastAsia="Arial" w:hAnsi="Arial" w:cs="Arial"/>
          <w:sz w:val="19"/>
          <w:szCs w:val="19"/>
        </w:rPr>
        <w:t>cess upon the other party hereto or any of its Affiliates or to receive any notices of any kind on behalf of the other party hereto or any of its Affiliates. Each party hereto is and shall be an independent contractor in the performance of Services hereund</w:t>
      </w:r>
      <w:r>
        <w:rPr>
          <w:rFonts w:ascii="Arial" w:eastAsia="Arial" w:hAnsi="Arial" w:cs="Arial"/>
          <w:sz w:val="19"/>
          <w:szCs w:val="19"/>
        </w:rPr>
        <w:t>er and nothing herein shall be construed to be inconsistent with this status.</w:t>
      </w:r>
    </w:p>
    <w:p w14:paraId="1A17B3DE" w14:textId="77777777" w:rsidR="00D1587D" w:rsidRDefault="00D1587D">
      <w:pPr>
        <w:spacing w:line="184" w:lineRule="exact"/>
        <w:rPr>
          <w:sz w:val="20"/>
          <w:szCs w:val="20"/>
        </w:rPr>
      </w:pPr>
    </w:p>
    <w:p w14:paraId="1A5C0B57" w14:textId="77777777" w:rsidR="00D1587D" w:rsidRDefault="00410D07">
      <w:pPr>
        <w:spacing w:line="275" w:lineRule="auto"/>
        <w:ind w:firstLine="648"/>
        <w:rPr>
          <w:sz w:val="20"/>
          <w:szCs w:val="20"/>
        </w:rPr>
      </w:pPr>
      <w:r>
        <w:rPr>
          <w:rFonts w:ascii="Arial" w:eastAsia="Arial" w:hAnsi="Arial" w:cs="Arial"/>
          <w:sz w:val="19"/>
          <w:szCs w:val="19"/>
        </w:rPr>
        <w:t xml:space="preserve">Section 9.05. </w:t>
      </w:r>
      <w:r>
        <w:rPr>
          <w:rFonts w:ascii="Arial" w:eastAsia="Arial" w:hAnsi="Arial" w:cs="Arial"/>
          <w:i/>
          <w:iCs/>
          <w:sz w:val="19"/>
          <w:szCs w:val="19"/>
        </w:rPr>
        <w:t>Successors and Assigns</w:t>
      </w:r>
      <w:r>
        <w:rPr>
          <w:rFonts w:ascii="Arial" w:eastAsia="Arial" w:hAnsi="Arial" w:cs="Arial"/>
          <w:sz w:val="19"/>
          <w:szCs w:val="19"/>
        </w:rPr>
        <w:t>. The provisions of this Agreement shall be binding upon and inure to the benefit of the parties hereto and their respective successors and a</w:t>
      </w:r>
      <w:r>
        <w:rPr>
          <w:rFonts w:ascii="Arial" w:eastAsia="Arial" w:hAnsi="Arial" w:cs="Arial"/>
          <w:sz w:val="19"/>
          <w:szCs w:val="19"/>
        </w:rPr>
        <w:t xml:space="preserve">ssigns. Neither this Agreement nor any right, remedy, obligations or liability arising hereunder or by reason hereof nor any of the documents executed in connection herewith may be assigned by any party hereto without the consent of the other party, which </w:t>
      </w:r>
      <w:r>
        <w:rPr>
          <w:rFonts w:ascii="Arial" w:eastAsia="Arial" w:hAnsi="Arial" w:cs="Arial"/>
          <w:sz w:val="19"/>
          <w:szCs w:val="19"/>
        </w:rPr>
        <w:t>consent may be granted or withheld in the discretion of such other party. Notwithstanding the foregoing, either party hereto may assign or transfer this Agreement and all of its rights and obligations hereunder to an Affiliate or to any third party that ac</w:t>
      </w:r>
      <w:r>
        <w:rPr>
          <w:rFonts w:ascii="Arial" w:eastAsia="Arial" w:hAnsi="Arial" w:cs="Arial"/>
          <w:sz w:val="19"/>
          <w:szCs w:val="19"/>
        </w:rPr>
        <w:t xml:space="preserve">quires all or substantially all of such party’s assets or business to which this Agreement relates (whether by sale of assets, stock, merger, consolidation, reorganization or otherwise); provided that this Agreement and the Services shall not apply to any </w:t>
      </w:r>
      <w:r>
        <w:rPr>
          <w:rFonts w:ascii="Arial" w:eastAsia="Arial" w:hAnsi="Arial" w:cs="Arial"/>
          <w:sz w:val="19"/>
          <w:szCs w:val="19"/>
        </w:rPr>
        <w:t>other business of such third party acquirer.</w:t>
      </w:r>
    </w:p>
    <w:p w14:paraId="582BCB37" w14:textId="77777777" w:rsidR="00D1587D" w:rsidRDefault="00D1587D">
      <w:pPr>
        <w:spacing w:line="184" w:lineRule="exact"/>
        <w:rPr>
          <w:sz w:val="20"/>
          <w:szCs w:val="20"/>
        </w:rPr>
      </w:pPr>
    </w:p>
    <w:p w14:paraId="231FE92E" w14:textId="77777777" w:rsidR="00D1587D" w:rsidRDefault="00410D07">
      <w:pPr>
        <w:spacing w:line="250" w:lineRule="auto"/>
        <w:ind w:right="260" w:firstLine="648"/>
        <w:rPr>
          <w:sz w:val="20"/>
          <w:szCs w:val="20"/>
        </w:rPr>
      </w:pPr>
      <w:r>
        <w:rPr>
          <w:rFonts w:ascii="Arial" w:eastAsia="Arial" w:hAnsi="Arial" w:cs="Arial"/>
        </w:rPr>
        <w:t xml:space="preserve">Section 9.06. </w:t>
      </w:r>
      <w:r>
        <w:rPr>
          <w:rFonts w:ascii="Arial" w:eastAsia="Arial" w:hAnsi="Arial" w:cs="Arial"/>
          <w:i/>
          <w:iCs/>
        </w:rPr>
        <w:t>Governing Law</w:t>
      </w:r>
      <w:r>
        <w:rPr>
          <w:rFonts w:ascii="Arial" w:eastAsia="Arial" w:hAnsi="Arial" w:cs="Arial"/>
        </w:rPr>
        <w:t>. This Agreement shall be governed by and construed in accordance with the law of the State of Delaware, without regard to the conflicts of law rules of such state.</w:t>
      </w:r>
    </w:p>
    <w:p w14:paraId="1A414847" w14:textId="77777777" w:rsidR="00D1587D" w:rsidRDefault="00D1587D">
      <w:pPr>
        <w:spacing w:line="380" w:lineRule="exact"/>
        <w:rPr>
          <w:sz w:val="20"/>
          <w:szCs w:val="20"/>
        </w:rPr>
      </w:pPr>
    </w:p>
    <w:p w14:paraId="557E98F8" w14:textId="77777777" w:rsidR="00D1587D" w:rsidRDefault="00410D07">
      <w:pPr>
        <w:ind w:right="-19"/>
        <w:jc w:val="center"/>
        <w:rPr>
          <w:sz w:val="20"/>
          <w:szCs w:val="20"/>
        </w:rPr>
      </w:pPr>
      <w:r>
        <w:rPr>
          <w:rFonts w:ascii="Arial" w:eastAsia="Arial" w:hAnsi="Arial" w:cs="Arial"/>
          <w:sz w:val="14"/>
          <w:szCs w:val="14"/>
        </w:rPr>
        <w:t>19</w:t>
      </w:r>
    </w:p>
    <w:p w14:paraId="74BF3F60" w14:textId="77777777" w:rsidR="00D1587D" w:rsidRDefault="00410D07">
      <w:pPr>
        <w:spacing w:line="20" w:lineRule="exact"/>
        <w:rPr>
          <w:sz w:val="20"/>
          <w:szCs w:val="20"/>
        </w:rPr>
      </w:pPr>
      <w:r>
        <w:rPr>
          <w:noProof/>
          <w:sz w:val="20"/>
          <w:szCs w:val="20"/>
        </w:rPr>
        <w:drawing>
          <wp:anchor distT="0" distB="0" distL="114300" distR="114300" simplePos="0" relativeHeight="251284480" behindDoc="1" locked="0" layoutInCell="0" allowOverlap="1" wp14:anchorId="31B2ECCA" wp14:editId="3832DB39">
            <wp:simplePos x="0" y="0"/>
            <wp:positionH relativeFrom="column">
              <wp:posOffset>5080</wp:posOffset>
            </wp:positionH>
            <wp:positionV relativeFrom="paragraph">
              <wp:posOffset>38100</wp:posOffset>
            </wp:positionV>
            <wp:extent cx="7132320" cy="1714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7EF4B8C" w14:textId="77777777" w:rsidR="00D1587D" w:rsidRDefault="00D1587D">
      <w:pPr>
        <w:sectPr w:rsidR="00D1587D">
          <w:pgSz w:w="11900" w:h="16838"/>
          <w:pgMar w:top="604" w:right="359" w:bottom="1440" w:left="320" w:header="0" w:footer="0" w:gutter="0"/>
          <w:cols w:space="720" w:equalWidth="0">
            <w:col w:w="11220"/>
          </w:cols>
        </w:sectPr>
      </w:pPr>
    </w:p>
    <w:p w14:paraId="6232157F" w14:textId="77777777" w:rsidR="00D1587D" w:rsidRDefault="00410D07">
      <w:pPr>
        <w:spacing w:line="235" w:lineRule="auto"/>
        <w:ind w:right="20" w:firstLine="648"/>
        <w:rPr>
          <w:sz w:val="20"/>
          <w:szCs w:val="20"/>
        </w:rPr>
      </w:pPr>
      <w:bookmarkStart w:id="133" w:name="page134"/>
      <w:bookmarkEnd w:id="133"/>
      <w:r>
        <w:rPr>
          <w:rFonts w:ascii="Arial" w:eastAsia="Arial" w:hAnsi="Arial" w:cs="Arial"/>
        </w:rPr>
        <w:t xml:space="preserve">Section 9.07. </w:t>
      </w:r>
      <w:r>
        <w:rPr>
          <w:rFonts w:ascii="Arial" w:eastAsia="Arial" w:hAnsi="Arial" w:cs="Arial"/>
          <w:i/>
          <w:iCs/>
        </w:rPr>
        <w:t>Dispute Resolution</w:t>
      </w:r>
      <w:r>
        <w:rPr>
          <w:rFonts w:ascii="Arial" w:eastAsia="Arial" w:hAnsi="Arial" w:cs="Arial"/>
        </w:rPr>
        <w:t>. (a) With respect to matters relating to the Services or under this Agreement requiring dispute resolution (each, a “</w:t>
      </w:r>
      <w:r>
        <w:rPr>
          <w:rFonts w:ascii="Arial" w:eastAsia="Arial" w:hAnsi="Arial" w:cs="Arial"/>
          <w:b/>
          <w:bCs/>
        </w:rPr>
        <w:t>Dispute</w:t>
      </w:r>
      <w:r>
        <w:rPr>
          <w:rFonts w:ascii="Arial" w:eastAsia="Arial" w:hAnsi="Arial" w:cs="Arial"/>
        </w:rPr>
        <w:t xml:space="preserve">”), the disputing party shall notify the other party hereto of such Dispute in </w:t>
      </w:r>
      <w:r>
        <w:rPr>
          <w:rFonts w:ascii="Arial" w:eastAsia="Arial" w:hAnsi="Arial" w:cs="Arial"/>
        </w:rPr>
        <w:t>writing and, upon the non-disputing party’s receipt of such written notice, the parties’ respective Service Managers shall attempt to resolve such Dispute in good faith within 30 days of such receipt, and if such Service Managers are unable to resolve such</w:t>
      </w:r>
      <w:r>
        <w:rPr>
          <w:rFonts w:ascii="Arial" w:eastAsia="Arial" w:hAnsi="Arial" w:cs="Arial"/>
        </w:rPr>
        <w:t xml:space="preserve"> Dispute in such 30 day period, then such Service Managers shall escalate such Dispute to each party’s Chief Financial Officer for resolution.</w:t>
      </w:r>
    </w:p>
    <w:p w14:paraId="366F8899" w14:textId="77777777" w:rsidR="00D1587D" w:rsidRDefault="00D1587D">
      <w:pPr>
        <w:spacing w:line="215" w:lineRule="exact"/>
        <w:rPr>
          <w:sz w:val="20"/>
          <w:szCs w:val="20"/>
        </w:rPr>
      </w:pPr>
    </w:p>
    <w:p w14:paraId="6FD818CA" w14:textId="77777777" w:rsidR="00D1587D" w:rsidRDefault="00410D07">
      <w:pPr>
        <w:numPr>
          <w:ilvl w:val="0"/>
          <w:numId w:val="101"/>
        </w:numPr>
        <w:tabs>
          <w:tab w:val="left" w:pos="1440"/>
        </w:tabs>
        <w:spacing w:line="257" w:lineRule="auto"/>
        <w:ind w:right="120" w:firstLine="656"/>
        <w:jc w:val="both"/>
        <w:rPr>
          <w:rFonts w:ascii="Arial" w:eastAsia="Arial" w:hAnsi="Arial" w:cs="Arial"/>
          <w:sz w:val="21"/>
          <w:szCs w:val="21"/>
        </w:rPr>
      </w:pPr>
      <w:r>
        <w:rPr>
          <w:rFonts w:ascii="Arial" w:eastAsia="Arial" w:hAnsi="Arial" w:cs="Arial"/>
          <w:sz w:val="21"/>
          <w:szCs w:val="21"/>
        </w:rPr>
        <w:t>If the parties’ Chief Financial Officers are unable to resolve such Dispute within 30 days following such receip</w:t>
      </w:r>
      <w:r>
        <w:rPr>
          <w:rFonts w:ascii="Arial" w:eastAsia="Arial" w:hAnsi="Arial" w:cs="Arial"/>
          <w:sz w:val="21"/>
          <w:szCs w:val="21"/>
        </w:rPr>
        <w:t>t of such notice, then either party hereto shall initiate a non-binding mediation by providing written notice (“</w:t>
      </w:r>
      <w:r>
        <w:rPr>
          <w:rFonts w:ascii="Arial" w:eastAsia="Arial" w:hAnsi="Arial" w:cs="Arial"/>
          <w:b/>
          <w:bCs/>
          <w:sz w:val="21"/>
          <w:szCs w:val="21"/>
        </w:rPr>
        <w:t>Mediation Notice</w:t>
      </w:r>
      <w:r>
        <w:rPr>
          <w:rFonts w:ascii="Arial" w:eastAsia="Arial" w:hAnsi="Arial" w:cs="Arial"/>
          <w:sz w:val="21"/>
          <w:szCs w:val="21"/>
        </w:rPr>
        <w:t>”) to the other party hereto within five Business Days following the expiration of such 30 day period.</w:t>
      </w:r>
    </w:p>
    <w:p w14:paraId="503BFAF6" w14:textId="77777777" w:rsidR="00D1587D" w:rsidRDefault="00D1587D">
      <w:pPr>
        <w:spacing w:line="196" w:lineRule="exact"/>
        <w:rPr>
          <w:rFonts w:ascii="Arial" w:eastAsia="Arial" w:hAnsi="Arial" w:cs="Arial"/>
          <w:sz w:val="21"/>
          <w:szCs w:val="21"/>
        </w:rPr>
      </w:pPr>
    </w:p>
    <w:p w14:paraId="281799B1" w14:textId="77777777" w:rsidR="00D1587D" w:rsidRDefault="00410D07">
      <w:pPr>
        <w:numPr>
          <w:ilvl w:val="0"/>
          <w:numId w:val="101"/>
        </w:numPr>
        <w:tabs>
          <w:tab w:val="left" w:pos="1428"/>
        </w:tabs>
        <w:spacing w:line="246" w:lineRule="auto"/>
        <w:ind w:right="120" w:firstLine="656"/>
        <w:rPr>
          <w:rFonts w:ascii="Arial" w:eastAsia="Arial" w:hAnsi="Arial" w:cs="Arial"/>
          <w:sz w:val="21"/>
          <w:szCs w:val="21"/>
        </w:rPr>
      </w:pPr>
      <w:r>
        <w:rPr>
          <w:rFonts w:ascii="Arial" w:eastAsia="Arial" w:hAnsi="Arial" w:cs="Arial"/>
          <w:sz w:val="21"/>
          <w:szCs w:val="21"/>
        </w:rPr>
        <w:t>Upon receipt of a Mediat</w:t>
      </w:r>
      <w:r>
        <w:rPr>
          <w:rFonts w:ascii="Arial" w:eastAsia="Arial" w:hAnsi="Arial" w:cs="Arial"/>
          <w:sz w:val="21"/>
          <w:szCs w:val="21"/>
        </w:rPr>
        <w:t>ion Notice, the applicable Dispute shall be submitted within five Business Days following such receipt of such Mediation Notice for non-binding mediation conducted in accordance with the Commercial Mediation Rules of the American Arbitration Association (“</w:t>
      </w:r>
      <w:r>
        <w:rPr>
          <w:rFonts w:ascii="Arial" w:eastAsia="Arial" w:hAnsi="Arial" w:cs="Arial"/>
          <w:b/>
          <w:bCs/>
          <w:sz w:val="21"/>
          <w:szCs w:val="21"/>
        </w:rPr>
        <w:t>Arbitration Association</w:t>
      </w:r>
      <w:r>
        <w:rPr>
          <w:rFonts w:ascii="Arial" w:eastAsia="Arial" w:hAnsi="Arial" w:cs="Arial"/>
          <w:sz w:val="21"/>
          <w:szCs w:val="21"/>
        </w:rPr>
        <w:t xml:space="preserve">”), and the parties hereto agree to bear equally the costs of such mediation (including any fees or expenses of the applicable mediator); </w:t>
      </w:r>
      <w:r>
        <w:rPr>
          <w:rFonts w:ascii="Arial" w:eastAsia="Arial" w:hAnsi="Arial" w:cs="Arial"/>
          <w:i/>
          <w:iCs/>
          <w:sz w:val="21"/>
          <w:szCs w:val="21"/>
        </w:rPr>
        <w:t>provided</w:t>
      </w:r>
      <w:r>
        <w:rPr>
          <w:rFonts w:ascii="Arial" w:eastAsia="Arial" w:hAnsi="Arial" w:cs="Arial"/>
          <w:sz w:val="21"/>
          <w:szCs w:val="21"/>
        </w:rPr>
        <w:t>, however, that each party hereto shall bear its own costs in connection with participa</w:t>
      </w:r>
      <w:r>
        <w:rPr>
          <w:rFonts w:ascii="Arial" w:eastAsia="Arial" w:hAnsi="Arial" w:cs="Arial"/>
          <w:sz w:val="21"/>
          <w:szCs w:val="21"/>
        </w:rPr>
        <w:t>ting in such mediation. The parties hereto agree to participate in good faith in such mediation for a period of 45 days or such longer period as the parties hereto may mutually agree following receipt of such Mediation Notice (the “</w:t>
      </w:r>
      <w:r>
        <w:rPr>
          <w:rFonts w:ascii="Arial" w:eastAsia="Arial" w:hAnsi="Arial" w:cs="Arial"/>
          <w:b/>
          <w:bCs/>
          <w:sz w:val="21"/>
          <w:szCs w:val="21"/>
        </w:rPr>
        <w:t>Mediation Period</w:t>
      </w:r>
      <w:r>
        <w:rPr>
          <w:rFonts w:ascii="Arial" w:eastAsia="Arial" w:hAnsi="Arial" w:cs="Arial"/>
          <w:sz w:val="21"/>
          <w:szCs w:val="21"/>
        </w:rPr>
        <w:t>”).</w:t>
      </w:r>
    </w:p>
    <w:p w14:paraId="2C6FEB7A" w14:textId="77777777" w:rsidR="00D1587D" w:rsidRDefault="00D1587D">
      <w:pPr>
        <w:spacing w:line="211" w:lineRule="exact"/>
        <w:rPr>
          <w:rFonts w:ascii="Arial" w:eastAsia="Arial" w:hAnsi="Arial" w:cs="Arial"/>
          <w:sz w:val="21"/>
          <w:szCs w:val="21"/>
        </w:rPr>
      </w:pPr>
    </w:p>
    <w:p w14:paraId="5CA9686E" w14:textId="77777777" w:rsidR="00D1587D" w:rsidRDefault="00410D07">
      <w:pPr>
        <w:numPr>
          <w:ilvl w:val="0"/>
          <w:numId w:val="101"/>
        </w:numPr>
        <w:tabs>
          <w:tab w:val="left" w:pos="1440"/>
        </w:tabs>
        <w:spacing w:line="248" w:lineRule="auto"/>
        <w:ind w:right="60" w:firstLine="656"/>
        <w:rPr>
          <w:rFonts w:ascii="Arial" w:eastAsia="Arial" w:hAnsi="Arial" w:cs="Arial"/>
          <w:sz w:val="21"/>
          <w:szCs w:val="21"/>
        </w:rPr>
      </w:pPr>
      <w:r>
        <w:rPr>
          <w:rFonts w:ascii="Arial" w:eastAsia="Arial" w:hAnsi="Arial" w:cs="Arial"/>
          <w:sz w:val="21"/>
          <w:szCs w:val="21"/>
        </w:rPr>
        <w:t xml:space="preserve">In </w:t>
      </w:r>
      <w:r>
        <w:rPr>
          <w:rFonts w:ascii="Arial" w:eastAsia="Arial" w:hAnsi="Arial" w:cs="Arial"/>
          <w:sz w:val="21"/>
          <w:szCs w:val="21"/>
        </w:rPr>
        <w:t>connection with such mediation, the parties hereto shall cooperate with the Arbitration Association and with one another in selecting a neutral mediator with relevant industry experience and in scheduling the mediation proceedings during the applicable Med</w:t>
      </w:r>
      <w:r>
        <w:rPr>
          <w:rFonts w:ascii="Arial" w:eastAsia="Arial" w:hAnsi="Arial" w:cs="Arial"/>
          <w:sz w:val="21"/>
          <w:szCs w:val="21"/>
        </w:rPr>
        <w:t>iation Period. If the parties hereto are unable to agree on a neutral mediator within five Business Days of submitting a Dispute for mediation pursuant to Section 9.07(c), application shall be made by the parties to the Arbitration Association for the Arbi</w:t>
      </w:r>
      <w:r>
        <w:rPr>
          <w:rFonts w:ascii="Arial" w:eastAsia="Arial" w:hAnsi="Arial" w:cs="Arial"/>
          <w:sz w:val="21"/>
          <w:szCs w:val="21"/>
        </w:rPr>
        <w:t>tration Association to select and appoint a neutral mediator on the parties’ behalf in accordance with the Commercial Mediation Rules of the Arbitration Association.</w:t>
      </w:r>
    </w:p>
    <w:p w14:paraId="6A183E3E" w14:textId="77777777" w:rsidR="00D1587D" w:rsidRDefault="00D1587D">
      <w:pPr>
        <w:spacing w:line="203" w:lineRule="exact"/>
        <w:rPr>
          <w:rFonts w:ascii="Arial" w:eastAsia="Arial" w:hAnsi="Arial" w:cs="Arial"/>
          <w:sz w:val="21"/>
          <w:szCs w:val="21"/>
        </w:rPr>
      </w:pPr>
    </w:p>
    <w:p w14:paraId="3F18BB26" w14:textId="77777777" w:rsidR="00D1587D" w:rsidRDefault="00410D07">
      <w:pPr>
        <w:numPr>
          <w:ilvl w:val="0"/>
          <w:numId w:val="101"/>
        </w:numPr>
        <w:tabs>
          <w:tab w:val="left" w:pos="1428"/>
        </w:tabs>
        <w:spacing w:line="282" w:lineRule="auto"/>
        <w:ind w:right="80" w:firstLine="656"/>
        <w:rPr>
          <w:rFonts w:ascii="Arial" w:eastAsia="Arial" w:hAnsi="Arial" w:cs="Arial"/>
          <w:sz w:val="19"/>
          <w:szCs w:val="19"/>
        </w:rPr>
      </w:pPr>
      <w:r>
        <w:rPr>
          <w:rFonts w:ascii="Arial" w:eastAsia="Arial" w:hAnsi="Arial" w:cs="Arial"/>
          <w:sz w:val="19"/>
          <w:szCs w:val="19"/>
        </w:rPr>
        <w:t xml:space="preserve">The parties hereto further agree that all information, whether oral or written, </w:t>
      </w:r>
      <w:r>
        <w:rPr>
          <w:rFonts w:ascii="Arial" w:eastAsia="Arial" w:hAnsi="Arial" w:cs="Arial"/>
          <w:sz w:val="19"/>
          <w:szCs w:val="19"/>
        </w:rPr>
        <w:t>provided in the course of any such mediation by either party hereto, their agents, employees, experts and attorneys, and by the applicable mediator and any employees of the mediation service, is confidential, privileged, and inadmissible for any purpose, i</w:t>
      </w:r>
      <w:r>
        <w:rPr>
          <w:rFonts w:ascii="Arial" w:eastAsia="Arial" w:hAnsi="Arial" w:cs="Arial"/>
          <w:sz w:val="19"/>
          <w:szCs w:val="19"/>
        </w:rPr>
        <w:t>ncluding impeachment, in any Action involving the parties hereto; provided that any such information that is otherwise admissible or discoverable shall not be rendered inadmissible or non-discoverable as a result of its use in such mediation.</w:t>
      </w:r>
    </w:p>
    <w:p w14:paraId="32D0667D" w14:textId="77777777" w:rsidR="00D1587D" w:rsidRDefault="00D1587D">
      <w:pPr>
        <w:spacing w:line="174" w:lineRule="exact"/>
        <w:rPr>
          <w:rFonts w:ascii="Arial" w:eastAsia="Arial" w:hAnsi="Arial" w:cs="Arial"/>
          <w:sz w:val="19"/>
          <w:szCs w:val="19"/>
        </w:rPr>
      </w:pPr>
    </w:p>
    <w:p w14:paraId="7FF8A066" w14:textId="77777777" w:rsidR="00D1587D" w:rsidRDefault="00410D07">
      <w:pPr>
        <w:numPr>
          <w:ilvl w:val="0"/>
          <w:numId w:val="101"/>
        </w:numPr>
        <w:tabs>
          <w:tab w:val="left" w:pos="1404"/>
        </w:tabs>
        <w:spacing w:line="249" w:lineRule="auto"/>
        <w:ind w:right="100" w:firstLine="656"/>
        <w:rPr>
          <w:rFonts w:ascii="Arial" w:eastAsia="Arial" w:hAnsi="Arial" w:cs="Arial"/>
          <w:sz w:val="21"/>
          <w:szCs w:val="21"/>
        </w:rPr>
      </w:pPr>
      <w:r>
        <w:rPr>
          <w:rFonts w:ascii="Arial" w:eastAsia="Arial" w:hAnsi="Arial" w:cs="Arial"/>
          <w:sz w:val="21"/>
          <w:szCs w:val="21"/>
        </w:rPr>
        <w:t xml:space="preserve">If the </w:t>
      </w:r>
      <w:r>
        <w:rPr>
          <w:rFonts w:ascii="Arial" w:eastAsia="Arial" w:hAnsi="Arial" w:cs="Arial"/>
          <w:sz w:val="21"/>
          <w:szCs w:val="21"/>
        </w:rPr>
        <w:t>parties hereto cannot resolve the Dispute for any reason, on and following the expiration of the Mediation Period, either party may commence litigation in a court of competent jurisdiction pursuant to the provisions of Section 9.08. Nothing contained in th</w:t>
      </w:r>
      <w:r>
        <w:rPr>
          <w:rFonts w:ascii="Arial" w:eastAsia="Arial" w:hAnsi="Arial" w:cs="Arial"/>
          <w:sz w:val="21"/>
          <w:szCs w:val="21"/>
        </w:rPr>
        <w:t>is Agreement shall deny either party hereto the right to seek injunctive or other equitable relief from a court of competent jurisdiction in the context of a bona fide emergency or prospective irreparable harm, and such an Action may be filed and maintaine</w:t>
      </w:r>
      <w:r>
        <w:rPr>
          <w:rFonts w:ascii="Arial" w:eastAsia="Arial" w:hAnsi="Arial" w:cs="Arial"/>
          <w:sz w:val="21"/>
          <w:szCs w:val="21"/>
        </w:rPr>
        <w:t>d notwithstanding any ongoing efforts under this Section 9.07.</w:t>
      </w:r>
    </w:p>
    <w:p w14:paraId="002E64D7" w14:textId="77777777" w:rsidR="00D1587D" w:rsidRDefault="00D1587D">
      <w:pPr>
        <w:spacing w:line="205" w:lineRule="exact"/>
        <w:rPr>
          <w:sz w:val="20"/>
          <w:szCs w:val="20"/>
        </w:rPr>
      </w:pPr>
    </w:p>
    <w:p w14:paraId="0EDF4248" w14:textId="77777777" w:rsidR="00D1587D" w:rsidRDefault="00410D07">
      <w:pPr>
        <w:spacing w:line="272" w:lineRule="auto"/>
        <w:ind w:firstLine="648"/>
        <w:rPr>
          <w:sz w:val="20"/>
          <w:szCs w:val="20"/>
        </w:rPr>
      </w:pPr>
      <w:r>
        <w:rPr>
          <w:rFonts w:ascii="Arial" w:eastAsia="Arial" w:hAnsi="Arial" w:cs="Arial"/>
          <w:sz w:val="19"/>
          <w:szCs w:val="19"/>
        </w:rPr>
        <w:t xml:space="preserve">Section 9.08. </w:t>
      </w:r>
      <w:r>
        <w:rPr>
          <w:rFonts w:ascii="Arial" w:eastAsia="Arial" w:hAnsi="Arial" w:cs="Arial"/>
          <w:i/>
          <w:iCs/>
          <w:sz w:val="19"/>
          <w:szCs w:val="19"/>
        </w:rPr>
        <w:t>Jurisdiction</w:t>
      </w:r>
      <w:r>
        <w:rPr>
          <w:rFonts w:ascii="Arial" w:eastAsia="Arial" w:hAnsi="Arial" w:cs="Arial"/>
          <w:sz w:val="19"/>
          <w:szCs w:val="19"/>
        </w:rPr>
        <w:t xml:space="preserve">. The parties hereto agree that any suit, action or proceeding seeking to enforce any provision of, or based on any matter arising out of or in connection with, this </w:t>
      </w:r>
      <w:r>
        <w:rPr>
          <w:rFonts w:ascii="Arial" w:eastAsia="Arial" w:hAnsi="Arial" w:cs="Arial"/>
          <w:sz w:val="19"/>
          <w:szCs w:val="19"/>
        </w:rPr>
        <w:t>Agreement or the transactions contemplated hereby shall be brought in the Chancery Court of the State of Delaware and any state appellate court therefrom within the State of Delaware (or if the Chancery Court of the State of Delaware declines to accept jur</w:t>
      </w:r>
      <w:r>
        <w:rPr>
          <w:rFonts w:ascii="Arial" w:eastAsia="Arial" w:hAnsi="Arial" w:cs="Arial"/>
          <w:sz w:val="19"/>
          <w:szCs w:val="19"/>
        </w:rPr>
        <w:t>isdiction over a particular matter, any federal or state court sitting in the State of Delaware and any federal or state appellate court therefrom), and each of the parties hereto hereby irrevocably consents to the exclusive jurisdiction of such courts (an</w:t>
      </w:r>
      <w:r>
        <w:rPr>
          <w:rFonts w:ascii="Arial" w:eastAsia="Arial" w:hAnsi="Arial" w:cs="Arial"/>
          <w:sz w:val="19"/>
          <w:szCs w:val="19"/>
        </w:rPr>
        <w:t>d of the appropriate appellate courts therefrom) in any such suit, action or proceeding and irrevocably waives, to the fullest extent permitted by law, any objection that it may now or hereafter have to the laying of the venue of any such suit, action or p</w:t>
      </w:r>
      <w:r>
        <w:rPr>
          <w:rFonts w:ascii="Arial" w:eastAsia="Arial" w:hAnsi="Arial" w:cs="Arial"/>
          <w:sz w:val="19"/>
          <w:szCs w:val="19"/>
        </w:rPr>
        <w:t>roceeding in any such court or that any such suit, action or proceeding brought in any such court has been brought in an inconvenient forum. Process in any such suit, action or proceeding may be served on any party hereto anywhere in the world, whether wit</w:t>
      </w:r>
      <w:r>
        <w:rPr>
          <w:rFonts w:ascii="Arial" w:eastAsia="Arial" w:hAnsi="Arial" w:cs="Arial"/>
          <w:sz w:val="19"/>
          <w:szCs w:val="19"/>
        </w:rPr>
        <w:t>hin or without the jurisdiction of any such court. Without limiting the foregoing, each party hereto agrees that service of process on such party as provided in Section 9.01 shall be deemed effective service of process on such party.</w:t>
      </w:r>
    </w:p>
    <w:p w14:paraId="25FE8426" w14:textId="77777777" w:rsidR="00D1587D" w:rsidRDefault="00D1587D">
      <w:pPr>
        <w:spacing w:line="200" w:lineRule="exact"/>
        <w:rPr>
          <w:sz w:val="20"/>
          <w:szCs w:val="20"/>
        </w:rPr>
      </w:pPr>
    </w:p>
    <w:p w14:paraId="30206C4B" w14:textId="77777777" w:rsidR="00D1587D" w:rsidRDefault="00D1587D">
      <w:pPr>
        <w:spacing w:line="200" w:lineRule="exact"/>
        <w:rPr>
          <w:sz w:val="20"/>
          <w:szCs w:val="20"/>
        </w:rPr>
      </w:pPr>
    </w:p>
    <w:p w14:paraId="66E75807" w14:textId="77777777" w:rsidR="00D1587D" w:rsidRDefault="00D1587D">
      <w:pPr>
        <w:spacing w:line="213" w:lineRule="exact"/>
        <w:rPr>
          <w:sz w:val="20"/>
          <w:szCs w:val="20"/>
        </w:rPr>
      </w:pPr>
    </w:p>
    <w:p w14:paraId="5428FC21" w14:textId="77777777" w:rsidR="00D1587D" w:rsidRDefault="00410D07">
      <w:pPr>
        <w:ind w:right="-19"/>
        <w:jc w:val="center"/>
        <w:rPr>
          <w:sz w:val="20"/>
          <w:szCs w:val="20"/>
        </w:rPr>
      </w:pPr>
      <w:r>
        <w:rPr>
          <w:rFonts w:ascii="Arial" w:eastAsia="Arial" w:hAnsi="Arial" w:cs="Arial"/>
          <w:sz w:val="14"/>
          <w:szCs w:val="14"/>
        </w:rPr>
        <w:t>20</w:t>
      </w:r>
    </w:p>
    <w:p w14:paraId="435D53EE" w14:textId="77777777" w:rsidR="00D1587D" w:rsidRDefault="00410D07">
      <w:pPr>
        <w:spacing w:line="20" w:lineRule="exact"/>
        <w:rPr>
          <w:sz w:val="20"/>
          <w:szCs w:val="20"/>
        </w:rPr>
      </w:pPr>
      <w:r>
        <w:rPr>
          <w:noProof/>
          <w:sz w:val="20"/>
          <w:szCs w:val="20"/>
        </w:rPr>
        <w:drawing>
          <wp:anchor distT="0" distB="0" distL="114300" distR="114300" simplePos="0" relativeHeight="251285504" behindDoc="1" locked="0" layoutInCell="0" allowOverlap="1" wp14:anchorId="1210EB62" wp14:editId="2E22C1A1">
            <wp:simplePos x="0" y="0"/>
            <wp:positionH relativeFrom="column">
              <wp:posOffset>5080</wp:posOffset>
            </wp:positionH>
            <wp:positionV relativeFrom="paragraph">
              <wp:posOffset>38100</wp:posOffset>
            </wp:positionV>
            <wp:extent cx="7132320" cy="1714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E69B869" w14:textId="77777777" w:rsidR="00D1587D" w:rsidRDefault="00D1587D">
      <w:pPr>
        <w:sectPr w:rsidR="00D1587D">
          <w:pgSz w:w="11900" w:h="16838"/>
          <w:pgMar w:top="361" w:right="359" w:bottom="1440" w:left="320" w:header="0" w:footer="0" w:gutter="0"/>
          <w:cols w:space="720" w:equalWidth="0">
            <w:col w:w="11220"/>
          </w:cols>
        </w:sectPr>
      </w:pPr>
    </w:p>
    <w:p w14:paraId="68D48403" w14:textId="77777777" w:rsidR="00D1587D" w:rsidRDefault="00410D07">
      <w:pPr>
        <w:tabs>
          <w:tab w:val="left" w:pos="2300"/>
        </w:tabs>
        <w:ind w:left="660"/>
        <w:rPr>
          <w:sz w:val="20"/>
          <w:szCs w:val="20"/>
        </w:rPr>
      </w:pPr>
      <w:bookmarkStart w:id="134" w:name="page135"/>
      <w:bookmarkEnd w:id="134"/>
      <w:r>
        <w:rPr>
          <w:rFonts w:ascii="Arial" w:eastAsia="Arial" w:hAnsi="Arial" w:cs="Arial"/>
        </w:rPr>
        <w:t>Section 9.09.</w:t>
      </w:r>
      <w:r>
        <w:rPr>
          <w:sz w:val="20"/>
          <w:szCs w:val="20"/>
        </w:rPr>
        <w:tab/>
      </w:r>
      <w:r>
        <w:rPr>
          <w:rFonts w:ascii="Arial" w:eastAsia="Arial" w:hAnsi="Arial" w:cs="Arial"/>
          <w:i/>
          <w:iCs/>
          <w:sz w:val="19"/>
          <w:szCs w:val="19"/>
        </w:rPr>
        <w:t>WAIVER OF JURY TRIAL</w:t>
      </w:r>
      <w:r>
        <w:rPr>
          <w:rFonts w:ascii="Arial" w:eastAsia="Arial" w:hAnsi="Arial" w:cs="Arial"/>
          <w:sz w:val="19"/>
          <w:szCs w:val="19"/>
        </w:rPr>
        <w:t>. EACH OF THE PARTIES HERETO HEREBY IRREVOCABLY</w:t>
      </w:r>
    </w:p>
    <w:p w14:paraId="3BD94846" w14:textId="77777777" w:rsidR="00D1587D" w:rsidRDefault="00D1587D">
      <w:pPr>
        <w:spacing w:line="8" w:lineRule="exact"/>
        <w:rPr>
          <w:sz w:val="20"/>
          <w:szCs w:val="20"/>
        </w:rPr>
      </w:pPr>
    </w:p>
    <w:p w14:paraId="19B66F76" w14:textId="77777777" w:rsidR="00D1587D" w:rsidRDefault="00410D07">
      <w:pPr>
        <w:spacing w:line="236" w:lineRule="auto"/>
        <w:ind w:right="80"/>
        <w:rPr>
          <w:sz w:val="20"/>
          <w:szCs w:val="20"/>
        </w:rPr>
      </w:pPr>
      <w:r>
        <w:rPr>
          <w:rFonts w:ascii="Arial" w:eastAsia="Arial" w:hAnsi="Arial" w:cs="Arial"/>
        </w:rPr>
        <w:t>WAIVES ANY AND ALL RIGHT TO TRIAL BY JURY IN ANY LEGAL PROCEEDING ARISING OUT OF OR RELATED TO THIS AGREEMENT OR THE TRANSACTIONS CONTEMPLATED HEREBY.</w:t>
      </w:r>
    </w:p>
    <w:p w14:paraId="06DEC708" w14:textId="77777777" w:rsidR="00D1587D" w:rsidRDefault="00D1587D">
      <w:pPr>
        <w:spacing w:line="214" w:lineRule="exact"/>
        <w:rPr>
          <w:sz w:val="20"/>
          <w:szCs w:val="20"/>
        </w:rPr>
      </w:pPr>
    </w:p>
    <w:p w14:paraId="2B86241F" w14:textId="77777777" w:rsidR="00D1587D" w:rsidRDefault="00410D07">
      <w:pPr>
        <w:spacing w:line="271" w:lineRule="auto"/>
        <w:ind w:firstLine="648"/>
        <w:rPr>
          <w:sz w:val="20"/>
          <w:szCs w:val="20"/>
        </w:rPr>
      </w:pPr>
      <w:r>
        <w:rPr>
          <w:rFonts w:ascii="Arial" w:eastAsia="Arial" w:hAnsi="Arial" w:cs="Arial"/>
          <w:sz w:val="19"/>
          <w:szCs w:val="19"/>
        </w:rPr>
        <w:t>S</w:t>
      </w:r>
      <w:r>
        <w:rPr>
          <w:rFonts w:ascii="Arial" w:eastAsia="Arial" w:hAnsi="Arial" w:cs="Arial"/>
          <w:sz w:val="19"/>
          <w:szCs w:val="19"/>
        </w:rPr>
        <w:t xml:space="preserve">ection 9.10. </w:t>
      </w:r>
      <w:r>
        <w:rPr>
          <w:rFonts w:ascii="Arial" w:eastAsia="Arial" w:hAnsi="Arial" w:cs="Arial"/>
          <w:i/>
          <w:iCs/>
          <w:sz w:val="19"/>
          <w:szCs w:val="19"/>
        </w:rPr>
        <w:t>Counterparts; Effectiveness; Third Party Beneficiaries</w:t>
      </w:r>
      <w:r>
        <w:rPr>
          <w:rFonts w:ascii="Arial" w:eastAsia="Arial" w:hAnsi="Arial" w:cs="Arial"/>
          <w:sz w:val="19"/>
          <w:szCs w:val="19"/>
        </w:rPr>
        <w:t>. This Agreement may be signed in any number of counterparts (which may include counterparts delivered by any standard form of telecommunication), each of which shall be an original, with t</w:t>
      </w:r>
      <w:r>
        <w:rPr>
          <w:rFonts w:ascii="Arial" w:eastAsia="Arial" w:hAnsi="Arial" w:cs="Arial"/>
          <w:sz w:val="19"/>
          <w:szCs w:val="19"/>
        </w:rPr>
        <w:t>he same effect as if the signatures thereto and hereto were upon the same instrument. The words “execution,” “signed,” “signature,” and words of like import in this Agreement or in any other certificate, agreement or document related to this Agreement shal</w:t>
      </w:r>
      <w:r>
        <w:rPr>
          <w:rFonts w:ascii="Arial" w:eastAsia="Arial" w:hAnsi="Arial" w:cs="Arial"/>
          <w:sz w:val="19"/>
          <w:szCs w:val="19"/>
        </w:rPr>
        <w:t>l include images of manually executed signatures transmitted by facsimile or other electronic format (including “pdf”, “tif” or “jpg”) and other electronic signatures (including DocuSign and AdobeSign). The use of electronic signatures and electronic recor</w:t>
      </w:r>
      <w:r>
        <w:rPr>
          <w:rFonts w:ascii="Arial" w:eastAsia="Arial" w:hAnsi="Arial" w:cs="Arial"/>
          <w:sz w:val="19"/>
          <w:szCs w:val="19"/>
        </w:rPr>
        <w:t>ds (including any contract or other record created, generated, sent, communicated, received, or stored by electronic means) shall be of the same legal effect, validity and enforceability as a manually executed signature or use of a paper-based recordkeepin</w:t>
      </w:r>
      <w:r>
        <w:rPr>
          <w:rFonts w:ascii="Arial" w:eastAsia="Arial" w:hAnsi="Arial" w:cs="Arial"/>
          <w:sz w:val="19"/>
          <w:szCs w:val="19"/>
        </w:rPr>
        <w:t>g system to the fullest extent permitted by Applicable Law. This Agreement shall become effective when each party hereto shall have received a counterpart hereof signed by the other party hereto. Until and unless each party hereto has received a counterpar</w:t>
      </w:r>
      <w:r>
        <w:rPr>
          <w:rFonts w:ascii="Arial" w:eastAsia="Arial" w:hAnsi="Arial" w:cs="Arial"/>
          <w:sz w:val="19"/>
          <w:szCs w:val="19"/>
        </w:rPr>
        <w:t>t hereof signed by the other party hereto, this Agreement shall have no effect and no party hereto shall have any right or obligation hereunder (whether by virtue of any other oral or written agreement or other communication). Except for the indemnificatio</w:t>
      </w:r>
      <w:r>
        <w:rPr>
          <w:rFonts w:ascii="Arial" w:eastAsia="Arial" w:hAnsi="Arial" w:cs="Arial"/>
          <w:sz w:val="19"/>
          <w:szCs w:val="19"/>
        </w:rPr>
        <w:t>n and release provisions of Article 6, neither this Agreement nor any provision hereof is intended to confer any rights, benefits, remedies, obligations, or liabilities hereunder upon any Person other than the parties hereto and their respective successors</w:t>
      </w:r>
      <w:r>
        <w:rPr>
          <w:rFonts w:ascii="Arial" w:eastAsia="Arial" w:hAnsi="Arial" w:cs="Arial"/>
          <w:sz w:val="19"/>
          <w:szCs w:val="19"/>
        </w:rPr>
        <w:t xml:space="preserve"> and permitted assigns.</w:t>
      </w:r>
    </w:p>
    <w:p w14:paraId="5424852A" w14:textId="77777777" w:rsidR="00D1587D" w:rsidRDefault="00D1587D">
      <w:pPr>
        <w:spacing w:line="200" w:lineRule="exact"/>
        <w:rPr>
          <w:sz w:val="20"/>
          <w:szCs w:val="20"/>
        </w:rPr>
      </w:pPr>
    </w:p>
    <w:p w14:paraId="1815762D" w14:textId="77777777" w:rsidR="00D1587D" w:rsidRDefault="00D1587D">
      <w:pPr>
        <w:spacing w:line="234" w:lineRule="exact"/>
        <w:rPr>
          <w:sz w:val="20"/>
          <w:szCs w:val="20"/>
        </w:rPr>
      </w:pPr>
    </w:p>
    <w:p w14:paraId="0A634EA1" w14:textId="77777777" w:rsidR="00D1587D" w:rsidRDefault="00410D07">
      <w:pPr>
        <w:spacing w:line="282" w:lineRule="auto"/>
        <w:ind w:right="80" w:firstLine="648"/>
        <w:rPr>
          <w:sz w:val="20"/>
          <w:szCs w:val="20"/>
        </w:rPr>
      </w:pPr>
      <w:r>
        <w:rPr>
          <w:rFonts w:ascii="Arial" w:eastAsia="Arial" w:hAnsi="Arial" w:cs="Arial"/>
          <w:sz w:val="19"/>
          <w:szCs w:val="19"/>
        </w:rPr>
        <w:t xml:space="preserve">Section 9.11. </w:t>
      </w:r>
      <w:r>
        <w:rPr>
          <w:rFonts w:ascii="Arial" w:eastAsia="Arial" w:hAnsi="Arial" w:cs="Arial"/>
          <w:i/>
          <w:iCs/>
          <w:sz w:val="19"/>
          <w:szCs w:val="19"/>
        </w:rPr>
        <w:t>Entire Agreement</w:t>
      </w:r>
      <w:r>
        <w:rPr>
          <w:rFonts w:ascii="Arial" w:eastAsia="Arial" w:hAnsi="Arial" w:cs="Arial"/>
          <w:sz w:val="19"/>
          <w:szCs w:val="19"/>
        </w:rPr>
        <w:t xml:space="preserve">. This Agreement, together with the other Distribution Documents, constitutes the entire agreement between the parties hereto with respect to the subject matter of this Agreement and </w:t>
      </w:r>
      <w:r>
        <w:rPr>
          <w:rFonts w:ascii="Arial" w:eastAsia="Arial" w:hAnsi="Arial" w:cs="Arial"/>
          <w:sz w:val="19"/>
          <w:szCs w:val="19"/>
        </w:rPr>
        <w:t>supersedes all prior agreements and understandings, both oral and written, between the parties with respect to the subject matter of this Agreement. No representation, inducement, promise, understanding, condition or warranty not set forth herein or in the</w:t>
      </w:r>
      <w:r>
        <w:rPr>
          <w:rFonts w:ascii="Arial" w:eastAsia="Arial" w:hAnsi="Arial" w:cs="Arial"/>
          <w:sz w:val="19"/>
          <w:szCs w:val="19"/>
        </w:rPr>
        <w:t xml:space="preserve"> other Distribution Documents has been made or relied upon by either party hereto with respect to the transactions contemplated by this Agreement.</w:t>
      </w:r>
    </w:p>
    <w:p w14:paraId="1ECC2565" w14:textId="77777777" w:rsidR="00D1587D" w:rsidRDefault="00D1587D">
      <w:pPr>
        <w:spacing w:line="174" w:lineRule="exact"/>
        <w:rPr>
          <w:sz w:val="20"/>
          <w:szCs w:val="20"/>
        </w:rPr>
      </w:pPr>
    </w:p>
    <w:p w14:paraId="18C3624B" w14:textId="77777777" w:rsidR="00D1587D" w:rsidRDefault="00410D07">
      <w:pPr>
        <w:spacing w:line="234" w:lineRule="auto"/>
        <w:ind w:right="80" w:firstLine="648"/>
        <w:rPr>
          <w:sz w:val="20"/>
          <w:szCs w:val="20"/>
        </w:rPr>
      </w:pPr>
      <w:r>
        <w:rPr>
          <w:rFonts w:ascii="Arial" w:eastAsia="Arial" w:hAnsi="Arial" w:cs="Arial"/>
        </w:rPr>
        <w:t xml:space="preserve">Section 9.12. </w:t>
      </w:r>
      <w:r>
        <w:rPr>
          <w:rFonts w:ascii="Arial" w:eastAsia="Arial" w:hAnsi="Arial" w:cs="Arial"/>
          <w:i/>
          <w:iCs/>
        </w:rPr>
        <w:t>Severability</w:t>
      </w:r>
      <w:r>
        <w:rPr>
          <w:rFonts w:ascii="Arial" w:eastAsia="Arial" w:hAnsi="Arial" w:cs="Arial"/>
        </w:rPr>
        <w:t xml:space="preserve">. If any one or more of the provisions contained in this Agreement should be </w:t>
      </w:r>
      <w:r>
        <w:rPr>
          <w:rFonts w:ascii="Arial" w:eastAsia="Arial" w:hAnsi="Arial" w:cs="Arial"/>
        </w:rPr>
        <w:t xml:space="preserve">declared invalid, illegal or unenforceable in any respect, the validity, legality and enforceability of the remaining provisions contained in this Agreement shall not in any way be affected or impaired thereby so long as the economic or legal substance of </w:t>
      </w:r>
      <w:r>
        <w:rPr>
          <w:rFonts w:ascii="Arial" w:eastAsia="Arial" w:hAnsi="Arial" w:cs="Arial"/>
        </w:rPr>
        <w:t xml:space="preserve">the transactions contemplated hereby is not affected in any manner materially adverse to any party hereto. Upon such a declaration, the parties hereto shall modify this Agreement so as to effect the original intent of the parties as closely as possible in </w:t>
      </w:r>
      <w:r>
        <w:rPr>
          <w:rFonts w:ascii="Arial" w:eastAsia="Arial" w:hAnsi="Arial" w:cs="Arial"/>
        </w:rPr>
        <w:t>an acceptable manner so that the transactions contemplated hereby are consummated as originally contemplated to the fullest extent possible.</w:t>
      </w:r>
    </w:p>
    <w:p w14:paraId="1A9E9F7B" w14:textId="77777777" w:rsidR="00D1587D" w:rsidRDefault="00D1587D">
      <w:pPr>
        <w:spacing w:line="218" w:lineRule="exact"/>
        <w:rPr>
          <w:sz w:val="20"/>
          <w:szCs w:val="20"/>
        </w:rPr>
      </w:pPr>
    </w:p>
    <w:p w14:paraId="5258E90E" w14:textId="77777777" w:rsidR="00D1587D" w:rsidRDefault="00410D07">
      <w:pPr>
        <w:spacing w:line="273" w:lineRule="auto"/>
        <w:ind w:right="40" w:firstLine="648"/>
        <w:rPr>
          <w:sz w:val="20"/>
          <w:szCs w:val="20"/>
        </w:rPr>
      </w:pPr>
      <w:r>
        <w:rPr>
          <w:rFonts w:ascii="Arial" w:eastAsia="Arial" w:hAnsi="Arial" w:cs="Arial"/>
          <w:sz w:val="19"/>
          <w:szCs w:val="19"/>
        </w:rPr>
        <w:t xml:space="preserve">Section 9.13. </w:t>
      </w:r>
      <w:r>
        <w:rPr>
          <w:rFonts w:ascii="Arial" w:eastAsia="Arial" w:hAnsi="Arial" w:cs="Arial"/>
          <w:i/>
          <w:iCs/>
          <w:sz w:val="19"/>
          <w:szCs w:val="19"/>
        </w:rPr>
        <w:t>Specific Performance</w:t>
      </w:r>
      <w:r>
        <w:rPr>
          <w:rFonts w:ascii="Arial" w:eastAsia="Arial" w:hAnsi="Arial" w:cs="Arial"/>
          <w:sz w:val="19"/>
          <w:szCs w:val="19"/>
        </w:rPr>
        <w:t>. The parties hereto acknowledge and agree that damages for a breach or threaten</w:t>
      </w:r>
      <w:r>
        <w:rPr>
          <w:rFonts w:ascii="Arial" w:eastAsia="Arial" w:hAnsi="Arial" w:cs="Arial"/>
          <w:sz w:val="19"/>
          <w:szCs w:val="19"/>
        </w:rPr>
        <w:t>ed breach of any of the provisions of this Agreement would be inadequate and irreparable harm would occur. In recognition of this fact, each party hereto agrees that, if there is a breach or threatened breach, in addition to any damages, the other non-brea</w:t>
      </w:r>
      <w:r>
        <w:rPr>
          <w:rFonts w:ascii="Arial" w:eastAsia="Arial" w:hAnsi="Arial" w:cs="Arial"/>
          <w:sz w:val="19"/>
          <w:szCs w:val="19"/>
        </w:rPr>
        <w:t>ching party to this Agreement, without posting any bond, shall be entitled to seek and obtain equitable relief in the form of specific performance, temporary restraining order, temporary or permanent injunction, attachment, or any other equitable remedy wh</w:t>
      </w:r>
      <w:r>
        <w:rPr>
          <w:rFonts w:ascii="Arial" w:eastAsia="Arial" w:hAnsi="Arial" w:cs="Arial"/>
          <w:sz w:val="19"/>
          <w:szCs w:val="19"/>
        </w:rPr>
        <w:t>ich may then be available to obligate the breaching party (i) to perform its obligations under this Agreement or (ii) if the breaching party is unable, for whatever reason, to perform those obligations, to take any other actions as are necessary, advisable</w:t>
      </w:r>
      <w:r>
        <w:rPr>
          <w:rFonts w:ascii="Arial" w:eastAsia="Arial" w:hAnsi="Arial" w:cs="Arial"/>
          <w:sz w:val="19"/>
          <w:szCs w:val="19"/>
        </w:rPr>
        <w:t xml:space="preserve"> or appropriate to give the other party to this Agreement the economic effect which comes as close as possible to the performance of those obligations (including transferring, or granting liens on, the assets of the breaching party to secure the performanc</w:t>
      </w:r>
      <w:r>
        <w:rPr>
          <w:rFonts w:ascii="Arial" w:eastAsia="Arial" w:hAnsi="Arial" w:cs="Arial"/>
          <w:sz w:val="19"/>
          <w:szCs w:val="19"/>
        </w:rPr>
        <w:t>e by the breaching party of those obligations).</w:t>
      </w:r>
    </w:p>
    <w:p w14:paraId="37F1A0D8" w14:textId="77777777" w:rsidR="00D1587D" w:rsidRDefault="00D1587D">
      <w:pPr>
        <w:spacing w:line="188" w:lineRule="exact"/>
        <w:rPr>
          <w:sz w:val="20"/>
          <w:szCs w:val="20"/>
        </w:rPr>
      </w:pPr>
    </w:p>
    <w:p w14:paraId="4BB44161" w14:textId="77777777" w:rsidR="00D1587D" w:rsidRDefault="00410D07">
      <w:pPr>
        <w:spacing w:line="257" w:lineRule="auto"/>
        <w:ind w:right="80" w:firstLine="648"/>
        <w:rPr>
          <w:sz w:val="20"/>
          <w:szCs w:val="20"/>
        </w:rPr>
      </w:pPr>
      <w:r>
        <w:rPr>
          <w:rFonts w:ascii="Arial" w:eastAsia="Arial" w:hAnsi="Arial" w:cs="Arial"/>
          <w:sz w:val="21"/>
          <w:szCs w:val="21"/>
        </w:rPr>
        <w:t xml:space="preserve">Section 9.14. </w:t>
      </w:r>
      <w:r>
        <w:rPr>
          <w:rFonts w:ascii="Arial" w:eastAsia="Arial" w:hAnsi="Arial" w:cs="Arial"/>
          <w:i/>
          <w:iCs/>
          <w:sz w:val="21"/>
          <w:szCs w:val="21"/>
        </w:rPr>
        <w:t>Interpretation</w:t>
      </w:r>
      <w:r>
        <w:rPr>
          <w:rFonts w:ascii="Arial" w:eastAsia="Arial" w:hAnsi="Arial" w:cs="Arial"/>
          <w:sz w:val="21"/>
          <w:szCs w:val="21"/>
        </w:rPr>
        <w:t>. In the event an ambiguity or question of intent or interpretation arises, this Agreement shall be construed as if drafted jointly by the parties hereto, and no presumption or bu</w:t>
      </w:r>
      <w:r>
        <w:rPr>
          <w:rFonts w:ascii="Arial" w:eastAsia="Arial" w:hAnsi="Arial" w:cs="Arial"/>
          <w:sz w:val="21"/>
          <w:szCs w:val="21"/>
        </w:rPr>
        <w:t>rden of proof shall arise favoring or disfavoring any party hereto by virtue of its authorship of any of the provisions of this Agreement.</w:t>
      </w:r>
    </w:p>
    <w:p w14:paraId="5D3D07F1" w14:textId="77777777" w:rsidR="00D1587D" w:rsidRDefault="00D1587D">
      <w:pPr>
        <w:spacing w:line="374" w:lineRule="exact"/>
        <w:rPr>
          <w:sz w:val="20"/>
          <w:szCs w:val="20"/>
        </w:rPr>
      </w:pPr>
    </w:p>
    <w:p w14:paraId="0966A35D" w14:textId="77777777" w:rsidR="00D1587D" w:rsidRDefault="00410D07">
      <w:pPr>
        <w:ind w:right="-19"/>
        <w:jc w:val="center"/>
        <w:rPr>
          <w:sz w:val="20"/>
          <w:szCs w:val="20"/>
        </w:rPr>
      </w:pPr>
      <w:r>
        <w:rPr>
          <w:rFonts w:ascii="Arial" w:eastAsia="Arial" w:hAnsi="Arial" w:cs="Arial"/>
          <w:sz w:val="14"/>
          <w:szCs w:val="14"/>
        </w:rPr>
        <w:t>21</w:t>
      </w:r>
    </w:p>
    <w:p w14:paraId="4195CF19" w14:textId="77777777" w:rsidR="00D1587D" w:rsidRDefault="00410D07">
      <w:pPr>
        <w:spacing w:line="20" w:lineRule="exact"/>
        <w:rPr>
          <w:sz w:val="20"/>
          <w:szCs w:val="20"/>
        </w:rPr>
      </w:pPr>
      <w:r>
        <w:rPr>
          <w:noProof/>
          <w:sz w:val="20"/>
          <w:szCs w:val="20"/>
        </w:rPr>
        <w:drawing>
          <wp:anchor distT="0" distB="0" distL="114300" distR="114300" simplePos="0" relativeHeight="251286528" behindDoc="1" locked="0" layoutInCell="0" allowOverlap="1" wp14:anchorId="066B0BB8" wp14:editId="53AD373B">
            <wp:simplePos x="0" y="0"/>
            <wp:positionH relativeFrom="column">
              <wp:posOffset>5080</wp:posOffset>
            </wp:positionH>
            <wp:positionV relativeFrom="paragraph">
              <wp:posOffset>38100</wp:posOffset>
            </wp:positionV>
            <wp:extent cx="7132320" cy="1714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B36C148" w14:textId="77777777" w:rsidR="00D1587D" w:rsidRDefault="00D1587D">
      <w:pPr>
        <w:sectPr w:rsidR="00D1587D">
          <w:pgSz w:w="11900" w:h="16838"/>
          <w:pgMar w:top="361" w:right="359" w:bottom="1440" w:left="320" w:header="0" w:footer="0" w:gutter="0"/>
          <w:cols w:space="720" w:equalWidth="0">
            <w:col w:w="11220"/>
          </w:cols>
        </w:sectPr>
      </w:pPr>
    </w:p>
    <w:p w14:paraId="6EA1C0C5" w14:textId="77777777" w:rsidR="00D1587D" w:rsidRDefault="00410D07">
      <w:pPr>
        <w:spacing w:line="271" w:lineRule="auto"/>
        <w:ind w:right="280" w:firstLine="648"/>
        <w:rPr>
          <w:sz w:val="20"/>
          <w:szCs w:val="20"/>
        </w:rPr>
      </w:pPr>
      <w:bookmarkStart w:id="135" w:name="page136"/>
      <w:bookmarkEnd w:id="135"/>
      <w:r>
        <w:rPr>
          <w:rFonts w:ascii="Arial" w:eastAsia="Arial" w:hAnsi="Arial" w:cs="Arial"/>
          <w:sz w:val="19"/>
          <w:szCs w:val="19"/>
        </w:rPr>
        <w:t xml:space="preserve">Section 9.15. </w:t>
      </w:r>
      <w:r>
        <w:rPr>
          <w:rFonts w:ascii="Arial" w:eastAsia="Arial" w:hAnsi="Arial" w:cs="Arial"/>
          <w:i/>
          <w:iCs/>
          <w:sz w:val="19"/>
          <w:szCs w:val="19"/>
        </w:rPr>
        <w:t>Integration</w:t>
      </w:r>
      <w:r>
        <w:rPr>
          <w:rFonts w:ascii="Arial" w:eastAsia="Arial" w:hAnsi="Arial" w:cs="Arial"/>
          <w:sz w:val="19"/>
          <w:szCs w:val="19"/>
        </w:rPr>
        <w:t>. The parties hereto agree that each of (a) this Agreement, (b) ea</w:t>
      </w:r>
      <w:r>
        <w:rPr>
          <w:rFonts w:ascii="Arial" w:eastAsia="Arial" w:hAnsi="Arial" w:cs="Arial"/>
          <w:sz w:val="19"/>
          <w:szCs w:val="19"/>
        </w:rPr>
        <w:t>ch of the Service Schedules, (c) the L Brands to VS Transition Services Agreement, dated as of the date hereof between L Brands and Service Provider (the “</w:t>
      </w:r>
      <w:r>
        <w:rPr>
          <w:rFonts w:ascii="Arial" w:eastAsia="Arial" w:hAnsi="Arial" w:cs="Arial"/>
          <w:b/>
          <w:bCs/>
          <w:sz w:val="19"/>
          <w:szCs w:val="19"/>
        </w:rPr>
        <w:t>L Brands to VS TSA</w:t>
      </w:r>
      <w:r>
        <w:rPr>
          <w:rFonts w:ascii="Arial" w:eastAsia="Arial" w:hAnsi="Arial" w:cs="Arial"/>
          <w:sz w:val="19"/>
          <w:szCs w:val="19"/>
        </w:rPr>
        <w:t>”), (d) each of the Service Schedules (as defined in the L Brands to VS TSA), and (</w:t>
      </w:r>
      <w:r>
        <w:rPr>
          <w:rFonts w:ascii="Arial" w:eastAsia="Arial" w:hAnsi="Arial" w:cs="Arial"/>
          <w:sz w:val="19"/>
          <w:szCs w:val="19"/>
        </w:rPr>
        <w:t>e) all addenda, supplemental agreements, amendments and letter agreements executed in connection with the foregoing, ((a) through</w:t>
      </w:r>
    </w:p>
    <w:p w14:paraId="4E6D28B2" w14:textId="77777777" w:rsidR="00D1587D" w:rsidRDefault="00D1587D">
      <w:pPr>
        <w:spacing w:line="3" w:lineRule="exact"/>
        <w:rPr>
          <w:sz w:val="20"/>
          <w:szCs w:val="20"/>
        </w:rPr>
      </w:pPr>
    </w:p>
    <w:p w14:paraId="4CBF1A7E" w14:textId="77777777" w:rsidR="00D1587D" w:rsidRDefault="00410D07">
      <w:pPr>
        <w:numPr>
          <w:ilvl w:val="0"/>
          <w:numId w:val="102"/>
        </w:numPr>
        <w:tabs>
          <w:tab w:val="left" w:pos="294"/>
        </w:tabs>
        <w:spacing w:line="269" w:lineRule="auto"/>
        <w:ind w:firstLine="8"/>
        <w:rPr>
          <w:rFonts w:ascii="Arial" w:eastAsia="Arial" w:hAnsi="Arial" w:cs="Arial"/>
          <w:sz w:val="19"/>
          <w:szCs w:val="19"/>
        </w:rPr>
      </w:pPr>
      <w:r>
        <w:rPr>
          <w:rFonts w:ascii="Arial" w:eastAsia="Arial" w:hAnsi="Arial" w:cs="Arial"/>
          <w:sz w:val="19"/>
          <w:szCs w:val="19"/>
        </w:rPr>
        <w:t>collectively, the “</w:t>
      </w:r>
      <w:r>
        <w:rPr>
          <w:rFonts w:ascii="Arial" w:eastAsia="Arial" w:hAnsi="Arial" w:cs="Arial"/>
          <w:b/>
          <w:bCs/>
          <w:sz w:val="19"/>
          <w:szCs w:val="19"/>
        </w:rPr>
        <w:t>Integrated Agreements</w:t>
      </w:r>
      <w:r>
        <w:rPr>
          <w:rFonts w:ascii="Arial" w:eastAsia="Arial" w:hAnsi="Arial" w:cs="Arial"/>
          <w:sz w:val="19"/>
          <w:szCs w:val="19"/>
        </w:rPr>
        <w:t xml:space="preserve">”) are integrated and non-severable parts of one and the same transaction among </w:t>
      </w:r>
      <w:r>
        <w:rPr>
          <w:rFonts w:ascii="Arial" w:eastAsia="Arial" w:hAnsi="Arial" w:cs="Arial"/>
          <w:sz w:val="19"/>
          <w:szCs w:val="19"/>
        </w:rPr>
        <w:t xml:space="preserve">the parties hereto, each representing an essential, necessary and interdependent component of such transaction forming part of the consideration given by the parties hereto under and in connection with this Agreement, and the parties hereto agree that all </w:t>
      </w:r>
      <w:r>
        <w:rPr>
          <w:rFonts w:ascii="Arial" w:eastAsia="Arial" w:hAnsi="Arial" w:cs="Arial"/>
          <w:sz w:val="19"/>
          <w:szCs w:val="19"/>
        </w:rPr>
        <w:t xml:space="preserve">of the Integrated Agreements comprising such transaction constitute one single agreement and are integrated and non-severable for all purposes at law and equity, including for purposes of section 365 of title 11 of the United States Code and New York law, </w:t>
      </w:r>
      <w:r>
        <w:rPr>
          <w:rFonts w:ascii="Arial" w:eastAsia="Arial" w:hAnsi="Arial" w:cs="Arial"/>
          <w:sz w:val="19"/>
          <w:szCs w:val="19"/>
        </w:rPr>
        <w:t>and that any breach of any one of such agreements shall be deemed a breach under all such agreements. The Integrated Agreements embody the entire understanding of the parties hereto, and there are no further or other agreements or understandings, written o</w:t>
      </w:r>
      <w:r>
        <w:rPr>
          <w:rFonts w:ascii="Arial" w:eastAsia="Arial" w:hAnsi="Arial" w:cs="Arial"/>
          <w:sz w:val="19"/>
          <w:szCs w:val="19"/>
        </w:rPr>
        <w:t xml:space="preserve">r oral, in effect between the parties hereto, relating to the subject matter of this Agreement. In addition to, and without limitation of, the rights of the parties hereto set forth above or any right available in law or in equity, pursuant to contract or </w:t>
      </w:r>
      <w:r>
        <w:rPr>
          <w:rFonts w:ascii="Arial" w:eastAsia="Arial" w:hAnsi="Arial" w:cs="Arial"/>
          <w:sz w:val="19"/>
          <w:szCs w:val="19"/>
        </w:rPr>
        <w:t>otherwise, in the event of the failure by a party to this Agreement or any Affiliate of such party to make timely payment of amounts due and owing (following the expiration of any relevant cure periods thereunder) under any of the Integrated Agreements, th</w:t>
      </w:r>
      <w:r>
        <w:rPr>
          <w:rFonts w:ascii="Arial" w:eastAsia="Arial" w:hAnsi="Arial" w:cs="Arial"/>
          <w:sz w:val="19"/>
          <w:szCs w:val="19"/>
        </w:rPr>
        <w:t>e Separation Agreement or any other agreement related to the transactions contemplated hereby and thereby (together, the “</w:t>
      </w:r>
      <w:r>
        <w:rPr>
          <w:rFonts w:ascii="Arial" w:eastAsia="Arial" w:hAnsi="Arial" w:cs="Arial"/>
          <w:b/>
          <w:bCs/>
          <w:sz w:val="19"/>
          <w:szCs w:val="19"/>
        </w:rPr>
        <w:t>Applicable</w:t>
      </w:r>
      <w:r>
        <w:rPr>
          <w:rFonts w:ascii="Arial" w:eastAsia="Arial" w:hAnsi="Arial" w:cs="Arial"/>
          <w:sz w:val="19"/>
          <w:szCs w:val="19"/>
        </w:rPr>
        <w:t xml:space="preserve"> </w:t>
      </w:r>
      <w:r>
        <w:rPr>
          <w:rFonts w:ascii="Arial" w:eastAsia="Arial" w:hAnsi="Arial" w:cs="Arial"/>
          <w:b/>
          <w:bCs/>
          <w:sz w:val="19"/>
          <w:szCs w:val="19"/>
        </w:rPr>
        <w:t>Agreements</w:t>
      </w:r>
      <w:r>
        <w:rPr>
          <w:rFonts w:ascii="Arial" w:eastAsia="Arial" w:hAnsi="Arial" w:cs="Arial"/>
          <w:sz w:val="19"/>
          <w:szCs w:val="19"/>
        </w:rPr>
        <w:t>”), such amounts may at the election of the non-defaulting party be reduced by set-off against any sum or obligat</w:t>
      </w:r>
      <w:r>
        <w:rPr>
          <w:rFonts w:ascii="Arial" w:eastAsia="Arial" w:hAnsi="Arial" w:cs="Arial"/>
          <w:sz w:val="19"/>
          <w:szCs w:val="19"/>
        </w:rPr>
        <w:t>ion</w:t>
      </w:r>
      <w:r>
        <w:rPr>
          <w:rFonts w:ascii="Arial" w:eastAsia="Arial" w:hAnsi="Arial" w:cs="Arial"/>
          <w:b/>
          <w:bCs/>
          <w:sz w:val="19"/>
          <w:szCs w:val="19"/>
        </w:rPr>
        <w:t xml:space="preserve"> </w:t>
      </w:r>
      <w:r>
        <w:rPr>
          <w:rFonts w:ascii="Arial" w:eastAsia="Arial" w:hAnsi="Arial" w:cs="Arial"/>
          <w:sz w:val="19"/>
          <w:szCs w:val="19"/>
        </w:rPr>
        <w:t>(whether or not matured or contingent and irrespective of the currency or place of payment) owed by the non-defaulting party or any Affiliate of the non-defaulting party to the defaulting party or any Affiliate of the defaulting party under any Applica</w:t>
      </w:r>
      <w:r>
        <w:rPr>
          <w:rFonts w:ascii="Arial" w:eastAsia="Arial" w:hAnsi="Arial" w:cs="Arial"/>
          <w:sz w:val="19"/>
          <w:szCs w:val="19"/>
        </w:rPr>
        <w:t>ble Agreement.</w:t>
      </w:r>
    </w:p>
    <w:p w14:paraId="5A6827D7" w14:textId="77777777" w:rsidR="00D1587D" w:rsidRDefault="00D1587D">
      <w:pPr>
        <w:spacing w:line="200" w:lineRule="exact"/>
        <w:rPr>
          <w:sz w:val="20"/>
          <w:szCs w:val="20"/>
        </w:rPr>
      </w:pPr>
    </w:p>
    <w:p w14:paraId="68CD5BAA" w14:textId="77777777" w:rsidR="00D1587D" w:rsidRDefault="00D1587D">
      <w:pPr>
        <w:spacing w:line="240" w:lineRule="exact"/>
        <w:rPr>
          <w:sz w:val="20"/>
          <w:szCs w:val="20"/>
        </w:rPr>
      </w:pPr>
    </w:p>
    <w:p w14:paraId="29426C90" w14:textId="77777777" w:rsidR="00D1587D" w:rsidRDefault="00410D07">
      <w:pPr>
        <w:jc w:val="center"/>
        <w:rPr>
          <w:sz w:val="20"/>
          <w:szCs w:val="20"/>
        </w:rPr>
      </w:pPr>
      <w:r>
        <w:rPr>
          <w:rFonts w:ascii="Arial" w:eastAsia="Arial" w:hAnsi="Arial" w:cs="Arial"/>
        </w:rPr>
        <w:t>[</w:t>
      </w:r>
      <w:r>
        <w:rPr>
          <w:rFonts w:ascii="Arial" w:eastAsia="Arial" w:hAnsi="Arial" w:cs="Arial"/>
          <w:i/>
          <w:iCs/>
        </w:rPr>
        <w:t>Signature page follows</w:t>
      </w:r>
      <w:r>
        <w:rPr>
          <w:rFonts w:ascii="Arial" w:eastAsia="Arial" w:hAnsi="Arial" w:cs="Arial"/>
        </w:rPr>
        <w:t>]</w:t>
      </w:r>
    </w:p>
    <w:p w14:paraId="744BA80D" w14:textId="77777777" w:rsidR="00D1587D" w:rsidRDefault="00D1587D">
      <w:pPr>
        <w:spacing w:line="200" w:lineRule="exact"/>
        <w:rPr>
          <w:sz w:val="20"/>
          <w:szCs w:val="20"/>
        </w:rPr>
      </w:pPr>
    </w:p>
    <w:p w14:paraId="157AEF77" w14:textId="77777777" w:rsidR="00D1587D" w:rsidRDefault="00D1587D">
      <w:pPr>
        <w:spacing w:line="211" w:lineRule="exact"/>
        <w:rPr>
          <w:sz w:val="20"/>
          <w:szCs w:val="20"/>
        </w:rPr>
      </w:pPr>
    </w:p>
    <w:p w14:paraId="28415BB5" w14:textId="77777777" w:rsidR="00D1587D" w:rsidRDefault="00410D07">
      <w:pPr>
        <w:jc w:val="center"/>
        <w:rPr>
          <w:sz w:val="20"/>
          <w:szCs w:val="20"/>
        </w:rPr>
      </w:pPr>
      <w:r>
        <w:rPr>
          <w:rFonts w:ascii="Arial" w:eastAsia="Arial" w:hAnsi="Arial" w:cs="Arial"/>
          <w:sz w:val="14"/>
          <w:szCs w:val="14"/>
        </w:rPr>
        <w:t>22</w:t>
      </w:r>
    </w:p>
    <w:p w14:paraId="6E68006C" w14:textId="77777777" w:rsidR="00D1587D" w:rsidRDefault="00410D07">
      <w:pPr>
        <w:spacing w:line="20" w:lineRule="exact"/>
        <w:rPr>
          <w:sz w:val="20"/>
          <w:szCs w:val="20"/>
        </w:rPr>
      </w:pPr>
      <w:r>
        <w:rPr>
          <w:noProof/>
          <w:sz w:val="20"/>
          <w:szCs w:val="20"/>
        </w:rPr>
        <w:drawing>
          <wp:anchor distT="0" distB="0" distL="114300" distR="114300" simplePos="0" relativeHeight="251287552" behindDoc="1" locked="0" layoutInCell="0" allowOverlap="1" wp14:anchorId="372CC4C6" wp14:editId="4B85C0D0">
            <wp:simplePos x="0" y="0"/>
            <wp:positionH relativeFrom="column">
              <wp:posOffset>5080</wp:posOffset>
            </wp:positionH>
            <wp:positionV relativeFrom="paragraph">
              <wp:posOffset>38100</wp:posOffset>
            </wp:positionV>
            <wp:extent cx="7132320" cy="1714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6E52EFD" w14:textId="77777777" w:rsidR="00D1587D" w:rsidRDefault="00D1587D">
      <w:pPr>
        <w:sectPr w:rsidR="00D1587D">
          <w:pgSz w:w="11900" w:h="16838"/>
          <w:pgMar w:top="604" w:right="339" w:bottom="1440" w:left="320" w:header="0" w:footer="0" w:gutter="0"/>
          <w:cols w:space="720" w:equalWidth="0">
            <w:col w:w="11240"/>
          </w:cols>
        </w:sectPr>
      </w:pPr>
    </w:p>
    <w:p w14:paraId="41486E36" w14:textId="77777777" w:rsidR="00D1587D" w:rsidRDefault="00410D07">
      <w:pPr>
        <w:spacing w:line="250" w:lineRule="auto"/>
        <w:ind w:firstLine="648"/>
        <w:rPr>
          <w:sz w:val="20"/>
          <w:szCs w:val="20"/>
        </w:rPr>
      </w:pPr>
      <w:bookmarkStart w:id="136" w:name="page137"/>
      <w:bookmarkEnd w:id="136"/>
      <w:r>
        <w:rPr>
          <w:rFonts w:ascii="Arial" w:eastAsia="Arial" w:hAnsi="Arial" w:cs="Arial"/>
        </w:rPr>
        <w:t>IN WITNESS WHEREOF the parties hereto have caused this Agreement to be duly executed by their respective authorized officers as of the day and year first above written.</w:t>
      </w:r>
    </w:p>
    <w:p w14:paraId="12B8E057" w14:textId="77777777" w:rsidR="00D1587D" w:rsidRDefault="00D1587D">
      <w:pPr>
        <w:spacing w:line="205" w:lineRule="exact"/>
        <w:rPr>
          <w:sz w:val="20"/>
          <w:szCs w:val="20"/>
        </w:rPr>
      </w:pPr>
    </w:p>
    <w:p w14:paraId="59833176" w14:textId="77777777" w:rsidR="00D1587D" w:rsidRDefault="00410D07">
      <w:pPr>
        <w:ind w:left="5640"/>
        <w:rPr>
          <w:sz w:val="20"/>
          <w:szCs w:val="20"/>
        </w:rPr>
      </w:pPr>
      <w:r>
        <w:rPr>
          <w:rFonts w:ascii="Arial" w:eastAsia="Arial" w:hAnsi="Arial" w:cs="Arial"/>
          <w:b/>
          <w:bCs/>
          <w:sz w:val="18"/>
          <w:szCs w:val="18"/>
        </w:rPr>
        <w:t>VICTORIA’S SECRET &amp; CO.</w:t>
      </w:r>
    </w:p>
    <w:p w14:paraId="190D5D20" w14:textId="77777777" w:rsidR="00D1587D" w:rsidRDefault="00D1587D">
      <w:pPr>
        <w:spacing w:line="229" w:lineRule="exact"/>
        <w:rPr>
          <w:sz w:val="20"/>
          <w:szCs w:val="20"/>
        </w:rPr>
      </w:pPr>
    </w:p>
    <w:p w14:paraId="30BA65A0" w14:textId="77777777" w:rsidR="00D1587D" w:rsidRDefault="00410D07">
      <w:pPr>
        <w:ind w:left="5640"/>
        <w:rPr>
          <w:sz w:val="20"/>
          <w:szCs w:val="20"/>
        </w:rPr>
      </w:pPr>
      <w:r>
        <w:rPr>
          <w:rFonts w:ascii="Arial" w:eastAsia="Arial" w:hAnsi="Arial" w:cs="Arial"/>
          <w:sz w:val="18"/>
          <w:szCs w:val="18"/>
        </w:rPr>
        <w:t>By:</w:t>
      </w:r>
    </w:p>
    <w:p w14:paraId="79D96C29" w14:textId="77777777" w:rsidR="00D1587D" w:rsidRDefault="00410D07">
      <w:pPr>
        <w:spacing w:line="20" w:lineRule="exact"/>
        <w:rPr>
          <w:sz w:val="20"/>
          <w:szCs w:val="20"/>
        </w:rPr>
      </w:pPr>
      <w:r>
        <w:rPr>
          <w:noProof/>
          <w:sz w:val="20"/>
          <w:szCs w:val="20"/>
        </w:rPr>
        <w:drawing>
          <wp:anchor distT="0" distB="0" distL="114300" distR="114300" simplePos="0" relativeHeight="251288576" behindDoc="1" locked="0" layoutInCell="0" allowOverlap="1" wp14:anchorId="6542C014" wp14:editId="4CCFBB46">
            <wp:simplePos x="0" y="0"/>
            <wp:positionH relativeFrom="column">
              <wp:posOffset>3931285</wp:posOffset>
            </wp:positionH>
            <wp:positionV relativeFrom="paragraph">
              <wp:posOffset>14605</wp:posOffset>
            </wp:positionV>
            <wp:extent cx="3206115" cy="1714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4"/>
                    <a:srcRect/>
                    <a:stretch>
                      <a:fillRect/>
                    </a:stretch>
                  </pic:blipFill>
                  <pic:spPr bwMode="auto">
                    <a:xfrm>
                      <a:off x="0" y="0"/>
                      <a:ext cx="3206115" cy="17145"/>
                    </a:xfrm>
                    <a:prstGeom prst="rect">
                      <a:avLst/>
                    </a:prstGeom>
                    <a:noFill/>
                  </pic:spPr>
                </pic:pic>
              </a:graphicData>
            </a:graphic>
          </wp:anchor>
        </w:drawing>
      </w:r>
    </w:p>
    <w:p w14:paraId="25175436" w14:textId="77777777" w:rsidR="00D1587D" w:rsidRDefault="00D1587D">
      <w:pPr>
        <w:spacing w:line="16" w:lineRule="exact"/>
        <w:rPr>
          <w:sz w:val="20"/>
          <w:szCs w:val="20"/>
        </w:rPr>
      </w:pPr>
    </w:p>
    <w:p w14:paraId="0B066414" w14:textId="77777777" w:rsidR="00D1587D" w:rsidRDefault="00410D07">
      <w:pPr>
        <w:ind w:left="6200"/>
        <w:rPr>
          <w:sz w:val="20"/>
          <w:szCs w:val="20"/>
        </w:rPr>
      </w:pPr>
      <w:r>
        <w:rPr>
          <w:rFonts w:ascii="Arial" w:eastAsia="Arial" w:hAnsi="Arial" w:cs="Arial"/>
          <w:sz w:val="18"/>
          <w:szCs w:val="18"/>
        </w:rPr>
        <w:t>Name:</w:t>
      </w:r>
    </w:p>
    <w:p w14:paraId="0F39F92F" w14:textId="77777777" w:rsidR="00D1587D" w:rsidRDefault="00D1587D">
      <w:pPr>
        <w:spacing w:line="23" w:lineRule="exact"/>
        <w:rPr>
          <w:sz w:val="20"/>
          <w:szCs w:val="20"/>
        </w:rPr>
      </w:pPr>
    </w:p>
    <w:p w14:paraId="3E19301B" w14:textId="77777777" w:rsidR="00D1587D" w:rsidRDefault="00410D07">
      <w:pPr>
        <w:ind w:left="6200"/>
        <w:rPr>
          <w:sz w:val="20"/>
          <w:szCs w:val="20"/>
        </w:rPr>
      </w:pPr>
      <w:r>
        <w:rPr>
          <w:rFonts w:ascii="Arial" w:eastAsia="Arial" w:hAnsi="Arial" w:cs="Arial"/>
          <w:sz w:val="18"/>
          <w:szCs w:val="18"/>
        </w:rPr>
        <w:t>Title:</w:t>
      </w:r>
    </w:p>
    <w:p w14:paraId="67573FD7" w14:textId="77777777" w:rsidR="00D1587D" w:rsidRDefault="00D1587D">
      <w:pPr>
        <w:spacing w:line="234" w:lineRule="exact"/>
        <w:rPr>
          <w:sz w:val="20"/>
          <w:szCs w:val="20"/>
        </w:rPr>
      </w:pPr>
    </w:p>
    <w:p w14:paraId="1939189D" w14:textId="77777777" w:rsidR="00D1587D" w:rsidRDefault="00410D07">
      <w:pPr>
        <w:ind w:left="5640"/>
        <w:rPr>
          <w:sz w:val="20"/>
          <w:szCs w:val="20"/>
        </w:rPr>
      </w:pPr>
      <w:r>
        <w:rPr>
          <w:rFonts w:ascii="Arial" w:eastAsia="Arial" w:hAnsi="Arial" w:cs="Arial"/>
          <w:b/>
          <w:bCs/>
          <w:sz w:val="18"/>
          <w:szCs w:val="18"/>
        </w:rPr>
        <w:t>L BRANDS, INC.</w:t>
      </w:r>
    </w:p>
    <w:p w14:paraId="3E71FC07" w14:textId="77777777" w:rsidR="00D1587D" w:rsidRDefault="00D1587D">
      <w:pPr>
        <w:spacing w:line="229" w:lineRule="exact"/>
        <w:rPr>
          <w:sz w:val="20"/>
          <w:szCs w:val="20"/>
        </w:rPr>
      </w:pPr>
    </w:p>
    <w:p w14:paraId="35DE6CD7" w14:textId="77777777" w:rsidR="00D1587D" w:rsidRDefault="00410D07">
      <w:pPr>
        <w:ind w:left="5640"/>
        <w:rPr>
          <w:sz w:val="20"/>
          <w:szCs w:val="20"/>
        </w:rPr>
      </w:pPr>
      <w:r>
        <w:rPr>
          <w:rFonts w:ascii="Arial" w:eastAsia="Arial" w:hAnsi="Arial" w:cs="Arial"/>
          <w:sz w:val="18"/>
          <w:szCs w:val="18"/>
        </w:rPr>
        <w:t>By:</w:t>
      </w:r>
    </w:p>
    <w:p w14:paraId="310234D8" w14:textId="77777777" w:rsidR="00D1587D" w:rsidRDefault="00410D07">
      <w:pPr>
        <w:spacing w:line="20" w:lineRule="exact"/>
        <w:rPr>
          <w:sz w:val="20"/>
          <w:szCs w:val="20"/>
        </w:rPr>
      </w:pPr>
      <w:r>
        <w:rPr>
          <w:noProof/>
          <w:sz w:val="20"/>
          <w:szCs w:val="20"/>
        </w:rPr>
        <w:drawing>
          <wp:anchor distT="0" distB="0" distL="114300" distR="114300" simplePos="0" relativeHeight="251289600" behindDoc="1" locked="0" layoutInCell="0" allowOverlap="1" wp14:anchorId="58503782" wp14:editId="186E5038">
            <wp:simplePos x="0" y="0"/>
            <wp:positionH relativeFrom="column">
              <wp:posOffset>3931285</wp:posOffset>
            </wp:positionH>
            <wp:positionV relativeFrom="paragraph">
              <wp:posOffset>14605</wp:posOffset>
            </wp:positionV>
            <wp:extent cx="3206115" cy="1714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
                    <a:srcRect/>
                    <a:stretch>
                      <a:fillRect/>
                    </a:stretch>
                  </pic:blipFill>
                  <pic:spPr bwMode="auto">
                    <a:xfrm>
                      <a:off x="0" y="0"/>
                      <a:ext cx="3206115" cy="17145"/>
                    </a:xfrm>
                    <a:prstGeom prst="rect">
                      <a:avLst/>
                    </a:prstGeom>
                    <a:noFill/>
                  </pic:spPr>
                </pic:pic>
              </a:graphicData>
            </a:graphic>
          </wp:anchor>
        </w:drawing>
      </w:r>
    </w:p>
    <w:p w14:paraId="3CB219E9" w14:textId="77777777" w:rsidR="00D1587D" w:rsidRDefault="00D1587D">
      <w:pPr>
        <w:spacing w:line="16" w:lineRule="exact"/>
        <w:rPr>
          <w:sz w:val="20"/>
          <w:szCs w:val="20"/>
        </w:rPr>
      </w:pPr>
    </w:p>
    <w:p w14:paraId="1798D883" w14:textId="77777777" w:rsidR="00D1587D" w:rsidRDefault="00410D07">
      <w:pPr>
        <w:ind w:left="6200"/>
        <w:rPr>
          <w:sz w:val="20"/>
          <w:szCs w:val="20"/>
        </w:rPr>
      </w:pPr>
      <w:r>
        <w:rPr>
          <w:rFonts w:ascii="Arial" w:eastAsia="Arial" w:hAnsi="Arial" w:cs="Arial"/>
          <w:sz w:val="18"/>
          <w:szCs w:val="18"/>
        </w:rPr>
        <w:t>Name:</w:t>
      </w:r>
    </w:p>
    <w:p w14:paraId="5DB6DD66" w14:textId="77777777" w:rsidR="00D1587D" w:rsidRDefault="00D1587D">
      <w:pPr>
        <w:spacing w:line="23" w:lineRule="exact"/>
        <w:rPr>
          <w:sz w:val="20"/>
          <w:szCs w:val="20"/>
        </w:rPr>
      </w:pPr>
    </w:p>
    <w:p w14:paraId="4B587AA7" w14:textId="77777777" w:rsidR="00D1587D" w:rsidRDefault="00410D07">
      <w:pPr>
        <w:ind w:left="6200"/>
        <w:rPr>
          <w:sz w:val="20"/>
          <w:szCs w:val="20"/>
        </w:rPr>
      </w:pPr>
      <w:r>
        <w:rPr>
          <w:rFonts w:ascii="Arial" w:eastAsia="Arial" w:hAnsi="Arial" w:cs="Arial"/>
          <w:sz w:val="18"/>
          <w:szCs w:val="18"/>
        </w:rPr>
        <w:t>Title:</w:t>
      </w:r>
    </w:p>
    <w:p w14:paraId="1C664863" w14:textId="77777777" w:rsidR="00D1587D" w:rsidRDefault="00410D07">
      <w:pPr>
        <w:spacing w:line="20" w:lineRule="exact"/>
        <w:rPr>
          <w:sz w:val="20"/>
          <w:szCs w:val="20"/>
        </w:rPr>
      </w:pPr>
      <w:r>
        <w:rPr>
          <w:noProof/>
          <w:sz w:val="20"/>
          <w:szCs w:val="20"/>
        </w:rPr>
        <w:drawing>
          <wp:anchor distT="0" distB="0" distL="114300" distR="114300" simplePos="0" relativeHeight="251290624" behindDoc="1" locked="0" layoutInCell="0" allowOverlap="1" wp14:anchorId="5B082D96" wp14:editId="63C9CB00">
            <wp:simplePos x="0" y="0"/>
            <wp:positionH relativeFrom="column">
              <wp:posOffset>5080</wp:posOffset>
            </wp:positionH>
            <wp:positionV relativeFrom="paragraph">
              <wp:posOffset>382905</wp:posOffset>
            </wp:positionV>
            <wp:extent cx="7132320" cy="1714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AF3D123" w14:textId="77777777" w:rsidR="00D1587D" w:rsidRDefault="00D1587D">
      <w:pPr>
        <w:sectPr w:rsidR="00D1587D">
          <w:pgSz w:w="11900" w:h="16838"/>
          <w:pgMar w:top="604" w:right="1199" w:bottom="1440" w:left="320" w:header="0" w:footer="0" w:gutter="0"/>
          <w:cols w:space="720" w:equalWidth="0">
            <w:col w:w="10380"/>
          </w:cols>
        </w:sectPr>
      </w:pPr>
    </w:p>
    <w:p w14:paraId="16AAF705" w14:textId="77777777" w:rsidR="00D1587D" w:rsidRDefault="00410D07">
      <w:pPr>
        <w:jc w:val="right"/>
        <w:rPr>
          <w:sz w:val="20"/>
          <w:szCs w:val="20"/>
        </w:rPr>
      </w:pPr>
      <w:bookmarkStart w:id="137" w:name="page138"/>
      <w:bookmarkEnd w:id="137"/>
      <w:r>
        <w:rPr>
          <w:rFonts w:ascii="Arial" w:eastAsia="Arial" w:hAnsi="Arial" w:cs="Arial"/>
          <w:b/>
          <w:bCs/>
          <w:noProof/>
        </w:rPr>
        <w:drawing>
          <wp:anchor distT="0" distB="0" distL="114300" distR="114300" simplePos="0" relativeHeight="251291648" behindDoc="1" locked="0" layoutInCell="0" allowOverlap="1" wp14:anchorId="4F7DB456" wp14:editId="247C3251">
            <wp:simplePos x="0" y="0"/>
            <wp:positionH relativeFrom="page">
              <wp:posOffset>208280</wp:posOffset>
            </wp:positionH>
            <wp:positionV relativeFrom="page">
              <wp:posOffset>88900</wp:posOffset>
            </wp:positionV>
            <wp:extent cx="7132320" cy="3429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10.3</w:t>
      </w:r>
    </w:p>
    <w:p w14:paraId="37D34359" w14:textId="77777777" w:rsidR="00D1587D" w:rsidRDefault="00D1587D">
      <w:pPr>
        <w:spacing w:line="233" w:lineRule="exact"/>
        <w:rPr>
          <w:sz w:val="20"/>
          <w:szCs w:val="20"/>
        </w:rPr>
      </w:pPr>
    </w:p>
    <w:p w14:paraId="3ECB8094" w14:textId="77777777" w:rsidR="00D1587D" w:rsidRDefault="00410D07">
      <w:pPr>
        <w:ind w:right="1100"/>
        <w:jc w:val="center"/>
        <w:rPr>
          <w:sz w:val="20"/>
          <w:szCs w:val="20"/>
        </w:rPr>
      </w:pPr>
      <w:r>
        <w:rPr>
          <w:rFonts w:ascii="Arial" w:eastAsia="Arial" w:hAnsi="Arial" w:cs="Arial"/>
          <w:b/>
          <w:bCs/>
        </w:rPr>
        <w:t>FORM OF</w:t>
      </w:r>
    </w:p>
    <w:p w14:paraId="2010800A" w14:textId="77777777" w:rsidR="00D1587D" w:rsidRDefault="00D1587D">
      <w:pPr>
        <w:spacing w:line="233" w:lineRule="exact"/>
        <w:rPr>
          <w:sz w:val="20"/>
          <w:szCs w:val="20"/>
        </w:rPr>
      </w:pPr>
    </w:p>
    <w:p w14:paraId="340CC40B" w14:textId="77777777" w:rsidR="00D1587D" w:rsidRDefault="00410D07">
      <w:pPr>
        <w:ind w:right="1100"/>
        <w:jc w:val="center"/>
        <w:rPr>
          <w:sz w:val="20"/>
          <w:szCs w:val="20"/>
        </w:rPr>
      </w:pPr>
      <w:r>
        <w:rPr>
          <w:rFonts w:ascii="Arial" w:eastAsia="Arial" w:hAnsi="Arial" w:cs="Arial"/>
          <w:b/>
          <w:bCs/>
          <w:sz w:val="21"/>
          <w:szCs w:val="21"/>
        </w:rPr>
        <w:t>TAX MATTERS AGREEMENT</w:t>
      </w:r>
    </w:p>
    <w:p w14:paraId="68C9AD9D" w14:textId="77777777" w:rsidR="00D1587D" w:rsidRDefault="00D1587D">
      <w:pPr>
        <w:spacing w:line="251" w:lineRule="exact"/>
        <w:rPr>
          <w:sz w:val="20"/>
          <w:szCs w:val="20"/>
        </w:rPr>
      </w:pPr>
    </w:p>
    <w:p w14:paraId="1C165527" w14:textId="77777777" w:rsidR="00D1587D" w:rsidRDefault="00410D07">
      <w:pPr>
        <w:ind w:left="4140"/>
        <w:rPr>
          <w:sz w:val="20"/>
          <w:szCs w:val="20"/>
        </w:rPr>
      </w:pPr>
      <w:r>
        <w:rPr>
          <w:rFonts w:ascii="Arial" w:eastAsia="Arial" w:hAnsi="Arial" w:cs="Arial"/>
        </w:rPr>
        <w:t>between</w:t>
      </w:r>
    </w:p>
    <w:p w14:paraId="1FCD68F9" w14:textId="77777777" w:rsidR="00D1587D" w:rsidRDefault="00D1587D">
      <w:pPr>
        <w:spacing w:line="227" w:lineRule="exact"/>
        <w:rPr>
          <w:sz w:val="20"/>
          <w:szCs w:val="20"/>
        </w:rPr>
      </w:pPr>
    </w:p>
    <w:p w14:paraId="2640EDF4" w14:textId="77777777" w:rsidR="00D1587D" w:rsidRDefault="00410D07">
      <w:pPr>
        <w:numPr>
          <w:ilvl w:val="0"/>
          <w:numId w:val="103"/>
        </w:numPr>
        <w:tabs>
          <w:tab w:val="left" w:pos="3854"/>
        </w:tabs>
        <w:spacing w:line="275" w:lineRule="auto"/>
        <w:ind w:left="3740" w:right="4760" w:hanging="85"/>
        <w:rPr>
          <w:rFonts w:ascii="Arial" w:eastAsia="Arial" w:hAnsi="Arial" w:cs="Arial"/>
          <w:b/>
          <w:bCs/>
          <w:sz w:val="19"/>
          <w:szCs w:val="19"/>
        </w:rPr>
      </w:pPr>
      <w:r>
        <w:rPr>
          <w:rFonts w:ascii="Arial" w:eastAsia="Arial" w:hAnsi="Arial" w:cs="Arial"/>
          <w:b/>
          <w:bCs/>
          <w:sz w:val="19"/>
          <w:szCs w:val="19"/>
        </w:rPr>
        <w:t>BRANDS, INC.</w:t>
      </w:r>
      <w:r>
        <w:rPr>
          <w:rFonts w:ascii="Arial" w:eastAsia="Arial" w:hAnsi="Arial" w:cs="Arial"/>
          <w:sz w:val="19"/>
          <w:szCs w:val="19"/>
        </w:rPr>
        <w:t>,</w:t>
      </w:r>
      <w:r>
        <w:rPr>
          <w:rFonts w:ascii="Arial" w:eastAsia="Arial" w:hAnsi="Arial" w:cs="Arial"/>
          <w:b/>
          <w:bCs/>
          <w:sz w:val="19"/>
          <w:szCs w:val="19"/>
        </w:rPr>
        <w:t xml:space="preserve"> </w:t>
      </w:r>
      <w:r>
        <w:rPr>
          <w:rFonts w:ascii="Arial" w:eastAsia="Arial" w:hAnsi="Arial" w:cs="Arial"/>
          <w:sz w:val="19"/>
          <w:szCs w:val="19"/>
        </w:rPr>
        <w:t>on behalf of itself and the members</w:t>
      </w:r>
    </w:p>
    <w:p w14:paraId="23F566C9" w14:textId="77777777" w:rsidR="00D1587D" w:rsidRDefault="00D1587D">
      <w:pPr>
        <w:spacing w:line="2" w:lineRule="exact"/>
        <w:rPr>
          <w:sz w:val="20"/>
          <w:szCs w:val="20"/>
        </w:rPr>
      </w:pPr>
    </w:p>
    <w:p w14:paraId="1874E8E4" w14:textId="77777777" w:rsidR="00D1587D" w:rsidRDefault="00410D07">
      <w:pPr>
        <w:ind w:right="1100"/>
        <w:jc w:val="center"/>
        <w:rPr>
          <w:sz w:val="20"/>
          <w:szCs w:val="20"/>
        </w:rPr>
      </w:pPr>
      <w:r>
        <w:rPr>
          <w:rFonts w:ascii="Arial" w:eastAsia="Arial" w:hAnsi="Arial" w:cs="Arial"/>
        </w:rPr>
        <w:t>of the L Brands Group</w:t>
      </w:r>
    </w:p>
    <w:p w14:paraId="58172B53" w14:textId="77777777" w:rsidR="00D1587D" w:rsidRDefault="00D1587D">
      <w:pPr>
        <w:spacing w:line="215" w:lineRule="exact"/>
        <w:rPr>
          <w:sz w:val="20"/>
          <w:szCs w:val="20"/>
        </w:rPr>
      </w:pPr>
    </w:p>
    <w:p w14:paraId="0BE5E759" w14:textId="77777777" w:rsidR="00D1587D" w:rsidRDefault="00410D07">
      <w:pPr>
        <w:ind w:right="1100"/>
        <w:jc w:val="center"/>
        <w:rPr>
          <w:sz w:val="20"/>
          <w:szCs w:val="20"/>
        </w:rPr>
      </w:pPr>
      <w:r>
        <w:rPr>
          <w:rFonts w:ascii="Arial" w:eastAsia="Arial" w:hAnsi="Arial" w:cs="Arial"/>
        </w:rPr>
        <w:t>and</w:t>
      </w:r>
    </w:p>
    <w:p w14:paraId="0DE8ECCB" w14:textId="77777777" w:rsidR="00D1587D" w:rsidRDefault="00D1587D">
      <w:pPr>
        <w:spacing w:line="227" w:lineRule="exact"/>
        <w:rPr>
          <w:sz w:val="20"/>
          <w:szCs w:val="20"/>
        </w:rPr>
      </w:pPr>
    </w:p>
    <w:p w14:paraId="3BD0E8B6" w14:textId="77777777" w:rsidR="00D1587D" w:rsidRDefault="00410D07">
      <w:pPr>
        <w:ind w:right="1100"/>
        <w:jc w:val="center"/>
        <w:rPr>
          <w:sz w:val="20"/>
          <w:szCs w:val="20"/>
        </w:rPr>
      </w:pPr>
      <w:r>
        <w:rPr>
          <w:rFonts w:ascii="Arial" w:eastAsia="Arial" w:hAnsi="Arial" w:cs="Arial"/>
          <w:b/>
          <w:bCs/>
        </w:rPr>
        <w:t>VICTORIA’S SECRET &amp; CO.</w:t>
      </w:r>
      <w:r>
        <w:rPr>
          <w:rFonts w:ascii="Arial" w:eastAsia="Arial" w:hAnsi="Arial" w:cs="Arial"/>
        </w:rPr>
        <w:t>,</w:t>
      </w:r>
    </w:p>
    <w:p w14:paraId="587C5419" w14:textId="77777777" w:rsidR="00D1587D" w:rsidRDefault="00D1587D">
      <w:pPr>
        <w:spacing w:line="4" w:lineRule="exact"/>
        <w:rPr>
          <w:sz w:val="20"/>
          <w:szCs w:val="20"/>
        </w:rPr>
      </w:pPr>
    </w:p>
    <w:p w14:paraId="34B335F3" w14:textId="77777777" w:rsidR="00D1587D" w:rsidRDefault="00410D07">
      <w:pPr>
        <w:ind w:left="3740"/>
        <w:rPr>
          <w:sz w:val="20"/>
          <w:szCs w:val="20"/>
        </w:rPr>
      </w:pPr>
      <w:r>
        <w:rPr>
          <w:rFonts w:ascii="Arial" w:eastAsia="Arial" w:hAnsi="Arial" w:cs="Arial"/>
        </w:rPr>
        <w:t>on behalf of itself</w:t>
      </w:r>
    </w:p>
    <w:p w14:paraId="5A297036" w14:textId="77777777" w:rsidR="00D1587D" w:rsidRDefault="00410D07">
      <w:pPr>
        <w:spacing w:line="230" w:lineRule="auto"/>
        <w:ind w:left="3760"/>
        <w:rPr>
          <w:sz w:val="20"/>
          <w:szCs w:val="20"/>
        </w:rPr>
      </w:pPr>
      <w:r>
        <w:rPr>
          <w:rFonts w:ascii="Arial" w:eastAsia="Arial" w:hAnsi="Arial" w:cs="Arial"/>
        </w:rPr>
        <w:t>and the members</w:t>
      </w:r>
    </w:p>
    <w:p w14:paraId="02C2A5A8" w14:textId="77777777" w:rsidR="00D1587D" w:rsidRDefault="00D1587D">
      <w:pPr>
        <w:spacing w:line="1" w:lineRule="exact"/>
        <w:rPr>
          <w:sz w:val="20"/>
          <w:szCs w:val="20"/>
        </w:rPr>
      </w:pPr>
    </w:p>
    <w:p w14:paraId="0059CFF0" w14:textId="77777777" w:rsidR="00D1587D" w:rsidRDefault="00410D07">
      <w:pPr>
        <w:ind w:left="3780"/>
        <w:rPr>
          <w:sz w:val="20"/>
          <w:szCs w:val="20"/>
        </w:rPr>
      </w:pPr>
      <w:r>
        <w:rPr>
          <w:rFonts w:ascii="Arial" w:eastAsia="Arial" w:hAnsi="Arial" w:cs="Arial"/>
        </w:rPr>
        <w:t>of the VS Group</w:t>
      </w:r>
    </w:p>
    <w:p w14:paraId="108ADC9F" w14:textId="77777777" w:rsidR="00D1587D" w:rsidRDefault="00D1587D">
      <w:pPr>
        <w:spacing w:line="215" w:lineRule="exact"/>
        <w:rPr>
          <w:sz w:val="20"/>
          <w:szCs w:val="20"/>
        </w:rPr>
      </w:pPr>
    </w:p>
    <w:p w14:paraId="3A3E6D3D" w14:textId="77777777" w:rsidR="00D1587D" w:rsidRDefault="00410D07">
      <w:pPr>
        <w:ind w:left="3540"/>
        <w:rPr>
          <w:sz w:val="20"/>
          <w:szCs w:val="20"/>
        </w:rPr>
      </w:pPr>
      <w:r>
        <w:rPr>
          <w:rFonts w:ascii="Arial" w:eastAsia="Arial" w:hAnsi="Arial" w:cs="Arial"/>
        </w:rPr>
        <w:t>Dated as of [__], 2021</w:t>
      </w:r>
    </w:p>
    <w:p w14:paraId="07F1908F" w14:textId="77777777" w:rsidR="00D1587D" w:rsidRDefault="00410D07">
      <w:pPr>
        <w:spacing w:line="20" w:lineRule="exact"/>
        <w:rPr>
          <w:sz w:val="20"/>
          <w:szCs w:val="20"/>
        </w:rPr>
      </w:pPr>
      <w:r>
        <w:rPr>
          <w:noProof/>
          <w:sz w:val="20"/>
          <w:szCs w:val="20"/>
        </w:rPr>
        <w:drawing>
          <wp:anchor distT="0" distB="0" distL="114300" distR="114300" simplePos="0" relativeHeight="251292672" behindDoc="1" locked="0" layoutInCell="0" allowOverlap="1" wp14:anchorId="4BA3168E" wp14:editId="4AA52A37">
            <wp:simplePos x="0" y="0"/>
            <wp:positionH relativeFrom="column">
              <wp:posOffset>-705485</wp:posOffset>
            </wp:positionH>
            <wp:positionV relativeFrom="paragraph">
              <wp:posOffset>118745</wp:posOffset>
            </wp:positionV>
            <wp:extent cx="7132320" cy="1714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94377CB" w14:textId="77777777" w:rsidR="00D1587D" w:rsidRDefault="00D1587D">
      <w:pPr>
        <w:sectPr w:rsidR="00D1587D">
          <w:pgSz w:w="11900" w:h="16838"/>
          <w:pgMar w:top="274" w:right="339" w:bottom="1440" w:left="1440" w:header="0" w:footer="0" w:gutter="0"/>
          <w:cols w:space="720" w:equalWidth="0">
            <w:col w:w="10120"/>
          </w:cols>
        </w:sectPr>
      </w:pPr>
    </w:p>
    <w:tbl>
      <w:tblPr>
        <w:tblW w:w="0" w:type="auto"/>
        <w:tblLayout w:type="fixed"/>
        <w:tblCellMar>
          <w:left w:w="0" w:type="dxa"/>
          <w:right w:w="0" w:type="dxa"/>
        </w:tblCellMar>
        <w:tblLook w:val="04A0" w:firstRow="1" w:lastRow="0" w:firstColumn="1" w:lastColumn="0" w:noHBand="0" w:noVBand="1"/>
      </w:tblPr>
      <w:tblGrid>
        <w:gridCol w:w="980"/>
        <w:gridCol w:w="9700"/>
        <w:gridCol w:w="560"/>
      </w:tblGrid>
      <w:tr w:rsidR="00D1587D" w14:paraId="728E460C" w14:textId="77777777">
        <w:trPr>
          <w:trHeight w:val="280"/>
        </w:trPr>
        <w:tc>
          <w:tcPr>
            <w:tcW w:w="980" w:type="dxa"/>
            <w:vAlign w:val="bottom"/>
          </w:tcPr>
          <w:p w14:paraId="0C578948" w14:textId="77777777" w:rsidR="00D1587D" w:rsidRDefault="00D1587D">
            <w:pPr>
              <w:rPr>
                <w:sz w:val="24"/>
                <w:szCs w:val="24"/>
              </w:rPr>
            </w:pPr>
            <w:bookmarkStart w:id="138" w:name="page139"/>
            <w:bookmarkEnd w:id="138"/>
          </w:p>
        </w:tc>
        <w:tc>
          <w:tcPr>
            <w:tcW w:w="9700" w:type="dxa"/>
            <w:vAlign w:val="bottom"/>
          </w:tcPr>
          <w:p w14:paraId="153A3D2A" w14:textId="77777777" w:rsidR="00D1587D" w:rsidRDefault="00410D07">
            <w:pPr>
              <w:ind w:left="3480"/>
              <w:rPr>
                <w:sz w:val="20"/>
                <w:szCs w:val="20"/>
              </w:rPr>
            </w:pPr>
            <w:r>
              <w:rPr>
                <w:rFonts w:ascii="Arial" w:eastAsia="Arial" w:hAnsi="Arial" w:cs="Arial"/>
                <w:b/>
                <w:bCs/>
              </w:rPr>
              <w:t>TABLE OF CONTENTS</w:t>
            </w:r>
          </w:p>
        </w:tc>
        <w:tc>
          <w:tcPr>
            <w:tcW w:w="560" w:type="dxa"/>
            <w:vAlign w:val="bottom"/>
          </w:tcPr>
          <w:p w14:paraId="76493BF6" w14:textId="77777777" w:rsidR="00D1587D" w:rsidRDefault="00D1587D">
            <w:pPr>
              <w:rPr>
                <w:sz w:val="24"/>
                <w:szCs w:val="24"/>
              </w:rPr>
            </w:pPr>
          </w:p>
        </w:tc>
      </w:tr>
      <w:tr w:rsidR="00D1587D" w14:paraId="202CC8AF" w14:textId="77777777">
        <w:trPr>
          <w:trHeight w:val="456"/>
        </w:trPr>
        <w:tc>
          <w:tcPr>
            <w:tcW w:w="980" w:type="dxa"/>
            <w:vAlign w:val="bottom"/>
          </w:tcPr>
          <w:p w14:paraId="572239F6" w14:textId="77777777" w:rsidR="00D1587D" w:rsidRDefault="00D1587D">
            <w:pPr>
              <w:rPr>
                <w:sz w:val="24"/>
                <w:szCs w:val="24"/>
              </w:rPr>
            </w:pPr>
          </w:p>
        </w:tc>
        <w:tc>
          <w:tcPr>
            <w:tcW w:w="9700" w:type="dxa"/>
            <w:vAlign w:val="bottom"/>
          </w:tcPr>
          <w:p w14:paraId="57167918" w14:textId="77777777" w:rsidR="00D1587D" w:rsidRDefault="00D1587D">
            <w:pPr>
              <w:rPr>
                <w:sz w:val="24"/>
                <w:szCs w:val="24"/>
              </w:rPr>
            </w:pPr>
          </w:p>
        </w:tc>
        <w:tc>
          <w:tcPr>
            <w:tcW w:w="560" w:type="dxa"/>
            <w:tcBorders>
              <w:bottom w:val="single" w:sz="8" w:space="0" w:color="auto"/>
            </w:tcBorders>
            <w:vAlign w:val="bottom"/>
          </w:tcPr>
          <w:p w14:paraId="143068AF" w14:textId="77777777" w:rsidR="00D1587D" w:rsidRDefault="00410D07">
            <w:pPr>
              <w:jc w:val="right"/>
              <w:rPr>
                <w:sz w:val="20"/>
                <w:szCs w:val="20"/>
              </w:rPr>
            </w:pPr>
            <w:r>
              <w:rPr>
                <w:rFonts w:ascii="Arial" w:eastAsia="Arial" w:hAnsi="Arial" w:cs="Arial"/>
                <w:sz w:val="18"/>
                <w:szCs w:val="18"/>
              </w:rPr>
              <w:t>P</w:t>
            </w:r>
            <w:r>
              <w:rPr>
                <w:rFonts w:ascii="Arial" w:eastAsia="Arial" w:hAnsi="Arial" w:cs="Arial"/>
                <w:sz w:val="12"/>
                <w:szCs w:val="12"/>
              </w:rPr>
              <w:t>AGE</w:t>
            </w:r>
          </w:p>
        </w:tc>
      </w:tr>
      <w:tr w:rsidR="00D1587D" w14:paraId="0A6BA3DD" w14:textId="77777777">
        <w:trPr>
          <w:trHeight w:val="418"/>
        </w:trPr>
        <w:tc>
          <w:tcPr>
            <w:tcW w:w="980" w:type="dxa"/>
            <w:vAlign w:val="bottom"/>
          </w:tcPr>
          <w:p w14:paraId="711BA382" w14:textId="77777777" w:rsidR="00D1587D" w:rsidRDefault="00410D07">
            <w:pPr>
              <w:rPr>
                <w:sz w:val="20"/>
                <w:szCs w:val="20"/>
              </w:rPr>
            </w:pPr>
            <w:r>
              <w:rPr>
                <w:rFonts w:ascii="Arial" w:eastAsia="Arial" w:hAnsi="Arial" w:cs="Arial"/>
                <w:sz w:val="18"/>
                <w:szCs w:val="18"/>
              </w:rPr>
              <w:t>Section 1.</w:t>
            </w:r>
          </w:p>
        </w:tc>
        <w:tc>
          <w:tcPr>
            <w:tcW w:w="9700" w:type="dxa"/>
            <w:vAlign w:val="bottom"/>
          </w:tcPr>
          <w:p w14:paraId="4C5CAC6F" w14:textId="77777777" w:rsidR="00D1587D" w:rsidRDefault="00410D07">
            <w:pPr>
              <w:ind w:left="160"/>
              <w:rPr>
                <w:sz w:val="20"/>
                <w:szCs w:val="20"/>
              </w:rPr>
            </w:pPr>
            <w:r>
              <w:rPr>
                <w:rFonts w:ascii="Arial" w:eastAsia="Arial" w:hAnsi="Arial" w:cs="Arial"/>
                <w:i/>
                <w:iCs/>
                <w:sz w:val="18"/>
                <w:szCs w:val="18"/>
              </w:rPr>
              <w:t>Definitions</w:t>
            </w:r>
          </w:p>
        </w:tc>
        <w:tc>
          <w:tcPr>
            <w:tcW w:w="560" w:type="dxa"/>
            <w:vAlign w:val="bottom"/>
          </w:tcPr>
          <w:p w14:paraId="1A50020E" w14:textId="77777777" w:rsidR="00D1587D" w:rsidRDefault="00410D07">
            <w:pPr>
              <w:jc w:val="right"/>
              <w:rPr>
                <w:sz w:val="20"/>
                <w:szCs w:val="20"/>
              </w:rPr>
            </w:pPr>
            <w:r>
              <w:rPr>
                <w:rFonts w:ascii="Arial" w:eastAsia="Arial" w:hAnsi="Arial" w:cs="Arial"/>
                <w:sz w:val="18"/>
                <w:szCs w:val="18"/>
              </w:rPr>
              <w:t>1</w:t>
            </w:r>
          </w:p>
        </w:tc>
      </w:tr>
      <w:tr w:rsidR="00D1587D" w14:paraId="1EEA0B8A" w14:textId="77777777">
        <w:trPr>
          <w:trHeight w:val="216"/>
        </w:trPr>
        <w:tc>
          <w:tcPr>
            <w:tcW w:w="980" w:type="dxa"/>
            <w:vAlign w:val="bottom"/>
          </w:tcPr>
          <w:p w14:paraId="5E7A016B" w14:textId="77777777" w:rsidR="00D1587D" w:rsidRDefault="00410D07">
            <w:pPr>
              <w:rPr>
                <w:sz w:val="20"/>
                <w:szCs w:val="20"/>
              </w:rPr>
            </w:pPr>
            <w:r>
              <w:rPr>
                <w:rFonts w:ascii="Arial" w:eastAsia="Arial" w:hAnsi="Arial" w:cs="Arial"/>
                <w:sz w:val="18"/>
                <w:szCs w:val="18"/>
              </w:rPr>
              <w:t>Section 2.</w:t>
            </w:r>
          </w:p>
        </w:tc>
        <w:tc>
          <w:tcPr>
            <w:tcW w:w="9700" w:type="dxa"/>
            <w:vAlign w:val="bottom"/>
          </w:tcPr>
          <w:p w14:paraId="09953F30" w14:textId="77777777" w:rsidR="00D1587D" w:rsidRDefault="00410D07">
            <w:pPr>
              <w:ind w:left="160"/>
              <w:rPr>
                <w:sz w:val="20"/>
                <w:szCs w:val="20"/>
              </w:rPr>
            </w:pPr>
            <w:r>
              <w:rPr>
                <w:rFonts w:ascii="Arial" w:eastAsia="Arial" w:hAnsi="Arial" w:cs="Arial"/>
                <w:i/>
                <w:iCs/>
                <w:sz w:val="18"/>
                <w:szCs w:val="18"/>
              </w:rPr>
              <w:t>Sole Tax Sharing Agreement</w:t>
            </w:r>
          </w:p>
        </w:tc>
        <w:tc>
          <w:tcPr>
            <w:tcW w:w="560" w:type="dxa"/>
            <w:vAlign w:val="bottom"/>
          </w:tcPr>
          <w:p w14:paraId="3DA5DBB2" w14:textId="77777777" w:rsidR="00D1587D" w:rsidRDefault="00410D07">
            <w:pPr>
              <w:jc w:val="right"/>
              <w:rPr>
                <w:sz w:val="20"/>
                <w:szCs w:val="20"/>
              </w:rPr>
            </w:pPr>
            <w:r>
              <w:rPr>
                <w:rFonts w:ascii="Arial" w:eastAsia="Arial" w:hAnsi="Arial" w:cs="Arial"/>
                <w:sz w:val="18"/>
                <w:szCs w:val="18"/>
              </w:rPr>
              <w:t>7</w:t>
            </w:r>
          </w:p>
        </w:tc>
      </w:tr>
      <w:tr w:rsidR="00D1587D" w14:paraId="2326DFF1" w14:textId="77777777">
        <w:trPr>
          <w:trHeight w:val="216"/>
        </w:trPr>
        <w:tc>
          <w:tcPr>
            <w:tcW w:w="980" w:type="dxa"/>
            <w:vAlign w:val="bottom"/>
          </w:tcPr>
          <w:p w14:paraId="13C978BD" w14:textId="77777777" w:rsidR="00D1587D" w:rsidRDefault="00410D07">
            <w:pPr>
              <w:rPr>
                <w:sz w:val="20"/>
                <w:szCs w:val="20"/>
              </w:rPr>
            </w:pPr>
            <w:r>
              <w:rPr>
                <w:rFonts w:ascii="Arial" w:eastAsia="Arial" w:hAnsi="Arial" w:cs="Arial"/>
                <w:sz w:val="18"/>
                <w:szCs w:val="18"/>
              </w:rPr>
              <w:t>Section 3.</w:t>
            </w:r>
          </w:p>
        </w:tc>
        <w:tc>
          <w:tcPr>
            <w:tcW w:w="9700" w:type="dxa"/>
            <w:vAlign w:val="bottom"/>
          </w:tcPr>
          <w:p w14:paraId="3329A8B4" w14:textId="77777777" w:rsidR="00D1587D" w:rsidRDefault="00410D07">
            <w:pPr>
              <w:ind w:left="160"/>
              <w:rPr>
                <w:sz w:val="20"/>
                <w:szCs w:val="20"/>
              </w:rPr>
            </w:pPr>
            <w:r>
              <w:rPr>
                <w:rFonts w:ascii="Arial" w:eastAsia="Arial" w:hAnsi="Arial" w:cs="Arial"/>
                <w:i/>
                <w:iCs/>
                <w:sz w:val="18"/>
                <w:szCs w:val="18"/>
              </w:rPr>
              <w:t>Allocation of Taxes</w:t>
            </w:r>
          </w:p>
        </w:tc>
        <w:tc>
          <w:tcPr>
            <w:tcW w:w="560" w:type="dxa"/>
            <w:vAlign w:val="bottom"/>
          </w:tcPr>
          <w:p w14:paraId="6039C426" w14:textId="77777777" w:rsidR="00D1587D" w:rsidRDefault="00410D07">
            <w:pPr>
              <w:jc w:val="right"/>
              <w:rPr>
                <w:sz w:val="20"/>
                <w:szCs w:val="20"/>
              </w:rPr>
            </w:pPr>
            <w:r>
              <w:rPr>
                <w:rFonts w:ascii="Arial" w:eastAsia="Arial" w:hAnsi="Arial" w:cs="Arial"/>
                <w:sz w:val="18"/>
                <w:szCs w:val="18"/>
              </w:rPr>
              <w:t>8</w:t>
            </w:r>
          </w:p>
        </w:tc>
      </w:tr>
      <w:tr w:rsidR="00D1587D" w14:paraId="51FCBF71" w14:textId="77777777">
        <w:trPr>
          <w:trHeight w:val="216"/>
        </w:trPr>
        <w:tc>
          <w:tcPr>
            <w:tcW w:w="980" w:type="dxa"/>
            <w:vAlign w:val="bottom"/>
          </w:tcPr>
          <w:p w14:paraId="2569D6E0" w14:textId="77777777" w:rsidR="00D1587D" w:rsidRDefault="00410D07">
            <w:pPr>
              <w:rPr>
                <w:sz w:val="20"/>
                <w:szCs w:val="20"/>
              </w:rPr>
            </w:pPr>
            <w:r>
              <w:rPr>
                <w:rFonts w:ascii="Arial" w:eastAsia="Arial" w:hAnsi="Arial" w:cs="Arial"/>
                <w:sz w:val="18"/>
                <w:szCs w:val="18"/>
              </w:rPr>
              <w:t>Section 4.</w:t>
            </w:r>
          </w:p>
        </w:tc>
        <w:tc>
          <w:tcPr>
            <w:tcW w:w="9700" w:type="dxa"/>
            <w:vAlign w:val="bottom"/>
          </w:tcPr>
          <w:p w14:paraId="68651D4C" w14:textId="77777777" w:rsidR="00D1587D" w:rsidRDefault="00410D07">
            <w:pPr>
              <w:ind w:left="160"/>
              <w:rPr>
                <w:sz w:val="20"/>
                <w:szCs w:val="20"/>
              </w:rPr>
            </w:pPr>
            <w:r>
              <w:rPr>
                <w:rFonts w:ascii="Arial" w:eastAsia="Arial" w:hAnsi="Arial" w:cs="Arial"/>
                <w:i/>
                <w:iCs/>
                <w:sz w:val="18"/>
                <w:szCs w:val="18"/>
              </w:rPr>
              <w:t>Preparation and Filing of Tax Returns</w:t>
            </w:r>
          </w:p>
        </w:tc>
        <w:tc>
          <w:tcPr>
            <w:tcW w:w="560" w:type="dxa"/>
            <w:vAlign w:val="bottom"/>
          </w:tcPr>
          <w:p w14:paraId="0A21E938" w14:textId="77777777" w:rsidR="00D1587D" w:rsidRDefault="00410D07">
            <w:pPr>
              <w:jc w:val="right"/>
              <w:rPr>
                <w:sz w:val="20"/>
                <w:szCs w:val="20"/>
              </w:rPr>
            </w:pPr>
            <w:r>
              <w:rPr>
                <w:rFonts w:ascii="Arial" w:eastAsia="Arial" w:hAnsi="Arial" w:cs="Arial"/>
                <w:sz w:val="18"/>
                <w:szCs w:val="18"/>
              </w:rPr>
              <w:t>9</w:t>
            </w:r>
          </w:p>
        </w:tc>
      </w:tr>
      <w:tr w:rsidR="00D1587D" w14:paraId="5AE0660F" w14:textId="77777777">
        <w:trPr>
          <w:trHeight w:val="216"/>
        </w:trPr>
        <w:tc>
          <w:tcPr>
            <w:tcW w:w="980" w:type="dxa"/>
            <w:vAlign w:val="bottom"/>
          </w:tcPr>
          <w:p w14:paraId="6849316F" w14:textId="77777777" w:rsidR="00D1587D" w:rsidRDefault="00410D07">
            <w:pPr>
              <w:rPr>
                <w:sz w:val="20"/>
                <w:szCs w:val="20"/>
              </w:rPr>
            </w:pPr>
            <w:r>
              <w:rPr>
                <w:rFonts w:ascii="Arial" w:eastAsia="Arial" w:hAnsi="Arial" w:cs="Arial"/>
                <w:sz w:val="18"/>
                <w:szCs w:val="18"/>
              </w:rPr>
              <w:t>Section 5.</w:t>
            </w:r>
          </w:p>
        </w:tc>
        <w:tc>
          <w:tcPr>
            <w:tcW w:w="9700" w:type="dxa"/>
            <w:vAlign w:val="bottom"/>
          </w:tcPr>
          <w:p w14:paraId="5AFA51EE" w14:textId="77777777" w:rsidR="00D1587D" w:rsidRDefault="00410D07">
            <w:pPr>
              <w:ind w:left="160"/>
              <w:rPr>
                <w:sz w:val="20"/>
                <w:szCs w:val="20"/>
              </w:rPr>
            </w:pPr>
            <w:r>
              <w:rPr>
                <w:rFonts w:ascii="Arial" w:eastAsia="Arial" w:hAnsi="Arial" w:cs="Arial"/>
                <w:i/>
                <w:iCs/>
                <w:sz w:val="18"/>
                <w:szCs w:val="18"/>
              </w:rPr>
              <w:t>Apportionment of Earnings and Profits and Tax Attributes</w:t>
            </w:r>
          </w:p>
        </w:tc>
        <w:tc>
          <w:tcPr>
            <w:tcW w:w="560" w:type="dxa"/>
            <w:vAlign w:val="bottom"/>
          </w:tcPr>
          <w:p w14:paraId="5025F2CC" w14:textId="77777777" w:rsidR="00D1587D" w:rsidRDefault="00410D07">
            <w:pPr>
              <w:jc w:val="right"/>
              <w:rPr>
                <w:sz w:val="20"/>
                <w:szCs w:val="20"/>
              </w:rPr>
            </w:pPr>
            <w:r>
              <w:rPr>
                <w:rFonts w:ascii="Arial" w:eastAsia="Arial" w:hAnsi="Arial" w:cs="Arial"/>
                <w:sz w:val="18"/>
                <w:szCs w:val="18"/>
              </w:rPr>
              <w:t>12</w:t>
            </w:r>
          </w:p>
        </w:tc>
      </w:tr>
      <w:tr w:rsidR="00D1587D" w14:paraId="25041F6C" w14:textId="77777777">
        <w:trPr>
          <w:trHeight w:val="216"/>
        </w:trPr>
        <w:tc>
          <w:tcPr>
            <w:tcW w:w="980" w:type="dxa"/>
            <w:vAlign w:val="bottom"/>
          </w:tcPr>
          <w:p w14:paraId="6DB82124" w14:textId="77777777" w:rsidR="00D1587D" w:rsidRDefault="00410D07">
            <w:pPr>
              <w:rPr>
                <w:sz w:val="20"/>
                <w:szCs w:val="20"/>
              </w:rPr>
            </w:pPr>
            <w:r>
              <w:rPr>
                <w:rFonts w:ascii="Arial" w:eastAsia="Arial" w:hAnsi="Arial" w:cs="Arial"/>
                <w:sz w:val="18"/>
                <w:szCs w:val="18"/>
              </w:rPr>
              <w:t>Section 6.</w:t>
            </w:r>
          </w:p>
        </w:tc>
        <w:tc>
          <w:tcPr>
            <w:tcW w:w="9700" w:type="dxa"/>
            <w:vAlign w:val="bottom"/>
          </w:tcPr>
          <w:p w14:paraId="4BDC5E29" w14:textId="77777777" w:rsidR="00D1587D" w:rsidRDefault="00410D07">
            <w:pPr>
              <w:ind w:left="160"/>
              <w:rPr>
                <w:sz w:val="20"/>
                <w:szCs w:val="20"/>
              </w:rPr>
            </w:pPr>
            <w:r>
              <w:rPr>
                <w:rFonts w:ascii="Arial" w:eastAsia="Arial" w:hAnsi="Arial" w:cs="Arial"/>
                <w:i/>
                <w:iCs/>
                <w:sz w:val="18"/>
                <w:szCs w:val="18"/>
              </w:rPr>
              <w:t>Utilization of Tax Attributes</w:t>
            </w:r>
          </w:p>
        </w:tc>
        <w:tc>
          <w:tcPr>
            <w:tcW w:w="560" w:type="dxa"/>
            <w:vAlign w:val="bottom"/>
          </w:tcPr>
          <w:p w14:paraId="60151CF0" w14:textId="77777777" w:rsidR="00D1587D" w:rsidRDefault="00410D07">
            <w:pPr>
              <w:jc w:val="right"/>
              <w:rPr>
                <w:sz w:val="20"/>
                <w:szCs w:val="20"/>
              </w:rPr>
            </w:pPr>
            <w:r>
              <w:rPr>
                <w:rFonts w:ascii="Arial" w:eastAsia="Arial" w:hAnsi="Arial" w:cs="Arial"/>
                <w:sz w:val="18"/>
                <w:szCs w:val="18"/>
              </w:rPr>
              <w:t>12</w:t>
            </w:r>
          </w:p>
        </w:tc>
      </w:tr>
      <w:tr w:rsidR="00D1587D" w14:paraId="2225D8DC" w14:textId="77777777">
        <w:trPr>
          <w:trHeight w:val="216"/>
        </w:trPr>
        <w:tc>
          <w:tcPr>
            <w:tcW w:w="980" w:type="dxa"/>
            <w:vAlign w:val="bottom"/>
          </w:tcPr>
          <w:p w14:paraId="2A362BDB" w14:textId="77777777" w:rsidR="00D1587D" w:rsidRDefault="00410D07">
            <w:pPr>
              <w:rPr>
                <w:sz w:val="20"/>
                <w:szCs w:val="20"/>
              </w:rPr>
            </w:pPr>
            <w:r>
              <w:rPr>
                <w:rFonts w:ascii="Arial" w:eastAsia="Arial" w:hAnsi="Arial" w:cs="Arial"/>
                <w:sz w:val="18"/>
                <w:szCs w:val="18"/>
              </w:rPr>
              <w:t>Section 7.</w:t>
            </w:r>
          </w:p>
        </w:tc>
        <w:tc>
          <w:tcPr>
            <w:tcW w:w="9700" w:type="dxa"/>
            <w:vAlign w:val="bottom"/>
          </w:tcPr>
          <w:p w14:paraId="7B3D3E2E" w14:textId="77777777" w:rsidR="00D1587D" w:rsidRDefault="00410D07">
            <w:pPr>
              <w:ind w:left="160"/>
              <w:rPr>
                <w:sz w:val="20"/>
                <w:szCs w:val="20"/>
              </w:rPr>
            </w:pPr>
            <w:r>
              <w:rPr>
                <w:rFonts w:ascii="Arial" w:eastAsia="Arial" w:hAnsi="Arial" w:cs="Arial"/>
                <w:i/>
                <w:iCs/>
                <w:sz w:val="18"/>
                <w:szCs w:val="18"/>
              </w:rPr>
              <w:t>Deductions and Reporting for Certain Awards</w:t>
            </w:r>
          </w:p>
        </w:tc>
        <w:tc>
          <w:tcPr>
            <w:tcW w:w="560" w:type="dxa"/>
            <w:vAlign w:val="bottom"/>
          </w:tcPr>
          <w:p w14:paraId="778771CE" w14:textId="77777777" w:rsidR="00D1587D" w:rsidRDefault="00410D07">
            <w:pPr>
              <w:jc w:val="right"/>
              <w:rPr>
                <w:sz w:val="20"/>
                <w:szCs w:val="20"/>
              </w:rPr>
            </w:pPr>
            <w:r>
              <w:rPr>
                <w:rFonts w:ascii="Arial" w:eastAsia="Arial" w:hAnsi="Arial" w:cs="Arial"/>
                <w:sz w:val="18"/>
                <w:szCs w:val="18"/>
              </w:rPr>
              <w:t>13</w:t>
            </w:r>
          </w:p>
        </w:tc>
      </w:tr>
      <w:tr w:rsidR="00D1587D" w14:paraId="1BF6FA9B" w14:textId="77777777">
        <w:trPr>
          <w:trHeight w:val="216"/>
        </w:trPr>
        <w:tc>
          <w:tcPr>
            <w:tcW w:w="980" w:type="dxa"/>
            <w:vAlign w:val="bottom"/>
          </w:tcPr>
          <w:p w14:paraId="20FD2E7D" w14:textId="77777777" w:rsidR="00D1587D" w:rsidRDefault="00410D07">
            <w:pPr>
              <w:rPr>
                <w:sz w:val="20"/>
                <w:szCs w:val="20"/>
              </w:rPr>
            </w:pPr>
            <w:r>
              <w:rPr>
                <w:rFonts w:ascii="Arial" w:eastAsia="Arial" w:hAnsi="Arial" w:cs="Arial"/>
                <w:sz w:val="18"/>
                <w:szCs w:val="18"/>
              </w:rPr>
              <w:t>Section 8.</w:t>
            </w:r>
          </w:p>
        </w:tc>
        <w:tc>
          <w:tcPr>
            <w:tcW w:w="9700" w:type="dxa"/>
            <w:vAlign w:val="bottom"/>
          </w:tcPr>
          <w:p w14:paraId="2BED3E96" w14:textId="77777777" w:rsidR="00D1587D" w:rsidRDefault="00410D07">
            <w:pPr>
              <w:ind w:left="160"/>
              <w:rPr>
                <w:sz w:val="20"/>
                <w:szCs w:val="20"/>
              </w:rPr>
            </w:pPr>
            <w:r>
              <w:rPr>
                <w:rFonts w:ascii="Arial" w:eastAsia="Arial" w:hAnsi="Arial" w:cs="Arial"/>
                <w:i/>
                <w:iCs/>
                <w:sz w:val="18"/>
                <w:szCs w:val="18"/>
              </w:rPr>
              <w:t xml:space="preserve">Tax </w:t>
            </w:r>
            <w:r>
              <w:rPr>
                <w:rFonts w:ascii="Arial" w:eastAsia="Arial" w:hAnsi="Arial" w:cs="Arial"/>
                <w:i/>
                <w:iCs/>
                <w:sz w:val="18"/>
                <w:szCs w:val="18"/>
              </w:rPr>
              <w:t>Benefits</w:t>
            </w:r>
          </w:p>
        </w:tc>
        <w:tc>
          <w:tcPr>
            <w:tcW w:w="560" w:type="dxa"/>
            <w:vAlign w:val="bottom"/>
          </w:tcPr>
          <w:p w14:paraId="4786DDC7" w14:textId="77777777" w:rsidR="00D1587D" w:rsidRDefault="00410D07">
            <w:pPr>
              <w:jc w:val="right"/>
              <w:rPr>
                <w:sz w:val="20"/>
                <w:szCs w:val="20"/>
              </w:rPr>
            </w:pPr>
            <w:r>
              <w:rPr>
                <w:rFonts w:ascii="Arial" w:eastAsia="Arial" w:hAnsi="Arial" w:cs="Arial"/>
                <w:sz w:val="18"/>
                <w:szCs w:val="18"/>
              </w:rPr>
              <w:t>14</w:t>
            </w:r>
          </w:p>
        </w:tc>
      </w:tr>
      <w:tr w:rsidR="00D1587D" w14:paraId="1AB64723" w14:textId="77777777">
        <w:trPr>
          <w:trHeight w:val="216"/>
        </w:trPr>
        <w:tc>
          <w:tcPr>
            <w:tcW w:w="980" w:type="dxa"/>
            <w:vAlign w:val="bottom"/>
          </w:tcPr>
          <w:p w14:paraId="6CF8C195" w14:textId="77777777" w:rsidR="00D1587D" w:rsidRDefault="00410D07">
            <w:pPr>
              <w:rPr>
                <w:sz w:val="20"/>
                <w:szCs w:val="20"/>
              </w:rPr>
            </w:pPr>
            <w:r>
              <w:rPr>
                <w:rFonts w:ascii="Arial" w:eastAsia="Arial" w:hAnsi="Arial" w:cs="Arial"/>
                <w:sz w:val="18"/>
                <w:szCs w:val="18"/>
              </w:rPr>
              <w:t>Section 9.</w:t>
            </w:r>
          </w:p>
        </w:tc>
        <w:tc>
          <w:tcPr>
            <w:tcW w:w="9700" w:type="dxa"/>
            <w:vAlign w:val="bottom"/>
          </w:tcPr>
          <w:p w14:paraId="1E275097" w14:textId="77777777" w:rsidR="00D1587D" w:rsidRDefault="00410D07">
            <w:pPr>
              <w:ind w:left="160"/>
              <w:rPr>
                <w:sz w:val="20"/>
                <w:szCs w:val="20"/>
              </w:rPr>
            </w:pPr>
            <w:r>
              <w:rPr>
                <w:rFonts w:ascii="Arial" w:eastAsia="Arial" w:hAnsi="Arial" w:cs="Arial"/>
                <w:i/>
                <w:iCs/>
                <w:sz w:val="18"/>
                <w:szCs w:val="18"/>
              </w:rPr>
              <w:t>Certain Representations and Covenants</w:t>
            </w:r>
          </w:p>
        </w:tc>
        <w:tc>
          <w:tcPr>
            <w:tcW w:w="560" w:type="dxa"/>
            <w:vAlign w:val="bottom"/>
          </w:tcPr>
          <w:p w14:paraId="654B7437" w14:textId="77777777" w:rsidR="00D1587D" w:rsidRDefault="00410D07">
            <w:pPr>
              <w:jc w:val="right"/>
              <w:rPr>
                <w:sz w:val="20"/>
                <w:szCs w:val="20"/>
              </w:rPr>
            </w:pPr>
            <w:r>
              <w:rPr>
                <w:rFonts w:ascii="Arial" w:eastAsia="Arial" w:hAnsi="Arial" w:cs="Arial"/>
                <w:sz w:val="18"/>
                <w:szCs w:val="18"/>
              </w:rPr>
              <w:t>15</w:t>
            </w:r>
          </w:p>
        </w:tc>
      </w:tr>
      <w:tr w:rsidR="00D1587D" w14:paraId="3D4BABDD" w14:textId="77777777">
        <w:trPr>
          <w:trHeight w:val="216"/>
        </w:trPr>
        <w:tc>
          <w:tcPr>
            <w:tcW w:w="980" w:type="dxa"/>
            <w:vAlign w:val="bottom"/>
          </w:tcPr>
          <w:p w14:paraId="5DD3C56E" w14:textId="77777777" w:rsidR="00D1587D" w:rsidRDefault="00410D07">
            <w:pPr>
              <w:rPr>
                <w:sz w:val="20"/>
                <w:szCs w:val="20"/>
              </w:rPr>
            </w:pPr>
            <w:r>
              <w:rPr>
                <w:rFonts w:ascii="Arial" w:eastAsia="Arial" w:hAnsi="Arial" w:cs="Arial"/>
                <w:sz w:val="18"/>
                <w:szCs w:val="18"/>
              </w:rPr>
              <w:t>Section 10.</w:t>
            </w:r>
          </w:p>
        </w:tc>
        <w:tc>
          <w:tcPr>
            <w:tcW w:w="9700" w:type="dxa"/>
            <w:vAlign w:val="bottom"/>
          </w:tcPr>
          <w:p w14:paraId="204A0440" w14:textId="77777777" w:rsidR="00D1587D" w:rsidRDefault="00410D07">
            <w:pPr>
              <w:ind w:left="160"/>
              <w:rPr>
                <w:sz w:val="20"/>
                <w:szCs w:val="20"/>
              </w:rPr>
            </w:pPr>
            <w:r>
              <w:rPr>
                <w:rFonts w:ascii="Arial" w:eastAsia="Arial" w:hAnsi="Arial" w:cs="Arial"/>
                <w:i/>
                <w:iCs/>
                <w:sz w:val="18"/>
                <w:szCs w:val="18"/>
              </w:rPr>
              <w:t>Tax Receivables Arrangements</w:t>
            </w:r>
          </w:p>
        </w:tc>
        <w:tc>
          <w:tcPr>
            <w:tcW w:w="560" w:type="dxa"/>
            <w:vAlign w:val="bottom"/>
          </w:tcPr>
          <w:p w14:paraId="5291C552" w14:textId="77777777" w:rsidR="00D1587D" w:rsidRDefault="00410D07">
            <w:pPr>
              <w:jc w:val="right"/>
              <w:rPr>
                <w:sz w:val="20"/>
                <w:szCs w:val="20"/>
              </w:rPr>
            </w:pPr>
            <w:r>
              <w:rPr>
                <w:rFonts w:ascii="Arial" w:eastAsia="Arial" w:hAnsi="Arial" w:cs="Arial"/>
                <w:sz w:val="18"/>
                <w:szCs w:val="18"/>
              </w:rPr>
              <w:t>18</w:t>
            </w:r>
          </w:p>
        </w:tc>
      </w:tr>
      <w:tr w:rsidR="00D1587D" w14:paraId="15ED1EF8" w14:textId="77777777">
        <w:trPr>
          <w:trHeight w:val="216"/>
        </w:trPr>
        <w:tc>
          <w:tcPr>
            <w:tcW w:w="980" w:type="dxa"/>
            <w:vAlign w:val="bottom"/>
          </w:tcPr>
          <w:p w14:paraId="1B0D054B" w14:textId="77777777" w:rsidR="00D1587D" w:rsidRDefault="00410D07">
            <w:pPr>
              <w:rPr>
                <w:sz w:val="20"/>
                <w:szCs w:val="20"/>
              </w:rPr>
            </w:pPr>
            <w:r>
              <w:rPr>
                <w:rFonts w:ascii="Arial" w:eastAsia="Arial" w:hAnsi="Arial" w:cs="Arial"/>
                <w:sz w:val="18"/>
                <w:szCs w:val="18"/>
              </w:rPr>
              <w:t>Section 11.</w:t>
            </w:r>
          </w:p>
        </w:tc>
        <w:tc>
          <w:tcPr>
            <w:tcW w:w="9700" w:type="dxa"/>
            <w:vAlign w:val="bottom"/>
          </w:tcPr>
          <w:p w14:paraId="5D90D713" w14:textId="77777777" w:rsidR="00D1587D" w:rsidRDefault="00410D07">
            <w:pPr>
              <w:ind w:left="160"/>
              <w:rPr>
                <w:sz w:val="20"/>
                <w:szCs w:val="20"/>
              </w:rPr>
            </w:pPr>
            <w:r>
              <w:rPr>
                <w:rFonts w:ascii="Arial" w:eastAsia="Arial" w:hAnsi="Arial" w:cs="Arial"/>
                <w:i/>
                <w:iCs/>
                <w:sz w:val="18"/>
                <w:szCs w:val="18"/>
              </w:rPr>
              <w:t>Indemnities</w:t>
            </w:r>
          </w:p>
        </w:tc>
        <w:tc>
          <w:tcPr>
            <w:tcW w:w="560" w:type="dxa"/>
            <w:vAlign w:val="bottom"/>
          </w:tcPr>
          <w:p w14:paraId="1897E306" w14:textId="77777777" w:rsidR="00D1587D" w:rsidRDefault="00410D07">
            <w:pPr>
              <w:jc w:val="right"/>
              <w:rPr>
                <w:sz w:val="20"/>
                <w:szCs w:val="20"/>
              </w:rPr>
            </w:pPr>
            <w:r>
              <w:rPr>
                <w:rFonts w:ascii="Arial" w:eastAsia="Arial" w:hAnsi="Arial" w:cs="Arial"/>
                <w:sz w:val="18"/>
                <w:szCs w:val="18"/>
              </w:rPr>
              <w:t>18</w:t>
            </w:r>
          </w:p>
        </w:tc>
      </w:tr>
      <w:tr w:rsidR="00D1587D" w14:paraId="03932F56" w14:textId="77777777">
        <w:trPr>
          <w:trHeight w:val="216"/>
        </w:trPr>
        <w:tc>
          <w:tcPr>
            <w:tcW w:w="980" w:type="dxa"/>
            <w:vAlign w:val="bottom"/>
          </w:tcPr>
          <w:p w14:paraId="44C9D600" w14:textId="77777777" w:rsidR="00D1587D" w:rsidRDefault="00410D07">
            <w:pPr>
              <w:rPr>
                <w:sz w:val="20"/>
                <w:szCs w:val="20"/>
              </w:rPr>
            </w:pPr>
            <w:r>
              <w:rPr>
                <w:rFonts w:ascii="Arial" w:eastAsia="Arial" w:hAnsi="Arial" w:cs="Arial"/>
                <w:sz w:val="18"/>
                <w:szCs w:val="18"/>
              </w:rPr>
              <w:t>Section 12.</w:t>
            </w:r>
          </w:p>
        </w:tc>
        <w:tc>
          <w:tcPr>
            <w:tcW w:w="9700" w:type="dxa"/>
            <w:vAlign w:val="bottom"/>
          </w:tcPr>
          <w:p w14:paraId="0E23A9E6" w14:textId="77777777" w:rsidR="00D1587D" w:rsidRDefault="00410D07">
            <w:pPr>
              <w:ind w:left="160"/>
              <w:rPr>
                <w:sz w:val="20"/>
                <w:szCs w:val="20"/>
              </w:rPr>
            </w:pPr>
            <w:r>
              <w:rPr>
                <w:rFonts w:ascii="Arial" w:eastAsia="Arial" w:hAnsi="Arial" w:cs="Arial"/>
                <w:i/>
                <w:iCs/>
                <w:sz w:val="18"/>
                <w:szCs w:val="18"/>
              </w:rPr>
              <w:t>Payments</w:t>
            </w:r>
          </w:p>
        </w:tc>
        <w:tc>
          <w:tcPr>
            <w:tcW w:w="560" w:type="dxa"/>
            <w:vAlign w:val="bottom"/>
          </w:tcPr>
          <w:p w14:paraId="0939A59D" w14:textId="77777777" w:rsidR="00D1587D" w:rsidRDefault="00410D07">
            <w:pPr>
              <w:jc w:val="right"/>
              <w:rPr>
                <w:sz w:val="20"/>
                <w:szCs w:val="20"/>
              </w:rPr>
            </w:pPr>
            <w:r>
              <w:rPr>
                <w:rFonts w:ascii="Arial" w:eastAsia="Arial" w:hAnsi="Arial" w:cs="Arial"/>
                <w:sz w:val="18"/>
                <w:szCs w:val="18"/>
              </w:rPr>
              <w:t>20</w:t>
            </w:r>
          </w:p>
        </w:tc>
      </w:tr>
      <w:tr w:rsidR="00D1587D" w14:paraId="0DE77178" w14:textId="77777777">
        <w:trPr>
          <w:trHeight w:val="216"/>
        </w:trPr>
        <w:tc>
          <w:tcPr>
            <w:tcW w:w="980" w:type="dxa"/>
            <w:vAlign w:val="bottom"/>
          </w:tcPr>
          <w:p w14:paraId="408BABAB" w14:textId="77777777" w:rsidR="00D1587D" w:rsidRDefault="00410D07">
            <w:pPr>
              <w:rPr>
                <w:sz w:val="20"/>
                <w:szCs w:val="20"/>
              </w:rPr>
            </w:pPr>
            <w:r>
              <w:rPr>
                <w:rFonts w:ascii="Arial" w:eastAsia="Arial" w:hAnsi="Arial" w:cs="Arial"/>
                <w:sz w:val="18"/>
                <w:szCs w:val="18"/>
              </w:rPr>
              <w:t>Section 13.</w:t>
            </w:r>
          </w:p>
        </w:tc>
        <w:tc>
          <w:tcPr>
            <w:tcW w:w="9700" w:type="dxa"/>
            <w:vAlign w:val="bottom"/>
          </w:tcPr>
          <w:p w14:paraId="49458627" w14:textId="77777777" w:rsidR="00D1587D" w:rsidRDefault="00410D07">
            <w:pPr>
              <w:ind w:left="160"/>
              <w:rPr>
                <w:sz w:val="20"/>
                <w:szCs w:val="20"/>
              </w:rPr>
            </w:pPr>
            <w:r>
              <w:rPr>
                <w:rFonts w:ascii="Arial" w:eastAsia="Arial" w:hAnsi="Arial" w:cs="Arial"/>
                <w:i/>
                <w:iCs/>
                <w:sz w:val="18"/>
                <w:szCs w:val="18"/>
              </w:rPr>
              <w:t>Guarantees</w:t>
            </w:r>
          </w:p>
        </w:tc>
        <w:tc>
          <w:tcPr>
            <w:tcW w:w="560" w:type="dxa"/>
            <w:vAlign w:val="bottom"/>
          </w:tcPr>
          <w:p w14:paraId="0B386781" w14:textId="77777777" w:rsidR="00D1587D" w:rsidRDefault="00410D07">
            <w:pPr>
              <w:jc w:val="right"/>
              <w:rPr>
                <w:sz w:val="20"/>
                <w:szCs w:val="20"/>
              </w:rPr>
            </w:pPr>
            <w:r>
              <w:rPr>
                <w:rFonts w:ascii="Arial" w:eastAsia="Arial" w:hAnsi="Arial" w:cs="Arial"/>
                <w:sz w:val="18"/>
                <w:szCs w:val="18"/>
              </w:rPr>
              <w:t>21</w:t>
            </w:r>
          </w:p>
        </w:tc>
      </w:tr>
      <w:tr w:rsidR="00D1587D" w14:paraId="325C8881" w14:textId="77777777">
        <w:trPr>
          <w:trHeight w:val="216"/>
        </w:trPr>
        <w:tc>
          <w:tcPr>
            <w:tcW w:w="980" w:type="dxa"/>
            <w:vAlign w:val="bottom"/>
          </w:tcPr>
          <w:p w14:paraId="02F8C584" w14:textId="77777777" w:rsidR="00D1587D" w:rsidRDefault="00410D07">
            <w:pPr>
              <w:rPr>
                <w:sz w:val="20"/>
                <w:szCs w:val="20"/>
              </w:rPr>
            </w:pPr>
            <w:r>
              <w:rPr>
                <w:rFonts w:ascii="Arial" w:eastAsia="Arial" w:hAnsi="Arial" w:cs="Arial"/>
                <w:sz w:val="18"/>
                <w:szCs w:val="18"/>
              </w:rPr>
              <w:t>Section 14.</w:t>
            </w:r>
          </w:p>
        </w:tc>
        <w:tc>
          <w:tcPr>
            <w:tcW w:w="9700" w:type="dxa"/>
            <w:vAlign w:val="bottom"/>
          </w:tcPr>
          <w:p w14:paraId="1CBDFFEB" w14:textId="77777777" w:rsidR="00D1587D" w:rsidRDefault="00410D07">
            <w:pPr>
              <w:ind w:left="160"/>
              <w:rPr>
                <w:sz w:val="20"/>
                <w:szCs w:val="20"/>
              </w:rPr>
            </w:pPr>
            <w:r>
              <w:rPr>
                <w:rFonts w:ascii="Arial" w:eastAsia="Arial" w:hAnsi="Arial" w:cs="Arial"/>
                <w:i/>
                <w:iCs/>
                <w:sz w:val="18"/>
                <w:szCs w:val="18"/>
              </w:rPr>
              <w:t>Communication and Cooperation</w:t>
            </w:r>
          </w:p>
        </w:tc>
        <w:tc>
          <w:tcPr>
            <w:tcW w:w="560" w:type="dxa"/>
            <w:vAlign w:val="bottom"/>
          </w:tcPr>
          <w:p w14:paraId="400F9F3C" w14:textId="77777777" w:rsidR="00D1587D" w:rsidRDefault="00410D07">
            <w:pPr>
              <w:jc w:val="right"/>
              <w:rPr>
                <w:sz w:val="20"/>
                <w:szCs w:val="20"/>
              </w:rPr>
            </w:pPr>
            <w:r>
              <w:rPr>
                <w:rFonts w:ascii="Arial" w:eastAsia="Arial" w:hAnsi="Arial" w:cs="Arial"/>
                <w:sz w:val="18"/>
                <w:szCs w:val="18"/>
              </w:rPr>
              <w:t>21</w:t>
            </w:r>
          </w:p>
        </w:tc>
      </w:tr>
      <w:tr w:rsidR="00D1587D" w14:paraId="29FA8B7A" w14:textId="77777777">
        <w:trPr>
          <w:trHeight w:val="216"/>
        </w:trPr>
        <w:tc>
          <w:tcPr>
            <w:tcW w:w="980" w:type="dxa"/>
            <w:vAlign w:val="bottom"/>
          </w:tcPr>
          <w:p w14:paraId="22ED9030" w14:textId="77777777" w:rsidR="00D1587D" w:rsidRDefault="00410D07">
            <w:pPr>
              <w:rPr>
                <w:sz w:val="20"/>
                <w:szCs w:val="20"/>
              </w:rPr>
            </w:pPr>
            <w:r>
              <w:rPr>
                <w:rFonts w:ascii="Arial" w:eastAsia="Arial" w:hAnsi="Arial" w:cs="Arial"/>
                <w:sz w:val="18"/>
                <w:szCs w:val="18"/>
              </w:rPr>
              <w:t>Section 15.</w:t>
            </w:r>
          </w:p>
        </w:tc>
        <w:tc>
          <w:tcPr>
            <w:tcW w:w="9700" w:type="dxa"/>
            <w:vAlign w:val="bottom"/>
          </w:tcPr>
          <w:p w14:paraId="0EC13451" w14:textId="77777777" w:rsidR="00D1587D" w:rsidRDefault="00410D07">
            <w:pPr>
              <w:ind w:left="160"/>
              <w:rPr>
                <w:sz w:val="20"/>
                <w:szCs w:val="20"/>
              </w:rPr>
            </w:pPr>
            <w:r>
              <w:rPr>
                <w:rFonts w:ascii="Arial" w:eastAsia="Arial" w:hAnsi="Arial" w:cs="Arial"/>
                <w:i/>
                <w:iCs/>
                <w:sz w:val="18"/>
                <w:szCs w:val="18"/>
              </w:rPr>
              <w:t>Audits and Contest</w:t>
            </w:r>
          </w:p>
        </w:tc>
        <w:tc>
          <w:tcPr>
            <w:tcW w:w="560" w:type="dxa"/>
            <w:vAlign w:val="bottom"/>
          </w:tcPr>
          <w:p w14:paraId="2500C7B7" w14:textId="77777777" w:rsidR="00D1587D" w:rsidRDefault="00410D07">
            <w:pPr>
              <w:jc w:val="right"/>
              <w:rPr>
                <w:sz w:val="20"/>
                <w:szCs w:val="20"/>
              </w:rPr>
            </w:pPr>
            <w:r>
              <w:rPr>
                <w:rFonts w:ascii="Arial" w:eastAsia="Arial" w:hAnsi="Arial" w:cs="Arial"/>
                <w:sz w:val="18"/>
                <w:szCs w:val="18"/>
              </w:rPr>
              <w:t>22</w:t>
            </w:r>
          </w:p>
        </w:tc>
      </w:tr>
      <w:tr w:rsidR="00D1587D" w14:paraId="349B51DD" w14:textId="77777777">
        <w:trPr>
          <w:trHeight w:val="216"/>
        </w:trPr>
        <w:tc>
          <w:tcPr>
            <w:tcW w:w="980" w:type="dxa"/>
            <w:vAlign w:val="bottom"/>
          </w:tcPr>
          <w:p w14:paraId="0BC5928D" w14:textId="77777777" w:rsidR="00D1587D" w:rsidRDefault="00410D07">
            <w:pPr>
              <w:rPr>
                <w:sz w:val="20"/>
                <w:szCs w:val="20"/>
              </w:rPr>
            </w:pPr>
            <w:r>
              <w:rPr>
                <w:rFonts w:ascii="Arial" w:eastAsia="Arial" w:hAnsi="Arial" w:cs="Arial"/>
                <w:sz w:val="18"/>
                <w:szCs w:val="18"/>
              </w:rPr>
              <w:t>Section 16.</w:t>
            </w:r>
          </w:p>
        </w:tc>
        <w:tc>
          <w:tcPr>
            <w:tcW w:w="9700" w:type="dxa"/>
            <w:vAlign w:val="bottom"/>
          </w:tcPr>
          <w:p w14:paraId="3593ECC9" w14:textId="77777777" w:rsidR="00D1587D" w:rsidRDefault="00410D07">
            <w:pPr>
              <w:ind w:left="160"/>
              <w:rPr>
                <w:sz w:val="20"/>
                <w:szCs w:val="20"/>
              </w:rPr>
            </w:pPr>
            <w:r>
              <w:rPr>
                <w:rFonts w:ascii="Arial" w:eastAsia="Arial" w:hAnsi="Arial" w:cs="Arial"/>
                <w:i/>
                <w:iCs/>
                <w:sz w:val="18"/>
                <w:szCs w:val="18"/>
              </w:rPr>
              <w:t>Notices</w:t>
            </w:r>
          </w:p>
        </w:tc>
        <w:tc>
          <w:tcPr>
            <w:tcW w:w="560" w:type="dxa"/>
            <w:vAlign w:val="bottom"/>
          </w:tcPr>
          <w:p w14:paraId="06EFB264" w14:textId="77777777" w:rsidR="00D1587D" w:rsidRDefault="00410D07">
            <w:pPr>
              <w:jc w:val="right"/>
              <w:rPr>
                <w:sz w:val="20"/>
                <w:szCs w:val="20"/>
              </w:rPr>
            </w:pPr>
            <w:r>
              <w:rPr>
                <w:rFonts w:ascii="Arial" w:eastAsia="Arial" w:hAnsi="Arial" w:cs="Arial"/>
                <w:sz w:val="18"/>
                <w:szCs w:val="18"/>
              </w:rPr>
              <w:t>23</w:t>
            </w:r>
          </w:p>
        </w:tc>
      </w:tr>
      <w:tr w:rsidR="00D1587D" w14:paraId="467154C4" w14:textId="77777777">
        <w:trPr>
          <w:trHeight w:val="216"/>
        </w:trPr>
        <w:tc>
          <w:tcPr>
            <w:tcW w:w="980" w:type="dxa"/>
            <w:vAlign w:val="bottom"/>
          </w:tcPr>
          <w:p w14:paraId="45A05337" w14:textId="77777777" w:rsidR="00D1587D" w:rsidRDefault="00410D07">
            <w:pPr>
              <w:rPr>
                <w:sz w:val="20"/>
                <w:szCs w:val="20"/>
              </w:rPr>
            </w:pPr>
            <w:r>
              <w:rPr>
                <w:rFonts w:ascii="Arial" w:eastAsia="Arial" w:hAnsi="Arial" w:cs="Arial"/>
                <w:sz w:val="18"/>
                <w:szCs w:val="18"/>
              </w:rPr>
              <w:t>Section 17.</w:t>
            </w:r>
          </w:p>
        </w:tc>
        <w:tc>
          <w:tcPr>
            <w:tcW w:w="9700" w:type="dxa"/>
            <w:vAlign w:val="bottom"/>
          </w:tcPr>
          <w:p w14:paraId="32A54D35" w14:textId="77777777" w:rsidR="00D1587D" w:rsidRDefault="00410D07">
            <w:pPr>
              <w:ind w:left="160"/>
              <w:rPr>
                <w:sz w:val="20"/>
                <w:szCs w:val="20"/>
              </w:rPr>
            </w:pPr>
            <w:r>
              <w:rPr>
                <w:rFonts w:ascii="Arial" w:eastAsia="Arial" w:hAnsi="Arial" w:cs="Arial"/>
                <w:i/>
                <w:iCs/>
                <w:sz w:val="18"/>
                <w:szCs w:val="18"/>
              </w:rPr>
              <w:t>Costs and Expenses</w:t>
            </w:r>
          </w:p>
        </w:tc>
        <w:tc>
          <w:tcPr>
            <w:tcW w:w="560" w:type="dxa"/>
            <w:vAlign w:val="bottom"/>
          </w:tcPr>
          <w:p w14:paraId="0A8FB722" w14:textId="77777777" w:rsidR="00D1587D" w:rsidRDefault="00410D07">
            <w:pPr>
              <w:jc w:val="right"/>
              <w:rPr>
                <w:sz w:val="20"/>
                <w:szCs w:val="20"/>
              </w:rPr>
            </w:pPr>
            <w:r>
              <w:rPr>
                <w:rFonts w:ascii="Arial" w:eastAsia="Arial" w:hAnsi="Arial" w:cs="Arial"/>
                <w:sz w:val="18"/>
                <w:szCs w:val="18"/>
              </w:rPr>
              <w:t>24</w:t>
            </w:r>
          </w:p>
        </w:tc>
      </w:tr>
      <w:tr w:rsidR="00D1587D" w14:paraId="2BAAE869" w14:textId="77777777">
        <w:trPr>
          <w:trHeight w:val="216"/>
        </w:trPr>
        <w:tc>
          <w:tcPr>
            <w:tcW w:w="980" w:type="dxa"/>
            <w:vAlign w:val="bottom"/>
          </w:tcPr>
          <w:p w14:paraId="04CDACA3" w14:textId="77777777" w:rsidR="00D1587D" w:rsidRDefault="00410D07">
            <w:pPr>
              <w:rPr>
                <w:sz w:val="20"/>
                <w:szCs w:val="20"/>
              </w:rPr>
            </w:pPr>
            <w:r>
              <w:rPr>
                <w:rFonts w:ascii="Arial" w:eastAsia="Arial" w:hAnsi="Arial" w:cs="Arial"/>
                <w:sz w:val="18"/>
                <w:szCs w:val="18"/>
              </w:rPr>
              <w:t>Section 18.</w:t>
            </w:r>
          </w:p>
        </w:tc>
        <w:tc>
          <w:tcPr>
            <w:tcW w:w="9700" w:type="dxa"/>
            <w:vAlign w:val="bottom"/>
          </w:tcPr>
          <w:p w14:paraId="61649CFD" w14:textId="77777777" w:rsidR="00D1587D" w:rsidRDefault="00410D07">
            <w:pPr>
              <w:ind w:left="160"/>
              <w:rPr>
                <w:sz w:val="20"/>
                <w:szCs w:val="20"/>
              </w:rPr>
            </w:pPr>
            <w:r>
              <w:rPr>
                <w:rFonts w:ascii="Arial" w:eastAsia="Arial" w:hAnsi="Arial" w:cs="Arial"/>
                <w:i/>
                <w:iCs/>
                <w:sz w:val="18"/>
                <w:szCs w:val="18"/>
              </w:rPr>
              <w:t>Effectiveness; Termination and Survival</w:t>
            </w:r>
          </w:p>
        </w:tc>
        <w:tc>
          <w:tcPr>
            <w:tcW w:w="560" w:type="dxa"/>
            <w:vAlign w:val="bottom"/>
          </w:tcPr>
          <w:p w14:paraId="6BE78374" w14:textId="77777777" w:rsidR="00D1587D" w:rsidRDefault="00410D07">
            <w:pPr>
              <w:jc w:val="right"/>
              <w:rPr>
                <w:sz w:val="20"/>
                <w:szCs w:val="20"/>
              </w:rPr>
            </w:pPr>
            <w:r>
              <w:rPr>
                <w:rFonts w:ascii="Arial" w:eastAsia="Arial" w:hAnsi="Arial" w:cs="Arial"/>
                <w:sz w:val="18"/>
                <w:szCs w:val="18"/>
              </w:rPr>
              <w:t>24</w:t>
            </w:r>
          </w:p>
        </w:tc>
      </w:tr>
      <w:tr w:rsidR="00D1587D" w14:paraId="518A765A" w14:textId="77777777">
        <w:trPr>
          <w:trHeight w:val="216"/>
        </w:trPr>
        <w:tc>
          <w:tcPr>
            <w:tcW w:w="980" w:type="dxa"/>
            <w:vAlign w:val="bottom"/>
          </w:tcPr>
          <w:p w14:paraId="56A2D3F1" w14:textId="77777777" w:rsidR="00D1587D" w:rsidRDefault="00410D07">
            <w:pPr>
              <w:rPr>
                <w:sz w:val="20"/>
                <w:szCs w:val="20"/>
              </w:rPr>
            </w:pPr>
            <w:r>
              <w:rPr>
                <w:rFonts w:ascii="Arial" w:eastAsia="Arial" w:hAnsi="Arial" w:cs="Arial"/>
                <w:sz w:val="18"/>
                <w:szCs w:val="18"/>
              </w:rPr>
              <w:t>Section 19.</w:t>
            </w:r>
          </w:p>
        </w:tc>
        <w:tc>
          <w:tcPr>
            <w:tcW w:w="9700" w:type="dxa"/>
            <w:vAlign w:val="bottom"/>
          </w:tcPr>
          <w:p w14:paraId="3FA9AF8C" w14:textId="77777777" w:rsidR="00D1587D" w:rsidRDefault="00410D07">
            <w:pPr>
              <w:ind w:left="160"/>
              <w:rPr>
                <w:sz w:val="20"/>
                <w:szCs w:val="20"/>
              </w:rPr>
            </w:pPr>
            <w:r>
              <w:rPr>
                <w:rFonts w:ascii="Arial" w:eastAsia="Arial" w:hAnsi="Arial" w:cs="Arial"/>
                <w:i/>
                <w:iCs/>
                <w:sz w:val="18"/>
                <w:szCs w:val="18"/>
              </w:rPr>
              <w:t>Specific Performance</w:t>
            </w:r>
          </w:p>
        </w:tc>
        <w:tc>
          <w:tcPr>
            <w:tcW w:w="560" w:type="dxa"/>
            <w:vAlign w:val="bottom"/>
          </w:tcPr>
          <w:p w14:paraId="6BC07662" w14:textId="77777777" w:rsidR="00D1587D" w:rsidRDefault="00410D07">
            <w:pPr>
              <w:jc w:val="right"/>
              <w:rPr>
                <w:sz w:val="20"/>
                <w:szCs w:val="20"/>
              </w:rPr>
            </w:pPr>
            <w:r>
              <w:rPr>
                <w:rFonts w:ascii="Arial" w:eastAsia="Arial" w:hAnsi="Arial" w:cs="Arial"/>
                <w:sz w:val="18"/>
                <w:szCs w:val="18"/>
              </w:rPr>
              <w:t>24</w:t>
            </w:r>
          </w:p>
        </w:tc>
      </w:tr>
      <w:tr w:rsidR="00D1587D" w14:paraId="4E3143C9" w14:textId="77777777">
        <w:trPr>
          <w:trHeight w:val="216"/>
        </w:trPr>
        <w:tc>
          <w:tcPr>
            <w:tcW w:w="980" w:type="dxa"/>
            <w:vAlign w:val="bottom"/>
          </w:tcPr>
          <w:p w14:paraId="47EB3223" w14:textId="77777777" w:rsidR="00D1587D" w:rsidRDefault="00410D07">
            <w:pPr>
              <w:rPr>
                <w:sz w:val="20"/>
                <w:szCs w:val="20"/>
              </w:rPr>
            </w:pPr>
            <w:r>
              <w:rPr>
                <w:rFonts w:ascii="Arial" w:eastAsia="Arial" w:hAnsi="Arial" w:cs="Arial"/>
                <w:sz w:val="18"/>
                <w:szCs w:val="18"/>
              </w:rPr>
              <w:t>Section 20.</w:t>
            </w:r>
          </w:p>
        </w:tc>
        <w:tc>
          <w:tcPr>
            <w:tcW w:w="9700" w:type="dxa"/>
            <w:vAlign w:val="bottom"/>
          </w:tcPr>
          <w:p w14:paraId="24EF4195" w14:textId="77777777" w:rsidR="00D1587D" w:rsidRDefault="00410D07">
            <w:pPr>
              <w:ind w:left="160"/>
              <w:rPr>
                <w:sz w:val="20"/>
                <w:szCs w:val="20"/>
              </w:rPr>
            </w:pPr>
            <w:r>
              <w:rPr>
                <w:rFonts w:ascii="Arial" w:eastAsia="Arial" w:hAnsi="Arial" w:cs="Arial"/>
                <w:i/>
                <w:iCs/>
                <w:sz w:val="18"/>
                <w:szCs w:val="18"/>
              </w:rPr>
              <w:t>Construction.</w:t>
            </w:r>
          </w:p>
        </w:tc>
        <w:tc>
          <w:tcPr>
            <w:tcW w:w="560" w:type="dxa"/>
            <w:vAlign w:val="bottom"/>
          </w:tcPr>
          <w:p w14:paraId="09B3B4F1" w14:textId="77777777" w:rsidR="00D1587D" w:rsidRDefault="00410D07">
            <w:pPr>
              <w:jc w:val="right"/>
              <w:rPr>
                <w:sz w:val="20"/>
                <w:szCs w:val="20"/>
              </w:rPr>
            </w:pPr>
            <w:r>
              <w:rPr>
                <w:rFonts w:ascii="Arial" w:eastAsia="Arial" w:hAnsi="Arial" w:cs="Arial"/>
                <w:sz w:val="18"/>
                <w:szCs w:val="18"/>
              </w:rPr>
              <w:t>24</w:t>
            </w:r>
          </w:p>
        </w:tc>
      </w:tr>
      <w:tr w:rsidR="00D1587D" w14:paraId="28FC261B" w14:textId="77777777">
        <w:trPr>
          <w:trHeight w:val="216"/>
        </w:trPr>
        <w:tc>
          <w:tcPr>
            <w:tcW w:w="980" w:type="dxa"/>
            <w:vAlign w:val="bottom"/>
          </w:tcPr>
          <w:p w14:paraId="530265BD" w14:textId="77777777" w:rsidR="00D1587D" w:rsidRDefault="00410D07">
            <w:pPr>
              <w:rPr>
                <w:sz w:val="20"/>
                <w:szCs w:val="20"/>
              </w:rPr>
            </w:pPr>
            <w:r>
              <w:rPr>
                <w:rFonts w:ascii="Arial" w:eastAsia="Arial" w:hAnsi="Arial" w:cs="Arial"/>
                <w:sz w:val="18"/>
                <w:szCs w:val="18"/>
              </w:rPr>
              <w:t>Section 21.</w:t>
            </w:r>
          </w:p>
        </w:tc>
        <w:tc>
          <w:tcPr>
            <w:tcW w:w="9700" w:type="dxa"/>
            <w:vAlign w:val="bottom"/>
          </w:tcPr>
          <w:p w14:paraId="1E05D6D5" w14:textId="77777777" w:rsidR="00D1587D" w:rsidRDefault="00410D07">
            <w:pPr>
              <w:ind w:left="160"/>
              <w:rPr>
                <w:sz w:val="20"/>
                <w:szCs w:val="20"/>
              </w:rPr>
            </w:pPr>
            <w:r>
              <w:rPr>
                <w:rFonts w:ascii="Arial" w:eastAsia="Arial" w:hAnsi="Arial" w:cs="Arial"/>
                <w:i/>
                <w:iCs/>
                <w:sz w:val="18"/>
                <w:szCs w:val="18"/>
              </w:rPr>
              <w:t xml:space="preserve">Entire Agreement; Amendments and </w:t>
            </w:r>
            <w:r>
              <w:rPr>
                <w:rFonts w:ascii="Arial" w:eastAsia="Arial" w:hAnsi="Arial" w:cs="Arial"/>
                <w:i/>
                <w:iCs/>
                <w:sz w:val="18"/>
                <w:szCs w:val="18"/>
              </w:rPr>
              <w:t>Waivers</w:t>
            </w:r>
          </w:p>
        </w:tc>
        <w:tc>
          <w:tcPr>
            <w:tcW w:w="560" w:type="dxa"/>
            <w:vAlign w:val="bottom"/>
          </w:tcPr>
          <w:p w14:paraId="610F74AE" w14:textId="77777777" w:rsidR="00D1587D" w:rsidRDefault="00410D07">
            <w:pPr>
              <w:jc w:val="right"/>
              <w:rPr>
                <w:sz w:val="20"/>
                <w:szCs w:val="20"/>
              </w:rPr>
            </w:pPr>
            <w:r>
              <w:rPr>
                <w:rFonts w:ascii="Arial" w:eastAsia="Arial" w:hAnsi="Arial" w:cs="Arial"/>
                <w:sz w:val="18"/>
                <w:szCs w:val="18"/>
              </w:rPr>
              <w:t>26</w:t>
            </w:r>
          </w:p>
        </w:tc>
      </w:tr>
      <w:tr w:rsidR="00D1587D" w14:paraId="27AC9BBE" w14:textId="77777777">
        <w:trPr>
          <w:trHeight w:val="216"/>
        </w:trPr>
        <w:tc>
          <w:tcPr>
            <w:tcW w:w="980" w:type="dxa"/>
            <w:vAlign w:val="bottom"/>
          </w:tcPr>
          <w:p w14:paraId="6C4EAD0D" w14:textId="77777777" w:rsidR="00D1587D" w:rsidRDefault="00410D07">
            <w:pPr>
              <w:rPr>
                <w:sz w:val="20"/>
                <w:szCs w:val="20"/>
              </w:rPr>
            </w:pPr>
            <w:r>
              <w:rPr>
                <w:rFonts w:ascii="Arial" w:eastAsia="Arial" w:hAnsi="Arial" w:cs="Arial"/>
                <w:sz w:val="18"/>
                <w:szCs w:val="18"/>
              </w:rPr>
              <w:t>Section 22.</w:t>
            </w:r>
          </w:p>
        </w:tc>
        <w:tc>
          <w:tcPr>
            <w:tcW w:w="9700" w:type="dxa"/>
            <w:vAlign w:val="bottom"/>
          </w:tcPr>
          <w:p w14:paraId="2151C45C" w14:textId="77777777" w:rsidR="00D1587D" w:rsidRDefault="00410D07">
            <w:pPr>
              <w:ind w:left="160"/>
              <w:rPr>
                <w:sz w:val="20"/>
                <w:szCs w:val="20"/>
              </w:rPr>
            </w:pPr>
            <w:r>
              <w:rPr>
                <w:rFonts w:ascii="Arial" w:eastAsia="Arial" w:hAnsi="Arial" w:cs="Arial"/>
                <w:i/>
                <w:iCs/>
                <w:sz w:val="18"/>
                <w:szCs w:val="18"/>
              </w:rPr>
              <w:t>Governing Law</w:t>
            </w:r>
          </w:p>
        </w:tc>
        <w:tc>
          <w:tcPr>
            <w:tcW w:w="560" w:type="dxa"/>
            <w:vAlign w:val="bottom"/>
          </w:tcPr>
          <w:p w14:paraId="58E6C1FB" w14:textId="77777777" w:rsidR="00D1587D" w:rsidRDefault="00410D07">
            <w:pPr>
              <w:jc w:val="right"/>
              <w:rPr>
                <w:sz w:val="20"/>
                <w:szCs w:val="20"/>
              </w:rPr>
            </w:pPr>
            <w:r>
              <w:rPr>
                <w:rFonts w:ascii="Arial" w:eastAsia="Arial" w:hAnsi="Arial" w:cs="Arial"/>
                <w:sz w:val="18"/>
                <w:szCs w:val="18"/>
              </w:rPr>
              <w:t>27</w:t>
            </w:r>
          </w:p>
        </w:tc>
      </w:tr>
      <w:tr w:rsidR="00D1587D" w14:paraId="323E389B" w14:textId="77777777">
        <w:trPr>
          <w:trHeight w:val="216"/>
        </w:trPr>
        <w:tc>
          <w:tcPr>
            <w:tcW w:w="980" w:type="dxa"/>
            <w:vAlign w:val="bottom"/>
          </w:tcPr>
          <w:p w14:paraId="23DF8E88" w14:textId="77777777" w:rsidR="00D1587D" w:rsidRDefault="00410D07">
            <w:pPr>
              <w:rPr>
                <w:sz w:val="20"/>
                <w:szCs w:val="20"/>
              </w:rPr>
            </w:pPr>
            <w:r>
              <w:rPr>
                <w:rFonts w:ascii="Arial" w:eastAsia="Arial" w:hAnsi="Arial" w:cs="Arial"/>
                <w:sz w:val="18"/>
                <w:szCs w:val="18"/>
              </w:rPr>
              <w:t>Section 23.</w:t>
            </w:r>
          </w:p>
        </w:tc>
        <w:tc>
          <w:tcPr>
            <w:tcW w:w="9700" w:type="dxa"/>
            <w:vAlign w:val="bottom"/>
          </w:tcPr>
          <w:p w14:paraId="526BCE53" w14:textId="77777777" w:rsidR="00D1587D" w:rsidRDefault="00410D07">
            <w:pPr>
              <w:ind w:left="160"/>
              <w:rPr>
                <w:sz w:val="20"/>
                <w:szCs w:val="20"/>
              </w:rPr>
            </w:pPr>
            <w:r>
              <w:rPr>
                <w:rFonts w:ascii="Arial" w:eastAsia="Arial" w:hAnsi="Arial" w:cs="Arial"/>
                <w:i/>
                <w:iCs/>
                <w:sz w:val="18"/>
                <w:szCs w:val="18"/>
              </w:rPr>
              <w:t>Jurisdiction</w:t>
            </w:r>
          </w:p>
        </w:tc>
        <w:tc>
          <w:tcPr>
            <w:tcW w:w="560" w:type="dxa"/>
            <w:vAlign w:val="bottom"/>
          </w:tcPr>
          <w:p w14:paraId="0CD7149B" w14:textId="77777777" w:rsidR="00D1587D" w:rsidRDefault="00410D07">
            <w:pPr>
              <w:jc w:val="right"/>
              <w:rPr>
                <w:sz w:val="20"/>
                <w:szCs w:val="20"/>
              </w:rPr>
            </w:pPr>
            <w:r>
              <w:rPr>
                <w:rFonts w:ascii="Arial" w:eastAsia="Arial" w:hAnsi="Arial" w:cs="Arial"/>
                <w:sz w:val="18"/>
                <w:szCs w:val="18"/>
              </w:rPr>
              <w:t>27</w:t>
            </w:r>
          </w:p>
        </w:tc>
      </w:tr>
      <w:tr w:rsidR="00D1587D" w14:paraId="7BEF6172" w14:textId="77777777">
        <w:trPr>
          <w:trHeight w:val="216"/>
        </w:trPr>
        <w:tc>
          <w:tcPr>
            <w:tcW w:w="980" w:type="dxa"/>
            <w:vAlign w:val="bottom"/>
          </w:tcPr>
          <w:p w14:paraId="180E51ED" w14:textId="77777777" w:rsidR="00D1587D" w:rsidRDefault="00410D07">
            <w:pPr>
              <w:rPr>
                <w:sz w:val="20"/>
                <w:szCs w:val="20"/>
              </w:rPr>
            </w:pPr>
            <w:r>
              <w:rPr>
                <w:rFonts w:ascii="Arial" w:eastAsia="Arial" w:hAnsi="Arial" w:cs="Arial"/>
                <w:sz w:val="18"/>
                <w:szCs w:val="18"/>
              </w:rPr>
              <w:t>Section 24.</w:t>
            </w:r>
          </w:p>
        </w:tc>
        <w:tc>
          <w:tcPr>
            <w:tcW w:w="9700" w:type="dxa"/>
            <w:vAlign w:val="bottom"/>
          </w:tcPr>
          <w:p w14:paraId="7869ACBD" w14:textId="77777777" w:rsidR="00D1587D" w:rsidRDefault="00410D07">
            <w:pPr>
              <w:ind w:left="160"/>
              <w:rPr>
                <w:sz w:val="20"/>
                <w:szCs w:val="20"/>
              </w:rPr>
            </w:pPr>
            <w:r>
              <w:rPr>
                <w:rFonts w:ascii="Arial" w:eastAsia="Arial" w:hAnsi="Arial" w:cs="Arial"/>
                <w:i/>
                <w:iCs/>
                <w:sz w:val="18"/>
                <w:szCs w:val="18"/>
              </w:rPr>
              <w:t>Waiver of Jury Trial</w:t>
            </w:r>
          </w:p>
        </w:tc>
        <w:tc>
          <w:tcPr>
            <w:tcW w:w="560" w:type="dxa"/>
            <w:vAlign w:val="bottom"/>
          </w:tcPr>
          <w:p w14:paraId="0914BEFB" w14:textId="77777777" w:rsidR="00D1587D" w:rsidRDefault="00410D07">
            <w:pPr>
              <w:jc w:val="right"/>
              <w:rPr>
                <w:sz w:val="20"/>
                <w:szCs w:val="20"/>
              </w:rPr>
            </w:pPr>
            <w:r>
              <w:rPr>
                <w:rFonts w:ascii="Arial" w:eastAsia="Arial" w:hAnsi="Arial" w:cs="Arial"/>
                <w:sz w:val="18"/>
                <w:szCs w:val="18"/>
              </w:rPr>
              <w:t>27</w:t>
            </w:r>
          </w:p>
        </w:tc>
      </w:tr>
      <w:tr w:rsidR="00D1587D" w14:paraId="333E0697" w14:textId="77777777">
        <w:trPr>
          <w:trHeight w:val="216"/>
        </w:trPr>
        <w:tc>
          <w:tcPr>
            <w:tcW w:w="980" w:type="dxa"/>
            <w:vAlign w:val="bottom"/>
          </w:tcPr>
          <w:p w14:paraId="297A5072" w14:textId="77777777" w:rsidR="00D1587D" w:rsidRDefault="00410D07">
            <w:pPr>
              <w:rPr>
                <w:sz w:val="20"/>
                <w:szCs w:val="20"/>
              </w:rPr>
            </w:pPr>
            <w:r>
              <w:rPr>
                <w:rFonts w:ascii="Arial" w:eastAsia="Arial" w:hAnsi="Arial" w:cs="Arial"/>
                <w:sz w:val="18"/>
                <w:szCs w:val="18"/>
              </w:rPr>
              <w:t>Section 25.</w:t>
            </w:r>
          </w:p>
        </w:tc>
        <w:tc>
          <w:tcPr>
            <w:tcW w:w="9700" w:type="dxa"/>
            <w:vAlign w:val="bottom"/>
          </w:tcPr>
          <w:p w14:paraId="546CECF8" w14:textId="77777777" w:rsidR="00D1587D" w:rsidRDefault="00410D07">
            <w:pPr>
              <w:ind w:left="160"/>
              <w:rPr>
                <w:sz w:val="20"/>
                <w:szCs w:val="20"/>
              </w:rPr>
            </w:pPr>
            <w:r>
              <w:rPr>
                <w:rFonts w:ascii="Arial" w:eastAsia="Arial" w:hAnsi="Arial" w:cs="Arial"/>
                <w:i/>
                <w:iCs/>
                <w:sz w:val="18"/>
                <w:szCs w:val="18"/>
              </w:rPr>
              <w:t>Dispute Resolution</w:t>
            </w:r>
          </w:p>
        </w:tc>
        <w:tc>
          <w:tcPr>
            <w:tcW w:w="560" w:type="dxa"/>
            <w:vAlign w:val="bottom"/>
          </w:tcPr>
          <w:p w14:paraId="71CBD1D7" w14:textId="77777777" w:rsidR="00D1587D" w:rsidRDefault="00410D07">
            <w:pPr>
              <w:jc w:val="right"/>
              <w:rPr>
                <w:sz w:val="20"/>
                <w:szCs w:val="20"/>
              </w:rPr>
            </w:pPr>
            <w:r>
              <w:rPr>
                <w:rFonts w:ascii="Arial" w:eastAsia="Arial" w:hAnsi="Arial" w:cs="Arial"/>
                <w:sz w:val="18"/>
                <w:szCs w:val="18"/>
              </w:rPr>
              <w:t>27</w:t>
            </w:r>
          </w:p>
        </w:tc>
      </w:tr>
      <w:tr w:rsidR="00D1587D" w14:paraId="1626F01D" w14:textId="77777777">
        <w:trPr>
          <w:trHeight w:val="216"/>
        </w:trPr>
        <w:tc>
          <w:tcPr>
            <w:tcW w:w="980" w:type="dxa"/>
            <w:vAlign w:val="bottom"/>
          </w:tcPr>
          <w:p w14:paraId="6D8F8E78" w14:textId="77777777" w:rsidR="00D1587D" w:rsidRDefault="00410D07">
            <w:pPr>
              <w:rPr>
                <w:sz w:val="20"/>
                <w:szCs w:val="20"/>
              </w:rPr>
            </w:pPr>
            <w:r>
              <w:rPr>
                <w:rFonts w:ascii="Arial" w:eastAsia="Arial" w:hAnsi="Arial" w:cs="Arial"/>
                <w:sz w:val="18"/>
                <w:szCs w:val="18"/>
              </w:rPr>
              <w:t>Section 26.</w:t>
            </w:r>
          </w:p>
        </w:tc>
        <w:tc>
          <w:tcPr>
            <w:tcW w:w="9700" w:type="dxa"/>
            <w:vAlign w:val="bottom"/>
          </w:tcPr>
          <w:p w14:paraId="3759739A" w14:textId="77777777" w:rsidR="00D1587D" w:rsidRDefault="00410D07">
            <w:pPr>
              <w:ind w:left="160"/>
              <w:rPr>
                <w:sz w:val="20"/>
                <w:szCs w:val="20"/>
              </w:rPr>
            </w:pPr>
            <w:r>
              <w:rPr>
                <w:rFonts w:ascii="Arial" w:eastAsia="Arial" w:hAnsi="Arial" w:cs="Arial"/>
                <w:i/>
                <w:iCs/>
                <w:sz w:val="18"/>
                <w:szCs w:val="18"/>
              </w:rPr>
              <w:t>Counterparts; Effectiveness; Third-Party Beneficiaries</w:t>
            </w:r>
          </w:p>
        </w:tc>
        <w:tc>
          <w:tcPr>
            <w:tcW w:w="560" w:type="dxa"/>
            <w:vAlign w:val="bottom"/>
          </w:tcPr>
          <w:p w14:paraId="7DB4A4E5" w14:textId="77777777" w:rsidR="00D1587D" w:rsidRDefault="00410D07">
            <w:pPr>
              <w:jc w:val="right"/>
              <w:rPr>
                <w:sz w:val="20"/>
                <w:szCs w:val="20"/>
              </w:rPr>
            </w:pPr>
            <w:r>
              <w:rPr>
                <w:rFonts w:ascii="Arial" w:eastAsia="Arial" w:hAnsi="Arial" w:cs="Arial"/>
                <w:sz w:val="18"/>
                <w:szCs w:val="18"/>
              </w:rPr>
              <w:t>28</w:t>
            </w:r>
          </w:p>
        </w:tc>
      </w:tr>
      <w:tr w:rsidR="00D1587D" w14:paraId="6DF7E711" w14:textId="77777777">
        <w:trPr>
          <w:trHeight w:val="216"/>
        </w:trPr>
        <w:tc>
          <w:tcPr>
            <w:tcW w:w="980" w:type="dxa"/>
            <w:vAlign w:val="bottom"/>
          </w:tcPr>
          <w:p w14:paraId="6ED63304" w14:textId="77777777" w:rsidR="00D1587D" w:rsidRDefault="00410D07">
            <w:pPr>
              <w:rPr>
                <w:sz w:val="20"/>
                <w:szCs w:val="20"/>
              </w:rPr>
            </w:pPr>
            <w:r>
              <w:rPr>
                <w:rFonts w:ascii="Arial" w:eastAsia="Arial" w:hAnsi="Arial" w:cs="Arial"/>
                <w:sz w:val="18"/>
                <w:szCs w:val="18"/>
              </w:rPr>
              <w:t>Section 27.</w:t>
            </w:r>
          </w:p>
        </w:tc>
        <w:tc>
          <w:tcPr>
            <w:tcW w:w="9700" w:type="dxa"/>
            <w:vAlign w:val="bottom"/>
          </w:tcPr>
          <w:p w14:paraId="2A702048" w14:textId="77777777" w:rsidR="00D1587D" w:rsidRDefault="00410D07">
            <w:pPr>
              <w:ind w:left="160"/>
              <w:rPr>
                <w:sz w:val="20"/>
                <w:szCs w:val="20"/>
              </w:rPr>
            </w:pPr>
            <w:r>
              <w:rPr>
                <w:rFonts w:ascii="Arial" w:eastAsia="Arial" w:hAnsi="Arial" w:cs="Arial"/>
                <w:i/>
                <w:iCs/>
                <w:sz w:val="18"/>
                <w:szCs w:val="18"/>
              </w:rPr>
              <w:t>Successors and Assigns</w:t>
            </w:r>
          </w:p>
        </w:tc>
        <w:tc>
          <w:tcPr>
            <w:tcW w:w="560" w:type="dxa"/>
            <w:vAlign w:val="bottom"/>
          </w:tcPr>
          <w:p w14:paraId="2A933F80" w14:textId="77777777" w:rsidR="00D1587D" w:rsidRDefault="00410D07">
            <w:pPr>
              <w:jc w:val="right"/>
              <w:rPr>
                <w:sz w:val="20"/>
                <w:szCs w:val="20"/>
              </w:rPr>
            </w:pPr>
            <w:r>
              <w:rPr>
                <w:rFonts w:ascii="Arial" w:eastAsia="Arial" w:hAnsi="Arial" w:cs="Arial"/>
                <w:sz w:val="18"/>
                <w:szCs w:val="18"/>
              </w:rPr>
              <w:t>28</w:t>
            </w:r>
          </w:p>
        </w:tc>
      </w:tr>
      <w:tr w:rsidR="00D1587D" w14:paraId="5A41E795" w14:textId="77777777">
        <w:trPr>
          <w:trHeight w:val="216"/>
        </w:trPr>
        <w:tc>
          <w:tcPr>
            <w:tcW w:w="980" w:type="dxa"/>
            <w:vAlign w:val="bottom"/>
          </w:tcPr>
          <w:p w14:paraId="5A6861A6" w14:textId="77777777" w:rsidR="00D1587D" w:rsidRDefault="00410D07">
            <w:pPr>
              <w:rPr>
                <w:sz w:val="20"/>
                <w:szCs w:val="20"/>
              </w:rPr>
            </w:pPr>
            <w:r>
              <w:rPr>
                <w:rFonts w:ascii="Arial" w:eastAsia="Arial" w:hAnsi="Arial" w:cs="Arial"/>
                <w:sz w:val="18"/>
                <w:szCs w:val="18"/>
              </w:rPr>
              <w:t>Section 28.</w:t>
            </w:r>
          </w:p>
        </w:tc>
        <w:tc>
          <w:tcPr>
            <w:tcW w:w="9700" w:type="dxa"/>
            <w:vAlign w:val="bottom"/>
          </w:tcPr>
          <w:p w14:paraId="7176FB7D" w14:textId="77777777" w:rsidR="00D1587D" w:rsidRDefault="00410D07">
            <w:pPr>
              <w:ind w:left="160"/>
              <w:rPr>
                <w:sz w:val="20"/>
                <w:szCs w:val="20"/>
              </w:rPr>
            </w:pPr>
            <w:r>
              <w:rPr>
                <w:rFonts w:ascii="Arial" w:eastAsia="Arial" w:hAnsi="Arial" w:cs="Arial"/>
                <w:i/>
                <w:iCs/>
                <w:sz w:val="18"/>
                <w:szCs w:val="18"/>
              </w:rPr>
              <w:t>Authorization</w:t>
            </w:r>
          </w:p>
        </w:tc>
        <w:tc>
          <w:tcPr>
            <w:tcW w:w="560" w:type="dxa"/>
            <w:vAlign w:val="bottom"/>
          </w:tcPr>
          <w:p w14:paraId="7C9AD09C" w14:textId="77777777" w:rsidR="00D1587D" w:rsidRDefault="00410D07">
            <w:pPr>
              <w:jc w:val="right"/>
              <w:rPr>
                <w:sz w:val="20"/>
                <w:szCs w:val="20"/>
              </w:rPr>
            </w:pPr>
            <w:r>
              <w:rPr>
                <w:rFonts w:ascii="Arial" w:eastAsia="Arial" w:hAnsi="Arial" w:cs="Arial"/>
                <w:sz w:val="18"/>
                <w:szCs w:val="18"/>
              </w:rPr>
              <w:t>28</w:t>
            </w:r>
          </w:p>
        </w:tc>
      </w:tr>
      <w:tr w:rsidR="00D1587D" w14:paraId="31781405" w14:textId="77777777">
        <w:trPr>
          <w:trHeight w:val="216"/>
        </w:trPr>
        <w:tc>
          <w:tcPr>
            <w:tcW w:w="980" w:type="dxa"/>
            <w:vAlign w:val="bottom"/>
          </w:tcPr>
          <w:p w14:paraId="2D5E2329" w14:textId="77777777" w:rsidR="00D1587D" w:rsidRDefault="00410D07">
            <w:pPr>
              <w:rPr>
                <w:sz w:val="20"/>
                <w:szCs w:val="20"/>
              </w:rPr>
            </w:pPr>
            <w:r>
              <w:rPr>
                <w:rFonts w:ascii="Arial" w:eastAsia="Arial" w:hAnsi="Arial" w:cs="Arial"/>
                <w:sz w:val="18"/>
                <w:szCs w:val="18"/>
              </w:rPr>
              <w:t>Section 29.</w:t>
            </w:r>
          </w:p>
        </w:tc>
        <w:tc>
          <w:tcPr>
            <w:tcW w:w="9700" w:type="dxa"/>
            <w:vAlign w:val="bottom"/>
          </w:tcPr>
          <w:p w14:paraId="0F77A22E" w14:textId="77777777" w:rsidR="00D1587D" w:rsidRDefault="00410D07">
            <w:pPr>
              <w:ind w:left="160"/>
              <w:rPr>
                <w:sz w:val="20"/>
                <w:szCs w:val="20"/>
              </w:rPr>
            </w:pPr>
            <w:r>
              <w:rPr>
                <w:rFonts w:ascii="Arial" w:eastAsia="Arial" w:hAnsi="Arial" w:cs="Arial"/>
                <w:i/>
                <w:iCs/>
                <w:sz w:val="18"/>
                <w:szCs w:val="18"/>
              </w:rPr>
              <w:t>Change in Tax Law</w:t>
            </w:r>
          </w:p>
        </w:tc>
        <w:tc>
          <w:tcPr>
            <w:tcW w:w="560" w:type="dxa"/>
            <w:vAlign w:val="bottom"/>
          </w:tcPr>
          <w:p w14:paraId="7B9580B8" w14:textId="77777777" w:rsidR="00D1587D" w:rsidRDefault="00410D07">
            <w:pPr>
              <w:jc w:val="right"/>
              <w:rPr>
                <w:sz w:val="20"/>
                <w:szCs w:val="20"/>
              </w:rPr>
            </w:pPr>
            <w:r>
              <w:rPr>
                <w:rFonts w:ascii="Arial" w:eastAsia="Arial" w:hAnsi="Arial" w:cs="Arial"/>
                <w:sz w:val="18"/>
                <w:szCs w:val="18"/>
              </w:rPr>
              <w:t>28</w:t>
            </w:r>
          </w:p>
        </w:tc>
      </w:tr>
      <w:tr w:rsidR="00D1587D" w14:paraId="30B09F4B" w14:textId="77777777">
        <w:trPr>
          <w:trHeight w:val="230"/>
        </w:trPr>
        <w:tc>
          <w:tcPr>
            <w:tcW w:w="980" w:type="dxa"/>
            <w:vAlign w:val="bottom"/>
          </w:tcPr>
          <w:p w14:paraId="66A4E359" w14:textId="77777777" w:rsidR="00D1587D" w:rsidRDefault="00410D07">
            <w:pPr>
              <w:rPr>
                <w:sz w:val="20"/>
                <w:szCs w:val="20"/>
              </w:rPr>
            </w:pPr>
            <w:r>
              <w:rPr>
                <w:rFonts w:ascii="Arial" w:eastAsia="Arial" w:hAnsi="Arial" w:cs="Arial"/>
                <w:sz w:val="18"/>
                <w:szCs w:val="18"/>
              </w:rPr>
              <w:t>Section 30.</w:t>
            </w:r>
          </w:p>
        </w:tc>
        <w:tc>
          <w:tcPr>
            <w:tcW w:w="9700" w:type="dxa"/>
            <w:vAlign w:val="bottom"/>
          </w:tcPr>
          <w:p w14:paraId="5EB2BDDF" w14:textId="77777777" w:rsidR="00D1587D" w:rsidRDefault="00410D07">
            <w:pPr>
              <w:ind w:left="160"/>
              <w:rPr>
                <w:sz w:val="20"/>
                <w:szCs w:val="20"/>
              </w:rPr>
            </w:pPr>
            <w:r>
              <w:rPr>
                <w:rFonts w:ascii="Arial" w:eastAsia="Arial" w:hAnsi="Arial" w:cs="Arial"/>
                <w:i/>
                <w:iCs/>
                <w:sz w:val="18"/>
                <w:szCs w:val="18"/>
              </w:rPr>
              <w:t>Performance</w:t>
            </w:r>
          </w:p>
        </w:tc>
        <w:tc>
          <w:tcPr>
            <w:tcW w:w="560" w:type="dxa"/>
            <w:vAlign w:val="bottom"/>
          </w:tcPr>
          <w:p w14:paraId="0A2B0D79" w14:textId="77777777" w:rsidR="00D1587D" w:rsidRDefault="00410D07">
            <w:pPr>
              <w:jc w:val="right"/>
              <w:rPr>
                <w:sz w:val="20"/>
                <w:szCs w:val="20"/>
              </w:rPr>
            </w:pPr>
            <w:r>
              <w:rPr>
                <w:rFonts w:ascii="Arial" w:eastAsia="Arial" w:hAnsi="Arial" w:cs="Arial"/>
                <w:sz w:val="18"/>
                <w:szCs w:val="18"/>
              </w:rPr>
              <w:t>28</w:t>
            </w:r>
          </w:p>
        </w:tc>
      </w:tr>
    </w:tbl>
    <w:p w14:paraId="02DBCCE7" w14:textId="77777777" w:rsidR="00D1587D" w:rsidRDefault="00D1587D">
      <w:pPr>
        <w:spacing w:line="222" w:lineRule="exact"/>
        <w:rPr>
          <w:sz w:val="20"/>
          <w:szCs w:val="20"/>
        </w:rPr>
      </w:pPr>
    </w:p>
    <w:p w14:paraId="4550666D" w14:textId="77777777" w:rsidR="00D1587D" w:rsidRDefault="00410D07">
      <w:pPr>
        <w:rPr>
          <w:sz w:val="20"/>
          <w:szCs w:val="20"/>
        </w:rPr>
      </w:pPr>
      <w:r>
        <w:rPr>
          <w:rFonts w:ascii="Arial" w:eastAsia="Arial" w:hAnsi="Arial" w:cs="Arial"/>
        </w:rPr>
        <w:t>Schedules</w:t>
      </w:r>
    </w:p>
    <w:p w14:paraId="38763965" w14:textId="77777777" w:rsidR="00D1587D" w:rsidRDefault="00D1587D">
      <w:pPr>
        <w:spacing w:line="13" w:lineRule="exact"/>
        <w:rPr>
          <w:sz w:val="20"/>
          <w:szCs w:val="20"/>
        </w:rPr>
      </w:pPr>
    </w:p>
    <w:p w14:paraId="2A84A159" w14:textId="77777777" w:rsidR="00D1587D" w:rsidRDefault="00410D07">
      <w:pPr>
        <w:tabs>
          <w:tab w:val="left" w:pos="1340"/>
        </w:tabs>
        <w:rPr>
          <w:sz w:val="20"/>
          <w:szCs w:val="20"/>
        </w:rPr>
      </w:pPr>
      <w:r>
        <w:rPr>
          <w:rFonts w:ascii="Arial" w:eastAsia="Arial" w:hAnsi="Arial" w:cs="Arial"/>
          <w:sz w:val="18"/>
          <w:szCs w:val="18"/>
        </w:rPr>
        <w:t>Schedule A</w:t>
      </w:r>
      <w:r>
        <w:rPr>
          <w:sz w:val="20"/>
          <w:szCs w:val="20"/>
        </w:rPr>
        <w:tab/>
      </w:r>
      <w:r>
        <w:rPr>
          <w:rFonts w:ascii="Arial" w:eastAsia="Arial" w:hAnsi="Arial" w:cs="Arial"/>
          <w:sz w:val="16"/>
          <w:szCs w:val="16"/>
        </w:rPr>
        <w:t>Internal Tax-Free Transactions</w:t>
      </w:r>
    </w:p>
    <w:p w14:paraId="3D2E9C03" w14:textId="77777777" w:rsidR="00D1587D" w:rsidRDefault="00D1587D">
      <w:pPr>
        <w:spacing w:line="7" w:lineRule="exact"/>
        <w:rPr>
          <w:sz w:val="20"/>
          <w:szCs w:val="20"/>
        </w:rPr>
      </w:pPr>
    </w:p>
    <w:p w14:paraId="40240046" w14:textId="77777777" w:rsidR="00D1587D" w:rsidRDefault="00410D07">
      <w:pPr>
        <w:tabs>
          <w:tab w:val="left" w:pos="1340"/>
        </w:tabs>
        <w:rPr>
          <w:sz w:val="20"/>
          <w:szCs w:val="20"/>
        </w:rPr>
      </w:pPr>
      <w:r>
        <w:rPr>
          <w:rFonts w:ascii="Arial" w:eastAsia="Arial" w:hAnsi="Arial" w:cs="Arial"/>
          <w:sz w:val="18"/>
          <w:szCs w:val="18"/>
        </w:rPr>
        <w:t>Schedule B</w:t>
      </w:r>
      <w:r>
        <w:rPr>
          <w:sz w:val="20"/>
          <w:szCs w:val="20"/>
        </w:rPr>
        <w:tab/>
      </w:r>
      <w:r>
        <w:rPr>
          <w:rFonts w:ascii="Arial" w:eastAsia="Arial" w:hAnsi="Arial" w:cs="Arial"/>
          <w:sz w:val="15"/>
          <w:szCs w:val="15"/>
        </w:rPr>
        <w:t>Cash Management Transfers</w:t>
      </w:r>
    </w:p>
    <w:p w14:paraId="402B4776" w14:textId="77777777" w:rsidR="00D1587D" w:rsidRDefault="00D1587D">
      <w:pPr>
        <w:spacing w:line="9" w:lineRule="exact"/>
        <w:rPr>
          <w:sz w:val="20"/>
          <w:szCs w:val="20"/>
        </w:rPr>
      </w:pPr>
    </w:p>
    <w:p w14:paraId="57613F06" w14:textId="77777777" w:rsidR="00D1587D" w:rsidRDefault="00410D07">
      <w:pPr>
        <w:tabs>
          <w:tab w:val="left" w:pos="1340"/>
        </w:tabs>
        <w:rPr>
          <w:sz w:val="20"/>
          <w:szCs w:val="20"/>
        </w:rPr>
      </w:pPr>
      <w:r>
        <w:rPr>
          <w:rFonts w:ascii="Arial" w:eastAsia="Arial" w:hAnsi="Arial" w:cs="Arial"/>
          <w:sz w:val="18"/>
          <w:szCs w:val="18"/>
        </w:rPr>
        <w:t>Schedule C-1</w:t>
      </w:r>
      <w:r>
        <w:rPr>
          <w:sz w:val="20"/>
          <w:szCs w:val="20"/>
        </w:rPr>
        <w:tab/>
      </w:r>
      <w:r>
        <w:rPr>
          <w:rFonts w:ascii="Arial" w:eastAsia="Arial" w:hAnsi="Arial" w:cs="Arial"/>
          <w:sz w:val="16"/>
          <w:szCs w:val="16"/>
        </w:rPr>
        <w:t>Subsidiary 1 Business</w:t>
      </w:r>
    </w:p>
    <w:p w14:paraId="48BBBC1F" w14:textId="77777777" w:rsidR="00D1587D" w:rsidRDefault="00D1587D">
      <w:pPr>
        <w:spacing w:line="9" w:lineRule="exact"/>
        <w:rPr>
          <w:sz w:val="20"/>
          <w:szCs w:val="20"/>
        </w:rPr>
      </w:pPr>
    </w:p>
    <w:p w14:paraId="652CBD2A" w14:textId="77777777" w:rsidR="00D1587D" w:rsidRDefault="00410D07">
      <w:pPr>
        <w:tabs>
          <w:tab w:val="left" w:pos="1340"/>
        </w:tabs>
        <w:rPr>
          <w:sz w:val="20"/>
          <w:szCs w:val="20"/>
        </w:rPr>
      </w:pPr>
      <w:r>
        <w:rPr>
          <w:rFonts w:ascii="Arial" w:eastAsia="Arial" w:hAnsi="Arial" w:cs="Arial"/>
          <w:sz w:val="18"/>
          <w:szCs w:val="18"/>
        </w:rPr>
        <w:t>Schedule C-2</w:t>
      </w:r>
      <w:r>
        <w:rPr>
          <w:sz w:val="20"/>
          <w:szCs w:val="20"/>
        </w:rPr>
        <w:tab/>
      </w:r>
      <w:r>
        <w:rPr>
          <w:rFonts w:ascii="Arial" w:eastAsia="Arial" w:hAnsi="Arial" w:cs="Arial"/>
          <w:sz w:val="16"/>
          <w:szCs w:val="16"/>
        </w:rPr>
        <w:t xml:space="preserve">Subsidiary 2 </w:t>
      </w:r>
      <w:r>
        <w:rPr>
          <w:rFonts w:ascii="Arial" w:eastAsia="Arial" w:hAnsi="Arial" w:cs="Arial"/>
          <w:sz w:val="16"/>
          <w:szCs w:val="16"/>
        </w:rPr>
        <w:t>Business</w:t>
      </w:r>
    </w:p>
    <w:p w14:paraId="0061CE2D" w14:textId="77777777" w:rsidR="00D1587D" w:rsidRDefault="00D1587D">
      <w:pPr>
        <w:spacing w:line="9" w:lineRule="exact"/>
        <w:rPr>
          <w:sz w:val="20"/>
          <w:szCs w:val="20"/>
        </w:rPr>
      </w:pPr>
    </w:p>
    <w:p w14:paraId="432F46A0" w14:textId="77777777" w:rsidR="00D1587D" w:rsidRDefault="00410D07">
      <w:pPr>
        <w:tabs>
          <w:tab w:val="left" w:pos="1340"/>
        </w:tabs>
        <w:rPr>
          <w:sz w:val="20"/>
          <w:szCs w:val="20"/>
        </w:rPr>
      </w:pPr>
      <w:r>
        <w:rPr>
          <w:rFonts w:ascii="Arial" w:eastAsia="Arial" w:hAnsi="Arial" w:cs="Arial"/>
          <w:sz w:val="18"/>
          <w:szCs w:val="18"/>
        </w:rPr>
        <w:t>Schedule D-1</w:t>
      </w:r>
      <w:r>
        <w:rPr>
          <w:sz w:val="20"/>
          <w:szCs w:val="20"/>
        </w:rPr>
        <w:tab/>
      </w:r>
      <w:r>
        <w:rPr>
          <w:rFonts w:ascii="Arial" w:eastAsia="Arial" w:hAnsi="Arial" w:cs="Arial"/>
          <w:sz w:val="16"/>
          <w:szCs w:val="16"/>
        </w:rPr>
        <w:t>L Brands Specified Tax Attributes</w:t>
      </w:r>
    </w:p>
    <w:p w14:paraId="07B53D66" w14:textId="77777777" w:rsidR="00D1587D" w:rsidRDefault="00D1587D">
      <w:pPr>
        <w:spacing w:line="9" w:lineRule="exact"/>
        <w:rPr>
          <w:sz w:val="20"/>
          <w:szCs w:val="20"/>
        </w:rPr>
      </w:pPr>
    </w:p>
    <w:p w14:paraId="4F0128AD" w14:textId="77777777" w:rsidR="00D1587D" w:rsidRDefault="00410D07">
      <w:pPr>
        <w:tabs>
          <w:tab w:val="left" w:pos="1340"/>
        </w:tabs>
        <w:rPr>
          <w:sz w:val="20"/>
          <w:szCs w:val="20"/>
        </w:rPr>
      </w:pPr>
      <w:r>
        <w:rPr>
          <w:rFonts w:ascii="Arial" w:eastAsia="Arial" w:hAnsi="Arial" w:cs="Arial"/>
          <w:sz w:val="18"/>
          <w:szCs w:val="18"/>
        </w:rPr>
        <w:t>Schedule D-2</w:t>
      </w:r>
      <w:r>
        <w:rPr>
          <w:sz w:val="20"/>
          <w:szCs w:val="20"/>
        </w:rPr>
        <w:tab/>
      </w:r>
      <w:r>
        <w:rPr>
          <w:rFonts w:ascii="Arial" w:eastAsia="Arial" w:hAnsi="Arial" w:cs="Arial"/>
          <w:sz w:val="16"/>
          <w:szCs w:val="16"/>
        </w:rPr>
        <w:t>VS Specified Tax Attributes</w:t>
      </w:r>
    </w:p>
    <w:p w14:paraId="7A825EA5" w14:textId="77777777" w:rsidR="00D1587D" w:rsidRDefault="00D1587D">
      <w:pPr>
        <w:spacing w:line="9" w:lineRule="exact"/>
        <w:rPr>
          <w:sz w:val="20"/>
          <w:szCs w:val="20"/>
        </w:rPr>
      </w:pPr>
    </w:p>
    <w:p w14:paraId="7675CC0F" w14:textId="77777777" w:rsidR="00D1587D" w:rsidRDefault="00410D07">
      <w:pPr>
        <w:tabs>
          <w:tab w:val="left" w:pos="1340"/>
        </w:tabs>
        <w:rPr>
          <w:sz w:val="20"/>
          <w:szCs w:val="20"/>
        </w:rPr>
      </w:pPr>
      <w:r>
        <w:rPr>
          <w:rFonts w:ascii="Arial" w:eastAsia="Arial" w:hAnsi="Arial" w:cs="Arial"/>
          <w:sz w:val="18"/>
          <w:szCs w:val="18"/>
        </w:rPr>
        <w:t>Schedule E</w:t>
      </w:r>
      <w:r>
        <w:rPr>
          <w:sz w:val="20"/>
          <w:szCs w:val="20"/>
        </w:rPr>
        <w:tab/>
      </w:r>
      <w:r>
        <w:rPr>
          <w:rFonts w:ascii="Arial" w:eastAsia="Arial" w:hAnsi="Arial" w:cs="Arial"/>
          <w:sz w:val="16"/>
          <w:szCs w:val="16"/>
        </w:rPr>
        <w:t>Specified Administrative Matter</w:t>
      </w:r>
    </w:p>
    <w:p w14:paraId="20225FDA" w14:textId="77777777" w:rsidR="00D1587D" w:rsidRDefault="00D1587D">
      <w:pPr>
        <w:spacing w:line="231" w:lineRule="exact"/>
        <w:rPr>
          <w:sz w:val="20"/>
          <w:szCs w:val="20"/>
        </w:rPr>
      </w:pPr>
    </w:p>
    <w:p w14:paraId="61C3E02C" w14:textId="77777777" w:rsidR="00D1587D" w:rsidRDefault="00410D07">
      <w:pPr>
        <w:jc w:val="center"/>
        <w:rPr>
          <w:sz w:val="20"/>
          <w:szCs w:val="20"/>
        </w:rPr>
      </w:pPr>
      <w:r>
        <w:rPr>
          <w:rFonts w:ascii="Arial" w:eastAsia="Arial" w:hAnsi="Arial" w:cs="Arial"/>
        </w:rPr>
        <w:t>i</w:t>
      </w:r>
    </w:p>
    <w:p w14:paraId="327BD7BE" w14:textId="77777777" w:rsidR="00D1587D" w:rsidRDefault="00410D07">
      <w:pPr>
        <w:spacing w:line="20" w:lineRule="exact"/>
        <w:rPr>
          <w:sz w:val="20"/>
          <w:szCs w:val="20"/>
        </w:rPr>
      </w:pPr>
      <w:r>
        <w:rPr>
          <w:noProof/>
          <w:sz w:val="20"/>
          <w:szCs w:val="20"/>
        </w:rPr>
        <w:drawing>
          <wp:anchor distT="0" distB="0" distL="114300" distR="114300" simplePos="0" relativeHeight="251293696" behindDoc="1" locked="0" layoutInCell="0" allowOverlap="1" wp14:anchorId="3D5157A6" wp14:editId="749C42B5">
            <wp:simplePos x="0" y="0"/>
            <wp:positionH relativeFrom="column">
              <wp:posOffset>5080</wp:posOffset>
            </wp:positionH>
            <wp:positionV relativeFrom="paragraph">
              <wp:posOffset>118745</wp:posOffset>
            </wp:positionV>
            <wp:extent cx="7132320" cy="1714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410731B" w14:textId="77777777" w:rsidR="00D1587D" w:rsidRDefault="00D1587D">
      <w:pPr>
        <w:sectPr w:rsidR="00D1587D">
          <w:pgSz w:w="11900" w:h="16838"/>
          <w:pgMar w:top="355" w:right="339" w:bottom="1440" w:left="320" w:header="0" w:footer="0" w:gutter="0"/>
          <w:cols w:space="720" w:equalWidth="0">
            <w:col w:w="11240"/>
          </w:cols>
        </w:sectPr>
      </w:pPr>
    </w:p>
    <w:p w14:paraId="161CBFE8" w14:textId="77777777" w:rsidR="00D1587D" w:rsidRDefault="00410D07">
      <w:pPr>
        <w:ind w:right="-19"/>
        <w:jc w:val="center"/>
        <w:rPr>
          <w:sz w:val="20"/>
          <w:szCs w:val="20"/>
        </w:rPr>
      </w:pPr>
      <w:bookmarkStart w:id="139" w:name="page140"/>
      <w:bookmarkEnd w:id="139"/>
      <w:r>
        <w:rPr>
          <w:rFonts w:ascii="Arial" w:eastAsia="Arial" w:hAnsi="Arial" w:cs="Arial"/>
          <w:b/>
          <w:bCs/>
        </w:rPr>
        <w:t>TAX MATTERS AGREEMENT</w:t>
      </w:r>
    </w:p>
    <w:p w14:paraId="67FAECBD" w14:textId="77777777" w:rsidR="00D1587D" w:rsidRDefault="00D1587D">
      <w:pPr>
        <w:spacing w:line="233" w:lineRule="exact"/>
        <w:rPr>
          <w:sz w:val="20"/>
          <w:szCs w:val="20"/>
        </w:rPr>
      </w:pPr>
    </w:p>
    <w:p w14:paraId="2058F71D" w14:textId="77777777" w:rsidR="00D1587D" w:rsidRDefault="00410D07">
      <w:pPr>
        <w:spacing w:line="239" w:lineRule="auto"/>
        <w:ind w:right="20" w:firstLine="648"/>
        <w:rPr>
          <w:sz w:val="20"/>
          <w:szCs w:val="20"/>
        </w:rPr>
      </w:pPr>
      <w:r>
        <w:rPr>
          <w:rFonts w:ascii="Arial" w:eastAsia="Arial" w:hAnsi="Arial" w:cs="Arial"/>
        </w:rPr>
        <w:t>This TAX MATTERS AGREEMENT (the “</w:t>
      </w:r>
      <w:r>
        <w:rPr>
          <w:rFonts w:ascii="Arial" w:eastAsia="Arial" w:hAnsi="Arial" w:cs="Arial"/>
          <w:b/>
          <w:bCs/>
        </w:rPr>
        <w:t>Agreement</w:t>
      </w:r>
      <w:r>
        <w:rPr>
          <w:rFonts w:ascii="Arial" w:eastAsia="Arial" w:hAnsi="Arial" w:cs="Arial"/>
        </w:rPr>
        <w:t xml:space="preserve">”) is entered into as </w:t>
      </w:r>
      <w:r>
        <w:rPr>
          <w:rFonts w:ascii="Arial" w:eastAsia="Arial" w:hAnsi="Arial" w:cs="Arial"/>
        </w:rPr>
        <w:t>of [__], 2021 between L Brands, Inc., a Delaware corporation (“</w:t>
      </w:r>
      <w:r>
        <w:rPr>
          <w:rFonts w:ascii="Arial" w:eastAsia="Arial" w:hAnsi="Arial" w:cs="Arial"/>
          <w:b/>
          <w:bCs/>
        </w:rPr>
        <w:t>L Brands</w:t>
      </w:r>
      <w:r>
        <w:rPr>
          <w:rFonts w:ascii="Arial" w:eastAsia="Arial" w:hAnsi="Arial" w:cs="Arial"/>
        </w:rPr>
        <w:t>”), on behalf of itself and the members of the L Brands Group, as defined below, and Victoria’s Secret &amp; Co., a Delaware corporation (“</w:t>
      </w:r>
      <w:r>
        <w:rPr>
          <w:rFonts w:ascii="Arial" w:eastAsia="Arial" w:hAnsi="Arial" w:cs="Arial"/>
          <w:b/>
          <w:bCs/>
        </w:rPr>
        <w:t>VS</w:t>
      </w:r>
      <w:r>
        <w:rPr>
          <w:rFonts w:ascii="Arial" w:eastAsia="Arial" w:hAnsi="Arial" w:cs="Arial"/>
        </w:rPr>
        <w:t>,” and together with L Brands, the “</w:t>
      </w:r>
      <w:r>
        <w:rPr>
          <w:rFonts w:ascii="Arial" w:eastAsia="Arial" w:hAnsi="Arial" w:cs="Arial"/>
          <w:b/>
          <w:bCs/>
        </w:rPr>
        <w:t>Parties</w:t>
      </w:r>
      <w:r>
        <w:rPr>
          <w:rFonts w:ascii="Arial" w:eastAsia="Arial" w:hAnsi="Arial" w:cs="Arial"/>
        </w:rPr>
        <w:t>”), o</w:t>
      </w:r>
      <w:r>
        <w:rPr>
          <w:rFonts w:ascii="Arial" w:eastAsia="Arial" w:hAnsi="Arial" w:cs="Arial"/>
        </w:rPr>
        <w:t>n behalf of itself and the members of the VS Group, as defined below.</w:t>
      </w:r>
    </w:p>
    <w:p w14:paraId="100CCEF5" w14:textId="77777777" w:rsidR="00D1587D" w:rsidRDefault="00D1587D">
      <w:pPr>
        <w:spacing w:line="207" w:lineRule="exact"/>
        <w:rPr>
          <w:sz w:val="20"/>
          <w:szCs w:val="20"/>
        </w:rPr>
      </w:pPr>
    </w:p>
    <w:p w14:paraId="566C420D" w14:textId="77777777" w:rsidR="00D1587D" w:rsidRDefault="00410D07">
      <w:pPr>
        <w:ind w:right="-19"/>
        <w:jc w:val="center"/>
        <w:rPr>
          <w:sz w:val="20"/>
          <w:szCs w:val="20"/>
        </w:rPr>
      </w:pPr>
      <w:r>
        <w:rPr>
          <w:rFonts w:ascii="Arial" w:eastAsia="Arial" w:hAnsi="Arial" w:cs="Arial"/>
          <w:b/>
          <w:bCs/>
        </w:rPr>
        <w:t>W I T N E S S E T H:</w:t>
      </w:r>
    </w:p>
    <w:p w14:paraId="122EDDA5" w14:textId="77777777" w:rsidR="00D1587D" w:rsidRDefault="00D1587D">
      <w:pPr>
        <w:spacing w:line="239" w:lineRule="exact"/>
        <w:rPr>
          <w:sz w:val="20"/>
          <w:szCs w:val="20"/>
        </w:rPr>
      </w:pPr>
    </w:p>
    <w:p w14:paraId="2AF9AC27" w14:textId="77777777" w:rsidR="00D1587D" w:rsidRDefault="00410D07">
      <w:pPr>
        <w:spacing w:line="297" w:lineRule="auto"/>
        <w:ind w:right="20" w:firstLine="648"/>
        <w:rPr>
          <w:sz w:val="20"/>
          <w:szCs w:val="20"/>
        </w:rPr>
      </w:pPr>
      <w:r>
        <w:rPr>
          <w:rFonts w:ascii="Arial" w:eastAsia="Arial" w:hAnsi="Arial" w:cs="Arial"/>
          <w:sz w:val="19"/>
          <w:szCs w:val="19"/>
        </w:rPr>
        <w:t>WHEREAS, pursuant to the Tax laws of various jurisdictions, certain members of the VS Group presently file certain Tax Returns on an affiliated, consolidated, comb</w:t>
      </w:r>
      <w:r>
        <w:rPr>
          <w:rFonts w:ascii="Arial" w:eastAsia="Arial" w:hAnsi="Arial" w:cs="Arial"/>
          <w:sz w:val="19"/>
          <w:szCs w:val="19"/>
        </w:rPr>
        <w:t>ined, unitary, fiscal unity or other group basis (including as permitted by Section 1501 of the Internal Revenue Code of 1986, as amended (the “</w:t>
      </w:r>
      <w:r>
        <w:rPr>
          <w:rFonts w:ascii="Arial" w:eastAsia="Arial" w:hAnsi="Arial" w:cs="Arial"/>
          <w:b/>
          <w:bCs/>
          <w:sz w:val="19"/>
          <w:szCs w:val="19"/>
        </w:rPr>
        <w:t>Code</w:t>
      </w:r>
      <w:r>
        <w:rPr>
          <w:rFonts w:ascii="Arial" w:eastAsia="Arial" w:hAnsi="Arial" w:cs="Arial"/>
          <w:sz w:val="19"/>
          <w:szCs w:val="19"/>
        </w:rPr>
        <w:t>”)) with certain members of the L Brands Group;</w:t>
      </w:r>
    </w:p>
    <w:p w14:paraId="474E2A43" w14:textId="77777777" w:rsidR="00D1587D" w:rsidRDefault="00D1587D">
      <w:pPr>
        <w:spacing w:line="161" w:lineRule="exact"/>
        <w:rPr>
          <w:sz w:val="20"/>
          <w:szCs w:val="20"/>
        </w:rPr>
      </w:pPr>
    </w:p>
    <w:p w14:paraId="1CB81ADE" w14:textId="77777777" w:rsidR="00D1587D" w:rsidRDefault="00410D07">
      <w:pPr>
        <w:ind w:right="380" w:firstLine="648"/>
        <w:rPr>
          <w:sz w:val="20"/>
          <w:szCs w:val="20"/>
        </w:rPr>
      </w:pPr>
      <w:r>
        <w:rPr>
          <w:rFonts w:ascii="Arial" w:eastAsia="Arial" w:hAnsi="Arial" w:cs="Arial"/>
        </w:rPr>
        <w:t xml:space="preserve">WHEREAS, L Brands and VS have entered into a </w:t>
      </w:r>
      <w:r>
        <w:rPr>
          <w:rFonts w:ascii="Arial" w:eastAsia="Arial" w:hAnsi="Arial" w:cs="Arial"/>
        </w:rPr>
        <w:t>Separation and Distribution Agreement, dated as of [__], 2021 (the “</w:t>
      </w:r>
      <w:r>
        <w:rPr>
          <w:rFonts w:ascii="Arial" w:eastAsia="Arial" w:hAnsi="Arial" w:cs="Arial"/>
          <w:b/>
          <w:bCs/>
        </w:rPr>
        <w:t>Separation Agreement</w:t>
      </w:r>
      <w:r>
        <w:rPr>
          <w:rFonts w:ascii="Arial" w:eastAsia="Arial" w:hAnsi="Arial" w:cs="Arial"/>
        </w:rPr>
        <w:t>”), pursuant to which the Contribution, the Distribution and other related transactions will be consummated;</w:t>
      </w:r>
    </w:p>
    <w:p w14:paraId="5DEB77E9" w14:textId="77777777" w:rsidR="00D1587D" w:rsidRDefault="00D1587D">
      <w:pPr>
        <w:spacing w:line="213" w:lineRule="exact"/>
        <w:rPr>
          <w:sz w:val="20"/>
          <w:szCs w:val="20"/>
        </w:rPr>
      </w:pPr>
    </w:p>
    <w:p w14:paraId="2D640781" w14:textId="77777777" w:rsidR="00D1587D" w:rsidRDefault="00410D07">
      <w:pPr>
        <w:spacing w:line="250" w:lineRule="auto"/>
        <w:ind w:right="720" w:firstLine="648"/>
        <w:rPr>
          <w:sz w:val="20"/>
          <w:szCs w:val="20"/>
        </w:rPr>
      </w:pPr>
      <w:r>
        <w:rPr>
          <w:rFonts w:ascii="Arial" w:eastAsia="Arial" w:hAnsi="Arial" w:cs="Arial"/>
        </w:rPr>
        <w:t>WHEREAS, the Restructuring, together with the Contribution</w:t>
      </w:r>
      <w:r>
        <w:rPr>
          <w:rFonts w:ascii="Arial" w:eastAsia="Arial" w:hAnsi="Arial" w:cs="Arial"/>
        </w:rPr>
        <w:t xml:space="preserve"> and the Distribution, are intended to qualify for the Intended Tax Treatment; and</w:t>
      </w:r>
    </w:p>
    <w:p w14:paraId="71809BE1" w14:textId="77777777" w:rsidR="00D1587D" w:rsidRDefault="00D1587D">
      <w:pPr>
        <w:spacing w:line="202" w:lineRule="exact"/>
        <w:rPr>
          <w:sz w:val="20"/>
          <w:szCs w:val="20"/>
        </w:rPr>
      </w:pPr>
    </w:p>
    <w:p w14:paraId="6DE8F388" w14:textId="77777777" w:rsidR="00D1587D" w:rsidRDefault="00410D07">
      <w:pPr>
        <w:spacing w:line="287" w:lineRule="auto"/>
        <w:ind w:right="200" w:firstLine="648"/>
        <w:rPr>
          <w:sz w:val="20"/>
          <w:szCs w:val="20"/>
        </w:rPr>
      </w:pPr>
      <w:r>
        <w:rPr>
          <w:rFonts w:ascii="Arial" w:eastAsia="Arial" w:hAnsi="Arial" w:cs="Arial"/>
          <w:sz w:val="19"/>
          <w:szCs w:val="19"/>
        </w:rPr>
        <w:t>WHEREAS, L Brands and VS desire to set forth their agreement on the rights and obligations of L Brands, VS and the members of the L Brands Group and the VS Group respective</w:t>
      </w:r>
      <w:r>
        <w:rPr>
          <w:rFonts w:ascii="Arial" w:eastAsia="Arial" w:hAnsi="Arial" w:cs="Arial"/>
          <w:sz w:val="19"/>
          <w:szCs w:val="19"/>
        </w:rPr>
        <w:t>ly, with respect to (a) the administration and allocation of U.S. federal, state, local and non-U.S. Taxes incurred in Taxable periods beginning prior to the Distribution Date, (b) Taxes resulting from the Distribution and transactions effected in connecti</w:t>
      </w:r>
      <w:r>
        <w:rPr>
          <w:rFonts w:ascii="Arial" w:eastAsia="Arial" w:hAnsi="Arial" w:cs="Arial"/>
          <w:sz w:val="19"/>
          <w:szCs w:val="19"/>
        </w:rPr>
        <w:t>on with the Distribution and (c) various other Tax matters.</w:t>
      </w:r>
    </w:p>
    <w:p w14:paraId="1CD39EB8" w14:textId="77777777" w:rsidR="00D1587D" w:rsidRDefault="00D1587D">
      <w:pPr>
        <w:spacing w:line="170" w:lineRule="exact"/>
        <w:rPr>
          <w:sz w:val="20"/>
          <w:szCs w:val="20"/>
        </w:rPr>
      </w:pPr>
    </w:p>
    <w:p w14:paraId="7D7CCB7C" w14:textId="77777777" w:rsidR="00D1587D" w:rsidRDefault="00410D07">
      <w:pPr>
        <w:spacing w:line="250" w:lineRule="auto"/>
        <w:ind w:right="160" w:firstLine="648"/>
        <w:rPr>
          <w:sz w:val="20"/>
          <w:szCs w:val="20"/>
        </w:rPr>
      </w:pPr>
      <w:r>
        <w:rPr>
          <w:rFonts w:ascii="Arial" w:eastAsia="Arial" w:hAnsi="Arial" w:cs="Arial"/>
        </w:rPr>
        <w:t>NOW, THEREFORE, in consideration of the mutual covenants and agreements hereinafter set forth, the Parties agree as follows:</w:t>
      </w:r>
    </w:p>
    <w:p w14:paraId="379761AA" w14:textId="77777777" w:rsidR="00D1587D" w:rsidRDefault="00D1587D">
      <w:pPr>
        <w:spacing w:line="202" w:lineRule="exact"/>
        <w:rPr>
          <w:sz w:val="20"/>
          <w:szCs w:val="20"/>
        </w:rPr>
      </w:pPr>
    </w:p>
    <w:p w14:paraId="458A75EC" w14:textId="77777777" w:rsidR="00D1587D" w:rsidRDefault="00410D07">
      <w:pPr>
        <w:tabs>
          <w:tab w:val="left" w:pos="2040"/>
        </w:tabs>
        <w:ind w:left="660"/>
        <w:rPr>
          <w:sz w:val="20"/>
          <w:szCs w:val="20"/>
        </w:rPr>
      </w:pPr>
      <w:r>
        <w:rPr>
          <w:rFonts w:ascii="Arial" w:eastAsia="Arial" w:hAnsi="Arial" w:cs="Arial"/>
        </w:rPr>
        <w:t>Section 1.</w:t>
      </w:r>
      <w:r>
        <w:rPr>
          <w:sz w:val="20"/>
          <w:szCs w:val="20"/>
        </w:rPr>
        <w:tab/>
      </w:r>
      <w:r>
        <w:rPr>
          <w:rFonts w:ascii="Arial" w:eastAsia="Arial" w:hAnsi="Arial" w:cs="Arial"/>
          <w:i/>
          <w:iCs/>
          <w:sz w:val="19"/>
          <w:szCs w:val="19"/>
        </w:rPr>
        <w:t>Definitions</w:t>
      </w:r>
      <w:r>
        <w:rPr>
          <w:rFonts w:ascii="Arial" w:eastAsia="Arial" w:hAnsi="Arial" w:cs="Arial"/>
          <w:sz w:val="19"/>
          <w:szCs w:val="19"/>
        </w:rPr>
        <w:t>.</w:t>
      </w:r>
    </w:p>
    <w:p w14:paraId="6BDABD4B" w14:textId="77777777" w:rsidR="00D1587D" w:rsidRDefault="00D1587D">
      <w:pPr>
        <w:spacing w:line="233" w:lineRule="exact"/>
        <w:rPr>
          <w:sz w:val="20"/>
          <w:szCs w:val="20"/>
        </w:rPr>
      </w:pPr>
    </w:p>
    <w:p w14:paraId="419CC8ED" w14:textId="77777777" w:rsidR="00D1587D" w:rsidRDefault="00410D07">
      <w:pPr>
        <w:numPr>
          <w:ilvl w:val="0"/>
          <w:numId w:val="104"/>
        </w:numPr>
        <w:tabs>
          <w:tab w:val="left" w:pos="1640"/>
        </w:tabs>
        <w:ind w:left="1640" w:hanging="790"/>
        <w:rPr>
          <w:rFonts w:ascii="Arial" w:eastAsia="Arial" w:hAnsi="Arial" w:cs="Arial"/>
        </w:rPr>
      </w:pPr>
      <w:r>
        <w:rPr>
          <w:rFonts w:ascii="Arial" w:eastAsia="Arial" w:hAnsi="Arial" w:cs="Arial"/>
        </w:rPr>
        <w:t>As used in this Agreement:</w:t>
      </w:r>
    </w:p>
    <w:p w14:paraId="36D50E7B" w14:textId="77777777" w:rsidR="00D1587D" w:rsidRDefault="00D1587D">
      <w:pPr>
        <w:spacing w:line="227" w:lineRule="exact"/>
        <w:rPr>
          <w:sz w:val="20"/>
          <w:szCs w:val="20"/>
        </w:rPr>
      </w:pPr>
    </w:p>
    <w:p w14:paraId="26994B1E" w14:textId="77777777" w:rsidR="00D1587D" w:rsidRDefault="00410D07">
      <w:pPr>
        <w:spacing w:line="243" w:lineRule="auto"/>
        <w:ind w:firstLine="648"/>
        <w:rPr>
          <w:sz w:val="20"/>
          <w:szCs w:val="20"/>
        </w:rPr>
      </w:pPr>
      <w:r>
        <w:rPr>
          <w:rFonts w:ascii="Arial" w:eastAsia="Arial" w:hAnsi="Arial" w:cs="Arial"/>
        </w:rPr>
        <w:t>“</w:t>
      </w:r>
      <w:r>
        <w:rPr>
          <w:rFonts w:ascii="Arial" w:eastAsia="Arial" w:hAnsi="Arial" w:cs="Arial"/>
          <w:b/>
          <w:bCs/>
        </w:rPr>
        <w:t xml:space="preserve">Active </w:t>
      </w:r>
      <w:r>
        <w:rPr>
          <w:rFonts w:ascii="Arial" w:eastAsia="Arial" w:hAnsi="Arial" w:cs="Arial"/>
          <w:b/>
          <w:bCs/>
        </w:rPr>
        <w:t>Trade or Business</w:t>
      </w:r>
      <w:r>
        <w:rPr>
          <w:rFonts w:ascii="Arial" w:eastAsia="Arial" w:hAnsi="Arial" w:cs="Arial"/>
        </w:rPr>
        <w:t>” means, (i) with respect to VS, the VS Business (as defined in the Separation Agreement), (ii) with respect to [__], the Subsidiary 1 Business (as defined in Schedule C-1) and (iii) with respect to [__], the Subsidiary 2 Business (as defi</w:t>
      </w:r>
      <w:r>
        <w:rPr>
          <w:rFonts w:ascii="Arial" w:eastAsia="Arial" w:hAnsi="Arial" w:cs="Arial"/>
        </w:rPr>
        <w:t>ned in Schedule C-2).</w:t>
      </w:r>
    </w:p>
    <w:p w14:paraId="61E38DD8" w14:textId="77777777" w:rsidR="00D1587D" w:rsidRDefault="00D1587D">
      <w:pPr>
        <w:spacing w:line="204" w:lineRule="exact"/>
        <w:rPr>
          <w:sz w:val="20"/>
          <w:szCs w:val="20"/>
        </w:rPr>
      </w:pPr>
    </w:p>
    <w:p w14:paraId="71C59066" w14:textId="77777777" w:rsidR="00D1587D" w:rsidRDefault="00410D07">
      <w:pPr>
        <w:ind w:left="660"/>
        <w:rPr>
          <w:sz w:val="20"/>
          <w:szCs w:val="20"/>
        </w:rPr>
      </w:pPr>
      <w:r>
        <w:rPr>
          <w:rFonts w:ascii="Arial" w:eastAsia="Arial" w:hAnsi="Arial" w:cs="Arial"/>
        </w:rPr>
        <w:t>“</w:t>
      </w:r>
      <w:r>
        <w:rPr>
          <w:rFonts w:ascii="Arial" w:eastAsia="Arial" w:hAnsi="Arial" w:cs="Arial"/>
          <w:b/>
          <w:bCs/>
        </w:rPr>
        <w:t>Affiliate</w:t>
      </w:r>
      <w:r>
        <w:rPr>
          <w:rFonts w:ascii="Arial" w:eastAsia="Arial" w:hAnsi="Arial" w:cs="Arial"/>
        </w:rPr>
        <w:t>” has the meaning set forth in the Separation Agreement.</w:t>
      </w:r>
    </w:p>
    <w:p w14:paraId="43419FB3" w14:textId="77777777" w:rsidR="00D1587D" w:rsidRDefault="00D1587D">
      <w:pPr>
        <w:spacing w:line="233" w:lineRule="exact"/>
        <w:rPr>
          <w:sz w:val="20"/>
          <w:szCs w:val="20"/>
        </w:rPr>
      </w:pPr>
    </w:p>
    <w:p w14:paraId="47987F9A" w14:textId="77777777" w:rsidR="00D1587D" w:rsidRDefault="00410D07">
      <w:pPr>
        <w:ind w:left="660"/>
        <w:rPr>
          <w:sz w:val="20"/>
          <w:szCs w:val="20"/>
        </w:rPr>
      </w:pPr>
      <w:r>
        <w:rPr>
          <w:rFonts w:ascii="Arial" w:eastAsia="Arial" w:hAnsi="Arial" w:cs="Arial"/>
        </w:rPr>
        <w:t>“</w:t>
      </w:r>
      <w:r>
        <w:rPr>
          <w:rFonts w:ascii="Arial" w:eastAsia="Arial" w:hAnsi="Arial" w:cs="Arial"/>
          <w:b/>
          <w:bCs/>
        </w:rPr>
        <w:t>Agreement</w:t>
      </w:r>
      <w:r>
        <w:rPr>
          <w:rFonts w:ascii="Arial" w:eastAsia="Arial" w:hAnsi="Arial" w:cs="Arial"/>
        </w:rPr>
        <w:t>” has the meaning set forth in the recitals hereto.</w:t>
      </w:r>
    </w:p>
    <w:p w14:paraId="40640E2A" w14:textId="77777777" w:rsidR="00D1587D" w:rsidRDefault="00D1587D">
      <w:pPr>
        <w:spacing w:line="233" w:lineRule="exact"/>
        <w:rPr>
          <w:sz w:val="20"/>
          <w:szCs w:val="20"/>
        </w:rPr>
      </w:pPr>
    </w:p>
    <w:p w14:paraId="59802537" w14:textId="77777777" w:rsidR="00D1587D" w:rsidRDefault="00410D07">
      <w:pPr>
        <w:spacing w:line="283" w:lineRule="auto"/>
        <w:ind w:right="100" w:firstLine="648"/>
        <w:rPr>
          <w:sz w:val="20"/>
          <w:szCs w:val="20"/>
        </w:rPr>
      </w:pPr>
      <w:r>
        <w:rPr>
          <w:rFonts w:ascii="Arial" w:eastAsia="Arial" w:hAnsi="Arial" w:cs="Arial"/>
          <w:sz w:val="19"/>
          <w:szCs w:val="19"/>
        </w:rPr>
        <w:t>“</w:t>
      </w:r>
      <w:r>
        <w:rPr>
          <w:rFonts w:ascii="Arial" w:eastAsia="Arial" w:hAnsi="Arial" w:cs="Arial"/>
          <w:b/>
          <w:bCs/>
          <w:sz w:val="19"/>
          <w:szCs w:val="19"/>
        </w:rPr>
        <w:t>Applicable Law</w:t>
      </w:r>
      <w:r>
        <w:rPr>
          <w:rFonts w:ascii="Arial" w:eastAsia="Arial" w:hAnsi="Arial" w:cs="Arial"/>
          <w:sz w:val="19"/>
          <w:szCs w:val="19"/>
        </w:rPr>
        <w:t>” (or “</w:t>
      </w:r>
      <w:r>
        <w:rPr>
          <w:rFonts w:ascii="Arial" w:eastAsia="Arial" w:hAnsi="Arial" w:cs="Arial"/>
          <w:b/>
          <w:bCs/>
          <w:sz w:val="19"/>
          <w:szCs w:val="19"/>
        </w:rPr>
        <w:t>Applicable Tax Law</w:t>
      </w:r>
      <w:r>
        <w:rPr>
          <w:rFonts w:ascii="Arial" w:eastAsia="Arial" w:hAnsi="Arial" w:cs="Arial"/>
          <w:sz w:val="19"/>
          <w:szCs w:val="19"/>
        </w:rPr>
        <w:t xml:space="preserve">,” as the case may be) means, with respect to any Person, any </w:t>
      </w:r>
      <w:r>
        <w:rPr>
          <w:rFonts w:ascii="Arial" w:eastAsia="Arial" w:hAnsi="Arial" w:cs="Arial"/>
          <w:sz w:val="19"/>
          <w:szCs w:val="19"/>
        </w:rPr>
        <w:t xml:space="preserve">federal, state, county, municipal, local, multinational or foreign statute, treaty, law, common law, ordinance, rule, regulation, order, writ, injunction, judicial decision, decree, permit or other legally binding requirement of any Governmental Authority </w:t>
      </w:r>
      <w:r>
        <w:rPr>
          <w:rFonts w:ascii="Arial" w:eastAsia="Arial" w:hAnsi="Arial" w:cs="Arial"/>
          <w:sz w:val="19"/>
          <w:szCs w:val="19"/>
        </w:rPr>
        <w:t>applicable to such Person or any of its respective properties, assets, officers, directors, employees, consultants or agents (in connection with such officer’s, director’s, employee’s, consultant’s or agent’s activities on behalf of such Person).</w:t>
      </w:r>
    </w:p>
    <w:p w14:paraId="2420A585" w14:textId="77777777" w:rsidR="00D1587D" w:rsidRDefault="00D1587D">
      <w:pPr>
        <w:spacing w:line="108" w:lineRule="exact"/>
        <w:rPr>
          <w:sz w:val="20"/>
          <w:szCs w:val="20"/>
        </w:rPr>
      </w:pPr>
    </w:p>
    <w:p w14:paraId="137AA06F" w14:textId="77777777" w:rsidR="00D1587D" w:rsidRDefault="00410D07">
      <w:pPr>
        <w:ind w:right="-19"/>
        <w:jc w:val="center"/>
        <w:rPr>
          <w:sz w:val="20"/>
          <w:szCs w:val="20"/>
        </w:rPr>
      </w:pPr>
      <w:r>
        <w:rPr>
          <w:rFonts w:ascii="Arial" w:eastAsia="Arial" w:hAnsi="Arial" w:cs="Arial"/>
        </w:rPr>
        <w:t>1</w:t>
      </w:r>
    </w:p>
    <w:p w14:paraId="62696FE1" w14:textId="77777777" w:rsidR="00D1587D" w:rsidRDefault="00410D07">
      <w:pPr>
        <w:spacing w:line="20" w:lineRule="exact"/>
        <w:rPr>
          <w:sz w:val="20"/>
          <w:szCs w:val="20"/>
        </w:rPr>
      </w:pPr>
      <w:r>
        <w:rPr>
          <w:noProof/>
          <w:sz w:val="20"/>
          <w:szCs w:val="20"/>
        </w:rPr>
        <w:drawing>
          <wp:anchor distT="0" distB="0" distL="114300" distR="114300" simplePos="0" relativeHeight="251294720" behindDoc="1" locked="0" layoutInCell="0" allowOverlap="1" wp14:anchorId="29B81DEE" wp14:editId="1760F6D3">
            <wp:simplePos x="0" y="0"/>
            <wp:positionH relativeFrom="column">
              <wp:posOffset>5080</wp:posOffset>
            </wp:positionH>
            <wp:positionV relativeFrom="paragraph">
              <wp:posOffset>41275</wp:posOffset>
            </wp:positionV>
            <wp:extent cx="7132320" cy="1714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1F5F55E" w14:textId="77777777" w:rsidR="00D1587D" w:rsidRDefault="00D1587D">
      <w:pPr>
        <w:sectPr w:rsidR="00D1587D">
          <w:pgSz w:w="11900" w:h="16838"/>
          <w:pgMar w:top="355" w:right="359" w:bottom="1440" w:left="320" w:header="0" w:footer="0" w:gutter="0"/>
          <w:cols w:space="720" w:equalWidth="0">
            <w:col w:w="11220"/>
          </w:cols>
        </w:sectPr>
      </w:pPr>
    </w:p>
    <w:p w14:paraId="53D2B678" w14:textId="77777777" w:rsidR="00D1587D" w:rsidRDefault="00410D07">
      <w:pPr>
        <w:ind w:left="660"/>
        <w:rPr>
          <w:sz w:val="20"/>
          <w:szCs w:val="20"/>
        </w:rPr>
      </w:pPr>
      <w:bookmarkStart w:id="140" w:name="page141"/>
      <w:bookmarkEnd w:id="140"/>
      <w:r>
        <w:rPr>
          <w:rFonts w:ascii="Arial" w:eastAsia="Arial" w:hAnsi="Arial" w:cs="Arial"/>
        </w:rPr>
        <w:t>“</w:t>
      </w:r>
      <w:r>
        <w:rPr>
          <w:rFonts w:ascii="Arial" w:eastAsia="Arial" w:hAnsi="Arial" w:cs="Arial"/>
          <w:b/>
          <w:bCs/>
        </w:rPr>
        <w:t>Business Day</w:t>
      </w:r>
      <w:r>
        <w:rPr>
          <w:rFonts w:ascii="Arial" w:eastAsia="Arial" w:hAnsi="Arial" w:cs="Arial"/>
        </w:rPr>
        <w:t>” has the meaning set forth in the Separation Agreement.</w:t>
      </w:r>
    </w:p>
    <w:p w14:paraId="55AEF096" w14:textId="77777777" w:rsidR="00D1587D" w:rsidRDefault="00D1587D">
      <w:pPr>
        <w:spacing w:line="233" w:lineRule="exact"/>
        <w:rPr>
          <w:sz w:val="20"/>
          <w:szCs w:val="20"/>
        </w:rPr>
      </w:pPr>
    </w:p>
    <w:p w14:paraId="335096EA" w14:textId="77777777" w:rsidR="00D1587D" w:rsidRDefault="00410D07">
      <w:pPr>
        <w:spacing w:line="256" w:lineRule="auto"/>
        <w:ind w:right="340" w:firstLine="648"/>
        <w:rPr>
          <w:sz w:val="20"/>
          <w:szCs w:val="20"/>
        </w:rPr>
      </w:pPr>
      <w:r>
        <w:rPr>
          <w:rFonts w:ascii="Arial" w:eastAsia="Arial" w:hAnsi="Arial" w:cs="Arial"/>
        </w:rPr>
        <w:t>“</w:t>
      </w:r>
      <w:r>
        <w:rPr>
          <w:rFonts w:ascii="Arial" w:eastAsia="Arial" w:hAnsi="Arial" w:cs="Arial"/>
          <w:b/>
          <w:bCs/>
        </w:rPr>
        <w:t>Cash Management Transfer</w:t>
      </w:r>
      <w:r>
        <w:rPr>
          <w:rFonts w:ascii="Arial" w:eastAsia="Arial" w:hAnsi="Arial" w:cs="Arial"/>
        </w:rPr>
        <w:t xml:space="preserve">” means the transactions described on </w:t>
      </w:r>
      <w:r>
        <w:rPr>
          <w:rFonts w:ascii="Arial" w:eastAsia="Arial" w:hAnsi="Arial" w:cs="Arial"/>
          <w:u w:val="single"/>
        </w:rPr>
        <w:t>Schedule B</w:t>
      </w:r>
      <w:r>
        <w:rPr>
          <w:rFonts w:ascii="Arial" w:eastAsia="Arial" w:hAnsi="Arial" w:cs="Arial"/>
        </w:rPr>
        <w:t xml:space="preserve"> and undertaken in anticipation of the Distribution.</w:t>
      </w:r>
    </w:p>
    <w:p w14:paraId="35BA627B" w14:textId="77777777" w:rsidR="00D1587D" w:rsidRDefault="00D1587D">
      <w:pPr>
        <w:spacing w:line="189" w:lineRule="exact"/>
        <w:rPr>
          <w:sz w:val="20"/>
          <w:szCs w:val="20"/>
        </w:rPr>
      </w:pPr>
    </w:p>
    <w:p w14:paraId="4A60C97F" w14:textId="77777777" w:rsidR="00D1587D" w:rsidRDefault="00410D07">
      <w:pPr>
        <w:spacing w:line="243" w:lineRule="auto"/>
        <w:ind w:right="180" w:firstLine="648"/>
        <w:rPr>
          <w:sz w:val="20"/>
          <w:szCs w:val="20"/>
        </w:rPr>
      </w:pPr>
      <w:r>
        <w:rPr>
          <w:rFonts w:ascii="Arial" w:eastAsia="Arial" w:hAnsi="Arial" w:cs="Arial"/>
        </w:rPr>
        <w:t>“</w:t>
      </w:r>
      <w:r>
        <w:rPr>
          <w:rFonts w:ascii="Arial" w:eastAsia="Arial" w:hAnsi="Arial" w:cs="Arial"/>
          <w:b/>
          <w:bCs/>
        </w:rPr>
        <w:t>Cash Management Transfer Taxes</w:t>
      </w:r>
      <w:r>
        <w:rPr>
          <w:rFonts w:ascii="Arial" w:eastAsia="Arial" w:hAnsi="Arial" w:cs="Arial"/>
        </w:rPr>
        <w:t xml:space="preserve">” means any Tax (excluding any Tax imposed on, or measured by reference to, net income but including, for the avoidance of doubt, any withholding Tax imposed with </w:t>
      </w:r>
      <w:r>
        <w:rPr>
          <w:rFonts w:ascii="Arial" w:eastAsia="Arial" w:hAnsi="Arial" w:cs="Arial"/>
        </w:rPr>
        <w:t>respect to a Cash Management Transfer) incurred in connection with any Cash Management Transfer.</w:t>
      </w:r>
    </w:p>
    <w:p w14:paraId="7E1EEB8B" w14:textId="77777777" w:rsidR="00D1587D" w:rsidRDefault="00D1587D">
      <w:pPr>
        <w:spacing w:line="204" w:lineRule="exact"/>
        <w:rPr>
          <w:sz w:val="20"/>
          <w:szCs w:val="20"/>
        </w:rPr>
      </w:pPr>
    </w:p>
    <w:p w14:paraId="033F2E9B" w14:textId="77777777" w:rsidR="00D1587D" w:rsidRDefault="00410D07">
      <w:pPr>
        <w:spacing w:line="235" w:lineRule="auto"/>
        <w:ind w:firstLine="648"/>
        <w:rPr>
          <w:sz w:val="20"/>
          <w:szCs w:val="20"/>
        </w:rPr>
      </w:pPr>
      <w:r>
        <w:rPr>
          <w:rFonts w:ascii="Arial" w:eastAsia="Arial" w:hAnsi="Arial" w:cs="Arial"/>
        </w:rPr>
        <w:t>“</w:t>
      </w:r>
      <w:r>
        <w:rPr>
          <w:rFonts w:ascii="Arial" w:eastAsia="Arial" w:hAnsi="Arial" w:cs="Arial"/>
          <w:b/>
          <w:bCs/>
        </w:rPr>
        <w:t>Closing of the Books Method</w:t>
      </w:r>
      <w:r>
        <w:rPr>
          <w:rFonts w:ascii="Arial" w:eastAsia="Arial" w:hAnsi="Arial" w:cs="Arial"/>
        </w:rPr>
        <w:t>” means the apportionment of items between portions of a Taxable period based on a closing of the books and records on the close o</w:t>
      </w:r>
      <w:r>
        <w:rPr>
          <w:rFonts w:ascii="Arial" w:eastAsia="Arial" w:hAnsi="Arial" w:cs="Arial"/>
        </w:rPr>
        <w:t>f the Distribution Date (in the event that the Distribution Date is not the last day of the Taxable period, as if the Distribution Date were the last day of the Taxable period), subject to adjustment for items accrued on the Distribution Date that are prop</w:t>
      </w:r>
      <w:r>
        <w:rPr>
          <w:rFonts w:ascii="Arial" w:eastAsia="Arial" w:hAnsi="Arial" w:cs="Arial"/>
        </w:rPr>
        <w:t xml:space="preserve">erly allocable to the Taxable period following the Distribution, as determined by L Brands in accordance with Applicable Law; </w:t>
      </w:r>
      <w:r>
        <w:rPr>
          <w:rFonts w:ascii="Arial" w:eastAsia="Arial" w:hAnsi="Arial" w:cs="Arial"/>
          <w:i/>
          <w:iCs/>
        </w:rPr>
        <w:t>provided</w:t>
      </w:r>
      <w:r>
        <w:rPr>
          <w:rFonts w:ascii="Arial" w:eastAsia="Arial" w:hAnsi="Arial" w:cs="Arial"/>
        </w:rPr>
        <w:t xml:space="preserve"> that Taxes not based upon or measured by net or gross income or specific events shall be apportioned between the Pre- and</w:t>
      </w:r>
      <w:r>
        <w:rPr>
          <w:rFonts w:ascii="Arial" w:eastAsia="Arial" w:hAnsi="Arial" w:cs="Arial"/>
        </w:rPr>
        <w:t xml:space="preserve"> Post-Distribution Periods on a </w:t>
      </w:r>
      <w:r>
        <w:rPr>
          <w:rFonts w:ascii="Arial" w:eastAsia="Arial" w:hAnsi="Arial" w:cs="Arial"/>
          <w:i/>
          <w:iCs/>
        </w:rPr>
        <w:t>pro rata</w:t>
      </w:r>
      <w:r>
        <w:rPr>
          <w:rFonts w:ascii="Arial" w:eastAsia="Arial" w:hAnsi="Arial" w:cs="Arial"/>
        </w:rPr>
        <w:t xml:space="preserve"> basis in accordance with the number of days in each Taxable period.</w:t>
      </w:r>
    </w:p>
    <w:p w14:paraId="29EBB492" w14:textId="77777777" w:rsidR="00D1587D" w:rsidRDefault="00D1587D">
      <w:pPr>
        <w:spacing w:line="210" w:lineRule="exact"/>
        <w:rPr>
          <w:sz w:val="20"/>
          <w:szCs w:val="20"/>
        </w:rPr>
      </w:pPr>
    </w:p>
    <w:p w14:paraId="527B0AB9" w14:textId="77777777" w:rsidR="00D1587D" w:rsidRDefault="00410D07">
      <w:pPr>
        <w:ind w:left="660"/>
        <w:rPr>
          <w:sz w:val="20"/>
          <w:szCs w:val="20"/>
        </w:rPr>
      </w:pPr>
      <w:r>
        <w:rPr>
          <w:rFonts w:ascii="Arial" w:eastAsia="Arial" w:hAnsi="Arial" w:cs="Arial"/>
        </w:rPr>
        <w:t>“</w:t>
      </w:r>
      <w:r>
        <w:rPr>
          <w:rFonts w:ascii="Arial" w:eastAsia="Arial" w:hAnsi="Arial" w:cs="Arial"/>
          <w:b/>
          <w:bCs/>
        </w:rPr>
        <w:t>Code</w:t>
      </w:r>
      <w:r>
        <w:rPr>
          <w:rFonts w:ascii="Arial" w:eastAsia="Arial" w:hAnsi="Arial" w:cs="Arial"/>
        </w:rPr>
        <w:t>” has the meaning set forth in the recitals hereto.</w:t>
      </w:r>
    </w:p>
    <w:p w14:paraId="55574933" w14:textId="77777777" w:rsidR="00D1587D" w:rsidRDefault="00D1587D">
      <w:pPr>
        <w:spacing w:line="233" w:lineRule="exact"/>
        <w:rPr>
          <w:sz w:val="20"/>
          <w:szCs w:val="20"/>
        </w:rPr>
      </w:pPr>
    </w:p>
    <w:p w14:paraId="10A01C3F" w14:textId="77777777" w:rsidR="00D1587D" w:rsidRDefault="00410D07">
      <w:pPr>
        <w:spacing w:line="239" w:lineRule="auto"/>
        <w:ind w:right="120" w:firstLine="648"/>
        <w:jc w:val="both"/>
        <w:rPr>
          <w:sz w:val="20"/>
          <w:szCs w:val="20"/>
        </w:rPr>
      </w:pPr>
      <w:r>
        <w:rPr>
          <w:rFonts w:ascii="Arial" w:eastAsia="Arial" w:hAnsi="Arial" w:cs="Arial"/>
        </w:rPr>
        <w:t>“</w:t>
      </w:r>
      <w:r>
        <w:rPr>
          <w:rFonts w:ascii="Arial" w:eastAsia="Arial" w:hAnsi="Arial" w:cs="Arial"/>
          <w:b/>
          <w:bCs/>
        </w:rPr>
        <w:t>Combined Group</w:t>
      </w:r>
      <w:r>
        <w:rPr>
          <w:rFonts w:ascii="Arial" w:eastAsia="Arial" w:hAnsi="Arial" w:cs="Arial"/>
        </w:rPr>
        <w:t>” means any group consisting of at least one member that filed or was req</w:t>
      </w:r>
      <w:r>
        <w:rPr>
          <w:rFonts w:ascii="Arial" w:eastAsia="Arial" w:hAnsi="Arial" w:cs="Arial"/>
        </w:rPr>
        <w:t>uired to file (or will file or be required to file) a Tax Return on an affiliated, consolidated, combined, unitary, fiscal unity or other group basis (including as permitted by Section 1501 of the Code) that includes at least one member of the L Brands Gro</w:t>
      </w:r>
      <w:r>
        <w:rPr>
          <w:rFonts w:ascii="Arial" w:eastAsia="Arial" w:hAnsi="Arial" w:cs="Arial"/>
        </w:rPr>
        <w:t>up and at least one member of the VS Group.</w:t>
      </w:r>
    </w:p>
    <w:p w14:paraId="696853E2" w14:textId="77777777" w:rsidR="00D1587D" w:rsidRDefault="00D1587D">
      <w:pPr>
        <w:spacing w:line="207" w:lineRule="exact"/>
        <w:rPr>
          <w:sz w:val="20"/>
          <w:szCs w:val="20"/>
        </w:rPr>
      </w:pPr>
    </w:p>
    <w:p w14:paraId="6266EB60" w14:textId="77777777" w:rsidR="00D1587D" w:rsidRDefault="00410D07">
      <w:pPr>
        <w:spacing w:line="256" w:lineRule="auto"/>
        <w:ind w:right="40" w:firstLine="648"/>
        <w:rPr>
          <w:sz w:val="20"/>
          <w:szCs w:val="20"/>
        </w:rPr>
      </w:pPr>
      <w:r>
        <w:rPr>
          <w:rFonts w:ascii="Arial" w:eastAsia="Arial" w:hAnsi="Arial" w:cs="Arial"/>
        </w:rPr>
        <w:t>“</w:t>
      </w:r>
      <w:r>
        <w:rPr>
          <w:rFonts w:ascii="Arial" w:eastAsia="Arial" w:hAnsi="Arial" w:cs="Arial"/>
          <w:b/>
          <w:bCs/>
        </w:rPr>
        <w:t>Combined Tax Return</w:t>
      </w:r>
      <w:r>
        <w:rPr>
          <w:rFonts w:ascii="Arial" w:eastAsia="Arial" w:hAnsi="Arial" w:cs="Arial"/>
        </w:rPr>
        <w:t>” means a Tax Return filed in respect of U.S. federal, state, local or non-U.S. income Taxes for a Combined Group.</w:t>
      </w:r>
    </w:p>
    <w:p w14:paraId="2160BFC2" w14:textId="77777777" w:rsidR="00D1587D" w:rsidRDefault="00D1587D">
      <w:pPr>
        <w:spacing w:line="189" w:lineRule="exact"/>
        <w:rPr>
          <w:sz w:val="20"/>
          <w:szCs w:val="20"/>
        </w:rPr>
      </w:pPr>
    </w:p>
    <w:p w14:paraId="17A92EF3" w14:textId="77777777" w:rsidR="00D1587D" w:rsidRDefault="00410D07">
      <w:pPr>
        <w:ind w:left="660"/>
        <w:rPr>
          <w:sz w:val="20"/>
          <w:szCs w:val="20"/>
        </w:rPr>
      </w:pPr>
      <w:r>
        <w:rPr>
          <w:rFonts w:ascii="Arial" w:eastAsia="Arial" w:hAnsi="Arial" w:cs="Arial"/>
          <w:sz w:val="19"/>
          <w:szCs w:val="19"/>
        </w:rPr>
        <w:t>“</w:t>
      </w:r>
      <w:r>
        <w:rPr>
          <w:rFonts w:ascii="Arial" w:eastAsia="Arial" w:hAnsi="Arial" w:cs="Arial"/>
          <w:b/>
          <w:bCs/>
          <w:sz w:val="19"/>
          <w:szCs w:val="19"/>
        </w:rPr>
        <w:t>Company</w:t>
      </w:r>
      <w:r>
        <w:rPr>
          <w:rFonts w:ascii="Arial" w:eastAsia="Arial" w:hAnsi="Arial" w:cs="Arial"/>
          <w:sz w:val="19"/>
          <w:szCs w:val="19"/>
        </w:rPr>
        <w:t xml:space="preserve">” means L Brands or VS (or the appropriate member of each of their </w:t>
      </w:r>
      <w:r>
        <w:rPr>
          <w:rFonts w:ascii="Arial" w:eastAsia="Arial" w:hAnsi="Arial" w:cs="Arial"/>
          <w:sz w:val="19"/>
          <w:szCs w:val="19"/>
        </w:rPr>
        <w:t>respective Groups), as appropriate.</w:t>
      </w:r>
    </w:p>
    <w:p w14:paraId="507ADFF7" w14:textId="77777777" w:rsidR="00D1587D" w:rsidRDefault="00D1587D">
      <w:pPr>
        <w:spacing w:line="268" w:lineRule="exact"/>
        <w:rPr>
          <w:sz w:val="20"/>
          <w:szCs w:val="20"/>
        </w:rPr>
      </w:pPr>
    </w:p>
    <w:p w14:paraId="14EEEFB5" w14:textId="77777777" w:rsidR="00D1587D" w:rsidRDefault="00410D07">
      <w:pPr>
        <w:ind w:left="660"/>
        <w:rPr>
          <w:sz w:val="20"/>
          <w:szCs w:val="20"/>
        </w:rPr>
      </w:pPr>
      <w:r>
        <w:rPr>
          <w:rFonts w:ascii="Arial" w:eastAsia="Arial" w:hAnsi="Arial" w:cs="Arial"/>
        </w:rPr>
        <w:t>“</w:t>
      </w:r>
      <w:r>
        <w:rPr>
          <w:rFonts w:ascii="Arial" w:eastAsia="Arial" w:hAnsi="Arial" w:cs="Arial"/>
          <w:b/>
          <w:bCs/>
        </w:rPr>
        <w:t>Contribution</w:t>
      </w:r>
      <w:r>
        <w:rPr>
          <w:rFonts w:ascii="Arial" w:eastAsia="Arial" w:hAnsi="Arial" w:cs="Arial"/>
        </w:rPr>
        <w:t>” has the meaning set forth in the Separation Agreement.</w:t>
      </w:r>
    </w:p>
    <w:p w14:paraId="2D6EB897" w14:textId="77777777" w:rsidR="00D1587D" w:rsidRDefault="00D1587D">
      <w:pPr>
        <w:spacing w:line="233" w:lineRule="exact"/>
        <w:rPr>
          <w:sz w:val="20"/>
          <w:szCs w:val="20"/>
        </w:rPr>
      </w:pPr>
    </w:p>
    <w:p w14:paraId="0BAC376D" w14:textId="77777777" w:rsidR="00D1587D" w:rsidRDefault="00410D07">
      <w:pPr>
        <w:ind w:left="660"/>
        <w:rPr>
          <w:sz w:val="20"/>
          <w:szCs w:val="20"/>
        </w:rPr>
      </w:pPr>
      <w:r>
        <w:rPr>
          <w:rFonts w:ascii="Arial" w:eastAsia="Arial" w:hAnsi="Arial" w:cs="Arial"/>
        </w:rPr>
        <w:t>“</w:t>
      </w:r>
      <w:r>
        <w:rPr>
          <w:rFonts w:ascii="Arial" w:eastAsia="Arial" w:hAnsi="Arial" w:cs="Arial"/>
          <w:b/>
          <w:bCs/>
        </w:rPr>
        <w:t>Distribution</w:t>
      </w:r>
      <w:r>
        <w:rPr>
          <w:rFonts w:ascii="Arial" w:eastAsia="Arial" w:hAnsi="Arial" w:cs="Arial"/>
        </w:rPr>
        <w:t>” has the meaning set forth in the Separation Agreement.</w:t>
      </w:r>
    </w:p>
    <w:p w14:paraId="68D6F769" w14:textId="77777777" w:rsidR="00D1587D" w:rsidRDefault="00D1587D">
      <w:pPr>
        <w:spacing w:line="233" w:lineRule="exact"/>
        <w:rPr>
          <w:sz w:val="20"/>
          <w:szCs w:val="20"/>
        </w:rPr>
      </w:pPr>
    </w:p>
    <w:p w14:paraId="19DE546F" w14:textId="77777777" w:rsidR="00D1587D" w:rsidRDefault="00410D07">
      <w:pPr>
        <w:ind w:left="660"/>
        <w:rPr>
          <w:sz w:val="20"/>
          <w:szCs w:val="20"/>
        </w:rPr>
      </w:pPr>
      <w:r>
        <w:rPr>
          <w:rFonts w:ascii="Arial" w:eastAsia="Arial" w:hAnsi="Arial" w:cs="Arial"/>
        </w:rPr>
        <w:t>“</w:t>
      </w:r>
      <w:r>
        <w:rPr>
          <w:rFonts w:ascii="Arial" w:eastAsia="Arial" w:hAnsi="Arial" w:cs="Arial"/>
          <w:b/>
          <w:bCs/>
        </w:rPr>
        <w:t>Distribution Date</w:t>
      </w:r>
      <w:r>
        <w:rPr>
          <w:rFonts w:ascii="Arial" w:eastAsia="Arial" w:hAnsi="Arial" w:cs="Arial"/>
        </w:rPr>
        <w:t>” has the meaning set forth in the Separation Agreement.</w:t>
      </w:r>
    </w:p>
    <w:p w14:paraId="0159DF46" w14:textId="77777777" w:rsidR="00D1587D" w:rsidRDefault="00D1587D">
      <w:pPr>
        <w:spacing w:line="233" w:lineRule="exact"/>
        <w:rPr>
          <w:sz w:val="20"/>
          <w:szCs w:val="20"/>
        </w:rPr>
      </w:pPr>
    </w:p>
    <w:p w14:paraId="6FD735B3" w14:textId="77777777" w:rsidR="00D1587D" w:rsidRDefault="00410D07">
      <w:pPr>
        <w:ind w:left="660"/>
        <w:rPr>
          <w:sz w:val="20"/>
          <w:szCs w:val="20"/>
        </w:rPr>
      </w:pPr>
      <w:r>
        <w:rPr>
          <w:rFonts w:ascii="Arial" w:eastAsia="Arial" w:hAnsi="Arial" w:cs="Arial"/>
        </w:rPr>
        <w:t>“</w:t>
      </w:r>
      <w:r>
        <w:rPr>
          <w:rFonts w:ascii="Arial" w:eastAsia="Arial" w:hAnsi="Arial" w:cs="Arial"/>
          <w:b/>
          <w:bCs/>
        </w:rPr>
        <w:t>Distribution Documents</w:t>
      </w:r>
      <w:r>
        <w:rPr>
          <w:rFonts w:ascii="Arial" w:eastAsia="Arial" w:hAnsi="Arial" w:cs="Arial"/>
        </w:rPr>
        <w:t>” has the meaning set forth in the Separation Agreement.</w:t>
      </w:r>
    </w:p>
    <w:p w14:paraId="2E3419DA" w14:textId="77777777" w:rsidR="00D1587D" w:rsidRDefault="00D1587D">
      <w:pPr>
        <w:spacing w:line="233" w:lineRule="exact"/>
        <w:rPr>
          <w:sz w:val="20"/>
          <w:szCs w:val="20"/>
        </w:rPr>
      </w:pPr>
    </w:p>
    <w:p w14:paraId="1FD08EF2" w14:textId="77777777" w:rsidR="00D1587D" w:rsidRDefault="00410D07">
      <w:pPr>
        <w:spacing w:line="256" w:lineRule="auto"/>
        <w:ind w:right="480" w:firstLine="648"/>
        <w:rPr>
          <w:sz w:val="20"/>
          <w:szCs w:val="20"/>
        </w:rPr>
      </w:pPr>
      <w:r>
        <w:rPr>
          <w:rFonts w:ascii="Arial" w:eastAsia="Arial" w:hAnsi="Arial" w:cs="Arial"/>
        </w:rPr>
        <w:t>“</w:t>
      </w:r>
      <w:r>
        <w:rPr>
          <w:rFonts w:ascii="Arial" w:eastAsia="Arial" w:hAnsi="Arial" w:cs="Arial"/>
          <w:b/>
          <w:bCs/>
        </w:rPr>
        <w:t>Distribution Taxes</w:t>
      </w:r>
      <w:r>
        <w:rPr>
          <w:rFonts w:ascii="Arial" w:eastAsia="Arial" w:hAnsi="Arial" w:cs="Arial"/>
        </w:rPr>
        <w:t xml:space="preserve">” means any Taxes incurred solely as a result of the failure of the Intended Tax Treatment of the Restructuring, the Contribution or the </w:t>
      </w:r>
      <w:r>
        <w:rPr>
          <w:rFonts w:ascii="Arial" w:eastAsia="Arial" w:hAnsi="Arial" w:cs="Arial"/>
        </w:rPr>
        <w:t>Distribution.</w:t>
      </w:r>
    </w:p>
    <w:p w14:paraId="1F08B015" w14:textId="77777777" w:rsidR="00D1587D" w:rsidRDefault="00D1587D">
      <w:pPr>
        <w:spacing w:line="128" w:lineRule="exact"/>
        <w:rPr>
          <w:sz w:val="20"/>
          <w:szCs w:val="20"/>
        </w:rPr>
      </w:pPr>
    </w:p>
    <w:p w14:paraId="2B57EB20" w14:textId="77777777" w:rsidR="00D1587D" w:rsidRDefault="00410D07">
      <w:pPr>
        <w:ind w:right="-39"/>
        <w:jc w:val="center"/>
        <w:rPr>
          <w:sz w:val="20"/>
          <w:szCs w:val="20"/>
        </w:rPr>
      </w:pPr>
      <w:r>
        <w:rPr>
          <w:rFonts w:ascii="Arial" w:eastAsia="Arial" w:hAnsi="Arial" w:cs="Arial"/>
        </w:rPr>
        <w:t>2</w:t>
      </w:r>
    </w:p>
    <w:p w14:paraId="66E3E7C4" w14:textId="77777777" w:rsidR="00D1587D" w:rsidRDefault="00410D07">
      <w:pPr>
        <w:spacing w:line="20" w:lineRule="exact"/>
        <w:rPr>
          <w:sz w:val="20"/>
          <w:szCs w:val="20"/>
        </w:rPr>
      </w:pPr>
      <w:r>
        <w:rPr>
          <w:noProof/>
          <w:sz w:val="20"/>
          <w:szCs w:val="20"/>
        </w:rPr>
        <w:drawing>
          <wp:anchor distT="0" distB="0" distL="114300" distR="114300" simplePos="0" relativeHeight="251295744" behindDoc="1" locked="0" layoutInCell="0" allowOverlap="1" wp14:anchorId="7DE9BB70" wp14:editId="0AC8C023">
            <wp:simplePos x="0" y="0"/>
            <wp:positionH relativeFrom="column">
              <wp:posOffset>5080</wp:posOffset>
            </wp:positionH>
            <wp:positionV relativeFrom="paragraph">
              <wp:posOffset>41275</wp:posOffset>
            </wp:positionV>
            <wp:extent cx="7132320" cy="1714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03F2C6F" w14:textId="77777777" w:rsidR="00D1587D" w:rsidRDefault="00D1587D">
      <w:pPr>
        <w:sectPr w:rsidR="00D1587D">
          <w:pgSz w:w="11900" w:h="16838"/>
          <w:pgMar w:top="355" w:right="379" w:bottom="1440" w:left="320" w:header="0" w:footer="0" w:gutter="0"/>
          <w:cols w:space="720" w:equalWidth="0">
            <w:col w:w="11200"/>
          </w:cols>
        </w:sectPr>
      </w:pPr>
    </w:p>
    <w:p w14:paraId="22987D30" w14:textId="77777777" w:rsidR="00D1587D" w:rsidRDefault="00410D07">
      <w:pPr>
        <w:ind w:left="660"/>
        <w:rPr>
          <w:sz w:val="20"/>
          <w:szCs w:val="20"/>
        </w:rPr>
      </w:pPr>
      <w:bookmarkStart w:id="141" w:name="page142"/>
      <w:bookmarkEnd w:id="141"/>
      <w:r>
        <w:rPr>
          <w:rFonts w:ascii="Arial" w:eastAsia="Arial" w:hAnsi="Arial" w:cs="Arial"/>
        </w:rPr>
        <w:t>“</w:t>
      </w:r>
      <w:r>
        <w:rPr>
          <w:rFonts w:ascii="Arial" w:eastAsia="Arial" w:hAnsi="Arial" w:cs="Arial"/>
          <w:b/>
          <w:bCs/>
        </w:rPr>
        <w:t>Distribution Time</w:t>
      </w:r>
      <w:r>
        <w:rPr>
          <w:rFonts w:ascii="Arial" w:eastAsia="Arial" w:hAnsi="Arial" w:cs="Arial"/>
        </w:rPr>
        <w:t>” has the meaning set forth in the Separation Agreement.</w:t>
      </w:r>
    </w:p>
    <w:p w14:paraId="4F074C44" w14:textId="77777777" w:rsidR="00D1587D" w:rsidRDefault="00D1587D">
      <w:pPr>
        <w:spacing w:line="233" w:lineRule="exact"/>
        <w:rPr>
          <w:sz w:val="20"/>
          <w:szCs w:val="20"/>
        </w:rPr>
      </w:pPr>
    </w:p>
    <w:p w14:paraId="66059E86" w14:textId="77777777" w:rsidR="00D1587D" w:rsidRDefault="00410D07">
      <w:pPr>
        <w:ind w:left="720"/>
        <w:rPr>
          <w:sz w:val="20"/>
          <w:szCs w:val="20"/>
        </w:rPr>
      </w:pPr>
      <w:r>
        <w:rPr>
          <w:rFonts w:ascii="Arial" w:eastAsia="Arial" w:hAnsi="Arial" w:cs="Arial"/>
        </w:rPr>
        <w:t>“</w:t>
      </w:r>
      <w:r>
        <w:rPr>
          <w:rFonts w:ascii="Arial" w:eastAsia="Arial" w:hAnsi="Arial" w:cs="Arial"/>
          <w:b/>
          <w:bCs/>
        </w:rPr>
        <w:t>Escheat Payment</w:t>
      </w:r>
      <w:r>
        <w:rPr>
          <w:rFonts w:ascii="Arial" w:eastAsia="Arial" w:hAnsi="Arial" w:cs="Arial"/>
        </w:rPr>
        <w:t>” has the meaning set forth in the Separation Agreement.</w:t>
      </w:r>
    </w:p>
    <w:p w14:paraId="009F6203" w14:textId="77777777" w:rsidR="00D1587D" w:rsidRDefault="00D1587D">
      <w:pPr>
        <w:spacing w:line="233" w:lineRule="exact"/>
        <w:rPr>
          <w:sz w:val="20"/>
          <w:szCs w:val="20"/>
        </w:rPr>
      </w:pPr>
    </w:p>
    <w:p w14:paraId="7D7FACB5" w14:textId="77777777" w:rsidR="00D1587D" w:rsidRDefault="00410D07">
      <w:pPr>
        <w:spacing w:line="260" w:lineRule="auto"/>
        <w:ind w:right="560" w:firstLine="648"/>
        <w:jc w:val="both"/>
        <w:rPr>
          <w:sz w:val="20"/>
          <w:szCs w:val="20"/>
        </w:rPr>
      </w:pPr>
      <w:r>
        <w:rPr>
          <w:rFonts w:ascii="Arial" w:eastAsia="Arial" w:hAnsi="Arial" w:cs="Arial"/>
          <w:sz w:val="21"/>
          <w:szCs w:val="21"/>
        </w:rPr>
        <w:t>“</w:t>
      </w:r>
      <w:r>
        <w:rPr>
          <w:rFonts w:ascii="Arial" w:eastAsia="Arial" w:hAnsi="Arial" w:cs="Arial"/>
          <w:b/>
          <w:bCs/>
          <w:sz w:val="21"/>
          <w:szCs w:val="21"/>
        </w:rPr>
        <w:t>Equity Interests</w:t>
      </w:r>
      <w:r>
        <w:rPr>
          <w:rFonts w:ascii="Arial" w:eastAsia="Arial" w:hAnsi="Arial" w:cs="Arial"/>
          <w:sz w:val="21"/>
          <w:szCs w:val="21"/>
        </w:rPr>
        <w:t>” means any stock or other securities treated as e</w:t>
      </w:r>
      <w:r>
        <w:rPr>
          <w:rFonts w:ascii="Arial" w:eastAsia="Arial" w:hAnsi="Arial" w:cs="Arial"/>
          <w:sz w:val="21"/>
          <w:szCs w:val="21"/>
        </w:rPr>
        <w:t>quity for Tax purposes, options, warrants, rights, convertible debt, or any other instrument or security that affords any Person the right, whether conditional or otherwise, to acquire stock or to be paid an amount determined by reference to the value of s</w:t>
      </w:r>
      <w:r>
        <w:rPr>
          <w:rFonts w:ascii="Arial" w:eastAsia="Arial" w:hAnsi="Arial" w:cs="Arial"/>
          <w:sz w:val="21"/>
          <w:szCs w:val="21"/>
        </w:rPr>
        <w:t>tock.</w:t>
      </w:r>
    </w:p>
    <w:p w14:paraId="26118E9F" w14:textId="77777777" w:rsidR="00D1587D" w:rsidRDefault="00D1587D">
      <w:pPr>
        <w:spacing w:line="187" w:lineRule="exact"/>
        <w:rPr>
          <w:sz w:val="20"/>
          <w:szCs w:val="20"/>
        </w:rPr>
      </w:pPr>
    </w:p>
    <w:p w14:paraId="0A993A50" w14:textId="77777777" w:rsidR="00D1587D" w:rsidRDefault="00410D07">
      <w:pPr>
        <w:spacing w:line="272" w:lineRule="auto"/>
        <w:ind w:firstLine="648"/>
        <w:rPr>
          <w:sz w:val="20"/>
          <w:szCs w:val="20"/>
        </w:rPr>
      </w:pPr>
      <w:r>
        <w:rPr>
          <w:rFonts w:ascii="Arial" w:eastAsia="Arial" w:hAnsi="Arial" w:cs="Arial"/>
          <w:sz w:val="19"/>
          <w:szCs w:val="19"/>
        </w:rPr>
        <w:t>“</w:t>
      </w:r>
      <w:r>
        <w:rPr>
          <w:rFonts w:ascii="Arial" w:eastAsia="Arial" w:hAnsi="Arial" w:cs="Arial"/>
          <w:b/>
          <w:bCs/>
          <w:sz w:val="19"/>
          <w:szCs w:val="19"/>
        </w:rPr>
        <w:t>Final Determination</w:t>
      </w:r>
      <w:r>
        <w:rPr>
          <w:rFonts w:ascii="Arial" w:eastAsia="Arial" w:hAnsi="Arial" w:cs="Arial"/>
          <w:sz w:val="19"/>
          <w:szCs w:val="19"/>
        </w:rPr>
        <w:t>” means (i) with respect to U.S. federal income Taxes, (A) a “determination” as defined in Section 1313(a) of the Code (including, for the avoidance of doubt, an executed IRS Form 906) or (B) the execution of an IRS Form 870-AD (</w:t>
      </w:r>
      <w:r>
        <w:rPr>
          <w:rFonts w:ascii="Arial" w:eastAsia="Arial" w:hAnsi="Arial" w:cs="Arial"/>
          <w:sz w:val="19"/>
          <w:szCs w:val="19"/>
        </w:rPr>
        <w:t>or any successor form thereto), as a final resolution of Tax liability for any Taxable period, except that a Form 870-AD (or successor form thereto) that reserves the right of the taxpayer to file a claim for refund or the right of the IRS to assert a furt</w:t>
      </w:r>
      <w:r>
        <w:rPr>
          <w:rFonts w:ascii="Arial" w:eastAsia="Arial" w:hAnsi="Arial" w:cs="Arial"/>
          <w:sz w:val="19"/>
          <w:szCs w:val="19"/>
        </w:rPr>
        <w:t>her deficiency shall not constitute a Final Determination with respect to the item or items so reserved; (ii) with respect to Taxes other than U.S. federal income Taxes, any final determination of liability in respect of a Tax that, under Applicable Tax La</w:t>
      </w:r>
      <w:r>
        <w:rPr>
          <w:rFonts w:ascii="Arial" w:eastAsia="Arial" w:hAnsi="Arial" w:cs="Arial"/>
          <w:sz w:val="19"/>
          <w:szCs w:val="19"/>
        </w:rPr>
        <w:t xml:space="preserve">w, is not subject to further appeal, review or modification through proceedings or otherwise; (iii) with respect to any Tax, any final disposition by reason of the expiration of the applicable statute of limitations (giving effect to any extension, waiver </w:t>
      </w:r>
      <w:r>
        <w:rPr>
          <w:rFonts w:ascii="Arial" w:eastAsia="Arial" w:hAnsi="Arial" w:cs="Arial"/>
          <w:sz w:val="19"/>
          <w:szCs w:val="19"/>
        </w:rPr>
        <w:t>or mitigation thereof); or (iv) with respect to any Tax, the payment of such Tax by any member of the L Brands Group or any member of the VS Group, whichever is responsible for payment of such Tax under Applicable Tax Law, with respect to any item disallow</w:t>
      </w:r>
      <w:r>
        <w:rPr>
          <w:rFonts w:ascii="Arial" w:eastAsia="Arial" w:hAnsi="Arial" w:cs="Arial"/>
          <w:sz w:val="19"/>
          <w:szCs w:val="19"/>
        </w:rPr>
        <w:t xml:space="preserve">ed or adjusted by a Taxing Authority; </w:t>
      </w:r>
      <w:r>
        <w:rPr>
          <w:rFonts w:ascii="Arial" w:eastAsia="Arial" w:hAnsi="Arial" w:cs="Arial"/>
          <w:i/>
          <w:iCs/>
          <w:sz w:val="19"/>
          <w:szCs w:val="19"/>
        </w:rPr>
        <w:t>provided</w:t>
      </w:r>
      <w:r>
        <w:rPr>
          <w:rFonts w:ascii="Arial" w:eastAsia="Arial" w:hAnsi="Arial" w:cs="Arial"/>
          <w:sz w:val="19"/>
          <w:szCs w:val="19"/>
        </w:rPr>
        <w:t xml:space="preserve">, in the case of this clause (iv), that the provisions of </w:t>
      </w:r>
      <w:r>
        <w:rPr>
          <w:rFonts w:ascii="Arial" w:eastAsia="Arial" w:hAnsi="Arial" w:cs="Arial"/>
          <w:sz w:val="19"/>
          <w:szCs w:val="19"/>
          <w:u w:val="single"/>
        </w:rPr>
        <w:t>Section 15</w:t>
      </w:r>
      <w:r>
        <w:rPr>
          <w:rFonts w:ascii="Arial" w:eastAsia="Arial" w:hAnsi="Arial" w:cs="Arial"/>
          <w:sz w:val="19"/>
          <w:szCs w:val="19"/>
        </w:rPr>
        <w:t xml:space="preserve"> hereof have been complied with, or, if such section is inapplicable, that the Company responsible under this Agreement for such Tax is notified by the Company paying such Tax that it has determined that no action should be taken to recoup such disallowed </w:t>
      </w:r>
      <w:r>
        <w:rPr>
          <w:rFonts w:ascii="Arial" w:eastAsia="Arial" w:hAnsi="Arial" w:cs="Arial"/>
          <w:sz w:val="19"/>
          <w:szCs w:val="19"/>
        </w:rPr>
        <w:t>item, and the other Company agrees with such determination.</w:t>
      </w:r>
    </w:p>
    <w:p w14:paraId="335ECCA8" w14:textId="77777777" w:rsidR="00D1587D" w:rsidRDefault="00D1587D">
      <w:pPr>
        <w:spacing w:line="200" w:lineRule="exact"/>
        <w:rPr>
          <w:sz w:val="20"/>
          <w:szCs w:val="20"/>
        </w:rPr>
      </w:pPr>
    </w:p>
    <w:p w14:paraId="56DE0858" w14:textId="77777777" w:rsidR="00D1587D" w:rsidRDefault="00D1587D">
      <w:pPr>
        <w:spacing w:line="226" w:lineRule="exact"/>
        <w:rPr>
          <w:sz w:val="20"/>
          <w:szCs w:val="20"/>
        </w:rPr>
      </w:pPr>
    </w:p>
    <w:p w14:paraId="1EF30478" w14:textId="77777777" w:rsidR="00D1587D" w:rsidRDefault="00410D07">
      <w:pPr>
        <w:ind w:left="660"/>
        <w:rPr>
          <w:sz w:val="20"/>
          <w:szCs w:val="20"/>
        </w:rPr>
      </w:pPr>
      <w:r>
        <w:rPr>
          <w:rFonts w:ascii="Arial" w:eastAsia="Arial" w:hAnsi="Arial" w:cs="Arial"/>
        </w:rPr>
        <w:t>“</w:t>
      </w:r>
      <w:r>
        <w:rPr>
          <w:rFonts w:ascii="Arial" w:eastAsia="Arial" w:hAnsi="Arial" w:cs="Arial"/>
          <w:b/>
          <w:bCs/>
        </w:rPr>
        <w:t>Governmental Authority</w:t>
      </w:r>
      <w:r>
        <w:rPr>
          <w:rFonts w:ascii="Arial" w:eastAsia="Arial" w:hAnsi="Arial" w:cs="Arial"/>
        </w:rPr>
        <w:t>” has the meaning set forth in the Separation Agreement.</w:t>
      </w:r>
    </w:p>
    <w:p w14:paraId="6BFF23AB" w14:textId="77777777" w:rsidR="00D1587D" w:rsidRDefault="00D1587D">
      <w:pPr>
        <w:spacing w:line="233" w:lineRule="exact"/>
        <w:rPr>
          <w:sz w:val="20"/>
          <w:szCs w:val="20"/>
        </w:rPr>
      </w:pPr>
    </w:p>
    <w:p w14:paraId="36083A2D" w14:textId="77777777" w:rsidR="00D1587D" w:rsidRDefault="00410D07">
      <w:pPr>
        <w:ind w:left="660"/>
        <w:rPr>
          <w:sz w:val="20"/>
          <w:szCs w:val="20"/>
        </w:rPr>
      </w:pPr>
      <w:r>
        <w:rPr>
          <w:rFonts w:ascii="Arial" w:eastAsia="Arial" w:hAnsi="Arial" w:cs="Arial"/>
        </w:rPr>
        <w:t>“</w:t>
      </w:r>
      <w:r>
        <w:rPr>
          <w:rFonts w:ascii="Arial" w:eastAsia="Arial" w:hAnsi="Arial" w:cs="Arial"/>
          <w:b/>
          <w:bCs/>
        </w:rPr>
        <w:t>Group</w:t>
      </w:r>
      <w:r>
        <w:rPr>
          <w:rFonts w:ascii="Arial" w:eastAsia="Arial" w:hAnsi="Arial" w:cs="Arial"/>
        </w:rPr>
        <w:t>” has the meaning set forth in the Separation Agreement.</w:t>
      </w:r>
    </w:p>
    <w:p w14:paraId="74ACAF47" w14:textId="77777777" w:rsidR="00D1587D" w:rsidRDefault="00D1587D">
      <w:pPr>
        <w:spacing w:line="233" w:lineRule="exact"/>
        <w:rPr>
          <w:sz w:val="20"/>
          <w:szCs w:val="20"/>
        </w:rPr>
      </w:pPr>
    </w:p>
    <w:p w14:paraId="1FCD3C51" w14:textId="77777777" w:rsidR="00D1587D" w:rsidRDefault="00410D07">
      <w:pPr>
        <w:ind w:left="660"/>
        <w:rPr>
          <w:sz w:val="20"/>
          <w:szCs w:val="20"/>
        </w:rPr>
      </w:pPr>
      <w:r>
        <w:rPr>
          <w:rFonts w:ascii="Arial" w:eastAsia="Arial" w:hAnsi="Arial" w:cs="Arial"/>
        </w:rPr>
        <w:t>“</w:t>
      </w:r>
      <w:r>
        <w:rPr>
          <w:rFonts w:ascii="Arial" w:eastAsia="Arial" w:hAnsi="Arial" w:cs="Arial"/>
          <w:b/>
          <w:bCs/>
        </w:rPr>
        <w:t>Income Tax</w:t>
      </w:r>
      <w:r>
        <w:rPr>
          <w:rFonts w:ascii="Arial" w:eastAsia="Arial" w:hAnsi="Arial" w:cs="Arial"/>
        </w:rPr>
        <w:t xml:space="preserve">” means any Tax imposed on, or </w:t>
      </w:r>
      <w:r>
        <w:rPr>
          <w:rFonts w:ascii="Arial" w:eastAsia="Arial" w:hAnsi="Arial" w:cs="Arial"/>
        </w:rPr>
        <w:t>measured by reference to, net income or gains.</w:t>
      </w:r>
    </w:p>
    <w:p w14:paraId="1F8FBD47" w14:textId="77777777" w:rsidR="00D1587D" w:rsidRDefault="00D1587D">
      <w:pPr>
        <w:spacing w:line="233" w:lineRule="exact"/>
        <w:rPr>
          <w:sz w:val="20"/>
          <w:szCs w:val="20"/>
        </w:rPr>
      </w:pPr>
    </w:p>
    <w:p w14:paraId="685D1C11" w14:textId="77777777" w:rsidR="00D1587D" w:rsidRDefault="00410D07">
      <w:pPr>
        <w:ind w:left="660"/>
        <w:rPr>
          <w:sz w:val="20"/>
          <w:szCs w:val="20"/>
        </w:rPr>
      </w:pPr>
      <w:r>
        <w:rPr>
          <w:rFonts w:ascii="Arial" w:eastAsia="Arial" w:hAnsi="Arial" w:cs="Arial"/>
        </w:rPr>
        <w:t>“</w:t>
      </w:r>
      <w:r>
        <w:rPr>
          <w:rFonts w:ascii="Arial" w:eastAsia="Arial" w:hAnsi="Arial" w:cs="Arial"/>
          <w:b/>
          <w:bCs/>
        </w:rPr>
        <w:t>Income Tax Return</w:t>
      </w:r>
      <w:r>
        <w:rPr>
          <w:rFonts w:ascii="Arial" w:eastAsia="Arial" w:hAnsi="Arial" w:cs="Arial"/>
        </w:rPr>
        <w:t>” means any Tax Return in respect of an Income Tax.</w:t>
      </w:r>
    </w:p>
    <w:p w14:paraId="570A98C2" w14:textId="77777777" w:rsidR="00D1587D" w:rsidRDefault="00D1587D">
      <w:pPr>
        <w:spacing w:line="233" w:lineRule="exact"/>
        <w:rPr>
          <w:sz w:val="20"/>
          <w:szCs w:val="20"/>
        </w:rPr>
      </w:pPr>
    </w:p>
    <w:p w14:paraId="4C93297C" w14:textId="77777777" w:rsidR="00D1587D" w:rsidRDefault="00410D07">
      <w:pPr>
        <w:spacing w:line="256" w:lineRule="auto"/>
        <w:ind w:right="100" w:firstLine="648"/>
        <w:rPr>
          <w:sz w:val="20"/>
          <w:szCs w:val="20"/>
        </w:rPr>
      </w:pPr>
      <w:r>
        <w:rPr>
          <w:rFonts w:ascii="Arial" w:eastAsia="Arial" w:hAnsi="Arial" w:cs="Arial"/>
        </w:rPr>
        <w:t>“</w:t>
      </w:r>
      <w:r>
        <w:rPr>
          <w:rFonts w:ascii="Arial" w:eastAsia="Arial" w:hAnsi="Arial" w:cs="Arial"/>
          <w:b/>
          <w:bCs/>
        </w:rPr>
        <w:t>Indemnitee</w:t>
      </w:r>
      <w:r>
        <w:rPr>
          <w:rFonts w:ascii="Arial" w:eastAsia="Arial" w:hAnsi="Arial" w:cs="Arial"/>
        </w:rPr>
        <w:t xml:space="preserve">” means the Party which is entitled to seek indemnification from another Party pursuant to the provisions of </w:t>
      </w:r>
      <w:r>
        <w:rPr>
          <w:rFonts w:ascii="Arial" w:eastAsia="Arial" w:hAnsi="Arial" w:cs="Arial"/>
          <w:u w:val="single"/>
        </w:rPr>
        <w:t>Section 11</w:t>
      </w:r>
      <w:r>
        <w:rPr>
          <w:rFonts w:ascii="Arial" w:eastAsia="Arial" w:hAnsi="Arial" w:cs="Arial"/>
        </w:rPr>
        <w:t>.</w:t>
      </w:r>
    </w:p>
    <w:p w14:paraId="44AB602D" w14:textId="77777777" w:rsidR="00D1587D" w:rsidRDefault="00D1587D">
      <w:pPr>
        <w:spacing w:line="189" w:lineRule="exact"/>
        <w:rPr>
          <w:sz w:val="20"/>
          <w:szCs w:val="20"/>
        </w:rPr>
      </w:pPr>
    </w:p>
    <w:p w14:paraId="7D9567EC" w14:textId="77777777" w:rsidR="00D1587D" w:rsidRDefault="00410D07">
      <w:pPr>
        <w:spacing w:line="276" w:lineRule="auto"/>
        <w:ind w:right="180" w:firstLine="648"/>
        <w:rPr>
          <w:sz w:val="20"/>
          <w:szCs w:val="20"/>
        </w:rPr>
      </w:pPr>
      <w:r>
        <w:rPr>
          <w:rFonts w:ascii="Arial" w:eastAsia="Arial" w:hAnsi="Arial" w:cs="Arial"/>
          <w:sz w:val="19"/>
          <w:szCs w:val="19"/>
        </w:rPr>
        <w:t>“</w:t>
      </w:r>
      <w:r>
        <w:rPr>
          <w:rFonts w:ascii="Arial" w:eastAsia="Arial" w:hAnsi="Arial" w:cs="Arial"/>
          <w:b/>
          <w:bCs/>
          <w:sz w:val="19"/>
          <w:szCs w:val="19"/>
        </w:rPr>
        <w:t>Int</w:t>
      </w:r>
      <w:r>
        <w:rPr>
          <w:rFonts w:ascii="Arial" w:eastAsia="Arial" w:hAnsi="Arial" w:cs="Arial"/>
          <w:b/>
          <w:bCs/>
          <w:sz w:val="19"/>
          <w:szCs w:val="19"/>
        </w:rPr>
        <w:t>ended Tax Treatment</w:t>
      </w:r>
      <w:r>
        <w:rPr>
          <w:rFonts w:ascii="Arial" w:eastAsia="Arial" w:hAnsi="Arial" w:cs="Arial"/>
          <w:sz w:val="19"/>
          <w:szCs w:val="19"/>
        </w:rPr>
        <w:t>” means the qualification of (i) the Contribution and the Distribution, taken together, (A) as a reorganization described in Sections 355(a) and 368(a)(1)(D) of the Code, (B) as a transaction in which the stock distributed thereby is “qu</w:t>
      </w:r>
      <w:r>
        <w:rPr>
          <w:rFonts w:ascii="Arial" w:eastAsia="Arial" w:hAnsi="Arial" w:cs="Arial"/>
          <w:sz w:val="19"/>
          <w:szCs w:val="19"/>
        </w:rPr>
        <w:t>alified property” for purposes of Sections 355(c) and 361(c) of the Code, (C) as a transaction in which L Brands, VS and the holders of L Brands Common Stock recognize no income or gain for U.S. federal income Tax purposes pursuant to Sections 355, 361 and</w:t>
      </w:r>
      <w:r>
        <w:rPr>
          <w:rFonts w:ascii="Arial" w:eastAsia="Arial" w:hAnsi="Arial" w:cs="Arial"/>
          <w:sz w:val="19"/>
          <w:szCs w:val="19"/>
        </w:rPr>
        <w:t xml:space="preserve"> 1032 of the Code, other than, in the case of L Brands and VS, any intercompany items or excess loss accounts taken into account pursuant to the Treasury Regulations promulgated pursuant to Section 1502 of the Code and, in the case of the holders of L Bran</w:t>
      </w:r>
      <w:r>
        <w:rPr>
          <w:rFonts w:ascii="Arial" w:eastAsia="Arial" w:hAnsi="Arial" w:cs="Arial"/>
          <w:sz w:val="19"/>
          <w:szCs w:val="19"/>
        </w:rPr>
        <w:t xml:space="preserve">ds Common Stock, with respect to any fractional shares of VS Common Stock and (ii) the transactions described on </w:t>
      </w:r>
      <w:r>
        <w:rPr>
          <w:rFonts w:ascii="Arial" w:eastAsia="Arial" w:hAnsi="Arial" w:cs="Arial"/>
          <w:sz w:val="19"/>
          <w:szCs w:val="19"/>
          <w:u w:val="single"/>
        </w:rPr>
        <w:t>Schedule A</w:t>
      </w:r>
      <w:r>
        <w:rPr>
          <w:rFonts w:ascii="Arial" w:eastAsia="Arial" w:hAnsi="Arial" w:cs="Arial"/>
          <w:sz w:val="19"/>
          <w:szCs w:val="19"/>
        </w:rPr>
        <w:t xml:space="preserve"> as being free from Tax to the extent set forth therein.</w:t>
      </w:r>
    </w:p>
    <w:p w14:paraId="67C0D72C" w14:textId="77777777" w:rsidR="00D1587D" w:rsidRDefault="00D1587D">
      <w:pPr>
        <w:spacing w:line="115" w:lineRule="exact"/>
        <w:rPr>
          <w:sz w:val="20"/>
          <w:szCs w:val="20"/>
        </w:rPr>
      </w:pPr>
    </w:p>
    <w:p w14:paraId="6C0B985C" w14:textId="77777777" w:rsidR="00D1587D" w:rsidRDefault="00410D07">
      <w:pPr>
        <w:ind w:right="-39"/>
        <w:jc w:val="center"/>
        <w:rPr>
          <w:sz w:val="20"/>
          <w:szCs w:val="20"/>
        </w:rPr>
      </w:pPr>
      <w:r>
        <w:rPr>
          <w:rFonts w:ascii="Arial" w:eastAsia="Arial" w:hAnsi="Arial" w:cs="Arial"/>
        </w:rPr>
        <w:t>3</w:t>
      </w:r>
    </w:p>
    <w:p w14:paraId="13E0F869" w14:textId="77777777" w:rsidR="00D1587D" w:rsidRDefault="00410D07">
      <w:pPr>
        <w:spacing w:line="20" w:lineRule="exact"/>
        <w:rPr>
          <w:sz w:val="20"/>
          <w:szCs w:val="20"/>
        </w:rPr>
      </w:pPr>
      <w:r>
        <w:rPr>
          <w:noProof/>
          <w:sz w:val="20"/>
          <w:szCs w:val="20"/>
        </w:rPr>
        <w:drawing>
          <wp:anchor distT="0" distB="0" distL="114300" distR="114300" simplePos="0" relativeHeight="251296768" behindDoc="1" locked="0" layoutInCell="0" allowOverlap="1" wp14:anchorId="527FA959" wp14:editId="0690A2BD">
            <wp:simplePos x="0" y="0"/>
            <wp:positionH relativeFrom="column">
              <wp:posOffset>5080</wp:posOffset>
            </wp:positionH>
            <wp:positionV relativeFrom="paragraph">
              <wp:posOffset>41275</wp:posOffset>
            </wp:positionV>
            <wp:extent cx="7132320" cy="1714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8A698B4" w14:textId="77777777" w:rsidR="00D1587D" w:rsidRDefault="00D1587D">
      <w:pPr>
        <w:sectPr w:rsidR="00D1587D">
          <w:pgSz w:w="11900" w:h="16838"/>
          <w:pgMar w:top="355" w:right="379" w:bottom="1440" w:left="320" w:header="0" w:footer="0" w:gutter="0"/>
          <w:cols w:space="720" w:equalWidth="0">
            <w:col w:w="11200"/>
          </w:cols>
        </w:sectPr>
      </w:pPr>
    </w:p>
    <w:p w14:paraId="6A3D12F2" w14:textId="77777777" w:rsidR="00D1587D" w:rsidRDefault="00410D07">
      <w:pPr>
        <w:ind w:left="660"/>
        <w:rPr>
          <w:sz w:val="20"/>
          <w:szCs w:val="20"/>
        </w:rPr>
      </w:pPr>
      <w:bookmarkStart w:id="142" w:name="page143"/>
      <w:bookmarkEnd w:id="142"/>
      <w:r>
        <w:rPr>
          <w:rFonts w:ascii="Arial" w:eastAsia="Arial" w:hAnsi="Arial" w:cs="Arial"/>
        </w:rPr>
        <w:t>“</w:t>
      </w:r>
      <w:r>
        <w:rPr>
          <w:rFonts w:ascii="Arial" w:eastAsia="Arial" w:hAnsi="Arial" w:cs="Arial"/>
          <w:b/>
          <w:bCs/>
        </w:rPr>
        <w:t>IRS</w:t>
      </w:r>
      <w:r>
        <w:rPr>
          <w:rFonts w:ascii="Arial" w:eastAsia="Arial" w:hAnsi="Arial" w:cs="Arial"/>
        </w:rPr>
        <w:t>” means the United States Internal Revenue Serv</w:t>
      </w:r>
      <w:r>
        <w:rPr>
          <w:rFonts w:ascii="Arial" w:eastAsia="Arial" w:hAnsi="Arial" w:cs="Arial"/>
        </w:rPr>
        <w:t>ice.</w:t>
      </w:r>
    </w:p>
    <w:p w14:paraId="440CBAC9" w14:textId="77777777" w:rsidR="00D1587D" w:rsidRDefault="00D1587D">
      <w:pPr>
        <w:spacing w:line="233" w:lineRule="exact"/>
        <w:rPr>
          <w:sz w:val="20"/>
          <w:szCs w:val="20"/>
        </w:rPr>
      </w:pPr>
    </w:p>
    <w:p w14:paraId="376687F0" w14:textId="77777777" w:rsidR="00D1587D" w:rsidRDefault="00410D07">
      <w:pPr>
        <w:spacing w:line="256" w:lineRule="auto"/>
        <w:ind w:right="240" w:firstLine="648"/>
        <w:rPr>
          <w:sz w:val="20"/>
          <w:szCs w:val="20"/>
        </w:rPr>
      </w:pPr>
      <w:r>
        <w:rPr>
          <w:rFonts w:ascii="Arial" w:eastAsia="Arial" w:hAnsi="Arial" w:cs="Arial"/>
        </w:rPr>
        <w:t>“</w:t>
      </w:r>
      <w:r>
        <w:rPr>
          <w:rFonts w:ascii="Arial" w:eastAsia="Arial" w:hAnsi="Arial" w:cs="Arial"/>
          <w:b/>
          <w:bCs/>
        </w:rPr>
        <w:t>Joint Tax Return</w:t>
      </w:r>
      <w:r>
        <w:rPr>
          <w:rFonts w:ascii="Arial" w:eastAsia="Arial" w:hAnsi="Arial" w:cs="Arial"/>
        </w:rPr>
        <w:t>” means any (i) Combined Tax Return or (ii) Tax Return that includes Tax Items attributable to both the L Brands Business and the VS Business.</w:t>
      </w:r>
    </w:p>
    <w:p w14:paraId="7379D0A2" w14:textId="77777777" w:rsidR="00D1587D" w:rsidRDefault="00D1587D">
      <w:pPr>
        <w:spacing w:line="189" w:lineRule="exact"/>
        <w:rPr>
          <w:sz w:val="20"/>
          <w:szCs w:val="20"/>
        </w:rPr>
      </w:pPr>
    </w:p>
    <w:p w14:paraId="2345DDE0" w14:textId="77777777" w:rsidR="00D1587D" w:rsidRDefault="00410D07">
      <w:pPr>
        <w:ind w:left="660"/>
        <w:rPr>
          <w:sz w:val="20"/>
          <w:szCs w:val="20"/>
        </w:rPr>
      </w:pPr>
      <w:r>
        <w:rPr>
          <w:rFonts w:ascii="Arial" w:eastAsia="Arial" w:hAnsi="Arial" w:cs="Arial"/>
        </w:rPr>
        <w:t>“</w:t>
      </w:r>
      <w:r>
        <w:rPr>
          <w:rFonts w:ascii="Arial" w:eastAsia="Arial" w:hAnsi="Arial" w:cs="Arial"/>
          <w:b/>
          <w:bCs/>
        </w:rPr>
        <w:t>L Brands</w:t>
      </w:r>
      <w:r>
        <w:rPr>
          <w:rFonts w:ascii="Arial" w:eastAsia="Arial" w:hAnsi="Arial" w:cs="Arial"/>
        </w:rPr>
        <w:t>” has the meaning set forth in the recitals hereto.</w:t>
      </w:r>
    </w:p>
    <w:p w14:paraId="4A5D9A24" w14:textId="77777777" w:rsidR="00D1587D" w:rsidRDefault="00D1587D">
      <w:pPr>
        <w:spacing w:line="233" w:lineRule="exact"/>
        <w:rPr>
          <w:sz w:val="20"/>
          <w:szCs w:val="20"/>
        </w:rPr>
      </w:pPr>
    </w:p>
    <w:p w14:paraId="03EF20A9" w14:textId="77777777" w:rsidR="00D1587D" w:rsidRDefault="00410D07">
      <w:pPr>
        <w:ind w:left="660"/>
        <w:rPr>
          <w:sz w:val="20"/>
          <w:szCs w:val="20"/>
        </w:rPr>
      </w:pPr>
      <w:r>
        <w:rPr>
          <w:rFonts w:ascii="Arial" w:eastAsia="Arial" w:hAnsi="Arial" w:cs="Arial"/>
        </w:rPr>
        <w:t>“</w:t>
      </w:r>
      <w:r>
        <w:rPr>
          <w:rFonts w:ascii="Arial" w:eastAsia="Arial" w:hAnsi="Arial" w:cs="Arial"/>
          <w:b/>
          <w:bCs/>
        </w:rPr>
        <w:t>L Brands Business</w:t>
      </w:r>
      <w:r>
        <w:rPr>
          <w:rFonts w:ascii="Arial" w:eastAsia="Arial" w:hAnsi="Arial" w:cs="Arial"/>
        </w:rPr>
        <w:t xml:space="preserve">” has </w:t>
      </w:r>
      <w:r>
        <w:rPr>
          <w:rFonts w:ascii="Arial" w:eastAsia="Arial" w:hAnsi="Arial" w:cs="Arial"/>
        </w:rPr>
        <w:t>the meaning set forth in the Separation Agreement.</w:t>
      </w:r>
    </w:p>
    <w:p w14:paraId="07C4B51C" w14:textId="77777777" w:rsidR="00D1587D" w:rsidRDefault="00D1587D">
      <w:pPr>
        <w:spacing w:line="233" w:lineRule="exact"/>
        <w:rPr>
          <w:sz w:val="20"/>
          <w:szCs w:val="20"/>
        </w:rPr>
      </w:pPr>
    </w:p>
    <w:p w14:paraId="2064B21D" w14:textId="77777777" w:rsidR="00D1587D" w:rsidRDefault="00410D07">
      <w:pPr>
        <w:spacing w:line="283" w:lineRule="auto"/>
        <w:ind w:firstLine="648"/>
        <w:rPr>
          <w:sz w:val="20"/>
          <w:szCs w:val="20"/>
        </w:rPr>
      </w:pPr>
      <w:r>
        <w:rPr>
          <w:rFonts w:ascii="Arial" w:eastAsia="Arial" w:hAnsi="Arial" w:cs="Arial"/>
          <w:sz w:val="19"/>
          <w:szCs w:val="19"/>
        </w:rPr>
        <w:t>“</w:t>
      </w:r>
      <w:r>
        <w:rPr>
          <w:rFonts w:ascii="Arial" w:eastAsia="Arial" w:hAnsi="Arial" w:cs="Arial"/>
          <w:b/>
          <w:bCs/>
          <w:sz w:val="19"/>
          <w:szCs w:val="19"/>
        </w:rPr>
        <w:t>L Brands Compensatory Equity Interests</w:t>
      </w:r>
      <w:r>
        <w:rPr>
          <w:rFonts w:ascii="Arial" w:eastAsia="Arial" w:hAnsi="Arial" w:cs="Arial"/>
          <w:sz w:val="19"/>
          <w:szCs w:val="19"/>
        </w:rPr>
        <w:t xml:space="preserve">” means any options, stock appreciation rights, restricted stock, stock units or other rights with respect to the capital stock of L Brands that are granted on or </w:t>
      </w:r>
      <w:r>
        <w:rPr>
          <w:rFonts w:ascii="Arial" w:eastAsia="Arial" w:hAnsi="Arial" w:cs="Arial"/>
          <w:sz w:val="19"/>
          <w:szCs w:val="19"/>
        </w:rPr>
        <w:t>prior to the Distribution Date by any member of the L Brands Group in connection with employee, independent contractor or director compensation or other employee benefits (including, for the avoidance of doubt, options, stock appreciation rights, restricte</w:t>
      </w:r>
      <w:r>
        <w:rPr>
          <w:rFonts w:ascii="Arial" w:eastAsia="Arial" w:hAnsi="Arial" w:cs="Arial"/>
          <w:sz w:val="19"/>
          <w:szCs w:val="19"/>
        </w:rPr>
        <w:t>d stock, restricted stock units, performance share units or other rights issued in respect of any of the foregoing by reason of the Distribution or any subsequent transaction).</w:t>
      </w:r>
    </w:p>
    <w:p w14:paraId="5211CC30" w14:textId="77777777" w:rsidR="00D1587D" w:rsidRDefault="00D1587D">
      <w:pPr>
        <w:spacing w:line="170" w:lineRule="exact"/>
        <w:rPr>
          <w:sz w:val="20"/>
          <w:szCs w:val="20"/>
        </w:rPr>
      </w:pPr>
    </w:p>
    <w:p w14:paraId="0FD33C7C" w14:textId="77777777" w:rsidR="00D1587D" w:rsidRDefault="00410D07">
      <w:pPr>
        <w:ind w:left="660"/>
        <w:rPr>
          <w:sz w:val="20"/>
          <w:szCs w:val="20"/>
        </w:rPr>
      </w:pPr>
      <w:r>
        <w:rPr>
          <w:rFonts w:ascii="Arial" w:eastAsia="Arial" w:hAnsi="Arial" w:cs="Arial"/>
        </w:rPr>
        <w:t>“</w:t>
      </w:r>
      <w:r>
        <w:rPr>
          <w:rFonts w:ascii="Arial" w:eastAsia="Arial" w:hAnsi="Arial" w:cs="Arial"/>
          <w:b/>
          <w:bCs/>
        </w:rPr>
        <w:t>L Brands Group</w:t>
      </w:r>
      <w:r>
        <w:rPr>
          <w:rFonts w:ascii="Arial" w:eastAsia="Arial" w:hAnsi="Arial" w:cs="Arial"/>
        </w:rPr>
        <w:t>” has the meaning set forth in the Separation Agreement.</w:t>
      </w:r>
    </w:p>
    <w:p w14:paraId="35C41BDE" w14:textId="77777777" w:rsidR="00D1587D" w:rsidRDefault="00D1587D">
      <w:pPr>
        <w:spacing w:line="233" w:lineRule="exact"/>
        <w:rPr>
          <w:sz w:val="20"/>
          <w:szCs w:val="20"/>
        </w:rPr>
      </w:pPr>
    </w:p>
    <w:p w14:paraId="3F6DDDAE" w14:textId="77777777" w:rsidR="00D1587D" w:rsidRDefault="00410D07">
      <w:pPr>
        <w:ind w:left="660"/>
        <w:rPr>
          <w:sz w:val="20"/>
          <w:szCs w:val="20"/>
        </w:rPr>
      </w:pPr>
      <w:r>
        <w:rPr>
          <w:rFonts w:ascii="Arial" w:eastAsia="Arial" w:hAnsi="Arial" w:cs="Arial"/>
          <w:sz w:val="19"/>
          <w:szCs w:val="19"/>
        </w:rPr>
        <w:t>“</w:t>
      </w:r>
      <w:r>
        <w:rPr>
          <w:rFonts w:ascii="Arial" w:eastAsia="Arial" w:hAnsi="Arial" w:cs="Arial"/>
          <w:b/>
          <w:bCs/>
          <w:sz w:val="19"/>
          <w:szCs w:val="19"/>
        </w:rPr>
        <w:t>L Br</w:t>
      </w:r>
      <w:r>
        <w:rPr>
          <w:rFonts w:ascii="Arial" w:eastAsia="Arial" w:hAnsi="Arial" w:cs="Arial"/>
          <w:b/>
          <w:bCs/>
          <w:sz w:val="19"/>
          <w:szCs w:val="19"/>
        </w:rPr>
        <w:t>ands Separate Tax Return</w:t>
      </w:r>
      <w:r>
        <w:rPr>
          <w:rFonts w:ascii="Arial" w:eastAsia="Arial" w:hAnsi="Arial" w:cs="Arial"/>
          <w:sz w:val="19"/>
          <w:szCs w:val="19"/>
        </w:rPr>
        <w:t>” means any Separate Tax Return of or including any member of the L Brands Group.</w:t>
      </w:r>
    </w:p>
    <w:p w14:paraId="74DE215E" w14:textId="77777777" w:rsidR="00D1587D" w:rsidRDefault="00D1587D">
      <w:pPr>
        <w:spacing w:line="268" w:lineRule="exact"/>
        <w:rPr>
          <w:sz w:val="20"/>
          <w:szCs w:val="20"/>
        </w:rPr>
      </w:pPr>
    </w:p>
    <w:p w14:paraId="08B30618" w14:textId="77777777" w:rsidR="00D1587D" w:rsidRDefault="00410D07">
      <w:pPr>
        <w:ind w:left="660"/>
        <w:rPr>
          <w:sz w:val="20"/>
          <w:szCs w:val="20"/>
        </w:rPr>
      </w:pPr>
      <w:r>
        <w:rPr>
          <w:rFonts w:ascii="Arial" w:eastAsia="Arial" w:hAnsi="Arial" w:cs="Arial"/>
        </w:rPr>
        <w:t>“</w:t>
      </w:r>
      <w:r>
        <w:rPr>
          <w:rFonts w:ascii="Arial" w:eastAsia="Arial" w:hAnsi="Arial" w:cs="Arial"/>
          <w:b/>
          <w:bCs/>
        </w:rPr>
        <w:t>L Brands Specified Tax Attributes</w:t>
      </w:r>
      <w:r>
        <w:rPr>
          <w:rFonts w:ascii="Arial" w:eastAsia="Arial" w:hAnsi="Arial" w:cs="Arial"/>
        </w:rPr>
        <w:t>” means any Tax Attributes listed on Schedule D-1.</w:t>
      </w:r>
    </w:p>
    <w:p w14:paraId="56FD6C68" w14:textId="77777777" w:rsidR="00D1587D" w:rsidRDefault="00D1587D">
      <w:pPr>
        <w:spacing w:line="233" w:lineRule="exact"/>
        <w:rPr>
          <w:sz w:val="20"/>
          <w:szCs w:val="20"/>
        </w:rPr>
      </w:pPr>
    </w:p>
    <w:p w14:paraId="5334B9A2" w14:textId="77777777" w:rsidR="00D1587D" w:rsidRDefault="00410D07">
      <w:pPr>
        <w:ind w:left="660"/>
        <w:rPr>
          <w:sz w:val="20"/>
          <w:szCs w:val="20"/>
        </w:rPr>
      </w:pPr>
      <w:r>
        <w:rPr>
          <w:rFonts w:ascii="Arial" w:eastAsia="Arial" w:hAnsi="Arial" w:cs="Arial"/>
        </w:rPr>
        <w:t>“</w:t>
      </w:r>
      <w:r>
        <w:rPr>
          <w:rFonts w:ascii="Arial" w:eastAsia="Arial" w:hAnsi="Arial" w:cs="Arial"/>
          <w:b/>
          <w:bCs/>
        </w:rPr>
        <w:t>Person</w:t>
      </w:r>
      <w:r>
        <w:rPr>
          <w:rFonts w:ascii="Arial" w:eastAsia="Arial" w:hAnsi="Arial" w:cs="Arial"/>
        </w:rPr>
        <w:t>” has the meaning set forth in Section 7701(a)(1) of the</w:t>
      </w:r>
      <w:r>
        <w:rPr>
          <w:rFonts w:ascii="Arial" w:eastAsia="Arial" w:hAnsi="Arial" w:cs="Arial"/>
        </w:rPr>
        <w:t xml:space="preserve"> Code.</w:t>
      </w:r>
    </w:p>
    <w:p w14:paraId="28C24C40" w14:textId="77777777" w:rsidR="00D1587D" w:rsidRDefault="00D1587D">
      <w:pPr>
        <w:spacing w:line="233" w:lineRule="exact"/>
        <w:rPr>
          <w:sz w:val="20"/>
          <w:szCs w:val="20"/>
        </w:rPr>
      </w:pPr>
    </w:p>
    <w:p w14:paraId="40F40945" w14:textId="77777777" w:rsidR="00D1587D" w:rsidRDefault="00410D07">
      <w:pPr>
        <w:ind w:left="660"/>
        <w:rPr>
          <w:sz w:val="20"/>
          <w:szCs w:val="20"/>
        </w:rPr>
      </w:pPr>
      <w:r>
        <w:rPr>
          <w:rFonts w:ascii="Arial" w:eastAsia="Arial" w:hAnsi="Arial" w:cs="Arial"/>
          <w:sz w:val="21"/>
          <w:szCs w:val="21"/>
        </w:rPr>
        <w:t>“</w:t>
      </w:r>
      <w:r>
        <w:rPr>
          <w:rFonts w:ascii="Arial" w:eastAsia="Arial" w:hAnsi="Arial" w:cs="Arial"/>
          <w:b/>
          <w:bCs/>
          <w:sz w:val="21"/>
          <w:szCs w:val="21"/>
        </w:rPr>
        <w:t>Post-Distribution Period</w:t>
      </w:r>
      <w:r>
        <w:rPr>
          <w:rFonts w:ascii="Arial" w:eastAsia="Arial" w:hAnsi="Arial" w:cs="Arial"/>
          <w:sz w:val="21"/>
          <w:szCs w:val="21"/>
        </w:rPr>
        <w:t>” means any Taxable period (or portion thereof) beginning after the Distribution Date.</w:t>
      </w:r>
    </w:p>
    <w:p w14:paraId="6D14639F" w14:textId="77777777" w:rsidR="00D1587D" w:rsidRDefault="00D1587D">
      <w:pPr>
        <w:spacing w:line="245" w:lineRule="exact"/>
        <w:rPr>
          <w:sz w:val="20"/>
          <w:szCs w:val="20"/>
        </w:rPr>
      </w:pPr>
    </w:p>
    <w:p w14:paraId="423EB682" w14:textId="77777777" w:rsidR="00D1587D" w:rsidRDefault="00410D07">
      <w:pPr>
        <w:ind w:left="660"/>
        <w:rPr>
          <w:sz w:val="20"/>
          <w:szCs w:val="20"/>
        </w:rPr>
      </w:pPr>
      <w:r>
        <w:rPr>
          <w:rFonts w:ascii="Arial" w:eastAsia="Arial" w:hAnsi="Arial" w:cs="Arial"/>
        </w:rPr>
        <w:t>“</w:t>
      </w:r>
      <w:r>
        <w:rPr>
          <w:rFonts w:ascii="Arial" w:eastAsia="Arial" w:hAnsi="Arial" w:cs="Arial"/>
          <w:b/>
          <w:bCs/>
        </w:rPr>
        <w:t>Pre-2021 Period</w:t>
      </w:r>
      <w:r>
        <w:rPr>
          <w:rFonts w:ascii="Arial" w:eastAsia="Arial" w:hAnsi="Arial" w:cs="Arial"/>
        </w:rPr>
        <w:t>” means any Taxable period ending on or before January 30, 2021.</w:t>
      </w:r>
    </w:p>
    <w:p w14:paraId="7AEC7ADB" w14:textId="77777777" w:rsidR="00D1587D" w:rsidRDefault="00D1587D">
      <w:pPr>
        <w:spacing w:line="233" w:lineRule="exact"/>
        <w:rPr>
          <w:sz w:val="20"/>
          <w:szCs w:val="20"/>
        </w:rPr>
      </w:pPr>
    </w:p>
    <w:p w14:paraId="5D321765" w14:textId="77777777" w:rsidR="00D1587D" w:rsidRDefault="00410D07">
      <w:pPr>
        <w:ind w:left="660"/>
        <w:rPr>
          <w:sz w:val="20"/>
          <w:szCs w:val="20"/>
        </w:rPr>
      </w:pPr>
      <w:r>
        <w:rPr>
          <w:rFonts w:ascii="Arial" w:eastAsia="Arial" w:hAnsi="Arial" w:cs="Arial"/>
          <w:sz w:val="19"/>
          <w:szCs w:val="19"/>
        </w:rPr>
        <w:t>“</w:t>
      </w:r>
      <w:r>
        <w:rPr>
          <w:rFonts w:ascii="Arial" w:eastAsia="Arial" w:hAnsi="Arial" w:cs="Arial"/>
          <w:b/>
          <w:bCs/>
          <w:sz w:val="19"/>
          <w:szCs w:val="19"/>
        </w:rPr>
        <w:t>Pre-2021 VS Separate Tax Return</w:t>
      </w:r>
      <w:r>
        <w:rPr>
          <w:rFonts w:ascii="Arial" w:eastAsia="Arial" w:hAnsi="Arial" w:cs="Arial"/>
          <w:sz w:val="19"/>
          <w:szCs w:val="19"/>
        </w:rPr>
        <w:t>” means any VS Separa</w:t>
      </w:r>
      <w:r>
        <w:rPr>
          <w:rFonts w:ascii="Arial" w:eastAsia="Arial" w:hAnsi="Arial" w:cs="Arial"/>
          <w:sz w:val="19"/>
          <w:szCs w:val="19"/>
        </w:rPr>
        <w:t>te Tax Return that relates solely to a Pre-2021 Period.</w:t>
      </w:r>
    </w:p>
    <w:p w14:paraId="65B87700" w14:textId="77777777" w:rsidR="00D1587D" w:rsidRDefault="00D1587D">
      <w:pPr>
        <w:spacing w:line="268" w:lineRule="exact"/>
        <w:rPr>
          <w:sz w:val="20"/>
          <w:szCs w:val="20"/>
        </w:rPr>
      </w:pPr>
    </w:p>
    <w:p w14:paraId="70BA17C2" w14:textId="77777777" w:rsidR="00D1587D" w:rsidRDefault="00410D07">
      <w:pPr>
        <w:ind w:left="660"/>
        <w:rPr>
          <w:sz w:val="20"/>
          <w:szCs w:val="20"/>
        </w:rPr>
      </w:pPr>
      <w:r>
        <w:rPr>
          <w:rFonts w:ascii="Arial" w:eastAsia="Arial" w:hAnsi="Arial" w:cs="Arial"/>
          <w:sz w:val="19"/>
          <w:szCs w:val="19"/>
        </w:rPr>
        <w:t>“</w:t>
      </w:r>
      <w:r>
        <w:rPr>
          <w:rFonts w:ascii="Arial" w:eastAsia="Arial" w:hAnsi="Arial" w:cs="Arial"/>
          <w:b/>
          <w:bCs/>
          <w:sz w:val="19"/>
          <w:szCs w:val="19"/>
        </w:rPr>
        <w:t>Pre-Distribution Period</w:t>
      </w:r>
      <w:r>
        <w:rPr>
          <w:rFonts w:ascii="Arial" w:eastAsia="Arial" w:hAnsi="Arial" w:cs="Arial"/>
          <w:sz w:val="19"/>
          <w:szCs w:val="19"/>
        </w:rPr>
        <w:t>” means any Taxable period (or portion thereof) ending on or before the Distribution Date.</w:t>
      </w:r>
    </w:p>
    <w:p w14:paraId="2E2E68BC" w14:textId="77777777" w:rsidR="00D1587D" w:rsidRDefault="00D1587D">
      <w:pPr>
        <w:spacing w:line="268" w:lineRule="exact"/>
        <w:rPr>
          <w:sz w:val="20"/>
          <w:szCs w:val="20"/>
        </w:rPr>
      </w:pPr>
    </w:p>
    <w:p w14:paraId="4574C67E" w14:textId="77777777" w:rsidR="00D1587D" w:rsidRDefault="00410D07">
      <w:pPr>
        <w:ind w:left="660"/>
        <w:rPr>
          <w:sz w:val="20"/>
          <w:szCs w:val="20"/>
        </w:rPr>
      </w:pPr>
      <w:r>
        <w:rPr>
          <w:rFonts w:ascii="Arial" w:eastAsia="Arial" w:hAnsi="Arial" w:cs="Arial"/>
        </w:rPr>
        <w:t>“</w:t>
      </w:r>
      <w:r>
        <w:rPr>
          <w:rFonts w:ascii="Arial" w:eastAsia="Arial" w:hAnsi="Arial" w:cs="Arial"/>
          <w:b/>
          <w:bCs/>
        </w:rPr>
        <w:t>Restructuring</w:t>
      </w:r>
      <w:r>
        <w:rPr>
          <w:rFonts w:ascii="Arial" w:eastAsia="Arial" w:hAnsi="Arial" w:cs="Arial"/>
        </w:rPr>
        <w:t>” has the meaning set forth in the Separation Agreement.</w:t>
      </w:r>
    </w:p>
    <w:p w14:paraId="2BEFB394" w14:textId="77777777" w:rsidR="00D1587D" w:rsidRDefault="00D1587D">
      <w:pPr>
        <w:spacing w:line="233" w:lineRule="exact"/>
        <w:rPr>
          <w:sz w:val="20"/>
          <w:szCs w:val="20"/>
        </w:rPr>
      </w:pPr>
    </w:p>
    <w:p w14:paraId="25C90C82" w14:textId="77777777" w:rsidR="00D1587D" w:rsidRDefault="00410D07">
      <w:pPr>
        <w:spacing w:line="256" w:lineRule="auto"/>
        <w:ind w:right="120" w:firstLine="702"/>
        <w:rPr>
          <w:sz w:val="20"/>
          <w:szCs w:val="20"/>
        </w:rPr>
      </w:pPr>
      <w:r>
        <w:rPr>
          <w:rFonts w:ascii="Arial" w:eastAsia="Arial" w:hAnsi="Arial" w:cs="Arial"/>
        </w:rPr>
        <w:t>“</w:t>
      </w:r>
      <w:r>
        <w:rPr>
          <w:rFonts w:ascii="Arial" w:eastAsia="Arial" w:hAnsi="Arial" w:cs="Arial"/>
          <w:b/>
          <w:bCs/>
        </w:rPr>
        <w:t>Separate T</w:t>
      </w:r>
      <w:r>
        <w:rPr>
          <w:rFonts w:ascii="Arial" w:eastAsia="Arial" w:hAnsi="Arial" w:cs="Arial"/>
          <w:b/>
          <w:bCs/>
        </w:rPr>
        <w:t>ax Return</w:t>
      </w:r>
      <w:r>
        <w:rPr>
          <w:rFonts w:ascii="Arial" w:eastAsia="Arial" w:hAnsi="Arial" w:cs="Arial"/>
        </w:rPr>
        <w:t>” means any Tax Return required to be filed by a member of the L Brands Group or a member of the VS Group that is not a Joint Tax Return.</w:t>
      </w:r>
    </w:p>
    <w:p w14:paraId="2CF1A59A" w14:textId="77777777" w:rsidR="00D1587D" w:rsidRDefault="00D1587D">
      <w:pPr>
        <w:spacing w:line="189" w:lineRule="exact"/>
        <w:rPr>
          <w:sz w:val="20"/>
          <w:szCs w:val="20"/>
        </w:rPr>
      </w:pPr>
    </w:p>
    <w:p w14:paraId="4D6ADEA2" w14:textId="77777777" w:rsidR="00D1587D" w:rsidRDefault="00410D07">
      <w:pPr>
        <w:ind w:left="720"/>
        <w:rPr>
          <w:sz w:val="20"/>
          <w:szCs w:val="20"/>
        </w:rPr>
      </w:pPr>
      <w:r>
        <w:rPr>
          <w:rFonts w:ascii="Arial" w:eastAsia="Arial" w:hAnsi="Arial" w:cs="Arial"/>
        </w:rPr>
        <w:t>“</w:t>
      </w:r>
      <w:r>
        <w:rPr>
          <w:rFonts w:ascii="Arial" w:eastAsia="Arial" w:hAnsi="Arial" w:cs="Arial"/>
          <w:b/>
          <w:bCs/>
        </w:rPr>
        <w:t>Separation Agreement</w:t>
      </w:r>
      <w:r>
        <w:rPr>
          <w:rFonts w:ascii="Arial" w:eastAsia="Arial" w:hAnsi="Arial" w:cs="Arial"/>
        </w:rPr>
        <w:t>” has the meaning set forth in the recitals hereto.</w:t>
      </w:r>
    </w:p>
    <w:p w14:paraId="17EBD6F4" w14:textId="77777777" w:rsidR="00D1587D" w:rsidRDefault="00D1587D">
      <w:pPr>
        <w:spacing w:line="172" w:lineRule="exact"/>
        <w:rPr>
          <w:sz w:val="20"/>
          <w:szCs w:val="20"/>
        </w:rPr>
      </w:pPr>
    </w:p>
    <w:p w14:paraId="4DA209E9" w14:textId="77777777" w:rsidR="00D1587D" w:rsidRDefault="00410D07">
      <w:pPr>
        <w:ind w:left="5580"/>
        <w:rPr>
          <w:sz w:val="20"/>
          <w:szCs w:val="20"/>
        </w:rPr>
      </w:pPr>
      <w:r>
        <w:rPr>
          <w:rFonts w:ascii="Arial" w:eastAsia="Arial" w:hAnsi="Arial" w:cs="Arial"/>
        </w:rPr>
        <w:t>4</w:t>
      </w:r>
    </w:p>
    <w:p w14:paraId="5C62FD1E" w14:textId="77777777" w:rsidR="00D1587D" w:rsidRDefault="00410D07">
      <w:pPr>
        <w:spacing w:line="20" w:lineRule="exact"/>
        <w:rPr>
          <w:sz w:val="20"/>
          <w:szCs w:val="20"/>
        </w:rPr>
      </w:pPr>
      <w:r>
        <w:rPr>
          <w:noProof/>
          <w:sz w:val="20"/>
          <w:szCs w:val="20"/>
        </w:rPr>
        <w:drawing>
          <wp:anchor distT="0" distB="0" distL="114300" distR="114300" simplePos="0" relativeHeight="251297792" behindDoc="1" locked="0" layoutInCell="0" allowOverlap="1" wp14:anchorId="75BFD33F" wp14:editId="5B1806A1">
            <wp:simplePos x="0" y="0"/>
            <wp:positionH relativeFrom="column">
              <wp:posOffset>5080</wp:posOffset>
            </wp:positionH>
            <wp:positionV relativeFrom="paragraph">
              <wp:posOffset>41275</wp:posOffset>
            </wp:positionV>
            <wp:extent cx="7132320" cy="1714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C95610E" w14:textId="77777777" w:rsidR="00D1587D" w:rsidRDefault="00D1587D">
      <w:pPr>
        <w:sectPr w:rsidR="00D1587D">
          <w:pgSz w:w="11900" w:h="16838"/>
          <w:pgMar w:top="355" w:right="379" w:bottom="1440" w:left="320" w:header="0" w:footer="0" w:gutter="0"/>
          <w:cols w:space="720" w:equalWidth="0">
            <w:col w:w="11200"/>
          </w:cols>
        </w:sectPr>
      </w:pPr>
    </w:p>
    <w:p w14:paraId="69B94B46" w14:textId="77777777" w:rsidR="00D1587D" w:rsidRDefault="00410D07">
      <w:pPr>
        <w:ind w:left="720"/>
        <w:rPr>
          <w:sz w:val="20"/>
          <w:szCs w:val="20"/>
        </w:rPr>
      </w:pPr>
      <w:bookmarkStart w:id="143" w:name="page144"/>
      <w:bookmarkEnd w:id="143"/>
      <w:r>
        <w:rPr>
          <w:rFonts w:ascii="Arial" w:eastAsia="Arial" w:hAnsi="Arial" w:cs="Arial"/>
        </w:rPr>
        <w:t>“</w:t>
      </w:r>
      <w:r>
        <w:rPr>
          <w:rFonts w:ascii="Arial" w:eastAsia="Arial" w:hAnsi="Arial" w:cs="Arial"/>
          <w:b/>
          <w:bCs/>
        </w:rPr>
        <w:t>Specified Administrative Matter</w:t>
      </w:r>
      <w:r>
        <w:rPr>
          <w:rFonts w:ascii="Arial" w:eastAsia="Arial" w:hAnsi="Arial" w:cs="Arial"/>
        </w:rPr>
        <w:t>” has the meaning set forth in Schedule E.</w:t>
      </w:r>
    </w:p>
    <w:p w14:paraId="04899992" w14:textId="77777777" w:rsidR="00D1587D" w:rsidRDefault="00D1587D">
      <w:pPr>
        <w:spacing w:line="233" w:lineRule="exact"/>
        <w:rPr>
          <w:sz w:val="20"/>
          <w:szCs w:val="20"/>
        </w:rPr>
      </w:pPr>
    </w:p>
    <w:p w14:paraId="2DD5210D" w14:textId="77777777" w:rsidR="00D1587D" w:rsidRDefault="00410D07">
      <w:pPr>
        <w:spacing w:line="300" w:lineRule="auto"/>
        <w:ind w:right="400" w:firstLine="702"/>
        <w:jc w:val="both"/>
        <w:rPr>
          <w:sz w:val="20"/>
          <w:szCs w:val="20"/>
        </w:rPr>
      </w:pPr>
      <w:r>
        <w:rPr>
          <w:rFonts w:ascii="Arial" w:eastAsia="Arial" w:hAnsi="Arial" w:cs="Arial"/>
          <w:sz w:val="19"/>
          <w:szCs w:val="19"/>
        </w:rPr>
        <w:t>“</w:t>
      </w:r>
      <w:r>
        <w:rPr>
          <w:rFonts w:ascii="Arial" w:eastAsia="Arial" w:hAnsi="Arial" w:cs="Arial"/>
          <w:b/>
          <w:bCs/>
          <w:sz w:val="19"/>
          <w:szCs w:val="19"/>
        </w:rPr>
        <w:t>Specified Event</w:t>
      </w:r>
      <w:r>
        <w:rPr>
          <w:rFonts w:ascii="Arial" w:eastAsia="Arial" w:hAnsi="Arial" w:cs="Arial"/>
          <w:sz w:val="19"/>
          <w:szCs w:val="19"/>
        </w:rPr>
        <w:t>” means (i) any failure of the Intended Tax Treatment with respect to (A) the Restructuring, (B) the Contribution or (C) the Distribution or (ii) any event that resu</w:t>
      </w:r>
      <w:r>
        <w:rPr>
          <w:rFonts w:ascii="Arial" w:eastAsia="Arial" w:hAnsi="Arial" w:cs="Arial"/>
          <w:sz w:val="19"/>
          <w:szCs w:val="19"/>
        </w:rPr>
        <w:t>lts in (A) a liability for Taxes with respect to a Pre-Distribution Period imposed on any member of the L Brands Group and (B) a Tax Attribute with respect to any member of the VS Group.</w:t>
      </w:r>
    </w:p>
    <w:p w14:paraId="6461AD3D" w14:textId="77777777" w:rsidR="00D1587D" w:rsidRDefault="00D1587D">
      <w:pPr>
        <w:spacing w:line="153" w:lineRule="exact"/>
        <w:rPr>
          <w:sz w:val="20"/>
          <w:szCs w:val="20"/>
        </w:rPr>
      </w:pPr>
    </w:p>
    <w:p w14:paraId="123FDBDF" w14:textId="77777777" w:rsidR="00D1587D" w:rsidRDefault="00410D07">
      <w:pPr>
        <w:spacing w:line="276" w:lineRule="auto"/>
        <w:ind w:right="20" w:firstLine="648"/>
        <w:rPr>
          <w:sz w:val="20"/>
          <w:szCs w:val="20"/>
        </w:rPr>
      </w:pPr>
      <w:r>
        <w:rPr>
          <w:rFonts w:ascii="Arial" w:eastAsia="Arial" w:hAnsi="Arial" w:cs="Arial"/>
          <w:sz w:val="19"/>
          <w:szCs w:val="19"/>
        </w:rPr>
        <w:t>“</w:t>
      </w:r>
      <w:r>
        <w:rPr>
          <w:rFonts w:ascii="Arial" w:eastAsia="Arial" w:hAnsi="Arial" w:cs="Arial"/>
          <w:b/>
          <w:bCs/>
          <w:sz w:val="19"/>
          <w:szCs w:val="19"/>
        </w:rPr>
        <w:t>Tax</w:t>
      </w:r>
      <w:r>
        <w:rPr>
          <w:rFonts w:ascii="Arial" w:eastAsia="Arial" w:hAnsi="Arial" w:cs="Arial"/>
          <w:sz w:val="19"/>
          <w:szCs w:val="19"/>
        </w:rPr>
        <w:t>” (and the correlative meaning, “</w:t>
      </w:r>
      <w:r>
        <w:rPr>
          <w:rFonts w:ascii="Arial" w:eastAsia="Arial" w:hAnsi="Arial" w:cs="Arial"/>
          <w:b/>
          <w:bCs/>
          <w:sz w:val="19"/>
          <w:szCs w:val="19"/>
        </w:rPr>
        <w:t>Taxes</w:t>
      </w:r>
      <w:r>
        <w:rPr>
          <w:rFonts w:ascii="Arial" w:eastAsia="Arial" w:hAnsi="Arial" w:cs="Arial"/>
          <w:sz w:val="19"/>
          <w:szCs w:val="19"/>
        </w:rPr>
        <w:t>,” “</w:t>
      </w:r>
      <w:r>
        <w:rPr>
          <w:rFonts w:ascii="Arial" w:eastAsia="Arial" w:hAnsi="Arial" w:cs="Arial"/>
          <w:b/>
          <w:bCs/>
          <w:sz w:val="19"/>
          <w:szCs w:val="19"/>
        </w:rPr>
        <w:t>Taxing</w:t>
      </w:r>
      <w:r>
        <w:rPr>
          <w:rFonts w:ascii="Arial" w:eastAsia="Arial" w:hAnsi="Arial" w:cs="Arial"/>
          <w:sz w:val="19"/>
          <w:szCs w:val="19"/>
        </w:rPr>
        <w:t>” and “</w:t>
      </w:r>
      <w:r>
        <w:rPr>
          <w:rFonts w:ascii="Arial" w:eastAsia="Arial" w:hAnsi="Arial" w:cs="Arial"/>
          <w:b/>
          <w:bCs/>
          <w:sz w:val="19"/>
          <w:szCs w:val="19"/>
        </w:rPr>
        <w:t>Taxable</w:t>
      </w:r>
      <w:r>
        <w:rPr>
          <w:rFonts w:ascii="Arial" w:eastAsia="Arial" w:hAnsi="Arial" w:cs="Arial"/>
          <w:sz w:val="19"/>
          <w:szCs w:val="19"/>
        </w:rPr>
        <w:t>”)</w:t>
      </w:r>
      <w:r>
        <w:rPr>
          <w:rFonts w:ascii="Arial" w:eastAsia="Arial" w:hAnsi="Arial" w:cs="Arial"/>
          <w:sz w:val="19"/>
          <w:szCs w:val="19"/>
        </w:rPr>
        <w:t xml:space="preserve"> means (i) any tax, including any net income, gross income, gross receipts, recapture, alternative or add-on minimum, sales, use, business and occupation, value-added, trade, goods and services, ad valorem, franchise, profits, net wealth, license, business</w:t>
      </w:r>
      <w:r>
        <w:rPr>
          <w:rFonts w:ascii="Arial" w:eastAsia="Arial" w:hAnsi="Arial" w:cs="Arial"/>
          <w:sz w:val="19"/>
          <w:szCs w:val="19"/>
        </w:rPr>
        <w:t xml:space="preserve"> royalty, withholding, payroll, employment, capital, excise, transfer, recording, severance, stamp, occupation, premium, property, asset, real estate acquisition, environmental, custom duty, impost, obligation, assessment, levy, tariff or other tax, govern</w:t>
      </w:r>
      <w:r>
        <w:rPr>
          <w:rFonts w:ascii="Arial" w:eastAsia="Arial" w:hAnsi="Arial" w:cs="Arial"/>
          <w:sz w:val="19"/>
          <w:szCs w:val="19"/>
        </w:rPr>
        <w:t>mental fee or other like assessment or charge of any kind whatsoever (including any Escheat Payment), together with any interest and any penalty, addition to tax or additional amount imposed by a Taxing Authority; or (ii) any liability of any member of the</w:t>
      </w:r>
      <w:r>
        <w:rPr>
          <w:rFonts w:ascii="Arial" w:eastAsia="Arial" w:hAnsi="Arial" w:cs="Arial"/>
          <w:sz w:val="19"/>
          <w:szCs w:val="19"/>
        </w:rPr>
        <w:t xml:space="preserve"> L Brands Group or the VS Group for the payment of any amounts described in clause (i) as a result of any express or implied obligation to indemnify any other Person.</w:t>
      </w:r>
    </w:p>
    <w:p w14:paraId="36E2C444" w14:textId="77777777" w:rsidR="00D1587D" w:rsidRDefault="00D1587D">
      <w:pPr>
        <w:spacing w:line="177" w:lineRule="exact"/>
        <w:rPr>
          <w:sz w:val="20"/>
          <w:szCs w:val="20"/>
        </w:rPr>
      </w:pPr>
    </w:p>
    <w:p w14:paraId="34903EC5" w14:textId="77777777" w:rsidR="00D1587D" w:rsidRDefault="00410D07">
      <w:pPr>
        <w:spacing w:line="243" w:lineRule="auto"/>
        <w:ind w:right="120" w:firstLine="648"/>
        <w:jc w:val="both"/>
        <w:rPr>
          <w:sz w:val="20"/>
          <w:szCs w:val="20"/>
        </w:rPr>
      </w:pPr>
      <w:r>
        <w:rPr>
          <w:rFonts w:ascii="Arial" w:eastAsia="Arial" w:hAnsi="Arial" w:cs="Arial"/>
        </w:rPr>
        <w:t>“</w:t>
      </w:r>
      <w:r>
        <w:rPr>
          <w:rFonts w:ascii="Arial" w:eastAsia="Arial" w:hAnsi="Arial" w:cs="Arial"/>
          <w:b/>
          <w:bCs/>
        </w:rPr>
        <w:t>Tax Attribute</w:t>
      </w:r>
      <w:r>
        <w:rPr>
          <w:rFonts w:ascii="Arial" w:eastAsia="Arial" w:hAnsi="Arial" w:cs="Arial"/>
        </w:rPr>
        <w:t xml:space="preserve">” means a net operating loss, net capital loss, unused investment credit, </w:t>
      </w:r>
      <w:r>
        <w:rPr>
          <w:rFonts w:ascii="Arial" w:eastAsia="Arial" w:hAnsi="Arial" w:cs="Arial"/>
        </w:rPr>
        <w:t>unused foreign tax credit, excess charitable contribution, unused general business credit, alternative minimum tax credit or any other Tax Item that could reduce a Tax liability.</w:t>
      </w:r>
    </w:p>
    <w:p w14:paraId="1CC4CBC8" w14:textId="77777777" w:rsidR="00D1587D" w:rsidRDefault="00D1587D">
      <w:pPr>
        <w:spacing w:line="204" w:lineRule="exact"/>
        <w:rPr>
          <w:sz w:val="20"/>
          <w:szCs w:val="20"/>
        </w:rPr>
      </w:pPr>
    </w:p>
    <w:p w14:paraId="44CA84AF" w14:textId="77777777" w:rsidR="00D1587D" w:rsidRDefault="00410D07">
      <w:pPr>
        <w:ind w:left="660"/>
        <w:rPr>
          <w:sz w:val="20"/>
          <w:szCs w:val="20"/>
        </w:rPr>
      </w:pPr>
      <w:r>
        <w:rPr>
          <w:rFonts w:ascii="Arial" w:eastAsia="Arial" w:hAnsi="Arial" w:cs="Arial"/>
        </w:rPr>
        <w:t>“</w:t>
      </w:r>
      <w:r>
        <w:rPr>
          <w:rFonts w:ascii="Arial" w:eastAsia="Arial" w:hAnsi="Arial" w:cs="Arial"/>
          <w:b/>
          <w:bCs/>
        </w:rPr>
        <w:t>Tax Benefit</w:t>
      </w:r>
      <w:r>
        <w:rPr>
          <w:rFonts w:ascii="Arial" w:eastAsia="Arial" w:hAnsi="Arial" w:cs="Arial"/>
        </w:rPr>
        <w:t>” means any refund, credit, offset or other reduction in otherwi</w:t>
      </w:r>
      <w:r>
        <w:rPr>
          <w:rFonts w:ascii="Arial" w:eastAsia="Arial" w:hAnsi="Arial" w:cs="Arial"/>
        </w:rPr>
        <w:t>se required Tax payments.</w:t>
      </w:r>
    </w:p>
    <w:p w14:paraId="2850FCED" w14:textId="77777777" w:rsidR="00D1587D" w:rsidRDefault="00D1587D">
      <w:pPr>
        <w:spacing w:line="233" w:lineRule="exact"/>
        <w:rPr>
          <w:sz w:val="20"/>
          <w:szCs w:val="20"/>
        </w:rPr>
      </w:pPr>
    </w:p>
    <w:p w14:paraId="4603D149" w14:textId="77777777" w:rsidR="00D1587D" w:rsidRDefault="00410D07">
      <w:pPr>
        <w:ind w:left="660"/>
        <w:rPr>
          <w:sz w:val="20"/>
          <w:szCs w:val="20"/>
        </w:rPr>
      </w:pPr>
      <w:r>
        <w:rPr>
          <w:rFonts w:ascii="Arial" w:eastAsia="Arial" w:hAnsi="Arial" w:cs="Arial"/>
        </w:rPr>
        <w:t>“</w:t>
      </w:r>
      <w:r>
        <w:rPr>
          <w:rFonts w:ascii="Arial" w:eastAsia="Arial" w:hAnsi="Arial" w:cs="Arial"/>
          <w:b/>
          <w:bCs/>
        </w:rPr>
        <w:t>Tax Adviser</w:t>
      </w:r>
      <w:r>
        <w:rPr>
          <w:rFonts w:ascii="Arial" w:eastAsia="Arial" w:hAnsi="Arial" w:cs="Arial"/>
        </w:rPr>
        <w:t>” means Davis Polk &amp; Wardwell LLP.</w:t>
      </w:r>
    </w:p>
    <w:p w14:paraId="1B80B869" w14:textId="77777777" w:rsidR="00D1587D" w:rsidRDefault="00D1587D">
      <w:pPr>
        <w:spacing w:line="233" w:lineRule="exact"/>
        <w:rPr>
          <w:sz w:val="20"/>
          <w:szCs w:val="20"/>
        </w:rPr>
      </w:pPr>
    </w:p>
    <w:p w14:paraId="342F5449" w14:textId="77777777" w:rsidR="00D1587D" w:rsidRDefault="00410D07">
      <w:pPr>
        <w:spacing w:line="256" w:lineRule="auto"/>
        <w:ind w:firstLine="648"/>
        <w:rPr>
          <w:sz w:val="20"/>
          <w:szCs w:val="20"/>
        </w:rPr>
      </w:pPr>
      <w:r>
        <w:rPr>
          <w:rFonts w:ascii="Arial" w:eastAsia="Arial" w:hAnsi="Arial" w:cs="Arial"/>
        </w:rPr>
        <w:t>“</w:t>
      </w:r>
      <w:r>
        <w:rPr>
          <w:rFonts w:ascii="Arial" w:eastAsia="Arial" w:hAnsi="Arial" w:cs="Arial"/>
          <w:b/>
          <w:bCs/>
        </w:rPr>
        <w:t>Tax Item</w:t>
      </w:r>
      <w:r>
        <w:rPr>
          <w:rFonts w:ascii="Arial" w:eastAsia="Arial" w:hAnsi="Arial" w:cs="Arial"/>
        </w:rPr>
        <w:t>” means any item of income, gain, loss, deduction, credit, recapture of credit or any other item that can increase or decrease Taxes paid or payable.</w:t>
      </w:r>
    </w:p>
    <w:p w14:paraId="16C13A95" w14:textId="77777777" w:rsidR="00D1587D" w:rsidRDefault="00D1587D">
      <w:pPr>
        <w:spacing w:line="189" w:lineRule="exact"/>
        <w:rPr>
          <w:sz w:val="20"/>
          <w:szCs w:val="20"/>
        </w:rPr>
      </w:pPr>
    </w:p>
    <w:p w14:paraId="0DF1133D" w14:textId="77777777" w:rsidR="00D1587D" w:rsidRDefault="00410D07">
      <w:pPr>
        <w:spacing w:line="256" w:lineRule="auto"/>
        <w:ind w:right="40" w:firstLine="648"/>
        <w:rPr>
          <w:sz w:val="20"/>
          <w:szCs w:val="20"/>
        </w:rPr>
      </w:pPr>
      <w:r>
        <w:rPr>
          <w:rFonts w:ascii="Arial" w:eastAsia="Arial" w:hAnsi="Arial" w:cs="Arial"/>
        </w:rPr>
        <w:t>“</w:t>
      </w:r>
      <w:r>
        <w:rPr>
          <w:rFonts w:ascii="Arial" w:eastAsia="Arial" w:hAnsi="Arial" w:cs="Arial"/>
          <w:b/>
          <w:bCs/>
        </w:rPr>
        <w:t>Tax Opinion</w:t>
      </w:r>
      <w:r>
        <w:rPr>
          <w:rFonts w:ascii="Arial" w:eastAsia="Arial" w:hAnsi="Arial" w:cs="Arial"/>
        </w:rPr>
        <w:t xml:space="preserve">” </w:t>
      </w:r>
      <w:r>
        <w:rPr>
          <w:rFonts w:ascii="Arial" w:eastAsia="Arial" w:hAnsi="Arial" w:cs="Arial"/>
        </w:rPr>
        <w:t>shall mean the legal opinion delivered to L Brands by the Tax Adviser with respect to certain U.S. federal income Tax consequences of the Restructuring, the Contribution and the Distribution.</w:t>
      </w:r>
    </w:p>
    <w:p w14:paraId="747BCBF8" w14:textId="77777777" w:rsidR="00D1587D" w:rsidRDefault="00D1587D">
      <w:pPr>
        <w:spacing w:line="189" w:lineRule="exact"/>
        <w:rPr>
          <w:sz w:val="20"/>
          <w:szCs w:val="20"/>
        </w:rPr>
      </w:pPr>
    </w:p>
    <w:p w14:paraId="4C4CEDDE" w14:textId="77777777" w:rsidR="00D1587D" w:rsidRDefault="00410D07">
      <w:pPr>
        <w:spacing w:line="243" w:lineRule="auto"/>
        <w:ind w:right="120" w:firstLine="648"/>
        <w:jc w:val="both"/>
        <w:rPr>
          <w:sz w:val="20"/>
          <w:szCs w:val="20"/>
        </w:rPr>
      </w:pPr>
      <w:r>
        <w:rPr>
          <w:rFonts w:ascii="Arial" w:eastAsia="Arial" w:hAnsi="Arial" w:cs="Arial"/>
        </w:rPr>
        <w:t>“</w:t>
      </w:r>
      <w:r>
        <w:rPr>
          <w:rFonts w:ascii="Arial" w:eastAsia="Arial" w:hAnsi="Arial" w:cs="Arial"/>
          <w:b/>
          <w:bCs/>
        </w:rPr>
        <w:t>Tax Proceeding</w:t>
      </w:r>
      <w:r>
        <w:rPr>
          <w:rFonts w:ascii="Arial" w:eastAsia="Arial" w:hAnsi="Arial" w:cs="Arial"/>
        </w:rPr>
        <w:t>” means any Tax audit, dispute, examination, con</w:t>
      </w:r>
      <w:r>
        <w:rPr>
          <w:rFonts w:ascii="Arial" w:eastAsia="Arial" w:hAnsi="Arial" w:cs="Arial"/>
        </w:rPr>
        <w:t>test, litigation, arbitration, action, suit, claim, cause of action, review, inquiry, assessment, hearing, complaint, demand, investigation or proceeding (whether administrative, judicial or contractual).</w:t>
      </w:r>
    </w:p>
    <w:p w14:paraId="3E4E3265" w14:textId="77777777" w:rsidR="00D1587D" w:rsidRDefault="00D1587D">
      <w:pPr>
        <w:spacing w:line="204" w:lineRule="exact"/>
        <w:rPr>
          <w:sz w:val="20"/>
          <w:szCs w:val="20"/>
        </w:rPr>
      </w:pPr>
    </w:p>
    <w:p w14:paraId="58F010E0" w14:textId="77777777" w:rsidR="00D1587D" w:rsidRDefault="00410D07">
      <w:pPr>
        <w:spacing w:line="280" w:lineRule="auto"/>
        <w:ind w:firstLine="648"/>
        <w:rPr>
          <w:sz w:val="20"/>
          <w:szCs w:val="20"/>
        </w:rPr>
      </w:pPr>
      <w:r>
        <w:rPr>
          <w:rFonts w:ascii="Arial" w:eastAsia="Arial" w:hAnsi="Arial" w:cs="Arial"/>
          <w:sz w:val="19"/>
          <w:szCs w:val="19"/>
        </w:rPr>
        <w:t>“</w:t>
      </w:r>
      <w:r>
        <w:rPr>
          <w:rFonts w:ascii="Arial" w:eastAsia="Arial" w:hAnsi="Arial" w:cs="Arial"/>
          <w:b/>
          <w:bCs/>
          <w:sz w:val="19"/>
          <w:szCs w:val="19"/>
        </w:rPr>
        <w:t>Tax-Related Losses</w:t>
      </w:r>
      <w:r>
        <w:rPr>
          <w:rFonts w:ascii="Arial" w:eastAsia="Arial" w:hAnsi="Arial" w:cs="Arial"/>
          <w:sz w:val="19"/>
          <w:szCs w:val="19"/>
        </w:rPr>
        <w:t>” means, with respect to any Ta</w:t>
      </w:r>
      <w:r>
        <w:rPr>
          <w:rFonts w:ascii="Arial" w:eastAsia="Arial" w:hAnsi="Arial" w:cs="Arial"/>
          <w:sz w:val="19"/>
          <w:szCs w:val="19"/>
        </w:rPr>
        <w:t>xes imposed pursuant to any settlement, determination, judgment or otherwise, (i) all accounting, legal and other professional fees, and court costs incurred in connection with such Taxes, as well as any other out-of-pocket costs incurred in connection wit</w:t>
      </w:r>
      <w:r>
        <w:rPr>
          <w:rFonts w:ascii="Arial" w:eastAsia="Arial" w:hAnsi="Arial" w:cs="Arial"/>
          <w:sz w:val="19"/>
          <w:szCs w:val="19"/>
        </w:rPr>
        <w:t>h such Taxes and (ii) all damages, costs, and expenses associated with stockholder litigation or controversies and any amount paid by any member of the L Brands Group or any member of the VS Group in respect of the liability of shareholders, whether paid t</w:t>
      </w:r>
      <w:r>
        <w:rPr>
          <w:rFonts w:ascii="Arial" w:eastAsia="Arial" w:hAnsi="Arial" w:cs="Arial"/>
          <w:sz w:val="19"/>
          <w:szCs w:val="19"/>
        </w:rPr>
        <w:t>o shareholders or to the IRS or any other Taxing Authority, in each case, resulting from the failure of the Intended Tax Treatment of the Restructuring, the Contribution or the Distribution.</w:t>
      </w:r>
    </w:p>
    <w:p w14:paraId="0CC44675" w14:textId="77777777" w:rsidR="00D1587D" w:rsidRDefault="00D1587D">
      <w:pPr>
        <w:spacing w:line="110" w:lineRule="exact"/>
        <w:rPr>
          <w:sz w:val="20"/>
          <w:szCs w:val="20"/>
        </w:rPr>
      </w:pPr>
    </w:p>
    <w:p w14:paraId="60CFAB40" w14:textId="77777777" w:rsidR="00D1587D" w:rsidRDefault="00410D07">
      <w:pPr>
        <w:ind w:right="-19"/>
        <w:jc w:val="center"/>
        <w:rPr>
          <w:sz w:val="20"/>
          <w:szCs w:val="20"/>
        </w:rPr>
      </w:pPr>
      <w:r>
        <w:rPr>
          <w:rFonts w:ascii="Arial" w:eastAsia="Arial" w:hAnsi="Arial" w:cs="Arial"/>
        </w:rPr>
        <w:t>5</w:t>
      </w:r>
    </w:p>
    <w:p w14:paraId="19E9B1A9" w14:textId="77777777" w:rsidR="00D1587D" w:rsidRDefault="00410D07">
      <w:pPr>
        <w:spacing w:line="20" w:lineRule="exact"/>
        <w:rPr>
          <w:sz w:val="20"/>
          <w:szCs w:val="20"/>
        </w:rPr>
      </w:pPr>
      <w:r>
        <w:rPr>
          <w:noProof/>
          <w:sz w:val="20"/>
          <w:szCs w:val="20"/>
        </w:rPr>
        <w:drawing>
          <wp:anchor distT="0" distB="0" distL="114300" distR="114300" simplePos="0" relativeHeight="251298816" behindDoc="1" locked="0" layoutInCell="0" allowOverlap="1" wp14:anchorId="43C33A4F" wp14:editId="33A0D126">
            <wp:simplePos x="0" y="0"/>
            <wp:positionH relativeFrom="column">
              <wp:posOffset>5080</wp:posOffset>
            </wp:positionH>
            <wp:positionV relativeFrom="paragraph">
              <wp:posOffset>41275</wp:posOffset>
            </wp:positionV>
            <wp:extent cx="7132320" cy="1714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5515A17" w14:textId="77777777" w:rsidR="00D1587D" w:rsidRDefault="00D1587D">
      <w:pPr>
        <w:sectPr w:rsidR="00D1587D">
          <w:pgSz w:w="11900" w:h="16838"/>
          <w:pgMar w:top="355" w:right="359" w:bottom="1440" w:left="320" w:header="0" w:footer="0" w:gutter="0"/>
          <w:cols w:space="720" w:equalWidth="0">
            <w:col w:w="11220"/>
          </w:cols>
        </w:sectPr>
      </w:pPr>
    </w:p>
    <w:p w14:paraId="0CF9F8F4" w14:textId="77777777" w:rsidR="00D1587D" w:rsidRDefault="00410D07">
      <w:pPr>
        <w:spacing w:line="256" w:lineRule="auto"/>
        <w:ind w:right="60" w:firstLine="648"/>
        <w:rPr>
          <w:sz w:val="20"/>
          <w:szCs w:val="20"/>
        </w:rPr>
      </w:pPr>
      <w:bookmarkStart w:id="144" w:name="page145"/>
      <w:bookmarkEnd w:id="144"/>
      <w:r>
        <w:rPr>
          <w:rFonts w:ascii="Arial" w:eastAsia="Arial" w:hAnsi="Arial" w:cs="Arial"/>
        </w:rPr>
        <w:t>“</w:t>
      </w:r>
      <w:r>
        <w:rPr>
          <w:rFonts w:ascii="Arial" w:eastAsia="Arial" w:hAnsi="Arial" w:cs="Arial"/>
          <w:b/>
          <w:bCs/>
        </w:rPr>
        <w:t>Tax Representation Letters</w:t>
      </w:r>
      <w:r>
        <w:rPr>
          <w:rFonts w:ascii="Arial" w:eastAsia="Arial" w:hAnsi="Arial" w:cs="Arial"/>
        </w:rPr>
        <w:t xml:space="preserve">” means </w:t>
      </w:r>
      <w:r>
        <w:rPr>
          <w:rFonts w:ascii="Arial" w:eastAsia="Arial" w:hAnsi="Arial" w:cs="Arial"/>
        </w:rPr>
        <w:t>the representations provided by VS and L Brands to the Tax Adviser in connection with the rendering by the Tax Adviser of the Tax Opinion.</w:t>
      </w:r>
    </w:p>
    <w:p w14:paraId="6CD05EE3" w14:textId="77777777" w:rsidR="00D1587D" w:rsidRDefault="00D1587D">
      <w:pPr>
        <w:spacing w:line="189" w:lineRule="exact"/>
        <w:rPr>
          <w:sz w:val="20"/>
          <w:szCs w:val="20"/>
        </w:rPr>
      </w:pPr>
    </w:p>
    <w:p w14:paraId="10D517CA" w14:textId="77777777" w:rsidR="00D1587D" w:rsidRDefault="00410D07">
      <w:pPr>
        <w:spacing w:line="239" w:lineRule="auto"/>
        <w:ind w:right="280" w:firstLine="648"/>
        <w:rPr>
          <w:sz w:val="20"/>
          <w:szCs w:val="20"/>
        </w:rPr>
      </w:pPr>
      <w:r>
        <w:rPr>
          <w:rFonts w:ascii="Arial" w:eastAsia="Arial" w:hAnsi="Arial" w:cs="Arial"/>
        </w:rPr>
        <w:t>“</w:t>
      </w:r>
      <w:r>
        <w:rPr>
          <w:rFonts w:ascii="Arial" w:eastAsia="Arial" w:hAnsi="Arial" w:cs="Arial"/>
          <w:b/>
          <w:bCs/>
        </w:rPr>
        <w:t>Tax Return</w:t>
      </w:r>
      <w:r>
        <w:rPr>
          <w:rFonts w:ascii="Arial" w:eastAsia="Arial" w:hAnsi="Arial" w:cs="Arial"/>
        </w:rPr>
        <w:t>” means any Tax return, statement, report, form, election, bill, certificate, claim or surrender (includi</w:t>
      </w:r>
      <w:r>
        <w:rPr>
          <w:rFonts w:ascii="Arial" w:eastAsia="Arial" w:hAnsi="Arial" w:cs="Arial"/>
        </w:rPr>
        <w:t>ng estimated Tax returns and reports, extension requests and forms, and information returns and reports), or statement or other document or written information filed or required to be filed with any Taxing Authority, including any amendment thereof and any</w:t>
      </w:r>
      <w:r>
        <w:rPr>
          <w:rFonts w:ascii="Arial" w:eastAsia="Arial" w:hAnsi="Arial" w:cs="Arial"/>
        </w:rPr>
        <w:t xml:space="preserve"> appendix, schedule or attachment thereto.</w:t>
      </w:r>
    </w:p>
    <w:p w14:paraId="59FE5475" w14:textId="77777777" w:rsidR="00D1587D" w:rsidRDefault="00D1587D">
      <w:pPr>
        <w:spacing w:line="207" w:lineRule="exact"/>
        <w:rPr>
          <w:sz w:val="20"/>
          <w:szCs w:val="20"/>
        </w:rPr>
      </w:pPr>
    </w:p>
    <w:p w14:paraId="0CFAEF90" w14:textId="77777777" w:rsidR="00D1587D" w:rsidRDefault="00410D07">
      <w:pPr>
        <w:spacing w:line="243" w:lineRule="auto"/>
        <w:ind w:firstLine="648"/>
        <w:rPr>
          <w:sz w:val="20"/>
          <w:szCs w:val="20"/>
        </w:rPr>
      </w:pPr>
      <w:r>
        <w:rPr>
          <w:rFonts w:ascii="Arial" w:eastAsia="Arial" w:hAnsi="Arial" w:cs="Arial"/>
        </w:rPr>
        <w:t>“</w:t>
      </w:r>
      <w:r>
        <w:rPr>
          <w:rFonts w:ascii="Arial" w:eastAsia="Arial" w:hAnsi="Arial" w:cs="Arial"/>
          <w:b/>
          <w:bCs/>
        </w:rPr>
        <w:t>Taxing Authority</w:t>
      </w:r>
      <w:r>
        <w:rPr>
          <w:rFonts w:ascii="Arial" w:eastAsia="Arial" w:hAnsi="Arial" w:cs="Arial"/>
        </w:rPr>
        <w:t xml:space="preserve">” means any Governmental Authority (domestic or foreign), including, without limitation, any state, municipality, political subdivision or governmental agency, responsible for the </w:t>
      </w:r>
      <w:r>
        <w:rPr>
          <w:rFonts w:ascii="Arial" w:eastAsia="Arial" w:hAnsi="Arial" w:cs="Arial"/>
        </w:rPr>
        <w:t>imposition, assessment, administration, collection, enforcement or determination of any Tax.</w:t>
      </w:r>
    </w:p>
    <w:p w14:paraId="11C51FBD" w14:textId="77777777" w:rsidR="00D1587D" w:rsidRDefault="00D1587D">
      <w:pPr>
        <w:spacing w:line="204" w:lineRule="exact"/>
        <w:rPr>
          <w:sz w:val="20"/>
          <w:szCs w:val="20"/>
        </w:rPr>
      </w:pPr>
    </w:p>
    <w:p w14:paraId="525F4085" w14:textId="77777777" w:rsidR="00D1587D" w:rsidRDefault="00410D07">
      <w:pPr>
        <w:spacing w:line="239" w:lineRule="auto"/>
        <w:ind w:right="180" w:firstLine="702"/>
        <w:rPr>
          <w:sz w:val="20"/>
          <w:szCs w:val="20"/>
        </w:rPr>
      </w:pPr>
      <w:r>
        <w:rPr>
          <w:rFonts w:ascii="Arial" w:eastAsia="Arial" w:hAnsi="Arial" w:cs="Arial"/>
        </w:rPr>
        <w:t>“</w:t>
      </w:r>
      <w:r>
        <w:rPr>
          <w:rFonts w:ascii="Arial" w:eastAsia="Arial" w:hAnsi="Arial" w:cs="Arial"/>
          <w:b/>
          <w:bCs/>
        </w:rPr>
        <w:t>Transfer Taxes</w:t>
      </w:r>
      <w:r>
        <w:rPr>
          <w:rFonts w:ascii="Arial" w:eastAsia="Arial" w:hAnsi="Arial" w:cs="Arial"/>
        </w:rPr>
        <w:t>” means all U.S. federal, state, local or non-U.S. sales, use, privilege, transfer, documentary, stamp, duties, real estate transfer, controlling i</w:t>
      </w:r>
      <w:r>
        <w:rPr>
          <w:rFonts w:ascii="Arial" w:eastAsia="Arial" w:hAnsi="Arial" w:cs="Arial"/>
        </w:rPr>
        <w:t>nterest transfer, recording and similar Taxes and fees (including any penalties, interest or additions thereto) imposed upon any member of the L Brands Group or any member of the VS Group in connection with the Restructuring, the Contribution or the Distri</w:t>
      </w:r>
      <w:r>
        <w:rPr>
          <w:rFonts w:ascii="Arial" w:eastAsia="Arial" w:hAnsi="Arial" w:cs="Arial"/>
        </w:rPr>
        <w:t>bution.</w:t>
      </w:r>
    </w:p>
    <w:p w14:paraId="2B3B0443" w14:textId="77777777" w:rsidR="00D1587D" w:rsidRDefault="00D1587D">
      <w:pPr>
        <w:spacing w:line="207" w:lineRule="exact"/>
        <w:rPr>
          <w:sz w:val="20"/>
          <w:szCs w:val="20"/>
        </w:rPr>
      </w:pPr>
    </w:p>
    <w:p w14:paraId="121F3EEE" w14:textId="77777777" w:rsidR="00D1587D" w:rsidRDefault="00410D07">
      <w:pPr>
        <w:ind w:left="660"/>
        <w:rPr>
          <w:sz w:val="20"/>
          <w:szCs w:val="20"/>
        </w:rPr>
      </w:pPr>
      <w:r>
        <w:rPr>
          <w:rFonts w:ascii="Arial" w:eastAsia="Arial" w:hAnsi="Arial" w:cs="Arial"/>
        </w:rPr>
        <w:t>“</w:t>
      </w:r>
      <w:r>
        <w:rPr>
          <w:rFonts w:ascii="Arial" w:eastAsia="Arial" w:hAnsi="Arial" w:cs="Arial"/>
          <w:b/>
          <w:bCs/>
        </w:rPr>
        <w:t>VS Business</w:t>
      </w:r>
      <w:r>
        <w:rPr>
          <w:rFonts w:ascii="Arial" w:eastAsia="Arial" w:hAnsi="Arial" w:cs="Arial"/>
        </w:rPr>
        <w:t>” has the meaning set forth in the Separation Agreement.</w:t>
      </w:r>
    </w:p>
    <w:p w14:paraId="53BDF9F7" w14:textId="77777777" w:rsidR="00D1587D" w:rsidRDefault="00D1587D">
      <w:pPr>
        <w:spacing w:line="233" w:lineRule="exact"/>
        <w:rPr>
          <w:sz w:val="20"/>
          <w:szCs w:val="20"/>
        </w:rPr>
      </w:pPr>
    </w:p>
    <w:p w14:paraId="3A2B59D7" w14:textId="77777777" w:rsidR="00D1587D" w:rsidRDefault="00410D07">
      <w:pPr>
        <w:spacing w:line="243" w:lineRule="auto"/>
        <w:ind w:right="200" w:firstLine="648"/>
        <w:rPr>
          <w:sz w:val="20"/>
          <w:szCs w:val="20"/>
        </w:rPr>
      </w:pPr>
      <w:r>
        <w:rPr>
          <w:rFonts w:ascii="Arial" w:eastAsia="Arial" w:hAnsi="Arial" w:cs="Arial"/>
        </w:rPr>
        <w:t>“</w:t>
      </w:r>
      <w:r>
        <w:rPr>
          <w:rFonts w:ascii="Arial" w:eastAsia="Arial" w:hAnsi="Arial" w:cs="Arial"/>
          <w:b/>
          <w:bCs/>
        </w:rPr>
        <w:t>VS Carried Item</w:t>
      </w:r>
      <w:r>
        <w:rPr>
          <w:rFonts w:ascii="Arial" w:eastAsia="Arial" w:hAnsi="Arial" w:cs="Arial"/>
        </w:rPr>
        <w:t>” means any Tax Attribute of the VS Group that may or must be carried from one Taxable period to another prior Taxable period, or carried from one Taxable period</w:t>
      </w:r>
      <w:r>
        <w:rPr>
          <w:rFonts w:ascii="Arial" w:eastAsia="Arial" w:hAnsi="Arial" w:cs="Arial"/>
        </w:rPr>
        <w:t xml:space="preserve"> to another subsequent Taxable period, under the Code or other Applicable Tax Law.</w:t>
      </w:r>
    </w:p>
    <w:p w14:paraId="2C22502B" w14:textId="77777777" w:rsidR="00D1587D" w:rsidRDefault="00D1587D">
      <w:pPr>
        <w:spacing w:line="204" w:lineRule="exact"/>
        <w:rPr>
          <w:sz w:val="20"/>
          <w:szCs w:val="20"/>
        </w:rPr>
      </w:pPr>
    </w:p>
    <w:p w14:paraId="3B6A4AE7" w14:textId="77777777" w:rsidR="00D1587D" w:rsidRDefault="00410D07">
      <w:pPr>
        <w:ind w:left="660"/>
        <w:rPr>
          <w:sz w:val="20"/>
          <w:szCs w:val="20"/>
        </w:rPr>
      </w:pPr>
      <w:r>
        <w:rPr>
          <w:rFonts w:ascii="Arial" w:eastAsia="Arial" w:hAnsi="Arial" w:cs="Arial"/>
        </w:rPr>
        <w:t>“</w:t>
      </w:r>
      <w:r>
        <w:rPr>
          <w:rFonts w:ascii="Arial" w:eastAsia="Arial" w:hAnsi="Arial" w:cs="Arial"/>
          <w:b/>
          <w:bCs/>
        </w:rPr>
        <w:t>VS Common Stock</w:t>
      </w:r>
      <w:r>
        <w:rPr>
          <w:rFonts w:ascii="Arial" w:eastAsia="Arial" w:hAnsi="Arial" w:cs="Arial"/>
        </w:rPr>
        <w:t>” has the meaning set forth in the Separation Agreement.</w:t>
      </w:r>
    </w:p>
    <w:p w14:paraId="77C84C1E" w14:textId="77777777" w:rsidR="00D1587D" w:rsidRDefault="00D1587D">
      <w:pPr>
        <w:spacing w:line="233" w:lineRule="exact"/>
        <w:rPr>
          <w:sz w:val="20"/>
          <w:szCs w:val="20"/>
        </w:rPr>
      </w:pPr>
    </w:p>
    <w:p w14:paraId="5A1D10AF" w14:textId="77777777" w:rsidR="00D1587D" w:rsidRDefault="00410D07">
      <w:pPr>
        <w:spacing w:line="283" w:lineRule="auto"/>
        <w:ind w:right="20" w:firstLine="648"/>
        <w:rPr>
          <w:sz w:val="20"/>
          <w:szCs w:val="20"/>
        </w:rPr>
      </w:pPr>
      <w:r>
        <w:rPr>
          <w:rFonts w:ascii="Arial" w:eastAsia="Arial" w:hAnsi="Arial" w:cs="Arial"/>
          <w:sz w:val="19"/>
          <w:szCs w:val="19"/>
        </w:rPr>
        <w:t>“</w:t>
      </w:r>
      <w:r>
        <w:rPr>
          <w:rFonts w:ascii="Arial" w:eastAsia="Arial" w:hAnsi="Arial" w:cs="Arial"/>
          <w:b/>
          <w:bCs/>
          <w:sz w:val="19"/>
          <w:szCs w:val="19"/>
        </w:rPr>
        <w:t>VS Compensatory Equity Interests</w:t>
      </w:r>
      <w:r>
        <w:rPr>
          <w:rFonts w:ascii="Arial" w:eastAsia="Arial" w:hAnsi="Arial" w:cs="Arial"/>
          <w:sz w:val="19"/>
          <w:szCs w:val="19"/>
        </w:rPr>
        <w:t>” means any options, stock appreciation rights, restricted stock,</w:t>
      </w:r>
      <w:r>
        <w:rPr>
          <w:rFonts w:ascii="Arial" w:eastAsia="Arial" w:hAnsi="Arial" w:cs="Arial"/>
          <w:sz w:val="19"/>
          <w:szCs w:val="19"/>
        </w:rPr>
        <w:t xml:space="preserve"> stock units or other rights with respect to the capital stock of VS that are granted on or prior to the Distribution Date by any member of the VS Group in connection with employee, independent contractor or director compensation or other employee benefits</w:t>
      </w:r>
      <w:r>
        <w:rPr>
          <w:rFonts w:ascii="Arial" w:eastAsia="Arial" w:hAnsi="Arial" w:cs="Arial"/>
          <w:sz w:val="19"/>
          <w:szCs w:val="19"/>
        </w:rPr>
        <w:t xml:space="preserve"> (including, for the avoidance of doubt, options, stock appreciation rights, restricted stock, restricted stock units, performance share units or other rights issued in respect of any of the foregoing by reason of the Distribution or any subsequent transac</w:t>
      </w:r>
      <w:r>
        <w:rPr>
          <w:rFonts w:ascii="Arial" w:eastAsia="Arial" w:hAnsi="Arial" w:cs="Arial"/>
          <w:sz w:val="19"/>
          <w:szCs w:val="19"/>
        </w:rPr>
        <w:t>tion).</w:t>
      </w:r>
    </w:p>
    <w:p w14:paraId="2815F818" w14:textId="77777777" w:rsidR="00D1587D" w:rsidRDefault="00D1587D">
      <w:pPr>
        <w:spacing w:line="170" w:lineRule="exact"/>
        <w:rPr>
          <w:sz w:val="20"/>
          <w:szCs w:val="20"/>
        </w:rPr>
      </w:pPr>
    </w:p>
    <w:p w14:paraId="6DDB877C" w14:textId="77777777" w:rsidR="00D1587D" w:rsidRDefault="00410D07">
      <w:pPr>
        <w:spacing w:line="234" w:lineRule="auto"/>
        <w:ind w:firstLine="648"/>
        <w:rPr>
          <w:sz w:val="20"/>
          <w:szCs w:val="20"/>
        </w:rPr>
      </w:pPr>
      <w:r>
        <w:rPr>
          <w:rFonts w:ascii="Arial" w:eastAsia="Arial" w:hAnsi="Arial" w:cs="Arial"/>
        </w:rPr>
        <w:t>“</w:t>
      </w:r>
      <w:r>
        <w:rPr>
          <w:rFonts w:ascii="Arial" w:eastAsia="Arial" w:hAnsi="Arial" w:cs="Arial"/>
          <w:b/>
          <w:bCs/>
        </w:rPr>
        <w:t>VS Disqualifying Action</w:t>
      </w:r>
      <w:r>
        <w:rPr>
          <w:rFonts w:ascii="Arial" w:eastAsia="Arial" w:hAnsi="Arial" w:cs="Arial"/>
        </w:rPr>
        <w:t>” means (a) any action (or the failure to take any action) by any member of the VS Group after the Distribution Time (including entering into any agreement, understanding or arrangement or any negotiations with respect to an</w:t>
      </w:r>
      <w:r>
        <w:rPr>
          <w:rFonts w:ascii="Arial" w:eastAsia="Arial" w:hAnsi="Arial" w:cs="Arial"/>
        </w:rPr>
        <w:t>y transaction or series of transactions), (b) any event (or series of events) after the Distribution Time involving the capital stock of VS or any assets of any member of the VS Group or (c) any breach by any member of the VS Group after the Distribution T</w:t>
      </w:r>
      <w:r>
        <w:rPr>
          <w:rFonts w:ascii="Arial" w:eastAsia="Arial" w:hAnsi="Arial" w:cs="Arial"/>
        </w:rPr>
        <w:t xml:space="preserve">ime of any representation, warranty or covenant made by them in this Agreement, that, in each case, would affect the Intended Tax Treatment; </w:t>
      </w:r>
      <w:r>
        <w:rPr>
          <w:rFonts w:ascii="Arial" w:eastAsia="Arial" w:hAnsi="Arial" w:cs="Arial"/>
          <w:i/>
          <w:iCs/>
        </w:rPr>
        <w:t>provided</w:t>
      </w:r>
      <w:r>
        <w:rPr>
          <w:rFonts w:ascii="Arial" w:eastAsia="Arial" w:hAnsi="Arial" w:cs="Arial"/>
        </w:rPr>
        <w:t xml:space="preserve">, </w:t>
      </w:r>
      <w:r>
        <w:rPr>
          <w:rFonts w:ascii="Arial" w:eastAsia="Arial" w:hAnsi="Arial" w:cs="Arial"/>
          <w:i/>
          <w:iCs/>
        </w:rPr>
        <w:t>however</w:t>
      </w:r>
      <w:r>
        <w:rPr>
          <w:rFonts w:ascii="Arial" w:eastAsia="Arial" w:hAnsi="Arial" w:cs="Arial"/>
        </w:rPr>
        <w:t>, that the term “VS Disqualifying Action” shall not include any action entered into pursuant to an</w:t>
      </w:r>
      <w:r>
        <w:rPr>
          <w:rFonts w:ascii="Arial" w:eastAsia="Arial" w:hAnsi="Arial" w:cs="Arial"/>
        </w:rPr>
        <w:t>y Distribution Document (other than this Agreement) or that is undertaken pursuant to the Restructuring, the Contribution or the Distribution.</w:t>
      </w:r>
    </w:p>
    <w:p w14:paraId="19E986ED" w14:textId="77777777" w:rsidR="00D1587D" w:rsidRDefault="00D1587D">
      <w:pPr>
        <w:spacing w:line="152" w:lineRule="exact"/>
        <w:rPr>
          <w:sz w:val="20"/>
          <w:szCs w:val="20"/>
        </w:rPr>
      </w:pPr>
    </w:p>
    <w:p w14:paraId="2EE9F4B6" w14:textId="77777777" w:rsidR="00D1587D" w:rsidRDefault="00410D07">
      <w:pPr>
        <w:ind w:right="-39"/>
        <w:jc w:val="center"/>
        <w:rPr>
          <w:sz w:val="20"/>
          <w:szCs w:val="20"/>
        </w:rPr>
      </w:pPr>
      <w:r>
        <w:rPr>
          <w:rFonts w:ascii="Arial" w:eastAsia="Arial" w:hAnsi="Arial" w:cs="Arial"/>
        </w:rPr>
        <w:t>6</w:t>
      </w:r>
    </w:p>
    <w:p w14:paraId="605DAFF3" w14:textId="77777777" w:rsidR="00D1587D" w:rsidRDefault="00410D07">
      <w:pPr>
        <w:spacing w:line="20" w:lineRule="exact"/>
        <w:rPr>
          <w:sz w:val="20"/>
          <w:szCs w:val="20"/>
        </w:rPr>
      </w:pPr>
      <w:r>
        <w:rPr>
          <w:noProof/>
          <w:sz w:val="20"/>
          <w:szCs w:val="20"/>
        </w:rPr>
        <w:drawing>
          <wp:anchor distT="0" distB="0" distL="114300" distR="114300" simplePos="0" relativeHeight="251299840" behindDoc="1" locked="0" layoutInCell="0" allowOverlap="1" wp14:anchorId="3B848096" wp14:editId="6545D5E7">
            <wp:simplePos x="0" y="0"/>
            <wp:positionH relativeFrom="column">
              <wp:posOffset>5080</wp:posOffset>
            </wp:positionH>
            <wp:positionV relativeFrom="paragraph">
              <wp:posOffset>41275</wp:posOffset>
            </wp:positionV>
            <wp:extent cx="7132320" cy="1714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533E236" w14:textId="77777777" w:rsidR="00D1587D" w:rsidRDefault="00D1587D">
      <w:pPr>
        <w:sectPr w:rsidR="00D1587D">
          <w:pgSz w:w="11900" w:h="16838"/>
          <w:pgMar w:top="355" w:right="359" w:bottom="1440" w:left="320" w:header="0" w:footer="0" w:gutter="0"/>
          <w:cols w:space="720" w:equalWidth="0">
            <w:col w:w="11220"/>
          </w:cols>
        </w:sectPr>
      </w:pPr>
    </w:p>
    <w:p w14:paraId="3279D86E" w14:textId="77777777" w:rsidR="00D1587D" w:rsidRDefault="00410D07">
      <w:pPr>
        <w:ind w:left="660"/>
        <w:rPr>
          <w:sz w:val="20"/>
          <w:szCs w:val="20"/>
        </w:rPr>
      </w:pPr>
      <w:bookmarkStart w:id="145" w:name="page146"/>
      <w:bookmarkEnd w:id="145"/>
      <w:r>
        <w:rPr>
          <w:rFonts w:ascii="Arial" w:eastAsia="Arial" w:hAnsi="Arial" w:cs="Arial"/>
        </w:rPr>
        <w:t>“</w:t>
      </w:r>
      <w:r>
        <w:rPr>
          <w:rFonts w:ascii="Arial" w:eastAsia="Arial" w:hAnsi="Arial" w:cs="Arial"/>
          <w:b/>
          <w:bCs/>
        </w:rPr>
        <w:t>VS Group</w:t>
      </w:r>
      <w:r>
        <w:rPr>
          <w:rFonts w:ascii="Arial" w:eastAsia="Arial" w:hAnsi="Arial" w:cs="Arial"/>
        </w:rPr>
        <w:t>” has the meaning set forth in the Separation Agreement.</w:t>
      </w:r>
    </w:p>
    <w:p w14:paraId="0770D140" w14:textId="77777777" w:rsidR="00D1587D" w:rsidRDefault="00D1587D">
      <w:pPr>
        <w:spacing w:line="233" w:lineRule="exact"/>
        <w:rPr>
          <w:sz w:val="20"/>
          <w:szCs w:val="20"/>
        </w:rPr>
      </w:pPr>
    </w:p>
    <w:p w14:paraId="0E183D33" w14:textId="77777777" w:rsidR="00D1587D" w:rsidRDefault="00410D07">
      <w:pPr>
        <w:spacing w:line="256" w:lineRule="auto"/>
        <w:ind w:right="220" w:firstLine="648"/>
        <w:rPr>
          <w:sz w:val="20"/>
          <w:szCs w:val="20"/>
        </w:rPr>
      </w:pPr>
      <w:r>
        <w:rPr>
          <w:rFonts w:ascii="Arial" w:eastAsia="Arial" w:hAnsi="Arial" w:cs="Arial"/>
        </w:rPr>
        <w:t>“</w:t>
      </w:r>
      <w:r>
        <w:rPr>
          <w:rFonts w:ascii="Arial" w:eastAsia="Arial" w:hAnsi="Arial" w:cs="Arial"/>
          <w:b/>
          <w:bCs/>
        </w:rPr>
        <w:t xml:space="preserve">VS </w:t>
      </w:r>
      <w:r>
        <w:rPr>
          <w:rFonts w:ascii="Arial" w:eastAsia="Arial" w:hAnsi="Arial" w:cs="Arial"/>
          <w:b/>
          <w:bCs/>
        </w:rPr>
        <w:t>Post-2020 Separate Income Tax Return</w:t>
      </w:r>
      <w:r>
        <w:rPr>
          <w:rFonts w:ascii="Arial" w:eastAsia="Arial" w:hAnsi="Arial" w:cs="Arial"/>
        </w:rPr>
        <w:t>” means any VS Separate Tax Return that is an Income Tax Return, other than a Pre-2021 VS Separate Tax Return.</w:t>
      </w:r>
    </w:p>
    <w:p w14:paraId="52F082CD" w14:textId="77777777" w:rsidR="00D1587D" w:rsidRDefault="00D1587D">
      <w:pPr>
        <w:spacing w:line="189" w:lineRule="exact"/>
        <w:rPr>
          <w:sz w:val="20"/>
          <w:szCs w:val="20"/>
        </w:rPr>
      </w:pPr>
    </w:p>
    <w:p w14:paraId="6FD6D1EE" w14:textId="77777777" w:rsidR="00D1587D" w:rsidRDefault="00410D07">
      <w:pPr>
        <w:spacing w:line="256" w:lineRule="auto"/>
        <w:ind w:right="700" w:firstLine="648"/>
        <w:rPr>
          <w:sz w:val="20"/>
          <w:szCs w:val="20"/>
        </w:rPr>
      </w:pPr>
      <w:r>
        <w:rPr>
          <w:rFonts w:ascii="Arial" w:eastAsia="Arial" w:hAnsi="Arial" w:cs="Arial"/>
        </w:rPr>
        <w:t>“</w:t>
      </w:r>
      <w:r>
        <w:rPr>
          <w:rFonts w:ascii="Arial" w:eastAsia="Arial" w:hAnsi="Arial" w:cs="Arial"/>
          <w:b/>
          <w:bCs/>
        </w:rPr>
        <w:t>VS Post-2020 Separate Non-Income Tax Return</w:t>
      </w:r>
      <w:r>
        <w:rPr>
          <w:rFonts w:ascii="Arial" w:eastAsia="Arial" w:hAnsi="Arial" w:cs="Arial"/>
        </w:rPr>
        <w:t xml:space="preserve">” means any VS Separate Tax Return that is not a VS </w:t>
      </w:r>
      <w:r>
        <w:rPr>
          <w:rFonts w:ascii="Arial" w:eastAsia="Arial" w:hAnsi="Arial" w:cs="Arial"/>
        </w:rPr>
        <w:t>Separate Income Tax Return, other than a Pre-2021 VS Separate Tax Return.</w:t>
      </w:r>
    </w:p>
    <w:p w14:paraId="1F40810A" w14:textId="77777777" w:rsidR="00D1587D" w:rsidRDefault="00D1587D">
      <w:pPr>
        <w:spacing w:line="189" w:lineRule="exact"/>
        <w:rPr>
          <w:sz w:val="20"/>
          <w:szCs w:val="20"/>
        </w:rPr>
      </w:pPr>
    </w:p>
    <w:p w14:paraId="08A30D91" w14:textId="77777777" w:rsidR="00D1587D" w:rsidRDefault="00410D07">
      <w:pPr>
        <w:ind w:left="660"/>
        <w:rPr>
          <w:sz w:val="20"/>
          <w:szCs w:val="20"/>
        </w:rPr>
      </w:pPr>
      <w:r>
        <w:rPr>
          <w:rFonts w:ascii="Arial" w:eastAsia="Arial" w:hAnsi="Arial" w:cs="Arial"/>
        </w:rPr>
        <w:t>“</w:t>
      </w:r>
      <w:r>
        <w:rPr>
          <w:rFonts w:ascii="Arial" w:eastAsia="Arial" w:hAnsi="Arial" w:cs="Arial"/>
          <w:b/>
          <w:bCs/>
        </w:rPr>
        <w:t>VS Separate Tax Return</w:t>
      </w:r>
      <w:r>
        <w:rPr>
          <w:rFonts w:ascii="Arial" w:eastAsia="Arial" w:hAnsi="Arial" w:cs="Arial"/>
        </w:rPr>
        <w:t>” means any Separate Tax Return of or including any member of the VS Group.</w:t>
      </w:r>
    </w:p>
    <w:p w14:paraId="724C183D" w14:textId="77777777" w:rsidR="00D1587D" w:rsidRDefault="00D1587D">
      <w:pPr>
        <w:spacing w:line="233" w:lineRule="exact"/>
        <w:rPr>
          <w:sz w:val="20"/>
          <w:szCs w:val="20"/>
        </w:rPr>
      </w:pPr>
    </w:p>
    <w:p w14:paraId="6C4ACE93" w14:textId="77777777" w:rsidR="00D1587D" w:rsidRDefault="00410D07">
      <w:pPr>
        <w:ind w:left="660"/>
        <w:rPr>
          <w:sz w:val="20"/>
          <w:szCs w:val="20"/>
        </w:rPr>
      </w:pPr>
      <w:r>
        <w:rPr>
          <w:rFonts w:ascii="Arial" w:eastAsia="Arial" w:hAnsi="Arial" w:cs="Arial"/>
        </w:rPr>
        <w:t>“</w:t>
      </w:r>
      <w:r>
        <w:rPr>
          <w:rFonts w:ascii="Arial" w:eastAsia="Arial" w:hAnsi="Arial" w:cs="Arial"/>
          <w:b/>
          <w:bCs/>
        </w:rPr>
        <w:t>VS Specified Tax Attributes</w:t>
      </w:r>
      <w:r>
        <w:rPr>
          <w:rFonts w:ascii="Arial" w:eastAsia="Arial" w:hAnsi="Arial" w:cs="Arial"/>
        </w:rPr>
        <w:t>” means any Tax Attributes listed on Schedule D-2.</w:t>
      </w:r>
    </w:p>
    <w:p w14:paraId="0CE3C555" w14:textId="77777777" w:rsidR="00D1587D" w:rsidRDefault="00D1587D">
      <w:pPr>
        <w:spacing w:line="239" w:lineRule="exact"/>
        <w:rPr>
          <w:sz w:val="20"/>
          <w:szCs w:val="20"/>
        </w:rPr>
      </w:pPr>
    </w:p>
    <w:p w14:paraId="1915FEF6" w14:textId="77777777" w:rsidR="00D1587D" w:rsidRDefault="00410D07">
      <w:pPr>
        <w:numPr>
          <w:ilvl w:val="0"/>
          <w:numId w:val="105"/>
        </w:numPr>
        <w:tabs>
          <w:tab w:val="left" w:pos="1640"/>
        </w:tabs>
        <w:ind w:left="1640" w:hanging="790"/>
        <w:rPr>
          <w:rFonts w:ascii="Arial" w:eastAsia="Arial" w:hAnsi="Arial" w:cs="Arial"/>
        </w:rPr>
      </w:pPr>
      <w:r>
        <w:rPr>
          <w:rFonts w:ascii="Arial" w:eastAsia="Arial" w:hAnsi="Arial" w:cs="Arial"/>
        </w:rPr>
        <w:t>E</w:t>
      </w:r>
      <w:r>
        <w:rPr>
          <w:rFonts w:ascii="Arial" w:eastAsia="Arial" w:hAnsi="Arial" w:cs="Arial"/>
        </w:rPr>
        <w:t>ach of the following terms is defined in the Section set forth opposite such term:</w:t>
      </w:r>
    </w:p>
    <w:p w14:paraId="7BE2D5DE" w14:textId="77777777" w:rsidR="00D1587D" w:rsidRDefault="00D1587D">
      <w:pPr>
        <w:spacing w:line="236" w:lineRule="exact"/>
        <w:rPr>
          <w:sz w:val="20"/>
          <w:szCs w:val="20"/>
        </w:rPr>
      </w:pPr>
    </w:p>
    <w:tbl>
      <w:tblPr>
        <w:tblW w:w="0" w:type="auto"/>
        <w:tblInd w:w="1460" w:type="dxa"/>
        <w:tblLayout w:type="fixed"/>
        <w:tblCellMar>
          <w:left w:w="0" w:type="dxa"/>
          <w:right w:w="0" w:type="dxa"/>
        </w:tblCellMar>
        <w:tblLook w:val="04A0" w:firstRow="1" w:lastRow="0" w:firstColumn="1" w:lastColumn="0" w:noHBand="0" w:noVBand="1"/>
      </w:tblPr>
      <w:tblGrid>
        <w:gridCol w:w="5200"/>
        <w:gridCol w:w="4580"/>
      </w:tblGrid>
      <w:tr w:rsidR="00D1587D" w14:paraId="029EFB0F" w14:textId="77777777">
        <w:trPr>
          <w:trHeight w:val="241"/>
        </w:trPr>
        <w:tc>
          <w:tcPr>
            <w:tcW w:w="5200" w:type="dxa"/>
            <w:tcBorders>
              <w:bottom w:val="single" w:sz="8" w:space="0" w:color="auto"/>
            </w:tcBorders>
            <w:vAlign w:val="bottom"/>
          </w:tcPr>
          <w:p w14:paraId="48338FD2" w14:textId="77777777" w:rsidR="00D1587D" w:rsidRDefault="00410D07">
            <w:pPr>
              <w:rPr>
                <w:sz w:val="20"/>
                <w:szCs w:val="20"/>
              </w:rPr>
            </w:pPr>
            <w:r>
              <w:rPr>
                <w:rFonts w:ascii="Arial" w:eastAsia="Arial" w:hAnsi="Arial" w:cs="Arial"/>
                <w:b/>
                <w:bCs/>
                <w:sz w:val="18"/>
                <w:szCs w:val="18"/>
              </w:rPr>
              <w:t>Term</w:t>
            </w:r>
          </w:p>
        </w:tc>
        <w:tc>
          <w:tcPr>
            <w:tcW w:w="4580" w:type="dxa"/>
            <w:tcBorders>
              <w:bottom w:val="single" w:sz="8" w:space="0" w:color="auto"/>
            </w:tcBorders>
            <w:vAlign w:val="bottom"/>
          </w:tcPr>
          <w:p w14:paraId="7D2153F6" w14:textId="77777777" w:rsidR="00D1587D" w:rsidRDefault="00410D07">
            <w:pPr>
              <w:ind w:left="2060"/>
              <w:rPr>
                <w:sz w:val="20"/>
                <w:szCs w:val="20"/>
              </w:rPr>
            </w:pPr>
            <w:r>
              <w:rPr>
                <w:rFonts w:ascii="Arial" w:eastAsia="Arial" w:hAnsi="Arial" w:cs="Arial"/>
                <w:b/>
                <w:bCs/>
                <w:sz w:val="18"/>
                <w:szCs w:val="18"/>
              </w:rPr>
              <w:t>Section</w:t>
            </w:r>
          </w:p>
        </w:tc>
      </w:tr>
      <w:tr w:rsidR="00D1587D" w14:paraId="1854AFB5" w14:textId="77777777">
        <w:trPr>
          <w:trHeight w:val="202"/>
        </w:trPr>
        <w:tc>
          <w:tcPr>
            <w:tcW w:w="5200" w:type="dxa"/>
            <w:vAlign w:val="bottom"/>
          </w:tcPr>
          <w:p w14:paraId="28121723" w14:textId="77777777" w:rsidR="00D1587D" w:rsidRDefault="00410D07">
            <w:pPr>
              <w:spacing w:line="201" w:lineRule="exact"/>
              <w:rPr>
                <w:sz w:val="20"/>
                <w:szCs w:val="20"/>
              </w:rPr>
            </w:pPr>
            <w:r>
              <w:rPr>
                <w:rFonts w:ascii="Arial" w:eastAsia="Arial" w:hAnsi="Arial" w:cs="Arial"/>
                <w:sz w:val="18"/>
                <w:szCs w:val="18"/>
              </w:rPr>
              <w:t>Due Date</w:t>
            </w:r>
          </w:p>
        </w:tc>
        <w:tc>
          <w:tcPr>
            <w:tcW w:w="4580" w:type="dxa"/>
            <w:vAlign w:val="bottom"/>
          </w:tcPr>
          <w:p w14:paraId="590E6565" w14:textId="77777777" w:rsidR="00D1587D" w:rsidRDefault="00410D07">
            <w:pPr>
              <w:spacing w:line="201" w:lineRule="exact"/>
              <w:ind w:left="2060"/>
              <w:rPr>
                <w:sz w:val="20"/>
                <w:szCs w:val="20"/>
              </w:rPr>
            </w:pPr>
            <w:r>
              <w:rPr>
                <w:rFonts w:ascii="Arial" w:eastAsia="Arial" w:hAnsi="Arial" w:cs="Arial"/>
                <w:sz w:val="18"/>
                <w:szCs w:val="18"/>
              </w:rPr>
              <w:t>Section 12(a)</w:t>
            </w:r>
          </w:p>
        </w:tc>
      </w:tr>
      <w:tr w:rsidR="00D1587D" w14:paraId="3E23F523" w14:textId="77777777">
        <w:trPr>
          <w:trHeight w:val="216"/>
        </w:trPr>
        <w:tc>
          <w:tcPr>
            <w:tcW w:w="5200" w:type="dxa"/>
            <w:vAlign w:val="bottom"/>
          </w:tcPr>
          <w:p w14:paraId="03E56855" w14:textId="77777777" w:rsidR="00D1587D" w:rsidRDefault="00410D07">
            <w:pPr>
              <w:rPr>
                <w:sz w:val="20"/>
                <w:szCs w:val="20"/>
              </w:rPr>
            </w:pPr>
            <w:r>
              <w:rPr>
                <w:rFonts w:ascii="Arial" w:eastAsia="Arial" w:hAnsi="Arial" w:cs="Arial"/>
                <w:sz w:val="18"/>
                <w:szCs w:val="18"/>
              </w:rPr>
              <w:t>Internal Tax-Free Transactions</w:t>
            </w:r>
          </w:p>
        </w:tc>
        <w:tc>
          <w:tcPr>
            <w:tcW w:w="4580" w:type="dxa"/>
            <w:vAlign w:val="bottom"/>
          </w:tcPr>
          <w:p w14:paraId="12E0337D" w14:textId="77777777" w:rsidR="00D1587D" w:rsidRDefault="00410D07">
            <w:pPr>
              <w:ind w:left="2060"/>
              <w:rPr>
                <w:sz w:val="20"/>
                <w:szCs w:val="20"/>
              </w:rPr>
            </w:pPr>
            <w:r>
              <w:rPr>
                <w:rFonts w:ascii="Arial" w:eastAsia="Arial" w:hAnsi="Arial" w:cs="Arial"/>
                <w:sz w:val="18"/>
                <w:szCs w:val="18"/>
              </w:rPr>
              <w:t>Schedule A</w:t>
            </w:r>
          </w:p>
        </w:tc>
      </w:tr>
      <w:tr w:rsidR="00D1587D" w14:paraId="52183F01" w14:textId="77777777">
        <w:trPr>
          <w:trHeight w:val="216"/>
        </w:trPr>
        <w:tc>
          <w:tcPr>
            <w:tcW w:w="5200" w:type="dxa"/>
            <w:vAlign w:val="bottom"/>
          </w:tcPr>
          <w:p w14:paraId="0480186F" w14:textId="77777777" w:rsidR="00D1587D" w:rsidRDefault="00410D07">
            <w:pPr>
              <w:rPr>
                <w:sz w:val="20"/>
                <w:szCs w:val="20"/>
              </w:rPr>
            </w:pPr>
            <w:r>
              <w:rPr>
                <w:rFonts w:ascii="Arial" w:eastAsia="Arial" w:hAnsi="Arial" w:cs="Arial"/>
                <w:sz w:val="18"/>
                <w:szCs w:val="18"/>
              </w:rPr>
              <w:t>Past Practices</w:t>
            </w:r>
          </w:p>
        </w:tc>
        <w:tc>
          <w:tcPr>
            <w:tcW w:w="4580" w:type="dxa"/>
            <w:vAlign w:val="bottom"/>
          </w:tcPr>
          <w:p w14:paraId="41361033" w14:textId="77777777" w:rsidR="00D1587D" w:rsidRDefault="00410D07">
            <w:pPr>
              <w:ind w:left="2060"/>
              <w:rPr>
                <w:sz w:val="20"/>
                <w:szCs w:val="20"/>
              </w:rPr>
            </w:pPr>
            <w:r>
              <w:rPr>
                <w:rFonts w:ascii="Arial" w:eastAsia="Arial" w:hAnsi="Arial" w:cs="Arial"/>
                <w:sz w:val="18"/>
                <w:szCs w:val="18"/>
              </w:rPr>
              <w:t>Section 4(f)(i)</w:t>
            </w:r>
          </w:p>
        </w:tc>
      </w:tr>
      <w:tr w:rsidR="00D1587D" w14:paraId="493DF9DE" w14:textId="77777777">
        <w:trPr>
          <w:trHeight w:val="216"/>
        </w:trPr>
        <w:tc>
          <w:tcPr>
            <w:tcW w:w="5200" w:type="dxa"/>
            <w:vAlign w:val="bottom"/>
          </w:tcPr>
          <w:p w14:paraId="0735F856" w14:textId="77777777" w:rsidR="00D1587D" w:rsidRDefault="00410D07">
            <w:pPr>
              <w:rPr>
                <w:sz w:val="20"/>
                <w:szCs w:val="20"/>
              </w:rPr>
            </w:pPr>
            <w:r>
              <w:rPr>
                <w:rFonts w:ascii="Arial" w:eastAsia="Arial" w:hAnsi="Arial" w:cs="Arial"/>
                <w:sz w:val="18"/>
                <w:szCs w:val="18"/>
              </w:rPr>
              <w:t>Reimbursable Payment</w:t>
            </w:r>
          </w:p>
        </w:tc>
        <w:tc>
          <w:tcPr>
            <w:tcW w:w="4580" w:type="dxa"/>
            <w:vAlign w:val="bottom"/>
          </w:tcPr>
          <w:p w14:paraId="3C84AF18" w14:textId="77777777" w:rsidR="00D1587D" w:rsidRDefault="00410D07">
            <w:pPr>
              <w:ind w:left="2060"/>
              <w:rPr>
                <w:sz w:val="20"/>
                <w:szCs w:val="20"/>
              </w:rPr>
            </w:pPr>
            <w:r>
              <w:rPr>
                <w:rFonts w:ascii="Arial" w:eastAsia="Arial" w:hAnsi="Arial" w:cs="Arial"/>
                <w:sz w:val="18"/>
                <w:szCs w:val="18"/>
              </w:rPr>
              <w:t>Section 7(b)</w:t>
            </w:r>
          </w:p>
        </w:tc>
      </w:tr>
      <w:tr w:rsidR="00D1587D" w14:paraId="7F172FC2" w14:textId="77777777">
        <w:trPr>
          <w:trHeight w:val="216"/>
        </w:trPr>
        <w:tc>
          <w:tcPr>
            <w:tcW w:w="5200" w:type="dxa"/>
            <w:vAlign w:val="bottom"/>
          </w:tcPr>
          <w:p w14:paraId="69A7A4CB" w14:textId="77777777" w:rsidR="00D1587D" w:rsidRDefault="00410D07">
            <w:pPr>
              <w:rPr>
                <w:sz w:val="20"/>
                <w:szCs w:val="20"/>
              </w:rPr>
            </w:pPr>
            <w:r>
              <w:rPr>
                <w:rFonts w:ascii="Arial" w:eastAsia="Arial" w:hAnsi="Arial" w:cs="Arial"/>
                <w:sz w:val="18"/>
                <w:szCs w:val="18"/>
              </w:rPr>
              <w:t>Reimbursement Adjustment</w:t>
            </w:r>
          </w:p>
        </w:tc>
        <w:tc>
          <w:tcPr>
            <w:tcW w:w="4580" w:type="dxa"/>
            <w:vAlign w:val="bottom"/>
          </w:tcPr>
          <w:p w14:paraId="5F69F635" w14:textId="77777777" w:rsidR="00D1587D" w:rsidRDefault="00410D07">
            <w:pPr>
              <w:ind w:left="2060"/>
              <w:rPr>
                <w:sz w:val="20"/>
                <w:szCs w:val="20"/>
              </w:rPr>
            </w:pPr>
            <w:r>
              <w:rPr>
                <w:rFonts w:ascii="Arial" w:eastAsia="Arial" w:hAnsi="Arial" w:cs="Arial"/>
                <w:sz w:val="18"/>
                <w:szCs w:val="18"/>
              </w:rPr>
              <w:t>Section 7(b)</w:t>
            </w:r>
          </w:p>
        </w:tc>
      </w:tr>
      <w:tr w:rsidR="00D1587D" w14:paraId="0E0E8AFD" w14:textId="77777777">
        <w:trPr>
          <w:trHeight w:val="216"/>
        </w:trPr>
        <w:tc>
          <w:tcPr>
            <w:tcW w:w="5200" w:type="dxa"/>
            <w:vAlign w:val="bottom"/>
          </w:tcPr>
          <w:p w14:paraId="379023E2" w14:textId="77777777" w:rsidR="00D1587D" w:rsidRDefault="00410D07">
            <w:pPr>
              <w:rPr>
                <w:sz w:val="20"/>
                <w:szCs w:val="20"/>
              </w:rPr>
            </w:pPr>
            <w:r>
              <w:rPr>
                <w:rFonts w:ascii="Arial" w:eastAsia="Arial" w:hAnsi="Arial" w:cs="Arial"/>
                <w:sz w:val="18"/>
                <w:szCs w:val="18"/>
              </w:rPr>
              <w:t>Section 336(e) Election</w:t>
            </w:r>
          </w:p>
        </w:tc>
        <w:tc>
          <w:tcPr>
            <w:tcW w:w="4580" w:type="dxa"/>
            <w:vAlign w:val="bottom"/>
          </w:tcPr>
          <w:p w14:paraId="2FBD5910" w14:textId="77777777" w:rsidR="00D1587D" w:rsidRDefault="00410D07">
            <w:pPr>
              <w:ind w:left="2060"/>
              <w:rPr>
                <w:sz w:val="20"/>
                <w:szCs w:val="20"/>
              </w:rPr>
            </w:pPr>
            <w:r>
              <w:rPr>
                <w:rFonts w:ascii="Arial" w:eastAsia="Arial" w:hAnsi="Arial" w:cs="Arial"/>
                <w:sz w:val="18"/>
                <w:szCs w:val="18"/>
              </w:rPr>
              <w:t>Section 10(a)</w:t>
            </w:r>
          </w:p>
        </w:tc>
      </w:tr>
      <w:tr w:rsidR="00D1587D" w14:paraId="30C930B5" w14:textId="77777777">
        <w:trPr>
          <w:trHeight w:val="216"/>
        </w:trPr>
        <w:tc>
          <w:tcPr>
            <w:tcW w:w="5200" w:type="dxa"/>
            <w:vAlign w:val="bottom"/>
          </w:tcPr>
          <w:p w14:paraId="5EF6CD05" w14:textId="77777777" w:rsidR="00D1587D" w:rsidRDefault="00410D07">
            <w:pPr>
              <w:rPr>
                <w:sz w:val="20"/>
                <w:szCs w:val="20"/>
              </w:rPr>
            </w:pPr>
            <w:r>
              <w:rPr>
                <w:rFonts w:ascii="Arial" w:eastAsia="Arial" w:hAnsi="Arial" w:cs="Arial"/>
                <w:sz w:val="18"/>
                <w:szCs w:val="18"/>
              </w:rPr>
              <w:t>Section 9(b)(iv)(F) Acquisition Transaction</w:t>
            </w:r>
          </w:p>
        </w:tc>
        <w:tc>
          <w:tcPr>
            <w:tcW w:w="4580" w:type="dxa"/>
            <w:vAlign w:val="bottom"/>
          </w:tcPr>
          <w:p w14:paraId="3D24331A" w14:textId="77777777" w:rsidR="00D1587D" w:rsidRDefault="00410D07">
            <w:pPr>
              <w:ind w:left="2060"/>
              <w:rPr>
                <w:sz w:val="20"/>
                <w:szCs w:val="20"/>
              </w:rPr>
            </w:pPr>
            <w:r>
              <w:rPr>
                <w:rFonts w:ascii="Arial" w:eastAsia="Arial" w:hAnsi="Arial" w:cs="Arial"/>
                <w:sz w:val="18"/>
                <w:szCs w:val="18"/>
              </w:rPr>
              <w:t>Section 9(b)(iv)(F)</w:t>
            </w:r>
          </w:p>
        </w:tc>
      </w:tr>
      <w:tr w:rsidR="00D1587D" w14:paraId="2D5568A1" w14:textId="77777777">
        <w:trPr>
          <w:trHeight w:val="216"/>
        </w:trPr>
        <w:tc>
          <w:tcPr>
            <w:tcW w:w="5200" w:type="dxa"/>
            <w:vAlign w:val="bottom"/>
          </w:tcPr>
          <w:p w14:paraId="315E5570" w14:textId="77777777" w:rsidR="00D1587D" w:rsidRDefault="00410D07">
            <w:pPr>
              <w:rPr>
                <w:sz w:val="20"/>
                <w:szCs w:val="20"/>
              </w:rPr>
            </w:pPr>
            <w:r>
              <w:rPr>
                <w:rFonts w:ascii="Arial" w:eastAsia="Arial" w:hAnsi="Arial" w:cs="Arial"/>
                <w:sz w:val="18"/>
                <w:szCs w:val="18"/>
              </w:rPr>
              <w:t>Tax Arbiter</w:t>
            </w:r>
          </w:p>
        </w:tc>
        <w:tc>
          <w:tcPr>
            <w:tcW w:w="4580" w:type="dxa"/>
            <w:vAlign w:val="bottom"/>
          </w:tcPr>
          <w:p w14:paraId="0B0080AF" w14:textId="77777777" w:rsidR="00D1587D" w:rsidRDefault="00410D07">
            <w:pPr>
              <w:ind w:left="2060"/>
              <w:rPr>
                <w:sz w:val="20"/>
                <w:szCs w:val="20"/>
              </w:rPr>
            </w:pPr>
            <w:r>
              <w:rPr>
                <w:rFonts w:ascii="Arial" w:eastAsia="Arial" w:hAnsi="Arial" w:cs="Arial"/>
                <w:sz w:val="18"/>
                <w:szCs w:val="18"/>
              </w:rPr>
              <w:t>Section 25</w:t>
            </w:r>
          </w:p>
        </w:tc>
      </w:tr>
      <w:tr w:rsidR="00D1587D" w14:paraId="312B08E4" w14:textId="77777777">
        <w:trPr>
          <w:trHeight w:val="230"/>
        </w:trPr>
        <w:tc>
          <w:tcPr>
            <w:tcW w:w="5200" w:type="dxa"/>
            <w:vAlign w:val="bottom"/>
          </w:tcPr>
          <w:p w14:paraId="409BC506" w14:textId="77777777" w:rsidR="00D1587D" w:rsidRDefault="00410D07">
            <w:pPr>
              <w:rPr>
                <w:sz w:val="20"/>
                <w:szCs w:val="20"/>
              </w:rPr>
            </w:pPr>
            <w:r>
              <w:rPr>
                <w:rFonts w:ascii="Arial" w:eastAsia="Arial" w:hAnsi="Arial" w:cs="Arial"/>
                <w:sz w:val="18"/>
                <w:szCs w:val="18"/>
              </w:rPr>
              <w:t>Tax Benefit Recipient</w:t>
            </w:r>
          </w:p>
        </w:tc>
        <w:tc>
          <w:tcPr>
            <w:tcW w:w="4580" w:type="dxa"/>
            <w:vAlign w:val="bottom"/>
          </w:tcPr>
          <w:p w14:paraId="32E25D88" w14:textId="77777777" w:rsidR="00D1587D" w:rsidRDefault="00410D07">
            <w:pPr>
              <w:ind w:left="2060"/>
              <w:rPr>
                <w:sz w:val="20"/>
                <w:szCs w:val="20"/>
              </w:rPr>
            </w:pPr>
            <w:r>
              <w:rPr>
                <w:rFonts w:ascii="Arial" w:eastAsia="Arial" w:hAnsi="Arial" w:cs="Arial"/>
                <w:sz w:val="18"/>
                <w:szCs w:val="18"/>
              </w:rPr>
              <w:t>Section 8(c)</w:t>
            </w:r>
          </w:p>
        </w:tc>
      </w:tr>
    </w:tbl>
    <w:p w14:paraId="5B00EE8A" w14:textId="77777777" w:rsidR="00D1587D" w:rsidRDefault="00D1587D">
      <w:pPr>
        <w:spacing w:line="222" w:lineRule="exact"/>
        <w:rPr>
          <w:sz w:val="20"/>
          <w:szCs w:val="20"/>
        </w:rPr>
      </w:pPr>
    </w:p>
    <w:p w14:paraId="4DCC0A8F" w14:textId="77777777" w:rsidR="00D1587D" w:rsidRDefault="00410D07">
      <w:pPr>
        <w:numPr>
          <w:ilvl w:val="0"/>
          <w:numId w:val="106"/>
        </w:numPr>
        <w:tabs>
          <w:tab w:val="left" w:pos="1610"/>
        </w:tabs>
        <w:spacing w:line="287" w:lineRule="auto"/>
        <w:ind w:right="220" w:firstLine="850"/>
        <w:rPr>
          <w:rFonts w:ascii="Arial" w:eastAsia="Arial" w:hAnsi="Arial" w:cs="Arial"/>
          <w:sz w:val="19"/>
          <w:szCs w:val="19"/>
        </w:rPr>
      </w:pPr>
      <w:r>
        <w:rPr>
          <w:rFonts w:ascii="Arial" w:eastAsia="Arial" w:hAnsi="Arial" w:cs="Arial"/>
          <w:sz w:val="19"/>
          <w:szCs w:val="19"/>
        </w:rPr>
        <w:t xml:space="preserve">All capitalized terms used but not defined </w:t>
      </w:r>
      <w:r>
        <w:rPr>
          <w:rFonts w:ascii="Arial" w:eastAsia="Arial" w:hAnsi="Arial" w:cs="Arial"/>
          <w:sz w:val="19"/>
          <w:szCs w:val="19"/>
        </w:rPr>
        <w:t>herein shall have the same meanings as in the Separation Agreement. Any term used in this Agreement which is not defined in this Agreement or the Separation Agreement shall, to the extent the context requires, have the meaning assigned to it in the Code or</w:t>
      </w:r>
      <w:r>
        <w:rPr>
          <w:rFonts w:ascii="Arial" w:eastAsia="Arial" w:hAnsi="Arial" w:cs="Arial"/>
          <w:sz w:val="19"/>
          <w:szCs w:val="19"/>
        </w:rPr>
        <w:t xml:space="preserve"> the applicable Treasury Regulations thereunder (as interpreted in administrative pronouncements and judicial decisions) or in comparable provisions of Applicable Tax Law.</w:t>
      </w:r>
    </w:p>
    <w:p w14:paraId="27BDF567" w14:textId="77777777" w:rsidR="00D1587D" w:rsidRDefault="00D1587D">
      <w:pPr>
        <w:spacing w:line="170" w:lineRule="exact"/>
        <w:rPr>
          <w:sz w:val="20"/>
          <w:szCs w:val="20"/>
        </w:rPr>
      </w:pPr>
    </w:p>
    <w:p w14:paraId="3D7C4802" w14:textId="77777777" w:rsidR="00D1587D" w:rsidRDefault="00410D07">
      <w:pPr>
        <w:spacing w:line="246" w:lineRule="auto"/>
        <w:ind w:right="60" w:firstLine="648"/>
        <w:rPr>
          <w:sz w:val="20"/>
          <w:szCs w:val="20"/>
        </w:rPr>
      </w:pPr>
      <w:r>
        <w:rPr>
          <w:rFonts w:ascii="Arial" w:eastAsia="Arial" w:hAnsi="Arial" w:cs="Arial"/>
          <w:sz w:val="21"/>
          <w:szCs w:val="21"/>
        </w:rPr>
        <w:t xml:space="preserve">Section 2. </w:t>
      </w:r>
      <w:r>
        <w:rPr>
          <w:rFonts w:ascii="Arial" w:eastAsia="Arial" w:hAnsi="Arial" w:cs="Arial"/>
          <w:i/>
          <w:iCs/>
          <w:sz w:val="21"/>
          <w:szCs w:val="21"/>
        </w:rPr>
        <w:t>Sole Tax Sharing Agreement.</w:t>
      </w:r>
      <w:r>
        <w:rPr>
          <w:rFonts w:ascii="Arial" w:eastAsia="Arial" w:hAnsi="Arial" w:cs="Arial"/>
          <w:sz w:val="21"/>
          <w:szCs w:val="21"/>
        </w:rPr>
        <w:t xml:space="preserve"> Any and all existing Tax sharing agreements </w:t>
      </w:r>
      <w:r>
        <w:rPr>
          <w:rFonts w:ascii="Arial" w:eastAsia="Arial" w:hAnsi="Arial" w:cs="Arial"/>
          <w:sz w:val="21"/>
          <w:szCs w:val="21"/>
        </w:rPr>
        <w:t>or arrangements, written or unwritten, between any member of the L Brands Group, on the one hand, and any member of the VS Group, on the other hand, if not previously terminated, shall be terminated as of the Distribution Date without any further action by</w:t>
      </w:r>
      <w:r>
        <w:rPr>
          <w:rFonts w:ascii="Arial" w:eastAsia="Arial" w:hAnsi="Arial" w:cs="Arial"/>
          <w:sz w:val="21"/>
          <w:szCs w:val="21"/>
        </w:rPr>
        <w:t xml:space="preserve"> the Parties thereto. Following the Distribution, no member of the VS Group or the L Brands Group shall have any further rights or liabilities thereunder, and this Agreement and the Distribution Documents (to the extent such Distribution Documents reflect </w:t>
      </w:r>
      <w:r>
        <w:rPr>
          <w:rFonts w:ascii="Arial" w:eastAsia="Arial" w:hAnsi="Arial" w:cs="Arial"/>
          <w:sz w:val="21"/>
          <w:szCs w:val="21"/>
        </w:rPr>
        <w:t>an agreement between the Parties as to Tax sharing) shall be the sole Tax sharing agreements between the members of the VS Group, on the one hand, and the members of the L Brands Group, on the other hand.</w:t>
      </w:r>
    </w:p>
    <w:p w14:paraId="63E35B87" w14:textId="77777777" w:rsidR="00D1587D" w:rsidRDefault="00D1587D">
      <w:pPr>
        <w:spacing w:line="144" w:lineRule="exact"/>
        <w:rPr>
          <w:sz w:val="20"/>
          <w:szCs w:val="20"/>
        </w:rPr>
      </w:pPr>
    </w:p>
    <w:p w14:paraId="243B2BFA" w14:textId="77777777" w:rsidR="00D1587D" w:rsidRDefault="00410D07">
      <w:pPr>
        <w:jc w:val="center"/>
        <w:rPr>
          <w:sz w:val="20"/>
          <w:szCs w:val="20"/>
        </w:rPr>
      </w:pPr>
      <w:r>
        <w:rPr>
          <w:rFonts w:ascii="Arial" w:eastAsia="Arial" w:hAnsi="Arial" w:cs="Arial"/>
        </w:rPr>
        <w:t>7</w:t>
      </w:r>
    </w:p>
    <w:p w14:paraId="0D12D8CF" w14:textId="77777777" w:rsidR="00D1587D" w:rsidRDefault="00410D07">
      <w:pPr>
        <w:spacing w:line="20" w:lineRule="exact"/>
        <w:rPr>
          <w:sz w:val="20"/>
          <w:szCs w:val="20"/>
        </w:rPr>
      </w:pPr>
      <w:r>
        <w:rPr>
          <w:noProof/>
          <w:sz w:val="20"/>
          <w:szCs w:val="20"/>
        </w:rPr>
        <w:drawing>
          <wp:anchor distT="0" distB="0" distL="114300" distR="114300" simplePos="0" relativeHeight="251300864" behindDoc="1" locked="0" layoutInCell="0" allowOverlap="1" wp14:anchorId="432BEFD6" wp14:editId="079CB452">
            <wp:simplePos x="0" y="0"/>
            <wp:positionH relativeFrom="column">
              <wp:posOffset>5080</wp:posOffset>
            </wp:positionH>
            <wp:positionV relativeFrom="paragraph">
              <wp:posOffset>41275</wp:posOffset>
            </wp:positionV>
            <wp:extent cx="7132320" cy="1714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7143F83" w14:textId="77777777" w:rsidR="00D1587D" w:rsidRDefault="00D1587D">
      <w:pPr>
        <w:sectPr w:rsidR="00D1587D">
          <w:pgSz w:w="11900" w:h="16838"/>
          <w:pgMar w:top="355" w:right="339" w:bottom="1440" w:left="320" w:header="0" w:footer="0" w:gutter="0"/>
          <w:cols w:space="720" w:equalWidth="0">
            <w:col w:w="11240"/>
          </w:cols>
        </w:sectPr>
      </w:pPr>
    </w:p>
    <w:p w14:paraId="4ED554EA" w14:textId="77777777" w:rsidR="00D1587D" w:rsidRDefault="00410D07">
      <w:pPr>
        <w:tabs>
          <w:tab w:val="left" w:pos="1380"/>
        </w:tabs>
        <w:rPr>
          <w:sz w:val="20"/>
          <w:szCs w:val="20"/>
        </w:rPr>
      </w:pPr>
      <w:bookmarkStart w:id="146" w:name="page147"/>
      <w:bookmarkEnd w:id="146"/>
      <w:r>
        <w:rPr>
          <w:rFonts w:ascii="Arial" w:eastAsia="Arial" w:hAnsi="Arial" w:cs="Arial"/>
        </w:rPr>
        <w:t>Section 3.</w:t>
      </w:r>
      <w:r>
        <w:rPr>
          <w:sz w:val="20"/>
          <w:szCs w:val="20"/>
        </w:rPr>
        <w:tab/>
      </w:r>
      <w:r>
        <w:rPr>
          <w:rFonts w:ascii="Arial" w:eastAsia="Arial" w:hAnsi="Arial" w:cs="Arial"/>
          <w:i/>
          <w:iCs/>
          <w:sz w:val="19"/>
          <w:szCs w:val="19"/>
        </w:rPr>
        <w:t>Allocation of T</w:t>
      </w:r>
      <w:r>
        <w:rPr>
          <w:rFonts w:ascii="Arial" w:eastAsia="Arial" w:hAnsi="Arial" w:cs="Arial"/>
          <w:i/>
          <w:iCs/>
          <w:sz w:val="19"/>
          <w:szCs w:val="19"/>
        </w:rPr>
        <w:t>axes</w:t>
      </w:r>
      <w:r>
        <w:rPr>
          <w:rFonts w:ascii="Arial" w:eastAsia="Arial" w:hAnsi="Arial" w:cs="Arial"/>
          <w:sz w:val="19"/>
          <w:szCs w:val="19"/>
        </w:rPr>
        <w:t>.</w:t>
      </w:r>
    </w:p>
    <w:p w14:paraId="6927640E" w14:textId="77777777" w:rsidR="00D1587D" w:rsidRDefault="00D1587D">
      <w:pPr>
        <w:spacing w:line="233" w:lineRule="exact"/>
        <w:rPr>
          <w:sz w:val="20"/>
          <w:szCs w:val="20"/>
        </w:rPr>
      </w:pPr>
    </w:p>
    <w:p w14:paraId="27365F21" w14:textId="77777777" w:rsidR="00D1587D" w:rsidRDefault="00410D07">
      <w:pPr>
        <w:numPr>
          <w:ilvl w:val="0"/>
          <w:numId w:val="107"/>
        </w:numPr>
        <w:tabs>
          <w:tab w:val="left" w:pos="960"/>
        </w:tabs>
        <w:ind w:left="960" w:hanging="770"/>
        <w:rPr>
          <w:rFonts w:ascii="Arial" w:eastAsia="Arial" w:hAnsi="Arial" w:cs="Arial"/>
          <w:sz w:val="19"/>
          <w:szCs w:val="19"/>
        </w:rPr>
      </w:pPr>
      <w:r>
        <w:rPr>
          <w:rFonts w:ascii="Arial" w:eastAsia="Arial" w:hAnsi="Arial" w:cs="Arial"/>
          <w:i/>
          <w:iCs/>
          <w:sz w:val="19"/>
          <w:szCs w:val="19"/>
        </w:rPr>
        <w:t>General Allocation Principles</w:t>
      </w:r>
      <w:r>
        <w:rPr>
          <w:rFonts w:ascii="Arial" w:eastAsia="Arial" w:hAnsi="Arial" w:cs="Arial"/>
          <w:sz w:val="19"/>
          <w:szCs w:val="19"/>
        </w:rPr>
        <w:t>. Except as provided in</w:t>
      </w:r>
      <w:r>
        <w:rPr>
          <w:rFonts w:ascii="Arial" w:eastAsia="Arial" w:hAnsi="Arial" w:cs="Arial"/>
          <w:i/>
          <w:iCs/>
          <w:sz w:val="19"/>
          <w:szCs w:val="19"/>
        </w:rPr>
        <w:t xml:space="preserve"> </w:t>
      </w:r>
      <w:r>
        <w:rPr>
          <w:rFonts w:ascii="Arial" w:eastAsia="Arial" w:hAnsi="Arial" w:cs="Arial"/>
          <w:sz w:val="19"/>
          <w:szCs w:val="19"/>
          <w:u w:val="single"/>
        </w:rPr>
        <w:t>Section 3(c)</w:t>
      </w:r>
      <w:r>
        <w:rPr>
          <w:rFonts w:ascii="Arial" w:eastAsia="Arial" w:hAnsi="Arial" w:cs="Arial"/>
          <w:sz w:val="19"/>
          <w:szCs w:val="19"/>
        </w:rPr>
        <w:t>, all Taxes shall be allocated as follows:</w:t>
      </w:r>
    </w:p>
    <w:p w14:paraId="6BEC39FF" w14:textId="77777777" w:rsidR="00D1587D" w:rsidRDefault="00D1587D">
      <w:pPr>
        <w:spacing w:line="267" w:lineRule="exact"/>
        <w:rPr>
          <w:rFonts w:ascii="Arial" w:eastAsia="Arial" w:hAnsi="Arial" w:cs="Arial"/>
          <w:sz w:val="19"/>
          <w:szCs w:val="19"/>
        </w:rPr>
      </w:pPr>
    </w:p>
    <w:p w14:paraId="6079D0A3" w14:textId="77777777" w:rsidR="00D1587D" w:rsidRDefault="00410D07">
      <w:pPr>
        <w:numPr>
          <w:ilvl w:val="1"/>
          <w:numId w:val="107"/>
        </w:numPr>
        <w:tabs>
          <w:tab w:val="left" w:pos="1876"/>
        </w:tabs>
        <w:spacing w:line="271" w:lineRule="auto"/>
        <w:ind w:left="160" w:right="160" w:firstLine="970"/>
        <w:rPr>
          <w:rFonts w:ascii="Arial" w:eastAsia="Arial" w:hAnsi="Arial" w:cs="Arial"/>
          <w:sz w:val="19"/>
          <w:szCs w:val="19"/>
        </w:rPr>
      </w:pPr>
      <w:r>
        <w:rPr>
          <w:rFonts w:ascii="Arial" w:eastAsia="Arial" w:hAnsi="Arial" w:cs="Arial"/>
          <w:i/>
          <w:iCs/>
          <w:sz w:val="19"/>
          <w:szCs w:val="19"/>
        </w:rPr>
        <w:t>Allocation of Taxes Reflected on Joint Tax Returns</w:t>
      </w:r>
      <w:r>
        <w:rPr>
          <w:rFonts w:ascii="Arial" w:eastAsia="Arial" w:hAnsi="Arial" w:cs="Arial"/>
          <w:sz w:val="19"/>
          <w:szCs w:val="19"/>
        </w:rPr>
        <w:t>. Except as provided in Section 3(b), L Brands</w:t>
      </w:r>
      <w:r>
        <w:rPr>
          <w:rFonts w:ascii="Arial" w:eastAsia="Arial" w:hAnsi="Arial" w:cs="Arial"/>
          <w:i/>
          <w:iCs/>
          <w:sz w:val="19"/>
          <w:szCs w:val="19"/>
        </w:rPr>
        <w:t xml:space="preserve"> </w:t>
      </w:r>
      <w:r>
        <w:rPr>
          <w:rFonts w:ascii="Arial" w:eastAsia="Arial" w:hAnsi="Arial" w:cs="Arial"/>
          <w:sz w:val="19"/>
          <w:szCs w:val="19"/>
        </w:rPr>
        <w:t xml:space="preserve">shall be allocated all Taxes reported, or required to be reported, on any Joint Tax Return that any member of the L Brands Group or VS Group files or is required to file under the Code or other Applicable Tax Law; </w:t>
      </w:r>
      <w:r>
        <w:rPr>
          <w:rFonts w:ascii="Arial" w:eastAsia="Arial" w:hAnsi="Arial" w:cs="Arial"/>
          <w:i/>
          <w:iCs/>
          <w:sz w:val="19"/>
          <w:szCs w:val="19"/>
        </w:rPr>
        <w:t>provided, however,</w:t>
      </w:r>
      <w:r>
        <w:rPr>
          <w:rFonts w:ascii="Arial" w:eastAsia="Arial" w:hAnsi="Arial" w:cs="Arial"/>
          <w:sz w:val="19"/>
          <w:szCs w:val="19"/>
        </w:rPr>
        <w:t xml:space="preserve"> that to the extent any </w:t>
      </w:r>
      <w:r>
        <w:rPr>
          <w:rFonts w:ascii="Arial" w:eastAsia="Arial" w:hAnsi="Arial" w:cs="Arial"/>
          <w:sz w:val="19"/>
          <w:szCs w:val="19"/>
        </w:rPr>
        <w:t>such Joint Tax Return includes any Tax Item attributable to (A) any member of the VS Group or</w:t>
      </w:r>
    </w:p>
    <w:p w14:paraId="3C45F7B9" w14:textId="77777777" w:rsidR="00D1587D" w:rsidRDefault="00D1587D">
      <w:pPr>
        <w:spacing w:line="3" w:lineRule="exact"/>
        <w:rPr>
          <w:rFonts w:ascii="Arial" w:eastAsia="Arial" w:hAnsi="Arial" w:cs="Arial"/>
          <w:sz w:val="19"/>
          <w:szCs w:val="19"/>
        </w:rPr>
      </w:pPr>
    </w:p>
    <w:p w14:paraId="633D4D5F" w14:textId="77777777" w:rsidR="00D1587D" w:rsidRDefault="00410D07">
      <w:pPr>
        <w:spacing w:line="236" w:lineRule="auto"/>
        <w:ind w:left="160"/>
        <w:rPr>
          <w:rFonts w:ascii="Arial" w:eastAsia="Arial" w:hAnsi="Arial" w:cs="Arial"/>
          <w:sz w:val="19"/>
          <w:szCs w:val="19"/>
        </w:rPr>
      </w:pPr>
      <w:r>
        <w:rPr>
          <w:rFonts w:ascii="Arial" w:eastAsia="Arial" w:hAnsi="Arial" w:cs="Arial"/>
        </w:rPr>
        <w:t xml:space="preserve">(B) the VS Business, in each case, in respect of any Post-Distribution Period, VS shall be allocated all Taxes attributable to such Tax Items as determined by L </w:t>
      </w:r>
      <w:r>
        <w:rPr>
          <w:rFonts w:ascii="Arial" w:eastAsia="Arial" w:hAnsi="Arial" w:cs="Arial"/>
        </w:rPr>
        <w:t>Brands in its reasonable discretion.</w:t>
      </w:r>
    </w:p>
    <w:p w14:paraId="41CE1532" w14:textId="77777777" w:rsidR="00D1587D" w:rsidRDefault="00D1587D">
      <w:pPr>
        <w:spacing w:line="213" w:lineRule="exact"/>
        <w:rPr>
          <w:rFonts w:ascii="Arial" w:eastAsia="Arial" w:hAnsi="Arial" w:cs="Arial"/>
          <w:sz w:val="19"/>
          <w:szCs w:val="19"/>
        </w:rPr>
      </w:pPr>
    </w:p>
    <w:p w14:paraId="1A0FF748" w14:textId="77777777" w:rsidR="00D1587D" w:rsidRDefault="00410D07">
      <w:pPr>
        <w:numPr>
          <w:ilvl w:val="1"/>
          <w:numId w:val="107"/>
        </w:numPr>
        <w:tabs>
          <w:tab w:val="left" w:pos="1940"/>
        </w:tabs>
        <w:ind w:left="1940" w:hanging="810"/>
        <w:rPr>
          <w:rFonts w:ascii="Arial" w:eastAsia="Arial" w:hAnsi="Arial" w:cs="Arial"/>
        </w:rPr>
      </w:pPr>
      <w:r>
        <w:rPr>
          <w:rFonts w:ascii="Arial" w:eastAsia="Arial" w:hAnsi="Arial" w:cs="Arial"/>
          <w:i/>
          <w:iCs/>
        </w:rPr>
        <w:t>Allocation of Taxes Reflected on Separate Tax Returns.</w:t>
      </w:r>
    </w:p>
    <w:p w14:paraId="718E5002" w14:textId="77777777" w:rsidR="00D1587D" w:rsidRDefault="00D1587D">
      <w:pPr>
        <w:spacing w:line="233" w:lineRule="exact"/>
        <w:rPr>
          <w:rFonts w:ascii="Arial" w:eastAsia="Arial" w:hAnsi="Arial" w:cs="Arial"/>
        </w:rPr>
      </w:pPr>
    </w:p>
    <w:p w14:paraId="7BA0482C" w14:textId="77777777" w:rsidR="00D1587D" w:rsidRDefault="00410D07">
      <w:pPr>
        <w:numPr>
          <w:ilvl w:val="2"/>
          <w:numId w:val="107"/>
        </w:numPr>
        <w:tabs>
          <w:tab w:val="left" w:pos="2577"/>
        </w:tabs>
        <w:spacing w:line="238" w:lineRule="auto"/>
        <w:ind w:left="700" w:firstLine="1046"/>
        <w:rPr>
          <w:rFonts w:ascii="Arial" w:eastAsia="Arial" w:hAnsi="Arial" w:cs="Arial"/>
        </w:rPr>
      </w:pPr>
      <w:r>
        <w:rPr>
          <w:rFonts w:ascii="Arial" w:eastAsia="Arial" w:hAnsi="Arial" w:cs="Arial"/>
        </w:rPr>
        <w:t>L Brands shall be allocated all Taxes reported, or required to be reported, on (x) an L Brands Separate Tax Return, (y) a Pre-2021 VS Separate Tax Return or (z) a</w:t>
      </w:r>
      <w:r>
        <w:rPr>
          <w:rFonts w:ascii="Arial" w:eastAsia="Arial" w:hAnsi="Arial" w:cs="Arial"/>
        </w:rPr>
        <w:t xml:space="preserve"> VS Post-2020 Separate Non-Income Tax Return to the extent such Taxes are attributable to any Pre-Distribution Period (as determined in accordance with Section 3(b)).</w:t>
      </w:r>
    </w:p>
    <w:p w14:paraId="4EFDAC1B" w14:textId="77777777" w:rsidR="00D1587D" w:rsidRDefault="00D1587D">
      <w:pPr>
        <w:spacing w:line="211" w:lineRule="exact"/>
        <w:rPr>
          <w:rFonts w:ascii="Arial" w:eastAsia="Arial" w:hAnsi="Arial" w:cs="Arial"/>
        </w:rPr>
      </w:pPr>
    </w:p>
    <w:p w14:paraId="74C065D7" w14:textId="77777777" w:rsidR="00D1587D" w:rsidRDefault="00410D07">
      <w:pPr>
        <w:numPr>
          <w:ilvl w:val="2"/>
          <w:numId w:val="107"/>
        </w:numPr>
        <w:tabs>
          <w:tab w:val="left" w:pos="2561"/>
        </w:tabs>
        <w:spacing w:line="297" w:lineRule="auto"/>
        <w:ind w:left="700" w:right="40" w:firstLine="1046"/>
        <w:rPr>
          <w:rFonts w:ascii="Arial" w:eastAsia="Arial" w:hAnsi="Arial" w:cs="Arial"/>
          <w:sz w:val="19"/>
          <w:szCs w:val="19"/>
        </w:rPr>
      </w:pPr>
      <w:r>
        <w:rPr>
          <w:rFonts w:ascii="Arial" w:eastAsia="Arial" w:hAnsi="Arial" w:cs="Arial"/>
          <w:sz w:val="19"/>
          <w:szCs w:val="19"/>
        </w:rPr>
        <w:t>VS shall be allocated all Taxes reported, or required to be reported, on (x) a VS Post-2</w:t>
      </w:r>
      <w:r>
        <w:rPr>
          <w:rFonts w:ascii="Arial" w:eastAsia="Arial" w:hAnsi="Arial" w:cs="Arial"/>
          <w:sz w:val="19"/>
          <w:szCs w:val="19"/>
        </w:rPr>
        <w:t>020 Separate Income Tax Return or (y) a VS Post-2020 Separate Non-Income Tax Return to the extent such Taxes are attributable to any Post-Distribution Period (as determined in accordance with Section 3(b)).</w:t>
      </w:r>
    </w:p>
    <w:p w14:paraId="140FE7BD" w14:textId="77777777" w:rsidR="00D1587D" w:rsidRDefault="00D1587D">
      <w:pPr>
        <w:spacing w:line="160" w:lineRule="exact"/>
        <w:rPr>
          <w:rFonts w:ascii="Arial" w:eastAsia="Arial" w:hAnsi="Arial" w:cs="Arial"/>
          <w:sz w:val="19"/>
          <w:szCs w:val="19"/>
        </w:rPr>
      </w:pPr>
    </w:p>
    <w:p w14:paraId="4139F03D" w14:textId="77777777" w:rsidR="00D1587D" w:rsidRDefault="00410D07">
      <w:pPr>
        <w:numPr>
          <w:ilvl w:val="1"/>
          <w:numId w:val="107"/>
        </w:numPr>
        <w:tabs>
          <w:tab w:val="left" w:pos="2000"/>
        </w:tabs>
        <w:ind w:left="2000" w:hanging="870"/>
        <w:rPr>
          <w:rFonts w:ascii="Arial" w:eastAsia="Arial" w:hAnsi="Arial" w:cs="Arial"/>
        </w:rPr>
      </w:pPr>
      <w:r>
        <w:rPr>
          <w:rFonts w:ascii="Arial" w:eastAsia="Arial" w:hAnsi="Arial" w:cs="Arial"/>
          <w:i/>
          <w:iCs/>
        </w:rPr>
        <w:t>Taxes Not Reported on Tax Returns</w:t>
      </w:r>
      <w:r>
        <w:rPr>
          <w:rFonts w:ascii="Arial" w:eastAsia="Arial" w:hAnsi="Arial" w:cs="Arial"/>
        </w:rPr>
        <w:t>.</w:t>
      </w:r>
    </w:p>
    <w:p w14:paraId="66C21EF0" w14:textId="77777777" w:rsidR="00D1587D" w:rsidRDefault="00D1587D">
      <w:pPr>
        <w:spacing w:line="233" w:lineRule="exact"/>
        <w:rPr>
          <w:rFonts w:ascii="Arial" w:eastAsia="Arial" w:hAnsi="Arial" w:cs="Arial"/>
        </w:rPr>
      </w:pPr>
    </w:p>
    <w:p w14:paraId="4029C1AB" w14:textId="77777777" w:rsidR="00D1587D" w:rsidRDefault="00410D07">
      <w:pPr>
        <w:numPr>
          <w:ilvl w:val="2"/>
          <w:numId w:val="107"/>
        </w:numPr>
        <w:tabs>
          <w:tab w:val="left" w:pos="2577"/>
        </w:tabs>
        <w:spacing w:line="250" w:lineRule="auto"/>
        <w:ind w:left="700" w:right="100" w:firstLine="1046"/>
        <w:rPr>
          <w:rFonts w:ascii="Arial" w:eastAsia="Arial" w:hAnsi="Arial" w:cs="Arial"/>
        </w:rPr>
      </w:pPr>
      <w:r>
        <w:rPr>
          <w:rFonts w:ascii="Arial" w:eastAsia="Arial" w:hAnsi="Arial" w:cs="Arial"/>
        </w:rPr>
        <w:t xml:space="preserve">L </w:t>
      </w:r>
      <w:r>
        <w:rPr>
          <w:rFonts w:ascii="Arial" w:eastAsia="Arial" w:hAnsi="Arial" w:cs="Arial"/>
        </w:rPr>
        <w:t>Brands shall be allocated any Tax attributable to any member of the L Brands Group that is not required to be reported on a Tax Return.</w:t>
      </w:r>
    </w:p>
    <w:p w14:paraId="1CF786DA" w14:textId="77777777" w:rsidR="00D1587D" w:rsidRDefault="00D1587D">
      <w:pPr>
        <w:spacing w:line="201" w:lineRule="exact"/>
        <w:rPr>
          <w:rFonts w:ascii="Arial" w:eastAsia="Arial" w:hAnsi="Arial" w:cs="Arial"/>
        </w:rPr>
      </w:pPr>
    </w:p>
    <w:p w14:paraId="5EFD28D8" w14:textId="77777777" w:rsidR="00D1587D" w:rsidRDefault="00410D07">
      <w:pPr>
        <w:numPr>
          <w:ilvl w:val="2"/>
          <w:numId w:val="107"/>
        </w:numPr>
        <w:tabs>
          <w:tab w:val="left" w:pos="2561"/>
        </w:tabs>
        <w:spacing w:line="250" w:lineRule="auto"/>
        <w:ind w:left="700" w:right="640" w:firstLine="1046"/>
        <w:rPr>
          <w:rFonts w:ascii="Arial" w:eastAsia="Arial" w:hAnsi="Arial" w:cs="Arial"/>
        </w:rPr>
      </w:pPr>
      <w:r>
        <w:rPr>
          <w:rFonts w:ascii="Arial" w:eastAsia="Arial" w:hAnsi="Arial" w:cs="Arial"/>
        </w:rPr>
        <w:t>VS shall be allocated any Tax attributable to any member of the VS Group that is not required to be reported on a Tax R</w:t>
      </w:r>
      <w:r>
        <w:rPr>
          <w:rFonts w:ascii="Arial" w:eastAsia="Arial" w:hAnsi="Arial" w:cs="Arial"/>
        </w:rPr>
        <w:t>eturn.</w:t>
      </w:r>
    </w:p>
    <w:p w14:paraId="3114C388" w14:textId="77777777" w:rsidR="00D1587D" w:rsidRDefault="00D1587D">
      <w:pPr>
        <w:spacing w:line="201" w:lineRule="exact"/>
        <w:rPr>
          <w:rFonts w:ascii="Arial" w:eastAsia="Arial" w:hAnsi="Arial" w:cs="Arial"/>
        </w:rPr>
      </w:pPr>
    </w:p>
    <w:p w14:paraId="049E02D0" w14:textId="77777777" w:rsidR="00D1587D" w:rsidRDefault="00410D07">
      <w:pPr>
        <w:numPr>
          <w:ilvl w:val="0"/>
          <w:numId w:val="107"/>
        </w:numPr>
        <w:tabs>
          <w:tab w:val="left" w:pos="980"/>
        </w:tabs>
        <w:ind w:left="980" w:hanging="790"/>
        <w:rPr>
          <w:rFonts w:ascii="Arial" w:eastAsia="Arial" w:hAnsi="Arial" w:cs="Arial"/>
        </w:rPr>
      </w:pPr>
      <w:r>
        <w:rPr>
          <w:rFonts w:ascii="Arial" w:eastAsia="Arial" w:hAnsi="Arial" w:cs="Arial"/>
          <w:i/>
          <w:iCs/>
        </w:rPr>
        <w:t>Allocation Conventions</w:t>
      </w:r>
      <w:r>
        <w:rPr>
          <w:rFonts w:ascii="Arial" w:eastAsia="Arial" w:hAnsi="Arial" w:cs="Arial"/>
        </w:rPr>
        <w:t>.</w:t>
      </w:r>
    </w:p>
    <w:p w14:paraId="3CDEA733" w14:textId="77777777" w:rsidR="00D1587D" w:rsidRDefault="00D1587D">
      <w:pPr>
        <w:spacing w:line="233" w:lineRule="exact"/>
        <w:rPr>
          <w:rFonts w:ascii="Arial" w:eastAsia="Arial" w:hAnsi="Arial" w:cs="Arial"/>
        </w:rPr>
      </w:pPr>
    </w:p>
    <w:p w14:paraId="44C12DDD" w14:textId="77777777" w:rsidR="00D1587D" w:rsidRDefault="00410D07">
      <w:pPr>
        <w:numPr>
          <w:ilvl w:val="1"/>
          <w:numId w:val="107"/>
        </w:numPr>
        <w:tabs>
          <w:tab w:val="left" w:pos="1864"/>
        </w:tabs>
        <w:spacing w:line="248" w:lineRule="auto"/>
        <w:ind w:left="160" w:right="120" w:firstLine="970"/>
        <w:rPr>
          <w:rFonts w:ascii="Arial" w:eastAsia="Arial" w:hAnsi="Arial" w:cs="Arial"/>
          <w:sz w:val="21"/>
          <w:szCs w:val="21"/>
        </w:rPr>
      </w:pPr>
      <w:r>
        <w:rPr>
          <w:rFonts w:ascii="Arial" w:eastAsia="Arial" w:hAnsi="Arial" w:cs="Arial"/>
          <w:sz w:val="21"/>
          <w:szCs w:val="21"/>
        </w:rPr>
        <w:t xml:space="preserve">All Taxes allocated pursuant to </w:t>
      </w:r>
      <w:r>
        <w:rPr>
          <w:rFonts w:ascii="Arial" w:eastAsia="Arial" w:hAnsi="Arial" w:cs="Arial"/>
          <w:sz w:val="21"/>
          <w:szCs w:val="21"/>
          <w:u w:val="single"/>
        </w:rPr>
        <w:t>Section 3(a)</w:t>
      </w:r>
      <w:r>
        <w:rPr>
          <w:rFonts w:ascii="Arial" w:eastAsia="Arial" w:hAnsi="Arial" w:cs="Arial"/>
          <w:sz w:val="21"/>
          <w:szCs w:val="21"/>
        </w:rPr>
        <w:t xml:space="preserve">, other than Income Taxes allocated pursuant to Section 3(a)(ii)(B)(x), shall be allocated in accordance with the Closing of the Books Method; </w:t>
      </w:r>
      <w:r>
        <w:rPr>
          <w:rFonts w:ascii="Arial" w:eastAsia="Arial" w:hAnsi="Arial" w:cs="Arial"/>
          <w:i/>
          <w:iCs/>
          <w:sz w:val="21"/>
          <w:szCs w:val="21"/>
        </w:rPr>
        <w:t>provided, however,</w:t>
      </w:r>
      <w:r>
        <w:rPr>
          <w:rFonts w:ascii="Arial" w:eastAsia="Arial" w:hAnsi="Arial" w:cs="Arial"/>
          <w:sz w:val="21"/>
          <w:szCs w:val="21"/>
        </w:rPr>
        <w:t xml:space="preserve"> that if Applicable Tax Law does not permit a VS Group member to close its Taxable year on the Distribution Date, the Tax attributable to the operations of the members of the VS Group for any Pre-Distribution Period shall be the Tax computed using a hypoth</w:t>
      </w:r>
      <w:r>
        <w:rPr>
          <w:rFonts w:ascii="Arial" w:eastAsia="Arial" w:hAnsi="Arial" w:cs="Arial"/>
          <w:sz w:val="21"/>
          <w:szCs w:val="21"/>
        </w:rPr>
        <w:t>etical closing of the books consistent with the Closing of the Books Method (except to the extent otherwise agreed upon by L Brands and VS).</w:t>
      </w:r>
    </w:p>
    <w:p w14:paraId="42094510" w14:textId="77777777" w:rsidR="00D1587D" w:rsidRDefault="00D1587D">
      <w:pPr>
        <w:spacing w:line="203" w:lineRule="exact"/>
        <w:rPr>
          <w:rFonts w:ascii="Arial" w:eastAsia="Arial" w:hAnsi="Arial" w:cs="Arial"/>
          <w:sz w:val="21"/>
          <w:szCs w:val="21"/>
        </w:rPr>
      </w:pPr>
    </w:p>
    <w:p w14:paraId="78AB3F1D" w14:textId="77777777" w:rsidR="00D1587D" w:rsidRDefault="00410D07">
      <w:pPr>
        <w:numPr>
          <w:ilvl w:val="1"/>
          <w:numId w:val="107"/>
        </w:numPr>
        <w:tabs>
          <w:tab w:val="left" w:pos="1924"/>
        </w:tabs>
        <w:spacing w:line="246" w:lineRule="auto"/>
        <w:ind w:left="160" w:firstLine="970"/>
        <w:rPr>
          <w:rFonts w:ascii="Arial" w:eastAsia="Arial" w:hAnsi="Arial" w:cs="Arial"/>
          <w:sz w:val="21"/>
          <w:szCs w:val="21"/>
        </w:rPr>
      </w:pPr>
      <w:r>
        <w:rPr>
          <w:rFonts w:ascii="Arial" w:eastAsia="Arial" w:hAnsi="Arial" w:cs="Arial"/>
          <w:sz w:val="21"/>
          <w:szCs w:val="21"/>
        </w:rPr>
        <w:t>Any Tax Item of VS or any member of the VS Group arising from a transaction engaged in outside the ordinary course</w:t>
      </w:r>
      <w:r>
        <w:rPr>
          <w:rFonts w:ascii="Arial" w:eastAsia="Arial" w:hAnsi="Arial" w:cs="Arial"/>
          <w:sz w:val="21"/>
          <w:szCs w:val="21"/>
        </w:rPr>
        <w:t xml:space="preserve"> of business on the Distribution Date after the Distribution Time shall be allocable to VS and any such transaction by or with respect to VS or any member of the VS Group occurring after the Distribution Time shall be treated for all Tax purposes (to the e</w:t>
      </w:r>
      <w:r>
        <w:rPr>
          <w:rFonts w:ascii="Arial" w:eastAsia="Arial" w:hAnsi="Arial" w:cs="Arial"/>
          <w:sz w:val="21"/>
          <w:szCs w:val="21"/>
        </w:rPr>
        <w:t xml:space="preserve">xtent permitted by Applicable Tax Law) as occurring at the beginning of the day following the Distribution Date in accordance with the principles of Treasury Regulations Section 1.1502-76(b) (assuming no election is made under Treasury Regulations Section </w:t>
      </w:r>
      <w:r>
        <w:rPr>
          <w:rFonts w:ascii="Arial" w:eastAsia="Arial" w:hAnsi="Arial" w:cs="Arial"/>
          <w:sz w:val="21"/>
          <w:szCs w:val="21"/>
        </w:rPr>
        <w:t xml:space="preserve">1.1502-76(b)(2)(ii) (relating to a ratable allocation of a year’s Tax Items)); </w:t>
      </w:r>
      <w:r>
        <w:rPr>
          <w:rFonts w:ascii="Arial" w:eastAsia="Arial" w:hAnsi="Arial" w:cs="Arial"/>
          <w:i/>
          <w:iCs/>
          <w:sz w:val="21"/>
          <w:szCs w:val="21"/>
        </w:rPr>
        <w:t>provided</w:t>
      </w:r>
      <w:r>
        <w:rPr>
          <w:rFonts w:ascii="Arial" w:eastAsia="Arial" w:hAnsi="Arial" w:cs="Arial"/>
          <w:sz w:val="21"/>
          <w:szCs w:val="21"/>
        </w:rPr>
        <w:t xml:space="preserve"> that the foregoing shall not include any action that is undertaken pursuant to the Restructuring, the Contribution or the Distribution.</w:t>
      </w:r>
    </w:p>
    <w:p w14:paraId="5CA1469A" w14:textId="77777777" w:rsidR="00D1587D" w:rsidRDefault="00D1587D">
      <w:pPr>
        <w:spacing w:line="139" w:lineRule="exact"/>
        <w:rPr>
          <w:sz w:val="20"/>
          <w:szCs w:val="20"/>
        </w:rPr>
      </w:pPr>
    </w:p>
    <w:p w14:paraId="321E6095" w14:textId="77777777" w:rsidR="00D1587D" w:rsidRDefault="00410D07">
      <w:pPr>
        <w:ind w:left="4920"/>
        <w:rPr>
          <w:sz w:val="20"/>
          <w:szCs w:val="20"/>
        </w:rPr>
      </w:pPr>
      <w:r>
        <w:rPr>
          <w:rFonts w:ascii="Arial" w:eastAsia="Arial" w:hAnsi="Arial" w:cs="Arial"/>
        </w:rPr>
        <w:t>8</w:t>
      </w:r>
    </w:p>
    <w:p w14:paraId="526BF76A" w14:textId="77777777" w:rsidR="00D1587D" w:rsidRDefault="00410D07">
      <w:pPr>
        <w:spacing w:line="20" w:lineRule="exact"/>
        <w:rPr>
          <w:sz w:val="20"/>
          <w:szCs w:val="20"/>
        </w:rPr>
      </w:pPr>
      <w:r>
        <w:rPr>
          <w:noProof/>
          <w:sz w:val="20"/>
          <w:szCs w:val="20"/>
        </w:rPr>
        <w:drawing>
          <wp:anchor distT="0" distB="0" distL="114300" distR="114300" simplePos="0" relativeHeight="251301888" behindDoc="1" locked="0" layoutInCell="0" allowOverlap="1" wp14:anchorId="21BE5D85" wp14:editId="1F1685D8">
            <wp:simplePos x="0" y="0"/>
            <wp:positionH relativeFrom="column">
              <wp:posOffset>-413385</wp:posOffset>
            </wp:positionH>
            <wp:positionV relativeFrom="paragraph">
              <wp:posOffset>41275</wp:posOffset>
            </wp:positionV>
            <wp:extent cx="7132320" cy="1714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2FF7BB2" w14:textId="77777777" w:rsidR="00D1587D" w:rsidRDefault="00D1587D">
      <w:pPr>
        <w:sectPr w:rsidR="00D1587D">
          <w:pgSz w:w="11900" w:h="16838"/>
          <w:pgMar w:top="361" w:right="359" w:bottom="1440" w:left="980" w:header="0" w:footer="0" w:gutter="0"/>
          <w:cols w:space="720" w:equalWidth="0">
            <w:col w:w="10560"/>
          </w:cols>
        </w:sectPr>
      </w:pPr>
    </w:p>
    <w:p w14:paraId="6E391B80" w14:textId="77777777" w:rsidR="00D1587D" w:rsidRDefault="00410D07">
      <w:pPr>
        <w:numPr>
          <w:ilvl w:val="0"/>
          <w:numId w:val="108"/>
        </w:numPr>
        <w:tabs>
          <w:tab w:val="left" w:pos="1622"/>
        </w:tabs>
        <w:spacing w:line="250" w:lineRule="auto"/>
        <w:ind w:right="160" w:firstLine="850"/>
        <w:rPr>
          <w:rFonts w:ascii="Arial" w:eastAsia="Arial" w:hAnsi="Arial" w:cs="Arial"/>
        </w:rPr>
      </w:pPr>
      <w:bookmarkStart w:id="147" w:name="page148"/>
      <w:bookmarkEnd w:id="147"/>
      <w:r>
        <w:rPr>
          <w:rFonts w:ascii="Arial" w:eastAsia="Arial" w:hAnsi="Arial" w:cs="Arial"/>
          <w:i/>
          <w:iCs/>
        </w:rPr>
        <w:t xml:space="preserve">Special Allocation Rules. </w:t>
      </w:r>
      <w:r>
        <w:rPr>
          <w:rFonts w:ascii="Arial" w:eastAsia="Arial" w:hAnsi="Arial" w:cs="Arial"/>
        </w:rPr>
        <w:t>Notwithstanding any other provision in this</w:t>
      </w:r>
      <w:r>
        <w:rPr>
          <w:rFonts w:ascii="Arial" w:eastAsia="Arial" w:hAnsi="Arial" w:cs="Arial"/>
          <w:i/>
          <w:iCs/>
        </w:rPr>
        <w:t xml:space="preserve"> </w:t>
      </w:r>
      <w:r>
        <w:rPr>
          <w:rFonts w:ascii="Arial" w:eastAsia="Arial" w:hAnsi="Arial" w:cs="Arial"/>
          <w:u w:val="single"/>
        </w:rPr>
        <w:t>Section 3</w:t>
      </w:r>
      <w:r>
        <w:rPr>
          <w:rFonts w:ascii="Arial" w:eastAsia="Arial" w:hAnsi="Arial" w:cs="Arial"/>
        </w:rPr>
        <w:t>, the following Taxes shall be</w:t>
      </w:r>
      <w:r>
        <w:rPr>
          <w:rFonts w:ascii="Arial" w:eastAsia="Arial" w:hAnsi="Arial" w:cs="Arial"/>
          <w:i/>
          <w:iCs/>
        </w:rPr>
        <w:t xml:space="preserve"> </w:t>
      </w:r>
      <w:r>
        <w:rPr>
          <w:rFonts w:ascii="Arial" w:eastAsia="Arial" w:hAnsi="Arial" w:cs="Arial"/>
        </w:rPr>
        <w:t>allocated as follows:</w:t>
      </w:r>
    </w:p>
    <w:p w14:paraId="1FE0F46A" w14:textId="77777777" w:rsidR="00D1587D" w:rsidRDefault="00D1587D">
      <w:pPr>
        <w:spacing w:line="201" w:lineRule="exact"/>
        <w:rPr>
          <w:rFonts w:ascii="Arial" w:eastAsia="Arial" w:hAnsi="Arial" w:cs="Arial"/>
        </w:rPr>
      </w:pPr>
    </w:p>
    <w:p w14:paraId="140D442D" w14:textId="77777777" w:rsidR="00D1587D" w:rsidRDefault="00410D07">
      <w:pPr>
        <w:numPr>
          <w:ilvl w:val="1"/>
          <w:numId w:val="108"/>
        </w:numPr>
        <w:tabs>
          <w:tab w:val="left" w:pos="2540"/>
        </w:tabs>
        <w:ind w:left="2540" w:hanging="750"/>
        <w:rPr>
          <w:rFonts w:ascii="Arial" w:eastAsia="Arial" w:hAnsi="Arial" w:cs="Arial"/>
        </w:rPr>
      </w:pPr>
      <w:r>
        <w:rPr>
          <w:rFonts w:ascii="Arial" w:eastAsia="Arial" w:hAnsi="Arial" w:cs="Arial"/>
          <w:i/>
          <w:iCs/>
        </w:rPr>
        <w:t>Transfer Taxes</w:t>
      </w:r>
      <w:r>
        <w:rPr>
          <w:rFonts w:ascii="Arial" w:eastAsia="Arial" w:hAnsi="Arial" w:cs="Arial"/>
        </w:rPr>
        <w:t>. Transfer Taxes shall be allocated 50% to VS and 50% to L Brands</w:t>
      </w:r>
    </w:p>
    <w:p w14:paraId="5BFD38A1" w14:textId="77777777" w:rsidR="00D1587D" w:rsidRDefault="00D1587D">
      <w:pPr>
        <w:spacing w:line="233" w:lineRule="exact"/>
        <w:rPr>
          <w:rFonts w:ascii="Arial" w:eastAsia="Arial" w:hAnsi="Arial" w:cs="Arial"/>
        </w:rPr>
      </w:pPr>
    </w:p>
    <w:p w14:paraId="1C7260DE" w14:textId="77777777" w:rsidR="00D1587D" w:rsidRDefault="00410D07">
      <w:pPr>
        <w:numPr>
          <w:ilvl w:val="1"/>
          <w:numId w:val="108"/>
        </w:numPr>
        <w:tabs>
          <w:tab w:val="left" w:pos="2596"/>
        </w:tabs>
        <w:spacing w:line="297" w:lineRule="auto"/>
        <w:ind w:left="820" w:right="320" w:firstLine="970"/>
        <w:rPr>
          <w:rFonts w:ascii="Arial" w:eastAsia="Arial" w:hAnsi="Arial" w:cs="Arial"/>
          <w:sz w:val="19"/>
          <w:szCs w:val="19"/>
        </w:rPr>
      </w:pPr>
      <w:r>
        <w:rPr>
          <w:rFonts w:ascii="Arial" w:eastAsia="Arial" w:hAnsi="Arial" w:cs="Arial"/>
          <w:i/>
          <w:iCs/>
          <w:sz w:val="19"/>
          <w:szCs w:val="19"/>
        </w:rPr>
        <w:t>Taxes Relating to L Brands Compensatory Eq</w:t>
      </w:r>
      <w:r>
        <w:rPr>
          <w:rFonts w:ascii="Arial" w:eastAsia="Arial" w:hAnsi="Arial" w:cs="Arial"/>
          <w:i/>
          <w:iCs/>
          <w:sz w:val="19"/>
          <w:szCs w:val="19"/>
        </w:rPr>
        <w:t>uity Interests</w:t>
      </w:r>
      <w:r>
        <w:rPr>
          <w:rFonts w:ascii="Arial" w:eastAsia="Arial" w:hAnsi="Arial" w:cs="Arial"/>
          <w:sz w:val="19"/>
          <w:szCs w:val="19"/>
        </w:rPr>
        <w:t>. Any Tax liability (including, for the</w:t>
      </w:r>
      <w:r>
        <w:rPr>
          <w:rFonts w:ascii="Arial" w:eastAsia="Arial" w:hAnsi="Arial" w:cs="Arial"/>
          <w:i/>
          <w:iCs/>
          <w:sz w:val="19"/>
          <w:szCs w:val="19"/>
        </w:rPr>
        <w:t xml:space="preserve"> </w:t>
      </w:r>
      <w:r>
        <w:rPr>
          <w:rFonts w:ascii="Arial" w:eastAsia="Arial" w:hAnsi="Arial" w:cs="Arial"/>
          <w:sz w:val="19"/>
          <w:szCs w:val="19"/>
        </w:rPr>
        <w:t xml:space="preserve">avoidance of doubt, the satisfaction of any withholding Tax obligation) relating to the issuance, exercise, vesting or settlement of any L Brands Compensatory Equity Interest shall be allocated in a manner consistent with </w:t>
      </w:r>
      <w:r>
        <w:rPr>
          <w:rFonts w:ascii="Arial" w:eastAsia="Arial" w:hAnsi="Arial" w:cs="Arial"/>
          <w:sz w:val="19"/>
          <w:szCs w:val="19"/>
          <w:u w:val="single"/>
        </w:rPr>
        <w:t>Section 7</w:t>
      </w:r>
      <w:r>
        <w:rPr>
          <w:rFonts w:ascii="Arial" w:eastAsia="Arial" w:hAnsi="Arial" w:cs="Arial"/>
          <w:sz w:val="19"/>
          <w:szCs w:val="19"/>
        </w:rPr>
        <w:t>.</w:t>
      </w:r>
    </w:p>
    <w:p w14:paraId="6AFAD919" w14:textId="77777777" w:rsidR="00D1587D" w:rsidRDefault="00D1587D">
      <w:pPr>
        <w:spacing w:line="160" w:lineRule="exact"/>
        <w:rPr>
          <w:rFonts w:ascii="Arial" w:eastAsia="Arial" w:hAnsi="Arial" w:cs="Arial"/>
          <w:sz w:val="19"/>
          <w:szCs w:val="19"/>
        </w:rPr>
      </w:pPr>
    </w:p>
    <w:p w14:paraId="3467739E" w14:textId="77777777" w:rsidR="00D1587D" w:rsidRDefault="00410D07">
      <w:pPr>
        <w:numPr>
          <w:ilvl w:val="1"/>
          <w:numId w:val="108"/>
        </w:numPr>
        <w:tabs>
          <w:tab w:val="left" w:pos="2656"/>
        </w:tabs>
        <w:spacing w:line="328" w:lineRule="auto"/>
        <w:ind w:left="820" w:right="200" w:firstLine="970"/>
        <w:rPr>
          <w:rFonts w:ascii="Arial" w:eastAsia="Arial" w:hAnsi="Arial" w:cs="Arial"/>
          <w:sz w:val="19"/>
          <w:szCs w:val="19"/>
        </w:rPr>
      </w:pPr>
      <w:r>
        <w:rPr>
          <w:rFonts w:ascii="Arial" w:eastAsia="Arial" w:hAnsi="Arial" w:cs="Arial"/>
          <w:i/>
          <w:iCs/>
          <w:sz w:val="19"/>
          <w:szCs w:val="19"/>
        </w:rPr>
        <w:t>Distribution Taxes and</w:t>
      </w:r>
      <w:r>
        <w:rPr>
          <w:rFonts w:ascii="Arial" w:eastAsia="Arial" w:hAnsi="Arial" w:cs="Arial"/>
          <w:i/>
          <w:iCs/>
          <w:sz w:val="19"/>
          <w:szCs w:val="19"/>
        </w:rPr>
        <w:t xml:space="preserve"> Tax-Related Losses</w:t>
      </w:r>
      <w:r>
        <w:rPr>
          <w:rFonts w:ascii="Arial" w:eastAsia="Arial" w:hAnsi="Arial" w:cs="Arial"/>
          <w:sz w:val="19"/>
          <w:szCs w:val="19"/>
        </w:rPr>
        <w:t>. Any liability for Distribution Taxes and Tax-Related</w:t>
      </w:r>
      <w:r>
        <w:rPr>
          <w:rFonts w:ascii="Arial" w:eastAsia="Arial" w:hAnsi="Arial" w:cs="Arial"/>
          <w:i/>
          <w:iCs/>
          <w:sz w:val="19"/>
          <w:szCs w:val="19"/>
        </w:rPr>
        <w:t xml:space="preserve"> </w:t>
      </w:r>
      <w:r>
        <w:rPr>
          <w:rFonts w:ascii="Arial" w:eastAsia="Arial" w:hAnsi="Arial" w:cs="Arial"/>
          <w:sz w:val="19"/>
          <w:szCs w:val="19"/>
        </w:rPr>
        <w:t xml:space="preserve">Losses resulting from a VS Disqualifying Action shall be allocated in a manner consistent with </w:t>
      </w:r>
      <w:r>
        <w:rPr>
          <w:rFonts w:ascii="Arial" w:eastAsia="Arial" w:hAnsi="Arial" w:cs="Arial"/>
          <w:sz w:val="19"/>
          <w:szCs w:val="19"/>
          <w:u w:val="single"/>
        </w:rPr>
        <w:t>Section 11(a)(iii)</w:t>
      </w:r>
      <w:r>
        <w:rPr>
          <w:rFonts w:ascii="Arial" w:eastAsia="Arial" w:hAnsi="Arial" w:cs="Arial"/>
          <w:sz w:val="19"/>
          <w:szCs w:val="19"/>
        </w:rPr>
        <w:t>.</w:t>
      </w:r>
    </w:p>
    <w:p w14:paraId="7FCB3EA6" w14:textId="77777777" w:rsidR="00D1587D" w:rsidRDefault="00D1587D">
      <w:pPr>
        <w:spacing w:line="131" w:lineRule="exact"/>
        <w:rPr>
          <w:rFonts w:ascii="Arial" w:eastAsia="Arial" w:hAnsi="Arial" w:cs="Arial"/>
          <w:sz w:val="19"/>
          <w:szCs w:val="19"/>
        </w:rPr>
      </w:pPr>
    </w:p>
    <w:p w14:paraId="332F66BC" w14:textId="77777777" w:rsidR="00D1587D" w:rsidRDefault="00410D07">
      <w:pPr>
        <w:numPr>
          <w:ilvl w:val="1"/>
          <w:numId w:val="108"/>
        </w:numPr>
        <w:tabs>
          <w:tab w:val="left" w:pos="2644"/>
        </w:tabs>
        <w:spacing w:line="297" w:lineRule="auto"/>
        <w:ind w:left="820" w:right="240" w:firstLine="970"/>
        <w:jc w:val="both"/>
        <w:rPr>
          <w:rFonts w:ascii="Arial" w:eastAsia="Arial" w:hAnsi="Arial" w:cs="Arial"/>
          <w:sz w:val="19"/>
          <w:szCs w:val="19"/>
        </w:rPr>
      </w:pPr>
      <w:r>
        <w:rPr>
          <w:rFonts w:ascii="Arial" w:eastAsia="Arial" w:hAnsi="Arial" w:cs="Arial"/>
          <w:i/>
          <w:iCs/>
          <w:sz w:val="19"/>
          <w:szCs w:val="19"/>
        </w:rPr>
        <w:t>Section 965 Taxes</w:t>
      </w:r>
      <w:r>
        <w:rPr>
          <w:rFonts w:ascii="Arial" w:eastAsia="Arial" w:hAnsi="Arial" w:cs="Arial"/>
          <w:sz w:val="19"/>
          <w:szCs w:val="19"/>
        </w:rPr>
        <w:t>. Any installment payments required to be made pu</w:t>
      </w:r>
      <w:r>
        <w:rPr>
          <w:rFonts w:ascii="Arial" w:eastAsia="Arial" w:hAnsi="Arial" w:cs="Arial"/>
          <w:sz w:val="19"/>
          <w:szCs w:val="19"/>
        </w:rPr>
        <w:t>rsuant to the election made</w:t>
      </w:r>
      <w:r>
        <w:rPr>
          <w:rFonts w:ascii="Arial" w:eastAsia="Arial" w:hAnsi="Arial" w:cs="Arial"/>
          <w:i/>
          <w:iCs/>
          <w:sz w:val="19"/>
          <w:szCs w:val="19"/>
        </w:rPr>
        <w:t xml:space="preserve"> </w:t>
      </w:r>
      <w:r>
        <w:rPr>
          <w:rFonts w:ascii="Arial" w:eastAsia="Arial" w:hAnsi="Arial" w:cs="Arial"/>
          <w:sz w:val="19"/>
          <w:szCs w:val="19"/>
        </w:rPr>
        <w:t>by a member of the L Brands Group or a member of the VS Group (that was a member of such VS Group prior to the Distribution Date) under Section 965(h) of the Code, and any adjustments thereto, shall be allocated to L Brands.</w:t>
      </w:r>
    </w:p>
    <w:p w14:paraId="3C84FAA9" w14:textId="77777777" w:rsidR="00D1587D" w:rsidRDefault="00D1587D">
      <w:pPr>
        <w:spacing w:line="160" w:lineRule="exact"/>
        <w:rPr>
          <w:rFonts w:ascii="Arial" w:eastAsia="Arial" w:hAnsi="Arial" w:cs="Arial"/>
          <w:sz w:val="19"/>
          <w:szCs w:val="19"/>
        </w:rPr>
      </w:pPr>
    </w:p>
    <w:p w14:paraId="5491005B" w14:textId="77777777" w:rsidR="00D1587D" w:rsidRDefault="00410D07">
      <w:pPr>
        <w:numPr>
          <w:ilvl w:val="1"/>
          <w:numId w:val="108"/>
        </w:numPr>
        <w:tabs>
          <w:tab w:val="left" w:pos="2584"/>
        </w:tabs>
        <w:ind w:left="820" w:right="200" w:firstLine="970"/>
        <w:rPr>
          <w:rFonts w:ascii="Arial" w:eastAsia="Arial" w:hAnsi="Arial" w:cs="Arial"/>
        </w:rPr>
      </w:pPr>
      <w:r>
        <w:rPr>
          <w:rFonts w:ascii="Arial" w:eastAsia="Arial" w:hAnsi="Arial" w:cs="Arial"/>
          <w:i/>
          <w:iCs/>
        </w:rPr>
        <w:t>Ta</w:t>
      </w:r>
      <w:r>
        <w:rPr>
          <w:rFonts w:ascii="Arial" w:eastAsia="Arial" w:hAnsi="Arial" w:cs="Arial"/>
          <w:i/>
          <w:iCs/>
        </w:rPr>
        <w:t>xes Covered by Distribution Documents</w:t>
      </w:r>
      <w:r>
        <w:rPr>
          <w:rFonts w:ascii="Arial" w:eastAsia="Arial" w:hAnsi="Arial" w:cs="Arial"/>
        </w:rPr>
        <w:t>. Subject to the preceding clauses of Section 3(c), any</w:t>
      </w:r>
      <w:r>
        <w:rPr>
          <w:rFonts w:ascii="Arial" w:eastAsia="Arial" w:hAnsi="Arial" w:cs="Arial"/>
          <w:i/>
          <w:iCs/>
        </w:rPr>
        <w:t xml:space="preserve"> </w:t>
      </w:r>
      <w:r>
        <w:rPr>
          <w:rFonts w:ascii="Arial" w:eastAsia="Arial" w:hAnsi="Arial" w:cs="Arial"/>
        </w:rPr>
        <w:t>liability or other matter relating to Taxes that is specifically addressed in any Distribution Document shall be allocated or governed as provided in such Distribu</w:t>
      </w:r>
      <w:r>
        <w:rPr>
          <w:rFonts w:ascii="Arial" w:eastAsia="Arial" w:hAnsi="Arial" w:cs="Arial"/>
        </w:rPr>
        <w:t>tion Document.</w:t>
      </w:r>
    </w:p>
    <w:p w14:paraId="59C79087" w14:textId="77777777" w:rsidR="00D1587D" w:rsidRDefault="00D1587D">
      <w:pPr>
        <w:spacing w:line="213" w:lineRule="exact"/>
        <w:rPr>
          <w:rFonts w:ascii="Arial" w:eastAsia="Arial" w:hAnsi="Arial" w:cs="Arial"/>
        </w:rPr>
      </w:pPr>
    </w:p>
    <w:p w14:paraId="58007358" w14:textId="77777777" w:rsidR="00D1587D" w:rsidRDefault="00410D07">
      <w:pPr>
        <w:numPr>
          <w:ilvl w:val="1"/>
          <w:numId w:val="108"/>
        </w:numPr>
        <w:tabs>
          <w:tab w:val="left" w:pos="2644"/>
        </w:tabs>
        <w:spacing w:line="250" w:lineRule="auto"/>
        <w:ind w:left="820" w:right="140" w:firstLine="970"/>
        <w:rPr>
          <w:rFonts w:ascii="Arial" w:eastAsia="Arial" w:hAnsi="Arial" w:cs="Arial"/>
        </w:rPr>
      </w:pPr>
      <w:r>
        <w:rPr>
          <w:rFonts w:ascii="Arial" w:eastAsia="Arial" w:hAnsi="Arial" w:cs="Arial"/>
          <w:i/>
          <w:iCs/>
        </w:rPr>
        <w:t>Cash Management Transfer Taxes</w:t>
      </w:r>
      <w:r>
        <w:rPr>
          <w:rFonts w:ascii="Arial" w:eastAsia="Arial" w:hAnsi="Arial" w:cs="Arial"/>
        </w:rPr>
        <w:t>. Notwithstanding anything in this Agreement to the contrary, L</w:t>
      </w:r>
      <w:r>
        <w:rPr>
          <w:rFonts w:ascii="Arial" w:eastAsia="Arial" w:hAnsi="Arial" w:cs="Arial"/>
          <w:i/>
          <w:iCs/>
        </w:rPr>
        <w:t xml:space="preserve"> </w:t>
      </w:r>
      <w:r>
        <w:rPr>
          <w:rFonts w:ascii="Arial" w:eastAsia="Arial" w:hAnsi="Arial" w:cs="Arial"/>
        </w:rPr>
        <w:t>Brands shall be allocated any and all Cash Management Transfer Taxes.</w:t>
      </w:r>
    </w:p>
    <w:p w14:paraId="2455CAD1" w14:textId="77777777" w:rsidR="00D1587D" w:rsidRDefault="00D1587D">
      <w:pPr>
        <w:spacing w:line="202" w:lineRule="exact"/>
        <w:rPr>
          <w:sz w:val="20"/>
          <w:szCs w:val="20"/>
        </w:rPr>
      </w:pPr>
    </w:p>
    <w:p w14:paraId="0A527139" w14:textId="77777777" w:rsidR="00D1587D" w:rsidRDefault="00410D07">
      <w:pPr>
        <w:tabs>
          <w:tab w:val="left" w:pos="2040"/>
        </w:tabs>
        <w:ind w:left="660"/>
        <w:rPr>
          <w:sz w:val="20"/>
          <w:szCs w:val="20"/>
        </w:rPr>
      </w:pPr>
      <w:r>
        <w:rPr>
          <w:rFonts w:ascii="Arial" w:eastAsia="Arial" w:hAnsi="Arial" w:cs="Arial"/>
        </w:rPr>
        <w:t>Section 4.</w:t>
      </w:r>
      <w:r>
        <w:rPr>
          <w:sz w:val="20"/>
          <w:szCs w:val="20"/>
        </w:rPr>
        <w:tab/>
      </w:r>
      <w:r>
        <w:rPr>
          <w:rFonts w:ascii="Arial" w:eastAsia="Arial" w:hAnsi="Arial" w:cs="Arial"/>
          <w:i/>
          <w:iCs/>
          <w:sz w:val="19"/>
          <w:szCs w:val="19"/>
        </w:rPr>
        <w:t>Preparation and Filing of Tax Returns</w:t>
      </w:r>
      <w:r>
        <w:rPr>
          <w:rFonts w:ascii="Arial" w:eastAsia="Arial" w:hAnsi="Arial" w:cs="Arial"/>
          <w:sz w:val="19"/>
          <w:szCs w:val="19"/>
        </w:rPr>
        <w:t>.</w:t>
      </w:r>
    </w:p>
    <w:p w14:paraId="17CE3B27" w14:textId="77777777" w:rsidR="00D1587D" w:rsidRDefault="00D1587D">
      <w:pPr>
        <w:spacing w:line="233" w:lineRule="exact"/>
        <w:rPr>
          <w:sz w:val="20"/>
          <w:szCs w:val="20"/>
        </w:rPr>
      </w:pPr>
    </w:p>
    <w:p w14:paraId="5DBFF76C" w14:textId="77777777" w:rsidR="00D1587D" w:rsidRDefault="00410D07">
      <w:pPr>
        <w:numPr>
          <w:ilvl w:val="0"/>
          <w:numId w:val="109"/>
        </w:numPr>
        <w:tabs>
          <w:tab w:val="left" w:pos="1622"/>
        </w:tabs>
        <w:spacing w:line="275" w:lineRule="auto"/>
        <w:ind w:firstLine="850"/>
        <w:rPr>
          <w:rFonts w:ascii="Arial" w:eastAsia="Arial" w:hAnsi="Arial" w:cs="Arial"/>
          <w:sz w:val="19"/>
          <w:szCs w:val="19"/>
        </w:rPr>
      </w:pPr>
      <w:r>
        <w:rPr>
          <w:rFonts w:ascii="Arial" w:eastAsia="Arial" w:hAnsi="Arial" w:cs="Arial"/>
          <w:i/>
          <w:iCs/>
          <w:sz w:val="19"/>
          <w:szCs w:val="19"/>
        </w:rPr>
        <w:t xml:space="preserve">L Brands </w:t>
      </w:r>
      <w:r>
        <w:rPr>
          <w:rFonts w:ascii="Arial" w:eastAsia="Arial" w:hAnsi="Arial" w:cs="Arial"/>
          <w:i/>
          <w:iCs/>
          <w:sz w:val="19"/>
          <w:szCs w:val="19"/>
        </w:rPr>
        <w:t>Prepared Tax Returns</w:t>
      </w:r>
      <w:r>
        <w:rPr>
          <w:rFonts w:ascii="Arial" w:eastAsia="Arial" w:hAnsi="Arial" w:cs="Arial"/>
          <w:sz w:val="19"/>
          <w:szCs w:val="19"/>
        </w:rPr>
        <w:t>. L Brands shall prepare and file, or cause to be prepared and filed, all (i) Joint</w:t>
      </w:r>
      <w:r>
        <w:rPr>
          <w:rFonts w:ascii="Arial" w:eastAsia="Arial" w:hAnsi="Arial" w:cs="Arial"/>
          <w:i/>
          <w:iCs/>
          <w:sz w:val="19"/>
          <w:szCs w:val="19"/>
        </w:rPr>
        <w:t xml:space="preserve"> </w:t>
      </w:r>
      <w:r>
        <w:rPr>
          <w:rFonts w:ascii="Arial" w:eastAsia="Arial" w:hAnsi="Arial" w:cs="Arial"/>
          <w:sz w:val="19"/>
          <w:szCs w:val="19"/>
        </w:rPr>
        <w:t xml:space="preserve">Tax Returns, (ii) L Brands Separate Tax Returns and (iii) Pre-2021 VS Separate Tax Returns; </w:t>
      </w:r>
      <w:r>
        <w:rPr>
          <w:rFonts w:ascii="Arial" w:eastAsia="Arial" w:hAnsi="Arial" w:cs="Arial"/>
          <w:i/>
          <w:iCs/>
          <w:sz w:val="19"/>
          <w:szCs w:val="19"/>
        </w:rPr>
        <w:t>provided</w:t>
      </w:r>
      <w:r>
        <w:rPr>
          <w:rFonts w:ascii="Arial" w:eastAsia="Arial" w:hAnsi="Arial" w:cs="Arial"/>
          <w:sz w:val="19"/>
          <w:szCs w:val="19"/>
        </w:rPr>
        <w:t>, that to the extent any such Tax Return includes an</w:t>
      </w:r>
      <w:r>
        <w:rPr>
          <w:rFonts w:ascii="Arial" w:eastAsia="Arial" w:hAnsi="Arial" w:cs="Arial"/>
          <w:sz w:val="19"/>
          <w:szCs w:val="19"/>
        </w:rPr>
        <w:t xml:space="preserve"> MFE APA Period, such Tax Return shall be prepared in a manner consistent with the MFE APA. To the extent any Joint Tax Return reflects operations of the VS Group for a Taxable period that includes the Distribution Date, L Brands shall include in such Join</w:t>
      </w:r>
      <w:r>
        <w:rPr>
          <w:rFonts w:ascii="Arial" w:eastAsia="Arial" w:hAnsi="Arial" w:cs="Arial"/>
          <w:sz w:val="19"/>
          <w:szCs w:val="19"/>
        </w:rPr>
        <w:t>t Tax Return the results of such member of the VS Group, as the case may be, on the basis of the Closing of the Books Method to the extent permitted by Applicable Tax Law. If a member of the VS Group is responsible for the filing of any such Tax Return und</w:t>
      </w:r>
      <w:r>
        <w:rPr>
          <w:rFonts w:ascii="Arial" w:eastAsia="Arial" w:hAnsi="Arial" w:cs="Arial"/>
          <w:sz w:val="19"/>
          <w:szCs w:val="19"/>
        </w:rPr>
        <w:t>er Applicable Tax Law, L Brands shall, subject to the procedures set forth in Sections 4(c), 4(d) and 4(e), deliver such prepared Tax Return to VS in advance of the applicable filing deadline.</w:t>
      </w:r>
    </w:p>
    <w:p w14:paraId="2883C32D" w14:textId="77777777" w:rsidR="00D1587D" w:rsidRDefault="00D1587D">
      <w:pPr>
        <w:spacing w:line="117" w:lineRule="exact"/>
        <w:rPr>
          <w:sz w:val="20"/>
          <w:szCs w:val="20"/>
        </w:rPr>
      </w:pPr>
    </w:p>
    <w:p w14:paraId="61E36020" w14:textId="77777777" w:rsidR="00D1587D" w:rsidRDefault="00410D07">
      <w:pPr>
        <w:jc w:val="center"/>
        <w:rPr>
          <w:sz w:val="20"/>
          <w:szCs w:val="20"/>
        </w:rPr>
      </w:pPr>
      <w:r>
        <w:rPr>
          <w:rFonts w:ascii="Arial" w:eastAsia="Arial" w:hAnsi="Arial" w:cs="Arial"/>
        </w:rPr>
        <w:t>9</w:t>
      </w:r>
    </w:p>
    <w:p w14:paraId="6AEB901A" w14:textId="77777777" w:rsidR="00D1587D" w:rsidRDefault="00410D07">
      <w:pPr>
        <w:spacing w:line="20" w:lineRule="exact"/>
        <w:rPr>
          <w:sz w:val="20"/>
          <w:szCs w:val="20"/>
        </w:rPr>
      </w:pPr>
      <w:r>
        <w:rPr>
          <w:noProof/>
          <w:sz w:val="20"/>
          <w:szCs w:val="20"/>
        </w:rPr>
        <w:drawing>
          <wp:anchor distT="0" distB="0" distL="114300" distR="114300" simplePos="0" relativeHeight="251302912" behindDoc="1" locked="0" layoutInCell="0" allowOverlap="1" wp14:anchorId="3E1970BB" wp14:editId="710697CA">
            <wp:simplePos x="0" y="0"/>
            <wp:positionH relativeFrom="column">
              <wp:posOffset>5080</wp:posOffset>
            </wp:positionH>
            <wp:positionV relativeFrom="paragraph">
              <wp:posOffset>41275</wp:posOffset>
            </wp:positionV>
            <wp:extent cx="7132320" cy="1714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A042589" w14:textId="77777777" w:rsidR="00D1587D" w:rsidRDefault="00D1587D">
      <w:pPr>
        <w:sectPr w:rsidR="00D1587D">
          <w:pgSz w:w="11900" w:h="16838"/>
          <w:pgMar w:top="361" w:right="339" w:bottom="1440" w:left="320" w:header="0" w:footer="0" w:gutter="0"/>
          <w:cols w:space="720" w:equalWidth="0">
            <w:col w:w="11240"/>
          </w:cols>
        </w:sectPr>
      </w:pPr>
    </w:p>
    <w:p w14:paraId="3C20EEC8" w14:textId="77777777" w:rsidR="00D1587D" w:rsidRDefault="00410D07">
      <w:pPr>
        <w:numPr>
          <w:ilvl w:val="0"/>
          <w:numId w:val="110"/>
        </w:numPr>
        <w:tabs>
          <w:tab w:val="left" w:pos="1614"/>
        </w:tabs>
        <w:spacing w:line="250" w:lineRule="auto"/>
        <w:ind w:left="-20" w:right="500" w:firstLine="850"/>
        <w:rPr>
          <w:rFonts w:ascii="Arial" w:eastAsia="Arial" w:hAnsi="Arial" w:cs="Arial"/>
        </w:rPr>
      </w:pPr>
      <w:bookmarkStart w:id="148" w:name="page149"/>
      <w:bookmarkEnd w:id="148"/>
      <w:r>
        <w:rPr>
          <w:rFonts w:ascii="Arial" w:eastAsia="Arial" w:hAnsi="Arial" w:cs="Arial"/>
          <w:i/>
          <w:iCs/>
        </w:rPr>
        <w:t>VS Prepared Tax Returns</w:t>
      </w:r>
      <w:r>
        <w:rPr>
          <w:rFonts w:ascii="Arial" w:eastAsia="Arial" w:hAnsi="Arial" w:cs="Arial"/>
        </w:rPr>
        <w:t xml:space="preserve">. VS shall </w:t>
      </w:r>
      <w:r>
        <w:rPr>
          <w:rFonts w:ascii="Arial" w:eastAsia="Arial" w:hAnsi="Arial" w:cs="Arial"/>
        </w:rPr>
        <w:t>prepare and file (or cause to be prepared and filed) any VS Post-2020</w:t>
      </w:r>
      <w:r>
        <w:rPr>
          <w:rFonts w:ascii="Arial" w:eastAsia="Arial" w:hAnsi="Arial" w:cs="Arial"/>
          <w:i/>
          <w:iCs/>
        </w:rPr>
        <w:t xml:space="preserve"> </w:t>
      </w:r>
      <w:r>
        <w:rPr>
          <w:rFonts w:ascii="Arial" w:eastAsia="Arial" w:hAnsi="Arial" w:cs="Arial"/>
        </w:rPr>
        <w:t>Separate Income Tax Return and any VS Post-2020 Separate Non-Income Tax Return.</w:t>
      </w:r>
    </w:p>
    <w:p w14:paraId="56754BB7" w14:textId="77777777" w:rsidR="00D1587D" w:rsidRDefault="00D1587D">
      <w:pPr>
        <w:spacing w:line="201" w:lineRule="exact"/>
        <w:rPr>
          <w:rFonts w:ascii="Arial" w:eastAsia="Arial" w:hAnsi="Arial" w:cs="Arial"/>
        </w:rPr>
      </w:pPr>
    </w:p>
    <w:p w14:paraId="6CE69C3F" w14:textId="77777777" w:rsidR="00D1587D" w:rsidRDefault="00410D07">
      <w:pPr>
        <w:numPr>
          <w:ilvl w:val="0"/>
          <w:numId w:val="110"/>
        </w:numPr>
        <w:tabs>
          <w:tab w:val="left" w:pos="1602"/>
        </w:tabs>
        <w:spacing w:line="274" w:lineRule="auto"/>
        <w:ind w:left="-20" w:right="200" w:firstLine="850"/>
        <w:rPr>
          <w:rFonts w:ascii="Arial" w:eastAsia="Arial" w:hAnsi="Arial" w:cs="Arial"/>
          <w:sz w:val="21"/>
          <w:szCs w:val="21"/>
        </w:rPr>
      </w:pPr>
      <w:r>
        <w:rPr>
          <w:rFonts w:ascii="Arial" w:eastAsia="Arial" w:hAnsi="Arial" w:cs="Arial"/>
          <w:i/>
          <w:iCs/>
          <w:sz w:val="21"/>
          <w:szCs w:val="21"/>
        </w:rPr>
        <w:t>Determination of Responsible Party</w:t>
      </w:r>
      <w:r>
        <w:rPr>
          <w:rFonts w:ascii="Arial" w:eastAsia="Arial" w:hAnsi="Arial" w:cs="Arial"/>
          <w:sz w:val="21"/>
          <w:szCs w:val="21"/>
        </w:rPr>
        <w:t>. L Brands, in consultation with VS, shall determine which Party or the</w:t>
      </w:r>
      <w:r>
        <w:rPr>
          <w:rFonts w:ascii="Arial" w:eastAsia="Arial" w:hAnsi="Arial" w:cs="Arial"/>
          <w:sz w:val="21"/>
          <w:szCs w:val="21"/>
        </w:rPr>
        <w:t>ir</w:t>
      </w:r>
      <w:r>
        <w:rPr>
          <w:rFonts w:ascii="Arial" w:eastAsia="Arial" w:hAnsi="Arial" w:cs="Arial"/>
          <w:i/>
          <w:iCs/>
          <w:sz w:val="21"/>
          <w:szCs w:val="21"/>
        </w:rPr>
        <w:t xml:space="preserve"> </w:t>
      </w:r>
      <w:r>
        <w:rPr>
          <w:rFonts w:ascii="Arial" w:eastAsia="Arial" w:hAnsi="Arial" w:cs="Arial"/>
          <w:sz w:val="21"/>
          <w:szCs w:val="21"/>
        </w:rPr>
        <w:t>respective Affiliates is required to file any Joint Tax Return or Separate Tax Return under Applicable Tax Law.</w:t>
      </w:r>
    </w:p>
    <w:p w14:paraId="660504E3" w14:textId="77777777" w:rsidR="00D1587D" w:rsidRDefault="00D1587D">
      <w:pPr>
        <w:spacing w:line="177" w:lineRule="exact"/>
        <w:rPr>
          <w:rFonts w:ascii="Arial" w:eastAsia="Arial" w:hAnsi="Arial" w:cs="Arial"/>
          <w:sz w:val="21"/>
          <w:szCs w:val="21"/>
        </w:rPr>
      </w:pPr>
    </w:p>
    <w:p w14:paraId="699956CC" w14:textId="77777777" w:rsidR="00D1587D" w:rsidRDefault="00410D07">
      <w:pPr>
        <w:numPr>
          <w:ilvl w:val="0"/>
          <w:numId w:val="110"/>
        </w:numPr>
        <w:tabs>
          <w:tab w:val="left" w:pos="1614"/>
        </w:tabs>
        <w:spacing w:line="282" w:lineRule="auto"/>
        <w:ind w:left="-20" w:right="60" w:firstLine="850"/>
        <w:rPr>
          <w:rFonts w:ascii="Arial" w:eastAsia="Arial" w:hAnsi="Arial" w:cs="Arial"/>
          <w:sz w:val="19"/>
          <w:szCs w:val="19"/>
        </w:rPr>
      </w:pPr>
      <w:r>
        <w:rPr>
          <w:rFonts w:ascii="Arial" w:eastAsia="Arial" w:hAnsi="Arial" w:cs="Arial"/>
          <w:i/>
          <w:iCs/>
          <w:sz w:val="19"/>
          <w:szCs w:val="19"/>
        </w:rPr>
        <w:t xml:space="preserve">Provision of Information; Timing. </w:t>
      </w:r>
      <w:r>
        <w:rPr>
          <w:rFonts w:ascii="Arial" w:eastAsia="Arial" w:hAnsi="Arial" w:cs="Arial"/>
          <w:sz w:val="19"/>
          <w:szCs w:val="19"/>
        </w:rPr>
        <w:t>VS shall maintain all necessary information for L Brands (or any of its</w:t>
      </w:r>
      <w:r>
        <w:rPr>
          <w:rFonts w:ascii="Arial" w:eastAsia="Arial" w:hAnsi="Arial" w:cs="Arial"/>
          <w:i/>
          <w:iCs/>
          <w:sz w:val="19"/>
          <w:szCs w:val="19"/>
        </w:rPr>
        <w:t xml:space="preserve"> </w:t>
      </w:r>
      <w:r>
        <w:rPr>
          <w:rFonts w:ascii="Arial" w:eastAsia="Arial" w:hAnsi="Arial" w:cs="Arial"/>
          <w:sz w:val="19"/>
          <w:szCs w:val="19"/>
        </w:rPr>
        <w:t xml:space="preserve">Affiliates) to file any Tax Return that L Brands is required or permitted to file under this </w:t>
      </w:r>
      <w:r>
        <w:rPr>
          <w:rFonts w:ascii="Arial" w:eastAsia="Arial" w:hAnsi="Arial" w:cs="Arial"/>
          <w:sz w:val="19"/>
          <w:szCs w:val="19"/>
          <w:u w:val="single"/>
        </w:rPr>
        <w:t>Section 4</w:t>
      </w:r>
      <w:r>
        <w:rPr>
          <w:rFonts w:ascii="Arial" w:eastAsia="Arial" w:hAnsi="Arial" w:cs="Arial"/>
          <w:sz w:val="19"/>
          <w:szCs w:val="19"/>
        </w:rPr>
        <w:t>, and shall provide to L Brands all such necessary information in accordance with the L Brands Group’s past practice. L Brands shall maintain all necessar</w:t>
      </w:r>
      <w:r>
        <w:rPr>
          <w:rFonts w:ascii="Arial" w:eastAsia="Arial" w:hAnsi="Arial" w:cs="Arial"/>
          <w:sz w:val="19"/>
          <w:szCs w:val="19"/>
        </w:rPr>
        <w:t xml:space="preserve">y information for VS (or any of its Affiliates) to file any Tax Return that VS is required or permitted to file under this </w:t>
      </w:r>
      <w:r>
        <w:rPr>
          <w:rFonts w:ascii="Arial" w:eastAsia="Arial" w:hAnsi="Arial" w:cs="Arial"/>
          <w:sz w:val="19"/>
          <w:szCs w:val="19"/>
          <w:u w:val="single"/>
        </w:rPr>
        <w:t>Section 4</w:t>
      </w:r>
      <w:r>
        <w:rPr>
          <w:rFonts w:ascii="Arial" w:eastAsia="Arial" w:hAnsi="Arial" w:cs="Arial"/>
          <w:sz w:val="19"/>
          <w:szCs w:val="19"/>
        </w:rPr>
        <w:t>, and shall provide VS with all such necessary information in accordance with the L Brands Group’s past practice.</w:t>
      </w:r>
    </w:p>
    <w:p w14:paraId="3AA3C440" w14:textId="77777777" w:rsidR="00D1587D" w:rsidRDefault="00D1587D">
      <w:pPr>
        <w:spacing w:line="174" w:lineRule="exact"/>
        <w:rPr>
          <w:rFonts w:ascii="Arial" w:eastAsia="Arial" w:hAnsi="Arial" w:cs="Arial"/>
          <w:sz w:val="19"/>
          <w:szCs w:val="19"/>
        </w:rPr>
      </w:pPr>
    </w:p>
    <w:p w14:paraId="37AC938E" w14:textId="77777777" w:rsidR="00D1587D" w:rsidRDefault="00410D07">
      <w:pPr>
        <w:numPr>
          <w:ilvl w:val="0"/>
          <w:numId w:val="110"/>
        </w:numPr>
        <w:tabs>
          <w:tab w:val="left" w:pos="1600"/>
        </w:tabs>
        <w:ind w:left="1600" w:hanging="770"/>
        <w:rPr>
          <w:rFonts w:ascii="Arial" w:eastAsia="Arial" w:hAnsi="Arial" w:cs="Arial"/>
        </w:rPr>
      </w:pPr>
      <w:r>
        <w:rPr>
          <w:rFonts w:ascii="Arial" w:eastAsia="Arial" w:hAnsi="Arial" w:cs="Arial"/>
          <w:i/>
          <w:iCs/>
        </w:rPr>
        <w:t>Right to Review</w:t>
      </w:r>
      <w:r>
        <w:rPr>
          <w:rFonts w:ascii="Arial" w:eastAsia="Arial" w:hAnsi="Arial" w:cs="Arial"/>
        </w:rPr>
        <w:t>.</w:t>
      </w:r>
    </w:p>
    <w:p w14:paraId="72A59349" w14:textId="77777777" w:rsidR="00D1587D" w:rsidRDefault="00D1587D">
      <w:pPr>
        <w:spacing w:line="233" w:lineRule="exact"/>
        <w:rPr>
          <w:rFonts w:ascii="Arial" w:eastAsia="Arial" w:hAnsi="Arial" w:cs="Arial"/>
        </w:rPr>
      </w:pPr>
    </w:p>
    <w:p w14:paraId="55105C84" w14:textId="77777777" w:rsidR="00D1587D" w:rsidRDefault="00410D07">
      <w:pPr>
        <w:numPr>
          <w:ilvl w:val="1"/>
          <w:numId w:val="110"/>
        </w:numPr>
        <w:tabs>
          <w:tab w:val="left" w:pos="2512"/>
        </w:tabs>
        <w:spacing w:line="271" w:lineRule="auto"/>
        <w:ind w:left="800" w:firstLine="970"/>
        <w:rPr>
          <w:rFonts w:ascii="Arial" w:eastAsia="Arial" w:hAnsi="Arial" w:cs="Arial"/>
          <w:sz w:val="19"/>
          <w:szCs w:val="19"/>
        </w:rPr>
      </w:pPr>
      <w:r>
        <w:rPr>
          <w:rFonts w:ascii="Arial" w:eastAsia="Arial" w:hAnsi="Arial" w:cs="Arial"/>
          <w:sz w:val="19"/>
          <w:szCs w:val="19"/>
        </w:rPr>
        <w:t xml:space="preserve">The Party responsible for preparing (or causing to be prepared) any Tax Return under this </w:t>
      </w:r>
      <w:r>
        <w:rPr>
          <w:rFonts w:ascii="Arial" w:eastAsia="Arial" w:hAnsi="Arial" w:cs="Arial"/>
          <w:sz w:val="19"/>
          <w:szCs w:val="19"/>
          <w:u w:val="single"/>
        </w:rPr>
        <w:t>Section 4</w:t>
      </w:r>
      <w:r>
        <w:rPr>
          <w:rFonts w:ascii="Arial" w:eastAsia="Arial" w:hAnsi="Arial" w:cs="Arial"/>
          <w:sz w:val="19"/>
          <w:szCs w:val="19"/>
        </w:rPr>
        <w:t xml:space="preserve"> shall make such Tax Return and related workpapers available for review by the other Party, if requested, to the extent (i) such Tax Return</w:t>
      </w:r>
      <w:r>
        <w:rPr>
          <w:rFonts w:ascii="Arial" w:eastAsia="Arial" w:hAnsi="Arial" w:cs="Arial"/>
          <w:sz w:val="19"/>
          <w:szCs w:val="19"/>
        </w:rPr>
        <w:t xml:space="preserve"> relates to Taxes for which the requesting Party would be liable under </w:t>
      </w:r>
      <w:r>
        <w:rPr>
          <w:rFonts w:ascii="Arial" w:eastAsia="Arial" w:hAnsi="Arial" w:cs="Arial"/>
          <w:sz w:val="19"/>
          <w:szCs w:val="19"/>
          <w:u w:val="single"/>
        </w:rPr>
        <w:t>Section 3</w:t>
      </w:r>
      <w:r>
        <w:rPr>
          <w:rFonts w:ascii="Arial" w:eastAsia="Arial" w:hAnsi="Arial" w:cs="Arial"/>
          <w:sz w:val="19"/>
          <w:szCs w:val="19"/>
        </w:rPr>
        <w:t>, (ii) such Tax Return relates to such Taxes described in clause (i) and the requesting Party would reasonably be expected to be liable in whole or in part for any additional T</w:t>
      </w:r>
      <w:r>
        <w:rPr>
          <w:rFonts w:ascii="Arial" w:eastAsia="Arial" w:hAnsi="Arial" w:cs="Arial"/>
          <w:sz w:val="19"/>
          <w:szCs w:val="19"/>
        </w:rPr>
        <w:t>axes owing as a result of adjustments to the amount of such Taxes reported on such Tax Return or (iii) such Tax Return relates to Taxes for which the requesting Party would reasonably be expected to have a claim for Tax Benefits under this Agreement. The P</w:t>
      </w:r>
      <w:r>
        <w:rPr>
          <w:rFonts w:ascii="Arial" w:eastAsia="Arial" w:hAnsi="Arial" w:cs="Arial"/>
          <w:sz w:val="19"/>
          <w:szCs w:val="19"/>
        </w:rPr>
        <w:t>arty responsible for preparing (or causing to be prepared) the relevant Tax Return shall (x) use its reasonable best efforts to make such portion of such Tax Return available for review as required under this paragraph sufficiently in advance of the due da</w:t>
      </w:r>
      <w:r>
        <w:rPr>
          <w:rFonts w:ascii="Arial" w:eastAsia="Arial" w:hAnsi="Arial" w:cs="Arial"/>
          <w:sz w:val="19"/>
          <w:szCs w:val="19"/>
        </w:rPr>
        <w:t xml:space="preserve">te for the filing of such Tax Return to provide the requesting Party with a meaningful opportunity to analyze and comment on such Tax Return and (y) use reasonable best efforts to have such Tax Return modified before filing, taking into account the Person </w:t>
      </w:r>
      <w:r>
        <w:rPr>
          <w:rFonts w:ascii="Arial" w:eastAsia="Arial" w:hAnsi="Arial" w:cs="Arial"/>
          <w:sz w:val="19"/>
          <w:szCs w:val="19"/>
        </w:rPr>
        <w:t>responsible for payment of the Tax (if any) reported on such Tax Return and whether the amount of Tax liability allocable to the requesting Party with respect to such Tax Return is material. The Parties shall attempt in good faith to resolve any issues ari</w:t>
      </w:r>
      <w:r>
        <w:rPr>
          <w:rFonts w:ascii="Arial" w:eastAsia="Arial" w:hAnsi="Arial" w:cs="Arial"/>
          <w:sz w:val="19"/>
          <w:szCs w:val="19"/>
        </w:rPr>
        <w:t>sing out of the review of such Tax Return.</w:t>
      </w:r>
    </w:p>
    <w:p w14:paraId="6FBA1DAD" w14:textId="77777777" w:rsidR="00D1587D" w:rsidRDefault="00D1587D">
      <w:pPr>
        <w:spacing w:line="200" w:lineRule="exact"/>
        <w:rPr>
          <w:rFonts w:ascii="Arial" w:eastAsia="Arial" w:hAnsi="Arial" w:cs="Arial"/>
          <w:sz w:val="19"/>
          <w:szCs w:val="19"/>
        </w:rPr>
      </w:pPr>
    </w:p>
    <w:p w14:paraId="52115B00" w14:textId="77777777" w:rsidR="00D1587D" w:rsidRDefault="00D1587D">
      <w:pPr>
        <w:spacing w:line="237" w:lineRule="exact"/>
        <w:rPr>
          <w:rFonts w:ascii="Arial" w:eastAsia="Arial" w:hAnsi="Arial" w:cs="Arial"/>
          <w:sz w:val="19"/>
          <w:szCs w:val="19"/>
        </w:rPr>
      </w:pPr>
    </w:p>
    <w:p w14:paraId="7EDCF13A" w14:textId="77777777" w:rsidR="00D1587D" w:rsidRDefault="00410D07">
      <w:pPr>
        <w:numPr>
          <w:ilvl w:val="1"/>
          <w:numId w:val="110"/>
        </w:numPr>
        <w:tabs>
          <w:tab w:val="left" w:pos="2576"/>
        </w:tabs>
        <w:spacing w:line="277" w:lineRule="auto"/>
        <w:ind w:left="800" w:firstLine="970"/>
        <w:rPr>
          <w:rFonts w:ascii="Arial" w:eastAsia="Arial" w:hAnsi="Arial" w:cs="Arial"/>
          <w:sz w:val="19"/>
          <w:szCs w:val="19"/>
        </w:rPr>
      </w:pPr>
      <w:r>
        <w:rPr>
          <w:rFonts w:ascii="Arial" w:eastAsia="Arial" w:hAnsi="Arial" w:cs="Arial"/>
          <w:sz w:val="19"/>
          <w:szCs w:val="19"/>
        </w:rPr>
        <w:t>Notwithstanding the foregoing, other than a VS Separate Non-Income Tax Return that relates solely to a Post-Distribution Period, VS shall submit a draft of any VS Separate Non-Income Tax Return that it is requir</w:t>
      </w:r>
      <w:r>
        <w:rPr>
          <w:rFonts w:ascii="Arial" w:eastAsia="Arial" w:hAnsi="Arial" w:cs="Arial"/>
          <w:sz w:val="19"/>
          <w:szCs w:val="19"/>
        </w:rPr>
        <w:t xml:space="preserve">ed to prepare and that is required to be filed after the Distribution Date to L Brands. With respect to such VS Separate Non-Income Tax Return, VS (A) shall make such Tax Return available for review as required under this paragraph sufficiently in advance </w:t>
      </w:r>
      <w:r>
        <w:rPr>
          <w:rFonts w:ascii="Arial" w:eastAsia="Arial" w:hAnsi="Arial" w:cs="Arial"/>
          <w:sz w:val="19"/>
          <w:szCs w:val="19"/>
        </w:rPr>
        <w:t>of the due date for the filing of such Tax Return to provide L Brands with a meaningful opportunity to analyze and comment on such Tax Return, and (B) shall not file or cause to be filed any such Tax Return without the consent of L Brands, which consent sh</w:t>
      </w:r>
      <w:r>
        <w:rPr>
          <w:rFonts w:ascii="Arial" w:eastAsia="Arial" w:hAnsi="Arial" w:cs="Arial"/>
          <w:sz w:val="19"/>
          <w:szCs w:val="19"/>
        </w:rPr>
        <w:t>all not be unreasonably withheld or delayed.</w:t>
      </w:r>
    </w:p>
    <w:p w14:paraId="7D1F434A" w14:textId="77777777" w:rsidR="00D1587D" w:rsidRDefault="00D1587D">
      <w:pPr>
        <w:spacing w:line="111" w:lineRule="exact"/>
        <w:rPr>
          <w:sz w:val="20"/>
          <w:szCs w:val="20"/>
        </w:rPr>
      </w:pPr>
    </w:p>
    <w:p w14:paraId="33656C96" w14:textId="77777777" w:rsidR="00D1587D" w:rsidRDefault="00410D07">
      <w:pPr>
        <w:jc w:val="center"/>
        <w:rPr>
          <w:sz w:val="20"/>
          <w:szCs w:val="20"/>
        </w:rPr>
      </w:pPr>
      <w:r>
        <w:rPr>
          <w:rFonts w:ascii="Arial" w:eastAsia="Arial" w:hAnsi="Arial" w:cs="Arial"/>
        </w:rPr>
        <w:t>10</w:t>
      </w:r>
    </w:p>
    <w:p w14:paraId="55039653" w14:textId="77777777" w:rsidR="00D1587D" w:rsidRDefault="00410D07">
      <w:pPr>
        <w:spacing w:line="20" w:lineRule="exact"/>
        <w:rPr>
          <w:sz w:val="20"/>
          <w:szCs w:val="20"/>
        </w:rPr>
      </w:pPr>
      <w:r>
        <w:rPr>
          <w:noProof/>
          <w:sz w:val="20"/>
          <w:szCs w:val="20"/>
        </w:rPr>
        <w:drawing>
          <wp:anchor distT="0" distB="0" distL="114300" distR="114300" simplePos="0" relativeHeight="251303936" behindDoc="1" locked="0" layoutInCell="0" allowOverlap="1" wp14:anchorId="24FA02C4" wp14:editId="2648DFB6">
            <wp:simplePos x="0" y="0"/>
            <wp:positionH relativeFrom="column">
              <wp:posOffset>-6985</wp:posOffset>
            </wp:positionH>
            <wp:positionV relativeFrom="paragraph">
              <wp:posOffset>41275</wp:posOffset>
            </wp:positionV>
            <wp:extent cx="7132320" cy="1714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5AAD435" w14:textId="77777777" w:rsidR="00D1587D" w:rsidRDefault="00D1587D">
      <w:pPr>
        <w:sectPr w:rsidR="00D1587D">
          <w:pgSz w:w="11900" w:h="16838"/>
          <w:pgMar w:top="361" w:right="359" w:bottom="1440" w:left="340" w:header="0" w:footer="0" w:gutter="0"/>
          <w:cols w:space="720" w:equalWidth="0">
            <w:col w:w="11200"/>
          </w:cols>
        </w:sectPr>
      </w:pPr>
    </w:p>
    <w:p w14:paraId="059BB7DE" w14:textId="77777777" w:rsidR="00D1587D" w:rsidRDefault="00410D07">
      <w:pPr>
        <w:numPr>
          <w:ilvl w:val="0"/>
          <w:numId w:val="111"/>
        </w:numPr>
        <w:tabs>
          <w:tab w:val="left" w:pos="1560"/>
        </w:tabs>
        <w:ind w:left="1560" w:hanging="750"/>
        <w:rPr>
          <w:rFonts w:ascii="Arial" w:eastAsia="Arial" w:hAnsi="Arial" w:cs="Arial"/>
        </w:rPr>
      </w:pPr>
      <w:bookmarkStart w:id="149" w:name="page150"/>
      <w:bookmarkEnd w:id="149"/>
      <w:r>
        <w:rPr>
          <w:rFonts w:ascii="Arial" w:eastAsia="Arial" w:hAnsi="Arial" w:cs="Arial"/>
          <w:i/>
          <w:iCs/>
        </w:rPr>
        <w:t>Special Rules Relating to the Preparation of Tax Returns</w:t>
      </w:r>
      <w:r>
        <w:rPr>
          <w:rFonts w:ascii="Arial" w:eastAsia="Arial" w:hAnsi="Arial" w:cs="Arial"/>
        </w:rPr>
        <w:t>.</w:t>
      </w:r>
    </w:p>
    <w:p w14:paraId="41E9857B" w14:textId="77777777" w:rsidR="00D1587D" w:rsidRDefault="00D1587D">
      <w:pPr>
        <w:spacing w:line="233" w:lineRule="exact"/>
        <w:rPr>
          <w:rFonts w:ascii="Arial" w:eastAsia="Arial" w:hAnsi="Arial" w:cs="Arial"/>
        </w:rPr>
      </w:pPr>
    </w:p>
    <w:p w14:paraId="36B2A49D" w14:textId="77777777" w:rsidR="00D1587D" w:rsidRDefault="00410D07">
      <w:pPr>
        <w:numPr>
          <w:ilvl w:val="1"/>
          <w:numId w:val="111"/>
        </w:numPr>
        <w:tabs>
          <w:tab w:val="left" w:pos="2496"/>
        </w:tabs>
        <w:spacing w:line="279" w:lineRule="auto"/>
        <w:ind w:left="780" w:right="60" w:firstLine="970"/>
        <w:rPr>
          <w:rFonts w:ascii="Arial" w:eastAsia="Arial" w:hAnsi="Arial" w:cs="Arial"/>
          <w:sz w:val="19"/>
          <w:szCs w:val="19"/>
        </w:rPr>
      </w:pPr>
      <w:r>
        <w:rPr>
          <w:rFonts w:ascii="Arial" w:eastAsia="Arial" w:hAnsi="Arial" w:cs="Arial"/>
          <w:i/>
          <w:iCs/>
          <w:sz w:val="19"/>
          <w:szCs w:val="19"/>
        </w:rPr>
        <w:t>General Rule</w:t>
      </w:r>
      <w:r>
        <w:rPr>
          <w:rFonts w:ascii="Arial" w:eastAsia="Arial" w:hAnsi="Arial" w:cs="Arial"/>
          <w:sz w:val="19"/>
          <w:szCs w:val="19"/>
        </w:rPr>
        <w:t>. Except as provided in this</w:t>
      </w:r>
      <w:r>
        <w:rPr>
          <w:rFonts w:ascii="Arial" w:eastAsia="Arial" w:hAnsi="Arial" w:cs="Arial"/>
          <w:i/>
          <w:iCs/>
          <w:sz w:val="19"/>
          <w:szCs w:val="19"/>
        </w:rPr>
        <w:t xml:space="preserve"> </w:t>
      </w:r>
      <w:r>
        <w:rPr>
          <w:rFonts w:ascii="Arial" w:eastAsia="Arial" w:hAnsi="Arial" w:cs="Arial"/>
          <w:sz w:val="19"/>
          <w:szCs w:val="19"/>
          <w:u w:val="single"/>
        </w:rPr>
        <w:t>Section 4(f)(i)</w:t>
      </w:r>
      <w:r>
        <w:rPr>
          <w:rFonts w:ascii="Arial" w:eastAsia="Arial" w:hAnsi="Arial" w:cs="Arial"/>
          <w:sz w:val="19"/>
          <w:szCs w:val="19"/>
        </w:rPr>
        <w:t>, VS shall prepare (or cause to be prepared)</w:t>
      </w:r>
      <w:r>
        <w:rPr>
          <w:rFonts w:ascii="Arial" w:eastAsia="Arial" w:hAnsi="Arial" w:cs="Arial"/>
          <w:i/>
          <w:iCs/>
          <w:sz w:val="19"/>
          <w:szCs w:val="19"/>
        </w:rPr>
        <w:t xml:space="preserve"> </w:t>
      </w:r>
      <w:r>
        <w:rPr>
          <w:rFonts w:ascii="Arial" w:eastAsia="Arial" w:hAnsi="Arial" w:cs="Arial"/>
          <w:sz w:val="19"/>
          <w:szCs w:val="19"/>
        </w:rPr>
        <w:t xml:space="preserve">any Tax Return, with respect to Taxable periods (or portions thereof) ending prior to or on the Distribution Date, for which it is responsible under this </w:t>
      </w:r>
      <w:r>
        <w:rPr>
          <w:rFonts w:ascii="Arial" w:eastAsia="Arial" w:hAnsi="Arial" w:cs="Arial"/>
          <w:sz w:val="19"/>
          <w:szCs w:val="19"/>
          <w:u w:val="single"/>
        </w:rPr>
        <w:t>Section 4</w:t>
      </w:r>
      <w:r>
        <w:rPr>
          <w:rFonts w:ascii="Arial" w:eastAsia="Arial" w:hAnsi="Arial" w:cs="Arial"/>
          <w:sz w:val="19"/>
          <w:szCs w:val="19"/>
        </w:rPr>
        <w:t xml:space="preserve"> in accordance with past practices, accounting methods, elections or conventions (“</w:t>
      </w:r>
      <w:r>
        <w:rPr>
          <w:rFonts w:ascii="Arial" w:eastAsia="Arial" w:hAnsi="Arial" w:cs="Arial"/>
          <w:b/>
          <w:bCs/>
          <w:sz w:val="19"/>
          <w:szCs w:val="19"/>
        </w:rPr>
        <w:t>Past Pract</w:t>
      </w:r>
      <w:r>
        <w:rPr>
          <w:rFonts w:ascii="Arial" w:eastAsia="Arial" w:hAnsi="Arial" w:cs="Arial"/>
          <w:b/>
          <w:bCs/>
          <w:sz w:val="19"/>
          <w:szCs w:val="19"/>
        </w:rPr>
        <w:t>ices</w:t>
      </w:r>
      <w:r>
        <w:rPr>
          <w:rFonts w:ascii="Arial" w:eastAsia="Arial" w:hAnsi="Arial" w:cs="Arial"/>
          <w:sz w:val="19"/>
          <w:szCs w:val="19"/>
        </w:rPr>
        <w:t>”) used by the members of the L Brands Group prior to the Distribution Date with respect to such Tax Return to the extent permitted by Applicable Law, and to the extent any items, methods or positions are not covered by Past Practices, as directed by L</w:t>
      </w:r>
      <w:r>
        <w:rPr>
          <w:rFonts w:ascii="Arial" w:eastAsia="Arial" w:hAnsi="Arial" w:cs="Arial"/>
          <w:sz w:val="19"/>
          <w:szCs w:val="19"/>
        </w:rPr>
        <w:t xml:space="preserve"> Brands in its sole discretion to the extent permitted by Applicable Law.</w:t>
      </w:r>
    </w:p>
    <w:p w14:paraId="7E61E835" w14:textId="77777777" w:rsidR="00D1587D" w:rsidRDefault="00D1587D">
      <w:pPr>
        <w:spacing w:line="177" w:lineRule="exact"/>
        <w:rPr>
          <w:rFonts w:ascii="Arial" w:eastAsia="Arial" w:hAnsi="Arial" w:cs="Arial"/>
          <w:sz w:val="19"/>
          <w:szCs w:val="19"/>
        </w:rPr>
      </w:pPr>
    </w:p>
    <w:p w14:paraId="0D163CE8" w14:textId="77777777" w:rsidR="00D1587D" w:rsidRDefault="00410D07">
      <w:pPr>
        <w:numPr>
          <w:ilvl w:val="1"/>
          <w:numId w:val="111"/>
        </w:numPr>
        <w:tabs>
          <w:tab w:val="left" w:pos="2556"/>
        </w:tabs>
        <w:ind w:left="780" w:right="280" w:firstLine="970"/>
        <w:rPr>
          <w:rFonts w:ascii="Arial" w:eastAsia="Arial" w:hAnsi="Arial" w:cs="Arial"/>
        </w:rPr>
      </w:pPr>
      <w:r>
        <w:rPr>
          <w:rFonts w:ascii="Arial" w:eastAsia="Arial" w:hAnsi="Arial" w:cs="Arial"/>
          <w:i/>
          <w:iCs/>
        </w:rPr>
        <w:t>Consistency with Intended Tax Treatment</w:t>
      </w:r>
      <w:r>
        <w:rPr>
          <w:rFonts w:ascii="Arial" w:eastAsia="Arial" w:hAnsi="Arial" w:cs="Arial"/>
        </w:rPr>
        <w:t>. All Tax Returns that include any member of the L</w:t>
      </w:r>
      <w:r>
        <w:rPr>
          <w:rFonts w:ascii="Arial" w:eastAsia="Arial" w:hAnsi="Arial" w:cs="Arial"/>
          <w:i/>
          <w:iCs/>
        </w:rPr>
        <w:t xml:space="preserve"> </w:t>
      </w:r>
      <w:r>
        <w:rPr>
          <w:rFonts w:ascii="Arial" w:eastAsia="Arial" w:hAnsi="Arial" w:cs="Arial"/>
        </w:rPr>
        <w:t xml:space="preserve">Brands Group or any member of the VS Group shall be prepared in a manner that is </w:t>
      </w:r>
      <w:r>
        <w:rPr>
          <w:rFonts w:ascii="Arial" w:eastAsia="Arial" w:hAnsi="Arial" w:cs="Arial"/>
        </w:rPr>
        <w:t>consistent with the Intended Tax Treatment.</w:t>
      </w:r>
    </w:p>
    <w:p w14:paraId="292B494E" w14:textId="77777777" w:rsidR="00D1587D" w:rsidRDefault="00D1587D">
      <w:pPr>
        <w:spacing w:line="213" w:lineRule="exact"/>
        <w:rPr>
          <w:rFonts w:ascii="Arial" w:eastAsia="Arial" w:hAnsi="Arial" w:cs="Arial"/>
        </w:rPr>
      </w:pPr>
    </w:p>
    <w:p w14:paraId="7CA7F193" w14:textId="77777777" w:rsidR="00D1587D" w:rsidRDefault="00410D07">
      <w:pPr>
        <w:numPr>
          <w:ilvl w:val="1"/>
          <w:numId w:val="111"/>
        </w:numPr>
        <w:tabs>
          <w:tab w:val="left" w:pos="2616"/>
        </w:tabs>
        <w:spacing w:line="287" w:lineRule="auto"/>
        <w:ind w:left="780" w:right="180" w:firstLine="970"/>
        <w:rPr>
          <w:rFonts w:ascii="Arial" w:eastAsia="Arial" w:hAnsi="Arial" w:cs="Arial"/>
          <w:sz w:val="19"/>
          <w:szCs w:val="19"/>
        </w:rPr>
      </w:pPr>
      <w:r>
        <w:rPr>
          <w:rFonts w:ascii="Arial" w:eastAsia="Arial" w:hAnsi="Arial" w:cs="Arial"/>
          <w:i/>
          <w:iCs/>
          <w:sz w:val="19"/>
          <w:szCs w:val="19"/>
        </w:rPr>
        <w:t>VS Separate Tax Returns</w:t>
      </w:r>
      <w:r>
        <w:rPr>
          <w:rFonts w:ascii="Arial" w:eastAsia="Arial" w:hAnsi="Arial" w:cs="Arial"/>
          <w:sz w:val="19"/>
          <w:szCs w:val="19"/>
        </w:rPr>
        <w:t>. With respect to any VS Post-2020 Separate Income Tax Return or any</w:t>
      </w:r>
      <w:r>
        <w:rPr>
          <w:rFonts w:ascii="Arial" w:eastAsia="Arial" w:hAnsi="Arial" w:cs="Arial"/>
          <w:i/>
          <w:iCs/>
          <w:sz w:val="19"/>
          <w:szCs w:val="19"/>
        </w:rPr>
        <w:t xml:space="preserve"> </w:t>
      </w:r>
      <w:r>
        <w:rPr>
          <w:rFonts w:ascii="Arial" w:eastAsia="Arial" w:hAnsi="Arial" w:cs="Arial"/>
          <w:sz w:val="19"/>
          <w:szCs w:val="19"/>
        </w:rPr>
        <w:t>VS Post-2020 Separate Non-Income Tax Return, VS and the other members of the VS Group shall include such Tax Items in s</w:t>
      </w:r>
      <w:r>
        <w:rPr>
          <w:rFonts w:ascii="Arial" w:eastAsia="Arial" w:hAnsi="Arial" w:cs="Arial"/>
          <w:sz w:val="19"/>
          <w:szCs w:val="19"/>
        </w:rPr>
        <w:t>uch Tax Return in a manner that is consistent with the inclusion of such Tax Items in any related Tax Return for which L Brands is responsible to the extent such Tax Items are allocated in accordance with this Agreement.</w:t>
      </w:r>
    </w:p>
    <w:p w14:paraId="51EB961A" w14:textId="77777777" w:rsidR="00D1587D" w:rsidRDefault="00D1587D">
      <w:pPr>
        <w:spacing w:line="169" w:lineRule="exact"/>
        <w:rPr>
          <w:rFonts w:ascii="Arial" w:eastAsia="Arial" w:hAnsi="Arial" w:cs="Arial"/>
          <w:sz w:val="19"/>
          <w:szCs w:val="19"/>
        </w:rPr>
      </w:pPr>
    </w:p>
    <w:p w14:paraId="55EA4D78" w14:textId="77777777" w:rsidR="00D1587D" w:rsidRDefault="00410D07">
      <w:pPr>
        <w:numPr>
          <w:ilvl w:val="1"/>
          <w:numId w:val="111"/>
        </w:numPr>
        <w:tabs>
          <w:tab w:val="left" w:pos="2604"/>
        </w:tabs>
        <w:spacing w:line="287" w:lineRule="auto"/>
        <w:ind w:left="780" w:firstLine="970"/>
        <w:rPr>
          <w:rFonts w:ascii="Arial" w:eastAsia="Arial" w:hAnsi="Arial" w:cs="Arial"/>
          <w:sz w:val="19"/>
          <w:szCs w:val="19"/>
        </w:rPr>
      </w:pPr>
      <w:r>
        <w:rPr>
          <w:rFonts w:ascii="Arial" w:eastAsia="Arial" w:hAnsi="Arial" w:cs="Arial"/>
          <w:i/>
          <w:iCs/>
          <w:sz w:val="19"/>
          <w:szCs w:val="19"/>
        </w:rPr>
        <w:t>Election to File Joint Tax Returns</w:t>
      </w:r>
      <w:r>
        <w:rPr>
          <w:rFonts w:ascii="Arial" w:eastAsia="Arial" w:hAnsi="Arial" w:cs="Arial"/>
          <w:sz w:val="19"/>
          <w:szCs w:val="19"/>
        </w:rPr>
        <w:t>. L Brands shall be entitled in its sole discretion to file any</w:t>
      </w:r>
      <w:r>
        <w:rPr>
          <w:rFonts w:ascii="Arial" w:eastAsia="Arial" w:hAnsi="Arial" w:cs="Arial"/>
          <w:i/>
          <w:iCs/>
          <w:sz w:val="19"/>
          <w:szCs w:val="19"/>
        </w:rPr>
        <w:t xml:space="preserve"> </w:t>
      </w:r>
      <w:r>
        <w:rPr>
          <w:rFonts w:ascii="Arial" w:eastAsia="Arial" w:hAnsi="Arial" w:cs="Arial"/>
          <w:sz w:val="19"/>
          <w:szCs w:val="19"/>
        </w:rPr>
        <w:t>Combined Tax Return if the filing of such Tax Return is elective under Applicable Tax Law. Each member of any such Combined Group shall execute and file such consents, elections and other docu</w:t>
      </w:r>
      <w:r>
        <w:rPr>
          <w:rFonts w:ascii="Arial" w:eastAsia="Arial" w:hAnsi="Arial" w:cs="Arial"/>
          <w:sz w:val="19"/>
          <w:szCs w:val="19"/>
        </w:rPr>
        <w:t>ments as may be required, appropriate or otherwise requested by L Brands in connection with the filing of such Joint Tax Returns.</w:t>
      </w:r>
    </w:p>
    <w:p w14:paraId="18AACF42" w14:textId="77777777" w:rsidR="00D1587D" w:rsidRDefault="00D1587D">
      <w:pPr>
        <w:spacing w:line="169" w:lineRule="exact"/>
        <w:rPr>
          <w:rFonts w:ascii="Arial" w:eastAsia="Arial" w:hAnsi="Arial" w:cs="Arial"/>
          <w:sz w:val="19"/>
          <w:szCs w:val="19"/>
        </w:rPr>
      </w:pPr>
    </w:p>
    <w:p w14:paraId="6BDDE892" w14:textId="77777777" w:rsidR="00D1587D" w:rsidRDefault="00410D07">
      <w:pPr>
        <w:numPr>
          <w:ilvl w:val="1"/>
          <w:numId w:val="111"/>
        </w:numPr>
        <w:tabs>
          <w:tab w:val="left" w:pos="2544"/>
        </w:tabs>
        <w:spacing w:line="238" w:lineRule="auto"/>
        <w:ind w:left="780" w:right="20" w:firstLine="970"/>
        <w:rPr>
          <w:rFonts w:ascii="Arial" w:eastAsia="Arial" w:hAnsi="Arial" w:cs="Arial"/>
        </w:rPr>
      </w:pPr>
      <w:r>
        <w:rPr>
          <w:rFonts w:ascii="Arial" w:eastAsia="Arial" w:hAnsi="Arial" w:cs="Arial"/>
          <w:i/>
          <w:iCs/>
        </w:rPr>
        <w:t>Preparation of Transfer Tax Returns</w:t>
      </w:r>
      <w:r>
        <w:rPr>
          <w:rFonts w:ascii="Arial" w:eastAsia="Arial" w:hAnsi="Arial" w:cs="Arial"/>
        </w:rPr>
        <w:t>. The Company required under Applicable Tax Law to file any</w:t>
      </w:r>
      <w:r>
        <w:rPr>
          <w:rFonts w:ascii="Arial" w:eastAsia="Arial" w:hAnsi="Arial" w:cs="Arial"/>
          <w:i/>
          <w:iCs/>
        </w:rPr>
        <w:t xml:space="preserve"> </w:t>
      </w:r>
      <w:r>
        <w:rPr>
          <w:rFonts w:ascii="Arial" w:eastAsia="Arial" w:hAnsi="Arial" w:cs="Arial"/>
        </w:rPr>
        <w:t>Tax Returns in respect of Tran</w:t>
      </w:r>
      <w:r>
        <w:rPr>
          <w:rFonts w:ascii="Arial" w:eastAsia="Arial" w:hAnsi="Arial" w:cs="Arial"/>
        </w:rPr>
        <w:t xml:space="preserve">sfer Taxes shall prepare and file (or cause to be prepared and filed) such Tax Returns. If required by Applicable Tax Law, L Brands and VS shall, and shall cause their respective Affiliates to, cooperate in preparing and filing, and join the execution of, </w:t>
      </w:r>
      <w:r>
        <w:rPr>
          <w:rFonts w:ascii="Arial" w:eastAsia="Arial" w:hAnsi="Arial" w:cs="Arial"/>
        </w:rPr>
        <w:t>any such Tax Returns.</w:t>
      </w:r>
    </w:p>
    <w:p w14:paraId="3B3021D3" w14:textId="77777777" w:rsidR="00D1587D" w:rsidRDefault="00D1587D">
      <w:pPr>
        <w:spacing w:line="211" w:lineRule="exact"/>
        <w:rPr>
          <w:rFonts w:ascii="Arial" w:eastAsia="Arial" w:hAnsi="Arial" w:cs="Arial"/>
        </w:rPr>
      </w:pPr>
    </w:p>
    <w:p w14:paraId="408E6E00" w14:textId="77777777" w:rsidR="00D1587D" w:rsidRDefault="00410D07">
      <w:pPr>
        <w:numPr>
          <w:ilvl w:val="0"/>
          <w:numId w:val="111"/>
        </w:numPr>
        <w:tabs>
          <w:tab w:val="left" w:pos="1594"/>
        </w:tabs>
        <w:spacing w:line="234" w:lineRule="auto"/>
        <w:ind w:left="-40" w:firstLine="850"/>
        <w:rPr>
          <w:rFonts w:ascii="Arial" w:eastAsia="Arial" w:hAnsi="Arial" w:cs="Arial"/>
        </w:rPr>
      </w:pPr>
      <w:r>
        <w:rPr>
          <w:rFonts w:ascii="Arial" w:eastAsia="Arial" w:hAnsi="Arial" w:cs="Arial"/>
          <w:i/>
          <w:iCs/>
        </w:rPr>
        <w:t xml:space="preserve">Payment of Taxes. </w:t>
      </w:r>
      <w:r>
        <w:rPr>
          <w:rFonts w:ascii="Arial" w:eastAsia="Arial" w:hAnsi="Arial" w:cs="Arial"/>
        </w:rPr>
        <w:t>L Brands shall pay (or cause to be paid) to the proper Taxing Authority the Tax shown as</w:t>
      </w:r>
      <w:r>
        <w:rPr>
          <w:rFonts w:ascii="Arial" w:eastAsia="Arial" w:hAnsi="Arial" w:cs="Arial"/>
          <w:i/>
          <w:iCs/>
        </w:rPr>
        <w:t xml:space="preserve"> </w:t>
      </w:r>
      <w:r>
        <w:rPr>
          <w:rFonts w:ascii="Arial" w:eastAsia="Arial" w:hAnsi="Arial" w:cs="Arial"/>
        </w:rPr>
        <w:t xml:space="preserve">due on any Tax Return for which a member of the L Brands Group is responsible for filing under this </w:t>
      </w:r>
      <w:r>
        <w:rPr>
          <w:rFonts w:ascii="Arial" w:eastAsia="Arial" w:hAnsi="Arial" w:cs="Arial"/>
          <w:u w:val="single"/>
        </w:rPr>
        <w:t>Section 4</w:t>
      </w:r>
      <w:r>
        <w:rPr>
          <w:rFonts w:ascii="Arial" w:eastAsia="Arial" w:hAnsi="Arial" w:cs="Arial"/>
        </w:rPr>
        <w:t>, and VS shall pay (or cause to be paid) to the proper Taxing Authority the Tax shown as due on any Tax Return for which a member of the VS Group i</w:t>
      </w:r>
      <w:r>
        <w:rPr>
          <w:rFonts w:ascii="Arial" w:eastAsia="Arial" w:hAnsi="Arial" w:cs="Arial"/>
        </w:rPr>
        <w:t xml:space="preserve">s responsible for filing under this </w:t>
      </w:r>
      <w:r>
        <w:rPr>
          <w:rFonts w:ascii="Arial" w:eastAsia="Arial" w:hAnsi="Arial" w:cs="Arial"/>
          <w:u w:val="single"/>
        </w:rPr>
        <w:t>Section 4</w:t>
      </w:r>
      <w:r>
        <w:rPr>
          <w:rFonts w:ascii="Arial" w:eastAsia="Arial" w:hAnsi="Arial" w:cs="Arial"/>
        </w:rPr>
        <w:t xml:space="preserve">. If any member of the L Brands Group is required to make a payment to a Taxing Authority for Taxes allocated to VS under </w:t>
      </w:r>
      <w:r>
        <w:rPr>
          <w:rFonts w:ascii="Arial" w:eastAsia="Arial" w:hAnsi="Arial" w:cs="Arial"/>
          <w:u w:val="single"/>
        </w:rPr>
        <w:t>Section 3</w:t>
      </w:r>
      <w:r>
        <w:rPr>
          <w:rFonts w:ascii="Arial" w:eastAsia="Arial" w:hAnsi="Arial" w:cs="Arial"/>
        </w:rPr>
        <w:t xml:space="preserve">, VS shall pay the amount of such Taxes to L Brands in accordance with </w:t>
      </w:r>
      <w:r>
        <w:rPr>
          <w:rFonts w:ascii="Arial" w:eastAsia="Arial" w:hAnsi="Arial" w:cs="Arial"/>
          <w:u w:val="single"/>
        </w:rPr>
        <w:t>Section 1</w:t>
      </w:r>
      <w:r>
        <w:rPr>
          <w:rFonts w:ascii="Arial" w:eastAsia="Arial" w:hAnsi="Arial" w:cs="Arial"/>
          <w:u w:val="single"/>
        </w:rPr>
        <w:t>1</w:t>
      </w:r>
      <w:r>
        <w:rPr>
          <w:rFonts w:ascii="Arial" w:eastAsia="Arial" w:hAnsi="Arial" w:cs="Arial"/>
        </w:rPr>
        <w:t xml:space="preserve"> and </w:t>
      </w:r>
      <w:r>
        <w:rPr>
          <w:rFonts w:ascii="Arial" w:eastAsia="Arial" w:hAnsi="Arial" w:cs="Arial"/>
          <w:u w:val="single"/>
        </w:rPr>
        <w:t>Section 12</w:t>
      </w:r>
      <w:r>
        <w:rPr>
          <w:rFonts w:ascii="Arial" w:eastAsia="Arial" w:hAnsi="Arial" w:cs="Arial"/>
        </w:rPr>
        <w:t xml:space="preserve">. If any member of the VS Group is required to make a payment to a Taxing Authority for Taxes allocated to L Brands under </w:t>
      </w:r>
      <w:r>
        <w:rPr>
          <w:rFonts w:ascii="Arial" w:eastAsia="Arial" w:hAnsi="Arial" w:cs="Arial"/>
          <w:u w:val="single"/>
        </w:rPr>
        <w:t>Section 3</w:t>
      </w:r>
      <w:r>
        <w:rPr>
          <w:rFonts w:ascii="Arial" w:eastAsia="Arial" w:hAnsi="Arial" w:cs="Arial"/>
        </w:rPr>
        <w:t xml:space="preserve">, L Brands shall pay the amount of such Taxes to VS in accordance with </w:t>
      </w:r>
      <w:r>
        <w:rPr>
          <w:rFonts w:ascii="Arial" w:eastAsia="Arial" w:hAnsi="Arial" w:cs="Arial"/>
          <w:u w:val="single"/>
        </w:rPr>
        <w:t>Section 11</w:t>
      </w:r>
      <w:r>
        <w:rPr>
          <w:rFonts w:ascii="Arial" w:eastAsia="Arial" w:hAnsi="Arial" w:cs="Arial"/>
        </w:rPr>
        <w:t xml:space="preserve"> and </w:t>
      </w:r>
      <w:r>
        <w:rPr>
          <w:rFonts w:ascii="Arial" w:eastAsia="Arial" w:hAnsi="Arial" w:cs="Arial"/>
          <w:u w:val="single"/>
        </w:rPr>
        <w:t>Section 12</w:t>
      </w:r>
      <w:r>
        <w:rPr>
          <w:rFonts w:ascii="Arial" w:eastAsia="Arial" w:hAnsi="Arial" w:cs="Arial"/>
        </w:rPr>
        <w:t>.</w:t>
      </w:r>
    </w:p>
    <w:p w14:paraId="331EC161" w14:textId="77777777" w:rsidR="00D1587D" w:rsidRDefault="00D1587D">
      <w:pPr>
        <w:spacing w:line="146" w:lineRule="exact"/>
        <w:rPr>
          <w:sz w:val="20"/>
          <w:szCs w:val="20"/>
        </w:rPr>
      </w:pPr>
    </w:p>
    <w:p w14:paraId="3DED75BD" w14:textId="77777777" w:rsidR="00D1587D" w:rsidRDefault="00410D07">
      <w:pPr>
        <w:jc w:val="center"/>
        <w:rPr>
          <w:sz w:val="20"/>
          <w:szCs w:val="20"/>
        </w:rPr>
      </w:pPr>
      <w:r>
        <w:rPr>
          <w:rFonts w:ascii="Arial" w:eastAsia="Arial" w:hAnsi="Arial" w:cs="Arial"/>
        </w:rPr>
        <w:t>11</w:t>
      </w:r>
    </w:p>
    <w:p w14:paraId="59CAA2C8" w14:textId="77777777" w:rsidR="00D1587D" w:rsidRDefault="00410D07">
      <w:pPr>
        <w:spacing w:line="20" w:lineRule="exact"/>
        <w:rPr>
          <w:sz w:val="20"/>
          <w:szCs w:val="20"/>
        </w:rPr>
      </w:pPr>
      <w:r>
        <w:rPr>
          <w:noProof/>
          <w:sz w:val="20"/>
          <w:szCs w:val="20"/>
        </w:rPr>
        <w:drawing>
          <wp:anchor distT="0" distB="0" distL="114300" distR="114300" simplePos="0" relativeHeight="251304960" behindDoc="1" locked="0" layoutInCell="0" allowOverlap="1" wp14:anchorId="54BB2008" wp14:editId="29C8C7B9">
            <wp:simplePos x="0" y="0"/>
            <wp:positionH relativeFrom="column">
              <wp:posOffset>-19685</wp:posOffset>
            </wp:positionH>
            <wp:positionV relativeFrom="paragraph">
              <wp:posOffset>41275</wp:posOffset>
            </wp:positionV>
            <wp:extent cx="7132320" cy="1714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DD3CBAA" w14:textId="77777777" w:rsidR="00D1587D" w:rsidRDefault="00D1587D">
      <w:pPr>
        <w:sectPr w:rsidR="00D1587D">
          <w:pgSz w:w="11900" w:h="16838"/>
          <w:pgMar w:top="361" w:right="379" w:bottom="1440" w:left="360" w:header="0" w:footer="0" w:gutter="0"/>
          <w:cols w:space="720" w:equalWidth="0">
            <w:col w:w="11160"/>
          </w:cols>
        </w:sectPr>
      </w:pPr>
    </w:p>
    <w:p w14:paraId="51392002" w14:textId="77777777" w:rsidR="00D1587D" w:rsidRDefault="00410D07">
      <w:pPr>
        <w:tabs>
          <w:tab w:val="left" w:pos="2020"/>
        </w:tabs>
        <w:ind w:left="640"/>
        <w:rPr>
          <w:sz w:val="20"/>
          <w:szCs w:val="20"/>
        </w:rPr>
      </w:pPr>
      <w:bookmarkStart w:id="150" w:name="page151"/>
      <w:bookmarkEnd w:id="150"/>
      <w:r>
        <w:rPr>
          <w:rFonts w:ascii="Arial" w:eastAsia="Arial" w:hAnsi="Arial" w:cs="Arial"/>
        </w:rPr>
        <w:t>Section 5.</w:t>
      </w:r>
      <w:r>
        <w:rPr>
          <w:sz w:val="20"/>
          <w:szCs w:val="20"/>
        </w:rPr>
        <w:tab/>
      </w:r>
      <w:r>
        <w:rPr>
          <w:rFonts w:ascii="Arial" w:eastAsia="Arial" w:hAnsi="Arial" w:cs="Arial"/>
          <w:i/>
          <w:iCs/>
          <w:sz w:val="19"/>
          <w:szCs w:val="19"/>
        </w:rPr>
        <w:t>Apportionment of Earnings and Profits and Tax Attributes</w:t>
      </w:r>
      <w:r>
        <w:rPr>
          <w:rFonts w:ascii="Arial" w:eastAsia="Arial" w:hAnsi="Arial" w:cs="Arial"/>
          <w:sz w:val="19"/>
          <w:szCs w:val="19"/>
        </w:rPr>
        <w:t>.</w:t>
      </w:r>
    </w:p>
    <w:p w14:paraId="178DD21B" w14:textId="77777777" w:rsidR="00D1587D" w:rsidRDefault="00D1587D">
      <w:pPr>
        <w:spacing w:line="233" w:lineRule="exact"/>
        <w:rPr>
          <w:sz w:val="20"/>
          <w:szCs w:val="20"/>
        </w:rPr>
      </w:pPr>
    </w:p>
    <w:p w14:paraId="36C2266F" w14:textId="77777777" w:rsidR="00D1587D" w:rsidRDefault="00410D07">
      <w:pPr>
        <w:numPr>
          <w:ilvl w:val="0"/>
          <w:numId w:val="112"/>
        </w:numPr>
        <w:tabs>
          <w:tab w:val="left" w:pos="1558"/>
        </w:tabs>
        <w:spacing w:line="287" w:lineRule="auto"/>
        <w:ind w:left="-20" w:right="280" w:firstLine="818"/>
        <w:jc w:val="both"/>
        <w:rPr>
          <w:rFonts w:ascii="Arial" w:eastAsia="Arial" w:hAnsi="Arial" w:cs="Arial"/>
          <w:sz w:val="19"/>
          <w:szCs w:val="19"/>
        </w:rPr>
      </w:pPr>
      <w:r>
        <w:rPr>
          <w:rFonts w:ascii="Arial" w:eastAsia="Arial" w:hAnsi="Arial" w:cs="Arial"/>
          <w:sz w:val="19"/>
          <w:szCs w:val="19"/>
        </w:rPr>
        <w:t xml:space="preserve">Any Tax Attributes arising in a Pre-Distribution Period will be allocated to (and the benefits and burdens of such Tax Attributes will inure to) the members of the L </w:t>
      </w:r>
      <w:r>
        <w:rPr>
          <w:rFonts w:ascii="Arial" w:eastAsia="Arial" w:hAnsi="Arial" w:cs="Arial"/>
          <w:sz w:val="19"/>
          <w:szCs w:val="19"/>
        </w:rPr>
        <w:t>Brands Group and the members of the VS Group in accordance with L Brands’ historical practice (including historical methodologies for making corporate allocations), the Code, Treasury Regulations, and any applicable state, local and foreign law, as determi</w:t>
      </w:r>
      <w:r>
        <w:rPr>
          <w:rFonts w:ascii="Arial" w:eastAsia="Arial" w:hAnsi="Arial" w:cs="Arial"/>
          <w:sz w:val="19"/>
          <w:szCs w:val="19"/>
        </w:rPr>
        <w:t>ned by L Brands in its sole discretion.</w:t>
      </w:r>
    </w:p>
    <w:p w14:paraId="514934E2" w14:textId="77777777" w:rsidR="00D1587D" w:rsidRDefault="00D1587D">
      <w:pPr>
        <w:spacing w:line="169" w:lineRule="exact"/>
        <w:rPr>
          <w:rFonts w:ascii="Arial" w:eastAsia="Arial" w:hAnsi="Arial" w:cs="Arial"/>
          <w:sz w:val="19"/>
          <w:szCs w:val="19"/>
        </w:rPr>
      </w:pPr>
    </w:p>
    <w:p w14:paraId="007EA3AA" w14:textId="77777777" w:rsidR="00D1587D" w:rsidRDefault="00410D07">
      <w:pPr>
        <w:numPr>
          <w:ilvl w:val="1"/>
          <w:numId w:val="112"/>
        </w:numPr>
        <w:tabs>
          <w:tab w:val="left" w:pos="1614"/>
        </w:tabs>
        <w:spacing w:line="273" w:lineRule="auto"/>
        <w:ind w:left="-20" w:firstLine="850"/>
        <w:rPr>
          <w:rFonts w:ascii="Arial" w:eastAsia="Arial" w:hAnsi="Arial" w:cs="Arial"/>
          <w:sz w:val="19"/>
          <w:szCs w:val="19"/>
        </w:rPr>
      </w:pPr>
      <w:r>
        <w:rPr>
          <w:rFonts w:ascii="Arial" w:eastAsia="Arial" w:hAnsi="Arial" w:cs="Arial"/>
          <w:sz w:val="19"/>
          <w:szCs w:val="19"/>
        </w:rPr>
        <w:t>L Brands shall in good faith, based on information reasonably available to it, advise VS in writing, as soon as reasonably practicable after the close of the relevant Taxable period in which the Distribution occurs,</w:t>
      </w:r>
      <w:r>
        <w:rPr>
          <w:rFonts w:ascii="Arial" w:eastAsia="Arial" w:hAnsi="Arial" w:cs="Arial"/>
          <w:sz w:val="19"/>
          <w:szCs w:val="19"/>
        </w:rPr>
        <w:t xml:space="preserve"> of L Brands’ estimate of the portion, if any, of any earnings and profits, previously taxed earnings and profits (within the meaning of Section 959 of the Code (“</w:t>
      </w:r>
      <w:r>
        <w:rPr>
          <w:rFonts w:ascii="Arial" w:eastAsia="Arial" w:hAnsi="Arial" w:cs="Arial"/>
          <w:b/>
          <w:bCs/>
          <w:sz w:val="19"/>
          <w:szCs w:val="19"/>
        </w:rPr>
        <w:t>PTI</w:t>
      </w:r>
      <w:r>
        <w:rPr>
          <w:rFonts w:ascii="Arial" w:eastAsia="Arial" w:hAnsi="Arial" w:cs="Arial"/>
          <w:sz w:val="19"/>
          <w:szCs w:val="19"/>
        </w:rPr>
        <w:t>”), Tax Attributes, Tax basis, overall foreign loss or other consolidated, combined or uni</w:t>
      </w:r>
      <w:r>
        <w:rPr>
          <w:rFonts w:ascii="Arial" w:eastAsia="Arial" w:hAnsi="Arial" w:cs="Arial"/>
          <w:sz w:val="19"/>
          <w:szCs w:val="19"/>
        </w:rPr>
        <w:t>tary attribute which L Brands determines is expected to be allocated or apportioned to the members of the VS Group under Applicable Tax Law. In the event of any adjustment to the previously delivered estimates of the portion of earnings and profits, Tax At</w:t>
      </w:r>
      <w:r>
        <w:rPr>
          <w:rFonts w:ascii="Arial" w:eastAsia="Arial" w:hAnsi="Arial" w:cs="Arial"/>
          <w:sz w:val="19"/>
          <w:szCs w:val="19"/>
        </w:rPr>
        <w:t>tributes, Tax basis, overall foreign loss or other consolidated, combined or unitary attribute determined by L Brands, L Brands shall promptly advise VS in writing of such adjustment. For the avoidance of doubt, L Brands shall not be liable to any member o</w:t>
      </w:r>
      <w:r>
        <w:rPr>
          <w:rFonts w:ascii="Arial" w:eastAsia="Arial" w:hAnsi="Arial" w:cs="Arial"/>
          <w:sz w:val="19"/>
          <w:szCs w:val="19"/>
        </w:rPr>
        <w:t xml:space="preserve">f the VS Group for any failure of any determination under this </w:t>
      </w:r>
      <w:r>
        <w:rPr>
          <w:rFonts w:ascii="Arial" w:eastAsia="Arial" w:hAnsi="Arial" w:cs="Arial"/>
          <w:sz w:val="19"/>
          <w:szCs w:val="19"/>
          <w:u w:val="single"/>
        </w:rPr>
        <w:t>Section 5(b)</w:t>
      </w:r>
      <w:r>
        <w:rPr>
          <w:rFonts w:ascii="Arial" w:eastAsia="Arial" w:hAnsi="Arial" w:cs="Arial"/>
          <w:sz w:val="19"/>
          <w:szCs w:val="19"/>
        </w:rPr>
        <w:t xml:space="preserve"> to be accurate under Applicable Tax Law, provided such determination was made in good faith. All members of the VS Group shall prepare all Tax Returns in accordance with the writte</w:t>
      </w:r>
      <w:r>
        <w:rPr>
          <w:rFonts w:ascii="Arial" w:eastAsia="Arial" w:hAnsi="Arial" w:cs="Arial"/>
          <w:sz w:val="19"/>
          <w:szCs w:val="19"/>
        </w:rPr>
        <w:t>n notices provided by L Brands to VS pursuant to this Section 5(b).</w:t>
      </w:r>
    </w:p>
    <w:p w14:paraId="155950E8" w14:textId="77777777" w:rsidR="00D1587D" w:rsidRDefault="00D1587D">
      <w:pPr>
        <w:spacing w:line="182" w:lineRule="exact"/>
        <w:rPr>
          <w:rFonts w:ascii="Arial" w:eastAsia="Arial" w:hAnsi="Arial" w:cs="Arial"/>
          <w:sz w:val="19"/>
          <w:szCs w:val="19"/>
        </w:rPr>
      </w:pPr>
    </w:p>
    <w:p w14:paraId="1E8184D7" w14:textId="77777777" w:rsidR="00D1587D" w:rsidRDefault="00410D07">
      <w:pPr>
        <w:numPr>
          <w:ilvl w:val="1"/>
          <w:numId w:val="112"/>
        </w:numPr>
        <w:tabs>
          <w:tab w:val="left" w:pos="1602"/>
        </w:tabs>
        <w:spacing w:line="235" w:lineRule="auto"/>
        <w:ind w:left="-20" w:right="20" w:firstLine="850"/>
        <w:rPr>
          <w:rFonts w:ascii="Arial" w:eastAsia="Arial" w:hAnsi="Arial" w:cs="Arial"/>
        </w:rPr>
      </w:pPr>
      <w:r>
        <w:rPr>
          <w:rFonts w:ascii="Arial" w:eastAsia="Arial" w:hAnsi="Arial" w:cs="Arial"/>
        </w:rPr>
        <w:t>Except as otherwise provided herein, to the extent that the amount of any earnings and profits, PTI, Tax Attributes, Tax basis, overall foreign loss or other consolidated, combined or uni</w:t>
      </w:r>
      <w:r>
        <w:rPr>
          <w:rFonts w:ascii="Arial" w:eastAsia="Arial" w:hAnsi="Arial" w:cs="Arial"/>
        </w:rPr>
        <w:t xml:space="preserve">tary attribute allocated to members of the L Brands Group or the VS Group pursuant to </w:t>
      </w:r>
      <w:r>
        <w:rPr>
          <w:rFonts w:ascii="Arial" w:eastAsia="Arial" w:hAnsi="Arial" w:cs="Arial"/>
          <w:u w:val="single"/>
        </w:rPr>
        <w:t>Section 5(b)</w:t>
      </w:r>
      <w:r>
        <w:rPr>
          <w:rFonts w:ascii="Arial" w:eastAsia="Arial" w:hAnsi="Arial" w:cs="Arial"/>
        </w:rPr>
        <w:t xml:space="preserve"> is later reduced or increased by a Taxing Authority or as a result of a Tax Proceeding, such reduction or increase shall be allocated to the Company to which</w:t>
      </w:r>
      <w:r>
        <w:rPr>
          <w:rFonts w:ascii="Arial" w:eastAsia="Arial" w:hAnsi="Arial" w:cs="Arial"/>
        </w:rPr>
        <w:t xml:space="preserve"> such earnings and profits, Tax Attributes, Tax basis, overall foreign loss or other consolidated, combined or unitary attribute was allocated pursuant to this </w:t>
      </w:r>
      <w:r>
        <w:rPr>
          <w:rFonts w:ascii="Arial" w:eastAsia="Arial" w:hAnsi="Arial" w:cs="Arial"/>
          <w:u w:val="single"/>
        </w:rPr>
        <w:t>Section 5</w:t>
      </w:r>
      <w:r>
        <w:rPr>
          <w:rFonts w:ascii="Arial" w:eastAsia="Arial" w:hAnsi="Arial" w:cs="Arial"/>
        </w:rPr>
        <w:t>, as determined by L Brands in good faith.</w:t>
      </w:r>
    </w:p>
    <w:p w14:paraId="69D1DFB1" w14:textId="77777777" w:rsidR="00D1587D" w:rsidRDefault="00D1587D">
      <w:pPr>
        <w:spacing w:line="215" w:lineRule="exact"/>
        <w:rPr>
          <w:sz w:val="20"/>
          <w:szCs w:val="20"/>
        </w:rPr>
      </w:pPr>
    </w:p>
    <w:p w14:paraId="337F789C" w14:textId="77777777" w:rsidR="00D1587D" w:rsidRDefault="00410D07">
      <w:pPr>
        <w:tabs>
          <w:tab w:val="left" w:pos="2020"/>
        </w:tabs>
        <w:ind w:left="640"/>
        <w:rPr>
          <w:sz w:val="20"/>
          <w:szCs w:val="20"/>
        </w:rPr>
      </w:pPr>
      <w:r>
        <w:rPr>
          <w:rFonts w:ascii="Arial" w:eastAsia="Arial" w:hAnsi="Arial" w:cs="Arial"/>
        </w:rPr>
        <w:t>Section 6.</w:t>
      </w:r>
      <w:r>
        <w:rPr>
          <w:sz w:val="20"/>
          <w:szCs w:val="20"/>
        </w:rPr>
        <w:tab/>
      </w:r>
      <w:r>
        <w:rPr>
          <w:rFonts w:ascii="Arial" w:eastAsia="Arial" w:hAnsi="Arial" w:cs="Arial"/>
          <w:i/>
          <w:iCs/>
          <w:sz w:val="19"/>
          <w:szCs w:val="19"/>
        </w:rPr>
        <w:t xml:space="preserve">Utilization of Tax </w:t>
      </w:r>
      <w:r>
        <w:rPr>
          <w:rFonts w:ascii="Arial" w:eastAsia="Arial" w:hAnsi="Arial" w:cs="Arial"/>
          <w:i/>
          <w:iCs/>
          <w:sz w:val="19"/>
          <w:szCs w:val="19"/>
        </w:rPr>
        <w:t>Attributes</w:t>
      </w:r>
      <w:r>
        <w:rPr>
          <w:rFonts w:ascii="Arial" w:eastAsia="Arial" w:hAnsi="Arial" w:cs="Arial"/>
          <w:sz w:val="19"/>
          <w:szCs w:val="19"/>
        </w:rPr>
        <w:t>.</w:t>
      </w:r>
    </w:p>
    <w:p w14:paraId="3C42B8A9" w14:textId="77777777" w:rsidR="00D1587D" w:rsidRDefault="00D1587D">
      <w:pPr>
        <w:spacing w:line="233" w:lineRule="exact"/>
        <w:rPr>
          <w:sz w:val="20"/>
          <w:szCs w:val="20"/>
        </w:rPr>
      </w:pPr>
    </w:p>
    <w:p w14:paraId="66B309E1" w14:textId="77777777" w:rsidR="00D1587D" w:rsidRDefault="00410D07">
      <w:pPr>
        <w:numPr>
          <w:ilvl w:val="0"/>
          <w:numId w:val="113"/>
        </w:numPr>
        <w:tabs>
          <w:tab w:val="left" w:pos="1602"/>
        </w:tabs>
        <w:ind w:left="-20" w:right="220" w:firstLine="850"/>
        <w:rPr>
          <w:rFonts w:ascii="Arial" w:eastAsia="Arial" w:hAnsi="Arial" w:cs="Arial"/>
        </w:rPr>
      </w:pPr>
      <w:r>
        <w:rPr>
          <w:rFonts w:ascii="Arial" w:eastAsia="Arial" w:hAnsi="Arial" w:cs="Arial"/>
          <w:i/>
          <w:iCs/>
        </w:rPr>
        <w:t xml:space="preserve">Amended Returns. </w:t>
      </w:r>
      <w:r>
        <w:rPr>
          <w:rFonts w:ascii="Arial" w:eastAsia="Arial" w:hAnsi="Arial" w:cs="Arial"/>
        </w:rPr>
        <w:t>Any amended Tax Return or claim for a refund with respect to any member of the VS</w:t>
      </w:r>
      <w:r>
        <w:rPr>
          <w:rFonts w:ascii="Arial" w:eastAsia="Arial" w:hAnsi="Arial" w:cs="Arial"/>
          <w:i/>
          <w:iCs/>
        </w:rPr>
        <w:t xml:space="preserve"> </w:t>
      </w:r>
      <w:r>
        <w:rPr>
          <w:rFonts w:ascii="Arial" w:eastAsia="Arial" w:hAnsi="Arial" w:cs="Arial"/>
        </w:rPr>
        <w:t xml:space="preserve">Group may be made only by the Party responsible for preparing the original Tax Return with respect to such member of the VS Group pursuant to </w:t>
      </w:r>
      <w:r>
        <w:rPr>
          <w:rFonts w:ascii="Arial" w:eastAsia="Arial" w:hAnsi="Arial" w:cs="Arial"/>
          <w:u w:val="single"/>
        </w:rPr>
        <w:t>Section 4</w:t>
      </w:r>
      <w:r>
        <w:rPr>
          <w:rFonts w:ascii="Arial" w:eastAsia="Arial" w:hAnsi="Arial" w:cs="Arial"/>
        </w:rPr>
        <w:t>.</w:t>
      </w:r>
    </w:p>
    <w:p w14:paraId="7D8ED872" w14:textId="77777777" w:rsidR="00D1587D" w:rsidRDefault="00D1587D">
      <w:pPr>
        <w:spacing w:line="146" w:lineRule="exact"/>
        <w:rPr>
          <w:sz w:val="20"/>
          <w:szCs w:val="20"/>
        </w:rPr>
      </w:pPr>
    </w:p>
    <w:p w14:paraId="6C129A34" w14:textId="77777777" w:rsidR="00D1587D" w:rsidRDefault="00410D07">
      <w:pPr>
        <w:jc w:val="center"/>
        <w:rPr>
          <w:sz w:val="20"/>
          <w:szCs w:val="20"/>
        </w:rPr>
      </w:pPr>
      <w:r>
        <w:rPr>
          <w:rFonts w:ascii="Arial" w:eastAsia="Arial" w:hAnsi="Arial" w:cs="Arial"/>
        </w:rPr>
        <w:t>12</w:t>
      </w:r>
    </w:p>
    <w:p w14:paraId="20B2A26C" w14:textId="77777777" w:rsidR="00D1587D" w:rsidRDefault="00410D07">
      <w:pPr>
        <w:spacing w:line="20" w:lineRule="exact"/>
        <w:rPr>
          <w:sz w:val="20"/>
          <w:szCs w:val="20"/>
        </w:rPr>
      </w:pPr>
      <w:r>
        <w:rPr>
          <w:noProof/>
          <w:sz w:val="20"/>
          <w:szCs w:val="20"/>
        </w:rPr>
        <w:drawing>
          <wp:anchor distT="0" distB="0" distL="114300" distR="114300" simplePos="0" relativeHeight="251305984" behindDoc="1" locked="0" layoutInCell="0" allowOverlap="1" wp14:anchorId="16A2BE81" wp14:editId="7C731A79">
            <wp:simplePos x="0" y="0"/>
            <wp:positionH relativeFrom="column">
              <wp:posOffset>-6985</wp:posOffset>
            </wp:positionH>
            <wp:positionV relativeFrom="paragraph">
              <wp:posOffset>41275</wp:posOffset>
            </wp:positionV>
            <wp:extent cx="7132320" cy="1714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00DC182" w14:textId="77777777" w:rsidR="00D1587D" w:rsidRDefault="00D1587D">
      <w:pPr>
        <w:sectPr w:rsidR="00D1587D">
          <w:pgSz w:w="11900" w:h="16838"/>
          <w:pgMar w:top="361" w:right="359" w:bottom="1440" w:left="340" w:header="0" w:footer="0" w:gutter="0"/>
          <w:cols w:space="720" w:equalWidth="0">
            <w:col w:w="11200"/>
          </w:cols>
        </w:sectPr>
      </w:pPr>
    </w:p>
    <w:p w14:paraId="2AC55B84" w14:textId="77777777" w:rsidR="00D1587D" w:rsidRDefault="00410D07">
      <w:pPr>
        <w:numPr>
          <w:ilvl w:val="2"/>
          <w:numId w:val="114"/>
        </w:numPr>
        <w:tabs>
          <w:tab w:val="left" w:pos="1626"/>
        </w:tabs>
        <w:spacing w:line="271" w:lineRule="auto"/>
        <w:ind w:left="-8" w:right="60" w:firstLine="850"/>
        <w:rPr>
          <w:rFonts w:ascii="Arial" w:eastAsia="Arial" w:hAnsi="Arial" w:cs="Arial"/>
          <w:sz w:val="19"/>
          <w:szCs w:val="19"/>
        </w:rPr>
      </w:pPr>
      <w:bookmarkStart w:id="151" w:name="page152"/>
      <w:bookmarkEnd w:id="151"/>
      <w:r>
        <w:rPr>
          <w:rFonts w:ascii="Arial" w:eastAsia="Arial" w:hAnsi="Arial" w:cs="Arial"/>
          <w:i/>
          <w:iCs/>
          <w:sz w:val="19"/>
          <w:szCs w:val="19"/>
        </w:rPr>
        <w:t>No Carryback Election</w:t>
      </w:r>
      <w:r>
        <w:rPr>
          <w:rFonts w:ascii="Arial" w:eastAsia="Arial" w:hAnsi="Arial" w:cs="Arial"/>
          <w:sz w:val="19"/>
          <w:szCs w:val="19"/>
        </w:rPr>
        <w:t>. The Parties hereby agree, except with respect to any L</w:t>
      </w:r>
      <w:r>
        <w:rPr>
          <w:rFonts w:ascii="Arial" w:eastAsia="Arial" w:hAnsi="Arial" w:cs="Arial"/>
          <w:sz w:val="19"/>
          <w:szCs w:val="19"/>
        </w:rPr>
        <w:t xml:space="preserve"> Brands Specified Tax Attribute</w:t>
      </w:r>
      <w:r>
        <w:rPr>
          <w:rFonts w:ascii="Arial" w:eastAsia="Arial" w:hAnsi="Arial" w:cs="Arial"/>
          <w:i/>
          <w:iCs/>
          <w:sz w:val="19"/>
          <w:szCs w:val="19"/>
        </w:rPr>
        <w:t xml:space="preserve"> </w:t>
      </w:r>
      <w:r>
        <w:rPr>
          <w:rFonts w:ascii="Arial" w:eastAsia="Arial" w:hAnsi="Arial" w:cs="Arial"/>
          <w:sz w:val="19"/>
          <w:szCs w:val="19"/>
        </w:rPr>
        <w:t>(as to which L Brands shall have sole discretion), (i) not to make or cause to be made any election to claim (A) in any Pre-Distribution Period or (B) in any Joint Tax Return a VS Carried Item from a Post-Distribution Period</w:t>
      </w:r>
      <w:r>
        <w:rPr>
          <w:rFonts w:ascii="Arial" w:eastAsia="Arial" w:hAnsi="Arial" w:cs="Arial"/>
          <w:sz w:val="19"/>
          <w:szCs w:val="19"/>
        </w:rPr>
        <w:t xml:space="preserve"> and (ii) to elect, to the extent permitted by Applicable Tax Law, to forgo the right to carry back any VS Carried Item from a Post-Distribution Period to</w:t>
      </w:r>
    </w:p>
    <w:p w14:paraId="70548EC6" w14:textId="77777777" w:rsidR="00D1587D" w:rsidRDefault="00D1587D">
      <w:pPr>
        <w:spacing w:line="3" w:lineRule="exact"/>
        <w:rPr>
          <w:rFonts w:ascii="Arial" w:eastAsia="Arial" w:hAnsi="Arial" w:cs="Arial"/>
          <w:sz w:val="19"/>
          <w:szCs w:val="19"/>
        </w:rPr>
      </w:pPr>
    </w:p>
    <w:p w14:paraId="76F635C4" w14:textId="77777777" w:rsidR="00D1587D" w:rsidRDefault="00410D07">
      <w:pPr>
        <w:numPr>
          <w:ilvl w:val="0"/>
          <w:numId w:val="115"/>
        </w:numPr>
        <w:tabs>
          <w:tab w:val="left" w:pos="352"/>
        </w:tabs>
        <w:ind w:left="352" w:hanging="352"/>
        <w:rPr>
          <w:rFonts w:ascii="Arial" w:eastAsia="Arial" w:hAnsi="Arial" w:cs="Arial"/>
        </w:rPr>
      </w:pPr>
      <w:r>
        <w:rPr>
          <w:rFonts w:ascii="Arial" w:eastAsia="Arial" w:hAnsi="Arial" w:cs="Arial"/>
        </w:rPr>
        <w:t>a Pre-Distribution Period or (B) a Joint Tax Return.</w:t>
      </w:r>
    </w:p>
    <w:p w14:paraId="5E799983" w14:textId="77777777" w:rsidR="00D1587D" w:rsidRDefault="00D1587D">
      <w:pPr>
        <w:spacing w:line="222" w:lineRule="exact"/>
        <w:rPr>
          <w:rFonts w:ascii="Arial" w:eastAsia="Arial" w:hAnsi="Arial" w:cs="Arial"/>
        </w:rPr>
      </w:pPr>
    </w:p>
    <w:p w14:paraId="7A03136C" w14:textId="77777777" w:rsidR="00D1587D" w:rsidRDefault="00410D07">
      <w:pPr>
        <w:numPr>
          <w:ilvl w:val="1"/>
          <w:numId w:val="115"/>
        </w:numPr>
        <w:tabs>
          <w:tab w:val="left" w:pos="1292"/>
        </w:tabs>
        <w:ind w:left="1292" w:hanging="482"/>
        <w:rPr>
          <w:rFonts w:ascii="Arial" w:eastAsia="Arial" w:hAnsi="Arial" w:cs="Arial"/>
          <w:sz w:val="18"/>
          <w:szCs w:val="18"/>
        </w:rPr>
      </w:pPr>
      <w:r>
        <w:rPr>
          <w:rFonts w:ascii="Arial" w:eastAsia="Arial" w:hAnsi="Arial" w:cs="Arial"/>
          <w:i/>
          <w:iCs/>
          <w:sz w:val="18"/>
          <w:szCs w:val="18"/>
        </w:rPr>
        <w:t>VS Carrybacks.</w:t>
      </w:r>
    </w:p>
    <w:p w14:paraId="630D1875" w14:textId="77777777" w:rsidR="00D1587D" w:rsidRDefault="00D1587D">
      <w:pPr>
        <w:spacing w:line="244" w:lineRule="exact"/>
        <w:rPr>
          <w:rFonts w:ascii="Arial" w:eastAsia="Arial" w:hAnsi="Arial" w:cs="Arial"/>
          <w:sz w:val="18"/>
          <w:szCs w:val="18"/>
        </w:rPr>
      </w:pPr>
    </w:p>
    <w:p w14:paraId="08703505" w14:textId="77777777" w:rsidR="00D1587D" w:rsidRDefault="00410D07">
      <w:pPr>
        <w:numPr>
          <w:ilvl w:val="3"/>
          <w:numId w:val="115"/>
        </w:numPr>
        <w:tabs>
          <w:tab w:val="left" w:pos="2368"/>
        </w:tabs>
        <w:spacing w:line="235" w:lineRule="auto"/>
        <w:ind w:left="652" w:firstLine="968"/>
        <w:rPr>
          <w:rFonts w:ascii="Arial" w:eastAsia="Arial" w:hAnsi="Arial" w:cs="Arial"/>
        </w:rPr>
      </w:pPr>
      <w:r>
        <w:rPr>
          <w:rFonts w:ascii="Arial" w:eastAsia="Arial" w:hAnsi="Arial" w:cs="Arial"/>
        </w:rPr>
        <w:t>If a member of the VS Group reasonably determines that it is required by Applicable Tax Law to carry back any VS Carried Item to (i) a Pre-Distribution Period or (ii) a Joint Tax Return, it shall notify L Brands in writing of such determination at least ni</w:t>
      </w:r>
      <w:r>
        <w:rPr>
          <w:rFonts w:ascii="Arial" w:eastAsia="Arial" w:hAnsi="Arial" w:cs="Arial"/>
        </w:rPr>
        <w:t>nety (90) days prior to filing the Tax Return on which such carryback will be reflected. Such notification shall include a description in reasonable detail of the basis for any expected Tax Benefit and the amount thereof. If L Brands disagrees with such de</w:t>
      </w:r>
      <w:r>
        <w:rPr>
          <w:rFonts w:ascii="Arial" w:eastAsia="Arial" w:hAnsi="Arial" w:cs="Arial"/>
        </w:rPr>
        <w:t xml:space="preserve">termination, the Parties shall resolve their disagreement pursuant to the procedures set forth in </w:t>
      </w:r>
      <w:r>
        <w:rPr>
          <w:rFonts w:ascii="Arial" w:eastAsia="Arial" w:hAnsi="Arial" w:cs="Arial"/>
          <w:u w:val="single"/>
        </w:rPr>
        <w:t>Section 25</w:t>
      </w:r>
      <w:r>
        <w:rPr>
          <w:rFonts w:ascii="Arial" w:eastAsia="Arial" w:hAnsi="Arial" w:cs="Arial"/>
        </w:rPr>
        <w:t>.</w:t>
      </w:r>
    </w:p>
    <w:p w14:paraId="53AEC59A" w14:textId="77777777" w:rsidR="00D1587D" w:rsidRDefault="00D1587D">
      <w:pPr>
        <w:spacing w:line="214" w:lineRule="exact"/>
        <w:rPr>
          <w:rFonts w:ascii="Arial" w:eastAsia="Arial" w:hAnsi="Arial" w:cs="Arial"/>
        </w:rPr>
      </w:pPr>
    </w:p>
    <w:p w14:paraId="72DF750A" w14:textId="77777777" w:rsidR="00D1587D" w:rsidRDefault="00410D07">
      <w:pPr>
        <w:numPr>
          <w:ilvl w:val="3"/>
          <w:numId w:val="115"/>
        </w:numPr>
        <w:tabs>
          <w:tab w:val="left" w:pos="2428"/>
        </w:tabs>
        <w:spacing w:line="297" w:lineRule="auto"/>
        <w:ind w:left="652" w:right="80" w:firstLine="968"/>
        <w:rPr>
          <w:rFonts w:ascii="Arial" w:eastAsia="Arial" w:hAnsi="Arial" w:cs="Arial"/>
          <w:sz w:val="19"/>
          <w:szCs w:val="19"/>
        </w:rPr>
      </w:pPr>
      <w:r>
        <w:rPr>
          <w:rFonts w:ascii="Arial" w:eastAsia="Arial" w:hAnsi="Arial" w:cs="Arial"/>
          <w:sz w:val="19"/>
          <w:szCs w:val="19"/>
        </w:rPr>
        <w:t xml:space="preserve">If a VS Carried Item (other than an L Brands Specified Tax Attribute) is carried back to (i) a Pre-Distribution Period or (ii) a Joint Tax </w:t>
      </w:r>
      <w:r>
        <w:rPr>
          <w:rFonts w:ascii="Arial" w:eastAsia="Arial" w:hAnsi="Arial" w:cs="Arial"/>
          <w:sz w:val="19"/>
          <w:szCs w:val="19"/>
        </w:rPr>
        <w:t>Return pursuant to Section 6(c)(i), L Brands shall be required to make a payment to the VS Group in an amount equal to the Tax Benefit in respect of such VS Carried Item in accordance with Section 8(c).</w:t>
      </w:r>
    </w:p>
    <w:p w14:paraId="019A0782" w14:textId="77777777" w:rsidR="00D1587D" w:rsidRDefault="00D1587D">
      <w:pPr>
        <w:spacing w:line="160" w:lineRule="exact"/>
        <w:rPr>
          <w:rFonts w:ascii="Arial" w:eastAsia="Arial" w:hAnsi="Arial" w:cs="Arial"/>
          <w:sz w:val="19"/>
          <w:szCs w:val="19"/>
        </w:rPr>
      </w:pPr>
    </w:p>
    <w:p w14:paraId="0D1EB7E8" w14:textId="77777777" w:rsidR="00D1587D" w:rsidRDefault="00410D07">
      <w:pPr>
        <w:numPr>
          <w:ilvl w:val="2"/>
          <w:numId w:val="115"/>
        </w:numPr>
        <w:tabs>
          <w:tab w:val="left" w:pos="1626"/>
        </w:tabs>
        <w:spacing w:line="249" w:lineRule="auto"/>
        <w:ind w:left="-8" w:right="80" w:firstLine="850"/>
        <w:rPr>
          <w:rFonts w:ascii="Arial" w:eastAsia="Arial" w:hAnsi="Arial" w:cs="Arial"/>
          <w:sz w:val="21"/>
          <w:szCs w:val="21"/>
        </w:rPr>
      </w:pPr>
      <w:r>
        <w:rPr>
          <w:rFonts w:ascii="Arial" w:eastAsia="Arial" w:hAnsi="Arial" w:cs="Arial"/>
          <w:i/>
          <w:iCs/>
          <w:sz w:val="21"/>
          <w:szCs w:val="21"/>
        </w:rPr>
        <w:t xml:space="preserve">Carryforwards to Separate Tax Returns. </w:t>
      </w:r>
      <w:r>
        <w:rPr>
          <w:rFonts w:ascii="Arial" w:eastAsia="Arial" w:hAnsi="Arial" w:cs="Arial"/>
          <w:sz w:val="21"/>
          <w:szCs w:val="21"/>
        </w:rPr>
        <w:t xml:space="preserve">If a portion </w:t>
      </w:r>
      <w:r>
        <w:rPr>
          <w:rFonts w:ascii="Arial" w:eastAsia="Arial" w:hAnsi="Arial" w:cs="Arial"/>
          <w:sz w:val="21"/>
          <w:szCs w:val="21"/>
        </w:rPr>
        <w:t>or all of any Tax Attribute is allocated to a member of a</w:t>
      </w:r>
      <w:r>
        <w:rPr>
          <w:rFonts w:ascii="Arial" w:eastAsia="Arial" w:hAnsi="Arial" w:cs="Arial"/>
          <w:i/>
          <w:iCs/>
          <w:sz w:val="21"/>
          <w:szCs w:val="21"/>
        </w:rPr>
        <w:t xml:space="preserve"> </w:t>
      </w:r>
      <w:r>
        <w:rPr>
          <w:rFonts w:ascii="Arial" w:eastAsia="Arial" w:hAnsi="Arial" w:cs="Arial"/>
          <w:sz w:val="21"/>
          <w:szCs w:val="21"/>
        </w:rPr>
        <w:t xml:space="preserve">Combined Group pursuant to </w:t>
      </w:r>
      <w:r>
        <w:rPr>
          <w:rFonts w:ascii="Arial" w:eastAsia="Arial" w:hAnsi="Arial" w:cs="Arial"/>
          <w:sz w:val="21"/>
          <w:szCs w:val="21"/>
          <w:u w:val="single"/>
        </w:rPr>
        <w:t>Section 5</w:t>
      </w:r>
      <w:r>
        <w:rPr>
          <w:rFonts w:ascii="Arial" w:eastAsia="Arial" w:hAnsi="Arial" w:cs="Arial"/>
          <w:sz w:val="21"/>
          <w:szCs w:val="21"/>
        </w:rPr>
        <w:t xml:space="preserve"> and carried forward to a VS Post-2020 Separate Income Tax Return, any Tax Benefits arising from such carryforward shall be retained by the VS Group. If a portion</w:t>
      </w:r>
      <w:r>
        <w:rPr>
          <w:rFonts w:ascii="Arial" w:eastAsia="Arial" w:hAnsi="Arial" w:cs="Arial"/>
          <w:sz w:val="21"/>
          <w:szCs w:val="21"/>
        </w:rPr>
        <w:t xml:space="preserve"> or all of any Tax Attribute is allocated to a member of a Combined Group pursuant to </w:t>
      </w:r>
      <w:r>
        <w:rPr>
          <w:rFonts w:ascii="Arial" w:eastAsia="Arial" w:hAnsi="Arial" w:cs="Arial"/>
          <w:sz w:val="21"/>
          <w:szCs w:val="21"/>
          <w:u w:val="single"/>
        </w:rPr>
        <w:t>Section 5</w:t>
      </w:r>
      <w:r>
        <w:rPr>
          <w:rFonts w:ascii="Arial" w:eastAsia="Arial" w:hAnsi="Arial" w:cs="Arial"/>
          <w:sz w:val="21"/>
          <w:szCs w:val="21"/>
        </w:rPr>
        <w:t>, and is carried forward to a L Brands Separate Tax Return, any Tax Benefits arising from such carryforward shall be retained by the L Brands Group.</w:t>
      </w:r>
    </w:p>
    <w:p w14:paraId="6E82032A" w14:textId="77777777" w:rsidR="00D1587D" w:rsidRDefault="00D1587D">
      <w:pPr>
        <w:spacing w:line="205" w:lineRule="exact"/>
        <w:rPr>
          <w:sz w:val="20"/>
          <w:szCs w:val="20"/>
        </w:rPr>
      </w:pPr>
    </w:p>
    <w:p w14:paraId="0CC05D55" w14:textId="77777777" w:rsidR="00D1587D" w:rsidRDefault="00410D07">
      <w:pPr>
        <w:tabs>
          <w:tab w:val="left" w:pos="2032"/>
        </w:tabs>
        <w:ind w:left="652"/>
        <w:rPr>
          <w:sz w:val="20"/>
          <w:szCs w:val="20"/>
        </w:rPr>
      </w:pPr>
      <w:r>
        <w:rPr>
          <w:rFonts w:ascii="Arial" w:eastAsia="Arial" w:hAnsi="Arial" w:cs="Arial"/>
        </w:rPr>
        <w:t>Section 7.</w:t>
      </w:r>
      <w:r>
        <w:rPr>
          <w:sz w:val="20"/>
          <w:szCs w:val="20"/>
        </w:rPr>
        <w:tab/>
      </w:r>
      <w:r>
        <w:rPr>
          <w:rFonts w:ascii="Arial" w:eastAsia="Arial" w:hAnsi="Arial" w:cs="Arial"/>
          <w:i/>
          <w:iCs/>
          <w:sz w:val="19"/>
          <w:szCs w:val="19"/>
        </w:rPr>
        <w:t>Deductions and Reporting for Certain Awards</w:t>
      </w:r>
      <w:r>
        <w:rPr>
          <w:rFonts w:ascii="Arial" w:eastAsia="Arial" w:hAnsi="Arial" w:cs="Arial"/>
          <w:sz w:val="19"/>
          <w:szCs w:val="19"/>
        </w:rPr>
        <w:t>.</w:t>
      </w:r>
    </w:p>
    <w:p w14:paraId="4AC93383" w14:textId="77777777" w:rsidR="00D1587D" w:rsidRDefault="00D1587D">
      <w:pPr>
        <w:spacing w:line="233" w:lineRule="exact"/>
        <w:rPr>
          <w:sz w:val="20"/>
          <w:szCs w:val="20"/>
        </w:rPr>
      </w:pPr>
    </w:p>
    <w:p w14:paraId="23C9F3D2" w14:textId="77777777" w:rsidR="00D1587D" w:rsidRDefault="00410D07">
      <w:pPr>
        <w:numPr>
          <w:ilvl w:val="0"/>
          <w:numId w:val="116"/>
        </w:numPr>
        <w:tabs>
          <w:tab w:val="left" w:pos="1614"/>
        </w:tabs>
        <w:spacing w:line="246" w:lineRule="auto"/>
        <w:ind w:left="-8" w:right="80" w:firstLine="850"/>
        <w:rPr>
          <w:rFonts w:ascii="Arial" w:eastAsia="Arial" w:hAnsi="Arial" w:cs="Arial"/>
          <w:sz w:val="21"/>
          <w:szCs w:val="21"/>
        </w:rPr>
      </w:pPr>
      <w:r>
        <w:rPr>
          <w:rFonts w:ascii="Arial" w:eastAsia="Arial" w:hAnsi="Arial" w:cs="Arial"/>
          <w:i/>
          <w:iCs/>
          <w:sz w:val="21"/>
          <w:szCs w:val="21"/>
        </w:rPr>
        <w:t xml:space="preserve">Deductions. </w:t>
      </w:r>
      <w:r>
        <w:rPr>
          <w:rFonts w:ascii="Arial" w:eastAsia="Arial" w:hAnsi="Arial" w:cs="Arial"/>
          <w:sz w:val="21"/>
          <w:szCs w:val="21"/>
        </w:rPr>
        <w:t>To the extent permitted by Applicable Tax Law, income Tax deductions with respect to the</w:t>
      </w:r>
      <w:r>
        <w:rPr>
          <w:rFonts w:ascii="Arial" w:eastAsia="Arial" w:hAnsi="Arial" w:cs="Arial"/>
          <w:i/>
          <w:iCs/>
          <w:sz w:val="21"/>
          <w:szCs w:val="21"/>
        </w:rPr>
        <w:t xml:space="preserve"> </w:t>
      </w:r>
      <w:r>
        <w:rPr>
          <w:rFonts w:ascii="Arial" w:eastAsia="Arial" w:hAnsi="Arial" w:cs="Arial"/>
          <w:sz w:val="21"/>
          <w:szCs w:val="21"/>
        </w:rPr>
        <w:t xml:space="preserve">issuance, exercise, vesting or settlement after the Distribution Date of any L Brands </w:t>
      </w:r>
      <w:r>
        <w:rPr>
          <w:rFonts w:ascii="Arial" w:eastAsia="Arial" w:hAnsi="Arial" w:cs="Arial"/>
          <w:sz w:val="21"/>
          <w:szCs w:val="21"/>
        </w:rPr>
        <w:t>Compensatory Equity Interests or VS Compensatory Equity Interests shall be claimed (i) in the case of an active officer or employee, solely by the Group that employs such Person at the time of such issuance, exercise, vesting, or settlement, as applicable;</w:t>
      </w:r>
      <w:r>
        <w:rPr>
          <w:rFonts w:ascii="Arial" w:eastAsia="Arial" w:hAnsi="Arial" w:cs="Arial"/>
          <w:sz w:val="21"/>
          <w:szCs w:val="21"/>
        </w:rPr>
        <w:t xml:space="preserve"> (ii) in the case of a former officer or employee, solely by the Group that was the last to employ such Person; and (iii) in the case of a director or former director (who is not an officer or employee or former officer or employee of a member of either Gr</w:t>
      </w:r>
      <w:r>
        <w:rPr>
          <w:rFonts w:ascii="Arial" w:eastAsia="Arial" w:hAnsi="Arial" w:cs="Arial"/>
          <w:sz w:val="21"/>
          <w:szCs w:val="21"/>
        </w:rPr>
        <w:t>oup), (x) solely by the L Brands Group if such person was, at any time before or after the Distribution, a director of any member of the L Brands Group, and (y) in any other case, solely by the VS Group.</w:t>
      </w:r>
    </w:p>
    <w:p w14:paraId="159B80DB" w14:textId="77777777" w:rsidR="00D1587D" w:rsidRDefault="00D1587D">
      <w:pPr>
        <w:spacing w:line="139" w:lineRule="exact"/>
        <w:rPr>
          <w:sz w:val="20"/>
          <w:szCs w:val="20"/>
        </w:rPr>
      </w:pPr>
    </w:p>
    <w:p w14:paraId="09AB0291" w14:textId="77777777" w:rsidR="00D1587D" w:rsidRDefault="00410D07">
      <w:pPr>
        <w:ind w:right="-11"/>
        <w:jc w:val="center"/>
        <w:rPr>
          <w:sz w:val="20"/>
          <w:szCs w:val="20"/>
        </w:rPr>
      </w:pPr>
      <w:r>
        <w:rPr>
          <w:rFonts w:ascii="Arial" w:eastAsia="Arial" w:hAnsi="Arial" w:cs="Arial"/>
        </w:rPr>
        <w:t>13</w:t>
      </w:r>
    </w:p>
    <w:p w14:paraId="008E2037" w14:textId="77777777" w:rsidR="00D1587D" w:rsidRDefault="00410D07">
      <w:pPr>
        <w:spacing w:line="20" w:lineRule="exact"/>
        <w:rPr>
          <w:sz w:val="20"/>
          <w:szCs w:val="20"/>
        </w:rPr>
      </w:pPr>
      <w:r>
        <w:rPr>
          <w:noProof/>
          <w:sz w:val="20"/>
          <w:szCs w:val="20"/>
        </w:rPr>
        <w:drawing>
          <wp:anchor distT="0" distB="0" distL="114300" distR="114300" simplePos="0" relativeHeight="251307008" behindDoc="1" locked="0" layoutInCell="0" allowOverlap="1" wp14:anchorId="66CB9C53" wp14:editId="2C390C79">
            <wp:simplePos x="0" y="0"/>
            <wp:positionH relativeFrom="column">
              <wp:posOffset>0</wp:posOffset>
            </wp:positionH>
            <wp:positionV relativeFrom="paragraph">
              <wp:posOffset>41275</wp:posOffset>
            </wp:positionV>
            <wp:extent cx="7132320" cy="1714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7767F8C" w14:textId="77777777" w:rsidR="00D1587D" w:rsidRDefault="00D1587D">
      <w:pPr>
        <w:sectPr w:rsidR="00D1587D">
          <w:pgSz w:w="11900" w:h="16838"/>
          <w:pgMar w:top="361" w:right="339" w:bottom="1440" w:left="328" w:header="0" w:footer="0" w:gutter="0"/>
          <w:cols w:space="720" w:equalWidth="0">
            <w:col w:w="11232"/>
          </w:cols>
        </w:sectPr>
      </w:pPr>
    </w:p>
    <w:p w14:paraId="48080616" w14:textId="77777777" w:rsidR="00D1587D" w:rsidRDefault="00410D07">
      <w:pPr>
        <w:numPr>
          <w:ilvl w:val="0"/>
          <w:numId w:val="117"/>
        </w:numPr>
        <w:tabs>
          <w:tab w:val="left" w:pos="1614"/>
        </w:tabs>
        <w:spacing w:line="279" w:lineRule="auto"/>
        <w:ind w:left="-20" w:right="20" w:firstLine="850"/>
        <w:rPr>
          <w:rFonts w:ascii="Arial" w:eastAsia="Arial" w:hAnsi="Arial" w:cs="Arial"/>
          <w:sz w:val="19"/>
          <w:szCs w:val="19"/>
        </w:rPr>
      </w:pPr>
      <w:bookmarkStart w:id="152" w:name="page153"/>
      <w:bookmarkEnd w:id="152"/>
      <w:r>
        <w:rPr>
          <w:rFonts w:ascii="Arial" w:eastAsia="Arial" w:hAnsi="Arial" w:cs="Arial"/>
          <w:sz w:val="19"/>
          <w:szCs w:val="19"/>
        </w:rPr>
        <w:t xml:space="preserve">If, </w:t>
      </w:r>
      <w:r>
        <w:rPr>
          <w:rFonts w:ascii="Arial" w:eastAsia="Arial" w:hAnsi="Arial" w:cs="Arial"/>
          <w:sz w:val="19"/>
          <w:szCs w:val="19"/>
        </w:rPr>
        <w:t>notwithstanding clause (a), it is reasonably likely that the VS Group will, under Applicable Tax Law, utilize a deduction for a Taxable period ending after the Distribution Date with respect to (i) the issuance, exercise, vesting or settlement after the Di</w:t>
      </w:r>
      <w:r>
        <w:rPr>
          <w:rFonts w:ascii="Arial" w:eastAsia="Arial" w:hAnsi="Arial" w:cs="Arial"/>
          <w:sz w:val="19"/>
          <w:szCs w:val="19"/>
        </w:rPr>
        <w:t xml:space="preserve">stribution Date of any L Brands Compensatory Equity Interests, or (ii) any liability with respect to compensation required to be paid or satisfied by, or otherwise allocated to, any member of the L Brands Group in accordance with any Distribution Document </w:t>
      </w:r>
      <w:r>
        <w:rPr>
          <w:rFonts w:ascii="Arial" w:eastAsia="Arial" w:hAnsi="Arial" w:cs="Arial"/>
          <w:sz w:val="19"/>
          <w:szCs w:val="19"/>
        </w:rPr>
        <w:t>(the “</w:t>
      </w:r>
      <w:r>
        <w:rPr>
          <w:rFonts w:ascii="Arial" w:eastAsia="Arial" w:hAnsi="Arial" w:cs="Arial"/>
          <w:b/>
          <w:bCs/>
          <w:sz w:val="19"/>
          <w:szCs w:val="19"/>
        </w:rPr>
        <w:t>Reimbursable Payment</w:t>
      </w:r>
      <w:r>
        <w:rPr>
          <w:rFonts w:ascii="Arial" w:eastAsia="Arial" w:hAnsi="Arial" w:cs="Arial"/>
          <w:sz w:val="19"/>
          <w:szCs w:val="19"/>
        </w:rPr>
        <w:t>”), L Brands shall reduce the amount payable to the relevant member of the VS Group with respect to the Reimbursable Payment by [__]% (the “</w:t>
      </w:r>
      <w:r>
        <w:rPr>
          <w:rFonts w:ascii="Arial" w:eastAsia="Arial" w:hAnsi="Arial" w:cs="Arial"/>
          <w:b/>
          <w:bCs/>
          <w:sz w:val="19"/>
          <w:szCs w:val="19"/>
        </w:rPr>
        <w:t>Reimbursement Adjustment</w:t>
      </w:r>
      <w:r>
        <w:rPr>
          <w:rFonts w:ascii="Arial" w:eastAsia="Arial" w:hAnsi="Arial" w:cs="Arial"/>
          <w:sz w:val="19"/>
          <w:szCs w:val="19"/>
        </w:rPr>
        <w:t>”).</w:t>
      </w:r>
    </w:p>
    <w:p w14:paraId="76DE5254" w14:textId="77777777" w:rsidR="00D1587D" w:rsidRDefault="00D1587D">
      <w:pPr>
        <w:spacing w:line="177" w:lineRule="exact"/>
        <w:rPr>
          <w:rFonts w:ascii="Arial" w:eastAsia="Arial" w:hAnsi="Arial" w:cs="Arial"/>
          <w:sz w:val="19"/>
          <w:szCs w:val="19"/>
        </w:rPr>
      </w:pPr>
    </w:p>
    <w:p w14:paraId="4A0966A3" w14:textId="77777777" w:rsidR="00D1587D" w:rsidRDefault="00410D07">
      <w:pPr>
        <w:numPr>
          <w:ilvl w:val="0"/>
          <w:numId w:val="117"/>
        </w:numPr>
        <w:tabs>
          <w:tab w:val="left" w:pos="1602"/>
        </w:tabs>
        <w:spacing w:line="279" w:lineRule="auto"/>
        <w:ind w:left="-20" w:firstLine="850"/>
        <w:rPr>
          <w:rFonts w:ascii="Arial" w:eastAsia="Arial" w:hAnsi="Arial" w:cs="Arial"/>
          <w:sz w:val="19"/>
          <w:szCs w:val="19"/>
        </w:rPr>
      </w:pPr>
      <w:r>
        <w:rPr>
          <w:rFonts w:ascii="Arial" w:eastAsia="Arial" w:hAnsi="Arial" w:cs="Arial"/>
          <w:i/>
          <w:iCs/>
          <w:sz w:val="19"/>
          <w:szCs w:val="19"/>
        </w:rPr>
        <w:t>Withholding and Reporting</w:t>
      </w:r>
      <w:r>
        <w:rPr>
          <w:rFonts w:ascii="Arial" w:eastAsia="Arial" w:hAnsi="Arial" w:cs="Arial"/>
          <w:sz w:val="19"/>
          <w:szCs w:val="19"/>
        </w:rPr>
        <w:t>. All applicable withholding and rep</w:t>
      </w:r>
      <w:r>
        <w:rPr>
          <w:rFonts w:ascii="Arial" w:eastAsia="Arial" w:hAnsi="Arial" w:cs="Arial"/>
          <w:sz w:val="19"/>
          <w:szCs w:val="19"/>
        </w:rPr>
        <w:t>orting responsibilities (including all income,</w:t>
      </w:r>
      <w:r>
        <w:rPr>
          <w:rFonts w:ascii="Arial" w:eastAsia="Arial" w:hAnsi="Arial" w:cs="Arial"/>
          <w:i/>
          <w:iCs/>
          <w:sz w:val="19"/>
          <w:szCs w:val="19"/>
        </w:rPr>
        <w:t xml:space="preserve"> </w:t>
      </w:r>
      <w:r>
        <w:rPr>
          <w:rFonts w:ascii="Arial" w:eastAsia="Arial" w:hAnsi="Arial" w:cs="Arial"/>
          <w:sz w:val="19"/>
          <w:szCs w:val="19"/>
        </w:rPr>
        <w:t>payroll or other Tax reporting related to income to any current or former employee) with respect to the issuance, exercise, vesting or settlement of any L Brands Compensatory Equity Interests or VS Compensator</w:t>
      </w:r>
      <w:r>
        <w:rPr>
          <w:rFonts w:ascii="Arial" w:eastAsia="Arial" w:hAnsi="Arial" w:cs="Arial"/>
          <w:sz w:val="19"/>
          <w:szCs w:val="19"/>
        </w:rPr>
        <w:t xml:space="preserve">y Equity Interests shall be the responsibility of the Party to which such responsibility has been prescribed by Section 8.04 of the Employee Matters Agreement. L Brands and VS acknowledge and agree that the Parties shall cooperate with each other and with </w:t>
      </w:r>
      <w:r>
        <w:rPr>
          <w:rFonts w:ascii="Arial" w:eastAsia="Arial" w:hAnsi="Arial" w:cs="Arial"/>
          <w:sz w:val="19"/>
          <w:szCs w:val="19"/>
        </w:rPr>
        <w:t>third-party providers to effectuate withholding and remittance of Taxes, as well as required Tax reporting, in a timely manner.</w:t>
      </w:r>
    </w:p>
    <w:p w14:paraId="65B35A72" w14:textId="77777777" w:rsidR="00D1587D" w:rsidRDefault="00D1587D">
      <w:pPr>
        <w:spacing w:line="177" w:lineRule="exact"/>
        <w:rPr>
          <w:sz w:val="20"/>
          <w:szCs w:val="20"/>
        </w:rPr>
      </w:pPr>
    </w:p>
    <w:p w14:paraId="2CA1C273" w14:textId="77777777" w:rsidR="00D1587D" w:rsidRDefault="00410D07">
      <w:pPr>
        <w:tabs>
          <w:tab w:val="left" w:pos="2020"/>
        </w:tabs>
        <w:ind w:left="640"/>
        <w:rPr>
          <w:sz w:val="20"/>
          <w:szCs w:val="20"/>
        </w:rPr>
      </w:pPr>
      <w:r>
        <w:rPr>
          <w:rFonts w:ascii="Arial" w:eastAsia="Arial" w:hAnsi="Arial" w:cs="Arial"/>
        </w:rPr>
        <w:t>Section 8.</w:t>
      </w:r>
      <w:r>
        <w:rPr>
          <w:sz w:val="20"/>
          <w:szCs w:val="20"/>
        </w:rPr>
        <w:tab/>
      </w:r>
      <w:r>
        <w:rPr>
          <w:rFonts w:ascii="Arial" w:eastAsia="Arial" w:hAnsi="Arial" w:cs="Arial"/>
          <w:i/>
          <w:iCs/>
          <w:sz w:val="18"/>
          <w:szCs w:val="18"/>
        </w:rPr>
        <w:t>Tax Benefits</w:t>
      </w:r>
      <w:r>
        <w:rPr>
          <w:rFonts w:ascii="Arial" w:eastAsia="Arial" w:hAnsi="Arial" w:cs="Arial"/>
          <w:sz w:val="18"/>
          <w:szCs w:val="18"/>
        </w:rPr>
        <w:t>.</w:t>
      </w:r>
    </w:p>
    <w:p w14:paraId="54AD72FE" w14:textId="77777777" w:rsidR="00D1587D" w:rsidRDefault="00D1587D">
      <w:pPr>
        <w:spacing w:line="233" w:lineRule="exact"/>
        <w:rPr>
          <w:sz w:val="20"/>
          <w:szCs w:val="20"/>
        </w:rPr>
      </w:pPr>
    </w:p>
    <w:p w14:paraId="1D21637A" w14:textId="77777777" w:rsidR="00D1587D" w:rsidRDefault="00410D07">
      <w:pPr>
        <w:numPr>
          <w:ilvl w:val="0"/>
          <w:numId w:val="118"/>
        </w:numPr>
        <w:tabs>
          <w:tab w:val="left" w:pos="1602"/>
        </w:tabs>
        <w:spacing w:line="249" w:lineRule="auto"/>
        <w:ind w:left="-20" w:right="120" w:firstLine="850"/>
        <w:rPr>
          <w:rFonts w:ascii="Arial" w:eastAsia="Arial" w:hAnsi="Arial" w:cs="Arial"/>
          <w:sz w:val="21"/>
          <w:szCs w:val="21"/>
        </w:rPr>
      </w:pPr>
      <w:r>
        <w:rPr>
          <w:rFonts w:ascii="Arial" w:eastAsia="Arial" w:hAnsi="Arial" w:cs="Arial"/>
          <w:i/>
          <w:iCs/>
          <w:sz w:val="21"/>
          <w:szCs w:val="21"/>
        </w:rPr>
        <w:t>L Brands Tax Benefits</w:t>
      </w:r>
      <w:r>
        <w:rPr>
          <w:rFonts w:ascii="Arial" w:eastAsia="Arial" w:hAnsi="Arial" w:cs="Arial"/>
          <w:sz w:val="21"/>
          <w:szCs w:val="21"/>
        </w:rPr>
        <w:t xml:space="preserve">. L Brands shall be entitled to any Tax Benefits (including, in the case of </w:t>
      </w:r>
      <w:r>
        <w:rPr>
          <w:rFonts w:ascii="Arial" w:eastAsia="Arial" w:hAnsi="Arial" w:cs="Arial"/>
          <w:sz w:val="21"/>
          <w:szCs w:val="21"/>
        </w:rPr>
        <w:t>any refund</w:t>
      </w:r>
      <w:r>
        <w:rPr>
          <w:rFonts w:ascii="Arial" w:eastAsia="Arial" w:hAnsi="Arial" w:cs="Arial"/>
          <w:i/>
          <w:iCs/>
          <w:sz w:val="21"/>
          <w:szCs w:val="21"/>
        </w:rPr>
        <w:t xml:space="preserve"> </w:t>
      </w:r>
      <w:r>
        <w:rPr>
          <w:rFonts w:ascii="Arial" w:eastAsia="Arial" w:hAnsi="Arial" w:cs="Arial"/>
          <w:sz w:val="21"/>
          <w:szCs w:val="21"/>
        </w:rPr>
        <w:t xml:space="preserve">received, any interest thereon actually received) received by any member of the L Brands Group or any member of the VS Group, other than any Tax Benefits (or any amounts in respect of Tax Benefits) to which VS is entitled pursuant to </w:t>
      </w:r>
      <w:r>
        <w:rPr>
          <w:rFonts w:ascii="Arial" w:eastAsia="Arial" w:hAnsi="Arial" w:cs="Arial"/>
          <w:sz w:val="21"/>
          <w:szCs w:val="21"/>
          <w:u w:val="single"/>
        </w:rPr>
        <w:t>Section 8(b</w:t>
      </w:r>
      <w:r>
        <w:rPr>
          <w:rFonts w:ascii="Arial" w:eastAsia="Arial" w:hAnsi="Arial" w:cs="Arial"/>
          <w:sz w:val="21"/>
          <w:szCs w:val="21"/>
          <w:u w:val="single"/>
        </w:rPr>
        <w:t>)</w:t>
      </w:r>
      <w:r>
        <w:rPr>
          <w:rFonts w:ascii="Arial" w:eastAsia="Arial" w:hAnsi="Arial" w:cs="Arial"/>
          <w:sz w:val="21"/>
          <w:szCs w:val="21"/>
        </w:rPr>
        <w:t xml:space="preserve"> (or, with respect to any VS Carried Item, </w:t>
      </w:r>
      <w:r>
        <w:rPr>
          <w:rFonts w:ascii="Arial" w:eastAsia="Arial" w:hAnsi="Arial" w:cs="Arial"/>
          <w:sz w:val="21"/>
          <w:szCs w:val="21"/>
          <w:u w:val="single"/>
        </w:rPr>
        <w:t>Section 6</w:t>
      </w:r>
      <w:r>
        <w:rPr>
          <w:rFonts w:ascii="Arial" w:eastAsia="Arial" w:hAnsi="Arial" w:cs="Arial"/>
          <w:sz w:val="21"/>
          <w:szCs w:val="21"/>
        </w:rPr>
        <w:t xml:space="preserve">). VS shall not be entitled to any Tax Benefits received by any member of the L Brands Group or the VS Group, except as set forth in </w:t>
      </w:r>
      <w:r>
        <w:rPr>
          <w:rFonts w:ascii="Arial" w:eastAsia="Arial" w:hAnsi="Arial" w:cs="Arial"/>
          <w:sz w:val="21"/>
          <w:szCs w:val="21"/>
          <w:u w:val="single"/>
        </w:rPr>
        <w:t>Section 8(b)</w:t>
      </w:r>
      <w:r>
        <w:rPr>
          <w:rFonts w:ascii="Arial" w:eastAsia="Arial" w:hAnsi="Arial" w:cs="Arial"/>
          <w:sz w:val="21"/>
          <w:szCs w:val="21"/>
        </w:rPr>
        <w:t>.</w:t>
      </w:r>
    </w:p>
    <w:p w14:paraId="24F1F3B2" w14:textId="77777777" w:rsidR="00D1587D" w:rsidRDefault="00D1587D">
      <w:pPr>
        <w:spacing w:line="205" w:lineRule="exact"/>
        <w:rPr>
          <w:rFonts w:ascii="Arial" w:eastAsia="Arial" w:hAnsi="Arial" w:cs="Arial"/>
          <w:sz w:val="21"/>
          <w:szCs w:val="21"/>
        </w:rPr>
      </w:pPr>
    </w:p>
    <w:p w14:paraId="711ECC3A" w14:textId="77777777" w:rsidR="00D1587D" w:rsidRDefault="00410D07">
      <w:pPr>
        <w:numPr>
          <w:ilvl w:val="0"/>
          <w:numId w:val="118"/>
        </w:numPr>
        <w:tabs>
          <w:tab w:val="left" w:pos="1614"/>
        </w:tabs>
        <w:spacing w:line="248" w:lineRule="auto"/>
        <w:ind w:left="-20" w:right="20" w:firstLine="850"/>
        <w:rPr>
          <w:rFonts w:ascii="Arial" w:eastAsia="Arial" w:hAnsi="Arial" w:cs="Arial"/>
          <w:sz w:val="21"/>
          <w:szCs w:val="21"/>
        </w:rPr>
      </w:pPr>
      <w:r>
        <w:rPr>
          <w:rFonts w:ascii="Arial" w:eastAsia="Arial" w:hAnsi="Arial" w:cs="Arial"/>
          <w:i/>
          <w:iCs/>
          <w:sz w:val="21"/>
          <w:szCs w:val="21"/>
        </w:rPr>
        <w:t xml:space="preserve">VS Tax Benefits. </w:t>
      </w:r>
      <w:r>
        <w:rPr>
          <w:rFonts w:ascii="Arial" w:eastAsia="Arial" w:hAnsi="Arial" w:cs="Arial"/>
          <w:sz w:val="21"/>
          <w:szCs w:val="21"/>
        </w:rPr>
        <w:t>VS shall be entitled to any Tax Benefi</w:t>
      </w:r>
      <w:r>
        <w:rPr>
          <w:rFonts w:ascii="Arial" w:eastAsia="Arial" w:hAnsi="Arial" w:cs="Arial"/>
          <w:sz w:val="21"/>
          <w:szCs w:val="21"/>
        </w:rPr>
        <w:t>ts (including, in the case of any refund received, any</w:t>
      </w:r>
      <w:r>
        <w:rPr>
          <w:rFonts w:ascii="Arial" w:eastAsia="Arial" w:hAnsi="Arial" w:cs="Arial"/>
          <w:i/>
          <w:iCs/>
          <w:sz w:val="21"/>
          <w:szCs w:val="21"/>
        </w:rPr>
        <w:t xml:space="preserve"> </w:t>
      </w:r>
      <w:r>
        <w:rPr>
          <w:rFonts w:ascii="Arial" w:eastAsia="Arial" w:hAnsi="Arial" w:cs="Arial"/>
          <w:sz w:val="21"/>
          <w:szCs w:val="21"/>
        </w:rPr>
        <w:t>interest thereon actually received) received by any member of the L Brands Group or any member of the VS Group after the Distribution Date (i) with respect to any Tax allocated to a member of the VS Gr</w:t>
      </w:r>
      <w:r>
        <w:rPr>
          <w:rFonts w:ascii="Arial" w:eastAsia="Arial" w:hAnsi="Arial" w:cs="Arial"/>
          <w:sz w:val="21"/>
          <w:szCs w:val="21"/>
        </w:rPr>
        <w:t xml:space="preserve">oup under this Agreement (including, for the avoidance of doubt, any amounts allocated to VS pursuant to </w:t>
      </w:r>
      <w:r>
        <w:rPr>
          <w:rFonts w:ascii="Arial" w:eastAsia="Arial" w:hAnsi="Arial" w:cs="Arial"/>
          <w:sz w:val="21"/>
          <w:szCs w:val="21"/>
          <w:u w:val="single"/>
        </w:rPr>
        <w:t>Section 3(c)(iii)</w:t>
      </w:r>
      <w:r>
        <w:rPr>
          <w:rFonts w:ascii="Arial" w:eastAsia="Arial" w:hAnsi="Arial" w:cs="Arial"/>
          <w:sz w:val="21"/>
          <w:szCs w:val="21"/>
        </w:rPr>
        <w:t>) or (ii) resulting from a VS Specified Tax Attribute, in each case, other than (x) any Tax Benefits resulting from a VS Carried Item,</w:t>
      </w:r>
      <w:r>
        <w:rPr>
          <w:rFonts w:ascii="Arial" w:eastAsia="Arial" w:hAnsi="Arial" w:cs="Arial"/>
          <w:sz w:val="21"/>
          <w:szCs w:val="21"/>
        </w:rPr>
        <w:t xml:space="preserve"> which shall be governed by Section 6 and (y) any Tax Benefit resulting from an L Brands Specified Tax Attribute.</w:t>
      </w:r>
    </w:p>
    <w:p w14:paraId="458DC1BC" w14:textId="77777777" w:rsidR="00D1587D" w:rsidRDefault="00D1587D">
      <w:pPr>
        <w:spacing w:line="197" w:lineRule="exact"/>
        <w:rPr>
          <w:rFonts w:ascii="Arial" w:eastAsia="Arial" w:hAnsi="Arial" w:cs="Arial"/>
          <w:sz w:val="21"/>
          <w:szCs w:val="21"/>
        </w:rPr>
      </w:pPr>
    </w:p>
    <w:p w14:paraId="6A4E1C17" w14:textId="77777777" w:rsidR="00D1587D" w:rsidRDefault="00410D07">
      <w:pPr>
        <w:numPr>
          <w:ilvl w:val="0"/>
          <w:numId w:val="118"/>
        </w:numPr>
        <w:tabs>
          <w:tab w:val="left" w:pos="1590"/>
        </w:tabs>
        <w:spacing w:line="278" w:lineRule="auto"/>
        <w:ind w:left="-20" w:right="140" w:firstLine="850"/>
        <w:rPr>
          <w:rFonts w:ascii="Arial" w:eastAsia="Arial" w:hAnsi="Arial" w:cs="Arial"/>
          <w:sz w:val="19"/>
          <w:szCs w:val="19"/>
        </w:rPr>
      </w:pPr>
      <w:r>
        <w:rPr>
          <w:rFonts w:ascii="Arial" w:eastAsia="Arial" w:hAnsi="Arial" w:cs="Arial"/>
          <w:sz w:val="19"/>
          <w:szCs w:val="19"/>
        </w:rPr>
        <w:t>A Company receiving (or realizing) a Tax Benefit to which another Company is entitled hereunder (a “</w:t>
      </w:r>
      <w:r>
        <w:rPr>
          <w:rFonts w:ascii="Arial" w:eastAsia="Arial" w:hAnsi="Arial" w:cs="Arial"/>
          <w:b/>
          <w:bCs/>
          <w:sz w:val="19"/>
          <w:szCs w:val="19"/>
        </w:rPr>
        <w:t>Tax</w:t>
      </w:r>
      <w:r>
        <w:rPr>
          <w:rFonts w:ascii="Arial" w:eastAsia="Arial" w:hAnsi="Arial" w:cs="Arial"/>
          <w:sz w:val="19"/>
          <w:szCs w:val="19"/>
        </w:rPr>
        <w:t xml:space="preserve"> </w:t>
      </w:r>
      <w:r>
        <w:rPr>
          <w:rFonts w:ascii="Arial" w:eastAsia="Arial" w:hAnsi="Arial" w:cs="Arial"/>
          <w:b/>
          <w:bCs/>
          <w:sz w:val="19"/>
          <w:szCs w:val="19"/>
        </w:rPr>
        <w:t>Benefit Recipient</w:t>
      </w:r>
      <w:r>
        <w:rPr>
          <w:rFonts w:ascii="Arial" w:eastAsia="Arial" w:hAnsi="Arial" w:cs="Arial"/>
          <w:sz w:val="19"/>
          <w:szCs w:val="19"/>
        </w:rPr>
        <w:t>”) shall pay over th</w:t>
      </w:r>
      <w:r>
        <w:rPr>
          <w:rFonts w:ascii="Arial" w:eastAsia="Arial" w:hAnsi="Arial" w:cs="Arial"/>
          <w:sz w:val="19"/>
          <w:szCs w:val="19"/>
        </w:rPr>
        <w:t>e amount of such Tax Benefit (including interest received from the relevant Taxing</w:t>
      </w:r>
      <w:r>
        <w:rPr>
          <w:rFonts w:ascii="Arial" w:eastAsia="Arial" w:hAnsi="Arial" w:cs="Arial"/>
          <w:b/>
          <w:bCs/>
          <w:sz w:val="19"/>
          <w:szCs w:val="19"/>
        </w:rPr>
        <w:t xml:space="preserve"> </w:t>
      </w:r>
      <w:r>
        <w:rPr>
          <w:rFonts w:ascii="Arial" w:eastAsia="Arial" w:hAnsi="Arial" w:cs="Arial"/>
          <w:sz w:val="19"/>
          <w:szCs w:val="19"/>
        </w:rPr>
        <w:t xml:space="preserve">Authority, but net of any Taxes imposed with respect to such Tax Benefit and any other reasonable costs associated therewith) within thirty (30) days of receipt thereof (or </w:t>
      </w:r>
      <w:r>
        <w:rPr>
          <w:rFonts w:ascii="Arial" w:eastAsia="Arial" w:hAnsi="Arial" w:cs="Arial"/>
          <w:sz w:val="19"/>
          <w:szCs w:val="19"/>
        </w:rPr>
        <w:t xml:space="preserve">from the due date for payment of any Tax reduced thereby); </w:t>
      </w:r>
      <w:r>
        <w:rPr>
          <w:rFonts w:ascii="Arial" w:eastAsia="Arial" w:hAnsi="Arial" w:cs="Arial"/>
          <w:i/>
          <w:iCs/>
          <w:sz w:val="19"/>
          <w:szCs w:val="19"/>
        </w:rPr>
        <w:t>provided, however</w:t>
      </w:r>
      <w:r>
        <w:rPr>
          <w:rFonts w:ascii="Arial" w:eastAsia="Arial" w:hAnsi="Arial" w:cs="Arial"/>
          <w:sz w:val="19"/>
          <w:szCs w:val="19"/>
        </w:rPr>
        <w:t xml:space="preserve">, that the other Company, upon the request of such Tax Benefit Recipient, shall repay the amount paid to the other Company (plus any penalties, interest or other charges </w:t>
      </w:r>
      <w:r>
        <w:rPr>
          <w:rFonts w:ascii="Arial" w:eastAsia="Arial" w:hAnsi="Arial" w:cs="Arial"/>
          <w:sz w:val="19"/>
          <w:szCs w:val="19"/>
        </w:rPr>
        <w:t>imposed by the relevant Taxing Authority) in the event that, as a result of a subsequent Final Determination, a Tax Benefit that gave rise to such payment is subsequently disallowed.</w:t>
      </w:r>
    </w:p>
    <w:p w14:paraId="5198938B" w14:textId="77777777" w:rsidR="00D1587D" w:rsidRDefault="00D1587D">
      <w:pPr>
        <w:spacing w:line="111" w:lineRule="exact"/>
        <w:rPr>
          <w:sz w:val="20"/>
          <w:szCs w:val="20"/>
        </w:rPr>
      </w:pPr>
    </w:p>
    <w:p w14:paraId="656118A1" w14:textId="77777777" w:rsidR="00D1587D" w:rsidRDefault="00410D07">
      <w:pPr>
        <w:jc w:val="center"/>
        <w:rPr>
          <w:sz w:val="20"/>
          <w:szCs w:val="20"/>
        </w:rPr>
      </w:pPr>
      <w:r>
        <w:rPr>
          <w:rFonts w:ascii="Arial" w:eastAsia="Arial" w:hAnsi="Arial" w:cs="Arial"/>
        </w:rPr>
        <w:t>14</w:t>
      </w:r>
    </w:p>
    <w:p w14:paraId="58FAD039" w14:textId="77777777" w:rsidR="00D1587D" w:rsidRDefault="00410D07">
      <w:pPr>
        <w:spacing w:line="20" w:lineRule="exact"/>
        <w:rPr>
          <w:sz w:val="20"/>
          <w:szCs w:val="20"/>
        </w:rPr>
      </w:pPr>
      <w:r>
        <w:rPr>
          <w:noProof/>
          <w:sz w:val="20"/>
          <w:szCs w:val="20"/>
        </w:rPr>
        <w:drawing>
          <wp:anchor distT="0" distB="0" distL="114300" distR="114300" simplePos="0" relativeHeight="251308032" behindDoc="1" locked="0" layoutInCell="0" allowOverlap="1" wp14:anchorId="23A03C26" wp14:editId="55304E80">
            <wp:simplePos x="0" y="0"/>
            <wp:positionH relativeFrom="column">
              <wp:posOffset>-6985</wp:posOffset>
            </wp:positionH>
            <wp:positionV relativeFrom="paragraph">
              <wp:posOffset>41275</wp:posOffset>
            </wp:positionV>
            <wp:extent cx="7132320" cy="1714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912FE97" w14:textId="77777777" w:rsidR="00D1587D" w:rsidRDefault="00D1587D">
      <w:pPr>
        <w:sectPr w:rsidR="00D1587D">
          <w:pgSz w:w="11900" w:h="16838"/>
          <w:pgMar w:top="361" w:right="339" w:bottom="1440" w:left="340" w:header="0" w:footer="0" w:gutter="0"/>
          <w:cols w:space="720" w:equalWidth="0">
            <w:col w:w="11220"/>
          </w:cols>
        </w:sectPr>
      </w:pPr>
    </w:p>
    <w:p w14:paraId="58BD9F33" w14:textId="77777777" w:rsidR="00D1587D" w:rsidRDefault="00410D07">
      <w:pPr>
        <w:tabs>
          <w:tab w:val="left" w:pos="1380"/>
        </w:tabs>
        <w:rPr>
          <w:sz w:val="20"/>
          <w:szCs w:val="20"/>
        </w:rPr>
      </w:pPr>
      <w:bookmarkStart w:id="153" w:name="page154"/>
      <w:bookmarkEnd w:id="153"/>
      <w:r>
        <w:rPr>
          <w:rFonts w:ascii="Arial" w:eastAsia="Arial" w:hAnsi="Arial" w:cs="Arial"/>
        </w:rPr>
        <w:t>Section 9.</w:t>
      </w:r>
      <w:r>
        <w:rPr>
          <w:sz w:val="20"/>
          <w:szCs w:val="20"/>
        </w:rPr>
        <w:tab/>
      </w:r>
      <w:r>
        <w:rPr>
          <w:rFonts w:ascii="Arial" w:eastAsia="Arial" w:hAnsi="Arial" w:cs="Arial"/>
          <w:i/>
          <w:iCs/>
          <w:sz w:val="19"/>
          <w:szCs w:val="19"/>
        </w:rPr>
        <w:t xml:space="preserve">Certain </w:t>
      </w:r>
      <w:r>
        <w:rPr>
          <w:rFonts w:ascii="Arial" w:eastAsia="Arial" w:hAnsi="Arial" w:cs="Arial"/>
          <w:i/>
          <w:iCs/>
          <w:sz w:val="19"/>
          <w:szCs w:val="19"/>
        </w:rPr>
        <w:t>Representations and Covenants</w:t>
      </w:r>
      <w:r>
        <w:rPr>
          <w:rFonts w:ascii="Arial" w:eastAsia="Arial" w:hAnsi="Arial" w:cs="Arial"/>
          <w:sz w:val="19"/>
          <w:szCs w:val="19"/>
        </w:rPr>
        <w:t>.</w:t>
      </w:r>
    </w:p>
    <w:p w14:paraId="7D915824" w14:textId="77777777" w:rsidR="00D1587D" w:rsidRDefault="00D1587D">
      <w:pPr>
        <w:spacing w:line="233" w:lineRule="exact"/>
        <w:rPr>
          <w:sz w:val="20"/>
          <w:szCs w:val="20"/>
        </w:rPr>
      </w:pPr>
    </w:p>
    <w:p w14:paraId="4BEF5D81" w14:textId="77777777" w:rsidR="00D1587D" w:rsidRDefault="00410D07">
      <w:pPr>
        <w:numPr>
          <w:ilvl w:val="0"/>
          <w:numId w:val="119"/>
        </w:numPr>
        <w:tabs>
          <w:tab w:val="left" w:pos="960"/>
        </w:tabs>
        <w:ind w:left="960" w:hanging="770"/>
        <w:rPr>
          <w:rFonts w:ascii="Arial" w:eastAsia="Arial" w:hAnsi="Arial" w:cs="Arial"/>
        </w:rPr>
      </w:pPr>
      <w:r>
        <w:rPr>
          <w:rFonts w:ascii="Arial" w:eastAsia="Arial" w:hAnsi="Arial" w:cs="Arial"/>
          <w:i/>
          <w:iCs/>
        </w:rPr>
        <w:t>Representations</w:t>
      </w:r>
      <w:r>
        <w:rPr>
          <w:rFonts w:ascii="Arial" w:eastAsia="Arial" w:hAnsi="Arial" w:cs="Arial"/>
        </w:rPr>
        <w:t>.</w:t>
      </w:r>
    </w:p>
    <w:p w14:paraId="38E30497" w14:textId="77777777" w:rsidR="00D1587D" w:rsidRDefault="00D1587D">
      <w:pPr>
        <w:spacing w:line="233" w:lineRule="exact"/>
        <w:rPr>
          <w:rFonts w:ascii="Arial" w:eastAsia="Arial" w:hAnsi="Arial" w:cs="Arial"/>
        </w:rPr>
      </w:pPr>
    </w:p>
    <w:p w14:paraId="7833EFD1" w14:textId="77777777" w:rsidR="00D1587D" w:rsidRDefault="00410D07">
      <w:pPr>
        <w:numPr>
          <w:ilvl w:val="1"/>
          <w:numId w:val="119"/>
        </w:numPr>
        <w:tabs>
          <w:tab w:val="left" w:pos="1872"/>
        </w:tabs>
        <w:spacing w:line="250" w:lineRule="auto"/>
        <w:ind w:left="160" w:firstLine="970"/>
        <w:rPr>
          <w:rFonts w:ascii="Arial" w:eastAsia="Arial" w:hAnsi="Arial" w:cs="Arial"/>
        </w:rPr>
      </w:pPr>
      <w:r>
        <w:rPr>
          <w:rFonts w:ascii="Arial" w:eastAsia="Arial" w:hAnsi="Arial" w:cs="Arial"/>
        </w:rPr>
        <w:t>VS and each other member of the VS Group represents that as of the date hereof, and covenants that as of the Distribution Date, there is no plan or intention:</w:t>
      </w:r>
    </w:p>
    <w:p w14:paraId="7B841265" w14:textId="77777777" w:rsidR="00D1587D" w:rsidRDefault="00D1587D">
      <w:pPr>
        <w:spacing w:line="201" w:lineRule="exact"/>
        <w:rPr>
          <w:rFonts w:ascii="Arial" w:eastAsia="Arial" w:hAnsi="Arial" w:cs="Arial"/>
        </w:rPr>
      </w:pPr>
    </w:p>
    <w:p w14:paraId="14C29512" w14:textId="77777777" w:rsidR="00D1587D" w:rsidRDefault="00410D07">
      <w:pPr>
        <w:numPr>
          <w:ilvl w:val="2"/>
          <w:numId w:val="119"/>
        </w:numPr>
        <w:tabs>
          <w:tab w:val="left" w:pos="2577"/>
        </w:tabs>
        <w:spacing w:line="250" w:lineRule="auto"/>
        <w:ind w:left="700" w:right="420" w:firstLine="1046"/>
        <w:rPr>
          <w:rFonts w:ascii="Arial" w:eastAsia="Arial" w:hAnsi="Arial" w:cs="Arial"/>
        </w:rPr>
      </w:pPr>
      <w:r>
        <w:rPr>
          <w:rFonts w:ascii="Arial" w:eastAsia="Arial" w:hAnsi="Arial" w:cs="Arial"/>
        </w:rPr>
        <w:t>to liquidate VS or to merge or consolidate any</w:t>
      </w:r>
      <w:r>
        <w:rPr>
          <w:rFonts w:ascii="Arial" w:eastAsia="Arial" w:hAnsi="Arial" w:cs="Arial"/>
        </w:rPr>
        <w:t xml:space="preserve"> member of the VS Group with any other Person subsequent to the Distribution;</w:t>
      </w:r>
    </w:p>
    <w:p w14:paraId="07DD8811" w14:textId="77777777" w:rsidR="00D1587D" w:rsidRDefault="00D1587D">
      <w:pPr>
        <w:spacing w:line="201" w:lineRule="exact"/>
        <w:rPr>
          <w:rFonts w:ascii="Arial" w:eastAsia="Arial" w:hAnsi="Arial" w:cs="Arial"/>
        </w:rPr>
      </w:pPr>
    </w:p>
    <w:p w14:paraId="58B9B450" w14:textId="77777777" w:rsidR="00D1587D" w:rsidRDefault="00410D07">
      <w:pPr>
        <w:numPr>
          <w:ilvl w:val="2"/>
          <w:numId w:val="119"/>
        </w:numPr>
        <w:tabs>
          <w:tab w:val="left" w:pos="2565"/>
        </w:tabs>
        <w:spacing w:line="250" w:lineRule="auto"/>
        <w:ind w:left="700" w:right="100" w:firstLine="1046"/>
        <w:rPr>
          <w:rFonts w:ascii="Arial" w:eastAsia="Arial" w:hAnsi="Arial" w:cs="Arial"/>
        </w:rPr>
      </w:pPr>
      <w:r>
        <w:rPr>
          <w:rFonts w:ascii="Arial" w:eastAsia="Arial" w:hAnsi="Arial" w:cs="Arial"/>
        </w:rPr>
        <w:t>to sell, transfer or otherwise dispose of any material asset of any member of the VS Group, except in the ordinary course of business;</w:t>
      </w:r>
    </w:p>
    <w:p w14:paraId="67474D7B" w14:textId="77777777" w:rsidR="00D1587D" w:rsidRDefault="00D1587D">
      <w:pPr>
        <w:spacing w:line="201" w:lineRule="exact"/>
        <w:rPr>
          <w:rFonts w:ascii="Arial" w:eastAsia="Arial" w:hAnsi="Arial" w:cs="Arial"/>
        </w:rPr>
      </w:pPr>
    </w:p>
    <w:p w14:paraId="35746185" w14:textId="77777777" w:rsidR="00D1587D" w:rsidRDefault="00410D07">
      <w:pPr>
        <w:numPr>
          <w:ilvl w:val="2"/>
          <w:numId w:val="119"/>
        </w:numPr>
        <w:tabs>
          <w:tab w:val="left" w:pos="2565"/>
        </w:tabs>
        <w:ind w:left="700" w:firstLine="1046"/>
        <w:rPr>
          <w:rFonts w:ascii="Arial" w:eastAsia="Arial" w:hAnsi="Arial" w:cs="Arial"/>
        </w:rPr>
      </w:pPr>
      <w:r>
        <w:rPr>
          <w:rFonts w:ascii="Arial" w:eastAsia="Arial" w:hAnsi="Arial" w:cs="Arial"/>
        </w:rPr>
        <w:t xml:space="preserve">to take or fail to take any action in a </w:t>
      </w:r>
      <w:r>
        <w:rPr>
          <w:rFonts w:ascii="Arial" w:eastAsia="Arial" w:hAnsi="Arial" w:cs="Arial"/>
        </w:rPr>
        <w:t>manner that is inconsistent with the written information and representations furnished by VS to the Tax Adviser in connection with the Tax Representation Letters or the Tax Opinion;</w:t>
      </w:r>
    </w:p>
    <w:p w14:paraId="4CCDEC21" w14:textId="77777777" w:rsidR="00D1587D" w:rsidRDefault="00D1587D">
      <w:pPr>
        <w:spacing w:line="213" w:lineRule="exact"/>
        <w:rPr>
          <w:rFonts w:ascii="Arial" w:eastAsia="Arial" w:hAnsi="Arial" w:cs="Arial"/>
        </w:rPr>
      </w:pPr>
    </w:p>
    <w:p w14:paraId="12E88C67" w14:textId="77777777" w:rsidR="00D1587D" w:rsidRDefault="00410D07">
      <w:pPr>
        <w:numPr>
          <w:ilvl w:val="2"/>
          <w:numId w:val="119"/>
        </w:numPr>
        <w:tabs>
          <w:tab w:val="left" w:pos="2577"/>
        </w:tabs>
        <w:spacing w:line="238" w:lineRule="auto"/>
        <w:ind w:left="700" w:right="60" w:firstLine="1046"/>
        <w:jc w:val="both"/>
        <w:rPr>
          <w:rFonts w:ascii="Arial" w:eastAsia="Arial" w:hAnsi="Arial" w:cs="Arial"/>
        </w:rPr>
      </w:pPr>
      <w:r>
        <w:rPr>
          <w:rFonts w:ascii="Arial" w:eastAsia="Arial" w:hAnsi="Arial" w:cs="Arial"/>
        </w:rPr>
        <w:t>to repurchase stock of VS other than in a manner that satisfies the requi</w:t>
      </w:r>
      <w:r>
        <w:rPr>
          <w:rFonts w:ascii="Arial" w:eastAsia="Arial" w:hAnsi="Arial" w:cs="Arial"/>
        </w:rPr>
        <w:t>rements of Section 4.05(1)(b) of IRS Revenue Procedure 96-30 (as in effect prior to the amendment of such Revenue Procedure by IRS Revenue Procedure 2003-48) and consistent with any representations made to the Tax Adviser in connection with the Tax Represe</w:t>
      </w:r>
      <w:r>
        <w:rPr>
          <w:rFonts w:ascii="Arial" w:eastAsia="Arial" w:hAnsi="Arial" w:cs="Arial"/>
        </w:rPr>
        <w:t>ntation Letters;</w:t>
      </w:r>
    </w:p>
    <w:p w14:paraId="7E5EF9CC" w14:textId="77777777" w:rsidR="00D1587D" w:rsidRDefault="00D1587D">
      <w:pPr>
        <w:spacing w:line="211" w:lineRule="exact"/>
        <w:rPr>
          <w:rFonts w:ascii="Arial" w:eastAsia="Arial" w:hAnsi="Arial" w:cs="Arial"/>
        </w:rPr>
      </w:pPr>
    </w:p>
    <w:p w14:paraId="1CA1F1A9" w14:textId="77777777" w:rsidR="00D1587D" w:rsidRDefault="00410D07">
      <w:pPr>
        <w:numPr>
          <w:ilvl w:val="2"/>
          <w:numId w:val="119"/>
        </w:numPr>
        <w:tabs>
          <w:tab w:val="left" w:pos="2553"/>
        </w:tabs>
        <w:spacing w:line="297" w:lineRule="auto"/>
        <w:ind w:left="700" w:right="520" w:firstLine="1046"/>
        <w:rPr>
          <w:rFonts w:ascii="Arial" w:eastAsia="Arial" w:hAnsi="Arial" w:cs="Arial"/>
          <w:sz w:val="19"/>
          <w:szCs w:val="19"/>
        </w:rPr>
      </w:pPr>
      <w:r>
        <w:rPr>
          <w:rFonts w:ascii="Arial" w:eastAsia="Arial" w:hAnsi="Arial" w:cs="Arial"/>
          <w:sz w:val="19"/>
          <w:szCs w:val="19"/>
        </w:rPr>
        <w:t>to take or fail to take any action in a manner that management of VS knows, or should know, is reasonably likely to contravene any agreement with a Taxing Authority entered into prior to the Distribution Date to which any member of the VS</w:t>
      </w:r>
      <w:r>
        <w:rPr>
          <w:rFonts w:ascii="Arial" w:eastAsia="Arial" w:hAnsi="Arial" w:cs="Arial"/>
          <w:sz w:val="19"/>
          <w:szCs w:val="19"/>
        </w:rPr>
        <w:t xml:space="preserve"> Group or the L Brands Group is a party; or</w:t>
      </w:r>
    </w:p>
    <w:p w14:paraId="0BC09F43" w14:textId="77777777" w:rsidR="00D1587D" w:rsidRDefault="00D1587D">
      <w:pPr>
        <w:spacing w:line="160" w:lineRule="exact"/>
        <w:rPr>
          <w:rFonts w:ascii="Arial" w:eastAsia="Arial" w:hAnsi="Arial" w:cs="Arial"/>
          <w:sz w:val="19"/>
          <w:szCs w:val="19"/>
        </w:rPr>
      </w:pPr>
    </w:p>
    <w:p w14:paraId="77AA9006" w14:textId="77777777" w:rsidR="00D1587D" w:rsidRDefault="00410D07">
      <w:pPr>
        <w:numPr>
          <w:ilvl w:val="2"/>
          <w:numId w:val="119"/>
        </w:numPr>
        <w:tabs>
          <w:tab w:val="left" w:pos="2541"/>
        </w:tabs>
        <w:spacing w:line="279" w:lineRule="auto"/>
        <w:ind w:left="700" w:right="20" w:firstLine="1046"/>
        <w:rPr>
          <w:rFonts w:ascii="Arial" w:eastAsia="Arial" w:hAnsi="Arial" w:cs="Arial"/>
          <w:sz w:val="19"/>
          <w:szCs w:val="19"/>
        </w:rPr>
      </w:pPr>
      <w:r>
        <w:rPr>
          <w:rFonts w:ascii="Arial" w:eastAsia="Arial" w:hAnsi="Arial" w:cs="Arial"/>
          <w:sz w:val="19"/>
          <w:szCs w:val="19"/>
        </w:rPr>
        <w:t>to enter into any negotiations, agreements, or arrangements with respect to transactions or events (including stock issuances, pursuant to the exercise of options or otherwise, option grants, the adoption of, or</w:t>
      </w:r>
      <w:r>
        <w:rPr>
          <w:rFonts w:ascii="Arial" w:eastAsia="Arial" w:hAnsi="Arial" w:cs="Arial"/>
          <w:sz w:val="19"/>
          <w:szCs w:val="19"/>
        </w:rPr>
        <w:t xml:space="preserve"> authorization of shares under, a stock option plan, capital contributions, or acquisitions, but not including the Distribution) that could reasonably be expected to cause the Distribution to be treated as part of a plan (within the meaning of Section 355(</w:t>
      </w:r>
      <w:r>
        <w:rPr>
          <w:rFonts w:ascii="Arial" w:eastAsia="Arial" w:hAnsi="Arial" w:cs="Arial"/>
          <w:sz w:val="19"/>
          <w:szCs w:val="19"/>
        </w:rPr>
        <w:t>e) of the Code) pursuant to which one or more Persons acquire directly or indirectly VS stock representing a 50% or greater interest within the meaning of Section 355(d)(4) of the Code.</w:t>
      </w:r>
    </w:p>
    <w:p w14:paraId="65642958" w14:textId="77777777" w:rsidR="00D1587D" w:rsidRDefault="00D1587D">
      <w:pPr>
        <w:spacing w:line="177" w:lineRule="exact"/>
        <w:rPr>
          <w:rFonts w:ascii="Arial" w:eastAsia="Arial" w:hAnsi="Arial" w:cs="Arial"/>
          <w:sz w:val="19"/>
          <w:szCs w:val="19"/>
        </w:rPr>
      </w:pPr>
    </w:p>
    <w:p w14:paraId="4E92F5DA" w14:textId="77777777" w:rsidR="00D1587D" w:rsidRDefault="00410D07">
      <w:pPr>
        <w:numPr>
          <w:ilvl w:val="0"/>
          <w:numId w:val="119"/>
        </w:numPr>
        <w:tabs>
          <w:tab w:val="left" w:pos="980"/>
        </w:tabs>
        <w:ind w:left="980" w:hanging="790"/>
        <w:rPr>
          <w:rFonts w:ascii="Arial" w:eastAsia="Arial" w:hAnsi="Arial" w:cs="Arial"/>
        </w:rPr>
      </w:pPr>
      <w:r>
        <w:rPr>
          <w:rFonts w:ascii="Arial" w:eastAsia="Arial" w:hAnsi="Arial" w:cs="Arial"/>
          <w:i/>
          <w:iCs/>
        </w:rPr>
        <w:t>Covenants.</w:t>
      </w:r>
    </w:p>
    <w:p w14:paraId="76EE80B6" w14:textId="77777777" w:rsidR="00D1587D" w:rsidRDefault="00D1587D">
      <w:pPr>
        <w:spacing w:line="233" w:lineRule="exact"/>
        <w:rPr>
          <w:rFonts w:ascii="Arial" w:eastAsia="Arial" w:hAnsi="Arial" w:cs="Arial"/>
        </w:rPr>
      </w:pPr>
    </w:p>
    <w:p w14:paraId="36CCC220" w14:textId="77777777" w:rsidR="00D1587D" w:rsidRDefault="00410D07">
      <w:pPr>
        <w:numPr>
          <w:ilvl w:val="1"/>
          <w:numId w:val="119"/>
        </w:numPr>
        <w:tabs>
          <w:tab w:val="left" w:pos="1872"/>
        </w:tabs>
        <w:spacing w:line="250" w:lineRule="auto"/>
        <w:ind w:left="160" w:right="400" w:firstLine="970"/>
        <w:rPr>
          <w:rFonts w:ascii="Arial" w:eastAsia="Arial" w:hAnsi="Arial" w:cs="Arial"/>
        </w:rPr>
      </w:pPr>
      <w:r>
        <w:rPr>
          <w:rFonts w:ascii="Arial" w:eastAsia="Arial" w:hAnsi="Arial" w:cs="Arial"/>
        </w:rPr>
        <w:t>VS shall not, and shall not permit any other member of th</w:t>
      </w:r>
      <w:r>
        <w:rPr>
          <w:rFonts w:ascii="Arial" w:eastAsia="Arial" w:hAnsi="Arial" w:cs="Arial"/>
        </w:rPr>
        <w:t>e VS Group to, take or fail to take any action that constitutes a VS Disqualifying Action.</w:t>
      </w:r>
    </w:p>
    <w:p w14:paraId="684010C7" w14:textId="77777777" w:rsidR="00D1587D" w:rsidRDefault="00D1587D">
      <w:pPr>
        <w:spacing w:line="201" w:lineRule="exact"/>
        <w:rPr>
          <w:rFonts w:ascii="Arial" w:eastAsia="Arial" w:hAnsi="Arial" w:cs="Arial"/>
        </w:rPr>
      </w:pPr>
    </w:p>
    <w:p w14:paraId="7CD0833F" w14:textId="77777777" w:rsidR="00D1587D" w:rsidRDefault="00410D07">
      <w:pPr>
        <w:numPr>
          <w:ilvl w:val="1"/>
          <w:numId w:val="119"/>
        </w:numPr>
        <w:tabs>
          <w:tab w:val="left" w:pos="1932"/>
        </w:tabs>
        <w:ind w:left="160" w:right="280" w:firstLine="970"/>
        <w:jc w:val="both"/>
        <w:rPr>
          <w:rFonts w:ascii="Arial" w:eastAsia="Arial" w:hAnsi="Arial" w:cs="Arial"/>
        </w:rPr>
      </w:pPr>
      <w:r>
        <w:rPr>
          <w:rFonts w:ascii="Arial" w:eastAsia="Arial" w:hAnsi="Arial" w:cs="Arial"/>
        </w:rPr>
        <w:t xml:space="preserve">VS shall not, and shall not permit any other member of the VS Group to, take or fail to take any action that is inconsistent with the information and </w:t>
      </w:r>
      <w:r>
        <w:rPr>
          <w:rFonts w:ascii="Arial" w:eastAsia="Arial" w:hAnsi="Arial" w:cs="Arial"/>
        </w:rPr>
        <w:t>representations furnished by VS to the Tax Adviser in connection with the Tax Representation Letters or the Tax Opinion.</w:t>
      </w:r>
    </w:p>
    <w:p w14:paraId="664809BC" w14:textId="77777777" w:rsidR="00D1587D" w:rsidRDefault="00D1587D">
      <w:pPr>
        <w:spacing w:line="213" w:lineRule="exact"/>
        <w:rPr>
          <w:rFonts w:ascii="Arial" w:eastAsia="Arial" w:hAnsi="Arial" w:cs="Arial"/>
        </w:rPr>
      </w:pPr>
    </w:p>
    <w:p w14:paraId="74AA6941" w14:textId="77777777" w:rsidR="00D1587D" w:rsidRDefault="00410D07">
      <w:pPr>
        <w:numPr>
          <w:ilvl w:val="1"/>
          <w:numId w:val="119"/>
        </w:numPr>
        <w:tabs>
          <w:tab w:val="left" w:pos="1992"/>
        </w:tabs>
        <w:spacing w:line="238" w:lineRule="auto"/>
        <w:ind w:left="160" w:right="280" w:firstLine="970"/>
        <w:jc w:val="both"/>
        <w:rPr>
          <w:rFonts w:ascii="Arial" w:eastAsia="Arial" w:hAnsi="Arial" w:cs="Arial"/>
        </w:rPr>
      </w:pPr>
      <w:r>
        <w:rPr>
          <w:rFonts w:ascii="Arial" w:eastAsia="Arial" w:hAnsi="Arial" w:cs="Arial"/>
        </w:rPr>
        <w:t>VS shall not, and shall not permit any other member of the VS Group to, take or fail to take any action in a manner that management of</w:t>
      </w:r>
      <w:r>
        <w:rPr>
          <w:rFonts w:ascii="Arial" w:eastAsia="Arial" w:hAnsi="Arial" w:cs="Arial"/>
        </w:rPr>
        <w:t xml:space="preserve"> VS knows, or should know, is reasonably likely to contravene any agreement with a Taxing Authority entered into prior to the Distribution Date to which any member of the VS Group or the L Brands Group is a party.</w:t>
      </w:r>
    </w:p>
    <w:p w14:paraId="4894DB66" w14:textId="77777777" w:rsidR="00D1587D" w:rsidRDefault="00D1587D">
      <w:pPr>
        <w:spacing w:line="144" w:lineRule="exact"/>
        <w:rPr>
          <w:sz w:val="20"/>
          <w:szCs w:val="20"/>
        </w:rPr>
      </w:pPr>
    </w:p>
    <w:p w14:paraId="11B1AA67" w14:textId="77777777" w:rsidR="00D1587D" w:rsidRDefault="00410D07">
      <w:pPr>
        <w:ind w:left="4860"/>
        <w:rPr>
          <w:sz w:val="20"/>
          <w:szCs w:val="20"/>
        </w:rPr>
      </w:pPr>
      <w:r>
        <w:rPr>
          <w:rFonts w:ascii="Arial" w:eastAsia="Arial" w:hAnsi="Arial" w:cs="Arial"/>
        </w:rPr>
        <w:t>15</w:t>
      </w:r>
    </w:p>
    <w:p w14:paraId="67E2FCCB" w14:textId="77777777" w:rsidR="00D1587D" w:rsidRDefault="00410D07">
      <w:pPr>
        <w:spacing w:line="20" w:lineRule="exact"/>
        <w:rPr>
          <w:sz w:val="20"/>
          <w:szCs w:val="20"/>
        </w:rPr>
      </w:pPr>
      <w:r>
        <w:rPr>
          <w:noProof/>
          <w:sz w:val="20"/>
          <w:szCs w:val="20"/>
        </w:rPr>
        <w:drawing>
          <wp:anchor distT="0" distB="0" distL="114300" distR="114300" simplePos="0" relativeHeight="251309056" behindDoc="1" locked="0" layoutInCell="0" allowOverlap="1" wp14:anchorId="39407664" wp14:editId="790AB7C3">
            <wp:simplePos x="0" y="0"/>
            <wp:positionH relativeFrom="column">
              <wp:posOffset>-413385</wp:posOffset>
            </wp:positionH>
            <wp:positionV relativeFrom="paragraph">
              <wp:posOffset>41275</wp:posOffset>
            </wp:positionV>
            <wp:extent cx="7132320" cy="1714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A08ED9D" w14:textId="77777777" w:rsidR="00D1587D" w:rsidRDefault="00D1587D">
      <w:pPr>
        <w:sectPr w:rsidR="00D1587D">
          <w:pgSz w:w="11900" w:h="16838"/>
          <w:pgMar w:top="361" w:right="379" w:bottom="1440" w:left="980" w:header="0" w:footer="0" w:gutter="0"/>
          <w:cols w:space="720" w:equalWidth="0">
            <w:col w:w="10540"/>
          </w:cols>
        </w:sectPr>
      </w:pPr>
    </w:p>
    <w:p w14:paraId="139048CD" w14:textId="77777777" w:rsidR="00D1587D" w:rsidRDefault="00410D07">
      <w:pPr>
        <w:numPr>
          <w:ilvl w:val="1"/>
          <w:numId w:val="120"/>
        </w:numPr>
        <w:tabs>
          <w:tab w:val="left" w:pos="1520"/>
        </w:tabs>
        <w:ind w:left="1520" w:hanging="850"/>
        <w:rPr>
          <w:rFonts w:ascii="Arial" w:eastAsia="Arial" w:hAnsi="Arial" w:cs="Arial"/>
        </w:rPr>
      </w:pPr>
      <w:bookmarkStart w:id="154" w:name="page155"/>
      <w:bookmarkEnd w:id="154"/>
      <w:r>
        <w:rPr>
          <w:rFonts w:ascii="Arial" w:eastAsia="Arial" w:hAnsi="Arial" w:cs="Arial"/>
        </w:rPr>
        <w:t>During the two-y</w:t>
      </w:r>
      <w:r>
        <w:rPr>
          <w:rFonts w:ascii="Arial" w:eastAsia="Arial" w:hAnsi="Arial" w:cs="Arial"/>
        </w:rPr>
        <w:t>ear period following the Distribution Date:</w:t>
      </w:r>
    </w:p>
    <w:p w14:paraId="21458CC2" w14:textId="77777777" w:rsidR="00D1587D" w:rsidRDefault="00D1587D">
      <w:pPr>
        <w:spacing w:line="233" w:lineRule="exact"/>
        <w:rPr>
          <w:rFonts w:ascii="Arial" w:eastAsia="Arial" w:hAnsi="Arial" w:cs="Arial"/>
        </w:rPr>
      </w:pPr>
    </w:p>
    <w:p w14:paraId="0435AF5E" w14:textId="77777777" w:rsidR="00D1587D" w:rsidRDefault="00410D07">
      <w:pPr>
        <w:numPr>
          <w:ilvl w:val="2"/>
          <w:numId w:val="120"/>
        </w:numPr>
        <w:tabs>
          <w:tab w:val="left" w:pos="2113"/>
        </w:tabs>
        <w:spacing w:line="268" w:lineRule="auto"/>
        <w:ind w:left="240" w:firstLine="1046"/>
        <w:rPr>
          <w:rFonts w:ascii="Arial" w:eastAsia="Arial" w:hAnsi="Arial" w:cs="Arial"/>
          <w:sz w:val="19"/>
          <w:szCs w:val="19"/>
        </w:rPr>
      </w:pPr>
      <w:r>
        <w:rPr>
          <w:rFonts w:ascii="Arial" w:eastAsia="Arial" w:hAnsi="Arial" w:cs="Arial"/>
          <w:sz w:val="19"/>
          <w:szCs w:val="19"/>
        </w:rPr>
        <w:t xml:space="preserve">VS shall (v) maintain its status as a company engaged in the Active Trade or Business for purposes of Section 355(b)(2) of the Code, (w) not engage in any transaction that would result in it ceasing to be a </w:t>
      </w:r>
      <w:r>
        <w:rPr>
          <w:rFonts w:ascii="Arial" w:eastAsia="Arial" w:hAnsi="Arial" w:cs="Arial"/>
          <w:sz w:val="19"/>
          <w:szCs w:val="19"/>
        </w:rPr>
        <w:t>company engaged in the Active Trade or Business for purposes of Section 355(b)(2) of the Code, (x) cause each other member of the VS Group whose Active Trade or Business is relied upon for purposes of qualifying the Distribution or any component of the Res</w:t>
      </w:r>
      <w:r>
        <w:rPr>
          <w:rFonts w:ascii="Arial" w:eastAsia="Arial" w:hAnsi="Arial" w:cs="Arial"/>
          <w:sz w:val="19"/>
          <w:szCs w:val="19"/>
        </w:rPr>
        <w:t>tructuring for the Intended Tax Treatment to maintain its status as a company engaged in such Active Trade or Business for purposes of Section 355(b)(2) of the Code and any such other Applicable Tax Law, (y) not engage in any transaction or permit any othe</w:t>
      </w:r>
      <w:r>
        <w:rPr>
          <w:rFonts w:ascii="Arial" w:eastAsia="Arial" w:hAnsi="Arial" w:cs="Arial"/>
          <w:sz w:val="19"/>
          <w:szCs w:val="19"/>
        </w:rPr>
        <w:t>r member of the VS Group to engage in any transaction that would result in a member of the VS Group described in clause (x) hereof ceasing to be a company engaged in the relevant Active Trade or Business for purposes of Section 355(b)(2) of the Code or suc</w:t>
      </w:r>
      <w:r>
        <w:rPr>
          <w:rFonts w:ascii="Arial" w:eastAsia="Arial" w:hAnsi="Arial" w:cs="Arial"/>
          <w:sz w:val="19"/>
          <w:szCs w:val="19"/>
        </w:rPr>
        <w:t>h other Applicable Tax Law, taking into account Section 355(b)(3) of the Code for purposes of each of clauses</w:t>
      </w:r>
    </w:p>
    <w:p w14:paraId="1A95682A" w14:textId="77777777" w:rsidR="00D1587D" w:rsidRDefault="00D1587D">
      <w:pPr>
        <w:spacing w:line="8" w:lineRule="exact"/>
        <w:rPr>
          <w:rFonts w:ascii="Arial" w:eastAsia="Arial" w:hAnsi="Arial" w:cs="Arial"/>
          <w:sz w:val="19"/>
          <w:szCs w:val="19"/>
        </w:rPr>
      </w:pPr>
    </w:p>
    <w:p w14:paraId="70C9E3E1" w14:textId="77777777" w:rsidR="00D1587D" w:rsidRDefault="00410D07">
      <w:pPr>
        <w:numPr>
          <w:ilvl w:val="0"/>
          <w:numId w:val="121"/>
        </w:numPr>
        <w:tabs>
          <w:tab w:val="left" w:pos="546"/>
        </w:tabs>
        <w:spacing w:line="248" w:lineRule="auto"/>
        <w:ind w:left="240" w:right="60" w:firstLine="9"/>
        <w:rPr>
          <w:rFonts w:ascii="Arial" w:eastAsia="Arial" w:hAnsi="Arial" w:cs="Arial"/>
          <w:sz w:val="21"/>
          <w:szCs w:val="21"/>
        </w:rPr>
      </w:pPr>
      <w:r>
        <w:rPr>
          <w:rFonts w:ascii="Arial" w:eastAsia="Arial" w:hAnsi="Arial" w:cs="Arial"/>
          <w:sz w:val="21"/>
          <w:szCs w:val="21"/>
        </w:rPr>
        <w:t xml:space="preserve">through (y) hereof and (z) not dispose of or permit a member of the VS Group to dispose of, directly or indirectly, any interest in a </w:t>
      </w:r>
      <w:r>
        <w:rPr>
          <w:rFonts w:ascii="Arial" w:eastAsia="Arial" w:hAnsi="Arial" w:cs="Arial"/>
          <w:sz w:val="21"/>
          <w:szCs w:val="21"/>
        </w:rPr>
        <w:t>member of the VS Group described in clause (x) hereof or permit any such member of the VS Group to make or revoke any election under Treasury Regulation Section 301.7701-3;</w:t>
      </w:r>
    </w:p>
    <w:p w14:paraId="0C3819AA" w14:textId="77777777" w:rsidR="00D1587D" w:rsidRDefault="00D1587D">
      <w:pPr>
        <w:spacing w:line="205" w:lineRule="exact"/>
        <w:rPr>
          <w:rFonts w:ascii="Arial" w:eastAsia="Arial" w:hAnsi="Arial" w:cs="Arial"/>
          <w:sz w:val="21"/>
          <w:szCs w:val="21"/>
        </w:rPr>
      </w:pPr>
    </w:p>
    <w:p w14:paraId="5F3D4A06" w14:textId="77777777" w:rsidR="00D1587D" w:rsidRDefault="00410D07">
      <w:pPr>
        <w:numPr>
          <w:ilvl w:val="2"/>
          <w:numId w:val="121"/>
        </w:numPr>
        <w:tabs>
          <w:tab w:val="left" w:pos="2100"/>
        </w:tabs>
        <w:ind w:left="2100" w:hanging="814"/>
        <w:rPr>
          <w:rFonts w:ascii="Arial" w:eastAsia="Arial" w:hAnsi="Arial" w:cs="Arial"/>
          <w:sz w:val="19"/>
          <w:szCs w:val="19"/>
        </w:rPr>
      </w:pPr>
      <w:r>
        <w:rPr>
          <w:rFonts w:ascii="Arial" w:eastAsia="Arial" w:hAnsi="Arial" w:cs="Arial"/>
          <w:sz w:val="19"/>
          <w:szCs w:val="19"/>
        </w:rPr>
        <w:t>VS shall not repurchase stock of VS in a manner contrary to the requirements of Se</w:t>
      </w:r>
      <w:r>
        <w:rPr>
          <w:rFonts w:ascii="Arial" w:eastAsia="Arial" w:hAnsi="Arial" w:cs="Arial"/>
          <w:sz w:val="19"/>
          <w:szCs w:val="19"/>
        </w:rPr>
        <w:t>ction</w:t>
      </w:r>
    </w:p>
    <w:p w14:paraId="4D4DBC05" w14:textId="77777777" w:rsidR="00D1587D" w:rsidRDefault="00D1587D">
      <w:pPr>
        <w:spacing w:line="43" w:lineRule="exact"/>
        <w:rPr>
          <w:sz w:val="20"/>
          <w:szCs w:val="20"/>
        </w:rPr>
      </w:pPr>
    </w:p>
    <w:p w14:paraId="3A32DE9D" w14:textId="77777777" w:rsidR="00D1587D" w:rsidRDefault="00410D07">
      <w:pPr>
        <w:spacing w:line="234" w:lineRule="auto"/>
        <w:ind w:left="240" w:right="240"/>
        <w:rPr>
          <w:sz w:val="20"/>
          <w:szCs w:val="20"/>
        </w:rPr>
      </w:pPr>
      <w:r>
        <w:rPr>
          <w:rFonts w:ascii="Arial" w:eastAsia="Arial" w:hAnsi="Arial" w:cs="Arial"/>
        </w:rPr>
        <w:t>4.05(1)(b) of IRS Revenue Procedure 96-30 (as in effect prior to the amendment of such Revenue Procedure by IRS Revenue Procedure 2003-48) or inconsistent with any representations made by VS to the Tax Adviser in connection with the Tax Representati</w:t>
      </w:r>
      <w:r>
        <w:rPr>
          <w:rFonts w:ascii="Arial" w:eastAsia="Arial" w:hAnsi="Arial" w:cs="Arial"/>
        </w:rPr>
        <w:t>on Letters;</w:t>
      </w:r>
    </w:p>
    <w:p w14:paraId="4C92FBDC" w14:textId="77777777" w:rsidR="00D1587D" w:rsidRDefault="00D1587D">
      <w:pPr>
        <w:spacing w:line="214" w:lineRule="exact"/>
        <w:rPr>
          <w:sz w:val="20"/>
          <w:szCs w:val="20"/>
        </w:rPr>
      </w:pPr>
    </w:p>
    <w:p w14:paraId="3DD5040F" w14:textId="77777777" w:rsidR="00D1587D" w:rsidRDefault="00410D07">
      <w:pPr>
        <w:numPr>
          <w:ilvl w:val="0"/>
          <w:numId w:val="122"/>
        </w:numPr>
        <w:tabs>
          <w:tab w:val="left" w:pos="2100"/>
        </w:tabs>
        <w:ind w:left="2100" w:hanging="814"/>
        <w:rPr>
          <w:rFonts w:ascii="Arial" w:eastAsia="Arial" w:hAnsi="Arial" w:cs="Arial"/>
          <w:sz w:val="21"/>
          <w:szCs w:val="21"/>
        </w:rPr>
      </w:pPr>
      <w:r>
        <w:rPr>
          <w:rFonts w:ascii="Arial" w:eastAsia="Arial" w:hAnsi="Arial" w:cs="Arial"/>
          <w:sz w:val="21"/>
          <w:szCs w:val="21"/>
        </w:rPr>
        <w:t>VS shall not, and shall not agree to, merge, consolidate or amalgamate with any other</w:t>
      </w:r>
    </w:p>
    <w:p w14:paraId="300984D3" w14:textId="77777777" w:rsidR="00D1587D" w:rsidRDefault="00D1587D">
      <w:pPr>
        <w:spacing w:line="20" w:lineRule="exact"/>
        <w:rPr>
          <w:sz w:val="20"/>
          <w:szCs w:val="20"/>
        </w:rPr>
      </w:pPr>
    </w:p>
    <w:p w14:paraId="7839502A" w14:textId="77777777" w:rsidR="00D1587D" w:rsidRDefault="00410D07">
      <w:pPr>
        <w:ind w:left="240"/>
        <w:rPr>
          <w:sz w:val="20"/>
          <w:szCs w:val="20"/>
        </w:rPr>
      </w:pPr>
      <w:r>
        <w:rPr>
          <w:rFonts w:ascii="Arial" w:eastAsia="Arial" w:hAnsi="Arial" w:cs="Arial"/>
        </w:rPr>
        <w:t>Person;</w:t>
      </w:r>
    </w:p>
    <w:p w14:paraId="49C56055" w14:textId="77777777" w:rsidR="00D1587D" w:rsidRDefault="00D1587D">
      <w:pPr>
        <w:spacing w:line="215" w:lineRule="exact"/>
        <w:rPr>
          <w:sz w:val="20"/>
          <w:szCs w:val="20"/>
        </w:rPr>
      </w:pPr>
    </w:p>
    <w:p w14:paraId="340D6722" w14:textId="77777777" w:rsidR="00D1587D" w:rsidRDefault="00410D07">
      <w:pPr>
        <w:numPr>
          <w:ilvl w:val="0"/>
          <w:numId w:val="123"/>
        </w:numPr>
        <w:tabs>
          <w:tab w:val="left" w:pos="2113"/>
        </w:tabs>
        <w:spacing w:line="282" w:lineRule="auto"/>
        <w:ind w:left="240" w:right="60" w:firstLine="1046"/>
        <w:rPr>
          <w:rFonts w:ascii="Arial" w:eastAsia="Arial" w:hAnsi="Arial" w:cs="Arial"/>
          <w:sz w:val="19"/>
          <w:szCs w:val="19"/>
        </w:rPr>
      </w:pPr>
      <w:r>
        <w:rPr>
          <w:rFonts w:ascii="Arial" w:eastAsia="Arial" w:hAnsi="Arial" w:cs="Arial"/>
          <w:sz w:val="19"/>
          <w:szCs w:val="19"/>
        </w:rPr>
        <w:t>VS shall not, and shall not permit any other member of the VS Group to, or to agree to, sell or otherwise issue to any Person, any Equity Interests</w:t>
      </w:r>
      <w:r>
        <w:rPr>
          <w:rFonts w:ascii="Arial" w:eastAsia="Arial" w:hAnsi="Arial" w:cs="Arial"/>
          <w:sz w:val="19"/>
          <w:szCs w:val="19"/>
        </w:rPr>
        <w:t xml:space="preserve"> of VS or of any other member of the VS Group; </w:t>
      </w:r>
      <w:r>
        <w:rPr>
          <w:rFonts w:ascii="Arial" w:eastAsia="Arial" w:hAnsi="Arial" w:cs="Arial"/>
          <w:i/>
          <w:iCs/>
          <w:sz w:val="19"/>
          <w:szCs w:val="19"/>
        </w:rPr>
        <w:t>provided</w:t>
      </w:r>
      <w:r>
        <w:rPr>
          <w:rFonts w:ascii="Arial" w:eastAsia="Arial" w:hAnsi="Arial" w:cs="Arial"/>
          <w:sz w:val="19"/>
          <w:szCs w:val="19"/>
        </w:rPr>
        <w:t xml:space="preserve">, </w:t>
      </w:r>
      <w:r>
        <w:rPr>
          <w:rFonts w:ascii="Arial" w:eastAsia="Arial" w:hAnsi="Arial" w:cs="Arial"/>
          <w:i/>
          <w:iCs/>
          <w:sz w:val="19"/>
          <w:szCs w:val="19"/>
        </w:rPr>
        <w:t>however</w:t>
      </w:r>
      <w:r>
        <w:rPr>
          <w:rFonts w:ascii="Arial" w:eastAsia="Arial" w:hAnsi="Arial" w:cs="Arial"/>
          <w:sz w:val="19"/>
          <w:szCs w:val="19"/>
        </w:rPr>
        <w:t>, that VS may issue Equity Interests to the extent such issuances satisfy Safe Harbor VIII (relating to</w:t>
      </w:r>
      <w:r>
        <w:rPr>
          <w:rFonts w:ascii="Arial" w:eastAsia="Arial" w:hAnsi="Arial" w:cs="Arial"/>
          <w:i/>
          <w:iCs/>
          <w:sz w:val="19"/>
          <w:szCs w:val="19"/>
        </w:rPr>
        <w:t xml:space="preserve"> </w:t>
      </w:r>
      <w:r>
        <w:rPr>
          <w:rFonts w:ascii="Arial" w:eastAsia="Arial" w:hAnsi="Arial" w:cs="Arial"/>
          <w:sz w:val="19"/>
          <w:szCs w:val="19"/>
        </w:rPr>
        <w:t>acquisitions in connection with a person’s performance of services) or Safe Harbor IX (r</w:t>
      </w:r>
      <w:r>
        <w:rPr>
          <w:rFonts w:ascii="Arial" w:eastAsia="Arial" w:hAnsi="Arial" w:cs="Arial"/>
          <w:sz w:val="19"/>
          <w:szCs w:val="19"/>
        </w:rPr>
        <w:t>elating to acquisitions by a retirement plan of an employer) of Treasury Regulations Section 1.355-7(d);</w:t>
      </w:r>
    </w:p>
    <w:p w14:paraId="013A5D6B" w14:textId="77777777" w:rsidR="00D1587D" w:rsidRDefault="00D1587D">
      <w:pPr>
        <w:spacing w:line="107" w:lineRule="exact"/>
        <w:rPr>
          <w:sz w:val="20"/>
          <w:szCs w:val="20"/>
        </w:rPr>
      </w:pPr>
    </w:p>
    <w:p w14:paraId="371E9216" w14:textId="77777777" w:rsidR="00D1587D" w:rsidRDefault="00410D07">
      <w:pPr>
        <w:ind w:left="4400"/>
        <w:rPr>
          <w:sz w:val="20"/>
          <w:szCs w:val="20"/>
        </w:rPr>
      </w:pPr>
      <w:r>
        <w:rPr>
          <w:rFonts w:ascii="Arial" w:eastAsia="Arial" w:hAnsi="Arial" w:cs="Arial"/>
        </w:rPr>
        <w:t>16</w:t>
      </w:r>
    </w:p>
    <w:p w14:paraId="2AD72305" w14:textId="77777777" w:rsidR="00D1587D" w:rsidRDefault="00410D07">
      <w:pPr>
        <w:spacing w:line="20" w:lineRule="exact"/>
        <w:rPr>
          <w:sz w:val="20"/>
          <w:szCs w:val="20"/>
        </w:rPr>
      </w:pPr>
      <w:r>
        <w:rPr>
          <w:noProof/>
          <w:sz w:val="20"/>
          <w:szCs w:val="20"/>
        </w:rPr>
        <w:drawing>
          <wp:anchor distT="0" distB="0" distL="114300" distR="114300" simplePos="0" relativeHeight="251310080" behindDoc="1" locked="0" layoutInCell="0" allowOverlap="1" wp14:anchorId="2B38A116" wp14:editId="36889C8A">
            <wp:simplePos x="0" y="0"/>
            <wp:positionH relativeFrom="column">
              <wp:posOffset>-705485</wp:posOffset>
            </wp:positionH>
            <wp:positionV relativeFrom="paragraph">
              <wp:posOffset>41275</wp:posOffset>
            </wp:positionV>
            <wp:extent cx="7132320" cy="1714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A6751A2" w14:textId="77777777" w:rsidR="00D1587D" w:rsidRDefault="00D1587D">
      <w:pPr>
        <w:sectPr w:rsidR="00D1587D">
          <w:pgSz w:w="11900" w:h="16838"/>
          <w:pgMar w:top="361" w:right="339" w:bottom="1440" w:left="1440" w:header="0" w:footer="0" w:gutter="0"/>
          <w:cols w:space="720" w:equalWidth="0">
            <w:col w:w="10120"/>
          </w:cols>
        </w:sectPr>
      </w:pPr>
    </w:p>
    <w:p w14:paraId="08B36D07" w14:textId="77777777" w:rsidR="00D1587D" w:rsidRDefault="00410D07">
      <w:pPr>
        <w:numPr>
          <w:ilvl w:val="2"/>
          <w:numId w:val="124"/>
        </w:numPr>
        <w:tabs>
          <w:tab w:val="left" w:pos="2089"/>
        </w:tabs>
        <w:spacing w:line="268" w:lineRule="auto"/>
        <w:ind w:left="240" w:firstLine="1046"/>
        <w:rPr>
          <w:rFonts w:ascii="Arial" w:eastAsia="Arial" w:hAnsi="Arial" w:cs="Arial"/>
          <w:sz w:val="19"/>
          <w:szCs w:val="19"/>
        </w:rPr>
      </w:pPr>
      <w:bookmarkStart w:id="155" w:name="page156"/>
      <w:bookmarkEnd w:id="155"/>
      <w:r>
        <w:rPr>
          <w:rFonts w:ascii="Arial" w:eastAsia="Arial" w:hAnsi="Arial" w:cs="Arial"/>
          <w:sz w:val="19"/>
          <w:szCs w:val="19"/>
        </w:rPr>
        <w:t xml:space="preserve">VS shall not, and shall not permit any other member of the VS Group to (I) solicit any Person to make a tender offer for, or </w:t>
      </w:r>
      <w:r>
        <w:rPr>
          <w:rFonts w:ascii="Arial" w:eastAsia="Arial" w:hAnsi="Arial" w:cs="Arial"/>
          <w:sz w:val="19"/>
          <w:szCs w:val="19"/>
        </w:rPr>
        <w:t>otherwise acquire or sell, the Equity Interests of VS or any member of the VS Group, (II) participate in or support any unsolicited tender offer for, or other acquisition, issuance or disposition of, the Equity Interests of VS or any member of the VS Group</w:t>
      </w:r>
      <w:r>
        <w:rPr>
          <w:rFonts w:ascii="Arial" w:eastAsia="Arial" w:hAnsi="Arial" w:cs="Arial"/>
          <w:sz w:val="19"/>
          <w:szCs w:val="19"/>
        </w:rPr>
        <w:t xml:space="preserve"> or (III) approve or otherwise permit any proposed business combination or any transaction which, in the case of clauses (I) or (II), individually or in the aggregate, together with any transaction occurring within the four-year period beginning on the dat</w:t>
      </w:r>
      <w:r>
        <w:rPr>
          <w:rFonts w:ascii="Arial" w:eastAsia="Arial" w:hAnsi="Arial" w:cs="Arial"/>
          <w:sz w:val="19"/>
          <w:szCs w:val="19"/>
        </w:rPr>
        <w:t>e which is two years before the Distribution Date and any other transaction which is part of a plan or series of related transactions (within the meaning of Section 355(e) of the Code) that includes the Distribution, could result in one or more Persons acq</w:t>
      </w:r>
      <w:r>
        <w:rPr>
          <w:rFonts w:ascii="Arial" w:eastAsia="Arial" w:hAnsi="Arial" w:cs="Arial"/>
          <w:sz w:val="19"/>
          <w:szCs w:val="19"/>
        </w:rPr>
        <w:t>uiring (except for acquisitions that otherwise satisfy Safe Harbor VIII (relating to acquisitions in connection with a person’s performance of services) or Safe Harbor IX (relating to acquisitions by a retirement plan of an employer) of Treasury Regulation</w:t>
      </w:r>
      <w:r>
        <w:rPr>
          <w:rFonts w:ascii="Arial" w:eastAsia="Arial" w:hAnsi="Arial" w:cs="Arial"/>
          <w:sz w:val="19"/>
          <w:szCs w:val="19"/>
        </w:rPr>
        <w:t xml:space="preserve"> Section 1.355-7(d)) directly or indirectly stock representing a 40% or greater interest, by vote or value, in VS, [__] or [__] (or any successor thereto) (any such transaction, a “</w:t>
      </w:r>
      <w:r>
        <w:rPr>
          <w:rFonts w:ascii="Arial" w:eastAsia="Arial" w:hAnsi="Arial" w:cs="Arial"/>
          <w:b/>
          <w:bCs/>
          <w:sz w:val="19"/>
          <w:szCs w:val="19"/>
        </w:rPr>
        <w:t>Proposed Acquisition Transaction</w:t>
      </w:r>
      <w:r>
        <w:rPr>
          <w:rFonts w:ascii="Arial" w:eastAsia="Arial" w:hAnsi="Arial" w:cs="Arial"/>
          <w:sz w:val="19"/>
          <w:szCs w:val="19"/>
        </w:rPr>
        <w:t xml:space="preserve">”); </w:t>
      </w:r>
      <w:r>
        <w:rPr>
          <w:rFonts w:ascii="Arial" w:eastAsia="Arial" w:hAnsi="Arial" w:cs="Arial"/>
          <w:i/>
          <w:iCs/>
          <w:sz w:val="19"/>
          <w:szCs w:val="19"/>
        </w:rPr>
        <w:t>provided further</w:t>
      </w:r>
      <w:r>
        <w:rPr>
          <w:rFonts w:ascii="Arial" w:eastAsia="Arial" w:hAnsi="Arial" w:cs="Arial"/>
          <w:sz w:val="19"/>
          <w:szCs w:val="19"/>
        </w:rPr>
        <w:t xml:space="preserve"> that any clarification</w:t>
      </w:r>
      <w:r>
        <w:rPr>
          <w:rFonts w:ascii="Arial" w:eastAsia="Arial" w:hAnsi="Arial" w:cs="Arial"/>
          <w:sz w:val="19"/>
          <w:szCs w:val="19"/>
        </w:rPr>
        <w:t xml:space="preserve"> of, or change in, the statute or regulations promulgated under Section 355(e) of the Code shall be incorporated in the restrictions in this clause</w:t>
      </w:r>
    </w:p>
    <w:p w14:paraId="666A495B" w14:textId="77777777" w:rsidR="00D1587D" w:rsidRDefault="00D1587D">
      <w:pPr>
        <w:spacing w:line="4" w:lineRule="exact"/>
        <w:rPr>
          <w:rFonts w:ascii="Arial" w:eastAsia="Arial" w:hAnsi="Arial" w:cs="Arial"/>
          <w:sz w:val="19"/>
          <w:szCs w:val="19"/>
        </w:rPr>
      </w:pPr>
    </w:p>
    <w:p w14:paraId="168D2185" w14:textId="77777777" w:rsidR="00D1587D" w:rsidRDefault="00410D07">
      <w:pPr>
        <w:numPr>
          <w:ilvl w:val="0"/>
          <w:numId w:val="125"/>
        </w:numPr>
        <w:tabs>
          <w:tab w:val="left" w:pos="620"/>
        </w:tabs>
        <w:ind w:left="620" w:hanging="371"/>
        <w:rPr>
          <w:rFonts w:ascii="Arial" w:eastAsia="Arial" w:hAnsi="Arial" w:cs="Arial"/>
        </w:rPr>
      </w:pPr>
      <w:r>
        <w:rPr>
          <w:rFonts w:ascii="Arial" w:eastAsia="Arial" w:hAnsi="Arial" w:cs="Arial"/>
        </w:rPr>
        <w:t>and the interpretation thereof;</w:t>
      </w:r>
    </w:p>
    <w:p w14:paraId="3F4BAFA7" w14:textId="77777777" w:rsidR="00D1587D" w:rsidRDefault="00D1587D">
      <w:pPr>
        <w:spacing w:line="215" w:lineRule="exact"/>
        <w:rPr>
          <w:rFonts w:ascii="Arial" w:eastAsia="Arial" w:hAnsi="Arial" w:cs="Arial"/>
        </w:rPr>
      </w:pPr>
    </w:p>
    <w:p w14:paraId="559E6652" w14:textId="77777777" w:rsidR="00D1587D" w:rsidRDefault="00410D07">
      <w:pPr>
        <w:numPr>
          <w:ilvl w:val="2"/>
          <w:numId w:val="125"/>
        </w:numPr>
        <w:tabs>
          <w:tab w:val="left" w:pos="2081"/>
        </w:tabs>
        <w:spacing w:line="271" w:lineRule="auto"/>
        <w:ind w:left="240" w:right="60" w:firstLine="1046"/>
        <w:rPr>
          <w:rFonts w:ascii="Arial" w:eastAsia="Arial" w:hAnsi="Arial" w:cs="Arial"/>
          <w:sz w:val="19"/>
          <w:szCs w:val="19"/>
        </w:rPr>
      </w:pPr>
      <w:r>
        <w:rPr>
          <w:rFonts w:ascii="Arial" w:eastAsia="Arial" w:hAnsi="Arial" w:cs="Arial"/>
          <w:sz w:val="19"/>
          <w:szCs w:val="19"/>
        </w:rPr>
        <w:t xml:space="preserve">if any member of the VS Group proposes to enter into any </w:t>
      </w:r>
      <w:r>
        <w:rPr>
          <w:rFonts w:ascii="Arial" w:eastAsia="Arial" w:hAnsi="Arial" w:cs="Arial"/>
          <w:sz w:val="19"/>
          <w:szCs w:val="19"/>
        </w:rPr>
        <w:t>transaction or series of transactions that is not a Proposed Acquisition Transaction but would be a Proposed Acquisition Transaction if the percentage reflected in the definition of Proposed Acquisition Transaction were 25% instead of 40% (a “</w:t>
      </w:r>
      <w:r>
        <w:rPr>
          <w:rFonts w:ascii="Arial" w:eastAsia="Arial" w:hAnsi="Arial" w:cs="Arial"/>
          <w:b/>
          <w:bCs/>
          <w:sz w:val="19"/>
          <w:szCs w:val="19"/>
        </w:rPr>
        <w:t>Section 9(b)(</w:t>
      </w:r>
      <w:r>
        <w:rPr>
          <w:rFonts w:ascii="Arial" w:eastAsia="Arial" w:hAnsi="Arial" w:cs="Arial"/>
          <w:b/>
          <w:bCs/>
          <w:sz w:val="19"/>
          <w:szCs w:val="19"/>
        </w:rPr>
        <w:t>iv)(F) Acquisition Transaction</w:t>
      </w:r>
      <w:r>
        <w:rPr>
          <w:rFonts w:ascii="Arial" w:eastAsia="Arial" w:hAnsi="Arial" w:cs="Arial"/>
          <w:sz w:val="19"/>
          <w:szCs w:val="19"/>
        </w:rPr>
        <w:t>”) or, to the extent VS has the right to prohibit any Section 9(b)(iv)</w:t>
      </w:r>
    </w:p>
    <w:p w14:paraId="38C82AA9" w14:textId="77777777" w:rsidR="00D1587D" w:rsidRDefault="00D1587D">
      <w:pPr>
        <w:spacing w:line="3" w:lineRule="exact"/>
        <w:rPr>
          <w:rFonts w:ascii="Arial" w:eastAsia="Arial" w:hAnsi="Arial" w:cs="Arial"/>
          <w:sz w:val="19"/>
          <w:szCs w:val="19"/>
        </w:rPr>
      </w:pPr>
    </w:p>
    <w:p w14:paraId="72196B2F" w14:textId="77777777" w:rsidR="00D1587D" w:rsidRDefault="00410D07">
      <w:pPr>
        <w:spacing w:line="232" w:lineRule="auto"/>
        <w:ind w:left="240" w:right="60"/>
        <w:rPr>
          <w:rFonts w:ascii="Arial" w:eastAsia="Arial" w:hAnsi="Arial" w:cs="Arial"/>
          <w:sz w:val="19"/>
          <w:szCs w:val="19"/>
        </w:rPr>
      </w:pPr>
      <w:r>
        <w:rPr>
          <w:rFonts w:ascii="Arial" w:eastAsia="Arial" w:hAnsi="Arial" w:cs="Arial"/>
        </w:rPr>
        <w:t>(F) Acquisition Transaction, proposes to permit any Section 9(b)(iv)(F) Acquisition Transaction to occur, in each case, VS shall provide L Brands, no late</w:t>
      </w:r>
      <w:r>
        <w:rPr>
          <w:rFonts w:ascii="Arial" w:eastAsia="Arial" w:hAnsi="Arial" w:cs="Arial"/>
        </w:rPr>
        <w:t>r than 10 Business Days following the signing of any written agreement with respect to the Section 9(b)(iv)(F) Acquisition Transaction, a written description of such transaction (including the type and amount of Equity Interests to be issued or sold in suc</w:t>
      </w:r>
      <w:r>
        <w:rPr>
          <w:rFonts w:ascii="Arial" w:eastAsia="Arial" w:hAnsi="Arial" w:cs="Arial"/>
        </w:rPr>
        <w:t>h transaction) and a certificate of the board of directors of VS to the effect that the Section 9(b)(iv)(F) Acquisition Transaction is not a Proposed Acquisition Transaction; and</w:t>
      </w:r>
    </w:p>
    <w:p w14:paraId="5431E974" w14:textId="77777777" w:rsidR="00D1587D" w:rsidRDefault="00D1587D">
      <w:pPr>
        <w:spacing w:line="215" w:lineRule="exact"/>
        <w:rPr>
          <w:rFonts w:ascii="Arial" w:eastAsia="Arial" w:hAnsi="Arial" w:cs="Arial"/>
          <w:sz w:val="19"/>
          <w:szCs w:val="19"/>
        </w:rPr>
      </w:pPr>
    </w:p>
    <w:p w14:paraId="19D5D8E4" w14:textId="77777777" w:rsidR="00D1587D" w:rsidRDefault="00410D07">
      <w:pPr>
        <w:numPr>
          <w:ilvl w:val="2"/>
          <w:numId w:val="125"/>
        </w:numPr>
        <w:tabs>
          <w:tab w:val="left" w:pos="2113"/>
        </w:tabs>
        <w:spacing w:line="236" w:lineRule="auto"/>
        <w:ind w:left="240" w:right="200" w:firstLine="1046"/>
        <w:rPr>
          <w:rFonts w:ascii="Arial" w:eastAsia="Arial" w:hAnsi="Arial" w:cs="Arial"/>
        </w:rPr>
      </w:pPr>
      <w:r>
        <w:rPr>
          <w:rFonts w:ascii="Arial" w:eastAsia="Arial" w:hAnsi="Arial" w:cs="Arial"/>
        </w:rPr>
        <w:t>VS shall not, and shall not permit any other member of the VS Group to, amen</w:t>
      </w:r>
      <w:r>
        <w:rPr>
          <w:rFonts w:ascii="Arial" w:eastAsia="Arial" w:hAnsi="Arial" w:cs="Arial"/>
        </w:rPr>
        <w:t>d its certificate of incorporation (or other organizational documents), or take any other action, whether through a stockholder vote or otherwise, affecting the voting rights of the Equity Interests of VS (including, without limitation, through the convers</w:t>
      </w:r>
      <w:r>
        <w:rPr>
          <w:rFonts w:ascii="Arial" w:eastAsia="Arial" w:hAnsi="Arial" w:cs="Arial"/>
        </w:rPr>
        <w:t>ion of one class of Equity Interests of VS into another class of Equity Interests of VS).</w:t>
      </w:r>
    </w:p>
    <w:p w14:paraId="3BEE5CD3" w14:textId="77777777" w:rsidR="00D1587D" w:rsidRDefault="00D1587D">
      <w:pPr>
        <w:spacing w:line="214" w:lineRule="exact"/>
        <w:rPr>
          <w:rFonts w:ascii="Arial" w:eastAsia="Arial" w:hAnsi="Arial" w:cs="Arial"/>
        </w:rPr>
      </w:pPr>
    </w:p>
    <w:p w14:paraId="426BD4C2" w14:textId="77777777" w:rsidR="00D1587D" w:rsidRDefault="00410D07">
      <w:pPr>
        <w:numPr>
          <w:ilvl w:val="2"/>
          <w:numId w:val="125"/>
        </w:numPr>
        <w:tabs>
          <w:tab w:val="left" w:pos="2113"/>
        </w:tabs>
        <w:spacing w:line="328" w:lineRule="auto"/>
        <w:ind w:left="240" w:right="380" w:firstLine="1046"/>
        <w:rPr>
          <w:rFonts w:ascii="Arial" w:eastAsia="Arial" w:hAnsi="Arial" w:cs="Arial"/>
          <w:sz w:val="19"/>
          <w:szCs w:val="19"/>
        </w:rPr>
      </w:pPr>
      <w:r>
        <w:rPr>
          <w:rFonts w:ascii="Arial" w:eastAsia="Arial" w:hAnsi="Arial" w:cs="Arial"/>
          <w:sz w:val="19"/>
          <w:szCs w:val="19"/>
        </w:rPr>
        <w:t xml:space="preserve">VS shall not transfer, to any member of the VS Group that is treated as a corporation for U.S. federal income tax purposes, any asset that was transferred to VS in </w:t>
      </w:r>
      <w:r>
        <w:rPr>
          <w:rFonts w:ascii="Arial" w:eastAsia="Arial" w:hAnsi="Arial" w:cs="Arial"/>
          <w:sz w:val="19"/>
          <w:szCs w:val="19"/>
        </w:rPr>
        <w:t>the Contribution.</w:t>
      </w:r>
    </w:p>
    <w:p w14:paraId="3DCDE29B" w14:textId="77777777" w:rsidR="00D1587D" w:rsidRDefault="00D1587D">
      <w:pPr>
        <w:spacing w:line="131" w:lineRule="exact"/>
        <w:rPr>
          <w:rFonts w:ascii="Arial" w:eastAsia="Arial" w:hAnsi="Arial" w:cs="Arial"/>
          <w:sz w:val="19"/>
          <w:szCs w:val="19"/>
        </w:rPr>
      </w:pPr>
    </w:p>
    <w:p w14:paraId="1E7B1CC4" w14:textId="77777777" w:rsidR="00D1587D" w:rsidRDefault="00410D07">
      <w:pPr>
        <w:numPr>
          <w:ilvl w:val="1"/>
          <w:numId w:val="125"/>
        </w:numPr>
        <w:tabs>
          <w:tab w:val="left" w:pos="1460"/>
        </w:tabs>
        <w:ind w:left="-300" w:right="40" w:firstLine="970"/>
        <w:rPr>
          <w:rFonts w:ascii="Arial" w:eastAsia="Arial" w:hAnsi="Arial" w:cs="Arial"/>
        </w:rPr>
      </w:pPr>
      <w:r>
        <w:rPr>
          <w:rFonts w:ascii="Arial" w:eastAsia="Arial" w:hAnsi="Arial" w:cs="Arial"/>
        </w:rPr>
        <w:t>VS shall not take or fail to take, or permit any other member of the VS Group to take or fail to take, any action which prevents or could reasonably be expected to result in Tax treatment that is inconsistent with the Intended Tax Treatm</w:t>
      </w:r>
      <w:r>
        <w:rPr>
          <w:rFonts w:ascii="Arial" w:eastAsia="Arial" w:hAnsi="Arial" w:cs="Arial"/>
        </w:rPr>
        <w:t>ent.</w:t>
      </w:r>
    </w:p>
    <w:p w14:paraId="740B577A" w14:textId="77777777" w:rsidR="00D1587D" w:rsidRDefault="00D1587D">
      <w:pPr>
        <w:spacing w:line="146" w:lineRule="exact"/>
        <w:rPr>
          <w:sz w:val="20"/>
          <w:szCs w:val="20"/>
        </w:rPr>
      </w:pPr>
    </w:p>
    <w:p w14:paraId="7227E013" w14:textId="77777777" w:rsidR="00D1587D" w:rsidRDefault="00410D07">
      <w:pPr>
        <w:ind w:left="4400"/>
        <w:rPr>
          <w:sz w:val="20"/>
          <w:szCs w:val="20"/>
        </w:rPr>
      </w:pPr>
      <w:r>
        <w:rPr>
          <w:rFonts w:ascii="Arial" w:eastAsia="Arial" w:hAnsi="Arial" w:cs="Arial"/>
        </w:rPr>
        <w:t>17</w:t>
      </w:r>
    </w:p>
    <w:p w14:paraId="7ECC235F" w14:textId="77777777" w:rsidR="00D1587D" w:rsidRDefault="00410D07">
      <w:pPr>
        <w:spacing w:line="20" w:lineRule="exact"/>
        <w:rPr>
          <w:sz w:val="20"/>
          <w:szCs w:val="20"/>
        </w:rPr>
      </w:pPr>
      <w:r>
        <w:rPr>
          <w:noProof/>
          <w:sz w:val="20"/>
          <w:szCs w:val="20"/>
        </w:rPr>
        <w:drawing>
          <wp:anchor distT="0" distB="0" distL="114300" distR="114300" simplePos="0" relativeHeight="251311104" behindDoc="1" locked="0" layoutInCell="0" allowOverlap="1" wp14:anchorId="31EA21EA" wp14:editId="7E23E84B">
            <wp:simplePos x="0" y="0"/>
            <wp:positionH relativeFrom="column">
              <wp:posOffset>-705485</wp:posOffset>
            </wp:positionH>
            <wp:positionV relativeFrom="paragraph">
              <wp:posOffset>41275</wp:posOffset>
            </wp:positionV>
            <wp:extent cx="7132320" cy="1714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875F80F" w14:textId="77777777" w:rsidR="00D1587D" w:rsidRDefault="00D1587D">
      <w:pPr>
        <w:sectPr w:rsidR="00D1587D">
          <w:pgSz w:w="11900" w:h="16838"/>
          <w:pgMar w:top="361" w:right="339" w:bottom="1440" w:left="1440" w:header="0" w:footer="0" w:gutter="0"/>
          <w:cols w:space="720" w:equalWidth="0">
            <w:col w:w="10120"/>
          </w:cols>
        </w:sectPr>
      </w:pPr>
    </w:p>
    <w:p w14:paraId="60BA3DBA" w14:textId="77777777" w:rsidR="00D1587D" w:rsidRDefault="00410D07">
      <w:pPr>
        <w:numPr>
          <w:ilvl w:val="0"/>
          <w:numId w:val="126"/>
        </w:numPr>
        <w:tabs>
          <w:tab w:val="left" w:pos="1622"/>
        </w:tabs>
        <w:spacing w:line="276" w:lineRule="auto"/>
        <w:ind w:right="220" w:firstLine="850"/>
        <w:rPr>
          <w:rFonts w:ascii="Arial" w:eastAsia="Arial" w:hAnsi="Arial" w:cs="Arial"/>
          <w:sz w:val="19"/>
          <w:szCs w:val="19"/>
        </w:rPr>
      </w:pPr>
      <w:bookmarkStart w:id="156" w:name="page157"/>
      <w:bookmarkEnd w:id="156"/>
      <w:r>
        <w:rPr>
          <w:rFonts w:ascii="Arial" w:eastAsia="Arial" w:hAnsi="Arial" w:cs="Arial"/>
          <w:i/>
          <w:iCs/>
          <w:sz w:val="19"/>
          <w:szCs w:val="19"/>
        </w:rPr>
        <w:t>VS Covenants Exceptions</w:t>
      </w:r>
      <w:r>
        <w:rPr>
          <w:rFonts w:ascii="Arial" w:eastAsia="Arial" w:hAnsi="Arial" w:cs="Arial"/>
          <w:sz w:val="19"/>
          <w:szCs w:val="19"/>
        </w:rPr>
        <w:t>. Notwithstanding the provisions of</w:t>
      </w:r>
      <w:r>
        <w:rPr>
          <w:rFonts w:ascii="Arial" w:eastAsia="Arial" w:hAnsi="Arial" w:cs="Arial"/>
          <w:i/>
          <w:iCs/>
          <w:sz w:val="19"/>
          <w:szCs w:val="19"/>
        </w:rPr>
        <w:t xml:space="preserve"> </w:t>
      </w:r>
      <w:r>
        <w:rPr>
          <w:rFonts w:ascii="Arial" w:eastAsia="Arial" w:hAnsi="Arial" w:cs="Arial"/>
          <w:sz w:val="19"/>
          <w:szCs w:val="19"/>
          <w:u w:val="single"/>
        </w:rPr>
        <w:t>Section 9(b)</w:t>
      </w:r>
      <w:r>
        <w:rPr>
          <w:rFonts w:ascii="Arial" w:eastAsia="Arial" w:hAnsi="Arial" w:cs="Arial"/>
          <w:sz w:val="19"/>
          <w:szCs w:val="19"/>
        </w:rPr>
        <w:t>, VS and the other members of the</w:t>
      </w:r>
      <w:r>
        <w:rPr>
          <w:rFonts w:ascii="Arial" w:eastAsia="Arial" w:hAnsi="Arial" w:cs="Arial"/>
          <w:i/>
          <w:iCs/>
          <w:sz w:val="19"/>
          <w:szCs w:val="19"/>
        </w:rPr>
        <w:t xml:space="preserve"> </w:t>
      </w:r>
      <w:r>
        <w:rPr>
          <w:rFonts w:ascii="Arial" w:eastAsia="Arial" w:hAnsi="Arial" w:cs="Arial"/>
          <w:sz w:val="19"/>
          <w:szCs w:val="19"/>
        </w:rPr>
        <w:t>VS Group may take any action that would reasonably be expected to be inconsistent with the covenants contained in Section</w:t>
      </w:r>
    </w:p>
    <w:p w14:paraId="63DEE029" w14:textId="77777777" w:rsidR="00D1587D" w:rsidRDefault="00D1587D">
      <w:pPr>
        <w:spacing w:line="1" w:lineRule="exact"/>
        <w:rPr>
          <w:rFonts w:ascii="Arial" w:eastAsia="Arial" w:hAnsi="Arial" w:cs="Arial"/>
          <w:sz w:val="19"/>
          <w:szCs w:val="19"/>
        </w:rPr>
      </w:pPr>
    </w:p>
    <w:p w14:paraId="784A6BB1" w14:textId="77777777" w:rsidR="00D1587D" w:rsidRDefault="00410D07">
      <w:pPr>
        <w:spacing w:line="272" w:lineRule="auto"/>
        <w:rPr>
          <w:rFonts w:ascii="Arial" w:eastAsia="Arial" w:hAnsi="Arial" w:cs="Arial"/>
          <w:sz w:val="19"/>
          <w:szCs w:val="19"/>
        </w:rPr>
      </w:pPr>
      <w:r>
        <w:rPr>
          <w:rFonts w:ascii="Arial" w:eastAsia="Arial" w:hAnsi="Arial" w:cs="Arial"/>
          <w:sz w:val="19"/>
          <w:szCs w:val="19"/>
        </w:rPr>
        <w:t xml:space="preserve">9(b), if either: (i) VS notifies L Brands of its proposal to take such action and VS and L Brands obtain a ruling from the IRS to the effect that such action will not affect the Intended Tax Treatment, </w:t>
      </w:r>
      <w:r>
        <w:rPr>
          <w:rFonts w:ascii="Arial" w:eastAsia="Arial" w:hAnsi="Arial" w:cs="Arial"/>
          <w:i/>
          <w:iCs/>
          <w:sz w:val="19"/>
          <w:szCs w:val="19"/>
        </w:rPr>
        <w:t>provided</w:t>
      </w:r>
      <w:r>
        <w:rPr>
          <w:rFonts w:ascii="Arial" w:eastAsia="Arial" w:hAnsi="Arial" w:cs="Arial"/>
          <w:sz w:val="19"/>
          <w:szCs w:val="19"/>
        </w:rPr>
        <w:t xml:space="preserve"> that VS agrees in writing to bear any expens</w:t>
      </w:r>
      <w:r>
        <w:rPr>
          <w:rFonts w:ascii="Arial" w:eastAsia="Arial" w:hAnsi="Arial" w:cs="Arial"/>
          <w:sz w:val="19"/>
          <w:szCs w:val="19"/>
        </w:rPr>
        <w:t xml:space="preserve">es associated with obtaining such a ruling and, </w:t>
      </w:r>
      <w:r>
        <w:rPr>
          <w:rFonts w:ascii="Arial" w:eastAsia="Arial" w:hAnsi="Arial" w:cs="Arial"/>
          <w:i/>
          <w:iCs/>
          <w:sz w:val="19"/>
          <w:szCs w:val="19"/>
        </w:rPr>
        <w:t>provided further</w:t>
      </w:r>
      <w:r>
        <w:rPr>
          <w:rFonts w:ascii="Arial" w:eastAsia="Arial" w:hAnsi="Arial" w:cs="Arial"/>
          <w:sz w:val="19"/>
          <w:szCs w:val="19"/>
        </w:rPr>
        <w:t xml:space="preserve"> that the VS Group shall not be relieved of any liability under </w:t>
      </w:r>
      <w:r>
        <w:rPr>
          <w:rFonts w:ascii="Arial" w:eastAsia="Arial" w:hAnsi="Arial" w:cs="Arial"/>
          <w:sz w:val="19"/>
          <w:szCs w:val="19"/>
          <w:u w:val="single"/>
        </w:rPr>
        <w:t>Section 11(a)</w:t>
      </w:r>
      <w:r>
        <w:rPr>
          <w:rFonts w:ascii="Arial" w:eastAsia="Arial" w:hAnsi="Arial" w:cs="Arial"/>
          <w:sz w:val="19"/>
          <w:szCs w:val="19"/>
        </w:rPr>
        <w:t xml:space="preserve"> of this Agreement by reason of seeking or having obtained such a ruling; or (ii) VS notifies L Brands of its propo</w:t>
      </w:r>
      <w:r>
        <w:rPr>
          <w:rFonts w:ascii="Arial" w:eastAsia="Arial" w:hAnsi="Arial" w:cs="Arial"/>
          <w:sz w:val="19"/>
          <w:szCs w:val="19"/>
        </w:rPr>
        <w:t xml:space="preserve">sal to take such action and obtains an unqualified opinion of counsel (A) from a Tax advisor recognized as an expert in federal income Tax matters and acceptable to L Brands in its sole discretion, (B) on which L Brands may rely and (C) to the effect that </w:t>
      </w:r>
      <w:r>
        <w:rPr>
          <w:rFonts w:ascii="Arial" w:eastAsia="Arial" w:hAnsi="Arial" w:cs="Arial"/>
          <w:sz w:val="19"/>
          <w:szCs w:val="19"/>
        </w:rPr>
        <w:t xml:space="preserve">such action “will” not affect the Intended Tax Treatment, </w:t>
      </w:r>
      <w:r>
        <w:rPr>
          <w:rFonts w:ascii="Arial" w:eastAsia="Arial" w:hAnsi="Arial" w:cs="Arial"/>
          <w:i/>
          <w:iCs/>
          <w:sz w:val="19"/>
          <w:szCs w:val="19"/>
        </w:rPr>
        <w:t>provided</w:t>
      </w:r>
      <w:r>
        <w:rPr>
          <w:rFonts w:ascii="Arial" w:eastAsia="Arial" w:hAnsi="Arial" w:cs="Arial"/>
          <w:sz w:val="19"/>
          <w:szCs w:val="19"/>
        </w:rPr>
        <w:t xml:space="preserve"> that the VS Group shall not be relieved of any liability under </w:t>
      </w:r>
      <w:r>
        <w:rPr>
          <w:rFonts w:ascii="Arial" w:eastAsia="Arial" w:hAnsi="Arial" w:cs="Arial"/>
          <w:sz w:val="19"/>
          <w:szCs w:val="19"/>
          <w:u w:val="single"/>
        </w:rPr>
        <w:t>Section 11(a)</w:t>
      </w:r>
      <w:r>
        <w:rPr>
          <w:rFonts w:ascii="Arial" w:eastAsia="Arial" w:hAnsi="Arial" w:cs="Arial"/>
          <w:sz w:val="19"/>
          <w:szCs w:val="19"/>
        </w:rPr>
        <w:t xml:space="preserve"> of this Agreement by reason of having obtained such an opinion.</w:t>
      </w:r>
    </w:p>
    <w:p w14:paraId="5A126D98" w14:textId="77777777" w:rsidR="00D1587D" w:rsidRDefault="00D1587D">
      <w:pPr>
        <w:spacing w:line="188" w:lineRule="exact"/>
        <w:rPr>
          <w:sz w:val="20"/>
          <w:szCs w:val="20"/>
        </w:rPr>
      </w:pPr>
    </w:p>
    <w:p w14:paraId="100349A5" w14:textId="77777777" w:rsidR="00D1587D" w:rsidRDefault="00410D07">
      <w:pPr>
        <w:tabs>
          <w:tab w:val="left" w:pos="2140"/>
        </w:tabs>
        <w:ind w:left="660"/>
        <w:rPr>
          <w:sz w:val="20"/>
          <w:szCs w:val="20"/>
        </w:rPr>
      </w:pPr>
      <w:r>
        <w:rPr>
          <w:rFonts w:ascii="Arial" w:eastAsia="Arial" w:hAnsi="Arial" w:cs="Arial"/>
        </w:rPr>
        <w:t>Section 10.</w:t>
      </w:r>
      <w:r>
        <w:rPr>
          <w:sz w:val="20"/>
          <w:szCs w:val="20"/>
        </w:rPr>
        <w:tab/>
      </w:r>
      <w:r>
        <w:rPr>
          <w:rFonts w:ascii="Arial" w:eastAsia="Arial" w:hAnsi="Arial" w:cs="Arial"/>
          <w:i/>
          <w:iCs/>
          <w:sz w:val="19"/>
          <w:szCs w:val="19"/>
        </w:rPr>
        <w:t>Tax Receivables Arrangements.</w:t>
      </w:r>
    </w:p>
    <w:p w14:paraId="692D0838" w14:textId="77777777" w:rsidR="00D1587D" w:rsidRDefault="00D1587D">
      <w:pPr>
        <w:spacing w:line="233" w:lineRule="exact"/>
        <w:rPr>
          <w:sz w:val="20"/>
          <w:szCs w:val="20"/>
        </w:rPr>
      </w:pPr>
    </w:p>
    <w:p w14:paraId="7FA13EE8" w14:textId="77777777" w:rsidR="00D1587D" w:rsidRDefault="00410D07">
      <w:pPr>
        <w:numPr>
          <w:ilvl w:val="0"/>
          <w:numId w:val="127"/>
        </w:numPr>
        <w:tabs>
          <w:tab w:val="left" w:pos="1622"/>
        </w:tabs>
        <w:spacing w:line="246" w:lineRule="auto"/>
        <w:ind w:right="120" w:firstLine="850"/>
        <w:rPr>
          <w:rFonts w:ascii="Arial" w:eastAsia="Arial" w:hAnsi="Arial" w:cs="Arial"/>
          <w:sz w:val="21"/>
          <w:szCs w:val="21"/>
        </w:rPr>
      </w:pPr>
      <w:r>
        <w:rPr>
          <w:rFonts w:ascii="Arial" w:eastAsia="Arial" w:hAnsi="Arial" w:cs="Arial"/>
          <w:i/>
          <w:iCs/>
          <w:sz w:val="21"/>
          <w:szCs w:val="21"/>
        </w:rPr>
        <w:t xml:space="preserve">Section 336(e) Election. </w:t>
      </w:r>
      <w:r>
        <w:rPr>
          <w:rFonts w:ascii="Arial" w:eastAsia="Arial" w:hAnsi="Arial" w:cs="Arial"/>
          <w:sz w:val="21"/>
          <w:szCs w:val="21"/>
        </w:rPr>
        <w:t>Pursuant to Treasury Regulations Sections 1.336-2(h)(1)(i) and 1.336-2(j), L Brands</w:t>
      </w:r>
      <w:r>
        <w:rPr>
          <w:rFonts w:ascii="Arial" w:eastAsia="Arial" w:hAnsi="Arial" w:cs="Arial"/>
          <w:i/>
          <w:iCs/>
          <w:sz w:val="21"/>
          <w:szCs w:val="21"/>
        </w:rPr>
        <w:t xml:space="preserve"> </w:t>
      </w:r>
      <w:r>
        <w:rPr>
          <w:rFonts w:ascii="Arial" w:eastAsia="Arial" w:hAnsi="Arial" w:cs="Arial"/>
          <w:sz w:val="21"/>
          <w:szCs w:val="21"/>
        </w:rPr>
        <w:t xml:space="preserve">and VS agree that L Brands may </w:t>
      </w:r>
      <w:r>
        <w:rPr>
          <w:rFonts w:ascii="Arial" w:eastAsia="Arial" w:hAnsi="Arial" w:cs="Arial"/>
          <w:sz w:val="21"/>
          <w:szCs w:val="21"/>
        </w:rPr>
        <w:t>make a timely protective election under Section 336(e) of the Code and the Treasury Regulations issued thereunder and under any comparable provisions of state, local or foreign law for each member of the VS Group that is a domestic corporation for U.S. fed</w:t>
      </w:r>
      <w:r>
        <w:rPr>
          <w:rFonts w:ascii="Arial" w:eastAsia="Arial" w:hAnsi="Arial" w:cs="Arial"/>
          <w:sz w:val="21"/>
          <w:szCs w:val="21"/>
        </w:rPr>
        <w:t>eral income Tax purposes with respect to the Distribution (a “</w:t>
      </w:r>
      <w:r>
        <w:rPr>
          <w:rFonts w:ascii="Arial" w:eastAsia="Arial" w:hAnsi="Arial" w:cs="Arial"/>
          <w:b/>
          <w:bCs/>
          <w:sz w:val="21"/>
          <w:szCs w:val="21"/>
        </w:rPr>
        <w:t>Section 336(e)</w:t>
      </w:r>
      <w:r>
        <w:rPr>
          <w:rFonts w:ascii="Arial" w:eastAsia="Arial" w:hAnsi="Arial" w:cs="Arial"/>
          <w:sz w:val="21"/>
          <w:szCs w:val="21"/>
        </w:rPr>
        <w:t xml:space="preserve"> </w:t>
      </w:r>
      <w:r>
        <w:rPr>
          <w:rFonts w:ascii="Arial" w:eastAsia="Arial" w:hAnsi="Arial" w:cs="Arial"/>
          <w:b/>
          <w:bCs/>
          <w:sz w:val="21"/>
          <w:szCs w:val="21"/>
        </w:rPr>
        <w:t>Election</w:t>
      </w:r>
      <w:r>
        <w:rPr>
          <w:rFonts w:ascii="Arial" w:eastAsia="Arial" w:hAnsi="Arial" w:cs="Arial"/>
          <w:sz w:val="21"/>
          <w:szCs w:val="21"/>
        </w:rPr>
        <w:t>”). It is intended that a Section 336(e) Election will have no effect unless the Distribution is a “qualified stock</w:t>
      </w:r>
      <w:r>
        <w:rPr>
          <w:rFonts w:ascii="Arial" w:eastAsia="Arial" w:hAnsi="Arial" w:cs="Arial"/>
          <w:b/>
          <w:bCs/>
          <w:sz w:val="21"/>
          <w:szCs w:val="21"/>
        </w:rPr>
        <w:t xml:space="preserve"> </w:t>
      </w:r>
      <w:r>
        <w:rPr>
          <w:rFonts w:ascii="Arial" w:eastAsia="Arial" w:hAnsi="Arial" w:cs="Arial"/>
          <w:sz w:val="21"/>
          <w:szCs w:val="21"/>
        </w:rPr>
        <w:t>disposition,” as defined in Treasury Regulations Sectio</w:t>
      </w:r>
      <w:r>
        <w:rPr>
          <w:rFonts w:ascii="Arial" w:eastAsia="Arial" w:hAnsi="Arial" w:cs="Arial"/>
          <w:sz w:val="21"/>
          <w:szCs w:val="21"/>
        </w:rPr>
        <w:t>n 1.336(e)-1(b)(6), by reason of the application of Treasury Regulations Section 1.336-1(b)(5)(i)(B) or Treasury Regulations Section 1.336-1(b)(5)(ii), or under any comparable provisions of state, local or foreign law in any other jurisdiction.</w:t>
      </w:r>
    </w:p>
    <w:p w14:paraId="67F74011" w14:textId="77777777" w:rsidR="00D1587D" w:rsidRDefault="00D1587D">
      <w:pPr>
        <w:spacing w:line="206" w:lineRule="exact"/>
        <w:rPr>
          <w:rFonts w:ascii="Arial" w:eastAsia="Arial" w:hAnsi="Arial" w:cs="Arial"/>
          <w:sz w:val="21"/>
          <w:szCs w:val="21"/>
        </w:rPr>
      </w:pPr>
    </w:p>
    <w:p w14:paraId="1361BAB3" w14:textId="77777777" w:rsidR="00D1587D" w:rsidRDefault="00410D07">
      <w:pPr>
        <w:numPr>
          <w:ilvl w:val="0"/>
          <w:numId w:val="127"/>
        </w:numPr>
        <w:tabs>
          <w:tab w:val="left" w:pos="1634"/>
        </w:tabs>
        <w:spacing w:line="245" w:lineRule="auto"/>
        <w:ind w:firstLine="850"/>
        <w:rPr>
          <w:rFonts w:ascii="Arial" w:eastAsia="Arial" w:hAnsi="Arial" w:cs="Arial"/>
          <w:sz w:val="21"/>
          <w:szCs w:val="21"/>
        </w:rPr>
      </w:pPr>
      <w:r>
        <w:rPr>
          <w:rFonts w:ascii="Arial" w:eastAsia="Arial" w:hAnsi="Arial" w:cs="Arial"/>
          <w:i/>
          <w:iCs/>
          <w:sz w:val="21"/>
          <w:szCs w:val="21"/>
        </w:rPr>
        <w:t>L Brands T</w:t>
      </w:r>
      <w:r>
        <w:rPr>
          <w:rFonts w:ascii="Arial" w:eastAsia="Arial" w:hAnsi="Arial" w:cs="Arial"/>
          <w:i/>
          <w:iCs/>
          <w:sz w:val="21"/>
          <w:szCs w:val="21"/>
        </w:rPr>
        <w:t>RA</w:t>
      </w:r>
      <w:r>
        <w:rPr>
          <w:rFonts w:ascii="Arial" w:eastAsia="Arial" w:hAnsi="Arial" w:cs="Arial"/>
          <w:sz w:val="21"/>
          <w:szCs w:val="21"/>
        </w:rPr>
        <w:t>. If any Specified Event results in the imposition of a liability for Taxes (including any Taxes</w:t>
      </w:r>
      <w:r>
        <w:rPr>
          <w:rFonts w:ascii="Arial" w:eastAsia="Arial" w:hAnsi="Arial" w:cs="Arial"/>
          <w:i/>
          <w:iCs/>
          <w:sz w:val="21"/>
          <w:szCs w:val="21"/>
        </w:rPr>
        <w:t xml:space="preserve"> </w:t>
      </w:r>
      <w:r>
        <w:rPr>
          <w:rFonts w:ascii="Arial" w:eastAsia="Arial" w:hAnsi="Arial" w:cs="Arial"/>
          <w:sz w:val="21"/>
          <w:szCs w:val="21"/>
        </w:rPr>
        <w:t xml:space="preserve">attributable to the Section 336(e) Election) that are not allocated to VS pursuant to </w:t>
      </w:r>
      <w:r>
        <w:rPr>
          <w:rFonts w:ascii="Arial" w:eastAsia="Arial" w:hAnsi="Arial" w:cs="Arial"/>
          <w:sz w:val="21"/>
          <w:szCs w:val="21"/>
          <w:u w:val="single"/>
        </w:rPr>
        <w:t>Section 3</w:t>
      </w:r>
      <w:r>
        <w:rPr>
          <w:rFonts w:ascii="Arial" w:eastAsia="Arial" w:hAnsi="Arial" w:cs="Arial"/>
          <w:sz w:val="21"/>
          <w:szCs w:val="21"/>
        </w:rPr>
        <w:t>, (i) L Brands shall be entitled to periodic payments from VS equal to the product of (x) 85% of the Tax Attributes arising from such Specified Event and (y) the percentage of Taxes arising from such Specified Event that are not allocated to VS pursuant to</w:t>
      </w:r>
      <w:r>
        <w:rPr>
          <w:rFonts w:ascii="Arial" w:eastAsia="Arial" w:hAnsi="Arial" w:cs="Arial"/>
          <w:sz w:val="21"/>
          <w:szCs w:val="21"/>
        </w:rPr>
        <w:t xml:space="preserve"> </w:t>
      </w:r>
      <w:r>
        <w:rPr>
          <w:rFonts w:ascii="Arial" w:eastAsia="Arial" w:hAnsi="Arial" w:cs="Arial"/>
          <w:sz w:val="21"/>
          <w:szCs w:val="21"/>
          <w:u w:val="single"/>
        </w:rPr>
        <w:t>Section 3</w:t>
      </w:r>
      <w:r>
        <w:rPr>
          <w:rFonts w:ascii="Arial" w:eastAsia="Arial" w:hAnsi="Arial" w:cs="Arial"/>
          <w:sz w:val="21"/>
          <w:szCs w:val="21"/>
        </w:rPr>
        <w:t xml:space="preserve">, and (ii) the Parties shall negotiate in good faith the terms of a tax receivable agreement to govern the calculation of such payments; </w:t>
      </w:r>
      <w:r>
        <w:rPr>
          <w:rFonts w:ascii="Arial" w:eastAsia="Arial" w:hAnsi="Arial" w:cs="Arial"/>
          <w:i/>
          <w:iCs/>
          <w:sz w:val="21"/>
          <w:szCs w:val="21"/>
        </w:rPr>
        <w:t>provided</w:t>
      </w:r>
      <w:r>
        <w:rPr>
          <w:rFonts w:ascii="Arial" w:eastAsia="Arial" w:hAnsi="Arial" w:cs="Arial"/>
          <w:sz w:val="21"/>
          <w:szCs w:val="21"/>
        </w:rPr>
        <w:t xml:space="preserve"> that any such tax savings in clause (i) shall be determined using a “with and without” methodology (</w:t>
      </w:r>
      <w:r>
        <w:rPr>
          <w:rFonts w:ascii="Arial" w:eastAsia="Arial" w:hAnsi="Arial" w:cs="Arial"/>
          <w:sz w:val="21"/>
          <w:szCs w:val="21"/>
        </w:rPr>
        <w:t>treating any Tax Attribute arising from any Specified Event as the last items claimed for any Taxable year, including after the utilization of any carryforwards). Notwithstanding the foregoing, L Brands may, at its sole discretion, waive its right to recei</w:t>
      </w:r>
      <w:r>
        <w:rPr>
          <w:rFonts w:ascii="Arial" w:eastAsia="Arial" w:hAnsi="Arial" w:cs="Arial"/>
          <w:sz w:val="21"/>
          <w:szCs w:val="21"/>
        </w:rPr>
        <w:t xml:space="preserve">ve any and all payments pursuant to this </w:t>
      </w:r>
      <w:r>
        <w:rPr>
          <w:rFonts w:ascii="Arial" w:eastAsia="Arial" w:hAnsi="Arial" w:cs="Arial"/>
          <w:sz w:val="21"/>
          <w:szCs w:val="21"/>
          <w:u w:val="single"/>
        </w:rPr>
        <w:t>Section 10(b)</w:t>
      </w:r>
      <w:r>
        <w:rPr>
          <w:rFonts w:ascii="Arial" w:eastAsia="Arial" w:hAnsi="Arial" w:cs="Arial"/>
          <w:sz w:val="21"/>
          <w:szCs w:val="21"/>
        </w:rPr>
        <w:t>.</w:t>
      </w:r>
    </w:p>
    <w:p w14:paraId="2744156F" w14:textId="77777777" w:rsidR="00D1587D" w:rsidRDefault="00D1587D">
      <w:pPr>
        <w:spacing w:line="211" w:lineRule="exact"/>
        <w:rPr>
          <w:sz w:val="20"/>
          <w:szCs w:val="20"/>
        </w:rPr>
      </w:pPr>
    </w:p>
    <w:p w14:paraId="79F703D6" w14:textId="77777777" w:rsidR="00D1587D" w:rsidRDefault="00410D07">
      <w:pPr>
        <w:tabs>
          <w:tab w:val="left" w:pos="2140"/>
        </w:tabs>
        <w:ind w:left="660"/>
        <w:rPr>
          <w:sz w:val="20"/>
          <w:szCs w:val="20"/>
        </w:rPr>
      </w:pPr>
      <w:r>
        <w:rPr>
          <w:rFonts w:ascii="Arial" w:eastAsia="Arial" w:hAnsi="Arial" w:cs="Arial"/>
        </w:rPr>
        <w:t>Section 11.</w:t>
      </w:r>
      <w:r>
        <w:rPr>
          <w:sz w:val="20"/>
          <w:szCs w:val="20"/>
        </w:rPr>
        <w:tab/>
      </w:r>
      <w:r>
        <w:rPr>
          <w:rFonts w:ascii="Arial" w:eastAsia="Arial" w:hAnsi="Arial" w:cs="Arial"/>
          <w:i/>
          <w:iCs/>
          <w:sz w:val="19"/>
          <w:szCs w:val="19"/>
        </w:rPr>
        <w:t>Indemnities</w:t>
      </w:r>
      <w:r>
        <w:rPr>
          <w:rFonts w:ascii="Arial" w:eastAsia="Arial" w:hAnsi="Arial" w:cs="Arial"/>
          <w:sz w:val="19"/>
          <w:szCs w:val="19"/>
        </w:rPr>
        <w:t>.</w:t>
      </w:r>
    </w:p>
    <w:p w14:paraId="145B11A5" w14:textId="77777777" w:rsidR="00D1587D" w:rsidRDefault="00D1587D">
      <w:pPr>
        <w:spacing w:line="233" w:lineRule="exact"/>
        <w:rPr>
          <w:sz w:val="20"/>
          <w:szCs w:val="20"/>
        </w:rPr>
      </w:pPr>
    </w:p>
    <w:p w14:paraId="04C0A5CF" w14:textId="77777777" w:rsidR="00D1587D" w:rsidRDefault="00410D07">
      <w:pPr>
        <w:numPr>
          <w:ilvl w:val="0"/>
          <w:numId w:val="128"/>
        </w:numPr>
        <w:tabs>
          <w:tab w:val="left" w:pos="1622"/>
        </w:tabs>
        <w:ind w:right="180" w:firstLine="850"/>
        <w:jc w:val="both"/>
        <w:rPr>
          <w:rFonts w:ascii="Arial" w:eastAsia="Arial" w:hAnsi="Arial" w:cs="Arial"/>
        </w:rPr>
      </w:pPr>
      <w:r>
        <w:rPr>
          <w:rFonts w:ascii="Arial" w:eastAsia="Arial" w:hAnsi="Arial" w:cs="Arial"/>
          <w:i/>
          <w:iCs/>
        </w:rPr>
        <w:t>VS Indemnity to L Brands</w:t>
      </w:r>
      <w:r>
        <w:rPr>
          <w:rFonts w:ascii="Arial" w:eastAsia="Arial" w:hAnsi="Arial" w:cs="Arial"/>
        </w:rPr>
        <w:t>. Except in the case of any liabilities described in Section 11(b), VS and each other</w:t>
      </w:r>
      <w:r>
        <w:rPr>
          <w:rFonts w:ascii="Arial" w:eastAsia="Arial" w:hAnsi="Arial" w:cs="Arial"/>
          <w:i/>
          <w:iCs/>
        </w:rPr>
        <w:t xml:space="preserve"> </w:t>
      </w:r>
      <w:r>
        <w:rPr>
          <w:rFonts w:ascii="Arial" w:eastAsia="Arial" w:hAnsi="Arial" w:cs="Arial"/>
        </w:rPr>
        <w:t xml:space="preserve">member of the VS Group shall jointly and severally indemnify L </w:t>
      </w:r>
      <w:r>
        <w:rPr>
          <w:rFonts w:ascii="Arial" w:eastAsia="Arial" w:hAnsi="Arial" w:cs="Arial"/>
        </w:rPr>
        <w:t>Brands and the other members of the L Brands Group against, and hold them harmless, without duplication, from:</w:t>
      </w:r>
    </w:p>
    <w:p w14:paraId="6DA5B8E2" w14:textId="77777777" w:rsidR="00D1587D" w:rsidRDefault="00D1587D">
      <w:pPr>
        <w:spacing w:line="213" w:lineRule="exact"/>
        <w:rPr>
          <w:sz w:val="20"/>
          <w:szCs w:val="20"/>
        </w:rPr>
      </w:pPr>
    </w:p>
    <w:p w14:paraId="09B2A945" w14:textId="77777777" w:rsidR="00D1587D" w:rsidRDefault="00410D07">
      <w:pPr>
        <w:numPr>
          <w:ilvl w:val="0"/>
          <w:numId w:val="129"/>
        </w:numPr>
        <w:tabs>
          <w:tab w:val="left" w:pos="2538"/>
        </w:tabs>
        <w:spacing w:line="417" w:lineRule="auto"/>
        <w:ind w:left="5520" w:right="3960" w:hanging="3730"/>
        <w:rPr>
          <w:rFonts w:ascii="Arial" w:eastAsia="Arial" w:hAnsi="Arial" w:cs="Arial"/>
        </w:rPr>
      </w:pPr>
      <w:r>
        <w:rPr>
          <w:rFonts w:ascii="Arial" w:eastAsia="Arial" w:hAnsi="Arial" w:cs="Arial"/>
        </w:rPr>
        <w:t xml:space="preserve">any Tax liability allocated to VS pursuant to </w:t>
      </w:r>
      <w:r>
        <w:rPr>
          <w:rFonts w:ascii="Arial" w:eastAsia="Arial" w:hAnsi="Arial" w:cs="Arial"/>
          <w:u w:val="single"/>
        </w:rPr>
        <w:t>Section 3</w:t>
      </w:r>
      <w:r>
        <w:rPr>
          <w:rFonts w:ascii="Arial" w:eastAsia="Arial" w:hAnsi="Arial" w:cs="Arial"/>
        </w:rPr>
        <w:t>; 18</w:t>
      </w:r>
    </w:p>
    <w:p w14:paraId="26147696" w14:textId="77777777" w:rsidR="00D1587D" w:rsidRDefault="00410D07">
      <w:pPr>
        <w:spacing w:line="20" w:lineRule="exact"/>
        <w:rPr>
          <w:sz w:val="20"/>
          <w:szCs w:val="20"/>
        </w:rPr>
      </w:pPr>
      <w:r>
        <w:rPr>
          <w:noProof/>
          <w:sz w:val="20"/>
          <w:szCs w:val="20"/>
        </w:rPr>
        <w:drawing>
          <wp:anchor distT="0" distB="0" distL="114300" distR="114300" simplePos="0" relativeHeight="251312128" behindDoc="1" locked="0" layoutInCell="0" allowOverlap="1" wp14:anchorId="429380BA" wp14:editId="2FBE4699">
            <wp:simplePos x="0" y="0"/>
            <wp:positionH relativeFrom="column">
              <wp:posOffset>5080</wp:posOffset>
            </wp:positionH>
            <wp:positionV relativeFrom="paragraph">
              <wp:posOffset>-89535</wp:posOffset>
            </wp:positionV>
            <wp:extent cx="7132320" cy="1714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A162D02" w14:textId="77777777" w:rsidR="00D1587D" w:rsidRDefault="00D1587D">
      <w:pPr>
        <w:sectPr w:rsidR="00D1587D">
          <w:pgSz w:w="11900" w:h="16838"/>
          <w:pgMar w:top="361" w:right="339" w:bottom="1440" w:left="320" w:header="0" w:footer="0" w:gutter="0"/>
          <w:cols w:space="720" w:equalWidth="0">
            <w:col w:w="11240"/>
          </w:cols>
        </w:sectPr>
      </w:pPr>
    </w:p>
    <w:p w14:paraId="3FC9A1BC" w14:textId="77777777" w:rsidR="00D1587D" w:rsidRDefault="00410D07">
      <w:pPr>
        <w:numPr>
          <w:ilvl w:val="1"/>
          <w:numId w:val="130"/>
        </w:numPr>
        <w:tabs>
          <w:tab w:val="left" w:pos="2576"/>
        </w:tabs>
        <w:spacing w:line="238" w:lineRule="auto"/>
        <w:ind w:left="800" w:firstLine="970"/>
        <w:rPr>
          <w:rFonts w:ascii="Arial" w:eastAsia="Arial" w:hAnsi="Arial" w:cs="Arial"/>
        </w:rPr>
      </w:pPr>
      <w:bookmarkStart w:id="157" w:name="page158"/>
      <w:bookmarkEnd w:id="157"/>
      <w:r>
        <w:rPr>
          <w:rFonts w:ascii="Arial" w:eastAsia="Arial" w:hAnsi="Arial" w:cs="Arial"/>
        </w:rPr>
        <w:t>any Tax liability and Tax-Related Losses attributable to a breach, after the Distribution Time, by VS or any other member of the VS Group of any representation, covenant or provision contained in this Agreement (including, for the avoidance of doubt, any T</w:t>
      </w:r>
      <w:r>
        <w:rPr>
          <w:rFonts w:ascii="Arial" w:eastAsia="Arial" w:hAnsi="Arial" w:cs="Arial"/>
        </w:rPr>
        <w:t xml:space="preserve">axes and Tax-Related Losses resulting from any breach for which the conditions set forth in </w:t>
      </w:r>
      <w:r>
        <w:rPr>
          <w:rFonts w:ascii="Arial" w:eastAsia="Arial" w:hAnsi="Arial" w:cs="Arial"/>
          <w:u w:val="single"/>
        </w:rPr>
        <w:t>Section 9(c)</w:t>
      </w:r>
      <w:r>
        <w:rPr>
          <w:rFonts w:ascii="Arial" w:eastAsia="Arial" w:hAnsi="Arial" w:cs="Arial"/>
        </w:rPr>
        <w:t xml:space="preserve"> are satisfied);</w:t>
      </w:r>
    </w:p>
    <w:p w14:paraId="354E7473" w14:textId="77777777" w:rsidR="00D1587D" w:rsidRDefault="00D1587D">
      <w:pPr>
        <w:spacing w:line="211" w:lineRule="exact"/>
        <w:rPr>
          <w:rFonts w:ascii="Arial" w:eastAsia="Arial" w:hAnsi="Arial" w:cs="Arial"/>
        </w:rPr>
      </w:pPr>
    </w:p>
    <w:p w14:paraId="1DD640BD" w14:textId="77777777" w:rsidR="00D1587D" w:rsidRDefault="00410D07">
      <w:pPr>
        <w:numPr>
          <w:ilvl w:val="1"/>
          <w:numId w:val="130"/>
        </w:numPr>
        <w:tabs>
          <w:tab w:val="left" w:pos="2636"/>
        </w:tabs>
        <w:ind w:left="800" w:right="620" w:firstLine="970"/>
        <w:rPr>
          <w:rFonts w:ascii="Arial" w:eastAsia="Arial" w:hAnsi="Arial" w:cs="Arial"/>
        </w:rPr>
      </w:pPr>
      <w:r>
        <w:rPr>
          <w:rFonts w:ascii="Arial" w:eastAsia="Arial" w:hAnsi="Arial" w:cs="Arial"/>
        </w:rPr>
        <w:t xml:space="preserve">any Distribution Taxes and Tax-Related Losses attributable to a VS Disqualifying Action (including, for the avoidance of doubt, any Taxes and Tax-Related Losses resulting from any action for which the conditions set forth in </w:t>
      </w:r>
      <w:r>
        <w:rPr>
          <w:rFonts w:ascii="Arial" w:eastAsia="Arial" w:hAnsi="Arial" w:cs="Arial"/>
          <w:u w:val="single"/>
        </w:rPr>
        <w:t>Section 9(c)</w:t>
      </w:r>
      <w:r>
        <w:rPr>
          <w:rFonts w:ascii="Arial" w:eastAsia="Arial" w:hAnsi="Arial" w:cs="Arial"/>
        </w:rPr>
        <w:t xml:space="preserve"> are satisfied); an</w:t>
      </w:r>
      <w:r>
        <w:rPr>
          <w:rFonts w:ascii="Arial" w:eastAsia="Arial" w:hAnsi="Arial" w:cs="Arial"/>
        </w:rPr>
        <w:t>d</w:t>
      </w:r>
    </w:p>
    <w:p w14:paraId="3F7E47C9" w14:textId="77777777" w:rsidR="00D1587D" w:rsidRDefault="00D1587D">
      <w:pPr>
        <w:spacing w:line="213" w:lineRule="exact"/>
        <w:rPr>
          <w:rFonts w:ascii="Arial" w:eastAsia="Arial" w:hAnsi="Arial" w:cs="Arial"/>
        </w:rPr>
      </w:pPr>
    </w:p>
    <w:p w14:paraId="6A94BB8A" w14:textId="77777777" w:rsidR="00D1587D" w:rsidRDefault="00410D07">
      <w:pPr>
        <w:numPr>
          <w:ilvl w:val="1"/>
          <w:numId w:val="130"/>
        </w:numPr>
        <w:tabs>
          <w:tab w:val="left" w:pos="2624"/>
        </w:tabs>
        <w:spacing w:line="236" w:lineRule="auto"/>
        <w:ind w:left="800" w:right="20" w:firstLine="970"/>
        <w:rPr>
          <w:rFonts w:ascii="Arial" w:eastAsia="Arial" w:hAnsi="Arial" w:cs="Arial"/>
        </w:rPr>
      </w:pPr>
      <w:r>
        <w:rPr>
          <w:rFonts w:ascii="Arial" w:eastAsia="Arial" w:hAnsi="Arial" w:cs="Arial"/>
        </w:rPr>
        <w:t>all liabilities, costs, expenses (including, without limitation, reasonable expenses of investigation and attorneys’ fees and expenses), losses, damages, assessments, settlements or judgments arising out of or incident to the imposition, assessment or a</w:t>
      </w:r>
      <w:r>
        <w:rPr>
          <w:rFonts w:ascii="Arial" w:eastAsia="Arial" w:hAnsi="Arial" w:cs="Arial"/>
        </w:rPr>
        <w:t>ssertion of any Tax liability or damage described in (i), (ii) or (iii), including those incurred in the contest in good faith in appropriate proceedings relating to the imposition, assessment or assertion of any such Tax, liability or damage.</w:t>
      </w:r>
    </w:p>
    <w:p w14:paraId="66EB8EF2" w14:textId="77777777" w:rsidR="00D1587D" w:rsidRDefault="00D1587D">
      <w:pPr>
        <w:spacing w:line="214" w:lineRule="exact"/>
        <w:rPr>
          <w:rFonts w:ascii="Arial" w:eastAsia="Arial" w:hAnsi="Arial" w:cs="Arial"/>
        </w:rPr>
      </w:pPr>
    </w:p>
    <w:p w14:paraId="75D7D6BE" w14:textId="77777777" w:rsidR="00D1587D" w:rsidRDefault="00410D07">
      <w:pPr>
        <w:numPr>
          <w:ilvl w:val="0"/>
          <w:numId w:val="131"/>
        </w:numPr>
        <w:tabs>
          <w:tab w:val="left" w:pos="1614"/>
        </w:tabs>
        <w:ind w:left="-20" w:right="160" w:firstLine="850"/>
        <w:rPr>
          <w:rFonts w:ascii="Arial" w:eastAsia="Arial" w:hAnsi="Arial" w:cs="Arial"/>
        </w:rPr>
      </w:pPr>
      <w:r>
        <w:rPr>
          <w:rFonts w:ascii="Arial" w:eastAsia="Arial" w:hAnsi="Arial" w:cs="Arial"/>
          <w:i/>
          <w:iCs/>
        </w:rPr>
        <w:t>L Brands In</w:t>
      </w:r>
      <w:r>
        <w:rPr>
          <w:rFonts w:ascii="Arial" w:eastAsia="Arial" w:hAnsi="Arial" w:cs="Arial"/>
          <w:i/>
          <w:iCs/>
        </w:rPr>
        <w:t>demnity to VS</w:t>
      </w:r>
      <w:r>
        <w:rPr>
          <w:rFonts w:ascii="Arial" w:eastAsia="Arial" w:hAnsi="Arial" w:cs="Arial"/>
        </w:rPr>
        <w:t>. Except in the case of any liabilities described in</w:t>
      </w:r>
      <w:r>
        <w:rPr>
          <w:rFonts w:ascii="Arial" w:eastAsia="Arial" w:hAnsi="Arial" w:cs="Arial"/>
          <w:i/>
          <w:iCs/>
        </w:rPr>
        <w:t xml:space="preserve"> </w:t>
      </w:r>
      <w:r>
        <w:rPr>
          <w:rFonts w:ascii="Arial" w:eastAsia="Arial" w:hAnsi="Arial" w:cs="Arial"/>
          <w:u w:val="single"/>
        </w:rPr>
        <w:t>Section 11(a)</w:t>
      </w:r>
      <w:r>
        <w:rPr>
          <w:rFonts w:ascii="Arial" w:eastAsia="Arial" w:hAnsi="Arial" w:cs="Arial"/>
        </w:rPr>
        <w:t>, L Brands and each</w:t>
      </w:r>
      <w:r>
        <w:rPr>
          <w:rFonts w:ascii="Arial" w:eastAsia="Arial" w:hAnsi="Arial" w:cs="Arial"/>
          <w:i/>
          <w:iCs/>
        </w:rPr>
        <w:t xml:space="preserve"> </w:t>
      </w:r>
      <w:r>
        <w:rPr>
          <w:rFonts w:ascii="Arial" w:eastAsia="Arial" w:hAnsi="Arial" w:cs="Arial"/>
        </w:rPr>
        <w:t>other member of the L Brands Group will jointly and severally indemnify VS and the other members of the VS Group against, and hold them harmless, without dup</w:t>
      </w:r>
      <w:r>
        <w:rPr>
          <w:rFonts w:ascii="Arial" w:eastAsia="Arial" w:hAnsi="Arial" w:cs="Arial"/>
        </w:rPr>
        <w:t>lication, from:</w:t>
      </w:r>
    </w:p>
    <w:p w14:paraId="74562863" w14:textId="77777777" w:rsidR="00D1587D" w:rsidRDefault="00D1587D">
      <w:pPr>
        <w:spacing w:line="213" w:lineRule="exact"/>
        <w:rPr>
          <w:rFonts w:ascii="Arial" w:eastAsia="Arial" w:hAnsi="Arial" w:cs="Arial"/>
        </w:rPr>
      </w:pPr>
    </w:p>
    <w:p w14:paraId="2858576D" w14:textId="77777777" w:rsidR="00D1587D" w:rsidRDefault="00410D07">
      <w:pPr>
        <w:numPr>
          <w:ilvl w:val="1"/>
          <w:numId w:val="131"/>
        </w:numPr>
        <w:tabs>
          <w:tab w:val="left" w:pos="2520"/>
        </w:tabs>
        <w:ind w:left="2520" w:hanging="750"/>
        <w:rPr>
          <w:rFonts w:ascii="Arial" w:eastAsia="Arial" w:hAnsi="Arial" w:cs="Arial"/>
        </w:rPr>
      </w:pPr>
      <w:r>
        <w:rPr>
          <w:rFonts w:ascii="Arial" w:eastAsia="Arial" w:hAnsi="Arial" w:cs="Arial"/>
        </w:rPr>
        <w:t xml:space="preserve">any Tax liability allocated to L Brands pursuant to </w:t>
      </w:r>
      <w:r>
        <w:rPr>
          <w:rFonts w:ascii="Arial" w:eastAsia="Arial" w:hAnsi="Arial" w:cs="Arial"/>
          <w:u w:val="single"/>
        </w:rPr>
        <w:t>Section 3</w:t>
      </w:r>
      <w:r>
        <w:rPr>
          <w:rFonts w:ascii="Arial" w:eastAsia="Arial" w:hAnsi="Arial" w:cs="Arial"/>
        </w:rPr>
        <w:t>;</w:t>
      </w:r>
    </w:p>
    <w:p w14:paraId="601EB501" w14:textId="77777777" w:rsidR="00D1587D" w:rsidRDefault="00D1587D">
      <w:pPr>
        <w:spacing w:line="233" w:lineRule="exact"/>
        <w:rPr>
          <w:rFonts w:ascii="Arial" w:eastAsia="Arial" w:hAnsi="Arial" w:cs="Arial"/>
        </w:rPr>
      </w:pPr>
    </w:p>
    <w:p w14:paraId="1512E159" w14:textId="77777777" w:rsidR="00D1587D" w:rsidRDefault="00410D07">
      <w:pPr>
        <w:numPr>
          <w:ilvl w:val="1"/>
          <w:numId w:val="131"/>
        </w:numPr>
        <w:tabs>
          <w:tab w:val="left" w:pos="2576"/>
        </w:tabs>
        <w:ind w:left="800" w:right="140" w:firstLine="970"/>
        <w:rPr>
          <w:rFonts w:ascii="Arial" w:eastAsia="Arial" w:hAnsi="Arial" w:cs="Arial"/>
        </w:rPr>
      </w:pPr>
      <w:r>
        <w:rPr>
          <w:rFonts w:ascii="Arial" w:eastAsia="Arial" w:hAnsi="Arial" w:cs="Arial"/>
        </w:rPr>
        <w:t>any Taxes imposed on any member of the VS Group under Treasury Regulations Section 1.1502-6 (or similar or analogous provision of state, local or foreign law) solely as a resu</w:t>
      </w:r>
      <w:r>
        <w:rPr>
          <w:rFonts w:ascii="Arial" w:eastAsia="Arial" w:hAnsi="Arial" w:cs="Arial"/>
        </w:rPr>
        <w:t>lt of any such member being or having been a member of a Combined Group; and</w:t>
      </w:r>
    </w:p>
    <w:p w14:paraId="105BE216" w14:textId="77777777" w:rsidR="00D1587D" w:rsidRDefault="00D1587D">
      <w:pPr>
        <w:spacing w:line="213" w:lineRule="exact"/>
        <w:rPr>
          <w:rFonts w:ascii="Arial" w:eastAsia="Arial" w:hAnsi="Arial" w:cs="Arial"/>
        </w:rPr>
      </w:pPr>
    </w:p>
    <w:p w14:paraId="2FFD15CC" w14:textId="77777777" w:rsidR="00D1587D" w:rsidRDefault="00410D07">
      <w:pPr>
        <w:numPr>
          <w:ilvl w:val="1"/>
          <w:numId w:val="131"/>
        </w:numPr>
        <w:tabs>
          <w:tab w:val="left" w:pos="2636"/>
        </w:tabs>
        <w:spacing w:line="236" w:lineRule="auto"/>
        <w:ind w:left="800" w:right="60" w:firstLine="970"/>
        <w:rPr>
          <w:rFonts w:ascii="Arial" w:eastAsia="Arial" w:hAnsi="Arial" w:cs="Arial"/>
        </w:rPr>
      </w:pPr>
      <w:r>
        <w:rPr>
          <w:rFonts w:ascii="Arial" w:eastAsia="Arial" w:hAnsi="Arial" w:cs="Arial"/>
        </w:rPr>
        <w:t>all liabilities, costs, expenses (including, without limitation, reasonable expenses of investigation and attorneys’ fees and expenses), losses, damages, assessments, settlements</w:t>
      </w:r>
      <w:r>
        <w:rPr>
          <w:rFonts w:ascii="Arial" w:eastAsia="Arial" w:hAnsi="Arial" w:cs="Arial"/>
        </w:rPr>
        <w:t xml:space="preserve"> or judgments arising out of or incident to the imposition, assessment or assertion of any Tax liability or damage described in (i) or (ii), including those incurred in the contest in good faith in appropriate proceedings relating to the imposition, assess</w:t>
      </w:r>
      <w:r>
        <w:rPr>
          <w:rFonts w:ascii="Arial" w:eastAsia="Arial" w:hAnsi="Arial" w:cs="Arial"/>
        </w:rPr>
        <w:t>ment or assertion of any such Tax, liability or damage.</w:t>
      </w:r>
    </w:p>
    <w:p w14:paraId="1B3A089B" w14:textId="77777777" w:rsidR="00D1587D" w:rsidRDefault="00D1587D">
      <w:pPr>
        <w:spacing w:line="214" w:lineRule="exact"/>
        <w:rPr>
          <w:rFonts w:ascii="Arial" w:eastAsia="Arial" w:hAnsi="Arial" w:cs="Arial"/>
        </w:rPr>
      </w:pPr>
    </w:p>
    <w:p w14:paraId="1C68DF74" w14:textId="77777777" w:rsidR="00D1587D" w:rsidRDefault="00410D07">
      <w:pPr>
        <w:numPr>
          <w:ilvl w:val="0"/>
          <w:numId w:val="131"/>
        </w:numPr>
        <w:tabs>
          <w:tab w:val="left" w:pos="1602"/>
        </w:tabs>
        <w:spacing w:line="245" w:lineRule="auto"/>
        <w:ind w:left="-20" w:right="20" w:firstLine="850"/>
        <w:rPr>
          <w:rFonts w:ascii="Arial" w:eastAsia="Arial" w:hAnsi="Arial" w:cs="Arial"/>
          <w:sz w:val="21"/>
          <w:szCs w:val="21"/>
        </w:rPr>
      </w:pPr>
      <w:r>
        <w:rPr>
          <w:rFonts w:ascii="Arial" w:eastAsia="Arial" w:hAnsi="Arial" w:cs="Arial"/>
          <w:i/>
          <w:iCs/>
          <w:sz w:val="21"/>
          <w:szCs w:val="21"/>
        </w:rPr>
        <w:t>Discharge of Indemnity</w:t>
      </w:r>
      <w:r>
        <w:rPr>
          <w:rFonts w:ascii="Arial" w:eastAsia="Arial" w:hAnsi="Arial" w:cs="Arial"/>
          <w:sz w:val="21"/>
          <w:szCs w:val="21"/>
        </w:rPr>
        <w:t>. VS, L Brands and the members of their respective Groups shall discharge their</w:t>
      </w:r>
      <w:r>
        <w:rPr>
          <w:rFonts w:ascii="Arial" w:eastAsia="Arial" w:hAnsi="Arial" w:cs="Arial"/>
          <w:i/>
          <w:iCs/>
          <w:sz w:val="21"/>
          <w:szCs w:val="21"/>
        </w:rPr>
        <w:t xml:space="preserve"> </w:t>
      </w:r>
      <w:r>
        <w:rPr>
          <w:rFonts w:ascii="Arial" w:eastAsia="Arial" w:hAnsi="Arial" w:cs="Arial"/>
          <w:sz w:val="21"/>
          <w:szCs w:val="21"/>
        </w:rPr>
        <w:t xml:space="preserve">obligations under </w:t>
      </w:r>
      <w:r>
        <w:rPr>
          <w:rFonts w:ascii="Arial" w:eastAsia="Arial" w:hAnsi="Arial" w:cs="Arial"/>
          <w:sz w:val="21"/>
          <w:szCs w:val="21"/>
          <w:u w:val="single"/>
        </w:rPr>
        <w:t>Section 11(a)</w:t>
      </w:r>
      <w:r>
        <w:rPr>
          <w:rFonts w:ascii="Arial" w:eastAsia="Arial" w:hAnsi="Arial" w:cs="Arial"/>
          <w:sz w:val="21"/>
          <w:szCs w:val="21"/>
        </w:rPr>
        <w:t xml:space="preserve"> or </w:t>
      </w:r>
      <w:r>
        <w:rPr>
          <w:rFonts w:ascii="Arial" w:eastAsia="Arial" w:hAnsi="Arial" w:cs="Arial"/>
          <w:sz w:val="21"/>
          <w:szCs w:val="21"/>
          <w:u w:val="single"/>
        </w:rPr>
        <w:t>Section 11(b)</w:t>
      </w:r>
      <w:r>
        <w:rPr>
          <w:rFonts w:ascii="Arial" w:eastAsia="Arial" w:hAnsi="Arial" w:cs="Arial"/>
          <w:sz w:val="21"/>
          <w:szCs w:val="21"/>
        </w:rPr>
        <w:t xml:space="preserve"> hereof, respectively, by paying the relevant amount in accordance with </w:t>
      </w:r>
      <w:r>
        <w:rPr>
          <w:rFonts w:ascii="Arial" w:eastAsia="Arial" w:hAnsi="Arial" w:cs="Arial"/>
          <w:sz w:val="21"/>
          <w:szCs w:val="21"/>
          <w:u w:val="single"/>
        </w:rPr>
        <w:t>Section</w:t>
      </w:r>
      <w:r>
        <w:rPr>
          <w:rFonts w:ascii="Arial" w:eastAsia="Arial" w:hAnsi="Arial" w:cs="Arial"/>
          <w:sz w:val="21"/>
          <w:szCs w:val="21"/>
        </w:rPr>
        <w:t xml:space="preserve"> </w:t>
      </w:r>
      <w:r>
        <w:rPr>
          <w:rFonts w:ascii="Arial" w:eastAsia="Arial" w:hAnsi="Arial" w:cs="Arial"/>
          <w:sz w:val="21"/>
          <w:szCs w:val="21"/>
          <w:u w:val="single"/>
        </w:rPr>
        <w:t>12</w:t>
      </w:r>
      <w:r>
        <w:rPr>
          <w:rFonts w:ascii="Arial" w:eastAsia="Arial" w:hAnsi="Arial" w:cs="Arial"/>
          <w:sz w:val="21"/>
          <w:szCs w:val="21"/>
        </w:rPr>
        <w:t>, within thirty (30) Business Days of demand therefor or, to the extent such amount is required to be paid to a Taxing Authority prior to the expiration of such thirty (30) B</w:t>
      </w:r>
      <w:r>
        <w:rPr>
          <w:rFonts w:ascii="Arial" w:eastAsia="Arial" w:hAnsi="Arial" w:cs="Arial"/>
          <w:sz w:val="21"/>
          <w:szCs w:val="21"/>
        </w:rPr>
        <w:t xml:space="preserve">usiness Days, at least ten (10) Business Days prior to the date by which the demanding party is required to pay the related Tax liability. Any such demand shall include a statement showing the amount due under </w:t>
      </w:r>
      <w:r>
        <w:rPr>
          <w:rFonts w:ascii="Arial" w:eastAsia="Arial" w:hAnsi="Arial" w:cs="Arial"/>
          <w:sz w:val="21"/>
          <w:szCs w:val="21"/>
          <w:u w:val="single"/>
        </w:rPr>
        <w:t>Section 11(a)</w:t>
      </w:r>
      <w:r>
        <w:rPr>
          <w:rFonts w:ascii="Arial" w:eastAsia="Arial" w:hAnsi="Arial" w:cs="Arial"/>
          <w:sz w:val="21"/>
          <w:szCs w:val="21"/>
        </w:rPr>
        <w:t xml:space="preserve"> or </w:t>
      </w:r>
      <w:r>
        <w:rPr>
          <w:rFonts w:ascii="Arial" w:eastAsia="Arial" w:hAnsi="Arial" w:cs="Arial"/>
          <w:sz w:val="21"/>
          <w:szCs w:val="21"/>
          <w:u w:val="single"/>
        </w:rPr>
        <w:t>Section 11(b)</w:t>
      </w:r>
      <w:r>
        <w:rPr>
          <w:rFonts w:ascii="Arial" w:eastAsia="Arial" w:hAnsi="Arial" w:cs="Arial"/>
          <w:sz w:val="21"/>
          <w:szCs w:val="21"/>
        </w:rPr>
        <w:t>, as the case ma</w:t>
      </w:r>
      <w:r>
        <w:rPr>
          <w:rFonts w:ascii="Arial" w:eastAsia="Arial" w:hAnsi="Arial" w:cs="Arial"/>
          <w:sz w:val="21"/>
          <w:szCs w:val="21"/>
        </w:rPr>
        <w:t xml:space="preserve">y be. Notwithstanding the foregoing, if any member of the VS Group or any member of the L Brands Group disputes in good faith the fact or the amount of its obligation under </w:t>
      </w:r>
      <w:r>
        <w:rPr>
          <w:rFonts w:ascii="Arial" w:eastAsia="Arial" w:hAnsi="Arial" w:cs="Arial"/>
          <w:sz w:val="21"/>
          <w:szCs w:val="21"/>
          <w:u w:val="single"/>
        </w:rPr>
        <w:t>Section 11(a</w:t>
      </w:r>
      <w:r>
        <w:rPr>
          <w:rFonts w:ascii="Arial" w:eastAsia="Arial" w:hAnsi="Arial" w:cs="Arial"/>
          <w:sz w:val="21"/>
          <w:szCs w:val="21"/>
        </w:rPr>
        <w:t xml:space="preserve">) or </w:t>
      </w:r>
      <w:r>
        <w:rPr>
          <w:rFonts w:ascii="Arial" w:eastAsia="Arial" w:hAnsi="Arial" w:cs="Arial"/>
          <w:sz w:val="21"/>
          <w:szCs w:val="21"/>
          <w:u w:val="single"/>
        </w:rPr>
        <w:t>Section</w:t>
      </w:r>
      <w:r>
        <w:rPr>
          <w:rFonts w:ascii="Arial" w:eastAsia="Arial" w:hAnsi="Arial" w:cs="Arial"/>
          <w:sz w:val="21"/>
          <w:szCs w:val="21"/>
        </w:rPr>
        <w:t xml:space="preserve"> </w:t>
      </w:r>
      <w:r>
        <w:rPr>
          <w:rFonts w:ascii="Arial" w:eastAsia="Arial" w:hAnsi="Arial" w:cs="Arial"/>
          <w:sz w:val="21"/>
          <w:szCs w:val="21"/>
          <w:u w:val="single"/>
        </w:rPr>
        <w:t>11(b)</w:t>
      </w:r>
      <w:r>
        <w:rPr>
          <w:rFonts w:ascii="Arial" w:eastAsia="Arial" w:hAnsi="Arial" w:cs="Arial"/>
          <w:sz w:val="21"/>
          <w:szCs w:val="21"/>
        </w:rPr>
        <w:t>, then no payment of the amount in dispute shall be r</w:t>
      </w:r>
      <w:r>
        <w:rPr>
          <w:rFonts w:ascii="Arial" w:eastAsia="Arial" w:hAnsi="Arial" w:cs="Arial"/>
          <w:sz w:val="21"/>
          <w:szCs w:val="21"/>
        </w:rPr>
        <w:t xml:space="preserve">equired until any such good faith dispute is resolved in accordance with </w:t>
      </w:r>
      <w:r>
        <w:rPr>
          <w:rFonts w:ascii="Arial" w:eastAsia="Arial" w:hAnsi="Arial" w:cs="Arial"/>
          <w:sz w:val="21"/>
          <w:szCs w:val="21"/>
          <w:u w:val="single"/>
        </w:rPr>
        <w:t>Section 25</w:t>
      </w:r>
      <w:r>
        <w:rPr>
          <w:rFonts w:ascii="Arial" w:eastAsia="Arial" w:hAnsi="Arial" w:cs="Arial"/>
          <w:sz w:val="21"/>
          <w:szCs w:val="21"/>
        </w:rPr>
        <w:t xml:space="preserve"> hereof; </w:t>
      </w:r>
      <w:r>
        <w:rPr>
          <w:rFonts w:ascii="Arial" w:eastAsia="Arial" w:hAnsi="Arial" w:cs="Arial"/>
          <w:i/>
          <w:iCs/>
          <w:sz w:val="21"/>
          <w:szCs w:val="21"/>
        </w:rPr>
        <w:t>provided</w:t>
      </w:r>
      <w:r>
        <w:rPr>
          <w:rFonts w:ascii="Arial" w:eastAsia="Arial" w:hAnsi="Arial" w:cs="Arial"/>
          <w:sz w:val="21"/>
          <w:szCs w:val="21"/>
        </w:rPr>
        <w:t xml:space="preserve">, </w:t>
      </w:r>
      <w:r>
        <w:rPr>
          <w:rFonts w:ascii="Arial" w:eastAsia="Arial" w:hAnsi="Arial" w:cs="Arial"/>
          <w:i/>
          <w:iCs/>
          <w:sz w:val="21"/>
          <w:szCs w:val="21"/>
        </w:rPr>
        <w:t>however</w:t>
      </w:r>
      <w:r>
        <w:rPr>
          <w:rFonts w:ascii="Arial" w:eastAsia="Arial" w:hAnsi="Arial" w:cs="Arial"/>
          <w:sz w:val="21"/>
          <w:szCs w:val="21"/>
        </w:rPr>
        <w:t xml:space="preserve">, that any amount not paid within thirty (30) Business Days of demand therefor shall bear interest as provided in </w:t>
      </w:r>
      <w:r>
        <w:rPr>
          <w:rFonts w:ascii="Arial" w:eastAsia="Arial" w:hAnsi="Arial" w:cs="Arial"/>
          <w:sz w:val="21"/>
          <w:szCs w:val="21"/>
          <w:u w:val="single"/>
        </w:rPr>
        <w:t>Section 12</w:t>
      </w:r>
      <w:r>
        <w:rPr>
          <w:rFonts w:ascii="Arial" w:eastAsia="Arial" w:hAnsi="Arial" w:cs="Arial"/>
          <w:sz w:val="21"/>
          <w:szCs w:val="21"/>
        </w:rPr>
        <w:t>.</w:t>
      </w:r>
    </w:p>
    <w:p w14:paraId="7E512101" w14:textId="77777777" w:rsidR="00D1587D" w:rsidRDefault="00D1587D">
      <w:pPr>
        <w:spacing w:line="140" w:lineRule="exact"/>
        <w:rPr>
          <w:sz w:val="20"/>
          <w:szCs w:val="20"/>
        </w:rPr>
      </w:pPr>
    </w:p>
    <w:p w14:paraId="096C2897" w14:textId="77777777" w:rsidR="00D1587D" w:rsidRDefault="00410D07">
      <w:pPr>
        <w:jc w:val="center"/>
        <w:rPr>
          <w:sz w:val="20"/>
          <w:szCs w:val="20"/>
        </w:rPr>
      </w:pPr>
      <w:r>
        <w:rPr>
          <w:rFonts w:ascii="Arial" w:eastAsia="Arial" w:hAnsi="Arial" w:cs="Arial"/>
        </w:rPr>
        <w:t>19</w:t>
      </w:r>
    </w:p>
    <w:p w14:paraId="155DDAD6" w14:textId="77777777" w:rsidR="00D1587D" w:rsidRDefault="00410D07">
      <w:pPr>
        <w:spacing w:line="20" w:lineRule="exact"/>
        <w:rPr>
          <w:sz w:val="20"/>
          <w:szCs w:val="20"/>
        </w:rPr>
      </w:pPr>
      <w:r>
        <w:rPr>
          <w:noProof/>
          <w:sz w:val="20"/>
          <w:szCs w:val="20"/>
        </w:rPr>
        <w:drawing>
          <wp:anchor distT="0" distB="0" distL="114300" distR="114300" simplePos="0" relativeHeight="251313152" behindDoc="1" locked="0" layoutInCell="0" allowOverlap="1" wp14:anchorId="31A72C0E" wp14:editId="7551F212">
            <wp:simplePos x="0" y="0"/>
            <wp:positionH relativeFrom="column">
              <wp:posOffset>-6985</wp:posOffset>
            </wp:positionH>
            <wp:positionV relativeFrom="paragraph">
              <wp:posOffset>41275</wp:posOffset>
            </wp:positionV>
            <wp:extent cx="7132320" cy="1714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CA0FD23" w14:textId="77777777" w:rsidR="00D1587D" w:rsidRDefault="00D1587D">
      <w:pPr>
        <w:sectPr w:rsidR="00D1587D">
          <w:pgSz w:w="11900" w:h="16838"/>
          <w:pgMar w:top="361" w:right="339" w:bottom="1440" w:left="340" w:header="0" w:footer="0" w:gutter="0"/>
          <w:cols w:space="720" w:equalWidth="0">
            <w:col w:w="11220"/>
          </w:cols>
        </w:sectPr>
      </w:pPr>
    </w:p>
    <w:p w14:paraId="571C06CC" w14:textId="77777777" w:rsidR="00D1587D" w:rsidRDefault="00410D07">
      <w:pPr>
        <w:numPr>
          <w:ilvl w:val="0"/>
          <w:numId w:val="132"/>
        </w:numPr>
        <w:tabs>
          <w:tab w:val="left" w:pos="1626"/>
        </w:tabs>
        <w:spacing w:line="282" w:lineRule="auto"/>
        <w:ind w:left="-8" w:firstLine="850"/>
        <w:rPr>
          <w:rFonts w:ascii="Arial" w:eastAsia="Arial" w:hAnsi="Arial" w:cs="Arial"/>
          <w:sz w:val="19"/>
          <w:szCs w:val="19"/>
        </w:rPr>
      </w:pPr>
      <w:bookmarkStart w:id="158" w:name="page159"/>
      <w:bookmarkEnd w:id="158"/>
      <w:r>
        <w:rPr>
          <w:rFonts w:ascii="Arial" w:eastAsia="Arial" w:hAnsi="Arial" w:cs="Arial"/>
          <w:i/>
          <w:iCs/>
          <w:sz w:val="19"/>
          <w:szCs w:val="19"/>
        </w:rPr>
        <w:t>Tax Benefits</w:t>
      </w:r>
      <w:r>
        <w:rPr>
          <w:rFonts w:ascii="Arial" w:eastAsia="Arial" w:hAnsi="Arial" w:cs="Arial"/>
          <w:sz w:val="19"/>
          <w:szCs w:val="19"/>
        </w:rPr>
        <w:t>. If an indemnification obligation of any member of the L Brands Group or any member of the VS</w:t>
      </w:r>
      <w:r>
        <w:rPr>
          <w:rFonts w:ascii="Arial" w:eastAsia="Arial" w:hAnsi="Arial" w:cs="Arial"/>
          <w:i/>
          <w:iCs/>
          <w:sz w:val="19"/>
          <w:szCs w:val="19"/>
        </w:rPr>
        <w:t xml:space="preserve"> </w:t>
      </w:r>
      <w:r>
        <w:rPr>
          <w:rFonts w:ascii="Arial" w:eastAsia="Arial" w:hAnsi="Arial" w:cs="Arial"/>
          <w:sz w:val="19"/>
          <w:szCs w:val="19"/>
        </w:rPr>
        <w:t xml:space="preserve">Group, as the case may be, under this </w:t>
      </w:r>
      <w:r>
        <w:rPr>
          <w:rFonts w:ascii="Arial" w:eastAsia="Arial" w:hAnsi="Arial" w:cs="Arial"/>
          <w:sz w:val="19"/>
          <w:szCs w:val="19"/>
          <w:u w:val="single"/>
        </w:rPr>
        <w:t>Section 11</w:t>
      </w:r>
      <w:r>
        <w:rPr>
          <w:rFonts w:ascii="Arial" w:eastAsia="Arial" w:hAnsi="Arial" w:cs="Arial"/>
          <w:sz w:val="19"/>
          <w:szCs w:val="19"/>
        </w:rPr>
        <w:t xml:space="preserve"> arises in respect of an adjustment that makes allowable to an Indemnitee any Tax Benefit which would not, but for such adjustment, be allowable, then any such indemnification obligation shall be an amount equal to (i) the amount otherwise due but for this</w:t>
      </w:r>
      <w:r>
        <w:rPr>
          <w:rFonts w:ascii="Arial" w:eastAsia="Arial" w:hAnsi="Arial" w:cs="Arial"/>
          <w:sz w:val="19"/>
          <w:szCs w:val="19"/>
        </w:rPr>
        <w:t xml:space="preserve"> </w:t>
      </w:r>
      <w:r>
        <w:rPr>
          <w:rFonts w:ascii="Arial" w:eastAsia="Arial" w:hAnsi="Arial" w:cs="Arial"/>
          <w:sz w:val="19"/>
          <w:szCs w:val="19"/>
          <w:u w:val="single"/>
        </w:rPr>
        <w:t>Section 11(d)</w:t>
      </w:r>
      <w:r>
        <w:rPr>
          <w:rFonts w:ascii="Arial" w:eastAsia="Arial" w:hAnsi="Arial" w:cs="Arial"/>
          <w:sz w:val="19"/>
          <w:szCs w:val="19"/>
        </w:rPr>
        <w:t>, minus (ii) the reduction in actual cash Taxes payable by the Indemnitee in the Taxable year such indemnification obligation arises, determined on a “with and without” basis.</w:t>
      </w:r>
    </w:p>
    <w:p w14:paraId="693DAD34" w14:textId="77777777" w:rsidR="00D1587D" w:rsidRDefault="00D1587D">
      <w:pPr>
        <w:spacing w:line="174" w:lineRule="exact"/>
        <w:rPr>
          <w:sz w:val="20"/>
          <w:szCs w:val="20"/>
        </w:rPr>
      </w:pPr>
    </w:p>
    <w:p w14:paraId="7E2A8FB5" w14:textId="77777777" w:rsidR="00D1587D" w:rsidRDefault="00410D07">
      <w:pPr>
        <w:tabs>
          <w:tab w:val="left" w:pos="2132"/>
        </w:tabs>
        <w:ind w:left="652"/>
        <w:rPr>
          <w:sz w:val="20"/>
          <w:szCs w:val="20"/>
        </w:rPr>
      </w:pPr>
      <w:r>
        <w:rPr>
          <w:rFonts w:ascii="Arial" w:eastAsia="Arial" w:hAnsi="Arial" w:cs="Arial"/>
        </w:rPr>
        <w:t>Section 12.</w:t>
      </w:r>
      <w:r>
        <w:rPr>
          <w:sz w:val="20"/>
          <w:szCs w:val="20"/>
        </w:rPr>
        <w:tab/>
      </w:r>
      <w:r>
        <w:rPr>
          <w:rFonts w:ascii="Arial" w:eastAsia="Arial" w:hAnsi="Arial" w:cs="Arial"/>
          <w:i/>
          <w:iCs/>
          <w:sz w:val="19"/>
          <w:szCs w:val="19"/>
        </w:rPr>
        <w:t>Payments</w:t>
      </w:r>
      <w:r>
        <w:rPr>
          <w:rFonts w:ascii="Arial" w:eastAsia="Arial" w:hAnsi="Arial" w:cs="Arial"/>
          <w:sz w:val="19"/>
          <w:szCs w:val="19"/>
        </w:rPr>
        <w:t>.</w:t>
      </w:r>
    </w:p>
    <w:p w14:paraId="41D82191" w14:textId="77777777" w:rsidR="00D1587D" w:rsidRDefault="00D1587D">
      <w:pPr>
        <w:spacing w:line="233" w:lineRule="exact"/>
        <w:rPr>
          <w:sz w:val="20"/>
          <w:szCs w:val="20"/>
        </w:rPr>
      </w:pPr>
    </w:p>
    <w:p w14:paraId="1B8C999C" w14:textId="77777777" w:rsidR="00D1587D" w:rsidRDefault="00410D07">
      <w:pPr>
        <w:numPr>
          <w:ilvl w:val="1"/>
          <w:numId w:val="133"/>
        </w:numPr>
        <w:tabs>
          <w:tab w:val="left" w:pos="1614"/>
        </w:tabs>
        <w:spacing w:line="273" w:lineRule="auto"/>
        <w:ind w:left="-8" w:right="80" w:firstLine="850"/>
        <w:rPr>
          <w:rFonts w:ascii="Arial" w:eastAsia="Arial" w:hAnsi="Arial" w:cs="Arial"/>
          <w:sz w:val="19"/>
          <w:szCs w:val="19"/>
        </w:rPr>
      </w:pPr>
      <w:r>
        <w:rPr>
          <w:rFonts w:ascii="Arial" w:eastAsia="Arial" w:hAnsi="Arial" w:cs="Arial"/>
          <w:i/>
          <w:iCs/>
          <w:sz w:val="19"/>
          <w:szCs w:val="19"/>
        </w:rPr>
        <w:t>Timing</w:t>
      </w:r>
      <w:r>
        <w:rPr>
          <w:rFonts w:ascii="Arial" w:eastAsia="Arial" w:hAnsi="Arial" w:cs="Arial"/>
          <w:sz w:val="19"/>
          <w:szCs w:val="19"/>
        </w:rPr>
        <w:t>. All payments to be made under this</w:t>
      </w:r>
      <w:r>
        <w:rPr>
          <w:rFonts w:ascii="Arial" w:eastAsia="Arial" w:hAnsi="Arial" w:cs="Arial"/>
          <w:sz w:val="19"/>
          <w:szCs w:val="19"/>
        </w:rPr>
        <w:t xml:space="preserve"> Agreement (excluding, for the avoidance of doubt, any payments</w:t>
      </w:r>
      <w:r>
        <w:rPr>
          <w:rFonts w:ascii="Arial" w:eastAsia="Arial" w:hAnsi="Arial" w:cs="Arial"/>
          <w:i/>
          <w:iCs/>
          <w:sz w:val="19"/>
          <w:szCs w:val="19"/>
        </w:rPr>
        <w:t xml:space="preserve"> </w:t>
      </w:r>
      <w:r>
        <w:rPr>
          <w:rFonts w:ascii="Arial" w:eastAsia="Arial" w:hAnsi="Arial" w:cs="Arial"/>
          <w:sz w:val="19"/>
          <w:szCs w:val="19"/>
        </w:rPr>
        <w:t>to a Taxing Authority described herein) shall be made in immediately available funds. Except as otherwise provided, all such payments will be due thirty (30) Business Days after the receipt of</w:t>
      </w:r>
      <w:r>
        <w:rPr>
          <w:rFonts w:ascii="Arial" w:eastAsia="Arial" w:hAnsi="Arial" w:cs="Arial"/>
          <w:sz w:val="19"/>
          <w:szCs w:val="19"/>
        </w:rPr>
        <w:t xml:space="preserve"> notice of such payment or, where no notice is required, thirty</w:t>
      </w:r>
    </w:p>
    <w:p w14:paraId="7BEDB8A8" w14:textId="77777777" w:rsidR="00D1587D" w:rsidRDefault="00D1587D">
      <w:pPr>
        <w:spacing w:line="1" w:lineRule="exact"/>
        <w:rPr>
          <w:rFonts w:ascii="Arial" w:eastAsia="Arial" w:hAnsi="Arial" w:cs="Arial"/>
          <w:sz w:val="19"/>
          <w:szCs w:val="19"/>
        </w:rPr>
      </w:pPr>
    </w:p>
    <w:p w14:paraId="69D1EDB4" w14:textId="77777777" w:rsidR="00D1587D" w:rsidRDefault="00410D07">
      <w:pPr>
        <w:numPr>
          <w:ilvl w:val="0"/>
          <w:numId w:val="134"/>
        </w:numPr>
        <w:tabs>
          <w:tab w:val="left" w:pos="406"/>
        </w:tabs>
        <w:spacing w:line="232" w:lineRule="auto"/>
        <w:ind w:left="-8" w:firstLine="8"/>
        <w:rPr>
          <w:rFonts w:ascii="Arial" w:eastAsia="Arial" w:hAnsi="Arial" w:cs="Arial"/>
        </w:rPr>
      </w:pPr>
      <w:r>
        <w:rPr>
          <w:rFonts w:ascii="Arial" w:eastAsia="Arial" w:hAnsi="Arial" w:cs="Arial"/>
        </w:rPr>
        <w:t>Business Days after the fixing of liability or the resolution of a dispute (the “</w:t>
      </w:r>
      <w:r>
        <w:rPr>
          <w:rFonts w:ascii="Arial" w:eastAsia="Arial" w:hAnsi="Arial" w:cs="Arial"/>
          <w:b/>
          <w:bCs/>
        </w:rPr>
        <w:t>Due Date</w:t>
      </w:r>
      <w:r>
        <w:rPr>
          <w:rFonts w:ascii="Arial" w:eastAsia="Arial" w:hAnsi="Arial" w:cs="Arial"/>
        </w:rPr>
        <w:t>”). Payments shall be deemed made when received. Any payment that is not made on or before the Due Dat</w:t>
      </w:r>
      <w:r>
        <w:rPr>
          <w:rFonts w:ascii="Arial" w:eastAsia="Arial" w:hAnsi="Arial" w:cs="Arial"/>
        </w:rPr>
        <w:t xml:space="preserve">e shall bear interest at the rate equal to the “prime” rate as published on such Due Date in the Wall Street Journal, Eastern Edition, for the period from and including the date immediately following the Due Date through and including the date of payment. </w:t>
      </w:r>
      <w:r>
        <w:rPr>
          <w:rFonts w:ascii="Arial" w:eastAsia="Arial" w:hAnsi="Arial" w:cs="Arial"/>
        </w:rPr>
        <w:t>With respect to any payment required to be made under this Agreement, L Brands has the right to designate, by written notice to VS, which member of the L Brands Group will make or receive such payment.</w:t>
      </w:r>
    </w:p>
    <w:p w14:paraId="35990927" w14:textId="77777777" w:rsidR="00D1587D" w:rsidRDefault="00D1587D">
      <w:pPr>
        <w:spacing w:line="215" w:lineRule="exact"/>
        <w:rPr>
          <w:rFonts w:ascii="Arial" w:eastAsia="Arial" w:hAnsi="Arial" w:cs="Arial"/>
        </w:rPr>
      </w:pPr>
    </w:p>
    <w:p w14:paraId="4B00F32F" w14:textId="77777777" w:rsidR="00D1587D" w:rsidRDefault="00410D07">
      <w:pPr>
        <w:numPr>
          <w:ilvl w:val="1"/>
          <w:numId w:val="134"/>
        </w:numPr>
        <w:tabs>
          <w:tab w:val="left" w:pos="1626"/>
        </w:tabs>
        <w:spacing w:line="273" w:lineRule="auto"/>
        <w:ind w:left="-8" w:right="40" w:firstLine="850"/>
        <w:rPr>
          <w:rFonts w:ascii="Arial" w:eastAsia="Arial" w:hAnsi="Arial" w:cs="Arial"/>
          <w:sz w:val="19"/>
          <w:szCs w:val="19"/>
        </w:rPr>
      </w:pPr>
      <w:r>
        <w:rPr>
          <w:rFonts w:ascii="Arial" w:eastAsia="Arial" w:hAnsi="Arial" w:cs="Arial"/>
          <w:i/>
          <w:iCs/>
          <w:sz w:val="19"/>
          <w:szCs w:val="19"/>
        </w:rPr>
        <w:t>Treatment of Payments</w:t>
      </w:r>
      <w:r>
        <w:rPr>
          <w:rFonts w:ascii="Arial" w:eastAsia="Arial" w:hAnsi="Arial" w:cs="Arial"/>
          <w:sz w:val="19"/>
          <w:szCs w:val="19"/>
        </w:rPr>
        <w:t xml:space="preserve">. To the extent </w:t>
      </w:r>
      <w:r>
        <w:rPr>
          <w:rFonts w:ascii="Arial" w:eastAsia="Arial" w:hAnsi="Arial" w:cs="Arial"/>
          <w:sz w:val="19"/>
          <w:szCs w:val="19"/>
        </w:rPr>
        <w:t>permitted by Applicable Tax Law, any payment made by L Brands or</w:t>
      </w:r>
      <w:r>
        <w:rPr>
          <w:rFonts w:ascii="Arial" w:eastAsia="Arial" w:hAnsi="Arial" w:cs="Arial"/>
          <w:i/>
          <w:iCs/>
          <w:sz w:val="19"/>
          <w:szCs w:val="19"/>
        </w:rPr>
        <w:t xml:space="preserve"> </w:t>
      </w:r>
      <w:r>
        <w:rPr>
          <w:rFonts w:ascii="Arial" w:eastAsia="Arial" w:hAnsi="Arial" w:cs="Arial"/>
          <w:sz w:val="19"/>
          <w:szCs w:val="19"/>
        </w:rPr>
        <w:t>any member of the L Brands Group to VS or any member of the VS Group, or by VS or any member of the VS Group to L Brands or any member of the L Brands Group, pursuant to this Agreement, the S</w:t>
      </w:r>
      <w:r>
        <w:rPr>
          <w:rFonts w:ascii="Arial" w:eastAsia="Arial" w:hAnsi="Arial" w:cs="Arial"/>
          <w:sz w:val="19"/>
          <w:szCs w:val="19"/>
        </w:rPr>
        <w:t>eparation Agreement or any other Distribution Document that relates to Taxable periods (or portions thereof) ending on or before the Distribution Date shall be treated by the parties hereto for all Tax purposes as a distribution by VS to L Brands, or a cap</w:t>
      </w:r>
      <w:r>
        <w:rPr>
          <w:rFonts w:ascii="Arial" w:eastAsia="Arial" w:hAnsi="Arial" w:cs="Arial"/>
          <w:sz w:val="19"/>
          <w:szCs w:val="19"/>
        </w:rPr>
        <w:t xml:space="preserve">ital contribution from L Brands to VS, as the case may be; </w:t>
      </w:r>
      <w:r>
        <w:rPr>
          <w:rFonts w:ascii="Arial" w:eastAsia="Arial" w:hAnsi="Arial" w:cs="Arial"/>
          <w:i/>
          <w:iCs/>
          <w:sz w:val="19"/>
          <w:szCs w:val="19"/>
        </w:rPr>
        <w:t>provided, however,</w:t>
      </w:r>
      <w:r>
        <w:rPr>
          <w:rFonts w:ascii="Arial" w:eastAsia="Arial" w:hAnsi="Arial" w:cs="Arial"/>
          <w:sz w:val="19"/>
          <w:szCs w:val="19"/>
        </w:rPr>
        <w:t xml:space="preserve"> that any payment made pursuant to Section [__] of the Separation Agreement shall instead be treated as if the party required to make a payment of received amounts had received su</w:t>
      </w:r>
      <w:r>
        <w:rPr>
          <w:rFonts w:ascii="Arial" w:eastAsia="Arial" w:hAnsi="Arial" w:cs="Arial"/>
          <w:sz w:val="19"/>
          <w:szCs w:val="19"/>
        </w:rPr>
        <w:t xml:space="preserve">ch amounts as agent for the other party; </w:t>
      </w:r>
      <w:r>
        <w:rPr>
          <w:rFonts w:ascii="Arial" w:eastAsia="Arial" w:hAnsi="Arial" w:cs="Arial"/>
          <w:i/>
          <w:iCs/>
          <w:sz w:val="19"/>
          <w:szCs w:val="19"/>
        </w:rPr>
        <w:t>provided</w:t>
      </w:r>
      <w:r>
        <w:rPr>
          <w:rFonts w:ascii="Arial" w:eastAsia="Arial" w:hAnsi="Arial" w:cs="Arial"/>
          <w:sz w:val="19"/>
          <w:szCs w:val="19"/>
        </w:rPr>
        <w:t xml:space="preserve"> </w:t>
      </w:r>
      <w:r>
        <w:rPr>
          <w:rFonts w:ascii="Arial" w:eastAsia="Arial" w:hAnsi="Arial" w:cs="Arial"/>
          <w:i/>
          <w:iCs/>
          <w:sz w:val="19"/>
          <w:szCs w:val="19"/>
        </w:rPr>
        <w:t xml:space="preserve">further </w:t>
      </w:r>
      <w:r>
        <w:rPr>
          <w:rFonts w:ascii="Arial" w:eastAsia="Arial" w:hAnsi="Arial" w:cs="Arial"/>
          <w:sz w:val="19"/>
          <w:szCs w:val="19"/>
        </w:rPr>
        <w:t>that any payment made pursuant to Section [__] of the Transition Services Agreement shall instead be treated as a</w:t>
      </w:r>
      <w:r>
        <w:rPr>
          <w:rFonts w:ascii="Arial" w:eastAsia="Arial" w:hAnsi="Arial" w:cs="Arial"/>
          <w:i/>
          <w:iCs/>
          <w:sz w:val="19"/>
          <w:szCs w:val="19"/>
        </w:rPr>
        <w:t xml:space="preserve"> </w:t>
      </w:r>
      <w:r>
        <w:rPr>
          <w:rFonts w:ascii="Arial" w:eastAsia="Arial" w:hAnsi="Arial" w:cs="Arial"/>
          <w:sz w:val="19"/>
          <w:szCs w:val="19"/>
        </w:rPr>
        <w:t>payment for services. In the event that a Taxing Authority asserts that a party’s tr</w:t>
      </w:r>
      <w:r>
        <w:rPr>
          <w:rFonts w:ascii="Arial" w:eastAsia="Arial" w:hAnsi="Arial" w:cs="Arial"/>
          <w:sz w:val="19"/>
          <w:szCs w:val="19"/>
        </w:rPr>
        <w:t xml:space="preserve">eatment of a payment described in this </w:t>
      </w:r>
      <w:r>
        <w:rPr>
          <w:rFonts w:ascii="Arial" w:eastAsia="Arial" w:hAnsi="Arial" w:cs="Arial"/>
          <w:sz w:val="19"/>
          <w:szCs w:val="19"/>
          <w:u w:val="single"/>
        </w:rPr>
        <w:t>Section</w:t>
      </w:r>
      <w:r>
        <w:rPr>
          <w:rFonts w:ascii="Arial" w:eastAsia="Arial" w:hAnsi="Arial" w:cs="Arial"/>
          <w:sz w:val="19"/>
          <w:szCs w:val="19"/>
        </w:rPr>
        <w:t xml:space="preserve"> </w:t>
      </w:r>
      <w:r>
        <w:rPr>
          <w:rFonts w:ascii="Arial" w:eastAsia="Arial" w:hAnsi="Arial" w:cs="Arial"/>
          <w:sz w:val="19"/>
          <w:szCs w:val="19"/>
          <w:u w:val="single"/>
        </w:rPr>
        <w:t>12(b)</w:t>
      </w:r>
      <w:r>
        <w:rPr>
          <w:rFonts w:ascii="Arial" w:eastAsia="Arial" w:hAnsi="Arial" w:cs="Arial"/>
          <w:sz w:val="19"/>
          <w:szCs w:val="19"/>
        </w:rPr>
        <w:t xml:space="preserve"> should be other than as required herein, such party shall use its reasonable best efforts to contest such assertion in a manner consistent with </w:t>
      </w:r>
      <w:r>
        <w:rPr>
          <w:rFonts w:ascii="Arial" w:eastAsia="Arial" w:hAnsi="Arial" w:cs="Arial"/>
          <w:sz w:val="19"/>
          <w:szCs w:val="19"/>
          <w:u w:val="single"/>
        </w:rPr>
        <w:t>Section 15</w:t>
      </w:r>
      <w:r>
        <w:rPr>
          <w:rFonts w:ascii="Arial" w:eastAsia="Arial" w:hAnsi="Arial" w:cs="Arial"/>
          <w:sz w:val="19"/>
          <w:szCs w:val="19"/>
        </w:rPr>
        <w:t xml:space="preserve"> of this Agreement.</w:t>
      </w:r>
    </w:p>
    <w:p w14:paraId="7E7E3FFE" w14:textId="77777777" w:rsidR="00D1587D" w:rsidRDefault="00D1587D">
      <w:pPr>
        <w:spacing w:line="182" w:lineRule="exact"/>
        <w:rPr>
          <w:rFonts w:ascii="Arial" w:eastAsia="Arial" w:hAnsi="Arial" w:cs="Arial"/>
          <w:sz w:val="19"/>
          <w:szCs w:val="19"/>
        </w:rPr>
      </w:pPr>
    </w:p>
    <w:p w14:paraId="4C69DF05" w14:textId="77777777" w:rsidR="00D1587D" w:rsidRDefault="00410D07">
      <w:pPr>
        <w:numPr>
          <w:ilvl w:val="1"/>
          <w:numId w:val="134"/>
        </w:numPr>
        <w:tabs>
          <w:tab w:val="left" w:pos="1614"/>
        </w:tabs>
        <w:ind w:left="-8" w:right="200" w:firstLine="850"/>
        <w:rPr>
          <w:rFonts w:ascii="Arial" w:eastAsia="Arial" w:hAnsi="Arial" w:cs="Arial"/>
        </w:rPr>
      </w:pPr>
      <w:r>
        <w:rPr>
          <w:rFonts w:ascii="Arial" w:eastAsia="Arial" w:hAnsi="Arial" w:cs="Arial"/>
          <w:i/>
          <w:iCs/>
        </w:rPr>
        <w:t xml:space="preserve">No Duplicative Payment. </w:t>
      </w:r>
      <w:r>
        <w:rPr>
          <w:rFonts w:ascii="Arial" w:eastAsia="Arial" w:hAnsi="Arial" w:cs="Arial"/>
        </w:rPr>
        <w:t xml:space="preserve">It </w:t>
      </w:r>
      <w:r>
        <w:rPr>
          <w:rFonts w:ascii="Arial" w:eastAsia="Arial" w:hAnsi="Arial" w:cs="Arial"/>
        </w:rPr>
        <w:t>is intended that the provisions of this Agreement shall not result in a duplicative</w:t>
      </w:r>
      <w:r>
        <w:rPr>
          <w:rFonts w:ascii="Arial" w:eastAsia="Arial" w:hAnsi="Arial" w:cs="Arial"/>
          <w:i/>
          <w:iCs/>
        </w:rPr>
        <w:t xml:space="preserve"> </w:t>
      </w:r>
      <w:r>
        <w:rPr>
          <w:rFonts w:ascii="Arial" w:eastAsia="Arial" w:hAnsi="Arial" w:cs="Arial"/>
        </w:rPr>
        <w:t>payment of any amount required to be paid under the Separation Agreement or any other Distribution Document, and this Agreement shall be construed accordingly.</w:t>
      </w:r>
    </w:p>
    <w:p w14:paraId="149DA473" w14:textId="77777777" w:rsidR="00D1587D" w:rsidRDefault="00D1587D">
      <w:pPr>
        <w:spacing w:line="146" w:lineRule="exact"/>
        <w:rPr>
          <w:sz w:val="20"/>
          <w:szCs w:val="20"/>
        </w:rPr>
      </w:pPr>
    </w:p>
    <w:p w14:paraId="7EBA9D40" w14:textId="77777777" w:rsidR="00D1587D" w:rsidRDefault="00410D07">
      <w:pPr>
        <w:ind w:right="-11"/>
        <w:jc w:val="center"/>
        <w:rPr>
          <w:sz w:val="20"/>
          <w:szCs w:val="20"/>
        </w:rPr>
      </w:pPr>
      <w:r>
        <w:rPr>
          <w:rFonts w:ascii="Arial" w:eastAsia="Arial" w:hAnsi="Arial" w:cs="Arial"/>
        </w:rPr>
        <w:t>20</w:t>
      </w:r>
    </w:p>
    <w:p w14:paraId="582F9968" w14:textId="77777777" w:rsidR="00D1587D" w:rsidRDefault="00410D07">
      <w:pPr>
        <w:spacing w:line="20" w:lineRule="exact"/>
        <w:rPr>
          <w:sz w:val="20"/>
          <w:szCs w:val="20"/>
        </w:rPr>
      </w:pPr>
      <w:r>
        <w:rPr>
          <w:noProof/>
          <w:sz w:val="20"/>
          <w:szCs w:val="20"/>
        </w:rPr>
        <w:drawing>
          <wp:anchor distT="0" distB="0" distL="114300" distR="114300" simplePos="0" relativeHeight="251314176" behindDoc="1" locked="0" layoutInCell="0" allowOverlap="1" wp14:anchorId="63C08656" wp14:editId="6BEE7D5D">
            <wp:simplePos x="0" y="0"/>
            <wp:positionH relativeFrom="column">
              <wp:posOffset>0</wp:posOffset>
            </wp:positionH>
            <wp:positionV relativeFrom="paragraph">
              <wp:posOffset>41275</wp:posOffset>
            </wp:positionV>
            <wp:extent cx="7132320" cy="1714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51D200C" w14:textId="77777777" w:rsidR="00D1587D" w:rsidRDefault="00D1587D">
      <w:pPr>
        <w:sectPr w:rsidR="00D1587D">
          <w:pgSz w:w="11900" w:h="16838"/>
          <w:pgMar w:top="361" w:right="359" w:bottom="1440" w:left="328" w:header="0" w:footer="0" w:gutter="0"/>
          <w:cols w:space="720" w:equalWidth="0">
            <w:col w:w="11212"/>
          </w:cols>
        </w:sectPr>
      </w:pPr>
    </w:p>
    <w:p w14:paraId="39632A1A" w14:textId="77777777" w:rsidR="00D1587D" w:rsidRDefault="00410D07">
      <w:pPr>
        <w:spacing w:line="328" w:lineRule="auto"/>
        <w:ind w:right="460" w:firstLine="648"/>
        <w:rPr>
          <w:sz w:val="20"/>
          <w:szCs w:val="20"/>
        </w:rPr>
      </w:pPr>
      <w:bookmarkStart w:id="159" w:name="page160"/>
      <w:bookmarkEnd w:id="159"/>
      <w:r>
        <w:rPr>
          <w:rFonts w:ascii="Arial" w:eastAsia="Arial" w:hAnsi="Arial" w:cs="Arial"/>
          <w:sz w:val="19"/>
          <w:szCs w:val="19"/>
        </w:rPr>
        <w:t xml:space="preserve">Section 13. </w:t>
      </w:r>
      <w:r>
        <w:rPr>
          <w:rFonts w:ascii="Arial" w:eastAsia="Arial" w:hAnsi="Arial" w:cs="Arial"/>
          <w:i/>
          <w:iCs/>
          <w:sz w:val="19"/>
          <w:szCs w:val="19"/>
        </w:rPr>
        <w:t>Guarantees</w:t>
      </w:r>
      <w:r>
        <w:rPr>
          <w:rFonts w:ascii="Arial" w:eastAsia="Arial" w:hAnsi="Arial" w:cs="Arial"/>
          <w:sz w:val="19"/>
          <w:szCs w:val="19"/>
        </w:rPr>
        <w:t>. L Brands and VS, as the case may be, each hereby guarantees and agrees to otherwise perform the obligations of each other member of the L Brands Group or the VS Group, respectively, under this Agreement.</w:t>
      </w:r>
    </w:p>
    <w:p w14:paraId="2C52F4B3" w14:textId="77777777" w:rsidR="00D1587D" w:rsidRDefault="00D1587D">
      <w:pPr>
        <w:spacing w:line="132" w:lineRule="exact"/>
        <w:rPr>
          <w:sz w:val="20"/>
          <w:szCs w:val="20"/>
        </w:rPr>
      </w:pPr>
    </w:p>
    <w:p w14:paraId="058234EC" w14:textId="77777777" w:rsidR="00D1587D" w:rsidRDefault="00410D07">
      <w:pPr>
        <w:tabs>
          <w:tab w:val="left" w:pos="2140"/>
        </w:tabs>
        <w:ind w:left="660"/>
        <w:rPr>
          <w:sz w:val="20"/>
          <w:szCs w:val="20"/>
        </w:rPr>
      </w:pPr>
      <w:r>
        <w:rPr>
          <w:rFonts w:ascii="Arial" w:eastAsia="Arial" w:hAnsi="Arial" w:cs="Arial"/>
        </w:rPr>
        <w:t>Section</w:t>
      </w:r>
      <w:r>
        <w:rPr>
          <w:rFonts w:ascii="Arial" w:eastAsia="Arial" w:hAnsi="Arial" w:cs="Arial"/>
        </w:rPr>
        <w:t xml:space="preserve"> 14.</w:t>
      </w:r>
      <w:r>
        <w:rPr>
          <w:sz w:val="20"/>
          <w:szCs w:val="20"/>
        </w:rPr>
        <w:tab/>
      </w:r>
      <w:r>
        <w:rPr>
          <w:rFonts w:ascii="Arial" w:eastAsia="Arial" w:hAnsi="Arial" w:cs="Arial"/>
          <w:i/>
          <w:iCs/>
          <w:sz w:val="19"/>
          <w:szCs w:val="19"/>
        </w:rPr>
        <w:t>Communication and Cooperation</w:t>
      </w:r>
      <w:r>
        <w:rPr>
          <w:rFonts w:ascii="Arial" w:eastAsia="Arial" w:hAnsi="Arial" w:cs="Arial"/>
          <w:sz w:val="19"/>
          <w:szCs w:val="19"/>
        </w:rPr>
        <w:t>.</w:t>
      </w:r>
    </w:p>
    <w:p w14:paraId="6F34F68E" w14:textId="77777777" w:rsidR="00D1587D" w:rsidRDefault="00D1587D">
      <w:pPr>
        <w:spacing w:line="233" w:lineRule="exact"/>
        <w:rPr>
          <w:sz w:val="20"/>
          <w:szCs w:val="20"/>
        </w:rPr>
      </w:pPr>
    </w:p>
    <w:p w14:paraId="5DE3A7F6" w14:textId="77777777" w:rsidR="00D1587D" w:rsidRDefault="00410D07">
      <w:pPr>
        <w:numPr>
          <w:ilvl w:val="0"/>
          <w:numId w:val="135"/>
        </w:numPr>
        <w:tabs>
          <w:tab w:val="left" w:pos="1622"/>
        </w:tabs>
        <w:spacing w:line="297" w:lineRule="auto"/>
        <w:ind w:right="140" w:firstLine="850"/>
        <w:rPr>
          <w:rFonts w:ascii="Arial" w:eastAsia="Arial" w:hAnsi="Arial" w:cs="Arial"/>
          <w:sz w:val="19"/>
          <w:szCs w:val="19"/>
        </w:rPr>
      </w:pPr>
      <w:r>
        <w:rPr>
          <w:rFonts w:ascii="Arial" w:eastAsia="Arial" w:hAnsi="Arial" w:cs="Arial"/>
          <w:i/>
          <w:iCs/>
          <w:sz w:val="19"/>
          <w:szCs w:val="19"/>
        </w:rPr>
        <w:t xml:space="preserve">Consult and Cooperate. </w:t>
      </w:r>
      <w:r>
        <w:rPr>
          <w:rFonts w:ascii="Arial" w:eastAsia="Arial" w:hAnsi="Arial" w:cs="Arial"/>
          <w:sz w:val="19"/>
          <w:szCs w:val="19"/>
        </w:rPr>
        <w:t>L Brands and VS shall consult and cooperate (and shall cause each other member of</w:t>
      </w:r>
      <w:r>
        <w:rPr>
          <w:rFonts w:ascii="Arial" w:eastAsia="Arial" w:hAnsi="Arial" w:cs="Arial"/>
          <w:i/>
          <w:iCs/>
          <w:sz w:val="19"/>
          <w:szCs w:val="19"/>
        </w:rPr>
        <w:t xml:space="preserve"> </w:t>
      </w:r>
      <w:r>
        <w:rPr>
          <w:rFonts w:ascii="Arial" w:eastAsia="Arial" w:hAnsi="Arial" w:cs="Arial"/>
          <w:sz w:val="19"/>
          <w:szCs w:val="19"/>
        </w:rPr>
        <w:t>their respective Groups to consult and cooperate) fully at such time and to the extent reasonably requested by the</w:t>
      </w:r>
      <w:r>
        <w:rPr>
          <w:rFonts w:ascii="Arial" w:eastAsia="Arial" w:hAnsi="Arial" w:cs="Arial"/>
          <w:sz w:val="19"/>
          <w:szCs w:val="19"/>
        </w:rPr>
        <w:t xml:space="preserve"> other party in connection with all matters subject to this Agreement. Such cooperation shall include, without limitation:</w:t>
      </w:r>
    </w:p>
    <w:p w14:paraId="01AF644F" w14:textId="77777777" w:rsidR="00D1587D" w:rsidRDefault="00D1587D">
      <w:pPr>
        <w:spacing w:line="160" w:lineRule="exact"/>
        <w:rPr>
          <w:rFonts w:ascii="Arial" w:eastAsia="Arial" w:hAnsi="Arial" w:cs="Arial"/>
          <w:sz w:val="19"/>
          <w:szCs w:val="19"/>
        </w:rPr>
      </w:pPr>
    </w:p>
    <w:p w14:paraId="40A7D94E" w14:textId="77777777" w:rsidR="00D1587D" w:rsidRDefault="00410D07">
      <w:pPr>
        <w:numPr>
          <w:ilvl w:val="1"/>
          <w:numId w:val="135"/>
        </w:numPr>
        <w:tabs>
          <w:tab w:val="left" w:pos="2536"/>
        </w:tabs>
        <w:spacing w:line="282" w:lineRule="auto"/>
        <w:ind w:left="820" w:firstLine="970"/>
        <w:jc w:val="both"/>
        <w:rPr>
          <w:rFonts w:ascii="Arial" w:eastAsia="Arial" w:hAnsi="Arial" w:cs="Arial"/>
          <w:sz w:val="19"/>
          <w:szCs w:val="19"/>
        </w:rPr>
      </w:pPr>
      <w:r>
        <w:rPr>
          <w:rFonts w:ascii="Arial" w:eastAsia="Arial" w:hAnsi="Arial" w:cs="Arial"/>
          <w:sz w:val="19"/>
          <w:szCs w:val="19"/>
        </w:rPr>
        <w:t xml:space="preserve">the retention, and provision on reasonable request, of any and all information including all books, records, </w:t>
      </w:r>
      <w:r>
        <w:rPr>
          <w:rFonts w:ascii="Arial" w:eastAsia="Arial" w:hAnsi="Arial" w:cs="Arial"/>
          <w:sz w:val="19"/>
          <w:szCs w:val="19"/>
        </w:rPr>
        <w:t>documentation or other information pertaining to Tax matters relating to the VS Group (or, in the case of any Tax Return of the L Brands Group, the portion of such return that relates to Taxes for which the VS Group may be liable pursuant to this Agreement</w:t>
      </w:r>
      <w:r>
        <w:rPr>
          <w:rFonts w:ascii="Arial" w:eastAsia="Arial" w:hAnsi="Arial" w:cs="Arial"/>
          <w:sz w:val="19"/>
          <w:szCs w:val="19"/>
        </w:rPr>
        <w:t>), any necessary explanations of information, and access to personnel, until one year after the expiration of the applicable statute of limitation (giving effect to any extension, waiver or mitigation thereof);</w:t>
      </w:r>
    </w:p>
    <w:p w14:paraId="02485E6F" w14:textId="77777777" w:rsidR="00D1587D" w:rsidRDefault="00D1587D">
      <w:pPr>
        <w:spacing w:line="174" w:lineRule="exact"/>
        <w:rPr>
          <w:rFonts w:ascii="Arial" w:eastAsia="Arial" w:hAnsi="Arial" w:cs="Arial"/>
          <w:sz w:val="19"/>
          <w:szCs w:val="19"/>
        </w:rPr>
      </w:pPr>
    </w:p>
    <w:p w14:paraId="2D5B6B51" w14:textId="77777777" w:rsidR="00D1587D" w:rsidRDefault="00410D07">
      <w:pPr>
        <w:numPr>
          <w:ilvl w:val="1"/>
          <w:numId w:val="135"/>
        </w:numPr>
        <w:tabs>
          <w:tab w:val="left" w:pos="2596"/>
        </w:tabs>
        <w:spacing w:line="328" w:lineRule="auto"/>
        <w:ind w:left="820" w:right="380" w:firstLine="970"/>
        <w:rPr>
          <w:rFonts w:ascii="Arial" w:eastAsia="Arial" w:hAnsi="Arial" w:cs="Arial"/>
          <w:sz w:val="19"/>
          <w:szCs w:val="19"/>
        </w:rPr>
      </w:pPr>
      <w:r>
        <w:rPr>
          <w:rFonts w:ascii="Arial" w:eastAsia="Arial" w:hAnsi="Arial" w:cs="Arial"/>
          <w:sz w:val="19"/>
          <w:szCs w:val="19"/>
        </w:rPr>
        <w:t>the execution of any document that may be ne</w:t>
      </w:r>
      <w:r>
        <w:rPr>
          <w:rFonts w:ascii="Arial" w:eastAsia="Arial" w:hAnsi="Arial" w:cs="Arial"/>
          <w:sz w:val="19"/>
          <w:szCs w:val="19"/>
        </w:rPr>
        <w:t xml:space="preserve">cessary (including to give effect to </w:t>
      </w:r>
      <w:r>
        <w:rPr>
          <w:rFonts w:ascii="Arial" w:eastAsia="Arial" w:hAnsi="Arial" w:cs="Arial"/>
          <w:sz w:val="19"/>
          <w:szCs w:val="19"/>
          <w:u w:val="single"/>
        </w:rPr>
        <w:t>Section 15</w:t>
      </w:r>
      <w:r>
        <w:rPr>
          <w:rFonts w:ascii="Arial" w:eastAsia="Arial" w:hAnsi="Arial" w:cs="Arial"/>
          <w:sz w:val="19"/>
          <w:szCs w:val="19"/>
        </w:rPr>
        <w:t>) or helpful in connection with any required Tax Return or in connection with any audit, proceeding, suit or action; and</w:t>
      </w:r>
    </w:p>
    <w:p w14:paraId="2730D59A" w14:textId="77777777" w:rsidR="00D1587D" w:rsidRDefault="00D1587D">
      <w:pPr>
        <w:spacing w:line="131" w:lineRule="exact"/>
        <w:rPr>
          <w:rFonts w:ascii="Arial" w:eastAsia="Arial" w:hAnsi="Arial" w:cs="Arial"/>
          <w:sz w:val="19"/>
          <w:szCs w:val="19"/>
        </w:rPr>
      </w:pPr>
    </w:p>
    <w:p w14:paraId="177F30E4" w14:textId="77777777" w:rsidR="00D1587D" w:rsidRDefault="00410D07">
      <w:pPr>
        <w:numPr>
          <w:ilvl w:val="1"/>
          <w:numId w:val="135"/>
        </w:numPr>
        <w:tabs>
          <w:tab w:val="left" w:pos="2656"/>
        </w:tabs>
        <w:spacing w:line="328" w:lineRule="auto"/>
        <w:ind w:left="820" w:right="740" w:firstLine="970"/>
        <w:rPr>
          <w:rFonts w:ascii="Arial" w:eastAsia="Arial" w:hAnsi="Arial" w:cs="Arial"/>
          <w:sz w:val="19"/>
          <w:szCs w:val="19"/>
        </w:rPr>
      </w:pPr>
      <w:r>
        <w:rPr>
          <w:rFonts w:ascii="Arial" w:eastAsia="Arial" w:hAnsi="Arial" w:cs="Arial"/>
          <w:sz w:val="19"/>
          <w:szCs w:val="19"/>
        </w:rPr>
        <w:t>the use of the parties’ commercially reasonable efforts to obtain any documentation fro</w:t>
      </w:r>
      <w:r>
        <w:rPr>
          <w:rFonts w:ascii="Arial" w:eastAsia="Arial" w:hAnsi="Arial" w:cs="Arial"/>
          <w:sz w:val="19"/>
          <w:szCs w:val="19"/>
        </w:rPr>
        <w:t>m a Governmental Authority or a third party that may be necessary or helpful in connection with the foregoing.</w:t>
      </w:r>
    </w:p>
    <w:p w14:paraId="05835A4C" w14:textId="77777777" w:rsidR="00D1587D" w:rsidRDefault="00D1587D">
      <w:pPr>
        <w:spacing w:line="131" w:lineRule="exact"/>
        <w:rPr>
          <w:rFonts w:ascii="Arial" w:eastAsia="Arial" w:hAnsi="Arial" w:cs="Arial"/>
          <w:sz w:val="19"/>
          <w:szCs w:val="19"/>
        </w:rPr>
      </w:pPr>
    </w:p>
    <w:p w14:paraId="1B2BC351" w14:textId="77777777" w:rsidR="00D1587D" w:rsidRDefault="00410D07">
      <w:pPr>
        <w:numPr>
          <w:ilvl w:val="0"/>
          <w:numId w:val="135"/>
        </w:numPr>
        <w:tabs>
          <w:tab w:val="left" w:pos="1634"/>
        </w:tabs>
        <w:spacing w:line="274" w:lineRule="auto"/>
        <w:ind w:right="400" w:firstLine="850"/>
        <w:rPr>
          <w:rFonts w:ascii="Arial" w:eastAsia="Arial" w:hAnsi="Arial" w:cs="Arial"/>
          <w:sz w:val="21"/>
          <w:szCs w:val="21"/>
        </w:rPr>
      </w:pPr>
      <w:r>
        <w:rPr>
          <w:rFonts w:ascii="Arial" w:eastAsia="Arial" w:hAnsi="Arial" w:cs="Arial"/>
          <w:i/>
          <w:iCs/>
          <w:sz w:val="21"/>
          <w:szCs w:val="21"/>
        </w:rPr>
        <w:t xml:space="preserve">Provide Information. </w:t>
      </w:r>
      <w:r>
        <w:rPr>
          <w:rFonts w:ascii="Arial" w:eastAsia="Arial" w:hAnsi="Arial" w:cs="Arial"/>
          <w:sz w:val="21"/>
          <w:szCs w:val="21"/>
        </w:rPr>
        <w:t>Except as set forth in</w:t>
      </w:r>
      <w:r>
        <w:rPr>
          <w:rFonts w:ascii="Arial" w:eastAsia="Arial" w:hAnsi="Arial" w:cs="Arial"/>
          <w:i/>
          <w:iCs/>
          <w:sz w:val="21"/>
          <w:szCs w:val="21"/>
        </w:rPr>
        <w:t xml:space="preserve"> </w:t>
      </w:r>
      <w:r>
        <w:rPr>
          <w:rFonts w:ascii="Arial" w:eastAsia="Arial" w:hAnsi="Arial" w:cs="Arial"/>
          <w:sz w:val="21"/>
          <w:szCs w:val="21"/>
          <w:u w:val="single"/>
        </w:rPr>
        <w:t>Section 15</w:t>
      </w:r>
      <w:r>
        <w:rPr>
          <w:rFonts w:ascii="Arial" w:eastAsia="Arial" w:hAnsi="Arial" w:cs="Arial"/>
          <w:sz w:val="21"/>
          <w:szCs w:val="21"/>
        </w:rPr>
        <w:t>, L Brands and VS shall keep each other reasonably</w:t>
      </w:r>
      <w:r>
        <w:rPr>
          <w:rFonts w:ascii="Arial" w:eastAsia="Arial" w:hAnsi="Arial" w:cs="Arial"/>
          <w:i/>
          <w:iCs/>
          <w:sz w:val="21"/>
          <w:szCs w:val="21"/>
        </w:rPr>
        <w:t xml:space="preserve"> </w:t>
      </w:r>
      <w:r>
        <w:rPr>
          <w:rFonts w:ascii="Arial" w:eastAsia="Arial" w:hAnsi="Arial" w:cs="Arial"/>
          <w:sz w:val="21"/>
          <w:szCs w:val="21"/>
        </w:rPr>
        <w:t xml:space="preserve">informed with respect to any </w:t>
      </w:r>
      <w:r>
        <w:rPr>
          <w:rFonts w:ascii="Arial" w:eastAsia="Arial" w:hAnsi="Arial" w:cs="Arial"/>
          <w:sz w:val="21"/>
          <w:szCs w:val="21"/>
        </w:rPr>
        <w:t>material development relating to the matters subject to this Agreement.</w:t>
      </w:r>
    </w:p>
    <w:p w14:paraId="78F0CC9E" w14:textId="77777777" w:rsidR="00D1587D" w:rsidRDefault="00D1587D">
      <w:pPr>
        <w:spacing w:line="177" w:lineRule="exact"/>
        <w:rPr>
          <w:rFonts w:ascii="Arial" w:eastAsia="Arial" w:hAnsi="Arial" w:cs="Arial"/>
          <w:sz w:val="21"/>
          <w:szCs w:val="21"/>
        </w:rPr>
      </w:pPr>
    </w:p>
    <w:p w14:paraId="48E6D391" w14:textId="77777777" w:rsidR="00D1587D" w:rsidRDefault="00410D07">
      <w:pPr>
        <w:numPr>
          <w:ilvl w:val="0"/>
          <w:numId w:val="135"/>
        </w:numPr>
        <w:tabs>
          <w:tab w:val="left" w:pos="1622"/>
        </w:tabs>
        <w:spacing w:line="252" w:lineRule="auto"/>
        <w:ind w:right="20" w:firstLine="850"/>
        <w:rPr>
          <w:rFonts w:ascii="Arial" w:eastAsia="Arial" w:hAnsi="Arial" w:cs="Arial"/>
          <w:sz w:val="21"/>
          <w:szCs w:val="21"/>
        </w:rPr>
      </w:pPr>
      <w:r>
        <w:rPr>
          <w:rFonts w:ascii="Arial" w:eastAsia="Arial" w:hAnsi="Arial" w:cs="Arial"/>
          <w:i/>
          <w:iCs/>
          <w:sz w:val="21"/>
          <w:szCs w:val="21"/>
        </w:rPr>
        <w:t xml:space="preserve">Tax Attribute Matters. </w:t>
      </w:r>
      <w:r>
        <w:rPr>
          <w:rFonts w:ascii="Arial" w:eastAsia="Arial" w:hAnsi="Arial" w:cs="Arial"/>
          <w:sz w:val="21"/>
          <w:szCs w:val="21"/>
        </w:rPr>
        <w:t>L Brands and VS shall promptly advise each other with respect to any proposed Tax</w:t>
      </w:r>
      <w:r>
        <w:rPr>
          <w:rFonts w:ascii="Arial" w:eastAsia="Arial" w:hAnsi="Arial" w:cs="Arial"/>
          <w:i/>
          <w:iCs/>
          <w:sz w:val="21"/>
          <w:szCs w:val="21"/>
        </w:rPr>
        <w:t xml:space="preserve"> </w:t>
      </w:r>
      <w:r>
        <w:rPr>
          <w:rFonts w:ascii="Arial" w:eastAsia="Arial" w:hAnsi="Arial" w:cs="Arial"/>
          <w:sz w:val="21"/>
          <w:szCs w:val="21"/>
        </w:rPr>
        <w:t>adjustments that are the subject of an audit or investigation, or are the subj</w:t>
      </w:r>
      <w:r>
        <w:rPr>
          <w:rFonts w:ascii="Arial" w:eastAsia="Arial" w:hAnsi="Arial" w:cs="Arial"/>
          <w:sz w:val="21"/>
          <w:szCs w:val="21"/>
        </w:rPr>
        <w:t>ect of any proceeding or litigation, and that may affect any Tax liability or any Tax Attribute (including, but not limited to, basis in an asset or the amount of earnings and profits) of any member of the VS Group or any member of the L Brands Group, resp</w:t>
      </w:r>
      <w:r>
        <w:rPr>
          <w:rFonts w:ascii="Arial" w:eastAsia="Arial" w:hAnsi="Arial" w:cs="Arial"/>
          <w:sz w:val="21"/>
          <w:szCs w:val="21"/>
        </w:rPr>
        <w:t>ectively.</w:t>
      </w:r>
    </w:p>
    <w:p w14:paraId="5A4F396A" w14:textId="77777777" w:rsidR="00D1587D" w:rsidRDefault="00D1587D">
      <w:pPr>
        <w:spacing w:line="200" w:lineRule="exact"/>
        <w:rPr>
          <w:rFonts w:ascii="Arial" w:eastAsia="Arial" w:hAnsi="Arial" w:cs="Arial"/>
          <w:sz w:val="21"/>
          <w:szCs w:val="21"/>
        </w:rPr>
      </w:pPr>
    </w:p>
    <w:p w14:paraId="2C5A8C3F" w14:textId="77777777" w:rsidR="00D1587D" w:rsidRDefault="00410D07">
      <w:pPr>
        <w:numPr>
          <w:ilvl w:val="0"/>
          <w:numId w:val="135"/>
        </w:numPr>
        <w:tabs>
          <w:tab w:val="left" w:pos="1634"/>
        </w:tabs>
        <w:spacing w:line="271" w:lineRule="auto"/>
        <w:ind w:firstLine="850"/>
        <w:rPr>
          <w:rFonts w:ascii="Arial" w:eastAsia="Arial" w:hAnsi="Arial" w:cs="Arial"/>
          <w:sz w:val="19"/>
          <w:szCs w:val="19"/>
        </w:rPr>
      </w:pPr>
      <w:r>
        <w:rPr>
          <w:rFonts w:ascii="Arial" w:eastAsia="Arial" w:hAnsi="Arial" w:cs="Arial"/>
          <w:i/>
          <w:iCs/>
          <w:sz w:val="19"/>
          <w:szCs w:val="19"/>
        </w:rPr>
        <w:t>Confidentiality and Privileged Information</w:t>
      </w:r>
      <w:r>
        <w:rPr>
          <w:rFonts w:ascii="Arial" w:eastAsia="Arial" w:hAnsi="Arial" w:cs="Arial"/>
          <w:sz w:val="19"/>
          <w:szCs w:val="19"/>
        </w:rPr>
        <w:t>. Any information or documents provided under this Agreement</w:t>
      </w:r>
      <w:r>
        <w:rPr>
          <w:rFonts w:ascii="Arial" w:eastAsia="Arial" w:hAnsi="Arial" w:cs="Arial"/>
          <w:i/>
          <w:iCs/>
          <w:sz w:val="19"/>
          <w:szCs w:val="19"/>
        </w:rPr>
        <w:t xml:space="preserve"> </w:t>
      </w:r>
      <w:r>
        <w:rPr>
          <w:rFonts w:ascii="Arial" w:eastAsia="Arial" w:hAnsi="Arial" w:cs="Arial"/>
          <w:sz w:val="19"/>
          <w:szCs w:val="19"/>
        </w:rPr>
        <w:t>shall be kept confidential by the party receiving the information or documents, except as may otherwise be necessary in connection with the fi</w:t>
      </w:r>
      <w:r>
        <w:rPr>
          <w:rFonts w:ascii="Arial" w:eastAsia="Arial" w:hAnsi="Arial" w:cs="Arial"/>
          <w:sz w:val="19"/>
          <w:szCs w:val="19"/>
        </w:rPr>
        <w:t>ling of required Tax Returns or in connection with any audit, proceeding, suit or action. Without limiting the foregoing (and notwithstanding any other provision of this Agreement or any other agreement), (i) no member of the L Brands Group or VS Group, re</w:t>
      </w:r>
      <w:r>
        <w:rPr>
          <w:rFonts w:ascii="Arial" w:eastAsia="Arial" w:hAnsi="Arial" w:cs="Arial"/>
          <w:sz w:val="19"/>
          <w:szCs w:val="19"/>
        </w:rPr>
        <w:t>spectively, shall be required to provide any member of the VS Group or L Brands Group, respectively, or any other Person access to or copies of any information or procedures other than information or procedures that relate solely to VS, the business or ass</w:t>
      </w:r>
      <w:r>
        <w:rPr>
          <w:rFonts w:ascii="Arial" w:eastAsia="Arial" w:hAnsi="Arial" w:cs="Arial"/>
          <w:sz w:val="19"/>
          <w:szCs w:val="19"/>
        </w:rPr>
        <w:t>ets of any member of the VS Group, or matters for which VS or L Brands Group, respectively, has an obligation to indemnify under this Agreement, and (ii) in no event shall any member of the L Brands Group or the VS Group, respectively, be required to provi</w:t>
      </w:r>
      <w:r>
        <w:rPr>
          <w:rFonts w:ascii="Arial" w:eastAsia="Arial" w:hAnsi="Arial" w:cs="Arial"/>
          <w:sz w:val="19"/>
          <w:szCs w:val="19"/>
        </w:rPr>
        <w:t>de any member of the VS Group or L Brands Group, respectively, or any other Person access to or copies of any information if such action could reasonably be expected to result in the waiver of any privilege. Notwithstanding the foregoing, in the event that</w:t>
      </w:r>
      <w:r>
        <w:rPr>
          <w:rFonts w:ascii="Arial" w:eastAsia="Arial" w:hAnsi="Arial" w:cs="Arial"/>
          <w:sz w:val="19"/>
          <w:szCs w:val="19"/>
        </w:rPr>
        <w:t xml:space="preserve"> L Brands or VS, respectively, determines that the provision of any information to any member of the VS Group or L Brands Group, respectively, could be commercially detrimental or violate any law or agreement to which L Brands or VS, respectively, is bound</w:t>
      </w:r>
      <w:r>
        <w:rPr>
          <w:rFonts w:ascii="Arial" w:eastAsia="Arial" w:hAnsi="Arial" w:cs="Arial"/>
          <w:sz w:val="19"/>
          <w:szCs w:val="19"/>
        </w:rPr>
        <w:t xml:space="preserve">, L Brands or VS, respectively, shall not be required to comply with the foregoing terms of this </w:t>
      </w:r>
      <w:r>
        <w:rPr>
          <w:rFonts w:ascii="Arial" w:eastAsia="Arial" w:hAnsi="Arial" w:cs="Arial"/>
          <w:sz w:val="19"/>
          <w:szCs w:val="19"/>
          <w:u w:val="single"/>
        </w:rPr>
        <w:t>Section 14(d)</w:t>
      </w:r>
      <w:r>
        <w:rPr>
          <w:rFonts w:ascii="Arial" w:eastAsia="Arial" w:hAnsi="Arial" w:cs="Arial"/>
          <w:sz w:val="19"/>
          <w:szCs w:val="19"/>
        </w:rPr>
        <w:t xml:space="preserve"> except to the extent that it is able, using commercially reasonable efforts, to do so while avoiding such harm or consequence (and shall promptly</w:t>
      </w:r>
      <w:r>
        <w:rPr>
          <w:rFonts w:ascii="Arial" w:eastAsia="Arial" w:hAnsi="Arial" w:cs="Arial"/>
          <w:sz w:val="19"/>
          <w:szCs w:val="19"/>
        </w:rPr>
        <w:t xml:space="preserve"> provide notice to L Brands or VS, to the extent such access to or copies of any information is provided to a Person other than a member of the L Brands Group or VS Group (as applicable)).</w:t>
      </w:r>
    </w:p>
    <w:p w14:paraId="28C32694" w14:textId="77777777" w:rsidR="00D1587D" w:rsidRDefault="00D1587D">
      <w:pPr>
        <w:spacing w:line="116" w:lineRule="exact"/>
        <w:rPr>
          <w:sz w:val="20"/>
          <w:szCs w:val="20"/>
        </w:rPr>
      </w:pPr>
    </w:p>
    <w:p w14:paraId="61ABBF80" w14:textId="77777777" w:rsidR="00D1587D" w:rsidRDefault="00410D07">
      <w:pPr>
        <w:ind w:right="-19"/>
        <w:jc w:val="center"/>
        <w:rPr>
          <w:sz w:val="20"/>
          <w:szCs w:val="20"/>
        </w:rPr>
      </w:pPr>
      <w:r>
        <w:rPr>
          <w:rFonts w:ascii="Arial" w:eastAsia="Arial" w:hAnsi="Arial" w:cs="Arial"/>
        </w:rPr>
        <w:t>21</w:t>
      </w:r>
    </w:p>
    <w:p w14:paraId="14DE7322" w14:textId="77777777" w:rsidR="00D1587D" w:rsidRDefault="00410D07">
      <w:pPr>
        <w:spacing w:line="20" w:lineRule="exact"/>
        <w:rPr>
          <w:sz w:val="20"/>
          <w:szCs w:val="20"/>
        </w:rPr>
      </w:pPr>
      <w:r>
        <w:rPr>
          <w:noProof/>
          <w:sz w:val="20"/>
          <w:szCs w:val="20"/>
        </w:rPr>
        <w:drawing>
          <wp:anchor distT="0" distB="0" distL="114300" distR="114300" simplePos="0" relativeHeight="251315200" behindDoc="1" locked="0" layoutInCell="0" allowOverlap="1" wp14:anchorId="374C36BF" wp14:editId="01DD0ED7">
            <wp:simplePos x="0" y="0"/>
            <wp:positionH relativeFrom="column">
              <wp:posOffset>5080</wp:posOffset>
            </wp:positionH>
            <wp:positionV relativeFrom="paragraph">
              <wp:posOffset>41275</wp:posOffset>
            </wp:positionV>
            <wp:extent cx="7132320" cy="1714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4F3ACD4" w14:textId="77777777" w:rsidR="00D1587D" w:rsidRDefault="00D1587D">
      <w:pPr>
        <w:sectPr w:rsidR="00D1587D">
          <w:pgSz w:w="11900" w:h="16838"/>
          <w:pgMar w:top="361" w:right="359" w:bottom="1440" w:left="320" w:header="0" w:footer="0" w:gutter="0"/>
          <w:cols w:space="720" w:equalWidth="0">
            <w:col w:w="11220"/>
          </w:cols>
        </w:sectPr>
      </w:pPr>
    </w:p>
    <w:p w14:paraId="033A13D1" w14:textId="77777777" w:rsidR="00D1587D" w:rsidRDefault="00410D07">
      <w:pPr>
        <w:tabs>
          <w:tab w:val="left" w:pos="2120"/>
        </w:tabs>
        <w:ind w:left="640"/>
        <w:rPr>
          <w:sz w:val="20"/>
          <w:szCs w:val="20"/>
        </w:rPr>
      </w:pPr>
      <w:bookmarkStart w:id="160" w:name="page161"/>
      <w:bookmarkEnd w:id="160"/>
      <w:r>
        <w:rPr>
          <w:rFonts w:ascii="Arial" w:eastAsia="Arial" w:hAnsi="Arial" w:cs="Arial"/>
        </w:rPr>
        <w:t>Section 15.</w:t>
      </w:r>
      <w:r>
        <w:rPr>
          <w:sz w:val="20"/>
          <w:szCs w:val="20"/>
        </w:rPr>
        <w:tab/>
      </w:r>
      <w:r>
        <w:rPr>
          <w:rFonts w:ascii="Arial" w:eastAsia="Arial" w:hAnsi="Arial" w:cs="Arial"/>
          <w:i/>
          <w:iCs/>
          <w:sz w:val="19"/>
          <w:szCs w:val="19"/>
        </w:rPr>
        <w:t>Audits and Contest</w:t>
      </w:r>
      <w:r>
        <w:rPr>
          <w:rFonts w:ascii="Arial" w:eastAsia="Arial" w:hAnsi="Arial" w:cs="Arial"/>
          <w:sz w:val="19"/>
          <w:szCs w:val="19"/>
        </w:rPr>
        <w:t>.</w:t>
      </w:r>
    </w:p>
    <w:p w14:paraId="6616E163" w14:textId="77777777" w:rsidR="00D1587D" w:rsidRDefault="00D1587D">
      <w:pPr>
        <w:spacing w:line="233" w:lineRule="exact"/>
        <w:rPr>
          <w:sz w:val="20"/>
          <w:szCs w:val="20"/>
        </w:rPr>
      </w:pPr>
    </w:p>
    <w:p w14:paraId="16D1701B" w14:textId="77777777" w:rsidR="00D1587D" w:rsidRDefault="00410D07">
      <w:pPr>
        <w:numPr>
          <w:ilvl w:val="0"/>
          <w:numId w:val="136"/>
        </w:numPr>
        <w:tabs>
          <w:tab w:val="left" w:pos="1602"/>
        </w:tabs>
        <w:spacing w:line="282" w:lineRule="auto"/>
        <w:ind w:left="-20" w:right="20" w:firstLine="850"/>
        <w:rPr>
          <w:rFonts w:ascii="Arial" w:eastAsia="Arial" w:hAnsi="Arial" w:cs="Arial"/>
          <w:sz w:val="19"/>
          <w:szCs w:val="19"/>
        </w:rPr>
      </w:pPr>
      <w:r>
        <w:rPr>
          <w:rFonts w:ascii="Arial" w:eastAsia="Arial" w:hAnsi="Arial" w:cs="Arial"/>
          <w:i/>
          <w:iCs/>
          <w:sz w:val="19"/>
          <w:szCs w:val="19"/>
        </w:rPr>
        <w:t>Notice</w:t>
      </w:r>
      <w:r>
        <w:rPr>
          <w:rFonts w:ascii="Arial" w:eastAsia="Arial" w:hAnsi="Arial" w:cs="Arial"/>
          <w:sz w:val="19"/>
          <w:szCs w:val="19"/>
        </w:rPr>
        <w:t>. Each of L Brands or VS shall promptly notify the other in writing upon the receipt of any notice of</w:t>
      </w:r>
      <w:r>
        <w:rPr>
          <w:rFonts w:ascii="Arial" w:eastAsia="Arial" w:hAnsi="Arial" w:cs="Arial"/>
          <w:i/>
          <w:iCs/>
          <w:sz w:val="19"/>
          <w:szCs w:val="19"/>
        </w:rPr>
        <w:t xml:space="preserve"> </w:t>
      </w:r>
      <w:r>
        <w:rPr>
          <w:rFonts w:ascii="Arial" w:eastAsia="Arial" w:hAnsi="Arial" w:cs="Arial"/>
          <w:sz w:val="19"/>
          <w:szCs w:val="19"/>
        </w:rPr>
        <w:t>Tax Proceeding from the relevant Taxing Authority or upon becoming aware of an actual or potential Tax Proceeding by a Taxing Authority that may aff</w:t>
      </w:r>
      <w:r>
        <w:rPr>
          <w:rFonts w:ascii="Arial" w:eastAsia="Arial" w:hAnsi="Arial" w:cs="Arial"/>
          <w:sz w:val="19"/>
          <w:szCs w:val="19"/>
        </w:rPr>
        <w:t xml:space="preserve">ect the liability of any member of the VS Group or the L Brands Group, respectively, for Taxes under Applicable Law or this Agreement; </w:t>
      </w:r>
      <w:r>
        <w:rPr>
          <w:rFonts w:ascii="Arial" w:eastAsia="Arial" w:hAnsi="Arial" w:cs="Arial"/>
          <w:i/>
          <w:iCs/>
          <w:sz w:val="19"/>
          <w:szCs w:val="19"/>
        </w:rPr>
        <w:t>provided</w:t>
      </w:r>
      <w:r>
        <w:rPr>
          <w:rFonts w:ascii="Arial" w:eastAsia="Arial" w:hAnsi="Arial" w:cs="Arial"/>
          <w:sz w:val="19"/>
          <w:szCs w:val="19"/>
        </w:rPr>
        <w:t>, that a Party’s right to indemnification under this Agreement shall not be limited in any way by a failure to so</w:t>
      </w:r>
      <w:r>
        <w:rPr>
          <w:rFonts w:ascii="Arial" w:eastAsia="Arial" w:hAnsi="Arial" w:cs="Arial"/>
          <w:sz w:val="19"/>
          <w:szCs w:val="19"/>
        </w:rPr>
        <w:t xml:space="preserve"> notify, except to the extent that the indemnifying Party is prejudiced by such failure.</w:t>
      </w:r>
    </w:p>
    <w:p w14:paraId="7BC67DD1" w14:textId="77777777" w:rsidR="00D1587D" w:rsidRDefault="00D1587D">
      <w:pPr>
        <w:spacing w:line="174" w:lineRule="exact"/>
        <w:rPr>
          <w:rFonts w:ascii="Arial" w:eastAsia="Arial" w:hAnsi="Arial" w:cs="Arial"/>
          <w:sz w:val="19"/>
          <w:szCs w:val="19"/>
        </w:rPr>
      </w:pPr>
    </w:p>
    <w:p w14:paraId="08D5BC1B" w14:textId="77777777" w:rsidR="00D1587D" w:rsidRDefault="00410D07">
      <w:pPr>
        <w:numPr>
          <w:ilvl w:val="0"/>
          <w:numId w:val="136"/>
        </w:numPr>
        <w:tabs>
          <w:tab w:val="left" w:pos="1614"/>
        </w:tabs>
        <w:spacing w:line="273" w:lineRule="auto"/>
        <w:ind w:left="-20" w:right="20" w:firstLine="850"/>
        <w:rPr>
          <w:rFonts w:ascii="Arial" w:eastAsia="Arial" w:hAnsi="Arial" w:cs="Arial"/>
          <w:sz w:val="19"/>
          <w:szCs w:val="19"/>
        </w:rPr>
      </w:pPr>
      <w:r>
        <w:rPr>
          <w:rFonts w:ascii="Arial" w:eastAsia="Arial" w:hAnsi="Arial" w:cs="Arial"/>
          <w:i/>
          <w:iCs/>
          <w:sz w:val="19"/>
          <w:szCs w:val="19"/>
        </w:rPr>
        <w:t>L Brands Control</w:t>
      </w:r>
      <w:r>
        <w:rPr>
          <w:rFonts w:ascii="Arial" w:eastAsia="Arial" w:hAnsi="Arial" w:cs="Arial"/>
          <w:sz w:val="19"/>
          <w:szCs w:val="19"/>
        </w:rPr>
        <w:t>. Notwithstanding anything in this Agreement to the contrary but subject to</w:t>
      </w:r>
      <w:r>
        <w:rPr>
          <w:rFonts w:ascii="Arial" w:eastAsia="Arial" w:hAnsi="Arial" w:cs="Arial"/>
          <w:i/>
          <w:iCs/>
          <w:sz w:val="19"/>
          <w:szCs w:val="19"/>
        </w:rPr>
        <w:t xml:space="preserve"> </w:t>
      </w:r>
      <w:r>
        <w:rPr>
          <w:rFonts w:ascii="Arial" w:eastAsia="Arial" w:hAnsi="Arial" w:cs="Arial"/>
          <w:sz w:val="19"/>
          <w:szCs w:val="19"/>
          <w:u w:val="single"/>
        </w:rPr>
        <w:t>Sections 15(d)</w:t>
      </w:r>
      <w:r>
        <w:rPr>
          <w:rFonts w:ascii="Arial" w:eastAsia="Arial" w:hAnsi="Arial" w:cs="Arial"/>
          <w:i/>
          <w:iCs/>
          <w:sz w:val="19"/>
          <w:szCs w:val="19"/>
        </w:rPr>
        <w:t xml:space="preserve"> </w:t>
      </w:r>
      <w:r>
        <w:rPr>
          <w:rFonts w:ascii="Arial" w:eastAsia="Arial" w:hAnsi="Arial" w:cs="Arial"/>
          <w:sz w:val="19"/>
          <w:szCs w:val="19"/>
        </w:rPr>
        <w:t>and 15(e), L Brands shall have the right to control all mat</w:t>
      </w:r>
      <w:r>
        <w:rPr>
          <w:rFonts w:ascii="Arial" w:eastAsia="Arial" w:hAnsi="Arial" w:cs="Arial"/>
          <w:sz w:val="19"/>
          <w:szCs w:val="19"/>
        </w:rPr>
        <w:t xml:space="preserve">ters relating to any Joint Tax Return, any L Brands Separate Tax Return, any Pre-2021 VS Separate Tax Return, any VS Post-2020 Separate Non-Income Tax Return (to the extent related to Taxes attributable to a Pre-Distribution Period) and any Tax Return, or </w:t>
      </w:r>
      <w:r>
        <w:rPr>
          <w:rFonts w:ascii="Arial" w:eastAsia="Arial" w:hAnsi="Arial" w:cs="Arial"/>
          <w:sz w:val="19"/>
          <w:szCs w:val="19"/>
        </w:rPr>
        <w:t xml:space="preserve">any Tax Proceeding, with respect to any Tax matters of a Combined Group or any member of a Combined Group (as such). L Brands shall have absolute discretion with respect to any decisions to be made, or the nature of any action to be taken, with respect to </w:t>
      </w:r>
      <w:r>
        <w:rPr>
          <w:rFonts w:ascii="Arial" w:eastAsia="Arial" w:hAnsi="Arial" w:cs="Arial"/>
          <w:sz w:val="19"/>
          <w:szCs w:val="19"/>
        </w:rPr>
        <w:t xml:space="preserve">any Tax matter described in the preceding sentence; </w:t>
      </w:r>
      <w:r>
        <w:rPr>
          <w:rFonts w:ascii="Arial" w:eastAsia="Arial" w:hAnsi="Arial" w:cs="Arial"/>
          <w:i/>
          <w:iCs/>
          <w:sz w:val="19"/>
          <w:szCs w:val="19"/>
        </w:rPr>
        <w:t>provided, however</w:t>
      </w:r>
      <w:r>
        <w:rPr>
          <w:rFonts w:ascii="Arial" w:eastAsia="Arial" w:hAnsi="Arial" w:cs="Arial"/>
          <w:sz w:val="19"/>
          <w:szCs w:val="19"/>
        </w:rPr>
        <w:t>, that to the extent that any Tax Proceeding relating to such a Tax matter is reasonably likely to give rise to an</w:t>
      </w:r>
      <w:r>
        <w:rPr>
          <w:rFonts w:ascii="Arial" w:eastAsia="Arial" w:hAnsi="Arial" w:cs="Arial"/>
          <w:i/>
          <w:iCs/>
          <w:sz w:val="19"/>
          <w:szCs w:val="19"/>
        </w:rPr>
        <w:t xml:space="preserve"> </w:t>
      </w:r>
      <w:r>
        <w:rPr>
          <w:rFonts w:ascii="Arial" w:eastAsia="Arial" w:hAnsi="Arial" w:cs="Arial"/>
          <w:sz w:val="19"/>
          <w:szCs w:val="19"/>
        </w:rPr>
        <w:t xml:space="preserve">indemnity obligation of VS under </w:t>
      </w:r>
      <w:r>
        <w:rPr>
          <w:rFonts w:ascii="Arial" w:eastAsia="Arial" w:hAnsi="Arial" w:cs="Arial"/>
          <w:sz w:val="19"/>
          <w:szCs w:val="19"/>
          <w:u w:val="single"/>
        </w:rPr>
        <w:t>Section 11</w:t>
      </w:r>
      <w:r>
        <w:rPr>
          <w:rFonts w:ascii="Arial" w:eastAsia="Arial" w:hAnsi="Arial" w:cs="Arial"/>
          <w:sz w:val="19"/>
          <w:szCs w:val="19"/>
        </w:rPr>
        <w:t xml:space="preserve"> hereof, (i) L Brands shall k</w:t>
      </w:r>
      <w:r>
        <w:rPr>
          <w:rFonts w:ascii="Arial" w:eastAsia="Arial" w:hAnsi="Arial" w:cs="Arial"/>
          <w:sz w:val="19"/>
          <w:szCs w:val="19"/>
        </w:rPr>
        <w:t>eep VS informed of all material developments and events relating to any such Tax Proceeding described in this proviso and (ii) at its own cost and expense, VS shall have the right to participate in (but not to control) the defense of any such Tax Proceedin</w:t>
      </w:r>
      <w:r>
        <w:rPr>
          <w:rFonts w:ascii="Arial" w:eastAsia="Arial" w:hAnsi="Arial" w:cs="Arial"/>
          <w:sz w:val="19"/>
          <w:szCs w:val="19"/>
        </w:rPr>
        <w:t>g.</w:t>
      </w:r>
    </w:p>
    <w:p w14:paraId="0A9E10FC" w14:textId="77777777" w:rsidR="00D1587D" w:rsidRDefault="00D1587D">
      <w:pPr>
        <w:spacing w:line="187" w:lineRule="exact"/>
        <w:rPr>
          <w:rFonts w:ascii="Arial" w:eastAsia="Arial" w:hAnsi="Arial" w:cs="Arial"/>
          <w:sz w:val="19"/>
          <w:szCs w:val="19"/>
        </w:rPr>
      </w:pPr>
    </w:p>
    <w:p w14:paraId="6CFE375C" w14:textId="77777777" w:rsidR="00D1587D" w:rsidRDefault="00410D07">
      <w:pPr>
        <w:numPr>
          <w:ilvl w:val="0"/>
          <w:numId w:val="136"/>
        </w:numPr>
        <w:tabs>
          <w:tab w:val="left" w:pos="1602"/>
        </w:tabs>
        <w:spacing w:line="246" w:lineRule="auto"/>
        <w:ind w:left="-20" w:firstLine="850"/>
        <w:rPr>
          <w:rFonts w:ascii="Arial" w:eastAsia="Arial" w:hAnsi="Arial" w:cs="Arial"/>
          <w:sz w:val="21"/>
          <w:szCs w:val="21"/>
        </w:rPr>
      </w:pPr>
      <w:r>
        <w:rPr>
          <w:rFonts w:ascii="Arial" w:eastAsia="Arial" w:hAnsi="Arial" w:cs="Arial"/>
          <w:i/>
          <w:iCs/>
          <w:sz w:val="21"/>
          <w:szCs w:val="21"/>
        </w:rPr>
        <w:t>VS Assumption of Control; Non-Distribution Taxes</w:t>
      </w:r>
      <w:r>
        <w:rPr>
          <w:rFonts w:ascii="Arial" w:eastAsia="Arial" w:hAnsi="Arial" w:cs="Arial"/>
          <w:sz w:val="21"/>
          <w:szCs w:val="21"/>
        </w:rPr>
        <w:t>. If L Brands determines that the resolution of any matter</w:t>
      </w:r>
      <w:r>
        <w:rPr>
          <w:rFonts w:ascii="Arial" w:eastAsia="Arial" w:hAnsi="Arial" w:cs="Arial"/>
          <w:i/>
          <w:iCs/>
          <w:sz w:val="21"/>
          <w:szCs w:val="21"/>
        </w:rPr>
        <w:t xml:space="preserve"> </w:t>
      </w:r>
      <w:r>
        <w:rPr>
          <w:rFonts w:ascii="Arial" w:eastAsia="Arial" w:hAnsi="Arial" w:cs="Arial"/>
          <w:sz w:val="21"/>
          <w:szCs w:val="21"/>
        </w:rPr>
        <w:t>pursuant to a Tax Proceeding (other than a Tax Proceeding relating to Distribution Taxes) is reasonably likely to have an adverse effect on the V</w:t>
      </w:r>
      <w:r>
        <w:rPr>
          <w:rFonts w:ascii="Arial" w:eastAsia="Arial" w:hAnsi="Arial" w:cs="Arial"/>
          <w:sz w:val="21"/>
          <w:szCs w:val="21"/>
        </w:rPr>
        <w:t xml:space="preserve">S Group with respect to any Post-Distribution Period, L Brands, in its sole discretion, may permit VS to elect to assume control over disposition of such matter at VS’s sole cost and expense; </w:t>
      </w:r>
      <w:r>
        <w:rPr>
          <w:rFonts w:ascii="Arial" w:eastAsia="Arial" w:hAnsi="Arial" w:cs="Arial"/>
          <w:i/>
          <w:iCs/>
          <w:sz w:val="21"/>
          <w:szCs w:val="21"/>
        </w:rPr>
        <w:t>provided, however</w:t>
      </w:r>
      <w:r>
        <w:rPr>
          <w:rFonts w:ascii="Arial" w:eastAsia="Arial" w:hAnsi="Arial" w:cs="Arial"/>
          <w:sz w:val="21"/>
          <w:szCs w:val="21"/>
        </w:rPr>
        <w:t>, that if VS so elects, it will (i) be responsi</w:t>
      </w:r>
      <w:r>
        <w:rPr>
          <w:rFonts w:ascii="Arial" w:eastAsia="Arial" w:hAnsi="Arial" w:cs="Arial"/>
          <w:sz w:val="21"/>
          <w:szCs w:val="21"/>
        </w:rPr>
        <w:t>ble for the payment of any liability arising from the disposition of such matter notwithstanding any other provision of this Agreement to the contrary and (ii) indemnify the L Brands Group for any increase in a liability and any reduction of a Tax asset of</w:t>
      </w:r>
      <w:r>
        <w:rPr>
          <w:rFonts w:ascii="Arial" w:eastAsia="Arial" w:hAnsi="Arial" w:cs="Arial"/>
          <w:sz w:val="21"/>
          <w:szCs w:val="21"/>
        </w:rPr>
        <w:t xml:space="preserve"> the L Brands Group arising from such matter.</w:t>
      </w:r>
    </w:p>
    <w:p w14:paraId="6F9EBDE1" w14:textId="77777777" w:rsidR="00D1587D" w:rsidRDefault="00D1587D">
      <w:pPr>
        <w:spacing w:line="144" w:lineRule="exact"/>
        <w:rPr>
          <w:sz w:val="20"/>
          <w:szCs w:val="20"/>
        </w:rPr>
      </w:pPr>
    </w:p>
    <w:p w14:paraId="37E74B83" w14:textId="77777777" w:rsidR="00D1587D" w:rsidRDefault="00410D07">
      <w:pPr>
        <w:jc w:val="center"/>
        <w:rPr>
          <w:sz w:val="20"/>
          <w:szCs w:val="20"/>
        </w:rPr>
      </w:pPr>
      <w:r>
        <w:rPr>
          <w:rFonts w:ascii="Arial" w:eastAsia="Arial" w:hAnsi="Arial" w:cs="Arial"/>
        </w:rPr>
        <w:t>22</w:t>
      </w:r>
    </w:p>
    <w:p w14:paraId="3F48B449" w14:textId="77777777" w:rsidR="00D1587D" w:rsidRDefault="00410D07">
      <w:pPr>
        <w:spacing w:line="20" w:lineRule="exact"/>
        <w:rPr>
          <w:sz w:val="20"/>
          <w:szCs w:val="20"/>
        </w:rPr>
      </w:pPr>
      <w:r>
        <w:rPr>
          <w:noProof/>
          <w:sz w:val="20"/>
          <w:szCs w:val="20"/>
        </w:rPr>
        <w:drawing>
          <wp:anchor distT="0" distB="0" distL="114300" distR="114300" simplePos="0" relativeHeight="251316224" behindDoc="1" locked="0" layoutInCell="0" allowOverlap="1" wp14:anchorId="188EEC3B" wp14:editId="3E0947A9">
            <wp:simplePos x="0" y="0"/>
            <wp:positionH relativeFrom="column">
              <wp:posOffset>-6985</wp:posOffset>
            </wp:positionH>
            <wp:positionV relativeFrom="paragraph">
              <wp:posOffset>41275</wp:posOffset>
            </wp:positionV>
            <wp:extent cx="7132320" cy="1714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3392A3C" w14:textId="77777777" w:rsidR="00D1587D" w:rsidRDefault="00D1587D">
      <w:pPr>
        <w:sectPr w:rsidR="00D1587D">
          <w:pgSz w:w="11900" w:h="16838"/>
          <w:pgMar w:top="361" w:right="339" w:bottom="1440" w:left="340" w:header="0" w:footer="0" w:gutter="0"/>
          <w:cols w:space="720" w:equalWidth="0">
            <w:col w:w="11220"/>
          </w:cols>
        </w:sectPr>
      </w:pPr>
    </w:p>
    <w:p w14:paraId="23163835" w14:textId="77777777" w:rsidR="00D1587D" w:rsidRDefault="00410D07">
      <w:pPr>
        <w:numPr>
          <w:ilvl w:val="1"/>
          <w:numId w:val="137"/>
        </w:numPr>
        <w:tabs>
          <w:tab w:val="left" w:pos="1634"/>
        </w:tabs>
        <w:ind w:right="60" w:firstLine="850"/>
        <w:rPr>
          <w:rFonts w:ascii="Arial" w:eastAsia="Arial" w:hAnsi="Arial" w:cs="Arial"/>
        </w:rPr>
      </w:pPr>
      <w:bookmarkStart w:id="161" w:name="page162"/>
      <w:bookmarkEnd w:id="161"/>
      <w:r>
        <w:rPr>
          <w:rFonts w:ascii="Arial" w:eastAsia="Arial" w:hAnsi="Arial" w:cs="Arial"/>
          <w:i/>
          <w:iCs/>
        </w:rPr>
        <w:t>VS Participation; Distribution Taxes</w:t>
      </w:r>
      <w:r>
        <w:rPr>
          <w:rFonts w:ascii="Arial" w:eastAsia="Arial" w:hAnsi="Arial" w:cs="Arial"/>
        </w:rPr>
        <w:t>. L Brands shall have the right to control any Tax Proceeding relating to</w:t>
      </w:r>
      <w:r>
        <w:rPr>
          <w:rFonts w:ascii="Arial" w:eastAsia="Arial" w:hAnsi="Arial" w:cs="Arial"/>
          <w:i/>
          <w:iCs/>
        </w:rPr>
        <w:t xml:space="preserve"> </w:t>
      </w:r>
      <w:r>
        <w:rPr>
          <w:rFonts w:ascii="Arial" w:eastAsia="Arial" w:hAnsi="Arial" w:cs="Arial"/>
        </w:rPr>
        <w:t xml:space="preserve">Distribution Taxes, </w:t>
      </w:r>
      <w:r>
        <w:rPr>
          <w:rFonts w:ascii="Arial" w:eastAsia="Arial" w:hAnsi="Arial" w:cs="Arial"/>
          <w:i/>
          <w:iCs/>
        </w:rPr>
        <w:t>provided</w:t>
      </w:r>
      <w:r>
        <w:rPr>
          <w:rFonts w:ascii="Arial" w:eastAsia="Arial" w:hAnsi="Arial" w:cs="Arial"/>
        </w:rPr>
        <w:t xml:space="preserve"> that L Brands shall keep VS fully informed of all material developments and shall permit VS a reasonable opportunity to participate in the defense of the matter.</w:t>
      </w:r>
    </w:p>
    <w:p w14:paraId="26771F20" w14:textId="77777777" w:rsidR="00D1587D" w:rsidRDefault="00D1587D">
      <w:pPr>
        <w:spacing w:line="213" w:lineRule="exact"/>
        <w:rPr>
          <w:rFonts w:ascii="Arial" w:eastAsia="Arial" w:hAnsi="Arial" w:cs="Arial"/>
        </w:rPr>
      </w:pPr>
    </w:p>
    <w:p w14:paraId="42F1C83F" w14:textId="77777777" w:rsidR="00D1587D" w:rsidRDefault="00410D07">
      <w:pPr>
        <w:numPr>
          <w:ilvl w:val="1"/>
          <w:numId w:val="137"/>
        </w:numPr>
        <w:tabs>
          <w:tab w:val="left" w:pos="1620"/>
        </w:tabs>
        <w:ind w:left="1620" w:hanging="770"/>
        <w:rPr>
          <w:rFonts w:ascii="Arial" w:eastAsia="Arial" w:hAnsi="Arial" w:cs="Arial"/>
          <w:sz w:val="19"/>
          <w:szCs w:val="19"/>
        </w:rPr>
      </w:pPr>
      <w:r>
        <w:rPr>
          <w:rFonts w:ascii="Arial" w:eastAsia="Arial" w:hAnsi="Arial" w:cs="Arial"/>
          <w:i/>
          <w:iCs/>
          <w:sz w:val="19"/>
          <w:szCs w:val="19"/>
        </w:rPr>
        <w:t>Specified Administrative Proceeding</w:t>
      </w:r>
      <w:r>
        <w:rPr>
          <w:rFonts w:ascii="Arial" w:eastAsia="Arial" w:hAnsi="Arial" w:cs="Arial"/>
          <w:sz w:val="19"/>
          <w:szCs w:val="19"/>
        </w:rPr>
        <w:t>. Notwithstanding the foregoing subsections of this Secti</w:t>
      </w:r>
      <w:r>
        <w:rPr>
          <w:rFonts w:ascii="Arial" w:eastAsia="Arial" w:hAnsi="Arial" w:cs="Arial"/>
          <w:sz w:val="19"/>
          <w:szCs w:val="19"/>
        </w:rPr>
        <w:t>on 15, VS shall</w:t>
      </w:r>
    </w:p>
    <w:p w14:paraId="509BE683" w14:textId="77777777" w:rsidR="00D1587D" w:rsidRDefault="00D1587D">
      <w:pPr>
        <w:spacing w:line="42" w:lineRule="exact"/>
        <w:rPr>
          <w:rFonts w:ascii="Arial" w:eastAsia="Arial" w:hAnsi="Arial" w:cs="Arial"/>
          <w:sz w:val="19"/>
          <w:szCs w:val="19"/>
        </w:rPr>
      </w:pPr>
    </w:p>
    <w:p w14:paraId="07E71053" w14:textId="77777777" w:rsidR="00D1587D" w:rsidRDefault="00410D07">
      <w:pPr>
        <w:numPr>
          <w:ilvl w:val="0"/>
          <w:numId w:val="138"/>
        </w:numPr>
        <w:tabs>
          <w:tab w:val="left" w:pos="354"/>
        </w:tabs>
        <w:spacing w:line="272" w:lineRule="auto"/>
        <w:ind w:firstLine="8"/>
        <w:rPr>
          <w:rFonts w:ascii="Arial" w:eastAsia="Arial" w:hAnsi="Arial" w:cs="Arial"/>
          <w:sz w:val="19"/>
          <w:szCs w:val="19"/>
        </w:rPr>
      </w:pPr>
      <w:r>
        <w:rPr>
          <w:rFonts w:ascii="Arial" w:eastAsia="Arial" w:hAnsi="Arial" w:cs="Arial"/>
          <w:sz w:val="19"/>
          <w:szCs w:val="19"/>
        </w:rPr>
        <w:t>control the Specified Administrative Matter at its own cost and expense, (B) keep L Brands informed of all material developments and events relating to the Specified Administrative Matter and (C) permit L Brands a reasonable opportunity to</w:t>
      </w:r>
      <w:r>
        <w:rPr>
          <w:rFonts w:ascii="Arial" w:eastAsia="Arial" w:hAnsi="Arial" w:cs="Arial"/>
          <w:sz w:val="19"/>
          <w:szCs w:val="19"/>
        </w:rPr>
        <w:t xml:space="preserve"> participate in (but not to control) the Specified Administrative Matter. Subject to the foregoing, L Brands shall cooperate reasonably with VS in connection with the Specified Administrative Matter, including by (i) transferring to VS, upon reasonable req</w:t>
      </w:r>
      <w:r>
        <w:rPr>
          <w:rFonts w:ascii="Arial" w:eastAsia="Arial" w:hAnsi="Arial" w:cs="Arial"/>
          <w:sz w:val="19"/>
          <w:szCs w:val="19"/>
        </w:rPr>
        <w:t>uest by VS, any and all information, including all books, records, documentation, information regarding vendor mark-ups or other information, pertaining to the Specified Tax Matter, (ii) executing and delivering such documents, agreements or other instrume</w:t>
      </w:r>
      <w:r>
        <w:rPr>
          <w:rFonts w:ascii="Arial" w:eastAsia="Arial" w:hAnsi="Arial" w:cs="Arial"/>
          <w:sz w:val="19"/>
          <w:szCs w:val="19"/>
        </w:rPr>
        <w:t>nts as are reasonably required to perfect the entry into an MFE APA and (iii) consenting to VS’s engagement of any legal, accounting or economic advisor in connection with such Specified Tax Matter.</w:t>
      </w:r>
    </w:p>
    <w:p w14:paraId="466A06BC" w14:textId="77777777" w:rsidR="00D1587D" w:rsidRDefault="00D1587D">
      <w:pPr>
        <w:spacing w:line="188" w:lineRule="exact"/>
        <w:rPr>
          <w:sz w:val="20"/>
          <w:szCs w:val="20"/>
        </w:rPr>
      </w:pPr>
    </w:p>
    <w:p w14:paraId="6C91382E" w14:textId="77777777" w:rsidR="00D1587D" w:rsidRDefault="00410D07">
      <w:pPr>
        <w:ind w:right="40" w:firstLine="648"/>
        <w:rPr>
          <w:sz w:val="20"/>
          <w:szCs w:val="20"/>
        </w:rPr>
      </w:pPr>
      <w:r>
        <w:rPr>
          <w:rFonts w:ascii="Arial" w:eastAsia="Arial" w:hAnsi="Arial" w:cs="Arial"/>
        </w:rPr>
        <w:t xml:space="preserve">Section 16. </w:t>
      </w:r>
      <w:r>
        <w:rPr>
          <w:rFonts w:ascii="Arial" w:eastAsia="Arial" w:hAnsi="Arial" w:cs="Arial"/>
          <w:i/>
          <w:iCs/>
        </w:rPr>
        <w:t>Notices.</w:t>
      </w:r>
      <w:r>
        <w:rPr>
          <w:rFonts w:ascii="Arial" w:eastAsia="Arial" w:hAnsi="Arial" w:cs="Arial"/>
        </w:rPr>
        <w:t xml:space="preserve"> Any notice, instruction, direction </w:t>
      </w:r>
      <w:r>
        <w:rPr>
          <w:rFonts w:ascii="Arial" w:eastAsia="Arial" w:hAnsi="Arial" w:cs="Arial"/>
        </w:rPr>
        <w:t>or demand under the terms of this Agreement required to be in writing shall be duly given upon delivery, if delivered by hand, facsimile transmission, email transmission, or mail, to the following addresses:</w:t>
      </w:r>
    </w:p>
    <w:p w14:paraId="1A252D68" w14:textId="77777777" w:rsidR="00D1587D" w:rsidRDefault="00D1587D">
      <w:pPr>
        <w:spacing w:line="213" w:lineRule="exact"/>
        <w:rPr>
          <w:sz w:val="20"/>
          <w:szCs w:val="20"/>
        </w:rPr>
      </w:pPr>
    </w:p>
    <w:p w14:paraId="1F4BA974" w14:textId="77777777" w:rsidR="00D1587D" w:rsidRDefault="00410D07">
      <w:pPr>
        <w:ind w:left="660"/>
        <w:rPr>
          <w:sz w:val="20"/>
          <w:szCs w:val="20"/>
        </w:rPr>
      </w:pPr>
      <w:r>
        <w:rPr>
          <w:rFonts w:ascii="Arial" w:eastAsia="Arial" w:hAnsi="Arial" w:cs="Arial"/>
        </w:rPr>
        <w:t>if to L Brands or the L Brands Group, to:</w:t>
      </w:r>
    </w:p>
    <w:p w14:paraId="34B0833C" w14:textId="77777777" w:rsidR="00D1587D" w:rsidRDefault="00D1587D">
      <w:pPr>
        <w:spacing w:line="233" w:lineRule="exact"/>
        <w:rPr>
          <w:sz w:val="20"/>
          <w:szCs w:val="20"/>
        </w:rPr>
      </w:pPr>
    </w:p>
    <w:p w14:paraId="72A76232" w14:textId="77777777" w:rsidR="00D1587D" w:rsidRDefault="00410D07">
      <w:pPr>
        <w:ind w:left="1300"/>
        <w:rPr>
          <w:sz w:val="20"/>
          <w:szCs w:val="20"/>
        </w:rPr>
      </w:pPr>
      <w:r>
        <w:rPr>
          <w:rFonts w:ascii="Arial" w:eastAsia="Arial" w:hAnsi="Arial" w:cs="Arial"/>
        </w:rPr>
        <w:t>L Br</w:t>
      </w:r>
      <w:r>
        <w:rPr>
          <w:rFonts w:ascii="Arial" w:eastAsia="Arial" w:hAnsi="Arial" w:cs="Arial"/>
        </w:rPr>
        <w:t>ands Corporation</w:t>
      </w:r>
    </w:p>
    <w:p w14:paraId="1A6F0A5B" w14:textId="77777777" w:rsidR="00D1587D" w:rsidRDefault="00410D07">
      <w:pPr>
        <w:spacing w:line="238" w:lineRule="auto"/>
        <w:ind w:left="1300"/>
        <w:rPr>
          <w:sz w:val="20"/>
          <w:szCs w:val="20"/>
        </w:rPr>
      </w:pPr>
      <w:r>
        <w:rPr>
          <w:rFonts w:ascii="Arial" w:eastAsia="Arial" w:hAnsi="Arial" w:cs="Arial"/>
        </w:rPr>
        <w:t>Three Limited Parkway</w:t>
      </w:r>
    </w:p>
    <w:p w14:paraId="30ED1801" w14:textId="77777777" w:rsidR="00D1587D" w:rsidRDefault="00410D07">
      <w:pPr>
        <w:spacing w:line="230" w:lineRule="auto"/>
        <w:ind w:left="1300"/>
        <w:rPr>
          <w:sz w:val="20"/>
          <w:szCs w:val="20"/>
        </w:rPr>
      </w:pPr>
      <w:r>
        <w:rPr>
          <w:rFonts w:ascii="Arial" w:eastAsia="Arial" w:hAnsi="Arial" w:cs="Arial"/>
        </w:rPr>
        <w:t>Columbus, Ohio 43230</w:t>
      </w:r>
    </w:p>
    <w:p w14:paraId="12BEBB21" w14:textId="77777777" w:rsidR="00D1587D" w:rsidRDefault="00410D07">
      <w:pPr>
        <w:spacing w:line="231" w:lineRule="auto"/>
        <w:ind w:left="1300"/>
        <w:rPr>
          <w:sz w:val="20"/>
          <w:szCs w:val="20"/>
        </w:rPr>
      </w:pPr>
      <w:r>
        <w:rPr>
          <w:rFonts w:ascii="Arial" w:eastAsia="Arial" w:hAnsi="Arial" w:cs="Arial"/>
        </w:rPr>
        <w:t>Attention: [__]</w:t>
      </w:r>
    </w:p>
    <w:p w14:paraId="3A1D8F85" w14:textId="77777777" w:rsidR="00D1587D" w:rsidRDefault="00410D07">
      <w:pPr>
        <w:ind w:left="1300"/>
        <w:rPr>
          <w:sz w:val="20"/>
          <w:szCs w:val="20"/>
        </w:rPr>
      </w:pPr>
      <w:r>
        <w:rPr>
          <w:rFonts w:ascii="Arial" w:eastAsia="Arial" w:hAnsi="Arial" w:cs="Arial"/>
        </w:rPr>
        <w:t>Email: [__]</w:t>
      </w:r>
    </w:p>
    <w:p w14:paraId="1B17B371" w14:textId="77777777" w:rsidR="00D1587D" w:rsidRDefault="00D1587D">
      <w:pPr>
        <w:spacing w:line="215" w:lineRule="exact"/>
        <w:rPr>
          <w:sz w:val="20"/>
          <w:szCs w:val="20"/>
        </w:rPr>
      </w:pPr>
    </w:p>
    <w:p w14:paraId="774BAC85" w14:textId="77777777" w:rsidR="00D1587D" w:rsidRDefault="00410D07">
      <w:pPr>
        <w:ind w:left="1300"/>
        <w:rPr>
          <w:sz w:val="20"/>
          <w:szCs w:val="20"/>
        </w:rPr>
      </w:pPr>
      <w:r>
        <w:rPr>
          <w:rFonts w:ascii="Arial" w:eastAsia="Arial" w:hAnsi="Arial" w:cs="Arial"/>
        </w:rPr>
        <w:t>with a copy (which shall not constitute notice) to:</w:t>
      </w:r>
    </w:p>
    <w:p w14:paraId="2D266C8B" w14:textId="77777777" w:rsidR="00D1587D" w:rsidRDefault="00D1587D">
      <w:pPr>
        <w:spacing w:line="233" w:lineRule="exact"/>
        <w:rPr>
          <w:sz w:val="20"/>
          <w:szCs w:val="20"/>
        </w:rPr>
      </w:pPr>
    </w:p>
    <w:p w14:paraId="361EDEA6" w14:textId="77777777" w:rsidR="00D1587D" w:rsidRDefault="00410D07">
      <w:pPr>
        <w:ind w:left="1300"/>
        <w:rPr>
          <w:sz w:val="20"/>
          <w:szCs w:val="20"/>
        </w:rPr>
      </w:pPr>
      <w:r>
        <w:rPr>
          <w:rFonts w:ascii="Arial" w:eastAsia="Arial" w:hAnsi="Arial" w:cs="Arial"/>
        </w:rPr>
        <w:t>Davis Polk &amp; Wardwell LLP</w:t>
      </w:r>
    </w:p>
    <w:p w14:paraId="59504B16" w14:textId="77777777" w:rsidR="00D1587D" w:rsidRDefault="00410D07">
      <w:pPr>
        <w:spacing w:line="238" w:lineRule="auto"/>
        <w:ind w:left="1300"/>
        <w:rPr>
          <w:sz w:val="20"/>
          <w:szCs w:val="20"/>
        </w:rPr>
      </w:pPr>
      <w:r>
        <w:rPr>
          <w:rFonts w:ascii="Arial" w:eastAsia="Arial" w:hAnsi="Arial" w:cs="Arial"/>
        </w:rPr>
        <w:t>450 Lexington Avenue</w:t>
      </w:r>
    </w:p>
    <w:p w14:paraId="785D8173" w14:textId="77777777" w:rsidR="00D1587D" w:rsidRDefault="00410D07">
      <w:pPr>
        <w:spacing w:line="230" w:lineRule="auto"/>
        <w:ind w:left="1300"/>
        <w:rPr>
          <w:sz w:val="20"/>
          <w:szCs w:val="20"/>
        </w:rPr>
      </w:pPr>
      <w:r>
        <w:rPr>
          <w:rFonts w:ascii="Arial" w:eastAsia="Arial" w:hAnsi="Arial" w:cs="Arial"/>
        </w:rPr>
        <w:t>New York, New York 10017</w:t>
      </w:r>
    </w:p>
    <w:p w14:paraId="363C1FA6" w14:textId="77777777" w:rsidR="00D1587D" w:rsidRDefault="00410D07">
      <w:pPr>
        <w:spacing w:line="231" w:lineRule="auto"/>
        <w:ind w:left="1300"/>
        <w:rPr>
          <w:sz w:val="20"/>
          <w:szCs w:val="20"/>
        </w:rPr>
      </w:pPr>
      <w:r>
        <w:rPr>
          <w:rFonts w:ascii="Arial" w:eastAsia="Arial" w:hAnsi="Arial" w:cs="Arial"/>
        </w:rPr>
        <w:t>Attention: [__]</w:t>
      </w:r>
    </w:p>
    <w:p w14:paraId="3B96FB59" w14:textId="77777777" w:rsidR="00D1587D" w:rsidRDefault="00410D07">
      <w:pPr>
        <w:ind w:left="1300"/>
        <w:rPr>
          <w:sz w:val="20"/>
          <w:szCs w:val="20"/>
        </w:rPr>
      </w:pPr>
      <w:r>
        <w:rPr>
          <w:rFonts w:ascii="Arial" w:eastAsia="Arial" w:hAnsi="Arial" w:cs="Arial"/>
        </w:rPr>
        <w:t>Email: [__]</w:t>
      </w:r>
    </w:p>
    <w:p w14:paraId="2A354938" w14:textId="77777777" w:rsidR="00D1587D" w:rsidRDefault="00D1587D">
      <w:pPr>
        <w:spacing w:line="215" w:lineRule="exact"/>
        <w:rPr>
          <w:sz w:val="20"/>
          <w:szCs w:val="20"/>
        </w:rPr>
      </w:pPr>
    </w:p>
    <w:p w14:paraId="5946B28C" w14:textId="77777777" w:rsidR="00D1587D" w:rsidRDefault="00410D07">
      <w:pPr>
        <w:ind w:left="660"/>
        <w:rPr>
          <w:sz w:val="20"/>
          <w:szCs w:val="20"/>
        </w:rPr>
      </w:pPr>
      <w:r>
        <w:rPr>
          <w:rFonts w:ascii="Arial" w:eastAsia="Arial" w:hAnsi="Arial" w:cs="Arial"/>
        </w:rPr>
        <w:t xml:space="preserve">if to VS or </w:t>
      </w:r>
      <w:r>
        <w:rPr>
          <w:rFonts w:ascii="Arial" w:eastAsia="Arial" w:hAnsi="Arial" w:cs="Arial"/>
        </w:rPr>
        <w:t>the VS Group, to:</w:t>
      </w:r>
    </w:p>
    <w:p w14:paraId="083C9076" w14:textId="77777777" w:rsidR="00D1587D" w:rsidRDefault="00D1587D">
      <w:pPr>
        <w:spacing w:line="233" w:lineRule="exact"/>
        <w:rPr>
          <w:sz w:val="20"/>
          <w:szCs w:val="20"/>
        </w:rPr>
      </w:pPr>
    </w:p>
    <w:p w14:paraId="167EAC0D" w14:textId="77777777" w:rsidR="00D1587D" w:rsidRDefault="00410D07">
      <w:pPr>
        <w:ind w:left="1300"/>
        <w:rPr>
          <w:sz w:val="20"/>
          <w:szCs w:val="20"/>
        </w:rPr>
      </w:pPr>
      <w:r>
        <w:rPr>
          <w:rFonts w:ascii="Arial" w:eastAsia="Arial" w:hAnsi="Arial" w:cs="Arial"/>
        </w:rPr>
        <w:t>Victoria’s Secret &amp; Co.</w:t>
      </w:r>
    </w:p>
    <w:p w14:paraId="149B3682" w14:textId="77777777" w:rsidR="00D1587D" w:rsidRDefault="00410D07">
      <w:pPr>
        <w:spacing w:line="238" w:lineRule="auto"/>
        <w:ind w:left="1300"/>
        <w:rPr>
          <w:sz w:val="20"/>
          <w:szCs w:val="20"/>
        </w:rPr>
      </w:pPr>
      <w:r>
        <w:rPr>
          <w:rFonts w:ascii="Arial" w:eastAsia="Arial" w:hAnsi="Arial" w:cs="Arial"/>
        </w:rPr>
        <w:t>4 Limited Parkway East</w:t>
      </w:r>
    </w:p>
    <w:p w14:paraId="2186CD27" w14:textId="77777777" w:rsidR="00D1587D" w:rsidRDefault="00410D07">
      <w:pPr>
        <w:spacing w:line="230" w:lineRule="auto"/>
        <w:ind w:left="1300"/>
        <w:rPr>
          <w:sz w:val="20"/>
          <w:szCs w:val="20"/>
        </w:rPr>
      </w:pPr>
      <w:r>
        <w:rPr>
          <w:rFonts w:ascii="Arial" w:eastAsia="Arial" w:hAnsi="Arial" w:cs="Arial"/>
        </w:rPr>
        <w:t>Reynoldsburg, Ohio 43068</w:t>
      </w:r>
    </w:p>
    <w:p w14:paraId="4B792649" w14:textId="77777777" w:rsidR="00D1587D" w:rsidRDefault="00410D07">
      <w:pPr>
        <w:spacing w:line="231" w:lineRule="auto"/>
        <w:ind w:left="1300"/>
        <w:rPr>
          <w:sz w:val="20"/>
          <w:szCs w:val="20"/>
        </w:rPr>
      </w:pPr>
      <w:r>
        <w:rPr>
          <w:rFonts w:ascii="Arial" w:eastAsia="Arial" w:hAnsi="Arial" w:cs="Arial"/>
        </w:rPr>
        <w:t>Attention: [__]</w:t>
      </w:r>
    </w:p>
    <w:p w14:paraId="01BEA58D" w14:textId="77777777" w:rsidR="00D1587D" w:rsidRDefault="00410D07">
      <w:pPr>
        <w:ind w:left="1300"/>
        <w:rPr>
          <w:sz w:val="20"/>
          <w:szCs w:val="20"/>
        </w:rPr>
      </w:pPr>
      <w:r>
        <w:rPr>
          <w:rFonts w:ascii="Arial" w:eastAsia="Arial" w:hAnsi="Arial" w:cs="Arial"/>
        </w:rPr>
        <w:t>Email: [__]</w:t>
      </w:r>
    </w:p>
    <w:p w14:paraId="09E1BC56" w14:textId="77777777" w:rsidR="00D1587D" w:rsidRDefault="00D1587D">
      <w:pPr>
        <w:spacing w:line="148" w:lineRule="exact"/>
        <w:rPr>
          <w:sz w:val="20"/>
          <w:szCs w:val="20"/>
        </w:rPr>
      </w:pPr>
    </w:p>
    <w:p w14:paraId="3402E5DE" w14:textId="77777777" w:rsidR="00D1587D" w:rsidRDefault="00410D07">
      <w:pPr>
        <w:ind w:right="-139"/>
        <w:jc w:val="center"/>
        <w:rPr>
          <w:sz w:val="20"/>
          <w:szCs w:val="20"/>
        </w:rPr>
      </w:pPr>
      <w:r>
        <w:rPr>
          <w:rFonts w:ascii="Arial" w:eastAsia="Arial" w:hAnsi="Arial" w:cs="Arial"/>
        </w:rPr>
        <w:t>23</w:t>
      </w:r>
    </w:p>
    <w:p w14:paraId="6E395013" w14:textId="77777777" w:rsidR="00D1587D" w:rsidRDefault="00410D07">
      <w:pPr>
        <w:spacing w:line="20" w:lineRule="exact"/>
        <w:rPr>
          <w:sz w:val="20"/>
          <w:szCs w:val="20"/>
        </w:rPr>
      </w:pPr>
      <w:r>
        <w:rPr>
          <w:noProof/>
          <w:sz w:val="20"/>
          <w:szCs w:val="20"/>
        </w:rPr>
        <w:drawing>
          <wp:anchor distT="0" distB="0" distL="114300" distR="114300" simplePos="0" relativeHeight="251317248" behindDoc="1" locked="0" layoutInCell="0" allowOverlap="1" wp14:anchorId="050F0008" wp14:editId="2B80DA05">
            <wp:simplePos x="0" y="0"/>
            <wp:positionH relativeFrom="column">
              <wp:posOffset>5080</wp:posOffset>
            </wp:positionH>
            <wp:positionV relativeFrom="paragraph">
              <wp:posOffset>41275</wp:posOffset>
            </wp:positionV>
            <wp:extent cx="7132320" cy="1714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7C1E313" w14:textId="77777777" w:rsidR="00D1587D" w:rsidRDefault="00D1587D">
      <w:pPr>
        <w:sectPr w:rsidR="00D1587D">
          <w:pgSz w:w="11900" w:h="16838"/>
          <w:pgMar w:top="361" w:right="459" w:bottom="1440" w:left="320" w:header="0" w:footer="0" w:gutter="0"/>
          <w:cols w:space="720" w:equalWidth="0">
            <w:col w:w="11120"/>
          </w:cols>
        </w:sectPr>
      </w:pPr>
    </w:p>
    <w:p w14:paraId="54311D01" w14:textId="77777777" w:rsidR="00D1587D" w:rsidRDefault="00410D07">
      <w:pPr>
        <w:spacing w:line="236" w:lineRule="auto"/>
        <w:ind w:right="40"/>
        <w:rPr>
          <w:sz w:val="20"/>
          <w:szCs w:val="20"/>
        </w:rPr>
      </w:pPr>
      <w:bookmarkStart w:id="162" w:name="page163"/>
      <w:bookmarkEnd w:id="162"/>
      <w:r>
        <w:rPr>
          <w:rFonts w:ascii="Arial" w:eastAsia="Arial" w:hAnsi="Arial" w:cs="Arial"/>
        </w:rPr>
        <w:t xml:space="preserve">or such other address or facsimile number as such party may hereafter specify for the purpose by notice to </w:t>
      </w:r>
      <w:r>
        <w:rPr>
          <w:rFonts w:ascii="Arial" w:eastAsia="Arial" w:hAnsi="Arial" w:cs="Arial"/>
        </w:rPr>
        <w:t>the other party hereto. All such notices, requests and other communications shall be deemed received on the date of receipt by the recipient thereof if received prior to 5:00 p.m. in the place of receipt and such day is a Business Day in the place of recei</w:t>
      </w:r>
      <w:r>
        <w:rPr>
          <w:rFonts w:ascii="Arial" w:eastAsia="Arial" w:hAnsi="Arial" w:cs="Arial"/>
        </w:rPr>
        <w:t>pt. Otherwise, any such notice, request or communication shall be deemed not to have been received until the next succeeding Business Day in the place of receipt.</w:t>
      </w:r>
    </w:p>
    <w:p w14:paraId="7B3285AD" w14:textId="77777777" w:rsidR="00D1587D" w:rsidRDefault="00D1587D">
      <w:pPr>
        <w:spacing w:line="214" w:lineRule="exact"/>
        <w:rPr>
          <w:sz w:val="20"/>
          <w:szCs w:val="20"/>
        </w:rPr>
      </w:pPr>
    </w:p>
    <w:p w14:paraId="5C3F47A4" w14:textId="77777777" w:rsidR="00D1587D" w:rsidRDefault="00410D07">
      <w:pPr>
        <w:spacing w:line="234" w:lineRule="auto"/>
        <w:ind w:right="40" w:firstLine="648"/>
        <w:rPr>
          <w:sz w:val="20"/>
          <w:szCs w:val="20"/>
        </w:rPr>
      </w:pPr>
      <w:r>
        <w:rPr>
          <w:rFonts w:ascii="Arial" w:eastAsia="Arial" w:hAnsi="Arial" w:cs="Arial"/>
        </w:rPr>
        <w:t xml:space="preserve">Section 17. </w:t>
      </w:r>
      <w:r>
        <w:rPr>
          <w:rFonts w:ascii="Arial" w:eastAsia="Arial" w:hAnsi="Arial" w:cs="Arial"/>
          <w:i/>
          <w:iCs/>
        </w:rPr>
        <w:t>Costs and Expenses.</w:t>
      </w:r>
      <w:r>
        <w:rPr>
          <w:rFonts w:ascii="Arial" w:eastAsia="Arial" w:hAnsi="Arial" w:cs="Arial"/>
        </w:rPr>
        <w:t xml:space="preserve"> The Party that prepares any Tax Return shall bear the costs </w:t>
      </w:r>
      <w:r>
        <w:rPr>
          <w:rFonts w:ascii="Arial" w:eastAsia="Arial" w:hAnsi="Arial" w:cs="Arial"/>
        </w:rPr>
        <w:t>and expenses incurred in the preparation of such Tax Return. Except as expressly set forth in this Agreement or the Separation Agreement, (i) each Party shall bear the costs and expenses incurred pursuant to this Agreement to the extent the costs and expen</w:t>
      </w:r>
      <w:r>
        <w:rPr>
          <w:rFonts w:ascii="Arial" w:eastAsia="Arial" w:hAnsi="Arial" w:cs="Arial"/>
        </w:rPr>
        <w:t xml:space="preserve">ses are directly allocable to a liability or obligation allocated to such Party and (ii) to the extent a cost or expense is not directly allocable to a liability or obligation, it shall be borne by the Party incurring such cost or expense. For purposes of </w:t>
      </w:r>
      <w:r>
        <w:rPr>
          <w:rFonts w:ascii="Arial" w:eastAsia="Arial" w:hAnsi="Arial" w:cs="Arial"/>
        </w:rPr>
        <w:t>this Agreement, costs and expenses shall include, but not be limited to, reasonable attorneys’ fees, accountants’ fees and other related professional fees and disbursements.</w:t>
      </w:r>
    </w:p>
    <w:p w14:paraId="02AC39EB" w14:textId="77777777" w:rsidR="00D1587D" w:rsidRDefault="00D1587D">
      <w:pPr>
        <w:spacing w:line="218" w:lineRule="exact"/>
        <w:rPr>
          <w:sz w:val="20"/>
          <w:szCs w:val="20"/>
        </w:rPr>
      </w:pPr>
    </w:p>
    <w:p w14:paraId="2436AFF5" w14:textId="77777777" w:rsidR="00D1587D" w:rsidRDefault="00410D07">
      <w:pPr>
        <w:spacing w:line="277" w:lineRule="auto"/>
        <w:ind w:firstLine="648"/>
        <w:rPr>
          <w:sz w:val="20"/>
          <w:szCs w:val="20"/>
        </w:rPr>
      </w:pPr>
      <w:r>
        <w:rPr>
          <w:rFonts w:ascii="Arial" w:eastAsia="Arial" w:hAnsi="Arial" w:cs="Arial"/>
          <w:sz w:val="19"/>
          <w:szCs w:val="19"/>
        </w:rPr>
        <w:t xml:space="preserve">Section 18. </w:t>
      </w:r>
      <w:r>
        <w:rPr>
          <w:rFonts w:ascii="Arial" w:eastAsia="Arial" w:hAnsi="Arial" w:cs="Arial"/>
          <w:i/>
          <w:iCs/>
          <w:sz w:val="19"/>
          <w:szCs w:val="19"/>
        </w:rPr>
        <w:t>Effectiveness; Termination and Survival.</w:t>
      </w:r>
      <w:r>
        <w:rPr>
          <w:rFonts w:ascii="Arial" w:eastAsia="Arial" w:hAnsi="Arial" w:cs="Arial"/>
          <w:sz w:val="19"/>
          <w:szCs w:val="19"/>
        </w:rPr>
        <w:t xml:space="preserve"> Except as expressly set fort</w:t>
      </w:r>
      <w:r>
        <w:rPr>
          <w:rFonts w:ascii="Arial" w:eastAsia="Arial" w:hAnsi="Arial" w:cs="Arial"/>
          <w:sz w:val="19"/>
          <w:szCs w:val="19"/>
        </w:rPr>
        <w:t xml:space="preserve">h in this Agreement, as between L Brands and VS, this Agreement shall become effective upon the consummation of the Distribution. All rights and obligations arising hereunder shall survive until they are fully effectuated or performed; </w:t>
      </w:r>
      <w:r>
        <w:rPr>
          <w:rFonts w:ascii="Arial" w:eastAsia="Arial" w:hAnsi="Arial" w:cs="Arial"/>
          <w:i/>
          <w:iCs/>
          <w:sz w:val="19"/>
          <w:szCs w:val="19"/>
        </w:rPr>
        <w:t>provided</w:t>
      </w:r>
      <w:r>
        <w:rPr>
          <w:rFonts w:ascii="Arial" w:eastAsia="Arial" w:hAnsi="Arial" w:cs="Arial"/>
          <w:sz w:val="19"/>
          <w:szCs w:val="19"/>
        </w:rPr>
        <w:t xml:space="preserve"> that, notwi</w:t>
      </w:r>
      <w:r>
        <w:rPr>
          <w:rFonts w:ascii="Arial" w:eastAsia="Arial" w:hAnsi="Arial" w:cs="Arial"/>
          <w:sz w:val="19"/>
          <w:szCs w:val="19"/>
        </w:rPr>
        <w:t xml:space="preserve">thstanding anything in this Agreement to the contrary, this Agreement shall remain in effect and its provisions shall survive for one year after the full period of all applicable statutes of limitation (giving effect to any extension, waiver or mitigation </w:t>
      </w:r>
      <w:r>
        <w:rPr>
          <w:rFonts w:ascii="Arial" w:eastAsia="Arial" w:hAnsi="Arial" w:cs="Arial"/>
          <w:sz w:val="19"/>
          <w:szCs w:val="19"/>
        </w:rPr>
        <w:t>thereof) and, with respect to any claim hereunder initiated prior to the end of such period, until such claim has been satisfied or otherwise resolved. This agreement shall terminate without any further action at any time before the Distribution upon termi</w:t>
      </w:r>
      <w:r>
        <w:rPr>
          <w:rFonts w:ascii="Arial" w:eastAsia="Arial" w:hAnsi="Arial" w:cs="Arial"/>
          <w:sz w:val="19"/>
          <w:szCs w:val="19"/>
        </w:rPr>
        <w:t>nation of the Separation Agreement.</w:t>
      </w:r>
    </w:p>
    <w:p w14:paraId="61091DB3" w14:textId="77777777" w:rsidR="00D1587D" w:rsidRDefault="00D1587D">
      <w:pPr>
        <w:spacing w:line="179" w:lineRule="exact"/>
        <w:rPr>
          <w:sz w:val="20"/>
          <w:szCs w:val="20"/>
        </w:rPr>
      </w:pPr>
    </w:p>
    <w:p w14:paraId="35C548C0" w14:textId="77777777" w:rsidR="00D1587D" w:rsidRDefault="00410D07">
      <w:pPr>
        <w:spacing w:line="273" w:lineRule="auto"/>
        <w:ind w:right="100" w:firstLine="648"/>
        <w:rPr>
          <w:sz w:val="20"/>
          <w:szCs w:val="20"/>
        </w:rPr>
      </w:pPr>
      <w:r>
        <w:rPr>
          <w:rFonts w:ascii="Arial" w:eastAsia="Arial" w:hAnsi="Arial" w:cs="Arial"/>
          <w:sz w:val="19"/>
          <w:szCs w:val="19"/>
        </w:rPr>
        <w:t xml:space="preserve">Section 19. </w:t>
      </w:r>
      <w:r>
        <w:rPr>
          <w:rFonts w:ascii="Arial" w:eastAsia="Arial" w:hAnsi="Arial" w:cs="Arial"/>
          <w:i/>
          <w:iCs/>
          <w:sz w:val="19"/>
          <w:szCs w:val="19"/>
        </w:rPr>
        <w:t>Specific Performance.</w:t>
      </w:r>
      <w:r>
        <w:rPr>
          <w:rFonts w:ascii="Arial" w:eastAsia="Arial" w:hAnsi="Arial" w:cs="Arial"/>
          <w:sz w:val="19"/>
          <w:szCs w:val="19"/>
        </w:rPr>
        <w:t xml:space="preserve"> Each Party to this Agreement acknowledges and agrees that damages for a breach or threatened breach of any of the provisions of this Agreement would be inadequate and irreparable harm w</w:t>
      </w:r>
      <w:r>
        <w:rPr>
          <w:rFonts w:ascii="Arial" w:eastAsia="Arial" w:hAnsi="Arial" w:cs="Arial"/>
          <w:sz w:val="19"/>
          <w:szCs w:val="19"/>
        </w:rPr>
        <w:t>ould occur. In recognition of this fact, each Party agrees that, if there is a breach or threatened breach, in addition to any damages, the other nonbreaching Party to this Agreement, without posting any bond, shall be entitled to seek and obtain equitable</w:t>
      </w:r>
      <w:r>
        <w:rPr>
          <w:rFonts w:ascii="Arial" w:eastAsia="Arial" w:hAnsi="Arial" w:cs="Arial"/>
          <w:sz w:val="19"/>
          <w:szCs w:val="19"/>
        </w:rPr>
        <w:t xml:space="preserve"> relief in the form of specific performance, temporary restraining order, temporary or permanent injunction, attachment, or any other equitable remedy which may then be available to obligate the breaching Party (i) to perform its obligations under this Agr</w:t>
      </w:r>
      <w:r>
        <w:rPr>
          <w:rFonts w:ascii="Arial" w:eastAsia="Arial" w:hAnsi="Arial" w:cs="Arial"/>
          <w:sz w:val="19"/>
          <w:szCs w:val="19"/>
        </w:rPr>
        <w:t>eement or (ii) if the breaching Party is unable, for whatever reason, to perform those obligations, to take any other actions as are necessary, advisable or appropriate to give the other Party to this Agreement the economic effect which comes as close as p</w:t>
      </w:r>
      <w:r>
        <w:rPr>
          <w:rFonts w:ascii="Arial" w:eastAsia="Arial" w:hAnsi="Arial" w:cs="Arial"/>
          <w:sz w:val="19"/>
          <w:szCs w:val="19"/>
        </w:rPr>
        <w:t>ossible to the performance of those obligations (including transferring, or granting liens on, the assets of the breaching party to secure the performance by the breaching party of those obligations).</w:t>
      </w:r>
    </w:p>
    <w:p w14:paraId="6C84B6BA" w14:textId="77777777" w:rsidR="00D1587D" w:rsidRDefault="00D1587D">
      <w:pPr>
        <w:spacing w:line="188" w:lineRule="exact"/>
        <w:rPr>
          <w:sz w:val="20"/>
          <w:szCs w:val="20"/>
        </w:rPr>
      </w:pPr>
    </w:p>
    <w:p w14:paraId="3A62FAA0" w14:textId="77777777" w:rsidR="00D1587D" w:rsidRDefault="00410D07">
      <w:pPr>
        <w:tabs>
          <w:tab w:val="left" w:pos="2140"/>
        </w:tabs>
        <w:ind w:left="660"/>
        <w:rPr>
          <w:sz w:val="20"/>
          <w:szCs w:val="20"/>
        </w:rPr>
      </w:pPr>
      <w:r>
        <w:rPr>
          <w:rFonts w:ascii="Arial" w:eastAsia="Arial" w:hAnsi="Arial" w:cs="Arial"/>
        </w:rPr>
        <w:t>Section 20.</w:t>
      </w:r>
      <w:r>
        <w:rPr>
          <w:sz w:val="20"/>
          <w:szCs w:val="20"/>
        </w:rPr>
        <w:tab/>
      </w:r>
      <w:r>
        <w:rPr>
          <w:rFonts w:ascii="Arial" w:eastAsia="Arial" w:hAnsi="Arial" w:cs="Arial"/>
          <w:i/>
          <w:iCs/>
          <w:sz w:val="19"/>
          <w:szCs w:val="19"/>
        </w:rPr>
        <w:t xml:space="preserve">Construction. </w:t>
      </w:r>
      <w:r>
        <w:rPr>
          <w:rFonts w:ascii="Arial" w:eastAsia="Arial" w:hAnsi="Arial" w:cs="Arial"/>
          <w:sz w:val="19"/>
          <w:szCs w:val="19"/>
        </w:rPr>
        <w:t>In this Agreement, unless th</w:t>
      </w:r>
      <w:r>
        <w:rPr>
          <w:rFonts w:ascii="Arial" w:eastAsia="Arial" w:hAnsi="Arial" w:cs="Arial"/>
          <w:sz w:val="19"/>
          <w:szCs w:val="19"/>
        </w:rPr>
        <w:t>e context clearly indicates otherwise:</w:t>
      </w:r>
    </w:p>
    <w:p w14:paraId="0235AC1D" w14:textId="77777777" w:rsidR="00D1587D" w:rsidRDefault="00D1587D">
      <w:pPr>
        <w:spacing w:line="233" w:lineRule="exact"/>
        <w:rPr>
          <w:sz w:val="20"/>
          <w:szCs w:val="20"/>
        </w:rPr>
      </w:pPr>
    </w:p>
    <w:p w14:paraId="60187BCC" w14:textId="77777777" w:rsidR="00D1587D" w:rsidRDefault="00410D07">
      <w:pPr>
        <w:numPr>
          <w:ilvl w:val="0"/>
          <w:numId w:val="139"/>
        </w:numPr>
        <w:tabs>
          <w:tab w:val="left" w:pos="1640"/>
        </w:tabs>
        <w:ind w:left="1640" w:hanging="790"/>
        <w:rPr>
          <w:rFonts w:ascii="Arial" w:eastAsia="Arial" w:hAnsi="Arial" w:cs="Arial"/>
        </w:rPr>
      </w:pPr>
      <w:r>
        <w:rPr>
          <w:rFonts w:ascii="Arial" w:eastAsia="Arial" w:hAnsi="Arial" w:cs="Arial"/>
        </w:rPr>
        <w:t>words used in the singular include the plural and words used in the plural include the singular;</w:t>
      </w:r>
    </w:p>
    <w:p w14:paraId="265221D9" w14:textId="77777777" w:rsidR="00D1587D" w:rsidRDefault="00D1587D">
      <w:pPr>
        <w:spacing w:line="165" w:lineRule="exact"/>
        <w:rPr>
          <w:rFonts w:ascii="Arial" w:eastAsia="Arial" w:hAnsi="Arial" w:cs="Arial"/>
        </w:rPr>
      </w:pPr>
    </w:p>
    <w:p w14:paraId="37E9390E" w14:textId="77777777" w:rsidR="00D1587D" w:rsidRDefault="00410D07">
      <w:pPr>
        <w:ind w:left="5520"/>
        <w:rPr>
          <w:rFonts w:ascii="Arial" w:eastAsia="Arial" w:hAnsi="Arial" w:cs="Arial"/>
        </w:rPr>
      </w:pPr>
      <w:r>
        <w:rPr>
          <w:rFonts w:ascii="Arial" w:eastAsia="Arial" w:hAnsi="Arial" w:cs="Arial"/>
        </w:rPr>
        <w:t>24</w:t>
      </w:r>
    </w:p>
    <w:p w14:paraId="093EA2E9" w14:textId="77777777" w:rsidR="00D1587D" w:rsidRDefault="00410D07">
      <w:pPr>
        <w:spacing w:line="20" w:lineRule="exact"/>
        <w:rPr>
          <w:sz w:val="20"/>
          <w:szCs w:val="20"/>
        </w:rPr>
      </w:pPr>
      <w:r>
        <w:rPr>
          <w:noProof/>
          <w:sz w:val="20"/>
          <w:szCs w:val="20"/>
        </w:rPr>
        <w:drawing>
          <wp:anchor distT="0" distB="0" distL="114300" distR="114300" simplePos="0" relativeHeight="251318272" behindDoc="1" locked="0" layoutInCell="0" allowOverlap="1" wp14:anchorId="0938C49E" wp14:editId="61DB89DC">
            <wp:simplePos x="0" y="0"/>
            <wp:positionH relativeFrom="column">
              <wp:posOffset>5080</wp:posOffset>
            </wp:positionH>
            <wp:positionV relativeFrom="paragraph">
              <wp:posOffset>41275</wp:posOffset>
            </wp:positionV>
            <wp:extent cx="7132320" cy="1714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2FC696F" w14:textId="77777777" w:rsidR="00D1587D" w:rsidRDefault="00D1587D">
      <w:pPr>
        <w:sectPr w:rsidR="00D1587D">
          <w:pgSz w:w="11900" w:h="16838"/>
          <w:pgMar w:top="361" w:right="399" w:bottom="1440" w:left="320" w:header="0" w:footer="0" w:gutter="0"/>
          <w:cols w:space="720" w:equalWidth="0">
            <w:col w:w="11180"/>
          </w:cols>
        </w:sectPr>
      </w:pPr>
    </w:p>
    <w:p w14:paraId="6865A847" w14:textId="77777777" w:rsidR="00D1587D" w:rsidRDefault="00410D07">
      <w:pPr>
        <w:numPr>
          <w:ilvl w:val="0"/>
          <w:numId w:val="140"/>
        </w:numPr>
        <w:tabs>
          <w:tab w:val="left" w:pos="1634"/>
        </w:tabs>
        <w:spacing w:line="250" w:lineRule="auto"/>
        <w:ind w:right="880" w:firstLine="850"/>
        <w:rPr>
          <w:rFonts w:ascii="Arial" w:eastAsia="Arial" w:hAnsi="Arial" w:cs="Arial"/>
        </w:rPr>
      </w:pPr>
      <w:bookmarkStart w:id="163" w:name="page164"/>
      <w:bookmarkEnd w:id="163"/>
      <w:r>
        <w:rPr>
          <w:rFonts w:ascii="Arial" w:eastAsia="Arial" w:hAnsi="Arial" w:cs="Arial"/>
        </w:rPr>
        <w:t xml:space="preserve">references to any Person include such Person’s successors and assigns but, if </w:t>
      </w:r>
      <w:r>
        <w:rPr>
          <w:rFonts w:ascii="Arial" w:eastAsia="Arial" w:hAnsi="Arial" w:cs="Arial"/>
        </w:rPr>
        <w:t>applicable, only if such successors and assigns are permitted by this Agreement;</w:t>
      </w:r>
    </w:p>
    <w:p w14:paraId="1EF5ADA5" w14:textId="77777777" w:rsidR="00D1587D" w:rsidRDefault="00D1587D">
      <w:pPr>
        <w:spacing w:line="201" w:lineRule="exact"/>
        <w:rPr>
          <w:rFonts w:ascii="Arial" w:eastAsia="Arial" w:hAnsi="Arial" w:cs="Arial"/>
        </w:rPr>
      </w:pPr>
    </w:p>
    <w:p w14:paraId="52136476" w14:textId="77777777" w:rsidR="00D1587D" w:rsidRDefault="00410D07">
      <w:pPr>
        <w:numPr>
          <w:ilvl w:val="0"/>
          <w:numId w:val="140"/>
        </w:numPr>
        <w:tabs>
          <w:tab w:val="left" w:pos="1640"/>
        </w:tabs>
        <w:ind w:left="1640" w:hanging="790"/>
        <w:rPr>
          <w:rFonts w:ascii="Arial" w:eastAsia="Arial" w:hAnsi="Arial" w:cs="Arial"/>
        </w:rPr>
      </w:pPr>
      <w:r>
        <w:rPr>
          <w:rFonts w:ascii="Arial" w:eastAsia="Arial" w:hAnsi="Arial" w:cs="Arial"/>
        </w:rPr>
        <w:t>except as otherwise clearly indicated, reference to any gender includes the other gender;</w:t>
      </w:r>
    </w:p>
    <w:p w14:paraId="4D01F4AF" w14:textId="77777777" w:rsidR="00D1587D" w:rsidRDefault="00D1587D">
      <w:pPr>
        <w:spacing w:line="233" w:lineRule="exact"/>
        <w:rPr>
          <w:rFonts w:ascii="Arial" w:eastAsia="Arial" w:hAnsi="Arial" w:cs="Arial"/>
        </w:rPr>
      </w:pPr>
    </w:p>
    <w:p w14:paraId="5F14B40A" w14:textId="77777777" w:rsidR="00D1587D" w:rsidRDefault="00410D07">
      <w:pPr>
        <w:numPr>
          <w:ilvl w:val="0"/>
          <w:numId w:val="140"/>
        </w:numPr>
        <w:tabs>
          <w:tab w:val="left" w:pos="1640"/>
        </w:tabs>
        <w:ind w:left="1640" w:hanging="790"/>
        <w:rPr>
          <w:rFonts w:ascii="Arial" w:eastAsia="Arial" w:hAnsi="Arial" w:cs="Arial"/>
          <w:sz w:val="21"/>
          <w:szCs w:val="21"/>
        </w:rPr>
      </w:pPr>
      <w:r>
        <w:rPr>
          <w:rFonts w:ascii="Arial" w:eastAsia="Arial" w:hAnsi="Arial" w:cs="Arial"/>
          <w:sz w:val="21"/>
          <w:szCs w:val="21"/>
        </w:rPr>
        <w:t xml:space="preserve">the words “include,” “includes” and “including” shall be deemed to be </w:t>
      </w:r>
      <w:r>
        <w:rPr>
          <w:rFonts w:ascii="Arial" w:eastAsia="Arial" w:hAnsi="Arial" w:cs="Arial"/>
          <w:sz w:val="21"/>
          <w:szCs w:val="21"/>
        </w:rPr>
        <w:t>followed by the words “without</w:t>
      </w:r>
    </w:p>
    <w:p w14:paraId="384BD500" w14:textId="77777777" w:rsidR="00D1587D" w:rsidRDefault="00D1587D">
      <w:pPr>
        <w:spacing w:line="19" w:lineRule="exact"/>
        <w:rPr>
          <w:rFonts w:ascii="Arial" w:eastAsia="Arial" w:hAnsi="Arial" w:cs="Arial"/>
          <w:sz w:val="21"/>
          <w:szCs w:val="21"/>
        </w:rPr>
      </w:pPr>
    </w:p>
    <w:p w14:paraId="50373405" w14:textId="77777777" w:rsidR="00D1587D" w:rsidRDefault="00410D07">
      <w:pPr>
        <w:rPr>
          <w:rFonts w:ascii="Arial" w:eastAsia="Arial" w:hAnsi="Arial" w:cs="Arial"/>
          <w:sz w:val="21"/>
          <w:szCs w:val="21"/>
        </w:rPr>
      </w:pPr>
      <w:r>
        <w:rPr>
          <w:rFonts w:ascii="Arial" w:eastAsia="Arial" w:hAnsi="Arial" w:cs="Arial"/>
        </w:rPr>
        <w:t>limitation”;</w:t>
      </w:r>
    </w:p>
    <w:p w14:paraId="70D3878B" w14:textId="77777777" w:rsidR="00D1587D" w:rsidRDefault="00D1587D">
      <w:pPr>
        <w:spacing w:line="215" w:lineRule="exact"/>
        <w:rPr>
          <w:rFonts w:ascii="Arial" w:eastAsia="Arial" w:hAnsi="Arial" w:cs="Arial"/>
          <w:sz w:val="21"/>
          <w:szCs w:val="21"/>
        </w:rPr>
      </w:pPr>
    </w:p>
    <w:p w14:paraId="7E03D6A1" w14:textId="77777777" w:rsidR="00D1587D" w:rsidRDefault="00410D07">
      <w:pPr>
        <w:numPr>
          <w:ilvl w:val="0"/>
          <w:numId w:val="140"/>
        </w:numPr>
        <w:tabs>
          <w:tab w:val="left" w:pos="1622"/>
        </w:tabs>
        <w:ind w:right="200" w:firstLine="850"/>
        <w:rPr>
          <w:rFonts w:ascii="Arial" w:eastAsia="Arial" w:hAnsi="Arial" w:cs="Arial"/>
        </w:rPr>
      </w:pPr>
      <w:r>
        <w:rPr>
          <w:rFonts w:ascii="Arial" w:eastAsia="Arial" w:hAnsi="Arial" w:cs="Arial"/>
        </w:rPr>
        <w:t>reference to any Article, Section, Exhibit or Schedule means such Article or Section of, or such Exhibit or Schedule to, this Agreement, as the case may be, and references in any Section or definition to any cl</w:t>
      </w:r>
      <w:r>
        <w:rPr>
          <w:rFonts w:ascii="Arial" w:eastAsia="Arial" w:hAnsi="Arial" w:cs="Arial"/>
        </w:rPr>
        <w:t>ause means such clause of such Section or definition;</w:t>
      </w:r>
    </w:p>
    <w:p w14:paraId="744DD77F" w14:textId="77777777" w:rsidR="00D1587D" w:rsidRDefault="00D1587D">
      <w:pPr>
        <w:spacing w:line="213" w:lineRule="exact"/>
        <w:rPr>
          <w:rFonts w:ascii="Arial" w:eastAsia="Arial" w:hAnsi="Arial" w:cs="Arial"/>
        </w:rPr>
      </w:pPr>
    </w:p>
    <w:p w14:paraId="69510A76" w14:textId="77777777" w:rsidR="00D1587D" w:rsidRDefault="00410D07">
      <w:pPr>
        <w:numPr>
          <w:ilvl w:val="0"/>
          <w:numId w:val="140"/>
        </w:numPr>
        <w:tabs>
          <w:tab w:val="left" w:pos="1598"/>
        </w:tabs>
        <w:spacing w:line="250" w:lineRule="auto"/>
        <w:ind w:right="60" w:firstLine="850"/>
        <w:rPr>
          <w:rFonts w:ascii="Arial" w:eastAsia="Arial" w:hAnsi="Arial" w:cs="Arial"/>
        </w:rPr>
      </w:pPr>
      <w:r>
        <w:rPr>
          <w:rFonts w:ascii="Arial" w:eastAsia="Arial" w:hAnsi="Arial" w:cs="Arial"/>
        </w:rPr>
        <w:t>the words “herein,” “hereunder,” “hereof,” “hereto” and words of similar import shall be deemed references to this Agreement as a whole and not to any particular Section or other provision hereof;</w:t>
      </w:r>
    </w:p>
    <w:p w14:paraId="650B3D49" w14:textId="77777777" w:rsidR="00D1587D" w:rsidRDefault="00D1587D">
      <w:pPr>
        <w:spacing w:line="201" w:lineRule="exact"/>
        <w:rPr>
          <w:rFonts w:ascii="Arial" w:eastAsia="Arial" w:hAnsi="Arial" w:cs="Arial"/>
        </w:rPr>
      </w:pPr>
    </w:p>
    <w:p w14:paraId="7B3B135A" w14:textId="77777777" w:rsidR="00D1587D" w:rsidRDefault="00410D07">
      <w:pPr>
        <w:numPr>
          <w:ilvl w:val="0"/>
          <w:numId w:val="140"/>
        </w:numPr>
        <w:tabs>
          <w:tab w:val="left" w:pos="1634"/>
        </w:tabs>
        <w:ind w:firstLine="850"/>
        <w:rPr>
          <w:rFonts w:ascii="Arial" w:eastAsia="Arial" w:hAnsi="Arial" w:cs="Arial"/>
        </w:rPr>
      </w:pPr>
      <w:r>
        <w:rPr>
          <w:rFonts w:ascii="Arial" w:eastAsia="Arial" w:hAnsi="Arial" w:cs="Arial"/>
        </w:rPr>
        <w:t>ref</w:t>
      </w:r>
      <w:r>
        <w:rPr>
          <w:rFonts w:ascii="Arial" w:eastAsia="Arial" w:hAnsi="Arial" w:cs="Arial"/>
        </w:rPr>
        <w:t>erence to any agreement, instrument or other document means such agreement, instrument or other document as amended, supplemented and modified from time to time to the extent permitted by the provisions thereof and by this Agreement;</w:t>
      </w:r>
    </w:p>
    <w:p w14:paraId="24624AE0" w14:textId="77777777" w:rsidR="00D1587D" w:rsidRDefault="00D1587D">
      <w:pPr>
        <w:spacing w:line="213" w:lineRule="exact"/>
        <w:rPr>
          <w:rFonts w:ascii="Arial" w:eastAsia="Arial" w:hAnsi="Arial" w:cs="Arial"/>
        </w:rPr>
      </w:pPr>
    </w:p>
    <w:p w14:paraId="69DF2B7E" w14:textId="77777777" w:rsidR="00D1587D" w:rsidRDefault="00410D07">
      <w:pPr>
        <w:numPr>
          <w:ilvl w:val="0"/>
          <w:numId w:val="140"/>
        </w:numPr>
        <w:tabs>
          <w:tab w:val="left" w:pos="1634"/>
        </w:tabs>
        <w:ind w:firstLine="850"/>
        <w:rPr>
          <w:rFonts w:ascii="Arial" w:eastAsia="Arial" w:hAnsi="Arial" w:cs="Arial"/>
        </w:rPr>
      </w:pPr>
      <w:r>
        <w:rPr>
          <w:rFonts w:ascii="Arial" w:eastAsia="Arial" w:hAnsi="Arial" w:cs="Arial"/>
        </w:rPr>
        <w:t xml:space="preserve">reference to any law </w:t>
      </w:r>
      <w:r>
        <w:rPr>
          <w:rFonts w:ascii="Arial" w:eastAsia="Arial" w:hAnsi="Arial" w:cs="Arial"/>
        </w:rPr>
        <w:t>(including statutes and ordinances) means such law (including all rules and regulations promulgated thereunder) as amended, modified, codified or reenacted, in whole or in part, and in effect at the time of determining compliance or applicability;</w:t>
      </w:r>
    </w:p>
    <w:p w14:paraId="319482DA" w14:textId="77777777" w:rsidR="00D1587D" w:rsidRDefault="00D1587D">
      <w:pPr>
        <w:spacing w:line="213" w:lineRule="exact"/>
        <w:rPr>
          <w:rFonts w:ascii="Arial" w:eastAsia="Arial" w:hAnsi="Arial" w:cs="Arial"/>
        </w:rPr>
      </w:pPr>
    </w:p>
    <w:p w14:paraId="296CA543" w14:textId="77777777" w:rsidR="00D1587D" w:rsidRDefault="00410D07">
      <w:pPr>
        <w:numPr>
          <w:ilvl w:val="0"/>
          <w:numId w:val="140"/>
        </w:numPr>
        <w:tabs>
          <w:tab w:val="left" w:pos="1586"/>
        </w:tabs>
        <w:spacing w:line="250" w:lineRule="auto"/>
        <w:ind w:right="320" w:firstLine="850"/>
        <w:rPr>
          <w:rFonts w:ascii="Arial" w:eastAsia="Arial" w:hAnsi="Arial" w:cs="Arial"/>
        </w:rPr>
      </w:pPr>
      <w:r>
        <w:rPr>
          <w:rFonts w:ascii="Arial" w:eastAsia="Arial" w:hAnsi="Arial" w:cs="Arial"/>
        </w:rPr>
        <w:t>relative to the determination of any period of time, “from” means “from and including,” “to” means “to and including” and “through” means “through and including”;</w:t>
      </w:r>
    </w:p>
    <w:p w14:paraId="480CBA6E" w14:textId="77777777" w:rsidR="00D1587D" w:rsidRDefault="00D1587D">
      <w:pPr>
        <w:spacing w:line="201" w:lineRule="exact"/>
        <w:rPr>
          <w:rFonts w:ascii="Arial" w:eastAsia="Arial" w:hAnsi="Arial" w:cs="Arial"/>
        </w:rPr>
      </w:pPr>
    </w:p>
    <w:p w14:paraId="2B58E58E" w14:textId="77777777" w:rsidR="00D1587D" w:rsidRDefault="00410D07">
      <w:pPr>
        <w:numPr>
          <w:ilvl w:val="0"/>
          <w:numId w:val="140"/>
        </w:numPr>
        <w:tabs>
          <w:tab w:val="left" w:pos="1586"/>
        </w:tabs>
        <w:spacing w:line="328" w:lineRule="auto"/>
        <w:ind w:right="120" w:firstLine="850"/>
        <w:rPr>
          <w:rFonts w:ascii="Arial" w:eastAsia="Arial" w:hAnsi="Arial" w:cs="Arial"/>
          <w:sz w:val="19"/>
          <w:szCs w:val="19"/>
        </w:rPr>
      </w:pPr>
      <w:r>
        <w:rPr>
          <w:rFonts w:ascii="Arial" w:eastAsia="Arial" w:hAnsi="Arial" w:cs="Arial"/>
          <w:sz w:val="19"/>
          <w:szCs w:val="19"/>
        </w:rPr>
        <w:t>the titles to Articles and headings of Sections contained in this Agreement have been insert</w:t>
      </w:r>
      <w:r>
        <w:rPr>
          <w:rFonts w:ascii="Arial" w:eastAsia="Arial" w:hAnsi="Arial" w:cs="Arial"/>
          <w:sz w:val="19"/>
          <w:szCs w:val="19"/>
        </w:rPr>
        <w:t>ed for convenience of reference only and shall not be deemed to be a part of or to affect the meaning or interpretation of this Agreement;</w:t>
      </w:r>
    </w:p>
    <w:p w14:paraId="0C6B3907" w14:textId="77777777" w:rsidR="00D1587D" w:rsidRDefault="00D1587D">
      <w:pPr>
        <w:spacing w:line="131" w:lineRule="exact"/>
        <w:rPr>
          <w:rFonts w:ascii="Arial" w:eastAsia="Arial" w:hAnsi="Arial" w:cs="Arial"/>
          <w:sz w:val="19"/>
          <w:szCs w:val="19"/>
        </w:rPr>
      </w:pPr>
    </w:p>
    <w:p w14:paraId="08777D1D" w14:textId="77777777" w:rsidR="00D1587D" w:rsidRDefault="00410D07">
      <w:pPr>
        <w:numPr>
          <w:ilvl w:val="0"/>
          <w:numId w:val="140"/>
        </w:numPr>
        <w:tabs>
          <w:tab w:val="left" w:pos="1634"/>
        </w:tabs>
        <w:spacing w:line="250" w:lineRule="auto"/>
        <w:ind w:right="440" w:firstLine="850"/>
        <w:rPr>
          <w:rFonts w:ascii="Arial" w:eastAsia="Arial" w:hAnsi="Arial" w:cs="Arial"/>
        </w:rPr>
      </w:pPr>
      <w:r>
        <w:rPr>
          <w:rFonts w:ascii="Arial" w:eastAsia="Arial" w:hAnsi="Arial" w:cs="Arial"/>
        </w:rPr>
        <w:t xml:space="preserve">unless otherwise specified in this Agreement, all references to dollar amounts herein shall be in respect of lawful </w:t>
      </w:r>
      <w:r>
        <w:rPr>
          <w:rFonts w:ascii="Arial" w:eastAsia="Arial" w:hAnsi="Arial" w:cs="Arial"/>
        </w:rPr>
        <w:t>currency of the United States; and</w:t>
      </w:r>
    </w:p>
    <w:p w14:paraId="6B078485" w14:textId="77777777" w:rsidR="00D1587D" w:rsidRDefault="00D1587D">
      <w:pPr>
        <w:spacing w:line="201" w:lineRule="exact"/>
        <w:rPr>
          <w:rFonts w:ascii="Arial" w:eastAsia="Arial" w:hAnsi="Arial" w:cs="Arial"/>
        </w:rPr>
      </w:pPr>
    </w:p>
    <w:p w14:paraId="1A73CAFE" w14:textId="77777777" w:rsidR="00D1587D" w:rsidRDefault="00410D07">
      <w:pPr>
        <w:numPr>
          <w:ilvl w:val="0"/>
          <w:numId w:val="140"/>
        </w:numPr>
        <w:tabs>
          <w:tab w:val="left" w:pos="1586"/>
        </w:tabs>
        <w:spacing w:line="250" w:lineRule="auto"/>
        <w:ind w:right="220" w:firstLine="850"/>
        <w:rPr>
          <w:rFonts w:ascii="Arial" w:eastAsia="Arial" w:hAnsi="Arial" w:cs="Arial"/>
        </w:rPr>
      </w:pPr>
      <w:r>
        <w:rPr>
          <w:rFonts w:ascii="Arial" w:eastAsia="Arial" w:hAnsi="Arial" w:cs="Arial"/>
        </w:rPr>
        <w:t>any capitalized term used in an Exhibit or Schedule but not otherwise defined therein shall have the meaning set forth in this Agreement.</w:t>
      </w:r>
    </w:p>
    <w:p w14:paraId="673F42AB" w14:textId="77777777" w:rsidR="00D1587D" w:rsidRDefault="00D1587D">
      <w:pPr>
        <w:spacing w:line="134" w:lineRule="exact"/>
        <w:rPr>
          <w:sz w:val="20"/>
          <w:szCs w:val="20"/>
        </w:rPr>
      </w:pPr>
    </w:p>
    <w:p w14:paraId="00ED9682" w14:textId="77777777" w:rsidR="00D1587D" w:rsidRDefault="00410D07">
      <w:pPr>
        <w:ind w:right="-19"/>
        <w:jc w:val="center"/>
        <w:rPr>
          <w:sz w:val="20"/>
          <w:szCs w:val="20"/>
        </w:rPr>
      </w:pPr>
      <w:r>
        <w:rPr>
          <w:rFonts w:ascii="Arial" w:eastAsia="Arial" w:hAnsi="Arial" w:cs="Arial"/>
        </w:rPr>
        <w:t>25</w:t>
      </w:r>
    </w:p>
    <w:p w14:paraId="35B39A6C" w14:textId="77777777" w:rsidR="00D1587D" w:rsidRDefault="00410D07">
      <w:pPr>
        <w:spacing w:line="20" w:lineRule="exact"/>
        <w:rPr>
          <w:sz w:val="20"/>
          <w:szCs w:val="20"/>
        </w:rPr>
      </w:pPr>
      <w:r>
        <w:rPr>
          <w:noProof/>
          <w:sz w:val="20"/>
          <w:szCs w:val="20"/>
        </w:rPr>
        <w:drawing>
          <wp:anchor distT="0" distB="0" distL="114300" distR="114300" simplePos="0" relativeHeight="251319296" behindDoc="1" locked="0" layoutInCell="0" allowOverlap="1" wp14:anchorId="3E449A0F" wp14:editId="68D702D2">
            <wp:simplePos x="0" y="0"/>
            <wp:positionH relativeFrom="column">
              <wp:posOffset>5080</wp:posOffset>
            </wp:positionH>
            <wp:positionV relativeFrom="paragraph">
              <wp:posOffset>41275</wp:posOffset>
            </wp:positionV>
            <wp:extent cx="7132320" cy="1714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637E69E" w14:textId="77777777" w:rsidR="00D1587D" w:rsidRDefault="00D1587D">
      <w:pPr>
        <w:sectPr w:rsidR="00D1587D">
          <w:pgSz w:w="11900" w:h="16838"/>
          <w:pgMar w:top="361" w:right="359" w:bottom="1440" w:left="320" w:header="0" w:footer="0" w:gutter="0"/>
          <w:cols w:space="720" w:equalWidth="0">
            <w:col w:w="11220"/>
          </w:cols>
        </w:sectPr>
      </w:pPr>
    </w:p>
    <w:p w14:paraId="69972858" w14:textId="77777777" w:rsidR="00D1587D" w:rsidRDefault="00410D07">
      <w:pPr>
        <w:tabs>
          <w:tab w:val="left" w:pos="1480"/>
        </w:tabs>
        <w:rPr>
          <w:sz w:val="20"/>
          <w:szCs w:val="20"/>
        </w:rPr>
      </w:pPr>
      <w:bookmarkStart w:id="164" w:name="page165"/>
      <w:bookmarkEnd w:id="164"/>
      <w:r>
        <w:rPr>
          <w:rFonts w:ascii="Arial" w:eastAsia="Arial" w:hAnsi="Arial" w:cs="Arial"/>
        </w:rPr>
        <w:t>Section 21.</w:t>
      </w:r>
      <w:r>
        <w:rPr>
          <w:sz w:val="20"/>
          <w:szCs w:val="20"/>
        </w:rPr>
        <w:tab/>
      </w:r>
      <w:r>
        <w:rPr>
          <w:rFonts w:ascii="Arial" w:eastAsia="Arial" w:hAnsi="Arial" w:cs="Arial"/>
          <w:i/>
          <w:iCs/>
          <w:sz w:val="19"/>
          <w:szCs w:val="19"/>
        </w:rPr>
        <w:t>Entire Agreement; Amendments and Waivers</w:t>
      </w:r>
      <w:r>
        <w:rPr>
          <w:rFonts w:ascii="Arial" w:eastAsia="Arial" w:hAnsi="Arial" w:cs="Arial"/>
          <w:sz w:val="19"/>
          <w:szCs w:val="19"/>
        </w:rPr>
        <w:t>.</w:t>
      </w:r>
    </w:p>
    <w:p w14:paraId="66F395DA" w14:textId="77777777" w:rsidR="00D1587D" w:rsidRDefault="00D1587D">
      <w:pPr>
        <w:spacing w:line="233" w:lineRule="exact"/>
        <w:rPr>
          <w:sz w:val="20"/>
          <w:szCs w:val="20"/>
        </w:rPr>
      </w:pPr>
    </w:p>
    <w:p w14:paraId="29C8BCE4" w14:textId="77777777" w:rsidR="00D1587D" w:rsidRDefault="00410D07">
      <w:pPr>
        <w:numPr>
          <w:ilvl w:val="0"/>
          <w:numId w:val="141"/>
        </w:numPr>
        <w:tabs>
          <w:tab w:val="left" w:pos="960"/>
        </w:tabs>
        <w:ind w:left="960" w:hanging="770"/>
        <w:rPr>
          <w:rFonts w:ascii="Arial" w:eastAsia="Arial" w:hAnsi="Arial" w:cs="Arial"/>
        </w:rPr>
      </w:pPr>
      <w:r>
        <w:rPr>
          <w:rFonts w:ascii="Arial" w:eastAsia="Arial" w:hAnsi="Arial" w:cs="Arial"/>
          <w:i/>
          <w:iCs/>
        </w:rPr>
        <w:t>Entire Agreement</w:t>
      </w:r>
      <w:r>
        <w:rPr>
          <w:rFonts w:ascii="Arial" w:eastAsia="Arial" w:hAnsi="Arial" w:cs="Arial"/>
        </w:rPr>
        <w:t>.</w:t>
      </w:r>
    </w:p>
    <w:p w14:paraId="15033180" w14:textId="77777777" w:rsidR="00D1587D" w:rsidRDefault="00D1587D">
      <w:pPr>
        <w:spacing w:line="233" w:lineRule="exact"/>
        <w:rPr>
          <w:rFonts w:ascii="Arial" w:eastAsia="Arial" w:hAnsi="Arial" w:cs="Arial"/>
        </w:rPr>
      </w:pPr>
    </w:p>
    <w:p w14:paraId="368EB798" w14:textId="77777777" w:rsidR="00D1587D" w:rsidRDefault="00410D07">
      <w:pPr>
        <w:numPr>
          <w:ilvl w:val="1"/>
          <w:numId w:val="141"/>
        </w:numPr>
        <w:tabs>
          <w:tab w:val="left" w:pos="1872"/>
        </w:tabs>
        <w:spacing w:line="274" w:lineRule="auto"/>
        <w:ind w:left="160" w:right="20" w:firstLine="970"/>
        <w:rPr>
          <w:rFonts w:ascii="Arial" w:eastAsia="Arial" w:hAnsi="Arial" w:cs="Arial"/>
          <w:sz w:val="19"/>
          <w:szCs w:val="19"/>
        </w:rPr>
      </w:pPr>
      <w:r>
        <w:rPr>
          <w:rFonts w:ascii="Arial" w:eastAsia="Arial" w:hAnsi="Arial" w:cs="Arial"/>
          <w:sz w:val="19"/>
          <w:szCs w:val="19"/>
        </w:rPr>
        <w:t xml:space="preserve">This Agreement and the other Distribution Documents constitute the entire understanding of the parties with respect to the subject matter hereof and thereof and supersede all prior agreements, understandings and </w:t>
      </w:r>
      <w:r>
        <w:rPr>
          <w:rFonts w:ascii="Arial" w:eastAsia="Arial" w:hAnsi="Arial" w:cs="Arial"/>
          <w:sz w:val="19"/>
          <w:szCs w:val="19"/>
        </w:rPr>
        <w:t>negotiations, both written and oral, between the parties with respect to the subject matter hereof and thereof. No representation, inducement, promise, understanding, condition or warranty not set forth herein or in the other Distribution Documents has bee</w:t>
      </w:r>
      <w:r>
        <w:rPr>
          <w:rFonts w:ascii="Arial" w:eastAsia="Arial" w:hAnsi="Arial" w:cs="Arial"/>
          <w:sz w:val="19"/>
          <w:szCs w:val="19"/>
        </w:rPr>
        <w:t>n made or relied upon by any party hereto or any member of their Group with respect to the transactions contemplated by the Distribution Documents. This Agreement is an “</w:t>
      </w:r>
      <w:r>
        <w:rPr>
          <w:rFonts w:ascii="Arial" w:eastAsia="Arial" w:hAnsi="Arial" w:cs="Arial"/>
          <w:b/>
          <w:bCs/>
          <w:sz w:val="19"/>
          <w:szCs w:val="19"/>
        </w:rPr>
        <w:t>Ancillary Agreement</w:t>
      </w:r>
      <w:r>
        <w:rPr>
          <w:rFonts w:ascii="Arial" w:eastAsia="Arial" w:hAnsi="Arial" w:cs="Arial"/>
          <w:sz w:val="19"/>
          <w:szCs w:val="19"/>
        </w:rPr>
        <w:t xml:space="preserve">” as such term is defined in the Separation Agreement and shall be </w:t>
      </w:r>
      <w:r>
        <w:rPr>
          <w:rFonts w:ascii="Arial" w:eastAsia="Arial" w:hAnsi="Arial" w:cs="Arial"/>
          <w:sz w:val="19"/>
          <w:szCs w:val="19"/>
        </w:rPr>
        <w:t xml:space="preserve">interpreted in accordance with the terms of the Separation Agreement in all respects, </w:t>
      </w:r>
      <w:r>
        <w:rPr>
          <w:rFonts w:ascii="Arial" w:eastAsia="Arial" w:hAnsi="Arial" w:cs="Arial"/>
          <w:i/>
          <w:iCs/>
          <w:sz w:val="19"/>
          <w:szCs w:val="19"/>
        </w:rPr>
        <w:t>provided</w:t>
      </w:r>
      <w:r>
        <w:rPr>
          <w:rFonts w:ascii="Arial" w:eastAsia="Arial" w:hAnsi="Arial" w:cs="Arial"/>
          <w:sz w:val="19"/>
          <w:szCs w:val="19"/>
        </w:rPr>
        <w:t xml:space="preserve"> that in the event of any conflict or inconsistency between the terms of this Agreement and the terms of the Separation Agreement, the terms of this Agreement sha</w:t>
      </w:r>
      <w:r>
        <w:rPr>
          <w:rFonts w:ascii="Arial" w:eastAsia="Arial" w:hAnsi="Arial" w:cs="Arial"/>
          <w:sz w:val="19"/>
          <w:szCs w:val="19"/>
        </w:rPr>
        <w:t>ll control in all respects.</w:t>
      </w:r>
    </w:p>
    <w:p w14:paraId="1C260F9F" w14:textId="77777777" w:rsidR="00D1587D" w:rsidRDefault="00D1587D">
      <w:pPr>
        <w:spacing w:line="185" w:lineRule="exact"/>
        <w:rPr>
          <w:rFonts w:ascii="Arial" w:eastAsia="Arial" w:hAnsi="Arial" w:cs="Arial"/>
          <w:sz w:val="19"/>
          <w:szCs w:val="19"/>
        </w:rPr>
      </w:pPr>
    </w:p>
    <w:p w14:paraId="7B321296" w14:textId="77777777" w:rsidR="00D1587D" w:rsidRDefault="00410D07">
      <w:pPr>
        <w:numPr>
          <w:ilvl w:val="1"/>
          <w:numId w:val="141"/>
        </w:numPr>
        <w:tabs>
          <w:tab w:val="left" w:pos="1932"/>
        </w:tabs>
        <w:spacing w:line="243" w:lineRule="auto"/>
        <w:ind w:left="160" w:firstLine="970"/>
        <w:rPr>
          <w:rFonts w:ascii="Arial" w:eastAsia="Arial" w:hAnsi="Arial" w:cs="Arial"/>
          <w:sz w:val="21"/>
          <w:szCs w:val="21"/>
        </w:rPr>
      </w:pPr>
      <w:r>
        <w:rPr>
          <w:rFonts w:ascii="Arial" w:eastAsia="Arial" w:hAnsi="Arial" w:cs="Arial"/>
          <w:sz w:val="21"/>
          <w:szCs w:val="21"/>
        </w:rPr>
        <w:t xml:space="preserve">THE PARTIES ACKNOWLEDGE AND AGREE THAT NO REPRESENTATION, WARRANTY, PROMISE, INDUCEMENT, UNDERSTANDING, COVENANT OR AGREEMENT HAS BEEN MADE OR RELIED UPON BY ANY PARTY OTHER THAN THOSE EXPRESSLY SET FORTH IN THIS AGREEMENT AND </w:t>
      </w:r>
      <w:r>
        <w:rPr>
          <w:rFonts w:ascii="Arial" w:eastAsia="Arial" w:hAnsi="Arial" w:cs="Arial"/>
          <w:sz w:val="21"/>
          <w:szCs w:val="21"/>
        </w:rPr>
        <w:t>IN THE OTHER DISTRIBUTION DOCUMENTS. WITHOUT LIMITING THE GENERALITY OF THE DISCLAIMER SET FORTH IN THE PRECEDING SENTENCE, NEITHER L BRANDS NOR ANY OF ITS AFFILIATES HAS MADE OR SHALL BE DEEMED TO HAVE MADE ANY REPRESENTATIONS OR WARRANTIES IN ANY PRESENT</w:t>
      </w:r>
      <w:r>
        <w:rPr>
          <w:rFonts w:ascii="Arial" w:eastAsia="Arial" w:hAnsi="Arial" w:cs="Arial"/>
          <w:sz w:val="21"/>
          <w:szCs w:val="21"/>
        </w:rPr>
        <w:t xml:space="preserve">ATION OR WRITTEN INFORMATION RELATING TO THE VS BUSINESS GIVEN OR TO BE GIVEN IN CONNECTION WITH THE CONTEMPLATED TRANSACTIONS OR IN ANY FILING MADE OR TO BE MADE BY OR ON BEHALF OF L BRANDS OR ANY OF ITS AFFILIATES WITH ANY GOVERNMENTAL AUTHORITY, AND NO </w:t>
      </w:r>
      <w:r>
        <w:rPr>
          <w:rFonts w:ascii="Arial" w:eastAsia="Arial" w:hAnsi="Arial" w:cs="Arial"/>
          <w:sz w:val="21"/>
          <w:szCs w:val="21"/>
        </w:rPr>
        <w:t>STATEMENT MADE IN ANY SUCH PRESENTATION OR WRITTEN MATERIALS, MADE IN ANY SUCH FILING OR CONTAINED IN ANY SUCH OTHER INFORMATION SHALL BE DEEMED A REPRESENTATION OR WARRANTY HEREUNDER OR OTHERWISE. VS ACKNOWLEDGES THAT L BRANDS HAS INFORMED IT THAT NO PERS</w:t>
      </w:r>
      <w:r>
        <w:rPr>
          <w:rFonts w:ascii="Arial" w:eastAsia="Arial" w:hAnsi="Arial" w:cs="Arial"/>
          <w:sz w:val="21"/>
          <w:szCs w:val="21"/>
        </w:rPr>
        <w:t>ON HAS BEEN AUTHORIZED BY L BRANDS OR ANY OF ITS AFFILIATES TO MAKE ANY REPRESENTATION OR WARRANTY IN RESPECT OF THE VS BUSINESS OR IN CONNECTION WITH THE CONTEMPLATED TRANSACTIONS, UNLESS IN WRITING AND CONTAINED IN THIS AGREEMENT OR IN ANY OF THE OTHER D</w:t>
      </w:r>
      <w:r>
        <w:rPr>
          <w:rFonts w:ascii="Arial" w:eastAsia="Arial" w:hAnsi="Arial" w:cs="Arial"/>
          <w:sz w:val="21"/>
          <w:szCs w:val="21"/>
        </w:rPr>
        <w:t>ISTRIBUTION DOCUMENTS TO WHICH THEY ARE A PARTY.</w:t>
      </w:r>
    </w:p>
    <w:p w14:paraId="4AFFFDCD" w14:textId="77777777" w:rsidR="00D1587D" w:rsidRDefault="00D1587D">
      <w:pPr>
        <w:spacing w:line="217" w:lineRule="exact"/>
        <w:rPr>
          <w:rFonts w:ascii="Arial" w:eastAsia="Arial" w:hAnsi="Arial" w:cs="Arial"/>
          <w:sz w:val="21"/>
          <w:szCs w:val="21"/>
        </w:rPr>
      </w:pPr>
    </w:p>
    <w:p w14:paraId="59B87E4F" w14:textId="77777777" w:rsidR="00D1587D" w:rsidRDefault="00410D07">
      <w:pPr>
        <w:numPr>
          <w:ilvl w:val="0"/>
          <w:numId w:val="141"/>
        </w:numPr>
        <w:tabs>
          <w:tab w:val="left" w:pos="980"/>
        </w:tabs>
        <w:ind w:left="980" w:hanging="790"/>
        <w:rPr>
          <w:rFonts w:ascii="Arial" w:eastAsia="Arial" w:hAnsi="Arial" w:cs="Arial"/>
        </w:rPr>
      </w:pPr>
      <w:r>
        <w:rPr>
          <w:rFonts w:ascii="Arial" w:eastAsia="Arial" w:hAnsi="Arial" w:cs="Arial"/>
          <w:i/>
          <w:iCs/>
        </w:rPr>
        <w:t>Amendments and Waivers</w:t>
      </w:r>
      <w:r>
        <w:rPr>
          <w:rFonts w:ascii="Arial" w:eastAsia="Arial" w:hAnsi="Arial" w:cs="Arial"/>
        </w:rPr>
        <w:t>.</w:t>
      </w:r>
    </w:p>
    <w:p w14:paraId="15D27890" w14:textId="77777777" w:rsidR="00D1587D" w:rsidRDefault="00D1587D">
      <w:pPr>
        <w:spacing w:line="233" w:lineRule="exact"/>
        <w:rPr>
          <w:rFonts w:ascii="Arial" w:eastAsia="Arial" w:hAnsi="Arial" w:cs="Arial"/>
        </w:rPr>
      </w:pPr>
    </w:p>
    <w:p w14:paraId="4667FA50" w14:textId="77777777" w:rsidR="00D1587D" w:rsidRDefault="00410D07">
      <w:pPr>
        <w:numPr>
          <w:ilvl w:val="1"/>
          <w:numId w:val="141"/>
        </w:numPr>
        <w:tabs>
          <w:tab w:val="left" w:pos="1864"/>
        </w:tabs>
        <w:ind w:left="160" w:right="80" w:firstLine="970"/>
        <w:rPr>
          <w:rFonts w:ascii="Arial" w:eastAsia="Arial" w:hAnsi="Arial" w:cs="Arial"/>
        </w:rPr>
      </w:pPr>
      <w:r>
        <w:rPr>
          <w:rFonts w:ascii="Arial" w:eastAsia="Arial" w:hAnsi="Arial" w:cs="Arial"/>
        </w:rPr>
        <w:t xml:space="preserve">Any provision of this Agreement may be amended or waived if, and only if, such amendment or waiver is in writing and is signed, in the case of an amendment, by each of L Brands and </w:t>
      </w:r>
      <w:r>
        <w:rPr>
          <w:rFonts w:ascii="Arial" w:eastAsia="Arial" w:hAnsi="Arial" w:cs="Arial"/>
        </w:rPr>
        <w:t>VS, or in the case of a waiver, by the Party against whom the waiver is to be effective.</w:t>
      </w:r>
    </w:p>
    <w:p w14:paraId="1DFAAC47" w14:textId="77777777" w:rsidR="00D1587D" w:rsidRDefault="00D1587D">
      <w:pPr>
        <w:spacing w:line="213" w:lineRule="exact"/>
        <w:rPr>
          <w:rFonts w:ascii="Arial" w:eastAsia="Arial" w:hAnsi="Arial" w:cs="Arial"/>
        </w:rPr>
      </w:pPr>
    </w:p>
    <w:p w14:paraId="34AFD1C5" w14:textId="77777777" w:rsidR="00D1587D" w:rsidRDefault="00410D07">
      <w:pPr>
        <w:numPr>
          <w:ilvl w:val="1"/>
          <w:numId w:val="141"/>
        </w:numPr>
        <w:tabs>
          <w:tab w:val="left" w:pos="1936"/>
        </w:tabs>
        <w:spacing w:line="287" w:lineRule="auto"/>
        <w:ind w:left="160" w:right="120" w:firstLine="970"/>
        <w:rPr>
          <w:rFonts w:ascii="Arial" w:eastAsia="Arial" w:hAnsi="Arial" w:cs="Arial"/>
          <w:sz w:val="19"/>
          <w:szCs w:val="19"/>
        </w:rPr>
      </w:pPr>
      <w:r>
        <w:rPr>
          <w:rFonts w:ascii="Arial" w:eastAsia="Arial" w:hAnsi="Arial" w:cs="Arial"/>
          <w:sz w:val="19"/>
          <w:szCs w:val="19"/>
        </w:rPr>
        <w:t>No failure or delay by any Party (or the applicable member of such Party’s Group) in exercising any right, power or privilege hereunder shall operate as a waiver ther</w:t>
      </w:r>
      <w:r>
        <w:rPr>
          <w:rFonts w:ascii="Arial" w:eastAsia="Arial" w:hAnsi="Arial" w:cs="Arial"/>
          <w:sz w:val="19"/>
          <w:szCs w:val="19"/>
        </w:rPr>
        <w:t>eof nor shall any single or partial exercise thereof preclude any other or further exercise thereof or the exercise of any other right, power or privilege. The rights and remedies herein provided shall be cumulative and not exclusive of any rights or remed</w:t>
      </w:r>
      <w:r>
        <w:rPr>
          <w:rFonts w:ascii="Arial" w:eastAsia="Arial" w:hAnsi="Arial" w:cs="Arial"/>
          <w:sz w:val="19"/>
          <w:szCs w:val="19"/>
        </w:rPr>
        <w:t>ies provided by Applicable Law.</w:t>
      </w:r>
    </w:p>
    <w:p w14:paraId="580F5253" w14:textId="77777777" w:rsidR="00D1587D" w:rsidRDefault="00D1587D">
      <w:pPr>
        <w:spacing w:line="102" w:lineRule="exact"/>
        <w:rPr>
          <w:sz w:val="20"/>
          <w:szCs w:val="20"/>
        </w:rPr>
      </w:pPr>
    </w:p>
    <w:p w14:paraId="5ED6193C" w14:textId="77777777" w:rsidR="00D1587D" w:rsidRDefault="00410D07">
      <w:pPr>
        <w:ind w:left="4860"/>
        <w:rPr>
          <w:sz w:val="20"/>
          <w:szCs w:val="20"/>
        </w:rPr>
      </w:pPr>
      <w:r>
        <w:rPr>
          <w:rFonts w:ascii="Arial" w:eastAsia="Arial" w:hAnsi="Arial" w:cs="Arial"/>
        </w:rPr>
        <w:t>26</w:t>
      </w:r>
    </w:p>
    <w:p w14:paraId="5692FFE4" w14:textId="77777777" w:rsidR="00D1587D" w:rsidRDefault="00410D07">
      <w:pPr>
        <w:spacing w:line="20" w:lineRule="exact"/>
        <w:rPr>
          <w:sz w:val="20"/>
          <w:szCs w:val="20"/>
        </w:rPr>
      </w:pPr>
      <w:r>
        <w:rPr>
          <w:noProof/>
          <w:sz w:val="20"/>
          <w:szCs w:val="20"/>
        </w:rPr>
        <w:drawing>
          <wp:anchor distT="0" distB="0" distL="114300" distR="114300" simplePos="0" relativeHeight="251320320" behindDoc="1" locked="0" layoutInCell="0" allowOverlap="1" wp14:anchorId="1B94162C" wp14:editId="1B234E55">
            <wp:simplePos x="0" y="0"/>
            <wp:positionH relativeFrom="column">
              <wp:posOffset>-413385</wp:posOffset>
            </wp:positionH>
            <wp:positionV relativeFrom="paragraph">
              <wp:posOffset>41275</wp:posOffset>
            </wp:positionV>
            <wp:extent cx="7132320" cy="1714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06FB9A6" w14:textId="77777777" w:rsidR="00D1587D" w:rsidRDefault="00D1587D">
      <w:pPr>
        <w:sectPr w:rsidR="00D1587D">
          <w:pgSz w:w="11900" w:h="16838"/>
          <w:pgMar w:top="361" w:right="359" w:bottom="1440" w:left="980" w:header="0" w:footer="0" w:gutter="0"/>
          <w:cols w:space="720" w:equalWidth="0">
            <w:col w:w="10560"/>
          </w:cols>
        </w:sectPr>
      </w:pPr>
    </w:p>
    <w:p w14:paraId="3931FDC1" w14:textId="77777777" w:rsidR="00D1587D" w:rsidRDefault="00410D07">
      <w:pPr>
        <w:spacing w:line="250" w:lineRule="auto"/>
        <w:ind w:right="60" w:firstLine="648"/>
        <w:rPr>
          <w:sz w:val="20"/>
          <w:szCs w:val="20"/>
        </w:rPr>
      </w:pPr>
      <w:bookmarkStart w:id="165" w:name="page166"/>
      <w:bookmarkEnd w:id="165"/>
      <w:r>
        <w:rPr>
          <w:rFonts w:ascii="Arial" w:eastAsia="Arial" w:hAnsi="Arial" w:cs="Arial"/>
        </w:rPr>
        <w:t xml:space="preserve">Section 22. </w:t>
      </w:r>
      <w:r>
        <w:rPr>
          <w:rFonts w:ascii="Arial" w:eastAsia="Arial" w:hAnsi="Arial" w:cs="Arial"/>
          <w:i/>
          <w:iCs/>
        </w:rPr>
        <w:t>Governing Law.</w:t>
      </w:r>
      <w:r>
        <w:rPr>
          <w:rFonts w:ascii="Arial" w:eastAsia="Arial" w:hAnsi="Arial" w:cs="Arial"/>
        </w:rPr>
        <w:t xml:space="preserve"> This Agreement shall be governed by and construed in accordance with the laws of the State of Delaware, without regard to the conflicts of law rules of such state.</w:t>
      </w:r>
    </w:p>
    <w:p w14:paraId="4DE0B6E5" w14:textId="77777777" w:rsidR="00D1587D" w:rsidRDefault="00D1587D">
      <w:pPr>
        <w:spacing w:line="202" w:lineRule="exact"/>
        <w:rPr>
          <w:sz w:val="20"/>
          <w:szCs w:val="20"/>
        </w:rPr>
      </w:pPr>
    </w:p>
    <w:p w14:paraId="40D54A9B" w14:textId="77777777" w:rsidR="00D1587D" w:rsidRDefault="00410D07">
      <w:pPr>
        <w:spacing w:line="273" w:lineRule="auto"/>
        <w:ind w:firstLine="648"/>
        <w:rPr>
          <w:sz w:val="20"/>
          <w:szCs w:val="20"/>
        </w:rPr>
      </w:pPr>
      <w:r>
        <w:rPr>
          <w:rFonts w:ascii="Arial" w:eastAsia="Arial" w:hAnsi="Arial" w:cs="Arial"/>
          <w:sz w:val="19"/>
          <w:szCs w:val="19"/>
        </w:rPr>
        <w:t xml:space="preserve">Section 23. </w:t>
      </w:r>
      <w:r>
        <w:rPr>
          <w:rFonts w:ascii="Arial" w:eastAsia="Arial" w:hAnsi="Arial" w:cs="Arial"/>
          <w:i/>
          <w:iCs/>
          <w:sz w:val="19"/>
          <w:szCs w:val="19"/>
        </w:rPr>
        <w:t>Jurisdiction</w:t>
      </w:r>
      <w:r>
        <w:rPr>
          <w:rFonts w:ascii="Arial" w:eastAsia="Arial" w:hAnsi="Arial" w:cs="Arial"/>
          <w:sz w:val="19"/>
          <w:szCs w:val="19"/>
        </w:rPr>
        <w:t>. The Parties agree that any suit, action or proceeding seeking to</w:t>
      </w:r>
      <w:r>
        <w:rPr>
          <w:rFonts w:ascii="Arial" w:eastAsia="Arial" w:hAnsi="Arial" w:cs="Arial"/>
          <w:sz w:val="19"/>
          <w:szCs w:val="19"/>
        </w:rPr>
        <w:t xml:space="preserve"> enforce any provision of, or based on any matter arising out of or in connection with, this Agreement or the transactions contemplated hereby shall be brought in the Chancery Court of the State of Delaware and any state appellate court therefrom within th</w:t>
      </w:r>
      <w:r>
        <w:rPr>
          <w:rFonts w:ascii="Arial" w:eastAsia="Arial" w:hAnsi="Arial" w:cs="Arial"/>
          <w:sz w:val="19"/>
          <w:szCs w:val="19"/>
        </w:rPr>
        <w:t>e State of Delaware (or if the Chancery Court of the State of Delaware declines to accept jurisdiction over a particular matter, any federal or state court sitting in the State of Delaware and any federal or state appellate court therefrom), and each of th</w:t>
      </w:r>
      <w:r>
        <w:rPr>
          <w:rFonts w:ascii="Arial" w:eastAsia="Arial" w:hAnsi="Arial" w:cs="Arial"/>
          <w:sz w:val="19"/>
          <w:szCs w:val="19"/>
        </w:rPr>
        <w:t>e Parties hereto hereby irrevocably consents to the exclusive jurisdiction of such courts in any such suit, action or proceeding and irrevocably waives, to the fullest extent permitted by law, any objection that it may now or hereafter have to the laying o</w:t>
      </w:r>
      <w:r>
        <w:rPr>
          <w:rFonts w:ascii="Arial" w:eastAsia="Arial" w:hAnsi="Arial" w:cs="Arial"/>
          <w:sz w:val="19"/>
          <w:szCs w:val="19"/>
        </w:rPr>
        <w:t xml:space="preserve">f the venue of any such suit, action or proceeding in any such court or that any such suit, action or proceeding brought in any such court has been brought in an inconvenient forum. Process in any such suit, action or proceeding may be served on any Party </w:t>
      </w:r>
      <w:r>
        <w:rPr>
          <w:rFonts w:ascii="Arial" w:eastAsia="Arial" w:hAnsi="Arial" w:cs="Arial"/>
          <w:sz w:val="19"/>
          <w:szCs w:val="19"/>
        </w:rPr>
        <w:t>anywhere in the world, whether within or without the jurisdiction of any such court. Without limiting the foregoing, each Party agrees that service of process on such Party as provided in Section 16 shall be deemed effective service of process on such Part</w:t>
      </w:r>
      <w:r>
        <w:rPr>
          <w:rFonts w:ascii="Arial" w:eastAsia="Arial" w:hAnsi="Arial" w:cs="Arial"/>
          <w:sz w:val="19"/>
          <w:szCs w:val="19"/>
        </w:rPr>
        <w:t>y.</w:t>
      </w:r>
    </w:p>
    <w:p w14:paraId="519BE6DD" w14:textId="77777777" w:rsidR="00D1587D" w:rsidRDefault="00D1587D">
      <w:pPr>
        <w:spacing w:line="182" w:lineRule="exact"/>
        <w:rPr>
          <w:sz w:val="20"/>
          <w:szCs w:val="20"/>
        </w:rPr>
      </w:pPr>
    </w:p>
    <w:p w14:paraId="64F47BDB" w14:textId="77777777" w:rsidR="00D1587D" w:rsidRDefault="00410D07">
      <w:pPr>
        <w:ind w:right="80" w:firstLine="648"/>
        <w:jc w:val="both"/>
        <w:rPr>
          <w:sz w:val="20"/>
          <w:szCs w:val="20"/>
        </w:rPr>
      </w:pPr>
      <w:r>
        <w:rPr>
          <w:rFonts w:ascii="Arial" w:eastAsia="Arial" w:hAnsi="Arial" w:cs="Arial"/>
        </w:rPr>
        <w:t xml:space="preserve">Section 24. </w:t>
      </w:r>
      <w:r>
        <w:rPr>
          <w:rFonts w:ascii="Arial" w:eastAsia="Arial" w:hAnsi="Arial" w:cs="Arial"/>
          <w:i/>
          <w:iCs/>
        </w:rPr>
        <w:t>WAIVER OF JURY TRIAL</w:t>
      </w:r>
      <w:r>
        <w:rPr>
          <w:rFonts w:ascii="Arial" w:eastAsia="Arial" w:hAnsi="Arial" w:cs="Arial"/>
        </w:rPr>
        <w:t>. EACH OF THE PARTIES HERETO HEREBY IRREVOCABLY WAIVES ANY AND ALL RIGHT TO TRIAL BY JURY IN ANY LEGAL PROCEEDING ARISING OUT OF OR RELATED TO THIS AGREEMENT OR THE TRANSACTIONS CONTEMPLATED HEREBY.</w:t>
      </w:r>
    </w:p>
    <w:p w14:paraId="12407D05" w14:textId="77777777" w:rsidR="00D1587D" w:rsidRDefault="00D1587D">
      <w:pPr>
        <w:spacing w:line="213" w:lineRule="exact"/>
        <w:rPr>
          <w:sz w:val="20"/>
          <w:szCs w:val="20"/>
        </w:rPr>
      </w:pPr>
    </w:p>
    <w:p w14:paraId="4F08D0FA" w14:textId="77777777" w:rsidR="00D1587D" w:rsidRDefault="00410D07">
      <w:pPr>
        <w:spacing w:line="272" w:lineRule="auto"/>
        <w:ind w:right="60" w:firstLine="648"/>
        <w:rPr>
          <w:sz w:val="20"/>
          <w:szCs w:val="20"/>
        </w:rPr>
      </w:pPr>
      <w:r>
        <w:rPr>
          <w:rFonts w:ascii="Arial" w:eastAsia="Arial" w:hAnsi="Arial" w:cs="Arial"/>
          <w:sz w:val="19"/>
          <w:szCs w:val="19"/>
        </w:rPr>
        <w:t xml:space="preserve">Section 25. </w:t>
      </w:r>
      <w:r>
        <w:rPr>
          <w:rFonts w:ascii="Arial" w:eastAsia="Arial" w:hAnsi="Arial" w:cs="Arial"/>
          <w:i/>
          <w:iCs/>
          <w:sz w:val="19"/>
          <w:szCs w:val="19"/>
        </w:rPr>
        <w:t xml:space="preserve">Dispute </w:t>
      </w:r>
      <w:r>
        <w:rPr>
          <w:rFonts w:ascii="Arial" w:eastAsia="Arial" w:hAnsi="Arial" w:cs="Arial"/>
          <w:i/>
          <w:iCs/>
          <w:sz w:val="19"/>
          <w:szCs w:val="19"/>
        </w:rPr>
        <w:t>Resolution.</w:t>
      </w:r>
      <w:r>
        <w:rPr>
          <w:rFonts w:ascii="Arial" w:eastAsia="Arial" w:hAnsi="Arial" w:cs="Arial"/>
          <w:sz w:val="19"/>
          <w:szCs w:val="19"/>
        </w:rPr>
        <w:t xml:space="preserve"> In the event of any dispute relating to this Agreement, the Parties shall work together in good faith to resolve such dispute within thirty (30) days. In the event that such dispute is not resolved, upon written notice by a Party after such thi</w:t>
      </w:r>
      <w:r>
        <w:rPr>
          <w:rFonts w:ascii="Arial" w:eastAsia="Arial" w:hAnsi="Arial" w:cs="Arial"/>
          <w:sz w:val="19"/>
          <w:szCs w:val="19"/>
        </w:rPr>
        <w:t>rty (30)-day period, the matter shall be referred to a U.S. Tax counsel or other Tax advisor of recognized national standing (the “</w:t>
      </w:r>
      <w:r>
        <w:rPr>
          <w:rFonts w:ascii="Arial" w:eastAsia="Arial" w:hAnsi="Arial" w:cs="Arial"/>
          <w:b/>
          <w:bCs/>
          <w:sz w:val="19"/>
          <w:szCs w:val="19"/>
        </w:rPr>
        <w:t>Tax Arbiter</w:t>
      </w:r>
      <w:r>
        <w:rPr>
          <w:rFonts w:ascii="Arial" w:eastAsia="Arial" w:hAnsi="Arial" w:cs="Arial"/>
          <w:sz w:val="19"/>
          <w:szCs w:val="19"/>
        </w:rPr>
        <w:t xml:space="preserve">”) that will be jointly chosen by L Brands and VS; </w:t>
      </w:r>
      <w:r>
        <w:rPr>
          <w:rFonts w:ascii="Arial" w:eastAsia="Arial" w:hAnsi="Arial" w:cs="Arial"/>
          <w:i/>
          <w:iCs/>
          <w:sz w:val="19"/>
          <w:szCs w:val="19"/>
        </w:rPr>
        <w:t>provided, however</w:t>
      </w:r>
      <w:r>
        <w:rPr>
          <w:rFonts w:ascii="Arial" w:eastAsia="Arial" w:hAnsi="Arial" w:cs="Arial"/>
          <w:sz w:val="19"/>
          <w:szCs w:val="19"/>
        </w:rPr>
        <w:t>, that, if L Brands and VS do not agree on the</w:t>
      </w:r>
      <w:r>
        <w:rPr>
          <w:rFonts w:ascii="Arial" w:eastAsia="Arial" w:hAnsi="Arial" w:cs="Arial"/>
          <w:sz w:val="19"/>
          <w:szCs w:val="19"/>
        </w:rPr>
        <w:t xml:space="preserve"> selection of the Tax Arbiter after five (5) days of good faith negotiation, the Tax Arbiter shall consist of a panel of three U.S. Tax counsel or other Tax advisor of recognized national standing with one member chosen by L Brands, one member chosen by VS</w:t>
      </w:r>
      <w:r>
        <w:rPr>
          <w:rFonts w:ascii="Arial" w:eastAsia="Arial" w:hAnsi="Arial" w:cs="Arial"/>
          <w:sz w:val="19"/>
          <w:szCs w:val="19"/>
        </w:rPr>
        <w:t>, and a third member chosen by mutual agreement of the other members within the following ten (10)-day period. Each decision of a panel Tax Arbiter shall be made by majority vote of the members. The Tax Arbiter may, in its discretion, obtain the services o</w:t>
      </w:r>
      <w:r>
        <w:rPr>
          <w:rFonts w:ascii="Arial" w:eastAsia="Arial" w:hAnsi="Arial" w:cs="Arial"/>
          <w:sz w:val="19"/>
          <w:szCs w:val="19"/>
        </w:rPr>
        <w:t>f any third party necessary to assist it in resolving the dispute. The Tax Arbiter shall furnish written notice to the Parties to the dispute of its resolution of the dispute as soon as practicable, but in any event no later than ninety (90) days after acc</w:t>
      </w:r>
      <w:r>
        <w:rPr>
          <w:rFonts w:ascii="Arial" w:eastAsia="Arial" w:hAnsi="Arial" w:cs="Arial"/>
          <w:sz w:val="19"/>
          <w:szCs w:val="19"/>
        </w:rPr>
        <w:t>eptance of the matter for resolution. Any such resolution by the Tax Arbiter shall be binding on the Parties, and the Parties shall take, or cause to be taken, any action necessary to implement such resolution. All fees and expenses of the Tax Arbiter shal</w:t>
      </w:r>
      <w:r>
        <w:rPr>
          <w:rFonts w:ascii="Arial" w:eastAsia="Arial" w:hAnsi="Arial" w:cs="Arial"/>
          <w:sz w:val="19"/>
          <w:szCs w:val="19"/>
        </w:rPr>
        <w:t>l be shared equally by the Parties to the dispute.</w:t>
      </w:r>
    </w:p>
    <w:p w14:paraId="2045EE73" w14:textId="77777777" w:rsidR="00D1587D" w:rsidRDefault="00D1587D">
      <w:pPr>
        <w:spacing w:line="115" w:lineRule="exact"/>
        <w:rPr>
          <w:sz w:val="20"/>
          <w:szCs w:val="20"/>
        </w:rPr>
      </w:pPr>
    </w:p>
    <w:p w14:paraId="35D96D45" w14:textId="77777777" w:rsidR="00D1587D" w:rsidRDefault="00410D07">
      <w:pPr>
        <w:ind w:right="-19"/>
        <w:jc w:val="center"/>
        <w:rPr>
          <w:sz w:val="20"/>
          <w:szCs w:val="20"/>
        </w:rPr>
      </w:pPr>
      <w:r>
        <w:rPr>
          <w:rFonts w:ascii="Arial" w:eastAsia="Arial" w:hAnsi="Arial" w:cs="Arial"/>
        </w:rPr>
        <w:t>27</w:t>
      </w:r>
    </w:p>
    <w:p w14:paraId="7141D272" w14:textId="77777777" w:rsidR="00D1587D" w:rsidRDefault="00410D07">
      <w:pPr>
        <w:spacing w:line="20" w:lineRule="exact"/>
        <w:rPr>
          <w:sz w:val="20"/>
          <w:szCs w:val="20"/>
        </w:rPr>
      </w:pPr>
      <w:r>
        <w:rPr>
          <w:noProof/>
          <w:sz w:val="20"/>
          <w:szCs w:val="20"/>
        </w:rPr>
        <w:drawing>
          <wp:anchor distT="0" distB="0" distL="114300" distR="114300" simplePos="0" relativeHeight="251321344" behindDoc="1" locked="0" layoutInCell="0" allowOverlap="1" wp14:anchorId="3480DD22" wp14:editId="4EB03B6A">
            <wp:simplePos x="0" y="0"/>
            <wp:positionH relativeFrom="column">
              <wp:posOffset>5080</wp:posOffset>
            </wp:positionH>
            <wp:positionV relativeFrom="paragraph">
              <wp:posOffset>41275</wp:posOffset>
            </wp:positionV>
            <wp:extent cx="7132320" cy="1714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5334C37" w14:textId="77777777" w:rsidR="00D1587D" w:rsidRDefault="00D1587D">
      <w:pPr>
        <w:sectPr w:rsidR="00D1587D">
          <w:pgSz w:w="11900" w:h="16838"/>
          <w:pgMar w:top="361" w:right="339" w:bottom="1440" w:left="320" w:header="0" w:footer="0" w:gutter="0"/>
          <w:cols w:space="720" w:equalWidth="0">
            <w:col w:w="11240"/>
          </w:cols>
        </w:sectPr>
      </w:pPr>
    </w:p>
    <w:p w14:paraId="1BFF8391" w14:textId="77777777" w:rsidR="00D1587D" w:rsidRDefault="00410D07">
      <w:pPr>
        <w:spacing w:line="275" w:lineRule="auto"/>
        <w:ind w:firstLine="648"/>
        <w:rPr>
          <w:sz w:val="20"/>
          <w:szCs w:val="20"/>
        </w:rPr>
      </w:pPr>
      <w:bookmarkStart w:id="166" w:name="page167"/>
      <w:bookmarkEnd w:id="166"/>
      <w:r>
        <w:rPr>
          <w:rFonts w:ascii="Arial" w:eastAsia="Arial" w:hAnsi="Arial" w:cs="Arial"/>
          <w:sz w:val="19"/>
          <w:szCs w:val="19"/>
        </w:rPr>
        <w:t xml:space="preserve">Section 26. </w:t>
      </w:r>
      <w:r>
        <w:rPr>
          <w:rFonts w:ascii="Arial" w:eastAsia="Arial" w:hAnsi="Arial" w:cs="Arial"/>
          <w:i/>
          <w:iCs/>
          <w:sz w:val="19"/>
          <w:szCs w:val="19"/>
        </w:rPr>
        <w:t>Counterparts; Effectiveness; Third-Party Beneficiaries.</w:t>
      </w:r>
      <w:r>
        <w:rPr>
          <w:rFonts w:ascii="Arial" w:eastAsia="Arial" w:hAnsi="Arial" w:cs="Arial"/>
          <w:sz w:val="19"/>
          <w:szCs w:val="19"/>
        </w:rPr>
        <w:t xml:space="preserve"> This Agreement may be signed in any number of counterparts, each of which shall be an original, with the same e</w:t>
      </w:r>
      <w:r>
        <w:rPr>
          <w:rFonts w:ascii="Arial" w:eastAsia="Arial" w:hAnsi="Arial" w:cs="Arial"/>
          <w:sz w:val="19"/>
          <w:szCs w:val="19"/>
        </w:rPr>
        <w:t xml:space="preserve">ffect as if the signatures thereto and hereto were upon the same instrument. This Agreement shall become effective when each Party hereto shall have received a counterpart hereof signed by the other Party hereto. Until and unless each Party has received a </w:t>
      </w:r>
      <w:r>
        <w:rPr>
          <w:rFonts w:ascii="Arial" w:eastAsia="Arial" w:hAnsi="Arial" w:cs="Arial"/>
          <w:sz w:val="19"/>
          <w:szCs w:val="19"/>
        </w:rPr>
        <w:t xml:space="preserve">counterpart hereof signed by the other Party hereto, this Agreement shall have no effect and no Party shall have any right or obligation hereunder (whether by virtue of any other oral or written agreement or other communication). Except for </w:t>
      </w:r>
      <w:r>
        <w:rPr>
          <w:rFonts w:ascii="Arial" w:eastAsia="Arial" w:hAnsi="Arial" w:cs="Arial"/>
          <w:sz w:val="19"/>
          <w:szCs w:val="19"/>
          <w:u w:val="single"/>
        </w:rPr>
        <w:t>Section 14(d)</w:t>
      </w:r>
      <w:r>
        <w:rPr>
          <w:rFonts w:ascii="Arial" w:eastAsia="Arial" w:hAnsi="Arial" w:cs="Arial"/>
          <w:sz w:val="19"/>
          <w:szCs w:val="19"/>
        </w:rPr>
        <w:t xml:space="preserve"> a</w:t>
      </w:r>
      <w:r>
        <w:rPr>
          <w:rFonts w:ascii="Arial" w:eastAsia="Arial" w:hAnsi="Arial" w:cs="Arial"/>
          <w:sz w:val="19"/>
          <w:szCs w:val="19"/>
        </w:rPr>
        <w:t xml:space="preserve">nd the indemnification and release provisions of </w:t>
      </w:r>
      <w:r>
        <w:rPr>
          <w:rFonts w:ascii="Arial" w:eastAsia="Arial" w:hAnsi="Arial" w:cs="Arial"/>
          <w:sz w:val="19"/>
          <w:szCs w:val="19"/>
          <w:u w:val="single"/>
        </w:rPr>
        <w:t>Section</w:t>
      </w:r>
      <w:r>
        <w:rPr>
          <w:rFonts w:ascii="Arial" w:eastAsia="Arial" w:hAnsi="Arial" w:cs="Arial"/>
          <w:sz w:val="19"/>
          <w:szCs w:val="19"/>
        </w:rPr>
        <w:t xml:space="preserve"> </w:t>
      </w:r>
      <w:r>
        <w:rPr>
          <w:rFonts w:ascii="Arial" w:eastAsia="Arial" w:hAnsi="Arial" w:cs="Arial"/>
          <w:sz w:val="19"/>
          <w:szCs w:val="19"/>
          <w:u w:val="single"/>
        </w:rPr>
        <w:t>11</w:t>
      </w:r>
      <w:r>
        <w:rPr>
          <w:rFonts w:ascii="Arial" w:eastAsia="Arial" w:hAnsi="Arial" w:cs="Arial"/>
          <w:sz w:val="19"/>
          <w:szCs w:val="19"/>
        </w:rPr>
        <w:t>, neither this Agreement nor any provision hereof is intended to confer any rights, benefits, remedies, obligations, or liabilities hereunder upon any Person other than the Parties hereto and their</w:t>
      </w:r>
      <w:r>
        <w:rPr>
          <w:rFonts w:ascii="Arial" w:eastAsia="Arial" w:hAnsi="Arial" w:cs="Arial"/>
          <w:sz w:val="19"/>
          <w:szCs w:val="19"/>
        </w:rPr>
        <w:t xml:space="preserve"> respective successors and permitted assigns.</w:t>
      </w:r>
    </w:p>
    <w:p w14:paraId="3467243F" w14:textId="77777777" w:rsidR="00D1587D" w:rsidRDefault="00D1587D">
      <w:pPr>
        <w:spacing w:line="184" w:lineRule="exact"/>
        <w:rPr>
          <w:sz w:val="20"/>
          <w:szCs w:val="20"/>
        </w:rPr>
      </w:pPr>
    </w:p>
    <w:p w14:paraId="73E6652B" w14:textId="77777777" w:rsidR="00D1587D" w:rsidRDefault="00410D07">
      <w:pPr>
        <w:spacing w:line="277" w:lineRule="auto"/>
        <w:ind w:right="20" w:firstLine="648"/>
        <w:rPr>
          <w:sz w:val="20"/>
          <w:szCs w:val="20"/>
        </w:rPr>
      </w:pPr>
      <w:r>
        <w:rPr>
          <w:rFonts w:ascii="Arial" w:eastAsia="Arial" w:hAnsi="Arial" w:cs="Arial"/>
          <w:sz w:val="19"/>
          <w:szCs w:val="19"/>
        </w:rPr>
        <w:t xml:space="preserve">Section 27. </w:t>
      </w:r>
      <w:r>
        <w:rPr>
          <w:rFonts w:ascii="Arial" w:eastAsia="Arial" w:hAnsi="Arial" w:cs="Arial"/>
          <w:i/>
          <w:iCs/>
          <w:sz w:val="19"/>
          <w:szCs w:val="19"/>
        </w:rPr>
        <w:t>Successors and Assigns.</w:t>
      </w:r>
      <w:r>
        <w:rPr>
          <w:rFonts w:ascii="Arial" w:eastAsia="Arial" w:hAnsi="Arial" w:cs="Arial"/>
          <w:sz w:val="19"/>
          <w:szCs w:val="19"/>
        </w:rPr>
        <w:t xml:space="preserve"> The provisions of this Agreement shall be binding upon and inure to the benefit of the Parties hereto and their respective successors and permitted assigns; </w:t>
      </w:r>
      <w:r>
        <w:rPr>
          <w:rFonts w:ascii="Arial" w:eastAsia="Arial" w:hAnsi="Arial" w:cs="Arial"/>
          <w:i/>
          <w:iCs/>
          <w:sz w:val="19"/>
          <w:szCs w:val="19"/>
        </w:rPr>
        <w:t>provided</w:t>
      </w:r>
      <w:r>
        <w:rPr>
          <w:rFonts w:ascii="Arial" w:eastAsia="Arial" w:hAnsi="Arial" w:cs="Arial"/>
          <w:sz w:val="19"/>
          <w:szCs w:val="19"/>
        </w:rPr>
        <w:t xml:space="preserve"> that neither Party may assign, delegate or otherwise transfer any of its rights or obliga</w:t>
      </w:r>
      <w:r>
        <w:rPr>
          <w:rFonts w:ascii="Arial" w:eastAsia="Arial" w:hAnsi="Arial" w:cs="Arial"/>
          <w:sz w:val="19"/>
          <w:szCs w:val="19"/>
        </w:rPr>
        <w:t>tions under this Agreement without the consent of the other Party hereto. If any Party or any of its successors or permitted assigns (i) shall consolidate with or merge into any other Person and shall not be the continuing or surviving corporation or entit</w:t>
      </w:r>
      <w:r>
        <w:rPr>
          <w:rFonts w:ascii="Arial" w:eastAsia="Arial" w:hAnsi="Arial" w:cs="Arial"/>
          <w:sz w:val="19"/>
          <w:szCs w:val="19"/>
        </w:rPr>
        <w:t xml:space="preserve">y of such consolidation or merger or (ii) shall transfer all or substantially all of its properties and assets to any Person, then, and in each such case, proper provisions shall be made so that the successors and assigns of such Party shall assume all of </w:t>
      </w:r>
      <w:r>
        <w:rPr>
          <w:rFonts w:ascii="Arial" w:eastAsia="Arial" w:hAnsi="Arial" w:cs="Arial"/>
          <w:sz w:val="19"/>
          <w:szCs w:val="19"/>
        </w:rPr>
        <w:t>the obligations of such Party under the Distribution Documents.</w:t>
      </w:r>
    </w:p>
    <w:p w14:paraId="68C40C1E" w14:textId="77777777" w:rsidR="00D1587D" w:rsidRDefault="00D1587D">
      <w:pPr>
        <w:spacing w:line="179" w:lineRule="exact"/>
        <w:rPr>
          <w:sz w:val="20"/>
          <w:szCs w:val="20"/>
        </w:rPr>
      </w:pPr>
    </w:p>
    <w:p w14:paraId="4411D183" w14:textId="77777777" w:rsidR="00D1587D" w:rsidRDefault="00410D07">
      <w:pPr>
        <w:spacing w:line="234" w:lineRule="auto"/>
        <w:ind w:right="220" w:firstLine="648"/>
        <w:rPr>
          <w:sz w:val="20"/>
          <w:szCs w:val="20"/>
        </w:rPr>
      </w:pPr>
      <w:r>
        <w:rPr>
          <w:rFonts w:ascii="Arial" w:eastAsia="Arial" w:hAnsi="Arial" w:cs="Arial"/>
        </w:rPr>
        <w:t xml:space="preserve">Section 28. </w:t>
      </w:r>
      <w:r>
        <w:rPr>
          <w:rFonts w:ascii="Arial" w:eastAsia="Arial" w:hAnsi="Arial" w:cs="Arial"/>
          <w:i/>
          <w:iCs/>
        </w:rPr>
        <w:t>Authorization</w:t>
      </w:r>
      <w:r>
        <w:rPr>
          <w:rFonts w:ascii="Arial" w:eastAsia="Arial" w:hAnsi="Arial" w:cs="Arial"/>
        </w:rPr>
        <w:t>. Each of L Brands and VS hereby represents and warrants that it has the power and authority to execute, deliver and perform this Agreement, on its behalf and on beha</w:t>
      </w:r>
      <w:r>
        <w:rPr>
          <w:rFonts w:ascii="Arial" w:eastAsia="Arial" w:hAnsi="Arial" w:cs="Arial"/>
        </w:rPr>
        <w:t xml:space="preserve">lf of each member of its Group, that this Agreement has been duly authorized by all necessary corporate action on the part of such Party and each member of its Group, that this Agreement constitutes a legal, valid and binding obligation of each such Party </w:t>
      </w:r>
      <w:r>
        <w:rPr>
          <w:rFonts w:ascii="Arial" w:eastAsia="Arial" w:hAnsi="Arial" w:cs="Arial"/>
        </w:rPr>
        <w:t>and each member of its Group, and that the execution, delivery and performance of this Agreement by such Party and each member of its Group does not contravene or conflict with any provision or law or of its charter or bylaws or any agreement, instrument o</w:t>
      </w:r>
      <w:r>
        <w:rPr>
          <w:rFonts w:ascii="Arial" w:eastAsia="Arial" w:hAnsi="Arial" w:cs="Arial"/>
        </w:rPr>
        <w:t>r order binding on such Party or member of its Group.</w:t>
      </w:r>
    </w:p>
    <w:p w14:paraId="7A9F56AB" w14:textId="77777777" w:rsidR="00D1587D" w:rsidRDefault="00D1587D">
      <w:pPr>
        <w:spacing w:line="218" w:lineRule="exact"/>
        <w:rPr>
          <w:sz w:val="20"/>
          <w:szCs w:val="20"/>
        </w:rPr>
      </w:pPr>
    </w:p>
    <w:p w14:paraId="4DCCD448" w14:textId="77777777" w:rsidR="00D1587D" w:rsidRDefault="00410D07">
      <w:pPr>
        <w:ind w:right="280" w:firstLine="648"/>
        <w:rPr>
          <w:sz w:val="20"/>
          <w:szCs w:val="20"/>
        </w:rPr>
      </w:pPr>
      <w:r>
        <w:rPr>
          <w:rFonts w:ascii="Arial" w:eastAsia="Arial" w:hAnsi="Arial" w:cs="Arial"/>
        </w:rPr>
        <w:t xml:space="preserve">Section 29. </w:t>
      </w:r>
      <w:r>
        <w:rPr>
          <w:rFonts w:ascii="Arial" w:eastAsia="Arial" w:hAnsi="Arial" w:cs="Arial"/>
          <w:i/>
          <w:iCs/>
        </w:rPr>
        <w:t>Change in Tax Law.</w:t>
      </w:r>
      <w:r>
        <w:rPr>
          <w:rFonts w:ascii="Arial" w:eastAsia="Arial" w:hAnsi="Arial" w:cs="Arial"/>
        </w:rPr>
        <w:t xml:space="preserve"> Any reference to a provision of the Code, Treasury Regulations or any other Applicable Tax Law shall include a reference to any applicable successor provision of the Code, Treasury Regulations or other Applicable Tax Law.</w:t>
      </w:r>
    </w:p>
    <w:p w14:paraId="45F8B93B" w14:textId="77777777" w:rsidR="00D1587D" w:rsidRDefault="00D1587D">
      <w:pPr>
        <w:spacing w:line="213" w:lineRule="exact"/>
        <w:rPr>
          <w:sz w:val="20"/>
          <w:szCs w:val="20"/>
        </w:rPr>
      </w:pPr>
    </w:p>
    <w:p w14:paraId="71E6D590" w14:textId="77777777" w:rsidR="00D1587D" w:rsidRDefault="00410D07">
      <w:pPr>
        <w:spacing w:line="250" w:lineRule="auto"/>
        <w:ind w:right="240" w:firstLine="648"/>
        <w:rPr>
          <w:sz w:val="20"/>
          <w:szCs w:val="20"/>
        </w:rPr>
      </w:pPr>
      <w:r>
        <w:rPr>
          <w:rFonts w:ascii="Arial" w:eastAsia="Arial" w:hAnsi="Arial" w:cs="Arial"/>
        </w:rPr>
        <w:t xml:space="preserve">Section 30. </w:t>
      </w:r>
      <w:r>
        <w:rPr>
          <w:rFonts w:ascii="Arial" w:eastAsia="Arial" w:hAnsi="Arial" w:cs="Arial"/>
          <w:i/>
          <w:iCs/>
        </w:rPr>
        <w:t>Performance</w:t>
      </w:r>
      <w:r>
        <w:rPr>
          <w:rFonts w:ascii="Arial" w:eastAsia="Arial" w:hAnsi="Arial" w:cs="Arial"/>
        </w:rPr>
        <w:t>. Each pa</w:t>
      </w:r>
      <w:r>
        <w:rPr>
          <w:rFonts w:ascii="Arial" w:eastAsia="Arial" w:hAnsi="Arial" w:cs="Arial"/>
        </w:rPr>
        <w:t>rty shall cause to be performed all actions, agreements and obligations set forth herein to be performed by any member of such party’s Group.</w:t>
      </w:r>
    </w:p>
    <w:p w14:paraId="3F9BD9F1" w14:textId="77777777" w:rsidR="00D1587D" w:rsidRDefault="00D1587D">
      <w:pPr>
        <w:spacing w:line="202" w:lineRule="exact"/>
        <w:rPr>
          <w:sz w:val="20"/>
          <w:szCs w:val="20"/>
        </w:rPr>
      </w:pPr>
    </w:p>
    <w:p w14:paraId="5904CA4A" w14:textId="77777777" w:rsidR="00D1587D" w:rsidRDefault="00410D07">
      <w:pPr>
        <w:jc w:val="center"/>
        <w:rPr>
          <w:sz w:val="20"/>
          <w:szCs w:val="20"/>
        </w:rPr>
      </w:pPr>
      <w:r>
        <w:rPr>
          <w:rFonts w:ascii="Arial" w:eastAsia="Arial" w:hAnsi="Arial" w:cs="Arial"/>
        </w:rPr>
        <w:t>[SIGNATURE PAGE FOLLOWS]</w:t>
      </w:r>
    </w:p>
    <w:p w14:paraId="27D16D9F" w14:textId="77777777" w:rsidR="00D1587D" w:rsidRDefault="00D1587D">
      <w:pPr>
        <w:spacing w:line="166" w:lineRule="exact"/>
        <w:rPr>
          <w:sz w:val="20"/>
          <w:szCs w:val="20"/>
        </w:rPr>
      </w:pPr>
    </w:p>
    <w:p w14:paraId="28674674" w14:textId="77777777" w:rsidR="00D1587D" w:rsidRDefault="00410D07">
      <w:pPr>
        <w:jc w:val="center"/>
        <w:rPr>
          <w:sz w:val="20"/>
          <w:szCs w:val="20"/>
        </w:rPr>
      </w:pPr>
      <w:r>
        <w:rPr>
          <w:rFonts w:ascii="Arial" w:eastAsia="Arial" w:hAnsi="Arial" w:cs="Arial"/>
        </w:rPr>
        <w:t>28</w:t>
      </w:r>
    </w:p>
    <w:p w14:paraId="1D0693E1" w14:textId="77777777" w:rsidR="00D1587D" w:rsidRDefault="00410D07">
      <w:pPr>
        <w:spacing w:line="20" w:lineRule="exact"/>
        <w:rPr>
          <w:sz w:val="20"/>
          <w:szCs w:val="20"/>
        </w:rPr>
      </w:pPr>
      <w:r>
        <w:rPr>
          <w:noProof/>
          <w:sz w:val="20"/>
          <w:szCs w:val="20"/>
        </w:rPr>
        <w:drawing>
          <wp:anchor distT="0" distB="0" distL="114300" distR="114300" simplePos="0" relativeHeight="251322368" behindDoc="1" locked="0" layoutInCell="0" allowOverlap="1" wp14:anchorId="59E43815" wp14:editId="23487105">
            <wp:simplePos x="0" y="0"/>
            <wp:positionH relativeFrom="column">
              <wp:posOffset>5080</wp:posOffset>
            </wp:positionH>
            <wp:positionV relativeFrom="paragraph">
              <wp:posOffset>41275</wp:posOffset>
            </wp:positionV>
            <wp:extent cx="7132320" cy="1714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063DA02" w14:textId="77777777" w:rsidR="00D1587D" w:rsidRDefault="00D1587D">
      <w:pPr>
        <w:sectPr w:rsidR="00D1587D">
          <w:pgSz w:w="11900" w:h="16838"/>
          <w:pgMar w:top="361" w:right="339" w:bottom="1440" w:left="320" w:header="0" w:footer="0" w:gutter="0"/>
          <w:cols w:space="720" w:equalWidth="0">
            <w:col w:w="11240"/>
          </w:cols>
        </w:sectPr>
      </w:pPr>
    </w:p>
    <w:p w14:paraId="31AF4C34" w14:textId="77777777" w:rsidR="00D1587D" w:rsidRDefault="00410D07">
      <w:pPr>
        <w:ind w:left="660"/>
        <w:rPr>
          <w:sz w:val="20"/>
          <w:szCs w:val="20"/>
        </w:rPr>
      </w:pPr>
      <w:bookmarkStart w:id="167" w:name="page168"/>
      <w:bookmarkEnd w:id="167"/>
      <w:r>
        <w:rPr>
          <w:rFonts w:ascii="Arial" w:eastAsia="Arial" w:hAnsi="Arial" w:cs="Arial"/>
          <w:sz w:val="19"/>
          <w:szCs w:val="19"/>
        </w:rPr>
        <w:t>IN WITNESS WHEREOF, the Parties have executed and delivered th</w:t>
      </w:r>
      <w:r>
        <w:rPr>
          <w:rFonts w:ascii="Arial" w:eastAsia="Arial" w:hAnsi="Arial" w:cs="Arial"/>
          <w:sz w:val="19"/>
          <w:szCs w:val="19"/>
        </w:rPr>
        <w:t>is Agreement as of the day and year first written</w:t>
      </w:r>
    </w:p>
    <w:p w14:paraId="2D0B39B0" w14:textId="77777777" w:rsidR="00D1587D" w:rsidRDefault="00D1587D">
      <w:pPr>
        <w:spacing w:line="43" w:lineRule="exact"/>
        <w:rPr>
          <w:sz w:val="20"/>
          <w:szCs w:val="20"/>
        </w:rPr>
      </w:pPr>
    </w:p>
    <w:p w14:paraId="22B0E3C4" w14:textId="77777777" w:rsidR="00D1587D" w:rsidRDefault="00410D07">
      <w:pPr>
        <w:rPr>
          <w:sz w:val="20"/>
          <w:szCs w:val="20"/>
        </w:rPr>
      </w:pPr>
      <w:r>
        <w:rPr>
          <w:rFonts w:ascii="Arial" w:eastAsia="Arial" w:hAnsi="Arial" w:cs="Arial"/>
        </w:rPr>
        <w:t>above.</w:t>
      </w:r>
    </w:p>
    <w:p w14:paraId="771E8CF9" w14:textId="77777777" w:rsidR="00D1587D" w:rsidRDefault="00D1587D">
      <w:pPr>
        <w:spacing w:line="218" w:lineRule="exact"/>
        <w:rPr>
          <w:sz w:val="20"/>
          <w:szCs w:val="20"/>
        </w:rPr>
      </w:pPr>
    </w:p>
    <w:p w14:paraId="6A132431" w14:textId="77777777" w:rsidR="00D1587D" w:rsidRDefault="00410D07">
      <w:pPr>
        <w:ind w:left="5640"/>
        <w:rPr>
          <w:sz w:val="20"/>
          <w:szCs w:val="20"/>
        </w:rPr>
      </w:pPr>
      <w:r>
        <w:rPr>
          <w:rFonts w:ascii="Arial" w:eastAsia="Arial" w:hAnsi="Arial" w:cs="Arial"/>
          <w:b/>
          <w:bCs/>
          <w:sz w:val="16"/>
          <w:szCs w:val="16"/>
        </w:rPr>
        <w:t>L Brands on its own behalf and on behalf of the members of the L</w:t>
      </w:r>
    </w:p>
    <w:p w14:paraId="7B604FD4" w14:textId="77777777" w:rsidR="00D1587D" w:rsidRDefault="00D1587D">
      <w:pPr>
        <w:spacing w:line="50" w:lineRule="exact"/>
        <w:rPr>
          <w:sz w:val="20"/>
          <w:szCs w:val="20"/>
        </w:rPr>
      </w:pPr>
    </w:p>
    <w:p w14:paraId="38E364AA" w14:textId="77777777" w:rsidR="00D1587D" w:rsidRDefault="00410D07">
      <w:pPr>
        <w:ind w:left="5640"/>
        <w:rPr>
          <w:sz w:val="20"/>
          <w:szCs w:val="20"/>
        </w:rPr>
      </w:pPr>
      <w:r>
        <w:rPr>
          <w:rFonts w:ascii="Arial" w:eastAsia="Arial" w:hAnsi="Arial" w:cs="Arial"/>
          <w:b/>
          <w:bCs/>
          <w:sz w:val="18"/>
          <w:szCs w:val="18"/>
        </w:rPr>
        <w:t>Brands Group</w:t>
      </w:r>
    </w:p>
    <w:p w14:paraId="06998FEC" w14:textId="77777777" w:rsidR="00D1587D" w:rsidRDefault="00D1587D">
      <w:pPr>
        <w:spacing w:line="9" w:lineRule="exact"/>
        <w:rPr>
          <w:sz w:val="20"/>
          <w:szCs w:val="20"/>
        </w:rPr>
      </w:pPr>
    </w:p>
    <w:p w14:paraId="4C33131F" w14:textId="77777777" w:rsidR="00D1587D" w:rsidRDefault="00410D07">
      <w:pPr>
        <w:ind w:left="5640"/>
        <w:rPr>
          <w:sz w:val="20"/>
          <w:szCs w:val="20"/>
        </w:rPr>
      </w:pPr>
      <w:r>
        <w:rPr>
          <w:rFonts w:ascii="Arial" w:eastAsia="Arial" w:hAnsi="Arial" w:cs="Arial"/>
          <w:sz w:val="18"/>
          <w:szCs w:val="18"/>
        </w:rPr>
        <w:t>By:</w:t>
      </w:r>
    </w:p>
    <w:p w14:paraId="5E71638D" w14:textId="77777777" w:rsidR="00D1587D" w:rsidRDefault="00410D07">
      <w:pPr>
        <w:spacing w:line="20" w:lineRule="exact"/>
        <w:rPr>
          <w:sz w:val="20"/>
          <w:szCs w:val="20"/>
        </w:rPr>
      </w:pPr>
      <w:r>
        <w:rPr>
          <w:noProof/>
          <w:sz w:val="20"/>
          <w:szCs w:val="20"/>
        </w:rPr>
        <w:drawing>
          <wp:anchor distT="0" distB="0" distL="114300" distR="114300" simplePos="0" relativeHeight="251323392" behindDoc="1" locked="0" layoutInCell="0" allowOverlap="1" wp14:anchorId="2D249C2B" wp14:editId="7087DECE">
            <wp:simplePos x="0" y="0"/>
            <wp:positionH relativeFrom="column">
              <wp:posOffset>3785235</wp:posOffset>
            </wp:positionH>
            <wp:positionV relativeFrom="paragraph">
              <wp:posOffset>5715</wp:posOffset>
            </wp:positionV>
            <wp:extent cx="3351530" cy="1714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a:srcRect/>
                    <a:stretch>
                      <a:fillRect/>
                    </a:stretch>
                  </pic:blipFill>
                  <pic:spPr bwMode="auto">
                    <a:xfrm>
                      <a:off x="0" y="0"/>
                      <a:ext cx="3351530" cy="17145"/>
                    </a:xfrm>
                    <a:prstGeom prst="rect">
                      <a:avLst/>
                    </a:prstGeom>
                    <a:noFill/>
                  </pic:spPr>
                </pic:pic>
              </a:graphicData>
            </a:graphic>
          </wp:anchor>
        </w:drawing>
      </w:r>
    </w:p>
    <w:p w14:paraId="3F050984" w14:textId="77777777" w:rsidR="00D1587D" w:rsidRDefault="00D1587D">
      <w:pPr>
        <w:spacing w:line="2" w:lineRule="exact"/>
        <w:rPr>
          <w:sz w:val="20"/>
          <w:szCs w:val="20"/>
        </w:rPr>
      </w:pPr>
    </w:p>
    <w:p w14:paraId="3F4AD901" w14:textId="77777777" w:rsidR="00D1587D" w:rsidRDefault="00410D07">
      <w:pPr>
        <w:ind w:left="5960"/>
        <w:rPr>
          <w:sz w:val="20"/>
          <w:szCs w:val="20"/>
        </w:rPr>
      </w:pPr>
      <w:r>
        <w:rPr>
          <w:rFonts w:ascii="Arial" w:eastAsia="Arial" w:hAnsi="Arial" w:cs="Arial"/>
          <w:sz w:val="18"/>
          <w:szCs w:val="18"/>
        </w:rPr>
        <w:t>Name:</w:t>
      </w:r>
    </w:p>
    <w:p w14:paraId="3573E337" w14:textId="77777777" w:rsidR="00D1587D" w:rsidRDefault="00D1587D">
      <w:pPr>
        <w:spacing w:line="23" w:lineRule="exact"/>
        <w:rPr>
          <w:sz w:val="20"/>
          <w:szCs w:val="20"/>
        </w:rPr>
      </w:pPr>
    </w:p>
    <w:p w14:paraId="39E08561" w14:textId="77777777" w:rsidR="00D1587D" w:rsidRDefault="00410D07">
      <w:pPr>
        <w:ind w:left="5960"/>
        <w:rPr>
          <w:sz w:val="20"/>
          <w:szCs w:val="20"/>
        </w:rPr>
      </w:pPr>
      <w:r>
        <w:rPr>
          <w:rFonts w:ascii="Arial" w:eastAsia="Arial" w:hAnsi="Arial" w:cs="Arial"/>
          <w:sz w:val="18"/>
          <w:szCs w:val="18"/>
        </w:rPr>
        <w:t>Title:</w:t>
      </w:r>
    </w:p>
    <w:p w14:paraId="7569B041" w14:textId="77777777" w:rsidR="00D1587D" w:rsidRDefault="00D1587D">
      <w:pPr>
        <w:spacing w:line="234" w:lineRule="exact"/>
        <w:rPr>
          <w:sz w:val="20"/>
          <w:szCs w:val="20"/>
        </w:rPr>
      </w:pPr>
    </w:p>
    <w:p w14:paraId="729B9B88" w14:textId="77777777" w:rsidR="00D1587D" w:rsidRDefault="00410D07">
      <w:pPr>
        <w:ind w:left="5640"/>
        <w:rPr>
          <w:sz w:val="20"/>
          <w:szCs w:val="20"/>
        </w:rPr>
      </w:pPr>
      <w:r>
        <w:rPr>
          <w:rFonts w:ascii="Arial" w:eastAsia="Arial" w:hAnsi="Arial" w:cs="Arial"/>
          <w:b/>
          <w:bCs/>
          <w:sz w:val="16"/>
          <w:szCs w:val="16"/>
        </w:rPr>
        <w:t>VS on its own behalf and on behalf of the members of the VS Group</w:t>
      </w:r>
    </w:p>
    <w:p w14:paraId="56AA9C3A" w14:textId="77777777" w:rsidR="00D1587D" w:rsidRDefault="00D1587D">
      <w:pPr>
        <w:spacing w:line="50" w:lineRule="exact"/>
        <w:rPr>
          <w:sz w:val="20"/>
          <w:szCs w:val="20"/>
        </w:rPr>
      </w:pPr>
    </w:p>
    <w:p w14:paraId="6A384598" w14:textId="77777777" w:rsidR="00D1587D" w:rsidRDefault="00410D07">
      <w:pPr>
        <w:ind w:left="5640"/>
        <w:rPr>
          <w:sz w:val="20"/>
          <w:szCs w:val="20"/>
        </w:rPr>
      </w:pPr>
      <w:r>
        <w:rPr>
          <w:rFonts w:ascii="Arial" w:eastAsia="Arial" w:hAnsi="Arial" w:cs="Arial"/>
          <w:sz w:val="18"/>
          <w:szCs w:val="18"/>
        </w:rPr>
        <w:t>By:</w:t>
      </w:r>
    </w:p>
    <w:p w14:paraId="0BD2C0F9" w14:textId="77777777" w:rsidR="00D1587D" w:rsidRDefault="00410D07">
      <w:pPr>
        <w:spacing w:line="20" w:lineRule="exact"/>
        <w:rPr>
          <w:sz w:val="20"/>
          <w:szCs w:val="20"/>
        </w:rPr>
      </w:pPr>
      <w:r>
        <w:rPr>
          <w:noProof/>
          <w:sz w:val="20"/>
          <w:szCs w:val="20"/>
        </w:rPr>
        <w:drawing>
          <wp:anchor distT="0" distB="0" distL="114300" distR="114300" simplePos="0" relativeHeight="251324416" behindDoc="1" locked="0" layoutInCell="0" allowOverlap="1" wp14:anchorId="277B8617" wp14:editId="48D3E092">
            <wp:simplePos x="0" y="0"/>
            <wp:positionH relativeFrom="column">
              <wp:posOffset>3785235</wp:posOffset>
            </wp:positionH>
            <wp:positionV relativeFrom="paragraph">
              <wp:posOffset>5715</wp:posOffset>
            </wp:positionV>
            <wp:extent cx="3351530" cy="1714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
                    <a:srcRect/>
                    <a:stretch>
                      <a:fillRect/>
                    </a:stretch>
                  </pic:blipFill>
                  <pic:spPr bwMode="auto">
                    <a:xfrm>
                      <a:off x="0" y="0"/>
                      <a:ext cx="3351530" cy="17145"/>
                    </a:xfrm>
                    <a:prstGeom prst="rect">
                      <a:avLst/>
                    </a:prstGeom>
                    <a:noFill/>
                  </pic:spPr>
                </pic:pic>
              </a:graphicData>
            </a:graphic>
          </wp:anchor>
        </w:drawing>
      </w:r>
    </w:p>
    <w:p w14:paraId="2F41C163" w14:textId="77777777" w:rsidR="00D1587D" w:rsidRDefault="00D1587D">
      <w:pPr>
        <w:spacing w:line="2" w:lineRule="exact"/>
        <w:rPr>
          <w:sz w:val="20"/>
          <w:szCs w:val="20"/>
        </w:rPr>
      </w:pPr>
    </w:p>
    <w:p w14:paraId="08A4BDE6" w14:textId="77777777" w:rsidR="00D1587D" w:rsidRDefault="00410D07">
      <w:pPr>
        <w:ind w:left="5960"/>
        <w:rPr>
          <w:sz w:val="20"/>
          <w:szCs w:val="20"/>
        </w:rPr>
      </w:pPr>
      <w:r>
        <w:rPr>
          <w:rFonts w:ascii="Arial" w:eastAsia="Arial" w:hAnsi="Arial" w:cs="Arial"/>
          <w:sz w:val="18"/>
          <w:szCs w:val="18"/>
        </w:rPr>
        <w:t>Name:</w:t>
      </w:r>
    </w:p>
    <w:p w14:paraId="3315C63F" w14:textId="77777777" w:rsidR="00D1587D" w:rsidRDefault="00D1587D">
      <w:pPr>
        <w:spacing w:line="23" w:lineRule="exact"/>
        <w:rPr>
          <w:sz w:val="20"/>
          <w:szCs w:val="20"/>
        </w:rPr>
      </w:pPr>
    </w:p>
    <w:p w14:paraId="6563205F" w14:textId="77777777" w:rsidR="00D1587D" w:rsidRDefault="00410D07">
      <w:pPr>
        <w:ind w:left="5960"/>
        <w:rPr>
          <w:sz w:val="20"/>
          <w:szCs w:val="20"/>
        </w:rPr>
      </w:pPr>
      <w:r>
        <w:rPr>
          <w:rFonts w:ascii="Arial" w:eastAsia="Arial" w:hAnsi="Arial" w:cs="Arial"/>
          <w:sz w:val="18"/>
          <w:szCs w:val="18"/>
        </w:rPr>
        <w:t>Title:</w:t>
      </w:r>
    </w:p>
    <w:p w14:paraId="26DDD346" w14:textId="77777777" w:rsidR="00D1587D" w:rsidRDefault="00D1587D">
      <w:pPr>
        <w:spacing w:line="231" w:lineRule="exact"/>
        <w:rPr>
          <w:sz w:val="20"/>
          <w:szCs w:val="20"/>
        </w:rPr>
      </w:pPr>
    </w:p>
    <w:p w14:paraId="26FEFA73" w14:textId="77777777" w:rsidR="00D1587D" w:rsidRDefault="00410D07">
      <w:pPr>
        <w:ind w:right="-379"/>
        <w:jc w:val="center"/>
        <w:rPr>
          <w:sz w:val="20"/>
          <w:szCs w:val="20"/>
        </w:rPr>
      </w:pPr>
      <w:r>
        <w:rPr>
          <w:rFonts w:ascii="Arial" w:eastAsia="Arial" w:hAnsi="Arial" w:cs="Arial"/>
        </w:rPr>
        <w:t>[SIGNATURE PAGE]</w:t>
      </w:r>
    </w:p>
    <w:p w14:paraId="1EDAD556" w14:textId="77777777" w:rsidR="00D1587D" w:rsidRDefault="00410D07">
      <w:pPr>
        <w:spacing w:line="20" w:lineRule="exact"/>
        <w:rPr>
          <w:sz w:val="20"/>
          <w:szCs w:val="20"/>
        </w:rPr>
      </w:pPr>
      <w:r>
        <w:rPr>
          <w:noProof/>
          <w:sz w:val="20"/>
          <w:szCs w:val="20"/>
        </w:rPr>
        <w:drawing>
          <wp:anchor distT="0" distB="0" distL="114300" distR="114300" simplePos="0" relativeHeight="251325440" behindDoc="1" locked="0" layoutInCell="0" allowOverlap="1" wp14:anchorId="035B0E12" wp14:editId="57377186">
            <wp:simplePos x="0" y="0"/>
            <wp:positionH relativeFrom="column">
              <wp:posOffset>5080</wp:posOffset>
            </wp:positionH>
            <wp:positionV relativeFrom="paragraph">
              <wp:posOffset>75565</wp:posOffset>
            </wp:positionV>
            <wp:extent cx="7132320" cy="1714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C3709A0" w14:textId="77777777" w:rsidR="00D1587D" w:rsidRDefault="00D1587D">
      <w:pPr>
        <w:sectPr w:rsidR="00D1587D">
          <w:pgSz w:w="11900" w:h="16838"/>
          <w:pgMar w:top="361" w:right="719" w:bottom="1440" w:left="320" w:header="0" w:footer="0" w:gutter="0"/>
          <w:cols w:space="720" w:equalWidth="0">
            <w:col w:w="10860"/>
          </w:cols>
        </w:sectPr>
      </w:pPr>
    </w:p>
    <w:p w14:paraId="7679209B" w14:textId="77777777" w:rsidR="00D1587D" w:rsidRDefault="00410D07">
      <w:pPr>
        <w:jc w:val="right"/>
        <w:rPr>
          <w:sz w:val="20"/>
          <w:szCs w:val="20"/>
        </w:rPr>
      </w:pPr>
      <w:bookmarkStart w:id="168" w:name="page169"/>
      <w:bookmarkEnd w:id="168"/>
      <w:r>
        <w:rPr>
          <w:rFonts w:ascii="Arial" w:eastAsia="Arial" w:hAnsi="Arial" w:cs="Arial"/>
          <w:b/>
          <w:bCs/>
          <w:noProof/>
          <w:sz w:val="18"/>
          <w:szCs w:val="18"/>
        </w:rPr>
        <w:drawing>
          <wp:anchor distT="0" distB="0" distL="114300" distR="114300" simplePos="0" relativeHeight="251326464" behindDoc="1" locked="0" layoutInCell="0" allowOverlap="1" wp14:anchorId="050B093C" wp14:editId="136DF753">
            <wp:simplePos x="0" y="0"/>
            <wp:positionH relativeFrom="page">
              <wp:posOffset>208280</wp:posOffset>
            </wp:positionH>
            <wp:positionV relativeFrom="page">
              <wp:posOffset>88900</wp:posOffset>
            </wp:positionV>
            <wp:extent cx="7132320" cy="34290"/>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sz w:val="18"/>
          <w:szCs w:val="18"/>
        </w:rPr>
        <w:t>Exhibit 10.4</w:t>
      </w:r>
    </w:p>
    <w:p w14:paraId="1FE4C037" w14:textId="77777777" w:rsidR="00D1587D" w:rsidRDefault="00D1587D">
      <w:pPr>
        <w:spacing w:line="225" w:lineRule="exact"/>
        <w:rPr>
          <w:sz w:val="20"/>
          <w:szCs w:val="20"/>
        </w:rPr>
      </w:pPr>
    </w:p>
    <w:p w14:paraId="25AEB2A8" w14:textId="77777777" w:rsidR="00D1587D" w:rsidRDefault="00410D07">
      <w:pPr>
        <w:ind w:right="1100"/>
        <w:jc w:val="center"/>
        <w:rPr>
          <w:sz w:val="20"/>
          <w:szCs w:val="20"/>
        </w:rPr>
      </w:pPr>
      <w:r>
        <w:rPr>
          <w:rFonts w:ascii="Arial" w:eastAsia="Arial" w:hAnsi="Arial" w:cs="Arial"/>
          <w:b/>
          <w:bCs/>
          <w:sz w:val="18"/>
          <w:szCs w:val="18"/>
        </w:rPr>
        <w:t>FORM OF EMPLOYEE MATTERS AGREEMENT</w:t>
      </w:r>
    </w:p>
    <w:p w14:paraId="3A08A51B" w14:textId="77777777" w:rsidR="00D1587D" w:rsidRDefault="00D1587D">
      <w:pPr>
        <w:spacing w:line="229" w:lineRule="exact"/>
        <w:rPr>
          <w:sz w:val="20"/>
          <w:szCs w:val="20"/>
        </w:rPr>
      </w:pPr>
    </w:p>
    <w:p w14:paraId="78B2E0FC" w14:textId="77777777" w:rsidR="00D1587D" w:rsidRDefault="00410D07">
      <w:pPr>
        <w:ind w:right="1100"/>
        <w:jc w:val="center"/>
        <w:rPr>
          <w:sz w:val="20"/>
          <w:szCs w:val="20"/>
        </w:rPr>
      </w:pPr>
      <w:r>
        <w:rPr>
          <w:rFonts w:ascii="Arial" w:eastAsia="Arial" w:hAnsi="Arial" w:cs="Arial"/>
          <w:sz w:val="18"/>
          <w:szCs w:val="18"/>
        </w:rPr>
        <w:t>by and between</w:t>
      </w:r>
    </w:p>
    <w:p w14:paraId="016E1E22" w14:textId="77777777" w:rsidR="00D1587D" w:rsidRDefault="00D1587D">
      <w:pPr>
        <w:spacing w:line="225" w:lineRule="exact"/>
        <w:rPr>
          <w:sz w:val="20"/>
          <w:szCs w:val="20"/>
        </w:rPr>
      </w:pPr>
    </w:p>
    <w:p w14:paraId="7886B81E" w14:textId="77777777" w:rsidR="00D1587D" w:rsidRDefault="00410D07">
      <w:pPr>
        <w:ind w:right="1100"/>
        <w:jc w:val="center"/>
        <w:rPr>
          <w:sz w:val="20"/>
          <w:szCs w:val="20"/>
        </w:rPr>
      </w:pPr>
      <w:r>
        <w:rPr>
          <w:rFonts w:ascii="Arial" w:eastAsia="Arial" w:hAnsi="Arial" w:cs="Arial"/>
          <w:sz w:val="18"/>
          <w:szCs w:val="18"/>
        </w:rPr>
        <w:t>L BRANDS, INC.</w:t>
      </w:r>
    </w:p>
    <w:p w14:paraId="635258D3" w14:textId="77777777" w:rsidR="00D1587D" w:rsidRDefault="00D1587D">
      <w:pPr>
        <w:spacing w:line="225" w:lineRule="exact"/>
        <w:rPr>
          <w:sz w:val="20"/>
          <w:szCs w:val="20"/>
        </w:rPr>
      </w:pPr>
    </w:p>
    <w:p w14:paraId="69267AAE" w14:textId="77777777" w:rsidR="00D1587D" w:rsidRDefault="00410D07">
      <w:pPr>
        <w:ind w:right="1100"/>
        <w:jc w:val="center"/>
        <w:rPr>
          <w:sz w:val="20"/>
          <w:szCs w:val="20"/>
        </w:rPr>
      </w:pPr>
      <w:r>
        <w:rPr>
          <w:rFonts w:ascii="Arial" w:eastAsia="Arial" w:hAnsi="Arial" w:cs="Arial"/>
          <w:sz w:val="18"/>
          <w:szCs w:val="18"/>
        </w:rPr>
        <w:t>and</w:t>
      </w:r>
    </w:p>
    <w:p w14:paraId="043D51DC" w14:textId="77777777" w:rsidR="00D1587D" w:rsidRDefault="00D1587D">
      <w:pPr>
        <w:spacing w:line="225" w:lineRule="exact"/>
        <w:rPr>
          <w:sz w:val="20"/>
          <w:szCs w:val="20"/>
        </w:rPr>
      </w:pPr>
    </w:p>
    <w:p w14:paraId="3F7A26EF" w14:textId="77777777" w:rsidR="00D1587D" w:rsidRDefault="00410D07">
      <w:pPr>
        <w:ind w:right="1100"/>
        <w:jc w:val="center"/>
        <w:rPr>
          <w:sz w:val="20"/>
          <w:szCs w:val="20"/>
        </w:rPr>
      </w:pPr>
      <w:r>
        <w:rPr>
          <w:rFonts w:ascii="Arial" w:eastAsia="Arial" w:hAnsi="Arial" w:cs="Arial"/>
          <w:sz w:val="18"/>
          <w:szCs w:val="18"/>
        </w:rPr>
        <w:t>VICTORIA’S SECRET &amp; CO.</w:t>
      </w:r>
    </w:p>
    <w:p w14:paraId="4C3479A3" w14:textId="77777777" w:rsidR="00D1587D" w:rsidRDefault="00D1587D">
      <w:pPr>
        <w:spacing w:line="225" w:lineRule="exact"/>
        <w:rPr>
          <w:sz w:val="20"/>
          <w:szCs w:val="20"/>
        </w:rPr>
      </w:pPr>
    </w:p>
    <w:p w14:paraId="142B41C0" w14:textId="77777777" w:rsidR="00D1587D" w:rsidRDefault="00410D07">
      <w:pPr>
        <w:ind w:left="3920"/>
        <w:rPr>
          <w:sz w:val="20"/>
          <w:szCs w:val="20"/>
        </w:rPr>
      </w:pPr>
      <w:r>
        <w:rPr>
          <w:rFonts w:ascii="Arial" w:eastAsia="Arial" w:hAnsi="Arial" w:cs="Arial"/>
          <w:sz w:val="18"/>
          <w:szCs w:val="18"/>
        </w:rPr>
        <w:t>Dated as of [__]</w:t>
      </w:r>
    </w:p>
    <w:p w14:paraId="5A862CED" w14:textId="77777777" w:rsidR="00D1587D" w:rsidRDefault="00410D07">
      <w:pPr>
        <w:spacing w:line="20" w:lineRule="exact"/>
        <w:rPr>
          <w:sz w:val="20"/>
          <w:szCs w:val="20"/>
        </w:rPr>
      </w:pPr>
      <w:r>
        <w:rPr>
          <w:noProof/>
          <w:sz w:val="20"/>
          <w:szCs w:val="20"/>
        </w:rPr>
        <w:drawing>
          <wp:anchor distT="0" distB="0" distL="114300" distR="114300" simplePos="0" relativeHeight="251327488" behindDoc="1" locked="0" layoutInCell="0" allowOverlap="1" wp14:anchorId="7CB5EB4A" wp14:editId="6A10624D">
            <wp:simplePos x="0" y="0"/>
            <wp:positionH relativeFrom="column">
              <wp:posOffset>-705485</wp:posOffset>
            </wp:positionH>
            <wp:positionV relativeFrom="paragraph">
              <wp:posOffset>263525</wp:posOffset>
            </wp:positionV>
            <wp:extent cx="7132320" cy="1714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876798E" w14:textId="77777777" w:rsidR="00D1587D" w:rsidRDefault="00D1587D">
      <w:pPr>
        <w:sectPr w:rsidR="00D1587D">
          <w:pgSz w:w="11900" w:h="16838"/>
          <w:pgMar w:top="270" w:right="339" w:bottom="1440" w:left="1440" w:header="0" w:footer="0" w:gutter="0"/>
          <w:cols w:space="720" w:equalWidth="0">
            <w:col w:w="10120"/>
          </w:cols>
        </w:sectPr>
      </w:pPr>
    </w:p>
    <w:tbl>
      <w:tblPr>
        <w:tblW w:w="0" w:type="auto"/>
        <w:tblLayout w:type="fixed"/>
        <w:tblCellMar>
          <w:left w:w="0" w:type="dxa"/>
          <w:right w:w="0" w:type="dxa"/>
        </w:tblCellMar>
        <w:tblLook w:val="04A0" w:firstRow="1" w:lastRow="0" w:firstColumn="1" w:lastColumn="0" w:noHBand="0" w:noVBand="1"/>
      </w:tblPr>
      <w:tblGrid>
        <w:gridCol w:w="4780"/>
        <w:gridCol w:w="1680"/>
        <w:gridCol w:w="2720"/>
        <w:gridCol w:w="1720"/>
        <w:gridCol w:w="340"/>
        <w:gridCol w:w="20"/>
      </w:tblGrid>
      <w:tr w:rsidR="00D1587D" w14:paraId="66ABC2B5" w14:textId="77777777">
        <w:trPr>
          <w:trHeight w:val="234"/>
        </w:trPr>
        <w:tc>
          <w:tcPr>
            <w:tcW w:w="9180" w:type="dxa"/>
            <w:gridSpan w:val="3"/>
            <w:vAlign w:val="bottom"/>
          </w:tcPr>
          <w:p w14:paraId="24222749" w14:textId="77777777" w:rsidR="00D1587D" w:rsidRDefault="00410D07">
            <w:pPr>
              <w:ind w:left="1970"/>
              <w:jc w:val="center"/>
              <w:rPr>
                <w:sz w:val="20"/>
                <w:szCs w:val="20"/>
              </w:rPr>
            </w:pPr>
            <w:bookmarkStart w:id="169" w:name="page170"/>
            <w:bookmarkEnd w:id="169"/>
            <w:r>
              <w:rPr>
                <w:rFonts w:ascii="Arial" w:eastAsia="Arial" w:hAnsi="Arial" w:cs="Arial"/>
                <w:b/>
                <w:bCs/>
                <w:w w:val="98"/>
                <w:sz w:val="18"/>
                <w:szCs w:val="18"/>
              </w:rPr>
              <w:t>TABLE OF CONTENTS</w:t>
            </w:r>
          </w:p>
        </w:tc>
        <w:tc>
          <w:tcPr>
            <w:tcW w:w="1720" w:type="dxa"/>
            <w:vAlign w:val="bottom"/>
          </w:tcPr>
          <w:p w14:paraId="4D49E82C" w14:textId="77777777" w:rsidR="00D1587D" w:rsidRDefault="00D1587D">
            <w:pPr>
              <w:rPr>
                <w:sz w:val="20"/>
                <w:szCs w:val="20"/>
              </w:rPr>
            </w:pPr>
          </w:p>
        </w:tc>
        <w:tc>
          <w:tcPr>
            <w:tcW w:w="340" w:type="dxa"/>
            <w:vAlign w:val="bottom"/>
          </w:tcPr>
          <w:p w14:paraId="275CB2DB" w14:textId="77777777" w:rsidR="00D1587D" w:rsidRDefault="00D1587D">
            <w:pPr>
              <w:rPr>
                <w:sz w:val="20"/>
                <w:szCs w:val="20"/>
              </w:rPr>
            </w:pPr>
          </w:p>
        </w:tc>
        <w:tc>
          <w:tcPr>
            <w:tcW w:w="0" w:type="dxa"/>
            <w:vAlign w:val="bottom"/>
          </w:tcPr>
          <w:p w14:paraId="2A46515A" w14:textId="77777777" w:rsidR="00D1587D" w:rsidRDefault="00D1587D">
            <w:pPr>
              <w:rPr>
                <w:sz w:val="1"/>
                <w:szCs w:val="1"/>
              </w:rPr>
            </w:pPr>
          </w:p>
        </w:tc>
      </w:tr>
      <w:tr w:rsidR="00D1587D" w14:paraId="39C12EED" w14:textId="77777777">
        <w:trPr>
          <w:trHeight w:val="223"/>
        </w:trPr>
        <w:tc>
          <w:tcPr>
            <w:tcW w:w="4780" w:type="dxa"/>
            <w:vAlign w:val="bottom"/>
          </w:tcPr>
          <w:p w14:paraId="665991DD" w14:textId="77777777" w:rsidR="00D1587D" w:rsidRDefault="00D1587D">
            <w:pPr>
              <w:rPr>
                <w:sz w:val="19"/>
                <w:szCs w:val="19"/>
              </w:rPr>
            </w:pPr>
          </w:p>
        </w:tc>
        <w:tc>
          <w:tcPr>
            <w:tcW w:w="1680" w:type="dxa"/>
            <w:tcBorders>
              <w:bottom w:val="single" w:sz="8" w:space="0" w:color="auto"/>
            </w:tcBorders>
            <w:vAlign w:val="bottom"/>
          </w:tcPr>
          <w:p w14:paraId="153DABA5" w14:textId="77777777" w:rsidR="00D1587D" w:rsidRDefault="00D1587D">
            <w:pPr>
              <w:rPr>
                <w:sz w:val="19"/>
                <w:szCs w:val="19"/>
              </w:rPr>
            </w:pPr>
          </w:p>
        </w:tc>
        <w:tc>
          <w:tcPr>
            <w:tcW w:w="2720" w:type="dxa"/>
            <w:vAlign w:val="bottom"/>
          </w:tcPr>
          <w:p w14:paraId="79EEA30B" w14:textId="77777777" w:rsidR="00D1587D" w:rsidRDefault="00D1587D">
            <w:pPr>
              <w:rPr>
                <w:sz w:val="19"/>
                <w:szCs w:val="19"/>
              </w:rPr>
            </w:pPr>
          </w:p>
        </w:tc>
        <w:tc>
          <w:tcPr>
            <w:tcW w:w="2060" w:type="dxa"/>
            <w:gridSpan w:val="2"/>
            <w:vMerge w:val="restart"/>
            <w:vAlign w:val="bottom"/>
          </w:tcPr>
          <w:p w14:paraId="52F1CF7C" w14:textId="77777777" w:rsidR="00D1587D" w:rsidRDefault="00410D07">
            <w:pPr>
              <w:jc w:val="right"/>
              <w:rPr>
                <w:sz w:val="20"/>
                <w:szCs w:val="20"/>
              </w:rPr>
            </w:pPr>
            <w:r>
              <w:rPr>
                <w:rFonts w:ascii="Arial" w:eastAsia="Arial" w:hAnsi="Arial" w:cs="Arial"/>
                <w:sz w:val="18"/>
                <w:szCs w:val="18"/>
              </w:rPr>
              <w:t>P</w:t>
            </w:r>
            <w:r>
              <w:rPr>
                <w:rFonts w:ascii="Arial" w:eastAsia="Arial" w:hAnsi="Arial" w:cs="Arial"/>
                <w:sz w:val="12"/>
                <w:szCs w:val="12"/>
              </w:rPr>
              <w:t>AGE</w:t>
            </w:r>
          </w:p>
        </w:tc>
        <w:tc>
          <w:tcPr>
            <w:tcW w:w="0" w:type="dxa"/>
            <w:vAlign w:val="bottom"/>
          </w:tcPr>
          <w:p w14:paraId="21B1B6DE" w14:textId="77777777" w:rsidR="00D1587D" w:rsidRDefault="00D1587D">
            <w:pPr>
              <w:rPr>
                <w:sz w:val="1"/>
                <w:szCs w:val="1"/>
              </w:rPr>
            </w:pPr>
          </w:p>
        </w:tc>
      </w:tr>
      <w:tr w:rsidR="00D1587D" w14:paraId="67585288" w14:textId="77777777">
        <w:trPr>
          <w:trHeight w:val="392"/>
        </w:trPr>
        <w:tc>
          <w:tcPr>
            <w:tcW w:w="4780" w:type="dxa"/>
            <w:vAlign w:val="bottom"/>
          </w:tcPr>
          <w:p w14:paraId="4332107D" w14:textId="77777777" w:rsidR="00D1587D" w:rsidRDefault="00D1587D">
            <w:pPr>
              <w:rPr>
                <w:sz w:val="24"/>
                <w:szCs w:val="24"/>
              </w:rPr>
            </w:pPr>
          </w:p>
        </w:tc>
        <w:tc>
          <w:tcPr>
            <w:tcW w:w="4400" w:type="dxa"/>
            <w:gridSpan w:val="2"/>
            <w:vMerge w:val="restart"/>
            <w:vAlign w:val="bottom"/>
          </w:tcPr>
          <w:p w14:paraId="72AF75CE" w14:textId="77777777" w:rsidR="00D1587D" w:rsidRDefault="00410D07">
            <w:pPr>
              <w:ind w:right="2720"/>
              <w:jc w:val="center"/>
              <w:rPr>
                <w:sz w:val="20"/>
                <w:szCs w:val="20"/>
              </w:rPr>
            </w:pPr>
            <w:r>
              <w:rPr>
                <w:rFonts w:ascii="Arial" w:eastAsia="Arial" w:hAnsi="Arial" w:cs="Arial"/>
                <w:w w:val="96"/>
                <w:sz w:val="18"/>
                <w:szCs w:val="18"/>
              </w:rPr>
              <w:t>ARTICLE 1</w:t>
            </w:r>
          </w:p>
        </w:tc>
        <w:tc>
          <w:tcPr>
            <w:tcW w:w="2060" w:type="dxa"/>
            <w:gridSpan w:val="2"/>
            <w:vMerge/>
            <w:vAlign w:val="bottom"/>
          </w:tcPr>
          <w:p w14:paraId="50475D57" w14:textId="77777777" w:rsidR="00D1587D" w:rsidRDefault="00D1587D">
            <w:pPr>
              <w:rPr>
                <w:sz w:val="24"/>
                <w:szCs w:val="24"/>
              </w:rPr>
            </w:pPr>
          </w:p>
        </w:tc>
        <w:tc>
          <w:tcPr>
            <w:tcW w:w="0" w:type="dxa"/>
            <w:vAlign w:val="bottom"/>
          </w:tcPr>
          <w:p w14:paraId="5CD4B609" w14:textId="77777777" w:rsidR="00D1587D" w:rsidRDefault="00D1587D">
            <w:pPr>
              <w:rPr>
                <w:sz w:val="1"/>
                <w:szCs w:val="1"/>
              </w:rPr>
            </w:pPr>
          </w:p>
        </w:tc>
      </w:tr>
      <w:tr w:rsidR="00D1587D" w14:paraId="09B660CF" w14:textId="77777777">
        <w:trPr>
          <w:trHeight w:val="222"/>
        </w:trPr>
        <w:tc>
          <w:tcPr>
            <w:tcW w:w="4780" w:type="dxa"/>
            <w:vAlign w:val="bottom"/>
          </w:tcPr>
          <w:p w14:paraId="42630E63" w14:textId="77777777" w:rsidR="00D1587D" w:rsidRDefault="00D1587D">
            <w:pPr>
              <w:rPr>
                <w:sz w:val="19"/>
                <w:szCs w:val="19"/>
              </w:rPr>
            </w:pPr>
          </w:p>
        </w:tc>
        <w:tc>
          <w:tcPr>
            <w:tcW w:w="4400" w:type="dxa"/>
            <w:gridSpan w:val="2"/>
            <w:vMerge/>
            <w:vAlign w:val="bottom"/>
          </w:tcPr>
          <w:p w14:paraId="6D2BC3C7" w14:textId="77777777" w:rsidR="00D1587D" w:rsidRDefault="00D1587D">
            <w:pPr>
              <w:rPr>
                <w:sz w:val="19"/>
                <w:szCs w:val="19"/>
              </w:rPr>
            </w:pPr>
          </w:p>
        </w:tc>
        <w:tc>
          <w:tcPr>
            <w:tcW w:w="1720" w:type="dxa"/>
            <w:vAlign w:val="bottom"/>
          </w:tcPr>
          <w:p w14:paraId="4302A500" w14:textId="77777777" w:rsidR="00D1587D" w:rsidRDefault="00D1587D">
            <w:pPr>
              <w:rPr>
                <w:sz w:val="19"/>
                <w:szCs w:val="19"/>
              </w:rPr>
            </w:pPr>
          </w:p>
        </w:tc>
        <w:tc>
          <w:tcPr>
            <w:tcW w:w="340" w:type="dxa"/>
            <w:tcBorders>
              <w:top w:val="single" w:sz="8" w:space="0" w:color="auto"/>
            </w:tcBorders>
            <w:vAlign w:val="bottom"/>
          </w:tcPr>
          <w:p w14:paraId="5780C6A4" w14:textId="77777777" w:rsidR="00D1587D" w:rsidRDefault="00D1587D">
            <w:pPr>
              <w:rPr>
                <w:sz w:val="19"/>
                <w:szCs w:val="19"/>
              </w:rPr>
            </w:pPr>
          </w:p>
        </w:tc>
        <w:tc>
          <w:tcPr>
            <w:tcW w:w="0" w:type="dxa"/>
            <w:vAlign w:val="bottom"/>
          </w:tcPr>
          <w:p w14:paraId="02517306" w14:textId="77777777" w:rsidR="00D1587D" w:rsidRDefault="00D1587D">
            <w:pPr>
              <w:rPr>
                <w:sz w:val="1"/>
                <w:szCs w:val="1"/>
              </w:rPr>
            </w:pPr>
          </w:p>
        </w:tc>
      </w:tr>
      <w:tr w:rsidR="00D1587D" w14:paraId="05F0F968" w14:textId="77777777">
        <w:trPr>
          <w:trHeight w:val="230"/>
        </w:trPr>
        <w:tc>
          <w:tcPr>
            <w:tcW w:w="4780" w:type="dxa"/>
            <w:vAlign w:val="bottom"/>
          </w:tcPr>
          <w:p w14:paraId="34AC9E73" w14:textId="77777777" w:rsidR="00D1587D" w:rsidRDefault="00D1587D">
            <w:pPr>
              <w:rPr>
                <w:sz w:val="20"/>
                <w:szCs w:val="20"/>
              </w:rPr>
            </w:pPr>
          </w:p>
        </w:tc>
        <w:tc>
          <w:tcPr>
            <w:tcW w:w="4400" w:type="dxa"/>
            <w:gridSpan w:val="2"/>
            <w:vAlign w:val="bottom"/>
          </w:tcPr>
          <w:p w14:paraId="5D47638E" w14:textId="77777777" w:rsidR="00D1587D" w:rsidRDefault="00410D07">
            <w:pPr>
              <w:ind w:right="2720"/>
              <w:jc w:val="center"/>
              <w:rPr>
                <w:sz w:val="20"/>
                <w:szCs w:val="20"/>
              </w:rPr>
            </w:pPr>
            <w:r>
              <w:rPr>
                <w:rFonts w:ascii="Arial" w:eastAsia="Arial" w:hAnsi="Arial" w:cs="Arial"/>
                <w:w w:val="99"/>
                <w:sz w:val="18"/>
                <w:szCs w:val="18"/>
              </w:rPr>
              <w:t>D</w:t>
            </w:r>
            <w:r>
              <w:rPr>
                <w:rFonts w:ascii="Arial" w:eastAsia="Arial" w:hAnsi="Arial" w:cs="Arial"/>
                <w:w w:val="99"/>
                <w:sz w:val="12"/>
                <w:szCs w:val="12"/>
              </w:rPr>
              <w:t>EFINITIONS</w:t>
            </w:r>
          </w:p>
        </w:tc>
        <w:tc>
          <w:tcPr>
            <w:tcW w:w="1720" w:type="dxa"/>
            <w:vAlign w:val="bottom"/>
          </w:tcPr>
          <w:p w14:paraId="16C31B9D" w14:textId="77777777" w:rsidR="00D1587D" w:rsidRDefault="00D1587D">
            <w:pPr>
              <w:rPr>
                <w:sz w:val="20"/>
                <w:szCs w:val="20"/>
              </w:rPr>
            </w:pPr>
          </w:p>
        </w:tc>
        <w:tc>
          <w:tcPr>
            <w:tcW w:w="340" w:type="dxa"/>
            <w:vAlign w:val="bottom"/>
          </w:tcPr>
          <w:p w14:paraId="560709BC" w14:textId="77777777" w:rsidR="00D1587D" w:rsidRDefault="00D1587D">
            <w:pPr>
              <w:rPr>
                <w:sz w:val="20"/>
                <w:szCs w:val="20"/>
              </w:rPr>
            </w:pPr>
          </w:p>
        </w:tc>
        <w:tc>
          <w:tcPr>
            <w:tcW w:w="0" w:type="dxa"/>
            <w:vAlign w:val="bottom"/>
          </w:tcPr>
          <w:p w14:paraId="670D57DF" w14:textId="77777777" w:rsidR="00D1587D" w:rsidRDefault="00D1587D">
            <w:pPr>
              <w:rPr>
                <w:sz w:val="1"/>
                <w:szCs w:val="1"/>
              </w:rPr>
            </w:pPr>
          </w:p>
        </w:tc>
      </w:tr>
      <w:tr w:rsidR="00D1587D" w14:paraId="108AA694" w14:textId="77777777">
        <w:trPr>
          <w:trHeight w:val="432"/>
        </w:trPr>
        <w:tc>
          <w:tcPr>
            <w:tcW w:w="9180" w:type="dxa"/>
            <w:gridSpan w:val="3"/>
            <w:vAlign w:val="bottom"/>
          </w:tcPr>
          <w:p w14:paraId="089CB3C5" w14:textId="77777777" w:rsidR="00D1587D" w:rsidRDefault="00410D07">
            <w:pPr>
              <w:rPr>
                <w:sz w:val="20"/>
                <w:szCs w:val="20"/>
              </w:rPr>
            </w:pPr>
            <w:r>
              <w:rPr>
                <w:rFonts w:ascii="Arial" w:eastAsia="Arial" w:hAnsi="Arial" w:cs="Arial"/>
                <w:sz w:val="18"/>
                <w:szCs w:val="18"/>
              </w:rPr>
              <w:t xml:space="preserve">Section 1.01. </w:t>
            </w:r>
            <w:r>
              <w:rPr>
                <w:rFonts w:ascii="Arial" w:eastAsia="Arial" w:hAnsi="Arial" w:cs="Arial"/>
                <w:i/>
                <w:iCs/>
                <w:sz w:val="18"/>
                <w:szCs w:val="18"/>
              </w:rPr>
              <w:t>Definitions</w:t>
            </w:r>
          </w:p>
        </w:tc>
        <w:tc>
          <w:tcPr>
            <w:tcW w:w="2060" w:type="dxa"/>
            <w:gridSpan w:val="2"/>
            <w:vAlign w:val="bottom"/>
          </w:tcPr>
          <w:p w14:paraId="7EA94DC0" w14:textId="77777777" w:rsidR="00D1587D" w:rsidRDefault="00410D07">
            <w:pPr>
              <w:jc w:val="right"/>
              <w:rPr>
                <w:sz w:val="20"/>
                <w:szCs w:val="20"/>
              </w:rPr>
            </w:pPr>
            <w:r>
              <w:rPr>
                <w:rFonts w:ascii="Arial" w:eastAsia="Arial" w:hAnsi="Arial" w:cs="Arial"/>
                <w:sz w:val="18"/>
                <w:szCs w:val="18"/>
              </w:rPr>
              <w:t>2</w:t>
            </w:r>
          </w:p>
        </w:tc>
        <w:tc>
          <w:tcPr>
            <w:tcW w:w="0" w:type="dxa"/>
            <w:vAlign w:val="bottom"/>
          </w:tcPr>
          <w:p w14:paraId="4018C000" w14:textId="77777777" w:rsidR="00D1587D" w:rsidRDefault="00D1587D">
            <w:pPr>
              <w:rPr>
                <w:sz w:val="1"/>
                <w:szCs w:val="1"/>
              </w:rPr>
            </w:pPr>
          </w:p>
        </w:tc>
      </w:tr>
      <w:tr w:rsidR="00D1587D" w14:paraId="62D56F80" w14:textId="77777777">
        <w:trPr>
          <w:trHeight w:val="418"/>
        </w:trPr>
        <w:tc>
          <w:tcPr>
            <w:tcW w:w="4780" w:type="dxa"/>
            <w:vAlign w:val="bottom"/>
          </w:tcPr>
          <w:p w14:paraId="322548CB" w14:textId="77777777" w:rsidR="00D1587D" w:rsidRDefault="00D1587D">
            <w:pPr>
              <w:rPr>
                <w:sz w:val="24"/>
                <w:szCs w:val="24"/>
              </w:rPr>
            </w:pPr>
          </w:p>
        </w:tc>
        <w:tc>
          <w:tcPr>
            <w:tcW w:w="4400" w:type="dxa"/>
            <w:gridSpan w:val="2"/>
            <w:vAlign w:val="bottom"/>
          </w:tcPr>
          <w:p w14:paraId="5B666318" w14:textId="77777777" w:rsidR="00D1587D" w:rsidRDefault="00410D07">
            <w:pPr>
              <w:ind w:right="2720"/>
              <w:jc w:val="center"/>
              <w:rPr>
                <w:sz w:val="20"/>
                <w:szCs w:val="20"/>
              </w:rPr>
            </w:pPr>
            <w:r>
              <w:rPr>
                <w:rFonts w:ascii="Arial" w:eastAsia="Arial" w:hAnsi="Arial" w:cs="Arial"/>
                <w:w w:val="96"/>
                <w:sz w:val="18"/>
                <w:szCs w:val="18"/>
              </w:rPr>
              <w:t>ARTICLE 2</w:t>
            </w:r>
          </w:p>
        </w:tc>
        <w:tc>
          <w:tcPr>
            <w:tcW w:w="1720" w:type="dxa"/>
            <w:vAlign w:val="bottom"/>
          </w:tcPr>
          <w:p w14:paraId="01F47746" w14:textId="77777777" w:rsidR="00D1587D" w:rsidRDefault="00D1587D">
            <w:pPr>
              <w:rPr>
                <w:sz w:val="24"/>
                <w:szCs w:val="24"/>
              </w:rPr>
            </w:pPr>
          </w:p>
        </w:tc>
        <w:tc>
          <w:tcPr>
            <w:tcW w:w="340" w:type="dxa"/>
            <w:vAlign w:val="bottom"/>
          </w:tcPr>
          <w:p w14:paraId="1A906CF5" w14:textId="77777777" w:rsidR="00D1587D" w:rsidRDefault="00D1587D">
            <w:pPr>
              <w:rPr>
                <w:sz w:val="24"/>
                <w:szCs w:val="24"/>
              </w:rPr>
            </w:pPr>
          </w:p>
        </w:tc>
        <w:tc>
          <w:tcPr>
            <w:tcW w:w="0" w:type="dxa"/>
            <w:vAlign w:val="bottom"/>
          </w:tcPr>
          <w:p w14:paraId="31B0B325" w14:textId="77777777" w:rsidR="00D1587D" w:rsidRDefault="00D1587D">
            <w:pPr>
              <w:rPr>
                <w:sz w:val="1"/>
                <w:szCs w:val="1"/>
              </w:rPr>
            </w:pPr>
          </w:p>
        </w:tc>
      </w:tr>
      <w:tr w:rsidR="00D1587D" w14:paraId="229350A4" w14:textId="77777777">
        <w:trPr>
          <w:trHeight w:val="230"/>
        </w:trPr>
        <w:tc>
          <w:tcPr>
            <w:tcW w:w="9180" w:type="dxa"/>
            <w:gridSpan w:val="3"/>
            <w:vAlign w:val="bottom"/>
          </w:tcPr>
          <w:p w14:paraId="31237245" w14:textId="77777777" w:rsidR="00D1587D" w:rsidRDefault="00410D07">
            <w:pPr>
              <w:ind w:left="1970"/>
              <w:jc w:val="center"/>
              <w:rPr>
                <w:sz w:val="20"/>
                <w:szCs w:val="20"/>
              </w:rPr>
            </w:pPr>
            <w:r>
              <w:rPr>
                <w:rFonts w:ascii="Arial" w:eastAsia="Arial" w:hAnsi="Arial" w:cs="Arial"/>
                <w:sz w:val="18"/>
                <w:szCs w:val="18"/>
              </w:rPr>
              <w:t>G</w:t>
            </w:r>
            <w:r>
              <w:rPr>
                <w:rFonts w:ascii="Arial" w:eastAsia="Arial" w:hAnsi="Arial" w:cs="Arial"/>
                <w:sz w:val="12"/>
                <w:szCs w:val="12"/>
              </w:rPr>
              <w:t>ENERAL</w:t>
            </w:r>
            <w:r>
              <w:rPr>
                <w:rFonts w:ascii="Arial" w:eastAsia="Arial" w:hAnsi="Arial" w:cs="Arial"/>
                <w:sz w:val="18"/>
                <w:szCs w:val="18"/>
              </w:rPr>
              <w:t xml:space="preserve"> A</w:t>
            </w:r>
            <w:r>
              <w:rPr>
                <w:rFonts w:ascii="Arial" w:eastAsia="Arial" w:hAnsi="Arial" w:cs="Arial"/>
                <w:sz w:val="12"/>
                <w:szCs w:val="12"/>
              </w:rPr>
              <w:t>LLOCATION OF</w:t>
            </w:r>
            <w:r>
              <w:rPr>
                <w:rFonts w:ascii="Arial" w:eastAsia="Arial" w:hAnsi="Arial" w:cs="Arial"/>
                <w:sz w:val="18"/>
                <w:szCs w:val="18"/>
              </w:rPr>
              <w:t xml:space="preserve"> L</w:t>
            </w:r>
            <w:r>
              <w:rPr>
                <w:rFonts w:ascii="Arial" w:eastAsia="Arial" w:hAnsi="Arial" w:cs="Arial"/>
                <w:sz w:val="12"/>
                <w:szCs w:val="12"/>
              </w:rPr>
              <w:t>IABILITIES</w:t>
            </w:r>
            <w:r>
              <w:rPr>
                <w:rFonts w:ascii="Arial" w:eastAsia="Arial" w:hAnsi="Arial" w:cs="Arial"/>
                <w:sz w:val="18"/>
                <w:szCs w:val="18"/>
              </w:rPr>
              <w:t>; I</w:t>
            </w:r>
            <w:r>
              <w:rPr>
                <w:rFonts w:ascii="Arial" w:eastAsia="Arial" w:hAnsi="Arial" w:cs="Arial"/>
                <w:sz w:val="12"/>
                <w:szCs w:val="12"/>
              </w:rPr>
              <w:t>NDEMNIFICATION</w:t>
            </w:r>
          </w:p>
        </w:tc>
        <w:tc>
          <w:tcPr>
            <w:tcW w:w="1720" w:type="dxa"/>
            <w:vAlign w:val="bottom"/>
          </w:tcPr>
          <w:p w14:paraId="37E382B4" w14:textId="77777777" w:rsidR="00D1587D" w:rsidRDefault="00D1587D">
            <w:pPr>
              <w:rPr>
                <w:sz w:val="20"/>
                <w:szCs w:val="20"/>
              </w:rPr>
            </w:pPr>
          </w:p>
        </w:tc>
        <w:tc>
          <w:tcPr>
            <w:tcW w:w="340" w:type="dxa"/>
            <w:vAlign w:val="bottom"/>
          </w:tcPr>
          <w:p w14:paraId="2E1A11BA" w14:textId="77777777" w:rsidR="00D1587D" w:rsidRDefault="00D1587D">
            <w:pPr>
              <w:rPr>
                <w:sz w:val="20"/>
                <w:szCs w:val="20"/>
              </w:rPr>
            </w:pPr>
          </w:p>
        </w:tc>
        <w:tc>
          <w:tcPr>
            <w:tcW w:w="0" w:type="dxa"/>
            <w:vAlign w:val="bottom"/>
          </w:tcPr>
          <w:p w14:paraId="3926DA59" w14:textId="77777777" w:rsidR="00D1587D" w:rsidRDefault="00D1587D">
            <w:pPr>
              <w:rPr>
                <w:sz w:val="1"/>
                <w:szCs w:val="1"/>
              </w:rPr>
            </w:pPr>
          </w:p>
        </w:tc>
      </w:tr>
      <w:tr w:rsidR="00D1587D" w14:paraId="13A24C47" w14:textId="77777777">
        <w:trPr>
          <w:trHeight w:val="634"/>
        </w:trPr>
        <w:tc>
          <w:tcPr>
            <w:tcW w:w="9180" w:type="dxa"/>
            <w:gridSpan w:val="3"/>
            <w:vAlign w:val="bottom"/>
          </w:tcPr>
          <w:p w14:paraId="088961EC" w14:textId="77777777" w:rsidR="00D1587D" w:rsidRDefault="00410D07">
            <w:pPr>
              <w:rPr>
                <w:sz w:val="20"/>
                <w:szCs w:val="20"/>
              </w:rPr>
            </w:pPr>
            <w:r>
              <w:rPr>
                <w:rFonts w:ascii="Arial" w:eastAsia="Arial" w:hAnsi="Arial" w:cs="Arial"/>
                <w:sz w:val="18"/>
                <w:szCs w:val="18"/>
              </w:rPr>
              <w:t xml:space="preserve">Section 2.01. </w:t>
            </w:r>
            <w:r>
              <w:rPr>
                <w:rFonts w:ascii="Arial" w:eastAsia="Arial" w:hAnsi="Arial" w:cs="Arial"/>
                <w:i/>
                <w:iCs/>
                <w:sz w:val="18"/>
                <w:szCs w:val="18"/>
              </w:rPr>
              <w:t>Allocation of Employee-Related Liabilities</w:t>
            </w:r>
          </w:p>
        </w:tc>
        <w:tc>
          <w:tcPr>
            <w:tcW w:w="2060" w:type="dxa"/>
            <w:gridSpan w:val="2"/>
            <w:vAlign w:val="bottom"/>
          </w:tcPr>
          <w:p w14:paraId="197E5302" w14:textId="77777777" w:rsidR="00D1587D" w:rsidRDefault="00410D07">
            <w:pPr>
              <w:jc w:val="right"/>
              <w:rPr>
                <w:sz w:val="20"/>
                <w:szCs w:val="20"/>
              </w:rPr>
            </w:pPr>
            <w:r>
              <w:rPr>
                <w:rFonts w:ascii="Arial" w:eastAsia="Arial" w:hAnsi="Arial" w:cs="Arial"/>
                <w:sz w:val="18"/>
                <w:szCs w:val="18"/>
              </w:rPr>
              <w:t>10</w:t>
            </w:r>
          </w:p>
        </w:tc>
        <w:tc>
          <w:tcPr>
            <w:tcW w:w="0" w:type="dxa"/>
            <w:vAlign w:val="bottom"/>
          </w:tcPr>
          <w:p w14:paraId="1E433704" w14:textId="77777777" w:rsidR="00D1587D" w:rsidRDefault="00D1587D">
            <w:pPr>
              <w:rPr>
                <w:sz w:val="1"/>
                <w:szCs w:val="1"/>
              </w:rPr>
            </w:pPr>
          </w:p>
        </w:tc>
      </w:tr>
      <w:tr w:rsidR="00D1587D" w14:paraId="37F29568" w14:textId="77777777">
        <w:trPr>
          <w:trHeight w:val="216"/>
        </w:trPr>
        <w:tc>
          <w:tcPr>
            <w:tcW w:w="9180" w:type="dxa"/>
            <w:gridSpan w:val="3"/>
            <w:vAlign w:val="bottom"/>
          </w:tcPr>
          <w:p w14:paraId="5454FFA2" w14:textId="77777777" w:rsidR="00D1587D" w:rsidRDefault="00410D07">
            <w:pPr>
              <w:rPr>
                <w:sz w:val="20"/>
                <w:szCs w:val="20"/>
              </w:rPr>
            </w:pPr>
            <w:r>
              <w:rPr>
                <w:rFonts w:ascii="Arial" w:eastAsia="Arial" w:hAnsi="Arial" w:cs="Arial"/>
                <w:sz w:val="18"/>
                <w:szCs w:val="18"/>
              </w:rPr>
              <w:t xml:space="preserve">Section 2.02. </w:t>
            </w:r>
            <w:r>
              <w:rPr>
                <w:rFonts w:ascii="Arial" w:eastAsia="Arial" w:hAnsi="Arial" w:cs="Arial"/>
                <w:i/>
                <w:iCs/>
                <w:sz w:val="18"/>
                <w:szCs w:val="18"/>
              </w:rPr>
              <w:t>Indemnification</w:t>
            </w:r>
          </w:p>
        </w:tc>
        <w:tc>
          <w:tcPr>
            <w:tcW w:w="2060" w:type="dxa"/>
            <w:gridSpan w:val="2"/>
            <w:vAlign w:val="bottom"/>
          </w:tcPr>
          <w:p w14:paraId="5BDFBA66" w14:textId="77777777" w:rsidR="00D1587D" w:rsidRDefault="00410D07">
            <w:pPr>
              <w:jc w:val="right"/>
              <w:rPr>
                <w:sz w:val="20"/>
                <w:szCs w:val="20"/>
              </w:rPr>
            </w:pPr>
            <w:r>
              <w:rPr>
                <w:rFonts w:ascii="Arial" w:eastAsia="Arial" w:hAnsi="Arial" w:cs="Arial"/>
                <w:sz w:val="18"/>
                <w:szCs w:val="18"/>
              </w:rPr>
              <w:t>11</w:t>
            </w:r>
          </w:p>
        </w:tc>
        <w:tc>
          <w:tcPr>
            <w:tcW w:w="0" w:type="dxa"/>
            <w:vAlign w:val="bottom"/>
          </w:tcPr>
          <w:p w14:paraId="30FEBF03" w14:textId="77777777" w:rsidR="00D1587D" w:rsidRDefault="00D1587D">
            <w:pPr>
              <w:rPr>
                <w:sz w:val="1"/>
                <w:szCs w:val="1"/>
              </w:rPr>
            </w:pPr>
          </w:p>
        </w:tc>
      </w:tr>
      <w:tr w:rsidR="00D1587D" w14:paraId="0C97C141" w14:textId="77777777">
        <w:trPr>
          <w:trHeight w:val="230"/>
        </w:trPr>
        <w:tc>
          <w:tcPr>
            <w:tcW w:w="9180" w:type="dxa"/>
            <w:gridSpan w:val="3"/>
            <w:vAlign w:val="bottom"/>
          </w:tcPr>
          <w:p w14:paraId="705A7CE9" w14:textId="77777777" w:rsidR="00D1587D" w:rsidRDefault="00410D07">
            <w:pPr>
              <w:rPr>
                <w:sz w:val="20"/>
                <w:szCs w:val="20"/>
              </w:rPr>
            </w:pPr>
            <w:r>
              <w:rPr>
                <w:rFonts w:ascii="Arial" w:eastAsia="Arial" w:hAnsi="Arial" w:cs="Arial"/>
                <w:sz w:val="18"/>
                <w:szCs w:val="18"/>
              </w:rPr>
              <w:t xml:space="preserve">Section 2.03. </w:t>
            </w:r>
            <w:r>
              <w:rPr>
                <w:rFonts w:ascii="Arial" w:eastAsia="Arial" w:hAnsi="Arial" w:cs="Arial"/>
                <w:i/>
                <w:iCs/>
                <w:sz w:val="18"/>
                <w:szCs w:val="18"/>
              </w:rPr>
              <w:t xml:space="preserve">No Duplicate </w:t>
            </w:r>
            <w:r>
              <w:rPr>
                <w:rFonts w:ascii="Arial" w:eastAsia="Arial" w:hAnsi="Arial" w:cs="Arial"/>
                <w:i/>
                <w:iCs/>
                <w:sz w:val="18"/>
                <w:szCs w:val="18"/>
              </w:rPr>
              <w:t>Reimbursements</w:t>
            </w:r>
          </w:p>
        </w:tc>
        <w:tc>
          <w:tcPr>
            <w:tcW w:w="2060" w:type="dxa"/>
            <w:gridSpan w:val="2"/>
            <w:vAlign w:val="bottom"/>
          </w:tcPr>
          <w:p w14:paraId="5A76F772" w14:textId="77777777" w:rsidR="00D1587D" w:rsidRDefault="00410D07">
            <w:pPr>
              <w:jc w:val="right"/>
              <w:rPr>
                <w:sz w:val="20"/>
                <w:szCs w:val="20"/>
              </w:rPr>
            </w:pPr>
            <w:r>
              <w:rPr>
                <w:rFonts w:ascii="Arial" w:eastAsia="Arial" w:hAnsi="Arial" w:cs="Arial"/>
                <w:sz w:val="18"/>
                <w:szCs w:val="18"/>
              </w:rPr>
              <w:t>12</w:t>
            </w:r>
          </w:p>
        </w:tc>
        <w:tc>
          <w:tcPr>
            <w:tcW w:w="0" w:type="dxa"/>
            <w:vAlign w:val="bottom"/>
          </w:tcPr>
          <w:p w14:paraId="20FFB38C" w14:textId="77777777" w:rsidR="00D1587D" w:rsidRDefault="00D1587D">
            <w:pPr>
              <w:rPr>
                <w:sz w:val="1"/>
                <w:szCs w:val="1"/>
              </w:rPr>
            </w:pPr>
          </w:p>
        </w:tc>
      </w:tr>
      <w:tr w:rsidR="00D1587D" w14:paraId="598AF647" w14:textId="77777777">
        <w:trPr>
          <w:trHeight w:val="418"/>
        </w:trPr>
        <w:tc>
          <w:tcPr>
            <w:tcW w:w="4780" w:type="dxa"/>
            <w:vAlign w:val="bottom"/>
          </w:tcPr>
          <w:p w14:paraId="34DD815A" w14:textId="77777777" w:rsidR="00D1587D" w:rsidRDefault="00D1587D">
            <w:pPr>
              <w:rPr>
                <w:sz w:val="24"/>
                <w:szCs w:val="24"/>
              </w:rPr>
            </w:pPr>
          </w:p>
        </w:tc>
        <w:tc>
          <w:tcPr>
            <w:tcW w:w="4400" w:type="dxa"/>
            <w:gridSpan w:val="2"/>
            <w:vAlign w:val="bottom"/>
          </w:tcPr>
          <w:p w14:paraId="30B83004" w14:textId="77777777" w:rsidR="00D1587D" w:rsidRDefault="00410D07">
            <w:pPr>
              <w:ind w:right="2720"/>
              <w:jc w:val="center"/>
              <w:rPr>
                <w:sz w:val="20"/>
                <w:szCs w:val="20"/>
              </w:rPr>
            </w:pPr>
            <w:r>
              <w:rPr>
                <w:rFonts w:ascii="Arial" w:eastAsia="Arial" w:hAnsi="Arial" w:cs="Arial"/>
                <w:w w:val="96"/>
                <w:sz w:val="18"/>
                <w:szCs w:val="18"/>
              </w:rPr>
              <w:t>ARTICLE 3</w:t>
            </w:r>
          </w:p>
        </w:tc>
        <w:tc>
          <w:tcPr>
            <w:tcW w:w="1720" w:type="dxa"/>
            <w:vAlign w:val="bottom"/>
          </w:tcPr>
          <w:p w14:paraId="2516C686" w14:textId="77777777" w:rsidR="00D1587D" w:rsidRDefault="00D1587D">
            <w:pPr>
              <w:rPr>
                <w:sz w:val="24"/>
                <w:szCs w:val="24"/>
              </w:rPr>
            </w:pPr>
          </w:p>
        </w:tc>
        <w:tc>
          <w:tcPr>
            <w:tcW w:w="340" w:type="dxa"/>
            <w:vAlign w:val="bottom"/>
          </w:tcPr>
          <w:p w14:paraId="75CAB793" w14:textId="77777777" w:rsidR="00D1587D" w:rsidRDefault="00D1587D">
            <w:pPr>
              <w:rPr>
                <w:sz w:val="24"/>
                <w:szCs w:val="24"/>
              </w:rPr>
            </w:pPr>
          </w:p>
        </w:tc>
        <w:tc>
          <w:tcPr>
            <w:tcW w:w="0" w:type="dxa"/>
            <w:vAlign w:val="bottom"/>
          </w:tcPr>
          <w:p w14:paraId="7CF18BBE" w14:textId="77777777" w:rsidR="00D1587D" w:rsidRDefault="00D1587D">
            <w:pPr>
              <w:rPr>
                <w:sz w:val="1"/>
                <w:szCs w:val="1"/>
              </w:rPr>
            </w:pPr>
          </w:p>
        </w:tc>
      </w:tr>
      <w:tr w:rsidR="00D1587D" w14:paraId="6EF86680" w14:textId="77777777">
        <w:trPr>
          <w:trHeight w:val="230"/>
        </w:trPr>
        <w:tc>
          <w:tcPr>
            <w:tcW w:w="9180" w:type="dxa"/>
            <w:gridSpan w:val="3"/>
            <w:vAlign w:val="bottom"/>
          </w:tcPr>
          <w:p w14:paraId="4316DE2E" w14:textId="77777777" w:rsidR="00D1587D" w:rsidRDefault="00410D07">
            <w:pPr>
              <w:ind w:left="1970"/>
              <w:jc w:val="center"/>
              <w:rPr>
                <w:sz w:val="20"/>
                <w:szCs w:val="20"/>
              </w:rPr>
            </w:pPr>
            <w:r>
              <w:rPr>
                <w:rFonts w:ascii="Arial" w:eastAsia="Arial" w:hAnsi="Arial" w:cs="Arial"/>
                <w:w w:val="97"/>
                <w:sz w:val="18"/>
                <w:szCs w:val="18"/>
              </w:rPr>
              <w:t>E</w:t>
            </w:r>
            <w:r>
              <w:rPr>
                <w:rFonts w:ascii="Arial" w:eastAsia="Arial" w:hAnsi="Arial" w:cs="Arial"/>
                <w:w w:val="97"/>
                <w:sz w:val="12"/>
                <w:szCs w:val="12"/>
              </w:rPr>
              <w:t>MPLOYEES AND</w:t>
            </w:r>
            <w:r>
              <w:rPr>
                <w:rFonts w:ascii="Arial" w:eastAsia="Arial" w:hAnsi="Arial" w:cs="Arial"/>
                <w:w w:val="97"/>
                <w:sz w:val="18"/>
                <w:szCs w:val="18"/>
              </w:rPr>
              <w:t xml:space="preserve"> C</w:t>
            </w:r>
            <w:r>
              <w:rPr>
                <w:rFonts w:ascii="Arial" w:eastAsia="Arial" w:hAnsi="Arial" w:cs="Arial"/>
                <w:w w:val="97"/>
                <w:sz w:val="12"/>
                <w:szCs w:val="12"/>
              </w:rPr>
              <w:t>ONTRACTORS</w:t>
            </w:r>
            <w:r>
              <w:rPr>
                <w:rFonts w:ascii="Arial" w:eastAsia="Arial" w:hAnsi="Arial" w:cs="Arial"/>
                <w:w w:val="97"/>
                <w:sz w:val="18"/>
                <w:szCs w:val="18"/>
              </w:rPr>
              <w:t>; E</w:t>
            </w:r>
            <w:r>
              <w:rPr>
                <w:rFonts w:ascii="Arial" w:eastAsia="Arial" w:hAnsi="Arial" w:cs="Arial"/>
                <w:w w:val="97"/>
                <w:sz w:val="12"/>
                <w:szCs w:val="12"/>
              </w:rPr>
              <w:t>MPLOYEE</w:t>
            </w:r>
            <w:r>
              <w:rPr>
                <w:rFonts w:ascii="Arial" w:eastAsia="Arial" w:hAnsi="Arial" w:cs="Arial"/>
                <w:w w:val="97"/>
                <w:sz w:val="18"/>
                <w:szCs w:val="18"/>
              </w:rPr>
              <w:t xml:space="preserve"> A</w:t>
            </w:r>
            <w:r>
              <w:rPr>
                <w:rFonts w:ascii="Arial" w:eastAsia="Arial" w:hAnsi="Arial" w:cs="Arial"/>
                <w:w w:val="97"/>
                <w:sz w:val="12"/>
                <w:szCs w:val="12"/>
              </w:rPr>
              <w:t>GREEMENTS</w:t>
            </w:r>
          </w:p>
        </w:tc>
        <w:tc>
          <w:tcPr>
            <w:tcW w:w="1720" w:type="dxa"/>
            <w:vAlign w:val="bottom"/>
          </w:tcPr>
          <w:p w14:paraId="5F566320" w14:textId="77777777" w:rsidR="00D1587D" w:rsidRDefault="00D1587D">
            <w:pPr>
              <w:rPr>
                <w:sz w:val="20"/>
                <w:szCs w:val="20"/>
              </w:rPr>
            </w:pPr>
          </w:p>
        </w:tc>
        <w:tc>
          <w:tcPr>
            <w:tcW w:w="340" w:type="dxa"/>
            <w:vAlign w:val="bottom"/>
          </w:tcPr>
          <w:p w14:paraId="1025A95B" w14:textId="77777777" w:rsidR="00D1587D" w:rsidRDefault="00D1587D">
            <w:pPr>
              <w:rPr>
                <w:sz w:val="20"/>
                <w:szCs w:val="20"/>
              </w:rPr>
            </w:pPr>
          </w:p>
        </w:tc>
        <w:tc>
          <w:tcPr>
            <w:tcW w:w="0" w:type="dxa"/>
            <w:vAlign w:val="bottom"/>
          </w:tcPr>
          <w:p w14:paraId="0FDEBCA9" w14:textId="77777777" w:rsidR="00D1587D" w:rsidRDefault="00D1587D">
            <w:pPr>
              <w:rPr>
                <w:sz w:val="1"/>
                <w:szCs w:val="1"/>
              </w:rPr>
            </w:pPr>
          </w:p>
        </w:tc>
      </w:tr>
      <w:tr w:rsidR="00D1587D" w14:paraId="1E641A70" w14:textId="77777777">
        <w:trPr>
          <w:trHeight w:val="418"/>
        </w:trPr>
        <w:tc>
          <w:tcPr>
            <w:tcW w:w="9180" w:type="dxa"/>
            <w:gridSpan w:val="3"/>
            <w:vAlign w:val="bottom"/>
          </w:tcPr>
          <w:p w14:paraId="4A8124CD" w14:textId="77777777" w:rsidR="00D1587D" w:rsidRDefault="00410D07">
            <w:pPr>
              <w:rPr>
                <w:sz w:val="20"/>
                <w:szCs w:val="20"/>
              </w:rPr>
            </w:pPr>
            <w:r>
              <w:rPr>
                <w:rFonts w:ascii="Arial" w:eastAsia="Arial" w:hAnsi="Arial" w:cs="Arial"/>
                <w:sz w:val="18"/>
                <w:szCs w:val="18"/>
              </w:rPr>
              <w:t xml:space="preserve">Section 3.01. </w:t>
            </w:r>
            <w:r>
              <w:rPr>
                <w:rFonts w:ascii="Arial" w:eastAsia="Arial" w:hAnsi="Arial" w:cs="Arial"/>
                <w:i/>
                <w:iCs/>
                <w:sz w:val="18"/>
                <w:szCs w:val="18"/>
              </w:rPr>
              <w:t>Transfers of Employment</w:t>
            </w:r>
          </w:p>
        </w:tc>
        <w:tc>
          <w:tcPr>
            <w:tcW w:w="2060" w:type="dxa"/>
            <w:gridSpan w:val="2"/>
            <w:vAlign w:val="bottom"/>
          </w:tcPr>
          <w:p w14:paraId="576DA051" w14:textId="77777777" w:rsidR="00D1587D" w:rsidRDefault="00410D07">
            <w:pPr>
              <w:jc w:val="right"/>
              <w:rPr>
                <w:sz w:val="20"/>
                <w:szCs w:val="20"/>
              </w:rPr>
            </w:pPr>
            <w:r>
              <w:rPr>
                <w:rFonts w:ascii="Arial" w:eastAsia="Arial" w:hAnsi="Arial" w:cs="Arial"/>
                <w:sz w:val="18"/>
                <w:szCs w:val="18"/>
              </w:rPr>
              <w:t>12</w:t>
            </w:r>
          </w:p>
        </w:tc>
        <w:tc>
          <w:tcPr>
            <w:tcW w:w="0" w:type="dxa"/>
            <w:vAlign w:val="bottom"/>
          </w:tcPr>
          <w:p w14:paraId="23AC2715" w14:textId="77777777" w:rsidR="00D1587D" w:rsidRDefault="00D1587D">
            <w:pPr>
              <w:rPr>
                <w:sz w:val="1"/>
                <w:szCs w:val="1"/>
              </w:rPr>
            </w:pPr>
          </w:p>
        </w:tc>
      </w:tr>
      <w:tr w:rsidR="00D1587D" w14:paraId="7DBD453D" w14:textId="77777777">
        <w:trPr>
          <w:trHeight w:val="216"/>
        </w:trPr>
        <w:tc>
          <w:tcPr>
            <w:tcW w:w="9180" w:type="dxa"/>
            <w:gridSpan w:val="3"/>
            <w:vAlign w:val="bottom"/>
          </w:tcPr>
          <w:p w14:paraId="0156EAF2" w14:textId="77777777" w:rsidR="00D1587D" w:rsidRDefault="00410D07">
            <w:pPr>
              <w:rPr>
                <w:sz w:val="20"/>
                <w:szCs w:val="20"/>
              </w:rPr>
            </w:pPr>
            <w:r>
              <w:rPr>
                <w:rFonts w:ascii="Arial" w:eastAsia="Arial" w:hAnsi="Arial" w:cs="Arial"/>
                <w:sz w:val="18"/>
                <w:szCs w:val="18"/>
              </w:rPr>
              <w:t xml:space="preserve">Section 3.02. </w:t>
            </w:r>
            <w:r>
              <w:rPr>
                <w:rFonts w:ascii="Arial" w:eastAsia="Arial" w:hAnsi="Arial" w:cs="Arial"/>
                <w:i/>
                <w:iCs/>
                <w:sz w:val="18"/>
                <w:szCs w:val="18"/>
              </w:rPr>
              <w:t>Contractors</w:t>
            </w:r>
          </w:p>
        </w:tc>
        <w:tc>
          <w:tcPr>
            <w:tcW w:w="2060" w:type="dxa"/>
            <w:gridSpan w:val="2"/>
            <w:vAlign w:val="bottom"/>
          </w:tcPr>
          <w:p w14:paraId="7E7FF87D" w14:textId="77777777" w:rsidR="00D1587D" w:rsidRDefault="00410D07">
            <w:pPr>
              <w:jc w:val="right"/>
              <w:rPr>
                <w:sz w:val="20"/>
                <w:szCs w:val="20"/>
              </w:rPr>
            </w:pPr>
            <w:r>
              <w:rPr>
                <w:rFonts w:ascii="Arial" w:eastAsia="Arial" w:hAnsi="Arial" w:cs="Arial"/>
                <w:sz w:val="18"/>
                <w:szCs w:val="18"/>
              </w:rPr>
              <w:t>14</w:t>
            </w:r>
          </w:p>
        </w:tc>
        <w:tc>
          <w:tcPr>
            <w:tcW w:w="0" w:type="dxa"/>
            <w:vAlign w:val="bottom"/>
          </w:tcPr>
          <w:p w14:paraId="0E6CC48E" w14:textId="77777777" w:rsidR="00D1587D" w:rsidRDefault="00D1587D">
            <w:pPr>
              <w:rPr>
                <w:sz w:val="1"/>
                <w:szCs w:val="1"/>
              </w:rPr>
            </w:pPr>
          </w:p>
        </w:tc>
      </w:tr>
      <w:tr w:rsidR="00D1587D" w14:paraId="563D03C3" w14:textId="77777777">
        <w:trPr>
          <w:trHeight w:val="216"/>
        </w:trPr>
        <w:tc>
          <w:tcPr>
            <w:tcW w:w="9180" w:type="dxa"/>
            <w:gridSpan w:val="3"/>
            <w:vAlign w:val="bottom"/>
          </w:tcPr>
          <w:p w14:paraId="61162434" w14:textId="77777777" w:rsidR="00D1587D" w:rsidRDefault="00410D07">
            <w:pPr>
              <w:rPr>
                <w:sz w:val="20"/>
                <w:szCs w:val="20"/>
              </w:rPr>
            </w:pPr>
            <w:r>
              <w:rPr>
                <w:rFonts w:ascii="Arial" w:eastAsia="Arial" w:hAnsi="Arial" w:cs="Arial"/>
                <w:sz w:val="18"/>
                <w:szCs w:val="18"/>
              </w:rPr>
              <w:t xml:space="preserve">Section 3.03. </w:t>
            </w:r>
            <w:r>
              <w:rPr>
                <w:rFonts w:ascii="Arial" w:eastAsia="Arial" w:hAnsi="Arial" w:cs="Arial"/>
                <w:i/>
                <w:iCs/>
                <w:sz w:val="18"/>
                <w:szCs w:val="18"/>
              </w:rPr>
              <w:t>Employee Agreements</w:t>
            </w:r>
          </w:p>
        </w:tc>
        <w:tc>
          <w:tcPr>
            <w:tcW w:w="2060" w:type="dxa"/>
            <w:gridSpan w:val="2"/>
            <w:vAlign w:val="bottom"/>
          </w:tcPr>
          <w:p w14:paraId="2977C039" w14:textId="77777777" w:rsidR="00D1587D" w:rsidRDefault="00410D07">
            <w:pPr>
              <w:jc w:val="right"/>
              <w:rPr>
                <w:sz w:val="20"/>
                <w:szCs w:val="20"/>
              </w:rPr>
            </w:pPr>
            <w:r>
              <w:rPr>
                <w:rFonts w:ascii="Arial" w:eastAsia="Arial" w:hAnsi="Arial" w:cs="Arial"/>
                <w:sz w:val="18"/>
                <w:szCs w:val="18"/>
              </w:rPr>
              <w:t>15</w:t>
            </w:r>
          </w:p>
        </w:tc>
        <w:tc>
          <w:tcPr>
            <w:tcW w:w="0" w:type="dxa"/>
            <w:vAlign w:val="bottom"/>
          </w:tcPr>
          <w:p w14:paraId="721622AC" w14:textId="77777777" w:rsidR="00D1587D" w:rsidRDefault="00D1587D">
            <w:pPr>
              <w:rPr>
                <w:sz w:val="1"/>
                <w:szCs w:val="1"/>
              </w:rPr>
            </w:pPr>
          </w:p>
        </w:tc>
      </w:tr>
      <w:tr w:rsidR="00D1587D" w14:paraId="132A6229" w14:textId="77777777">
        <w:trPr>
          <w:trHeight w:val="216"/>
        </w:trPr>
        <w:tc>
          <w:tcPr>
            <w:tcW w:w="9180" w:type="dxa"/>
            <w:gridSpan w:val="3"/>
            <w:vAlign w:val="bottom"/>
          </w:tcPr>
          <w:p w14:paraId="7DC6439A" w14:textId="77777777" w:rsidR="00D1587D" w:rsidRDefault="00410D07">
            <w:pPr>
              <w:rPr>
                <w:sz w:val="20"/>
                <w:szCs w:val="20"/>
              </w:rPr>
            </w:pPr>
            <w:r>
              <w:rPr>
                <w:rFonts w:ascii="Arial" w:eastAsia="Arial" w:hAnsi="Arial" w:cs="Arial"/>
                <w:sz w:val="18"/>
                <w:szCs w:val="18"/>
              </w:rPr>
              <w:t xml:space="preserve">Section 3.04. </w:t>
            </w:r>
            <w:r>
              <w:rPr>
                <w:rFonts w:ascii="Arial" w:eastAsia="Arial" w:hAnsi="Arial" w:cs="Arial"/>
                <w:i/>
                <w:iCs/>
                <w:sz w:val="18"/>
                <w:szCs w:val="18"/>
              </w:rPr>
              <w:t>Assignment of Specified Rights</w:t>
            </w:r>
          </w:p>
        </w:tc>
        <w:tc>
          <w:tcPr>
            <w:tcW w:w="2060" w:type="dxa"/>
            <w:gridSpan w:val="2"/>
            <w:vAlign w:val="bottom"/>
          </w:tcPr>
          <w:p w14:paraId="3A1C5D23" w14:textId="77777777" w:rsidR="00D1587D" w:rsidRDefault="00410D07">
            <w:pPr>
              <w:jc w:val="right"/>
              <w:rPr>
                <w:sz w:val="20"/>
                <w:szCs w:val="20"/>
              </w:rPr>
            </w:pPr>
            <w:r>
              <w:rPr>
                <w:rFonts w:ascii="Arial" w:eastAsia="Arial" w:hAnsi="Arial" w:cs="Arial"/>
                <w:sz w:val="18"/>
                <w:szCs w:val="18"/>
              </w:rPr>
              <w:t>15</w:t>
            </w:r>
          </w:p>
        </w:tc>
        <w:tc>
          <w:tcPr>
            <w:tcW w:w="0" w:type="dxa"/>
            <w:vAlign w:val="bottom"/>
          </w:tcPr>
          <w:p w14:paraId="6D2DDAA8" w14:textId="77777777" w:rsidR="00D1587D" w:rsidRDefault="00D1587D">
            <w:pPr>
              <w:rPr>
                <w:sz w:val="1"/>
                <w:szCs w:val="1"/>
              </w:rPr>
            </w:pPr>
          </w:p>
        </w:tc>
      </w:tr>
      <w:tr w:rsidR="00D1587D" w14:paraId="00D6A27C" w14:textId="77777777">
        <w:trPr>
          <w:trHeight w:val="216"/>
        </w:trPr>
        <w:tc>
          <w:tcPr>
            <w:tcW w:w="9180" w:type="dxa"/>
            <w:gridSpan w:val="3"/>
            <w:vAlign w:val="bottom"/>
          </w:tcPr>
          <w:p w14:paraId="5C046D93" w14:textId="77777777" w:rsidR="00D1587D" w:rsidRDefault="00410D07">
            <w:pPr>
              <w:rPr>
                <w:sz w:val="20"/>
                <w:szCs w:val="20"/>
              </w:rPr>
            </w:pPr>
            <w:r>
              <w:rPr>
                <w:rFonts w:ascii="Arial" w:eastAsia="Arial" w:hAnsi="Arial" w:cs="Arial"/>
                <w:sz w:val="18"/>
                <w:szCs w:val="18"/>
              </w:rPr>
              <w:t xml:space="preserve">Section 3.05. </w:t>
            </w:r>
            <w:r>
              <w:rPr>
                <w:rFonts w:ascii="Arial" w:eastAsia="Arial" w:hAnsi="Arial" w:cs="Arial"/>
                <w:i/>
                <w:iCs/>
                <w:sz w:val="18"/>
                <w:szCs w:val="18"/>
              </w:rPr>
              <w:t>Sponsored VS Employees</w:t>
            </w:r>
          </w:p>
        </w:tc>
        <w:tc>
          <w:tcPr>
            <w:tcW w:w="2060" w:type="dxa"/>
            <w:gridSpan w:val="2"/>
            <w:vAlign w:val="bottom"/>
          </w:tcPr>
          <w:p w14:paraId="30EC8076" w14:textId="77777777" w:rsidR="00D1587D" w:rsidRDefault="00410D07">
            <w:pPr>
              <w:jc w:val="right"/>
              <w:rPr>
                <w:sz w:val="20"/>
                <w:szCs w:val="20"/>
              </w:rPr>
            </w:pPr>
            <w:r>
              <w:rPr>
                <w:rFonts w:ascii="Arial" w:eastAsia="Arial" w:hAnsi="Arial" w:cs="Arial"/>
                <w:sz w:val="18"/>
                <w:szCs w:val="18"/>
              </w:rPr>
              <w:t>16</w:t>
            </w:r>
          </w:p>
        </w:tc>
        <w:tc>
          <w:tcPr>
            <w:tcW w:w="0" w:type="dxa"/>
            <w:vAlign w:val="bottom"/>
          </w:tcPr>
          <w:p w14:paraId="7C090375" w14:textId="77777777" w:rsidR="00D1587D" w:rsidRDefault="00D1587D">
            <w:pPr>
              <w:rPr>
                <w:sz w:val="1"/>
                <w:szCs w:val="1"/>
              </w:rPr>
            </w:pPr>
          </w:p>
        </w:tc>
      </w:tr>
      <w:tr w:rsidR="00D1587D" w14:paraId="69E57155" w14:textId="77777777">
        <w:trPr>
          <w:trHeight w:val="230"/>
        </w:trPr>
        <w:tc>
          <w:tcPr>
            <w:tcW w:w="9180" w:type="dxa"/>
            <w:gridSpan w:val="3"/>
            <w:vAlign w:val="bottom"/>
          </w:tcPr>
          <w:p w14:paraId="45240FA4" w14:textId="77777777" w:rsidR="00D1587D" w:rsidRDefault="00410D07">
            <w:pPr>
              <w:rPr>
                <w:sz w:val="20"/>
                <w:szCs w:val="20"/>
              </w:rPr>
            </w:pPr>
            <w:r>
              <w:rPr>
                <w:rFonts w:ascii="Arial" w:eastAsia="Arial" w:hAnsi="Arial" w:cs="Arial"/>
                <w:sz w:val="18"/>
                <w:szCs w:val="18"/>
              </w:rPr>
              <w:t xml:space="preserve">Section 3.06. </w:t>
            </w:r>
            <w:r>
              <w:rPr>
                <w:rFonts w:ascii="Arial" w:eastAsia="Arial" w:hAnsi="Arial" w:cs="Arial"/>
                <w:i/>
                <w:iCs/>
                <w:sz w:val="18"/>
                <w:szCs w:val="18"/>
              </w:rPr>
              <w:t>Transfer-Related Termination Liabilities</w:t>
            </w:r>
          </w:p>
        </w:tc>
        <w:tc>
          <w:tcPr>
            <w:tcW w:w="2060" w:type="dxa"/>
            <w:gridSpan w:val="2"/>
            <w:vAlign w:val="bottom"/>
          </w:tcPr>
          <w:p w14:paraId="1378E0F2" w14:textId="77777777" w:rsidR="00D1587D" w:rsidRDefault="00410D07">
            <w:pPr>
              <w:jc w:val="right"/>
              <w:rPr>
                <w:sz w:val="20"/>
                <w:szCs w:val="20"/>
              </w:rPr>
            </w:pPr>
            <w:r>
              <w:rPr>
                <w:rFonts w:ascii="Arial" w:eastAsia="Arial" w:hAnsi="Arial" w:cs="Arial"/>
                <w:sz w:val="18"/>
                <w:szCs w:val="18"/>
              </w:rPr>
              <w:t>16</w:t>
            </w:r>
          </w:p>
        </w:tc>
        <w:tc>
          <w:tcPr>
            <w:tcW w:w="0" w:type="dxa"/>
            <w:vAlign w:val="bottom"/>
          </w:tcPr>
          <w:p w14:paraId="1F5A651B" w14:textId="77777777" w:rsidR="00D1587D" w:rsidRDefault="00D1587D">
            <w:pPr>
              <w:rPr>
                <w:sz w:val="1"/>
                <w:szCs w:val="1"/>
              </w:rPr>
            </w:pPr>
          </w:p>
        </w:tc>
      </w:tr>
      <w:tr w:rsidR="00D1587D" w14:paraId="2B85D18A" w14:textId="77777777">
        <w:trPr>
          <w:trHeight w:val="418"/>
        </w:trPr>
        <w:tc>
          <w:tcPr>
            <w:tcW w:w="4780" w:type="dxa"/>
            <w:vAlign w:val="bottom"/>
          </w:tcPr>
          <w:p w14:paraId="2239B062" w14:textId="77777777" w:rsidR="00D1587D" w:rsidRDefault="00D1587D">
            <w:pPr>
              <w:rPr>
                <w:sz w:val="24"/>
                <w:szCs w:val="24"/>
              </w:rPr>
            </w:pPr>
          </w:p>
        </w:tc>
        <w:tc>
          <w:tcPr>
            <w:tcW w:w="4400" w:type="dxa"/>
            <w:gridSpan w:val="2"/>
            <w:vAlign w:val="bottom"/>
          </w:tcPr>
          <w:p w14:paraId="1A3065AA" w14:textId="77777777" w:rsidR="00D1587D" w:rsidRDefault="00410D07">
            <w:pPr>
              <w:ind w:right="2720"/>
              <w:jc w:val="center"/>
              <w:rPr>
                <w:sz w:val="20"/>
                <w:szCs w:val="20"/>
              </w:rPr>
            </w:pPr>
            <w:r>
              <w:rPr>
                <w:rFonts w:ascii="Arial" w:eastAsia="Arial" w:hAnsi="Arial" w:cs="Arial"/>
                <w:w w:val="96"/>
                <w:sz w:val="18"/>
                <w:szCs w:val="18"/>
              </w:rPr>
              <w:t>ARTICLE 4</w:t>
            </w:r>
          </w:p>
        </w:tc>
        <w:tc>
          <w:tcPr>
            <w:tcW w:w="1720" w:type="dxa"/>
            <w:vAlign w:val="bottom"/>
          </w:tcPr>
          <w:p w14:paraId="4DB8D7DD" w14:textId="77777777" w:rsidR="00D1587D" w:rsidRDefault="00D1587D">
            <w:pPr>
              <w:rPr>
                <w:sz w:val="24"/>
                <w:szCs w:val="24"/>
              </w:rPr>
            </w:pPr>
          </w:p>
        </w:tc>
        <w:tc>
          <w:tcPr>
            <w:tcW w:w="340" w:type="dxa"/>
            <w:vAlign w:val="bottom"/>
          </w:tcPr>
          <w:p w14:paraId="473E2076" w14:textId="77777777" w:rsidR="00D1587D" w:rsidRDefault="00D1587D">
            <w:pPr>
              <w:rPr>
                <w:sz w:val="24"/>
                <w:szCs w:val="24"/>
              </w:rPr>
            </w:pPr>
          </w:p>
        </w:tc>
        <w:tc>
          <w:tcPr>
            <w:tcW w:w="0" w:type="dxa"/>
            <w:vAlign w:val="bottom"/>
          </w:tcPr>
          <w:p w14:paraId="35702D47" w14:textId="77777777" w:rsidR="00D1587D" w:rsidRDefault="00D1587D">
            <w:pPr>
              <w:rPr>
                <w:sz w:val="1"/>
                <w:szCs w:val="1"/>
              </w:rPr>
            </w:pPr>
          </w:p>
        </w:tc>
      </w:tr>
      <w:tr w:rsidR="00D1587D" w14:paraId="12EF9391" w14:textId="77777777">
        <w:trPr>
          <w:trHeight w:val="230"/>
        </w:trPr>
        <w:tc>
          <w:tcPr>
            <w:tcW w:w="4780" w:type="dxa"/>
            <w:vAlign w:val="bottom"/>
          </w:tcPr>
          <w:p w14:paraId="47C45F51" w14:textId="77777777" w:rsidR="00D1587D" w:rsidRDefault="00D1587D">
            <w:pPr>
              <w:rPr>
                <w:sz w:val="20"/>
                <w:szCs w:val="20"/>
              </w:rPr>
            </w:pPr>
          </w:p>
        </w:tc>
        <w:tc>
          <w:tcPr>
            <w:tcW w:w="4400" w:type="dxa"/>
            <w:gridSpan w:val="2"/>
            <w:vAlign w:val="bottom"/>
          </w:tcPr>
          <w:p w14:paraId="53898B81" w14:textId="77777777" w:rsidR="00D1587D" w:rsidRDefault="00410D07">
            <w:pPr>
              <w:ind w:right="2700"/>
              <w:jc w:val="center"/>
              <w:rPr>
                <w:sz w:val="20"/>
                <w:szCs w:val="20"/>
              </w:rPr>
            </w:pPr>
            <w:r>
              <w:rPr>
                <w:rFonts w:ascii="Arial" w:eastAsia="Arial" w:hAnsi="Arial" w:cs="Arial"/>
                <w:w w:val="96"/>
                <w:sz w:val="18"/>
                <w:szCs w:val="18"/>
              </w:rPr>
              <w:t>P</w:t>
            </w:r>
            <w:r>
              <w:rPr>
                <w:rFonts w:ascii="Arial" w:eastAsia="Arial" w:hAnsi="Arial" w:cs="Arial"/>
                <w:w w:val="96"/>
                <w:sz w:val="12"/>
                <w:szCs w:val="12"/>
              </w:rPr>
              <w:t>LANS</w:t>
            </w:r>
          </w:p>
        </w:tc>
        <w:tc>
          <w:tcPr>
            <w:tcW w:w="1720" w:type="dxa"/>
            <w:vAlign w:val="bottom"/>
          </w:tcPr>
          <w:p w14:paraId="5EB9AEF9" w14:textId="77777777" w:rsidR="00D1587D" w:rsidRDefault="00D1587D">
            <w:pPr>
              <w:rPr>
                <w:sz w:val="20"/>
                <w:szCs w:val="20"/>
              </w:rPr>
            </w:pPr>
          </w:p>
        </w:tc>
        <w:tc>
          <w:tcPr>
            <w:tcW w:w="340" w:type="dxa"/>
            <w:vAlign w:val="bottom"/>
          </w:tcPr>
          <w:p w14:paraId="147A81DE" w14:textId="77777777" w:rsidR="00D1587D" w:rsidRDefault="00D1587D">
            <w:pPr>
              <w:rPr>
                <w:sz w:val="20"/>
                <w:szCs w:val="20"/>
              </w:rPr>
            </w:pPr>
          </w:p>
        </w:tc>
        <w:tc>
          <w:tcPr>
            <w:tcW w:w="0" w:type="dxa"/>
            <w:vAlign w:val="bottom"/>
          </w:tcPr>
          <w:p w14:paraId="3AD4DB58" w14:textId="77777777" w:rsidR="00D1587D" w:rsidRDefault="00D1587D">
            <w:pPr>
              <w:rPr>
                <w:sz w:val="1"/>
                <w:szCs w:val="1"/>
              </w:rPr>
            </w:pPr>
          </w:p>
        </w:tc>
      </w:tr>
      <w:tr w:rsidR="00D1587D" w14:paraId="15D07504" w14:textId="77777777">
        <w:trPr>
          <w:trHeight w:val="418"/>
        </w:trPr>
        <w:tc>
          <w:tcPr>
            <w:tcW w:w="9180" w:type="dxa"/>
            <w:gridSpan w:val="3"/>
            <w:vAlign w:val="bottom"/>
          </w:tcPr>
          <w:p w14:paraId="0BFCD7ED" w14:textId="77777777" w:rsidR="00D1587D" w:rsidRDefault="00410D07">
            <w:pPr>
              <w:rPr>
                <w:sz w:val="20"/>
                <w:szCs w:val="20"/>
              </w:rPr>
            </w:pPr>
            <w:r>
              <w:rPr>
                <w:rFonts w:ascii="Arial" w:eastAsia="Arial" w:hAnsi="Arial" w:cs="Arial"/>
                <w:sz w:val="18"/>
                <w:szCs w:val="18"/>
              </w:rPr>
              <w:t xml:space="preserve">Section 4.01. </w:t>
            </w:r>
            <w:r>
              <w:rPr>
                <w:rFonts w:ascii="Arial" w:eastAsia="Arial" w:hAnsi="Arial" w:cs="Arial"/>
                <w:i/>
                <w:iCs/>
                <w:sz w:val="18"/>
                <w:szCs w:val="18"/>
              </w:rPr>
              <w:t>General; Plan Participation</w:t>
            </w:r>
          </w:p>
        </w:tc>
        <w:tc>
          <w:tcPr>
            <w:tcW w:w="2060" w:type="dxa"/>
            <w:gridSpan w:val="2"/>
            <w:vAlign w:val="bottom"/>
          </w:tcPr>
          <w:p w14:paraId="7DF4660D" w14:textId="77777777" w:rsidR="00D1587D" w:rsidRDefault="00410D07">
            <w:pPr>
              <w:jc w:val="right"/>
              <w:rPr>
                <w:sz w:val="20"/>
                <w:szCs w:val="20"/>
              </w:rPr>
            </w:pPr>
            <w:r>
              <w:rPr>
                <w:rFonts w:ascii="Arial" w:eastAsia="Arial" w:hAnsi="Arial" w:cs="Arial"/>
                <w:sz w:val="18"/>
                <w:szCs w:val="18"/>
              </w:rPr>
              <w:t>17</w:t>
            </w:r>
          </w:p>
        </w:tc>
        <w:tc>
          <w:tcPr>
            <w:tcW w:w="0" w:type="dxa"/>
            <w:vAlign w:val="bottom"/>
          </w:tcPr>
          <w:p w14:paraId="23FC0174" w14:textId="77777777" w:rsidR="00D1587D" w:rsidRDefault="00D1587D">
            <w:pPr>
              <w:rPr>
                <w:sz w:val="1"/>
                <w:szCs w:val="1"/>
              </w:rPr>
            </w:pPr>
          </w:p>
        </w:tc>
      </w:tr>
      <w:tr w:rsidR="00D1587D" w14:paraId="147D3F5F" w14:textId="77777777">
        <w:trPr>
          <w:trHeight w:val="230"/>
        </w:trPr>
        <w:tc>
          <w:tcPr>
            <w:tcW w:w="9180" w:type="dxa"/>
            <w:gridSpan w:val="3"/>
            <w:vAlign w:val="bottom"/>
          </w:tcPr>
          <w:p w14:paraId="7925E4EE" w14:textId="77777777" w:rsidR="00D1587D" w:rsidRDefault="00410D07">
            <w:pPr>
              <w:rPr>
                <w:sz w:val="20"/>
                <w:szCs w:val="20"/>
              </w:rPr>
            </w:pPr>
            <w:r>
              <w:rPr>
                <w:rFonts w:ascii="Arial" w:eastAsia="Arial" w:hAnsi="Arial" w:cs="Arial"/>
                <w:sz w:val="18"/>
                <w:szCs w:val="18"/>
              </w:rPr>
              <w:t xml:space="preserve">Section 4.02. </w:t>
            </w:r>
            <w:r>
              <w:rPr>
                <w:rFonts w:ascii="Arial" w:eastAsia="Arial" w:hAnsi="Arial" w:cs="Arial"/>
                <w:i/>
                <w:iCs/>
                <w:sz w:val="18"/>
                <w:szCs w:val="18"/>
              </w:rPr>
              <w:t>Service Credit</w:t>
            </w:r>
          </w:p>
        </w:tc>
        <w:tc>
          <w:tcPr>
            <w:tcW w:w="2060" w:type="dxa"/>
            <w:gridSpan w:val="2"/>
            <w:vAlign w:val="bottom"/>
          </w:tcPr>
          <w:p w14:paraId="3DCC6D6E" w14:textId="77777777" w:rsidR="00D1587D" w:rsidRDefault="00410D07">
            <w:pPr>
              <w:jc w:val="right"/>
              <w:rPr>
                <w:sz w:val="20"/>
                <w:szCs w:val="20"/>
              </w:rPr>
            </w:pPr>
            <w:r>
              <w:rPr>
                <w:rFonts w:ascii="Arial" w:eastAsia="Arial" w:hAnsi="Arial" w:cs="Arial"/>
                <w:sz w:val="18"/>
                <w:szCs w:val="18"/>
              </w:rPr>
              <w:t>18</w:t>
            </w:r>
          </w:p>
        </w:tc>
        <w:tc>
          <w:tcPr>
            <w:tcW w:w="0" w:type="dxa"/>
            <w:vAlign w:val="bottom"/>
          </w:tcPr>
          <w:p w14:paraId="668EEF3F" w14:textId="77777777" w:rsidR="00D1587D" w:rsidRDefault="00D1587D">
            <w:pPr>
              <w:rPr>
                <w:sz w:val="1"/>
                <w:szCs w:val="1"/>
              </w:rPr>
            </w:pPr>
          </w:p>
        </w:tc>
      </w:tr>
      <w:tr w:rsidR="00D1587D" w14:paraId="5D3914C2" w14:textId="77777777">
        <w:trPr>
          <w:trHeight w:val="418"/>
        </w:trPr>
        <w:tc>
          <w:tcPr>
            <w:tcW w:w="4780" w:type="dxa"/>
            <w:vAlign w:val="bottom"/>
          </w:tcPr>
          <w:p w14:paraId="23F4E02D" w14:textId="77777777" w:rsidR="00D1587D" w:rsidRDefault="00D1587D">
            <w:pPr>
              <w:rPr>
                <w:sz w:val="24"/>
                <w:szCs w:val="24"/>
              </w:rPr>
            </w:pPr>
          </w:p>
        </w:tc>
        <w:tc>
          <w:tcPr>
            <w:tcW w:w="4400" w:type="dxa"/>
            <w:gridSpan w:val="2"/>
            <w:vAlign w:val="bottom"/>
          </w:tcPr>
          <w:p w14:paraId="0448EED3" w14:textId="77777777" w:rsidR="00D1587D" w:rsidRDefault="00410D07">
            <w:pPr>
              <w:ind w:right="2720"/>
              <w:jc w:val="center"/>
              <w:rPr>
                <w:sz w:val="20"/>
                <w:szCs w:val="20"/>
              </w:rPr>
            </w:pPr>
            <w:r>
              <w:rPr>
                <w:rFonts w:ascii="Arial" w:eastAsia="Arial" w:hAnsi="Arial" w:cs="Arial"/>
                <w:w w:val="96"/>
                <w:sz w:val="18"/>
                <w:szCs w:val="18"/>
              </w:rPr>
              <w:t>ARTICLE 5</w:t>
            </w:r>
          </w:p>
        </w:tc>
        <w:tc>
          <w:tcPr>
            <w:tcW w:w="1720" w:type="dxa"/>
            <w:vAlign w:val="bottom"/>
          </w:tcPr>
          <w:p w14:paraId="7CFECB46" w14:textId="77777777" w:rsidR="00D1587D" w:rsidRDefault="00D1587D">
            <w:pPr>
              <w:rPr>
                <w:sz w:val="24"/>
                <w:szCs w:val="24"/>
              </w:rPr>
            </w:pPr>
          </w:p>
        </w:tc>
        <w:tc>
          <w:tcPr>
            <w:tcW w:w="340" w:type="dxa"/>
            <w:vAlign w:val="bottom"/>
          </w:tcPr>
          <w:p w14:paraId="55C9263A" w14:textId="77777777" w:rsidR="00D1587D" w:rsidRDefault="00D1587D">
            <w:pPr>
              <w:rPr>
                <w:sz w:val="24"/>
                <w:szCs w:val="24"/>
              </w:rPr>
            </w:pPr>
          </w:p>
        </w:tc>
        <w:tc>
          <w:tcPr>
            <w:tcW w:w="0" w:type="dxa"/>
            <w:vAlign w:val="bottom"/>
          </w:tcPr>
          <w:p w14:paraId="20CC6B32" w14:textId="77777777" w:rsidR="00D1587D" w:rsidRDefault="00D1587D">
            <w:pPr>
              <w:rPr>
                <w:sz w:val="1"/>
                <w:szCs w:val="1"/>
              </w:rPr>
            </w:pPr>
          </w:p>
        </w:tc>
      </w:tr>
      <w:tr w:rsidR="00D1587D" w14:paraId="14DC0C90" w14:textId="77777777">
        <w:trPr>
          <w:trHeight w:val="230"/>
        </w:trPr>
        <w:tc>
          <w:tcPr>
            <w:tcW w:w="9180" w:type="dxa"/>
            <w:gridSpan w:val="3"/>
            <w:vAlign w:val="bottom"/>
          </w:tcPr>
          <w:p w14:paraId="71DE4E22" w14:textId="77777777" w:rsidR="00D1587D" w:rsidRDefault="00410D07">
            <w:pPr>
              <w:ind w:left="1970"/>
              <w:jc w:val="center"/>
              <w:rPr>
                <w:sz w:val="20"/>
                <w:szCs w:val="20"/>
              </w:rPr>
            </w:pPr>
            <w:r>
              <w:rPr>
                <w:rFonts w:ascii="Arial" w:eastAsia="Arial" w:hAnsi="Arial" w:cs="Arial"/>
                <w:w w:val="98"/>
                <w:sz w:val="18"/>
                <w:szCs w:val="18"/>
              </w:rPr>
              <w:t>D</w:t>
            </w:r>
            <w:r>
              <w:rPr>
                <w:rFonts w:ascii="Arial" w:eastAsia="Arial" w:hAnsi="Arial" w:cs="Arial"/>
                <w:w w:val="98"/>
                <w:sz w:val="12"/>
                <w:szCs w:val="12"/>
              </w:rPr>
              <w:t>EFINED</w:t>
            </w:r>
            <w:r>
              <w:rPr>
                <w:rFonts w:ascii="Arial" w:eastAsia="Arial" w:hAnsi="Arial" w:cs="Arial"/>
                <w:w w:val="98"/>
                <w:sz w:val="18"/>
                <w:szCs w:val="18"/>
              </w:rPr>
              <w:t xml:space="preserve"> C</w:t>
            </w:r>
            <w:r>
              <w:rPr>
                <w:rFonts w:ascii="Arial" w:eastAsia="Arial" w:hAnsi="Arial" w:cs="Arial"/>
                <w:w w:val="98"/>
                <w:sz w:val="12"/>
                <w:szCs w:val="12"/>
              </w:rPr>
              <w:t>ONTRIBUTION</w:t>
            </w:r>
            <w:r>
              <w:rPr>
                <w:rFonts w:ascii="Arial" w:eastAsia="Arial" w:hAnsi="Arial" w:cs="Arial"/>
                <w:w w:val="98"/>
                <w:sz w:val="18"/>
                <w:szCs w:val="18"/>
              </w:rPr>
              <w:t xml:space="preserve"> R</w:t>
            </w:r>
            <w:r>
              <w:rPr>
                <w:rFonts w:ascii="Arial" w:eastAsia="Arial" w:hAnsi="Arial" w:cs="Arial"/>
                <w:w w:val="98"/>
                <w:sz w:val="12"/>
                <w:szCs w:val="12"/>
              </w:rPr>
              <w:t>ETIREMENT</w:t>
            </w:r>
            <w:r>
              <w:rPr>
                <w:rFonts w:ascii="Arial" w:eastAsia="Arial" w:hAnsi="Arial" w:cs="Arial"/>
                <w:w w:val="98"/>
                <w:sz w:val="18"/>
                <w:szCs w:val="18"/>
              </w:rPr>
              <w:t xml:space="preserve"> P</w:t>
            </w:r>
            <w:r>
              <w:rPr>
                <w:rFonts w:ascii="Arial" w:eastAsia="Arial" w:hAnsi="Arial" w:cs="Arial"/>
                <w:w w:val="98"/>
                <w:sz w:val="12"/>
                <w:szCs w:val="12"/>
              </w:rPr>
              <w:t>LANS</w:t>
            </w:r>
          </w:p>
        </w:tc>
        <w:tc>
          <w:tcPr>
            <w:tcW w:w="1720" w:type="dxa"/>
            <w:vAlign w:val="bottom"/>
          </w:tcPr>
          <w:p w14:paraId="7868719F" w14:textId="77777777" w:rsidR="00D1587D" w:rsidRDefault="00D1587D">
            <w:pPr>
              <w:rPr>
                <w:sz w:val="20"/>
                <w:szCs w:val="20"/>
              </w:rPr>
            </w:pPr>
          </w:p>
        </w:tc>
        <w:tc>
          <w:tcPr>
            <w:tcW w:w="340" w:type="dxa"/>
            <w:vAlign w:val="bottom"/>
          </w:tcPr>
          <w:p w14:paraId="59DBE9F4" w14:textId="77777777" w:rsidR="00D1587D" w:rsidRDefault="00D1587D">
            <w:pPr>
              <w:rPr>
                <w:sz w:val="20"/>
                <w:szCs w:val="20"/>
              </w:rPr>
            </w:pPr>
          </w:p>
        </w:tc>
        <w:tc>
          <w:tcPr>
            <w:tcW w:w="0" w:type="dxa"/>
            <w:vAlign w:val="bottom"/>
          </w:tcPr>
          <w:p w14:paraId="64AB25F5" w14:textId="77777777" w:rsidR="00D1587D" w:rsidRDefault="00D1587D">
            <w:pPr>
              <w:rPr>
                <w:sz w:val="1"/>
                <w:szCs w:val="1"/>
              </w:rPr>
            </w:pPr>
          </w:p>
        </w:tc>
      </w:tr>
      <w:tr w:rsidR="00D1587D" w14:paraId="478805CF" w14:textId="77777777">
        <w:trPr>
          <w:trHeight w:val="418"/>
        </w:trPr>
        <w:tc>
          <w:tcPr>
            <w:tcW w:w="9180" w:type="dxa"/>
            <w:gridSpan w:val="3"/>
            <w:vAlign w:val="bottom"/>
          </w:tcPr>
          <w:p w14:paraId="58DA9AA5" w14:textId="77777777" w:rsidR="00D1587D" w:rsidRDefault="00410D07">
            <w:pPr>
              <w:rPr>
                <w:sz w:val="20"/>
                <w:szCs w:val="20"/>
              </w:rPr>
            </w:pPr>
            <w:r>
              <w:rPr>
                <w:rFonts w:ascii="Arial" w:eastAsia="Arial" w:hAnsi="Arial" w:cs="Arial"/>
                <w:sz w:val="18"/>
                <w:szCs w:val="18"/>
              </w:rPr>
              <w:t xml:space="preserve">Section 5.01. </w:t>
            </w:r>
            <w:r>
              <w:rPr>
                <w:rFonts w:ascii="Arial" w:eastAsia="Arial" w:hAnsi="Arial" w:cs="Arial"/>
                <w:i/>
                <w:iCs/>
                <w:sz w:val="18"/>
                <w:szCs w:val="18"/>
              </w:rPr>
              <w:t>401(k) Plan</w:t>
            </w:r>
          </w:p>
        </w:tc>
        <w:tc>
          <w:tcPr>
            <w:tcW w:w="2060" w:type="dxa"/>
            <w:gridSpan w:val="2"/>
            <w:vAlign w:val="bottom"/>
          </w:tcPr>
          <w:p w14:paraId="556B9DD5" w14:textId="77777777" w:rsidR="00D1587D" w:rsidRDefault="00410D07">
            <w:pPr>
              <w:jc w:val="right"/>
              <w:rPr>
                <w:sz w:val="20"/>
                <w:szCs w:val="20"/>
              </w:rPr>
            </w:pPr>
            <w:r>
              <w:rPr>
                <w:rFonts w:ascii="Arial" w:eastAsia="Arial" w:hAnsi="Arial" w:cs="Arial"/>
                <w:sz w:val="18"/>
                <w:szCs w:val="18"/>
              </w:rPr>
              <w:t>19</w:t>
            </w:r>
          </w:p>
        </w:tc>
        <w:tc>
          <w:tcPr>
            <w:tcW w:w="0" w:type="dxa"/>
            <w:vAlign w:val="bottom"/>
          </w:tcPr>
          <w:p w14:paraId="1C92D1D1" w14:textId="77777777" w:rsidR="00D1587D" w:rsidRDefault="00D1587D">
            <w:pPr>
              <w:rPr>
                <w:sz w:val="1"/>
                <w:szCs w:val="1"/>
              </w:rPr>
            </w:pPr>
          </w:p>
        </w:tc>
      </w:tr>
      <w:tr w:rsidR="00D1587D" w14:paraId="15F28A5C" w14:textId="77777777">
        <w:trPr>
          <w:trHeight w:val="230"/>
        </w:trPr>
        <w:tc>
          <w:tcPr>
            <w:tcW w:w="9180" w:type="dxa"/>
            <w:gridSpan w:val="3"/>
            <w:vAlign w:val="bottom"/>
          </w:tcPr>
          <w:p w14:paraId="4853A998" w14:textId="77777777" w:rsidR="00D1587D" w:rsidRDefault="00410D07">
            <w:pPr>
              <w:rPr>
                <w:sz w:val="20"/>
                <w:szCs w:val="20"/>
              </w:rPr>
            </w:pPr>
            <w:r>
              <w:rPr>
                <w:rFonts w:ascii="Arial" w:eastAsia="Arial" w:hAnsi="Arial" w:cs="Arial"/>
                <w:sz w:val="18"/>
                <w:szCs w:val="18"/>
              </w:rPr>
              <w:t xml:space="preserve">Section 5.02. </w:t>
            </w:r>
            <w:r>
              <w:rPr>
                <w:rFonts w:ascii="Arial" w:eastAsia="Arial" w:hAnsi="Arial" w:cs="Arial"/>
                <w:i/>
                <w:iCs/>
                <w:sz w:val="18"/>
                <w:szCs w:val="18"/>
              </w:rPr>
              <w:t>Non-U.S. Defined Contribution Plans</w:t>
            </w:r>
          </w:p>
        </w:tc>
        <w:tc>
          <w:tcPr>
            <w:tcW w:w="2060" w:type="dxa"/>
            <w:gridSpan w:val="2"/>
            <w:vAlign w:val="bottom"/>
          </w:tcPr>
          <w:p w14:paraId="4C9E0C6D" w14:textId="77777777" w:rsidR="00D1587D" w:rsidRDefault="00410D07">
            <w:pPr>
              <w:jc w:val="right"/>
              <w:rPr>
                <w:sz w:val="20"/>
                <w:szCs w:val="20"/>
              </w:rPr>
            </w:pPr>
            <w:r>
              <w:rPr>
                <w:rFonts w:ascii="Arial" w:eastAsia="Arial" w:hAnsi="Arial" w:cs="Arial"/>
                <w:sz w:val="18"/>
                <w:szCs w:val="18"/>
              </w:rPr>
              <w:t>23</w:t>
            </w:r>
          </w:p>
        </w:tc>
        <w:tc>
          <w:tcPr>
            <w:tcW w:w="0" w:type="dxa"/>
            <w:vAlign w:val="bottom"/>
          </w:tcPr>
          <w:p w14:paraId="664F9420" w14:textId="77777777" w:rsidR="00D1587D" w:rsidRDefault="00D1587D">
            <w:pPr>
              <w:rPr>
                <w:sz w:val="1"/>
                <w:szCs w:val="1"/>
              </w:rPr>
            </w:pPr>
          </w:p>
        </w:tc>
      </w:tr>
      <w:tr w:rsidR="00D1587D" w14:paraId="759888AC" w14:textId="77777777">
        <w:trPr>
          <w:trHeight w:val="418"/>
        </w:trPr>
        <w:tc>
          <w:tcPr>
            <w:tcW w:w="4780" w:type="dxa"/>
            <w:vAlign w:val="bottom"/>
          </w:tcPr>
          <w:p w14:paraId="14B2B322" w14:textId="77777777" w:rsidR="00D1587D" w:rsidRDefault="00D1587D">
            <w:pPr>
              <w:rPr>
                <w:sz w:val="24"/>
                <w:szCs w:val="24"/>
              </w:rPr>
            </w:pPr>
          </w:p>
        </w:tc>
        <w:tc>
          <w:tcPr>
            <w:tcW w:w="4400" w:type="dxa"/>
            <w:gridSpan w:val="2"/>
            <w:vAlign w:val="bottom"/>
          </w:tcPr>
          <w:p w14:paraId="268ECC4F" w14:textId="77777777" w:rsidR="00D1587D" w:rsidRDefault="00410D07">
            <w:pPr>
              <w:ind w:right="2720"/>
              <w:jc w:val="center"/>
              <w:rPr>
                <w:sz w:val="20"/>
                <w:szCs w:val="20"/>
              </w:rPr>
            </w:pPr>
            <w:r>
              <w:rPr>
                <w:rFonts w:ascii="Arial" w:eastAsia="Arial" w:hAnsi="Arial" w:cs="Arial"/>
                <w:w w:val="96"/>
                <w:sz w:val="18"/>
                <w:szCs w:val="18"/>
              </w:rPr>
              <w:t>ARTICLE 6</w:t>
            </w:r>
          </w:p>
        </w:tc>
        <w:tc>
          <w:tcPr>
            <w:tcW w:w="1720" w:type="dxa"/>
            <w:vAlign w:val="bottom"/>
          </w:tcPr>
          <w:p w14:paraId="4F40CBF0" w14:textId="77777777" w:rsidR="00D1587D" w:rsidRDefault="00D1587D">
            <w:pPr>
              <w:rPr>
                <w:sz w:val="24"/>
                <w:szCs w:val="24"/>
              </w:rPr>
            </w:pPr>
          </w:p>
        </w:tc>
        <w:tc>
          <w:tcPr>
            <w:tcW w:w="340" w:type="dxa"/>
            <w:vAlign w:val="bottom"/>
          </w:tcPr>
          <w:p w14:paraId="03DC9CD8" w14:textId="77777777" w:rsidR="00D1587D" w:rsidRDefault="00D1587D">
            <w:pPr>
              <w:rPr>
                <w:sz w:val="24"/>
                <w:szCs w:val="24"/>
              </w:rPr>
            </w:pPr>
          </w:p>
        </w:tc>
        <w:tc>
          <w:tcPr>
            <w:tcW w:w="0" w:type="dxa"/>
            <w:vAlign w:val="bottom"/>
          </w:tcPr>
          <w:p w14:paraId="4179B81A" w14:textId="77777777" w:rsidR="00D1587D" w:rsidRDefault="00D1587D">
            <w:pPr>
              <w:rPr>
                <w:sz w:val="1"/>
                <w:szCs w:val="1"/>
              </w:rPr>
            </w:pPr>
          </w:p>
        </w:tc>
      </w:tr>
      <w:tr w:rsidR="00D1587D" w14:paraId="73056312" w14:textId="77777777">
        <w:trPr>
          <w:trHeight w:val="230"/>
        </w:trPr>
        <w:tc>
          <w:tcPr>
            <w:tcW w:w="9180" w:type="dxa"/>
            <w:gridSpan w:val="3"/>
            <w:vAlign w:val="bottom"/>
          </w:tcPr>
          <w:p w14:paraId="77C01668" w14:textId="77777777" w:rsidR="00D1587D" w:rsidRDefault="00410D07">
            <w:pPr>
              <w:ind w:left="1970"/>
              <w:jc w:val="center"/>
              <w:rPr>
                <w:sz w:val="20"/>
                <w:szCs w:val="20"/>
              </w:rPr>
            </w:pPr>
            <w:r>
              <w:rPr>
                <w:rFonts w:ascii="Arial" w:eastAsia="Arial" w:hAnsi="Arial" w:cs="Arial"/>
                <w:w w:val="98"/>
                <w:sz w:val="18"/>
                <w:szCs w:val="18"/>
              </w:rPr>
              <w:t>H</w:t>
            </w:r>
            <w:r>
              <w:rPr>
                <w:rFonts w:ascii="Arial" w:eastAsia="Arial" w:hAnsi="Arial" w:cs="Arial"/>
                <w:w w:val="98"/>
                <w:sz w:val="12"/>
                <w:szCs w:val="12"/>
              </w:rPr>
              <w:t>EALTH AND</w:t>
            </w:r>
            <w:r>
              <w:rPr>
                <w:rFonts w:ascii="Arial" w:eastAsia="Arial" w:hAnsi="Arial" w:cs="Arial"/>
                <w:w w:val="98"/>
                <w:sz w:val="18"/>
                <w:szCs w:val="18"/>
              </w:rPr>
              <w:t xml:space="preserve"> W</w:t>
            </w:r>
            <w:r>
              <w:rPr>
                <w:rFonts w:ascii="Arial" w:eastAsia="Arial" w:hAnsi="Arial" w:cs="Arial"/>
                <w:w w:val="98"/>
                <w:sz w:val="12"/>
                <w:szCs w:val="12"/>
              </w:rPr>
              <w:t>ELFARE</w:t>
            </w:r>
            <w:r>
              <w:rPr>
                <w:rFonts w:ascii="Arial" w:eastAsia="Arial" w:hAnsi="Arial" w:cs="Arial"/>
                <w:w w:val="98"/>
                <w:sz w:val="18"/>
                <w:szCs w:val="18"/>
              </w:rPr>
              <w:t xml:space="preserve"> B</w:t>
            </w:r>
            <w:r>
              <w:rPr>
                <w:rFonts w:ascii="Arial" w:eastAsia="Arial" w:hAnsi="Arial" w:cs="Arial"/>
                <w:w w:val="98"/>
                <w:sz w:val="12"/>
                <w:szCs w:val="12"/>
              </w:rPr>
              <w:t>ENEFIT</w:t>
            </w:r>
            <w:r>
              <w:rPr>
                <w:rFonts w:ascii="Arial" w:eastAsia="Arial" w:hAnsi="Arial" w:cs="Arial"/>
                <w:w w:val="98"/>
                <w:sz w:val="18"/>
                <w:szCs w:val="18"/>
              </w:rPr>
              <w:t xml:space="preserve"> P</w:t>
            </w:r>
            <w:r>
              <w:rPr>
                <w:rFonts w:ascii="Arial" w:eastAsia="Arial" w:hAnsi="Arial" w:cs="Arial"/>
                <w:w w:val="98"/>
                <w:sz w:val="12"/>
                <w:szCs w:val="12"/>
              </w:rPr>
              <w:t>LANS</w:t>
            </w:r>
            <w:r>
              <w:rPr>
                <w:rFonts w:ascii="Arial" w:eastAsia="Arial" w:hAnsi="Arial" w:cs="Arial"/>
                <w:w w:val="98"/>
                <w:sz w:val="18"/>
                <w:szCs w:val="18"/>
              </w:rPr>
              <w:t>; P</w:t>
            </w:r>
            <w:r>
              <w:rPr>
                <w:rFonts w:ascii="Arial" w:eastAsia="Arial" w:hAnsi="Arial" w:cs="Arial"/>
                <w:w w:val="98"/>
                <w:sz w:val="12"/>
                <w:szCs w:val="12"/>
              </w:rPr>
              <w:t>AID</w:t>
            </w:r>
            <w:r>
              <w:rPr>
                <w:rFonts w:ascii="Arial" w:eastAsia="Arial" w:hAnsi="Arial" w:cs="Arial"/>
                <w:w w:val="98"/>
                <w:sz w:val="18"/>
                <w:szCs w:val="18"/>
              </w:rPr>
              <w:t xml:space="preserve"> T</w:t>
            </w:r>
            <w:r>
              <w:rPr>
                <w:rFonts w:ascii="Arial" w:eastAsia="Arial" w:hAnsi="Arial" w:cs="Arial"/>
                <w:w w:val="98"/>
                <w:sz w:val="12"/>
                <w:szCs w:val="12"/>
              </w:rPr>
              <w:t>IME</w:t>
            </w:r>
            <w:r>
              <w:rPr>
                <w:rFonts w:ascii="Arial" w:eastAsia="Arial" w:hAnsi="Arial" w:cs="Arial"/>
                <w:w w:val="98"/>
                <w:sz w:val="18"/>
                <w:szCs w:val="18"/>
              </w:rPr>
              <w:t xml:space="preserve"> O</w:t>
            </w:r>
            <w:r>
              <w:rPr>
                <w:rFonts w:ascii="Arial" w:eastAsia="Arial" w:hAnsi="Arial" w:cs="Arial"/>
                <w:w w:val="98"/>
                <w:sz w:val="12"/>
                <w:szCs w:val="12"/>
              </w:rPr>
              <w:t>FF</w:t>
            </w:r>
          </w:p>
        </w:tc>
        <w:tc>
          <w:tcPr>
            <w:tcW w:w="1720" w:type="dxa"/>
            <w:vAlign w:val="bottom"/>
          </w:tcPr>
          <w:p w14:paraId="1F289197" w14:textId="77777777" w:rsidR="00D1587D" w:rsidRDefault="00D1587D">
            <w:pPr>
              <w:rPr>
                <w:sz w:val="20"/>
                <w:szCs w:val="20"/>
              </w:rPr>
            </w:pPr>
          </w:p>
        </w:tc>
        <w:tc>
          <w:tcPr>
            <w:tcW w:w="340" w:type="dxa"/>
            <w:vAlign w:val="bottom"/>
          </w:tcPr>
          <w:p w14:paraId="7266006E" w14:textId="77777777" w:rsidR="00D1587D" w:rsidRDefault="00D1587D">
            <w:pPr>
              <w:rPr>
                <w:sz w:val="20"/>
                <w:szCs w:val="20"/>
              </w:rPr>
            </w:pPr>
          </w:p>
        </w:tc>
        <w:tc>
          <w:tcPr>
            <w:tcW w:w="0" w:type="dxa"/>
            <w:vAlign w:val="bottom"/>
          </w:tcPr>
          <w:p w14:paraId="4E2B6D1A" w14:textId="77777777" w:rsidR="00D1587D" w:rsidRDefault="00D1587D">
            <w:pPr>
              <w:rPr>
                <w:sz w:val="1"/>
                <w:szCs w:val="1"/>
              </w:rPr>
            </w:pPr>
          </w:p>
        </w:tc>
      </w:tr>
      <w:tr w:rsidR="00D1587D" w14:paraId="4ADCBA36" w14:textId="77777777">
        <w:trPr>
          <w:trHeight w:val="418"/>
        </w:trPr>
        <w:tc>
          <w:tcPr>
            <w:tcW w:w="9180" w:type="dxa"/>
            <w:gridSpan w:val="3"/>
            <w:vAlign w:val="bottom"/>
          </w:tcPr>
          <w:p w14:paraId="30B6A792" w14:textId="77777777" w:rsidR="00D1587D" w:rsidRDefault="00410D07">
            <w:pPr>
              <w:rPr>
                <w:sz w:val="20"/>
                <w:szCs w:val="20"/>
              </w:rPr>
            </w:pPr>
            <w:r>
              <w:rPr>
                <w:rFonts w:ascii="Arial" w:eastAsia="Arial" w:hAnsi="Arial" w:cs="Arial"/>
                <w:sz w:val="18"/>
                <w:szCs w:val="18"/>
              </w:rPr>
              <w:t xml:space="preserve">Section 6.01. </w:t>
            </w:r>
            <w:r>
              <w:rPr>
                <w:rFonts w:ascii="Arial" w:eastAsia="Arial" w:hAnsi="Arial" w:cs="Arial"/>
                <w:i/>
                <w:iCs/>
                <w:sz w:val="18"/>
                <w:szCs w:val="18"/>
              </w:rPr>
              <w:t>Health and Welfare Benefit Plans</w:t>
            </w:r>
          </w:p>
        </w:tc>
        <w:tc>
          <w:tcPr>
            <w:tcW w:w="2060" w:type="dxa"/>
            <w:gridSpan w:val="2"/>
            <w:vAlign w:val="bottom"/>
          </w:tcPr>
          <w:p w14:paraId="6A475398" w14:textId="77777777" w:rsidR="00D1587D" w:rsidRDefault="00410D07">
            <w:pPr>
              <w:jc w:val="right"/>
              <w:rPr>
                <w:sz w:val="20"/>
                <w:szCs w:val="20"/>
              </w:rPr>
            </w:pPr>
            <w:r>
              <w:rPr>
                <w:rFonts w:ascii="Arial" w:eastAsia="Arial" w:hAnsi="Arial" w:cs="Arial"/>
                <w:sz w:val="18"/>
                <w:szCs w:val="18"/>
              </w:rPr>
              <w:t>23</w:t>
            </w:r>
          </w:p>
        </w:tc>
        <w:tc>
          <w:tcPr>
            <w:tcW w:w="0" w:type="dxa"/>
            <w:vAlign w:val="bottom"/>
          </w:tcPr>
          <w:p w14:paraId="4D5ED9F7" w14:textId="77777777" w:rsidR="00D1587D" w:rsidRDefault="00D1587D">
            <w:pPr>
              <w:rPr>
                <w:sz w:val="1"/>
                <w:szCs w:val="1"/>
              </w:rPr>
            </w:pPr>
          </w:p>
        </w:tc>
      </w:tr>
      <w:tr w:rsidR="00D1587D" w14:paraId="79B0A587" w14:textId="77777777">
        <w:trPr>
          <w:trHeight w:val="216"/>
        </w:trPr>
        <w:tc>
          <w:tcPr>
            <w:tcW w:w="9180" w:type="dxa"/>
            <w:gridSpan w:val="3"/>
            <w:vAlign w:val="bottom"/>
          </w:tcPr>
          <w:p w14:paraId="10E08F86" w14:textId="77777777" w:rsidR="00D1587D" w:rsidRDefault="00410D07">
            <w:pPr>
              <w:rPr>
                <w:sz w:val="20"/>
                <w:szCs w:val="20"/>
              </w:rPr>
            </w:pPr>
            <w:r>
              <w:rPr>
                <w:rFonts w:ascii="Arial" w:eastAsia="Arial" w:hAnsi="Arial" w:cs="Arial"/>
                <w:sz w:val="18"/>
                <w:szCs w:val="18"/>
              </w:rPr>
              <w:t xml:space="preserve">Section 6.02. </w:t>
            </w:r>
            <w:r>
              <w:rPr>
                <w:rFonts w:ascii="Arial" w:eastAsia="Arial" w:hAnsi="Arial" w:cs="Arial"/>
                <w:i/>
                <w:iCs/>
                <w:sz w:val="18"/>
                <w:szCs w:val="18"/>
              </w:rPr>
              <w:t xml:space="preserve">Health and </w:t>
            </w:r>
            <w:r>
              <w:rPr>
                <w:rFonts w:ascii="Arial" w:eastAsia="Arial" w:hAnsi="Arial" w:cs="Arial"/>
                <w:i/>
                <w:iCs/>
                <w:sz w:val="18"/>
                <w:szCs w:val="18"/>
              </w:rPr>
              <w:t>Welfare Benefit Plan Claims</w:t>
            </w:r>
          </w:p>
        </w:tc>
        <w:tc>
          <w:tcPr>
            <w:tcW w:w="2060" w:type="dxa"/>
            <w:gridSpan w:val="2"/>
            <w:vAlign w:val="bottom"/>
          </w:tcPr>
          <w:p w14:paraId="11EEBC5B" w14:textId="77777777" w:rsidR="00D1587D" w:rsidRDefault="00410D07">
            <w:pPr>
              <w:jc w:val="right"/>
              <w:rPr>
                <w:sz w:val="20"/>
                <w:szCs w:val="20"/>
              </w:rPr>
            </w:pPr>
            <w:r>
              <w:rPr>
                <w:rFonts w:ascii="Arial" w:eastAsia="Arial" w:hAnsi="Arial" w:cs="Arial"/>
                <w:sz w:val="18"/>
                <w:szCs w:val="18"/>
              </w:rPr>
              <w:t>25</w:t>
            </w:r>
          </w:p>
        </w:tc>
        <w:tc>
          <w:tcPr>
            <w:tcW w:w="0" w:type="dxa"/>
            <w:vAlign w:val="bottom"/>
          </w:tcPr>
          <w:p w14:paraId="0EBCBD23" w14:textId="77777777" w:rsidR="00D1587D" w:rsidRDefault="00D1587D">
            <w:pPr>
              <w:rPr>
                <w:sz w:val="1"/>
                <w:szCs w:val="1"/>
              </w:rPr>
            </w:pPr>
          </w:p>
        </w:tc>
      </w:tr>
      <w:tr w:rsidR="00D1587D" w14:paraId="3147D1C6" w14:textId="77777777">
        <w:trPr>
          <w:trHeight w:val="216"/>
        </w:trPr>
        <w:tc>
          <w:tcPr>
            <w:tcW w:w="9180" w:type="dxa"/>
            <w:gridSpan w:val="3"/>
            <w:vAlign w:val="bottom"/>
          </w:tcPr>
          <w:p w14:paraId="08CB26A1" w14:textId="77777777" w:rsidR="00D1587D" w:rsidRDefault="00410D07">
            <w:pPr>
              <w:rPr>
                <w:sz w:val="20"/>
                <w:szCs w:val="20"/>
              </w:rPr>
            </w:pPr>
            <w:r>
              <w:rPr>
                <w:rFonts w:ascii="Arial" w:eastAsia="Arial" w:hAnsi="Arial" w:cs="Arial"/>
                <w:sz w:val="18"/>
                <w:szCs w:val="18"/>
              </w:rPr>
              <w:t xml:space="preserve">Section 6.03. </w:t>
            </w:r>
            <w:r>
              <w:rPr>
                <w:rFonts w:ascii="Arial" w:eastAsia="Arial" w:hAnsi="Arial" w:cs="Arial"/>
                <w:i/>
                <w:iCs/>
                <w:sz w:val="18"/>
                <w:szCs w:val="18"/>
              </w:rPr>
              <w:t>Flexible Spending Account Plan Treatment</w:t>
            </w:r>
          </w:p>
        </w:tc>
        <w:tc>
          <w:tcPr>
            <w:tcW w:w="2060" w:type="dxa"/>
            <w:gridSpan w:val="2"/>
            <w:vAlign w:val="bottom"/>
          </w:tcPr>
          <w:p w14:paraId="7495A841" w14:textId="77777777" w:rsidR="00D1587D" w:rsidRDefault="00410D07">
            <w:pPr>
              <w:jc w:val="right"/>
              <w:rPr>
                <w:sz w:val="20"/>
                <w:szCs w:val="20"/>
              </w:rPr>
            </w:pPr>
            <w:r>
              <w:rPr>
                <w:rFonts w:ascii="Arial" w:eastAsia="Arial" w:hAnsi="Arial" w:cs="Arial"/>
                <w:sz w:val="18"/>
                <w:szCs w:val="18"/>
              </w:rPr>
              <w:t>26</w:t>
            </w:r>
          </w:p>
        </w:tc>
        <w:tc>
          <w:tcPr>
            <w:tcW w:w="0" w:type="dxa"/>
            <w:vAlign w:val="bottom"/>
          </w:tcPr>
          <w:p w14:paraId="2C64C78A" w14:textId="77777777" w:rsidR="00D1587D" w:rsidRDefault="00D1587D">
            <w:pPr>
              <w:rPr>
                <w:sz w:val="1"/>
                <w:szCs w:val="1"/>
              </w:rPr>
            </w:pPr>
          </w:p>
        </w:tc>
      </w:tr>
      <w:tr w:rsidR="00D1587D" w14:paraId="0B6C4515" w14:textId="77777777">
        <w:trPr>
          <w:trHeight w:val="216"/>
        </w:trPr>
        <w:tc>
          <w:tcPr>
            <w:tcW w:w="9180" w:type="dxa"/>
            <w:gridSpan w:val="3"/>
            <w:vAlign w:val="bottom"/>
          </w:tcPr>
          <w:p w14:paraId="2B476E33" w14:textId="77777777" w:rsidR="00D1587D" w:rsidRDefault="00410D07">
            <w:pPr>
              <w:rPr>
                <w:sz w:val="20"/>
                <w:szCs w:val="20"/>
              </w:rPr>
            </w:pPr>
            <w:r>
              <w:rPr>
                <w:rFonts w:ascii="Arial" w:eastAsia="Arial" w:hAnsi="Arial" w:cs="Arial"/>
                <w:sz w:val="18"/>
                <w:szCs w:val="18"/>
              </w:rPr>
              <w:t xml:space="preserve">Section 6.04. </w:t>
            </w:r>
            <w:r>
              <w:rPr>
                <w:rFonts w:ascii="Arial" w:eastAsia="Arial" w:hAnsi="Arial" w:cs="Arial"/>
                <w:i/>
                <w:iCs/>
                <w:sz w:val="18"/>
                <w:szCs w:val="18"/>
              </w:rPr>
              <w:t>Workers’ Compensation Liabilities</w:t>
            </w:r>
          </w:p>
        </w:tc>
        <w:tc>
          <w:tcPr>
            <w:tcW w:w="2060" w:type="dxa"/>
            <w:gridSpan w:val="2"/>
            <w:vAlign w:val="bottom"/>
          </w:tcPr>
          <w:p w14:paraId="6E5B6920" w14:textId="77777777" w:rsidR="00D1587D" w:rsidRDefault="00410D07">
            <w:pPr>
              <w:jc w:val="right"/>
              <w:rPr>
                <w:sz w:val="20"/>
                <w:szCs w:val="20"/>
              </w:rPr>
            </w:pPr>
            <w:r>
              <w:rPr>
                <w:rFonts w:ascii="Arial" w:eastAsia="Arial" w:hAnsi="Arial" w:cs="Arial"/>
                <w:sz w:val="18"/>
                <w:szCs w:val="18"/>
              </w:rPr>
              <w:t>27</w:t>
            </w:r>
          </w:p>
        </w:tc>
        <w:tc>
          <w:tcPr>
            <w:tcW w:w="0" w:type="dxa"/>
            <w:vAlign w:val="bottom"/>
          </w:tcPr>
          <w:p w14:paraId="43DCDF38" w14:textId="77777777" w:rsidR="00D1587D" w:rsidRDefault="00D1587D">
            <w:pPr>
              <w:rPr>
                <w:sz w:val="1"/>
                <w:szCs w:val="1"/>
              </w:rPr>
            </w:pPr>
          </w:p>
        </w:tc>
      </w:tr>
      <w:tr w:rsidR="00D1587D" w14:paraId="7FFB2E41" w14:textId="77777777">
        <w:trPr>
          <w:trHeight w:val="216"/>
        </w:trPr>
        <w:tc>
          <w:tcPr>
            <w:tcW w:w="9180" w:type="dxa"/>
            <w:gridSpan w:val="3"/>
            <w:vAlign w:val="bottom"/>
          </w:tcPr>
          <w:p w14:paraId="53A2F305" w14:textId="77777777" w:rsidR="00D1587D" w:rsidRDefault="00410D07">
            <w:pPr>
              <w:rPr>
                <w:sz w:val="20"/>
                <w:szCs w:val="20"/>
              </w:rPr>
            </w:pPr>
            <w:r>
              <w:rPr>
                <w:rFonts w:ascii="Arial" w:eastAsia="Arial" w:hAnsi="Arial" w:cs="Arial"/>
                <w:sz w:val="18"/>
                <w:szCs w:val="18"/>
              </w:rPr>
              <w:t xml:space="preserve">Section 6.05. </w:t>
            </w:r>
            <w:r>
              <w:rPr>
                <w:rFonts w:ascii="Arial" w:eastAsia="Arial" w:hAnsi="Arial" w:cs="Arial"/>
                <w:i/>
                <w:iCs/>
                <w:sz w:val="18"/>
                <w:szCs w:val="18"/>
              </w:rPr>
              <w:t>Paid Time Off</w:t>
            </w:r>
          </w:p>
        </w:tc>
        <w:tc>
          <w:tcPr>
            <w:tcW w:w="2060" w:type="dxa"/>
            <w:gridSpan w:val="2"/>
            <w:vAlign w:val="bottom"/>
          </w:tcPr>
          <w:p w14:paraId="2D51F018" w14:textId="77777777" w:rsidR="00D1587D" w:rsidRDefault="00410D07">
            <w:pPr>
              <w:jc w:val="right"/>
              <w:rPr>
                <w:sz w:val="20"/>
                <w:szCs w:val="20"/>
              </w:rPr>
            </w:pPr>
            <w:r>
              <w:rPr>
                <w:rFonts w:ascii="Arial" w:eastAsia="Arial" w:hAnsi="Arial" w:cs="Arial"/>
                <w:sz w:val="18"/>
                <w:szCs w:val="18"/>
              </w:rPr>
              <w:t>27</w:t>
            </w:r>
          </w:p>
        </w:tc>
        <w:tc>
          <w:tcPr>
            <w:tcW w:w="0" w:type="dxa"/>
            <w:vAlign w:val="bottom"/>
          </w:tcPr>
          <w:p w14:paraId="3B748410" w14:textId="77777777" w:rsidR="00D1587D" w:rsidRDefault="00D1587D">
            <w:pPr>
              <w:rPr>
                <w:sz w:val="1"/>
                <w:szCs w:val="1"/>
              </w:rPr>
            </w:pPr>
          </w:p>
        </w:tc>
      </w:tr>
      <w:tr w:rsidR="00D1587D" w14:paraId="1DE1EC41" w14:textId="77777777">
        <w:trPr>
          <w:trHeight w:val="230"/>
        </w:trPr>
        <w:tc>
          <w:tcPr>
            <w:tcW w:w="9180" w:type="dxa"/>
            <w:gridSpan w:val="3"/>
            <w:vAlign w:val="bottom"/>
          </w:tcPr>
          <w:p w14:paraId="622A68A6" w14:textId="77777777" w:rsidR="00D1587D" w:rsidRDefault="00410D07">
            <w:pPr>
              <w:rPr>
                <w:sz w:val="20"/>
                <w:szCs w:val="20"/>
              </w:rPr>
            </w:pPr>
            <w:r>
              <w:rPr>
                <w:rFonts w:ascii="Arial" w:eastAsia="Arial" w:hAnsi="Arial" w:cs="Arial"/>
                <w:sz w:val="18"/>
                <w:szCs w:val="18"/>
              </w:rPr>
              <w:t xml:space="preserve">Section 6.06. </w:t>
            </w:r>
            <w:r>
              <w:rPr>
                <w:rFonts w:ascii="Arial" w:eastAsia="Arial" w:hAnsi="Arial" w:cs="Arial"/>
                <w:i/>
                <w:iCs/>
                <w:sz w:val="18"/>
                <w:szCs w:val="18"/>
              </w:rPr>
              <w:t>COBRA</w:t>
            </w:r>
          </w:p>
        </w:tc>
        <w:tc>
          <w:tcPr>
            <w:tcW w:w="2060" w:type="dxa"/>
            <w:gridSpan w:val="2"/>
            <w:vAlign w:val="bottom"/>
          </w:tcPr>
          <w:p w14:paraId="0FFD9E05" w14:textId="77777777" w:rsidR="00D1587D" w:rsidRDefault="00410D07">
            <w:pPr>
              <w:jc w:val="right"/>
              <w:rPr>
                <w:sz w:val="20"/>
                <w:szCs w:val="20"/>
              </w:rPr>
            </w:pPr>
            <w:r>
              <w:rPr>
                <w:rFonts w:ascii="Arial" w:eastAsia="Arial" w:hAnsi="Arial" w:cs="Arial"/>
                <w:sz w:val="18"/>
                <w:szCs w:val="18"/>
              </w:rPr>
              <w:t>28</w:t>
            </w:r>
          </w:p>
        </w:tc>
        <w:tc>
          <w:tcPr>
            <w:tcW w:w="0" w:type="dxa"/>
            <w:vAlign w:val="bottom"/>
          </w:tcPr>
          <w:p w14:paraId="0FA3E702" w14:textId="77777777" w:rsidR="00D1587D" w:rsidRDefault="00D1587D">
            <w:pPr>
              <w:rPr>
                <w:sz w:val="1"/>
                <w:szCs w:val="1"/>
              </w:rPr>
            </w:pPr>
          </w:p>
        </w:tc>
      </w:tr>
    </w:tbl>
    <w:p w14:paraId="7F3139C0" w14:textId="77777777" w:rsidR="00D1587D" w:rsidRDefault="00D1587D">
      <w:pPr>
        <w:spacing w:line="373" w:lineRule="exact"/>
        <w:rPr>
          <w:sz w:val="20"/>
          <w:szCs w:val="20"/>
        </w:rPr>
      </w:pPr>
    </w:p>
    <w:p w14:paraId="1E81672C" w14:textId="77777777" w:rsidR="00D1587D" w:rsidRDefault="00410D07">
      <w:pPr>
        <w:jc w:val="center"/>
        <w:rPr>
          <w:sz w:val="20"/>
          <w:szCs w:val="20"/>
        </w:rPr>
      </w:pPr>
      <w:r>
        <w:rPr>
          <w:rFonts w:ascii="Arial" w:eastAsia="Arial" w:hAnsi="Arial" w:cs="Arial"/>
          <w:sz w:val="14"/>
          <w:szCs w:val="14"/>
        </w:rPr>
        <w:t>i</w:t>
      </w:r>
    </w:p>
    <w:p w14:paraId="655FD687" w14:textId="77777777" w:rsidR="00D1587D" w:rsidRDefault="00410D07">
      <w:pPr>
        <w:spacing w:line="20" w:lineRule="exact"/>
        <w:rPr>
          <w:sz w:val="20"/>
          <w:szCs w:val="20"/>
        </w:rPr>
      </w:pPr>
      <w:r>
        <w:rPr>
          <w:noProof/>
          <w:sz w:val="20"/>
          <w:szCs w:val="20"/>
        </w:rPr>
        <w:drawing>
          <wp:anchor distT="0" distB="0" distL="114300" distR="114300" simplePos="0" relativeHeight="251328512" behindDoc="1" locked="0" layoutInCell="0" allowOverlap="1" wp14:anchorId="11981DE2" wp14:editId="13BF2EE3">
            <wp:simplePos x="0" y="0"/>
            <wp:positionH relativeFrom="column">
              <wp:posOffset>5080</wp:posOffset>
            </wp:positionH>
            <wp:positionV relativeFrom="paragraph">
              <wp:posOffset>38100</wp:posOffset>
            </wp:positionV>
            <wp:extent cx="7132320" cy="17145"/>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8B5E730" w14:textId="77777777" w:rsidR="00D1587D" w:rsidRDefault="00D1587D">
      <w:pPr>
        <w:sectPr w:rsidR="00D1587D">
          <w:pgSz w:w="11900" w:h="16838"/>
          <w:pgMar w:top="337" w:right="339" w:bottom="1440" w:left="320" w:header="0" w:footer="0" w:gutter="0"/>
          <w:cols w:space="720" w:equalWidth="0">
            <w:col w:w="11240"/>
          </w:cols>
        </w:sectPr>
      </w:pPr>
    </w:p>
    <w:tbl>
      <w:tblPr>
        <w:tblW w:w="0" w:type="auto"/>
        <w:tblLayout w:type="fixed"/>
        <w:tblCellMar>
          <w:left w:w="0" w:type="dxa"/>
          <w:right w:w="0" w:type="dxa"/>
        </w:tblCellMar>
        <w:tblLook w:val="04A0" w:firstRow="1" w:lastRow="0" w:firstColumn="1" w:lastColumn="0" w:noHBand="0" w:noVBand="1"/>
      </w:tblPr>
      <w:tblGrid>
        <w:gridCol w:w="9260"/>
        <w:gridCol w:w="1980"/>
      </w:tblGrid>
      <w:tr w:rsidR="00D1587D" w14:paraId="1489D0F8" w14:textId="77777777">
        <w:trPr>
          <w:trHeight w:val="216"/>
        </w:trPr>
        <w:tc>
          <w:tcPr>
            <w:tcW w:w="9260" w:type="dxa"/>
            <w:vAlign w:val="bottom"/>
          </w:tcPr>
          <w:p w14:paraId="6572F6B9" w14:textId="77777777" w:rsidR="00D1587D" w:rsidRDefault="00410D07">
            <w:pPr>
              <w:ind w:left="1890"/>
              <w:jc w:val="center"/>
              <w:rPr>
                <w:sz w:val="20"/>
                <w:szCs w:val="20"/>
              </w:rPr>
            </w:pPr>
            <w:bookmarkStart w:id="170" w:name="page171"/>
            <w:bookmarkEnd w:id="170"/>
            <w:r>
              <w:rPr>
                <w:rFonts w:ascii="Arial" w:eastAsia="Arial" w:hAnsi="Arial" w:cs="Arial"/>
                <w:w w:val="96"/>
                <w:sz w:val="18"/>
                <w:szCs w:val="18"/>
              </w:rPr>
              <w:t>ARTICLE 7</w:t>
            </w:r>
          </w:p>
        </w:tc>
        <w:tc>
          <w:tcPr>
            <w:tcW w:w="1980" w:type="dxa"/>
            <w:vAlign w:val="bottom"/>
          </w:tcPr>
          <w:p w14:paraId="067012B1" w14:textId="77777777" w:rsidR="00D1587D" w:rsidRDefault="00D1587D">
            <w:pPr>
              <w:rPr>
                <w:sz w:val="18"/>
                <w:szCs w:val="18"/>
              </w:rPr>
            </w:pPr>
          </w:p>
        </w:tc>
      </w:tr>
      <w:tr w:rsidR="00D1587D" w14:paraId="534DAA2C" w14:textId="77777777">
        <w:trPr>
          <w:trHeight w:val="230"/>
        </w:trPr>
        <w:tc>
          <w:tcPr>
            <w:tcW w:w="9260" w:type="dxa"/>
            <w:vAlign w:val="bottom"/>
          </w:tcPr>
          <w:p w14:paraId="06226435" w14:textId="77777777" w:rsidR="00D1587D" w:rsidRDefault="00410D07">
            <w:pPr>
              <w:ind w:left="1890"/>
              <w:jc w:val="center"/>
              <w:rPr>
                <w:sz w:val="20"/>
                <w:szCs w:val="20"/>
              </w:rPr>
            </w:pPr>
            <w:r>
              <w:rPr>
                <w:rFonts w:ascii="Arial" w:eastAsia="Arial" w:hAnsi="Arial" w:cs="Arial"/>
                <w:w w:val="98"/>
                <w:sz w:val="18"/>
                <w:szCs w:val="18"/>
              </w:rPr>
              <w:t>C</w:t>
            </w:r>
            <w:r>
              <w:rPr>
                <w:rFonts w:ascii="Arial" w:eastAsia="Arial" w:hAnsi="Arial" w:cs="Arial"/>
                <w:w w:val="98"/>
                <w:sz w:val="12"/>
                <w:szCs w:val="12"/>
              </w:rPr>
              <w:t>ASH</w:t>
            </w:r>
            <w:r>
              <w:rPr>
                <w:rFonts w:ascii="Arial" w:eastAsia="Arial" w:hAnsi="Arial" w:cs="Arial"/>
                <w:w w:val="98"/>
                <w:sz w:val="18"/>
                <w:szCs w:val="18"/>
              </w:rPr>
              <w:t xml:space="preserve"> I</w:t>
            </w:r>
            <w:r>
              <w:rPr>
                <w:rFonts w:ascii="Arial" w:eastAsia="Arial" w:hAnsi="Arial" w:cs="Arial"/>
                <w:w w:val="98"/>
                <w:sz w:val="12"/>
                <w:szCs w:val="12"/>
              </w:rPr>
              <w:t>NCENTIVE AND</w:t>
            </w:r>
            <w:r>
              <w:rPr>
                <w:rFonts w:ascii="Arial" w:eastAsia="Arial" w:hAnsi="Arial" w:cs="Arial"/>
                <w:w w:val="98"/>
                <w:sz w:val="18"/>
                <w:szCs w:val="18"/>
              </w:rPr>
              <w:t xml:space="preserve"> R</w:t>
            </w:r>
            <w:r>
              <w:rPr>
                <w:rFonts w:ascii="Arial" w:eastAsia="Arial" w:hAnsi="Arial" w:cs="Arial"/>
                <w:w w:val="98"/>
                <w:sz w:val="12"/>
                <w:szCs w:val="12"/>
              </w:rPr>
              <w:t>ETENTION</w:t>
            </w:r>
            <w:r>
              <w:rPr>
                <w:rFonts w:ascii="Arial" w:eastAsia="Arial" w:hAnsi="Arial" w:cs="Arial"/>
                <w:w w:val="98"/>
                <w:sz w:val="18"/>
                <w:szCs w:val="18"/>
              </w:rPr>
              <w:t xml:space="preserve"> C</w:t>
            </w:r>
            <w:r>
              <w:rPr>
                <w:rFonts w:ascii="Arial" w:eastAsia="Arial" w:hAnsi="Arial" w:cs="Arial"/>
                <w:w w:val="98"/>
                <w:sz w:val="12"/>
                <w:szCs w:val="12"/>
              </w:rPr>
              <w:t>OMPENSATION</w:t>
            </w:r>
          </w:p>
        </w:tc>
        <w:tc>
          <w:tcPr>
            <w:tcW w:w="1980" w:type="dxa"/>
            <w:vAlign w:val="bottom"/>
          </w:tcPr>
          <w:p w14:paraId="706AFBE0" w14:textId="77777777" w:rsidR="00D1587D" w:rsidRDefault="00D1587D">
            <w:pPr>
              <w:rPr>
                <w:sz w:val="20"/>
                <w:szCs w:val="20"/>
              </w:rPr>
            </w:pPr>
          </w:p>
        </w:tc>
      </w:tr>
      <w:tr w:rsidR="00D1587D" w14:paraId="04FFF1DE" w14:textId="77777777">
        <w:trPr>
          <w:trHeight w:val="418"/>
        </w:trPr>
        <w:tc>
          <w:tcPr>
            <w:tcW w:w="9260" w:type="dxa"/>
            <w:vAlign w:val="bottom"/>
          </w:tcPr>
          <w:p w14:paraId="6586461B" w14:textId="77777777" w:rsidR="00D1587D" w:rsidRDefault="00410D07">
            <w:pPr>
              <w:rPr>
                <w:sz w:val="20"/>
                <w:szCs w:val="20"/>
              </w:rPr>
            </w:pPr>
            <w:r>
              <w:rPr>
                <w:rFonts w:ascii="Arial" w:eastAsia="Arial" w:hAnsi="Arial" w:cs="Arial"/>
                <w:sz w:val="18"/>
                <w:szCs w:val="18"/>
              </w:rPr>
              <w:t xml:space="preserve">Section 7.01. </w:t>
            </w:r>
            <w:r>
              <w:rPr>
                <w:rFonts w:ascii="Arial" w:eastAsia="Arial" w:hAnsi="Arial" w:cs="Arial"/>
                <w:i/>
                <w:iCs/>
                <w:sz w:val="18"/>
                <w:szCs w:val="18"/>
              </w:rPr>
              <w:t>L Brands Cash Bonus Plans</w:t>
            </w:r>
          </w:p>
        </w:tc>
        <w:tc>
          <w:tcPr>
            <w:tcW w:w="1980" w:type="dxa"/>
            <w:vAlign w:val="bottom"/>
          </w:tcPr>
          <w:p w14:paraId="6B3C57C4" w14:textId="77777777" w:rsidR="00D1587D" w:rsidRDefault="00410D07">
            <w:pPr>
              <w:jc w:val="right"/>
              <w:rPr>
                <w:sz w:val="20"/>
                <w:szCs w:val="20"/>
              </w:rPr>
            </w:pPr>
            <w:r>
              <w:rPr>
                <w:rFonts w:ascii="Arial" w:eastAsia="Arial" w:hAnsi="Arial" w:cs="Arial"/>
                <w:sz w:val="18"/>
                <w:szCs w:val="18"/>
              </w:rPr>
              <w:t>29</w:t>
            </w:r>
          </w:p>
        </w:tc>
      </w:tr>
      <w:tr w:rsidR="00D1587D" w14:paraId="24D11269" w14:textId="77777777">
        <w:trPr>
          <w:trHeight w:val="216"/>
        </w:trPr>
        <w:tc>
          <w:tcPr>
            <w:tcW w:w="9260" w:type="dxa"/>
            <w:vAlign w:val="bottom"/>
          </w:tcPr>
          <w:p w14:paraId="69EE8845" w14:textId="77777777" w:rsidR="00D1587D" w:rsidRDefault="00410D07">
            <w:pPr>
              <w:rPr>
                <w:sz w:val="20"/>
                <w:szCs w:val="20"/>
              </w:rPr>
            </w:pPr>
            <w:r>
              <w:rPr>
                <w:rFonts w:ascii="Arial" w:eastAsia="Arial" w:hAnsi="Arial" w:cs="Arial"/>
                <w:sz w:val="18"/>
                <w:szCs w:val="18"/>
              </w:rPr>
              <w:t xml:space="preserve">Section 7.02. </w:t>
            </w:r>
            <w:r>
              <w:rPr>
                <w:rFonts w:ascii="Arial" w:eastAsia="Arial" w:hAnsi="Arial" w:cs="Arial"/>
                <w:i/>
                <w:iCs/>
                <w:sz w:val="18"/>
                <w:szCs w:val="18"/>
              </w:rPr>
              <w:t>VS Cash Bonus Plans</w:t>
            </w:r>
          </w:p>
        </w:tc>
        <w:tc>
          <w:tcPr>
            <w:tcW w:w="1980" w:type="dxa"/>
            <w:vAlign w:val="bottom"/>
          </w:tcPr>
          <w:p w14:paraId="7EEEA8DD" w14:textId="77777777" w:rsidR="00D1587D" w:rsidRDefault="00410D07">
            <w:pPr>
              <w:jc w:val="right"/>
              <w:rPr>
                <w:sz w:val="20"/>
                <w:szCs w:val="20"/>
              </w:rPr>
            </w:pPr>
            <w:r>
              <w:rPr>
                <w:rFonts w:ascii="Arial" w:eastAsia="Arial" w:hAnsi="Arial" w:cs="Arial"/>
                <w:sz w:val="18"/>
                <w:szCs w:val="18"/>
              </w:rPr>
              <w:t>29</w:t>
            </w:r>
          </w:p>
        </w:tc>
      </w:tr>
      <w:tr w:rsidR="00D1587D" w14:paraId="03BE1798" w14:textId="77777777">
        <w:trPr>
          <w:trHeight w:val="230"/>
        </w:trPr>
        <w:tc>
          <w:tcPr>
            <w:tcW w:w="9260" w:type="dxa"/>
            <w:vAlign w:val="bottom"/>
          </w:tcPr>
          <w:p w14:paraId="03BBFDD2" w14:textId="77777777" w:rsidR="00D1587D" w:rsidRDefault="00410D07">
            <w:pPr>
              <w:rPr>
                <w:sz w:val="20"/>
                <w:szCs w:val="20"/>
              </w:rPr>
            </w:pPr>
            <w:r>
              <w:rPr>
                <w:rFonts w:ascii="Arial" w:eastAsia="Arial" w:hAnsi="Arial" w:cs="Arial"/>
                <w:sz w:val="18"/>
                <w:szCs w:val="18"/>
              </w:rPr>
              <w:t xml:space="preserve">Section 7.03. </w:t>
            </w:r>
            <w:r>
              <w:rPr>
                <w:rFonts w:ascii="Arial" w:eastAsia="Arial" w:hAnsi="Arial" w:cs="Arial"/>
                <w:i/>
                <w:iCs/>
                <w:sz w:val="18"/>
                <w:szCs w:val="18"/>
              </w:rPr>
              <w:t>L Brands 2021 Retention Bonus Program</w:t>
            </w:r>
          </w:p>
        </w:tc>
        <w:tc>
          <w:tcPr>
            <w:tcW w:w="1980" w:type="dxa"/>
            <w:vAlign w:val="bottom"/>
          </w:tcPr>
          <w:p w14:paraId="5E051331" w14:textId="77777777" w:rsidR="00D1587D" w:rsidRDefault="00410D07">
            <w:pPr>
              <w:jc w:val="right"/>
              <w:rPr>
                <w:sz w:val="20"/>
                <w:szCs w:val="20"/>
              </w:rPr>
            </w:pPr>
            <w:r>
              <w:rPr>
                <w:rFonts w:ascii="Arial" w:eastAsia="Arial" w:hAnsi="Arial" w:cs="Arial"/>
                <w:sz w:val="18"/>
                <w:szCs w:val="18"/>
              </w:rPr>
              <w:t>30</w:t>
            </w:r>
          </w:p>
        </w:tc>
      </w:tr>
      <w:tr w:rsidR="00D1587D" w14:paraId="3D2373F7" w14:textId="77777777">
        <w:trPr>
          <w:trHeight w:val="418"/>
        </w:trPr>
        <w:tc>
          <w:tcPr>
            <w:tcW w:w="9260" w:type="dxa"/>
            <w:vAlign w:val="bottom"/>
          </w:tcPr>
          <w:p w14:paraId="2E9BDF10" w14:textId="77777777" w:rsidR="00D1587D" w:rsidRDefault="00410D07">
            <w:pPr>
              <w:ind w:left="1890"/>
              <w:jc w:val="center"/>
              <w:rPr>
                <w:sz w:val="20"/>
                <w:szCs w:val="20"/>
              </w:rPr>
            </w:pPr>
            <w:r>
              <w:rPr>
                <w:rFonts w:ascii="Arial" w:eastAsia="Arial" w:hAnsi="Arial" w:cs="Arial"/>
                <w:w w:val="96"/>
                <w:sz w:val="18"/>
                <w:szCs w:val="18"/>
              </w:rPr>
              <w:t>ARTICLE 8</w:t>
            </w:r>
          </w:p>
        </w:tc>
        <w:tc>
          <w:tcPr>
            <w:tcW w:w="1980" w:type="dxa"/>
            <w:vAlign w:val="bottom"/>
          </w:tcPr>
          <w:p w14:paraId="2CC92F2C" w14:textId="77777777" w:rsidR="00D1587D" w:rsidRDefault="00D1587D">
            <w:pPr>
              <w:rPr>
                <w:sz w:val="24"/>
                <w:szCs w:val="24"/>
              </w:rPr>
            </w:pPr>
          </w:p>
        </w:tc>
      </w:tr>
      <w:tr w:rsidR="00D1587D" w14:paraId="3F7A2E19" w14:textId="77777777">
        <w:trPr>
          <w:trHeight w:val="230"/>
        </w:trPr>
        <w:tc>
          <w:tcPr>
            <w:tcW w:w="9260" w:type="dxa"/>
            <w:vAlign w:val="bottom"/>
          </w:tcPr>
          <w:p w14:paraId="1424A16D" w14:textId="77777777" w:rsidR="00D1587D" w:rsidRDefault="00410D07">
            <w:pPr>
              <w:ind w:left="1890"/>
              <w:jc w:val="center"/>
              <w:rPr>
                <w:sz w:val="20"/>
                <w:szCs w:val="20"/>
              </w:rPr>
            </w:pPr>
            <w:r>
              <w:rPr>
                <w:rFonts w:ascii="Arial" w:eastAsia="Arial" w:hAnsi="Arial" w:cs="Arial"/>
                <w:w w:val="98"/>
                <w:sz w:val="18"/>
                <w:szCs w:val="18"/>
              </w:rPr>
              <w:t>T</w:t>
            </w:r>
            <w:r>
              <w:rPr>
                <w:rFonts w:ascii="Arial" w:eastAsia="Arial" w:hAnsi="Arial" w:cs="Arial"/>
                <w:w w:val="98"/>
                <w:sz w:val="12"/>
                <w:szCs w:val="12"/>
              </w:rPr>
              <w:t>REATMENT OF</w:t>
            </w:r>
            <w:r>
              <w:rPr>
                <w:rFonts w:ascii="Arial" w:eastAsia="Arial" w:hAnsi="Arial" w:cs="Arial"/>
                <w:w w:val="98"/>
                <w:sz w:val="18"/>
                <w:szCs w:val="18"/>
              </w:rPr>
              <w:t xml:space="preserve"> O</w:t>
            </w:r>
            <w:r>
              <w:rPr>
                <w:rFonts w:ascii="Arial" w:eastAsia="Arial" w:hAnsi="Arial" w:cs="Arial"/>
                <w:w w:val="98"/>
                <w:sz w:val="12"/>
                <w:szCs w:val="12"/>
              </w:rPr>
              <w:t>UTSTANDING</w:t>
            </w:r>
            <w:r>
              <w:rPr>
                <w:rFonts w:ascii="Arial" w:eastAsia="Arial" w:hAnsi="Arial" w:cs="Arial"/>
                <w:w w:val="98"/>
                <w:sz w:val="18"/>
                <w:szCs w:val="18"/>
              </w:rPr>
              <w:t xml:space="preserve"> E</w:t>
            </w:r>
            <w:r>
              <w:rPr>
                <w:rFonts w:ascii="Arial" w:eastAsia="Arial" w:hAnsi="Arial" w:cs="Arial"/>
                <w:w w:val="98"/>
                <w:sz w:val="12"/>
                <w:szCs w:val="12"/>
              </w:rPr>
              <w:t>QUITY</w:t>
            </w:r>
            <w:r>
              <w:rPr>
                <w:rFonts w:ascii="Arial" w:eastAsia="Arial" w:hAnsi="Arial" w:cs="Arial"/>
                <w:w w:val="98"/>
                <w:sz w:val="18"/>
                <w:szCs w:val="18"/>
              </w:rPr>
              <w:t xml:space="preserve"> A</w:t>
            </w:r>
            <w:r>
              <w:rPr>
                <w:rFonts w:ascii="Arial" w:eastAsia="Arial" w:hAnsi="Arial" w:cs="Arial"/>
                <w:w w:val="98"/>
                <w:sz w:val="12"/>
                <w:szCs w:val="12"/>
              </w:rPr>
              <w:t>WARDS</w:t>
            </w:r>
          </w:p>
        </w:tc>
        <w:tc>
          <w:tcPr>
            <w:tcW w:w="1980" w:type="dxa"/>
            <w:vAlign w:val="bottom"/>
          </w:tcPr>
          <w:p w14:paraId="5C518C24" w14:textId="77777777" w:rsidR="00D1587D" w:rsidRDefault="00D1587D">
            <w:pPr>
              <w:rPr>
                <w:sz w:val="20"/>
                <w:szCs w:val="20"/>
              </w:rPr>
            </w:pPr>
          </w:p>
        </w:tc>
      </w:tr>
      <w:tr w:rsidR="00D1587D" w14:paraId="78988E18" w14:textId="77777777">
        <w:trPr>
          <w:trHeight w:val="418"/>
        </w:trPr>
        <w:tc>
          <w:tcPr>
            <w:tcW w:w="9260" w:type="dxa"/>
            <w:vAlign w:val="bottom"/>
          </w:tcPr>
          <w:p w14:paraId="4D4759EF" w14:textId="77777777" w:rsidR="00D1587D" w:rsidRDefault="00410D07">
            <w:pPr>
              <w:rPr>
                <w:sz w:val="20"/>
                <w:szCs w:val="20"/>
              </w:rPr>
            </w:pPr>
            <w:r>
              <w:rPr>
                <w:rFonts w:ascii="Arial" w:eastAsia="Arial" w:hAnsi="Arial" w:cs="Arial"/>
                <w:sz w:val="18"/>
                <w:szCs w:val="18"/>
              </w:rPr>
              <w:t xml:space="preserve">Section 8.01. </w:t>
            </w:r>
            <w:r>
              <w:rPr>
                <w:rFonts w:ascii="Arial" w:eastAsia="Arial" w:hAnsi="Arial" w:cs="Arial"/>
                <w:i/>
                <w:iCs/>
                <w:sz w:val="18"/>
                <w:szCs w:val="18"/>
              </w:rPr>
              <w:t>RSUs</w:t>
            </w:r>
          </w:p>
        </w:tc>
        <w:tc>
          <w:tcPr>
            <w:tcW w:w="1980" w:type="dxa"/>
            <w:vAlign w:val="bottom"/>
          </w:tcPr>
          <w:p w14:paraId="45521265" w14:textId="77777777" w:rsidR="00D1587D" w:rsidRDefault="00410D07">
            <w:pPr>
              <w:jc w:val="right"/>
              <w:rPr>
                <w:sz w:val="20"/>
                <w:szCs w:val="20"/>
              </w:rPr>
            </w:pPr>
            <w:r>
              <w:rPr>
                <w:rFonts w:ascii="Arial" w:eastAsia="Arial" w:hAnsi="Arial" w:cs="Arial"/>
                <w:sz w:val="18"/>
                <w:szCs w:val="18"/>
              </w:rPr>
              <w:t>30</w:t>
            </w:r>
          </w:p>
        </w:tc>
      </w:tr>
      <w:tr w:rsidR="00D1587D" w14:paraId="6978A09B" w14:textId="77777777">
        <w:trPr>
          <w:trHeight w:val="216"/>
        </w:trPr>
        <w:tc>
          <w:tcPr>
            <w:tcW w:w="9260" w:type="dxa"/>
            <w:vAlign w:val="bottom"/>
          </w:tcPr>
          <w:p w14:paraId="0F903405" w14:textId="77777777" w:rsidR="00D1587D" w:rsidRDefault="00410D07">
            <w:pPr>
              <w:rPr>
                <w:sz w:val="20"/>
                <w:szCs w:val="20"/>
              </w:rPr>
            </w:pPr>
            <w:r>
              <w:rPr>
                <w:rFonts w:ascii="Arial" w:eastAsia="Arial" w:hAnsi="Arial" w:cs="Arial"/>
                <w:sz w:val="18"/>
                <w:szCs w:val="18"/>
              </w:rPr>
              <w:t xml:space="preserve">Section 8.02. </w:t>
            </w:r>
            <w:r>
              <w:rPr>
                <w:rFonts w:ascii="Arial" w:eastAsia="Arial" w:hAnsi="Arial" w:cs="Arial"/>
                <w:i/>
                <w:iCs/>
                <w:sz w:val="18"/>
                <w:szCs w:val="18"/>
              </w:rPr>
              <w:t>PSUs</w:t>
            </w:r>
          </w:p>
        </w:tc>
        <w:tc>
          <w:tcPr>
            <w:tcW w:w="1980" w:type="dxa"/>
            <w:vAlign w:val="bottom"/>
          </w:tcPr>
          <w:p w14:paraId="2A285CB0" w14:textId="77777777" w:rsidR="00D1587D" w:rsidRDefault="00410D07">
            <w:pPr>
              <w:jc w:val="right"/>
              <w:rPr>
                <w:sz w:val="20"/>
                <w:szCs w:val="20"/>
              </w:rPr>
            </w:pPr>
            <w:r>
              <w:rPr>
                <w:rFonts w:ascii="Arial" w:eastAsia="Arial" w:hAnsi="Arial" w:cs="Arial"/>
                <w:sz w:val="18"/>
                <w:szCs w:val="18"/>
              </w:rPr>
              <w:t>31</w:t>
            </w:r>
          </w:p>
        </w:tc>
      </w:tr>
      <w:tr w:rsidR="00D1587D" w14:paraId="3A7F527F" w14:textId="77777777">
        <w:trPr>
          <w:trHeight w:val="216"/>
        </w:trPr>
        <w:tc>
          <w:tcPr>
            <w:tcW w:w="9260" w:type="dxa"/>
            <w:vAlign w:val="bottom"/>
          </w:tcPr>
          <w:p w14:paraId="53B63DE3" w14:textId="77777777" w:rsidR="00D1587D" w:rsidRDefault="00410D07">
            <w:pPr>
              <w:rPr>
                <w:sz w:val="20"/>
                <w:szCs w:val="20"/>
              </w:rPr>
            </w:pPr>
            <w:r>
              <w:rPr>
                <w:rFonts w:ascii="Arial" w:eastAsia="Arial" w:hAnsi="Arial" w:cs="Arial"/>
                <w:sz w:val="18"/>
                <w:szCs w:val="18"/>
              </w:rPr>
              <w:t xml:space="preserve">Section 8.03. </w:t>
            </w:r>
            <w:r>
              <w:rPr>
                <w:rFonts w:ascii="Arial" w:eastAsia="Arial" w:hAnsi="Arial" w:cs="Arial"/>
                <w:i/>
                <w:iCs/>
                <w:sz w:val="18"/>
                <w:szCs w:val="18"/>
              </w:rPr>
              <w:t>Stock Options</w:t>
            </w:r>
          </w:p>
        </w:tc>
        <w:tc>
          <w:tcPr>
            <w:tcW w:w="1980" w:type="dxa"/>
            <w:vAlign w:val="bottom"/>
          </w:tcPr>
          <w:p w14:paraId="117116AB" w14:textId="77777777" w:rsidR="00D1587D" w:rsidRDefault="00410D07">
            <w:pPr>
              <w:jc w:val="right"/>
              <w:rPr>
                <w:sz w:val="20"/>
                <w:szCs w:val="20"/>
              </w:rPr>
            </w:pPr>
            <w:r>
              <w:rPr>
                <w:rFonts w:ascii="Arial" w:eastAsia="Arial" w:hAnsi="Arial" w:cs="Arial"/>
                <w:sz w:val="18"/>
                <w:szCs w:val="18"/>
              </w:rPr>
              <w:t>32</w:t>
            </w:r>
          </w:p>
        </w:tc>
      </w:tr>
      <w:tr w:rsidR="00D1587D" w14:paraId="07181E07" w14:textId="77777777">
        <w:trPr>
          <w:trHeight w:val="216"/>
        </w:trPr>
        <w:tc>
          <w:tcPr>
            <w:tcW w:w="9260" w:type="dxa"/>
            <w:vAlign w:val="bottom"/>
          </w:tcPr>
          <w:p w14:paraId="418CAAB4" w14:textId="77777777" w:rsidR="00D1587D" w:rsidRDefault="00410D07">
            <w:pPr>
              <w:rPr>
                <w:sz w:val="20"/>
                <w:szCs w:val="20"/>
              </w:rPr>
            </w:pPr>
            <w:r>
              <w:rPr>
                <w:rFonts w:ascii="Arial" w:eastAsia="Arial" w:hAnsi="Arial" w:cs="Arial"/>
                <w:sz w:val="18"/>
                <w:szCs w:val="18"/>
              </w:rPr>
              <w:t xml:space="preserve">Section 8.04. </w:t>
            </w:r>
            <w:r>
              <w:rPr>
                <w:rFonts w:ascii="Arial" w:eastAsia="Arial" w:hAnsi="Arial" w:cs="Arial"/>
                <w:i/>
                <w:iCs/>
                <w:sz w:val="18"/>
                <w:szCs w:val="18"/>
              </w:rPr>
              <w:t>Miscellaneous Terms and Actions; Tax Reporting and Withholding</w:t>
            </w:r>
          </w:p>
        </w:tc>
        <w:tc>
          <w:tcPr>
            <w:tcW w:w="1980" w:type="dxa"/>
            <w:vAlign w:val="bottom"/>
          </w:tcPr>
          <w:p w14:paraId="4C7D89B1" w14:textId="77777777" w:rsidR="00D1587D" w:rsidRDefault="00410D07">
            <w:pPr>
              <w:jc w:val="right"/>
              <w:rPr>
                <w:sz w:val="20"/>
                <w:szCs w:val="20"/>
              </w:rPr>
            </w:pPr>
            <w:r>
              <w:rPr>
                <w:rFonts w:ascii="Arial" w:eastAsia="Arial" w:hAnsi="Arial" w:cs="Arial"/>
                <w:sz w:val="18"/>
                <w:szCs w:val="18"/>
              </w:rPr>
              <w:t>33</w:t>
            </w:r>
          </w:p>
        </w:tc>
      </w:tr>
      <w:tr w:rsidR="00D1587D" w14:paraId="6A04520A" w14:textId="77777777">
        <w:trPr>
          <w:trHeight w:val="216"/>
        </w:trPr>
        <w:tc>
          <w:tcPr>
            <w:tcW w:w="9260" w:type="dxa"/>
            <w:vAlign w:val="bottom"/>
          </w:tcPr>
          <w:p w14:paraId="43449409" w14:textId="77777777" w:rsidR="00D1587D" w:rsidRDefault="00410D07">
            <w:pPr>
              <w:rPr>
                <w:sz w:val="20"/>
                <w:szCs w:val="20"/>
              </w:rPr>
            </w:pPr>
            <w:r>
              <w:rPr>
                <w:rFonts w:ascii="Arial" w:eastAsia="Arial" w:hAnsi="Arial" w:cs="Arial"/>
                <w:sz w:val="18"/>
                <w:szCs w:val="18"/>
              </w:rPr>
              <w:t xml:space="preserve">Section 8.05. </w:t>
            </w:r>
            <w:r>
              <w:rPr>
                <w:rFonts w:ascii="Arial" w:eastAsia="Arial" w:hAnsi="Arial" w:cs="Arial"/>
                <w:i/>
                <w:iCs/>
                <w:sz w:val="18"/>
                <w:szCs w:val="18"/>
              </w:rPr>
              <w:t>Treatment of Equity Awards Held by Delayed Transfer Employees</w:t>
            </w:r>
          </w:p>
        </w:tc>
        <w:tc>
          <w:tcPr>
            <w:tcW w:w="1980" w:type="dxa"/>
            <w:vAlign w:val="bottom"/>
          </w:tcPr>
          <w:p w14:paraId="38EFFE87" w14:textId="77777777" w:rsidR="00D1587D" w:rsidRDefault="00410D07">
            <w:pPr>
              <w:jc w:val="right"/>
              <w:rPr>
                <w:sz w:val="20"/>
                <w:szCs w:val="20"/>
              </w:rPr>
            </w:pPr>
            <w:r>
              <w:rPr>
                <w:rFonts w:ascii="Arial" w:eastAsia="Arial" w:hAnsi="Arial" w:cs="Arial"/>
                <w:sz w:val="18"/>
                <w:szCs w:val="18"/>
              </w:rPr>
              <w:t>35</w:t>
            </w:r>
          </w:p>
        </w:tc>
      </w:tr>
      <w:tr w:rsidR="00D1587D" w14:paraId="4A5C9A16" w14:textId="77777777">
        <w:trPr>
          <w:trHeight w:val="230"/>
        </w:trPr>
        <w:tc>
          <w:tcPr>
            <w:tcW w:w="9260" w:type="dxa"/>
            <w:vAlign w:val="bottom"/>
          </w:tcPr>
          <w:p w14:paraId="42CC3109" w14:textId="77777777" w:rsidR="00D1587D" w:rsidRDefault="00410D07">
            <w:pPr>
              <w:rPr>
                <w:sz w:val="20"/>
                <w:szCs w:val="20"/>
              </w:rPr>
            </w:pPr>
            <w:r>
              <w:rPr>
                <w:rFonts w:ascii="Arial" w:eastAsia="Arial" w:hAnsi="Arial" w:cs="Arial"/>
                <w:sz w:val="18"/>
                <w:szCs w:val="18"/>
              </w:rPr>
              <w:t xml:space="preserve">Section 8.06. </w:t>
            </w:r>
            <w:r>
              <w:rPr>
                <w:rFonts w:ascii="Arial" w:eastAsia="Arial" w:hAnsi="Arial" w:cs="Arial"/>
                <w:i/>
                <w:iCs/>
                <w:sz w:val="18"/>
                <w:szCs w:val="18"/>
              </w:rPr>
              <w:t>Employee Stock Purchase Plan</w:t>
            </w:r>
          </w:p>
        </w:tc>
        <w:tc>
          <w:tcPr>
            <w:tcW w:w="1980" w:type="dxa"/>
            <w:vAlign w:val="bottom"/>
          </w:tcPr>
          <w:p w14:paraId="2E81F339" w14:textId="77777777" w:rsidR="00D1587D" w:rsidRDefault="00410D07">
            <w:pPr>
              <w:jc w:val="right"/>
              <w:rPr>
                <w:sz w:val="20"/>
                <w:szCs w:val="20"/>
              </w:rPr>
            </w:pPr>
            <w:r>
              <w:rPr>
                <w:rFonts w:ascii="Arial" w:eastAsia="Arial" w:hAnsi="Arial" w:cs="Arial"/>
                <w:sz w:val="18"/>
                <w:szCs w:val="18"/>
              </w:rPr>
              <w:t>36</w:t>
            </w:r>
          </w:p>
        </w:tc>
      </w:tr>
      <w:tr w:rsidR="00D1587D" w14:paraId="23F0F618" w14:textId="77777777">
        <w:trPr>
          <w:trHeight w:val="418"/>
        </w:trPr>
        <w:tc>
          <w:tcPr>
            <w:tcW w:w="9260" w:type="dxa"/>
            <w:vAlign w:val="bottom"/>
          </w:tcPr>
          <w:p w14:paraId="5D9029AA" w14:textId="77777777" w:rsidR="00D1587D" w:rsidRDefault="00410D07">
            <w:pPr>
              <w:ind w:left="1890"/>
              <w:jc w:val="center"/>
              <w:rPr>
                <w:sz w:val="20"/>
                <w:szCs w:val="20"/>
              </w:rPr>
            </w:pPr>
            <w:r>
              <w:rPr>
                <w:rFonts w:ascii="Arial" w:eastAsia="Arial" w:hAnsi="Arial" w:cs="Arial"/>
                <w:w w:val="96"/>
                <w:sz w:val="18"/>
                <w:szCs w:val="18"/>
              </w:rPr>
              <w:t>ARTICLE 9</w:t>
            </w:r>
          </w:p>
        </w:tc>
        <w:tc>
          <w:tcPr>
            <w:tcW w:w="1980" w:type="dxa"/>
            <w:vAlign w:val="bottom"/>
          </w:tcPr>
          <w:p w14:paraId="7E9B3945" w14:textId="77777777" w:rsidR="00D1587D" w:rsidRDefault="00D1587D">
            <w:pPr>
              <w:rPr>
                <w:sz w:val="24"/>
                <w:szCs w:val="24"/>
              </w:rPr>
            </w:pPr>
          </w:p>
        </w:tc>
      </w:tr>
      <w:tr w:rsidR="00D1587D" w14:paraId="52610EF8" w14:textId="77777777">
        <w:trPr>
          <w:trHeight w:val="230"/>
        </w:trPr>
        <w:tc>
          <w:tcPr>
            <w:tcW w:w="9260" w:type="dxa"/>
            <w:vAlign w:val="bottom"/>
          </w:tcPr>
          <w:p w14:paraId="6E1DAB17" w14:textId="77777777" w:rsidR="00D1587D" w:rsidRDefault="00410D07">
            <w:pPr>
              <w:ind w:left="1910"/>
              <w:jc w:val="center"/>
              <w:rPr>
                <w:sz w:val="20"/>
                <w:szCs w:val="20"/>
              </w:rPr>
            </w:pPr>
            <w:r>
              <w:rPr>
                <w:rFonts w:ascii="Arial" w:eastAsia="Arial" w:hAnsi="Arial" w:cs="Arial"/>
                <w:w w:val="98"/>
                <w:sz w:val="18"/>
                <w:szCs w:val="18"/>
              </w:rPr>
              <w:t>P</w:t>
            </w:r>
            <w:r>
              <w:rPr>
                <w:rFonts w:ascii="Arial" w:eastAsia="Arial" w:hAnsi="Arial" w:cs="Arial"/>
                <w:w w:val="98"/>
                <w:sz w:val="12"/>
                <w:szCs w:val="12"/>
              </w:rPr>
              <w:t>ERSONNEL</w:t>
            </w:r>
            <w:r>
              <w:rPr>
                <w:rFonts w:ascii="Arial" w:eastAsia="Arial" w:hAnsi="Arial" w:cs="Arial"/>
                <w:w w:val="98"/>
                <w:sz w:val="18"/>
                <w:szCs w:val="18"/>
              </w:rPr>
              <w:t xml:space="preserve"> R</w:t>
            </w:r>
            <w:r>
              <w:rPr>
                <w:rFonts w:ascii="Arial" w:eastAsia="Arial" w:hAnsi="Arial" w:cs="Arial"/>
                <w:w w:val="98"/>
                <w:sz w:val="12"/>
                <w:szCs w:val="12"/>
              </w:rPr>
              <w:t>ECORDS</w:t>
            </w:r>
            <w:r>
              <w:rPr>
                <w:rFonts w:ascii="Arial" w:eastAsia="Arial" w:hAnsi="Arial" w:cs="Arial"/>
                <w:w w:val="98"/>
                <w:sz w:val="18"/>
                <w:szCs w:val="18"/>
              </w:rPr>
              <w:t>; P</w:t>
            </w:r>
            <w:r>
              <w:rPr>
                <w:rFonts w:ascii="Arial" w:eastAsia="Arial" w:hAnsi="Arial" w:cs="Arial"/>
                <w:w w:val="98"/>
                <w:sz w:val="12"/>
                <w:szCs w:val="12"/>
              </w:rPr>
              <w:t>AYROLL AND</w:t>
            </w:r>
            <w:r>
              <w:rPr>
                <w:rFonts w:ascii="Arial" w:eastAsia="Arial" w:hAnsi="Arial" w:cs="Arial"/>
                <w:w w:val="98"/>
                <w:sz w:val="18"/>
                <w:szCs w:val="18"/>
              </w:rPr>
              <w:t xml:space="preserve"> T</w:t>
            </w:r>
            <w:r>
              <w:rPr>
                <w:rFonts w:ascii="Arial" w:eastAsia="Arial" w:hAnsi="Arial" w:cs="Arial"/>
                <w:w w:val="98"/>
                <w:sz w:val="12"/>
                <w:szCs w:val="12"/>
              </w:rPr>
              <w:t>AX</w:t>
            </w:r>
            <w:r>
              <w:rPr>
                <w:rFonts w:ascii="Arial" w:eastAsia="Arial" w:hAnsi="Arial" w:cs="Arial"/>
                <w:w w:val="98"/>
                <w:sz w:val="18"/>
                <w:szCs w:val="18"/>
              </w:rPr>
              <w:t xml:space="preserve"> W</w:t>
            </w:r>
            <w:r>
              <w:rPr>
                <w:rFonts w:ascii="Arial" w:eastAsia="Arial" w:hAnsi="Arial" w:cs="Arial"/>
                <w:w w:val="98"/>
                <w:sz w:val="12"/>
                <w:szCs w:val="12"/>
              </w:rPr>
              <w:t>ITHHOLDING</w:t>
            </w:r>
          </w:p>
        </w:tc>
        <w:tc>
          <w:tcPr>
            <w:tcW w:w="1980" w:type="dxa"/>
            <w:vAlign w:val="bottom"/>
          </w:tcPr>
          <w:p w14:paraId="0339904A" w14:textId="77777777" w:rsidR="00D1587D" w:rsidRDefault="00D1587D">
            <w:pPr>
              <w:rPr>
                <w:sz w:val="20"/>
                <w:szCs w:val="20"/>
              </w:rPr>
            </w:pPr>
          </w:p>
        </w:tc>
      </w:tr>
      <w:tr w:rsidR="00D1587D" w14:paraId="66A178DF" w14:textId="77777777">
        <w:trPr>
          <w:trHeight w:val="418"/>
        </w:trPr>
        <w:tc>
          <w:tcPr>
            <w:tcW w:w="9260" w:type="dxa"/>
            <w:vAlign w:val="bottom"/>
          </w:tcPr>
          <w:p w14:paraId="708820C0" w14:textId="77777777" w:rsidR="00D1587D" w:rsidRDefault="00410D07">
            <w:pPr>
              <w:rPr>
                <w:sz w:val="20"/>
                <w:szCs w:val="20"/>
              </w:rPr>
            </w:pPr>
            <w:r>
              <w:rPr>
                <w:rFonts w:ascii="Arial" w:eastAsia="Arial" w:hAnsi="Arial" w:cs="Arial"/>
                <w:sz w:val="18"/>
                <w:szCs w:val="18"/>
              </w:rPr>
              <w:t xml:space="preserve">Section 9.01. </w:t>
            </w:r>
            <w:r>
              <w:rPr>
                <w:rFonts w:ascii="Arial" w:eastAsia="Arial" w:hAnsi="Arial" w:cs="Arial"/>
                <w:i/>
                <w:iCs/>
                <w:sz w:val="18"/>
                <w:szCs w:val="18"/>
              </w:rPr>
              <w:t>Personnel Records</w:t>
            </w:r>
          </w:p>
        </w:tc>
        <w:tc>
          <w:tcPr>
            <w:tcW w:w="1980" w:type="dxa"/>
            <w:vAlign w:val="bottom"/>
          </w:tcPr>
          <w:p w14:paraId="315D62BB" w14:textId="77777777" w:rsidR="00D1587D" w:rsidRDefault="00410D07">
            <w:pPr>
              <w:jc w:val="right"/>
              <w:rPr>
                <w:sz w:val="20"/>
                <w:szCs w:val="20"/>
              </w:rPr>
            </w:pPr>
            <w:r>
              <w:rPr>
                <w:rFonts w:ascii="Arial" w:eastAsia="Arial" w:hAnsi="Arial" w:cs="Arial"/>
                <w:sz w:val="18"/>
                <w:szCs w:val="18"/>
              </w:rPr>
              <w:t>37</w:t>
            </w:r>
          </w:p>
        </w:tc>
      </w:tr>
      <w:tr w:rsidR="00D1587D" w14:paraId="7D158A08" w14:textId="77777777">
        <w:trPr>
          <w:trHeight w:val="230"/>
        </w:trPr>
        <w:tc>
          <w:tcPr>
            <w:tcW w:w="9260" w:type="dxa"/>
            <w:vAlign w:val="bottom"/>
          </w:tcPr>
          <w:p w14:paraId="5BA6F427" w14:textId="77777777" w:rsidR="00D1587D" w:rsidRDefault="00410D07">
            <w:pPr>
              <w:rPr>
                <w:sz w:val="20"/>
                <w:szCs w:val="20"/>
              </w:rPr>
            </w:pPr>
            <w:r>
              <w:rPr>
                <w:rFonts w:ascii="Arial" w:eastAsia="Arial" w:hAnsi="Arial" w:cs="Arial"/>
                <w:sz w:val="18"/>
                <w:szCs w:val="18"/>
              </w:rPr>
              <w:t xml:space="preserve">Section 9.02. </w:t>
            </w:r>
            <w:r>
              <w:rPr>
                <w:rFonts w:ascii="Arial" w:eastAsia="Arial" w:hAnsi="Arial" w:cs="Arial"/>
                <w:i/>
                <w:iCs/>
                <w:sz w:val="18"/>
                <w:szCs w:val="18"/>
              </w:rPr>
              <w:t>Payroll; Tax Reporting and Withholding</w:t>
            </w:r>
          </w:p>
        </w:tc>
        <w:tc>
          <w:tcPr>
            <w:tcW w:w="1980" w:type="dxa"/>
            <w:vAlign w:val="bottom"/>
          </w:tcPr>
          <w:p w14:paraId="2EF160A6" w14:textId="77777777" w:rsidR="00D1587D" w:rsidRDefault="00410D07">
            <w:pPr>
              <w:jc w:val="right"/>
              <w:rPr>
                <w:sz w:val="20"/>
                <w:szCs w:val="20"/>
              </w:rPr>
            </w:pPr>
            <w:r>
              <w:rPr>
                <w:rFonts w:ascii="Arial" w:eastAsia="Arial" w:hAnsi="Arial" w:cs="Arial"/>
                <w:sz w:val="18"/>
                <w:szCs w:val="18"/>
              </w:rPr>
              <w:t>37</w:t>
            </w:r>
          </w:p>
        </w:tc>
      </w:tr>
      <w:tr w:rsidR="00D1587D" w14:paraId="2B70AA9A" w14:textId="77777777">
        <w:trPr>
          <w:trHeight w:val="418"/>
        </w:trPr>
        <w:tc>
          <w:tcPr>
            <w:tcW w:w="9260" w:type="dxa"/>
            <w:vAlign w:val="bottom"/>
          </w:tcPr>
          <w:p w14:paraId="3E5D4AEB" w14:textId="77777777" w:rsidR="00D1587D" w:rsidRDefault="00410D07">
            <w:pPr>
              <w:ind w:left="1910"/>
              <w:jc w:val="center"/>
              <w:rPr>
                <w:sz w:val="20"/>
                <w:szCs w:val="20"/>
              </w:rPr>
            </w:pPr>
            <w:r>
              <w:rPr>
                <w:rFonts w:ascii="Arial" w:eastAsia="Arial" w:hAnsi="Arial" w:cs="Arial"/>
                <w:w w:val="96"/>
                <w:sz w:val="18"/>
                <w:szCs w:val="18"/>
              </w:rPr>
              <w:t>ARTICLE 10</w:t>
            </w:r>
          </w:p>
        </w:tc>
        <w:tc>
          <w:tcPr>
            <w:tcW w:w="1980" w:type="dxa"/>
            <w:vAlign w:val="bottom"/>
          </w:tcPr>
          <w:p w14:paraId="1C0FF682" w14:textId="77777777" w:rsidR="00D1587D" w:rsidRDefault="00D1587D">
            <w:pPr>
              <w:rPr>
                <w:sz w:val="24"/>
                <w:szCs w:val="24"/>
              </w:rPr>
            </w:pPr>
          </w:p>
        </w:tc>
      </w:tr>
      <w:tr w:rsidR="00D1587D" w14:paraId="29999C05" w14:textId="77777777">
        <w:trPr>
          <w:trHeight w:val="230"/>
        </w:trPr>
        <w:tc>
          <w:tcPr>
            <w:tcW w:w="9260" w:type="dxa"/>
            <w:vAlign w:val="bottom"/>
          </w:tcPr>
          <w:p w14:paraId="1C4D9377" w14:textId="77777777" w:rsidR="00D1587D" w:rsidRDefault="00410D07">
            <w:pPr>
              <w:ind w:left="1910"/>
              <w:jc w:val="center"/>
              <w:rPr>
                <w:sz w:val="20"/>
                <w:szCs w:val="20"/>
              </w:rPr>
            </w:pPr>
            <w:r>
              <w:rPr>
                <w:rFonts w:ascii="Arial" w:eastAsia="Arial" w:hAnsi="Arial" w:cs="Arial"/>
                <w:w w:val="97"/>
                <w:sz w:val="18"/>
                <w:szCs w:val="18"/>
              </w:rPr>
              <w:t>N</w:t>
            </w:r>
            <w:r>
              <w:rPr>
                <w:rFonts w:ascii="Arial" w:eastAsia="Arial" w:hAnsi="Arial" w:cs="Arial"/>
                <w:w w:val="97"/>
                <w:sz w:val="12"/>
                <w:szCs w:val="12"/>
              </w:rPr>
              <w:t>ON</w:t>
            </w:r>
            <w:r>
              <w:rPr>
                <w:rFonts w:ascii="Arial" w:eastAsia="Arial" w:hAnsi="Arial" w:cs="Arial"/>
                <w:w w:val="97"/>
                <w:sz w:val="18"/>
                <w:szCs w:val="18"/>
              </w:rPr>
              <w:t>-U.S. E</w:t>
            </w:r>
            <w:r>
              <w:rPr>
                <w:rFonts w:ascii="Arial" w:eastAsia="Arial" w:hAnsi="Arial" w:cs="Arial"/>
                <w:w w:val="97"/>
                <w:sz w:val="12"/>
                <w:szCs w:val="12"/>
              </w:rPr>
              <w:t>MPLOYEES AND</w:t>
            </w:r>
            <w:r>
              <w:rPr>
                <w:rFonts w:ascii="Arial" w:eastAsia="Arial" w:hAnsi="Arial" w:cs="Arial"/>
                <w:w w:val="97"/>
                <w:sz w:val="18"/>
                <w:szCs w:val="18"/>
              </w:rPr>
              <w:t xml:space="preserve"> E</w:t>
            </w:r>
            <w:r>
              <w:rPr>
                <w:rFonts w:ascii="Arial" w:eastAsia="Arial" w:hAnsi="Arial" w:cs="Arial"/>
                <w:w w:val="97"/>
                <w:sz w:val="12"/>
                <w:szCs w:val="12"/>
              </w:rPr>
              <w:t>MPLOYEE</w:t>
            </w:r>
            <w:r>
              <w:rPr>
                <w:rFonts w:ascii="Arial" w:eastAsia="Arial" w:hAnsi="Arial" w:cs="Arial"/>
                <w:w w:val="97"/>
                <w:sz w:val="18"/>
                <w:szCs w:val="18"/>
              </w:rPr>
              <w:t xml:space="preserve"> P</w:t>
            </w:r>
            <w:r>
              <w:rPr>
                <w:rFonts w:ascii="Arial" w:eastAsia="Arial" w:hAnsi="Arial" w:cs="Arial"/>
                <w:w w:val="97"/>
                <w:sz w:val="12"/>
                <w:szCs w:val="12"/>
              </w:rPr>
              <w:t>LANS</w:t>
            </w:r>
          </w:p>
        </w:tc>
        <w:tc>
          <w:tcPr>
            <w:tcW w:w="1980" w:type="dxa"/>
            <w:vAlign w:val="bottom"/>
          </w:tcPr>
          <w:p w14:paraId="671EF493" w14:textId="77777777" w:rsidR="00D1587D" w:rsidRDefault="00D1587D">
            <w:pPr>
              <w:rPr>
                <w:sz w:val="20"/>
                <w:szCs w:val="20"/>
              </w:rPr>
            </w:pPr>
          </w:p>
        </w:tc>
      </w:tr>
      <w:tr w:rsidR="00D1587D" w14:paraId="3AFE8374" w14:textId="77777777">
        <w:trPr>
          <w:trHeight w:val="648"/>
        </w:trPr>
        <w:tc>
          <w:tcPr>
            <w:tcW w:w="9260" w:type="dxa"/>
            <w:vAlign w:val="bottom"/>
          </w:tcPr>
          <w:p w14:paraId="050345E2" w14:textId="77777777" w:rsidR="00D1587D" w:rsidRDefault="00410D07">
            <w:pPr>
              <w:rPr>
                <w:sz w:val="20"/>
                <w:szCs w:val="20"/>
              </w:rPr>
            </w:pPr>
            <w:r>
              <w:rPr>
                <w:rFonts w:ascii="Arial" w:eastAsia="Arial" w:hAnsi="Arial" w:cs="Arial"/>
                <w:sz w:val="18"/>
                <w:szCs w:val="18"/>
              </w:rPr>
              <w:t xml:space="preserve">Section 10.01. </w:t>
            </w:r>
            <w:r>
              <w:rPr>
                <w:rFonts w:ascii="Arial" w:eastAsia="Arial" w:hAnsi="Arial" w:cs="Arial"/>
                <w:i/>
                <w:iCs/>
                <w:sz w:val="18"/>
                <w:szCs w:val="18"/>
              </w:rPr>
              <w:t>Special Provisions for Employees and Employee Plans Outside of the United States</w:t>
            </w:r>
          </w:p>
        </w:tc>
        <w:tc>
          <w:tcPr>
            <w:tcW w:w="1980" w:type="dxa"/>
            <w:vAlign w:val="bottom"/>
          </w:tcPr>
          <w:p w14:paraId="699CAF50" w14:textId="77777777" w:rsidR="00D1587D" w:rsidRDefault="00410D07">
            <w:pPr>
              <w:jc w:val="right"/>
              <w:rPr>
                <w:sz w:val="20"/>
                <w:szCs w:val="20"/>
              </w:rPr>
            </w:pPr>
            <w:r>
              <w:rPr>
                <w:rFonts w:ascii="Arial" w:eastAsia="Arial" w:hAnsi="Arial" w:cs="Arial"/>
                <w:sz w:val="18"/>
                <w:szCs w:val="18"/>
              </w:rPr>
              <w:t>38</w:t>
            </w:r>
          </w:p>
        </w:tc>
      </w:tr>
      <w:tr w:rsidR="00D1587D" w14:paraId="41ED9A41" w14:textId="77777777">
        <w:trPr>
          <w:trHeight w:val="418"/>
        </w:trPr>
        <w:tc>
          <w:tcPr>
            <w:tcW w:w="9260" w:type="dxa"/>
            <w:vAlign w:val="bottom"/>
          </w:tcPr>
          <w:p w14:paraId="5105C87D" w14:textId="77777777" w:rsidR="00D1587D" w:rsidRDefault="00410D07">
            <w:pPr>
              <w:ind w:left="1890"/>
              <w:jc w:val="center"/>
              <w:rPr>
                <w:sz w:val="20"/>
                <w:szCs w:val="20"/>
              </w:rPr>
            </w:pPr>
            <w:r>
              <w:rPr>
                <w:rFonts w:ascii="Arial" w:eastAsia="Arial" w:hAnsi="Arial" w:cs="Arial"/>
                <w:w w:val="94"/>
                <w:sz w:val="18"/>
                <w:szCs w:val="18"/>
              </w:rPr>
              <w:t>ARTICLE 11</w:t>
            </w:r>
          </w:p>
        </w:tc>
        <w:tc>
          <w:tcPr>
            <w:tcW w:w="1980" w:type="dxa"/>
            <w:vAlign w:val="bottom"/>
          </w:tcPr>
          <w:p w14:paraId="65E94AF6" w14:textId="77777777" w:rsidR="00D1587D" w:rsidRDefault="00D1587D">
            <w:pPr>
              <w:rPr>
                <w:sz w:val="24"/>
                <w:szCs w:val="24"/>
              </w:rPr>
            </w:pPr>
          </w:p>
        </w:tc>
      </w:tr>
      <w:tr w:rsidR="00D1587D" w14:paraId="305E047A" w14:textId="77777777">
        <w:trPr>
          <w:trHeight w:val="230"/>
        </w:trPr>
        <w:tc>
          <w:tcPr>
            <w:tcW w:w="9260" w:type="dxa"/>
            <w:vAlign w:val="bottom"/>
          </w:tcPr>
          <w:p w14:paraId="5343961D" w14:textId="77777777" w:rsidR="00D1587D" w:rsidRDefault="00410D07">
            <w:pPr>
              <w:ind w:left="1890"/>
              <w:jc w:val="center"/>
              <w:rPr>
                <w:sz w:val="20"/>
                <w:szCs w:val="20"/>
              </w:rPr>
            </w:pPr>
            <w:r>
              <w:rPr>
                <w:rFonts w:ascii="Arial" w:eastAsia="Arial" w:hAnsi="Arial" w:cs="Arial"/>
                <w:sz w:val="18"/>
                <w:szCs w:val="18"/>
              </w:rPr>
              <w:t>G</w:t>
            </w:r>
            <w:r>
              <w:rPr>
                <w:rFonts w:ascii="Arial" w:eastAsia="Arial" w:hAnsi="Arial" w:cs="Arial"/>
                <w:sz w:val="12"/>
                <w:szCs w:val="12"/>
              </w:rPr>
              <w:t>ENERAL AND</w:t>
            </w:r>
            <w:r>
              <w:rPr>
                <w:rFonts w:ascii="Arial" w:eastAsia="Arial" w:hAnsi="Arial" w:cs="Arial"/>
                <w:sz w:val="18"/>
                <w:szCs w:val="18"/>
              </w:rPr>
              <w:t xml:space="preserve"> A</w:t>
            </w:r>
            <w:r>
              <w:rPr>
                <w:rFonts w:ascii="Arial" w:eastAsia="Arial" w:hAnsi="Arial" w:cs="Arial"/>
                <w:sz w:val="12"/>
                <w:szCs w:val="12"/>
              </w:rPr>
              <w:t>DMINISTRATIVE</w:t>
            </w:r>
          </w:p>
        </w:tc>
        <w:tc>
          <w:tcPr>
            <w:tcW w:w="1980" w:type="dxa"/>
            <w:vAlign w:val="bottom"/>
          </w:tcPr>
          <w:p w14:paraId="62E2C2F4" w14:textId="77777777" w:rsidR="00D1587D" w:rsidRDefault="00D1587D">
            <w:pPr>
              <w:rPr>
                <w:sz w:val="20"/>
                <w:szCs w:val="20"/>
              </w:rPr>
            </w:pPr>
          </w:p>
        </w:tc>
      </w:tr>
      <w:tr w:rsidR="00D1587D" w14:paraId="382D9096" w14:textId="77777777">
        <w:trPr>
          <w:trHeight w:val="418"/>
        </w:trPr>
        <w:tc>
          <w:tcPr>
            <w:tcW w:w="9260" w:type="dxa"/>
            <w:vAlign w:val="bottom"/>
          </w:tcPr>
          <w:p w14:paraId="21DE7D23" w14:textId="77777777" w:rsidR="00D1587D" w:rsidRDefault="00410D07">
            <w:pPr>
              <w:rPr>
                <w:sz w:val="20"/>
                <w:szCs w:val="20"/>
              </w:rPr>
            </w:pPr>
            <w:r>
              <w:rPr>
                <w:rFonts w:ascii="Arial" w:eastAsia="Arial" w:hAnsi="Arial" w:cs="Arial"/>
                <w:sz w:val="18"/>
                <w:szCs w:val="18"/>
              </w:rPr>
              <w:t xml:space="preserve">Section 11.01. </w:t>
            </w:r>
            <w:r>
              <w:rPr>
                <w:rFonts w:ascii="Arial" w:eastAsia="Arial" w:hAnsi="Arial" w:cs="Arial"/>
                <w:i/>
                <w:iCs/>
                <w:sz w:val="18"/>
                <w:szCs w:val="18"/>
              </w:rPr>
              <w:t>Sharing of Participant Information</w:t>
            </w:r>
          </w:p>
        </w:tc>
        <w:tc>
          <w:tcPr>
            <w:tcW w:w="1980" w:type="dxa"/>
            <w:vAlign w:val="bottom"/>
          </w:tcPr>
          <w:p w14:paraId="6F735FC2" w14:textId="77777777" w:rsidR="00D1587D" w:rsidRDefault="00410D07">
            <w:pPr>
              <w:jc w:val="right"/>
              <w:rPr>
                <w:sz w:val="20"/>
                <w:szCs w:val="20"/>
              </w:rPr>
            </w:pPr>
            <w:r>
              <w:rPr>
                <w:rFonts w:ascii="Arial" w:eastAsia="Arial" w:hAnsi="Arial" w:cs="Arial"/>
                <w:sz w:val="18"/>
                <w:szCs w:val="18"/>
              </w:rPr>
              <w:t>38</w:t>
            </w:r>
          </w:p>
        </w:tc>
      </w:tr>
      <w:tr w:rsidR="00D1587D" w14:paraId="206C341A" w14:textId="77777777">
        <w:trPr>
          <w:trHeight w:val="216"/>
        </w:trPr>
        <w:tc>
          <w:tcPr>
            <w:tcW w:w="9260" w:type="dxa"/>
            <w:vAlign w:val="bottom"/>
          </w:tcPr>
          <w:p w14:paraId="47108EC0" w14:textId="77777777" w:rsidR="00D1587D" w:rsidRDefault="00410D07">
            <w:pPr>
              <w:rPr>
                <w:sz w:val="20"/>
                <w:szCs w:val="20"/>
              </w:rPr>
            </w:pPr>
            <w:r>
              <w:rPr>
                <w:rFonts w:ascii="Arial" w:eastAsia="Arial" w:hAnsi="Arial" w:cs="Arial"/>
                <w:sz w:val="18"/>
                <w:szCs w:val="18"/>
              </w:rPr>
              <w:t xml:space="preserve">Section 11.02. </w:t>
            </w:r>
            <w:r>
              <w:rPr>
                <w:rFonts w:ascii="Arial" w:eastAsia="Arial" w:hAnsi="Arial" w:cs="Arial"/>
                <w:i/>
                <w:iCs/>
                <w:sz w:val="18"/>
                <w:szCs w:val="18"/>
              </w:rPr>
              <w:t>Cooperation</w:t>
            </w:r>
          </w:p>
        </w:tc>
        <w:tc>
          <w:tcPr>
            <w:tcW w:w="1980" w:type="dxa"/>
            <w:vAlign w:val="bottom"/>
          </w:tcPr>
          <w:p w14:paraId="614147CB" w14:textId="77777777" w:rsidR="00D1587D" w:rsidRDefault="00410D07">
            <w:pPr>
              <w:jc w:val="right"/>
              <w:rPr>
                <w:sz w:val="20"/>
                <w:szCs w:val="20"/>
              </w:rPr>
            </w:pPr>
            <w:r>
              <w:rPr>
                <w:rFonts w:ascii="Arial" w:eastAsia="Arial" w:hAnsi="Arial" w:cs="Arial"/>
                <w:sz w:val="18"/>
                <w:szCs w:val="18"/>
              </w:rPr>
              <w:t>38</w:t>
            </w:r>
          </w:p>
        </w:tc>
      </w:tr>
      <w:tr w:rsidR="00D1587D" w14:paraId="342D3EB8" w14:textId="77777777">
        <w:trPr>
          <w:trHeight w:val="216"/>
        </w:trPr>
        <w:tc>
          <w:tcPr>
            <w:tcW w:w="9260" w:type="dxa"/>
            <w:vAlign w:val="bottom"/>
          </w:tcPr>
          <w:p w14:paraId="72179EDC" w14:textId="77777777" w:rsidR="00D1587D" w:rsidRDefault="00410D07">
            <w:pPr>
              <w:rPr>
                <w:sz w:val="20"/>
                <w:szCs w:val="20"/>
              </w:rPr>
            </w:pPr>
            <w:r>
              <w:rPr>
                <w:rFonts w:ascii="Arial" w:eastAsia="Arial" w:hAnsi="Arial" w:cs="Arial"/>
                <w:sz w:val="18"/>
                <w:szCs w:val="18"/>
              </w:rPr>
              <w:t xml:space="preserve">Section 11.03. </w:t>
            </w:r>
            <w:r>
              <w:rPr>
                <w:rFonts w:ascii="Arial" w:eastAsia="Arial" w:hAnsi="Arial" w:cs="Arial"/>
                <w:i/>
                <w:iCs/>
                <w:sz w:val="18"/>
                <w:szCs w:val="18"/>
              </w:rPr>
              <w:t>Vendor Contracts</w:t>
            </w:r>
          </w:p>
        </w:tc>
        <w:tc>
          <w:tcPr>
            <w:tcW w:w="1980" w:type="dxa"/>
            <w:vAlign w:val="bottom"/>
          </w:tcPr>
          <w:p w14:paraId="0F3660D3" w14:textId="77777777" w:rsidR="00D1587D" w:rsidRDefault="00410D07">
            <w:pPr>
              <w:jc w:val="right"/>
              <w:rPr>
                <w:sz w:val="20"/>
                <w:szCs w:val="20"/>
              </w:rPr>
            </w:pPr>
            <w:r>
              <w:rPr>
                <w:rFonts w:ascii="Arial" w:eastAsia="Arial" w:hAnsi="Arial" w:cs="Arial"/>
                <w:sz w:val="18"/>
                <w:szCs w:val="18"/>
              </w:rPr>
              <w:t>39</w:t>
            </w:r>
          </w:p>
        </w:tc>
      </w:tr>
      <w:tr w:rsidR="00D1587D" w14:paraId="3180A050" w14:textId="77777777">
        <w:trPr>
          <w:trHeight w:val="216"/>
        </w:trPr>
        <w:tc>
          <w:tcPr>
            <w:tcW w:w="9260" w:type="dxa"/>
            <w:vAlign w:val="bottom"/>
          </w:tcPr>
          <w:p w14:paraId="46CBD7EF" w14:textId="77777777" w:rsidR="00D1587D" w:rsidRDefault="00410D07">
            <w:pPr>
              <w:rPr>
                <w:sz w:val="20"/>
                <w:szCs w:val="20"/>
              </w:rPr>
            </w:pPr>
            <w:r>
              <w:rPr>
                <w:rFonts w:ascii="Arial" w:eastAsia="Arial" w:hAnsi="Arial" w:cs="Arial"/>
                <w:sz w:val="18"/>
                <w:szCs w:val="18"/>
              </w:rPr>
              <w:t xml:space="preserve">Section 11.04. </w:t>
            </w:r>
            <w:r>
              <w:rPr>
                <w:rFonts w:ascii="Arial" w:eastAsia="Arial" w:hAnsi="Arial" w:cs="Arial"/>
                <w:i/>
                <w:iCs/>
                <w:sz w:val="18"/>
                <w:szCs w:val="18"/>
              </w:rPr>
              <w:t>Data Privacy</w:t>
            </w:r>
          </w:p>
        </w:tc>
        <w:tc>
          <w:tcPr>
            <w:tcW w:w="1980" w:type="dxa"/>
            <w:vAlign w:val="bottom"/>
          </w:tcPr>
          <w:p w14:paraId="1527C36B" w14:textId="77777777" w:rsidR="00D1587D" w:rsidRDefault="00410D07">
            <w:pPr>
              <w:jc w:val="right"/>
              <w:rPr>
                <w:sz w:val="20"/>
                <w:szCs w:val="20"/>
              </w:rPr>
            </w:pPr>
            <w:r>
              <w:rPr>
                <w:rFonts w:ascii="Arial" w:eastAsia="Arial" w:hAnsi="Arial" w:cs="Arial"/>
                <w:sz w:val="18"/>
                <w:szCs w:val="18"/>
              </w:rPr>
              <w:t>39</w:t>
            </w:r>
          </w:p>
        </w:tc>
      </w:tr>
      <w:tr w:rsidR="00D1587D" w14:paraId="19BAD76B" w14:textId="77777777">
        <w:trPr>
          <w:trHeight w:val="216"/>
        </w:trPr>
        <w:tc>
          <w:tcPr>
            <w:tcW w:w="9260" w:type="dxa"/>
            <w:vAlign w:val="bottom"/>
          </w:tcPr>
          <w:p w14:paraId="2E92D8A2" w14:textId="77777777" w:rsidR="00D1587D" w:rsidRDefault="00410D07">
            <w:pPr>
              <w:rPr>
                <w:sz w:val="20"/>
                <w:szCs w:val="20"/>
              </w:rPr>
            </w:pPr>
            <w:r>
              <w:rPr>
                <w:rFonts w:ascii="Arial" w:eastAsia="Arial" w:hAnsi="Arial" w:cs="Arial"/>
                <w:sz w:val="18"/>
                <w:szCs w:val="18"/>
              </w:rPr>
              <w:t xml:space="preserve">Section 11.05. </w:t>
            </w:r>
            <w:r>
              <w:rPr>
                <w:rFonts w:ascii="Arial" w:eastAsia="Arial" w:hAnsi="Arial" w:cs="Arial"/>
                <w:i/>
                <w:iCs/>
                <w:sz w:val="18"/>
                <w:szCs w:val="18"/>
              </w:rPr>
              <w:t>Notices of Certain Events</w:t>
            </w:r>
          </w:p>
        </w:tc>
        <w:tc>
          <w:tcPr>
            <w:tcW w:w="1980" w:type="dxa"/>
            <w:vAlign w:val="bottom"/>
          </w:tcPr>
          <w:p w14:paraId="528D81D6" w14:textId="77777777" w:rsidR="00D1587D" w:rsidRDefault="00410D07">
            <w:pPr>
              <w:jc w:val="right"/>
              <w:rPr>
                <w:sz w:val="20"/>
                <w:szCs w:val="20"/>
              </w:rPr>
            </w:pPr>
            <w:r>
              <w:rPr>
                <w:rFonts w:ascii="Arial" w:eastAsia="Arial" w:hAnsi="Arial" w:cs="Arial"/>
                <w:sz w:val="18"/>
                <w:szCs w:val="18"/>
              </w:rPr>
              <w:t>39</w:t>
            </w:r>
          </w:p>
        </w:tc>
      </w:tr>
      <w:tr w:rsidR="00D1587D" w14:paraId="1F5C96A9" w14:textId="77777777">
        <w:trPr>
          <w:trHeight w:val="216"/>
        </w:trPr>
        <w:tc>
          <w:tcPr>
            <w:tcW w:w="9260" w:type="dxa"/>
            <w:vAlign w:val="bottom"/>
          </w:tcPr>
          <w:p w14:paraId="2FE6F432" w14:textId="77777777" w:rsidR="00D1587D" w:rsidRDefault="00410D07">
            <w:pPr>
              <w:rPr>
                <w:sz w:val="20"/>
                <w:szCs w:val="20"/>
              </w:rPr>
            </w:pPr>
            <w:r>
              <w:rPr>
                <w:rFonts w:ascii="Arial" w:eastAsia="Arial" w:hAnsi="Arial" w:cs="Arial"/>
                <w:sz w:val="18"/>
                <w:szCs w:val="18"/>
              </w:rPr>
              <w:t xml:space="preserve">Section 11.06. </w:t>
            </w:r>
            <w:r>
              <w:rPr>
                <w:rFonts w:ascii="Arial" w:eastAsia="Arial" w:hAnsi="Arial" w:cs="Arial"/>
                <w:i/>
                <w:iCs/>
                <w:sz w:val="18"/>
                <w:szCs w:val="18"/>
              </w:rPr>
              <w:t>No Third-Party Beneficiaries</w:t>
            </w:r>
          </w:p>
        </w:tc>
        <w:tc>
          <w:tcPr>
            <w:tcW w:w="1980" w:type="dxa"/>
            <w:vAlign w:val="bottom"/>
          </w:tcPr>
          <w:p w14:paraId="4A32F137" w14:textId="77777777" w:rsidR="00D1587D" w:rsidRDefault="00410D07">
            <w:pPr>
              <w:jc w:val="right"/>
              <w:rPr>
                <w:sz w:val="20"/>
                <w:szCs w:val="20"/>
              </w:rPr>
            </w:pPr>
            <w:r>
              <w:rPr>
                <w:rFonts w:ascii="Arial" w:eastAsia="Arial" w:hAnsi="Arial" w:cs="Arial"/>
                <w:sz w:val="18"/>
                <w:szCs w:val="18"/>
              </w:rPr>
              <w:t>40</w:t>
            </w:r>
          </w:p>
        </w:tc>
      </w:tr>
      <w:tr w:rsidR="00D1587D" w14:paraId="157F4D62" w14:textId="77777777">
        <w:trPr>
          <w:trHeight w:val="216"/>
        </w:trPr>
        <w:tc>
          <w:tcPr>
            <w:tcW w:w="9260" w:type="dxa"/>
            <w:vAlign w:val="bottom"/>
          </w:tcPr>
          <w:p w14:paraId="3E0C9667" w14:textId="77777777" w:rsidR="00D1587D" w:rsidRDefault="00410D07">
            <w:pPr>
              <w:rPr>
                <w:sz w:val="20"/>
                <w:szCs w:val="20"/>
              </w:rPr>
            </w:pPr>
            <w:r>
              <w:rPr>
                <w:rFonts w:ascii="Arial" w:eastAsia="Arial" w:hAnsi="Arial" w:cs="Arial"/>
                <w:sz w:val="18"/>
                <w:szCs w:val="18"/>
              </w:rPr>
              <w:t xml:space="preserve">Section 11.07. </w:t>
            </w:r>
            <w:r>
              <w:rPr>
                <w:rFonts w:ascii="Arial" w:eastAsia="Arial" w:hAnsi="Arial" w:cs="Arial"/>
                <w:i/>
                <w:iCs/>
                <w:sz w:val="18"/>
                <w:szCs w:val="18"/>
              </w:rPr>
              <w:t>Fiduciary Matters</w:t>
            </w:r>
          </w:p>
        </w:tc>
        <w:tc>
          <w:tcPr>
            <w:tcW w:w="1980" w:type="dxa"/>
            <w:vAlign w:val="bottom"/>
          </w:tcPr>
          <w:p w14:paraId="03F2D26D" w14:textId="77777777" w:rsidR="00D1587D" w:rsidRDefault="00410D07">
            <w:pPr>
              <w:jc w:val="right"/>
              <w:rPr>
                <w:sz w:val="20"/>
                <w:szCs w:val="20"/>
              </w:rPr>
            </w:pPr>
            <w:r>
              <w:rPr>
                <w:rFonts w:ascii="Arial" w:eastAsia="Arial" w:hAnsi="Arial" w:cs="Arial"/>
                <w:sz w:val="18"/>
                <w:szCs w:val="18"/>
              </w:rPr>
              <w:t>40</w:t>
            </w:r>
          </w:p>
        </w:tc>
      </w:tr>
      <w:tr w:rsidR="00D1587D" w14:paraId="1C91E390" w14:textId="77777777">
        <w:trPr>
          <w:trHeight w:val="216"/>
        </w:trPr>
        <w:tc>
          <w:tcPr>
            <w:tcW w:w="9260" w:type="dxa"/>
            <w:vAlign w:val="bottom"/>
          </w:tcPr>
          <w:p w14:paraId="4FC85B67" w14:textId="77777777" w:rsidR="00D1587D" w:rsidRDefault="00410D07">
            <w:pPr>
              <w:rPr>
                <w:sz w:val="20"/>
                <w:szCs w:val="20"/>
              </w:rPr>
            </w:pPr>
            <w:r>
              <w:rPr>
                <w:rFonts w:ascii="Arial" w:eastAsia="Arial" w:hAnsi="Arial" w:cs="Arial"/>
                <w:sz w:val="18"/>
                <w:szCs w:val="18"/>
              </w:rPr>
              <w:t xml:space="preserve">Section 11.08. </w:t>
            </w:r>
            <w:r>
              <w:rPr>
                <w:rFonts w:ascii="Arial" w:eastAsia="Arial" w:hAnsi="Arial" w:cs="Arial"/>
                <w:i/>
                <w:iCs/>
                <w:sz w:val="18"/>
                <w:szCs w:val="18"/>
              </w:rPr>
              <w:t>Consent of Third Parties</w:t>
            </w:r>
          </w:p>
        </w:tc>
        <w:tc>
          <w:tcPr>
            <w:tcW w:w="1980" w:type="dxa"/>
            <w:vAlign w:val="bottom"/>
          </w:tcPr>
          <w:p w14:paraId="54675E1A" w14:textId="77777777" w:rsidR="00D1587D" w:rsidRDefault="00410D07">
            <w:pPr>
              <w:jc w:val="right"/>
              <w:rPr>
                <w:sz w:val="20"/>
                <w:szCs w:val="20"/>
              </w:rPr>
            </w:pPr>
            <w:r>
              <w:rPr>
                <w:rFonts w:ascii="Arial" w:eastAsia="Arial" w:hAnsi="Arial" w:cs="Arial"/>
                <w:sz w:val="18"/>
                <w:szCs w:val="18"/>
              </w:rPr>
              <w:t>40</w:t>
            </w:r>
          </w:p>
        </w:tc>
      </w:tr>
      <w:tr w:rsidR="00D1587D" w14:paraId="7B77895C" w14:textId="77777777">
        <w:trPr>
          <w:trHeight w:val="230"/>
        </w:trPr>
        <w:tc>
          <w:tcPr>
            <w:tcW w:w="9260" w:type="dxa"/>
            <w:vAlign w:val="bottom"/>
          </w:tcPr>
          <w:p w14:paraId="23D3D62B" w14:textId="77777777" w:rsidR="00D1587D" w:rsidRDefault="00410D07">
            <w:pPr>
              <w:rPr>
                <w:sz w:val="20"/>
                <w:szCs w:val="20"/>
              </w:rPr>
            </w:pPr>
            <w:r>
              <w:rPr>
                <w:rFonts w:ascii="Arial" w:eastAsia="Arial" w:hAnsi="Arial" w:cs="Arial"/>
                <w:sz w:val="18"/>
                <w:szCs w:val="18"/>
              </w:rPr>
              <w:t xml:space="preserve">Section 11.09. </w:t>
            </w:r>
            <w:r>
              <w:rPr>
                <w:rFonts w:ascii="Arial" w:eastAsia="Arial" w:hAnsi="Arial" w:cs="Arial"/>
                <w:i/>
                <w:iCs/>
                <w:sz w:val="18"/>
                <w:szCs w:val="18"/>
              </w:rPr>
              <w:t>Section 409A</w:t>
            </w:r>
          </w:p>
        </w:tc>
        <w:tc>
          <w:tcPr>
            <w:tcW w:w="1980" w:type="dxa"/>
            <w:vAlign w:val="bottom"/>
          </w:tcPr>
          <w:p w14:paraId="10CBF4B5" w14:textId="77777777" w:rsidR="00D1587D" w:rsidRDefault="00410D07">
            <w:pPr>
              <w:jc w:val="right"/>
              <w:rPr>
                <w:sz w:val="20"/>
                <w:szCs w:val="20"/>
              </w:rPr>
            </w:pPr>
            <w:r>
              <w:rPr>
                <w:rFonts w:ascii="Arial" w:eastAsia="Arial" w:hAnsi="Arial" w:cs="Arial"/>
                <w:sz w:val="18"/>
                <w:szCs w:val="18"/>
              </w:rPr>
              <w:t>40</w:t>
            </w:r>
          </w:p>
        </w:tc>
      </w:tr>
      <w:tr w:rsidR="00D1587D" w14:paraId="3C6D78D3" w14:textId="77777777">
        <w:trPr>
          <w:trHeight w:val="418"/>
        </w:trPr>
        <w:tc>
          <w:tcPr>
            <w:tcW w:w="9260" w:type="dxa"/>
            <w:vAlign w:val="bottom"/>
          </w:tcPr>
          <w:p w14:paraId="33DD84CF" w14:textId="77777777" w:rsidR="00D1587D" w:rsidRDefault="00410D07">
            <w:pPr>
              <w:ind w:left="1910"/>
              <w:jc w:val="center"/>
              <w:rPr>
                <w:sz w:val="20"/>
                <w:szCs w:val="20"/>
              </w:rPr>
            </w:pPr>
            <w:r>
              <w:rPr>
                <w:rFonts w:ascii="Arial" w:eastAsia="Arial" w:hAnsi="Arial" w:cs="Arial"/>
                <w:w w:val="96"/>
                <w:sz w:val="18"/>
                <w:szCs w:val="18"/>
              </w:rPr>
              <w:t>ARTICLE 12</w:t>
            </w:r>
          </w:p>
        </w:tc>
        <w:tc>
          <w:tcPr>
            <w:tcW w:w="1980" w:type="dxa"/>
            <w:vAlign w:val="bottom"/>
          </w:tcPr>
          <w:p w14:paraId="543CD2BD" w14:textId="77777777" w:rsidR="00D1587D" w:rsidRDefault="00D1587D">
            <w:pPr>
              <w:rPr>
                <w:sz w:val="24"/>
                <w:szCs w:val="24"/>
              </w:rPr>
            </w:pPr>
          </w:p>
        </w:tc>
      </w:tr>
      <w:tr w:rsidR="00D1587D" w14:paraId="1AA24263" w14:textId="77777777">
        <w:trPr>
          <w:trHeight w:val="230"/>
        </w:trPr>
        <w:tc>
          <w:tcPr>
            <w:tcW w:w="9260" w:type="dxa"/>
            <w:vAlign w:val="bottom"/>
          </w:tcPr>
          <w:p w14:paraId="4EC0FA2A" w14:textId="77777777" w:rsidR="00D1587D" w:rsidRDefault="00410D07">
            <w:pPr>
              <w:ind w:left="1910"/>
              <w:jc w:val="center"/>
              <w:rPr>
                <w:sz w:val="20"/>
                <w:szCs w:val="20"/>
              </w:rPr>
            </w:pPr>
            <w:r>
              <w:rPr>
                <w:rFonts w:ascii="Arial" w:eastAsia="Arial" w:hAnsi="Arial" w:cs="Arial"/>
                <w:w w:val="99"/>
                <w:sz w:val="18"/>
                <w:szCs w:val="18"/>
              </w:rPr>
              <w:t>N</w:t>
            </w:r>
            <w:r>
              <w:rPr>
                <w:rFonts w:ascii="Arial" w:eastAsia="Arial" w:hAnsi="Arial" w:cs="Arial"/>
                <w:w w:val="99"/>
                <w:sz w:val="12"/>
                <w:szCs w:val="12"/>
              </w:rPr>
              <w:t>ON</w:t>
            </w:r>
            <w:r>
              <w:rPr>
                <w:rFonts w:ascii="Arial" w:eastAsia="Arial" w:hAnsi="Arial" w:cs="Arial"/>
                <w:w w:val="99"/>
                <w:sz w:val="18"/>
                <w:szCs w:val="18"/>
              </w:rPr>
              <w:t>-S</w:t>
            </w:r>
            <w:r>
              <w:rPr>
                <w:rFonts w:ascii="Arial" w:eastAsia="Arial" w:hAnsi="Arial" w:cs="Arial"/>
                <w:w w:val="99"/>
                <w:sz w:val="12"/>
                <w:szCs w:val="12"/>
              </w:rPr>
              <w:t>OLICIT AND</w:t>
            </w:r>
            <w:r>
              <w:rPr>
                <w:rFonts w:ascii="Arial" w:eastAsia="Arial" w:hAnsi="Arial" w:cs="Arial"/>
                <w:w w:val="99"/>
                <w:sz w:val="18"/>
                <w:szCs w:val="18"/>
              </w:rPr>
              <w:t xml:space="preserve"> N</w:t>
            </w:r>
            <w:r>
              <w:rPr>
                <w:rFonts w:ascii="Arial" w:eastAsia="Arial" w:hAnsi="Arial" w:cs="Arial"/>
                <w:w w:val="99"/>
                <w:sz w:val="12"/>
                <w:szCs w:val="12"/>
              </w:rPr>
              <w:t>O</w:t>
            </w:r>
            <w:r>
              <w:rPr>
                <w:rFonts w:ascii="Arial" w:eastAsia="Arial" w:hAnsi="Arial" w:cs="Arial"/>
                <w:w w:val="99"/>
                <w:sz w:val="18"/>
                <w:szCs w:val="18"/>
              </w:rPr>
              <w:t>-H</w:t>
            </w:r>
            <w:r>
              <w:rPr>
                <w:rFonts w:ascii="Arial" w:eastAsia="Arial" w:hAnsi="Arial" w:cs="Arial"/>
                <w:w w:val="99"/>
                <w:sz w:val="12"/>
                <w:szCs w:val="12"/>
              </w:rPr>
              <w:t>IRE</w:t>
            </w:r>
          </w:p>
        </w:tc>
        <w:tc>
          <w:tcPr>
            <w:tcW w:w="1980" w:type="dxa"/>
            <w:vAlign w:val="bottom"/>
          </w:tcPr>
          <w:p w14:paraId="5C49E9FC" w14:textId="77777777" w:rsidR="00D1587D" w:rsidRDefault="00D1587D">
            <w:pPr>
              <w:rPr>
                <w:sz w:val="20"/>
                <w:szCs w:val="20"/>
              </w:rPr>
            </w:pPr>
          </w:p>
        </w:tc>
      </w:tr>
      <w:tr w:rsidR="00D1587D" w14:paraId="7ACEDF88" w14:textId="77777777">
        <w:trPr>
          <w:trHeight w:val="432"/>
        </w:trPr>
        <w:tc>
          <w:tcPr>
            <w:tcW w:w="9260" w:type="dxa"/>
            <w:vAlign w:val="bottom"/>
          </w:tcPr>
          <w:p w14:paraId="5DD9A1A3" w14:textId="77777777" w:rsidR="00D1587D" w:rsidRDefault="00410D07">
            <w:pPr>
              <w:rPr>
                <w:sz w:val="20"/>
                <w:szCs w:val="20"/>
              </w:rPr>
            </w:pPr>
            <w:r>
              <w:rPr>
                <w:rFonts w:ascii="Arial" w:eastAsia="Arial" w:hAnsi="Arial" w:cs="Arial"/>
                <w:sz w:val="18"/>
                <w:szCs w:val="18"/>
              </w:rPr>
              <w:t xml:space="preserve">Section 12.01. </w:t>
            </w:r>
            <w:r>
              <w:rPr>
                <w:rFonts w:ascii="Arial" w:eastAsia="Arial" w:hAnsi="Arial" w:cs="Arial"/>
                <w:i/>
                <w:iCs/>
                <w:sz w:val="18"/>
                <w:szCs w:val="18"/>
              </w:rPr>
              <w:t>No-Hire/Non-Solicitation of Employees</w:t>
            </w:r>
          </w:p>
        </w:tc>
        <w:tc>
          <w:tcPr>
            <w:tcW w:w="1980" w:type="dxa"/>
            <w:vAlign w:val="bottom"/>
          </w:tcPr>
          <w:p w14:paraId="011AC39C" w14:textId="77777777" w:rsidR="00D1587D" w:rsidRDefault="00410D07">
            <w:pPr>
              <w:jc w:val="right"/>
              <w:rPr>
                <w:sz w:val="20"/>
                <w:szCs w:val="20"/>
              </w:rPr>
            </w:pPr>
            <w:r>
              <w:rPr>
                <w:rFonts w:ascii="Arial" w:eastAsia="Arial" w:hAnsi="Arial" w:cs="Arial"/>
                <w:sz w:val="18"/>
                <w:szCs w:val="18"/>
              </w:rPr>
              <w:t>41</w:t>
            </w:r>
          </w:p>
        </w:tc>
      </w:tr>
      <w:tr w:rsidR="00D1587D" w14:paraId="7EC87FF0" w14:textId="77777777">
        <w:trPr>
          <w:trHeight w:val="418"/>
        </w:trPr>
        <w:tc>
          <w:tcPr>
            <w:tcW w:w="9260" w:type="dxa"/>
            <w:vAlign w:val="bottom"/>
          </w:tcPr>
          <w:p w14:paraId="6D625685" w14:textId="77777777" w:rsidR="00D1587D" w:rsidRDefault="00410D07">
            <w:pPr>
              <w:ind w:left="1910"/>
              <w:jc w:val="center"/>
              <w:rPr>
                <w:sz w:val="20"/>
                <w:szCs w:val="20"/>
              </w:rPr>
            </w:pPr>
            <w:r>
              <w:rPr>
                <w:rFonts w:ascii="Arial" w:eastAsia="Arial" w:hAnsi="Arial" w:cs="Arial"/>
                <w:w w:val="96"/>
                <w:sz w:val="18"/>
                <w:szCs w:val="18"/>
              </w:rPr>
              <w:t>ARTICLE 13</w:t>
            </w:r>
          </w:p>
        </w:tc>
        <w:tc>
          <w:tcPr>
            <w:tcW w:w="1980" w:type="dxa"/>
            <w:vAlign w:val="bottom"/>
          </w:tcPr>
          <w:p w14:paraId="709E2A45" w14:textId="77777777" w:rsidR="00D1587D" w:rsidRDefault="00D1587D">
            <w:pPr>
              <w:rPr>
                <w:sz w:val="24"/>
                <w:szCs w:val="24"/>
              </w:rPr>
            </w:pPr>
          </w:p>
        </w:tc>
      </w:tr>
      <w:tr w:rsidR="00D1587D" w14:paraId="2B3C8740" w14:textId="77777777">
        <w:trPr>
          <w:trHeight w:val="230"/>
        </w:trPr>
        <w:tc>
          <w:tcPr>
            <w:tcW w:w="9260" w:type="dxa"/>
            <w:vAlign w:val="bottom"/>
          </w:tcPr>
          <w:p w14:paraId="6CE12986" w14:textId="77777777" w:rsidR="00D1587D" w:rsidRDefault="00410D07">
            <w:pPr>
              <w:ind w:left="1910"/>
              <w:jc w:val="center"/>
              <w:rPr>
                <w:sz w:val="20"/>
                <w:szCs w:val="20"/>
              </w:rPr>
            </w:pPr>
            <w:r>
              <w:rPr>
                <w:rFonts w:ascii="Arial" w:eastAsia="Arial" w:hAnsi="Arial" w:cs="Arial"/>
                <w:w w:val="98"/>
                <w:sz w:val="18"/>
                <w:szCs w:val="18"/>
              </w:rPr>
              <w:t>M</w:t>
            </w:r>
            <w:r>
              <w:rPr>
                <w:rFonts w:ascii="Arial" w:eastAsia="Arial" w:hAnsi="Arial" w:cs="Arial"/>
                <w:w w:val="98"/>
                <w:sz w:val="12"/>
                <w:szCs w:val="12"/>
              </w:rPr>
              <w:t>ISCELLANEOUS</w:t>
            </w:r>
          </w:p>
        </w:tc>
        <w:tc>
          <w:tcPr>
            <w:tcW w:w="1980" w:type="dxa"/>
            <w:vAlign w:val="bottom"/>
          </w:tcPr>
          <w:p w14:paraId="1502E5F4" w14:textId="77777777" w:rsidR="00D1587D" w:rsidRDefault="00D1587D">
            <w:pPr>
              <w:rPr>
                <w:sz w:val="20"/>
                <w:szCs w:val="20"/>
              </w:rPr>
            </w:pPr>
          </w:p>
        </w:tc>
      </w:tr>
      <w:tr w:rsidR="00D1587D" w14:paraId="77B8C641" w14:textId="77777777">
        <w:trPr>
          <w:trHeight w:val="432"/>
        </w:trPr>
        <w:tc>
          <w:tcPr>
            <w:tcW w:w="9260" w:type="dxa"/>
            <w:vAlign w:val="bottom"/>
          </w:tcPr>
          <w:p w14:paraId="4C1D7246" w14:textId="77777777" w:rsidR="00D1587D" w:rsidRDefault="00410D07">
            <w:pPr>
              <w:rPr>
                <w:sz w:val="20"/>
                <w:szCs w:val="20"/>
              </w:rPr>
            </w:pPr>
            <w:r>
              <w:rPr>
                <w:rFonts w:ascii="Arial" w:eastAsia="Arial" w:hAnsi="Arial" w:cs="Arial"/>
                <w:sz w:val="18"/>
                <w:szCs w:val="18"/>
              </w:rPr>
              <w:t xml:space="preserve">Section 13.01. </w:t>
            </w:r>
            <w:r>
              <w:rPr>
                <w:rFonts w:ascii="Arial" w:eastAsia="Arial" w:hAnsi="Arial" w:cs="Arial"/>
                <w:i/>
                <w:iCs/>
                <w:sz w:val="18"/>
                <w:szCs w:val="18"/>
              </w:rPr>
              <w:t>General</w:t>
            </w:r>
          </w:p>
        </w:tc>
        <w:tc>
          <w:tcPr>
            <w:tcW w:w="1980" w:type="dxa"/>
            <w:vAlign w:val="bottom"/>
          </w:tcPr>
          <w:p w14:paraId="20B5C0F9" w14:textId="77777777" w:rsidR="00D1587D" w:rsidRDefault="00410D07">
            <w:pPr>
              <w:jc w:val="right"/>
              <w:rPr>
                <w:sz w:val="20"/>
                <w:szCs w:val="20"/>
              </w:rPr>
            </w:pPr>
            <w:r>
              <w:rPr>
                <w:rFonts w:ascii="Arial" w:eastAsia="Arial" w:hAnsi="Arial" w:cs="Arial"/>
                <w:sz w:val="18"/>
                <w:szCs w:val="18"/>
              </w:rPr>
              <w:t>42</w:t>
            </w:r>
          </w:p>
        </w:tc>
      </w:tr>
    </w:tbl>
    <w:p w14:paraId="069A957E" w14:textId="77777777" w:rsidR="00D1587D" w:rsidRDefault="00D1587D">
      <w:pPr>
        <w:spacing w:line="373" w:lineRule="exact"/>
        <w:rPr>
          <w:sz w:val="20"/>
          <w:szCs w:val="20"/>
        </w:rPr>
      </w:pPr>
    </w:p>
    <w:p w14:paraId="7365A935" w14:textId="77777777" w:rsidR="00D1587D" w:rsidRDefault="00410D07">
      <w:pPr>
        <w:jc w:val="center"/>
        <w:rPr>
          <w:sz w:val="20"/>
          <w:szCs w:val="20"/>
        </w:rPr>
      </w:pPr>
      <w:r>
        <w:rPr>
          <w:rFonts w:ascii="Arial" w:eastAsia="Arial" w:hAnsi="Arial" w:cs="Arial"/>
          <w:sz w:val="14"/>
          <w:szCs w:val="14"/>
        </w:rPr>
        <w:t>ii</w:t>
      </w:r>
    </w:p>
    <w:p w14:paraId="1E195D6D" w14:textId="77777777" w:rsidR="00D1587D" w:rsidRDefault="00410D07">
      <w:pPr>
        <w:spacing w:line="20" w:lineRule="exact"/>
        <w:rPr>
          <w:sz w:val="20"/>
          <w:szCs w:val="20"/>
        </w:rPr>
      </w:pPr>
      <w:r>
        <w:rPr>
          <w:noProof/>
          <w:sz w:val="20"/>
          <w:szCs w:val="20"/>
        </w:rPr>
        <w:drawing>
          <wp:anchor distT="0" distB="0" distL="114300" distR="114300" simplePos="0" relativeHeight="251329536" behindDoc="1" locked="0" layoutInCell="0" allowOverlap="1" wp14:anchorId="28766E64" wp14:editId="6275C772">
            <wp:simplePos x="0" y="0"/>
            <wp:positionH relativeFrom="column">
              <wp:posOffset>5080</wp:posOffset>
            </wp:positionH>
            <wp:positionV relativeFrom="paragraph">
              <wp:posOffset>38100</wp:posOffset>
            </wp:positionV>
            <wp:extent cx="7132320" cy="1714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E21EC26" w14:textId="77777777" w:rsidR="00D1587D" w:rsidRDefault="00D1587D">
      <w:pPr>
        <w:sectPr w:rsidR="00D1587D">
          <w:pgSz w:w="11900" w:h="16838"/>
          <w:pgMar w:top="125" w:right="339" w:bottom="1440" w:left="320" w:header="0" w:footer="0" w:gutter="0"/>
          <w:cols w:space="720" w:equalWidth="0">
            <w:col w:w="11240"/>
          </w:cols>
        </w:sectPr>
      </w:pPr>
    </w:p>
    <w:p w14:paraId="066D4793" w14:textId="77777777" w:rsidR="00D1587D" w:rsidRDefault="00410D07">
      <w:pPr>
        <w:jc w:val="center"/>
        <w:rPr>
          <w:sz w:val="20"/>
          <w:szCs w:val="20"/>
        </w:rPr>
      </w:pPr>
      <w:bookmarkStart w:id="171" w:name="page172"/>
      <w:bookmarkEnd w:id="171"/>
      <w:r>
        <w:rPr>
          <w:rFonts w:ascii="Arial" w:eastAsia="Arial" w:hAnsi="Arial" w:cs="Arial"/>
          <w:b/>
          <w:bCs/>
          <w:sz w:val="18"/>
          <w:szCs w:val="18"/>
        </w:rPr>
        <w:t>EMPLOYEE MATTERS AGREEMENT</w:t>
      </w:r>
    </w:p>
    <w:p w14:paraId="295F76BF" w14:textId="77777777" w:rsidR="00D1587D" w:rsidRDefault="00D1587D">
      <w:pPr>
        <w:spacing w:line="229" w:lineRule="exact"/>
        <w:rPr>
          <w:sz w:val="20"/>
          <w:szCs w:val="20"/>
        </w:rPr>
      </w:pPr>
    </w:p>
    <w:p w14:paraId="4E5B3489" w14:textId="77777777" w:rsidR="00D1587D" w:rsidRDefault="00410D07">
      <w:pPr>
        <w:spacing w:line="263" w:lineRule="auto"/>
        <w:ind w:right="20" w:firstLine="648"/>
        <w:jc w:val="both"/>
        <w:rPr>
          <w:sz w:val="20"/>
          <w:szCs w:val="20"/>
        </w:rPr>
      </w:pPr>
      <w:r>
        <w:rPr>
          <w:rFonts w:ascii="Arial" w:eastAsia="Arial" w:hAnsi="Arial" w:cs="Arial"/>
          <w:sz w:val="18"/>
          <w:szCs w:val="18"/>
        </w:rPr>
        <w:t xml:space="preserve">EMPLOYEE </w:t>
      </w:r>
      <w:r>
        <w:rPr>
          <w:rFonts w:ascii="Arial" w:eastAsia="Arial" w:hAnsi="Arial" w:cs="Arial"/>
          <w:sz w:val="18"/>
          <w:szCs w:val="18"/>
        </w:rPr>
        <w:t>MATTERS AGREEMENT dated as of [__], 2021 (as the same may be amended from time to time in accordance with its terms, this “</w:t>
      </w:r>
      <w:r>
        <w:rPr>
          <w:rFonts w:ascii="Arial" w:eastAsia="Arial" w:hAnsi="Arial" w:cs="Arial"/>
          <w:b/>
          <w:bCs/>
          <w:sz w:val="18"/>
          <w:szCs w:val="18"/>
        </w:rPr>
        <w:t>Agreement</w:t>
      </w:r>
      <w:r>
        <w:rPr>
          <w:rFonts w:ascii="Arial" w:eastAsia="Arial" w:hAnsi="Arial" w:cs="Arial"/>
          <w:sz w:val="18"/>
          <w:szCs w:val="18"/>
        </w:rPr>
        <w:t>”), between L Brands, Inc., a Delaware corporation (“</w:t>
      </w:r>
      <w:r>
        <w:rPr>
          <w:rFonts w:ascii="Arial" w:eastAsia="Arial" w:hAnsi="Arial" w:cs="Arial"/>
          <w:b/>
          <w:bCs/>
          <w:sz w:val="18"/>
          <w:szCs w:val="18"/>
        </w:rPr>
        <w:t>L Brands</w:t>
      </w:r>
      <w:r>
        <w:rPr>
          <w:rFonts w:ascii="Arial" w:eastAsia="Arial" w:hAnsi="Arial" w:cs="Arial"/>
          <w:sz w:val="18"/>
          <w:szCs w:val="18"/>
        </w:rPr>
        <w:t>”), and Victoria’s Secret &amp; Co., a Delaware corporation (“</w:t>
      </w:r>
      <w:r>
        <w:rPr>
          <w:rFonts w:ascii="Arial" w:eastAsia="Arial" w:hAnsi="Arial" w:cs="Arial"/>
          <w:b/>
          <w:bCs/>
          <w:sz w:val="18"/>
          <w:szCs w:val="18"/>
        </w:rPr>
        <w:t>VS</w:t>
      </w:r>
      <w:r>
        <w:rPr>
          <w:rFonts w:ascii="Arial" w:eastAsia="Arial" w:hAnsi="Arial" w:cs="Arial"/>
          <w:sz w:val="18"/>
          <w:szCs w:val="18"/>
        </w:rPr>
        <w:t xml:space="preserve">”) </w:t>
      </w:r>
      <w:r>
        <w:rPr>
          <w:rFonts w:ascii="Arial" w:eastAsia="Arial" w:hAnsi="Arial" w:cs="Arial"/>
          <w:sz w:val="18"/>
          <w:szCs w:val="18"/>
        </w:rPr>
        <w:t>(each, a “</w:t>
      </w:r>
      <w:r>
        <w:rPr>
          <w:rFonts w:ascii="Arial" w:eastAsia="Arial" w:hAnsi="Arial" w:cs="Arial"/>
          <w:b/>
          <w:bCs/>
          <w:sz w:val="18"/>
          <w:szCs w:val="18"/>
        </w:rPr>
        <w:t>Party</w:t>
      </w:r>
      <w:r>
        <w:rPr>
          <w:rFonts w:ascii="Arial" w:eastAsia="Arial" w:hAnsi="Arial" w:cs="Arial"/>
          <w:sz w:val="18"/>
          <w:szCs w:val="18"/>
        </w:rPr>
        <w:t>” and together, the “</w:t>
      </w:r>
      <w:r>
        <w:rPr>
          <w:rFonts w:ascii="Arial" w:eastAsia="Arial" w:hAnsi="Arial" w:cs="Arial"/>
          <w:b/>
          <w:bCs/>
          <w:sz w:val="18"/>
          <w:szCs w:val="18"/>
        </w:rPr>
        <w:t>Parties</w:t>
      </w:r>
      <w:r>
        <w:rPr>
          <w:rFonts w:ascii="Arial" w:eastAsia="Arial" w:hAnsi="Arial" w:cs="Arial"/>
          <w:sz w:val="18"/>
          <w:szCs w:val="18"/>
        </w:rPr>
        <w:t>”).</w:t>
      </w:r>
    </w:p>
    <w:p w14:paraId="1BFB399F" w14:textId="77777777" w:rsidR="00D1587D" w:rsidRDefault="00D1587D">
      <w:pPr>
        <w:spacing w:line="180" w:lineRule="exact"/>
        <w:rPr>
          <w:sz w:val="20"/>
          <w:szCs w:val="20"/>
        </w:rPr>
      </w:pPr>
    </w:p>
    <w:p w14:paraId="0FDE580A" w14:textId="77777777" w:rsidR="00D1587D" w:rsidRDefault="00410D07">
      <w:pPr>
        <w:jc w:val="center"/>
        <w:rPr>
          <w:sz w:val="20"/>
          <w:szCs w:val="20"/>
        </w:rPr>
      </w:pPr>
      <w:r>
        <w:rPr>
          <w:rFonts w:ascii="Arial" w:eastAsia="Arial" w:hAnsi="Arial" w:cs="Arial"/>
          <w:b/>
          <w:bCs/>
          <w:sz w:val="18"/>
          <w:szCs w:val="18"/>
        </w:rPr>
        <w:t>W I T N E S S E T H :</w:t>
      </w:r>
    </w:p>
    <w:p w14:paraId="5FE431DA" w14:textId="77777777" w:rsidR="00D1587D" w:rsidRDefault="00D1587D">
      <w:pPr>
        <w:spacing w:line="225" w:lineRule="exact"/>
        <w:rPr>
          <w:sz w:val="20"/>
          <w:szCs w:val="20"/>
        </w:rPr>
      </w:pPr>
    </w:p>
    <w:p w14:paraId="50595734" w14:textId="77777777" w:rsidR="00D1587D" w:rsidRDefault="00410D07">
      <w:pPr>
        <w:spacing w:line="282" w:lineRule="auto"/>
        <w:ind w:firstLine="648"/>
        <w:jc w:val="both"/>
        <w:rPr>
          <w:sz w:val="20"/>
          <w:szCs w:val="20"/>
        </w:rPr>
      </w:pPr>
      <w:r>
        <w:rPr>
          <w:rFonts w:ascii="Arial" w:eastAsia="Arial" w:hAnsi="Arial" w:cs="Arial"/>
          <w:sz w:val="18"/>
          <w:szCs w:val="18"/>
        </w:rPr>
        <w:t>WHEREAS, the Board of Directors of L Brands (the “</w:t>
      </w:r>
      <w:r>
        <w:rPr>
          <w:rFonts w:ascii="Arial" w:eastAsia="Arial" w:hAnsi="Arial" w:cs="Arial"/>
          <w:b/>
          <w:bCs/>
          <w:sz w:val="18"/>
          <w:szCs w:val="18"/>
        </w:rPr>
        <w:t>L Brands Board</w:t>
      </w:r>
      <w:r>
        <w:rPr>
          <w:rFonts w:ascii="Arial" w:eastAsia="Arial" w:hAnsi="Arial" w:cs="Arial"/>
          <w:sz w:val="18"/>
          <w:szCs w:val="18"/>
        </w:rPr>
        <w:t xml:space="preserve">”) has determined that it is in the best interests of L Brands and its stockholders to separate the VS Business from </w:t>
      </w:r>
      <w:r>
        <w:rPr>
          <w:rFonts w:ascii="Arial" w:eastAsia="Arial" w:hAnsi="Arial" w:cs="Arial"/>
          <w:sz w:val="18"/>
          <w:szCs w:val="18"/>
        </w:rPr>
        <w:t>the L Brands Business;</w:t>
      </w:r>
    </w:p>
    <w:p w14:paraId="0E734C05" w14:textId="77777777" w:rsidR="00D1587D" w:rsidRDefault="00D1587D">
      <w:pPr>
        <w:spacing w:line="166" w:lineRule="exact"/>
        <w:rPr>
          <w:sz w:val="20"/>
          <w:szCs w:val="20"/>
        </w:rPr>
      </w:pPr>
    </w:p>
    <w:p w14:paraId="78382565" w14:textId="77777777" w:rsidR="00D1587D" w:rsidRDefault="00410D07">
      <w:pPr>
        <w:spacing w:line="263" w:lineRule="auto"/>
        <w:ind w:right="20" w:firstLine="648"/>
        <w:jc w:val="both"/>
        <w:rPr>
          <w:sz w:val="20"/>
          <w:szCs w:val="20"/>
        </w:rPr>
      </w:pPr>
      <w:r>
        <w:rPr>
          <w:rFonts w:ascii="Arial" w:eastAsia="Arial" w:hAnsi="Arial" w:cs="Arial"/>
          <w:sz w:val="18"/>
          <w:szCs w:val="18"/>
        </w:rPr>
        <w:t>WHEREAS, VS is a wholly owned Subsidiary of L Brands that has been incorporated for the sole purpose of, and has not engaged in activities except in preparation for, the Distribution (as defined below) and the transactions contempla</w:t>
      </w:r>
      <w:r>
        <w:rPr>
          <w:rFonts w:ascii="Arial" w:eastAsia="Arial" w:hAnsi="Arial" w:cs="Arial"/>
          <w:sz w:val="18"/>
          <w:szCs w:val="18"/>
        </w:rPr>
        <w:t>ted by this Agreement, the Separation Agreement (as defined below) and the other Ancillary Agreements;</w:t>
      </w:r>
    </w:p>
    <w:p w14:paraId="1CFF7BC5" w14:textId="77777777" w:rsidR="00D1587D" w:rsidRDefault="00D1587D">
      <w:pPr>
        <w:spacing w:line="184" w:lineRule="exact"/>
        <w:rPr>
          <w:sz w:val="20"/>
          <w:szCs w:val="20"/>
        </w:rPr>
      </w:pPr>
    </w:p>
    <w:p w14:paraId="103BF396" w14:textId="77777777" w:rsidR="00D1587D" w:rsidRDefault="00410D07">
      <w:pPr>
        <w:spacing w:line="257" w:lineRule="auto"/>
        <w:ind w:firstLine="648"/>
        <w:jc w:val="both"/>
        <w:rPr>
          <w:sz w:val="20"/>
          <w:szCs w:val="20"/>
        </w:rPr>
      </w:pPr>
      <w:r>
        <w:rPr>
          <w:rFonts w:ascii="Arial" w:eastAsia="Arial" w:hAnsi="Arial" w:cs="Arial"/>
          <w:sz w:val="18"/>
          <w:szCs w:val="18"/>
        </w:rPr>
        <w:t>WHEREAS, in furtherance of the foregoing, the L Brands Board has determined that it is in the best interests of L Brands and its stockholders to distrib</w:t>
      </w:r>
      <w:r>
        <w:rPr>
          <w:rFonts w:ascii="Arial" w:eastAsia="Arial" w:hAnsi="Arial" w:cs="Arial"/>
          <w:sz w:val="18"/>
          <w:szCs w:val="18"/>
        </w:rPr>
        <w:t>ute to the holders of the issued and outstanding shares of common stock, par value $0.50 per share, of L Brands (the “</w:t>
      </w:r>
      <w:r>
        <w:rPr>
          <w:rFonts w:ascii="Arial" w:eastAsia="Arial" w:hAnsi="Arial" w:cs="Arial"/>
          <w:b/>
          <w:bCs/>
          <w:sz w:val="18"/>
          <w:szCs w:val="18"/>
        </w:rPr>
        <w:t>L Brands Common Stock</w:t>
      </w:r>
      <w:r>
        <w:rPr>
          <w:rFonts w:ascii="Arial" w:eastAsia="Arial" w:hAnsi="Arial" w:cs="Arial"/>
          <w:sz w:val="18"/>
          <w:szCs w:val="18"/>
        </w:rPr>
        <w:t xml:space="preserve">”) as of the Record Date, by means of a </w:t>
      </w:r>
      <w:r>
        <w:rPr>
          <w:rFonts w:ascii="Arial" w:eastAsia="Arial" w:hAnsi="Arial" w:cs="Arial"/>
          <w:i/>
          <w:iCs/>
          <w:sz w:val="18"/>
          <w:szCs w:val="18"/>
        </w:rPr>
        <w:t>pro rata</w:t>
      </w:r>
      <w:r>
        <w:rPr>
          <w:rFonts w:ascii="Arial" w:eastAsia="Arial" w:hAnsi="Arial" w:cs="Arial"/>
          <w:sz w:val="18"/>
          <w:szCs w:val="18"/>
        </w:rPr>
        <w:t xml:space="preserve"> dividend, 100% of the issued and outstanding shares of common stock,</w:t>
      </w:r>
      <w:r>
        <w:rPr>
          <w:rFonts w:ascii="Arial" w:eastAsia="Arial" w:hAnsi="Arial" w:cs="Arial"/>
          <w:sz w:val="18"/>
          <w:szCs w:val="18"/>
        </w:rPr>
        <w:t xml:space="preserve"> par value $0.01 per share, of VS (the “</w:t>
      </w:r>
      <w:r>
        <w:rPr>
          <w:rFonts w:ascii="Arial" w:eastAsia="Arial" w:hAnsi="Arial" w:cs="Arial"/>
          <w:b/>
          <w:bCs/>
          <w:sz w:val="18"/>
          <w:szCs w:val="18"/>
        </w:rPr>
        <w:t>VS Common Stock</w:t>
      </w:r>
      <w:r>
        <w:rPr>
          <w:rFonts w:ascii="Arial" w:eastAsia="Arial" w:hAnsi="Arial" w:cs="Arial"/>
          <w:sz w:val="18"/>
          <w:szCs w:val="18"/>
        </w:rPr>
        <w:t>”), on the basis of one share of VS Common Stock for every [__] then issued and outstanding shares of L Brands Common Stock (the “</w:t>
      </w:r>
      <w:r>
        <w:rPr>
          <w:rFonts w:ascii="Arial" w:eastAsia="Arial" w:hAnsi="Arial" w:cs="Arial"/>
          <w:b/>
          <w:bCs/>
          <w:sz w:val="18"/>
          <w:szCs w:val="18"/>
        </w:rPr>
        <w:t>Distribution</w:t>
      </w:r>
      <w:r>
        <w:rPr>
          <w:rFonts w:ascii="Arial" w:eastAsia="Arial" w:hAnsi="Arial" w:cs="Arial"/>
          <w:sz w:val="18"/>
          <w:szCs w:val="18"/>
        </w:rPr>
        <w:t>”);</w:t>
      </w:r>
    </w:p>
    <w:p w14:paraId="66FC6BC0" w14:textId="77777777" w:rsidR="00D1587D" w:rsidRDefault="00D1587D">
      <w:pPr>
        <w:spacing w:line="188" w:lineRule="exact"/>
        <w:rPr>
          <w:sz w:val="20"/>
          <w:szCs w:val="20"/>
        </w:rPr>
      </w:pPr>
    </w:p>
    <w:p w14:paraId="7CBE8FAB" w14:textId="77777777" w:rsidR="00D1587D" w:rsidRDefault="00410D07">
      <w:pPr>
        <w:spacing w:line="263" w:lineRule="auto"/>
        <w:ind w:firstLine="648"/>
        <w:jc w:val="both"/>
        <w:rPr>
          <w:sz w:val="20"/>
          <w:szCs w:val="20"/>
        </w:rPr>
      </w:pPr>
      <w:r>
        <w:rPr>
          <w:rFonts w:ascii="Arial" w:eastAsia="Arial" w:hAnsi="Arial" w:cs="Arial"/>
          <w:sz w:val="18"/>
          <w:szCs w:val="18"/>
        </w:rPr>
        <w:t>WHEREAS, pursuant to the Separation Agreement, L Brand</w:t>
      </w:r>
      <w:r>
        <w:rPr>
          <w:rFonts w:ascii="Arial" w:eastAsia="Arial" w:hAnsi="Arial" w:cs="Arial"/>
          <w:sz w:val="18"/>
          <w:szCs w:val="18"/>
        </w:rPr>
        <w:t>s and VS have agreed to enter into this Agreement for the purpose of allocating between them assets, liabilities and responsibilities with respect to certain employee matters, including employee compensation and benefit plans and programs; and</w:t>
      </w:r>
    </w:p>
    <w:p w14:paraId="359A9B0B" w14:textId="77777777" w:rsidR="00D1587D" w:rsidRDefault="00D1587D">
      <w:pPr>
        <w:spacing w:line="184" w:lineRule="exact"/>
        <w:rPr>
          <w:sz w:val="20"/>
          <w:szCs w:val="20"/>
        </w:rPr>
      </w:pPr>
    </w:p>
    <w:p w14:paraId="073ABBA8" w14:textId="77777777" w:rsidR="00D1587D" w:rsidRDefault="00410D07">
      <w:pPr>
        <w:spacing w:line="279" w:lineRule="auto"/>
        <w:ind w:firstLine="648"/>
        <w:jc w:val="both"/>
        <w:rPr>
          <w:sz w:val="20"/>
          <w:szCs w:val="20"/>
        </w:rPr>
      </w:pPr>
      <w:r>
        <w:rPr>
          <w:rFonts w:ascii="Arial" w:eastAsia="Arial" w:hAnsi="Arial" w:cs="Arial"/>
          <w:sz w:val="17"/>
          <w:szCs w:val="17"/>
        </w:rPr>
        <w:t xml:space="preserve">WHEREAS, L </w:t>
      </w:r>
      <w:r>
        <w:rPr>
          <w:rFonts w:ascii="Arial" w:eastAsia="Arial" w:hAnsi="Arial" w:cs="Arial"/>
          <w:sz w:val="17"/>
          <w:szCs w:val="17"/>
        </w:rPr>
        <w:t>Brands and VS have agreed that, except as otherwise expressly provided herein, the general approach and philosophy underlying this Agreement is to (a) allocate assets, Liabilities and responsibilities to the VS Group (as opposed to the L Brands Group) to t</w:t>
      </w:r>
      <w:r>
        <w:rPr>
          <w:rFonts w:ascii="Arial" w:eastAsia="Arial" w:hAnsi="Arial" w:cs="Arial"/>
          <w:sz w:val="17"/>
          <w:szCs w:val="17"/>
        </w:rPr>
        <w:t>he extent they relate to current or former employees and other service providers primarily related to the VS Business and (b) allocate assets, Liabilities and responsibilities (other than those described in clause (a) above) to the L Brands Group (as oppos</w:t>
      </w:r>
      <w:r>
        <w:rPr>
          <w:rFonts w:ascii="Arial" w:eastAsia="Arial" w:hAnsi="Arial" w:cs="Arial"/>
          <w:sz w:val="17"/>
          <w:szCs w:val="17"/>
        </w:rPr>
        <w:t>ed to the VS Group).</w:t>
      </w:r>
    </w:p>
    <w:p w14:paraId="733DDA85" w14:textId="77777777" w:rsidR="00D1587D" w:rsidRDefault="00D1587D">
      <w:pPr>
        <w:spacing w:line="171" w:lineRule="exact"/>
        <w:rPr>
          <w:sz w:val="20"/>
          <w:szCs w:val="20"/>
        </w:rPr>
      </w:pPr>
    </w:p>
    <w:p w14:paraId="26F50CE4" w14:textId="77777777" w:rsidR="00D1587D" w:rsidRDefault="00410D07">
      <w:pPr>
        <w:ind w:left="660"/>
        <w:rPr>
          <w:sz w:val="20"/>
          <w:szCs w:val="20"/>
        </w:rPr>
      </w:pPr>
      <w:r>
        <w:rPr>
          <w:rFonts w:ascii="Arial" w:eastAsia="Arial" w:hAnsi="Arial" w:cs="Arial"/>
          <w:sz w:val="16"/>
          <w:szCs w:val="16"/>
        </w:rPr>
        <w:t>NOW, THEREFORE, in consideration of the mutual promises contained herein and in the Separation Agreement, the Parties hereby agree as</w:t>
      </w:r>
    </w:p>
    <w:p w14:paraId="21FC41F3" w14:textId="77777777" w:rsidR="00D1587D" w:rsidRDefault="00D1587D">
      <w:pPr>
        <w:spacing w:line="46" w:lineRule="exact"/>
        <w:rPr>
          <w:sz w:val="20"/>
          <w:szCs w:val="20"/>
        </w:rPr>
      </w:pPr>
    </w:p>
    <w:p w14:paraId="657AC6D1" w14:textId="77777777" w:rsidR="00D1587D" w:rsidRDefault="00410D07">
      <w:pPr>
        <w:rPr>
          <w:sz w:val="20"/>
          <w:szCs w:val="20"/>
        </w:rPr>
      </w:pPr>
      <w:r>
        <w:rPr>
          <w:rFonts w:ascii="Arial" w:eastAsia="Arial" w:hAnsi="Arial" w:cs="Arial"/>
          <w:sz w:val="18"/>
          <w:szCs w:val="18"/>
        </w:rPr>
        <w:t>follows:</w:t>
      </w:r>
    </w:p>
    <w:p w14:paraId="322A1AF7" w14:textId="77777777" w:rsidR="00D1587D" w:rsidRDefault="00D1587D">
      <w:pPr>
        <w:spacing w:line="382" w:lineRule="exact"/>
        <w:rPr>
          <w:sz w:val="20"/>
          <w:szCs w:val="20"/>
        </w:rPr>
      </w:pPr>
    </w:p>
    <w:p w14:paraId="145943CF" w14:textId="77777777" w:rsidR="00D1587D" w:rsidRDefault="00410D07">
      <w:pPr>
        <w:jc w:val="center"/>
        <w:rPr>
          <w:sz w:val="20"/>
          <w:szCs w:val="20"/>
        </w:rPr>
      </w:pPr>
      <w:r>
        <w:rPr>
          <w:rFonts w:ascii="Arial" w:eastAsia="Arial" w:hAnsi="Arial" w:cs="Arial"/>
          <w:sz w:val="14"/>
          <w:szCs w:val="14"/>
        </w:rPr>
        <w:t>1</w:t>
      </w:r>
    </w:p>
    <w:p w14:paraId="3F8B1A04" w14:textId="77777777" w:rsidR="00D1587D" w:rsidRDefault="00410D07">
      <w:pPr>
        <w:spacing w:line="20" w:lineRule="exact"/>
        <w:rPr>
          <w:sz w:val="20"/>
          <w:szCs w:val="20"/>
        </w:rPr>
      </w:pPr>
      <w:r>
        <w:rPr>
          <w:noProof/>
          <w:sz w:val="20"/>
          <w:szCs w:val="20"/>
        </w:rPr>
        <w:drawing>
          <wp:anchor distT="0" distB="0" distL="114300" distR="114300" simplePos="0" relativeHeight="251330560" behindDoc="1" locked="0" layoutInCell="0" allowOverlap="1" wp14:anchorId="5B714770" wp14:editId="23CE8A87">
            <wp:simplePos x="0" y="0"/>
            <wp:positionH relativeFrom="column">
              <wp:posOffset>5080</wp:posOffset>
            </wp:positionH>
            <wp:positionV relativeFrom="paragraph">
              <wp:posOffset>38100</wp:posOffset>
            </wp:positionV>
            <wp:extent cx="7132320" cy="1714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671DFAC" w14:textId="77777777" w:rsidR="00D1587D" w:rsidRDefault="00D1587D">
      <w:pPr>
        <w:sectPr w:rsidR="00D1587D">
          <w:pgSz w:w="11900" w:h="16838"/>
          <w:pgMar w:top="121" w:right="339" w:bottom="1440" w:left="320" w:header="0" w:footer="0" w:gutter="0"/>
          <w:cols w:space="720" w:equalWidth="0">
            <w:col w:w="11240"/>
          </w:cols>
        </w:sectPr>
      </w:pPr>
    </w:p>
    <w:p w14:paraId="699EA99D" w14:textId="77777777" w:rsidR="00D1587D" w:rsidRDefault="00410D07">
      <w:pPr>
        <w:jc w:val="center"/>
        <w:rPr>
          <w:sz w:val="20"/>
          <w:szCs w:val="20"/>
        </w:rPr>
      </w:pPr>
      <w:bookmarkStart w:id="172" w:name="page173"/>
      <w:bookmarkEnd w:id="172"/>
      <w:r>
        <w:rPr>
          <w:rFonts w:ascii="Arial" w:eastAsia="Arial" w:hAnsi="Arial" w:cs="Arial"/>
          <w:sz w:val="18"/>
          <w:szCs w:val="18"/>
        </w:rPr>
        <w:t>ARTICLE 1</w:t>
      </w:r>
    </w:p>
    <w:p w14:paraId="06DDEDF7" w14:textId="77777777" w:rsidR="00D1587D" w:rsidRDefault="00D1587D">
      <w:pPr>
        <w:spacing w:line="23" w:lineRule="exact"/>
        <w:rPr>
          <w:sz w:val="20"/>
          <w:szCs w:val="20"/>
        </w:rPr>
      </w:pPr>
    </w:p>
    <w:p w14:paraId="0AFECEDC" w14:textId="77777777" w:rsidR="00D1587D" w:rsidRDefault="00410D07">
      <w:pPr>
        <w:jc w:val="center"/>
        <w:rPr>
          <w:sz w:val="20"/>
          <w:szCs w:val="20"/>
        </w:rPr>
      </w:pPr>
      <w:r>
        <w:rPr>
          <w:rFonts w:ascii="Arial" w:eastAsia="Arial" w:hAnsi="Arial" w:cs="Arial"/>
          <w:sz w:val="18"/>
          <w:szCs w:val="18"/>
        </w:rPr>
        <w:t>D</w:t>
      </w:r>
      <w:r>
        <w:rPr>
          <w:rFonts w:ascii="Arial" w:eastAsia="Arial" w:hAnsi="Arial" w:cs="Arial"/>
          <w:sz w:val="12"/>
          <w:szCs w:val="12"/>
        </w:rPr>
        <w:t>EFINITIONS</w:t>
      </w:r>
    </w:p>
    <w:p w14:paraId="6C529540" w14:textId="77777777" w:rsidR="00D1587D" w:rsidRDefault="00D1587D">
      <w:pPr>
        <w:spacing w:line="211" w:lineRule="exact"/>
        <w:rPr>
          <w:sz w:val="20"/>
          <w:szCs w:val="20"/>
        </w:rPr>
      </w:pPr>
    </w:p>
    <w:p w14:paraId="3734B575" w14:textId="77777777" w:rsidR="00D1587D" w:rsidRDefault="00410D07">
      <w:pPr>
        <w:spacing w:line="263" w:lineRule="auto"/>
        <w:ind w:firstLine="648"/>
        <w:jc w:val="both"/>
        <w:rPr>
          <w:sz w:val="20"/>
          <w:szCs w:val="20"/>
        </w:rPr>
      </w:pPr>
      <w:r>
        <w:rPr>
          <w:rFonts w:ascii="Arial" w:eastAsia="Arial" w:hAnsi="Arial" w:cs="Arial"/>
          <w:sz w:val="18"/>
          <w:szCs w:val="18"/>
        </w:rPr>
        <w:t xml:space="preserve">Section 1.01. </w:t>
      </w:r>
      <w:r>
        <w:rPr>
          <w:rFonts w:ascii="Arial" w:eastAsia="Arial" w:hAnsi="Arial" w:cs="Arial"/>
          <w:i/>
          <w:iCs/>
          <w:sz w:val="18"/>
          <w:szCs w:val="18"/>
        </w:rPr>
        <w:t>Definitions</w:t>
      </w:r>
      <w:r>
        <w:rPr>
          <w:rFonts w:ascii="Arial" w:eastAsia="Arial" w:hAnsi="Arial" w:cs="Arial"/>
          <w:sz w:val="18"/>
          <w:szCs w:val="18"/>
        </w:rPr>
        <w:t xml:space="preserve">. (a) For purposes of this Agreement, the following terms shall have the following meanings; </w:t>
      </w:r>
      <w:r>
        <w:rPr>
          <w:rFonts w:ascii="Arial" w:eastAsia="Arial" w:hAnsi="Arial" w:cs="Arial"/>
          <w:i/>
          <w:iCs/>
          <w:sz w:val="18"/>
          <w:szCs w:val="18"/>
        </w:rPr>
        <w:t>provided</w:t>
      </w:r>
      <w:r>
        <w:rPr>
          <w:rFonts w:ascii="Arial" w:eastAsia="Arial" w:hAnsi="Arial" w:cs="Arial"/>
          <w:sz w:val="18"/>
          <w:szCs w:val="18"/>
        </w:rPr>
        <w:t>, that capitalized terms used in this Agreement but not otherwise defined in this Agreement shall have the respective meanings ascribed to such terms in th</w:t>
      </w:r>
      <w:r>
        <w:rPr>
          <w:rFonts w:ascii="Arial" w:eastAsia="Arial" w:hAnsi="Arial" w:cs="Arial"/>
          <w:sz w:val="18"/>
          <w:szCs w:val="18"/>
        </w:rPr>
        <w:t>e Separation Agreement:</w:t>
      </w:r>
    </w:p>
    <w:p w14:paraId="7C22110F" w14:textId="77777777" w:rsidR="00D1587D" w:rsidRDefault="00D1587D">
      <w:pPr>
        <w:spacing w:line="180" w:lineRule="exact"/>
        <w:rPr>
          <w:sz w:val="20"/>
          <w:szCs w:val="20"/>
        </w:rPr>
      </w:pPr>
    </w:p>
    <w:p w14:paraId="41F55832" w14:textId="77777777" w:rsidR="00D1587D" w:rsidRDefault="00410D07">
      <w:pPr>
        <w:ind w:left="660"/>
        <w:rPr>
          <w:sz w:val="20"/>
          <w:szCs w:val="20"/>
        </w:rPr>
      </w:pPr>
      <w:r>
        <w:rPr>
          <w:rFonts w:ascii="Arial" w:eastAsia="Arial" w:hAnsi="Arial" w:cs="Arial"/>
          <w:sz w:val="17"/>
          <w:szCs w:val="17"/>
        </w:rPr>
        <w:t>“</w:t>
      </w:r>
      <w:r>
        <w:rPr>
          <w:rFonts w:ascii="Arial" w:eastAsia="Arial" w:hAnsi="Arial" w:cs="Arial"/>
          <w:b/>
          <w:bCs/>
          <w:sz w:val="17"/>
          <w:szCs w:val="17"/>
        </w:rPr>
        <w:t>Adjusted L Brands Awards</w:t>
      </w:r>
      <w:r>
        <w:rPr>
          <w:rFonts w:ascii="Arial" w:eastAsia="Arial" w:hAnsi="Arial" w:cs="Arial"/>
          <w:sz w:val="17"/>
          <w:szCs w:val="17"/>
        </w:rPr>
        <w:t>” means, collectively, the Adjusted L Brands Options, the Adjusted L Brands PSUs and the Adjusted L Brands</w:t>
      </w:r>
    </w:p>
    <w:p w14:paraId="7C4557CB" w14:textId="77777777" w:rsidR="00D1587D" w:rsidRDefault="00D1587D">
      <w:pPr>
        <w:spacing w:line="39" w:lineRule="exact"/>
        <w:rPr>
          <w:sz w:val="20"/>
          <w:szCs w:val="20"/>
        </w:rPr>
      </w:pPr>
    </w:p>
    <w:p w14:paraId="0B45FA97" w14:textId="77777777" w:rsidR="00D1587D" w:rsidRDefault="00410D07">
      <w:pPr>
        <w:rPr>
          <w:sz w:val="20"/>
          <w:szCs w:val="20"/>
        </w:rPr>
      </w:pPr>
      <w:r>
        <w:rPr>
          <w:rFonts w:ascii="Arial" w:eastAsia="Arial" w:hAnsi="Arial" w:cs="Arial"/>
          <w:sz w:val="18"/>
          <w:szCs w:val="18"/>
        </w:rPr>
        <w:t>RSUs.</w:t>
      </w:r>
    </w:p>
    <w:p w14:paraId="16AB1F71" w14:textId="77777777" w:rsidR="00D1587D" w:rsidRDefault="00D1587D">
      <w:pPr>
        <w:spacing w:line="207" w:lineRule="exact"/>
        <w:rPr>
          <w:sz w:val="20"/>
          <w:szCs w:val="20"/>
        </w:rPr>
      </w:pPr>
    </w:p>
    <w:p w14:paraId="3DE1E873"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Adjusted L Brands Option</w:t>
      </w:r>
      <w:r>
        <w:rPr>
          <w:rFonts w:ascii="Arial" w:eastAsia="Arial" w:hAnsi="Arial" w:cs="Arial"/>
          <w:sz w:val="18"/>
          <w:szCs w:val="18"/>
        </w:rPr>
        <w:t xml:space="preserve">” means any L Brands Option adjusted pursuant to Section </w:t>
      </w:r>
      <w:r>
        <w:rPr>
          <w:rFonts w:ascii="Arial" w:eastAsia="Arial" w:hAnsi="Arial" w:cs="Arial"/>
          <w:sz w:val="18"/>
          <w:szCs w:val="18"/>
        </w:rPr>
        <w:t>8.03(b) hereto.</w:t>
      </w:r>
    </w:p>
    <w:p w14:paraId="1E9F58AC" w14:textId="77777777" w:rsidR="00D1587D" w:rsidRDefault="00D1587D">
      <w:pPr>
        <w:spacing w:line="225" w:lineRule="exact"/>
        <w:rPr>
          <w:sz w:val="20"/>
          <w:szCs w:val="20"/>
        </w:rPr>
      </w:pPr>
    </w:p>
    <w:p w14:paraId="6219909B"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Adjusted L Brands PSU</w:t>
      </w:r>
      <w:r>
        <w:rPr>
          <w:rFonts w:ascii="Arial" w:eastAsia="Arial" w:hAnsi="Arial" w:cs="Arial"/>
          <w:sz w:val="18"/>
          <w:szCs w:val="18"/>
        </w:rPr>
        <w:t>” means any L Brands PSU adjusted pursuant to Section 8.02(b) hereto.</w:t>
      </w:r>
    </w:p>
    <w:p w14:paraId="09CD6726" w14:textId="77777777" w:rsidR="00D1587D" w:rsidRDefault="00D1587D">
      <w:pPr>
        <w:spacing w:line="225" w:lineRule="exact"/>
        <w:rPr>
          <w:sz w:val="20"/>
          <w:szCs w:val="20"/>
        </w:rPr>
      </w:pPr>
    </w:p>
    <w:p w14:paraId="27FAD24E"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Adjusted L Brands RSU</w:t>
      </w:r>
      <w:r>
        <w:rPr>
          <w:rFonts w:ascii="Arial" w:eastAsia="Arial" w:hAnsi="Arial" w:cs="Arial"/>
          <w:sz w:val="18"/>
          <w:szCs w:val="18"/>
        </w:rPr>
        <w:t>” means any L Brands RSU adjusted pursuant to Section 8.01(b) hereto.</w:t>
      </w:r>
    </w:p>
    <w:p w14:paraId="5C62C856" w14:textId="77777777" w:rsidR="00D1587D" w:rsidRDefault="00D1587D">
      <w:pPr>
        <w:spacing w:line="225" w:lineRule="exact"/>
        <w:rPr>
          <w:sz w:val="20"/>
          <w:szCs w:val="20"/>
        </w:rPr>
      </w:pPr>
    </w:p>
    <w:p w14:paraId="54AC6874" w14:textId="77777777" w:rsidR="00D1587D" w:rsidRDefault="00410D07">
      <w:pPr>
        <w:spacing w:line="282" w:lineRule="auto"/>
        <w:ind w:right="20" w:firstLine="648"/>
        <w:jc w:val="both"/>
        <w:rPr>
          <w:sz w:val="20"/>
          <w:szCs w:val="20"/>
        </w:rPr>
      </w:pPr>
      <w:r>
        <w:rPr>
          <w:rFonts w:ascii="Arial" w:eastAsia="Arial" w:hAnsi="Arial" w:cs="Arial"/>
          <w:sz w:val="18"/>
          <w:szCs w:val="18"/>
        </w:rPr>
        <w:t>“</w:t>
      </w:r>
      <w:r>
        <w:rPr>
          <w:rFonts w:ascii="Arial" w:eastAsia="Arial" w:hAnsi="Arial" w:cs="Arial"/>
          <w:b/>
          <w:bCs/>
          <w:sz w:val="18"/>
          <w:szCs w:val="18"/>
        </w:rPr>
        <w:t>COBRA</w:t>
      </w:r>
      <w:r>
        <w:rPr>
          <w:rFonts w:ascii="Arial" w:eastAsia="Arial" w:hAnsi="Arial" w:cs="Arial"/>
          <w:sz w:val="18"/>
          <w:szCs w:val="18"/>
        </w:rPr>
        <w:t xml:space="preserve">” means the continuation coverage </w:t>
      </w:r>
      <w:r>
        <w:rPr>
          <w:rFonts w:ascii="Arial" w:eastAsia="Arial" w:hAnsi="Arial" w:cs="Arial"/>
          <w:sz w:val="18"/>
          <w:szCs w:val="18"/>
        </w:rPr>
        <w:t>requirements for “group health plans” under Title X of the Consolidated Omnibus Budget Reconciliation Act of 1985, as codified in Section 4980B of the Code and Sections 601 through 608 of ERISA.</w:t>
      </w:r>
    </w:p>
    <w:p w14:paraId="7530027A" w14:textId="77777777" w:rsidR="00D1587D" w:rsidRDefault="00D1587D">
      <w:pPr>
        <w:spacing w:line="162" w:lineRule="exact"/>
        <w:rPr>
          <w:sz w:val="20"/>
          <w:szCs w:val="20"/>
        </w:rPr>
      </w:pPr>
    </w:p>
    <w:p w14:paraId="4DDC0871"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Code</w:t>
      </w:r>
      <w:r>
        <w:rPr>
          <w:rFonts w:ascii="Arial" w:eastAsia="Arial" w:hAnsi="Arial" w:cs="Arial"/>
          <w:sz w:val="18"/>
          <w:szCs w:val="18"/>
        </w:rPr>
        <w:t>” means the Internal Revenue Code of 1986.</w:t>
      </w:r>
    </w:p>
    <w:p w14:paraId="0D3CB64A" w14:textId="77777777" w:rsidR="00D1587D" w:rsidRDefault="00D1587D">
      <w:pPr>
        <w:spacing w:line="225" w:lineRule="exact"/>
        <w:rPr>
          <w:sz w:val="20"/>
          <w:szCs w:val="20"/>
        </w:rPr>
      </w:pPr>
    </w:p>
    <w:p w14:paraId="6D29E330" w14:textId="77777777" w:rsidR="00D1587D" w:rsidRDefault="00410D07">
      <w:pPr>
        <w:spacing w:line="282" w:lineRule="auto"/>
        <w:ind w:right="20" w:firstLine="648"/>
        <w:jc w:val="both"/>
        <w:rPr>
          <w:sz w:val="20"/>
          <w:szCs w:val="20"/>
        </w:rPr>
      </w:pPr>
      <w:r>
        <w:rPr>
          <w:rFonts w:ascii="Arial" w:eastAsia="Arial" w:hAnsi="Arial" w:cs="Arial"/>
          <w:sz w:val="18"/>
          <w:szCs w:val="18"/>
        </w:rPr>
        <w:t>“</w:t>
      </w:r>
      <w:r>
        <w:rPr>
          <w:rFonts w:ascii="Arial" w:eastAsia="Arial" w:hAnsi="Arial" w:cs="Arial"/>
          <w:b/>
          <w:bCs/>
          <w:sz w:val="18"/>
          <w:szCs w:val="18"/>
        </w:rPr>
        <w:t xml:space="preserve">Covered L </w:t>
      </w:r>
      <w:r>
        <w:rPr>
          <w:rFonts w:ascii="Arial" w:eastAsia="Arial" w:hAnsi="Arial" w:cs="Arial"/>
          <w:b/>
          <w:bCs/>
          <w:sz w:val="18"/>
          <w:szCs w:val="18"/>
        </w:rPr>
        <w:t>Brands Service Provider</w:t>
      </w:r>
      <w:r>
        <w:rPr>
          <w:rFonts w:ascii="Arial" w:eastAsia="Arial" w:hAnsi="Arial" w:cs="Arial"/>
          <w:sz w:val="18"/>
          <w:szCs w:val="18"/>
        </w:rPr>
        <w:t>” means any L Brands Employee, L Brands Contractor, L Brands Director, New L Brands Employee or LB to VS TSA Service Employee.</w:t>
      </w:r>
    </w:p>
    <w:p w14:paraId="7AFD8C04" w14:textId="77777777" w:rsidR="00D1587D" w:rsidRDefault="00D1587D">
      <w:pPr>
        <w:spacing w:line="162" w:lineRule="exact"/>
        <w:rPr>
          <w:sz w:val="20"/>
          <w:szCs w:val="20"/>
        </w:rPr>
      </w:pPr>
    </w:p>
    <w:p w14:paraId="6BF15EBA" w14:textId="77777777" w:rsidR="00D1587D" w:rsidRDefault="00410D07">
      <w:pPr>
        <w:ind w:left="660"/>
        <w:rPr>
          <w:sz w:val="20"/>
          <w:szCs w:val="20"/>
        </w:rPr>
      </w:pPr>
      <w:r>
        <w:rPr>
          <w:rFonts w:ascii="Arial" w:eastAsia="Arial" w:hAnsi="Arial" w:cs="Arial"/>
          <w:sz w:val="16"/>
          <w:szCs w:val="16"/>
        </w:rPr>
        <w:t>“</w:t>
      </w:r>
      <w:r>
        <w:rPr>
          <w:rFonts w:ascii="Arial" w:eastAsia="Arial" w:hAnsi="Arial" w:cs="Arial"/>
          <w:b/>
          <w:bCs/>
          <w:sz w:val="16"/>
          <w:szCs w:val="16"/>
        </w:rPr>
        <w:t>Covered VS Service Provider</w:t>
      </w:r>
      <w:r>
        <w:rPr>
          <w:rFonts w:ascii="Arial" w:eastAsia="Arial" w:hAnsi="Arial" w:cs="Arial"/>
          <w:sz w:val="16"/>
          <w:szCs w:val="16"/>
        </w:rPr>
        <w:t>” means any VS Employee, VS Contractor, VS Director, New VS Employee or VS to</w:t>
      </w:r>
      <w:r>
        <w:rPr>
          <w:rFonts w:ascii="Arial" w:eastAsia="Arial" w:hAnsi="Arial" w:cs="Arial"/>
          <w:sz w:val="16"/>
          <w:szCs w:val="16"/>
        </w:rPr>
        <w:t xml:space="preserve"> LB TSA Service Employee.</w:t>
      </w:r>
    </w:p>
    <w:p w14:paraId="25CBE75B" w14:textId="77777777" w:rsidR="00D1587D" w:rsidRDefault="00D1587D">
      <w:pPr>
        <w:spacing w:line="248" w:lineRule="exact"/>
        <w:rPr>
          <w:sz w:val="20"/>
          <w:szCs w:val="20"/>
        </w:rPr>
      </w:pPr>
    </w:p>
    <w:p w14:paraId="1A77432F" w14:textId="77777777" w:rsidR="00D1587D" w:rsidRDefault="00410D07">
      <w:pPr>
        <w:spacing w:line="277" w:lineRule="auto"/>
        <w:ind w:firstLine="648"/>
        <w:jc w:val="both"/>
        <w:rPr>
          <w:sz w:val="20"/>
          <w:szCs w:val="20"/>
        </w:rPr>
      </w:pPr>
      <w:r>
        <w:rPr>
          <w:rFonts w:ascii="Arial" w:eastAsia="Arial" w:hAnsi="Arial" w:cs="Arial"/>
          <w:sz w:val="17"/>
          <w:szCs w:val="17"/>
        </w:rPr>
        <w:t>“</w:t>
      </w:r>
      <w:r>
        <w:rPr>
          <w:rFonts w:ascii="Arial" w:eastAsia="Arial" w:hAnsi="Arial" w:cs="Arial"/>
          <w:b/>
          <w:bCs/>
          <w:sz w:val="17"/>
          <w:szCs w:val="17"/>
        </w:rPr>
        <w:t>Delayed LB Transfer Employee</w:t>
      </w:r>
      <w:r>
        <w:rPr>
          <w:rFonts w:ascii="Arial" w:eastAsia="Arial" w:hAnsi="Arial" w:cs="Arial"/>
          <w:sz w:val="17"/>
          <w:szCs w:val="17"/>
        </w:rPr>
        <w:t>” means each (a) L Brands TSA Employee whose employment transfers to a member of the L Brands Group following the Distribution Date as contemplated by, and in accordance with, the terms of the VS to L</w:t>
      </w:r>
      <w:r>
        <w:rPr>
          <w:rFonts w:ascii="Arial" w:eastAsia="Arial" w:hAnsi="Arial" w:cs="Arial"/>
          <w:sz w:val="17"/>
          <w:szCs w:val="17"/>
        </w:rPr>
        <w:t xml:space="preserve"> Brands Transition Services Agreement or any other applicable Ancillary Agreement and (b) any other individual who, upon mutual agreement of the Parties, transfers employment from the VS Group to the L Brands Group following the Distribution Date (whether </w:t>
      </w:r>
      <w:r>
        <w:rPr>
          <w:rFonts w:ascii="Arial" w:eastAsia="Arial" w:hAnsi="Arial" w:cs="Arial"/>
          <w:sz w:val="17"/>
          <w:szCs w:val="17"/>
        </w:rPr>
        <w:t>in connection with any other Ancillary Agreement or otherwise). For the avoidance of doubt, a New L Brands Employee shall not be deemed a Delayed LB Transfer Employee.</w:t>
      </w:r>
    </w:p>
    <w:p w14:paraId="6C593398" w14:textId="77777777" w:rsidR="00D1587D" w:rsidRDefault="00D1587D">
      <w:pPr>
        <w:spacing w:line="343" w:lineRule="exact"/>
        <w:rPr>
          <w:sz w:val="20"/>
          <w:szCs w:val="20"/>
        </w:rPr>
      </w:pPr>
    </w:p>
    <w:p w14:paraId="351D4009" w14:textId="77777777" w:rsidR="00D1587D" w:rsidRDefault="00410D07">
      <w:pPr>
        <w:jc w:val="center"/>
        <w:rPr>
          <w:sz w:val="20"/>
          <w:szCs w:val="20"/>
        </w:rPr>
      </w:pPr>
      <w:r>
        <w:rPr>
          <w:rFonts w:ascii="Arial" w:eastAsia="Arial" w:hAnsi="Arial" w:cs="Arial"/>
          <w:sz w:val="14"/>
          <w:szCs w:val="14"/>
        </w:rPr>
        <w:t>2</w:t>
      </w:r>
    </w:p>
    <w:p w14:paraId="3E2E6FD0" w14:textId="77777777" w:rsidR="00D1587D" w:rsidRDefault="00410D07">
      <w:pPr>
        <w:spacing w:line="20" w:lineRule="exact"/>
        <w:rPr>
          <w:sz w:val="20"/>
          <w:szCs w:val="20"/>
        </w:rPr>
      </w:pPr>
      <w:r>
        <w:rPr>
          <w:noProof/>
          <w:sz w:val="20"/>
          <w:szCs w:val="20"/>
        </w:rPr>
        <w:drawing>
          <wp:anchor distT="0" distB="0" distL="114300" distR="114300" simplePos="0" relativeHeight="251331584" behindDoc="1" locked="0" layoutInCell="0" allowOverlap="1" wp14:anchorId="45A513AA" wp14:editId="68F04A8E">
            <wp:simplePos x="0" y="0"/>
            <wp:positionH relativeFrom="column">
              <wp:posOffset>5080</wp:posOffset>
            </wp:positionH>
            <wp:positionV relativeFrom="paragraph">
              <wp:posOffset>38100</wp:posOffset>
            </wp:positionV>
            <wp:extent cx="7132320" cy="1714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6845089" w14:textId="77777777" w:rsidR="00D1587D" w:rsidRDefault="00D1587D">
      <w:pPr>
        <w:sectPr w:rsidR="00D1587D">
          <w:pgSz w:w="11900" w:h="16838"/>
          <w:pgMar w:top="341" w:right="339" w:bottom="1440" w:left="320" w:header="0" w:footer="0" w:gutter="0"/>
          <w:cols w:space="720" w:equalWidth="0">
            <w:col w:w="11240"/>
          </w:cols>
        </w:sectPr>
      </w:pPr>
    </w:p>
    <w:p w14:paraId="6D1266AB" w14:textId="77777777" w:rsidR="00D1587D" w:rsidRDefault="00410D07">
      <w:pPr>
        <w:spacing w:line="274" w:lineRule="auto"/>
        <w:ind w:firstLine="648"/>
        <w:jc w:val="both"/>
        <w:rPr>
          <w:sz w:val="20"/>
          <w:szCs w:val="20"/>
        </w:rPr>
      </w:pPr>
      <w:bookmarkStart w:id="173" w:name="page174"/>
      <w:bookmarkEnd w:id="173"/>
      <w:r>
        <w:rPr>
          <w:rFonts w:ascii="Arial" w:eastAsia="Arial" w:hAnsi="Arial" w:cs="Arial"/>
          <w:sz w:val="17"/>
          <w:szCs w:val="17"/>
        </w:rPr>
        <w:t>“</w:t>
      </w:r>
      <w:r>
        <w:rPr>
          <w:rFonts w:ascii="Arial" w:eastAsia="Arial" w:hAnsi="Arial" w:cs="Arial"/>
          <w:b/>
          <w:bCs/>
          <w:sz w:val="17"/>
          <w:szCs w:val="17"/>
        </w:rPr>
        <w:t>Delayed Transfer Date</w:t>
      </w:r>
      <w:r>
        <w:rPr>
          <w:rFonts w:ascii="Arial" w:eastAsia="Arial" w:hAnsi="Arial" w:cs="Arial"/>
          <w:sz w:val="17"/>
          <w:szCs w:val="17"/>
        </w:rPr>
        <w:t xml:space="preserve">” means, with respect to any </w:t>
      </w:r>
      <w:r>
        <w:rPr>
          <w:rFonts w:ascii="Arial" w:eastAsia="Arial" w:hAnsi="Arial" w:cs="Arial"/>
          <w:sz w:val="17"/>
          <w:szCs w:val="17"/>
        </w:rPr>
        <w:t>applicable Delayed LB Transfer Employee or Delayed VS Transfer Employee, the applicable date he or she commences employment with a member of the L Brands Group or the VS Group, respectively, following the Distribution Date. For the avoidance of doubt, in t</w:t>
      </w:r>
      <w:r>
        <w:rPr>
          <w:rFonts w:ascii="Arial" w:eastAsia="Arial" w:hAnsi="Arial" w:cs="Arial"/>
          <w:sz w:val="17"/>
          <w:szCs w:val="17"/>
        </w:rPr>
        <w:t>he case of any L Brands TSA Employee or VS TSA Employee whose employment transfers to a member of the L Brands Group or the VS Group in accordance with the VS to L Brands Transition Services Agreement or the L Brands to VS Transition Services Agreement, re</w:t>
      </w:r>
      <w:r>
        <w:rPr>
          <w:rFonts w:ascii="Arial" w:eastAsia="Arial" w:hAnsi="Arial" w:cs="Arial"/>
          <w:sz w:val="17"/>
          <w:szCs w:val="17"/>
        </w:rPr>
        <w:t>spectively, his or her Transition Date (as defined in the VS to L Brands Transition Services Agreement or the L Brands to VS Transition Services Agreement, respectively) shall constitute his or her Delayed Transfer Date for purposes of this Agreement.</w:t>
      </w:r>
    </w:p>
    <w:p w14:paraId="75F99239" w14:textId="77777777" w:rsidR="00D1587D" w:rsidRDefault="00D1587D">
      <w:pPr>
        <w:spacing w:line="173" w:lineRule="exact"/>
        <w:rPr>
          <w:sz w:val="20"/>
          <w:szCs w:val="20"/>
        </w:rPr>
      </w:pPr>
    </w:p>
    <w:p w14:paraId="026B8853" w14:textId="77777777" w:rsidR="00D1587D" w:rsidRDefault="00410D07">
      <w:pPr>
        <w:spacing w:line="287" w:lineRule="auto"/>
        <w:ind w:firstLine="648"/>
        <w:jc w:val="both"/>
        <w:rPr>
          <w:sz w:val="20"/>
          <w:szCs w:val="20"/>
        </w:rPr>
      </w:pPr>
      <w:r>
        <w:rPr>
          <w:rFonts w:ascii="Arial" w:eastAsia="Arial" w:hAnsi="Arial" w:cs="Arial"/>
          <w:sz w:val="16"/>
          <w:szCs w:val="16"/>
        </w:rPr>
        <w:t>“</w:t>
      </w:r>
      <w:r>
        <w:rPr>
          <w:rFonts w:ascii="Arial" w:eastAsia="Arial" w:hAnsi="Arial" w:cs="Arial"/>
          <w:b/>
          <w:bCs/>
          <w:sz w:val="16"/>
          <w:szCs w:val="16"/>
        </w:rPr>
        <w:t>Delayed VS Transfer Employee</w:t>
      </w:r>
      <w:r>
        <w:rPr>
          <w:rFonts w:ascii="Arial" w:eastAsia="Arial" w:hAnsi="Arial" w:cs="Arial"/>
          <w:sz w:val="16"/>
          <w:szCs w:val="16"/>
        </w:rPr>
        <w:t>” means each (a) VS Inactive Employee whose employment transfers to a member of the VS Group in accordance with Section 3.01(d) following the Distribution Date, (b) Sponsored VS Employee whose employment transfers to a member of</w:t>
      </w:r>
      <w:r>
        <w:rPr>
          <w:rFonts w:ascii="Arial" w:eastAsia="Arial" w:hAnsi="Arial" w:cs="Arial"/>
          <w:sz w:val="16"/>
          <w:szCs w:val="16"/>
        </w:rPr>
        <w:t xml:space="preserve"> the VS Group following the Distribution Date, (c) VS TSA Employee whose employment transfers to a member of the VS Group following the Distribution Date as contemplated by, and in accordance with, the terms of the L Brands to VS Transition Services Agreem</w:t>
      </w:r>
      <w:r>
        <w:rPr>
          <w:rFonts w:ascii="Arial" w:eastAsia="Arial" w:hAnsi="Arial" w:cs="Arial"/>
          <w:sz w:val="16"/>
          <w:szCs w:val="16"/>
        </w:rPr>
        <w:t>ent or any other applicable Ancillary Agreement and</w:t>
      </w:r>
    </w:p>
    <w:p w14:paraId="7259961E" w14:textId="77777777" w:rsidR="00D1587D" w:rsidRDefault="00D1587D">
      <w:pPr>
        <w:spacing w:line="2" w:lineRule="exact"/>
        <w:rPr>
          <w:sz w:val="20"/>
          <w:szCs w:val="20"/>
        </w:rPr>
      </w:pPr>
    </w:p>
    <w:p w14:paraId="71E0DF0E" w14:textId="77777777" w:rsidR="00D1587D" w:rsidRDefault="00410D07">
      <w:pPr>
        <w:numPr>
          <w:ilvl w:val="0"/>
          <w:numId w:val="142"/>
        </w:numPr>
        <w:tabs>
          <w:tab w:val="left" w:pos="282"/>
        </w:tabs>
        <w:spacing w:line="255" w:lineRule="auto"/>
        <w:ind w:firstLine="8"/>
        <w:jc w:val="both"/>
        <w:rPr>
          <w:rFonts w:ascii="Arial" w:eastAsia="Arial" w:hAnsi="Arial" w:cs="Arial"/>
          <w:sz w:val="18"/>
          <w:szCs w:val="18"/>
        </w:rPr>
      </w:pPr>
      <w:r>
        <w:rPr>
          <w:rFonts w:ascii="Arial" w:eastAsia="Arial" w:hAnsi="Arial" w:cs="Arial"/>
          <w:sz w:val="18"/>
          <w:szCs w:val="18"/>
        </w:rPr>
        <w:t>any other individual who, upon mutual agreement of the Parties, transfers employment from the L Brands Group to the VS Group following the Distribution Date (whether in connection with any other Ancillar</w:t>
      </w:r>
      <w:r>
        <w:rPr>
          <w:rFonts w:ascii="Arial" w:eastAsia="Arial" w:hAnsi="Arial" w:cs="Arial"/>
          <w:sz w:val="18"/>
          <w:szCs w:val="18"/>
        </w:rPr>
        <w:t>y Agreement or otherwise). For the avoidance of doubt, a New VS Employee shall not constitute a Delayed VS Transfer Employee.</w:t>
      </w:r>
    </w:p>
    <w:p w14:paraId="5ADA0B0E" w14:textId="77777777" w:rsidR="00D1587D" w:rsidRDefault="00D1587D">
      <w:pPr>
        <w:spacing w:line="186" w:lineRule="exact"/>
        <w:rPr>
          <w:sz w:val="20"/>
          <w:szCs w:val="20"/>
        </w:rPr>
      </w:pPr>
    </w:p>
    <w:p w14:paraId="79E6F25F" w14:textId="77777777" w:rsidR="00D1587D" w:rsidRDefault="00410D07">
      <w:pPr>
        <w:spacing w:line="255"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Employee Plan</w:t>
      </w:r>
      <w:r>
        <w:rPr>
          <w:rFonts w:ascii="Arial" w:eastAsia="Arial" w:hAnsi="Arial" w:cs="Arial"/>
          <w:sz w:val="18"/>
          <w:szCs w:val="18"/>
        </w:rPr>
        <w:t>” means any (a) “employee benefit plan” as defined in Section 3(3) of ERISA, (b) compensation, employment, consulti</w:t>
      </w:r>
      <w:r>
        <w:rPr>
          <w:rFonts w:ascii="Arial" w:eastAsia="Arial" w:hAnsi="Arial" w:cs="Arial"/>
          <w:sz w:val="18"/>
          <w:szCs w:val="18"/>
        </w:rPr>
        <w:t>ng, severance, termination protection, change in control, transaction bonus, retention or similar plan, agreement, arrangement, program or policy or (c) other plan, agreement, arrangement, program or policy providing for compensation, bonuses, profit-shari</w:t>
      </w:r>
      <w:r>
        <w:rPr>
          <w:rFonts w:ascii="Arial" w:eastAsia="Arial" w:hAnsi="Arial" w:cs="Arial"/>
          <w:sz w:val="18"/>
          <w:szCs w:val="18"/>
        </w:rPr>
        <w:t>ng, equity or equity-based compensation or other forms of incentive or deferred compensation, vacation benefits, insurance (including any self-insured arrangement), medical, dental, vision, prescription or fringe benefits, life insurance, relocation or exp</w:t>
      </w:r>
      <w:r>
        <w:rPr>
          <w:rFonts w:ascii="Arial" w:eastAsia="Arial" w:hAnsi="Arial" w:cs="Arial"/>
          <w:sz w:val="18"/>
          <w:szCs w:val="18"/>
        </w:rPr>
        <w:t>atriate benefits, perquisites, disability or sick leave benefits, employee assistance program, supplemental unemployment benefits or post-employment or retirement benefits (including compensation, pension, health, medical or insurance benefits), in each ca</w:t>
      </w:r>
      <w:r>
        <w:rPr>
          <w:rFonts w:ascii="Arial" w:eastAsia="Arial" w:hAnsi="Arial" w:cs="Arial"/>
          <w:sz w:val="18"/>
          <w:szCs w:val="18"/>
        </w:rPr>
        <w:t>se whether or not written.</w:t>
      </w:r>
    </w:p>
    <w:p w14:paraId="2BED21FF" w14:textId="77777777" w:rsidR="00D1587D" w:rsidRDefault="00D1587D">
      <w:pPr>
        <w:spacing w:line="189" w:lineRule="exact"/>
        <w:rPr>
          <w:sz w:val="20"/>
          <w:szCs w:val="20"/>
        </w:rPr>
      </w:pPr>
    </w:p>
    <w:p w14:paraId="433DF44D"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ERISA</w:t>
      </w:r>
      <w:r>
        <w:rPr>
          <w:rFonts w:ascii="Arial" w:eastAsia="Arial" w:hAnsi="Arial" w:cs="Arial"/>
          <w:sz w:val="18"/>
          <w:szCs w:val="18"/>
        </w:rPr>
        <w:t>” means the Employee Retirement Income Security Act of 1974.</w:t>
      </w:r>
    </w:p>
    <w:p w14:paraId="3AD1FE72" w14:textId="77777777" w:rsidR="00D1587D" w:rsidRDefault="00D1587D">
      <w:pPr>
        <w:spacing w:line="225" w:lineRule="exact"/>
        <w:rPr>
          <w:sz w:val="20"/>
          <w:szCs w:val="20"/>
        </w:rPr>
      </w:pPr>
    </w:p>
    <w:p w14:paraId="251B3867"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FLSA</w:t>
      </w:r>
      <w:r>
        <w:rPr>
          <w:rFonts w:ascii="Arial" w:eastAsia="Arial" w:hAnsi="Arial" w:cs="Arial"/>
          <w:sz w:val="18"/>
          <w:szCs w:val="18"/>
        </w:rPr>
        <w:t>” means the Fair Labor Standards Act of 1938.</w:t>
      </w:r>
    </w:p>
    <w:p w14:paraId="204F8ADB" w14:textId="77777777" w:rsidR="00D1587D" w:rsidRDefault="00D1587D">
      <w:pPr>
        <w:spacing w:line="225" w:lineRule="exact"/>
        <w:rPr>
          <w:sz w:val="20"/>
          <w:szCs w:val="20"/>
        </w:rPr>
      </w:pPr>
    </w:p>
    <w:p w14:paraId="268EB952" w14:textId="77777777" w:rsidR="00D1587D" w:rsidRDefault="00410D07">
      <w:pPr>
        <w:spacing w:line="26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Former L Brands Employee</w:t>
      </w:r>
      <w:r>
        <w:rPr>
          <w:rFonts w:ascii="Arial" w:eastAsia="Arial" w:hAnsi="Arial" w:cs="Arial"/>
          <w:sz w:val="18"/>
          <w:szCs w:val="18"/>
        </w:rPr>
        <w:t>” means each individual who, as of immediately prior to the Distribution Date, is a</w:t>
      </w:r>
      <w:r>
        <w:rPr>
          <w:rFonts w:ascii="Arial" w:eastAsia="Arial" w:hAnsi="Arial" w:cs="Arial"/>
          <w:sz w:val="18"/>
          <w:szCs w:val="18"/>
        </w:rPr>
        <w:t xml:space="preserve"> former employee of any member of the L Brands Group (other than any VS Employee). For the avoidance of doubt, a Delayed VS Transfer Employee shall not constitute a Former L Brands Employee.</w:t>
      </w:r>
    </w:p>
    <w:p w14:paraId="4C683663" w14:textId="77777777" w:rsidR="00D1587D" w:rsidRDefault="00D1587D">
      <w:pPr>
        <w:spacing w:line="176" w:lineRule="exact"/>
        <w:rPr>
          <w:sz w:val="20"/>
          <w:szCs w:val="20"/>
        </w:rPr>
      </w:pPr>
    </w:p>
    <w:p w14:paraId="54FB4543" w14:textId="77777777" w:rsidR="00D1587D" w:rsidRDefault="00410D07">
      <w:pPr>
        <w:spacing w:line="266" w:lineRule="auto"/>
        <w:ind w:firstLine="706"/>
        <w:jc w:val="both"/>
        <w:rPr>
          <w:sz w:val="20"/>
          <w:szCs w:val="20"/>
        </w:rPr>
      </w:pPr>
      <w:r>
        <w:rPr>
          <w:rFonts w:ascii="Arial" w:eastAsia="Arial" w:hAnsi="Arial" w:cs="Arial"/>
          <w:sz w:val="18"/>
          <w:szCs w:val="18"/>
        </w:rPr>
        <w:t>“</w:t>
      </w:r>
      <w:r>
        <w:rPr>
          <w:rFonts w:ascii="Arial" w:eastAsia="Arial" w:hAnsi="Arial" w:cs="Arial"/>
          <w:b/>
          <w:bCs/>
          <w:sz w:val="18"/>
          <w:szCs w:val="18"/>
        </w:rPr>
        <w:t>Former VS Employee</w:t>
      </w:r>
      <w:r>
        <w:rPr>
          <w:rFonts w:ascii="Arial" w:eastAsia="Arial" w:hAnsi="Arial" w:cs="Arial"/>
          <w:sz w:val="18"/>
          <w:szCs w:val="18"/>
        </w:rPr>
        <w:t>” means each individual who, as of immediatel</w:t>
      </w:r>
      <w:r>
        <w:rPr>
          <w:rFonts w:ascii="Arial" w:eastAsia="Arial" w:hAnsi="Arial" w:cs="Arial"/>
          <w:sz w:val="18"/>
          <w:szCs w:val="18"/>
        </w:rPr>
        <w:t>y prior to the Distribution Date, is a former employee who was last actively employed primarily with respect to the VS Business by any member of the L Brands Group or the VS Group. For the avoidance of doubt, a Delayed LB Transfer Employee shall not consti</w:t>
      </w:r>
      <w:r>
        <w:rPr>
          <w:rFonts w:ascii="Arial" w:eastAsia="Arial" w:hAnsi="Arial" w:cs="Arial"/>
          <w:sz w:val="18"/>
          <w:szCs w:val="18"/>
        </w:rPr>
        <w:t>tute a Former VS Employee.</w:t>
      </w:r>
    </w:p>
    <w:p w14:paraId="469CF840" w14:textId="77777777" w:rsidR="00D1587D" w:rsidRDefault="00D1587D">
      <w:pPr>
        <w:spacing w:line="351" w:lineRule="exact"/>
        <w:rPr>
          <w:sz w:val="20"/>
          <w:szCs w:val="20"/>
        </w:rPr>
      </w:pPr>
    </w:p>
    <w:p w14:paraId="0EEC9215" w14:textId="77777777" w:rsidR="00D1587D" w:rsidRDefault="00410D07">
      <w:pPr>
        <w:jc w:val="center"/>
        <w:rPr>
          <w:sz w:val="20"/>
          <w:szCs w:val="20"/>
        </w:rPr>
      </w:pPr>
      <w:r>
        <w:rPr>
          <w:rFonts w:ascii="Arial" w:eastAsia="Arial" w:hAnsi="Arial" w:cs="Arial"/>
          <w:sz w:val="14"/>
          <w:szCs w:val="14"/>
        </w:rPr>
        <w:t>3</w:t>
      </w:r>
    </w:p>
    <w:p w14:paraId="24ACF983" w14:textId="77777777" w:rsidR="00D1587D" w:rsidRDefault="00410D07">
      <w:pPr>
        <w:spacing w:line="20" w:lineRule="exact"/>
        <w:rPr>
          <w:sz w:val="20"/>
          <w:szCs w:val="20"/>
        </w:rPr>
      </w:pPr>
      <w:r>
        <w:rPr>
          <w:noProof/>
          <w:sz w:val="20"/>
          <w:szCs w:val="20"/>
        </w:rPr>
        <w:drawing>
          <wp:anchor distT="0" distB="0" distL="114300" distR="114300" simplePos="0" relativeHeight="251332608" behindDoc="1" locked="0" layoutInCell="0" allowOverlap="1" wp14:anchorId="656915B5" wp14:editId="0B729EB8">
            <wp:simplePos x="0" y="0"/>
            <wp:positionH relativeFrom="column">
              <wp:posOffset>5080</wp:posOffset>
            </wp:positionH>
            <wp:positionV relativeFrom="paragraph">
              <wp:posOffset>38100</wp:posOffset>
            </wp:positionV>
            <wp:extent cx="7132320" cy="1714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AECCDD1" w14:textId="77777777" w:rsidR="00D1587D" w:rsidRDefault="00D1587D">
      <w:pPr>
        <w:sectPr w:rsidR="00D1587D">
          <w:pgSz w:w="11900" w:h="16838"/>
          <w:pgMar w:top="121" w:right="339" w:bottom="1440" w:left="320" w:header="0" w:footer="0" w:gutter="0"/>
          <w:cols w:space="720" w:equalWidth="0">
            <w:col w:w="11240"/>
          </w:cols>
        </w:sectPr>
      </w:pPr>
    </w:p>
    <w:p w14:paraId="09A07963" w14:textId="77777777" w:rsidR="00D1587D" w:rsidRDefault="00410D07">
      <w:pPr>
        <w:ind w:left="660"/>
        <w:rPr>
          <w:sz w:val="20"/>
          <w:szCs w:val="20"/>
        </w:rPr>
      </w:pPr>
      <w:bookmarkStart w:id="174" w:name="page175"/>
      <w:bookmarkEnd w:id="174"/>
      <w:r>
        <w:rPr>
          <w:rFonts w:ascii="Arial" w:eastAsia="Arial" w:hAnsi="Arial" w:cs="Arial"/>
          <w:sz w:val="18"/>
          <w:szCs w:val="18"/>
        </w:rPr>
        <w:t>“</w:t>
      </w:r>
      <w:r>
        <w:rPr>
          <w:rFonts w:ascii="Arial" w:eastAsia="Arial" w:hAnsi="Arial" w:cs="Arial"/>
          <w:b/>
          <w:bCs/>
          <w:sz w:val="18"/>
          <w:szCs w:val="18"/>
        </w:rPr>
        <w:t>H&amp;W Plan</w:t>
      </w:r>
      <w:r>
        <w:rPr>
          <w:rFonts w:ascii="Arial" w:eastAsia="Arial" w:hAnsi="Arial" w:cs="Arial"/>
          <w:sz w:val="18"/>
          <w:szCs w:val="18"/>
        </w:rPr>
        <w:t>” means any L Brands H&amp;W Plan or VS H&amp;W Plan.</w:t>
      </w:r>
    </w:p>
    <w:p w14:paraId="6C5D6FC1" w14:textId="77777777" w:rsidR="00D1587D" w:rsidRDefault="00D1587D">
      <w:pPr>
        <w:spacing w:line="225" w:lineRule="exact"/>
        <w:rPr>
          <w:sz w:val="20"/>
          <w:szCs w:val="20"/>
        </w:rPr>
      </w:pPr>
    </w:p>
    <w:p w14:paraId="57952012"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Individual Retirement Account</w:t>
      </w:r>
      <w:r>
        <w:rPr>
          <w:rFonts w:ascii="Arial" w:eastAsia="Arial" w:hAnsi="Arial" w:cs="Arial"/>
          <w:sz w:val="18"/>
          <w:szCs w:val="18"/>
        </w:rPr>
        <w:t>” has the meaning set forth in Section 408 of the Code.</w:t>
      </w:r>
    </w:p>
    <w:p w14:paraId="0EFC2E2E" w14:textId="77777777" w:rsidR="00D1587D" w:rsidRDefault="00D1587D">
      <w:pPr>
        <w:spacing w:line="225" w:lineRule="exact"/>
        <w:rPr>
          <w:sz w:val="20"/>
          <w:szCs w:val="20"/>
        </w:rPr>
      </w:pPr>
    </w:p>
    <w:p w14:paraId="7B8453CE"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401(k) Plan</w:t>
      </w:r>
      <w:r>
        <w:rPr>
          <w:rFonts w:ascii="Arial" w:eastAsia="Arial" w:hAnsi="Arial" w:cs="Arial"/>
          <w:sz w:val="18"/>
          <w:szCs w:val="18"/>
        </w:rPr>
        <w:t xml:space="preserve">” means any L Brands Plan that is a </w:t>
      </w:r>
      <w:r>
        <w:rPr>
          <w:rFonts w:ascii="Arial" w:eastAsia="Arial" w:hAnsi="Arial" w:cs="Arial"/>
          <w:sz w:val="18"/>
          <w:szCs w:val="18"/>
        </w:rPr>
        <w:t>defined contribution plan intended to qualify under Section 401(a) of the Code and related trust intended to be exempt under Section 501(a) of the Code.</w:t>
      </w:r>
    </w:p>
    <w:p w14:paraId="1E8FEF6A" w14:textId="77777777" w:rsidR="00D1587D" w:rsidRDefault="00D1587D">
      <w:pPr>
        <w:spacing w:line="162" w:lineRule="exact"/>
        <w:rPr>
          <w:sz w:val="20"/>
          <w:szCs w:val="20"/>
        </w:rPr>
      </w:pPr>
    </w:p>
    <w:p w14:paraId="12E06670"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L Brands Awards</w:t>
      </w:r>
      <w:r>
        <w:rPr>
          <w:rFonts w:ascii="Arial" w:eastAsia="Arial" w:hAnsi="Arial" w:cs="Arial"/>
          <w:sz w:val="18"/>
          <w:szCs w:val="18"/>
        </w:rPr>
        <w:t>” means, collectively, the L Brands Options, the L Brands PSUs and the L Brands RSUs.</w:t>
      </w:r>
    </w:p>
    <w:p w14:paraId="45C6A19E" w14:textId="77777777" w:rsidR="00D1587D" w:rsidRDefault="00D1587D">
      <w:pPr>
        <w:spacing w:line="225" w:lineRule="exact"/>
        <w:rPr>
          <w:sz w:val="20"/>
          <w:szCs w:val="20"/>
        </w:rPr>
      </w:pPr>
    </w:p>
    <w:p w14:paraId="7032F673" w14:textId="77777777" w:rsidR="00D1587D" w:rsidRDefault="00410D07">
      <w:pPr>
        <w:spacing w:line="289" w:lineRule="auto"/>
        <w:ind w:firstLine="648"/>
        <w:jc w:val="both"/>
        <w:rPr>
          <w:sz w:val="20"/>
          <w:szCs w:val="20"/>
        </w:rPr>
      </w:pPr>
      <w:r>
        <w:rPr>
          <w:rFonts w:ascii="Arial" w:eastAsia="Arial" w:hAnsi="Arial" w:cs="Arial"/>
          <w:sz w:val="17"/>
          <w:szCs w:val="17"/>
        </w:rPr>
        <w:t>“</w:t>
      </w:r>
      <w:r>
        <w:rPr>
          <w:rFonts w:ascii="Arial" w:eastAsia="Arial" w:hAnsi="Arial" w:cs="Arial"/>
          <w:b/>
          <w:bCs/>
          <w:sz w:val="17"/>
          <w:szCs w:val="17"/>
        </w:rPr>
        <w:t>L Brands Bonus Plan</w:t>
      </w:r>
      <w:r>
        <w:rPr>
          <w:rFonts w:ascii="Arial" w:eastAsia="Arial" w:hAnsi="Arial" w:cs="Arial"/>
          <w:sz w:val="17"/>
          <w:szCs w:val="17"/>
        </w:rPr>
        <w:t>” means any L Brands Plan that is a cash bonus or cash incentive plan. For the avoidance of doubt, and without limitation, the following plans are considered L Brands Bonus Plans: (a) the L Brands, Inc. 2015 Cash Incentive Compensation</w:t>
      </w:r>
      <w:r>
        <w:rPr>
          <w:rFonts w:ascii="Arial" w:eastAsia="Arial" w:hAnsi="Arial" w:cs="Arial"/>
          <w:sz w:val="17"/>
          <w:szCs w:val="17"/>
        </w:rPr>
        <w:t xml:space="preserve"> Performance Plan (the “</w:t>
      </w:r>
      <w:r>
        <w:rPr>
          <w:rFonts w:ascii="Arial" w:eastAsia="Arial" w:hAnsi="Arial" w:cs="Arial"/>
          <w:b/>
          <w:bCs/>
          <w:sz w:val="17"/>
          <w:szCs w:val="17"/>
        </w:rPr>
        <w:t>L Brands</w:t>
      </w:r>
      <w:r>
        <w:rPr>
          <w:rFonts w:ascii="Arial" w:eastAsia="Arial" w:hAnsi="Arial" w:cs="Arial"/>
          <w:sz w:val="17"/>
          <w:szCs w:val="17"/>
        </w:rPr>
        <w:t xml:space="preserve"> </w:t>
      </w:r>
      <w:r>
        <w:rPr>
          <w:rFonts w:ascii="Arial" w:eastAsia="Arial" w:hAnsi="Arial" w:cs="Arial"/>
          <w:b/>
          <w:bCs/>
          <w:sz w:val="17"/>
          <w:szCs w:val="17"/>
        </w:rPr>
        <w:t>2015 Bonus Plan</w:t>
      </w:r>
      <w:r>
        <w:rPr>
          <w:rFonts w:ascii="Arial" w:eastAsia="Arial" w:hAnsi="Arial" w:cs="Arial"/>
          <w:sz w:val="17"/>
          <w:szCs w:val="17"/>
        </w:rPr>
        <w:t>”) and (b) the L Brands Greater China Sales Incentive Scheme VSFA Store Leadership Team.</w:t>
      </w:r>
    </w:p>
    <w:p w14:paraId="6E2581A0" w14:textId="77777777" w:rsidR="00D1587D" w:rsidRDefault="00D1587D">
      <w:pPr>
        <w:spacing w:line="158" w:lineRule="exact"/>
        <w:rPr>
          <w:sz w:val="20"/>
          <w:szCs w:val="20"/>
        </w:rPr>
      </w:pPr>
    </w:p>
    <w:p w14:paraId="2FEACE0A"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L Brands Compensation Committee</w:t>
      </w:r>
      <w:r>
        <w:rPr>
          <w:rFonts w:ascii="Arial" w:eastAsia="Arial" w:hAnsi="Arial" w:cs="Arial"/>
          <w:sz w:val="18"/>
          <w:szCs w:val="18"/>
        </w:rPr>
        <w:t>” means the Human Capital and Compensation Committee of the L Brands Board.</w:t>
      </w:r>
    </w:p>
    <w:p w14:paraId="5DEF134C" w14:textId="77777777" w:rsidR="00D1587D" w:rsidRDefault="00D1587D">
      <w:pPr>
        <w:spacing w:line="225" w:lineRule="exact"/>
        <w:rPr>
          <w:sz w:val="20"/>
          <w:szCs w:val="20"/>
        </w:rPr>
      </w:pPr>
    </w:p>
    <w:p w14:paraId="37C43742"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w:t>
      </w:r>
      <w:r>
        <w:rPr>
          <w:rFonts w:ascii="Arial" w:eastAsia="Arial" w:hAnsi="Arial" w:cs="Arial"/>
          <w:b/>
          <w:bCs/>
          <w:sz w:val="18"/>
          <w:szCs w:val="18"/>
        </w:rPr>
        <w:t xml:space="preserve"> Contractor</w:t>
      </w:r>
      <w:r>
        <w:rPr>
          <w:rFonts w:ascii="Arial" w:eastAsia="Arial" w:hAnsi="Arial" w:cs="Arial"/>
          <w:sz w:val="18"/>
          <w:szCs w:val="18"/>
        </w:rPr>
        <w:t>” means each current or former individual independent contractor or consultant (other than a VS Contractor) of any member of the L Brands Group, and solely for purposes of Article 8, each non-employee L Brands Director.</w:t>
      </w:r>
    </w:p>
    <w:p w14:paraId="7D88A0FC" w14:textId="77777777" w:rsidR="00D1587D" w:rsidRDefault="00D1587D">
      <w:pPr>
        <w:spacing w:line="162" w:lineRule="exact"/>
        <w:rPr>
          <w:sz w:val="20"/>
          <w:szCs w:val="20"/>
        </w:rPr>
      </w:pPr>
    </w:p>
    <w:p w14:paraId="7D94E4B8"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L Brands Director</w:t>
      </w:r>
      <w:r>
        <w:rPr>
          <w:rFonts w:ascii="Arial" w:eastAsia="Arial" w:hAnsi="Arial" w:cs="Arial"/>
          <w:sz w:val="18"/>
          <w:szCs w:val="18"/>
        </w:rPr>
        <w:t>” mean</w:t>
      </w:r>
      <w:r>
        <w:rPr>
          <w:rFonts w:ascii="Arial" w:eastAsia="Arial" w:hAnsi="Arial" w:cs="Arial"/>
          <w:sz w:val="18"/>
          <w:szCs w:val="18"/>
        </w:rPr>
        <w:t>s a member of the L Brands Board.</w:t>
      </w:r>
    </w:p>
    <w:p w14:paraId="54176CBD" w14:textId="77777777" w:rsidR="00D1587D" w:rsidRDefault="00D1587D">
      <w:pPr>
        <w:spacing w:line="225" w:lineRule="exact"/>
        <w:rPr>
          <w:sz w:val="20"/>
          <w:szCs w:val="20"/>
        </w:rPr>
      </w:pPr>
    </w:p>
    <w:p w14:paraId="21B37F48" w14:textId="77777777" w:rsidR="00D1587D" w:rsidRDefault="00410D07">
      <w:pPr>
        <w:spacing w:line="261"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Employee</w:t>
      </w:r>
      <w:r>
        <w:rPr>
          <w:rFonts w:ascii="Arial" w:eastAsia="Arial" w:hAnsi="Arial" w:cs="Arial"/>
          <w:sz w:val="18"/>
          <w:szCs w:val="18"/>
        </w:rPr>
        <w:t>” means each individual who, (a) as of the Distribution Date, is (i) not a VS Employee and is (ii) either (x) actively employed by any member of the L Brands Group, (y) an inactive employee (including an</w:t>
      </w:r>
      <w:r>
        <w:rPr>
          <w:rFonts w:ascii="Arial" w:eastAsia="Arial" w:hAnsi="Arial" w:cs="Arial"/>
          <w:sz w:val="18"/>
          <w:szCs w:val="18"/>
        </w:rPr>
        <w:t>y employee on short- or long-term disability leave or other authorized leave of absence) of any member of the L Brands Group or (z) a Former L Brands Employee or (b) as of the applicable Delayed Transfer Date, is a Delayed LB Transfer Employee.</w:t>
      </w:r>
    </w:p>
    <w:p w14:paraId="7E26A0DA" w14:textId="77777777" w:rsidR="00D1587D" w:rsidRDefault="00D1587D">
      <w:pPr>
        <w:spacing w:line="180" w:lineRule="exact"/>
        <w:rPr>
          <w:sz w:val="20"/>
          <w:szCs w:val="20"/>
        </w:rPr>
      </w:pPr>
    </w:p>
    <w:p w14:paraId="2AF5D823"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 xml:space="preserve">L Brands </w:t>
      </w:r>
      <w:r>
        <w:rPr>
          <w:rFonts w:ascii="Arial" w:eastAsia="Arial" w:hAnsi="Arial" w:cs="Arial"/>
          <w:b/>
          <w:bCs/>
          <w:sz w:val="18"/>
          <w:szCs w:val="18"/>
        </w:rPr>
        <w:t>ESPP</w:t>
      </w:r>
      <w:r>
        <w:rPr>
          <w:rFonts w:ascii="Arial" w:eastAsia="Arial" w:hAnsi="Arial" w:cs="Arial"/>
          <w:sz w:val="18"/>
          <w:szCs w:val="18"/>
        </w:rPr>
        <w:t>” means the L Brands, Inc. Associate Stock Purchase Plan.</w:t>
      </w:r>
    </w:p>
    <w:p w14:paraId="347183D1" w14:textId="77777777" w:rsidR="00D1587D" w:rsidRDefault="00D1587D">
      <w:pPr>
        <w:spacing w:line="225" w:lineRule="exact"/>
        <w:rPr>
          <w:sz w:val="20"/>
          <w:szCs w:val="20"/>
        </w:rPr>
      </w:pPr>
    </w:p>
    <w:p w14:paraId="01DABF3F" w14:textId="77777777" w:rsidR="00D1587D" w:rsidRDefault="00410D07">
      <w:pPr>
        <w:spacing w:line="289" w:lineRule="auto"/>
        <w:ind w:firstLine="648"/>
        <w:jc w:val="both"/>
        <w:rPr>
          <w:sz w:val="20"/>
          <w:szCs w:val="20"/>
        </w:rPr>
      </w:pPr>
      <w:r>
        <w:rPr>
          <w:rFonts w:ascii="Arial" w:eastAsia="Arial" w:hAnsi="Arial" w:cs="Arial"/>
          <w:sz w:val="17"/>
          <w:szCs w:val="17"/>
        </w:rPr>
        <w:t>“</w:t>
      </w:r>
      <w:r>
        <w:rPr>
          <w:rFonts w:ascii="Arial" w:eastAsia="Arial" w:hAnsi="Arial" w:cs="Arial"/>
          <w:b/>
          <w:bCs/>
          <w:sz w:val="17"/>
          <w:szCs w:val="17"/>
        </w:rPr>
        <w:t>L Brands Equity Plans</w:t>
      </w:r>
      <w:r>
        <w:rPr>
          <w:rFonts w:ascii="Arial" w:eastAsia="Arial" w:hAnsi="Arial" w:cs="Arial"/>
          <w:sz w:val="17"/>
          <w:szCs w:val="17"/>
        </w:rPr>
        <w:t xml:space="preserve">” means, collectively, (a) the L Brands, Inc. 2020 Stock Option and Performance Incentive Plan, effective as of May 14, 2020, (b) the L Brands, Inc. 2015 Stock Option and </w:t>
      </w:r>
      <w:r>
        <w:rPr>
          <w:rFonts w:ascii="Arial" w:eastAsia="Arial" w:hAnsi="Arial" w:cs="Arial"/>
          <w:sz w:val="17"/>
          <w:szCs w:val="17"/>
        </w:rPr>
        <w:t>Performance Incentive Plan, effective as of May 21, 2015 and (c) the Limited Brands, Inc. 2011 Stock Option and Performance Incentive Plan, effective as of July 21, 2011 (in each case, together with any successor plans thereto).</w:t>
      </w:r>
    </w:p>
    <w:p w14:paraId="3FE790F4" w14:textId="77777777" w:rsidR="00D1587D" w:rsidRDefault="00D1587D">
      <w:pPr>
        <w:spacing w:line="333" w:lineRule="exact"/>
        <w:rPr>
          <w:sz w:val="20"/>
          <w:szCs w:val="20"/>
        </w:rPr>
      </w:pPr>
    </w:p>
    <w:p w14:paraId="31B0BBE8" w14:textId="77777777" w:rsidR="00D1587D" w:rsidRDefault="00410D07">
      <w:pPr>
        <w:jc w:val="center"/>
        <w:rPr>
          <w:sz w:val="20"/>
          <w:szCs w:val="20"/>
        </w:rPr>
      </w:pPr>
      <w:r>
        <w:rPr>
          <w:rFonts w:ascii="Arial" w:eastAsia="Arial" w:hAnsi="Arial" w:cs="Arial"/>
          <w:sz w:val="14"/>
          <w:szCs w:val="14"/>
        </w:rPr>
        <w:t>4</w:t>
      </w:r>
    </w:p>
    <w:p w14:paraId="642586E6" w14:textId="77777777" w:rsidR="00D1587D" w:rsidRDefault="00410D07">
      <w:pPr>
        <w:spacing w:line="20" w:lineRule="exact"/>
        <w:rPr>
          <w:sz w:val="20"/>
          <w:szCs w:val="20"/>
        </w:rPr>
      </w:pPr>
      <w:r>
        <w:rPr>
          <w:noProof/>
          <w:sz w:val="20"/>
          <w:szCs w:val="20"/>
        </w:rPr>
        <w:drawing>
          <wp:anchor distT="0" distB="0" distL="114300" distR="114300" simplePos="0" relativeHeight="251333632" behindDoc="1" locked="0" layoutInCell="0" allowOverlap="1" wp14:anchorId="473FA3C7" wp14:editId="6F7AE634">
            <wp:simplePos x="0" y="0"/>
            <wp:positionH relativeFrom="column">
              <wp:posOffset>5080</wp:posOffset>
            </wp:positionH>
            <wp:positionV relativeFrom="paragraph">
              <wp:posOffset>38100</wp:posOffset>
            </wp:positionV>
            <wp:extent cx="7132320" cy="1714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EB51AAC" w14:textId="77777777" w:rsidR="00D1587D" w:rsidRDefault="00D1587D">
      <w:pPr>
        <w:sectPr w:rsidR="00D1587D">
          <w:pgSz w:w="11900" w:h="16838"/>
          <w:pgMar w:top="121" w:right="339" w:bottom="1440" w:left="320" w:header="0" w:footer="0" w:gutter="0"/>
          <w:cols w:space="720" w:equalWidth="0">
            <w:col w:w="11240"/>
          </w:cols>
        </w:sectPr>
      </w:pPr>
    </w:p>
    <w:p w14:paraId="54CCE84A" w14:textId="77777777" w:rsidR="00D1587D" w:rsidRDefault="00410D07">
      <w:pPr>
        <w:spacing w:line="282" w:lineRule="auto"/>
        <w:ind w:firstLine="648"/>
        <w:jc w:val="both"/>
        <w:rPr>
          <w:sz w:val="20"/>
          <w:szCs w:val="20"/>
        </w:rPr>
      </w:pPr>
      <w:bookmarkStart w:id="175" w:name="page176"/>
      <w:bookmarkEnd w:id="175"/>
      <w:r>
        <w:rPr>
          <w:rFonts w:ascii="Arial" w:eastAsia="Arial" w:hAnsi="Arial" w:cs="Arial"/>
          <w:sz w:val="18"/>
          <w:szCs w:val="18"/>
        </w:rPr>
        <w:t>“</w:t>
      </w:r>
      <w:r>
        <w:rPr>
          <w:rFonts w:ascii="Arial" w:eastAsia="Arial" w:hAnsi="Arial" w:cs="Arial"/>
          <w:b/>
          <w:bCs/>
          <w:sz w:val="18"/>
          <w:szCs w:val="18"/>
        </w:rPr>
        <w:t>L Brands FSA</w:t>
      </w:r>
      <w:r>
        <w:rPr>
          <w:rFonts w:ascii="Arial" w:eastAsia="Arial" w:hAnsi="Arial" w:cs="Arial"/>
          <w:sz w:val="18"/>
          <w:szCs w:val="18"/>
        </w:rPr>
        <w:t>” means any L Brands Plan that is a flexible spending account for health and dependent care expenses under Sections 125 and 129 of the Code.</w:t>
      </w:r>
    </w:p>
    <w:p w14:paraId="53F83460" w14:textId="77777777" w:rsidR="00D1587D" w:rsidRDefault="00D1587D">
      <w:pPr>
        <w:spacing w:line="162" w:lineRule="exact"/>
        <w:rPr>
          <w:sz w:val="20"/>
          <w:szCs w:val="20"/>
        </w:rPr>
      </w:pPr>
    </w:p>
    <w:p w14:paraId="73FE2A60" w14:textId="77777777" w:rsidR="00D1587D" w:rsidRDefault="00410D07">
      <w:pPr>
        <w:spacing w:line="26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H&amp;W Plan</w:t>
      </w:r>
      <w:r>
        <w:rPr>
          <w:rFonts w:ascii="Arial" w:eastAsia="Arial" w:hAnsi="Arial" w:cs="Arial"/>
          <w:sz w:val="18"/>
          <w:szCs w:val="18"/>
        </w:rPr>
        <w:t>” means any L Brands Plan that is (a) an “employee welfare benefit plan” or “welfare</w:t>
      </w:r>
      <w:r>
        <w:rPr>
          <w:rFonts w:ascii="Arial" w:eastAsia="Arial" w:hAnsi="Arial" w:cs="Arial"/>
          <w:sz w:val="18"/>
          <w:szCs w:val="18"/>
        </w:rPr>
        <w:t xml:space="preserve"> plan” (as defined under Section 3(1) of ERISA) or (b) a similar plan that is sponsored, maintained, administered, contributed to or entered into outside of the United States. For the avoidance of doubt, L Brands FSAs are L Brands H&amp;W Plans.</w:t>
      </w:r>
    </w:p>
    <w:p w14:paraId="78ACAD77" w14:textId="77777777" w:rsidR="00D1587D" w:rsidRDefault="00D1587D">
      <w:pPr>
        <w:spacing w:line="176" w:lineRule="exact"/>
        <w:rPr>
          <w:sz w:val="20"/>
          <w:szCs w:val="20"/>
        </w:rPr>
      </w:pPr>
    </w:p>
    <w:p w14:paraId="1387B388"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L Brands Opt</w:t>
      </w:r>
      <w:r>
        <w:rPr>
          <w:rFonts w:ascii="Arial" w:eastAsia="Arial" w:hAnsi="Arial" w:cs="Arial"/>
          <w:b/>
          <w:bCs/>
          <w:sz w:val="18"/>
          <w:szCs w:val="18"/>
        </w:rPr>
        <w:t>ion</w:t>
      </w:r>
      <w:r>
        <w:rPr>
          <w:rFonts w:ascii="Arial" w:eastAsia="Arial" w:hAnsi="Arial" w:cs="Arial"/>
          <w:sz w:val="18"/>
          <w:szCs w:val="18"/>
        </w:rPr>
        <w:t>” means each option to acquire L Brands Common Stock granted under the L Brands Equity Plans.</w:t>
      </w:r>
    </w:p>
    <w:p w14:paraId="57FF2147" w14:textId="77777777" w:rsidR="00D1587D" w:rsidRDefault="00D1587D">
      <w:pPr>
        <w:spacing w:line="225" w:lineRule="exact"/>
        <w:rPr>
          <w:sz w:val="20"/>
          <w:szCs w:val="20"/>
        </w:rPr>
      </w:pPr>
    </w:p>
    <w:p w14:paraId="71AC7576"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Participant</w:t>
      </w:r>
      <w:r>
        <w:rPr>
          <w:rFonts w:ascii="Arial" w:eastAsia="Arial" w:hAnsi="Arial" w:cs="Arial"/>
          <w:sz w:val="18"/>
          <w:szCs w:val="18"/>
        </w:rPr>
        <w:t>” means any individual who is an L Brands Employee or L Brands Contractor, and any beneficiary, dependent or alternate payee of such indi</w:t>
      </w:r>
      <w:r>
        <w:rPr>
          <w:rFonts w:ascii="Arial" w:eastAsia="Arial" w:hAnsi="Arial" w:cs="Arial"/>
          <w:sz w:val="18"/>
          <w:szCs w:val="18"/>
        </w:rPr>
        <w:t>vidual, as the context requires.</w:t>
      </w:r>
    </w:p>
    <w:p w14:paraId="00231373" w14:textId="77777777" w:rsidR="00D1587D" w:rsidRDefault="00D1587D">
      <w:pPr>
        <w:spacing w:line="162" w:lineRule="exact"/>
        <w:rPr>
          <w:sz w:val="20"/>
          <w:szCs w:val="20"/>
        </w:rPr>
      </w:pPr>
    </w:p>
    <w:p w14:paraId="5CADE5B0"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Plan</w:t>
      </w:r>
      <w:r>
        <w:rPr>
          <w:rFonts w:ascii="Arial" w:eastAsia="Arial" w:hAnsi="Arial" w:cs="Arial"/>
          <w:sz w:val="18"/>
          <w:szCs w:val="18"/>
        </w:rPr>
        <w:t xml:space="preserve">” means any Employee Plan (other than a VS Plan) sponsored, maintained, administered, contributed to or entered into by any member of the L Brands Group. For the avoidance of doubt, no VS Plan is an L Brands </w:t>
      </w:r>
      <w:r>
        <w:rPr>
          <w:rFonts w:ascii="Arial" w:eastAsia="Arial" w:hAnsi="Arial" w:cs="Arial"/>
          <w:sz w:val="18"/>
          <w:szCs w:val="18"/>
        </w:rPr>
        <w:t>Plan.</w:t>
      </w:r>
    </w:p>
    <w:p w14:paraId="165172A6" w14:textId="77777777" w:rsidR="00D1587D" w:rsidRDefault="00D1587D">
      <w:pPr>
        <w:spacing w:line="162" w:lineRule="exact"/>
        <w:rPr>
          <w:sz w:val="20"/>
          <w:szCs w:val="20"/>
        </w:rPr>
      </w:pPr>
    </w:p>
    <w:p w14:paraId="4DA806C5" w14:textId="77777777" w:rsidR="00D1587D" w:rsidRDefault="00410D07">
      <w:pPr>
        <w:spacing w:line="282" w:lineRule="auto"/>
        <w:ind w:right="20"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Post-Distribution Stock Value</w:t>
      </w:r>
      <w:r>
        <w:rPr>
          <w:rFonts w:ascii="Arial" w:eastAsia="Arial" w:hAnsi="Arial" w:cs="Arial"/>
          <w:sz w:val="18"/>
          <w:szCs w:val="18"/>
        </w:rPr>
        <w:t>” means the value of L Brands Common Stock immediately following the Distribution Date, determined based on the methodology specified by the L Brands Compensation Committee.</w:t>
      </w:r>
    </w:p>
    <w:p w14:paraId="4218A3CF" w14:textId="77777777" w:rsidR="00D1587D" w:rsidRDefault="00D1587D">
      <w:pPr>
        <w:spacing w:line="162" w:lineRule="exact"/>
        <w:rPr>
          <w:sz w:val="20"/>
          <w:szCs w:val="20"/>
        </w:rPr>
      </w:pPr>
    </w:p>
    <w:p w14:paraId="465119C9"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Pre-Distribution Stock Va</w:t>
      </w:r>
      <w:r>
        <w:rPr>
          <w:rFonts w:ascii="Arial" w:eastAsia="Arial" w:hAnsi="Arial" w:cs="Arial"/>
          <w:b/>
          <w:bCs/>
          <w:sz w:val="18"/>
          <w:szCs w:val="18"/>
        </w:rPr>
        <w:t>lue</w:t>
      </w:r>
      <w:r>
        <w:rPr>
          <w:rFonts w:ascii="Arial" w:eastAsia="Arial" w:hAnsi="Arial" w:cs="Arial"/>
          <w:sz w:val="18"/>
          <w:szCs w:val="18"/>
        </w:rPr>
        <w:t>” means the value of L Brands Common Stock immediately prior to the Distribution Date, determined based on the methodology specified by the L Brands Compensation Committee.</w:t>
      </w:r>
    </w:p>
    <w:p w14:paraId="305708D7" w14:textId="77777777" w:rsidR="00D1587D" w:rsidRDefault="00D1587D">
      <w:pPr>
        <w:spacing w:line="162" w:lineRule="exact"/>
        <w:rPr>
          <w:sz w:val="20"/>
          <w:szCs w:val="20"/>
        </w:rPr>
      </w:pPr>
    </w:p>
    <w:p w14:paraId="15FAEB43"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PSU</w:t>
      </w:r>
      <w:r>
        <w:rPr>
          <w:rFonts w:ascii="Arial" w:eastAsia="Arial" w:hAnsi="Arial" w:cs="Arial"/>
          <w:sz w:val="18"/>
          <w:szCs w:val="18"/>
        </w:rPr>
        <w:t>” means each award of restricted stock units with respect to L Bra</w:t>
      </w:r>
      <w:r>
        <w:rPr>
          <w:rFonts w:ascii="Arial" w:eastAsia="Arial" w:hAnsi="Arial" w:cs="Arial"/>
          <w:sz w:val="18"/>
          <w:szCs w:val="18"/>
        </w:rPr>
        <w:t>nds Common Stock granted under the L Brands Equity Plans that are subject to performance-based vesting conditions.</w:t>
      </w:r>
    </w:p>
    <w:p w14:paraId="562023EF" w14:textId="77777777" w:rsidR="00D1587D" w:rsidRDefault="00D1587D">
      <w:pPr>
        <w:spacing w:line="162" w:lineRule="exact"/>
        <w:rPr>
          <w:sz w:val="20"/>
          <w:szCs w:val="20"/>
        </w:rPr>
      </w:pPr>
    </w:p>
    <w:p w14:paraId="2A0F6350"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RSU</w:t>
      </w:r>
      <w:r>
        <w:rPr>
          <w:rFonts w:ascii="Arial" w:eastAsia="Arial" w:hAnsi="Arial" w:cs="Arial"/>
          <w:sz w:val="18"/>
          <w:szCs w:val="18"/>
        </w:rPr>
        <w:t xml:space="preserve">” means each award of restricted stock units with respect to L Brands Common Stock granted under the L Brands Equity Plans </w:t>
      </w:r>
      <w:r>
        <w:rPr>
          <w:rFonts w:ascii="Arial" w:eastAsia="Arial" w:hAnsi="Arial" w:cs="Arial"/>
          <w:sz w:val="18"/>
          <w:szCs w:val="18"/>
        </w:rPr>
        <w:t>(other than L Brands PSUs).</w:t>
      </w:r>
    </w:p>
    <w:p w14:paraId="2B61C596" w14:textId="77777777" w:rsidR="00D1587D" w:rsidRDefault="00D1587D">
      <w:pPr>
        <w:spacing w:line="162" w:lineRule="exact"/>
        <w:rPr>
          <w:sz w:val="20"/>
          <w:szCs w:val="20"/>
        </w:rPr>
      </w:pPr>
    </w:p>
    <w:p w14:paraId="60E5D6F1" w14:textId="77777777" w:rsidR="00D1587D" w:rsidRDefault="00410D07">
      <w:pPr>
        <w:spacing w:line="261"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Specified Rights</w:t>
      </w:r>
      <w:r>
        <w:rPr>
          <w:rFonts w:ascii="Arial" w:eastAsia="Arial" w:hAnsi="Arial" w:cs="Arial"/>
          <w:sz w:val="18"/>
          <w:szCs w:val="18"/>
        </w:rPr>
        <w:t>” means any and all rights to enjoy, benefit from or enforce any and all restrictive covenants, including covenants relating to non-disclosure, non-solicitation, non-competition, confidentiality or Int</w:t>
      </w:r>
      <w:r>
        <w:rPr>
          <w:rFonts w:ascii="Arial" w:eastAsia="Arial" w:hAnsi="Arial" w:cs="Arial"/>
          <w:sz w:val="18"/>
          <w:szCs w:val="18"/>
        </w:rPr>
        <w:t>ellectual Property, pursuant to any Employee Plan covering or with any VS Employee, VS Contractor, L Brands Employee or L Brands Contractor and to which any member of the VS Group or L Brands Group is a party (other than VS Specified Rights).</w:t>
      </w:r>
    </w:p>
    <w:p w14:paraId="6C73D861" w14:textId="77777777" w:rsidR="00D1587D" w:rsidRDefault="00D1587D">
      <w:pPr>
        <w:spacing w:line="180" w:lineRule="exact"/>
        <w:rPr>
          <w:sz w:val="20"/>
          <w:szCs w:val="20"/>
        </w:rPr>
      </w:pPr>
    </w:p>
    <w:p w14:paraId="3340F29B" w14:textId="77777777" w:rsidR="00D1587D" w:rsidRDefault="00410D07">
      <w:pPr>
        <w:spacing w:line="261"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L Brands TS</w:t>
      </w:r>
      <w:r>
        <w:rPr>
          <w:rFonts w:ascii="Arial" w:eastAsia="Arial" w:hAnsi="Arial" w:cs="Arial"/>
          <w:b/>
          <w:bCs/>
          <w:sz w:val="18"/>
          <w:szCs w:val="18"/>
        </w:rPr>
        <w:t>A Employee</w:t>
      </w:r>
      <w:r>
        <w:rPr>
          <w:rFonts w:ascii="Arial" w:eastAsia="Arial" w:hAnsi="Arial" w:cs="Arial"/>
          <w:sz w:val="18"/>
          <w:szCs w:val="18"/>
        </w:rPr>
        <w:t>” means each (a) Transition Employee (as defined in the VS to L Brands Transition Services Agreement) and (b) other individual who, on or after the Distribution Date, is employed by a member of the VS Group and whose employment is mutually agreed</w:t>
      </w:r>
      <w:r>
        <w:rPr>
          <w:rFonts w:ascii="Arial" w:eastAsia="Arial" w:hAnsi="Arial" w:cs="Arial"/>
          <w:sz w:val="18"/>
          <w:szCs w:val="18"/>
        </w:rPr>
        <w:t xml:space="preserve"> by the Parties to transfer to a member of the L Brands Group following the Distribution Date in connection with the VS to L Brands Transition Services Agreement or any other applicable Ancillary Agreement.</w:t>
      </w:r>
    </w:p>
    <w:p w14:paraId="5DA7F767" w14:textId="77777777" w:rsidR="00D1587D" w:rsidRDefault="00D1587D">
      <w:pPr>
        <w:spacing w:line="355" w:lineRule="exact"/>
        <w:rPr>
          <w:sz w:val="20"/>
          <w:szCs w:val="20"/>
        </w:rPr>
      </w:pPr>
    </w:p>
    <w:p w14:paraId="0FCB151E" w14:textId="77777777" w:rsidR="00D1587D" w:rsidRDefault="00410D07">
      <w:pPr>
        <w:jc w:val="center"/>
        <w:rPr>
          <w:sz w:val="20"/>
          <w:szCs w:val="20"/>
        </w:rPr>
      </w:pPr>
      <w:r>
        <w:rPr>
          <w:rFonts w:ascii="Arial" w:eastAsia="Arial" w:hAnsi="Arial" w:cs="Arial"/>
          <w:sz w:val="14"/>
          <w:szCs w:val="14"/>
        </w:rPr>
        <w:t>5</w:t>
      </w:r>
    </w:p>
    <w:p w14:paraId="7CF5EC8C" w14:textId="77777777" w:rsidR="00D1587D" w:rsidRDefault="00410D07">
      <w:pPr>
        <w:spacing w:line="20" w:lineRule="exact"/>
        <w:rPr>
          <w:sz w:val="20"/>
          <w:szCs w:val="20"/>
        </w:rPr>
      </w:pPr>
      <w:r>
        <w:rPr>
          <w:noProof/>
          <w:sz w:val="20"/>
          <w:szCs w:val="20"/>
        </w:rPr>
        <w:drawing>
          <wp:anchor distT="0" distB="0" distL="114300" distR="114300" simplePos="0" relativeHeight="251334656" behindDoc="1" locked="0" layoutInCell="0" allowOverlap="1" wp14:anchorId="58DE3BB8" wp14:editId="60A5F229">
            <wp:simplePos x="0" y="0"/>
            <wp:positionH relativeFrom="column">
              <wp:posOffset>5080</wp:posOffset>
            </wp:positionH>
            <wp:positionV relativeFrom="paragraph">
              <wp:posOffset>38100</wp:posOffset>
            </wp:positionV>
            <wp:extent cx="7132320" cy="1714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180B019" w14:textId="77777777" w:rsidR="00D1587D" w:rsidRDefault="00D1587D">
      <w:pPr>
        <w:sectPr w:rsidR="00D1587D">
          <w:pgSz w:w="11900" w:h="16838"/>
          <w:pgMar w:top="121" w:right="339" w:bottom="1440" w:left="320" w:header="0" w:footer="0" w:gutter="0"/>
          <w:cols w:space="720" w:equalWidth="0">
            <w:col w:w="11240"/>
          </w:cols>
        </w:sectPr>
      </w:pPr>
    </w:p>
    <w:p w14:paraId="40F05EA9" w14:textId="77777777" w:rsidR="00D1587D" w:rsidRDefault="00410D07">
      <w:pPr>
        <w:ind w:left="660"/>
        <w:rPr>
          <w:sz w:val="20"/>
          <w:szCs w:val="20"/>
        </w:rPr>
      </w:pPr>
      <w:bookmarkStart w:id="176" w:name="page177"/>
      <w:bookmarkEnd w:id="176"/>
      <w:r>
        <w:rPr>
          <w:rFonts w:ascii="Arial" w:eastAsia="Arial" w:hAnsi="Arial" w:cs="Arial"/>
          <w:sz w:val="17"/>
          <w:szCs w:val="17"/>
        </w:rPr>
        <w:t>“</w:t>
      </w:r>
      <w:r>
        <w:rPr>
          <w:rFonts w:ascii="Arial" w:eastAsia="Arial" w:hAnsi="Arial" w:cs="Arial"/>
          <w:b/>
          <w:bCs/>
          <w:sz w:val="17"/>
          <w:szCs w:val="17"/>
        </w:rPr>
        <w:t>LB to VS TSA Service Em</w:t>
      </w:r>
      <w:r>
        <w:rPr>
          <w:rFonts w:ascii="Arial" w:eastAsia="Arial" w:hAnsi="Arial" w:cs="Arial"/>
          <w:b/>
          <w:bCs/>
          <w:sz w:val="17"/>
          <w:szCs w:val="17"/>
        </w:rPr>
        <w:t>ployee</w:t>
      </w:r>
      <w:r>
        <w:rPr>
          <w:rFonts w:ascii="Arial" w:eastAsia="Arial" w:hAnsi="Arial" w:cs="Arial"/>
          <w:sz w:val="17"/>
          <w:szCs w:val="17"/>
        </w:rPr>
        <w:t>” means each TSA Employee (as defined under the L Brands to VS Transition Services Agreement).</w:t>
      </w:r>
    </w:p>
    <w:p w14:paraId="606C6058" w14:textId="77777777" w:rsidR="00D1587D" w:rsidRDefault="00D1587D">
      <w:pPr>
        <w:spacing w:line="237" w:lineRule="exact"/>
        <w:rPr>
          <w:sz w:val="20"/>
          <w:szCs w:val="20"/>
        </w:rPr>
      </w:pPr>
    </w:p>
    <w:p w14:paraId="38B90B4D" w14:textId="77777777" w:rsidR="00D1587D" w:rsidRDefault="00410D07">
      <w:pPr>
        <w:ind w:left="660"/>
        <w:rPr>
          <w:sz w:val="20"/>
          <w:szCs w:val="20"/>
        </w:rPr>
      </w:pPr>
      <w:r>
        <w:rPr>
          <w:rFonts w:ascii="Arial" w:eastAsia="Arial" w:hAnsi="Arial" w:cs="Arial"/>
          <w:sz w:val="17"/>
          <w:szCs w:val="17"/>
        </w:rPr>
        <w:t>“</w:t>
      </w:r>
      <w:r>
        <w:rPr>
          <w:rFonts w:ascii="Arial" w:eastAsia="Arial" w:hAnsi="Arial" w:cs="Arial"/>
          <w:b/>
          <w:bCs/>
          <w:sz w:val="17"/>
          <w:szCs w:val="17"/>
        </w:rPr>
        <w:t>New L Brands Employee</w:t>
      </w:r>
      <w:r>
        <w:rPr>
          <w:rFonts w:ascii="Arial" w:eastAsia="Arial" w:hAnsi="Arial" w:cs="Arial"/>
          <w:sz w:val="17"/>
          <w:szCs w:val="17"/>
        </w:rPr>
        <w:t>” means any employee externally hired by any member of the L Brands Group following the Distribution Date.</w:t>
      </w:r>
    </w:p>
    <w:p w14:paraId="2DF36210" w14:textId="77777777" w:rsidR="00D1587D" w:rsidRDefault="00D1587D">
      <w:pPr>
        <w:spacing w:line="237" w:lineRule="exact"/>
        <w:rPr>
          <w:sz w:val="20"/>
          <w:szCs w:val="20"/>
        </w:rPr>
      </w:pPr>
    </w:p>
    <w:p w14:paraId="6D05D886"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New VS Employee</w:t>
      </w:r>
      <w:r>
        <w:rPr>
          <w:rFonts w:ascii="Arial" w:eastAsia="Arial" w:hAnsi="Arial" w:cs="Arial"/>
          <w:sz w:val="18"/>
          <w:szCs w:val="18"/>
        </w:rPr>
        <w:t xml:space="preserve">” </w:t>
      </w:r>
      <w:r>
        <w:rPr>
          <w:rFonts w:ascii="Arial" w:eastAsia="Arial" w:hAnsi="Arial" w:cs="Arial"/>
          <w:sz w:val="18"/>
          <w:szCs w:val="18"/>
        </w:rPr>
        <w:t>means any employee externally hired by any member of the VS Group following the Distribution Date.</w:t>
      </w:r>
    </w:p>
    <w:p w14:paraId="14508F48" w14:textId="77777777" w:rsidR="00D1587D" w:rsidRDefault="00D1587D">
      <w:pPr>
        <w:spacing w:line="225" w:lineRule="exact"/>
        <w:rPr>
          <w:sz w:val="20"/>
          <w:szCs w:val="20"/>
        </w:rPr>
      </w:pPr>
    </w:p>
    <w:p w14:paraId="719587B5" w14:textId="77777777" w:rsidR="00D1587D" w:rsidRDefault="00410D07">
      <w:pPr>
        <w:spacing w:line="289" w:lineRule="auto"/>
        <w:ind w:firstLine="648"/>
        <w:jc w:val="both"/>
        <w:rPr>
          <w:sz w:val="20"/>
          <w:szCs w:val="20"/>
        </w:rPr>
      </w:pPr>
      <w:r>
        <w:rPr>
          <w:rFonts w:ascii="Arial" w:eastAsia="Arial" w:hAnsi="Arial" w:cs="Arial"/>
          <w:sz w:val="17"/>
          <w:szCs w:val="17"/>
        </w:rPr>
        <w:t>“</w:t>
      </w:r>
      <w:r>
        <w:rPr>
          <w:rFonts w:ascii="Arial" w:eastAsia="Arial" w:hAnsi="Arial" w:cs="Arial"/>
          <w:b/>
          <w:bCs/>
          <w:sz w:val="17"/>
          <w:szCs w:val="17"/>
        </w:rPr>
        <w:t>Non-U.S. LB Defined Contribution Plan</w:t>
      </w:r>
      <w:r>
        <w:rPr>
          <w:rFonts w:ascii="Arial" w:eastAsia="Arial" w:hAnsi="Arial" w:cs="Arial"/>
          <w:sz w:val="17"/>
          <w:szCs w:val="17"/>
        </w:rPr>
        <w:t>” means any Employee Plan that is a defined contribution plan that provides benefits on retirement, and such other ben</w:t>
      </w:r>
      <w:r>
        <w:rPr>
          <w:rFonts w:ascii="Arial" w:eastAsia="Arial" w:hAnsi="Arial" w:cs="Arial"/>
          <w:sz w:val="17"/>
          <w:szCs w:val="17"/>
        </w:rPr>
        <w:t>efits as are provided for under the plan, to Non-U.S. LB Participants whether (i) exclusively or together with other participants and (ii) such plan is sponsored or maintained by a member of the L Brands Group, by a member of the VS Group or by any other P</w:t>
      </w:r>
      <w:r>
        <w:rPr>
          <w:rFonts w:ascii="Arial" w:eastAsia="Arial" w:hAnsi="Arial" w:cs="Arial"/>
          <w:sz w:val="17"/>
          <w:szCs w:val="17"/>
        </w:rPr>
        <w:t>erson.</w:t>
      </w:r>
    </w:p>
    <w:p w14:paraId="108420B2" w14:textId="77777777" w:rsidR="00D1587D" w:rsidRDefault="00D1587D">
      <w:pPr>
        <w:spacing w:line="158" w:lineRule="exact"/>
        <w:rPr>
          <w:sz w:val="20"/>
          <w:szCs w:val="20"/>
        </w:rPr>
      </w:pPr>
    </w:p>
    <w:p w14:paraId="37E6FC8B"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Non-U.S. LB Participant</w:t>
      </w:r>
      <w:r>
        <w:rPr>
          <w:rFonts w:ascii="Arial" w:eastAsia="Arial" w:hAnsi="Arial" w:cs="Arial"/>
          <w:sz w:val="18"/>
          <w:szCs w:val="18"/>
        </w:rPr>
        <w:t>” means any L Brands Participant who is not a U.S. LB Participant.</w:t>
      </w:r>
    </w:p>
    <w:p w14:paraId="33733CF5" w14:textId="77777777" w:rsidR="00D1587D" w:rsidRDefault="00D1587D">
      <w:pPr>
        <w:spacing w:line="225" w:lineRule="exact"/>
        <w:rPr>
          <w:sz w:val="20"/>
          <w:szCs w:val="20"/>
        </w:rPr>
      </w:pPr>
    </w:p>
    <w:p w14:paraId="66F66263" w14:textId="77777777" w:rsidR="00D1587D" w:rsidRDefault="00410D07">
      <w:pPr>
        <w:spacing w:line="289" w:lineRule="auto"/>
        <w:ind w:firstLine="648"/>
        <w:jc w:val="both"/>
        <w:rPr>
          <w:sz w:val="20"/>
          <w:szCs w:val="20"/>
        </w:rPr>
      </w:pPr>
      <w:r>
        <w:rPr>
          <w:rFonts w:ascii="Arial" w:eastAsia="Arial" w:hAnsi="Arial" w:cs="Arial"/>
          <w:sz w:val="17"/>
          <w:szCs w:val="17"/>
        </w:rPr>
        <w:t>“</w:t>
      </w:r>
      <w:r>
        <w:rPr>
          <w:rFonts w:ascii="Arial" w:eastAsia="Arial" w:hAnsi="Arial" w:cs="Arial"/>
          <w:b/>
          <w:bCs/>
          <w:sz w:val="17"/>
          <w:szCs w:val="17"/>
        </w:rPr>
        <w:t>Non-U.S. VS Defined Contribution Plan</w:t>
      </w:r>
      <w:r>
        <w:rPr>
          <w:rFonts w:ascii="Arial" w:eastAsia="Arial" w:hAnsi="Arial" w:cs="Arial"/>
          <w:sz w:val="17"/>
          <w:szCs w:val="17"/>
        </w:rPr>
        <w:t xml:space="preserve">” means any Employee Plan that is a defined contribution plan that provides benefits on retirement, and such </w:t>
      </w:r>
      <w:r>
        <w:rPr>
          <w:rFonts w:ascii="Arial" w:eastAsia="Arial" w:hAnsi="Arial" w:cs="Arial"/>
          <w:sz w:val="17"/>
          <w:szCs w:val="17"/>
        </w:rPr>
        <w:t>other benefits as are provided for under the plan, to Non-U.S. VS Participants whether (i) exclusively or together with other participants and (ii) such plan is sponsored or maintained by a member of the VS Group, by a member of the L Brands Group or by an</w:t>
      </w:r>
      <w:r>
        <w:rPr>
          <w:rFonts w:ascii="Arial" w:eastAsia="Arial" w:hAnsi="Arial" w:cs="Arial"/>
          <w:sz w:val="17"/>
          <w:szCs w:val="17"/>
        </w:rPr>
        <w:t>y other Person.</w:t>
      </w:r>
    </w:p>
    <w:p w14:paraId="15295293" w14:textId="77777777" w:rsidR="00D1587D" w:rsidRDefault="00D1587D">
      <w:pPr>
        <w:spacing w:line="158" w:lineRule="exact"/>
        <w:rPr>
          <w:sz w:val="20"/>
          <w:szCs w:val="20"/>
        </w:rPr>
      </w:pPr>
    </w:p>
    <w:p w14:paraId="6D518660"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Non-U.S. VS Participant</w:t>
      </w:r>
      <w:r>
        <w:rPr>
          <w:rFonts w:ascii="Arial" w:eastAsia="Arial" w:hAnsi="Arial" w:cs="Arial"/>
          <w:sz w:val="18"/>
          <w:szCs w:val="18"/>
        </w:rPr>
        <w:t>” means any VS Participant who is not a U.S. VS Participant.</w:t>
      </w:r>
    </w:p>
    <w:p w14:paraId="6B9CFAD2" w14:textId="77777777" w:rsidR="00D1587D" w:rsidRDefault="00D1587D">
      <w:pPr>
        <w:spacing w:line="225" w:lineRule="exact"/>
        <w:rPr>
          <w:sz w:val="20"/>
          <w:szCs w:val="20"/>
        </w:rPr>
      </w:pPr>
    </w:p>
    <w:p w14:paraId="004F4480" w14:textId="77777777" w:rsidR="00D1587D" w:rsidRDefault="00410D07">
      <w:pPr>
        <w:spacing w:line="281" w:lineRule="auto"/>
        <w:ind w:firstLine="648"/>
        <w:jc w:val="both"/>
        <w:rPr>
          <w:sz w:val="20"/>
          <w:szCs w:val="20"/>
        </w:rPr>
      </w:pPr>
      <w:r>
        <w:rPr>
          <w:rFonts w:ascii="Arial" w:eastAsia="Arial" w:hAnsi="Arial" w:cs="Arial"/>
          <w:sz w:val="17"/>
          <w:szCs w:val="17"/>
        </w:rPr>
        <w:t>“</w:t>
      </w:r>
      <w:r>
        <w:rPr>
          <w:rFonts w:ascii="Arial" w:eastAsia="Arial" w:hAnsi="Arial" w:cs="Arial"/>
          <w:b/>
          <w:bCs/>
          <w:sz w:val="17"/>
          <w:szCs w:val="17"/>
        </w:rPr>
        <w:t>Restricted Period</w:t>
      </w:r>
      <w:r>
        <w:rPr>
          <w:rFonts w:ascii="Arial" w:eastAsia="Arial" w:hAnsi="Arial" w:cs="Arial"/>
          <w:sz w:val="17"/>
          <w:szCs w:val="17"/>
        </w:rPr>
        <w:t>” means the period beginning on the Distribution Date and ending on the 24-month anniversary of the Distribution Date (or, with respect</w:t>
      </w:r>
      <w:r>
        <w:rPr>
          <w:rFonts w:ascii="Arial" w:eastAsia="Arial" w:hAnsi="Arial" w:cs="Arial"/>
          <w:sz w:val="17"/>
          <w:szCs w:val="17"/>
        </w:rPr>
        <w:t xml:space="preserve"> to any applicable LB to VS TSA Service Employee or VS to LB TSA Service Employee, if later, the date of the expiration or termination of the applicable Service (as defined in the L Brands to VS Transition Services Agreement or the VS to L Brands Transitio</w:t>
      </w:r>
      <w:r>
        <w:rPr>
          <w:rFonts w:ascii="Arial" w:eastAsia="Arial" w:hAnsi="Arial" w:cs="Arial"/>
          <w:sz w:val="17"/>
          <w:szCs w:val="17"/>
        </w:rPr>
        <w:t>n Services Agreement, respectively) in which such LB to VS TSA Service Employee or VS to LB TSA Service Employee, as applicable, is engaged).</w:t>
      </w:r>
    </w:p>
    <w:p w14:paraId="7C039FDD" w14:textId="77777777" w:rsidR="00D1587D" w:rsidRDefault="00D1587D">
      <w:pPr>
        <w:spacing w:line="165" w:lineRule="exact"/>
        <w:rPr>
          <w:sz w:val="20"/>
          <w:szCs w:val="20"/>
        </w:rPr>
      </w:pPr>
    </w:p>
    <w:p w14:paraId="3218D86C" w14:textId="77777777" w:rsidR="00D1587D" w:rsidRDefault="00410D07">
      <w:pPr>
        <w:spacing w:line="347" w:lineRule="auto"/>
        <w:ind w:firstLine="648"/>
        <w:jc w:val="both"/>
        <w:rPr>
          <w:sz w:val="20"/>
          <w:szCs w:val="20"/>
        </w:rPr>
      </w:pPr>
      <w:r>
        <w:rPr>
          <w:rFonts w:ascii="Arial" w:eastAsia="Arial" w:hAnsi="Arial" w:cs="Arial"/>
          <w:sz w:val="16"/>
          <w:szCs w:val="16"/>
        </w:rPr>
        <w:t>“</w:t>
      </w:r>
      <w:r>
        <w:rPr>
          <w:rFonts w:ascii="Arial" w:eastAsia="Arial" w:hAnsi="Arial" w:cs="Arial"/>
          <w:b/>
          <w:bCs/>
          <w:sz w:val="16"/>
          <w:szCs w:val="16"/>
        </w:rPr>
        <w:t>Separation Agreement</w:t>
      </w:r>
      <w:r>
        <w:rPr>
          <w:rFonts w:ascii="Arial" w:eastAsia="Arial" w:hAnsi="Arial" w:cs="Arial"/>
          <w:sz w:val="16"/>
          <w:szCs w:val="16"/>
        </w:rPr>
        <w:t>” means the Separation and Distribution Agreement dated as of [__], 2021, by and between L B</w:t>
      </w:r>
      <w:r>
        <w:rPr>
          <w:rFonts w:ascii="Arial" w:eastAsia="Arial" w:hAnsi="Arial" w:cs="Arial"/>
          <w:sz w:val="16"/>
          <w:szCs w:val="16"/>
        </w:rPr>
        <w:t>rands and VS, to which this Agreement is Exhibit E, as may be amended from time to time in accordance with its terms, together with all schedules and exhibits thereto.</w:t>
      </w:r>
    </w:p>
    <w:p w14:paraId="7E33881D" w14:textId="77777777" w:rsidR="00D1587D" w:rsidRDefault="00D1587D">
      <w:pPr>
        <w:spacing w:line="291" w:lineRule="exact"/>
        <w:rPr>
          <w:sz w:val="20"/>
          <w:szCs w:val="20"/>
        </w:rPr>
      </w:pPr>
    </w:p>
    <w:p w14:paraId="19F9BB6C" w14:textId="77777777" w:rsidR="00D1587D" w:rsidRDefault="00410D07">
      <w:pPr>
        <w:jc w:val="center"/>
        <w:rPr>
          <w:sz w:val="20"/>
          <w:szCs w:val="20"/>
        </w:rPr>
      </w:pPr>
      <w:r>
        <w:rPr>
          <w:rFonts w:ascii="Arial" w:eastAsia="Arial" w:hAnsi="Arial" w:cs="Arial"/>
          <w:sz w:val="14"/>
          <w:szCs w:val="14"/>
        </w:rPr>
        <w:t>6</w:t>
      </w:r>
    </w:p>
    <w:p w14:paraId="1C97CD84" w14:textId="77777777" w:rsidR="00D1587D" w:rsidRDefault="00410D07">
      <w:pPr>
        <w:spacing w:line="20" w:lineRule="exact"/>
        <w:rPr>
          <w:sz w:val="20"/>
          <w:szCs w:val="20"/>
        </w:rPr>
      </w:pPr>
      <w:r>
        <w:rPr>
          <w:noProof/>
          <w:sz w:val="20"/>
          <w:szCs w:val="20"/>
        </w:rPr>
        <w:drawing>
          <wp:anchor distT="0" distB="0" distL="114300" distR="114300" simplePos="0" relativeHeight="251335680" behindDoc="1" locked="0" layoutInCell="0" allowOverlap="1" wp14:anchorId="5947F372" wp14:editId="3853537A">
            <wp:simplePos x="0" y="0"/>
            <wp:positionH relativeFrom="column">
              <wp:posOffset>5080</wp:posOffset>
            </wp:positionH>
            <wp:positionV relativeFrom="paragraph">
              <wp:posOffset>38100</wp:posOffset>
            </wp:positionV>
            <wp:extent cx="7132320" cy="1714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6B40C09" w14:textId="77777777" w:rsidR="00D1587D" w:rsidRDefault="00D1587D">
      <w:pPr>
        <w:sectPr w:rsidR="00D1587D">
          <w:pgSz w:w="11900" w:h="16838"/>
          <w:pgMar w:top="121" w:right="339" w:bottom="1440" w:left="320" w:header="0" w:footer="0" w:gutter="0"/>
          <w:cols w:space="720" w:equalWidth="0">
            <w:col w:w="11240"/>
          </w:cols>
        </w:sectPr>
      </w:pPr>
    </w:p>
    <w:p w14:paraId="443E68E5" w14:textId="77777777" w:rsidR="00D1587D" w:rsidRDefault="00410D07">
      <w:pPr>
        <w:spacing w:line="282" w:lineRule="auto"/>
        <w:ind w:right="20" w:firstLine="648"/>
        <w:jc w:val="both"/>
        <w:rPr>
          <w:sz w:val="20"/>
          <w:szCs w:val="20"/>
        </w:rPr>
      </w:pPr>
      <w:bookmarkStart w:id="177" w:name="page178"/>
      <w:bookmarkEnd w:id="177"/>
      <w:r>
        <w:rPr>
          <w:rFonts w:ascii="Arial" w:eastAsia="Arial" w:hAnsi="Arial" w:cs="Arial"/>
          <w:sz w:val="18"/>
          <w:szCs w:val="18"/>
        </w:rPr>
        <w:t>“</w:t>
      </w:r>
      <w:r>
        <w:rPr>
          <w:rFonts w:ascii="Arial" w:eastAsia="Arial" w:hAnsi="Arial" w:cs="Arial"/>
          <w:b/>
          <w:bCs/>
          <w:sz w:val="18"/>
          <w:szCs w:val="18"/>
        </w:rPr>
        <w:t>Sponsored VS Employee</w:t>
      </w:r>
      <w:r>
        <w:rPr>
          <w:rFonts w:ascii="Arial" w:eastAsia="Arial" w:hAnsi="Arial" w:cs="Arial"/>
          <w:sz w:val="18"/>
          <w:szCs w:val="18"/>
        </w:rPr>
        <w:t xml:space="preserve">” means any VS Employee working on a </w:t>
      </w:r>
      <w:r>
        <w:rPr>
          <w:rFonts w:ascii="Arial" w:eastAsia="Arial" w:hAnsi="Arial" w:cs="Arial"/>
          <w:sz w:val="18"/>
          <w:szCs w:val="18"/>
        </w:rPr>
        <w:t>visa or work permit sponsored by a member of the L Brands Group as of immediately prior to the Distribution Date.</w:t>
      </w:r>
    </w:p>
    <w:p w14:paraId="294AF8CD" w14:textId="77777777" w:rsidR="00D1587D" w:rsidRDefault="00D1587D">
      <w:pPr>
        <w:spacing w:line="162" w:lineRule="exact"/>
        <w:rPr>
          <w:sz w:val="20"/>
          <w:szCs w:val="20"/>
        </w:rPr>
      </w:pPr>
    </w:p>
    <w:p w14:paraId="3C37A19F" w14:textId="77777777" w:rsidR="00D1587D" w:rsidRDefault="00410D07">
      <w:pPr>
        <w:spacing w:line="26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U.S. LB Participant</w:t>
      </w:r>
      <w:r>
        <w:rPr>
          <w:rFonts w:ascii="Arial" w:eastAsia="Arial" w:hAnsi="Arial" w:cs="Arial"/>
          <w:sz w:val="18"/>
          <w:szCs w:val="18"/>
        </w:rPr>
        <w:t xml:space="preserve">” means any L Brands Participant who is employed or engaged (or, in the case of former employees, individual independent </w:t>
      </w:r>
      <w:r>
        <w:rPr>
          <w:rFonts w:ascii="Arial" w:eastAsia="Arial" w:hAnsi="Arial" w:cs="Arial"/>
          <w:sz w:val="18"/>
          <w:szCs w:val="18"/>
        </w:rPr>
        <w:t>contractors or consultants, was last actively employed or engaged, as applicable) in the United States (which, for the avoidance of doubt, shall not include Puerto Rico for these purposes).</w:t>
      </w:r>
    </w:p>
    <w:p w14:paraId="3D401FBD" w14:textId="77777777" w:rsidR="00D1587D" w:rsidRDefault="00D1587D">
      <w:pPr>
        <w:spacing w:line="176" w:lineRule="exact"/>
        <w:rPr>
          <w:sz w:val="20"/>
          <w:szCs w:val="20"/>
        </w:rPr>
      </w:pPr>
    </w:p>
    <w:p w14:paraId="600E5A5E"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U.S. LB Plan</w:t>
      </w:r>
      <w:r>
        <w:rPr>
          <w:rFonts w:ascii="Arial" w:eastAsia="Arial" w:hAnsi="Arial" w:cs="Arial"/>
          <w:sz w:val="18"/>
          <w:szCs w:val="18"/>
        </w:rPr>
        <w:t>” means any L Brands Plan that primarily covers U.S.</w:t>
      </w:r>
      <w:r>
        <w:rPr>
          <w:rFonts w:ascii="Arial" w:eastAsia="Arial" w:hAnsi="Arial" w:cs="Arial"/>
          <w:sz w:val="18"/>
          <w:szCs w:val="18"/>
        </w:rPr>
        <w:t xml:space="preserve"> LB Participants.</w:t>
      </w:r>
    </w:p>
    <w:p w14:paraId="21ADB7A5" w14:textId="77777777" w:rsidR="00D1587D" w:rsidRDefault="00D1587D">
      <w:pPr>
        <w:spacing w:line="225" w:lineRule="exact"/>
        <w:rPr>
          <w:sz w:val="20"/>
          <w:szCs w:val="20"/>
        </w:rPr>
      </w:pPr>
    </w:p>
    <w:p w14:paraId="206AF336" w14:textId="77777777" w:rsidR="00D1587D" w:rsidRDefault="00410D07">
      <w:pPr>
        <w:spacing w:line="26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U.S. VS Participant</w:t>
      </w:r>
      <w:r>
        <w:rPr>
          <w:rFonts w:ascii="Arial" w:eastAsia="Arial" w:hAnsi="Arial" w:cs="Arial"/>
          <w:sz w:val="18"/>
          <w:szCs w:val="18"/>
        </w:rPr>
        <w:t xml:space="preserve">” means any VS Participant who is employed or engaged (or, in the case of former employees, individual independent contractors or consultants, was last actively employed or engaged, as applicable) in the United </w:t>
      </w:r>
      <w:r>
        <w:rPr>
          <w:rFonts w:ascii="Arial" w:eastAsia="Arial" w:hAnsi="Arial" w:cs="Arial"/>
          <w:sz w:val="18"/>
          <w:szCs w:val="18"/>
        </w:rPr>
        <w:t>States (which, for the avoidance of doubt, shall not include Puerto Rico for these purposes).</w:t>
      </w:r>
    </w:p>
    <w:p w14:paraId="42010FEC" w14:textId="77777777" w:rsidR="00D1587D" w:rsidRDefault="00D1587D">
      <w:pPr>
        <w:spacing w:line="176" w:lineRule="exact"/>
        <w:rPr>
          <w:sz w:val="20"/>
          <w:szCs w:val="20"/>
        </w:rPr>
      </w:pPr>
    </w:p>
    <w:p w14:paraId="3DCC9824"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U.S. VS Plan</w:t>
      </w:r>
      <w:r>
        <w:rPr>
          <w:rFonts w:ascii="Arial" w:eastAsia="Arial" w:hAnsi="Arial" w:cs="Arial"/>
          <w:sz w:val="18"/>
          <w:szCs w:val="18"/>
        </w:rPr>
        <w:t>” means any VS Plan that primarily covers U.S. VS Participants.</w:t>
      </w:r>
    </w:p>
    <w:p w14:paraId="6CF57AE3" w14:textId="77777777" w:rsidR="00D1587D" w:rsidRDefault="00D1587D">
      <w:pPr>
        <w:spacing w:line="225" w:lineRule="exact"/>
        <w:rPr>
          <w:sz w:val="20"/>
          <w:szCs w:val="20"/>
        </w:rPr>
      </w:pPr>
    </w:p>
    <w:p w14:paraId="20784031"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2021 Bonus Plan</w:t>
      </w:r>
      <w:r>
        <w:rPr>
          <w:rFonts w:ascii="Arial" w:eastAsia="Arial" w:hAnsi="Arial" w:cs="Arial"/>
          <w:sz w:val="18"/>
          <w:szCs w:val="18"/>
        </w:rPr>
        <w:t>” means the Victoria’s Secret &amp; Co. 2021 Cash Incentive Compensa</w:t>
      </w:r>
      <w:r>
        <w:rPr>
          <w:rFonts w:ascii="Arial" w:eastAsia="Arial" w:hAnsi="Arial" w:cs="Arial"/>
          <w:sz w:val="18"/>
          <w:szCs w:val="18"/>
        </w:rPr>
        <w:t>tion Performance Plan.</w:t>
      </w:r>
    </w:p>
    <w:p w14:paraId="404356AA" w14:textId="77777777" w:rsidR="00D1587D" w:rsidRDefault="00D1587D">
      <w:pPr>
        <w:spacing w:line="225" w:lineRule="exact"/>
        <w:rPr>
          <w:sz w:val="20"/>
          <w:szCs w:val="20"/>
        </w:rPr>
      </w:pPr>
    </w:p>
    <w:p w14:paraId="7260A0CE"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401(k) Plan</w:t>
      </w:r>
      <w:r>
        <w:rPr>
          <w:rFonts w:ascii="Arial" w:eastAsia="Arial" w:hAnsi="Arial" w:cs="Arial"/>
          <w:sz w:val="18"/>
          <w:szCs w:val="18"/>
        </w:rPr>
        <w:t>” means any VS Plan that is a defined contribution plan intended to qualify under Section 401(a) of the Code and related trust intended to be exempt under Section 501(a) of the Code.</w:t>
      </w:r>
    </w:p>
    <w:p w14:paraId="0005F201" w14:textId="77777777" w:rsidR="00D1587D" w:rsidRDefault="00D1587D">
      <w:pPr>
        <w:spacing w:line="162" w:lineRule="exact"/>
        <w:rPr>
          <w:sz w:val="20"/>
          <w:szCs w:val="20"/>
        </w:rPr>
      </w:pPr>
    </w:p>
    <w:p w14:paraId="7F21CAE1"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Active Employee</w:t>
      </w:r>
      <w:r>
        <w:rPr>
          <w:rFonts w:ascii="Arial" w:eastAsia="Arial" w:hAnsi="Arial" w:cs="Arial"/>
          <w:sz w:val="18"/>
          <w:szCs w:val="18"/>
        </w:rPr>
        <w:t>” means any in</w:t>
      </w:r>
      <w:r>
        <w:rPr>
          <w:rFonts w:ascii="Arial" w:eastAsia="Arial" w:hAnsi="Arial" w:cs="Arial"/>
          <w:sz w:val="18"/>
          <w:szCs w:val="18"/>
        </w:rPr>
        <w:t>dividual actively employed primarily with respect to the VS Business by any member of the L Brands Group or the VS Group.</w:t>
      </w:r>
    </w:p>
    <w:p w14:paraId="4E71149F" w14:textId="77777777" w:rsidR="00D1587D" w:rsidRDefault="00D1587D">
      <w:pPr>
        <w:spacing w:line="162" w:lineRule="exact"/>
        <w:rPr>
          <w:sz w:val="20"/>
          <w:szCs w:val="20"/>
        </w:rPr>
      </w:pPr>
    </w:p>
    <w:p w14:paraId="6330FB57"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Awards</w:t>
      </w:r>
      <w:r>
        <w:rPr>
          <w:rFonts w:ascii="Arial" w:eastAsia="Arial" w:hAnsi="Arial" w:cs="Arial"/>
          <w:sz w:val="18"/>
          <w:szCs w:val="18"/>
        </w:rPr>
        <w:t>” means, collectively, the VS Options, the VS PSUs and the VS RSUs.</w:t>
      </w:r>
    </w:p>
    <w:p w14:paraId="692721CD" w14:textId="77777777" w:rsidR="00D1587D" w:rsidRDefault="00D1587D">
      <w:pPr>
        <w:spacing w:line="225" w:lineRule="exact"/>
        <w:rPr>
          <w:sz w:val="20"/>
          <w:szCs w:val="20"/>
        </w:rPr>
      </w:pPr>
    </w:p>
    <w:p w14:paraId="1D48B694"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Board</w:t>
      </w:r>
      <w:r>
        <w:rPr>
          <w:rFonts w:ascii="Arial" w:eastAsia="Arial" w:hAnsi="Arial" w:cs="Arial"/>
          <w:sz w:val="18"/>
          <w:szCs w:val="18"/>
        </w:rPr>
        <w:t>” means the Board of Directors for VS.</w:t>
      </w:r>
    </w:p>
    <w:p w14:paraId="0990FDF9" w14:textId="77777777" w:rsidR="00D1587D" w:rsidRDefault="00D1587D">
      <w:pPr>
        <w:spacing w:line="225" w:lineRule="exact"/>
        <w:rPr>
          <w:sz w:val="20"/>
          <w:szCs w:val="20"/>
        </w:rPr>
      </w:pPr>
    </w:p>
    <w:p w14:paraId="1A6BE165" w14:textId="77777777" w:rsidR="00D1587D" w:rsidRDefault="00410D07">
      <w:pPr>
        <w:spacing w:line="26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C</w:t>
      </w:r>
      <w:r>
        <w:rPr>
          <w:rFonts w:ascii="Arial" w:eastAsia="Arial" w:hAnsi="Arial" w:cs="Arial"/>
          <w:b/>
          <w:bCs/>
          <w:sz w:val="18"/>
          <w:szCs w:val="18"/>
        </w:rPr>
        <w:t>ontractor</w:t>
      </w:r>
      <w:r>
        <w:rPr>
          <w:rFonts w:ascii="Arial" w:eastAsia="Arial" w:hAnsi="Arial" w:cs="Arial"/>
          <w:sz w:val="18"/>
          <w:szCs w:val="18"/>
        </w:rPr>
        <w:t>” means each individual independent contractor or consultant who, as of the Distribution Date, (a) is actively and primarily providing services with respect to the VS Business by any member of the L Brands Group or the VS Group or (b) who was last</w:t>
      </w:r>
      <w:r>
        <w:rPr>
          <w:rFonts w:ascii="Arial" w:eastAsia="Arial" w:hAnsi="Arial" w:cs="Arial"/>
          <w:sz w:val="18"/>
          <w:szCs w:val="18"/>
        </w:rPr>
        <w:t xml:space="preserve"> actively and primarily providing services with respect to the VS Business by any member of the L Brands Group or the VS Group.</w:t>
      </w:r>
    </w:p>
    <w:p w14:paraId="37B2B26A" w14:textId="77777777" w:rsidR="00D1587D" w:rsidRDefault="00D1587D">
      <w:pPr>
        <w:spacing w:line="176" w:lineRule="exact"/>
        <w:rPr>
          <w:sz w:val="20"/>
          <w:szCs w:val="20"/>
        </w:rPr>
      </w:pPr>
    </w:p>
    <w:p w14:paraId="5D73545D" w14:textId="77777777" w:rsidR="00D1587D" w:rsidRDefault="00410D07">
      <w:pPr>
        <w:ind w:left="660"/>
        <w:rPr>
          <w:sz w:val="20"/>
          <w:szCs w:val="20"/>
        </w:rPr>
      </w:pPr>
      <w:r>
        <w:rPr>
          <w:rFonts w:ascii="Arial" w:eastAsia="Arial" w:hAnsi="Arial" w:cs="Arial"/>
          <w:sz w:val="18"/>
          <w:szCs w:val="18"/>
        </w:rPr>
        <w:t>“</w:t>
      </w:r>
      <w:r>
        <w:rPr>
          <w:rFonts w:ascii="Arial" w:eastAsia="Arial" w:hAnsi="Arial" w:cs="Arial"/>
          <w:b/>
          <w:bCs/>
          <w:sz w:val="18"/>
          <w:szCs w:val="18"/>
        </w:rPr>
        <w:t>VS Director</w:t>
      </w:r>
      <w:r>
        <w:rPr>
          <w:rFonts w:ascii="Arial" w:eastAsia="Arial" w:hAnsi="Arial" w:cs="Arial"/>
          <w:sz w:val="18"/>
          <w:szCs w:val="18"/>
        </w:rPr>
        <w:t>” means a member of the VS Board.</w:t>
      </w:r>
    </w:p>
    <w:p w14:paraId="2C78550B" w14:textId="77777777" w:rsidR="00D1587D" w:rsidRDefault="00D1587D">
      <w:pPr>
        <w:spacing w:line="400" w:lineRule="exact"/>
        <w:rPr>
          <w:sz w:val="20"/>
          <w:szCs w:val="20"/>
        </w:rPr>
      </w:pPr>
    </w:p>
    <w:p w14:paraId="1F6357FF" w14:textId="77777777" w:rsidR="00D1587D" w:rsidRDefault="00410D07">
      <w:pPr>
        <w:ind w:right="-19"/>
        <w:jc w:val="center"/>
        <w:rPr>
          <w:sz w:val="20"/>
          <w:szCs w:val="20"/>
        </w:rPr>
      </w:pPr>
      <w:r>
        <w:rPr>
          <w:rFonts w:ascii="Arial" w:eastAsia="Arial" w:hAnsi="Arial" w:cs="Arial"/>
          <w:sz w:val="14"/>
          <w:szCs w:val="14"/>
        </w:rPr>
        <w:t>7</w:t>
      </w:r>
    </w:p>
    <w:p w14:paraId="413392AD" w14:textId="77777777" w:rsidR="00D1587D" w:rsidRDefault="00410D07">
      <w:pPr>
        <w:spacing w:line="20" w:lineRule="exact"/>
        <w:rPr>
          <w:sz w:val="20"/>
          <w:szCs w:val="20"/>
        </w:rPr>
      </w:pPr>
      <w:r>
        <w:rPr>
          <w:noProof/>
          <w:sz w:val="20"/>
          <w:szCs w:val="20"/>
        </w:rPr>
        <w:drawing>
          <wp:anchor distT="0" distB="0" distL="114300" distR="114300" simplePos="0" relativeHeight="251336704" behindDoc="1" locked="0" layoutInCell="0" allowOverlap="1" wp14:anchorId="6FB63AD8" wp14:editId="3CFC7445">
            <wp:simplePos x="0" y="0"/>
            <wp:positionH relativeFrom="column">
              <wp:posOffset>5080</wp:posOffset>
            </wp:positionH>
            <wp:positionV relativeFrom="paragraph">
              <wp:posOffset>38100</wp:posOffset>
            </wp:positionV>
            <wp:extent cx="7132320" cy="1714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28EC3CC" w14:textId="77777777" w:rsidR="00D1587D" w:rsidRDefault="00D1587D">
      <w:pPr>
        <w:sectPr w:rsidR="00D1587D">
          <w:pgSz w:w="11900" w:h="16838"/>
          <w:pgMar w:top="121" w:right="339" w:bottom="1440" w:left="320" w:header="0" w:footer="0" w:gutter="0"/>
          <w:cols w:space="720" w:equalWidth="0">
            <w:col w:w="11240"/>
          </w:cols>
        </w:sectPr>
      </w:pPr>
    </w:p>
    <w:p w14:paraId="69FA57DA" w14:textId="77777777" w:rsidR="00D1587D" w:rsidRDefault="00410D07">
      <w:pPr>
        <w:spacing w:line="281" w:lineRule="auto"/>
        <w:ind w:firstLine="648"/>
        <w:jc w:val="both"/>
        <w:rPr>
          <w:sz w:val="20"/>
          <w:szCs w:val="20"/>
        </w:rPr>
      </w:pPr>
      <w:bookmarkStart w:id="178" w:name="page179"/>
      <w:bookmarkEnd w:id="178"/>
      <w:r>
        <w:rPr>
          <w:rFonts w:ascii="Arial" w:eastAsia="Arial" w:hAnsi="Arial" w:cs="Arial"/>
          <w:sz w:val="17"/>
          <w:szCs w:val="17"/>
        </w:rPr>
        <w:t>“</w:t>
      </w:r>
      <w:r>
        <w:rPr>
          <w:rFonts w:ascii="Arial" w:eastAsia="Arial" w:hAnsi="Arial" w:cs="Arial"/>
          <w:b/>
          <w:bCs/>
          <w:sz w:val="17"/>
          <w:szCs w:val="17"/>
        </w:rPr>
        <w:t>VS Employee</w:t>
      </w:r>
      <w:r>
        <w:rPr>
          <w:rFonts w:ascii="Arial" w:eastAsia="Arial" w:hAnsi="Arial" w:cs="Arial"/>
          <w:sz w:val="17"/>
          <w:szCs w:val="17"/>
        </w:rPr>
        <w:t xml:space="preserve">” means each individual who, (a) as of </w:t>
      </w:r>
      <w:r>
        <w:rPr>
          <w:rFonts w:ascii="Arial" w:eastAsia="Arial" w:hAnsi="Arial" w:cs="Arial"/>
          <w:sz w:val="17"/>
          <w:szCs w:val="17"/>
        </w:rPr>
        <w:t xml:space="preserve">the Distribution Date, is (i) a VS Active Employee, (ii) subject to Section 3.01(d) with respect to VS Inactive Employees, an inactive employee (including any employee on short- or long-term disability leave or other authorized leave of absence) primarily </w:t>
      </w:r>
      <w:r>
        <w:rPr>
          <w:rFonts w:ascii="Arial" w:eastAsia="Arial" w:hAnsi="Arial" w:cs="Arial"/>
          <w:sz w:val="17"/>
          <w:szCs w:val="17"/>
        </w:rPr>
        <w:t>employed with respect to the VS Business by any member of the L Brands Group or the VS Group, (iii) VS Furloughed Employee or (iv) a Former VS Employee, or (b) as of the applicable Delayed Transfer Date, is a Delayed VS Transfer Employee.</w:t>
      </w:r>
    </w:p>
    <w:p w14:paraId="44093204" w14:textId="77777777" w:rsidR="00D1587D" w:rsidRDefault="00D1587D">
      <w:pPr>
        <w:spacing w:line="165" w:lineRule="exact"/>
        <w:rPr>
          <w:sz w:val="20"/>
          <w:szCs w:val="20"/>
        </w:rPr>
      </w:pPr>
    </w:p>
    <w:p w14:paraId="2FD0ABE8"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Furloughed E</w:t>
      </w:r>
      <w:r>
        <w:rPr>
          <w:rFonts w:ascii="Arial" w:eastAsia="Arial" w:hAnsi="Arial" w:cs="Arial"/>
          <w:b/>
          <w:bCs/>
          <w:sz w:val="18"/>
          <w:szCs w:val="18"/>
        </w:rPr>
        <w:t>mployee</w:t>
      </w:r>
      <w:r>
        <w:rPr>
          <w:rFonts w:ascii="Arial" w:eastAsia="Arial" w:hAnsi="Arial" w:cs="Arial"/>
          <w:sz w:val="18"/>
          <w:szCs w:val="18"/>
        </w:rPr>
        <w:t>” means each individual who, as of the Distribution Date, (a) is primarily employed with respect to the VS Business by any member of the VS Group and (b) is on a temporary leave of employment due to a furlough.</w:t>
      </w:r>
    </w:p>
    <w:p w14:paraId="735F9EB2" w14:textId="77777777" w:rsidR="00D1587D" w:rsidRDefault="00D1587D">
      <w:pPr>
        <w:spacing w:line="162" w:lineRule="exact"/>
        <w:rPr>
          <w:sz w:val="20"/>
          <w:szCs w:val="20"/>
        </w:rPr>
      </w:pPr>
    </w:p>
    <w:p w14:paraId="36581471" w14:textId="77777777" w:rsidR="00D1587D" w:rsidRDefault="00410D07">
      <w:pPr>
        <w:spacing w:line="26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H&amp;W Plan</w:t>
      </w:r>
      <w:r>
        <w:rPr>
          <w:rFonts w:ascii="Arial" w:eastAsia="Arial" w:hAnsi="Arial" w:cs="Arial"/>
          <w:sz w:val="18"/>
          <w:szCs w:val="18"/>
        </w:rPr>
        <w:t xml:space="preserve">” means any VS Plan that </w:t>
      </w:r>
      <w:r>
        <w:rPr>
          <w:rFonts w:ascii="Arial" w:eastAsia="Arial" w:hAnsi="Arial" w:cs="Arial"/>
          <w:sz w:val="18"/>
          <w:szCs w:val="18"/>
        </w:rPr>
        <w:t>is (a) an “employee welfare benefit plan” or “welfare plan” (as defined under Section 3(1) of ERISA) or (b) a similar plan that is sponsored, maintained, administered, contributed to or entered into outside of the United States. For the avoidance of doubt,</w:t>
      </w:r>
      <w:r>
        <w:rPr>
          <w:rFonts w:ascii="Arial" w:eastAsia="Arial" w:hAnsi="Arial" w:cs="Arial"/>
          <w:sz w:val="18"/>
          <w:szCs w:val="18"/>
        </w:rPr>
        <w:t xml:space="preserve"> VS FSAs are VS H&amp;W Plans.</w:t>
      </w:r>
    </w:p>
    <w:p w14:paraId="6C14FD9A" w14:textId="77777777" w:rsidR="00D1587D" w:rsidRDefault="00D1587D">
      <w:pPr>
        <w:spacing w:line="176" w:lineRule="exact"/>
        <w:rPr>
          <w:sz w:val="20"/>
          <w:szCs w:val="20"/>
        </w:rPr>
      </w:pPr>
    </w:p>
    <w:p w14:paraId="7C51F2E1"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Inactive Employee</w:t>
      </w:r>
      <w:r>
        <w:rPr>
          <w:rFonts w:ascii="Arial" w:eastAsia="Arial" w:hAnsi="Arial" w:cs="Arial"/>
          <w:sz w:val="18"/>
          <w:szCs w:val="18"/>
        </w:rPr>
        <w:t>” means each VS Employee who is on a leave of absence protected under the Family Medical Leave Act and/or receiving long-term or short-term disability benefits under an L Brands H&amp;W Plan as of immediately pr</w:t>
      </w:r>
      <w:r>
        <w:rPr>
          <w:rFonts w:ascii="Arial" w:eastAsia="Arial" w:hAnsi="Arial" w:cs="Arial"/>
          <w:sz w:val="18"/>
          <w:szCs w:val="18"/>
        </w:rPr>
        <w:t>ior to the Distribution Date.</w:t>
      </w:r>
    </w:p>
    <w:p w14:paraId="6EDF9E57" w14:textId="77777777" w:rsidR="00D1587D" w:rsidRDefault="00D1587D">
      <w:pPr>
        <w:spacing w:line="162" w:lineRule="exact"/>
        <w:rPr>
          <w:sz w:val="20"/>
          <w:szCs w:val="20"/>
        </w:rPr>
      </w:pPr>
    </w:p>
    <w:p w14:paraId="13CA7282"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Participant</w:t>
      </w:r>
      <w:r>
        <w:rPr>
          <w:rFonts w:ascii="Arial" w:eastAsia="Arial" w:hAnsi="Arial" w:cs="Arial"/>
          <w:sz w:val="18"/>
          <w:szCs w:val="18"/>
        </w:rPr>
        <w:t>” means any individual who is a VS Employee or VS Contractor, and any beneficiary, dependent, or alternate payee of such individual, as the context requires.</w:t>
      </w:r>
    </w:p>
    <w:p w14:paraId="5897A54A" w14:textId="77777777" w:rsidR="00D1587D" w:rsidRDefault="00D1587D">
      <w:pPr>
        <w:spacing w:line="162" w:lineRule="exact"/>
        <w:rPr>
          <w:sz w:val="20"/>
          <w:szCs w:val="20"/>
        </w:rPr>
      </w:pPr>
    </w:p>
    <w:p w14:paraId="4CACED56" w14:textId="77777777" w:rsidR="00D1587D" w:rsidRDefault="00410D07">
      <w:pPr>
        <w:spacing w:line="26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Plan</w:t>
      </w:r>
      <w:r>
        <w:rPr>
          <w:rFonts w:ascii="Arial" w:eastAsia="Arial" w:hAnsi="Arial" w:cs="Arial"/>
          <w:sz w:val="18"/>
          <w:szCs w:val="18"/>
        </w:rPr>
        <w:t>” means any Employee Plan (a) that is or wa</w:t>
      </w:r>
      <w:r>
        <w:rPr>
          <w:rFonts w:ascii="Arial" w:eastAsia="Arial" w:hAnsi="Arial" w:cs="Arial"/>
          <w:sz w:val="18"/>
          <w:szCs w:val="18"/>
        </w:rPr>
        <w:t>s sponsored, maintained, administered, contributed to or entered into by any member of the VS Group, whether before, as of or after the Distribution Date or (b) for which Liabilities transfer to any member of the VS Group under this Agreement or pursuant t</w:t>
      </w:r>
      <w:r>
        <w:rPr>
          <w:rFonts w:ascii="Arial" w:eastAsia="Arial" w:hAnsi="Arial" w:cs="Arial"/>
          <w:sz w:val="18"/>
          <w:szCs w:val="18"/>
        </w:rPr>
        <w:t>o Applicable Law as a result of the Distribution.</w:t>
      </w:r>
    </w:p>
    <w:p w14:paraId="2119D3D6" w14:textId="77777777" w:rsidR="00D1587D" w:rsidRDefault="00D1587D">
      <w:pPr>
        <w:spacing w:line="176" w:lineRule="exact"/>
        <w:rPr>
          <w:sz w:val="20"/>
          <w:szCs w:val="20"/>
        </w:rPr>
      </w:pPr>
    </w:p>
    <w:p w14:paraId="76E0792D" w14:textId="77777777" w:rsidR="00D1587D" w:rsidRDefault="00410D07">
      <w:pPr>
        <w:spacing w:line="256"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Specified Rights</w:t>
      </w:r>
      <w:r>
        <w:rPr>
          <w:rFonts w:ascii="Arial" w:eastAsia="Arial" w:hAnsi="Arial" w:cs="Arial"/>
          <w:sz w:val="18"/>
          <w:szCs w:val="18"/>
        </w:rPr>
        <w:t>” means any and all rights to enjoy, benefit from or enforce any and all restrictive covenants, including covenants relating to non-disclosure, non-solicitation, non-competition, confid</w:t>
      </w:r>
      <w:r>
        <w:rPr>
          <w:rFonts w:ascii="Arial" w:eastAsia="Arial" w:hAnsi="Arial" w:cs="Arial"/>
          <w:sz w:val="18"/>
          <w:szCs w:val="18"/>
        </w:rPr>
        <w:t xml:space="preserve">entiality or Intellectual Property, applicable or related, in whole or in part, to the VS Business pursuant to any Employee Plan covering or with any VS Employee or VS Contractor and to which any member of the VS Group or L Brands Group is a party; </w:t>
      </w:r>
      <w:r>
        <w:rPr>
          <w:rFonts w:ascii="Arial" w:eastAsia="Arial" w:hAnsi="Arial" w:cs="Arial"/>
          <w:i/>
          <w:iCs/>
          <w:sz w:val="18"/>
          <w:szCs w:val="18"/>
        </w:rPr>
        <w:t>provide</w:t>
      </w:r>
      <w:r>
        <w:rPr>
          <w:rFonts w:ascii="Arial" w:eastAsia="Arial" w:hAnsi="Arial" w:cs="Arial"/>
          <w:i/>
          <w:iCs/>
          <w:sz w:val="18"/>
          <w:szCs w:val="18"/>
        </w:rPr>
        <w:t>d</w:t>
      </w:r>
      <w:r>
        <w:rPr>
          <w:rFonts w:ascii="Arial" w:eastAsia="Arial" w:hAnsi="Arial" w:cs="Arial"/>
          <w:sz w:val="18"/>
          <w:szCs w:val="18"/>
        </w:rPr>
        <w:t>, that, with respect to any Intellectual Property existing, conceived, created, developed or reduced to practice prior to the Distribution Date, the foregoing rights to enjoy, benefit from or enforce any restrictive covenants related to Intellectual Prope</w:t>
      </w:r>
      <w:r>
        <w:rPr>
          <w:rFonts w:ascii="Arial" w:eastAsia="Arial" w:hAnsi="Arial" w:cs="Arial"/>
          <w:sz w:val="18"/>
          <w:szCs w:val="18"/>
        </w:rPr>
        <w:t>rty is limited to those restrictive covenants related to Intellectual Property included in the VS Assets.</w:t>
      </w:r>
    </w:p>
    <w:p w14:paraId="1C95BBA5" w14:textId="77777777" w:rsidR="00D1587D" w:rsidRDefault="00D1587D">
      <w:pPr>
        <w:spacing w:line="187" w:lineRule="exact"/>
        <w:rPr>
          <w:sz w:val="20"/>
          <w:szCs w:val="20"/>
        </w:rPr>
      </w:pPr>
    </w:p>
    <w:p w14:paraId="374C6C01" w14:textId="77777777" w:rsidR="00D1587D" w:rsidRDefault="00410D07">
      <w:pPr>
        <w:spacing w:line="282"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Stock Value</w:t>
      </w:r>
      <w:r>
        <w:rPr>
          <w:rFonts w:ascii="Arial" w:eastAsia="Arial" w:hAnsi="Arial" w:cs="Arial"/>
          <w:sz w:val="18"/>
          <w:szCs w:val="18"/>
        </w:rPr>
        <w:t>” means the value of VS Common Stock determined based on the methodology specified by the L Brands Compensation Committee.</w:t>
      </w:r>
    </w:p>
    <w:p w14:paraId="09D82BA6" w14:textId="77777777" w:rsidR="00D1587D" w:rsidRDefault="00D1587D">
      <w:pPr>
        <w:spacing w:line="337" w:lineRule="exact"/>
        <w:rPr>
          <w:sz w:val="20"/>
          <w:szCs w:val="20"/>
        </w:rPr>
      </w:pPr>
    </w:p>
    <w:p w14:paraId="450F2525" w14:textId="77777777" w:rsidR="00D1587D" w:rsidRDefault="00410D07">
      <w:pPr>
        <w:jc w:val="center"/>
        <w:rPr>
          <w:sz w:val="20"/>
          <w:szCs w:val="20"/>
        </w:rPr>
      </w:pPr>
      <w:r>
        <w:rPr>
          <w:rFonts w:ascii="Arial" w:eastAsia="Arial" w:hAnsi="Arial" w:cs="Arial"/>
          <w:sz w:val="14"/>
          <w:szCs w:val="14"/>
        </w:rPr>
        <w:t>8</w:t>
      </w:r>
    </w:p>
    <w:p w14:paraId="7110CBDD" w14:textId="77777777" w:rsidR="00D1587D" w:rsidRDefault="00410D07">
      <w:pPr>
        <w:spacing w:line="20" w:lineRule="exact"/>
        <w:rPr>
          <w:sz w:val="20"/>
          <w:szCs w:val="20"/>
        </w:rPr>
      </w:pPr>
      <w:r>
        <w:rPr>
          <w:noProof/>
          <w:sz w:val="20"/>
          <w:szCs w:val="20"/>
        </w:rPr>
        <w:drawing>
          <wp:anchor distT="0" distB="0" distL="114300" distR="114300" simplePos="0" relativeHeight="251337728" behindDoc="1" locked="0" layoutInCell="0" allowOverlap="1" wp14:anchorId="3C054206" wp14:editId="30C2BA8B">
            <wp:simplePos x="0" y="0"/>
            <wp:positionH relativeFrom="column">
              <wp:posOffset>5080</wp:posOffset>
            </wp:positionH>
            <wp:positionV relativeFrom="paragraph">
              <wp:posOffset>38100</wp:posOffset>
            </wp:positionV>
            <wp:extent cx="7132320" cy="1714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C69CBCE" w14:textId="77777777" w:rsidR="00D1587D" w:rsidRDefault="00D1587D">
      <w:pPr>
        <w:sectPr w:rsidR="00D1587D">
          <w:pgSz w:w="11900" w:h="16838"/>
          <w:pgMar w:top="337" w:right="339" w:bottom="1440" w:left="320" w:header="0" w:footer="0" w:gutter="0"/>
          <w:cols w:space="720" w:equalWidth="0">
            <w:col w:w="11240"/>
          </w:cols>
        </w:sectPr>
      </w:pPr>
    </w:p>
    <w:p w14:paraId="71BC74AD" w14:textId="77777777" w:rsidR="00D1587D" w:rsidRDefault="00410D07">
      <w:pPr>
        <w:ind w:left="660"/>
        <w:rPr>
          <w:sz w:val="20"/>
          <w:szCs w:val="20"/>
        </w:rPr>
      </w:pPr>
      <w:bookmarkStart w:id="179" w:name="page180"/>
      <w:bookmarkEnd w:id="179"/>
      <w:r>
        <w:rPr>
          <w:rFonts w:ascii="Arial" w:eastAsia="Arial" w:hAnsi="Arial" w:cs="Arial"/>
          <w:sz w:val="17"/>
          <w:szCs w:val="17"/>
        </w:rPr>
        <w:t>“</w:t>
      </w:r>
      <w:r>
        <w:rPr>
          <w:rFonts w:ascii="Arial" w:eastAsia="Arial" w:hAnsi="Arial" w:cs="Arial"/>
          <w:b/>
          <w:bCs/>
          <w:sz w:val="17"/>
          <w:szCs w:val="17"/>
        </w:rPr>
        <w:t>VS to LB TSA Service Employee</w:t>
      </w:r>
      <w:r>
        <w:rPr>
          <w:rFonts w:ascii="Arial" w:eastAsia="Arial" w:hAnsi="Arial" w:cs="Arial"/>
          <w:sz w:val="17"/>
          <w:szCs w:val="17"/>
        </w:rPr>
        <w:t>” means each TSA Employee (as defined under the VS to L Brands Transition Services Agreement).</w:t>
      </w:r>
    </w:p>
    <w:p w14:paraId="65D4FEB1" w14:textId="77777777" w:rsidR="00D1587D" w:rsidRDefault="00D1587D">
      <w:pPr>
        <w:spacing w:line="237" w:lineRule="exact"/>
        <w:rPr>
          <w:sz w:val="20"/>
          <w:szCs w:val="20"/>
        </w:rPr>
      </w:pPr>
    </w:p>
    <w:p w14:paraId="373BB13B" w14:textId="77777777" w:rsidR="00D1587D" w:rsidRDefault="00410D07">
      <w:pPr>
        <w:spacing w:line="261" w:lineRule="auto"/>
        <w:ind w:firstLine="648"/>
        <w:jc w:val="both"/>
        <w:rPr>
          <w:sz w:val="20"/>
          <w:szCs w:val="20"/>
        </w:rPr>
      </w:pPr>
      <w:r>
        <w:rPr>
          <w:rFonts w:ascii="Arial" w:eastAsia="Arial" w:hAnsi="Arial" w:cs="Arial"/>
          <w:sz w:val="18"/>
          <w:szCs w:val="18"/>
        </w:rPr>
        <w:t>“</w:t>
      </w:r>
      <w:r>
        <w:rPr>
          <w:rFonts w:ascii="Arial" w:eastAsia="Arial" w:hAnsi="Arial" w:cs="Arial"/>
          <w:b/>
          <w:bCs/>
          <w:sz w:val="18"/>
          <w:szCs w:val="18"/>
        </w:rPr>
        <w:t>VS TSA Employee</w:t>
      </w:r>
      <w:r>
        <w:rPr>
          <w:rFonts w:ascii="Arial" w:eastAsia="Arial" w:hAnsi="Arial" w:cs="Arial"/>
          <w:sz w:val="18"/>
          <w:szCs w:val="18"/>
        </w:rPr>
        <w:t xml:space="preserve">” means each (a) Transition Employee (as defined in the L Brands to VS Transition </w:t>
      </w:r>
      <w:r>
        <w:rPr>
          <w:rFonts w:ascii="Arial" w:eastAsia="Arial" w:hAnsi="Arial" w:cs="Arial"/>
          <w:sz w:val="18"/>
          <w:szCs w:val="18"/>
        </w:rPr>
        <w:t>Services Agreement) and (b) other individual who, on or after the Distribution Date, is employed by a member of the L Brands Group and whose employment is mutually agreed by the Parties to transfer to a member of the VS Group following the Distribution Dat</w:t>
      </w:r>
      <w:r>
        <w:rPr>
          <w:rFonts w:ascii="Arial" w:eastAsia="Arial" w:hAnsi="Arial" w:cs="Arial"/>
          <w:sz w:val="18"/>
          <w:szCs w:val="18"/>
        </w:rPr>
        <w:t>e in connection with the L Brands to VS Transition Services Agreement or any other applicable Ancillary Agreement.</w:t>
      </w:r>
    </w:p>
    <w:p w14:paraId="080AF19D" w14:textId="77777777" w:rsidR="00D1587D" w:rsidRDefault="00D1587D">
      <w:pPr>
        <w:spacing w:line="184" w:lineRule="exact"/>
        <w:rPr>
          <w:sz w:val="20"/>
          <w:szCs w:val="20"/>
        </w:rPr>
      </w:pPr>
    </w:p>
    <w:p w14:paraId="26E3CAF6" w14:textId="77777777" w:rsidR="00D1587D" w:rsidRDefault="00410D07">
      <w:pPr>
        <w:numPr>
          <w:ilvl w:val="0"/>
          <w:numId w:val="143"/>
        </w:numPr>
        <w:tabs>
          <w:tab w:val="left" w:pos="1140"/>
        </w:tabs>
        <w:ind w:left="1140" w:hanging="484"/>
        <w:rPr>
          <w:rFonts w:ascii="Arial" w:eastAsia="Arial" w:hAnsi="Arial" w:cs="Arial"/>
          <w:sz w:val="18"/>
          <w:szCs w:val="18"/>
        </w:rPr>
      </w:pPr>
      <w:r>
        <w:rPr>
          <w:rFonts w:ascii="Arial" w:eastAsia="Arial" w:hAnsi="Arial" w:cs="Arial"/>
          <w:sz w:val="18"/>
          <w:szCs w:val="18"/>
        </w:rPr>
        <w:t>Each of the following terms is defined in the Section set forth opposite such term:</w:t>
      </w:r>
    </w:p>
    <w:p w14:paraId="0BEDF851" w14:textId="77777777" w:rsidR="00D1587D" w:rsidRDefault="00D1587D">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140"/>
        <w:gridCol w:w="400"/>
        <w:gridCol w:w="3280"/>
        <w:gridCol w:w="3040"/>
        <w:gridCol w:w="560"/>
        <w:gridCol w:w="2820"/>
      </w:tblGrid>
      <w:tr w:rsidR="00D1587D" w14:paraId="0529E2FB" w14:textId="77777777">
        <w:trPr>
          <w:trHeight w:val="207"/>
        </w:trPr>
        <w:tc>
          <w:tcPr>
            <w:tcW w:w="1140" w:type="dxa"/>
            <w:vAlign w:val="bottom"/>
          </w:tcPr>
          <w:p w14:paraId="435BF0B3" w14:textId="77777777" w:rsidR="00D1587D" w:rsidRDefault="00D1587D">
            <w:pPr>
              <w:rPr>
                <w:sz w:val="17"/>
                <w:szCs w:val="17"/>
              </w:rPr>
            </w:pPr>
          </w:p>
        </w:tc>
        <w:tc>
          <w:tcPr>
            <w:tcW w:w="3680" w:type="dxa"/>
            <w:gridSpan w:val="2"/>
            <w:vAlign w:val="bottom"/>
          </w:tcPr>
          <w:p w14:paraId="392DE27D" w14:textId="77777777" w:rsidR="00D1587D" w:rsidRDefault="00410D07">
            <w:pPr>
              <w:rPr>
                <w:sz w:val="20"/>
                <w:szCs w:val="20"/>
              </w:rPr>
            </w:pPr>
            <w:r>
              <w:rPr>
                <w:rFonts w:ascii="Arial" w:eastAsia="Arial" w:hAnsi="Arial" w:cs="Arial"/>
                <w:b/>
                <w:bCs/>
                <w:sz w:val="18"/>
                <w:szCs w:val="18"/>
              </w:rPr>
              <w:t>Term</w:t>
            </w:r>
          </w:p>
        </w:tc>
        <w:tc>
          <w:tcPr>
            <w:tcW w:w="6420" w:type="dxa"/>
            <w:gridSpan w:val="3"/>
            <w:vAlign w:val="bottom"/>
          </w:tcPr>
          <w:p w14:paraId="3056989F" w14:textId="77777777" w:rsidR="00D1587D" w:rsidRDefault="00410D07">
            <w:pPr>
              <w:ind w:left="3040"/>
              <w:rPr>
                <w:sz w:val="20"/>
                <w:szCs w:val="20"/>
              </w:rPr>
            </w:pPr>
            <w:r>
              <w:rPr>
                <w:rFonts w:ascii="Arial" w:eastAsia="Arial" w:hAnsi="Arial" w:cs="Arial"/>
                <w:b/>
                <w:bCs/>
                <w:sz w:val="18"/>
                <w:szCs w:val="18"/>
              </w:rPr>
              <w:t>Section</w:t>
            </w:r>
          </w:p>
        </w:tc>
      </w:tr>
      <w:tr w:rsidR="00D1587D" w14:paraId="6815E4BA" w14:textId="77777777">
        <w:trPr>
          <w:trHeight w:val="20"/>
        </w:trPr>
        <w:tc>
          <w:tcPr>
            <w:tcW w:w="1140" w:type="dxa"/>
            <w:vAlign w:val="bottom"/>
          </w:tcPr>
          <w:p w14:paraId="32F57B25" w14:textId="77777777" w:rsidR="00D1587D" w:rsidRDefault="00D1587D">
            <w:pPr>
              <w:spacing w:line="20" w:lineRule="exact"/>
              <w:rPr>
                <w:sz w:val="1"/>
                <w:szCs w:val="1"/>
              </w:rPr>
            </w:pPr>
          </w:p>
        </w:tc>
        <w:tc>
          <w:tcPr>
            <w:tcW w:w="400" w:type="dxa"/>
            <w:shd w:val="clear" w:color="auto" w:fill="000000"/>
            <w:vAlign w:val="bottom"/>
          </w:tcPr>
          <w:p w14:paraId="0E820A9E" w14:textId="77777777" w:rsidR="00D1587D" w:rsidRDefault="00D1587D">
            <w:pPr>
              <w:spacing w:line="20" w:lineRule="exact"/>
              <w:rPr>
                <w:sz w:val="1"/>
                <w:szCs w:val="1"/>
              </w:rPr>
            </w:pPr>
          </w:p>
        </w:tc>
        <w:tc>
          <w:tcPr>
            <w:tcW w:w="3280" w:type="dxa"/>
            <w:vAlign w:val="bottom"/>
          </w:tcPr>
          <w:p w14:paraId="2DDE1083" w14:textId="77777777" w:rsidR="00D1587D" w:rsidRDefault="00D1587D">
            <w:pPr>
              <w:spacing w:line="20" w:lineRule="exact"/>
              <w:rPr>
                <w:sz w:val="1"/>
                <w:szCs w:val="1"/>
              </w:rPr>
            </w:pPr>
          </w:p>
        </w:tc>
        <w:tc>
          <w:tcPr>
            <w:tcW w:w="3040" w:type="dxa"/>
            <w:vAlign w:val="bottom"/>
          </w:tcPr>
          <w:p w14:paraId="3B2C4583" w14:textId="77777777" w:rsidR="00D1587D" w:rsidRDefault="00D1587D">
            <w:pPr>
              <w:spacing w:line="20" w:lineRule="exact"/>
              <w:rPr>
                <w:sz w:val="1"/>
                <w:szCs w:val="1"/>
              </w:rPr>
            </w:pPr>
          </w:p>
        </w:tc>
        <w:tc>
          <w:tcPr>
            <w:tcW w:w="560" w:type="dxa"/>
            <w:shd w:val="clear" w:color="auto" w:fill="000000"/>
            <w:vAlign w:val="bottom"/>
          </w:tcPr>
          <w:p w14:paraId="2C7376DA" w14:textId="77777777" w:rsidR="00D1587D" w:rsidRDefault="00D1587D">
            <w:pPr>
              <w:spacing w:line="20" w:lineRule="exact"/>
              <w:rPr>
                <w:sz w:val="1"/>
                <w:szCs w:val="1"/>
              </w:rPr>
            </w:pPr>
          </w:p>
        </w:tc>
        <w:tc>
          <w:tcPr>
            <w:tcW w:w="2820" w:type="dxa"/>
            <w:vAlign w:val="bottom"/>
          </w:tcPr>
          <w:p w14:paraId="64A34EE0" w14:textId="77777777" w:rsidR="00D1587D" w:rsidRDefault="00D1587D">
            <w:pPr>
              <w:spacing w:line="20" w:lineRule="exact"/>
              <w:rPr>
                <w:sz w:val="1"/>
                <w:szCs w:val="1"/>
              </w:rPr>
            </w:pPr>
          </w:p>
        </w:tc>
      </w:tr>
      <w:tr w:rsidR="00D1587D" w14:paraId="0B02F282" w14:textId="77777777">
        <w:trPr>
          <w:trHeight w:val="222"/>
        </w:trPr>
        <w:tc>
          <w:tcPr>
            <w:tcW w:w="1140" w:type="dxa"/>
            <w:vAlign w:val="bottom"/>
          </w:tcPr>
          <w:p w14:paraId="2AF4AF5A" w14:textId="77777777" w:rsidR="00D1587D" w:rsidRDefault="00D1587D">
            <w:pPr>
              <w:rPr>
                <w:sz w:val="19"/>
                <w:szCs w:val="19"/>
              </w:rPr>
            </w:pPr>
          </w:p>
        </w:tc>
        <w:tc>
          <w:tcPr>
            <w:tcW w:w="3680" w:type="dxa"/>
            <w:gridSpan w:val="2"/>
            <w:vAlign w:val="bottom"/>
          </w:tcPr>
          <w:p w14:paraId="07F7EC3C" w14:textId="77777777" w:rsidR="00D1587D" w:rsidRDefault="00410D07">
            <w:pPr>
              <w:rPr>
                <w:sz w:val="20"/>
                <w:szCs w:val="20"/>
              </w:rPr>
            </w:pPr>
            <w:r>
              <w:rPr>
                <w:rFonts w:ascii="Arial" w:eastAsia="Arial" w:hAnsi="Arial" w:cs="Arial"/>
                <w:sz w:val="18"/>
                <w:szCs w:val="18"/>
              </w:rPr>
              <w:t>Agreement</w:t>
            </w:r>
          </w:p>
        </w:tc>
        <w:tc>
          <w:tcPr>
            <w:tcW w:w="6420" w:type="dxa"/>
            <w:gridSpan w:val="3"/>
            <w:vAlign w:val="bottom"/>
          </w:tcPr>
          <w:p w14:paraId="4D2E79C9" w14:textId="77777777" w:rsidR="00D1587D" w:rsidRDefault="00410D07">
            <w:pPr>
              <w:ind w:left="3040"/>
              <w:rPr>
                <w:sz w:val="20"/>
                <w:szCs w:val="20"/>
              </w:rPr>
            </w:pPr>
            <w:r>
              <w:rPr>
                <w:rFonts w:ascii="Arial" w:eastAsia="Arial" w:hAnsi="Arial" w:cs="Arial"/>
                <w:sz w:val="18"/>
                <w:szCs w:val="18"/>
              </w:rPr>
              <w:t>Preamble</w:t>
            </w:r>
          </w:p>
        </w:tc>
      </w:tr>
      <w:tr w:rsidR="00D1587D" w14:paraId="2FE02C30" w14:textId="77777777">
        <w:trPr>
          <w:trHeight w:val="216"/>
        </w:trPr>
        <w:tc>
          <w:tcPr>
            <w:tcW w:w="1140" w:type="dxa"/>
            <w:vAlign w:val="bottom"/>
          </w:tcPr>
          <w:p w14:paraId="0B1E1A94" w14:textId="77777777" w:rsidR="00D1587D" w:rsidRDefault="00D1587D">
            <w:pPr>
              <w:rPr>
                <w:sz w:val="18"/>
                <w:szCs w:val="18"/>
              </w:rPr>
            </w:pPr>
          </w:p>
        </w:tc>
        <w:tc>
          <w:tcPr>
            <w:tcW w:w="3680" w:type="dxa"/>
            <w:gridSpan w:val="2"/>
            <w:vAlign w:val="bottom"/>
          </w:tcPr>
          <w:p w14:paraId="1CEE5FD5" w14:textId="77777777" w:rsidR="00D1587D" w:rsidRDefault="00410D07">
            <w:pPr>
              <w:rPr>
                <w:sz w:val="20"/>
                <w:szCs w:val="20"/>
              </w:rPr>
            </w:pPr>
            <w:r>
              <w:rPr>
                <w:rFonts w:ascii="Arial" w:eastAsia="Arial" w:hAnsi="Arial" w:cs="Arial"/>
                <w:sz w:val="18"/>
                <w:szCs w:val="18"/>
              </w:rPr>
              <w:t>August 2021 Retention Bonus</w:t>
            </w:r>
          </w:p>
        </w:tc>
        <w:tc>
          <w:tcPr>
            <w:tcW w:w="6420" w:type="dxa"/>
            <w:gridSpan w:val="3"/>
            <w:vAlign w:val="bottom"/>
          </w:tcPr>
          <w:p w14:paraId="7FDF2D77" w14:textId="77777777" w:rsidR="00D1587D" w:rsidRDefault="00410D07">
            <w:pPr>
              <w:ind w:left="3040"/>
              <w:rPr>
                <w:sz w:val="20"/>
                <w:szCs w:val="20"/>
              </w:rPr>
            </w:pPr>
            <w:r>
              <w:rPr>
                <w:rFonts w:ascii="Arial" w:eastAsia="Arial" w:hAnsi="Arial" w:cs="Arial"/>
                <w:sz w:val="18"/>
                <w:szCs w:val="18"/>
              </w:rPr>
              <w:t>Section 7.03</w:t>
            </w:r>
          </w:p>
        </w:tc>
      </w:tr>
      <w:tr w:rsidR="00D1587D" w14:paraId="12DBF374" w14:textId="77777777">
        <w:trPr>
          <w:trHeight w:val="216"/>
        </w:trPr>
        <w:tc>
          <w:tcPr>
            <w:tcW w:w="1140" w:type="dxa"/>
            <w:vAlign w:val="bottom"/>
          </w:tcPr>
          <w:p w14:paraId="460BEDF3" w14:textId="77777777" w:rsidR="00D1587D" w:rsidRDefault="00D1587D">
            <w:pPr>
              <w:rPr>
                <w:sz w:val="18"/>
                <w:szCs w:val="18"/>
              </w:rPr>
            </w:pPr>
          </w:p>
        </w:tc>
        <w:tc>
          <w:tcPr>
            <w:tcW w:w="3680" w:type="dxa"/>
            <w:gridSpan w:val="2"/>
            <w:vAlign w:val="bottom"/>
          </w:tcPr>
          <w:p w14:paraId="52B46C2D" w14:textId="77777777" w:rsidR="00D1587D" w:rsidRDefault="00410D07">
            <w:pPr>
              <w:rPr>
                <w:sz w:val="20"/>
                <w:szCs w:val="20"/>
              </w:rPr>
            </w:pPr>
            <w:r>
              <w:rPr>
                <w:rFonts w:ascii="Arial" w:eastAsia="Arial" w:hAnsi="Arial" w:cs="Arial"/>
                <w:sz w:val="18"/>
                <w:szCs w:val="18"/>
              </w:rPr>
              <w:t>Distribution</w:t>
            </w:r>
          </w:p>
        </w:tc>
        <w:tc>
          <w:tcPr>
            <w:tcW w:w="6420" w:type="dxa"/>
            <w:gridSpan w:val="3"/>
            <w:vAlign w:val="bottom"/>
          </w:tcPr>
          <w:p w14:paraId="6EA6DF93" w14:textId="77777777" w:rsidR="00D1587D" w:rsidRDefault="00410D07">
            <w:pPr>
              <w:ind w:left="3040"/>
              <w:rPr>
                <w:sz w:val="20"/>
                <w:szCs w:val="20"/>
              </w:rPr>
            </w:pPr>
            <w:r>
              <w:rPr>
                <w:rFonts w:ascii="Arial" w:eastAsia="Arial" w:hAnsi="Arial" w:cs="Arial"/>
                <w:sz w:val="18"/>
                <w:szCs w:val="18"/>
              </w:rPr>
              <w:t>Recitals</w:t>
            </w:r>
          </w:p>
        </w:tc>
      </w:tr>
      <w:tr w:rsidR="00D1587D" w14:paraId="3D91FFB4" w14:textId="77777777">
        <w:trPr>
          <w:trHeight w:val="216"/>
        </w:trPr>
        <w:tc>
          <w:tcPr>
            <w:tcW w:w="1140" w:type="dxa"/>
            <w:vAlign w:val="bottom"/>
          </w:tcPr>
          <w:p w14:paraId="1B177618" w14:textId="77777777" w:rsidR="00D1587D" w:rsidRDefault="00D1587D">
            <w:pPr>
              <w:rPr>
                <w:sz w:val="18"/>
                <w:szCs w:val="18"/>
              </w:rPr>
            </w:pPr>
          </w:p>
        </w:tc>
        <w:tc>
          <w:tcPr>
            <w:tcW w:w="3680" w:type="dxa"/>
            <w:gridSpan w:val="2"/>
            <w:vAlign w:val="bottom"/>
          </w:tcPr>
          <w:p w14:paraId="6E1A3F19" w14:textId="77777777" w:rsidR="00D1587D" w:rsidRDefault="00410D07">
            <w:pPr>
              <w:rPr>
                <w:sz w:val="20"/>
                <w:szCs w:val="20"/>
              </w:rPr>
            </w:pPr>
            <w:r>
              <w:rPr>
                <w:rFonts w:ascii="Arial" w:eastAsia="Arial" w:hAnsi="Arial" w:cs="Arial"/>
                <w:sz w:val="18"/>
                <w:szCs w:val="18"/>
              </w:rPr>
              <w:t>Forfeited LB Awards</w:t>
            </w:r>
          </w:p>
        </w:tc>
        <w:tc>
          <w:tcPr>
            <w:tcW w:w="6420" w:type="dxa"/>
            <w:gridSpan w:val="3"/>
            <w:vAlign w:val="bottom"/>
          </w:tcPr>
          <w:p w14:paraId="7FF38DC0" w14:textId="77777777" w:rsidR="00D1587D" w:rsidRDefault="00410D07">
            <w:pPr>
              <w:ind w:left="3040"/>
              <w:rPr>
                <w:sz w:val="20"/>
                <w:szCs w:val="20"/>
              </w:rPr>
            </w:pPr>
            <w:r>
              <w:rPr>
                <w:rFonts w:ascii="Arial" w:eastAsia="Arial" w:hAnsi="Arial" w:cs="Arial"/>
                <w:sz w:val="18"/>
                <w:szCs w:val="18"/>
              </w:rPr>
              <w:t>Section 8.05(a)</w:t>
            </w:r>
          </w:p>
        </w:tc>
      </w:tr>
      <w:tr w:rsidR="00D1587D" w14:paraId="202E59CC" w14:textId="77777777">
        <w:trPr>
          <w:trHeight w:val="216"/>
        </w:trPr>
        <w:tc>
          <w:tcPr>
            <w:tcW w:w="1140" w:type="dxa"/>
            <w:vAlign w:val="bottom"/>
          </w:tcPr>
          <w:p w14:paraId="250B6719" w14:textId="77777777" w:rsidR="00D1587D" w:rsidRDefault="00D1587D">
            <w:pPr>
              <w:rPr>
                <w:sz w:val="18"/>
                <w:szCs w:val="18"/>
              </w:rPr>
            </w:pPr>
          </w:p>
        </w:tc>
        <w:tc>
          <w:tcPr>
            <w:tcW w:w="3680" w:type="dxa"/>
            <w:gridSpan w:val="2"/>
            <w:vAlign w:val="bottom"/>
          </w:tcPr>
          <w:p w14:paraId="417EE13B" w14:textId="77777777" w:rsidR="00D1587D" w:rsidRDefault="00410D07">
            <w:pPr>
              <w:rPr>
                <w:sz w:val="20"/>
                <w:szCs w:val="20"/>
              </w:rPr>
            </w:pPr>
            <w:r>
              <w:rPr>
                <w:rFonts w:ascii="Arial" w:eastAsia="Arial" w:hAnsi="Arial" w:cs="Arial"/>
                <w:sz w:val="18"/>
                <w:szCs w:val="18"/>
              </w:rPr>
              <w:t>Forfeited VS Awards</w:t>
            </w:r>
          </w:p>
        </w:tc>
        <w:tc>
          <w:tcPr>
            <w:tcW w:w="6420" w:type="dxa"/>
            <w:gridSpan w:val="3"/>
            <w:vAlign w:val="bottom"/>
          </w:tcPr>
          <w:p w14:paraId="3B936249" w14:textId="77777777" w:rsidR="00D1587D" w:rsidRDefault="00410D07">
            <w:pPr>
              <w:ind w:left="3040"/>
              <w:rPr>
                <w:sz w:val="20"/>
                <w:szCs w:val="20"/>
              </w:rPr>
            </w:pPr>
            <w:r>
              <w:rPr>
                <w:rFonts w:ascii="Arial" w:eastAsia="Arial" w:hAnsi="Arial" w:cs="Arial"/>
                <w:sz w:val="18"/>
                <w:szCs w:val="18"/>
              </w:rPr>
              <w:t>Section 8.05(b)</w:t>
            </w:r>
          </w:p>
        </w:tc>
      </w:tr>
      <w:tr w:rsidR="00D1587D" w14:paraId="437EA2C7" w14:textId="77777777">
        <w:trPr>
          <w:trHeight w:val="216"/>
        </w:trPr>
        <w:tc>
          <w:tcPr>
            <w:tcW w:w="1140" w:type="dxa"/>
            <w:vAlign w:val="bottom"/>
          </w:tcPr>
          <w:p w14:paraId="2D37A155" w14:textId="77777777" w:rsidR="00D1587D" w:rsidRDefault="00D1587D">
            <w:pPr>
              <w:rPr>
                <w:sz w:val="18"/>
                <w:szCs w:val="18"/>
              </w:rPr>
            </w:pPr>
          </w:p>
        </w:tc>
        <w:tc>
          <w:tcPr>
            <w:tcW w:w="3680" w:type="dxa"/>
            <w:gridSpan w:val="2"/>
            <w:vAlign w:val="bottom"/>
          </w:tcPr>
          <w:p w14:paraId="4A34F286" w14:textId="77777777" w:rsidR="00D1587D" w:rsidRDefault="00410D07">
            <w:pPr>
              <w:rPr>
                <w:sz w:val="20"/>
                <w:szCs w:val="20"/>
              </w:rPr>
            </w:pPr>
            <w:r>
              <w:rPr>
                <w:rFonts w:ascii="Arial" w:eastAsia="Arial" w:hAnsi="Arial" w:cs="Arial"/>
                <w:sz w:val="18"/>
                <w:szCs w:val="18"/>
              </w:rPr>
              <w:t>L Brands</w:t>
            </w:r>
          </w:p>
        </w:tc>
        <w:tc>
          <w:tcPr>
            <w:tcW w:w="6420" w:type="dxa"/>
            <w:gridSpan w:val="3"/>
            <w:vAlign w:val="bottom"/>
          </w:tcPr>
          <w:p w14:paraId="6C48E4CE" w14:textId="77777777" w:rsidR="00D1587D" w:rsidRDefault="00410D07">
            <w:pPr>
              <w:ind w:left="3040"/>
              <w:rPr>
                <w:sz w:val="20"/>
                <w:szCs w:val="20"/>
              </w:rPr>
            </w:pPr>
            <w:r>
              <w:rPr>
                <w:rFonts w:ascii="Arial" w:eastAsia="Arial" w:hAnsi="Arial" w:cs="Arial"/>
                <w:sz w:val="18"/>
                <w:szCs w:val="18"/>
              </w:rPr>
              <w:t>Preamble</w:t>
            </w:r>
          </w:p>
        </w:tc>
      </w:tr>
      <w:tr w:rsidR="00D1587D" w14:paraId="735550EF" w14:textId="77777777">
        <w:trPr>
          <w:trHeight w:val="216"/>
        </w:trPr>
        <w:tc>
          <w:tcPr>
            <w:tcW w:w="1140" w:type="dxa"/>
            <w:vAlign w:val="bottom"/>
          </w:tcPr>
          <w:p w14:paraId="6C379484" w14:textId="77777777" w:rsidR="00D1587D" w:rsidRDefault="00D1587D">
            <w:pPr>
              <w:rPr>
                <w:sz w:val="18"/>
                <w:szCs w:val="18"/>
              </w:rPr>
            </w:pPr>
          </w:p>
        </w:tc>
        <w:tc>
          <w:tcPr>
            <w:tcW w:w="3680" w:type="dxa"/>
            <w:gridSpan w:val="2"/>
            <w:vAlign w:val="bottom"/>
          </w:tcPr>
          <w:p w14:paraId="2B497F32" w14:textId="77777777" w:rsidR="00D1587D" w:rsidRDefault="00410D07">
            <w:pPr>
              <w:rPr>
                <w:sz w:val="20"/>
                <w:szCs w:val="20"/>
              </w:rPr>
            </w:pPr>
            <w:r>
              <w:rPr>
                <w:rFonts w:ascii="Arial" w:eastAsia="Arial" w:hAnsi="Arial" w:cs="Arial"/>
                <w:sz w:val="18"/>
                <w:szCs w:val="18"/>
              </w:rPr>
              <w:t>L Brands Board</w:t>
            </w:r>
          </w:p>
        </w:tc>
        <w:tc>
          <w:tcPr>
            <w:tcW w:w="6420" w:type="dxa"/>
            <w:gridSpan w:val="3"/>
            <w:vAlign w:val="bottom"/>
          </w:tcPr>
          <w:p w14:paraId="3DA162BA" w14:textId="77777777" w:rsidR="00D1587D" w:rsidRDefault="00410D07">
            <w:pPr>
              <w:ind w:left="3040"/>
              <w:rPr>
                <w:sz w:val="20"/>
                <w:szCs w:val="20"/>
              </w:rPr>
            </w:pPr>
            <w:r>
              <w:rPr>
                <w:rFonts w:ascii="Arial" w:eastAsia="Arial" w:hAnsi="Arial" w:cs="Arial"/>
                <w:sz w:val="18"/>
                <w:szCs w:val="18"/>
              </w:rPr>
              <w:t>Recitals</w:t>
            </w:r>
          </w:p>
        </w:tc>
      </w:tr>
      <w:tr w:rsidR="00D1587D" w14:paraId="2AB74D23" w14:textId="77777777">
        <w:trPr>
          <w:trHeight w:val="216"/>
        </w:trPr>
        <w:tc>
          <w:tcPr>
            <w:tcW w:w="1140" w:type="dxa"/>
            <w:vAlign w:val="bottom"/>
          </w:tcPr>
          <w:p w14:paraId="2B0ED916" w14:textId="77777777" w:rsidR="00D1587D" w:rsidRDefault="00D1587D">
            <w:pPr>
              <w:rPr>
                <w:sz w:val="18"/>
                <w:szCs w:val="18"/>
              </w:rPr>
            </w:pPr>
          </w:p>
        </w:tc>
        <w:tc>
          <w:tcPr>
            <w:tcW w:w="3680" w:type="dxa"/>
            <w:gridSpan w:val="2"/>
            <w:vAlign w:val="bottom"/>
          </w:tcPr>
          <w:p w14:paraId="73AAE8FF" w14:textId="77777777" w:rsidR="00D1587D" w:rsidRDefault="00410D07">
            <w:pPr>
              <w:rPr>
                <w:sz w:val="20"/>
                <w:szCs w:val="20"/>
              </w:rPr>
            </w:pPr>
            <w:r>
              <w:rPr>
                <w:rFonts w:ascii="Arial" w:eastAsia="Arial" w:hAnsi="Arial" w:cs="Arial"/>
                <w:sz w:val="18"/>
                <w:szCs w:val="18"/>
              </w:rPr>
              <w:t>L Brands Change in Control</w:t>
            </w:r>
          </w:p>
        </w:tc>
        <w:tc>
          <w:tcPr>
            <w:tcW w:w="6420" w:type="dxa"/>
            <w:gridSpan w:val="3"/>
            <w:vAlign w:val="bottom"/>
          </w:tcPr>
          <w:p w14:paraId="7EB96DD4" w14:textId="77777777" w:rsidR="00D1587D" w:rsidRDefault="00410D07">
            <w:pPr>
              <w:ind w:left="3040"/>
              <w:rPr>
                <w:sz w:val="20"/>
                <w:szCs w:val="20"/>
              </w:rPr>
            </w:pPr>
            <w:r>
              <w:rPr>
                <w:rFonts w:ascii="Arial" w:eastAsia="Arial" w:hAnsi="Arial" w:cs="Arial"/>
                <w:sz w:val="18"/>
                <w:szCs w:val="18"/>
              </w:rPr>
              <w:t>Section 8.04(c)(i)</w:t>
            </w:r>
          </w:p>
        </w:tc>
      </w:tr>
      <w:tr w:rsidR="00D1587D" w14:paraId="05FD4291" w14:textId="77777777">
        <w:trPr>
          <w:trHeight w:val="216"/>
        </w:trPr>
        <w:tc>
          <w:tcPr>
            <w:tcW w:w="1140" w:type="dxa"/>
            <w:vAlign w:val="bottom"/>
          </w:tcPr>
          <w:p w14:paraId="5516F993" w14:textId="77777777" w:rsidR="00D1587D" w:rsidRDefault="00D1587D">
            <w:pPr>
              <w:rPr>
                <w:sz w:val="18"/>
                <w:szCs w:val="18"/>
              </w:rPr>
            </w:pPr>
          </w:p>
        </w:tc>
        <w:tc>
          <w:tcPr>
            <w:tcW w:w="3680" w:type="dxa"/>
            <w:gridSpan w:val="2"/>
            <w:vAlign w:val="bottom"/>
          </w:tcPr>
          <w:p w14:paraId="6D716FA4" w14:textId="77777777" w:rsidR="00D1587D" w:rsidRDefault="00410D07">
            <w:pPr>
              <w:rPr>
                <w:sz w:val="20"/>
                <w:szCs w:val="20"/>
              </w:rPr>
            </w:pPr>
            <w:r>
              <w:rPr>
                <w:rFonts w:ascii="Arial" w:eastAsia="Arial" w:hAnsi="Arial" w:cs="Arial"/>
                <w:sz w:val="18"/>
                <w:szCs w:val="18"/>
              </w:rPr>
              <w:t xml:space="preserve">L Brands </w:t>
            </w:r>
            <w:r>
              <w:rPr>
                <w:rFonts w:ascii="Arial" w:eastAsia="Arial" w:hAnsi="Arial" w:cs="Arial"/>
                <w:sz w:val="18"/>
                <w:szCs w:val="18"/>
              </w:rPr>
              <w:t>Common Stock</w:t>
            </w:r>
          </w:p>
        </w:tc>
        <w:tc>
          <w:tcPr>
            <w:tcW w:w="6420" w:type="dxa"/>
            <w:gridSpan w:val="3"/>
            <w:vAlign w:val="bottom"/>
          </w:tcPr>
          <w:p w14:paraId="33D4CE5B" w14:textId="77777777" w:rsidR="00D1587D" w:rsidRDefault="00410D07">
            <w:pPr>
              <w:ind w:left="3040"/>
              <w:rPr>
                <w:sz w:val="20"/>
                <w:szCs w:val="20"/>
              </w:rPr>
            </w:pPr>
            <w:r>
              <w:rPr>
                <w:rFonts w:ascii="Arial" w:eastAsia="Arial" w:hAnsi="Arial" w:cs="Arial"/>
                <w:sz w:val="18"/>
                <w:szCs w:val="18"/>
              </w:rPr>
              <w:t>Recitals</w:t>
            </w:r>
          </w:p>
        </w:tc>
      </w:tr>
      <w:tr w:rsidR="00D1587D" w14:paraId="2B48202F" w14:textId="77777777">
        <w:trPr>
          <w:trHeight w:val="216"/>
        </w:trPr>
        <w:tc>
          <w:tcPr>
            <w:tcW w:w="1140" w:type="dxa"/>
            <w:vAlign w:val="bottom"/>
          </w:tcPr>
          <w:p w14:paraId="5FEF6F6B" w14:textId="77777777" w:rsidR="00D1587D" w:rsidRDefault="00D1587D">
            <w:pPr>
              <w:rPr>
                <w:sz w:val="18"/>
                <w:szCs w:val="18"/>
              </w:rPr>
            </w:pPr>
          </w:p>
        </w:tc>
        <w:tc>
          <w:tcPr>
            <w:tcW w:w="3680" w:type="dxa"/>
            <w:gridSpan w:val="2"/>
            <w:vAlign w:val="bottom"/>
          </w:tcPr>
          <w:p w14:paraId="7F92454B" w14:textId="77777777" w:rsidR="00D1587D" w:rsidRDefault="00410D07">
            <w:pPr>
              <w:rPr>
                <w:sz w:val="20"/>
                <w:szCs w:val="20"/>
              </w:rPr>
            </w:pPr>
            <w:r>
              <w:rPr>
                <w:rFonts w:ascii="Arial" w:eastAsia="Arial" w:hAnsi="Arial" w:cs="Arial"/>
                <w:sz w:val="18"/>
                <w:szCs w:val="18"/>
              </w:rPr>
              <w:t>L Brands Retained Employee Liabilities</w:t>
            </w:r>
          </w:p>
        </w:tc>
        <w:tc>
          <w:tcPr>
            <w:tcW w:w="6420" w:type="dxa"/>
            <w:gridSpan w:val="3"/>
            <w:vAlign w:val="bottom"/>
          </w:tcPr>
          <w:p w14:paraId="29793DE4" w14:textId="77777777" w:rsidR="00D1587D" w:rsidRDefault="00410D07">
            <w:pPr>
              <w:ind w:left="3040"/>
              <w:rPr>
                <w:sz w:val="20"/>
                <w:szCs w:val="20"/>
              </w:rPr>
            </w:pPr>
            <w:r>
              <w:rPr>
                <w:rFonts w:ascii="Arial" w:eastAsia="Arial" w:hAnsi="Arial" w:cs="Arial"/>
                <w:sz w:val="18"/>
                <w:szCs w:val="18"/>
              </w:rPr>
              <w:t>Section 2.01(a)(iii)</w:t>
            </w:r>
          </w:p>
        </w:tc>
      </w:tr>
      <w:tr w:rsidR="00D1587D" w14:paraId="6A69F5E2" w14:textId="77777777">
        <w:trPr>
          <w:trHeight w:val="216"/>
        </w:trPr>
        <w:tc>
          <w:tcPr>
            <w:tcW w:w="1140" w:type="dxa"/>
            <w:vAlign w:val="bottom"/>
          </w:tcPr>
          <w:p w14:paraId="09076213" w14:textId="77777777" w:rsidR="00D1587D" w:rsidRDefault="00D1587D">
            <w:pPr>
              <w:rPr>
                <w:sz w:val="18"/>
                <w:szCs w:val="18"/>
              </w:rPr>
            </w:pPr>
          </w:p>
        </w:tc>
        <w:tc>
          <w:tcPr>
            <w:tcW w:w="3680" w:type="dxa"/>
            <w:gridSpan w:val="2"/>
            <w:vAlign w:val="bottom"/>
          </w:tcPr>
          <w:p w14:paraId="7B4A32D0" w14:textId="77777777" w:rsidR="00D1587D" w:rsidRDefault="00410D07">
            <w:pPr>
              <w:rPr>
                <w:sz w:val="20"/>
                <w:szCs w:val="20"/>
              </w:rPr>
            </w:pPr>
            <w:r>
              <w:rPr>
                <w:rFonts w:ascii="Arial" w:eastAsia="Arial" w:hAnsi="Arial" w:cs="Arial"/>
                <w:sz w:val="18"/>
                <w:szCs w:val="18"/>
              </w:rPr>
              <w:t>Other L Brands Cash Bonuses</w:t>
            </w:r>
          </w:p>
        </w:tc>
        <w:tc>
          <w:tcPr>
            <w:tcW w:w="6420" w:type="dxa"/>
            <w:gridSpan w:val="3"/>
            <w:vAlign w:val="bottom"/>
          </w:tcPr>
          <w:p w14:paraId="688C5371" w14:textId="77777777" w:rsidR="00D1587D" w:rsidRDefault="00410D07">
            <w:pPr>
              <w:ind w:left="3040"/>
              <w:rPr>
                <w:sz w:val="20"/>
                <w:szCs w:val="20"/>
              </w:rPr>
            </w:pPr>
            <w:r>
              <w:rPr>
                <w:rFonts w:ascii="Arial" w:eastAsia="Arial" w:hAnsi="Arial" w:cs="Arial"/>
                <w:sz w:val="18"/>
                <w:szCs w:val="18"/>
              </w:rPr>
              <w:t>Section 7.01(b)</w:t>
            </w:r>
          </w:p>
        </w:tc>
      </w:tr>
      <w:tr w:rsidR="00D1587D" w14:paraId="011C114F" w14:textId="77777777">
        <w:trPr>
          <w:trHeight w:val="216"/>
        </w:trPr>
        <w:tc>
          <w:tcPr>
            <w:tcW w:w="1140" w:type="dxa"/>
            <w:vAlign w:val="bottom"/>
          </w:tcPr>
          <w:p w14:paraId="7E0AC527" w14:textId="77777777" w:rsidR="00D1587D" w:rsidRDefault="00D1587D">
            <w:pPr>
              <w:rPr>
                <w:sz w:val="18"/>
                <w:szCs w:val="18"/>
              </w:rPr>
            </w:pPr>
          </w:p>
        </w:tc>
        <w:tc>
          <w:tcPr>
            <w:tcW w:w="3680" w:type="dxa"/>
            <w:gridSpan w:val="2"/>
            <w:vAlign w:val="bottom"/>
          </w:tcPr>
          <w:p w14:paraId="7E3A5224" w14:textId="77777777" w:rsidR="00D1587D" w:rsidRDefault="00410D07">
            <w:pPr>
              <w:rPr>
                <w:sz w:val="20"/>
                <w:szCs w:val="20"/>
              </w:rPr>
            </w:pPr>
            <w:r>
              <w:rPr>
                <w:rFonts w:ascii="Arial" w:eastAsia="Arial" w:hAnsi="Arial" w:cs="Arial"/>
                <w:sz w:val="18"/>
                <w:szCs w:val="18"/>
              </w:rPr>
              <w:t>Paid Time Off</w:t>
            </w:r>
          </w:p>
        </w:tc>
        <w:tc>
          <w:tcPr>
            <w:tcW w:w="6420" w:type="dxa"/>
            <w:gridSpan w:val="3"/>
            <w:vAlign w:val="bottom"/>
          </w:tcPr>
          <w:p w14:paraId="1E6E1B5A" w14:textId="77777777" w:rsidR="00D1587D" w:rsidRDefault="00410D07">
            <w:pPr>
              <w:ind w:left="3040"/>
              <w:rPr>
                <w:sz w:val="20"/>
                <w:szCs w:val="20"/>
              </w:rPr>
            </w:pPr>
            <w:r>
              <w:rPr>
                <w:rFonts w:ascii="Arial" w:eastAsia="Arial" w:hAnsi="Arial" w:cs="Arial"/>
                <w:sz w:val="18"/>
                <w:szCs w:val="18"/>
              </w:rPr>
              <w:t>Section 6.05(a)</w:t>
            </w:r>
          </w:p>
        </w:tc>
      </w:tr>
      <w:tr w:rsidR="00D1587D" w14:paraId="2D1F2907" w14:textId="77777777">
        <w:trPr>
          <w:trHeight w:val="216"/>
        </w:trPr>
        <w:tc>
          <w:tcPr>
            <w:tcW w:w="1140" w:type="dxa"/>
            <w:vAlign w:val="bottom"/>
          </w:tcPr>
          <w:p w14:paraId="2CD0AD5C" w14:textId="77777777" w:rsidR="00D1587D" w:rsidRDefault="00D1587D">
            <w:pPr>
              <w:rPr>
                <w:sz w:val="18"/>
                <w:szCs w:val="18"/>
              </w:rPr>
            </w:pPr>
          </w:p>
        </w:tc>
        <w:tc>
          <w:tcPr>
            <w:tcW w:w="3680" w:type="dxa"/>
            <w:gridSpan w:val="2"/>
            <w:vAlign w:val="bottom"/>
          </w:tcPr>
          <w:p w14:paraId="5C977BF6" w14:textId="77777777" w:rsidR="00D1587D" w:rsidRDefault="00410D07">
            <w:pPr>
              <w:rPr>
                <w:sz w:val="20"/>
                <w:szCs w:val="20"/>
              </w:rPr>
            </w:pPr>
            <w:r>
              <w:rPr>
                <w:rFonts w:ascii="Arial" w:eastAsia="Arial" w:hAnsi="Arial" w:cs="Arial"/>
                <w:sz w:val="18"/>
                <w:szCs w:val="18"/>
              </w:rPr>
              <w:t>Party/Parties</w:t>
            </w:r>
          </w:p>
        </w:tc>
        <w:tc>
          <w:tcPr>
            <w:tcW w:w="6420" w:type="dxa"/>
            <w:gridSpan w:val="3"/>
            <w:vAlign w:val="bottom"/>
          </w:tcPr>
          <w:p w14:paraId="3A7B7408" w14:textId="77777777" w:rsidR="00D1587D" w:rsidRDefault="00410D07">
            <w:pPr>
              <w:ind w:left="3040"/>
              <w:rPr>
                <w:sz w:val="20"/>
                <w:szCs w:val="20"/>
              </w:rPr>
            </w:pPr>
            <w:r>
              <w:rPr>
                <w:rFonts w:ascii="Arial" w:eastAsia="Arial" w:hAnsi="Arial" w:cs="Arial"/>
                <w:sz w:val="18"/>
                <w:szCs w:val="18"/>
              </w:rPr>
              <w:t>Preamble</w:t>
            </w:r>
          </w:p>
        </w:tc>
      </w:tr>
      <w:tr w:rsidR="00D1587D" w14:paraId="38114CA0" w14:textId="77777777">
        <w:trPr>
          <w:trHeight w:val="216"/>
        </w:trPr>
        <w:tc>
          <w:tcPr>
            <w:tcW w:w="1140" w:type="dxa"/>
            <w:vAlign w:val="bottom"/>
          </w:tcPr>
          <w:p w14:paraId="1F75CE62" w14:textId="77777777" w:rsidR="00D1587D" w:rsidRDefault="00D1587D">
            <w:pPr>
              <w:rPr>
                <w:sz w:val="18"/>
                <w:szCs w:val="18"/>
              </w:rPr>
            </w:pPr>
          </w:p>
        </w:tc>
        <w:tc>
          <w:tcPr>
            <w:tcW w:w="3680" w:type="dxa"/>
            <w:gridSpan w:val="2"/>
            <w:vAlign w:val="bottom"/>
          </w:tcPr>
          <w:p w14:paraId="057B3B1B" w14:textId="77777777" w:rsidR="00D1587D" w:rsidRDefault="00410D07">
            <w:pPr>
              <w:rPr>
                <w:sz w:val="20"/>
                <w:szCs w:val="20"/>
              </w:rPr>
            </w:pPr>
            <w:r>
              <w:rPr>
                <w:rFonts w:ascii="Arial" w:eastAsia="Arial" w:hAnsi="Arial" w:cs="Arial"/>
                <w:sz w:val="18"/>
                <w:szCs w:val="18"/>
              </w:rPr>
              <w:t>Personnel Records</w:t>
            </w:r>
          </w:p>
        </w:tc>
        <w:tc>
          <w:tcPr>
            <w:tcW w:w="6420" w:type="dxa"/>
            <w:gridSpan w:val="3"/>
            <w:vAlign w:val="bottom"/>
          </w:tcPr>
          <w:p w14:paraId="63972272" w14:textId="77777777" w:rsidR="00D1587D" w:rsidRDefault="00410D07">
            <w:pPr>
              <w:ind w:left="3040"/>
              <w:rPr>
                <w:sz w:val="20"/>
                <w:szCs w:val="20"/>
              </w:rPr>
            </w:pPr>
            <w:r>
              <w:rPr>
                <w:rFonts w:ascii="Arial" w:eastAsia="Arial" w:hAnsi="Arial" w:cs="Arial"/>
                <w:sz w:val="18"/>
                <w:szCs w:val="18"/>
              </w:rPr>
              <w:t>Section 9.01</w:t>
            </w:r>
          </w:p>
        </w:tc>
      </w:tr>
      <w:tr w:rsidR="00D1587D" w14:paraId="65D01F71" w14:textId="77777777">
        <w:trPr>
          <w:trHeight w:val="216"/>
        </w:trPr>
        <w:tc>
          <w:tcPr>
            <w:tcW w:w="1140" w:type="dxa"/>
            <w:vAlign w:val="bottom"/>
          </w:tcPr>
          <w:p w14:paraId="0AB56E78" w14:textId="77777777" w:rsidR="00D1587D" w:rsidRDefault="00D1587D">
            <w:pPr>
              <w:rPr>
                <w:sz w:val="18"/>
                <w:szCs w:val="18"/>
              </w:rPr>
            </w:pPr>
          </w:p>
        </w:tc>
        <w:tc>
          <w:tcPr>
            <w:tcW w:w="3680" w:type="dxa"/>
            <w:gridSpan w:val="2"/>
            <w:vAlign w:val="bottom"/>
          </w:tcPr>
          <w:p w14:paraId="6D5BAAFD" w14:textId="77777777" w:rsidR="00D1587D" w:rsidRDefault="00410D07">
            <w:pPr>
              <w:rPr>
                <w:sz w:val="20"/>
                <w:szCs w:val="20"/>
              </w:rPr>
            </w:pPr>
            <w:r>
              <w:rPr>
                <w:rFonts w:ascii="Arial" w:eastAsia="Arial" w:hAnsi="Arial" w:cs="Arial"/>
                <w:sz w:val="18"/>
                <w:szCs w:val="18"/>
              </w:rPr>
              <w:t>Replacement LB Award</w:t>
            </w:r>
          </w:p>
        </w:tc>
        <w:tc>
          <w:tcPr>
            <w:tcW w:w="6420" w:type="dxa"/>
            <w:gridSpan w:val="3"/>
            <w:vAlign w:val="bottom"/>
          </w:tcPr>
          <w:p w14:paraId="70BB8AFE" w14:textId="77777777" w:rsidR="00D1587D" w:rsidRDefault="00410D07">
            <w:pPr>
              <w:ind w:left="3040"/>
              <w:rPr>
                <w:sz w:val="20"/>
                <w:szCs w:val="20"/>
              </w:rPr>
            </w:pPr>
            <w:r>
              <w:rPr>
                <w:rFonts w:ascii="Arial" w:eastAsia="Arial" w:hAnsi="Arial" w:cs="Arial"/>
                <w:sz w:val="18"/>
                <w:szCs w:val="18"/>
              </w:rPr>
              <w:t>Section 8.05(b)</w:t>
            </w:r>
          </w:p>
        </w:tc>
      </w:tr>
      <w:tr w:rsidR="00D1587D" w14:paraId="6F933AC6" w14:textId="77777777">
        <w:trPr>
          <w:trHeight w:val="216"/>
        </w:trPr>
        <w:tc>
          <w:tcPr>
            <w:tcW w:w="1140" w:type="dxa"/>
            <w:vAlign w:val="bottom"/>
          </w:tcPr>
          <w:p w14:paraId="7C5324EA" w14:textId="77777777" w:rsidR="00D1587D" w:rsidRDefault="00D1587D">
            <w:pPr>
              <w:rPr>
                <w:sz w:val="18"/>
                <w:szCs w:val="18"/>
              </w:rPr>
            </w:pPr>
          </w:p>
        </w:tc>
        <w:tc>
          <w:tcPr>
            <w:tcW w:w="3680" w:type="dxa"/>
            <w:gridSpan w:val="2"/>
            <w:vAlign w:val="bottom"/>
          </w:tcPr>
          <w:p w14:paraId="1CBC104F" w14:textId="77777777" w:rsidR="00D1587D" w:rsidRDefault="00410D07">
            <w:pPr>
              <w:rPr>
                <w:sz w:val="20"/>
                <w:szCs w:val="20"/>
              </w:rPr>
            </w:pPr>
            <w:r>
              <w:rPr>
                <w:rFonts w:ascii="Arial" w:eastAsia="Arial" w:hAnsi="Arial" w:cs="Arial"/>
                <w:sz w:val="18"/>
                <w:szCs w:val="18"/>
              </w:rPr>
              <w:t>Replacement VS Award</w:t>
            </w:r>
          </w:p>
        </w:tc>
        <w:tc>
          <w:tcPr>
            <w:tcW w:w="6420" w:type="dxa"/>
            <w:gridSpan w:val="3"/>
            <w:vAlign w:val="bottom"/>
          </w:tcPr>
          <w:p w14:paraId="75CA5E5E" w14:textId="77777777" w:rsidR="00D1587D" w:rsidRDefault="00410D07">
            <w:pPr>
              <w:ind w:left="3040"/>
              <w:rPr>
                <w:sz w:val="20"/>
                <w:szCs w:val="20"/>
              </w:rPr>
            </w:pPr>
            <w:r>
              <w:rPr>
                <w:rFonts w:ascii="Arial" w:eastAsia="Arial" w:hAnsi="Arial" w:cs="Arial"/>
                <w:sz w:val="18"/>
                <w:szCs w:val="18"/>
              </w:rPr>
              <w:t>Section 8.05(a)</w:t>
            </w:r>
          </w:p>
        </w:tc>
      </w:tr>
      <w:tr w:rsidR="00D1587D" w14:paraId="06C10999" w14:textId="77777777">
        <w:trPr>
          <w:trHeight w:val="216"/>
        </w:trPr>
        <w:tc>
          <w:tcPr>
            <w:tcW w:w="1140" w:type="dxa"/>
            <w:vAlign w:val="bottom"/>
          </w:tcPr>
          <w:p w14:paraId="7E42BD3B" w14:textId="77777777" w:rsidR="00D1587D" w:rsidRDefault="00D1587D">
            <w:pPr>
              <w:rPr>
                <w:sz w:val="18"/>
                <w:szCs w:val="18"/>
              </w:rPr>
            </w:pPr>
          </w:p>
        </w:tc>
        <w:tc>
          <w:tcPr>
            <w:tcW w:w="3680" w:type="dxa"/>
            <w:gridSpan w:val="2"/>
            <w:vAlign w:val="bottom"/>
          </w:tcPr>
          <w:p w14:paraId="616271A6" w14:textId="77777777" w:rsidR="00D1587D" w:rsidRDefault="00410D07">
            <w:pPr>
              <w:rPr>
                <w:sz w:val="20"/>
                <w:szCs w:val="20"/>
              </w:rPr>
            </w:pPr>
            <w:r>
              <w:rPr>
                <w:rFonts w:ascii="Arial" w:eastAsia="Arial" w:hAnsi="Arial" w:cs="Arial"/>
                <w:sz w:val="18"/>
                <w:szCs w:val="18"/>
              </w:rPr>
              <w:t>Spring 2021 L Brands Cash Bonuses</w:t>
            </w:r>
          </w:p>
        </w:tc>
        <w:tc>
          <w:tcPr>
            <w:tcW w:w="6420" w:type="dxa"/>
            <w:gridSpan w:val="3"/>
            <w:vAlign w:val="bottom"/>
          </w:tcPr>
          <w:p w14:paraId="18AED8D4" w14:textId="77777777" w:rsidR="00D1587D" w:rsidRDefault="00410D07">
            <w:pPr>
              <w:ind w:left="3040"/>
              <w:rPr>
                <w:sz w:val="20"/>
                <w:szCs w:val="20"/>
              </w:rPr>
            </w:pPr>
            <w:r>
              <w:rPr>
                <w:rFonts w:ascii="Arial" w:eastAsia="Arial" w:hAnsi="Arial" w:cs="Arial"/>
                <w:sz w:val="18"/>
                <w:szCs w:val="18"/>
              </w:rPr>
              <w:t>Section 7.01(a)</w:t>
            </w:r>
          </w:p>
        </w:tc>
      </w:tr>
      <w:tr w:rsidR="00D1587D" w14:paraId="0FD52C2F" w14:textId="77777777">
        <w:trPr>
          <w:trHeight w:val="216"/>
        </w:trPr>
        <w:tc>
          <w:tcPr>
            <w:tcW w:w="1140" w:type="dxa"/>
            <w:vAlign w:val="bottom"/>
          </w:tcPr>
          <w:p w14:paraId="3699D81F" w14:textId="77777777" w:rsidR="00D1587D" w:rsidRDefault="00D1587D">
            <w:pPr>
              <w:rPr>
                <w:sz w:val="18"/>
                <w:szCs w:val="18"/>
              </w:rPr>
            </w:pPr>
          </w:p>
        </w:tc>
        <w:tc>
          <w:tcPr>
            <w:tcW w:w="3680" w:type="dxa"/>
            <w:gridSpan w:val="2"/>
            <w:vAlign w:val="bottom"/>
          </w:tcPr>
          <w:p w14:paraId="4704F72D" w14:textId="77777777" w:rsidR="00D1587D" w:rsidRDefault="00410D07">
            <w:pPr>
              <w:rPr>
                <w:sz w:val="20"/>
                <w:szCs w:val="20"/>
              </w:rPr>
            </w:pPr>
            <w:r>
              <w:rPr>
                <w:rFonts w:ascii="Arial" w:eastAsia="Arial" w:hAnsi="Arial" w:cs="Arial"/>
                <w:sz w:val="18"/>
                <w:szCs w:val="18"/>
              </w:rPr>
              <w:t>Vendor Contract</w:t>
            </w:r>
          </w:p>
        </w:tc>
        <w:tc>
          <w:tcPr>
            <w:tcW w:w="6420" w:type="dxa"/>
            <w:gridSpan w:val="3"/>
            <w:vAlign w:val="bottom"/>
          </w:tcPr>
          <w:p w14:paraId="248B51FD" w14:textId="77777777" w:rsidR="00D1587D" w:rsidRDefault="00410D07">
            <w:pPr>
              <w:ind w:left="3040"/>
              <w:rPr>
                <w:sz w:val="20"/>
                <w:szCs w:val="20"/>
              </w:rPr>
            </w:pPr>
            <w:r>
              <w:rPr>
                <w:rFonts w:ascii="Arial" w:eastAsia="Arial" w:hAnsi="Arial" w:cs="Arial"/>
                <w:sz w:val="18"/>
                <w:szCs w:val="18"/>
              </w:rPr>
              <w:t>Section 11.03(a)</w:t>
            </w:r>
          </w:p>
        </w:tc>
      </w:tr>
      <w:tr w:rsidR="00D1587D" w14:paraId="37AB1798" w14:textId="77777777">
        <w:trPr>
          <w:trHeight w:val="216"/>
        </w:trPr>
        <w:tc>
          <w:tcPr>
            <w:tcW w:w="1140" w:type="dxa"/>
            <w:vAlign w:val="bottom"/>
          </w:tcPr>
          <w:p w14:paraId="000CAF51" w14:textId="77777777" w:rsidR="00D1587D" w:rsidRDefault="00D1587D">
            <w:pPr>
              <w:rPr>
                <w:sz w:val="18"/>
                <w:szCs w:val="18"/>
              </w:rPr>
            </w:pPr>
          </w:p>
        </w:tc>
        <w:tc>
          <w:tcPr>
            <w:tcW w:w="3680" w:type="dxa"/>
            <w:gridSpan w:val="2"/>
            <w:vAlign w:val="bottom"/>
          </w:tcPr>
          <w:p w14:paraId="01AE584C" w14:textId="77777777" w:rsidR="00D1587D" w:rsidRDefault="00410D07">
            <w:pPr>
              <w:rPr>
                <w:sz w:val="20"/>
                <w:szCs w:val="20"/>
              </w:rPr>
            </w:pPr>
            <w:r>
              <w:rPr>
                <w:rFonts w:ascii="Arial" w:eastAsia="Arial" w:hAnsi="Arial" w:cs="Arial"/>
                <w:sz w:val="18"/>
                <w:szCs w:val="18"/>
              </w:rPr>
              <w:t>VS</w:t>
            </w:r>
          </w:p>
        </w:tc>
        <w:tc>
          <w:tcPr>
            <w:tcW w:w="6420" w:type="dxa"/>
            <w:gridSpan w:val="3"/>
            <w:vAlign w:val="bottom"/>
          </w:tcPr>
          <w:p w14:paraId="187E12FC" w14:textId="77777777" w:rsidR="00D1587D" w:rsidRDefault="00410D07">
            <w:pPr>
              <w:ind w:left="3040"/>
              <w:rPr>
                <w:sz w:val="20"/>
                <w:szCs w:val="20"/>
              </w:rPr>
            </w:pPr>
            <w:r>
              <w:rPr>
                <w:rFonts w:ascii="Arial" w:eastAsia="Arial" w:hAnsi="Arial" w:cs="Arial"/>
                <w:sz w:val="18"/>
                <w:szCs w:val="18"/>
              </w:rPr>
              <w:t>Preamble</w:t>
            </w:r>
          </w:p>
        </w:tc>
      </w:tr>
      <w:tr w:rsidR="00D1587D" w14:paraId="054D641D" w14:textId="77777777">
        <w:trPr>
          <w:trHeight w:val="216"/>
        </w:trPr>
        <w:tc>
          <w:tcPr>
            <w:tcW w:w="1140" w:type="dxa"/>
            <w:vAlign w:val="bottom"/>
          </w:tcPr>
          <w:p w14:paraId="39B505E5" w14:textId="77777777" w:rsidR="00D1587D" w:rsidRDefault="00D1587D">
            <w:pPr>
              <w:rPr>
                <w:sz w:val="18"/>
                <w:szCs w:val="18"/>
              </w:rPr>
            </w:pPr>
          </w:p>
        </w:tc>
        <w:tc>
          <w:tcPr>
            <w:tcW w:w="3680" w:type="dxa"/>
            <w:gridSpan w:val="2"/>
            <w:vAlign w:val="bottom"/>
          </w:tcPr>
          <w:p w14:paraId="70AFE420" w14:textId="77777777" w:rsidR="00D1587D" w:rsidRDefault="00410D07">
            <w:pPr>
              <w:rPr>
                <w:sz w:val="20"/>
                <w:szCs w:val="20"/>
              </w:rPr>
            </w:pPr>
            <w:r>
              <w:rPr>
                <w:rFonts w:ascii="Arial" w:eastAsia="Arial" w:hAnsi="Arial" w:cs="Arial"/>
                <w:sz w:val="18"/>
                <w:szCs w:val="18"/>
              </w:rPr>
              <w:t>VS Assumed Employee Liabilities</w:t>
            </w:r>
          </w:p>
        </w:tc>
        <w:tc>
          <w:tcPr>
            <w:tcW w:w="6420" w:type="dxa"/>
            <w:gridSpan w:val="3"/>
            <w:vAlign w:val="bottom"/>
          </w:tcPr>
          <w:p w14:paraId="26CF99D6" w14:textId="77777777" w:rsidR="00D1587D" w:rsidRDefault="00410D07">
            <w:pPr>
              <w:ind w:left="3040"/>
              <w:rPr>
                <w:sz w:val="20"/>
                <w:szCs w:val="20"/>
              </w:rPr>
            </w:pPr>
            <w:r>
              <w:rPr>
                <w:rFonts w:ascii="Arial" w:eastAsia="Arial" w:hAnsi="Arial" w:cs="Arial"/>
                <w:sz w:val="18"/>
                <w:szCs w:val="18"/>
              </w:rPr>
              <w:t>Section 2.01(b)</w:t>
            </w:r>
          </w:p>
        </w:tc>
      </w:tr>
      <w:tr w:rsidR="00D1587D" w14:paraId="21B68B20" w14:textId="77777777">
        <w:trPr>
          <w:trHeight w:val="216"/>
        </w:trPr>
        <w:tc>
          <w:tcPr>
            <w:tcW w:w="1140" w:type="dxa"/>
            <w:vAlign w:val="bottom"/>
          </w:tcPr>
          <w:p w14:paraId="050656F3" w14:textId="77777777" w:rsidR="00D1587D" w:rsidRDefault="00D1587D">
            <w:pPr>
              <w:rPr>
                <w:sz w:val="18"/>
                <w:szCs w:val="18"/>
              </w:rPr>
            </w:pPr>
          </w:p>
        </w:tc>
        <w:tc>
          <w:tcPr>
            <w:tcW w:w="3680" w:type="dxa"/>
            <w:gridSpan w:val="2"/>
            <w:vAlign w:val="bottom"/>
          </w:tcPr>
          <w:p w14:paraId="5F425469" w14:textId="77777777" w:rsidR="00D1587D" w:rsidRDefault="00410D07">
            <w:pPr>
              <w:rPr>
                <w:sz w:val="20"/>
                <w:szCs w:val="20"/>
              </w:rPr>
            </w:pPr>
            <w:r>
              <w:rPr>
                <w:rFonts w:ascii="Arial" w:eastAsia="Arial" w:hAnsi="Arial" w:cs="Arial"/>
                <w:sz w:val="18"/>
                <w:szCs w:val="18"/>
              </w:rPr>
              <w:t>VS Bonus Plan</w:t>
            </w:r>
          </w:p>
        </w:tc>
        <w:tc>
          <w:tcPr>
            <w:tcW w:w="6420" w:type="dxa"/>
            <w:gridSpan w:val="3"/>
            <w:vAlign w:val="bottom"/>
          </w:tcPr>
          <w:p w14:paraId="0EAD1976" w14:textId="77777777" w:rsidR="00D1587D" w:rsidRDefault="00410D07">
            <w:pPr>
              <w:ind w:left="3040"/>
              <w:rPr>
                <w:sz w:val="20"/>
                <w:szCs w:val="20"/>
              </w:rPr>
            </w:pPr>
            <w:r>
              <w:rPr>
                <w:rFonts w:ascii="Arial" w:eastAsia="Arial" w:hAnsi="Arial" w:cs="Arial"/>
                <w:sz w:val="18"/>
                <w:szCs w:val="18"/>
              </w:rPr>
              <w:t>Section 7.02(a)</w:t>
            </w:r>
          </w:p>
        </w:tc>
      </w:tr>
      <w:tr w:rsidR="00D1587D" w14:paraId="3D311EE7" w14:textId="77777777">
        <w:trPr>
          <w:trHeight w:val="216"/>
        </w:trPr>
        <w:tc>
          <w:tcPr>
            <w:tcW w:w="1140" w:type="dxa"/>
            <w:vAlign w:val="bottom"/>
          </w:tcPr>
          <w:p w14:paraId="73041A7F" w14:textId="77777777" w:rsidR="00D1587D" w:rsidRDefault="00D1587D">
            <w:pPr>
              <w:rPr>
                <w:sz w:val="18"/>
                <w:szCs w:val="18"/>
              </w:rPr>
            </w:pPr>
          </w:p>
        </w:tc>
        <w:tc>
          <w:tcPr>
            <w:tcW w:w="3680" w:type="dxa"/>
            <w:gridSpan w:val="2"/>
            <w:vAlign w:val="bottom"/>
          </w:tcPr>
          <w:p w14:paraId="7F796C19" w14:textId="77777777" w:rsidR="00D1587D" w:rsidRDefault="00410D07">
            <w:pPr>
              <w:rPr>
                <w:sz w:val="20"/>
                <w:szCs w:val="20"/>
              </w:rPr>
            </w:pPr>
            <w:r>
              <w:rPr>
                <w:rFonts w:ascii="Arial" w:eastAsia="Arial" w:hAnsi="Arial" w:cs="Arial"/>
                <w:sz w:val="18"/>
                <w:szCs w:val="18"/>
              </w:rPr>
              <w:t xml:space="preserve">VS Cash </w:t>
            </w:r>
            <w:r>
              <w:rPr>
                <w:rFonts w:ascii="Arial" w:eastAsia="Arial" w:hAnsi="Arial" w:cs="Arial"/>
                <w:sz w:val="18"/>
                <w:szCs w:val="18"/>
              </w:rPr>
              <w:t>Bonuses</w:t>
            </w:r>
          </w:p>
        </w:tc>
        <w:tc>
          <w:tcPr>
            <w:tcW w:w="6420" w:type="dxa"/>
            <w:gridSpan w:val="3"/>
            <w:vAlign w:val="bottom"/>
          </w:tcPr>
          <w:p w14:paraId="703505EC" w14:textId="77777777" w:rsidR="00D1587D" w:rsidRDefault="00410D07">
            <w:pPr>
              <w:ind w:left="3040"/>
              <w:rPr>
                <w:sz w:val="20"/>
                <w:szCs w:val="20"/>
              </w:rPr>
            </w:pPr>
            <w:r>
              <w:rPr>
                <w:rFonts w:ascii="Arial" w:eastAsia="Arial" w:hAnsi="Arial" w:cs="Arial"/>
                <w:sz w:val="18"/>
                <w:szCs w:val="18"/>
              </w:rPr>
              <w:t>Section 7.02(a)</w:t>
            </w:r>
          </w:p>
        </w:tc>
      </w:tr>
      <w:tr w:rsidR="00D1587D" w14:paraId="2E3677E0" w14:textId="77777777">
        <w:trPr>
          <w:trHeight w:val="216"/>
        </w:trPr>
        <w:tc>
          <w:tcPr>
            <w:tcW w:w="1140" w:type="dxa"/>
            <w:vAlign w:val="bottom"/>
          </w:tcPr>
          <w:p w14:paraId="207B5A9D" w14:textId="77777777" w:rsidR="00D1587D" w:rsidRDefault="00D1587D">
            <w:pPr>
              <w:rPr>
                <w:sz w:val="18"/>
                <w:szCs w:val="18"/>
              </w:rPr>
            </w:pPr>
          </w:p>
        </w:tc>
        <w:tc>
          <w:tcPr>
            <w:tcW w:w="3680" w:type="dxa"/>
            <w:gridSpan w:val="2"/>
            <w:vAlign w:val="bottom"/>
          </w:tcPr>
          <w:p w14:paraId="374FF295" w14:textId="77777777" w:rsidR="00D1587D" w:rsidRDefault="00410D07">
            <w:pPr>
              <w:rPr>
                <w:sz w:val="20"/>
                <w:szCs w:val="20"/>
              </w:rPr>
            </w:pPr>
            <w:r>
              <w:rPr>
                <w:rFonts w:ascii="Arial" w:eastAsia="Arial" w:hAnsi="Arial" w:cs="Arial"/>
                <w:sz w:val="18"/>
                <w:szCs w:val="18"/>
              </w:rPr>
              <w:t>VS Change in Control</w:t>
            </w:r>
          </w:p>
        </w:tc>
        <w:tc>
          <w:tcPr>
            <w:tcW w:w="6420" w:type="dxa"/>
            <w:gridSpan w:val="3"/>
            <w:vAlign w:val="bottom"/>
          </w:tcPr>
          <w:p w14:paraId="111A04CA" w14:textId="77777777" w:rsidR="00D1587D" w:rsidRDefault="00410D07">
            <w:pPr>
              <w:ind w:left="3040"/>
              <w:rPr>
                <w:sz w:val="20"/>
                <w:szCs w:val="20"/>
              </w:rPr>
            </w:pPr>
            <w:r>
              <w:rPr>
                <w:rFonts w:ascii="Arial" w:eastAsia="Arial" w:hAnsi="Arial" w:cs="Arial"/>
                <w:sz w:val="18"/>
                <w:szCs w:val="18"/>
              </w:rPr>
              <w:t>Section 8.04(c)(ii)</w:t>
            </w:r>
          </w:p>
        </w:tc>
      </w:tr>
      <w:tr w:rsidR="00D1587D" w14:paraId="386B5D8D" w14:textId="77777777">
        <w:trPr>
          <w:trHeight w:val="216"/>
        </w:trPr>
        <w:tc>
          <w:tcPr>
            <w:tcW w:w="1140" w:type="dxa"/>
            <w:vAlign w:val="bottom"/>
          </w:tcPr>
          <w:p w14:paraId="7AA19294" w14:textId="77777777" w:rsidR="00D1587D" w:rsidRDefault="00D1587D">
            <w:pPr>
              <w:rPr>
                <w:sz w:val="18"/>
                <w:szCs w:val="18"/>
              </w:rPr>
            </w:pPr>
          </w:p>
        </w:tc>
        <w:tc>
          <w:tcPr>
            <w:tcW w:w="3680" w:type="dxa"/>
            <w:gridSpan w:val="2"/>
            <w:vAlign w:val="bottom"/>
          </w:tcPr>
          <w:p w14:paraId="23813F8A" w14:textId="77777777" w:rsidR="00D1587D" w:rsidRDefault="00410D07">
            <w:pPr>
              <w:rPr>
                <w:sz w:val="20"/>
                <w:szCs w:val="20"/>
              </w:rPr>
            </w:pPr>
            <w:r>
              <w:rPr>
                <w:rFonts w:ascii="Arial" w:eastAsia="Arial" w:hAnsi="Arial" w:cs="Arial"/>
                <w:sz w:val="18"/>
                <w:szCs w:val="18"/>
              </w:rPr>
              <w:t>VS Common Stock</w:t>
            </w:r>
          </w:p>
        </w:tc>
        <w:tc>
          <w:tcPr>
            <w:tcW w:w="6420" w:type="dxa"/>
            <w:gridSpan w:val="3"/>
            <w:vAlign w:val="bottom"/>
          </w:tcPr>
          <w:p w14:paraId="306F49B4" w14:textId="77777777" w:rsidR="00D1587D" w:rsidRDefault="00410D07">
            <w:pPr>
              <w:ind w:left="3040"/>
              <w:rPr>
                <w:sz w:val="20"/>
                <w:szCs w:val="20"/>
              </w:rPr>
            </w:pPr>
            <w:r>
              <w:rPr>
                <w:rFonts w:ascii="Arial" w:eastAsia="Arial" w:hAnsi="Arial" w:cs="Arial"/>
                <w:sz w:val="18"/>
                <w:szCs w:val="18"/>
              </w:rPr>
              <w:t>Recitals</w:t>
            </w:r>
          </w:p>
        </w:tc>
      </w:tr>
      <w:tr w:rsidR="00D1587D" w14:paraId="63F2CF23" w14:textId="77777777">
        <w:trPr>
          <w:trHeight w:val="216"/>
        </w:trPr>
        <w:tc>
          <w:tcPr>
            <w:tcW w:w="1140" w:type="dxa"/>
            <w:vAlign w:val="bottom"/>
          </w:tcPr>
          <w:p w14:paraId="09F0B7ED" w14:textId="77777777" w:rsidR="00D1587D" w:rsidRDefault="00D1587D">
            <w:pPr>
              <w:rPr>
                <w:sz w:val="18"/>
                <w:szCs w:val="18"/>
              </w:rPr>
            </w:pPr>
          </w:p>
        </w:tc>
        <w:tc>
          <w:tcPr>
            <w:tcW w:w="3680" w:type="dxa"/>
            <w:gridSpan w:val="2"/>
            <w:vAlign w:val="bottom"/>
          </w:tcPr>
          <w:p w14:paraId="72CCC06F" w14:textId="77777777" w:rsidR="00D1587D" w:rsidRDefault="00410D07">
            <w:pPr>
              <w:rPr>
                <w:sz w:val="20"/>
                <w:szCs w:val="20"/>
              </w:rPr>
            </w:pPr>
            <w:r>
              <w:rPr>
                <w:rFonts w:ascii="Arial" w:eastAsia="Arial" w:hAnsi="Arial" w:cs="Arial"/>
                <w:sz w:val="18"/>
                <w:szCs w:val="18"/>
              </w:rPr>
              <w:t>VS Equity Plan</w:t>
            </w:r>
          </w:p>
        </w:tc>
        <w:tc>
          <w:tcPr>
            <w:tcW w:w="6420" w:type="dxa"/>
            <w:gridSpan w:val="3"/>
            <w:vAlign w:val="bottom"/>
          </w:tcPr>
          <w:p w14:paraId="33FF4B26" w14:textId="77777777" w:rsidR="00D1587D" w:rsidRDefault="00410D07">
            <w:pPr>
              <w:ind w:left="3040"/>
              <w:rPr>
                <w:sz w:val="20"/>
                <w:szCs w:val="20"/>
              </w:rPr>
            </w:pPr>
            <w:r>
              <w:rPr>
                <w:rFonts w:ascii="Arial" w:eastAsia="Arial" w:hAnsi="Arial" w:cs="Arial"/>
                <w:sz w:val="18"/>
                <w:szCs w:val="18"/>
              </w:rPr>
              <w:t>Section 8.04(a)</w:t>
            </w:r>
          </w:p>
        </w:tc>
      </w:tr>
      <w:tr w:rsidR="00D1587D" w14:paraId="15E97C6B" w14:textId="77777777">
        <w:trPr>
          <w:trHeight w:val="216"/>
        </w:trPr>
        <w:tc>
          <w:tcPr>
            <w:tcW w:w="1140" w:type="dxa"/>
            <w:vAlign w:val="bottom"/>
          </w:tcPr>
          <w:p w14:paraId="750165DA" w14:textId="77777777" w:rsidR="00D1587D" w:rsidRDefault="00D1587D">
            <w:pPr>
              <w:rPr>
                <w:sz w:val="18"/>
                <w:szCs w:val="18"/>
              </w:rPr>
            </w:pPr>
          </w:p>
        </w:tc>
        <w:tc>
          <w:tcPr>
            <w:tcW w:w="3680" w:type="dxa"/>
            <w:gridSpan w:val="2"/>
            <w:vAlign w:val="bottom"/>
          </w:tcPr>
          <w:p w14:paraId="51AD4ADD" w14:textId="77777777" w:rsidR="00D1587D" w:rsidRDefault="00410D07">
            <w:pPr>
              <w:rPr>
                <w:sz w:val="20"/>
                <w:szCs w:val="20"/>
              </w:rPr>
            </w:pPr>
            <w:r>
              <w:rPr>
                <w:rFonts w:ascii="Arial" w:eastAsia="Arial" w:hAnsi="Arial" w:cs="Arial"/>
                <w:sz w:val="18"/>
                <w:szCs w:val="18"/>
              </w:rPr>
              <w:t>VS ESPP</w:t>
            </w:r>
          </w:p>
        </w:tc>
        <w:tc>
          <w:tcPr>
            <w:tcW w:w="6420" w:type="dxa"/>
            <w:gridSpan w:val="3"/>
            <w:vAlign w:val="bottom"/>
          </w:tcPr>
          <w:p w14:paraId="001DE511" w14:textId="77777777" w:rsidR="00D1587D" w:rsidRDefault="00410D07">
            <w:pPr>
              <w:ind w:left="3040"/>
              <w:rPr>
                <w:sz w:val="20"/>
                <w:szCs w:val="20"/>
              </w:rPr>
            </w:pPr>
            <w:r>
              <w:rPr>
                <w:rFonts w:ascii="Arial" w:eastAsia="Arial" w:hAnsi="Arial" w:cs="Arial"/>
                <w:sz w:val="18"/>
                <w:szCs w:val="18"/>
              </w:rPr>
              <w:t>Section 8.06</w:t>
            </w:r>
          </w:p>
        </w:tc>
      </w:tr>
      <w:tr w:rsidR="00D1587D" w14:paraId="2A7F1579" w14:textId="77777777">
        <w:trPr>
          <w:trHeight w:val="216"/>
        </w:trPr>
        <w:tc>
          <w:tcPr>
            <w:tcW w:w="1140" w:type="dxa"/>
            <w:vAlign w:val="bottom"/>
          </w:tcPr>
          <w:p w14:paraId="3956D40A" w14:textId="77777777" w:rsidR="00D1587D" w:rsidRDefault="00D1587D">
            <w:pPr>
              <w:rPr>
                <w:sz w:val="18"/>
                <w:szCs w:val="18"/>
              </w:rPr>
            </w:pPr>
          </w:p>
        </w:tc>
        <w:tc>
          <w:tcPr>
            <w:tcW w:w="3680" w:type="dxa"/>
            <w:gridSpan w:val="2"/>
            <w:vAlign w:val="bottom"/>
          </w:tcPr>
          <w:p w14:paraId="53114A32" w14:textId="77777777" w:rsidR="00D1587D" w:rsidRDefault="00410D07">
            <w:pPr>
              <w:rPr>
                <w:sz w:val="20"/>
                <w:szCs w:val="20"/>
              </w:rPr>
            </w:pPr>
            <w:r>
              <w:rPr>
                <w:rFonts w:ascii="Arial" w:eastAsia="Arial" w:hAnsi="Arial" w:cs="Arial"/>
                <w:sz w:val="18"/>
                <w:szCs w:val="18"/>
              </w:rPr>
              <w:t>VS FSAs</w:t>
            </w:r>
          </w:p>
        </w:tc>
        <w:tc>
          <w:tcPr>
            <w:tcW w:w="6420" w:type="dxa"/>
            <w:gridSpan w:val="3"/>
            <w:vAlign w:val="bottom"/>
          </w:tcPr>
          <w:p w14:paraId="595845EA" w14:textId="77777777" w:rsidR="00D1587D" w:rsidRDefault="00410D07">
            <w:pPr>
              <w:ind w:left="3040"/>
              <w:rPr>
                <w:sz w:val="20"/>
                <w:szCs w:val="20"/>
              </w:rPr>
            </w:pPr>
            <w:r>
              <w:rPr>
                <w:rFonts w:ascii="Arial" w:eastAsia="Arial" w:hAnsi="Arial" w:cs="Arial"/>
                <w:sz w:val="18"/>
                <w:szCs w:val="18"/>
              </w:rPr>
              <w:t>Section 6.03</w:t>
            </w:r>
          </w:p>
        </w:tc>
      </w:tr>
      <w:tr w:rsidR="00D1587D" w14:paraId="03D3F20F" w14:textId="77777777">
        <w:trPr>
          <w:trHeight w:val="216"/>
        </w:trPr>
        <w:tc>
          <w:tcPr>
            <w:tcW w:w="1140" w:type="dxa"/>
            <w:vAlign w:val="bottom"/>
          </w:tcPr>
          <w:p w14:paraId="68679946" w14:textId="77777777" w:rsidR="00D1587D" w:rsidRDefault="00D1587D">
            <w:pPr>
              <w:rPr>
                <w:sz w:val="18"/>
                <w:szCs w:val="18"/>
              </w:rPr>
            </w:pPr>
          </w:p>
        </w:tc>
        <w:tc>
          <w:tcPr>
            <w:tcW w:w="3680" w:type="dxa"/>
            <w:gridSpan w:val="2"/>
            <w:vAlign w:val="bottom"/>
          </w:tcPr>
          <w:p w14:paraId="696FF5DB" w14:textId="77777777" w:rsidR="00D1587D" w:rsidRDefault="00410D07">
            <w:pPr>
              <w:rPr>
                <w:sz w:val="20"/>
                <w:szCs w:val="20"/>
              </w:rPr>
            </w:pPr>
            <w:r>
              <w:rPr>
                <w:rFonts w:ascii="Arial" w:eastAsia="Arial" w:hAnsi="Arial" w:cs="Arial"/>
                <w:sz w:val="18"/>
                <w:szCs w:val="18"/>
              </w:rPr>
              <w:t>VS Option</w:t>
            </w:r>
          </w:p>
        </w:tc>
        <w:tc>
          <w:tcPr>
            <w:tcW w:w="6420" w:type="dxa"/>
            <w:gridSpan w:val="3"/>
            <w:vAlign w:val="bottom"/>
          </w:tcPr>
          <w:p w14:paraId="0737D430" w14:textId="77777777" w:rsidR="00D1587D" w:rsidRDefault="00410D07">
            <w:pPr>
              <w:ind w:left="3040"/>
              <w:rPr>
                <w:sz w:val="20"/>
                <w:szCs w:val="20"/>
              </w:rPr>
            </w:pPr>
            <w:r>
              <w:rPr>
                <w:rFonts w:ascii="Arial" w:eastAsia="Arial" w:hAnsi="Arial" w:cs="Arial"/>
                <w:sz w:val="18"/>
                <w:szCs w:val="18"/>
              </w:rPr>
              <w:t>Section 8.03(a)(ii)</w:t>
            </w:r>
          </w:p>
        </w:tc>
      </w:tr>
      <w:tr w:rsidR="00D1587D" w14:paraId="2DF51EA0" w14:textId="77777777">
        <w:trPr>
          <w:trHeight w:val="216"/>
        </w:trPr>
        <w:tc>
          <w:tcPr>
            <w:tcW w:w="1140" w:type="dxa"/>
            <w:vAlign w:val="bottom"/>
          </w:tcPr>
          <w:p w14:paraId="74F9DAE6" w14:textId="77777777" w:rsidR="00D1587D" w:rsidRDefault="00D1587D">
            <w:pPr>
              <w:rPr>
                <w:sz w:val="18"/>
                <w:szCs w:val="18"/>
              </w:rPr>
            </w:pPr>
          </w:p>
        </w:tc>
        <w:tc>
          <w:tcPr>
            <w:tcW w:w="3680" w:type="dxa"/>
            <w:gridSpan w:val="2"/>
            <w:vAlign w:val="bottom"/>
          </w:tcPr>
          <w:p w14:paraId="304FA543" w14:textId="77777777" w:rsidR="00D1587D" w:rsidRDefault="00410D07">
            <w:pPr>
              <w:rPr>
                <w:sz w:val="20"/>
                <w:szCs w:val="20"/>
              </w:rPr>
            </w:pPr>
            <w:r>
              <w:rPr>
                <w:rFonts w:ascii="Arial" w:eastAsia="Arial" w:hAnsi="Arial" w:cs="Arial"/>
                <w:sz w:val="18"/>
                <w:szCs w:val="18"/>
              </w:rPr>
              <w:t>VS PSU</w:t>
            </w:r>
          </w:p>
        </w:tc>
        <w:tc>
          <w:tcPr>
            <w:tcW w:w="6420" w:type="dxa"/>
            <w:gridSpan w:val="3"/>
            <w:vAlign w:val="bottom"/>
          </w:tcPr>
          <w:p w14:paraId="7A83D0FB" w14:textId="77777777" w:rsidR="00D1587D" w:rsidRDefault="00410D07">
            <w:pPr>
              <w:ind w:left="3040"/>
              <w:rPr>
                <w:sz w:val="20"/>
                <w:szCs w:val="20"/>
              </w:rPr>
            </w:pPr>
            <w:r>
              <w:rPr>
                <w:rFonts w:ascii="Arial" w:eastAsia="Arial" w:hAnsi="Arial" w:cs="Arial"/>
                <w:sz w:val="18"/>
                <w:szCs w:val="18"/>
              </w:rPr>
              <w:t>Section 8.02(a)</w:t>
            </w:r>
          </w:p>
        </w:tc>
      </w:tr>
      <w:tr w:rsidR="00D1587D" w14:paraId="5D74163C" w14:textId="77777777">
        <w:trPr>
          <w:trHeight w:val="230"/>
        </w:trPr>
        <w:tc>
          <w:tcPr>
            <w:tcW w:w="1140" w:type="dxa"/>
            <w:vAlign w:val="bottom"/>
          </w:tcPr>
          <w:p w14:paraId="2FA4BA44" w14:textId="77777777" w:rsidR="00D1587D" w:rsidRDefault="00D1587D">
            <w:pPr>
              <w:rPr>
                <w:sz w:val="20"/>
                <w:szCs w:val="20"/>
              </w:rPr>
            </w:pPr>
          </w:p>
        </w:tc>
        <w:tc>
          <w:tcPr>
            <w:tcW w:w="3680" w:type="dxa"/>
            <w:gridSpan w:val="2"/>
            <w:vAlign w:val="bottom"/>
          </w:tcPr>
          <w:p w14:paraId="5D8A89E2" w14:textId="77777777" w:rsidR="00D1587D" w:rsidRDefault="00410D07">
            <w:pPr>
              <w:rPr>
                <w:sz w:val="20"/>
                <w:szCs w:val="20"/>
              </w:rPr>
            </w:pPr>
            <w:r>
              <w:rPr>
                <w:rFonts w:ascii="Arial" w:eastAsia="Arial" w:hAnsi="Arial" w:cs="Arial"/>
                <w:sz w:val="18"/>
                <w:szCs w:val="18"/>
              </w:rPr>
              <w:t>VS RSU</w:t>
            </w:r>
          </w:p>
        </w:tc>
        <w:tc>
          <w:tcPr>
            <w:tcW w:w="6420" w:type="dxa"/>
            <w:gridSpan w:val="3"/>
            <w:vAlign w:val="bottom"/>
          </w:tcPr>
          <w:p w14:paraId="26D8925F" w14:textId="77777777" w:rsidR="00D1587D" w:rsidRDefault="00410D07">
            <w:pPr>
              <w:ind w:left="3040"/>
              <w:rPr>
                <w:sz w:val="20"/>
                <w:szCs w:val="20"/>
              </w:rPr>
            </w:pPr>
            <w:r>
              <w:rPr>
                <w:rFonts w:ascii="Arial" w:eastAsia="Arial" w:hAnsi="Arial" w:cs="Arial"/>
                <w:sz w:val="18"/>
                <w:szCs w:val="18"/>
              </w:rPr>
              <w:t xml:space="preserve">Section </w:t>
            </w:r>
            <w:r>
              <w:rPr>
                <w:rFonts w:ascii="Arial" w:eastAsia="Arial" w:hAnsi="Arial" w:cs="Arial"/>
                <w:sz w:val="18"/>
                <w:szCs w:val="18"/>
              </w:rPr>
              <w:t>8.01(a)</w:t>
            </w:r>
          </w:p>
        </w:tc>
      </w:tr>
      <w:tr w:rsidR="00D1587D" w14:paraId="5C2E6A2B" w14:textId="77777777">
        <w:trPr>
          <w:trHeight w:val="555"/>
        </w:trPr>
        <w:tc>
          <w:tcPr>
            <w:tcW w:w="1140" w:type="dxa"/>
            <w:vAlign w:val="bottom"/>
          </w:tcPr>
          <w:p w14:paraId="4985DFD3" w14:textId="77777777" w:rsidR="00D1587D" w:rsidRDefault="00D1587D">
            <w:pPr>
              <w:rPr>
                <w:sz w:val="24"/>
                <w:szCs w:val="24"/>
              </w:rPr>
            </w:pPr>
          </w:p>
        </w:tc>
        <w:tc>
          <w:tcPr>
            <w:tcW w:w="400" w:type="dxa"/>
            <w:vAlign w:val="bottom"/>
          </w:tcPr>
          <w:p w14:paraId="2FE88E4D" w14:textId="77777777" w:rsidR="00D1587D" w:rsidRDefault="00D1587D">
            <w:pPr>
              <w:rPr>
                <w:sz w:val="24"/>
                <w:szCs w:val="24"/>
              </w:rPr>
            </w:pPr>
          </w:p>
        </w:tc>
        <w:tc>
          <w:tcPr>
            <w:tcW w:w="3280" w:type="dxa"/>
            <w:vAlign w:val="bottom"/>
          </w:tcPr>
          <w:p w14:paraId="07A7E1FD" w14:textId="77777777" w:rsidR="00D1587D" w:rsidRDefault="00D1587D">
            <w:pPr>
              <w:rPr>
                <w:sz w:val="24"/>
                <w:szCs w:val="24"/>
              </w:rPr>
            </w:pPr>
          </w:p>
        </w:tc>
        <w:tc>
          <w:tcPr>
            <w:tcW w:w="3040" w:type="dxa"/>
            <w:vAlign w:val="bottom"/>
          </w:tcPr>
          <w:p w14:paraId="4E955B5C" w14:textId="77777777" w:rsidR="00D1587D" w:rsidRDefault="00410D07">
            <w:pPr>
              <w:ind w:left="760"/>
              <w:rPr>
                <w:sz w:val="20"/>
                <w:szCs w:val="20"/>
              </w:rPr>
            </w:pPr>
            <w:r>
              <w:rPr>
                <w:rFonts w:ascii="Arial" w:eastAsia="Arial" w:hAnsi="Arial" w:cs="Arial"/>
                <w:sz w:val="14"/>
                <w:szCs w:val="14"/>
              </w:rPr>
              <w:t>9</w:t>
            </w:r>
          </w:p>
        </w:tc>
        <w:tc>
          <w:tcPr>
            <w:tcW w:w="560" w:type="dxa"/>
            <w:vAlign w:val="bottom"/>
          </w:tcPr>
          <w:p w14:paraId="52DEB7F4" w14:textId="77777777" w:rsidR="00D1587D" w:rsidRDefault="00D1587D">
            <w:pPr>
              <w:rPr>
                <w:sz w:val="24"/>
                <w:szCs w:val="24"/>
              </w:rPr>
            </w:pPr>
          </w:p>
        </w:tc>
        <w:tc>
          <w:tcPr>
            <w:tcW w:w="2820" w:type="dxa"/>
            <w:vAlign w:val="bottom"/>
          </w:tcPr>
          <w:p w14:paraId="4543FC2F" w14:textId="77777777" w:rsidR="00D1587D" w:rsidRDefault="00D1587D">
            <w:pPr>
              <w:rPr>
                <w:sz w:val="24"/>
                <w:szCs w:val="24"/>
              </w:rPr>
            </w:pPr>
          </w:p>
        </w:tc>
      </w:tr>
      <w:tr w:rsidR="00D1587D" w14:paraId="50B5B2E4" w14:textId="77777777">
        <w:trPr>
          <w:trHeight w:val="46"/>
        </w:trPr>
        <w:tc>
          <w:tcPr>
            <w:tcW w:w="1140" w:type="dxa"/>
            <w:tcBorders>
              <w:bottom w:val="single" w:sz="8" w:space="0" w:color="auto"/>
            </w:tcBorders>
            <w:vAlign w:val="bottom"/>
          </w:tcPr>
          <w:p w14:paraId="7BABDE51" w14:textId="77777777" w:rsidR="00D1587D" w:rsidRDefault="00D1587D">
            <w:pPr>
              <w:rPr>
                <w:sz w:val="4"/>
                <w:szCs w:val="4"/>
              </w:rPr>
            </w:pPr>
          </w:p>
        </w:tc>
        <w:tc>
          <w:tcPr>
            <w:tcW w:w="400" w:type="dxa"/>
            <w:tcBorders>
              <w:bottom w:val="single" w:sz="8" w:space="0" w:color="auto"/>
            </w:tcBorders>
            <w:vAlign w:val="bottom"/>
          </w:tcPr>
          <w:p w14:paraId="0B7CBC72" w14:textId="77777777" w:rsidR="00D1587D" w:rsidRDefault="00D1587D">
            <w:pPr>
              <w:rPr>
                <w:sz w:val="4"/>
                <w:szCs w:val="4"/>
              </w:rPr>
            </w:pPr>
          </w:p>
        </w:tc>
        <w:tc>
          <w:tcPr>
            <w:tcW w:w="3280" w:type="dxa"/>
            <w:tcBorders>
              <w:bottom w:val="single" w:sz="8" w:space="0" w:color="auto"/>
            </w:tcBorders>
            <w:vAlign w:val="bottom"/>
          </w:tcPr>
          <w:p w14:paraId="4B560DFF" w14:textId="77777777" w:rsidR="00D1587D" w:rsidRDefault="00D1587D">
            <w:pPr>
              <w:rPr>
                <w:sz w:val="4"/>
                <w:szCs w:val="4"/>
              </w:rPr>
            </w:pPr>
          </w:p>
        </w:tc>
        <w:tc>
          <w:tcPr>
            <w:tcW w:w="3040" w:type="dxa"/>
            <w:tcBorders>
              <w:bottom w:val="single" w:sz="8" w:space="0" w:color="auto"/>
            </w:tcBorders>
            <w:vAlign w:val="bottom"/>
          </w:tcPr>
          <w:p w14:paraId="3F63CC66" w14:textId="77777777" w:rsidR="00D1587D" w:rsidRDefault="00D1587D">
            <w:pPr>
              <w:rPr>
                <w:sz w:val="4"/>
                <w:szCs w:val="4"/>
              </w:rPr>
            </w:pPr>
          </w:p>
        </w:tc>
        <w:tc>
          <w:tcPr>
            <w:tcW w:w="560" w:type="dxa"/>
            <w:tcBorders>
              <w:bottom w:val="single" w:sz="8" w:space="0" w:color="auto"/>
            </w:tcBorders>
            <w:vAlign w:val="bottom"/>
          </w:tcPr>
          <w:p w14:paraId="72A539F2" w14:textId="77777777" w:rsidR="00D1587D" w:rsidRDefault="00D1587D">
            <w:pPr>
              <w:rPr>
                <w:sz w:val="4"/>
                <w:szCs w:val="4"/>
              </w:rPr>
            </w:pPr>
          </w:p>
        </w:tc>
        <w:tc>
          <w:tcPr>
            <w:tcW w:w="2820" w:type="dxa"/>
            <w:tcBorders>
              <w:bottom w:val="single" w:sz="8" w:space="0" w:color="auto"/>
            </w:tcBorders>
            <w:vAlign w:val="bottom"/>
          </w:tcPr>
          <w:p w14:paraId="47ACF166" w14:textId="77777777" w:rsidR="00D1587D" w:rsidRDefault="00D1587D">
            <w:pPr>
              <w:rPr>
                <w:sz w:val="4"/>
                <w:szCs w:val="4"/>
              </w:rPr>
            </w:pPr>
          </w:p>
        </w:tc>
      </w:tr>
    </w:tbl>
    <w:p w14:paraId="659CB0B0" w14:textId="77777777" w:rsidR="00D1587D" w:rsidRDefault="00D1587D">
      <w:pPr>
        <w:sectPr w:rsidR="00D1587D">
          <w:pgSz w:w="11900" w:h="16838"/>
          <w:pgMar w:top="121" w:right="339" w:bottom="1440" w:left="320" w:header="0" w:footer="0" w:gutter="0"/>
          <w:cols w:space="720" w:equalWidth="0">
            <w:col w:w="11240"/>
          </w:cols>
        </w:sectPr>
      </w:pPr>
    </w:p>
    <w:p w14:paraId="4733444D" w14:textId="77777777" w:rsidR="00D1587D" w:rsidRDefault="00410D07">
      <w:pPr>
        <w:jc w:val="center"/>
        <w:rPr>
          <w:sz w:val="20"/>
          <w:szCs w:val="20"/>
        </w:rPr>
      </w:pPr>
      <w:bookmarkStart w:id="180" w:name="page181"/>
      <w:bookmarkEnd w:id="180"/>
      <w:r>
        <w:rPr>
          <w:rFonts w:ascii="Arial" w:eastAsia="Arial" w:hAnsi="Arial" w:cs="Arial"/>
          <w:sz w:val="18"/>
          <w:szCs w:val="18"/>
        </w:rPr>
        <w:t>ARTICLE 2</w:t>
      </w:r>
    </w:p>
    <w:p w14:paraId="14D01B30" w14:textId="77777777" w:rsidR="00D1587D" w:rsidRDefault="00D1587D">
      <w:pPr>
        <w:spacing w:line="23" w:lineRule="exact"/>
        <w:rPr>
          <w:sz w:val="20"/>
          <w:szCs w:val="20"/>
        </w:rPr>
      </w:pPr>
    </w:p>
    <w:p w14:paraId="0EAFB26B" w14:textId="77777777" w:rsidR="00D1587D" w:rsidRDefault="00410D07">
      <w:pPr>
        <w:ind w:left="3800"/>
        <w:rPr>
          <w:sz w:val="20"/>
          <w:szCs w:val="20"/>
        </w:rPr>
      </w:pPr>
      <w:r>
        <w:rPr>
          <w:rFonts w:ascii="Arial" w:eastAsia="Arial" w:hAnsi="Arial" w:cs="Arial"/>
          <w:sz w:val="18"/>
          <w:szCs w:val="18"/>
        </w:rPr>
        <w:t>G</w:t>
      </w:r>
      <w:r>
        <w:rPr>
          <w:rFonts w:ascii="Arial" w:eastAsia="Arial" w:hAnsi="Arial" w:cs="Arial"/>
          <w:sz w:val="12"/>
          <w:szCs w:val="12"/>
        </w:rPr>
        <w:t>ENERAL</w:t>
      </w:r>
      <w:r>
        <w:rPr>
          <w:rFonts w:ascii="Arial" w:eastAsia="Arial" w:hAnsi="Arial" w:cs="Arial"/>
          <w:sz w:val="18"/>
          <w:szCs w:val="18"/>
        </w:rPr>
        <w:t xml:space="preserve"> A</w:t>
      </w:r>
      <w:r>
        <w:rPr>
          <w:rFonts w:ascii="Arial" w:eastAsia="Arial" w:hAnsi="Arial" w:cs="Arial"/>
          <w:sz w:val="12"/>
          <w:szCs w:val="12"/>
        </w:rPr>
        <w:t>LLOCATION OF</w:t>
      </w:r>
      <w:r>
        <w:rPr>
          <w:rFonts w:ascii="Arial" w:eastAsia="Arial" w:hAnsi="Arial" w:cs="Arial"/>
          <w:sz w:val="18"/>
          <w:szCs w:val="18"/>
        </w:rPr>
        <w:t xml:space="preserve"> L</w:t>
      </w:r>
      <w:r>
        <w:rPr>
          <w:rFonts w:ascii="Arial" w:eastAsia="Arial" w:hAnsi="Arial" w:cs="Arial"/>
          <w:sz w:val="12"/>
          <w:szCs w:val="12"/>
        </w:rPr>
        <w:t>IABILITIES</w:t>
      </w:r>
      <w:r>
        <w:rPr>
          <w:rFonts w:ascii="Arial" w:eastAsia="Arial" w:hAnsi="Arial" w:cs="Arial"/>
          <w:sz w:val="18"/>
          <w:szCs w:val="18"/>
        </w:rPr>
        <w:t>; I</w:t>
      </w:r>
      <w:r>
        <w:rPr>
          <w:rFonts w:ascii="Arial" w:eastAsia="Arial" w:hAnsi="Arial" w:cs="Arial"/>
          <w:sz w:val="12"/>
          <w:szCs w:val="12"/>
        </w:rPr>
        <w:t>NDEMNIFICATION</w:t>
      </w:r>
    </w:p>
    <w:p w14:paraId="055C6C45" w14:textId="77777777" w:rsidR="00D1587D" w:rsidRDefault="00D1587D">
      <w:pPr>
        <w:spacing w:line="211" w:lineRule="exact"/>
        <w:rPr>
          <w:sz w:val="20"/>
          <w:szCs w:val="20"/>
        </w:rPr>
      </w:pPr>
    </w:p>
    <w:p w14:paraId="45B24BC9" w14:textId="77777777" w:rsidR="00D1587D" w:rsidRDefault="00410D07">
      <w:pPr>
        <w:ind w:left="660"/>
        <w:rPr>
          <w:sz w:val="20"/>
          <w:szCs w:val="20"/>
        </w:rPr>
      </w:pPr>
      <w:r>
        <w:rPr>
          <w:rFonts w:ascii="Arial" w:eastAsia="Arial" w:hAnsi="Arial" w:cs="Arial"/>
          <w:sz w:val="18"/>
          <w:szCs w:val="18"/>
        </w:rPr>
        <w:t xml:space="preserve">Section 2.01. </w:t>
      </w:r>
      <w:r>
        <w:rPr>
          <w:rFonts w:ascii="Arial" w:eastAsia="Arial" w:hAnsi="Arial" w:cs="Arial"/>
          <w:i/>
          <w:iCs/>
          <w:sz w:val="18"/>
          <w:szCs w:val="18"/>
        </w:rPr>
        <w:t>Allocation of Employee-Related Liabilities</w:t>
      </w:r>
      <w:r>
        <w:rPr>
          <w:rFonts w:ascii="Arial" w:eastAsia="Arial" w:hAnsi="Arial" w:cs="Arial"/>
          <w:sz w:val="18"/>
          <w:szCs w:val="18"/>
        </w:rPr>
        <w:t>.</w:t>
      </w:r>
    </w:p>
    <w:p w14:paraId="64124B1D" w14:textId="77777777" w:rsidR="00D1587D" w:rsidRDefault="00D1587D">
      <w:pPr>
        <w:spacing w:line="225" w:lineRule="exact"/>
        <w:rPr>
          <w:sz w:val="20"/>
          <w:szCs w:val="20"/>
        </w:rPr>
      </w:pPr>
    </w:p>
    <w:p w14:paraId="2CD8835C" w14:textId="77777777" w:rsidR="00D1587D" w:rsidRDefault="00410D07">
      <w:pPr>
        <w:numPr>
          <w:ilvl w:val="1"/>
          <w:numId w:val="144"/>
        </w:numPr>
        <w:tabs>
          <w:tab w:val="left" w:pos="1126"/>
        </w:tabs>
        <w:spacing w:line="284" w:lineRule="auto"/>
        <w:ind w:firstLine="656"/>
        <w:jc w:val="both"/>
        <w:rPr>
          <w:rFonts w:ascii="Arial" w:eastAsia="Arial" w:hAnsi="Arial" w:cs="Arial"/>
          <w:sz w:val="16"/>
          <w:szCs w:val="16"/>
        </w:rPr>
      </w:pPr>
      <w:r>
        <w:rPr>
          <w:rFonts w:ascii="Arial" w:eastAsia="Arial" w:hAnsi="Arial" w:cs="Arial"/>
          <w:sz w:val="16"/>
          <w:szCs w:val="16"/>
        </w:rPr>
        <w:t xml:space="preserve">Subject to the terms and conditions of this Agreement, effective as of the </w:t>
      </w:r>
      <w:r>
        <w:rPr>
          <w:rFonts w:ascii="Arial" w:eastAsia="Arial" w:hAnsi="Arial" w:cs="Arial"/>
          <w:sz w:val="16"/>
          <w:szCs w:val="16"/>
        </w:rPr>
        <w:t>Distribution Date, L Brands shall, or shall cause the applicable member of the L Brands Group to, assume and retain, and no member of the VS Group shall have any further obligation with respect to, any and all Liabilities (i) relating to, arising out of or</w:t>
      </w:r>
      <w:r>
        <w:rPr>
          <w:rFonts w:ascii="Arial" w:eastAsia="Arial" w:hAnsi="Arial" w:cs="Arial"/>
          <w:sz w:val="16"/>
          <w:szCs w:val="16"/>
        </w:rPr>
        <w:t xml:space="preserve"> in respect of any L Brands Participant (including, for the avoidance of doubt, any Former L Brands Employee) or any L Brands Plan, in each case, other than any VS Assumed Employee Liabilities (as defined below), (A) whether arising before, on or after the</w:t>
      </w:r>
      <w:r>
        <w:rPr>
          <w:rFonts w:ascii="Arial" w:eastAsia="Arial" w:hAnsi="Arial" w:cs="Arial"/>
          <w:sz w:val="16"/>
          <w:szCs w:val="16"/>
        </w:rPr>
        <w:t xml:space="preserve"> Distribution Date, (B) whether based on facts occurring before, on or after the Distribution Date and (C) irrespective of which Person such Liabilities are asserted against or which Person such Liabilities attached to as a matter of Applicable Law or cont</w:t>
      </w:r>
      <w:r>
        <w:rPr>
          <w:rFonts w:ascii="Arial" w:eastAsia="Arial" w:hAnsi="Arial" w:cs="Arial"/>
          <w:sz w:val="16"/>
          <w:szCs w:val="16"/>
        </w:rPr>
        <w:t>ract or (ii) expressly assumed or retained, as applicable, by any member of the L Brands Group pursuant to this Agreement (collectively, “L Brands Retained Employee Liabilities”). For the avoidance of doubt,</w:t>
      </w:r>
    </w:p>
    <w:p w14:paraId="09342283" w14:textId="77777777" w:rsidR="00D1587D" w:rsidRDefault="00D1587D">
      <w:pPr>
        <w:spacing w:line="2" w:lineRule="exact"/>
        <w:rPr>
          <w:rFonts w:ascii="Arial" w:eastAsia="Arial" w:hAnsi="Arial" w:cs="Arial"/>
          <w:sz w:val="16"/>
          <w:szCs w:val="16"/>
        </w:rPr>
      </w:pPr>
    </w:p>
    <w:p w14:paraId="301CB702" w14:textId="77777777" w:rsidR="00D1587D" w:rsidRDefault="00410D07">
      <w:pPr>
        <w:numPr>
          <w:ilvl w:val="0"/>
          <w:numId w:val="145"/>
        </w:numPr>
        <w:tabs>
          <w:tab w:val="left" w:pos="262"/>
        </w:tabs>
        <w:spacing w:line="255" w:lineRule="auto"/>
        <w:ind w:firstLine="8"/>
        <w:jc w:val="both"/>
        <w:rPr>
          <w:rFonts w:ascii="Arial" w:eastAsia="Arial" w:hAnsi="Arial" w:cs="Arial"/>
          <w:sz w:val="18"/>
          <w:szCs w:val="18"/>
        </w:rPr>
      </w:pPr>
      <w:r>
        <w:rPr>
          <w:rFonts w:ascii="Arial" w:eastAsia="Arial" w:hAnsi="Arial" w:cs="Arial"/>
          <w:sz w:val="18"/>
          <w:szCs w:val="18"/>
        </w:rPr>
        <w:t>any Liabilities relating to any Actions that ar</w:t>
      </w:r>
      <w:r>
        <w:rPr>
          <w:rFonts w:ascii="Arial" w:eastAsia="Arial" w:hAnsi="Arial" w:cs="Arial"/>
          <w:sz w:val="18"/>
          <w:szCs w:val="18"/>
        </w:rPr>
        <w:t>e L Brands Liabilities, including those listed on Schedule 1.01(e) to the Separation Agreement relating to LB Participants or LB Plans shall constitute L Brands Retained Employee Liabilities and (2) all L Brands Retained Employee Liabilities are L Brands L</w:t>
      </w:r>
      <w:r>
        <w:rPr>
          <w:rFonts w:ascii="Arial" w:eastAsia="Arial" w:hAnsi="Arial" w:cs="Arial"/>
          <w:sz w:val="18"/>
          <w:szCs w:val="18"/>
        </w:rPr>
        <w:t>iabilities for purposes of the Separation Agreement.</w:t>
      </w:r>
    </w:p>
    <w:p w14:paraId="58A5A323" w14:textId="77777777" w:rsidR="00D1587D" w:rsidRDefault="00D1587D">
      <w:pPr>
        <w:spacing w:line="189" w:lineRule="exact"/>
        <w:rPr>
          <w:rFonts w:ascii="Arial" w:eastAsia="Arial" w:hAnsi="Arial" w:cs="Arial"/>
          <w:sz w:val="18"/>
          <w:szCs w:val="18"/>
        </w:rPr>
      </w:pPr>
    </w:p>
    <w:p w14:paraId="657066A1" w14:textId="77777777" w:rsidR="00D1587D" w:rsidRDefault="00410D07">
      <w:pPr>
        <w:numPr>
          <w:ilvl w:val="1"/>
          <w:numId w:val="145"/>
        </w:numPr>
        <w:tabs>
          <w:tab w:val="left" w:pos="1096"/>
        </w:tabs>
        <w:spacing w:line="272" w:lineRule="auto"/>
        <w:ind w:firstLine="656"/>
        <w:jc w:val="both"/>
        <w:rPr>
          <w:rFonts w:ascii="Arial" w:eastAsia="Arial" w:hAnsi="Arial" w:cs="Arial"/>
          <w:sz w:val="17"/>
          <w:szCs w:val="17"/>
        </w:rPr>
      </w:pPr>
      <w:r>
        <w:rPr>
          <w:rFonts w:ascii="Arial" w:eastAsia="Arial" w:hAnsi="Arial" w:cs="Arial"/>
          <w:sz w:val="17"/>
          <w:szCs w:val="17"/>
        </w:rPr>
        <w:t>Subject to the terms and conditions of this Agreement, effective as of the Distribution Date, VS shall, or shall cause the applicable member of the VS Group to, assume, and no member of the L Brands Gro</w:t>
      </w:r>
      <w:r>
        <w:rPr>
          <w:rFonts w:ascii="Arial" w:eastAsia="Arial" w:hAnsi="Arial" w:cs="Arial"/>
          <w:sz w:val="17"/>
          <w:szCs w:val="17"/>
        </w:rPr>
        <w:t>up shall have any further obligation with respect to, any and all Liabilities (i) relating to, arising out of or in respect of any VS Participant (including, for the avoidance of doubt, any Former VS Employee) or any VS Plan, in each case, (x) whether aris</w:t>
      </w:r>
      <w:r>
        <w:rPr>
          <w:rFonts w:ascii="Arial" w:eastAsia="Arial" w:hAnsi="Arial" w:cs="Arial"/>
          <w:sz w:val="17"/>
          <w:szCs w:val="17"/>
        </w:rPr>
        <w:t>ing before, on or after the Distribution Date, (y) whether based on facts occurring before, on or after the Distribution Date and (z) irrespective of which Person such Liabilities are asserted against or which Person such Liabilities attached to as a matte</w:t>
      </w:r>
      <w:r>
        <w:rPr>
          <w:rFonts w:ascii="Arial" w:eastAsia="Arial" w:hAnsi="Arial" w:cs="Arial"/>
          <w:sz w:val="17"/>
          <w:szCs w:val="17"/>
        </w:rPr>
        <w:t>r of Applicable Law or contract or (ii) expressly assumed or retained, as applicable, by any member of the VS Group pursuant to this Agreement (collectively, “VS Assumed Employee Liabilities”), including without limitation, in the case of clause (i) above:</w:t>
      </w:r>
    </w:p>
    <w:p w14:paraId="241E246D" w14:textId="77777777" w:rsidR="00D1587D" w:rsidRDefault="00D1587D">
      <w:pPr>
        <w:spacing w:line="177" w:lineRule="exact"/>
        <w:rPr>
          <w:rFonts w:ascii="Arial" w:eastAsia="Arial" w:hAnsi="Arial" w:cs="Arial"/>
          <w:sz w:val="17"/>
          <w:szCs w:val="17"/>
        </w:rPr>
      </w:pPr>
    </w:p>
    <w:p w14:paraId="33683FB1" w14:textId="77777777" w:rsidR="00D1587D" w:rsidRDefault="00410D07">
      <w:pPr>
        <w:numPr>
          <w:ilvl w:val="2"/>
          <w:numId w:val="145"/>
        </w:numPr>
        <w:tabs>
          <w:tab w:val="left" w:pos="1620"/>
        </w:tabs>
        <w:ind w:left="1620" w:hanging="478"/>
        <w:rPr>
          <w:rFonts w:ascii="Arial" w:eastAsia="Arial" w:hAnsi="Arial" w:cs="Arial"/>
          <w:sz w:val="18"/>
          <w:szCs w:val="18"/>
        </w:rPr>
      </w:pPr>
      <w:r>
        <w:rPr>
          <w:rFonts w:ascii="Arial" w:eastAsia="Arial" w:hAnsi="Arial" w:cs="Arial"/>
          <w:sz w:val="18"/>
          <w:szCs w:val="18"/>
        </w:rPr>
        <w:t>employment, separation or retirement agreements or arrangements to the extent applicable to any VS Participant;</w:t>
      </w:r>
    </w:p>
    <w:p w14:paraId="416037D3" w14:textId="77777777" w:rsidR="00D1587D" w:rsidRDefault="00D1587D">
      <w:pPr>
        <w:spacing w:line="225" w:lineRule="exact"/>
        <w:rPr>
          <w:rFonts w:ascii="Arial" w:eastAsia="Arial" w:hAnsi="Arial" w:cs="Arial"/>
          <w:sz w:val="18"/>
          <w:szCs w:val="18"/>
        </w:rPr>
      </w:pPr>
    </w:p>
    <w:p w14:paraId="234A8148" w14:textId="77777777" w:rsidR="00D1587D" w:rsidRDefault="00410D07">
      <w:pPr>
        <w:numPr>
          <w:ilvl w:val="2"/>
          <w:numId w:val="145"/>
        </w:numPr>
        <w:tabs>
          <w:tab w:val="left" w:pos="1705"/>
        </w:tabs>
        <w:spacing w:line="263" w:lineRule="auto"/>
        <w:ind w:left="660" w:firstLine="482"/>
        <w:jc w:val="both"/>
        <w:rPr>
          <w:rFonts w:ascii="Arial" w:eastAsia="Arial" w:hAnsi="Arial" w:cs="Arial"/>
          <w:sz w:val="18"/>
          <w:szCs w:val="18"/>
        </w:rPr>
      </w:pPr>
      <w:r>
        <w:rPr>
          <w:rFonts w:ascii="Arial" w:eastAsia="Arial" w:hAnsi="Arial" w:cs="Arial"/>
          <w:sz w:val="18"/>
          <w:szCs w:val="18"/>
        </w:rPr>
        <w:t>wages, salaries, incentive compensation, commissions, bonuses and other compensation payable to any VS Participants, without regard to when s</w:t>
      </w:r>
      <w:r>
        <w:rPr>
          <w:rFonts w:ascii="Arial" w:eastAsia="Arial" w:hAnsi="Arial" w:cs="Arial"/>
          <w:sz w:val="18"/>
          <w:szCs w:val="18"/>
        </w:rPr>
        <w:t>uch wages, salaries, incentive compensation, equity compensation, commissions, bonuses and other compensation are or may have been earned;</w:t>
      </w:r>
    </w:p>
    <w:p w14:paraId="7C4E62A5" w14:textId="77777777" w:rsidR="00D1587D" w:rsidRDefault="00D1587D">
      <w:pPr>
        <w:spacing w:line="355" w:lineRule="exact"/>
        <w:rPr>
          <w:sz w:val="20"/>
          <w:szCs w:val="20"/>
        </w:rPr>
      </w:pPr>
    </w:p>
    <w:p w14:paraId="662B5CAF" w14:textId="77777777" w:rsidR="00D1587D" w:rsidRDefault="00410D07">
      <w:pPr>
        <w:jc w:val="center"/>
        <w:rPr>
          <w:sz w:val="20"/>
          <w:szCs w:val="20"/>
        </w:rPr>
      </w:pPr>
      <w:r>
        <w:rPr>
          <w:rFonts w:ascii="Arial" w:eastAsia="Arial" w:hAnsi="Arial" w:cs="Arial"/>
          <w:sz w:val="14"/>
          <w:szCs w:val="14"/>
        </w:rPr>
        <w:t>10</w:t>
      </w:r>
    </w:p>
    <w:p w14:paraId="288F9272" w14:textId="77777777" w:rsidR="00D1587D" w:rsidRDefault="00410D07">
      <w:pPr>
        <w:spacing w:line="20" w:lineRule="exact"/>
        <w:rPr>
          <w:sz w:val="20"/>
          <w:szCs w:val="20"/>
        </w:rPr>
      </w:pPr>
      <w:r>
        <w:rPr>
          <w:noProof/>
          <w:sz w:val="20"/>
          <w:szCs w:val="20"/>
        </w:rPr>
        <w:drawing>
          <wp:anchor distT="0" distB="0" distL="114300" distR="114300" simplePos="0" relativeHeight="251338752" behindDoc="1" locked="0" layoutInCell="0" allowOverlap="1" wp14:anchorId="397B4295" wp14:editId="48B63109">
            <wp:simplePos x="0" y="0"/>
            <wp:positionH relativeFrom="column">
              <wp:posOffset>5080</wp:posOffset>
            </wp:positionH>
            <wp:positionV relativeFrom="paragraph">
              <wp:posOffset>38100</wp:posOffset>
            </wp:positionV>
            <wp:extent cx="7132320" cy="1714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6F1F655" w14:textId="77777777" w:rsidR="00D1587D" w:rsidRDefault="00D1587D">
      <w:pPr>
        <w:sectPr w:rsidR="00D1587D">
          <w:pgSz w:w="11900" w:h="16838"/>
          <w:pgMar w:top="125" w:right="339" w:bottom="1440" w:left="320" w:header="0" w:footer="0" w:gutter="0"/>
          <w:cols w:space="720" w:equalWidth="0">
            <w:col w:w="11240"/>
          </w:cols>
        </w:sectPr>
      </w:pPr>
    </w:p>
    <w:p w14:paraId="2B83E955" w14:textId="77777777" w:rsidR="00D1587D" w:rsidRDefault="00410D07">
      <w:pPr>
        <w:numPr>
          <w:ilvl w:val="0"/>
          <w:numId w:val="146"/>
        </w:numPr>
        <w:tabs>
          <w:tab w:val="left" w:pos="1746"/>
        </w:tabs>
        <w:spacing w:line="342" w:lineRule="auto"/>
        <w:ind w:left="660" w:firstLine="482"/>
        <w:rPr>
          <w:rFonts w:ascii="Arial" w:eastAsia="Arial" w:hAnsi="Arial" w:cs="Arial"/>
          <w:sz w:val="16"/>
          <w:szCs w:val="16"/>
        </w:rPr>
      </w:pPr>
      <w:bookmarkStart w:id="181" w:name="page182"/>
      <w:bookmarkEnd w:id="181"/>
      <w:r>
        <w:rPr>
          <w:rFonts w:ascii="Arial" w:eastAsia="Arial" w:hAnsi="Arial" w:cs="Arial"/>
          <w:sz w:val="16"/>
          <w:szCs w:val="16"/>
        </w:rPr>
        <w:t xml:space="preserve">severance or similar termination-related pay or benefits applicable to any VS </w:t>
      </w:r>
      <w:r>
        <w:rPr>
          <w:rFonts w:ascii="Arial" w:eastAsia="Arial" w:hAnsi="Arial" w:cs="Arial"/>
          <w:sz w:val="16"/>
          <w:szCs w:val="16"/>
        </w:rPr>
        <w:t>Participant relating to the termination or alleged termination of any VS Participant’s employment or service with the VS Group or L Brands Group that occurs prior to, at or after the Distribution;</w:t>
      </w:r>
    </w:p>
    <w:p w14:paraId="7E9B1C2B" w14:textId="77777777" w:rsidR="00D1587D" w:rsidRDefault="00D1587D">
      <w:pPr>
        <w:spacing w:line="123" w:lineRule="exact"/>
        <w:rPr>
          <w:rFonts w:ascii="Arial" w:eastAsia="Arial" w:hAnsi="Arial" w:cs="Arial"/>
          <w:sz w:val="16"/>
          <w:szCs w:val="16"/>
        </w:rPr>
      </w:pPr>
    </w:p>
    <w:p w14:paraId="1F94A9F7" w14:textId="77777777" w:rsidR="00D1587D" w:rsidRDefault="00410D07">
      <w:pPr>
        <w:numPr>
          <w:ilvl w:val="0"/>
          <w:numId w:val="146"/>
        </w:numPr>
        <w:tabs>
          <w:tab w:val="left" w:pos="1702"/>
        </w:tabs>
        <w:spacing w:line="277" w:lineRule="auto"/>
        <w:ind w:left="660" w:firstLine="482"/>
        <w:rPr>
          <w:rFonts w:ascii="Arial" w:eastAsia="Arial" w:hAnsi="Arial" w:cs="Arial"/>
          <w:sz w:val="18"/>
          <w:szCs w:val="18"/>
        </w:rPr>
      </w:pPr>
      <w:r>
        <w:rPr>
          <w:rFonts w:ascii="Arial" w:eastAsia="Arial" w:hAnsi="Arial" w:cs="Arial"/>
          <w:sz w:val="18"/>
          <w:szCs w:val="18"/>
        </w:rPr>
        <w:t>claims made by or with respect to any VS Participant in co</w:t>
      </w:r>
      <w:r>
        <w:rPr>
          <w:rFonts w:ascii="Arial" w:eastAsia="Arial" w:hAnsi="Arial" w:cs="Arial"/>
          <w:sz w:val="18"/>
          <w:szCs w:val="18"/>
        </w:rPr>
        <w:t>nnection with any employee benefit plan, program or policy, without regard to when such claim is in respect of;</w:t>
      </w:r>
    </w:p>
    <w:p w14:paraId="25492473" w14:textId="77777777" w:rsidR="00D1587D" w:rsidRDefault="00D1587D">
      <w:pPr>
        <w:spacing w:line="170" w:lineRule="exact"/>
        <w:rPr>
          <w:rFonts w:ascii="Arial" w:eastAsia="Arial" w:hAnsi="Arial" w:cs="Arial"/>
          <w:sz w:val="18"/>
          <w:szCs w:val="18"/>
        </w:rPr>
      </w:pPr>
    </w:p>
    <w:p w14:paraId="020820B4" w14:textId="77777777" w:rsidR="00D1587D" w:rsidRDefault="00410D07">
      <w:pPr>
        <w:numPr>
          <w:ilvl w:val="0"/>
          <w:numId w:val="146"/>
        </w:numPr>
        <w:tabs>
          <w:tab w:val="left" w:pos="1600"/>
        </w:tabs>
        <w:ind w:left="1600" w:hanging="458"/>
        <w:rPr>
          <w:rFonts w:ascii="Arial" w:eastAsia="Arial" w:hAnsi="Arial" w:cs="Arial"/>
          <w:sz w:val="18"/>
          <w:szCs w:val="18"/>
        </w:rPr>
      </w:pPr>
      <w:r>
        <w:rPr>
          <w:rFonts w:ascii="Arial" w:eastAsia="Arial" w:hAnsi="Arial" w:cs="Arial"/>
          <w:sz w:val="18"/>
          <w:szCs w:val="18"/>
        </w:rPr>
        <w:t>subject to Section 6.04, workers’ compensation and unemployment compensation benefits for all VS Participants;</w:t>
      </w:r>
    </w:p>
    <w:p w14:paraId="0CDB5377" w14:textId="77777777" w:rsidR="00D1587D" w:rsidRDefault="00D1587D">
      <w:pPr>
        <w:spacing w:line="225" w:lineRule="exact"/>
        <w:rPr>
          <w:rFonts w:ascii="Arial" w:eastAsia="Arial" w:hAnsi="Arial" w:cs="Arial"/>
          <w:sz w:val="18"/>
          <w:szCs w:val="18"/>
        </w:rPr>
      </w:pPr>
    </w:p>
    <w:p w14:paraId="551DA6F1" w14:textId="77777777" w:rsidR="00D1587D" w:rsidRDefault="00410D07">
      <w:pPr>
        <w:numPr>
          <w:ilvl w:val="0"/>
          <w:numId w:val="146"/>
        </w:numPr>
        <w:tabs>
          <w:tab w:val="left" w:pos="1580"/>
        </w:tabs>
        <w:ind w:left="1580" w:hanging="438"/>
        <w:rPr>
          <w:rFonts w:ascii="Arial" w:eastAsia="Arial" w:hAnsi="Arial" w:cs="Arial"/>
          <w:sz w:val="18"/>
          <w:szCs w:val="18"/>
        </w:rPr>
      </w:pPr>
      <w:r>
        <w:rPr>
          <w:rFonts w:ascii="Arial" w:eastAsia="Arial" w:hAnsi="Arial" w:cs="Arial"/>
          <w:sz w:val="18"/>
          <w:szCs w:val="18"/>
        </w:rPr>
        <w:t xml:space="preserve">change in control, transaction </w:t>
      </w:r>
      <w:r>
        <w:rPr>
          <w:rFonts w:ascii="Arial" w:eastAsia="Arial" w:hAnsi="Arial" w:cs="Arial"/>
          <w:sz w:val="18"/>
          <w:szCs w:val="18"/>
        </w:rPr>
        <w:t>bonus, retention and stay bonuses payable to any VS Participants;</w:t>
      </w:r>
    </w:p>
    <w:p w14:paraId="6D9A4A8C" w14:textId="77777777" w:rsidR="00D1587D" w:rsidRDefault="00D1587D">
      <w:pPr>
        <w:spacing w:line="225" w:lineRule="exact"/>
        <w:rPr>
          <w:rFonts w:ascii="Arial" w:eastAsia="Arial" w:hAnsi="Arial" w:cs="Arial"/>
          <w:sz w:val="18"/>
          <w:szCs w:val="18"/>
        </w:rPr>
      </w:pPr>
    </w:p>
    <w:p w14:paraId="532ADA10" w14:textId="77777777" w:rsidR="00D1587D" w:rsidRDefault="00410D07">
      <w:pPr>
        <w:numPr>
          <w:ilvl w:val="0"/>
          <w:numId w:val="146"/>
        </w:numPr>
        <w:tabs>
          <w:tab w:val="left" w:pos="1660"/>
        </w:tabs>
        <w:ind w:left="1660" w:hanging="518"/>
        <w:rPr>
          <w:rFonts w:ascii="Arial" w:eastAsia="Arial" w:hAnsi="Arial" w:cs="Arial"/>
          <w:sz w:val="16"/>
          <w:szCs w:val="16"/>
        </w:rPr>
      </w:pPr>
      <w:r>
        <w:rPr>
          <w:rFonts w:ascii="Arial" w:eastAsia="Arial" w:hAnsi="Arial" w:cs="Arial"/>
          <w:sz w:val="16"/>
          <w:szCs w:val="16"/>
        </w:rPr>
        <w:t>any Applicable Law (including ERISA and the Code) to the extent related to participation by any VS Participant in any Employee</w:t>
      </w:r>
    </w:p>
    <w:p w14:paraId="2DFC85BC" w14:textId="77777777" w:rsidR="00D1587D" w:rsidRDefault="00D1587D">
      <w:pPr>
        <w:spacing w:line="46" w:lineRule="exact"/>
        <w:rPr>
          <w:rFonts w:ascii="Arial" w:eastAsia="Arial" w:hAnsi="Arial" w:cs="Arial"/>
          <w:sz w:val="16"/>
          <w:szCs w:val="16"/>
        </w:rPr>
      </w:pPr>
    </w:p>
    <w:p w14:paraId="4BA342AE" w14:textId="77777777" w:rsidR="00D1587D" w:rsidRDefault="00410D07">
      <w:pPr>
        <w:ind w:left="660"/>
        <w:rPr>
          <w:rFonts w:ascii="Arial" w:eastAsia="Arial" w:hAnsi="Arial" w:cs="Arial"/>
          <w:sz w:val="16"/>
          <w:szCs w:val="16"/>
        </w:rPr>
      </w:pPr>
      <w:r>
        <w:rPr>
          <w:rFonts w:ascii="Arial" w:eastAsia="Arial" w:hAnsi="Arial" w:cs="Arial"/>
          <w:sz w:val="18"/>
          <w:szCs w:val="18"/>
        </w:rPr>
        <w:t>Plan;</w:t>
      </w:r>
    </w:p>
    <w:p w14:paraId="5141EEB1" w14:textId="77777777" w:rsidR="00D1587D" w:rsidRDefault="00D1587D">
      <w:pPr>
        <w:spacing w:line="210" w:lineRule="exact"/>
        <w:rPr>
          <w:rFonts w:ascii="Arial" w:eastAsia="Arial" w:hAnsi="Arial" w:cs="Arial"/>
          <w:sz w:val="16"/>
          <w:szCs w:val="16"/>
        </w:rPr>
      </w:pPr>
    </w:p>
    <w:p w14:paraId="696EE233" w14:textId="77777777" w:rsidR="00D1587D" w:rsidRDefault="00410D07">
      <w:pPr>
        <w:numPr>
          <w:ilvl w:val="0"/>
          <w:numId w:val="146"/>
        </w:numPr>
        <w:tabs>
          <w:tab w:val="left" w:pos="1657"/>
        </w:tabs>
        <w:spacing w:line="301" w:lineRule="auto"/>
        <w:ind w:left="660" w:firstLine="482"/>
        <w:jc w:val="both"/>
        <w:rPr>
          <w:rFonts w:ascii="Arial" w:eastAsia="Arial" w:hAnsi="Arial" w:cs="Arial"/>
          <w:sz w:val="16"/>
          <w:szCs w:val="16"/>
        </w:rPr>
      </w:pPr>
      <w:r>
        <w:rPr>
          <w:rFonts w:ascii="Arial" w:eastAsia="Arial" w:hAnsi="Arial" w:cs="Arial"/>
          <w:sz w:val="16"/>
          <w:szCs w:val="16"/>
        </w:rPr>
        <w:t xml:space="preserve">any Actions, allegations, demands, </w:t>
      </w:r>
      <w:r>
        <w:rPr>
          <w:rFonts w:ascii="Arial" w:eastAsia="Arial" w:hAnsi="Arial" w:cs="Arial"/>
          <w:sz w:val="16"/>
          <w:szCs w:val="16"/>
        </w:rPr>
        <w:t>assessments, settlements or judgments relating to or involving any VS Participant (including, without limitation, those relating to labor and employment, wages, hours, overtime, employee classification, hostile workplace, civil rights, discrimination, hara</w:t>
      </w:r>
      <w:r>
        <w:rPr>
          <w:rFonts w:ascii="Arial" w:eastAsia="Arial" w:hAnsi="Arial" w:cs="Arial"/>
          <w:sz w:val="16"/>
          <w:szCs w:val="16"/>
        </w:rPr>
        <w:t>ssment, affirmative action, work authorization, immigration, safety and health, information privacy and security, workers’ compensation, continuation coverage under group health plans, wage payment, hiring practice and the payment and withholding of Taxes)</w:t>
      </w:r>
      <w:r>
        <w:rPr>
          <w:rFonts w:ascii="Arial" w:eastAsia="Arial" w:hAnsi="Arial" w:cs="Arial"/>
          <w:sz w:val="16"/>
          <w:szCs w:val="16"/>
        </w:rPr>
        <w:t>;</w:t>
      </w:r>
    </w:p>
    <w:p w14:paraId="5DE8BFED" w14:textId="77777777" w:rsidR="00D1587D" w:rsidRDefault="00D1587D">
      <w:pPr>
        <w:spacing w:line="157" w:lineRule="exact"/>
        <w:rPr>
          <w:rFonts w:ascii="Arial" w:eastAsia="Arial" w:hAnsi="Arial" w:cs="Arial"/>
          <w:sz w:val="16"/>
          <w:szCs w:val="16"/>
        </w:rPr>
      </w:pPr>
    </w:p>
    <w:p w14:paraId="4517DB89" w14:textId="77777777" w:rsidR="00D1587D" w:rsidRDefault="00410D07">
      <w:pPr>
        <w:numPr>
          <w:ilvl w:val="0"/>
          <w:numId w:val="146"/>
        </w:numPr>
        <w:tabs>
          <w:tab w:val="left" w:pos="1596"/>
        </w:tabs>
        <w:spacing w:line="277" w:lineRule="auto"/>
        <w:ind w:left="660" w:firstLine="482"/>
        <w:rPr>
          <w:rFonts w:ascii="Arial" w:eastAsia="Arial" w:hAnsi="Arial" w:cs="Arial"/>
          <w:sz w:val="18"/>
          <w:szCs w:val="18"/>
        </w:rPr>
      </w:pPr>
      <w:r>
        <w:rPr>
          <w:rFonts w:ascii="Arial" w:eastAsia="Arial" w:hAnsi="Arial" w:cs="Arial"/>
          <w:sz w:val="18"/>
          <w:szCs w:val="18"/>
        </w:rPr>
        <w:t>any costs or expenses incurred in designing, establishing and administering any VS Plans or payroll or benefits administration for VS Participants; and</w:t>
      </w:r>
    </w:p>
    <w:p w14:paraId="3F4DFAF3" w14:textId="77777777" w:rsidR="00D1587D" w:rsidRDefault="00D1587D">
      <w:pPr>
        <w:spacing w:line="170" w:lineRule="exact"/>
        <w:rPr>
          <w:rFonts w:ascii="Arial" w:eastAsia="Arial" w:hAnsi="Arial" w:cs="Arial"/>
          <w:sz w:val="18"/>
          <w:szCs w:val="18"/>
        </w:rPr>
      </w:pPr>
    </w:p>
    <w:p w14:paraId="2DA11080" w14:textId="77777777" w:rsidR="00D1587D" w:rsidRDefault="00410D07">
      <w:pPr>
        <w:numPr>
          <w:ilvl w:val="0"/>
          <w:numId w:val="146"/>
        </w:numPr>
        <w:tabs>
          <w:tab w:val="left" w:pos="1600"/>
        </w:tabs>
        <w:ind w:left="1600" w:hanging="458"/>
        <w:rPr>
          <w:rFonts w:ascii="Arial" w:eastAsia="Arial" w:hAnsi="Arial" w:cs="Arial"/>
          <w:sz w:val="18"/>
          <w:szCs w:val="18"/>
        </w:rPr>
      </w:pPr>
      <w:r>
        <w:rPr>
          <w:rFonts w:ascii="Arial" w:eastAsia="Arial" w:hAnsi="Arial" w:cs="Arial"/>
          <w:sz w:val="18"/>
          <w:szCs w:val="18"/>
        </w:rPr>
        <w:t xml:space="preserve">the employer portion of any employment, payroll or similar Taxes relating to any of the </w:t>
      </w:r>
      <w:r>
        <w:rPr>
          <w:rFonts w:ascii="Arial" w:eastAsia="Arial" w:hAnsi="Arial" w:cs="Arial"/>
          <w:sz w:val="18"/>
          <w:szCs w:val="18"/>
        </w:rPr>
        <w:t>foregoing or any VS Participant.</w:t>
      </w:r>
    </w:p>
    <w:p w14:paraId="1702B846" w14:textId="77777777" w:rsidR="00D1587D" w:rsidRDefault="00D1587D">
      <w:pPr>
        <w:spacing w:line="225" w:lineRule="exact"/>
        <w:rPr>
          <w:sz w:val="20"/>
          <w:szCs w:val="20"/>
        </w:rPr>
      </w:pPr>
    </w:p>
    <w:p w14:paraId="5E640AA1" w14:textId="77777777" w:rsidR="00D1587D" w:rsidRDefault="00410D07">
      <w:pPr>
        <w:spacing w:line="263" w:lineRule="auto"/>
        <w:ind w:left="660" w:firstLine="486"/>
        <w:jc w:val="both"/>
        <w:rPr>
          <w:sz w:val="20"/>
          <w:szCs w:val="20"/>
        </w:rPr>
      </w:pPr>
      <w:r>
        <w:rPr>
          <w:rFonts w:ascii="Arial" w:eastAsia="Arial" w:hAnsi="Arial" w:cs="Arial"/>
          <w:sz w:val="18"/>
          <w:szCs w:val="18"/>
        </w:rPr>
        <w:t>For the avoidance of doubt, (1) any Liabilities relating to any Actions that are VS Liabilities, including those listed on Schedule 1.01(l) to the Separation Agreement relating to VS Participants or VS Plans shall constitu</w:t>
      </w:r>
      <w:r>
        <w:rPr>
          <w:rFonts w:ascii="Arial" w:eastAsia="Arial" w:hAnsi="Arial" w:cs="Arial"/>
          <w:sz w:val="18"/>
          <w:szCs w:val="18"/>
        </w:rPr>
        <w:t>te VS Assumed Employee Liabilities and (2) all VS Assumed Employee Liabilities are VS Liabilities for purposes of the Separation Agreement.</w:t>
      </w:r>
    </w:p>
    <w:p w14:paraId="3EF89AFB" w14:textId="77777777" w:rsidR="00D1587D" w:rsidRDefault="00D1587D">
      <w:pPr>
        <w:spacing w:line="184" w:lineRule="exact"/>
        <w:rPr>
          <w:sz w:val="20"/>
          <w:szCs w:val="20"/>
        </w:rPr>
      </w:pPr>
    </w:p>
    <w:p w14:paraId="625E5683" w14:textId="77777777" w:rsidR="00D1587D" w:rsidRDefault="00410D07">
      <w:pPr>
        <w:spacing w:line="277" w:lineRule="auto"/>
        <w:ind w:firstLine="648"/>
        <w:rPr>
          <w:sz w:val="20"/>
          <w:szCs w:val="20"/>
        </w:rPr>
      </w:pPr>
      <w:r>
        <w:rPr>
          <w:rFonts w:ascii="Arial" w:eastAsia="Arial" w:hAnsi="Arial" w:cs="Arial"/>
          <w:sz w:val="18"/>
          <w:szCs w:val="18"/>
        </w:rPr>
        <w:t xml:space="preserve">Section 2.02. </w:t>
      </w:r>
      <w:r>
        <w:rPr>
          <w:rFonts w:ascii="Arial" w:eastAsia="Arial" w:hAnsi="Arial" w:cs="Arial"/>
          <w:i/>
          <w:iCs/>
          <w:sz w:val="18"/>
          <w:szCs w:val="18"/>
        </w:rPr>
        <w:t>Indemnification</w:t>
      </w:r>
      <w:r>
        <w:rPr>
          <w:rFonts w:ascii="Arial" w:eastAsia="Arial" w:hAnsi="Arial" w:cs="Arial"/>
          <w:sz w:val="18"/>
          <w:szCs w:val="18"/>
        </w:rPr>
        <w:t xml:space="preserve">. For the avoidance of doubt, the provisions of Article 5 of the Separation Agreement </w:t>
      </w:r>
      <w:r>
        <w:rPr>
          <w:rFonts w:ascii="Arial" w:eastAsia="Arial" w:hAnsi="Arial" w:cs="Arial"/>
          <w:sz w:val="18"/>
          <w:szCs w:val="18"/>
        </w:rPr>
        <w:t>shall apply to and govern the indemnification rights and obligations of the Parties with respect to the matters addressed by this Agreement.</w:t>
      </w:r>
    </w:p>
    <w:p w14:paraId="5829DCCB" w14:textId="77777777" w:rsidR="00D1587D" w:rsidRDefault="00D1587D">
      <w:pPr>
        <w:spacing w:line="341" w:lineRule="exact"/>
        <w:rPr>
          <w:sz w:val="20"/>
          <w:szCs w:val="20"/>
        </w:rPr>
      </w:pPr>
    </w:p>
    <w:p w14:paraId="59084597" w14:textId="77777777" w:rsidR="00D1587D" w:rsidRDefault="00410D07">
      <w:pPr>
        <w:jc w:val="center"/>
        <w:rPr>
          <w:sz w:val="20"/>
          <w:szCs w:val="20"/>
        </w:rPr>
      </w:pPr>
      <w:r>
        <w:rPr>
          <w:rFonts w:ascii="Arial" w:eastAsia="Arial" w:hAnsi="Arial" w:cs="Arial"/>
          <w:sz w:val="14"/>
          <w:szCs w:val="14"/>
        </w:rPr>
        <w:t>11</w:t>
      </w:r>
    </w:p>
    <w:p w14:paraId="2D6296A3" w14:textId="77777777" w:rsidR="00D1587D" w:rsidRDefault="00410D07">
      <w:pPr>
        <w:spacing w:line="20" w:lineRule="exact"/>
        <w:rPr>
          <w:sz w:val="20"/>
          <w:szCs w:val="20"/>
        </w:rPr>
      </w:pPr>
      <w:r>
        <w:rPr>
          <w:noProof/>
          <w:sz w:val="20"/>
          <w:szCs w:val="20"/>
        </w:rPr>
        <w:drawing>
          <wp:anchor distT="0" distB="0" distL="114300" distR="114300" simplePos="0" relativeHeight="251339776" behindDoc="1" locked="0" layoutInCell="0" allowOverlap="1" wp14:anchorId="1083F71F" wp14:editId="31AC135D">
            <wp:simplePos x="0" y="0"/>
            <wp:positionH relativeFrom="column">
              <wp:posOffset>5080</wp:posOffset>
            </wp:positionH>
            <wp:positionV relativeFrom="paragraph">
              <wp:posOffset>38100</wp:posOffset>
            </wp:positionV>
            <wp:extent cx="7132320" cy="1714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A39AA74" w14:textId="77777777" w:rsidR="00D1587D" w:rsidRDefault="00D1587D">
      <w:pPr>
        <w:sectPr w:rsidR="00D1587D">
          <w:pgSz w:w="11900" w:h="16838"/>
          <w:pgMar w:top="125" w:right="339" w:bottom="1440" w:left="320" w:header="0" w:footer="0" w:gutter="0"/>
          <w:cols w:space="720" w:equalWidth="0">
            <w:col w:w="11240"/>
          </w:cols>
        </w:sectPr>
      </w:pPr>
    </w:p>
    <w:p w14:paraId="514D09AB" w14:textId="77777777" w:rsidR="00D1587D" w:rsidRDefault="00410D07">
      <w:pPr>
        <w:spacing w:line="279" w:lineRule="auto"/>
        <w:ind w:firstLine="648"/>
        <w:jc w:val="both"/>
        <w:rPr>
          <w:sz w:val="20"/>
          <w:szCs w:val="20"/>
        </w:rPr>
      </w:pPr>
      <w:bookmarkStart w:id="182" w:name="page183"/>
      <w:bookmarkEnd w:id="182"/>
      <w:r>
        <w:rPr>
          <w:rFonts w:ascii="Arial" w:eastAsia="Arial" w:hAnsi="Arial" w:cs="Arial"/>
          <w:sz w:val="17"/>
          <w:szCs w:val="17"/>
        </w:rPr>
        <w:t xml:space="preserve">Section 2.03. </w:t>
      </w:r>
      <w:r>
        <w:rPr>
          <w:rFonts w:ascii="Arial" w:eastAsia="Arial" w:hAnsi="Arial" w:cs="Arial"/>
          <w:i/>
          <w:iCs/>
          <w:sz w:val="17"/>
          <w:szCs w:val="17"/>
        </w:rPr>
        <w:t>No Duplicate Reimbursements</w:t>
      </w:r>
      <w:r>
        <w:rPr>
          <w:rFonts w:ascii="Arial" w:eastAsia="Arial" w:hAnsi="Arial" w:cs="Arial"/>
          <w:sz w:val="17"/>
          <w:szCs w:val="17"/>
        </w:rPr>
        <w:t xml:space="preserve">. For the avoidance of doubt, and </w:t>
      </w:r>
      <w:r>
        <w:rPr>
          <w:rFonts w:ascii="Arial" w:eastAsia="Arial" w:hAnsi="Arial" w:cs="Arial"/>
          <w:sz w:val="17"/>
          <w:szCs w:val="17"/>
        </w:rPr>
        <w:t xml:space="preserve">notwithstanding anything to the contrary in this Agreement or any other Ancillary Agreement, neither Party shall be required to reimburse the other Party for any amounts under this Agreement if and to the extent that such Party (or an applicable member of </w:t>
      </w:r>
      <w:r>
        <w:rPr>
          <w:rFonts w:ascii="Arial" w:eastAsia="Arial" w:hAnsi="Arial" w:cs="Arial"/>
          <w:sz w:val="17"/>
          <w:szCs w:val="17"/>
        </w:rPr>
        <w:t>its Group) has otherwise previously reimbursed the other Party (or an applicable member of its Group) for such amounts pursuant to the L Brands to VS Transition Services Agreement or the VS to L Brands Transition Services Agreement, as applicable.</w:t>
      </w:r>
    </w:p>
    <w:p w14:paraId="1378C3AF" w14:textId="77777777" w:rsidR="00D1587D" w:rsidRDefault="00D1587D">
      <w:pPr>
        <w:spacing w:line="171" w:lineRule="exact"/>
        <w:rPr>
          <w:sz w:val="20"/>
          <w:szCs w:val="20"/>
        </w:rPr>
      </w:pPr>
    </w:p>
    <w:p w14:paraId="1AF7CCE5" w14:textId="77777777" w:rsidR="00D1587D" w:rsidRDefault="00410D07">
      <w:pPr>
        <w:ind w:right="-19"/>
        <w:jc w:val="center"/>
        <w:rPr>
          <w:sz w:val="20"/>
          <w:szCs w:val="20"/>
        </w:rPr>
      </w:pPr>
      <w:r>
        <w:rPr>
          <w:rFonts w:ascii="Arial" w:eastAsia="Arial" w:hAnsi="Arial" w:cs="Arial"/>
          <w:sz w:val="18"/>
          <w:szCs w:val="18"/>
        </w:rPr>
        <w:t>ARTICLE</w:t>
      </w:r>
      <w:r>
        <w:rPr>
          <w:rFonts w:ascii="Arial" w:eastAsia="Arial" w:hAnsi="Arial" w:cs="Arial"/>
          <w:sz w:val="18"/>
          <w:szCs w:val="18"/>
        </w:rPr>
        <w:t xml:space="preserve"> 3</w:t>
      </w:r>
    </w:p>
    <w:p w14:paraId="2F7C2923" w14:textId="77777777" w:rsidR="00D1587D" w:rsidRDefault="00D1587D">
      <w:pPr>
        <w:spacing w:line="23" w:lineRule="exact"/>
        <w:rPr>
          <w:sz w:val="20"/>
          <w:szCs w:val="20"/>
        </w:rPr>
      </w:pPr>
    </w:p>
    <w:p w14:paraId="4942E32E" w14:textId="77777777" w:rsidR="00D1587D" w:rsidRDefault="00410D07">
      <w:pPr>
        <w:ind w:right="-19"/>
        <w:jc w:val="center"/>
        <w:rPr>
          <w:sz w:val="20"/>
          <w:szCs w:val="20"/>
        </w:rPr>
      </w:pPr>
      <w:r>
        <w:rPr>
          <w:rFonts w:ascii="Arial" w:eastAsia="Arial" w:hAnsi="Arial" w:cs="Arial"/>
          <w:sz w:val="18"/>
          <w:szCs w:val="18"/>
        </w:rPr>
        <w:t>E</w:t>
      </w:r>
      <w:r>
        <w:rPr>
          <w:rFonts w:ascii="Arial" w:eastAsia="Arial" w:hAnsi="Arial" w:cs="Arial"/>
          <w:sz w:val="12"/>
          <w:szCs w:val="12"/>
        </w:rPr>
        <w:t>MPLOYEES AND</w:t>
      </w:r>
      <w:r>
        <w:rPr>
          <w:rFonts w:ascii="Arial" w:eastAsia="Arial" w:hAnsi="Arial" w:cs="Arial"/>
          <w:sz w:val="18"/>
          <w:szCs w:val="18"/>
        </w:rPr>
        <w:t xml:space="preserve"> C</w:t>
      </w:r>
      <w:r>
        <w:rPr>
          <w:rFonts w:ascii="Arial" w:eastAsia="Arial" w:hAnsi="Arial" w:cs="Arial"/>
          <w:sz w:val="12"/>
          <w:szCs w:val="12"/>
        </w:rPr>
        <w:t>ONTRACTORS</w:t>
      </w:r>
      <w:r>
        <w:rPr>
          <w:rFonts w:ascii="Arial" w:eastAsia="Arial" w:hAnsi="Arial" w:cs="Arial"/>
          <w:sz w:val="18"/>
          <w:szCs w:val="18"/>
        </w:rPr>
        <w:t>; E</w:t>
      </w:r>
      <w:r>
        <w:rPr>
          <w:rFonts w:ascii="Arial" w:eastAsia="Arial" w:hAnsi="Arial" w:cs="Arial"/>
          <w:sz w:val="12"/>
          <w:szCs w:val="12"/>
        </w:rPr>
        <w:t>MPLOYEE</w:t>
      </w:r>
      <w:r>
        <w:rPr>
          <w:rFonts w:ascii="Arial" w:eastAsia="Arial" w:hAnsi="Arial" w:cs="Arial"/>
          <w:sz w:val="18"/>
          <w:szCs w:val="18"/>
        </w:rPr>
        <w:t xml:space="preserve"> A</w:t>
      </w:r>
      <w:r>
        <w:rPr>
          <w:rFonts w:ascii="Arial" w:eastAsia="Arial" w:hAnsi="Arial" w:cs="Arial"/>
          <w:sz w:val="12"/>
          <w:szCs w:val="12"/>
        </w:rPr>
        <w:t>GREEMENTS</w:t>
      </w:r>
    </w:p>
    <w:p w14:paraId="26122FC8" w14:textId="77777777" w:rsidR="00D1587D" w:rsidRDefault="00D1587D">
      <w:pPr>
        <w:spacing w:line="211" w:lineRule="exact"/>
        <w:rPr>
          <w:sz w:val="20"/>
          <w:szCs w:val="20"/>
        </w:rPr>
      </w:pPr>
    </w:p>
    <w:p w14:paraId="22BFDDDB" w14:textId="77777777" w:rsidR="00D1587D" w:rsidRDefault="00410D07">
      <w:pPr>
        <w:ind w:left="660"/>
        <w:rPr>
          <w:sz w:val="20"/>
          <w:szCs w:val="20"/>
        </w:rPr>
      </w:pPr>
      <w:r>
        <w:rPr>
          <w:rFonts w:ascii="Arial" w:eastAsia="Arial" w:hAnsi="Arial" w:cs="Arial"/>
          <w:sz w:val="18"/>
          <w:szCs w:val="18"/>
        </w:rPr>
        <w:t xml:space="preserve">Section 3.01. </w:t>
      </w:r>
      <w:r>
        <w:rPr>
          <w:rFonts w:ascii="Arial" w:eastAsia="Arial" w:hAnsi="Arial" w:cs="Arial"/>
          <w:i/>
          <w:iCs/>
          <w:sz w:val="18"/>
          <w:szCs w:val="18"/>
        </w:rPr>
        <w:t>Transfers of Employment.</w:t>
      </w:r>
    </w:p>
    <w:p w14:paraId="35AED800" w14:textId="77777777" w:rsidR="00D1587D" w:rsidRDefault="00D1587D">
      <w:pPr>
        <w:spacing w:line="225" w:lineRule="exact"/>
        <w:rPr>
          <w:sz w:val="20"/>
          <w:szCs w:val="20"/>
        </w:rPr>
      </w:pPr>
    </w:p>
    <w:p w14:paraId="0FA14FBF" w14:textId="77777777" w:rsidR="00D1587D" w:rsidRDefault="00410D07">
      <w:pPr>
        <w:numPr>
          <w:ilvl w:val="0"/>
          <w:numId w:val="147"/>
        </w:numPr>
        <w:tabs>
          <w:tab w:val="left" w:pos="1072"/>
        </w:tabs>
        <w:spacing w:line="290" w:lineRule="auto"/>
        <w:ind w:firstLine="656"/>
        <w:jc w:val="both"/>
        <w:rPr>
          <w:rFonts w:ascii="Arial" w:eastAsia="Arial" w:hAnsi="Arial" w:cs="Arial"/>
          <w:sz w:val="16"/>
          <w:szCs w:val="16"/>
        </w:rPr>
      </w:pPr>
      <w:r>
        <w:rPr>
          <w:rFonts w:ascii="Arial" w:eastAsia="Arial" w:hAnsi="Arial" w:cs="Arial"/>
          <w:sz w:val="16"/>
          <w:szCs w:val="16"/>
        </w:rPr>
        <w:t xml:space="preserve">Except as provided for in this Section 3.01, effective as of or prior to the Distribution Date, (A) the employment of each VS Employee (other than any </w:t>
      </w:r>
      <w:r>
        <w:rPr>
          <w:rFonts w:ascii="Arial" w:eastAsia="Arial" w:hAnsi="Arial" w:cs="Arial"/>
          <w:sz w:val="16"/>
          <w:szCs w:val="16"/>
        </w:rPr>
        <w:t>applicable Delayed VS Transfer Employee), to the extent employed at such time, will be transferred to or continued by, as applicable, a member of the VS Group and (B) the employment of each L Brands Employee (other than any applicable Delayed LB Transfer E</w:t>
      </w:r>
      <w:r>
        <w:rPr>
          <w:rFonts w:ascii="Arial" w:eastAsia="Arial" w:hAnsi="Arial" w:cs="Arial"/>
          <w:sz w:val="16"/>
          <w:szCs w:val="16"/>
        </w:rPr>
        <w:t>mployee), to the extent employed at such time, will be continued by a member of the L Brands Group. Before the Distribution Date, the Parties shall mutually cooperate in good faith and use their reasonable best efforts to cause all such transfers of employ</w:t>
      </w:r>
      <w:r>
        <w:rPr>
          <w:rFonts w:ascii="Arial" w:eastAsia="Arial" w:hAnsi="Arial" w:cs="Arial"/>
          <w:sz w:val="16"/>
          <w:szCs w:val="16"/>
        </w:rPr>
        <w:t>ment contemplated by this Section 3.01(a) to occur no later than the Distribution Date. For the avoidance of doubt, effective as of the Distribution Date, all VS Furloughed Employees shall be employed by a member of the VS Group and shall constitute a VS E</w:t>
      </w:r>
      <w:r>
        <w:rPr>
          <w:rFonts w:ascii="Arial" w:eastAsia="Arial" w:hAnsi="Arial" w:cs="Arial"/>
          <w:sz w:val="16"/>
          <w:szCs w:val="16"/>
        </w:rPr>
        <w:t>mployee for all purposes of this Agreement and, to the extent applicable, upon such employee’s return to active service following the end of the applicable furlough period, such VS Furloughed Employee shall commence employment with a member of the VS Group</w:t>
      </w:r>
      <w:r>
        <w:rPr>
          <w:rFonts w:ascii="Arial" w:eastAsia="Arial" w:hAnsi="Arial" w:cs="Arial"/>
          <w:sz w:val="16"/>
          <w:szCs w:val="16"/>
        </w:rPr>
        <w:t>.</w:t>
      </w:r>
    </w:p>
    <w:p w14:paraId="3A7CFA66" w14:textId="77777777" w:rsidR="00D1587D" w:rsidRDefault="00D1587D">
      <w:pPr>
        <w:spacing w:line="165" w:lineRule="exact"/>
        <w:rPr>
          <w:rFonts w:ascii="Arial" w:eastAsia="Arial" w:hAnsi="Arial" w:cs="Arial"/>
          <w:sz w:val="16"/>
          <w:szCs w:val="16"/>
        </w:rPr>
      </w:pPr>
    </w:p>
    <w:p w14:paraId="679EF4BE" w14:textId="77777777" w:rsidR="00D1587D" w:rsidRDefault="00410D07">
      <w:pPr>
        <w:numPr>
          <w:ilvl w:val="0"/>
          <w:numId w:val="147"/>
        </w:numPr>
        <w:tabs>
          <w:tab w:val="left" w:pos="1123"/>
        </w:tabs>
        <w:spacing w:line="288" w:lineRule="auto"/>
        <w:ind w:firstLine="656"/>
        <w:jc w:val="both"/>
        <w:rPr>
          <w:rFonts w:ascii="Arial" w:eastAsia="Arial" w:hAnsi="Arial" w:cs="Arial"/>
          <w:sz w:val="16"/>
          <w:szCs w:val="16"/>
        </w:rPr>
      </w:pPr>
      <w:r>
        <w:rPr>
          <w:rFonts w:ascii="Arial" w:eastAsia="Arial" w:hAnsi="Arial" w:cs="Arial"/>
          <w:sz w:val="16"/>
          <w:szCs w:val="16"/>
        </w:rPr>
        <w:t>Effective as of the applicable Delayed Transfer Date, (i) the employment of each applicable Delayed VS Transfer Employee, to the extent employed by a member of the L Brands Group at such time, shall transfer to a member of the VS Group, and (ii) the emp</w:t>
      </w:r>
      <w:r>
        <w:rPr>
          <w:rFonts w:ascii="Arial" w:eastAsia="Arial" w:hAnsi="Arial" w:cs="Arial"/>
          <w:sz w:val="16"/>
          <w:szCs w:val="16"/>
        </w:rPr>
        <w:t xml:space="preserve">loyment of each applicable Delayed LB Transfer Employee, to the extent employed by a member of the VS Group at such time, shall transfer to a member of the L Brands Group. Following the Distribution Date, the Parties shall mutually cooperate in good faith </w:t>
      </w:r>
      <w:r>
        <w:rPr>
          <w:rFonts w:ascii="Arial" w:eastAsia="Arial" w:hAnsi="Arial" w:cs="Arial"/>
          <w:sz w:val="16"/>
          <w:szCs w:val="16"/>
        </w:rPr>
        <w:t>and use their reasonable best efforts to cause all such transfers of employment contemplated by this Section 3.01(b) to occur in the manner contemplated by this Agreement or any other applicable Ancillary Agreement, including, to the extent (x) required by</w:t>
      </w:r>
      <w:r>
        <w:rPr>
          <w:rFonts w:ascii="Arial" w:eastAsia="Arial" w:hAnsi="Arial" w:cs="Arial"/>
          <w:sz w:val="16"/>
          <w:szCs w:val="16"/>
        </w:rPr>
        <w:t xml:space="preserve"> Applicable Law, (y) required by any applicable Ancillary Agreement or (z) otherwise determined by the Parties to be necessary or appropriate, by having the applicable Party (or an applicable member of its Group) make an offer of employment to such Delayed</w:t>
      </w:r>
      <w:r>
        <w:rPr>
          <w:rFonts w:ascii="Arial" w:eastAsia="Arial" w:hAnsi="Arial" w:cs="Arial"/>
          <w:sz w:val="16"/>
          <w:szCs w:val="16"/>
        </w:rPr>
        <w:t xml:space="preserve"> VS Transfer Employee or Delayed LB Transfer Employee, as the case may be, on terms and conditions of employment consistent with (A) this Agreement, (B) the L Brands to VS Transition Services Agreement, the VS to L Brands Transition Services Agreement or s</w:t>
      </w:r>
      <w:r>
        <w:rPr>
          <w:rFonts w:ascii="Arial" w:eastAsia="Arial" w:hAnsi="Arial" w:cs="Arial"/>
          <w:sz w:val="16"/>
          <w:szCs w:val="16"/>
        </w:rPr>
        <w:t>uch other applicable Ancillary Agreement, as applicable, and (C) the terms and conditions of employment applicable to such employee as of immediately prior to the applicable Delayed Transfer Date.</w:t>
      </w:r>
    </w:p>
    <w:p w14:paraId="5820071F" w14:textId="77777777" w:rsidR="00D1587D" w:rsidRDefault="00D1587D">
      <w:pPr>
        <w:spacing w:line="339" w:lineRule="exact"/>
        <w:rPr>
          <w:sz w:val="20"/>
          <w:szCs w:val="20"/>
        </w:rPr>
      </w:pPr>
    </w:p>
    <w:p w14:paraId="5FBE11E4" w14:textId="77777777" w:rsidR="00D1587D" w:rsidRDefault="00410D07">
      <w:pPr>
        <w:ind w:right="-19"/>
        <w:jc w:val="center"/>
        <w:rPr>
          <w:sz w:val="20"/>
          <w:szCs w:val="20"/>
        </w:rPr>
      </w:pPr>
      <w:r>
        <w:rPr>
          <w:rFonts w:ascii="Arial" w:eastAsia="Arial" w:hAnsi="Arial" w:cs="Arial"/>
          <w:sz w:val="14"/>
          <w:szCs w:val="14"/>
        </w:rPr>
        <w:t>12</w:t>
      </w:r>
    </w:p>
    <w:p w14:paraId="19C14BAB" w14:textId="77777777" w:rsidR="00D1587D" w:rsidRDefault="00410D07">
      <w:pPr>
        <w:spacing w:line="20" w:lineRule="exact"/>
        <w:rPr>
          <w:sz w:val="20"/>
          <w:szCs w:val="20"/>
        </w:rPr>
      </w:pPr>
      <w:r>
        <w:rPr>
          <w:noProof/>
          <w:sz w:val="20"/>
          <w:szCs w:val="20"/>
        </w:rPr>
        <w:drawing>
          <wp:anchor distT="0" distB="0" distL="114300" distR="114300" simplePos="0" relativeHeight="251340800" behindDoc="1" locked="0" layoutInCell="0" allowOverlap="1" wp14:anchorId="316FABFB" wp14:editId="242583D1">
            <wp:simplePos x="0" y="0"/>
            <wp:positionH relativeFrom="column">
              <wp:posOffset>5080</wp:posOffset>
            </wp:positionH>
            <wp:positionV relativeFrom="paragraph">
              <wp:posOffset>38100</wp:posOffset>
            </wp:positionV>
            <wp:extent cx="7132320" cy="1714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780B1EB" w14:textId="77777777" w:rsidR="00D1587D" w:rsidRDefault="00D1587D">
      <w:pPr>
        <w:sectPr w:rsidR="00D1587D">
          <w:pgSz w:w="11900" w:h="16838"/>
          <w:pgMar w:top="125" w:right="339" w:bottom="1440" w:left="320" w:header="0" w:footer="0" w:gutter="0"/>
          <w:cols w:space="720" w:equalWidth="0">
            <w:col w:w="11240"/>
          </w:cols>
        </w:sectPr>
      </w:pPr>
    </w:p>
    <w:p w14:paraId="0F365333" w14:textId="77777777" w:rsidR="00D1587D" w:rsidRDefault="00410D07">
      <w:pPr>
        <w:numPr>
          <w:ilvl w:val="0"/>
          <w:numId w:val="148"/>
        </w:numPr>
        <w:tabs>
          <w:tab w:val="left" w:pos="1113"/>
        </w:tabs>
        <w:spacing w:line="269" w:lineRule="auto"/>
        <w:ind w:firstLine="656"/>
        <w:jc w:val="both"/>
        <w:rPr>
          <w:rFonts w:ascii="Arial" w:eastAsia="Arial" w:hAnsi="Arial" w:cs="Arial"/>
          <w:sz w:val="17"/>
          <w:szCs w:val="17"/>
        </w:rPr>
      </w:pPr>
      <w:bookmarkStart w:id="183" w:name="page184"/>
      <w:bookmarkEnd w:id="183"/>
      <w:r>
        <w:rPr>
          <w:rFonts w:ascii="Arial" w:eastAsia="Arial" w:hAnsi="Arial" w:cs="Arial"/>
          <w:sz w:val="17"/>
          <w:szCs w:val="17"/>
        </w:rPr>
        <w:t xml:space="preserve">Notwithstanding anything to </w:t>
      </w:r>
      <w:r>
        <w:rPr>
          <w:rFonts w:ascii="Arial" w:eastAsia="Arial" w:hAnsi="Arial" w:cs="Arial"/>
          <w:sz w:val="17"/>
          <w:szCs w:val="17"/>
        </w:rPr>
        <w:t>the contrary herein, except as expressly provided in this Agreement, (i) each Delayed VS Transfer Employee shall be deemed to be a VS Employee for all purposes of this Agreement, effective as of the Delayed Transfer Date applicable to such Delayed VS Trans</w:t>
      </w:r>
      <w:r>
        <w:rPr>
          <w:rFonts w:ascii="Arial" w:eastAsia="Arial" w:hAnsi="Arial" w:cs="Arial"/>
          <w:sz w:val="17"/>
          <w:szCs w:val="17"/>
        </w:rPr>
        <w:t>fer Employee, and (ii) each Delayed LB Transfer Employee shall be deemed to be an L Brands Employee for all purposes of this Agreement, effective as of the Delayed Transfer Date applicable to such Delayed LB Transfer Employee, in each case including, witho</w:t>
      </w:r>
      <w:r>
        <w:rPr>
          <w:rFonts w:ascii="Arial" w:eastAsia="Arial" w:hAnsi="Arial" w:cs="Arial"/>
          <w:sz w:val="17"/>
          <w:szCs w:val="17"/>
        </w:rPr>
        <w:t>ut limitation, for purposes of determining the allocation of Liabilities set forth in Article 2 of this Agreement and plan participation pursuant to Article 4 of this Agreement. Accordingly, subject to the express terms of this Agreement (including, withou</w:t>
      </w:r>
      <w:r>
        <w:rPr>
          <w:rFonts w:ascii="Arial" w:eastAsia="Arial" w:hAnsi="Arial" w:cs="Arial"/>
          <w:sz w:val="17"/>
          <w:szCs w:val="17"/>
        </w:rPr>
        <w:t xml:space="preserve">t limitation, Section 3.01(d) and Section 3.05) or any reimbursement provisions set forth in the L Brands to VS Transition Service Agreement, the VS to L Brands Transition Services Agreement or any other applicable Ancillary Agreement, unless and until an </w:t>
      </w:r>
      <w:r>
        <w:rPr>
          <w:rFonts w:ascii="Arial" w:eastAsia="Arial" w:hAnsi="Arial" w:cs="Arial"/>
          <w:sz w:val="17"/>
          <w:szCs w:val="17"/>
        </w:rPr>
        <w:t>applicable Delayed Transfer Date occurs with respect to any VS Inactive Employee, Sponsored VS Employee, VS TSA Employee or L Brands TSA Employee, as applicable, (i) the L Brands Group shall be responsible for the cost of any compensation, benefits, severa</w:t>
      </w:r>
      <w:r>
        <w:rPr>
          <w:rFonts w:ascii="Arial" w:eastAsia="Arial" w:hAnsi="Arial" w:cs="Arial"/>
          <w:sz w:val="17"/>
          <w:szCs w:val="17"/>
        </w:rPr>
        <w:t>nce and other employment-related costs in respect of any VS Inactive Employee, Sponsored VS Employee and VS TSA Employee prior to the applicable Delayed Transfer Date and (ii) the VS Group shall be responsible for the cost of any compensation, benefits, se</w:t>
      </w:r>
      <w:r>
        <w:rPr>
          <w:rFonts w:ascii="Arial" w:eastAsia="Arial" w:hAnsi="Arial" w:cs="Arial"/>
          <w:sz w:val="17"/>
          <w:szCs w:val="17"/>
        </w:rPr>
        <w:t>verance and other employment-related costs in respect of any L Brands TSA Employee prior to the applicable Delayed Transfer Date.</w:t>
      </w:r>
    </w:p>
    <w:p w14:paraId="3222824D" w14:textId="77777777" w:rsidR="00D1587D" w:rsidRDefault="00D1587D">
      <w:pPr>
        <w:spacing w:line="178" w:lineRule="exact"/>
        <w:rPr>
          <w:rFonts w:ascii="Arial" w:eastAsia="Arial" w:hAnsi="Arial" w:cs="Arial"/>
          <w:sz w:val="17"/>
          <w:szCs w:val="17"/>
        </w:rPr>
      </w:pPr>
    </w:p>
    <w:p w14:paraId="70ED9558" w14:textId="77777777" w:rsidR="00D1587D" w:rsidRDefault="00410D07">
      <w:pPr>
        <w:numPr>
          <w:ilvl w:val="0"/>
          <w:numId w:val="148"/>
        </w:numPr>
        <w:tabs>
          <w:tab w:val="left" w:pos="1083"/>
        </w:tabs>
        <w:spacing w:line="269" w:lineRule="auto"/>
        <w:ind w:firstLine="656"/>
        <w:jc w:val="both"/>
        <w:rPr>
          <w:rFonts w:ascii="Arial" w:eastAsia="Arial" w:hAnsi="Arial" w:cs="Arial"/>
          <w:sz w:val="17"/>
          <w:szCs w:val="17"/>
        </w:rPr>
      </w:pPr>
      <w:r>
        <w:rPr>
          <w:rFonts w:ascii="Arial" w:eastAsia="Arial" w:hAnsi="Arial" w:cs="Arial"/>
          <w:sz w:val="17"/>
          <w:szCs w:val="17"/>
        </w:rPr>
        <w:t>Notwithstanding anything to the contrary in this Agreement, each VS Inactive Employee will continue to be employed by a membe</w:t>
      </w:r>
      <w:r>
        <w:rPr>
          <w:rFonts w:ascii="Arial" w:eastAsia="Arial" w:hAnsi="Arial" w:cs="Arial"/>
          <w:sz w:val="17"/>
          <w:szCs w:val="17"/>
        </w:rPr>
        <w:t xml:space="preserve">r of the L Brands Group until such individual returns to active service; </w:t>
      </w:r>
      <w:r>
        <w:rPr>
          <w:rFonts w:ascii="Arial" w:eastAsia="Arial" w:hAnsi="Arial" w:cs="Arial"/>
          <w:i/>
          <w:iCs/>
          <w:sz w:val="17"/>
          <w:szCs w:val="17"/>
        </w:rPr>
        <w:t>provided</w:t>
      </w:r>
      <w:r>
        <w:rPr>
          <w:rFonts w:ascii="Arial" w:eastAsia="Arial" w:hAnsi="Arial" w:cs="Arial"/>
          <w:sz w:val="17"/>
          <w:szCs w:val="17"/>
        </w:rPr>
        <w:t xml:space="preserve"> that, in the event that such VS Inactive Employee returns to active service with the L Brands Group on or before the 12-month anniversary of the Distribution Date, VS will ma</w:t>
      </w:r>
      <w:r>
        <w:rPr>
          <w:rFonts w:ascii="Arial" w:eastAsia="Arial" w:hAnsi="Arial" w:cs="Arial"/>
          <w:sz w:val="17"/>
          <w:szCs w:val="17"/>
        </w:rPr>
        <w:t>ke an offer of employment to such VS Inactive Employee on terms and conditions of employment consistent with (i) this Agreement and (ii) the terms and conditions of employment applicable to such VS Inactive Employee at such time. For the avoidance of doubt</w:t>
      </w:r>
      <w:r>
        <w:rPr>
          <w:rFonts w:ascii="Arial" w:eastAsia="Arial" w:hAnsi="Arial" w:cs="Arial"/>
          <w:sz w:val="17"/>
          <w:szCs w:val="17"/>
        </w:rPr>
        <w:t>, (x) effective on or before the Distribution Date, the employment of each VS Employee who is on an approved leave of absence (other than any VS Inactive Employee) will continue with or be transferred to, as applicable, the VS Group in accordance with Sect</w:t>
      </w:r>
      <w:r>
        <w:rPr>
          <w:rFonts w:ascii="Arial" w:eastAsia="Arial" w:hAnsi="Arial" w:cs="Arial"/>
          <w:sz w:val="17"/>
          <w:szCs w:val="17"/>
        </w:rPr>
        <w:t>ion 3.01(a), (y) all costs relating to any compensation, benefits, severance or other employment-related costs in respect of VS Inactive Employees will constitute VS Assumed Employee Liabilities and (z) any VS Inactive Employee who does not return to activ</w:t>
      </w:r>
      <w:r>
        <w:rPr>
          <w:rFonts w:ascii="Arial" w:eastAsia="Arial" w:hAnsi="Arial" w:cs="Arial"/>
          <w:sz w:val="17"/>
          <w:szCs w:val="17"/>
        </w:rPr>
        <w:t>e service with L Brands on or before the 12-month anniversary of the Distribution Date will not be considered a VS Employee for purposes of this Agreement, and the Parties shall mutually cooperate in good faith to determine the status of such employee.</w:t>
      </w:r>
    </w:p>
    <w:p w14:paraId="658734D9" w14:textId="77777777" w:rsidR="00D1587D" w:rsidRDefault="00D1587D">
      <w:pPr>
        <w:spacing w:line="185" w:lineRule="exact"/>
        <w:rPr>
          <w:rFonts w:ascii="Arial" w:eastAsia="Arial" w:hAnsi="Arial" w:cs="Arial"/>
          <w:sz w:val="17"/>
          <w:szCs w:val="17"/>
        </w:rPr>
      </w:pPr>
    </w:p>
    <w:p w14:paraId="0F03479F" w14:textId="77777777" w:rsidR="00D1587D" w:rsidRDefault="00410D07">
      <w:pPr>
        <w:numPr>
          <w:ilvl w:val="0"/>
          <w:numId w:val="148"/>
        </w:numPr>
        <w:tabs>
          <w:tab w:val="left" w:pos="1118"/>
        </w:tabs>
        <w:spacing w:line="263" w:lineRule="auto"/>
        <w:ind w:firstLine="656"/>
        <w:jc w:val="both"/>
        <w:rPr>
          <w:rFonts w:ascii="Arial" w:eastAsia="Arial" w:hAnsi="Arial" w:cs="Arial"/>
          <w:sz w:val="18"/>
          <w:szCs w:val="18"/>
        </w:rPr>
      </w:pPr>
      <w:r>
        <w:rPr>
          <w:rFonts w:ascii="Arial" w:eastAsia="Arial" w:hAnsi="Arial" w:cs="Arial"/>
          <w:sz w:val="18"/>
          <w:szCs w:val="18"/>
        </w:rPr>
        <w:t>To</w:t>
      </w:r>
      <w:r>
        <w:rPr>
          <w:rFonts w:ascii="Arial" w:eastAsia="Arial" w:hAnsi="Arial" w:cs="Arial"/>
          <w:sz w:val="18"/>
          <w:szCs w:val="18"/>
        </w:rPr>
        <w:t xml:space="preserve"> the extent required, each of the Parties hereto agrees to execute, and to use their reasonable best efforts to have the applicable employees execute, any such documentation or consents as may be necessary or desirable to reflect or effectuate any such ass</w:t>
      </w:r>
      <w:r>
        <w:rPr>
          <w:rFonts w:ascii="Arial" w:eastAsia="Arial" w:hAnsi="Arial" w:cs="Arial"/>
          <w:sz w:val="18"/>
          <w:szCs w:val="18"/>
        </w:rPr>
        <w:t>ignments or transfers contemplated by this Section 3.01.</w:t>
      </w:r>
    </w:p>
    <w:p w14:paraId="0BDF49A0" w14:textId="77777777" w:rsidR="00D1587D" w:rsidRDefault="00D1587D">
      <w:pPr>
        <w:spacing w:line="355" w:lineRule="exact"/>
        <w:rPr>
          <w:sz w:val="20"/>
          <w:szCs w:val="20"/>
        </w:rPr>
      </w:pPr>
    </w:p>
    <w:p w14:paraId="10182EB5" w14:textId="77777777" w:rsidR="00D1587D" w:rsidRDefault="00410D07">
      <w:pPr>
        <w:jc w:val="center"/>
        <w:rPr>
          <w:sz w:val="20"/>
          <w:szCs w:val="20"/>
        </w:rPr>
      </w:pPr>
      <w:r>
        <w:rPr>
          <w:rFonts w:ascii="Arial" w:eastAsia="Arial" w:hAnsi="Arial" w:cs="Arial"/>
          <w:sz w:val="14"/>
          <w:szCs w:val="14"/>
        </w:rPr>
        <w:t>13</w:t>
      </w:r>
    </w:p>
    <w:p w14:paraId="0AC49658" w14:textId="77777777" w:rsidR="00D1587D" w:rsidRDefault="00410D07">
      <w:pPr>
        <w:spacing w:line="20" w:lineRule="exact"/>
        <w:rPr>
          <w:sz w:val="20"/>
          <w:szCs w:val="20"/>
        </w:rPr>
      </w:pPr>
      <w:r>
        <w:rPr>
          <w:noProof/>
          <w:sz w:val="20"/>
          <w:szCs w:val="20"/>
        </w:rPr>
        <w:drawing>
          <wp:anchor distT="0" distB="0" distL="114300" distR="114300" simplePos="0" relativeHeight="251341824" behindDoc="1" locked="0" layoutInCell="0" allowOverlap="1" wp14:anchorId="4E3EB547" wp14:editId="56BD4227">
            <wp:simplePos x="0" y="0"/>
            <wp:positionH relativeFrom="column">
              <wp:posOffset>5080</wp:posOffset>
            </wp:positionH>
            <wp:positionV relativeFrom="paragraph">
              <wp:posOffset>38100</wp:posOffset>
            </wp:positionV>
            <wp:extent cx="7132320" cy="1714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2C87779" w14:textId="77777777" w:rsidR="00D1587D" w:rsidRDefault="00D1587D">
      <w:pPr>
        <w:sectPr w:rsidR="00D1587D">
          <w:pgSz w:w="11900" w:h="16838"/>
          <w:pgMar w:top="125" w:right="339" w:bottom="1440" w:left="320" w:header="0" w:footer="0" w:gutter="0"/>
          <w:cols w:space="720" w:equalWidth="0">
            <w:col w:w="11240"/>
          </w:cols>
        </w:sectPr>
      </w:pPr>
    </w:p>
    <w:p w14:paraId="4F9C3E10" w14:textId="77777777" w:rsidR="00D1587D" w:rsidRDefault="00410D07">
      <w:pPr>
        <w:numPr>
          <w:ilvl w:val="0"/>
          <w:numId w:val="149"/>
        </w:numPr>
        <w:tabs>
          <w:tab w:val="left" w:pos="1152"/>
        </w:tabs>
        <w:spacing w:line="259" w:lineRule="auto"/>
        <w:ind w:firstLine="656"/>
        <w:jc w:val="both"/>
        <w:rPr>
          <w:rFonts w:ascii="Arial" w:eastAsia="Arial" w:hAnsi="Arial" w:cs="Arial"/>
          <w:sz w:val="18"/>
          <w:szCs w:val="18"/>
        </w:rPr>
      </w:pPr>
      <w:bookmarkStart w:id="184" w:name="page185"/>
      <w:bookmarkEnd w:id="184"/>
      <w:r>
        <w:rPr>
          <w:rFonts w:ascii="Arial" w:eastAsia="Arial" w:hAnsi="Arial" w:cs="Arial"/>
          <w:sz w:val="18"/>
          <w:szCs w:val="18"/>
        </w:rPr>
        <w:t>Effective as of the Distribution Date, (i) VS shall adopt or maintain, and shall cause each member of the VS Group to adopt or maintain, leave of absence programs and (ii) V</w:t>
      </w:r>
      <w:r>
        <w:rPr>
          <w:rFonts w:ascii="Arial" w:eastAsia="Arial" w:hAnsi="Arial" w:cs="Arial"/>
          <w:sz w:val="18"/>
          <w:szCs w:val="18"/>
        </w:rPr>
        <w:t>S shall honor, and shall cause each member of the VS Group to honor, all terms and conditions of authorized leaves of absence which have been granted to any VS Participant before the Distribution Date, including such leaves that are to commence on or after</w:t>
      </w:r>
      <w:r>
        <w:rPr>
          <w:rFonts w:ascii="Arial" w:eastAsia="Arial" w:hAnsi="Arial" w:cs="Arial"/>
          <w:sz w:val="18"/>
          <w:szCs w:val="18"/>
        </w:rPr>
        <w:t xml:space="preserve"> the Distribution Date.</w:t>
      </w:r>
    </w:p>
    <w:p w14:paraId="3805D53D" w14:textId="77777777" w:rsidR="00D1587D" w:rsidRDefault="00D1587D">
      <w:pPr>
        <w:spacing w:line="186" w:lineRule="exact"/>
        <w:rPr>
          <w:rFonts w:ascii="Arial" w:eastAsia="Arial" w:hAnsi="Arial" w:cs="Arial"/>
          <w:sz w:val="18"/>
          <w:szCs w:val="18"/>
        </w:rPr>
      </w:pPr>
    </w:p>
    <w:p w14:paraId="52D24E70" w14:textId="77777777" w:rsidR="00D1587D" w:rsidRDefault="00410D07">
      <w:pPr>
        <w:numPr>
          <w:ilvl w:val="0"/>
          <w:numId w:val="149"/>
        </w:numPr>
        <w:tabs>
          <w:tab w:val="left" w:pos="1096"/>
        </w:tabs>
        <w:spacing w:line="288" w:lineRule="auto"/>
        <w:ind w:firstLine="656"/>
        <w:jc w:val="both"/>
        <w:rPr>
          <w:rFonts w:ascii="Arial" w:eastAsia="Arial" w:hAnsi="Arial" w:cs="Arial"/>
          <w:sz w:val="16"/>
          <w:szCs w:val="16"/>
        </w:rPr>
      </w:pPr>
      <w:r>
        <w:rPr>
          <w:rFonts w:ascii="Arial" w:eastAsia="Arial" w:hAnsi="Arial" w:cs="Arial"/>
          <w:sz w:val="16"/>
          <w:szCs w:val="16"/>
        </w:rPr>
        <w:t>In the event that the Parties reasonably determine following the Distribution Date that (i) any individual employed outside the United States who is an L Brands Employee has inadvertently become or remained (as applicable) employed</w:t>
      </w:r>
      <w:r>
        <w:rPr>
          <w:rFonts w:ascii="Arial" w:eastAsia="Arial" w:hAnsi="Arial" w:cs="Arial"/>
          <w:sz w:val="16"/>
          <w:szCs w:val="16"/>
        </w:rPr>
        <w:t xml:space="preserve"> by a member of the VS Group due to the operation of transfer of undertakings or similar Applicable Law, the Parties shall cooperate and take such actions as may be reasonably necessary in order to cause the employment of such individual to be promptly tra</w:t>
      </w:r>
      <w:r>
        <w:rPr>
          <w:rFonts w:ascii="Arial" w:eastAsia="Arial" w:hAnsi="Arial" w:cs="Arial"/>
          <w:sz w:val="16"/>
          <w:szCs w:val="16"/>
        </w:rPr>
        <w:t>nsferred to a member of the L Brands Group, and L Brands shall reimburse the applicable members of the VS Group for all compensation, benefits, severance and other employment-related costs incurred by the VS Group members in employing and transferring such</w:t>
      </w:r>
      <w:r>
        <w:rPr>
          <w:rFonts w:ascii="Arial" w:eastAsia="Arial" w:hAnsi="Arial" w:cs="Arial"/>
          <w:sz w:val="16"/>
          <w:szCs w:val="16"/>
        </w:rPr>
        <w:t xml:space="preserve"> individuals or (ii) any individual employed outside the United States who is a VS Employee has inadvertently become or remained (as applicable) employed by a member of the L Brands Group due to the operation of transfer of undertakings or similar Applicab</w:t>
      </w:r>
      <w:r>
        <w:rPr>
          <w:rFonts w:ascii="Arial" w:eastAsia="Arial" w:hAnsi="Arial" w:cs="Arial"/>
          <w:sz w:val="16"/>
          <w:szCs w:val="16"/>
        </w:rPr>
        <w:t>le Law, the Parties shall cooperate and take such actions as may be reasonably necessary in order to cause the employment of such individual to be promptly transferred to a member of the VS Group, and VS shall reimburse the applicable members of the L Bran</w:t>
      </w:r>
      <w:r>
        <w:rPr>
          <w:rFonts w:ascii="Arial" w:eastAsia="Arial" w:hAnsi="Arial" w:cs="Arial"/>
          <w:sz w:val="16"/>
          <w:szCs w:val="16"/>
        </w:rPr>
        <w:t>ds Group for all compensation, severance, benefits and other employment-related costs incurred by the L Brands Group members in employing and transferring such individuals.</w:t>
      </w:r>
    </w:p>
    <w:p w14:paraId="69181140" w14:textId="77777777" w:rsidR="00D1587D" w:rsidRDefault="00D1587D">
      <w:pPr>
        <w:spacing w:line="168" w:lineRule="exact"/>
        <w:rPr>
          <w:sz w:val="20"/>
          <w:szCs w:val="20"/>
        </w:rPr>
      </w:pPr>
    </w:p>
    <w:p w14:paraId="5B5ABA09" w14:textId="77777777" w:rsidR="00D1587D" w:rsidRDefault="00410D07">
      <w:pPr>
        <w:spacing w:line="254" w:lineRule="auto"/>
        <w:ind w:firstLine="648"/>
        <w:jc w:val="both"/>
        <w:rPr>
          <w:sz w:val="20"/>
          <w:szCs w:val="20"/>
        </w:rPr>
      </w:pPr>
      <w:r>
        <w:rPr>
          <w:rFonts w:ascii="Arial" w:eastAsia="Arial" w:hAnsi="Arial" w:cs="Arial"/>
          <w:sz w:val="18"/>
          <w:szCs w:val="18"/>
        </w:rPr>
        <w:t xml:space="preserve">Section 3.02. </w:t>
      </w:r>
      <w:r>
        <w:rPr>
          <w:rFonts w:ascii="Arial" w:eastAsia="Arial" w:hAnsi="Arial" w:cs="Arial"/>
          <w:i/>
          <w:iCs/>
          <w:sz w:val="18"/>
          <w:szCs w:val="18"/>
        </w:rPr>
        <w:t>Contractors</w:t>
      </w:r>
      <w:r>
        <w:rPr>
          <w:rFonts w:ascii="Arial" w:eastAsia="Arial" w:hAnsi="Arial" w:cs="Arial"/>
          <w:sz w:val="18"/>
          <w:szCs w:val="18"/>
        </w:rPr>
        <w:t xml:space="preserve">. With respect to any independent contractor or </w:t>
      </w:r>
      <w:r>
        <w:rPr>
          <w:rFonts w:ascii="Arial" w:eastAsia="Arial" w:hAnsi="Arial" w:cs="Arial"/>
          <w:sz w:val="18"/>
          <w:szCs w:val="18"/>
        </w:rPr>
        <w:t>consulting agreements with VS Contractors or L Brands Contractors to which a VS Group member or an L Brands Group member, respectively, is not a party, or which do not otherwise transfer to a VS Group member or an L Brands Group member, respectively, by op</w:t>
      </w:r>
      <w:r>
        <w:rPr>
          <w:rFonts w:ascii="Arial" w:eastAsia="Arial" w:hAnsi="Arial" w:cs="Arial"/>
          <w:sz w:val="18"/>
          <w:szCs w:val="18"/>
        </w:rPr>
        <w:t>eration of Applicable Law, the Parties shall use reasonable best efforts to assign, effective on or before the Distribution Date, the applicable agreements to a member of the VS Group or a member of the L Brands Group, as applicable, in the applicable juri</w:t>
      </w:r>
      <w:r>
        <w:rPr>
          <w:rFonts w:ascii="Arial" w:eastAsia="Arial" w:hAnsi="Arial" w:cs="Arial"/>
          <w:sz w:val="18"/>
          <w:szCs w:val="18"/>
        </w:rPr>
        <w:t>sdiction, and VS or L Brands, as applicable, shall, or shall cause a member of the VS Group or a member of the L Brands Group, respectively, to assume and perform any obligations under such independent contractor and consulting agreements with respect to V</w:t>
      </w:r>
      <w:r>
        <w:rPr>
          <w:rFonts w:ascii="Arial" w:eastAsia="Arial" w:hAnsi="Arial" w:cs="Arial"/>
          <w:sz w:val="18"/>
          <w:szCs w:val="18"/>
        </w:rPr>
        <w:t>S Contractors and L Brands Contractors, respectively.</w:t>
      </w:r>
    </w:p>
    <w:p w14:paraId="429FD9CA" w14:textId="77777777" w:rsidR="00D1587D" w:rsidRDefault="00D1587D">
      <w:pPr>
        <w:spacing w:line="366" w:lineRule="exact"/>
        <w:rPr>
          <w:sz w:val="20"/>
          <w:szCs w:val="20"/>
        </w:rPr>
      </w:pPr>
    </w:p>
    <w:p w14:paraId="0972F127" w14:textId="77777777" w:rsidR="00D1587D" w:rsidRDefault="00410D07">
      <w:pPr>
        <w:jc w:val="center"/>
        <w:rPr>
          <w:sz w:val="20"/>
          <w:szCs w:val="20"/>
        </w:rPr>
      </w:pPr>
      <w:r>
        <w:rPr>
          <w:rFonts w:ascii="Arial" w:eastAsia="Arial" w:hAnsi="Arial" w:cs="Arial"/>
          <w:sz w:val="14"/>
          <w:szCs w:val="14"/>
        </w:rPr>
        <w:t>14</w:t>
      </w:r>
    </w:p>
    <w:p w14:paraId="199A25AF" w14:textId="77777777" w:rsidR="00D1587D" w:rsidRDefault="00410D07">
      <w:pPr>
        <w:spacing w:line="20" w:lineRule="exact"/>
        <w:rPr>
          <w:sz w:val="20"/>
          <w:szCs w:val="20"/>
        </w:rPr>
      </w:pPr>
      <w:r>
        <w:rPr>
          <w:noProof/>
          <w:sz w:val="20"/>
          <w:szCs w:val="20"/>
        </w:rPr>
        <w:drawing>
          <wp:anchor distT="0" distB="0" distL="114300" distR="114300" simplePos="0" relativeHeight="251342848" behindDoc="1" locked="0" layoutInCell="0" allowOverlap="1" wp14:anchorId="359FB872" wp14:editId="4B73C4EE">
            <wp:simplePos x="0" y="0"/>
            <wp:positionH relativeFrom="column">
              <wp:posOffset>5080</wp:posOffset>
            </wp:positionH>
            <wp:positionV relativeFrom="paragraph">
              <wp:posOffset>38100</wp:posOffset>
            </wp:positionV>
            <wp:extent cx="7132320" cy="1714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9A46D1C" w14:textId="77777777" w:rsidR="00D1587D" w:rsidRDefault="00D1587D">
      <w:pPr>
        <w:sectPr w:rsidR="00D1587D">
          <w:pgSz w:w="11900" w:h="16838"/>
          <w:pgMar w:top="125" w:right="339" w:bottom="1440" w:left="320" w:header="0" w:footer="0" w:gutter="0"/>
          <w:cols w:space="720" w:equalWidth="0">
            <w:col w:w="11240"/>
          </w:cols>
        </w:sectPr>
      </w:pPr>
    </w:p>
    <w:p w14:paraId="43FAB066" w14:textId="77777777" w:rsidR="00D1587D" w:rsidRDefault="00410D07">
      <w:pPr>
        <w:ind w:left="660"/>
        <w:rPr>
          <w:sz w:val="20"/>
          <w:szCs w:val="20"/>
        </w:rPr>
      </w:pPr>
      <w:bookmarkStart w:id="185" w:name="page186"/>
      <w:bookmarkEnd w:id="185"/>
      <w:r>
        <w:rPr>
          <w:rFonts w:ascii="Arial" w:eastAsia="Arial" w:hAnsi="Arial" w:cs="Arial"/>
          <w:sz w:val="18"/>
          <w:szCs w:val="18"/>
        </w:rPr>
        <w:t xml:space="preserve">Section 3.03.  </w:t>
      </w:r>
      <w:r>
        <w:rPr>
          <w:rFonts w:ascii="Arial" w:eastAsia="Arial" w:hAnsi="Arial" w:cs="Arial"/>
          <w:i/>
          <w:iCs/>
          <w:sz w:val="18"/>
          <w:szCs w:val="18"/>
        </w:rPr>
        <w:t>Employee Agreements.</w:t>
      </w:r>
    </w:p>
    <w:p w14:paraId="034E221C" w14:textId="77777777" w:rsidR="00D1587D" w:rsidRDefault="00D1587D">
      <w:pPr>
        <w:spacing w:line="225" w:lineRule="exact"/>
        <w:rPr>
          <w:sz w:val="20"/>
          <w:szCs w:val="20"/>
        </w:rPr>
      </w:pPr>
    </w:p>
    <w:p w14:paraId="677F329C" w14:textId="77777777" w:rsidR="00D1587D" w:rsidRDefault="00410D07">
      <w:pPr>
        <w:numPr>
          <w:ilvl w:val="0"/>
          <w:numId w:val="150"/>
        </w:numPr>
        <w:tabs>
          <w:tab w:val="left" w:pos="1086"/>
        </w:tabs>
        <w:spacing w:line="270" w:lineRule="auto"/>
        <w:ind w:firstLine="656"/>
        <w:jc w:val="both"/>
        <w:rPr>
          <w:rFonts w:ascii="Arial" w:eastAsia="Arial" w:hAnsi="Arial" w:cs="Arial"/>
          <w:sz w:val="17"/>
          <w:szCs w:val="17"/>
        </w:rPr>
      </w:pPr>
      <w:r>
        <w:rPr>
          <w:rFonts w:ascii="Arial" w:eastAsia="Arial" w:hAnsi="Arial" w:cs="Arial"/>
          <w:sz w:val="17"/>
          <w:szCs w:val="17"/>
        </w:rPr>
        <w:t>With respect to any employment, retention, severance, restrictive covenant or similar agreements with VS Employees to which a member of the</w:t>
      </w:r>
      <w:r>
        <w:rPr>
          <w:rFonts w:ascii="Arial" w:eastAsia="Arial" w:hAnsi="Arial" w:cs="Arial"/>
          <w:sz w:val="17"/>
          <w:szCs w:val="17"/>
        </w:rPr>
        <w:t xml:space="preserve"> VS Group is not a party, or which do not otherwise transfer to a VS Group member by operation of Applicable Law, the Parties shall use reasonable best efforts to assign, effective on or before the Distribution Date (or, with respect to Delayed VS Transfer</w:t>
      </w:r>
      <w:r>
        <w:rPr>
          <w:rFonts w:ascii="Arial" w:eastAsia="Arial" w:hAnsi="Arial" w:cs="Arial"/>
          <w:sz w:val="17"/>
          <w:szCs w:val="17"/>
        </w:rPr>
        <w:t xml:space="preserve"> Employee, effective as of the applicable Delayed Transfer Date) the applicable employment, retention, severance, restrictive covenant or similar agreement, as applicable, to a member of the VS Group in the applicable jurisdiction, and VS shall, or shall c</w:t>
      </w:r>
      <w:r>
        <w:rPr>
          <w:rFonts w:ascii="Arial" w:eastAsia="Arial" w:hAnsi="Arial" w:cs="Arial"/>
          <w:sz w:val="17"/>
          <w:szCs w:val="17"/>
        </w:rPr>
        <w:t>ause a member of the VS Group to assume and perform such agreements in accordance with their terms, in each case as if originally entered into by such applicable member of the VS Group, and the L Brands Group shall cease to have any Liabilities or responsi</w:t>
      </w:r>
      <w:r>
        <w:rPr>
          <w:rFonts w:ascii="Arial" w:eastAsia="Arial" w:hAnsi="Arial" w:cs="Arial"/>
          <w:sz w:val="17"/>
          <w:szCs w:val="17"/>
        </w:rPr>
        <w:t xml:space="preserve">bilities with respect thereto; </w:t>
      </w:r>
      <w:r>
        <w:rPr>
          <w:rFonts w:ascii="Arial" w:eastAsia="Arial" w:hAnsi="Arial" w:cs="Arial"/>
          <w:i/>
          <w:iCs/>
          <w:sz w:val="17"/>
          <w:szCs w:val="17"/>
        </w:rPr>
        <w:t>provided</w:t>
      </w:r>
      <w:r>
        <w:rPr>
          <w:rFonts w:ascii="Arial" w:eastAsia="Arial" w:hAnsi="Arial" w:cs="Arial"/>
          <w:sz w:val="17"/>
          <w:szCs w:val="17"/>
        </w:rPr>
        <w:t xml:space="preserve">, </w:t>
      </w:r>
      <w:r>
        <w:rPr>
          <w:rFonts w:ascii="Arial" w:eastAsia="Arial" w:hAnsi="Arial" w:cs="Arial"/>
          <w:i/>
          <w:iCs/>
          <w:sz w:val="17"/>
          <w:szCs w:val="17"/>
        </w:rPr>
        <w:t>however</w:t>
      </w:r>
      <w:r>
        <w:rPr>
          <w:rFonts w:ascii="Arial" w:eastAsia="Arial" w:hAnsi="Arial" w:cs="Arial"/>
          <w:sz w:val="17"/>
          <w:szCs w:val="17"/>
        </w:rPr>
        <w:t xml:space="preserve">, that this Section 3.03(a) shall not apply to any employment, retention, severance, restrictive covenant or similar agreements with any VS Employees who are employed in a jurisdiction outside of the </w:t>
      </w:r>
      <w:r>
        <w:rPr>
          <w:rFonts w:ascii="Arial" w:eastAsia="Arial" w:hAnsi="Arial" w:cs="Arial"/>
          <w:sz w:val="17"/>
          <w:szCs w:val="17"/>
        </w:rPr>
        <w:t>United States in which the Parties do not intend for such agreements to be transferred to the VS Group.</w:t>
      </w:r>
    </w:p>
    <w:p w14:paraId="15C56B7C" w14:textId="77777777" w:rsidR="00D1587D" w:rsidRDefault="00D1587D">
      <w:pPr>
        <w:spacing w:line="180" w:lineRule="exact"/>
        <w:rPr>
          <w:rFonts w:ascii="Arial" w:eastAsia="Arial" w:hAnsi="Arial" w:cs="Arial"/>
          <w:sz w:val="17"/>
          <w:szCs w:val="17"/>
        </w:rPr>
      </w:pPr>
    </w:p>
    <w:p w14:paraId="51B9323D" w14:textId="77777777" w:rsidR="00D1587D" w:rsidRDefault="00410D07">
      <w:pPr>
        <w:numPr>
          <w:ilvl w:val="0"/>
          <w:numId w:val="150"/>
        </w:numPr>
        <w:tabs>
          <w:tab w:val="left" w:pos="1177"/>
        </w:tabs>
        <w:spacing w:line="289" w:lineRule="auto"/>
        <w:ind w:firstLine="656"/>
        <w:jc w:val="both"/>
        <w:rPr>
          <w:rFonts w:ascii="Arial" w:eastAsia="Arial" w:hAnsi="Arial" w:cs="Arial"/>
          <w:sz w:val="16"/>
          <w:szCs w:val="16"/>
        </w:rPr>
      </w:pPr>
      <w:r>
        <w:rPr>
          <w:rFonts w:ascii="Arial" w:eastAsia="Arial" w:hAnsi="Arial" w:cs="Arial"/>
          <w:sz w:val="16"/>
          <w:szCs w:val="16"/>
        </w:rPr>
        <w:t>With respect to any employment, retention, severance, restrictive covenant or similar agreements with L Brands Employees to which a member of the L Bra</w:t>
      </w:r>
      <w:r>
        <w:rPr>
          <w:rFonts w:ascii="Arial" w:eastAsia="Arial" w:hAnsi="Arial" w:cs="Arial"/>
          <w:sz w:val="16"/>
          <w:szCs w:val="16"/>
        </w:rPr>
        <w:t>nds Group is not a party, or which do not otherwise transfer to an L Brands Group member by operation of Applicable Law, the Parties shall use reasonable best efforts to assign, effective on or before the Distribution Date (or, with respect to Delayed LB T</w:t>
      </w:r>
      <w:r>
        <w:rPr>
          <w:rFonts w:ascii="Arial" w:eastAsia="Arial" w:hAnsi="Arial" w:cs="Arial"/>
          <w:sz w:val="16"/>
          <w:szCs w:val="16"/>
        </w:rPr>
        <w:t>ransfer Employee, effective as of the applicable Delayed Transfer Date) the applicable employment, retention, severance, restrictive covenant or similar agreement, as applicable, to a member of the L Brands Group in the applicable jurisdiction, and L Brand</w:t>
      </w:r>
      <w:r>
        <w:rPr>
          <w:rFonts w:ascii="Arial" w:eastAsia="Arial" w:hAnsi="Arial" w:cs="Arial"/>
          <w:sz w:val="16"/>
          <w:szCs w:val="16"/>
        </w:rPr>
        <w:t>s shall, or shall cause a member of the L Brands Group to assume and perform such agreements in accordance with their terms, in each case as if originally entered into by such applicable member of the L Brands Group, and the VS Group shall cease to have an</w:t>
      </w:r>
      <w:r>
        <w:rPr>
          <w:rFonts w:ascii="Arial" w:eastAsia="Arial" w:hAnsi="Arial" w:cs="Arial"/>
          <w:sz w:val="16"/>
          <w:szCs w:val="16"/>
        </w:rPr>
        <w:t xml:space="preserve">y Liabilities or responsibilities with respect thereto; </w:t>
      </w:r>
      <w:r>
        <w:rPr>
          <w:rFonts w:ascii="Arial" w:eastAsia="Arial" w:hAnsi="Arial" w:cs="Arial"/>
          <w:i/>
          <w:iCs/>
          <w:sz w:val="16"/>
          <w:szCs w:val="16"/>
        </w:rPr>
        <w:t>provided</w:t>
      </w:r>
      <w:r>
        <w:rPr>
          <w:rFonts w:ascii="Arial" w:eastAsia="Arial" w:hAnsi="Arial" w:cs="Arial"/>
          <w:sz w:val="16"/>
          <w:szCs w:val="16"/>
        </w:rPr>
        <w:t xml:space="preserve">, </w:t>
      </w:r>
      <w:r>
        <w:rPr>
          <w:rFonts w:ascii="Arial" w:eastAsia="Arial" w:hAnsi="Arial" w:cs="Arial"/>
          <w:i/>
          <w:iCs/>
          <w:sz w:val="16"/>
          <w:szCs w:val="16"/>
        </w:rPr>
        <w:t>however</w:t>
      </w:r>
      <w:r>
        <w:rPr>
          <w:rFonts w:ascii="Arial" w:eastAsia="Arial" w:hAnsi="Arial" w:cs="Arial"/>
          <w:sz w:val="16"/>
          <w:szCs w:val="16"/>
        </w:rPr>
        <w:t>, that this Section 3.03(b) shall not apply to any employment, retention, severance, restrictive covenant or similar agreements with any L Brands Employees who are employed in a juris</w:t>
      </w:r>
      <w:r>
        <w:rPr>
          <w:rFonts w:ascii="Arial" w:eastAsia="Arial" w:hAnsi="Arial" w:cs="Arial"/>
          <w:sz w:val="16"/>
          <w:szCs w:val="16"/>
        </w:rPr>
        <w:t>diction outside of the United States in which the Parties do not intend for such agreements to be transferred to the L Brands Group.</w:t>
      </w:r>
    </w:p>
    <w:p w14:paraId="48C91EDC" w14:textId="77777777" w:rsidR="00D1587D" w:rsidRDefault="00D1587D">
      <w:pPr>
        <w:spacing w:line="166" w:lineRule="exact"/>
        <w:rPr>
          <w:rFonts w:ascii="Arial" w:eastAsia="Arial" w:hAnsi="Arial" w:cs="Arial"/>
          <w:sz w:val="16"/>
          <w:szCs w:val="16"/>
        </w:rPr>
      </w:pPr>
    </w:p>
    <w:p w14:paraId="66B1A973" w14:textId="77777777" w:rsidR="00D1587D" w:rsidRDefault="00410D07">
      <w:pPr>
        <w:numPr>
          <w:ilvl w:val="0"/>
          <w:numId w:val="150"/>
        </w:numPr>
        <w:tabs>
          <w:tab w:val="left" w:pos="1099"/>
        </w:tabs>
        <w:spacing w:line="275" w:lineRule="auto"/>
        <w:ind w:firstLine="656"/>
        <w:jc w:val="both"/>
        <w:rPr>
          <w:rFonts w:ascii="Arial" w:eastAsia="Arial" w:hAnsi="Arial" w:cs="Arial"/>
          <w:sz w:val="17"/>
          <w:szCs w:val="17"/>
        </w:rPr>
      </w:pPr>
      <w:r>
        <w:rPr>
          <w:rFonts w:ascii="Arial" w:eastAsia="Arial" w:hAnsi="Arial" w:cs="Arial"/>
          <w:sz w:val="17"/>
          <w:szCs w:val="17"/>
        </w:rPr>
        <w:t>From and after the Distribution Date (or, if applicable, the Delayed Transfer Date), each of VS and L Brands hereby agrees</w:t>
      </w:r>
      <w:r>
        <w:rPr>
          <w:rFonts w:ascii="Arial" w:eastAsia="Arial" w:hAnsi="Arial" w:cs="Arial"/>
          <w:sz w:val="17"/>
          <w:szCs w:val="17"/>
        </w:rPr>
        <w:t xml:space="preserve"> to comply with and honor any employment, services, retention or severance agreement between any member of the VS Group or the L Brands Group, as the case may be, on the one hand, and any VS Employee or VS Contractor or L Brands Employee or L Brands Contra</w:t>
      </w:r>
      <w:r>
        <w:rPr>
          <w:rFonts w:ascii="Arial" w:eastAsia="Arial" w:hAnsi="Arial" w:cs="Arial"/>
          <w:sz w:val="17"/>
          <w:szCs w:val="17"/>
        </w:rPr>
        <w:t>ctor, respectively, on the other hand, and assumes responsibility for, and, to the extent applicable, L Brands or the relevant member of the L Brands Group and VS or the relevant member of the VS Group, respectively, shall cease to be responsible for or to</w:t>
      </w:r>
      <w:r>
        <w:rPr>
          <w:rFonts w:ascii="Arial" w:eastAsia="Arial" w:hAnsi="Arial" w:cs="Arial"/>
          <w:sz w:val="17"/>
          <w:szCs w:val="17"/>
        </w:rPr>
        <w:t xml:space="preserve"> otherwise have any Liability in respect of, such agreements.</w:t>
      </w:r>
    </w:p>
    <w:p w14:paraId="48BE7E36" w14:textId="77777777" w:rsidR="00D1587D" w:rsidRDefault="00D1587D">
      <w:pPr>
        <w:spacing w:line="176" w:lineRule="exact"/>
        <w:rPr>
          <w:sz w:val="20"/>
          <w:szCs w:val="20"/>
        </w:rPr>
      </w:pPr>
    </w:p>
    <w:p w14:paraId="4EFCCADD" w14:textId="77777777" w:rsidR="00D1587D" w:rsidRDefault="00410D07">
      <w:pPr>
        <w:spacing w:line="279" w:lineRule="auto"/>
        <w:ind w:firstLine="648"/>
        <w:jc w:val="both"/>
        <w:rPr>
          <w:sz w:val="20"/>
          <w:szCs w:val="20"/>
        </w:rPr>
      </w:pPr>
      <w:r>
        <w:rPr>
          <w:rFonts w:ascii="Arial" w:eastAsia="Arial" w:hAnsi="Arial" w:cs="Arial"/>
          <w:sz w:val="17"/>
          <w:szCs w:val="17"/>
        </w:rPr>
        <w:t xml:space="preserve">Section 3.04. </w:t>
      </w:r>
      <w:r>
        <w:rPr>
          <w:rFonts w:ascii="Arial" w:eastAsia="Arial" w:hAnsi="Arial" w:cs="Arial"/>
          <w:i/>
          <w:iCs/>
          <w:sz w:val="17"/>
          <w:szCs w:val="17"/>
        </w:rPr>
        <w:t>Assignment of Specified Rights</w:t>
      </w:r>
      <w:r>
        <w:rPr>
          <w:rFonts w:ascii="Arial" w:eastAsia="Arial" w:hAnsi="Arial" w:cs="Arial"/>
          <w:sz w:val="17"/>
          <w:szCs w:val="17"/>
        </w:rPr>
        <w:t>. To the extent permitted by Applicable Law and the applicable agreement, if any, effective as of the Distribution Date, (a) L Brands hereby assigns,</w:t>
      </w:r>
      <w:r>
        <w:rPr>
          <w:rFonts w:ascii="Arial" w:eastAsia="Arial" w:hAnsi="Arial" w:cs="Arial"/>
          <w:sz w:val="17"/>
          <w:szCs w:val="17"/>
        </w:rPr>
        <w:t xml:space="preserve"> to the maximum extent possible, on behalf of itself and the L Brands Group, the VS Specified Rights, to VS (and VS shall be a third party beneficiary with respect thereto) and (b) VS hereby assigns, to the maximum extent possible, on behalf of itself and </w:t>
      </w:r>
      <w:r>
        <w:rPr>
          <w:rFonts w:ascii="Arial" w:eastAsia="Arial" w:hAnsi="Arial" w:cs="Arial"/>
          <w:sz w:val="17"/>
          <w:szCs w:val="17"/>
        </w:rPr>
        <w:t>the VS Group, the L Brands Specified Rights, to L Brands (and L Brands shall be a third party beneficiary with respect thereto).</w:t>
      </w:r>
    </w:p>
    <w:p w14:paraId="52FF53AE" w14:textId="77777777" w:rsidR="00D1587D" w:rsidRDefault="00D1587D">
      <w:pPr>
        <w:spacing w:line="342" w:lineRule="exact"/>
        <w:rPr>
          <w:sz w:val="20"/>
          <w:szCs w:val="20"/>
        </w:rPr>
      </w:pPr>
    </w:p>
    <w:p w14:paraId="283A1A6C" w14:textId="77777777" w:rsidR="00D1587D" w:rsidRDefault="00410D07">
      <w:pPr>
        <w:jc w:val="center"/>
        <w:rPr>
          <w:sz w:val="20"/>
          <w:szCs w:val="20"/>
        </w:rPr>
      </w:pPr>
      <w:r>
        <w:rPr>
          <w:rFonts w:ascii="Arial" w:eastAsia="Arial" w:hAnsi="Arial" w:cs="Arial"/>
          <w:sz w:val="14"/>
          <w:szCs w:val="14"/>
        </w:rPr>
        <w:t>15</w:t>
      </w:r>
    </w:p>
    <w:p w14:paraId="58145D67" w14:textId="77777777" w:rsidR="00D1587D" w:rsidRDefault="00410D07">
      <w:pPr>
        <w:spacing w:line="20" w:lineRule="exact"/>
        <w:rPr>
          <w:sz w:val="20"/>
          <w:szCs w:val="20"/>
        </w:rPr>
      </w:pPr>
      <w:r>
        <w:rPr>
          <w:noProof/>
          <w:sz w:val="20"/>
          <w:szCs w:val="20"/>
        </w:rPr>
        <w:drawing>
          <wp:anchor distT="0" distB="0" distL="114300" distR="114300" simplePos="0" relativeHeight="251343872" behindDoc="1" locked="0" layoutInCell="0" allowOverlap="1" wp14:anchorId="3356BE4C" wp14:editId="21CF294D">
            <wp:simplePos x="0" y="0"/>
            <wp:positionH relativeFrom="column">
              <wp:posOffset>5080</wp:posOffset>
            </wp:positionH>
            <wp:positionV relativeFrom="paragraph">
              <wp:posOffset>38100</wp:posOffset>
            </wp:positionV>
            <wp:extent cx="7132320" cy="1714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0500CCA" w14:textId="77777777" w:rsidR="00D1587D" w:rsidRDefault="00D1587D">
      <w:pPr>
        <w:sectPr w:rsidR="00D1587D">
          <w:pgSz w:w="11900" w:h="16838"/>
          <w:pgMar w:top="125" w:right="339" w:bottom="1440" w:left="320" w:header="0" w:footer="0" w:gutter="0"/>
          <w:cols w:space="720" w:equalWidth="0">
            <w:col w:w="11240"/>
          </w:cols>
        </w:sectPr>
      </w:pPr>
    </w:p>
    <w:p w14:paraId="3A076917" w14:textId="77777777" w:rsidR="00D1587D" w:rsidRDefault="00410D07">
      <w:pPr>
        <w:spacing w:line="289" w:lineRule="auto"/>
        <w:ind w:firstLine="648"/>
        <w:jc w:val="both"/>
        <w:rPr>
          <w:sz w:val="20"/>
          <w:szCs w:val="20"/>
        </w:rPr>
      </w:pPr>
      <w:bookmarkStart w:id="186" w:name="page187"/>
      <w:bookmarkEnd w:id="186"/>
      <w:r>
        <w:rPr>
          <w:rFonts w:ascii="Arial" w:eastAsia="Arial" w:hAnsi="Arial" w:cs="Arial"/>
          <w:sz w:val="16"/>
          <w:szCs w:val="16"/>
        </w:rPr>
        <w:t xml:space="preserve">Section 3.05. </w:t>
      </w:r>
      <w:r>
        <w:rPr>
          <w:rFonts w:ascii="Arial" w:eastAsia="Arial" w:hAnsi="Arial" w:cs="Arial"/>
          <w:i/>
          <w:iCs/>
          <w:sz w:val="16"/>
          <w:szCs w:val="16"/>
        </w:rPr>
        <w:t>Sponsored VS Employees</w:t>
      </w:r>
      <w:r>
        <w:rPr>
          <w:rFonts w:ascii="Arial" w:eastAsia="Arial" w:hAnsi="Arial" w:cs="Arial"/>
          <w:sz w:val="16"/>
          <w:szCs w:val="16"/>
        </w:rPr>
        <w:t xml:space="preserve">. Each of VS and L Brands shall, and shall cause the </w:t>
      </w:r>
      <w:r>
        <w:rPr>
          <w:rFonts w:ascii="Arial" w:eastAsia="Arial" w:hAnsi="Arial" w:cs="Arial"/>
          <w:sz w:val="16"/>
          <w:szCs w:val="16"/>
        </w:rPr>
        <w:t>members of the VS Group and the L Brands Group, respectively, to, cooperate in good faith with each other and the applicable Governmental Authorities with respect to the process of obtaining work authorization for each Sponsored VS Employee to work with VS</w:t>
      </w:r>
      <w:r>
        <w:rPr>
          <w:rFonts w:ascii="Arial" w:eastAsia="Arial" w:hAnsi="Arial" w:cs="Arial"/>
          <w:sz w:val="16"/>
          <w:szCs w:val="16"/>
        </w:rPr>
        <w:t xml:space="preserve"> or a VS Group member, including but not limited to, petitioning the applicable Governmental Authorities for the transfer of each Sponsored VS Employee’s (as well as any spouse or dependent thereof, as applicable) visa or work permit, or the grant of a new</w:t>
      </w:r>
      <w:r>
        <w:rPr>
          <w:rFonts w:ascii="Arial" w:eastAsia="Arial" w:hAnsi="Arial" w:cs="Arial"/>
          <w:sz w:val="16"/>
          <w:szCs w:val="16"/>
        </w:rPr>
        <w:t xml:space="preserve"> visa or work permit, to any VS Group member. Any costs or expenses incurred with the foregoing shall constitute VS Assumed Employee Liabilities. In the event that it is not legally permissible for a Sponsored VS Employee to continue work with the VS Group</w:t>
      </w:r>
      <w:r>
        <w:rPr>
          <w:rFonts w:ascii="Arial" w:eastAsia="Arial" w:hAnsi="Arial" w:cs="Arial"/>
          <w:sz w:val="16"/>
          <w:szCs w:val="16"/>
        </w:rPr>
        <w:t xml:space="preserve"> from and after the Distribution Date, the Parties shall reasonably cooperate to provide for the services of such Sponsored VS Employee to be made available exclusively to the VS Group under an employee secondment or similar arrangement, which such costs i</w:t>
      </w:r>
      <w:r>
        <w:rPr>
          <w:rFonts w:ascii="Arial" w:eastAsia="Arial" w:hAnsi="Arial" w:cs="Arial"/>
          <w:sz w:val="16"/>
          <w:szCs w:val="16"/>
        </w:rPr>
        <w:t>ncurred by the L Brands Group (including those relating to compensation and benefits in respect of such Sponsored VS Employee) shall constitute VS Assumed Employee Liabilities.</w:t>
      </w:r>
    </w:p>
    <w:p w14:paraId="49576AAD" w14:textId="77777777" w:rsidR="00D1587D" w:rsidRDefault="00D1587D">
      <w:pPr>
        <w:spacing w:line="166" w:lineRule="exact"/>
        <w:rPr>
          <w:sz w:val="20"/>
          <w:szCs w:val="20"/>
        </w:rPr>
      </w:pPr>
    </w:p>
    <w:p w14:paraId="39A44817" w14:textId="77777777" w:rsidR="00D1587D" w:rsidRDefault="00410D07">
      <w:pPr>
        <w:ind w:left="660"/>
        <w:rPr>
          <w:sz w:val="20"/>
          <w:szCs w:val="20"/>
        </w:rPr>
      </w:pPr>
      <w:r>
        <w:rPr>
          <w:rFonts w:ascii="Arial" w:eastAsia="Arial" w:hAnsi="Arial" w:cs="Arial"/>
          <w:sz w:val="18"/>
          <w:szCs w:val="18"/>
        </w:rPr>
        <w:t xml:space="preserve">Section 3.06.  </w:t>
      </w:r>
      <w:r>
        <w:rPr>
          <w:rFonts w:ascii="Arial" w:eastAsia="Arial" w:hAnsi="Arial" w:cs="Arial"/>
          <w:i/>
          <w:iCs/>
          <w:sz w:val="18"/>
          <w:szCs w:val="18"/>
        </w:rPr>
        <w:t>Transfer-Related Termination Liabilities</w:t>
      </w:r>
      <w:r>
        <w:rPr>
          <w:rFonts w:ascii="Arial" w:eastAsia="Arial" w:hAnsi="Arial" w:cs="Arial"/>
          <w:sz w:val="18"/>
          <w:szCs w:val="18"/>
        </w:rPr>
        <w:t>.</w:t>
      </w:r>
    </w:p>
    <w:p w14:paraId="6E6E5AA4" w14:textId="77777777" w:rsidR="00D1587D" w:rsidRDefault="00D1587D">
      <w:pPr>
        <w:spacing w:line="225" w:lineRule="exact"/>
        <w:rPr>
          <w:sz w:val="20"/>
          <w:szCs w:val="20"/>
        </w:rPr>
      </w:pPr>
    </w:p>
    <w:p w14:paraId="1A983FF0" w14:textId="77777777" w:rsidR="00D1587D" w:rsidRDefault="00410D07">
      <w:pPr>
        <w:numPr>
          <w:ilvl w:val="0"/>
          <w:numId w:val="151"/>
        </w:numPr>
        <w:tabs>
          <w:tab w:val="left" w:pos="1320"/>
        </w:tabs>
        <w:spacing w:line="253" w:lineRule="auto"/>
        <w:ind w:firstLine="656"/>
        <w:jc w:val="both"/>
        <w:rPr>
          <w:rFonts w:ascii="Arial" w:eastAsia="Arial" w:hAnsi="Arial" w:cs="Arial"/>
          <w:sz w:val="18"/>
          <w:szCs w:val="18"/>
        </w:rPr>
      </w:pPr>
      <w:r>
        <w:rPr>
          <w:rFonts w:ascii="Arial" w:eastAsia="Arial" w:hAnsi="Arial" w:cs="Arial"/>
          <w:sz w:val="18"/>
          <w:szCs w:val="18"/>
        </w:rPr>
        <w:t xml:space="preserve">Except as </w:t>
      </w:r>
      <w:r>
        <w:rPr>
          <w:rFonts w:ascii="Arial" w:eastAsia="Arial" w:hAnsi="Arial" w:cs="Arial"/>
          <w:sz w:val="18"/>
          <w:szCs w:val="18"/>
        </w:rPr>
        <w:t>expressly contemplated by this Agreement, neither the Distribution, nor any assignment, transfer or continuation of the employment of any employees as contemplated by this Article 3 (or any other Ancillary Agreement) shall be deemed a termination of employ</w:t>
      </w:r>
      <w:r>
        <w:rPr>
          <w:rFonts w:ascii="Arial" w:eastAsia="Arial" w:hAnsi="Arial" w:cs="Arial"/>
          <w:sz w:val="18"/>
          <w:szCs w:val="18"/>
        </w:rPr>
        <w:t>ment or service of any L Brands Participant or VS Participant for purposes of this Agreement or any L Brands Award, VS Award, L Brands Bonus Plan, VS Bonus Plan, L Brands Equity Plan, VS Equity Plan or any employment, severance, retention, consulting or si</w:t>
      </w:r>
      <w:r>
        <w:rPr>
          <w:rFonts w:ascii="Arial" w:eastAsia="Arial" w:hAnsi="Arial" w:cs="Arial"/>
          <w:sz w:val="18"/>
          <w:szCs w:val="18"/>
        </w:rPr>
        <w:t>milar agreements, plans, policies or arrangements. Each of the Parties shall cooperate in good faith and use reasonable best efforts to avoid and mitigate, to the maximum extent possible, the incurrence of any severance or other termination-related obligat</w:t>
      </w:r>
      <w:r>
        <w:rPr>
          <w:rFonts w:ascii="Arial" w:eastAsia="Arial" w:hAnsi="Arial" w:cs="Arial"/>
          <w:sz w:val="18"/>
          <w:szCs w:val="18"/>
        </w:rPr>
        <w:t xml:space="preserve">ions (including, without limitation, by the provision of all appropriate notices, assurances and offers of employment and the assignment and assumption of obligations or undertakings with respect to employment, compensation, benefits, protections or other </w:t>
      </w:r>
      <w:r>
        <w:rPr>
          <w:rFonts w:ascii="Arial" w:eastAsia="Arial" w:hAnsi="Arial" w:cs="Arial"/>
          <w:sz w:val="18"/>
          <w:szCs w:val="18"/>
        </w:rPr>
        <w:t>obligations) in connection with the Distribution and any assignment or transfer of employment contemplated by this Agreement or any other Ancillary Agreement.</w:t>
      </w:r>
    </w:p>
    <w:p w14:paraId="5DD9A57D" w14:textId="77777777" w:rsidR="00D1587D" w:rsidRDefault="00D1587D">
      <w:pPr>
        <w:spacing w:line="196" w:lineRule="exact"/>
        <w:rPr>
          <w:rFonts w:ascii="Arial" w:eastAsia="Arial" w:hAnsi="Arial" w:cs="Arial"/>
          <w:sz w:val="18"/>
          <w:szCs w:val="18"/>
        </w:rPr>
      </w:pPr>
    </w:p>
    <w:p w14:paraId="01AE9B4F" w14:textId="77777777" w:rsidR="00D1587D" w:rsidRDefault="00410D07">
      <w:pPr>
        <w:numPr>
          <w:ilvl w:val="0"/>
          <w:numId w:val="151"/>
        </w:numPr>
        <w:tabs>
          <w:tab w:val="left" w:pos="1140"/>
        </w:tabs>
        <w:ind w:left="1140" w:hanging="484"/>
        <w:rPr>
          <w:rFonts w:ascii="Arial" w:eastAsia="Arial" w:hAnsi="Arial" w:cs="Arial"/>
          <w:sz w:val="18"/>
          <w:szCs w:val="18"/>
        </w:rPr>
      </w:pPr>
      <w:r>
        <w:rPr>
          <w:rFonts w:ascii="Arial" w:eastAsia="Arial" w:hAnsi="Arial" w:cs="Arial"/>
          <w:sz w:val="18"/>
          <w:szCs w:val="18"/>
        </w:rPr>
        <w:t>Without limiting the generality of Section 3.06(a):</w:t>
      </w:r>
    </w:p>
    <w:p w14:paraId="2288D295" w14:textId="77777777" w:rsidR="00D1587D" w:rsidRDefault="00D1587D">
      <w:pPr>
        <w:spacing w:line="225" w:lineRule="exact"/>
        <w:rPr>
          <w:rFonts w:ascii="Arial" w:eastAsia="Arial" w:hAnsi="Arial" w:cs="Arial"/>
          <w:sz w:val="18"/>
          <w:szCs w:val="18"/>
        </w:rPr>
      </w:pPr>
    </w:p>
    <w:p w14:paraId="76037066" w14:textId="77777777" w:rsidR="00D1587D" w:rsidRDefault="00410D07">
      <w:pPr>
        <w:numPr>
          <w:ilvl w:val="1"/>
          <w:numId w:val="151"/>
        </w:numPr>
        <w:tabs>
          <w:tab w:val="left" w:pos="2175"/>
        </w:tabs>
        <w:spacing w:line="263" w:lineRule="auto"/>
        <w:ind w:left="660" w:firstLine="968"/>
        <w:jc w:val="both"/>
        <w:rPr>
          <w:rFonts w:ascii="Arial" w:eastAsia="Arial" w:hAnsi="Arial" w:cs="Arial"/>
          <w:sz w:val="18"/>
          <w:szCs w:val="18"/>
        </w:rPr>
      </w:pPr>
      <w:r>
        <w:rPr>
          <w:rFonts w:ascii="Arial" w:eastAsia="Arial" w:hAnsi="Arial" w:cs="Arial"/>
          <w:sz w:val="18"/>
          <w:szCs w:val="18"/>
        </w:rPr>
        <w:t>in the event that any severance or other te</w:t>
      </w:r>
      <w:r>
        <w:rPr>
          <w:rFonts w:ascii="Arial" w:eastAsia="Arial" w:hAnsi="Arial" w:cs="Arial"/>
          <w:sz w:val="18"/>
          <w:szCs w:val="18"/>
        </w:rPr>
        <w:t>rmination-related payments become payable as a result of the transfer of the employment of a VS Employee contemplated by this Article 3, the VS Group shall be solely responsible for all such severance and termination-related payments, and such amounts shal</w:t>
      </w:r>
      <w:r>
        <w:rPr>
          <w:rFonts w:ascii="Arial" w:eastAsia="Arial" w:hAnsi="Arial" w:cs="Arial"/>
          <w:sz w:val="18"/>
          <w:szCs w:val="18"/>
        </w:rPr>
        <w:t>l constitute VS Assumed Employee Liabilities; and</w:t>
      </w:r>
    </w:p>
    <w:p w14:paraId="7CFBFAD4" w14:textId="77777777" w:rsidR="00D1587D" w:rsidRDefault="00D1587D">
      <w:pPr>
        <w:spacing w:line="183" w:lineRule="exact"/>
        <w:rPr>
          <w:rFonts w:ascii="Arial" w:eastAsia="Arial" w:hAnsi="Arial" w:cs="Arial"/>
          <w:sz w:val="18"/>
          <w:szCs w:val="18"/>
        </w:rPr>
      </w:pPr>
    </w:p>
    <w:p w14:paraId="69D287EE" w14:textId="77777777" w:rsidR="00D1587D" w:rsidRDefault="00410D07">
      <w:pPr>
        <w:numPr>
          <w:ilvl w:val="1"/>
          <w:numId w:val="151"/>
        </w:numPr>
        <w:tabs>
          <w:tab w:val="left" w:pos="2153"/>
        </w:tabs>
        <w:spacing w:line="263" w:lineRule="auto"/>
        <w:ind w:left="660" w:firstLine="968"/>
        <w:jc w:val="both"/>
        <w:rPr>
          <w:rFonts w:ascii="Arial" w:eastAsia="Arial" w:hAnsi="Arial" w:cs="Arial"/>
          <w:sz w:val="18"/>
          <w:szCs w:val="18"/>
        </w:rPr>
      </w:pPr>
      <w:r>
        <w:rPr>
          <w:rFonts w:ascii="Arial" w:eastAsia="Arial" w:hAnsi="Arial" w:cs="Arial"/>
          <w:sz w:val="18"/>
          <w:szCs w:val="18"/>
        </w:rPr>
        <w:t xml:space="preserve">in the event that any severance or other termination-related payments become payable as a result of the transfer of the employment of an L Brands Employee contemplated by this Article 3, the L Brands </w:t>
      </w:r>
      <w:r>
        <w:rPr>
          <w:rFonts w:ascii="Arial" w:eastAsia="Arial" w:hAnsi="Arial" w:cs="Arial"/>
          <w:sz w:val="18"/>
          <w:szCs w:val="18"/>
        </w:rPr>
        <w:t>Group shall be solely responsible for all such severance and termination-related payments, and such amounts shall constitute L Brands Retained Employee Liabilities.</w:t>
      </w:r>
    </w:p>
    <w:p w14:paraId="4CB5AB79" w14:textId="77777777" w:rsidR="00D1587D" w:rsidRDefault="00D1587D">
      <w:pPr>
        <w:spacing w:line="355" w:lineRule="exact"/>
        <w:rPr>
          <w:sz w:val="20"/>
          <w:szCs w:val="20"/>
        </w:rPr>
      </w:pPr>
    </w:p>
    <w:p w14:paraId="70801E04" w14:textId="77777777" w:rsidR="00D1587D" w:rsidRDefault="00410D07">
      <w:pPr>
        <w:jc w:val="center"/>
        <w:rPr>
          <w:sz w:val="20"/>
          <w:szCs w:val="20"/>
        </w:rPr>
      </w:pPr>
      <w:r>
        <w:rPr>
          <w:rFonts w:ascii="Arial" w:eastAsia="Arial" w:hAnsi="Arial" w:cs="Arial"/>
          <w:sz w:val="14"/>
          <w:szCs w:val="14"/>
        </w:rPr>
        <w:t>16</w:t>
      </w:r>
    </w:p>
    <w:p w14:paraId="7E0C7037" w14:textId="77777777" w:rsidR="00D1587D" w:rsidRDefault="00410D07">
      <w:pPr>
        <w:spacing w:line="20" w:lineRule="exact"/>
        <w:rPr>
          <w:sz w:val="20"/>
          <w:szCs w:val="20"/>
        </w:rPr>
      </w:pPr>
      <w:r>
        <w:rPr>
          <w:noProof/>
          <w:sz w:val="20"/>
          <w:szCs w:val="20"/>
        </w:rPr>
        <w:drawing>
          <wp:anchor distT="0" distB="0" distL="114300" distR="114300" simplePos="0" relativeHeight="251344896" behindDoc="1" locked="0" layoutInCell="0" allowOverlap="1" wp14:anchorId="23703196" wp14:editId="222B0D54">
            <wp:simplePos x="0" y="0"/>
            <wp:positionH relativeFrom="column">
              <wp:posOffset>5080</wp:posOffset>
            </wp:positionH>
            <wp:positionV relativeFrom="paragraph">
              <wp:posOffset>38100</wp:posOffset>
            </wp:positionV>
            <wp:extent cx="7132320" cy="1714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E39FC6B" w14:textId="77777777" w:rsidR="00D1587D" w:rsidRDefault="00D1587D">
      <w:pPr>
        <w:sectPr w:rsidR="00D1587D">
          <w:pgSz w:w="11900" w:h="16838"/>
          <w:pgMar w:top="125" w:right="339" w:bottom="1440" w:left="320" w:header="0" w:footer="0" w:gutter="0"/>
          <w:cols w:space="720" w:equalWidth="0">
            <w:col w:w="11240"/>
          </w:cols>
        </w:sectPr>
      </w:pPr>
    </w:p>
    <w:p w14:paraId="51957A40" w14:textId="77777777" w:rsidR="00D1587D" w:rsidRDefault="00410D07">
      <w:pPr>
        <w:jc w:val="center"/>
        <w:rPr>
          <w:sz w:val="20"/>
          <w:szCs w:val="20"/>
        </w:rPr>
      </w:pPr>
      <w:bookmarkStart w:id="187" w:name="page188"/>
      <w:bookmarkEnd w:id="187"/>
      <w:r>
        <w:rPr>
          <w:rFonts w:ascii="Arial" w:eastAsia="Arial" w:hAnsi="Arial" w:cs="Arial"/>
          <w:sz w:val="18"/>
          <w:szCs w:val="18"/>
        </w:rPr>
        <w:t>ARTICLE 4</w:t>
      </w:r>
    </w:p>
    <w:p w14:paraId="6E7FB9DF" w14:textId="77777777" w:rsidR="00D1587D" w:rsidRDefault="00D1587D">
      <w:pPr>
        <w:spacing w:line="23" w:lineRule="exact"/>
        <w:rPr>
          <w:sz w:val="20"/>
          <w:szCs w:val="20"/>
        </w:rPr>
      </w:pPr>
    </w:p>
    <w:p w14:paraId="350A8AEF" w14:textId="77777777" w:rsidR="00D1587D" w:rsidRDefault="00410D07">
      <w:pPr>
        <w:jc w:val="center"/>
        <w:rPr>
          <w:sz w:val="20"/>
          <w:szCs w:val="20"/>
        </w:rPr>
      </w:pPr>
      <w:r>
        <w:rPr>
          <w:rFonts w:ascii="Arial" w:eastAsia="Arial" w:hAnsi="Arial" w:cs="Arial"/>
          <w:sz w:val="18"/>
          <w:szCs w:val="18"/>
        </w:rPr>
        <w:t>P</w:t>
      </w:r>
      <w:r>
        <w:rPr>
          <w:rFonts w:ascii="Arial" w:eastAsia="Arial" w:hAnsi="Arial" w:cs="Arial"/>
          <w:sz w:val="12"/>
          <w:szCs w:val="12"/>
        </w:rPr>
        <w:t>LANS</w:t>
      </w:r>
    </w:p>
    <w:p w14:paraId="7080D474" w14:textId="77777777" w:rsidR="00D1587D" w:rsidRDefault="00D1587D">
      <w:pPr>
        <w:spacing w:line="211" w:lineRule="exact"/>
        <w:rPr>
          <w:sz w:val="20"/>
          <w:szCs w:val="20"/>
        </w:rPr>
      </w:pPr>
    </w:p>
    <w:p w14:paraId="196359FC" w14:textId="77777777" w:rsidR="00D1587D" w:rsidRDefault="00410D07">
      <w:pPr>
        <w:tabs>
          <w:tab w:val="left" w:pos="1800"/>
        </w:tabs>
        <w:ind w:left="660"/>
        <w:rPr>
          <w:sz w:val="20"/>
          <w:szCs w:val="20"/>
        </w:rPr>
      </w:pPr>
      <w:r>
        <w:rPr>
          <w:rFonts w:ascii="Arial" w:eastAsia="Arial" w:hAnsi="Arial" w:cs="Arial"/>
          <w:sz w:val="18"/>
          <w:szCs w:val="18"/>
        </w:rPr>
        <w:t>Section 4.01.</w:t>
      </w:r>
      <w:r>
        <w:rPr>
          <w:sz w:val="20"/>
          <w:szCs w:val="20"/>
        </w:rPr>
        <w:tab/>
      </w:r>
      <w:r>
        <w:rPr>
          <w:rFonts w:ascii="Arial" w:eastAsia="Arial" w:hAnsi="Arial" w:cs="Arial"/>
          <w:i/>
          <w:iCs/>
          <w:sz w:val="17"/>
          <w:szCs w:val="17"/>
        </w:rPr>
        <w:t>General; Plan Participation.</w:t>
      </w:r>
    </w:p>
    <w:p w14:paraId="137FC522" w14:textId="77777777" w:rsidR="00D1587D" w:rsidRDefault="00D1587D">
      <w:pPr>
        <w:spacing w:line="225" w:lineRule="exact"/>
        <w:rPr>
          <w:sz w:val="20"/>
          <w:szCs w:val="20"/>
        </w:rPr>
      </w:pPr>
    </w:p>
    <w:p w14:paraId="27BA5FC0" w14:textId="77777777" w:rsidR="00D1587D" w:rsidRDefault="00410D07">
      <w:pPr>
        <w:numPr>
          <w:ilvl w:val="0"/>
          <w:numId w:val="152"/>
        </w:numPr>
        <w:tabs>
          <w:tab w:val="left" w:pos="1158"/>
        </w:tabs>
        <w:spacing w:line="273" w:lineRule="auto"/>
        <w:ind w:firstLine="656"/>
        <w:jc w:val="both"/>
        <w:rPr>
          <w:rFonts w:ascii="Arial" w:eastAsia="Arial" w:hAnsi="Arial" w:cs="Arial"/>
          <w:sz w:val="17"/>
          <w:szCs w:val="17"/>
        </w:rPr>
      </w:pPr>
      <w:r>
        <w:rPr>
          <w:rFonts w:ascii="Arial" w:eastAsia="Arial" w:hAnsi="Arial" w:cs="Arial"/>
          <w:sz w:val="17"/>
          <w:szCs w:val="17"/>
        </w:rPr>
        <w:t>Exc</w:t>
      </w:r>
      <w:r>
        <w:rPr>
          <w:rFonts w:ascii="Arial" w:eastAsia="Arial" w:hAnsi="Arial" w:cs="Arial"/>
          <w:sz w:val="17"/>
          <w:szCs w:val="17"/>
        </w:rPr>
        <w:t>ept as otherwise expressly provided in this Agreement, subject to the terms of the L Brands to VS Transition Services Agreement and the VS to L Brands Transition Services Agreement, as applicable, effective as of immediately prior to the Distribution Date,</w:t>
      </w:r>
      <w:r>
        <w:rPr>
          <w:rFonts w:ascii="Arial" w:eastAsia="Arial" w:hAnsi="Arial" w:cs="Arial"/>
          <w:sz w:val="17"/>
          <w:szCs w:val="17"/>
        </w:rPr>
        <w:t xml:space="preserve"> (i)(A) all VS Participants shall cease any participation in, and benefit accrual under, the L Brands Plans and (B) all members of the VS Group shall cease to be participating employers under the L Brands Plans and shall have no further obligations with re</w:t>
      </w:r>
      <w:r>
        <w:rPr>
          <w:rFonts w:ascii="Arial" w:eastAsia="Arial" w:hAnsi="Arial" w:cs="Arial"/>
          <w:sz w:val="17"/>
          <w:szCs w:val="17"/>
        </w:rPr>
        <w:t>spect to any L Brands Plans and (ii) to the extent applicable, (A) all L Brands Participants shall cease any participation in, and benefit accrual under, the VS Plans and (B) all members of the L Brands Group shall cease to be participating employers under</w:t>
      </w:r>
      <w:r>
        <w:rPr>
          <w:rFonts w:ascii="Arial" w:eastAsia="Arial" w:hAnsi="Arial" w:cs="Arial"/>
          <w:sz w:val="17"/>
          <w:szCs w:val="17"/>
        </w:rPr>
        <w:t xml:space="preserve"> the VS Plans, and shall have no further obligations with respect to any VS Plans.</w:t>
      </w:r>
    </w:p>
    <w:p w14:paraId="33F81DA5" w14:textId="77777777" w:rsidR="00D1587D" w:rsidRDefault="00D1587D">
      <w:pPr>
        <w:spacing w:line="177" w:lineRule="exact"/>
        <w:rPr>
          <w:rFonts w:ascii="Arial" w:eastAsia="Arial" w:hAnsi="Arial" w:cs="Arial"/>
          <w:sz w:val="17"/>
          <w:szCs w:val="17"/>
        </w:rPr>
      </w:pPr>
    </w:p>
    <w:p w14:paraId="50961510" w14:textId="77777777" w:rsidR="00D1587D" w:rsidRDefault="00410D07">
      <w:pPr>
        <w:numPr>
          <w:ilvl w:val="0"/>
          <w:numId w:val="152"/>
        </w:numPr>
        <w:tabs>
          <w:tab w:val="left" w:pos="1177"/>
        </w:tabs>
        <w:spacing w:line="259" w:lineRule="auto"/>
        <w:ind w:firstLine="656"/>
        <w:jc w:val="both"/>
        <w:rPr>
          <w:rFonts w:ascii="Arial" w:eastAsia="Arial" w:hAnsi="Arial" w:cs="Arial"/>
          <w:sz w:val="18"/>
          <w:szCs w:val="18"/>
        </w:rPr>
      </w:pPr>
      <w:r>
        <w:rPr>
          <w:rFonts w:ascii="Arial" w:eastAsia="Arial" w:hAnsi="Arial" w:cs="Arial"/>
          <w:sz w:val="18"/>
          <w:szCs w:val="18"/>
        </w:rPr>
        <w:t>Subject to, and in accordance with, the terms of this Agreement and the L Brands to VS Transition Services Agreement, to the extent necessary to comply with its obligations</w:t>
      </w:r>
      <w:r>
        <w:rPr>
          <w:rFonts w:ascii="Arial" w:eastAsia="Arial" w:hAnsi="Arial" w:cs="Arial"/>
          <w:sz w:val="18"/>
          <w:szCs w:val="18"/>
        </w:rPr>
        <w:t xml:space="preserve"> under this Agreement or any other Ancillary Agreement, VS or a member of the VS Group shall adopt, or cause to be adopted, at VS’s expense, VS Plans for the benefit of VS Participants to be effective from and after the Distribution Date (or, if applicable</w:t>
      </w:r>
      <w:r>
        <w:rPr>
          <w:rFonts w:ascii="Arial" w:eastAsia="Arial" w:hAnsi="Arial" w:cs="Arial"/>
          <w:sz w:val="18"/>
          <w:szCs w:val="18"/>
        </w:rPr>
        <w:t>, the Delayed Transfer Date).</w:t>
      </w:r>
    </w:p>
    <w:p w14:paraId="28B2E3A7" w14:textId="77777777" w:rsidR="00D1587D" w:rsidRDefault="00D1587D">
      <w:pPr>
        <w:spacing w:line="186" w:lineRule="exact"/>
        <w:rPr>
          <w:rFonts w:ascii="Arial" w:eastAsia="Arial" w:hAnsi="Arial" w:cs="Arial"/>
          <w:sz w:val="18"/>
          <w:szCs w:val="18"/>
        </w:rPr>
      </w:pPr>
    </w:p>
    <w:p w14:paraId="71D4332A" w14:textId="77777777" w:rsidR="00D1587D" w:rsidRDefault="00410D07">
      <w:pPr>
        <w:numPr>
          <w:ilvl w:val="0"/>
          <w:numId w:val="152"/>
        </w:numPr>
        <w:tabs>
          <w:tab w:val="left" w:pos="1145"/>
        </w:tabs>
        <w:spacing w:line="290" w:lineRule="auto"/>
        <w:ind w:firstLine="656"/>
        <w:jc w:val="both"/>
        <w:rPr>
          <w:rFonts w:ascii="Arial" w:eastAsia="Arial" w:hAnsi="Arial" w:cs="Arial"/>
          <w:sz w:val="16"/>
          <w:szCs w:val="16"/>
        </w:rPr>
      </w:pPr>
      <w:r>
        <w:rPr>
          <w:rFonts w:ascii="Arial" w:eastAsia="Arial" w:hAnsi="Arial" w:cs="Arial"/>
          <w:sz w:val="16"/>
          <w:szCs w:val="16"/>
        </w:rPr>
        <w:t xml:space="preserve">Prior to the Distribution Date, L Brands and VS shall take all actions necessary to effectuate the actions contemplated by this Section 4.01 and to cause (i) the applicable VS Group member to have in effect the </w:t>
      </w:r>
      <w:r>
        <w:rPr>
          <w:rFonts w:ascii="Arial" w:eastAsia="Arial" w:hAnsi="Arial" w:cs="Arial"/>
          <w:sz w:val="16"/>
          <w:szCs w:val="16"/>
        </w:rPr>
        <w:t>applicable VS Plans no later than the Distribution Date (or the applicable Delayed Transfer Date), except as otherwise set forth in this Agreement or in the L Brands to VS Transition Services Agreement, (ii) the applicable VS Group Member to assume or reta</w:t>
      </w:r>
      <w:r>
        <w:rPr>
          <w:rFonts w:ascii="Arial" w:eastAsia="Arial" w:hAnsi="Arial" w:cs="Arial"/>
          <w:sz w:val="16"/>
          <w:szCs w:val="16"/>
        </w:rPr>
        <w:t>in all Liabilities with respect to each VS Plan and the applicable L Brands Group member to assume or retain all Liabilities with respect to each L Brands Plan, in each case, effective as of the Distribution Date and (iii) all assets of any VS Plan to be t</w:t>
      </w:r>
      <w:r>
        <w:rPr>
          <w:rFonts w:ascii="Arial" w:eastAsia="Arial" w:hAnsi="Arial" w:cs="Arial"/>
          <w:sz w:val="16"/>
          <w:szCs w:val="16"/>
        </w:rPr>
        <w:t xml:space="preserve">ransferred to or retained by the applicable VS Group member in the applicable jurisdiction and all assets of any L Brands Plan to be transferred to or retained by the applicable L Brands Group member in the applicable jurisdiction, in each case, effective </w:t>
      </w:r>
      <w:r>
        <w:rPr>
          <w:rFonts w:ascii="Arial" w:eastAsia="Arial" w:hAnsi="Arial" w:cs="Arial"/>
          <w:sz w:val="16"/>
          <w:szCs w:val="16"/>
        </w:rPr>
        <w:t>as of the Distribution Date. Effective as of the Distribution Date, no member of the L Brands Group shall be considered a fiduciary for any VS Plans and no member of the VS Group shall be considered a fiduciary for any L Brands Plans.</w:t>
      </w:r>
    </w:p>
    <w:p w14:paraId="74BBC69E" w14:textId="77777777" w:rsidR="00D1587D" w:rsidRDefault="00D1587D">
      <w:pPr>
        <w:spacing w:line="337" w:lineRule="exact"/>
        <w:rPr>
          <w:sz w:val="20"/>
          <w:szCs w:val="20"/>
        </w:rPr>
      </w:pPr>
    </w:p>
    <w:p w14:paraId="62BF9F0C" w14:textId="77777777" w:rsidR="00D1587D" w:rsidRDefault="00410D07">
      <w:pPr>
        <w:jc w:val="center"/>
        <w:rPr>
          <w:sz w:val="20"/>
          <w:szCs w:val="20"/>
        </w:rPr>
      </w:pPr>
      <w:r>
        <w:rPr>
          <w:rFonts w:ascii="Arial" w:eastAsia="Arial" w:hAnsi="Arial" w:cs="Arial"/>
          <w:sz w:val="14"/>
          <w:szCs w:val="14"/>
        </w:rPr>
        <w:t>17</w:t>
      </w:r>
    </w:p>
    <w:p w14:paraId="6C456EBE" w14:textId="77777777" w:rsidR="00D1587D" w:rsidRDefault="00410D07">
      <w:pPr>
        <w:spacing w:line="20" w:lineRule="exact"/>
        <w:rPr>
          <w:sz w:val="20"/>
          <w:szCs w:val="20"/>
        </w:rPr>
      </w:pPr>
      <w:r>
        <w:rPr>
          <w:noProof/>
          <w:sz w:val="20"/>
          <w:szCs w:val="20"/>
        </w:rPr>
        <w:drawing>
          <wp:anchor distT="0" distB="0" distL="114300" distR="114300" simplePos="0" relativeHeight="251345920" behindDoc="1" locked="0" layoutInCell="0" allowOverlap="1" wp14:anchorId="68AB0E14" wp14:editId="054808CF">
            <wp:simplePos x="0" y="0"/>
            <wp:positionH relativeFrom="column">
              <wp:posOffset>5080</wp:posOffset>
            </wp:positionH>
            <wp:positionV relativeFrom="paragraph">
              <wp:posOffset>38100</wp:posOffset>
            </wp:positionV>
            <wp:extent cx="7132320" cy="1714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EB651A1" w14:textId="77777777" w:rsidR="00D1587D" w:rsidRDefault="00D1587D">
      <w:pPr>
        <w:sectPr w:rsidR="00D1587D">
          <w:pgSz w:w="11900" w:h="16838"/>
          <w:pgMar w:top="125" w:right="339" w:bottom="1440" w:left="320" w:header="0" w:footer="0" w:gutter="0"/>
          <w:cols w:space="720" w:equalWidth="0">
            <w:col w:w="11240"/>
          </w:cols>
        </w:sectPr>
      </w:pPr>
    </w:p>
    <w:p w14:paraId="736668D3" w14:textId="77777777" w:rsidR="00D1587D" w:rsidRDefault="00410D07">
      <w:pPr>
        <w:numPr>
          <w:ilvl w:val="0"/>
          <w:numId w:val="153"/>
        </w:numPr>
        <w:tabs>
          <w:tab w:val="left" w:pos="1141"/>
        </w:tabs>
        <w:spacing w:line="286" w:lineRule="auto"/>
        <w:ind w:firstLine="656"/>
        <w:jc w:val="both"/>
        <w:rPr>
          <w:rFonts w:ascii="Arial" w:eastAsia="Arial" w:hAnsi="Arial" w:cs="Arial"/>
          <w:sz w:val="17"/>
          <w:szCs w:val="17"/>
        </w:rPr>
      </w:pPr>
      <w:bookmarkStart w:id="188" w:name="page189"/>
      <w:bookmarkEnd w:id="188"/>
      <w:r>
        <w:rPr>
          <w:rFonts w:ascii="Arial" w:eastAsia="Arial" w:hAnsi="Arial" w:cs="Arial"/>
          <w:sz w:val="17"/>
          <w:szCs w:val="17"/>
        </w:rPr>
        <w:t>Notwithstanding anything to the contrary herein, except as expressly provided in this Agreement, each Delayed LB Transfer Employee and each Delayed VS Transfer Employee shall continue to be eligible to participate in VS Plans and L Bran</w:t>
      </w:r>
      <w:r>
        <w:rPr>
          <w:rFonts w:ascii="Arial" w:eastAsia="Arial" w:hAnsi="Arial" w:cs="Arial"/>
          <w:sz w:val="17"/>
          <w:szCs w:val="17"/>
        </w:rPr>
        <w:t>ds Plans, respectively, during the period from the Distribution Date until the applicable Delayed Transfer Date, subject to the terms of such VS Plans and L Brands Plans, respectively.</w:t>
      </w:r>
    </w:p>
    <w:p w14:paraId="3AD0509A" w14:textId="77777777" w:rsidR="00D1587D" w:rsidRDefault="00D1587D">
      <w:pPr>
        <w:spacing w:line="165" w:lineRule="exact"/>
        <w:rPr>
          <w:rFonts w:ascii="Arial" w:eastAsia="Arial" w:hAnsi="Arial" w:cs="Arial"/>
          <w:sz w:val="17"/>
          <w:szCs w:val="17"/>
        </w:rPr>
      </w:pPr>
    </w:p>
    <w:p w14:paraId="64B0F7CA" w14:textId="77777777" w:rsidR="00D1587D" w:rsidRDefault="00410D07">
      <w:pPr>
        <w:numPr>
          <w:ilvl w:val="0"/>
          <w:numId w:val="153"/>
        </w:numPr>
        <w:tabs>
          <w:tab w:val="left" w:pos="1125"/>
        </w:tabs>
        <w:spacing w:line="272" w:lineRule="auto"/>
        <w:ind w:firstLine="656"/>
        <w:jc w:val="both"/>
        <w:rPr>
          <w:rFonts w:ascii="Arial" w:eastAsia="Arial" w:hAnsi="Arial" w:cs="Arial"/>
          <w:sz w:val="17"/>
          <w:szCs w:val="17"/>
        </w:rPr>
      </w:pPr>
      <w:r>
        <w:rPr>
          <w:rFonts w:ascii="Arial" w:eastAsia="Arial" w:hAnsi="Arial" w:cs="Arial"/>
          <w:sz w:val="17"/>
          <w:szCs w:val="17"/>
        </w:rPr>
        <w:t>For the avoidance of doubt, (i) any requirement in this Agreement that</w:t>
      </w:r>
      <w:r>
        <w:rPr>
          <w:rFonts w:ascii="Arial" w:eastAsia="Arial" w:hAnsi="Arial" w:cs="Arial"/>
          <w:sz w:val="17"/>
          <w:szCs w:val="17"/>
        </w:rPr>
        <w:t xml:space="preserve"> the VS Group will have established any applicable VS Plan effective as of the Distribution Date (or, if applicable, the Delayed Transfer Date), or that any VS Participant shall commence participation in any VS Plan effective as of the Distribution Date (o</w:t>
      </w:r>
      <w:r>
        <w:rPr>
          <w:rFonts w:ascii="Arial" w:eastAsia="Arial" w:hAnsi="Arial" w:cs="Arial"/>
          <w:sz w:val="17"/>
          <w:szCs w:val="17"/>
        </w:rPr>
        <w:t>r, if applicable, the Delayed Transfer Date), in each case shall be subject to the express terms of the L Brands to VS Transition Services Agreement and (ii) to the extent applicable, any requirement in this Agreement that the L Brands Group will have esta</w:t>
      </w:r>
      <w:r>
        <w:rPr>
          <w:rFonts w:ascii="Arial" w:eastAsia="Arial" w:hAnsi="Arial" w:cs="Arial"/>
          <w:sz w:val="17"/>
          <w:szCs w:val="17"/>
        </w:rPr>
        <w:t>blished any applicable L Brands Plan effective as of the Distribution Date (or, if applicable, the Delayed Transfer Date), or that any L Brands Participant shall commence participation in any L Brands Plan effective as of the Distribution Date (or, if appl</w:t>
      </w:r>
      <w:r>
        <w:rPr>
          <w:rFonts w:ascii="Arial" w:eastAsia="Arial" w:hAnsi="Arial" w:cs="Arial"/>
          <w:sz w:val="17"/>
          <w:szCs w:val="17"/>
        </w:rPr>
        <w:t>icable, the Delayed Transfer Date), in each case shall be subject to the express terms of the VS to L Brands Transition Services Agreement.</w:t>
      </w:r>
    </w:p>
    <w:p w14:paraId="741EE409" w14:textId="77777777" w:rsidR="00D1587D" w:rsidRDefault="00D1587D">
      <w:pPr>
        <w:spacing w:line="177" w:lineRule="exact"/>
        <w:rPr>
          <w:rFonts w:ascii="Arial" w:eastAsia="Arial" w:hAnsi="Arial" w:cs="Arial"/>
          <w:sz w:val="17"/>
          <w:szCs w:val="17"/>
        </w:rPr>
      </w:pPr>
    </w:p>
    <w:p w14:paraId="601F1D70" w14:textId="77777777" w:rsidR="00D1587D" w:rsidRDefault="00410D07">
      <w:pPr>
        <w:numPr>
          <w:ilvl w:val="0"/>
          <w:numId w:val="153"/>
        </w:numPr>
        <w:tabs>
          <w:tab w:val="left" w:pos="1152"/>
        </w:tabs>
        <w:spacing w:line="291" w:lineRule="auto"/>
        <w:ind w:firstLine="656"/>
        <w:jc w:val="both"/>
        <w:rPr>
          <w:rFonts w:ascii="Arial" w:eastAsia="Arial" w:hAnsi="Arial" w:cs="Arial"/>
          <w:sz w:val="16"/>
          <w:szCs w:val="16"/>
        </w:rPr>
      </w:pPr>
      <w:r>
        <w:rPr>
          <w:rFonts w:ascii="Arial" w:eastAsia="Arial" w:hAnsi="Arial" w:cs="Arial"/>
          <w:sz w:val="16"/>
          <w:szCs w:val="16"/>
        </w:rPr>
        <w:t>The Parties agree that, to the extent the terms of this Agreement do not expressly prescribe the treatment of any s</w:t>
      </w:r>
      <w:r>
        <w:rPr>
          <w:rFonts w:ascii="Arial" w:eastAsia="Arial" w:hAnsi="Arial" w:cs="Arial"/>
          <w:sz w:val="16"/>
          <w:szCs w:val="16"/>
        </w:rPr>
        <w:t>pecific compensation or benefits matter (including, without limitation, regarding the treatment of participation in any Employee Plans or the allocation of any Liabilities hereunder) applicable to any Delayed LB Transfer Employee or Delayed VS Transfer Emp</w:t>
      </w:r>
      <w:r>
        <w:rPr>
          <w:rFonts w:ascii="Arial" w:eastAsia="Arial" w:hAnsi="Arial" w:cs="Arial"/>
          <w:sz w:val="16"/>
          <w:szCs w:val="16"/>
        </w:rPr>
        <w:t xml:space="preserve">loyee, as the case may be, the Parties will reasonably cooperate in good faith to cause such matter to be treated in a manner consistent with the corresponding treatment provided under this Agreement of such matter as applicable to any Delayed VS Transfer </w:t>
      </w:r>
      <w:r>
        <w:rPr>
          <w:rFonts w:ascii="Arial" w:eastAsia="Arial" w:hAnsi="Arial" w:cs="Arial"/>
          <w:sz w:val="16"/>
          <w:szCs w:val="16"/>
        </w:rPr>
        <w:t>Employee or Delayed LB Transfer Employee, respectively (or, if no such corresponding treatment is provided under the terms of this Agreement, then such matter shall otherwise be treated in accordance with the general approach and philosophy regarding the a</w:t>
      </w:r>
      <w:r>
        <w:rPr>
          <w:rFonts w:ascii="Arial" w:eastAsia="Arial" w:hAnsi="Arial" w:cs="Arial"/>
          <w:sz w:val="16"/>
          <w:szCs w:val="16"/>
        </w:rPr>
        <w:t>llocation of assets and Liabilities under the terms of this Agreement, as expressly set forth in the recitals to this Agreement).</w:t>
      </w:r>
    </w:p>
    <w:p w14:paraId="24B92862" w14:textId="77777777" w:rsidR="00D1587D" w:rsidRDefault="00D1587D">
      <w:pPr>
        <w:spacing w:line="166" w:lineRule="exact"/>
        <w:rPr>
          <w:sz w:val="20"/>
          <w:szCs w:val="20"/>
        </w:rPr>
      </w:pPr>
    </w:p>
    <w:p w14:paraId="6E4EF125" w14:textId="77777777" w:rsidR="00D1587D" w:rsidRDefault="00410D07">
      <w:pPr>
        <w:tabs>
          <w:tab w:val="left" w:pos="1800"/>
        </w:tabs>
        <w:ind w:left="660"/>
        <w:rPr>
          <w:sz w:val="20"/>
          <w:szCs w:val="20"/>
        </w:rPr>
      </w:pPr>
      <w:r>
        <w:rPr>
          <w:rFonts w:ascii="Arial" w:eastAsia="Arial" w:hAnsi="Arial" w:cs="Arial"/>
          <w:sz w:val="18"/>
          <w:szCs w:val="18"/>
        </w:rPr>
        <w:t>Section 4.02.</w:t>
      </w:r>
      <w:r>
        <w:rPr>
          <w:sz w:val="20"/>
          <w:szCs w:val="20"/>
        </w:rPr>
        <w:tab/>
      </w:r>
      <w:r>
        <w:rPr>
          <w:rFonts w:ascii="Arial" w:eastAsia="Arial" w:hAnsi="Arial" w:cs="Arial"/>
          <w:i/>
          <w:iCs/>
          <w:sz w:val="16"/>
          <w:szCs w:val="16"/>
        </w:rPr>
        <w:t>Service Credit</w:t>
      </w:r>
      <w:r>
        <w:rPr>
          <w:rFonts w:ascii="Arial" w:eastAsia="Arial" w:hAnsi="Arial" w:cs="Arial"/>
          <w:sz w:val="16"/>
          <w:szCs w:val="16"/>
        </w:rPr>
        <w:t>.</w:t>
      </w:r>
    </w:p>
    <w:p w14:paraId="65860576" w14:textId="77777777" w:rsidR="00D1587D" w:rsidRDefault="00D1587D">
      <w:pPr>
        <w:spacing w:line="225" w:lineRule="exact"/>
        <w:rPr>
          <w:sz w:val="20"/>
          <w:szCs w:val="20"/>
        </w:rPr>
      </w:pPr>
    </w:p>
    <w:p w14:paraId="618C64CB" w14:textId="77777777" w:rsidR="00D1587D" w:rsidRDefault="00410D07">
      <w:pPr>
        <w:numPr>
          <w:ilvl w:val="0"/>
          <w:numId w:val="154"/>
        </w:numPr>
        <w:tabs>
          <w:tab w:val="left" w:pos="1120"/>
        </w:tabs>
        <w:ind w:left="1120" w:hanging="464"/>
        <w:rPr>
          <w:rFonts w:ascii="Arial" w:eastAsia="Arial" w:hAnsi="Arial" w:cs="Arial"/>
          <w:sz w:val="18"/>
          <w:szCs w:val="18"/>
        </w:rPr>
      </w:pPr>
      <w:r>
        <w:rPr>
          <w:rFonts w:ascii="Arial" w:eastAsia="Arial" w:hAnsi="Arial" w:cs="Arial"/>
          <w:sz w:val="18"/>
          <w:szCs w:val="18"/>
        </w:rPr>
        <w:t xml:space="preserve">From and after the Distribution Date (or, if applicable, the Delayed Transfer Date), to the </w:t>
      </w:r>
      <w:r>
        <w:rPr>
          <w:rFonts w:ascii="Arial" w:eastAsia="Arial" w:hAnsi="Arial" w:cs="Arial"/>
          <w:sz w:val="18"/>
          <w:szCs w:val="18"/>
        </w:rPr>
        <w:t>extent permitted by Applicable Law:</w:t>
      </w:r>
    </w:p>
    <w:p w14:paraId="6203B349" w14:textId="77777777" w:rsidR="00D1587D" w:rsidRDefault="00D1587D">
      <w:pPr>
        <w:spacing w:line="225" w:lineRule="exact"/>
        <w:rPr>
          <w:rFonts w:ascii="Arial" w:eastAsia="Arial" w:hAnsi="Arial" w:cs="Arial"/>
          <w:sz w:val="18"/>
          <w:szCs w:val="18"/>
        </w:rPr>
      </w:pPr>
    </w:p>
    <w:p w14:paraId="4301D4CE" w14:textId="77777777" w:rsidR="00D1587D" w:rsidRDefault="00410D07">
      <w:pPr>
        <w:numPr>
          <w:ilvl w:val="1"/>
          <w:numId w:val="154"/>
        </w:numPr>
        <w:tabs>
          <w:tab w:val="left" w:pos="1694"/>
        </w:tabs>
        <w:spacing w:line="293" w:lineRule="auto"/>
        <w:ind w:left="660" w:firstLine="482"/>
        <w:jc w:val="both"/>
        <w:rPr>
          <w:rFonts w:ascii="Arial" w:eastAsia="Arial" w:hAnsi="Arial" w:cs="Arial"/>
          <w:sz w:val="16"/>
          <w:szCs w:val="16"/>
        </w:rPr>
      </w:pPr>
      <w:r>
        <w:rPr>
          <w:rFonts w:ascii="Arial" w:eastAsia="Arial" w:hAnsi="Arial" w:cs="Arial"/>
          <w:sz w:val="16"/>
          <w:szCs w:val="16"/>
        </w:rPr>
        <w:t>for purposes of determining eligibility to participate, vesting and benefit accrual under any VS Plan in which a VS Employee is eligible to participate on and following the Distribution Date (or, if applicable, the Dela</w:t>
      </w:r>
      <w:r>
        <w:rPr>
          <w:rFonts w:ascii="Arial" w:eastAsia="Arial" w:hAnsi="Arial" w:cs="Arial"/>
          <w:sz w:val="16"/>
          <w:szCs w:val="16"/>
        </w:rPr>
        <w:t>yed Transfer Date), such VS Employee’s service with any member of the L Brands Group or the VS Group, as the case may be, prior to the Distribution Date (or, if applicable, the Delayed Transfer Date) shall be treated as service with the VS Group, to the ex</w:t>
      </w:r>
      <w:r>
        <w:rPr>
          <w:rFonts w:ascii="Arial" w:eastAsia="Arial" w:hAnsi="Arial" w:cs="Arial"/>
          <w:sz w:val="16"/>
          <w:szCs w:val="16"/>
        </w:rPr>
        <w:t xml:space="preserve">tent recognized by the L Brands Group or the VS Group, as applicable, under an analogous L Brands Plan or VS Plan, as applicable, prior to the Distribution Date (or, if applicable the Delayed Transfer Date); </w:t>
      </w:r>
      <w:r>
        <w:rPr>
          <w:rFonts w:ascii="Arial" w:eastAsia="Arial" w:hAnsi="Arial" w:cs="Arial"/>
          <w:i/>
          <w:iCs/>
          <w:sz w:val="16"/>
          <w:szCs w:val="16"/>
        </w:rPr>
        <w:t>provided</w:t>
      </w:r>
      <w:r>
        <w:rPr>
          <w:rFonts w:ascii="Arial" w:eastAsia="Arial" w:hAnsi="Arial" w:cs="Arial"/>
          <w:sz w:val="16"/>
          <w:szCs w:val="16"/>
        </w:rPr>
        <w:t xml:space="preserve">, </w:t>
      </w:r>
      <w:r>
        <w:rPr>
          <w:rFonts w:ascii="Arial" w:eastAsia="Arial" w:hAnsi="Arial" w:cs="Arial"/>
          <w:i/>
          <w:iCs/>
          <w:sz w:val="16"/>
          <w:szCs w:val="16"/>
        </w:rPr>
        <w:t>however</w:t>
      </w:r>
      <w:r>
        <w:rPr>
          <w:rFonts w:ascii="Arial" w:eastAsia="Arial" w:hAnsi="Arial" w:cs="Arial"/>
          <w:sz w:val="16"/>
          <w:szCs w:val="16"/>
        </w:rPr>
        <w:t>, that such service shall not b</w:t>
      </w:r>
      <w:r>
        <w:rPr>
          <w:rFonts w:ascii="Arial" w:eastAsia="Arial" w:hAnsi="Arial" w:cs="Arial"/>
          <w:sz w:val="16"/>
          <w:szCs w:val="16"/>
        </w:rPr>
        <w:t>e recognized to the extent that such recognition would result in any duplication of benefits; and</w:t>
      </w:r>
    </w:p>
    <w:p w14:paraId="384DC225" w14:textId="77777777" w:rsidR="00D1587D" w:rsidRDefault="00D1587D">
      <w:pPr>
        <w:spacing w:line="335" w:lineRule="exact"/>
        <w:rPr>
          <w:sz w:val="20"/>
          <w:szCs w:val="20"/>
        </w:rPr>
      </w:pPr>
    </w:p>
    <w:p w14:paraId="1A1DE115" w14:textId="77777777" w:rsidR="00D1587D" w:rsidRDefault="00410D07">
      <w:pPr>
        <w:jc w:val="center"/>
        <w:rPr>
          <w:sz w:val="20"/>
          <w:szCs w:val="20"/>
        </w:rPr>
      </w:pPr>
      <w:r>
        <w:rPr>
          <w:rFonts w:ascii="Arial" w:eastAsia="Arial" w:hAnsi="Arial" w:cs="Arial"/>
          <w:sz w:val="14"/>
          <w:szCs w:val="14"/>
        </w:rPr>
        <w:t>18</w:t>
      </w:r>
    </w:p>
    <w:p w14:paraId="07509BBA" w14:textId="77777777" w:rsidR="00D1587D" w:rsidRDefault="00410D07">
      <w:pPr>
        <w:spacing w:line="20" w:lineRule="exact"/>
        <w:rPr>
          <w:sz w:val="20"/>
          <w:szCs w:val="20"/>
        </w:rPr>
      </w:pPr>
      <w:r>
        <w:rPr>
          <w:noProof/>
          <w:sz w:val="20"/>
          <w:szCs w:val="20"/>
        </w:rPr>
        <w:drawing>
          <wp:anchor distT="0" distB="0" distL="114300" distR="114300" simplePos="0" relativeHeight="251346944" behindDoc="1" locked="0" layoutInCell="0" allowOverlap="1" wp14:anchorId="3786A41F" wp14:editId="43531892">
            <wp:simplePos x="0" y="0"/>
            <wp:positionH relativeFrom="column">
              <wp:posOffset>5080</wp:posOffset>
            </wp:positionH>
            <wp:positionV relativeFrom="paragraph">
              <wp:posOffset>38100</wp:posOffset>
            </wp:positionV>
            <wp:extent cx="7132320" cy="1714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A72F1C8" w14:textId="77777777" w:rsidR="00D1587D" w:rsidRDefault="00D1587D">
      <w:pPr>
        <w:sectPr w:rsidR="00D1587D">
          <w:pgSz w:w="11900" w:h="16838"/>
          <w:pgMar w:top="125" w:right="339" w:bottom="1440" w:left="320" w:header="0" w:footer="0" w:gutter="0"/>
          <w:cols w:space="720" w:equalWidth="0">
            <w:col w:w="11240"/>
          </w:cols>
        </w:sectPr>
      </w:pPr>
    </w:p>
    <w:p w14:paraId="66B25CDF" w14:textId="77777777" w:rsidR="00D1587D" w:rsidRDefault="00410D07">
      <w:pPr>
        <w:numPr>
          <w:ilvl w:val="1"/>
          <w:numId w:val="155"/>
        </w:numPr>
        <w:tabs>
          <w:tab w:val="left" w:pos="1672"/>
        </w:tabs>
        <w:spacing w:line="293" w:lineRule="auto"/>
        <w:ind w:left="660" w:firstLine="482"/>
        <w:jc w:val="both"/>
        <w:rPr>
          <w:rFonts w:ascii="Arial" w:eastAsia="Arial" w:hAnsi="Arial" w:cs="Arial"/>
          <w:sz w:val="16"/>
          <w:szCs w:val="16"/>
        </w:rPr>
      </w:pPr>
      <w:bookmarkStart w:id="189" w:name="page190"/>
      <w:bookmarkEnd w:id="189"/>
      <w:r>
        <w:rPr>
          <w:rFonts w:ascii="Arial" w:eastAsia="Arial" w:hAnsi="Arial" w:cs="Arial"/>
          <w:sz w:val="16"/>
          <w:szCs w:val="16"/>
        </w:rPr>
        <w:t>for purposes of determining eligibility to participate, vesting and benefit accrual under any L Brands Plan in which an L Brands Employee is eligible to participate on and following the Distribution Date (or, if applicable, the Delayed Transfer Date), such</w:t>
      </w:r>
      <w:r>
        <w:rPr>
          <w:rFonts w:ascii="Arial" w:eastAsia="Arial" w:hAnsi="Arial" w:cs="Arial"/>
          <w:sz w:val="16"/>
          <w:szCs w:val="16"/>
        </w:rPr>
        <w:t xml:space="preserve"> L Brands Employee’s service with any member of the L Brands Group or the VS Group, as the case may be, prior to the Distribution Date (or, if applicable, the Delayed Transfer Date) shall be treated as service with the L Brands Group, to the extent recogni</w:t>
      </w:r>
      <w:r>
        <w:rPr>
          <w:rFonts w:ascii="Arial" w:eastAsia="Arial" w:hAnsi="Arial" w:cs="Arial"/>
          <w:sz w:val="16"/>
          <w:szCs w:val="16"/>
        </w:rPr>
        <w:t xml:space="preserve">zed by the L Brands Group or the VS Group, as applicable, under an analogous L Brands Plan or VS Plan, as applicable, prior to the Distribution Date (or, if applicable, the Delayed Transfer Date); </w:t>
      </w:r>
      <w:r>
        <w:rPr>
          <w:rFonts w:ascii="Arial" w:eastAsia="Arial" w:hAnsi="Arial" w:cs="Arial"/>
          <w:i/>
          <w:iCs/>
          <w:sz w:val="16"/>
          <w:szCs w:val="16"/>
        </w:rPr>
        <w:t>provided</w:t>
      </w:r>
      <w:r>
        <w:rPr>
          <w:rFonts w:ascii="Arial" w:eastAsia="Arial" w:hAnsi="Arial" w:cs="Arial"/>
          <w:sz w:val="16"/>
          <w:szCs w:val="16"/>
        </w:rPr>
        <w:t xml:space="preserve">, </w:t>
      </w:r>
      <w:r>
        <w:rPr>
          <w:rFonts w:ascii="Arial" w:eastAsia="Arial" w:hAnsi="Arial" w:cs="Arial"/>
          <w:i/>
          <w:iCs/>
          <w:sz w:val="16"/>
          <w:szCs w:val="16"/>
        </w:rPr>
        <w:t>however</w:t>
      </w:r>
      <w:r>
        <w:rPr>
          <w:rFonts w:ascii="Arial" w:eastAsia="Arial" w:hAnsi="Arial" w:cs="Arial"/>
          <w:sz w:val="16"/>
          <w:szCs w:val="16"/>
        </w:rPr>
        <w:t>, that such service shall not be recognize</w:t>
      </w:r>
      <w:r>
        <w:rPr>
          <w:rFonts w:ascii="Arial" w:eastAsia="Arial" w:hAnsi="Arial" w:cs="Arial"/>
          <w:sz w:val="16"/>
          <w:szCs w:val="16"/>
        </w:rPr>
        <w:t>d to the extent that such recognition would result in any duplication of benefits.</w:t>
      </w:r>
    </w:p>
    <w:p w14:paraId="63A1C155" w14:textId="77777777" w:rsidR="00D1587D" w:rsidRDefault="00D1587D">
      <w:pPr>
        <w:spacing w:line="164" w:lineRule="exact"/>
        <w:rPr>
          <w:rFonts w:ascii="Arial" w:eastAsia="Arial" w:hAnsi="Arial" w:cs="Arial"/>
          <w:sz w:val="16"/>
          <w:szCs w:val="16"/>
        </w:rPr>
      </w:pPr>
    </w:p>
    <w:p w14:paraId="4F82D06A" w14:textId="77777777" w:rsidR="00D1587D" w:rsidRDefault="00410D07">
      <w:pPr>
        <w:numPr>
          <w:ilvl w:val="0"/>
          <w:numId w:val="156"/>
        </w:numPr>
        <w:tabs>
          <w:tab w:val="left" w:pos="1303"/>
        </w:tabs>
        <w:spacing w:line="301" w:lineRule="auto"/>
        <w:ind w:firstLine="656"/>
        <w:jc w:val="both"/>
        <w:rPr>
          <w:rFonts w:ascii="Arial" w:eastAsia="Arial" w:hAnsi="Arial" w:cs="Arial"/>
          <w:sz w:val="16"/>
          <w:szCs w:val="16"/>
        </w:rPr>
      </w:pPr>
      <w:r>
        <w:rPr>
          <w:rFonts w:ascii="Arial" w:eastAsia="Arial" w:hAnsi="Arial" w:cs="Arial"/>
          <w:sz w:val="16"/>
          <w:szCs w:val="16"/>
        </w:rPr>
        <w:t>Notwithstanding anything to the contrary herein, unless otherwise required by Applicable Law, (i) the VS Plans covering New VS Employees (which, for the avoidance of doubt,</w:t>
      </w:r>
      <w:r>
        <w:rPr>
          <w:rFonts w:ascii="Arial" w:eastAsia="Arial" w:hAnsi="Arial" w:cs="Arial"/>
          <w:sz w:val="16"/>
          <w:szCs w:val="16"/>
        </w:rPr>
        <w:t xml:space="preserve"> does not include any Delayed VS Transfer Employees) will not be required to recognize such employee’s prior service with the L Brands Group (if any) and (ii) the L Brands Plans covering New L Brands Employees (which, for the avoidance of doubt, does not i</w:t>
      </w:r>
      <w:r>
        <w:rPr>
          <w:rFonts w:ascii="Arial" w:eastAsia="Arial" w:hAnsi="Arial" w:cs="Arial"/>
          <w:sz w:val="16"/>
          <w:szCs w:val="16"/>
        </w:rPr>
        <w:t>nclude any Delayed LB Transfer Employees) will not be required to recognize such employee’s prior service with the VS Group (if any).</w:t>
      </w:r>
    </w:p>
    <w:p w14:paraId="688259FB" w14:textId="77777777" w:rsidR="00D1587D" w:rsidRDefault="00D1587D">
      <w:pPr>
        <w:spacing w:line="157" w:lineRule="exact"/>
        <w:rPr>
          <w:sz w:val="20"/>
          <w:szCs w:val="20"/>
        </w:rPr>
      </w:pPr>
    </w:p>
    <w:p w14:paraId="6BC2EC77" w14:textId="77777777" w:rsidR="00D1587D" w:rsidRDefault="00410D07">
      <w:pPr>
        <w:jc w:val="center"/>
        <w:rPr>
          <w:sz w:val="20"/>
          <w:szCs w:val="20"/>
        </w:rPr>
      </w:pPr>
      <w:r>
        <w:rPr>
          <w:rFonts w:ascii="Arial" w:eastAsia="Arial" w:hAnsi="Arial" w:cs="Arial"/>
          <w:sz w:val="18"/>
          <w:szCs w:val="18"/>
        </w:rPr>
        <w:t>ARTICLE 5</w:t>
      </w:r>
    </w:p>
    <w:p w14:paraId="2FF67BDB" w14:textId="77777777" w:rsidR="00D1587D" w:rsidRDefault="00D1587D">
      <w:pPr>
        <w:spacing w:line="23" w:lineRule="exact"/>
        <w:rPr>
          <w:sz w:val="20"/>
          <w:szCs w:val="20"/>
        </w:rPr>
      </w:pPr>
    </w:p>
    <w:p w14:paraId="1DFA4652" w14:textId="77777777" w:rsidR="00D1587D" w:rsidRDefault="00410D07">
      <w:pPr>
        <w:jc w:val="center"/>
        <w:rPr>
          <w:sz w:val="20"/>
          <w:szCs w:val="20"/>
        </w:rPr>
      </w:pPr>
      <w:r>
        <w:rPr>
          <w:rFonts w:ascii="Arial" w:eastAsia="Arial" w:hAnsi="Arial" w:cs="Arial"/>
          <w:sz w:val="18"/>
          <w:szCs w:val="18"/>
        </w:rPr>
        <w:t>D</w:t>
      </w:r>
      <w:r>
        <w:rPr>
          <w:rFonts w:ascii="Arial" w:eastAsia="Arial" w:hAnsi="Arial" w:cs="Arial"/>
          <w:sz w:val="12"/>
          <w:szCs w:val="12"/>
        </w:rPr>
        <w:t>EFINED</w:t>
      </w:r>
      <w:r>
        <w:rPr>
          <w:rFonts w:ascii="Arial" w:eastAsia="Arial" w:hAnsi="Arial" w:cs="Arial"/>
          <w:sz w:val="18"/>
          <w:szCs w:val="18"/>
        </w:rPr>
        <w:t xml:space="preserve"> C</w:t>
      </w:r>
      <w:r>
        <w:rPr>
          <w:rFonts w:ascii="Arial" w:eastAsia="Arial" w:hAnsi="Arial" w:cs="Arial"/>
          <w:sz w:val="12"/>
          <w:szCs w:val="12"/>
        </w:rPr>
        <w:t>ONTRIBUTION</w:t>
      </w:r>
      <w:r>
        <w:rPr>
          <w:rFonts w:ascii="Arial" w:eastAsia="Arial" w:hAnsi="Arial" w:cs="Arial"/>
          <w:sz w:val="18"/>
          <w:szCs w:val="18"/>
        </w:rPr>
        <w:t xml:space="preserve"> R</w:t>
      </w:r>
      <w:r>
        <w:rPr>
          <w:rFonts w:ascii="Arial" w:eastAsia="Arial" w:hAnsi="Arial" w:cs="Arial"/>
          <w:sz w:val="12"/>
          <w:szCs w:val="12"/>
        </w:rPr>
        <w:t>ETIREMENT</w:t>
      </w:r>
      <w:r>
        <w:rPr>
          <w:rFonts w:ascii="Arial" w:eastAsia="Arial" w:hAnsi="Arial" w:cs="Arial"/>
          <w:sz w:val="18"/>
          <w:szCs w:val="18"/>
        </w:rPr>
        <w:t xml:space="preserve"> P</w:t>
      </w:r>
      <w:r>
        <w:rPr>
          <w:rFonts w:ascii="Arial" w:eastAsia="Arial" w:hAnsi="Arial" w:cs="Arial"/>
          <w:sz w:val="12"/>
          <w:szCs w:val="12"/>
        </w:rPr>
        <w:t>LANS</w:t>
      </w:r>
    </w:p>
    <w:p w14:paraId="25686F63" w14:textId="77777777" w:rsidR="00D1587D" w:rsidRDefault="00D1587D">
      <w:pPr>
        <w:spacing w:line="211" w:lineRule="exact"/>
        <w:rPr>
          <w:sz w:val="20"/>
          <w:szCs w:val="20"/>
        </w:rPr>
      </w:pPr>
    </w:p>
    <w:p w14:paraId="3285FA43" w14:textId="77777777" w:rsidR="00D1587D" w:rsidRDefault="00410D07">
      <w:pPr>
        <w:tabs>
          <w:tab w:val="left" w:pos="1800"/>
        </w:tabs>
        <w:ind w:left="660"/>
        <w:rPr>
          <w:sz w:val="20"/>
          <w:szCs w:val="20"/>
        </w:rPr>
      </w:pPr>
      <w:r>
        <w:rPr>
          <w:rFonts w:ascii="Arial" w:eastAsia="Arial" w:hAnsi="Arial" w:cs="Arial"/>
          <w:sz w:val="18"/>
          <w:szCs w:val="18"/>
        </w:rPr>
        <w:t>Section 5.01.</w:t>
      </w:r>
      <w:r>
        <w:rPr>
          <w:sz w:val="20"/>
          <w:szCs w:val="20"/>
        </w:rPr>
        <w:tab/>
      </w:r>
      <w:r>
        <w:rPr>
          <w:rFonts w:ascii="Arial" w:eastAsia="Arial" w:hAnsi="Arial" w:cs="Arial"/>
          <w:i/>
          <w:iCs/>
          <w:sz w:val="16"/>
          <w:szCs w:val="16"/>
        </w:rPr>
        <w:t>401(k) Plan.</w:t>
      </w:r>
    </w:p>
    <w:p w14:paraId="58DEB940" w14:textId="77777777" w:rsidR="00D1587D" w:rsidRDefault="00D1587D">
      <w:pPr>
        <w:spacing w:line="225" w:lineRule="exact"/>
        <w:rPr>
          <w:sz w:val="20"/>
          <w:szCs w:val="20"/>
        </w:rPr>
      </w:pPr>
    </w:p>
    <w:p w14:paraId="7375AF14" w14:textId="77777777" w:rsidR="00D1587D" w:rsidRDefault="00410D07">
      <w:pPr>
        <w:numPr>
          <w:ilvl w:val="0"/>
          <w:numId w:val="157"/>
        </w:numPr>
        <w:tabs>
          <w:tab w:val="left" w:pos="1131"/>
        </w:tabs>
        <w:spacing w:line="289" w:lineRule="auto"/>
        <w:ind w:firstLine="656"/>
        <w:jc w:val="both"/>
        <w:rPr>
          <w:rFonts w:ascii="Arial" w:eastAsia="Arial" w:hAnsi="Arial" w:cs="Arial"/>
          <w:sz w:val="16"/>
          <w:szCs w:val="16"/>
        </w:rPr>
      </w:pPr>
      <w:r>
        <w:rPr>
          <w:rFonts w:ascii="Arial" w:eastAsia="Arial" w:hAnsi="Arial" w:cs="Arial"/>
          <w:sz w:val="16"/>
          <w:szCs w:val="16"/>
        </w:rPr>
        <w:t xml:space="preserve">Effective as of the </w:t>
      </w:r>
      <w:r>
        <w:rPr>
          <w:rFonts w:ascii="Arial" w:eastAsia="Arial" w:hAnsi="Arial" w:cs="Arial"/>
          <w:sz w:val="16"/>
          <w:szCs w:val="16"/>
        </w:rPr>
        <w:t xml:space="preserve">Distribution Date, VS or another member of the VS Group will adopt the VS 401(k) Plan. The VS 401(k) Plan will have terms and features (including employer contribution provisions) that are substantially similar to the L Brands 401(k) Plan, except (i) that </w:t>
      </w:r>
      <w:r>
        <w:rPr>
          <w:rFonts w:ascii="Arial" w:eastAsia="Arial" w:hAnsi="Arial" w:cs="Arial"/>
          <w:sz w:val="16"/>
          <w:szCs w:val="16"/>
        </w:rPr>
        <w:t>the VS 401(k) Plan will not provide for a VS stock fund as a prospective investment election alternative (other than, for the avoidance of doubt, any “frozen” VS stock fund or “frozen” L Brands stock fund thereunder) or (ii) as may otherwise be mutually ag</w:t>
      </w:r>
      <w:r>
        <w:rPr>
          <w:rFonts w:ascii="Arial" w:eastAsia="Arial" w:hAnsi="Arial" w:cs="Arial"/>
          <w:sz w:val="16"/>
          <w:szCs w:val="16"/>
        </w:rPr>
        <w:t>reed between the Parties. From and after the Distribution Date, the applicable member of the VS Group shall be responsible for the administration of the VS 401(k) Plan, and no member of the L Brands Group shall have any Liability or obligation (including a</w:t>
      </w:r>
      <w:r>
        <w:rPr>
          <w:rFonts w:ascii="Arial" w:eastAsia="Arial" w:hAnsi="Arial" w:cs="Arial"/>
          <w:sz w:val="16"/>
          <w:szCs w:val="16"/>
        </w:rPr>
        <w:t xml:space="preserve">ny administration obligation) with respect to the VS 401(k) Plan or any member of the VS Group with respect to the VS 401(k) Plan. A member of the VS Group will be solely responsible for taking all necessary, reasonable, and appropriate actions (including </w:t>
      </w:r>
      <w:r>
        <w:rPr>
          <w:rFonts w:ascii="Arial" w:eastAsia="Arial" w:hAnsi="Arial" w:cs="Arial"/>
          <w:sz w:val="16"/>
          <w:szCs w:val="16"/>
        </w:rPr>
        <w:t>the submission of the VS 401(k) Plan to the Internal Revenue Service for a determination of tax-qualified status) to establish, maintain and administer the VS 401(k) Plan so that it is qualified under Section 401(a) of the Code and that the related trust t</w:t>
      </w:r>
      <w:r>
        <w:rPr>
          <w:rFonts w:ascii="Arial" w:eastAsia="Arial" w:hAnsi="Arial" w:cs="Arial"/>
          <w:sz w:val="16"/>
          <w:szCs w:val="16"/>
        </w:rPr>
        <w:t>hereunder is exempt under Section 501(a) of the Code.</w:t>
      </w:r>
    </w:p>
    <w:p w14:paraId="04CA8283" w14:textId="77777777" w:rsidR="00D1587D" w:rsidRDefault="00D1587D">
      <w:pPr>
        <w:spacing w:line="337" w:lineRule="exact"/>
        <w:rPr>
          <w:sz w:val="20"/>
          <w:szCs w:val="20"/>
        </w:rPr>
      </w:pPr>
    </w:p>
    <w:p w14:paraId="67FD92F6" w14:textId="77777777" w:rsidR="00D1587D" w:rsidRDefault="00410D07">
      <w:pPr>
        <w:jc w:val="center"/>
        <w:rPr>
          <w:sz w:val="20"/>
          <w:szCs w:val="20"/>
        </w:rPr>
      </w:pPr>
      <w:r>
        <w:rPr>
          <w:rFonts w:ascii="Arial" w:eastAsia="Arial" w:hAnsi="Arial" w:cs="Arial"/>
          <w:sz w:val="14"/>
          <w:szCs w:val="14"/>
        </w:rPr>
        <w:t>19</w:t>
      </w:r>
    </w:p>
    <w:p w14:paraId="05FBCA20" w14:textId="77777777" w:rsidR="00D1587D" w:rsidRDefault="00410D07">
      <w:pPr>
        <w:spacing w:line="20" w:lineRule="exact"/>
        <w:rPr>
          <w:sz w:val="20"/>
          <w:szCs w:val="20"/>
        </w:rPr>
      </w:pPr>
      <w:r>
        <w:rPr>
          <w:noProof/>
          <w:sz w:val="20"/>
          <w:szCs w:val="20"/>
        </w:rPr>
        <w:drawing>
          <wp:anchor distT="0" distB="0" distL="114300" distR="114300" simplePos="0" relativeHeight="251347968" behindDoc="1" locked="0" layoutInCell="0" allowOverlap="1" wp14:anchorId="65E274AD" wp14:editId="3BA2F04F">
            <wp:simplePos x="0" y="0"/>
            <wp:positionH relativeFrom="column">
              <wp:posOffset>5080</wp:posOffset>
            </wp:positionH>
            <wp:positionV relativeFrom="paragraph">
              <wp:posOffset>38100</wp:posOffset>
            </wp:positionV>
            <wp:extent cx="7132320" cy="1714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785F08A" w14:textId="77777777" w:rsidR="00D1587D" w:rsidRDefault="00D1587D">
      <w:pPr>
        <w:sectPr w:rsidR="00D1587D">
          <w:pgSz w:w="11900" w:h="16838"/>
          <w:pgMar w:top="125" w:right="339" w:bottom="1440" w:left="320" w:header="0" w:footer="0" w:gutter="0"/>
          <w:cols w:space="720" w:equalWidth="0">
            <w:col w:w="11240"/>
          </w:cols>
        </w:sectPr>
      </w:pPr>
    </w:p>
    <w:p w14:paraId="5869997A" w14:textId="77777777" w:rsidR="00D1587D" w:rsidRDefault="00410D07">
      <w:pPr>
        <w:numPr>
          <w:ilvl w:val="0"/>
          <w:numId w:val="158"/>
        </w:numPr>
        <w:tabs>
          <w:tab w:val="left" w:pos="1127"/>
        </w:tabs>
        <w:spacing w:line="272" w:lineRule="auto"/>
        <w:ind w:firstLine="656"/>
        <w:jc w:val="both"/>
        <w:rPr>
          <w:rFonts w:ascii="Arial" w:eastAsia="Arial" w:hAnsi="Arial" w:cs="Arial"/>
          <w:sz w:val="17"/>
          <w:szCs w:val="17"/>
        </w:rPr>
      </w:pPr>
      <w:bookmarkStart w:id="190" w:name="page191"/>
      <w:bookmarkEnd w:id="190"/>
      <w:r>
        <w:rPr>
          <w:rFonts w:ascii="Arial" w:eastAsia="Arial" w:hAnsi="Arial" w:cs="Arial"/>
          <w:sz w:val="17"/>
          <w:szCs w:val="17"/>
        </w:rPr>
        <w:t>Effective as of the Distribution Date (or, in the case of the Delayed VS Transfer Employees, the applicable Delayed Transfer Date), each VS Participant who actively participate</w:t>
      </w:r>
      <w:r>
        <w:rPr>
          <w:rFonts w:ascii="Arial" w:eastAsia="Arial" w:hAnsi="Arial" w:cs="Arial"/>
          <w:sz w:val="17"/>
          <w:szCs w:val="17"/>
        </w:rPr>
        <w:t>s in the L Brands 401(k) Plan immediately prior to such date will (i) cease active participation in the L Brands 401(k) Plan and (ii) become eligible to participate in the VS 401(k) Plan. For the avoidance of doubt, (A) all employee pre-tax deferrals and e</w:t>
      </w:r>
      <w:r>
        <w:rPr>
          <w:rFonts w:ascii="Arial" w:eastAsia="Arial" w:hAnsi="Arial" w:cs="Arial"/>
          <w:sz w:val="17"/>
          <w:szCs w:val="17"/>
        </w:rPr>
        <w:t>mployer contributions with respect to such active VS Participants will be made to the VS 401(k) Plan on and following the Distribution Date (or, if applicable, the Delayed Transfer Date) and (B) any VS Participants who are inactive or former participants u</w:t>
      </w:r>
      <w:r>
        <w:rPr>
          <w:rFonts w:ascii="Arial" w:eastAsia="Arial" w:hAnsi="Arial" w:cs="Arial"/>
          <w:sz w:val="17"/>
          <w:szCs w:val="17"/>
        </w:rPr>
        <w:t>nder the L Brands 401(k) Plan as of immediately prior to the Distribution Date will not become eligible to participate in the VS 401(k) Plan in accordance with this Section 5.01(b) (and, for the avoidance of doubt, will continue participating under the L B</w:t>
      </w:r>
      <w:r>
        <w:rPr>
          <w:rFonts w:ascii="Arial" w:eastAsia="Arial" w:hAnsi="Arial" w:cs="Arial"/>
          <w:sz w:val="17"/>
          <w:szCs w:val="17"/>
        </w:rPr>
        <w:t>rands 401(k) Plan, subject to the terms of the L Brands 401(k) Plan).</w:t>
      </w:r>
    </w:p>
    <w:p w14:paraId="6631B1C3" w14:textId="77777777" w:rsidR="00D1587D" w:rsidRDefault="00D1587D">
      <w:pPr>
        <w:spacing w:line="177" w:lineRule="exact"/>
        <w:rPr>
          <w:rFonts w:ascii="Arial" w:eastAsia="Arial" w:hAnsi="Arial" w:cs="Arial"/>
          <w:sz w:val="17"/>
          <w:szCs w:val="17"/>
        </w:rPr>
      </w:pPr>
    </w:p>
    <w:p w14:paraId="1B7D7AE1" w14:textId="77777777" w:rsidR="00D1587D" w:rsidRDefault="00410D07">
      <w:pPr>
        <w:numPr>
          <w:ilvl w:val="0"/>
          <w:numId w:val="158"/>
        </w:numPr>
        <w:tabs>
          <w:tab w:val="left" w:pos="1239"/>
        </w:tabs>
        <w:spacing w:line="269" w:lineRule="auto"/>
        <w:ind w:firstLine="656"/>
        <w:jc w:val="both"/>
        <w:rPr>
          <w:rFonts w:ascii="Arial" w:eastAsia="Arial" w:hAnsi="Arial" w:cs="Arial"/>
          <w:sz w:val="17"/>
          <w:szCs w:val="17"/>
        </w:rPr>
      </w:pPr>
      <w:r>
        <w:rPr>
          <w:rFonts w:ascii="Arial" w:eastAsia="Arial" w:hAnsi="Arial" w:cs="Arial"/>
          <w:sz w:val="17"/>
          <w:szCs w:val="17"/>
        </w:rPr>
        <w:t xml:space="preserve">On or as soon as reasonably practicable following the Distribution Date (but not later than 180 days thereafter), the account balances (whether vested or unvested) of all VS </w:t>
      </w:r>
      <w:r>
        <w:rPr>
          <w:rFonts w:ascii="Arial" w:eastAsia="Arial" w:hAnsi="Arial" w:cs="Arial"/>
          <w:sz w:val="17"/>
          <w:szCs w:val="17"/>
        </w:rPr>
        <w:t>Participants (other than Delayed VS Transfer Employees) that are active participants in the L Brands 401(k) Plan as of immediately prior to the Distribution Date and any associated Liabilities will be transferred from the L Brands 401(k) Plan to the VS 401</w:t>
      </w:r>
      <w:r>
        <w:rPr>
          <w:rFonts w:ascii="Arial" w:eastAsia="Arial" w:hAnsi="Arial" w:cs="Arial"/>
          <w:sz w:val="17"/>
          <w:szCs w:val="17"/>
        </w:rPr>
        <w:t xml:space="preserve">(k) Plan via a trust-to-trust transfer. The transfer of assets will be in cash or in kind (as determined by L Brands) and will be made in accordance with Applicable Law, including the Code and ERISA. For the avoidance of doubt, the account balances of any </w:t>
      </w:r>
      <w:r>
        <w:rPr>
          <w:rFonts w:ascii="Arial" w:eastAsia="Arial" w:hAnsi="Arial" w:cs="Arial"/>
          <w:sz w:val="17"/>
          <w:szCs w:val="17"/>
        </w:rPr>
        <w:t>VS Participants who are inactive or former participants under the L Brands 401(k) Plan will not be transferred to the VS 401(k) Plan pursuant to this Section 5.01(c), and will instead remain under the L Brands 401(k) Plan (and such inactive or former parti</w:t>
      </w:r>
      <w:r>
        <w:rPr>
          <w:rFonts w:ascii="Arial" w:eastAsia="Arial" w:hAnsi="Arial" w:cs="Arial"/>
          <w:sz w:val="17"/>
          <w:szCs w:val="17"/>
        </w:rPr>
        <w:t>cipants will not become eligible to participate in the VS 401(k) Plan in accordance with Section 5.01(b)). Effective as of and following the time in which the applicable trust-to-trust transfer is complete, VS and/or the VS 401(k) Plan shall assume all Lia</w:t>
      </w:r>
      <w:r>
        <w:rPr>
          <w:rFonts w:ascii="Arial" w:eastAsia="Arial" w:hAnsi="Arial" w:cs="Arial"/>
          <w:sz w:val="17"/>
          <w:szCs w:val="17"/>
        </w:rPr>
        <w:t>bilities of L Brands under the L Brands 401(k) Plan with respect to all applicable participants in the L Brands 401(k) Plan whose account balances (whether vested or unvested) were transferred to the VS 401(k) Plan pursuant to this Section 5.01(c), and L B</w:t>
      </w:r>
      <w:r>
        <w:rPr>
          <w:rFonts w:ascii="Arial" w:eastAsia="Arial" w:hAnsi="Arial" w:cs="Arial"/>
          <w:sz w:val="17"/>
          <w:szCs w:val="17"/>
        </w:rPr>
        <w:t>rands and the L Brands 401(k) Plan shall have no Liabilities to provide such participants with benefits under the L Brands 401(k) Plan following such transfer.</w:t>
      </w:r>
    </w:p>
    <w:p w14:paraId="37DFD8F0" w14:textId="77777777" w:rsidR="00D1587D" w:rsidRDefault="00D1587D">
      <w:pPr>
        <w:spacing w:line="181" w:lineRule="exact"/>
        <w:rPr>
          <w:rFonts w:ascii="Arial" w:eastAsia="Arial" w:hAnsi="Arial" w:cs="Arial"/>
          <w:sz w:val="17"/>
          <w:szCs w:val="17"/>
        </w:rPr>
      </w:pPr>
    </w:p>
    <w:p w14:paraId="219248CE" w14:textId="77777777" w:rsidR="00D1587D" w:rsidRDefault="00410D07">
      <w:pPr>
        <w:numPr>
          <w:ilvl w:val="0"/>
          <w:numId w:val="158"/>
        </w:numPr>
        <w:tabs>
          <w:tab w:val="left" w:pos="1140"/>
        </w:tabs>
        <w:ind w:left="1140" w:hanging="484"/>
        <w:rPr>
          <w:rFonts w:ascii="Arial" w:eastAsia="Arial" w:hAnsi="Arial" w:cs="Arial"/>
          <w:sz w:val="18"/>
          <w:szCs w:val="18"/>
        </w:rPr>
      </w:pPr>
      <w:r>
        <w:rPr>
          <w:rFonts w:ascii="Arial" w:eastAsia="Arial" w:hAnsi="Arial" w:cs="Arial"/>
          <w:sz w:val="18"/>
          <w:szCs w:val="18"/>
        </w:rPr>
        <w:t>On or as soon as reasonably practicable following any applicable Delayed Transfer Date:</w:t>
      </w:r>
    </w:p>
    <w:p w14:paraId="03FFC39B" w14:textId="77777777" w:rsidR="00D1587D" w:rsidRDefault="00D1587D">
      <w:pPr>
        <w:spacing w:line="225" w:lineRule="exact"/>
        <w:rPr>
          <w:rFonts w:ascii="Arial" w:eastAsia="Arial" w:hAnsi="Arial" w:cs="Arial"/>
          <w:sz w:val="18"/>
          <w:szCs w:val="18"/>
        </w:rPr>
      </w:pPr>
    </w:p>
    <w:p w14:paraId="05FFD0B4" w14:textId="77777777" w:rsidR="00D1587D" w:rsidRDefault="00410D07">
      <w:pPr>
        <w:numPr>
          <w:ilvl w:val="1"/>
          <w:numId w:val="158"/>
        </w:numPr>
        <w:tabs>
          <w:tab w:val="left" w:pos="1688"/>
        </w:tabs>
        <w:spacing w:line="253" w:lineRule="auto"/>
        <w:ind w:left="660" w:firstLine="482"/>
        <w:jc w:val="both"/>
        <w:rPr>
          <w:rFonts w:ascii="Arial" w:eastAsia="Arial" w:hAnsi="Arial" w:cs="Arial"/>
          <w:sz w:val="18"/>
          <w:szCs w:val="18"/>
        </w:rPr>
      </w:pPr>
      <w:r>
        <w:rPr>
          <w:rFonts w:ascii="Arial" w:eastAsia="Arial" w:hAnsi="Arial" w:cs="Arial"/>
          <w:sz w:val="18"/>
          <w:szCs w:val="18"/>
        </w:rPr>
        <w:t>each Delayed VS Transfer Employee will be eligible to elect a distribution of his or her account balance under the L Brands 401(k) Plan, including a voluntary “rollover distribution” of such Delayed VS Transfer Employee’s eligible account balance under the</w:t>
      </w:r>
      <w:r>
        <w:rPr>
          <w:rFonts w:ascii="Arial" w:eastAsia="Arial" w:hAnsi="Arial" w:cs="Arial"/>
          <w:sz w:val="18"/>
          <w:szCs w:val="18"/>
        </w:rPr>
        <w:t xml:space="preserve"> L Brands 401(k) Plan to either the VS 401(k) Plan or an Individual Retirement Account (or, for the avoidance of doubt, such Delayed VS Transfer Employee may otherwise continue to maintain his or her account under the L Brands 401(k) Plan in accordance wit</w:t>
      </w:r>
      <w:r>
        <w:rPr>
          <w:rFonts w:ascii="Arial" w:eastAsia="Arial" w:hAnsi="Arial" w:cs="Arial"/>
          <w:sz w:val="18"/>
          <w:szCs w:val="18"/>
        </w:rPr>
        <w:t xml:space="preserve">h the terms of the L Brands 401(k) Plan), as determined by each such Delayed VS Transfer Employee; </w:t>
      </w:r>
      <w:r>
        <w:rPr>
          <w:rFonts w:ascii="Arial" w:eastAsia="Arial" w:hAnsi="Arial" w:cs="Arial"/>
          <w:i/>
          <w:iCs/>
          <w:sz w:val="18"/>
          <w:szCs w:val="18"/>
        </w:rPr>
        <w:t>provided</w:t>
      </w:r>
      <w:r>
        <w:rPr>
          <w:rFonts w:ascii="Arial" w:eastAsia="Arial" w:hAnsi="Arial" w:cs="Arial"/>
          <w:sz w:val="18"/>
          <w:szCs w:val="18"/>
        </w:rPr>
        <w:t xml:space="preserve"> that any portion of such Delayed VS Transfer Employee’s account balance under the L Brands 401(k) Plan to be “rolled over” to the VS 401(k) Plan sha</w:t>
      </w:r>
      <w:r>
        <w:rPr>
          <w:rFonts w:ascii="Arial" w:eastAsia="Arial" w:hAnsi="Arial" w:cs="Arial"/>
          <w:sz w:val="18"/>
          <w:szCs w:val="18"/>
        </w:rPr>
        <w:t xml:space="preserve">ll be done in the form of cash (i.e., no in-kind or L Brands Common Stock transfers will be permitted). In the event that a Delayed VS Transfer Employee elects to roll over his or her account balance from the L Brands 401(k) Plan to the VS 401(k) Plan, VS </w:t>
      </w:r>
      <w:r>
        <w:rPr>
          <w:rFonts w:ascii="Arial" w:eastAsia="Arial" w:hAnsi="Arial" w:cs="Arial"/>
          <w:sz w:val="18"/>
          <w:szCs w:val="18"/>
        </w:rPr>
        <w:t>agrees to cause the VS 401(k) Plan to accept such rollover, to the extent permitted by Applicable Law; and</w:t>
      </w:r>
    </w:p>
    <w:p w14:paraId="41F63021" w14:textId="77777777" w:rsidR="00D1587D" w:rsidRDefault="00D1587D">
      <w:pPr>
        <w:spacing w:line="367" w:lineRule="exact"/>
        <w:rPr>
          <w:sz w:val="20"/>
          <w:szCs w:val="20"/>
        </w:rPr>
      </w:pPr>
    </w:p>
    <w:p w14:paraId="1CA1384F" w14:textId="77777777" w:rsidR="00D1587D" w:rsidRDefault="00410D07">
      <w:pPr>
        <w:jc w:val="center"/>
        <w:rPr>
          <w:sz w:val="20"/>
          <w:szCs w:val="20"/>
        </w:rPr>
      </w:pPr>
      <w:r>
        <w:rPr>
          <w:rFonts w:ascii="Arial" w:eastAsia="Arial" w:hAnsi="Arial" w:cs="Arial"/>
          <w:sz w:val="14"/>
          <w:szCs w:val="14"/>
        </w:rPr>
        <w:t>20</w:t>
      </w:r>
    </w:p>
    <w:p w14:paraId="6FF9EBC3" w14:textId="77777777" w:rsidR="00D1587D" w:rsidRDefault="00410D07">
      <w:pPr>
        <w:spacing w:line="20" w:lineRule="exact"/>
        <w:rPr>
          <w:sz w:val="20"/>
          <w:szCs w:val="20"/>
        </w:rPr>
      </w:pPr>
      <w:r>
        <w:rPr>
          <w:noProof/>
          <w:sz w:val="20"/>
          <w:szCs w:val="20"/>
        </w:rPr>
        <w:drawing>
          <wp:anchor distT="0" distB="0" distL="114300" distR="114300" simplePos="0" relativeHeight="251348992" behindDoc="1" locked="0" layoutInCell="0" allowOverlap="1" wp14:anchorId="74E9C9E8" wp14:editId="47F3C6DC">
            <wp:simplePos x="0" y="0"/>
            <wp:positionH relativeFrom="column">
              <wp:posOffset>5080</wp:posOffset>
            </wp:positionH>
            <wp:positionV relativeFrom="paragraph">
              <wp:posOffset>38100</wp:posOffset>
            </wp:positionV>
            <wp:extent cx="7132320" cy="1714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1D69977" w14:textId="77777777" w:rsidR="00D1587D" w:rsidRDefault="00D1587D">
      <w:pPr>
        <w:sectPr w:rsidR="00D1587D">
          <w:pgSz w:w="11900" w:h="16838"/>
          <w:pgMar w:top="125" w:right="339" w:bottom="1440" w:left="320" w:header="0" w:footer="0" w:gutter="0"/>
          <w:cols w:space="720" w:equalWidth="0">
            <w:col w:w="11240"/>
          </w:cols>
        </w:sectPr>
      </w:pPr>
    </w:p>
    <w:p w14:paraId="00CA4D5D" w14:textId="77777777" w:rsidR="00D1587D" w:rsidRDefault="00410D07">
      <w:pPr>
        <w:numPr>
          <w:ilvl w:val="0"/>
          <w:numId w:val="159"/>
        </w:numPr>
        <w:tabs>
          <w:tab w:val="left" w:pos="1738"/>
        </w:tabs>
        <w:spacing w:line="290" w:lineRule="auto"/>
        <w:ind w:left="660" w:firstLine="482"/>
        <w:jc w:val="both"/>
        <w:rPr>
          <w:rFonts w:ascii="Arial" w:eastAsia="Arial" w:hAnsi="Arial" w:cs="Arial"/>
          <w:sz w:val="16"/>
          <w:szCs w:val="16"/>
        </w:rPr>
      </w:pPr>
      <w:bookmarkStart w:id="191" w:name="page192"/>
      <w:bookmarkEnd w:id="191"/>
      <w:r>
        <w:rPr>
          <w:rFonts w:ascii="Arial" w:eastAsia="Arial" w:hAnsi="Arial" w:cs="Arial"/>
          <w:sz w:val="16"/>
          <w:szCs w:val="16"/>
        </w:rPr>
        <w:t>each Delayed LB Transfer Employee will be eligible to elect a distribution of his or her account balance under the VS 401(k</w:t>
      </w:r>
      <w:r>
        <w:rPr>
          <w:rFonts w:ascii="Arial" w:eastAsia="Arial" w:hAnsi="Arial" w:cs="Arial"/>
          <w:sz w:val="16"/>
          <w:szCs w:val="16"/>
        </w:rPr>
        <w:t>) Plan, including a voluntary “rollover distribution” of such Delayed LB Transfer Employee’s eligible account balance under the VS 401(k) Plan to either the L Brands 401(k) Plan or an Individual Retirement Account (or, for the avoidance of doubt, such Dela</w:t>
      </w:r>
      <w:r>
        <w:rPr>
          <w:rFonts w:ascii="Arial" w:eastAsia="Arial" w:hAnsi="Arial" w:cs="Arial"/>
          <w:sz w:val="16"/>
          <w:szCs w:val="16"/>
        </w:rPr>
        <w:t xml:space="preserve">yed LB Transfer Employee may otherwise continue to maintain his or her account under the VS 401(k) Plan in accordance with the terms of the VS 401(k) Plan), as determined by each such Delayed LB Transfer Employee; </w:t>
      </w:r>
      <w:r>
        <w:rPr>
          <w:rFonts w:ascii="Arial" w:eastAsia="Arial" w:hAnsi="Arial" w:cs="Arial"/>
          <w:i/>
          <w:iCs/>
          <w:sz w:val="16"/>
          <w:szCs w:val="16"/>
        </w:rPr>
        <w:t>provided</w:t>
      </w:r>
      <w:r>
        <w:rPr>
          <w:rFonts w:ascii="Arial" w:eastAsia="Arial" w:hAnsi="Arial" w:cs="Arial"/>
          <w:sz w:val="16"/>
          <w:szCs w:val="16"/>
        </w:rPr>
        <w:t xml:space="preserve"> that any portion of such Delayed </w:t>
      </w:r>
      <w:r>
        <w:rPr>
          <w:rFonts w:ascii="Arial" w:eastAsia="Arial" w:hAnsi="Arial" w:cs="Arial"/>
          <w:sz w:val="16"/>
          <w:szCs w:val="16"/>
        </w:rPr>
        <w:t>VS Transfer Employee’s account balance under the VS 401(k) Plan to be “rolled over” to the L Brands 401(k) Plan shall be done in the form of cash (i.e., no in-kind or VS Common Stock transfers will be permitted). In the event that a Delayed LB Transfer Emp</w:t>
      </w:r>
      <w:r>
        <w:rPr>
          <w:rFonts w:ascii="Arial" w:eastAsia="Arial" w:hAnsi="Arial" w:cs="Arial"/>
          <w:sz w:val="16"/>
          <w:szCs w:val="16"/>
        </w:rPr>
        <w:t>loyee elects to roll over his or her account balance from the VS 401(k) Plan to the L Brands 401(k) Plan, L Brands agrees to cause the L Brands 401(k) Plan to accept such rollover, to the extent permitted by Applicable Law.</w:t>
      </w:r>
    </w:p>
    <w:p w14:paraId="6C06A82C" w14:textId="77777777" w:rsidR="00D1587D" w:rsidRDefault="00D1587D">
      <w:pPr>
        <w:spacing w:line="165" w:lineRule="exact"/>
        <w:rPr>
          <w:sz w:val="20"/>
          <w:szCs w:val="20"/>
        </w:rPr>
      </w:pPr>
    </w:p>
    <w:p w14:paraId="566E9373" w14:textId="77777777" w:rsidR="00D1587D" w:rsidRDefault="00410D07">
      <w:pPr>
        <w:spacing w:line="263" w:lineRule="auto"/>
        <w:jc w:val="both"/>
        <w:rPr>
          <w:sz w:val="20"/>
          <w:szCs w:val="20"/>
        </w:rPr>
      </w:pPr>
      <w:r>
        <w:rPr>
          <w:rFonts w:ascii="Arial" w:eastAsia="Arial" w:hAnsi="Arial" w:cs="Arial"/>
          <w:sz w:val="18"/>
          <w:szCs w:val="18"/>
        </w:rPr>
        <w:t xml:space="preserve">In connection with the actions </w:t>
      </w:r>
      <w:r>
        <w:rPr>
          <w:rFonts w:ascii="Arial" w:eastAsia="Arial" w:hAnsi="Arial" w:cs="Arial"/>
          <w:sz w:val="18"/>
          <w:szCs w:val="18"/>
        </w:rPr>
        <w:t>contemplated by this Section 5.01(d), the Parties shall cooperate in good faith to determine the treatment of any portion of a Delayed VS Transfer Employee’s account balance under the L Brands 401(k) Plan or a Delayed LB Transfer Employee’s account balance</w:t>
      </w:r>
      <w:r>
        <w:rPr>
          <w:rFonts w:ascii="Arial" w:eastAsia="Arial" w:hAnsi="Arial" w:cs="Arial"/>
          <w:sz w:val="18"/>
          <w:szCs w:val="18"/>
        </w:rPr>
        <w:t xml:space="preserve"> under the VS 401(k) Plan, in each case that is unvested as of immediately prior to the applicable Delayed Transfer Date.</w:t>
      </w:r>
    </w:p>
    <w:p w14:paraId="6B1B84B5" w14:textId="77777777" w:rsidR="00D1587D" w:rsidRDefault="00D1587D">
      <w:pPr>
        <w:spacing w:line="184" w:lineRule="exact"/>
        <w:rPr>
          <w:sz w:val="20"/>
          <w:szCs w:val="20"/>
        </w:rPr>
      </w:pPr>
    </w:p>
    <w:p w14:paraId="19BEFD1B" w14:textId="77777777" w:rsidR="00D1587D" w:rsidRDefault="00410D07">
      <w:pPr>
        <w:numPr>
          <w:ilvl w:val="0"/>
          <w:numId w:val="160"/>
        </w:numPr>
        <w:tabs>
          <w:tab w:val="left" w:pos="1185"/>
        </w:tabs>
        <w:spacing w:line="269" w:lineRule="auto"/>
        <w:ind w:firstLine="656"/>
        <w:jc w:val="both"/>
        <w:rPr>
          <w:rFonts w:ascii="Arial" w:eastAsia="Arial" w:hAnsi="Arial" w:cs="Arial"/>
          <w:sz w:val="17"/>
          <w:szCs w:val="17"/>
        </w:rPr>
      </w:pPr>
      <w:r>
        <w:rPr>
          <w:rFonts w:ascii="Arial" w:eastAsia="Arial" w:hAnsi="Arial" w:cs="Arial"/>
          <w:sz w:val="17"/>
          <w:szCs w:val="17"/>
        </w:rPr>
        <w:t>Effective as of the Distribution Date, with respect to VS Participants who become eligible to participate in the VS 401(k) Plan as of</w:t>
      </w:r>
      <w:r>
        <w:rPr>
          <w:rFonts w:ascii="Arial" w:eastAsia="Arial" w:hAnsi="Arial" w:cs="Arial"/>
          <w:sz w:val="17"/>
          <w:szCs w:val="17"/>
        </w:rPr>
        <w:t xml:space="preserve"> the Distribution Date in accordance with Section 5.01(b) (other than, for the avoidance of doubt, any Delayed Transfer Employees who become eligible to participate in the VS 401(k) Plan as of any subsequent applicable Delayed Transfer Date), the Parties w</w:t>
      </w:r>
      <w:r>
        <w:rPr>
          <w:rFonts w:ascii="Arial" w:eastAsia="Arial" w:hAnsi="Arial" w:cs="Arial"/>
          <w:sz w:val="17"/>
          <w:szCs w:val="17"/>
        </w:rPr>
        <w:t>ill cooperate in good faith to cause the VS 401(k) Plan to recognize and maintain such VS Participant’s elections (to the extent applicable and reasonable), including investment and payment form elections, beneficiary designations, and the rights of altern</w:t>
      </w:r>
      <w:r>
        <w:rPr>
          <w:rFonts w:ascii="Arial" w:eastAsia="Arial" w:hAnsi="Arial" w:cs="Arial"/>
          <w:sz w:val="17"/>
          <w:szCs w:val="17"/>
        </w:rPr>
        <w:t>ate payees under qualified domestic relations orders in effect under the L Brands 401(k) Plan as of immediately prior to the Distribution Date, subject to the terms of the VS 401(k) Plan and Applicable Law. For the avoidance of doubt, with respect to any D</w:t>
      </w:r>
      <w:r>
        <w:rPr>
          <w:rFonts w:ascii="Arial" w:eastAsia="Arial" w:hAnsi="Arial" w:cs="Arial"/>
          <w:sz w:val="17"/>
          <w:szCs w:val="17"/>
        </w:rPr>
        <w:t>elayed VS Transfer Employees who become eligible to participate in the VS 401(k) Plan or any Delayed LB Transfer Employees who become eligible to participate in the L Brands 401(k) Plan, in each case, effective as of the applicable Delayed Transfer Date, s</w:t>
      </w:r>
      <w:r>
        <w:rPr>
          <w:rFonts w:ascii="Arial" w:eastAsia="Arial" w:hAnsi="Arial" w:cs="Arial"/>
          <w:sz w:val="17"/>
          <w:szCs w:val="17"/>
        </w:rPr>
        <w:t>uch employees shall be required to submit new plan elections with the applicable plan administrator in accordance with the terms of the VS 401(k) Plan and the L Brands 401(k) Plan, respectively, in connection with their initial participation thereunder.</w:t>
      </w:r>
    </w:p>
    <w:p w14:paraId="4F00B745" w14:textId="77777777" w:rsidR="00D1587D" w:rsidRDefault="00D1587D">
      <w:pPr>
        <w:spacing w:line="356" w:lineRule="exact"/>
        <w:rPr>
          <w:sz w:val="20"/>
          <w:szCs w:val="20"/>
        </w:rPr>
      </w:pPr>
    </w:p>
    <w:p w14:paraId="6983B053" w14:textId="77777777" w:rsidR="00D1587D" w:rsidRDefault="00410D07">
      <w:pPr>
        <w:jc w:val="center"/>
        <w:rPr>
          <w:sz w:val="20"/>
          <w:szCs w:val="20"/>
        </w:rPr>
      </w:pPr>
      <w:r>
        <w:rPr>
          <w:rFonts w:ascii="Arial" w:eastAsia="Arial" w:hAnsi="Arial" w:cs="Arial"/>
          <w:sz w:val="14"/>
          <w:szCs w:val="14"/>
        </w:rPr>
        <w:t>2</w:t>
      </w:r>
      <w:r>
        <w:rPr>
          <w:rFonts w:ascii="Arial" w:eastAsia="Arial" w:hAnsi="Arial" w:cs="Arial"/>
          <w:sz w:val="14"/>
          <w:szCs w:val="14"/>
        </w:rPr>
        <w:t>1</w:t>
      </w:r>
    </w:p>
    <w:p w14:paraId="7C104D52" w14:textId="77777777" w:rsidR="00D1587D" w:rsidRDefault="00410D07">
      <w:pPr>
        <w:spacing w:line="20" w:lineRule="exact"/>
        <w:rPr>
          <w:sz w:val="20"/>
          <w:szCs w:val="20"/>
        </w:rPr>
      </w:pPr>
      <w:r>
        <w:rPr>
          <w:noProof/>
          <w:sz w:val="20"/>
          <w:szCs w:val="20"/>
        </w:rPr>
        <w:drawing>
          <wp:anchor distT="0" distB="0" distL="114300" distR="114300" simplePos="0" relativeHeight="251350016" behindDoc="1" locked="0" layoutInCell="0" allowOverlap="1" wp14:anchorId="6E20D03E" wp14:editId="7BE1D10F">
            <wp:simplePos x="0" y="0"/>
            <wp:positionH relativeFrom="column">
              <wp:posOffset>5080</wp:posOffset>
            </wp:positionH>
            <wp:positionV relativeFrom="paragraph">
              <wp:posOffset>38100</wp:posOffset>
            </wp:positionV>
            <wp:extent cx="7132320" cy="1714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8733595" w14:textId="77777777" w:rsidR="00D1587D" w:rsidRDefault="00D1587D">
      <w:pPr>
        <w:sectPr w:rsidR="00D1587D">
          <w:pgSz w:w="11900" w:h="16838"/>
          <w:pgMar w:top="125" w:right="339" w:bottom="1440" w:left="320" w:header="0" w:footer="0" w:gutter="0"/>
          <w:cols w:space="720" w:equalWidth="0">
            <w:col w:w="11240"/>
          </w:cols>
        </w:sectPr>
      </w:pPr>
    </w:p>
    <w:p w14:paraId="16DB5319" w14:textId="77777777" w:rsidR="00D1587D" w:rsidRDefault="00410D07">
      <w:pPr>
        <w:numPr>
          <w:ilvl w:val="0"/>
          <w:numId w:val="161"/>
        </w:numPr>
        <w:tabs>
          <w:tab w:val="left" w:pos="1318"/>
        </w:tabs>
        <w:spacing w:line="269" w:lineRule="auto"/>
        <w:ind w:firstLine="656"/>
        <w:jc w:val="both"/>
        <w:rPr>
          <w:rFonts w:ascii="Arial" w:eastAsia="Arial" w:hAnsi="Arial" w:cs="Arial"/>
          <w:sz w:val="17"/>
          <w:szCs w:val="17"/>
        </w:rPr>
      </w:pPr>
      <w:bookmarkStart w:id="192" w:name="page193"/>
      <w:bookmarkEnd w:id="192"/>
      <w:r>
        <w:rPr>
          <w:rFonts w:ascii="Arial" w:eastAsia="Arial" w:hAnsi="Arial" w:cs="Arial"/>
          <w:sz w:val="17"/>
          <w:szCs w:val="17"/>
        </w:rPr>
        <w:t xml:space="preserve">All contributions to be made to the L Brands 401(k) Plan with respect to employee deferrals, matching contributions and employer contributions for VS Participants who are active participants in the L Brands 401(k) Plan (other </w:t>
      </w:r>
      <w:r>
        <w:rPr>
          <w:rFonts w:ascii="Arial" w:eastAsia="Arial" w:hAnsi="Arial" w:cs="Arial"/>
          <w:sz w:val="17"/>
          <w:szCs w:val="17"/>
        </w:rPr>
        <w:t>than any Delayed VS Transfer Employees) as of immediately prior to the Distribution Date that relate to a time period ending on or prior to the Distribution Date, determined in accordance with the terms and provisions of the L Brands 401(k) Plan and Applic</w:t>
      </w:r>
      <w:r>
        <w:rPr>
          <w:rFonts w:ascii="Arial" w:eastAsia="Arial" w:hAnsi="Arial" w:cs="Arial"/>
          <w:sz w:val="17"/>
          <w:szCs w:val="17"/>
        </w:rPr>
        <w:t>able Law, shall be the responsibility of VS under the VS 401(k) Plan. Without limiting the generality of the immediately preceding sentence, (i) with respect to any 2021 annual retirement contribution to be made under the L Brands 401(k) Plan relating to a</w:t>
      </w:r>
      <w:r>
        <w:rPr>
          <w:rFonts w:ascii="Arial" w:eastAsia="Arial" w:hAnsi="Arial" w:cs="Arial"/>
          <w:sz w:val="17"/>
          <w:szCs w:val="17"/>
        </w:rPr>
        <w:t>ny VS Participants who are active participants in the L Brands 401(k) Plan as of immediately prior to the Distribution Date (other than any Delayed VS Transfer Employees), the amount of such 2021 annual retirement contribution shall be calculated in accord</w:t>
      </w:r>
      <w:r>
        <w:rPr>
          <w:rFonts w:ascii="Arial" w:eastAsia="Arial" w:hAnsi="Arial" w:cs="Arial"/>
          <w:sz w:val="17"/>
          <w:szCs w:val="17"/>
        </w:rPr>
        <w:t>ance with the terms of the L Brands 401(k) Plan based on eligible earnings for the full year (i.e., for the both the pre- and post-Distribution period), and shall be the responsibility of VS under the VS 401(k) Plan, and (ii) subject to any agreement betwe</w:t>
      </w:r>
      <w:r>
        <w:rPr>
          <w:rFonts w:ascii="Arial" w:eastAsia="Arial" w:hAnsi="Arial" w:cs="Arial"/>
          <w:sz w:val="17"/>
          <w:szCs w:val="17"/>
        </w:rPr>
        <w:t>en the Parties made in accordance with Section 5.01(g) below, with respect to any 2021 annual retirement contribution to be made under the L Brands 401(k) relating to any other eligible participant under the L Brands 401(k) Plan (other than those VS Partic</w:t>
      </w:r>
      <w:r>
        <w:rPr>
          <w:rFonts w:ascii="Arial" w:eastAsia="Arial" w:hAnsi="Arial" w:cs="Arial"/>
          <w:sz w:val="17"/>
          <w:szCs w:val="17"/>
        </w:rPr>
        <w:t>ipants described in clause (i)), the amount of such 2021 annual retirement contribution shall be calculated in accordance with the terms of the L Brands 401(k) Plan, and shall be the responsibility of L Brands under the L Brands 401(k) Plan.</w:t>
      </w:r>
    </w:p>
    <w:p w14:paraId="770FA1DF" w14:textId="77777777" w:rsidR="00D1587D" w:rsidRDefault="00D1587D">
      <w:pPr>
        <w:spacing w:line="178" w:lineRule="exact"/>
        <w:rPr>
          <w:rFonts w:ascii="Arial" w:eastAsia="Arial" w:hAnsi="Arial" w:cs="Arial"/>
          <w:sz w:val="17"/>
          <w:szCs w:val="17"/>
        </w:rPr>
      </w:pPr>
    </w:p>
    <w:p w14:paraId="2DC1E644" w14:textId="77777777" w:rsidR="00D1587D" w:rsidRDefault="00410D07">
      <w:pPr>
        <w:numPr>
          <w:ilvl w:val="0"/>
          <w:numId w:val="161"/>
        </w:numPr>
        <w:tabs>
          <w:tab w:val="left" w:pos="1150"/>
        </w:tabs>
        <w:spacing w:line="286" w:lineRule="auto"/>
        <w:ind w:firstLine="656"/>
        <w:jc w:val="both"/>
        <w:rPr>
          <w:rFonts w:ascii="Arial" w:eastAsia="Arial" w:hAnsi="Arial" w:cs="Arial"/>
          <w:sz w:val="17"/>
          <w:szCs w:val="17"/>
        </w:rPr>
      </w:pPr>
      <w:r>
        <w:rPr>
          <w:rFonts w:ascii="Arial" w:eastAsia="Arial" w:hAnsi="Arial" w:cs="Arial"/>
          <w:sz w:val="17"/>
          <w:szCs w:val="17"/>
        </w:rPr>
        <w:t xml:space="preserve">The </w:t>
      </w:r>
      <w:r>
        <w:rPr>
          <w:rFonts w:ascii="Arial" w:eastAsia="Arial" w:hAnsi="Arial" w:cs="Arial"/>
          <w:sz w:val="17"/>
          <w:szCs w:val="17"/>
        </w:rPr>
        <w:t>Parties shall cooperate in good faith to determine the treatment of any contributions to be made to the L Brands 401(k) Plan or VS 401(k) Plan, as applicable, with respect to employee deferrals, matching contributions and employer contributions for Delayed</w:t>
      </w:r>
      <w:r>
        <w:rPr>
          <w:rFonts w:ascii="Arial" w:eastAsia="Arial" w:hAnsi="Arial" w:cs="Arial"/>
          <w:sz w:val="17"/>
          <w:szCs w:val="17"/>
        </w:rPr>
        <w:t xml:space="preserve"> VS Transfer Employees and Delayed LB Transfer Employees, respectively, relating to a time period ending on or prior to the applicable Delayed Transfer Date.</w:t>
      </w:r>
    </w:p>
    <w:p w14:paraId="02AB9B18" w14:textId="77777777" w:rsidR="00D1587D" w:rsidRDefault="00D1587D">
      <w:pPr>
        <w:spacing w:line="165" w:lineRule="exact"/>
        <w:rPr>
          <w:rFonts w:ascii="Arial" w:eastAsia="Arial" w:hAnsi="Arial" w:cs="Arial"/>
          <w:sz w:val="17"/>
          <w:szCs w:val="17"/>
        </w:rPr>
      </w:pPr>
    </w:p>
    <w:p w14:paraId="0C6999C6" w14:textId="77777777" w:rsidR="00D1587D" w:rsidRDefault="00410D07">
      <w:pPr>
        <w:numPr>
          <w:ilvl w:val="0"/>
          <w:numId w:val="161"/>
        </w:numPr>
        <w:tabs>
          <w:tab w:val="left" w:pos="1128"/>
        </w:tabs>
        <w:spacing w:line="259" w:lineRule="auto"/>
        <w:ind w:firstLine="656"/>
        <w:jc w:val="both"/>
        <w:rPr>
          <w:rFonts w:ascii="Arial" w:eastAsia="Arial" w:hAnsi="Arial" w:cs="Arial"/>
          <w:sz w:val="18"/>
          <w:szCs w:val="18"/>
        </w:rPr>
      </w:pPr>
      <w:r>
        <w:rPr>
          <w:rFonts w:ascii="Arial" w:eastAsia="Arial" w:hAnsi="Arial" w:cs="Arial"/>
          <w:sz w:val="18"/>
          <w:szCs w:val="18"/>
        </w:rPr>
        <w:t>Prior to the Distribution Date, the Parties shall cooperate in good faith to determine the alloca</w:t>
      </w:r>
      <w:r>
        <w:rPr>
          <w:rFonts w:ascii="Arial" w:eastAsia="Arial" w:hAnsi="Arial" w:cs="Arial"/>
          <w:sz w:val="18"/>
          <w:szCs w:val="18"/>
        </w:rPr>
        <w:t>tion (if any) between the L Brands 401(k) Plan and the VS 401(k) Plan of the forfeiture account balance under the L Brands 401(k) Plan outstanding as of immediately prior to the Distribution Date and, to the extent applicable, the mechanics for transferrin</w:t>
      </w:r>
      <w:r>
        <w:rPr>
          <w:rFonts w:ascii="Arial" w:eastAsia="Arial" w:hAnsi="Arial" w:cs="Arial"/>
          <w:sz w:val="18"/>
          <w:szCs w:val="18"/>
        </w:rPr>
        <w:t>g the applicable allocable portion of such account from the L Brands 401(k) Plan to the VS 401(k) Plan.</w:t>
      </w:r>
    </w:p>
    <w:p w14:paraId="4A3D014C" w14:textId="77777777" w:rsidR="00D1587D" w:rsidRDefault="00D1587D">
      <w:pPr>
        <w:spacing w:line="358" w:lineRule="exact"/>
        <w:rPr>
          <w:sz w:val="20"/>
          <w:szCs w:val="20"/>
        </w:rPr>
      </w:pPr>
    </w:p>
    <w:p w14:paraId="21678C34" w14:textId="77777777" w:rsidR="00D1587D" w:rsidRDefault="00410D07">
      <w:pPr>
        <w:jc w:val="center"/>
        <w:rPr>
          <w:sz w:val="20"/>
          <w:szCs w:val="20"/>
        </w:rPr>
      </w:pPr>
      <w:r>
        <w:rPr>
          <w:rFonts w:ascii="Arial" w:eastAsia="Arial" w:hAnsi="Arial" w:cs="Arial"/>
          <w:sz w:val="14"/>
          <w:szCs w:val="14"/>
        </w:rPr>
        <w:t>22</w:t>
      </w:r>
    </w:p>
    <w:p w14:paraId="1C7A7C03" w14:textId="77777777" w:rsidR="00D1587D" w:rsidRDefault="00410D07">
      <w:pPr>
        <w:spacing w:line="20" w:lineRule="exact"/>
        <w:rPr>
          <w:sz w:val="20"/>
          <w:szCs w:val="20"/>
        </w:rPr>
      </w:pPr>
      <w:r>
        <w:rPr>
          <w:noProof/>
          <w:sz w:val="20"/>
          <w:szCs w:val="20"/>
        </w:rPr>
        <w:drawing>
          <wp:anchor distT="0" distB="0" distL="114300" distR="114300" simplePos="0" relativeHeight="251351040" behindDoc="1" locked="0" layoutInCell="0" allowOverlap="1" wp14:anchorId="211E1414" wp14:editId="19F4FED6">
            <wp:simplePos x="0" y="0"/>
            <wp:positionH relativeFrom="column">
              <wp:posOffset>5080</wp:posOffset>
            </wp:positionH>
            <wp:positionV relativeFrom="paragraph">
              <wp:posOffset>38100</wp:posOffset>
            </wp:positionV>
            <wp:extent cx="7132320" cy="171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1F43FC1" w14:textId="77777777" w:rsidR="00D1587D" w:rsidRDefault="00D1587D">
      <w:pPr>
        <w:sectPr w:rsidR="00D1587D">
          <w:pgSz w:w="11900" w:h="16838"/>
          <w:pgMar w:top="125" w:right="339" w:bottom="1440" w:left="320" w:header="0" w:footer="0" w:gutter="0"/>
          <w:cols w:space="720" w:equalWidth="0">
            <w:col w:w="11240"/>
          </w:cols>
        </w:sectPr>
      </w:pPr>
    </w:p>
    <w:p w14:paraId="323E9F96" w14:textId="77777777" w:rsidR="00D1587D" w:rsidRDefault="00410D07">
      <w:pPr>
        <w:spacing w:line="259" w:lineRule="auto"/>
        <w:ind w:firstLine="648"/>
        <w:jc w:val="both"/>
        <w:rPr>
          <w:sz w:val="20"/>
          <w:szCs w:val="20"/>
        </w:rPr>
      </w:pPr>
      <w:bookmarkStart w:id="193" w:name="page194"/>
      <w:bookmarkEnd w:id="193"/>
      <w:r>
        <w:rPr>
          <w:rFonts w:ascii="Arial" w:eastAsia="Arial" w:hAnsi="Arial" w:cs="Arial"/>
          <w:sz w:val="18"/>
          <w:szCs w:val="18"/>
        </w:rPr>
        <w:t xml:space="preserve">Section 5.02. </w:t>
      </w:r>
      <w:r>
        <w:rPr>
          <w:rFonts w:ascii="Arial" w:eastAsia="Arial" w:hAnsi="Arial" w:cs="Arial"/>
          <w:i/>
          <w:iCs/>
          <w:sz w:val="18"/>
          <w:szCs w:val="18"/>
        </w:rPr>
        <w:t>Non-U.S. Defined Contribution Plans</w:t>
      </w:r>
      <w:r>
        <w:rPr>
          <w:rFonts w:ascii="Arial" w:eastAsia="Arial" w:hAnsi="Arial" w:cs="Arial"/>
          <w:sz w:val="18"/>
          <w:szCs w:val="18"/>
        </w:rPr>
        <w:t xml:space="preserve">. As set forth in Article 10, the Parties shall reasonably cooperate in good </w:t>
      </w:r>
      <w:r>
        <w:rPr>
          <w:rFonts w:ascii="Arial" w:eastAsia="Arial" w:hAnsi="Arial" w:cs="Arial"/>
          <w:sz w:val="18"/>
          <w:szCs w:val="18"/>
        </w:rPr>
        <w:t>faith to effect the provisions of this Agreement with respect to any Non-U.S. VS Defined Contribution Plans and Non-U.S. LB Defined Contribution Plans (including with respect to the creation of any “mirror” plans), which in all cases shall be consistent wi</w:t>
      </w:r>
      <w:r>
        <w:rPr>
          <w:rFonts w:ascii="Arial" w:eastAsia="Arial" w:hAnsi="Arial" w:cs="Arial"/>
          <w:sz w:val="18"/>
          <w:szCs w:val="18"/>
        </w:rPr>
        <w:t>th the general approach and philosophy regarding the allocation of assets and Liabilities (as expressly set forth in the recitals to this Agreement).</w:t>
      </w:r>
    </w:p>
    <w:p w14:paraId="277D1A7B" w14:textId="77777777" w:rsidR="00D1587D" w:rsidRDefault="00D1587D">
      <w:pPr>
        <w:spacing w:line="187" w:lineRule="exact"/>
        <w:rPr>
          <w:sz w:val="20"/>
          <w:szCs w:val="20"/>
        </w:rPr>
      </w:pPr>
    </w:p>
    <w:p w14:paraId="056DA41F" w14:textId="77777777" w:rsidR="00D1587D" w:rsidRDefault="00410D07">
      <w:pPr>
        <w:jc w:val="center"/>
        <w:rPr>
          <w:sz w:val="20"/>
          <w:szCs w:val="20"/>
        </w:rPr>
      </w:pPr>
      <w:r>
        <w:rPr>
          <w:rFonts w:ascii="Arial" w:eastAsia="Arial" w:hAnsi="Arial" w:cs="Arial"/>
          <w:sz w:val="18"/>
          <w:szCs w:val="18"/>
        </w:rPr>
        <w:t>ARTICLE 6</w:t>
      </w:r>
    </w:p>
    <w:p w14:paraId="5A3DFF05" w14:textId="77777777" w:rsidR="00D1587D" w:rsidRDefault="00D1587D">
      <w:pPr>
        <w:spacing w:line="23" w:lineRule="exact"/>
        <w:rPr>
          <w:sz w:val="20"/>
          <w:szCs w:val="20"/>
        </w:rPr>
      </w:pPr>
    </w:p>
    <w:p w14:paraId="176D40C7" w14:textId="77777777" w:rsidR="00D1587D" w:rsidRDefault="00410D07">
      <w:pPr>
        <w:ind w:left="3800"/>
        <w:rPr>
          <w:sz w:val="20"/>
          <w:szCs w:val="20"/>
        </w:rPr>
      </w:pPr>
      <w:r>
        <w:rPr>
          <w:rFonts w:ascii="Arial" w:eastAsia="Arial" w:hAnsi="Arial" w:cs="Arial"/>
          <w:sz w:val="18"/>
          <w:szCs w:val="18"/>
        </w:rPr>
        <w:t>H</w:t>
      </w:r>
      <w:r>
        <w:rPr>
          <w:rFonts w:ascii="Arial" w:eastAsia="Arial" w:hAnsi="Arial" w:cs="Arial"/>
          <w:sz w:val="12"/>
          <w:szCs w:val="12"/>
        </w:rPr>
        <w:t>EALTH AND</w:t>
      </w:r>
      <w:r>
        <w:rPr>
          <w:rFonts w:ascii="Arial" w:eastAsia="Arial" w:hAnsi="Arial" w:cs="Arial"/>
          <w:sz w:val="18"/>
          <w:szCs w:val="18"/>
        </w:rPr>
        <w:t xml:space="preserve"> W</w:t>
      </w:r>
      <w:r>
        <w:rPr>
          <w:rFonts w:ascii="Arial" w:eastAsia="Arial" w:hAnsi="Arial" w:cs="Arial"/>
          <w:sz w:val="12"/>
          <w:szCs w:val="12"/>
        </w:rPr>
        <w:t>ELFARE</w:t>
      </w:r>
      <w:r>
        <w:rPr>
          <w:rFonts w:ascii="Arial" w:eastAsia="Arial" w:hAnsi="Arial" w:cs="Arial"/>
          <w:sz w:val="18"/>
          <w:szCs w:val="18"/>
        </w:rPr>
        <w:t xml:space="preserve"> B</w:t>
      </w:r>
      <w:r>
        <w:rPr>
          <w:rFonts w:ascii="Arial" w:eastAsia="Arial" w:hAnsi="Arial" w:cs="Arial"/>
          <w:sz w:val="12"/>
          <w:szCs w:val="12"/>
        </w:rPr>
        <w:t>ENEFIT</w:t>
      </w:r>
      <w:r>
        <w:rPr>
          <w:rFonts w:ascii="Arial" w:eastAsia="Arial" w:hAnsi="Arial" w:cs="Arial"/>
          <w:sz w:val="18"/>
          <w:szCs w:val="18"/>
        </w:rPr>
        <w:t xml:space="preserve"> P</w:t>
      </w:r>
      <w:r>
        <w:rPr>
          <w:rFonts w:ascii="Arial" w:eastAsia="Arial" w:hAnsi="Arial" w:cs="Arial"/>
          <w:sz w:val="12"/>
          <w:szCs w:val="12"/>
        </w:rPr>
        <w:t>LANS</w:t>
      </w:r>
      <w:r>
        <w:rPr>
          <w:rFonts w:ascii="Arial" w:eastAsia="Arial" w:hAnsi="Arial" w:cs="Arial"/>
          <w:sz w:val="18"/>
          <w:szCs w:val="18"/>
        </w:rPr>
        <w:t>; P</w:t>
      </w:r>
      <w:r>
        <w:rPr>
          <w:rFonts w:ascii="Arial" w:eastAsia="Arial" w:hAnsi="Arial" w:cs="Arial"/>
          <w:sz w:val="12"/>
          <w:szCs w:val="12"/>
        </w:rPr>
        <w:t>AID</w:t>
      </w:r>
      <w:r>
        <w:rPr>
          <w:rFonts w:ascii="Arial" w:eastAsia="Arial" w:hAnsi="Arial" w:cs="Arial"/>
          <w:sz w:val="18"/>
          <w:szCs w:val="18"/>
        </w:rPr>
        <w:t xml:space="preserve"> T</w:t>
      </w:r>
      <w:r>
        <w:rPr>
          <w:rFonts w:ascii="Arial" w:eastAsia="Arial" w:hAnsi="Arial" w:cs="Arial"/>
          <w:sz w:val="12"/>
          <w:szCs w:val="12"/>
        </w:rPr>
        <w:t>IME</w:t>
      </w:r>
      <w:r>
        <w:rPr>
          <w:rFonts w:ascii="Arial" w:eastAsia="Arial" w:hAnsi="Arial" w:cs="Arial"/>
          <w:sz w:val="18"/>
          <w:szCs w:val="18"/>
        </w:rPr>
        <w:t xml:space="preserve"> O</w:t>
      </w:r>
      <w:r>
        <w:rPr>
          <w:rFonts w:ascii="Arial" w:eastAsia="Arial" w:hAnsi="Arial" w:cs="Arial"/>
          <w:sz w:val="12"/>
          <w:szCs w:val="12"/>
        </w:rPr>
        <w:t>FF</w:t>
      </w:r>
    </w:p>
    <w:p w14:paraId="555AE397" w14:textId="77777777" w:rsidR="00D1587D" w:rsidRDefault="00D1587D">
      <w:pPr>
        <w:spacing w:line="211" w:lineRule="exact"/>
        <w:rPr>
          <w:sz w:val="20"/>
          <w:szCs w:val="20"/>
        </w:rPr>
      </w:pPr>
    </w:p>
    <w:p w14:paraId="1AD9F4C5" w14:textId="77777777" w:rsidR="00D1587D" w:rsidRDefault="00410D07">
      <w:pPr>
        <w:tabs>
          <w:tab w:val="left" w:pos="1800"/>
        </w:tabs>
        <w:ind w:left="660"/>
        <w:rPr>
          <w:sz w:val="20"/>
          <w:szCs w:val="20"/>
        </w:rPr>
      </w:pPr>
      <w:r>
        <w:rPr>
          <w:rFonts w:ascii="Arial" w:eastAsia="Arial" w:hAnsi="Arial" w:cs="Arial"/>
          <w:sz w:val="18"/>
          <w:szCs w:val="18"/>
        </w:rPr>
        <w:t>Section 6.01.</w:t>
      </w:r>
      <w:r>
        <w:rPr>
          <w:sz w:val="20"/>
          <w:szCs w:val="20"/>
        </w:rPr>
        <w:tab/>
      </w:r>
      <w:r>
        <w:rPr>
          <w:rFonts w:ascii="Arial" w:eastAsia="Arial" w:hAnsi="Arial" w:cs="Arial"/>
          <w:i/>
          <w:iCs/>
          <w:sz w:val="16"/>
          <w:szCs w:val="16"/>
        </w:rPr>
        <w:t>Health and Welfare Benefit Plan</w:t>
      </w:r>
      <w:r>
        <w:rPr>
          <w:rFonts w:ascii="Arial" w:eastAsia="Arial" w:hAnsi="Arial" w:cs="Arial"/>
          <w:i/>
          <w:iCs/>
          <w:sz w:val="16"/>
          <w:szCs w:val="16"/>
        </w:rPr>
        <w:t>s.</w:t>
      </w:r>
    </w:p>
    <w:p w14:paraId="368FE609" w14:textId="77777777" w:rsidR="00D1587D" w:rsidRDefault="00D1587D">
      <w:pPr>
        <w:spacing w:line="225" w:lineRule="exact"/>
        <w:rPr>
          <w:sz w:val="20"/>
          <w:szCs w:val="20"/>
        </w:rPr>
      </w:pPr>
    </w:p>
    <w:p w14:paraId="4978B126" w14:textId="77777777" w:rsidR="00D1587D" w:rsidRDefault="00410D07">
      <w:pPr>
        <w:numPr>
          <w:ilvl w:val="0"/>
          <w:numId w:val="162"/>
        </w:numPr>
        <w:tabs>
          <w:tab w:val="left" w:pos="1212"/>
        </w:tabs>
        <w:spacing w:line="254" w:lineRule="auto"/>
        <w:ind w:firstLine="656"/>
        <w:jc w:val="both"/>
        <w:rPr>
          <w:rFonts w:ascii="Arial" w:eastAsia="Arial" w:hAnsi="Arial" w:cs="Arial"/>
          <w:sz w:val="18"/>
          <w:szCs w:val="18"/>
        </w:rPr>
      </w:pPr>
      <w:r>
        <w:rPr>
          <w:rFonts w:ascii="Arial" w:eastAsia="Arial" w:hAnsi="Arial" w:cs="Arial"/>
          <w:sz w:val="18"/>
          <w:szCs w:val="18"/>
        </w:rPr>
        <w:t xml:space="preserve">Subject to the terms of the L Brands to VS Transition Services Agreement, effective as of the Distribution Date (or, in the case of any Delayed VS Transfer Employee, the applicable Delayed Transfer Date), VS or another member of the VS Group will </w:t>
      </w:r>
      <w:r>
        <w:rPr>
          <w:rFonts w:ascii="Arial" w:eastAsia="Arial" w:hAnsi="Arial" w:cs="Arial"/>
          <w:sz w:val="18"/>
          <w:szCs w:val="18"/>
        </w:rPr>
        <w:t>provide all health and welfare benefits under VS H&amp;W Plans to VS Participants and, to the extent necessary, establish certain VS H&amp;W Plans having terms and features (including benefit coverage options and employer contribution provisions) that are substant</w:t>
      </w:r>
      <w:r>
        <w:rPr>
          <w:rFonts w:ascii="Arial" w:eastAsia="Arial" w:hAnsi="Arial" w:cs="Arial"/>
          <w:sz w:val="18"/>
          <w:szCs w:val="18"/>
        </w:rPr>
        <w:t xml:space="preserve">ially similar to the terms and features of the corresponding L Brands H&amp;W Plans in which such VS Participants participated prior to the Distribution Date (or the Delayed Transfer Date, as applicable), except as may otherwise be mutually agreed between the </w:t>
      </w:r>
      <w:r>
        <w:rPr>
          <w:rFonts w:ascii="Arial" w:eastAsia="Arial" w:hAnsi="Arial" w:cs="Arial"/>
          <w:sz w:val="18"/>
          <w:szCs w:val="18"/>
        </w:rPr>
        <w:t>Parties. Notwithstanding the foregoing, the VS Group will not be required to establish any voluntary employees’ beneficiary association (VEBA).</w:t>
      </w:r>
    </w:p>
    <w:p w14:paraId="3630DC64" w14:textId="77777777" w:rsidR="00D1587D" w:rsidRDefault="00D1587D">
      <w:pPr>
        <w:spacing w:line="194" w:lineRule="exact"/>
        <w:rPr>
          <w:rFonts w:ascii="Arial" w:eastAsia="Arial" w:hAnsi="Arial" w:cs="Arial"/>
          <w:sz w:val="18"/>
          <w:szCs w:val="18"/>
        </w:rPr>
      </w:pPr>
    </w:p>
    <w:p w14:paraId="0B83BD27" w14:textId="77777777" w:rsidR="00D1587D" w:rsidRDefault="00410D07">
      <w:pPr>
        <w:numPr>
          <w:ilvl w:val="0"/>
          <w:numId w:val="162"/>
        </w:numPr>
        <w:tabs>
          <w:tab w:val="left" w:pos="1155"/>
        </w:tabs>
        <w:spacing w:line="286" w:lineRule="auto"/>
        <w:ind w:firstLine="656"/>
        <w:jc w:val="both"/>
        <w:rPr>
          <w:rFonts w:ascii="Arial" w:eastAsia="Arial" w:hAnsi="Arial" w:cs="Arial"/>
          <w:sz w:val="17"/>
          <w:szCs w:val="17"/>
        </w:rPr>
      </w:pPr>
      <w:r>
        <w:rPr>
          <w:rFonts w:ascii="Arial" w:eastAsia="Arial" w:hAnsi="Arial" w:cs="Arial"/>
          <w:sz w:val="17"/>
          <w:szCs w:val="17"/>
        </w:rPr>
        <w:t>Without limiting the generality of Section 4.01, effective as of the Distribution Date (or, in the case of Dela</w:t>
      </w:r>
      <w:r>
        <w:rPr>
          <w:rFonts w:ascii="Arial" w:eastAsia="Arial" w:hAnsi="Arial" w:cs="Arial"/>
          <w:sz w:val="17"/>
          <w:szCs w:val="17"/>
        </w:rPr>
        <w:t xml:space="preserve">yed VS Transfer Employees or Delayed LB Transfer Employees, the applicable Delayed Transfer Date), except as otherwise provided by the terms of the L Brands to VS Transition Services Agreement, the VS to L Brands Transition Services Agreement or any other </w:t>
      </w:r>
      <w:r>
        <w:rPr>
          <w:rFonts w:ascii="Arial" w:eastAsia="Arial" w:hAnsi="Arial" w:cs="Arial"/>
          <w:sz w:val="17"/>
          <w:szCs w:val="17"/>
        </w:rPr>
        <w:t>applicable Ancillary Agreement:</w:t>
      </w:r>
    </w:p>
    <w:p w14:paraId="57FC25F5" w14:textId="77777777" w:rsidR="00D1587D" w:rsidRDefault="00D1587D">
      <w:pPr>
        <w:spacing w:line="165" w:lineRule="exact"/>
        <w:rPr>
          <w:rFonts w:ascii="Arial" w:eastAsia="Arial" w:hAnsi="Arial" w:cs="Arial"/>
          <w:sz w:val="17"/>
          <w:szCs w:val="17"/>
        </w:rPr>
      </w:pPr>
    </w:p>
    <w:p w14:paraId="7F4908F5" w14:textId="77777777" w:rsidR="00D1587D" w:rsidRDefault="00410D07">
      <w:pPr>
        <w:numPr>
          <w:ilvl w:val="1"/>
          <w:numId w:val="162"/>
        </w:numPr>
        <w:tabs>
          <w:tab w:val="left" w:pos="1761"/>
        </w:tabs>
        <w:spacing w:line="271" w:lineRule="auto"/>
        <w:ind w:left="660" w:firstLine="482"/>
        <w:jc w:val="both"/>
        <w:rPr>
          <w:rFonts w:ascii="Arial" w:eastAsia="Arial" w:hAnsi="Arial" w:cs="Arial"/>
          <w:sz w:val="17"/>
          <w:szCs w:val="17"/>
        </w:rPr>
      </w:pPr>
      <w:r>
        <w:rPr>
          <w:rFonts w:ascii="Arial" w:eastAsia="Arial" w:hAnsi="Arial" w:cs="Arial"/>
          <w:sz w:val="17"/>
          <w:szCs w:val="17"/>
        </w:rPr>
        <w:t>(A) VS Participants shall cease to actively participate in the L Brands H&amp;W Plans, (B) VS shall cause VS Participants who participate in (or who are otherwise entitled to present or future benefits under) an L Brands H&amp;W Pl</w:t>
      </w:r>
      <w:r>
        <w:rPr>
          <w:rFonts w:ascii="Arial" w:eastAsia="Arial" w:hAnsi="Arial" w:cs="Arial"/>
          <w:sz w:val="17"/>
          <w:szCs w:val="17"/>
        </w:rPr>
        <w:t>an as of immediately prior to the Distribution Date (or the Delayed Transfer Date, as applicable) to be automatically enrolled in, and covered by, a corresponding VS H&amp;W Plan, and (C) VS shall use reasonable best efforts to cause the VS H&amp;W Plans to recogn</w:t>
      </w:r>
      <w:r>
        <w:rPr>
          <w:rFonts w:ascii="Arial" w:eastAsia="Arial" w:hAnsi="Arial" w:cs="Arial"/>
          <w:sz w:val="17"/>
          <w:szCs w:val="17"/>
        </w:rPr>
        <w:t>ize all elections and designations (including coverage and contribution elections and beneficiary designations, continuation coverage and conversion elections, and qualified medical child support orders and other orders issued by courts of competent jurisd</w:t>
      </w:r>
      <w:r>
        <w:rPr>
          <w:rFonts w:ascii="Arial" w:eastAsia="Arial" w:hAnsi="Arial" w:cs="Arial"/>
          <w:sz w:val="17"/>
          <w:szCs w:val="17"/>
        </w:rPr>
        <w:t xml:space="preserve">iction) in effect with respect to VS Participants as of immediately prior to the Distribution Date (or, if applicable, the Delayed Transfer Date) under the corresponding L Brands H&amp;W Plan for the remainder of the period or periods for which such elections </w:t>
      </w:r>
      <w:r>
        <w:rPr>
          <w:rFonts w:ascii="Arial" w:eastAsia="Arial" w:hAnsi="Arial" w:cs="Arial"/>
          <w:sz w:val="17"/>
          <w:szCs w:val="17"/>
        </w:rPr>
        <w:t>are by their terms applicable, subject to the terms of the applicable VS H&amp;W Plan; and</w:t>
      </w:r>
    </w:p>
    <w:p w14:paraId="2FE9A0DB" w14:textId="77777777" w:rsidR="00D1587D" w:rsidRDefault="00D1587D">
      <w:pPr>
        <w:spacing w:line="349" w:lineRule="exact"/>
        <w:rPr>
          <w:sz w:val="20"/>
          <w:szCs w:val="20"/>
        </w:rPr>
      </w:pPr>
    </w:p>
    <w:p w14:paraId="30CCC328" w14:textId="77777777" w:rsidR="00D1587D" w:rsidRDefault="00410D07">
      <w:pPr>
        <w:jc w:val="center"/>
        <w:rPr>
          <w:sz w:val="20"/>
          <w:szCs w:val="20"/>
        </w:rPr>
      </w:pPr>
      <w:r>
        <w:rPr>
          <w:rFonts w:ascii="Arial" w:eastAsia="Arial" w:hAnsi="Arial" w:cs="Arial"/>
          <w:sz w:val="14"/>
          <w:szCs w:val="14"/>
        </w:rPr>
        <w:t>23</w:t>
      </w:r>
    </w:p>
    <w:p w14:paraId="3A67A7F4" w14:textId="77777777" w:rsidR="00D1587D" w:rsidRDefault="00410D07">
      <w:pPr>
        <w:spacing w:line="20" w:lineRule="exact"/>
        <w:rPr>
          <w:sz w:val="20"/>
          <w:szCs w:val="20"/>
        </w:rPr>
      </w:pPr>
      <w:r>
        <w:rPr>
          <w:noProof/>
          <w:sz w:val="20"/>
          <w:szCs w:val="20"/>
        </w:rPr>
        <w:drawing>
          <wp:anchor distT="0" distB="0" distL="114300" distR="114300" simplePos="0" relativeHeight="251352064" behindDoc="1" locked="0" layoutInCell="0" allowOverlap="1" wp14:anchorId="66E11ABA" wp14:editId="64CB3A3E">
            <wp:simplePos x="0" y="0"/>
            <wp:positionH relativeFrom="column">
              <wp:posOffset>5080</wp:posOffset>
            </wp:positionH>
            <wp:positionV relativeFrom="paragraph">
              <wp:posOffset>38100</wp:posOffset>
            </wp:positionV>
            <wp:extent cx="7132320" cy="1714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5A30DFD" w14:textId="77777777" w:rsidR="00D1587D" w:rsidRDefault="00D1587D">
      <w:pPr>
        <w:sectPr w:rsidR="00D1587D">
          <w:pgSz w:w="11900" w:h="16838"/>
          <w:pgMar w:top="125" w:right="339" w:bottom="1440" w:left="320" w:header="0" w:footer="0" w:gutter="0"/>
          <w:cols w:space="720" w:equalWidth="0">
            <w:col w:w="11240"/>
          </w:cols>
        </w:sectPr>
      </w:pPr>
    </w:p>
    <w:p w14:paraId="4B5C6E4A" w14:textId="77777777" w:rsidR="00D1587D" w:rsidRDefault="00410D07">
      <w:pPr>
        <w:numPr>
          <w:ilvl w:val="1"/>
          <w:numId w:val="163"/>
        </w:numPr>
        <w:tabs>
          <w:tab w:val="left" w:pos="1631"/>
        </w:tabs>
        <w:spacing w:line="290" w:lineRule="auto"/>
        <w:ind w:left="660" w:firstLine="482"/>
        <w:jc w:val="both"/>
        <w:rPr>
          <w:rFonts w:ascii="Arial" w:eastAsia="Arial" w:hAnsi="Arial" w:cs="Arial"/>
          <w:sz w:val="16"/>
          <w:szCs w:val="16"/>
        </w:rPr>
      </w:pPr>
      <w:bookmarkStart w:id="194" w:name="page195"/>
      <w:bookmarkEnd w:id="194"/>
      <w:r>
        <w:rPr>
          <w:rFonts w:ascii="Arial" w:eastAsia="Arial" w:hAnsi="Arial" w:cs="Arial"/>
          <w:sz w:val="16"/>
          <w:szCs w:val="16"/>
        </w:rPr>
        <w:t>(A) L Brands Participants shall cease to actively participate in the VS H&amp;W Plans, (B) L Brands shall cause L Brands Participants who participa</w:t>
      </w:r>
      <w:r>
        <w:rPr>
          <w:rFonts w:ascii="Arial" w:eastAsia="Arial" w:hAnsi="Arial" w:cs="Arial"/>
          <w:sz w:val="16"/>
          <w:szCs w:val="16"/>
        </w:rPr>
        <w:t>te in (or who are otherwise entitled to present or future benefits under) a VS H&amp;W Plan as of immediately prior to the Distribution Date (or the Delayed Transfer Date, as applicable) to be automatically enrolled in, and covered by, a corresponding L Brands</w:t>
      </w:r>
      <w:r>
        <w:rPr>
          <w:rFonts w:ascii="Arial" w:eastAsia="Arial" w:hAnsi="Arial" w:cs="Arial"/>
          <w:sz w:val="16"/>
          <w:szCs w:val="16"/>
        </w:rPr>
        <w:t xml:space="preserve"> H&amp;W Plan, and (C) L Brands shall use reasonable best efforts to cause the L Brands H&amp;W Plans to recognize all elections and designations (including coverage and contribution elections and beneficiary designations, continuation coverage and conversion elec</w:t>
      </w:r>
      <w:r>
        <w:rPr>
          <w:rFonts w:ascii="Arial" w:eastAsia="Arial" w:hAnsi="Arial" w:cs="Arial"/>
          <w:sz w:val="16"/>
          <w:szCs w:val="16"/>
        </w:rPr>
        <w:t>tions, and qualified medical child support orders and other orders issued by courts of competent jurisdiction) in effect with respect to L Brands Participants as of immediately prior to the Distribution Date (or, if applicable, the Delayed Transfer Date) u</w:t>
      </w:r>
      <w:r>
        <w:rPr>
          <w:rFonts w:ascii="Arial" w:eastAsia="Arial" w:hAnsi="Arial" w:cs="Arial"/>
          <w:sz w:val="16"/>
          <w:szCs w:val="16"/>
        </w:rPr>
        <w:t>nder the corresponding VS H&amp;W Plan for the remainder of the period or periods for which such elections are by their terms applicable, subject to the terms of the applicable L Brands H&amp;W Plan.</w:t>
      </w:r>
    </w:p>
    <w:p w14:paraId="33FFDC62" w14:textId="77777777" w:rsidR="00D1587D" w:rsidRDefault="00D1587D">
      <w:pPr>
        <w:spacing w:line="165" w:lineRule="exact"/>
        <w:rPr>
          <w:rFonts w:ascii="Arial" w:eastAsia="Arial" w:hAnsi="Arial" w:cs="Arial"/>
          <w:sz w:val="16"/>
          <w:szCs w:val="16"/>
        </w:rPr>
      </w:pPr>
    </w:p>
    <w:p w14:paraId="79B66AB9" w14:textId="77777777" w:rsidR="00D1587D" w:rsidRDefault="00410D07">
      <w:pPr>
        <w:numPr>
          <w:ilvl w:val="0"/>
          <w:numId w:val="164"/>
        </w:numPr>
        <w:tabs>
          <w:tab w:val="left" w:pos="1118"/>
        </w:tabs>
        <w:spacing w:line="270" w:lineRule="auto"/>
        <w:ind w:firstLine="656"/>
        <w:jc w:val="both"/>
        <w:rPr>
          <w:rFonts w:ascii="Arial" w:eastAsia="Arial" w:hAnsi="Arial" w:cs="Arial"/>
          <w:sz w:val="17"/>
          <w:szCs w:val="17"/>
        </w:rPr>
      </w:pPr>
      <w:r>
        <w:rPr>
          <w:rFonts w:ascii="Arial" w:eastAsia="Arial" w:hAnsi="Arial" w:cs="Arial"/>
          <w:sz w:val="17"/>
          <w:szCs w:val="17"/>
        </w:rPr>
        <w:t>Subject to the terms of the applicable VS H&amp;W Plan and Applicab</w:t>
      </w:r>
      <w:r>
        <w:rPr>
          <w:rFonts w:ascii="Arial" w:eastAsia="Arial" w:hAnsi="Arial" w:cs="Arial"/>
          <w:sz w:val="17"/>
          <w:szCs w:val="17"/>
        </w:rPr>
        <w:t xml:space="preserve">le Law, VS shall use its reasonable best efforts to (i) waive all limitations as to preexisting conditions, exclusions and waiting periods with respect to participation and coverage requirements applicable to VS Participants under any VS H&amp;W Plan in which </w:t>
      </w:r>
      <w:r>
        <w:rPr>
          <w:rFonts w:ascii="Arial" w:eastAsia="Arial" w:hAnsi="Arial" w:cs="Arial"/>
          <w:sz w:val="17"/>
          <w:szCs w:val="17"/>
        </w:rPr>
        <w:t>any such VS Participant may be eligible to participate on or after the Distribution Date (or, if applicable, the Delayed Transfer Date) to the extent that such conditions, exclusions and waiting periods are not applicable to or had been previously satisfie</w:t>
      </w:r>
      <w:r>
        <w:rPr>
          <w:rFonts w:ascii="Arial" w:eastAsia="Arial" w:hAnsi="Arial" w:cs="Arial"/>
          <w:sz w:val="17"/>
          <w:szCs w:val="17"/>
        </w:rPr>
        <w:t>d by any such VS Participant under the corresponding L Brands H&amp;W Plans and (ii) credit VS Participants under any applicable VS H&amp;W Plan for any coinsurance or deductibles paid under any corresponding L Brands H&amp;W Plan prior to the date such VS Participant</w:t>
      </w:r>
      <w:r>
        <w:rPr>
          <w:rFonts w:ascii="Arial" w:eastAsia="Arial" w:hAnsi="Arial" w:cs="Arial"/>
          <w:sz w:val="17"/>
          <w:szCs w:val="17"/>
        </w:rPr>
        <w:t xml:space="preserve"> becomes a participant in such applicable VS H&amp;W Plan, if any, with respect to the calendar year in which such participation commences. Such credit, if any, shall be given for the purpose of satisfying any applicable coinsurance or deductible requirements </w:t>
      </w:r>
      <w:r>
        <w:rPr>
          <w:rFonts w:ascii="Arial" w:eastAsia="Arial" w:hAnsi="Arial" w:cs="Arial"/>
          <w:sz w:val="17"/>
          <w:szCs w:val="17"/>
        </w:rPr>
        <w:t>under any of the applicable VS H&amp;W Plans in which such VS Participant is eligible to participate after the Distribution Date (or, if applicable, the Delayed Transfer Date).</w:t>
      </w:r>
    </w:p>
    <w:p w14:paraId="66293437" w14:textId="77777777" w:rsidR="00D1587D" w:rsidRDefault="00D1587D">
      <w:pPr>
        <w:spacing w:line="180" w:lineRule="exact"/>
        <w:rPr>
          <w:rFonts w:ascii="Arial" w:eastAsia="Arial" w:hAnsi="Arial" w:cs="Arial"/>
          <w:sz w:val="17"/>
          <w:szCs w:val="17"/>
        </w:rPr>
      </w:pPr>
    </w:p>
    <w:p w14:paraId="55C5094E" w14:textId="77777777" w:rsidR="00D1587D" w:rsidRDefault="00410D07">
      <w:pPr>
        <w:numPr>
          <w:ilvl w:val="0"/>
          <w:numId w:val="164"/>
        </w:numPr>
        <w:tabs>
          <w:tab w:val="left" w:pos="1155"/>
        </w:tabs>
        <w:spacing w:line="289" w:lineRule="auto"/>
        <w:ind w:firstLine="656"/>
        <w:jc w:val="both"/>
        <w:rPr>
          <w:rFonts w:ascii="Arial" w:eastAsia="Arial" w:hAnsi="Arial" w:cs="Arial"/>
          <w:sz w:val="16"/>
          <w:szCs w:val="16"/>
        </w:rPr>
      </w:pPr>
      <w:r>
        <w:rPr>
          <w:rFonts w:ascii="Arial" w:eastAsia="Arial" w:hAnsi="Arial" w:cs="Arial"/>
          <w:sz w:val="16"/>
          <w:szCs w:val="16"/>
        </w:rPr>
        <w:t xml:space="preserve">Subject to the terms of the applicable L Brands H&amp;W Plan and Applicable Law, L </w:t>
      </w:r>
      <w:r>
        <w:rPr>
          <w:rFonts w:ascii="Arial" w:eastAsia="Arial" w:hAnsi="Arial" w:cs="Arial"/>
          <w:sz w:val="16"/>
          <w:szCs w:val="16"/>
        </w:rPr>
        <w:t>Brands shall use its reasonable best efforts to (i) waive all limitations as to preexisting conditions, exclusions and waiting periods with respect to participation and coverage requirements applicable to Delayed LB Transfer Employees under any L Brands H&amp;</w:t>
      </w:r>
      <w:r>
        <w:rPr>
          <w:rFonts w:ascii="Arial" w:eastAsia="Arial" w:hAnsi="Arial" w:cs="Arial"/>
          <w:sz w:val="16"/>
          <w:szCs w:val="16"/>
        </w:rPr>
        <w:t>W Plan in which any such Delayed LB Transfer Employee may be eligible to participate on or after his or her Delayed Transfer Date to the extent that such conditions, exclusions and waiting periods are not applicable to or had been previously satisfied by a</w:t>
      </w:r>
      <w:r>
        <w:rPr>
          <w:rFonts w:ascii="Arial" w:eastAsia="Arial" w:hAnsi="Arial" w:cs="Arial"/>
          <w:sz w:val="16"/>
          <w:szCs w:val="16"/>
        </w:rPr>
        <w:t>ny such Delayed LB Transfer Employee under the corresponding VS H&amp;W Plans and (ii) credit Delayed LB Transfer Employees under any applicable L Brands H&amp;W Plan for any coinsurance or deductibles paid under any corresponding VS H&amp;W Plan prior to the date suc</w:t>
      </w:r>
      <w:r>
        <w:rPr>
          <w:rFonts w:ascii="Arial" w:eastAsia="Arial" w:hAnsi="Arial" w:cs="Arial"/>
          <w:sz w:val="16"/>
          <w:szCs w:val="16"/>
        </w:rPr>
        <w:t>h Delayed LB Transfer Employee becomes a participant in such applicable L Brands H&amp;W Plan, if any, with respect to the calendar year in which such participation commences. Such credit, if any, shall be given for the purpose of satisfying any applicable coi</w:t>
      </w:r>
      <w:r>
        <w:rPr>
          <w:rFonts w:ascii="Arial" w:eastAsia="Arial" w:hAnsi="Arial" w:cs="Arial"/>
          <w:sz w:val="16"/>
          <w:szCs w:val="16"/>
        </w:rPr>
        <w:t>nsurance or deductible requirements under any of the applicable L Brands H&amp;W Plans in which such Delayed LB Transfer Employee is eligible to participate after the applicable Delayed Transfer Date.</w:t>
      </w:r>
    </w:p>
    <w:p w14:paraId="0302E1B0" w14:textId="77777777" w:rsidR="00D1587D" w:rsidRDefault="00D1587D">
      <w:pPr>
        <w:spacing w:line="337" w:lineRule="exact"/>
        <w:rPr>
          <w:sz w:val="20"/>
          <w:szCs w:val="20"/>
        </w:rPr>
      </w:pPr>
    </w:p>
    <w:p w14:paraId="2098C314" w14:textId="77777777" w:rsidR="00D1587D" w:rsidRDefault="00410D07">
      <w:pPr>
        <w:jc w:val="center"/>
        <w:rPr>
          <w:sz w:val="20"/>
          <w:szCs w:val="20"/>
        </w:rPr>
      </w:pPr>
      <w:r>
        <w:rPr>
          <w:rFonts w:ascii="Arial" w:eastAsia="Arial" w:hAnsi="Arial" w:cs="Arial"/>
          <w:sz w:val="14"/>
          <w:szCs w:val="14"/>
        </w:rPr>
        <w:t>24</w:t>
      </w:r>
    </w:p>
    <w:p w14:paraId="1F809B34" w14:textId="77777777" w:rsidR="00D1587D" w:rsidRDefault="00410D07">
      <w:pPr>
        <w:spacing w:line="20" w:lineRule="exact"/>
        <w:rPr>
          <w:sz w:val="20"/>
          <w:szCs w:val="20"/>
        </w:rPr>
      </w:pPr>
      <w:r>
        <w:rPr>
          <w:noProof/>
          <w:sz w:val="20"/>
          <w:szCs w:val="20"/>
        </w:rPr>
        <w:drawing>
          <wp:anchor distT="0" distB="0" distL="114300" distR="114300" simplePos="0" relativeHeight="251353088" behindDoc="1" locked="0" layoutInCell="0" allowOverlap="1" wp14:anchorId="63865335" wp14:editId="33330DAB">
            <wp:simplePos x="0" y="0"/>
            <wp:positionH relativeFrom="column">
              <wp:posOffset>5080</wp:posOffset>
            </wp:positionH>
            <wp:positionV relativeFrom="paragraph">
              <wp:posOffset>38100</wp:posOffset>
            </wp:positionV>
            <wp:extent cx="7132320" cy="1714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3CEE891" w14:textId="77777777" w:rsidR="00D1587D" w:rsidRDefault="00D1587D">
      <w:pPr>
        <w:sectPr w:rsidR="00D1587D">
          <w:pgSz w:w="11900" w:h="16838"/>
          <w:pgMar w:top="125" w:right="339" w:bottom="1440" w:left="320" w:header="0" w:footer="0" w:gutter="0"/>
          <w:cols w:space="720" w:equalWidth="0">
            <w:col w:w="11240"/>
          </w:cols>
        </w:sectPr>
      </w:pPr>
    </w:p>
    <w:p w14:paraId="53BCD1E0" w14:textId="77777777" w:rsidR="00D1587D" w:rsidRDefault="00410D07">
      <w:pPr>
        <w:numPr>
          <w:ilvl w:val="0"/>
          <w:numId w:val="165"/>
        </w:numPr>
        <w:tabs>
          <w:tab w:val="left" w:pos="1199"/>
        </w:tabs>
        <w:spacing w:line="263" w:lineRule="auto"/>
        <w:ind w:firstLine="656"/>
        <w:jc w:val="both"/>
        <w:rPr>
          <w:rFonts w:ascii="Arial" w:eastAsia="Arial" w:hAnsi="Arial" w:cs="Arial"/>
          <w:sz w:val="18"/>
          <w:szCs w:val="18"/>
        </w:rPr>
      </w:pPr>
      <w:bookmarkStart w:id="195" w:name="page196"/>
      <w:bookmarkEnd w:id="195"/>
      <w:r>
        <w:rPr>
          <w:rFonts w:ascii="Arial" w:eastAsia="Arial" w:hAnsi="Arial" w:cs="Arial"/>
          <w:sz w:val="18"/>
          <w:szCs w:val="18"/>
        </w:rPr>
        <w:t>Neither the transfer nor other mo</w:t>
      </w:r>
      <w:r>
        <w:rPr>
          <w:rFonts w:ascii="Arial" w:eastAsia="Arial" w:hAnsi="Arial" w:cs="Arial"/>
          <w:sz w:val="18"/>
          <w:szCs w:val="18"/>
        </w:rPr>
        <w:t>vement of employment or service from any member of the L Brands Group to any member of the VS Group or from any member of the VS Group to the L Brands Group, as the case may be, at any time before the Distribution Date shall constitute or be treated as a “</w:t>
      </w:r>
      <w:r>
        <w:rPr>
          <w:rFonts w:ascii="Arial" w:eastAsia="Arial" w:hAnsi="Arial" w:cs="Arial"/>
          <w:sz w:val="18"/>
          <w:szCs w:val="18"/>
        </w:rPr>
        <w:t>status change” under the L Brands H&amp;W Plans or the VS H&amp;W Plans.</w:t>
      </w:r>
    </w:p>
    <w:p w14:paraId="0DCC57FE" w14:textId="77777777" w:rsidR="00D1587D" w:rsidRDefault="00D1587D">
      <w:pPr>
        <w:spacing w:line="184" w:lineRule="exact"/>
        <w:rPr>
          <w:sz w:val="20"/>
          <w:szCs w:val="20"/>
        </w:rPr>
      </w:pPr>
    </w:p>
    <w:p w14:paraId="7358680A" w14:textId="77777777" w:rsidR="00D1587D" w:rsidRDefault="00410D07">
      <w:pPr>
        <w:ind w:left="660"/>
        <w:rPr>
          <w:sz w:val="20"/>
          <w:szCs w:val="20"/>
        </w:rPr>
      </w:pPr>
      <w:r>
        <w:rPr>
          <w:rFonts w:ascii="Arial" w:eastAsia="Arial" w:hAnsi="Arial" w:cs="Arial"/>
          <w:sz w:val="18"/>
          <w:szCs w:val="18"/>
        </w:rPr>
        <w:t xml:space="preserve">Section 6.02. </w:t>
      </w:r>
      <w:r>
        <w:rPr>
          <w:rFonts w:ascii="Arial" w:eastAsia="Arial" w:hAnsi="Arial" w:cs="Arial"/>
          <w:i/>
          <w:iCs/>
          <w:sz w:val="18"/>
          <w:szCs w:val="18"/>
        </w:rPr>
        <w:t>Health and Welfare Benefit Plan Claims.</w:t>
      </w:r>
    </w:p>
    <w:p w14:paraId="219C2D63" w14:textId="77777777" w:rsidR="00D1587D" w:rsidRDefault="00D1587D">
      <w:pPr>
        <w:spacing w:line="225" w:lineRule="exact"/>
        <w:rPr>
          <w:sz w:val="20"/>
          <w:szCs w:val="20"/>
        </w:rPr>
      </w:pPr>
    </w:p>
    <w:p w14:paraId="7F85FC36" w14:textId="77777777" w:rsidR="00D1587D" w:rsidRDefault="00410D07">
      <w:pPr>
        <w:numPr>
          <w:ilvl w:val="0"/>
          <w:numId w:val="166"/>
        </w:numPr>
        <w:tabs>
          <w:tab w:val="left" w:pos="1153"/>
        </w:tabs>
        <w:spacing w:line="254" w:lineRule="auto"/>
        <w:ind w:firstLine="656"/>
        <w:jc w:val="both"/>
        <w:rPr>
          <w:rFonts w:ascii="Arial" w:eastAsia="Arial" w:hAnsi="Arial" w:cs="Arial"/>
          <w:sz w:val="18"/>
          <w:szCs w:val="18"/>
        </w:rPr>
      </w:pPr>
      <w:r>
        <w:rPr>
          <w:rFonts w:ascii="Arial" w:eastAsia="Arial" w:hAnsi="Arial" w:cs="Arial"/>
          <w:sz w:val="18"/>
          <w:szCs w:val="18"/>
        </w:rPr>
        <w:t xml:space="preserve">Except as otherwise expressly provided in this Agreement, effective as of the Distribution Date (or, in the case of Delayed VS </w:t>
      </w:r>
      <w:r>
        <w:rPr>
          <w:rFonts w:ascii="Arial" w:eastAsia="Arial" w:hAnsi="Arial" w:cs="Arial"/>
          <w:sz w:val="18"/>
          <w:szCs w:val="18"/>
        </w:rPr>
        <w:t>Transfer Employees, the applicable Delayed Transfer Date), (A) all Liabilities relating to, arising out of, or resulting from health and welfare coverage or claims incurred prior to the Distribution Date (or the applicable Delayed Transfer Date) by each VS</w:t>
      </w:r>
      <w:r>
        <w:rPr>
          <w:rFonts w:ascii="Arial" w:eastAsia="Arial" w:hAnsi="Arial" w:cs="Arial"/>
          <w:sz w:val="18"/>
          <w:szCs w:val="18"/>
        </w:rPr>
        <w:t xml:space="preserve"> Participant under the L Brands H&amp;W Plans shall remain Liabilities of the L Brands Group and shall be deemed to be L Brands Retained Employee Liabilities and (B) all Liabilities relating to, arising out of or resulting from health and welfare coverage or c</w:t>
      </w:r>
      <w:r>
        <w:rPr>
          <w:rFonts w:ascii="Arial" w:eastAsia="Arial" w:hAnsi="Arial" w:cs="Arial"/>
          <w:sz w:val="18"/>
          <w:szCs w:val="18"/>
        </w:rPr>
        <w:t>laims incurred on or after the Distribution Date (or the applicable Delayed Transfer Date) by each VS Participant shall be retained or assumed by the respective VS H&amp;W Plans, and no portion of the Liability shall be treated as an L Brands Retained Employee</w:t>
      </w:r>
      <w:r>
        <w:rPr>
          <w:rFonts w:ascii="Arial" w:eastAsia="Arial" w:hAnsi="Arial" w:cs="Arial"/>
          <w:sz w:val="18"/>
          <w:szCs w:val="18"/>
        </w:rPr>
        <w:t xml:space="preserve"> Liability.</w:t>
      </w:r>
    </w:p>
    <w:p w14:paraId="5229AE3C" w14:textId="77777777" w:rsidR="00D1587D" w:rsidRDefault="00D1587D">
      <w:pPr>
        <w:spacing w:line="194" w:lineRule="exact"/>
        <w:rPr>
          <w:rFonts w:ascii="Arial" w:eastAsia="Arial" w:hAnsi="Arial" w:cs="Arial"/>
          <w:sz w:val="18"/>
          <w:szCs w:val="18"/>
        </w:rPr>
      </w:pPr>
    </w:p>
    <w:p w14:paraId="240E0F23" w14:textId="77777777" w:rsidR="00D1587D" w:rsidRDefault="00410D07">
      <w:pPr>
        <w:numPr>
          <w:ilvl w:val="0"/>
          <w:numId w:val="166"/>
        </w:numPr>
        <w:tabs>
          <w:tab w:val="left" w:pos="1164"/>
        </w:tabs>
        <w:spacing w:line="293" w:lineRule="auto"/>
        <w:ind w:firstLine="656"/>
        <w:jc w:val="both"/>
        <w:rPr>
          <w:rFonts w:ascii="Arial" w:eastAsia="Arial" w:hAnsi="Arial" w:cs="Arial"/>
          <w:sz w:val="16"/>
          <w:szCs w:val="16"/>
        </w:rPr>
      </w:pPr>
      <w:r>
        <w:rPr>
          <w:rFonts w:ascii="Arial" w:eastAsia="Arial" w:hAnsi="Arial" w:cs="Arial"/>
          <w:sz w:val="16"/>
          <w:szCs w:val="16"/>
        </w:rPr>
        <w:t>Except as otherwise expressly provided in this Agreement, effective as of the Distribution Date (or, in the case of Delayed LB Transfer Employees, the applicable Delayed Transfer Date), (A) all Liabilities relating to, arising out of, or resul</w:t>
      </w:r>
      <w:r>
        <w:rPr>
          <w:rFonts w:ascii="Arial" w:eastAsia="Arial" w:hAnsi="Arial" w:cs="Arial"/>
          <w:sz w:val="16"/>
          <w:szCs w:val="16"/>
        </w:rPr>
        <w:t>ting from health and welfare coverage or claims incurred prior to the Distribution Date (or the applicable Delayed Transfer Date) by each L Brands Participant under the VS H&amp;W Plans shall remain Liabilities of the VS Group and shall be deemed to be VS Assu</w:t>
      </w:r>
      <w:r>
        <w:rPr>
          <w:rFonts w:ascii="Arial" w:eastAsia="Arial" w:hAnsi="Arial" w:cs="Arial"/>
          <w:sz w:val="16"/>
          <w:szCs w:val="16"/>
        </w:rPr>
        <w:t xml:space="preserve">med Employee Liabilities and (B) all Liabilities relating to, arising out of or resulting from health and welfare coverage or claims incurred on or after the Distribution Date (or the applicable Delayed Transfer Date) by each L Brands Participant shall be </w:t>
      </w:r>
      <w:r>
        <w:rPr>
          <w:rFonts w:ascii="Arial" w:eastAsia="Arial" w:hAnsi="Arial" w:cs="Arial"/>
          <w:sz w:val="16"/>
          <w:szCs w:val="16"/>
        </w:rPr>
        <w:t>retained or assumed by the respective L Brands H&amp;W Plans, and no portion of the Liability shall be treated as an VS Assumed Employee Liability.</w:t>
      </w:r>
    </w:p>
    <w:p w14:paraId="4A67754D" w14:textId="77777777" w:rsidR="00D1587D" w:rsidRDefault="00D1587D">
      <w:pPr>
        <w:spacing w:line="164" w:lineRule="exact"/>
        <w:rPr>
          <w:rFonts w:ascii="Arial" w:eastAsia="Arial" w:hAnsi="Arial" w:cs="Arial"/>
          <w:sz w:val="16"/>
          <w:szCs w:val="16"/>
        </w:rPr>
      </w:pPr>
    </w:p>
    <w:p w14:paraId="7E0BDEAA" w14:textId="77777777" w:rsidR="00D1587D" w:rsidRDefault="00410D07">
      <w:pPr>
        <w:numPr>
          <w:ilvl w:val="0"/>
          <w:numId w:val="166"/>
        </w:numPr>
        <w:tabs>
          <w:tab w:val="left" w:pos="1158"/>
        </w:tabs>
        <w:spacing w:line="272" w:lineRule="auto"/>
        <w:ind w:firstLine="656"/>
        <w:jc w:val="both"/>
        <w:rPr>
          <w:rFonts w:ascii="Arial" w:eastAsia="Arial" w:hAnsi="Arial" w:cs="Arial"/>
          <w:sz w:val="17"/>
          <w:szCs w:val="17"/>
        </w:rPr>
      </w:pPr>
      <w:r>
        <w:rPr>
          <w:rFonts w:ascii="Arial" w:eastAsia="Arial" w:hAnsi="Arial" w:cs="Arial"/>
          <w:sz w:val="17"/>
          <w:szCs w:val="17"/>
        </w:rPr>
        <w:t xml:space="preserve">Without limiting the generality Section 3.01(c), (i) notwithstanding Section 6.02(a)(i), any and all </w:t>
      </w:r>
      <w:r>
        <w:rPr>
          <w:rFonts w:ascii="Arial" w:eastAsia="Arial" w:hAnsi="Arial" w:cs="Arial"/>
          <w:sz w:val="17"/>
          <w:szCs w:val="17"/>
        </w:rPr>
        <w:t>costs, expenses or Liabilities relating to participation by any Delayed VS Transfer Employee in any L Brands H&amp;W Plan during the period from the Distribution Date to the applicable Delayed Transfer Date shall be subject to reimbursement by VS to the L Bran</w:t>
      </w:r>
      <w:r>
        <w:rPr>
          <w:rFonts w:ascii="Arial" w:eastAsia="Arial" w:hAnsi="Arial" w:cs="Arial"/>
          <w:sz w:val="17"/>
          <w:szCs w:val="17"/>
        </w:rPr>
        <w:t>ds Group in accordance with the terms of the L Brands to VS Transition Services Agreement (or any other applicable Ancillary Agreement) to the extent applicable and (ii) notwithstanding Section 6.02(b)(i), any and all costs, expenses or Liabilities relatin</w:t>
      </w:r>
      <w:r>
        <w:rPr>
          <w:rFonts w:ascii="Arial" w:eastAsia="Arial" w:hAnsi="Arial" w:cs="Arial"/>
          <w:sz w:val="17"/>
          <w:szCs w:val="17"/>
        </w:rPr>
        <w:t>g to participation by any Delayed LB Transfer Employee in any VS H&amp;W Plan during the period from the Distribution Date to the applicable Delayed Transfer Date shall be subject to reimbursement by L Brands to the VS Group in accordance with the terms of the</w:t>
      </w:r>
      <w:r>
        <w:rPr>
          <w:rFonts w:ascii="Arial" w:eastAsia="Arial" w:hAnsi="Arial" w:cs="Arial"/>
          <w:sz w:val="17"/>
          <w:szCs w:val="17"/>
        </w:rPr>
        <w:t xml:space="preserve"> VS to L Brands Transition Services Agreement (or any other applicable Ancillary Agreement) to the extent applicable.</w:t>
      </w:r>
    </w:p>
    <w:p w14:paraId="286A1BD7" w14:textId="77777777" w:rsidR="00D1587D" w:rsidRDefault="00D1587D">
      <w:pPr>
        <w:spacing w:line="348" w:lineRule="exact"/>
        <w:rPr>
          <w:sz w:val="20"/>
          <w:szCs w:val="20"/>
        </w:rPr>
      </w:pPr>
    </w:p>
    <w:p w14:paraId="09BAD928" w14:textId="77777777" w:rsidR="00D1587D" w:rsidRDefault="00410D07">
      <w:pPr>
        <w:jc w:val="center"/>
        <w:rPr>
          <w:sz w:val="20"/>
          <w:szCs w:val="20"/>
        </w:rPr>
      </w:pPr>
      <w:r>
        <w:rPr>
          <w:rFonts w:ascii="Arial" w:eastAsia="Arial" w:hAnsi="Arial" w:cs="Arial"/>
          <w:sz w:val="14"/>
          <w:szCs w:val="14"/>
        </w:rPr>
        <w:t>25</w:t>
      </w:r>
    </w:p>
    <w:p w14:paraId="60298309" w14:textId="77777777" w:rsidR="00D1587D" w:rsidRDefault="00410D07">
      <w:pPr>
        <w:spacing w:line="20" w:lineRule="exact"/>
        <w:rPr>
          <w:sz w:val="20"/>
          <w:szCs w:val="20"/>
        </w:rPr>
      </w:pPr>
      <w:r>
        <w:rPr>
          <w:noProof/>
          <w:sz w:val="20"/>
          <w:szCs w:val="20"/>
        </w:rPr>
        <w:drawing>
          <wp:anchor distT="0" distB="0" distL="114300" distR="114300" simplePos="0" relativeHeight="251354112" behindDoc="1" locked="0" layoutInCell="0" allowOverlap="1" wp14:anchorId="48A024CC" wp14:editId="42B0917B">
            <wp:simplePos x="0" y="0"/>
            <wp:positionH relativeFrom="column">
              <wp:posOffset>5080</wp:posOffset>
            </wp:positionH>
            <wp:positionV relativeFrom="paragraph">
              <wp:posOffset>38100</wp:posOffset>
            </wp:positionV>
            <wp:extent cx="7132320" cy="1714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394D041" w14:textId="77777777" w:rsidR="00D1587D" w:rsidRDefault="00D1587D">
      <w:pPr>
        <w:sectPr w:rsidR="00D1587D">
          <w:pgSz w:w="11900" w:h="16838"/>
          <w:pgMar w:top="125" w:right="339" w:bottom="1440" w:left="320" w:header="0" w:footer="0" w:gutter="0"/>
          <w:cols w:space="720" w:equalWidth="0">
            <w:col w:w="11240"/>
          </w:cols>
        </w:sectPr>
      </w:pPr>
    </w:p>
    <w:p w14:paraId="6F061B3D" w14:textId="77777777" w:rsidR="00D1587D" w:rsidRDefault="00410D07">
      <w:pPr>
        <w:numPr>
          <w:ilvl w:val="0"/>
          <w:numId w:val="167"/>
        </w:numPr>
        <w:tabs>
          <w:tab w:val="left" w:pos="1168"/>
        </w:tabs>
        <w:spacing w:line="257" w:lineRule="auto"/>
        <w:ind w:firstLine="656"/>
        <w:jc w:val="both"/>
        <w:rPr>
          <w:rFonts w:ascii="Arial" w:eastAsia="Arial" w:hAnsi="Arial" w:cs="Arial"/>
          <w:sz w:val="18"/>
          <w:szCs w:val="18"/>
        </w:rPr>
      </w:pPr>
      <w:bookmarkStart w:id="196" w:name="page197"/>
      <w:bookmarkEnd w:id="196"/>
      <w:r>
        <w:rPr>
          <w:rFonts w:ascii="Arial" w:eastAsia="Arial" w:hAnsi="Arial" w:cs="Arial"/>
          <w:sz w:val="18"/>
          <w:szCs w:val="18"/>
        </w:rPr>
        <w:t>For purposes of this Section 6.02, (i) a medical, dental or vision benefit claim shall be “incurred” when the re</w:t>
      </w:r>
      <w:r>
        <w:rPr>
          <w:rFonts w:ascii="Arial" w:eastAsia="Arial" w:hAnsi="Arial" w:cs="Arial"/>
          <w:sz w:val="18"/>
          <w:szCs w:val="18"/>
        </w:rPr>
        <w:t xml:space="preserve">levant service is provided or item purchased, (ii) a short- or long-term disability benefit claim shall be “incurred” when the applicable VS Participant or L Brands Participant, as applicable, commences short- or long-term disability leave and (iii) other </w:t>
      </w:r>
      <w:r>
        <w:rPr>
          <w:rFonts w:ascii="Arial" w:eastAsia="Arial" w:hAnsi="Arial" w:cs="Arial"/>
          <w:sz w:val="18"/>
          <w:szCs w:val="18"/>
        </w:rPr>
        <w:t>benefit claims shall be “incurred” when any relevant benefit or payment is required to be provided or paid to the VS Participant or L Brands Participant, as applicable, regardless of the time of the circumstance or event giving rise to such claims.</w:t>
      </w:r>
    </w:p>
    <w:p w14:paraId="584FD3E4" w14:textId="77777777" w:rsidR="00D1587D" w:rsidRDefault="00D1587D">
      <w:pPr>
        <w:spacing w:line="188" w:lineRule="exact"/>
        <w:rPr>
          <w:sz w:val="20"/>
          <w:szCs w:val="20"/>
        </w:rPr>
      </w:pPr>
    </w:p>
    <w:p w14:paraId="0980BEDA" w14:textId="77777777" w:rsidR="00D1587D" w:rsidRDefault="00410D07">
      <w:pPr>
        <w:spacing w:line="268" w:lineRule="auto"/>
        <w:ind w:firstLine="648"/>
        <w:jc w:val="both"/>
        <w:rPr>
          <w:sz w:val="20"/>
          <w:szCs w:val="20"/>
        </w:rPr>
      </w:pPr>
      <w:r>
        <w:rPr>
          <w:rFonts w:ascii="Arial" w:eastAsia="Arial" w:hAnsi="Arial" w:cs="Arial"/>
          <w:sz w:val="17"/>
          <w:szCs w:val="17"/>
        </w:rPr>
        <w:t>Sectio</w:t>
      </w:r>
      <w:r>
        <w:rPr>
          <w:rFonts w:ascii="Arial" w:eastAsia="Arial" w:hAnsi="Arial" w:cs="Arial"/>
          <w:sz w:val="17"/>
          <w:szCs w:val="17"/>
        </w:rPr>
        <w:t xml:space="preserve">n 6.03. </w:t>
      </w:r>
      <w:r>
        <w:rPr>
          <w:rFonts w:ascii="Arial" w:eastAsia="Arial" w:hAnsi="Arial" w:cs="Arial"/>
          <w:i/>
          <w:iCs/>
          <w:sz w:val="17"/>
          <w:szCs w:val="17"/>
        </w:rPr>
        <w:t>Flexible Spending Account Plan Treatment</w:t>
      </w:r>
      <w:r>
        <w:rPr>
          <w:rFonts w:ascii="Arial" w:eastAsia="Arial" w:hAnsi="Arial" w:cs="Arial"/>
          <w:sz w:val="17"/>
          <w:szCs w:val="17"/>
        </w:rPr>
        <w:t>. Subject to the terms of the L Brands to VS Transition Services Agreement, effective as of the Distribution Date, VS shall establish or designate flexible spending accounts for health and dependent care expe</w:t>
      </w:r>
      <w:r>
        <w:rPr>
          <w:rFonts w:ascii="Arial" w:eastAsia="Arial" w:hAnsi="Arial" w:cs="Arial"/>
          <w:sz w:val="17"/>
          <w:szCs w:val="17"/>
        </w:rPr>
        <w:t>nses under Sections 125 and 129 of the Code (the “</w:t>
      </w:r>
      <w:r>
        <w:rPr>
          <w:rFonts w:ascii="Arial" w:eastAsia="Arial" w:hAnsi="Arial" w:cs="Arial"/>
          <w:b/>
          <w:bCs/>
          <w:sz w:val="17"/>
          <w:szCs w:val="17"/>
        </w:rPr>
        <w:t>VS FSAs</w:t>
      </w:r>
      <w:r>
        <w:rPr>
          <w:rFonts w:ascii="Arial" w:eastAsia="Arial" w:hAnsi="Arial" w:cs="Arial"/>
          <w:sz w:val="17"/>
          <w:szCs w:val="17"/>
        </w:rPr>
        <w:t xml:space="preserve">”). The Parties shall take all actions reasonably necessary or appropriate so that the account balances (positive or negative) under the L Brands FSAs of each VS Participant who has elected to </w:t>
      </w:r>
      <w:r>
        <w:rPr>
          <w:rFonts w:ascii="Arial" w:eastAsia="Arial" w:hAnsi="Arial" w:cs="Arial"/>
          <w:sz w:val="17"/>
          <w:szCs w:val="17"/>
        </w:rPr>
        <w:t>participate therein in the year in which the Distribution Date (or, for any Delayed VS Transfer Employees, the applicable Delayed Transfer Date) occurs shall be transferred, effective as of the Distribution Date (or the Delayed Transfer Date, as applicable</w:t>
      </w:r>
      <w:r>
        <w:rPr>
          <w:rFonts w:ascii="Arial" w:eastAsia="Arial" w:hAnsi="Arial" w:cs="Arial"/>
          <w:sz w:val="17"/>
          <w:szCs w:val="17"/>
        </w:rPr>
        <w:t xml:space="preserve">), from the L Brands FSAs to the corresponding VS FSAs. The VS FSAs shall assume responsibility as of the Distribution Date (or the applicable Delayed Transfer Date) for all outstanding dependent care and health care claims under the L Brands FSAs of each </w:t>
      </w:r>
      <w:r>
        <w:rPr>
          <w:rFonts w:ascii="Arial" w:eastAsia="Arial" w:hAnsi="Arial" w:cs="Arial"/>
          <w:sz w:val="17"/>
          <w:szCs w:val="17"/>
        </w:rPr>
        <w:t>VS Participant for the year in which the Distribution Date (or the applicable Delayed Transfer Date) occurs and shall assume the rights of and agree to perform the obligations of the analogous L Brands FSA from and after the Distribution Date (or the appli</w:t>
      </w:r>
      <w:r>
        <w:rPr>
          <w:rFonts w:ascii="Arial" w:eastAsia="Arial" w:hAnsi="Arial" w:cs="Arial"/>
          <w:sz w:val="17"/>
          <w:szCs w:val="17"/>
        </w:rPr>
        <w:t xml:space="preserve">cable Delayed Transfer Date). The Parties shall cooperate in good faith to provide that the contribution elections of each such VS Participant as in effect immediately before the Distribution Date (or the applicable Delayed Transfer Date) remain in effect </w:t>
      </w:r>
      <w:r>
        <w:rPr>
          <w:rFonts w:ascii="Arial" w:eastAsia="Arial" w:hAnsi="Arial" w:cs="Arial"/>
          <w:sz w:val="17"/>
          <w:szCs w:val="17"/>
        </w:rPr>
        <w:t>under the VS FSAs from and after the Distribution Date (or the applicable Delayed Transfer Date), subject to the terms of the VS FSAs. As soon as practicable after the Distribution Date (or, if applicable, the Delayed Transfer Date), with respect to the af</w:t>
      </w:r>
      <w:r>
        <w:rPr>
          <w:rFonts w:ascii="Arial" w:eastAsia="Arial" w:hAnsi="Arial" w:cs="Arial"/>
          <w:sz w:val="17"/>
          <w:szCs w:val="17"/>
        </w:rPr>
        <w:t>fected VS Participant, L Brands shall pay to VS (or its designee) the net aggregate amount of the account balances credited to VS FSAs under this Section 6.03, if such amount is positive, and VS shall pay L Brands (or its designee) the net aggregate amount</w:t>
      </w:r>
      <w:r>
        <w:rPr>
          <w:rFonts w:ascii="Arial" w:eastAsia="Arial" w:hAnsi="Arial" w:cs="Arial"/>
          <w:sz w:val="17"/>
          <w:szCs w:val="17"/>
        </w:rPr>
        <w:t xml:space="preserve"> of the account balances credited to the VS FSAs under this Section 6.03, if such amount is negative.</w:t>
      </w:r>
    </w:p>
    <w:p w14:paraId="2B266FB0" w14:textId="77777777" w:rsidR="00D1587D" w:rsidRDefault="00D1587D">
      <w:pPr>
        <w:spacing w:line="353" w:lineRule="exact"/>
        <w:rPr>
          <w:sz w:val="20"/>
          <w:szCs w:val="20"/>
        </w:rPr>
      </w:pPr>
    </w:p>
    <w:p w14:paraId="7C977924" w14:textId="77777777" w:rsidR="00D1587D" w:rsidRDefault="00410D07">
      <w:pPr>
        <w:jc w:val="center"/>
        <w:rPr>
          <w:sz w:val="20"/>
          <w:szCs w:val="20"/>
        </w:rPr>
      </w:pPr>
      <w:r>
        <w:rPr>
          <w:rFonts w:ascii="Arial" w:eastAsia="Arial" w:hAnsi="Arial" w:cs="Arial"/>
          <w:sz w:val="14"/>
          <w:szCs w:val="14"/>
        </w:rPr>
        <w:t>26</w:t>
      </w:r>
    </w:p>
    <w:p w14:paraId="5A0F61D9" w14:textId="77777777" w:rsidR="00D1587D" w:rsidRDefault="00410D07">
      <w:pPr>
        <w:spacing w:line="20" w:lineRule="exact"/>
        <w:rPr>
          <w:sz w:val="20"/>
          <w:szCs w:val="20"/>
        </w:rPr>
      </w:pPr>
      <w:r>
        <w:rPr>
          <w:noProof/>
          <w:sz w:val="20"/>
          <w:szCs w:val="20"/>
        </w:rPr>
        <w:drawing>
          <wp:anchor distT="0" distB="0" distL="114300" distR="114300" simplePos="0" relativeHeight="251355136" behindDoc="1" locked="0" layoutInCell="0" allowOverlap="1" wp14:anchorId="0ACA00B1" wp14:editId="02893416">
            <wp:simplePos x="0" y="0"/>
            <wp:positionH relativeFrom="column">
              <wp:posOffset>5080</wp:posOffset>
            </wp:positionH>
            <wp:positionV relativeFrom="paragraph">
              <wp:posOffset>38100</wp:posOffset>
            </wp:positionV>
            <wp:extent cx="7132320" cy="1714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B29A0C5" w14:textId="77777777" w:rsidR="00D1587D" w:rsidRDefault="00D1587D">
      <w:pPr>
        <w:sectPr w:rsidR="00D1587D">
          <w:pgSz w:w="11900" w:h="16838"/>
          <w:pgMar w:top="125" w:right="339" w:bottom="1440" w:left="320" w:header="0" w:footer="0" w:gutter="0"/>
          <w:cols w:space="720" w:equalWidth="0">
            <w:col w:w="11240"/>
          </w:cols>
        </w:sectPr>
      </w:pPr>
    </w:p>
    <w:p w14:paraId="27095E5D" w14:textId="77777777" w:rsidR="00D1587D" w:rsidRDefault="00410D07">
      <w:pPr>
        <w:spacing w:line="254" w:lineRule="auto"/>
        <w:ind w:firstLine="648"/>
        <w:jc w:val="both"/>
        <w:rPr>
          <w:sz w:val="20"/>
          <w:szCs w:val="20"/>
        </w:rPr>
      </w:pPr>
      <w:bookmarkStart w:id="197" w:name="page198"/>
      <w:bookmarkEnd w:id="197"/>
      <w:r>
        <w:rPr>
          <w:rFonts w:ascii="Arial" w:eastAsia="Arial" w:hAnsi="Arial" w:cs="Arial"/>
          <w:sz w:val="18"/>
          <w:szCs w:val="18"/>
        </w:rPr>
        <w:t xml:space="preserve">Section 6.04. </w:t>
      </w:r>
      <w:r>
        <w:rPr>
          <w:rFonts w:ascii="Arial" w:eastAsia="Arial" w:hAnsi="Arial" w:cs="Arial"/>
          <w:i/>
          <w:iCs/>
          <w:sz w:val="18"/>
          <w:szCs w:val="18"/>
        </w:rPr>
        <w:t>Workers’ Compensation Liabilities</w:t>
      </w:r>
      <w:r>
        <w:rPr>
          <w:rFonts w:ascii="Arial" w:eastAsia="Arial" w:hAnsi="Arial" w:cs="Arial"/>
          <w:sz w:val="18"/>
          <w:szCs w:val="18"/>
        </w:rPr>
        <w:t xml:space="preserve">. All workers’ compensation Liabilities relating to, arising out of or resulting </w:t>
      </w:r>
      <w:r>
        <w:rPr>
          <w:rFonts w:ascii="Arial" w:eastAsia="Arial" w:hAnsi="Arial" w:cs="Arial"/>
          <w:sz w:val="18"/>
          <w:szCs w:val="18"/>
        </w:rPr>
        <w:t>from any claim by any VS Participant that result from an accident or from an occupational disease, to the extent incurred before the Distribution Date (or the applicable Delayed Transfer Date), shall be retained by L Brands and shall constitute L Brands Re</w:t>
      </w:r>
      <w:r>
        <w:rPr>
          <w:rFonts w:ascii="Arial" w:eastAsia="Arial" w:hAnsi="Arial" w:cs="Arial"/>
          <w:sz w:val="18"/>
          <w:szCs w:val="18"/>
        </w:rPr>
        <w:t>tained Employee Liabilities and (ii) all workers’ compensation Liabilities relating to, arising out of or resulting from any claim by any VS Participant that result from an accident or from an occupational disease, to the extent incurred on or after the Di</w:t>
      </w:r>
      <w:r>
        <w:rPr>
          <w:rFonts w:ascii="Arial" w:eastAsia="Arial" w:hAnsi="Arial" w:cs="Arial"/>
          <w:sz w:val="18"/>
          <w:szCs w:val="18"/>
        </w:rPr>
        <w:t xml:space="preserve">stribution Date (or the applicable Delayed Transfer Date), shall be assumed by VS and shall constitute VS Assumed Employee Liabilities. The Parties shall cooperate with respect to any notification to appropriate Governmental Authorities of the disposition </w:t>
      </w:r>
      <w:r>
        <w:rPr>
          <w:rFonts w:ascii="Arial" w:eastAsia="Arial" w:hAnsi="Arial" w:cs="Arial"/>
          <w:sz w:val="18"/>
          <w:szCs w:val="18"/>
        </w:rPr>
        <w:t>and the issuance of new, or the transfer of existing, workers’ compensation insurance policies and contracts governing the handling of claims in accordance with this Section 6.04.</w:t>
      </w:r>
    </w:p>
    <w:p w14:paraId="2D75E37D" w14:textId="77777777" w:rsidR="00D1587D" w:rsidRDefault="00D1587D">
      <w:pPr>
        <w:spacing w:line="192" w:lineRule="exact"/>
        <w:rPr>
          <w:sz w:val="20"/>
          <w:szCs w:val="20"/>
        </w:rPr>
      </w:pPr>
    </w:p>
    <w:p w14:paraId="1EA4F3C0" w14:textId="77777777" w:rsidR="00D1587D" w:rsidRDefault="00410D07">
      <w:pPr>
        <w:ind w:left="660"/>
        <w:rPr>
          <w:sz w:val="20"/>
          <w:szCs w:val="20"/>
        </w:rPr>
      </w:pPr>
      <w:r>
        <w:rPr>
          <w:rFonts w:ascii="Arial" w:eastAsia="Arial" w:hAnsi="Arial" w:cs="Arial"/>
          <w:sz w:val="18"/>
          <w:szCs w:val="18"/>
        </w:rPr>
        <w:t xml:space="preserve">Section 6.05. </w:t>
      </w:r>
      <w:r>
        <w:rPr>
          <w:rFonts w:ascii="Arial" w:eastAsia="Arial" w:hAnsi="Arial" w:cs="Arial"/>
          <w:i/>
          <w:iCs/>
          <w:sz w:val="18"/>
          <w:szCs w:val="18"/>
        </w:rPr>
        <w:t>Paid Time Off</w:t>
      </w:r>
      <w:r>
        <w:rPr>
          <w:rFonts w:ascii="Arial" w:eastAsia="Arial" w:hAnsi="Arial" w:cs="Arial"/>
          <w:sz w:val="18"/>
          <w:szCs w:val="18"/>
        </w:rPr>
        <w:t>.</w:t>
      </w:r>
    </w:p>
    <w:p w14:paraId="3927CF36" w14:textId="77777777" w:rsidR="00D1587D" w:rsidRDefault="00D1587D">
      <w:pPr>
        <w:spacing w:line="225" w:lineRule="exact"/>
        <w:rPr>
          <w:sz w:val="20"/>
          <w:szCs w:val="20"/>
        </w:rPr>
      </w:pPr>
    </w:p>
    <w:p w14:paraId="474528E0" w14:textId="77777777" w:rsidR="00D1587D" w:rsidRDefault="00410D07">
      <w:pPr>
        <w:numPr>
          <w:ilvl w:val="0"/>
          <w:numId w:val="168"/>
        </w:numPr>
        <w:tabs>
          <w:tab w:val="left" w:pos="1153"/>
        </w:tabs>
        <w:spacing w:line="271" w:lineRule="auto"/>
        <w:ind w:firstLine="656"/>
        <w:jc w:val="both"/>
        <w:rPr>
          <w:rFonts w:ascii="Arial" w:eastAsia="Arial" w:hAnsi="Arial" w:cs="Arial"/>
          <w:sz w:val="17"/>
          <w:szCs w:val="17"/>
        </w:rPr>
      </w:pPr>
      <w:r>
        <w:rPr>
          <w:rFonts w:ascii="Arial" w:eastAsia="Arial" w:hAnsi="Arial" w:cs="Arial"/>
          <w:sz w:val="17"/>
          <w:szCs w:val="17"/>
        </w:rPr>
        <w:t xml:space="preserve">Effective as of the Distribution Date </w:t>
      </w:r>
      <w:r>
        <w:rPr>
          <w:rFonts w:ascii="Arial" w:eastAsia="Arial" w:hAnsi="Arial" w:cs="Arial"/>
          <w:sz w:val="17"/>
          <w:szCs w:val="17"/>
        </w:rPr>
        <w:t>(or, in the case, of any Delayed VS Transfer Employee, the applicable Delayed Transfer Date), the applicable VS Group member shall recognize, retain and assume all Liabilities with respect to vacation, holiday, sick leave, paid time off, floating holidays,</w:t>
      </w:r>
      <w:r>
        <w:rPr>
          <w:rFonts w:ascii="Arial" w:eastAsia="Arial" w:hAnsi="Arial" w:cs="Arial"/>
          <w:sz w:val="17"/>
          <w:szCs w:val="17"/>
        </w:rPr>
        <w:t xml:space="preserve"> personal days and other paid time off (collectively, “</w:t>
      </w:r>
      <w:r>
        <w:rPr>
          <w:rFonts w:ascii="Arial" w:eastAsia="Arial" w:hAnsi="Arial" w:cs="Arial"/>
          <w:b/>
          <w:bCs/>
          <w:sz w:val="17"/>
          <w:szCs w:val="17"/>
        </w:rPr>
        <w:t>Paid Time Off</w:t>
      </w:r>
      <w:r>
        <w:rPr>
          <w:rFonts w:ascii="Arial" w:eastAsia="Arial" w:hAnsi="Arial" w:cs="Arial"/>
          <w:sz w:val="17"/>
          <w:szCs w:val="17"/>
        </w:rPr>
        <w:t>”) with respect to VS Participants accrued on or prior to the Distribution Date (or the Delayed Transfer Date, as applicable), and VS shall credit each such VS Participant with such accrua</w:t>
      </w:r>
      <w:r>
        <w:rPr>
          <w:rFonts w:ascii="Arial" w:eastAsia="Arial" w:hAnsi="Arial" w:cs="Arial"/>
          <w:sz w:val="17"/>
          <w:szCs w:val="17"/>
        </w:rPr>
        <w:t xml:space="preserve">l; </w:t>
      </w:r>
      <w:r>
        <w:rPr>
          <w:rFonts w:ascii="Arial" w:eastAsia="Arial" w:hAnsi="Arial" w:cs="Arial"/>
          <w:i/>
          <w:iCs/>
          <w:sz w:val="17"/>
          <w:szCs w:val="17"/>
        </w:rPr>
        <w:t>provided</w:t>
      </w:r>
      <w:r>
        <w:rPr>
          <w:rFonts w:ascii="Arial" w:eastAsia="Arial" w:hAnsi="Arial" w:cs="Arial"/>
          <w:sz w:val="17"/>
          <w:szCs w:val="17"/>
        </w:rPr>
        <w:t>, that if any such Paid Time Off is required under Applicable Law to be paid out to the applicable VS Participant in connection with the Distribution (or his or her date of employment transfer), such payment will be made by VS as of the Distribu</w:t>
      </w:r>
      <w:r>
        <w:rPr>
          <w:rFonts w:ascii="Arial" w:eastAsia="Arial" w:hAnsi="Arial" w:cs="Arial"/>
          <w:sz w:val="17"/>
          <w:szCs w:val="17"/>
        </w:rPr>
        <w:t xml:space="preserve">tion Date (or the Delayed Transfer Date, as applicable), and VS will credit such VS Participant with unpaid Paid Time Off in respect thereof; </w:t>
      </w:r>
      <w:r>
        <w:rPr>
          <w:rFonts w:ascii="Arial" w:eastAsia="Arial" w:hAnsi="Arial" w:cs="Arial"/>
          <w:i/>
          <w:iCs/>
          <w:sz w:val="17"/>
          <w:szCs w:val="17"/>
        </w:rPr>
        <w:t>it being understood</w:t>
      </w:r>
      <w:r>
        <w:rPr>
          <w:rFonts w:ascii="Arial" w:eastAsia="Arial" w:hAnsi="Arial" w:cs="Arial"/>
          <w:sz w:val="17"/>
          <w:szCs w:val="17"/>
        </w:rPr>
        <w:t xml:space="preserve"> that any amount of Paid Time Off required to be paid out to any VS Participant in connection w</w:t>
      </w:r>
      <w:r>
        <w:rPr>
          <w:rFonts w:ascii="Arial" w:eastAsia="Arial" w:hAnsi="Arial" w:cs="Arial"/>
          <w:sz w:val="17"/>
          <w:szCs w:val="17"/>
        </w:rPr>
        <w:t>ith the Distribution or such employment transfer, as applicable, shall constitute VS Assumed Employee Liabilities.</w:t>
      </w:r>
    </w:p>
    <w:p w14:paraId="433E068C" w14:textId="77777777" w:rsidR="00D1587D" w:rsidRDefault="00D1587D">
      <w:pPr>
        <w:spacing w:line="178" w:lineRule="exact"/>
        <w:rPr>
          <w:rFonts w:ascii="Arial" w:eastAsia="Arial" w:hAnsi="Arial" w:cs="Arial"/>
          <w:sz w:val="17"/>
          <w:szCs w:val="17"/>
        </w:rPr>
      </w:pPr>
    </w:p>
    <w:p w14:paraId="3D8DF549" w14:textId="77777777" w:rsidR="00D1587D" w:rsidRDefault="00410D07">
      <w:pPr>
        <w:numPr>
          <w:ilvl w:val="0"/>
          <w:numId w:val="168"/>
        </w:numPr>
        <w:tabs>
          <w:tab w:val="left" w:pos="1150"/>
        </w:tabs>
        <w:spacing w:line="271" w:lineRule="auto"/>
        <w:ind w:firstLine="656"/>
        <w:jc w:val="both"/>
        <w:rPr>
          <w:rFonts w:ascii="Arial" w:eastAsia="Arial" w:hAnsi="Arial" w:cs="Arial"/>
          <w:sz w:val="17"/>
          <w:szCs w:val="17"/>
        </w:rPr>
      </w:pPr>
      <w:r>
        <w:rPr>
          <w:rFonts w:ascii="Arial" w:eastAsia="Arial" w:hAnsi="Arial" w:cs="Arial"/>
          <w:sz w:val="17"/>
          <w:szCs w:val="17"/>
        </w:rPr>
        <w:t>Effective as of the Distribution Date (or, in the case, of any Delayed LB Transfer Employee, the applicable Delayed Transfer Date), the appl</w:t>
      </w:r>
      <w:r>
        <w:rPr>
          <w:rFonts w:ascii="Arial" w:eastAsia="Arial" w:hAnsi="Arial" w:cs="Arial"/>
          <w:sz w:val="17"/>
          <w:szCs w:val="17"/>
        </w:rPr>
        <w:t>icable L Brands Group member shall recognize, retain and assume all Liabilities with respect to Paid Time Off with respect to L Brands Participants accrued on or prior to the Distribution Date (or the Delayed Transfer Date, as applicable), and L Brands sha</w:t>
      </w:r>
      <w:r>
        <w:rPr>
          <w:rFonts w:ascii="Arial" w:eastAsia="Arial" w:hAnsi="Arial" w:cs="Arial"/>
          <w:sz w:val="17"/>
          <w:szCs w:val="17"/>
        </w:rPr>
        <w:t xml:space="preserve">ll credit each such L Brands Participant with such accrual; </w:t>
      </w:r>
      <w:r>
        <w:rPr>
          <w:rFonts w:ascii="Arial" w:eastAsia="Arial" w:hAnsi="Arial" w:cs="Arial"/>
          <w:i/>
          <w:iCs/>
          <w:sz w:val="17"/>
          <w:szCs w:val="17"/>
        </w:rPr>
        <w:t>provided</w:t>
      </w:r>
      <w:r>
        <w:rPr>
          <w:rFonts w:ascii="Arial" w:eastAsia="Arial" w:hAnsi="Arial" w:cs="Arial"/>
          <w:sz w:val="17"/>
          <w:szCs w:val="17"/>
        </w:rPr>
        <w:t>, that if any such Paid Time Off is required under Applicable Law to be paid out to the applicable L Brands Participant in connection with the Distribution (or his or her date of employmen</w:t>
      </w:r>
      <w:r>
        <w:rPr>
          <w:rFonts w:ascii="Arial" w:eastAsia="Arial" w:hAnsi="Arial" w:cs="Arial"/>
          <w:sz w:val="17"/>
          <w:szCs w:val="17"/>
        </w:rPr>
        <w:t xml:space="preserve">t transfer), such payment will be made by L Brands as of the Distribution Date (or the Delayed Transfer Date, as applicable), and L Brands will credit such L Brands Participant with unpaid Paid Time Off in respect thereof; </w:t>
      </w:r>
      <w:r>
        <w:rPr>
          <w:rFonts w:ascii="Arial" w:eastAsia="Arial" w:hAnsi="Arial" w:cs="Arial"/>
          <w:i/>
          <w:iCs/>
          <w:sz w:val="17"/>
          <w:szCs w:val="17"/>
        </w:rPr>
        <w:t>it being understood</w:t>
      </w:r>
      <w:r>
        <w:rPr>
          <w:rFonts w:ascii="Arial" w:eastAsia="Arial" w:hAnsi="Arial" w:cs="Arial"/>
          <w:sz w:val="17"/>
          <w:szCs w:val="17"/>
        </w:rPr>
        <w:t xml:space="preserve"> that any amou</w:t>
      </w:r>
      <w:r>
        <w:rPr>
          <w:rFonts w:ascii="Arial" w:eastAsia="Arial" w:hAnsi="Arial" w:cs="Arial"/>
          <w:sz w:val="17"/>
          <w:szCs w:val="17"/>
        </w:rPr>
        <w:t>nt of Paid Time Off required to be paid out to any L Brands Participant in connection with the Distribution or such employment transfer, as applicable, shall constitute L Brands Retained Employee Liabilities.</w:t>
      </w:r>
    </w:p>
    <w:p w14:paraId="0A07D5DA" w14:textId="77777777" w:rsidR="00D1587D" w:rsidRDefault="00D1587D">
      <w:pPr>
        <w:spacing w:line="349" w:lineRule="exact"/>
        <w:rPr>
          <w:sz w:val="20"/>
          <w:szCs w:val="20"/>
        </w:rPr>
      </w:pPr>
    </w:p>
    <w:p w14:paraId="69A3C7FC" w14:textId="77777777" w:rsidR="00D1587D" w:rsidRDefault="00410D07">
      <w:pPr>
        <w:jc w:val="center"/>
        <w:rPr>
          <w:sz w:val="20"/>
          <w:szCs w:val="20"/>
        </w:rPr>
      </w:pPr>
      <w:r>
        <w:rPr>
          <w:rFonts w:ascii="Arial" w:eastAsia="Arial" w:hAnsi="Arial" w:cs="Arial"/>
          <w:sz w:val="14"/>
          <w:szCs w:val="14"/>
        </w:rPr>
        <w:t>27</w:t>
      </w:r>
    </w:p>
    <w:p w14:paraId="4B3C0CCD" w14:textId="77777777" w:rsidR="00D1587D" w:rsidRDefault="00410D07">
      <w:pPr>
        <w:spacing w:line="20" w:lineRule="exact"/>
        <w:rPr>
          <w:sz w:val="20"/>
          <w:szCs w:val="20"/>
        </w:rPr>
      </w:pPr>
      <w:r>
        <w:rPr>
          <w:noProof/>
          <w:sz w:val="20"/>
          <w:szCs w:val="20"/>
        </w:rPr>
        <w:drawing>
          <wp:anchor distT="0" distB="0" distL="114300" distR="114300" simplePos="0" relativeHeight="251356160" behindDoc="1" locked="0" layoutInCell="0" allowOverlap="1" wp14:anchorId="649FE2CB" wp14:editId="64CC656E">
            <wp:simplePos x="0" y="0"/>
            <wp:positionH relativeFrom="column">
              <wp:posOffset>5080</wp:posOffset>
            </wp:positionH>
            <wp:positionV relativeFrom="paragraph">
              <wp:posOffset>38100</wp:posOffset>
            </wp:positionV>
            <wp:extent cx="7132320" cy="1714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9C3F0C8" w14:textId="77777777" w:rsidR="00D1587D" w:rsidRDefault="00D1587D">
      <w:pPr>
        <w:sectPr w:rsidR="00D1587D">
          <w:pgSz w:w="11900" w:h="16838"/>
          <w:pgMar w:top="125" w:right="339" w:bottom="1440" w:left="320" w:header="0" w:footer="0" w:gutter="0"/>
          <w:cols w:space="720" w:equalWidth="0">
            <w:col w:w="11240"/>
          </w:cols>
        </w:sectPr>
      </w:pPr>
    </w:p>
    <w:p w14:paraId="4CF92077" w14:textId="77777777" w:rsidR="00D1587D" w:rsidRDefault="00410D07">
      <w:pPr>
        <w:ind w:left="660"/>
        <w:rPr>
          <w:sz w:val="20"/>
          <w:szCs w:val="20"/>
        </w:rPr>
      </w:pPr>
      <w:bookmarkStart w:id="198" w:name="page199"/>
      <w:bookmarkEnd w:id="198"/>
      <w:r>
        <w:rPr>
          <w:rFonts w:ascii="Arial" w:eastAsia="Arial" w:hAnsi="Arial" w:cs="Arial"/>
          <w:sz w:val="18"/>
          <w:szCs w:val="18"/>
        </w:rPr>
        <w:t xml:space="preserve">Section 6.06.  </w:t>
      </w:r>
      <w:r>
        <w:rPr>
          <w:rFonts w:ascii="Arial" w:eastAsia="Arial" w:hAnsi="Arial" w:cs="Arial"/>
          <w:i/>
          <w:iCs/>
          <w:sz w:val="18"/>
          <w:szCs w:val="18"/>
        </w:rPr>
        <w:t>COBRA</w:t>
      </w:r>
      <w:r>
        <w:rPr>
          <w:rFonts w:ascii="Arial" w:eastAsia="Arial" w:hAnsi="Arial" w:cs="Arial"/>
          <w:sz w:val="18"/>
          <w:szCs w:val="18"/>
        </w:rPr>
        <w:t>.</w:t>
      </w:r>
    </w:p>
    <w:p w14:paraId="0C5F6015" w14:textId="77777777" w:rsidR="00D1587D" w:rsidRDefault="00D1587D">
      <w:pPr>
        <w:spacing w:line="225" w:lineRule="exact"/>
        <w:rPr>
          <w:sz w:val="20"/>
          <w:szCs w:val="20"/>
        </w:rPr>
      </w:pPr>
    </w:p>
    <w:p w14:paraId="41F5B9DB" w14:textId="77777777" w:rsidR="00D1587D" w:rsidRDefault="00410D07">
      <w:pPr>
        <w:numPr>
          <w:ilvl w:val="0"/>
          <w:numId w:val="169"/>
        </w:numPr>
        <w:tabs>
          <w:tab w:val="left" w:pos="1240"/>
        </w:tabs>
        <w:ind w:left="1240" w:hanging="584"/>
        <w:rPr>
          <w:rFonts w:ascii="Arial" w:eastAsia="Arial" w:hAnsi="Arial" w:cs="Arial"/>
          <w:sz w:val="17"/>
          <w:szCs w:val="17"/>
        </w:rPr>
      </w:pPr>
      <w:r>
        <w:rPr>
          <w:rFonts w:ascii="Arial" w:eastAsia="Arial" w:hAnsi="Arial" w:cs="Arial"/>
          <w:sz w:val="17"/>
          <w:szCs w:val="17"/>
        </w:rPr>
        <w:t>Subject to the terms of the L Brands to VS Transition Services Agreement and the VS to L Brands Transition Services Agreement, as</w:t>
      </w:r>
    </w:p>
    <w:p w14:paraId="0AE7D131" w14:textId="77777777" w:rsidR="00D1587D" w:rsidRDefault="00D1587D">
      <w:pPr>
        <w:spacing w:line="34" w:lineRule="exact"/>
        <w:rPr>
          <w:rFonts w:ascii="Arial" w:eastAsia="Arial" w:hAnsi="Arial" w:cs="Arial"/>
          <w:sz w:val="17"/>
          <w:szCs w:val="17"/>
        </w:rPr>
      </w:pPr>
    </w:p>
    <w:p w14:paraId="7A50F4FA" w14:textId="77777777" w:rsidR="00D1587D" w:rsidRDefault="00410D07">
      <w:pPr>
        <w:rPr>
          <w:rFonts w:ascii="Arial" w:eastAsia="Arial" w:hAnsi="Arial" w:cs="Arial"/>
          <w:sz w:val="17"/>
          <w:szCs w:val="17"/>
        </w:rPr>
      </w:pPr>
      <w:r>
        <w:rPr>
          <w:rFonts w:ascii="Arial" w:eastAsia="Arial" w:hAnsi="Arial" w:cs="Arial"/>
          <w:sz w:val="18"/>
          <w:szCs w:val="18"/>
        </w:rPr>
        <w:t>applicable:</w:t>
      </w:r>
    </w:p>
    <w:p w14:paraId="0ED31329" w14:textId="77777777" w:rsidR="00D1587D" w:rsidRDefault="00D1587D">
      <w:pPr>
        <w:spacing w:line="210" w:lineRule="exact"/>
        <w:rPr>
          <w:rFonts w:ascii="Arial" w:eastAsia="Arial" w:hAnsi="Arial" w:cs="Arial"/>
          <w:sz w:val="17"/>
          <w:szCs w:val="17"/>
        </w:rPr>
      </w:pPr>
    </w:p>
    <w:p w14:paraId="5292B494" w14:textId="77777777" w:rsidR="00D1587D" w:rsidRDefault="00410D07">
      <w:pPr>
        <w:numPr>
          <w:ilvl w:val="1"/>
          <w:numId w:val="169"/>
        </w:numPr>
        <w:tabs>
          <w:tab w:val="left" w:pos="1653"/>
        </w:tabs>
        <w:spacing w:line="254" w:lineRule="auto"/>
        <w:ind w:left="660" w:firstLine="482"/>
        <w:jc w:val="both"/>
        <w:rPr>
          <w:rFonts w:ascii="Arial" w:eastAsia="Arial" w:hAnsi="Arial" w:cs="Arial"/>
          <w:sz w:val="18"/>
          <w:szCs w:val="18"/>
        </w:rPr>
      </w:pPr>
      <w:r>
        <w:rPr>
          <w:rFonts w:ascii="Arial" w:eastAsia="Arial" w:hAnsi="Arial" w:cs="Arial"/>
          <w:sz w:val="18"/>
          <w:szCs w:val="18"/>
        </w:rPr>
        <w:t>the L Brands Group shall administer the L Brands Group’s compliance with the health care continuation coverage requirements of COBRA and the corresponding provisions of the L Brands H&amp;W Plans with respect to VS Participants who incur a COBRA “qualifying ev</w:t>
      </w:r>
      <w:r>
        <w:rPr>
          <w:rFonts w:ascii="Arial" w:eastAsia="Arial" w:hAnsi="Arial" w:cs="Arial"/>
          <w:sz w:val="18"/>
          <w:szCs w:val="18"/>
        </w:rPr>
        <w:t xml:space="preserve">ent” occurring before the Distribution Date (or, in the case of any Delayed VS Transfer Employee, the applicable Delayed Transfer Date); </w:t>
      </w:r>
      <w:r>
        <w:rPr>
          <w:rFonts w:ascii="Arial" w:eastAsia="Arial" w:hAnsi="Arial" w:cs="Arial"/>
          <w:i/>
          <w:iCs/>
          <w:sz w:val="18"/>
          <w:szCs w:val="18"/>
        </w:rPr>
        <w:t>provided</w:t>
      </w:r>
      <w:r>
        <w:rPr>
          <w:rFonts w:ascii="Arial" w:eastAsia="Arial" w:hAnsi="Arial" w:cs="Arial"/>
          <w:sz w:val="18"/>
          <w:szCs w:val="18"/>
        </w:rPr>
        <w:t>, that, for the avoidance of doubt, any Liabilities related thereto shall constitute L Brands Retained Employee</w:t>
      </w:r>
      <w:r>
        <w:rPr>
          <w:rFonts w:ascii="Arial" w:eastAsia="Arial" w:hAnsi="Arial" w:cs="Arial"/>
          <w:sz w:val="18"/>
          <w:szCs w:val="18"/>
        </w:rPr>
        <w:t xml:space="preserve"> Liabilities. VS shall be solely responsible for all Liabilities incurred pursuant to COBRA and for administering, at VS’ expense, compliance with the health care continuation coverage requirements of COBRA and the corresponding provisions of the VS H&amp;W Pl</w:t>
      </w:r>
      <w:r>
        <w:rPr>
          <w:rFonts w:ascii="Arial" w:eastAsia="Arial" w:hAnsi="Arial" w:cs="Arial"/>
          <w:sz w:val="18"/>
          <w:szCs w:val="18"/>
        </w:rPr>
        <w:t>ans with respect to VS Participants who incur a COBRA “qualifying event” that occurs at any time on or after the Distribution Date (or, in the case of Delayed VS Transfer Employees, the applicable Delayed Transfer Date); and</w:t>
      </w:r>
    </w:p>
    <w:p w14:paraId="612683CE" w14:textId="77777777" w:rsidR="00D1587D" w:rsidRDefault="00D1587D">
      <w:pPr>
        <w:spacing w:line="191" w:lineRule="exact"/>
        <w:rPr>
          <w:rFonts w:ascii="Arial" w:eastAsia="Arial" w:hAnsi="Arial" w:cs="Arial"/>
          <w:sz w:val="18"/>
          <w:szCs w:val="18"/>
        </w:rPr>
      </w:pPr>
    </w:p>
    <w:p w14:paraId="1D9B6136" w14:textId="77777777" w:rsidR="00D1587D" w:rsidRDefault="00410D07">
      <w:pPr>
        <w:numPr>
          <w:ilvl w:val="1"/>
          <w:numId w:val="169"/>
        </w:numPr>
        <w:tabs>
          <w:tab w:val="left" w:pos="1618"/>
        </w:tabs>
        <w:spacing w:line="254" w:lineRule="auto"/>
        <w:ind w:left="660" w:firstLine="482"/>
        <w:jc w:val="both"/>
        <w:rPr>
          <w:rFonts w:ascii="Arial" w:eastAsia="Arial" w:hAnsi="Arial" w:cs="Arial"/>
          <w:sz w:val="18"/>
          <w:szCs w:val="18"/>
        </w:rPr>
      </w:pPr>
      <w:r>
        <w:rPr>
          <w:rFonts w:ascii="Arial" w:eastAsia="Arial" w:hAnsi="Arial" w:cs="Arial"/>
          <w:sz w:val="18"/>
          <w:szCs w:val="18"/>
        </w:rPr>
        <w:t>the VS Group shall administer the VS Group’s compliance with the health care continuation coverage requirements of COBRA and the corresponding provisions of the VS H&amp;W Plans with respect to Delayed LB Transfer Employees who incur a COBRA “qualifying event”</w:t>
      </w:r>
      <w:r>
        <w:rPr>
          <w:rFonts w:ascii="Arial" w:eastAsia="Arial" w:hAnsi="Arial" w:cs="Arial"/>
          <w:sz w:val="18"/>
          <w:szCs w:val="18"/>
        </w:rPr>
        <w:t xml:space="preserve"> occurring before the applicable Delayed Transfer Date; </w:t>
      </w:r>
      <w:r>
        <w:rPr>
          <w:rFonts w:ascii="Arial" w:eastAsia="Arial" w:hAnsi="Arial" w:cs="Arial"/>
          <w:i/>
          <w:iCs/>
          <w:sz w:val="18"/>
          <w:szCs w:val="18"/>
        </w:rPr>
        <w:t>provided</w:t>
      </w:r>
      <w:r>
        <w:rPr>
          <w:rFonts w:ascii="Arial" w:eastAsia="Arial" w:hAnsi="Arial" w:cs="Arial"/>
          <w:sz w:val="18"/>
          <w:szCs w:val="18"/>
        </w:rPr>
        <w:t>, that, for the avoidance of doubt, any Liabilities related thereto shall constitute VS Assumed Employee Liabilities. L Brands shall be solely responsible for all Liabilities incurred pursuant</w:t>
      </w:r>
      <w:r>
        <w:rPr>
          <w:rFonts w:ascii="Arial" w:eastAsia="Arial" w:hAnsi="Arial" w:cs="Arial"/>
          <w:sz w:val="18"/>
          <w:szCs w:val="18"/>
        </w:rPr>
        <w:t xml:space="preserve"> to COBRA and for administering, at L Brands’ expense, compliance with the health care continuation coverage requirements of COBRA and the corresponding provisions of the L Brands H&amp;W Plans with respect to Delayed LB Transfer Employees who incur a COBRA “q</w:t>
      </w:r>
      <w:r>
        <w:rPr>
          <w:rFonts w:ascii="Arial" w:eastAsia="Arial" w:hAnsi="Arial" w:cs="Arial"/>
          <w:sz w:val="18"/>
          <w:szCs w:val="18"/>
        </w:rPr>
        <w:t>ualifying event” that occurs at any time on or after the applicable Delayed Transfer Date.</w:t>
      </w:r>
    </w:p>
    <w:p w14:paraId="6CED1341" w14:textId="77777777" w:rsidR="00D1587D" w:rsidRDefault="00D1587D">
      <w:pPr>
        <w:spacing w:line="194" w:lineRule="exact"/>
        <w:rPr>
          <w:rFonts w:ascii="Arial" w:eastAsia="Arial" w:hAnsi="Arial" w:cs="Arial"/>
          <w:sz w:val="18"/>
          <w:szCs w:val="18"/>
        </w:rPr>
      </w:pPr>
    </w:p>
    <w:p w14:paraId="5E089F1F" w14:textId="77777777" w:rsidR="00D1587D" w:rsidRDefault="00410D07">
      <w:pPr>
        <w:numPr>
          <w:ilvl w:val="0"/>
          <w:numId w:val="169"/>
        </w:numPr>
        <w:tabs>
          <w:tab w:val="left" w:pos="1141"/>
        </w:tabs>
        <w:spacing w:line="263" w:lineRule="auto"/>
        <w:ind w:firstLine="656"/>
        <w:jc w:val="both"/>
        <w:rPr>
          <w:rFonts w:ascii="Arial" w:eastAsia="Arial" w:hAnsi="Arial" w:cs="Arial"/>
          <w:sz w:val="18"/>
          <w:szCs w:val="18"/>
        </w:rPr>
      </w:pPr>
      <w:r>
        <w:rPr>
          <w:rFonts w:ascii="Arial" w:eastAsia="Arial" w:hAnsi="Arial" w:cs="Arial"/>
          <w:sz w:val="18"/>
          <w:szCs w:val="18"/>
        </w:rPr>
        <w:t>The Parties intend and agree that neither the Distribution, nor any assignment or transfer of the employment or services of any employee or individual independent c</w:t>
      </w:r>
      <w:r>
        <w:rPr>
          <w:rFonts w:ascii="Arial" w:eastAsia="Arial" w:hAnsi="Arial" w:cs="Arial"/>
          <w:sz w:val="18"/>
          <w:szCs w:val="18"/>
        </w:rPr>
        <w:t>ontractor prior to the Distribution Date as contemplated under this Agreement, shall constitute a COBRA “qualifying event” for any purpose of COBRA, and the Parties shall cooperate in good faith to give effect to such intent.</w:t>
      </w:r>
    </w:p>
    <w:p w14:paraId="0BCD4181" w14:textId="77777777" w:rsidR="00D1587D" w:rsidRDefault="00D1587D">
      <w:pPr>
        <w:spacing w:line="355" w:lineRule="exact"/>
        <w:rPr>
          <w:sz w:val="20"/>
          <w:szCs w:val="20"/>
        </w:rPr>
      </w:pPr>
    </w:p>
    <w:p w14:paraId="5C56B226" w14:textId="77777777" w:rsidR="00D1587D" w:rsidRDefault="00410D07">
      <w:pPr>
        <w:jc w:val="center"/>
        <w:rPr>
          <w:sz w:val="20"/>
          <w:szCs w:val="20"/>
        </w:rPr>
      </w:pPr>
      <w:r>
        <w:rPr>
          <w:rFonts w:ascii="Arial" w:eastAsia="Arial" w:hAnsi="Arial" w:cs="Arial"/>
          <w:sz w:val="14"/>
          <w:szCs w:val="14"/>
        </w:rPr>
        <w:t>28</w:t>
      </w:r>
    </w:p>
    <w:p w14:paraId="04FD562B" w14:textId="77777777" w:rsidR="00D1587D" w:rsidRDefault="00410D07">
      <w:pPr>
        <w:spacing w:line="20" w:lineRule="exact"/>
        <w:rPr>
          <w:sz w:val="20"/>
          <w:szCs w:val="20"/>
        </w:rPr>
      </w:pPr>
      <w:r>
        <w:rPr>
          <w:noProof/>
          <w:sz w:val="20"/>
          <w:szCs w:val="20"/>
        </w:rPr>
        <w:drawing>
          <wp:anchor distT="0" distB="0" distL="114300" distR="114300" simplePos="0" relativeHeight="251357184" behindDoc="1" locked="0" layoutInCell="0" allowOverlap="1" wp14:anchorId="105C1C15" wp14:editId="38AE136B">
            <wp:simplePos x="0" y="0"/>
            <wp:positionH relativeFrom="column">
              <wp:posOffset>5080</wp:posOffset>
            </wp:positionH>
            <wp:positionV relativeFrom="paragraph">
              <wp:posOffset>38100</wp:posOffset>
            </wp:positionV>
            <wp:extent cx="7132320" cy="1714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5DF547D" w14:textId="77777777" w:rsidR="00D1587D" w:rsidRDefault="00D1587D">
      <w:pPr>
        <w:sectPr w:rsidR="00D1587D">
          <w:pgSz w:w="11900" w:h="16838"/>
          <w:pgMar w:top="125" w:right="339" w:bottom="1440" w:left="320" w:header="0" w:footer="0" w:gutter="0"/>
          <w:cols w:space="720" w:equalWidth="0">
            <w:col w:w="11240"/>
          </w:cols>
        </w:sectPr>
      </w:pPr>
    </w:p>
    <w:p w14:paraId="63B900F8" w14:textId="77777777" w:rsidR="00D1587D" w:rsidRDefault="00410D07">
      <w:pPr>
        <w:jc w:val="center"/>
        <w:rPr>
          <w:sz w:val="20"/>
          <w:szCs w:val="20"/>
        </w:rPr>
      </w:pPr>
      <w:bookmarkStart w:id="199" w:name="page200"/>
      <w:bookmarkEnd w:id="199"/>
      <w:r>
        <w:rPr>
          <w:rFonts w:ascii="Arial" w:eastAsia="Arial" w:hAnsi="Arial" w:cs="Arial"/>
          <w:sz w:val="18"/>
          <w:szCs w:val="18"/>
        </w:rPr>
        <w:t>ARTI</w:t>
      </w:r>
      <w:r>
        <w:rPr>
          <w:rFonts w:ascii="Arial" w:eastAsia="Arial" w:hAnsi="Arial" w:cs="Arial"/>
          <w:sz w:val="18"/>
          <w:szCs w:val="18"/>
        </w:rPr>
        <w:t>CLE 7</w:t>
      </w:r>
    </w:p>
    <w:p w14:paraId="4B6727D3" w14:textId="77777777" w:rsidR="00D1587D" w:rsidRDefault="00D1587D">
      <w:pPr>
        <w:spacing w:line="23" w:lineRule="exact"/>
        <w:rPr>
          <w:sz w:val="20"/>
          <w:szCs w:val="20"/>
        </w:rPr>
      </w:pPr>
    </w:p>
    <w:p w14:paraId="4F6F9B8C" w14:textId="77777777" w:rsidR="00D1587D" w:rsidRDefault="00410D07">
      <w:pPr>
        <w:jc w:val="center"/>
        <w:rPr>
          <w:sz w:val="20"/>
          <w:szCs w:val="20"/>
        </w:rPr>
      </w:pPr>
      <w:r>
        <w:rPr>
          <w:rFonts w:ascii="Arial" w:eastAsia="Arial" w:hAnsi="Arial" w:cs="Arial"/>
          <w:sz w:val="18"/>
          <w:szCs w:val="18"/>
        </w:rPr>
        <w:t>C</w:t>
      </w:r>
      <w:r>
        <w:rPr>
          <w:rFonts w:ascii="Arial" w:eastAsia="Arial" w:hAnsi="Arial" w:cs="Arial"/>
          <w:sz w:val="12"/>
          <w:szCs w:val="12"/>
        </w:rPr>
        <w:t>ASH</w:t>
      </w:r>
      <w:r>
        <w:rPr>
          <w:rFonts w:ascii="Arial" w:eastAsia="Arial" w:hAnsi="Arial" w:cs="Arial"/>
          <w:sz w:val="18"/>
          <w:szCs w:val="18"/>
        </w:rPr>
        <w:t xml:space="preserve"> I</w:t>
      </w:r>
      <w:r>
        <w:rPr>
          <w:rFonts w:ascii="Arial" w:eastAsia="Arial" w:hAnsi="Arial" w:cs="Arial"/>
          <w:sz w:val="12"/>
          <w:szCs w:val="12"/>
        </w:rPr>
        <w:t>NCENTIVE AND</w:t>
      </w:r>
      <w:r>
        <w:rPr>
          <w:rFonts w:ascii="Arial" w:eastAsia="Arial" w:hAnsi="Arial" w:cs="Arial"/>
          <w:sz w:val="18"/>
          <w:szCs w:val="18"/>
        </w:rPr>
        <w:t xml:space="preserve"> R</w:t>
      </w:r>
      <w:r>
        <w:rPr>
          <w:rFonts w:ascii="Arial" w:eastAsia="Arial" w:hAnsi="Arial" w:cs="Arial"/>
          <w:sz w:val="12"/>
          <w:szCs w:val="12"/>
        </w:rPr>
        <w:t>ETENTION</w:t>
      </w:r>
      <w:r>
        <w:rPr>
          <w:rFonts w:ascii="Arial" w:eastAsia="Arial" w:hAnsi="Arial" w:cs="Arial"/>
          <w:sz w:val="18"/>
          <w:szCs w:val="18"/>
        </w:rPr>
        <w:t xml:space="preserve"> C</w:t>
      </w:r>
      <w:r>
        <w:rPr>
          <w:rFonts w:ascii="Arial" w:eastAsia="Arial" w:hAnsi="Arial" w:cs="Arial"/>
          <w:sz w:val="12"/>
          <w:szCs w:val="12"/>
        </w:rPr>
        <w:t>OMPENSATION</w:t>
      </w:r>
    </w:p>
    <w:p w14:paraId="07AF3828" w14:textId="77777777" w:rsidR="00D1587D" w:rsidRDefault="00D1587D">
      <w:pPr>
        <w:spacing w:line="211" w:lineRule="exact"/>
        <w:rPr>
          <w:sz w:val="20"/>
          <w:szCs w:val="20"/>
        </w:rPr>
      </w:pPr>
    </w:p>
    <w:p w14:paraId="680A1864" w14:textId="77777777" w:rsidR="00D1587D" w:rsidRDefault="00410D07">
      <w:pPr>
        <w:ind w:left="660"/>
        <w:rPr>
          <w:sz w:val="20"/>
          <w:szCs w:val="20"/>
        </w:rPr>
      </w:pPr>
      <w:r>
        <w:rPr>
          <w:rFonts w:ascii="Arial" w:eastAsia="Arial" w:hAnsi="Arial" w:cs="Arial"/>
          <w:sz w:val="18"/>
          <w:szCs w:val="18"/>
        </w:rPr>
        <w:t xml:space="preserve">Section 7.01.  </w:t>
      </w:r>
      <w:r>
        <w:rPr>
          <w:rFonts w:ascii="Arial" w:eastAsia="Arial" w:hAnsi="Arial" w:cs="Arial"/>
          <w:i/>
          <w:iCs/>
          <w:sz w:val="18"/>
          <w:szCs w:val="18"/>
        </w:rPr>
        <w:t>L Brands Cash Bonus Plans</w:t>
      </w:r>
      <w:r>
        <w:rPr>
          <w:rFonts w:ascii="Arial" w:eastAsia="Arial" w:hAnsi="Arial" w:cs="Arial"/>
          <w:sz w:val="18"/>
          <w:szCs w:val="18"/>
        </w:rPr>
        <w:t>.</w:t>
      </w:r>
    </w:p>
    <w:p w14:paraId="6656A791" w14:textId="77777777" w:rsidR="00D1587D" w:rsidRDefault="00D1587D">
      <w:pPr>
        <w:spacing w:line="225" w:lineRule="exact"/>
        <w:rPr>
          <w:sz w:val="20"/>
          <w:szCs w:val="20"/>
        </w:rPr>
      </w:pPr>
    </w:p>
    <w:p w14:paraId="25674D74" w14:textId="77777777" w:rsidR="00D1587D" w:rsidRDefault="00410D07">
      <w:pPr>
        <w:numPr>
          <w:ilvl w:val="0"/>
          <w:numId w:val="170"/>
        </w:numPr>
        <w:tabs>
          <w:tab w:val="left" w:pos="1118"/>
        </w:tabs>
        <w:spacing w:line="254" w:lineRule="auto"/>
        <w:ind w:firstLine="656"/>
        <w:jc w:val="both"/>
        <w:rPr>
          <w:rFonts w:ascii="Arial" w:eastAsia="Arial" w:hAnsi="Arial" w:cs="Arial"/>
          <w:sz w:val="18"/>
          <w:szCs w:val="18"/>
        </w:rPr>
      </w:pPr>
      <w:r>
        <w:rPr>
          <w:rFonts w:ascii="Arial" w:eastAsia="Arial" w:hAnsi="Arial" w:cs="Arial"/>
          <w:sz w:val="18"/>
          <w:szCs w:val="18"/>
        </w:rPr>
        <w:t xml:space="preserve">Each VS Participant participating in the L Brands 2015 Bonus Plan, with respect to the spring 2021 performance period will remain eligible to receive a cash bonus </w:t>
      </w:r>
      <w:r>
        <w:rPr>
          <w:rFonts w:ascii="Arial" w:eastAsia="Arial" w:hAnsi="Arial" w:cs="Arial"/>
          <w:sz w:val="18"/>
          <w:szCs w:val="18"/>
        </w:rPr>
        <w:t>in respect of such performance period in accordance with the terms of L Brands 2015 Bonus Plan (the “</w:t>
      </w:r>
      <w:r>
        <w:rPr>
          <w:rFonts w:ascii="Arial" w:eastAsia="Arial" w:hAnsi="Arial" w:cs="Arial"/>
          <w:b/>
          <w:bCs/>
          <w:sz w:val="18"/>
          <w:szCs w:val="18"/>
        </w:rPr>
        <w:t>Spring 2021 L Brands</w:t>
      </w:r>
      <w:r>
        <w:rPr>
          <w:rFonts w:ascii="Arial" w:eastAsia="Arial" w:hAnsi="Arial" w:cs="Arial"/>
          <w:sz w:val="18"/>
          <w:szCs w:val="18"/>
        </w:rPr>
        <w:t xml:space="preserve"> </w:t>
      </w:r>
      <w:r>
        <w:rPr>
          <w:rFonts w:ascii="Arial" w:eastAsia="Arial" w:hAnsi="Arial" w:cs="Arial"/>
          <w:b/>
          <w:bCs/>
          <w:sz w:val="18"/>
          <w:szCs w:val="18"/>
        </w:rPr>
        <w:t>Cash Bonuses</w:t>
      </w:r>
      <w:r>
        <w:rPr>
          <w:rFonts w:ascii="Arial" w:eastAsia="Arial" w:hAnsi="Arial" w:cs="Arial"/>
          <w:sz w:val="18"/>
          <w:szCs w:val="18"/>
        </w:rPr>
        <w:t xml:space="preserve">”). Any Spring 2021 L Brands Cash Bonuses payable to VS Participants under the L Brands 2015 Bonus Plan will be paid by </w:t>
      </w:r>
      <w:r>
        <w:rPr>
          <w:rFonts w:ascii="Arial" w:eastAsia="Arial" w:hAnsi="Arial" w:cs="Arial"/>
          <w:sz w:val="18"/>
          <w:szCs w:val="18"/>
        </w:rPr>
        <w:t>VS on behalf</w:t>
      </w:r>
      <w:r>
        <w:rPr>
          <w:rFonts w:ascii="Arial" w:eastAsia="Arial" w:hAnsi="Arial" w:cs="Arial"/>
          <w:b/>
          <w:bCs/>
          <w:sz w:val="18"/>
          <w:szCs w:val="18"/>
        </w:rPr>
        <w:t xml:space="preserve"> </w:t>
      </w:r>
      <w:r>
        <w:rPr>
          <w:rFonts w:ascii="Arial" w:eastAsia="Arial" w:hAnsi="Arial" w:cs="Arial"/>
          <w:sz w:val="18"/>
          <w:szCs w:val="18"/>
        </w:rPr>
        <w:t xml:space="preserve">of L Brands in accordance with the terms of the L Brands 2015 Bonus Plan (including terms relating to the timing of payment); </w:t>
      </w:r>
      <w:r>
        <w:rPr>
          <w:rFonts w:ascii="Arial" w:eastAsia="Arial" w:hAnsi="Arial" w:cs="Arial"/>
          <w:i/>
          <w:iCs/>
          <w:sz w:val="18"/>
          <w:szCs w:val="18"/>
        </w:rPr>
        <w:t>provided</w:t>
      </w:r>
      <w:r>
        <w:rPr>
          <w:rFonts w:ascii="Arial" w:eastAsia="Arial" w:hAnsi="Arial" w:cs="Arial"/>
          <w:sz w:val="18"/>
          <w:szCs w:val="18"/>
        </w:rPr>
        <w:t xml:space="preserve"> that (i) the L Brands Compensation Committee may, in its discretion, adjust the applicable performance condi</w:t>
      </w:r>
      <w:r>
        <w:rPr>
          <w:rFonts w:ascii="Arial" w:eastAsia="Arial" w:hAnsi="Arial" w:cs="Arial"/>
          <w:sz w:val="18"/>
          <w:szCs w:val="18"/>
        </w:rPr>
        <w:t>tions in light of the Distribution and (ii) L Brands will reimburse VS for the Spring 2021 L Brands Cash Bonuses paid by VS to VS Participants under this Section 7.01(a), which such reimbursement amount will constitute an L Brands Retained Employee Liabili</w:t>
      </w:r>
      <w:r>
        <w:rPr>
          <w:rFonts w:ascii="Arial" w:eastAsia="Arial" w:hAnsi="Arial" w:cs="Arial"/>
          <w:sz w:val="18"/>
          <w:szCs w:val="18"/>
        </w:rPr>
        <w:t>ty.</w:t>
      </w:r>
    </w:p>
    <w:p w14:paraId="07132493" w14:textId="77777777" w:rsidR="00D1587D" w:rsidRDefault="00D1587D">
      <w:pPr>
        <w:spacing w:line="194" w:lineRule="exact"/>
        <w:rPr>
          <w:rFonts w:ascii="Arial" w:eastAsia="Arial" w:hAnsi="Arial" w:cs="Arial"/>
          <w:sz w:val="18"/>
          <w:szCs w:val="18"/>
        </w:rPr>
      </w:pPr>
    </w:p>
    <w:p w14:paraId="046ECF2F" w14:textId="77777777" w:rsidR="00D1587D" w:rsidRDefault="00410D07">
      <w:pPr>
        <w:numPr>
          <w:ilvl w:val="0"/>
          <w:numId w:val="170"/>
        </w:numPr>
        <w:tabs>
          <w:tab w:val="left" w:pos="1195"/>
        </w:tabs>
        <w:spacing w:line="271" w:lineRule="auto"/>
        <w:ind w:firstLine="656"/>
        <w:jc w:val="both"/>
        <w:rPr>
          <w:rFonts w:ascii="Arial" w:eastAsia="Arial" w:hAnsi="Arial" w:cs="Arial"/>
          <w:sz w:val="17"/>
          <w:szCs w:val="17"/>
        </w:rPr>
      </w:pPr>
      <w:r>
        <w:rPr>
          <w:rFonts w:ascii="Arial" w:eastAsia="Arial" w:hAnsi="Arial" w:cs="Arial"/>
          <w:sz w:val="17"/>
          <w:szCs w:val="17"/>
        </w:rPr>
        <w:t xml:space="preserve">Each VS Participant participating in any L Brands Bonus Plan other than the L Brands 2015 Bonus Plan with respect to any monthly or quarterly performance period during which the Distribution Date occurs will remain eligible to receive a cash </w:t>
      </w:r>
      <w:r>
        <w:rPr>
          <w:rFonts w:ascii="Arial" w:eastAsia="Arial" w:hAnsi="Arial" w:cs="Arial"/>
          <w:sz w:val="17"/>
          <w:szCs w:val="17"/>
        </w:rPr>
        <w:t>bonus in respect of such applicable monthly or quarterly performance period in accordance with the terms of such L Brands Bonus Plan (the “</w:t>
      </w:r>
      <w:r>
        <w:rPr>
          <w:rFonts w:ascii="Arial" w:eastAsia="Arial" w:hAnsi="Arial" w:cs="Arial"/>
          <w:b/>
          <w:bCs/>
          <w:sz w:val="17"/>
          <w:szCs w:val="17"/>
        </w:rPr>
        <w:t>Other L Brands Cash Bonuses</w:t>
      </w:r>
      <w:r>
        <w:rPr>
          <w:rFonts w:ascii="Arial" w:eastAsia="Arial" w:hAnsi="Arial" w:cs="Arial"/>
          <w:sz w:val="17"/>
          <w:szCs w:val="17"/>
        </w:rPr>
        <w:t>”). Any Other L Brands Cash Bonuses payable to VS Participants under such L Brands Bonus P</w:t>
      </w:r>
      <w:r>
        <w:rPr>
          <w:rFonts w:ascii="Arial" w:eastAsia="Arial" w:hAnsi="Arial" w:cs="Arial"/>
          <w:sz w:val="17"/>
          <w:szCs w:val="17"/>
        </w:rPr>
        <w:t xml:space="preserve">lans for such applicable monthly or quarterly performance period will be paid by VS on behalf of L Brands in accordance with the terms of the applicable L Brands Bonus Plan (including terms relating to the timing of payment); </w:t>
      </w:r>
      <w:r>
        <w:rPr>
          <w:rFonts w:ascii="Arial" w:eastAsia="Arial" w:hAnsi="Arial" w:cs="Arial"/>
          <w:i/>
          <w:iCs/>
          <w:sz w:val="17"/>
          <w:szCs w:val="17"/>
        </w:rPr>
        <w:t>provided</w:t>
      </w:r>
      <w:r>
        <w:rPr>
          <w:rFonts w:ascii="Arial" w:eastAsia="Arial" w:hAnsi="Arial" w:cs="Arial"/>
          <w:sz w:val="17"/>
          <w:szCs w:val="17"/>
        </w:rPr>
        <w:t xml:space="preserve"> that the L Brands Com</w:t>
      </w:r>
      <w:r>
        <w:rPr>
          <w:rFonts w:ascii="Arial" w:eastAsia="Arial" w:hAnsi="Arial" w:cs="Arial"/>
          <w:sz w:val="17"/>
          <w:szCs w:val="17"/>
        </w:rPr>
        <w:t>pensation Committee may, in its discretion, adjust the applicable performance conditions in light of the Distribution. For the avoidance of doubt, unless otherwise mutually agreed by the Parties, L Brands will not be required to reimburse VS for the cost o</w:t>
      </w:r>
      <w:r>
        <w:rPr>
          <w:rFonts w:ascii="Arial" w:eastAsia="Arial" w:hAnsi="Arial" w:cs="Arial"/>
          <w:sz w:val="17"/>
          <w:szCs w:val="17"/>
        </w:rPr>
        <w:t>f such Other L Brands Cash Bonuses paid by VS to VS Participants under this Section 7.01(b).</w:t>
      </w:r>
    </w:p>
    <w:p w14:paraId="2A0EDEE5" w14:textId="77777777" w:rsidR="00D1587D" w:rsidRDefault="00D1587D">
      <w:pPr>
        <w:spacing w:line="178" w:lineRule="exact"/>
        <w:rPr>
          <w:sz w:val="20"/>
          <w:szCs w:val="20"/>
        </w:rPr>
      </w:pPr>
    </w:p>
    <w:p w14:paraId="1789C019" w14:textId="77777777" w:rsidR="00D1587D" w:rsidRDefault="00410D07">
      <w:pPr>
        <w:ind w:left="660"/>
        <w:rPr>
          <w:sz w:val="20"/>
          <w:szCs w:val="20"/>
        </w:rPr>
      </w:pPr>
      <w:r>
        <w:rPr>
          <w:rFonts w:ascii="Arial" w:eastAsia="Arial" w:hAnsi="Arial" w:cs="Arial"/>
          <w:sz w:val="18"/>
          <w:szCs w:val="18"/>
        </w:rPr>
        <w:t xml:space="preserve">Section 7.02.  </w:t>
      </w:r>
      <w:r>
        <w:rPr>
          <w:rFonts w:ascii="Arial" w:eastAsia="Arial" w:hAnsi="Arial" w:cs="Arial"/>
          <w:i/>
          <w:iCs/>
          <w:sz w:val="18"/>
          <w:szCs w:val="18"/>
        </w:rPr>
        <w:t>VS Cash Bonus Plans</w:t>
      </w:r>
      <w:r>
        <w:rPr>
          <w:rFonts w:ascii="Arial" w:eastAsia="Arial" w:hAnsi="Arial" w:cs="Arial"/>
          <w:sz w:val="18"/>
          <w:szCs w:val="18"/>
        </w:rPr>
        <w:t>.</w:t>
      </w:r>
    </w:p>
    <w:p w14:paraId="1A9B4ECF" w14:textId="77777777" w:rsidR="00D1587D" w:rsidRDefault="00D1587D">
      <w:pPr>
        <w:spacing w:line="225" w:lineRule="exact"/>
        <w:rPr>
          <w:sz w:val="20"/>
          <w:szCs w:val="20"/>
        </w:rPr>
      </w:pPr>
    </w:p>
    <w:p w14:paraId="532B18DD" w14:textId="77777777" w:rsidR="00D1587D" w:rsidRDefault="00410D07">
      <w:pPr>
        <w:numPr>
          <w:ilvl w:val="0"/>
          <w:numId w:val="171"/>
        </w:numPr>
        <w:tabs>
          <w:tab w:val="left" w:pos="1145"/>
        </w:tabs>
        <w:spacing w:line="272" w:lineRule="auto"/>
        <w:ind w:firstLine="656"/>
        <w:jc w:val="both"/>
        <w:rPr>
          <w:rFonts w:ascii="Arial" w:eastAsia="Arial" w:hAnsi="Arial" w:cs="Arial"/>
          <w:sz w:val="17"/>
          <w:szCs w:val="17"/>
        </w:rPr>
      </w:pPr>
      <w:r>
        <w:rPr>
          <w:rFonts w:ascii="Arial" w:eastAsia="Arial" w:hAnsi="Arial" w:cs="Arial"/>
          <w:sz w:val="17"/>
          <w:szCs w:val="17"/>
        </w:rPr>
        <w:t>Each VS Participant participating in any VS Plan that is a cash bonus or cash incentive plan, including, for the avoidance of</w:t>
      </w:r>
      <w:r>
        <w:rPr>
          <w:rFonts w:ascii="Arial" w:eastAsia="Arial" w:hAnsi="Arial" w:cs="Arial"/>
          <w:sz w:val="17"/>
          <w:szCs w:val="17"/>
        </w:rPr>
        <w:t xml:space="preserve"> doubt, the VS 2021 Bonus Plan, each Victoria’s Secret Stores, LLC Store Management Fiscal Monthly Incentive Bonus Program and the 2019 RM Bonus and Incentive Program (each, a “</w:t>
      </w:r>
      <w:r>
        <w:rPr>
          <w:rFonts w:ascii="Arial" w:eastAsia="Arial" w:hAnsi="Arial" w:cs="Arial"/>
          <w:b/>
          <w:bCs/>
          <w:sz w:val="17"/>
          <w:szCs w:val="17"/>
        </w:rPr>
        <w:t>VS Bonus Plan</w:t>
      </w:r>
      <w:r>
        <w:rPr>
          <w:rFonts w:ascii="Arial" w:eastAsia="Arial" w:hAnsi="Arial" w:cs="Arial"/>
          <w:sz w:val="17"/>
          <w:szCs w:val="17"/>
        </w:rPr>
        <w:t>”), with respect to any performance period continuing as of the Di</w:t>
      </w:r>
      <w:r>
        <w:rPr>
          <w:rFonts w:ascii="Arial" w:eastAsia="Arial" w:hAnsi="Arial" w:cs="Arial"/>
          <w:sz w:val="17"/>
          <w:szCs w:val="17"/>
        </w:rPr>
        <w:t>stribution Date (or, if applicable, the Delayed Transfer Date) (the “</w:t>
      </w:r>
      <w:r>
        <w:rPr>
          <w:rFonts w:ascii="Arial" w:eastAsia="Arial" w:hAnsi="Arial" w:cs="Arial"/>
          <w:b/>
          <w:bCs/>
          <w:sz w:val="17"/>
          <w:szCs w:val="17"/>
        </w:rPr>
        <w:t>VS Cash Bonuses</w:t>
      </w:r>
      <w:r>
        <w:rPr>
          <w:rFonts w:ascii="Arial" w:eastAsia="Arial" w:hAnsi="Arial" w:cs="Arial"/>
          <w:sz w:val="17"/>
          <w:szCs w:val="17"/>
        </w:rPr>
        <w:t>”) shall accrue service credit for any time the VS Participant is employed by or provides services to any member of the L Brands Group during the applicable performance per</w:t>
      </w:r>
      <w:r>
        <w:rPr>
          <w:rFonts w:ascii="Arial" w:eastAsia="Arial" w:hAnsi="Arial" w:cs="Arial"/>
          <w:sz w:val="17"/>
          <w:szCs w:val="17"/>
        </w:rPr>
        <w:t>iod. Any VS Cash Bonuses payable to VS Participants under such VS Bonus Plans will be paid by VS in accordance with the terms of the applicable VS Bonus Plan (including with respect to the bonuses payable under the VS 2021 Bonus Plan in respect of the fall</w:t>
      </w:r>
      <w:r>
        <w:rPr>
          <w:rFonts w:ascii="Arial" w:eastAsia="Arial" w:hAnsi="Arial" w:cs="Arial"/>
          <w:sz w:val="17"/>
          <w:szCs w:val="17"/>
        </w:rPr>
        <w:t xml:space="preserve"> 2021 performance period), which such amounts shall constitute VS Assumed Employee Liabilities.</w:t>
      </w:r>
    </w:p>
    <w:p w14:paraId="3765C2EF" w14:textId="77777777" w:rsidR="00D1587D" w:rsidRDefault="00D1587D">
      <w:pPr>
        <w:spacing w:line="348" w:lineRule="exact"/>
        <w:rPr>
          <w:sz w:val="20"/>
          <w:szCs w:val="20"/>
        </w:rPr>
      </w:pPr>
    </w:p>
    <w:p w14:paraId="55F40CD6" w14:textId="77777777" w:rsidR="00D1587D" w:rsidRDefault="00410D07">
      <w:pPr>
        <w:jc w:val="center"/>
        <w:rPr>
          <w:sz w:val="20"/>
          <w:szCs w:val="20"/>
        </w:rPr>
      </w:pPr>
      <w:r>
        <w:rPr>
          <w:rFonts w:ascii="Arial" w:eastAsia="Arial" w:hAnsi="Arial" w:cs="Arial"/>
          <w:sz w:val="14"/>
          <w:szCs w:val="14"/>
        </w:rPr>
        <w:t>29</w:t>
      </w:r>
    </w:p>
    <w:p w14:paraId="0E9D488F" w14:textId="77777777" w:rsidR="00D1587D" w:rsidRDefault="00410D07">
      <w:pPr>
        <w:spacing w:line="20" w:lineRule="exact"/>
        <w:rPr>
          <w:sz w:val="20"/>
          <w:szCs w:val="20"/>
        </w:rPr>
      </w:pPr>
      <w:r>
        <w:rPr>
          <w:noProof/>
          <w:sz w:val="20"/>
          <w:szCs w:val="20"/>
        </w:rPr>
        <w:drawing>
          <wp:anchor distT="0" distB="0" distL="114300" distR="114300" simplePos="0" relativeHeight="251358208" behindDoc="1" locked="0" layoutInCell="0" allowOverlap="1" wp14:anchorId="092BB5C8" wp14:editId="6CE97F30">
            <wp:simplePos x="0" y="0"/>
            <wp:positionH relativeFrom="column">
              <wp:posOffset>5080</wp:posOffset>
            </wp:positionH>
            <wp:positionV relativeFrom="paragraph">
              <wp:posOffset>38100</wp:posOffset>
            </wp:positionV>
            <wp:extent cx="7132320" cy="1714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2F54F1F" w14:textId="77777777" w:rsidR="00D1587D" w:rsidRDefault="00D1587D">
      <w:pPr>
        <w:sectPr w:rsidR="00D1587D">
          <w:pgSz w:w="11900" w:h="16838"/>
          <w:pgMar w:top="125" w:right="339" w:bottom="1440" w:left="320" w:header="0" w:footer="0" w:gutter="0"/>
          <w:cols w:space="720" w:equalWidth="0">
            <w:col w:w="11240"/>
          </w:cols>
        </w:sectPr>
      </w:pPr>
    </w:p>
    <w:p w14:paraId="57E92271" w14:textId="77777777" w:rsidR="00D1587D" w:rsidRDefault="00410D07">
      <w:pPr>
        <w:numPr>
          <w:ilvl w:val="0"/>
          <w:numId w:val="172"/>
        </w:numPr>
        <w:tabs>
          <w:tab w:val="left" w:pos="1141"/>
        </w:tabs>
        <w:spacing w:line="259" w:lineRule="auto"/>
        <w:ind w:firstLine="656"/>
        <w:jc w:val="both"/>
        <w:rPr>
          <w:rFonts w:ascii="Arial" w:eastAsia="Arial" w:hAnsi="Arial" w:cs="Arial"/>
          <w:sz w:val="18"/>
          <w:szCs w:val="18"/>
        </w:rPr>
      </w:pPr>
      <w:bookmarkStart w:id="200" w:name="page201"/>
      <w:bookmarkEnd w:id="200"/>
      <w:r>
        <w:rPr>
          <w:rFonts w:ascii="Arial" w:eastAsia="Arial" w:hAnsi="Arial" w:cs="Arial"/>
          <w:sz w:val="18"/>
          <w:szCs w:val="18"/>
        </w:rPr>
        <w:t xml:space="preserve">Each VS Participant participating in any L Brands Bonus Plan as of immediately prior to the Distribution Date (or, in the case of a </w:t>
      </w:r>
      <w:r>
        <w:rPr>
          <w:rFonts w:ascii="Arial" w:eastAsia="Arial" w:hAnsi="Arial" w:cs="Arial"/>
          <w:sz w:val="18"/>
          <w:szCs w:val="18"/>
        </w:rPr>
        <w:t>Delayed VS Transfer Employee, the applicable Delayed Transfer Date), will be eligible to participate in a VS Bonus Plan upon commencement of employment with a member of the VS Group, subject to the terms of such VS Bonus Plan, with respect to the remainder</w:t>
      </w:r>
      <w:r>
        <w:rPr>
          <w:rFonts w:ascii="Arial" w:eastAsia="Arial" w:hAnsi="Arial" w:cs="Arial"/>
          <w:sz w:val="18"/>
          <w:szCs w:val="18"/>
        </w:rPr>
        <w:t xml:space="preserve"> of the applicable performance period during which the Distribution Date (or, if applicable, the Delayed Transfer Date) occurs.</w:t>
      </w:r>
    </w:p>
    <w:p w14:paraId="25DB1C26" w14:textId="77777777" w:rsidR="00D1587D" w:rsidRDefault="00D1587D">
      <w:pPr>
        <w:spacing w:line="186" w:lineRule="exact"/>
        <w:rPr>
          <w:rFonts w:ascii="Arial" w:eastAsia="Arial" w:hAnsi="Arial" w:cs="Arial"/>
          <w:sz w:val="18"/>
          <w:szCs w:val="18"/>
        </w:rPr>
      </w:pPr>
    </w:p>
    <w:p w14:paraId="61D3A223" w14:textId="77777777" w:rsidR="00D1587D" w:rsidRDefault="00410D07">
      <w:pPr>
        <w:numPr>
          <w:ilvl w:val="0"/>
          <w:numId w:val="172"/>
        </w:numPr>
        <w:tabs>
          <w:tab w:val="left" w:pos="1113"/>
        </w:tabs>
        <w:spacing w:line="275" w:lineRule="auto"/>
        <w:ind w:firstLine="656"/>
        <w:jc w:val="both"/>
        <w:rPr>
          <w:rFonts w:ascii="Arial" w:eastAsia="Arial" w:hAnsi="Arial" w:cs="Arial"/>
          <w:sz w:val="17"/>
          <w:szCs w:val="17"/>
        </w:rPr>
      </w:pPr>
      <w:r>
        <w:rPr>
          <w:rFonts w:ascii="Arial" w:eastAsia="Arial" w:hAnsi="Arial" w:cs="Arial"/>
          <w:sz w:val="17"/>
          <w:szCs w:val="17"/>
        </w:rPr>
        <w:t>Without limiting the generality of Section 7.02(b), effective as of the Distribution Date, VS shall establish a VS Bonus Plan (</w:t>
      </w:r>
      <w:r>
        <w:rPr>
          <w:rFonts w:ascii="Arial" w:eastAsia="Arial" w:hAnsi="Arial" w:cs="Arial"/>
          <w:sz w:val="17"/>
          <w:szCs w:val="17"/>
        </w:rPr>
        <w:t>or otherwise permit participation in an existing VS Bonus Plan) for the benefit of each VS Participant (other than a Delayed VS Transfer Employee) participating in any L Brands Bonus Plan as of immediately prior to the Distribution Date for the remainder o</w:t>
      </w:r>
      <w:r>
        <w:rPr>
          <w:rFonts w:ascii="Arial" w:eastAsia="Arial" w:hAnsi="Arial" w:cs="Arial"/>
          <w:sz w:val="17"/>
          <w:szCs w:val="17"/>
        </w:rPr>
        <w:t>f the applicable performance period. As soon as practicable following the Distribution Date, the VS Compensation Committee shall establish the performance targets for the post-Distribution performance period under any such applicable VS Bonus Plans, includ</w:t>
      </w:r>
      <w:r>
        <w:rPr>
          <w:rFonts w:ascii="Arial" w:eastAsia="Arial" w:hAnsi="Arial" w:cs="Arial"/>
          <w:sz w:val="17"/>
          <w:szCs w:val="17"/>
        </w:rPr>
        <w:t>ing the fall 2021 performance period under the VS 2021 Bonus Plan.</w:t>
      </w:r>
    </w:p>
    <w:p w14:paraId="0F000BBC" w14:textId="77777777" w:rsidR="00D1587D" w:rsidRDefault="00D1587D">
      <w:pPr>
        <w:spacing w:line="176" w:lineRule="exact"/>
        <w:rPr>
          <w:sz w:val="20"/>
          <w:szCs w:val="20"/>
        </w:rPr>
      </w:pPr>
    </w:p>
    <w:p w14:paraId="0FCED7CF" w14:textId="77777777" w:rsidR="00D1587D" w:rsidRDefault="00410D07">
      <w:pPr>
        <w:spacing w:line="254" w:lineRule="auto"/>
        <w:ind w:firstLine="648"/>
        <w:jc w:val="both"/>
        <w:rPr>
          <w:sz w:val="20"/>
          <w:szCs w:val="20"/>
        </w:rPr>
      </w:pPr>
      <w:r>
        <w:rPr>
          <w:rFonts w:ascii="Arial" w:eastAsia="Arial" w:hAnsi="Arial" w:cs="Arial"/>
          <w:sz w:val="18"/>
          <w:szCs w:val="18"/>
        </w:rPr>
        <w:t xml:space="preserve">Section 7.03. </w:t>
      </w:r>
      <w:r>
        <w:rPr>
          <w:rFonts w:ascii="Arial" w:eastAsia="Arial" w:hAnsi="Arial" w:cs="Arial"/>
          <w:i/>
          <w:iCs/>
          <w:sz w:val="18"/>
          <w:szCs w:val="18"/>
        </w:rPr>
        <w:t>L Brands 2021 Retention Bonus Program.</w:t>
      </w:r>
      <w:r>
        <w:rPr>
          <w:rFonts w:ascii="Arial" w:eastAsia="Arial" w:hAnsi="Arial" w:cs="Arial"/>
          <w:sz w:val="18"/>
          <w:szCs w:val="18"/>
        </w:rPr>
        <w:t xml:space="preserve"> Each VS Participant who, as of immediately prior to the Distribution Date, is eligible to receive a cash retention bonus that is schedu</w:t>
      </w:r>
      <w:r>
        <w:rPr>
          <w:rFonts w:ascii="Arial" w:eastAsia="Arial" w:hAnsi="Arial" w:cs="Arial"/>
          <w:sz w:val="18"/>
          <w:szCs w:val="18"/>
        </w:rPr>
        <w:t>led to become payable during August 2021 under any L Brands Plan or any employment or retention agreement applicable to such VS Participant (each, an “</w:t>
      </w:r>
      <w:r>
        <w:rPr>
          <w:rFonts w:ascii="Arial" w:eastAsia="Arial" w:hAnsi="Arial" w:cs="Arial"/>
          <w:b/>
          <w:bCs/>
          <w:sz w:val="18"/>
          <w:szCs w:val="18"/>
        </w:rPr>
        <w:t>August 2021 Retention Bonus</w:t>
      </w:r>
      <w:r>
        <w:rPr>
          <w:rFonts w:ascii="Arial" w:eastAsia="Arial" w:hAnsi="Arial" w:cs="Arial"/>
          <w:sz w:val="18"/>
          <w:szCs w:val="18"/>
        </w:rPr>
        <w:t>”), will remain eligible to receive his or her August 2021 Retention Bonus fol</w:t>
      </w:r>
      <w:r>
        <w:rPr>
          <w:rFonts w:ascii="Arial" w:eastAsia="Arial" w:hAnsi="Arial" w:cs="Arial"/>
          <w:sz w:val="18"/>
          <w:szCs w:val="18"/>
        </w:rPr>
        <w:t xml:space="preserve">lowing the Distribution Date in accordance with the terms of the applicable L Brands Plan or employment or retention agreement. Any August 2021 Retention Bonuses that become payable to VS Participants will be paid by VS on behalf of L Brands in accordance </w:t>
      </w:r>
      <w:r>
        <w:rPr>
          <w:rFonts w:ascii="Arial" w:eastAsia="Arial" w:hAnsi="Arial" w:cs="Arial"/>
          <w:sz w:val="18"/>
          <w:szCs w:val="18"/>
        </w:rPr>
        <w:t xml:space="preserve">with the terms of the applicable L Brands Plan or employment or retention agreement (including terms relating to the timing of payment); </w:t>
      </w:r>
      <w:r>
        <w:rPr>
          <w:rFonts w:ascii="Arial" w:eastAsia="Arial" w:hAnsi="Arial" w:cs="Arial"/>
          <w:i/>
          <w:iCs/>
          <w:sz w:val="18"/>
          <w:szCs w:val="18"/>
        </w:rPr>
        <w:t>provided</w:t>
      </w:r>
      <w:r>
        <w:rPr>
          <w:rFonts w:ascii="Arial" w:eastAsia="Arial" w:hAnsi="Arial" w:cs="Arial"/>
          <w:sz w:val="18"/>
          <w:szCs w:val="18"/>
        </w:rPr>
        <w:t xml:space="preserve"> that L Brands will reimburse VS for the aggregate amount of the August 2021 Retention Bonuses paid by VS to VS</w:t>
      </w:r>
      <w:r>
        <w:rPr>
          <w:rFonts w:ascii="Arial" w:eastAsia="Arial" w:hAnsi="Arial" w:cs="Arial"/>
          <w:sz w:val="18"/>
          <w:szCs w:val="18"/>
        </w:rPr>
        <w:t xml:space="preserve"> Participants, which such reimbursement amount will constitute an L Brands Retained Employee Liability.</w:t>
      </w:r>
    </w:p>
    <w:p w14:paraId="0D39CFA2" w14:textId="77777777" w:rsidR="00D1587D" w:rsidRDefault="00D1587D">
      <w:pPr>
        <w:spacing w:line="192" w:lineRule="exact"/>
        <w:rPr>
          <w:sz w:val="20"/>
          <w:szCs w:val="20"/>
        </w:rPr>
      </w:pPr>
    </w:p>
    <w:p w14:paraId="7DDF2C80" w14:textId="77777777" w:rsidR="00D1587D" w:rsidRDefault="00410D07">
      <w:pPr>
        <w:jc w:val="center"/>
        <w:rPr>
          <w:sz w:val="20"/>
          <w:szCs w:val="20"/>
        </w:rPr>
      </w:pPr>
      <w:r>
        <w:rPr>
          <w:rFonts w:ascii="Arial" w:eastAsia="Arial" w:hAnsi="Arial" w:cs="Arial"/>
          <w:sz w:val="18"/>
          <w:szCs w:val="18"/>
        </w:rPr>
        <w:t>ARTICLE 8</w:t>
      </w:r>
    </w:p>
    <w:p w14:paraId="75BB229B" w14:textId="77777777" w:rsidR="00D1587D" w:rsidRDefault="00D1587D">
      <w:pPr>
        <w:spacing w:line="23" w:lineRule="exact"/>
        <w:rPr>
          <w:sz w:val="20"/>
          <w:szCs w:val="20"/>
        </w:rPr>
      </w:pPr>
    </w:p>
    <w:p w14:paraId="272B9B1B" w14:textId="77777777" w:rsidR="00D1587D" w:rsidRDefault="00410D07">
      <w:pPr>
        <w:jc w:val="center"/>
        <w:rPr>
          <w:sz w:val="20"/>
          <w:szCs w:val="20"/>
        </w:rPr>
      </w:pPr>
      <w:r>
        <w:rPr>
          <w:rFonts w:ascii="Arial" w:eastAsia="Arial" w:hAnsi="Arial" w:cs="Arial"/>
          <w:sz w:val="18"/>
          <w:szCs w:val="18"/>
        </w:rPr>
        <w:t>T</w:t>
      </w:r>
      <w:r>
        <w:rPr>
          <w:rFonts w:ascii="Arial" w:eastAsia="Arial" w:hAnsi="Arial" w:cs="Arial"/>
          <w:sz w:val="12"/>
          <w:szCs w:val="12"/>
        </w:rPr>
        <w:t>REATMENT OF</w:t>
      </w:r>
      <w:r>
        <w:rPr>
          <w:rFonts w:ascii="Arial" w:eastAsia="Arial" w:hAnsi="Arial" w:cs="Arial"/>
          <w:sz w:val="18"/>
          <w:szCs w:val="18"/>
        </w:rPr>
        <w:t xml:space="preserve"> O</w:t>
      </w:r>
      <w:r>
        <w:rPr>
          <w:rFonts w:ascii="Arial" w:eastAsia="Arial" w:hAnsi="Arial" w:cs="Arial"/>
          <w:sz w:val="12"/>
          <w:szCs w:val="12"/>
        </w:rPr>
        <w:t>UTSTANDING</w:t>
      </w:r>
      <w:r>
        <w:rPr>
          <w:rFonts w:ascii="Arial" w:eastAsia="Arial" w:hAnsi="Arial" w:cs="Arial"/>
          <w:sz w:val="18"/>
          <w:szCs w:val="18"/>
        </w:rPr>
        <w:t xml:space="preserve"> E</w:t>
      </w:r>
      <w:r>
        <w:rPr>
          <w:rFonts w:ascii="Arial" w:eastAsia="Arial" w:hAnsi="Arial" w:cs="Arial"/>
          <w:sz w:val="12"/>
          <w:szCs w:val="12"/>
        </w:rPr>
        <w:t>QUITY</w:t>
      </w:r>
      <w:r>
        <w:rPr>
          <w:rFonts w:ascii="Arial" w:eastAsia="Arial" w:hAnsi="Arial" w:cs="Arial"/>
          <w:sz w:val="18"/>
          <w:szCs w:val="18"/>
        </w:rPr>
        <w:t xml:space="preserve"> A</w:t>
      </w:r>
      <w:r>
        <w:rPr>
          <w:rFonts w:ascii="Arial" w:eastAsia="Arial" w:hAnsi="Arial" w:cs="Arial"/>
          <w:sz w:val="12"/>
          <w:szCs w:val="12"/>
        </w:rPr>
        <w:t>WARDS</w:t>
      </w:r>
    </w:p>
    <w:p w14:paraId="4EEA2BF5" w14:textId="77777777" w:rsidR="00D1587D" w:rsidRDefault="00D1587D">
      <w:pPr>
        <w:spacing w:line="211" w:lineRule="exact"/>
        <w:rPr>
          <w:sz w:val="20"/>
          <w:szCs w:val="20"/>
        </w:rPr>
      </w:pPr>
    </w:p>
    <w:p w14:paraId="08A524FB" w14:textId="77777777" w:rsidR="00D1587D" w:rsidRDefault="00410D07">
      <w:pPr>
        <w:tabs>
          <w:tab w:val="left" w:pos="1800"/>
        </w:tabs>
        <w:ind w:left="660"/>
        <w:rPr>
          <w:sz w:val="20"/>
          <w:szCs w:val="20"/>
        </w:rPr>
      </w:pPr>
      <w:r>
        <w:rPr>
          <w:rFonts w:ascii="Arial" w:eastAsia="Arial" w:hAnsi="Arial" w:cs="Arial"/>
          <w:sz w:val="18"/>
          <w:szCs w:val="18"/>
        </w:rPr>
        <w:t>Section 8.01.</w:t>
      </w:r>
      <w:r>
        <w:rPr>
          <w:sz w:val="20"/>
          <w:szCs w:val="20"/>
        </w:rPr>
        <w:tab/>
      </w:r>
      <w:r>
        <w:rPr>
          <w:rFonts w:ascii="Arial" w:eastAsia="Arial" w:hAnsi="Arial" w:cs="Arial"/>
          <w:i/>
          <w:iCs/>
          <w:sz w:val="15"/>
          <w:szCs w:val="15"/>
        </w:rPr>
        <w:t>RSUs.</w:t>
      </w:r>
    </w:p>
    <w:p w14:paraId="428875E5" w14:textId="77777777" w:rsidR="00D1587D" w:rsidRDefault="00D1587D">
      <w:pPr>
        <w:spacing w:line="225" w:lineRule="exact"/>
        <w:rPr>
          <w:sz w:val="20"/>
          <w:szCs w:val="20"/>
        </w:rPr>
      </w:pPr>
    </w:p>
    <w:p w14:paraId="081F9B53" w14:textId="77777777" w:rsidR="00D1587D" w:rsidRDefault="00410D07">
      <w:pPr>
        <w:numPr>
          <w:ilvl w:val="0"/>
          <w:numId w:val="173"/>
        </w:numPr>
        <w:tabs>
          <w:tab w:val="left" w:pos="1099"/>
        </w:tabs>
        <w:spacing w:line="273" w:lineRule="auto"/>
        <w:ind w:firstLine="656"/>
        <w:jc w:val="both"/>
        <w:rPr>
          <w:rFonts w:ascii="Arial" w:eastAsia="Arial" w:hAnsi="Arial" w:cs="Arial"/>
          <w:sz w:val="17"/>
          <w:szCs w:val="17"/>
        </w:rPr>
      </w:pPr>
      <w:r>
        <w:rPr>
          <w:rFonts w:ascii="Arial" w:eastAsia="Arial" w:hAnsi="Arial" w:cs="Arial"/>
          <w:sz w:val="17"/>
          <w:szCs w:val="17"/>
        </w:rPr>
        <w:t xml:space="preserve">Effective as of the Distribution Date, each L Brands RSU that is </w:t>
      </w:r>
      <w:r>
        <w:rPr>
          <w:rFonts w:ascii="Arial" w:eastAsia="Arial" w:hAnsi="Arial" w:cs="Arial"/>
          <w:sz w:val="17"/>
          <w:szCs w:val="17"/>
        </w:rPr>
        <w:t>outstanding as of immediately prior to the Distribution Date and held by a VS Participant who is not a Former VS Employee shall be converted into a restricted share unit with respect to VS Common Stock (each, a “</w:t>
      </w:r>
      <w:r>
        <w:rPr>
          <w:rFonts w:ascii="Arial" w:eastAsia="Arial" w:hAnsi="Arial" w:cs="Arial"/>
          <w:b/>
          <w:bCs/>
          <w:sz w:val="17"/>
          <w:szCs w:val="17"/>
        </w:rPr>
        <w:t>VS RSU</w:t>
      </w:r>
      <w:r>
        <w:rPr>
          <w:rFonts w:ascii="Arial" w:eastAsia="Arial" w:hAnsi="Arial" w:cs="Arial"/>
          <w:sz w:val="17"/>
          <w:szCs w:val="17"/>
        </w:rPr>
        <w:t xml:space="preserve">”). The number of shares of VS Common </w:t>
      </w:r>
      <w:r>
        <w:rPr>
          <w:rFonts w:ascii="Arial" w:eastAsia="Arial" w:hAnsi="Arial" w:cs="Arial"/>
          <w:sz w:val="17"/>
          <w:szCs w:val="17"/>
        </w:rPr>
        <w:t>Stock subject to such VS RSU shall be determined by the L Brands Compensation Committee in a manner intended to preserve (and without enlarging) the value of such L Brands RSU by taking into account the relative values of the L Brands Pre-Distribution Stoc</w:t>
      </w:r>
      <w:r>
        <w:rPr>
          <w:rFonts w:ascii="Arial" w:eastAsia="Arial" w:hAnsi="Arial" w:cs="Arial"/>
          <w:sz w:val="17"/>
          <w:szCs w:val="17"/>
        </w:rPr>
        <w:t>k Value and the VS Stock Value. Each such VS RSU shall be subject to the same terms and conditions (including vesting and payment schedules) as applicable to the corresponding L Brands RSU as of immediately prior to the Distribution Date.</w:t>
      </w:r>
    </w:p>
    <w:p w14:paraId="3F967D6B" w14:textId="77777777" w:rsidR="00D1587D" w:rsidRDefault="00D1587D">
      <w:pPr>
        <w:spacing w:line="349" w:lineRule="exact"/>
        <w:rPr>
          <w:sz w:val="20"/>
          <w:szCs w:val="20"/>
        </w:rPr>
      </w:pPr>
    </w:p>
    <w:p w14:paraId="0B56498A" w14:textId="77777777" w:rsidR="00D1587D" w:rsidRDefault="00410D07">
      <w:pPr>
        <w:jc w:val="center"/>
        <w:rPr>
          <w:sz w:val="20"/>
          <w:szCs w:val="20"/>
        </w:rPr>
      </w:pPr>
      <w:r>
        <w:rPr>
          <w:rFonts w:ascii="Arial" w:eastAsia="Arial" w:hAnsi="Arial" w:cs="Arial"/>
          <w:sz w:val="14"/>
          <w:szCs w:val="14"/>
        </w:rPr>
        <w:t>30</w:t>
      </w:r>
    </w:p>
    <w:p w14:paraId="084FFA8B" w14:textId="77777777" w:rsidR="00D1587D" w:rsidRDefault="00410D07">
      <w:pPr>
        <w:spacing w:line="20" w:lineRule="exact"/>
        <w:rPr>
          <w:sz w:val="20"/>
          <w:szCs w:val="20"/>
        </w:rPr>
      </w:pPr>
      <w:r>
        <w:rPr>
          <w:noProof/>
          <w:sz w:val="20"/>
          <w:szCs w:val="20"/>
        </w:rPr>
        <w:drawing>
          <wp:anchor distT="0" distB="0" distL="114300" distR="114300" simplePos="0" relativeHeight="251359232" behindDoc="1" locked="0" layoutInCell="0" allowOverlap="1" wp14:anchorId="54C143DB" wp14:editId="1555064C">
            <wp:simplePos x="0" y="0"/>
            <wp:positionH relativeFrom="column">
              <wp:posOffset>5080</wp:posOffset>
            </wp:positionH>
            <wp:positionV relativeFrom="paragraph">
              <wp:posOffset>38100</wp:posOffset>
            </wp:positionV>
            <wp:extent cx="7132320" cy="1714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F4B5DF1" w14:textId="77777777" w:rsidR="00D1587D" w:rsidRDefault="00D1587D">
      <w:pPr>
        <w:sectPr w:rsidR="00D1587D">
          <w:pgSz w:w="11900" w:h="16838"/>
          <w:pgMar w:top="125" w:right="339" w:bottom="1440" w:left="320" w:header="0" w:footer="0" w:gutter="0"/>
          <w:cols w:space="720" w:equalWidth="0">
            <w:col w:w="11240"/>
          </w:cols>
        </w:sectPr>
      </w:pPr>
    </w:p>
    <w:p w14:paraId="095FD047" w14:textId="77777777" w:rsidR="00D1587D" w:rsidRDefault="00410D07">
      <w:pPr>
        <w:numPr>
          <w:ilvl w:val="0"/>
          <w:numId w:val="174"/>
        </w:numPr>
        <w:tabs>
          <w:tab w:val="left" w:pos="1128"/>
        </w:tabs>
        <w:spacing w:line="293" w:lineRule="auto"/>
        <w:ind w:firstLine="656"/>
        <w:jc w:val="both"/>
        <w:rPr>
          <w:rFonts w:ascii="Arial" w:eastAsia="Arial" w:hAnsi="Arial" w:cs="Arial"/>
          <w:sz w:val="16"/>
          <w:szCs w:val="16"/>
        </w:rPr>
      </w:pPr>
      <w:bookmarkStart w:id="201" w:name="page202"/>
      <w:bookmarkEnd w:id="201"/>
      <w:r>
        <w:rPr>
          <w:rFonts w:ascii="Arial" w:eastAsia="Arial" w:hAnsi="Arial" w:cs="Arial"/>
          <w:sz w:val="16"/>
          <w:szCs w:val="16"/>
        </w:rPr>
        <w:t xml:space="preserve">Effective as of the Distribution Date, each L Brands RSU that is outstanding as of immediately prior to the Distribution Date and held by an L Brands Participant or a Former VS Employee shall be adjusted to reflect the Distribution and </w:t>
      </w:r>
      <w:r>
        <w:rPr>
          <w:rFonts w:ascii="Arial" w:eastAsia="Arial" w:hAnsi="Arial" w:cs="Arial"/>
          <w:sz w:val="16"/>
          <w:szCs w:val="16"/>
        </w:rPr>
        <w:t>become an Adjusted L Brands RSU. The number of shares of L Brands Common Stock subject to such Adjusted L Brands RSU shall be determined by the L Brands Compensation Committee in a manner intended to preserve (and without enlarging) the value of such L Bra</w:t>
      </w:r>
      <w:r>
        <w:rPr>
          <w:rFonts w:ascii="Arial" w:eastAsia="Arial" w:hAnsi="Arial" w:cs="Arial"/>
          <w:sz w:val="16"/>
          <w:szCs w:val="16"/>
        </w:rPr>
        <w:t>nds RSU by taking into account the relative values of the L Brands Pre-Distribution Stock Value and the L Brands Post-Distribution Stock Value. Each such Adjusted L Brands RSU shall be subject to the same terms and conditions (including vesting and payment</w:t>
      </w:r>
      <w:r>
        <w:rPr>
          <w:rFonts w:ascii="Arial" w:eastAsia="Arial" w:hAnsi="Arial" w:cs="Arial"/>
          <w:sz w:val="16"/>
          <w:szCs w:val="16"/>
        </w:rPr>
        <w:t xml:space="preserve"> schedules) as applicable to the corresponding L Brands RSU as of immediately prior to the Distribution Date.</w:t>
      </w:r>
    </w:p>
    <w:p w14:paraId="3BC5F2A9" w14:textId="77777777" w:rsidR="00D1587D" w:rsidRDefault="00D1587D">
      <w:pPr>
        <w:spacing w:line="164" w:lineRule="exact"/>
        <w:rPr>
          <w:sz w:val="20"/>
          <w:szCs w:val="20"/>
        </w:rPr>
      </w:pPr>
    </w:p>
    <w:p w14:paraId="33FB0015" w14:textId="77777777" w:rsidR="00D1587D" w:rsidRDefault="00410D07">
      <w:pPr>
        <w:tabs>
          <w:tab w:val="left" w:pos="1800"/>
        </w:tabs>
        <w:ind w:left="660"/>
        <w:rPr>
          <w:sz w:val="20"/>
          <w:szCs w:val="20"/>
        </w:rPr>
      </w:pPr>
      <w:r>
        <w:rPr>
          <w:rFonts w:ascii="Arial" w:eastAsia="Arial" w:hAnsi="Arial" w:cs="Arial"/>
          <w:sz w:val="18"/>
          <w:szCs w:val="18"/>
        </w:rPr>
        <w:t>Section 8.02.</w:t>
      </w:r>
      <w:r>
        <w:rPr>
          <w:sz w:val="20"/>
          <w:szCs w:val="20"/>
        </w:rPr>
        <w:tab/>
      </w:r>
      <w:r>
        <w:rPr>
          <w:rFonts w:ascii="Arial" w:eastAsia="Arial" w:hAnsi="Arial" w:cs="Arial"/>
          <w:i/>
          <w:iCs/>
          <w:sz w:val="16"/>
          <w:szCs w:val="16"/>
        </w:rPr>
        <w:t>PSUs.</w:t>
      </w:r>
    </w:p>
    <w:p w14:paraId="3F3EF26E" w14:textId="77777777" w:rsidR="00D1587D" w:rsidRDefault="00D1587D">
      <w:pPr>
        <w:spacing w:line="225" w:lineRule="exact"/>
        <w:rPr>
          <w:sz w:val="20"/>
          <w:szCs w:val="20"/>
        </w:rPr>
      </w:pPr>
    </w:p>
    <w:p w14:paraId="6CE746C4" w14:textId="77777777" w:rsidR="00D1587D" w:rsidRDefault="00410D07">
      <w:pPr>
        <w:numPr>
          <w:ilvl w:val="0"/>
          <w:numId w:val="175"/>
        </w:numPr>
        <w:tabs>
          <w:tab w:val="left" w:pos="1145"/>
        </w:tabs>
        <w:spacing w:line="269" w:lineRule="auto"/>
        <w:ind w:firstLine="656"/>
        <w:jc w:val="both"/>
        <w:rPr>
          <w:rFonts w:ascii="Arial" w:eastAsia="Arial" w:hAnsi="Arial" w:cs="Arial"/>
          <w:sz w:val="17"/>
          <w:szCs w:val="17"/>
        </w:rPr>
      </w:pPr>
      <w:r>
        <w:rPr>
          <w:rFonts w:ascii="Arial" w:eastAsia="Arial" w:hAnsi="Arial" w:cs="Arial"/>
          <w:sz w:val="17"/>
          <w:szCs w:val="17"/>
        </w:rPr>
        <w:t xml:space="preserve">Effective as of the Distribution Date, each L Brands PSU that is outstanding as of immediately prior to the </w:t>
      </w:r>
      <w:r>
        <w:rPr>
          <w:rFonts w:ascii="Arial" w:eastAsia="Arial" w:hAnsi="Arial" w:cs="Arial"/>
          <w:sz w:val="17"/>
          <w:szCs w:val="17"/>
        </w:rPr>
        <w:t>Distribution Date and held by a VS Participant who is not a Former VS Employee shall be converted into a performance share unit with respect to VS Common Stock (each, a “</w:t>
      </w:r>
      <w:r>
        <w:rPr>
          <w:rFonts w:ascii="Arial" w:eastAsia="Arial" w:hAnsi="Arial" w:cs="Arial"/>
          <w:b/>
          <w:bCs/>
          <w:sz w:val="17"/>
          <w:szCs w:val="17"/>
        </w:rPr>
        <w:t>VS PSU</w:t>
      </w:r>
      <w:r>
        <w:rPr>
          <w:rFonts w:ascii="Arial" w:eastAsia="Arial" w:hAnsi="Arial" w:cs="Arial"/>
          <w:sz w:val="17"/>
          <w:szCs w:val="17"/>
        </w:rPr>
        <w:t>”). The number of shares of VS Common Stock subject to such VS PSU shall be dete</w:t>
      </w:r>
      <w:r>
        <w:rPr>
          <w:rFonts w:ascii="Arial" w:eastAsia="Arial" w:hAnsi="Arial" w:cs="Arial"/>
          <w:sz w:val="17"/>
          <w:szCs w:val="17"/>
        </w:rPr>
        <w:t xml:space="preserve">rmined by the L Brands Compensation Committee in a manner intended to preserve (and without enlarging) the value of such L Brands PSU by taking into account the relative values of the L Brands Pre-Distribution Stock Value and the VS Stock Value. Each such </w:t>
      </w:r>
      <w:r>
        <w:rPr>
          <w:rFonts w:ascii="Arial" w:eastAsia="Arial" w:hAnsi="Arial" w:cs="Arial"/>
          <w:sz w:val="17"/>
          <w:szCs w:val="17"/>
        </w:rPr>
        <w:t xml:space="preserve">VS PSU shall be subject to the same terms and conditions (including vesting and payment schedules); </w:t>
      </w:r>
      <w:r>
        <w:rPr>
          <w:rFonts w:ascii="Arial" w:eastAsia="Arial" w:hAnsi="Arial" w:cs="Arial"/>
          <w:i/>
          <w:iCs/>
          <w:sz w:val="17"/>
          <w:szCs w:val="17"/>
        </w:rPr>
        <w:t>provided</w:t>
      </w:r>
      <w:r>
        <w:rPr>
          <w:rFonts w:ascii="Arial" w:eastAsia="Arial" w:hAnsi="Arial" w:cs="Arial"/>
          <w:sz w:val="17"/>
          <w:szCs w:val="17"/>
        </w:rPr>
        <w:t xml:space="preserve"> that (i) any such VS PSUs that correspond to L Brands PSUs granted prior to January 30, 2021 shall be deemed to have achieved the applicable perfor</w:t>
      </w:r>
      <w:r>
        <w:rPr>
          <w:rFonts w:ascii="Arial" w:eastAsia="Arial" w:hAnsi="Arial" w:cs="Arial"/>
          <w:sz w:val="17"/>
          <w:szCs w:val="17"/>
        </w:rPr>
        <w:t>mance-based vesting conditions at the target performance level and (ii) any such VS PSUs that correspond to L Brands PSUs granted on or following January 30, 2021 shall remain subject to the applicable performance-based vesting conditions (and applicable t</w:t>
      </w:r>
      <w:r>
        <w:rPr>
          <w:rFonts w:ascii="Arial" w:eastAsia="Arial" w:hAnsi="Arial" w:cs="Arial"/>
          <w:sz w:val="17"/>
          <w:szCs w:val="17"/>
        </w:rPr>
        <w:t>hreshold, target and maximum performance payout levels) as were applicable to the corresponding L Brands PSUs as of immediately prior to the Distribution Date (subject to adjustment by the VS Compensation Committee following the Distribution Date in its di</w:t>
      </w:r>
      <w:r>
        <w:rPr>
          <w:rFonts w:ascii="Arial" w:eastAsia="Arial" w:hAnsi="Arial" w:cs="Arial"/>
          <w:sz w:val="17"/>
          <w:szCs w:val="17"/>
        </w:rPr>
        <w:t>scretion to reflect the Distribution in accordance with the terms of the applicable VS Equity Plan and the applicable award agreement thereunder).</w:t>
      </w:r>
    </w:p>
    <w:p w14:paraId="7F92C11D" w14:textId="77777777" w:rsidR="00D1587D" w:rsidRDefault="00D1587D">
      <w:pPr>
        <w:spacing w:line="181" w:lineRule="exact"/>
        <w:rPr>
          <w:rFonts w:ascii="Arial" w:eastAsia="Arial" w:hAnsi="Arial" w:cs="Arial"/>
          <w:sz w:val="17"/>
          <w:szCs w:val="17"/>
        </w:rPr>
      </w:pPr>
    </w:p>
    <w:p w14:paraId="3C0775BD" w14:textId="77777777" w:rsidR="00D1587D" w:rsidRDefault="00410D07">
      <w:pPr>
        <w:numPr>
          <w:ilvl w:val="0"/>
          <w:numId w:val="175"/>
        </w:numPr>
        <w:tabs>
          <w:tab w:val="left" w:pos="1128"/>
        </w:tabs>
        <w:spacing w:line="271" w:lineRule="auto"/>
        <w:ind w:firstLine="656"/>
        <w:jc w:val="both"/>
        <w:rPr>
          <w:rFonts w:ascii="Arial" w:eastAsia="Arial" w:hAnsi="Arial" w:cs="Arial"/>
          <w:sz w:val="17"/>
          <w:szCs w:val="17"/>
        </w:rPr>
      </w:pPr>
      <w:r>
        <w:rPr>
          <w:rFonts w:ascii="Arial" w:eastAsia="Arial" w:hAnsi="Arial" w:cs="Arial"/>
          <w:sz w:val="17"/>
          <w:szCs w:val="17"/>
        </w:rPr>
        <w:t>Effective as of the Distribution Date, each L Brands PSU that is outstanding as of immediately prior to the Distribution Date and held by an L Brands Participant or a Former VS Employee shall be adjusted to reflect the Distribution and become an Adjusted L</w:t>
      </w:r>
      <w:r>
        <w:rPr>
          <w:rFonts w:ascii="Arial" w:eastAsia="Arial" w:hAnsi="Arial" w:cs="Arial"/>
          <w:sz w:val="17"/>
          <w:szCs w:val="17"/>
        </w:rPr>
        <w:t xml:space="preserve"> Brands PSU. The number of shares of L Brands Common Stock subject to such Adjusted L Brands PSU shall be determined by the L Brands Compensation Committee in a manner intended to preserve (and without enlarging) the value of such L Brands PSU by taking in</w:t>
      </w:r>
      <w:r>
        <w:rPr>
          <w:rFonts w:ascii="Arial" w:eastAsia="Arial" w:hAnsi="Arial" w:cs="Arial"/>
          <w:sz w:val="17"/>
          <w:szCs w:val="17"/>
        </w:rPr>
        <w:t>to account the relative values of the L Brands Pre-Distribution Stock Value and the L Brands Post-Distribution Stock Value. Each such Adjusted L Brands PSU shall be subject to the same terms and conditions (including vesting and payment schedules) as appli</w:t>
      </w:r>
      <w:r>
        <w:rPr>
          <w:rFonts w:ascii="Arial" w:eastAsia="Arial" w:hAnsi="Arial" w:cs="Arial"/>
          <w:sz w:val="17"/>
          <w:szCs w:val="17"/>
        </w:rPr>
        <w:t xml:space="preserve">cable to the corresponding L Brands PSU as of immediately prior to the Distribution Date; </w:t>
      </w:r>
      <w:r>
        <w:rPr>
          <w:rFonts w:ascii="Arial" w:eastAsia="Arial" w:hAnsi="Arial" w:cs="Arial"/>
          <w:i/>
          <w:iCs/>
          <w:sz w:val="17"/>
          <w:szCs w:val="17"/>
        </w:rPr>
        <w:t>provided</w:t>
      </w:r>
      <w:r>
        <w:rPr>
          <w:rFonts w:ascii="Arial" w:eastAsia="Arial" w:hAnsi="Arial" w:cs="Arial"/>
          <w:sz w:val="17"/>
          <w:szCs w:val="17"/>
        </w:rPr>
        <w:t xml:space="preserve"> that, in the sole discretion of the L Brands Compensation Committee, the performance-based metrics underlying each such Adjusted L Brands PSU may be adjusted</w:t>
      </w:r>
      <w:r>
        <w:rPr>
          <w:rFonts w:ascii="Arial" w:eastAsia="Arial" w:hAnsi="Arial" w:cs="Arial"/>
          <w:sz w:val="17"/>
          <w:szCs w:val="17"/>
        </w:rPr>
        <w:t>, as determined by the L Brands Compensation Committee, to reflect the Distribution.</w:t>
      </w:r>
    </w:p>
    <w:p w14:paraId="053CA569" w14:textId="77777777" w:rsidR="00D1587D" w:rsidRDefault="00D1587D">
      <w:pPr>
        <w:spacing w:line="349" w:lineRule="exact"/>
        <w:rPr>
          <w:sz w:val="20"/>
          <w:szCs w:val="20"/>
        </w:rPr>
      </w:pPr>
    </w:p>
    <w:p w14:paraId="02A26725" w14:textId="77777777" w:rsidR="00D1587D" w:rsidRDefault="00410D07">
      <w:pPr>
        <w:jc w:val="center"/>
        <w:rPr>
          <w:sz w:val="20"/>
          <w:szCs w:val="20"/>
        </w:rPr>
      </w:pPr>
      <w:r>
        <w:rPr>
          <w:rFonts w:ascii="Arial" w:eastAsia="Arial" w:hAnsi="Arial" w:cs="Arial"/>
          <w:sz w:val="14"/>
          <w:szCs w:val="14"/>
        </w:rPr>
        <w:t>31</w:t>
      </w:r>
    </w:p>
    <w:p w14:paraId="2B5B9A2F" w14:textId="77777777" w:rsidR="00D1587D" w:rsidRDefault="00410D07">
      <w:pPr>
        <w:spacing w:line="20" w:lineRule="exact"/>
        <w:rPr>
          <w:sz w:val="20"/>
          <w:szCs w:val="20"/>
        </w:rPr>
      </w:pPr>
      <w:r>
        <w:rPr>
          <w:noProof/>
          <w:sz w:val="20"/>
          <w:szCs w:val="20"/>
        </w:rPr>
        <w:drawing>
          <wp:anchor distT="0" distB="0" distL="114300" distR="114300" simplePos="0" relativeHeight="251360256" behindDoc="1" locked="0" layoutInCell="0" allowOverlap="1" wp14:anchorId="79DF4E00" wp14:editId="06C03F47">
            <wp:simplePos x="0" y="0"/>
            <wp:positionH relativeFrom="column">
              <wp:posOffset>5080</wp:posOffset>
            </wp:positionH>
            <wp:positionV relativeFrom="paragraph">
              <wp:posOffset>38100</wp:posOffset>
            </wp:positionV>
            <wp:extent cx="7132320" cy="1714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436C933" w14:textId="77777777" w:rsidR="00D1587D" w:rsidRDefault="00D1587D">
      <w:pPr>
        <w:sectPr w:rsidR="00D1587D">
          <w:pgSz w:w="11900" w:h="16838"/>
          <w:pgMar w:top="125" w:right="339" w:bottom="1440" w:left="320" w:header="0" w:footer="0" w:gutter="0"/>
          <w:cols w:space="720" w:equalWidth="0">
            <w:col w:w="11240"/>
          </w:cols>
        </w:sectPr>
      </w:pPr>
    </w:p>
    <w:p w14:paraId="74D1AF59" w14:textId="77777777" w:rsidR="00D1587D" w:rsidRDefault="00410D07">
      <w:pPr>
        <w:tabs>
          <w:tab w:val="left" w:pos="1800"/>
        </w:tabs>
        <w:ind w:left="660"/>
        <w:rPr>
          <w:sz w:val="20"/>
          <w:szCs w:val="20"/>
        </w:rPr>
      </w:pPr>
      <w:bookmarkStart w:id="202" w:name="page203"/>
      <w:bookmarkEnd w:id="202"/>
      <w:r>
        <w:rPr>
          <w:rFonts w:ascii="Arial" w:eastAsia="Arial" w:hAnsi="Arial" w:cs="Arial"/>
          <w:sz w:val="18"/>
          <w:szCs w:val="18"/>
        </w:rPr>
        <w:t>Section 8.03.</w:t>
      </w:r>
      <w:r>
        <w:rPr>
          <w:sz w:val="20"/>
          <w:szCs w:val="20"/>
        </w:rPr>
        <w:tab/>
      </w:r>
      <w:r>
        <w:rPr>
          <w:rFonts w:ascii="Arial" w:eastAsia="Arial" w:hAnsi="Arial" w:cs="Arial"/>
          <w:i/>
          <w:iCs/>
          <w:sz w:val="16"/>
          <w:szCs w:val="16"/>
        </w:rPr>
        <w:t>Stock Options.</w:t>
      </w:r>
    </w:p>
    <w:p w14:paraId="2B40D30F" w14:textId="77777777" w:rsidR="00D1587D" w:rsidRDefault="00D1587D">
      <w:pPr>
        <w:spacing w:line="225" w:lineRule="exact"/>
        <w:rPr>
          <w:sz w:val="20"/>
          <w:szCs w:val="20"/>
        </w:rPr>
      </w:pPr>
    </w:p>
    <w:p w14:paraId="70EDA550" w14:textId="77777777" w:rsidR="00D1587D" w:rsidRDefault="00410D07">
      <w:pPr>
        <w:numPr>
          <w:ilvl w:val="0"/>
          <w:numId w:val="176"/>
        </w:numPr>
        <w:tabs>
          <w:tab w:val="left" w:pos="1145"/>
        </w:tabs>
        <w:spacing w:line="291" w:lineRule="auto"/>
        <w:ind w:firstLine="656"/>
        <w:jc w:val="both"/>
        <w:rPr>
          <w:rFonts w:ascii="Arial" w:eastAsia="Arial" w:hAnsi="Arial" w:cs="Arial"/>
          <w:sz w:val="16"/>
          <w:szCs w:val="16"/>
        </w:rPr>
      </w:pPr>
      <w:r>
        <w:rPr>
          <w:rFonts w:ascii="Arial" w:eastAsia="Arial" w:hAnsi="Arial" w:cs="Arial"/>
          <w:sz w:val="16"/>
          <w:szCs w:val="16"/>
        </w:rPr>
        <w:t xml:space="preserve">Effective as of the Distribution Date, each L Brands Option (whether vested or unvested) that is outstanding as of </w:t>
      </w:r>
      <w:r>
        <w:rPr>
          <w:rFonts w:ascii="Arial" w:eastAsia="Arial" w:hAnsi="Arial" w:cs="Arial"/>
          <w:sz w:val="16"/>
          <w:szCs w:val="16"/>
        </w:rPr>
        <w:t>immediately prior to the Distribution Date and held by a VS Participant who is not a Former VS Employee shall be converted into an option to acquire VS Common Stock (each, a “</w:t>
      </w:r>
      <w:r>
        <w:rPr>
          <w:rFonts w:ascii="Arial" w:eastAsia="Arial" w:hAnsi="Arial" w:cs="Arial"/>
          <w:b/>
          <w:bCs/>
          <w:sz w:val="16"/>
          <w:szCs w:val="16"/>
        </w:rPr>
        <w:t>VS Option</w:t>
      </w:r>
      <w:r>
        <w:rPr>
          <w:rFonts w:ascii="Arial" w:eastAsia="Arial" w:hAnsi="Arial" w:cs="Arial"/>
          <w:sz w:val="16"/>
          <w:szCs w:val="16"/>
        </w:rPr>
        <w:t>”) and shall be subject to the same terms and conditions (including vest</w:t>
      </w:r>
      <w:r>
        <w:rPr>
          <w:rFonts w:ascii="Arial" w:eastAsia="Arial" w:hAnsi="Arial" w:cs="Arial"/>
          <w:sz w:val="16"/>
          <w:szCs w:val="16"/>
        </w:rPr>
        <w:t xml:space="preserve">ing) as applicable to the corresponding L Brands Option as of immediately prior to the Distribution Date; </w:t>
      </w:r>
      <w:r>
        <w:rPr>
          <w:rFonts w:ascii="Arial" w:eastAsia="Arial" w:hAnsi="Arial" w:cs="Arial"/>
          <w:i/>
          <w:iCs/>
          <w:sz w:val="16"/>
          <w:szCs w:val="16"/>
        </w:rPr>
        <w:t>provided</w:t>
      </w:r>
      <w:r>
        <w:rPr>
          <w:rFonts w:ascii="Arial" w:eastAsia="Arial" w:hAnsi="Arial" w:cs="Arial"/>
          <w:sz w:val="16"/>
          <w:szCs w:val="16"/>
        </w:rPr>
        <w:t xml:space="preserve">, that from and after the Distribution Date, the number of shares of VS Common Stock subject to, and the exercise price per share of, such VS </w:t>
      </w:r>
      <w:r>
        <w:rPr>
          <w:rFonts w:ascii="Arial" w:eastAsia="Arial" w:hAnsi="Arial" w:cs="Arial"/>
          <w:sz w:val="16"/>
          <w:szCs w:val="16"/>
        </w:rPr>
        <w:t>Option shall be determined by the L Brands Compensation Committee in a manner consistent with Section 409A of the Code and intended to preserve (and without enlarging) the value of such L Brands Option by taking into account (i) the exercise price per shar</w:t>
      </w:r>
      <w:r>
        <w:rPr>
          <w:rFonts w:ascii="Arial" w:eastAsia="Arial" w:hAnsi="Arial" w:cs="Arial"/>
          <w:sz w:val="16"/>
          <w:szCs w:val="16"/>
        </w:rPr>
        <w:t>e of such L Brands Option and (ii) the relative values of the L Brands Pre-Distribution Stock Value and the VS Stock Value.</w:t>
      </w:r>
    </w:p>
    <w:p w14:paraId="67EBD71C" w14:textId="77777777" w:rsidR="00D1587D" w:rsidRDefault="00D1587D">
      <w:pPr>
        <w:spacing w:line="166" w:lineRule="exact"/>
        <w:rPr>
          <w:rFonts w:ascii="Arial" w:eastAsia="Arial" w:hAnsi="Arial" w:cs="Arial"/>
          <w:sz w:val="16"/>
          <w:szCs w:val="16"/>
        </w:rPr>
      </w:pPr>
    </w:p>
    <w:p w14:paraId="5DA8407C" w14:textId="77777777" w:rsidR="00D1587D" w:rsidRDefault="00410D07">
      <w:pPr>
        <w:numPr>
          <w:ilvl w:val="0"/>
          <w:numId w:val="176"/>
        </w:numPr>
        <w:tabs>
          <w:tab w:val="left" w:pos="1155"/>
        </w:tabs>
        <w:spacing w:line="291" w:lineRule="auto"/>
        <w:ind w:firstLine="656"/>
        <w:jc w:val="both"/>
        <w:rPr>
          <w:rFonts w:ascii="Arial" w:eastAsia="Arial" w:hAnsi="Arial" w:cs="Arial"/>
          <w:sz w:val="16"/>
          <w:szCs w:val="16"/>
        </w:rPr>
      </w:pPr>
      <w:r>
        <w:rPr>
          <w:rFonts w:ascii="Arial" w:eastAsia="Arial" w:hAnsi="Arial" w:cs="Arial"/>
          <w:sz w:val="16"/>
          <w:szCs w:val="16"/>
        </w:rPr>
        <w:t>Effective as of the Distribution Date, each L Brands Option (whether vested or unvested) that is outstanding as of immediately prio</w:t>
      </w:r>
      <w:r>
        <w:rPr>
          <w:rFonts w:ascii="Arial" w:eastAsia="Arial" w:hAnsi="Arial" w:cs="Arial"/>
          <w:sz w:val="16"/>
          <w:szCs w:val="16"/>
        </w:rPr>
        <w:t>r to the Distribution Date and held by an L Brands Participant or a Former VS Employee shall be adjusted to reflect the Distribution and become an Adjusted L Brands Option. The number of shares of L Brands Common Stock subject to, and the exercise price pe</w:t>
      </w:r>
      <w:r>
        <w:rPr>
          <w:rFonts w:ascii="Arial" w:eastAsia="Arial" w:hAnsi="Arial" w:cs="Arial"/>
          <w:sz w:val="16"/>
          <w:szCs w:val="16"/>
        </w:rPr>
        <w:t>r share of, such Adjusted L Brands Option shall be determined by the L Brands Compensation Committee in a manner consistent with Section 409A of the Code and intended to preserve (and without enlarging) the value of such L Brands Option by taking into acco</w:t>
      </w:r>
      <w:r>
        <w:rPr>
          <w:rFonts w:ascii="Arial" w:eastAsia="Arial" w:hAnsi="Arial" w:cs="Arial"/>
          <w:sz w:val="16"/>
          <w:szCs w:val="16"/>
        </w:rPr>
        <w:t>unt (i) the exercise price per share of such L Brands Option and (ii) the relative values of the L Brands Pre-Distribution Stock Value and the L Brands Post-Distribution Stock Value. Each such Adjusted L Brands Option shall be subject to the same terms and</w:t>
      </w:r>
      <w:r>
        <w:rPr>
          <w:rFonts w:ascii="Arial" w:eastAsia="Arial" w:hAnsi="Arial" w:cs="Arial"/>
          <w:sz w:val="16"/>
          <w:szCs w:val="16"/>
        </w:rPr>
        <w:t xml:space="preserve"> conditions (including vesting) as applicable to the corresponding L Brands Option as of immediately prior to the Distribution Date.</w:t>
      </w:r>
    </w:p>
    <w:p w14:paraId="1ABEC3CB" w14:textId="77777777" w:rsidR="00D1587D" w:rsidRDefault="00D1587D">
      <w:pPr>
        <w:spacing w:line="166" w:lineRule="exact"/>
        <w:rPr>
          <w:rFonts w:ascii="Arial" w:eastAsia="Arial" w:hAnsi="Arial" w:cs="Arial"/>
          <w:sz w:val="16"/>
          <w:szCs w:val="16"/>
        </w:rPr>
      </w:pPr>
    </w:p>
    <w:p w14:paraId="236A080F" w14:textId="77777777" w:rsidR="00D1587D" w:rsidRDefault="00410D07">
      <w:pPr>
        <w:numPr>
          <w:ilvl w:val="0"/>
          <w:numId w:val="176"/>
        </w:numPr>
        <w:tabs>
          <w:tab w:val="left" w:pos="1158"/>
        </w:tabs>
        <w:spacing w:line="263" w:lineRule="auto"/>
        <w:ind w:firstLine="656"/>
        <w:jc w:val="both"/>
        <w:rPr>
          <w:rFonts w:ascii="Arial" w:eastAsia="Arial" w:hAnsi="Arial" w:cs="Arial"/>
          <w:sz w:val="18"/>
          <w:szCs w:val="18"/>
        </w:rPr>
      </w:pPr>
      <w:r>
        <w:rPr>
          <w:rFonts w:ascii="Arial" w:eastAsia="Arial" w:hAnsi="Arial" w:cs="Arial"/>
          <w:sz w:val="18"/>
          <w:szCs w:val="18"/>
        </w:rPr>
        <w:t xml:space="preserve">Notwithstanding anything to the contrary in this Section 8.03, the exercise price, the number of shares of L Brands </w:t>
      </w:r>
      <w:r>
        <w:rPr>
          <w:rFonts w:ascii="Arial" w:eastAsia="Arial" w:hAnsi="Arial" w:cs="Arial"/>
          <w:sz w:val="18"/>
          <w:szCs w:val="18"/>
        </w:rPr>
        <w:t>Common Stock or VS Common Stock, as applicable, and the terms and conditions of exercise applicable to any Adjusted L Brands Option or VS Option, as the case may be, shall be determined in a manner consistent with the requirements of Section 409A of the Co</w:t>
      </w:r>
      <w:r>
        <w:rPr>
          <w:rFonts w:ascii="Arial" w:eastAsia="Arial" w:hAnsi="Arial" w:cs="Arial"/>
          <w:sz w:val="18"/>
          <w:szCs w:val="18"/>
        </w:rPr>
        <w:t>de.</w:t>
      </w:r>
    </w:p>
    <w:p w14:paraId="35C3DB9A" w14:textId="77777777" w:rsidR="00D1587D" w:rsidRDefault="00D1587D">
      <w:pPr>
        <w:spacing w:line="355" w:lineRule="exact"/>
        <w:rPr>
          <w:sz w:val="20"/>
          <w:szCs w:val="20"/>
        </w:rPr>
      </w:pPr>
    </w:p>
    <w:p w14:paraId="35CC669B" w14:textId="77777777" w:rsidR="00D1587D" w:rsidRDefault="00410D07">
      <w:pPr>
        <w:jc w:val="center"/>
        <w:rPr>
          <w:sz w:val="20"/>
          <w:szCs w:val="20"/>
        </w:rPr>
      </w:pPr>
      <w:r>
        <w:rPr>
          <w:rFonts w:ascii="Arial" w:eastAsia="Arial" w:hAnsi="Arial" w:cs="Arial"/>
          <w:sz w:val="14"/>
          <w:szCs w:val="14"/>
        </w:rPr>
        <w:t>32</w:t>
      </w:r>
    </w:p>
    <w:p w14:paraId="7D8922F8" w14:textId="77777777" w:rsidR="00D1587D" w:rsidRDefault="00410D07">
      <w:pPr>
        <w:spacing w:line="20" w:lineRule="exact"/>
        <w:rPr>
          <w:sz w:val="20"/>
          <w:szCs w:val="20"/>
        </w:rPr>
      </w:pPr>
      <w:r>
        <w:rPr>
          <w:noProof/>
          <w:sz w:val="20"/>
          <w:szCs w:val="20"/>
        </w:rPr>
        <w:drawing>
          <wp:anchor distT="0" distB="0" distL="114300" distR="114300" simplePos="0" relativeHeight="251361280" behindDoc="1" locked="0" layoutInCell="0" allowOverlap="1" wp14:anchorId="18484237" wp14:editId="2720ED08">
            <wp:simplePos x="0" y="0"/>
            <wp:positionH relativeFrom="column">
              <wp:posOffset>5080</wp:posOffset>
            </wp:positionH>
            <wp:positionV relativeFrom="paragraph">
              <wp:posOffset>38100</wp:posOffset>
            </wp:positionV>
            <wp:extent cx="7132320" cy="1714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10F7C0F" w14:textId="77777777" w:rsidR="00D1587D" w:rsidRDefault="00D1587D">
      <w:pPr>
        <w:sectPr w:rsidR="00D1587D">
          <w:pgSz w:w="11900" w:h="16838"/>
          <w:pgMar w:top="125" w:right="339" w:bottom="1440" w:left="320" w:header="0" w:footer="0" w:gutter="0"/>
          <w:cols w:space="720" w:equalWidth="0">
            <w:col w:w="11240"/>
          </w:cols>
        </w:sectPr>
      </w:pPr>
    </w:p>
    <w:p w14:paraId="1A16F796" w14:textId="77777777" w:rsidR="00D1587D" w:rsidRDefault="00410D07">
      <w:pPr>
        <w:tabs>
          <w:tab w:val="left" w:pos="1800"/>
        </w:tabs>
        <w:ind w:left="660"/>
        <w:rPr>
          <w:sz w:val="20"/>
          <w:szCs w:val="20"/>
        </w:rPr>
      </w:pPr>
      <w:bookmarkStart w:id="203" w:name="page204"/>
      <w:bookmarkEnd w:id="203"/>
      <w:r>
        <w:rPr>
          <w:rFonts w:ascii="Arial" w:eastAsia="Arial" w:hAnsi="Arial" w:cs="Arial"/>
          <w:sz w:val="18"/>
          <w:szCs w:val="18"/>
        </w:rPr>
        <w:t>Section 8.04.</w:t>
      </w:r>
      <w:r>
        <w:rPr>
          <w:sz w:val="20"/>
          <w:szCs w:val="20"/>
        </w:rPr>
        <w:tab/>
      </w:r>
      <w:r>
        <w:rPr>
          <w:rFonts w:ascii="Arial" w:eastAsia="Arial" w:hAnsi="Arial" w:cs="Arial"/>
          <w:i/>
          <w:iCs/>
          <w:sz w:val="16"/>
          <w:szCs w:val="16"/>
        </w:rPr>
        <w:t>Miscellaneous Terms and Actions; Tax Reporting and Withholding.</w:t>
      </w:r>
    </w:p>
    <w:p w14:paraId="7E24E871" w14:textId="77777777" w:rsidR="00D1587D" w:rsidRDefault="00D1587D">
      <w:pPr>
        <w:spacing w:line="225" w:lineRule="exact"/>
        <w:rPr>
          <w:sz w:val="20"/>
          <w:szCs w:val="20"/>
        </w:rPr>
      </w:pPr>
    </w:p>
    <w:p w14:paraId="68F624AB" w14:textId="77777777" w:rsidR="00D1587D" w:rsidRDefault="00410D07">
      <w:pPr>
        <w:numPr>
          <w:ilvl w:val="0"/>
          <w:numId w:val="177"/>
        </w:numPr>
        <w:tabs>
          <w:tab w:val="left" w:pos="1158"/>
        </w:tabs>
        <w:spacing w:line="290" w:lineRule="auto"/>
        <w:ind w:firstLine="656"/>
        <w:jc w:val="both"/>
        <w:rPr>
          <w:rFonts w:ascii="Arial" w:eastAsia="Arial" w:hAnsi="Arial" w:cs="Arial"/>
          <w:sz w:val="16"/>
          <w:szCs w:val="16"/>
        </w:rPr>
      </w:pPr>
      <w:r>
        <w:rPr>
          <w:rFonts w:ascii="Arial" w:eastAsia="Arial" w:hAnsi="Arial" w:cs="Arial"/>
          <w:sz w:val="16"/>
          <w:szCs w:val="16"/>
        </w:rPr>
        <w:t>Effective as of the Distribution Date, VS shall adopt an equity incentive compensation plan for the benefit of eligible participants (as may be ame</w:t>
      </w:r>
      <w:r>
        <w:rPr>
          <w:rFonts w:ascii="Arial" w:eastAsia="Arial" w:hAnsi="Arial" w:cs="Arial"/>
          <w:sz w:val="16"/>
          <w:szCs w:val="16"/>
        </w:rPr>
        <w:t>nded from time to time, and together with any successor plan, the “</w:t>
      </w:r>
      <w:r>
        <w:rPr>
          <w:rFonts w:ascii="Arial" w:eastAsia="Arial" w:hAnsi="Arial" w:cs="Arial"/>
          <w:b/>
          <w:bCs/>
          <w:sz w:val="16"/>
          <w:szCs w:val="16"/>
        </w:rPr>
        <w:t>VS Equity Plan</w:t>
      </w:r>
      <w:r>
        <w:rPr>
          <w:rFonts w:ascii="Arial" w:eastAsia="Arial" w:hAnsi="Arial" w:cs="Arial"/>
          <w:sz w:val="16"/>
          <w:szCs w:val="16"/>
        </w:rPr>
        <w:t>”). Prior to the Distribution Date, each of L Brands and VS shall take any actions necessary to give effect to the transactions contemplated by this Article 8, including, in t</w:t>
      </w:r>
      <w:r>
        <w:rPr>
          <w:rFonts w:ascii="Arial" w:eastAsia="Arial" w:hAnsi="Arial" w:cs="Arial"/>
          <w:sz w:val="16"/>
          <w:szCs w:val="16"/>
        </w:rPr>
        <w:t>he case of VS, the reservation, issuance and listing of shares of VS Common Stock as is necessary to effectuate the transactions contemplated by this Article 8. From and after the Distribution Date, (i) VS shall retain the VS Equity Plan, and all Liabiliti</w:t>
      </w:r>
      <w:r>
        <w:rPr>
          <w:rFonts w:ascii="Arial" w:eastAsia="Arial" w:hAnsi="Arial" w:cs="Arial"/>
          <w:sz w:val="16"/>
          <w:szCs w:val="16"/>
        </w:rPr>
        <w:t>es thereunder shall constitute VS Assumed Employee Liabilities, and (ii) L Brands shall retain the L Brands Equity Plans, and all Liabilities thereunder shall constitute L Brands Retained Employee Liabilities. From and after the Distribution Date, all Adju</w:t>
      </w:r>
      <w:r>
        <w:rPr>
          <w:rFonts w:ascii="Arial" w:eastAsia="Arial" w:hAnsi="Arial" w:cs="Arial"/>
          <w:sz w:val="16"/>
          <w:szCs w:val="16"/>
        </w:rPr>
        <w:t xml:space="preserve">sted L Brands Awards, regardless of by whom held, shall be granted under and subject to the terms of the L Brands Equity Plans and shall be settled by L Brands, and all VS Awards, regardless of by whom held, shall be granted under and subject to the terms </w:t>
      </w:r>
      <w:r>
        <w:rPr>
          <w:rFonts w:ascii="Arial" w:eastAsia="Arial" w:hAnsi="Arial" w:cs="Arial"/>
          <w:sz w:val="16"/>
          <w:szCs w:val="16"/>
        </w:rPr>
        <w:t>of the VS Equity Plan and shall be settled by VS.</w:t>
      </w:r>
    </w:p>
    <w:p w14:paraId="45E9AA6F" w14:textId="77777777" w:rsidR="00D1587D" w:rsidRDefault="00D1587D">
      <w:pPr>
        <w:spacing w:line="165" w:lineRule="exact"/>
        <w:rPr>
          <w:rFonts w:ascii="Arial" w:eastAsia="Arial" w:hAnsi="Arial" w:cs="Arial"/>
          <w:sz w:val="16"/>
          <w:szCs w:val="16"/>
        </w:rPr>
      </w:pPr>
    </w:p>
    <w:p w14:paraId="303C36E6" w14:textId="77777777" w:rsidR="00D1587D" w:rsidRDefault="00410D07">
      <w:pPr>
        <w:numPr>
          <w:ilvl w:val="0"/>
          <w:numId w:val="177"/>
        </w:numPr>
        <w:tabs>
          <w:tab w:val="left" w:pos="1204"/>
        </w:tabs>
        <w:spacing w:line="254" w:lineRule="auto"/>
        <w:ind w:firstLine="656"/>
        <w:jc w:val="both"/>
        <w:rPr>
          <w:rFonts w:ascii="Arial" w:eastAsia="Arial" w:hAnsi="Arial" w:cs="Arial"/>
          <w:sz w:val="18"/>
          <w:szCs w:val="18"/>
        </w:rPr>
      </w:pPr>
      <w:r>
        <w:rPr>
          <w:rFonts w:ascii="Arial" w:eastAsia="Arial" w:hAnsi="Arial" w:cs="Arial"/>
          <w:sz w:val="18"/>
          <w:szCs w:val="18"/>
        </w:rPr>
        <w:t xml:space="preserve">From and after the Distribution Date, for purposes of the L Brands Awards converted into VS Awards or Adjusted L Brands Awards pursuant to this Article 8, (i) a VS Participant’s employment with or service </w:t>
      </w:r>
      <w:r>
        <w:rPr>
          <w:rFonts w:ascii="Arial" w:eastAsia="Arial" w:hAnsi="Arial" w:cs="Arial"/>
          <w:sz w:val="18"/>
          <w:szCs w:val="18"/>
        </w:rPr>
        <w:t>to any member of the VS Group and/or L Brands Group, as applicable, shall be treated as employment with and service to the VS Group and/or the L Brands Group, as applicable, (ii) any reference to “cause,” “good reason,” “disability,” “willful” or other sim</w:t>
      </w:r>
      <w:r>
        <w:rPr>
          <w:rFonts w:ascii="Arial" w:eastAsia="Arial" w:hAnsi="Arial" w:cs="Arial"/>
          <w:sz w:val="18"/>
          <w:szCs w:val="18"/>
        </w:rPr>
        <w:t>ilar terms applicable to such Adjusted L Brands Awards shall be deemed to refer to the definitions of “cause,” “good reason,” “disability,” “willful” or other similar terms set forth in the L Brands Equity Plans and (iii) any reference to “cause,” “good re</w:t>
      </w:r>
      <w:r>
        <w:rPr>
          <w:rFonts w:ascii="Arial" w:eastAsia="Arial" w:hAnsi="Arial" w:cs="Arial"/>
          <w:sz w:val="18"/>
          <w:szCs w:val="18"/>
        </w:rPr>
        <w:t>ason,” “disability,” “willful” or other similar terms applicable to such VS Awards shall be deemed to refer to the definitions of “cause,” “good reason,” “disability,” “willful” or other similar terms set forth in the VS Equity Plan.</w:t>
      </w:r>
    </w:p>
    <w:p w14:paraId="1112CF7A" w14:textId="77777777" w:rsidR="00D1587D" w:rsidRDefault="00D1587D">
      <w:pPr>
        <w:spacing w:line="194" w:lineRule="exact"/>
        <w:rPr>
          <w:rFonts w:ascii="Arial" w:eastAsia="Arial" w:hAnsi="Arial" w:cs="Arial"/>
          <w:sz w:val="18"/>
          <w:szCs w:val="18"/>
        </w:rPr>
      </w:pPr>
    </w:p>
    <w:p w14:paraId="19AE3E75" w14:textId="77777777" w:rsidR="00D1587D" w:rsidRDefault="00410D07">
      <w:pPr>
        <w:numPr>
          <w:ilvl w:val="0"/>
          <w:numId w:val="177"/>
        </w:numPr>
        <w:tabs>
          <w:tab w:val="left" w:pos="1226"/>
        </w:tabs>
        <w:spacing w:line="273" w:lineRule="auto"/>
        <w:ind w:firstLine="656"/>
        <w:jc w:val="both"/>
        <w:rPr>
          <w:rFonts w:ascii="Arial" w:eastAsia="Arial" w:hAnsi="Arial" w:cs="Arial"/>
          <w:sz w:val="17"/>
          <w:szCs w:val="17"/>
        </w:rPr>
      </w:pPr>
      <w:r>
        <w:rPr>
          <w:rFonts w:ascii="Arial" w:eastAsia="Arial" w:hAnsi="Arial" w:cs="Arial"/>
          <w:sz w:val="17"/>
          <w:szCs w:val="17"/>
        </w:rPr>
        <w:t>From and after the Di</w:t>
      </w:r>
      <w:r>
        <w:rPr>
          <w:rFonts w:ascii="Arial" w:eastAsia="Arial" w:hAnsi="Arial" w:cs="Arial"/>
          <w:sz w:val="17"/>
          <w:szCs w:val="17"/>
        </w:rPr>
        <w:t>stribution Date, (i) any reference to a “change in control,” “change of control” or similar term applicable to any Adjusted L Brands Award contained in any applicable award agreement, employment or services agreement or the L Brands Equity Plans shall be d</w:t>
      </w:r>
      <w:r>
        <w:rPr>
          <w:rFonts w:ascii="Arial" w:eastAsia="Arial" w:hAnsi="Arial" w:cs="Arial"/>
          <w:sz w:val="17"/>
          <w:szCs w:val="17"/>
        </w:rPr>
        <w:t>eemed to refer to a “change in control,” “change of control” or similar term as defined in such award agreement, employment or services agreement or the L Brands Equity Plans (an “</w:t>
      </w:r>
      <w:r>
        <w:rPr>
          <w:rFonts w:ascii="Arial" w:eastAsia="Arial" w:hAnsi="Arial" w:cs="Arial"/>
          <w:b/>
          <w:bCs/>
          <w:sz w:val="17"/>
          <w:szCs w:val="17"/>
        </w:rPr>
        <w:t>L Brands Change in Control</w:t>
      </w:r>
      <w:r>
        <w:rPr>
          <w:rFonts w:ascii="Arial" w:eastAsia="Arial" w:hAnsi="Arial" w:cs="Arial"/>
          <w:sz w:val="17"/>
          <w:szCs w:val="17"/>
        </w:rPr>
        <w:t xml:space="preserve">”) and (ii) any reference to a “change in </w:t>
      </w:r>
      <w:r>
        <w:rPr>
          <w:rFonts w:ascii="Arial" w:eastAsia="Arial" w:hAnsi="Arial" w:cs="Arial"/>
          <w:sz w:val="17"/>
          <w:szCs w:val="17"/>
        </w:rPr>
        <w:t>control,” “change of control” or similar term applicable to any VS Award contained in any applicable award agreement, employment or services agreement or the VS Equity Plan shall be deemed to refer to a “change in control,” “change of control” or similar t</w:t>
      </w:r>
      <w:r>
        <w:rPr>
          <w:rFonts w:ascii="Arial" w:eastAsia="Arial" w:hAnsi="Arial" w:cs="Arial"/>
          <w:sz w:val="17"/>
          <w:szCs w:val="17"/>
        </w:rPr>
        <w:t>erm as defined in the VS Equity Plan (a “</w:t>
      </w:r>
      <w:r>
        <w:rPr>
          <w:rFonts w:ascii="Arial" w:eastAsia="Arial" w:hAnsi="Arial" w:cs="Arial"/>
          <w:b/>
          <w:bCs/>
          <w:sz w:val="17"/>
          <w:szCs w:val="17"/>
        </w:rPr>
        <w:t>VS Change in Control</w:t>
      </w:r>
      <w:r>
        <w:rPr>
          <w:rFonts w:ascii="Arial" w:eastAsia="Arial" w:hAnsi="Arial" w:cs="Arial"/>
          <w:sz w:val="17"/>
          <w:szCs w:val="17"/>
        </w:rPr>
        <w:t>”).</w:t>
      </w:r>
    </w:p>
    <w:p w14:paraId="4C9EDEC0" w14:textId="77777777" w:rsidR="00D1587D" w:rsidRDefault="00D1587D">
      <w:pPr>
        <w:spacing w:line="177" w:lineRule="exact"/>
        <w:rPr>
          <w:rFonts w:ascii="Arial" w:eastAsia="Arial" w:hAnsi="Arial" w:cs="Arial"/>
          <w:sz w:val="17"/>
          <w:szCs w:val="17"/>
        </w:rPr>
      </w:pPr>
    </w:p>
    <w:p w14:paraId="05D45A33" w14:textId="77777777" w:rsidR="00D1587D" w:rsidRDefault="00410D07">
      <w:pPr>
        <w:numPr>
          <w:ilvl w:val="0"/>
          <w:numId w:val="177"/>
        </w:numPr>
        <w:tabs>
          <w:tab w:val="left" w:pos="1123"/>
        </w:tabs>
        <w:spacing w:line="291" w:lineRule="auto"/>
        <w:ind w:firstLine="656"/>
        <w:jc w:val="both"/>
        <w:rPr>
          <w:rFonts w:ascii="Arial" w:eastAsia="Arial" w:hAnsi="Arial" w:cs="Arial"/>
          <w:sz w:val="16"/>
          <w:szCs w:val="16"/>
        </w:rPr>
      </w:pPr>
      <w:r>
        <w:rPr>
          <w:rFonts w:ascii="Arial" w:eastAsia="Arial" w:hAnsi="Arial" w:cs="Arial"/>
          <w:sz w:val="16"/>
          <w:szCs w:val="16"/>
        </w:rPr>
        <w:t xml:space="preserve">For the avoidance of doubt, except as expressly provided in this Article 8 (including, without limitation, pursuant to Section 8.05), neither the Distribution nor any assignment, </w:t>
      </w:r>
      <w:r>
        <w:rPr>
          <w:rFonts w:ascii="Arial" w:eastAsia="Arial" w:hAnsi="Arial" w:cs="Arial"/>
          <w:sz w:val="16"/>
          <w:szCs w:val="16"/>
        </w:rPr>
        <w:t>transfer or continuation of the employment of employees as contemplated by Article 3 shall be deemed a termination of employment or service of any VS Participant or L Brands Participant for purposes of any L Brands Award or VS Award. The Distribution shall</w:t>
      </w:r>
      <w:r>
        <w:rPr>
          <w:rFonts w:ascii="Arial" w:eastAsia="Arial" w:hAnsi="Arial" w:cs="Arial"/>
          <w:sz w:val="16"/>
          <w:szCs w:val="16"/>
        </w:rPr>
        <w:t xml:space="preserve"> not be treated as an L Brands Change in Control or VS Change in Control for purposes of the L Brands Equity Plans or the VS Equity Plan, respectively, any applicable award agreements for an L Brands Award, Adjusted L Brands Award or VS Award outstanding t</w:t>
      </w:r>
      <w:r>
        <w:rPr>
          <w:rFonts w:ascii="Arial" w:eastAsia="Arial" w:hAnsi="Arial" w:cs="Arial"/>
          <w:sz w:val="16"/>
          <w:szCs w:val="16"/>
        </w:rPr>
        <w:t>hereunder, or any other applicable employment-or service-related agreement. Without limiting the generality of the foregoing, to the extent L Brands determines it necessary or desirable, each award agreement for an L Brands RSU, L Brands PSU or L Brands Op</w:t>
      </w:r>
      <w:r>
        <w:rPr>
          <w:rFonts w:ascii="Arial" w:eastAsia="Arial" w:hAnsi="Arial" w:cs="Arial"/>
          <w:sz w:val="16"/>
          <w:szCs w:val="16"/>
        </w:rPr>
        <w:t>tion, as the case may be, shall be amended to expressly clarify the same.</w:t>
      </w:r>
    </w:p>
    <w:p w14:paraId="3E94FFF7" w14:textId="77777777" w:rsidR="00D1587D" w:rsidRDefault="00D1587D">
      <w:pPr>
        <w:spacing w:line="338" w:lineRule="exact"/>
        <w:rPr>
          <w:sz w:val="20"/>
          <w:szCs w:val="20"/>
        </w:rPr>
      </w:pPr>
    </w:p>
    <w:p w14:paraId="752C6B5D" w14:textId="77777777" w:rsidR="00D1587D" w:rsidRDefault="00410D07">
      <w:pPr>
        <w:jc w:val="center"/>
        <w:rPr>
          <w:sz w:val="20"/>
          <w:szCs w:val="20"/>
        </w:rPr>
      </w:pPr>
      <w:r>
        <w:rPr>
          <w:rFonts w:ascii="Arial" w:eastAsia="Arial" w:hAnsi="Arial" w:cs="Arial"/>
          <w:sz w:val="14"/>
          <w:szCs w:val="14"/>
        </w:rPr>
        <w:t>33</w:t>
      </w:r>
    </w:p>
    <w:p w14:paraId="441FB74F" w14:textId="77777777" w:rsidR="00D1587D" w:rsidRDefault="00410D07">
      <w:pPr>
        <w:spacing w:line="20" w:lineRule="exact"/>
        <w:rPr>
          <w:sz w:val="20"/>
          <w:szCs w:val="20"/>
        </w:rPr>
      </w:pPr>
      <w:r>
        <w:rPr>
          <w:noProof/>
          <w:sz w:val="20"/>
          <w:szCs w:val="20"/>
        </w:rPr>
        <w:drawing>
          <wp:anchor distT="0" distB="0" distL="114300" distR="114300" simplePos="0" relativeHeight="251362304" behindDoc="1" locked="0" layoutInCell="0" allowOverlap="1" wp14:anchorId="35321676" wp14:editId="5D947C71">
            <wp:simplePos x="0" y="0"/>
            <wp:positionH relativeFrom="column">
              <wp:posOffset>5080</wp:posOffset>
            </wp:positionH>
            <wp:positionV relativeFrom="paragraph">
              <wp:posOffset>38100</wp:posOffset>
            </wp:positionV>
            <wp:extent cx="7132320" cy="1714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FC83A87" w14:textId="77777777" w:rsidR="00D1587D" w:rsidRDefault="00D1587D">
      <w:pPr>
        <w:sectPr w:rsidR="00D1587D">
          <w:pgSz w:w="11900" w:h="16838"/>
          <w:pgMar w:top="125" w:right="339" w:bottom="1440" w:left="320" w:header="0" w:footer="0" w:gutter="0"/>
          <w:cols w:space="720" w:equalWidth="0">
            <w:col w:w="11240"/>
          </w:cols>
        </w:sectPr>
      </w:pPr>
    </w:p>
    <w:p w14:paraId="0F7A04F1" w14:textId="77777777" w:rsidR="00D1587D" w:rsidRDefault="00410D07">
      <w:pPr>
        <w:numPr>
          <w:ilvl w:val="1"/>
          <w:numId w:val="178"/>
        </w:numPr>
        <w:tabs>
          <w:tab w:val="left" w:pos="1185"/>
        </w:tabs>
        <w:spacing w:line="291" w:lineRule="auto"/>
        <w:ind w:firstLine="656"/>
        <w:jc w:val="both"/>
        <w:rPr>
          <w:rFonts w:ascii="Arial" w:eastAsia="Arial" w:hAnsi="Arial" w:cs="Arial"/>
          <w:sz w:val="16"/>
          <w:szCs w:val="16"/>
        </w:rPr>
      </w:pPr>
      <w:bookmarkStart w:id="204" w:name="page205"/>
      <w:bookmarkEnd w:id="204"/>
      <w:r>
        <w:rPr>
          <w:rFonts w:ascii="Arial" w:eastAsia="Arial" w:hAnsi="Arial" w:cs="Arial"/>
          <w:sz w:val="16"/>
          <w:szCs w:val="16"/>
        </w:rPr>
        <w:t>Unless otherwise required by Applicable Law, (i) the applicable member of the VS Group shall be responsible for all applicable income, payroll, employment a</w:t>
      </w:r>
      <w:r>
        <w:rPr>
          <w:rFonts w:ascii="Arial" w:eastAsia="Arial" w:hAnsi="Arial" w:cs="Arial"/>
          <w:sz w:val="16"/>
          <w:szCs w:val="16"/>
        </w:rPr>
        <w:t>nd other similar tax withholding, remittance and reporting obligations in respect of VS Participants relating to any VS Awards and</w:t>
      </w:r>
    </w:p>
    <w:p w14:paraId="571C585B" w14:textId="77777777" w:rsidR="00D1587D" w:rsidRDefault="00410D07">
      <w:pPr>
        <w:numPr>
          <w:ilvl w:val="0"/>
          <w:numId w:val="179"/>
        </w:numPr>
        <w:tabs>
          <w:tab w:val="left" w:pos="277"/>
        </w:tabs>
        <w:spacing w:line="260" w:lineRule="auto"/>
        <w:ind w:firstLine="8"/>
        <w:rPr>
          <w:rFonts w:ascii="Arial" w:eastAsia="Arial" w:hAnsi="Arial" w:cs="Arial"/>
          <w:sz w:val="18"/>
          <w:szCs w:val="18"/>
        </w:rPr>
      </w:pPr>
      <w:r>
        <w:rPr>
          <w:rFonts w:ascii="Arial" w:eastAsia="Arial" w:hAnsi="Arial" w:cs="Arial"/>
          <w:sz w:val="18"/>
          <w:szCs w:val="18"/>
        </w:rPr>
        <w:t>the applicable member of the L Brands Group shall be responsible for all applicable income, payroll, employment and other sim</w:t>
      </w:r>
      <w:r>
        <w:rPr>
          <w:rFonts w:ascii="Arial" w:eastAsia="Arial" w:hAnsi="Arial" w:cs="Arial"/>
          <w:sz w:val="18"/>
          <w:szCs w:val="18"/>
        </w:rPr>
        <w:t>ilar tax withholding, remittance and reporting obligations in respect of L Brands Participants relating to any Adjusted L Brands Awards.</w:t>
      </w:r>
    </w:p>
    <w:p w14:paraId="75768DD9" w14:textId="77777777" w:rsidR="00D1587D" w:rsidRDefault="00D1587D">
      <w:pPr>
        <w:spacing w:line="185" w:lineRule="exact"/>
        <w:rPr>
          <w:rFonts w:ascii="Arial" w:eastAsia="Arial" w:hAnsi="Arial" w:cs="Arial"/>
          <w:sz w:val="18"/>
          <w:szCs w:val="18"/>
        </w:rPr>
      </w:pPr>
    </w:p>
    <w:p w14:paraId="602CA229" w14:textId="77777777" w:rsidR="00D1587D" w:rsidRDefault="00410D07">
      <w:pPr>
        <w:numPr>
          <w:ilvl w:val="1"/>
          <w:numId w:val="179"/>
        </w:numPr>
        <w:tabs>
          <w:tab w:val="left" w:pos="1264"/>
        </w:tabs>
        <w:spacing w:line="277" w:lineRule="auto"/>
        <w:ind w:firstLine="656"/>
        <w:rPr>
          <w:rFonts w:ascii="Arial" w:eastAsia="Arial" w:hAnsi="Arial" w:cs="Arial"/>
          <w:sz w:val="18"/>
          <w:szCs w:val="18"/>
        </w:rPr>
      </w:pPr>
      <w:r>
        <w:rPr>
          <w:rFonts w:ascii="Arial" w:eastAsia="Arial" w:hAnsi="Arial" w:cs="Arial"/>
          <w:sz w:val="18"/>
          <w:szCs w:val="18"/>
        </w:rPr>
        <w:t>VS shall be responsible for the settlement of cash dividend equivalents on any VS Awards, and L Brands shall be respon</w:t>
      </w:r>
      <w:r>
        <w:rPr>
          <w:rFonts w:ascii="Arial" w:eastAsia="Arial" w:hAnsi="Arial" w:cs="Arial"/>
          <w:sz w:val="18"/>
          <w:szCs w:val="18"/>
        </w:rPr>
        <w:t>sible for the settlement of cash dividend equivalents on any Adjusted L Brands Awards.</w:t>
      </w:r>
    </w:p>
    <w:p w14:paraId="2B55E121" w14:textId="77777777" w:rsidR="00D1587D" w:rsidRDefault="00D1587D">
      <w:pPr>
        <w:spacing w:line="170" w:lineRule="exact"/>
        <w:rPr>
          <w:rFonts w:ascii="Arial" w:eastAsia="Arial" w:hAnsi="Arial" w:cs="Arial"/>
          <w:sz w:val="18"/>
          <w:szCs w:val="18"/>
        </w:rPr>
      </w:pPr>
    </w:p>
    <w:p w14:paraId="18AA677D" w14:textId="77777777" w:rsidR="00D1587D" w:rsidRDefault="00410D07">
      <w:pPr>
        <w:numPr>
          <w:ilvl w:val="1"/>
          <w:numId w:val="179"/>
        </w:numPr>
        <w:tabs>
          <w:tab w:val="left" w:pos="1195"/>
        </w:tabs>
        <w:spacing w:line="279" w:lineRule="auto"/>
        <w:ind w:firstLine="656"/>
        <w:jc w:val="both"/>
        <w:rPr>
          <w:rFonts w:ascii="Arial" w:eastAsia="Arial" w:hAnsi="Arial" w:cs="Arial"/>
          <w:sz w:val="17"/>
          <w:szCs w:val="17"/>
        </w:rPr>
      </w:pPr>
      <w:r>
        <w:rPr>
          <w:rFonts w:ascii="Arial" w:eastAsia="Arial" w:hAnsi="Arial" w:cs="Arial"/>
          <w:sz w:val="17"/>
          <w:szCs w:val="17"/>
        </w:rPr>
        <w:t>VS shall prepare and file with the SEC a registration statement on an appropriate form with respect to the shares of VS Common Stock subject to the L Brands Awards conv</w:t>
      </w:r>
      <w:r>
        <w:rPr>
          <w:rFonts w:ascii="Arial" w:eastAsia="Arial" w:hAnsi="Arial" w:cs="Arial"/>
          <w:sz w:val="17"/>
          <w:szCs w:val="17"/>
        </w:rPr>
        <w:t>erted into VS Awards pursuant to this Article 8 and shall use its reasonable best efforts to have such registration statement declared effective on or before the Distribution Date and to maintain the effectiveness of such registration statement covering su</w:t>
      </w:r>
      <w:r>
        <w:rPr>
          <w:rFonts w:ascii="Arial" w:eastAsia="Arial" w:hAnsi="Arial" w:cs="Arial"/>
          <w:sz w:val="17"/>
          <w:szCs w:val="17"/>
        </w:rPr>
        <w:t>ch VS Awards (and to maintain the current status of the prospectus contained therein) for so long as any such VS Awards remain outstanding.</w:t>
      </w:r>
    </w:p>
    <w:p w14:paraId="5C50D83C" w14:textId="77777777" w:rsidR="00D1587D" w:rsidRDefault="00D1587D">
      <w:pPr>
        <w:spacing w:line="171" w:lineRule="exact"/>
        <w:rPr>
          <w:rFonts w:ascii="Arial" w:eastAsia="Arial" w:hAnsi="Arial" w:cs="Arial"/>
          <w:sz w:val="17"/>
          <w:szCs w:val="17"/>
        </w:rPr>
      </w:pPr>
    </w:p>
    <w:p w14:paraId="24846DFC" w14:textId="77777777" w:rsidR="00D1587D" w:rsidRDefault="00410D07">
      <w:pPr>
        <w:numPr>
          <w:ilvl w:val="1"/>
          <w:numId w:val="179"/>
        </w:numPr>
        <w:tabs>
          <w:tab w:val="left" w:pos="1141"/>
        </w:tabs>
        <w:spacing w:line="270" w:lineRule="auto"/>
        <w:ind w:firstLine="656"/>
        <w:jc w:val="both"/>
        <w:rPr>
          <w:rFonts w:ascii="Arial" w:eastAsia="Arial" w:hAnsi="Arial" w:cs="Arial"/>
          <w:sz w:val="17"/>
          <w:szCs w:val="17"/>
        </w:rPr>
      </w:pPr>
      <w:r>
        <w:rPr>
          <w:rFonts w:ascii="Arial" w:eastAsia="Arial" w:hAnsi="Arial" w:cs="Arial"/>
          <w:sz w:val="17"/>
          <w:szCs w:val="17"/>
        </w:rPr>
        <w:t>Prior to the Distribution Date, each Party shall take all such steps as may be required to cause any dispositions o</w:t>
      </w:r>
      <w:r>
        <w:rPr>
          <w:rFonts w:ascii="Arial" w:eastAsia="Arial" w:hAnsi="Arial" w:cs="Arial"/>
          <w:sz w:val="17"/>
          <w:szCs w:val="17"/>
        </w:rPr>
        <w:t>f L Brands Common Stock (including Adjusted L Brands Awards or any other derivative securities with respect to L Brands Common Stock) or acquisitions of VS Common Stock (including VS Awards or any other derivative securities with respect to VS Common Stock</w:t>
      </w:r>
      <w:r>
        <w:rPr>
          <w:rFonts w:ascii="Arial" w:eastAsia="Arial" w:hAnsi="Arial" w:cs="Arial"/>
          <w:sz w:val="17"/>
          <w:szCs w:val="17"/>
        </w:rPr>
        <w:t>) resulting from the Distribution or the transactions contemplated by this Agreement or the Separation Agreement by each individual who is subject to the reporting requirements of Section 16(a) of the Exchange Act with respect to L Brands or who are or wil</w:t>
      </w:r>
      <w:r>
        <w:rPr>
          <w:rFonts w:ascii="Arial" w:eastAsia="Arial" w:hAnsi="Arial" w:cs="Arial"/>
          <w:sz w:val="17"/>
          <w:szCs w:val="17"/>
        </w:rPr>
        <w:t>l become subject to such reporting requirements with respect to VS to be exempt under Rule 16b-3 promulgated under the Exchange Act. With respect to those individuals, if any, who, subsequent to the Distribution Date, are or become subject to the reporting</w:t>
      </w:r>
      <w:r>
        <w:rPr>
          <w:rFonts w:ascii="Arial" w:eastAsia="Arial" w:hAnsi="Arial" w:cs="Arial"/>
          <w:sz w:val="17"/>
          <w:szCs w:val="17"/>
        </w:rPr>
        <w:t xml:space="preserve"> requirements under Section 16(a) of the Exchange Act, as applicable, VS shall administer any L Brands Award converted into a VS Award pursuant to this Article 8 in a manner that complies with Rule 16b-3 promulgated under the Exchange Act to the extent suc</w:t>
      </w:r>
      <w:r>
        <w:rPr>
          <w:rFonts w:ascii="Arial" w:eastAsia="Arial" w:hAnsi="Arial" w:cs="Arial"/>
          <w:sz w:val="17"/>
          <w:szCs w:val="17"/>
        </w:rPr>
        <w:t>h converted L Brands Award complied with such rule prior to the Distribution Date.</w:t>
      </w:r>
    </w:p>
    <w:p w14:paraId="077C1D83" w14:textId="77777777" w:rsidR="00D1587D" w:rsidRDefault="00D1587D">
      <w:pPr>
        <w:spacing w:line="352" w:lineRule="exact"/>
        <w:rPr>
          <w:sz w:val="20"/>
          <w:szCs w:val="20"/>
        </w:rPr>
      </w:pPr>
    </w:p>
    <w:p w14:paraId="3F84F093" w14:textId="77777777" w:rsidR="00D1587D" w:rsidRDefault="00410D07">
      <w:pPr>
        <w:jc w:val="center"/>
        <w:rPr>
          <w:sz w:val="20"/>
          <w:szCs w:val="20"/>
        </w:rPr>
      </w:pPr>
      <w:r>
        <w:rPr>
          <w:rFonts w:ascii="Arial" w:eastAsia="Arial" w:hAnsi="Arial" w:cs="Arial"/>
          <w:sz w:val="14"/>
          <w:szCs w:val="14"/>
        </w:rPr>
        <w:t>34</w:t>
      </w:r>
    </w:p>
    <w:p w14:paraId="6A0E03E7" w14:textId="77777777" w:rsidR="00D1587D" w:rsidRDefault="00410D07">
      <w:pPr>
        <w:spacing w:line="20" w:lineRule="exact"/>
        <w:rPr>
          <w:sz w:val="20"/>
          <w:szCs w:val="20"/>
        </w:rPr>
      </w:pPr>
      <w:r>
        <w:rPr>
          <w:noProof/>
          <w:sz w:val="20"/>
          <w:szCs w:val="20"/>
        </w:rPr>
        <w:drawing>
          <wp:anchor distT="0" distB="0" distL="114300" distR="114300" simplePos="0" relativeHeight="251363328" behindDoc="1" locked="0" layoutInCell="0" allowOverlap="1" wp14:anchorId="2476D125" wp14:editId="7D4246F6">
            <wp:simplePos x="0" y="0"/>
            <wp:positionH relativeFrom="column">
              <wp:posOffset>5080</wp:posOffset>
            </wp:positionH>
            <wp:positionV relativeFrom="paragraph">
              <wp:posOffset>38100</wp:posOffset>
            </wp:positionV>
            <wp:extent cx="7132320" cy="1714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6B8A037" w14:textId="77777777" w:rsidR="00D1587D" w:rsidRDefault="00D1587D">
      <w:pPr>
        <w:sectPr w:rsidR="00D1587D">
          <w:pgSz w:w="11900" w:h="16838"/>
          <w:pgMar w:top="125" w:right="339" w:bottom="1440" w:left="320" w:header="0" w:footer="0" w:gutter="0"/>
          <w:cols w:space="720" w:equalWidth="0">
            <w:col w:w="11240"/>
          </w:cols>
        </w:sectPr>
      </w:pPr>
    </w:p>
    <w:p w14:paraId="63E73C03" w14:textId="77777777" w:rsidR="00D1587D" w:rsidRDefault="00410D07">
      <w:pPr>
        <w:tabs>
          <w:tab w:val="left" w:pos="1780"/>
        </w:tabs>
        <w:ind w:left="640"/>
        <w:rPr>
          <w:sz w:val="20"/>
          <w:szCs w:val="20"/>
        </w:rPr>
      </w:pPr>
      <w:bookmarkStart w:id="205" w:name="page206"/>
      <w:bookmarkEnd w:id="205"/>
      <w:r>
        <w:rPr>
          <w:rFonts w:ascii="Arial" w:eastAsia="Arial" w:hAnsi="Arial" w:cs="Arial"/>
          <w:sz w:val="18"/>
          <w:szCs w:val="18"/>
        </w:rPr>
        <w:t>Section 8.05.</w:t>
      </w:r>
      <w:r>
        <w:rPr>
          <w:sz w:val="20"/>
          <w:szCs w:val="20"/>
        </w:rPr>
        <w:tab/>
      </w:r>
      <w:r>
        <w:rPr>
          <w:rFonts w:ascii="Arial" w:eastAsia="Arial" w:hAnsi="Arial" w:cs="Arial"/>
          <w:i/>
          <w:iCs/>
          <w:sz w:val="16"/>
          <w:szCs w:val="16"/>
        </w:rPr>
        <w:t>Treatment of Equity Awards Held by Delayed Transfer Employees.</w:t>
      </w:r>
    </w:p>
    <w:p w14:paraId="38F63DB8" w14:textId="77777777" w:rsidR="00D1587D" w:rsidRDefault="00D1587D">
      <w:pPr>
        <w:spacing w:line="225" w:lineRule="exact"/>
        <w:rPr>
          <w:sz w:val="20"/>
          <w:szCs w:val="20"/>
        </w:rPr>
      </w:pPr>
    </w:p>
    <w:p w14:paraId="59AA94A2" w14:textId="77777777" w:rsidR="00D1587D" w:rsidRDefault="00410D07">
      <w:pPr>
        <w:numPr>
          <w:ilvl w:val="0"/>
          <w:numId w:val="180"/>
        </w:numPr>
        <w:tabs>
          <w:tab w:val="left" w:pos="1125"/>
        </w:tabs>
        <w:spacing w:line="284" w:lineRule="auto"/>
        <w:ind w:left="-20" w:firstLine="656"/>
        <w:jc w:val="both"/>
        <w:rPr>
          <w:rFonts w:ascii="Arial" w:eastAsia="Arial" w:hAnsi="Arial" w:cs="Arial"/>
          <w:sz w:val="16"/>
          <w:szCs w:val="16"/>
        </w:rPr>
      </w:pPr>
      <w:r>
        <w:rPr>
          <w:rFonts w:ascii="Arial" w:eastAsia="Arial" w:hAnsi="Arial" w:cs="Arial"/>
          <w:sz w:val="16"/>
          <w:szCs w:val="16"/>
        </w:rPr>
        <w:t xml:space="preserve">Notwithstanding anything to the contrary herein, any L Brands </w:t>
      </w:r>
      <w:r>
        <w:rPr>
          <w:rFonts w:ascii="Arial" w:eastAsia="Arial" w:hAnsi="Arial" w:cs="Arial"/>
          <w:sz w:val="16"/>
          <w:szCs w:val="16"/>
        </w:rPr>
        <w:t>Awards held by any Delayed VS Transfer Employees shall be adjusted into Adjusted L Brands Awards as of the Distribution Date in the manner set forth in Section 8.01(b), Section 8.02(b) or Section 8.03(b), as applicable. Upon the applicable Delayed Transfer</w:t>
      </w:r>
      <w:r>
        <w:rPr>
          <w:rFonts w:ascii="Arial" w:eastAsia="Arial" w:hAnsi="Arial" w:cs="Arial"/>
          <w:sz w:val="16"/>
          <w:szCs w:val="16"/>
        </w:rPr>
        <w:t xml:space="preserve"> Date, the applicable Delayed VS Transfer Employee will be deemed to have terminated employment with the L Brands Group for purposes of the L Brands Equity Plans and the applicable award agreements evidencing his or her Adjusted L Brands Awards and, to the</w:t>
      </w:r>
      <w:r>
        <w:rPr>
          <w:rFonts w:ascii="Arial" w:eastAsia="Arial" w:hAnsi="Arial" w:cs="Arial"/>
          <w:sz w:val="16"/>
          <w:szCs w:val="16"/>
        </w:rPr>
        <w:t xml:space="preserve"> extent unvested, will cease vesting and will forfeit his or her L Brands Awards (including any Adjusted L Brands Awards that remain outstanding as of such date and any L Brands Awards granted to such Delayed VS Transfer Employee following the Distribution</w:t>
      </w:r>
      <w:r>
        <w:rPr>
          <w:rFonts w:ascii="Arial" w:eastAsia="Arial" w:hAnsi="Arial" w:cs="Arial"/>
          <w:sz w:val="16"/>
          <w:szCs w:val="16"/>
        </w:rPr>
        <w:t xml:space="preserve"> Date) (collectively, the “</w:t>
      </w:r>
      <w:r>
        <w:rPr>
          <w:rFonts w:ascii="Arial" w:eastAsia="Arial" w:hAnsi="Arial" w:cs="Arial"/>
          <w:b/>
          <w:bCs/>
          <w:sz w:val="16"/>
          <w:szCs w:val="16"/>
        </w:rPr>
        <w:t>Forfeited LB Awards</w:t>
      </w:r>
      <w:r>
        <w:rPr>
          <w:rFonts w:ascii="Arial" w:eastAsia="Arial" w:hAnsi="Arial" w:cs="Arial"/>
          <w:sz w:val="16"/>
          <w:szCs w:val="16"/>
        </w:rPr>
        <w:t>”). As of the applicable Delayed Transfer Date, VS shall, on an award-by-award basis, grant each such Delayed VS Transfer Employee VS Awards corresponding to the type of each of the Forfeited LB Awards forfeite</w:t>
      </w:r>
      <w:r>
        <w:rPr>
          <w:rFonts w:ascii="Arial" w:eastAsia="Arial" w:hAnsi="Arial" w:cs="Arial"/>
          <w:sz w:val="16"/>
          <w:szCs w:val="16"/>
        </w:rPr>
        <w:t>d by such Delayed VS Transfer Employee on the Delayed Transfer Date, each with a dollar value equal to the intrinsic dollar value of the corresponding Forfeited LB Award (each such replacement award, a “</w:t>
      </w:r>
      <w:r>
        <w:rPr>
          <w:rFonts w:ascii="Arial" w:eastAsia="Arial" w:hAnsi="Arial" w:cs="Arial"/>
          <w:b/>
          <w:bCs/>
          <w:sz w:val="16"/>
          <w:szCs w:val="16"/>
        </w:rPr>
        <w:t>Replacement VS Award</w:t>
      </w:r>
      <w:r>
        <w:rPr>
          <w:rFonts w:ascii="Arial" w:eastAsia="Arial" w:hAnsi="Arial" w:cs="Arial"/>
          <w:sz w:val="16"/>
          <w:szCs w:val="16"/>
        </w:rPr>
        <w:t xml:space="preserve">”). For purposes of this Section </w:t>
      </w:r>
      <w:r>
        <w:rPr>
          <w:rFonts w:ascii="Arial" w:eastAsia="Arial" w:hAnsi="Arial" w:cs="Arial"/>
          <w:sz w:val="16"/>
          <w:szCs w:val="16"/>
        </w:rPr>
        <w:t>8.05(a), (i) the intrinsic dollar value of any Forfeited LB Award shall be equal to the product of (A) the volume-weighted average price of L Brands Common Stock on the New York Stock Exchange (as reported by Bloomberg L.P.) during the 20 trading days endi</w:t>
      </w:r>
      <w:r>
        <w:rPr>
          <w:rFonts w:ascii="Arial" w:eastAsia="Arial" w:hAnsi="Arial" w:cs="Arial"/>
          <w:sz w:val="16"/>
          <w:szCs w:val="16"/>
        </w:rPr>
        <w:t>ng with the last trading day prior to the applicable Delayed Transfer Date (</w:t>
      </w:r>
      <w:r>
        <w:rPr>
          <w:rFonts w:ascii="Arial" w:eastAsia="Arial" w:hAnsi="Arial" w:cs="Arial"/>
          <w:i/>
          <w:iCs/>
          <w:sz w:val="16"/>
          <w:szCs w:val="16"/>
        </w:rPr>
        <w:t>minus</w:t>
      </w:r>
      <w:r>
        <w:rPr>
          <w:rFonts w:ascii="Arial" w:eastAsia="Arial" w:hAnsi="Arial" w:cs="Arial"/>
          <w:sz w:val="16"/>
          <w:szCs w:val="16"/>
        </w:rPr>
        <w:t xml:space="preserve">, in the case of any Forfeited LB Award that is an Adjusted L Brands Option, the exercise price per share applicable to such Forfeited LB Award) </w:t>
      </w:r>
      <w:r>
        <w:rPr>
          <w:rFonts w:ascii="Arial" w:eastAsia="Arial" w:hAnsi="Arial" w:cs="Arial"/>
          <w:i/>
          <w:iCs/>
          <w:sz w:val="16"/>
          <w:szCs w:val="16"/>
        </w:rPr>
        <w:t>multiplied by</w:t>
      </w:r>
      <w:r>
        <w:rPr>
          <w:rFonts w:ascii="Arial" w:eastAsia="Arial" w:hAnsi="Arial" w:cs="Arial"/>
          <w:sz w:val="16"/>
          <w:szCs w:val="16"/>
        </w:rPr>
        <w:t xml:space="preserve"> (B) the number o</w:t>
      </w:r>
      <w:r>
        <w:rPr>
          <w:rFonts w:ascii="Arial" w:eastAsia="Arial" w:hAnsi="Arial" w:cs="Arial"/>
          <w:sz w:val="16"/>
          <w:szCs w:val="16"/>
        </w:rPr>
        <w:t>f shares of L Brands Common Stock underlying such Forfeited LB Award and (ii) the dollar value of any Replacement VS Award that is a VS Option will be determined based on a Black-scholes valuation of such VS Option or pursuant to such other valuation metho</w:t>
      </w:r>
      <w:r>
        <w:rPr>
          <w:rFonts w:ascii="Arial" w:eastAsia="Arial" w:hAnsi="Arial" w:cs="Arial"/>
          <w:sz w:val="16"/>
          <w:szCs w:val="16"/>
        </w:rPr>
        <w:t>dology mutually determined by the Parties. The Replacement VS Awards shall be subject to vesting and payment or settlement terms and conditions that are no less favorable to the applicable Delayed VS Transfer Employee than the vesting and payment or settle</w:t>
      </w:r>
      <w:r>
        <w:rPr>
          <w:rFonts w:ascii="Arial" w:eastAsia="Arial" w:hAnsi="Arial" w:cs="Arial"/>
          <w:sz w:val="16"/>
          <w:szCs w:val="16"/>
        </w:rPr>
        <w:t>ment terms and conditions in effect with respect to his or her corresponding Forfeited LB Awards (determined on an award-by-award basis) as of immediately prior to the applicable Delayed Transfer Date. For the avoidance of doubt, any L Brands Options (incl</w:t>
      </w:r>
      <w:r>
        <w:rPr>
          <w:rFonts w:ascii="Arial" w:eastAsia="Arial" w:hAnsi="Arial" w:cs="Arial"/>
          <w:sz w:val="16"/>
          <w:szCs w:val="16"/>
        </w:rPr>
        <w:t>uding any Adjusted L Brands Options granted pursuant to this Article 8) held by a Delayed VS Transfer Employee that are outstanding and vested as of the applicable Delayed Transfer Date will remain outstanding and exercisable following the applicable Delay</w:t>
      </w:r>
      <w:r>
        <w:rPr>
          <w:rFonts w:ascii="Arial" w:eastAsia="Arial" w:hAnsi="Arial" w:cs="Arial"/>
          <w:sz w:val="16"/>
          <w:szCs w:val="16"/>
        </w:rPr>
        <w:t>ed Transfer Date in accordance with the terms of the applicable L Brands Equity Plan and the applicable award agreement thereunder.</w:t>
      </w:r>
    </w:p>
    <w:p w14:paraId="0014EE10" w14:textId="77777777" w:rsidR="00D1587D" w:rsidRDefault="00D1587D">
      <w:pPr>
        <w:spacing w:line="200" w:lineRule="exact"/>
        <w:rPr>
          <w:sz w:val="20"/>
          <w:szCs w:val="20"/>
        </w:rPr>
      </w:pPr>
    </w:p>
    <w:p w14:paraId="3DFD7BCF" w14:textId="77777777" w:rsidR="00D1587D" w:rsidRDefault="00D1587D">
      <w:pPr>
        <w:spacing w:line="369" w:lineRule="exact"/>
        <w:rPr>
          <w:sz w:val="20"/>
          <w:szCs w:val="20"/>
        </w:rPr>
      </w:pPr>
    </w:p>
    <w:p w14:paraId="40837D2E" w14:textId="77777777" w:rsidR="00D1587D" w:rsidRDefault="00410D07">
      <w:pPr>
        <w:jc w:val="center"/>
        <w:rPr>
          <w:sz w:val="20"/>
          <w:szCs w:val="20"/>
        </w:rPr>
      </w:pPr>
      <w:r>
        <w:rPr>
          <w:rFonts w:ascii="Arial" w:eastAsia="Arial" w:hAnsi="Arial" w:cs="Arial"/>
          <w:sz w:val="14"/>
          <w:szCs w:val="14"/>
        </w:rPr>
        <w:t>35</w:t>
      </w:r>
    </w:p>
    <w:p w14:paraId="0F66320B" w14:textId="77777777" w:rsidR="00D1587D" w:rsidRDefault="00410D07">
      <w:pPr>
        <w:spacing w:line="20" w:lineRule="exact"/>
        <w:rPr>
          <w:sz w:val="20"/>
          <w:szCs w:val="20"/>
        </w:rPr>
      </w:pPr>
      <w:r>
        <w:rPr>
          <w:noProof/>
          <w:sz w:val="20"/>
          <w:szCs w:val="20"/>
        </w:rPr>
        <w:drawing>
          <wp:anchor distT="0" distB="0" distL="114300" distR="114300" simplePos="0" relativeHeight="251364352" behindDoc="1" locked="0" layoutInCell="0" allowOverlap="1" wp14:anchorId="72A9595B" wp14:editId="65D5D9FD">
            <wp:simplePos x="0" y="0"/>
            <wp:positionH relativeFrom="column">
              <wp:posOffset>-6985</wp:posOffset>
            </wp:positionH>
            <wp:positionV relativeFrom="paragraph">
              <wp:posOffset>38100</wp:posOffset>
            </wp:positionV>
            <wp:extent cx="7132320" cy="1714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E9A8BCA" w14:textId="77777777" w:rsidR="00D1587D" w:rsidRDefault="00D1587D">
      <w:pPr>
        <w:sectPr w:rsidR="00D1587D">
          <w:pgSz w:w="11900" w:h="16838"/>
          <w:pgMar w:top="125" w:right="339" w:bottom="1440" w:left="340" w:header="0" w:footer="0" w:gutter="0"/>
          <w:cols w:space="720" w:equalWidth="0">
            <w:col w:w="11220"/>
          </w:cols>
        </w:sectPr>
      </w:pPr>
    </w:p>
    <w:p w14:paraId="69F19C45" w14:textId="77777777" w:rsidR="00D1587D" w:rsidRDefault="00410D07">
      <w:pPr>
        <w:numPr>
          <w:ilvl w:val="1"/>
          <w:numId w:val="181"/>
        </w:numPr>
        <w:tabs>
          <w:tab w:val="left" w:pos="1155"/>
        </w:tabs>
        <w:spacing w:line="283" w:lineRule="auto"/>
        <w:ind w:firstLine="656"/>
        <w:jc w:val="both"/>
        <w:rPr>
          <w:rFonts w:ascii="Arial" w:eastAsia="Arial" w:hAnsi="Arial" w:cs="Arial"/>
          <w:sz w:val="16"/>
          <w:szCs w:val="16"/>
        </w:rPr>
      </w:pPr>
      <w:bookmarkStart w:id="206" w:name="page207"/>
      <w:bookmarkEnd w:id="206"/>
      <w:r>
        <w:rPr>
          <w:rFonts w:ascii="Arial" w:eastAsia="Arial" w:hAnsi="Arial" w:cs="Arial"/>
          <w:sz w:val="16"/>
          <w:szCs w:val="16"/>
        </w:rPr>
        <w:t>Notwithstanding anything to the contrary herein, any L Brands Awards held by any Delayed LB Trans</w:t>
      </w:r>
      <w:r>
        <w:rPr>
          <w:rFonts w:ascii="Arial" w:eastAsia="Arial" w:hAnsi="Arial" w:cs="Arial"/>
          <w:sz w:val="16"/>
          <w:szCs w:val="16"/>
        </w:rPr>
        <w:t>fer Employees shall be adjusted into VS Awards as of the Distribution Date in the manner set forth in Section 8.01(a), Section 8.02(a) or Section 8.03(a), as applicable. Upon the applicable Delayed Transfer Date, the applicable Delayed LB Transfer Employee</w:t>
      </w:r>
      <w:r>
        <w:rPr>
          <w:rFonts w:ascii="Arial" w:eastAsia="Arial" w:hAnsi="Arial" w:cs="Arial"/>
          <w:sz w:val="16"/>
          <w:szCs w:val="16"/>
        </w:rPr>
        <w:t xml:space="preserve"> will be deemed to have terminated employment with the VS Group for purposes of the VS Equity Plan and the applicable award agreements evidencing his or her VS Awards and, to the extent unvested, will cease vesting and will forfeit his or her VS Awards (th</w:t>
      </w:r>
      <w:r>
        <w:rPr>
          <w:rFonts w:ascii="Arial" w:eastAsia="Arial" w:hAnsi="Arial" w:cs="Arial"/>
          <w:sz w:val="16"/>
          <w:szCs w:val="16"/>
        </w:rPr>
        <w:t>e “</w:t>
      </w:r>
      <w:r>
        <w:rPr>
          <w:rFonts w:ascii="Arial" w:eastAsia="Arial" w:hAnsi="Arial" w:cs="Arial"/>
          <w:b/>
          <w:bCs/>
          <w:sz w:val="16"/>
          <w:szCs w:val="16"/>
        </w:rPr>
        <w:t>Forfeited VS Awards</w:t>
      </w:r>
      <w:r>
        <w:rPr>
          <w:rFonts w:ascii="Arial" w:eastAsia="Arial" w:hAnsi="Arial" w:cs="Arial"/>
          <w:sz w:val="16"/>
          <w:szCs w:val="16"/>
        </w:rPr>
        <w:t>”). As of the applicable Delayed Transfer Date, L Brands shall, on an award-by-award basis, grant each such Delayed LB Transfer Employee L Brands Awards corresponding to the type of each of the Forfeited VS Awards forfeited by such De</w:t>
      </w:r>
      <w:r>
        <w:rPr>
          <w:rFonts w:ascii="Arial" w:eastAsia="Arial" w:hAnsi="Arial" w:cs="Arial"/>
          <w:sz w:val="16"/>
          <w:szCs w:val="16"/>
        </w:rPr>
        <w:t>layed LB Transfer Employee on the Delayed Transfer Date, each with a dollar value equal to the intrinsic dollar value of the corresponding Forfeited VS Award (including any VS Awards granted pursuant to this Article 8 that remain outstanding as of such dat</w:t>
      </w:r>
      <w:r>
        <w:rPr>
          <w:rFonts w:ascii="Arial" w:eastAsia="Arial" w:hAnsi="Arial" w:cs="Arial"/>
          <w:sz w:val="16"/>
          <w:szCs w:val="16"/>
        </w:rPr>
        <w:t>e and any VS Awards granted to such Delayed LB Transfer Employee following the Distribution Date) (each such replacement award, a “</w:t>
      </w:r>
      <w:r>
        <w:rPr>
          <w:rFonts w:ascii="Arial" w:eastAsia="Arial" w:hAnsi="Arial" w:cs="Arial"/>
          <w:b/>
          <w:bCs/>
          <w:sz w:val="16"/>
          <w:szCs w:val="16"/>
        </w:rPr>
        <w:t>Replacement LB Award</w:t>
      </w:r>
      <w:r>
        <w:rPr>
          <w:rFonts w:ascii="Arial" w:eastAsia="Arial" w:hAnsi="Arial" w:cs="Arial"/>
          <w:sz w:val="16"/>
          <w:szCs w:val="16"/>
        </w:rPr>
        <w:t xml:space="preserve">”). For purposes of this Section 8.05(b), (i) the intrinsic dollar value of any Forfeited VS Award shall </w:t>
      </w:r>
      <w:r>
        <w:rPr>
          <w:rFonts w:ascii="Arial" w:eastAsia="Arial" w:hAnsi="Arial" w:cs="Arial"/>
          <w:sz w:val="16"/>
          <w:szCs w:val="16"/>
        </w:rPr>
        <w:t>be equal to the product of (A) the volume-weighted average price of VS Common Stock on the New York Stock Exchange (as reported by Bloomberg L.P.) during the 20 trading days ending with the last trading day prior to the applicable Delayed Transfer Date (</w:t>
      </w:r>
      <w:r>
        <w:rPr>
          <w:rFonts w:ascii="Arial" w:eastAsia="Arial" w:hAnsi="Arial" w:cs="Arial"/>
          <w:i/>
          <w:iCs/>
          <w:sz w:val="16"/>
          <w:szCs w:val="16"/>
        </w:rPr>
        <w:t>mi</w:t>
      </w:r>
      <w:r>
        <w:rPr>
          <w:rFonts w:ascii="Arial" w:eastAsia="Arial" w:hAnsi="Arial" w:cs="Arial"/>
          <w:i/>
          <w:iCs/>
          <w:sz w:val="16"/>
          <w:szCs w:val="16"/>
        </w:rPr>
        <w:t>nus</w:t>
      </w:r>
      <w:r>
        <w:rPr>
          <w:rFonts w:ascii="Arial" w:eastAsia="Arial" w:hAnsi="Arial" w:cs="Arial"/>
          <w:sz w:val="16"/>
          <w:szCs w:val="16"/>
        </w:rPr>
        <w:t xml:space="preserve">, in the case of any Forfeited VS Award that is a VS Option, the exercise price per share applicable to such Forfeited VS Award) </w:t>
      </w:r>
      <w:r>
        <w:rPr>
          <w:rFonts w:ascii="Arial" w:eastAsia="Arial" w:hAnsi="Arial" w:cs="Arial"/>
          <w:i/>
          <w:iCs/>
          <w:sz w:val="16"/>
          <w:szCs w:val="16"/>
        </w:rPr>
        <w:t>multiplied by</w:t>
      </w:r>
    </w:p>
    <w:p w14:paraId="750505BD" w14:textId="77777777" w:rsidR="00D1587D" w:rsidRDefault="00D1587D">
      <w:pPr>
        <w:spacing w:line="2" w:lineRule="exact"/>
        <w:rPr>
          <w:rFonts w:ascii="Arial" w:eastAsia="Arial" w:hAnsi="Arial" w:cs="Arial"/>
          <w:sz w:val="16"/>
          <w:szCs w:val="16"/>
        </w:rPr>
      </w:pPr>
    </w:p>
    <w:p w14:paraId="5CBA1B78" w14:textId="77777777" w:rsidR="00D1587D" w:rsidRDefault="00410D07">
      <w:pPr>
        <w:numPr>
          <w:ilvl w:val="0"/>
          <w:numId w:val="182"/>
        </w:numPr>
        <w:tabs>
          <w:tab w:val="left" w:pos="293"/>
        </w:tabs>
        <w:spacing w:line="268" w:lineRule="auto"/>
        <w:ind w:firstLine="8"/>
        <w:jc w:val="both"/>
        <w:rPr>
          <w:rFonts w:ascii="Arial" w:eastAsia="Arial" w:hAnsi="Arial" w:cs="Arial"/>
          <w:sz w:val="17"/>
          <w:szCs w:val="17"/>
        </w:rPr>
      </w:pPr>
      <w:r>
        <w:rPr>
          <w:rFonts w:ascii="Arial" w:eastAsia="Arial" w:hAnsi="Arial" w:cs="Arial"/>
          <w:sz w:val="17"/>
          <w:szCs w:val="17"/>
        </w:rPr>
        <w:t>the number of shares of VS Common Stock underlying such Forfeited VS Award and (ii) the dollar value of any R</w:t>
      </w:r>
      <w:r>
        <w:rPr>
          <w:rFonts w:ascii="Arial" w:eastAsia="Arial" w:hAnsi="Arial" w:cs="Arial"/>
          <w:sz w:val="17"/>
          <w:szCs w:val="17"/>
        </w:rPr>
        <w:t>eplacement LB Award that is an L Brands Option will be determined based on a Black-scholes valuation of such L Brands Option or pursuant to such other valuation methodology mutually determined by the Parties. The Replacement LB Awards shall be subject to v</w:t>
      </w:r>
      <w:r>
        <w:rPr>
          <w:rFonts w:ascii="Arial" w:eastAsia="Arial" w:hAnsi="Arial" w:cs="Arial"/>
          <w:sz w:val="17"/>
          <w:szCs w:val="17"/>
        </w:rPr>
        <w:t xml:space="preserve">esting and payment or settlement terms and conditions that are no less favorable to the applicable Delayed LB Transfer Employee than the vesting and payment or settlement terms and conditions in effect with respect to his or her corresponding Forfeited VS </w:t>
      </w:r>
      <w:r>
        <w:rPr>
          <w:rFonts w:ascii="Arial" w:eastAsia="Arial" w:hAnsi="Arial" w:cs="Arial"/>
          <w:sz w:val="17"/>
          <w:szCs w:val="17"/>
        </w:rPr>
        <w:t xml:space="preserve">Awards (determined on an award-by-award basis) as of immediately prior to the applicable Delayed Transfer Date. For the avoidance of doubt, any VS Options (including any VS Options granted pursuant to this Article 8) held by a Delayed VS Transfer Employee </w:t>
      </w:r>
      <w:r>
        <w:rPr>
          <w:rFonts w:ascii="Arial" w:eastAsia="Arial" w:hAnsi="Arial" w:cs="Arial"/>
          <w:sz w:val="17"/>
          <w:szCs w:val="17"/>
        </w:rPr>
        <w:t>that are outstanding and vested as of the applicable Delayed Transfer Date will remain outstanding and exercisable following the applicable Delayed Transfer Date in accordance with the terms of the applicable VS Equity Plan and the applicable award agreeme</w:t>
      </w:r>
      <w:r>
        <w:rPr>
          <w:rFonts w:ascii="Arial" w:eastAsia="Arial" w:hAnsi="Arial" w:cs="Arial"/>
          <w:sz w:val="17"/>
          <w:szCs w:val="17"/>
        </w:rPr>
        <w:t>nt thereunder.</w:t>
      </w:r>
    </w:p>
    <w:p w14:paraId="6ABCB584" w14:textId="77777777" w:rsidR="00D1587D" w:rsidRDefault="00D1587D">
      <w:pPr>
        <w:spacing w:line="183" w:lineRule="exact"/>
        <w:rPr>
          <w:sz w:val="20"/>
          <w:szCs w:val="20"/>
        </w:rPr>
      </w:pPr>
    </w:p>
    <w:p w14:paraId="648C6A82" w14:textId="77777777" w:rsidR="00D1587D" w:rsidRDefault="00410D07">
      <w:pPr>
        <w:spacing w:line="263" w:lineRule="auto"/>
        <w:ind w:firstLine="648"/>
        <w:jc w:val="both"/>
        <w:rPr>
          <w:sz w:val="20"/>
          <w:szCs w:val="20"/>
        </w:rPr>
      </w:pPr>
      <w:r>
        <w:rPr>
          <w:rFonts w:ascii="Arial" w:eastAsia="Arial" w:hAnsi="Arial" w:cs="Arial"/>
          <w:sz w:val="18"/>
          <w:szCs w:val="18"/>
        </w:rPr>
        <w:t xml:space="preserve">Section 8.06. </w:t>
      </w:r>
      <w:r>
        <w:rPr>
          <w:rFonts w:ascii="Arial" w:eastAsia="Arial" w:hAnsi="Arial" w:cs="Arial"/>
          <w:i/>
          <w:iCs/>
          <w:sz w:val="18"/>
          <w:szCs w:val="18"/>
        </w:rPr>
        <w:t>Employee Stock Purchase Plan.</w:t>
      </w:r>
      <w:r>
        <w:rPr>
          <w:rFonts w:ascii="Arial" w:eastAsia="Arial" w:hAnsi="Arial" w:cs="Arial"/>
          <w:sz w:val="18"/>
          <w:szCs w:val="18"/>
        </w:rPr>
        <w:t xml:space="preserve"> Effective as of the Distribution Date (or, if applicable, the Delayed Transfer Date), each VS Participant shall cease participation in the L Brands ESPP. Effective as of the Distribution Date, VS shall adopt an employee stock purchase plan for the benefit</w:t>
      </w:r>
      <w:r>
        <w:rPr>
          <w:rFonts w:ascii="Arial" w:eastAsia="Arial" w:hAnsi="Arial" w:cs="Arial"/>
          <w:sz w:val="18"/>
          <w:szCs w:val="18"/>
        </w:rPr>
        <w:t xml:space="preserve"> of eligible VS Participants (the “</w:t>
      </w:r>
      <w:r>
        <w:rPr>
          <w:rFonts w:ascii="Arial" w:eastAsia="Arial" w:hAnsi="Arial" w:cs="Arial"/>
          <w:b/>
          <w:bCs/>
          <w:sz w:val="18"/>
          <w:szCs w:val="18"/>
        </w:rPr>
        <w:t>VS ESPP</w:t>
      </w:r>
      <w:r>
        <w:rPr>
          <w:rFonts w:ascii="Arial" w:eastAsia="Arial" w:hAnsi="Arial" w:cs="Arial"/>
          <w:sz w:val="18"/>
          <w:szCs w:val="18"/>
        </w:rPr>
        <w:t>”).</w:t>
      </w:r>
    </w:p>
    <w:p w14:paraId="79DEEA18" w14:textId="77777777" w:rsidR="00D1587D" w:rsidRDefault="00D1587D">
      <w:pPr>
        <w:spacing w:line="355" w:lineRule="exact"/>
        <w:rPr>
          <w:sz w:val="20"/>
          <w:szCs w:val="20"/>
        </w:rPr>
      </w:pPr>
    </w:p>
    <w:p w14:paraId="77C797FF" w14:textId="77777777" w:rsidR="00D1587D" w:rsidRDefault="00410D07">
      <w:pPr>
        <w:jc w:val="center"/>
        <w:rPr>
          <w:sz w:val="20"/>
          <w:szCs w:val="20"/>
        </w:rPr>
      </w:pPr>
      <w:r>
        <w:rPr>
          <w:rFonts w:ascii="Arial" w:eastAsia="Arial" w:hAnsi="Arial" w:cs="Arial"/>
          <w:sz w:val="14"/>
          <w:szCs w:val="14"/>
        </w:rPr>
        <w:t>36</w:t>
      </w:r>
    </w:p>
    <w:p w14:paraId="3F1F0673" w14:textId="77777777" w:rsidR="00D1587D" w:rsidRDefault="00410D07">
      <w:pPr>
        <w:spacing w:line="20" w:lineRule="exact"/>
        <w:rPr>
          <w:sz w:val="20"/>
          <w:szCs w:val="20"/>
        </w:rPr>
      </w:pPr>
      <w:r>
        <w:rPr>
          <w:noProof/>
          <w:sz w:val="20"/>
          <w:szCs w:val="20"/>
        </w:rPr>
        <w:drawing>
          <wp:anchor distT="0" distB="0" distL="114300" distR="114300" simplePos="0" relativeHeight="251365376" behindDoc="1" locked="0" layoutInCell="0" allowOverlap="1" wp14:anchorId="5818A855" wp14:editId="44FEB486">
            <wp:simplePos x="0" y="0"/>
            <wp:positionH relativeFrom="column">
              <wp:posOffset>5080</wp:posOffset>
            </wp:positionH>
            <wp:positionV relativeFrom="paragraph">
              <wp:posOffset>38100</wp:posOffset>
            </wp:positionV>
            <wp:extent cx="7132320" cy="1714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4474A83" w14:textId="77777777" w:rsidR="00D1587D" w:rsidRDefault="00D1587D">
      <w:pPr>
        <w:sectPr w:rsidR="00D1587D">
          <w:pgSz w:w="11900" w:h="16838"/>
          <w:pgMar w:top="125" w:right="339" w:bottom="1440" w:left="320" w:header="0" w:footer="0" w:gutter="0"/>
          <w:cols w:space="720" w:equalWidth="0">
            <w:col w:w="11240"/>
          </w:cols>
        </w:sectPr>
      </w:pPr>
    </w:p>
    <w:p w14:paraId="5E024A2C" w14:textId="77777777" w:rsidR="00D1587D" w:rsidRDefault="00410D07">
      <w:pPr>
        <w:jc w:val="center"/>
        <w:rPr>
          <w:sz w:val="20"/>
          <w:szCs w:val="20"/>
        </w:rPr>
      </w:pPr>
      <w:bookmarkStart w:id="207" w:name="page208"/>
      <w:bookmarkEnd w:id="207"/>
      <w:r>
        <w:rPr>
          <w:rFonts w:ascii="Arial" w:eastAsia="Arial" w:hAnsi="Arial" w:cs="Arial"/>
          <w:sz w:val="18"/>
          <w:szCs w:val="18"/>
        </w:rPr>
        <w:t>ARTICLE 9</w:t>
      </w:r>
    </w:p>
    <w:p w14:paraId="18E457DF" w14:textId="77777777" w:rsidR="00D1587D" w:rsidRDefault="00D1587D">
      <w:pPr>
        <w:spacing w:line="23" w:lineRule="exact"/>
        <w:rPr>
          <w:sz w:val="20"/>
          <w:szCs w:val="20"/>
        </w:rPr>
      </w:pPr>
    </w:p>
    <w:p w14:paraId="0B0BD058" w14:textId="77777777" w:rsidR="00D1587D" w:rsidRDefault="00410D07">
      <w:pPr>
        <w:jc w:val="center"/>
        <w:rPr>
          <w:sz w:val="20"/>
          <w:szCs w:val="20"/>
        </w:rPr>
      </w:pPr>
      <w:r>
        <w:rPr>
          <w:rFonts w:ascii="Arial" w:eastAsia="Arial" w:hAnsi="Arial" w:cs="Arial"/>
          <w:sz w:val="18"/>
          <w:szCs w:val="18"/>
        </w:rPr>
        <w:t>P</w:t>
      </w:r>
      <w:r>
        <w:rPr>
          <w:rFonts w:ascii="Arial" w:eastAsia="Arial" w:hAnsi="Arial" w:cs="Arial"/>
          <w:sz w:val="12"/>
          <w:szCs w:val="12"/>
        </w:rPr>
        <w:t>ERSONNEL</w:t>
      </w:r>
      <w:r>
        <w:rPr>
          <w:rFonts w:ascii="Arial" w:eastAsia="Arial" w:hAnsi="Arial" w:cs="Arial"/>
          <w:sz w:val="18"/>
          <w:szCs w:val="18"/>
        </w:rPr>
        <w:t xml:space="preserve"> R</w:t>
      </w:r>
      <w:r>
        <w:rPr>
          <w:rFonts w:ascii="Arial" w:eastAsia="Arial" w:hAnsi="Arial" w:cs="Arial"/>
          <w:sz w:val="12"/>
          <w:szCs w:val="12"/>
        </w:rPr>
        <w:t>ECORDS</w:t>
      </w:r>
      <w:r>
        <w:rPr>
          <w:rFonts w:ascii="Arial" w:eastAsia="Arial" w:hAnsi="Arial" w:cs="Arial"/>
          <w:sz w:val="18"/>
          <w:szCs w:val="18"/>
        </w:rPr>
        <w:t>; P</w:t>
      </w:r>
      <w:r>
        <w:rPr>
          <w:rFonts w:ascii="Arial" w:eastAsia="Arial" w:hAnsi="Arial" w:cs="Arial"/>
          <w:sz w:val="12"/>
          <w:szCs w:val="12"/>
        </w:rPr>
        <w:t>AYROLL AND</w:t>
      </w:r>
      <w:r>
        <w:rPr>
          <w:rFonts w:ascii="Arial" w:eastAsia="Arial" w:hAnsi="Arial" w:cs="Arial"/>
          <w:sz w:val="18"/>
          <w:szCs w:val="18"/>
        </w:rPr>
        <w:t xml:space="preserve"> T</w:t>
      </w:r>
      <w:r>
        <w:rPr>
          <w:rFonts w:ascii="Arial" w:eastAsia="Arial" w:hAnsi="Arial" w:cs="Arial"/>
          <w:sz w:val="12"/>
          <w:szCs w:val="12"/>
        </w:rPr>
        <w:t>AX</w:t>
      </w:r>
      <w:r>
        <w:rPr>
          <w:rFonts w:ascii="Arial" w:eastAsia="Arial" w:hAnsi="Arial" w:cs="Arial"/>
          <w:sz w:val="18"/>
          <w:szCs w:val="18"/>
        </w:rPr>
        <w:t xml:space="preserve"> W</w:t>
      </w:r>
      <w:r>
        <w:rPr>
          <w:rFonts w:ascii="Arial" w:eastAsia="Arial" w:hAnsi="Arial" w:cs="Arial"/>
          <w:sz w:val="12"/>
          <w:szCs w:val="12"/>
        </w:rPr>
        <w:t>ITHHOLDING</w:t>
      </w:r>
    </w:p>
    <w:p w14:paraId="5F447AA3" w14:textId="77777777" w:rsidR="00D1587D" w:rsidRDefault="00D1587D">
      <w:pPr>
        <w:spacing w:line="211" w:lineRule="exact"/>
        <w:rPr>
          <w:sz w:val="20"/>
          <w:szCs w:val="20"/>
        </w:rPr>
      </w:pPr>
    </w:p>
    <w:p w14:paraId="6121A1AB" w14:textId="77777777" w:rsidR="00D1587D" w:rsidRDefault="00410D07">
      <w:pPr>
        <w:spacing w:line="275" w:lineRule="auto"/>
        <w:ind w:firstLine="648"/>
        <w:jc w:val="both"/>
        <w:rPr>
          <w:sz w:val="20"/>
          <w:szCs w:val="20"/>
        </w:rPr>
      </w:pPr>
      <w:r>
        <w:rPr>
          <w:rFonts w:ascii="Arial" w:eastAsia="Arial" w:hAnsi="Arial" w:cs="Arial"/>
          <w:sz w:val="17"/>
          <w:szCs w:val="17"/>
        </w:rPr>
        <w:t xml:space="preserve">Section 9.01. </w:t>
      </w:r>
      <w:r>
        <w:rPr>
          <w:rFonts w:ascii="Arial" w:eastAsia="Arial" w:hAnsi="Arial" w:cs="Arial"/>
          <w:i/>
          <w:iCs/>
          <w:sz w:val="17"/>
          <w:szCs w:val="17"/>
        </w:rPr>
        <w:t>Personnel Records</w:t>
      </w:r>
      <w:r>
        <w:rPr>
          <w:rFonts w:ascii="Arial" w:eastAsia="Arial" w:hAnsi="Arial" w:cs="Arial"/>
          <w:sz w:val="17"/>
          <w:szCs w:val="17"/>
        </w:rPr>
        <w:t>. To the extent permitted by Applicable Law, each of the VS Group and the L Brands Group shall</w:t>
      </w:r>
      <w:r>
        <w:rPr>
          <w:rFonts w:ascii="Arial" w:eastAsia="Arial" w:hAnsi="Arial" w:cs="Arial"/>
          <w:sz w:val="17"/>
          <w:szCs w:val="17"/>
        </w:rPr>
        <w:t xml:space="preserve"> be permitted by the other to access and retain copies of such records, data and other personnel-related information in any form (“</w:t>
      </w:r>
      <w:r>
        <w:rPr>
          <w:rFonts w:ascii="Arial" w:eastAsia="Arial" w:hAnsi="Arial" w:cs="Arial"/>
          <w:b/>
          <w:bCs/>
          <w:sz w:val="17"/>
          <w:szCs w:val="17"/>
        </w:rPr>
        <w:t>Personnel Records</w:t>
      </w:r>
      <w:r>
        <w:rPr>
          <w:rFonts w:ascii="Arial" w:eastAsia="Arial" w:hAnsi="Arial" w:cs="Arial"/>
          <w:sz w:val="17"/>
          <w:szCs w:val="17"/>
        </w:rPr>
        <w:t>”) as may be necessary or appropriate to carry out their respective obligations under Applicable Law, the Se</w:t>
      </w:r>
      <w:r>
        <w:rPr>
          <w:rFonts w:ascii="Arial" w:eastAsia="Arial" w:hAnsi="Arial" w:cs="Arial"/>
          <w:sz w:val="17"/>
          <w:szCs w:val="17"/>
        </w:rPr>
        <w:t xml:space="preserve">paration Agreement or any of the Ancillary Agreements, and for the purposes of administering their respective employee benefit plans and policies. All Personnel Records shall be accessed, retained, held, used, copied and transmitted in accordance with all </w:t>
      </w:r>
      <w:r>
        <w:rPr>
          <w:rFonts w:ascii="Arial" w:eastAsia="Arial" w:hAnsi="Arial" w:cs="Arial"/>
          <w:sz w:val="17"/>
          <w:szCs w:val="17"/>
        </w:rPr>
        <w:t>Applicable Laws, policies and agreements between the Parties.</w:t>
      </w:r>
    </w:p>
    <w:p w14:paraId="624410E2" w14:textId="77777777" w:rsidR="00D1587D" w:rsidRDefault="00D1587D">
      <w:pPr>
        <w:spacing w:line="176" w:lineRule="exact"/>
        <w:rPr>
          <w:sz w:val="20"/>
          <w:szCs w:val="20"/>
        </w:rPr>
      </w:pPr>
    </w:p>
    <w:p w14:paraId="6848A04A" w14:textId="77777777" w:rsidR="00D1587D" w:rsidRDefault="00410D07">
      <w:pPr>
        <w:tabs>
          <w:tab w:val="left" w:pos="1760"/>
        </w:tabs>
        <w:ind w:left="660"/>
        <w:rPr>
          <w:sz w:val="20"/>
          <w:szCs w:val="20"/>
        </w:rPr>
      </w:pPr>
      <w:r>
        <w:rPr>
          <w:rFonts w:ascii="Arial" w:eastAsia="Arial" w:hAnsi="Arial" w:cs="Arial"/>
          <w:sz w:val="18"/>
          <w:szCs w:val="18"/>
        </w:rPr>
        <w:t>Section 9.02.</w:t>
      </w:r>
      <w:r>
        <w:rPr>
          <w:sz w:val="20"/>
          <w:szCs w:val="20"/>
        </w:rPr>
        <w:tab/>
      </w:r>
      <w:r>
        <w:rPr>
          <w:rFonts w:ascii="Arial" w:eastAsia="Arial" w:hAnsi="Arial" w:cs="Arial"/>
          <w:i/>
          <w:iCs/>
          <w:sz w:val="16"/>
          <w:szCs w:val="16"/>
        </w:rPr>
        <w:t>Payroll; Tax Reporting and Withholding</w:t>
      </w:r>
      <w:r>
        <w:rPr>
          <w:rFonts w:ascii="Arial" w:eastAsia="Arial" w:hAnsi="Arial" w:cs="Arial"/>
          <w:sz w:val="16"/>
          <w:szCs w:val="16"/>
        </w:rPr>
        <w:t>.</w:t>
      </w:r>
    </w:p>
    <w:p w14:paraId="453A3031" w14:textId="77777777" w:rsidR="00D1587D" w:rsidRDefault="00D1587D">
      <w:pPr>
        <w:spacing w:line="225" w:lineRule="exact"/>
        <w:rPr>
          <w:sz w:val="20"/>
          <w:szCs w:val="20"/>
        </w:rPr>
      </w:pPr>
    </w:p>
    <w:p w14:paraId="6457A48F" w14:textId="77777777" w:rsidR="00D1587D" w:rsidRDefault="00410D07">
      <w:pPr>
        <w:numPr>
          <w:ilvl w:val="1"/>
          <w:numId w:val="183"/>
        </w:numPr>
        <w:tabs>
          <w:tab w:val="left" w:pos="1145"/>
        </w:tabs>
        <w:spacing w:line="286" w:lineRule="auto"/>
        <w:ind w:firstLine="656"/>
        <w:jc w:val="both"/>
        <w:rPr>
          <w:rFonts w:ascii="Arial" w:eastAsia="Arial" w:hAnsi="Arial" w:cs="Arial"/>
          <w:sz w:val="16"/>
          <w:szCs w:val="16"/>
        </w:rPr>
      </w:pPr>
      <w:r>
        <w:rPr>
          <w:rFonts w:ascii="Arial" w:eastAsia="Arial" w:hAnsi="Arial" w:cs="Arial"/>
          <w:sz w:val="16"/>
          <w:szCs w:val="16"/>
        </w:rPr>
        <w:t xml:space="preserve">Subject to the obligations of the Parties as set forth in the L Brands to VS Transition Services Agreement or any other </w:t>
      </w:r>
      <w:r>
        <w:rPr>
          <w:rFonts w:ascii="Arial" w:eastAsia="Arial" w:hAnsi="Arial" w:cs="Arial"/>
          <w:sz w:val="16"/>
          <w:szCs w:val="16"/>
        </w:rPr>
        <w:t>applicable Ancillary Agreement, effective as of no later than the Distribution Date (or, in the case of any Delayed VS Transfer Employees or Delayed LB Transfer Employees, as applicable, the applicable Delayed Transfer Date), (A) the members of the VS Grou</w:t>
      </w:r>
      <w:r>
        <w:rPr>
          <w:rFonts w:ascii="Arial" w:eastAsia="Arial" w:hAnsi="Arial" w:cs="Arial"/>
          <w:sz w:val="16"/>
          <w:szCs w:val="16"/>
        </w:rPr>
        <w:t>p shall be solely responsible for providing payroll services (including for any payroll period already in progress) to the VS Employees and for any Liabilities with respect to garnishments of the salary and wages thereof and</w:t>
      </w:r>
    </w:p>
    <w:p w14:paraId="1150FD36" w14:textId="77777777" w:rsidR="00D1587D" w:rsidRDefault="00D1587D">
      <w:pPr>
        <w:spacing w:line="1" w:lineRule="exact"/>
        <w:rPr>
          <w:rFonts w:ascii="Arial" w:eastAsia="Arial" w:hAnsi="Arial" w:cs="Arial"/>
          <w:sz w:val="16"/>
          <w:szCs w:val="16"/>
        </w:rPr>
      </w:pPr>
    </w:p>
    <w:p w14:paraId="6B0EAC5F" w14:textId="77777777" w:rsidR="00D1587D" w:rsidRDefault="00410D07">
      <w:pPr>
        <w:numPr>
          <w:ilvl w:val="0"/>
          <w:numId w:val="184"/>
        </w:numPr>
        <w:tabs>
          <w:tab w:val="left" w:pos="292"/>
        </w:tabs>
        <w:spacing w:line="260" w:lineRule="auto"/>
        <w:ind w:firstLine="8"/>
        <w:rPr>
          <w:rFonts w:ascii="Arial" w:eastAsia="Arial" w:hAnsi="Arial" w:cs="Arial"/>
          <w:sz w:val="18"/>
          <w:szCs w:val="18"/>
        </w:rPr>
      </w:pPr>
      <w:r>
        <w:rPr>
          <w:rFonts w:ascii="Arial" w:eastAsia="Arial" w:hAnsi="Arial" w:cs="Arial"/>
          <w:sz w:val="18"/>
          <w:szCs w:val="18"/>
        </w:rPr>
        <w:t>the members of the L Brands Gr</w:t>
      </w:r>
      <w:r>
        <w:rPr>
          <w:rFonts w:ascii="Arial" w:eastAsia="Arial" w:hAnsi="Arial" w:cs="Arial"/>
          <w:sz w:val="18"/>
          <w:szCs w:val="18"/>
        </w:rPr>
        <w:t>oup shall be solely responsible for providing payroll services (including for any payroll period already in progress) to the L Brands Employees and for any Liabilities with respect to garnishments of the salary and wages thereof.</w:t>
      </w:r>
    </w:p>
    <w:p w14:paraId="2CF7BBB6" w14:textId="77777777" w:rsidR="00D1587D" w:rsidRDefault="00D1587D">
      <w:pPr>
        <w:spacing w:line="185" w:lineRule="exact"/>
        <w:rPr>
          <w:rFonts w:ascii="Arial" w:eastAsia="Arial" w:hAnsi="Arial" w:cs="Arial"/>
          <w:sz w:val="18"/>
          <w:szCs w:val="18"/>
        </w:rPr>
      </w:pPr>
    </w:p>
    <w:p w14:paraId="36E9110E" w14:textId="77777777" w:rsidR="00D1587D" w:rsidRDefault="00410D07">
      <w:pPr>
        <w:numPr>
          <w:ilvl w:val="1"/>
          <w:numId w:val="184"/>
        </w:numPr>
        <w:tabs>
          <w:tab w:val="left" w:pos="1096"/>
        </w:tabs>
        <w:spacing w:line="263" w:lineRule="auto"/>
        <w:ind w:firstLine="656"/>
        <w:jc w:val="both"/>
        <w:rPr>
          <w:rFonts w:ascii="Arial" w:eastAsia="Arial" w:hAnsi="Arial" w:cs="Arial"/>
          <w:sz w:val="18"/>
          <w:szCs w:val="18"/>
        </w:rPr>
      </w:pPr>
      <w:r>
        <w:rPr>
          <w:rFonts w:ascii="Arial" w:eastAsia="Arial" w:hAnsi="Arial" w:cs="Arial"/>
          <w:sz w:val="18"/>
          <w:szCs w:val="18"/>
        </w:rPr>
        <w:t xml:space="preserve">To the extent </w:t>
      </w:r>
      <w:r>
        <w:rPr>
          <w:rFonts w:ascii="Arial" w:eastAsia="Arial" w:hAnsi="Arial" w:cs="Arial"/>
          <w:sz w:val="18"/>
          <w:szCs w:val="18"/>
        </w:rPr>
        <w:t>permitted by Applicable Law, the Party that is responsible for making a payment hereunder shall be responsible for (i) making the appropriate withholdings, if any, attributable to such payments and (ii) preparing and filing all related required forms and r</w:t>
      </w:r>
      <w:r>
        <w:rPr>
          <w:rFonts w:ascii="Arial" w:eastAsia="Arial" w:hAnsi="Arial" w:cs="Arial"/>
          <w:sz w:val="18"/>
          <w:szCs w:val="18"/>
        </w:rPr>
        <w:t>eturns with the appropriate Governmental Authority.</w:t>
      </w:r>
    </w:p>
    <w:p w14:paraId="26401B0E" w14:textId="77777777" w:rsidR="00D1587D" w:rsidRDefault="00D1587D">
      <w:pPr>
        <w:spacing w:line="183" w:lineRule="exact"/>
        <w:rPr>
          <w:rFonts w:ascii="Arial" w:eastAsia="Arial" w:hAnsi="Arial" w:cs="Arial"/>
          <w:sz w:val="18"/>
          <w:szCs w:val="18"/>
        </w:rPr>
      </w:pPr>
    </w:p>
    <w:p w14:paraId="045AC12E" w14:textId="77777777" w:rsidR="00D1587D" w:rsidRDefault="00410D07">
      <w:pPr>
        <w:numPr>
          <w:ilvl w:val="1"/>
          <w:numId w:val="184"/>
        </w:numPr>
        <w:tabs>
          <w:tab w:val="left" w:pos="1099"/>
        </w:tabs>
        <w:spacing w:line="279" w:lineRule="auto"/>
        <w:ind w:firstLine="656"/>
        <w:jc w:val="both"/>
        <w:rPr>
          <w:rFonts w:ascii="Arial" w:eastAsia="Arial" w:hAnsi="Arial" w:cs="Arial"/>
          <w:sz w:val="17"/>
          <w:szCs w:val="17"/>
        </w:rPr>
      </w:pPr>
      <w:r>
        <w:rPr>
          <w:rFonts w:ascii="Arial" w:eastAsia="Arial" w:hAnsi="Arial" w:cs="Arial"/>
          <w:sz w:val="17"/>
          <w:szCs w:val="17"/>
        </w:rPr>
        <w:t>With respect to VS Employees, the Parties shall (i) treat VS (or the applicable member of the VS Group) as a “successor employer” and L Brands (or the applicable member of the L Brands Group) as a “prede</w:t>
      </w:r>
      <w:r>
        <w:rPr>
          <w:rFonts w:ascii="Arial" w:eastAsia="Arial" w:hAnsi="Arial" w:cs="Arial"/>
          <w:sz w:val="17"/>
          <w:szCs w:val="17"/>
        </w:rPr>
        <w:t xml:space="preserve">cessor,” within the meaning of Sections 3121(a)(1) and 3306(b)(1) of the Code, for purposes of taxes imposed under the U.S. Federal Unemployment Tax Act or the U.S. Federal Insurance Contributions Act, and (ii) cooperate and use reasonable best efforts to </w:t>
      </w:r>
      <w:r>
        <w:rPr>
          <w:rFonts w:ascii="Arial" w:eastAsia="Arial" w:hAnsi="Arial" w:cs="Arial"/>
          <w:sz w:val="17"/>
          <w:szCs w:val="17"/>
        </w:rPr>
        <w:t>implement the alternate procedure described in Section 5 of Revenue Procedure 2004-53.</w:t>
      </w:r>
    </w:p>
    <w:p w14:paraId="28B1B411" w14:textId="77777777" w:rsidR="00D1587D" w:rsidRDefault="00D1587D">
      <w:pPr>
        <w:spacing w:line="171" w:lineRule="exact"/>
        <w:rPr>
          <w:rFonts w:ascii="Arial" w:eastAsia="Arial" w:hAnsi="Arial" w:cs="Arial"/>
          <w:sz w:val="17"/>
          <w:szCs w:val="17"/>
        </w:rPr>
      </w:pPr>
    </w:p>
    <w:p w14:paraId="4455A60D" w14:textId="77777777" w:rsidR="00D1587D" w:rsidRDefault="00410D07">
      <w:pPr>
        <w:numPr>
          <w:ilvl w:val="1"/>
          <w:numId w:val="184"/>
        </w:numPr>
        <w:tabs>
          <w:tab w:val="left" w:pos="1096"/>
        </w:tabs>
        <w:spacing w:line="279" w:lineRule="auto"/>
        <w:ind w:firstLine="656"/>
        <w:jc w:val="both"/>
        <w:rPr>
          <w:rFonts w:ascii="Arial" w:eastAsia="Arial" w:hAnsi="Arial" w:cs="Arial"/>
          <w:sz w:val="17"/>
          <w:szCs w:val="17"/>
        </w:rPr>
      </w:pPr>
      <w:r>
        <w:rPr>
          <w:rFonts w:ascii="Arial" w:eastAsia="Arial" w:hAnsi="Arial" w:cs="Arial"/>
          <w:sz w:val="17"/>
          <w:szCs w:val="17"/>
        </w:rPr>
        <w:t>With respect to Delayed LB Transfer Employees, the Parties shall (i) treat L Brands (or the applicable member of the L Brands Group) as a “successor employer” and VS (o</w:t>
      </w:r>
      <w:r>
        <w:rPr>
          <w:rFonts w:ascii="Arial" w:eastAsia="Arial" w:hAnsi="Arial" w:cs="Arial"/>
          <w:sz w:val="17"/>
          <w:szCs w:val="17"/>
        </w:rPr>
        <w:t>r the applicable member of the VS Group) as a “predecessor,” within the meaning of Sections 3121(a)(1) and 3306(b)(1) of the Code, for purposes of taxes imposed under the U.S. Federal Unemployment Tax Act or the U.S. Federal Insurance Contributions Act, an</w:t>
      </w:r>
      <w:r>
        <w:rPr>
          <w:rFonts w:ascii="Arial" w:eastAsia="Arial" w:hAnsi="Arial" w:cs="Arial"/>
          <w:sz w:val="17"/>
          <w:szCs w:val="17"/>
        </w:rPr>
        <w:t>d (ii) cooperate and use reasonable best efforts to implement the alternate procedure described in Section 5 of Revenue Procedure 2004-53.</w:t>
      </w:r>
    </w:p>
    <w:p w14:paraId="24D00B34" w14:textId="77777777" w:rsidR="00D1587D" w:rsidRDefault="00D1587D">
      <w:pPr>
        <w:spacing w:line="342" w:lineRule="exact"/>
        <w:rPr>
          <w:sz w:val="20"/>
          <w:szCs w:val="20"/>
        </w:rPr>
      </w:pPr>
    </w:p>
    <w:p w14:paraId="5C4A927F" w14:textId="77777777" w:rsidR="00D1587D" w:rsidRDefault="00410D07">
      <w:pPr>
        <w:jc w:val="center"/>
        <w:rPr>
          <w:sz w:val="20"/>
          <w:szCs w:val="20"/>
        </w:rPr>
      </w:pPr>
      <w:r>
        <w:rPr>
          <w:rFonts w:ascii="Arial" w:eastAsia="Arial" w:hAnsi="Arial" w:cs="Arial"/>
          <w:sz w:val="14"/>
          <w:szCs w:val="14"/>
        </w:rPr>
        <w:t>37</w:t>
      </w:r>
    </w:p>
    <w:p w14:paraId="33E2EC5A" w14:textId="77777777" w:rsidR="00D1587D" w:rsidRDefault="00410D07">
      <w:pPr>
        <w:spacing w:line="20" w:lineRule="exact"/>
        <w:rPr>
          <w:sz w:val="20"/>
          <w:szCs w:val="20"/>
        </w:rPr>
      </w:pPr>
      <w:r>
        <w:rPr>
          <w:noProof/>
          <w:sz w:val="20"/>
          <w:szCs w:val="20"/>
        </w:rPr>
        <w:drawing>
          <wp:anchor distT="0" distB="0" distL="114300" distR="114300" simplePos="0" relativeHeight="251366400" behindDoc="1" locked="0" layoutInCell="0" allowOverlap="1" wp14:anchorId="7A6044E1" wp14:editId="5A3F6186">
            <wp:simplePos x="0" y="0"/>
            <wp:positionH relativeFrom="column">
              <wp:posOffset>5080</wp:posOffset>
            </wp:positionH>
            <wp:positionV relativeFrom="paragraph">
              <wp:posOffset>38100</wp:posOffset>
            </wp:positionV>
            <wp:extent cx="7132320" cy="1714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39206D9" w14:textId="77777777" w:rsidR="00D1587D" w:rsidRDefault="00D1587D">
      <w:pPr>
        <w:sectPr w:rsidR="00D1587D">
          <w:pgSz w:w="11900" w:h="16838"/>
          <w:pgMar w:top="125" w:right="339" w:bottom="1440" w:left="320" w:header="0" w:footer="0" w:gutter="0"/>
          <w:cols w:space="720" w:equalWidth="0">
            <w:col w:w="11240"/>
          </w:cols>
        </w:sectPr>
      </w:pPr>
    </w:p>
    <w:p w14:paraId="341D779E" w14:textId="77777777" w:rsidR="00D1587D" w:rsidRDefault="00410D07">
      <w:pPr>
        <w:jc w:val="center"/>
        <w:rPr>
          <w:sz w:val="20"/>
          <w:szCs w:val="20"/>
        </w:rPr>
      </w:pPr>
      <w:bookmarkStart w:id="208" w:name="page209"/>
      <w:bookmarkEnd w:id="208"/>
      <w:r>
        <w:rPr>
          <w:rFonts w:ascii="Arial" w:eastAsia="Arial" w:hAnsi="Arial" w:cs="Arial"/>
          <w:sz w:val="18"/>
          <w:szCs w:val="18"/>
        </w:rPr>
        <w:t>ARTICLE 10</w:t>
      </w:r>
    </w:p>
    <w:p w14:paraId="6982B87F" w14:textId="77777777" w:rsidR="00D1587D" w:rsidRDefault="00D1587D">
      <w:pPr>
        <w:spacing w:line="23" w:lineRule="exact"/>
        <w:rPr>
          <w:sz w:val="20"/>
          <w:szCs w:val="20"/>
        </w:rPr>
      </w:pPr>
    </w:p>
    <w:p w14:paraId="56ECC0A5" w14:textId="77777777" w:rsidR="00D1587D" w:rsidRDefault="00410D07">
      <w:pPr>
        <w:jc w:val="center"/>
        <w:rPr>
          <w:sz w:val="20"/>
          <w:szCs w:val="20"/>
        </w:rPr>
      </w:pPr>
      <w:r>
        <w:rPr>
          <w:rFonts w:ascii="Arial" w:eastAsia="Arial" w:hAnsi="Arial" w:cs="Arial"/>
          <w:sz w:val="18"/>
          <w:szCs w:val="18"/>
        </w:rPr>
        <w:t>N</w:t>
      </w:r>
      <w:r>
        <w:rPr>
          <w:rFonts w:ascii="Arial" w:eastAsia="Arial" w:hAnsi="Arial" w:cs="Arial"/>
          <w:sz w:val="12"/>
          <w:szCs w:val="12"/>
        </w:rPr>
        <w:t>ON</w:t>
      </w:r>
      <w:r>
        <w:rPr>
          <w:rFonts w:ascii="Arial" w:eastAsia="Arial" w:hAnsi="Arial" w:cs="Arial"/>
          <w:sz w:val="18"/>
          <w:szCs w:val="18"/>
        </w:rPr>
        <w:t>-U.S. E</w:t>
      </w:r>
      <w:r>
        <w:rPr>
          <w:rFonts w:ascii="Arial" w:eastAsia="Arial" w:hAnsi="Arial" w:cs="Arial"/>
          <w:sz w:val="12"/>
          <w:szCs w:val="12"/>
        </w:rPr>
        <w:t>MPLOYEES AND</w:t>
      </w:r>
      <w:r>
        <w:rPr>
          <w:rFonts w:ascii="Arial" w:eastAsia="Arial" w:hAnsi="Arial" w:cs="Arial"/>
          <w:sz w:val="18"/>
          <w:szCs w:val="18"/>
        </w:rPr>
        <w:t xml:space="preserve"> E</w:t>
      </w:r>
      <w:r>
        <w:rPr>
          <w:rFonts w:ascii="Arial" w:eastAsia="Arial" w:hAnsi="Arial" w:cs="Arial"/>
          <w:sz w:val="12"/>
          <w:szCs w:val="12"/>
        </w:rPr>
        <w:t>MPLOYEE</w:t>
      </w:r>
      <w:r>
        <w:rPr>
          <w:rFonts w:ascii="Arial" w:eastAsia="Arial" w:hAnsi="Arial" w:cs="Arial"/>
          <w:sz w:val="18"/>
          <w:szCs w:val="18"/>
        </w:rPr>
        <w:t xml:space="preserve"> P</w:t>
      </w:r>
      <w:r>
        <w:rPr>
          <w:rFonts w:ascii="Arial" w:eastAsia="Arial" w:hAnsi="Arial" w:cs="Arial"/>
          <w:sz w:val="12"/>
          <w:szCs w:val="12"/>
        </w:rPr>
        <w:t>LANS</w:t>
      </w:r>
    </w:p>
    <w:p w14:paraId="53A751FB" w14:textId="77777777" w:rsidR="00D1587D" w:rsidRDefault="00D1587D">
      <w:pPr>
        <w:spacing w:line="211" w:lineRule="exact"/>
        <w:rPr>
          <w:sz w:val="20"/>
          <w:szCs w:val="20"/>
        </w:rPr>
      </w:pPr>
    </w:p>
    <w:p w14:paraId="5500F46E" w14:textId="77777777" w:rsidR="00D1587D" w:rsidRDefault="00410D07">
      <w:pPr>
        <w:spacing w:line="273" w:lineRule="auto"/>
        <w:ind w:firstLine="648"/>
        <w:jc w:val="both"/>
        <w:rPr>
          <w:sz w:val="20"/>
          <w:szCs w:val="20"/>
        </w:rPr>
      </w:pPr>
      <w:r>
        <w:rPr>
          <w:rFonts w:ascii="Arial" w:eastAsia="Arial" w:hAnsi="Arial" w:cs="Arial"/>
          <w:sz w:val="17"/>
          <w:szCs w:val="17"/>
        </w:rPr>
        <w:t xml:space="preserve">Section 10.01. </w:t>
      </w:r>
      <w:r>
        <w:rPr>
          <w:rFonts w:ascii="Arial" w:eastAsia="Arial" w:hAnsi="Arial" w:cs="Arial"/>
          <w:i/>
          <w:iCs/>
          <w:sz w:val="17"/>
          <w:szCs w:val="17"/>
        </w:rPr>
        <w:t xml:space="preserve">Special </w:t>
      </w:r>
      <w:r>
        <w:rPr>
          <w:rFonts w:ascii="Arial" w:eastAsia="Arial" w:hAnsi="Arial" w:cs="Arial"/>
          <w:i/>
          <w:iCs/>
          <w:sz w:val="17"/>
          <w:szCs w:val="17"/>
        </w:rPr>
        <w:t>Provisions for Employees and Employee Plans Outside of the United States</w:t>
      </w:r>
      <w:r>
        <w:rPr>
          <w:rFonts w:ascii="Arial" w:eastAsia="Arial" w:hAnsi="Arial" w:cs="Arial"/>
          <w:sz w:val="17"/>
          <w:szCs w:val="17"/>
        </w:rPr>
        <w:t>. From and after the date hereof, to the extent not addressed in this Agreement, the L Brands to VS Transition Services Agreement or the VS to L Brands Transition Services Agreement, t</w:t>
      </w:r>
      <w:r>
        <w:rPr>
          <w:rFonts w:ascii="Arial" w:eastAsia="Arial" w:hAnsi="Arial" w:cs="Arial"/>
          <w:sz w:val="17"/>
          <w:szCs w:val="17"/>
        </w:rPr>
        <w:t>he Parties shall reasonably cooperate in good faith to effect the provisions of this Agreement with respect to (a) Non-U.S. LB Participants and Non-U.S. VS Participants and (b) employee-, compensation- and benefits-related matters outside of the United Sta</w:t>
      </w:r>
      <w:r>
        <w:rPr>
          <w:rFonts w:ascii="Arial" w:eastAsia="Arial" w:hAnsi="Arial" w:cs="Arial"/>
          <w:sz w:val="17"/>
          <w:szCs w:val="17"/>
        </w:rPr>
        <w:t>tes with respect to Non-U.S. LB Participants and Non-U.S. VS Participants, including under Non-U.S. LB Plans and Non-U.S. VS Plans, which in all cases shall be consistent with the general approach and philosophy regarding the allocation of assets and Liabi</w:t>
      </w:r>
      <w:r>
        <w:rPr>
          <w:rFonts w:ascii="Arial" w:eastAsia="Arial" w:hAnsi="Arial" w:cs="Arial"/>
          <w:sz w:val="17"/>
          <w:szCs w:val="17"/>
        </w:rPr>
        <w:t>lities (as expressly set forth in the recitals to this Agreement).</w:t>
      </w:r>
    </w:p>
    <w:p w14:paraId="20AE0F88" w14:textId="77777777" w:rsidR="00D1587D" w:rsidRDefault="00D1587D">
      <w:pPr>
        <w:spacing w:line="178" w:lineRule="exact"/>
        <w:rPr>
          <w:sz w:val="20"/>
          <w:szCs w:val="20"/>
        </w:rPr>
      </w:pPr>
    </w:p>
    <w:p w14:paraId="509699A4" w14:textId="77777777" w:rsidR="00D1587D" w:rsidRDefault="00410D07">
      <w:pPr>
        <w:jc w:val="center"/>
        <w:rPr>
          <w:sz w:val="20"/>
          <w:szCs w:val="20"/>
        </w:rPr>
      </w:pPr>
      <w:r>
        <w:rPr>
          <w:rFonts w:ascii="Arial" w:eastAsia="Arial" w:hAnsi="Arial" w:cs="Arial"/>
          <w:sz w:val="18"/>
          <w:szCs w:val="18"/>
        </w:rPr>
        <w:t>ARTICLE 11</w:t>
      </w:r>
    </w:p>
    <w:p w14:paraId="3C90FC20" w14:textId="77777777" w:rsidR="00D1587D" w:rsidRDefault="00D1587D">
      <w:pPr>
        <w:spacing w:line="23" w:lineRule="exact"/>
        <w:rPr>
          <w:sz w:val="20"/>
          <w:szCs w:val="20"/>
        </w:rPr>
      </w:pPr>
    </w:p>
    <w:p w14:paraId="21251F69" w14:textId="77777777" w:rsidR="00D1587D" w:rsidRDefault="00410D07">
      <w:pPr>
        <w:jc w:val="center"/>
        <w:rPr>
          <w:sz w:val="20"/>
          <w:szCs w:val="20"/>
        </w:rPr>
      </w:pPr>
      <w:r>
        <w:rPr>
          <w:rFonts w:ascii="Arial" w:eastAsia="Arial" w:hAnsi="Arial" w:cs="Arial"/>
          <w:sz w:val="18"/>
          <w:szCs w:val="18"/>
        </w:rPr>
        <w:t>G</w:t>
      </w:r>
      <w:r>
        <w:rPr>
          <w:rFonts w:ascii="Arial" w:eastAsia="Arial" w:hAnsi="Arial" w:cs="Arial"/>
          <w:sz w:val="12"/>
          <w:szCs w:val="12"/>
        </w:rPr>
        <w:t>ENERAL AND</w:t>
      </w:r>
      <w:r>
        <w:rPr>
          <w:rFonts w:ascii="Arial" w:eastAsia="Arial" w:hAnsi="Arial" w:cs="Arial"/>
          <w:sz w:val="18"/>
          <w:szCs w:val="18"/>
        </w:rPr>
        <w:t xml:space="preserve"> A</w:t>
      </w:r>
      <w:r>
        <w:rPr>
          <w:rFonts w:ascii="Arial" w:eastAsia="Arial" w:hAnsi="Arial" w:cs="Arial"/>
          <w:sz w:val="12"/>
          <w:szCs w:val="12"/>
        </w:rPr>
        <w:t>DMINISTRATIVE</w:t>
      </w:r>
    </w:p>
    <w:p w14:paraId="2832B312" w14:textId="77777777" w:rsidR="00D1587D" w:rsidRDefault="00D1587D">
      <w:pPr>
        <w:spacing w:line="211" w:lineRule="exact"/>
        <w:rPr>
          <w:sz w:val="20"/>
          <w:szCs w:val="20"/>
        </w:rPr>
      </w:pPr>
    </w:p>
    <w:p w14:paraId="3C0C8EA8" w14:textId="77777777" w:rsidR="00D1587D" w:rsidRDefault="00410D07">
      <w:pPr>
        <w:spacing w:line="254" w:lineRule="auto"/>
        <w:ind w:firstLine="648"/>
        <w:jc w:val="both"/>
        <w:rPr>
          <w:sz w:val="20"/>
          <w:szCs w:val="20"/>
        </w:rPr>
      </w:pPr>
      <w:r>
        <w:rPr>
          <w:rFonts w:ascii="Arial" w:eastAsia="Arial" w:hAnsi="Arial" w:cs="Arial"/>
          <w:sz w:val="18"/>
          <w:szCs w:val="18"/>
        </w:rPr>
        <w:t xml:space="preserve">Section 11.01. </w:t>
      </w:r>
      <w:r>
        <w:rPr>
          <w:rFonts w:ascii="Arial" w:eastAsia="Arial" w:hAnsi="Arial" w:cs="Arial"/>
          <w:i/>
          <w:iCs/>
          <w:sz w:val="18"/>
          <w:szCs w:val="18"/>
        </w:rPr>
        <w:t>Sharing of Participant Information</w:t>
      </w:r>
      <w:r>
        <w:rPr>
          <w:rFonts w:ascii="Arial" w:eastAsia="Arial" w:hAnsi="Arial" w:cs="Arial"/>
          <w:sz w:val="18"/>
          <w:szCs w:val="18"/>
        </w:rPr>
        <w:t xml:space="preserve">. Without limiting the generality of any of the provisions of any other Ancillary </w:t>
      </w:r>
      <w:r>
        <w:rPr>
          <w:rFonts w:ascii="Arial" w:eastAsia="Arial" w:hAnsi="Arial" w:cs="Arial"/>
          <w:sz w:val="18"/>
          <w:szCs w:val="18"/>
        </w:rPr>
        <w:t>Agreements, to the maximum extent permitted under Applicable Law, L Brands and VS shall, and shall cause each member of the L Brands Group and the VS Group, respectively, to reasonably cooperate with the other Party hereto to, (A) share with each other and</w:t>
      </w:r>
      <w:r>
        <w:rPr>
          <w:rFonts w:ascii="Arial" w:eastAsia="Arial" w:hAnsi="Arial" w:cs="Arial"/>
          <w:sz w:val="18"/>
          <w:szCs w:val="18"/>
        </w:rPr>
        <w:t xml:space="preserve"> their respective agents and vendors all participant information reasonably necessary for the efficient and accurate administration of each of the L Brands Plans and the VS Plans, (ii) provide prompt written notification regarding the termination of employ</w:t>
      </w:r>
      <w:r>
        <w:rPr>
          <w:rFonts w:ascii="Arial" w:eastAsia="Arial" w:hAnsi="Arial" w:cs="Arial"/>
          <w:sz w:val="18"/>
          <w:szCs w:val="18"/>
        </w:rPr>
        <w:t>ment or service of any VS Participant or L Brands Participant to the extent relevant to the administration of an L Brands Plan or VS Plan, (iii) facilitate the transactions and activities contemplated by this Agreement and (iv) resolve any and all employme</w:t>
      </w:r>
      <w:r>
        <w:rPr>
          <w:rFonts w:ascii="Arial" w:eastAsia="Arial" w:hAnsi="Arial" w:cs="Arial"/>
          <w:sz w:val="18"/>
          <w:szCs w:val="18"/>
        </w:rPr>
        <w:t>nt-related claims regarding VS Participants and L Brands Participants.</w:t>
      </w:r>
    </w:p>
    <w:p w14:paraId="48C9AA0F" w14:textId="77777777" w:rsidR="00D1587D" w:rsidRDefault="00D1587D">
      <w:pPr>
        <w:spacing w:line="195" w:lineRule="exact"/>
        <w:rPr>
          <w:sz w:val="20"/>
          <w:szCs w:val="20"/>
        </w:rPr>
      </w:pPr>
    </w:p>
    <w:p w14:paraId="7B8DD1EB" w14:textId="77777777" w:rsidR="00D1587D" w:rsidRDefault="00410D07">
      <w:pPr>
        <w:spacing w:line="255" w:lineRule="auto"/>
        <w:ind w:firstLine="648"/>
        <w:jc w:val="both"/>
        <w:rPr>
          <w:sz w:val="20"/>
          <w:szCs w:val="20"/>
        </w:rPr>
      </w:pPr>
      <w:r>
        <w:rPr>
          <w:rFonts w:ascii="Arial" w:eastAsia="Arial" w:hAnsi="Arial" w:cs="Arial"/>
          <w:sz w:val="18"/>
          <w:szCs w:val="18"/>
        </w:rPr>
        <w:t xml:space="preserve">Section 11.02. </w:t>
      </w:r>
      <w:r>
        <w:rPr>
          <w:rFonts w:ascii="Arial" w:eastAsia="Arial" w:hAnsi="Arial" w:cs="Arial"/>
          <w:i/>
          <w:iCs/>
          <w:sz w:val="18"/>
          <w:szCs w:val="18"/>
        </w:rPr>
        <w:t>Cooperation.</w:t>
      </w:r>
      <w:r>
        <w:rPr>
          <w:rFonts w:ascii="Arial" w:eastAsia="Arial" w:hAnsi="Arial" w:cs="Arial"/>
          <w:sz w:val="18"/>
          <w:szCs w:val="18"/>
        </w:rPr>
        <w:t xml:space="preserve"> Following the date of this Agreement, each of VS and L Brands shall, and shall cause the members of the VS Group and the L Brands Group, respectively, to, c</w:t>
      </w:r>
      <w:r>
        <w:rPr>
          <w:rFonts w:ascii="Arial" w:eastAsia="Arial" w:hAnsi="Arial" w:cs="Arial"/>
          <w:sz w:val="18"/>
          <w:szCs w:val="18"/>
        </w:rPr>
        <w:t xml:space="preserve">ooperate in good faith with respect to any employee compensation or benefits matters that either party reasonably determines require the cooperation of the other Party in order to accomplish the objectives of this Agreement (including, without limitation, </w:t>
      </w:r>
      <w:r>
        <w:rPr>
          <w:rFonts w:ascii="Arial" w:eastAsia="Arial" w:hAnsi="Arial" w:cs="Arial"/>
          <w:sz w:val="18"/>
          <w:szCs w:val="18"/>
        </w:rPr>
        <w:t xml:space="preserve">relating to any audits by any Governmental Authorities); </w:t>
      </w:r>
      <w:r>
        <w:rPr>
          <w:rFonts w:ascii="Arial" w:eastAsia="Arial" w:hAnsi="Arial" w:cs="Arial"/>
          <w:i/>
          <w:iCs/>
          <w:sz w:val="18"/>
          <w:szCs w:val="18"/>
        </w:rPr>
        <w:t>provided</w:t>
      </w:r>
      <w:r>
        <w:rPr>
          <w:rFonts w:ascii="Arial" w:eastAsia="Arial" w:hAnsi="Arial" w:cs="Arial"/>
          <w:sz w:val="18"/>
          <w:szCs w:val="18"/>
        </w:rPr>
        <w:t xml:space="preserve"> that nothing herein shall be deemed to require any member of the VS Group to administer any L Brands Plan or to require any member of the L Brands Group to administer any VS Plan, in each ca</w:t>
      </w:r>
      <w:r>
        <w:rPr>
          <w:rFonts w:ascii="Arial" w:eastAsia="Arial" w:hAnsi="Arial" w:cs="Arial"/>
          <w:sz w:val="18"/>
          <w:szCs w:val="18"/>
        </w:rPr>
        <w:t>se at any time on or following the Distribution Date.</w:t>
      </w:r>
    </w:p>
    <w:p w14:paraId="0ABB27B9" w14:textId="77777777" w:rsidR="00D1587D" w:rsidRDefault="00D1587D">
      <w:pPr>
        <w:spacing w:line="364" w:lineRule="exact"/>
        <w:rPr>
          <w:sz w:val="20"/>
          <w:szCs w:val="20"/>
        </w:rPr>
      </w:pPr>
    </w:p>
    <w:p w14:paraId="48EFA7B8" w14:textId="77777777" w:rsidR="00D1587D" w:rsidRDefault="00410D07">
      <w:pPr>
        <w:jc w:val="center"/>
        <w:rPr>
          <w:sz w:val="20"/>
          <w:szCs w:val="20"/>
        </w:rPr>
      </w:pPr>
      <w:r>
        <w:rPr>
          <w:rFonts w:ascii="Arial" w:eastAsia="Arial" w:hAnsi="Arial" w:cs="Arial"/>
          <w:sz w:val="14"/>
          <w:szCs w:val="14"/>
        </w:rPr>
        <w:t>38</w:t>
      </w:r>
    </w:p>
    <w:p w14:paraId="2D020A92" w14:textId="77777777" w:rsidR="00D1587D" w:rsidRDefault="00410D07">
      <w:pPr>
        <w:spacing w:line="20" w:lineRule="exact"/>
        <w:rPr>
          <w:sz w:val="20"/>
          <w:szCs w:val="20"/>
        </w:rPr>
      </w:pPr>
      <w:r>
        <w:rPr>
          <w:noProof/>
          <w:sz w:val="20"/>
          <w:szCs w:val="20"/>
        </w:rPr>
        <w:drawing>
          <wp:anchor distT="0" distB="0" distL="114300" distR="114300" simplePos="0" relativeHeight="251367424" behindDoc="1" locked="0" layoutInCell="0" allowOverlap="1" wp14:anchorId="4C8D4033" wp14:editId="61E4BB4B">
            <wp:simplePos x="0" y="0"/>
            <wp:positionH relativeFrom="column">
              <wp:posOffset>5080</wp:posOffset>
            </wp:positionH>
            <wp:positionV relativeFrom="paragraph">
              <wp:posOffset>38100</wp:posOffset>
            </wp:positionV>
            <wp:extent cx="7132320" cy="1714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25C5CE1" w14:textId="77777777" w:rsidR="00D1587D" w:rsidRDefault="00D1587D">
      <w:pPr>
        <w:sectPr w:rsidR="00D1587D">
          <w:pgSz w:w="11900" w:h="16838"/>
          <w:pgMar w:top="125" w:right="339" w:bottom="1440" w:left="320" w:header="0" w:footer="0" w:gutter="0"/>
          <w:cols w:space="720" w:equalWidth="0">
            <w:col w:w="11240"/>
          </w:cols>
        </w:sectPr>
      </w:pPr>
    </w:p>
    <w:p w14:paraId="6C63F568" w14:textId="77777777" w:rsidR="00D1587D" w:rsidRDefault="00410D07">
      <w:pPr>
        <w:tabs>
          <w:tab w:val="left" w:pos="1820"/>
        </w:tabs>
        <w:ind w:left="660"/>
        <w:rPr>
          <w:sz w:val="20"/>
          <w:szCs w:val="20"/>
        </w:rPr>
      </w:pPr>
      <w:bookmarkStart w:id="209" w:name="page210"/>
      <w:bookmarkEnd w:id="209"/>
      <w:r>
        <w:rPr>
          <w:rFonts w:ascii="Arial" w:eastAsia="Arial" w:hAnsi="Arial" w:cs="Arial"/>
          <w:sz w:val="18"/>
          <w:szCs w:val="18"/>
        </w:rPr>
        <w:t>Section 11.03.</w:t>
      </w:r>
      <w:r>
        <w:rPr>
          <w:sz w:val="20"/>
          <w:szCs w:val="20"/>
        </w:rPr>
        <w:tab/>
      </w:r>
      <w:r>
        <w:rPr>
          <w:rFonts w:ascii="Arial" w:eastAsia="Arial" w:hAnsi="Arial" w:cs="Arial"/>
          <w:i/>
          <w:iCs/>
          <w:sz w:val="16"/>
          <w:szCs w:val="16"/>
        </w:rPr>
        <w:t>Vendor Contracts</w:t>
      </w:r>
      <w:r>
        <w:rPr>
          <w:rFonts w:ascii="Arial" w:eastAsia="Arial" w:hAnsi="Arial" w:cs="Arial"/>
          <w:sz w:val="16"/>
          <w:szCs w:val="16"/>
        </w:rPr>
        <w:t>. Prior to the Distribution Date, L Brands and VS will cooperate in good faith and use reasonable best efforts to</w:t>
      </w:r>
    </w:p>
    <w:p w14:paraId="51CA9689" w14:textId="77777777" w:rsidR="00D1587D" w:rsidRDefault="00D1587D">
      <w:pPr>
        <w:spacing w:line="23" w:lineRule="exact"/>
        <w:rPr>
          <w:sz w:val="20"/>
          <w:szCs w:val="20"/>
        </w:rPr>
      </w:pPr>
    </w:p>
    <w:p w14:paraId="63FDD411" w14:textId="77777777" w:rsidR="00D1587D" w:rsidRDefault="00410D07">
      <w:pPr>
        <w:numPr>
          <w:ilvl w:val="0"/>
          <w:numId w:val="185"/>
        </w:numPr>
        <w:tabs>
          <w:tab w:val="left" w:pos="272"/>
        </w:tabs>
        <w:spacing w:line="281" w:lineRule="auto"/>
        <w:ind w:firstLine="8"/>
        <w:jc w:val="both"/>
        <w:rPr>
          <w:rFonts w:ascii="Arial" w:eastAsia="Arial" w:hAnsi="Arial" w:cs="Arial"/>
          <w:sz w:val="16"/>
          <w:szCs w:val="16"/>
        </w:rPr>
      </w:pPr>
      <w:r>
        <w:rPr>
          <w:rFonts w:ascii="Arial" w:eastAsia="Arial" w:hAnsi="Arial" w:cs="Arial"/>
          <w:sz w:val="16"/>
          <w:szCs w:val="16"/>
        </w:rPr>
        <w:t xml:space="preserve">negotiate with the </w:t>
      </w:r>
      <w:r>
        <w:rPr>
          <w:rFonts w:ascii="Arial" w:eastAsia="Arial" w:hAnsi="Arial" w:cs="Arial"/>
          <w:sz w:val="16"/>
          <w:szCs w:val="16"/>
        </w:rPr>
        <w:t xml:space="preserve">current third-party providers to separate and assign to the VS Group or VS Plan or the L Brands Group or L Brands Plan, as applicable, the applicable rights and obligations under each group insurance policy, health maintenance organization, administrative </w:t>
      </w:r>
      <w:r>
        <w:rPr>
          <w:rFonts w:ascii="Arial" w:eastAsia="Arial" w:hAnsi="Arial" w:cs="Arial"/>
          <w:sz w:val="16"/>
          <w:szCs w:val="16"/>
        </w:rPr>
        <w:t>services contract, third-party administrator agreement, letter of understanding or arrangement that pertains to one or more L Brands Plans or VS Plans, respectively (each, a “</w:t>
      </w:r>
      <w:r>
        <w:rPr>
          <w:rFonts w:ascii="Arial" w:eastAsia="Arial" w:hAnsi="Arial" w:cs="Arial"/>
          <w:b/>
          <w:bCs/>
          <w:sz w:val="16"/>
          <w:szCs w:val="16"/>
        </w:rPr>
        <w:t>Vendor Contract</w:t>
      </w:r>
      <w:r>
        <w:rPr>
          <w:rFonts w:ascii="Arial" w:eastAsia="Arial" w:hAnsi="Arial" w:cs="Arial"/>
          <w:sz w:val="16"/>
          <w:szCs w:val="16"/>
        </w:rPr>
        <w:t>”), to the extent that such rights or obligations pertain to VS Pa</w:t>
      </w:r>
      <w:r>
        <w:rPr>
          <w:rFonts w:ascii="Arial" w:eastAsia="Arial" w:hAnsi="Arial" w:cs="Arial"/>
          <w:sz w:val="16"/>
          <w:szCs w:val="16"/>
        </w:rPr>
        <w:t>rticipants or L Brands Participants, respectively, or, in the alternative, to negotiate with the current third-party providers to provide substantially similar services to a VS Plan or L Brands Plan, respectively, on substantially similar terms under separ</w:t>
      </w:r>
      <w:r>
        <w:rPr>
          <w:rFonts w:ascii="Arial" w:eastAsia="Arial" w:hAnsi="Arial" w:cs="Arial"/>
          <w:sz w:val="16"/>
          <w:szCs w:val="16"/>
        </w:rPr>
        <w:t>ate contracts with a member of the VS Group or the VS Plans or L Brands Group or the L Brands Plans, respectively, as applicable and</w:t>
      </w:r>
    </w:p>
    <w:p w14:paraId="1BBD8943" w14:textId="77777777" w:rsidR="00D1587D" w:rsidRDefault="00D1587D">
      <w:pPr>
        <w:spacing w:line="3" w:lineRule="exact"/>
        <w:rPr>
          <w:rFonts w:ascii="Arial" w:eastAsia="Arial" w:hAnsi="Arial" w:cs="Arial"/>
          <w:sz w:val="16"/>
          <w:szCs w:val="16"/>
        </w:rPr>
      </w:pPr>
    </w:p>
    <w:p w14:paraId="51479732" w14:textId="77777777" w:rsidR="00D1587D" w:rsidRDefault="00410D07">
      <w:pPr>
        <w:numPr>
          <w:ilvl w:val="0"/>
          <w:numId w:val="185"/>
        </w:numPr>
        <w:tabs>
          <w:tab w:val="left" w:pos="273"/>
        </w:tabs>
        <w:spacing w:line="260" w:lineRule="auto"/>
        <w:ind w:firstLine="8"/>
        <w:rPr>
          <w:rFonts w:ascii="Arial" w:eastAsia="Arial" w:hAnsi="Arial" w:cs="Arial"/>
          <w:sz w:val="18"/>
          <w:szCs w:val="18"/>
        </w:rPr>
      </w:pPr>
      <w:r>
        <w:rPr>
          <w:rFonts w:ascii="Arial" w:eastAsia="Arial" w:hAnsi="Arial" w:cs="Arial"/>
          <w:sz w:val="18"/>
          <w:szCs w:val="18"/>
        </w:rPr>
        <w:t>to the extent permitted by the applicable third-party provider, obtain and maintain pricing discounts or other preferentia</w:t>
      </w:r>
      <w:r>
        <w:rPr>
          <w:rFonts w:ascii="Arial" w:eastAsia="Arial" w:hAnsi="Arial" w:cs="Arial"/>
          <w:sz w:val="18"/>
          <w:szCs w:val="18"/>
        </w:rPr>
        <w:t>l terms under the applicable Vendor Contracts.</w:t>
      </w:r>
    </w:p>
    <w:p w14:paraId="42803A6C" w14:textId="77777777" w:rsidR="00D1587D" w:rsidRDefault="00D1587D">
      <w:pPr>
        <w:spacing w:line="185" w:lineRule="exact"/>
        <w:rPr>
          <w:sz w:val="20"/>
          <w:szCs w:val="20"/>
        </w:rPr>
      </w:pPr>
    </w:p>
    <w:p w14:paraId="4C4E123B" w14:textId="77777777" w:rsidR="00D1587D" w:rsidRDefault="00410D07">
      <w:pPr>
        <w:spacing w:line="296" w:lineRule="auto"/>
        <w:ind w:firstLine="648"/>
        <w:jc w:val="both"/>
        <w:rPr>
          <w:sz w:val="20"/>
          <w:szCs w:val="20"/>
        </w:rPr>
      </w:pPr>
      <w:r>
        <w:rPr>
          <w:rFonts w:ascii="Arial" w:eastAsia="Arial" w:hAnsi="Arial" w:cs="Arial"/>
          <w:sz w:val="16"/>
          <w:szCs w:val="16"/>
        </w:rPr>
        <w:t xml:space="preserve">Section 11.04. </w:t>
      </w:r>
      <w:r>
        <w:rPr>
          <w:rFonts w:ascii="Arial" w:eastAsia="Arial" w:hAnsi="Arial" w:cs="Arial"/>
          <w:i/>
          <w:iCs/>
          <w:sz w:val="16"/>
          <w:szCs w:val="16"/>
        </w:rPr>
        <w:t>Data Privacy</w:t>
      </w:r>
      <w:r>
        <w:rPr>
          <w:rFonts w:ascii="Arial" w:eastAsia="Arial" w:hAnsi="Arial" w:cs="Arial"/>
          <w:sz w:val="16"/>
          <w:szCs w:val="16"/>
        </w:rPr>
        <w:t xml:space="preserve">. Notwithstanding anything to the contrary herein, the Parties agree that any applicable data privacy laws and any other obligations of the L Brands Group and the VS Group to </w:t>
      </w:r>
      <w:r>
        <w:rPr>
          <w:rFonts w:ascii="Arial" w:eastAsia="Arial" w:hAnsi="Arial" w:cs="Arial"/>
          <w:sz w:val="16"/>
          <w:szCs w:val="16"/>
        </w:rPr>
        <w:t xml:space="preserve">maintain the confidentiality of any employee information held by any member of the L Brands Group or the VS Group, as applicable, or any information held in connection with any Employee Plans in accordance with Applicable Law will govern the disclosure of </w:t>
      </w:r>
      <w:r>
        <w:rPr>
          <w:rFonts w:ascii="Arial" w:eastAsia="Arial" w:hAnsi="Arial" w:cs="Arial"/>
          <w:sz w:val="16"/>
          <w:szCs w:val="16"/>
        </w:rPr>
        <w:t>employee information between the Parties under this Agreement. Each of L Brands and VS will ensure that it has in place appropriate technical and organizational security measures to protect the personal data of the L Brands Participants and VS Participants</w:t>
      </w:r>
      <w:r>
        <w:rPr>
          <w:rFonts w:ascii="Arial" w:eastAsia="Arial" w:hAnsi="Arial" w:cs="Arial"/>
          <w:sz w:val="16"/>
          <w:szCs w:val="16"/>
        </w:rPr>
        <w:t>, respectively.</w:t>
      </w:r>
    </w:p>
    <w:p w14:paraId="6A1E48D5" w14:textId="77777777" w:rsidR="00D1587D" w:rsidRDefault="00D1587D">
      <w:pPr>
        <w:spacing w:line="161" w:lineRule="exact"/>
        <w:rPr>
          <w:sz w:val="20"/>
          <w:szCs w:val="20"/>
        </w:rPr>
      </w:pPr>
    </w:p>
    <w:p w14:paraId="26DD06B2" w14:textId="77777777" w:rsidR="00D1587D" w:rsidRDefault="00410D07">
      <w:pPr>
        <w:spacing w:line="254" w:lineRule="auto"/>
        <w:ind w:firstLine="648"/>
        <w:jc w:val="both"/>
        <w:rPr>
          <w:sz w:val="20"/>
          <w:szCs w:val="20"/>
        </w:rPr>
      </w:pPr>
      <w:r>
        <w:rPr>
          <w:rFonts w:ascii="Arial" w:eastAsia="Arial" w:hAnsi="Arial" w:cs="Arial"/>
          <w:sz w:val="18"/>
          <w:szCs w:val="18"/>
        </w:rPr>
        <w:t xml:space="preserve">Section 11.05. </w:t>
      </w:r>
      <w:r>
        <w:rPr>
          <w:rFonts w:ascii="Arial" w:eastAsia="Arial" w:hAnsi="Arial" w:cs="Arial"/>
          <w:i/>
          <w:iCs/>
          <w:sz w:val="18"/>
          <w:szCs w:val="18"/>
        </w:rPr>
        <w:t>Notices of Certain Events</w:t>
      </w:r>
      <w:r>
        <w:rPr>
          <w:rFonts w:ascii="Arial" w:eastAsia="Arial" w:hAnsi="Arial" w:cs="Arial"/>
          <w:sz w:val="18"/>
          <w:szCs w:val="18"/>
        </w:rPr>
        <w:t>. Each of VS and L Brands shall promptly notify and provide copies to the other of (a) written notice from any Person alleging that the approval or consent of such Person is or may be required in con</w:t>
      </w:r>
      <w:r>
        <w:rPr>
          <w:rFonts w:ascii="Arial" w:eastAsia="Arial" w:hAnsi="Arial" w:cs="Arial"/>
          <w:sz w:val="18"/>
          <w:szCs w:val="18"/>
        </w:rPr>
        <w:t xml:space="preserve">nection with the transactions contemplated by this Agreement, (b) any written notice or other communication from any Governmental Authority in connection with the transactions contemplated by this Agreement or the Separation Agreement and (c) any actions, </w:t>
      </w:r>
      <w:r>
        <w:rPr>
          <w:rFonts w:ascii="Arial" w:eastAsia="Arial" w:hAnsi="Arial" w:cs="Arial"/>
          <w:sz w:val="18"/>
          <w:szCs w:val="18"/>
        </w:rPr>
        <w:t>suits, claims, investigations or proceedings commenced or, to its knowledge, threatened against, relating to or involving or otherwise affecting the VS Group or the L Brands Group, as the case may be, that relate to the consummation of the transactions con</w:t>
      </w:r>
      <w:r>
        <w:rPr>
          <w:rFonts w:ascii="Arial" w:eastAsia="Arial" w:hAnsi="Arial" w:cs="Arial"/>
          <w:sz w:val="18"/>
          <w:szCs w:val="18"/>
        </w:rPr>
        <w:t xml:space="preserve">templated by this Agreement; </w:t>
      </w:r>
      <w:r>
        <w:rPr>
          <w:rFonts w:ascii="Arial" w:eastAsia="Arial" w:hAnsi="Arial" w:cs="Arial"/>
          <w:i/>
          <w:iCs/>
          <w:sz w:val="18"/>
          <w:szCs w:val="18"/>
        </w:rPr>
        <w:t>provided</w:t>
      </w:r>
      <w:r>
        <w:rPr>
          <w:rFonts w:ascii="Arial" w:eastAsia="Arial" w:hAnsi="Arial" w:cs="Arial"/>
          <w:sz w:val="18"/>
          <w:szCs w:val="18"/>
        </w:rPr>
        <w:t>, that the delivery of any notice pursuant to this Section 11.05 shall not affect the remedies available hereunder to the Party receiving such notice.</w:t>
      </w:r>
    </w:p>
    <w:p w14:paraId="0856A30C" w14:textId="77777777" w:rsidR="00D1587D" w:rsidRDefault="00D1587D">
      <w:pPr>
        <w:spacing w:line="366" w:lineRule="exact"/>
        <w:rPr>
          <w:sz w:val="20"/>
          <w:szCs w:val="20"/>
        </w:rPr>
      </w:pPr>
    </w:p>
    <w:p w14:paraId="7EB9C8AA" w14:textId="77777777" w:rsidR="00D1587D" w:rsidRDefault="00410D07">
      <w:pPr>
        <w:jc w:val="center"/>
        <w:rPr>
          <w:sz w:val="20"/>
          <w:szCs w:val="20"/>
        </w:rPr>
      </w:pPr>
      <w:r>
        <w:rPr>
          <w:rFonts w:ascii="Arial" w:eastAsia="Arial" w:hAnsi="Arial" w:cs="Arial"/>
          <w:sz w:val="14"/>
          <w:szCs w:val="14"/>
        </w:rPr>
        <w:t>39</w:t>
      </w:r>
    </w:p>
    <w:p w14:paraId="385422A3" w14:textId="77777777" w:rsidR="00D1587D" w:rsidRDefault="00410D07">
      <w:pPr>
        <w:spacing w:line="20" w:lineRule="exact"/>
        <w:rPr>
          <w:sz w:val="20"/>
          <w:szCs w:val="20"/>
        </w:rPr>
      </w:pPr>
      <w:r>
        <w:rPr>
          <w:noProof/>
          <w:sz w:val="20"/>
          <w:szCs w:val="20"/>
        </w:rPr>
        <w:drawing>
          <wp:anchor distT="0" distB="0" distL="114300" distR="114300" simplePos="0" relativeHeight="251368448" behindDoc="1" locked="0" layoutInCell="0" allowOverlap="1" wp14:anchorId="1EF21320" wp14:editId="47D47529">
            <wp:simplePos x="0" y="0"/>
            <wp:positionH relativeFrom="column">
              <wp:posOffset>5080</wp:posOffset>
            </wp:positionH>
            <wp:positionV relativeFrom="paragraph">
              <wp:posOffset>38100</wp:posOffset>
            </wp:positionV>
            <wp:extent cx="7132320" cy="1714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EC18AE1" w14:textId="77777777" w:rsidR="00D1587D" w:rsidRDefault="00D1587D">
      <w:pPr>
        <w:sectPr w:rsidR="00D1587D">
          <w:pgSz w:w="11900" w:h="16838"/>
          <w:pgMar w:top="125" w:right="339" w:bottom="1440" w:left="320" w:header="0" w:footer="0" w:gutter="0"/>
          <w:cols w:space="720" w:equalWidth="0">
            <w:col w:w="11240"/>
          </w:cols>
        </w:sectPr>
      </w:pPr>
    </w:p>
    <w:p w14:paraId="31F98E0A" w14:textId="77777777" w:rsidR="00D1587D" w:rsidRDefault="00410D07">
      <w:pPr>
        <w:spacing w:line="286" w:lineRule="auto"/>
        <w:ind w:firstLine="648"/>
        <w:jc w:val="both"/>
        <w:rPr>
          <w:sz w:val="20"/>
          <w:szCs w:val="20"/>
        </w:rPr>
      </w:pPr>
      <w:bookmarkStart w:id="210" w:name="page211"/>
      <w:bookmarkEnd w:id="210"/>
      <w:r>
        <w:rPr>
          <w:rFonts w:ascii="Arial" w:eastAsia="Arial" w:hAnsi="Arial" w:cs="Arial"/>
          <w:sz w:val="16"/>
          <w:szCs w:val="16"/>
        </w:rPr>
        <w:t xml:space="preserve">Section 11.06. </w:t>
      </w:r>
      <w:r>
        <w:rPr>
          <w:rFonts w:ascii="Arial" w:eastAsia="Arial" w:hAnsi="Arial" w:cs="Arial"/>
          <w:i/>
          <w:iCs/>
          <w:sz w:val="16"/>
          <w:szCs w:val="16"/>
        </w:rPr>
        <w:t>No Third-Party Beneficiarie</w:t>
      </w:r>
      <w:r>
        <w:rPr>
          <w:rFonts w:ascii="Arial" w:eastAsia="Arial" w:hAnsi="Arial" w:cs="Arial"/>
          <w:i/>
          <w:iCs/>
          <w:sz w:val="16"/>
          <w:szCs w:val="16"/>
        </w:rPr>
        <w:t>s</w:t>
      </w:r>
      <w:r>
        <w:rPr>
          <w:rFonts w:ascii="Arial" w:eastAsia="Arial" w:hAnsi="Arial" w:cs="Arial"/>
          <w:sz w:val="16"/>
          <w:szCs w:val="16"/>
        </w:rPr>
        <w:t>. Notwithstanding anything to the contrary herein, nothing in this Agreement shall (a) create any obligation on the part of any member of the VS Group or any member of the L Brands Group to retain the employment or services of any current or former employ</w:t>
      </w:r>
      <w:r>
        <w:rPr>
          <w:rFonts w:ascii="Arial" w:eastAsia="Arial" w:hAnsi="Arial" w:cs="Arial"/>
          <w:sz w:val="16"/>
          <w:szCs w:val="16"/>
        </w:rPr>
        <w:t>ee, director, independent contractor or other service provider, (b) be construed to create any right, or accelerate entitlement, to any compensation or benefit whatsoever on the part of any future, present, or former employee or service provider of any mem</w:t>
      </w:r>
      <w:r>
        <w:rPr>
          <w:rFonts w:ascii="Arial" w:eastAsia="Arial" w:hAnsi="Arial" w:cs="Arial"/>
          <w:sz w:val="16"/>
          <w:szCs w:val="16"/>
        </w:rPr>
        <w:t>ber of the L Brands Group or the VS Group (or any beneficiary or dependent thereof) under this Agreement, the Separation Agreement, any L Brands Plan or VS Plan or otherwise, (c) preclude VS or any VS Group member (or, in each case, any successor thereto),</w:t>
      </w:r>
      <w:r>
        <w:rPr>
          <w:rFonts w:ascii="Arial" w:eastAsia="Arial" w:hAnsi="Arial" w:cs="Arial"/>
          <w:sz w:val="16"/>
          <w:szCs w:val="16"/>
        </w:rPr>
        <w:t xml:space="preserve"> at any time after the Distribution Date, from amending, merging, modifying, terminating, eliminating, reducing or otherwise altering in any respect any VS Plan, any benefit under any VS Plan or any trust, insurance policy or funding vehicle related to any</w:t>
      </w:r>
      <w:r>
        <w:rPr>
          <w:rFonts w:ascii="Arial" w:eastAsia="Arial" w:hAnsi="Arial" w:cs="Arial"/>
          <w:sz w:val="16"/>
          <w:szCs w:val="16"/>
        </w:rPr>
        <w:t xml:space="preserve"> VS Plan (in each case in accordance with the terms of the applicable arrangement), (d) preclude L Brands or any L Brands Group member (or, in each case, any successor thereto), at any time after the Distribution Date, from amending, merging, modifying, te</w:t>
      </w:r>
      <w:r>
        <w:rPr>
          <w:rFonts w:ascii="Arial" w:eastAsia="Arial" w:hAnsi="Arial" w:cs="Arial"/>
          <w:sz w:val="16"/>
          <w:szCs w:val="16"/>
        </w:rPr>
        <w:t>rminating, eliminating, reducing, or otherwise altering in any respect any L Brands Plan, any benefit under any L Brands Plan or any trust, insurance policy or funding vehicle related to any L Brands Plan (in each case in accordance with the terms of the a</w:t>
      </w:r>
      <w:r>
        <w:rPr>
          <w:rFonts w:ascii="Arial" w:eastAsia="Arial" w:hAnsi="Arial" w:cs="Arial"/>
          <w:sz w:val="16"/>
          <w:szCs w:val="16"/>
        </w:rPr>
        <w:t xml:space="preserve">pplicable arrangement) or (e) confer any rights or remedies (including any third-party beneficiary rights) on any current or former employee or service provider of any member of the L Brands Group or the VS Group or any beneficiary or dependent thereof or </w:t>
      </w:r>
      <w:r>
        <w:rPr>
          <w:rFonts w:ascii="Arial" w:eastAsia="Arial" w:hAnsi="Arial" w:cs="Arial"/>
          <w:sz w:val="16"/>
          <w:szCs w:val="16"/>
        </w:rPr>
        <w:t>any other Person, including, without limitation any L Brands Participants or VS Participants.</w:t>
      </w:r>
    </w:p>
    <w:p w14:paraId="4DCAE73B" w14:textId="77777777" w:rsidR="00D1587D" w:rsidRDefault="00D1587D">
      <w:pPr>
        <w:spacing w:line="174" w:lineRule="exact"/>
        <w:rPr>
          <w:sz w:val="20"/>
          <w:szCs w:val="20"/>
        </w:rPr>
      </w:pPr>
    </w:p>
    <w:p w14:paraId="7C1594DA" w14:textId="77777777" w:rsidR="00D1587D" w:rsidRDefault="00410D07">
      <w:pPr>
        <w:spacing w:line="255" w:lineRule="auto"/>
        <w:ind w:firstLine="648"/>
        <w:jc w:val="both"/>
        <w:rPr>
          <w:sz w:val="20"/>
          <w:szCs w:val="20"/>
        </w:rPr>
      </w:pPr>
      <w:r>
        <w:rPr>
          <w:rFonts w:ascii="Arial" w:eastAsia="Arial" w:hAnsi="Arial" w:cs="Arial"/>
          <w:sz w:val="18"/>
          <w:szCs w:val="18"/>
        </w:rPr>
        <w:t xml:space="preserve">Section 11.07. </w:t>
      </w:r>
      <w:r>
        <w:rPr>
          <w:rFonts w:ascii="Arial" w:eastAsia="Arial" w:hAnsi="Arial" w:cs="Arial"/>
          <w:i/>
          <w:iCs/>
          <w:sz w:val="18"/>
          <w:szCs w:val="18"/>
        </w:rPr>
        <w:t>Fiduciary Matters</w:t>
      </w:r>
      <w:r>
        <w:rPr>
          <w:rFonts w:ascii="Arial" w:eastAsia="Arial" w:hAnsi="Arial" w:cs="Arial"/>
          <w:sz w:val="18"/>
          <w:szCs w:val="18"/>
        </w:rPr>
        <w:t>. L Brands and VS each acknowledge that actions required to be taken pursuant to this Agreement may be subject to fiduciary dutie</w:t>
      </w:r>
      <w:r>
        <w:rPr>
          <w:rFonts w:ascii="Arial" w:eastAsia="Arial" w:hAnsi="Arial" w:cs="Arial"/>
          <w:sz w:val="18"/>
          <w:szCs w:val="18"/>
        </w:rPr>
        <w:t>s or standards of conduct under ERISA or other Applicable Law, and no Party shall be deemed to be in violation of this Agreement if it fails to comply with any provisions hereof based upon its good faith determination (as supported by advice from counsel e</w:t>
      </w:r>
      <w:r>
        <w:rPr>
          <w:rFonts w:ascii="Arial" w:eastAsia="Arial" w:hAnsi="Arial" w:cs="Arial"/>
          <w:sz w:val="18"/>
          <w:szCs w:val="18"/>
        </w:rPr>
        <w:t>xperienced in such matters) that to do so would violate such a fiduciary duty or standard. Each Party shall be responsible for taking such actions as are deemed necessary and appropriate to comply with its own fiduciary responsibilities and shall fully rel</w:t>
      </w:r>
      <w:r>
        <w:rPr>
          <w:rFonts w:ascii="Arial" w:eastAsia="Arial" w:hAnsi="Arial" w:cs="Arial"/>
          <w:sz w:val="18"/>
          <w:szCs w:val="18"/>
        </w:rPr>
        <w:t>ease and indemnify the other Party for any Liabilities caused by the failure to satisfy any such responsibility.</w:t>
      </w:r>
    </w:p>
    <w:p w14:paraId="62FC67E7" w14:textId="77777777" w:rsidR="00D1587D" w:rsidRDefault="00D1587D">
      <w:pPr>
        <w:spacing w:line="192" w:lineRule="exact"/>
        <w:rPr>
          <w:sz w:val="20"/>
          <w:szCs w:val="20"/>
        </w:rPr>
      </w:pPr>
    </w:p>
    <w:p w14:paraId="082AFABD" w14:textId="77777777" w:rsidR="00D1587D" w:rsidRDefault="00410D07">
      <w:pPr>
        <w:spacing w:line="254" w:lineRule="auto"/>
        <w:ind w:firstLine="648"/>
        <w:jc w:val="both"/>
        <w:rPr>
          <w:sz w:val="20"/>
          <w:szCs w:val="20"/>
        </w:rPr>
      </w:pPr>
      <w:r>
        <w:rPr>
          <w:rFonts w:ascii="Arial" w:eastAsia="Arial" w:hAnsi="Arial" w:cs="Arial"/>
          <w:sz w:val="18"/>
          <w:szCs w:val="18"/>
        </w:rPr>
        <w:t xml:space="preserve">Section 11.08. </w:t>
      </w:r>
      <w:r>
        <w:rPr>
          <w:rFonts w:ascii="Arial" w:eastAsia="Arial" w:hAnsi="Arial" w:cs="Arial"/>
          <w:i/>
          <w:iCs/>
          <w:sz w:val="18"/>
          <w:szCs w:val="18"/>
        </w:rPr>
        <w:t>Consent of Third Parties</w:t>
      </w:r>
      <w:r>
        <w:rPr>
          <w:rFonts w:ascii="Arial" w:eastAsia="Arial" w:hAnsi="Arial" w:cs="Arial"/>
          <w:sz w:val="18"/>
          <w:szCs w:val="18"/>
        </w:rPr>
        <w:t xml:space="preserve">. If any provision of this Agreement is dependent on the consent of any third party (such as a </w:t>
      </w:r>
      <w:r>
        <w:rPr>
          <w:rFonts w:ascii="Arial" w:eastAsia="Arial" w:hAnsi="Arial" w:cs="Arial"/>
          <w:sz w:val="18"/>
          <w:szCs w:val="18"/>
        </w:rPr>
        <w:t>vendor or Governmental Authority), the Parties shall cooperate in good faith and use reasonable best efforts to obtain such consent, and, if such consent is not obtained, to implement the applicable provisions of this Agreement to the full extent practicab</w:t>
      </w:r>
      <w:r>
        <w:rPr>
          <w:rFonts w:ascii="Arial" w:eastAsia="Arial" w:hAnsi="Arial" w:cs="Arial"/>
          <w:sz w:val="18"/>
          <w:szCs w:val="18"/>
        </w:rPr>
        <w:t>le. If any provision of this Agreement cannot be implemented due to the failure of such third party to consent, the Parties shall negotiate in good faith to implement the provision in a mutually satisfactory manner. A Party’s obligation to use its “reasona</w:t>
      </w:r>
      <w:r>
        <w:rPr>
          <w:rFonts w:ascii="Arial" w:eastAsia="Arial" w:hAnsi="Arial" w:cs="Arial"/>
          <w:sz w:val="18"/>
          <w:szCs w:val="18"/>
        </w:rPr>
        <w:t>ble best efforts” shall not require such party to take any action to the extent it would reasonably be expected to (a) jeopardize, or result in the loss or waiver of, any attorney-client or other legal privilege, (b) contravene any Applicable Law or fiduci</w:t>
      </w:r>
      <w:r>
        <w:rPr>
          <w:rFonts w:ascii="Arial" w:eastAsia="Arial" w:hAnsi="Arial" w:cs="Arial"/>
          <w:sz w:val="18"/>
          <w:szCs w:val="18"/>
        </w:rPr>
        <w:t>ary duty, (c) result in the loss of protection of any Intellectual Property or other proprietary information or (d) incur any non-routine or unreasonable cost or expense.</w:t>
      </w:r>
    </w:p>
    <w:p w14:paraId="73E1D4C3" w14:textId="77777777" w:rsidR="00D1587D" w:rsidRDefault="00D1587D">
      <w:pPr>
        <w:spacing w:line="192" w:lineRule="exact"/>
        <w:rPr>
          <w:sz w:val="20"/>
          <w:szCs w:val="20"/>
        </w:rPr>
      </w:pPr>
    </w:p>
    <w:p w14:paraId="39AC2E35" w14:textId="77777777" w:rsidR="00D1587D" w:rsidRDefault="00410D07">
      <w:pPr>
        <w:spacing w:line="263" w:lineRule="auto"/>
        <w:ind w:firstLine="648"/>
        <w:jc w:val="both"/>
        <w:rPr>
          <w:sz w:val="20"/>
          <w:szCs w:val="20"/>
        </w:rPr>
      </w:pPr>
      <w:r>
        <w:rPr>
          <w:rFonts w:ascii="Arial" w:eastAsia="Arial" w:hAnsi="Arial" w:cs="Arial"/>
          <w:sz w:val="18"/>
          <w:szCs w:val="18"/>
        </w:rPr>
        <w:t xml:space="preserve">Section 11.09. </w:t>
      </w:r>
      <w:r>
        <w:rPr>
          <w:rFonts w:ascii="Arial" w:eastAsia="Arial" w:hAnsi="Arial" w:cs="Arial"/>
          <w:i/>
          <w:iCs/>
          <w:sz w:val="18"/>
          <w:szCs w:val="18"/>
        </w:rPr>
        <w:t>Section 409A</w:t>
      </w:r>
      <w:r>
        <w:rPr>
          <w:rFonts w:ascii="Arial" w:eastAsia="Arial" w:hAnsi="Arial" w:cs="Arial"/>
          <w:sz w:val="18"/>
          <w:szCs w:val="18"/>
        </w:rPr>
        <w:t>. The Parties shall cooperate in good faith so that the t</w:t>
      </w:r>
      <w:r>
        <w:rPr>
          <w:rFonts w:ascii="Arial" w:eastAsia="Arial" w:hAnsi="Arial" w:cs="Arial"/>
          <w:sz w:val="18"/>
          <w:szCs w:val="18"/>
        </w:rPr>
        <w:t>ransactions contemplated by this Agreement and the Separation Agreement will not result in adverse tax consequences under Section 409A of the Code to any LB Participant or VS Participant in respect of their benefits under any Employee Plan.</w:t>
      </w:r>
    </w:p>
    <w:p w14:paraId="1D757A5A" w14:textId="77777777" w:rsidR="00D1587D" w:rsidRDefault="00D1587D">
      <w:pPr>
        <w:spacing w:line="355" w:lineRule="exact"/>
        <w:rPr>
          <w:sz w:val="20"/>
          <w:szCs w:val="20"/>
        </w:rPr>
      </w:pPr>
    </w:p>
    <w:p w14:paraId="3EE39308" w14:textId="77777777" w:rsidR="00D1587D" w:rsidRDefault="00410D07">
      <w:pPr>
        <w:jc w:val="center"/>
        <w:rPr>
          <w:sz w:val="20"/>
          <w:szCs w:val="20"/>
        </w:rPr>
      </w:pPr>
      <w:r>
        <w:rPr>
          <w:rFonts w:ascii="Arial" w:eastAsia="Arial" w:hAnsi="Arial" w:cs="Arial"/>
          <w:sz w:val="14"/>
          <w:szCs w:val="14"/>
        </w:rPr>
        <w:t>40</w:t>
      </w:r>
    </w:p>
    <w:p w14:paraId="3B8C668F" w14:textId="77777777" w:rsidR="00D1587D" w:rsidRDefault="00410D07">
      <w:pPr>
        <w:spacing w:line="20" w:lineRule="exact"/>
        <w:rPr>
          <w:sz w:val="20"/>
          <w:szCs w:val="20"/>
        </w:rPr>
      </w:pPr>
      <w:r>
        <w:rPr>
          <w:noProof/>
          <w:sz w:val="20"/>
          <w:szCs w:val="20"/>
        </w:rPr>
        <w:drawing>
          <wp:anchor distT="0" distB="0" distL="114300" distR="114300" simplePos="0" relativeHeight="251369472" behindDoc="1" locked="0" layoutInCell="0" allowOverlap="1" wp14:anchorId="3C9F8B20" wp14:editId="4FA90D50">
            <wp:simplePos x="0" y="0"/>
            <wp:positionH relativeFrom="column">
              <wp:posOffset>5080</wp:posOffset>
            </wp:positionH>
            <wp:positionV relativeFrom="paragraph">
              <wp:posOffset>38100</wp:posOffset>
            </wp:positionV>
            <wp:extent cx="7132320" cy="1714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4474ED3" w14:textId="77777777" w:rsidR="00D1587D" w:rsidRDefault="00D1587D">
      <w:pPr>
        <w:sectPr w:rsidR="00D1587D">
          <w:pgSz w:w="11900" w:h="16838"/>
          <w:pgMar w:top="125" w:right="339" w:bottom="1440" w:left="320" w:header="0" w:footer="0" w:gutter="0"/>
          <w:cols w:space="720" w:equalWidth="0">
            <w:col w:w="11240"/>
          </w:cols>
        </w:sectPr>
      </w:pPr>
    </w:p>
    <w:p w14:paraId="0EA7A416" w14:textId="77777777" w:rsidR="00D1587D" w:rsidRDefault="00410D07">
      <w:pPr>
        <w:jc w:val="center"/>
        <w:rPr>
          <w:sz w:val="20"/>
          <w:szCs w:val="20"/>
        </w:rPr>
      </w:pPr>
      <w:bookmarkStart w:id="211" w:name="page212"/>
      <w:bookmarkEnd w:id="211"/>
      <w:r>
        <w:rPr>
          <w:rFonts w:ascii="Arial" w:eastAsia="Arial" w:hAnsi="Arial" w:cs="Arial"/>
          <w:sz w:val="18"/>
          <w:szCs w:val="18"/>
        </w:rPr>
        <w:t>ARTICLE 12</w:t>
      </w:r>
    </w:p>
    <w:p w14:paraId="504E92A5" w14:textId="77777777" w:rsidR="00D1587D" w:rsidRDefault="00D1587D">
      <w:pPr>
        <w:spacing w:line="23" w:lineRule="exact"/>
        <w:rPr>
          <w:sz w:val="20"/>
          <w:szCs w:val="20"/>
        </w:rPr>
      </w:pPr>
    </w:p>
    <w:p w14:paraId="715C95AF" w14:textId="77777777" w:rsidR="00D1587D" w:rsidRDefault="00410D07">
      <w:pPr>
        <w:jc w:val="center"/>
        <w:rPr>
          <w:sz w:val="20"/>
          <w:szCs w:val="20"/>
        </w:rPr>
      </w:pPr>
      <w:r>
        <w:rPr>
          <w:rFonts w:ascii="Arial" w:eastAsia="Arial" w:hAnsi="Arial" w:cs="Arial"/>
          <w:sz w:val="18"/>
          <w:szCs w:val="18"/>
        </w:rPr>
        <w:t>N</w:t>
      </w:r>
      <w:r>
        <w:rPr>
          <w:rFonts w:ascii="Arial" w:eastAsia="Arial" w:hAnsi="Arial" w:cs="Arial"/>
          <w:sz w:val="12"/>
          <w:szCs w:val="12"/>
        </w:rPr>
        <w:t>ON</w:t>
      </w:r>
      <w:r>
        <w:rPr>
          <w:rFonts w:ascii="Arial" w:eastAsia="Arial" w:hAnsi="Arial" w:cs="Arial"/>
          <w:sz w:val="18"/>
          <w:szCs w:val="18"/>
        </w:rPr>
        <w:t>-S</w:t>
      </w:r>
      <w:r>
        <w:rPr>
          <w:rFonts w:ascii="Arial" w:eastAsia="Arial" w:hAnsi="Arial" w:cs="Arial"/>
          <w:sz w:val="12"/>
          <w:szCs w:val="12"/>
        </w:rPr>
        <w:t>OLICIT AND</w:t>
      </w:r>
      <w:r>
        <w:rPr>
          <w:rFonts w:ascii="Arial" w:eastAsia="Arial" w:hAnsi="Arial" w:cs="Arial"/>
          <w:sz w:val="18"/>
          <w:szCs w:val="18"/>
        </w:rPr>
        <w:t xml:space="preserve"> N</w:t>
      </w:r>
      <w:r>
        <w:rPr>
          <w:rFonts w:ascii="Arial" w:eastAsia="Arial" w:hAnsi="Arial" w:cs="Arial"/>
          <w:sz w:val="12"/>
          <w:szCs w:val="12"/>
        </w:rPr>
        <w:t>O</w:t>
      </w:r>
      <w:r>
        <w:rPr>
          <w:rFonts w:ascii="Arial" w:eastAsia="Arial" w:hAnsi="Arial" w:cs="Arial"/>
          <w:sz w:val="18"/>
          <w:szCs w:val="18"/>
        </w:rPr>
        <w:t>-H</w:t>
      </w:r>
      <w:r>
        <w:rPr>
          <w:rFonts w:ascii="Arial" w:eastAsia="Arial" w:hAnsi="Arial" w:cs="Arial"/>
          <w:sz w:val="12"/>
          <w:szCs w:val="12"/>
        </w:rPr>
        <w:t>IRE</w:t>
      </w:r>
    </w:p>
    <w:p w14:paraId="07E7614D" w14:textId="77777777" w:rsidR="00D1587D" w:rsidRDefault="00D1587D">
      <w:pPr>
        <w:spacing w:line="211" w:lineRule="exact"/>
        <w:rPr>
          <w:sz w:val="20"/>
          <w:szCs w:val="20"/>
        </w:rPr>
      </w:pPr>
    </w:p>
    <w:p w14:paraId="528C6ADD" w14:textId="77777777" w:rsidR="00D1587D" w:rsidRDefault="00410D07">
      <w:pPr>
        <w:ind w:left="660"/>
        <w:rPr>
          <w:sz w:val="20"/>
          <w:szCs w:val="20"/>
        </w:rPr>
      </w:pPr>
      <w:r>
        <w:rPr>
          <w:rFonts w:ascii="Arial" w:eastAsia="Arial" w:hAnsi="Arial" w:cs="Arial"/>
          <w:sz w:val="18"/>
          <w:szCs w:val="18"/>
        </w:rPr>
        <w:t xml:space="preserve">Section 12.01.  </w:t>
      </w:r>
      <w:r>
        <w:rPr>
          <w:rFonts w:ascii="Arial" w:eastAsia="Arial" w:hAnsi="Arial" w:cs="Arial"/>
          <w:i/>
          <w:iCs/>
          <w:sz w:val="18"/>
          <w:szCs w:val="18"/>
        </w:rPr>
        <w:t>No-Hire/Non-Solicitation of Employees</w:t>
      </w:r>
      <w:r>
        <w:rPr>
          <w:rFonts w:ascii="Arial" w:eastAsia="Arial" w:hAnsi="Arial" w:cs="Arial"/>
          <w:sz w:val="18"/>
          <w:szCs w:val="18"/>
        </w:rPr>
        <w:t>.</w:t>
      </w:r>
    </w:p>
    <w:p w14:paraId="6FEC7A59" w14:textId="77777777" w:rsidR="00D1587D" w:rsidRDefault="00D1587D">
      <w:pPr>
        <w:spacing w:line="225" w:lineRule="exact"/>
        <w:rPr>
          <w:sz w:val="20"/>
          <w:szCs w:val="20"/>
        </w:rPr>
      </w:pPr>
    </w:p>
    <w:p w14:paraId="5E1E8EE8" w14:textId="77777777" w:rsidR="00D1587D" w:rsidRDefault="00410D07">
      <w:pPr>
        <w:numPr>
          <w:ilvl w:val="1"/>
          <w:numId w:val="186"/>
        </w:numPr>
        <w:tabs>
          <w:tab w:val="left" w:pos="1131"/>
        </w:tabs>
        <w:spacing w:line="286" w:lineRule="auto"/>
        <w:ind w:firstLine="656"/>
        <w:jc w:val="both"/>
        <w:rPr>
          <w:rFonts w:ascii="Arial" w:eastAsia="Arial" w:hAnsi="Arial" w:cs="Arial"/>
          <w:sz w:val="16"/>
          <w:szCs w:val="16"/>
        </w:rPr>
      </w:pPr>
      <w:r>
        <w:rPr>
          <w:rFonts w:ascii="Arial" w:eastAsia="Arial" w:hAnsi="Arial" w:cs="Arial"/>
          <w:sz w:val="16"/>
          <w:szCs w:val="16"/>
        </w:rPr>
        <w:t>During the applicable Restricted Period, VS shall not, and shall cause each member of the VS Group not to, (i) solicit or induce, or attempt to</w:t>
      </w:r>
      <w:r>
        <w:rPr>
          <w:rFonts w:ascii="Arial" w:eastAsia="Arial" w:hAnsi="Arial" w:cs="Arial"/>
          <w:sz w:val="16"/>
          <w:szCs w:val="16"/>
        </w:rPr>
        <w:t xml:space="preserve"> solicit or induce, any Covered L Brands Service Provider to terminate his or her employment or service relationship with any member of the L Brands Group or (ii) hire any L Brands Employee, New L Brands Employee or LB to VS TSA Service Employee who is or </w:t>
      </w:r>
      <w:r>
        <w:rPr>
          <w:rFonts w:ascii="Arial" w:eastAsia="Arial" w:hAnsi="Arial" w:cs="Arial"/>
          <w:sz w:val="16"/>
          <w:szCs w:val="16"/>
        </w:rPr>
        <w:t xml:space="preserve">was employed by any member of the L Brands Group at any time prior to the expiration of the applicable Restricted Period (other than, for the avoidance of doubt, a VS Employee); </w:t>
      </w:r>
      <w:r>
        <w:rPr>
          <w:rFonts w:ascii="Arial" w:eastAsia="Arial" w:hAnsi="Arial" w:cs="Arial"/>
          <w:i/>
          <w:iCs/>
          <w:sz w:val="16"/>
          <w:szCs w:val="16"/>
        </w:rPr>
        <w:t>provided</w:t>
      </w:r>
      <w:r>
        <w:rPr>
          <w:rFonts w:ascii="Arial" w:eastAsia="Arial" w:hAnsi="Arial" w:cs="Arial"/>
          <w:sz w:val="16"/>
          <w:szCs w:val="16"/>
        </w:rPr>
        <w:t xml:space="preserve"> that</w:t>
      </w:r>
    </w:p>
    <w:p w14:paraId="555D4DBF" w14:textId="77777777" w:rsidR="00D1587D" w:rsidRDefault="00D1587D">
      <w:pPr>
        <w:spacing w:line="1" w:lineRule="exact"/>
        <w:rPr>
          <w:rFonts w:ascii="Arial" w:eastAsia="Arial" w:hAnsi="Arial" w:cs="Arial"/>
          <w:sz w:val="16"/>
          <w:szCs w:val="16"/>
        </w:rPr>
      </w:pPr>
    </w:p>
    <w:p w14:paraId="777C6EB3" w14:textId="77777777" w:rsidR="00D1587D" w:rsidRDefault="00410D07">
      <w:pPr>
        <w:numPr>
          <w:ilvl w:val="0"/>
          <w:numId w:val="187"/>
        </w:numPr>
        <w:tabs>
          <w:tab w:val="left" w:pos="309"/>
        </w:tabs>
        <w:spacing w:line="281" w:lineRule="auto"/>
        <w:ind w:firstLine="8"/>
        <w:jc w:val="both"/>
        <w:rPr>
          <w:rFonts w:ascii="Arial" w:eastAsia="Arial" w:hAnsi="Arial" w:cs="Arial"/>
          <w:sz w:val="16"/>
          <w:szCs w:val="16"/>
        </w:rPr>
      </w:pPr>
      <w:r>
        <w:rPr>
          <w:rFonts w:ascii="Arial" w:eastAsia="Arial" w:hAnsi="Arial" w:cs="Arial"/>
          <w:sz w:val="16"/>
          <w:szCs w:val="16"/>
        </w:rPr>
        <w:t>the restrictions set forth in clause (i) of this Section 12.01(</w:t>
      </w:r>
      <w:r>
        <w:rPr>
          <w:rFonts w:ascii="Arial" w:eastAsia="Arial" w:hAnsi="Arial" w:cs="Arial"/>
          <w:sz w:val="16"/>
          <w:szCs w:val="16"/>
        </w:rPr>
        <w:t>a) shall not prohibit any member of the VS Group from placing public advertisements or conducting any other form of general solicitation that is not specifically targeted toward a Covered L Brands Service Provider (</w:t>
      </w:r>
      <w:r>
        <w:rPr>
          <w:rFonts w:ascii="Arial" w:eastAsia="Arial" w:hAnsi="Arial" w:cs="Arial"/>
          <w:i/>
          <w:iCs/>
          <w:sz w:val="16"/>
          <w:szCs w:val="16"/>
        </w:rPr>
        <w:t>provided</w:t>
      </w:r>
      <w:r>
        <w:rPr>
          <w:rFonts w:ascii="Arial" w:eastAsia="Arial" w:hAnsi="Arial" w:cs="Arial"/>
          <w:sz w:val="16"/>
          <w:szCs w:val="16"/>
        </w:rPr>
        <w:t xml:space="preserve"> that nothing in this proviso sha</w:t>
      </w:r>
      <w:r>
        <w:rPr>
          <w:rFonts w:ascii="Arial" w:eastAsia="Arial" w:hAnsi="Arial" w:cs="Arial"/>
          <w:sz w:val="16"/>
          <w:szCs w:val="16"/>
        </w:rPr>
        <w:t xml:space="preserve">ll permit the hiring of an L Brands Employee, New L Brands Employee or LB to VS TSA Service Employee who responds to any such public advertisement or general solicitation which would otherwise be restricted by clause (ii) of this Section 12.01(a) (for the </w:t>
      </w:r>
      <w:r>
        <w:rPr>
          <w:rFonts w:ascii="Arial" w:eastAsia="Arial" w:hAnsi="Arial" w:cs="Arial"/>
          <w:sz w:val="16"/>
          <w:szCs w:val="16"/>
        </w:rPr>
        <w:t>avoidance of doubt, the VS Group shall be permitted to hire any such employee who (I) is a retail store employee below the store manager level and (II) responds to any such public advertisement or general solicitation)), (B) the restrictions in clause (ii)</w:t>
      </w:r>
      <w:r>
        <w:rPr>
          <w:rFonts w:ascii="Arial" w:eastAsia="Arial" w:hAnsi="Arial" w:cs="Arial"/>
          <w:sz w:val="16"/>
          <w:szCs w:val="16"/>
        </w:rPr>
        <w:t xml:space="preserve"> of this Section 12.01(a) shall not apply to hiring (1) any L Brands Employee, New L Brands Employee or LB to VS TSA Service Employee who has ceased employment with the L Brands Group for a period of at least (x) six months, in the case of such employees w</w:t>
      </w:r>
      <w:r>
        <w:rPr>
          <w:rFonts w:ascii="Arial" w:eastAsia="Arial" w:hAnsi="Arial" w:cs="Arial"/>
          <w:sz w:val="16"/>
          <w:szCs w:val="16"/>
        </w:rPr>
        <w:t>ho are at the manager level or above, and (y) three months, in the case of such employees who are below the manager level,</w:t>
      </w:r>
    </w:p>
    <w:p w14:paraId="7BAFD2D1" w14:textId="77777777" w:rsidR="00D1587D" w:rsidRDefault="00D1587D">
      <w:pPr>
        <w:spacing w:line="4" w:lineRule="exact"/>
        <w:rPr>
          <w:rFonts w:ascii="Arial" w:eastAsia="Arial" w:hAnsi="Arial" w:cs="Arial"/>
          <w:sz w:val="16"/>
          <w:szCs w:val="16"/>
        </w:rPr>
      </w:pPr>
    </w:p>
    <w:p w14:paraId="23379DA1" w14:textId="77777777" w:rsidR="00D1587D" w:rsidRDefault="00410D07">
      <w:pPr>
        <w:spacing w:line="252" w:lineRule="auto"/>
        <w:jc w:val="both"/>
        <w:rPr>
          <w:rFonts w:ascii="Arial" w:eastAsia="Arial" w:hAnsi="Arial" w:cs="Arial"/>
          <w:sz w:val="16"/>
          <w:szCs w:val="16"/>
        </w:rPr>
      </w:pPr>
      <w:r>
        <w:rPr>
          <w:rFonts w:ascii="Arial" w:eastAsia="Arial" w:hAnsi="Arial" w:cs="Arial"/>
          <w:sz w:val="18"/>
          <w:szCs w:val="18"/>
        </w:rPr>
        <w:t>(2) any L Brands Employee, New L Brands Employee or LB to VS TSA Service Employee, in each case who is a retail store employee below</w:t>
      </w:r>
      <w:r>
        <w:rPr>
          <w:rFonts w:ascii="Arial" w:eastAsia="Arial" w:hAnsi="Arial" w:cs="Arial"/>
          <w:sz w:val="18"/>
          <w:szCs w:val="18"/>
        </w:rPr>
        <w:t xml:space="preserve"> the store manager level, (3) any L Brands Employee, New L Brands Employee or LB to VS TSA Service Employee whose employment was involuntarily terminated by a member of the L Brands Group without cause or (4) any VS TSA Employee who is hired by a member of</w:t>
      </w:r>
      <w:r>
        <w:rPr>
          <w:rFonts w:ascii="Arial" w:eastAsia="Arial" w:hAnsi="Arial" w:cs="Arial"/>
          <w:sz w:val="18"/>
          <w:szCs w:val="18"/>
        </w:rPr>
        <w:t xml:space="preserve"> the VS Group in accordance with the terms of the L Brands to VS Transition Services Agreement. Notwithstanding anything to the contrary in this Section 12.01(a), subject to approval in the discretion of L Brands’ Chief Executive Officer or L Brands’ Chief</w:t>
      </w:r>
      <w:r>
        <w:rPr>
          <w:rFonts w:ascii="Arial" w:eastAsia="Arial" w:hAnsi="Arial" w:cs="Arial"/>
          <w:sz w:val="18"/>
          <w:szCs w:val="18"/>
        </w:rPr>
        <w:t xml:space="preserve"> Human Resources Officer, the limitations provided for in this Section 12.01(a) may be waived at the request of VS or any member of the VS Group.</w:t>
      </w:r>
    </w:p>
    <w:p w14:paraId="27A6ED26" w14:textId="77777777" w:rsidR="00D1587D" w:rsidRDefault="00D1587D">
      <w:pPr>
        <w:spacing w:line="365" w:lineRule="exact"/>
        <w:rPr>
          <w:sz w:val="20"/>
          <w:szCs w:val="20"/>
        </w:rPr>
      </w:pPr>
    </w:p>
    <w:p w14:paraId="49E4A578" w14:textId="77777777" w:rsidR="00D1587D" w:rsidRDefault="00410D07">
      <w:pPr>
        <w:jc w:val="center"/>
        <w:rPr>
          <w:sz w:val="20"/>
          <w:szCs w:val="20"/>
        </w:rPr>
      </w:pPr>
      <w:r>
        <w:rPr>
          <w:rFonts w:ascii="Arial" w:eastAsia="Arial" w:hAnsi="Arial" w:cs="Arial"/>
          <w:sz w:val="14"/>
          <w:szCs w:val="14"/>
        </w:rPr>
        <w:t>41</w:t>
      </w:r>
    </w:p>
    <w:p w14:paraId="63ACBE30" w14:textId="77777777" w:rsidR="00D1587D" w:rsidRDefault="00410D07">
      <w:pPr>
        <w:spacing w:line="20" w:lineRule="exact"/>
        <w:rPr>
          <w:sz w:val="20"/>
          <w:szCs w:val="20"/>
        </w:rPr>
      </w:pPr>
      <w:r>
        <w:rPr>
          <w:noProof/>
          <w:sz w:val="20"/>
          <w:szCs w:val="20"/>
        </w:rPr>
        <w:drawing>
          <wp:anchor distT="0" distB="0" distL="114300" distR="114300" simplePos="0" relativeHeight="251370496" behindDoc="1" locked="0" layoutInCell="0" allowOverlap="1" wp14:anchorId="237082DE" wp14:editId="2E593918">
            <wp:simplePos x="0" y="0"/>
            <wp:positionH relativeFrom="column">
              <wp:posOffset>5080</wp:posOffset>
            </wp:positionH>
            <wp:positionV relativeFrom="paragraph">
              <wp:posOffset>38100</wp:posOffset>
            </wp:positionV>
            <wp:extent cx="7132320" cy="1714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5093038" w14:textId="77777777" w:rsidR="00D1587D" w:rsidRDefault="00D1587D">
      <w:pPr>
        <w:sectPr w:rsidR="00D1587D">
          <w:pgSz w:w="11900" w:h="16838"/>
          <w:pgMar w:top="125" w:right="339" w:bottom="1440" w:left="320" w:header="0" w:footer="0" w:gutter="0"/>
          <w:cols w:space="720" w:equalWidth="0">
            <w:col w:w="11240"/>
          </w:cols>
        </w:sectPr>
      </w:pPr>
    </w:p>
    <w:p w14:paraId="7C8BCD0D" w14:textId="77777777" w:rsidR="00D1587D" w:rsidRDefault="00410D07">
      <w:pPr>
        <w:numPr>
          <w:ilvl w:val="0"/>
          <w:numId w:val="188"/>
        </w:numPr>
        <w:tabs>
          <w:tab w:val="left" w:pos="1128"/>
        </w:tabs>
        <w:spacing w:line="267" w:lineRule="auto"/>
        <w:ind w:firstLine="656"/>
        <w:jc w:val="both"/>
        <w:rPr>
          <w:rFonts w:ascii="Arial" w:eastAsia="Arial" w:hAnsi="Arial" w:cs="Arial"/>
          <w:sz w:val="17"/>
          <w:szCs w:val="17"/>
        </w:rPr>
      </w:pPr>
      <w:bookmarkStart w:id="212" w:name="page213"/>
      <w:bookmarkEnd w:id="212"/>
      <w:r>
        <w:rPr>
          <w:rFonts w:ascii="Arial" w:eastAsia="Arial" w:hAnsi="Arial" w:cs="Arial"/>
          <w:sz w:val="17"/>
          <w:szCs w:val="17"/>
        </w:rPr>
        <w:t>During the applicable Restricted Period, L Brands shall not, and shall cause each member of the L Brands Group not to, (i) solicit or induce, or attempt to solicit or induce, any Covered VS Service Provider to terminate his or her employment or service rel</w:t>
      </w:r>
      <w:r>
        <w:rPr>
          <w:rFonts w:ascii="Arial" w:eastAsia="Arial" w:hAnsi="Arial" w:cs="Arial"/>
          <w:sz w:val="17"/>
          <w:szCs w:val="17"/>
        </w:rPr>
        <w:t>ationship with any member of the VS Group or (ii) hire any VS Employee, New VS Employee or VS to LB TSA Service Employee who is or was employed by any member of the VS Group at any time prior to the expiration of the applicable Restricted Period (other tha</w:t>
      </w:r>
      <w:r>
        <w:rPr>
          <w:rFonts w:ascii="Arial" w:eastAsia="Arial" w:hAnsi="Arial" w:cs="Arial"/>
          <w:sz w:val="17"/>
          <w:szCs w:val="17"/>
        </w:rPr>
        <w:t xml:space="preserve">n, for the avoidance of doubt, any L Brands Employee); </w:t>
      </w:r>
      <w:r>
        <w:rPr>
          <w:rFonts w:ascii="Arial" w:eastAsia="Arial" w:hAnsi="Arial" w:cs="Arial"/>
          <w:i/>
          <w:iCs/>
          <w:sz w:val="17"/>
          <w:szCs w:val="17"/>
        </w:rPr>
        <w:t>provided</w:t>
      </w:r>
      <w:r>
        <w:rPr>
          <w:rFonts w:ascii="Arial" w:eastAsia="Arial" w:hAnsi="Arial" w:cs="Arial"/>
          <w:sz w:val="17"/>
          <w:szCs w:val="17"/>
        </w:rPr>
        <w:t xml:space="preserve"> that (A) the restrictions set forth in clause (i) of this Section 12.01(b) shall not prohibit any member of the L Brands Group from placing public advertisements or conducting any other form o</w:t>
      </w:r>
      <w:r>
        <w:rPr>
          <w:rFonts w:ascii="Arial" w:eastAsia="Arial" w:hAnsi="Arial" w:cs="Arial"/>
          <w:sz w:val="17"/>
          <w:szCs w:val="17"/>
        </w:rPr>
        <w:t>f general solicitation that is not specifically targeted toward a Covered VS Service Provider (</w:t>
      </w:r>
      <w:r>
        <w:rPr>
          <w:rFonts w:ascii="Arial" w:eastAsia="Arial" w:hAnsi="Arial" w:cs="Arial"/>
          <w:i/>
          <w:iCs/>
          <w:sz w:val="17"/>
          <w:szCs w:val="17"/>
        </w:rPr>
        <w:t>provided</w:t>
      </w:r>
      <w:r>
        <w:rPr>
          <w:rFonts w:ascii="Arial" w:eastAsia="Arial" w:hAnsi="Arial" w:cs="Arial"/>
          <w:sz w:val="17"/>
          <w:szCs w:val="17"/>
        </w:rPr>
        <w:t xml:space="preserve"> that nothing in this proviso shall permit the hiring of a VS Employee, New VS Employee or VS to LB TSA Service Employee who responds to any such public </w:t>
      </w:r>
      <w:r>
        <w:rPr>
          <w:rFonts w:ascii="Arial" w:eastAsia="Arial" w:hAnsi="Arial" w:cs="Arial"/>
          <w:sz w:val="17"/>
          <w:szCs w:val="17"/>
        </w:rPr>
        <w:t>advertisement or general solicitation which would otherwise be restricted by clause (ii) of this Section 12.01(b) (for the avoidance of doubt, the L Brands Group shall be permitted to hire any such employee who (I) is a retail store employee below the stor</w:t>
      </w:r>
      <w:r>
        <w:rPr>
          <w:rFonts w:ascii="Arial" w:eastAsia="Arial" w:hAnsi="Arial" w:cs="Arial"/>
          <w:sz w:val="17"/>
          <w:szCs w:val="17"/>
        </w:rPr>
        <w:t>e manager level and (II) responds to any such public advertisement or general solicitation)), (B) the restrictions in clause (ii) of this Section 12.01(b) shall not apply to hiring (1) any VS Employee, New VS Employee or VS to LB TSA Service Employee who h</w:t>
      </w:r>
      <w:r>
        <w:rPr>
          <w:rFonts w:ascii="Arial" w:eastAsia="Arial" w:hAnsi="Arial" w:cs="Arial"/>
          <w:sz w:val="17"/>
          <w:szCs w:val="17"/>
        </w:rPr>
        <w:t>as ceased employment with the VS Group for a period of at least (x) six months, in the case of such employees who are at the manager level or above, and (y) three months, in the case of such employees who are below the manager level, (2) any VS Employee, N</w:t>
      </w:r>
      <w:r>
        <w:rPr>
          <w:rFonts w:ascii="Arial" w:eastAsia="Arial" w:hAnsi="Arial" w:cs="Arial"/>
          <w:sz w:val="17"/>
          <w:szCs w:val="17"/>
        </w:rPr>
        <w:t>ew VS Employee or VS to LB TSA Service Employee, in each case who is a retail store employee below the store manager level, (3) any VS Employee, New VS Employee or VS to LB TSA Service Employee whose employment was involuntarily terminated by a member of t</w:t>
      </w:r>
      <w:r>
        <w:rPr>
          <w:rFonts w:ascii="Arial" w:eastAsia="Arial" w:hAnsi="Arial" w:cs="Arial"/>
          <w:sz w:val="17"/>
          <w:szCs w:val="17"/>
        </w:rPr>
        <w:t>he VS Group without cause or (4) any L Brands TSA Employee who is hired by a member of the L Brands Group in accordance with the terms of the VS to L Brands Transition Services Agreement. Notwithstanding anything to the contrary in this Section 12.01(b), s</w:t>
      </w:r>
      <w:r>
        <w:rPr>
          <w:rFonts w:ascii="Arial" w:eastAsia="Arial" w:hAnsi="Arial" w:cs="Arial"/>
          <w:sz w:val="17"/>
          <w:szCs w:val="17"/>
        </w:rPr>
        <w:t>ubject to approval in the discretion of VS’ Chief Executive Officer or VS’ Chief Human Resources Officer, the limitations provided for in this Section 12.01(b) may be waived at the request of L Brands or any member of the L Brands Group.</w:t>
      </w:r>
    </w:p>
    <w:p w14:paraId="1A465D8B" w14:textId="77777777" w:rsidR="00D1587D" w:rsidRDefault="00D1587D">
      <w:pPr>
        <w:spacing w:line="189" w:lineRule="exact"/>
        <w:rPr>
          <w:rFonts w:ascii="Arial" w:eastAsia="Arial" w:hAnsi="Arial" w:cs="Arial"/>
          <w:sz w:val="17"/>
          <w:szCs w:val="17"/>
        </w:rPr>
      </w:pPr>
    </w:p>
    <w:p w14:paraId="187F4DAD" w14:textId="77777777" w:rsidR="00D1587D" w:rsidRDefault="00410D07">
      <w:pPr>
        <w:numPr>
          <w:ilvl w:val="0"/>
          <w:numId w:val="188"/>
        </w:numPr>
        <w:tabs>
          <w:tab w:val="left" w:pos="1131"/>
        </w:tabs>
        <w:spacing w:line="263" w:lineRule="auto"/>
        <w:ind w:firstLine="656"/>
        <w:jc w:val="both"/>
        <w:rPr>
          <w:rFonts w:ascii="Arial" w:eastAsia="Arial" w:hAnsi="Arial" w:cs="Arial"/>
          <w:sz w:val="18"/>
          <w:szCs w:val="18"/>
        </w:rPr>
      </w:pPr>
      <w:r>
        <w:rPr>
          <w:rFonts w:ascii="Arial" w:eastAsia="Arial" w:hAnsi="Arial" w:cs="Arial"/>
          <w:sz w:val="18"/>
          <w:szCs w:val="18"/>
        </w:rPr>
        <w:t>Prior to the Dist</w:t>
      </w:r>
      <w:r>
        <w:rPr>
          <w:rFonts w:ascii="Arial" w:eastAsia="Arial" w:hAnsi="Arial" w:cs="Arial"/>
          <w:sz w:val="18"/>
          <w:szCs w:val="18"/>
        </w:rPr>
        <w:t>ribution Date, L Brands’ Chief Human Resources Officer and VS’ Chief Human Resources Officer shall cooperate in good faith to determine whether any categories of employees or other service providers will be excluded from the restrictions set forth in Secti</w:t>
      </w:r>
      <w:r>
        <w:rPr>
          <w:rFonts w:ascii="Arial" w:eastAsia="Arial" w:hAnsi="Arial" w:cs="Arial"/>
          <w:sz w:val="18"/>
          <w:szCs w:val="18"/>
        </w:rPr>
        <w:t>ons 12.01(a) and Section 12.01(b), if any.</w:t>
      </w:r>
    </w:p>
    <w:p w14:paraId="66D3B7D1" w14:textId="77777777" w:rsidR="00D1587D" w:rsidRDefault="00D1587D">
      <w:pPr>
        <w:spacing w:line="184" w:lineRule="exact"/>
        <w:rPr>
          <w:sz w:val="20"/>
          <w:szCs w:val="20"/>
        </w:rPr>
      </w:pPr>
    </w:p>
    <w:p w14:paraId="633FC230" w14:textId="77777777" w:rsidR="00D1587D" w:rsidRDefault="00410D07">
      <w:pPr>
        <w:jc w:val="center"/>
        <w:rPr>
          <w:sz w:val="20"/>
          <w:szCs w:val="20"/>
        </w:rPr>
      </w:pPr>
      <w:r>
        <w:rPr>
          <w:rFonts w:ascii="Arial" w:eastAsia="Arial" w:hAnsi="Arial" w:cs="Arial"/>
          <w:sz w:val="18"/>
          <w:szCs w:val="18"/>
        </w:rPr>
        <w:t>ARTICLE 13</w:t>
      </w:r>
    </w:p>
    <w:p w14:paraId="20098F8B" w14:textId="77777777" w:rsidR="00D1587D" w:rsidRDefault="00D1587D">
      <w:pPr>
        <w:spacing w:line="23" w:lineRule="exact"/>
        <w:rPr>
          <w:sz w:val="20"/>
          <w:szCs w:val="20"/>
        </w:rPr>
      </w:pPr>
    </w:p>
    <w:p w14:paraId="29D494C0" w14:textId="77777777" w:rsidR="00D1587D" w:rsidRDefault="00410D07">
      <w:pPr>
        <w:jc w:val="center"/>
        <w:rPr>
          <w:sz w:val="20"/>
          <w:szCs w:val="20"/>
        </w:rPr>
      </w:pPr>
      <w:r>
        <w:rPr>
          <w:rFonts w:ascii="Arial" w:eastAsia="Arial" w:hAnsi="Arial" w:cs="Arial"/>
          <w:sz w:val="18"/>
          <w:szCs w:val="18"/>
        </w:rPr>
        <w:t>M</w:t>
      </w:r>
      <w:r>
        <w:rPr>
          <w:rFonts w:ascii="Arial" w:eastAsia="Arial" w:hAnsi="Arial" w:cs="Arial"/>
          <w:sz w:val="12"/>
          <w:szCs w:val="12"/>
        </w:rPr>
        <w:t>ISCELLANEOUS</w:t>
      </w:r>
    </w:p>
    <w:p w14:paraId="5B5B47A4" w14:textId="77777777" w:rsidR="00D1587D" w:rsidRDefault="00D1587D">
      <w:pPr>
        <w:spacing w:line="211" w:lineRule="exact"/>
        <w:rPr>
          <w:sz w:val="20"/>
          <w:szCs w:val="20"/>
        </w:rPr>
      </w:pPr>
    </w:p>
    <w:p w14:paraId="57D839C4" w14:textId="77777777" w:rsidR="00D1587D" w:rsidRDefault="00410D07">
      <w:pPr>
        <w:spacing w:line="263" w:lineRule="auto"/>
        <w:ind w:right="20" w:firstLine="648"/>
        <w:jc w:val="both"/>
        <w:rPr>
          <w:sz w:val="20"/>
          <w:szCs w:val="20"/>
        </w:rPr>
      </w:pPr>
      <w:r>
        <w:rPr>
          <w:rFonts w:ascii="Arial" w:eastAsia="Arial" w:hAnsi="Arial" w:cs="Arial"/>
          <w:sz w:val="18"/>
          <w:szCs w:val="18"/>
        </w:rPr>
        <w:t xml:space="preserve">Section 13.01. </w:t>
      </w:r>
      <w:r>
        <w:rPr>
          <w:rFonts w:ascii="Arial" w:eastAsia="Arial" w:hAnsi="Arial" w:cs="Arial"/>
          <w:i/>
          <w:iCs/>
          <w:sz w:val="18"/>
          <w:szCs w:val="18"/>
        </w:rPr>
        <w:t>General</w:t>
      </w:r>
      <w:r>
        <w:rPr>
          <w:rFonts w:ascii="Arial" w:eastAsia="Arial" w:hAnsi="Arial" w:cs="Arial"/>
          <w:sz w:val="18"/>
          <w:szCs w:val="18"/>
        </w:rPr>
        <w:t>. The provisions of Section 1.02 of the Separation Agreement and Article 6 of the Separation Agreement (other than Section 6.06 as it relates to Third-Party Benefi</w:t>
      </w:r>
      <w:r>
        <w:rPr>
          <w:rFonts w:ascii="Arial" w:eastAsia="Arial" w:hAnsi="Arial" w:cs="Arial"/>
          <w:sz w:val="18"/>
          <w:szCs w:val="18"/>
        </w:rPr>
        <w:t xml:space="preserve">ciaries of the Separation Agreement), in each case are hereby incorporated by reference into and deemed part of this Agreement and shall apply, </w:t>
      </w:r>
      <w:r>
        <w:rPr>
          <w:rFonts w:ascii="Arial" w:eastAsia="Arial" w:hAnsi="Arial" w:cs="Arial"/>
          <w:i/>
          <w:iCs/>
          <w:sz w:val="18"/>
          <w:szCs w:val="18"/>
        </w:rPr>
        <w:t>mutatis mutandis</w:t>
      </w:r>
      <w:r>
        <w:rPr>
          <w:rFonts w:ascii="Arial" w:eastAsia="Arial" w:hAnsi="Arial" w:cs="Arial"/>
          <w:sz w:val="18"/>
          <w:szCs w:val="18"/>
        </w:rPr>
        <w:t>, as if fully set forth in this Agreement.</w:t>
      </w:r>
    </w:p>
    <w:p w14:paraId="1D2CF038" w14:textId="77777777" w:rsidR="00D1587D" w:rsidRDefault="00D1587D">
      <w:pPr>
        <w:spacing w:line="184" w:lineRule="exact"/>
        <w:rPr>
          <w:sz w:val="20"/>
          <w:szCs w:val="20"/>
        </w:rPr>
      </w:pPr>
    </w:p>
    <w:p w14:paraId="600849EA" w14:textId="77777777" w:rsidR="00D1587D" w:rsidRDefault="00410D07">
      <w:pPr>
        <w:jc w:val="center"/>
        <w:rPr>
          <w:sz w:val="20"/>
          <w:szCs w:val="20"/>
        </w:rPr>
      </w:pPr>
      <w:r>
        <w:rPr>
          <w:rFonts w:ascii="Arial" w:eastAsia="Arial" w:hAnsi="Arial" w:cs="Arial"/>
          <w:i/>
          <w:iCs/>
          <w:sz w:val="18"/>
          <w:szCs w:val="18"/>
        </w:rPr>
        <w:t>[Signature Page Follows]</w:t>
      </w:r>
    </w:p>
    <w:p w14:paraId="39089157" w14:textId="77777777" w:rsidR="00D1587D" w:rsidRDefault="00D1587D">
      <w:pPr>
        <w:spacing w:line="396" w:lineRule="exact"/>
        <w:rPr>
          <w:sz w:val="20"/>
          <w:szCs w:val="20"/>
        </w:rPr>
      </w:pPr>
    </w:p>
    <w:p w14:paraId="18BC8FB3" w14:textId="77777777" w:rsidR="00D1587D" w:rsidRDefault="00410D07">
      <w:pPr>
        <w:jc w:val="center"/>
        <w:rPr>
          <w:sz w:val="20"/>
          <w:szCs w:val="20"/>
        </w:rPr>
      </w:pPr>
      <w:r>
        <w:rPr>
          <w:rFonts w:ascii="Arial" w:eastAsia="Arial" w:hAnsi="Arial" w:cs="Arial"/>
          <w:sz w:val="14"/>
          <w:szCs w:val="14"/>
        </w:rPr>
        <w:t>42</w:t>
      </w:r>
    </w:p>
    <w:p w14:paraId="14E17862" w14:textId="77777777" w:rsidR="00D1587D" w:rsidRDefault="00410D07">
      <w:pPr>
        <w:spacing w:line="20" w:lineRule="exact"/>
        <w:rPr>
          <w:sz w:val="20"/>
          <w:szCs w:val="20"/>
        </w:rPr>
      </w:pPr>
      <w:r>
        <w:rPr>
          <w:noProof/>
          <w:sz w:val="20"/>
          <w:szCs w:val="20"/>
        </w:rPr>
        <w:drawing>
          <wp:anchor distT="0" distB="0" distL="114300" distR="114300" simplePos="0" relativeHeight="251371520" behindDoc="1" locked="0" layoutInCell="0" allowOverlap="1" wp14:anchorId="2FF01B45" wp14:editId="2952FFD5">
            <wp:simplePos x="0" y="0"/>
            <wp:positionH relativeFrom="column">
              <wp:posOffset>5080</wp:posOffset>
            </wp:positionH>
            <wp:positionV relativeFrom="paragraph">
              <wp:posOffset>38100</wp:posOffset>
            </wp:positionV>
            <wp:extent cx="7132320" cy="1714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8D3FD7A" w14:textId="77777777" w:rsidR="00D1587D" w:rsidRDefault="00D1587D">
      <w:pPr>
        <w:sectPr w:rsidR="00D1587D">
          <w:pgSz w:w="11900" w:h="16838"/>
          <w:pgMar w:top="125" w:right="339" w:bottom="1440" w:left="320" w:header="0" w:footer="0" w:gutter="0"/>
          <w:cols w:space="720" w:equalWidth="0">
            <w:col w:w="11240"/>
          </w:cols>
        </w:sectPr>
      </w:pPr>
    </w:p>
    <w:p w14:paraId="67AFFBCC" w14:textId="77777777" w:rsidR="00D1587D" w:rsidRDefault="00410D07">
      <w:pPr>
        <w:spacing w:line="277" w:lineRule="auto"/>
        <w:ind w:firstLine="648"/>
        <w:rPr>
          <w:sz w:val="20"/>
          <w:szCs w:val="20"/>
        </w:rPr>
      </w:pPr>
      <w:bookmarkStart w:id="213" w:name="page214"/>
      <w:bookmarkEnd w:id="213"/>
      <w:r>
        <w:rPr>
          <w:rFonts w:ascii="Arial" w:eastAsia="Arial" w:hAnsi="Arial" w:cs="Arial"/>
          <w:sz w:val="18"/>
          <w:szCs w:val="18"/>
        </w:rPr>
        <w:t>I</w:t>
      </w:r>
      <w:r>
        <w:rPr>
          <w:rFonts w:ascii="Arial" w:eastAsia="Arial" w:hAnsi="Arial" w:cs="Arial"/>
          <w:sz w:val="18"/>
          <w:szCs w:val="18"/>
        </w:rPr>
        <w:t>N WITNESS WHEREOF, the Parties have caused this Agreement to be executed by their duly authorized representatives as of the date first above written.</w:t>
      </w:r>
    </w:p>
    <w:p w14:paraId="655BB014" w14:textId="77777777" w:rsidR="00D1587D" w:rsidRDefault="00D1587D">
      <w:pPr>
        <w:spacing w:line="170" w:lineRule="exact"/>
        <w:rPr>
          <w:sz w:val="20"/>
          <w:szCs w:val="20"/>
        </w:rPr>
      </w:pPr>
    </w:p>
    <w:p w14:paraId="097EC97C" w14:textId="77777777" w:rsidR="00D1587D" w:rsidRDefault="00410D07">
      <w:pPr>
        <w:ind w:left="5640"/>
        <w:rPr>
          <w:sz w:val="20"/>
          <w:szCs w:val="20"/>
        </w:rPr>
      </w:pPr>
      <w:r>
        <w:rPr>
          <w:rFonts w:ascii="Arial" w:eastAsia="Arial" w:hAnsi="Arial" w:cs="Arial"/>
          <w:sz w:val="18"/>
          <w:szCs w:val="18"/>
        </w:rPr>
        <w:t>L BRANDS, INC.</w:t>
      </w:r>
    </w:p>
    <w:p w14:paraId="600441D5" w14:textId="77777777" w:rsidR="00D1587D" w:rsidRDefault="00D1587D">
      <w:pPr>
        <w:spacing w:line="225" w:lineRule="exact"/>
        <w:rPr>
          <w:sz w:val="20"/>
          <w:szCs w:val="20"/>
        </w:rPr>
      </w:pPr>
    </w:p>
    <w:p w14:paraId="1E5E7387" w14:textId="77777777" w:rsidR="00D1587D" w:rsidRDefault="00410D07">
      <w:pPr>
        <w:ind w:right="-299"/>
        <w:jc w:val="center"/>
        <w:rPr>
          <w:sz w:val="20"/>
          <w:szCs w:val="20"/>
        </w:rPr>
      </w:pPr>
      <w:r>
        <w:rPr>
          <w:rFonts w:ascii="Arial" w:eastAsia="Arial" w:hAnsi="Arial" w:cs="Arial"/>
          <w:sz w:val="18"/>
          <w:szCs w:val="18"/>
        </w:rPr>
        <w:t>By:</w:t>
      </w:r>
    </w:p>
    <w:p w14:paraId="2882D225" w14:textId="77777777" w:rsidR="00D1587D" w:rsidRDefault="00410D07">
      <w:pPr>
        <w:spacing w:line="20" w:lineRule="exact"/>
        <w:rPr>
          <w:sz w:val="20"/>
          <w:szCs w:val="20"/>
        </w:rPr>
      </w:pPr>
      <w:r>
        <w:rPr>
          <w:noProof/>
          <w:sz w:val="20"/>
          <w:szCs w:val="20"/>
        </w:rPr>
        <w:drawing>
          <wp:anchor distT="0" distB="0" distL="114300" distR="114300" simplePos="0" relativeHeight="251372544" behindDoc="1" locked="0" layoutInCell="0" allowOverlap="1" wp14:anchorId="702D5914" wp14:editId="16BF5824">
            <wp:simplePos x="0" y="0"/>
            <wp:positionH relativeFrom="column">
              <wp:posOffset>3785235</wp:posOffset>
            </wp:positionH>
            <wp:positionV relativeFrom="paragraph">
              <wp:posOffset>14605</wp:posOffset>
            </wp:positionV>
            <wp:extent cx="3351530" cy="1714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6"/>
                    <a:srcRect/>
                    <a:stretch>
                      <a:fillRect/>
                    </a:stretch>
                  </pic:blipFill>
                  <pic:spPr bwMode="auto">
                    <a:xfrm>
                      <a:off x="0" y="0"/>
                      <a:ext cx="3351530" cy="17145"/>
                    </a:xfrm>
                    <a:prstGeom prst="rect">
                      <a:avLst/>
                    </a:prstGeom>
                    <a:noFill/>
                  </pic:spPr>
                </pic:pic>
              </a:graphicData>
            </a:graphic>
          </wp:anchor>
        </w:drawing>
      </w:r>
    </w:p>
    <w:p w14:paraId="3DC48F96" w14:textId="77777777" w:rsidR="00D1587D" w:rsidRDefault="00D1587D">
      <w:pPr>
        <w:spacing w:line="16" w:lineRule="exact"/>
        <w:rPr>
          <w:sz w:val="20"/>
          <w:szCs w:val="20"/>
        </w:rPr>
      </w:pPr>
    </w:p>
    <w:p w14:paraId="38C54589" w14:textId="77777777" w:rsidR="00D1587D" w:rsidRDefault="00410D07">
      <w:pPr>
        <w:ind w:left="5960"/>
        <w:rPr>
          <w:sz w:val="20"/>
          <w:szCs w:val="20"/>
        </w:rPr>
      </w:pPr>
      <w:r>
        <w:rPr>
          <w:rFonts w:ascii="Arial" w:eastAsia="Arial" w:hAnsi="Arial" w:cs="Arial"/>
          <w:sz w:val="18"/>
          <w:szCs w:val="18"/>
        </w:rPr>
        <w:t>Name:</w:t>
      </w:r>
    </w:p>
    <w:p w14:paraId="03095CA9" w14:textId="77777777" w:rsidR="00D1587D" w:rsidRDefault="00D1587D">
      <w:pPr>
        <w:spacing w:line="23" w:lineRule="exact"/>
        <w:rPr>
          <w:sz w:val="20"/>
          <w:szCs w:val="20"/>
        </w:rPr>
      </w:pPr>
    </w:p>
    <w:p w14:paraId="1934623D" w14:textId="77777777" w:rsidR="00D1587D" w:rsidRDefault="00410D07">
      <w:pPr>
        <w:ind w:left="5960"/>
        <w:rPr>
          <w:sz w:val="20"/>
          <w:szCs w:val="20"/>
        </w:rPr>
      </w:pPr>
      <w:r>
        <w:rPr>
          <w:rFonts w:ascii="Arial" w:eastAsia="Arial" w:hAnsi="Arial" w:cs="Arial"/>
          <w:sz w:val="18"/>
          <w:szCs w:val="18"/>
        </w:rPr>
        <w:t>Title:</w:t>
      </w:r>
    </w:p>
    <w:p w14:paraId="09A98366" w14:textId="77777777" w:rsidR="00D1587D" w:rsidRDefault="00D1587D">
      <w:pPr>
        <w:spacing w:line="211" w:lineRule="exact"/>
        <w:rPr>
          <w:sz w:val="20"/>
          <w:szCs w:val="20"/>
        </w:rPr>
      </w:pPr>
    </w:p>
    <w:p w14:paraId="4722A43D" w14:textId="77777777" w:rsidR="00D1587D" w:rsidRDefault="00410D07">
      <w:pPr>
        <w:ind w:left="5640"/>
        <w:rPr>
          <w:sz w:val="20"/>
          <w:szCs w:val="20"/>
        </w:rPr>
      </w:pPr>
      <w:r>
        <w:rPr>
          <w:rFonts w:ascii="Arial" w:eastAsia="Arial" w:hAnsi="Arial" w:cs="Arial"/>
          <w:sz w:val="18"/>
          <w:szCs w:val="18"/>
        </w:rPr>
        <w:t>VICTORIA’S SECRET &amp; CO.</w:t>
      </w:r>
    </w:p>
    <w:p w14:paraId="17039D3E" w14:textId="77777777" w:rsidR="00D1587D" w:rsidRDefault="00D1587D">
      <w:pPr>
        <w:spacing w:line="225" w:lineRule="exact"/>
        <w:rPr>
          <w:sz w:val="20"/>
          <w:szCs w:val="20"/>
        </w:rPr>
      </w:pPr>
    </w:p>
    <w:p w14:paraId="00B40847" w14:textId="77777777" w:rsidR="00D1587D" w:rsidRDefault="00410D07">
      <w:pPr>
        <w:ind w:right="-299"/>
        <w:jc w:val="center"/>
        <w:rPr>
          <w:sz w:val="20"/>
          <w:szCs w:val="20"/>
        </w:rPr>
      </w:pPr>
      <w:r>
        <w:rPr>
          <w:rFonts w:ascii="Arial" w:eastAsia="Arial" w:hAnsi="Arial" w:cs="Arial"/>
          <w:sz w:val="18"/>
          <w:szCs w:val="18"/>
        </w:rPr>
        <w:t>By:</w:t>
      </w:r>
    </w:p>
    <w:p w14:paraId="15AE3A7A" w14:textId="77777777" w:rsidR="00D1587D" w:rsidRDefault="00410D07">
      <w:pPr>
        <w:spacing w:line="20" w:lineRule="exact"/>
        <w:rPr>
          <w:sz w:val="20"/>
          <w:szCs w:val="20"/>
        </w:rPr>
      </w:pPr>
      <w:r>
        <w:rPr>
          <w:noProof/>
          <w:sz w:val="20"/>
          <w:szCs w:val="20"/>
        </w:rPr>
        <w:drawing>
          <wp:anchor distT="0" distB="0" distL="114300" distR="114300" simplePos="0" relativeHeight="251373568" behindDoc="1" locked="0" layoutInCell="0" allowOverlap="1" wp14:anchorId="45A52AEE" wp14:editId="6C6CBBBC">
            <wp:simplePos x="0" y="0"/>
            <wp:positionH relativeFrom="column">
              <wp:posOffset>3785235</wp:posOffset>
            </wp:positionH>
            <wp:positionV relativeFrom="paragraph">
              <wp:posOffset>14605</wp:posOffset>
            </wp:positionV>
            <wp:extent cx="3351530" cy="1714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6"/>
                    <a:srcRect/>
                    <a:stretch>
                      <a:fillRect/>
                    </a:stretch>
                  </pic:blipFill>
                  <pic:spPr bwMode="auto">
                    <a:xfrm>
                      <a:off x="0" y="0"/>
                      <a:ext cx="3351530" cy="17145"/>
                    </a:xfrm>
                    <a:prstGeom prst="rect">
                      <a:avLst/>
                    </a:prstGeom>
                    <a:noFill/>
                  </pic:spPr>
                </pic:pic>
              </a:graphicData>
            </a:graphic>
          </wp:anchor>
        </w:drawing>
      </w:r>
    </w:p>
    <w:p w14:paraId="58061404" w14:textId="77777777" w:rsidR="00D1587D" w:rsidRDefault="00D1587D">
      <w:pPr>
        <w:spacing w:line="16" w:lineRule="exact"/>
        <w:rPr>
          <w:sz w:val="20"/>
          <w:szCs w:val="20"/>
        </w:rPr>
      </w:pPr>
    </w:p>
    <w:p w14:paraId="7C3ABD8C" w14:textId="77777777" w:rsidR="00D1587D" w:rsidRDefault="00410D07">
      <w:pPr>
        <w:ind w:left="5960"/>
        <w:rPr>
          <w:sz w:val="20"/>
          <w:szCs w:val="20"/>
        </w:rPr>
      </w:pPr>
      <w:r>
        <w:rPr>
          <w:rFonts w:ascii="Arial" w:eastAsia="Arial" w:hAnsi="Arial" w:cs="Arial"/>
          <w:sz w:val="18"/>
          <w:szCs w:val="18"/>
        </w:rPr>
        <w:t>Name:</w:t>
      </w:r>
    </w:p>
    <w:p w14:paraId="74868F27" w14:textId="77777777" w:rsidR="00D1587D" w:rsidRDefault="00D1587D">
      <w:pPr>
        <w:spacing w:line="23" w:lineRule="exact"/>
        <w:rPr>
          <w:sz w:val="20"/>
          <w:szCs w:val="20"/>
        </w:rPr>
      </w:pPr>
    </w:p>
    <w:p w14:paraId="692ECF90" w14:textId="77777777" w:rsidR="00D1587D" w:rsidRDefault="00410D07">
      <w:pPr>
        <w:ind w:left="5960"/>
        <w:rPr>
          <w:sz w:val="20"/>
          <w:szCs w:val="20"/>
        </w:rPr>
      </w:pPr>
      <w:r>
        <w:rPr>
          <w:rFonts w:ascii="Arial" w:eastAsia="Arial" w:hAnsi="Arial" w:cs="Arial"/>
          <w:sz w:val="18"/>
          <w:szCs w:val="18"/>
        </w:rPr>
        <w:t>Title:</w:t>
      </w:r>
    </w:p>
    <w:p w14:paraId="43DDC604" w14:textId="77777777" w:rsidR="00D1587D" w:rsidRDefault="00D1587D">
      <w:pPr>
        <w:spacing w:line="211" w:lineRule="exact"/>
        <w:rPr>
          <w:sz w:val="20"/>
          <w:szCs w:val="20"/>
        </w:rPr>
      </w:pPr>
    </w:p>
    <w:p w14:paraId="2E026737" w14:textId="77777777" w:rsidR="00D1587D" w:rsidRDefault="00410D07">
      <w:pPr>
        <w:jc w:val="center"/>
        <w:rPr>
          <w:sz w:val="20"/>
          <w:szCs w:val="20"/>
        </w:rPr>
      </w:pPr>
      <w:r>
        <w:rPr>
          <w:rFonts w:ascii="Arial" w:eastAsia="Arial" w:hAnsi="Arial" w:cs="Arial"/>
          <w:i/>
          <w:iCs/>
          <w:sz w:val="18"/>
          <w:szCs w:val="18"/>
        </w:rPr>
        <w:t xml:space="preserve">[Signature Page – </w:t>
      </w:r>
      <w:r>
        <w:rPr>
          <w:rFonts w:ascii="Arial" w:eastAsia="Arial" w:hAnsi="Arial" w:cs="Arial"/>
          <w:i/>
          <w:iCs/>
          <w:sz w:val="18"/>
          <w:szCs w:val="18"/>
        </w:rPr>
        <w:t>Employee Matters Agreement]</w:t>
      </w:r>
    </w:p>
    <w:p w14:paraId="2D3E61B4" w14:textId="77777777" w:rsidR="00D1587D" w:rsidRDefault="00410D07">
      <w:pPr>
        <w:spacing w:line="20" w:lineRule="exact"/>
        <w:rPr>
          <w:sz w:val="20"/>
          <w:szCs w:val="20"/>
        </w:rPr>
      </w:pPr>
      <w:r>
        <w:rPr>
          <w:noProof/>
          <w:sz w:val="20"/>
          <w:szCs w:val="20"/>
        </w:rPr>
        <w:drawing>
          <wp:anchor distT="0" distB="0" distL="114300" distR="114300" simplePos="0" relativeHeight="251374592" behindDoc="1" locked="0" layoutInCell="0" allowOverlap="1" wp14:anchorId="226AFBE2" wp14:editId="7D4DC5D2">
            <wp:simplePos x="0" y="0"/>
            <wp:positionH relativeFrom="column">
              <wp:posOffset>5080</wp:posOffset>
            </wp:positionH>
            <wp:positionV relativeFrom="paragraph">
              <wp:posOffset>349250</wp:posOffset>
            </wp:positionV>
            <wp:extent cx="7132320" cy="1714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D36FD1F" w14:textId="77777777" w:rsidR="00D1587D" w:rsidRDefault="00D1587D">
      <w:pPr>
        <w:sectPr w:rsidR="00D1587D">
          <w:pgSz w:w="11900" w:h="16838"/>
          <w:pgMar w:top="125" w:right="339" w:bottom="1440" w:left="320" w:header="0" w:footer="0" w:gutter="0"/>
          <w:cols w:space="720" w:equalWidth="0">
            <w:col w:w="11240"/>
          </w:cols>
        </w:sectPr>
      </w:pPr>
    </w:p>
    <w:p w14:paraId="51997A15" w14:textId="77777777" w:rsidR="00D1587D" w:rsidRDefault="00410D07">
      <w:pPr>
        <w:jc w:val="right"/>
        <w:rPr>
          <w:sz w:val="20"/>
          <w:szCs w:val="20"/>
        </w:rPr>
      </w:pPr>
      <w:bookmarkStart w:id="214" w:name="page215"/>
      <w:bookmarkEnd w:id="214"/>
      <w:r>
        <w:rPr>
          <w:rFonts w:ascii="Arial" w:eastAsia="Arial" w:hAnsi="Arial" w:cs="Arial"/>
          <w:b/>
          <w:bCs/>
          <w:noProof/>
        </w:rPr>
        <w:drawing>
          <wp:anchor distT="0" distB="0" distL="114300" distR="114300" simplePos="0" relativeHeight="251375616" behindDoc="1" locked="0" layoutInCell="0" allowOverlap="1" wp14:anchorId="2BAAF663" wp14:editId="58BAF96C">
            <wp:simplePos x="0" y="0"/>
            <wp:positionH relativeFrom="page">
              <wp:posOffset>208280</wp:posOffset>
            </wp:positionH>
            <wp:positionV relativeFrom="page">
              <wp:posOffset>88900</wp:posOffset>
            </wp:positionV>
            <wp:extent cx="7132320" cy="34290"/>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10.5</w:t>
      </w:r>
    </w:p>
    <w:p w14:paraId="07ED6015" w14:textId="77777777" w:rsidR="00D1587D" w:rsidRDefault="00D1587D">
      <w:pPr>
        <w:spacing w:line="200" w:lineRule="exact"/>
        <w:rPr>
          <w:sz w:val="20"/>
          <w:szCs w:val="20"/>
        </w:rPr>
      </w:pPr>
    </w:p>
    <w:p w14:paraId="388BC10C" w14:textId="77777777" w:rsidR="00D1587D" w:rsidRDefault="00D1587D">
      <w:pPr>
        <w:spacing w:line="276" w:lineRule="exact"/>
        <w:rPr>
          <w:sz w:val="20"/>
          <w:szCs w:val="20"/>
        </w:rPr>
      </w:pPr>
    </w:p>
    <w:p w14:paraId="6479C4C5" w14:textId="77777777" w:rsidR="00D1587D" w:rsidRDefault="00410D07">
      <w:pPr>
        <w:ind w:right="1100"/>
        <w:jc w:val="center"/>
        <w:rPr>
          <w:sz w:val="20"/>
          <w:szCs w:val="20"/>
        </w:rPr>
      </w:pPr>
      <w:r>
        <w:rPr>
          <w:rFonts w:ascii="Arial" w:eastAsia="Arial" w:hAnsi="Arial" w:cs="Arial"/>
          <w:b/>
          <w:bCs/>
        </w:rPr>
        <w:t>FORM OF</w:t>
      </w:r>
    </w:p>
    <w:p w14:paraId="2E7EAA7C" w14:textId="77777777" w:rsidR="00D1587D" w:rsidRDefault="00D1587D">
      <w:pPr>
        <w:spacing w:line="233" w:lineRule="exact"/>
        <w:rPr>
          <w:sz w:val="20"/>
          <w:szCs w:val="20"/>
        </w:rPr>
      </w:pPr>
    </w:p>
    <w:p w14:paraId="4C5F269F" w14:textId="77777777" w:rsidR="00D1587D" w:rsidRDefault="00410D07">
      <w:pPr>
        <w:ind w:left="1600"/>
        <w:rPr>
          <w:sz w:val="20"/>
          <w:szCs w:val="20"/>
        </w:rPr>
      </w:pPr>
      <w:r>
        <w:rPr>
          <w:rFonts w:ascii="Arial" w:eastAsia="Arial" w:hAnsi="Arial" w:cs="Arial"/>
          <w:b/>
          <w:bCs/>
        </w:rPr>
        <w:t>DOMESTIC TRANSPORTATION SERVICES AGREEMENT</w:t>
      </w:r>
    </w:p>
    <w:p w14:paraId="795977DA" w14:textId="77777777" w:rsidR="00D1587D" w:rsidRDefault="00D1587D">
      <w:pPr>
        <w:spacing w:line="200" w:lineRule="exact"/>
        <w:rPr>
          <w:sz w:val="20"/>
          <w:szCs w:val="20"/>
        </w:rPr>
      </w:pPr>
    </w:p>
    <w:p w14:paraId="7857DB15" w14:textId="77777777" w:rsidR="00D1587D" w:rsidRDefault="00D1587D">
      <w:pPr>
        <w:spacing w:line="276" w:lineRule="exact"/>
        <w:rPr>
          <w:sz w:val="20"/>
          <w:szCs w:val="20"/>
        </w:rPr>
      </w:pPr>
    </w:p>
    <w:p w14:paraId="5D7C9C41" w14:textId="77777777" w:rsidR="00D1587D" w:rsidRDefault="00410D07">
      <w:pPr>
        <w:ind w:left="4000"/>
        <w:rPr>
          <w:sz w:val="20"/>
          <w:szCs w:val="20"/>
        </w:rPr>
      </w:pPr>
      <w:r>
        <w:rPr>
          <w:rFonts w:ascii="Arial" w:eastAsia="Arial" w:hAnsi="Arial" w:cs="Arial"/>
          <w:b/>
          <w:bCs/>
        </w:rPr>
        <w:t>dated as of</w:t>
      </w:r>
    </w:p>
    <w:p w14:paraId="10834B8C" w14:textId="77777777" w:rsidR="00D1587D" w:rsidRDefault="00D1587D">
      <w:pPr>
        <w:spacing w:line="233" w:lineRule="exact"/>
        <w:rPr>
          <w:sz w:val="20"/>
          <w:szCs w:val="20"/>
        </w:rPr>
      </w:pPr>
    </w:p>
    <w:p w14:paraId="17F5FCD9" w14:textId="77777777" w:rsidR="00D1587D" w:rsidRDefault="00410D07">
      <w:pPr>
        <w:ind w:left="4060"/>
        <w:rPr>
          <w:sz w:val="20"/>
          <w:szCs w:val="20"/>
        </w:rPr>
      </w:pPr>
      <w:r>
        <w:rPr>
          <w:rFonts w:ascii="Arial" w:eastAsia="Arial" w:hAnsi="Arial" w:cs="Arial"/>
          <w:b/>
          <w:bCs/>
        </w:rPr>
        <w:t>[__], 2021</w:t>
      </w:r>
    </w:p>
    <w:p w14:paraId="52F1D325" w14:textId="77777777" w:rsidR="00D1587D" w:rsidRDefault="00D1587D">
      <w:pPr>
        <w:spacing w:line="200" w:lineRule="exact"/>
        <w:rPr>
          <w:sz w:val="20"/>
          <w:szCs w:val="20"/>
        </w:rPr>
      </w:pPr>
    </w:p>
    <w:p w14:paraId="223E02C4" w14:textId="77777777" w:rsidR="00D1587D" w:rsidRDefault="00D1587D">
      <w:pPr>
        <w:spacing w:line="276" w:lineRule="exact"/>
        <w:rPr>
          <w:sz w:val="20"/>
          <w:szCs w:val="20"/>
        </w:rPr>
      </w:pPr>
    </w:p>
    <w:p w14:paraId="3FFCE841" w14:textId="77777777" w:rsidR="00D1587D" w:rsidRDefault="00410D07">
      <w:pPr>
        <w:ind w:left="3780"/>
        <w:rPr>
          <w:sz w:val="20"/>
          <w:szCs w:val="20"/>
        </w:rPr>
      </w:pPr>
      <w:r>
        <w:rPr>
          <w:rFonts w:ascii="Arial" w:eastAsia="Arial" w:hAnsi="Arial" w:cs="Arial"/>
          <w:b/>
          <w:bCs/>
        </w:rPr>
        <w:t>by and between</w:t>
      </w:r>
    </w:p>
    <w:p w14:paraId="6466D14A" w14:textId="77777777" w:rsidR="00D1587D" w:rsidRDefault="00D1587D">
      <w:pPr>
        <w:spacing w:line="200" w:lineRule="exact"/>
        <w:rPr>
          <w:sz w:val="20"/>
          <w:szCs w:val="20"/>
        </w:rPr>
      </w:pPr>
    </w:p>
    <w:p w14:paraId="5777EF41" w14:textId="77777777" w:rsidR="00D1587D" w:rsidRDefault="00D1587D">
      <w:pPr>
        <w:spacing w:line="200" w:lineRule="exact"/>
        <w:rPr>
          <w:sz w:val="20"/>
          <w:szCs w:val="20"/>
        </w:rPr>
      </w:pPr>
    </w:p>
    <w:p w14:paraId="2F22759E" w14:textId="77777777" w:rsidR="00D1587D" w:rsidRDefault="00D1587D">
      <w:pPr>
        <w:spacing w:line="319" w:lineRule="exact"/>
        <w:rPr>
          <w:sz w:val="20"/>
          <w:szCs w:val="20"/>
        </w:rPr>
      </w:pPr>
    </w:p>
    <w:p w14:paraId="5807028B" w14:textId="77777777" w:rsidR="00D1587D" w:rsidRDefault="00410D07">
      <w:pPr>
        <w:ind w:left="2740"/>
        <w:rPr>
          <w:sz w:val="20"/>
          <w:szCs w:val="20"/>
        </w:rPr>
      </w:pPr>
      <w:r>
        <w:rPr>
          <w:rFonts w:ascii="Arial" w:eastAsia="Arial" w:hAnsi="Arial" w:cs="Arial"/>
          <w:b/>
          <w:bCs/>
        </w:rPr>
        <w:t>MAST LOGISTICS SERVICES, LLC</w:t>
      </w:r>
    </w:p>
    <w:p w14:paraId="1FF967AA" w14:textId="77777777" w:rsidR="00D1587D" w:rsidRDefault="00D1587D">
      <w:pPr>
        <w:spacing w:line="200" w:lineRule="exact"/>
        <w:rPr>
          <w:sz w:val="20"/>
          <w:szCs w:val="20"/>
        </w:rPr>
      </w:pPr>
    </w:p>
    <w:p w14:paraId="3E0A9E14" w14:textId="77777777" w:rsidR="00D1587D" w:rsidRDefault="00D1587D">
      <w:pPr>
        <w:spacing w:line="200" w:lineRule="exact"/>
        <w:rPr>
          <w:sz w:val="20"/>
          <w:szCs w:val="20"/>
        </w:rPr>
      </w:pPr>
    </w:p>
    <w:p w14:paraId="385F3D62" w14:textId="77777777" w:rsidR="00D1587D" w:rsidRDefault="00D1587D">
      <w:pPr>
        <w:spacing w:line="319" w:lineRule="exact"/>
        <w:rPr>
          <w:sz w:val="20"/>
          <w:szCs w:val="20"/>
        </w:rPr>
      </w:pPr>
    </w:p>
    <w:p w14:paraId="38C2A375" w14:textId="77777777" w:rsidR="00D1587D" w:rsidRDefault="00410D07">
      <w:pPr>
        <w:ind w:left="4320"/>
        <w:rPr>
          <w:sz w:val="20"/>
          <w:szCs w:val="20"/>
        </w:rPr>
      </w:pPr>
      <w:r>
        <w:rPr>
          <w:rFonts w:ascii="Arial" w:eastAsia="Arial" w:hAnsi="Arial" w:cs="Arial"/>
          <w:b/>
          <w:bCs/>
        </w:rPr>
        <w:t>and</w:t>
      </w:r>
    </w:p>
    <w:p w14:paraId="1E058497" w14:textId="77777777" w:rsidR="00D1587D" w:rsidRDefault="00D1587D">
      <w:pPr>
        <w:spacing w:line="200" w:lineRule="exact"/>
        <w:rPr>
          <w:sz w:val="20"/>
          <w:szCs w:val="20"/>
        </w:rPr>
      </w:pPr>
    </w:p>
    <w:p w14:paraId="54BC5A77" w14:textId="77777777" w:rsidR="00D1587D" w:rsidRDefault="00D1587D">
      <w:pPr>
        <w:spacing w:line="200" w:lineRule="exact"/>
        <w:rPr>
          <w:sz w:val="20"/>
          <w:szCs w:val="20"/>
        </w:rPr>
      </w:pPr>
    </w:p>
    <w:p w14:paraId="58E75741" w14:textId="77777777" w:rsidR="00D1587D" w:rsidRDefault="00D1587D">
      <w:pPr>
        <w:spacing w:line="319" w:lineRule="exact"/>
        <w:rPr>
          <w:sz w:val="20"/>
          <w:szCs w:val="20"/>
        </w:rPr>
      </w:pPr>
    </w:p>
    <w:p w14:paraId="3E0B3227" w14:textId="77777777" w:rsidR="00D1587D" w:rsidRDefault="00410D07">
      <w:pPr>
        <w:ind w:left="3080"/>
        <w:rPr>
          <w:sz w:val="20"/>
          <w:szCs w:val="20"/>
        </w:rPr>
      </w:pPr>
      <w:r>
        <w:rPr>
          <w:rFonts w:ascii="Arial" w:eastAsia="Arial" w:hAnsi="Arial" w:cs="Arial"/>
          <w:b/>
          <w:bCs/>
        </w:rPr>
        <w:t>VICTORIA’S SECRET &amp; CO.</w:t>
      </w:r>
    </w:p>
    <w:p w14:paraId="4E8FDE54" w14:textId="77777777" w:rsidR="00D1587D" w:rsidRDefault="00410D07">
      <w:pPr>
        <w:spacing w:line="20" w:lineRule="exact"/>
        <w:rPr>
          <w:sz w:val="20"/>
          <w:szCs w:val="20"/>
        </w:rPr>
      </w:pPr>
      <w:r>
        <w:rPr>
          <w:noProof/>
          <w:sz w:val="20"/>
          <w:szCs w:val="20"/>
        </w:rPr>
        <w:drawing>
          <wp:anchor distT="0" distB="0" distL="114300" distR="114300" simplePos="0" relativeHeight="251376640" behindDoc="1" locked="0" layoutInCell="0" allowOverlap="1" wp14:anchorId="17FF8CB0" wp14:editId="41C4F75B">
            <wp:simplePos x="0" y="0"/>
            <wp:positionH relativeFrom="column">
              <wp:posOffset>-705485</wp:posOffset>
            </wp:positionH>
            <wp:positionV relativeFrom="paragraph">
              <wp:posOffset>276860</wp:posOffset>
            </wp:positionV>
            <wp:extent cx="7132320" cy="1714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0512665" w14:textId="77777777" w:rsidR="00D1587D" w:rsidRDefault="00D1587D">
      <w:pPr>
        <w:sectPr w:rsidR="00D1587D">
          <w:pgSz w:w="11900" w:h="16838"/>
          <w:pgMar w:top="274" w:right="339" w:bottom="1440" w:left="1440" w:header="0" w:footer="0" w:gutter="0"/>
          <w:cols w:space="720" w:equalWidth="0">
            <w:col w:w="10120"/>
          </w:cols>
        </w:sectPr>
      </w:pPr>
    </w:p>
    <w:tbl>
      <w:tblPr>
        <w:tblW w:w="0" w:type="auto"/>
        <w:tblLayout w:type="fixed"/>
        <w:tblCellMar>
          <w:left w:w="0" w:type="dxa"/>
          <w:right w:w="0" w:type="dxa"/>
        </w:tblCellMar>
        <w:tblLook w:val="04A0" w:firstRow="1" w:lastRow="0" w:firstColumn="1" w:lastColumn="0" w:noHBand="0" w:noVBand="1"/>
      </w:tblPr>
      <w:tblGrid>
        <w:gridCol w:w="1060"/>
        <w:gridCol w:w="8420"/>
        <w:gridCol w:w="1420"/>
        <w:gridCol w:w="340"/>
      </w:tblGrid>
      <w:tr w:rsidR="00D1587D" w14:paraId="3BFDD43D" w14:textId="77777777">
        <w:trPr>
          <w:trHeight w:val="280"/>
        </w:trPr>
        <w:tc>
          <w:tcPr>
            <w:tcW w:w="1060" w:type="dxa"/>
            <w:vAlign w:val="bottom"/>
          </w:tcPr>
          <w:p w14:paraId="443A970E" w14:textId="77777777" w:rsidR="00D1587D" w:rsidRDefault="00D1587D">
            <w:pPr>
              <w:rPr>
                <w:sz w:val="24"/>
                <w:szCs w:val="24"/>
              </w:rPr>
            </w:pPr>
            <w:bookmarkStart w:id="215" w:name="page216"/>
            <w:bookmarkEnd w:id="215"/>
          </w:p>
        </w:tc>
        <w:tc>
          <w:tcPr>
            <w:tcW w:w="8420" w:type="dxa"/>
            <w:vAlign w:val="bottom"/>
          </w:tcPr>
          <w:p w14:paraId="16C1CDEE" w14:textId="77777777" w:rsidR="00D1587D" w:rsidRDefault="00410D07">
            <w:pPr>
              <w:ind w:left="609"/>
              <w:jc w:val="center"/>
              <w:rPr>
                <w:sz w:val="20"/>
                <w:szCs w:val="20"/>
              </w:rPr>
            </w:pPr>
            <w:r>
              <w:rPr>
                <w:rFonts w:ascii="Arial" w:eastAsia="Arial" w:hAnsi="Arial" w:cs="Arial"/>
                <w:b/>
                <w:bCs/>
                <w:w w:val="97"/>
              </w:rPr>
              <w:t>TABLE OF CONTENTS</w:t>
            </w:r>
          </w:p>
        </w:tc>
        <w:tc>
          <w:tcPr>
            <w:tcW w:w="1420" w:type="dxa"/>
            <w:vAlign w:val="bottom"/>
          </w:tcPr>
          <w:p w14:paraId="2405DD28" w14:textId="77777777" w:rsidR="00D1587D" w:rsidRDefault="00D1587D">
            <w:pPr>
              <w:rPr>
                <w:sz w:val="24"/>
                <w:szCs w:val="24"/>
              </w:rPr>
            </w:pPr>
          </w:p>
        </w:tc>
        <w:tc>
          <w:tcPr>
            <w:tcW w:w="340" w:type="dxa"/>
            <w:vAlign w:val="bottom"/>
          </w:tcPr>
          <w:p w14:paraId="10021C21" w14:textId="77777777" w:rsidR="00D1587D" w:rsidRDefault="00D1587D">
            <w:pPr>
              <w:rPr>
                <w:sz w:val="24"/>
                <w:szCs w:val="24"/>
              </w:rPr>
            </w:pPr>
          </w:p>
        </w:tc>
      </w:tr>
      <w:tr w:rsidR="00D1587D" w14:paraId="41725281" w14:textId="77777777">
        <w:trPr>
          <w:trHeight w:val="408"/>
        </w:trPr>
        <w:tc>
          <w:tcPr>
            <w:tcW w:w="1060" w:type="dxa"/>
            <w:vAlign w:val="bottom"/>
          </w:tcPr>
          <w:p w14:paraId="13C3EF1F" w14:textId="77777777" w:rsidR="00D1587D" w:rsidRDefault="00D1587D">
            <w:pPr>
              <w:rPr>
                <w:sz w:val="24"/>
                <w:szCs w:val="24"/>
              </w:rPr>
            </w:pPr>
          </w:p>
        </w:tc>
        <w:tc>
          <w:tcPr>
            <w:tcW w:w="8420" w:type="dxa"/>
            <w:vAlign w:val="bottom"/>
          </w:tcPr>
          <w:p w14:paraId="5EB92C43" w14:textId="77777777" w:rsidR="00D1587D" w:rsidRDefault="00D1587D">
            <w:pPr>
              <w:rPr>
                <w:sz w:val="24"/>
                <w:szCs w:val="24"/>
              </w:rPr>
            </w:pPr>
          </w:p>
        </w:tc>
        <w:tc>
          <w:tcPr>
            <w:tcW w:w="1760" w:type="dxa"/>
            <w:gridSpan w:val="2"/>
            <w:vAlign w:val="bottom"/>
          </w:tcPr>
          <w:p w14:paraId="00E3E26E" w14:textId="77777777" w:rsidR="00D1587D" w:rsidRDefault="00410D07">
            <w:pPr>
              <w:jc w:val="right"/>
              <w:rPr>
                <w:sz w:val="20"/>
                <w:szCs w:val="20"/>
              </w:rPr>
            </w:pPr>
            <w:r>
              <w:rPr>
                <w:rFonts w:ascii="Arial" w:eastAsia="Arial" w:hAnsi="Arial" w:cs="Arial"/>
                <w:sz w:val="18"/>
                <w:szCs w:val="18"/>
              </w:rPr>
              <w:t>P</w:t>
            </w:r>
            <w:r>
              <w:rPr>
                <w:rFonts w:ascii="Arial" w:eastAsia="Arial" w:hAnsi="Arial" w:cs="Arial"/>
                <w:sz w:val="12"/>
                <w:szCs w:val="12"/>
              </w:rPr>
              <w:t>AGE</w:t>
            </w:r>
          </w:p>
        </w:tc>
      </w:tr>
      <w:tr w:rsidR="00D1587D" w14:paraId="6D29C064" w14:textId="77777777">
        <w:trPr>
          <w:trHeight w:val="438"/>
        </w:trPr>
        <w:tc>
          <w:tcPr>
            <w:tcW w:w="1060" w:type="dxa"/>
            <w:vAlign w:val="bottom"/>
          </w:tcPr>
          <w:p w14:paraId="59D3EFB6" w14:textId="77777777" w:rsidR="00D1587D" w:rsidRDefault="00D1587D">
            <w:pPr>
              <w:rPr>
                <w:sz w:val="24"/>
                <w:szCs w:val="24"/>
              </w:rPr>
            </w:pPr>
          </w:p>
        </w:tc>
        <w:tc>
          <w:tcPr>
            <w:tcW w:w="8420" w:type="dxa"/>
            <w:vAlign w:val="bottom"/>
          </w:tcPr>
          <w:p w14:paraId="329FFE0C" w14:textId="77777777" w:rsidR="00D1587D" w:rsidRDefault="00410D07">
            <w:pPr>
              <w:ind w:left="609"/>
              <w:jc w:val="center"/>
              <w:rPr>
                <w:sz w:val="20"/>
                <w:szCs w:val="20"/>
              </w:rPr>
            </w:pPr>
            <w:r>
              <w:rPr>
                <w:rFonts w:ascii="Arial" w:eastAsia="Arial" w:hAnsi="Arial" w:cs="Arial"/>
                <w:w w:val="96"/>
                <w:sz w:val="18"/>
                <w:szCs w:val="18"/>
              </w:rPr>
              <w:t>ARTICLE 1</w:t>
            </w:r>
          </w:p>
        </w:tc>
        <w:tc>
          <w:tcPr>
            <w:tcW w:w="1420" w:type="dxa"/>
            <w:vAlign w:val="bottom"/>
          </w:tcPr>
          <w:p w14:paraId="3EE1DF89" w14:textId="77777777" w:rsidR="00D1587D" w:rsidRDefault="00D1587D">
            <w:pPr>
              <w:rPr>
                <w:sz w:val="24"/>
                <w:szCs w:val="24"/>
              </w:rPr>
            </w:pPr>
          </w:p>
        </w:tc>
        <w:tc>
          <w:tcPr>
            <w:tcW w:w="340" w:type="dxa"/>
            <w:tcBorders>
              <w:top w:val="single" w:sz="8" w:space="0" w:color="auto"/>
            </w:tcBorders>
            <w:vAlign w:val="bottom"/>
          </w:tcPr>
          <w:p w14:paraId="7A49680D" w14:textId="77777777" w:rsidR="00D1587D" w:rsidRDefault="00D1587D">
            <w:pPr>
              <w:rPr>
                <w:sz w:val="24"/>
                <w:szCs w:val="24"/>
              </w:rPr>
            </w:pPr>
          </w:p>
        </w:tc>
      </w:tr>
      <w:tr w:rsidR="00D1587D" w14:paraId="6315DCAD" w14:textId="77777777">
        <w:trPr>
          <w:trHeight w:val="230"/>
        </w:trPr>
        <w:tc>
          <w:tcPr>
            <w:tcW w:w="1060" w:type="dxa"/>
            <w:vAlign w:val="bottom"/>
          </w:tcPr>
          <w:p w14:paraId="75C6BE53" w14:textId="77777777" w:rsidR="00D1587D" w:rsidRDefault="00D1587D">
            <w:pPr>
              <w:rPr>
                <w:sz w:val="20"/>
                <w:szCs w:val="20"/>
              </w:rPr>
            </w:pPr>
          </w:p>
        </w:tc>
        <w:tc>
          <w:tcPr>
            <w:tcW w:w="8420" w:type="dxa"/>
            <w:vAlign w:val="bottom"/>
          </w:tcPr>
          <w:p w14:paraId="64807C0C" w14:textId="77777777" w:rsidR="00D1587D" w:rsidRDefault="00410D07">
            <w:pPr>
              <w:ind w:left="629"/>
              <w:jc w:val="center"/>
              <w:rPr>
                <w:sz w:val="20"/>
                <w:szCs w:val="20"/>
              </w:rPr>
            </w:pPr>
            <w:r>
              <w:rPr>
                <w:rFonts w:ascii="Arial" w:eastAsia="Arial" w:hAnsi="Arial" w:cs="Arial"/>
                <w:w w:val="96"/>
                <w:sz w:val="18"/>
                <w:szCs w:val="18"/>
              </w:rPr>
              <w:t>DEFINED TERMS</w:t>
            </w:r>
          </w:p>
        </w:tc>
        <w:tc>
          <w:tcPr>
            <w:tcW w:w="1420" w:type="dxa"/>
            <w:vAlign w:val="bottom"/>
          </w:tcPr>
          <w:p w14:paraId="3023C8FA" w14:textId="77777777" w:rsidR="00D1587D" w:rsidRDefault="00D1587D">
            <w:pPr>
              <w:rPr>
                <w:sz w:val="20"/>
                <w:szCs w:val="20"/>
              </w:rPr>
            </w:pPr>
          </w:p>
        </w:tc>
        <w:tc>
          <w:tcPr>
            <w:tcW w:w="340" w:type="dxa"/>
            <w:vAlign w:val="bottom"/>
          </w:tcPr>
          <w:p w14:paraId="67E1F8E2" w14:textId="77777777" w:rsidR="00D1587D" w:rsidRDefault="00D1587D">
            <w:pPr>
              <w:rPr>
                <w:sz w:val="20"/>
                <w:szCs w:val="20"/>
              </w:rPr>
            </w:pPr>
          </w:p>
        </w:tc>
      </w:tr>
      <w:tr w:rsidR="00D1587D" w14:paraId="413C0E2E" w14:textId="77777777">
        <w:trPr>
          <w:trHeight w:val="432"/>
        </w:trPr>
        <w:tc>
          <w:tcPr>
            <w:tcW w:w="1060" w:type="dxa"/>
            <w:vAlign w:val="bottom"/>
          </w:tcPr>
          <w:p w14:paraId="58BFCC3C" w14:textId="77777777" w:rsidR="00D1587D" w:rsidRDefault="00410D07">
            <w:pPr>
              <w:rPr>
                <w:sz w:val="20"/>
                <w:szCs w:val="20"/>
              </w:rPr>
            </w:pPr>
            <w:r>
              <w:rPr>
                <w:rFonts w:ascii="Arial" w:eastAsia="Arial" w:hAnsi="Arial" w:cs="Arial"/>
                <w:w w:val="98"/>
                <w:sz w:val="18"/>
                <w:szCs w:val="18"/>
              </w:rPr>
              <w:t>Section 1.01.</w:t>
            </w:r>
          </w:p>
        </w:tc>
        <w:tc>
          <w:tcPr>
            <w:tcW w:w="8420" w:type="dxa"/>
            <w:vAlign w:val="bottom"/>
          </w:tcPr>
          <w:p w14:paraId="510B0F82" w14:textId="77777777" w:rsidR="00D1587D" w:rsidRDefault="00410D07">
            <w:pPr>
              <w:ind w:left="80"/>
              <w:rPr>
                <w:sz w:val="20"/>
                <w:szCs w:val="20"/>
              </w:rPr>
            </w:pPr>
            <w:r>
              <w:rPr>
                <w:rFonts w:ascii="Arial" w:eastAsia="Arial" w:hAnsi="Arial" w:cs="Arial"/>
                <w:i/>
                <w:iCs/>
                <w:sz w:val="18"/>
                <w:szCs w:val="18"/>
              </w:rPr>
              <w:t>Defined Terms</w:t>
            </w:r>
          </w:p>
        </w:tc>
        <w:tc>
          <w:tcPr>
            <w:tcW w:w="1760" w:type="dxa"/>
            <w:gridSpan w:val="2"/>
            <w:vAlign w:val="bottom"/>
          </w:tcPr>
          <w:p w14:paraId="305ED5C7" w14:textId="77777777" w:rsidR="00D1587D" w:rsidRDefault="00410D07">
            <w:pPr>
              <w:jc w:val="right"/>
              <w:rPr>
                <w:sz w:val="20"/>
                <w:szCs w:val="20"/>
              </w:rPr>
            </w:pPr>
            <w:r>
              <w:rPr>
                <w:rFonts w:ascii="Arial" w:eastAsia="Arial" w:hAnsi="Arial" w:cs="Arial"/>
                <w:sz w:val="18"/>
                <w:szCs w:val="18"/>
              </w:rPr>
              <w:t>1</w:t>
            </w:r>
          </w:p>
        </w:tc>
      </w:tr>
      <w:tr w:rsidR="00D1587D" w14:paraId="604CBE2B" w14:textId="77777777">
        <w:trPr>
          <w:trHeight w:val="418"/>
        </w:trPr>
        <w:tc>
          <w:tcPr>
            <w:tcW w:w="1060" w:type="dxa"/>
            <w:vAlign w:val="bottom"/>
          </w:tcPr>
          <w:p w14:paraId="37F8E137" w14:textId="77777777" w:rsidR="00D1587D" w:rsidRDefault="00D1587D">
            <w:pPr>
              <w:rPr>
                <w:sz w:val="24"/>
                <w:szCs w:val="24"/>
              </w:rPr>
            </w:pPr>
          </w:p>
        </w:tc>
        <w:tc>
          <w:tcPr>
            <w:tcW w:w="8420" w:type="dxa"/>
            <w:vAlign w:val="bottom"/>
          </w:tcPr>
          <w:p w14:paraId="61E4C109" w14:textId="77777777" w:rsidR="00D1587D" w:rsidRDefault="00410D07">
            <w:pPr>
              <w:ind w:left="609"/>
              <w:jc w:val="center"/>
              <w:rPr>
                <w:sz w:val="20"/>
                <w:szCs w:val="20"/>
              </w:rPr>
            </w:pPr>
            <w:r>
              <w:rPr>
                <w:rFonts w:ascii="Arial" w:eastAsia="Arial" w:hAnsi="Arial" w:cs="Arial"/>
                <w:w w:val="96"/>
                <w:sz w:val="18"/>
                <w:szCs w:val="18"/>
              </w:rPr>
              <w:t>ARTICLE 2</w:t>
            </w:r>
          </w:p>
        </w:tc>
        <w:tc>
          <w:tcPr>
            <w:tcW w:w="1420" w:type="dxa"/>
            <w:vAlign w:val="bottom"/>
          </w:tcPr>
          <w:p w14:paraId="1FCE701B" w14:textId="77777777" w:rsidR="00D1587D" w:rsidRDefault="00D1587D">
            <w:pPr>
              <w:rPr>
                <w:sz w:val="24"/>
                <w:szCs w:val="24"/>
              </w:rPr>
            </w:pPr>
          </w:p>
        </w:tc>
        <w:tc>
          <w:tcPr>
            <w:tcW w:w="340" w:type="dxa"/>
            <w:vAlign w:val="bottom"/>
          </w:tcPr>
          <w:p w14:paraId="4DAF7C9F" w14:textId="77777777" w:rsidR="00D1587D" w:rsidRDefault="00D1587D">
            <w:pPr>
              <w:rPr>
                <w:sz w:val="24"/>
                <w:szCs w:val="24"/>
              </w:rPr>
            </w:pPr>
          </w:p>
        </w:tc>
      </w:tr>
      <w:tr w:rsidR="00D1587D" w14:paraId="3A47A5A6" w14:textId="77777777">
        <w:trPr>
          <w:trHeight w:val="230"/>
        </w:trPr>
        <w:tc>
          <w:tcPr>
            <w:tcW w:w="1060" w:type="dxa"/>
            <w:vAlign w:val="bottom"/>
          </w:tcPr>
          <w:p w14:paraId="7B2872BA" w14:textId="77777777" w:rsidR="00D1587D" w:rsidRDefault="00D1587D">
            <w:pPr>
              <w:rPr>
                <w:sz w:val="20"/>
                <w:szCs w:val="20"/>
              </w:rPr>
            </w:pPr>
          </w:p>
        </w:tc>
        <w:tc>
          <w:tcPr>
            <w:tcW w:w="8420" w:type="dxa"/>
            <w:vAlign w:val="bottom"/>
          </w:tcPr>
          <w:p w14:paraId="59C6341E" w14:textId="77777777" w:rsidR="00D1587D" w:rsidRDefault="00410D07">
            <w:pPr>
              <w:ind w:left="609"/>
              <w:jc w:val="center"/>
              <w:rPr>
                <w:sz w:val="20"/>
                <w:szCs w:val="20"/>
              </w:rPr>
            </w:pPr>
            <w:r>
              <w:rPr>
                <w:rFonts w:ascii="Arial" w:eastAsia="Arial" w:hAnsi="Arial" w:cs="Arial"/>
                <w:w w:val="91"/>
                <w:sz w:val="18"/>
                <w:szCs w:val="18"/>
              </w:rPr>
              <w:t>SERVICES.</w:t>
            </w:r>
          </w:p>
        </w:tc>
        <w:tc>
          <w:tcPr>
            <w:tcW w:w="1420" w:type="dxa"/>
            <w:vAlign w:val="bottom"/>
          </w:tcPr>
          <w:p w14:paraId="23CA4821" w14:textId="77777777" w:rsidR="00D1587D" w:rsidRDefault="00D1587D">
            <w:pPr>
              <w:rPr>
                <w:sz w:val="20"/>
                <w:szCs w:val="20"/>
              </w:rPr>
            </w:pPr>
          </w:p>
        </w:tc>
        <w:tc>
          <w:tcPr>
            <w:tcW w:w="340" w:type="dxa"/>
            <w:vAlign w:val="bottom"/>
          </w:tcPr>
          <w:p w14:paraId="223DDCAD" w14:textId="77777777" w:rsidR="00D1587D" w:rsidRDefault="00D1587D">
            <w:pPr>
              <w:rPr>
                <w:sz w:val="20"/>
                <w:szCs w:val="20"/>
              </w:rPr>
            </w:pPr>
          </w:p>
        </w:tc>
      </w:tr>
      <w:tr w:rsidR="00D1587D" w14:paraId="3A6F9E2E" w14:textId="77777777">
        <w:trPr>
          <w:trHeight w:val="418"/>
        </w:trPr>
        <w:tc>
          <w:tcPr>
            <w:tcW w:w="1060" w:type="dxa"/>
            <w:vAlign w:val="bottom"/>
          </w:tcPr>
          <w:p w14:paraId="69AAB21C" w14:textId="77777777" w:rsidR="00D1587D" w:rsidRDefault="00410D07">
            <w:pPr>
              <w:rPr>
                <w:sz w:val="20"/>
                <w:szCs w:val="20"/>
              </w:rPr>
            </w:pPr>
            <w:r>
              <w:rPr>
                <w:rFonts w:ascii="Arial" w:eastAsia="Arial" w:hAnsi="Arial" w:cs="Arial"/>
                <w:w w:val="98"/>
                <w:sz w:val="18"/>
                <w:szCs w:val="18"/>
              </w:rPr>
              <w:t>Section 2.01.</w:t>
            </w:r>
          </w:p>
        </w:tc>
        <w:tc>
          <w:tcPr>
            <w:tcW w:w="8420" w:type="dxa"/>
            <w:vAlign w:val="bottom"/>
          </w:tcPr>
          <w:p w14:paraId="547FD016" w14:textId="77777777" w:rsidR="00D1587D" w:rsidRDefault="00410D07">
            <w:pPr>
              <w:ind w:left="80"/>
              <w:rPr>
                <w:sz w:val="20"/>
                <w:szCs w:val="20"/>
              </w:rPr>
            </w:pPr>
            <w:r>
              <w:rPr>
                <w:rFonts w:ascii="Arial" w:eastAsia="Arial" w:hAnsi="Arial" w:cs="Arial"/>
                <w:i/>
                <w:iCs/>
                <w:sz w:val="18"/>
                <w:szCs w:val="18"/>
              </w:rPr>
              <w:t>General</w:t>
            </w:r>
          </w:p>
        </w:tc>
        <w:tc>
          <w:tcPr>
            <w:tcW w:w="1760" w:type="dxa"/>
            <w:gridSpan w:val="2"/>
            <w:vAlign w:val="bottom"/>
          </w:tcPr>
          <w:p w14:paraId="465EB5C2" w14:textId="77777777" w:rsidR="00D1587D" w:rsidRDefault="00410D07">
            <w:pPr>
              <w:jc w:val="right"/>
              <w:rPr>
                <w:sz w:val="20"/>
                <w:szCs w:val="20"/>
              </w:rPr>
            </w:pPr>
            <w:r>
              <w:rPr>
                <w:rFonts w:ascii="Arial" w:eastAsia="Arial" w:hAnsi="Arial" w:cs="Arial"/>
                <w:sz w:val="18"/>
                <w:szCs w:val="18"/>
              </w:rPr>
              <w:t>4</w:t>
            </w:r>
          </w:p>
        </w:tc>
      </w:tr>
      <w:tr w:rsidR="00D1587D" w14:paraId="73F27449" w14:textId="77777777">
        <w:trPr>
          <w:trHeight w:val="216"/>
        </w:trPr>
        <w:tc>
          <w:tcPr>
            <w:tcW w:w="1060" w:type="dxa"/>
            <w:vAlign w:val="bottom"/>
          </w:tcPr>
          <w:p w14:paraId="67142838" w14:textId="77777777" w:rsidR="00D1587D" w:rsidRDefault="00410D07">
            <w:pPr>
              <w:rPr>
                <w:sz w:val="20"/>
                <w:szCs w:val="20"/>
              </w:rPr>
            </w:pPr>
            <w:r>
              <w:rPr>
                <w:rFonts w:ascii="Arial" w:eastAsia="Arial" w:hAnsi="Arial" w:cs="Arial"/>
                <w:w w:val="98"/>
                <w:sz w:val="18"/>
                <w:szCs w:val="18"/>
              </w:rPr>
              <w:t>Section 2.02.</w:t>
            </w:r>
          </w:p>
        </w:tc>
        <w:tc>
          <w:tcPr>
            <w:tcW w:w="8420" w:type="dxa"/>
            <w:vAlign w:val="bottom"/>
          </w:tcPr>
          <w:p w14:paraId="0B57E090" w14:textId="77777777" w:rsidR="00D1587D" w:rsidRDefault="00410D07">
            <w:pPr>
              <w:ind w:left="80"/>
              <w:rPr>
                <w:sz w:val="20"/>
                <w:szCs w:val="20"/>
              </w:rPr>
            </w:pPr>
            <w:r>
              <w:rPr>
                <w:rFonts w:ascii="Arial" w:eastAsia="Arial" w:hAnsi="Arial" w:cs="Arial"/>
                <w:i/>
                <w:iCs/>
                <w:sz w:val="18"/>
                <w:szCs w:val="18"/>
              </w:rPr>
              <w:t>Products</w:t>
            </w:r>
          </w:p>
        </w:tc>
        <w:tc>
          <w:tcPr>
            <w:tcW w:w="1760" w:type="dxa"/>
            <w:gridSpan w:val="2"/>
            <w:vAlign w:val="bottom"/>
          </w:tcPr>
          <w:p w14:paraId="454E9D39" w14:textId="77777777" w:rsidR="00D1587D" w:rsidRDefault="00410D07">
            <w:pPr>
              <w:jc w:val="right"/>
              <w:rPr>
                <w:sz w:val="20"/>
                <w:szCs w:val="20"/>
              </w:rPr>
            </w:pPr>
            <w:r>
              <w:rPr>
                <w:rFonts w:ascii="Arial" w:eastAsia="Arial" w:hAnsi="Arial" w:cs="Arial"/>
                <w:sz w:val="18"/>
                <w:szCs w:val="18"/>
              </w:rPr>
              <w:t>5</w:t>
            </w:r>
          </w:p>
        </w:tc>
      </w:tr>
      <w:tr w:rsidR="00D1587D" w14:paraId="3F5EC934" w14:textId="77777777">
        <w:trPr>
          <w:trHeight w:val="216"/>
        </w:trPr>
        <w:tc>
          <w:tcPr>
            <w:tcW w:w="1060" w:type="dxa"/>
            <w:vAlign w:val="bottom"/>
          </w:tcPr>
          <w:p w14:paraId="376419E5" w14:textId="77777777" w:rsidR="00D1587D" w:rsidRDefault="00410D07">
            <w:pPr>
              <w:rPr>
                <w:sz w:val="20"/>
                <w:szCs w:val="20"/>
              </w:rPr>
            </w:pPr>
            <w:r>
              <w:rPr>
                <w:rFonts w:ascii="Arial" w:eastAsia="Arial" w:hAnsi="Arial" w:cs="Arial"/>
                <w:w w:val="98"/>
                <w:sz w:val="18"/>
                <w:szCs w:val="18"/>
              </w:rPr>
              <w:t>Section 2.03.</w:t>
            </w:r>
          </w:p>
        </w:tc>
        <w:tc>
          <w:tcPr>
            <w:tcW w:w="8420" w:type="dxa"/>
            <w:vAlign w:val="bottom"/>
          </w:tcPr>
          <w:p w14:paraId="164225F5" w14:textId="77777777" w:rsidR="00D1587D" w:rsidRDefault="00410D07">
            <w:pPr>
              <w:ind w:left="80"/>
              <w:rPr>
                <w:sz w:val="20"/>
                <w:szCs w:val="20"/>
              </w:rPr>
            </w:pPr>
            <w:r>
              <w:rPr>
                <w:rFonts w:ascii="Arial" w:eastAsia="Arial" w:hAnsi="Arial" w:cs="Arial"/>
                <w:i/>
                <w:iCs/>
                <w:sz w:val="18"/>
                <w:szCs w:val="18"/>
              </w:rPr>
              <w:t>Cooperation; Facilities; Further Actions</w:t>
            </w:r>
          </w:p>
        </w:tc>
        <w:tc>
          <w:tcPr>
            <w:tcW w:w="1760" w:type="dxa"/>
            <w:gridSpan w:val="2"/>
            <w:vAlign w:val="bottom"/>
          </w:tcPr>
          <w:p w14:paraId="02B6F196" w14:textId="77777777" w:rsidR="00D1587D" w:rsidRDefault="00410D07">
            <w:pPr>
              <w:jc w:val="right"/>
              <w:rPr>
                <w:sz w:val="20"/>
                <w:szCs w:val="20"/>
              </w:rPr>
            </w:pPr>
            <w:r>
              <w:rPr>
                <w:rFonts w:ascii="Arial" w:eastAsia="Arial" w:hAnsi="Arial" w:cs="Arial"/>
                <w:sz w:val="18"/>
                <w:szCs w:val="18"/>
              </w:rPr>
              <w:t>5</w:t>
            </w:r>
          </w:p>
        </w:tc>
      </w:tr>
      <w:tr w:rsidR="00D1587D" w14:paraId="3EB58FB6" w14:textId="77777777">
        <w:trPr>
          <w:trHeight w:val="216"/>
        </w:trPr>
        <w:tc>
          <w:tcPr>
            <w:tcW w:w="1060" w:type="dxa"/>
            <w:vAlign w:val="bottom"/>
          </w:tcPr>
          <w:p w14:paraId="3259B532" w14:textId="77777777" w:rsidR="00D1587D" w:rsidRDefault="00410D07">
            <w:pPr>
              <w:rPr>
                <w:sz w:val="20"/>
                <w:szCs w:val="20"/>
              </w:rPr>
            </w:pPr>
            <w:r>
              <w:rPr>
                <w:rFonts w:ascii="Arial" w:eastAsia="Arial" w:hAnsi="Arial" w:cs="Arial"/>
                <w:w w:val="98"/>
                <w:sz w:val="18"/>
                <w:szCs w:val="18"/>
              </w:rPr>
              <w:t>Section 2.04.</w:t>
            </w:r>
          </w:p>
        </w:tc>
        <w:tc>
          <w:tcPr>
            <w:tcW w:w="8420" w:type="dxa"/>
            <w:vAlign w:val="bottom"/>
          </w:tcPr>
          <w:p w14:paraId="36891FD3" w14:textId="77777777" w:rsidR="00D1587D" w:rsidRDefault="00410D07">
            <w:pPr>
              <w:ind w:left="80"/>
              <w:rPr>
                <w:sz w:val="20"/>
                <w:szCs w:val="20"/>
              </w:rPr>
            </w:pPr>
            <w:r>
              <w:rPr>
                <w:rFonts w:ascii="Arial" w:eastAsia="Arial" w:hAnsi="Arial" w:cs="Arial"/>
                <w:i/>
                <w:iCs/>
                <w:sz w:val="18"/>
                <w:szCs w:val="18"/>
              </w:rPr>
              <w:t>Limitations</w:t>
            </w:r>
          </w:p>
        </w:tc>
        <w:tc>
          <w:tcPr>
            <w:tcW w:w="1760" w:type="dxa"/>
            <w:gridSpan w:val="2"/>
            <w:vAlign w:val="bottom"/>
          </w:tcPr>
          <w:p w14:paraId="4596A144" w14:textId="77777777" w:rsidR="00D1587D" w:rsidRDefault="00410D07">
            <w:pPr>
              <w:jc w:val="right"/>
              <w:rPr>
                <w:sz w:val="20"/>
                <w:szCs w:val="20"/>
              </w:rPr>
            </w:pPr>
            <w:r>
              <w:rPr>
                <w:rFonts w:ascii="Arial" w:eastAsia="Arial" w:hAnsi="Arial" w:cs="Arial"/>
                <w:sz w:val="18"/>
                <w:szCs w:val="18"/>
              </w:rPr>
              <w:t>5</w:t>
            </w:r>
          </w:p>
        </w:tc>
      </w:tr>
      <w:tr w:rsidR="00D1587D" w14:paraId="6D6C9765" w14:textId="77777777">
        <w:trPr>
          <w:trHeight w:val="230"/>
        </w:trPr>
        <w:tc>
          <w:tcPr>
            <w:tcW w:w="1060" w:type="dxa"/>
            <w:vAlign w:val="bottom"/>
          </w:tcPr>
          <w:p w14:paraId="56570312" w14:textId="77777777" w:rsidR="00D1587D" w:rsidRDefault="00410D07">
            <w:pPr>
              <w:rPr>
                <w:sz w:val="20"/>
                <w:szCs w:val="20"/>
              </w:rPr>
            </w:pPr>
            <w:r>
              <w:rPr>
                <w:rFonts w:ascii="Arial" w:eastAsia="Arial" w:hAnsi="Arial" w:cs="Arial"/>
                <w:w w:val="98"/>
                <w:sz w:val="18"/>
                <w:szCs w:val="18"/>
              </w:rPr>
              <w:t>Section 2.05.</w:t>
            </w:r>
          </w:p>
        </w:tc>
        <w:tc>
          <w:tcPr>
            <w:tcW w:w="8420" w:type="dxa"/>
            <w:vAlign w:val="bottom"/>
          </w:tcPr>
          <w:p w14:paraId="631DAE17" w14:textId="77777777" w:rsidR="00D1587D" w:rsidRDefault="00410D07">
            <w:pPr>
              <w:ind w:left="80"/>
              <w:rPr>
                <w:sz w:val="20"/>
                <w:szCs w:val="20"/>
              </w:rPr>
            </w:pPr>
            <w:r>
              <w:rPr>
                <w:rFonts w:ascii="Arial" w:eastAsia="Arial" w:hAnsi="Arial" w:cs="Arial"/>
                <w:i/>
                <w:iCs/>
                <w:sz w:val="18"/>
                <w:szCs w:val="18"/>
              </w:rPr>
              <w:t>Information Technology</w:t>
            </w:r>
          </w:p>
        </w:tc>
        <w:tc>
          <w:tcPr>
            <w:tcW w:w="1760" w:type="dxa"/>
            <w:gridSpan w:val="2"/>
            <w:vAlign w:val="bottom"/>
          </w:tcPr>
          <w:p w14:paraId="04AC9F6C" w14:textId="77777777" w:rsidR="00D1587D" w:rsidRDefault="00410D07">
            <w:pPr>
              <w:jc w:val="right"/>
              <w:rPr>
                <w:sz w:val="20"/>
                <w:szCs w:val="20"/>
              </w:rPr>
            </w:pPr>
            <w:r>
              <w:rPr>
                <w:rFonts w:ascii="Arial" w:eastAsia="Arial" w:hAnsi="Arial" w:cs="Arial"/>
                <w:sz w:val="18"/>
                <w:szCs w:val="18"/>
              </w:rPr>
              <w:t>6</w:t>
            </w:r>
          </w:p>
        </w:tc>
      </w:tr>
      <w:tr w:rsidR="00D1587D" w14:paraId="399DD577" w14:textId="77777777">
        <w:trPr>
          <w:trHeight w:val="418"/>
        </w:trPr>
        <w:tc>
          <w:tcPr>
            <w:tcW w:w="1060" w:type="dxa"/>
            <w:vAlign w:val="bottom"/>
          </w:tcPr>
          <w:p w14:paraId="79F9017D" w14:textId="77777777" w:rsidR="00D1587D" w:rsidRDefault="00D1587D">
            <w:pPr>
              <w:rPr>
                <w:sz w:val="24"/>
                <w:szCs w:val="24"/>
              </w:rPr>
            </w:pPr>
          </w:p>
        </w:tc>
        <w:tc>
          <w:tcPr>
            <w:tcW w:w="8420" w:type="dxa"/>
            <w:vAlign w:val="bottom"/>
          </w:tcPr>
          <w:p w14:paraId="60BB05BB" w14:textId="77777777" w:rsidR="00D1587D" w:rsidRDefault="00410D07">
            <w:pPr>
              <w:ind w:left="609"/>
              <w:jc w:val="center"/>
              <w:rPr>
                <w:sz w:val="20"/>
                <w:szCs w:val="20"/>
              </w:rPr>
            </w:pPr>
            <w:r>
              <w:rPr>
                <w:rFonts w:ascii="Arial" w:eastAsia="Arial" w:hAnsi="Arial" w:cs="Arial"/>
                <w:w w:val="96"/>
                <w:sz w:val="18"/>
                <w:szCs w:val="18"/>
              </w:rPr>
              <w:t>ARTICLE 3</w:t>
            </w:r>
          </w:p>
        </w:tc>
        <w:tc>
          <w:tcPr>
            <w:tcW w:w="1420" w:type="dxa"/>
            <w:vAlign w:val="bottom"/>
          </w:tcPr>
          <w:p w14:paraId="01D7B160" w14:textId="77777777" w:rsidR="00D1587D" w:rsidRDefault="00D1587D">
            <w:pPr>
              <w:rPr>
                <w:sz w:val="24"/>
                <w:szCs w:val="24"/>
              </w:rPr>
            </w:pPr>
          </w:p>
        </w:tc>
        <w:tc>
          <w:tcPr>
            <w:tcW w:w="340" w:type="dxa"/>
            <w:vAlign w:val="bottom"/>
          </w:tcPr>
          <w:p w14:paraId="4ABC6C91" w14:textId="77777777" w:rsidR="00D1587D" w:rsidRDefault="00D1587D">
            <w:pPr>
              <w:rPr>
                <w:sz w:val="24"/>
                <w:szCs w:val="24"/>
              </w:rPr>
            </w:pPr>
          </w:p>
        </w:tc>
      </w:tr>
      <w:tr w:rsidR="00D1587D" w14:paraId="511B4918" w14:textId="77777777">
        <w:trPr>
          <w:trHeight w:val="230"/>
        </w:trPr>
        <w:tc>
          <w:tcPr>
            <w:tcW w:w="1060" w:type="dxa"/>
            <w:vAlign w:val="bottom"/>
          </w:tcPr>
          <w:p w14:paraId="7712F817" w14:textId="77777777" w:rsidR="00D1587D" w:rsidRDefault="00D1587D">
            <w:pPr>
              <w:rPr>
                <w:sz w:val="20"/>
                <w:szCs w:val="20"/>
              </w:rPr>
            </w:pPr>
          </w:p>
        </w:tc>
        <w:tc>
          <w:tcPr>
            <w:tcW w:w="8420" w:type="dxa"/>
            <w:vAlign w:val="bottom"/>
          </w:tcPr>
          <w:p w14:paraId="2DC47D99" w14:textId="77777777" w:rsidR="00D1587D" w:rsidRDefault="00410D07">
            <w:pPr>
              <w:ind w:left="609"/>
              <w:jc w:val="center"/>
              <w:rPr>
                <w:sz w:val="20"/>
                <w:szCs w:val="20"/>
              </w:rPr>
            </w:pPr>
            <w:r>
              <w:rPr>
                <w:rFonts w:ascii="Arial" w:eastAsia="Arial" w:hAnsi="Arial" w:cs="Arial"/>
                <w:w w:val="91"/>
                <w:sz w:val="18"/>
                <w:szCs w:val="18"/>
              </w:rPr>
              <w:t>SERVICE FEES.</w:t>
            </w:r>
          </w:p>
        </w:tc>
        <w:tc>
          <w:tcPr>
            <w:tcW w:w="1420" w:type="dxa"/>
            <w:vAlign w:val="bottom"/>
          </w:tcPr>
          <w:p w14:paraId="66131824" w14:textId="77777777" w:rsidR="00D1587D" w:rsidRDefault="00D1587D">
            <w:pPr>
              <w:rPr>
                <w:sz w:val="20"/>
                <w:szCs w:val="20"/>
              </w:rPr>
            </w:pPr>
          </w:p>
        </w:tc>
        <w:tc>
          <w:tcPr>
            <w:tcW w:w="340" w:type="dxa"/>
            <w:vAlign w:val="bottom"/>
          </w:tcPr>
          <w:p w14:paraId="05921AD0" w14:textId="77777777" w:rsidR="00D1587D" w:rsidRDefault="00D1587D">
            <w:pPr>
              <w:rPr>
                <w:sz w:val="20"/>
                <w:szCs w:val="20"/>
              </w:rPr>
            </w:pPr>
          </w:p>
        </w:tc>
      </w:tr>
      <w:tr w:rsidR="00D1587D" w14:paraId="2CE350C0" w14:textId="77777777">
        <w:trPr>
          <w:trHeight w:val="418"/>
        </w:trPr>
        <w:tc>
          <w:tcPr>
            <w:tcW w:w="1060" w:type="dxa"/>
            <w:vAlign w:val="bottom"/>
          </w:tcPr>
          <w:p w14:paraId="1ED00C04" w14:textId="77777777" w:rsidR="00D1587D" w:rsidRDefault="00410D07">
            <w:pPr>
              <w:rPr>
                <w:sz w:val="20"/>
                <w:szCs w:val="20"/>
              </w:rPr>
            </w:pPr>
            <w:r>
              <w:rPr>
                <w:rFonts w:ascii="Arial" w:eastAsia="Arial" w:hAnsi="Arial" w:cs="Arial"/>
                <w:w w:val="98"/>
                <w:sz w:val="18"/>
                <w:szCs w:val="18"/>
              </w:rPr>
              <w:t>Section 3.01.</w:t>
            </w:r>
          </w:p>
        </w:tc>
        <w:tc>
          <w:tcPr>
            <w:tcW w:w="8420" w:type="dxa"/>
            <w:vAlign w:val="bottom"/>
          </w:tcPr>
          <w:p w14:paraId="2E69B751" w14:textId="77777777" w:rsidR="00D1587D" w:rsidRDefault="00410D07">
            <w:pPr>
              <w:ind w:left="80"/>
              <w:rPr>
                <w:sz w:val="20"/>
                <w:szCs w:val="20"/>
              </w:rPr>
            </w:pPr>
            <w:r>
              <w:rPr>
                <w:rFonts w:ascii="Arial" w:eastAsia="Arial" w:hAnsi="Arial" w:cs="Arial"/>
                <w:i/>
                <w:iCs/>
                <w:sz w:val="18"/>
                <w:szCs w:val="18"/>
              </w:rPr>
              <w:t>Fees for Services</w:t>
            </w:r>
          </w:p>
        </w:tc>
        <w:tc>
          <w:tcPr>
            <w:tcW w:w="1760" w:type="dxa"/>
            <w:gridSpan w:val="2"/>
            <w:vAlign w:val="bottom"/>
          </w:tcPr>
          <w:p w14:paraId="28AA6B4E" w14:textId="77777777" w:rsidR="00D1587D" w:rsidRDefault="00410D07">
            <w:pPr>
              <w:jc w:val="right"/>
              <w:rPr>
                <w:sz w:val="20"/>
                <w:szCs w:val="20"/>
              </w:rPr>
            </w:pPr>
            <w:r>
              <w:rPr>
                <w:rFonts w:ascii="Arial" w:eastAsia="Arial" w:hAnsi="Arial" w:cs="Arial"/>
                <w:sz w:val="18"/>
                <w:szCs w:val="18"/>
              </w:rPr>
              <w:t>6</w:t>
            </w:r>
          </w:p>
        </w:tc>
      </w:tr>
      <w:tr w:rsidR="00D1587D" w14:paraId="489C0525" w14:textId="77777777">
        <w:trPr>
          <w:trHeight w:val="216"/>
        </w:trPr>
        <w:tc>
          <w:tcPr>
            <w:tcW w:w="1060" w:type="dxa"/>
            <w:vAlign w:val="bottom"/>
          </w:tcPr>
          <w:p w14:paraId="279D9F2E" w14:textId="77777777" w:rsidR="00D1587D" w:rsidRDefault="00410D07">
            <w:pPr>
              <w:rPr>
                <w:sz w:val="20"/>
                <w:szCs w:val="20"/>
              </w:rPr>
            </w:pPr>
            <w:r>
              <w:rPr>
                <w:rFonts w:ascii="Arial" w:eastAsia="Arial" w:hAnsi="Arial" w:cs="Arial"/>
                <w:w w:val="98"/>
                <w:sz w:val="18"/>
                <w:szCs w:val="18"/>
              </w:rPr>
              <w:t>Section 3.02.</w:t>
            </w:r>
          </w:p>
        </w:tc>
        <w:tc>
          <w:tcPr>
            <w:tcW w:w="8420" w:type="dxa"/>
            <w:vAlign w:val="bottom"/>
          </w:tcPr>
          <w:p w14:paraId="64F081D9" w14:textId="77777777" w:rsidR="00D1587D" w:rsidRDefault="00410D07">
            <w:pPr>
              <w:ind w:left="80"/>
              <w:rPr>
                <w:sz w:val="20"/>
                <w:szCs w:val="20"/>
              </w:rPr>
            </w:pPr>
            <w:r>
              <w:rPr>
                <w:rFonts w:ascii="Arial" w:eastAsia="Arial" w:hAnsi="Arial" w:cs="Arial"/>
                <w:i/>
                <w:iCs/>
                <w:sz w:val="18"/>
                <w:szCs w:val="18"/>
              </w:rPr>
              <w:t>Payment</w:t>
            </w:r>
          </w:p>
        </w:tc>
        <w:tc>
          <w:tcPr>
            <w:tcW w:w="1760" w:type="dxa"/>
            <w:gridSpan w:val="2"/>
            <w:vAlign w:val="bottom"/>
          </w:tcPr>
          <w:p w14:paraId="79B24F60" w14:textId="77777777" w:rsidR="00D1587D" w:rsidRDefault="00410D07">
            <w:pPr>
              <w:jc w:val="right"/>
              <w:rPr>
                <w:sz w:val="20"/>
                <w:szCs w:val="20"/>
              </w:rPr>
            </w:pPr>
            <w:r>
              <w:rPr>
                <w:rFonts w:ascii="Arial" w:eastAsia="Arial" w:hAnsi="Arial" w:cs="Arial"/>
                <w:sz w:val="18"/>
                <w:szCs w:val="18"/>
              </w:rPr>
              <w:t>6</w:t>
            </w:r>
          </w:p>
        </w:tc>
      </w:tr>
      <w:tr w:rsidR="00D1587D" w14:paraId="0A728FD7" w14:textId="77777777">
        <w:trPr>
          <w:trHeight w:val="216"/>
        </w:trPr>
        <w:tc>
          <w:tcPr>
            <w:tcW w:w="1060" w:type="dxa"/>
            <w:vAlign w:val="bottom"/>
          </w:tcPr>
          <w:p w14:paraId="247E2C3E" w14:textId="77777777" w:rsidR="00D1587D" w:rsidRDefault="00410D07">
            <w:pPr>
              <w:rPr>
                <w:sz w:val="20"/>
                <w:szCs w:val="20"/>
              </w:rPr>
            </w:pPr>
            <w:r>
              <w:rPr>
                <w:rFonts w:ascii="Arial" w:eastAsia="Arial" w:hAnsi="Arial" w:cs="Arial"/>
                <w:w w:val="98"/>
                <w:sz w:val="18"/>
                <w:szCs w:val="18"/>
              </w:rPr>
              <w:t>Section 3.03.</w:t>
            </w:r>
          </w:p>
        </w:tc>
        <w:tc>
          <w:tcPr>
            <w:tcW w:w="8420" w:type="dxa"/>
            <w:vAlign w:val="bottom"/>
          </w:tcPr>
          <w:p w14:paraId="17740B29" w14:textId="77777777" w:rsidR="00D1587D" w:rsidRDefault="00410D07">
            <w:pPr>
              <w:ind w:left="80"/>
              <w:rPr>
                <w:sz w:val="20"/>
                <w:szCs w:val="20"/>
              </w:rPr>
            </w:pPr>
            <w:r>
              <w:rPr>
                <w:rFonts w:ascii="Arial" w:eastAsia="Arial" w:hAnsi="Arial" w:cs="Arial"/>
                <w:i/>
                <w:iCs/>
                <w:sz w:val="18"/>
                <w:szCs w:val="18"/>
              </w:rPr>
              <w:t>Late Payment</w:t>
            </w:r>
          </w:p>
        </w:tc>
        <w:tc>
          <w:tcPr>
            <w:tcW w:w="1760" w:type="dxa"/>
            <w:gridSpan w:val="2"/>
            <w:vAlign w:val="bottom"/>
          </w:tcPr>
          <w:p w14:paraId="59DCE60E" w14:textId="77777777" w:rsidR="00D1587D" w:rsidRDefault="00410D07">
            <w:pPr>
              <w:jc w:val="right"/>
              <w:rPr>
                <w:sz w:val="20"/>
                <w:szCs w:val="20"/>
              </w:rPr>
            </w:pPr>
            <w:r>
              <w:rPr>
                <w:rFonts w:ascii="Arial" w:eastAsia="Arial" w:hAnsi="Arial" w:cs="Arial"/>
                <w:sz w:val="18"/>
                <w:szCs w:val="18"/>
              </w:rPr>
              <w:t>7</w:t>
            </w:r>
          </w:p>
        </w:tc>
      </w:tr>
      <w:tr w:rsidR="00D1587D" w14:paraId="2CD6559E" w14:textId="77777777">
        <w:trPr>
          <w:trHeight w:val="216"/>
        </w:trPr>
        <w:tc>
          <w:tcPr>
            <w:tcW w:w="1060" w:type="dxa"/>
            <w:vAlign w:val="bottom"/>
          </w:tcPr>
          <w:p w14:paraId="6804DC08" w14:textId="77777777" w:rsidR="00D1587D" w:rsidRDefault="00410D07">
            <w:pPr>
              <w:rPr>
                <w:sz w:val="20"/>
                <w:szCs w:val="20"/>
              </w:rPr>
            </w:pPr>
            <w:r>
              <w:rPr>
                <w:rFonts w:ascii="Arial" w:eastAsia="Arial" w:hAnsi="Arial" w:cs="Arial"/>
                <w:w w:val="98"/>
                <w:sz w:val="18"/>
                <w:szCs w:val="18"/>
              </w:rPr>
              <w:t>Section 3.04.</w:t>
            </w:r>
          </w:p>
        </w:tc>
        <w:tc>
          <w:tcPr>
            <w:tcW w:w="8420" w:type="dxa"/>
            <w:vAlign w:val="bottom"/>
          </w:tcPr>
          <w:p w14:paraId="1D7A1033" w14:textId="77777777" w:rsidR="00D1587D" w:rsidRDefault="00410D07">
            <w:pPr>
              <w:ind w:left="80"/>
              <w:rPr>
                <w:sz w:val="20"/>
                <w:szCs w:val="20"/>
              </w:rPr>
            </w:pPr>
            <w:r>
              <w:rPr>
                <w:rFonts w:ascii="Arial" w:eastAsia="Arial" w:hAnsi="Arial" w:cs="Arial"/>
                <w:i/>
                <w:iCs/>
                <w:sz w:val="18"/>
                <w:szCs w:val="18"/>
              </w:rPr>
              <w:t>Suspension</w:t>
            </w:r>
          </w:p>
        </w:tc>
        <w:tc>
          <w:tcPr>
            <w:tcW w:w="1760" w:type="dxa"/>
            <w:gridSpan w:val="2"/>
            <w:vAlign w:val="bottom"/>
          </w:tcPr>
          <w:p w14:paraId="6ECC4094" w14:textId="77777777" w:rsidR="00D1587D" w:rsidRDefault="00410D07">
            <w:pPr>
              <w:jc w:val="right"/>
              <w:rPr>
                <w:sz w:val="20"/>
                <w:szCs w:val="20"/>
              </w:rPr>
            </w:pPr>
            <w:r>
              <w:rPr>
                <w:rFonts w:ascii="Arial" w:eastAsia="Arial" w:hAnsi="Arial" w:cs="Arial"/>
                <w:sz w:val="18"/>
                <w:szCs w:val="18"/>
              </w:rPr>
              <w:t>7</w:t>
            </w:r>
          </w:p>
        </w:tc>
      </w:tr>
      <w:tr w:rsidR="00D1587D" w14:paraId="190A13A7" w14:textId="77777777">
        <w:trPr>
          <w:trHeight w:val="216"/>
        </w:trPr>
        <w:tc>
          <w:tcPr>
            <w:tcW w:w="1060" w:type="dxa"/>
            <w:vAlign w:val="bottom"/>
          </w:tcPr>
          <w:p w14:paraId="359F5EF3" w14:textId="77777777" w:rsidR="00D1587D" w:rsidRDefault="00410D07">
            <w:pPr>
              <w:rPr>
                <w:sz w:val="20"/>
                <w:szCs w:val="20"/>
              </w:rPr>
            </w:pPr>
            <w:r>
              <w:rPr>
                <w:rFonts w:ascii="Arial" w:eastAsia="Arial" w:hAnsi="Arial" w:cs="Arial"/>
                <w:w w:val="98"/>
                <w:sz w:val="18"/>
                <w:szCs w:val="18"/>
              </w:rPr>
              <w:t>Section 3.05.</w:t>
            </w:r>
          </w:p>
        </w:tc>
        <w:tc>
          <w:tcPr>
            <w:tcW w:w="8420" w:type="dxa"/>
            <w:vAlign w:val="bottom"/>
          </w:tcPr>
          <w:p w14:paraId="3E0A4DDE" w14:textId="77777777" w:rsidR="00D1587D" w:rsidRDefault="00410D07">
            <w:pPr>
              <w:ind w:left="80"/>
              <w:rPr>
                <w:sz w:val="20"/>
                <w:szCs w:val="20"/>
              </w:rPr>
            </w:pPr>
            <w:r>
              <w:rPr>
                <w:rFonts w:ascii="Arial" w:eastAsia="Arial" w:hAnsi="Arial" w:cs="Arial"/>
                <w:i/>
                <w:iCs/>
                <w:sz w:val="18"/>
                <w:szCs w:val="18"/>
              </w:rPr>
              <w:t>Taxes</w:t>
            </w:r>
          </w:p>
        </w:tc>
        <w:tc>
          <w:tcPr>
            <w:tcW w:w="1760" w:type="dxa"/>
            <w:gridSpan w:val="2"/>
            <w:vAlign w:val="bottom"/>
          </w:tcPr>
          <w:p w14:paraId="2C5A2354" w14:textId="77777777" w:rsidR="00D1587D" w:rsidRDefault="00410D07">
            <w:pPr>
              <w:jc w:val="right"/>
              <w:rPr>
                <w:sz w:val="20"/>
                <w:szCs w:val="20"/>
              </w:rPr>
            </w:pPr>
            <w:r>
              <w:rPr>
                <w:rFonts w:ascii="Arial" w:eastAsia="Arial" w:hAnsi="Arial" w:cs="Arial"/>
                <w:sz w:val="18"/>
                <w:szCs w:val="18"/>
              </w:rPr>
              <w:t>7</w:t>
            </w:r>
          </w:p>
        </w:tc>
      </w:tr>
      <w:tr w:rsidR="00D1587D" w14:paraId="7916CAF1" w14:textId="77777777">
        <w:trPr>
          <w:trHeight w:val="230"/>
        </w:trPr>
        <w:tc>
          <w:tcPr>
            <w:tcW w:w="1060" w:type="dxa"/>
            <w:vAlign w:val="bottom"/>
          </w:tcPr>
          <w:p w14:paraId="32A0A1BF" w14:textId="77777777" w:rsidR="00D1587D" w:rsidRDefault="00410D07">
            <w:pPr>
              <w:rPr>
                <w:sz w:val="20"/>
                <w:szCs w:val="20"/>
              </w:rPr>
            </w:pPr>
            <w:r>
              <w:rPr>
                <w:rFonts w:ascii="Arial" w:eastAsia="Arial" w:hAnsi="Arial" w:cs="Arial"/>
                <w:w w:val="98"/>
                <w:sz w:val="18"/>
                <w:szCs w:val="18"/>
              </w:rPr>
              <w:t>Section 3.06.</w:t>
            </w:r>
          </w:p>
        </w:tc>
        <w:tc>
          <w:tcPr>
            <w:tcW w:w="8420" w:type="dxa"/>
            <w:vAlign w:val="bottom"/>
          </w:tcPr>
          <w:p w14:paraId="5769D914" w14:textId="77777777" w:rsidR="00D1587D" w:rsidRDefault="00410D07">
            <w:pPr>
              <w:ind w:left="80"/>
              <w:rPr>
                <w:sz w:val="20"/>
                <w:szCs w:val="20"/>
              </w:rPr>
            </w:pPr>
            <w:r>
              <w:rPr>
                <w:rFonts w:ascii="Arial" w:eastAsia="Arial" w:hAnsi="Arial" w:cs="Arial"/>
                <w:i/>
                <w:iCs/>
                <w:sz w:val="18"/>
                <w:szCs w:val="18"/>
              </w:rPr>
              <w:t>Audits</w:t>
            </w:r>
          </w:p>
        </w:tc>
        <w:tc>
          <w:tcPr>
            <w:tcW w:w="1760" w:type="dxa"/>
            <w:gridSpan w:val="2"/>
            <w:vAlign w:val="bottom"/>
          </w:tcPr>
          <w:p w14:paraId="12B9B30E" w14:textId="77777777" w:rsidR="00D1587D" w:rsidRDefault="00410D07">
            <w:pPr>
              <w:jc w:val="right"/>
              <w:rPr>
                <w:sz w:val="20"/>
                <w:szCs w:val="20"/>
              </w:rPr>
            </w:pPr>
            <w:r>
              <w:rPr>
                <w:rFonts w:ascii="Arial" w:eastAsia="Arial" w:hAnsi="Arial" w:cs="Arial"/>
                <w:sz w:val="18"/>
                <w:szCs w:val="18"/>
              </w:rPr>
              <w:t>8</w:t>
            </w:r>
          </w:p>
        </w:tc>
      </w:tr>
      <w:tr w:rsidR="00D1587D" w14:paraId="025E3D2D" w14:textId="77777777">
        <w:trPr>
          <w:trHeight w:val="418"/>
        </w:trPr>
        <w:tc>
          <w:tcPr>
            <w:tcW w:w="1060" w:type="dxa"/>
            <w:vAlign w:val="bottom"/>
          </w:tcPr>
          <w:p w14:paraId="7A747BDB" w14:textId="77777777" w:rsidR="00D1587D" w:rsidRDefault="00D1587D">
            <w:pPr>
              <w:rPr>
                <w:sz w:val="24"/>
                <w:szCs w:val="24"/>
              </w:rPr>
            </w:pPr>
          </w:p>
        </w:tc>
        <w:tc>
          <w:tcPr>
            <w:tcW w:w="8420" w:type="dxa"/>
            <w:vAlign w:val="bottom"/>
          </w:tcPr>
          <w:p w14:paraId="61C06795" w14:textId="77777777" w:rsidR="00D1587D" w:rsidRDefault="00410D07">
            <w:pPr>
              <w:ind w:left="609"/>
              <w:jc w:val="center"/>
              <w:rPr>
                <w:sz w:val="20"/>
                <w:szCs w:val="20"/>
              </w:rPr>
            </w:pPr>
            <w:r>
              <w:rPr>
                <w:rFonts w:ascii="Arial" w:eastAsia="Arial" w:hAnsi="Arial" w:cs="Arial"/>
                <w:w w:val="96"/>
                <w:sz w:val="18"/>
                <w:szCs w:val="18"/>
              </w:rPr>
              <w:t>ARTICLE 4</w:t>
            </w:r>
          </w:p>
        </w:tc>
        <w:tc>
          <w:tcPr>
            <w:tcW w:w="1420" w:type="dxa"/>
            <w:vAlign w:val="bottom"/>
          </w:tcPr>
          <w:p w14:paraId="2D52B60B" w14:textId="77777777" w:rsidR="00D1587D" w:rsidRDefault="00D1587D">
            <w:pPr>
              <w:rPr>
                <w:sz w:val="24"/>
                <w:szCs w:val="24"/>
              </w:rPr>
            </w:pPr>
          </w:p>
        </w:tc>
        <w:tc>
          <w:tcPr>
            <w:tcW w:w="340" w:type="dxa"/>
            <w:vAlign w:val="bottom"/>
          </w:tcPr>
          <w:p w14:paraId="591E8196" w14:textId="77777777" w:rsidR="00D1587D" w:rsidRDefault="00D1587D">
            <w:pPr>
              <w:rPr>
                <w:sz w:val="24"/>
                <w:szCs w:val="24"/>
              </w:rPr>
            </w:pPr>
          </w:p>
        </w:tc>
      </w:tr>
      <w:tr w:rsidR="00D1587D" w14:paraId="451E5459" w14:textId="77777777">
        <w:trPr>
          <w:trHeight w:val="230"/>
        </w:trPr>
        <w:tc>
          <w:tcPr>
            <w:tcW w:w="1060" w:type="dxa"/>
            <w:vAlign w:val="bottom"/>
          </w:tcPr>
          <w:p w14:paraId="745D871D" w14:textId="77777777" w:rsidR="00D1587D" w:rsidRDefault="00D1587D">
            <w:pPr>
              <w:rPr>
                <w:sz w:val="20"/>
                <w:szCs w:val="20"/>
              </w:rPr>
            </w:pPr>
          </w:p>
        </w:tc>
        <w:tc>
          <w:tcPr>
            <w:tcW w:w="8420" w:type="dxa"/>
            <w:vAlign w:val="bottom"/>
          </w:tcPr>
          <w:p w14:paraId="43156457" w14:textId="77777777" w:rsidR="00D1587D" w:rsidRDefault="00410D07">
            <w:pPr>
              <w:ind w:left="609"/>
              <w:jc w:val="center"/>
              <w:rPr>
                <w:sz w:val="20"/>
                <w:szCs w:val="20"/>
              </w:rPr>
            </w:pPr>
            <w:r>
              <w:rPr>
                <w:rFonts w:ascii="Arial" w:eastAsia="Arial" w:hAnsi="Arial" w:cs="Arial"/>
                <w:w w:val="93"/>
                <w:sz w:val="18"/>
                <w:szCs w:val="18"/>
              </w:rPr>
              <w:t>STANDARDS OF SERVICE.</w:t>
            </w:r>
          </w:p>
        </w:tc>
        <w:tc>
          <w:tcPr>
            <w:tcW w:w="1420" w:type="dxa"/>
            <w:vAlign w:val="bottom"/>
          </w:tcPr>
          <w:p w14:paraId="26B7314D" w14:textId="77777777" w:rsidR="00D1587D" w:rsidRDefault="00D1587D">
            <w:pPr>
              <w:rPr>
                <w:sz w:val="20"/>
                <w:szCs w:val="20"/>
              </w:rPr>
            </w:pPr>
          </w:p>
        </w:tc>
        <w:tc>
          <w:tcPr>
            <w:tcW w:w="340" w:type="dxa"/>
            <w:vAlign w:val="bottom"/>
          </w:tcPr>
          <w:p w14:paraId="5CEB2CB0" w14:textId="77777777" w:rsidR="00D1587D" w:rsidRDefault="00D1587D">
            <w:pPr>
              <w:rPr>
                <w:sz w:val="20"/>
                <w:szCs w:val="20"/>
              </w:rPr>
            </w:pPr>
          </w:p>
        </w:tc>
      </w:tr>
      <w:tr w:rsidR="00D1587D" w14:paraId="0A5885B7" w14:textId="77777777">
        <w:trPr>
          <w:trHeight w:val="418"/>
        </w:trPr>
        <w:tc>
          <w:tcPr>
            <w:tcW w:w="1060" w:type="dxa"/>
            <w:vAlign w:val="bottom"/>
          </w:tcPr>
          <w:p w14:paraId="3796B033" w14:textId="77777777" w:rsidR="00D1587D" w:rsidRDefault="00410D07">
            <w:pPr>
              <w:rPr>
                <w:sz w:val="20"/>
                <w:szCs w:val="20"/>
              </w:rPr>
            </w:pPr>
            <w:r>
              <w:rPr>
                <w:rFonts w:ascii="Arial" w:eastAsia="Arial" w:hAnsi="Arial" w:cs="Arial"/>
                <w:w w:val="98"/>
                <w:sz w:val="18"/>
                <w:szCs w:val="18"/>
              </w:rPr>
              <w:t>Section 4.01.</w:t>
            </w:r>
          </w:p>
        </w:tc>
        <w:tc>
          <w:tcPr>
            <w:tcW w:w="8420" w:type="dxa"/>
            <w:vAlign w:val="bottom"/>
          </w:tcPr>
          <w:p w14:paraId="2AF27483" w14:textId="77777777" w:rsidR="00D1587D" w:rsidRDefault="00410D07">
            <w:pPr>
              <w:ind w:left="80"/>
              <w:rPr>
                <w:sz w:val="20"/>
                <w:szCs w:val="20"/>
              </w:rPr>
            </w:pPr>
            <w:r>
              <w:rPr>
                <w:rFonts w:ascii="Arial" w:eastAsia="Arial" w:hAnsi="Arial" w:cs="Arial"/>
                <w:i/>
                <w:iCs/>
                <w:sz w:val="18"/>
                <w:szCs w:val="18"/>
              </w:rPr>
              <w:t>General Standard of Service</w:t>
            </w:r>
          </w:p>
        </w:tc>
        <w:tc>
          <w:tcPr>
            <w:tcW w:w="1760" w:type="dxa"/>
            <w:gridSpan w:val="2"/>
            <w:vAlign w:val="bottom"/>
          </w:tcPr>
          <w:p w14:paraId="326C9337" w14:textId="77777777" w:rsidR="00D1587D" w:rsidRDefault="00410D07">
            <w:pPr>
              <w:jc w:val="right"/>
              <w:rPr>
                <w:sz w:val="20"/>
                <w:szCs w:val="20"/>
              </w:rPr>
            </w:pPr>
            <w:r>
              <w:rPr>
                <w:rFonts w:ascii="Arial" w:eastAsia="Arial" w:hAnsi="Arial" w:cs="Arial"/>
                <w:sz w:val="18"/>
                <w:szCs w:val="18"/>
              </w:rPr>
              <w:t>8</w:t>
            </w:r>
          </w:p>
        </w:tc>
      </w:tr>
      <w:tr w:rsidR="00D1587D" w14:paraId="02A7C799" w14:textId="77777777">
        <w:trPr>
          <w:trHeight w:val="216"/>
        </w:trPr>
        <w:tc>
          <w:tcPr>
            <w:tcW w:w="1060" w:type="dxa"/>
            <w:vAlign w:val="bottom"/>
          </w:tcPr>
          <w:p w14:paraId="010E8411" w14:textId="77777777" w:rsidR="00D1587D" w:rsidRDefault="00410D07">
            <w:pPr>
              <w:rPr>
                <w:sz w:val="20"/>
                <w:szCs w:val="20"/>
              </w:rPr>
            </w:pPr>
            <w:r>
              <w:rPr>
                <w:rFonts w:ascii="Arial" w:eastAsia="Arial" w:hAnsi="Arial" w:cs="Arial"/>
                <w:w w:val="98"/>
                <w:sz w:val="18"/>
                <w:szCs w:val="18"/>
              </w:rPr>
              <w:t>Section 4.02.</w:t>
            </w:r>
          </w:p>
        </w:tc>
        <w:tc>
          <w:tcPr>
            <w:tcW w:w="8420" w:type="dxa"/>
            <w:vAlign w:val="bottom"/>
          </w:tcPr>
          <w:p w14:paraId="24ED37B3" w14:textId="77777777" w:rsidR="00D1587D" w:rsidRDefault="00410D07">
            <w:pPr>
              <w:ind w:left="80"/>
              <w:rPr>
                <w:sz w:val="20"/>
                <w:szCs w:val="20"/>
              </w:rPr>
            </w:pPr>
            <w:r>
              <w:rPr>
                <w:rFonts w:ascii="Arial" w:eastAsia="Arial" w:hAnsi="Arial" w:cs="Arial"/>
                <w:i/>
                <w:iCs/>
                <w:sz w:val="18"/>
                <w:szCs w:val="18"/>
              </w:rPr>
              <w:t>Ownership of Products</w:t>
            </w:r>
          </w:p>
        </w:tc>
        <w:tc>
          <w:tcPr>
            <w:tcW w:w="1760" w:type="dxa"/>
            <w:gridSpan w:val="2"/>
            <w:vAlign w:val="bottom"/>
          </w:tcPr>
          <w:p w14:paraId="3B7E985C" w14:textId="77777777" w:rsidR="00D1587D" w:rsidRDefault="00410D07">
            <w:pPr>
              <w:jc w:val="right"/>
              <w:rPr>
                <w:sz w:val="20"/>
                <w:szCs w:val="20"/>
              </w:rPr>
            </w:pPr>
            <w:r>
              <w:rPr>
                <w:rFonts w:ascii="Arial" w:eastAsia="Arial" w:hAnsi="Arial" w:cs="Arial"/>
                <w:sz w:val="18"/>
                <w:szCs w:val="18"/>
              </w:rPr>
              <w:t>9</w:t>
            </w:r>
          </w:p>
        </w:tc>
      </w:tr>
      <w:tr w:rsidR="00D1587D" w14:paraId="1FA20F70" w14:textId="77777777">
        <w:trPr>
          <w:trHeight w:val="216"/>
        </w:trPr>
        <w:tc>
          <w:tcPr>
            <w:tcW w:w="1060" w:type="dxa"/>
            <w:vAlign w:val="bottom"/>
          </w:tcPr>
          <w:p w14:paraId="79A0DCFE" w14:textId="77777777" w:rsidR="00D1587D" w:rsidRDefault="00410D07">
            <w:pPr>
              <w:rPr>
                <w:sz w:val="20"/>
                <w:szCs w:val="20"/>
              </w:rPr>
            </w:pPr>
            <w:r>
              <w:rPr>
                <w:rFonts w:ascii="Arial" w:eastAsia="Arial" w:hAnsi="Arial" w:cs="Arial"/>
                <w:w w:val="98"/>
                <w:sz w:val="18"/>
                <w:szCs w:val="18"/>
              </w:rPr>
              <w:t>Section 4.03.</w:t>
            </w:r>
          </w:p>
        </w:tc>
        <w:tc>
          <w:tcPr>
            <w:tcW w:w="8420" w:type="dxa"/>
            <w:vAlign w:val="bottom"/>
          </w:tcPr>
          <w:p w14:paraId="2B4B071F" w14:textId="77777777" w:rsidR="00D1587D" w:rsidRDefault="00410D07">
            <w:pPr>
              <w:ind w:left="80"/>
              <w:rPr>
                <w:sz w:val="20"/>
                <w:szCs w:val="20"/>
              </w:rPr>
            </w:pPr>
            <w:r>
              <w:rPr>
                <w:rFonts w:ascii="Arial" w:eastAsia="Arial" w:hAnsi="Arial" w:cs="Arial"/>
                <w:i/>
                <w:iCs/>
                <w:sz w:val="18"/>
                <w:szCs w:val="18"/>
              </w:rPr>
              <w:t>Risk of Loss</w:t>
            </w:r>
          </w:p>
        </w:tc>
        <w:tc>
          <w:tcPr>
            <w:tcW w:w="1760" w:type="dxa"/>
            <w:gridSpan w:val="2"/>
            <w:vAlign w:val="bottom"/>
          </w:tcPr>
          <w:p w14:paraId="785CEAA1" w14:textId="77777777" w:rsidR="00D1587D" w:rsidRDefault="00410D07">
            <w:pPr>
              <w:jc w:val="right"/>
              <w:rPr>
                <w:sz w:val="20"/>
                <w:szCs w:val="20"/>
              </w:rPr>
            </w:pPr>
            <w:r>
              <w:rPr>
                <w:rFonts w:ascii="Arial" w:eastAsia="Arial" w:hAnsi="Arial" w:cs="Arial"/>
                <w:sz w:val="18"/>
                <w:szCs w:val="18"/>
              </w:rPr>
              <w:t>9</w:t>
            </w:r>
          </w:p>
        </w:tc>
      </w:tr>
      <w:tr w:rsidR="00D1587D" w14:paraId="556842C7" w14:textId="77777777">
        <w:trPr>
          <w:trHeight w:val="230"/>
        </w:trPr>
        <w:tc>
          <w:tcPr>
            <w:tcW w:w="1060" w:type="dxa"/>
            <w:vAlign w:val="bottom"/>
          </w:tcPr>
          <w:p w14:paraId="2736F35C" w14:textId="77777777" w:rsidR="00D1587D" w:rsidRDefault="00410D07">
            <w:pPr>
              <w:rPr>
                <w:sz w:val="20"/>
                <w:szCs w:val="20"/>
              </w:rPr>
            </w:pPr>
            <w:r>
              <w:rPr>
                <w:rFonts w:ascii="Arial" w:eastAsia="Arial" w:hAnsi="Arial" w:cs="Arial"/>
                <w:w w:val="98"/>
                <w:sz w:val="18"/>
                <w:szCs w:val="18"/>
              </w:rPr>
              <w:t>Section 4.04.</w:t>
            </w:r>
          </w:p>
        </w:tc>
        <w:tc>
          <w:tcPr>
            <w:tcW w:w="8420" w:type="dxa"/>
            <w:vAlign w:val="bottom"/>
          </w:tcPr>
          <w:p w14:paraId="0222E8B1" w14:textId="77777777" w:rsidR="00D1587D" w:rsidRDefault="00410D07">
            <w:pPr>
              <w:ind w:left="80"/>
              <w:rPr>
                <w:sz w:val="20"/>
                <w:szCs w:val="20"/>
              </w:rPr>
            </w:pPr>
            <w:r>
              <w:rPr>
                <w:rFonts w:ascii="Arial" w:eastAsia="Arial" w:hAnsi="Arial" w:cs="Arial"/>
                <w:i/>
                <w:iCs/>
                <w:sz w:val="18"/>
                <w:szCs w:val="18"/>
              </w:rPr>
              <w:t>Reporting and Review Meetings</w:t>
            </w:r>
          </w:p>
        </w:tc>
        <w:tc>
          <w:tcPr>
            <w:tcW w:w="1760" w:type="dxa"/>
            <w:gridSpan w:val="2"/>
            <w:vAlign w:val="bottom"/>
          </w:tcPr>
          <w:p w14:paraId="104580BB" w14:textId="77777777" w:rsidR="00D1587D" w:rsidRDefault="00410D07">
            <w:pPr>
              <w:jc w:val="right"/>
              <w:rPr>
                <w:sz w:val="20"/>
                <w:szCs w:val="20"/>
              </w:rPr>
            </w:pPr>
            <w:r>
              <w:rPr>
                <w:rFonts w:ascii="Arial" w:eastAsia="Arial" w:hAnsi="Arial" w:cs="Arial"/>
                <w:sz w:val="18"/>
                <w:szCs w:val="18"/>
              </w:rPr>
              <w:t>9</w:t>
            </w:r>
          </w:p>
        </w:tc>
      </w:tr>
      <w:tr w:rsidR="00D1587D" w14:paraId="743128CC" w14:textId="77777777">
        <w:trPr>
          <w:trHeight w:val="418"/>
        </w:trPr>
        <w:tc>
          <w:tcPr>
            <w:tcW w:w="1060" w:type="dxa"/>
            <w:vAlign w:val="bottom"/>
          </w:tcPr>
          <w:p w14:paraId="1BD6A9A8" w14:textId="77777777" w:rsidR="00D1587D" w:rsidRDefault="00D1587D">
            <w:pPr>
              <w:rPr>
                <w:sz w:val="24"/>
                <w:szCs w:val="24"/>
              </w:rPr>
            </w:pPr>
          </w:p>
        </w:tc>
        <w:tc>
          <w:tcPr>
            <w:tcW w:w="8420" w:type="dxa"/>
            <w:vAlign w:val="bottom"/>
          </w:tcPr>
          <w:p w14:paraId="153751F3" w14:textId="77777777" w:rsidR="00D1587D" w:rsidRDefault="00410D07">
            <w:pPr>
              <w:ind w:left="609"/>
              <w:jc w:val="center"/>
              <w:rPr>
                <w:sz w:val="20"/>
                <w:szCs w:val="20"/>
              </w:rPr>
            </w:pPr>
            <w:r>
              <w:rPr>
                <w:rFonts w:ascii="Arial" w:eastAsia="Arial" w:hAnsi="Arial" w:cs="Arial"/>
                <w:w w:val="96"/>
                <w:sz w:val="18"/>
                <w:szCs w:val="18"/>
              </w:rPr>
              <w:t>ARTICLE 5</w:t>
            </w:r>
          </w:p>
        </w:tc>
        <w:tc>
          <w:tcPr>
            <w:tcW w:w="1420" w:type="dxa"/>
            <w:vAlign w:val="bottom"/>
          </w:tcPr>
          <w:p w14:paraId="064F886F" w14:textId="77777777" w:rsidR="00D1587D" w:rsidRDefault="00D1587D">
            <w:pPr>
              <w:rPr>
                <w:sz w:val="24"/>
                <w:szCs w:val="24"/>
              </w:rPr>
            </w:pPr>
          </w:p>
        </w:tc>
        <w:tc>
          <w:tcPr>
            <w:tcW w:w="340" w:type="dxa"/>
            <w:vAlign w:val="bottom"/>
          </w:tcPr>
          <w:p w14:paraId="3431C3CC" w14:textId="77777777" w:rsidR="00D1587D" w:rsidRDefault="00D1587D">
            <w:pPr>
              <w:rPr>
                <w:sz w:val="24"/>
                <w:szCs w:val="24"/>
              </w:rPr>
            </w:pPr>
          </w:p>
        </w:tc>
      </w:tr>
      <w:tr w:rsidR="00D1587D" w14:paraId="202E7DD4" w14:textId="77777777">
        <w:trPr>
          <w:trHeight w:val="230"/>
        </w:trPr>
        <w:tc>
          <w:tcPr>
            <w:tcW w:w="1060" w:type="dxa"/>
            <w:vAlign w:val="bottom"/>
          </w:tcPr>
          <w:p w14:paraId="1CF70316" w14:textId="77777777" w:rsidR="00D1587D" w:rsidRDefault="00D1587D">
            <w:pPr>
              <w:rPr>
                <w:sz w:val="20"/>
                <w:szCs w:val="20"/>
              </w:rPr>
            </w:pPr>
          </w:p>
        </w:tc>
        <w:tc>
          <w:tcPr>
            <w:tcW w:w="8420" w:type="dxa"/>
            <w:vAlign w:val="bottom"/>
          </w:tcPr>
          <w:p w14:paraId="4B3E28E6" w14:textId="77777777" w:rsidR="00D1587D" w:rsidRDefault="00410D07">
            <w:pPr>
              <w:ind w:left="609"/>
              <w:jc w:val="center"/>
              <w:rPr>
                <w:sz w:val="20"/>
                <w:szCs w:val="20"/>
              </w:rPr>
            </w:pPr>
            <w:r>
              <w:rPr>
                <w:rFonts w:ascii="Arial" w:eastAsia="Arial" w:hAnsi="Arial" w:cs="Arial"/>
                <w:w w:val="98"/>
                <w:sz w:val="18"/>
                <w:szCs w:val="18"/>
              </w:rPr>
              <w:t xml:space="preserve">HAZARDOUS MATERIALS AND </w:t>
            </w:r>
            <w:r>
              <w:rPr>
                <w:rFonts w:ascii="Arial" w:eastAsia="Arial" w:hAnsi="Arial" w:cs="Arial"/>
                <w:w w:val="98"/>
                <w:sz w:val="18"/>
                <w:szCs w:val="18"/>
              </w:rPr>
              <w:t>COMPLIANCE WITH LAWS.</w:t>
            </w:r>
          </w:p>
        </w:tc>
        <w:tc>
          <w:tcPr>
            <w:tcW w:w="1420" w:type="dxa"/>
            <w:vAlign w:val="bottom"/>
          </w:tcPr>
          <w:p w14:paraId="2AB3EB74" w14:textId="77777777" w:rsidR="00D1587D" w:rsidRDefault="00D1587D">
            <w:pPr>
              <w:rPr>
                <w:sz w:val="20"/>
                <w:szCs w:val="20"/>
              </w:rPr>
            </w:pPr>
          </w:p>
        </w:tc>
        <w:tc>
          <w:tcPr>
            <w:tcW w:w="340" w:type="dxa"/>
            <w:vAlign w:val="bottom"/>
          </w:tcPr>
          <w:p w14:paraId="535C8A32" w14:textId="77777777" w:rsidR="00D1587D" w:rsidRDefault="00D1587D">
            <w:pPr>
              <w:rPr>
                <w:sz w:val="20"/>
                <w:szCs w:val="20"/>
              </w:rPr>
            </w:pPr>
          </w:p>
        </w:tc>
      </w:tr>
      <w:tr w:rsidR="00D1587D" w14:paraId="44073868" w14:textId="77777777">
        <w:trPr>
          <w:trHeight w:val="418"/>
        </w:trPr>
        <w:tc>
          <w:tcPr>
            <w:tcW w:w="1060" w:type="dxa"/>
            <w:vAlign w:val="bottom"/>
          </w:tcPr>
          <w:p w14:paraId="329DE371" w14:textId="77777777" w:rsidR="00D1587D" w:rsidRDefault="00410D07">
            <w:pPr>
              <w:ind w:left="60"/>
              <w:rPr>
                <w:sz w:val="20"/>
                <w:szCs w:val="20"/>
              </w:rPr>
            </w:pPr>
            <w:r>
              <w:rPr>
                <w:rFonts w:ascii="Arial" w:eastAsia="Arial" w:hAnsi="Arial" w:cs="Arial"/>
                <w:w w:val="93"/>
                <w:sz w:val="18"/>
                <w:szCs w:val="18"/>
              </w:rPr>
              <w:t>Section 5.01.</w:t>
            </w:r>
          </w:p>
        </w:tc>
        <w:tc>
          <w:tcPr>
            <w:tcW w:w="8420" w:type="dxa"/>
            <w:vAlign w:val="bottom"/>
          </w:tcPr>
          <w:p w14:paraId="6E2B2D15" w14:textId="77777777" w:rsidR="00D1587D" w:rsidRDefault="00410D07">
            <w:pPr>
              <w:ind w:left="80"/>
              <w:rPr>
                <w:sz w:val="20"/>
                <w:szCs w:val="20"/>
              </w:rPr>
            </w:pPr>
            <w:r>
              <w:rPr>
                <w:rFonts w:ascii="Arial" w:eastAsia="Arial" w:hAnsi="Arial" w:cs="Arial"/>
                <w:i/>
                <w:iCs/>
                <w:sz w:val="18"/>
                <w:szCs w:val="18"/>
              </w:rPr>
              <w:t>Hazardous Materials</w:t>
            </w:r>
          </w:p>
        </w:tc>
        <w:tc>
          <w:tcPr>
            <w:tcW w:w="1760" w:type="dxa"/>
            <w:gridSpan w:val="2"/>
            <w:vAlign w:val="bottom"/>
          </w:tcPr>
          <w:p w14:paraId="096D5FF7" w14:textId="77777777" w:rsidR="00D1587D" w:rsidRDefault="00410D07">
            <w:pPr>
              <w:jc w:val="right"/>
              <w:rPr>
                <w:sz w:val="20"/>
                <w:szCs w:val="20"/>
              </w:rPr>
            </w:pPr>
            <w:r>
              <w:rPr>
                <w:rFonts w:ascii="Arial" w:eastAsia="Arial" w:hAnsi="Arial" w:cs="Arial"/>
                <w:sz w:val="18"/>
                <w:szCs w:val="18"/>
              </w:rPr>
              <w:t>10</w:t>
            </w:r>
          </w:p>
        </w:tc>
      </w:tr>
      <w:tr w:rsidR="00D1587D" w14:paraId="4CB1F61C" w14:textId="77777777">
        <w:trPr>
          <w:trHeight w:val="230"/>
        </w:trPr>
        <w:tc>
          <w:tcPr>
            <w:tcW w:w="1060" w:type="dxa"/>
            <w:vAlign w:val="bottom"/>
          </w:tcPr>
          <w:p w14:paraId="640BD807" w14:textId="77777777" w:rsidR="00D1587D" w:rsidRDefault="00410D07">
            <w:pPr>
              <w:ind w:left="60"/>
              <w:rPr>
                <w:sz w:val="20"/>
                <w:szCs w:val="20"/>
              </w:rPr>
            </w:pPr>
            <w:r>
              <w:rPr>
                <w:rFonts w:ascii="Arial" w:eastAsia="Arial" w:hAnsi="Arial" w:cs="Arial"/>
                <w:w w:val="93"/>
                <w:sz w:val="18"/>
                <w:szCs w:val="18"/>
              </w:rPr>
              <w:t>Section 5.02.</w:t>
            </w:r>
          </w:p>
        </w:tc>
        <w:tc>
          <w:tcPr>
            <w:tcW w:w="8420" w:type="dxa"/>
            <w:vAlign w:val="bottom"/>
          </w:tcPr>
          <w:p w14:paraId="356B741D" w14:textId="77777777" w:rsidR="00D1587D" w:rsidRDefault="00410D07">
            <w:pPr>
              <w:ind w:left="80"/>
              <w:rPr>
                <w:sz w:val="20"/>
                <w:szCs w:val="20"/>
              </w:rPr>
            </w:pPr>
            <w:r>
              <w:rPr>
                <w:rFonts w:ascii="Arial" w:eastAsia="Arial" w:hAnsi="Arial" w:cs="Arial"/>
                <w:i/>
                <w:iCs/>
                <w:sz w:val="18"/>
                <w:szCs w:val="18"/>
              </w:rPr>
              <w:t>Compliance with Law</w:t>
            </w:r>
          </w:p>
        </w:tc>
        <w:tc>
          <w:tcPr>
            <w:tcW w:w="1760" w:type="dxa"/>
            <w:gridSpan w:val="2"/>
            <w:vAlign w:val="bottom"/>
          </w:tcPr>
          <w:p w14:paraId="765241C4" w14:textId="77777777" w:rsidR="00D1587D" w:rsidRDefault="00410D07">
            <w:pPr>
              <w:jc w:val="right"/>
              <w:rPr>
                <w:sz w:val="20"/>
                <w:szCs w:val="20"/>
              </w:rPr>
            </w:pPr>
            <w:r>
              <w:rPr>
                <w:rFonts w:ascii="Arial" w:eastAsia="Arial" w:hAnsi="Arial" w:cs="Arial"/>
                <w:sz w:val="18"/>
                <w:szCs w:val="18"/>
              </w:rPr>
              <w:t>10</w:t>
            </w:r>
          </w:p>
        </w:tc>
      </w:tr>
      <w:tr w:rsidR="00D1587D" w14:paraId="4F41E483" w14:textId="77777777">
        <w:trPr>
          <w:trHeight w:val="418"/>
        </w:trPr>
        <w:tc>
          <w:tcPr>
            <w:tcW w:w="1060" w:type="dxa"/>
            <w:vAlign w:val="bottom"/>
          </w:tcPr>
          <w:p w14:paraId="623B7E64" w14:textId="77777777" w:rsidR="00D1587D" w:rsidRDefault="00D1587D">
            <w:pPr>
              <w:rPr>
                <w:sz w:val="24"/>
                <w:szCs w:val="24"/>
              </w:rPr>
            </w:pPr>
          </w:p>
        </w:tc>
        <w:tc>
          <w:tcPr>
            <w:tcW w:w="8420" w:type="dxa"/>
            <w:vAlign w:val="bottom"/>
          </w:tcPr>
          <w:p w14:paraId="1F6CA396" w14:textId="77777777" w:rsidR="00D1587D" w:rsidRDefault="00410D07">
            <w:pPr>
              <w:ind w:left="609"/>
              <w:jc w:val="center"/>
              <w:rPr>
                <w:sz w:val="20"/>
                <w:szCs w:val="20"/>
              </w:rPr>
            </w:pPr>
            <w:r>
              <w:rPr>
                <w:rFonts w:ascii="Arial" w:eastAsia="Arial" w:hAnsi="Arial" w:cs="Arial"/>
                <w:w w:val="96"/>
                <w:sz w:val="18"/>
                <w:szCs w:val="18"/>
              </w:rPr>
              <w:t>ARTICLE 6</w:t>
            </w:r>
          </w:p>
        </w:tc>
        <w:tc>
          <w:tcPr>
            <w:tcW w:w="1420" w:type="dxa"/>
            <w:vAlign w:val="bottom"/>
          </w:tcPr>
          <w:p w14:paraId="25CC827E" w14:textId="77777777" w:rsidR="00D1587D" w:rsidRDefault="00D1587D">
            <w:pPr>
              <w:rPr>
                <w:sz w:val="24"/>
                <w:szCs w:val="24"/>
              </w:rPr>
            </w:pPr>
          </w:p>
        </w:tc>
        <w:tc>
          <w:tcPr>
            <w:tcW w:w="340" w:type="dxa"/>
            <w:vAlign w:val="bottom"/>
          </w:tcPr>
          <w:p w14:paraId="31B6DCD0" w14:textId="77777777" w:rsidR="00D1587D" w:rsidRDefault="00D1587D">
            <w:pPr>
              <w:rPr>
                <w:sz w:val="24"/>
                <w:szCs w:val="24"/>
              </w:rPr>
            </w:pPr>
          </w:p>
        </w:tc>
      </w:tr>
      <w:tr w:rsidR="00D1587D" w14:paraId="40FD2187" w14:textId="77777777">
        <w:trPr>
          <w:trHeight w:val="230"/>
        </w:trPr>
        <w:tc>
          <w:tcPr>
            <w:tcW w:w="1060" w:type="dxa"/>
            <w:vAlign w:val="bottom"/>
          </w:tcPr>
          <w:p w14:paraId="2DE86456" w14:textId="77777777" w:rsidR="00D1587D" w:rsidRDefault="00D1587D">
            <w:pPr>
              <w:rPr>
                <w:sz w:val="20"/>
                <w:szCs w:val="20"/>
              </w:rPr>
            </w:pPr>
          </w:p>
        </w:tc>
        <w:tc>
          <w:tcPr>
            <w:tcW w:w="8420" w:type="dxa"/>
            <w:vAlign w:val="bottom"/>
          </w:tcPr>
          <w:p w14:paraId="475DFC8D" w14:textId="77777777" w:rsidR="00D1587D" w:rsidRDefault="00410D07">
            <w:pPr>
              <w:ind w:left="609"/>
              <w:jc w:val="center"/>
              <w:rPr>
                <w:sz w:val="20"/>
                <w:szCs w:val="20"/>
              </w:rPr>
            </w:pPr>
            <w:r>
              <w:rPr>
                <w:rFonts w:ascii="Arial" w:eastAsia="Arial" w:hAnsi="Arial" w:cs="Arial"/>
                <w:w w:val="94"/>
                <w:sz w:val="18"/>
                <w:szCs w:val="18"/>
              </w:rPr>
              <w:t>REPRESENTATIONS AND WARRANTIES.</w:t>
            </w:r>
          </w:p>
        </w:tc>
        <w:tc>
          <w:tcPr>
            <w:tcW w:w="1420" w:type="dxa"/>
            <w:vAlign w:val="bottom"/>
          </w:tcPr>
          <w:p w14:paraId="7BAE87BC" w14:textId="77777777" w:rsidR="00D1587D" w:rsidRDefault="00D1587D">
            <w:pPr>
              <w:rPr>
                <w:sz w:val="20"/>
                <w:szCs w:val="20"/>
              </w:rPr>
            </w:pPr>
          </w:p>
        </w:tc>
        <w:tc>
          <w:tcPr>
            <w:tcW w:w="340" w:type="dxa"/>
            <w:vAlign w:val="bottom"/>
          </w:tcPr>
          <w:p w14:paraId="719A2151" w14:textId="77777777" w:rsidR="00D1587D" w:rsidRDefault="00D1587D">
            <w:pPr>
              <w:rPr>
                <w:sz w:val="20"/>
                <w:szCs w:val="20"/>
              </w:rPr>
            </w:pPr>
          </w:p>
        </w:tc>
      </w:tr>
      <w:tr w:rsidR="00D1587D" w14:paraId="569321C5" w14:textId="77777777">
        <w:trPr>
          <w:trHeight w:val="418"/>
        </w:trPr>
        <w:tc>
          <w:tcPr>
            <w:tcW w:w="1060" w:type="dxa"/>
            <w:vAlign w:val="bottom"/>
          </w:tcPr>
          <w:p w14:paraId="49FC10AF" w14:textId="77777777" w:rsidR="00D1587D" w:rsidRDefault="00410D07">
            <w:pPr>
              <w:rPr>
                <w:sz w:val="20"/>
                <w:szCs w:val="20"/>
              </w:rPr>
            </w:pPr>
            <w:r>
              <w:rPr>
                <w:rFonts w:ascii="Arial" w:eastAsia="Arial" w:hAnsi="Arial" w:cs="Arial"/>
                <w:w w:val="98"/>
                <w:sz w:val="18"/>
                <w:szCs w:val="18"/>
              </w:rPr>
              <w:t>Section 6.01.</w:t>
            </w:r>
          </w:p>
        </w:tc>
        <w:tc>
          <w:tcPr>
            <w:tcW w:w="8420" w:type="dxa"/>
            <w:vAlign w:val="bottom"/>
          </w:tcPr>
          <w:p w14:paraId="6618DED7" w14:textId="77777777" w:rsidR="00D1587D" w:rsidRDefault="00410D07">
            <w:pPr>
              <w:ind w:left="80"/>
              <w:rPr>
                <w:sz w:val="20"/>
                <w:szCs w:val="20"/>
              </w:rPr>
            </w:pPr>
            <w:r>
              <w:rPr>
                <w:rFonts w:ascii="Arial" w:eastAsia="Arial" w:hAnsi="Arial" w:cs="Arial"/>
                <w:i/>
                <w:iCs/>
                <w:sz w:val="18"/>
                <w:szCs w:val="18"/>
              </w:rPr>
              <w:t>Representations and Warranties of Service Provider</w:t>
            </w:r>
          </w:p>
        </w:tc>
        <w:tc>
          <w:tcPr>
            <w:tcW w:w="1760" w:type="dxa"/>
            <w:gridSpan w:val="2"/>
            <w:vAlign w:val="bottom"/>
          </w:tcPr>
          <w:p w14:paraId="6329D311" w14:textId="77777777" w:rsidR="00D1587D" w:rsidRDefault="00410D07">
            <w:pPr>
              <w:jc w:val="right"/>
              <w:rPr>
                <w:sz w:val="20"/>
                <w:szCs w:val="20"/>
              </w:rPr>
            </w:pPr>
            <w:r>
              <w:rPr>
                <w:rFonts w:ascii="Arial" w:eastAsia="Arial" w:hAnsi="Arial" w:cs="Arial"/>
                <w:sz w:val="18"/>
                <w:szCs w:val="18"/>
              </w:rPr>
              <w:t>10</w:t>
            </w:r>
          </w:p>
        </w:tc>
      </w:tr>
      <w:tr w:rsidR="00D1587D" w14:paraId="27279441" w14:textId="77777777">
        <w:trPr>
          <w:trHeight w:val="230"/>
        </w:trPr>
        <w:tc>
          <w:tcPr>
            <w:tcW w:w="1060" w:type="dxa"/>
            <w:vAlign w:val="bottom"/>
          </w:tcPr>
          <w:p w14:paraId="6583604D" w14:textId="77777777" w:rsidR="00D1587D" w:rsidRDefault="00410D07">
            <w:pPr>
              <w:rPr>
                <w:sz w:val="20"/>
                <w:szCs w:val="20"/>
              </w:rPr>
            </w:pPr>
            <w:r>
              <w:rPr>
                <w:rFonts w:ascii="Arial" w:eastAsia="Arial" w:hAnsi="Arial" w:cs="Arial"/>
                <w:w w:val="98"/>
                <w:sz w:val="18"/>
                <w:szCs w:val="18"/>
              </w:rPr>
              <w:t>Section 6.02.</w:t>
            </w:r>
          </w:p>
        </w:tc>
        <w:tc>
          <w:tcPr>
            <w:tcW w:w="8420" w:type="dxa"/>
            <w:vAlign w:val="bottom"/>
          </w:tcPr>
          <w:p w14:paraId="7C124CBA" w14:textId="77777777" w:rsidR="00D1587D" w:rsidRDefault="00410D07">
            <w:pPr>
              <w:ind w:left="80"/>
              <w:rPr>
                <w:sz w:val="20"/>
                <w:szCs w:val="20"/>
              </w:rPr>
            </w:pPr>
            <w:r>
              <w:rPr>
                <w:rFonts w:ascii="Arial" w:eastAsia="Arial" w:hAnsi="Arial" w:cs="Arial"/>
                <w:i/>
                <w:iCs/>
                <w:sz w:val="18"/>
                <w:szCs w:val="18"/>
              </w:rPr>
              <w:t>Representations and Warranties of VS</w:t>
            </w:r>
          </w:p>
        </w:tc>
        <w:tc>
          <w:tcPr>
            <w:tcW w:w="1760" w:type="dxa"/>
            <w:gridSpan w:val="2"/>
            <w:vAlign w:val="bottom"/>
          </w:tcPr>
          <w:p w14:paraId="651664D8" w14:textId="77777777" w:rsidR="00D1587D" w:rsidRDefault="00410D07">
            <w:pPr>
              <w:jc w:val="right"/>
              <w:rPr>
                <w:sz w:val="20"/>
                <w:szCs w:val="20"/>
              </w:rPr>
            </w:pPr>
            <w:r>
              <w:rPr>
                <w:rFonts w:ascii="Arial" w:eastAsia="Arial" w:hAnsi="Arial" w:cs="Arial"/>
                <w:sz w:val="18"/>
                <w:szCs w:val="18"/>
              </w:rPr>
              <w:t>11</w:t>
            </w:r>
          </w:p>
        </w:tc>
      </w:tr>
    </w:tbl>
    <w:p w14:paraId="346F36AA" w14:textId="77777777" w:rsidR="00D1587D" w:rsidRDefault="00D1587D">
      <w:pPr>
        <w:spacing w:line="370" w:lineRule="exact"/>
        <w:rPr>
          <w:sz w:val="20"/>
          <w:szCs w:val="20"/>
        </w:rPr>
      </w:pPr>
    </w:p>
    <w:p w14:paraId="2990E250" w14:textId="77777777" w:rsidR="00D1587D" w:rsidRDefault="00410D07">
      <w:pPr>
        <w:jc w:val="center"/>
        <w:rPr>
          <w:sz w:val="20"/>
          <w:szCs w:val="20"/>
        </w:rPr>
      </w:pPr>
      <w:r>
        <w:rPr>
          <w:rFonts w:ascii="Arial" w:eastAsia="Arial" w:hAnsi="Arial" w:cs="Arial"/>
        </w:rPr>
        <w:t>ii</w:t>
      </w:r>
    </w:p>
    <w:p w14:paraId="3646E6A3" w14:textId="77777777" w:rsidR="00D1587D" w:rsidRDefault="00410D07">
      <w:pPr>
        <w:spacing w:line="20" w:lineRule="exact"/>
        <w:rPr>
          <w:sz w:val="20"/>
          <w:szCs w:val="20"/>
        </w:rPr>
      </w:pPr>
      <w:r>
        <w:rPr>
          <w:noProof/>
          <w:sz w:val="20"/>
          <w:szCs w:val="20"/>
        </w:rPr>
        <w:drawing>
          <wp:anchor distT="0" distB="0" distL="114300" distR="114300" simplePos="0" relativeHeight="251377664" behindDoc="1" locked="0" layoutInCell="0" allowOverlap="1" wp14:anchorId="3C523979" wp14:editId="3973A183">
            <wp:simplePos x="0" y="0"/>
            <wp:positionH relativeFrom="column">
              <wp:posOffset>5080</wp:posOffset>
            </wp:positionH>
            <wp:positionV relativeFrom="paragraph">
              <wp:posOffset>41275</wp:posOffset>
            </wp:positionV>
            <wp:extent cx="7132320" cy="1714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90AD14E" w14:textId="77777777" w:rsidR="00D1587D" w:rsidRDefault="00D1587D">
      <w:pPr>
        <w:sectPr w:rsidR="00D1587D">
          <w:pgSz w:w="11900" w:h="16838"/>
          <w:pgMar w:top="355" w:right="339" w:bottom="1440" w:left="320" w:header="0" w:footer="0" w:gutter="0"/>
          <w:cols w:space="720" w:equalWidth="0">
            <w:col w:w="11240"/>
          </w:cols>
        </w:sectPr>
      </w:pPr>
    </w:p>
    <w:p w14:paraId="0F0C923A" w14:textId="77777777" w:rsidR="00D1587D" w:rsidRDefault="00410D07">
      <w:pPr>
        <w:jc w:val="center"/>
        <w:rPr>
          <w:sz w:val="20"/>
          <w:szCs w:val="20"/>
        </w:rPr>
      </w:pPr>
      <w:bookmarkStart w:id="216" w:name="page217"/>
      <w:bookmarkEnd w:id="216"/>
      <w:r>
        <w:rPr>
          <w:rFonts w:ascii="Arial" w:eastAsia="Arial" w:hAnsi="Arial" w:cs="Arial"/>
          <w:sz w:val="18"/>
          <w:szCs w:val="18"/>
        </w:rPr>
        <w:t>ARTICLE 7</w:t>
      </w:r>
    </w:p>
    <w:p w14:paraId="70527C55" w14:textId="77777777" w:rsidR="00D1587D" w:rsidRDefault="00D1587D">
      <w:pPr>
        <w:spacing w:line="23" w:lineRule="exact"/>
        <w:rPr>
          <w:sz w:val="20"/>
          <w:szCs w:val="20"/>
        </w:rPr>
      </w:pPr>
    </w:p>
    <w:p w14:paraId="2778AABD" w14:textId="77777777" w:rsidR="00D1587D" w:rsidRDefault="00410D07">
      <w:pPr>
        <w:jc w:val="center"/>
        <w:rPr>
          <w:sz w:val="20"/>
          <w:szCs w:val="20"/>
        </w:rPr>
      </w:pPr>
      <w:r>
        <w:rPr>
          <w:rFonts w:ascii="Arial" w:eastAsia="Arial" w:hAnsi="Arial" w:cs="Arial"/>
          <w:sz w:val="18"/>
          <w:szCs w:val="18"/>
        </w:rPr>
        <w:t>INDEMNIFICATION; LIMITATION OF LIABILITY.</w:t>
      </w:r>
    </w:p>
    <w:p w14:paraId="5B3AD0D4" w14:textId="77777777" w:rsidR="00D1587D" w:rsidRDefault="00D1587D">
      <w:pPr>
        <w:spacing w:line="21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60"/>
        <w:gridCol w:w="360"/>
        <w:gridCol w:w="7580"/>
        <w:gridCol w:w="2340"/>
      </w:tblGrid>
      <w:tr w:rsidR="00D1587D" w14:paraId="209C3EF3" w14:textId="77777777">
        <w:trPr>
          <w:trHeight w:val="216"/>
        </w:trPr>
        <w:tc>
          <w:tcPr>
            <w:tcW w:w="960" w:type="dxa"/>
            <w:vAlign w:val="bottom"/>
          </w:tcPr>
          <w:p w14:paraId="7A6A2962" w14:textId="77777777" w:rsidR="00D1587D" w:rsidRDefault="00410D07">
            <w:pPr>
              <w:rPr>
                <w:sz w:val="20"/>
                <w:szCs w:val="20"/>
              </w:rPr>
            </w:pPr>
            <w:r>
              <w:rPr>
                <w:rFonts w:ascii="Arial" w:eastAsia="Arial" w:hAnsi="Arial" w:cs="Arial"/>
                <w:w w:val="89"/>
                <w:sz w:val="18"/>
                <w:szCs w:val="18"/>
              </w:rPr>
              <w:t>Section 7.01.</w:t>
            </w:r>
          </w:p>
        </w:tc>
        <w:tc>
          <w:tcPr>
            <w:tcW w:w="7940" w:type="dxa"/>
            <w:gridSpan w:val="2"/>
            <w:vAlign w:val="bottom"/>
          </w:tcPr>
          <w:p w14:paraId="55C282AC" w14:textId="77777777" w:rsidR="00D1587D" w:rsidRDefault="00410D07">
            <w:pPr>
              <w:ind w:left="180"/>
              <w:rPr>
                <w:sz w:val="20"/>
                <w:szCs w:val="20"/>
              </w:rPr>
            </w:pPr>
            <w:r>
              <w:rPr>
                <w:rFonts w:ascii="Arial" w:eastAsia="Arial" w:hAnsi="Arial" w:cs="Arial"/>
                <w:i/>
                <w:iCs/>
                <w:sz w:val="18"/>
                <w:szCs w:val="18"/>
              </w:rPr>
              <w:t>Indemnification of Service Provider by VS</w:t>
            </w:r>
          </w:p>
        </w:tc>
        <w:tc>
          <w:tcPr>
            <w:tcW w:w="2340" w:type="dxa"/>
            <w:vAlign w:val="bottom"/>
          </w:tcPr>
          <w:p w14:paraId="221BD3E2" w14:textId="77777777" w:rsidR="00D1587D" w:rsidRDefault="00410D07">
            <w:pPr>
              <w:jc w:val="right"/>
              <w:rPr>
                <w:sz w:val="20"/>
                <w:szCs w:val="20"/>
              </w:rPr>
            </w:pPr>
            <w:r>
              <w:rPr>
                <w:rFonts w:ascii="Arial" w:eastAsia="Arial" w:hAnsi="Arial" w:cs="Arial"/>
                <w:sz w:val="18"/>
                <w:szCs w:val="18"/>
              </w:rPr>
              <w:t>11</w:t>
            </w:r>
          </w:p>
        </w:tc>
      </w:tr>
      <w:tr w:rsidR="00D1587D" w14:paraId="0A898DF8" w14:textId="77777777">
        <w:trPr>
          <w:trHeight w:val="216"/>
        </w:trPr>
        <w:tc>
          <w:tcPr>
            <w:tcW w:w="960" w:type="dxa"/>
            <w:vAlign w:val="bottom"/>
          </w:tcPr>
          <w:p w14:paraId="2527AC72" w14:textId="77777777" w:rsidR="00D1587D" w:rsidRDefault="00410D07">
            <w:pPr>
              <w:rPr>
                <w:sz w:val="20"/>
                <w:szCs w:val="20"/>
              </w:rPr>
            </w:pPr>
            <w:r>
              <w:rPr>
                <w:rFonts w:ascii="Arial" w:eastAsia="Arial" w:hAnsi="Arial" w:cs="Arial"/>
                <w:w w:val="89"/>
                <w:sz w:val="18"/>
                <w:szCs w:val="18"/>
              </w:rPr>
              <w:t>Section 7.02.</w:t>
            </w:r>
          </w:p>
        </w:tc>
        <w:tc>
          <w:tcPr>
            <w:tcW w:w="7940" w:type="dxa"/>
            <w:gridSpan w:val="2"/>
            <w:vAlign w:val="bottom"/>
          </w:tcPr>
          <w:p w14:paraId="7E0F65C8" w14:textId="77777777" w:rsidR="00D1587D" w:rsidRDefault="00410D07">
            <w:pPr>
              <w:ind w:left="180"/>
              <w:rPr>
                <w:sz w:val="20"/>
                <w:szCs w:val="20"/>
              </w:rPr>
            </w:pPr>
            <w:r>
              <w:rPr>
                <w:rFonts w:ascii="Arial" w:eastAsia="Arial" w:hAnsi="Arial" w:cs="Arial"/>
                <w:i/>
                <w:iCs/>
                <w:sz w:val="18"/>
                <w:szCs w:val="18"/>
              </w:rPr>
              <w:t>Indemnification of VS by Service Provider</w:t>
            </w:r>
          </w:p>
        </w:tc>
        <w:tc>
          <w:tcPr>
            <w:tcW w:w="2340" w:type="dxa"/>
            <w:vAlign w:val="bottom"/>
          </w:tcPr>
          <w:p w14:paraId="2FC097BA" w14:textId="77777777" w:rsidR="00D1587D" w:rsidRDefault="00410D07">
            <w:pPr>
              <w:jc w:val="right"/>
              <w:rPr>
                <w:sz w:val="20"/>
                <w:szCs w:val="20"/>
              </w:rPr>
            </w:pPr>
            <w:r>
              <w:rPr>
                <w:rFonts w:ascii="Arial" w:eastAsia="Arial" w:hAnsi="Arial" w:cs="Arial"/>
                <w:sz w:val="18"/>
                <w:szCs w:val="18"/>
              </w:rPr>
              <w:t>11</w:t>
            </w:r>
          </w:p>
        </w:tc>
      </w:tr>
      <w:tr w:rsidR="00D1587D" w14:paraId="74F45DAF" w14:textId="77777777">
        <w:trPr>
          <w:trHeight w:val="216"/>
        </w:trPr>
        <w:tc>
          <w:tcPr>
            <w:tcW w:w="960" w:type="dxa"/>
            <w:vAlign w:val="bottom"/>
          </w:tcPr>
          <w:p w14:paraId="5A181CF0" w14:textId="77777777" w:rsidR="00D1587D" w:rsidRDefault="00410D07">
            <w:pPr>
              <w:rPr>
                <w:sz w:val="20"/>
                <w:szCs w:val="20"/>
              </w:rPr>
            </w:pPr>
            <w:r>
              <w:rPr>
                <w:rFonts w:ascii="Arial" w:eastAsia="Arial" w:hAnsi="Arial" w:cs="Arial"/>
                <w:w w:val="89"/>
                <w:sz w:val="18"/>
                <w:szCs w:val="18"/>
              </w:rPr>
              <w:t xml:space="preserve">Section </w:t>
            </w:r>
            <w:r>
              <w:rPr>
                <w:rFonts w:ascii="Arial" w:eastAsia="Arial" w:hAnsi="Arial" w:cs="Arial"/>
                <w:w w:val="89"/>
                <w:sz w:val="18"/>
                <w:szCs w:val="18"/>
              </w:rPr>
              <w:t>7.03.</w:t>
            </w:r>
          </w:p>
        </w:tc>
        <w:tc>
          <w:tcPr>
            <w:tcW w:w="7940" w:type="dxa"/>
            <w:gridSpan w:val="2"/>
            <w:vAlign w:val="bottom"/>
          </w:tcPr>
          <w:p w14:paraId="6A1B05B7" w14:textId="77777777" w:rsidR="00D1587D" w:rsidRDefault="00410D07">
            <w:pPr>
              <w:ind w:left="180"/>
              <w:rPr>
                <w:sz w:val="20"/>
                <w:szCs w:val="20"/>
              </w:rPr>
            </w:pPr>
            <w:r>
              <w:rPr>
                <w:rFonts w:ascii="Arial" w:eastAsia="Arial" w:hAnsi="Arial" w:cs="Arial"/>
                <w:i/>
                <w:iCs/>
                <w:sz w:val="18"/>
                <w:szCs w:val="18"/>
              </w:rPr>
              <w:t>Third-Party Claim Procedures</w:t>
            </w:r>
          </w:p>
        </w:tc>
        <w:tc>
          <w:tcPr>
            <w:tcW w:w="2340" w:type="dxa"/>
            <w:vAlign w:val="bottom"/>
          </w:tcPr>
          <w:p w14:paraId="29B73837" w14:textId="77777777" w:rsidR="00D1587D" w:rsidRDefault="00410D07">
            <w:pPr>
              <w:jc w:val="right"/>
              <w:rPr>
                <w:sz w:val="20"/>
                <w:szCs w:val="20"/>
              </w:rPr>
            </w:pPr>
            <w:r>
              <w:rPr>
                <w:rFonts w:ascii="Arial" w:eastAsia="Arial" w:hAnsi="Arial" w:cs="Arial"/>
                <w:sz w:val="18"/>
                <w:szCs w:val="18"/>
              </w:rPr>
              <w:t>12</w:t>
            </w:r>
          </w:p>
        </w:tc>
      </w:tr>
      <w:tr w:rsidR="00D1587D" w14:paraId="44157FD9" w14:textId="77777777">
        <w:trPr>
          <w:trHeight w:val="216"/>
        </w:trPr>
        <w:tc>
          <w:tcPr>
            <w:tcW w:w="960" w:type="dxa"/>
            <w:vAlign w:val="bottom"/>
          </w:tcPr>
          <w:p w14:paraId="5DBAFC42" w14:textId="77777777" w:rsidR="00D1587D" w:rsidRDefault="00410D07">
            <w:pPr>
              <w:rPr>
                <w:sz w:val="20"/>
                <w:szCs w:val="20"/>
              </w:rPr>
            </w:pPr>
            <w:r>
              <w:rPr>
                <w:rFonts w:ascii="Arial" w:eastAsia="Arial" w:hAnsi="Arial" w:cs="Arial"/>
                <w:w w:val="89"/>
                <w:sz w:val="18"/>
                <w:szCs w:val="18"/>
              </w:rPr>
              <w:t>Section 7.04.</w:t>
            </w:r>
          </w:p>
        </w:tc>
        <w:tc>
          <w:tcPr>
            <w:tcW w:w="7940" w:type="dxa"/>
            <w:gridSpan w:val="2"/>
            <w:vAlign w:val="bottom"/>
          </w:tcPr>
          <w:p w14:paraId="696C4937" w14:textId="77777777" w:rsidR="00D1587D" w:rsidRDefault="00410D07">
            <w:pPr>
              <w:ind w:left="180"/>
              <w:rPr>
                <w:sz w:val="20"/>
                <w:szCs w:val="20"/>
              </w:rPr>
            </w:pPr>
            <w:r>
              <w:rPr>
                <w:rFonts w:ascii="Arial" w:eastAsia="Arial" w:hAnsi="Arial" w:cs="Arial"/>
                <w:i/>
                <w:iCs/>
                <w:sz w:val="18"/>
                <w:szCs w:val="18"/>
              </w:rPr>
              <w:t>Direct Claim Procedures</w:t>
            </w:r>
          </w:p>
        </w:tc>
        <w:tc>
          <w:tcPr>
            <w:tcW w:w="2340" w:type="dxa"/>
            <w:vAlign w:val="bottom"/>
          </w:tcPr>
          <w:p w14:paraId="7A41A9A1" w14:textId="77777777" w:rsidR="00D1587D" w:rsidRDefault="00410D07">
            <w:pPr>
              <w:jc w:val="right"/>
              <w:rPr>
                <w:sz w:val="20"/>
                <w:szCs w:val="20"/>
              </w:rPr>
            </w:pPr>
            <w:r>
              <w:rPr>
                <w:rFonts w:ascii="Arial" w:eastAsia="Arial" w:hAnsi="Arial" w:cs="Arial"/>
                <w:sz w:val="18"/>
                <w:szCs w:val="18"/>
              </w:rPr>
              <w:t>12</w:t>
            </w:r>
          </w:p>
        </w:tc>
      </w:tr>
      <w:tr w:rsidR="00D1587D" w14:paraId="039B5CA0" w14:textId="77777777">
        <w:trPr>
          <w:trHeight w:val="216"/>
        </w:trPr>
        <w:tc>
          <w:tcPr>
            <w:tcW w:w="960" w:type="dxa"/>
            <w:vAlign w:val="bottom"/>
          </w:tcPr>
          <w:p w14:paraId="07D67324" w14:textId="77777777" w:rsidR="00D1587D" w:rsidRDefault="00410D07">
            <w:pPr>
              <w:rPr>
                <w:sz w:val="20"/>
                <w:szCs w:val="20"/>
              </w:rPr>
            </w:pPr>
            <w:r>
              <w:rPr>
                <w:rFonts w:ascii="Arial" w:eastAsia="Arial" w:hAnsi="Arial" w:cs="Arial"/>
                <w:w w:val="89"/>
                <w:sz w:val="18"/>
                <w:szCs w:val="18"/>
              </w:rPr>
              <w:t>Section 7.05.</w:t>
            </w:r>
          </w:p>
        </w:tc>
        <w:tc>
          <w:tcPr>
            <w:tcW w:w="7940" w:type="dxa"/>
            <w:gridSpan w:val="2"/>
            <w:vAlign w:val="bottom"/>
          </w:tcPr>
          <w:p w14:paraId="490BCE3F" w14:textId="77777777" w:rsidR="00D1587D" w:rsidRDefault="00410D07">
            <w:pPr>
              <w:ind w:left="180"/>
              <w:rPr>
                <w:sz w:val="20"/>
                <w:szCs w:val="20"/>
              </w:rPr>
            </w:pPr>
            <w:r>
              <w:rPr>
                <w:rFonts w:ascii="Arial" w:eastAsia="Arial" w:hAnsi="Arial" w:cs="Arial"/>
                <w:i/>
                <w:iCs/>
                <w:sz w:val="18"/>
                <w:szCs w:val="18"/>
              </w:rPr>
              <w:t>Calculation of Damages</w:t>
            </w:r>
          </w:p>
        </w:tc>
        <w:tc>
          <w:tcPr>
            <w:tcW w:w="2340" w:type="dxa"/>
            <w:vAlign w:val="bottom"/>
          </w:tcPr>
          <w:p w14:paraId="64F41A21" w14:textId="77777777" w:rsidR="00D1587D" w:rsidRDefault="00410D07">
            <w:pPr>
              <w:jc w:val="right"/>
              <w:rPr>
                <w:sz w:val="20"/>
                <w:szCs w:val="20"/>
              </w:rPr>
            </w:pPr>
            <w:r>
              <w:rPr>
                <w:rFonts w:ascii="Arial" w:eastAsia="Arial" w:hAnsi="Arial" w:cs="Arial"/>
                <w:sz w:val="18"/>
                <w:szCs w:val="18"/>
              </w:rPr>
              <w:t>13</w:t>
            </w:r>
          </w:p>
        </w:tc>
      </w:tr>
      <w:tr w:rsidR="00D1587D" w14:paraId="30ABD96F" w14:textId="77777777">
        <w:trPr>
          <w:trHeight w:val="230"/>
        </w:trPr>
        <w:tc>
          <w:tcPr>
            <w:tcW w:w="960" w:type="dxa"/>
            <w:vAlign w:val="bottom"/>
          </w:tcPr>
          <w:p w14:paraId="7A3D2A88" w14:textId="77777777" w:rsidR="00D1587D" w:rsidRDefault="00410D07">
            <w:pPr>
              <w:rPr>
                <w:sz w:val="20"/>
                <w:szCs w:val="20"/>
              </w:rPr>
            </w:pPr>
            <w:r>
              <w:rPr>
                <w:rFonts w:ascii="Arial" w:eastAsia="Arial" w:hAnsi="Arial" w:cs="Arial"/>
                <w:w w:val="89"/>
                <w:sz w:val="18"/>
                <w:szCs w:val="18"/>
              </w:rPr>
              <w:t>Section 7.06.</w:t>
            </w:r>
          </w:p>
        </w:tc>
        <w:tc>
          <w:tcPr>
            <w:tcW w:w="7940" w:type="dxa"/>
            <w:gridSpan w:val="2"/>
            <w:vAlign w:val="bottom"/>
          </w:tcPr>
          <w:p w14:paraId="17959D64" w14:textId="77777777" w:rsidR="00D1587D" w:rsidRDefault="00410D07">
            <w:pPr>
              <w:ind w:left="180"/>
              <w:rPr>
                <w:sz w:val="20"/>
                <w:szCs w:val="20"/>
              </w:rPr>
            </w:pPr>
            <w:r>
              <w:rPr>
                <w:rFonts w:ascii="Arial" w:eastAsia="Arial" w:hAnsi="Arial" w:cs="Arial"/>
                <w:i/>
                <w:iCs/>
                <w:sz w:val="18"/>
                <w:szCs w:val="18"/>
              </w:rPr>
              <w:t>Limitation of Liability; Exclusion of Damages</w:t>
            </w:r>
          </w:p>
        </w:tc>
        <w:tc>
          <w:tcPr>
            <w:tcW w:w="2340" w:type="dxa"/>
            <w:vAlign w:val="bottom"/>
          </w:tcPr>
          <w:p w14:paraId="61C3D413" w14:textId="77777777" w:rsidR="00D1587D" w:rsidRDefault="00410D07">
            <w:pPr>
              <w:jc w:val="right"/>
              <w:rPr>
                <w:sz w:val="20"/>
                <w:szCs w:val="20"/>
              </w:rPr>
            </w:pPr>
            <w:r>
              <w:rPr>
                <w:rFonts w:ascii="Arial" w:eastAsia="Arial" w:hAnsi="Arial" w:cs="Arial"/>
                <w:sz w:val="18"/>
                <w:szCs w:val="18"/>
              </w:rPr>
              <w:t>13</w:t>
            </w:r>
          </w:p>
        </w:tc>
      </w:tr>
      <w:tr w:rsidR="00D1587D" w14:paraId="6A9EACBC" w14:textId="77777777">
        <w:trPr>
          <w:trHeight w:val="418"/>
        </w:trPr>
        <w:tc>
          <w:tcPr>
            <w:tcW w:w="960" w:type="dxa"/>
            <w:vAlign w:val="bottom"/>
          </w:tcPr>
          <w:p w14:paraId="4BC14CD1" w14:textId="77777777" w:rsidR="00D1587D" w:rsidRDefault="00D1587D">
            <w:pPr>
              <w:rPr>
                <w:sz w:val="24"/>
                <w:szCs w:val="24"/>
              </w:rPr>
            </w:pPr>
          </w:p>
        </w:tc>
        <w:tc>
          <w:tcPr>
            <w:tcW w:w="360" w:type="dxa"/>
            <w:vAlign w:val="bottom"/>
          </w:tcPr>
          <w:p w14:paraId="51ACD16E" w14:textId="77777777" w:rsidR="00D1587D" w:rsidRDefault="00D1587D">
            <w:pPr>
              <w:rPr>
                <w:sz w:val="24"/>
                <w:szCs w:val="24"/>
              </w:rPr>
            </w:pPr>
          </w:p>
        </w:tc>
        <w:tc>
          <w:tcPr>
            <w:tcW w:w="7580" w:type="dxa"/>
            <w:vAlign w:val="bottom"/>
          </w:tcPr>
          <w:p w14:paraId="6DEB4B30" w14:textId="77777777" w:rsidR="00D1587D" w:rsidRDefault="00410D07">
            <w:pPr>
              <w:ind w:left="926"/>
              <w:jc w:val="center"/>
              <w:rPr>
                <w:sz w:val="20"/>
                <w:szCs w:val="20"/>
              </w:rPr>
            </w:pPr>
            <w:r>
              <w:rPr>
                <w:rFonts w:ascii="Arial" w:eastAsia="Arial" w:hAnsi="Arial" w:cs="Arial"/>
                <w:w w:val="96"/>
                <w:sz w:val="18"/>
                <w:szCs w:val="18"/>
              </w:rPr>
              <w:t>ARTICLE 8</w:t>
            </w:r>
          </w:p>
        </w:tc>
        <w:tc>
          <w:tcPr>
            <w:tcW w:w="2340" w:type="dxa"/>
            <w:vAlign w:val="bottom"/>
          </w:tcPr>
          <w:p w14:paraId="76B075A8" w14:textId="77777777" w:rsidR="00D1587D" w:rsidRDefault="00D1587D">
            <w:pPr>
              <w:rPr>
                <w:sz w:val="24"/>
                <w:szCs w:val="24"/>
              </w:rPr>
            </w:pPr>
          </w:p>
        </w:tc>
      </w:tr>
      <w:tr w:rsidR="00D1587D" w14:paraId="21A2EFCB" w14:textId="77777777">
        <w:trPr>
          <w:trHeight w:val="230"/>
        </w:trPr>
        <w:tc>
          <w:tcPr>
            <w:tcW w:w="960" w:type="dxa"/>
            <w:vAlign w:val="bottom"/>
          </w:tcPr>
          <w:p w14:paraId="64558821" w14:textId="77777777" w:rsidR="00D1587D" w:rsidRDefault="00D1587D">
            <w:pPr>
              <w:rPr>
                <w:sz w:val="20"/>
                <w:szCs w:val="20"/>
              </w:rPr>
            </w:pPr>
          </w:p>
        </w:tc>
        <w:tc>
          <w:tcPr>
            <w:tcW w:w="360" w:type="dxa"/>
            <w:vAlign w:val="bottom"/>
          </w:tcPr>
          <w:p w14:paraId="4054400A" w14:textId="77777777" w:rsidR="00D1587D" w:rsidRDefault="00D1587D">
            <w:pPr>
              <w:rPr>
                <w:sz w:val="20"/>
                <w:szCs w:val="20"/>
              </w:rPr>
            </w:pPr>
          </w:p>
        </w:tc>
        <w:tc>
          <w:tcPr>
            <w:tcW w:w="7580" w:type="dxa"/>
            <w:vAlign w:val="bottom"/>
          </w:tcPr>
          <w:p w14:paraId="7B29A89B" w14:textId="77777777" w:rsidR="00D1587D" w:rsidRDefault="00410D07">
            <w:pPr>
              <w:ind w:left="926"/>
              <w:jc w:val="center"/>
              <w:rPr>
                <w:sz w:val="20"/>
                <w:szCs w:val="20"/>
              </w:rPr>
            </w:pPr>
            <w:r>
              <w:rPr>
                <w:rFonts w:ascii="Arial" w:eastAsia="Arial" w:hAnsi="Arial" w:cs="Arial"/>
                <w:w w:val="99"/>
                <w:sz w:val="18"/>
                <w:szCs w:val="18"/>
              </w:rPr>
              <w:t>CONFIDENTIALITY.</w:t>
            </w:r>
          </w:p>
        </w:tc>
        <w:tc>
          <w:tcPr>
            <w:tcW w:w="2340" w:type="dxa"/>
            <w:vAlign w:val="bottom"/>
          </w:tcPr>
          <w:p w14:paraId="08362E82" w14:textId="77777777" w:rsidR="00D1587D" w:rsidRDefault="00D1587D">
            <w:pPr>
              <w:rPr>
                <w:sz w:val="20"/>
                <w:szCs w:val="20"/>
              </w:rPr>
            </w:pPr>
          </w:p>
        </w:tc>
      </w:tr>
      <w:tr w:rsidR="00D1587D" w14:paraId="45D20B44" w14:textId="77777777">
        <w:trPr>
          <w:trHeight w:val="418"/>
        </w:trPr>
        <w:tc>
          <w:tcPr>
            <w:tcW w:w="960" w:type="dxa"/>
            <w:vAlign w:val="bottom"/>
          </w:tcPr>
          <w:p w14:paraId="02D60BED" w14:textId="77777777" w:rsidR="00D1587D" w:rsidRDefault="00410D07">
            <w:pPr>
              <w:rPr>
                <w:sz w:val="20"/>
                <w:szCs w:val="20"/>
              </w:rPr>
            </w:pPr>
            <w:r>
              <w:rPr>
                <w:rFonts w:ascii="Arial" w:eastAsia="Arial" w:hAnsi="Arial" w:cs="Arial"/>
                <w:w w:val="89"/>
                <w:sz w:val="18"/>
                <w:szCs w:val="18"/>
              </w:rPr>
              <w:t>Section 8.01.</w:t>
            </w:r>
          </w:p>
        </w:tc>
        <w:tc>
          <w:tcPr>
            <w:tcW w:w="7940" w:type="dxa"/>
            <w:gridSpan w:val="2"/>
            <w:vAlign w:val="bottom"/>
          </w:tcPr>
          <w:p w14:paraId="68943A05" w14:textId="77777777" w:rsidR="00D1587D" w:rsidRDefault="00410D07">
            <w:pPr>
              <w:ind w:left="180"/>
              <w:rPr>
                <w:sz w:val="20"/>
                <w:szCs w:val="20"/>
              </w:rPr>
            </w:pPr>
            <w:r>
              <w:rPr>
                <w:rFonts w:ascii="Arial" w:eastAsia="Arial" w:hAnsi="Arial" w:cs="Arial"/>
                <w:i/>
                <w:iCs/>
                <w:sz w:val="18"/>
                <w:szCs w:val="18"/>
              </w:rPr>
              <w:t>Confidential Information</w:t>
            </w:r>
          </w:p>
        </w:tc>
        <w:tc>
          <w:tcPr>
            <w:tcW w:w="2340" w:type="dxa"/>
            <w:vAlign w:val="bottom"/>
          </w:tcPr>
          <w:p w14:paraId="1982B121" w14:textId="77777777" w:rsidR="00D1587D" w:rsidRDefault="00410D07">
            <w:pPr>
              <w:jc w:val="right"/>
              <w:rPr>
                <w:sz w:val="20"/>
                <w:szCs w:val="20"/>
              </w:rPr>
            </w:pPr>
            <w:r>
              <w:rPr>
                <w:rFonts w:ascii="Arial" w:eastAsia="Arial" w:hAnsi="Arial" w:cs="Arial"/>
                <w:sz w:val="18"/>
                <w:szCs w:val="18"/>
              </w:rPr>
              <w:t>13</w:t>
            </w:r>
          </w:p>
        </w:tc>
      </w:tr>
      <w:tr w:rsidR="00D1587D" w14:paraId="5D9F9A10" w14:textId="77777777">
        <w:trPr>
          <w:trHeight w:val="216"/>
        </w:trPr>
        <w:tc>
          <w:tcPr>
            <w:tcW w:w="960" w:type="dxa"/>
            <w:vAlign w:val="bottom"/>
          </w:tcPr>
          <w:p w14:paraId="26070619" w14:textId="77777777" w:rsidR="00D1587D" w:rsidRDefault="00410D07">
            <w:pPr>
              <w:rPr>
                <w:sz w:val="20"/>
                <w:szCs w:val="20"/>
              </w:rPr>
            </w:pPr>
            <w:r>
              <w:rPr>
                <w:rFonts w:ascii="Arial" w:eastAsia="Arial" w:hAnsi="Arial" w:cs="Arial"/>
                <w:w w:val="89"/>
                <w:sz w:val="18"/>
                <w:szCs w:val="18"/>
              </w:rPr>
              <w:t>Section 8.02.</w:t>
            </w:r>
          </w:p>
        </w:tc>
        <w:tc>
          <w:tcPr>
            <w:tcW w:w="7940" w:type="dxa"/>
            <w:gridSpan w:val="2"/>
            <w:vAlign w:val="bottom"/>
          </w:tcPr>
          <w:p w14:paraId="7681B11D" w14:textId="77777777" w:rsidR="00D1587D" w:rsidRDefault="00410D07">
            <w:pPr>
              <w:ind w:left="180"/>
              <w:rPr>
                <w:sz w:val="20"/>
                <w:szCs w:val="20"/>
              </w:rPr>
            </w:pPr>
            <w:r>
              <w:rPr>
                <w:rFonts w:ascii="Arial" w:eastAsia="Arial" w:hAnsi="Arial" w:cs="Arial"/>
                <w:i/>
                <w:iCs/>
                <w:sz w:val="18"/>
                <w:szCs w:val="18"/>
              </w:rPr>
              <w:t>No Rights to Confidential Information</w:t>
            </w:r>
          </w:p>
        </w:tc>
        <w:tc>
          <w:tcPr>
            <w:tcW w:w="2340" w:type="dxa"/>
            <w:vAlign w:val="bottom"/>
          </w:tcPr>
          <w:p w14:paraId="6874A30A" w14:textId="77777777" w:rsidR="00D1587D" w:rsidRDefault="00410D07">
            <w:pPr>
              <w:jc w:val="right"/>
              <w:rPr>
                <w:sz w:val="20"/>
                <w:szCs w:val="20"/>
              </w:rPr>
            </w:pPr>
            <w:r>
              <w:rPr>
                <w:rFonts w:ascii="Arial" w:eastAsia="Arial" w:hAnsi="Arial" w:cs="Arial"/>
                <w:sz w:val="18"/>
                <w:szCs w:val="18"/>
              </w:rPr>
              <w:t>13</w:t>
            </w:r>
          </w:p>
        </w:tc>
      </w:tr>
      <w:tr w:rsidR="00D1587D" w14:paraId="36C59FB7" w14:textId="77777777">
        <w:trPr>
          <w:trHeight w:val="216"/>
        </w:trPr>
        <w:tc>
          <w:tcPr>
            <w:tcW w:w="960" w:type="dxa"/>
            <w:vAlign w:val="bottom"/>
          </w:tcPr>
          <w:p w14:paraId="4EE63313" w14:textId="77777777" w:rsidR="00D1587D" w:rsidRDefault="00410D07">
            <w:pPr>
              <w:rPr>
                <w:sz w:val="20"/>
                <w:szCs w:val="20"/>
              </w:rPr>
            </w:pPr>
            <w:r>
              <w:rPr>
                <w:rFonts w:ascii="Arial" w:eastAsia="Arial" w:hAnsi="Arial" w:cs="Arial"/>
                <w:w w:val="89"/>
                <w:sz w:val="18"/>
                <w:szCs w:val="18"/>
              </w:rPr>
              <w:t>Section 8.03.</w:t>
            </w:r>
          </w:p>
        </w:tc>
        <w:tc>
          <w:tcPr>
            <w:tcW w:w="7940" w:type="dxa"/>
            <w:gridSpan w:val="2"/>
            <w:vAlign w:val="bottom"/>
          </w:tcPr>
          <w:p w14:paraId="704242E1" w14:textId="77777777" w:rsidR="00D1587D" w:rsidRDefault="00410D07">
            <w:pPr>
              <w:ind w:left="180"/>
              <w:rPr>
                <w:sz w:val="20"/>
                <w:szCs w:val="20"/>
              </w:rPr>
            </w:pPr>
            <w:r>
              <w:rPr>
                <w:rFonts w:ascii="Arial" w:eastAsia="Arial" w:hAnsi="Arial" w:cs="Arial"/>
                <w:i/>
                <w:iCs/>
                <w:sz w:val="18"/>
                <w:szCs w:val="18"/>
              </w:rPr>
              <w:t>Safeguards</w:t>
            </w:r>
          </w:p>
        </w:tc>
        <w:tc>
          <w:tcPr>
            <w:tcW w:w="2340" w:type="dxa"/>
            <w:vAlign w:val="bottom"/>
          </w:tcPr>
          <w:p w14:paraId="390CAFEB" w14:textId="77777777" w:rsidR="00D1587D" w:rsidRDefault="00410D07">
            <w:pPr>
              <w:jc w:val="right"/>
              <w:rPr>
                <w:sz w:val="20"/>
                <w:szCs w:val="20"/>
              </w:rPr>
            </w:pPr>
            <w:r>
              <w:rPr>
                <w:rFonts w:ascii="Arial" w:eastAsia="Arial" w:hAnsi="Arial" w:cs="Arial"/>
                <w:sz w:val="18"/>
                <w:szCs w:val="18"/>
              </w:rPr>
              <w:t>13</w:t>
            </w:r>
          </w:p>
        </w:tc>
      </w:tr>
      <w:tr w:rsidR="00D1587D" w14:paraId="00CE9EA6" w14:textId="77777777">
        <w:trPr>
          <w:trHeight w:val="230"/>
        </w:trPr>
        <w:tc>
          <w:tcPr>
            <w:tcW w:w="960" w:type="dxa"/>
            <w:vAlign w:val="bottom"/>
          </w:tcPr>
          <w:p w14:paraId="568D050C" w14:textId="77777777" w:rsidR="00D1587D" w:rsidRDefault="00410D07">
            <w:pPr>
              <w:rPr>
                <w:sz w:val="20"/>
                <w:szCs w:val="20"/>
              </w:rPr>
            </w:pPr>
            <w:r>
              <w:rPr>
                <w:rFonts w:ascii="Arial" w:eastAsia="Arial" w:hAnsi="Arial" w:cs="Arial"/>
                <w:w w:val="89"/>
                <w:sz w:val="18"/>
                <w:szCs w:val="18"/>
              </w:rPr>
              <w:t>Section 8.04.</w:t>
            </w:r>
          </w:p>
        </w:tc>
        <w:tc>
          <w:tcPr>
            <w:tcW w:w="7940" w:type="dxa"/>
            <w:gridSpan w:val="2"/>
            <w:vAlign w:val="bottom"/>
          </w:tcPr>
          <w:p w14:paraId="7B0787D4" w14:textId="77777777" w:rsidR="00D1587D" w:rsidRDefault="00410D07">
            <w:pPr>
              <w:ind w:left="180"/>
              <w:rPr>
                <w:sz w:val="20"/>
                <w:szCs w:val="20"/>
              </w:rPr>
            </w:pPr>
            <w:r>
              <w:rPr>
                <w:rFonts w:ascii="Arial" w:eastAsia="Arial" w:hAnsi="Arial" w:cs="Arial"/>
                <w:i/>
                <w:iCs/>
                <w:sz w:val="18"/>
                <w:szCs w:val="18"/>
              </w:rPr>
              <w:t>Permitted Disclosures</w:t>
            </w:r>
          </w:p>
        </w:tc>
        <w:tc>
          <w:tcPr>
            <w:tcW w:w="2340" w:type="dxa"/>
            <w:vAlign w:val="bottom"/>
          </w:tcPr>
          <w:p w14:paraId="6AF2D47D" w14:textId="77777777" w:rsidR="00D1587D" w:rsidRDefault="00410D07">
            <w:pPr>
              <w:jc w:val="right"/>
              <w:rPr>
                <w:sz w:val="20"/>
                <w:szCs w:val="20"/>
              </w:rPr>
            </w:pPr>
            <w:r>
              <w:rPr>
                <w:rFonts w:ascii="Arial" w:eastAsia="Arial" w:hAnsi="Arial" w:cs="Arial"/>
                <w:sz w:val="18"/>
                <w:szCs w:val="18"/>
              </w:rPr>
              <w:t>14</w:t>
            </w:r>
          </w:p>
        </w:tc>
      </w:tr>
      <w:tr w:rsidR="00D1587D" w14:paraId="4146FC24" w14:textId="77777777">
        <w:trPr>
          <w:trHeight w:val="418"/>
        </w:trPr>
        <w:tc>
          <w:tcPr>
            <w:tcW w:w="960" w:type="dxa"/>
            <w:vAlign w:val="bottom"/>
          </w:tcPr>
          <w:p w14:paraId="11A8F4B0" w14:textId="77777777" w:rsidR="00D1587D" w:rsidRDefault="00D1587D">
            <w:pPr>
              <w:rPr>
                <w:sz w:val="24"/>
                <w:szCs w:val="24"/>
              </w:rPr>
            </w:pPr>
          </w:p>
        </w:tc>
        <w:tc>
          <w:tcPr>
            <w:tcW w:w="360" w:type="dxa"/>
            <w:vAlign w:val="bottom"/>
          </w:tcPr>
          <w:p w14:paraId="19BFC820" w14:textId="77777777" w:rsidR="00D1587D" w:rsidRDefault="00D1587D">
            <w:pPr>
              <w:rPr>
                <w:sz w:val="24"/>
                <w:szCs w:val="24"/>
              </w:rPr>
            </w:pPr>
          </w:p>
        </w:tc>
        <w:tc>
          <w:tcPr>
            <w:tcW w:w="7580" w:type="dxa"/>
            <w:vAlign w:val="bottom"/>
          </w:tcPr>
          <w:p w14:paraId="6D6D3DD7" w14:textId="77777777" w:rsidR="00D1587D" w:rsidRDefault="00410D07">
            <w:pPr>
              <w:ind w:left="926"/>
              <w:jc w:val="center"/>
              <w:rPr>
                <w:sz w:val="20"/>
                <w:szCs w:val="20"/>
              </w:rPr>
            </w:pPr>
            <w:r>
              <w:rPr>
                <w:rFonts w:ascii="Arial" w:eastAsia="Arial" w:hAnsi="Arial" w:cs="Arial"/>
                <w:w w:val="96"/>
                <w:sz w:val="18"/>
                <w:szCs w:val="18"/>
              </w:rPr>
              <w:t>ARTICLE 9</w:t>
            </w:r>
          </w:p>
        </w:tc>
        <w:tc>
          <w:tcPr>
            <w:tcW w:w="2340" w:type="dxa"/>
            <w:vAlign w:val="bottom"/>
          </w:tcPr>
          <w:p w14:paraId="12EA4ADF" w14:textId="77777777" w:rsidR="00D1587D" w:rsidRDefault="00D1587D">
            <w:pPr>
              <w:rPr>
                <w:sz w:val="24"/>
                <w:szCs w:val="24"/>
              </w:rPr>
            </w:pPr>
          </w:p>
        </w:tc>
      </w:tr>
      <w:tr w:rsidR="00D1587D" w14:paraId="1B3E0C28" w14:textId="77777777">
        <w:trPr>
          <w:trHeight w:val="230"/>
        </w:trPr>
        <w:tc>
          <w:tcPr>
            <w:tcW w:w="960" w:type="dxa"/>
            <w:vAlign w:val="bottom"/>
          </w:tcPr>
          <w:p w14:paraId="5B43D495" w14:textId="77777777" w:rsidR="00D1587D" w:rsidRDefault="00D1587D">
            <w:pPr>
              <w:rPr>
                <w:sz w:val="20"/>
                <w:szCs w:val="20"/>
              </w:rPr>
            </w:pPr>
          </w:p>
        </w:tc>
        <w:tc>
          <w:tcPr>
            <w:tcW w:w="360" w:type="dxa"/>
            <w:vAlign w:val="bottom"/>
          </w:tcPr>
          <w:p w14:paraId="543F3A5C" w14:textId="77777777" w:rsidR="00D1587D" w:rsidRDefault="00D1587D">
            <w:pPr>
              <w:rPr>
                <w:sz w:val="20"/>
                <w:szCs w:val="20"/>
              </w:rPr>
            </w:pPr>
          </w:p>
        </w:tc>
        <w:tc>
          <w:tcPr>
            <w:tcW w:w="7580" w:type="dxa"/>
            <w:vAlign w:val="bottom"/>
          </w:tcPr>
          <w:p w14:paraId="18AEBA49" w14:textId="77777777" w:rsidR="00D1587D" w:rsidRDefault="00410D07">
            <w:pPr>
              <w:ind w:left="946"/>
              <w:jc w:val="center"/>
              <w:rPr>
                <w:sz w:val="20"/>
                <w:szCs w:val="20"/>
              </w:rPr>
            </w:pPr>
            <w:r>
              <w:rPr>
                <w:rFonts w:ascii="Arial" w:eastAsia="Arial" w:hAnsi="Arial" w:cs="Arial"/>
                <w:w w:val="99"/>
                <w:sz w:val="18"/>
                <w:szCs w:val="18"/>
              </w:rPr>
              <w:t>TERM AND TERMINATION.</w:t>
            </w:r>
          </w:p>
        </w:tc>
        <w:tc>
          <w:tcPr>
            <w:tcW w:w="2340" w:type="dxa"/>
            <w:vAlign w:val="bottom"/>
          </w:tcPr>
          <w:p w14:paraId="022D345A" w14:textId="77777777" w:rsidR="00D1587D" w:rsidRDefault="00D1587D">
            <w:pPr>
              <w:rPr>
                <w:sz w:val="20"/>
                <w:szCs w:val="20"/>
              </w:rPr>
            </w:pPr>
          </w:p>
        </w:tc>
      </w:tr>
      <w:tr w:rsidR="00D1587D" w14:paraId="0CD77293" w14:textId="77777777">
        <w:trPr>
          <w:trHeight w:val="418"/>
        </w:trPr>
        <w:tc>
          <w:tcPr>
            <w:tcW w:w="960" w:type="dxa"/>
            <w:vAlign w:val="bottom"/>
          </w:tcPr>
          <w:p w14:paraId="36651B7F" w14:textId="77777777" w:rsidR="00D1587D" w:rsidRDefault="00410D07">
            <w:pPr>
              <w:rPr>
                <w:sz w:val="20"/>
                <w:szCs w:val="20"/>
              </w:rPr>
            </w:pPr>
            <w:r>
              <w:rPr>
                <w:rFonts w:ascii="Arial" w:eastAsia="Arial" w:hAnsi="Arial" w:cs="Arial"/>
                <w:w w:val="89"/>
                <w:sz w:val="18"/>
                <w:szCs w:val="18"/>
              </w:rPr>
              <w:t>Section 9.01.</w:t>
            </w:r>
          </w:p>
        </w:tc>
        <w:tc>
          <w:tcPr>
            <w:tcW w:w="7940" w:type="dxa"/>
            <w:gridSpan w:val="2"/>
            <w:vAlign w:val="bottom"/>
          </w:tcPr>
          <w:p w14:paraId="5FDCB41F" w14:textId="77777777" w:rsidR="00D1587D" w:rsidRDefault="00410D07">
            <w:pPr>
              <w:ind w:left="180"/>
              <w:rPr>
                <w:sz w:val="20"/>
                <w:szCs w:val="20"/>
              </w:rPr>
            </w:pPr>
            <w:r>
              <w:rPr>
                <w:rFonts w:ascii="Arial" w:eastAsia="Arial" w:hAnsi="Arial" w:cs="Arial"/>
                <w:i/>
                <w:iCs/>
                <w:sz w:val="18"/>
                <w:szCs w:val="18"/>
              </w:rPr>
              <w:t>Term</w:t>
            </w:r>
          </w:p>
        </w:tc>
        <w:tc>
          <w:tcPr>
            <w:tcW w:w="2340" w:type="dxa"/>
            <w:vAlign w:val="bottom"/>
          </w:tcPr>
          <w:p w14:paraId="30F6F310" w14:textId="77777777" w:rsidR="00D1587D" w:rsidRDefault="00410D07">
            <w:pPr>
              <w:jc w:val="right"/>
              <w:rPr>
                <w:sz w:val="20"/>
                <w:szCs w:val="20"/>
              </w:rPr>
            </w:pPr>
            <w:r>
              <w:rPr>
                <w:rFonts w:ascii="Arial" w:eastAsia="Arial" w:hAnsi="Arial" w:cs="Arial"/>
                <w:sz w:val="18"/>
                <w:szCs w:val="18"/>
              </w:rPr>
              <w:t>14</w:t>
            </w:r>
          </w:p>
        </w:tc>
      </w:tr>
      <w:tr w:rsidR="00D1587D" w14:paraId="3374F726" w14:textId="77777777">
        <w:trPr>
          <w:trHeight w:val="216"/>
        </w:trPr>
        <w:tc>
          <w:tcPr>
            <w:tcW w:w="960" w:type="dxa"/>
            <w:vAlign w:val="bottom"/>
          </w:tcPr>
          <w:p w14:paraId="40532900" w14:textId="77777777" w:rsidR="00D1587D" w:rsidRDefault="00410D07">
            <w:pPr>
              <w:rPr>
                <w:sz w:val="20"/>
                <w:szCs w:val="20"/>
              </w:rPr>
            </w:pPr>
            <w:r>
              <w:rPr>
                <w:rFonts w:ascii="Arial" w:eastAsia="Arial" w:hAnsi="Arial" w:cs="Arial"/>
                <w:w w:val="89"/>
                <w:sz w:val="18"/>
                <w:szCs w:val="18"/>
              </w:rPr>
              <w:t>Section 9.02.</w:t>
            </w:r>
          </w:p>
        </w:tc>
        <w:tc>
          <w:tcPr>
            <w:tcW w:w="7940" w:type="dxa"/>
            <w:gridSpan w:val="2"/>
            <w:vAlign w:val="bottom"/>
          </w:tcPr>
          <w:p w14:paraId="5158B64C" w14:textId="77777777" w:rsidR="00D1587D" w:rsidRDefault="00410D07">
            <w:pPr>
              <w:ind w:left="180"/>
              <w:rPr>
                <w:sz w:val="20"/>
                <w:szCs w:val="20"/>
              </w:rPr>
            </w:pPr>
            <w:r>
              <w:rPr>
                <w:rFonts w:ascii="Arial" w:eastAsia="Arial" w:hAnsi="Arial" w:cs="Arial"/>
                <w:i/>
                <w:iCs/>
                <w:sz w:val="18"/>
                <w:szCs w:val="18"/>
              </w:rPr>
              <w:t xml:space="preserve">Termination for </w:t>
            </w:r>
            <w:r>
              <w:rPr>
                <w:rFonts w:ascii="Arial" w:eastAsia="Arial" w:hAnsi="Arial" w:cs="Arial"/>
                <w:i/>
                <w:iCs/>
                <w:sz w:val="18"/>
                <w:szCs w:val="18"/>
              </w:rPr>
              <w:t>Convenience</w:t>
            </w:r>
          </w:p>
        </w:tc>
        <w:tc>
          <w:tcPr>
            <w:tcW w:w="2340" w:type="dxa"/>
            <w:vAlign w:val="bottom"/>
          </w:tcPr>
          <w:p w14:paraId="53565E85" w14:textId="77777777" w:rsidR="00D1587D" w:rsidRDefault="00410D07">
            <w:pPr>
              <w:jc w:val="right"/>
              <w:rPr>
                <w:sz w:val="20"/>
                <w:szCs w:val="20"/>
              </w:rPr>
            </w:pPr>
            <w:r>
              <w:rPr>
                <w:rFonts w:ascii="Arial" w:eastAsia="Arial" w:hAnsi="Arial" w:cs="Arial"/>
                <w:sz w:val="18"/>
                <w:szCs w:val="18"/>
              </w:rPr>
              <w:t>14</w:t>
            </w:r>
          </w:p>
        </w:tc>
      </w:tr>
      <w:tr w:rsidR="00D1587D" w14:paraId="6301C9A2" w14:textId="77777777">
        <w:trPr>
          <w:trHeight w:val="216"/>
        </w:trPr>
        <w:tc>
          <w:tcPr>
            <w:tcW w:w="960" w:type="dxa"/>
            <w:vAlign w:val="bottom"/>
          </w:tcPr>
          <w:p w14:paraId="293A36B0" w14:textId="77777777" w:rsidR="00D1587D" w:rsidRDefault="00410D07">
            <w:pPr>
              <w:rPr>
                <w:sz w:val="20"/>
                <w:szCs w:val="20"/>
              </w:rPr>
            </w:pPr>
            <w:r>
              <w:rPr>
                <w:rFonts w:ascii="Arial" w:eastAsia="Arial" w:hAnsi="Arial" w:cs="Arial"/>
                <w:w w:val="89"/>
                <w:sz w:val="18"/>
                <w:szCs w:val="18"/>
              </w:rPr>
              <w:t>Section 9.03.</w:t>
            </w:r>
          </w:p>
        </w:tc>
        <w:tc>
          <w:tcPr>
            <w:tcW w:w="7940" w:type="dxa"/>
            <w:gridSpan w:val="2"/>
            <w:vAlign w:val="bottom"/>
          </w:tcPr>
          <w:p w14:paraId="3950B529" w14:textId="77777777" w:rsidR="00D1587D" w:rsidRDefault="00410D07">
            <w:pPr>
              <w:ind w:left="180"/>
              <w:rPr>
                <w:sz w:val="20"/>
                <w:szCs w:val="20"/>
              </w:rPr>
            </w:pPr>
            <w:r>
              <w:rPr>
                <w:rFonts w:ascii="Arial" w:eastAsia="Arial" w:hAnsi="Arial" w:cs="Arial"/>
                <w:i/>
                <w:iCs/>
                <w:sz w:val="18"/>
                <w:szCs w:val="18"/>
              </w:rPr>
              <w:t>Termination for Material Breach</w:t>
            </w:r>
          </w:p>
        </w:tc>
        <w:tc>
          <w:tcPr>
            <w:tcW w:w="2340" w:type="dxa"/>
            <w:vAlign w:val="bottom"/>
          </w:tcPr>
          <w:p w14:paraId="6842BAB6" w14:textId="77777777" w:rsidR="00D1587D" w:rsidRDefault="00410D07">
            <w:pPr>
              <w:jc w:val="right"/>
              <w:rPr>
                <w:sz w:val="20"/>
                <w:szCs w:val="20"/>
              </w:rPr>
            </w:pPr>
            <w:r>
              <w:rPr>
                <w:rFonts w:ascii="Arial" w:eastAsia="Arial" w:hAnsi="Arial" w:cs="Arial"/>
                <w:sz w:val="18"/>
                <w:szCs w:val="18"/>
              </w:rPr>
              <w:t>14</w:t>
            </w:r>
          </w:p>
        </w:tc>
      </w:tr>
      <w:tr w:rsidR="00D1587D" w14:paraId="02FA0353" w14:textId="77777777">
        <w:trPr>
          <w:trHeight w:val="230"/>
        </w:trPr>
        <w:tc>
          <w:tcPr>
            <w:tcW w:w="960" w:type="dxa"/>
            <w:vAlign w:val="bottom"/>
          </w:tcPr>
          <w:p w14:paraId="56A12CCF" w14:textId="77777777" w:rsidR="00D1587D" w:rsidRDefault="00410D07">
            <w:pPr>
              <w:rPr>
                <w:sz w:val="20"/>
                <w:szCs w:val="20"/>
              </w:rPr>
            </w:pPr>
            <w:r>
              <w:rPr>
                <w:rFonts w:ascii="Arial" w:eastAsia="Arial" w:hAnsi="Arial" w:cs="Arial"/>
                <w:w w:val="89"/>
                <w:sz w:val="18"/>
                <w:szCs w:val="18"/>
              </w:rPr>
              <w:t>Section 9.04.</w:t>
            </w:r>
          </w:p>
        </w:tc>
        <w:tc>
          <w:tcPr>
            <w:tcW w:w="7940" w:type="dxa"/>
            <w:gridSpan w:val="2"/>
            <w:vAlign w:val="bottom"/>
          </w:tcPr>
          <w:p w14:paraId="0040DCB1" w14:textId="77777777" w:rsidR="00D1587D" w:rsidRDefault="00410D07">
            <w:pPr>
              <w:ind w:left="180"/>
              <w:rPr>
                <w:sz w:val="20"/>
                <w:szCs w:val="20"/>
              </w:rPr>
            </w:pPr>
            <w:r>
              <w:rPr>
                <w:rFonts w:ascii="Arial" w:eastAsia="Arial" w:hAnsi="Arial" w:cs="Arial"/>
                <w:i/>
                <w:iCs/>
                <w:sz w:val="18"/>
                <w:szCs w:val="18"/>
              </w:rPr>
              <w:t>Effect of Termination</w:t>
            </w:r>
          </w:p>
        </w:tc>
        <w:tc>
          <w:tcPr>
            <w:tcW w:w="2340" w:type="dxa"/>
            <w:vAlign w:val="bottom"/>
          </w:tcPr>
          <w:p w14:paraId="535F1D75" w14:textId="77777777" w:rsidR="00D1587D" w:rsidRDefault="00410D07">
            <w:pPr>
              <w:jc w:val="right"/>
              <w:rPr>
                <w:sz w:val="20"/>
                <w:szCs w:val="20"/>
              </w:rPr>
            </w:pPr>
            <w:r>
              <w:rPr>
                <w:rFonts w:ascii="Arial" w:eastAsia="Arial" w:hAnsi="Arial" w:cs="Arial"/>
                <w:sz w:val="18"/>
                <w:szCs w:val="18"/>
              </w:rPr>
              <w:t>14</w:t>
            </w:r>
          </w:p>
        </w:tc>
      </w:tr>
      <w:tr w:rsidR="00D1587D" w14:paraId="2C459AD1" w14:textId="77777777">
        <w:trPr>
          <w:trHeight w:val="418"/>
        </w:trPr>
        <w:tc>
          <w:tcPr>
            <w:tcW w:w="960" w:type="dxa"/>
            <w:vAlign w:val="bottom"/>
          </w:tcPr>
          <w:p w14:paraId="4C5E45A4" w14:textId="77777777" w:rsidR="00D1587D" w:rsidRDefault="00D1587D">
            <w:pPr>
              <w:rPr>
                <w:sz w:val="24"/>
                <w:szCs w:val="24"/>
              </w:rPr>
            </w:pPr>
          </w:p>
        </w:tc>
        <w:tc>
          <w:tcPr>
            <w:tcW w:w="360" w:type="dxa"/>
            <w:vAlign w:val="bottom"/>
          </w:tcPr>
          <w:p w14:paraId="57A29127" w14:textId="77777777" w:rsidR="00D1587D" w:rsidRDefault="00D1587D">
            <w:pPr>
              <w:rPr>
                <w:sz w:val="24"/>
                <w:szCs w:val="24"/>
              </w:rPr>
            </w:pPr>
          </w:p>
        </w:tc>
        <w:tc>
          <w:tcPr>
            <w:tcW w:w="7580" w:type="dxa"/>
            <w:vAlign w:val="bottom"/>
          </w:tcPr>
          <w:p w14:paraId="12A75738" w14:textId="77777777" w:rsidR="00D1587D" w:rsidRDefault="00410D07">
            <w:pPr>
              <w:ind w:left="946"/>
              <w:jc w:val="center"/>
              <w:rPr>
                <w:sz w:val="20"/>
                <w:szCs w:val="20"/>
              </w:rPr>
            </w:pPr>
            <w:r>
              <w:rPr>
                <w:rFonts w:ascii="Arial" w:eastAsia="Arial" w:hAnsi="Arial" w:cs="Arial"/>
                <w:w w:val="96"/>
                <w:sz w:val="18"/>
                <w:szCs w:val="18"/>
              </w:rPr>
              <w:t>ARTICLE 10</w:t>
            </w:r>
          </w:p>
        </w:tc>
        <w:tc>
          <w:tcPr>
            <w:tcW w:w="2340" w:type="dxa"/>
            <w:vAlign w:val="bottom"/>
          </w:tcPr>
          <w:p w14:paraId="38C9AED9" w14:textId="77777777" w:rsidR="00D1587D" w:rsidRDefault="00D1587D">
            <w:pPr>
              <w:rPr>
                <w:sz w:val="24"/>
                <w:szCs w:val="24"/>
              </w:rPr>
            </w:pPr>
          </w:p>
        </w:tc>
      </w:tr>
      <w:tr w:rsidR="00D1587D" w14:paraId="5C9E5691" w14:textId="77777777">
        <w:trPr>
          <w:trHeight w:val="230"/>
        </w:trPr>
        <w:tc>
          <w:tcPr>
            <w:tcW w:w="960" w:type="dxa"/>
            <w:vAlign w:val="bottom"/>
          </w:tcPr>
          <w:p w14:paraId="0551118E" w14:textId="77777777" w:rsidR="00D1587D" w:rsidRDefault="00D1587D">
            <w:pPr>
              <w:rPr>
                <w:sz w:val="20"/>
                <w:szCs w:val="20"/>
              </w:rPr>
            </w:pPr>
          </w:p>
        </w:tc>
        <w:tc>
          <w:tcPr>
            <w:tcW w:w="360" w:type="dxa"/>
            <w:vAlign w:val="bottom"/>
          </w:tcPr>
          <w:p w14:paraId="121B2EF5" w14:textId="77777777" w:rsidR="00D1587D" w:rsidRDefault="00D1587D">
            <w:pPr>
              <w:rPr>
                <w:sz w:val="20"/>
                <w:szCs w:val="20"/>
              </w:rPr>
            </w:pPr>
          </w:p>
        </w:tc>
        <w:tc>
          <w:tcPr>
            <w:tcW w:w="7580" w:type="dxa"/>
            <w:vAlign w:val="bottom"/>
          </w:tcPr>
          <w:p w14:paraId="37E53396" w14:textId="77777777" w:rsidR="00D1587D" w:rsidRDefault="00410D07">
            <w:pPr>
              <w:ind w:left="946"/>
              <w:jc w:val="center"/>
              <w:rPr>
                <w:sz w:val="20"/>
                <w:szCs w:val="20"/>
              </w:rPr>
            </w:pPr>
            <w:r>
              <w:rPr>
                <w:rFonts w:ascii="Arial" w:eastAsia="Arial" w:hAnsi="Arial" w:cs="Arial"/>
                <w:w w:val="97"/>
                <w:sz w:val="18"/>
                <w:szCs w:val="18"/>
              </w:rPr>
              <w:t>MISCELLANEOUS.</w:t>
            </w:r>
          </w:p>
        </w:tc>
        <w:tc>
          <w:tcPr>
            <w:tcW w:w="2340" w:type="dxa"/>
            <w:vAlign w:val="bottom"/>
          </w:tcPr>
          <w:p w14:paraId="6EF8DF60" w14:textId="77777777" w:rsidR="00D1587D" w:rsidRDefault="00D1587D">
            <w:pPr>
              <w:rPr>
                <w:sz w:val="20"/>
                <w:szCs w:val="20"/>
              </w:rPr>
            </w:pPr>
          </w:p>
        </w:tc>
      </w:tr>
      <w:tr w:rsidR="00D1587D" w14:paraId="4CCC0005" w14:textId="77777777">
        <w:trPr>
          <w:trHeight w:val="418"/>
        </w:trPr>
        <w:tc>
          <w:tcPr>
            <w:tcW w:w="8900" w:type="dxa"/>
            <w:gridSpan w:val="3"/>
            <w:vAlign w:val="bottom"/>
          </w:tcPr>
          <w:p w14:paraId="416BD9B5" w14:textId="77777777" w:rsidR="00D1587D" w:rsidRDefault="00410D07">
            <w:pPr>
              <w:rPr>
                <w:sz w:val="20"/>
                <w:szCs w:val="20"/>
              </w:rPr>
            </w:pPr>
            <w:r>
              <w:rPr>
                <w:rFonts w:ascii="Arial" w:eastAsia="Arial" w:hAnsi="Arial" w:cs="Arial"/>
                <w:sz w:val="18"/>
                <w:szCs w:val="18"/>
              </w:rPr>
              <w:t xml:space="preserve">Section 10.01. </w:t>
            </w:r>
            <w:r>
              <w:rPr>
                <w:rFonts w:ascii="Arial" w:eastAsia="Arial" w:hAnsi="Arial" w:cs="Arial"/>
                <w:i/>
                <w:iCs/>
                <w:sz w:val="18"/>
                <w:szCs w:val="18"/>
              </w:rPr>
              <w:t>Waiver</w:t>
            </w:r>
          </w:p>
        </w:tc>
        <w:tc>
          <w:tcPr>
            <w:tcW w:w="2340" w:type="dxa"/>
            <w:vAlign w:val="bottom"/>
          </w:tcPr>
          <w:p w14:paraId="618BD735" w14:textId="77777777" w:rsidR="00D1587D" w:rsidRDefault="00410D07">
            <w:pPr>
              <w:jc w:val="right"/>
              <w:rPr>
                <w:sz w:val="20"/>
                <w:szCs w:val="20"/>
              </w:rPr>
            </w:pPr>
            <w:r>
              <w:rPr>
                <w:rFonts w:ascii="Arial" w:eastAsia="Arial" w:hAnsi="Arial" w:cs="Arial"/>
                <w:sz w:val="18"/>
                <w:szCs w:val="18"/>
              </w:rPr>
              <w:t>15</w:t>
            </w:r>
          </w:p>
        </w:tc>
      </w:tr>
      <w:tr w:rsidR="00D1587D" w14:paraId="5CD7E03A" w14:textId="77777777">
        <w:trPr>
          <w:trHeight w:val="216"/>
        </w:trPr>
        <w:tc>
          <w:tcPr>
            <w:tcW w:w="8900" w:type="dxa"/>
            <w:gridSpan w:val="3"/>
            <w:vAlign w:val="bottom"/>
          </w:tcPr>
          <w:p w14:paraId="49298BA5" w14:textId="77777777" w:rsidR="00D1587D" w:rsidRDefault="00410D07">
            <w:pPr>
              <w:rPr>
                <w:sz w:val="20"/>
                <w:szCs w:val="20"/>
              </w:rPr>
            </w:pPr>
            <w:r>
              <w:rPr>
                <w:rFonts w:ascii="Arial" w:eastAsia="Arial" w:hAnsi="Arial" w:cs="Arial"/>
                <w:sz w:val="18"/>
                <w:szCs w:val="18"/>
              </w:rPr>
              <w:t xml:space="preserve">Section 10.02. </w:t>
            </w:r>
            <w:r>
              <w:rPr>
                <w:rFonts w:ascii="Arial" w:eastAsia="Arial" w:hAnsi="Arial" w:cs="Arial"/>
                <w:i/>
                <w:iCs/>
                <w:sz w:val="18"/>
                <w:szCs w:val="18"/>
              </w:rPr>
              <w:t>Entire Agreement; Amendments</w:t>
            </w:r>
          </w:p>
        </w:tc>
        <w:tc>
          <w:tcPr>
            <w:tcW w:w="2340" w:type="dxa"/>
            <w:vAlign w:val="bottom"/>
          </w:tcPr>
          <w:p w14:paraId="59DF0BE3" w14:textId="77777777" w:rsidR="00D1587D" w:rsidRDefault="00410D07">
            <w:pPr>
              <w:jc w:val="right"/>
              <w:rPr>
                <w:sz w:val="20"/>
                <w:szCs w:val="20"/>
              </w:rPr>
            </w:pPr>
            <w:r>
              <w:rPr>
                <w:rFonts w:ascii="Arial" w:eastAsia="Arial" w:hAnsi="Arial" w:cs="Arial"/>
                <w:sz w:val="18"/>
                <w:szCs w:val="18"/>
              </w:rPr>
              <w:t>15</w:t>
            </w:r>
          </w:p>
        </w:tc>
      </w:tr>
      <w:tr w:rsidR="00D1587D" w14:paraId="5B33B608" w14:textId="77777777">
        <w:trPr>
          <w:trHeight w:val="216"/>
        </w:trPr>
        <w:tc>
          <w:tcPr>
            <w:tcW w:w="8900" w:type="dxa"/>
            <w:gridSpan w:val="3"/>
            <w:vAlign w:val="bottom"/>
          </w:tcPr>
          <w:p w14:paraId="60C1E5F6" w14:textId="77777777" w:rsidR="00D1587D" w:rsidRDefault="00410D07">
            <w:pPr>
              <w:rPr>
                <w:sz w:val="20"/>
                <w:szCs w:val="20"/>
              </w:rPr>
            </w:pPr>
            <w:r>
              <w:rPr>
                <w:rFonts w:ascii="Arial" w:eastAsia="Arial" w:hAnsi="Arial" w:cs="Arial"/>
                <w:sz w:val="18"/>
                <w:szCs w:val="18"/>
              </w:rPr>
              <w:t xml:space="preserve">Section 10.03. </w:t>
            </w:r>
            <w:r>
              <w:rPr>
                <w:rFonts w:ascii="Arial" w:eastAsia="Arial" w:hAnsi="Arial" w:cs="Arial"/>
                <w:i/>
                <w:iCs/>
                <w:sz w:val="18"/>
                <w:szCs w:val="18"/>
              </w:rPr>
              <w:t>No Partnership</w:t>
            </w:r>
          </w:p>
        </w:tc>
        <w:tc>
          <w:tcPr>
            <w:tcW w:w="2340" w:type="dxa"/>
            <w:vAlign w:val="bottom"/>
          </w:tcPr>
          <w:p w14:paraId="09A006DB" w14:textId="77777777" w:rsidR="00D1587D" w:rsidRDefault="00410D07">
            <w:pPr>
              <w:jc w:val="right"/>
              <w:rPr>
                <w:sz w:val="20"/>
                <w:szCs w:val="20"/>
              </w:rPr>
            </w:pPr>
            <w:r>
              <w:rPr>
                <w:rFonts w:ascii="Arial" w:eastAsia="Arial" w:hAnsi="Arial" w:cs="Arial"/>
                <w:sz w:val="18"/>
                <w:szCs w:val="18"/>
              </w:rPr>
              <w:t>15</w:t>
            </w:r>
          </w:p>
        </w:tc>
      </w:tr>
      <w:tr w:rsidR="00D1587D" w14:paraId="02664AE4" w14:textId="77777777">
        <w:trPr>
          <w:trHeight w:val="216"/>
        </w:trPr>
        <w:tc>
          <w:tcPr>
            <w:tcW w:w="8900" w:type="dxa"/>
            <w:gridSpan w:val="3"/>
            <w:vAlign w:val="bottom"/>
          </w:tcPr>
          <w:p w14:paraId="69DB2CC4" w14:textId="77777777" w:rsidR="00D1587D" w:rsidRDefault="00410D07">
            <w:pPr>
              <w:rPr>
                <w:sz w:val="20"/>
                <w:szCs w:val="20"/>
              </w:rPr>
            </w:pPr>
            <w:r>
              <w:rPr>
                <w:rFonts w:ascii="Arial" w:eastAsia="Arial" w:hAnsi="Arial" w:cs="Arial"/>
                <w:sz w:val="18"/>
                <w:szCs w:val="18"/>
              </w:rPr>
              <w:t xml:space="preserve">Section 10.04. </w:t>
            </w:r>
            <w:r>
              <w:rPr>
                <w:rFonts w:ascii="Arial" w:eastAsia="Arial" w:hAnsi="Arial" w:cs="Arial"/>
                <w:i/>
                <w:iCs/>
                <w:sz w:val="18"/>
                <w:szCs w:val="18"/>
              </w:rPr>
              <w:t>Successors</w:t>
            </w:r>
          </w:p>
        </w:tc>
        <w:tc>
          <w:tcPr>
            <w:tcW w:w="2340" w:type="dxa"/>
            <w:vAlign w:val="bottom"/>
          </w:tcPr>
          <w:p w14:paraId="18514F92" w14:textId="77777777" w:rsidR="00D1587D" w:rsidRDefault="00410D07">
            <w:pPr>
              <w:jc w:val="right"/>
              <w:rPr>
                <w:sz w:val="20"/>
                <w:szCs w:val="20"/>
              </w:rPr>
            </w:pPr>
            <w:r>
              <w:rPr>
                <w:rFonts w:ascii="Arial" w:eastAsia="Arial" w:hAnsi="Arial" w:cs="Arial"/>
                <w:sz w:val="18"/>
                <w:szCs w:val="18"/>
              </w:rPr>
              <w:t>15</w:t>
            </w:r>
          </w:p>
        </w:tc>
      </w:tr>
      <w:tr w:rsidR="00D1587D" w14:paraId="0041F14F" w14:textId="77777777">
        <w:trPr>
          <w:trHeight w:val="216"/>
        </w:trPr>
        <w:tc>
          <w:tcPr>
            <w:tcW w:w="8900" w:type="dxa"/>
            <w:gridSpan w:val="3"/>
            <w:vAlign w:val="bottom"/>
          </w:tcPr>
          <w:p w14:paraId="2953BECF" w14:textId="77777777" w:rsidR="00D1587D" w:rsidRDefault="00410D07">
            <w:pPr>
              <w:rPr>
                <w:sz w:val="20"/>
                <w:szCs w:val="20"/>
              </w:rPr>
            </w:pPr>
            <w:r>
              <w:rPr>
                <w:rFonts w:ascii="Arial" w:eastAsia="Arial" w:hAnsi="Arial" w:cs="Arial"/>
                <w:sz w:val="18"/>
                <w:szCs w:val="18"/>
              </w:rPr>
              <w:t xml:space="preserve">Section 10.05. </w:t>
            </w:r>
            <w:r>
              <w:rPr>
                <w:rFonts w:ascii="Arial" w:eastAsia="Arial" w:hAnsi="Arial" w:cs="Arial"/>
                <w:i/>
                <w:iCs/>
                <w:sz w:val="18"/>
                <w:szCs w:val="18"/>
              </w:rPr>
              <w:t>Notices</w:t>
            </w:r>
          </w:p>
        </w:tc>
        <w:tc>
          <w:tcPr>
            <w:tcW w:w="2340" w:type="dxa"/>
            <w:vAlign w:val="bottom"/>
          </w:tcPr>
          <w:p w14:paraId="0CCBC49A" w14:textId="77777777" w:rsidR="00D1587D" w:rsidRDefault="00410D07">
            <w:pPr>
              <w:jc w:val="right"/>
              <w:rPr>
                <w:sz w:val="20"/>
                <w:szCs w:val="20"/>
              </w:rPr>
            </w:pPr>
            <w:r>
              <w:rPr>
                <w:rFonts w:ascii="Arial" w:eastAsia="Arial" w:hAnsi="Arial" w:cs="Arial"/>
                <w:sz w:val="18"/>
                <w:szCs w:val="18"/>
              </w:rPr>
              <w:t>15</w:t>
            </w:r>
          </w:p>
        </w:tc>
      </w:tr>
      <w:tr w:rsidR="00D1587D" w14:paraId="70A947B8" w14:textId="77777777">
        <w:trPr>
          <w:trHeight w:val="216"/>
        </w:trPr>
        <w:tc>
          <w:tcPr>
            <w:tcW w:w="8900" w:type="dxa"/>
            <w:gridSpan w:val="3"/>
            <w:vAlign w:val="bottom"/>
          </w:tcPr>
          <w:p w14:paraId="7CD3215D" w14:textId="77777777" w:rsidR="00D1587D" w:rsidRDefault="00410D07">
            <w:pPr>
              <w:rPr>
                <w:sz w:val="20"/>
                <w:szCs w:val="20"/>
              </w:rPr>
            </w:pPr>
            <w:r>
              <w:rPr>
                <w:rFonts w:ascii="Arial" w:eastAsia="Arial" w:hAnsi="Arial" w:cs="Arial"/>
                <w:sz w:val="18"/>
                <w:szCs w:val="18"/>
              </w:rPr>
              <w:t xml:space="preserve">Section 10.06. </w:t>
            </w:r>
            <w:r>
              <w:rPr>
                <w:rFonts w:ascii="Arial" w:eastAsia="Arial" w:hAnsi="Arial" w:cs="Arial"/>
                <w:i/>
                <w:iCs/>
                <w:sz w:val="18"/>
                <w:szCs w:val="18"/>
              </w:rPr>
              <w:t>Force Majeure</w:t>
            </w:r>
          </w:p>
        </w:tc>
        <w:tc>
          <w:tcPr>
            <w:tcW w:w="2340" w:type="dxa"/>
            <w:vAlign w:val="bottom"/>
          </w:tcPr>
          <w:p w14:paraId="4AB3D96F" w14:textId="77777777" w:rsidR="00D1587D" w:rsidRDefault="00410D07">
            <w:pPr>
              <w:jc w:val="right"/>
              <w:rPr>
                <w:sz w:val="20"/>
                <w:szCs w:val="20"/>
              </w:rPr>
            </w:pPr>
            <w:r>
              <w:rPr>
                <w:rFonts w:ascii="Arial" w:eastAsia="Arial" w:hAnsi="Arial" w:cs="Arial"/>
                <w:sz w:val="18"/>
                <w:szCs w:val="18"/>
              </w:rPr>
              <w:t>16</w:t>
            </w:r>
          </w:p>
        </w:tc>
      </w:tr>
      <w:tr w:rsidR="00D1587D" w14:paraId="0EF327E0" w14:textId="77777777">
        <w:trPr>
          <w:trHeight w:val="216"/>
        </w:trPr>
        <w:tc>
          <w:tcPr>
            <w:tcW w:w="8900" w:type="dxa"/>
            <w:gridSpan w:val="3"/>
            <w:vAlign w:val="bottom"/>
          </w:tcPr>
          <w:p w14:paraId="29315A3A" w14:textId="77777777" w:rsidR="00D1587D" w:rsidRDefault="00410D07">
            <w:pPr>
              <w:rPr>
                <w:sz w:val="20"/>
                <w:szCs w:val="20"/>
              </w:rPr>
            </w:pPr>
            <w:r>
              <w:rPr>
                <w:rFonts w:ascii="Arial" w:eastAsia="Arial" w:hAnsi="Arial" w:cs="Arial"/>
                <w:sz w:val="18"/>
                <w:szCs w:val="18"/>
              </w:rPr>
              <w:t xml:space="preserve">Section 10.07. </w:t>
            </w:r>
            <w:r>
              <w:rPr>
                <w:rFonts w:ascii="Arial" w:eastAsia="Arial" w:hAnsi="Arial" w:cs="Arial"/>
                <w:i/>
                <w:iCs/>
                <w:sz w:val="18"/>
                <w:szCs w:val="18"/>
              </w:rPr>
              <w:t>Dispute Resolution</w:t>
            </w:r>
          </w:p>
        </w:tc>
        <w:tc>
          <w:tcPr>
            <w:tcW w:w="2340" w:type="dxa"/>
            <w:vAlign w:val="bottom"/>
          </w:tcPr>
          <w:p w14:paraId="655F2AA0" w14:textId="77777777" w:rsidR="00D1587D" w:rsidRDefault="00410D07">
            <w:pPr>
              <w:jc w:val="right"/>
              <w:rPr>
                <w:sz w:val="20"/>
                <w:szCs w:val="20"/>
              </w:rPr>
            </w:pPr>
            <w:r>
              <w:rPr>
                <w:rFonts w:ascii="Arial" w:eastAsia="Arial" w:hAnsi="Arial" w:cs="Arial"/>
                <w:sz w:val="18"/>
                <w:szCs w:val="18"/>
              </w:rPr>
              <w:t>16</w:t>
            </w:r>
          </w:p>
        </w:tc>
      </w:tr>
      <w:tr w:rsidR="00D1587D" w14:paraId="4CE981E3" w14:textId="77777777">
        <w:trPr>
          <w:trHeight w:val="216"/>
        </w:trPr>
        <w:tc>
          <w:tcPr>
            <w:tcW w:w="8900" w:type="dxa"/>
            <w:gridSpan w:val="3"/>
            <w:vAlign w:val="bottom"/>
          </w:tcPr>
          <w:p w14:paraId="214D777F" w14:textId="77777777" w:rsidR="00D1587D" w:rsidRDefault="00410D07">
            <w:pPr>
              <w:rPr>
                <w:sz w:val="20"/>
                <w:szCs w:val="20"/>
              </w:rPr>
            </w:pPr>
            <w:r>
              <w:rPr>
                <w:rFonts w:ascii="Arial" w:eastAsia="Arial" w:hAnsi="Arial" w:cs="Arial"/>
                <w:sz w:val="18"/>
                <w:szCs w:val="18"/>
              </w:rPr>
              <w:t xml:space="preserve">Section 10.08. </w:t>
            </w:r>
            <w:r>
              <w:rPr>
                <w:rFonts w:ascii="Arial" w:eastAsia="Arial" w:hAnsi="Arial" w:cs="Arial"/>
                <w:i/>
                <w:iCs/>
                <w:sz w:val="18"/>
                <w:szCs w:val="18"/>
              </w:rPr>
              <w:t>Governing Law and Jurisdiction</w:t>
            </w:r>
          </w:p>
        </w:tc>
        <w:tc>
          <w:tcPr>
            <w:tcW w:w="2340" w:type="dxa"/>
            <w:vAlign w:val="bottom"/>
          </w:tcPr>
          <w:p w14:paraId="33EE02AD" w14:textId="77777777" w:rsidR="00D1587D" w:rsidRDefault="00410D07">
            <w:pPr>
              <w:jc w:val="right"/>
              <w:rPr>
                <w:sz w:val="20"/>
                <w:szCs w:val="20"/>
              </w:rPr>
            </w:pPr>
            <w:r>
              <w:rPr>
                <w:rFonts w:ascii="Arial" w:eastAsia="Arial" w:hAnsi="Arial" w:cs="Arial"/>
                <w:sz w:val="18"/>
                <w:szCs w:val="18"/>
              </w:rPr>
              <w:t>17</w:t>
            </w:r>
          </w:p>
        </w:tc>
      </w:tr>
      <w:tr w:rsidR="00D1587D" w14:paraId="491B4248" w14:textId="77777777">
        <w:trPr>
          <w:trHeight w:val="216"/>
        </w:trPr>
        <w:tc>
          <w:tcPr>
            <w:tcW w:w="8900" w:type="dxa"/>
            <w:gridSpan w:val="3"/>
            <w:vAlign w:val="bottom"/>
          </w:tcPr>
          <w:p w14:paraId="3528AF8B" w14:textId="77777777" w:rsidR="00D1587D" w:rsidRDefault="00410D07">
            <w:pPr>
              <w:rPr>
                <w:sz w:val="20"/>
                <w:szCs w:val="20"/>
              </w:rPr>
            </w:pPr>
            <w:r>
              <w:rPr>
                <w:rFonts w:ascii="Arial" w:eastAsia="Arial" w:hAnsi="Arial" w:cs="Arial"/>
                <w:sz w:val="18"/>
                <w:szCs w:val="18"/>
              </w:rPr>
              <w:t xml:space="preserve">Section 10.09. </w:t>
            </w:r>
            <w:r>
              <w:rPr>
                <w:rFonts w:ascii="Arial" w:eastAsia="Arial" w:hAnsi="Arial" w:cs="Arial"/>
                <w:i/>
                <w:iCs/>
                <w:sz w:val="18"/>
                <w:szCs w:val="18"/>
              </w:rPr>
              <w:t>Waiver of Jury Trial</w:t>
            </w:r>
          </w:p>
        </w:tc>
        <w:tc>
          <w:tcPr>
            <w:tcW w:w="2340" w:type="dxa"/>
            <w:vAlign w:val="bottom"/>
          </w:tcPr>
          <w:p w14:paraId="74E3254F" w14:textId="77777777" w:rsidR="00D1587D" w:rsidRDefault="00410D07">
            <w:pPr>
              <w:jc w:val="right"/>
              <w:rPr>
                <w:sz w:val="20"/>
                <w:szCs w:val="20"/>
              </w:rPr>
            </w:pPr>
            <w:r>
              <w:rPr>
                <w:rFonts w:ascii="Arial" w:eastAsia="Arial" w:hAnsi="Arial" w:cs="Arial"/>
                <w:sz w:val="18"/>
                <w:szCs w:val="18"/>
              </w:rPr>
              <w:t>17</w:t>
            </w:r>
          </w:p>
        </w:tc>
      </w:tr>
      <w:tr w:rsidR="00D1587D" w14:paraId="33EB9BE8" w14:textId="77777777">
        <w:trPr>
          <w:trHeight w:val="216"/>
        </w:trPr>
        <w:tc>
          <w:tcPr>
            <w:tcW w:w="8900" w:type="dxa"/>
            <w:gridSpan w:val="3"/>
            <w:vAlign w:val="bottom"/>
          </w:tcPr>
          <w:p w14:paraId="35CAA44A" w14:textId="77777777" w:rsidR="00D1587D" w:rsidRDefault="00410D07">
            <w:pPr>
              <w:rPr>
                <w:sz w:val="20"/>
                <w:szCs w:val="20"/>
              </w:rPr>
            </w:pPr>
            <w:r>
              <w:rPr>
                <w:rFonts w:ascii="Arial" w:eastAsia="Arial" w:hAnsi="Arial" w:cs="Arial"/>
                <w:sz w:val="18"/>
                <w:szCs w:val="18"/>
              </w:rPr>
              <w:t xml:space="preserve">Section 10.10. </w:t>
            </w:r>
            <w:r>
              <w:rPr>
                <w:rFonts w:ascii="Arial" w:eastAsia="Arial" w:hAnsi="Arial" w:cs="Arial"/>
                <w:i/>
                <w:iCs/>
                <w:sz w:val="18"/>
                <w:szCs w:val="18"/>
              </w:rPr>
              <w:t xml:space="preserve">Specific </w:t>
            </w:r>
            <w:r>
              <w:rPr>
                <w:rFonts w:ascii="Arial" w:eastAsia="Arial" w:hAnsi="Arial" w:cs="Arial"/>
                <w:i/>
                <w:iCs/>
                <w:sz w:val="18"/>
                <w:szCs w:val="18"/>
              </w:rPr>
              <w:t>Performance</w:t>
            </w:r>
          </w:p>
        </w:tc>
        <w:tc>
          <w:tcPr>
            <w:tcW w:w="2340" w:type="dxa"/>
            <w:vAlign w:val="bottom"/>
          </w:tcPr>
          <w:p w14:paraId="3A0D8672" w14:textId="77777777" w:rsidR="00D1587D" w:rsidRDefault="00410D07">
            <w:pPr>
              <w:jc w:val="right"/>
              <w:rPr>
                <w:sz w:val="20"/>
                <w:szCs w:val="20"/>
              </w:rPr>
            </w:pPr>
            <w:r>
              <w:rPr>
                <w:rFonts w:ascii="Arial" w:eastAsia="Arial" w:hAnsi="Arial" w:cs="Arial"/>
                <w:sz w:val="18"/>
                <w:szCs w:val="18"/>
              </w:rPr>
              <w:t>17</w:t>
            </w:r>
          </w:p>
        </w:tc>
      </w:tr>
      <w:tr w:rsidR="00D1587D" w14:paraId="59D7724B" w14:textId="77777777">
        <w:trPr>
          <w:trHeight w:val="216"/>
        </w:trPr>
        <w:tc>
          <w:tcPr>
            <w:tcW w:w="8900" w:type="dxa"/>
            <w:gridSpan w:val="3"/>
            <w:vAlign w:val="bottom"/>
          </w:tcPr>
          <w:p w14:paraId="70C8DA9C" w14:textId="77777777" w:rsidR="00D1587D" w:rsidRDefault="00410D07">
            <w:pPr>
              <w:rPr>
                <w:sz w:val="20"/>
                <w:szCs w:val="20"/>
              </w:rPr>
            </w:pPr>
            <w:r>
              <w:rPr>
                <w:rFonts w:ascii="Arial" w:eastAsia="Arial" w:hAnsi="Arial" w:cs="Arial"/>
                <w:sz w:val="18"/>
                <w:szCs w:val="18"/>
              </w:rPr>
              <w:t>Section 10.11. S</w:t>
            </w:r>
            <w:r>
              <w:rPr>
                <w:rFonts w:ascii="Arial" w:eastAsia="Arial" w:hAnsi="Arial" w:cs="Arial"/>
                <w:i/>
                <w:iCs/>
                <w:sz w:val="18"/>
                <w:szCs w:val="18"/>
              </w:rPr>
              <w:t>everability</w:t>
            </w:r>
          </w:p>
        </w:tc>
        <w:tc>
          <w:tcPr>
            <w:tcW w:w="2340" w:type="dxa"/>
            <w:vAlign w:val="bottom"/>
          </w:tcPr>
          <w:p w14:paraId="64778FE0" w14:textId="77777777" w:rsidR="00D1587D" w:rsidRDefault="00410D07">
            <w:pPr>
              <w:jc w:val="right"/>
              <w:rPr>
                <w:sz w:val="20"/>
                <w:szCs w:val="20"/>
              </w:rPr>
            </w:pPr>
            <w:r>
              <w:rPr>
                <w:rFonts w:ascii="Arial" w:eastAsia="Arial" w:hAnsi="Arial" w:cs="Arial"/>
                <w:sz w:val="18"/>
                <w:szCs w:val="18"/>
              </w:rPr>
              <w:t>18</w:t>
            </w:r>
          </w:p>
        </w:tc>
      </w:tr>
      <w:tr w:rsidR="00D1587D" w14:paraId="08360105" w14:textId="77777777">
        <w:trPr>
          <w:trHeight w:val="216"/>
        </w:trPr>
        <w:tc>
          <w:tcPr>
            <w:tcW w:w="8900" w:type="dxa"/>
            <w:gridSpan w:val="3"/>
            <w:vAlign w:val="bottom"/>
          </w:tcPr>
          <w:p w14:paraId="394892FE" w14:textId="77777777" w:rsidR="00D1587D" w:rsidRDefault="00410D07">
            <w:pPr>
              <w:rPr>
                <w:sz w:val="20"/>
                <w:szCs w:val="20"/>
              </w:rPr>
            </w:pPr>
            <w:r>
              <w:rPr>
                <w:rFonts w:ascii="Arial" w:eastAsia="Arial" w:hAnsi="Arial" w:cs="Arial"/>
                <w:sz w:val="18"/>
                <w:szCs w:val="18"/>
              </w:rPr>
              <w:t xml:space="preserve">Section 10.12. </w:t>
            </w:r>
            <w:r>
              <w:rPr>
                <w:rFonts w:ascii="Arial" w:eastAsia="Arial" w:hAnsi="Arial" w:cs="Arial"/>
                <w:i/>
                <w:iCs/>
                <w:sz w:val="18"/>
                <w:szCs w:val="18"/>
              </w:rPr>
              <w:t>Counterparts; Effectiveness; Third-Party Beneficiaries</w:t>
            </w:r>
          </w:p>
        </w:tc>
        <w:tc>
          <w:tcPr>
            <w:tcW w:w="2340" w:type="dxa"/>
            <w:vAlign w:val="bottom"/>
          </w:tcPr>
          <w:p w14:paraId="303BFBC2" w14:textId="77777777" w:rsidR="00D1587D" w:rsidRDefault="00410D07">
            <w:pPr>
              <w:jc w:val="right"/>
              <w:rPr>
                <w:sz w:val="20"/>
                <w:szCs w:val="20"/>
              </w:rPr>
            </w:pPr>
            <w:r>
              <w:rPr>
                <w:rFonts w:ascii="Arial" w:eastAsia="Arial" w:hAnsi="Arial" w:cs="Arial"/>
                <w:sz w:val="18"/>
                <w:szCs w:val="18"/>
              </w:rPr>
              <w:t>18</w:t>
            </w:r>
          </w:p>
        </w:tc>
      </w:tr>
      <w:tr w:rsidR="00D1587D" w14:paraId="0EB41504" w14:textId="77777777">
        <w:trPr>
          <w:trHeight w:val="216"/>
        </w:trPr>
        <w:tc>
          <w:tcPr>
            <w:tcW w:w="8900" w:type="dxa"/>
            <w:gridSpan w:val="3"/>
            <w:vAlign w:val="bottom"/>
          </w:tcPr>
          <w:p w14:paraId="1AD1D17E" w14:textId="77777777" w:rsidR="00D1587D" w:rsidRDefault="00410D07">
            <w:pPr>
              <w:rPr>
                <w:sz w:val="20"/>
                <w:szCs w:val="20"/>
              </w:rPr>
            </w:pPr>
            <w:r>
              <w:rPr>
                <w:rFonts w:ascii="Arial" w:eastAsia="Arial" w:hAnsi="Arial" w:cs="Arial"/>
                <w:sz w:val="18"/>
                <w:szCs w:val="18"/>
              </w:rPr>
              <w:t xml:space="preserve">Section 10.13. </w:t>
            </w:r>
            <w:r>
              <w:rPr>
                <w:rFonts w:ascii="Arial" w:eastAsia="Arial" w:hAnsi="Arial" w:cs="Arial"/>
                <w:i/>
                <w:iCs/>
                <w:sz w:val="18"/>
                <w:szCs w:val="18"/>
              </w:rPr>
              <w:t>Assignment</w:t>
            </w:r>
          </w:p>
        </w:tc>
        <w:tc>
          <w:tcPr>
            <w:tcW w:w="2340" w:type="dxa"/>
            <w:vAlign w:val="bottom"/>
          </w:tcPr>
          <w:p w14:paraId="7E5E9CD8" w14:textId="77777777" w:rsidR="00D1587D" w:rsidRDefault="00410D07">
            <w:pPr>
              <w:jc w:val="right"/>
              <w:rPr>
                <w:sz w:val="20"/>
                <w:szCs w:val="20"/>
              </w:rPr>
            </w:pPr>
            <w:r>
              <w:rPr>
                <w:rFonts w:ascii="Arial" w:eastAsia="Arial" w:hAnsi="Arial" w:cs="Arial"/>
                <w:sz w:val="18"/>
                <w:szCs w:val="18"/>
              </w:rPr>
              <w:t>18</w:t>
            </w:r>
          </w:p>
        </w:tc>
      </w:tr>
      <w:tr w:rsidR="00D1587D" w14:paraId="593576D5" w14:textId="77777777">
        <w:trPr>
          <w:trHeight w:val="216"/>
        </w:trPr>
        <w:tc>
          <w:tcPr>
            <w:tcW w:w="8900" w:type="dxa"/>
            <w:gridSpan w:val="3"/>
            <w:vAlign w:val="bottom"/>
          </w:tcPr>
          <w:p w14:paraId="2D96E863" w14:textId="77777777" w:rsidR="00D1587D" w:rsidRDefault="00410D07">
            <w:pPr>
              <w:rPr>
                <w:sz w:val="20"/>
                <w:szCs w:val="20"/>
              </w:rPr>
            </w:pPr>
            <w:r>
              <w:rPr>
                <w:rFonts w:ascii="Arial" w:eastAsia="Arial" w:hAnsi="Arial" w:cs="Arial"/>
                <w:sz w:val="18"/>
                <w:szCs w:val="18"/>
              </w:rPr>
              <w:t xml:space="preserve">Section 10.14. </w:t>
            </w:r>
            <w:r>
              <w:rPr>
                <w:rFonts w:ascii="Arial" w:eastAsia="Arial" w:hAnsi="Arial" w:cs="Arial"/>
                <w:i/>
                <w:iCs/>
                <w:sz w:val="18"/>
                <w:szCs w:val="18"/>
              </w:rPr>
              <w:t>Authorization</w:t>
            </w:r>
          </w:p>
        </w:tc>
        <w:tc>
          <w:tcPr>
            <w:tcW w:w="2340" w:type="dxa"/>
            <w:vAlign w:val="bottom"/>
          </w:tcPr>
          <w:p w14:paraId="115DDEB5" w14:textId="77777777" w:rsidR="00D1587D" w:rsidRDefault="00410D07">
            <w:pPr>
              <w:jc w:val="right"/>
              <w:rPr>
                <w:sz w:val="20"/>
                <w:szCs w:val="20"/>
              </w:rPr>
            </w:pPr>
            <w:r>
              <w:rPr>
                <w:rFonts w:ascii="Arial" w:eastAsia="Arial" w:hAnsi="Arial" w:cs="Arial"/>
                <w:sz w:val="18"/>
                <w:szCs w:val="18"/>
              </w:rPr>
              <w:t>18</w:t>
            </w:r>
          </w:p>
        </w:tc>
      </w:tr>
      <w:tr w:rsidR="00D1587D" w14:paraId="2105AB57" w14:textId="77777777">
        <w:trPr>
          <w:trHeight w:val="230"/>
        </w:trPr>
        <w:tc>
          <w:tcPr>
            <w:tcW w:w="8900" w:type="dxa"/>
            <w:gridSpan w:val="3"/>
            <w:vAlign w:val="bottom"/>
          </w:tcPr>
          <w:p w14:paraId="731CA23E" w14:textId="77777777" w:rsidR="00D1587D" w:rsidRDefault="00410D07">
            <w:pPr>
              <w:rPr>
                <w:sz w:val="20"/>
                <w:szCs w:val="20"/>
              </w:rPr>
            </w:pPr>
            <w:r>
              <w:rPr>
                <w:rFonts w:ascii="Arial" w:eastAsia="Arial" w:hAnsi="Arial" w:cs="Arial"/>
                <w:sz w:val="18"/>
                <w:szCs w:val="18"/>
              </w:rPr>
              <w:t xml:space="preserve">Section 10.15. </w:t>
            </w:r>
            <w:r>
              <w:rPr>
                <w:rFonts w:ascii="Arial" w:eastAsia="Arial" w:hAnsi="Arial" w:cs="Arial"/>
                <w:i/>
                <w:iCs/>
                <w:sz w:val="18"/>
                <w:szCs w:val="18"/>
              </w:rPr>
              <w:t>Headings; Interpretation and Construction</w:t>
            </w:r>
          </w:p>
        </w:tc>
        <w:tc>
          <w:tcPr>
            <w:tcW w:w="2340" w:type="dxa"/>
            <w:vAlign w:val="bottom"/>
          </w:tcPr>
          <w:p w14:paraId="2C890EB3" w14:textId="77777777" w:rsidR="00D1587D" w:rsidRDefault="00410D07">
            <w:pPr>
              <w:jc w:val="right"/>
              <w:rPr>
                <w:sz w:val="20"/>
                <w:szCs w:val="20"/>
              </w:rPr>
            </w:pPr>
            <w:r>
              <w:rPr>
                <w:rFonts w:ascii="Arial" w:eastAsia="Arial" w:hAnsi="Arial" w:cs="Arial"/>
                <w:sz w:val="18"/>
                <w:szCs w:val="18"/>
              </w:rPr>
              <w:t>18</w:t>
            </w:r>
          </w:p>
        </w:tc>
      </w:tr>
      <w:tr w:rsidR="00D1587D" w14:paraId="74E71A57" w14:textId="77777777">
        <w:trPr>
          <w:trHeight w:val="445"/>
        </w:trPr>
        <w:tc>
          <w:tcPr>
            <w:tcW w:w="8900" w:type="dxa"/>
            <w:gridSpan w:val="3"/>
            <w:vAlign w:val="bottom"/>
          </w:tcPr>
          <w:p w14:paraId="718AF8ED" w14:textId="77777777" w:rsidR="00D1587D" w:rsidRDefault="00410D07">
            <w:pPr>
              <w:rPr>
                <w:sz w:val="20"/>
                <w:szCs w:val="20"/>
              </w:rPr>
            </w:pPr>
            <w:r>
              <w:rPr>
                <w:rFonts w:ascii="Arial" w:eastAsia="Arial" w:hAnsi="Arial" w:cs="Arial"/>
                <w:b/>
                <w:bCs/>
              </w:rPr>
              <w:t>SCHEDULES</w:t>
            </w:r>
          </w:p>
        </w:tc>
        <w:tc>
          <w:tcPr>
            <w:tcW w:w="2340" w:type="dxa"/>
            <w:vAlign w:val="bottom"/>
          </w:tcPr>
          <w:p w14:paraId="7B7C9182" w14:textId="77777777" w:rsidR="00D1587D" w:rsidRDefault="00D1587D">
            <w:pPr>
              <w:rPr>
                <w:sz w:val="24"/>
                <w:szCs w:val="24"/>
              </w:rPr>
            </w:pPr>
          </w:p>
        </w:tc>
      </w:tr>
      <w:tr w:rsidR="00D1587D" w14:paraId="20A53001" w14:textId="77777777">
        <w:trPr>
          <w:trHeight w:val="466"/>
        </w:trPr>
        <w:tc>
          <w:tcPr>
            <w:tcW w:w="960" w:type="dxa"/>
            <w:tcBorders>
              <w:top w:val="single" w:sz="8" w:space="0" w:color="auto"/>
              <w:bottom w:val="single" w:sz="8" w:space="0" w:color="auto"/>
            </w:tcBorders>
            <w:vAlign w:val="bottom"/>
          </w:tcPr>
          <w:p w14:paraId="60EA6E05" w14:textId="77777777" w:rsidR="00D1587D" w:rsidRDefault="00410D07">
            <w:pPr>
              <w:rPr>
                <w:sz w:val="20"/>
                <w:szCs w:val="20"/>
              </w:rPr>
            </w:pPr>
            <w:r>
              <w:rPr>
                <w:rFonts w:ascii="Arial" w:eastAsia="Arial" w:hAnsi="Arial" w:cs="Arial"/>
                <w:w w:val="85"/>
              </w:rPr>
              <w:t>Schedule 1</w:t>
            </w:r>
          </w:p>
        </w:tc>
        <w:tc>
          <w:tcPr>
            <w:tcW w:w="360" w:type="dxa"/>
            <w:tcBorders>
              <w:top w:val="single" w:sz="8" w:space="0" w:color="auto"/>
            </w:tcBorders>
            <w:vAlign w:val="bottom"/>
          </w:tcPr>
          <w:p w14:paraId="1C8B9DBF" w14:textId="77777777" w:rsidR="00D1587D" w:rsidRDefault="00D1587D">
            <w:pPr>
              <w:rPr>
                <w:sz w:val="24"/>
                <w:szCs w:val="24"/>
              </w:rPr>
            </w:pPr>
          </w:p>
        </w:tc>
        <w:tc>
          <w:tcPr>
            <w:tcW w:w="7580" w:type="dxa"/>
            <w:vAlign w:val="bottom"/>
          </w:tcPr>
          <w:p w14:paraId="332F5964" w14:textId="77777777" w:rsidR="00D1587D" w:rsidRDefault="00410D07">
            <w:pPr>
              <w:ind w:left="180"/>
              <w:rPr>
                <w:sz w:val="20"/>
                <w:szCs w:val="20"/>
              </w:rPr>
            </w:pPr>
            <w:r>
              <w:rPr>
                <w:rFonts w:ascii="Arial" w:eastAsia="Arial" w:hAnsi="Arial" w:cs="Arial"/>
              </w:rPr>
              <w:t>Services</w:t>
            </w:r>
          </w:p>
        </w:tc>
        <w:tc>
          <w:tcPr>
            <w:tcW w:w="2340" w:type="dxa"/>
            <w:vAlign w:val="bottom"/>
          </w:tcPr>
          <w:p w14:paraId="3A85233A" w14:textId="77777777" w:rsidR="00D1587D" w:rsidRDefault="00D1587D">
            <w:pPr>
              <w:rPr>
                <w:sz w:val="24"/>
                <w:szCs w:val="24"/>
              </w:rPr>
            </w:pPr>
          </w:p>
        </w:tc>
      </w:tr>
      <w:tr w:rsidR="00D1587D" w14:paraId="2D3372DB" w14:textId="77777777">
        <w:trPr>
          <w:trHeight w:val="223"/>
        </w:trPr>
        <w:tc>
          <w:tcPr>
            <w:tcW w:w="960" w:type="dxa"/>
            <w:tcBorders>
              <w:bottom w:val="single" w:sz="8" w:space="0" w:color="auto"/>
            </w:tcBorders>
            <w:vAlign w:val="bottom"/>
          </w:tcPr>
          <w:p w14:paraId="7C2F5839" w14:textId="77777777" w:rsidR="00D1587D" w:rsidRDefault="00410D07">
            <w:pPr>
              <w:spacing w:line="223" w:lineRule="exact"/>
              <w:rPr>
                <w:sz w:val="20"/>
                <w:szCs w:val="20"/>
              </w:rPr>
            </w:pPr>
            <w:r>
              <w:rPr>
                <w:rFonts w:ascii="Arial" w:eastAsia="Arial" w:hAnsi="Arial" w:cs="Arial"/>
                <w:w w:val="85"/>
              </w:rPr>
              <w:t>Schedule 2</w:t>
            </w:r>
          </w:p>
        </w:tc>
        <w:tc>
          <w:tcPr>
            <w:tcW w:w="360" w:type="dxa"/>
            <w:vAlign w:val="bottom"/>
          </w:tcPr>
          <w:p w14:paraId="3F5875F2" w14:textId="77777777" w:rsidR="00D1587D" w:rsidRDefault="00D1587D">
            <w:pPr>
              <w:rPr>
                <w:sz w:val="19"/>
                <w:szCs w:val="19"/>
              </w:rPr>
            </w:pPr>
          </w:p>
        </w:tc>
        <w:tc>
          <w:tcPr>
            <w:tcW w:w="7580" w:type="dxa"/>
            <w:vAlign w:val="bottom"/>
          </w:tcPr>
          <w:p w14:paraId="3FB1ACD7" w14:textId="77777777" w:rsidR="00D1587D" w:rsidRDefault="00410D07">
            <w:pPr>
              <w:spacing w:line="223" w:lineRule="exact"/>
              <w:ind w:left="180"/>
              <w:rPr>
                <w:sz w:val="20"/>
                <w:szCs w:val="20"/>
              </w:rPr>
            </w:pPr>
            <w:r>
              <w:rPr>
                <w:rFonts w:ascii="Arial" w:eastAsia="Arial" w:hAnsi="Arial" w:cs="Arial"/>
              </w:rPr>
              <w:t>Fees</w:t>
            </w:r>
          </w:p>
        </w:tc>
        <w:tc>
          <w:tcPr>
            <w:tcW w:w="2340" w:type="dxa"/>
            <w:vAlign w:val="bottom"/>
          </w:tcPr>
          <w:p w14:paraId="1E408B79" w14:textId="77777777" w:rsidR="00D1587D" w:rsidRDefault="00D1587D">
            <w:pPr>
              <w:rPr>
                <w:sz w:val="19"/>
                <w:szCs w:val="19"/>
              </w:rPr>
            </w:pPr>
          </w:p>
        </w:tc>
      </w:tr>
    </w:tbl>
    <w:p w14:paraId="29CA037E" w14:textId="77777777" w:rsidR="00D1587D" w:rsidRDefault="00D1587D">
      <w:pPr>
        <w:spacing w:line="200" w:lineRule="exact"/>
        <w:rPr>
          <w:sz w:val="20"/>
          <w:szCs w:val="20"/>
        </w:rPr>
      </w:pPr>
    </w:p>
    <w:p w14:paraId="45F4BAA3" w14:textId="77777777" w:rsidR="00D1587D" w:rsidRDefault="00D1587D">
      <w:pPr>
        <w:spacing w:line="200" w:lineRule="exact"/>
        <w:rPr>
          <w:sz w:val="20"/>
          <w:szCs w:val="20"/>
        </w:rPr>
      </w:pPr>
    </w:p>
    <w:p w14:paraId="58A8CC17" w14:textId="77777777" w:rsidR="00D1587D" w:rsidRDefault="00D1587D">
      <w:pPr>
        <w:spacing w:line="200" w:lineRule="exact"/>
        <w:rPr>
          <w:sz w:val="20"/>
          <w:szCs w:val="20"/>
        </w:rPr>
      </w:pPr>
    </w:p>
    <w:p w14:paraId="5EAA7621" w14:textId="77777777" w:rsidR="00D1587D" w:rsidRDefault="00D1587D">
      <w:pPr>
        <w:spacing w:line="310" w:lineRule="exact"/>
        <w:rPr>
          <w:sz w:val="20"/>
          <w:szCs w:val="20"/>
        </w:rPr>
      </w:pPr>
    </w:p>
    <w:p w14:paraId="4C82BFC8" w14:textId="77777777" w:rsidR="00D1587D" w:rsidRDefault="00410D07">
      <w:pPr>
        <w:jc w:val="center"/>
        <w:rPr>
          <w:sz w:val="20"/>
          <w:szCs w:val="20"/>
        </w:rPr>
      </w:pPr>
      <w:r>
        <w:rPr>
          <w:rFonts w:ascii="Arial" w:eastAsia="Arial" w:hAnsi="Arial" w:cs="Arial"/>
        </w:rPr>
        <w:t>iii</w:t>
      </w:r>
    </w:p>
    <w:p w14:paraId="4F0435CB" w14:textId="77777777" w:rsidR="00D1587D" w:rsidRDefault="00410D07">
      <w:pPr>
        <w:spacing w:line="20" w:lineRule="exact"/>
        <w:rPr>
          <w:sz w:val="20"/>
          <w:szCs w:val="20"/>
        </w:rPr>
      </w:pPr>
      <w:r>
        <w:rPr>
          <w:noProof/>
          <w:sz w:val="20"/>
          <w:szCs w:val="20"/>
        </w:rPr>
        <w:drawing>
          <wp:anchor distT="0" distB="0" distL="114300" distR="114300" simplePos="0" relativeHeight="251378688" behindDoc="1" locked="0" layoutInCell="0" allowOverlap="1" wp14:anchorId="2407EE2A" wp14:editId="5F489759">
            <wp:simplePos x="0" y="0"/>
            <wp:positionH relativeFrom="column">
              <wp:posOffset>5080</wp:posOffset>
            </wp:positionH>
            <wp:positionV relativeFrom="paragraph">
              <wp:posOffset>41275</wp:posOffset>
            </wp:positionV>
            <wp:extent cx="7132320" cy="1714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F909A4A" w14:textId="77777777" w:rsidR="00D1587D" w:rsidRDefault="00D1587D">
      <w:pPr>
        <w:sectPr w:rsidR="00D1587D">
          <w:pgSz w:w="11900" w:h="16838"/>
          <w:pgMar w:top="368" w:right="339" w:bottom="1440" w:left="320" w:header="0" w:footer="0" w:gutter="0"/>
          <w:cols w:space="720" w:equalWidth="0">
            <w:col w:w="11240"/>
          </w:cols>
        </w:sectPr>
      </w:pPr>
    </w:p>
    <w:p w14:paraId="197BF827" w14:textId="77777777" w:rsidR="00D1587D" w:rsidRDefault="00410D07">
      <w:pPr>
        <w:jc w:val="center"/>
        <w:rPr>
          <w:sz w:val="20"/>
          <w:szCs w:val="20"/>
        </w:rPr>
      </w:pPr>
      <w:bookmarkStart w:id="217" w:name="page218"/>
      <w:bookmarkEnd w:id="217"/>
      <w:r>
        <w:rPr>
          <w:rFonts w:ascii="Arial" w:eastAsia="Arial" w:hAnsi="Arial" w:cs="Arial"/>
          <w:b/>
          <w:bCs/>
        </w:rPr>
        <w:t>DOMESTIC TRANSPORTATION SERVICES AGREEMENT</w:t>
      </w:r>
    </w:p>
    <w:p w14:paraId="43EBBFF7" w14:textId="77777777" w:rsidR="00D1587D" w:rsidRDefault="00D1587D">
      <w:pPr>
        <w:spacing w:line="233" w:lineRule="exact"/>
        <w:rPr>
          <w:sz w:val="20"/>
          <w:szCs w:val="20"/>
        </w:rPr>
      </w:pPr>
    </w:p>
    <w:p w14:paraId="463051BA" w14:textId="77777777" w:rsidR="00D1587D" w:rsidRDefault="00410D07">
      <w:pPr>
        <w:spacing w:line="260" w:lineRule="auto"/>
        <w:ind w:firstLine="648"/>
        <w:jc w:val="both"/>
        <w:rPr>
          <w:sz w:val="20"/>
          <w:szCs w:val="20"/>
        </w:rPr>
      </w:pPr>
      <w:r>
        <w:rPr>
          <w:rFonts w:ascii="Arial" w:eastAsia="Arial" w:hAnsi="Arial" w:cs="Arial"/>
          <w:b/>
          <w:bCs/>
          <w:sz w:val="21"/>
          <w:szCs w:val="21"/>
        </w:rPr>
        <w:t xml:space="preserve">THIS DOMESTIC TRANSPORTATION SERVICES AGREEMENT </w:t>
      </w:r>
      <w:r>
        <w:rPr>
          <w:rFonts w:ascii="Arial" w:eastAsia="Arial" w:hAnsi="Arial" w:cs="Arial"/>
          <w:sz w:val="21"/>
          <w:szCs w:val="21"/>
        </w:rPr>
        <w:t>(this “</w:t>
      </w:r>
      <w:r>
        <w:rPr>
          <w:rFonts w:ascii="Arial" w:eastAsia="Arial" w:hAnsi="Arial" w:cs="Arial"/>
          <w:b/>
          <w:bCs/>
          <w:sz w:val="21"/>
          <w:szCs w:val="21"/>
        </w:rPr>
        <w:t>Agreement</w:t>
      </w:r>
      <w:r>
        <w:rPr>
          <w:rFonts w:ascii="Arial" w:eastAsia="Arial" w:hAnsi="Arial" w:cs="Arial"/>
          <w:sz w:val="21"/>
          <w:szCs w:val="21"/>
        </w:rPr>
        <w:t>”) is entered into this [__],</w:t>
      </w:r>
      <w:r>
        <w:rPr>
          <w:rFonts w:ascii="Arial" w:eastAsia="Arial" w:hAnsi="Arial" w:cs="Arial"/>
          <w:b/>
          <w:bCs/>
          <w:sz w:val="21"/>
          <w:szCs w:val="21"/>
        </w:rPr>
        <w:t xml:space="preserve"> </w:t>
      </w:r>
      <w:r>
        <w:rPr>
          <w:rFonts w:ascii="Arial" w:eastAsia="Arial" w:hAnsi="Arial" w:cs="Arial"/>
          <w:sz w:val="21"/>
          <w:szCs w:val="21"/>
        </w:rPr>
        <w:t>2021 (the “</w:t>
      </w:r>
      <w:r>
        <w:rPr>
          <w:rFonts w:ascii="Arial" w:eastAsia="Arial" w:hAnsi="Arial" w:cs="Arial"/>
          <w:b/>
          <w:bCs/>
          <w:sz w:val="21"/>
          <w:szCs w:val="21"/>
        </w:rPr>
        <w:t>Effective Date</w:t>
      </w:r>
      <w:r>
        <w:rPr>
          <w:rFonts w:ascii="Arial" w:eastAsia="Arial" w:hAnsi="Arial" w:cs="Arial"/>
          <w:sz w:val="21"/>
          <w:szCs w:val="21"/>
        </w:rPr>
        <w:t xml:space="preserve">”) by </w:t>
      </w:r>
      <w:r>
        <w:rPr>
          <w:rFonts w:ascii="Arial" w:eastAsia="Arial" w:hAnsi="Arial" w:cs="Arial"/>
          <w:sz w:val="21"/>
          <w:szCs w:val="21"/>
        </w:rPr>
        <w:t>and between Mast Logistics Services, LLC, a Delaware limited liability company (“</w:t>
      </w:r>
      <w:r>
        <w:rPr>
          <w:rFonts w:ascii="Arial" w:eastAsia="Arial" w:hAnsi="Arial" w:cs="Arial"/>
          <w:b/>
          <w:bCs/>
          <w:sz w:val="21"/>
          <w:szCs w:val="21"/>
        </w:rPr>
        <w:t>Service</w:t>
      </w:r>
      <w:r>
        <w:rPr>
          <w:rFonts w:ascii="Arial" w:eastAsia="Arial" w:hAnsi="Arial" w:cs="Arial"/>
          <w:sz w:val="21"/>
          <w:szCs w:val="21"/>
        </w:rPr>
        <w:t xml:space="preserve"> </w:t>
      </w:r>
      <w:r>
        <w:rPr>
          <w:rFonts w:ascii="Arial" w:eastAsia="Arial" w:hAnsi="Arial" w:cs="Arial"/>
          <w:b/>
          <w:bCs/>
          <w:sz w:val="21"/>
          <w:szCs w:val="21"/>
        </w:rPr>
        <w:t>Provider</w:t>
      </w:r>
      <w:r>
        <w:rPr>
          <w:rFonts w:ascii="Arial" w:eastAsia="Arial" w:hAnsi="Arial" w:cs="Arial"/>
          <w:sz w:val="21"/>
          <w:szCs w:val="21"/>
        </w:rPr>
        <w:t>”), and Victoria’s Secret &amp; Co., a Delaware corporation (“</w:t>
      </w:r>
      <w:r>
        <w:rPr>
          <w:rFonts w:ascii="Arial" w:eastAsia="Arial" w:hAnsi="Arial" w:cs="Arial"/>
          <w:b/>
          <w:bCs/>
          <w:sz w:val="21"/>
          <w:szCs w:val="21"/>
        </w:rPr>
        <w:t>VS</w:t>
      </w:r>
      <w:r>
        <w:rPr>
          <w:rFonts w:ascii="Arial" w:eastAsia="Arial" w:hAnsi="Arial" w:cs="Arial"/>
          <w:sz w:val="21"/>
          <w:szCs w:val="21"/>
        </w:rPr>
        <w:t>”) (each, a “</w:t>
      </w:r>
      <w:r>
        <w:rPr>
          <w:rFonts w:ascii="Arial" w:eastAsia="Arial" w:hAnsi="Arial" w:cs="Arial"/>
          <w:b/>
          <w:bCs/>
          <w:sz w:val="21"/>
          <w:szCs w:val="21"/>
        </w:rPr>
        <w:t>Party</w:t>
      </w:r>
      <w:r>
        <w:rPr>
          <w:rFonts w:ascii="Arial" w:eastAsia="Arial" w:hAnsi="Arial" w:cs="Arial"/>
          <w:sz w:val="21"/>
          <w:szCs w:val="21"/>
        </w:rPr>
        <w:t>” and together, the “</w:t>
      </w:r>
      <w:r>
        <w:rPr>
          <w:rFonts w:ascii="Arial" w:eastAsia="Arial" w:hAnsi="Arial" w:cs="Arial"/>
          <w:b/>
          <w:bCs/>
          <w:sz w:val="21"/>
          <w:szCs w:val="21"/>
        </w:rPr>
        <w:t>Parties</w:t>
      </w:r>
      <w:r>
        <w:rPr>
          <w:rFonts w:ascii="Arial" w:eastAsia="Arial" w:hAnsi="Arial" w:cs="Arial"/>
          <w:sz w:val="21"/>
          <w:szCs w:val="21"/>
        </w:rPr>
        <w:t>”).</w:t>
      </w:r>
    </w:p>
    <w:p w14:paraId="46BC3518" w14:textId="77777777" w:rsidR="00D1587D" w:rsidRDefault="00D1587D">
      <w:pPr>
        <w:spacing w:line="187" w:lineRule="exact"/>
        <w:rPr>
          <w:sz w:val="20"/>
          <w:szCs w:val="20"/>
        </w:rPr>
      </w:pPr>
    </w:p>
    <w:p w14:paraId="3D4DC278" w14:textId="77777777" w:rsidR="00D1587D" w:rsidRDefault="00410D07">
      <w:pPr>
        <w:jc w:val="center"/>
        <w:rPr>
          <w:sz w:val="20"/>
          <w:szCs w:val="20"/>
        </w:rPr>
      </w:pPr>
      <w:r>
        <w:rPr>
          <w:rFonts w:ascii="Arial" w:eastAsia="Arial" w:hAnsi="Arial" w:cs="Arial"/>
          <w:b/>
          <w:bCs/>
        </w:rPr>
        <w:t>RECITALS:</w:t>
      </w:r>
    </w:p>
    <w:p w14:paraId="6B2A4CE2" w14:textId="77777777" w:rsidR="00D1587D" w:rsidRDefault="00D1587D">
      <w:pPr>
        <w:spacing w:line="233" w:lineRule="exact"/>
        <w:rPr>
          <w:sz w:val="20"/>
          <w:szCs w:val="20"/>
        </w:rPr>
      </w:pPr>
    </w:p>
    <w:p w14:paraId="50D46B64" w14:textId="77777777" w:rsidR="00D1587D" w:rsidRDefault="00410D07">
      <w:pPr>
        <w:spacing w:line="243" w:lineRule="auto"/>
        <w:ind w:firstLine="648"/>
        <w:jc w:val="both"/>
        <w:rPr>
          <w:sz w:val="20"/>
          <w:szCs w:val="20"/>
        </w:rPr>
      </w:pPr>
      <w:r>
        <w:rPr>
          <w:rFonts w:ascii="Arial" w:eastAsia="Arial" w:hAnsi="Arial" w:cs="Arial"/>
          <w:b/>
          <w:bCs/>
        </w:rPr>
        <w:t>WHEREAS</w:t>
      </w:r>
      <w:r>
        <w:rPr>
          <w:rFonts w:ascii="Arial" w:eastAsia="Arial" w:hAnsi="Arial" w:cs="Arial"/>
        </w:rPr>
        <w:t>, Service Provider has pre-exi</w:t>
      </w:r>
      <w:r>
        <w:rPr>
          <w:rFonts w:ascii="Arial" w:eastAsia="Arial" w:hAnsi="Arial" w:cs="Arial"/>
        </w:rPr>
        <w:t>sting contractual arrangements with certain carriers engaged in the business of</w:t>
      </w:r>
      <w:r>
        <w:rPr>
          <w:rFonts w:ascii="Arial" w:eastAsia="Arial" w:hAnsi="Arial" w:cs="Arial"/>
          <w:b/>
          <w:bCs/>
        </w:rPr>
        <w:t xml:space="preserve"> </w:t>
      </w:r>
      <w:r>
        <w:rPr>
          <w:rFonts w:ascii="Arial" w:eastAsia="Arial" w:hAnsi="Arial" w:cs="Arial"/>
        </w:rPr>
        <w:t>transporting property in interstate, intrastate or foreign commerce and is in the business of providing other domestic transportation services;</w:t>
      </w:r>
    </w:p>
    <w:p w14:paraId="0028CDBF" w14:textId="77777777" w:rsidR="00D1587D" w:rsidRDefault="00D1587D">
      <w:pPr>
        <w:spacing w:line="204" w:lineRule="exact"/>
        <w:rPr>
          <w:sz w:val="20"/>
          <w:szCs w:val="20"/>
        </w:rPr>
      </w:pPr>
    </w:p>
    <w:p w14:paraId="3869D9E0" w14:textId="77777777" w:rsidR="00D1587D" w:rsidRDefault="00410D07">
      <w:pPr>
        <w:spacing w:line="256" w:lineRule="auto"/>
        <w:ind w:firstLine="648"/>
        <w:jc w:val="both"/>
        <w:rPr>
          <w:sz w:val="20"/>
          <w:szCs w:val="20"/>
        </w:rPr>
      </w:pPr>
      <w:r>
        <w:rPr>
          <w:rFonts w:ascii="Arial" w:eastAsia="Arial" w:hAnsi="Arial" w:cs="Arial"/>
          <w:b/>
          <w:bCs/>
        </w:rPr>
        <w:t>WHEREAS</w:t>
      </w:r>
      <w:r>
        <w:rPr>
          <w:rFonts w:ascii="Arial" w:eastAsia="Arial" w:hAnsi="Arial" w:cs="Arial"/>
        </w:rPr>
        <w:t xml:space="preserve">, Service </w:t>
      </w:r>
      <w:r>
        <w:rPr>
          <w:rFonts w:ascii="Arial" w:eastAsia="Arial" w:hAnsi="Arial" w:cs="Arial"/>
        </w:rPr>
        <w:t>Provider has historically provided certain domestic transportation services to the VS Business (as</w:t>
      </w:r>
      <w:r>
        <w:rPr>
          <w:rFonts w:ascii="Arial" w:eastAsia="Arial" w:hAnsi="Arial" w:cs="Arial"/>
          <w:b/>
          <w:bCs/>
        </w:rPr>
        <w:t xml:space="preserve"> </w:t>
      </w:r>
      <w:r>
        <w:rPr>
          <w:rFonts w:ascii="Arial" w:eastAsia="Arial" w:hAnsi="Arial" w:cs="Arial"/>
        </w:rPr>
        <w:t>defined herein);</w:t>
      </w:r>
    </w:p>
    <w:p w14:paraId="4FD836C6" w14:textId="77777777" w:rsidR="00D1587D" w:rsidRDefault="00D1587D">
      <w:pPr>
        <w:spacing w:line="189" w:lineRule="exact"/>
        <w:rPr>
          <w:sz w:val="20"/>
          <w:szCs w:val="20"/>
        </w:rPr>
      </w:pPr>
    </w:p>
    <w:p w14:paraId="34BA2E56" w14:textId="77777777" w:rsidR="00D1587D" w:rsidRDefault="00410D07">
      <w:pPr>
        <w:spacing w:line="289" w:lineRule="auto"/>
        <w:ind w:firstLine="648"/>
        <w:jc w:val="both"/>
        <w:rPr>
          <w:sz w:val="20"/>
          <w:szCs w:val="20"/>
        </w:rPr>
      </w:pPr>
      <w:r>
        <w:rPr>
          <w:rFonts w:ascii="Arial" w:eastAsia="Arial" w:hAnsi="Arial" w:cs="Arial"/>
          <w:b/>
          <w:bCs/>
          <w:sz w:val="19"/>
          <w:szCs w:val="19"/>
        </w:rPr>
        <w:t>WHEREAS</w:t>
      </w:r>
      <w:r>
        <w:rPr>
          <w:rFonts w:ascii="Arial" w:eastAsia="Arial" w:hAnsi="Arial" w:cs="Arial"/>
          <w:sz w:val="19"/>
          <w:szCs w:val="19"/>
        </w:rPr>
        <w:t>, VS and L Brands, Inc. (“</w:t>
      </w:r>
      <w:r>
        <w:rPr>
          <w:rFonts w:ascii="Arial" w:eastAsia="Arial" w:hAnsi="Arial" w:cs="Arial"/>
          <w:b/>
          <w:bCs/>
          <w:sz w:val="19"/>
          <w:szCs w:val="19"/>
        </w:rPr>
        <w:t>L Brands</w:t>
      </w:r>
      <w:r>
        <w:rPr>
          <w:rFonts w:ascii="Arial" w:eastAsia="Arial" w:hAnsi="Arial" w:cs="Arial"/>
          <w:sz w:val="19"/>
          <w:szCs w:val="19"/>
        </w:rPr>
        <w:t>”) have entered into that certain Separation and Distribution Agreement,</w:t>
      </w:r>
      <w:r>
        <w:rPr>
          <w:rFonts w:ascii="Arial" w:eastAsia="Arial" w:hAnsi="Arial" w:cs="Arial"/>
          <w:b/>
          <w:bCs/>
          <w:sz w:val="19"/>
          <w:szCs w:val="19"/>
        </w:rPr>
        <w:t xml:space="preserve"> </w:t>
      </w:r>
      <w:r>
        <w:rPr>
          <w:rFonts w:ascii="Arial" w:eastAsia="Arial" w:hAnsi="Arial" w:cs="Arial"/>
          <w:sz w:val="19"/>
          <w:szCs w:val="19"/>
        </w:rPr>
        <w:t>dated as of [__], 2021 (“</w:t>
      </w:r>
      <w:r>
        <w:rPr>
          <w:rFonts w:ascii="Arial" w:eastAsia="Arial" w:hAnsi="Arial" w:cs="Arial"/>
          <w:b/>
          <w:bCs/>
          <w:sz w:val="19"/>
          <w:szCs w:val="19"/>
        </w:rPr>
        <w:t>Separation Agreement</w:t>
      </w:r>
      <w:r>
        <w:rPr>
          <w:rFonts w:ascii="Arial" w:eastAsia="Arial" w:hAnsi="Arial" w:cs="Arial"/>
          <w:sz w:val="19"/>
          <w:szCs w:val="19"/>
        </w:rPr>
        <w:t>”) pursuant to which and on the terms and conditions set forth therein, among other things, L Brands has agreed to distribute the VS Business to the holders of the L Brands Common Stock (as defined in the Separation Agreement) as of the</w:t>
      </w:r>
      <w:r>
        <w:rPr>
          <w:rFonts w:ascii="Arial" w:eastAsia="Arial" w:hAnsi="Arial" w:cs="Arial"/>
          <w:sz w:val="19"/>
          <w:szCs w:val="19"/>
        </w:rPr>
        <w:t xml:space="preserve"> Record Date (as defined in the Separation Agreement);</w:t>
      </w:r>
    </w:p>
    <w:p w14:paraId="65905C00" w14:textId="77777777" w:rsidR="00D1587D" w:rsidRDefault="00D1587D">
      <w:pPr>
        <w:spacing w:line="163" w:lineRule="exact"/>
        <w:rPr>
          <w:sz w:val="20"/>
          <w:szCs w:val="20"/>
        </w:rPr>
      </w:pPr>
    </w:p>
    <w:p w14:paraId="6E266621" w14:textId="77777777" w:rsidR="00D1587D" w:rsidRDefault="00410D07">
      <w:pPr>
        <w:spacing w:line="300" w:lineRule="auto"/>
        <w:ind w:firstLine="648"/>
        <w:jc w:val="both"/>
        <w:rPr>
          <w:sz w:val="20"/>
          <w:szCs w:val="20"/>
        </w:rPr>
      </w:pPr>
      <w:r>
        <w:rPr>
          <w:rFonts w:ascii="Arial" w:eastAsia="Arial" w:hAnsi="Arial" w:cs="Arial"/>
          <w:b/>
          <w:bCs/>
          <w:sz w:val="19"/>
          <w:szCs w:val="19"/>
        </w:rPr>
        <w:t>WHEREAS</w:t>
      </w:r>
      <w:r>
        <w:rPr>
          <w:rFonts w:ascii="Arial" w:eastAsia="Arial" w:hAnsi="Arial" w:cs="Arial"/>
          <w:sz w:val="19"/>
          <w:szCs w:val="19"/>
        </w:rPr>
        <w:t>, the Separation Agreement contemplates that Service Provider will, at the Distribution Time (as defined in</w:t>
      </w:r>
      <w:r>
        <w:rPr>
          <w:rFonts w:ascii="Arial" w:eastAsia="Arial" w:hAnsi="Arial" w:cs="Arial"/>
          <w:b/>
          <w:bCs/>
          <w:sz w:val="19"/>
          <w:szCs w:val="19"/>
        </w:rPr>
        <w:t xml:space="preserve"> </w:t>
      </w:r>
      <w:r>
        <w:rPr>
          <w:rFonts w:ascii="Arial" w:eastAsia="Arial" w:hAnsi="Arial" w:cs="Arial"/>
          <w:sz w:val="19"/>
          <w:szCs w:val="19"/>
        </w:rPr>
        <w:t>the Separation Agreement), enter into this Agreement to provide certain domestic tran</w:t>
      </w:r>
      <w:r>
        <w:rPr>
          <w:rFonts w:ascii="Arial" w:eastAsia="Arial" w:hAnsi="Arial" w:cs="Arial"/>
          <w:sz w:val="19"/>
          <w:szCs w:val="19"/>
        </w:rPr>
        <w:t>sportation services to VS on the terms and conditions set forth herein in connection with the transactions contemplated by the Separation Agreement; and</w:t>
      </w:r>
    </w:p>
    <w:p w14:paraId="52290309" w14:textId="77777777" w:rsidR="00D1587D" w:rsidRDefault="00D1587D">
      <w:pPr>
        <w:spacing w:line="153" w:lineRule="exact"/>
        <w:rPr>
          <w:sz w:val="20"/>
          <w:szCs w:val="20"/>
        </w:rPr>
      </w:pPr>
    </w:p>
    <w:p w14:paraId="0A6664A3" w14:textId="77777777" w:rsidR="00D1587D" w:rsidRDefault="00410D07">
      <w:pPr>
        <w:spacing w:line="243" w:lineRule="auto"/>
        <w:ind w:firstLine="648"/>
        <w:jc w:val="both"/>
        <w:rPr>
          <w:sz w:val="20"/>
          <w:szCs w:val="20"/>
        </w:rPr>
      </w:pPr>
      <w:r>
        <w:rPr>
          <w:rFonts w:ascii="Arial" w:eastAsia="Arial" w:hAnsi="Arial" w:cs="Arial"/>
          <w:b/>
          <w:bCs/>
        </w:rPr>
        <w:t>WHEREAS</w:t>
      </w:r>
      <w:r>
        <w:rPr>
          <w:rFonts w:ascii="Arial" w:eastAsia="Arial" w:hAnsi="Arial" w:cs="Arial"/>
        </w:rPr>
        <w:t>, following the Effective Date, Service Provider desires to continue to provide certain domesti</w:t>
      </w:r>
      <w:r>
        <w:rPr>
          <w:rFonts w:ascii="Arial" w:eastAsia="Arial" w:hAnsi="Arial" w:cs="Arial"/>
        </w:rPr>
        <w:t>c transportation</w:t>
      </w:r>
      <w:r>
        <w:rPr>
          <w:rFonts w:ascii="Arial" w:eastAsia="Arial" w:hAnsi="Arial" w:cs="Arial"/>
          <w:b/>
          <w:bCs/>
        </w:rPr>
        <w:t xml:space="preserve"> </w:t>
      </w:r>
      <w:r>
        <w:rPr>
          <w:rFonts w:ascii="Arial" w:eastAsia="Arial" w:hAnsi="Arial" w:cs="Arial"/>
        </w:rPr>
        <w:t>services to the VS Business pursuant to the terms and conditions of this Agreement and the VS Business desires to continue to receive such domestic transportation services.</w:t>
      </w:r>
    </w:p>
    <w:p w14:paraId="152F7811" w14:textId="77777777" w:rsidR="00D1587D" w:rsidRDefault="00D1587D">
      <w:pPr>
        <w:spacing w:line="204" w:lineRule="exact"/>
        <w:rPr>
          <w:sz w:val="20"/>
          <w:szCs w:val="20"/>
        </w:rPr>
      </w:pPr>
    </w:p>
    <w:p w14:paraId="591DD627" w14:textId="77777777" w:rsidR="00D1587D" w:rsidRDefault="00410D07">
      <w:pPr>
        <w:spacing w:line="256" w:lineRule="auto"/>
        <w:ind w:right="20" w:firstLine="648"/>
        <w:jc w:val="both"/>
        <w:rPr>
          <w:sz w:val="20"/>
          <w:szCs w:val="20"/>
        </w:rPr>
      </w:pPr>
      <w:r>
        <w:rPr>
          <w:rFonts w:ascii="Arial" w:eastAsia="Arial" w:hAnsi="Arial" w:cs="Arial"/>
          <w:b/>
          <w:bCs/>
        </w:rPr>
        <w:t>NOW THEREFORE</w:t>
      </w:r>
      <w:r>
        <w:rPr>
          <w:rFonts w:ascii="Arial" w:eastAsia="Arial" w:hAnsi="Arial" w:cs="Arial"/>
        </w:rPr>
        <w:t>, in consideration of the mutual agreements hereinaf</w:t>
      </w:r>
      <w:r>
        <w:rPr>
          <w:rFonts w:ascii="Arial" w:eastAsia="Arial" w:hAnsi="Arial" w:cs="Arial"/>
        </w:rPr>
        <w:t>ter set forth, the Parties, intending to be legally</w:t>
      </w:r>
      <w:r>
        <w:rPr>
          <w:rFonts w:ascii="Arial" w:eastAsia="Arial" w:hAnsi="Arial" w:cs="Arial"/>
          <w:b/>
          <w:bCs/>
        </w:rPr>
        <w:t xml:space="preserve"> </w:t>
      </w:r>
      <w:r>
        <w:rPr>
          <w:rFonts w:ascii="Arial" w:eastAsia="Arial" w:hAnsi="Arial" w:cs="Arial"/>
        </w:rPr>
        <w:t>bound, hereby agree as follows:</w:t>
      </w:r>
    </w:p>
    <w:p w14:paraId="68AD75ED" w14:textId="77777777" w:rsidR="00D1587D" w:rsidRDefault="00D1587D">
      <w:pPr>
        <w:spacing w:line="195" w:lineRule="exact"/>
        <w:rPr>
          <w:sz w:val="20"/>
          <w:szCs w:val="20"/>
        </w:rPr>
      </w:pPr>
    </w:p>
    <w:p w14:paraId="6191E42E" w14:textId="77777777" w:rsidR="00D1587D" w:rsidRDefault="00410D07">
      <w:pPr>
        <w:jc w:val="center"/>
        <w:rPr>
          <w:sz w:val="20"/>
          <w:szCs w:val="20"/>
        </w:rPr>
      </w:pPr>
      <w:r>
        <w:rPr>
          <w:rFonts w:ascii="Arial" w:eastAsia="Arial" w:hAnsi="Arial" w:cs="Arial"/>
        </w:rPr>
        <w:t>ARTICLE 1</w:t>
      </w:r>
    </w:p>
    <w:p w14:paraId="34EBA5CF" w14:textId="77777777" w:rsidR="00D1587D" w:rsidRDefault="00D1587D">
      <w:pPr>
        <w:spacing w:line="8" w:lineRule="exact"/>
        <w:rPr>
          <w:sz w:val="20"/>
          <w:szCs w:val="20"/>
        </w:rPr>
      </w:pPr>
    </w:p>
    <w:p w14:paraId="4F44BBA8" w14:textId="77777777" w:rsidR="00D1587D" w:rsidRDefault="00410D07">
      <w:pPr>
        <w:jc w:val="center"/>
        <w:rPr>
          <w:sz w:val="20"/>
          <w:szCs w:val="20"/>
        </w:rPr>
      </w:pPr>
      <w:r>
        <w:rPr>
          <w:rFonts w:ascii="Arial" w:eastAsia="Arial" w:hAnsi="Arial" w:cs="Arial"/>
        </w:rPr>
        <w:t>DEFINED TERMS</w:t>
      </w:r>
    </w:p>
    <w:p w14:paraId="1AE0047C" w14:textId="77777777" w:rsidR="00D1587D" w:rsidRDefault="00D1587D">
      <w:pPr>
        <w:spacing w:line="215" w:lineRule="exact"/>
        <w:rPr>
          <w:sz w:val="20"/>
          <w:szCs w:val="20"/>
        </w:rPr>
      </w:pPr>
    </w:p>
    <w:p w14:paraId="1F18C478" w14:textId="77777777" w:rsidR="00D1587D" w:rsidRDefault="00410D07">
      <w:pPr>
        <w:tabs>
          <w:tab w:val="left" w:pos="2300"/>
        </w:tabs>
        <w:ind w:left="660"/>
        <w:rPr>
          <w:sz w:val="20"/>
          <w:szCs w:val="20"/>
        </w:rPr>
      </w:pPr>
      <w:r>
        <w:rPr>
          <w:rFonts w:ascii="Arial" w:eastAsia="Arial" w:hAnsi="Arial" w:cs="Arial"/>
        </w:rPr>
        <w:t>Section 1.01.</w:t>
      </w:r>
      <w:r>
        <w:rPr>
          <w:sz w:val="20"/>
          <w:szCs w:val="20"/>
        </w:rPr>
        <w:tab/>
      </w:r>
      <w:r>
        <w:rPr>
          <w:rFonts w:ascii="Arial" w:eastAsia="Arial" w:hAnsi="Arial" w:cs="Arial"/>
          <w:i/>
          <w:iCs/>
          <w:sz w:val="19"/>
          <w:szCs w:val="19"/>
        </w:rPr>
        <w:t>Defined Terms</w:t>
      </w:r>
      <w:r>
        <w:rPr>
          <w:rFonts w:ascii="Arial" w:eastAsia="Arial" w:hAnsi="Arial" w:cs="Arial"/>
          <w:sz w:val="19"/>
          <w:szCs w:val="19"/>
        </w:rPr>
        <w:t>. As used herein, the following terms shall have the following meanings:</w:t>
      </w:r>
    </w:p>
    <w:p w14:paraId="1435E4A5" w14:textId="77777777" w:rsidR="00D1587D" w:rsidRDefault="00D1587D">
      <w:pPr>
        <w:spacing w:line="227" w:lineRule="exact"/>
        <w:rPr>
          <w:sz w:val="20"/>
          <w:szCs w:val="20"/>
        </w:rPr>
      </w:pPr>
    </w:p>
    <w:p w14:paraId="7291587E" w14:textId="77777777" w:rsidR="00D1587D" w:rsidRDefault="00410D07">
      <w:pPr>
        <w:ind w:left="660"/>
        <w:rPr>
          <w:sz w:val="20"/>
          <w:szCs w:val="20"/>
        </w:rPr>
      </w:pPr>
      <w:r>
        <w:rPr>
          <w:rFonts w:ascii="Arial" w:eastAsia="Arial" w:hAnsi="Arial" w:cs="Arial"/>
        </w:rPr>
        <w:t>“</w:t>
      </w:r>
      <w:r>
        <w:rPr>
          <w:rFonts w:ascii="Arial" w:eastAsia="Arial" w:hAnsi="Arial" w:cs="Arial"/>
          <w:b/>
          <w:bCs/>
        </w:rPr>
        <w:t>Additional Products</w:t>
      </w:r>
      <w:r>
        <w:rPr>
          <w:rFonts w:ascii="Arial" w:eastAsia="Arial" w:hAnsi="Arial" w:cs="Arial"/>
        </w:rPr>
        <w:t xml:space="preserve">” has the meaning set forth in </w:t>
      </w:r>
      <w:r>
        <w:rPr>
          <w:rFonts w:ascii="Arial" w:eastAsia="Arial" w:hAnsi="Arial" w:cs="Arial"/>
          <w:u w:val="single"/>
        </w:rPr>
        <w:t>Section 2.02</w:t>
      </w:r>
      <w:r>
        <w:rPr>
          <w:rFonts w:ascii="Arial" w:eastAsia="Arial" w:hAnsi="Arial" w:cs="Arial"/>
        </w:rPr>
        <w:t>.</w:t>
      </w:r>
    </w:p>
    <w:p w14:paraId="4CFCCFB6" w14:textId="77777777" w:rsidR="00D1587D" w:rsidRDefault="00D1587D">
      <w:pPr>
        <w:spacing w:line="233" w:lineRule="exact"/>
        <w:rPr>
          <w:sz w:val="20"/>
          <w:szCs w:val="20"/>
        </w:rPr>
      </w:pPr>
    </w:p>
    <w:p w14:paraId="19B94F5D" w14:textId="77777777" w:rsidR="00D1587D" w:rsidRDefault="00410D07">
      <w:pPr>
        <w:ind w:left="660"/>
        <w:rPr>
          <w:sz w:val="20"/>
          <w:szCs w:val="20"/>
        </w:rPr>
      </w:pPr>
      <w:r>
        <w:rPr>
          <w:rFonts w:ascii="Arial" w:eastAsia="Arial" w:hAnsi="Arial" w:cs="Arial"/>
        </w:rPr>
        <w:t>“</w:t>
      </w:r>
      <w:r>
        <w:rPr>
          <w:rFonts w:ascii="Arial" w:eastAsia="Arial" w:hAnsi="Arial" w:cs="Arial"/>
          <w:b/>
          <w:bCs/>
        </w:rPr>
        <w:t>Additional Services</w:t>
      </w:r>
      <w:r>
        <w:rPr>
          <w:rFonts w:ascii="Arial" w:eastAsia="Arial" w:hAnsi="Arial" w:cs="Arial"/>
        </w:rPr>
        <w:t xml:space="preserve">” has the meaning set forth in </w:t>
      </w:r>
      <w:r>
        <w:rPr>
          <w:rFonts w:ascii="Arial" w:eastAsia="Arial" w:hAnsi="Arial" w:cs="Arial"/>
          <w:u w:val="single"/>
        </w:rPr>
        <w:t>Section 2.01(c)</w:t>
      </w:r>
      <w:r>
        <w:rPr>
          <w:rFonts w:ascii="Arial" w:eastAsia="Arial" w:hAnsi="Arial" w:cs="Arial"/>
        </w:rPr>
        <w:t>.</w:t>
      </w:r>
    </w:p>
    <w:p w14:paraId="752658E1" w14:textId="77777777" w:rsidR="00D1587D" w:rsidRDefault="00D1587D">
      <w:pPr>
        <w:spacing w:line="200" w:lineRule="exact"/>
        <w:rPr>
          <w:sz w:val="20"/>
          <w:szCs w:val="20"/>
        </w:rPr>
      </w:pPr>
    </w:p>
    <w:p w14:paraId="5B2CB57C" w14:textId="77777777" w:rsidR="00D1587D" w:rsidRDefault="00D1587D">
      <w:pPr>
        <w:spacing w:line="215" w:lineRule="exact"/>
        <w:rPr>
          <w:sz w:val="20"/>
          <w:szCs w:val="20"/>
        </w:rPr>
      </w:pPr>
    </w:p>
    <w:p w14:paraId="5D3B38BA" w14:textId="77777777" w:rsidR="00D1587D" w:rsidRDefault="00410D07">
      <w:pPr>
        <w:jc w:val="center"/>
        <w:rPr>
          <w:sz w:val="20"/>
          <w:szCs w:val="20"/>
        </w:rPr>
      </w:pPr>
      <w:r>
        <w:rPr>
          <w:rFonts w:ascii="Arial" w:eastAsia="Arial" w:hAnsi="Arial" w:cs="Arial"/>
        </w:rPr>
        <w:t>1</w:t>
      </w:r>
    </w:p>
    <w:p w14:paraId="43FC19E0" w14:textId="77777777" w:rsidR="00D1587D" w:rsidRDefault="00410D07">
      <w:pPr>
        <w:spacing w:line="20" w:lineRule="exact"/>
        <w:rPr>
          <w:sz w:val="20"/>
          <w:szCs w:val="20"/>
        </w:rPr>
      </w:pPr>
      <w:r>
        <w:rPr>
          <w:noProof/>
          <w:sz w:val="20"/>
          <w:szCs w:val="20"/>
        </w:rPr>
        <w:drawing>
          <wp:anchor distT="0" distB="0" distL="114300" distR="114300" simplePos="0" relativeHeight="251379712" behindDoc="1" locked="0" layoutInCell="0" allowOverlap="1" wp14:anchorId="7EE32637" wp14:editId="6B3E19F8">
            <wp:simplePos x="0" y="0"/>
            <wp:positionH relativeFrom="column">
              <wp:posOffset>5080</wp:posOffset>
            </wp:positionH>
            <wp:positionV relativeFrom="paragraph">
              <wp:posOffset>41275</wp:posOffset>
            </wp:positionV>
            <wp:extent cx="7132320" cy="1714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9798C34" w14:textId="77777777" w:rsidR="00D1587D" w:rsidRDefault="00D1587D">
      <w:pPr>
        <w:sectPr w:rsidR="00D1587D">
          <w:pgSz w:w="11900" w:h="16838"/>
          <w:pgMar w:top="355" w:right="339" w:bottom="1440" w:left="320" w:header="0" w:footer="0" w:gutter="0"/>
          <w:cols w:space="720" w:equalWidth="0">
            <w:col w:w="11240"/>
          </w:cols>
        </w:sectPr>
      </w:pPr>
    </w:p>
    <w:p w14:paraId="07047AF7" w14:textId="77777777" w:rsidR="00D1587D" w:rsidRDefault="00410D07">
      <w:pPr>
        <w:spacing w:line="237" w:lineRule="auto"/>
        <w:ind w:firstLine="648"/>
        <w:jc w:val="both"/>
        <w:rPr>
          <w:sz w:val="20"/>
          <w:szCs w:val="20"/>
        </w:rPr>
      </w:pPr>
      <w:bookmarkStart w:id="218" w:name="page219"/>
      <w:bookmarkEnd w:id="218"/>
      <w:r>
        <w:rPr>
          <w:rFonts w:ascii="Arial" w:eastAsia="Arial" w:hAnsi="Arial" w:cs="Arial"/>
        </w:rPr>
        <w:t>“</w:t>
      </w:r>
      <w:r>
        <w:rPr>
          <w:rFonts w:ascii="Arial" w:eastAsia="Arial" w:hAnsi="Arial" w:cs="Arial"/>
          <w:b/>
          <w:bCs/>
        </w:rPr>
        <w:t>Affiliate</w:t>
      </w:r>
      <w:r>
        <w:rPr>
          <w:rFonts w:ascii="Arial" w:eastAsia="Arial" w:hAnsi="Arial" w:cs="Arial"/>
        </w:rPr>
        <w:t xml:space="preserve">” means, with respect to any Person, any other Person directly or indirectly controlling, </w:t>
      </w:r>
      <w:r>
        <w:rPr>
          <w:rFonts w:ascii="Arial" w:eastAsia="Arial" w:hAnsi="Arial" w:cs="Arial"/>
        </w:rPr>
        <w:t>controlled by, or under common control with, such other Person. For the purposes of this definition, “</w:t>
      </w:r>
      <w:r>
        <w:rPr>
          <w:rFonts w:ascii="Arial" w:eastAsia="Arial" w:hAnsi="Arial" w:cs="Arial"/>
          <w:b/>
          <w:bCs/>
        </w:rPr>
        <w:t>control</w:t>
      </w:r>
      <w:r>
        <w:rPr>
          <w:rFonts w:ascii="Arial" w:eastAsia="Arial" w:hAnsi="Arial" w:cs="Arial"/>
        </w:rPr>
        <w:t>” means the possession, directly or indirectly, of the power to direct or cause the direction of the management and policies of a Person, whether t</w:t>
      </w:r>
      <w:r>
        <w:rPr>
          <w:rFonts w:ascii="Arial" w:eastAsia="Arial" w:hAnsi="Arial" w:cs="Arial"/>
        </w:rPr>
        <w:t>hrough the ownership of voting securities, by contract or otherwise, and the terms “</w:t>
      </w:r>
      <w:r>
        <w:rPr>
          <w:rFonts w:ascii="Arial" w:eastAsia="Arial" w:hAnsi="Arial" w:cs="Arial"/>
          <w:b/>
          <w:bCs/>
        </w:rPr>
        <w:t>controlling</w:t>
      </w:r>
      <w:r>
        <w:rPr>
          <w:rFonts w:ascii="Arial" w:eastAsia="Arial" w:hAnsi="Arial" w:cs="Arial"/>
        </w:rPr>
        <w:t>” and “</w:t>
      </w:r>
      <w:r>
        <w:rPr>
          <w:rFonts w:ascii="Arial" w:eastAsia="Arial" w:hAnsi="Arial" w:cs="Arial"/>
          <w:b/>
          <w:bCs/>
        </w:rPr>
        <w:t>controlled</w:t>
      </w:r>
      <w:r>
        <w:rPr>
          <w:rFonts w:ascii="Arial" w:eastAsia="Arial" w:hAnsi="Arial" w:cs="Arial"/>
        </w:rPr>
        <w:t>” have meanings correlative to the foregoing.</w:t>
      </w:r>
    </w:p>
    <w:p w14:paraId="51EE0190" w14:textId="77777777" w:rsidR="00D1587D" w:rsidRDefault="00D1587D">
      <w:pPr>
        <w:spacing w:line="209" w:lineRule="exact"/>
        <w:rPr>
          <w:sz w:val="20"/>
          <w:szCs w:val="20"/>
        </w:rPr>
      </w:pPr>
    </w:p>
    <w:p w14:paraId="32BED51E" w14:textId="77777777" w:rsidR="00D1587D" w:rsidRDefault="00410D07">
      <w:pPr>
        <w:ind w:left="720"/>
        <w:rPr>
          <w:sz w:val="20"/>
          <w:szCs w:val="20"/>
        </w:rPr>
      </w:pPr>
      <w:r>
        <w:rPr>
          <w:rFonts w:ascii="Arial" w:eastAsia="Arial" w:hAnsi="Arial" w:cs="Arial"/>
        </w:rPr>
        <w:t>“</w:t>
      </w:r>
      <w:r>
        <w:rPr>
          <w:rFonts w:ascii="Arial" w:eastAsia="Arial" w:hAnsi="Arial" w:cs="Arial"/>
          <w:b/>
          <w:bCs/>
        </w:rPr>
        <w:t>Agreement</w:t>
      </w:r>
      <w:r>
        <w:rPr>
          <w:rFonts w:ascii="Arial" w:eastAsia="Arial" w:hAnsi="Arial" w:cs="Arial"/>
        </w:rPr>
        <w:t xml:space="preserve">” has the meaning set forth in the </w:t>
      </w:r>
      <w:r>
        <w:rPr>
          <w:rFonts w:ascii="Arial" w:eastAsia="Arial" w:hAnsi="Arial" w:cs="Arial"/>
          <w:u w:val="single"/>
        </w:rPr>
        <w:t>Preamble</w:t>
      </w:r>
      <w:r>
        <w:rPr>
          <w:rFonts w:ascii="Arial" w:eastAsia="Arial" w:hAnsi="Arial" w:cs="Arial"/>
        </w:rPr>
        <w:t>.</w:t>
      </w:r>
    </w:p>
    <w:p w14:paraId="5E02B7A3" w14:textId="77777777" w:rsidR="00D1587D" w:rsidRDefault="00D1587D">
      <w:pPr>
        <w:spacing w:line="233" w:lineRule="exact"/>
        <w:rPr>
          <w:sz w:val="20"/>
          <w:szCs w:val="20"/>
        </w:rPr>
      </w:pPr>
    </w:p>
    <w:p w14:paraId="294BDCF4" w14:textId="77777777" w:rsidR="00D1587D" w:rsidRDefault="00410D07">
      <w:pPr>
        <w:spacing w:line="251" w:lineRule="auto"/>
        <w:ind w:firstLine="648"/>
        <w:jc w:val="both"/>
        <w:rPr>
          <w:sz w:val="20"/>
          <w:szCs w:val="20"/>
        </w:rPr>
      </w:pPr>
      <w:r>
        <w:rPr>
          <w:rFonts w:ascii="Arial" w:eastAsia="Arial" w:hAnsi="Arial" w:cs="Arial"/>
          <w:sz w:val="21"/>
          <w:szCs w:val="21"/>
        </w:rPr>
        <w:t>“</w:t>
      </w:r>
      <w:r>
        <w:rPr>
          <w:rFonts w:ascii="Arial" w:eastAsia="Arial" w:hAnsi="Arial" w:cs="Arial"/>
          <w:b/>
          <w:bCs/>
          <w:sz w:val="21"/>
          <w:szCs w:val="21"/>
        </w:rPr>
        <w:t>Applicable Law</w:t>
      </w:r>
      <w:r>
        <w:rPr>
          <w:rFonts w:ascii="Arial" w:eastAsia="Arial" w:hAnsi="Arial" w:cs="Arial"/>
          <w:sz w:val="21"/>
          <w:szCs w:val="21"/>
        </w:rPr>
        <w:t>” means, with respect to a</w:t>
      </w:r>
      <w:r>
        <w:rPr>
          <w:rFonts w:ascii="Arial" w:eastAsia="Arial" w:hAnsi="Arial" w:cs="Arial"/>
          <w:sz w:val="21"/>
          <w:szCs w:val="21"/>
        </w:rPr>
        <w:t>ny Person, any federal, state, local or foreign law (statutory, common or otherwise), constitution, treaty, convention, ordinance, code, rule, regulation, order, injunction, judgment, decree, ruling, directive, guidance, instruction, direction, permission,</w:t>
      </w:r>
      <w:r>
        <w:rPr>
          <w:rFonts w:ascii="Arial" w:eastAsia="Arial" w:hAnsi="Arial" w:cs="Arial"/>
          <w:sz w:val="21"/>
          <w:szCs w:val="21"/>
        </w:rPr>
        <w:t xml:space="preserve"> waiver, notice, condition, limitation, restriction or prohibition or other similar requirement enacted, adopted, promulgated, imposed, issued or applied by a Governmental Authority that is binding upon or applicable to such Person, its properties or asset</w:t>
      </w:r>
      <w:r>
        <w:rPr>
          <w:rFonts w:ascii="Arial" w:eastAsia="Arial" w:hAnsi="Arial" w:cs="Arial"/>
          <w:sz w:val="21"/>
          <w:szCs w:val="21"/>
        </w:rPr>
        <w:t>s or its business or operations.</w:t>
      </w:r>
    </w:p>
    <w:p w14:paraId="5E685654" w14:textId="77777777" w:rsidR="00D1587D" w:rsidRDefault="00D1587D">
      <w:pPr>
        <w:spacing w:line="195" w:lineRule="exact"/>
        <w:rPr>
          <w:sz w:val="20"/>
          <w:szCs w:val="20"/>
        </w:rPr>
      </w:pPr>
    </w:p>
    <w:p w14:paraId="63C4BE9D" w14:textId="77777777" w:rsidR="00D1587D" w:rsidRDefault="00410D07">
      <w:pPr>
        <w:ind w:left="660"/>
        <w:rPr>
          <w:sz w:val="20"/>
          <w:szCs w:val="20"/>
        </w:rPr>
      </w:pPr>
      <w:r>
        <w:rPr>
          <w:rFonts w:ascii="Arial" w:eastAsia="Arial" w:hAnsi="Arial" w:cs="Arial"/>
        </w:rPr>
        <w:t>“</w:t>
      </w:r>
      <w:r>
        <w:rPr>
          <w:rFonts w:ascii="Arial" w:eastAsia="Arial" w:hAnsi="Arial" w:cs="Arial"/>
          <w:b/>
          <w:bCs/>
        </w:rPr>
        <w:t>Arbitration Association</w:t>
      </w:r>
      <w:r>
        <w:rPr>
          <w:rFonts w:ascii="Arial" w:eastAsia="Arial" w:hAnsi="Arial" w:cs="Arial"/>
        </w:rPr>
        <w:t xml:space="preserve">” has the meaning set forth in </w:t>
      </w:r>
      <w:r>
        <w:rPr>
          <w:rFonts w:ascii="Arial" w:eastAsia="Arial" w:hAnsi="Arial" w:cs="Arial"/>
          <w:u w:val="single"/>
        </w:rPr>
        <w:t>Section 10.07(c)</w:t>
      </w:r>
      <w:r>
        <w:rPr>
          <w:rFonts w:ascii="Arial" w:eastAsia="Arial" w:hAnsi="Arial" w:cs="Arial"/>
        </w:rPr>
        <w:t>.</w:t>
      </w:r>
    </w:p>
    <w:p w14:paraId="0DD16EAC" w14:textId="77777777" w:rsidR="00D1587D" w:rsidRDefault="00D1587D">
      <w:pPr>
        <w:spacing w:line="233" w:lineRule="exact"/>
        <w:rPr>
          <w:sz w:val="20"/>
          <w:szCs w:val="20"/>
        </w:rPr>
      </w:pPr>
    </w:p>
    <w:p w14:paraId="368F6399" w14:textId="77777777" w:rsidR="00D1587D" w:rsidRDefault="00410D07">
      <w:pPr>
        <w:ind w:left="660"/>
        <w:rPr>
          <w:sz w:val="20"/>
          <w:szCs w:val="20"/>
        </w:rPr>
      </w:pPr>
      <w:r>
        <w:rPr>
          <w:rFonts w:ascii="Arial" w:eastAsia="Arial" w:hAnsi="Arial" w:cs="Arial"/>
        </w:rPr>
        <w:t>“</w:t>
      </w:r>
      <w:r>
        <w:rPr>
          <w:rFonts w:ascii="Arial" w:eastAsia="Arial" w:hAnsi="Arial" w:cs="Arial"/>
          <w:b/>
          <w:bCs/>
        </w:rPr>
        <w:t>Canada</w:t>
      </w:r>
      <w:r>
        <w:rPr>
          <w:rFonts w:ascii="Arial" w:eastAsia="Arial" w:hAnsi="Arial" w:cs="Arial"/>
        </w:rPr>
        <w:t>” means Canada and its territories and possessions.</w:t>
      </w:r>
    </w:p>
    <w:p w14:paraId="35ECB761" w14:textId="77777777" w:rsidR="00D1587D" w:rsidRDefault="00D1587D">
      <w:pPr>
        <w:spacing w:line="233" w:lineRule="exact"/>
        <w:rPr>
          <w:sz w:val="20"/>
          <w:szCs w:val="20"/>
        </w:rPr>
      </w:pPr>
    </w:p>
    <w:p w14:paraId="5543D310" w14:textId="77777777" w:rsidR="00D1587D" w:rsidRDefault="00410D07">
      <w:pPr>
        <w:spacing w:line="272" w:lineRule="auto"/>
        <w:ind w:firstLine="648"/>
        <w:jc w:val="both"/>
        <w:rPr>
          <w:sz w:val="20"/>
          <w:szCs w:val="20"/>
        </w:rPr>
      </w:pPr>
      <w:r>
        <w:rPr>
          <w:rFonts w:ascii="Arial" w:eastAsia="Arial" w:hAnsi="Arial" w:cs="Arial"/>
          <w:sz w:val="19"/>
          <w:szCs w:val="19"/>
        </w:rPr>
        <w:t>“</w:t>
      </w:r>
      <w:r>
        <w:rPr>
          <w:rFonts w:ascii="Arial" w:eastAsia="Arial" w:hAnsi="Arial" w:cs="Arial"/>
          <w:b/>
          <w:bCs/>
          <w:sz w:val="19"/>
          <w:szCs w:val="19"/>
        </w:rPr>
        <w:t>Confidential Information</w:t>
      </w:r>
      <w:r>
        <w:rPr>
          <w:rFonts w:ascii="Arial" w:eastAsia="Arial" w:hAnsi="Arial" w:cs="Arial"/>
          <w:sz w:val="19"/>
          <w:szCs w:val="19"/>
        </w:rPr>
        <w:t xml:space="preserve">” means, with respect to a Party, all technical and </w:t>
      </w:r>
      <w:r>
        <w:rPr>
          <w:rFonts w:ascii="Arial" w:eastAsia="Arial" w:hAnsi="Arial" w:cs="Arial"/>
          <w:sz w:val="19"/>
          <w:szCs w:val="19"/>
        </w:rPr>
        <w:t>business information of such Party or any of its Affiliates that is disclosed to the other Party and (a) marked as “proprietary,” “confidential” or other substantially similar language or (b) the other Party should otherwise reasonably be expected to under</w:t>
      </w:r>
      <w:r>
        <w:rPr>
          <w:rFonts w:ascii="Arial" w:eastAsia="Arial" w:hAnsi="Arial" w:cs="Arial"/>
          <w:sz w:val="19"/>
          <w:szCs w:val="19"/>
        </w:rPr>
        <w:t>stand is confidential based on the content of the information and the context of the disclosure. “Confidential Information” does not include information that (i) is or becomes generally available to the public (other than as a result of a breach of this Ag</w:t>
      </w:r>
      <w:r>
        <w:rPr>
          <w:rFonts w:ascii="Arial" w:eastAsia="Arial" w:hAnsi="Arial" w:cs="Arial"/>
          <w:sz w:val="19"/>
          <w:szCs w:val="19"/>
        </w:rPr>
        <w:t>reement), (ii) was available to the receiving Party or any of its Affiliates on a non-confidential basis prior to its disclosure to such receiving Party or its Affiliates pursuant to this Agreement (except that this clause (ii) shall not apply to informati</w:t>
      </w:r>
      <w:r>
        <w:rPr>
          <w:rFonts w:ascii="Arial" w:eastAsia="Arial" w:hAnsi="Arial" w:cs="Arial"/>
          <w:sz w:val="19"/>
          <w:szCs w:val="19"/>
        </w:rPr>
        <w:t>on of either Party in the possession of the other Party prior to the Effective Date by virtue of their previous Affiliate relationship), (iii) is or becomes available to the receiving Party or any of its Affiliates from a third party not known by the recei</w:t>
      </w:r>
      <w:r>
        <w:rPr>
          <w:rFonts w:ascii="Arial" w:eastAsia="Arial" w:hAnsi="Arial" w:cs="Arial"/>
          <w:sz w:val="19"/>
          <w:szCs w:val="19"/>
        </w:rPr>
        <w:t>ving Party or its Affiliates to be bound by a confidentiality agreement or any legal, fiduciary or other obligation restricting disclosure of such information, (iv) is or was independently developed by the receiving Party or any of its Affiliates without v</w:t>
      </w:r>
      <w:r>
        <w:rPr>
          <w:rFonts w:ascii="Arial" w:eastAsia="Arial" w:hAnsi="Arial" w:cs="Arial"/>
          <w:sz w:val="19"/>
          <w:szCs w:val="19"/>
        </w:rPr>
        <w:t>iolating this Agreement or any other agreement between or among the Parties or any of their respective Affiliates, or (v) solely with respect to Service Provider, is known or used in the L Brands Business more broadly than in the VS Business. The terms and</w:t>
      </w:r>
      <w:r>
        <w:rPr>
          <w:rFonts w:ascii="Arial" w:eastAsia="Arial" w:hAnsi="Arial" w:cs="Arial"/>
          <w:sz w:val="19"/>
          <w:szCs w:val="19"/>
        </w:rPr>
        <w:t xml:space="preserve"> conditions of this Agreement shall be the Confidential Information of both Parties and the confidential information of any Service Provider Party shall be the Confidential Information of Service Provider.</w:t>
      </w:r>
    </w:p>
    <w:p w14:paraId="2604E9F3" w14:textId="77777777" w:rsidR="00D1587D" w:rsidRDefault="00D1587D">
      <w:pPr>
        <w:spacing w:line="178" w:lineRule="exact"/>
        <w:rPr>
          <w:sz w:val="20"/>
          <w:szCs w:val="20"/>
        </w:rPr>
      </w:pPr>
    </w:p>
    <w:p w14:paraId="258FE0A7" w14:textId="77777777" w:rsidR="00D1587D" w:rsidRDefault="00410D07">
      <w:pPr>
        <w:ind w:left="660"/>
        <w:rPr>
          <w:sz w:val="20"/>
          <w:szCs w:val="20"/>
        </w:rPr>
      </w:pPr>
      <w:r>
        <w:rPr>
          <w:rFonts w:ascii="Arial" w:eastAsia="Arial" w:hAnsi="Arial" w:cs="Arial"/>
        </w:rPr>
        <w:t>“</w:t>
      </w:r>
      <w:r>
        <w:rPr>
          <w:rFonts w:ascii="Arial" w:eastAsia="Arial" w:hAnsi="Arial" w:cs="Arial"/>
          <w:b/>
          <w:bCs/>
        </w:rPr>
        <w:t>Damages</w:t>
      </w:r>
      <w:r>
        <w:rPr>
          <w:rFonts w:ascii="Arial" w:eastAsia="Arial" w:hAnsi="Arial" w:cs="Arial"/>
        </w:rPr>
        <w:t xml:space="preserve">” has the meaning set forth in </w:t>
      </w:r>
      <w:r>
        <w:rPr>
          <w:rFonts w:ascii="Arial" w:eastAsia="Arial" w:hAnsi="Arial" w:cs="Arial"/>
          <w:u w:val="single"/>
        </w:rPr>
        <w:t>Section 7.</w:t>
      </w:r>
      <w:r>
        <w:rPr>
          <w:rFonts w:ascii="Arial" w:eastAsia="Arial" w:hAnsi="Arial" w:cs="Arial"/>
          <w:u w:val="single"/>
        </w:rPr>
        <w:t>01</w:t>
      </w:r>
      <w:r>
        <w:rPr>
          <w:rFonts w:ascii="Arial" w:eastAsia="Arial" w:hAnsi="Arial" w:cs="Arial"/>
        </w:rPr>
        <w:t>.</w:t>
      </w:r>
    </w:p>
    <w:p w14:paraId="1BAA2430" w14:textId="77777777" w:rsidR="00D1587D" w:rsidRDefault="00D1587D">
      <w:pPr>
        <w:spacing w:line="233" w:lineRule="exact"/>
        <w:rPr>
          <w:sz w:val="20"/>
          <w:szCs w:val="20"/>
        </w:rPr>
      </w:pPr>
    </w:p>
    <w:p w14:paraId="693AFDC8" w14:textId="77777777" w:rsidR="00D1587D" w:rsidRDefault="00410D07">
      <w:pPr>
        <w:ind w:left="660"/>
        <w:rPr>
          <w:sz w:val="20"/>
          <w:szCs w:val="20"/>
        </w:rPr>
      </w:pPr>
      <w:r>
        <w:rPr>
          <w:rFonts w:ascii="Arial" w:eastAsia="Arial" w:hAnsi="Arial" w:cs="Arial"/>
        </w:rPr>
        <w:t>“</w:t>
      </w:r>
      <w:r>
        <w:rPr>
          <w:rFonts w:ascii="Arial" w:eastAsia="Arial" w:hAnsi="Arial" w:cs="Arial"/>
          <w:b/>
          <w:bCs/>
        </w:rPr>
        <w:t>Disclosing Party</w:t>
      </w:r>
      <w:r>
        <w:rPr>
          <w:rFonts w:ascii="Arial" w:eastAsia="Arial" w:hAnsi="Arial" w:cs="Arial"/>
        </w:rPr>
        <w:t xml:space="preserve">” has the meaning set forth in </w:t>
      </w:r>
      <w:r>
        <w:rPr>
          <w:rFonts w:ascii="Arial" w:eastAsia="Arial" w:hAnsi="Arial" w:cs="Arial"/>
          <w:u w:val="single"/>
        </w:rPr>
        <w:t>Section 8.01</w:t>
      </w:r>
      <w:r>
        <w:rPr>
          <w:rFonts w:ascii="Arial" w:eastAsia="Arial" w:hAnsi="Arial" w:cs="Arial"/>
        </w:rPr>
        <w:t>.</w:t>
      </w:r>
    </w:p>
    <w:p w14:paraId="1726D247" w14:textId="77777777" w:rsidR="00D1587D" w:rsidRDefault="00D1587D">
      <w:pPr>
        <w:spacing w:line="233" w:lineRule="exact"/>
        <w:rPr>
          <w:sz w:val="20"/>
          <w:szCs w:val="20"/>
        </w:rPr>
      </w:pPr>
    </w:p>
    <w:p w14:paraId="475DA17E" w14:textId="77777777" w:rsidR="00D1587D" w:rsidRDefault="00410D07">
      <w:pPr>
        <w:ind w:left="660"/>
        <w:rPr>
          <w:sz w:val="20"/>
          <w:szCs w:val="20"/>
        </w:rPr>
      </w:pPr>
      <w:r>
        <w:rPr>
          <w:rFonts w:ascii="Arial" w:eastAsia="Arial" w:hAnsi="Arial" w:cs="Arial"/>
        </w:rPr>
        <w:t>“</w:t>
      </w:r>
      <w:r>
        <w:rPr>
          <w:rFonts w:ascii="Arial" w:eastAsia="Arial" w:hAnsi="Arial" w:cs="Arial"/>
          <w:b/>
          <w:bCs/>
        </w:rPr>
        <w:t>Dispute</w:t>
      </w:r>
      <w:r>
        <w:rPr>
          <w:rFonts w:ascii="Arial" w:eastAsia="Arial" w:hAnsi="Arial" w:cs="Arial"/>
        </w:rPr>
        <w:t xml:space="preserve">” has the meaning set forth in </w:t>
      </w:r>
      <w:r>
        <w:rPr>
          <w:rFonts w:ascii="Arial" w:eastAsia="Arial" w:hAnsi="Arial" w:cs="Arial"/>
          <w:u w:val="single"/>
        </w:rPr>
        <w:t>Section 10.07(a)</w:t>
      </w:r>
      <w:r>
        <w:rPr>
          <w:rFonts w:ascii="Arial" w:eastAsia="Arial" w:hAnsi="Arial" w:cs="Arial"/>
        </w:rPr>
        <w:t>.</w:t>
      </w:r>
    </w:p>
    <w:p w14:paraId="6E094559" w14:textId="77777777" w:rsidR="00D1587D" w:rsidRDefault="00D1587D">
      <w:pPr>
        <w:spacing w:line="233" w:lineRule="exact"/>
        <w:rPr>
          <w:sz w:val="20"/>
          <w:szCs w:val="20"/>
        </w:rPr>
      </w:pPr>
    </w:p>
    <w:p w14:paraId="74B65AB8" w14:textId="77777777" w:rsidR="00D1587D" w:rsidRDefault="00410D07">
      <w:pPr>
        <w:ind w:left="660"/>
        <w:rPr>
          <w:sz w:val="20"/>
          <w:szCs w:val="20"/>
        </w:rPr>
      </w:pPr>
      <w:r>
        <w:rPr>
          <w:rFonts w:ascii="Arial" w:eastAsia="Arial" w:hAnsi="Arial" w:cs="Arial"/>
        </w:rPr>
        <w:t>“</w:t>
      </w:r>
      <w:r>
        <w:rPr>
          <w:rFonts w:ascii="Arial" w:eastAsia="Arial" w:hAnsi="Arial" w:cs="Arial"/>
          <w:b/>
          <w:bCs/>
        </w:rPr>
        <w:t>Disputed Amount</w:t>
      </w:r>
      <w:r>
        <w:rPr>
          <w:rFonts w:ascii="Arial" w:eastAsia="Arial" w:hAnsi="Arial" w:cs="Arial"/>
        </w:rPr>
        <w:t xml:space="preserve">” has the meaning set forth in </w:t>
      </w:r>
      <w:r>
        <w:rPr>
          <w:rFonts w:ascii="Arial" w:eastAsia="Arial" w:hAnsi="Arial" w:cs="Arial"/>
          <w:u w:val="single"/>
        </w:rPr>
        <w:t>Section 3.02(b)</w:t>
      </w:r>
      <w:r>
        <w:rPr>
          <w:rFonts w:ascii="Arial" w:eastAsia="Arial" w:hAnsi="Arial" w:cs="Arial"/>
        </w:rPr>
        <w:t>.</w:t>
      </w:r>
    </w:p>
    <w:p w14:paraId="12C33A8F" w14:textId="77777777" w:rsidR="00D1587D" w:rsidRDefault="00D1587D">
      <w:pPr>
        <w:spacing w:line="233" w:lineRule="exact"/>
        <w:rPr>
          <w:sz w:val="20"/>
          <w:szCs w:val="20"/>
        </w:rPr>
      </w:pPr>
    </w:p>
    <w:p w14:paraId="66AA4136" w14:textId="77777777" w:rsidR="00D1587D" w:rsidRDefault="00410D07">
      <w:pPr>
        <w:ind w:left="660"/>
        <w:rPr>
          <w:sz w:val="20"/>
          <w:szCs w:val="20"/>
        </w:rPr>
      </w:pPr>
      <w:r>
        <w:rPr>
          <w:rFonts w:ascii="Arial" w:eastAsia="Arial" w:hAnsi="Arial" w:cs="Arial"/>
        </w:rPr>
        <w:t>“</w:t>
      </w:r>
      <w:r>
        <w:rPr>
          <w:rFonts w:ascii="Arial" w:eastAsia="Arial" w:hAnsi="Arial" w:cs="Arial"/>
          <w:b/>
          <w:bCs/>
        </w:rPr>
        <w:t>Effective Date</w:t>
      </w:r>
      <w:r>
        <w:rPr>
          <w:rFonts w:ascii="Arial" w:eastAsia="Arial" w:hAnsi="Arial" w:cs="Arial"/>
        </w:rPr>
        <w:t xml:space="preserve">” has the meaning set forth in the </w:t>
      </w:r>
      <w:r>
        <w:rPr>
          <w:rFonts w:ascii="Arial" w:eastAsia="Arial" w:hAnsi="Arial" w:cs="Arial"/>
          <w:u w:val="single"/>
        </w:rPr>
        <w:t>Preamble</w:t>
      </w:r>
      <w:r>
        <w:rPr>
          <w:rFonts w:ascii="Arial" w:eastAsia="Arial" w:hAnsi="Arial" w:cs="Arial"/>
        </w:rPr>
        <w:t>.</w:t>
      </w:r>
    </w:p>
    <w:p w14:paraId="2C94967A" w14:textId="77777777" w:rsidR="00D1587D" w:rsidRDefault="00D1587D">
      <w:pPr>
        <w:spacing w:line="233" w:lineRule="exact"/>
        <w:rPr>
          <w:sz w:val="20"/>
          <w:szCs w:val="20"/>
        </w:rPr>
      </w:pPr>
    </w:p>
    <w:p w14:paraId="5B5D8256" w14:textId="77777777" w:rsidR="00D1587D" w:rsidRDefault="00410D07">
      <w:pPr>
        <w:ind w:left="660"/>
        <w:rPr>
          <w:sz w:val="20"/>
          <w:szCs w:val="20"/>
        </w:rPr>
      </w:pPr>
      <w:r>
        <w:rPr>
          <w:rFonts w:ascii="Arial" w:eastAsia="Arial" w:hAnsi="Arial" w:cs="Arial"/>
        </w:rPr>
        <w:t>“</w:t>
      </w:r>
      <w:r>
        <w:rPr>
          <w:rFonts w:ascii="Arial" w:eastAsia="Arial" w:hAnsi="Arial" w:cs="Arial"/>
          <w:b/>
          <w:bCs/>
        </w:rPr>
        <w:t>e-m</w:t>
      </w:r>
      <w:r>
        <w:rPr>
          <w:rFonts w:ascii="Arial" w:eastAsia="Arial" w:hAnsi="Arial" w:cs="Arial"/>
          <w:b/>
          <w:bCs/>
        </w:rPr>
        <w:t>ail</w:t>
      </w:r>
      <w:r>
        <w:rPr>
          <w:rFonts w:ascii="Arial" w:eastAsia="Arial" w:hAnsi="Arial" w:cs="Arial"/>
        </w:rPr>
        <w:t xml:space="preserve">” has the meaning set forth in </w:t>
      </w:r>
      <w:r>
        <w:rPr>
          <w:rFonts w:ascii="Arial" w:eastAsia="Arial" w:hAnsi="Arial" w:cs="Arial"/>
          <w:u w:val="single"/>
        </w:rPr>
        <w:t>Section 10.05</w:t>
      </w:r>
      <w:r>
        <w:rPr>
          <w:rFonts w:ascii="Arial" w:eastAsia="Arial" w:hAnsi="Arial" w:cs="Arial"/>
        </w:rPr>
        <w:t>.</w:t>
      </w:r>
    </w:p>
    <w:p w14:paraId="2D5E0A0A" w14:textId="77777777" w:rsidR="00D1587D" w:rsidRDefault="00D1587D">
      <w:pPr>
        <w:spacing w:line="233" w:lineRule="exact"/>
        <w:rPr>
          <w:sz w:val="20"/>
          <w:szCs w:val="20"/>
        </w:rPr>
      </w:pPr>
    </w:p>
    <w:p w14:paraId="0BB3F196" w14:textId="77777777" w:rsidR="00D1587D" w:rsidRDefault="00410D07">
      <w:pPr>
        <w:ind w:left="660"/>
        <w:rPr>
          <w:sz w:val="20"/>
          <w:szCs w:val="20"/>
        </w:rPr>
      </w:pPr>
      <w:r>
        <w:rPr>
          <w:rFonts w:ascii="Arial" w:eastAsia="Arial" w:hAnsi="Arial" w:cs="Arial"/>
        </w:rPr>
        <w:t>“</w:t>
      </w:r>
      <w:r>
        <w:rPr>
          <w:rFonts w:ascii="Arial" w:eastAsia="Arial" w:hAnsi="Arial" w:cs="Arial"/>
          <w:b/>
          <w:bCs/>
        </w:rPr>
        <w:t>Fees</w:t>
      </w:r>
      <w:r>
        <w:rPr>
          <w:rFonts w:ascii="Arial" w:eastAsia="Arial" w:hAnsi="Arial" w:cs="Arial"/>
        </w:rPr>
        <w:t xml:space="preserve">” has the meaning set forth in </w:t>
      </w:r>
      <w:r>
        <w:rPr>
          <w:rFonts w:ascii="Arial" w:eastAsia="Arial" w:hAnsi="Arial" w:cs="Arial"/>
          <w:u w:val="single"/>
        </w:rPr>
        <w:t>Section 3.01</w:t>
      </w:r>
      <w:r>
        <w:rPr>
          <w:rFonts w:ascii="Arial" w:eastAsia="Arial" w:hAnsi="Arial" w:cs="Arial"/>
        </w:rPr>
        <w:t>.</w:t>
      </w:r>
    </w:p>
    <w:p w14:paraId="1147B3B4" w14:textId="77777777" w:rsidR="00D1587D" w:rsidRDefault="00D1587D">
      <w:pPr>
        <w:spacing w:line="200" w:lineRule="exact"/>
        <w:rPr>
          <w:sz w:val="20"/>
          <w:szCs w:val="20"/>
        </w:rPr>
      </w:pPr>
    </w:p>
    <w:p w14:paraId="06C5BA50" w14:textId="77777777" w:rsidR="00D1587D" w:rsidRDefault="00D1587D">
      <w:pPr>
        <w:spacing w:line="215" w:lineRule="exact"/>
        <w:rPr>
          <w:sz w:val="20"/>
          <w:szCs w:val="20"/>
        </w:rPr>
      </w:pPr>
    </w:p>
    <w:p w14:paraId="6A895232" w14:textId="77777777" w:rsidR="00D1587D" w:rsidRDefault="00410D07">
      <w:pPr>
        <w:jc w:val="center"/>
        <w:rPr>
          <w:sz w:val="20"/>
          <w:szCs w:val="20"/>
        </w:rPr>
      </w:pPr>
      <w:r>
        <w:rPr>
          <w:rFonts w:ascii="Arial" w:eastAsia="Arial" w:hAnsi="Arial" w:cs="Arial"/>
        </w:rPr>
        <w:t>2</w:t>
      </w:r>
    </w:p>
    <w:p w14:paraId="31233EC7" w14:textId="77777777" w:rsidR="00D1587D" w:rsidRDefault="00410D07">
      <w:pPr>
        <w:spacing w:line="20" w:lineRule="exact"/>
        <w:rPr>
          <w:sz w:val="20"/>
          <w:szCs w:val="20"/>
        </w:rPr>
      </w:pPr>
      <w:r>
        <w:rPr>
          <w:noProof/>
          <w:sz w:val="20"/>
          <w:szCs w:val="20"/>
        </w:rPr>
        <w:drawing>
          <wp:anchor distT="0" distB="0" distL="114300" distR="114300" simplePos="0" relativeHeight="251380736" behindDoc="1" locked="0" layoutInCell="0" allowOverlap="1" wp14:anchorId="48772106" wp14:editId="1D3ACC9B">
            <wp:simplePos x="0" y="0"/>
            <wp:positionH relativeFrom="column">
              <wp:posOffset>5080</wp:posOffset>
            </wp:positionH>
            <wp:positionV relativeFrom="paragraph">
              <wp:posOffset>41275</wp:posOffset>
            </wp:positionV>
            <wp:extent cx="7132320" cy="1714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02C2060" w14:textId="77777777" w:rsidR="00D1587D" w:rsidRDefault="00D1587D">
      <w:pPr>
        <w:sectPr w:rsidR="00D1587D">
          <w:pgSz w:w="11900" w:h="16838"/>
          <w:pgMar w:top="355" w:right="339" w:bottom="1440" w:left="320" w:header="0" w:footer="0" w:gutter="0"/>
          <w:cols w:space="720" w:equalWidth="0">
            <w:col w:w="11240"/>
          </w:cols>
        </w:sectPr>
      </w:pPr>
    </w:p>
    <w:p w14:paraId="27E2D2AD" w14:textId="77777777" w:rsidR="00D1587D" w:rsidRDefault="00410D07">
      <w:pPr>
        <w:ind w:left="660"/>
        <w:rPr>
          <w:sz w:val="20"/>
          <w:szCs w:val="20"/>
        </w:rPr>
      </w:pPr>
      <w:bookmarkStart w:id="219" w:name="page220"/>
      <w:bookmarkEnd w:id="219"/>
      <w:r>
        <w:rPr>
          <w:rFonts w:ascii="Arial" w:eastAsia="Arial" w:hAnsi="Arial" w:cs="Arial"/>
        </w:rPr>
        <w:t>“</w:t>
      </w:r>
      <w:r>
        <w:rPr>
          <w:rFonts w:ascii="Arial" w:eastAsia="Arial" w:hAnsi="Arial" w:cs="Arial"/>
          <w:b/>
          <w:bCs/>
        </w:rPr>
        <w:t>Force Majeure</w:t>
      </w:r>
      <w:r>
        <w:rPr>
          <w:rFonts w:ascii="Arial" w:eastAsia="Arial" w:hAnsi="Arial" w:cs="Arial"/>
        </w:rPr>
        <w:t xml:space="preserve">” has the meaning set forth in </w:t>
      </w:r>
      <w:r>
        <w:rPr>
          <w:rFonts w:ascii="Arial" w:eastAsia="Arial" w:hAnsi="Arial" w:cs="Arial"/>
          <w:u w:val="single"/>
        </w:rPr>
        <w:t>Section 10.06</w:t>
      </w:r>
      <w:r>
        <w:rPr>
          <w:rFonts w:ascii="Arial" w:eastAsia="Arial" w:hAnsi="Arial" w:cs="Arial"/>
        </w:rPr>
        <w:t>.</w:t>
      </w:r>
    </w:p>
    <w:p w14:paraId="43B8FB7B" w14:textId="77777777" w:rsidR="00D1587D" w:rsidRDefault="00D1587D">
      <w:pPr>
        <w:spacing w:line="233" w:lineRule="exact"/>
        <w:rPr>
          <w:sz w:val="20"/>
          <w:szCs w:val="20"/>
        </w:rPr>
      </w:pPr>
    </w:p>
    <w:p w14:paraId="2A948636" w14:textId="77777777" w:rsidR="00D1587D" w:rsidRDefault="00410D07">
      <w:pPr>
        <w:spacing w:line="243" w:lineRule="auto"/>
        <w:ind w:firstLine="648"/>
        <w:jc w:val="both"/>
        <w:rPr>
          <w:sz w:val="20"/>
          <w:szCs w:val="20"/>
        </w:rPr>
      </w:pPr>
      <w:r>
        <w:rPr>
          <w:rFonts w:ascii="Arial" w:eastAsia="Arial" w:hAnsi="Arial" w:cs="Arial"/>
        </w:rPr>
        <w:t>“</w:t>
      </w:r>
      <w:r>
        <w:rPr>
          <w:rFonts w:ascii="Arial" w:eastAsia="Arial" w:hAnsi="Arial" w:cs="Arial"/>
          <w:b/>
          <w:bCs/>
        </w:rPr>
        <w:t>Governmental Authority</w:t>
      </w:r>
      <w:r>
        <w:rPr>
          <w:rFonts w:ascii="Arial" w:eastAsia="Arial" w:hAnsi="Arial" w:cs="Arial"/>
        </w:rPr>
        <w:t xml:space="preserve">” means any multinational, foreign, </w:t>
      </w:r>
      <w:r>
        <w:rPr>
          <w:rFonts w:ascii="Arial" w:eastAsia="Arial" w:hAnsi="Arial" w:cs="Arial"/>
        </w:rPr>
        <w:t>federal, state, local or other governmental, statutory or administrative authority, regulatory body or commission or any court, tribunal or judicial or arbitral authority which has any jurisdiction or control over either Party (or any of their Affiliates).</w:t>
      </w:r>
    </w:p>
    <w:p w14:paraId="1EED8802" w14:textId="77777777" w:rsidR="00D1587D" w:rsidRDefault="00D1587D">
      <w:pPr>
        <w:spacing w:line="204" w:lineRule="exact"/>
        <w:rPr>
          <w:sz w:val="20"/>
          <w:szCs w:val="20"/>
        </w:rPr>
      </w:pPr>
    </w:p>
    <w:p w14:paraId="198765A8" w14:textId="77777777" w:rsidR="00D1587D" w:rsidRDefault="00410D07">
      <w:pPr>
        <w:ind w:left="720"/>
        <w:rPr>
          <w:sz w:val="20"/>
          <w:szCs w:val="20"/>
        </w:rPr>
      </w:pPr>
      <w:r>
        <w:rPr>
          <w:rFonts w:ascii="Arial" w:eastAsia="Arial" w:hAnsi="Arial" w:cs="Arial"/>
        </w:rPr>
        <w:t>“</w:t>
      </w:r>
      <w:r>
        <w:rPr>
          <w:rFonts w:ascii="Arial" w:eastAsia="Arial" w:hAnsi="Arial" w:cs="Arial"/>
          <w:b/>
          <w:bCs/>
        </w:rPr>
        <w:t>Indemnified Party</w:t>
      </w:r>
      <w:r>
        <w:rPr>
          <w:rFonts w:ascii="Arial" w:eastAsia="Arial" w:hAnsi="Arial" w:cs="Arial"/>
        </w:rPr>
        <w:t xml:space="preserve">” has the meaning set forth in </w:t>
      </w:r>
      <w:r>
        <w:rPr>
          <w:rFonts w:ascii="Arial" w:eastAsia="Arial" w:hAnsi="Arial" w:cs="Arial"/>
          <w:u w:val="single"/>
        </w:rPr>
        <w:t>Section 7.03(a)</w:t>
      </w:r>
      <w:r>
        <w:rPr>
          <w:rFonts w:ascii="Arial" w:eastAsia="Arial" w:hAnsi="Arial" w:cs="Arial"/>
        </w:rPr>
        <w:t>.</w:t>
      </w:r>
    </w:p>
    <w:p w14:paraId="7A53A8F5" w14:textId="77777777" w:rsidR="00D1587D" w:rsidRDefault="00D1587D">
      <w:pPr>
        <w:spacing w:line="233" w:lineRule="exact"/>
        <w:rPr>
          <w:sz w:val="20"/>
          <w:szCs w:val="20"/>
        </w:rPr>
      </w:pPr>
    </w:p>
    <w:p w14:paraId="7685B16B" w14:textId="77777777" w:rsidR="00D1587D" w:rsidRDefault="00410D07">
      <w:pPr>
        <w:ind w:left="660"/>
        <w:rPr>
          <w:sz w:val="20"/>
          <w:szCs w:val="20"/>
        </w:rPr>
      </w:pPr>
      <w:r>
        <w:rPr>
          <w:rFonts w:ascii="Arial" w:eastAsia="Arial" w:hAnsi="Arial" w:cs="Arial"/>
        </w:rPr>
        <w:t>“</w:t>
      </w:r>
      <w:r>
        <w:rPr>
          <w:rFonts w:ascii="Arial" w:eastAsia="Arial" w:hAnsi="Arial" w:cs="Arial"/>
          <w:b/>
          <w:bCs/>
        </w:rPr>
        <w:t>Indemnifying Party</w:t>
      </w:r>
      <w:r>
        <w:rPr>
          <w:rFonts w:ascii="Arial" w:eastAsia="Arial" w:hAnsi="Arial" w:cs="Arial"/>
        </w:rPr>
        <w:t xml:space="preserve">” has the meaning set forth in </w:t>
      </w:r>
      <w:r>
        <w:rPr>
          <w:rFonts w:ascii="Arial" w:eastAsia="Arial" w:hAnsi="Arial" w:cs="Arial"/>
          <w:u w:val="single"/>
        </w:rPr>
        <w:t>Section 7.03(a)</w:t>
      </w:r>
      <w:r>
        <w:rPr>
          <w:rFonts w:ascii="Arial" w:eastAsia="Arial" w:hAnsi="Arial" w:cs="Arial"/>
        </w:rPr>
        <w:t>.</w:t>
      </w:r>
    </w:p>
    <w:p w14:paraId="01F43DCD" w14:textId="77777777" w:rsidR="00D1587D" w:rsidRDefault="00D1587D">
      <w:pPr>
        <w:spacing w:line="233" w:lineRule="exact"/>
        <w:rPr>
          <w:sz w:val="20"/>
          <w:szCs w:val="20"/>
        </w:rPr>
      </w:pPr>
    </w:p>
    <w:p w14:paraId="11F3928E" w14:textId="77777777" w:rsidR="00D1587D" w:rsidRDefault="00410D07">
      <w:pPr>
        <w:ind w:left="660"/>
        <w:rPr>
          <w:sz w:val="20"/>
          <w:szCs w:val="20"/>
        </w:rPr>
      </w:pPr>
      <w:r>
        <w:rPr>
          <w:rFonts w:ascii="Arial" w:eastAsia="Arial" w:hAnsi="Arial" w:cs="Arial"/>
        </w:rPr>
        <w:t>“</w:t>
      </w:r>
      <w:r>
        <w:rPr>
          <w:rFonts w:ascii="Arial" w:eastAsia="Arial" w:hAnsi="Arial" w:cs="Arial"/>
          <w:b/>
          <w:bCs/>
        </w:rPr>
        <w:t>IT Breach</w:t>
      </w:r>
      <w:r>
        <w:rPr>
          <w:rFonts w:ascii="Arial" w:eastAsia="Arial" w:hAnsi="Arial" w:cs="Arial"/>
        </w:rPr>
        <w:t xml:space="preserve">” has the meaning set forth in </w:t>
      </w:r>
      <w:r>
        <w:rPr>
          <w:rFonts w:ascii="Arial" w:eastAsia="Arial" w:hAnsi="Arial" w:cs="Arial"/>
          <w:u w:val="single"/>
        </w:rPr>
        <w:t>Section 2.05</w:t>
      </w:r>
      <w:r>
        <w:rPr>
          <w:rFonts w:ascii="Arial" w:eastAsia="Arial" w:hAnsi="Arial" w:cs="Arial"/>
        </w:rPr>
        <w:t>.</w:t>
      </w:r>
    </w:p>
    <w:p w14:paraId="484A0417" w14:textId="77777777" w:rsidR="00D1587D" w:rsidRDefault="00D1587D">
      <w:pPr>
        <w:spacing w:line="233" w:lineRule="exact"/>
        <w:rPr>
          <w:sz w:val="20"/>
          <w:szCs w:val="20"/>
        </w:rPr>
      </w:pPr>
    </w:p>
    <w:p w14:paraId="5A8BC12B" w14:textId="77777777" w:rsidR="00D1587D" w:rsidRDefault="00410D07">
      <w:pPr>
        <w:ind w:left="660"/>
        <w:rPr>
          <w:sz w:val="20"/>
          <w:szCs w:val="20"/>
        </w:rPr>
      </w:pPr>
      <w:r>
        <w:rPr>
          <w:rFonts w:ascii="Arial" w:eastAsia="Arial" w:hAnsi="Arial" w:cs="Arial"/>
        </w:rPr>
        <w:t>“</w:t>
      </w:r>
      <w:r>
        <w:rPr>
          <w:rFonts w:ascii="Arial" w:eastAsia="Arial" w:hAnsi="Arial" w:cs="Arial"/>
          <w:b/>
          <w:bCs/>
        </w:rPr>
        <w:t>L Brands</w:t>
      </w:r>
      <w:r>
        <w:rPr>
          <w:rFonts w:ascii="Arial" w:eastAsia="Arial" w:hAnsi="Arial" w:cs="Arial"/>
        </w:rPr>
        <w:t xml:space="preserve">” has the meaning set forth in the </w:t>
      </w:r>
      <w:r>
        <w:rPr>
          <w:rFonts w:ascii="Arial" w:eastAsia="Arial" w:hAnsi="Arial" w:cs="Arial"/>
          <w:u w:val="single"/>
        </w:rPr>
        <w:t>Recitals</w:t>
      </w:r>
      <w:r>
        <w:rPr>
          <w:rFonts w:ascii="Arial" w:eastAsia="Arial" w:hAnsi="Arial" w:cs="Arial"/>
        </w:rPr>
        <w:t>.</w:t>
      </w:r>
    </w:p>
    <w:p w14:paraId="3E7E6E28" w14:textId="77777777" w:rsidR="00D1587D" w:rsidRDefault="00D1587D">
      <w:pPr>
        <w:spacing w:line="233" w:lineRule="exact"/>
        <w:rPr>
          <w:sz w:val="20"/>
          <w:szCs w:val="20"/>
        </w:rPr>
      </w:pPr>
    </w:p>
    <w:p w14:paraId="1354BEB7" w14:textId="77777777" w:rsidR="00D1587D" w:rsidRDefault="00410D07">
      <w:pPr>
        <w:spacing w:line="256" w:lineRule="auto"/>
        <w:ind w:firstLine="648"/>
        <w:jc w:val="both"/>
        <w:rPr>
          <w:sz w:val="20"/>
          <w:szCs w:val="20"/>
        </w:rPr>
      </w:pPr>
      <w:r>
        <w:rPr>
          <w:rFonts w:ascii="Arial" w:eastAsia="Arial" w:hAnsi="Arial" w:cs="Arial"/>
        </w:rPr>
        <w:t>“</w:t>
      </w:r>
      <w:r>
        <w:rPr>
          <w:rFonts w:ascii="Arial" w:eastAsia="Arial" w:hAnsi="Arial" w:cs="Arial"/>
          <w:b/>
          <w:bCs/>
        </w:rPr>
        <w:t>L Brand</w:t>
      </w:r>
      <w:r>
        <w:rPr>
          <w:rFonts w:ascii="Arial" w:eastAsia="Arial" w:hAnsi="Arial" w:cs="Arial"/>
          <w:b/>
          <w:bCs/>
        </w:rPr>
        <w:t>s Business</w:t>
      </w:r>
      <w:r>
        <w:rPr>
          <w:rFonts w:ascii="Arial" w:eastAsia="Arial" w:hAnsi="Arial" w:cs="Arial"/>
        </w:rPr>
        <w:t>” means all of the businesses conducted by L Brands and its Affiliates from time to time, whether before, on or after the Effective Date, other than the VS Business.</w:t>
      </w:r>
    </w:p>
    <w:p w14:paraId="35251F37" w14:textId="77777777" w:rsidR="00D1587D" w:rsidRDefault="00D1587D">
      <w:pPr>
        <w:spacing w:line="189" w:lineRule="exact"/>
        <w:rPr>
          <w:sz w:val="20"/>
          <w:szCs w:val="20"/>
        </w:rPr>
      </w:pPr>
    </w:p>
    <w:p w14:paraId="6C2B4550" w14:textId="77777777" w:rsidR="00D1587D" w:rsidRDefault="00410D07">
      <w:pPr>
        <w:ind w:left="660"/>
        <w:rPr>
          <w:sz w:val="20"/>
          <w:szCs w:val="20"/>
        </w:rPr>
      </w:pPr>
      <w:r>
        <w:rPr>
          <w:rFonts w:ascii="Arial" w:eastAsia="Arial" w:hAnsi="Arial" w:cs="Arial"/>
        </w:rPr>
        <w:t>“</w:t>
      </w:r>
      <w:r>
        <w:rPr>
          <w:rFonts w:ascii="Arial" w:eastAsia="Arial" w:hAnsi="Arial" w:cs="Arial"/>
          <w:b/>
          <w:bCs/>
        </w:rPr>
        <w:t>Mediation Notice</w:t>
      </w:r>
      <w:r>
        <w:rPr>
          <w:rFonts w:ascii="Arial" w:eastAsia="Arial" w:hAnsi="Arial" w:cs="Arial"/>
        </w:rPr>
        <w:t xml:space="preserve">” has the meaning set forth in </w:t>
      </w:r>
      <w:r>
        <w:rPr>
          <w:rFonts w:ascii="Arial" w:eastAsia="Arial" w:hAnsi="Arial" w:cs="Arial"/>
          <w:u w:val="single"/>
        </w:rPr>
        <w:t>Section 10.07(b)</w:t>
      </w:r>
      <w:r>
        <w:rPr>
          <w:rFonts w:ascii="Arial" w:eastAsia="Arial" w:hAnsi="Arial" w:cs="Arial"/>
        </w:rPr>
        <w:t>.</w:t>
      </w:r>
    </w:p>
    <w:p w14:paraId="530F0114" w14:textId="77777777" w:rsidR="00D1587D" w:rsidRDefault="00D1587D">
      <w:pPr>
        <w:spacing w:line="233" w:lineRule="exact"/>
        <w:rPr>
          <w:sz w:val="20"/>
          <w:szCs w:val="20"/>
        </w:rPr>
      </w:pPr>
    </w:p>
    <w:p w14:paraId="01A92F37" w14:textId="77777777" w:rsidR="00D1587D" w:rsidRDefault="00410D07">
      <w:pPr>
        <w:ind w:left="660"/>
        <w:rPr>
          <w:sz w:val="20"/>
          <w:szCs w:val="20"/>
        </w:rPr>
      </w:pPr>
      <w:r>
        <w:rPr>
          <w:rFonts w:ascii="Arial" w:eastAsia="Arial" w:hAnsi="Arial" w:cs="Arial"/>
        </w:rPr>
        <w:t>“</w:t>
      </w:r>
      <w:r>
        <w:rPr>
          <w:rFonts w:ascii="Arial" w:eastAsia="Arial" w:hAnsi="Arial" w:cs="Arial"/>
          <w:b/>
          <w:bCs/>
        </w:rPr>
        <w:t>Mediation P</w:t>
      </w:r>
      <w:r>
        <w:rPr>
          <w:rFonts w:ascii="Arial" w:eastAsia="Arial" w:hAnsi="Arial" w:cs="Arial"/>
          <w:b/>
          <w:bCs/>
        </w:rPr>
        <w:t>eriod</w:t>
      </w:r>
      <w:r>
        <w:rPr>
          <w:rFonts w:ascii="Arial" w:eastAsia="Arial" w:hAnsi="Arial" w:cs="Arial"/>
        </w:rPr>
        <w:t xml:space="preserve">” has the meaning set forth in </w:t>
      </w:r>
      <w:r>
        <w:rPr>
          <w:rFonts w:ascii="Arial" w:eastAsia="Arial" w:hAnsi="Arial" w:cs="Arial"/>
          <w:u w:val="single"/>
        </w:rPr>
        <w:t>Section 10.07(c)</w:t>
      </w:r>
      <w:r>
        <w:rPr>
          <w:rFonts w:ascii="Arial" w:eastAsia="Arial" w:hAnsi="Arial" w:cs="Arial"/>
        </w:rPr>
        <w:t>.</w:t>
      </w:r>
    </w:p>
    <w:p w14:paraId="52850761" w14:textId="77777777" w:rsidR="00D1587D" w:rsidRDefault="00D1587D">
      <w:pPr>
        <w:spacing w:line="233" w:lineRule="exact"/>
        <w:rPr>
          <w:sz w:val="20"/>
          <w:szCs w:val="20"/>
        </w:rPr>
      </w:pPr>
    </w:p>
    <w:p w14:paraId="5478E922" w14:textId="77777777" w:rsidR="00D1587D" w:rsidRDefault="00410D07">
      <w:pPr>
        <w:ind w:left="660"/>
        <w:rPr>
          <w:sz w:val="20"/>
          <w:szCs w:val="20"/>
        </w:rPr>
      </w:pPr>
      <w:r>
        <w:rPr>
          <w:rFonts w:ascii="Arial" w:eastAsia="Arial" w:hAnsi="Arial" w:cs="Arial"/>
        </w:rPr>
        <w:t>“</w:t>
      </w:r>
      <w:r>
        <w:rPr>
          <w:rFonts w:ascii="Arial" w:eastAsia="Arial" w:hAnsi="Arial" w:cs="Arial"/>
          <w:b/>
          <w:bCs/>
        </w:rPr>
        <w:t>Overdue Amounts</w:t>
      </w:r>
      <w:r>
        <w:rPr>
          <w:rFonts w:ascii="Arial" w:eastAsia="Arial" w:hAnsi="Arial" w:cs="Arial"/>
        </w:rPr>
        <w:t xml:space="preserve">” has the meaning set forth in </w:t>
      </w:r>
      <w:r>
        <w:rPr>
          <w:rFonts w:ascii="Arial" w:eastAsia="Arial" w:hAnsi="Arial" w:cs="Arial"/>
          <w:u w:val="single"/>
        </w:rPr>
        <w:t>Section 3.02(b)</w:t>
      </w:r>
      <w:r>
        <w:rPr>
          <w:rFonts w:ascii="Arial" w:eastAsia="Arial" w:hAnsi="Arial" w:cs="Arial"/>
        </w:rPr>
        <w:t>.</w:t>
      </w:r>
    </w:p>
    <w:p w14:paraId="3D949AF0" w14:textId="77777777" w:rsidR="00D1587D" w:rsidRDefault="00D1587D">
      <w:pPr>
        <w:spacing w:line="233" w:lineRule="exact"/>
        <w:rPr>
          <w:sz w:val="20"/>
          <w:szCs w:val="20"/>
        </w:rPr>
      </w:pPr>
    </w:p>
    <w:p w14:paraId="0908BE03" w14:textId="77777777" w:rsidR="00D1587D" w:rsidRDefault="00410D07">
      <w:pPr>
        <w:ind w:left="660"/>
        <w:rPr>
          <w:sz w:val="20"/>
          <w:szCs w:val="20"/>
        </w:rPr>
      </w:pPr>
      <w:r>
        <w:rPr>
          <w:rFonts w:ascii="Arial" w:eastAsia="Arial" w:hAnsi="Arial" w:cs="Arial"/>
        </w:rPr>
        <w:t>“</w:t>
      </w:r>
      <w:r>
        <w:rPr>
          <w:rFonts w:ascii="Arial" w:eastAsia="Arial" w:hAnsi="Arial" w:cs="Arial"/>
          <w:b/>
          <w:bCs/>
        </w:rPr>
        <w:t>Party</w:t>
      </w:r>
      <w:r>
        <w:rPr>
          <w:rFonts w:ascii="Arial" w:eastAsia="Arial" w:hAnsi="Arial" w:cs="Arial"/>
        </w:rPr>
        <w:t xml:space="preserve">” has the meaning set forth in the </w:t>
      </w:r>
      <w:r>
        <w:rPr>
          <w:rFonts w:ascii="Arial" w:eastAsia="Arial" w:hAnsi="Arial" w:cs="Arial"/>
          <w:u w:val="single"/>
        </w:rPr>
        <w:t>Preamble</w:t>
      </w:r>
      <w:r>
        <w:rPr>
          <w:rFonts w:ascii="Arial" w:eastAsia="Arial" w:hAnsi="Arial" w:cs="Arial"/>
        </w:rPr>
        <w:t>.</w:t>
      </w:r>
    </w:p>
    <w:p w14:paraId="2F6E1DE2" w14:textId="77777777" w:rsidR="00D1587D" w:rsidRDefault="00D1587D">
      <w:pPr>
        <w:spacing w:line="233" w:lineRule="exact"/>
        <w:rPr>
          <w:sz w:val="20"/>
          <w:szCs w:val="20"/>
        </w:rPr>
      </w:pPr>
    </w:p>
    <w:p w14:paraId="2E7D21B2" w14:textId="77777777" w:rsidR="00D1587D" w:rsidRDefault="00410D07">
      <w:pPr>
        <w:ind w:left="660"/>
        <w:rPr>
          <w:sz w:val="20"/>
          <w:szCs w:val="20"/>
        </w:rPr>
      </w:pPr>
      <w:r>
        <w:rPr>
          <w:rFonts w:ascii="Arial" w:eastAsia="Arial" w:hAnsi="Arial" w:cs="Arial"/>
        </w:rPr>
        <w:t>“</w:t>
      </w:r>
      <w:r>
        <w:rPr>
          <w:rFonts w:ascii="Arial" w:eastAsia="Arial" w:hAnsi="Arial" w:cs="Arial"/>
          <w:b/>
          <w:bCs/>
        </w:rPr>
        <w:t>Payment Due Date</w:t>
      </w:r>
      <w:r>
        <w:rPr>
          <w:rFonts w:ascii="Arial" w:eastAsia="Arial" w:hAnsi="Arial" w:cs="Arial"/>
        </w:rPr>
        <w:t xml:space="preserve">” has the meaning set forth in </w:t>
      </w:r>
      <w:r>
        <w:rPr>
          <w:rFonts w:ascii="Arial" w:eastAsia="Arial" w:hAnsi="Arial" w:cs="Arial"/>
          <w:u w:val="single"/>
        </w:rPr>
        <w:t>Section 3.02(a)</w:t>
      </w:r>
      <w:r>
        <w:rPr>
          <w:rFonts w:ascii="Arial" w:eastAsia="Arial" w:hAnsi="Arial" w:cs="Arial"/>
        </w:rPr>
        <w:t>.</w:t>
      </w:r>
    </w:p>
    <w:p w14:paraId="11828528" w14:textId="77777777" w:rsidR="00D1587D" w:rsidRDefault="00D1587D">
      <w:pPr>
        <w:spacing w:line="233" w:lineRule="exact"/>
        <w:rPr>
          <w:sz w:val="20"/>
          <w:szCs w:val="20"/>
        </w:rPr>
      </w:pPr>
    </w:p>
    <w:p w14:paraId="573AFAB0" w14:textId="77777777" w:rsidR="00D1587D" w:rsidRDefault="00410D07">
      <w:pPr>
        <w:spacing w:line="256" w:lineRule="auto"/>
        <w:ind w:right="20" w:firstLine="648"/>
        <w:jc w:val="both"/>
        <w:rPr>
          <w:sz w:val="20"/>
          <w:szCs w:val="20"/>
        </w:rPr>
      </w:pPr>
      <w:r>
        <w:rPr>
          <w:rFonts w:ascii="Arial" w:eastAsia="Arial" w:hAnsi="Arial" w:cs="Arial"/>
        </w:rPr>
        <w:t>“</w:t>
      </w:r>
      <w:r>
        <w:rPr>
          <w:rFonts w:ascii="Arial" w:eastAsia="Arial" w:hAnsi="Arial" w:cs="Arial"/>
          <w:b/>
          <w:bCs/>
        </w:rPr>
        <w:t>Person</w:t>
      </w:r>
      <w:r>
        <w:rPr>
          <w:rFonts w:ascii="Arial" w:eastAsia="Arial" w:hAnsi="Arial" w:cs="Arial"/>
        </w:rPr>
        <w:t xml:space="preserve">” </w:t>
      </w:r>
      <w:r>
        <w:rPr>
          <w:rFonts w:ascii="Arial" w:eastAsia="Arial" w:hAnsi="Arial" w:cs="Arial"/>
        </w:rPr>
        <w:t>means an individual, corporation, partnership, limited liability company, association, trust or other entity or organization, including a Governmental Authority.</w:t>
      </w:r>
    </w:p>
    <w:p w14:paraId="0CB023C2" w14:textId="77777777" w:rsidR="00D1587D" w:rsidRDefault="00D1587D">
      <w:pPr>
        <w:spacing w:line="189" w:lineRule="exact"/>
        <w:rPr>
          <w:sz w:val="20"/>
          <w:szCs w:val="20"/>
        </w:rPr>
      </w:pPr>
    </w:p>
    <w:p w14:paraId="5C587994" w14:textId="77777777" w:rsidR="00D1587D" w:rsidRDefault="00410D07">
      <w:pPr>
        <w:ind w:left="720"/>
        <w:rPr>
          <w:sz w:val="20"/>
          <w:szCs w:val="20"/>
        </w:rPr>
      </w:pPr>
      <w:r>
        <w:rPr>
          <w:rFonts w:ascii="Arial" w:eastAsia="Arial" w:hAnsi="Arial" w:cs="Arial"/>
        </w:rPr>
        <w:t>“</w:t>
      </w:r>
      <w:r>
        <w:rPr>
          <w:rFonts w:ascii="Arial" w:eastAsia="Arial" w:hAnsi="Arial" w:cs="Arial"/>
          <w:b/>
          <w:bCs/>
        </w:rPr>
        <w:t>Receiving Party</w:t>
      </w:r>
      <w:r>
        <w:rPr>
          <w:rFonts w:ascii="Arial" w:eastAsia="Arial" w:hAnsi="Arial" w:cs="Arial"/>
        </w:rPr>
        <w:t xml:space="preserve">” has the meaning set forth in </w:t>
      </w:r>
      <w:r>
        <w:rPr>
          <w:rFonts w:ascii="Arial" w:eastAsia="Arial" w:hAnsi="Arial" w:cs="Arial"/>
          <w:u w:val="single"/>
        </w:rPr>
        <w:t>Section 8.01</w:t>
      </w:r>
      <w:r>
        <w:rPr>
          <w:rFonts w:ascii="Arial" w:eastAsia="Arial" w:hAnsi="Arial" w:cs="Arial"/>
        </w:rPr>
        <w:t>.</w:t>
      </w:r>
    </w:p>
    <w:p w14:paraId="493D1422" w14:textId="77777777" w:rsidR="00D1587D" w:rsidRDefault="00D1587D">
      <w:pPr>
        <w:spacing w:line="233" w:lineRule="exact"/>
        <w:rPr>
          <w:sz w:val="20"/>
          <w:szCs w:val="20"/>
        </w:rPr>
      </w:pPr>
    </w:p>
    <w:p w14:paraId="473A2F5F" w14:textId="77777777" w:rsidR="00D1587D" w:rsidRDefault="00410D07">
      <w:pPr>
        <w:ind w:left="660"/>
        <w:rPr>
          <w:sz w:val="20"/>
          <w:szCs w:val="20"/>
        </w:rPr>
      </w:pPr>
      <w:r>
        <w:rPr>
          <w:rFonts w:ascii="Arial" w:eastAsia="Arial" w:hAnsi="Arial" w:cs="Arial"/>
        </w:rPr>
        <w:t>“</w:t>
      </w:r>
      <w:r>
        <w:rPr>
          <w:rFonts w:ascii="Arial" w:eastAsia="Arial" w:hAnsi="Arial" w:cs="Arial"/>
          <w:b/>
          <w:bCs/>
        </w:rPr>
        <w:t>Review Meetings</w:t>
      </w:r>
      <w:r>
        <w:rPr>
          <w:rFonts w:ascii="Arial" w:eastAsia="Arial" w:hAnsi="Arial" w:cs="Arial"/>
        </w:rPr>
        <w:t xml:space="preserve">” has the meaning set forth in </w:t>
      </w:r>
      <w:r>
        <w:rPr>
          <w:rFonts w:ascii="Arial" w:eastAsia="Arial" w:hAnsi="Arial" w:cs="Arial"/>
          <w:u w:val="single"/>
        </w:rPr>
        <w:t>Section 4.04(c)</w:t>
      </w:r>
      <w:r>
        <w:rPr>
          <w:rFonts w:ascii="Arial" w:eastAsia="Arial" w:hAnsi="Arial" w:cs="Arial"/>
        </w:rPr>
        <w:t>.</w:t>
      </w:r>
    </w:p>
    <w:p w14:paraId="1E38333E" w14:textId="77777777" w:rsidR="00D1587D" w:rsidRDefault="00D1587D">
      <w:pPr>
        <w:spacing w:line="233" w:lineRule="exact"/>
        <w:rPr>
          <w:sz w:val="20"/>
          <w:szCs w:val="20"/>
        </w:rPr>
      </w:pPr>
    </w:p>
    <w:p w14:paraId="6D12A24B" w14:textId="77777777" w:rsidR="00D1587D" w:rsidRDefault="00410D07">
      <w:pPr>
        <w:ind w:left="660"/>
        <w:rPr>
          <w:sz w:val="20"/>
          <w:szCs w:val="20"/>
        </w:rPr>
      </w:pPr>
      <w:r>
        <w:rPr>
          <w:rFonts w:ascii="Arial" w:eastAsia="Arial" w:hAnsi="Arial" w:cs="Arial"/>
        </w:rPr>
        <w:t>“</w:t>
      </w:r>
      <w:r>
        <w:rPr>
          <w:rFonts w:ascii="Arial" w:eastAsia="Arial" w:hAnsi="Arial" w:cs="Arial"/>
          <w:b/>
          <w:bCs/>
        </w:rPr>
        <w:t>Separation Agreement</w:t>
      </w:r>
      <w:r>
        <w:rPr>
          <w:rFonts w:ascii="Arial" w:eastAsia="Arial" w:hAnsi="Arial" w:cs="Arial"/>
        </w:rPr>
        <w:t xml:space="preserve">” has the meaning set forth in the </w:t>
      </w:r>
      <w:r>
        <w:rPr>
          <w:rFonts w:ascii="Arial" w:eastAsia="Arial" w:hAnsi="Arial" w:cs="Arial"/>
          <w:u w:val="single"/>
        </w:rPr>
        <w:t>Recitals</w:t>
      </w:r>
      <w:r>
        <w:rPr>
          <w:rFonts w:ascii="Arial" w:eastAsia="Arial" w:hAnsi="Arial" w:cs="Arial"/>
        </w:rPr>
        <w:t>.</w:t>
      </w:r>
    </w:p>
    <w:p w14:paraId="7EE9101A" w14:textId="77777777" w:rsidR="00D1587D" w:rsidRDefault="00D1587D">
      <w:pPr>
        <w:spacing w:line="233" w:lineRule="exact"/>
        <w:rPr>
          <w:sz w:val="20"/>
          <w:szCs w:val="20"/>
        </w:rPr>
      </w:pPr>
    </w:p>
    <w:p w14:paraId="4E1BB533" w14:textId="77777777" w:rsidR="00D1587D" w:rsidRDefault="00410D07">
      <w:pPr>
        <w:ind w:left="660"/>
        <w:rPr>
          <w:sz w:val="20"/>
          <w:szCs w:val="20"/>
        </w:rPr>
      </w:pPr>
      <w:r>
        <w:rPr>
          <w:rFonts w:ascii="Arial" w:eastAsia="Arial" w:hAnsi="Arial" w:cs="Arial"/>
        </w:rPr>
        <w:t>“</w:t>
      </w:r>
      <w:r>
        <w:rPr>
          <w:rFonts w:ascii="Arial" w:eastAsia="Arial" w:hAnsi="Arial" w:cs="Arial"/>
          <w:b/>
          <w:bCs/>
        </w:rPr>
        <w:t>Service Provider</w:t>
      </w:r>
      <w:r>
        <w:rPr>
          <w:rFonts w:ascii="Arial" w:eastAsia="Arial" w:hAnsi="Arial" w:cs="Arial"/>
        </w:rPr>
        <w:t xml:space="preserve">” has the meaning set forth in the </w:t>
      </w:r>
      <w:r>
        <w:rPr>
          <w:rFonts w:ascii="Arial" w:eastAsia="Arial" w:hAnsi="Arial" w:cs="Arial"/>
          <w:u w:val="single"/>
        </w:rPr>
        <w:t>Preamble</w:t>
      </w:r>
      <w:r>
        <w:rPr>
          <w:rFonts w:ascii="Arial" w:eastAsia="Arial" w:hAnsi="Arial" w:cs="Arial"/>
        </w:rPr>
        <w:t>.</w:t>
      </w:r>
    </w:p>
    <w:p w14:paraId="180333D5" w14:textId="77777777" w:rsidR="00D1587D" w:rsidRDefault="00D1587D">
      <w:pPr>
        <w:spacing w:line="233" w:lineRule="exact"/>
        <w:rPr>
          <w:sz w:val="20"/>
          <w:szCs w:val="20"/>
        </w:rPr>
      </w:pPr>
    </w:p>
    <w:p w14:paraId="4DE81EBC" w14:textId="77777777" w:rsidR="00D1587D" w:rsidRDefault="00410D07">
      <w:pPr>
        <w:ind w:left="660"/>
        <w:rPr>
          <w:sz w:val="20"/>
          <w:szCs w:val="20"/>
        </w:rPr>
      </w:pPr>
      <w:r>
        <w:rPr>
          <w:rFonts w:ascii="Arial" w:eastAsia="Arial" w:hAnsi="Arial" w:cs="Arial"/>
        </w:rPr>
        <w:t>“</w:t>
      </w:r>
      <w:r>
        <w:rPr>
          <w:rFonts w:ascii="Arial" w:eastAsia="Arial" w:hAnsi="Arial" w:cs="Arial"/>
          <w:b/>
          <w:bCs/>
        </w:rPr>
        <w:t>Service Provider Party</w:t>
      </w:r>
      <w:r>
        <w:rPr>
          <w:rFonts w:ascii="Arial" w:eastAsia="Arial" w:hAnsi="Arial" w:cs="Arial"/>
        </w:rPr>
        <w:t xml:space="preserve">” has the meaning set forth in </w:t>
      </w:r>
      <w:r>
        <w:rPr>
          <w:rFonts w:ascii="Arial" w:eastAsia="Arial" w:hAnsi="Arial" w:cs="Arial"/>
          <w:u w:val="single"/>
        </w:rPr>
        <w:t>Section 2.01(b)</w:t>
      </w:r>
      <w:r>
        <w:rPr>
          <w:rFonts w:ascii="Arial" w:eastAsia="Arial" w:hAnsi="Arial" w:cs="Arial"/>
        </w:rPr>
        <w:t>.</w:t>
      </w:r>
    </w:p>
    <w:p w14:paraId="5CF00084" w14:textId="77777777" w:rsidR="00D1587D" w:rsidRDefault="00D1587D">
      <w:pPr>
        <w:spacing w:line="233" w:lineRule="exact"/>
        <w:rPr>
          <w:sz w:val="20"/>
          <w:szCs w:val="20"/>
        </w:rPr>
      </w:pPr>
    </w:p>
    <w:p w14:paraId="7E50A935" w14:textId="77777777" w:rsidR="00D1587D" w:rsidRDefault="00410D07">
      <w:pPr>
        <w:ind w:left="660"/>
        <w:rPr>
          <w:sz w:val="20"/>
          <w:szCs w:val="20"/>
        </w:rPr>
      </w:pPr>
      <w:r>
        <w:rPr>
          <w:rFonts w:ascii="Arial" w:eastAsia="Arial" w:hAnsi="Arial" w:cs="Arial"/>
        </w:rPr>
        <w:t>“</w:t>
      </w:r>
      <w:r>
        <w:rPr>
          <w:rFonts w:ascii="Arial" w:eastAsia="Arial" w:hAnsi="Arial" w:cs="Arial"/>
          <w:b/>
          <w:bCs/>
        </w:rPr>
        <w:t>Serv</w:t>
      </w:r>
      <w:r>
        <w:rPr>
          <w:rFonts w:ascii="Arial" w:eastAsia="Arial" w:hAnsi="Arial" w:cs="Arial"/>
          <w:b/>
          <w:bCs/>
        </w:rPr>
        <w:t>ice Provider Indemnified Persons</w:t>
      </w:r>
      <w:r>
        <w:rPr>
          <w:rFonts w:ascii="Arial" w:eastAsia="Arial" w:hAnsi="Arial" w:cs="Arial"/>
        </w:rPr>
        <w:t xml:space="preserve">” has the meaning set forth in </w:t>
      </w:r>
      <w:r>
        <w:rPr>
          <w:rFonts w:ascii="Arial" w:eastAsia="Arial" w:hAnsi="Arial" w:cs="Arial"/>
          <w:u w:val="single"/>
        </w:rPr>
        <w:t>Section 7.01</w:t>
      </w:r>
      <w:r>
        <w:rPr>
          <w:rFonts w:ascii="Arial" w:eastAsia="Arial" w:hAnsi="Arial" w:cs="Arial"/>
        </w:rPr>
        <w:t>.</w:t>
      </w:r>
    </w:p>
    <w:p w14:paraId="77784D9D" w14:textId="77777777" w:rsidR="00D1587D" w:rsidRDefault="00D1587D">
      <w:pPr>
        <w:spacing w:line="233" w:lineRule="exact"/>
        <w:rPr>
          <w:sz w:val="20"/>
          <w:szCs w:val="20"/>
        </w:rPr>
      </w:pPr>
    </w:p>
    <w:p w14:paraId="5D466782" w14:textId="77777777" w:rsidR="00D1587D" w:rsidRDefault="00410D07">
      <w:pPr>
        <w:ind w:left="660"/>
        <w:rPr>
          <w:sz w:val="20"/>
          <w:szCs w:val="20"/>
        </w:rPr>
      </w:pPr>
      <w:r>
        <w:rPr>
          <w:rFonts w:ascii="Arial" w:eastAsia="Arial" w:hAnsi="Arial" w:cs="Arial"/>
        </w:rPr>
        <w:t>“</w:t>
      </w:r>
      <w:r>
        <w:rPr>
          <w:rFonts w:ascii="Arial" w:eastAsia="Arial" w:hAnsi="Arial" w:cs="Arial"/>
          <w:b/>
          <w:bCs/>
        </w:rPr>
        <w:t>Service Provider Period</w:t>
      </w:r>
      <w:r>
        <w:rPr>
          <w:rFonts w:ascii="Arial" w:eastAsia="Arial" w:hAnsi="Arial" w:cs="Arial"/>
        </w:rPr>
        <w:t xml:space="preserve">” has the meaning set forth in </w:t>
      </w:r>
      <w:r>
        <w:rPr>
          <w:rFonts w:ascii="Arial" w:eastAsia="Arial" w:hAnsi="Arial" w:cs="Arial"/>
          <w:u w:val="single"/>
        </w:rPr>
        <w:t>Section 4.03(b)</w:t>
      </w:r>
      <w:r>
        <w:rPr>
          <w:rFonts w:ascii="Arial" w:eastAsia="Arial" w:hAnsi="Arial" w:cs="Arial"/>
        </w:rPr>
        <w:t>.</w:t>
      </w:r>
    </w:p>
    <w:p w14:paraId="70FDE095" w14:textId="77777777" w:rsidR="00D1587D" w:rsidRDefault="00D1587D">
      <w:pPr>
        <w:spacing w:line="233" w:lineRule="exact"/>
        <w:rPr>
          <w:sz w:val="20"/>
          <w:szCs w:val="20"/>
        </w:rPr>
      </w:pPr>
    </w:p>
    <w:p w14:paraId="569DA5B8" w14:textId="77777777" w:rsidR="00D1587D" w:rsidRDefault="00410D07">
      <w:pPr>
        <w:ind w:left="660"/>
        <w:rPr>
          <w:sz w:val="20"/>
          <w:szCs w:val="20"/>
        </w:rPr>
      </w:pPr>
      <w:r>
        <w:rPr>
          <w:rFonts w:ascii="Arial" w:eastAsia="Arial" w:hAnsi="Arial" w:cs="Arial"/>
        </w:rPr>
        <w:t>“</w:t>
      </w:r>
      <w:r>
        <w:rPr>
          <w:rFonts w:ascii="Arial" w:eastAsia="Arial" w:hAnsi="Arial" w:cs="Arial"/>
          <w:b/>
          <w:bCs/>
        </w:rPr>
        <w:t>Service Taxes</w:t>
      </w:r>
      <w:r>
        <w:rPr>
          <w:rFonts w:ascii="Arial" w:eastAsia="Arial" w:hAnsi="Arial" w:cs="Arial"/>
        </w:rPr>
        <w:t xml:space="preserve">” has the meaning set forth in </w:t>
      </w:r>
      <w:r>
        <w:rPr>
          <w:rFonts w:ascii="Arial" w:eastAsia="Arial" w:hAnsi="Arial" w:cs="Arial"/>
          <w:u w:val="single"/>
        </w:rPr>
        <w:t>Section 3.05(a)</w:t>
      </w:r>
      <w:r>
        <w:rPr>
          <w:rFonts w:ascii="Arial" w:eastAsia="Arial" w:hAnsi="Arial" w:cs="Arial"/>
        </w:rPr>
        <w:t>.</w:t>
      </w:r>
    </w:p>
    <w:p w14:paraId="78EB6BC4" w14:textId="77777777" w:rsidR="00D1587D" w:rsidRDefault="00D1587D">
      <w:pPr>
        <w:spacing w:line="233" w:lineRule="exact"/>
        <w:rPr>
          <w:sz w:val="20"/>
          <w:szCs w:val="20"/>
        </w:rPr>
      </w:pPr>
    </w:p>
    <w:p w14:paraId="7A923BEE" w14:textId="77777777" w:rsidR="00D1587D" w:rsidRDefault="00410D07">
      <w:pPr>
        <w:ind w:left="660"/>
        <w:rPr>
          <w:sz w:val="20"/>
          <w:szCs w:val="20"/>
        </w:rPr>
      </w:pPr>
      <w:r>
        <w:rPr>
          <w:rFonts w:ascii="Arial" w:eastAsia="Arial" w:hAnsi="Arial" w:cs="Arial"/>
        </w:rPr>
        <w:t>“</w:t>
      </w:r>
      <w:r>
        <w:rPr>
          <w:rFonts w:ascii="Arial" w:eastAsia="Arial" w:hAnsi="Arial" w:cs="Arial"/>
          <w:b/>
          <w:bCs/>
        </w:rPr>
        <w:t>Services</w:t>
      </w:r>
      <w:r>
        <w:rPr>
          <w:rFonts w:ascii="Arial" w:eastAsia="Arial" w:hAnsi="Arial" w:cs="Arial"/>
        </w:rPr>
        <w:t xml:space="preserve">” has the meaning set forth in </w:t>
      </w:r>
      <w:r>
        <w:rPr>
          <w:rFonts w:ascii="Arial" w:eastAsia="Arial" w:hAnsi="Arial" w:cs="Arial"/>
          <w:u w:val="single"/>
        </w:rPr>
        <w:t>Se</w:t>
      </w:r>
      <w:r>
        <w:rPr>
          <w:rFonts w:ascii="Arial" w:eastAsia="Arial" w:hAnsi="Arial" w:cs="Arial"/>
          <w:u w:val="single"/>
        </w:rPr>
        <w:t>ction 2.01(a)</w:t>
      </w:r>
      <w:r>
        <w:rPr>
          <w:rFonts w:ascii="Arial" w:eastAsia="Arial" w:hAnsi="Arial" w:cs="Arial"/>
        </w:rPr>
        <w:t>.</w:t>
      </w:r>
    </w:p>
    <w:p w14:paraId="571211DF" w14:textId="77777777" w:rsidR="00D1587D" w:rsidRDefault="00D1587D">
      <w:pPr>
        <w:spacing w:line="233" w:lineRule="exact"/>
        <w:rPr>
          <w:sz w:val="20"/>
          <w:szCs w:val="20"/>
        </w:rPr>
      </w:pPr>
    </w:p>
    <w:p w14:paraId="6B446DF4" w14:textId="77777777" w:rsidR="00D1587D" w:rsidRDefault="00410D07">
      <w:pPr>
        <w:spacing w:line="260" w:lineRule="auto"/>
        <w:ind w:firstLine="648"/>
        <w:jc w:val="both"/>
        <w:rPr>
          <w:sz w:val="20"/>
          <w:szCs w:val="20"/>
        </w:rPr>
      </w:pPr>
      <w:r>
        <w:rPr>
          <w:rFonts w:ascii="Arial" w:eastAsia="Arial" w:hAnsi="Arial" w:cs="Arial"/>
          <w:sz w:val="21"/>
          <w:szCs w:val="21"/>
        </w:rPr>
        <w:t>“</w:t>
      </w:r>
      <w:r>
        <w:rPr>
          <w:rFonts w:ascii="Arial" w:eastAsia="Arial" w:hAnsi="Arial" w:cs="Arial"/>
          <w:b/>
          <w:bCs/>
          <w:sz w:val="21"/>
          <w:szCs w:val="21"/>
        </w:rPr>
        <w:t>Subsidiary</w:t>
      </w:r>
      <w:r>
        <w:rPr>
          <w:rFonts w:ascii="Arial" w:eastAsia="Arial" w:hAnsi="Arial" w:cs="Arial"/>
          <w:sz w:val="21"/>
          <w:szCs w:val="21"/>
        </w:rPr>
        <w:t xml:space="preserve">” means, with respect to any Person, any other entity of which (i) a majority of the voting securities or (ii) securities or other ownership interests having ordinary voting power to elect a majority of the board of </w:t>
      </w:r>
      <w:r>
        <w:rPr>
          <w:rFonts w:ascii="Arial" w:eastAsia="Arial" w:hAnsi="Arial" w:cs="Arial"/>
          <w:sz w:val="21"/>
          <w:szCs w:val="21"/>
        </w:rPr>
        <w:t>directors or other persons performing similar functions, are at the time directly or indirectly owned by such Person.</w:t>
      </w:r>
    </w:p>
    <w:p w14:paraId="3B3B1098" w14:textId="77777777" w:rsidR="00D1587D" w:rsidRDefault="00D1587D">
      <w:pPr>
        <w:spacing w:line="369" w:lineRule="exact"/>
        <w:rPr>
          <w:sz w:val="20"/>
          <w:szCs w:val="20"/>
        </w:rPr>
      </w:pPr>
    </w:p>
    <w:p w14:paraId="63F860DF" w14:textId="77777777" w:rsidR="00D1587D" w:rsidRDefault="00410D07">
      <w:pPr>
        <w:jc w:val="center"/>
        <w:rPr>
          <w:sz w:val="20"/>
          <w:szCs w:val="20"/>
        </w:rPr>
      </w:pPr>
      <w:r>
        <w:rPr>
          <w:rFonts w:ascii="Arial" w:eastAsia="Arial" w:hAnsi="Arial" w:cs="Arial"/>
        </w:rPr>
        <w:t>3</w:t>
      </w:r>
    </w:p>
    <w:p w14:paraId="4AA93A0E" w14:textId="77777777" w:rsidR="00D1587D" w:rsidRDefault="00410D07">
      <w:pPr>
        <w:spacing w:line="20" w:lineRule="exact"/>
        <w:rPr>
          <w:sz w:val="20"/>
          <w:szCs w:val="20"/>
        </w:rPr>
      </w:pPr>
      <w:r>
        <w:rPr>
          <w:noProof/>
          <w:sz w:val="20"/>
          <w:szCs w:val="20"/>
        </w:rPr>
        <w:drawing>
          <wp:anchor distT="0" distB="0" distL="114300" distR="114300" simplePos="0" relativeHeight="251381760" behindDoc="1" locked="0" layoutInCell="0" allowOverlap="1" wp14:anchorId="73C81F96" wp14:editId="5F70B00E">
            <wp:simplePos x="0" y="0"/>
            <wp:positionH relativeFrom="column">
              <wp:posOffset>5080</wp:posOffset>
            </wp:positionH>
            <wp:positionV relativeFrom="paragraph">
              <wp:posOffset>41275</wp:posOffset>
            </wp:positionV>
            <wp:extent cx="7132320" cy="1714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9250C44" w14:textId="77777777" w:rsidR="00D1587D" w:rsidRDefault="00D1587D">
      <w:pPr>
        <w:sectPr w:rsidR="00D1587D">
          <w:pgSz w:w="11900" w:h="16838"/>
          <w:pgMar w:top="355" w:right="339" w:bottom="1440" w:left="320" w:header="0" w:footer="0" w:gutter="0"/>
          <w:cols w:space="720" w:equalWidth="0">
            <w:col w:w="11240"/>
          </w:cols>
        </w:sectPr>
      </w:pPr>
    </w:p>
    <w:p w14:paraId="7D547D18" w14:textId="77777777" w:rsidR="00D1587D" w:rsidRDefault="00410D07">
      <w:pPr>
        <w:ind w:left="720"/>
        <w:rPr>
          <w:sz w:val="20"/>
          <w:szCs w:val="20"/>
        </w:rPr>
      </w:pPr>
      <w:bookmarkStart w:id="220" w:name="page221"/>
      <w:bookmarkEnd w:id="220"/>
      <w:r>
        <w:rPr>
          <w:rFonts w:ascii="Arial" w:eastAsia="Arial" w:hAnsi="Arial" w:cs="Arial"/>
        </w:rPr>
        <w:t>“</w:t>
      </w:r>
      <w:r>
        <w:rPr>
          <w:rFonts w:ascii="Arial" w:eastAsia="Arial" w:hAnsi="Arial" w:cs="Arial"/>
          <w:b/>
          <w:bCs/>
        </w:rPr>
        <w:t>Term</w:t>
      </w:r>
      <w:r>
        <w:rPr>
          <w:rFonts w:ascii="Arial" w:eastAsia="Arial" w:hAnsi="Arial" w:cs="Arial"/>
        </w:rPr>
        <w:t xml:space="preserve">” has the meaning set forth in </w:t>
      </w:r>
      <w:r>
        <w:rPr>
          <w:rFonts w:ascii="Arial" w:eastAsia="Arial" w:hAnsi="Arial" w:cs="Arial"/>
          <w:u w:val="single"/>
        </w:rPr>
        <w:t>Section 9.01</w:t>
      </w:r>
      <w:r>
        <w:rPr>
          <w:rFonts w:ascii="Arial" w:eastAsia="Arial" w:hAnsi="Arial" w:cs="Arial"/>
        </w:rPr>
        <w:t>.</w:t>
      </w:r>
    </w:p>
    <w:p w14:paraId="2D4FED3E" w14:textId="77777777" w:rsidR="00D1587D" w:rsidRDefault="00D1587D">
      <w:pPr>
        <w:spacing w:line="233" w:lineRule="exact"/>
        <w:rPr>
          <w:sz w:val="20"/>
          <w:szCs w:val="20"/>
        </w:rPr>
      </w:pPr>
    </w:p>
    <w:p w14:paraId="6E4D302C" w14:textId="77777777" w:rsidR="00D1587D" w:rsidRDefault="00410D07">
      <w:pPr>
        <w:ind w:left="660"/>
        <w:rPr>
          <w:sz w:val="20"/>
          <w:szCs w:val="20"/>
        </w:rPr>
      </w:pPr>
      <w:r>
        <w:rPr>
          <w:rFonts w:ascii="Arial" w:eastAsia="Arial" w:hAnsi="Arial" w:cs="Arial"/>
        </w:rPr>
        <w:t>“</w:t>
      </w:r>
      <w:r>
        <w:rPr>
          <w:rFonts w:ascii="Arial" w:eastAsia="Arial" w:hAnsi="Arial" w:cs="Arial"/>
          <w:b/>
          <w:bCs/>
        </w:rPr>
        <w:t>Territory</w:t>
      </w:r>
      <w:r>
        <w:rPr>
          <w:rFonts w:ascii="Arial" w:eastAsia="Arial" w:hAnsi="Arial" w:cs="Arial"/>
        </w:rPr>
        <w:t>” means the United States and Canada.</w:t>
      </w:r>
    </w:p>
    <w:p w14:paraId="223E0138" w14:textId="77777777" w:rsidR="00D1587D" w:rsidRDefault="00D1587D">
      <w:pPr>
        <w:spacing w:line="233" w:lineRule="exact"/>
        <w:rPr>
          <w:sz w:val="20"/>
          <w:szCs w:val="20"/>
        </w:rPr>
      </w:pPr>
    </w:p>
    <w:p w14:paraId="3FC19749" w14:textId="77777777" w:rsidR="00D1587D" w:rsidRDefault="00410D07">
      <w:pPr>
        <w:ind w:left="660"/>
        <w:rPr>
          <w:sz w:val="20"/>
          <w:szCs w:val="20"/>
        </w:rPr>
      </w:pPr>
      <w:r>
        <w:rPr>
          <w:rFonts w:ascii="Arial" w:eastAsia="Arial" w:hAnsi="Arial" w:cs="Arial"/>
        </w:rPr>
        <w:t>“</w:t>
      </w:r>
      <w:r>
        <w:rPr>
          <w:rFonts w:ascii="Arial" w:eastAsia="Arial" w:hAnsi="Arial" w:cs="Arial"/>
          <w:b/>
          <w:bCs/>
        </w:rPr>
        <w:t>Third-Party Claim</w:t>
      </w:r>
      <w:r>
        <w:rPr>
          <w:rFonts w:ascii="Arial" w:eastAsia="Arial" w:hAnsi="Arial" w:cs="Arial"/>
        </w:rPr>
        <w:t xml:space="preserve">” has the meaning set forth in </w:t>
      </w:r>
      <w:r>
        <w:rPr>
          <w:rFonts w:ascii="Arial" w:eastAsia="Arial" w:hAnsi="Arial" w:cs="Arial"/>
          <w:u w:val="single"/>
        </w:rPr>
        <w:t>Section 7.03(a)</w:t>
      </w:r>
      <w:r>
        <w:rPr>
          <w:rFonts w:ascii="Arial" w:eastAsia="Arial" w:hAnsi="Arial" w:cs="Arial"/>
        </w:rPr>
        <w:t>.</w:t>
      </w:r>
    </w:p>
    <w:p w14:paraId="00D5B27A" w14:textId="77777777" w:rsidR="00D1587D" w:rsidRDefault="00D1587D">
      <w:pPr>
        <w:spacing w:line="233" w:lineRule="exact"/>
        <w:rPr>
          <w:sz w:val="20"/>
          <w:szCs w:val="20"/>
        </w:rPr>
      </w:pPr>
    </w:p>
    <w:p w14:paraId="212C9577" w14:textId="77777777" w:rsidR="00D1587D" w:rsidRDefault="00410D07">
      <w:pPr>
        <w:ind w:left="660"/>
        <w:rPr>
          <w:sz w:val="20"/>
          <w:szCs w:val="20"/>
        </w:rPr>
      </w:pPr>
      <w:r>
        <w:rPr>
          <w:rFonts w:ascii="Arial" w:eastAsia="Arial" w:hAnsi="Arial" w:cs="Arial"/>
        </w:rPr>
        <w:t>“</w:t>
      </w:r>
      <w:r>
        <w:rPr>
          <w:rFonts w:ascii="Arial" w:eastAsia="Arial" w:hAnsi="Arial" w:cs="Arial"/>
          <w:b/>
          <w:bCs/>
        </w:rPr>
        <w:t>Third Party Consent Costs</w:t>
      </w:r>
      <w:r>
        <w:rPr>
          <w:rFonts w:ascii="Arial" w:eastAsia="Arial" w:hAnsi="Arial" w:cs="Arial"/>
        </w:rPr>
        <w:t xml:space="preserve">” has the meaning set forth in </w:t>
      </w:r>
      <w:r>
        <w:rPr>
          <w:rFonts w:ascii="Arial" w:eastAsia="Arial" w:hAnsi="Arial" w:cs="Arial"/>
          <w:u w:val="single"/>
        </w:rPr>
        <w:t>Section 2.03(b)</w:t>
      </w:r>
      <w:r>
        <w:rPr>
          <w:rFonts w:ascii="Arial" w:eastAsia="Arial" w:hAnsi="Arial" w:cs="Arial"/>
        </w:rPr>
        <w:t>.</w:t>
      </w:r>
    </w:p>
    <w:p w14:paraId="466EB0FA" w14:textId="77777777" w:rsidR="00D1587D" w:rsidRDefault="00D1587D">
      <w:pPr>
        <w:spacing w:line="233" w:lineRule="exact"/>
        <w:rPr>
          <w:sz w:val="20"/>
          <w:szCs w:val="20"/>
        </w:rPr>
      </w:pPr>
    </w:p>
    <w:p w14:paraId="1F883563" w14:textId="77777777" w:rsidR="00D1587D" w:rsidRDefault="00410D07">
      <w:pPr>
        <w:ind w:left="660"/>
        <w:rPr>
          <w:sz w:val="20"/>
          <w:szCs w:val="20"/>
        </w:rPr>
      </w:pPr>
      <w:r>
        <w:rPr>
          <w:rFonts w:ascii="Arial" w:eastAsia="Arial" w:hAnsi="Arial" w:cs="Arial"/>
        </w:rPr>
        <w:t>“</w:t>
      </w:r>
      <w:r>
        <w:rPr>
          <w:rFonts w:ascii="Arial" w:eastAsia="Arial" w:hAnsi="Arial" w:cs="Arial"/>
          <w:b/>
          <w:bCs/>
        </w:rPr>
        <w:t>Third Party Provider</w:t>
      </w:r>
      <w:r>
        <w:rPr>
          <w:rFonts w:ascii="Arial" w:eastAsia="Arial" w:hAnsi="Arial" w:cs="Arial"/>
        </w:rPr>
        <w:t xml:space="preserve">” has the meaning set forth in </w:t>
      </w:r>
      <w:r>
        <w:rPr>
          <w:rFonts w:ascii="Arial" w:eastAsia="Arial" w:hAnsi="Arial" w:cs="Arial"/>
          <w:u w:val="single"/>
        </w:rPr>
        <w:t>Section 2.01(b)</w:t>
      </w:r>
      <w:r>
        <w:rPr>
          <w:rFonts w:ascii="Arial" w:eastAsia="Arial" w:hAnsi="Arial" w:cs="Arial"/>
        </w:rPr>
        <w:t>.</w:t>
      </w:r>
    </w:p>
    <w:p w14:paraId="4774C891" w14:textId="77777777" w:rsidR="00D1587D" w:rsidRDefault="00D1587D">
      <w:pPr>
        <w:spacing w:line="233" w:lineRule="exact"/>
        <w:rPr>
          <w:sz w:val="20"/>
          <w:szCs w:val="20"/>
        </w:rPr>
      </w:pPr>
    </w:p>
    <w:p w14:paraId="663F45F4" w14:textId="77777777" w:rsidR="00D1587D" w:rsidRDefault="00410D07">
      <w:pPr>
        <w:ind w:left="660"/>
        <w:rPr>
          <w:sz w:val="20"/>
          <w:szCs w:val="20"/>
        </w:rPr>
      </w:pPr>
      <w:r>
        <w:rPr>
          <w:rFonts w:ascii="Arial" w:eastAsia="Arial" w:hAnsi="Arial" w:cs="Arial"/>
        </w:rPr>
        <w:t>“</w:t>
      </w:r>
      <w:r>
        <w:rPr>
          <w:rFonts w:ascii="Arial" w:eastAsia="Arial" w:hAnsi="Arial" w:cs="Arial"/>
          <w:b/>
          <w:bCs/>
        </w:rPr>
        <w:t>United States</w:t>
      </w:r>
      <w:r>
        <w:rPr>
          <w:rFonts w:ascii="Arial" w:eastAsia="Arial" w:hAnsi="Arial" w:cs="Arial"/>
        </w:rPr>
        <w:t>” or “</w:t>
      </w:r>
      <w:r>
        <w:rPr>
          <w:rFonts w:ascii="Arial" w:eastAsia="Arial" w:hAnsi="Arial" w:cs="Arial"/>
          <w:b/>
          <w:bCs/>
        </w:rPr>
        <w:t>U.S.</w:t>
      </w:r>
      <w:r>
        <w:rPr>
          <w:rFonts w:ascii="Arial" w:eastAsia="Arial" w:hAnsi="Arial" w:cs="Arial"/>
        </w:rPr>
        <w:t>” means the United St</w:t>
      </w:r>
      <w:r>
        <w:rPr>
          <w:rFonts w:ascii="Arial" w:eastAsia="Arial" w:hAnsi="Arial" w:cs="Arial"/>
        </w:rPr>
        <w:t>ates of America and its territories and possessions.</w:t>
      </w:r>
    </w:p>
    <w:p w14:paraId="246B9555" w14:textId="77777777" w:rsidR="00D1587D" w:rsidRDefault="00D1587D">
      <w:pPr>
        <w:spacing w:line="233" w:lineRule="exact"/>
        <w:rPr>
          <w:sz w:val="20"/>
          <w:szCs w:val="20"/>
        </w:rPr>
      </w:pPr>
    </w:p>
    <w:p w14:paraId="4E4CA2BD" w14:textId="77777777" w:rsidR="00D1587D" w:rsidRDefault="00410D07">
      <w:pPr>
        <w:ind w:left="660"/>
        <w:rPr>
          <w:sz w:val="20"/>
          <w:szCs w:val="20"/>
        </w:rPr>
      </w:pPr>
      <w:r>
        <w:rPr>
          <w:rFonts w:ascii="Arial" w:eastAsia="Arial" w:hAnsi="Arial" w:cs="Arial"/>
        </w:rPr>
        <w:t>“</w:t>
      </w:r>
      <w:r>
        <w:rPr>
          <w:rFonts w:ascii="Arial" w:eastAsia="Arial" w:hAnsi="Arial" w:cs="Arial"/>
          <w:b/>
          <w:bCs/>
        </w:rPr>
        <w:t>VS</w:t>
      </w:r>
      <w:r>
        <w:rPr>
          <w:rFonts w:ascii="Arial" w:eastAsia="Arial" w:hAnsi="Arial" w:cs="Arial"/>
        </w:rPr>
        <w:t xml:space="preserve">” has the meaning set forth in the </w:t>
      </w:r>
      <w:r>
        <w:rPr>
          <w:rFonts w:ascii="Arial" w:eastAsia="Arial" w:hAnsi="Arial" w:cs="Arial"/>
          <w:u w:val="single"/>
        </w:rPr>
        <w:t>Preamble</w:t>
      </w:r>
      <w:r>
        <w:rPr>
          <w:rFonts w:ascii="Arial" w:eastAsia="Arial" w:hAnsi="Arial" w:cs="Arial"/>
        </w:rPr>
        <w:t>.</w:t>
      </w:r>
    </w:p>
    <w:p w14:paraId="6D0C03B9" w14:textId="77777777" w:rsidR="00D1587D" w:rsidRDefault="00D1587D">
      <w:pPr>
        <w:spacing w:line="233" w:lineRule="exact"/>
        <w:rPr>
          <w:sz w:val="20"/>
          <w:szCs w:val="20"/>
        </w:rPr>
      </w:pPr>
    </w:p>
    <w:p w14:paraId="00F7D2F6" w14:textId="77777777" w:rsidR="00D1587D" w:rsidRDefault="00410D07">
      <w:pPr>
        <w:spacing w:line="334" w:lineRule="auto"/>
        <w:ind w:firstLine="648"/>
        <w:jc w:val="both"/>
        <w:rPr>
          <w:sz w:val="20"/>
          <w:szCs w:val="20"/>
        </w:rPr>
      </w:pPr>
      <w:r>
        <w:rPr>
          <w:rFonts w:ascii="Arial" w:eastAsia="Arial" w:hAnsi="Arial" w:cs="Arial"/>
          <w:sz w:val="19"/>
          <w:szCs w:val="19"/>
        </w:rPr>
        <w:t>“</w:t>
      </w:r>
      <w:r>
        <w:rPr>
          <w:rFonts w:ascii="Arial" w:eastAsia="Arial" w:hAnsi="Arial" w:cs="Arial"/>
          <w:b/>
          <w:bCs/>
          <w:sz w:val="19"/>
          <w:szCs w:val="19"/>
        </w:rPr>
        <w:t>VS Business</w:t>
      </w:r>
      <w:r>
        <w:rPr>
          <w:rFonts w:ascii="Arial" w:eastAsia="Arial" w:hAnsi="Arial" w:cs="Arial"/>
          <w:sz w:val="19"/>
          <w:szCs w:val="19"/>
        </w:rPr>
        <w:t>” means the specialty retail business of VS and its Subsidiaries with respect to women’s intimate and other apparel, accessories, beauty care</w:t>
      </w:r>
      <w:r>
        <w:rPr>
          <w:rFonts w:ascii="Arial" w:eastAsia="Arial" w:hAnsi="Arial" w:cs="Arial"/>
          <w:sz w:val="19"/>
          <w:szCs w:val="19"/>
        </w:rPr>
        <w:t xml:space="preserve"> products and fragrances that is conducted under the Victoria’s Secret or PINK brands.</w:t>
      </w:r>
    </w:p>
    <w:p w14:paraId="3E64D97F" w14:textId="77777777" w:rsidR="00D1587D" w:rsidRDefault="00D1587D">
      <w:pPr>
        <w:spacing w:line="121" w:lineRule="exact"/>
        <w:rPr>
          <w:sz w:val="20"/>
          <w:szCs w:val="20"/>
        </w:rPr>
      </w:pPr>
    </w:p>
    <w:p w14:paraId="3DF8A478" w14:textId="77777777" w:rsidR="00D1587D" w:rsidRDefault="00410D07">
      <w:pPr>
        <w:ind w:left="660"/>
        <w:rPr>
          <w:sz w:val="20"/>
          <w:szCs w:val="20"/>
        </w:rPr>
      </w:pPr>
      <w:r>
        <w:rPr>
          <w:rFonts w:ascii="Arial" w:eastAsia="Arial" w:hAnsi="Arial" w:cs="Arial"/>
        </w:rPr>
        <w:t>“</w:t>
      </w:r>
      <w:r>
        <w:rPr>
          <w:rFonts w:ascii="Arial" w:eastAsia="Arial" w:hAnsi="Arial" w:cs="Arial"/>
          <w:b/>
          <w:bCs/>
        </w:rPr>
        <w:t>VS Indemnified Persons</w:t>
      </w:r>
      <w:r>
        <w:rPr>
          <w:rFonts w:ascii="Arial" w:eastAsia="Arial" w:hAnsi="Arial" w:cs="Arial"/>
        </w:rPr>
        <w:t xml:space="preserve">” has the meaning set forth in </w:t>
      </w:r>
      <w:r>
        <w:rPr>
          <w:rFonts w:ascii="Arial" w:eastAsia="Arial" w:hAnsi="Arial" w:cs="Arial"/>
          <w:u w:val="single"/>
        </w:rPr>
        <w:t>Section 7.02</w:t>
      </w:r>
      <w:r>
        <w:rPr>
          <w:rFonts w:ascii="Arial" w:eastAsia="Arial" w:hAnsi="Arial" w:cs="Arial"/>
        </w:rPr>
        <w:t>.</w:t>
      </w:r>
    </w:p>
    <w:p w14:paraId="06CA71E7" w14:textId="77777777" w:rsidR="00D1587D" w:rsidRDefault="00D1587D">
      <w:pPr>
        <w:spacing w:line="233" w:lineRule="exact"/>
        <w:rPr>
          <w:sz w:val="20"/>
          <w:szCs w:val="20"/>
        </w:rPr>
      </w:pPr>
    </w:p>
    <w:p w14:paraId="1F806A62" w14:textId="77777777" w:rsidR="00D1587D" w:rsidRDefault="00410D07">
      <w:pPr>
        <w:ind w:left="660"/>
        <w:rPr>
          <w:sz w:val="20"/>
          <w:szCs w:val="20"/>
        </w:rPr>
      </w:pPr>
      <w:r>
        <w:rPr>
          <w:rFonts w:ascii="Arial" w:eastAsia="Arial" w:hAnsi="Arial" w:cs="Arial"/>
        </w:rPr>
        <w:t>“</w:t>
      </w:r>
      <w:r>
        <w:rPr>
          <w:rFonts w:ascii="Arial" w:eastAsia="Arial" w:hAnsi="Arial" w:cs="Arial"/>
          <w:b/>
          <w:bCs/>
        </w:rPr>
        <w:t>VS Products</w:t>
      </w:r>
      <w:r>
        <w:rPr>
          <w:rFonts w:ascii="Arial" w:eastAsia="Arial" w:hAnsi="Arial" w:cs="Arial"/>
        </w:rPr>
        <w:t xml:space="preserve">” has the meaning set forth in </w:t>
      </w:r>
      <w:r>
        <w:rPr>
          <w:rFonts w:ascii="Arial" w:eastAsia="Arial" w:hAnsi="Arial" w:cs="Arial"/>
          <w:u w:val="single"/>
        </w:rPr>
        <w:t>Section 2.02</w:t>
      </w:r>
      <w:r>
        <w:rPr>
          <w:rFonts w:ascii="Arial" w:eastAsia="Arial" w:hAnsi="Arial" w:cs="Arial"/>
        </w:rPr>
        <w:t>.</w:t>
      </w:r>
    </w:p>
    <w:p w14:paraId="1C7E05AC" w14:textId="77777777" w:rsidR="00D1587D" w:rsidRDefault="00D1587D">
      <w:pPr>
        <w:spacing w:line="239" w:lineRule="exact"/>
        <w:rPr>
          <w:sz w:val="20"/>
          <w:szCs w:val="20"/>
        </w:rPr>
      </w:pPr>
    </w:p>
    <w:p w14:paraId="29AC69AF" w14:textId="77777777" w:rsidR="00D1587D" w:rsidRDefault="00410D07">
      <w:pPr>
        <w:ind w:left="5100"/>
        <w:rPr>
          <w:sz w:val="20"/>
          <w:szCs w:val="20"/>
        </w:rPr>
      </w:pPr>
      <w:r>
        <w:rPr>
          <w:rFonts w:ascii="Arial" w:eastAsia="Arial" w:hAnsi="Arial" w:cs="Arial"/>
        </w:rPr>
        <w:t>ARTICLE 2</w:t>
      </w:r>
    </w:p>
    <w:p w14:paraId="565F1C04" w14:textId="77777777" w:rsidR="00D1587D" w:rsidRDefault="00D1587D">
      <w:pPr>
        <w:spacing w:line="8" w:lineRule="exact"/>
        <w:rPr>
          <w:sz w:val="20"/>
          <w:szCs w:val="20"/>
        </w:rPr>
      </w:pPr>
    </w:p>
    <w:p w14:paraId="19C29D32" w14:textId="77777777" w:rsidR="00D1587D" w:rsidRDefault="00410D07">
      <w:pPr>
        <w:ind w:left="5100"/>
        <w:rPr>
          <w:sz w:val="20"/>
          <w:szCs w:val="20"/>
        </w:rPr>
      </w:pPr>
      <w:r>
        <w:rPr>
          <w:rFonts w:ascii="Arial" w:eastAsia="Arial" w:hAnsi="Arial" w:cs="Arial"/>
        </w:rPr>
        <w:t>SERVICES.</w:t>
      </w:r>
    </w:p>
    <w:p w14:paraId="5A15558A" w14:textId="77777777" w:rsidR="00D1587D" w:rsidRDefault="00D1587D">
      <w:pPr>
        <w:spacing w:line="215" w:lineRule="exact"/>
        <w:rPr>
          <w:sz w:val="20"/>
          <w:szCs w:val="20"/>
        </w:rPr>
      </w:pPr>
    </w:p>
    <w:p w14:paraId="7F7F68D2" w14:textId="77777777" w:rsidR="00D1587D" w:rsidRDefault="00410D07">
      <w:pPr>
        <w:ind w:firstLine="648"/>
        <w:jc w:val="both"/>
        <w:rPr>
          <w:sz w:val="20"/>
          <w:szCs w:val="20"/>
        </w:rPr>
      </w:pPr>
      <w:r>
        <w:rPr>
          <w:rFonts w:ascii="Arial" w:eastAsia="Arial" w:hAnsi="Arial" w:cs="Arial"/>
        </w:rPr>
        <w:t xml:space="preserve">Section 2.01. </w:t>
      </w:r>
      <w:r>
        <w:rPr>
          <w:rFonts w:ascii="Arial" w:eastAsia="Arial" w:hAnsi="Arial" w:cs="Arial"/>
          <w:i/>
          <w:iCs/>
        </w:rPr>
        <w:t>General</w:t>
      </w:r>
      <w:r>
        <w:rPr>
          <w:rFonts w:ascii="Arial" w:eastAsia="Arial" w:hAnsi="Arial" w:cs="Arial"/>
        </w:rPr>
        <w:t xml:space="preserve">. (a) Subject to the terms and conditions herein, Service Provider shall provide to VS the domestic transportation and delivery services set forth in this Agreement and on </w:t>
      </w:r>
      <w:r>
        <w:rPr>
          <w:rFonts w:ascii="Arial" w:eastAsia="Arial" w:hAnsi="Arial" w:cs="Arial"/>
          <w:u w:val="single"/>
        </w:rPr>
        <w:t>Schedule 1</w:t>
      </w:r>
      <w:r>
        <w:rPr>
          <w:rFonts w:ascii="Arial" w:eastAsia="Arial" w:hAnsi="Arial" w:cs="Arial"/>
        </w:rPr>
        <w:t xml:space="preserve"> hereto (the “</w:t>
      </w:r>
      <w:r>
        <w:rPr>
          <w:rFonts w:ascii="Arial" w:eastAsia="Arial" w:hAnsi="Arial" w:cs="Arial"/>
          <w:b/>
          <w:bCs/>
        </w:rPr>
        <w:t>Services</w:t>
      </w:r>
      <w:r>
        <w:rPr>
          <w:rFonts w:ascii="Arial" w:eastAsia="Arial" w:hAnsi="Arial" w:cs="Arial"/>
        </w:rPr>
        <w:t xml:space="preserve">”) solely to support the needs </w:t>
      </w:r>
      <w:r>
        <w:rPr>
          <w:rFonts w:ascii="Arial" w:eastAsia="Arial" w:hAnsi="Arial" w:cs="Arial"/>
        </w:rPr>
        <w:t>of the VS Business and solely in the Territory.</w:t>
      </w:r>
    </w:p>
    <w:p w14:paraId="55E52A63" w14:textId="77777777" w:rsidR="00D1587D" w:rsidRDefault="00D1587D">
      <w:pPr>
        <w:spacing w:line="213" w:lineRule="exact"/>
        <w:rPr>
          <w:sz w:val="20"/>
          <w:szCs w:val="20"/>
        </w:rPr>
      </w:pPr>
    </w:p>
    <w:p w14:paraId="5397F998" w14:textId="77777777" w:rsidR="00D1587D" w:rsidRDefault="00410D07">
      <w:pPr>
        <w:numPr>
          <w:ilvl w:val="0"/>
          <w:numId w:val="189"/>
        </w:numPr>
        <w:tabs>
          <w:tab w:val="left" w:pos="1852"/>
        </w:tabs>
        <w:spacing w:line="246" w:lineRule="auto"/>
        <w:ind w:firstLine="850"/>
        <w:jc w:val="both"/>
        <w:rPr>
          <w:rFonts w:ascii="Arial" w:eastAsia="Arial" w:hAnsi="Arial" w:cs="Arial"/>
          <w:sz w:val="21"/>
          <w:szCs w:val="21"/>
        </w:rPr>
      </w:pPr>
      <w:r>
        <w:rPr>
          <w:rFonts w:ascii="Arial" w:eastAsia="Arial" w:hAnsi="Arial" w:cs="Arial"/>
          <w:sz w:val="21"/>
          <w:szCs w:val="21"/>
        </w:rPr>
        <w:t>In providing the Services hereunder, Service Provider may use, at its discretion, its own personnel or the personnel of any of its Affiliates or employ the services of contractors, subcontractors, vendors or</w:t>
      </w:r>
      <w:r>
        <w:rPr>
          <w:rFonts w:ascii="Arial" w:eastAsia="Arial" w:hAnsi="Arial" w:cs="Arial"/>
          <w:sz w:val="21"/>
          <w:szCs w:val="21"/>
        </w:rPr>
        <w:t xml:space="preserve"> other third parties (each, a “</w:t>
      </w:r>
      <w:r>
        <w:rPr>
          <w:rFonts w:ascii="Arial" w:eastAsia="Arial" w:hAnsi="Arial" w:cs="Arial"/>
          <w:b/>
          <w:bCs/>
          <w:sz w:val="21"/>
          <w:szCs w:val="21"/>
        </w:rPr>
        <w:t>Third-Party Provider</w:t>
      </w:r>
      <w:r>
        <w:rPr>
          <w:rFonts w:ascii="Arial" w:eastAsia="Arial" w:hAnsi="Arial" w:cs="Arial"/>
          <w:sz w:val="21"/>
          <w:szCs w:val="21"/>
        </w:rPr>
        <w:t xml:space="preserve">”); </w:t>
      </w:r>
      <w:r>
        <w:rPr>
          <w:rFonts w:ascii="Arial" w:eastAsia="Arial" w:hAnsi="Arial" w:cs="Arial"/>
          <w:i/>
          <w:iCs/>
          <w:sz w:val="21"/>
          <w:szCs w:val="21"/>
        </w:rPr>
        <w:t>provided</w:t>
      </w:r>
      <w:r>
        <w:rPr>
          <w:rFonts w:ascii="Arial" w:eastAsia="Arial" w:hAnsi="Arial" w:cs="Arial"/>
          <w:sz w:val="21"/>
          <w:szCs w:val="21"/>
        </w:rPr>
        <w:t xml:space="preserve"> that (i) Service Provider shall remain responsible for ensuring that its obligations with respect to the Services, including the general standard of service described below under </w:t>
      </w:r>
      <w:r>
        <w:rPr>
          <w:rFonts w:ascii="Arial" w:eastAsia="Arial" w:hAnsi="Arial" w:cs="Arial"/>
          <w:sz w:val="21"/>
          <w:szCs w:val="21"/>
          <w:u w:val="single"/>
        </w:rPr>
        <w:t>Section 4.01</w:t>
      </w:r>
      <w:r>
        <w:rPr>
          <w:rFonts w:ascii="Arial" w:eastAsia="Arial" w:hAnsi="Arial" w:cs="Arial"/>
          <w:sz w:val="21"/>
          <w:szCs w:val="21"/>
        </w:rPr>
        <w:t>,</w:t>
      </w:r>
      <w:r>
        <w:rPr>
          <w:rFonts w:ascii="Arial" w:eastAsia="Arial" w:hAnsi="Arial" w:cs="Arial"/>
          <w:sz w:val="21"/>
          <w:szCs w:val="21"/>
        </w:rPr>
        <w:t xml:space="preserve"> are satisfied and (ii) any act or omission of such personnel or any other Third-Party Provider that would constitute a breach of this Agreement by Service Provider, if such act or omission were taken or made by Service Provider directly, shall be deemed a</w:t>
      </w:r>
      <w:r>
        <w:rPr>
          <w:rFonts w:ascii="Arial" w:eastAsia="Arial" w:hAnsi="Arial" w:cs="Arial"/>
          <w:sz w:val="21"/>
          <w:szCs w:val="21"/>
        </w:rPr>
        <w:t xml:space="preserve"> breach of this Agreement by Service Provider. Each of Service Provider, its Affiliates and any Third-Party Provider that provides the Services shall be referred to as a “</w:t>
      </w:r>
      <w:r>
        <w:rPr>
          <w:rFonts w:ascii="Arial" w:eastAsia="Arial" w:hAnsi="Arial" w:cs="Arial"/>
          <w:b/>
          <w:bCs/>
          <w:sz w:val="21"/>
          <w:szCs w:val="21"/>
        </w:rPr>
        <w:t>Service Provider Party</w:t>
      </w:r>
      <w:r>
        <w:rPr>
          <w:rFonts w:ascii="Arial" w:eastAsia="Arial" w:hAnsi="Arial" w:cs="Arial"/>
          <w:sz w:val="21"/>
          <w:szCs w:val="21"/>
        </w:rPr>
        <w:t>”.</w:t>
      </w:r>
    </w:p>
    <w:p w14:paraId="084F3010" w14:textId="77777777" w:rsidR="00D1587D" w:rsidRDefault="00D1587D">
      <w:pPr>
        <w:spacing w:line="206" w:lineRule="exact"/>
        <w:rPr>
          <w:rFonts w:ascii="Arial" w:eastAsia="Arial" w:hAnsi="Arial" w:cs="Arial"/>
          <w:sz w:val="21"/>
          <w:szCs w:val="21"/>
        </w:rPr>
      </w:pPr>
    </w:p>
    <w:p w14:paraId="60F3823E" w14:textId="77777777" w:rsidR="00D1587D" w:rsidRDefault="00410D07">
      <w:pPr>
        <w:numPr>
          <w:ilvl w:val="0"/>
          <w:numId w:val="189"/>
        </w:numPr>
        <w:tabs>
          <w:tab w:val="left" w:pos="1784"/>
        </w:tabs>
        <w:spacing w:line="274" w:lineRule="auto"/>
        <w:ind w:firstLine="850"/>
        <w:jc w:val="both"/>
        <w:rPr>
          <w:rFonts w:ascii="Arial" w:eastAsia="Arial" w:hAnsi="Arial" w:cs="Arial"/>
          <w:sz w:val="19"/>
          <w:szCs w:val="19"/>
        </w:rPr>
      </w:pPr>
      <w:r>
        <w:rPr>
          <w:rFonts w:ascii="Arial" w:eastAsia="Arial" w:hAnsi="Arial" w:cs="Arial"/>
          <w:sz w:val="19"/>
          <w:szCs w:val="19"/>
        </w:rPr>
        <w:t xml:space="preserve">If, during the Term, VS identifies additional </w:t>
      </w:r>
      <w:r>
        <w:rPr>
          <w:rFonts w:ascii="Arial" w:eastAsia="Arial" w:hAnsi="Arial" w:cs="Arial"/>
          <w:sz w:val="19"/>
          <w:szCs w:val="19"/>
        </w:rPr>
        <w:t>domestic transportation and delivery services that it desires to receive from Service Provider (“</w:t>
      </w:r>
      <w:r>
        <w:rPr>
          <w:rFonts w:ascii="Arial" w:eastAsia="Arial" w:hAnsi="Arial" w:cs="Arial"/>
          <w:b/>
          <w:bCs/>
          <w:sz w:val="19"/>
          <w:szCs w:val="19"/>
        </w:rPr>
        <w:t>Additional Services</w:t>
      </w:r>
      <w:r>
        <w:rPr>
          <w:rFonts w:ascii="Arial" w:eastAsia="Arial" w:hAnsi="Arial" w:cs="Arial"/>
          <w:sz w:val="19"/>
          <w:szCs w:val="19"/>
        </w:rPr>
        <w:t>”), then, upon written request from VS that identifies and states its desire to receive such Additional Services, Service Provider shall con</w:t>
      </w:r>
      <w:r>
        <w:rPr>
          <w:rFonts w:ascii="Arial" w:eastAsia="Arial" w:hAnsi="Arial" w:cs="Arial"/>
          <w:sz w:val="19"/>
          <w:szCs w:val="19"/>
        </w:rPr>
        <w:t xml:space="preserve">sider in good faith VS’s request for such Additional Services and the Parties shall negotiate in good faith terms (including the cost and term of such Additional Services) with respect to the provision of such Additional Services; </w:t>
      </w:r>
      <w:r>
        <w:rPr>
          <w:rFonts w:ascii="Arial" w:eastAsia="Arial" w:hAnsi="Arial" w:cs="Arial"/>
          <w:i/>
          <w:iCs/>
          <w:sz w:val="19"/>
          <w:szCs w:val="19"/>
        </w:rPr>
        <w:t>provided</w:t>
      </w:r>
      <w:r>
        <w:rPr>
          <w:rFonts w:ascii="Arial" w:eastAsia="Arial" w:hAnsi="Arial" w:cs="Arial"/>
          <w:sz w:val="19"/>
          <w:szCs w:val="19"/>
        </w:rPr>
        <w:t xml:space="preserve"> that nothing her</w:t>
      </w:r>
      <w:r>
        <w:rPr>
          <w:rFonts w:ascii="Arial" w:eastAsia="Arial" w:hAnsi="Arial" w:cs="Arial"/>
          <w:sz w:val="19"/>
          <w:szCs w:val="19"/>
        </w:rPr>
        <w:t>ein shall obligate either Party to agree to any such terms or to provide or receive any such Additional Services unless agreed in writing by both Parties. To the extent Service Provider agrees in writing to provide such Additional Services hereunder, the P</w:t>
      </w:r>
      <w:r>
        <w:rPr>
          <w:rFonts w:ascii="Arial" w:eastAsia="Arial" w:hAnsi="Arial" w:cs="Arial"/>
          <w:sz w:val="19"/>
          <w:szCs w:val="19"/>
        </w:rPr>
        <w:t xml:space="preserve">arties shall cooperate and act in good faith to add such Additional Services to </w:t>
      </w:r>
      <w:r>
        <w:rPr>
          <w:rFonts w:ascii="Arial" w:eastAsia="Arial" w:hAnsi="Arial" w:cs="Arial"/>
          <w:sz w:val="19"/>
          <w:szCs w:val="19"/>
          <w:u w:val="single"/>
        </w:rPr>
        <w:t>Schedule 1</w:t>
      </w:r>
      <w:r>
        <w:rPr>
          <w:rFonts w:ascii="Arial" w:eastAsia="Arial" w:hAnsi="Arial" w:cs="Arial"/>
          <w:sz w:val="19"/>
          <w:szCs w:val="19"/>
        </w:rPr>
        <w:t xml:space="preserve"> to this Agreement. Upon the amendment of </w:t>
      </w:r>
      <w:r>
        <w:rPr>
          <w:rFonts w:ascii="Arial" w:eastAsia="Arial" w:hAnsi="Arial" w:cs="Arial"/>
          <w:sz w:val="19"/>
          <w:szCs w:val="19"/>
          <w:u w:val="single"/>
        </w:rPr>
        <w:t>Schedule 1</w:t>
      </w:r>
      <w:r>
        <w:rPr>
          <w:rFonts w:ascii="Arial" w:eastAsia="Arial" w:hAnsi="Arial" w:cs="Arial"/>
          <w:sz w:val="19"/>
          <w:szCs w:val="19"/>
        </w:rPr>
        <w:t xml:space="preserve"> upon mutual written agreement of the Parties to include such Additional Services, the term “Services” shall inclu</w:t>
      </w:r>
      <w:r>
        <w:rPr>
          <w:rFonts w:ascii="Arial" w:eastAsia="Arial" w:hAnsi="Arial" w:cs="Arial"/>
          <w:sz w:val="19"/>
          <w:szCs w:val="19"/>
        </w:rPr>
        <w:t>de such Additional Services.</w:t>
      </w:r>
    </w:p>
    <w:p w14:paraId="78D879B5" w14:textId="77777777" w:rsidR="00D1587D" w:rsidRDefault="00D1587D">
      <w:pPr>
        <w:spacing w:line="361" w:lineRule="exact"/>
        <w:rPr>
          <w:sz w:val="20"/>
          <w:szCs w:val="20"/>
        </w:rPr>
      </w:pPr>
    </w:p>
    <w:p w14:paraId="23C21841" w14:textId="77777777" w:rsidR="00D1587D" w:rsidRDefault="00410D07">
      <w:pPr>
        <w:jc w:val="center"/>
        <w:rPr>
          <w:sz w:val="20"/>
          <w:szCs w:val="20"/>
        </w:rPr>
      </w:pPr>
      <w:r>
        <w:rPr>
          <w:rFonts w:ascii="Arial" w:eastAsia="Arial" w:hAnsi="Arial" w:cs="Arial"/>
        </w:rPr>
        <w:t>4</w:t>
      </w:r>
    </w:p>
    <w:p w14:paraId="6829470F" w14:textId="77777777" w:rsidR="00D1587D" w:rsidRDefault="00410D07">
      <w:pPr>
        <w:spacing w:line="20" w:lineRule="exact"/>
        <w:rPr>
          <w:sz w:val="20"/>
          <w:szCs w:val="20"/>
        </w:rPr>
      </w:pPr>
      <w:r>
        <w:rPr>
          <w:noProof/>
          <w:sz w:val="20"/>
          <w:szCs w:val="20"/>
        </w:rPr>
        <w:drawing>
          <wp:anchor distT="0" distB="0" distL="114300" distR="114300" simplePos="0" relativeHeight="251382784" behindDoc="1" locked="0" layoutInCell="0" allowOverlap="1" wp14:anchorId="011EFEF4" wp14:editId="1D277F67">
            <wp:simplePos x="0" y="0"/>
            <wp:positionH relativeFrom="column">
              <wp:posOffset>5080</wp:posOffset>
            </wp:positionH>
            <wp:positionV relativeFrom="paragraph">
              <wp:posOffset>41275</wp:posOffset>
            </wp:positionV>
            <wp:extent cx="7132320" cy="1714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1297F54D" w14:textId="77777777" w:rsidR="00D1587D" w:rsidRDefault="00D1587D">
      <w:pPr>
        <w:sectPr w:rsidR="00D1587D">
          <w:pgSz w:w="11900" w:h="16838"/>
          <w:pgMar w:top="355" w:right="339" w:bottom="1440" w:left="320" w:header="0" w:footer="0" w:gutter="0"/>
          <w:cols w:space="720" w:equalWidth="0">
            <w:col w:w="11240"/>
          </w:cols>
        </w:sectPr>
      </w:pPr>
    </w:p>
    <w:p w14:paraId="6AAA3F32" w14:textId="77777777" w:rsidR="00D1587D" w:rsidRDefault="00410D07">
      <w:pPr>
        <w:spacing w:line="245" w:lineRule="auto"/>
        <w:ind w:firstLine="648"/>
        <w:jc w:val="both"/>
        <w:rPr>
          <w:sz w:val="20"/>
          <w:szCs w:val="20"/>
        </w:rPr>
      </w:pPr>
      <w:bookmarkStart w:id="221" w:name="page222"/>
      <w:bookmarkEnd w:id="221"/>
      <w:r>
        <w:rPr>
          <w:rFonts w:ascii="Arial" w:eastAsia="Arial" w:hAnsi="Arial" w:cs="Arial"/>
          <w:sz w:val="21"/>
          <w:szCs w:val="21"/>
        </w:rPr>
        <w:t xml:space="preserve">Section 2.02. </w:t>
      </w:r>
      <w:r>
        <w:rPr>
          <w:rFonts w:ascii="Arial" w:eastAsia="Arial" w:hAnsi="Arial" w:cs="Arial"/>
          <w:i/>
          <w:iCs/>
          <w:sz w:val="21"/>
          <w:szCs w:val="21"/>
        </w:rPr>
        <w:t>Products</w:t>
      </w:r>
      <w:r>
        <w:rPr>
          <w:rFonts w:ascii="Arial" w:eastAsia="Arial" w:hAnsi="Arial" w:cs="Arial"/>
          <w:sz w:val="21"/>
          <w:szCs w:val="21"/>
        </w:rPr>
        <w:t xml:space="preserve">. Service Provider shall provide the Services for the personal care and apparel product lines of the VS Business for which Service Provider provides the Services to the VS </w:t>
      </w:r>
      <w:r>
        <w:rPr>
          <w:rFonts w:ascii="Arial" w:eastAsia="Arial" w:hAnsi="Arial" w:cs="Arial"/>
          <w:sz w:val="21"/>
          <w:szCs w:val="21"/>
        </w:rPr>
        <w:t>Business as of the Effective Date (“</w:t>
      </w:r>
      <w:r>
        <w:rPr>
          <w:rFonts w:ascii="Arial" w:eastAsia="Arial" w:hAnsi="Arial" w:cs="Arial"/>
          <w:b/>
          <w:bCs/>
          <w:sz w:val="21"/>
          <w:szCs w:val="21"/>
        </w:rPr>
        <w:t>VS Products</w:t>
      </w:r>
      <w:r>
        <w:rPr>
          <w:rFonts w:ascii="Arial" w:eastAsia="Arial" w:hAnsi="Arial" w:cs="Arial"/>
          <w:sz w:val="21"/>
          <w:szCs w:val="21"/>
        </w:rPr>
        <w:t>”). To the extent VS desires Service Provider to provide the Services for additional product lines of the VS Business (“</w:t>
      </w:r>
      <w:r>
        <w:rPr>
          <w:rFonts w:ascii="Arial" w:eastAsia="Arial" w:hAnsi="Arial" w:cs="Arial"/>
          <w:b/>
          <w:bCs/>
          <w:sz w:val="21"/>
          <w:szCs w:val="21"/>
        </w:rPr>
        <w:t>Additional Products</w:t>
      </w:r>
      <w:r>
        <w:rPr>
          <w:rFonts w:ascii="Arial" w:eastAsia="Arial" w:hAnsi="Arial" w:cs="Arial"/>
          <w:sz w:val="21"/>
          <w:szCs w:val="21"/>
        </w:rPr>
        <w:t>”), the Parties shall negotiate in good faith the terms (including cost and term) with respect to the provision of Services for such Additional Products (it being understood that the Parties acknowledge and agree that such Additional Products may require d</w:t>
      </w:r>
      <w:r>
        <w:rPr>
          <w:rFonts w:ascii="Arial" w:eastAsia="Arial" w:hAnsi="Arial" w:cs="Arial"/>
          <w:sz w:val="21"/>
          <w:szCs w:val="21"/>
        </w:rPr>
        <w:t xml:space="preserve">ifferent processing and different cost structure); </w:t>
      </w:r>
      <w:r>
        <w:rPr>
          <w:rFonts w:ascii="Arial" w:eastAsia="Arial" w:hAnsi="Arial" w:cs="Arial"/>
          <w:i/>
          <w:iCs/>
          <w:sz w:val="21"/>
          <w:szCs w:val="21"/>
        </w:rPr>
        <w:t>provided</w:t>
      </w:r>
      <w:r>
        <w:rPr>
          <w:rFonts w:ascii="Arial" w:eastAsia="Arial" w:hAnsi="Arial" w:cs="Arial"/>
          <w:sz w:val="21"/>
          <w:szCs w:val="21"/>
        </w:rPr>
        <w:t xml:space="preserve"> that nothing herein shall obligate either Party to agree to any such terms or to provide or receive the Services with respect to such Additional Products unless agreed in writing by both Parties. </w:t>
      </w:r>
      <w:r>
        <w:rPr>
          <w:rFonts w:ascii="Arial" w:eastAsia="Arial" w:hAnsi="Arial" w:cs="Arial"/>
          <w:sz w:val="21"/>
          <w:szCs w:val="21"/>
        </w:rPr>
        <w:t>To the extent the Parties mutually agree in writing on such terms for such Additional Products, the term “VS Products” shall include such Additional Products.</w:t>
      </w:r>
    </w:p>
    <w:p w14:paraId="20475228" w14:textId="77777777" w:rsidR="00D1587D" w:rsidRDefault="00D1587D">
      <w:pPr>
        <w:spacing w:line="211" w:lineRule="exact"/>
        <w:rPr>
          <w:sz w:val="20"/>
          <w:szCs w:val="20"/>
        </w:rPr>
      </w:pPr>
    </w:p>
    <w:p w14:paraId="6B279F12" w14:textId="77777777" w:rsidR="00D1587D" w:rsidRDefault="00410D07">
      <w:pPr>
        <w:spacing w:line="269" w:lineRule="auto"/>
        <w:ind w:firstLine="648"/>
        <w:jc w:val="both"/>
        <w:rPr>
          <w:sz w:val="20"/>
          <w:szCs w:val="20"/>
        </w:rPr>
      </w:pPr>
      <w:r>
        <w:rPr>
          <w:rFonts w:ascii="Arial" w:eastAsia="Arial" w:hAnsi="Arial" w:cs="Arial"/>
          <w:sz w:val="19"/>
          <w:szCs w:val="19"/>
        </w:rPr>
        <w:t xml:space="preserve">Section 2.03. </w:t>
      </w:r>
      <w:r>
        <w:rPr>
          <w:rFonts w:ascii="Arial" w:eastAsia="Arial" w:hAnsi="Arial" w:cs="Arial"/>
          <w:i/>
          <w:iCs/>
          <w:sz w:val="19"/>
          <w:szCs w:val="19"/>
        </w:rPr>
        <w:t>Cooperation; Facilities; Further Actions</w:t>
      </w:r>
      <w:r>
        <w:rPr>
          <w:rFonts w:ascii="Arial" w:eastAsia="Arial" w:hAnsi="Arial" w:cs="Arial"/>
          <w:sz w:val="19"/>
          <w:szCs w:val="19"/>
        </w:rPr>
        <w:t>. (a) Upon a Party’s reasonable request, t</w:t>
      </w:r>
      <w:r>
        <w:rPr>
          <w:rFonts w:ascii="Arial" w:eastAsia="Arial" w:hAnsi="Arial" w:cs="Arial"/>
          <w:sz w:val="19"/>
          <w:szCs w:val="19"/>
        </w:rPr>
        <w:t>he other Party shall provide such requesting Party (or in the case of Service Provider as the requesting Party, the applicable Service Provider Party), access to all facilities (including all ancillary facilities-related services), assets and materials and</w:t>
      </w:r>
      <w:r>
        <w:rPr>
          <w:rFonts w:ascii="Arial" w:eastAsia="Arial" w:hAnsi="Arial" w:cs="Arial"/>
          <w:sz w:val="19"/>
          <w:szCs w:val="19"/>
        </w:rPr>
        <w:t xml:space="preserve"> copies of all relevant information (including destination addresses, weight of packages, dimensions of packages, content of packages, etc.), in each case, necessary or reasonably useful for the Service Provider Party to provide the Services to VS or for V</w:t>
      </w:r>
      <w:r>
        <w:rPr>
          <w:rFonts w:ascii="Arial" w:eastAsia="Arial" w:hAnsi="Arial" w:cs="Arial"/>
          <w:sz w:val="19"/>
          <w:szCs w:val="19"/>
        </w:rPr>
        <w:t xml:space="preserve">S to receive the Services, as applicable. Without limiting the foregoing, as a condition for Service Provider’s provision of the Services to VS, VS shall (i) prior to delivery to Service Provider, package all relevant VS Products, and label such packages, </w:t>
      </w:r>
      <w:r>
        <w:rPr>
          <w:rFonts w:ascii="Arial" w:eastAsia="Arial" w:hAnsi="Arial" w:cs="Arial"/>
          <w:sz w:val="19"/>
          <w:szCs w:val="19"/>
        </w:rPr>
        <w:t>in accordance with Service Provider’s reasonable requests and in any event, in a manner substantially similar to the manner in which the VS Products were packaged and such packages were labeled with respect to similar Services immediately prior to the Effe</w:t>
      </w:r>
      <w:r>
        <w:rPr>
          <w:rFonts w:ascii="Arial" w:eastAsia="Arial" w:hAnsi="Arial" w:cs="Arial"/>
          <w:sz w:val="19"/>
          <w:szCs w:val="19"/>
        </w:rPr>
        <w:t>ctive Date,</w:t>
      </w:r>
    </w:p>
    <w:p w14:paraId="6A0E6DDF" w14:textId="77777777" w:rsidR="00D1587D" w:rsidRDefault="00D1587D">
      <w:pPr>
        <w:spacing w:line="1" w:lineRule="exact"/>
        <w:rPr>
          <w:sz w:val="20"/>
          <w:szCs w:val="20"/>
        </w:rPr>
      </w:pPr>
    </w:p>
    <w:p w14:paraId="4699F96D" w14:textId="77777777" w:rsidR="00D1587D" w:rsidRDefault="00410D07">
      <w:pPr>
        <w:numPr>
          <w:ilvl w:val="0"/>
          <w:numId w:val="190"/>
        </w:numPr>
        <w:tabs>
          <w:tab w:val="left" w:pos="350"/>
        </w:tabs>
        <w:spacing w:line="232" w:lineRule="auto"/>
        <w:ind w:firstLine="8"/>
        <w:jc w:val="both"/>
        <w:rPr>
          <w:rFonts w:ascii="Arial" w:eastAsia="Arial" w:hAnsi="Arial" w:cs="Arial"/>
        </w:rPr>
      </w:pPr>
      <w:r>
        <w:rPr>
          <w:rFonts w:ascii="Arial" w:eastAsia="Arial" w:hAnsi="Arial" w:cs="Arial"/>
        </w:rPr>
        <w:t>provide the Service Provider Party with any and all necessary import and export documentation and information for the relevant VS Products, (iii) provide Service Provider with volume and destination forecasts in a form and manner substantially</w:t>
      </w:r>
      <w:r>
        <w:rPr>
          <w:rFonts w:ascii="Arial" w:eastAsia="Arial" w:hAnsi="Arial" w:cs="Arial"/>
        </w:rPr>
        <w:t xml:space="preserve"> similar to the manner in which such forecasts were provided by the VS Business immediately prior to the Effective Date and (iv) provide the Service Provider Party with any and all necessary hazardous shipping documentation (including Material Safety Data </w:t>
      </w:r>
      <w:r>
        <w:rPr>
          <w:rFonts w:ascii="Arial" w:eastAsia="Arial" w:hAnsi="Arial" w:cs="Arial"/>
        </w:rPr>
        <w:t>Sheets (MSDS)) for the VS Products. Service Provider shall not be responsible for any inability to provide a Service or any delay in doing so to the extent that such inability or delay is the result of the failure of VS to timely comply with any of its obl</w:t>
      </w:r>
      <w:r>
        <w:rPr>
          <w:rFonts w:ascii="Arial" w:eastAsia="Arial" w:hAnsi="Arial" w:cs="Arial"/>
        </w:rPr>
        <w:t xml:space="preserve">igations in this </w:t>
      </w:r>
      <w:r>
        <w:rPr>
          <w:rFonts w:ascii="Arial" w:eastAsia="Arial" w:hAnsi="Arial" w:cs="Arial"/>
          <w:u w:val="single"/>
        </w:rPr>
        <w:t>Section 2.03(a)</w:t>
      </w:r>
      <w:r>
        <w:rPr>
          <w:rFonts w:ascii="Arial" w:eastAsia="Arial" w:hAnsi="Arial" w:cs="Arial"/>
        </w:rPr>
        <w:t>.</w:t>
      </w:r>
    </w:p>
    <w:p w14:paraId="1C029647" w14:textId="77777777" w:rsidR="00D1587D" w:rsidRDefault="00D1587D">
      <w:pPr>
        <w:spacing w:line="214" w:lineRule="exact"/>
        <w:rPr>
          <w:rFonts w:ascii="Arial" w:eastAsia="Arial" w:hAnsi="Arial" w:cs="Arial"/>
        </w:rPr>
      </w:pPr>
    </w:p>
    <w:p w14:paraId="2A4BE6CE" w14:textId="77777777" w:rsidR="00D1587D" w:rsidRDefault="00410D07">
      <w:pPr>
        <w:numPr>
          <w:ilvl w:val="1"/>
          <w:numId w:val="190"/>
        </w:numPr>
        <w:tabs>
          <w:tab w:val="left" w:pos="1826"/>
        </w:tabs>
        <w:spacing w:line="272" w:lineRule="auto"/>
        <w:ind w:firstLine="850"/>
        <w:jc w:val="both"/>
        <w:rPr>
          <w:rFonts w:ascii="Arial" w:eastAsia="Arial" w:hAnsi="Arial" w:cs="Arial"/>
          <w:sz w:val="19"/>
          <w:szCs w:val="19"/>
        </w:rPr>
      </w:pPr>
      <w:r>
        <w:rPr>
          <w:rFonts w:ascii="Arial" w:eastAsia="Arial" w:hAnsi="Arial" w:cs="Arial"/>
          <w:sz w:val="19"/>
          <w:szCs w:val="19"/>
        </w:rPr>
        <w:t xml:space="preserve">Service Provider and VS shall use commercially reasonable efforts to obtain, and to keep and maintain in effect (or to cause their respective Affiliates to obtain, and to keep and maintain in effect), all governmental or </w:t>
      </w:r>
      <w:r>
        <w:rPr>
          <w:rFonts w:ascii="Arial" w:eastAsia="Arial" w:hAnsi="Arial" w:cs="Arial"/>
          <w:sz w:val="19"/>
          <w:szCs w:val="19"/>
        </w:rPr>
        <w:t xml:space="preserve">third party licenses and consents required for the provision of the Services by Service Provider in accordance with the terms of this Agreement; </w:t>
      </w:r>
      <w:r>
        <w:rPr>
          <w:rFonts w:ascii="Arial" w:eastAsia="Arial" w:hAnsi="Arial" w:cs="Arial"/>
          <w:i/>
          <w:iCs/>
          <w:sz w:val="19"/>
          <w:szCs w:val="19"/>
        </w:rPr>
        <w:t xml:space="preserve">provided </w:t>
      </w:r>
      <w:r>
        <w:rPr>
          <w:rFonts w:ascii="Arial" w:eastAsia="Arial" w:hAnsi="Arial" w:cs="Arial"/>
          <w:sz w:val="19"/>
          <w:szCs w:val="19"/>
        </w:rPr>
        <w:t>that if Service Provider or any of its Affiliates is unable to obtain any such license or consent, Ser</w:t>
      </w:r>
      <w:r>
        <w:rPr>
          <w:rFonts w:ascii="Arial" w:eastAsia="Arial" w:hAnsi="Arial" w:cs="Arial"/>
          <w:sz w:val="19"/>
          <w:szCs w:val="19"/>
        </w:rPr>
        <w:t>vice Provider shall</w:t>
      </w:r>
      <w:r>
        <w:rPr>
          <w:rFonts w:ascii="Arial" w:eastAsia="Arial" w:hAnsi="Arial" w:cs="Arial"/>
          <w:i/>
          <w:iCs/>
          <w:sz w:val="19"/>
          <w:szCs w:val="19"/>
        </w:rPr>
        <w:t xml:space="preserve"> </w:t>
      </w:r>
      <w:r>
        <w:rPr>
          <w:rFonts w:ascii="Arial" w:eastAsia="Arial" w:hAnsi="Arial" w:cs="Arial"/>
          <w:sz w:val="19"/>
          <w:szCs w:val="19"/>
        </w:rPr>
        <w:t xml:space="preserve">promptly notify VS in writing and shall, and shall cause its Affiliates to, use commercially reasonable efforts to implement an appropriate alternative arrangement. The costs relating to obtaining any such licenses or consents shall be </w:t>
      </w:r>
      <w:r>
        <w:rPr>
          <w:rFonts w:ascii="Arial" w:eastAsia="Arial" w:hAnsi="Arial" w:cs="Arial"/>
          <w:sz w:val="19"/>
          <w:szCs w:val="19"/>
        </w:rPr>
        <w:t>borne solely by VS (the “</w:t>
      </w:r>
      <w:r>
        <w:rPr>
          <w:rFonts w:ascii="Arial" w:eastAsia="Arial" w:hAnsi="Arial" w:cs="Arial"/>
          <w:b/>
          <w:bCs/>
          <w:sz w:val="19"/>
          <w:szCs w:val="19"/>
        </w:rPr>
        <w:t>Third Party Consent Costs</w:t>
      </w:r>
      <w:r>
        <w:rPr>
          <w:rFonts w:ascii="Arial" w:eastAsia="Arial" w:hAnsi="Arial" w:cs="Arial"/>
          <w:sz w:val="19"/>
          <w:szCs w:val="19"/>
        </w:rPr>
        <w:t>”) and none of Service Provider or any of its Affiliates shall be required to pay any money or other consideration or grant any other accommodation to any Person (including any amendment to any contract) or</w:t>
      </w:r>
      <w:r>
        <w:rPr>
          <w:rFonts w:ascii="Arial" w:eastAsia="Arial" w:hAnsi="Arial" w:cs="Arial"/>
          <w:sz w:val="19"/>
          <w:szCs w:val="19"/>
        </w:rPr>
        <w:t xml:space="preserve"> initiate any action, suit or proceeding against any Person to obtain any such license or consent; </w:t>
      </w:r>
      <w:r>
        <w:rPr>
          <w:rFonts w:ascii="Arial" w:eastAsia="Arial" w:hAnsi="Arial" w:cs="Arial"/>
          <w:i/>
          <w:iCs/>
          <w:sz w:val="19"/>
          <w:szCs w:val="19"/>
        </w:rPr>
        <w:t>provided</w:t>
      </w:r>
      <w:r>
        <w:rPr>
          <w:rFonts w:ascii="Arial" w:eastAsia="Arial" w:hAnsi="Arial" w:cs="Arial"/>
          <w:sz w:val="19"/>
          <w:szCs w:val="19"/>
        </w:rPr>
        <w:t xml:space="preserve"> that Service Provider and its Affiliates shall not incur any such costs without the prior written consent of VS. If any such license, consent or alt</w:t>
      </w:r>
      <w:r>
        <w:rPr>
          <w:rFonts w:ascii="Arial" w:eastAsia="Arial" w:hAnsi="Arial" w:cs="Arial"/>
          <w:sz w:val="19"/>
          <w:szCs w:val="19"/>
        </w:rPr>
        <w:t xml:space="preserve">ernative arrangement is not available despite the commercially reasonable efforts of Service Provider and its Affiliates or as a result of VS failing to consent to the incurrence of costs relating to obtaining any such license or consent, Service Provider </w:t>
      </w:r>
      <w:r>
        <w:rPr>
          <w:rFonts w:ascii="Arial" w:eastAsia="Arial" w:hAnsi="Arial" w:cs="Arial"/>
          <w:sz w:val="19"/>
          <w:szCs w:val="19"/>
        </w:rPr>
        <w:t>shall not be required to cause to be provided the affected Services.</w:t>
      </w:r>
    </w:p>
    <w:p w14:paraId="3CE22B7A" w14:textId="77777777" w:rsidR="00D1587D" w:rsidRDefault="00D1587D">
      <w:pPr>
        <w:spacing w:line="200" w:lineRule="exact"/>
        <w:rPr>
          <w:sz w:val="20"/>
          <w:szCs w:val="20"/>
        </w:rPr>
      </w:pPr>
    </w:p>
    <w:p w14:paraId="4BAABB77" w14:textId="77777777" w:rsidR="00D1587D" w:rsidRDefault="00D1587D">
      <w:pPr>
        <w:spacing w:line="231" w:lineRule="exact"/>
        <w:rPr>
          <w:sz w:val="20"/>
          <w:szCs w:val="20"/>
        </w:rPr>
      </w:pPr>
    </w:p>
    <w:p w14:paraId="6FE69D64" w14:textId="77777777" w:rsidR="00D1587D" w:rsidRDefault="00410D07">
      <w:pPr>
        <w:ind w:firstLine="648"/>
        <w:jc w:val="both"/>
        <w:rPr>
          <w:sz w:val="20"/>
          <w:szCs w:val="20"/>
        </w:rPr>
      </w:pPr>
      <w:r>
        <w:rPr>
          <w:rFonts w:ascii="Arial" w:eastAsia="Arial" w:hAnsi="Arial" w:cs="Arial"/>
        </w:rPr>
        <w:t xml:space="preserve">Section 2.04. </w:t>
      </w:r>
      <w:r>
        <w:rPr>
          <w:rFonts w:ascii="Arial" w:eastAsia="Arial" w:hAnsi="Arial" w:cs="Arial"/>
          <w:i/>
          <w:iCs/>
        </w:rPr>
        <w:t>Limitations</w:t>
      </w:r>
      <w:r>
        <w:rPr>
          <w:rFonts w:ascii="Arial" w:eastAsia="Arial" w:hAnsi="Arial" w:cs="Arial"/>
        </w:rPr>
        <w:t xml:space="preserve">. (a) VS agrees that the Services will be used by VS solely in connection with the operation of the VS Business. VS may not resell, license the use of or </w:t>
      </w:r>
      <w:r>
        <w:rPr>
          <w:rFonts w:ascii="Arial" w:eastAsia="Arial" w:hAnsi="Arial" w:cs="Arial"/>
        </w:rPr>
        <w:t>otherwise permit the use by any Person other than VS of any Services, except with the prior written consent of Service Provider.</w:t>
      </w:r>
    </w:p>
    <w:p w14:paraId="7D310B5F" w14:textId="77777777" w:rsidR="00D1587D" w:rsidRDefault="00D1587D">
      <w:pPr>
        <w:spacing w:line="213" w:lineRule="exact"/>
        <w:rPr>
          <w:sz w:val="20"/>
          <w:szCs w:val="20"/>
        </w:rPr>
      </w:pPr>
    </w:p>
    <w:p w14:paraId="5D8E3A10" w14:textId="77777777" w:rsidR="00D1587D" w:rsidRDefault="00410D07">
      <w:pPr>
        <w:numPr>
          <w:ilvl w:val="0"/>
          <w:numId w:val="191"/>
        </w:numPr>
        <w:tabs>
          <w:tab w:val="left" w:pos="1674"/>
        </w:tabs>
        <w:spacing w:line="236" w:lineRule="auto"/>
        <w:ind w:firstLine="850"/>
        <w:jc w:val="both"/>
        <w:rPr>
          <w:rFonts w:ascii="Arial" w:eastAsia="Arial" w:hAnsi="Arial" w:cs="Arial"/>
        </w:rPr>
      </w:pPr>
      <w:r>
        <w:rPr>
          <w:rFonts w:ascii="Arial" w:eastAsia="Arial" w:hAnsi="Arial" w:cs="Arial"/>
        </w:rPr>
        <w:t xml:space="preserve">In providing the Services, unless expressly agreed in writing by the Parties, in no event shall Service Provider be obligated </w:t>
      </w:r>
      <w:r>
        <w:rPr>
          <w:rFonts w:ascii="Arial" w:eastAsia="Arial" w:hAnsi="Arial" w:cs="Arial"/>
        </w:rPr>
        <w:t xml:space="preserve">to (i) hire any additional employees, (ii) maintain the employment of any specific employee, (iii) purchase, lease or license any additional equipment, trucks, hardware or software or (iv) provide the Services for any fiscal year at a volume or level that </w:t>
      </w:r>
      <w:r>
        <w:rPr>
          <w:rFonts w:ascii="Arial" w:eastAsia="Arial" w:hAnsi="Arial" w:cs="Arial"/>
        </w:rPr>
        <w:t>is more than one hundred and thirty percent (130%) of the volume or level of the Services provided to the VS Business during the 2019 fiscal year.</w:t>
      </w:r>
    </w:p>
    <w:p w14:paraId="34567013" w14:textId="77777777" w:rsidR="00D1587D" w:rsidRDefault="00D1587D">
      <w:pPr>
        <w:spacing w:line="390" w:lineRule="exact"/>
        <w:rPr>
          <w:sz w:val="20"/>
          <w:szCs w:val="20"/>
        </w:rPr>
      </w:pPr>
    </w:p>
    <w:p w14:paraId="731650D5" w14:textId="77777777" w:rsidR="00D1587D" w:rsidRDefault="00410D07">
      <w:pPr>
        <w:jc w:val="center"/>
        <w:rPr>
          <w:sz w:val="20"/>
          <w:szCs w:val="20"/>
        </w:rPr>
      </w:pPr>
      <w:r>
        <w:rPr>
          <w:rFonts w:ascii="Arial" w:eastAsia="Arial" w:hAnsi="Arial" w:cs="Arial"/>
        </w:rPr>
        <w:t>5</w:t>
      </w:r>
    </w:p>
    <w:p w14:paraId="3A27E39B" w14:textId="77777777" w:rsidR="00D1587D" w:rsidRDefault="00410D07">
      <w:pPr>
        <w:spacing w:line="20" w:lineRule="exact"/>
        <w:rPr>
          <w:sz w:val="20"/>
          <w:szCs w:val="20"/>
        </w:rPr>
      </w:pPr>
      <w:r>
        <w:rPr>
          <w:noProof/>
          <w:sz w:val="20"/>
          <w:szCs w:val="20"/>
        </w:rPr>
        <w:drawing>
          <wp:anchor distT="0" distB="0" distL="114300" distR="114300" simplePos="0" relativeHeight="251383808" behindDoc="1" locked="0" layoutInCell="0" allowOverlap="1" wp14:anchorId="0F4F6511" wp14:editId="73E50990">
            <wp:simplePos x="0" y="0"/>
            <wp:positionH relativeFrom="column">
              <wp:posOffset>5080</wp:posOffset>
            </wp:positionH>
            <wp:positionV relativeFrom="paragraph">
              <wp:posOffset>41275</wp:posOffset>
            </wp:positionV>
            <wp:extent cx="7132320" cy="1714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7537E43" w14:textId="77777777" w:rsidR="00D1587D" w:rsidRDefault="00D1587D">
      <w:pPr>
        <w:sectPr w:rsidR="00D1587D">
          <w:pgSz w:w="11900" w:h="16838"/>
          <w:pgMar w:top="361" w:right="339" w:bottom="1440" w:left="320" w:header="0" w:footer="0" w:gutter="0"/>
          <w:cols w:space="720" w:equalWidth="0">
            <w:col w:w="11240"/>
          </w:cols>
        </w:sectPr>
      </w:pPr>
    </w:p>
    <w:p w14:paraId="491F98B8" w14:textId="77777777" w:rsidR="00D1587D" w:rsidRDefault="00410D07">
      <w:pPr>
        <w:tabs>
          <w:tab w:val="left" w:pos="2300"/>
        </w:tabs>
        <w:ind w:left="660"/>
        <w:rPr>
          <w:sz w:val="20"/>
          <w:szCs w:val="20"/>
        </w:rPr>
      </w:pPr>
      <w:bookmarkStart w:id="222" w:name="page223"/>
      <w:bookmarkEnd w:id="222"/>
      <w:r>
        <w:rPr>
          <w:rFonts w:ascii="Arial" w:eastAsia="Arial" w:hAnsi="Arial" w:cs="Arial"/>
        </w:rPr>
        <w:t>Section 2.05.</w:t>
      </w:r>
      <w:r>
        <w:rPr>
          <w:sz w:val="20"/>
          <w:szCs w:val="20"/>
        </w:rPr>
        <w:tab/>
      </w:r>
      <w:r>
        <w:rPr>
          <w:rFonts w:ascii="Arial" w:eastAsia="Arial" w:hAnsi="Arial" w:cs="Arial"/>
          <w:i/>
          <w:iCs/>
          <w:sz w:val="19"/>
          <w:szCs w:val="19"/>
        </w:rPr>
        <w:t>Information Technology.</w:t>
      </w:r>
    </w:p>
    <w:p w14:paraId="5C32B684" w14:textId="77777777" w:rsidR="00D1587D" w:rsidRDefault="00D1587D">
      <w:pPr>
        <w:spacing w:line="233" w:lineRule="exact"/>
        <w:rPr>
          <w:sz w:val="20"/>
          <w:szCs w:val="20"/>
        </w:rPr>
      </w:pPr>
    </w:p>
    <w:p w14:paraId="2090C078" w14:textId="77777777" w:rsidR="00D1587D" w:rsidRDefault="00410D07">
      <w:pPr>
        <w:numPr>
          <w:ilvl w:val="0"/>
          <w:numId w:val="192"/>
        </w:numPr>
        <w:tabs>
          <w:tab w:val="left" w:pos="1656"/>
        </w:tabs>
        <w:spacing w:line="245" w:lineRule="auto"/>
        <w:ind w:firstLine="850"/>
        <w:jc w:val="both"/>
        <w:rPr>
          <w:rFonts w:ascii="Arial" w:eastAsia="Arial" w:hAnsi="Arial" w:cs="Arial"/>
          <w:sz w:val="21"/>
          <w:szCs w:val="21"/>
        </w:rPr>
      </w:pPr>
      <w:r>
        <w:rPr>
          <w:rFonts w:ascii="Arial" w:eastAsia="Arial" w:hAnsi="Arial" w:cs="Arial"/>
          <w:sz w:val="21"/>
          <w:szCs w:val="21"/>
        </w:rPr>
        <w:t>Subject to the terms and conditions herein, VS may access Service Provider’s information technology systems solely to the extent necessary to (i) provide Service Provider information regarding the type, volume and requested timing and destination of VS Pro</w:t>
      </w:r>
      <w:r>
        <w:rPr>
          <w:rFonts w:ascii="Arial" w:eastAsia="Arial" w:hAnsi="Arial" w:cs="Arial"/>
          <w:sz w:val="21"/>
          <w:szCs w:val="21"/>
        </w:rPr>
        <w:t xml:space="preserve">ducts to be transported and delivered in connection with the Services or any other information requested by Service Provider and (ii) to the extent available, receive access to real-time data related to the VS Products for purposes of tracking and tracing </w:t>
      </w:r>
      <w:r>
        <w:rPr>
          <w:rFonts w:ascii="Arial" w:eastAsia="Arial" w:hAnsi="Arial" w:cs="Arial"/>
          <w:sz w:val="21"/>
          <w:szCs w:val="21"/>
        </w:rPr>
        <w:t xml:space="preserve">freight; </w:t>
      </w:r>
      <w:r>
        <w:rPr>
          <w:rFonts w:ascii="Arial" w:eastAsia="Arial" w:hAnsi="Arial" w:cs="Arial"/>
          <w:i/>
          <w:iCs/>
          <w:sz w:val="21"/>
          <w:szCs w:val="21"/>
        </w:rPr>
        <w:t>provided</w:t>
      </w:r>
      <w:r>
        <w:rPr>
          <w:rFonts w:ascii="Arial" w:eastAsia="Arial" w:hAnsi="Arial" w:cs="Arial"/>
          <w:sz w:val="21"/>
          <w:szCs w:val="21"/>
        </w:rPr>
        <w:t xml:space="preserve"> that Service Provider may without prior notice and without liability to VS, exclude for good cause any VS employee from Service Provider’s information technology systems if, in Service Provider’s reasonable and good faith opinion, such ex</w:t>
      </w:r>
      <w:r>
        <w:rPr>
          <w:rFonts w:ascii="Arial" w:eastAsia="Arial" w:hAnsi="Arial" w:cs="Arial"/>
          <w:sz w:val="21"/>
          <w:szCs w:val="21"/>
        </w:rPr>
        <w:t>clusion is deemed advisable in the interest of completion of the Services, the safety or security of the information technology systems or employees of any Service Provider Party or the confidentiality of any Service Provider Party’s Confidential Informati</w:t>
      </w:r>
      <w:r>
        <w:rPr>
          <w:rFonts w:ascii="Arial" w:eastAsia="Arial" w:hAnsi="Arial" w:cs="Arial"/>
          <w:sz w:val="21"/>
          <w:szCs w:val="21"/>
        </w:rPr>
        <w:t>on.</w:t>
      </w:r>
    </w:p>
    <w:p w14:paraId="6C347F40" w14:textId="77777777" w:rsidR="00D1587D" w:rsidRDefault="00D1587D">
      <w:pPr>
        <w:spacing w:line="211" w:lineRule="exact"/>
        <w:rPr>
          <w:rFonts w:ascii="Arial" w:eastAsia="Arial" w:hAnsi="Arial" w:cs="Arial"/>
          <w:sz w:val="21"/>
          <w:szCs w:val="21"/>
        </w:rPr>
      </w:pPr>
    </w:p>
    <w:p w14:paraId="3502BB47" w14:textId="77777777" w:rsidR="00D1587D" w:rsidRDefault="00410D07">
      <w:pPr>
        <w:numPr>
          <w:ilvl w:val="0"/>
          <w:numId w:val="192"/>
        </w:numPr>
        <w:tabs>
          <w:tab w:val="left" w:pos="1653"/>
        </w:tabs>
        <w:spacing w:line="271" w:lineRule="auto"/>
        <w:ind w:firstLine="850"/>
        <w:jc w:val="both"/>
        <w:rPr>
          <w:rFonts w:ascii="Arial" w:eastAsia="Arial" w:hAnsi="Arial" w:cs="Arial"/>
          <w:sz w:val="19"/>
          <w:szCs w:val="19"/>
        </w:rPr>
      </w:pPr>
      <w:r>
        <w:rPr>
          <w:rFonts w:ascii="Arial" w:eastAsia="Arial" w:hAnsi="Arial" w:cs="Arial"/>
          <w:sz w:val="19"/>
          <w:szCs w:val="19"/>
        </w:rPr>
        <w:t>VS shall, and shall cause its employees and any subcontractors to (i) not attempt to obtain access to or use any information technology systems of any Service Provider Party, or any data owned by any Service Provider Party, or any data used or process</w:t>
      </w:r>
      <w:r>
        <w:rPr>
          <w:rFonts w:ascii="Arial" w:eastAsia="Arial" w:hAnsi="Arial" w:cs="Arial"/>
          <w:sz w:val="19"/>
          <w:szCs w:val="19"/>
        </w:rPr>
        <w:t>ed by Service Provider (other than any data of VS), except to the extent required to receive the Services, (ii) maintain reasonable security measures to protect the systems of each Service Provider Party to which it has access pursuant to this Agreement fr</w:t>
      </w:r>
      <w:r>
        <w:rPr>
          <w:rFonts w:ascii="Arial" w:eastAsia="Arial" w:hAnsi="Arial" w:cs="Arial"/>
          <w:sz w:val="19"/>
          <w:szCs w:val="19"/>
        </w:rPr>
        <w:t>om access by unauthorized third parties, and any “back door”, “time bomb”, “Trojan Horse”, “worm”, “drop dead device”, “virus” or other computer software routine intended or designed to disrupt, disable, harm or otherwise impede in any manner the operation</w:t>
      </w:r>
      <w:r>
        <w:rPr>
          <w:rFonts w:ascii="Arial" w:eastAsia="Arial" w:hAnsi="Arial" w:cs="Arial"/>
          <w:sz w:val="19"/>
          <w:szCs w:val="19"/>
        </w:rPr>
        <w:t xml:space="preserve"> of such systems, (iii) not permit access or use of information technology systems of any Service Provider Party by a third party other than as authorized by prior written consent of Service Provider, (iv) not disable, damage or erase or disrupt or impair </w:t>
      </w:r>
      <w:r>
        <w:rPr>
          <w:rFonts w:ascii="Arial" w:eastAsia="Arial" w:hAnsi="Arial" w:cs="Arial"/>
          <w:sz w:val="19"/>
          <w:szCs w:val="19"/>
        </w:rPr>
        <w:t>the normal operation of the information technology systems of any Service Provider Party, and (v) comply with the security policies and procedures of each Service Provider Party (to the extent previously provided to VS in writing and applicable to such Ser</w:t>
      </w:r>
      <w:r>
        <w:rPr>
          <w:rFonts w:ascii="Arial" w:eastAsia="Arial" w:hAnsi="Arial" w:cs="Arial"/>
          <w:sz w:val="19"/>
          <w:szCs w:val="19"/>
        </w:rPr>
        <w:t>vice Provider Party’s information technology systems). Each Party shall promptly notify the other Party in the event it or any of its respective Affiliates becomes aware of or suspects that there has been a breach of security or a loss, theft or unauthoriz</w:t>
      </w:r>
      <w:r>
        <w:rPr>
          <w:rFonts w:ascii="Arial" w:eastAsia="Arial" w:hAnsi="Arial" w:cs="Arial"/>
          <w:sz w:val="19"/>
          <w:szCs w:val="19"/>
        </w:rPr>
        <w:t>ed access, use or disclosure of any information technology systems (collectively, “</w:t>
      </w:r>
      <w:r>
        <w:rPr>
          <w:rFonts w:ascii="Arial" w:eastAsia="Arial" w:hAnsi="Arial" w:cs="Arial"/>
          <w:b/>
          <w:bCs/>
          <w:sz w:val="19"/>
          <w:szCs w:val="19"/>
        </w:rPr>
        <w:t>IT Breach</w:t>
      </w:r>
      <w:r>
        <w:rPr>
          <w:rFonts w:ascii="Arial" w:eastAsia="Arial" w:hAnsi="Arial" w:cs="Arial"/>
          <w:sz w:val="19"/>
          <w:szCs w:val="19"/>
        </w:rPr>
        <w:t xml:space="preserve">”) of any Service Provider Party or VS to the extent such (A) IT Breach could adversely affect the provision or receipt of the Services hereunder or such other </w:t>
      </w:r>
      <w:r>
        <w:rPr>
          <w:rFonts w:ascii="Arial" w:eastAsia="Arial" w:hAnsi="Arial" w:cs="Arial"/>
          <w:sz w:val="19"/>
          <w:szCs w:val="19"/>
        </w:rPr>
        <w:t>Party’s data or Confidential Information or (B) notice is required by Applicable Law.</w:t>
      </w:r>
    </w:p>
    <w:p w14:paraId="44D7648A" w14:textId="77777777" w:rsidR="00D1587D" w:rsidRDefault="00D1587D">
      <w:pPr>
        <w:spacing w:line="187" w:lineRule="exact"/>
        <w:rPr>
          <w:sz w:val="20"/>
          <w:szCs w:val="20"/>
        </w:rPr>
      </w:pPr>
    </w:p>
    <w:p w14:paraId="1638E27E" w14:textId="77777777" w:rsidR="00D1587D" w:rsidRDefault="00410D07">
      <w:pPr>
        <w:jc w:val="center"/>
        <w:rPr>
          <w:sz w:val="20"/>
          <w:szCs w:val="20"/>
        </w:rPr>
      </w:pPr>
      <w:r>
        <w:rPr>
          <w:rFonts w:ascii="Arial" w:eastAsia="Arial" w:hAnsi="Arial" w:cs="Arial"/>
        </w:rPr>
        <w:t>ARTICLE 3</w:t>
      </w:r>
    </w:p>
    <w:p w14:paraId="1F55C5E1" w14:textId="77777777" w:rsidR="00D1587D" w:rsidRDefault="00D1587D">
      <w:pPr>
        <w:spacing w:line="8" w:lineRule="exact"/>
        <w:rPr>
          <w:sz w:val="20"/>
          <w:szCs w:val="20"/>
        </w:rPr>
      </w:pPr>
    </w:p>
    <w:p w14:paraId="389514DE" w14:textId="77777777" w:rsidR="00D1587D" w:rsidRDefault="00410D07">
      <w:pPr>
        <w:jc w:val="center"/>
        <w:rPr>
          <w:sz w:val="20"/>
          <w:szCs w:val="20"/>
        </w:rPr>
      </w:pPr>
      <w:r>
        <w:rPr>
          <w:rFonts w:ascii="Arial" w:eastAsia="Arial" w:hAnsi="Arial" w:cs="Arial"/>
        </w:rPr>
        <w:t>SERVICE FEES.</w:t>
      </w:r>
    </w:p>
    <w:p w14:paraId="4A4E511B" w14:textId="77777777" w:rsidR="00D1587D" w:rsidRDefault="00D1587D">
      <w:pPr>
        <w:spacing w:line="215" w:lineRule="exact"/>
        <w:rPr>
          <w:sz w:val="20"/>
          <w:szCs w:val="20"/>
        </w:rPr>
      </w:pPr>
    </w:p>
    <w:p w14:paraId="398A4516" w14:textId="77777777" w:rsidR="00D1587D" w:rsidRDefault="00410D07">
      <w:pPr>
        <w:spacing w:line="252" w:lineRule="auto"/>
        <w:ind w:firstLine="648"/>
        <w:jc w:val="both"/>
        <w:rPr>
          <w:sz w:val="20"/>
          <w:szCs w:val="20"/>
        </w:rPr>
      </w:pPr>
      <w:r>
        <w:rPr>
          <w:rFonts w:ascii="Arial" w:eastAsia="Arial" w:hAnsi="Arial" w:cs="Arial"/>
          <w:sz w:val="21"/>
          <w:szCs w:val="21"/>
        </w:rPr>
        <w:t xml:space="preserve">Section 3.01. </w:t>
      </w:r>
      <w:r>
        <w:rPr>
          <w:rFonts w:ascii="Arial" w:eastAsia="Arial" w:hAnsi="Arial" w:cs="Arial"/>
          <w:i/>
          <w:iCs/>
          <w:sz w:val="21"/>
          <w:szCs w:val="21"/>
        </w:rPr>
        <w:t>Fees for Services</w:t>
      </w:r>
      <w:r>
        <w:rPr>
          <w:rFonts w:ascii="Arial" w:eastAsia="Arial" w:hAnsi="Arial" w:cs="Arial"/>
          <w:sz w:val="21"/>
          <w:szCs w:val="21"/>
        </w:rPr>
        <w:t>. In consideration for the Services provided under this Agreement, subject to the provisions hereof, VS shall pa</w:t>
      </w:r>
      <w:r>
        <w:rPr>
          <w:rFonts w:ascii="Arial" w:eastAsia="Arial" w:hAnsi="Arial" w:cs="Arial"/>
          <w:sz w:val="21"/>
          <w:szCs w:val="21"/>
        </w:rPr>
        <w:t xml:space="preserve">y to Service Provider (or the Service Provider Party designated by Service Provider) the fees set forth in </w:t>
      </w:r>
      <w:r>
        <w:rPr>
          <w:rFonts w:ascii="Arial" w:eastAsia="Arial" w:hAnsi="Arial" w:cs="Arial"/>
          <w:sz w:val="21"/>
          <w:szCs w:val="21"/>
          <w:u w:val="single"/>
        </w:rPr>
        <w:t>Schedule 2</w:t>
      </w:r>
      <w:r>
        <w:rPr>
          <w:rFonts w:ascii="Arial" w:eastAsia="Arial" w:hAnsi="Arial" w:cs="Arial"/>
          <w:sz w:val="21"/>
          <w:szCs w:val="21"/>
        </w:rPr>
        <w:t xml:space="preserve"> for the Services (“</w:t>
      </w:r>
      <w:r>
        <w:rPr>
          <w:rFonts w:ascii="Arial" w:eastAsia="Arial" w:hAnsi="Arial" w:cs="Arial"/>
          <w:b/>
          <w:bCs/>
          <w:sz w:val="21"/>
          <w:szCs w:val="21"/>
        </w:rPr>
        <w:t>Fees</w:t>
      </w:r>
      <w:r>
        <w:rPr>
          <w:rFonts w:ascii="Arial" w:eastAsia="Arial" w:hAnsi="Arial" w:cs="Arial"/>
          <w:sz w:val="21"/>
          <w:szCs w:val="21"/>
        </w:rPr>
        <w:t>”) in accordance with the provisions of, this Agreement, including the Schedules hereto, without any offset or dedu</w:t>
      </w:r>
      <w:r>
        <w:rPr>
          <w:rFonts w:ascii="Arial" w:eastAsia="Arial" w:hAnsi="Arial" w:cs="Arial"/>
          <w:sz w:val="21"/>
          <w:szCs w:val="21"/>
        </w:rPr>
        <w:t>ction except as otherwise expressly set forth herein.</w:t>
      </w:r>
    </w:p>
    <w:p w14:paraId="08893363" w14:textId="77777777" w:rsidR="00D1587D" w:rsidRDefault="00D1587D">
      <w:pPr>
        <w:spacing w:line="201" w:lineRule="exact"/>
        <w:rPr>
          <w:sz w:val="20"/>
          <w:szCs w:val="20"/>
        </w:rPr>
      </w:pPr>
    </w:p>
    <w:p w14:paraId="12852101" w14:textId="77777777" w:rsidR="00D1587D" w:rsidRDefault="00410D07">
      <w:pPr>
        <w:spacing w:line="225" w:lineRule="auto"/>
        <w:ind w:firstLine="648"/>
        <w:jc w:val="both"/>
        <w:rPr>
          <w:sz w:val="20"/>
          <w:szCs w:val="20"/>
        </w:rPr>
      </w:pPr>
      <w:r>
        <w:rPr>
          <w:rFonts w:ascii="Arial" w:eastAsia="Arial" w:hAnsi="Arial" w:cs="Arial"/>
          <w:sz w:val="21"/>
          <w:szCs w:val="21"/>
        </w:rPr>
        <w:t xml:space="preserve">Section 3.02. </w:t>
      </w:r>
      <w:r>
        <w:rPr>
          <w:rFonts w:ascii="Arial" w:eastAsia="Arial" w:hAnsi="Arial" w:cs="Arial"/>
          <w:i/>
          <w:iCs/>
          <w:sz w:val="21"/>
          <w:szCs w:val="21"/>
        </w:rPr>
        <w:t>Payment</w:t>
      </w:r>
      <w:r>
        <w:rPr>
          <w:rFonts w:ascii="Arial" w:eastAsia="Arial" w:hAnsi="Arial" w:cs="Arial"/>
          <w:sz w:val="21"/>
          <w:szCs w:val="21"/>
        </w:rPr>
        <w:t>. (a) Service Provider shall invoice, or shall cause the applicable Service Provider Party to invoice, VS on a monthly basis (not later than the fifteenth (15</w:t>
      </w:r>
      <w:r>
        <w:rPr>
          <w:rFonts w:ascii="Arial" w:eastAsia="Arial" w:hAnsi="Arial" w:cs="Arial"/>
          <w:sz w:val="34"/>
          <w:szCs w:val="34"/>
          <w:vertAlign w:val="superscript"/>
        </w:rPr>
        <w:t>th</w:t>
      </w:r>
      <w:r>
        <w:rPr>
          <w:rFonts w:ascii="Arial" w:eastAsia="Arial" w:hAnsi="Arial" w:cs="Arial"/>
          <w:sz w:val="21"/>
          <w:szCs w:val="21"/>
        </w:rPr>
        <w:t>) day of the followi</w:t>
      </w:r>
      <w:r>
        <w:rPr>
          <w:rFonts w:ascii="Arial" w:eastAsia="Arial" w:hAnsi="Arial" w:cs="Arial"/>
          <w:sz w:val="21"/>
          <w:szCs w:val="21"/>
        </w:rPr>
        <w:t>ng month), for the Fees and Service Taxes (which Service Taxes will be separately stated in each such invoice) incurred in the prior month for the Services, and will provide to VS the same billing data and level of detail provided to the VS Business immedi</w:t>
      </w:r>
      <w:r>
        <w:rPr>
          <w:rFonts w:ascii="Arial" w:eastAsia="Arial" w:hAnsi="Arial" w:cs="Arial"/>
          <w:sz w:val="21"/>
          <w:szCs w:val="21"/>
        </w:rPr>
        <w:t>ately prior to the Effective Date. VS agrees to pay all Fees and Service Taxes invoiced by Service Provider no later than thirty (30) days after the date of such invoice (each, a “</w:t>
      </w:r>
      <w:r>
        <w:rPr>
          <w:rFonts w:ascii="Arial" w:eastAsia="Arial" w:hAnsi="Arial" w:cs="Arial"/>
          <w:b/>
          <w:bCs/>
          <w:sz w:val="21"/>
          <w:szCs w:val="21"/>
        </w:rPr>
        <w:t>Payment Due Date</w:t>
      </w:r>
      <w:r>
        <w:rPr>
          <w:rFonts w:ascii="Arial" w:eastAsia="Arial" w:hAnsi="Arial" w:cs="Arial"/>
          <w:sz w:val="21"/>
          <w:szCs w:val="21"/>
        </w:rPr>
        <w:t>”). Such payments shall be made by VS by wire transfer of im</w:t>
      </w:r>
      <w:r>
        <w:rPr>
          <w:rFonts w:ascii="Arial" w:eastAsia="Arial" w:hAnsi="Arial" w:cs="Arial"/>
          <w:sz w:val="21"/>
          <w:szCs w:val="21"/>
        </w:rPr>
        <w:t>mediately available funds to an account designated in writing by Service Provider.</w:t>
      </w:r>
    </w:p>
    <w:p w14:paraId="184FD425" w14:textId="77777777" w:rsidR="00D1587D" w:rsidRDefault="00D1587D">
      <w:pPr>
        <w:spacing w:line="395" w:lineRule="exact"/>
        <w:rPr>
          <w:sz w:val="20"/>
          <w:szCs w:val="20"/>
        </w:rPr>
      </w:pPr>
    </w:p>
    <w:p w14:paraId="498A4C6F" w14:textId="77777777" w:rsidR="00D1587D" w:rsidRDefault="00410D07">
      <w:pPr>
        <w:jc w:val="center"/>
        <w:rPr>
          <w:sz w:val="20"/>
          <w:szCs w:val="20"/>
        </w:rPr>
      </w:pPr>
      <w:r>
        <w:rPr>
          <w:rFonts w:ascii="Arial" w:eastAsia="Arial" w:hAnsi="Arial" w:cs="Arial"/>
        </w:rPr>
        <w:t>6</w:t>
      </w:r>
    </w:p>
    <w:p w14:paraId="59A3129E" w14:textId="77777777" w:rsidR="00D1587D" w:rsidRDefault="00410D07">
      <w:pPr>
        <w:spacing w:line="20" w:lineRule="exact"/>
        <w:rPr>
          <w:sz w:val="20"/>
          <w:szCs w:val="20"/>
        </w:rPr>
      </w:pPr>
      <w:r>
        <w:rPr>
          <w:noProof/>
          <w:sz w:val="20"/>
          <w:szCs w:val="20"/>
        </w:rPr>
        <w:drawing>
          <wp:anchor distT="0" distB="0" distL="114300" distR="114300" simplePos="0" relativeHeight="251384832" behindDoc="1" locked="0" layoutInCell="0" allowOverlap="1" wp14:anchorId="34ACCD57" wp14:editId="644E53C0">
            <wp:simplePos x="0" y="0"/>
            <wp:positionH relativeFrom="column">
              <wp:posOffset>5080</wp:posOffset>
            </wp:positionH>
            <wp:positionV relativeFrom="paragraph">
              <wp:posOffset>41275</wp:posOffset>
            </wp:positionV>
            <wp:extent cx="7132320" cy="1714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00E1E80" w14:textId="77777777" w:rsidR="00D1587D" w:rsidRDefault="00D1587D">
      <w:pPr>
        <w:sectPr w:rsidR="00D1587D">
          <w:pgSz w:w="11900" w:h="16838"/>
          <w:pgMar w:top="361" w:right="339" w:bottom="1440" w:left="320" w:header="0" w:footer="0" w:gutter="0"/>
          <w:cols w:space="720" w:equalWidth="0">
            <w:col w:w="11240"/>
          </w:cols>
        </w:sectPr>
      </w:pPr>
    </w:p>
    <w:p w14:paraId="18B4EBF2" w14:textId="77777777" w:rsidR="00D1587D" w:rsidRDefault="00410D07">
      <w:pPr>
        <w:numPr>
          <w:ilvl w:val="0"/>
          <w:numId w:val="193"/>
        </w:numPr>
        <w:tabs>
          <w:tab w:val="left" w:pos="1691"/>
        </w:tabs>
        <w:spacing w:line="245" w:lineRule="auto"/>
        <w:ind w:firstLine="850"/>
        <w:jc w:val="both"/>
        <w:rPr>
          <w:rFonts w:ascii="Arial" w:eastAsia="Arial" w:hAnsi="Arial" w:cs="Arial"/>
          <w:sz w:val="20"/>
          <w:szCs w:val="20"/>
        </w:rPr>
      </w:pPr>
      <w:bookmarkStart w:id="223" w:name="page224"/>
      <w:bookmarkEnd w:id="223"/>
      <w:r>
        <w:rPr>
          <w:rFonts w:ascii="Arial" w:eastAsia="Arial" w:hAnsi="Arial" w:cs="Arial"/>
          <w:sz w:val="20"/>
          <w:szCs w:val="20"/>
        </w:rPr>
        <w:t xml:space="preserve">In the event VS has a good faith dispute that any Fees that are the subject of any invoice provided by Service Provider hereunder are not </w:t>
      </w:r>
      <w:r>
        <w:rPr>
          <w:rFonts w:ascii="Arial" w:eastAsia="Arial" w:hAnsi="Arial" w:cs="Arial"/>
          <w:sz w:val="20"/>
          <w:szCs w:val="20"/>
        </w:rPr>
        <w:t>properly payable by VS pursuant to the terms of this Agreement (such amount, a “</w:t>
      </w:r>
      <w:r>
        <w:rPr>
          <w:rFonts w:ascii="Arial" w:eastAsia="Arial" w:hAnsi="Arial" w:cs="Arial"/>
          <w:b/>
          <w:bCs/>
          <w:sz w:val="20"/>
          <w:szCs w:val="20"/>
        </w:rPr>
        <w:t>Disputed</w:t>
      </w:r>
      <w:r>
        <w:rPr>
          <w:rFonts w:ascii="Arial" w:eastAsia="Arial" w:hAnsi="Arial" w:cs="Arial"/>
          <w:sz w:val="20"/>
          <w:szCs w:val="20"/>
        </w:rPr>
        <w:t xml:space="preserve"> </w:t>
      </w:r>
      <w:r>
        <w:rPr>
          <w:rFonts w:ascii="Arial" w:eastAsia="Arial" w:hAnsi="Arial" w:cs="Arial"/>
          <w:b/>
          <w:bCs/>
          <w:sz w:val="20"/>
          <w:szCs w:val="20"/>
        </w:rPr>
        <w:t>Amount</w:t>
      </w:r>
      <w:r>
        <w:rPr>
          <w:rFonts w:ascii="Arial" w:eastAsia="Arial" w:hAnsi="Arial" w:cs="Arial"/>
          <w:sz w:val="20"/>
          <w:szCs w:val="20"/>
        </w:rPr>
        <w:t>”), VS shall notify Service Provider in writing within thirty (30) days after the later of (i) its receipt of such invoice for</w:t>
      </w:r>
      <w:r>
        <w:rPr>
          <w:rFonts w:ascii="Arial" w:eastAsia="Arial" w:hAnsi="Arial" w:cs="Arial"/>
          <w:b/>
          <w:bCs/>
          <w:sz w:val="20"/>
          <w:szCs w:val="20"/>
        </w:rPr>
        <w:t xml:space="preserve"> </w:t>
      </w:r>
      <w:r>
        <w:rPr>
          <w:rFonts w:ascii="Arial" w:eastAsia="Arial" w:hAnsi="Arial" w:cs="Arial"/>
          <w:sz w:val="20"/>
          <w:szCs w:val="20"/>
        </w:rPr>
        <w:t>such Fees or (ii) the date VS beco</w:t>
      </w:r>
      <w:r>
        <w:rPr>
          <w:rFonts w:ascii="Arial" w:eastAsia="Arial" w:hAnsi="Arial" w:cs="Arial"/>
          <w:sz w:val="20"/>
          <w:szCs w:val="20"/>
        </w:rPr>
        <w:t xml:space="preserve">mes aware of such Disputed Amount, but in no event later than one year after VS’s receipt of such invoice. Such notice shall contain the amount of the Disputed Amount, reasonable back-up related to the dispute and a written description of the reason(s) VS </w:t>
      </w:r>
      <w:r>
        <w:rPr>
          <w:rFonts w:ascii="Arial" w:eastAsia="Arial" w:hAnsi="Arial" w:cs="Arial"/>
          <w:sz w:val="20"/>
          <w:szCs w:val="20"/>
        </w:rPr>
        <w:t xml:space="preserve">is disputing such Fees. The Parties shall then work diligently and in good faith to resolve the dispute as soon as reasonably practicable in accordance with the dispute resolution procedures set forth in </w:t>
      </w:r>
      <w:r>
        <w:rPr>
          <w:rFonts w:ascii="Arial" w:eastAsia="Arial" w:hAnsi="Arial" w:cs="Arial"/>
          <w:sz w:val="20"/>
          <w:szCs w:val="20"/>
          <w:u w:val="single"/>
        </w:rPr>
        <w:t>Section 10.07</w:t>
      </w:r>
      <w:r>
        <w:rPr>
          <w:rFonts w:ascii="Arial" w:eastAsia="Arial" w:hAnsi="Arial" w:cs="Arial"/>
          <w:sz w:val="20"/>
          <w:szCs w:val="20"/>
        </w:rPr>
        <w:t>. In the event the resolution of the di</w:t>
      </w:r>
      <w:r>
        <w:rPr>
          <w:rFonts w:ascii="Arial" w:eastAsia="Arial" w:hAnsi="Arial" w:cs="Arial"/>
          <w:sz w:val="20"/>
          <w:szCs w:val="20"/>
        </w:rPr>
        <w:t>spute is such that any such Disputed Amounts are due from VS (“</w:t>
      </w:r>
      <w:r>
        <w:rPr>
          <w:rFonts w:ascii="Arial" w:eastAsia="Arial" w:hAnsi="Arial" w:cs="Arial"/>
          <w:b/>
          <w:bCs/>
          <w:sz w:val="20"/>
          <w:szCs w:val="20"/>
        </w:rPr>
        <w:t>Overdue Amounts</w:t>
      </w:r>
      <w:r>
        <w:rPr>
          <w:rFonts w:ascii="Arial" w:eastAsia="Arial" w:hAnsi="Arial" w:cs="Arial"/>
          <w:sz w:val="20"/>
          <w:szCs w:val="20"/>
        </w:rPr>
        <w:t>”), VS shall pay such Overdue Amounts which are due within thirty (30) days of such resolution, with interest accruing for any such Overdue Amounts not made within fifteen (15) d</w:t>
      </w:r>
      <w:r>
        <w:rPr>
          <w:rFonts w:ascii="Arial" w:eastAsia="Arial" w:hAnsi="Arial" w:cs="Arial"/>
          <w:sz w:val="20"/>
          <w:szCs w:val="20"/>
        </w:rPr>
        <w:t>ays of the applicable Payment Due Date applicable to such Overdue Amounts, at the rate of twelve percent (12%) per annum, from such fifteenth (15</w:t>
      </w:r>
      <w:r>
        <w:rPr>
          <w:rFonts w:ascii="Arial" w:eastAsia="Arial" w:hAnsi="Arial" w:cs="Arial"/>
          <w:sz w:val="32"/>
          <w:szCs w:val="32"/>
          <w:vertAlign w:val="superscript"/>
        </w:rPr>
        <w:t>th</w:t>
      </w:r>
      <w:r>
        <w:rPr>
          <w:rFonts w:ascii="Arial" w:eastAsia="Arial" w:hAnsi="Arial" w:cs="Arial"/>
          <w:sz w:val="20"/>
          <w:szCs w:val="20"/>
        </w:rPr>
        <w:t xml:space="preserve">) day following such Payment Due Date until the date payment is actually made; </w:t>
      </w:r>
      <w:r>
        <w:rPr>
          <w:rFonts w:ascii="Arial" w:eastAsia="Arial" w:hAnsi="Arial" w:cs="Arial"/>
          <w:i/>
          <w:iCs/>
          <w:sz w:val="20"/>
          <w:szCs w:val="20"/>
        </w:rPr>
        <w:t>provided</w:t>
      </w:r>
      <w:r>
        <w:rPr>
          <w:rFonts w:ascii="Arial" w:eastAsia="Arial" w:hAnsi="Arial" w:cs="Arial"/>
          <w:sz w:val="20"/>
          <w:szCs w:val="20"/>
        </w:rPr>
        <w:t xml:space="preserve"> that such interest ra</w:t>
      </w:r>
      <w:r>
        <w:rPr>
          <w:rFonts w:ascii="Arial" w:eastAsia="Arial" w:hAnsi="Arial" w:cs="Arial"/>
          <w:sz w:val="20"/>
          <w:szCs w:val="20"/>
        </w:rPr>
        <w:t>te shall not exceed the maximum rate permitted by Applicable Law. In the event that any Disputed Amount is greater than one hundred thousand U.S. Dollars ($100,000), VS shall pay such Disputed Amount into an escrow account pending resolution of the applica</w:t>
      </w:r>
      <w:r>
        <w:rPr>
          <w:rFonts w:ascii="Arial" w:eastAsia="Arial" w:hAnsi="Arial" w:cs="Arial"/>
          <w:sz w:val="20"/>
          <w:szCs w:val="20"/>
        </w:rPr>
        <w:t>ble dispute.</w:t>
      </w:r>
    </w:p>
    <w:p w14:paraId="6FCC556A" w14:textId="77777777" w:rsidR="00D1587D" w:rsidRDefault="00D1587D">
      <w:pPr>
        <w:spacing w:line="217" w:lineRule="exact"/>
        <w:rPr>
          <w:sz w:val="20"/>
          <w:szCs w:val="20"/>
        </w:rPr>
      </w:pPr>
    </w:p>
    <w:p w14:paraId="0CF5ADAF" w14:textId="77777777" w:rsidR="00D1587D" w:rsidRDefault="00410D07">
      <w:pPr>
        <w:spacing w:line="229" w:lineRule="auto"/>
        <w:ind w:firstLine="648"/>
        <w:jc w:val="both"/>
        <w:rPr>
          <w:sz w:val="20"/>
          <w:szCs w:val="20"/>
        </w:rPr>
      </w:pPr>
      <w:r>
        <w:rPr>
          <w:rFonts w:ascii="Arial" w:eastAsia="Arial" w:hAnsi="Arial" w:cs="Arial"/>
          <w:sz w:val="21"/>
          <w:szCs w:val="21"/>
        </w:rPr>
        <w:t xml:space="preserve">Section 3.03. </w:t>
      </w:r>
      <w:r>
        <w:rPr>
          <w:rFonts w:ascii="Arial" w:eastAsia="Arial" w:hAnsi="Arial" w:cs="Arial"/>
          <w:i/>
          <w:iCs/>
          <w:sz w:val="21"/>
          <w:szCs w:val="21"/>
        </w:rPr>
        <w:t>Late Payment</w:t>
      </w:r>
      <w:r>
        <w:rPr>
          <w:rFonts w:ascii="Arial" w:eastAsia="Arial" w:hAnsi="Arial" w:cs="Arial"/>
          <w:sz w:val="21"/>
          <w:szCs w:val="21"/>
        </w:rPr>
        <w:t>. If VS fails to pay any amount of any Fees due under this Agreement within fifteen (15) days of the applicable Payment Due Date for such Fees, Service Provider may charge, in addition to such amount of Fees due on s</w:t>
      </w:r>
      <w:r>
        <w:rPr>
          <w:rFonts w:ascii="Arial" w:eastAsia="Arial" w:hAnsi="Arial" w:cs="Arial"/>
          <w:sz w:val="21"/>
          <w:szCs w:val="21"/>
        </w:rPr>
        <w:t>uch Payment Due Date, interest on such amount at the rate of twelve percent (12%) per annum, from such 15</w:t>
      </w:r>
      <w:r>
        <w:rPr>
          <w:rFonts w:ascii="Arial" w:eastAsia="Arial" w:hAnsi="Arial" w:cs="Arial"/>
          <w:sz w:val="34"/>
          <w:szCs w:val="34"/>
          <w:vertAlign w:val="superscript"/>
        </w:rPr>
        <w:t>th</w:t>
      </w:r>
      <w:r>
        <w:rPr>
          <w:rFonts w:ascii="Arial" w:eastAsia="Arial" w:hAnsi="Arial" w:cs="Arial"/>
          <w:sz w:val="21"/>
          <w:szCs w:val="21"/>
        </w:rPr>
        <w:t xml:space="preserve"> day following such Payment Due Date until the date payment is actually made; </w:t>
      </w:r>
      <w:r>
        <w:rPr>
          <w:rFonts w:ascii="Arial" w:eastAsia="Arial" w:hAnsi="Arial" w:cs="Arial"/>
          <w:i/>
          <w:iCs/>
          <w:sz w:val="21"/>
          <w:szCs w:val="21"/>
        </w:rPr>
        <w:t>provided</w:t>
      </w:r>
      <w:r>
        <w:rPr>
          <w:rFonts w:ascii="Arial" w:eastAsia="Arial" w:hAnsi="Arial" w:cs="Arial"/>
          <w:sz w:val="21"/>
          <w:szCs w:val="21"/>
        </w:rPr>
        <w:t xml:space="preserve"> that such interest rate shall not exceed the maximum rate perm</w:t>
      </w:r>
      <w:r>
        <w:rPr>
          <w:rFonts w:ascii="Arial" w:eastAsia="Arial" w:hAnsi="Arial" w:cs="Arial"/>
          <w:sz w:val="21"/>
          <w:szCs w:val="21"/>
        </w:rPr>
        <w:t>itted by Applicable Law. All payments made to Service Provider by VS hereunder shall be applied first to unpaid interest and then to Fees invoiced but unpaid. If VS fails to pay the amount of any Fees invoiced hereunder within sixty (60) days of the releva</w:t>
      </w:r>
      <w:r>
        <w:rPr>
          <w:rFonts w:ascii="Arial" w:eastAsia="Arial" w:hAnsi="Arial" w:cs="Arial"/>
          <w:sz w:val="21"/>
          <w:szCs w:val="21"/>
        </w:rPr>
        <w:t xml:space="preserve">nt Payment Due Date, such failure shall be considered a material breach of this Agreement; </w:t>
      </w:r>
      <w:r>
        <w:rPr>
          <w:rFonts w:ascii="Arial" w:eastAsia="Arial" w:hAnsi="Arial" w:cs="Arial"/>
          <w:i/>
          <w:iCs/>
          <w:sz w:val="21"/>
          <w:szCs w:val="21"/>
        </w:rPr>
        <w:t>provided</w:t>
      </w:r>
      <w:r>
        <w:rPr>
          <w:rFonts w:ascii="Arial" w:eastAsia="Arial" w:hAnsi="Arial" w:cs="Arial"/>
          <w:sz w:val="21"/>
          <w:szCs w:val="21"/>
        </w:rPr>
        <w:t xml:space="preserve"> that any such failure to pay any Disputed Amounts during the pendency of the applicable dispute shall not constitute a material breach of this Agreement dur</w:t>
      </w:r>
      <w:r>
        <w:rPr>
          <w:rFonts w:ascii="Arial" w:eastAsia="Arial" w:hAnsi="Arial" w:cs="Arial"/>
          <w:sz w:val="21"/>
          <w:szCs w:val="21"/>
        </w:rPr>
        <w:t>ing the pendency of such dispute.</w:t>
      </w:r>
    </w:p>
    <w:p w14:paraId="4814D4E3" w14:textId="77777777" w:rsidR="00D1587D" w:rsidRDefault="00D1587D">
      <w:pPr>
        <w:spacing w:line="214" w:lineRule="exact"/>
        <w:rPr>
          <w:sz w:val="20"/>
          <w:szCs w:val="20"/>
        </w:rPr>
      </w:pPr>
    </w:p>
    <w:p w14:paraId="6237D8C9" w14:textId="77777777" w:rsidR="00D1587D" w:rsidRDefault="00410D07">
      <w:pPr>
        <w:spacing w:line="236" w:lineRule="auto"/>
        <w:ind w:firstLine="648"/>
        <w:jc w:val="both"/>
        <w:rPr>
          <w:sz w:val="20"/>
          <w:szCs w:val="20"/>
        </w:rPr>
      </w:pPr>
      <w:r>
        <w:rPr>
          <w:rFonts w:ascii="Arial" w:eastAsia="Arial" w:hAnsi="Arial" w:cs="Arial"/>
        </w:rPr>
        <w:t xml:space="preserve">Section 3.04. </w:t>
      </w:r>
      <w:r>
        <w:rPr>
          <w:rFonts w:ascii="Arial" w:eastAsia="Arial" w:hAnsi="Arial" w:cs="Arial"/>
          <w:i/>
          <w:iCs/>
        </w:rPr>
        <w:t>Suspension</w:t>
      </w:r>
      <w:r>
        <w:rPr>
          <w:rFonts w:ascii="Arial" w:eastAsia="Arial" w:hAnsi="Arial" w:cs="Arial"/>
        </w:rPr>
        <w:t xml:space="preserve">. Notwithstanding anything to the contrary in this Agreement, to the extent the aggregate amount of any overdue unpaid invoices and/or Disputed Amounts exceeds one million U.S. Dollars </w:t>
      </w:r>
      <w:r>
        <w:rPr>
          <w:rFonts w:ascii="Arial" w:eastAsia="Arial" w:hAnsi="Arial" w:cs="Arial"/>
        </w:rPr>
        <w:t>($1,000,000), Service Provider may, after ten (10) days’ prior written notice to VS, elect to suspend, without liability, its obligations hereunder to cause to be provided any or all Services to VS until such time as such invoices have been paid in full an</w:t>
      </w:r>
      <w:r>
        <w:rPr>
          <w:rFonts w:ascii="Arial" w:eastAsia="Arial" w:hAnsi="Arial" w:cs="Arial"/>
        </w:rPr>
        <w:t>d the disputes applicable to the Disputed Amounts have been resolved.</w:t>
      </w:r>
    </w:p>
    <w:p w14:paraId="13848C6F" w14:textId="77777777" w:rsidR="00D1587D" w:rsidRDefault="00D1587D">
      <w:pPr>
        <w:spacing w:line="214" w:lineRule="exact"/>
        <w:rPr>
          <w:sz w:val="20"/>
          <w:szCs w:val="20"/>
        </w:rPr>
      </w:pPr>
    </w:p>
    <w:p w14:paraId="5F0C4A00" w14:textId="77777777" w:rsidR="00D1587D" w:rsidRDefault="00410D07">
      <w:pPr>
        <w:spacing w:line="244" w:lineRule="auto"/>
        <w:ind w:firstLine="648"/>
        <w:jc w:val="both"/>
        <w:rPr>
          <w:sz w:val="20"/>
          <w:szCs w:val="20"/>
        </w:rPr>
      </w:pPr>
      <w:r>
        <w:rPr>
          <w:rFonts w:ascii="Arial" w:eastAsia="Arial" w:hAnsi="Arial" w:cs="Arial"/>
          <w:sz w:val="21"/>
          <w:szCs w:val="21"/>
        </w:rPr>
        <w:t xml:space="preserve">Section 3.05. </w:t>
      </w:r>
      <w:r>
        <w:rPr>
          <w:rFonts w:ascii="Arial" w:eastAsia="Arial" w:hAnsi="Arial" w:cs="Arial"/>
          <w:i/>
          <w:iCs/>
          <w:sz w:val="21"/>
          <w:szCs w:val="21"/>
        </w:rPr>
        <w:t>Taxes</w:t>
      </w:r>
      <w:r>
        <w:rPr>
          <w:rFonts w:ascii="Arial" w:eastAsia="Arial" w:hAnsi="Arial" w:cs="Arial"/>
          <w:sz w:val="21"/>
          <w:szCs w:val="21"/>
        </w:rPr>
        <w:t>. (a) VS shall bear and pay all applicable sales, use, transaction, consumption, excise, services, value added, transfer and other similar taxes (and any related inte</w:t>
      </w:r>
      <w:r>
        <w:rPr>
          <w:rFonts w:ascii="Arial" w:eastAsia="Arial" w:hAnsi="Arial" w:cs="Arial"/>
          <w:sz w:val="21"/>
          <w:szCs w:val="21"/>
        </w:rPr>
        <w:t>rest, penalty, addition to tax or additional amount imposed) incurred or imposed with respect to the provision of the Services hereunder, to this Agreement or to any payment hereunder (“</w:t>
      </w:r>
      <w:r>
        <w:rPr>
          <w:rFonts w:ascii="Arial" w:eastAsia="Arial" w:hAnsi="Arial" w:cs="Arial"/>
          <w:b/>
          <w:bCs/>
          <w:sz w:val="21"/>
          <w:szCs w:val="21"/>
        </w:rPr>
        <w:t>Service Taxes</w:t>
      </w:r>
      <w:r>
        <w:rPr>
          <w:rFonts w:ascii="Arial" w:eastAsia="Arial" w:hAnsi="Arial" w:cs="Arial"/>
          <w:sz w:val="21"/>
          <w:szCs w:val="21"/>
        </w:rPr>
        <w:t>”), whether or not such Service Taxes are shown on any in</w:t>
      </w:r>
      <w:r>
        <w:rPr>
          <w:rFonts w:ascii="Arial" w:eastAsia="Arial" w:hAnsi="Arial" w:cs="Arial"/>
          <w:sz w:val="21"/>
          <w:szCs w:val="21"/>
        </w:rPr>
        <w:t xml:space="preserve">voices; </w:t>
      </w:r>
      <w:r>
        <w:rPr>
          <w:rFonts w:ascii="Arial" w:eastAsia="Arial" w:hAnsi="Arial" w:cs="Arial"/>
          <w:i/>
          <w:iCs/>
          <w:sz w:val="21"/>
          <w:szCs w:val="21"/>
        </w:rPr>
        <w:t>provided</w:t>
      </w:r>
      <w:r>
        <w:rPr>
          <w:rFonts w:ascii="Arial" w:eastAsia="Arial" w:hAnsi="Arial" w:cs="Arial"/>
          <w:sz w:val="21"/>
          <w:szCs w:val="21"/>
        </w:rPr>
        <w:t xml:space="preserve">, </w:t>
      </w:r>
      <w:r>
        <w:rPr>
          <w:rFonts w:ascii="Arial" w:eastAsia="Arial" w:hAnsi="Arial" w:cs="Arial"/>
          <w:i/>
          <w:iCs/>
          <w:sz w:val="21"/>
          <w:szCs w:val="21"/>
        </w:rPr>
        <w:t>however</w:t>
      </w:r>
      <w:r>
        <w:rPr>
          <w:rFonts w:ascii="Arial" w:eastAsia="Arial" w:hAnsi="Arial" w:cs="Arial"/>
          <w:sz w:val="21"/>
          <w:szCs w:val="21"/>
        </w:rPr>
        <w:t xml:space="preserve">, that VS shall not be responsible hereunder for any interest or penalties incurred as a result of any failure of such Service Taxes to be shown on the appropriate invoice as provided above. If Service Provider pays any portion of </w:t>
      </w:r>
      <w:r>
        <w:rPr>
          <w:rFonts w:ascii="Arial" w:eastAsia="Arial" w:hAnsi="Arial" w:cs="Arial"/>
          <w:sz w:val="21"/>
          <w:szCs w:val="21"/>
        </w:rPr>
        <w:t xml:space="preserve">such Service Taxes, VS shall reimburse Service Provider within five (5) days of receipt of evidence that such Service Taxes have been paid. Any Service Taxes shall be incremental to other payments or charges identified in this Agreement. For the avoidance </w:t>
      </w:r>
      <w:r>
        <w:rPr>
          <w:rFonts w:ascii="Arial" w:eastAsia="Arial" w:hAnsi="Arial" w:cs="Arial"/>
          <w:sz w:val="21"/>
          <w:szCs w:val="21"/>
        </w:rPr>
        <w:t>of doubt, VS shall not be required to bear or pay any taxes of any Service Provider Party except as expressly provided herein. Each Party shall, and shall cause its Affiliates to, use commercially reasonable efforts to minimize or reduce the amount of Serv</w:t>
      </w:r>
      <w:r>
        <w:rPr>
          <w:rFonts w:ascii="Arial" w:eastAsia="Arial" w:hAnsi="Arial" w:cs="Arial"/>
          <w:sz w:val="21"/>
          <w:szCs w:val="21"/>
        </w:rPr>
        <w:t>ice Taxes otherwise payable, including by availing itself of any available exemptions or reductions to any such Service Taxes and cooperating with the other Party in providing information or documentation that may be reasonably necessary to minimize such S</w:t>
      </w:r>
      <w:r>
        <w:rPr>
          <w:rFonts w:ascii="Arial" w:eastAsia="Arial" w:hAnsi="Arial" w:cs="Arial"/>
          <w:sz w:val="21"/>
          <w:szCs w:val="21"/>
        </w:rPr>
        <w:t>ervice Taxes or to obtain such exemptions.</w:t>
      </w:r>
    </w:p>
    <w:p w14:paraId="757FCD5F" w14:textId="77777777" w:rsidR="00D1587D" w:rsidRDefault="00D1587D">
      <w:pPr>
        <w:spacing w:line="386" w:lineRule="exact"/>
        <w:rPr>
          <w:sz w:val="20"/>
          <w:szCs w:val="20"/>
        </w:rPr>
      </w:pPr>
    </w:p>
    <w:p w14:paraId="42F69A84" w14:textId="77777777" w:rsidR="00D1587D" w:rsidRDefault="00410D07">
      <w:pPr>
        <w:jc w:val="center"/>
        <w:rPr>
          <w:sz w:val="20"/>
          <w:szCs w:val="20"/>
        </w:rPr>
      </w:pPr>
      <w:r>
        <w:rPr>
          <w:rFonts w:ascii="Arial" w:eastAsia="Arial" w:hAnsi="Arial" w:cs="Arial"/>
        </w:rPr>
        <w:t>7</w:t>
      </w:r>
    </w:p>
    <w:p w14:paraId="09928E1A" w14:textId="77777777" w:rsidR="00D1587D" w:rsidRDefault="00410D07">
      <w:pPr>
        <w:spacing w:line="20" w:lineRule="exact"/>
        <w:rPr>
          <w:sz w:val="20"/>
          <w:szCs w:val="20"/>
        </w:rPr>
      </w:pPr>
      <w:r>
        <w:rPr>
          <w:noProof/>
          <w:sz w:val="20"/>
          <w:szCs w:val="20"/>
        </w:rPr>
        <w:drawing>
          <wp:anchor distT="0" distB="0" distL="114300" distR="114300" simplePos="0" relativeHeight="251385856" behindDoc="1" locked="0" layoutInCell="0" allowOverlap="1" wp14:anchorId="2BEFE217" wp14:editId="2CC15111">
            <wp:simplePos x="0" y="0"/>
            <wp:positionH relativeFrom="column">
              <wp:posOffset>5080</wp:posOffset>
            </wp:positionH>
            <wp:positionV relativeFrom="paragraph">
              <wp:posOffset>41275</wp:posOffset>
            </wp:positionV>
            <wp:extent cx="7132320" cy="1714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6622E3F" w14:textId="77777777" w:rsidR="00D1587D" w:rsidRDefault="00D1587D">
      <w:pPr>
        <w:sectPr w:rsidR="00D1587D">
          <w:pgSz w:w="11900" w:h="16838"/>
          <w:pgMar w:top="361" w:right="339" w:bottom="1440" w:left="320" w:header="0" w:footer="0" w:gutter="0"/>
          <w:cols w:space="720" w:equalWidth="0">
            <w:col w:w="11240"/>
          </w:cols>
        </w:sectPr>
      </w:pPr>
    </w:p>
    <w:p w14:paraId="0F950693" w14:textId="77777777" w:rsidR="00D1587D" w:rsidRDefault="00410D07">
      <w:pPr>
        <w:numPr>
          <w:ilvl w:val="0"/>
          <w:numId w:val="194"/>
        </w:numPr>
        <w:tabs>
          <w:tab w:val="left" w:pos="1732"/>
        </w:tabs>
        <w:spacing w:line="272" w:lineRule="auto"/>
        <w:ind w:firstLine="850"/>
        <w:jc w:val="both"/>
        <w:rPr>
          <w:rFonts w:ascii="Arial" w:eastAsia="Arial" w:hAnsi="Arial" w:cs="Arial"/>
          <w:sz w:val="19"/>
          <w:szCs w:val="19"/>
        </w:rPr>
      </w:pPr>
      <w:bookmarkStart w:id="224" w:name="page225"/>
      <w:bookmarkEnd w:id="224"/>
      <w:r>
        <w:rPr>
          <w:rFonts w:ascii="Arial" w:eastAsia="Arial" w:hAnsi="Arial" w:cs="Arial"/>
          <w:sz w:val="19"/>
          <w:szCs w:val="19"/>
        </w:rPr>
        <w:t xml:space="preserve">All sums payable under this Agreement shall be paid free and clear of all deductions or withholdings unless such deduction or withholding is required by Applicable Law, in which event the </w:t>
      </w:r>
      <w:r>
        <w:rPr>
          <w:rFonts w:ascii="Arial" w:eastAsia="Arial" w:hAnsi="Arial" w:cs="Arial"/>
          <w:sz w:val="19"/>
          <w:szCs w:val="19"/>
        </w:rPr>
        <w:t>Party or other Person making such payment shall be entitled to deduct and withhold from any such sum any such amount required to be so deducted or withheld under Applicable Law, such Party or other Person shall remit (or cause to be remitted) such deducted</w:t>
      </w:r>
      <w:r>
        <w:rPr>
          <w:rFonts w:ascii="Arial" w:eastAsia="Arial" w:hAnsi="Arial" w:cs="Arial"/>
          <w:sz w:val="19"/>
          <w:szCs w:val="19"/>
        </w:rPr>
        <w:t xml:space="preserve"> or withheld amounts over to the applicable Governmental Authority in accordance with the requirements of Applicable Law and provide the recipient of such sums with an official receipt confirming payment. To the extent that any amounts are deducted or with</w:t>
      </w:r>
      <w:r>
        <w:rPr>
          <w:rFonts w:ascii="Arial" w:eastAsia="Arial" w:hAnsi="Arial" w:cs="Arial"/>
          <w:sz w:val="19"/>
          <w:szCs w:val="19"/>
        </w:rPr>
        <w:t>held from sums otherwise payable under this Agreement and remitted to the applicable Governmental Authority as provided above, such amounts shall be treated for all purposes of this Agreement as having been paid to the Party or other Person in respect of w</w:t>
      </w:r>
      <w:r>
        <w:rPr>
          <w:rFonts w:ascii="Arial" w:eastAsia="Arial" w:hAnsi="Arial" w:cs="Arial"/>
          <w:sz w:val="19"/>
          <w:szCs w:val="19"/>
        </w:rPr>
        <w:t>hich such deduction or withholding was made. Each Party shall, and shall cause its Affiliates to, use commercially reasonable efforts to minimize or reduce the amount of any such required withholding or deduction, including by availing itself of any availa</w:t>
      </w:r>
      <w:r>
        <w:rPr>
          <w:rFonts w:ascii="Arial" w:eastAsia="Arial" w:hAnsi="Arial" w:cs="Arial"/>
          <w:sz w:val="19"/>
          <w:szCs w:val="19"/>
        </w:rPr>
        <w:t>ble exemptions from or reductions to such withholding or deduction and cooperating with the other Party in providing information or documentation that may be reasonably necessary to minimize such withholding or deduction or to obtain such exemptions.</w:t>
      </w:r>
    </w:p>
    <w:p w14:paraId="6329E727" w14:textId="77777777" w:rsidR="00D1587D" w:rsidRDefault="00D1587D">
      <w:pPr>
        <w:spacing w:line="188" w:lineRule="exact"/>
        <w:rPr>
          <w:sz w:val="20"/>
          <w:szCs w:val="20"/>
        </w:rPr>
      </w:pPr>
    </w:p>
    <w:p w14:paraId="5995B462" w14:textId="77777777" w:rsidR="00D1587D" w:rsidRDefault="00410D07">
      <w:pPr>
        <w:spacing w:line="271" w:lineRule="auto"/>
        <w:ind w:firstLine="648"/>
        <w:jc w:val="both"/>
        <w:rPr>
          <w:sz w:val="20"/>
          <w:szCs w:val="20"/>
        </w:rPr>
      </w:pPr>
      <w:r>
        <w:rPr>
          <w:rFonts w:ascii="Arial" w:eastAsia="Arial" w:hAnsi="Arial" w:cs="Arial"/>
          <w:sz w:val="19"/>
          <w:szCs w:val="19"/>
        </w:rPr>
        <w:t xml:space="preserve">Section 3.06. </w:t>
      </w:r>
      <w:r>
        <w:rPr>
          <w:rFonts w:ascii="Arial" w:eastAsia="Arial" w:hAnsi="Arial" w:cs="Arial"/>
          <w:i/>
          <w:iCs/>
          <w:sz w:val="19"/>
          <w:szCs w:val="19"/>
        </w:rPr>
        <w:t>Audits.</w:t>
      </w:r>
      <w:r>
        <w:rPr>
          <w:rFonts w:ascii="Arial" w:eastAsia="Arial" w:hAnsi="Arial" w:cs="Arial"/>
          <w:sz w:val="19"/>
          <w:szCs w:val="19"/>
        </w:rPr>
        <w:t xml:space="preserve"> Throughout the Term and for one (1) year thereafter, VS shall have the right once within each calendar year, at its own expense and on thirty (30) days’ advance written notice to Service Provider, to have an independent auditor reason</w:t>
      </w:r>
      <w:r>
        <w:rPr>
          <w:rFonts w:ascii="Arial" w:eastAsia="Arial" w:hAnsi="Arial" w:cs="Arial"/>
          <w:sz w:val="19"/>
          <w:szCs w:val="19"/>
        </w:rPr>
        <w:t>ably acceptable to Service Provider (and who has executed an appropriate confidentiality agreement reasonably acceptable to Service Provider) audit the books and records of Service Provider or any of its Affiliates for the sole purpose of certifying the ac</w:t>
      </w:r>
      <w:r>
        <w:rPr>
          <w:rFonts w:ascii="Arial" w:eastAsia="Arial" w:hAnsi="Arial" w:cs="Arial"/>
          <w:sz w:val="19"/>
          <w:szCs w:val="19"/>
        </w:rPr>
        <w:t xml:space="preserve">curacy of the Fees charged by Service Provider to VS in accordance with the terms of this Agreement for the preceding calendar year; </w:t>
      </w:r>
      <w:r>
        <w:rPr>
          <w:rFonts w:ascii="Arial" w:eastAsia="Arial" w:hAnsi="Arial" w:cs="Arial"/>
          <w:i/>
          <w:iCs/>
          <w:sz w:val="19"/>
          <w:szCs w:val="19"/>
        </w:rPr>
        <w:t>provided</w:t>
      </w:r>
      <w:r>
        <w:rPr>
          <w:rFonts w:ascii="Arial" w:eastAsia="Arial" w:hAnsi="Arial" w:cs="Arial"/>
          <w:sz w:val="19"/>
          <w:szCs w:val="19"/>
        </w:rPr>
        <w:t xml:space="preserve"> that (a) any such audit shall take place during reasonable business hours on a mutually agreed upon date, (b) such</w:t>
      </w:r>
      <w:r>
        <w:rPr>
          <w:rFonts w:ascii="Arial" w:eastAsia="Arial" w:hAnsi="Arial" w:cs="Arial"/>
          <w:sz w:val="19"/>
          <w:szCs w:val="19"/>
        </w:rPr>
        <w:t xml:space="preserve"> auditor shall in no event be entitled to any contingency fee (or otherwise have any portion of its compensation be directly or indirectly determined based on the outcome of such audit) and (c) no such books and records may be audited more than one time. S</w:t>
      </w:r>
      <w:r>
        <w:rPr>
          <w:rFonts w:ascii="Arial" w:eastAsia="Arial" w:hAnsi="Arial" w:cs="Arial"/>
          <w:sz w:val="19"/>
          <w:szCs w:val="19"/>
        </w:rPr>
        <w:t xml:space="preserve">ervice Provider may designate competitively sensitive information which such auditor may see and review but which it may not disclose to VS and all such books and records, and any applicable audit report and findings, shall be the Confidential Information </w:t>
      </w:r>
      <w:r>
        <w:rPr>
          <w:rFonts w:ascii="Arial" w:eastAsia="Arial" w:hAnsi="Arial" w:cs="Arial"/>
          <w:sz w:val="19"/>
          <w:szCs w:val="19"/>
        </w:rPr>
        <w:t>of Service Provider. VS shall provide to Service Provider a copy of each such audit report promptly after its receipt thereof. In the event that any such audit indicates any overpayment or underpayment of Fees paid to Service Provider by VS, the applicable</w:t>
      </w:r>
      <w:r>
        <w:rPr>
          <w:rFonts w:ascii="Arial" w:eastAsia="Arial" w:hAnsi="Arial" w:cs="Arial"/>
          <w:sz w:val="19"/>
          <w:szCs w:val="19"/>
        </w:rPr>
        <w:t xml:space="preserve"> Party shall pay to the other Party (within thirty (30) days following the date of delivery of such audit report to Service Provider) the amount of such overpayment or underpayment, as the case may be. If either Party has a good faith dispute with respect </w:t>
      </w:r>
      <w:r>
        <w:rPr>
          <w:rFonts w:ascii="Arial" w:eastAsia="Arial" w:hAnsi="Arial" w:cs="Arial"/>
          <w:sz w:val="19"/>
          <w:szCs w:val="19"/>
        </w:rPr>
        <w:t xml:space="preserve">to the findings of such audit, the Parties shall follow the dispute resolution procedures set forth in </w:t>
      </w:r>
      <w:r>
        <w:rPr>
          <w:rFonts w:ascii="Arial" w:eastAsia="Arial" w:hAnsi="Arial" w:cs="Arial"/>
          <w:sz w:val="19"/>
          <w:szCs w:val="19"/>
          <w:u w:val="single"/>
        </w:rPr>
        <w:t>Section 10.07</w:t>
      </w:r>
      <w:r>
        <w:rPr>
          <w:rFonts w:ascii="Arial" w:eastAsia="Arial" w:hAnsi="Arial" w:cs="Arial"/>
          <w:sz w:val="19"/>
          <w:szCs w:val="19"/>
        </w:rPr>
        <w:t>.</w:t>
      </w:r>
    </w:p>
    <w:p w14:paraId="5F35FF0C" w14:textId="77777777" w:rsidR="00D1587D" w:rsidRDefault="00D1587D">
      <w:pPr>
        <w:spacing w:line="200" w:lineRule="exact"/>
        <w:rPr>
          <w:sz w:val="20"/>
          <w:szCs w:val="20"/>
        </w:rPr>
      </w:pPr>
    </w:p>
    <w:p w14:paraId="35865B55" w14:textId="77777777" w:rsidR="00D1587D" w:rsidRDefault="00D1587D">
      <w:pPr>
        <w:spacing w:line="230" w:lineRule="exact"/>
        <w:rPr>
          <w:sz w:val="20"/>
          <w:szCs w:val="20"/>
        </w:rPr>
      </w:pPr>
    </w:p>
    <w:p w14:paraId="7E6A9BE6" w14:textId="77777777" w:rsidR="00D1587D" w:rsidRDefault="00410D07">
      <w:pPr>
        <w:jc w:val="center"/>
        <w:rPr>
          <w:sz w:val="20"/>
          <w:szCs w:val="20"/>
        </w:rPr>
      </w:pPr>
      <w:r>
        <w:rPr>
          <w:rFonts w:ascii="Arial" w:eastAsia="Arial" w:hAnsi="Arial" w:cs="Arial"/>
        </w:rPr>
        <w:t>ARTICLE 4</w:t>
      </w:r>
    </w:p>
    <w:p w14:paraId="5AEBC675" w14:textId="77777777" w:rsidR="00D1587D" w:rsidRDefault="00D1587D">
      <w:pPr>
        <w:spacing w:line="8" w:lineRule="exact"/>
        <w:rPr>
          <w:sz w:val="20"/>
          <w:szCs w:val="20"/>
        </w:rPr>
      </w:pPr>
    </w:p>
    <w:p w14:paraId="222952BE" w14:textId="77777777" w:rsidR="00D1587D" w:rsidRDefault="00410D07">
      <w:pPr>
        <w:jc w:val="center"/>
        <w:rPr>
          <w:sz w:val="20"/>
          <w:szCs w:val="20"/>
        </w:rPr>
      </w:pPr>
      <w:r>
        <w:rPr>
          <w:rFonts w:ascii="Arial" w:eastAsia="Arial" w:hAnsi="Arial" w:cs="Arial"/>
        </w:rPr>
        <w:t>STANDARDS OF SERVICE.</w:t>
      </w:r>
    </w:p>
    <w:p w14:paraId="26580D81" w14:textId="77777777" w:rsidR="00D1587D" w:rsidRDefault="00D1587D">
      <w:pPr>
        <w:spacing w:line="215" w:lineRule="exact"/>
        <w:rPr>
          <w:sz w:val="20"/>
          <w:szCs w:val="20"/>
        </w:rPr>
      </w:pPr>
    </w:p>
    <w:p w14:paraId="1B0AD679" w14:textId="77777777" w:rsidR="00D1587D" w:rsidRDefault="00410D07">
      <w:pPr>
        <w:spacing w:line="269" w:lineRule="auto"/>
        <w:ind w:firstLine="648"/>
        <w:jc w:val="both"/>
        <w:rPr>
          <w:sz w:val="20"/>
          <w:szCs w:val="20"/>
        </w:rPr>
      </w:pPr>
      <w:r>
        <w:rPr>
          <w:rFonts w:ascii="Arial" w:eastAsia="Arial" w:hAnsi="Arial" w:cs="Arial"/>
          <w:sz w:val="19"/>
          <w:szCs w:val="19"/>
        </w:rPr>
        <w:t xml:space="preserve">Section 4.01. </w:t>
      </w:r>
      <w:r>
        <w:rPr>
          <w:rFonts w:ascii="Arial" w:eastAsia="Arial" w:hAnsi="Arial" w:cs="Arial"/>
          <w:i/>
          <w:iCs/>
          <w:sz w:val="19"/>
          <w:szCs w:val="19"/>
        </w:rPr>
        <w:t>General Standard of Service</w:t>
      </w:r>
      <w:r>
        <w:rPr>
          <w:rFonts w:ascii="Arial" w:eastAsia="Arial" w:hAnsi="Arial" w:cs="Arial"/>
          <w:sz w:val="19"/>
          <w:szCs w:val="19"/>
        </w:rPr>
        <w:t>. Except as otherwise agreed by the Parties in writing or expressly provided in this Agreement, Service Provider agrees that the nature, quality and standard of care applicable to the delivery of the Services hereunder shall be substantially the same as th</w:t>
      </w:r>
      <w:r>
        <w:rPr>
          <w:rFonts w:ascii="Arial" w:eastAsia="Arial" w:hAnsi="Arial" w:cs="Arial"/>
          <w:sz w:val="19"/>
          <w:szCs w:val="19"/>
        </w:rPr>
        <w:t>at of the Services which Service Provider generally provides from time to time, now or in the future, to its Subsidiaries and Affiliates. Without limiting the foregoing, the Services shall be performed in a good, workmanlike, professional and conscientious</w:t>
      </w:r>
      <w:r>
        <w:rPr>
          <w:rFonts w:ascii="Arial" w:eastAsia="Arial" w:hAnsi="Arial" w:cs="Arial"/>
          <w:sz w:val="19"/>
          <w:szCs w:val="19"/>
        </w:rPr>
        <w:t xml:space="preserve"> manner by experienced and qualified employees of Service Provider or any other Service Provider Party according to the generally accepted standards of the industry to which the Services pertain. Subject to the terms and conditions herein, Service Provider</w:t>
      </w:r>
      <w:r>
        <w:rPr>
          <w:rFonts w:ascii="Arial" w:eastAsia="Arial" w:hAnsi="Arial" w:cs="Arial"/>
          <w:sz w:val="19"/>
          <w:szCs w:val="19"/>
        </w:rPr>
        <w:t xml:space="preserve"> shall not be responsible for any inability to provide the Services or any delay in doing so to the extent that such inability or delay is the result of the failure of VS to timely provide the information, access or other cooperation necessary for Service </w:t>
      </w:r>
      <w:r>
        <w:rPr>
          <w:rFonts w:ascii="Arial" w:eastAsia="Arial" w:hAnsi="Arial" w:cs="Arial"/>
          <w:sz w:val="19"/>
          <w:szCs w:val="19"/>
        </w:rPr>
        <w:t xml:space="preserve">Provider to provide the Services hereunder. Service Provider’s obligation to cause the Services to be provided in accordance with the standards set forth in this </w:t>
      </w:r>
      <w:r>
        <w:rPr>
          <w:rFonts w:ascii="Arial" w:eastAsia="Arial" w:hAnsi="Arial" w:cs="Arial"/>
          <w:sz w:val="19"/>
          <w:szCs w:val="19"/>
          <w:u w:val="single"/>
        </w:rPr>
        <w:t>Section 4.01</w:t>
      </w:r>
      <w:r>
        <w:rPr>
          <w:rFonts w:ascii="Arial" w:eastAsia="Arial" w:hAnsi="Arial" w:cs="Arial"/>
          <w:sz w:val="19"/>
          <w:szCs w:val="19"/>
        </w:rPr>
        <w:t xml:space="preserve"> shall be subject to Service Provider’s right to supplement, modify, substitute or</w:t>
      </w:r>
      <w:r>
        <w:rPr>
          <w:rFonts w:ascii="Arial" w:eastAsia="Arial" w:hAnsi="Arial" w:cs="Arial"/>
          <w:sz w:val="19"/>
          <w:szCs w:val="19"/>
        </w:rPr>
        <w:t xml:space="preserve"> otherwise alter any of the Services from time to time in a manner that is generally consistent with supplements, modifications, substitutions or alterations made for similar services provided or otherwise made available by Service Provider, or as required</w:t>
      </w:r>
      <w:r>
        <w:rPr>
          <w:rFonts w:ascii="Arial" w:eastAsia="Arial" w:hAnsi="Arial" w:cs="Arial"/>
          <w:sz w:val="19"/>
          <w:szCs w:val="19"/>
        </w:rPr>
        <w:t xml:space="preserve"> by Applicable Law. Service Provider shall use reasonable best efforts to inform VS in writing as soon as practicable, but in any event at least thirty (30) days in advance, of any significant change it proposes to undertake with respect to the Services pr</w:t>
      </w:r>
      <w:r>
        <w:rPr>
          <w:rFonts w:ascii="Arial" w:eastAsia="Arial" w:hAnsi="Arial" w:cs="Arial"/>
          <w:sz w:val="19"/>
          <w:szCs w:val="19"/>
        </w:rPr>
        <w:t>ovided to VS hereunder which would result in a material increase in the cost of the Services to VS or a change that would diminish the nature or quality of the Services provided to VS hereunder, and in the event VS reasonably objects thereto, the Parties s</w:t>
      </w:r>
      <w:r>
        <w:rPr>
          <w:rFonts w:ascii="Arial" w:eastAsia="Arial" w:hAnsi="Arial" w:cs="Arial"/>
          <w:sz w:val="19"/>
          <w:szCs w:val="19"/>
        </w:rPr>
        <w:t>hall work together to equitably resolve such objection. Except as otherwise provided in this Agreement, the Parties acknowledge and agree that the management of and control over the provision of the Services (including, without limitation, the determinatio</w:t>
      </w:r>
      <w:r>
        <w:rPr>
          <w:rFonts w:ascii="Arial" w:eastAsia="Arial" w:hAnsi="Arial" w:cs="Arial"/>
          <w:sz w:val="19"/>
          <w:szCs w:val="19"/>
        </w:rPr>
        <w:t>n or designation at any time of the assets, equipment, employees and other resources of Service Provider to be used in connection with providing the Services) shall reside exclusively with Service Provider. In addition, all labor matters relating to any em</w:t>
      </w:r>
      <w:r>
        <w:rPr>
          <w:rFonts w:ascii="Arial" w:eastAsia="Arial" w:hAnsi="Arial" w:cs="Arial"/>
          <w:sz w:val="19"/>
          <w:szCs w:val="19"/>
        </w:rPr>
        <w:t xml:space="preserve">ployees of Service Provider (including, without limitation, any employees of any related entity involved in the provision of Services to VS) shall be within the exclusive control and responsibility of Service Provider, and VS shall not be entitled to take </w:t>
      </w:r>
      <w:r>
        <w:rPr>
          <w:rFonts w:ascii="Arial" w:eastAsia="Arial" w:hAnsi="Arial" w:cs="Arial"/>
          <w:sz w:val="19"/>
          <w:szCs w:val="19"/>
        </w:rPr>
        <w:t>any action affecting such matters.</w:t>
      </w:r>
    </w:p>
    <w:p w14:paraId="09D293D0" w14:textId="77777777" w:rsidR="00D1587D" w:rsidRDefault="00D1587D">
      <w:pPr>
        <w:sectPr w:rsidR="00D1587D">
          <w:pgSz w:w="11900" w:h="16838"/>
          <w:pgMar w:top="361" w:right="339" w:bottom="1440" w:left="320" w:header="0" w:footer="0" w:gutter="0"/>
          <w:cols w:space="720" w:equalWidth="0">
            <w:col w:w="11240"/>
          </w:cols>
        </w:sectPr>
      </w:pPr>
    </w:p>
    <w:p w14:paraId="6E7D3A59" w14:textId="77777777" w:rsidR="00D1587D" w:rsidRDefault="00D1587D">
      <w:pPr>
        <w:spacing w:line="200" w:lineRule="exact"/>
        <w:rPr>
          <w:sz w:val="20"/>
          <w:szCs w:val="20"/>
        </w:rPr>
      </w:pPr>
    </w:p>
    <w:p w14:paraId="5534537B" w14:textId="77777777" w:rsidR="00D1587D" w:rsidRDefault="00D1587D">
      <w:pPr>
        <w:spacing w:line="200" w:lineRule="exact"/>
        <w:rPr>
          <w:sz w:val="20"/>
          <w:szCs w:val="20"/>
        </w:rPr>
      </w:pPr>
    </w:p>
    <w:p w14:paraId="537365EE" w14:textId="77777777" w:rsidR="00D1587D" w:rsidRDefault="00D1587D">
      <w:pPr>
        <w:spacing w:line="220" w:lineRule="exact"/>
        <w:rPr>
          <w:sz w:val="20"/>
          <w:szCs w:val="20"/>
        </w:rPr>
      </w:pPr>
    </w:p>
    <w:p w14:paraId="0D1A49E9" w14:textId="77777777" w:rsidR="00D1587D" w:rsidRDefault="00410D07">
      <w:pPr>
        <w:ind w:right="-19"/>
        <w:jc w:val="center"/>
        <w:rPr>
          <w:sz w:val="20"/>
          <w:szCs w:val="20"/>
        </w:rPr>
      </w:pPr>
      <w:r>
        <w:rPr>
          <w:rFonts w:ascii="Arial" w:eastAsia="Arial" w:hAnsi="Arial" w:cs="Arial"/>
          <w:sz w:val="17"/>
          <w:szCs w:val="17"/>
        </w:rPr>
        <w:t>8</w:t>
      </w:r>
    </w:p>
    <w:p w14:paraId="44921914" w14:textId="77777777" w:rsidR="00D1587D" w:rsidRDefault="00410D07">
      <w:pPr>
        <w:spacing w:line="20" w:lineRule="exact"/>
        <w:rPr>
          <w:sz w:val="20"/>
          <w:szCs w:val="20"/>
        </w:rPr>
      </w:pPr>
      <w:r>
        <w:rPr>
          <w:noProof/>
          <w:sz w:val="20"/>
          <w:szCs w:val="20"/>
        </w:rPr>
        <w:drawing>
          <wp:anchor distT="0" distB="0" distL="114300" distR="114300" simplePos="0" relativeHeight="251386880" behindDoc="1" locked="0" layoutInCell="0" allowOverlap="1" wp14:anchorId="0F4FC24F" wp14:editId="01DE0EF8">
            <wp:simplePos x="0" y="0"/>
            <wp:positionH relativeFrom="column">
              <wp:posOffset>5080</wp:posOffset>
            </wp:positionH>
            <wp:positionV relativeFrom="paragraph">
              <wp:posOffset>78105</wp:posOffset>
            </wp:positionV>
            <wp:extent cx="7132320" cy="1714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3D8FF44" w14:textId="77777777" w:rsidR="00D1587D" w:rsidRDefault="00D1587D">
      <w:pPr>
        <w:sectPr w:rsidR="00D1587D">
          <w:type w:val="continuous"/>
          <w:pgSz w:w="11900" w:h="16838"/>
          <w:pgMar w:top="361" w:right="339" w:bottom="1440" w:left="320" w:header="0" w:footer="0" w:gutter="0"/>
          <w:cols w:space="720" w:equalWidth="0">
            <w:col w:w="11240"/>
          </w:cols>
        </w:sectPr>
      </w:pPr>
    </w:p>
    <w:p w14:paraId="26C595DE" w14:textId="77777777" w:rsidR="00D1587D" w:rsidRDefault="00410D07">
      <w:pPr>
        <w:spacing w:line="238" w:lineRule="auto"/>
        <w:ind w:firstLine="648"/>
        <w:jc w:val="both"/>
        <w:rPr>
          <w:sz w:val="20"/>
          <w:szCs w:val="20"/>
        </w:rPr>
      </w:pPr>
      <w:bookmarkStart w:id="225" w:name="page226"/>
      <w:bookmarkEnd w:id="225"/>
      <w:r>
        <w:rPr>
          <w:rFonts w:ascii="Arial" w:eastAsia="Arial" w:hAnsi="Arial" w:cs="Arial"/>
        </w:rPr>
        <w:t xml:space="preserve">Section 4.02. </w:t>
      </w:r>
      <w:r>
        <w:rPr>
          <w:rFonts w:ascii="Arial" w:eastAsia="Arial" w:hAnsi="Arial" w:cs="Arial"/>
          <w:i/>
          <w:iCs/>
        </w:rPr>
        <w:t>Ownership of Products</w:t>
      </w:r>
      <w:r>
        <w:rPr>
          <w:rFonts w:ascii="Arial" w:eastAsia="Arial" w:hAnsi="Arial" w:cs="Arial"/>
        </w:rPr>
        <w:t xml:space="preserve">. Notwithstanding anything to the contrary in this Agreement, as between the Parties, (a) title to all VS Products that are transported, </w:t>
      </w:r>
      <w:r>
        <w:rPr>
          <w:rFonts w:ascii="Arial" w:eastAsia="Arial" w:hAnsi="Arial" w:cs="Arial"/>
        </w:rPr>
        <w:t>shipped, warehoused or otherwise held in the custody of Service Provider on behalf of VS pursuant to this Agreement shall at all times remain with VS and (b) VS shall at all times be the owner of record of such VS Product.</w:t>
      </w:r>
    </w:p>
    <w:p w14:paraId="0513280A" w14:textId="77777777" w:rsidR="00D1587D" w:rsidRDefault="00D1587D">
      <w:pPr>
        <w:spacing w:line="212" w:lineRule="exact"/>
        <w:rPr>
          <w:sz w:val="20"/>
          <w:szCs w:val="20"/>
        </w:rPr>
      </w:pPr>
    </w:p>
    <w:p w14:paraId="4AF3B890" w14:textId="77777777" w:rsidR="00D1587D" w:rsidRDefault="00410D07">
      <w:pPr>
        <w:tabs>
          <w:tab w:val="left" w:pos="2300"/>
        </w:tabs>
        <w:ind w:left="660"/>
        <w:rPr>
          <w:sz w:val="20"/>
          <w:szCs w:val="20"/>
        </w:rPr>
      </w:pPr>
      <w:r>
        <w:rPr>
          <w:rFonts w:ascii="Arial" w:eastAsia="Arial" w:hAnsi="Arial" w:cs="Arial"/>
        </w:rPr>
        <w:t>Section 4.03.</w:t>
      </w:r>
      <w:r>
        <w:rPr>
          <w:sz w:val="20"/>
          <w:szCs w:val="20"/>
        </w:rPr>
        <w:tab/>
      </w:r>
      <w:r>
        <w:rPr>
          <w:rFonts w:ascii="Arial" w:eastAsia="Arial" w:hAnsi="Arial" w:cs="Arial"/>
          <w:i/>
          <w:iCs/>
          <w:sz w:val="19"/>
          <w:szCs w:val="19"/>
        </w:rPr>
        <w:t>Risk of Loss</w:t>
      </w:r>
      <w:r>
        <w:rPr>
          <w:rFonts w:ascii="Arial" w:eastAsia="Arial" w:hAnsi="Arial" w:cs="Arial"/>
          <w:sz w:val="19"/>
          <w:szCs w:val="19"/>
        </w:rPr>
        <w:t>.</w:t>
      </w:r>
    </w:p>
    <w:p w14:paraId="02FC373F" w14:textId="77777777" w:rsidR="00D1587D" w:rsidRDefault="00D1587D">
      <w:pPr>
        <w:spacing w:line="233" w:lineRule="exact"/>
        <w:rPr>
          <w:sz w:val="20"/>
          <w:szCs w:val="20"/>
        </w:rPr>
      </w:pPr>
    </w:p>
    <w:p w14:paraId="20E01194" w14:textId="77777777" w:rsidR="00D1587D" w:rsidRDefault="00410D07">
      <w:pPr>
        <w:numPr>
          <w:ilvl w:val="0"/>
          <w:numId w:val="195"/>
        </w:numPr>
        <w:tabs>
          <w:tab w:val="left" w:pos="1698"/>
        </w:tabs>
        <w:spacing w:line="282" w:lineRule="auto"/>
        <w:ind w:firstLine="850"/>
        <w:jc w:val="both"/>
        <w:rPr>
          <w:rFonts w:ascii="Arial" w:eastAsia="Arial" w:hAnsi="Arial" w:cs="Arial"/>
          <w:sz w:val="19"/>
          <w:szCs w:val="19"/>
        </w:rPr>
      </w:pPr>
      <w:r>
        <w:rPr>
          <w:rFonts w:ascii="Arial" w:eastAsia="Arial" w:hAnsi="Arial" w:cs="Arial"/>
          <w:sz w:val="19"/>
          <w:szCs w:val="19"/>
        </w:rPr>
        <w:t>Risk of loss for VS Products shall be held by VS until such VS Products are physically delivered to the care, custody or control of a Service Provider Party at a location mutually agreed upon by the Parties in writing, at which point, risk of loss shall tr</w:t>
      </w:r>
      <w:r>
        <w:rPr>
          <w:rFonts w:ascii="Arial" w:eastAsia="Arial" w:hAnsi="Arial" w:cs="Arial"/>
          <w:sz w:val="19"/>
          <w:szCs w:val="19"/>
        </w:rPr>
        <w:t>ansfer to Service Provider, and upon the delivery of such VS Product to the applicable destination agreed upon in writing by the Parties, risk of loss for such VS Products shall transfer to VS. Service Provider agrees to deliver all VS Products tendered to</w:t>
      </w:r>
      <w:r>
        <w:rPr>
          <w:rFonts w:ascii="Arial" w:eastAsia="Arial" w:hAnsi="Arial" w:cs="Arial"/>
          <w:sz w:val="19"/>
          <w:szCs w:val="19"/>
        </w:rPr>
        <w:t xml:space="preserve"> Service Provider in the same condition as they were in at the time of tender.</w:t>
      </w:r>
    </w:p>
    <w:p w14:paraId="4F0F1C41" w14:textId="77777777" w:rsidR="00D1587D" w:rsidRDefault="00D1587D">
      <w:pPr>
        <w:spacing w:line="174" w:lineRule="exact"/>
        <w:rPr>
          <w:rFonts w:ascii="Arial" w:eastAsia="Arial" w:hAnsi="Arial" w:cs="Arial"/>
          <w:sz w:val="19"/>
          <w:szCs w:val="19"/>
        </w:rPr>
      </w:pPr>
    </w:p>
    <w:p w14:paraId="11BBD104" w14:textId="77777777" w:rsidR="00D1587D" w:rsidRDefault="00410D07">
      <w:pPr>
        <w:numPr>
          <w:ilvl w:val="0"/>
          <w:numId w:val="195"/>
        </w:numPr>
        <w:tabs>
          <w:tab w:val="left" w:pos="1679"/>
        </w:tabs>
        <w:spacing w:line="273" w:lineRule="auto"/>
        <w:ind w:firstLine="850"/>
        <w:jc w:val="both"/>
        <w:rPr>
          <w:rFonts w:ascii="Arial" w:eastAsia="Arial" w:hAnsi="Arial" w:cs="Arial"/>
          <w:sz w:val="19"/>
          <w:szCs w:val="19"/>
        </w:rPr>
      </w:pPr>
      <w:r>
        <w:rPr>
          <w:rFonts w:ascii="Arial" w:eastAsia="Arial" w:hAnsi="Arial" w:cs="Arial"/>
          <w:sz w:val="19"/>
          <w:szCs w:val="19"/>
        </w:rPr>
        <w:t xml:space="preserve">In the event any VS Products are lost, damaged, destroyed or stolen during the period where Service Provider holds the risk of loss for such VS Products pursuant to </w:t>
      </w:r>
      <w:r>
        <w:rPr>
          <w:rFonts w:ascii="Arial" w:eastAsia="Arial" w:hAnsi="Arial" w:cs="Arial"/>
          <w:sz w:val="19"/>
          <w:szCs w:val="19"/>
          <w:u w:val="single"/>
        </w:rPr>
        <w:t>Section 4.0</w:t>
      </w:r>
      <w:r>
        <w:rPr>
          <w:rFonts w:ascii="Arial" w:eastAsia="Arial" w:hAnsi="Arial" w:cs="Arial"/>
          <w:sz w:val="19"/>
          <w:szCs w:val="19"/>
          <w:u w:val="single"/>
        </w:rPr>
        <w:t>3(a)</w:t>
      </w:r>
      <w:r>
        <w:rPr>
          <w:rFonts w:ascii="Arial" w:eastAsia="Arial" w:hAnsi="Arial" w:cs="Arial"/>
          <w:sz w:val="19"/>
          <w:szCs w:val="19"/>
        </w:rPr>
        <w:t xml:space="preserve"> (such period, the “</w:t>
      </w:r>
      <w:r>
        <w:rPr>
          <w:rFonts w:ascii="Arial" w:eastAsia="Arial" w:hAnsi="Arial" w:cs="Arial"/>
          <w:b/>
          <w:bCs/>
          <w:sz w:val="19"/>
          <w:szCs w:val="19"/>
        </w:rPr>
        <w:t>Service Provider Period</w:t>
      </w:r>
      <w:r>
        <w:rPr>
          <w:rFonts w:ascii="Arial" w:eastAsia="Arial" w:hAnsi="Arial" w:cs="Arial"/>
          <w:sz w:val="19"/>
          <w:szCs w:val="19"/>
        </w:rPr>
        <w:t>”), (i) Service Provider shall pay VS for sixty percent (60%) of retail value for all such VS Products (except in the event that such VS Products are lost, damaged, destroyed or stolen during the Service Provider Period due to the gross negligence or willf</w:t>
      </w:r>
      <w:r>
        <w:rPr>
          <w:rFonts w:ascii="Arial" w:eastAsia="Arial" w:hAnsi="Arial" w:cs="Arial"/>
          <w:sz w:val="19"/>
          <w:szCs w:val="19"/>
        </w:rPr>
        <w:t>ul misconduct of Service Provider, in which case Service Provider shall be liable to VS for the full retail value for all such VS Products) or (ii) at VS’s sole discretion, Service Provider may instead pay all costs and expenses to replace such VS Products</w:t>
      </w:r>
      <w:r>
        <w:rPr>
          <w:rFonts w:ascii="Arial" w:eastAsia="Arial" w:hAnsi="Arial" w:cs="Arial"/>
          <w:sz w:val="19"/>
          <w:szCs w:val="19"/>
        </w:rPr>
        <w:t xml:space="preserve">; </w:t>
      </w:r>
      <w:r>
        <w:rPr>
          <w:rFonts w:ascii="Arial" w:eastAsia="Arial" w:hAnsi="Arial" w:cs="Arial"/>
          <w:i/>
          <w:iCs/>
          <w:sz w:val="19"/>
          <w:szCs w:val="19"/>
        </w:rPr>
        <w:t>provided</w:t>
      </w:r>
      <w:r>
        <w:rPr>
          <w:rFonts w:ascii="Arial" w:eastAsia="Arial" w:hAnsi="Arial" w:cs="Arial"/>
          <w:sz w:val="19"/>
          <w:szCs w:val="19"/>
        </w:rPr>
        <w:t xml:space="preserve"> in each case of clauses (i) and (ii) Service Provider’s obligation to pay VS for such VS Products shall not exceed $250,000 per occurrence (</w:t>
      </w:r>
      <w:r>
        <w:rPr>
          <w:rFonts w:ascii="Arial" w:eastAsia="Arial" w:hAnsi="Arial" w:cs="Arial"/>
          <w:i/>
          <w:iCs/>
          <w:sz w:val="19"/>
          <w:szCs w:val="19"/>
        </w:rPr>
        <w:t>provided</w:t>
      </w:r>
      <w:r>
        <w:rPr>
          <w:rFonts w:ascii="Arial" w:eastAsia="Arial" w:hAnsi="Arial" w:cs="Arial"/>
          <w:sz w:val="19"/>
          <w:szCs w:val="19"/>
        </w:rPr>
        <w:t xml:space="preserve"> that, if Service Provider is able to recover an amount greater than $250,000 for such VS Product</w:t>
      </w:r>
      <w:r>
        <w:rPr>
          <w:rFonts w:ascii="Arial" w:eastAsia="Arial" w:hAnsi="Arial" w:cs="Arial"/>
          <w:sz w:val="19"/>
          <w:szCs w:val="19"/>
        </w:rPr>
        <w:t xml:space="preserve">s under its applicable third-party carrier contract, such excess recovery shall be passed through to VS) or $5,000,000 per calendar year. Notwithstanding anything to the contrary in this Agreement, Service Provider shall not be liable in any event for (x) </w:t>
      </w:r>
      <w:r>
        <w:rPr>
          <w:rFonts w:ascii="Arial" w:eastAsia="Arial" w:hAnsi="Arial" w:cs="Arial"/>
          <w:sz w:val="19"/>
          <w:szCs w:val="19"/>
        </w:rPr>
        <w:t>inherent qualities of the VS Products, (y) a Force Majeure event or (z) the gross negligence or willful misconduct of VS and its Affiliates.</w:t>
      </w:r>
    </w:p>
    <w:p w14:paraId="6D4E5367" w14:textId="77777777" w:rsidR="00D1587D" w:rsidRDefault="00D1587D">
      <w:pPr>
        <w:spacing w:line="182" w:lineRule="exact"/>
        <w:rPr>
          <w:rFonts w:ascii="Arial" w:eastAsia="Arial" w:hAnsi="Arial" w:cs="Arial"/>
          <w:sz w:val="19"/>
          <w:szCs w:val="19"/>
        </w:rPr>
      </w:pPr>
    </w:p>
    <w:p w14:paraId="70E28529" w14:textId="77777777" w:rsidR="00D1587D" w:rsidRDefault="00410D07">
      <w:pPr>
        <w:numPr>
          <w:ilvl w:val="0"/>
          <w:numId w:val="195"/>
        </w:numPr>
        <w:tabs>
          <w:tab w:val="left" w:pos="1695"/>
        </w:tabs>
        <w:spacing w:line="275" w:lineRule="auto"/>
        <w:ind w:firstLine="850"/>
        <w:jc w:val="both"/>
        <w:rPr>
          <w:rFonts w:ascii="Arial" w:eastAsia="Arial" w:hAnsi="Arial" w:cs="Arial"/>
          <w:sz w:val="19"/>
          <w:szCs w:val="19"/>
        </w:rPr>
      </w:pPr>
      <w:r>
        <w:rPr>
          <w:rFonts w:ascii="Arial" w:eastAsia="Arial" w:hAnsi="Arial" w:cs="Arial"/>
          <w:sz w:val="19"/>
          <w:szCs w:val="19"/>
        </w:rPr>
        <w:t>All claims by VS or any of its Affiliates for loss, damage, destruction or theft of any VS Products during the Ser</w:t>
      </w:r>
      <w:r>
        <w:rPr>
          <w:rFonts w:ascii="Arial" w:eastAsia="Arial" w:hAnsi="Arial" w:cs="Arial"/>
          <w:sz w:val="19"/>
          <w:szCs w:val="19"/>
        </w:rPr>
        <w:t>vice Provider Period must be made in writing within eight (8) months after (i) in the case of damage or destroyed VS Products, the actual date of delivery or (ii) in the case of lost or stolen VS Products, discovery of the applicable loss or theft. All cla</w:t>
      </w:r>
      <w:r>
        <w:rPr>
          <w:rFonts w:ascii="Arial" w:eastAsia="Arial" w:hAnsi="Arial" w:cs="Arial"/>
          <w:sz w:val="19"/>
          <w:szCs w:val="19"/>
        </w:rPr>
        <w:t>ims will be acknowledged in writing by Service Provider within thirty (30) days of receipt thereof, and will be paid, if not disputed, within sixty (60) days of such receipt. Any proceeding arising from any such claim must be instituted within one (1) year</w:t>
      </w:r>
      <w:r>
        <w:rPr>
          <w:rFonts w:ascii="Arial" w:eastAsia="Arial" w:hAnsi="Arial" w:cs="Arial"/>
          <w:sz w:val="19"/>
          <w:szCs w:val="19"/>
        </w:rPr>
        <w:t xml:space="preserve"> after receipt of Service Provider’s written notification of its dispute of such claim. Notwithstanding anything to the contrary in this Agreement, the sole and exclusive remedies available to VS for any VS Products lost, damaged, destroyed or stolen durin</w:t>
      </w:r>
      <w:r>
        <w:rPr>
          <w:rFonts w:ascii="Arial" w:eastAsia="Arial" w:hAnsi="Arial" w:cs="Arial"/>
          <w:sz w:val="19"/>
          <w:szCs w:val="19"/>
        </w:rPr>
        <w:t xml:space="preserve">g the Service Provider Period will be the remedies set forth in this </w:t>
      </w:r>
      <w:r>
        <w:rPr>
          <w:rFonts w:ascii="Arial" w:eastAsia="Arial" w:hAnsi="Arial" w:cs="Arial"/>
          <w:sz w:val="19"/>
          <w:szCs w:val="19"/>
          <w:u w:val="single"/>
        </w:rPr>
        <w:t>Section 4.03</w:t>
      </w:r>
      <w:r>
        <w:rPr>
          <w:rFonts w:ascii="Arial" w:eastAsia="Arial" w:hAnsi="Arial" w:cs="Arial"/>
          <w:sz w:val="19"/>
          <w:szCs w:val="19"/>
        </w:rPr>
        <w:t xml:space="preserve"> of this Agreement.</w:t>
      </w:r>
    </w:p>
    <w:p w14:paraId="3D1B61B8" w14:textId="77777777" w:rsidR="00D1587D" w:rsidRDefault="00D1587D">
      <w:pPr>
        <w:spacing w:line="184" w:lineRule="exact"/>
        <w:rPr>
          <w:sz w:val="20"/>
          <w:szCs w:val="20"/>
        </w:rPr>
      </w:pPr>
    </w:p>
    <w:p w14:paraId="5E809201" w14:textId="77777777" w:rsidR="00D1587D" w:rsidRDefault="00410D07">
      <w:pPr>
        <w:spacing w:line="236" w:lineRule="auto"/>
        <w:ind w:firstLine="648"/>
        <w:jc w:val="both"/>
        <w:rPr>
          <w:sz w:val="20"/>
          <w:szCs w:val="20"/>
        </w:rPr>
      </w:pPr>
      <w:r>
        <w:rPr>
          <w:rFonts w:ascii="Arial" w:eastAsia="Arial" w:hAnsi="Arial" w:cs="Arial"/>
        </w:rPr>
        <w:t xml:space="preserve">Section 4.04. </w:t>
      </w:r>
      <w:r>
        <w:rPr>
          <w:rFonts w:ascii="Arial" w:eastAsia="Arial" w:hAnsi="Arial" w:cs="Arial"/>
          <w:i/>
          <w:iCs/>
        </w:rPr>
        <w:t>Reporting and Review Meetings</w:t>
      </w:r>
      <w:r>
        <w:rPr>
          <w:rFonts w:ascii="Arial" w:eastAsia="Arial" w:hAnsi="Arial" w:cs="Arial"/>
        </w:rPr>
        <w:t>. (a) Upon VS’s reasonable written request, Service Provider shall work in good faith with VS to provide VS wit</w:t>
      </w:r>
      <w:r>
        <w:rPr>
          <w:rFonts w:ascii="Arial" w:eastAsia="Arial" w:hAnsi="Arial" w:cs="Arial"/>
        </w:rPr>
        <w:t xml:space="preserve">h reports regarding the provision and receipt of the Services in a manner substantially similar to the manner in which such reporting was provided to the VS Business immediately prior to the Effective Date; </w:t>
      </w:r>
      <w:r>
        <w:rPr>
          <w:rFonts w:ascii="Arial" w:eastAsia="Arial" w:hAnsi="Arial" w:cs="Arial"/>
          <w:i/>
          <w:iCs/>
        </w:rPr>
        <w:t>provided</w:t>
      </w:r>
      <w:r>
        <w:rPr>
          <w:rFonts w:ascii="Arial" w:eastAsia="Arial" w:hAnsi="Arial" w:cs="Arial"/>
        </w:rPr>
        <w:t xml:space="preserve"> that, except as expressly set forth here</w:t>
      </w:r>
      <w:r>
        <w:rPr>
          <w:rFonts w:ascii="Arial" w:eastAsia="Arial" w:hAnsi="Arial" w:cs="Arial"/>
        </w:rPr>
        <w:t>in, Service Provider is not required to provide access to any of its or any of its Affiliates’ Confidential Information to VS.</w:t>
      </w:r>
    </w:p>
    <w:p w14:paraId="056E191E" w14:textId="77777777" w:rsidR="00D1587D" w:rsidRDefault="00D1587D">
      <w:pPr>
        <w:spacing w:line="390" w:lineRule="exact"/>
        <w:rPr>
          <w:sz w:val="20"/>
          <w:szCs w:val="20"/>
        </w:rPr>
      </w:pPr>
    </w:p>
    <w:p w14:paraId="6BC644D3" w14:textId="77777777" w:rsidR="00D1587D" w:rsidRDefault="00410D07">
      <w:pPr>
        <w:jc w:val="center"/>
        <w:rPr>
          <w:sz w:val="20"/>
          <w:szCs w:val="20"/>
        </w:rPr>
      </w:pPr>
      <w:r>
        <w:rPr>
          <w:rFonts w:ascii="Arial" w:eastAsia="Arial" w:hAnsi="Arial" w:cs="Arial"/>
        </w:rPr>
        <w:t>9</w:t>
      </w:r>
    </w:p>
    <w:p w14:paraId="304B43F2" w14:textId="77777777" w:rsidR="00D1587D" w:rsidRDefault="00410D07">
      <w:pPr>
        <w:spacing w:line="20" w:lineRule="exact"/>
        <w:rPr>
          <w:sz w:val="20"/>
          <w:szCs w:val="20"/>
        </w:rPr>
      </w:pPr>
      <w:r>
        <w:rPr>
          <w:noProof/>
          <w:sz w:val="20"/>
          <w:szCs w:val="20"/>
        </w:rPr>
        <w:drawing>
          <wp:anchor distT="0" distB="0" distL="114300" distR="114300" simplePos="0" relativeHeight="251387904" behindDoc="1" locked="0" layoutInCell="0" allowOverlap="1" wp14:anchorId="3EF0F166" wp14:editId="3C699D77">
            <wp:simplePos x="0" y="0"/>
            <wp:positionH relativeFrom="column">
              <wp:posOffset>5080</wp:posOffset>
            </wp:positionH>
            <wp:positionV relativeFrom="paragraph">
              <wp:posOffset>41275</wp:posOffset>
            </wp:positionV>
            <wp:extent cx="7132320" cy="1714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27A66F7" w14:textId="77777777" w:rsidR="00D1587D" w:rsidRDefault="00D1587D">
      <w:pPr>
        <w:sectPr w:rsidR="00D1587D">
          <w:pgSz w:w="11900" w:h="16838"/>
          <w:pgMar w:top="361" w:right="339" w:bottom="1440" w:left="320" w:header="0" w:footer="0" w:gutter="0"/>
          <w:cols w:space="720" w:equalWidth="0">
            <w:col w:w="11240"/>
          </w:cols>
        </w:sectPr>
      </w:pPr>
    </w:p>
    <w:p w14:paraId="3CCCF995" w14:textId="77777777" w:rsidR="00D1587D" w:rsidRDefault="00410D07">
      <w:pPr>
        <w:numPr>
          <w:ilvl w:val="0"/>
          <w:numId w:val="196"/>
        </w:numPr>
        <w:tabs>
          <w:tab w:val="left" w:pos="1873"/>
        </w:tabs>
        <w:spacing w:line="273" w:lineRule="auto"/>
        <w:ind w:firstLine="850"/>
        <w:jc w:val="both"/>
        <w:rPr>
          <w:rFonts w:ascii="Arial" w:eastAsia="Arial" w:hAnsi="Arial" w:cs="Arial"/>
          <w:sz w:val="19"/>
          <w:szCs w:val="19"/>
        </w:rPr>
      </w:pPr>
      <w:bookmarkStart w:id="226" w:name="page227"/>
      <w:bookmarkEnd w:id="226"/>
      <w:r>
        <w:rPr>
          <w:rFonts w:ascii="Arial" w:eastAsia="Arial" w:hAnsi="Arial" w:cs="Arial"/>
          <w:sz w:val="19"/>
          <w:szCs w:val="19"/>
        </w:rPr>
        <w:t xml:space="preserve">During the Term of this Agreement, VS shall have reasonable access to any shipping building owned or controlled by Service Provider and then-used by Service Provider to provide the Services; </w:t>
      </w:r>
      <w:r>
        <w:rPr>
          <w:rFonts w:ascii="Arial" w:eastAsia="Arial" w:hAnsi="Arial" w:cs="Arial"/>
          <w:i/>
          <w:iCs/>
          <w:sz w:val="19"/>
          <w:szCs w:val="19"/>
        </w:rPr>
        <w:t>provided</w:t>
      </w:r>
      <w:r>
        <w:rPr>
          <w:rFonts w:ascii="Arial" w:eastAsia="Arial" w:hAnsi="Arial" w:cs="Arial"/>
          <w:sz w:val="19"/>
          <w:szCs w:val="19"/>
        </w:rPr>
        <w:t xml:space="preserve"> that (i) such access shall take place during normal busi</w:t>
      </w:r>
      <w:r>
        <w:rPr>
          <w:rFonts w:ascii="Arial" w:eastAsia="Arial" w:hAnsi="Arial" w:cs="Arial"/>
          <w:sz w:val="19"/>
          <w:szCs w:val="19"/>
        </w:rPr>
        <w:t>ness hours and following reasonable advance written notice, (ii) VS’s access shall be subject to its and its employees and other representatives’ compliances with all policies, procedures, rules and regulations applicable to such shipping building (includi</w:t>
      </w:r>
      <w:r>
        <w:rPr>
          <w:rFonts w:ascii="Arial" w:eastAsia="Arial" w:hAnsi="Arial" w:cs="Arial"/>
          <w:sz w:val="19"/>
          <w:szCs w:val="19"/>
        </w:rPr>
        <w:t>ng any and all applicable security and safety policies), (iii) VS shall not be permitted to access any Confidential Information of Service Provider or any of its Affiliates without the prior written consent of Service Provider, (iv) such access shall be li</w:t>
      </w:r>
      <w:r>
        <w:rPr>
          <w:rFonts w:ascii="Arial" w:eastAsia="Arial" w:hAnsi="Arial" w:cs="Arial"/>
          <w:sz w:val="19"/>
          <w:szCs w:val="19"/>
        </w:rPr>
        <w:t>mited to the extent necessary for VS to use and receive the Services and (v) Service Provider may without prior notice and without liability to VS, exclude or remove for good cause any VS employee from such shipping building if, in Service Provider’s reaso</w:t>
      </w:r>
      <w:r>
        <w:rPr>
          <w:rFonts w:ascii="Arial" w:eastAsia="Arial" w:hAnsi="Arial" w:cs="Arial"/>
          <w:sz w:val="19"/>
          <w:szCs w:val="19"/>
        </w:rPr>
        <w:t>nable and good faith opinion, such exclusion or removal is deemed advisable in the interest of Services completion, the safety or security of such shipping building or employees of any Service Provider Party or the confidentiality of any Service Provider P</w:t>
      </w:r>
      <w:r>
        <w:rPr>
          <w:rFonts w:ascii="Arial" w:eastAsia="Arial" w:hAnsi="Arial" w:cs="Arial"/>
          <w:sz w:val="19"/>
          <w:szCs w:val="19"/>
        </w:rPr>
        <w:t>arty’s Confidential Information.</w:t>
      </w:r>
    </w:p>
    <w:p w14:paraId="1E8F9988" w14:textId="77777777" w:rsidR="00D1587D" w:rsidRDefault="00D1587D">
      <w:pPr>
        <w:spacing w:line="176" w:lineRule="exact"/>
        <w:rPr>
          <w:rFonts w:ascii="Arial" w:eastAsia="Arial" w:hAnsi="Arial" w:cs="Arial"/>
          <w:sz w:val="19"/>
          <w:szCs w:val="19"/>
        </w:rPr>
      </w:pPr>
    </w:p>
    <w:p w14:paraId="0601A611" w14:textId="77777777" w:rsidR="00D1587D" w:rsidRDefault="00410D07">
      <w:pPr>
        <w:numPr>
          <w:ilvl w:val="0"/>
          <w:numId w:val="196"/>
        </w:numPr>
        <w:tabs>
          <w:tab w:val="left" w:pos="1828"/>
        </w:tabs>
        <w:spacing w:line="280" w:lineRule="auto"/>
        <w:ind w:firstLine="850"/>
        <w:jc w:val="both"/>
        <w:rPr>
          <w:rFonts w:ascii="Arial" w:eastAsia="Arial" w:hAnsi="Arial" w:cs="Arial"/>
          <w:sz w:val="19"/>
          <w:szCs w:val="19"/>
        </w:rPr>
      </w:pPr>
      <w:r>
        <w:rPr>
          <w:rFonts w:ascii="Arial" w:eastAsia="Arial" w:hAnsi="Arial" w:cs="Arial"/>
          <w:sz w:val="19"/>
          <w:szCs w:val="19"/>
        </w:rPr>
        <w:t>The Parties agree to hold review meetings (the “</w:t>
      </w:r>
      <w:r>
        <w:rPr>
          <w:rFonts w:ascii="Arial" w:eastAsia="Arial" w:hAnsi="Arial" w:cs="Arial"/>
          <w:b/>
          <w:bCs/>
          <w:sz w:val="19"/>
          <w:szCs w:val="19"/>
        </w:rPr>
        <w:t>Review Meetings</w:t>
      </w:r>
      <w:r>
        <w:rPr>
          <w:rFonts w:ascii="Arial" w:eastAsia="Arial" w:hAnsi="Arial" w:cs="Arial"/>
          <w:sz w:val="19"/>
          <w:szCs w:val="19"/>
        </w:rPr>
        <w:t>”) in a manner and frequency mutually agreed upon by the Parties in writing. During the Review Meetings, representatives of VS and of Service Provider shall wo</w:t>
      </w:r>
      <w:r>
        <w:rPr>
          <w:rFonts w:ascii="Arial" w:eastAsia="Arial" w:hAnsi="Arial" w:cs="Arial"/>
          <w:sz w:val="19"/>
          <w:szCs w:val="19"/>
        </w:rPr>
        <w:t xml:space="preserve">rk together in good faith to review and discuss any operational, strategic or other issues raised by any participant with respect to the provision of the Services hereunder. The Parties shall also review season end results and next season projections. The </w:t>
      </w:r>
      <w:r>
        <w:rPr>
          <w:rFonts w:ascii="Arial" w:eastAsia="Arial" w:hAnsi="Arial" w:cs="Arial"/>
          <w:sz w:val="19"/>
          <w:szCs w:val="19"/>
        </w:rPr>
        <w:t>Parties intend that information exchanged at such Review Meetings shall be in addition to ongoing communication between representatives of VS and Service Provider with respect to the provision of the Services hereunder.</w:t>
      </w:r>
    </w:p>
    <w:p w14:paraId="084C7B5F" w14:textId="77777777" w:rsidR="00D1587D" w:rsidRDefault="00D1587D">
      <w:pPr>
        <w:spacing w:line="178" w:lineRule="exact"/>
        <w:rPr>
          <w:sz w:val="20"/>
          <w:szCs w:val="20"/>
        </w:rPr>
      </w:pPr>
    </w:p>
    <w:p w14:paraId="7925B0E4" w14:textId="77777777" w:rsidR="00D1587D" w:rsidRDefault="00410D07">
      <w:pPr>
        <w:jc w:val="center"/>
        <w:rPr>
          <w:sz w:val="20"/>
          <w:szCs w:val="20"/>
        </w:rPr>
      </w:pPr>
      <w:r>
        <w:rPr>
          <w:rFonts w:ascii="Arial" w:eastAsia="Arial" w:hAnsi="Arial" w:cs="Arial"/>
        </w:rPr>
        <w:t>ARTICLE 5</w:t>
      </w:r>
    </w:p>
    <w:p w14:paraId="360022AD" w14:textId="77777777" w:rsidR="00D1587D" w:rsidRDefault="00D1587D">
      <w:pPr>
        <w:spacing w:line="8" w:lineRule="exact"/>
        <w:rPr>
          <w:sz w:val="20"/>
          <w:szCs w:val="20"/>
        </w:rPr>
      </w:pPr>
    </w:p>
    <w:p w14:paraId="3E3F0676" w14:textId="77777777" w:rsidR="00D1587D" w:rsidRDefault="00410D07">
      <w:pPr>
        <w:jc w:val="center"/>
        <w:rPr>
          <w:sz w:val="20"/>
          <w:szCs w:val="20"/>
        </w:rPr>
      </w:pPr>
      <w:r>
        <w:rPr>
          <w:rFonts w:ascii="Arial" w:eastAsia="Arial" w:hAnsi="Arial" w:cs="Arial"/>
        </w:rPr>
        <w:t xml:space="preserve">HAZARDOUS MATERIALS AND </w:t>
      </w:r>
      <w:r>
        <w:rPr>
          <w:rFonts w:ascii="Arial" w:eastAsia="Arial" w:hAnsi="Arial" w:cs="Arial"/>
        </w:rPr>
        <w:t>COMPLIANCE WITH LAWS.</w:t>
      </w:r>
    </w:p>
    <w:p w14:paraId="12E7BEE0" w14:textId="77777777" w:rsidR="00D1587D" w:rsidRDefault="00D1587D">
      <w:pPr>
        <w:spacing w:line="215" w:lineRule="exact"/>
        <w:rPr>
          <w:sz w:val="20"/>
          <w:szCs w:val="20"/>
        </w:rPr>
      </w:pPr>
    </w:p>
    <w:p w14:paraId="5F926154" w14:textId="77777777" w:rsidR="00D1587D" w:rsidRDefault="00410D07">
      <w:pPr>
        <w:spacing w:line="287" w:lineRule="auto"/>
        <w:ind w:firstLine="648"/>
        <w:jc w:val="both"/>
        <w:rPr>
          <w:sz w:val="20"/>
          <w:szCs w:val="20"/>
        </w:rPr>
      </w:pPr>
      <w:r>
        <w:rPr>
          <w:rFonts w:ascii="Arial" w:eastAsia="Arial" w:hAnsi="Arial" w:cs="Arial"/>
          <w:sz w:val="19"/>
          <w:szCs w:val="19"/>
        </w:rPr>
        <w:t xml:space="preserve">Section 5.01. </w:t>
      </w:r>
      <w:r>
        <w:rPr>
          <w:rFonts w:ascii="Arial" w:eastAsia="Arial" w:hAnsi="Arial" w:cs="Arial"/>
          <w:i/>
          <w:iCs/>
          <w:sz w:val="19"/>
          <w:szCs w:val="19"/>
        </w:rPr>
        <w:t>Hazardous Materials</w:t>
      </w:r>
      <w:r>
        <w:rPr>
          <w:rFonts w:ascii="Arial" w:eastAsia="Arial" w:hAnsi="Arial" w:cs="Arial"/>
          <w:sz w:val="19"/>
          <w:szCs w:val="19"/>
        </w:rPr>
        <w:t>. Except to the extent VS provides Service Provider with prior written notice otherwise, VS hereby represents and warrants that all VS Products that are transported, shipped, warehoused or otherwise h</w:t>
      </w:r>
      <w:r>
        <w:rPr>
          <w:rFonts w:ascii="Arial" w:eastAsia="Arial" w:hAnsi="Arial" w:cs="Arial"/>
          <w:sz w:val="19"/>
          <w:szCs w:val="19"/>
        </w:rPr>
        <w:t>eld in the custody of Service Provider on behalf of VS pursuant to this Agreement shall qualify for the U.S. Department of Transportation (DOT) Limited Quantity shipment exception such that no hazardous shipping papers are required.</w:t>
      </w:r>
    </w:p>
    <w:p w14:paraId="0DACB813" w14:textId="77777777" w:rsidR="00D1587D" w:rsidRDefault="00D1587D">
      <w:pPr>
        <w:spacing w:line="170" w:lineRule="exact"/>
        <w:rPr>
          <w:sz w:val="20"/>
          <w:szCs w:val="20"/>
        </w:rPr>
      </w:pPr>
    </w:p>
    <w:p w14:paraId="361E5B3D" w14:textId="77777777" w:rsidR="00D1587D" w:rsidRDefault="00410D07">
      <w:pPr>
        <w:spacing w:line="274" w:lineRule="auto"/>
        <w:ind w:right="20" w:firstLine="648"/>
        <w:jc w:val="both"/>
        <w:rPr>
          <w:sz w:val="20"/>
          <w:szCs w:val="20"/>
        </w:rPr>
      </w:pPr>
      <w:r>
        <w:rPr>
          <w:rFonts w:ascii="Arial" w:eastAsia="Arial" w:hAnsi="Arial" w:cs="Arial"/>
          <w:sz w:val="21"/>
          <w:szCs w:val="21"/>
        </w:rPr>
        <w:t xml:space="preserve">Section 5.02. </w:t>
      </w:r>
      <w:r>
        <w:rPr>
          <w:rFonts w:ascii="Arial" w:eastAsia="Arial" w:hAnsi="Arial" w:cs="Arial"/>
          <w:i/>
          <w:iCs/>
          <w:sz w:val="21"/>
          <w:szCs w:val="21"/>
        </w:rPr>
        <w:t>Compliance with Law</w:t>
      </w:r>
      <w:r>
        <w:rPr>
          <w:rFonts w:ascii="Arial" w:eastAsia="Arial" w:hAnsi="Arial" w:cs="Arial"/>
          <w:sz w:val="21"/>
          <w:szCs w:val="21"/>
        </w:rPr>
        <w:t>. The Parties shall, and shall cause their respective Affiliates and employees to, comply with all Applicable Laws in connection with the provision or receipt of the Services hereunder.</w:t>
      </w:r>
    </w:p>
    <w:p w14:paraId="459EFEB0" w14:textId="77777777" w:rsidR="00D1587D" w:rsidRDefault="00D1587D">
      <w:pPr>
        <w:spacing w:line="178" w:lineRule="exact"/>
        <w:rPr>
          <w:sz w:val="20"/>
          <w:szCs w:val="20"/>
        </w:rPr>
      </w:pPr>
    </w:p>
    <w:p w14:paraId="7F9D835F" w14:textId="77777777" w:rsidR="00D1587D" w:rsidRDefault="00410D07">
      <w:pPr>
        <w:jc w:val="center"/>
        <w:rPr>
          <w:sz w:val="20"/>
          <w:szCs w:val="20"/>
        </w:rPr>
      </w:pPr>
      <w:r>
        <w:rPr>
          <w:rFonts w:ascii="Arial" w:eastAsia="Arial" w:hAnsi="Arial" w:cs="Arial"/>
        </w:rPr>
        <w:t>ARTICLE 6</w:t>
      </w:r>
    </w:p>
    <w:p w14:paraId="58C5C0C2" w14:textId="77777777" w:rsidR="00D1587D" w:rsidRDefault="00D1587D">
      <w:pPr>
        <w:spacing w:line="8" w:lineRule="exact"/>
        <w:rPr>
          <w:sz w:val="20"/>
          <w:szCs w:val="20"/>
        </w:rPr>
      </w:pPr>
    </w:p>
    <w:p w14:paraId="3580A606" w14:textId="77777777" w:rsidR="00D1587D" w:rsidRDefault="00410D07">
      <w:pPr>
        <w:jc w:val="center"/>
        <w:rPr>
          <w:sz w:val="20"/>
          <w:szCs w:val="20"/>
        </w:rPr>
      </w:pPr>
      <w:r>
        <w:rPr>
          <w:rFonts w:ascii="Arial" w:eastAsia="Arial" w:hAnsi="Arial" w:cs="Arial"/>
        </w:rPr>
        <w:t>REPRESENTATIONS AND WARRANTIES.</w:t>
      </w:r>
    </w:p>
    <w:p w14:paraId="236DFBF7" w14:textId="77777777" w:rsidR="00D1587D" w:rsidRDefault="00D1587D">
      <w:pPr>
        <w:spacing w:line="215" w:lineRule="exact"/>
        <w:rPr>
          <w:sz w:val="20"/>
          <w:szCs w:val="20"/>
        </w:rPr>
      </w:pPr>
    </w:p>
    <w:p w14:paraId="4D67E6A8" w14:textId="77777777" w:rsidR="00D1587D" w:rsidRDefault="00410D07">
      <w:pPr>
        <w:tabs>
          <w:tab w:val="left" w:pos="2380"/>
        </w:tabs>
        <w:ind w:left="660"/>
        <w:rPr>
          <w:sz w:val="20"/>
          <w:szCs w:val="20"/>
        </w:rPr>
      </w:pPr>
      <w:r>
        <w:rPr>
          <w:rFonts w:ascii="Arial" w:eastAsia="Arial" w:hAnsi="Arial" w:cs="Arial"/>
        </w:rPr>
        <w:t>Sectio</w:t>
      </w:r>
      <w:r>
        <w:rPr>
          <w:rFonts w:ascii="Arial" w:eastAsia="Arial" w:hAnsi="Arial" w:cs="Arial"/>
        </w:rPr>
        <w:t>n 6.01.</w:t>
      </w:r>
      <w:r>
        <w:rPr>
          <w:sz w:val="20"/>
          <w:szCs w:val="20"/>
        </w:rPr>
        <w:tab/>
      </w:r>
      <w:r>
        <w:rPr>
          <w:rFonts w:ascii="Arial" w:eastAsia="Arial" w:hAnsi="Arial" w:cs="Arial"/>
          <w:i/>
          <w:iCs/>
          <w:sz w:val="19"/>
          <w:szCs w:val="19"/>
        </w:rPr>
        <w:t>Representations and Warranties of Service Provider</w:t>
      </w:r>
      <w:r>
        <w:rPr>
          <w:rFonts w:ascii="Arial" w:eastAsia="Arial" w:hAnsi="Arial" w:cs="Arial"/>
          <w:sz w:val="19"/>
          <w:szCs w:val="19"/>
        </w:rPr>
        <w:t>. Service Provider represents and warrants to VS</w:t>
      </w:r>
    </w:p>
    <w:p w14:paraId="26089027" w14:textId="77777777" w:rsidR="00D1587D" w:rsidRDefault="00D1587D">
      <w:pPr>
        <w:spacing w:line="8" w:lineRule="exact"/>
        <w:rPr>
          <w:sz w:val="20"/>
          <w:szCs w:val="20"/>
        </w:rPr>
      </w:pPr>
    </w:p>
    <w:p w14:paraId="318EE8D5" w14:textId="77777777" w:rsidR="00D1587D" w:rsidRDefault="00410D07">
      <w:pPr>
        <w:rPr>
          <w:sz w:val="20"/>
          <w:szCs w:val="20"/>
        </w:rPr>
      </w:pPr>
      <w:r>
        <w:rPr>
          <w:rFonts w:ascii="Arial" w:eastAsia="Arial" w:hAnsi="Arial" w:cs="Arial"/>
        </w:rPr>
        <w:t>that:</w:t>
      </w:r>
    </w:p>
    <w:p w14:paraId="528703DA" w14:textId="77777777" w:rsidR="00D1587D" w:rsidRDefault="00D1587D">
      <w:pPr>
        <w:spacing w:line="215" w:lineRule="exact"/>
        <w:rPr>
          <w:sz w:val="20"/>
          <w:szCs w:val="20"/>
        </w:rPr>
      </w:pPr>
    </w:p>
    <w:p w14:paraId="20AB9F2F" w14:textId="77777777" w:rsidR="00D1587D" w:rsidRDefault="00410D07">
      <w:pPr>
        <w:numPr>
          <w:ilvl w:val="0"/>
          <w:numId w:val="197"/>
        </w:numPr>
        <w:tabs>
          <w:tab w:val="left" w:pos="2065"/>
        </w:tabs>
        <w:ind w:firstLine="850"/>
        <w:jc w:val="both"/>
        <w:rPr>
          <w:rFonts w:ascii="Arial" w:eastAsia="Arial" w:hAnsi="Arial" w:cs="Arial"/>
        </w:rPr>
      </w:pPr>
      <w:r>
        <w:rPr>
          <w:rFonts w:ascii="Arial" w:eastAsia="Arial" w:hAnsi="Arial" w:cs="Arial"/>
        </w:rPr>
        <w:t xml:space="preserve">Service Provider is an entity duly organized, validly existing and in good standing (with respect to jurisdictions that recognize such </w:t>
      </w:r>
      <w:r>
        <w:rPr>
          <w:rFonts w:ascii="Arial" w:eastAsia="Arial" w:hAnsi="Arial" w:cs="Arial"/>
        </w:rPr>
        <w:t>concept) under the laws of its jurisdiction of organization and has all corporate powers required to carry on its business as now conducted.</w:t>
      </w:r>
    </w:p>
    <w:p w14:paraId="73069182" w14:textId="77777777" w:rsidR="00D1587D" w:rsidRDefault="00D1587D">
      <w:pPr>
        <w:spacing w:line="213" w:lineRule="exact"/>
        <w:rPr>
          <w:rFonts w:ascii="Arial" w:eastAsia="Arial" w:hAnsi="Arial" w:cs="Arial"/>
        </w:rPr>
      </w:pPr>
    </w:p>
    <w:p w14:paraId="5E091459" w14:textId="77777777" w:rsidR="00D1587D" w:rsidRDefault="00410D07">
      <w:pPr>
        <w:numPr>
          <w:ilvl w:val="0"/>
          <w:numId w:val="197"/>
        </w:numPr>
        <w:tabs>
          <w:tab w:val="left" w:pos="1668"/>
        </w:tabs>
        <w:spacing w:line="235" w:lineRule="auto"/>
        <w:ind w:firstLine="850"/>
        <w:jc w:val="both"/>
        <w:rPr>
          <w:rFonts w:ascii="Arial" w:eastAsia="Arial" w:hAnsi="Arial" w:cs="Arial"/>
        </w:rPr>
      </w:pPr>
      <w:r>
        <w:rPr>
          <w:rFonts w:ascii="Arial" w:eastAsia="Arial" w:hAnsi="Arial" w:cs="Arial"/>
        </w:rPr>
        <w:t>The execution, delivery and performance by Service Provider of this Agreement and the consummation of the transact</w:t>
      </w:r>
      <w:r>
        <w:rPr>
          <w:rFonts w:ascii="Arial" w:eastAsia="Arial" w:hAnsi="Arial" w:cs="Arial"/>
        </w:rPr>
        <w:t>ions contemplated hereby by Service Provider are within Service Provider’s corporate powers and have been duly authorized by all necessary corporate action on the part of Service Provider. This Agreement constitutes a valid and binding agreement of Service</w:t>
      </w:r>
      <w:r>
        <w:rPr>
          <w:rFonts w:ascii="Arial" w:eastAsia="Arial" w:hAnsi="Arial" w:cs="Arial"/>
        </w:rPr>
        <w:t xml:space="preserve"> Provider enforceable against Service Provider in accordance with its terms (subject to applicable bankruptcy, insolvency, fraudulent transfer, reorganization, moratorium and other laws affecting creditors’ rights generally and general principles of equity</w:t>
      </w:r>
      <w:r>
        <w:rPr>
          <w:rFonts w:ascii="Arial" w:eastAsia="Arial" w:hAnsi="Arial" w:cs="Arial"/>
        </w:rPr>
        <w:t>).</w:t>
      </w:r>
    </w:p>
    <w:p w14:paraId="1D5E785F" w14:textId="77777777" w:rsidR="00D1587D" w:rsidRDefault="00D1587D">
      <w:pPr>
        <w:spacing w:line="390" w:lineRule="exact"/>
        <w:rPr>
          <w:sz w:val="20"/>
          <w:szCs w:val="20"/>
        </w:rPr>
      </w:pPr>
    </w:p>
    <w:p w14:paraId="4C3C866A" w14:textId="77777777" w:rsidR="00D1587D" w:rsidRDefault="00410D07">
      <w:pPr>
        <w:jc w:val="center"/>
        <w:rPr>
          <w:sz w:val="20"/>
          <w:szCs w:val="20"/>
        </w:rPr>
      </w:pPr>
      <w:r>
        <w:rPr>
          <w:rFonts w:ascii="Arial" w:eastAsia="Arial" w:hAnsi="Arial" w:cs="Arial"/>
        </w:rPr>
        <w:t>10</w:t>
      </w:r>
    </w:p>
    <w:p w14:paraId="48FD694C" w14:textId="77777777" w:rsidR="00D1587D" w:rsidRDefault="00410D07">
      <w:pPr>
        <w:spacing w:line="20" w:lineRule="exact"/>
        <w:rPr>
          <w:sz w:val="20"/>
          <w:szCs w:val="20"/>
        </w:rPr>
      </w:pPr>
      <w:r>
        <w:rPr>
          <w:noProof/>
          <w:sz w:val="20"/>
          <w:szCs w:val="20"/>
        </w:rPr>
        <w:drawing>
          <wp:anchor distT="0" distB="0" distL="114300" distR="114300" simplePos="0" relativeHeight="251388928" behindDoc="1" locked="0" layoutInCell="0" allowOverlap="1" wp14:anchorId="3ACAACAE" wp14:editId="0C4F6FDF">
            <wp:simplePos x="0" y="0"/>
            <wp:positionH relativeFrom="column">
              <wp:posOffset>5080</wp:posOffset>
            </wp:positionH>
            <wp:positionV relativeFrom="paragraph">
              <wp:posOffset>41275</wp:posOffset>
            </wp:positionV>
            <wp:extent cx="7132320" cy="1714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CBD6BD1" w14:textId="77777777" w:rsidR="00D1587D" w:rsidRDefault="00D1587D">
      <w:pPr>
        <w:sectPr w:rsidR="00D1587D">
          <w:pgSz w:w="11900" w:h="16838"/>
          <w:pgMar w:top="361" w:right="339" w:bottom="1440" w:left="320" w:header="0" w:footer="0" w:gutter="0"/>
          <w:cols w:space="720" w:equalWidth="0">
            <w:col w:w="11240"/>
          </w:cols>
        </w:sectPr>
      </w:pPr>
    </w:p>
    <w:p w14:paraId="49DDF748" w14:textId="77777777" w:rsidR="00D1587D" w:rsidRDefault="00410D07">
      <w:pPr>
        <w:numPr>
          <w:ilvl w:val="0"/>
          <w:numId w:val="198"/>
        </w:numPr>
        <w:tabs>
          <w:tab w:val="left" w:pos="1661"/>
        </w:tabs>
        <w:spacing w:line="236" w:lineRule="auto"/>
        <w:ind w:firstLine="850"/>
        <w:jc w:val="both"/>
        <w:rPr>
          <w:rFonts w:ascii="Arial" w:eastAsia="Arial" w:hAnsi="Arial" w:cs="Arial"/>
        </w:rPr>
      </w:pPr>
      <w:bookmarkStart w:id="227" w:name="page228"/>
      <w:bookmarkEnd w:id="227"/>
      <w:r>
        <w:rPr>
          <w:rFonts w:ascii="Arial" w:eastAsia="Arial" w:hAnsi="Arial" w:cs="Arial"/>
        </w:rPr>
        <w:t>The execution, delivery and performance by Service Provider of this Agreement and the consummation of the transactions contemplated hereby by Service Provider require no action by or in respect of, or filing with, any Governmen</w:t>
      </w:r>
      <w:r>
        <w:rPr>
          <w:rFonts w:ascii="Arial" w:eastAsia="Arial" w:hAnsi="Arial" w:cs="Arial"/>
        </w:rPr>
        <w:t>tal Authority other than any such action or filing that has already been taken or made or as to which the failure to make or obtain would not reasonably be expected to materially impede or delay the performance by Service Provider of its obligations hereun</w:t>
      </w:r>
      <w:r>
        <w:rPr>
          <w:rFonts w:ascii="Arial" w:eastAsia="Arial" w:hAnsi="Arial" w:cs="Arial"/>
        </w:rPr>
        <w:t>der.</w:t>
      </w:r>
    </w:p>
    <w:p w14:paraId="6364747F" w14:textId="77777777" w:rsidR="00D1587D" w:rsidRDefault="00D1587D">
      <w:pPr>
        <w:spacing w:line="214" w:lineRule="exact"/>
        <w:rPr>
          <w:sz w:val="20"/>
          <w:szCs w:val="20"/>
        </w:rPr>
      </w:pPr>
    </w:p>
    <w:p w14:paraId="1FD62932" w14:textId="77777777" w:rsidR="00D1587D" w:rsidRDefault="00410D07">
      <w:pPr>
        <w:tabs>
          <w:tab w:val="left" w:pos="2300"/>
        </w:tabs>
        <w:ind w:left="660"/>
        <w:rPr>
          <w:sz w:val="20"/>
          <w:szCs w:val="20"/>
        </w:rPr>
      </w:pPr>
      <w:r>
        <w:rPr>
          <w:rFonts w:ascii="Arial" w:eastAsia="Arial" w:hAnsi="Arial" w:cs="Arial"/>
        </w:rPr>
        <w:t>Section 6.02.</w:t>
      </w:r>
      <w:r>
        <w:rPr>
          <w:sz w:val="20"/>
          <w:szCs w:val="20"/>
        </w:rPr>
        <w:tab/>
      </w:r>
      <w:r>
        <w:rPr>
          <w:rFonts w:ascii="Arial" w:eastAsia="Arial" w:hAnsi="Arial" w:cs="Arial"/>
          <w:i/>
          <w:iCs/>
          <w:sz w:val="19"/>
          <w:szCs w:val="19"/>
        </w:rPr>
        <w:t>Representations and Warranties of VS</w:t>
      </w:r>
      <w:r>
        <w:rPr>
          <w:rFonts w:ascii="Arial" w:eastAsia="Arial" w:hAnsi="Arial" w:cs="Arial"/>
          <w:sz w:val="19"/>
          <w:szCs w:val="19"/>
        </w:rPr>
        <w:t>. VS represents and warrants to Service Provider that:</w:t>
      </w:r>
    </w:p>
    <w:p w14:paraId="75F71CB5" w14:textId="77777777" w:rsidR="00D1587D" w:rsidRDefault="00D1587D">
      <w:pPr>
        <w:spacing w:line="233" w:lineRule="exact"/>
        <w:rPr>
          <w:sz w:val="20"/>
          <w:szCs w:val="20"/>
        </w:rPr>
      </w:pPr>
    </w:p>
    <w:p w14:paraId="241538C7" w14:textId="77777777" w:rsidR="00D1587D" w:rsidRDefault="00410D07">
      <w:pPr>
        <w:numPr>
          <w:ilvl w:val="0"/>
          <w:numId w:val="199"/>
        </w:numPr>
        <w:tabs>
          <w:tab w:val="left" w:pos="1919"/>
        </w:tabs>
        <w:ind w:firstLine="850"/>
        <w:jc w:val="both"/>
        <w:rPr>
          <w:rFonts w:ascii="Arial" w:eastAsia="Arial" w:hAnsi="Arial" w:cs="Arial"/>
        </w:rPr>
      </w:pPr>
      <w:r>
        <w:rPr>
          <w:rFonts w:ascii="Arial" w:eastAsia="Arial" w:hAnsi="Arial" w:cs="Arial"/>
        </w:rPr>
        <w:t>VS is an entity duly organized, validly existing and in good standing (with respect to jurisdictions that recognize such concept) under the laws</w:t>
      </w:r>
      <w:r>
        <w:rPr>
          <w:rFonts w:ascii="Arial" w:eastAsia="Arial" w:hAnsi="Arial" w:cs="Arial"/>
        </w:rPr>
        <w:t xml:space="preserve"> of its jurisdiction of organization and has all corporate powers required to carry on its business as now conducted.</w:t>
      </w:r>
    </w:p>
    <w:p w14:paraId="5D2FE8DB" w14:textId="77777777" w:rsidR="00D1587D" w:rsidRDefault="00D1587D">
      <w:pPr>
        <w:spacing w:line="213" w:lineRule="exact"/>
        <w:rPr>
          <w:rFonts w:ascii="Arial" w:eastAsia="Arial" w:hAnsi="Arial" w:cs="Arial"/>
        </w:rPr>
      </w:pPr>
    </w:p>
    <w:p w14:paraId="12050D1A" w14:textId="77777777" w:rsidR="00D1587D" w:rsidRDefault="00410D07">
      <w:pPr>
        <w:numPr>
          <w:ilvl w:val="0"/>
          <w:numId w:val="199"/>
        </w:numPr>
        <w:tabs>
          <w:tab w:val="left" w:pos="1700"/>
        </w:tabs>
        <w:spacing w:line="249" w:lineRule="auto"/>
        <w:ind w:firstLine="850"/>
        <w:jc w:val="both"/>
        <w:rPr>
          <w:rFonts w:ascii="Arial" w:eastAsia="Arial" w:hAnsi="Arial" w:cs="Arial"/>
          <w:sz w:val="21"/>
          <w:szCs w:val="21"/>
        </w:rPr>
      </w:pPr>
      <w:r>
        <w:rPr>
          <w:rFonts w:ascii="Arial" w:eastAsia="Arial" w:hAnsi="Arial" w:cs="Arial"/>
          <w:sz w:val="21"/>
          <w:szCs w:val="21"/>
        </w:rPr>
        <w:t xml:space="preserve">The execution, delivery and performance by VS of this Agreement and the consummation of the transactions contemplated hereby by VS are </w:t>
      </w:r>
      <w:r>
        <w:rPr>
          <w:rFonts w:ascii="Arial" w:eastAsia="Arial" w:hAnsi="Arial" w:cs="Arial"/>
          <w:sz w:val="21"/>
          <w:szCs w:val="21"/>
        </w:rPr>
        <w:t>within VS’s corporate powers and have been duly authorized by all necessary corporate action on the part of VS. This Agreement constitutes a valid and binding agreement of VS, enforceable against VS in accordance with its terms (subject to applicable bankr</w:t>
      </w:r>
      <w:r>
        <w:rPr>
          <w:rFonts w:ascii="Arial" w:eastAsia="Arial" w:hAnsi="Arial" w:cs="Arial"/>
          <w:sz w:val="21"/>
          <w:szCs w:val="21"/>
        </w:rPr>
        <w:t>uptcy, insolvency, fraudulent transfer, reorganization, moratorium and other laws affecting creditors’ rights generally and general principles of equity).</w:t>
      </w:r>
    </w:p>
    <w:p w14:paraId="66D4555E" w14:textId="77777777" w:rsidR="00D1587D" w:rsidRDefault="00D1587D">
      <w:pPr>
        <w:spacing w:line="205" w:lineRule="exact"/>
        <w:rPr>
          <w:rFonts w:ascii="Arial" w:eastAsia="Arial" w:hAnsi="Arial" w:cs="Arial"/>
          <w:sz w:val="21"/>
          <w:szCs w:val="21"/>
        </w:rPr>
      </w:pPr>
    </w:p>
    <w:p w14:paraId="7ADBD674" w14:textId="77777777" w:rsidR="00D1587D" w:rsidRDefault="00410D07">
      <w:pPr>
        <w:numPr>
          <w:ilvl w:val="0"/>
          <w:numId w:val="199"/>
        </w:numPr>
        <w:tabs>
          <w:tab w:val="left" w:pos="1694"/>
        </w:tabs>
        <w:spacing w:line="252" w:lineRule="auto"/>
        <w:ind w:firstLine="850"/>
        <w:jc w:val="both"/>
        <w:rPr>
          <w:rFonts w:ascii="Arial" w:eastAsia="Arial" w:hAnsi="Arial" w:cs="Arial"/>
          <w:sz w:val="21"/>
          <w:szCs w:val="21"/>
        </w:rPr>
      </w:pPr>
      <w:r>
        <w:rPr>
          <w:rFonts w:ascii="Arial" w:eastAsia="Arial" w:hAnsi="Arial" w:cs="Arial"/>
          <w:sz w:val="21"/>
          <w:szCs w:val="21"/>
        </w:rPr>
        <w:t>The execution, delivery and performance by VS of this Agreement and the consummation of the transact</w:t>
      </w:r>
      <w:r>
        <w:rPr>
          <w:rFonts w:ascii="Arial" w:eastAsia="Arial" w:hAnsi="Arial" w:cs="Arial"/>
          <w:sz w:val="21"/>
          <w:szCs w:val="21"/>
        </w:rPr>
        <w:t>ions contemplated hereby by VS require no action by or in respect of, or filing with, any Governmental Authority other than any such action or filing that has already been taken or made or as to which the failure to make or obtain would not reasonably be e</w:t>
      </w:r>
      <w:r>
        <w:rPr>
          <w:rFonts w:ascii="Arial" w:eastAsia="Arial" w:hAnsi="Arial" w:cs="Arial"/>
          <w:sz w:val="21"/>
          <w:szCs w:val="21"/>
        </w:rPr>
        <w:t>xpected to materially impede or delay the performance by VS of its obligations hereunder.</w:t>
      </w:r>
    </w:p>
    <w:p w14:paraId="5EBF2224" w14:textId="77777777" w:rsidR="00D1587D" w:rsidRDefault="00D1587D">
      <w:pPr>
        <w:spacing w:line="201" w:lineRule="exact"/>
        <w:rPr>
          <w:sz w:val="20"/>
          <w:szCs w:val="20"/>
        </w:rPr>
      </w:pPr>
    </w:p>
    <w:p w14:paraId="658D9E9C" w14:textId="77777777" w:rsidR="00D1587D" w:rsidRDefault="00410D07">
      <w:pPr>
        <w:jc w:val="center"/>
        <w:rPr>
          <w:sz w:val="20"/>
          <w:szCs w:val="20"/>
        </w:rPr>
      </w:pPr>
      <w:r>
        <w:rPr>
          <w:rFonts w:ascii="Arial" w:eastAsia="Arial" w:hAnsi="Arial" w:cs="Arial"/>
        </w:rPr>
        <w:t>ARTICLE 7</w:t>
      </w:r>
    </w:p>
    <w:p w14:paraId="050AB738" w14:textId="77777777" w:rsidR="00D1587D" w:rsidRDefault="00D1587D">
      <w:pPr>
        <w:spacing w:line="8" w:lineRule="exact"/>
        <w:rPr>
          <w:sz w:val="20"/>
          <w:szCs w:val="20"/>
        </w:rPr>
      </w:pPr>
    </w:p>
    <w:p w14:paraId="07238C14" w14:textId="77777777" w:rsidR="00D1587D" w:rsidRDefault="00410D07">
      <w:pPr>
        <w:jc w:val="center"/>
        <w:rPr>
          <w:sz w:val="20"/>
          <w:szCs w:val="20"/>
        </w:rPr>
      </w:pPr>
      <w:r>
        <w:rPr>
          <w:rFonts w:ascii="Arial" w:eastAsia="Arial" w:hAnsi="Arial" w:cs="Arial"/>
        </w:rPr>
        <w:t>INDEMNIFICATION; LIMITATION OF LIABILITY.</w:t>
      </w:r>
    </w:p>
    <w:p w14:paraId="79C19F99" w14:textId="77777777" w:rsidR="00D1587D" w:rsidRDefault="00D1587D">
      <w:pPr>
        <w:spacing w:line="215" w:lineRule="exact"/>
        <w:rPr>
          <w:sz w:val="20"/>
          <w:szCs w:val="20"/>
        </w:rPr>
      </w:pPr>
    </w:p>
    <w:p w14:paraId="1414A39A" w14:textId="77777777" w:rsidR="00D1587D" w:rsidRDefault="00410D07">
      <w:pPr>
        <w:spacing w:line="244" w:lineRule="auto"/>
        <w:ind w:firstLine="648"/>
        <w:jc w:val="both"/>
        <w:rPr>
          <w:sz w:val="20"/>
          <w:szCs w:val="20"/>
        </w:rPr>
      </w:pPr>
      <w:r>
        <w:rPr>
          <w:rFonts w:ascii="Arial" w:eastAsia="Arial" w:hAnsi="Arial" w:cs="Arial"/>
          <w:sz w:val="21"/>
          <w:szCs w:val="21"/>
        </w:rPr>
        <w:t xml:space="preserve">Section 7.01. </w:t>
      </w:r>
      <w:r>
        <w:rPr>
          <w:rFonts w:ascii="Arial" w:eastAsia="Arial" w:hAnsi="Arial" w:cs="Arial"/>
          <w:i/>
          <w:iCs/>
          <w:sz w:val="21"/>
          <w:szCs w:val="21"/>
        </w:rPr>
        <w:t>Indemnification of Service Provider by VS</w:t>
      </w:r>
      <w:r>
        <w:rPr>
          <w:rFonts w:ascii="Arial" w:eastAsia="Arial" w:hAnsi="Arial" w:cs="Arial"/>
          <w:sz w:val="21"/>
          <w:szCs w:val="21"/>
        </w:rPr>
        <w:t xml:space="preserve">. Subject to the terms and conditions herein, VS </w:t>
      </w:r>
      <w:r>
        <w:rPr>
          <w:rFonts w:ascii="Arial" w:eastAsia="Arial" w:hAnsi="Arial" w:cs="Arial"/>
          <w:sz w:val="21"/>
          <w:szCs w:val="21"/>
        </w:rPr>
        <w:t>agrees to and shall indemnify and hold harmless Service Provider and each other Service Provider Party and their respective directors, officers, partners, members, managers, agents and employees (collectively, the “</w:t>
      </w:r>
      <w:r>
        <w:rPr>
          <w:rFonts w:ascii="Arial" w:eastAsia="Arial" w:hAnsi="Arial" w:cs="Arial"/>
          <w:b/>
          <w:bCs/>
          <w:sz w:val="21"/>
          <w:szCs w:val="21"/>
        </w:rPr>
        <w:t>Service Provider Indemnified Persons</w:t>
      </w:r>
      <w:r>
        <w:rPr>
          <w:rFonts w:ascii="Arial" w:eastAsia="Arial" w:hAnsi="Arial" w:cs="Arial"/>
          <w:sz w:val="21"/>
          <w:szCs w:val="21"/>
        </w:rPr>
        <w:t>”) fr</w:t>
      </w:r>
      <w:r>
        <w:rPr>
          <w:rFonts w:ascii="Arial" w:eastAsia="Arial" w:hAnsi="Arial" w:cs="Arial"/>
          <w:sz w:val="21"/>
          <w:szCs w:val="21"/>
        </w:rPr>
        <w:t>om and against any and all damage, loss, liability and expense (including, without limitation, reasonable expenses of investigation and reasonable attorneys’ fees and expenses in connection with any action, suit or proceeding) (whether involving a Third-Pa</w:t>
      </w:r>
      <w:r>
        <w:rPr>
          <w:rFonts w:ascii="Arial" w:eastAsia="Arial" w:hAnsi="Arial" w:cs="Arial"/>
          <w:sz w:val="21"/>
          <w:szCs w:val="21"/>
        </w:rPr>
        <w:t>rty Claim or a claim solely between the Parties hereto) (“</w:t>
      </w:r>
      <w:r>
        <w:rPr>
          <w:rFonts w:ascii="Arial" w:eastAsia="Arial" w:hAnsi="Arial" w:cs="Arial"/>
          <w:b/>
          <w:bCs/>
          <w:sz w:val="21"/>
          <w:szCs w:val="21"/>
        </w:rPr>
        <w:t>Damages</w:t>
      </w:r>
      <w:r>
        <w:rPr>
          <w:rFonts w:ascii="Arial" w:eastAsia="Arial" w:hAnsi="Arial" w:cs="Arial"/>
          <w:sz w:val="21"/>
          <w:szCs w:val="21"/>
        </w:rPr>
        <w:t>”) asserted against, incurred or suffered by any Service Provider Indemnified Person or as a result of Damages arising from a claim by a third party, in each case, arising out of or in connec</w:t>
      </w:r>
      <w:r>
        <w:rPr>
          <w:rFonts w:ascii="Arial" w:eastAsia="Arial" w:hAnsi="Arial" w:cs="Arial"/>
          <w:sz w:val="21"/>
          <w:szCs w:val="21"/>
        </w:rPr>
        <w:t>tion with (a) VS’s or any of its Affiliates’ breach of this Agreement, (b) any VS Products, (c) the receipt or use of the Services by VS or any of its Affiliates, (d) VS’s or any of its Affiliates’ violation of Applicable Law, or (e) VS’s or any of its Aff</w:t>
      </w:r>
      <w:r>
        <w:rPr>
          <w:rFonts w:ascii="Arial" w:eastAsia="Arial" w:hAnsi="Arial" w:cs="Arial"/>
          <w:sz w:val="21"/>
          <w:szCs w:val="21"/>
        </w:rPr>
        <w:t xml:space="preserve">iliates’ gross negligence, fraud or willful misconduct; </w:t>
      </w:r>
      <w:r>
        <w:rPr>
          <w:rFonts w:ascii="Arial" w:eastAsia="Arial" w:hAnsi="Arial" w:cs="Arial"/>
          <w:i/>
          <w:iCs/>
          <w:sz w:val="21"/>
          <w:szCs w:val="21"/>
        </w:rPr>
        <w:t>provided</w:t>
      </w:r>
      <w:r>
        <w:rPr>
          <w:rFonts w:ascii="Arial" w:eastAsia="Arial" w:hAnsi="Arial" w:cs="Arial"/>
          <w:sz w:val="21"/>
          <w:szCs w:val="21"/>
        </w:rPr>
        <w:t xml:space="preserve"> that the foregoing indemnification obligation shall not apply to the extent such Damages are caused by (i) a breach of this Agreement by Service Provider, any of its Affiliates or any other S</w:t>
      </w:r>
      <w:r>
        <w:rPr>
          <w:rFonts w:ascii="Arial" w:eastAsia="Arial" w:hAnsi="Arial" w:cs="Arial"/>
          <w:sz w:val="21"/>
          <w:szCs w:val="21"/>
        </w:rPr>
        <w:t>ervice Provider Party or (ii) Service Provider’s or any of its Affiliates’ or any other Service Provider Party’s gross negligence, fraud or willful misconduct.</w:t>
      </w:r>
    </w:p>
    <w:p w14:paraId="76D4F786" w14:textId="77777777" w:rsidR="00D1587D" w:rsidRDefault="00D1587D">
      <w:pPr>
        <w:spacing w:line="210" w:lineRule="exact"/>
        <w:rPr>
          <w:sz w:val="20"/>
          <w:szCs w:val="20"/>
        </w:rPr>
      </w:pPr>
    </w:p>
    <w:p w14:paraId="6328D2CD" w14:textId="77777777" w:rsidR="00D1587D" w:rsidRDefault="00410D07">
      <w:pPr>
        <w:spacing w:line="274" w:lineRule="auto"/>
        <w:ind w:firstLine="648"/>
        <w:jc w:val="both"/>
        <w:rPr>
          <w:sz w:val="20"/>
          <w:szCs w:val="20"/>
        </w:rPr>
      </w:pPr>
      <w:r>
        <w:rPr>
          <w:rFonts w:ascii="Arial" w:eastAsia="Arial" w:hAnsi="Arial" w:cs="Arial"/>
          <w:sz w:val="19"/>
          <w:szCs w:val="19"/>
        </w:rPr>
        <w:t xml:space="preserve">Section 7.02. </w:t>
      </w:r>
      <w:r>
        <w:rPr>
          <w:rFonts w:ascii="Arial" w:eastAsia="Arial" w:hAnsi="Arial" w:cs="Arial"/>
          <w:i/>
          <w:iCs/>
          <w:sz w:val="19"/>
          <w:szCs w:val="19"/>
        </w:rPr>
        <w:t>Indemnification of VS by Service Provider</w:t>
      </w:r>
      <w:r>
        <w:rPr>
          <w:rFonts w:ascii="Arial" w:eastAsia="Arial" w:hAnsi="Arial" w:cs="Arial"/>
          <w:sz w:val="19"/>
          <w:szCs w:val="19"/>
        </w:rPr>
        <w:t>. Subject to the terms and conditions he</w:t>
      </w:r>
      <w:r>
        <w:rPr>
          <w:rFonts w:ascii="Arial" w:eastAsia="Arial" w:hAnsi="Arial" w:cs="Arial"/>
          <w:sz w:val="19"/>
          <w:szCs w:val="19"/>
        </w:rPr>
        <w:t>rein, Service Provider agrees to and shall indemnify and hold harmless VS and its directors, officers, partners, members, managers, agents and employees (collectively, the “</w:t>
      </w:r>
      <w:r>
        <w:rPr>
          <w:rFonts w:ascii="Arial" w:eastAsia="Arial" w:hAnsi="Arial" w:cs="Arial"/>
          <w:b/>
          <w:bCs/>
          <w:sz w:val="19"/>
          <w:szCs w:val="19"/>
        </w:rPr>
        <w:t>VS Indemnified Persons</w:t>
      </w:r>
      <w:r>
        <w:rPr>
          <w:rFonts w:ascii="Arial" w:eastAsia="Arial" w:hAnsi="Arial" w:cs="Arial"/>
          <w:sz w:val="19"/>
          <w:szCs w:val="19"/>
        </w:rPr>
        <w:t>”) from and against any and all Damages asserted against, inc</w:t>
      </w:r>
      <w:r>
        <w:rPr>
          <w:rFonts w:ascii="Arial" w:eastAsia="Arial" w:hAnsi="Arial" w:cs="Arial"/>
          <w:sz w:val="19"/>
          <w:szCs w:val="19"/>
        </w:rPr>
        <w:t>urred or suffered by any VS Indemnified Person or as a result of Damages arising from a claim by a third party, in each case, arising out of or in connection with (a) any Service Provider Party’s breach of this Agreement, (b) any Service Provider Party’s v</w:t>
      </w:r>
      <w:r>
        <w:rPr>
          <w:rFonts w:ascii="Arial" w:eastAsia="Arial" w:hAnsi="Arial" w:cs="Arial"/>
          <w:sz w:val="19"/>
          <w:szCs w:val="19"/>
        </w:rPr>
        <w:t xml:space="preserve">iolation of Applicable Law, or (c) Service Provider’s or any of its Affiliates’ or any Service Provider Party’s gross negligence, fraud or willful misconduct; </w:t>
      </w:r>
      <w:r>
        <w:rPr>
          <w:rFonts w:ascii="Arial" w:eastAsia="Arial" w:hAnsi="Arial" w:cs="Arial"/>
          <w:i/>
          <w:iCs/>
          <w:sz w:val="19"/>
          <w:szCs w:val="19"/>
        </w:rPr>
        <w:t>provided</w:t>
      </w:r>
      <w:r>
        <w:rPr>
          <w:rFonts w:ascii="Arial" w:eastAsia="Arial" w:hAnsi="Arial" w:cs="Arial"/>
          <w:sz w:val="19"/>
          <w:szCs w:val="19"/>
        </w:rPr>
        <w:t xml:space="preserve"> that the foregoing indemnification obligation shall not apply to the extent such Damages</w:t>
      </w:r>
      <w:r>
        <w:rPr>
          <w:rFonts w:ascii="Arial" w:eastAsia="Arial" w:hAnsi="Arial" w:cs="Arial"/>
          <w:sz w:val="19"/>
          <w:szCs w:val="19"/>
        </w:rPr>
        <w:t xml:space="preserve"> are caused by (i) a breach of this Agreement by VS or any of its Affiliates, (ii) any VS Products, (iii) use of the Services by VS or any of its Affiliates, or (iv) VS’s or any of its Affiliates’ gross negligence, fraud or willful misconduct.</w:t>
      </w:r>
    </w:p>
    <w:p w14:paraId="302BFDE1" w14:textId="77777777" w:rsidR="00D1587D" w:rsidRDefault="00D1587D">
      <w:pPr>
        <w:spacing w:line="361" w:lineRule="exact"/>
        <w:rPr>
          <w:sz w:val="20"/>
          <w:szCs w:val="20"/>
        </w:rPr>
      </w:pPr>
    </w:p>
    <w:p w14:paraId="22B780CC" w14:textId="77777777" w:rsidR="00D1587D" w:rsidRDefault="00410D07">
      <w:pPr>
        <w:jc w:val="center"/>
        <w:rPr>
          <w:sz w:val="20"/>
          <w:szCs w:val="20"/>
        </w:rPr>
      </w:pPr>
      <w:r>
        <w:rPr>
          <w:rFonts w:ascii="Arial" w:eastAsia="Arial" w:hAnsi="Arial" w:cs="Arial"/>
        </w:rPr>
        <w:t>11</w:t>
      </w:r>
    </w:p>
    <w:p w14:paraId="74D4E6B3" w14:textId="77777777" w:rsidR="00D1587D" w:rsidRDefault="00410D07">
      <w:pPr>
        <w:spacing w:line="20" w:lineRule="exact"/>
        <w:rPr>
          <w:sz w:val="20"/>
          <w:szCs w:val="20"/>
        </w:rPr>
      </w:pPr>
      <w:r>
        <w:rPr>
          <w:noProof/>
          <w:sz w:val="20"/>
          <w:szCs w:val="20"/>
        </w:rPr>
        <w:drawing>
          <wp:anchor distT="0" distB="0" distL="114300" distR="114300" simplePos="0" relativeHeight="251389952" behindDoc="1" locked="0" layoutInCell="0" allowOverlap="1" wp14:anchorId="5E837DA0" wp14:editId="75774521">
            <wp:simplePos x="0" y="0"/>
            <wp:positionH relativeFrom="column">
              <wp:posOffset>5080</wp:posOffset>
            </wp:positionH>
            <wp:positionV relativeFrom="paragraph">
              <wp:posOffset>41275</wp:posOffset>
            </wp:positionV>
            <wp:extent cx="7132320" cy="1714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6A36401" w14:textId="77777777" w:rsidR="00D1587D" w:rsidRDefault="00D1587D">
      <w:pPr>
        <w:sectPr w:rsidR="00D1587D">
          <w:pgSz w:w="11900" w:h="16838"/>
          <w:pgMar w:top="361" w:right="339" w:bottom="1440" w:left="320" w:header="0" w:footer="0" w:gutter="0"/>
          <w:cols w:space="720" w:equalWidth="0">
            <w:col w:w="11240"/>
          </w:cols>
        </w:sectPr>
      </w:pPr>
    </w:p>
    <w:p w14:paraId="65404152" w14:textId="77777777" w:rsidR="00D1587D" w:rsidRDefault="00410D07">
      <w:pPr>
        <w:spacing w:line="277" w:lineRule="auto"/>
        <w:ind w:firstLine="648"/>
        <w:jc w:val="both"/>
        <w:rPr>
          <w:sz w:val="20"/>
          <w:szCs w:val="20"/>
        </w:rPr>
      </w:pPr>
      <w:bookmarkStart w:id="228" w:name="page229"/>
      <w:bookmarkEnd w:id="228"/>
      <w:r>
        <w:rPr>
          <w:rFonts w:ascii="Arial" w:eastAsia="Arial" w:hAnsi="Arial" w:cs="Arial"/>
          <w:sz w:val="19"/>
          <w:szCs w:val="19"/>
        </w:rPr>
        <w:t xml:space="preserve">Section 7.03. </w:t>
      </w:r>
      <w:r>
        <w:rPr>
          <w:rFonts w:ascii="Arial" w:eastAsia="Arial" w:hAnsi="Arial" w:cs="Arial"/>
          <w:i/>
          <w:iCs/>
          <w:sz w:val="19"/>
          <w:szCs w:val="19"/>
        </w:rPr>
        <w:t>Third-Party Claim Procedures</w:t>
      </w:r>
      <w:r>
        <w:rPr>
          <w:rFonts w:ascii="Arial" w:eastAsia="Arial" w:hAnsi="Arial" w:cs="Arial"/>
          <w:sz w:val="19"/>
          <w:szCs w:val="19"/>
        </w:rPr>
        <w:t xml:space="preserve">. (a) The Party seeking indemnification under </w:t>
      </w:r>
      <w:r>
        <w:rPr>
          <w:rFonts w:ascii="Arial" w:eastAsia="Arial" w:hAnsi="Arial" w:cs="Arial"/>
          <w:sz w:val="19"/>
          <w:szCs w:val="19"/>
          <w:u w:val="single"/>
        </w:rPr>
        <w:t>Section 7.01</w:t>
      </w:r>
      <w:r>
        <w:rPr>
          <w:rFonts w:ascii="Arial" w:eastAsia="Arial" w:hAnsi="Arial" w:cs="Arial"/>
          <w:sz w:val="19"/>
          <w:szCs w:val="19"/>
        </w:rPr>
        <w:t xml:space="preserve"> or </w:t>
      </w:r>
      <w:r>
        <w:rPr>
          <w:rFonts w:ascii="Arial" w:eastAsia="Arial" w:hAnsi="Arial" w:cs="Arial"/>
          <w:sz w:val="19"/>
          <w:szCs w:val="19"/>
          <w:u w:val="single"/>
        </w:rPr>
        <w:t>Section</w:t>
      </w:r>
      <w:r>
        <w:rPr>
          <w:rFonts w:ascii="Arial" w:eastAsia="Arial" w:hAnsi="Arial" w:cs="Arial"/>
          <w:sz w:val="19"/>
          <w:szCs w:val="19"/>
        </w:rPr>
        <w:t xml:space="preserve"> </w:t>
      </w:r>
      <w:r>
        <w:rPr>
          <w:rFonts w:ascii="Arial" w:eastAsia="Arial" w:hAnsi="Arial" w:cs="Arial"/>
          <w:sz w:val="19"/>
          <w:szCs w:val="19"/>
          <w:u w:val="single"/>
        </w:rPr>
        <w:t>7.02</w:t>
      </w:r>
      <w:r>
        <w:rPr>
          <w:rFonts w:ascii="Arial" w:eastAsia="Arial" w:hAnsi="Arial" w:cs="Arial"/>
          <w:sz w:val="19"/>
          <w:szCs w:val="19"/>
        </w:rPr>
        <w:t>, as applicable, (the “</w:t>
      </w:r>
      <w:r>
        <w:rPr>
          <w:rFonts w:ascii="Arial" w:eastAsia="Arial" w:hAnsi="Arial" w:cs="Arial"/>
          <w:b/>
          <w:bCs/>
          <w:sz w:val="19"/>
          <w:szCs w:val="19"/>
        </w:rPr>
        <w:t>Indemnified Party</w:t>
      </w:r>
      <w:r>
        <w:rPr>
          <w:rFonts w:ascii="Arial" w:eastAsia="Arial" w:hAnsi="Arial" w:cs="Arial"/>
          <w:sz w:val="19"/>
          <w:szCs w:val="19"/>
        </w:rPr>
        <w:t xml:space="preserve">”) agrees to give prompt notice in writing to the Party against whom </w:t>
      </w:r>
      <w:r>
        <w:rPr>
          <w:rFonts w:ascii="Arial" w:eastAsia="Arial" w:hAnsi="Arial" w:cs="Arial"/>
          <w:sz w:val="19"/>
          <w:szCs w:val="19"/>
        </w:rPr>
        <w:t>indemnity is to be sought (the “</w:t>
      </w:r>
      <w:r>
        <w:rPr>
          <w:rFonts w:ascii="Arial" w:eastAsia="Arial" w:hAnsi="Arial" w:cs="Arial"/>
          <w:b/>
          <w:bCs/>
          <w:sz w:val="19"/>
          <w:szCs w:val="19"/>
        </w:rPr>
        <w:t>Indemnifying Party</w:t>
      </w:r>
      <w:r>
        <w:rPr>
          <w:rFonts w:ascii="Arial" w:eastAsia="Arial" w:hAnsi="Arial" w:cs="Arial"/>
          <w:sz w:val="19"/>
          <w:szCs w:val="19"/>
        </w:rPr>
        <w:t>”) of the assertion of any claim or the commencement of any suit, action or proceeding by any third party (“</w:t>
      </w:r>
      <w:r>
        <w:rPr>
          <w:rFonts w:ascii="Arial" w:eastAsia="Arial" w:hAnsi="Arial" w:cs="Arial"/>
          <w:b/>
          <w:bCs/>
          <w:sz w:val="19"/>
          <w:szCs w:val="19"/>
        </w:rPr>
        <w:t>Third-Party Claim</w:t>
      </w:r>
      <w:r>
        <w:rPr>
          <w:rFonts w:ascii="Arial" w:eastAsia="Arial" w:hAnsi="Arial" w:cs="Arial"/>
          <w:sz w:val="19"/>
          <w:szCs w:val="19"/>
        </w:rPr>
        <w:t>”) in respect of which indemnity may be sought under such Section. Such notice sh</w:t>
      </w:r>
      <w:r>
        <w:rPr>
          <w:rFonts w:ascii="Arial" w:eastAsia="Arial" w:hAnsi="Arial" w:cs="Arial"/>
          <w:sz w:val="19"/>
          <w:szCs w:val="19"/>
        </w:rPr>
        <w:t>all set forth in reasonable detail such Third-Party Claim and the basis for indemnification (taking into account the information then available to the Indemnified Party). The failure to so notify the Indemnifying Party shall not relieve the Indemnifying Pa</w:t>
      </w:r>
      <w:r>
        <w:rPr>
          <w:rFonts w:ascii="Arial" w:eastAsia="Arial" w:hAnsi="Arial" w:cs="Arial"/>
          <w:sz w:val="19"/>
          <w:szCs w:val="19"/>
        </w:rPr>
        <w:t>rty of its obligations hereunder, except to the extent such failure shall have adversely prejudiced the Indemnifying Party.</w:t>
      </w:r>
    </w:p>
    <w:p w14:paraId="6D16C126" w14:textId="77777777" w:rsidR="00D1587D" w:rsidRDefault="00D1587D">
      <w:pPr>
        <w:spacing w:line="179" w:lineRule="exact"/>
        <w:rPr>
          <w:sz w:val="20"/>
          <w:szCs w:val="20"/>
        </w:rPr>
      </w:pPr>
    </w:p>
    <w:p w14:paraId="1CFCD142" w14:textId="77777777" w:rsidR="00D1587D" w:rsidRDefault="00410D07">
      <w:pPr>
        <w:numPr>
          <w:ilvl w:val="0"/>
          <w:numId w:val="200"/>
        </w:numPr>
        <w:tabs>
          <w:tab w:val="left" w:pos="1670"/>
        </w:tabs>
        <w:ind w:firstLine="850"/>
        <w:jc w:val="both"/>
        <w:rPr>
          <w:rFonts w:ascii="Arial" w:eastAsia="Arial" w:hAnsi="Arial" w:cs="Arial"/>
        </w:rPr>
      </w:pPr>
      <w:r>
        <w:rPr>
          <w:rFonts w:ascii="Arial" w:eastAsia="Arial" w:hAnsi="Arial" w:cs="Arial"/>
        </w:rPr>
        <w:t>The Indemnifying Party shall be entitled to participate in the defense of any Third-Party Claim and, subject to the limitations set</w:t>
      </w:r>
      <w:r>
        <w:rPr>
          <w:rFonts w:ascii="Arial" w:eastAsia="Arial" w:hAnsi="Arial" w:cs="Arial"/>
        </w:rPr>
        <w:t xml:space="preserve"> forth in this </w:t>
      </w:r>
      <w:r>
        <w:rPr>
          <w:rFonts w:ascii="Arial" w:eastAsia="Arial" w:hAnsi="Arial" w:cs="Arial"/>
          <w:u w:val="single"/>
        </w:rPr>
        <w:t>Section 7.03</w:t>
      </w:r>
      <w:r>
        <w:rPr>
          <w:rFonts w:ascii="Arial" w:eastAsia="Arial" w:hAnsi="Arial" w:cs="Arial"/>
        </w:rPr>
        <w:t>, shall be entitled to control and appoint lead counsel for such defense, in each case at its own expense.</w:t>
      </w:r>
    </w:p>
    <w:p w14:paraId="29F48D98" w14:textId="77777777" w:rsidR="00D1587D" w:rsidRDefault="00D1587D">
      <w:pPr>
        <w:spacing w:line="213" w:lineRule="exact"/>
        <w:rPr>
          <w:rFonts w:ascii="Arial" w:eastAsia="Arial" w:hAnsi="Arial" w:cs="Arial"/>
        </w:rPr>
      </w:pPr>
    </w:p>
    <w:p w14:paraId="25E8D809" w14:textId="77777777" w:rsidR="00D1587D" w:rsidRDefault="00410D07">
      <w:pPr>
        <w:numPr>
          <w:ilvl w:val="0"/>
          <w:numId w:val="200"/>
        </w:numPr>
        <w:tabs>
          <w:tab w:val="left" w:pos="1647"/>
        </w:tabs>
        <w:spacing w:line="277" w:lineRule="auto"/>
        <w:ind w:firstLine="850"/>
        <w:jc w:val="both"/>
        <w:rPr>
          <w:rFonts w:ascii="Arial" w:eastAsia="Arial" w:hAnsi="Arial" w:cs="Arial"/>
          <w:sz w:val="19"/>
          <w:szCs w:val="19"/>
        </w:rPr>
      </w:pPr>
      <w:r>
        <w:rPr>
          <w:rFonts w:ascii="Arial" w:eastAsia="Arial" w:hAnsi="Arial" w:cs="Arial"/>
          <w:sz w:val="19"/>
          <w:szCs w:val="19"/>
        </w:rPr>
        <w:t>If the Indemnifying Party shall assume the control of the defense of any Third-Party Claim in accordance with the provisi</w:t>
      </w:r>
      <w:r>
        <w:rPr>
          <w:rFonts w:ascii="Arial" w:eastAsia="Arial" w:hAnsi="Arial" w:cs="Arial"/>
          <w:sz w:val="19"/>
          <w:szCs w:val="19"/>
        </w:rPr>
        <w:t xml:space="preserve">ons of this </w:t>
      </w:r>
      <w:r>
        <w:rPr>
          <w:rFonts w:ascii="Arial" w:eastAsia="Arial" w:hAnsi="Arial" w:cs="Arial"/>
          <w:sz w:val="19"/>
          <w:szCs w:val="19"/>
          <w:u w:val="single"/>
        </w:rPr>
        <w:t>Section 7.03</w:t>
      </w:r>
      <w:r>
        <w:rPr>
          <w:rFonts w:ascii="Arial" w:eastAsia="Arial" w:hAnsi="Arial" w:cs="Arial"/>
          <w:sz w:val="19"/>
          <w:szCs w:val="19"/>
        </w:rPr>
        <w:t>, the Indemnifying Party shall obtain the prior written consent of the Indemnified Party (which shall not be unreasonably withheld, conditioned or delayed) before entering into any settlement of such Third-Party Claim, if the settle</w:t>
      </w:r>
      <w:r>
        <w:rPr>
          <w:rFonts w:ascii="Arial" w:eastAsia="Arial" w:hAnsi="Arial" w:cs="Arial"/>
          <w:sz w:val="19"/>
          <w:szCs w:val="19"/>
        </w:rPr>
        <w:t>ment does not release the Indemnified Party and its Affiliates from all liabilities and obligations with respect to such Third-Party Claim or the settlement imposes injunctive or other equitable relief against the Indemnified Party or any of its Affiliates</w:t>
      </w:r>
      <w:r>
        <w:rPr>
          <w:rFonts w:ascii="Arial" w:eastAsia="Arial" w:hAnsi="Arial" w:cs="Arial"/>
          <w:sz w:val="19"/>
          <w:szCs w:val="19"/>
        </w:rPr>
        <w:t>, and the Indemnified Party shall be entitled to participate in the defense of any Third-Party Claim and to employ separate counsel of its choice for such purpose. The fees and expenses of such separate counsel shall be paid by the Indemnified Party.</w:t>
      </w:r>
    </w:p>
    <w:p w14:paraId="70B4A69C" w14:textId="77777777" w:rsidR="00D1587D" w:rsidRDefault="00D1587D">
      <w:pPr>
        <w:spacing w:line="178" w:lineRule="exact"/>
        <w:rPr>
          <w:rFonts w:ascii="Arial" w:eastAsia="Arial" w:hAnsi="Arial" w:cs="Arial"/>
          <w:sz w:val="19"/>
          <w:szCs w:val="19"/>
        </w:rPr>
      </w:pPr>
    </w:p>
    <w:p w14:paraId="5D68AA9A" w14:textId="77777777" w:rsidR="00D1587D" w:rsidRDefault="00410D07">
      <w:pPr>
        <w:numPr>
          <w:ilvl w:val="0"/>
          <w:numId w:val="200"/>
        </w:numPr>
        <w:tabs>
          <w:tab w:val="left" w:pos="1691"/>
        </w:tabs>
        <w:spacing w:line="297" w:lineRule="auto"/>
        <w:ind w:firstLine="850"/>
        <w:jc w:val="both"/>
        <w:rPr>
          <w:rFonts w:ascii="Arial" w:eastAsia="Arial" w:hAnsi="Arial" w:cs="Arial"/>
          <w:sz w:val="19"/>
          <w:szCs w:val="19"/>
        </w:rPr>
      </w:pPr>
      <w:r>
        <w:rPr>
          <w:rFonts w:ascii="Arial" w:eastAsia="Arial" w:hAnsi="Arial" w:cs="Arial"/>
          <w:sz w:val="19"/>
          <w:szCs w:val="19"/>
        </w:rPr>
        <w:t>Each</w:t>
      </w:r>
      <w:r>
        <w:rPr>
          <w:rFonts w:ascii="Arial" w:eastAsia="Arial" w:hAnsi="Arial" w:cs="Arial"/>
          <w:sz w:val="19"/>
          <w:szCs w:val="19"/>
        </w:rPr>
        <w:t xml:space="preserve"> Party shall cooperate, and cause their respective Affiliates to cooperate, in the defense or prosecution of any Third-Party Claim and shall furnish or cause to be furnished such records, information and testimony, and attend such conferences, discovery pr</w:t>
      </w:r>
      <w:r>
        <w:rPr>
          <w:rFonts w:ascii="Arial" w:eastAsia="Arial" w:hAnsi="Arial" w:cs="Arial"/>
          <w:sz w:val="19"/>
          <w:szCs w:val="19"/>
        </w:rPr>
        <w:t>oceedings, hearings, trials or appeals, as may be reasonably requested in connection therewith.</w:t>
      </w:r>
    </w:p>
    <w:p w14:paraId="1365C092" w14:textId="77777777" w:rsidR="00D1587D" w:rsidRDefault="00D1587D">
      <w:pPr>
        <w:spacing w:line="161" w:lineRule="exact"/>
        <w:rPr>
          <w:sz w:val="20"/>
          <w:szCs w:val="20"/>
        </w:rPr>
      </w:pPr>
    </w:p>
    <w:p w14:paraId="419966B9" w14:textId="77777777" w:rsidR="00D1587D" w:rsidRDefault="00410D07">
      <w:pPr>
        <w:spacing w:line="244" w:lineRule="auto"/>
        <w:ind w:firstLine="648"/>
        <w:jc w:val="both"/>
        <w:rPr>
          <w:sz w:val="20"/>
          <w:szCs w:val="20"/>
        </w:rPr>
      </w:pPr>
      <w:r>
        <w:rPr>
          <w:rFonts w:ascii="Arial" w:eastAsia="Arial" w:hAnsi="Arial" w:cs="Arial"/>
          <w:sz w:val="21"/>
          <w:szCs w:val="21"/>
        </w:rPr>
        <w:t xml:space="preserve">Section 7.04. </w:t>
      </w:r>
      <w:r>
        <w:rPr>
          <w:rFonts w:ascii="Arial" w:eastAsia="Arial" w:hAnsi="Arial" w:cs="Arial"/>
          <w:i/>
          <w:iCs/>
          <w:sz w:val="21"/>
          <w:szCs w:val="21"/>
        </w:rPr>
        <w:t>Direct Claim Procedures</w:t>
      </w:r>
      <w:r>
        <w:rPr>
          <w:rFonts w:ascii="Arial" w:eastAsia="Arial" w:hAnsi="Arial" w:cs="Arial"/>
          <w:sz w:val="21"/>
          <w:szCs w:val="21"/>
        </w:rPr>
        <w:t xml:space="preserve">. In the event an Indemnified Party has a claim for indemnity under </w:t>
      </w:r>
      <w:r>
        <w:rPr>
          <w:rFonts w:ascii="Arial" w:eastAsia="Arial" w:hAnsi="Arial" w:cs="Arial"/>
          <w:sz w:val="21"/>
          <w:szCs w:val="21"/>
          <w:u w:val="single"/>
        </w:rPr>
        <w:t>Section</w:t>
      </w:r>
      <w:r>
        <w:rPr>
          <w:rFonts w:ascii="Arial" w:eastAsia="Arial" w:hAnsi="Arial" w:cs="Arial"/>
          <w:sz w:val="21"/>
          <w:szCs w:val="21"/>
        </w:rPr>
        <w:t xml:space="preserve"> </w:t>
      </w:r>
      <w:r>
        <w:rPr>
          <w:rFonts w:ascii="Arial" w:eastAsia="Arial" w:hAnsi="Arial" w:cs="Arial"/>
          <w:sz w:val="21"/>
          <w:szCs w:val="21"/>
          <w:u w:val="single"/>
        </w:rPr>
        <w:t>7.01</w:t>
      </w:r>
      <w:r>
        <w:rPr>
          <w:rFonts w:ascii="Arial" w:eastAsia="Arial" w:hAnsi="Arial" w:cs="Arial"/>
          <w:sz w:val="21"/>
          <w:szCs w:val="21"/>
        </w:rPr>
        <w:t xml:space="preserve"> or </w:t>
      </w:r>
      <w:r>
        <w:rPr>
          <w:rFonts w:ascii="Arial" w:eastAsia="Arial" w:hAnsi="Arial" w:cs="Arial"/>
          <w:sz w:val="21"/>
          <w:szCs w:val="21"/>
          <w:u w:val="single"/>
        </w:rPr>
        <w:t>Section 7.02</w:t>
      </w:r>
      <w:r>
        <w:rPr>
          <w:rFonts w:ascii="Arial" w:eastAsia="Arial" w:hAnsi="Arial" w:cs="Arial"/>
          <w:sz w:val="21"/>
          <w:szCs w:val="21"/>
        </w:rPr>
        <w:t>, as applicable, against an Indemnifying Party that does not involve a Third-Party Claim, the Indemnified Party agrees to give prompt notice in writing of such claim to the Indemnifying Party. Such notice shall set forth in reasonable detail such claim and</w:t>
      </w:r>
      <w:r>
        <w:rPr>
          <w:rFonts w:ascii="Arial" w:eastAsia="Arial" w:hAnsi="Arial" w:cs="Arial"/>
          <w:sz w:val="21"/>
          <w:szCs w:val="21"/>
        </w:rPr>
        <w:t xml:space="preserve"> the basis for indemnification (taking into account the information then available to the Indemnified Party). The failure to so notify the Indemnifying Party shall not relieve the Indemnifying Party of its obligations hereunder, except to the extent such f</w:t>
      </w:r>
      <w:r>
        <w:rPr>
          <w:rFonts w:ascii="Arial" w:eastAsia="Arial" w:hAnsi="Arial" w:cs="Arial"/>
          <w:sz w:val="21"/>
          <w:szCs w:val="21"/>
        </w:rPr>
        <w:t>ailure shall have materially and adversely prejudiced the Indemnifying Party. If the Indemnifying Party does not notify the Indemnified Party within thirty (30) days following the receipt of a notice with respect to any such claim that the Indemnifying Par</w:t>
      </w:r>
      <w:r>
        <w:rPr>
          <w:rFonts w:ascii="Arial" w:eastAsia="Arial" w:hAnsi="Arial" w:cs="Arial"/>
          <w:sz w:val="21"/>
          <w:szCs w:val="21"/>
        </w:rPr>
        <w:t>ty disputes its indemnity obligation to the Indemnified Party for any Damages with respect to such claim, such Damages shall be conclusively deemed a liability of the Indemnifying Party and the Indemnifying Party shall promptly pay to the Indemnified Party</w:t>
      </w:r>
      <w:r>
        <w:rPr>
          <w:rFonts w:ascii="Arial" w:eastAsia="Arial" w:hAnsi="Arial" w:cs="Arial"/>
          <w:sz w:val="21"/>
          <w:szCs w:val="21"/>
        </w:rPr>
        <w:t xml:space="preserve"> any and all Damages arising out of such claim. If the Indemnifying Party has timely disputed its indemnity obligation for any Damages with respect to such claim, the Parties shall follow the dispute resolution procedures set forth in </w:t>
      </w:r>
      <w:r>
        <w:rPr>
          <w:rFonts w:ascii="Arial" w:eastAsia="Arial" w:hAnsi="Arial" w:cs="Arial"/>
          <w:sz w:val="21"/>
          <w:szCs w:val="21"/>
          <w:u w:val="single"/>
        </w:rPr>
        <w:t>Section 10.07</w:t>
      </w:r>
      <w:r>
        <w:rPr>
          <w:rFonts w:ascii="Arial" w:eastAsia="Arial" w:hAnsi="Arial" w:cs="Arial"/>
          <w:sz w:val="21"/>
          <w:szCs w:val="21"/>
        </w:rPr>
        <w:t>.</w:t>
      </w:r>
    </w:p>
    <w:p w14:paraId="35069E33" w14:textId="77777777" w:rsidR="00D1587D" w:rsidRDefault="00D1587D">
      <w:pPr>
        <w:spacing w:line="388" w:lineRule="exact"/>
        <w:rPr>
          <w:sz w:val="20"/>
          <w:szCs w:val="20"/>
        </w:rPr>
      </w:pPr>
    </w:p>
    <w:p w14:paraId="59EFDFF2" w14:textId="77777777" w:rsidR="00D1587D" w:rsidRDefault="00410D07">
      <w:pPr>
        <w:jc w:val="center"/>
        <w:rPr>
          <w:sz w:val="20"/>
          <w:szCs w:val="20"/>
        </w:rPr>
      </w:pPr>
      <w:r>
        <w:rPr>
          <w:rFonts w:ascii="Arial" w:eastAsia="Arial" w:hAnsi="Arial" w:cs="Arial"/>
        </w:rPr>
        <w:t>12</w:t>
      </w:r>
    </w:p>
    <w:p w14:paraId="626F2373" w14:textId="77777777" w:rsidR="00D1587D" w:rsidRDefault="00410D07">
      <w:pPr>
        <w:spacing w:line="20" w:lineRule="exact"/>
        <w:rPr>
          <w:sz w:val="20"/>
          <w:szCs w:val="20"/>
        </w:rPr>
      </w:pPr>
      <w:r>
        <w:rPr>
          <w:noProof/>
          <w:sz w:val="20"/>
          <w:szCs w:val="20"/>
        </w:rPr>
        <w:drawing>
          <wp:anchor distT="0" distB="0" distL="114300" distR="114300" simplePos="0" relativeHeight="251390976" behindDoc="1" locked="0" layoutInCell="0" allowOverlap="1" wp14:anchorId="7BA3F34D" wp14:editId="5BB9DBF7">
            <wp:simplePos x="0" y="0"/>
            <wp:positionH relativeFrom="column">
              <wp:posOffset>5080</wp:posOffset>
            </wp:positionH>
            <wp:positionV relativeFrom="paragraph">
              <wp:posOffset>41275</wp:posOffset>
            </wp:positionV>
            <wp:extent cx="7132320" cy="1714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CAFD921" w14:textId="77777777" w:rsidR="00D1587D" w:rsidRDefault="00D1587D">
      <w:pPr>
        <w:sectPr w:rsidR="00D1587D">
          <w:pgSz w:w="11900" w:h="16838"/>
          <w:pgMar w:top="361" w:right="339" w:bottom="1440" w:left="320" w:header="0" w:footer="0" w:gutter="0"/>
          <w:cols w:space="720" w:equalWidth="0">
            <w:col w:w="11240"/>
          </w:cols>
        </w:sectPr>
      </w:pPr>
    </w:p>
    <w:p w14:paraId="6129A579" w14:textId="77777777" w:rsidR="00D1587D" w:rsidRDefault="00410D07">
      <w:pPr>
        <w:spacing w:line="234" w:lineRule="auto"/>
        <w:ind w:firstLine="648"/>
        <w:jc w:val="both"/>
        <w:rPr>
          <w:sz w:val="20"/>
          <w:szCs w:val="20"/>
        </w:rPr>
      </w:pPr>
      <w:bookmarkStart w:id="229" w:name="page230"/>
      <w:bookmarkEnd w:id="229"/>
      <w:r>
        <w:rPr>
          <w:rFonts w:ascii="Arial" w:eastAsia="Arial" w:hAnsi="Arial" w:cs="Arial"/>
        </w:rPr>
        <w:t xml:space="preserve">Section 7.05. </w:t>
      </w:r>
      <w:r>
        <w:rPr>
          <w:rFonts w:ascii="Arial" w:eastAsia="Arial" w:hAnsi="Arial" w:cs="Arial"/>
          <w:i/>
          <w:iCs/>
        </w:rPr>
        <w:t>Calculation of Damages.</w:t>
      </w:r>
      <w:r>
        <w:rPr>
          <w:rFonts w:ascii="Arial" w:eastAsia="Arial" w:hAnsi="Arial" w:cs="Arial"/>
        </w:rPr>
        <w:t xml:space="preserve"> The amount of any Damages payable under </w:t>
      </w:r>
      <w:r>
        <w:rPr>
          <w:rFonts w:ascii="Arial" w:eastAsia="Arial" w:hAnsi="Arial" w:cs="Arial"/>
          <w:u w:val="single"/>
        </w:rPr>
        <w:t>Section 7.01</w:t>
      </w:r>
      <w:r>
        <w:rPr>
          <w:rFonts w:ascii="Arial" w:eastAsia="Arial" w:hAnsi="Arial" w:cs="Arial"/>
        </w:rPr>
        <w:t xml:space="preserve"> or </w:t>
      </w:r>
      <w:r>
        <w:rPr>
          <w:rFonts w:ascii="Arial" w:eastAsia="Arial" w:hAnsi="Arial" w:cs="Arial"/>
          <w:u w:val="single"/>
        </w:rPr>
        <w:t>Section 7.02</w:t>
      </w:r>
      <w:r>
        <w:rPr>
          <w:rFonts w:ascii="Arial" w:eastAsia="Arial" w:hAnsi="Arial" w:cs="Arial"/>
        </w:rPr>
        <w:t>, as applicable, by the Indemnifying Party shall be net of any amounts recovered by the Indemnified Party under applicable insuran</w:t>
      </w:r>
      <w:r>
        <w:rPr>
          <w:rFonts w:ascii="Arial" w:eastAsia="Arial" w:hAnsi="Arial" w:cs="Arial"/>
        </w:rPr>
        <w:t>ce policies or from any other Person alleged to be responsible therefor. If the Indemnified Party receives any amounts under applicable insurance policies, or from any other Person alleged to be responsible for any Damages, subsequent to an indemnification</w:t>
      </w:r>
      <w:r>
        <w:rPr>
          <w:rFonts w:ascii="Arial" w:eastAsia="Arial" w:hAnsi="Arial" w:cs="Arial"/>
        </w:rPr>
        <w:t xml:space="preserve"> payment by the Indemnifying Party, then such Indemnified Party shall promptly reimburse the Indemnifying Party for any payment made or expense incurred by such Indemnifying Party in connection with providing such indemnification payment up to the amount r</w:t>
      </w:r>
      <w:r>
        <w:rPr>
          <w:rFonts w:ascii="Arial" w:eastAsia="Arial" w:hAnsi="Arial" w:cs="Arial"/>
        </w:rPr>
        <w:t>eceived by the Indemnified Party, net of any expenses incurred by such Indemnified Party in collecting such amount.</w:t>
      </w:r>
    </w:p>
    <w:p w14:paraId="15BDEEAC" w14:textId="77777777" w:rsidR="00D1587D" w:rsidRDefault="00D1587D">
      <w:pPr>
        <w:spacing w:line="214" w:lineRule="exact"/>
        <w:rPr>
          <w:sz w:val="20"/>
          <w:szCs w:val="20"/>
        </w:rPr>
      </w:pPr>
    </w:p>
    <w:p w14:paraId="3279FC8D" w14:textId="77777777" w:rsidR="00D1587D" w:rsidRDefault="00410D07">
      <w:pPr>
        <w:spacing w:line="245" w:lineRule="auto"/>
        <w:ind w:firstLine="648"/>
        <w:jc w:val="both"/>
        <w:rPr>
          <w:sz w:val="20"/>
          <w:szCs w:val="20"/>
        </w:rPr>
      </w:pPr>
      <w:r>
        <w:rPr>
          <w:rFonts w:ascii="Arial" w:eastAsia="Arial" w:hAnsi="Arial" w:cs="Arial"/>
          <w:sz w:val="21"/>
          <w:szCs w:val="21"/>
        </w:rPr>
        <w:t xml:space="preserve">Section 7.06. </w:t>
      </w:r>
      <w:r>
        <w:rPr>
          <w:rFonts w:ascii="Arial" w:eastAsia="Arial" w:hAnsi="Arial" w:cs="Arial"/>
          <w:i/>
          <w:iCs/>
          <w:sz w:val="21"/>
          <w:szCs w:val="21"/>
        </w:rPr>
        <w:t>Limitation of Liability; Exclusion of Damages</w:t>
      </w:r>
      <w:r>
        <w:rPr>
          <w:rFonts w:ascii="Arial" w:eastAsia="Arial" w:hAnsi="Arial" w:cs="Arial"/>
          <w:sz w:val="21"/>
          <w:szCs w:val="21"/>
        </w:rPr>
        <w:t xml:space="preserve">. (a) TO THE MAXIMUM EXTENT PERMITTED BY APPLICABLE LAW, EXCEPT FOR A </w:t>
      </w:r>
      <w:r>
        <w:rPr>
          <w:rFonts w:ascii="Arial" w:eastAsia="Arial" w:hAnsi="Arial" w:cs="Arial"/>
          <w:sz w:val="21"/>
          <w:szCs w:val="21"/>
        </w:rPr>
        <w:t>PARTY’S BREACH OF ITS CONFIDENTIALITY OBLIGATIONS HEREUNDER OR A PARTY’S GROSS NEGLIGENCE, FRAUD OR WILLFUL MISCONDUCT, NO PARTY HERETO WILL BE LIABLE FOR ANY (i) PUNITIVE, SPECIAL, CONSEQUENTIAL, EXEMPLARY OR TREBLED DAMAGES (IN EACH CASE, EXCEPT TO THE E</w:t>
      </w:r>
      <w:r>
        <w:rPr>
          <w:rFonts w:ascii="Arial" w:eastAsia="Arial" w:hAnsi="Arial" w:cs="Arial"/>
          <w:sz w:val="21"/>
          <w:szCs w:val="21"/>
        </w:rPr>
        <w:t>XTENT PAYABLE TO A THIRD PARTY IN RESPECT OF A THIRD-PARTY PROCEEDING BASED ON A FINAL JUDGMENT OF A COURT OF COMPETENT JURISDICTION) OR (ii) LOST PROFITS, DIMINUTION IN VALUE, MULTIPLE-BASED OR OTHER DAMAGES CALCULATED BASED ON A MULTIPLE OF ANOTHER FINAN</w:t>
      </w:r>
      <w:r>
        <w:rPr>
          <w:rFonts w:ascii="Arial" w:eastAsia="Arial" w:hAnsi="Arial" w:cs="Arial"/>
          <w:sz w:val="21"/>
          <w:szCs w:val="21"/>
        </w:rPr>
        <w:t>CIAL MEASURE, IN EACH CASE, ARISING OUT OF OR RELATING TO THIS AGREEMENT EVEN IF THE OTHER PARTY HAD BEEN ADVISED OF THE POSSIBILITY OF SUCH DAMAGES.</w:t>
      </w:r>
    </w:p>
    <w:p w14:paraId="0CDA6C51" w14:textId="77777777" w:rsidR="00D1587D" w:rsidRDefault="00D1587D">
      <w:pPr>
        <w:spacing w:line="211" w:lineRule="exact"/>
        <w:rPr>
          <w:sz w:val="20"/>
          <w:szCs w:val="20"/>
        </w:rPr>
      </w:pPr>
    </w:p>
    <w:p w14:paraId="327A10A8" w14:textId="77777777" w:rsidR="00D1587D" w:rsidRDefault="00410D07">
      <w:pPr>
        <w:numPr>
          <w:ilvl w:val="0"/>
          <w:numId w:val="201"/>
        </w:numPr>
        <w:tabs>
          <w:tab w:val="left" w:pos="1830"/>
        </w:tabs>
        <w:spacing w:line="249" w:lineRule="auto"/>
        <w:ind w:firstLine="850"/>
        <w:jc w:val="both"/>
        <w:rPr>
          <w:rFonts w:ascii="Arial" w:eastAsia="Arial" w:hAnsi="Arial" w:cs="Arial"/>
          <w:sz w:val="21"/>
          <w:szCs w:val="21"/>
        </w:rPr>
      </w:pPr>
      <w:r>
        <w:rPr>
          <w:rFonts w:ascii="Arial" w:eastAsia="Arial" w:hAnsi="Arial" w:cs="Arial"/>
          <w:sz w:val="21"/>
          <w:szCs w:val="21"/>
        </w:rPr>
        <w:t>NOTWITHSTANDING ANYTHING ELSE HEREIN TO THE CONTRARY, EXCEPT FOR ANY FEES PAYABLE BY VS TO SERVICE PROVID</w:t>
      </w:r>
      <w:r>
        <w:rPr>
          <w:rFonts w:ascii="Arial" w:eastAsia="Arial" w:hAnsi="Arial" w:cs="Arial"/>
          <w:sz w:val="21"/>
          <w:szCs w:val="21"/>
        </w:rPr>
        <w:t xml:space="preserve">ER IN ACCORDANCE WITH THIS AGREEMENT FOR THE SERVICES HEREUNDER OR A PARTY’S GROSS NEGLIGENCE, FRAUD OR WILLFUL MISCONDUCT, AND SUBJECT TO </w:t>
      </w:r>
      <w:r>
        <w:rPr>
          <w:rFonts w:ascii="Arial" w:eastAsia="Arial" w:hAnsi="Arial" w:cs="Arial"/>
          <w:sz w:val="21"/>
          <w:szCs w:val="21"/>
          <w:u w:val="single"/>
        </w:rPr>
        <w:t>SECTION 4.03</w:t>
      </w:r>
      <w:r>
        <w:rPr>
          <w:rFonts w:ascii="Arial" w:eastAsia="Arial" w:hAnsi="Arial" w:cs="Arial"/>
          <w:sz w:val="21"/>
          <w:szCs w:val="21"/>
        </w:rPr>
        <w:t>, THE MAXIMUM AGGREGATE LIABILITY OF EACH PARTY UNDER OR IN CONNECTION WITH THIS AGREEMENT IN ANY CALENDA</w:t>
      </w:r>
      <w:r>
        <w:rPr>
          <w:rFonts w:ascii="Arial" w:eastAsia="Arial" w:hAnsi="Arial" w:cs="Arial"/>
          <w:sz w:val="21"/>
          <w:szCs w:val="21"/>
        </w:rPr>
        <w:t>R YEAR SHALL NOT EXCEED AND SHALL BE LIMITED TO $7,500,000 .</w:t>
      </w:r>
    </w:p>
    <w:p w14:paraId="0FDDBD79" w14:textId="77777777" w:rsidR="00D1587D" w:rsidRDefault="00D1587D">
      <w:pPr>
        <w:spacing w:line="205" w:lineRule="exact"/>
        <w:rPr>
          <w:sz w:val="20"/>
          <w:szCs w:val="20"/>
        </w:rPr>
      </w:pPr>
    </w:p>
    <w:p w14:paraId="48BA8686" w14:textId="77777777" w:rsidR="00D1587D" w:rsidRDefault="00410D07">
      <w:pPr>
        <w:jc w:val="center"/>
        <w:rPr>
          <w:sz w:val="20"/>
          <w:szCs w:val="20"/>
        </w:rPr>
      </w:pPr>
      <w:r>
        <w:rPr>
          <w:rFonts w:ascii="Arial" w:eastAsia="Arial" w:hAnsi="Arial" w:cs="Arial"/>
        </w:rPr>
        <w:t>ARTICLE 8</w:t>
      </w:r>
    </w:p>
    <w:p w14:paraId="36C7AC08" w14:textId="77777777" w:rsidR="00D1587D" w:rsidRDefault="00D1587D">
      <w:pPr>
        <w:spacing w:line="8" w:lineRule="exact"/>
        <w:rPr>
          <w:sz w:val="20"/>
          <w:szCs w:val="20"/>
        </w:rPr>
      </w:pPr>
    </w:p>
    <w:p w14:paraId="251F7138" w14:textId="77777777" w:rsidR="00D1587D" w:rsidRDefault="00410D07">
      <w:pPr>
        <w:jc w:val="center"/>
        <w:rPr>
          <w:sz w:val="20"/>
          <w:szCs w:val="20"/>
        </w:rPr>
      </w:pPr>
      <w:r>
        <w:rPr>
          <w:rFonts w:ascii="Arial" w:eastAsia="Arial" w:hAnsi="Arial" w:cs="Arial"/>
        </w:rPr>
        <w:t>CONFIDENTIALITY.</w:t>
      </w:r>
    </w:p>
    <w:p w14:paraId="424741AB" w14:textId="77777777" w:rsidR="00D1587D" w:rsidRDefault="00D1587D">
      <w:pPr>
        <w:spacing w:line="215" w:lineRule="exact"/>
        <w:rPr>
          <w:sz w:val="20"/>
          <w:szCs w:val="20"/>
        </w:rPr>
      </w:pPr>
    </w:p>
    <w:p w14:paraId="42AF0C2C" w14:textId="77777777" w:rsidR="00D1587D" w:rsidRDefault="00410D07">
      <w:pPr>
        <w:spacing w:line="235" w:lineRule="auto"/>
        <w:ind w:firstLine="648"/>
        <w:jc w:val="both"/>
        <w:rPr>
          <w:sz w:val="20"/>
          <w:szCs w:val="20"/>
        </w:rPr>
      </w:pPr>
      <w:r>
        <w:rPr>
          <w:rFonts w:ascii="Arial" w:eastAsia="Arial" w:hAnsi="Arial" w:cs="Arial"/>
        </w:rPr>
        <w:t xml:space="preserve">Section 8.01. </w:t>
      </w:r>
      <w:r>
        <w:rPr>
          <w:rFonts w:ascii="Arial" w:eastAsia="Arial" w:hAnsi="Arial" w:cs="Arial"/>
          <w:i/>
          <w:iCs/>
        </w:rPr>
        <w:t>Confidential Information</w:t>
      </w:r>
      <w:r>
        <w:rPr>
          <w:rFonts w:ascii="Arial" w:eastAsia="Arial" w:hAnsi="Arial" w:cs="Arial"/>
        </w:rPr>
        <w:t>. Except as expressly permitted hereunder, from and after the Effective Date, each Party (“</w:t>
      </w:r>
      <w:r>
        <w:rPr>
          <w:rFonts w:ascii="Arial" w:eastAsia="Arial" w:hAnsi="Arial" w:cs="Arial"/>
          <w:b/>
          <w:bCs/>
        </w:rPr>
        <w:t>Receiving Party</w:t>
      </w:r>
      <w:r>
        <w:rPr>
          <w:rFonts w:ascii="Arial" w:eastAsia="Arial" w:hAnsi="Arial" w:cs="Arial"/>
        </w:rPr>
        <w:t xml:space="preserve">”) shall hold, and </w:t>
      </w:r>
      <w:r>
        <w:rPr>
          <w:rFonts w:ascii="Arial" w:eastAsia="Arial" w:hAnsi="Arial" w:cs="Arial"/>
        </w:rPr>
        <w:t>cause its respective directors, officers, employees, agents, consultants and advisors to hold, in confidence all Confidential Information of the other Party (“</w:t>
      </w:r>
      <w:r>
        <w:rPr>
          <w:rFonts w:ascii="Arial" w:eastAsia="Arial" w:hAnsi="Arial" w:cs="Arial"/>
          <w:b/>
          <w:bCs/>
        </w:rPr>
        <w:t>Disclosing Party</w:t>
      </w:r>
      <w:r>
        <w:rPr>
          <w:rFonts w:ascii="Arial" w:eastAsia="Arial" w:hAnsi="Arial" w:cs="Arial"/>
        </w:rPr>
        <w:t>”) and shall not, without the prior written consent of the Disclosing Party, disc</w:t>
      </w:r>
      <w:r>
        <w:rPr>
          <w:rFonts w:ascii="Arial" w:eastAsia="Arial" w:hAnsi="Arial" w:cs="Arial"/>
        </w:rPr>
        <w:t xml:space="preserve">lose or use any Confidential Information of the Disclosing Party. Nothing in this </w:t>
      </w:r>
      <w:r>
        <w:rPr>
          <w:rFonts w:ascii="Arial" w:eastAsia="Arial" w:hAnsi="Arial" w:cs="Arial"/>
          <w:u w:val="single"/>
        </w:rPr>
        <w:t>Section 8.01</w:t>
      </w:r>
      <w:r>
        <w:rPr>
          <w:rFonts w:ascii="Arial" w:eastAsia="Arial" w:hAnsi="Arial" w:cs="Arial"/>
        </w:rPr>
        <w:t xml:space="preserve"> shall limit any other confidentiality obligations among the Parties to this Agreement pursuant to any other agreement between or among such Parties or any of the</w:t>
      </w:r>
      <w:r>
        <w:rPr>
          <w:rFonts w:ascii="Arial" w:eastAsia="Arial" w:hAnsi="Arial" w:cs="Arial"/>
        </w:rPr>
        <w:t>ir Affiliates.</w:t>
      </w:r>
    </w:p>
    <w:p w14:paraId="5072BFA9" w14:textId="77777777" w:rsidR="00D1587D" w:rsidRDefault="00D1587D">
      <w:pPr>
        <w:spacing w:line="215" w:lineRule="exact"/>
        <w:rPr>
          <w:sz w:val="20"/>
          <w:szCs w:val="20"/>
        </w:rPr>
      </w:pPr>
    </w:p>
    <w:p w14:paraId="5D2FA1C4" w14:textId="77777777" w:rsidR="00D1587D" w:rsidRDefault="00410D07">
      <w:pPr>
        <w:ind w:firstLine="648"/>
        <w:jc w:val="both"/>
        <w:rPr>
          <w:sz w:val="20"/>
          <w:szCs w:val="20"/>
        </w:rPr>
      </w:pPr>
      <w:r>
        <w:rPr>
          <w:rFonts w:ascii="Arial" w:eastAsia="Arial" w:hAnsi="Arial" w:cs="Arial"/>
        </w:rPr>
        <w:t xml:space="preserve">Section 8.02. </w:t>
      </w:r>
      <w:r>
        <w:rPr>
          <w:rFonts w:ascii="Arial" w:eastAsia="Arial" w:hAnsi="Arial" w:cs="Arial"/>
          <w:i/>
          <w:iCs/>
        </w:rPr>
        <w:t>No Rights to Confidential Information</w:t>
      </w:r>
      <w:r>
        <w:rPr>
          <w:rFonts w:ascii="Arial" w:eastAsia="Arial" w:hAnsi="Arial" w:cs="Arial"/>
        </w:rPr>
        <w:t>. Each Party acknowledges that it will not acquire any right, title or interest in or to any Confidential Information of the other Party by reason of this Agreement or the provision or rece</w:t>
      </w:r>
      <w:r>
        <w:rPr>
          <w:rFonts w:ascii="Arial" w:eastAsia="Arial" w:hAnsi="Arial" w:cs="Arial"/>
        </w:rPr>
        <w:t>ipt of the Services hereunder.</w:t>
      </w:r>
    </w:p>
    <w:p w14:paraId="075DC136" w14:textId="77777777" w:rsidR="00D1587D" w:rsidRDefault="00D1587D">
      <w:pPr>
        <w:spacing w:line="213" w:lineRule="exact"/>
        <w:rPr>
          <w:sz w:val="20"/>
          <w:szCs w:val="20"/>
        </w:rPr>
      </w:pPr>
    </w:p>
    <w:p w14:paraId="32C9E266" w14:textId="77777777" w:rsidR="00D1587D" w:rsidRDefault="00410D07">
      <w:pPr>
        <w:spacing w:line="238" w:lineRule="auto"/>
        <w:ind w:firstLine="648"/>
        <w:jc w:val="both"/>
        <w:rPr>
          <w:sz w:val="20"/>
          <w:szCs w:val="20"/>
        </w:rPr>
      </w:pPr>
      <w:r>
        <w:rPr>
          <w:rFonts w:ascii="Arial" w:eastAsia="Arial" w:hAnsi="Arial" w:cs="Arial"/>
        </w:rPr>
        <w:t xml:space="preserve">Section 8.03. </w:t>
      </w:r>
      <w:r>
        <w:rPr>
          <w:rFonts w:ascii="Arial" w:eastAsia="Arial" w:hAnsi="Arial" w:cs="Arial"/>
          <w:i/>
          <w:iCs/>
        </w:rPr>
        <w:t>Safeguards</w:t>
      </w:r>
      <w:r>
        <w:rPr>
          <w:rFonts w:ascii="Arial" w:eastAsia="Arial" w:hAnsi="Arial" w:cs="Arial"/>
        </w:rPr>
        <w:t>. Each Receiving Party agrees to establish and maintain administrative, physical and technical safeguards, information technology and data security procedures and other protections against the destruc</w:t>
      </w:r>
      <w:r>
        <w:rPr>
          <w:rFonts w:ascii="Arial" w:eastAsia="Arial" w:hAnsi="Arial" w:cs="Arial"/>
        </w:rPr>
        <w:t>tion, loss, unauthorized access or alteration of the Disclosing Party’s Confidential Information which are no less rigorous than those otherwise maintained for its own Confidential Information.</w:t>
      </w:r>
    </w:p>
    <w:p w14:paraId="05FF3C39" w14:textId="77777777" w:rsidR="00D1587D" w:rsidRDefault="00D1587D">
      <w:pPr>
        <w:spacing w:line="387" w:lineRule="exact"/>
        <w:rPr>
          <w:sz w:val="20"/>
          <w:szCs w:val="20"/>
        </w:rPr>
      </w:pPr>
    </w:p>
    <w:p w14:paraId="2BB61007" w14:textId="77777777" w:rsidR="00D1587D" w:rsidRDefault="00410D07">
      <w:pPr>
        <w:jc w:val="center"/>
        <w:rPr>
          <w:sz w:val="20"/>
          <w:szCs w:val="20"/>
        </w:rPr>
      </w:pPr>
      <w:r>
        <w:rPr>
          <w:rFonts w:ascii="Arial" w:eastAsia="Arial" w:hAnsi="Arial" w:cs="Arial"/>
        </w:rPr>
        <w:t>13</w:t>
      </w:r>
    </w:p>
    <w:p w14:paraId="0291B4AA" w14:textId="77777777" w:rsidR="00D1587D" w:rsidRDefault="00410D07">
      <w:pPr>
        <w:spacing w:line="20" w:lineRule="exact"/>
        <w:rPr>
          <w:sz w:val="20"/>
          <w:szCs w:val="20"/>
        </w:rPr>
      </w:pPr>
      <w:r>
        <w:rPr>
          <w:noProof/>
          <w:sz w:val="20"/>
          <w:szCs w:val="20"/>
        </w:rPr>
        <w:drawing>
          <wp:anchor distT="0" distB="0" distL="114300" distR="114300" simplePos="0" relativeHeight="251392000" behindDoc="1" locked="0" layoutInCell="0" allowOverlap="1" wp14:anchorId="04386A7A" wp14:editId="03597256">
            <wp:simplePos x="0" y="0"/>
            <wp:positionH relativeFrom="column">
              <wp:posOffset>5080</wp:posOffset>
            </wp:positionH>
            <wp:positionV relativeFrom="paragraph">
              <wp:posOffset>41275</wp:posOffset>
            </wp:positionV>
            <wp:extent cx="7132320" cy="1714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ACC8240" w14:textId="77777777" w:rsidR="00D1587D" w:rsidRDefault="00D1587D">
      <w:pPr>
        <w:sectPr w:rsidR="00D1587D">
          <w:pgSz w:w="11900" w:h="16838"/>
          <w:pgMar w:top="361" w:right="339" w:bottom="1440" w:left="320" w:header="0" w:footer="0" w:gutter="0"/>
          <w:cols w:space="720" w:equalWidth="0">
            <w:col w:w="11240"/>
          </w:cols>
        </w:sectPr>
      </w:pPr>
    </w:p>
    <w:p w14:paraId="02AD9657" w14:textId="77777777" w:rsidR="00D1587D" w:rsidRDefault="00410D07">
      <w:pPr>
        <w:spacing w:line="270" w:lineRule="auto"/>
        <w:ind w:firstLine="648"/>
        <w:jc w:val="both"/>
        <w:rPr>
          <w:sz w:val="20"/>
          <w:szCs w:val="20"/>
        </w:rPr>
      </w:pPr>
      <w:bookmarkStart w:id="230" w:name="page231"/>
      <w:bookmarkEnd w:id="230"/>
      <w:r>
        <w:rPr>
          <w:rFonts w:ascii="Arial" w:eastAsia="Arial" w:hAnsi="Arial" w:cs="Arial"/>
          <w:sz w:val="19"/>
          <w:szCs w:val="19"/>
        </w:rPr>
        <w:t xml:space="preserve">Section 8.04. </w:t>
      </w:r>
      <w:r>
        <w:rPr>
          <w:rFonts w:ascii="Arial" w:eastAsia="Arial" w:hAnsi="Arial" w:cs="Arial"/>
          <w:i/>
          <w:iCs/>
          <w:sz w:val="19"/>
          <w:szCs w:val="19"/>
        </w:rPr>
        <w:t xml:space="preserve">Permitted </w:t>
      </w:r>
      <w:r>
        <w:rPr>
          <w:rFonts w:ascii="Arial" w:eastAsia="Arial" w:hAnsi="Arial" w:cs="Arial"/>
          <w:i/>
          <w:iCs/>
          <w:sz w:val="19"/>
          <w:szCs w:val="19"/>
        </w:rPr>
        <w:t>Disclosures</w:t>
      </w:r>
      <w:r>
        <w:rPr>
          <w:rFonts w:ascii="Arial" w:eastAsia="Arial" w:hAnsi="Arial" w:cs="Arial"/>
          <w:sz w:val="19"/>
          <w:szCs w:val="19"/>
        </w:rPr>
        <w:t xml:space="preserve">. Notwithstanding </w:t>
      </w:r>
      <w:r>
        <w:rPr>
          <w:rFonts w:ascii="Arial" w:eastAsia="Arial" w:hAnsi="Arial" w:cs="Arial"/>
          <w:sz w:val="19"/>
          <w:szCs w:val="19"/>
          <w:u w:val="single"/>
        </w:rPr>
        <w:t>Section 8.01</w:t>
      </w:r>
      <w:r>
        <w:rPr>
          <w:rFonts w:ascii="Arial" w:eastAsia="Arial" w:hAnsi="Arial" w:cs="Arial"/>
          <w:sz w:val="19"/>
          <w:szCs w:val="19"/>
        </w:rPr>
        <w:t>, (a) the Receiving Party may disclose the Confidential Information (i) to any of its employees, contractors, suppliers, agents and other representatives who need it in connection with this Agreement and are bound i</w:t>
      </w:r>
      <w:r>
        <w:rPr>
          <w:rFonts w:ascii="Arial" w:eastAsia="Arial" w:hAnsi="Arial" w:cs="Arial"/>
          <w:sz w:val="19"/>
          <w:szCs w:val="19"/>
        </w:rPr>
        <w:t xml:space="preserve">n writing by reasonable restrictions regarding disclosure and use of the Confidential Information or (ii) to the extent such disclosure is in response to a valid order of a court or other Governmental Authority or to otherwise comply with Applicable Law; </w:t>
      </w:r>
      <w:r>
        <w:rPr>
          <w:rFonts w:ascii="Arial" w:eastAsia="Arial" w:hAnsi="Arial" w:cs="Arial"/>
          <w:i/>
          <w:iCs/>
          <w:sz w:val="19"/>
          <w:szCs w:val="19"/>
        </w:rPr>
        <w:t>p</w:t>
      </w:r>
      <w:r>
        <w:rPr>
          <w:rFonts w:ascii="Arial" w:eastAsia="Arial" w:hAnsi="Arial" w:cs="Arial"/>
          <w:i/>
          <w:iCs/>
          <w:sz w:val="19"/>
          <w:szCs w:val="19"/>
        </w:rPr>
        <w:t>rovided</w:t>
      </w:r>
      <w:r>
        <w:rPr>
          <w:rFonts w:ascii="Arial" w:eastAsia="Arial" w:hAnsi="Arial" w:cs="Arial"/>
          <w:sz w:val="19"/>
          <w:szCs w:val="19"/>
        </w:rPr>
        <w:t xml:space="preserve"> that, in the case of clause (ii), the Receiving Party shall first give notice to the Disclosing Party and reasonably cooperate with the Disclosing Party to obtain a protective order or other measures preserving the confidential treatment of such Co</w:t>
      </w:r>
      <w:r>
        <w:rPr>
          <w:rFonts w:ascii="Arial" w:eastAsia="Arial" w:hAnsi="Arial" w:cs="Arial"/>
          <w:sz w:val="19"/>
          <w:szCs w:val="19"/>
        </w:rPr>
        <w:t>nfidential Information and requiring that the information or documents so disclosed be used only for the purposes for which the order was issued or as otherwise required by Applicable Law and (b) each Party may disclose the terms and conditions of this Agr</w:t>
      </w:r>
      <w:r>
        <w:rPr>
          <w:rFonts w:ascii="Arial" w:eastAsia="Arial" w:hAnsi="Arial" w:cs="Arial"/>
          <w:sz w:val="19"/>
          <w:szCs w:val="19"/>
        </w:rPr>
        <w:t>eement (i) in confidence, to its accountants, banks and present and prospective financing sources and their advisors, (ii) in connection with the enforcement of this Agreement or rights under this Agreement, (iii) in confidence, in connection with an actua</w:t>
      </w:r>
      <w:r>
        <w:rPr>
          <w:rFonts w:ascii="Arial" w:eastAsia="Arial" w:hAnsi="Arial" w:cs="Arial"/>
          <w:sz w:val="19"/>
          <w:szCs w:val="19"/>
        </w:rPr>
        <w:t>l or proposed merger, acquisition or similar transaction involving such Party, (iv) in confidence, to its Affiliates, (v) in confidence, to its third-party contractors who have a need to know, solely in connection with their provision of Services to VS her</w:t>
      </w:r>
      <w:r>
        <w:rPr>
          <w:rFonts w:ascii="Arial" w:eastAsia="Arial" w:hAnsi="Arial" w:cs="Arial"/>
          <w:sz w:val="19"/>
          <w:szCs w:val="19"/>
        </w:rPr>
        <w:t xml:space="preserve">eunder, (vi) as required by applicable securities laws or the rules of any stock exchange on which securities of such Party are traded or any other Applicable Law; </w:t>
      </w:r>
      <w:r>
        <w:rPr>
          <w:rFonts w:ascii="Arial" w:eastAsia="Arial" w:hAnsi="Arial" w:cs="Arial"/>
          <w:i/>
          <w:iCs/>
          <w:sz w:val="19"/>
          <w:szCs w:val="19"/>
        </w:rPr>
        <w:t>provided</w:t>
      </w:r>
      <w:r>
        <w:rPr>
          <w:rFonts w:ascii="Arial" w:eastAsia="Arial" w:hAnsi="Arial" w:cs="Arial"/>
          <w:sz w:val="19"/>
          <w:szCs w:val="19"/>
        </w:rPr>
        <w:t xml:space="preserve"> that prior to making any such disclosure, such Party shall provide written notice t</w:t>
      </w:r>
      <w:r>
        <w:rPr>
          <w:rFonts w:ascii="Arial" w:eastAsia="Arial" w:hAnsi="Arial" w:cs="Arial"/>
          <w:sz w:val="19"/>
          <w:szCs w:val="19"/>
        </w:rPr>
        <w:t>o the other Party regarding the nature and extent of the disclosure to enable the other Party to seek to obtain confidential treatment, to the extent available, for such Confidential Information, or (vii) as mutually agreed upon by the Parties in writing.</w:t>
      </w:r>
    </w:p>
    <w:p w14:paraId="586D3DDA" w14:textId="77777777" w:rsidR="00D1587D" w:rsidRDefault="00D1587D">
      <w:pPr>
        <w:spacing w:line="200" w:lineRule="exact"/>
        <w:rPr>
          <w:sz w:val="20"/>
          <w:szCs w:val="20"/>
        </w:rPr>
      </w:pPr>
    </w:p>
    <w:p w14:paraId="71EAC184" w14:textId="77777777" w:rsidR="00D1587D" w:rsidRDefault="00D1587D">
      <w:pPr>
        <w:spacing w:line="241" w:lineRule="exact"/>
        <w:rPr>
          <w:sz w:val="20"/>
          <w:szCs w:val="20"/>
        </w:rPr>
      </w:pPr>
    </w:p>
    <w:p w14:paraId="560ED652" w14:textId="77777777" w:rsidR="00D1587D" w:rsidRDefault="00410D07">
      <w:pPr>
        <w:jc w:val="center"/>
        <w:rPr>
          <w:sz w:val="20"/>
          <w:szCs w:val="20"/>
        </w:rPr>
      </w:pPr>
      <w:r>
        <w:rPr>
          <w:rFonts w:ascii="Arial" w:eastAsia="Arial" w:hAnsi="Arial" w:cs="Arial"/>
        </w:rPr>
        <w:t>ARTICLE 9</w:t>
      </w:r>
    </w:p>
    <w:p w14:paraId="1240DAE3" w14:textId="77777777" w:rsidR="00D1587D" w:rsidRDefault="00D1587D">
      <w:pPr>
        <w:spacing w:line="8" w:lineRule="exact"/>
        <w:rPr>
          <w:sz w:val="20"/>
          <w:szCs w:val="20"/>
        </w:rPr>
      </w:pPr>
    </w:p>
    <w:p w14:paraId="5D19FACC" w14:textId="77777777" w:rsidR="00D1587D" w:rsidRDefault="00410D07">
      <w:pPr>
        <w:jc w:val="center"/>
        <w:rPr>
          <w:sz w:val="20"/>
          <w:szCs w:val="20"/>
        </w:rPr>
      </w:pPr>
      <w:r>
        <w:rPr>
          <w:rFonts w:ascii="Arial" w:eastAsia="Arial" w:hAnsi="Arial" w:cs="Arial"/>
        </w:rPr>
        <w:t>TERM AND TERMINATION.</w:t>
      </w:r>
    </w:p>
    <w:p w14:paraId="48B75720" w14:textId="77777777" w:rsidR="00D1587D" w:rsidRDefault="00D1587D">
      <w:pPr>
        <w:spacing w:line="209" w:lineRule="exact"/>
        <w:rPr>
          <w:sz w:val="20"/>
          <w:szCs w:val="20"/>
        </w:rPr>
      </w:pPr>
    </w:p>
    <w:p w14:paraId="3C96397F" w14:textId="77777777" w:rsidR="00D1587D" w:rsidRDefault="00410D07">
      <w:pPr>
        <w:spacing w:line="243" w:lineRule="auto"/>
        <w:ind w:firstLine="648"/>
        <w:jc w:val="both"/>
        <w:rPr>
          <w:sz w:val="20"/>
          <w:szCs w:val="20"/>
        </w:rPr>
      </w:pPr>
      <w:r>
        <w:rPr>
          <w:rFonts w:ascii="Arial" w:eastAsia="Arial" w:hAnsi="Arial" w:cs="Arial"/>
        </w:rPr>
        <w:t xml:space="preserve">Section 9.01. </w:t>
      </w:r>
      <w:r>
        <w:rPr>
          <w:rFonts w:ascii="Arial" w:eastAsia="Arial" w:hAnsi="Arial" w:cs="Arial"/>
          <w:i/>
          <w:iCs/>
        </w:rPr>
        <w:t>Term</w:t>
      </w:r>
      <w:r>
        <w:rPr>
          <w:rFonts w:ascii="Arial" w:eastAsia="Arial" w:hAnsi="Arial" w:cs="Arial"/>
        </w:rPr>
        <w:t>. The term of this Agreement (the “</w:t>
      </w:r>
      <w:r>
        <w:rPr>
          <w:rFonts w:ascii="Arial" w:eastAsia="Arial" w:hAnsi="Arial" w:cs="Arial"/>
          <w:b/>
          <w:bCs/>
        </w:rPr>
        <w:t>Term</w:t>
      </w:r>
      <w:r>
        <w:rPr>
          <w:rFonts w:ascii="Arial" w:eastAsia="Arial" w:hAnsi="Arial" w:cs="Arial"/>
        </w:rPr>
        <w:t xml:space="preserve">”) shall commence on the Effective Date and remain in effect for an initial term of three (3) years, and shall thereafter automatically renew for successive one (1) year terms unless earlier terminated pursuant to </w:t>
      </w:r>
      <w:r>
        <w:rPr>
          <w:rFonts w:ascii="Arial" w:eastAsia="Arial" w:hAnsi="Arial" w:cs="Arial"/>
          <w:u w:val="single"/>
        </w:rPr>
        <w:t>Sections 9.02</w:t>
      </w:r>
      <w:r>
        <w:rPr>
          <w:rFonts w:ascii="Arial" w:eastAsia="Arial" w:hAnsi="Arial" w:cs="Arial"/>
        </w:rPr>
        <w:t xml:space="preserve"> or </w:t>
      </w:r>
      <w:r>
        <w:rPr>
          <w:rFonts w:ascii="Arial" w:eastAsia="Arial" w:hAnsi="Arial" w:cs="Arial"/>
          <w:u w:val="single"/>
        </w:rPr>
        <w:t>9.03</w:t>
      </w:r>
      <w:r>
        <w:rPr>
          <w:rFonts w:ascii="Arial" w:eastAsia="Arial" w:hAnsi="Arial" w:cs="Arial"/>
        </w:rPr>
        <w:t xml:space="preserve"> below.</w:t>
      </w:r>
    </w:p>
    <w:p w14:paraId="6A2892ED" w14:textId="77777777" w:rsidR="00D1587D" w:rsidRDefault="00D1587D">
      <w:pPr>
        <w:spacing w:line="210" w:lineRule="exact"/>
        <w:rPr>
          <w:sz w:val="20"/>
          <w:szCs w:val="20"/>
        </w:rPr>
      </w:pPr>
    </w:p>
    <w:p w14:paraId="31998D7A" w14:textId="77777777" w:rsidR="00D1587D" w:rsidRDefault="00410D07">
      <w:pPr>
        <w:spacing w:line="328" w:lineRule="auto"/>
        <w:ind w:firstLine="648"/>
        <w:jc w:val="both"/>
        <w:rPr>
          <w:sz w:val="20"/>
          <w:szCs w:val="20"/>
        </w:rPr>
      </w:pPr>
      <w:r>
        <w:rPr>
          <w:rFonts w:ascii="Arial" w:eastAsia="Arial" w:hAnsi="Arial" w:cs="Arial"/>
          <w:sz w:val="19"/>
          <w:szCs w:val="19"/>
        </w:rPr>
        <w:t>Section 9.02</w:t>
      </w:r>
      <w:r>
        <w:rPr>
          <w:rFonts w:ascii="Arial" w:eastAsia="Arial" w:hAnsi="Arial" w:cs="Arial"/>
          <w:sz w:val="19"/>
          <w:szCs w:val="19"/>
        </w:rPr>
        <w:t xml:space="preserve">. </w:t>
      </w:r>
      <w:r>
        <w:rPr>
          <w:rFonts w:ascii="Arial" w:eastAsia="Arial" w:hAnsi="Arial" w:cs="Arial"/>
          <w:i/>
          <w:iCs/>
          <w:sz w:val="19"/>
          <w:szCs w:val="19"/>
        </w:rPr>
        <w:t>Termination for Convenience</w:t>
      </w:r>
      <w:r>
        <w:rPr>
          <w:rFonts w:ascii="Arial" w:eastAsia="Arial" w:hAnsi="Arial" w:cs="Arial"/>
          <w:sz w:val="19"/>
          <w:szCs w:val="19"/>
        </w:rPr>
        <w:t>. (a) VS may, at any time during the Term and for any reason, terminate this Agreement by giving at least eighteen (18) months’ prior written notice of such termination to Service Provider.</w:t>
      </w:r>
    </w:p>
    <w:p w14:paraId="6AD55311" w14:textId="77777777" w:rsidR="00D1587D" w:rsidRDefault="00D1587D">
      <w:pPr>
        <w:spacing w:line="132" w:lineRule="exact"/>
        <w:rPr>
          <w:sz w:val="20"/>
          <w:szCs w:val="20"/>
        </w:rPr>
      </w:pPr>
    </w:p>
    <w:p w14:paraId="14E09389" w14:textId="77777777" w:rsidR="00D1587D" w:rsidRDefault="00410D07">
      <w:pPr>
        <w:numPr>
          <w:ilvl w:val="0"/>
          <w:numId w:val="202"/>
        </w:numPr>
        <w:tabs>
          <w:tab w:val="left" w:pos="1697"/>
        </w:tabs>
        <w:spacing w:line="287" w:lineRule="auto"/>
        <w:ind w:firstLine="850"/>
        <w:jc w:val="both"/>
        <w:rPr>
          <w:rFonts w:ascii="Arial" w:eastAsia="Arial" w:hAnsi="Arial" w:cs="Arial"/>
          <w:sz w:val="19"/>
          <w:szCs w:val="19"/>
        </w:rPr>
      </w:pPr>
      <w:r>
        <w:rPr>
          <w:rFonts w:ascii="Arial" w:eastAsia="Arial" w:hAnsi="Arial" w:cs="Arial"/>
          <w:sz w:val="19"/>
          <w:szCs w:val="19"/>
        </w:rPr>
        <w:t>Service Provider may, at any time du</w:t>
      </w:r>
      <w:r>
        <w:rPr>
          <w:rFonts w:ascii="Arial" w:eastAsia="Arial" w:hAnsi="Arial" w:cs="Arial"/>
          <w:sz w:val="19"/>
          <w:szCs w:val="19"/>
        </w:rPr>
        <w:t xml:space="preserve">ring the Term and for any reason, terminate this Agreement by giving at least thirty six (36) months’ prior written notice of such termination to VS; </w:t>
      </w:r>
      <w:r>
        <w:rPr>
          <w:rFonts w:ascii="Arial" w:eastAsia="Arial" w:hAnsi="Arial" w:cs="Arial"/>
          <w:i/>
          <w:iCs/>
          <w:sz w:val="19"/>
          <w:szCs w:val="19"/>
        </w:rPr>
        <w:t>provided</w:t>
      </w:r>
      <w:r>
        <w:rPr>
          <w:rFonts w:ascii="Arial" w:eastAsia="Arial" w:hAnsi="Arial" w:cs="Arial"/>
          <w:sz w:val="19"/>
          <w:szCs w:val="19"/>
        </w:rPr>
        <w:t xml:space="preserve"> that (i) Service Provider may not establish a termination date pursuant to this </w:t>
      </w:r>
      <w:r>
        <w:rPr>
          <w:rFonts w:ascii="Arial" w:eastAsia="Arial" w:hAnsi="Arial" w:cs="Arial"/>
          <w:sz w:val="19"/>
          <w:szCs w:val="19"/>
          <w:u w:val="single"/>
        </w:rPr>
        <w:t>Section 9.02(b)</w:t>
      </w:r>
      <w:r>
        <w:rPr>
          <w:rFonts w:ascii="Arial" w:eastAsia="Arial" w:hAnsi="Arial" w:cs="Arial"/>
          <w:sz w:val="19"/>
          <w:szCs w:val="19"/>
        </w:rPr>
        <w:t xml:space="preserve"> b</w:t>
      </w:r>
      <w:r>
        <w:rPr>
          <w:rFonts w:ascii="Arial" w:eastAsia="Arial" w:hAnsi="Arial" w:cs="Arial"/>
          <w:sz w:val="19"/>
          <w:szCs w:val="19"/>
        </w:rPr>
        <w:t>etween October 1st of any calendar year and the last day of February of the following calendar year and (ii) Service Provider may not provide such notice to VS prior to January 1, 2022.</w:t>
      </w:r>
    </w:p>
    <w:p w14:paraId="0688B907" w14:textId="77777777" w:rsidR="00D1587D" w:rsidRDefault="00D1587D">
      <w:pPr>
        <w:spacing w:line="170" w:lineRule="exact"/>
        <w:rPr>
          <w:sz w:val="20"/>
          <w:szCs w:val="20"/>
        </w:rPr>
      </w:pPr>
    </w:p>
    <w:p w14:paraId="462EF53E" w14:textId="77777777" w:rsidR="00D1587D" w:rsidRDefault="00410D07">
      <w:pPr>
        <w:spacing w:line="270" w:lineRule="auto"/>
        <w:ind w:firstLine="648"/>
        <w:jc w:val="both"/>
        <w:rPr>
          <w:sz w:val="20"/>
          <w:szCs w:val="20"/>
        </w:rPr>
      </w:pPr>
      <w:r>
        <w:rPr>
          <w:rFonts w:ascii="Arial" w:eastAsia="Arial" w:hAnsi="Arial" w:cs="Arial"/>
          <w:sz w:val="19"/>
          <w:szCs w:val="19"/>
        </w:rPr>
        <w:t xml:space="preserve">Section 9.03. </w:t>
      </w:r>
      <w:r>
        <w:rPr>
          <w:rFonts w:ascii="Arial" w:eastAsia="Arial" w:hAnsi="Arial" w:cs="Arial"/>
          <w:i/>
          <w:iCs/>
          <w:sz w:val="19"/>
          <w:szCs w:val="19"/>
        </w:rPr>
        <w:t>Termination for Material Breach</w:t>
      </w:r>
      <w:r>
        <w:rPr>
          <w:rFonts w:ascii="Arial" w:eastAsia="Arial" w:hAnsi="Arial" w:cs="Arial"/>
          <w:sz w:val="19"/>
          <w:szCs w:val="19"/>
        </w:rPr>
        <w:t>. Either Party may termi</w:t>
      </w:r>
      <w:r>
        <w:rPr>
          <w:rFonts w:ascii="Arial" w:eastAsia="Arial" w:hAnsi="Arial" w:cs="Arial"/>
          <w:sz w:val="19"/>
          <w:szCs w:val="19"/>
        </w:rPr>
        <w:t xml:space="preserve">nate this Agreement immediately upon written notice to the other Party if the other Party materially breaches this Agreement (including, for VS, upon a failure to make any required and undisputed payment hereunder pursuant to </w:t>
      </w:r>
      <w:r>
        <w:rPr>
          <w:rFonts w:ascii="Arial" w:eastAsia="Arial" w:hAnsi="Arial" w:cs="Arial"/>
          <w:sz w:val="19"/>
          <w:szCs w:val="19"/>
          <w:u w:val="single"/>
        </w:rPr>
        <w:t>Section 3.02</w:t>
      </w:r>
      <w:r>
        <w:rPr>
          <w:rFonts w:ascii="Arial" w:eastAsia="Arial" w:hAnsi="Arial" w:cs="Arial"/>
          <w:sz w:val="19"/>
          <w:szCs w:val="19"/>
        </w:rPr>
        <w:t xml:space="preserve">) and such breach </w:t>
      </w:r>
      <w:r>
        <w:rPr>
          <w:rFonts w:ascii="Arial" w:eastAsia="Arial" w:hAnsi="Arial" w:cs="Arial"/>
          <w:sz w:val="19"/>
          <w:szCs w:val="19"/>
        </w:rPr>
        <w:t xml:space="preserve">is incapable of being cured or has not been cured within thirty (30) calendar days after the breaching Party receives notice of such breach; </w:t>
      </w:r>
      <w:r>
        <w:rPr>
          <w:rFonts w:ascii="Arial" w:eastAsia="Arial" w:hAnsi="Arial" w:cs="Arial"/>
          <w:i/>
          <w:iCs/>
          <w:sz w:val="19"/>
          <w:szCs w:val="19"/>
        </w:rPr>
        <w:t>provided</w:t>
      </w:r>
      <w:r>
        <w:rPr>
          <w:rFonts w:ascii="Arial" w:eastAsia="Arial" w:hAnsi="Arial" w:cs="Arial"/>
          <w:sz w:val="19"/>
          <w:szCs w:val="19"/>
        </w:rPr>
        <w:t xml:space="preserve">, </w:t>
      </w:r>
      <w:r>
        <w:rPr>
          <w:rFonts w:ascii="Arial" w:eastAsia="Arial" w:hAnsi="Arial" w:cs="Arial"/>
          <w:i/>
          <w:iCs/>
          <w:sz w:val="19"/>
          <w:szCs w:val="19"/>
        </w:rPr>
        <w:t>however</w:t>
      </w:r>
      <w:r>
        <w:rPr>
          <w:rFonts w:ascii="Arial" w:eastAsia="Arial" w:hAnsi="Arial" w:cs="Arial"/>
          <w:sz w:val="19"/>
          <w:szCs w:val="19"/>
        </w:rPr>
        <w:t xml:space="preserve">, that, in the event that a material breach of this Agreement is not cured by the breaching Party </w:t>
      </w:r>
      <w:r>
        <w:rPr>
          <w:rFonts w:ascii="Arial" w:eastAsia="Arial" w:hAnsi="Arial" w:cs="Arial"/>
          <w:sz w:val="19"/>
          <w:szCs w:val="19"/>
        </w:rPr>
        <w:t>after thirty (30) calendar days despite the breaching Party’s good faith efforts to cure such breach, the period for cure hereunder shall be extended for an additional thirty</w:t>
      </w:r>
    </w:p>
    <w:p w14:paraId="1283321A" w14:textId="77777777" w:rsidR="00D1587D" w:rsidRDefault="00D1587D">
      <w:pPr>
        <w:spacing w:line="1" w:lineRule="exact"/>
        <w:rPr>
          <w:sz w:val="20"/>
          <w:szCs w:val="20"/>
        </w:rPr>
      </w:pPr>
    </w:p>
    <w:p w14:paraId="4E25DC79" w14:textId="77777777" w:rsidR="00D1587D" w:rsidRDefault="00410D07">
      <w:pPr>
        <w:numPr>
          <w:ilvl w:val="0"/>
          <w:numId w:val="203"/>
        </w:numPr>
        <w:tabs>
          <w:tab w:val="left" w:pos="416"/>
        </w:tabs>
        <w:spacing w:line="234" w:lineRule="auto"/>
        <w:ind w:firstLine="8"/>
        <w:jc w:val="both"/>
        <w:rPr>
          <w:rFonts w:ascii="Arial" w:eastAsia="Arial" w:hAnsi="Arial" w:cs="Arial"/>
        </w:rPr>
      </w:pPr>
      <w:r>
        <w:rPr>
          <w:rFonts w:ascii="Arial" w:eastAsia="Arial" w:hAnsi="Arial" w:cs="Arial"/>
        </w:rPr>
        <w:t xml:space="preserve">calendar days or such other longer period as reasonably agreed by the </w:t>
      </w:r>
      <w:r>
        <w:rPr>
          <w:rFonts w:ascii="Arial" w:eastAsia="Arial" w:hAnsi="Arial" w:cs="Arial"/>
        </w:rPr>
        <w:t>Parties in writing. Any termination of this Agreement shall be without prejudice to any other rights and remedies any Party may have pursuant to Applicable Law, in equity or otherwise.</w:t>
      </w:r>
    </w:p>
    <w:p w14:paraId="1D87DD4F" w14:textId="77777777" w:rsidR="00D1587D" w:rsidRDefault="00D1587D">
      <w:pPr>
        <w:spacing w:line="214" w:lineRule="exact"/>
        <w:rPr>
          <w:sz w:val="20"/>
          <w:szCs w:val="20"/>
        </w:rPr>
      </w:pPr>
    </w:p>
    <w:p w14:paraId="0041E0E4" w14:textId="77777777" w:rsidR="00D1587D" w:rsidRDefault="00410D07">
      <w:pPr>
        <w:spacing w:line="235" w:lineRule="auto"/>
        <w:ind w:firstLine="648"/>
        <w:jc w:val="both"/>
        <w:rPr>
          <w:sz w:val="20"/>
          <w:szCs w:val="20"/>
        </w:rPr>
      </w:pPr>
      <w:r>
        <w:rPr>
          <w:rFonts w:ascii="Arial" w:eastAsia="Arial" w:hAnsi="Arial" w:cs="Arial"/>
        </w:rPr>
        <w:t xml:space="preserve">Section 9.04. </w:t>
      </w:r>
      <w:r>
        <w:rPr>
          <w:rFonts w:ascii="Arial" w:eastAsia="Arial" w:hAnsi="Arial" w:cs="Arial"/>
          <w:i/>
          <w:iCs/>
        </w:rPr>
        <w:t>Effect of Termination</w:t>
      </w:r>
      <w:r>
        <w:rPr>
          <w:rFonts w:ascii="Arial" w:eastAsia="Arial" w:hAnsi="Arial" w:cs="Arial"/>
        </w:rPr>
        <w:t>. Other than as required by Applica</w:t>
      </w:r>
      <w:r>
        <w:rPr>
          <w:rFonts w:ascii="Arial" w:eastAsia="Arial" w:hAnsi="Arial" w:cs="Arial"/>
        </w:rPr>
        <w:t xml:space="preserve">ble Law, upon termination of this Agreement, Service Provider shall have no further obligation to provide any Services to VS and VS shall have no obligation to make any payments relating to the Services; </w:t>
      </w:r>
      <w:r>
        <w:rPr>
          <w:rFonts w:ascii="Arial" w:eastAsia="Arial" w:hAnsi="Arial" w:cs="Arial"/>
          <w:i/>
          <w:iCs/>
        </w:rPr>
        <w:t>provided</w:t>
      </w:r>
      <w:r>
        <w:rPr>
          <w:rFonts w:ascii="Arial" w:eastAsia="Arial" w:hAnsi="Arial" w:cs="Arial"/>
        </w:rPr>
        <w:t xml:space="preserve"> that, notwithstanding such termination, VS </w:t>
      </w:r>
      <w:r>
        <w:rPr>
          <w:rFonts w:ascii="Arial" w:eastAsia="Arial" w:hAnsi="Arial" w:cs="Arial"/>
        </w:rPr>
        <w:t xml:space="preserve">shall remain liable to Service Provider for any Fees incurred prior to the effective date of the termination of this Agreement. Notwithstanding any termination pursuant to </w:t>
      </w:r>
      <w:r>
        <w:rPr>
          <w:rFonts w:ascii="Arial" w:eastAsia="Arial" w:hAnsi="Arial" w:cs="Arial"/>
          <w:u w:val="single"/>
        </w:rPr>
        <w:t>Sections 9.02</w:t>
      </w:r>
      <w:r>
        <w:rPr>
          <w:rFonts w:ascii="Arial" w:eastAsia="Arial" w:hAnsi="Arial" w:cs="Arial"/>
        </w:rPr>
        <w:t xml:space="preserve"> or </w:t>
      </w:r>
      <w:r>
        <w:rPr>
          <w:rFonts w:ascii="Arial" w:eastAsia="Arial" w:hAnsi="Arial" w:cs="Arial"/>
          <w:u w:val="single"/>
        </w:rPr>
        <w:t>9.03</w:t>
      </w:r>
      <w:r>
        <w:rPr>
          <w:rFonts w:ascii="Arial" w:eastAsia="Arial" w:hAnsi="Arial" w:cs="Arial"/>
        </w:rPr>
        <w:t xml:space="preserve">, </w:t>
      </w:r>
      <w:r>
        <w:rPr>
          <w:rFonts w:ascii="Arial" w:eastAsia="Arial" w:hAnsi="Arial" w:cs="Arial"/>
          <w:u w:val="single"/>
        </w:rPr>
        <w:t>Section 3.05</w:t>
      </w:r>
      <w:r>
        <w:rPr>
          <w:rFonts w:ascii="Arial" w:eastAsia="Arial" w:hAnsi="Arial" w:cs="Arial"/>
        </w:rPr>
        <w:t xml:space="preserve">, </w:t>
      </w:r>
      <w:r>
        <w:rPr>
          <w:rFonts w:ascii="Arial" w:eastAsia="Arial" w:hAnsi="Arial" w:cs="Arial"/>
          <w:u w:val="single"/>
        </w:rPr>
        <w:t>Section 4.03(b)</w:t>
      </w:r>
      <w:r>
        <w:rPr>
          <w:rFonts w:ascii="Arial" w:eastAsia="Arial" w:hAnsi="Arial" w:cs="Arial"/>
        </w:rPr>
        <w:t xml:space="preserve">, </w:t>
      </w:r>
      <w:r>
        <w:rPr>
          <w:rFonts w:ascii="Arial" w:eastAsia="Arial" w:hAnsi="Arial" w:cs="Arial"/>
          <w:u w:val="single"/>
        </w:rPr>
        <w:t>Section 4.03(c)</w:t>
      </w:r>
      <w:r>
        <w:rPr>
          <w:rFonts w:ascii="Arial" w:eastAsia="Arial" w:hAnsi="Arial" w:cs="Arial"/>
        </w:rPr>
        <w:t xml:space="preserve">, </w:t>
      </w:r>
      <w:r>
        <w:rPr>
          <w:rFonts w:ascii="Arial" w:eastAsia="Arial" w:hAnsi="Arial" w:cs="Arial"/>
          <w:u w:val="single"/>
        </w:rPr>
        <w:t>Article 7</w:t>
      </w:r>
      <w:r>
        <w:rPr>
          <w:rFonts w:ascii="Arial" w:eastAsia="Arial" w:hAnsi="Arial" w:cs="Arial"/>
        </w:rPr>
        <w:t xml:space="preserve">, </w:t>
      </w:r>
      <w:r>
        <w:rPr>
          <w:rFonts w:ascii="Arial" w:eastAsia="Arial" w:hAnsi="Arial" w:cs="Arial"/>
          <w:u w:val="single"/>
        </w:rPr>
        <w:t>Ar</w:t>
      </w:r>
      <w:r>
        <w:rPr>
          <w:rFonts w:ascii="Arial" w:eastAsia="Arial" w:hAnsi="Arial" w:cs="Arial"/>
          <w:u w:val="single"/>
        </w:rPr>
        <w:t>ticle 8</w:t>
      </w:r>
      <w:r>
        <w:rPr>
          <w:rFonts w:ascii="Arial" w:eastAsia="Arial" w:hAnsi="Arial" w:cs="Arial"/>
        </w:rPr>
        <w:t xml:space="preserve">, this </w:t>
      </w:r>
      <w:r>
        <w:rPr>
          <w:rFonts w:ascii="Arial" w:eastAsia="Arial" w:hAnsi="Arial" w:cs="Arial"/>
          <w:u w:val="single"/>
        </w:rPr>
        <w:t>Section 9.04</w:t>
      </w:r>
      <w:r>
        <w:rPr>
          <w:rFonts w:ascii="Arial" w:eastAsia="Arial" w:hAnsi="Arial" w:cs="Arial"/>
        </w:rPr>
        <w:t xml:space="preserve"> and </w:t>
      </w:r>
      <w:r>
        <w:rPr>
          <w:rFonts w:ascii="Arial" w:eastAsia="Arial" w:hAnsi="Arial" w:cs="Arial"/>
          <w:u w:val="single"/>
        </w:rPr>
        <w:t>Article 10</w:t>
      </w:r>
      <w:r>
        <w:rPr>
          <w:rFonts w:ascii="Arial" w:eastAsia="Arial" w:hAnsi="Arial" w:cs="Arial"/>
        </w:rPr>
        <w:t xml:space="preserve"> shall survive any such termination.</w:t>
      </w:r>
    </w:p>
    <w:p w14:paraId="7A5D3F5A" w14:textId="77777777" w:rsidR="00D1587D" w:rsidRDefault="00D1587D">
      <w:pPr>
        <w:spacing w:line="390" w:lineRule="exact"/>
        <w:rPr>
          <w:sz w:val="20"/>
          <w:szCs w:val="20"/>
        </w:rPr>
      </w:pPr>
    </w:p>
    <w:p w14:paraId="66544632" w14:textId="77777777" w:rsidR="00D1587D" w:rsidRDefault="00410D07">
      <w:pPr>
        <w:jc w:val="center"/>
        <w:rPr>
          <w:sz w:val="20"/>
          <w:szCs w:val="20"/>
        </w:rPr>
      </w:pPr>
      <w:r>
        <w:rPr>
          <w:rFonts w:ascii="Arial" w:eastAsia="Arial" w:hAnsi="Arial" w:cs="Arial"/>
        </w:rPr>
        <w:t>14</w:t>
      </w:r>
    </w:p>
    <w:p w14:paraId="4A15E6F9" w14:textId="77777777" w:rsidR="00D1587D" w:rsidRDefault="00410D07">
      <w:pPr>
        <w:spacing w:line="20" w:lineRule="exact"/>
        <w:rPr>
          <w:sz w:val="20"/>
          <w:szCs w:val="20"/>
        </w:rPr>
      </w:pPr>
      <w:r>
        <w:rPr>
          <w:noProof/>
          <w:sz w:val="20"/>
          <w:szCs w:val="20"/>
        </w:rPr>
        <w:drawing>
          <wp:anchor distT="0" distB="0" distL="114300" distR="114300" simplePos="0" relativeHeight="251393024" behindDoc="1" locked="0" layoutInCell="0" allowOverlap="1" wp14:anchorId="19840092" wp14:editId="7816A4C5">
            <wp:simplePos x="0" y="0"/>
            <wp:positionH relativeFrom="column">
              <wp:posOffset>5080</wp:posOffset>
            </wp:positionH>
            <wp:positionV relativeFrom="paragraph">
              <wp:posOffset>41275</wp:posOffset>
            </wp:positionV>
            <wp:extent cx="7132320" cy="1714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54AAD22" w14:textId="77777777" w:rsidR="00D1587D" w:rsidRDefault="00D1587D">
      <w:pPr>
        <w:sectPr w:rsidR="00D1587D">
          <w:pgSz w:w="11900" w:h="16838"/>
          <w:pgMar w:top="361" w:right="339" w:bottom="1440" w:left="320" w:header="0" w:footer="0" w:gutter="0"/>
          <w:cols w:space="720" w:equalWidth="0">
            <w:col w:w="11240"/>
          </w:cols>
        </w:sectPr>
      </w:pPr>
    </w:p>
    <w:p w14:paraId="5CE0C08D" w14:textId="77777777" w:rsidR="00D1587D" w:rsidRDefault="00D1587D">
      <w:pPr>
        <w:spacing w:line="32" w:lineRule="exact"/>
        <w:rPr>
          <w:sz w:val="20"/>
          <w:szCs w:val="20"/>
        </w:rPr>
      </w:pPr>
      <w:bookmarkStart w:id="231" w:name="page232"/>
      <w:bookmarkEnd w:id="231"/>
    </w:p>
    <w:p w14:paraId="3547BAD6" w14:textId="77777777" w:rsidR="00D1587D" w:rsidRDefault="00410D07">
      <w:pPr>
        <w:ind w:right="-19"/>
        <w:jc w:val="center"/>
        <w:rPr>
          <w:sz w:val="20"/>
          <w:szCs w:val="20"/>
        </w:rPr>
      </w:pPr>
      <w:r>
        <w:rPr>
          <w:rFonts w:ascii="Arial" w:eastAsia="Arial" w:hAnsi="Arial" w:cs="Arial"/>
        </w:rPr>
        <w:t>ARTICLE 10</w:t>
      </w:r>
    </w:p>
    <w:p w14:paraId="1BD786E0" w14:textId="77777777" w:rsidR="00D1587D" w:rsidRDefault="00D1587D">
      <w:pPr>
        <w:spacing w:line="8" w:lineRule="exact"/>
        <w:rPr>
          <w:sz w:val="20"/>
          <w:szCs w:val="20"/>
        </w:rPr>
      </w:pPr>
    </w:p>
    <w:p w14:paraId="365DFEC4" w14:textId="77777777" w:rsidR="00D1587D" w:rsidRDefault="00410D07">
      <w:pPr>
        <w:jc w:val="center"/>
        <w:rPr>
          <w:sz w:val="20"/>
          <w:szCs w:val="20"/>
        </w:rPr>
      </w:pPr>
      <w:r>
        <w:rPr>
          <w:rFonts w:ascii="Arial" w:eastAsia="Arial" w:hAnsi="Arial" w:cs="Arial"/>
        </w:rPr>
        <w:t>MISCELLANEOUS.</w:t>
      </w:r>
    </w:p>
    <w:p w14:paraId="4F03724E" w14:textId="77777777" w:rsidR="00D1587D" w:rsidRDefault="00D1587D">
      <w:pPr>
        <w:spacing w:line="215" w:lineRule="exact"/>
        <w:rPr>
          <w:sz w:val="20"/>
          <w:szCs w:val="20"/>
        </w:rPr>
      </w:pPr>
    </w:p>
    <w:p w14:paraId="5244F0A7" w14:textId="77777777" w:rsidR="00D1587D" w:rsidRDefault="00410D07">
      <w:pPr>
        <w:spacing w:line="238" w:lineRule="auto"/>
        <w:ind w:right="20" w:firstLine="648"/>
        <w:jc w:val="both"/>
        <w:rPr>
          <w:sz w:val="20"/>
          <w:szCs w:val="20"/>
        </w:rPr>
      </w:pPr>
      <w:r>
        <w:rPr>
          <w:rFonts w:ascii="Arial" w:eastAsia="Arial" w:hAnsi="Arial" w:cs="Arial"/>
        </w:rPr>
        <w:t xml:space="preserve">Section 10.01. </w:t>
      </w:r>
      <w:r>
        <w:rPr>
          <w:rFonts w:ascii="Arial" w:eastAsia="Arial" w:hAnsi="Arial" w:cs="Arial"/>
          <w:i/>
          <w:iCs/>
        </w:rPr>
        <w:t>Waiver</w:t>
      </w:r>
      <w:r>
        <w:rPr>
          <w:rFonts w:ascii="Arial" w:eastAsia="Arial" w:hAnsi="Arial" w:cs="Arial"/>
        </w:rPr>
        <w:t>. Any provision of this Agreement may be waived, but only if such waiver is in writing and signed by t</w:t>
      </w:r>
      <w:r>
        <w:rPr>
          <w:rFonts w:ascii="Arial" w:eastAsia="Arial" w:hAnsi="Arial" w:cs="Arial"/>
        </w:rPr>
        <w:t>he waiving Party. No such waiver shall in any event be deemed a waiver of any subsequent default under the same or any other term or provision contained herein. No failure or delay by any Party in exercising any right, power or privilege hereunder shall op</w:t>
      </w:r>
      <w:r>
        <w:rPr>
          <w:rFonts w:ascii="Arial" w:eastAsia="Arial" w:hAnsi="Arial" w:cs="Arial"/>
        </w:rPr>
        <w:t>erate as a waiver thereof.</w:t>
      </w:r>
    </w:p>
    <w:p w14:paraId="39D11A19" w14:textId="77777777" w:rsidR="00D1587D" w:rsidRDefault="00D1587D">
      <w:pPr>
        <w:spacing w:line="212" w:lineRule="exact"/>
        <w:rPr>
          <w:sz w:val="20"/>
          <w:szCs w:val="20"/>
        </w:rPr>
      </w:pPr>
    </w:p>
    <w:p w14:paraId="25E30C59" w14:textId="77777777" w:rsidR="00D1587D" w:rsidRDefault="00410D07">
      <w:pPr>
        <w:spacing w:line="245" w:lineRule="auto"/>
        <w:ind w:firstLine="648"/>
        <w:jc w:val="both"/>
        <w:rPr>
          <w:sz w:val="20"/>
          <w:szCs w:val="20"/>
        </w:rPr>
      </w:pPr>
      <w:r>
        <w:rPr>
          <w:rFonts w:ascii="Arial" w:eastAsia="Arial" w:hAnsi="Arial" w:cs="Arial"/>
          <w:sz w:val="21"/>
          <w:szCs w:val="21"/>
        </w:rPr>
        <w:t xml:space="preserve">Section 10.02. </w:t>
      </w:r>
      <w:r>
        <w:rPr>
          <w:rFonts w:ascii="Arial" w:eastAsia="Arial" w:hAnsi="Arial" w:cs="Arial"/>
          <w:i/>
          <w:iCs/>
          <w:sz w:val="21"/>
          <w:szCs w:val="21"/>
        </w:rPr>
        <w:t>Entire Agreement; Amendments</w:t>
      </w:r>
      <w:r>
        <w:rPr>
          <w:rFonts w:ascii="Arial" w:eastAsia="Arial" w:hAnsi="Arial" w:cs="Arial"/>
          <w:sz w:val="21"/>
          <w:szCs w:val="21"/>
        </w:rPr>
        <w:t xml:space="preserve">. This Agreement and the Schedules attached hereto, together with the Separation Agreement, set forth the entire understanding between the Parties concerning the subject matter of this </w:t>
      </w:r>
      <w:r>
        <w:rPr>
          <w:rFonts w:ascii="Arial" w:eastAsia="Arial" w:hAnsi="Arial" w:cs="Arial"/>
          <w:sz w:val="21"/>
          <w:szCs w:val="21"/>
        </w:rPr>
        <w:t>Agreement and incorporate all prior negotiations and understandings. There are no covenants, promises, agreements, conditions or understandings, either oral or written, between the Parties relating to the subject matter of this Agreement other than those s</w:t>
      </w:r>
      <w:r>
        <w:rPr>
          <w:rFonts w:ascii="Arial" w:eastAsia="Arial" w:hAnsi="Arial" w:cs="Arial"/>
          <w:sz w:val="21"/>
          <w:szCs w:val="21"/>
        </w:rPr>
        <w:t>et forth herein. No representation or warranty has been made by or on behalf of either Party to this Agreement (or any officer, director, employee or agent thereof) to induce the other Party to enter into this Agreement or to abide by or consummate any tra</w:t>
      </w:r>
      <w:r>
        <w:rPr>
          <w:rFonts w:ascii="Arial" w:eastAsia="Arial" w:hAnsi="Arial" w:cs="Arial"/>
          <w:sz w:val="21"/>
          <w:szCs w:val="21"/>
        </w:rPr>
        <w:t xml:space="preserve">nsactions contemplated by any terms of this Agreement except representations and warranties, if any, expressly set forth herein. No alteration, amendment, change or addition to this Agreement shall be binding upon either Party unless in writing and signed </w:t>
      </w:r>
      <w:r>
        <w:rPr>
          <w:rFonts w:ascii="Arial" w:eastAsia="Arial" w:hAnsi="Arial" w:cs="Arial"/>
          <w:sz w:val="21"/>
          <w:szCs w:val="21"/>
        </w:rPr>
        <w:t>by both Parties.</w:t>
      </w:r>
    </w:p>
    <w:p w14:paraId="125D6EF4" w14:textId="77777777" w:rsidR="00D1587D" w:rsidRDefault="00D1587D">
      <w:pPr>
        <w:spacing w:line="211" w:lineRule="exact"/>
        <w:rPr>
          <w:sz w:val="20"/>
          <w:szCs w:val="20"/>
        </w:rPr>
      </w:pPr>
    </w:p>
    <w:p w14:paraId="25763818" w14:textId="77777777" w:rsidR="00D1587D" w:rsidRDefault="00410D07">
      <w:pPr>
        <w:spacing w:line="235" w:lineRule="auto"/>
        <w:ind w:firstLine="648"/>
        <w:jc w:val="both"/>
        <w:rPr>
          <w:sz w:val="20"/>
          <w:szCs w:val="20"/>
        </w:rPr>
      </w:pPr>
      <w:r>
        <w:rPr>
          <w:rFonts w:ascii="Arial" w:eastAsia="Arial" w:hAnsi="Arial" w:cs="Arial"/>
        </w:rPr>
        <w:t xml:space="preserve">Section 10.03. </w:t>
      </w:r>
      <w:r>
        <w:rPr>
          <w:rFonts w:ascii="Arial" w:eastAsia="Arial" w:hAnsi="Arial" w:cs="Arial"/>
          <w:i/>
          <w:iCs/>
        </w:rPr>
        <w:t>No Partnership</w:t>
      </w:r>
      <w:r>
        <w:rPr>
          <w:rFonts w:ascii="Arial" w:eastAsia="Arial" w:hAnsi="Arial" w:cs="Arial"/>
        </w:rPr>
        <w:t>. (a) Nothing contained in this Agreement shall be deemed or construed by the Parties or by any third person to create the relationship of employee and employer, principal and agent or of partnership or of joint venture. Subject to the provisions of this A</w:t>
      </w:r>
      <w:r>
        <w:rPr>
          <w:rFonts w:ascii="Arial" w:eastAsia="Arial" w:hAnsi="Arial" w:cs="Arial"/>
        </w:rPr>
        <w:t xml:space="preserve">greement, including each Party’s indemnification obligations under </w:t>
      </w:r>
      <w:r>
        <w:rPr>
          <w:rFonts w:ascii="Arial" w:eastAsia="Arial" w:hAnsi="Arial" w:cs="Arial"/>
          <w:u w:val="single"/>
        </w:rPr>
        <w:t>Sections 7.01</w:t>
      </w:r>
      <w:r>
        <w:rPr>
          <w:rFonts w:ascii="Arial" w:eastAsia="Arial" w:hAnsi="Arial" w:cs="Arial"/>
        </w:rPr>
        <w:t xml:space="preserve"> and </w:t>
      </w:r>
      <w:r>
        <w:rPr>
          <w:rFonts w:ascii="Arial" w:eastAsia="Arial" w:hAnsi="Arial" w:cs="Arial"/>
          <w:u w:val="single"/>
        </w:rPr>
        <w:t>7.02</w:t>
      </w:r>
      <w:r>
        <w:rPr>
          <w:rFonts w:ascii="Arial" w:eastAsia="Arial" w:hAnsi="Arial" w:cs="Arial"/>
        </w:rPr>
        <w:t xml:space="preserve">, VS assumes full responsibility for, and Service Provider will have no liability with respect to, VS’s employees or agents and Service Provider assumes full </w:t>
      </w:r>
      <w:r>
        <w:rPr>
          <w:rFonts w:ascii="Arial" w:eastAsia="Arial" w:hAnsi="Arial" w:cs="Arial"/>
        </w:rPr>
        <w:t>responsibility for, and VS will have no liability with respect to, Service Provider’s employees or agents.</w:t>
      </w:r>
    </w:p>
    <w:p w14:paraId="4352C610" w14:textId="77777777" w:rsidR="00D1587D" w:rsidRDefault="00D1587D">
      <w:pPr>
        <w:spacing w:line="215" w:lineRule="exact"/>
        <w:rPr>
          <w:sz w:val="20"/>
          <w:szCs w:val="20"/>
        </w:rPr>
      </w:pPr>
    </w:p>
    <w:p w14:paraId="59852961" w14:textId="77777777" w:rsidR="00D1587D" w:rsidRDefault="00410D07">
      <w:pPr>
        <w:numPr>
          <w:ilvl w:val="0"/>
          <w:numId w:val="204"/>
        </w:numPr>
        <w:tabs>
          <w:tab w:val="left" w:pos="1791"/>
        </w:tabs>
        <w:spacing w:line="279" w:lineRule="auto"/>
        <w:ind w:firstLine="850"/>
        <w:jc w:val="both"/>
        <w:rPr>
          <w:rFonts w:ascii="Arial" w:eastAsia="Arial" w:hAnsi="Arial" w:cs="Arial"/>
          <w:sz w:val="19"/>
          <w:szCs w:val="19"/>
        </w:rPr>
      </w:pPr>
      <w:r>
        <w:rPr>
          <w:rFonts w:ascii="Arial" w:eastAsia="Arial" w:hAnsi="Arial" w:cs="Arial"/>
          <w:sz w:val="19"/>
          <w:szCs w:val="19"/>
        </w:rPr>
        <w:t xml:space="preserve">Nothing in this Agreement shall establish or be deemed to establish any fiduciary relationship between the Parties, and each Party acknowledges and </w:t>
      </w:r>
      <w:r>
        <w:rPr>
          <w:rFonts w:ascii="Arial" w:eastAsia="Arial" w:hAnsi="Arial" w:cs="Arial"/>
          <w:sz w:val="19"/>
          <w:szCs w:val="19"/>
        </w:rPr>
        <w:t>agrees that neither Party shall have authority or power to bind the other Party or any of its Affiliates or to contract in the name of, or create a liability against, the other Party or any of its Affiliates in any way or for any purpose, to accept any ser</w:t>
      </w:r>
      <w:r>
        <w:rPr>
          <w:rFonts w:ascii="Arial" w:eastAsia="Arial" w:hAnsi="Arial" w:cs="Arial"/>
          <w:sz w:val="19"/>
          <w:szCs w:val="19"/>
        </w:rPr>
        <w:t>vice of process upon the other Party or any of its Affiliates or to receive any notices of any kind on behalf of the other Party or any of its Affiliates. The Parties’ respective rights and obligations hereunder shall be limited to the contractual rights a</w:t>
      </w:r>
      <w:r>
        <w:rPr>
          <w:rFonts w:ascii="Arial" w:eastAsia="Arial" w:hAnsi="Arial" w:cs="Arial"/>
          <w:sz w:val="19"/>
          <w:szCs w:val="19"/>
        </w:rPr>
        <w:t>nd obligations expressly set forth herein on the terms and conditions set forth herein.</w:t>
      </w:r>
    </w:p>
    <w:p w14:paraId="649158B6" w14:textId="77777777" w:rsidR="00D1587D" w:rsidRDefault="00D1587D">
      <w:pPr>
        <w:spacing w:line="177" w:lineRule="exact"/>
        <w:rPr>
          <w:sz w:val="20"/>
          <w:szCs w:val="20"/>
        </w:rPr>
      </w:pPr>
    </w:p>
    <w:p w14:paraId="37051C3A" w14:textId="77777777" w:rsidR="00D1587D" w:rsidRDefault="00410D07">
      <w:pPr>
        <w:ind w:firstLine="648"/>
        <w:jc w:val="both"/>
        <w:rPr>
          <w:sz w:val="20"/>
          <w:szCs w:val="20"/>
        </w:rPr>
      </w:pPr>
      <w:r>
        <w:rPr>
          <w:rFonts w:ascii="Arial" w:eastAsia="Arial" w:hAnsi="Arial" w:cs="Arial"/>
        </w:rPr>
        <w:t xml:space="preserve">Section 10.04. </w:t>
      </w:r>
      <w:r>
        <w:rPr>
          <w:rFonts w:ascii="Arial" w:eastAsia="Arial" w:hAnsi="Arial" w:cs="Arial"/>
          <w:i/>
          <w:iCs/>
        </w:rPr>
        <w:t>Successors</w:t>
      </w:r>
      <w:r>
        <w:rPr>
          <w:rFonts w:ascii="Arial" w:eastAsia="Arial" w:hAnsi="Arial" w:cs="Arial"/>
        </w:rPr>
        <w:t>. Each and all of the provisions of this Agreement shall be binding upon and inure to the benefit of the Parties and, except as otherwise spec</w:t>
      </w:r>
      <w:r>
        <w:rPr>
          <w:rFonts w:ascii="Arial" w:eastAsia="Arial" w:hAnsi="Arial" w:cs="Arial"/>
        </w:rPr>
        <w:t>ifically provided in this Agreement, their respective successors and permitted assigns.</w:t>
      </w:r>
    </w:p>
    <w:p w14:paraId="5A18BC4E" w14:textId="77777777" w:rsidR="00D1587D" w:rsidRDefault="00D1587D">
      <w:pPr>
        <w:spacing w:line="213" w:lineRule="exact"/>
        <w:rPr>
          <w:sz w:val="20"/>
          <w:szCs w:val="20"/>
        </w:rPr>
      </w:pPr>
    </w:p>
    <w:p w14:paraId="01FCD102" w14:textId="77777777" w:rsidR="00D1587D" w:rsidRDefault="00410D07">
      <w:pPr>
        <w:ind w:firstLine="648"/>
        <w:jc w:val="both"/>
        <w:rPr>
          <w:sz w:val="20"/>
          <w:szCs w:val="20"/>
        </w:rPr>
      </w:pPr>
      <w:r>
        <w:rPr>
          <w:rFonts w:ascii="Arial" w:eastAsia="Arial" w:hAnsi="Arial" w:cs="Arial"/>
        </w:rPr>
        <w:t xml:space="preserve">Section 10.05. </w:t>
      </w:r>
      <w:r>
        <w:rPr>
          <w:rFonts w:ascii="Arial" w:eastAsia="Arial" w:hAnsi="Arial" w:cs="Arial"/>
          <w:i/>
          <w:iCs/>
        </w:rPr>
        <w:t>Notices</w:t>
      </w:r>
      <w:r>
        <w:rPr>
          <w:rFonts w:ascii="Arial" w:eastAsia="Arial" w:hAnsi="Arial" w:cs="Arial"/>
        </w:rPr>
        <w:t>. All notices, requests and other communications to any Party hereunder shall be in writing (including electronic mail (“</w:t>
      </w:r>
      <w:r>
        <w:rPr>
          <w:rFonts w:ascii="Arial" w:eastAsia="Arial" w:hAnsi="Arial" w:cs="Arial"/>
          <w:b/>
          <w:bCs/>
        </w:rPr>
        <w:t>e-mail</w:t>
      </w:r>
      <w:r>
        <w:rPr>
          <w:rFonts w:ascii="Arial" w:eastAsia="Arial" w:hAnsi="Arial" w:cs="Arial"/>
        </w:rPr>
        <w:t>”) transmission, s</w:t>
      </w:r>
      <w:r>
        <w:rPr>
          <w:rFonts w:ascii="Arial" w:eastAsia="Arial" w:hAnsi="Arial" w:cs="Arial"/>
        </w:rPr>
        <w:t>o long as a receipt of such e-mail is requested and received) and shall be given,</w:t>
      </w:r>
    </w:p>
    <w:p w14:paraId="5AEAF6F1" w14:textId="77777777" w:rsidR="00D1587D" w:rsidRDefault="00D1587D">
      <w:pPr>
        <w:spacing w:line="213" w:lineRule="exact"/>
        <w:rPr>
          <w:sz w:val="20"/>
          <w:szCs w:val="20"/>
        </w:rPr>
      </w:pPr>
    </w:p>
    <w:p w14:paraId="031064C2" w14:textId="77777777" w:rsidR="00D1587D" w:rsidRDefault="00410D07">
      <w:pPr>
        <w:ind w:left="2120"/>
        <w:rPr>
          <w:sz w:val="20"/>
          <w:szCs w:val="20"/>
        </w:rPr>
      </w:pPr>
      <w:r>
        <w:rPr>
          <w:rFonts w:ascii="Arial" w:eastAsia="Arial" w:hAnsi="Arial" w:cs="Arial"/>
        </w:rPr>
        <w:t>If to Service Provider:</w:t>
      </w:r>
    </w:p>
    <w:p w14:paraId="26F60B7E" w14:textId="77777777" w:rsidR="00D1587D" w:rsidRDefault="00D1587D">
      <w:pPr>
        <w:spacing w:line="233" w:lineRule="exact"/>
        <w:rPr>
          <w:sz w:val="20"/>
          <w:szCs w:val="20"/>
        </w:rPr>
      </w:pPr>
    </w:p>
    <w:p w14:paraId="4823B046" w14:textId="77777777" w:rsidR="00D1587D" w:rsidRDefault="00410D07">
      <w:pPr>
        <w:ind w:left="2120"/>
        <w:rPr>
          <w:sz w:val="20"/>
          <w:szCs w:val="20"/>
        </w:rPr>
      </w:pPr>
      <w:r>
        <w:rPr>
          <w:rFonts w:ascii="Arial" w:eastAsia="Arial" w:hAnsi="Arial" w:cs="Arial"/>
        </w:rPr>
        <w:t>Mast Logistics Services, LLC</w:t>
      </w:r>
    </w:p>
    <w:p w14:paraId="1C2E538F" w14:textId="77777777" w:rsidR="00D1587D" w:rsidRDefault="00410D07">
      <w:pPr>
        <w:spacing w:line="238" w:lineRule="auto"/>
        <w:ind w:left="2120"/>
        <w:rPr>
          <w:sz w:val="20"/>
          <w:szCs w:val="20"/>
        </w:rPr>
      </w:pPr>
      <w:r>
        <w:rPr>
          <w:rFonts w:ascii="Arial" w:eastAsia="Arial" w:hAnsi="Arial" w:cs="Arial"/>
        </w:rPr>
        <w:t>Address: Two Limited Parkway</w:t>
      </w:r>
    </w:p>
    <w:p w14:paraId="38485E88" w14:textId="77777777" w:rsidR="00D1587D" w:rsidRDefault="00410D07">
      <w:pPr>
        <w:spacing w:line="230" w:lineRule="auto"/>
        <w:ind w:left="2120"/>
        <w:rPr>
          <w:sz w:val="20"/>
          <w:szCs w:val="20"/>
        </w:rPr>
      </w:pPr>
      <w:r>
        <w:rPr>
          <w:rFonts w:ascii="Arial" w:eastAsia="Arial" w:hAnsi="Arial" w:cs="Arial"/>
        </w:rPr>
        <w:t>Columbus, OH 43230</w:t>
      </w:r>
    </w:p>
    <w:p w14:paraId="4B5F491E" w14:textId="77777777" w:rsidR="00D1587D" w:rsidRDefault="00410D07">
      <w:pPr>
        <w:spacing w:line="231" w:lineRule="auto"/>
        <w:ind w:left="2120"/>
        <w:rPr>
          <w:sz w:val="20"/>
          <w:szCs w:val="20"/>
        </w:rPr>
      </w:pPr>
      <w:r>
        <w:rPr>
          <w:rFonts w:ascii="Arial" w:eastAsia="Arial" w:hAnsi="Arial" w:cs="Arial"/>
        </w:rPr>
        <w:t>Attn: Bruce Mosier</w:t>
      </w:r>
    </w:p>
    <w:p w14:paraId="2184E934" w14:textId="77777777" w:rsidR="00D1587D" w:rsidRDefault="00410D07">
      <w:pPr>
        <w:ind w:left="2120"/>
        <w:rPr>
          <w:sz w:val="20"/>
          <w:szCs w:val="20"/>
        </w:rPr>
      </w:pPr>
      <w:r>
        <w:rPr>
          <w:rFonts w:ascii="Arial" w:eastAsia="Arial" w:hAnsi="Arial" w:cs="Arial"/>
        </w:rPr>
        <w:t>Email: BMosier@bbw.com</w:t>
      </w:r>
    </w:p>
    <w:p w14:paraId="02F3398D" w14:textId="77777777" w:rsidR="00D1587D" w:rsidRDefault="00D1587D">
      <w:pPr>
        <w:spacing w:line="215" w:lineRule="exact"/>
        <w:rPr>
          <w:sz w:val="20"/>
          <w:szCs w:val="20"/>
        </w:rPr>
      </w:pPr>
    </w:p>
    <w:p w14:paraId="47F3788A" w14:textId="77777777" w:rsidR="00D1587D" w:rsidRDefault="00410D07">
      <w:pPr>
        <w:ind w:left="2120"/>
        <w:rPr>
          <w:sz w:val="20"/>
          <w:szCs w:val="20"/>
        </w:rPr>
      </w:pPr>
      <w:r>
        <w:rPr>
          <w:rFonts w:ascii="Arial" w:eastAsia="Arial" w:hAnsi="Arial" w:cs="Arial"/>
        </w:rPr>
        <w:t>With a copy to:</w:t>
      </w:r>
    </w:p>
    <w:p w14:paraId="62642751" w14:textId="77777777" w:rsidR="00D1587D" w:rsidRDefault="00D1587D">
      <w:pPr>
        <w:spacing w:line="233" w:lineRule="exact"/>
        <w:rPr>
          <w:sz w:val="20"/>
          <w:szCs w:val="20"/>
        </w:rPr>
      </w:pPr>
    </w:p>
    <w:p w14:paraId="37452F75" w14:textId="77777777" w:rsidR="00D1587D" w:rsidRDefault="00410D07">
      <w:pPr>
        <w:ind w:left="2120"/>
        <w:rPr>
          <w:sz w:val="20"/>
          <w:szCs w:val="20"/>
        </w:rPr>
      </w:pPr>
      <w:r>
        <w:rPr>
          <w:rFonts w:ascii="Arial" w:eastAsia="Arial" w:hAnsi="Arial" w:cs="Arial"/>
        </w:rPr>
        <w:t xml:space="preserve">L </w:t>
      </w:r>
      <w:r>
        <w:rPr>
          <w:rFonts w:ascii="Arial" w:eastAsia="Arial" w:hAnsi="Arial" w:cs="Arial"/>
        </w:rPr>
        <w:t>Brands, Inc.</w:t>
      </w:r>
    </w:p>
    <w:p w14:paraId="743A7DF5" w14:textId="77777777" w:rsidR="00D1587D" w:rsidRDefault="00410D07">
      <w:pPr>
        <w:spacing w:line="238" w:lineRule="auto"/>
        <w:ind w:left="2120"/>
        <w:rPr>
          <w:sz w:val="20"/>
          <w:szCs w:val="20"/>
        </w:rPr>
      </w:pPr>
      <w:r>
        <w:rPr>
          <w:rFonts w:ascii="Arial" w:eastAsia="Arial" w:hAnsi="Arial" w:cs="Arial"/>
        </w:rPr>
        <w:t>Three Limited Parkway</w:t>
      </w:r>
    </w:p>
    <w:p w14:paraId="02FF13C6" w14:textId="77777777" w:rsidR="00D1587D" w:rsidRDefault="00410D07">
      <w:pPr>
        <w:spacing w:line="230" w:lineRule="auto"/>
        <w:ind w:left="2120"/>
        <w:rPr>
          <w:sz w:val="20"/>
          <w:szCs w:val="20"/>
        </w:rPr>
      </w:pPr>
      <w:r>
        <w:rPr>
          <w:rFonts w:ascii="Arial" w:eastAsia="Arial" w:hAnsi="Arial" w:cs="Arial"/>
        </w:rPr>
        <w:t>Columbus, OH 43230</w:t>
      </w:r>
    </w:p>
    <w:p w14:paraId="0EA63879" w14:textId="77777777" w:rsidR="00D1587D" w:rsidRDefault="00D1587D">
      <w:pPr>
        <w:spacing w:line="1" w:lineRule="exact"/>
        <w:rPr>
          <w:sz w:val="20"/>
          <w:szCs w:val="20"/>
        </w:rPr>
      </w:pPr>
    </w:p>
    <w:p w14:paraId="19D12D83" w14:textId="77777777" w:rsidR="00D1587D" w:rsidRDefault="00410D07">
      <w:pPr>
        <w:ind w:left="2120"/>
        <w:rPr>
          <w:sz w:val="20"/>
          <w:szCs w:val="20"/>
        </w:rPr>
      </w:pPr>
      <w:r>
        <w:rPr>
          <w:rFonts w:ascii="Arial" w:eastAsia="Arial" w:hAnsi="Arial" w:cs="Arial"/>
        </w:rPr>
        <w:t>Attn: Chief Legal Officer</w:t>
      </w:r>
    </w:p>
    <w:p w14:paraId="08CBC3E0" w14:textId="77777777" w:rsidR="00D1587D" w:rsidRDefault="00D1587D">
      <w:pPr>
        <w:spacing w:line="215" w:lineRule="exact"/>
        <w:rPr>
          <w:sz w:val="20"/>
          <w:szCs w:val="20"/>
        </w:rPr>
      </w:pPr>
    </w:p>
    <w:p w14:paraId="0C260E38" w14:textId="77777777" w:rsidR="00D1587D" w:rsidRDefault="00410D07">
      <w:pPr>
        <w:ind w:left="2120"/>
        <w:rPr>
          <w:sz w:val="20"/>
          <w:szCs w:val="20"/>
        </w:rPr>
      </w:pPr>
      <w:r>
        <w:rPr>
          <w:rFonts w:ascii="Arial" w:eastAsia="Arial" w:hAnsi="Arial" w:cs="Arial"/>
        </w:rPr>
        <w:t>If to VS:</w:t>
      </w:r>
    </w:p>
    <w:p w14:paraId="2AFC2368" w14:textId="77777777" w:rsidR="00D1587D" w:rsidRDefault="00D1587D">
      <w:pPr>
        <w:spacing w:line="233" w:lineRule="exact"/>
        <w:rPr>
          <w:sz w:val="20"/>
          <w:szCs w:val="20"/>
        </w:rPr>
      </w:pPr>
    </w:p>
    <w:p w14:paraId="25E714F0" w14:textId="77777777" w:rsidR="00D1587D" w:rsidRDefault="00410D07">
      <w:pPr>
        <w:ind w:left="2120"/>
        <w:rPr>
          <w:sz w:val="20"/>
          <w:szCs w:val="20"/>
        </w:rPr>
      </w:pPr>
      <w:r>
        <w:rPr>
          <w:rFonts w:ascii="Arial" w:eastAsia="Arial" w:hAnsi="Arial" w:cs="Arial"/>
        </w:rPr>
        <w:t>Victoria’s Secret &amp; Co.</w:t>
      </w:r>
    </w:p>
    <w:p w14:paraId="2D1B11F5" w14:textId="77777777" w:rsidR="00D1587D" w:rsidRDefault="00410D07">
      <w:pPr>
        <w:spacing w:line="238" w:lineRule="auto"/>
        <w:ind w:left="2120"/>
        <w:rPr>
          <w:sz w:val="20"/>
          <w:szCs w:val="20"/>
        </w:rPr>
      </w:pPr>
      <w:r>
        <w:rPr>
          <w:rFonts w:ascii="Arial" w:eastAsia="Arial" w:hAnsi="Arial" w:cs="Arial"/>
        </w:rPr>
        <w:t>4 Limited Parkway East</w:t>
      </w:r>
    </w:p>
    <w:p w14:paraId="028CA485" w14:textId="77777777" w:rsidR="00D1587D" w:rsidRDefault="00410D07">
      <w:pPr>
        <w:spacing w:line="230" w:lineRule="auto"/>
        <w:ind w:left="2120"/>
        <w:rPr>
          <w:sz w:val="20"/>
          <w:szCs w:val="20"/>
        </w:rPr>
      </w:pPr>
      <w:r>
        <w:rPr>
          <w:rFonts w:ascii="Arial" w:eastAsia="Arial" w:hAnsi="Arial" w:cs="Arial"/>
        </w:rPr>
        <w:t>Reynoldsburg, Ohio 43068</w:t>
      </w:r>
    </w:p>
    <w:p w14:paraId="689044DA" w14:textId="77777777" w:rsidR="00D1587D" w:rsidRDefault="00410D07">
      <w:pPr>
        <w:spacing w:line="231" w:lineRule="auto"/>
        <w:ind w:left="2120"/>
        <w:rPr>
          <w:sz w:val="20"/>
          <w:szCs w:val="20"/>
        </w:rPr>
      </w:pPr>
      <w:r>
        <w:rPr>
          <w:rFonts w:ascii="Arial" w:eastAsia="Arial" w:hAnsi="Arial" w:cs="Arial"/>
        </w:rPr>
        <w:t>Attention: Paul Marshall</w:t>
      </w:r>
    </w:p>
    <w:p w14:paraId="01AE446E" w14:textId="77777777" w:rsidR="00D1587D" w:rsidRDefault="00410D07">
      <w:pPr>
        <w:ind w:left="2120"/>
        <w:rPr>
          <w:sz w:val="20"/>
          <w:szCs w:val="20"/>
        </w:rPr>
      </w:pPr>
      <w:r>
        <w:rPr>
          <w:rFonts w:ascii="Arial" w:eastAsia="Arial" w:hAnsi="Arial" w:cs="Arial"/>
        </w:rPr>
        <w:t>Email: PMarshall@Victorias.com</w:t>
      </w:r>
    </w:p>
    <w:p w14:paraId="1583E34A" w14:textId="77777777" w:rsidR="00D1587D" w:rsidRDefault="00D1587D">
      <w:pPr>
        <w:spacing w:line="215" w:lineRule="exact"/>
        <w:rPr>
          <w:sz w:val="20"/>
          <w:szCs w:val="20"/>
        </w:rPr>
      </w:pPr>
    </w:p>
    <w:p w14:paraId="7FB3519E" w14:textId="77777777" w:rsidR="00D1587D" w:rsidRDefault="00410D07">
      <w:pPr>
        <w:ind w:left="2120"/>
        <w:rPr>
          <w:sz w:val="20"/>
          <w:szCs w:val="20"/>
        </w:rPr>
      </w:pPr>
      <w:r>
        <w:rPr>
          <w:rFonts w:ascii="Arial" w:eastAsia="Arial" w:hAnsi="Arial" w:cs="Arial"/>
        </w:rPr>
        <w:t>With a copy to:</w:t>
      </w:r>
    </w:p>
    <w:p w14:paraId="1D4F1309" w14:textId="77777777" w:rsidR="00D1587D" w:rsidRDefault="00D1587D">
      <w:pPr>
        <w:spacing w:line="233" w:lineRule="exact"/>
        <w:rPr>
          <w:sz w:val="20"/>
          <w:szCs w:val="20"/>
        </w:rPr>
      </w:pPr>
    </w:p>
    <w:p w14:paraId="7D9A04D3" w14:textId="77777777" w:rsidR="00D1587D" w:rsidRDefault="00410D07">
      <w:pPr>
        <w:ind w:left="2120"/>
        <w:rPr>
          <w:sz w:val="20"/>
          <w:szCs w:val="20"/>
        </w:rPr>
      </w:pPr>
      <w:r>
        <w:rPr>
          <w:rFonts w:ascii="Arial" w:eastAsia="Arial" w:hAnsi="Arial" w:cs="Arial"/>
        </w:rPr>
        <w:t xml:space="preserve">Victoria’s </w:t>
      </w:r>
      <w:r>
        <w:rPr>
          <w:rFonts w:ascii="Arial" w:eastAsia="Arial" w:hAnsi="Arial" w:cs="Arial"/>
        </w:rPr>
        <w:t>Secret &amp; Co.</w:t>
      </w:r>
    </w:p>
    <w:p w14:paraId="18B81A93" w14:textId="77777777" w:rsidR="00D1587D" w:rsidRDefault="00D1587D">
      <w:pPr>
        <w:spacing w:line="8" w:lineRule="exact"/>
        <w:rPr>
          <w:sz w:val="20"/>
          <w:szCs w:val="20"/>
        </w:rPr>
      </w:pPr>
    </w:p>
    <w:p w14:paraId="69E0400F" w14:textId="77777777" w:rsidR="00D1587D" w:rsidRDefault="00410D07">
      <w:pPr>
        <w:ind w:left="2120"/>
        <w:rPr>
          <w:sz w:val="20"/>
          <w:szCs w:val="20"/>
        </w:rPr>
      </w:pPr>
      <w:r>
        <w:rPr>
          <w:rFonts w:ascii="Arial" w:eastAsia="Arial" w:hAnsi="Arial" w:cs="Arial"/>
        </w:rPr>
        <w:t>4 Limited Parkway East</w:t>
      </w:r>
    </w:p>
    <w:p w14:paraId="5B06644D" w14:textId="77777777" w:rsidR="00D1587D" w:rsidRDefault="00D1587D">
      <w:pPr>
        <w:sectPr w:rsidR="00D1587D">
          <w:pgSz w:w="11900" w:h="16871"/>
          <w:pgMar w:top="361" w:right="339" w:bottom="0" w:left="320" w:header="0" w:footer="0" w:gutter="0"/>
          <w:cols w:space="720" w:equalWidth="0">
            <w:col w:w="11240"/>
          </w:cols>
        </w:sectPr>
      </w:pPr>
    </w:p>
    <w:p w14:paraId="1F42CA8C" w14:textId="77777777" w:rsidR="00D1587D" w:rsidRDefault="00410D07">
      <w:pPr>
        <w:ind w:left="2120"/>
        <w:rPr>
          <w:sz w:val="20"/>
          <w:szCs w:val="20"/>
        </w:rPr>
      </w:pPr>
      <w:bookmarkStart w:id="232" w:name="page233"/>
      <w:bookmarkEnd w:id="232"/>
      <w:r>
        <w:rPr>
          <w:rFonts w:ascii="Arial" w:eastAsia="Arial" w:hAnsi="Arial" w:cs="Arial"/>
        </w:rPr>
        <w:t>Reynoldsburg, Ohio 43068</w:t>
      </w:r>
    </w:p>
    <w:p w14:paraId="606117E7" w14:textId="77777777" w:rsidR="00D1587D" w:rsidRDefault="00D1587D">
      <w:pPr>
        <w:spacing w:line="9" w:lineRule="exact"/>
        <w:rPr>
          <w:sz w:val="20"/>
          <w:szCs w:val="20"/>
        </w:rPr>
      </w:pPr>
    </w:p>
    <w:p w14:paraId="07DED7DB" w14:textId="77777777" w:rsidR="00D1587D" w:rsidRDefault="00410D07">
      <w:pPr>
        <w:ind w:left="2120"/>
        <w:rPr>
          <w:sz w:val="20"/>
          <w:szCs w:val="20"/>
        </w:rPr>
      </w:pPr>
      <w:r>
        <w:rPr>
          <w:rFonts w:ascii="Arial" w:eastAsia="Arial" w:hAnsi="Arial" w:cs="Arial"/>
        </w:rPr>
        <w:t>Attn: Chief Legal Officer</w:t>
      </w:r>
    </w:p>
    <w:p w14:paraId="0B0BA55C" w14:textId="77777777" w:rsidR="00D1587D" w:rsidRDefault="00D1587D">
      <w:pPr>
        <w:spacing w:line="215" w:lineRule="exact"/>
        <w:rPr>
          <w:sz w:val="20"/>
          <w:szCs w:val="20"/>
        </w:rPr>
      </w:pPr>
    </w:p>
    <w:p w14:paraId="58D361C2" w14:textId="77777777" w:rsidR="00D1587D" w:rsidRDefault="00410D07">
      <w:pPr>
        <w:spacing w:line="236" w:lineRule="auto"/>
        <w:jc w:val="both"/>
        <w:rPr>
          <w:sz w:val="20"/>
          <w:szCs w:val="20"/>
        </w:rPr>
      </w:pPr>
      <w:r>
        <w:rPr>
          <w:rFonts w:ascii="Arial" w:eastAsia="Arial" w:hAnsi="Arial" w:cs="Arial"/>
        </w:rPr>
        <w:t xml:space="preserve">or such other address or facsimile number as such Party may hereafter specify for the purpose by notice to the other Parties hereto. All </w:t>
      </w:r>
      <w:r>
        <w:rPr>
          <w:rFonts w:ascii="Arial" w:eastAsia="Arial" w:hAnsi="Arial" w:cs="Arial"/>
        </w:rPr>
        <w:t>such notices, requests and other communications shall be deemed received on the date of receipt by the recipient thereof if received prior to 5 p.m. in the place of receipt and such day is a business day in the place of receipt. Otherwise, any such notice,</w:t>
      </w:r>
      <w:r>
        <w:rPr>
          <w:rFonts w:ascii="Arial" w:eastAsia="Arial" w:hAnsi="Arial" w:cs="Arial"/>
        </w:rPr>
        <w:t xml:space="preserve"> request or communication shall be deemed not to have been received until the next succeeding business day in the place of receipt.</w:t>
      </w:r>
    </w:p>
    <w:p w14:paraId="405A372D" w14:textId="77777777" w:rsidR="00D1587D" w:rsidRDefault="00D1587D">
      <w:pPr>
        <w:spacing w:line="390" w:lineRule="exact"/>
        <w:rPr>
          <w:sz w:val="20"/>
          <w:szCs w:val="20"/>
        </w:rPr>
      </w:pPr>
    </w:p>
    <w:p w14:paraId="6003A22C" w14:textId="77777777" w:rsidR="00D1587D" w:rsidRDefault="00410D07">
      <w:pPr>
        <w:jc w:val="center"/>
        <w:rPr>
          <w:sz w:val="20"/>
          <w:szCs w:val="20"/>
        </w:rPr>
      </w:pPr>
      <w:r>
        <w:rPr>
          <w:rFonts w:ascii="Arial" w:eastAsia="Arial" w:hAnsi="Arial" w:cs="Arial"/>
        </w:rPr>
        <w:t>15</w:t>
      </w:r>
    </w:p>
    <w:p w14:paraId="0671503F" w14:textId="77777777" w:rsidR="00D1587D" w:rsidRDefault="00410D07">
      <w:pPr>
        <w:spacing w:line="20" w:lineRule="exact"/>
        <w:rPr>
          <w:sz w:val="20"/>
          <w:szCs w:val="20"/>
        </w:rPr>
      </w:pPr>
      <w:r>
        <w:rPr>
          <w:noProof/>
          <w:sz w:val="20"/>
          <w:szCs w:val="20"/>
        </w:rPr>
        <w:drawing>
          <wp:anchor distT="0" distB="0" distL="114300" distR="114300" simplePos="0" relativeHeight="251394048" behindDoc="1" locked="0" layoutInCell="0" allowOverlap="1" wp14:anchorId="17BC2190" wp14:editId="27605EDD">
            <wp:simplePos x="0" y="0"/>
            <wp:positionH relativeFrom="column">
              <wp:posOffset>5080</wp:posOffset>
            </wp:positionH>
            <wp:positionV relativeFrom="paragraph">
              <wp:posOffset>41275</wp:posOffset>
            </wp:positionV>
            <wp:extent cx="7132320" cy="1714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42047B2" w14:textId="77777777" w:rsidR="00D1587D" w:rsidRDefault="00D1587D">
      <w:pPr>
        <w:sectPr w:rsidR="00D1587D">
          <w:pgSz w:w="11900" w:h="16838"/>
          <w:pgMar w:top="118" w:right="339" w:bottom="1440" w:left="320" w:header="0" w:footer="0" w:gutter="0"/>
          <w:cols w:space="720" w:equalWidth="0">
            <w:col w:w="11240"/>
          </w:cols>
        </w:sectPr>
      </w:pPr>
    </w:p>
    <w:p w14:paraId="256B4418" w14:textId="77777777" w:rsidR="00D1587D" w:rsidRDefault="00410D07">
      <w:pPr>
        <w:spacing w:line="269" w:lineRule="auto"/>
        <w:ind w:firstLine="648"/>
        <w:jc w:val="both"/>
        <w:rPr>
          <w:sz w:val="20"/>
          <w:szCs w:val="20"/>
        </w:rPr>
      </w:pPr>
      <w:bookmarkStart w:id="233" w:name="page234"/>
      <w:bookmarkEnd w:id="233"/>
      <w:r>
        <w:rPr>
          <w:rFonts w:ascii="Arial" w:eastAsia="Arial" w:hAnsi="Arial" w:cs="Arial"/>
          <w:sz w:val="19"/>
          <w:szCs w:val="19"/>
        </w:rPr>
        <w:t xml:space="preserve">Section 10.06. </w:t>
      </w:r>
      <w:r>
        <w:rPr>
          <w:rFonts w:ascii="Arial" w:eastAsia="Arial" w:hAnsi="Arial" w:cs="Arial"/>
          <w:i/>
          <w:iCs/>
          <w:sz w:val="19"/>
          <w:szCs w:val="19"/>
        </w:rPr>
        <w:t>Force Majeure</w:t>
      </w:r>
      <w:r>
        <w:rPr>
          <w:rFonts w:ascii="Arial" w:eastAsia="Arial" w:hAnsi="Arial" w:cs="Arial"/>
          <w:sz w:val="19"/>
          <w:szCs w:val="19"/>
        </w:rPr>
        <w:t>. Neither Party shall be held liable or responsible to the other Party</w:t>
      </w:r>
      <w:r>
        <w:rPr>
          <w:rFonts w:ascii="Arial" w:eastAsia="Arial" w:hAnsi="Arial" w:cs="Arial"/>
          <w:sz w:val="19"/>
          <w:szCs w:val="19"/>
        </w:rPr>
        <w:t>, nor be deemed to have defaulted under or breached this Agreement for failure or delay in fulfilling or performing any term of this Agreement, when such failure or delay is caused by or results from matters or events beyond the reasonable control of the a</w:t>
      </w:r>
      <w:r>
        <w:rPr>
          <w:rFonts w:ascii="Arial" w:eastAsia="Arial" w:hAnsi="Arial" w:cs="Arial"/>
          <w:sz w:val="19"/>
          <w:szCs w:val="19"/>
        </w:rPr>
        <w:t>ffected Party, including, but not limited to, strikes, lockouts or other labor difficulties; fires, floods, acts of God, extremes of weather, earthquakes, tornadoes, or similar occurrences; riot, insurrection or other hostilities; embargo; fuel or energy s</w:t>
      </w:r>
      <w:r>
        <w:rPr>
          <w:rFonts w:ascii="Arial" w:eastAsia="Arial" w:hAnsi="Arial" w:cs="Arial"/>
          <w:sz w:val="19"/>
          <w:szCs w:val="19"/>
        </w:rPr>
        <w:t>hortage; delays by unaffiliated suppliers or carriers; inability to obtain necessary labor, materials or utilities; or any epidemic, pandemic or disease outbreak (including COVID-19) or worsening thereof (collectively, “</w:t>
      </w:r>
      <w:r>
        <w:rPr>
          <w:rFonts w:ascii="Arial" w:eastAsia="Arial" w:hAnsi="Arial" w:cs="Arial"/>
          <w:b/>
          <w:bCs/>
          <w:sz w:val="19"/>
          <w:szCs w:val="19"/>
        </w:rPr>
        <w:t>Force Majeure</w:t>
      </w:r>
      <w:r>
        <w:rPr>
          <w:rFonts w:ascii="Arial" w:eastAsia="Arial" w:hAnsi="Arial" w:cs="Arial"/>
          <w:sz w:val="19"/>
          <w:szCs w:val="19"/>
        </w:rPr>
        <w:t xml:space="preserve">”); </w:t>
      </w:r>
      <w:r>
        <w:rPr>
          <w:rFonts w:ascii="Arial" w:eastAsia="Arial" w:hAnsi="Arial" w:cs="Arial"/>
          <w:i/>
          <w:iCs/>
          <w:sz w:val="19"/>
          <w:szCs w:val="19"/>
        </w:rPr>
        <w:t>provided</w:t>
      </w:r>
      <w:r>
        <w:rPr>
          <w:rFonts w:ascii="Arial" w:eastAsia="Arial" w:hAnsi="Arial" w:cs="Arial"/>
          <w:sz w:val="19"/>
          <w:szCs w:val="19"/>
        </w:rPr>
        <w:t xml:space="preserve">, </w:t>
      </w:r>
      <w:r>
        <w:rPr>
          <w:rFonts w:ascii="Arial" w:eastAsia="Arial" w:hAnsi="Arial" w:cs="Arial"/>
          <w:i/>
          <w:iCs/>
          <w:sz w:val="19"/>
          <w:szCs w:val="19"/>
        </w:rPr>
        <w:t>however</w:t>
      </w:r>
      <w:r>
        <w:rPr>
          <w:rFonts w:ascii="Arial" w:eastAsia="Arial" w:hAnsi="Arial" w:cs="Arial"/>
          <w:sz w:val="19"/>
          <w:szCs w:val="19"/>
        </w:rPr>
        <w:t xml:space="preserve">, </w:t>
      </w:r>
      <w:r>
        <w:rPr>
          <w:rFonts w:ascii="Arial" w:eastAsia="Arial" w:hAnsi="Arial" w:cs="Arial"/>
          <w:sz w:val="19"/>
          <w:szCs w:val="19"/>
        </w:rPr>
        <w:t>it is understood that</w:t>
      </w:r>
    </w:p>
    <w:p w14:paraId="1F200AB0" w14:textId="77777777" w:rsidR="00D1587D" w:rsidRDefault="00D1587D">
      <w:pPr>
        <w:spacing w:line="5" w:lineRule="exact"/>
        <w:rPr>
          <w:sz w:val="20"/>
          <w:szCs w:val="20"/>
        </w:rPr>
      </w:pPr>
    </w:p>
    <w:p w14:paraId="2B46BDBB" w14:textId="77777777" w:rsidR="00D1587D" w:rsidRDefault="00410D07">
      <w:pPr>
        <w:numPr>
          <w:ilvl w:val="0"/>
          <w:numId w:val="205"/>
        </w:numPr>
        <w:tabs>
          <w:tab w:val="left" w:pos="300"/>
        </w:tabs>
        <w:spacing w:line="270" w:lineRule="auto"/>
        <w:ind w:firstLine="8"/>
        <w:jc w:val="both"/>
        <w:rPr>
          <w:rFonts w:ascii="Arial" w:eastAsia="Arial" w:hAnsi="Arial" w:cs="Arial"/>
          <w:sz w:val="19"/>
          <w:szCs w:val="19"/>
        </w:rPr>
      </w:pPr>
      <w:r>
        <w:rPr>
          <w:rFonts w:ascii="Arial" w:eastAsia="Arial" w:hAnsi="Arial" w:cs="Arial"/>
          <w:sz w:val="19"/>
          <w:szCs w:val="19"/>
        </w:rPr>
        <w:t xml:space="preserve">this </w:t>
      </w:r>
      <w:r>
        <w:rPr>
          <w:rFonts w:ascii="Arial" w:eastAsia="Arial" w:hAnsi="Arial" w:cs="Arial"/>
          <w:sz w:val="19"/>
          <w:szCs w:val="19"/>
          <w:u w:val="single"/>
        </w:rPr>
        <w:t>Section 10.06</w:t>
      </w:r>
      <w:r>
        <w:rPr>
          <w:rFonts w:ascii="Arial" w:eastAsia="Arial" w:hAnsi="Arial" w:cs="Arial"/>
          <w:sz w:val="19"/>
          <w:szCs w:val="19"/>
        </w:rPr>
        <w:t xml:space="preserve"> only operates to suspend, and not to discharge, a Party’s obligations under this Agreement, and that when the causes of the failure or delay are removed or alleviated, the affected Party shall resume performance of</w:t>
      </w:r>
      <w:r>
        <w:rPr>
          <w:rFonts w:ascii="Arial" w:eastAsia="Arial" w:hAnsi="Arial" w:cs="Arial"/>
          <w:sz w:val="19"/>
          <w:szCs w:val="19"/>
        </w:rPr>
        <w:t xml:space="preserve"> its obligations hereunder and (b) this </w:t>
      </w:r>
      <w:r>
        <w:rPr>
          <w:rFonts w:ascii="Arial" w:eastAsia="Arial" w:hAnsi="Arial" w:cs="Arial"/>
          <w:sz w:val="19"/>
          <w:szCs w:val="19"/>
          <w:u w:val="single"/>
        </w:rPr>
        <w:t>Section 10.06</w:t>
      </w:r>
      <w:r>
        <w:rPr>
          <w:rFonts w:ascii="Arial" w:eastAsia="Arial" w:hAnsi="Arial" w:cs="Arial"/>
          <w:sz w:val="19"/>
          <w:szCs w:val="19"/>
        </w:rPr>
        <w:t xml:space="preserve"> shall not excuse a Party’s obligation to pay money; </w:t>
      </w:r>
      <w:r>
        <w:rPr>
          <w:rFonts w:ascii="Arial" w:eastAsia="Arial" w:hAnsi="Arial" w:cs="Arial"/>
          <w:i/>
          <w:iCs/>
          <w:sz w:val="19"/>
          <w:szCs w:val="19"/>
        </w:rPr>
        <w:t>provided</w:t>
      </w:r>
      <w:r>
        <w:rPr>
          <w:rFonts w:ascii="Arial" w:eastAsia="Arial" w:hAnsi="Arial" w:cs="Arial"/>
          <w:sz w:val="19"/>
          <w:szCs w:val="19"/>
        </w:rPr>
        <w:t xml:space="preserve"> that VS shall not be obligated to pay for any particular Service during the pendency of Service Provider’s failure to provide such particular</w:t>
      </w:r>
      <w:r>
        <w:rPr>
          <w:rFonts w:ascii="Arial" w:eastAsia="Arial" w:hAnsi="Arial" w:cs="Arial"/>
          <w:sz w:val="19"/>
          <w:szCs w:val="19"/>
        </w:rPr>
        <w:t xml:space="preserve"> Service on account of such Force Majeure event. A Party that is unable to fulfill its obligations due to any Force Majeure event shall (i) use its good faith efforts to, promptly after the occurrence thereof, give notice to the other Party with details of</w:t>
      </w:r>
      <w:r>
        <w:rPr>
          <w:rFonts w:ascii="Arial" w:eastAsia="Arial" w:hAnsi="Arial" w:cs="Arial"/>
          <w:sz w:val="19"/>
          <w:szCs w:val="19"/>
        </w:rPr>
        <w:t xml:space="preserve"> such event and (ii) work diligently and use its commercially reasonable efforts to remedy such event as promptly as practicable, including, in the case of Service Provider, using other distribution centers to the extent reasonably practicable during the d</w:t>
      </w:r>
      <w:r>
        <w:rPr>
          <w:rFonts w:ascii="Arial" w:eastAsia="Arial" w:hAnsi="Arial" w:cs="Arial"/>
          <w:sz w:val="19"/>
          <w:szCs w:val="19"/>
        </w:rPr>
        <w:t>uration of such occurrence. If Service Provider is unable to provide any of the Services due to Force Majeure, both Parties shall work together in good faith and exert commercially reasonable efforts to cooperatively seek a solution that is mutually satisf</w:t>
      </w:r>
      <w:r>
        <w:rPr>
          <w:rFonts w:ascii="Arial" w:eastAsia="Arial" w:hAnsi="Arial" w:cs="Arial"/>
          <w:sz w:val="19"/>
          <w:szCs w:val="19"/>
        </w:rPr>
        <w:t>actory. VS and Service Provider shall work together in good faith to establish a mutually agreeable business continuity plan which specifies the manner in which Services will be provided in the event of an event of Force Majeure.</w:t>
      </w:r>
    </w:p>
    <w:p w14:paraId="53E986D3" w14:textId="77777777" w:rsidR="00D1587D" w:rsidRDefault="00D1587D">
      <w:pPr>
        <w:spacing w:line="191" w:lineRule="exact"/>
        <w:rPr>
          <w:sz w:val="20"/>
          <w:szCs w:val="20"/>
        </w:rPr>
      </w:pPr>
    </w:p>
    <w:p w14:paraId="40E628F7" w14:textId="77777777" w:rsidR="00D1587D" w:rsidRDefault="00410D07">
      <w:pPr>
        <w:spacing w:line="236" w:lineRule="auto"/>
        <w:ind w:firstLine="648"/>
        <w:jc w:val="both"/>
        <w:rPr>
          <w:sz w:val="20"/>
          <w:szCs w:val="20"/>
        </w:rPr>
      </w:pPr>
      <w:r>
        <w:rPr>
          <w:rFonts w:ascii="Arial" w:eastAsia="Arial" w:hAnsi="Arial" w:cs="Arial"/>
        </w:rPr>
        <w:t xml:space="preserve">Section 10.07. </w:t>
      </w:r>
      <w:r>
        <w:rPr>
          <w:rFonts w:ascii="Arial" w:eastAsia="Arial" w:hAnsi="Arial" w:cs="Arial"/>
          <w:i/>
          <w:iCs/>
        </w:rPr>
        <w:t>Dispute Re</w:t>
      </w:r>
      <w:r>
        <w:rPr>
          <w:rFonts w:ascii="Arial" w:eastAsia="Arial" w:hAnsi="Arial" w:cs="Arial"/>
          <w:i/>
          <w:iCs/>
        </w:rPr>
        <w:t>solution.</w:t>
      </w:r>
      <w:r>
        <w:rPr>
          <w:rFonts w:ascii="Arial" w:eastAsia="Arial" w:hAnsi="Arial" w:cs="Arial"/>
        </w:rPr>
        <w:t xml:space="preserve"> (a) With respect to matters under this Agreement requiring dispute resolution (each, a “</w:t>
      </w:r>
      <w:r>
        <w:rPr>
          <w:rFonts w:ascii="Arial" w:eastAsia="Arial" w:hAnsi="Arial" w:cs="Arial"/>
          <w:b/>
          <w:bCs/>
        </w:rPr>
        <w:t>Dispute</w:t>
      </w:r>
      <w:r>
        <w:rPr>
          <w:rFonts w:ascii="Arial" w:eastAsia="Arial" w:hAnsi="Arial" w:cs="Arial"/>
        </w:rPr>
        <w:t xml:space="preserve">”), the disputing Party shall notify the other Party of such Dispute in writing and, upon the non-disputing Party’s receipt of such written </w:t>
      </w:r>
      <w:r>
        <w:rPr>
          <w:rFonts w:ascii="Arial" w:eastAsia="Arial" w:hAnsi="Arial" w:cs="Arial"/>
        </w:rPr>
        <w:t>notice, the Parties shall attempt to resolve such Dispute in good faith within thirty (30) days of such receipt, and if the Parties are unable to resolve such Dispute in such thirty (30) day period, then the Parties shall escalate such Dispute to each part</w:t>
      </w:r>
      <w:r>
        <w:rPr>
          <w:rFonts w:ascii="Arial" w:eastAsia="Arial" w:hAnsi="Arial" w:cs="Arial"/>
        </w:rPr>
        <w:t>y’s Chief Financial Officer for resolution.</w:t>
      </w:r>
    </w:p>
    <w:p w14:paraId="58BE5D2D" w14:textId="77777777" w:rsidR="00D1587D" w:rsidRDefault="00D1587D">
      <w:pPr>
        <w:spacing w:line="214" w:lineRule="exact"/>
        <w:rPr>
          <w:sz w:val="20"/>
          <w:szCs w:val="20"/>
        </w:rPr>
      </w:pPr>
    </w:p>
    <w:p w14:paraId="1A097233" w14:textId="77777777" w:rsidR="00D1587D" w:rsidRDefault="00410D07">
      <w:pPr>
        <w:numPr>
          <w:ilvl w:val="0"/>
          <w:numId w:val="206"/>
        </w:numPr>
        <w:tabs>
          <w:tab w:val="left" w:pos="1634"/>
        </w:tabs>
        <w:spacing w:line="297" w:lineRule="auto"/>
        <w:ind w:right="360" w:firstLine="850"/>
        <w:rPr>
          <w:rFonts w:ascii="Arial" w:eastAsia="Arial" w:hAnsi="Arial" w:cs="Arial"/>
          <w:sz w:val="19"/>
          <w:szCs w:val="19"/>
        </w:rPr>
      </w:pPr>
      <w:r>
        <w:rPr>
          <w:rFonts w:ascii="Arial" w:eastAsia="Arial" w:hAnsi="Arial" w:cs="Arial"/>
          <w:sz w:val="19"/>
          <w:szCs w:val="19"/>
        </w:rPr>
        <w:t>If the Parties’ Chief Financial Officers are unable to resolve such Dispute within thirty (30) days following such receipt of such notice, then either Party shall initiate a non-binding mediation by providing wr</w:t>
      </w:r>
      <w:r>
        <w:rPr>
          <w:rFonts w:ascii="Arial" w:eastAsia="Arial" w:hAnsi="Arial" w:cs="Arial"/>
          <w:sz w:val="19"/>
          <w:szCs w:val="19"/>
        </w:rPr>
        <w:t>itten notice (“</w:t>
      </w:r>
      <w:r>
        <w:rPr>
          <w:rFonts w:ascii="Arial" w:eastAsia="Arial" w:hAnsi="Arial" w:cs="Arial"/>
          <w:b/>
          <w:bCs/>
          <w:sz w:val="19"/>
          <w:szCs w:val="19"/>
        </w:rPr>
        <w:t>Mediation</w:t>
      </w:r>
      <w:r>
        <w:rPr>
          <w:rFonts w:ascii="Arial" w:eastAsia="Arial" w:hAnsi="Arial" w:cs="Arial"/>
          <w:sz w:val="19"/>
          <w:szCs w:val="19"/>
        </w:rPr>
        <w:t xml:space="preserve"> </w:t>
      </w:r>
      <w:r>
        <w:rPr>
          <w:rFonts w:ascii="Arial" w:eastAsia="Arial" w:hAnsi="Arial" w:cs="Arial"/>
          <w:b/>
          <w:bCs/>
          <w:sz w:val="19"/>
          <w:szCs w:val="19"/>
        </w:rPr>
        <w:t>Notice</w:t>
      </w:r>
      <w:r>
        <w:rPr>
          <w:rFonts w:ascii="Arial" w:eastAsia="Arial" w:hAnsi="Arial" w:cs="Arial"/>
          <w:sz w:val="19"/>
          <w:szCs w:val="19"/>
        </w:rPr>
        <w:t>”) to the other party hereto within five (5) business days following the expiration of such thirty (30) day period.</w:t>
      </w:r>
    </w:p>
    <w:p w14:paraId="776EC2C0" w14:textId="77777777" w:rsidR="00D1587D" w:rsidRDefault="00D1587D">
      <w:pPr>
        <w:spacing w:line="160" w:lineRule="exact"/>
        <w:rPr>
          <w:rFonts w:ascii="Arial" w:eastAsia="Arial" w:hAnsi="Arial" w:cs="Arial"/>
          <w:sz w:val="19"/>
          <w:szCs w:val="19"/>
        </w:rPr>
      </w:pPr>
    </w:p>
    <w:p w14:paraId="6F3230BD" w14:textId="77777777" w:rsidR="00D1587D" w:rsidRDefault="00410D07">
      <w:pPr>
        <w:numPr>
          <w:ilvl w:val="0"/>
          <w:numId w:val="206"/>
        </w:numPr>
        <w:tabs>
          <w:tab w:val="left" w:pos="1622"/>
        </w:tabs>
        <w:spacing w:line="246" w:lineRule="auto"/>
        <w:ind w:right="40" w:firstLine="850"/>
        <w:rPr>
          <w:rFonts w:ascii="Arial" w:eastAsia="Arial" w:hAnsi="Arial" w:cs="Arial"/>
          <w:sz w:val="21"/>
          <w:szCs w:val="21"/>
        </w:rPr>
      </w:pPr>
      <w:r>
        <w:rPr>
          <w:rFonts w:ascii="Arial" w:eastAsia="Arial" w:hAnsi="Arial" w:cs="Arial"/>
          <w:sz w:val="21"/>
          <w:szCs w:val="21"/>
        </w:rPr>
        <w:t xml:space="preserve">Upon receipt of a Mediation Notice, the applicable Dispute shall be submitted within five (5) </w:t>
      </w:r>
      <w:r>
        <w:rPr>
          <w:rFonts w:ascii="Arial" w:eastAsia="Arial" w:hAnsi="Arial" w:cs="Arial"/>
          <w:sz w:val="21"/>
          <w:szCs w:val="21"/>
        </w:rPr>
        <w:t>business days following such receipt of such Mediation Notice for non-binding mediation conducted in accordance with the Commercial Mediation Rules of the American Arbitration Association (“</w:t>
      </w:r>
      <w:r>
        <w:rPr>
          <w:rFonts w:ascii="Arial" w:eastAsia="Arial" w:hAnsi="Arial" w:cs="Arial"/>
          <w:b/>
          <w:bCs/>
          <w:sz w:val="21"/>
          <w:szCs w:val="21"/>
        </w:rPr>
        <w:t>Arbitration Association</w:t>
      </w:r>
      <w:r>
        <w:rPr>
          <w:rFonts w:ascii="Arial" w:eastAsia="Arial" w:hAnsi="Arial" w:cs="Arial"/>
          <w:sz w:val="21"/>
          <w:szCs w:val="21"/>
        </w:rPr>
        <w:t>”), and the Parties agree to bear equally t</w:t>
      </w:r>
      <w:r>
        <w:rPr>
          <w:rFonts w:ascii="Arial" w:eastAsia="Arial" w:hAnsi="Arial" w:cs="Arial"/>
          <w:sz w:val="21"/>
          <w:szCs w:val="21"/>
        </w:rPr>
        <w:t xml:space="preserve">he costs of such mediation (including any fees or expenses of the applicable mediator); </w:t>
      </w:r>
      <w:r>
        <w:rPr>
          <w:rFonts w:ascii="Arial" w:eastAsia="Arial" w:hAnsi="Arial" w:cs="Arial"/>
          <w:i/>
          <w:iCs/>
          <w:sz w:val="21"/>
          <w:szCs w:val="21"/>
        </w:rPr>
        <w:t>provided</w:t>
      </w:r>
      <w:r>
        <w:rPr>
          <w:rFonts w:ascii="Arial" w:eastAsia="Arial" w:hAnsi="Arial" w:cs="Arial"/>
          <w:sz w:val="21"/>
          <w:szCs w:val="21"/>
        </w:rPr>
        <w:t>, however, that each Party shall bear its own costs in connection with participating in such mediation. The Parties agree to participate in good faith in such m</w:t>
      </w:r>
      <w:r>
        <w:rPr>
          <w:rFonts w:ascii="Arial" w:eastAsia="Arial" w:hAnsi="Arial" w:cs="Arial"/>
          <w:sz w:val="21"/>
          <w:szCs w:val="21"/>
        </w:rPr>
        <w:t>ediation for a period of forty five (45) days or such longer period as the Parties may mutually agree following receipt of such Mediation Notice (the “</w:t>
      </w:r>
      <w:r>
        <w:rPr>
          <w:rFonts w:ascii="Arial" w:eastAsia="Arial" w:hAnsi="Arial" w:cs="Arial"/>
          <w:b/>
          <w:bCs/>
          <w:sz w:val="21"/>
          <w:szCs w:val="21"/>
        </w:rPr>
        <w:t>Mediation Period</w:t>
      </w:r>
      <w:r>
        <w:rPr>
          <w:rFonts w:ascii="Arial" w:eastAsia="Arial" w:hAnsi="Arial" w:cs="Arial"/>
          <w:sz w:val="21"/>
          <w:szCs w:val="21"/>
        </w:rPr>
        <w:t>”).</w:t>
      </w:r>
    </w:p>
    <w:p w14:paraId="7384BF90" w14:textId="77777777" w:rsidR="00D1587D" w:rsidRDefault="00D1587D">
      <w:pPr>
        <w:spacing w:line="211" w:lineRule="exact"/>
        <w:rPr>
          <w:rFonts w:ascii="Arial" w:eastAsia="Arial" w:hAnsi="Arial" w:cs="Arial"/>
          <w:sz w:val="21"/>
          <w:szCs w:val="21"/>
        </w:rPr>
      </w:pPr>
    </w:p>
    <w:p w14:paraId="46B5EFB9" w14:textId="77777777" w:rsidR="00D1587D" w:rsidRDefault="00410D07">
      <w:pPr>
        <w:numPr>
          <w:ilvl w:val="0"/>
          <w:numId w:val="206"/>
        </w:numPr>
        <w:tabs>
          <w:tab w:val="left" w:pos="1634"/>
        </w:tabs>
        <w:spacing w:line="235" w:lineRule="auto"/>
        <w:ind w:right="40" w:firstLine="850"/>
        <w:rPr>
          <w:rFonts w:ascii="Arial" w:eastAsia="Arial" w:hAnsi="Arial" w:cs="Arial"/>
        </w:rPr>
      </w:pPr>
      <w:r>
        <w:rPr>
          <w:rFonts w:ascii="Arial" w:eastAsia="Arial" w:hAnsi="Arial" w:cs="Arial"/>
        </w:rPr>
        <w:t xml:space="preserve">In connection with such mediation, the Parties shall cooperate with the Arbitration </w:t>
      </w:r>
      <w:r>
        <w:rPr>
          <w:rFonts w:ascii="Arial" w:eastAsia="Arial" w:hAnsi="Arial" w:cs="Arial"/>
        </w:rPr>
        <w:t xml:space="preserve">Association and with one another in selecting a neutral mediator with relevant industry experience and in scheduling the mediation proceedings during the applicable Mediation Period. If the Parties are unable to agree on a neutral mediator within five (5) </w:t>
      </w:r>
      <w:r>
        <w:rPr>
          <w:rFonts w:ascii="Arial" w:eastAsia="Arial" w:hAnsi="Arial" w:cs="Arial"/>
        </w:rPr>
        <w:t xml:space="preserve">business days of submitting a Dispute for mediation pursuant to </w:t>
      </w:r>
      <w:r>
        <w:rPr>
          <w:rFonts w:ascii="Arial" w:eastAsia="Arial" w:hAnsi="Arial" w:cs="Arial"/>
          <w:u w:val="single"/>
        </w:rPr>
        <w:t>Section 10.07(c)</w:t>
      </w:r>
      <w:r>
        <w:rPr>
          <w:rFonts w:ascii="Arial" w:eastAsia="Arial" w:hAnsi="Arial" w:cs="Arial"/>
        </w:rPr>
        <w:t xml:space="preserve">, application shall be made by the Parties to the Arbitration Association for the Arbitration Association to select and appoint a neutral mediator on the Parties’ behalf in </w:t>
      </w:r>
      <w:r>
        <w:rPr>
          <w:rFonts w:ascii="Arial" w:eastAsia="Arial" w:hAnsi="Arial" w:cs="Arial"/>
        </w:rPr>
        <w:t>accordance with the Commercial Mediation Rules of the Arbitration Association.</w:t>
      </w:r>
    </w:p>
    <w:p w14:paraId="4CBA6226" w14:textId="77777777" w:rsidR="00D1587D" w:rsidRDefault="00D1587D">
      <w:pPr>
        <w:spacing w:line="390" w:lineRule="exact"/>
        <w:rPr>
          <w:sz w:val="20"/>
          <w:szCs w:val="20"/>
        </w:rPr>
      </w:pPr>
    </w:p>
    <w:p w14:paraId="255432C2" w14:textId="77777777" w:rsidR="00D1587D" w:rsidRDefault="00410D07">
      <w:pPr>
        <w:jc w:val="center"/>
        <w:rPr>
          <w:sz w:val="20"/>
          <w:szCs w:val="20"/>
        </w:rPr>
      </w:pPr>
      <w:r>
        <w:rPr>
          <w:rFonts w:ascii="Arial" w:eastAsia="Arial" w:hAnsi="Arial" w:cs="Arial"/>
        </w:rPr>
        <w:t>16</w:t>
      </w:r>
    </w:p>
    <w:p w14:paraId="2A2C05FC" w14:textId="77777777" w:rsidR="00D1587D" w:rsidRDefault="00410D07">
      <w:pPr>
        <w:spacing w:line="20" w:lineRule="exact"/>
        <w:rPr>
          <w:sz w:val="20"/>
          <w:szCs w:val="20"/>
        </w:rPr>
      </w:pPr>
      <w:r>
        <w:rPr>
          <w:noProof/>
          <w:sz w:val="20"/>
          <w:szCs w:val="20"/>
        </w:rPr>
        <w:drawing>
          <wp:anchor distT="0" distB="0" distL="114300" distR="114300" simplePos="0" relativeHeight="251395072" behindDoc="1" locked="0" layoutInCell="0" allowOverlap="1" wp14:anchorId="37241E0D" wp14:editId="7FA1A36C">
            <wp:simplePos x="0" y="0"/>
            <wp:positionH relativeFrom="column">
              <wp:posOffset>5080</wp:posOffset>
            </wp:positionH>
            <wp:positionV relativeFrom="paragraph">
              <wp:posOffset>41275</wp:posOffset>
            </wp:positionV>
            <wp:extent cx="7132320" cy="1714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5EE4F4A" w14:textId="77777777" w:rsidR="00D1587D" w:rsidRDefault="00D1587D">
      <w:pPr>
        <w:sectPr w:rsidR="00D1587D">
          <w:pgSz w:w="11900" w:h="16838"/>
          <w:pgMar w:top="361" w:right="339" w:bottom="1440" w:left="320" w:header="0" w:footer="0" w:gutter="0"/>
          <w:cols w:space="720" w:equalWidth="0">
            <w:col w:w="11240"/>
          </w:cols>
        </w:sectPr>
      </w:pPr>
    </w:p>
    <w:p w14:paraId="5264B34E" w14:textId="77777777" w:rsidR="00D1587D" w:rsidRDefault="00410D07">
      <w:pPr>
        <w:numPr>
          <w:ilvl w:val="0"/>
          <w:numId w:val="207"/>
        </w:numPr>
        <w:tabs>
          <w:tab w:val="left" w:pos="1618"/>
        </w:tabs>
        <w:spacing w:line="282" w:lineRule="auto"/>
        <w:ind w:right="60" w:firstLine="850"/>
        <w:rPr>
          <w:rFonts w:ascii="Arial" w:eastAsia="Arial" w:hAnsi="Arial" w:cs="Arial"/>
          <w:sz w:val="19"/>
          <w:szCs w:val="19"/>
        </w:rPr>
      </w:pPr>
      <w:bookmarkStart w:id="234" w:name="page235"/>
      <w:bookmarkEnd w:id="234"/>
      <w:r>
        <w:rPr>
          <w:rFonts w:ascii="Arial" w:eastAsia="Arial" w:hAnsi="Arial" w:cs="Arial"/>
          <w:sz w:val="19"/>
          <w:szCs w:val="19"/>
        </w:rPr>
        <w:t>The Parties further agree that all information, whether oral or written, provided in the course of any such mediation by either Party, their agents, em</w:t>
      </w:r>
      <w:r>
        <w:rPr>
          <w:rFonts w:ascii="Arial" w:eastAsia="Arial" w:hAnsi="Arial" w:cs="Arial"/>
          <w:sz w:val="19"/>
          <w:szCs w:val="19"/>
        </w:rPr>
        <w:t xml:space="preserve">ployees, experts and attorneys, and by the applicable mediator and any employees of the mediation service, is confidential, privileged, and inadmissible for any purpose, including impeachment, in any action, suit or proceeding involving the Parties; </w:t>
      </w:r>
      <w:r>
        <w:rPr>
          <w:rFonts w:ascii="Arial" w:eastAsia="Arial" w:hAnsi="Arial" w:cs="Arial"/>
          <w:i/>
          <w:iCs/>
          <w:sz w:val="19"/>
          <w:szCs w:val="19"/>
        </w:rPr>
        <w:t>provid</w:t>
      </w:r>
      <w:r>
        <w:rPr>
          <w:rFonts w:ascii="Arial" w:eastAsia="Arial" w:hAnsi="Arial" w:cs="Arial"/>
          <w:i/>
          <w:iCs/>
          <w:sz w:val="19"/>
          <w:szCs w:val="19"/>
        </w:rPr>
        <w:t>ed</w:t>
      </w:r>
      <w:r>
        <w:rPr>
          <w:rFonts w:ascii="Arial" w:eastAsia="Arial" w:hAnsi="Arial" w:cs="Arial"/>
          <w:sz w:val="19"/>
          <w:szCs w:val="19"/>
        </w:rPr>
        <w:t xml:space="preserve"> that any such information that is otherwise admissible or discoverable shall not be rendered inadmissible or non-discoverable as a result of its use in such mediation.</w:t>
      </w:r>
    </w:p>
    <w:p w14:paraId="7C3FA70D" w14:textId="77777777" w:rsidR="00D1587D" w:rsidRDefault="00D1587D">
      <w:pPr>
        <w:spacing w:line="174" w:lineRule="exact"/>
        <w:rPr>
          <w:rFonts w:ascii="Arial" w:eastAsia="Arial" w:hAnsi="Arial" w:cs="Arial"/>
          <w:sz w:val="19"/>
          <w:szCs w:val="19"/>
        </w:rPr>
      </w:pPr>
    </w:p>
    <w:p w14:paraId="30F89742" w14:textId="77777777" w:rsidR="00D1587D" w:rsidRDefault="00410D07">
      <w:pPr>
        <w:numPr>
          <w:ilvl w:val="0"/>
          <w:numId w:val="207"/>
        </w:numPr>
        <w:tabs>
          <w:tab w:val="left" w:pos="1598"/>
        </w:tabs>
        <w:spacing w:line="282" w:lineRule="auto"/>
        <w:ind w:right="140" w:firstLine="850"/>
        <w:rPr>
          <w:rFonts w:ascii="Arial" w:eastAsia="Arial" w:hAnsi="Arial" w:cs="Arial"/>
          <w:sz w:val="19"/>
          <w:szCs w:val="19"/>
        </w:rPr>
      </w:pPr>
      <w:r>
        <w:rPr>
          <w:rFonts w:ascii="Arial" w:eastAsia="Arial" w:hAnsi="Arial" w:cs="Arial"/>
          <w:sz w:val="19"/>
          <w:szCs w:val="19"/>
        </w:rPr>
        <w:t>If the Parties cannot resolve the Dispute for any reason, on and following the expir</w:t>
      </w:r>
      <w:r>
        <w:rPr>
          <w:rFonts w:ascii="Arial" w:eastAsia="Arial" w:hAnsi="Arial" w:cs="Arial"/>
          <w:sz w:val="19"/>
          <w:szCs w:val="19"/>
        </w:rPr>
        <w:t xml:space="preserve">ation of the Mediation Period, either Party may commence litigation in a court of competent jurisdiction pursuant to the provisions of </w:t>
      </w:r>
      <w:r>
        <w:rPr>
          <w:rFonts w:ascii="Arial" w:eastAsia="Arial" w:hAnsi="Arial" w:cs="Arial"/>
          <w:sz w:val="19"/>
          <w:szCs w:val="19"/>
          <w:u w:val="single"/>
        </w:rPr>
        <w:t>Section 10.08(b)</w:t>
      </w:r>
      <w:r>
        <w:rPr>
          <w:rFonts w:ascii="Arial" w:eastAsia="Arial" w:hAnsi="Arial" w:cs="Arial"/>
          <w:sz w:val="19"/>
          <w:szCs w:val="19"/>
        </w:rPr>
        <w:t>. Nothing contained in this Agreement shall deny either Party the right to seek injunctive or other equit</w:t>
      </w:r>
      <w:r>
        <w:rPr>
          <w:rFonts w:ascii="Arial" w:eastAsia="Arial" w:hAnsi="Arial" w:cs="Arial"/>
          <w:sz w:val="19"/>
          <w:szCs w:val="19"/>
        </w:rPr>
        <w:t xml:space="preserve">able relief from a court of competent jurisdiction in the context of a bona fide emergency or prospective irreparable harm, and such an action, suit or proceeding may be filed and maintained notwithstanding any ongoing efforts under this </w:t>
      </w:r>
      <w:r>
        <w:rPr>
          <w:rFonts w:ascii="Arial" w:eastAsia="Arial" w:hAnsi="Arial" w:cs="Arial"/>
          <w:sz w:val="19"/>
          <w:szCs w:val="19"/>
          <w:u w:val="single"/>
        </w:rPr>
        <w:t>Section 10.07</w:t>
      </w:r>
      <w:r>
        <w:rPr>
          <w:rFonts w:ascii="Arial" w:eastAsia="Arial" w:hAnsi="Arial" w:cs="Arial"/>
          <w:sz w:val="19"/>
          <w:szCs w:val="19"/>
        </w:rPr>
        <w:t>.</w:t>
      </w:r>
    </w:p>
    <w:p w14:paraId="4BCF8A6E" w14:textId="77777777" w:rsidR="00D1587D" w:rsidRDefault="00D1587D">
      <w:pPr>
        <w:spacing w:line="174" w:lineRule="exact"/>
        <w:rPr>
          <w:sz w:val="20"/>
          <w:szCs w:val="20"/>
        </w:rPr>
      </w:pPr>
    </w:p>
    <w:p w14:paraId="73FE746D" w14:textId="77777777" w:rsidR="00D1587D" w:rsidRDefault="00410D07">
      <w:pPr>
        <w:spacing w:line="250" w:lineRule="auto"/>
        <w:ind w:firstLine="648"/>
        <w:rPr>
          <w:sz w:val="20"/>
          <w:szCs w:val="20"/>
        </w:rPr>
      </w:pPr>
      <w:r>
        <w:rPr>
          <w:rFonts w:ascii="Arial" w:eastAsia="Arial" w:hAnsi="Arial" w:cs="Arial"/>
        </w:rPr>
        <w:t>Se</w:t>
      </w:r>
      <w:r>
        <w:rPr>
          <w:rFonts w:ascii="Arial" w:eastAsia="Arial" w:hAnsi="Arial" w:cs="Arial"/>
        </w:rPr>
        <w:t xml:space="preserve">ction 10.08. </w:t>
      </w:r>
      <w:r>
        <w:rPr>
          <w:rFonts w:ascii="Arial" w:eastAsia="Arial" w:hAnsi="Arial" w:cs="Arial"/>
          <w:i/>
          <w:iCs/>
        </w:rPr>
        <w:t>Governing Law and Jurisdiction</w:t>
      </w:r>
      <w:r>
        <w:rPr>
          <w:rFonts w:ascii="Arial" w:eastAsia="Arial" w:hAnsi="Arial" w:cs="Arial"/>
        </w:rPr>
        <w:t>. (a) This Agreement shall be governed by and construed in accordance with the laws of the State of Delaware, without regard to the conflicts of law rules of such state.</w:t>
      </w:r>
    </w:p>
    <w:p w14:paraId="03C56AF8" w14:textId="77777777" w:rsidR="00D1587D" w:rsidRDefault="00D1587D">
      <w:pPr>
        <w:spacing w:line="202" w:lineRule="exact"/>
        <w:rPr>
          <w:sz w:val="20"/>
          <w:szCs w:val="20"/>
        </w:rPr>
      </w:pPr>
    </w:p>
    <w:p w14:paraId="47A558D3" w14:textId="77777777" w:rsidR="00D1587D" w:rsidRDefault="00410D07">
      <w:pPr>
        <w:numPr>
          <w:ilvl w:val="0"/>
          <w:numId w:val="208"/>
        </w:numPr>
        <w:tabs>
          <w:tab w:val="left" w:pos="1818"/>
        </w:tabs>
        <w:spacing w:line="273" w:lineRule="auto"/>
        <w:ind w:firstLine="850"/>
        <w:jc w:val="both"/>
        <w:rPr>
          <w:rFonts w:ascii="Arial" w:eastAsia="Arial" w:hAnsi="Arial" w:cs="Arial"/>
          <w:sz w:val="19"/>
          <w:szCs w:val="19"/>
        </w:rPr>
      </w:pPr>
      <w:r>
        <w:rPr>
          <w:rFonts w:ascii="Arial" w:eastAsia="Arial" w:hAnsi="Arial" w:cs="Arial"/>
          <w:sz w:val="19"/>
          <w:szCs w:val="19"/>
        </w:rPr>
        <w:t>The Parties agree that any suit, action or proceeding seeking to enforce any provision of, or based on any matter arising out of or in connection with, this Agreement or the transactions contemplated hereby shall be brought in the Chancery Court of the Sta</w:t>
      </w:r>
      <w:r>
        <w:rPr>
          <w:rFonts w:ascii="Arial" w:eastAsia="Arial" w:hAnsi="Arial" w:cs="Arial"/>
          <w:sz w:val="19"/>
          <w:szCs w:val="19"/>
        </w:rPr>
        <w:t>te of Delaware and any state appellate court therefrom within the State of Delaware (or if the Chancery Court of the State of Delaware declines to accept jurisdiction over a particular matter, any federal or state court sitting in the State of Delaware and</w:t>
      </w:r>
      <w:r>
        <w:rPr>
          <w:rFonts w:ascii="Arial" w:eastAsia="Arial" w:hAnsi="Arial" w:cs="Arial"/>
          <w:sz w:val="19"/>
          <w:szCs w:val="19"/>
        </w:rPr>
        <w:t xml:space="preserve"> any federal or state appellate court therefrom), and each of the Parties hereby irrevocably consents to the exclusive jurisdiction of such courts in any such suit, action or proceeding and irrevocably waives, to the fullest extent permitted by law, any ob</w:t>
      </w:r>
      <w:r>
        <w:rPr>
          <w:rFonts w:ascii="Arial" w:eastAsia="Arial" w:hAnsi="Arial" w:cs="Arial"/>
          <w:sz w:val="19"/>
          <w:szCs w:val="19"/>
        </w:rPr>
        <w:t>jection that it may now or hereafter have to the laying of the venue of any such suit, action or proceeding in any such court or that any such suit, action or proceeding brought in any such court has been brought in an inconvenient forum. Process in any su</w:t>
      </w:r>
      <w:r>
        <w:rPr>
          <w:rFonts w:ascii="Arial" w:eastAsia="Arial" w:hAnsi="Arial" w:cs="Arial"/>
          <w:sz w:val="19"/>
          <w:szCs w:val="19"/>
        </w:rPr>
        <w:t xml:space="preserve">ch suit, action or proceeding may be served on either Party anywhere in the world, whether within or without the jurisdiction of any such court. Without limiting the foregoing, each Party hereto agrees that service of process on such Party as provided in </w:t>
      </w:r>
      <w:r>
        <w:rPr>
          <w:rFonts w:ascii="Arial" w:eastAsia="Arial" w:hAnsi="Arial" w:cs="Arial"/>
          <w:sz w:val="19"/>
          <w:szCs w:val="19"/>
          <w:u w:val="single"/>
        </w:rPr>
        <w:t>S</w:t>
      </w:r>
      <w:r>
        <w:rPr>
          <w:rFonts w:ascii="Arial" w:eastAsia="Arial" w:hAnsi="Arial" w:cs="Arial"/>
          <w:sz w:val="19"/>
          <w:szCs w:val="19"/>
          <w:u w:val="single"/>
        </w:rPr>
        <w:t>ection 10.05</w:t>
      </w:r>
      <w:r>
        <w:rPr>
          <w:rFonts w:ascii="Arial" w:eastAsia="Arial" w:hAnsi="Arial" w:cs="Arial"/>
          <w:sz w:val="19"/>
          <w:szCs w:val="19"/>
        </w:rPr>
        <w:t xml:space="preserve"> shall be deemed effective service of process on such Party.</w:t>
      </w:r>
    </w:p>
    <w:p w14:paraId="2D4D815A" w14:textId="77777777" w:rsidR="00D1587D" w:rsidRDefault="00D1587D">
      <w:pPr>
        <w:spacing w:line="182" w:lineRule="exact"/>
        <w:rPr>
          <w:sz w:val="20"/>
          <w:szCs w:val="20"/>
        </w:rPr>
      </w:pPr>
    </w:p>
    <w:p w14:paraId="1168265A" w14:textId="77777777" w:rsidR="00D1587D" w:rsidRDefault="00410D07">
      <w:pPr>
        <w:ind w:firstLine="648"/>
        <w:jc w:val="both"/>
        <w:rPr>
          <w:sz w:val="20"/>
          <w:szCs w:val="20"/>
        </w:rPr>
      </w:pPr>
      <w:r>
        <w:rPr>
          <w:rFonts w:ascii="Arial" w:eastAsia="Arial" w:hAnsi="Arial" w:cs="Arial"/>
        </w:rPr>
        <w:t xml:space="preserve">Section 10.09. </w:t>
      </w:r>
      <w:r>
        <w:rPr>
          <w:rFonts w:ascii="Arial" w:eastAsia="Arial" w:hAnsi="Arial" w:cs="Arial"/>
          <w:i/>
          <w:iCs/>
        </w:rPr>
        <w:t>Waiver of Jury Trial</w:t>
      </w:r>
      <w:r>
        <w:rPr>
          <w:rFonts w:ascii="Arial" w:eastAsia="Arial" w:hAnsi="Arial" w:cs="Arial"/>
        </w:rPr>
        <w:t>. EACH OF THE PARTIES HERETO HEREBY IRREVOCABLY WAIVES ANY AND ALL RIGHT TO TRIAL BY JURY IN ANY LEGAL PROCEEDING ARISING OUT OF OR RELATED TO THIS</w:t>
      </w:r>
      <w:r>
        <w:rPr>
          <w:rFonts w:ascii="Arial" w:eastAsia="Arial" w:hAnsi="Arial" w:cs="Arial"/>
        </w:rPr>
        <w:t xml:space="preserve"> AGREEMENT OR THE TRANSACTIONS CONTEMPLATED HEREBY.</w:t>
      </w:r>
    </w:p>
    <w:p w14:paraId="6393F733" w14:textId="77777777" w:rsidR="00D1587D" w:rsidRDefault="00D1587D">
      <w:pPr>
        <w:spacing w:line="213" w:lineRule="exact"/>
        <w:rPr>
          <w:sz w:val="20"/>
          <w:szCs w:val="20"/>
        </w:rPr>
      </w:pPr>
    </w:p>
    <w:p w14:paraId="3E7F5BAF" w14:textId="77777777" w:rsidR="00D1587D" w:rsidRDefault="00410D07">
      <w:pPr>
        <w:spacing w:line="245" w:lineRule="auto"/>
        <w:ind w:firstLine="648"/>
        <w:jc w:val="both"/>
        <w:rPr>
          <w:sz w:val="20"/>
          <w:szCs w:val="20"/>
        </w:rPr>
      </w:pPr>
      <w:r>
        <w:rPr>
          <w:rFonts w:ascii="Arial" w:eastAsia="Arial" w:hAnsi="Arial" w:cs="Arial"/>
          <w:sz w:val="21"/>
          <w:szCs w:val="21"/>
        </w:rPr>
        <w:t xml:space="preserve">Section 10.10. </w:t>
      </w:r>
      <w:r>
        <w:rPr>
          <w:rFonts w:ascii="Arial" w:eastAsia="Arial" w:hAnsi="Arial" w:cs="Arial"/>
          <w:i/>
          <w:iCs/>
          <w:sz w:val="21"/>
          <w:szCs w:val="21"/>
        </w:rPr>
        <w:t>Specific Performance</w:t>
      </w:r>
      <w:r>
        <w:rPr>
          <w:rFonts w:ascii="Arial" w:eastAsia="Arial" w:hAnsi="Arial" w:cs="Arial"/>
          <w:sz w:val="21"/>
          <w:szCs w:val="21"/>
        </w:rPr>
        <w:t xml:space="preserve">. The Parties acknowledge and agree that damages for a breach or threatened breach of any of the provisions of this Agreement would be inadequate and </w:t>
      </w:r>
      <w:r>
        <w:rPr>
          <w:rFonts w:ascii="Arial" w:eastAsia="Arial" w:hAnsi="Arial" w:cs="Arial"/>
          <w:sz w:val="21"/>
          <w:szCs w:val="21"/>
        </w:rPr>
        <w:t>irreparable harm would occur. In recognition of this fact, each Party agrees that, if there is a breach or threatened breach, in addition to any damages, the other non-breaching Party to this Agreement, without posting any bond, shall be entitled to seek a</w:t>
      </w:r>
      <w:r>
        <w:rPr>
          <w:rFonts w:ascii="Arial" w:eastAsia="Arial" w:hAnsi="Arial" w:cs="Arial"/>
          <w:sz w:val="21"/>
          <w:szCs w:val="21"/>
        </w:rPr>
        <w:t>nd obtain equitable relief in the form of specific performance, temporary restraining order, temporary or permanent injunction, attachment, or any other equitable remedy which may then be available to obligate the breaching Party (i) to perform its obligat</w:t>
      </w:r>
      <w:r>
        <w:rPr>
          <w:rFonts w:ascii="Arial" w:eastAsia="Arial" w:hAnsi="Arial" w:cs="Arial"/>
          <w:sz w:val="21"/>
          <w:szCs w:val="21"/>
        </w:rPr>
        <w:t xml:space="preserve">ions under this Agreement or (ii) if the breaching Party is unable, for whatever reason, to perform those obligations, to take any other actions as are necessary, advisable or appropriate to give the other Party to this Agreement the economic effect which </w:t>
      </w:r>
      <w:r>
        <w:rPr>
          <w:rFonts w:ascii="Arial" w:eastAsia="Arial" w:hAnsi="Arial" w:cs="Arial"/>
          <w:sz w:val="21"/>
          <w:szCs w:val="21"/>
        </w:rPr>
        <w:t>comes as close as possible to the performance of those obligations.</w:t>
      </w:r>
    </w:p>
    <w:p w14:paraId="36ED2197" w14:textId="77777777" w:rsidR="00D1587D" w:rsidRDefault="00D1587D">
      <w:pPr>
        <w:spacing w:line="387" w:lineRule="exact"/>
        <w:rPr>
          <w:sz w:val="20"/>
          <w:szCs w:val="20"/>
        </w:rPr>
      </w:pPr>
    </w:p>
    <w:p w14:paraId="422E6F9A" w14:textId="77777777" w:rsidR="00D1587D" w:rsidRDefault="00410D07">
      <w:pPr>
        <w:jc w:val="center"/>
        <w:rPr>
          <w:sz w:val="20"/>
          <w:szCs w:val="20"/>
        </w:rPr>
      </w:pPr>
      <w:r>
        <w:rPr>
          <w:rFonts w:ascii="Arial" w:eastAsia="Arial" w:hAnsi="Arial" w:cs="Arial"/>
        </w:rPr>
        <w:t>17</w:t>
      </w:r>
    </w:p>
    <w:p w14:paraId="0A7C474F" w14:textId="77777777" w:rsidR="00D1587D" w:rsidRDefault="00410D07">
      <w:pPr>
        <w:spacing w:line="20" w:lineRule="exact"/>
        <w:rPr>
          <w:sz w:val="20"/>
          <w:szCs w:val="20"/>
        </w:rPr>
      </w:pPr>
      <w:r>
        <w:rPr>
          <w:noProof/>
          <w:sz w:val="20"/>
          <w:szCs w:val="20"/>
        </w:rPr>
        <w:drawing>
          <wp:anchor distT="0" distB="0" distL="114300" distR="114300" simplePos="0" relativeHeight="251396096" behindDoc="1" locked="0" layoutInCell="0" allowOverlap="1" wp14:anchorId="77076A1B" wp14:editId="727E8205">
            <wp:simplePos x="0" y="0"/>
            <wp:positionH relativeFrom="column">
              <wp:posOffset>5080</wp:posOffset>
            </wp:positionH>
            <wp:positionV relativeFrom="paragraph">
              <wp:posOffset>41275</wp:posOffset>
            </wp:positionV>
            <wp:extent cx="7132320" cy="1714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CC84570" w14:textId="77777777" w:rsidR="00D1587D" w:rsidRDefault="00D1587D">
      <w:pPr>
        <w:sectPr w:rsidR="00D1587D">
          <w:pgSz w:w="11900" w:h="16838"/>
          <w:pgMar w:top="361" w:right="339" w:bottom="1440" w:left="320" w:header="0" w:footer="0" w:gutter="0"/>
          <w:cols w:space="720" w:equalWidth="0">
            <w:col w:w="11240"/>
          </w:cols>
        </w:sectPr>
      </w:pPr>
    </w:p>
    <w:p w14:paraId="0A1CCC2E" w14:textId="77777777" w:rsidR="00D1587D" w:rsidRDefault="00410D07">
      <w:pPr>
        <w:spacing w:line="277" w:lineRule="auto"/>
        <w:ind w:firstLine="648"/>
        <w:jc w:val="both"/>
        <w:rPr>
          <w:sz w:val="20"/>
          <w:szCs w:val="20"/>
        </w:rPr>
      </w:pPr>
      <w:bookmarkStart w:id="235" w:name="page236"/>
      <w:bookmarkEnd w:id="235"/>
      <w:r>
        <w:rPr>
          <w:rFonts w:ascii="Arial" w:eastAsia="Arial" w:hAnsi="Arial" w:cs="Arial"/>
          <w:sz w:val="19"/>
          <w:szCs w:val="19"/>
        </w:rPr>
        <w:t xml:space="preserve">Section 10.11. </w:t>
      </w:r>
      <w:r>
        <w:rPr>
          <w:rFonts w:ascii="Arial" w:eastAsia="Arial" w:hAnsi="Arial" w:cs="Arial"/>
          <w:i/>
          <w:iCs/>
          <w:sz w:val="19"/>
          <w:szCs w:val="19"/>
        </w:rPr>
        <w:t>Severability</w:t>
      </w:r>
      <w:r>
        <w:rPr>
          <w:rFonts w:ascii="Arial" w:eastAsia="Arial" w:hAnsi="Arial" w:cs="Arial"/>
          <w:sz w:val="19"/>
          <w:szCs w:val="19"/>
        </w:rPr>
        <w:t xml:space="preserve">. If any term, provision, covenant or restriction of this Agreement is held by a court of competent jurisdiction or other Governmental </w:t>
      </w:r>
      <w:r>
        <w:rPr>
          <w:rFonts w:ascii="Arial" w:eastAsia="Arial" w:hAnsi="Arial" w:cs="Arial"/>
          <w:sz w:val="19"/>
          <w:szCs w:val="19"/>
        </w:rPr>
        <w:t>Authority to be invalid, void or unenforceable, the remainder of the terms, provisions, covenants and restrictions of this Agreement shall remain in full force and effect and shall in no way be affected, impaired or invalidated so long as the economic or l</w:t>
      </w:r>
      <w:r>
        <w:rPr>
          <w:rFonts w:ascii="Arial" w:eastAsia="Arial" w:hAnsi="Arial" w:cs="Arial"/>
          <w:sz w:val="19"/>
          <w:szCs w:val="19"/>
        </w:rPr>
        <w:t>egal substance of the transactions contemplated hereby is not affected in any manner materially adverse to any Party hereto. Upon such a determination, the Parties shall negotiate in good faith to modify this Agreement so as to effect the original intent o</w:t>
      </w:r>
      <w:r>
        <w:rPr>
          <w:rFonts w:ascii="Arial" w:eastAsia="Arial" w:hAnsi="Arial" w:cs="Arial"/>
          <w:sz w:val="19"/>
          <w:szCs w:val="19"/>
        </w:rPr>
        <w:t>f the Parties as closely as possible in an acceptable manner in order that the transactions contemplated hereby be consummated as originally contemplated to the fullest extent possible.</w:t>
      </w:r>
    </w:p>
    <w:p w14:paraId="0DD1C92C" w14:textId="77777777" w:rsidR="00D1587D" w:rsidRDefault="00D1587D">
      <w:pPr>
        <w:spacing w:line="179" w:lineRule="exact"/>
        <w:rPr>
          <w:sz w:val="20"/>
          <w:szCs w:val="20"/>
        </w:rPr>
      </w:pPr>
    </w:p>
    <w:p w14:paraId="441F42E6" w14:textId="77777777" w:rsidR="00D1587D" w:rsidRDefault="00410D07">
      <w:pPr>
        <w:spacing w:line="245" w:lineRule="auto"/>
        <w:ind w:firstLine="648"/>
        <w:jc w:val="both"/>
        <w:rPr>
          <w:sz w:val="20"/>
          <w:szCs w:val="20"/>
        </w:rPr>
      </w:pPr>
      <w:r>
        <w:rPr>
          <w:rFonts w:ascii="Arial" w:eastAsia="Arial" w:hAnsi="Arial" w:cs="Arial"/>
          <w:sz w:val="21"/>
          <w:szCs w:val="21"/>
        </w:rPr>
        <w:t xml:space="preserve">Section 10.12. </w:t>
      </w:r>
      <w:r>
        <w:rPr>
          <w:rFonts w:ascii="Arial" w:eastAsia="Arial" w:hAnsi="Arial" w:cs="Arial"/>
          <w:i/>
          <w:iCs/>
          <w:sz w:val="21"/>
          <w:szCs w:val="21"/>
        </w:rPr>
        <w:t>Counterparts; Effectiveness; Third-Party Beneficiaries</w:t>
      </w:r>
      <w:r>
        <w:rPr>
          <w:rFonts w:ascii="Arial" w:eastAsia="Arial" w:hAnsi="Arial" w:cs="Arial"/>
          <w:sz w:val="21"/>
          <w:szCs w:val="21"/>
        </w:rPr>
        <w:t>. This Agreement may be executed in any number of counterparts, each of which when executed by the Parties shall be deemed an original, with the same effect as if the signatures thereto and hereto were upon the same instrument, and all of which together sh</w:t>
      </w:r>
      <w:r>
        <w:rPr>
          <w:rFonts w:ascii="Arial" w:eastAsia="Arial" w:hAnsi="Arial" w:cs="Arial"/>
          <w:sz w:val="21"/>
          <w:szCs w:val="21"/>
        </w:rPr>
        <w:t>all be deemed the same Agreement. This Agreement shall become effective when each Party shall have received a counterpart hereof signed by the other Party. Until and unless each Party has received a counterpart hereof signed by the other Party, this Agreem</w:t>
      </w:r>
      <w:r>
        <w:rPr>
          <w:rFonts w:ascii="Arial" w:eastAsia="Arial" w:hAnsi="Arial" w:cs="Arial"/>
          <w:sz w:val="21"/>
          <w:szCs w:val="21"/>
        </w:rPr>
        <w:t xml:space="preserve">ent shall have no effect and no Party shall have any right or obligation hereunder (whether by virtue of any other oral or written agreement or other communication). Except for the indemnification and release provisions of </w:t>
      </w:r>
      <w:r>
        <w:rPr>
          <w:rFonts w:ascii="Arial" w:eastAsia="Arial" w:hAnsi="Arial" w:cs="Arial"/>
          <w:sz w:val="21"/>
          <w:szCs w:val="21"/>
          <w:u w:val="single"/>
        </w:rPr>
        <w:t>Article 7</w:t>
      </w:r>
      <w:r>
        <w:rPr>
          <w:rFonts w:ascii="Arial" w:eastAsia="Arial" w:hAnsi="Arial" w:cs="Arial"/>
          <w:sz w:val="21"/>
          <w:szCs w:val="21"/>
        </w:rPr>
        <w:t>, neither this Agreement</w:t>
      </w:r>
      <w:r>
        <w:rPr>
          <w:rFonts w:ascii="Arial" w:eastAsia="Arial" w:hAnsi="Arial" w:cs="Arial"/>
          <w:sz w:val="21"/>
          <w:szCs w:val="21"/>
        </w:rPr>
        <w:t xml:space="preserve"> nor any provision hereof is intended to confer any rights, benefits, remedies, obligations or liabilities hereunder upon any person other than the Parties and their respective successors and assigns.</w:t>
      </w:r>
    </w:p>
    <w:p w14:paraId="7E5647F2" w14:textId="77777777" w:rsidR="00D1587D" w:rsidRDefault="00D1587D">
      <w:pPr>
        <w:spacing w:line="211" w:lineRule="exact"/>
        <w:rPr>
          <w:sz w:val="20"/>
          <w:szCs w:val="20"/>
        </w:rPr>
      </w:pPr>
    </w:p>
    <w:p w14:paraId="4F12F950" w14:textId="77777777" w:rsidR="00D1587D" w:rsidRDefault="00410D07">
      <w:pPr>
        <w:spacing w:line="277" w:lineRule="auto"/>
        <w:ind w:firstLine="648"/>
        <w:jc w:val="both"/>
        <w:rPr>
          <w:sz w:val="20"/>
          <w:szCs w:val="20"/>
        </w:rPr>
      </w:pPr>
      <w:r>
        <w:rPr>
          <w:rFonts w:ascii="Arial" w:eastAsia="Arial" w:hAnsi="Arial" w:cs="Arial"/>
          <w:sz w:val="19"/>
          <w:szCs w:val="19"/>
        </w:rPr>
        <w:t xml:space="preserve">Section 10.13. </w:t>
      </w:r>
      <w:r>
        <w:rPr>
          <w:rFonts w:ascii="Arial" w:eastAsia="Arial" w:hAnsi="Arial" w:cs="Arial"/>
          <w:i/>
          <w:iCs/>
          <w:sz w:val="19"/>
          <w:szCs w:val="19"/>
        </w:rPr>
        <w:t>Assignment</w:t>
      </w:r>
      <w:r>
        <w:rPr>
          <w:rFonts w:ascii="Arial" w:eastAsia="Arial" w:hAnsi="Arial" w:cs="Arial"/>
          <w:sz w:val="19"/>
          <w:szCs w:val="19"/>
        </w:rPr>
        <w:t xml:space="preserve">. Neither this Agreement nor </w:t>
      </w:r>
      <w:r>
        <w:rPr>
          <w:rFonts w:ascii="Arial" w:eastAsia="Arial" w:hAnsi="Arial" w:cs="Arial"/>
          <w:sz w:val="19"/>
          <w:szCs w:val="19"/>
        </w:rPr>
        <w:t>any right, remedy, obligations or liability arising hereunder or by reason hereof nor any of the documents executed in connection herewith may be assigned by any Party without the prior written consent of the other Party, which consent may be granted or wi</w:t>
      </w:r>
      <w:r>
        <w:rPr>
          <w:rFonts w:ascii="Arial" w:eastAsia="Arial" w:hAnsi="Arial" w:cs="Arial"/>
          <w:sz w:val="19"/>
          <w:szCs w:val="19"/>
        </w:rPr>
        <w:t>thheld in the sole discretion of such other Party. Notwithstanding the foregoing, either Party may assign or transfer this Agreement and all of its rights and obligations hereunder to an Affiliate or to any third party that acquires all or substantially al</w:t>
      </w:r>
      <w:r>
        <w:rPr>
          <w:rFonts w:ascii="Arial" w:eastAsia="Arial" w:hAnsi="Arial" w:cs="Arial"/>
          <w:sz w:val="19"/>
          <w:szCs w:val="19"/>
        </w:rPr>
        <w:t xml:space="preserve">l of such Party’s assets or business to which this Agreement relates (whether by sale of assets, stock, merger, consolidation, reorganization or otherwise); </w:t>
      </w:r>
      <w:r>
        <w:rPr>
          <w:rFonts w:ascii="Arial" w:eastAsia="Arial" w:hAnsi="Arial" w:cs="Arial"/>
          <w:i/>
          <w:iCs/>
          <w:sz w:val="19"/>
          <w:szCs w:val="19"/>
        </w:rPr>
        <w:t>provided</w:t>
      </w:r>
      <w:r>
        <w:rPr>
          <w:rFonts w:ascii="Arial" w:eastAsia="Arial" w:hAnsi="Arial" w:cs="Arial"/>
          <w:sz w:val="19"/>
          <w:szCs w:val="19"/>
        </w:rPr>
        <w:t xml:space="preserve"> that this Agreement and the Services shall not apply to any other business of such third p</w:t>
      </w:r>
      <w:r>
        <w:rPr>
          <w:rFonts w:ascii="Arial" w:eastAsia="Arial" w:hAnsi="Arial" w:cs="Arial"/>
          <w:sz w:val="19"/>
          <w:szCs w:val="19"/>
        </w:rPr>
        <w:t>arty acquirer.</w:t>
      </w:r>
    </w:p>
    <w:p w14:paraId="25F34935" w14:textId="77777777" w:rsidR="00D1587D" w:rsidRDefault="00D1587D">
      <w:pPr>
        <w:spacing w:line="179" w:lineRule="exact"/>
        <w:rPr>
          <w:sz w:val="20"/>
          <w:szCs w:val="20"/>
        </w:rPr>
      </w:pPr>
    </w:p>
    <w:p w14:paraId="014C3340" w14:textId="77777777" w:rsidR="00D1587D" w:rsidRDefault="00410D07">
      <w:pPr>
        <w:spacing w:line="328" w:lineRule="auto"/>
        <w:ind w:firstLine="648"/>
        <w:jc w:val="both"/>
        <w:rPr>
          <w:sz w:val="20"/>
          <w:szCs w:val="20"/>
        </w:rPr>
      </w:pPr>
      <w:r>
        <w:rPr>
          <w:rFonts w:ascii="Arial" w:eastAsia="Arial" w:hAnsi="Arial" w:cs="Arial"/>
          <w:sz w:val="19"/>
          <w:szCs w:val="19"/>
        </w:rPr>
        <w:t xml:space="preserve">Section 10.14. </w:t>
      </w:r>
      <w:r>
        <w:rPr>
          <w:rFonts w:ascii="Arial" w:eastAsia="Arial" w:hAnsi="Arial" w:cs="Arial"/>
          <w:i/>
          <w:iCs/>
          <w:sz w:val="19"/>
          <w:szCs w:val="19"/>
        </w:rPr>
        <w:t>Authorization</w:t>
      </w:r>
      <w:r>
        <w:rPr>
          <w:rFonts w:ascii="Arial" w:eastAsia="Arial" w:hAnsi="Arial" w:cs="Arial"/>
          <w:sz w:val="19"/>
          <w:szCs w:val="19"/>
        </w:rPr>
        <w:t>. It is agreed and warranted by the Parties that the persons signing this Agreement respectively for VS and Service Provider are the authorized representatives to sign this Agreement on behalf of each such Party.</w:t>
      </w:r>
    </w:p>
    <w:p w14:paraId="6356CC2E" w14:textId="77777777" w:rsidR="00D1587D" w:rsidRDefault="00D1587D">
      <w:pPr>
        <w:spacing w:line="132" w:lineRule="exact"/>
        <w:rPr>
          <w:sz w:val="20"/>
          <w:szCs w:val="20"/>
        </w:rPr>
      </w:pPr>
    </w:p>
    <w:p w14:paraId="13E3E7D1" w14:textId="77777777" w:rsidR="00D1587D" w:rsidRDefault="00410D07">
      <w:pPr>
        <w:spacing w:line="269" w:lineRule="auto"/>
        <w:ind w:firstLine="648"/>
        <w:jc w:val="both"/>
        <w:rPr>
          <w:sz w:val="20"/>
          <w:szCs w:val="20"/>
        </w:rPr>
      </w:pPr>
      <w:r>
        <w:rPr>
          <w:rFonts w:ascii="Arial" w:eastAsia="Arial" w:hAnsi="Arial" w:cs="Arial"/>
          <w:sz w:val="19"/>
          <w:szCs w:val="19"/>
        </w:rPr>
        <w:t xml:space="preserve">Section 10.15. </w:t>
      </w:r>
      <w:r>
        <w:rPr>
          <w:rFonts w:ascii="Arial" w:eastAsia="Arial" w:hAnsi="Arial" w:cs="Arial"/>
          <w:i/>
          <w:iCs/>
          <w:sz w:val="19"/>
          <w:szCs w:val="19"/>
        </w:rPr>
        <w:t>Headings; Interpretation and Construction</w:t>
      </w:r>
      <w:r>
        <w:rPr>
          <w:rFonts w:ascii="Arial" w:eastAsia="Arial" w:hAnsi="Arial" w:cs="Arial"/>
          <w:sz w:val="19"/>
          <w:szCs w:val="19"/>
        </w:rPr>
        <w:t xml:space="preserve">. The captions and headings to Sections of this Agreement are inserted for convenience of reference only and in no way define, limit or describe the scope of this Agreement or the meaning of any </w:t>
      </w:r>
      <w:r>
        <w:rPr>
          <w:rFonts w:ascii="Arial" w:eastAsia="Arial" w:hAnsi="Arial" w:cs="Arial"/>
          <w:sz w:val="19"/>
          <w:szCs w:val="19"/>
        </w:rPr>
        <w:t>provisions of this Agreement. The words “include,” “includes,” “including” and “such as” are deemed to be followed by the phrase “, without limitation,” whether or not they are in fact followed by those words or words of like import. The words “hereof,” “h</w:t>
      </w:r>
      <w:r>
        <w:rPr>
          <w:rFonts w:ascii="Arial" w:eastAsia="Arial" w:hAnsi="Arial" w:cs="Arial"/>
          <w:sz w:val="19"/>
          <w:szCs w:val="19"/>
        </w:rPr>
        <w:t>erein” and “hereunder” and words of like import used in this Agreement shall refer to this Agreement as a whole and not to any particular provision of this Agreement. All references to “$” or “dollars” shall be to United States dollars, and whenever conver</w:t>
      </w:r>
      <w:r>
        <w:rPr>
          <w:rFonts w:ascii="Arial" w:eastAsia="Arial" w:hAnsi="Arial" w:cs="Arial"/>
          <w:sz w:val="19"/>
          <w:szCs w:val="19"/>
        </w:rPr>
        <w:t>sion of values to or from any currency other than U.S. dollars for a particular date shall be required, such conversion shall be made using the closing rate provided by Bloomberg as of the date that is one (1) business day prior to such date. All reference</w:t>
      </w:r>
      <w:r>
        <w:rPr>
          <w:rFonts w:ascii="Arial" w:eastAsia="Arial" w:hAnsi="Arial" w:cs="Arial"/>
          <w:sz w:val="19"/>
          <w:szCs w:val="19"/>
        </w:rPr>
        <w:t xml:space="preserve">s to “days” shall be to calendar days unless otherwise specified. Any reference to the masculine, feminine or neuter gender shall include such other genders, and references to the singular or plural shall include the other, in each case unless the context </w:t>
      </w:r>
      <w:r>
        <w:rPr>
          <w:rFonts w:ascii="Arial" w:eastAsia="Arial" w:hAnsi="Arial" w:cs="Arial"/>
          <w:sz w:val="19"/>
          <w:szCs w:val="19"/>
        </w:rPr>
        <w:t xml:space="preserve">otherwise requires. “Writing,” “written” and comparable terms refer to printing, typing and other means of reproducing words (including electronic media) in a visible form. References to any statute shall be deemed to refer to such statute as amended from </w:t>
      </w:r>
      <w:r>
        <w:rPr>
          <w:rFonts w:ascii="Arial" w:eastAsia="Arial" w:hAnsi="Arial" w:cs="Arial"/>
          <w:sz w:val="19"/>
          <w:szCs w:val="19"/>
        </w:rPr>
        <w:t>time to time and to any rules or regulations promulgated thereunder. References to any agreement or contract are to that agreement or contract as amended, modified or supplemented from time to time in accordance with the terms hereof and thereof. Reference</w:t>
      </w:r>
      <w:r>
        <w:rPr>
          <w:rFonts w:ascii="Arial" w:eastAsia="Arial" w:hAnsi="Arial" w:cs="Arial"/>
          <w:sz w:val="19"/>
          <w:szCs w:val="19"/>
        </w:rPr>
        <w:t>s to any Person include the successors and permitted assigns of that Person. References from or through any date mean, unless otherwise specified, from and including or through and including, respectively. References to “law,” “laws” or to a particular sta</w:t>
      </w:r>
      <w:r>
        <w:rPr>
          <w:rFonts w:ascii="Arial" w:eastAsia="Arial" w:hAnsi="Arial" w:cs="Arial"/>
          <w:sz w:val="19"/>
          <w:szCs w:val="19"/>
        </w:rPr>
        <w:t>tute or law shall be deemed also to include any and all Applicable Law. The word “or” means “and/or” unless the context provides otherwise. References to Sections and Schedules are to Sections and Schedules of this Agreement unless otherwise specified. The</w:t>
      </w:r>
      <w:r>
        <w:rPr>
          <w:rFonts w:ascii="Arial" w:eastAsia="Arial" w:hAnsi="Arial" w:cs="Arial"/>
          <w:sz w:val="19"/>
          <w:szCs w:val="19"/>
        </w:rPr>
        <w:t xml:space="preserve"> Schedules hereto shall be deemed to be incorporated in, and an integral part of, this Agreement. Any capitalized terms used in any Schedule but not otherwise defined therein, shall have the meaning as defined in this Agreement. In the event of any conflic</w:t>
      </w:r>
      <w:r>
        <w:rPr>
          <w:rFonts w:ascii="Arial" w:eastAsia="Arial" w:hAnsi="Arial" w:cs="Arial"/>
          <w:sz w:val="19"/>
          <w:szCs w:val="19"/>
        </w:rPr>
        <w:t>t or inconsistency between the terms and conditions of this Agreement and the terms and conditions of any of the Schedules, the terms and conditions of the Schedules shall prevail to resolve any inconsistency.</w:t>
      </w:r>
    </w:p>
    <w:p w14:paraId="2940F978" w14:textId="77777777" w:rsidR="00D1587D" w:rsidRDefault="00D1587D">
      <w:pPr>
        <w:spacing w:line="201" w:lineRule="exact"/>
        <w:rPr>
          <w:sz w:val="20"/>
          <w:szCs w:val="20"/>
        </w:rPr>
      </w:pPr>
    </w:p>
    <w:p w14:paraId="3CAF4171" w14:textId="77777777" w:rsidR="00D1587D" w:rsidRDefault="00410D07">
      <w:pPr>
        <w:jc w:val="center"/>
        <w:rPr>
          <w:sz w:val="20"/>
          <w:szCs w:val="20"/>
        </w:rPr>
      </w:pPr>
      <w:r>
        <w:rPr>
          <w:rFonts w:ascii="Arial" w:eastAsia="Arial" w:hAnsi="Arial" w:cs="Arial"/>
        </w:rPr>
        <w:t>[</w:t>
      </w:r>
      <w:r>
        <w:rPr>
          <w:rFonts w:ascii="Arial" w:eastAsia="Arial" w:hAnsi="Arial" w:cs="Arial"/>
          <w:i/>
          <w:iCs/>
        </w:rPr>
        <w:t>Signature Page Follows</w:t>
      </w:r>
      <w:r>
        <w:rPr>
          <w:rFonts w:ascii="Arial" w:eastAsia="Arial" w:hAnsi="Arial" w:cs="Arial"/>
        </w:rPr>
        <w:t>]</w:t>
      </w:r>
    </w:p>
    <w:p w14:paraId="2A6E6584" w14:textId="77777777" w:rsidR="00D1587D" w:rsidRDefault="00D1587D">
      <w:pPr>
        <w:sectPr w:rsidR="00D1587D">
          <w:pgSz w:w="11900" w:h="16838"/>
          <w:pgMar w:top="361" w:right="339" w:bottom="1440" w:left="320" w:header="0" w:footer="0" w:gutter="0"/>
          <w:cols w:space="720" w:equalWidth="0">
            <w:col w:w="11240"/>
          </w:cols>
        </w:sectPr>
      </w:pPr>
    </w:p>
    <w:p w14:paraId="68394E25" w14:textId="77777777" w:rsidR="00D1587D" w:rsidRDefault="00D1587D">
      <w:pPr>
        <w:spacing w:line="200" w:lineRule="exact"/>
        <w:rPr>
          <w:sz w:val="20"/>
          <w:szCs w:val="20"/>
        </w:rPr>
      </w:pPr>
    </w:p>
    <w:p w14:paraId="7977CF6F" w14:textId="77777777" w:rsidR="00D1587D" w:rsidRDefault="00D1587D">
      <w:pPr>
        <w:spacing w:line="209" w:lineRule="exact"/>
        <w:rPr>
          <w:sz w:val="20"/>
          <w:szCs w:val="20"/>
        </w:rPr>
      </w:pPr>
    </w:p>
    <w:p w14:paraId="045DC80B" w14:textId="77777777" w:rsidR="00D1587D" w:rsidRDefault="00410D07">
      <w:pPr>
        <w:ind w:right="-19"/>
        <w:jc w:val="center"/>
        <w:rPr>
          <w:sz w:val="20"/>
          <w:szCs w:val="20"/>
        </w:rPr>
      </w:pPr>
      <w:r>
        <w:rPr>
          <w:rFonts w:ascii="Arial" w:eastAsia="Arial" w:hAnsi="Arial" w:cs="Arial"/>
          <w:sz w:val="19"/>
          <w:szCs w:val="19"/>
        </w:rPr>
        <w:t>18</w:t>
      </w:r>
    </w:p>
    <w:p w14:paraId="1CD00512" w14:textId="77777777" w:rsidR="00D1587D" w:rsidRDefault="00410D07">
      <w:pPr>
        <w:spacing w:line="20" w:lineRule="exact"/>
        <w:rPr>
          <w:sz w:val="20"/>
          <w:szCs w:val="20"/>
        </w:rPr>
      </w:pPr>
      <w:r>
        <w:rPr>
          <w:noProof/>
          <w:sz w:val="20"/>
          <w:szCs w:val="20"/>
        </w:rPr>
        <w:drawing>
          <wp:anchor distT="0" distB="0" distL="114300" distR="114300" simplePos="0" relativeHeight="251397120" behindDoc="1" locked="0" layoutInCell="0" allowOverlap="1" wp14:anchorId="7A4EEF87" wp14:editId="4147F5AB">
            <wp:simplePos x="0" y="0"/>
            <wp:positionH relativeFrom="column">
              <wp:posOffset>5080</wp:posOffset>
            </wp:positionH>
            <wp:positionV relativeFrom="paragraph">
              <wp:posOffset>63500</wp:posOffset>
            </wp:positionV>
            <wp:extent cx="7132320" cy="1714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35F4A6B" w14:textId="77777777" w:rsidR="00D1587D" w:rsidRDefault="00D1587D">
      <w:pPr>
        <w:sectPr w:rsidR="00D1587D">
          <w:type w:val="continuous"/>
          <w:pgSz w:w="11900" w:h="16838"/>
          <w:pgMar w:top="361" w:right="339" w:bottom="1440" w:left="320" w:header="0" w:footer="0" w:gutter="0"/>
          <w:cols w:space="720" w:equalWidth="0">
            <w:col w:w="11240"/>
          </w:cols>
        </w:sectPr>
      </w:pPr>
    </w:p>
    <w:p w14:paraId="29B6E4A2" w14:textId="77777777" w:rsidR="00D1587D" w:rsidRDefault="00410D07">
      <w:pPr>
        <w:rPr>
          <w:sz w:val="20"/>
          <w:szCs w:val="20"/>
        </w:rPr>
      </w:pPr>
      <w:bookmarkStart w:id="236" w:name="page237"/>
      <w:bookmarkEnd w:id="236"/>
      <w:r>
        <w:rPr>
          <w:rFonts w:ascii="Arial" w:eastAsia="Arial" w:hAnsi="Arial" w:cs="Arial"/>
          <w:sz w:val="19"/>
          <w:szCs w:val="19"/>
        </w:rPr>
        <w:t>The Parties have duly executed this Agreement by their authorized representatives as of the Effective Date.</w:t>
      </w:r>
    </w:p>
    <w:p w14:paraId="686DD4C5" w14:textId="77777777" w:rsidR="00D1587D" w:rsidRDefault="00D1587D">
      <w:pPr>
        <w:spacing w:line="271" w:lineRule="exact"/>
        <w:rPr>
          <w:sz w:val="20"/>
          <w:szCs w:val="20"/>
        </w:rPr>
      </w:pPr>
    </w:p>
    <w:p w14:paraId="58887310" w14:textId="77777777" w:rsidR="00D1587D" w:rsidRDefault="00410D07">
      <w:pPr>
        <w:ind w:left="4980"/>
        <w:rPr>
          <w:sz w:val="20"/>
          <w:szCs w:val="20"/>
        </w:rPr>
      </w:pPr>
      <w:r>
        <w:rPr>
          <w:rFonts w:ascii="Arial" w:eastAsia="Arial" w:hAnsi="Arial" w:cs="Arial"/>
          <w:b/>
          <w:bCs/>
          <w:sz w:val="18"/>
          <w:szCs w:val="18"/>
        </w:rPr>
        <w:t>MAST LOGISTICS SERVICES, LLC</w:t>
      </w:r>
      <w:r>
        <w:rPr>
          <w:rFonts w:ascii="Arial" w:eastAsia="Arial" w:hAnsi="Arial" w:cs="Arial"/>
          <w:sz w:val="18"/>
          <w:szCs w:val="18"/>
        </w:rPr>
        <w:t>,</w:t>
      </w:r>
    </w:p>
    <w:p w14:paraId="05B3236E" w14:textId="77777777" w:rsidR="00D1587D" w:rsidRDefault="00D1587D">
      <w:pPr>
        <w:spacing w:line="27" w:lineRule="exact"/>
        <w:rPr>
          <w:sz w:val="20"/>
          <w:szCs w:val="20"/>
        </w:rPr>
      </w:pPr>
    </w:p>
    <w:p w14:paraId="4462D4AE" w14:textId="77777777" w:rsidR="00D1587D" w:rsidRDefault="00410D07">
      <w:pPr>
        <w:ind w:left="5060"/>
        <w:rPr>
          <w:sz w:val="20"/>
          <w:szCs w:val="20"/>
        </w:rPr>
      </w:pPr>
      <w:r>
        <w:rPr>
          <w:rFonts w:ascii="Arial" w:eastAsia="Arial" w:hAnsi="Arial" w:cs="Arial"/>
          <w:sz w:val="18"/>
          <w:szCs w:val="18"/>
        </w:rPr>
        <w:t>a Delaware limited liability company</w:t>
      </w:r>
    </w:p>
    <w:p w14:paraId="1E85E703" w14:textId="77777777" w:rsidR="00D1587D" w:rsidRDefault="00D1587D">
      <w:pPr>
        <w:spacing w:line="211" w:lineRule="exact"/>
        <w:rPr>
          <w:sz w:val="20"/>
          <w:szCs w:val="20"/>
        </w:rPr>
      </w:pPr>
    </w:p>
    <w:p w14:paraId="11FC22BA" w14:textId="77777777" w:rsidR="00D1587D" w:rsidRDefault="00410D07">
      <w:pPr>
        <w:ind w:left="4980"/>
        <w:rPr>
          <w:sz w:val="20"/>
          <w:szCs w:val="20"/>
        </w:rPr>
      </w:pPr>
      <w:r>
        <w:rPr>
          <w:rFonts w:ascii="Arial" w:eastAsia="Arial" w:hAnsi="Arial" w:cs="Arial"/>
          <w:sz w:val="18"/>
          <w:szCs w:val="18"/>
        </w:rPr>
        <w:t>By:</w:t>
      </w:r>
    </w:p>
    <w:p w14:paraId="10CCFBBC" w14:textId="77777777" w:rsidR="00D1587D" w:rsidRDefault="00410D07">
      <w:pPr>
        <w:spacing w:line="20" w:lineRule="exact"/>
        <w:rPr>
          <w:sz w:val="20"/>
          <w:szCs w:val="20"/>
        </w:rPr>
      </w:pPr>
      <w:r>
        <w:rPr>
          <w:noProof/>
          <w:sz w:val="20"/>
          <w:szCs w:val="20"/>
        </w:rPr>
        <w:drawing>
          <wp:anchor distT="0" distB="0" distL="114300" distR="114300" simplePos="0" relativeHeight="251398144" behindDoc="1" locked="0" layoutInCell="0" allowOverlap="1" wp14:anchorId="00A8830E" wp14:editId="5BB87312">
            <wp:simplePos x="0" y="0"/>
            <wp:positionH relativeFrom="column">
              <wp:posOffset>3512185</wp:posOffset>
            </wp:positionH>
            <wp:positionV relativeFrom="paragraph">
              <wp:posOffset>14605</wp:posOffset>
            </wp:positionV>
            <wp:extent cx="3206115" cy="1714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
                    <a:srcRect/>
                    <a:stretch>
                      <a:fillRect/>
                    </a:stretch>
                  </pic:blipFill>
                  <pic:spPr bwMode="auto">
                    <a:xfrm>
                      <a:off x="0" y="0"/>
                      <a:ext cx="3206115" cy="17145"/>
                    </a:xfrm>
                    <a:prstGeom prst="rect">
                      <a:avLst/>
                    </a:prstGeom>
                    <a:noFill/>
                  </pic:spPr>
                </pic:pic>
              </a:graphicData>
            </a:graphic>
          </wp:anchor>
        </w:drawing>
      </w:r>
    </w:p>
    <w:p w14:paraId="22E21DAF" w14:textId="77777777" w:rsidR="00D1587D" w:rsidRDefault="00D1587D">
      <w:pPr>
        <w:spacing w:line="16" w:lineRule="exact"/>
        <w:rPr>
          <w:sz w:val="20"/>
          <w:szCs w:val="20"/>
        </w:rPr>
      </w:pPr>
    </w:p>
    <w:p w14:paraId="579999DD" w14:textId="77777777" w:rsidR="00D1587D" w:rsidRDefault="00410D07">
      <w:pPr>
        <w:ind w:left="5540"/>
        <w:rPr>
          <w:sz w:val="20"/>
          <w:szCs w:val="20"/>
        </w:rPr>
      </w:pPr>
      <w:r>
        <w:rPr>
          <w:rFonts w:ascii="Arial" w:eastAsia="Arial" w:hAnsi="Arial" w:cs="Arial"/>
          <w:sz w:val="18"/>
          <w:szCs w:val="18"/>
        </w:rPr>
        <w:t>Name:</w:t>
      </w:r>
    </w:p>
    <w:p w14:paraId="3AB0A494" w14:textId="77777777" w:rsidR="00D1587D" w:rsidRDefault="00D1587D">
      <w:pPr>
        <w:spacing w:line="23" w:lineRule="exact"/>
        <w:rPr>
          <w:sz w:val="20"/>
          <w:szCs w:val="20"/>
        </w:rPr>
      </w:pPr>
    </w:p>
    <w:p w14:paraId="25A68DD2" w14:textId="77777777" w:rsidR="00D1587D" w:rsidRDefault="00410D07">
      <w:pPr>
        <w:ind w:left="5540"/>
        <w:rPr>
          <w:sz w:val="20"/>
          <w:szCs w:val="20"/>
        </w:rPr>
      </w:pPr>
      <w:r>
        <w:rPr>
          <w:rFonts w:ascii="Arial" w:eastAsia="Arial" w:hAnsi="Arial" w:cs="Arial"/>
          <w:sz w:val="18"/>
          <w:szCs w:val="18"/>
        </w:rPr>
        <w:t>Title:</w:t>
      </w:r>
    </w:p>
    <w:p w14:paraId="019B72C8" w14:textId="77777777" w:rsidR="00D1587D" w:rsidRDefault="00D1587D">
      <w:pPr>
        <w:spacing w:line="234" w:lineRule="exact"/>
        <w:rPr>
          <w:sz w:val="20"/>
          <w:szCs w:val="20"/>
        </w:rPr>
      </w:pPr>
    </w:p>
    <w:p w14:paraId="438F0CB1" w14:textId="77777777" w:rsidR="00D1587D" w:rsidRDefault="00410D07">
      <w:pPr>
        <w:ind w:left="4980"/>
        <w:rPr>
          <w:sz w:val="20"/>
          <w:szCs w:val="20"/>
        </w:rPr>
      </w:pPr>
      <w:r>
        <w:rPr>
          <w:rFonts w:ascii="Arial" w:eastAsia="Arial" w:hAnsi="Arial" w:cs="Arial"/>
          <w:b/>
          <w:bCs/>
          <w:sz w:val="18"/>
          <w:szCs w:val="18"/>
        </w:rPr>
        <w:t>VICTORIA’S SECRET &amp; CO.</w:t>
      </w:r>
      <w:r>
        <w:rPr>
          <w:rFonts w:ascii="Arial" w:eastAsia="Arial" w:hAnsi="Arial" w:cs="Arial"/>
          <w:sz w:val="18"/>
          <w:szCs w:val="18"/>
        </w:rPr>
        <w:t>,</w:t>
      </w:r>
    </w:p>
    <w:p w14:paraId="61E6B851" w14:textId="77777777" w:rsidR="00D1587D" w:rsidRDefault="00D1587D">
      <w:pPr>
        <w:spacing w:line="27" w:lineRule="exact"/>
        <w:rPr>
          <w:sz w:val="20"/>
          <w:szCs w:val="20"/>
        </w:rPr>
      </w:pPr>
    </w:p>
    <w:p w14:paraId="6B39F4CF" w14:textId="77777777" w:rsidR="00D1587D" w:rsidRDefault="00410D07">
      <w:pPr>
        <w:ind w:left="5060"/>
        <w:rPr>
          <w:sz w:val="20"/>
          <w:szCs w:val="20"/>
        </w:rPr>
      </w:pPr>
      <w:r>
        <w:rPr>
          <w:rFonts w:ascii="Arial" w:eastAsia="Arial" w:hAnsi="Arial" w:cs="Arial"/>
          <w:sz w:val="18"/>
          <w:szCs w:val="18"/>
        </w:rPr>
        <w:t>a Delaware corporation</w:t>
      </w:r>
    </w:p>
    <w:p w14:paraId="29718CEE" w14:textId="77777777" w:rsidR="00D1587D" w:rsidRDefault="00D1587D">
      <w:pPr>
        <w:spacing w:line="211" w:lineRule="exact"/>
        <w:rPr>
          <w:sz w:val="20"/>
          <w:szCs w:val="20"/>
        </w:rPr>
      </w:pPr>
    </w:p>
    <w:p w14:paraId="04385750" w14:textId="77777777" w:rsidR="00D1587D" w:rsidRDefault="00410D07">
      <w:pPr>
        <w:ind w:left="4980"/>
        <w:rPr>
          <w:sz w:val="20"/>
          <w:szCs w:val="20"/>
        </w:rPr>
      </w:pPr>
      <w:r>
        <w:rPr>
          <w:rFonts w:ascii="Arial" w:eastAsia="Arial" w:hAnsi="Arial" w:cs="Arial"/>
          <w:sz w:val="18"/>
          <w:szCs w:val="18"/>
        </w:rPr>
        <w:t>By:</w:t>
      </w:r>
    </w:p>
    <w:p w14:paraId="007A4B2B" w14:textId="77777777" w:rsidR="00D1587D" w:rsidRDefault="00410D07">
      <w:pPr>
        <w:spacing w:line="20" w:lineRule="exact"/>
        <w:rPr>
          <w:sz w:val="20"/>
          <w:szCs w:val="20"/>
        </w:rPr>
      </w:pPr>
      <w:r>
        <w:rPr>
          <w:noProof/>
          <w:sz w:val="20"/>
          <w:szCs w:val="20"/>
        </w:rPr>
        <w:drawing>
          <wp:anchor distT="0" distB="0" distL="114300" distR="114300" simplePos="0" relativeHeight="251399168" behindDoc="1" locked="0" layoutInCell="0" allowOverlap="1" wp14:anchorId="4E236237" wp14:editId="3E7BB3C5">
            <wp:simplePos x="0" y="0"/>
            <wp:positionH relativeFrom="column">
              <wp:posOffset>3512185</wp:posOffset>
            </wp:positionH>
            <wp:positionV relativeFrom="paragraph">
              <wp:posOffset>14605</wp:posOffset>
            </wp:positionV>
            <wp:extent cx="3206115" cy="1714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4"/>
                    <a:srcRect/>
                    <a:stretch>
                      <a:fillRect/>
                    </a:stretch>
                  </pic:blipFill>
                  <pic:spPr bwMode="auto">
                    <a:xfrm>
                      <a:off x="0" y="0"/>
                      <a:ext cx="3206115" cy="17145"/>
                    </a:xfrm>
                    <a:prstGeom prst="rect">
                      <a:avLst/>
                    </a:prstGeom>
                    <a:noFill/>
                  </pic:spPr>
                </pic:pic>
              </a:graphicData>
            </a:graphic>
          </wp:anchor>
        </w:drawing>
      </w:r>
    </w:p>
    <w:p w14:paraId="6EA25F73" w14:textId="77777777" w:rsidR="00D1587D" w:rsidRDefault="00D1587D">
      <w:pPr>
        <w:spacing w:line="16" w:lineRule="exact"/>
        <w:rPr>
          <w:sz w:val="20"/>
          <w:szCs w:val="20"/>
        </w:rPr>
      </w:pPr>
    </w:p>
    <w:p w14:paraId="6634ACC5" w14:textId="77777777" w:rsidR="00D1587D" w:rsidRDefault="00410D07">
      <w:pPr>
        <w:ind w:left="5540"/>
        <w:rPr>
          <w:sz w:val="20"/>
          <w:szCs w:val="20"/>
        </w:rPr>
      </w:pPr>
      <w:r>
        <w:rPr>
          <w:rFonts w:ascii="Arial" w:eastAsia="Arial" w:hAnsi="Arial" w:cs="Arial"/>
          <w:sz w:val="18"/>
          <w:szCs w:val="18"/>
        </w:rPr>
        <w:t>Name:</w:t>
      </w:r>
    </w:p>
    <w:p w14:paraId="0DD4FFD3" w14:textId="77777777" w:rsidR="00D1587D" w:rsidRDefault="00D1587D">
      <w:pPr>
        <w:spacing w:line="23" w:lineRule="exact"/>
        <w:rPr>
          <w:sz w:val="20"/>
          <w:szCs w:val="20"/>
        </w:rPr>
      </w:pPr>
    </w:p>
    <w:p w14:paraId="3F66F79A" w14:textId="77777777" w:rsidR="00D1587D" w:rsidRDefault="00410D07">
      <w:pPr>
        <w:ind w:left="5540"/>
        <w:rPr>
          <w:sz w:val="20"/>
          <w:szCs w:val="20"/>
        </w:rPr>
      </w:pPr>
      <w:r>
        <w:rPr>
          <w:rFonts w:ascii="Arial" w:eastAsia="Arial" w:hAnsi="Arial" w:cs="Arial"/>
          <w:sz w:val="18"/>
          <w:szCs w:val="18"/>
        </w:rPr>
        <w:t>Title:</w:t>
      </w:r>
    </w:p>
    <w:p w14:paraId="6C35A064" w14:textId="77777777" w:rsidR="00D1587D" w:rsidRDefault="00410D07">
      <w:pPr>
        <w:spacing w:line="20" w:lineRule="exact"/>
        <w:rPr>
          <w:sz w:val="20"/>
          <w:szCs w:val="20"/>
        </w:rPr>
      </w:pPr>
      <w:r>
        <w:rPr>
          <w:noProof/>
          <w:sz w:val="20"/>
          <w:szCs w:val="20"/>
        </w:rPr>
        <w:drawing>
          <wp:anchor distT="0" distB="0" distL="114300" distR="114300" simplePos="0" relativeHeight="251400192" behindDoc="1" locked="0" layoutInCell="0" allowOverlap="1" wp14:anchorId="2AAC539A" wp14:editId="300FF5EA">
            <wp:simplePos x="0" y="0"/>
            <wp:positionH relativeFrom="column">
              <wp:posOffset>-413385</wp:posOffset>
            </wp:positionH>
            <wp:positionV relativeFrom="paragraph">
              <wp:posOffset>382905</wp:posOffset>
            </wp:positionV>
            <wp:extent cx="7132320" cy="1714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057072D" w14:textId="77777777" w:rsidR="00D1587D" w:rsidRDefault="00D1587D">
      <w:pPr>
        <w:sectPr w:rsidR="00D1587D">
          <w:pgSz w:w="11900" w:h="16838"/>
          <w:pgMar w:top="361" w:right="1440" w:bottom="1440" w:left="980" w:header="0" w:footer="0" w:gutter="0"/>
          <w:cols w:space="720" w:equalWidth="0">
            <w:col w:w="9479"/>
          </w:cols>
        </w:sectPr>
      </w:pPr>
    </w:p>
    <w:p w14:paraId="05BB2417" w14:textId="77777777" w:rsidR="00D1587D" w:rsidRDefault="00410D07">
      <w:pPr>
        <w:jc w:val="right"/>
        <w:rPr>
          <w:sz w:val="20"/>
          <w:szCs w:val="20"/>
        </w:rPr>
      </w:pPr>
      <w:bookmarkStart w:id="237" w:name="page238"/>
      <w:bookmarkEnd w:id="237"/>
      <w:r>
        <w:rPr>
          <w:rFonts w:ascii="Arial" w:eastAsia="Arial" w:hAnsi="Arial" w:cs="Arial"/>
          <w:b/>
          <w:bCs/>
          <w:noProof/>
        </w:rPr>
        <w:drawing>
          <wp:anchor distT="0" distB="0" distL="114300" distR="114300" simplePos="0" relativeHeight="251401216" behindDoc="1" locked="0" layoutInCell="0" allowOverlap="1" wp14:anchorId="6F59E9F9" wp14:editId="6771D8BC">
            <wp:simplePos x="0" y="0"/>
            <wp:positionH relativeFrom="page">
              <wp:posOffset>208280</wp:posOffset>
            </wp:positionH>
            <wp:positionV relativeFrom="page">
              <wp:posOffset>88900</wp:posOffset>
            </wp:positionV>
            <wp:extent cx="7132320" cy="3429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10.10</w:t>
      </w:r>
    </w:p>
    <w:p w14:paraId="7764388E" w14:textId="77777777" w:rsidR="00D1587D" w:rsidRDefault="00D1587D">
      <w:pPr>
        <w:spacing w:line="239" w:lineRule="exact"/>
        <w:rPr>
          <w:sz w:val="20"/>
          <w:szCs w:val="20"/>
        </w:rPr>
      </w:pPr>
    </w:p>
    <w:p w14:paraId="5ADA943F" w14:textId="77777777" w:rsidR="00D1587D" w:rsidRDefault="00410D07">
      <w:pPr>
        <w:jc w:val="center"/>
        <w:rPr>
          <w:sz w:val="20"/>
          <w:szCs w:val="20"/>
        </w:rPr>
      </w:pPr>
      <w:r>
        <w:rPr>
          <w:rFonts w:ascii="Arial" w:eastAsia="Arial" w:hAnsi="Arial" w:cs="Arial"/>
        </w:rPr>
        <w:t>FORM OF INDEMNIFICATION AGREEMENT</w:t>
      </w:r>
    </w:p>
    <w:p w14:paraId="0E762E0D" w14:textId="77777777" w:rsidR="00D1587D" w:rsidRDefault="00D1587D">
      <w:pPr>
        <w:spacing w:line="233" w:lineRule="exact"/>
        <w:rPr>
          <w:sz w:val="20"/>
          <w:szCs w:val="20"/>
        </w:rPr>
      </w:pPr>
    </w:p>
    <w:p w14:paraId="66D1512F" w14:textId="77777777" w:rsidR="00D1587D" w:rsidRDefault="00410D07">
      <w:pPr>
        <w:spacing w:line="250" w:lineRule="auto"/>
        <w:ind w:firstLine="486"/>
        <w:jc w:val="both"/>
        <w:rPr>
          <w:sz w:val="20"/>
          <w:szCs w:val="20"/>
        </w:rPr>
      </w:pPr>
      <w:r>
        <w:rPr>
          <w:rFonts w:ascii="Arial" w:eastAsia="Arial" w:hAnsi="Arial" w:cs="Arial"/>
        </w:rPr>
        <w:t>THIS AGREEMENT is made and entered into as of the [—] day of [—], 2021 by and between Victoria’s Secret &amp; Co., a Delaware corporation (the “</w:t>
      </w:r>
      <w:r>
        <w:rPr>
          <w:rFonts w:ascii="Arial" w:eastAsia="Arial" w:hAnsi="Arial" w:cs="Arial"/>
        </w:rPr>
        <w:t>Company”), and the undersigned (the “lndemnitee”).</w:t>
      </w:r>
    </w:p>
    <w:p w14:paraId="07245537" w14:textId="77777777" w:rsidR="00D1587D" w:rsidRDefault="00D1587D">
      <w:pPr>
        <w:spacing w:line="202" w:lineRule="exact"/>
        <w:rPr>
          <w:sz w:val="20"/>
          <w:szCs w:val="20"/>
        </w:rPr>
      </w:pPr>
    </w:p>
    <w:p w14:paraId="17E5C9FE" w14:textId="77777777" w:rsidR="00D1587D" w:rsidRDefault="00410D07">
      <w:pPr>
        <w:jc w:val="center"/>
        <w:rPr>
          <w:sz w:val="20"/>
          <w:szCs w:val="20"/>
        </w:rPr>
      </w:pPr>
      <w:r>
        <w:rPr>
          <w:rFonts w:ascii="Arial" w:eastAsia="Arial" w:hAnsi="Arial" w:cs="Arial"/>
        </w:rPr>
        <w:t>RECITALS</w:t>
      </w:r>
    </w:p>
    <w:p w14:paraId="6582D2CA" w14:textId="77777777" w:rsidR="00D1587D" w:rsidRDefault="00D1587D">
      <w:pPr>
        <w:spacing w:line="233" w:lineRule="exact"/>
        <w:rPr>
          <w:sz w:val="20"/>
          <w:szCs w:val="20"/>
        </w:rPr>
      </w:pPr>
    </w:p>
    <w:p w14:paraId="66DD6E17" w14:textId="77777777" w:rsidR="00D1587D" w:rsidRDefault="00410D07">
      <w:pPr>
        <w:spacing w:line="250" w:lineRule="auto"/>
        <w:ind w:firstLine="486"/>
        <w:jc w:val="both"/>
        <w:rPr>
          <w:sz w:val="20"/>
          <w:szCs w:val="20"/>
        </w:rPr>
      </w:pPr>
      <w:r>
        <w:rPr>
          <w:rFonts w:ascii="Arial" w:eastAsia="Arial" w:hAnsi="Arial" w:cs="Arial"/>
        </w:rPr>
        <w:t>WHEREAS, it is essential to the Company that it attract and retain as directors and officers the most capable persons available; and</w:t>
      </w:r>
    </w:p>
    <w:p w14:paraId="57D558F9" w14:textId="77777777" w:rsidR="00D1587D" w:rsidRDefault="00D1587D">
      <w:pPr>
        <w:spacing w:line="202" w:lineRule="exact"/>
        <w:rPr>
          <w:sz w:val="20"/>
          <w:szCs w:val="20"/>
        </w:rPr>
      </w:pPr>
    </w:p>
    <w:p w14:paraId="2EC32286" w14:textId="77777777" w:rsidR="00D1587D" w:rsidRDefault="00410D07">
      <w:pPr>
        <w:ind w:left="500"/>
        <w:rPr>
          <w:sz w:val="20"/>
          <w:szCs w:val="20"/>
        </w:rPr>
      </w:pPr>
      <w:r>
        <w:rPr>
          <w:rFonts w:ascii="Arial" w:eastAsia="Arial" w:hAnsi="Arial" w:cs="Arial"/>
        </w:rPr>
        <w:t xml:space="preserve">WHEREAS, Indemnitee is a director or officer of the </w:t>
      </w:r>
      <w:r>
        <w:rPr>
          <w:rFonts w:ascii="Arial" w:eastAsia="Arial" w:hAnsi="Arial" w:cs="Arial"/>
        </w:rPr>
        <w:t>Company; and</w:t>
      </w:r>
    </w:p>
    <w:p w14:paraId="0F102EE6" w14:textId="77777777" w:rsidR="00D1587D" w:rsidRDefault="00D1587D">
      <w:pPr>
        <w:spacing w:line="233" w:lineRule="exact"/>
        <w:rPr>
          <w:sz w:val="20"/>
          <w:szCs w:val="20"/>
        </w:rPr>
      </w:pPr>
    </w:p>
    <w:p w14:paraId="7AE3D437" w14:textId="77777777" w:rsidR="00D1587D" w:rsidRDefault="00410D07">
      <w:pPr>
        <w:spacing w:line="250" w:lineRule="auto"/>
        <w:ind w:firstLine="486"/>
        <w:jc w:val="both"/>
        <w:rPr>
          <w:sz w:val="20"/>
          <w:szCs w:val="20"/>
        </w:rPr>
      </w:pPr>
      <w:r>
        <w:rPr>
          <w:rFonts w:ascii="Arial" w:eastAsia="Arial" w:hAnsi="Arial" w:cs="Arial"/>
        </w:rPr>
        <w:t>WHEREAS, both the Company and Indemnitee recognize the increased risk of litigation and other claims being asserted against directors and officers of public companies in the current environment; and</w:t>
      </w:r>
    </w:p>
    <w:p w14:paraId="115137B2" w14:textId="77777777" w:rsidR="00D1587D" w:rsidRDefault="00D1587D">
      <w:pPr>
        <w:spacing w:line="202" w:lineRule="exact"/>
        <w:rPr>
          <w:sz w:val="20"/>
          <w:szCs w:val="20"/>
        </w:rPr>
      </w:pPr>
    </w:p>
    <w:p w14:paraId="73D268EC" w14:textId="77777777" w:rsidR="00D1587D" w:rsidRDefault="00410D07">
      <w:pPr>
        <w:spacing w:line="252" w:lineRule="auto"/>
        <w:ind w:firstLine="486"/>
        <w:jc w:val="both"/>
        <w:rPr>
          <w:sz w:val="20"/>
          <w:szCs w:val="20"/>
        </w:rPr>
      </w:pPr>
      <w:r>
        <w:rPr>
          <w:rFonts w:ascii="Arial" w:eastAsia="Arial" w:hAnsi="Arial" w:cs="Arial"/>
          <w:sz w:val="21"/>
          <w:szCs w:val="21"/>
        </w:rPr>
        <w:t>WHEREAS, in recognition of Indemnitee’s ne</w:t>
      </w:r>
      <w:r>
        <w:rPr>
          <w:rFonts w:ascii="Arial" w:eastAsia="Arial" w:hAnsi="Arial" w:cs="Arial"/>
          <w:sz w:val="21"/>
          <w:szCs w:val="21"/>
        </w:rPr>
        <w:t>ed for protection against personal liability in order to enhance Indemnitee’s continued service to the Company in an effective manner, and in order to induce Indemnitee to continue to provide services to the Company as a director or officer thereof, the Co</w:t>
      </w:r>
      <w:r>
        <w:rPr>
          <w:rFonts w:ascii="Arial" w:eastAsia="Arial" w:hAnsi="Arial" w:cs="Arial"/>
          <w:sz w:val="21"/>
          <w:szCs w:val="21"/>
        </w:rPr>
        <w:t>mpany wishes to provide in this Agreement for the indemnification of Indemnitee to the fullest extent permitted by law and as set forth in this Agreement;</w:t>
      </w:r>
    </w:p>
    <w:p w14:paraId="6A102DF4" w14:textId="77777777" w:rsidR="00D1587D" w:rsidRDefault="00D1587D">
      <w:pPr>
        <w:spacing w:line="201" w:lineRule="exact"/>
        <w:rPr>
          <w:sz w:val="20"/>
          <w:szCs w:val="20"/>
        </w:rPr>
      </w:pPr>
    </w:p>
    <w:p w14:paraId="09BFCC2D" w14:textId="77777777" w:rsidR="00D1587D" w:rsidRDefault="00410D07">
      <w:pPr>
        <w:spacing w:line="274" w:lineRule="auto"/>
        <w:ind w:right="20" w:firstLine="486"/>
        <w:jc w:val="both"/>
        <w:rPr>
          <w:sz w:val="20"/>
          <w:szCs w:val="20"/>
        </w:rPr>
      </w:pPr>
      <w:r>
        <w:rPr>
          <w:rFonts w:ascii="Arial" w:eastAsia="Arial" w:hAnsi="Arial" w:cs="Arial"/>
          <w:sz w:val="21"/>
          <w:szCs w:val="21"/>
        </w:rPr>
        <w:t>NOW THEREFORE, in consideration of the foregoing, the covenants contained herein and Indemnitee’s co</w:t>
      </w:r>
      <w:r>
        <w:rPr>
          <w:rFonts w:ascii="Arial" w:eastAsia="Arial" w:hAnsi="Arial" w:cs="Arial"/>
          <w:sz w:val="21"/>
          <w:szCs w:val="21"/>
        </w:rPr>
        <w:t>ntinued service to the Company, the Company and Indemnitee, intending to be legally bound, hereby agree as follows:</w:t>
      </w:r>
    </w:p>
    <w:p w14:paraId="1E08885B" w14:textId="77777777" w:rsidR="00D1587D" w:rsidRDefault="00D1587D">
      <w:pPr>
        <w:spacing w:line="172" w:lineRule="exact"/>
        <w:rPr>
          <w:sz w:val="20"/>
          <w:szCs w:val="20"/>
        </w:rPr>
      </w:pPr>
    </w:p>
    <w:p w14:paraId="4863D2C4" w14:textId="77777777" w:rsidR="00D1587D" w:rsidRDefault="00410D07">
      <w:pPr>
        <w:ind w:left="500"/>
        <w:rPr>
          <w:sz w:val="20"/>
          <w:szCs w:val="20"/>
        </w:rPr>
      </w:pPr>
      <w:r>
        <w:rPr>
          <w:rFonts w:ascii="Arial" w:eastAsia="Arial" w:hAnsi="Arial" w:cs="Arial"/>
        </w:rPr>
        <w:t xml:space="preserve">Section 1. </w:t>
      </w:r>
      <w:r>
        <w:rPr>
          <w:rFonts w:ascii="Arial" w:eastAsia="Arial" w:hAnsi="Arial" w:cs="Arial"/>
          <w:b/>
          <w:bCs/>
        </w:rPr>
        <w:t>Definitions</w:t>
      </w:r>
      <w:r>
        <w:rPr>
          <w:rFonts w:ascii="Arial" w:eastAsia="Arial" w:hAnsi="Arial" w:cs="Arial"/>
        </w:rPr>
        <w:t>. The following terms, as used herein, shall have the following respective meanings:</w:t>
      </w:r>
    </w:p>
    <w:p w14:paraId="38997C86" w14:textId="77777777" w:rsidR="00D1587D" w:rsidRDefault="00D1587D">
      <w:pPr>
        <w:spacing w:line="239" w:lineRule="exact"/>
        <w:rPr>
          <w:sz w:val="20"/>
          <w:szCs w:val="20"/>
        </w:rPr>
      </w:pPr>
    </w:p>
    <w:p w14:paraId="734AF9EB" w14:textId="77777777" w:rsidR="00D1587D" w:rsidRDefault="00410D07">
      <w:pPr>
        <w:spacing w:line="236" w:lineRule="auto"/>
        <w:ind w:firstLine="972"/>
        <w:jc w:val="both"/>
        <w:rPr>
          <w:sz w:val="20"/>
          <w:szCs w:val="20"/>
        </w:rPr>
      </w:pPr>
      <w:r>
        <w:rPr>
          <w:rFonts w:ascii="Arial" w:eastAsia="Arial" w:hAnsi="Arial" w:cs="Arial"/>
        </w:rPr>
        <w:t>“Affiliate” of any specified Pe</w:t>
      </w:r>
      <w:r>
        <w:rPr>
          <w:rFonts w:ascii="Arial" w:eastAsia="Arial" w:hAnsi="Arial" w:cs="Arial"/>
        </w:rPr>
        <w:t>rson means any other Person directly or indirectly controlling or controlled by or under direct or indirect common control with such specified Person. For the purposes of this definition, “control” when used with respect to any specified Person means the p</w:t>
      </w:r>
      <w:r>
        <w:rPr>
          <w:rFonts w:ascii="Arial" w:eastAsia="Arial" w:hAnsi="Arial" w:cs="Arial"/>
        </w:rPr>
        <w:t>ower to direct the management and policies of such Person, directly or indirectly, whether through the ownership of voting securities, by contract or otherwise; and the terms “controlling” and “controlled” have meanings relative to the foregoing.</w:t>
      </w:r>
    </w:p>
    <w:p w14:paraId="1E629306" w14:textId="77777777" w:rsidR="00D1587D" w:rsidRDefault="00D1587D">
      <w:pPr>
        <w:spacing w:line="214" w:lineRule="exact"/>
        <w:rPr>
          <w:sz w:val="20"/>
          <w:szCs w:val="20"/>
        </w:rPr>
      </w:pPr>
    </w:p>
    <w:p w14:paraId="46AF2153" w14:textId="77777777" w:rsidR="00D1587D" w:rsidRDefault="00410D07">
      <w:pPr>
        <w:spacing w:line="270" w:lineRule="auto"/>
        <w:ind w:firstLine="972"/>
        <w:jc w:val="both"/>
        <w:rPr>
          <w:sz w:val="20"/>
          <w:szCs w:val="20"/>
        </w:rPr>
      </w:pPr>
      <w:r>
        <w:rPr>
          <w:rFonts w:ascii="Arial" w:eastAsia="Arial" w:hAnsi="Arial" w:cs="Arial"/>
          <w:sz w:val="19"/>
          <w:szCs w:val="19"/>
        </w:rPr>
        <w:t>“Change in control” shall be deemed to have occurred if, other than as approved by a majority of the Board of Directors of the Company in office immediately prior to such event (a) any person, other than (i) a trustee or other fiduciary holding Voting Secu</w:t>
      </w:r>
      <w:r>
        <w:rPr>
          <w:rFonts w:ascii="Arial" w:eastAsia="Arial" w:hAnsi="Arial" w:cs="Arial"/>
          <w:sz w:val="19"/>
          <w:szCs w:val="19"/>
        </w:rPr>
        <w:t>rities under an employee benefit plan of the Company, (ii) a corporation owned directly or indirectly by the stockholders of the Company in substantially the same proportions as their ownership of stock of the Company or (iii) the Company, any subsidiary o</w:t>
      </w:r>
      <w:r>
        <w:rPr>
          <w:rFonts w:ascii="Arial" w:eastAsia="Arial" w:hAnsi="Arial" w:cs="Arial"/>
          <w:sz w:val="19"/>
          <w:szCs w:val="19"/>
        </w:rPr>
        <w:t xml:space="preserve">f the Company or any successor to the Company or any subsidiary thereof or (iv) Leslie H. Wexner, his heirs, executors or administrators, is or becomes the “beneficial owner” (as defined in Rule 13d-3 under the Securities Exchange Act of 1934, as amended) </w:t>
      </w:r>
      <w:r>
        <w:rPr>
          <w:rFonts w:ascii="Arial" w:eastAsia="Arial" w:hAnsi="Arial" w:cs="Arial"/>
          <w:sz w:val="19"/>
          <w:szCs w:val="19"/>
        </w:rPr>
        <w:t>of Voting Securities representing 20% or more of the total voting power represented by the Company’s then outstanding Voting Securities, or (b) during any period of two consecutive years, individuals who at the beginning of such period constituted the Boar</w:t>
      </w:r>
      <w:r>
        <w:rPr>
          <w:rFonts w:ascii="Arial" w:eastAsia="Arial" w:hAnsi="Arial" w:cs="Arial"/>
          <w:sz w:val="19"/>
          <w:szCs w:val="19"/>
        </w:rPr>
        <w:t>d of Directors of the Company and any new director whose election by the Board of Directors or nomination for election by the Company’s stockholders was approved by a vote of at least two-thirds of the directors then still in office who either were directo</w:t>
      </w:r>
      <w:r>
        <w:rPr>
          <w:rFonts w:ascii="Arial" w:eastAsia="Arial" w:hAnsi="Arial" w:cs="Arial"/>
          <w:sz w:val="19"/>
          <w:szCs w:val="19"/>
        </w:rPr>
        <w:t>rs at the beginning of the period or whose election or nomination for election was previously so approved, cease for any reason to constitute a majority thereof, or (c) the stockholders of the Company approve (i) a merger or consolidation of the Company wi</w:t>
      </w:r>
      <w:r>
        <w:rPr>
          <w:rFonts w:ascii="Arial" w:eastAsia="Arial" w:hAnsi="Arial" w:cs="Arial"/>
          <w:sz w:val="19"/>
          <w:szCs w:val="19"/>
        </w:rPr>
        <w:t>th any other corporation, other than a merger or consolidation which would result in the Voting Securities outstanding immediately prior thereto continuing to represent (either by remaining outstanding or by being converted into Voting Securities of the su</w:t>
      </w:r>
      <w:r>
        <w:rPr>
          <w:rFonts w:ascii="Arial" w:eastAsia="Arial" w:hAnsi="Arial" w:cs="Arial"/>
          <w:sz w:val="19"/>
          <w:szCs w:val="19"/>
        </w:rPr>
        <w:t>rviving entity) at least 80% of the total voting power represented by the Voting Securities of the Company or such surviving entity outstanding immediately after such merger or consolidation, or (ii) a plan of complete liquidation of the Company or an agre</w:t>
      </w:r>
      <w:r>
        <w:rPr>
          <w:rFonts w:ascii="Arial" w:eastAsia="Arial" w:hAnsi="Arial" w:cs="Arial"/>
          <w:sz w:val="19"/>
          <w:szCs w:val="19"/>
        </w:rPr>
        <w:t>ement for the sale or disposition by the Company (in one transaction or a series of transactions) of all or substantially all of the Company’s assets.</w:t>
      </w:r>
    </w:p>
    <w:p w14:paraId="479E4651" w14:textId="77777777" w:rsidR="00D1587D" w:rsidRDefault="00D1587D">
      <w:pPr>
        <w:spacing w:line="371" w:lineRule="exact"/>
        <w:rPr>
          <w:sz w:val="20"/>
          <w:szCs w:val="20"/>
        </w:rPr>
      </w:pPr>
    </w:p>
    <w:p w14:paraId="1DFC711D" w14:textId="77777777" w:rsidR="00D1587D" w:rsidRDefault="00410D07">
      <w:pPr>
        <w:jc w:val="center"/>
        <w:rPr>
          <w:sz w:val="20"/>
          <w:szCs w:val="20"/>
        </w:rPr>
      </w:pPr>
      <w:r>
        <w:rPr>
          <w:rFonts w:ascii="Arial" w:eastAsia="Arial" w:hAnsi="Arial" w:cs="Arial"/>
        </w:rPr>
        <w:t>1</w:t>
      </w:r>
    </w:p>
    <w:p w14:paraId="788C1749" w14:textId="77777777" w:rsidR="00D1587D" w:rsidRDefault="00410D07">
      <w:pPr>
        <w:spacing w:line="20" w:lineRule="exact"/>
        <w:rPr>
          <w:sz w:val="20"/>
          <w:szCs w:val="20"/>
        </w:rPr>
      </w:pPr>
      <w:r>
        <w:rPr>
          <w:noProof/>
          <w:sz w:val="20"/>
          <w:szCs w:val="20"/>
        </w:rPr>
        <w:drawing>
          <wp:anchor distT="0" distB="0" distL="114300" distR="114300" simplePos="0" relativeHeight="251402240" behindDoc="1" locked="0" layoutInCell="0" allowOverlap="1" wp14:anchorId="15949810" wp14:editId="009A69A5">
            <wp:simplePos x="0" y="0"/>
            <wp:positionH relativeFrom="column">
              <wp:posOffset>5080</wp:posOffset>
            </wp:positionH>
            <wp:positionV relativeFrom="paragraph">
              <wp:posOffset>41275</wp:posOffset>
            </wp:positionV>
            <wp:extent cx="7132320" cy="1714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31663CBD" w14:textId="77777777" w:rsidR="00D1587D" w:rsidRDefault="00D1587D">
      <w:pPr>
        <w:sectPr w:rsidR="00D1587D">
          <w:pgSz w:w="11900" w:h="16838"/>
          <w:pgMar w:top="274" w:right="339" w:bottom="1440" w:left="320" w:header="0" w:footer="0" w:gutter="0"/>
          <w:cols w:space="720" w:equalWidth="0">
            <w:col w:w="11240"/>
          </w:cols>
        </w:sectPr>
      </w:pPr>
    </w:p>
    <w:p w14:paraId="3A34E3D2" w14:textId="77777777" w:rsidR="00D1587D" w:rsidRDefault="00410D07">
      <w:pPr>
        <w:spacing w:line="248" w:lineRule="auto"/>
        <w:ind w:firstLine="972"/>
        <w:jc w:val="both"/>
        <w:rPr>
          <w:sz w:val="20"/>
          <w:szCs w:val="20"/>
        </w:rPr>
      </w:pPr>
      <w:bookmarkStart w:id="238" w:name="page239"/>
      <w:bookmarkEnd w:id="238"/>
      <w:r>
        <w:rPr>
          <w:rFonts w:ascii="Arial" w:eastAsia="Arial" w:hAnsi="Arial" w:cs="Arial"/>
          <w:sz w:val="21"/>
          <w:szCs w:val="21"/>
        </w:rPr>
        <w:t xml:space="preserve">“Claim” means (a) any threatened, pending or completed action, suit, proceeding </w:t>
      </w:r>
      <w:r>
        <w:rPr>
          <w:rFonts w:ascii="Arial" w:eastAsia="Arial" w:hAnsi="Arial" w:cs="Arial"/>
          <w:sz w:val="21"/>
          <w:szCs w:val="21"/>
        </w:rPr>
        <w:t>or arbitration or other alternative dispute resolution mechanism, or (b) any inquiry, hearing or investigation, whether conducted by the Company or any other Person, that Indemnitee in good faith believes might lead to the institution of any such action, s</w:t>
      </w:r>
      <w:r>
        <w:rPr>
          <w:rFonts w:ascii="Arial" w:eastAsia="Arial" w:hAnsi="Arial" w:cs="Arial"/>
          <w:sz w:val="21"/>
          <w:szCs w:val="21"/>
        </w:rPr>
        <w:t>uit, proceeding or arbitration or other alternative dispute resolution mechanism, in each case whether civil, criminal, administrative or other (whether or not the claims or allegations therein are groundless, false or fraudulent) and includes, without lim</w:t>
      </w:r>
      <w:r>
        <w:rPr>
          <w:rFonts w:ascii="Arial" w:eastAsia="Arial" w:hAnsi="Arial" w:cs="Arial"/>
          <w:sz w:val="21"/>
          <w:szCs w:val="21"/>
        </w:rPr>
        <w:t>itation, those brought by or in the name of the Company or any director or officer of the Company.</w:t>
      </w:r>
    </w:p>
    <w:p w14:paraId="1A14BBDE" w14:textId="77777777" w:rsidR="00D1587D" w:rsidRDefault="00D1587D">
      <w:pPr>
        <w:spacing w:line="204" w:lineRule="exact"/>
        <w:rPr>
          <w:sz w:val="20"/>
          <w:szCs w:val="20"/>
        </w:rPr>
      </w:pPr>
    </w:p>
    <w:p w14:paraId="2877FF8D" w14:textId="77777777" w:rsidR="00D1587D" w:rsidRDefault="00410D07">
      <w:pPr>
        <w:spacing w:line="250" w:lineRule="auto"/>
        <w:ind w:right="20" w:firstLine="972"/>
        <w:jc w:val="both"/>
        <w:rPr>
          <w:sz w:val="20"/>
          <w:szCs w:val="20"/>
        </w:rPr>
      </w:pPr>
      <w:r>
        <w:rPr>
          <w:rFonts w:ascii="Arial" w:eastAsia="Arial" w:hAnsi="Arial" w:cs="Arial"/>
        </w:rPr>
        <w:t>“Company Agent” means serving as a director, officer, partner, employee, agent, trustee or fiduciary of the Company, any Subsidiary or any Other Enterprise.</w:t>
      </w:r>
    </w:p>
    <w:p w14:paraId="1E939E24" w14:textId="77777777" w:rsidR="00D1587D" w:rsidRDefault="00D1587D">
      <w:pPr>
        <w:spacing w:line="202" w:lineRule="exact"/>
        <w:rPr>
          <w:sz w:val="20"/>
          <w:szCs w:val="20"/>
        </w:rPr>
      </w:pPr>
    </w:p>
    <w:p w14:paraId="20267D5B" w14:textId="77777777" w:rsidR="00D1587D" w:rsidRDefault="00410D07">
      <w:pPr>
        <w:spacing w:line="279" w:lineRule="auto"/>
        <w:ind w:firstLine="972"/>
        <w:jc w:val="both"/>
        <w:rPr>
          <w:sz w:val="20"/>
          <w:szCs w:val="20"/>
        </w:rPr>
      </w:pPr>
      <w:r>
        <w:rPr>
          <w:rFonts w:ascii="Arial" w:eastAsia="Arial" w:hAnsi="Arial" w:cs="Arial"/>
          <w:sz w:val="19"/>
          <w:szCs w:val="19"/>
        </w:rPr>
        <w:t>“Covered Event” means any event or occurrence on or after the date of this Agreement related to the fact that Indemnitee is or was a Company Agent or related to anything done or not done by Indemnitee in any such capacity, and includes, without limitatio</w:t>
      </w:r>
      <w:r>
        <w:rPr>
          <w:rFonts w:ascii="Arial" w:eastAsia="Arial" w:hAnsi="Arial" w:cs="Arial"/>
          <w:sz w:val="19"/>
          <w:szCs w:val="19"/>
        </w:rPr>
        <w:t>n, any such event or occurrence (a) arising from performance of the responsibilities, obligations or duties imposed by ERISA or any similar applicable provisions of state or common law, or (b) arising from any merger, consolidation or other business combin</w:t>
      </w:r>
      <w:r>
        <w:rPr>
          <w:rFonts w:ascii="Arial" w:eastAsia="Arial" w:hAnsi="Arial" w:cs="Arial"/>
          <w:sz w:val="19"/>
          <w:szCs w:val="19"/>
        </w:rPr>
        <w:t>ation involving the Company, any Subsidiary or any Other Enterprise, including without limitation any sale or other transfer of all or substantially all of the business or assets of the Company, any Subsidiary or any Other Enterprise.</w:t>
      </w:r>
    </w:p>
    <w:p w14:paraId="7FA3E153" w14:textId="77777777" w:rsidR="00D1587D" w:rsidRDefault="00D1587D">
      <w:pPr>
        <w:spacing w:line="177" w:lineRule="exact"/>
        <w:rPr>
          <w:sz w:val="20"/>
          <w:szCs w:val="20"/>
        </w:rPr>
      </w:pPr>
    </w:p>
    <w:p w14:paraId="4D08221D" w14:textId="77777777" w:rsidR="00D1587D" w:rsidRDefault="00410D07">
      <w:pPr>
        <w:spacing w:line="287" w:lineRule="auto"/>
        <w:ind w:firstLine="972"/>
        <w:jc w:val="both"/>
        <w:rPr>
          <w:sz w:val="20"/>
          <w:szCs w:val="20"/>
        </w:rPr>
      </w:pPr>
      <w:r>
        <w:rPr>
          <w:rFonts w:ascii="Arial" w:eastAsia="Arial" w:hAnsi="Arial" w:cs="Arial"/>
          <w:sz w:val="19"/>
          <w:szCs w:val="19"/>
        </w:rPr>
        <w:t>“D &amp; O Insurance” me</w:t>
      </w:r>
      <w:r>
        <w:rPr>
          <w:rFonts w:ascii="Arial" w:eastAsia="Arial" w:hAnsi="Arial" w:cs="Arial"/>
          <w:sz w:val="19"/>
          <w:szCs w:val="19"/>
        </w:rPr>
        <w:t>ans the directors’ and officers’ liability insurance of the Company in effect on the date of this Agreement, and any replacement or substitute policies issued by one or more reputable insurers providing in all respects coverage at least comparable to and i</w:t>
      </w:r>
      <w:r>
        <w:rPr>
          <w:rFonts w:ascii="Arial" w:eastAsia="Arial" w:hAnsi="Arial" w:cs="Arial"/>
          <w:sz w:val="19"/>
          <w:szCs w:val="19"/>
        </w:rPr>
        <w:t>n the same amount as that provided by the policy in effect on the date of this Agreement, in each case except for any changes approved by a majority of the Board of Directors of the Company prior to a Change in Control.</w:t>
      </w:r>
    </w:p>
    <w:p w14:paraId="4C11A134" w14:textId="77777777" w:rsidR="00D1587D" w:rsidRDefault="00D1587D">
      <w:pPr>
        <w:spacing w:line="170" w:lineRule="exact"/>
        <w:rPr>
          <w:sz w:val="20"/>
          <w:szCs w:val="20"/>
        </w:rPr>
      </w:pPr>
    </w:p>
    <w:p w14:paraId="5B622C98" w14:textId="77777777" w:rsidR="00D1587D" w:rsidRDefault="00410D07">
      <w:pPr>
        <w:ind w:firstLine="972"/>
        <w:jc w:val="both"/>
        <w:rPr>
          <w:sz w:val="20"/>
          <w:szCs w:val="20"/>
        </w:rPr>
      </w:pPr>
      <w:r>
        <w:rPr>
          <w:rFonts w:ascii="Arial" w:eastAsia="Arial" w:hAnsi="Arial" w:cs="Arial"/>
        </w:rPr>
        <w:t>“Determination” means a determinati</w:t>
      </w:r>
      <w:r>
        <w:rPr>
          <w:rFonts w:ascii="Arial" w:eastAsia="Arial" w:hAnsi="Arial" w:cs="Arial"/>
        </w:rPr>
        <w:t xml:space="preserve">on made by (a) a majority vote of a quorum of Disinterested Directors; (b) Independent Legal Counsel, in a written opinion addressed to the Company and Indemnitee; (c) the stockholders of the Company; or (d) a decision by a court of competent jurisdiction </w:t>
      </w:r>
      <w:r>
        <w:rPr>
          <w:rFonts w:ascii="Arial" w:eastAsia="Arial" w:hAnsi="Arial" w:cs="Arial"/>
        </w:rPr>
        <w:t>not subject to further appeal.</w:t>
      </w:r>
    </w:p>
    <w:p w14:paraId="6055A1DA" w14:textId="77777777" w:rsidR="00D1587D" w:rsidRDefault="00D1587D">
      <w:pPr>
        <w:spacing w:line="213" w:lineRule="exact"/>
        <w:rPr>
          <w:sz w:val="20"/>
          <w:szCs w:val="20"/>
        </w:rPr>
      </w:pPr>
    </w:p>
    <w:p w14:paraId="502F11D8" w14:textId="77777777" w:rsidR="00D1587D" w:rsidRDefault="00410D07">
      <w:pPr>
        <w:spacing w:line="250" w:lineRule="auto"/>
        <w:ind w:right="20" w:firstLine="972"/>
        <w:jc w:val="both"/>
        <w:rPr>
          <w:sz w:val="20"/>
          <w:szCs w:val="20"/>
        </w:rPr>
      </w:pPr>
      <w:r>
        <w:rPr>
          <w:rFonts w:ascii="Arial" w:eastAsia="Arial" w:hAnsi="Arial" w:cs="Arial"/>
        </w:rPr>
        <w:t>“Disinterested Director” shall be a director of the Company who is not or was not a party to the Claim giving rise to the subject matter of a Determination.</w:t>
      </w:r>
    </w:p>
    <w:p w14:paraId="38CC69A8" w14:textId="77777777" w:rsidR="00D1587D" w:rsidRDefault="00D1587D">
      <w:pPr>
        <w:spacing w:line="202" w:lineRule="exact"/>
        <w:rPr>
          <w:sz w:val="20"/>
          <w:szCs w:val="20"/>
        </w:rPr>
      </w:pPr>
    </w:p>
    <w:p w14:paraId="14FE11E0" w14:textId="77777777" w:rsidR="00D1587D" w:rsidRDefault="00410D07">
      <w:pPr>
        <w:spacing w:line="236" w:lineRule="auto"/>
        <w:ind w:firstLine="972"/>
        <w:jc w:val="both"/>
        <w:rPr>
          <w:sz w:val="20"/>
          <w:szCs w:val="20"/>
        </w:rPr>
      </w:pPr>
      <w:r>
        <w:rPr>
          <w:rFonts w:ascii="Arial" w:eastAsia="Arial" w:hAnsi="Arial" w:cs="Arial"/>
        </w:rPr>
        <w:t xml:space="preserve">“Expenses” includes attorneys’ fees and all other costs, </w:t>
      </w:r>
      <w:r>
        <w:rPr>
          <w:rFonts w:ascii="Arial" w:eastAsia="Arial" w:hAnsi="Arial" w:cs="Arial"/>
        </w:rPr>
        <w:t>travel expenses, fees of experts, transcript costs, filing fees, witness fees, telephone charges, postage, copying costs, delivery services fees and other expenses and obligations of any nature whatsoever reasonably paid or incurred in connection with inve</w:t>
      </w:r>
      <w:r>
        <w:rPr>
          <w:rFonts w:ascii="Arial" w:eastAsia="Arial" w:hAnsi="Arial" w:cs="Arial"/>
        </w:rPr>
        <w:t>stigating, prosecuting or defending, being a witness in or participating in (including on appeal), or preparing to prosecute or defend, be a witness in or participate in any Claim, for which Indemnitee is or becomes legally obligated to pay.</w:t>
      </w:r>
    </w:p>
    <w:p w14:paraId="7200688F" w14:textId="77777777" w:rsidR="00D1587D" w:rsidRDefault="00D1587D">
      <w:pPr>
        <w:spacing w:line="147" w:lineRule="exact"/>
        <w:rPr>
          <w:sz w:val="20"/>
          <w:szCs w:val="20"/>
        </w:rPr>
      </w:pPr>
    </w:p>
    <w:p w14:paraId="14B819E8" w14:textId="77777777" w:rsidR="00D1587D" w:rsidRDefault="00410D07">
      <w:pPr>
        <w:jc w:val="center"/>
        <w:rPr>
          <w:sz w:val="20"/>
          <w:szCs w:val="20"/>
        </w:rPr>
      </w:pPr>
      <w:r>
        <w:rPr>
          <w:rFonts w:ascii="Arial" w:eastAsia="Arial" w:hAnsi="Arial" w:cs="Arial"/>
        </w:rPr>
        <w:t>2</w:t>
      </w:r>
    </w:p>
    <w:p w14:paraId="75C698BE" w14:textId="77777777" w:rsidR="00D1587D" w:rsidRDefault="00410D07">
      <w:pPr>
        <w:spacing w:line="20" w:lineRule="exact"/>
        <w:rPr>
          <w:sz w:val="20"/>
          <w:szCs w:val="20"/>
        </w:rPr>
      </w:pPr>
      <w:r>
        <w:rPr>
          <w:noProof/>
          <w:sz w:val="20"/>
          <w:szCs w:val="20"/>
        </w:rPr>
        <w:drawing>
          <wp:anchor distT="0" distB="0" distL="114300" distR="114300" simplePos="0" relativeHeight="251403264" behindDoc="1" locked="0" layoutInCell="0" allowOverlap="1" wp14:anchorId="3ED38B86" wp14:editId="549C7071">
            <wp:simplePos x="0" y="0"/>
            <wp:positionH relativeFrom="column">
              <wp:posOffset>5080</wp:posOffset>
            </wp:positionH>
            <wp:positionV relativeFrom="paragraph">
              <wp:posOffset>41275</wp:posOffset>
            </wp:positionV>
            <wp:extent cx="7132320" cy="1714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5EDEAB74" w14:textId="77777777" w:rsidR="00D1587D" w:rsidRDefault="00D1587D">
      <w:pPr>
        <w:sectPr w:rsidR="00D1587D">
          <w:pgSz w:w="11900" w:h="16838"/>
          <w:pgMar w:top="118" w:right="339" w:bottom="1440" w:left="320" w:header="0" w:footer="0" w:gutter="0"/>
          <w:cols w:space="720" w:equalWidth="0">
            <w:col w:w="11240"/>
          </w:cols>
        </w:sectPr>
      </w:pPr>
    </w:p>
    <w:p w14:paraId="1F6479DA" w14:textId="77777777" w:rsidR="00D1587D" w:rsidRDefault="00410D07">
      <w:pPr>
        <w:spacing w:line="236" w:lineRule="auto"/>
        <w:ind w:firstLine="972"/>
        <w:jc w:val="both"/>
        <w:rPr>
          <w:sz w:val="20"/>
          <w:szCs w:val="20"/>
        </w:rPr>
      </w:pPr>
      <w:bookmarkStart w:id="239" w:name="page240"/>
      <w:bookmarkEnd w:id="239"/>
      <w:r>
        <w:rPr>
          <w:rFonts w:ascii="Arial" w:eastAsia="Arial" w:hAnsi="Arial" w:cs="Arial"/>
        </w:rPr>
        <w:t xml:space="preserve">“Independent Legal Counsel” shall mean a law firm or a member of a law firm that (a) neither is nor in the past five years has been retained to represent in any material matter the Company, any Subsidiary, Indemnitee or any other party </w:t>
      </w:r>
      <w:r>
        <w:rPr>
          <w:rFonts w:ascii="Arial" w:eastAsia="Arial" w:hAnsi="Arial" w:cs="Arial"/>
        </w:rPr>
        <w:t>to the Claim, (b) under applicable standards of professional conduct then prevailing would not have a conflict of interest in representing either the Company or Indemnitee in an action to determine Indemnitee’s rights to indemnification under this Agreemen</w:t>
      </w:r>
      <w:r>
        <w:rPr>
          <w:rFonts w:ascii="Arial" w:eastAsia="Arial" w:hAnsi="Arial" w:cs="Arial"/>
        </w:rPr>
        <w:t>t and (c) is reasonably acceptable to the Company and Indemnitee.</w:t>
      </w:r>
    </w:p>
    <w:p w14:paraId="6CA36B92" w14:textId="77777777" w:rsidR="00D1587D" w:rsidRDefault="00D1587D">
      <w:pPr>
        <w:spacing w:line="215" w:lineRule="exact"/>
        <w:rPr>
          <w:sz w:val="20"/>
          <w:szCs w:val="20"/>
        </w:rPr>
      </w:pPr>
    </w:p>
    <w:p w14:paraId="5462B5E6" w14:textId="77777777" w:rsidR="00D1587D" w:rsidRDefault="00410D07">
      <w:pPr>
        <w:spacing w:line="249" w:lineRule="auto"/>
        <w:ind w:firstLine="972"/>
        <w:jc w:val="both"/>
        <w:rPr>
          <w:sz w:val="20"/>
          <w:szCs w:val="20"/>
        </w:rPr>
      </w:pPr>
      <w:r>
        <w:rPr>
          <w:rFonts w:ascii="Arial" w:eastAsia="Arial" w:hAnsi="Arial" w:cs="Arial"/>
          <w:sz w:val="21"/>
          <w:szCs w:val="21"/>
        </w:rPr>
        <w:t>“Loss” means any amount which Indemnitee is legally obligated to pay as a result of any Claim, including, without limitation (a) all judgments, penalties and fines, and amounts paid or to b</w:t>
      </w:r>
      <w:r>
        <w:rPr>
          <w:rFonts w:ascii="Arial" w:eastAsia="Arial" w:hAnsi="Arial" w:cs="Arial"/>
          <w:sz w:val="21"/>
          <w:szCs w:val="21"/>
        </w:rPr>
        <w:t>e paid in settlement, (b) all interest, assessments and other charges paid or payable in connection therewith and (c) any federal, state, local or foreign taxes imposed (net of the value to Indemnitee of any tax benefits resulting from tax deductions or ot</w:t>
      </w:r>
      <w:r>
        <w:rPr>
          <w:rFonts w:ascii="Arial" w:eastAsia="Arial" w:hAnsi="Arial" w:cs="Arial"/>
          <w:sz w:val="21"/>
          <w:szCs w:val="21"/>
        </w:rPr>
        <w:t>herwise) as a result of the actual or deemed receipt of any payments under this Agreement, including the creation of the Trust.</w:t>
      </w:r>
    </w:p>
    <w:p w14:paraId="69E92E1D" w14:textId="77777777" w:rsidR="00D1587D" w:rsidRDefault="00D1587D">
      <w:pPr>
        <w:spacing w:line="205" w:lineRule="exact"/>
        <w:rPr>
          <w:sz w:val="20"/>
          <w:szCs w:val="20"/>
        </w:rPr>
      </w:pPr>
    </w:p>
    <w:p w14:paraId="319B0E84" w14:textId="77777777" w:rsidR="00D1587D" w:rsidRDefault="00410D07">
      <w:pPr>
        <w:spacing w:line="273" w:lineRule="auto"/>
        <w:ind w:firstLine="972"/>
        <w:jc w:val="both"/>
        <w:rPr>
          <w:sz w:val="20"/>
          <w:szCs w:val="20"/>
        </w:rPr>
      </w:pPr>
      <w:r>
        <w:rPr>
          <w:rFonts w:ascii="Arial" w:eastAsia="Arial" w:hAnsi="Arial" w:cs="Arial"/>
          <w:sz w:val="19"/>
          <w:szCs w:val="19"/>
        </w:rPr>
        <w:t>“Other Enterprise” means any corporation (other than the Company or any Subsidiary), partnership, joint venture, association, e</w:t>
      </w:r>
      <w:r>
        <w:rPr>
          <w:rFonts w:ascii="Arial" w:eastAsia="Arial" w:hAnsi="Arial" w:cs="Arial"/>
          <w:sz w:val="19"/>
          <w:szCs w:val="19"/>
        </w:rPr>
        <w:t>mployee benefit plan, trust or other enterprise or organization for which Indemnitee acts as a Company Agent at the request of the Company or any Subsidiary. Indemnitee shall be deemed to be acting as a Company Agent of an Other Enterprise at the request o</w:t>
      </w:r>
      <w:r>
        <w:rPr>
          <w:rFonts w:ascii="Arial" w:eastAsia="Arial" w:hAnsi="Arial" w:cs="Arial"/>
          <w:sz w:val="19"/>
          <w:szCs w:val="19"/>
        </w:rPr>
        <w:t>f the Company with respect to any Other Enterprise in which the Company or any Subsidiary has an investment as to which Indemnitee shall act as a Company Agent from time to time. Indemnitee shall be deemed to be acting as a Company Agent of an Other Enterp</w:t>
      </w:r>
      <w:r>
        <w:rPr>
          <w:rFonts w:ascii="Arial" w:eastAsia="Arial" w:hAnsi="Arial" w:cs="Arial"/>
          <w:sz w:val="19"/>
          <w:szCs w:val="19"/>
        </w:rPr>
        <w:t>rise at the request of the Company, if Indemnitee acts as a Company Agent of an Other Enterprise at the written or oral request of the Board of Directors of the Company or of any Subsidiary by which the Indemnitee is employed from time to time, at the writ</w:t>
      </w:r>
      <w:r>
        <w:rPr>
          <w:rFonts w:ascii="Arial" w:eastAsia="Arial" w:hAnsi="Arial" w:cs="Arial"/>
          <w:sz w:val="19"/>
          <w:szCs w:val="19"/>
        </w:rPr>
        <w:t>ten or oral request of an Executive Officer of the Company or of any Subsidiary by which the Indemnitee is employed from time to time or if Indemnitee acts as a Company Agent of an Other Enterprise by reason of being requested, elected, hired or retained t</w:t>
      </w:r>
      <w:r>
        <w:rPr>
          <w:rFonts w:ascii="Arial" w:eastAsia="Arial" w:hAnsi="Arial" w:cs="Arial"/>
          <w:sz w:val="19"/>
          <w:szCs w:val="19"/>
        </w:rPr>
        <w:t>o succeed or assume the responsibilities of a Person who previously acted as a Company Agent of an Other Enterprise at the request of the Company.</w:t>
      </w:r>
    </w:p>
    <w:p w14:paraId="24889AB9" w14:textId="77777777" w:rsidR="00D1587D" w:rsidRDefault="00D1587D">
      <w:pPr>
        <w:spacing w:line="182" w:lineRule="exact"/>
        <w:rPr>
          <w:sz w:val="20"/>
          <w:szCs w:val="20"/>
        </w:rPr>
      </w:pPr>
    </w:p>
    <w:p w14:paraId="27A46A99" w14:textId="77777777" w:rsidR="00D1587D" w:rsidRDefault="00410D07">
      <w:pPr>
        <w:spacing w:line="238" w:lineRule="auto"/>
        <w:ind w:firstLine="972"/>
        <w:jc w:val="both"/>
        <w:rPr>
          <w:sz w:val="20"/>
          <w:szCs w:val="20"/>
        </w:rPr>
      </w:pPr>
      <w:r>
        <w:rPr>
          <w:rFonts w:ascii="Arial" w:eastAsia="Arial" w:hAnsi="Arial" w:cs="Arial"/>
        </w:rPr>
        <w:t>“Parent” shall have the meaning set forth in the regulations of the Securities and Exchange Commission under</w:t>
      </w:r>
      <w:r>
        <w:rPr>
          <w:rFonts w:ascii="Arial" w:eastAsia="Arial" w:hAnsi="Arial" w:cs="Arial"/>
        </w:rPr>
        <w:t xml:space="preserve"> the Securities Act of 1933, as amended; provided the term “Parent” shall not include the board of directors of a corporation in its capacity as a board of directors, and provided further that if the other party to any transaction referred to in Section 12</w:t>
      </w:r>
      <w:r>
        <w:rPr>
          <w:rFonts w:ascii="Arial" w:eastAsia="Arial" w:hAnsi="Arial" w:cs="Arial"/>
        </w:rPr>
        <w:t>.1.2 has no Parent as so defined above, “Parent” shall mean such other party.</w:t>
      </w:r>
    </w:p>
    <w:p w14:paraId="699A3CAE" w14:textId="77777777" w:rsidR="00D1587D" w:rsidRDefault="00D1587D">
      <w:pPr>
        <w:spacing w:line="212" w:lineRule="exact"/>
        <w:rPr>
          <w:sz w:val="20"/>
          <w:szCs w:val="20"/>
        </w:rPr>
      </w:pPr>
    </w:p>
    <w:p w14:paraId="5D16DBE4" w14:textId="77777777" w:rsidR="00D1587D" w:rsidRDefault="00410D07">
      <w:pPr>
        <w:spacing w:line="238" w:lineRule="auto"/>
        <w:ind w:firstLine="972"/>
        <w:jc w:val="both"/>
        <w:rPr>
          <w:sz w:val="20"/>
          <w:szCs w:val="20"/>
        </w:rPr>
      </w:pPr>
      <w:r>
        <w:rPr>
          <w:rFonts w:ascii="Arial" w:eastAsia="Arial" w:hAnsi="Arial" w:cs="Arial"/>
        </w:rPr>
        <w:t>“Person” means any individual, corporation, partnership, joint venture, association, joint-stock company, trust, unincorporated organization or government (or any subdivision, d</w:t>
      </w:r>
      <w:r>
        <w:rPr>
          <w:rFonts w:ascii="Arial" w:eastAsia="Arial" w:hAnsi="Arial" w:cs="Arial"/>
        </w:rPr>
        <w:t>epartment, commission or agency thereof), and includes without limitation any “person,” as such term is used in Sections 13(d) and 14(d) of the Securities Exchange Act of 1934, as amended.</w:t>
      </w:r>
    </w:p>
    <w:p w14:paraId="50FE9D42" w14:textId="77777777" w:rsidR="00D1587D" w:rsidRDefault="00D1587D">
      <w:pPr>
        <w:spacing w:line="212" w:lineRule="exact"/>
        <w:rPr>
          <w:sz w:val="20"/>
          <w:szCs w:val="20"/>
        </w:rPr>
      </w:pPr>
    </w:p>
    <w:p w14:paraId="52E3C83D" w14:textId="77777777" w:rsidR="00D1587D" w:rsidRDefault="00410D07">
      <w:pPr>
        <w:spacing w:line="236" w:lineRule="auto"/>
        <w:ind w:firstLine="972"/>
        <w:jc w:val="both"/>
        <w:rPr>
          <w:sz w:val="20"/>
          <w:szCs w:val="20"/>
        </w:rPr>
      </w:pPr>
      <w:r>
        <w:rPr>
          <w:rFonts w:ascii="Arial" w:eastAsia="Arial" w:hAnsi="Arial" w:cs="Arial"/>
        </w:rPr>
        <w:t xml:space="preserve">“Potential Change in Control” shall be deemed to have occurred if </w:t>
      </w:r>
      <w:r>
        <w:rPr>
          <w:rFonts w:ascii="Arial" w:eastAsia="Arial" w:hAnsi="Arial" w:cs="Arial"/>
        </w:rPr>
        <w:t>(a) the Company enters into an agreement or arrangement the consummation of which would result in the occurrence of a Change in Control, (b) any Person (including the Company) publicly announces an intention to take or to consider taking actions which if c</w:t>
      </w:r>
      <w:r>
        <w:rPr>
          <w:rFonts w:ascii="Arial" w:eastAsia="Arial" w:hAnsi="Arial" w:cs="Arial"/>
        </w:rPr>
        <w:t>onsummated would constitute a Change in Control or (c) the Board of Directors of the Company adopts a resolution to the effect that, for purposes of this Agreement, a Potential Change in Control has occurred.</w:t>
      </w:r>
    </w:p>
    <w:p w14:paraId="0785AF25" w14:textId="77777777" w:rsidR="00D1587D" w:rsidRDefault="00D1587D">
      <w:pPr>
        <w:spacing w:line="147" w:lineRule="exact"/>
        <w:rPr>
          <w:sz w:val="20"/>
          <w:szCs w:val="20"/>
        </w:rPr>
      </w:pPr>
    </w:p>
    <w:p w14:paraId="2E9CCFE5" w14:textId="77777777" w:rsidR="00D1587D" w:rsidRDefault="00410D07">
      <w:pPr>
        <w:jc w:val="center"/>
        <w:rPr>
          <w:sz w:val="20"/>
          <w:szCs w:val="20"/>
        </w:rPr>
      </w:pPr>
      <w:r>
        <w:rPr>
          <w:rFonts w:ascii="Arial" w:eastAsia="Arial" w:hAnsi="Arial" w:cs="Arial"/>
        </w:rPr>
        <w:t>3</w:t>
      </w:r>
    </w:p>
    <w:p w14:paraId="50E05989" w14:textId="77777777" w:rsidR="00D1587D" w:rsidRDefault="00410D07">
      <w:pPr>
        <w:spacing w:line="20" w:lineRule="exact"/>
        <w:rPr>
          <w:sz w:val="20"/>
          <w:szCs w:val="20"/>
        </w:rPr>
      </w:pPr>
      <w:r>
        <w:rPr>
          <w:noProof/>
          <w:sz w:val="20"/>
          <w:szCs w:val="20"/>
        </w:rPr>
        <w:drawing>
          <wp:anchor distT="0" distB="0" distL="114300" distR="114300" simplePos="0" relativeHeight="251404288" behindDoc="1" locked="0" layoutInCell="0" allowOverlap="1" wp14:anchorId="10927F69" wp14:editId="5F2EA93F">
            <wp:simplePos x="0" y="0"/>
            <wp:positionH relativeFrom="column">
              <wp:posOffset>5080</wp:posOffset>
            </wp:positionH>
            <wp:positionV relativeFrom="paragraph">
              <wp:posOffset>41275</wp:posOffset>
            </wp:positionV>
            <wp:extent cx="7132320" cy="1714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9D7B256" w14:textId="77777777" w:rsidR="00D1587D" w:rsidRDefault="00D1587D">
      <w:pPr>
        <w:sectPr w:rsidR="00D1587D">
          <w:pgSz w:w="11900" w:h="16838"/>
          <w:pgMar w:top="118" w:right="339" w:bottom="1440" w:left="320" w:header="0" w:footer="0" w:gutter="0"/>
          <w:cols w:space="720" w:equalWidth="0">
            <w:col w:w="11240"/>
          </w:cols>
        </w:sectPr>
      </w:pPr>
    </w:p>
    <w:p w14:paraId="72E177B6" w14:textId="77777777" w:rsidR="00D1587D" w:rsidRDefault="00410D07">
      <w:pPr>
        <w:spacing w:line="329" w:lineRule="auto"/>
        <w:ind w:firstLine="972"/>
        <w:jc w:val="both"/>
        <w:rPr>
          <w:sz w:val="20"/>
          <w:szCs w:val="20"/>
        </w:rPr>
      </w:pPr>
      <w:bookmarkStart w:id="240" w:name="page241"/>
      <w:bookmarkEnd w:id="240"/>
      <w:r>
        <w:rPr>
          <w:rFonts w:ascii="Arial" w:eastAsia="Arial" w:hAnsi="Arial" w:cs="Arial"/>
          <w:sz w:val="19"/>
          <w:szCs w:val="19"/>
        </w:rPr>
        <w:t>“Subsidiary” means any corporation of which more than 50% of the outstanding stock having ordinary voting power to elect a majority of the board of directors of such corporation is now or hereafter owned, directly or indirectly, by the Company.</w:t>
      </w:r>
    </w:p>
    <w:p w14:paraId="4EBA8597" w14:textId="77777777" w:rsidR="00D1587D" w:rsidRDefault="00D1587D">
      <w:pPr>
        <w:spacing w:line="131" w:lineRule="exact"/>
        <w:rPr>
          <w:sz w:val="20"/>
          <w:szCs w:val="20"/>
        </w:rPr>
      </w:pPr>
    </w:p>
    <w:p w14:paraId="64A3D116" w14:textId="77777777" w:rsidR="00D1587D" w:rsidRDefault="00410D07">
      <w:pPr>
        <w:ind w:left="980"/>
        <w:rPr>
          <w:sz w:val="20"/>
          <w:szCs w:val="20"/>
        </w:rPr>
      </w:pPr>
      <w:r>
        <w:rPr>
          <w:rFonts w:ascii="Arial" w:eastAsia="Arial" w:hAnsi="Arial" w:cs="Arial"/>
        </w:rPr>
        <w:t>“Trust” ha</w:t>
      </w:r>
      <w:r>
        <w:rPr>
          <w:rFonts w:ascii="Arial" w:eastAsia="Arial" w:hAnsi="Arial" w:cs="Arial"/>
        </w:rPr>
        <w:t>s the meaning set forth in Section 9.2.</w:t>
      </w:r>
    </w:p>
    <w:p w14:paraId="7B993405" w14:textId="77777777" w:rsidR="00D1587D" w:rsidRDefault="00D1587D">
      <w:pPr>
        <w:spacing w:line="233" w:lineRule="exact"/>
        <w:rPr>
          <w:sz w:val="20"/>
          <w:szCs w:val="20"/>
        </w:rPr>
      </w:pPr>
    </w:p>
    <w:p w14:paraId="3F6DADC2" w14:textId="77777777" w:rsidR="00D1587D" w:rsidRDefault="00410D07">
      <w:pPr>
        <w:ind w:left="980"/>
        <w:rPr>
          <w:sz w:val="20"/>
          <w:szCs w:val="20"/>
        </w:rPr>
      </w:pPr>
      <w:r>
        <w:rPr>
          <w:rFonts w:ascii="Arial" w:eastAsia="Arial" w:hAnsi="Arial" w:cs="Arial"/>
        </w:rPr>
        <w:t>“Voting Securities” means any securities of the Company which vote generally in the election of directors.</w:t>
      </w:r>
    </w:p>
    <w:p w14:paraId="6DAFD4C0" w14:textId="77777777" w:rsidR="00D1587D" w:rsidRDefault="00D1587D">
      <w:pPr>
        <w:spacing w:line="227" w:lineRule="exact"/>
        <w:rPr>
          <w:sz w:val="20"/>
          <w:szCs w:val="20"/>
        </w:rPr>
      </w:pPr>
    </w:p>
    <w:p w14:paraId="0D81AB76" w14:textId="77777777" w:rsidR="00D1587D" w:rsidRDefault="00410D07">
      <w:pPr>
        <w:ind w:left="500"/>
        <w:rPr>
          <w:sz w:val="20"/>
          <w:szCs w:val="20"/>
        </w:rPr>
      </w:pPr>
      <w:r>
        <w:rPr>
          <w:rFonts w:ascii="Arial" w:eastAsia="Arial" w:hAnsi="Arial" w:cs="Arial"/>
        </w:rPr>
        <w:t xml:space="preserve">Section 2. </w:t>
      </w:r>
      <w:r>
        <w:rPr>
          <w:rFonts w:ascii="Arial" w:eastAsia="Arial" w:hAnsi="Arial" w:cs="Arial"/>
          <w:b/>
          <w:bCs/>
        </w:rPr>
        <w:t>Indemnification.</w:t>
      </w:r>
    </w:p>
    <w:p w14:paraId="429B7BF3" w14:textId="77777777" w:rsidR="00D1587D" w:rsidRDefault="00D1587D">
      <w:pPr>
        <w:spacing w:line="239" w:lineRule="exact"/>
        <w:rPr>
          <w:sz w:val="20"/>
          <w:szCs w:val="20"/>
        </w:rPr>
      </w:pPr>
    </w:p>
    <w:p w14:paraId="61EEE7F3" w14:textId="77777777" w:rsidR="00D1587D" w:rsidRDefault="00410D07">
      <w:pPr>
        <w:ind w:left="980"/>
        <w:rPr>
          <w:sz w:val="20"/>
          <w:szCs w:val="20"/>
        </w:rPr>
      </w:pPr>
      <w:r>
        <w:rPr>
          <w:rFonts w:ascii="Arial" w:eastAsia="Arial" w:hAnsi="Arial" w:cs="Arial"/>
        </w:rPr>
        <w:t xml:space="preserve">2.1. </w:t>
      </w:r>
      <w:r>
        <w:rPr>
          <w:rFonts w:ascii="Arial" w:eastAsia="Arial" w:hAnsi="Arial" w:cs="Arial"/>
          <w:u w:val="single"/>
        </w:rPr>
        <w:t>General Indemnity Obligation.</w:t>
      </w:r>
    </w:p>
    <w:p w14:paraId="25454AD7" w14:textId="77777777" w:rsidR="00D1587D" w:rsidRDefault="00D1587D">
      <w:pPr>
        <w:spacing w:line="233" w:lineRule="exact"/>
        <w:rPr>
          <w:sz w:val="20"/>
          <w:szCs w:val="20"/>
        </w:rPr>
      </w:pPr>
    </w:p>
    <w:p w14:paraId="6E54F3B8" w14:textId="77777777" w:rsidR="00D1587D" w:rsidRDefault="00410D07">
      <w:pPr>
        <w:spacing w:line="235" w:lineRule="auto"/>
        <w:ind w:firstLine="1459"/>
        <w:jc w:val="both"/>
        <w:rPr>
          <w:sz w:val="20"/>
          <w:szCs w:val="20"/>
        </w:rPr>
      </w:pPr>
      <w:r>
        <w:rPr>
          <w:rFonts w:ascii="Arial" w:eastAsia="Arial" w:hAnsi="Arial" w:cs="Arial"/>
        </w:rPr>
        <w:t xml:space="preserve">2.1.1. Subject to the remaining </w:t>
      </w:r>
      <w:r>
        <w:rPr>
          <w:rFonts w:ascii="Arial" w:eastAsia="Arial" w:hAnsi="Arial" w:cs="Arial"/>
        </w:rPr>
        <w:t>provisions of this Agreement, the Company hereby indemnifies and holds Indemnitee harmless for any Losses or Expenses arising from any Claims relating to (or arising in whole or in part out of) any Covered Event, including, without limitation, any Claim th</w:t>
      </w:r>
      <w:r>
        <w:rPr>
          <w:rFonts w:ascii="Arial" w:eastAsia="Arial" w:hAnsi="Arial" w:cs="Arial"/>
        </w:rPr>
        <w:t>e basis of which is any actual or alleged breach of duty, neglect, error, misstatement, misleading statement, omission or other act done or attempted by Indemnitee in the capacity as a Company Agent, whether or not Indemnitee is acting or serving in such c</w:t>
      </w:r>
      <w:r>
        <w:rPr>
          <w:rFonts w:ascii="Arial" w:eastAsia="Arial" w:hAnsi="Arial" w:cs="Arial"/>
        </w:rPr>
        <w:t>apacity at the date of this Agreement, at the time liability is incurred or at the time the Claim is initiated.</w:t>
      </w:r>
    </w:p>
    <w:p w14:paraId="4C16BCF9" w14:textId="77777777" w:rsidR="00D1587D" w:rsidRDefault="00D1587D">
      <w:pPr>
        <w:spacing w:line="215" w:lineRule="exact"/>
        <w:rPr>
          <w:sz w:val="20"/>
          <w:szCs w:val="20"/>
        </w:rPr>
      </w:pPr>
    </w:p>
    <w:p w14:paraId="1F5C8249" w14:textId="77777777" w:rsidR="00D1587D" w:rsidRDefault="00410D07">
      <w:pPr>
        <w:spacing w:line="252" w:lineRule="auto"/>
        <w:ind w:firstLine="1459"/>
        <w:jc w:val="both"/>
        <w:rPr>
          <w:sz w:val="20"/>
          <w:szCs w:val="20"/>
        </w:rPr>
      </w:pPr>
      <w:r>
        <w:rPr>
          <w:rFonts w:ascii="Arial" w:eastAsia="Arial" w:hAnsi="Arial" w:cs="Arial"/>
          <w:sz w:val="21"/>
          <w:szCs w:val="21"/>
        </w:rPr>
        <w:t>2.1.2. The obligations of the Company under this Agreement shall apply to the fullest extent authorized or permitted by the provisions of appli</w:t>
      </w:r>
      <w:r>
        <w:rPr>
          <w:rFonts w:ascii="Arial" w:eastAsia="Arial" w:hAnsi="Arial" w:cs="Arial"/>
          <w:sz w:val="21"/>
          <w:szCs w:val="21"/>
        </w:rPr>
        <w:t>cable law, as presently in effect or as changed after the date of this Agreement, whether by statute or judicial decision (but, in the case of any subsequent change, only to the extent that such change permits the Company to provide broader indemnification</w:t>
      </w:r>
      <w:r>
        <w:rPr>
          <w:rFonts w:ascii="Arial" w:eastAsia="Arial" w:hAnsi="Arial" w:cs="Arial"/>
          <w:sz w:val="21"/>
          <w:szCs w:val="21"/>
        </w:rPr>
        <w:t xml:space="preserve"> than permitted prior to giving effect thereto).</w:t>
      </w:r>
    </w:p>
    <w:p w14:paraId="3AFEFE97" w14:textId="77777777" w:rsidR="00D1587D" w:rsidRDefault="00D1587D">
      <w:pPr>
        <w:spacing w:line="201" w:lineRule="exact"/>
        <w:rPr>
          <w:sz w:val="20"/>
          <w:szCs w:val="20"/>
        </w:rPr>
      </w:pPr>
    </w:p>
    <w:p w14:paraId="6379B90D" w14:textId="77777777" w:rsidR="00D1587D" w:rsidRDefault="00410D07">
      <w:pPr>
        <w:spacing w:line="249" w:lineRule="auto"/>
        <w:ind w:firstLine="1459"/>
        <w:jc w:val="both"/>
        <w:rPr>
          <w:sz w:val="20"/>
          <w:szCs w:val="20"/>
        </w:rPr>
      </w:pPr>
      <w:r>
        <w:rPr>
          <w:rFonts w:ascii="Arial" w:eastAsia="Arial" w:hAnsi="Arial" w:cs="Arial"/>
          <w:sz w:val="21"/>
          <w:szCs w:val="21"/>
        </w:rPr>
        <w:t>2.1.3. Indemnitee shall not be entitled to indemnification pursuant to this Agreement in connection with any Claim initiated by Indemnitee against the Company or any director or officer of the Company, unle</w:t>
      </w:r>
      <w:r>
        <w:rPr>
          <w:rFonts w:ascii="Arial" w:eastAsia="Arial" w:hAnsi="Arial" w:cs="Arial"/>
          <w:sz w:val="21"/>
          <w:szCs w:val="21"/>
        </w:rPr>
        <w:t>ss the Company has joined in or consented to the initiation of such Claim; provided, the provisions of this Section 2.1.3 shall not apply following a Change in Control to Claims seeking enforcement of this Agreement, the Certificate of Incorporation or Byl</w:t>
      </w:r>
      <w:r>
        <w:rPr>
          <w:rFonts w:ascii="Arial" w:eastAsia="Arial" w:hAnsi="Arial" w:cs="Arial"/>
          <w:sz w:val="21"/>
          <w:szCs w:val="21"/>
        </w:rPr>
        <w:t>aws of the Company or any other agreement now or hereafter in effect relating to indemnification for Covered Events.</w:t>
      </w:r>
    </w:p>
    <w:p w14:paraId="4FBD0B87" w14:textId="77777777" w:rsidR="00D1587D" w:rsidRDefault="00D1587D">
      <w:pPr>
        <w:spacing w:line="205" w:lineRule="exact"/>
        <w:rPr>
          <w:sz w:val="20"/>
          <w:szCs w:val="20"/>
        </w:rPr>
      </w:pPr>
    </w:p>
    <w:p w14:paraId="227011C9" w14:textId="77777777" w:rsidR="00D1587D" w:rsidRDefault="00410D07">
      <w:pPr>
        <w:spacing w:line="297" w:lineRule="auto"/>
        <w:ind w:firstLine="1459"/>
        <w:jc w:val="both"/>
        <w:rPr>
          <w:sz w:val="20"/>
          <w:szCs w:val="20"/>
        </w:rPr>
      </w:pPr>
      <w:r>
        <w:rPr>
          <w:rFonts w:ascii="Arial" w:eastAsia="Arial" w:hAnsi="Arial" w:cs="Arial"/>
          <w:sz w:val="19"/>
          <w:szCs w:val="19"/>
        </w:rPr>
        <w:t xml:space="preserve">2.1.4. If Indemnitee is entitled under any provision of this Agreement to indemnification by the Company for some or a portion of the </w:t>
      </w:r>
      <w:r>
        <w:rPr>
          <w:rFonts w:ascii="Arial" w:eastAsia="Arial" w:hAnsi="Arial" w:cs="Arial"/>
          <w:sz w:val="19"/>
          <w:szCs w:val="19"/>
        </w:rPr>
        <w:t>Losses or Expenses paid with respect to a Claim but not, however, for the total amount thereof, the Company shall nevertheless indemnify and hold Indemnitee harmless against the portion thereof to which Indemnitee is entitled.</w:t>
      </w:r>
    </w:p>
    <w:p w14:paraId="40671A65" w14:textId="77777777" w:rsidR="00D1587D" w:rsidRDefault="00D1587D">
      <w:pPr>
        <w:spacing w:line="161" w:lineRule="exact"/>
        <w:rPr>
          <w:sz w:val="20"/>
          <w:szCs w:val="20"/>
        </w:rPr>
      </w:pPr>
    </w:p>
    <w:p w14:paraId="4E6C6E61" w14:textId="77777777" w:rsidR="00D1587D" w:rsidRDefault="00410D07">
      <w:pPr>
        <w:spacing w:line="252" w:lineRule="auto"/>
        <w:ind w:firstLine="1459"/>
        <w:jc w:val="both"/>
        <w:rPr>
          <w:sz w:val="20"/>
          <w:szCs w:val="20"/>
        </w:rPr>
      </w:pPr>
      <w:r>
        <w:rPr>
          <w:rFonts w:ascii="Arial" w:eastAsia="Arial" w:hAnsi="Arial" w:cs="Arial"/>
          <w:sz w:val="21"/>
          <w:szCs w:val="21"/>
        </w:rPr>
        <w:t>2.1.5. Notwithstanding any o</w:t>
      </w:r>
      <w:r>
        <w:rPr>
          <w:rFonts w:ascii="Arial" w:eastAsia="Arial" w:hAnsi="Arial" w:cs="Arial"/>
          <w:sz w:val="21"/>
          <w:szCs w:val="21"/>
        </w:rPr>
        <w:t>ther provision of this Agreement, to the extent that Indemnitee has been successful on the merits or otherwise in defense of any or all Claims relating to (or arising in whole or in part out of) a Covered Event or in defense of any issue or matter therein,</w:t>
      </w:r>
      <w:r>
        <w:rPr>
          <w:rFonts w:ascii="Arial" w:eastAsia="Arial" w:hAnsi="Arial" w:cs="Arial"/>
          <w:sz w:val="21"/>
          <w:szCs w:val="21"/>
        </w:rPr>
        <w:t xml:space="preserve"> including dismissal without prejudice, the Company shall indemnify and hold Indemnitee harmless against all expenses actually and reasonably incurred in connection therewith.</w:t>
      </w:r>
    </w:p>
    <w:p w14:paraId="30D36957" w14:textId="77777777" w:rsidR="00D1587D" w:rsidRDefault="00D1587D">
      <w:pPr>
        <w:spacing w:line="133" w:lineRule="exact"/>
        <w:rPr>
          <w:sz w:val="20"/>
          <w:szCs w:val="20"/>
        </w:rPr>
      </w:pPr>
    </w:p>
    <w:p w14:paraId="397CE9E0" w14:textId="77777777" w:rsidR="00D1587D" w:rsidRDefault="00410D07">
      <w:pPr>
        <w:jc w:val="center"/>
        <w:rPr>
          <w:sz w:val="20"/>
          <w:szCs w:val="20"/>
        </w:rPr>
      </w:pPr>
      <w:r>
        <w:rPr>
          <w:rFonts w:ascii="Arial" w:eastAsia="Arial" w:hAnsi="Arial" w:cs="Arial"/>
        </w:rPr>
        <w:t>4</w:t>
      </w:r>
    </w:p>
    <w:p w14:paraId="082503DB" w14:textId="77777777" w:rsidR="00D1587D" w:rsidRDefault="00410D07">
      <w:pPr>
        <w:spacing w:line="20" w:lineRule="exact"/>
        <w:rPr>
          <w:sz w:val="20"/>
          <w:szCs w:val="20"/>
        </w:rPr>
      </w:pPr>
      <w:r>
        <w:rPr>
          <w:noProof/>
          <w:sz w:val="20"/>
          <w:szCs w:val="20"/>
        </w:rPr>
        <w:drawing>
          <wp:anchor distT="0" distB="0" distL="114300" distR="114300" simplePos="0" relativeHeight="251405312" behindDoc="1" locked="0" layoutInCell="0" allowOverlap="1" wp14:anchorId="1C1FC861" wp14:editId="0A56F9B3">
            <wp:simplePos x="0" y="0"/>
            <wp:positionH relativeFrom="column">
              <wp:posOffset>5080</wp:posOffset>
            </wp:positionH>
            <wp:positionV relativeFrom="paragraph">
              <wp:posOffset>41275</wp:posOffset>
            </wp:positionV>
            <wp:extent cx="7132320" cy="1714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F1194FF" w14:textId="77777777" w:rsidR="00D1587D" w:rsidRDefault="00D1587D">
      <w:pPr>
        <w:sectPr w:rsidR="00D1587D">
          <w:pgSz w:w="11900" w:h="16838"/>
          <w:pgMar w:top="118" w:right="339" w:bottom="1440" w:left="320" w:header="0" w:footer="0" w:gutter="0"/>
          <w:cols w:space="720" w:equalWidth="0">
            <w:col w:w="11240"/>
          </w:cols>
        </w:sectPr>
      </w:pPr>
    </w:p>
    <w:p w14:paraId="308DA319" w14:textId="77777777" w:rsidR="00D1587D" w:rsidRDefault="00410D07">
      <w:pPr>
        <w:spacing w:line="274" w:lineRule="auto"/>
        <w:ind w:firstLine="972"/>
        <w:jc w:val="both"/>
        <w:rPr>
          <w:sz w:val="20"/>
          <w:szCs w:val="20"/>
        </w:rPr>
      </w:pPr>
      <w:bookmarkStart w:id="241" w:name="page242"/>
      <w:bookmarkEnd w:id="241"/>
      <w:r>
        <w:rPr>
          <w:rFonts w:ascii="Arial" w:eastAsia="Arial" w:hAnsi="Arial" w:cs="Arial"/>
          <w:sz w:val="19"/>
          <w:szCs w:val="19"/>
        </w:rPr>
        <w:t xml:space="preserve">2.2. </w:t>
      </w:r>
      <w:r>
        <w:rPr>
          <w:rFonts w:ascii="Arial" w:eastAsia="Arial" w:hAnsi="Arial" w:cs="Arial"/>
          <w:sz w:val="19"/>
          <w:szCs w:val="19"/>
          <w:u w:val="single"/>
        </w:rPr>
        <w:t>Indemnification for Serving as Witness and Certain</w:t>
      </w:r>
      <w:r>
        <w:rPr>
          <w:rFonts w:ascii="Arial" w:eastAsia="Arial" w:hAnsi="Arial" w:cs="Arial"/>
          <w:sz w:val="19"/>
          <w:szCs w:val="19"/>
          <w:u w:val="single"/>
        </w:rPr>
        <w:t xml:space="preserve"> Other Claims.</w:t>
      </w:r>
      <w:r>
        <w:rPr>
          <w:rFonts w:ascii="Arial" w:eastAsia="Arial" w:hAnsi="Arial" w:cs="Arial"/>
          <w:sz w:val="19"/>
          <w:szCs w:val="19"/>
        </w:rPr>
        <w:t xml:space="preserve"> Notwithstanding any other provision of this Agreement, the Company hereby indemnifies and holds Indemnitee harmless for all Expenses in connection with (a) the preparation to serve or service as a witness in any Claim in which Indemnitee is </w:t>
      </w:r>
      <w:r>
        <w:rPr>
          <w:rFonts w:ascii="Arial" w:eastAsia="Arial" w:hAnsi="Arial" w:cs="Arial"/>
          <w:sz w:val="19"/>
          <w:szCs w:val="19"/>
        </w:rPr>
        <w:t>not a party, if such actual or proposed service as a witness arose by reason of Indemnitee having served as a Company Agent on or after the date of this Agreement and (b) any Claim initiated by Indemnitee on or after the date of this Agreement (i) for reco</w:t>
      </w:r>
      <w:r>
        <w:rPr>
          <w:rFonts w:ascii="Arial" w:eastAsia="Arial" w:hAnsi="Arial" w:cs="Arial"/>
          <w:sz w:val="19"/>
          <w:szCs w:val="19"/>
        </w:rPr>
        <w:t xml:space="preserve">very under any directors’ and officers’ liability insurance maintained by the Company or (ii) following a Change in Control, for enforcement of the indemnification obligations of the Company under this Agreement, the Certificate of Incorporation or Bylaws </w:t>
      </w:r>
      <w:r>
        <w:rPr>
          <w:rFonts w:ascii="Arial" w:eastAsia="Arial" w:hAnsi="Arial" w:cs="Arial"/>
          <w:sz w:val="19"/>
          <w:szCs w:val="19"/>
        </w:rPr>
        <w:t>of the Company or any other agreement now or hereafter in effect relating to indemnification for Covered Events, regardless of whether Indemnitee ultimately is determined to be entitled to such insurance recovery or indemnification, as the case may be.</w:t>
      </w:r>
    </w:p>
    <w:p w14:paraId="44B6D338" w14:textId="77777777" w:rsidR="00D1587D" w:rsidRDefault="00D1587D">
      <w:pPr>
        <w:spacing w:line="180" w:lineRule="exact"/>
        <w:rPr>
          <w:sz w:val="20"/>
          <w:szCs w:val="20"/>
        </w:rPr>
      </w:pPr>
    </w:p>
    <w:p w14:paraId="34D1DCB8" w14:textId="77777777" w:rsidR="00D1587D" w:rsidRDefault="00410D07">
      <w:pPr>
        <w:ind w:left="500"/>
        <w:rPr>
          <w:sz w:val="20"/>
          <w:szCs w:val="20"/>
        </w:rPr>
      </w:pPr>
      <w:r>
        <w:rPr>
          <w:rFonts w:ascii="Arial" w:eastAsia="Arial" w:hAnsi="Arial" w:cs="Arial"/>
        </w:rPr>
        <w:t>Se</w:t>
      </w:r>
      <w:r>
        <w:rPr>
          <w:rFonts w:ascii="Arial" w:eastAsia="Arial" w:hAnsi="Arial" w:cs="Arial"/>
        </w:rPr>
        <w:t xml:space="preserve">ction 3. </w:t>
      </w:r>
      <w:r>
        <w:rPr>
          <w:rFonts w:ascii="Arial" w:eastAsia="Arial" w:hAnsi="Arial" w:cs="Arial"/>
          <w:b/>
          <w:bCs/>
        </w:rPr>
        <w:t>Limitations on Indemnification.</w:t>
      </w:r>
    </w:p>
    <w:p w14:paraId="720D3C5B" w14:textId="77777777" w:rsidR="00D1587D" w:rsidRDefault="00D1587D">
      <w:pPr>
        <w:spacing w:line="239" w:lineRule="exact"/>
        <w:rPr>
          <w:sz w:val="20"/>
          <w:szCs w:val="20"/>
        </w:rPr>
      </w:pPr>
    </w:p>
    <w:p w14:paraId="00D17423" w14:textId="77777777" w:rsidR="00D1587D" w:rsidRDefault="00410D07">
      <w:pPr>
        <w:ind w:left="980"/>
        <w:rPr>
          <w:sz w:val="20"/>
          <w:szCs w:val="20"/>
        </w:rPr>
      </w:pPr>
      <w:r>
        <w:rPr>
          <w:rFonts w:ascii="Arial" w:eastAsia="Arial" w:hAnsi="Arial" w:cs="Arial"/>
        </w:rPr>
        <w:t xml:space="preserve">3.1. </w:t>
      </w:r>
      <w:r>
        <w:rPr>
          <w:rFonts w:ascii="Arial" w:eastAsia="Arial" w:hAnsi="Arial" w:cs="Arial"/>
          <w:u w:val="single"/>
        </w:rPr>
        <w:t>Coverage Limitations.</w:t>
      </w:r>
      <w:r>
        <w:rPr>
          <w:rFonts w:ascii="Arial" w:eastAsia="Arial" w:hAnsi="Arial" w:cs="Arial"/>
        </w:rPr>
        <w:t xml:space="preserve"> No indemnification is available pursuant to the provisions of this Agreement:</w:t>
      </w:r>
    </w:p>
    <w:p w14:paraId="7E61069A" w14:textId="77777777" w:rsidR="00D1587D" w:rsidRDefault="00D1587D">
      <w:pPr>
        <w:spacing w:line="233" w:lineRule="exact"/>
        <w:rPr>
          <w:sz w:val="20"/>
          <w:szCs w:val="20"/>
        </w:rPr>
      </w:pPr>
    </w:p>
    <w:p w14:paraId="6B47425F" w14:textId="77777777" w:rsidR="00D1587D" w:rsidRDefault="00410D07">
      <w:pPr>
        <w:ind w:left="1460"/>
        <w:rPr>
          <w:sz w:val="20"/>
          <w:szCs w:val="20"/>
        </w:rPr>
      </w:pPr>
      <w:r>
        <w:rPr>
          <w:rFonts w:ascii="Arial" w:eastAsia="Arial" w:hAnsi="Arial" w:cs="Arial"/>
        </w:rPr>
        <w:t>3.1.1. If such indemnification is not lawful;</w:t>
      </w:r>
    </w:p>
    <w:p w14:paraId="27CA28A1" w14:textId="77777777" w:rsidR="00D1587D" w:rsidRDefault="00D1587D">
      <w:pPr>
        <w:spacing w:line="233" w:lineRule="exact"/>
        <w:rPr>
          <w:sz w:val="20"/>
          <w:szCs w:val="20"/>
        </w:rPr>
      </w:pPr>
    </w:p>
    <w:p w14:paraId="1185748B" w14:textId="77777777" w:rsidR="00D1587D" w:rsidRDefault="00410D07">
      <w:pPr>
        <w:spacing w:line="328" w:lineRule="auto"/>
        <w:ind w:firstLine="1459"/>
        <w:jc w:val="both"/>
        <w:rPr>
          <w:sz w:val="20"/>
          <w:szCs w:val="20"/>
        </w:rPr>
      </w:pPr>
      <w:r>
        <w:rPr>
          <w:rFonts w:ascii="Arial" w:eastAsia="Arial" w:hAnsi="Arial" w:cs="Arial"/>
          <w:sz w:val="19"/>
          <w:szCs w:val="19"/>
        </w:rPr>
        <w:t xml:space="preserve">3.1.2. If Indemnitee’s conduct giving rise to the Claim with </w:t>
      </w:r>
      <w:r>
        <w:rPr>
          <w:rFonts w:ascii="Arial" w:eastAsia="Arial" w:hAnsi="Arial" w:cs="Arial"/>
          <w:sz w:val="19"/>
          <w:szCs w:val="19"/>
        </w:rPr>
        <w:t>respect to which indemnification is requested was knowingly fraudulent, a knowing violation of law, deliberately dishonest or in bad faith or constituted willful misconduct;</w:t>
      </w:r>
    </w:p>
    <w:p w14:paraId="47D4B9FC" w14:textId="77777777" w:rsidR="00D1587D" w:rsidRDefault="00D1587D">
      <w:pPr>
        <w:spacing w:line="132" w:lineRule="exact"/>
        <w:rPr>
          <w:sz w:val="20"/>
          <w:szCs w:val="20"/>
        </w:rPr>
      </w:pPr>
    </w:p>
    <w:p w14:paraId="46EFC8F2" w14:textId="77777777" w:rsidR="00D1587D" w:rsidRDefault="00410D07">
      <w:pPr>
        <w:spacing w:line="250" w:lineRule="auto"/>
        <w:ind w:firstLine="1459"/>
        <w:jc w:val="both"/>
        <w:rPr>
          <w:sz w:val="20"/>
          <w:szCs w:val="20"/>
        </w:rPr>
      </w:pPr>
      <w:r>
        <w:rPr>
          <w:rFonts w:ascii="Arial" w:eastAsia="Arial" w:hAnsi="Arial" w:cs="Arial"/>
        </w:rPr>
        <w:t xml:space="preserve">3.1.3. In respect of any Claim based upon or attributable to Indemnitee </w:t>
      </w:r>
      <w:r>
        <w:rPr>
          <w:rFonts w:ascii="Arial" w:eastAsia="Arial" w:hAnsi="Arial" w:cs="Arial"/>
        </w:rPr>
        <w:t>gaining in fact any personal profit or advantage to which Indemnitee was not legally entitled;</w:t>
      </w:r>
    </w:p>
    <w:p w14:paraId="77FCC1EE" w14:textId="77777777" w:rsidR="00D1587D" w:rsidRDefault="00D1587D">
      <w:pPr>
        <w:spacing w:line="202" w:lineRule="exact"/>
        <w:rPr>
          <w:sz w:val="20"/>
          <w:szCs w:val="20"/>
        </w:rPr>
      </w:pPr>
    </w:p>
    <w:p w14:paraId="36A8B562" w14:textId="77777777" w:rsidR="00D1587D" w:rsidRDefault="00410D07">
      <w:pPr>
        <w:spacing w:line="274" w:lineRule="auto"/>
        <w:ind w:firstLine="1459"/>
        <w:jc w:val="both"/>
        <w:rPr>
          <w:sz w:val="20"/>
          <w:szCs w:val="20"/>
        </w:rPr>
      </w:pPr>
      <w:r>
        <w:rPr>
          <w:rFonts w:ascii="Arial" w:eastAsia="Arial" w:hAnsi="Arial" w:cs="Arial"/>
          <w:sz w:val="21"/>
          <w:szCs w:val="21"/>
        </w:rPr>
        <w:t>3.1.4. In respect of any Claim for an accounting of profits made from the purchase or sale by Indemnitee of securities of the Company within the meaning of Sect</w:t>
      </w:r>
      <w:r>
        <w:rPr>
          <w:rFonts w:ascii="Arial" w:eastAsia="Arial" w:hAnsi="Arial" w:cs="Arial"/>
          <w:sz w:val="21"/>
          <w:szCs w:val="21"/>
        </w:rPr>
        <w:t>ion 16(b) of the Securities Exchange Act of 1934, as amended;</w:t>
      </w:r>
    </w:p>
    <w:p w14:paraId="01433610" w14:textId="77777777" w:rsidR="00D1587D" w:rsidRDefault="00D1587D">
      <w:pPr>
        <w:spacing w:line="178" w:lineRule="exact"/>
        <w:rPr>
          <w:sz w:val="20"/>
          <w:szCs w:val="20"/>
        </w:rPr>
      </w:pPr>
    </w:p>
    <w:p w14:paraId="0A7DC5E7" w14:textId="77777777" w:rsidR="00D1587D" w:rsidRDefault="00410D07">
      <w:pPr>
        <w:spacing w:line="250" w:lineRule="auto"/>
        <w:ind w:right="20" w:firstLine="1459"/>
        <w:jc w:val="both"/>
        <w:rPr>
          <w:sz w:val="20"/>
          <w:szCs w:val="20"/>
        </w:rPr>
      </w:pPr>
      <w:r>
        <w:rPr>
          <w:rFonts w:ascii="Arial" w:eastAsia="Arial" w:hAnsi="Arial" w:cs="Arial"/>
        </w:rPr>
        <w:t>3.1.5. In respect of any Claim based upon any violation of Section 174 of the Delaware General Corporation Law, as amended; or</w:t>
      </w:r>
    </w:p>
    <w:p w14:paraId="161DEA57" w14:textId="77777777" w:rsidR="00D1587D" w:rsidRDefault="00D1587D">
      <w:pPr>
        <w:spacing w:line="202" w:lineRule="exact"/>
        <w:rPr>
          <w:sz w:val="20"/>
          <w:szCs w:val="20"/>
        </w:rPr>
      </w:pPr>
    </w:p>
    <w:p w14:paraId="14B3CC29" w14:textId="77777777" w:rsidR="00D1587D" w:rsidRDefault="00410D07">
      <w:pPr>
        <w:spacing w:line="236" w:lineRule="auto"/>
        <w:ind w:firstLine="1459"/>
        <w:jc w:val="both"/>
        <w:rPr>
          <w:sz w:val="20"/>
          <w:szCs w:val="20"/>
        </w:rPr>
      </w:pPr>
      <w:r>
        <w:rPr>
          <w:rFonts w:ascii="Arial" w:eastAsia="Arial" w:hAnsi="Arial" w:cs="Arial"/>
        </w:rPr>
        <w:t xml:space="preserve">3.1.6. In respect of any reimbursement of the Company by </w:t>
      </w:r>
      <w:r>
        <w:rPr>
          <w:rFonts w:ascii="Arial" w:eastAsia="Arial" w:hAnsi="Arial" w:cs="Arial"/>
        </w:rPr>
        <w:t>Indemnitee of any bonus or other incentive-based or equity-based compensation as required under the Exchange Act (including any such reimbursements that arise from an accounting restatement of the Company pursuant to Section 304 of the Sarbanes-Oxley Act o</w:t>
      </w:r>
      <w:r>
        <w:rPr>
          <w:rFonts w:ascii="Arial" w:eastAsia="Arial" w:hAnsi="Arial" w:cs="Arial"/>
        </w:rPr>
        <w:t>f 2002, or the payment to the Company of profits arising from the purchase and sale by Indemnitee of securities in violation of Section 306 of the Sarbanes-Oxley Act of 2002).</w:t>
      </w:r>
    </w:p>
    <w:p w14:paraId="50ABF3BC" w14:textId="77777777" w:rsidR="00D1587D" w:rsidRDefault="00D1587D">
      <w:pPr>
        <w:spacing w:line="214" w:lineRule="exact"/>
        <w:rPr>
          <w:sz w:val="20"/>
          <w:szCs w:val="20"/>
        </w:rPr>
      </w:pPr>
    </w:p>
    <w:p w14:paraId="6FB24348" w14:textId="77777777" w:rsidR="00D1587D" w:rsidRDefault="00410D07">
      <w:pPr>
        <w:spacing w:line="238" w:lineRule="auto"/>
        <w:ind w:firstLine="972"/>
        <w:jc w:val="both"/>
        <w:rPr>
          <w:sz w:val="20"/>
          <w:szCs w:val="20"/>
        </w:rPr>
      </w:pPr>
      <w:r>
        <w:rPr>
          <w:rFonts w:ascii="Arial" w:eastAsia="Arial" w:hAnsi="Arial" w:cs="Arial"/>
        </w:rPr>
        <w:t xml:space="preserve">3.2. </w:t>
      </w:r>
      <w:r>
        <w:rPr>
          <w:rFonts w:ascii="Arial" w:eastAsia="Arial" w:hAnsi="Arial" w:cs="Arial"/>
          <w:u w:val="single"/>
        </w:rPr>
        <w:t>No Duplication of Payments.</w:t>
      </w:r>
      <w:r>
        <w:rPr>
          <w:rFonts w:ascii="Arial" w:eastAsia="Arial" w:hAnsi="Arial" w:cs="Arial"/>
        </w:rPr>
        <w:t xml:space="preserve"> The Company shall not be liable under this Agr</w:t>
      </w:r>
      <w:r>
        <w:rPr>
          <w:rFonts w:ascii="Arial" w:eastAsia="Arial" w:hAnsi="Arial" w:cs="Arial"/>
        </w:rPr>
        <w:t>eement to make any payment otherwise due and payable to the extent Indemnitee has otherwise actually received payment (whether under the Certificate of Incorporation or the Bylaws of the Company, the D &amp; O Insurance or otherwise) of any amounts otherwise d</w:t>
      </w:r>
      <w:r>
        <w:rPr>
          <w:rFonts w:ascii="Arial" w:eastAsia="Arial" w:hAnsi="Arial" w:cs="Arial"/>
        </w:rPr>
        <w:t>ue and payable under this Agreement.</w:t>
      </w:r>
    </w:p>
    <w:p w14:paraId="24CC0A5C" w14:textId="77777777" w:rsidR="00D1587D" w:rsidRDefault="00D1587D">
      <w:pPr>
        <w:spacing w:line="144" w:lineRule="exact"/>
        <w:rPr>
          <w:sz w:val="20"/>
          <w:szCs w:val="20"/>
        </w:rPr>
      </w:pPr>
    </w:p>
    <w:p w14:paraId="42B61FCC" w14:textId="77777777" w:rsidR="00D1587D" w:rsidRDefault="00410D07">
      <w:pPr>
        <w:jc w:val="center"/>
        <w:rPr>
          <w:sz w:val="20"/>
          <w:szCs w:val="20"/>
        </w:rPr>
      </w:pPr>
      <w:r>
        <w:rPr>
          <w:rFonts w:ascii="Arial" w:eastAsia="Arial" w:hAnsi="Arial" w:cs="Arial"/>
        </w:rPr>
        <w:t>5</w:t>
      </w:r>
    </w:p>
    <w:p w14:paraId="5FEEADAC" w14:textId="77777777" w:rsidR="00D1587D" w:rsidRDefault="00410D07">
      <w:pPr>
        <w:spacing w:line="20" w:lineRule="exact"/>
        <w:rPr>
          <w:sz w:val="20"/>
          <w:szCs w:val="20"/>
        </w:rPr>
      </w:pPr>
      <w:r>
        <w:rPr>
          <w:noProof/>
          <w:sz w:val="20"/>
          <w:szCs w:val="20"/>
        </w:rPr>
        <w:drawing>
          <wp:anchor distT="0" distB="0" distL="114300" distR="114300" simplePos="0" relativeHeight="251406336" behindDoc="1" locked="0" layoutInCell="0" allowOverlap="1" wp14:anchorId="45B5EDF1" wp14:editId="6F760CF1">
            <wp:simplePos x="0" y="0"/>
            <wp:positionH relativeFrom="column">
              <wp:posOffset>5080</wp:posOffset>
            </wp:positionH>
            <wp:positionV relativeFrom="paragraph">
              <wp:posOffset>41275</wp:posOffset>
            </wp:positionV>
            <wp:extent cx="7132320" cy="17145"/>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2899425" w14:textId="77777777" w:rsidR="00D1587D" w:rsidRDefault="00D1587D">
      <w:pPr>
        <w:sectPr w:rsidR="00D1587D">
          <w:pgSz w:w="11900" w:h="16838"/>
          <w:pgMar w:top="118" w:right="339" w:bottom="1440" w:left="320" w:header="0" w:footer="0" w:gutter="0"/>
          <w:cols w:space="720" w:equalWidth="0">
            <w:col w:w="11240"/>
          </w:cols>
        </w:sectPr>
      </w:pPr>
    </w:p>
    <w:p w14:paraId="53054886" w14:textId="77777777" w:rsidR="00D1587D" w:rsidRDefault="00410D07">
      <w:pPr>
        <w:ind w:left="500"/>
        <w:rPr>
          <w:sz w:val="20"/>
          <w:szCs w:val="20"/>
        </w:rPr>
      </w:pPr>
      <w:bookmarkStart w:id="242" w:name="page243"/>
      <w:bookmarkEnd w:id="242"/>
      <w:r>
        <w:rPr>
          <w:rFonts w:ascii="Arial" w:eastAsia="Arial" w:hAnsi="Arial" w:cs="Arial"/>
        </w:rPr>
        <w:t xml:space="preserve">Section 4. </w:t>
      </w:r>
      <w:r>
        <w:rPr>
          <w:rFonts w:ascii="Arial" w:eastAsia="Arial" w:hAnsi="Arial" w:cs="Arial"/>
          <w:b/>
          <w:bCs/>
        </w:rPr>
        <w:t>Payments and Determinations.</w:t>
      </w:r>
    </w:p>
    <w:p w14:paraId="0CBC2AE7" w14:textId="77777777" w:rsidR="00D1587D" w:rsidRDefault="00D1587D">
      <w:pPr>
        <w:spacing w:line="240" w:lineRule="exact"/>
        <w:rPr>
          <w:sz w:val="20"/>
          <w:szCs w:val="20"/>
        </w:rPr>
      </w:pPr>
    </w:p>
    <w:p w14:paraId="29C69AD0" w14:textId="77777777" w:rsidR="00D1587D" w:rsidRDefault="00410D07">
      <w:pPr>
        <w:spacing w:line="282" w:lineRule="auto"/>
        <w:ind w:firstLine="972"/>
        <w:jc w:val="both"/>
        <w:rPr>
          <w:sz w:val="20"/>
          <w:szCs w:val="20"/>
        </w:rPr>
      </w:pPr>
      <w:r>
        <w:rPr>
          <w:rFonts w:ascii="Arial" w:eastAsia="Arial" w:hAnsi="Arial" w:cs="Arial"/>
          <w:sz w:val="19"/>
          <w:szCs w:val="19"/>
        </w:rPr>
        <w:t xml:space="preserve">4.1. </w:t>
      </w:r>
      <w:r>
        <w:rPr>
          <w:rFonts w:ascii="Arial" w:eastAsia="Arial" w:hAnsi="Arial" w:cs="Arial"/>
          <w:sz w:val="19"/>
          <w:szCs w:val="19"/>
          <w:u w:val="single"/>
        </w:rPr>
        <w:t>Advancement and Reimbursement of Expenses.</w:t>
      </w:r>
      <w:r>
        <w:rPr>
          <w:rFonts w:ascii="Arial" w:eastAsia="Arial" w:hAnsi="Arial" w:cs="Arial"/>
          <w:sz w:val="19"/>
          <w:szCs w:val="19"/>
        </w:rPr>
        <w:t xml:space="preserve"> If requested by Indemnitee, the Company shall advance to Indemnitee, no later than 10 days following any such request, any and all Expenses for which indemnification is available under Section 2. Upon any Determination that Indemnitee is not permitted to </w:t>
      </w:r>
      <w:r>
        <w:rPr>
          <w:rFonts w:ascii="Arial" w:eastAsia="Arial" w:hAnsi="Arial" w:cs="Arial"/>
          <w:sz w:val="19"/>
          <w:szCs w:val="19"/>
        </w:rPr>
        <w:t>be indemnified for any expenses so advanced, Indemnitee hereby agrees to reimburse the Company (or, as appropriate, any Trust established pursuant to Section 9.2) for all such amounts previously paid. Such obligation of reimbursement shall be unsecured and</w:t>
      </w:r>
      <w:r>
        <w:rPr>
          <w:rFonts w:ascii="Arial" w:eastAsia="Arial" w:hAnsi="Arial" w:cs="Arial"/>
          <w:sz w:val="19"/>
          <w:szCs w:val="19"/>
        </w:rPr>
        <w:t xml:space="preserve"> no interest shall be charged thereon.</w:t>
      </w:r>
    </w:p>
    <w:p w14:paraId="432DEE8F" w14:textId="77777777" w:rsidR="00D1587D" w:rsidRDefault="00D1587D">
      <w:pPr>
        <w:spacing w:line="174" w:lineRule="exact"/>
        <w:rPr>
          <w:sz w:val="20"/>
          <w:szCs w:val="20"/>
        </w:rPr>
      </w:pPr>
    </w:p>
    <w:p w14:paraId="5425CB59" w14:textId="77777777" w:rsidR="00D1587D" w:rsidRDefault="00410D07">
      <w:pPr>
        <w:ind w:left="980"/>
        <w:rPr>
          <w:sz w:val="20"/>
          <w:szCs w:val="20"/>
        </w:rPr>
      </w:pPr>
      <w:r>
        <w:rPr>
          <w:rFonts w:ascii="Arial" w:eastAsia="Arial" w:hAnsi="Arial" w:cs="Arial"/>
        </w:rPr>
        <w:t xml:space="preserve">4.2. </w:t>
      </w:r>
      <w:r>
        <w:rPr>
          <w:rFonts w:ascii="Arial" w:eastAsia="Arial" w:hAnsi="Arial" w:cs="Arial"/>
          <w:u w:val="single"/>
        </w:rPr>
        <w:t>Payment and Determination Procedures.</w:t>
      </w:r>
    </w:p>
    <w:p w14:paraId="48F708A5" w14:textId="77777777" w:rsidR="00D1587D" w:rsidRDefault="00D1587D">
      <w:pPr>
        <w:spacing w:line="233" w:lineRule="exact"/>
        <w:rPr>
          <w:sz w:val="20"/>
          <w:szCs w:val="20"/>
        </w:rPr>
      </w:pPr>
    </w:p>
    <w:p w14:paraId="481390AF" w14:textId="77777777" w:rsidR="00D1587D" w:rsidRDefault="00410D07">
      <w:pPr>
        <w:spacing w:line="236" w:lineRule="auto"/>
        <w:ind w:firstLine="1459"/>
        <w:jc w:val="both"/>
        <w:rPr>
          <w:sz w:val="20"/>
          <w:szCs w:val="20"/>
        </w:rPr>
      </w:pPr>
      <w:r>
        <w:rPr>
          <w:rFonts w:ascii="Arial" w:eastAsia="Arial" w:hAnsi="Arial" w:cs="Arial"/>
        </w:rPr>
        <w:t>4.2.1. To obtain indemnification under this Agreement, Indemnitee shall submit to the Company a written request, together with such documentation and information as is reas</w:t>
      </w:r>
      <w:r>
        <w:rPr>
          <w:rFonts w:ascii="Arial" w:eastAsia="Arial" w:hAnsi="Arial" w:cs="Arial"/>
        </w:rPr>
        <w:t xml:space="preserve">onably available to Indemnitee and is reasonably necessary to determine whether and to what extent Indemnitee is entitled to indemnification. The Secretary of the Company shall, promptly upon receipt of such a request for indemnification, advise the Board </w:t>
      </w:r>
      <w:r>
        <w:rPr>
          <w:rFonts w:ascii="Arial" w:eastAsia="Arial" w:hAnsi="Arial" w:cs="Arial"/>
        </w:rPr>
        <w:t>of Directors in writing that Indemnitee has requested indemnification.</w:t>
      </w:r>
    </w:p>
    <w:p w14:paraId="31A2753F" w14:textId="77777777" w:rsidR="00D1587D" w:rsidRDefault="00D1587D">
      <w:pPr>
        <w:spacing w:line="214" w:lineRule="exact"/>
        <w:rPr>
          <w:sz w:val="20"/>
          <w:szCs w:val="20"/>
        </w:rPr>
      </w:pPr>
    </w:p>
    <w:p w14:paraId="4078CC67" w14:textId="77777777" w:rsidR="00D1587D" w:rsidRDefault="00410D07">
      <w:pPr>
        <w:spacing w:line="246" w:lineRule="auto"/>
        <w:ind w:firstLine="1459"/>
        <w:jc w:val="both"/>
        <w:rPr>
          <w:sz w:val="20"/>
          <w:szCs w:val="20"/>
        </w:rPr>
      </w:pPr>
      <w:r>
        <w:rPr>
          <w:rFonts w:ascii="Arial" w:eastAsia="Arial" w:hAnsi="Arial" w:cs="Arial"/>
          <w:sz w:val="21"/>
          <w:szCs w:val="21"/>
        </w:rPr>
        <w:t xml:space="preserve">4.2.2. Upon written request by Indemnitee for indemnification pursuant to Section 4.2.1, a Determination with respect to Indemnitee’s entitlement thereto shall be made in the specific </w:t>
      </w:r>
      <w:r>
        <w:rPr>
          <w:rFonts w:ascii="Arial" w:eastAsia="Arial" w:hAnsi="Arial" w:cs="Arial"/>
          <w:sz w:val="21"/>
          <w:szCs w:val="21"/>
        </w:rPr>
        <w:t>case (a) if a Change in Control shall have occurred, as provided in Section 9.1; and (b) if a Change in Control shall not have occurred, by (i) the Board of Directors by a majority vote of a quorum of Disinterested Directors, (ii) Independent Legal Counsel</w:t>
      </w:r>
      <w:r>
        <w:rPr>
          <w:rFonts w:ascii="Arial" w:eastAsia="Arial" w:hAnsi="Arial" w:cs="Arial"/>
          <w:sz w:val="21"/>
          <w:szCs w:val="21"/>
        </w:rPr>
        <w:t>, if either (A) a quorum of Disinterested Directors is not obtainable or (B) a majority vote of a quorum of Disinterested Directors otherwise so directs or (iii) the stockholders of the Company (if submitted by the Board of Directors). If a Determination i</w:t>
      </w:r>
      <w:r>
        <w:rPr>
          <w:rFonts w:ascii="Arial" w:eastAsia="Arial" w:hAnsi="Arial" w:cs="Arial"/>
          <w:sz w:val="21"/>
          <w:szCs w:val="21"/>
        </w:rPr>
        <w:t>s made that Indemnitee is entitled to indemnification, payment to Indemnitee shall be made within 10 days after such Determination.</w:t>
      </w:r>
    </w:p>
    <w:p w14:paraId="75464F13" w14:textId="77777777" w:rsidR="00D1587D" w:rsidRDefault="00D1587D">
      <w:pPr>
        <w:spacing w:line="211" w:lineRule="exact"/>
        <w:rPr>
          <w:sz w:val="20"/>
          <w:szCs w:val="20"/>
        </w:rPr>
      </w:pPr>
    </w:p>
    <w:p w14:paraId="25548CEE" w14:textId="77777777" w:rsidR="00D1587D" w:rsidRDefault="00410D07">
      <w:pPr>
        <w:spacing w:line="272" w:lineRule="auto"/>
        <w:ind w:firstLine="1459"/>
        <w:jc w:val="both"/>
        <w:rPr>
          <w:sz w:val="20"/>
          <w:szCs w:val="20"/>
        </w:rPr>
      </w:pPr>
      <w:r>
        <w:rPr>
          <w:rFonts w:ascii="Arial" w:eastAsia="Arial" w:hAnsi="Arial" w:cs="Arial"/>
          <w:sz w:val="19"/>
          <w:szCs w:val="19"/>
        </w:rPr>
        <w:t>4.2.3. If no Determination is made within 60 days after receipt by the Company of a request for indemnification by Indemnit</w:t>
      </w:r>
      <w:r>
        <w:rPr>
          <w:rFonts w:ascii="Arial" w:eastAsia="Arial" w:hAnsi="Arial" w:cs="Arial"/>
          <w:sz w:val="19"/>
          <w:szCs w:val="19"/>
        </w:rPr>
        <w:t>ee pursuant to Section 4.2.1, a Determination shall be deemed to have been made that Indemnitee is entitled to the requested indemnification (and the Company shall pay the related Losses and Expenses no later than 10 days after the expiration of such 60-da</w:t>
      </w:r>
      <w:r>
        <w:rPr>
          <w:rFonts w:ascii="Arial" w:eastAsia="Arial" w:hAnsi="Arial" w:cs="Arial"/>
          <w:sz w:val="19"/>
          <w:szCs w:val="19"/>
        </w:rPr>
        <w:t>y period), except where such indemnification is not lawful; provided, however, that (a) such 60-day period may be extended for a reasonable time, not to exceed an additional 30 days, if the Person or Persons making the Determination in good faith require s</w:t>
      </w:r>
      <w:r>
        <w:rPr>
          <w:rFonts w:ascii="Arial" w:eastAsia="Arial" w:hAnsi="Arial" w:cs="Arial"/>
          <w:sz w:val="19"/>
          <w:szCs w:val="19"/>
        </w:rPr>
        <w:t xml:space="preserve">uch additional time for obtaining or evaluating the documentation and information relating thereto; and (b) the foregoing provisions of this Section 4.2.3 shall not apply (i) if the Determination is to be made by the stockholders of the Company and if (A) </w:t>
      </w:r>
      <w:r>
        <w:rPr>
          <w:rFonts w:ascii="Arial" w:eastAsia="Arial" w:hAnsi="Arial" w:cs="Arial"/>
          <w:sz w:val="19"/>
          <w:szCs w:val="19"/>
        </w:rPr>
        <w:t>within 15 days after receipt by the Company of the request by Indemnitee pursuant to Section 4.2.1 the Board of Directors has resolved to submit such Determination to the stockholders at an annual meeting of the stockholders to be held within 75 days after</w:t>
      </w:r>
      <w:r>
        <w:rPr>
          <w:rFonts w:ascii="Arial" w:eastAsia="Arial" w:hAnsi="Arial" w:cs="Arial"/>
          <w:sz w:val="19"/>
          <w:szCs w:val="19"/>
        </w:rPr>
        <w:t xml:space="preserve"> such receipt, and such Determination is made at such annual meeting, or (B) a special meeting of stockholders is called within 15 days after such receipt for the purpose of making such Determination, such meeting is held for such purpose within 60 days af</w:t>
      </w:r>
      <w:r>
        <w:rPr>
          <w:rFonts w:ascii="Arial" w:eastAsia="Arial" w:hAnsi="Arial" w:cs="Arial"/>
          <w:sz w:val="19"/>
          <w:szCs w:val="19"/>
        </w:rPr>
        <w:t>ter having been so called and such Determination is made at such special meeting, or (ii) if the Determination is to be made by Independent Legal Counsel.</w:t>
      </w:r>
    </w:p>
    <w:p w14:paraId="37AF5835" w14:textId="77777777" w:rsidR="00D1587D" w:rsidRDefault="00D1587D">
      <w:pPr>
        <w:spacing w:line="115" w:lineRule="exact"/>
        <w:rPr>
          <w:sz w:val="20"/>
          <w:szCs w:val="20"/>
        </w:rPr>
      </w:pPr>
    </w:p>
    <w:p w14:paraId="5CD7C99C" w14:textId="77777777" w:rsidR="00D1587D" w:rsidRDefault="00410D07">
      <w:pPr>
        <w:jc w:val="center"/>
        <w:rPr>
          <w:sz w:val="20"/>
          <w:szCs w:val="20"/>
        </w:rPr>
      </w:pPr>
      <w:r>
        <w:rPr>
          <w:rFonts w:ascii="Arial" w:eastAsia="Arial" w:hAnsi="Arial" w:cs="Arial"/>
        </w:rPr>
        <w:t>6</w:t>
      </w:r>
    </w:p>
    <w:p w14:paraId="5D5E5623" w14:textId="77777777" w:rsidR="00D1587D" w:rsidRDefault="00410D07">
      <w:pPr>
        <w:spacing w:line="20" w:lineRule="exact"/>
        <w:rPr>
          <w:sz w:val="20"/>
          <w:szCs w:val="20"/>
        </w:rPr>
      </w:pPr>
      <w:r>
        <w:rPr>
          <w:noProof/>
          <w:sz w:val="20"/>
          <w:szCs w:val="20"/>
        </w:rPr>
        <w:drawing>
          <wp:anchor distT="0" distB="0" distL="114300" distR="114300" simplePos="0" relativeHeight="251407360" behindDoc="1" locked="0" layoutInCell="0" allowOverlap="1" wp14:anchorId="1EDB63F4" wp14:editId="6196386B">
            <wp:simplePos x="0" y="0"/>
            <wp:positionH relativeFrom="column">
              <wp:posOffset>5080</wp:posOffset>
            </wp:positionH>
            <wp:positionV relativeFrom="paragraph">
              <wp:posOffset>41275</wp:posOffset>
            </wp:positionV>
            <wp:extent cx="7132320" cy="1714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71B6F36" w14:textId="77777777" w:rsidR="00D1587D" w:rsidRDefault="00D1587D">
      <w:pPr>
        <w:sectPr w:rsidR="00D1587D">
          <w:pgSz w:w="11900" w:h="16838"/>
          <w:pgMar w:top="112" w:right="339" w:bottom="1440" w:left="320" w:header="0" w:footer="0" w:gutter="0"/>
          <w:cols w:space="720" w:equalWidth="0">
            <w:col w:w="11240"/>
          </w:cols>
        </w:sectPr>
      </w:pPr>
    </w:p>
    <w:p w14:paraId="42860CB6" w14:textId="77777777" w:rsidR="00D1587D" w:rsidRDefault="00410D07">
      <w:pPr>
        <w:ind w:left="500"/>
        <w:rPr>
          <w:sz w:val="20"/>
          <w:szCs w:val="20"/>
        </w:rPr>
      </w:pPr>
      <w:bookmarkStart w:id="243" w:name="page244"/>
      <w:bookmarkEnd w:id="243"/>
      <w:r>
        <w:rPr>
          <w:rFonts w:ascii="Arial" w:eastAsia="Arial" w:hAnsi="Arial" w:cs="Arial"/>
        </w:rPr>
        <w:t xml:space="preserve">Section 5. </w:t>
      </w:r>
      <w:r>
        <w:rPr>
          <w:rFonts w:ascii="Arial" w:eastAsia="Arial" w:hAnsi="Arial" w:cs="Arial"/>
          <w:b/>
          <w:bCs/>
        </w:rPr>
        <w:t>D &amp; O Insurance.</w:t>
      </w:r>
    </w:p>
    <w:p w14:paraId="2BA26E65" w14:textId="77777777" w:rsidR="00D1587D" w:rsidRDefault="00D1587D">
      <w:pPr>
        <w:spacing w:line="240" w:lineRule="exact"/>
        <w:rPr>
          <w:sz w:val="20"/>
          <w:szCs w:val="20"/>
        </w:rPr>
      </w:pPr>
    </w:p>
    <w:p w14:paraId="1171EF16" w14:textId="77777777" w:rsidR="00D1587D" w:rsidRDefault="00410D07">
      <w:pPr>
        <w:spacing w:line="250" w:lineRule="auto"/>
        <w:ind w:right="20" w:firstLine="972"/>
        <w:jc w:val="both"/>
        <w:rPr>
          <w:sz w:val="20"/>
          <w:szCs w:val="20"/>
        </w:rPr>
      </w:pPr>
      <w:r>
        <w:rPr>
          <w:rFonts w:ascii="Arial" w:eastAsia="Arial" w:hAnsi="Arial" w:cs="Arial"/>
        </w:rPr>
        <w:t xml:space="preserve">5.1. </w:t>
      </w:r>
      <w:r>
        <w:rPr>
          <w:rFonts w:ascii="Arial" w:eastAsia="Arial" w:hAnsi="Arial" w:cs="Arial"/>
          <w:u w:val="single"/>
        </w:rPr>
        <w:t>Current Policies.</w:t>
      </w:r>
      <w:r>
        <w:rPr>
          <w:rFonts w:ascii="Arial" w:eastAsia="Arial" w:hAnsi="Arial" w:cs="Arial"/>
        </w:rPr>
        <w:t xml:space="preserve"> The Company hereby represents and warrants to Indemnitee that the D &amp; O Insurance is in full force and effect.</w:t>
      </w:r>
    </w:p>
    <w:p w14:paraId="5AEDE307" w14:textId="77777777" w:rsidR="00D1587D" w:rsidRDefault="00D1587D">
      <w:pPr>
        <w:spacing w:line="202" w:lineRule="exact"/>
        <w:rPr>
          <w:sz w:val="20"/>
          <w:szCs w:val="20"/>
        </w:rPr>
      </w:pPr>
    </w:p>
    <w:p w14:paraId="732B5AAF" w14:textId="77777777" w:rsidR="00D1587D" w:rsidRDefault="00410D07">
      <w:pPr>
        <w:spacing w:line="252" w:lineRule="auto"/>
        <w:ind w:firstLine="972"/>
        <w:jc w:val="both"/>
        <w:rPr>
          <w:sz w:val="20"/>
          <w:szCs w:val="20"/>
        </w:rPr>
      </w:pPr>
      <w:r>
        <w:rPr>
          <w:rFonts w:ascii="Arial" w:eastAsia="Arial" w:hAnsi="Arial" w:cs="Arial"/>
          <w:sz w:val="21"/>
          <w:szCs w:val="21"/>
        </w:rPr>
        <w:t xml:space="preserve">5.2. </w:t>
      </w:r>
      <w:r>
        <w:rPr>
          <w:rFonts w:ascii="Arial" w:eastAsia="Arial" w:hAnsi="Arial" w:cs="Arial"/>
          <w:sz w:val="21"/>
          <w:szCs w:val="21"/>
          <w:u w:val="single"/>
        </w:rPr>
        <w:t>Continued Coverage.</w:t>
      </w:r>
      <w:r>
        <w:rPr>
          <w:rFonts w:ascii="Arial" w:eastAsia="Arial" w:hAnsi="Arial" w:cs="Arial"/>
          <w:sz w:val="21"/>
          <w:szCs w:val="21"/>
        </w:rPr>
        <w:t xml:space="preserve"> The Company shall maintain the D &amp; O Insurance for so long as this Agreement remains in effect; provided that such coverage is available to the Company on commercially reasonably terms. The Company shall cause the D &amp; O Insurance to cover Indemnitee, in a</w:t>
      </w:r>
      <w:r>
        <w:rPr>
          <w:rFonts w:ascii="Arial" w:eastAsia="Arial" w:hAnsi="Arial" w:cs="Arial"/>
          <w:sz w:val="21"/>
          <w:szCs w:val="21"/>
        </w:rPr>
        <w:t>ccordance with its terms and at all times such insurance is in effect, to the maximum extent of the coverage provided thereby for any director or officer of the Company.</w:t>
      </w:r>
    </w:p>
    <w:p w14:paraId="6142CEED" w14:textId="77777777" w:rsidR="00D1587D" w:rsidRDefault="00D1587D">
      <w:pPr>
        <w:spacing w:line="201" w:lineRule="exact"/>
        <w:rPr>
          <w:sz w:val="20"/>
          <w:szCs w:val="20"/>
        </w:rPr>
      </w:pPr>
    </w:p>
    <w:p w14:paraId="5B0954E7" w14:textId="77777777" w:rsidR="00D1587D" w:rsidRDefault="00410D07">
      <w:pPr>
        <w:spacing w:line="275" w:lineRule="auto"/>
        <w:ind w:firstLine="972"/>
        <w:jc w:val="both"/>
        <w:rPr>
          <w:sz w:val="20"/>
          <w:szCs w:val="20"/>
        </w:rPr>
      </w:pPr>
      <w:r>
        <w:rPr>
          <w:rFonts w:ascii="Arial" w:eastAsia="Arial" w:hAnsi="Arial" w:cs="Arial"/>
          <w:sz w:val="19"/>
          <w:szCs w:val="19"/>
        </w:rPr>
        <w:t xml:space="preserve">5.3. </w:t>
      </w:r>
      <w:r>
        <w:rPr>
          <w:rFonts w:ascii="Arial" w:eastAsia="Arial" w:hAnsi="Arial" w:cs="Arial"/>
          <w:sz w:val="19"/>
          <w:szCs w:val="19"/>
          <w:u w:val="single"/>
        </w:rPr>
        <w:t>Indemnification.</w:t>
      </w:r>
      <w:r>
        <w:rPr>
          <w:rFonts w:ascii="Arial" w:eastAsia="Arial" w:hAnsi="Arial" w:cs="Arial"/>
          <w:sz w:val="19"/>
          <w:szCs w:val="19"/>
        </w:rPr>
        <w:t xml:space="preserve"> In the event of any reduction in, or cancellation of, the D &amp; O</w:t>
      </w:r>
      <w:r>
        <w:rPr>
          <w:rFonts w:ascii="Arial" w:eastAsia="Arial" w:hAnsi="Arial" w:cs="Arial"/>
          <w:sz w:val="19"/>
          <w:szCs w:val="19"/>
        </w:rPr>
        <w:t xml:space="preserve"> Insurance (whether voluntary or involuntary on behalf of the Company), the Company shall, and hereby agrees to, indemnify and hold Indemnitee harmless against any Losses or Expenses which Indemnitee is or becomes obligated to pay as a result of the Compan</w:t>
      </w:r>
      <w:r>
        <w:rPr>
          <w:rFonts w:ascii="Arial" w:eastAsia="Arial" w:hAnsi="Arial" w:cs="Arial"/>
          <w:sz w:val="19"/>
          <w:szCs w:val="19"/>
        </w:rPr>
        <w:t>y’s failure to maintain the D &amp; O Insurance in effect in accordance with the provisions of Section 5.2, to the fullest extent permitted by applicable law, notwithstanding any provision of the Certificate of Incorporation or the Bylaws of the Company, or an</w:t>
      </w:r>
      <w:r>
        <w:rPr>
          <w:rFonts w:ascii="Arial" w:eastAsia="Arial" w:hAnsi="Arial" w:cs="Arial"/>
          <w:sz w:val="19"/>
          <w:szCs w:val="19"/>
        </w:rPr>
        <w:t>y other agreement now or hereafter in effect relating to indemnification for Covered Events. The indemnification available under this Section 5.3 is in addition to all other obligations of indemnification of the Company under this Agreement and shall be th</w:t>
      </w:r>
      <w:r>
        <w:rPr>
          <w:rFonts w:ascii="Arial" w:eastAsia="Arial" w:hAnsi="Arial" w:cs="Arial"/>
          <w:sz w:val="19"/>
          <w:szCs w:val="19"/>
        </w:rPr>
        <w:t>e only remedy of Indemnitee for a breach by the Company of its obligations set forth in Section 5.2.</w:t>
      </w:r>
    </w:p>
    <w:p w14:paraId="100B16F6" w14:textId="77777777" w:rsidR="00D1587D" w:rsidRDefault="00D1587D">
      <w:pPr>
        <w:spacing w:line="178" w:lineRule="exact"/>
        <w:rPr>
          <w:sz w:val="20"/>
          <w:szCs w:val="20"/>
        </w:rPr>
      </w:pPr>
    </w:p>
    <w:p w14:paraId="147C8435" w14:textId="77777777" w:rsidR="00D1587D" w:rsidRDefault="00410D07">
      <w:pPr>
        <w:spacing w:line="283" w:lineRule="auto"/>
        <w:ind w:firstLine="486"/>
        <w:jc w:val="both"/>
        <w:rPr>
          <w:sz w:val="20"/>
          <w:szCs w:val="20"/>
        </w:rPr>
      </w:pPr>
      <w:r>
        <w:rPr>
          <w:rFonts w:ascii="Arial" w:eastAsia="Arial" w:hAnsi="Arial" w:cs="Arial"/>
          <w:sz w:val="19"/>
          <w:szCs w:val="19"/>
        </w:rPr>
        <w:t xml:space="preserve">Section 6. </w:t>
      </w:r>
      <w:r>
        <w:rPr>
          <w:rFonts w:ascii="Arial" w:eastAsia="Arial" w:hAnsi="Arial" w:cs="Arial"/>
          <w:b/>
          <w:bCs/>
          <w:sz w:val="19"/>
          <w:szCs w:val="19"/>
        </w:rPr>
        <w:t>Subrogation.</w:t>
      </w:r>
      <w:r>
        <w:rPr>
          <w:rFonts w:ascii="Arial" w:eastAsia="Arial" w:hAnsi="Arial" w:cs="Arial"/>
          <w:sz w:val="19"/>
          <w:szCs w:val="19"/>
        </w:rPr>
        <w:t xml:space="preserve"> In the event of any payment under this Agreement to or on behalf of Indemnitee, the Company shall be subrogated to the extent of s</w:t>
      </w:r>
      <w:r>
        <w:rPr>
          <w:rFonts w:ascii="Arial" w:eastAsia="Arial" w:hAnsi="Arial" w:cs="Arial"/>
          <w:sz w:val="19"/>
          <w:szCs w:val="19"/>
        </w:rPr>
        <w:t>uch payment to all of the rights of recovery of Indemnitee against any Person other than the Company or Indemnitee in respect of the Claim giving rise to such payment. Indemnitee shall execute all papers reasonably required and shall do everything reasonab</w:t>
      </w:r>
      <w:r>
        <w:rPr>
          <w:rFonts w:ascii="Arial" w:eastAsia="Arial" w:hAnsi="Arial" w:cs="Arial"/>
          <w:sz w:val="19"/>
          <w:szCs w:val="19"/>
        </w:rPr>
        <w:t>ly necessary to secure such rights, including the execution of such documents reasonably necessary to enable the Company effectively to bring suit to enforce such rights.</w:t>
      </w:r>
    </w:p>
    <w:p w14:paraId="07E89882" w14:textId="77777777" w:rsidR="00D1587D" w:rsidRDefault="00D1587D">
      <w:pPr>
        <w:spacing w:line="170" w:lineRule="exact"/>
        <w:rPr>
          <w:sz w:val="20"/>
          <w:szCs w:val="20"/>
        </w:rPr>
      </w:pPr>
    </w:p>
    <w:p w14:paraId="012F6FFF" w14:textId="77777777" w:rsidR="00D1587D" w:rsidRDefault="00410D07">
      <w:pPr>
        <w:ind w:left="500"/>
        <w:rPr>
          <w:sz w:val="20"/>
          <w:szCs w:val="20"/>
        </w:rPr>
      </w:pPr>
      <w:r>
        <w:rPr>
          <w:rFonts w:ascii="Arial" w:eastAsia="Arial" w:hAnsi="Arial" w:cs="Arial"/>
        </w:rPr>
        <w:t xml:space="preserve">Section 7. </w:t>
      </w:r>
      <w:r>
        <w:rPr>
          <w:rFonts w:ascii="Arial" w:eastAsia="Arial" w:hAnsi="Arial" w:cs="Arial"/>
          <w:b/>
          <w:bCs/>
        </w:rPr>
        <w:t>Notifications and Defense of Claims.</w:t>
      </w:r>
    </w:p>
    <w:p w14:paraId="13E84907" w14:textId="77777777" w:rsidR="00D1587D" w:rsidRDefault="00D1587D">
      <w:pPr>
        <w:spacing w:line="239" w:lineRule="exact"/>
        <w:rPr>
          <w:sz w:val="20"/>
          <w:szCs w:val="20"/>
        </w:rPr>
      </w:pPr>
    </w:p>
    <w:p w14:paraId="51465EA5" w14:textId="77777777" w:rsidR="00D1587D" w:rsidRDefault="00410D07">
      <w:pPr>
        <w:spacing w:line="287" w:lineRule="auto"/>
        <w:ind w:firstLine="972"/>
        <w:jc w:val="both"/>
        <w:rPr>
          <w:sz w:val="20"/>
          <w:szCs w:val="20"/>
        </w:rPr>
      </w:pPr>
      <w:r>
        <w:rPr>
          <w:rFonts w:ascii="Arial" w:eastAsia="Arial" w:hAnsi="Arial" w:cs="Arial"/>
          <w:sz w:val="19"/>
          <w:szCs w:val="19"/>
        </w:rPr>
        <w:t xml:space="preserve">7.1. </w:t>
      </w:r>
      <w:r>
        <w:rPr>
          <w:rFonts w:ascii="Arial" w:eastAsia="Arial" w:hAnsi="Arial" w:cs="Arial"/>
          <w:sz w:val="19"/>
          <w:szCs w:val="19"/>
          <w:u w:val="single"/>
        </w:rPr>
        <w:t>Notice by Indemnitee.</w:t>
      </w:r>
      <w:r>
        <w:rPr>
          <w:rFonts w:ascii="Arial" w:eastAsia="Arial" w:hAnsi="Arial" w:cs="Arial"/>
          <w:sz w:val="19"/>
          <w:szCs w:val="19"/>
        </w:rPr>
        <w:t xml:space="preserve"> Indemnit</w:t>
      </w:r>
      <w:r>
        <w:rPr>
          <w:rFonts w:ascii="Arial" w:eastAsia="Arial" w:hAnsi="Arial" w:cs="Arial"/>
          <w:sz w:val="19"/>
          <w:szCs w:val="19"/>
        </w:rPr>
        <w:t>ee shall give notice in writing to the Company as soon as practicable after Indemnitee becomes aware of any Claim with respect to which indemnification will or could be sought under this Agreement; provided the failure of Indemnitee to give such notice, or</w:t>
      </w:r>
      <w:r>
        <w:rPr>
          <w:rFonts w:ascii="Arial" w:eastAsia="Arial" w:hAnsi="Arial" w:cs="Arial"/>
          <w:sz w:val="19"/>
          <w:szCs w:val="19"/>
        </w:rPr>
        <w:t xml:space="preserve"> any delay in giving such notice, shall not relieve the Company of its obligations under this Agreement except to the extent the Company is actually prejudiced by any such failure or delay.</w:t>
      </w:r>
    </w:p>
    <w:p w14:paraId="13A9C1C3" w14:textId="77777777" w:rsidR="00D1587D" w:rsidRDefault="00D1587D">
      <w:pPr>
        <w:spacing w:line="170" w:lineRule="exact"/>
        <w:rPr>
          <w:sz w:val="20"/>
          <w:szCs w:val="20"/>
        </w:rPr>
      </w:pPr>
    </w:p>
    <w:p w14:paraId="727B2184" w14:textId="77777777" w:rsidR="00D1587D" w:rsidRDefault="00410D07">
      <w:pPr>
        <w:spacing w:line="252" w:lineRule="auto"/>
        <w:ind w:firstLine="972"/>
        <w:jc w:val="both"/>
        <w:rPr>
          <w:sz w:val="20"/>
          <w:szCs w:val="20"/>
        </w:rPr>
      </w:pPr>
      <w:r>
        <w:rPr>
          <w:rFonts w:ascii="Arial" w:eastAsia="Arial" w:hAnsi="Arial" w:cs="Arial"/>
          <w:sz w:val="21"/>
          <w:szCs w:val="21"/>
        </w:rPr>
        <w:t xml:space="preserve">7.2. </w:t>
      </w:r>
      <w:r>
        <w:rPr>
          <w:rFonts w:ascii="Arial" w:eastAsia="Arial" w:hAnsi="Arial" w:cs="Arial"/>
          <w:sz w:val="21"/>
          <w:szCs w:val="21"/>
          <w:u w:val="single"/>
        </w:rPr>
        <w:t>Insurance.</w:t>
      </w:r>
      <w:r>
        <w:rPr>
          <w:rFonts w:ascii="Arial" w:eastAsia="Arial" w:hAnsi="Arial" w:cs="Arial"/>
          <w:sz w:val="21"/>
          <w:szCs w:val="21"/>
        </w:rPr>
        <w:t xml:space="preserve"> The Company shall give prompt notice of the comme</w:t>
      </w:r>
      <w:r>
        <w:rPr>
          <w:rFonts w:ascii="Arial" w:eastAsia="Arial" w:hAnsi="Arial" w:cs="Arial"/>
          <w:sz w:val="21"/>
          <w:szCs w:val="21"/>
        </w:rPr>
        <w:t>ncement of any Claim relating to Covered Events to the insurers on the D &amp; O Insurance, if any, in accordance with the procedures set forth in the respective policies in favor of Indemnitee. The Company shall thereafter take all necessary action to cause s</w:t>
      </w:r>
      <w:r>
        <w:rPr>
          <w:rFonts w:ascii="Arial" w:eastAsia="Arial" w:hAnsi="Arial" w:cs="Arial"/>
          <w:sz w:val="21"/>
          <w:szCs w:val="21"/>
        </w:rPr>
        <w:t>uch insurers to pay, on behalf of Indemnitee, all amounts payable as a result of such Claims in accordance with the terms of such policies.</w:t>
      </w:r>
    </w:p>
    <w:p w14:paraId="78C1B052" w14:textId="77777777" w:rsidR="00D1587D" w:rsidRDefault="00D1587D">
      <w:pPr>
        <w:spacing w:line="201" w:lineRule="exact"/>
        <w:rPr>
          <w:sz w:val="20"/>
          <w:szCs w:val="20"/>
        </w:rPr>
      </w:pPr>
    </w:p>
    <w:p w14:paraId="3996453B" w14:textId="77777777" w:rsidR="00D1587D" w:rsidRDefault="00410D07">
      <w:pPr>
        <w:ind w:left="980"/>
        <w:rPr>
          <w:sz w:val="20"/>
          <w:szCs w:val="20"/>
        </w:rPr>
      </w:pPr>
      <w:r>
        <w:rPr>
          <w:rFonts w:ascii="Arial" w:eastAsia="Arial" w:hAnsi="Arial" w:cs="Arial"/>
        </w:rPr>
        <w:t xml:space="preserve">7.3. </w:t>
      </w:r>
      <w:r>
        <w:rPr>
          <w:rFonts w:ascii="Arial" w:eastAsia="Arial" w:hAnsi="Arial" w:cs="Arial"/>
          <w:u w:val="single"/>
        </w:rPr>
        <w:t>Defense.</w:t>
      </w:r>
    </w:p>
    <w:p w14:paraId="54EAC39F" w14:textId="77777777" w:rsidR="00D1587D" w:rsidRDefault="00D1587D">
      <w:pPr>
        <w:spacing w:line="233" w:lineRule="exact"/>
        <w:rPr>
          <w:sz w:val="20"/>
          <w:szCs w:val="20"/>
        </w:rPr>
      </w:pPr>
    </w:p>
    <w:p w14:paraId="4D5F86C6" w14:textId="77777777" w:rsidR="00D1587D" w:rsidRDefault="00410D07">
      <w:pPr>
        <w:spacing w:line="252" w:lineRule="auto"/>
        <w:ind w:firstLine="1459"/>
        <w:jc w:val="both"/>
        <w:rPr>
          <w:sz w:val="20"/>
          <w:szCs w:val="20"/>
        </w:rPr>
      </w:pPr>
      <w:r>
        <w:rPr>
          <w:rFonts w:ascii="Arial" w:eastAsia="Arial" w:hAnsi="Arial" w:cs="Arial"/>
          <w:sz w:val="21"/>
          <w:szCs w:val="21"/>
        </w:rPr>
        <w:t xml:space="preserve">7.3.1. In the event any Claim relating to Covered Events is by or in the right of the </w:t>
      </w:r>
      <w:r>
        <w:rPr>
          <w:rFonts w:ascii="Arial" w:eastAsia="Arial" w:hAnsi="Arial" w:cs="Arial"/>
          <w:sz w:val="21"/>
          <w:szCs w:val="21"/>
        </w:rPr>
        <w:t>Company, Indemnitee may, at the option of Indemnitee, either control the defense therefor or accept the defense provided under the D &amp; O Insurance; provided, however, that Indemnitee may not control the defense if such decision would jeopardize the coverag</w:t>
      </w:r>
      <w:r>
        <w:rPr>
          <w:rFonts w:ascii="Arial" w:eastAsia="Arial" w:hAnsi="Arial" w:cs="Arial"/>
          <w:sz w:val="21"/>
          <w:szCs w:val="21"/>
        </w:rPr>
        <w:t>e provided by the D &amp; O Insurance, if any, to the Company or the other directors and officers covered thereby.</w:t>
      </w:r>
    </w:p>
    <w:p w14:paraId="64C235DD" w14:textId="77777777" w:rsidR="00D1587D" w:rsidRDefault="00D1587D">
      <w:pPr>
        <w:spacing w:line="133" w:lineRule="exact"/>
        <w:rPr>
          <w:sz w:val="20"/>
          <w:szCs w:val="20"/>
        </w:rPr>
      </w:pPr>
    </w:p>
    <w:p w14:paraId="09995A9F" w14:textId="77777777" w:rsidR="00D1587D" w:rsidRDefault="00410D07">
      <w:pPr>
        <w:jc w:val="center"/>
        <w:rPr>
          <w:sz w:val="20"/>
          <w:szCs w:val="20"/>
        </w:rPr>
      </w:pPr>
      <w:r>
        <w:rPr>
          <w:rFonts w:ascii="Arial" w:eastAsia="Arial" w:hAnsi="Arial" w:cs="Arial"/>
        </w:rPr>
        <w:t>7</w:t>
      </w:r>
    </w:p>
    <w:p w14:paraId="5B36387D" w14:textId="77777777" w:rsidR="00D1587D" w:rsidRDefault="00410D07">
      <w:pPr>
        <w:spacing w:line="20" w:lineRule="exact"/>
        <w:rPr>
          <w:sz w:val="20"/>
          <w:szCs w:val="20"/>
        </w:rPr>
      </w:pPr>
      <w:r>
        <w:rPr>
          <w:noProof/>
          <w:sz w:val="20"/>
          <w:szCs w:val="20"/>
        </w:rPr>
        <w:drawing>
          <wp:anchor distT="0" distB="0" distL="114300" distR="114300" simplePos="0" relativeHeight="251408384" behindDoc="1" locked="0" layoutInCell="0" allowOverlap="1" wp14:anchorId="5AFF443A" wp14:editId="0DE9395E">
            <wp:simplePos x="0" y="0"/>
            <wp:positionH relativeFrom="column">
              <wp:posOffset>5080</wp:posOffset>
            </wp:positionH>
            <wp:positionV relativeFrom="paragraph">
              <wp:posOffset>41275</wp:posOffset>
            </wp:positionV>
            <wp:extent cx="7132320" cy="1714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A21EC20" w14:textId="77777777" w:rsidR="00D1587D" w:rsidRDefault="00D1587D">
      <w:pPr>
        <w:sectPr w:rsidR="00D1587D">
          <w:pgSz w:w="11900" w:h="16838"/>
          <w:pgMar w:top="112" w:right="339" w:bottom="1440" w:left="320" w:header="0" w:footer="0" w:gutter="0"/>
          <w:cols w:space="720" w:equalWidth="0">
            <w:col w:w="11240"/>
          </w:cols>
        </w:sectPr>
      </w:pPr>
    </w:p>
    <w:p w14:paraId="126C63DD" w14:textId="77777777" w:rsidR="00D1587D" w:rsidRDefault="00410D07">
      <w:pPr>
        <w:spacing w:line="274" w:lineRule="auto"/>
        <w:ind w:firstLine="1459"/>
        <w:jc w:val="both"/>
        <w:rPr>
          <w:sz w:val="20"/>
          <w:szCs w:val="20"/>
        </w:rPr>
      </w:pPr>
      <w:bookmarkStart w:id="244" w:name="page245"/>
      <w:bookmarkEnd w:id="244"/>
      <w:r>
        <w:rPr>
          <w:rFonts w:ascii="Arial" w:eastAsia="Arial" w:hAnsi="Arial" w:cs="Arial"/>
          <w:sz w:val="19"/>
          <w:szCs w:val="19"/>
        </w:rPr>
        <w:t xml:space="preserve">7.3.2. In the event any Claim relating to Covered Events is other than by or in the right of the Company, </w:t>
      </w:r>
      <w:r>
        <w:rPr>
          <w:rFonts w:ascii="Arial" w:eastAsia="Arial" w:hAnsi="Arial" w:cs="Arial"/>
          <w:sz w:val="19"/>
          <w:szCs w:val="19"/>
        </w:rPr>
        <w:t>Indemnitee may, at the option of Indemnitee, either control the defense thereof, require the Company to defend or accept the defense provided under the D &amp; O Insurance; provided, however, that Indemnitee may not control the defense or require the Company t</w:t>
      </w:r>
      <w:r>
        <w:rPr>
          <w:rFonts w:ascii="Arial" w:eastAsia="Arial" w:hAnsi="Arial" w:cs="Arial"/>
          <w:sz w:val="19"/>
          <w:szCs w:val="19"/>
        </w:rPr>
        <w:t>o defend if such decision would jeopardize the coverage provided by the D &amp; O Insurance to the Company or the other directors and officers covered thereby. In the event that Indemnitee requires the Company to so defend, or in the event that Indemnitee proc</w:t>
      </w:r>
      <w:r>
        <w:rPr>
          <w:rFonts w:ascii="Arial" w:eastAsia="Arial" w:hAnsi="Arial" w:cs="Arial"/>
          <w:sz w:val="19"/>
          <w:szCs w:val="19"/>
        </w:rPr>
        <w:t>eeds under the D &amp; O Insurance but Indemnitee determines that such insurers under the D &amp; O Insurance are unable or unwilling to adequately defend Indemnitee against any such Claim, the Company shall promptly undertake to defend any such Claim, at the Comp</w:t>
      </w:r>
      <w:r>
        <w:rPr>
          <w:rFonts w:ascii="Arial" w:eastAsia="Arial" w:hAnsi="Arial" w:cs="Arial"/>
          <w:sz w:val="19"/>
          <w:szCs w:val="19"/>
        </w:rPr>
        <w:t>any’s sole cost and expense, utilizing counsel of Indemnitee’s choice who has been approved by the Company. If appropriate, the Company shall have the right to participate in the defense of any such Claim.</w:t>
      </w:r>
    </w:p>
    <w:p w14:paraId="633FDFC3" w14:textId="77777777" w:rsidR="00D1587D" w:rsidRDefault="00D1587D">
      <w:pPr>
        <w:spacing w:line="186" w:lineRule="exact"/>
        <w:rPr>
          <w:sz w:val="20"/>
          <w:szCs w:val="20"/>
        </w:rPr>
      </w:pPr>
    </w:p>
    <w:p w14:paraId="24782AD0" w14:textId="77777777" w:rsidR="00D1587D" w:rsidRDefault="00410D07">
      <w:pPr>
        <w:spacing w:line="252" w:lineRule="auto"/>
        <w:ind w:firstLine="1459"/>
        <w:jc w:val="both"/>
        <w:rPr>
          <w:sz w:val="20"/>
          <w:szCs w:val="20"/>
        </w:rPr>
      </w:pPr>
      <w:r>
        <w:rPr>
          <w:rFonts w:ascii="Arial" w:eastAsia="Arial" w:hAnsi="Arial" w:cs="Arial"/>
          <w:sz w:val="21"/>
          <w:szCs w:val="21"/>
        </w:rPr>
        <w:t>7.3.3. In the event the Company shall fail, as re</w:t>
      </w:r>
      <w:r>
        <w:rPr>
          <w:rFonts w:ascii="Arial" w:eastAsia="Arial" w:hAnsi="Arial" w:cs="Arial"/>
          <w:sz w:val="21"/>
          <w:szCs w:val="21"/>
        </w:rPr>
        <w:t>quired by any election by Indemnitee pursuant to Section 7.3.2, timely to defend Indemnitee against any such Claim, Indemnitee shall have the right to do so, including without limitation, the right (notwithstanding Section 7.3.4) to make any settlement the</w:t>
      </w:r>
      <w:r>
        <w:rPr>
          <w:rFonts w:ascii="Arial" w:eastAsia="Arial" w:hAnsi="Arial" w:cs="Arial"/>
          <w:sz w:val="21"/>
          <w:szCs w:val="21"/>
        </w:rPr>
        <w:t>reof, and to recover from the Company, to the extent otherwise permitted by this Agreement, all Expenses and Losses paid as a result thereof.</w:t>
      </w:r>
    </w:p>
    <w:p w14:paraId="310F216A" w14:textId="77777777" w:rsidR="00D1587D" w:rsidRDefault="00D1587D">
      <w:pPr>
        <w:spacing w:line="201" w:lineRule="exact"/>
        <w:rPr>
          <w:sz w:val="20"/>
          <w:szCs w:val="20"/>
        </w:rPr>
      </w:pPr>
    </w:p>
    <w:p w14:paraId="2C81ADA9" w14:textId="77777777" w:rsidR="00D1587D" w:rsidRDefault="00410D07">
      <w:pPr>
        <w:spacing w:line="236" w:lineRule="auto"/>
        <w:ind w:firstLine="1459"/>
        <w:jc w:val="both"/>
        <w:rPr>
          <w:sz w:val="20"/>
          <w:szCs w:val="20"/>
        </w:rPr>
      </w:pPr>
      <w:r>
        <w:rPr>
          <w:rFonts w:ascii="Arial" w:eastAsia="Arial" w:hAnsi="Arial" w:cs="Arial"/>
        </w:rPr>
        <w:t>7.3.4. The Company shall have no obligation under this Agreement with respect to any amounts paid or to be paid i</w:t>
      </w:r>
      <w:r>
        <w:rPr>
          <w:rFonts w:ascii="Arial" w:eastAsia="Arial" w:hAnsi="Arial" w:cs="Arial"/>
        </w:rPr>
        <w:t>n settlement of any Claim without the express prior written consent of the Company to any related settlement. In no event shall the Company authorize any settlement imposing any liability or other obligations on Indemnitee without the express prior written</w:t>
      </w:r>
      <w:r>
        <w:rPr>
          <w:rFonts w:ascii="Arial" w:eastAsia="Arial" w:hAnsi="Arial" w:cs="Arial"/>
        </w:rPr>
        <w:t xml:space="preserve"> consent of Indemnitee. Neither the Company nor Indemnitee shall unreasonably withhold consent to any proposed settlement.</w:t>
      </w:r>
    </w:p>
    <w:p w14:paraId="05EFF12F" w14:textId="77777777" w:rsidR="00D1587D" w:rsidRDefault="00D1587D">
      <w:pPr>
        <w:spacing w:line="208" w:lineRule="exact"/>
        <w:rPr>
          <w:sz w:val="20"/>
          <w:szCs w:val="20"/>
        </w:rPr>
      </w:pPr>
    </w:p>
    <w:p w14:paraId="610441CF" w14:textId="77777777" w:rsidR="00D1587D" w:rsidRDefault="00410D07">
      <w:pPr>
        <w:ind w:left="500"/>
        <w:rPr>
          <w:sz w:val="20"/>
          <w:szCs w:val="20"/>
        </w:rPr>
      </w:pPr>
      <w:r>
        <w:rPr>
          <w:rFonts w:ascii="Arial" w:eastAsia="Arial" w:hAnsi="Arial" w:cs="Arial"/>
        </w:rPr>
        <w:t xml:space="preserve">Section 8. </w:t>
      </w:r>
      <w:r>
        <w:rPr>
          <w:rFonts w:ascii="Arial" w:eastAsia="Arial" w:hAnsi="Arial" w:cs="Arial"/>
          <w:b/>
          <w:bCs/>
        </w:rPr>
        <w:t>Determinations and Related Matters.</w:t>
      </w:r>
    </w:p>
    <w:p w14:paraId="7B5D82B4" w14:textId="77777777" w:rsidR="00D1587D" w:rsidRDefault="00D1587D">
      <w:pPr>
        <w:spacing w:line="239" w:lineRule="exact"/>
        <w:rPr>
          <w:sz w:val="20"/>
          <w:szCs w:val="20"/>
        </w:rPr>
      </w:pPr>
    </w:p>
    <w:p w14:paraId="4D6C31CB" w14:textId="77777777" w:rsidR="00D1587D" w:rsidRDefault="00410D07">
      <w:pPr>
        <w:ind w:left="980"/>
        <w:rPr>
          <w:sz w:val="20"/>
          <w:szCs w:val="20"/>
        </w:rPr>
      </w:pPr>
      <w:r>
        <w:rPr>
          <w:rFonts w:ascii="Arial" w:eastAsia="Arial" w:hAnsi="Arial" w:cs="Arial"/>
        </w:rPr>
        <w:t xml:space="preserve">8.1. </w:t>
      </w:r>
      <w:r>
        <w:rPr>
          <w:rFonts w:ascii="Arial" w:eastAsia="Arial" w:hAnsi="Arial" w:cs="Arial"/>
          <w:u w:val="single"/>
        </w:rPr>
        <w:t>Presumptions.</w:t>
      </w:r>
    </w:p>
    <w:p w14:paraId="4ABF2312" w14:textId="77777777" w:rsidR="00D1587D" w:rsidRDefault="00D1587D">
      <w:pPr>
        <w:spacing w:line="233" w:lineRule="exact"/>
        <w:rPr>
          <w:sz w:val="20"/>
          <w:szCs w:val="20"/>
        </w:rPr>
      </w:pPr>
    </w:p>
    <w:p w14:paraId="21B139B7" w14:textId="77777777" w:rsidR="00D1587D" w:rsidRDefault="00410D07">
      <w:pPr>
        <w:ind w:firstLine="1459"/>
        <w:jc w:val="both"/>
        <w:rPr>
          <w:sz w:val="20"/>
          <w:szCs w:val="20"/>
        </w:rPr>
      </w:pPr>
      <w:r>
        <w:rPr>
          <w:rFonts w:ascii="Arial" w:eastAsia="Arial" w:hAnsi="Arial" w:cs="Arial"/>
        </w:rPr>
        <w:t>8.1.1. If a Change in Control shall have occurred, Indemnitee sh</w:t>
      </w:r>
      <w:r>
        <w:rPr>
          <w:rFonts w:ascii="Arial" w:eastAsia="Arial" w:hAnsi="Arial" w:cs="Arial"/>
        </w:rPr>
        <w:t>all be entitled to a rebuttable presumption that Indemnitee is entitled to indemnification under this Agreement and the Company shall have the burden of proof in rebutting such presumption.</w:t>
      </w:r>
    </w:p>
    <w:p w14:paraId="26FFE298" w14:textId="77777777" w:rsidR="00D1587D" w:rsidRDefault="00D1587D">
      <w:pPr>
        <w:spacing w:line="213" w:lineRule="exact"/>
        <w:rPr>
          <w:sz w:val="20"/>
          <w:szCs w:val="20"/>
        </w:rPr>
      </w:pPr>
    </w:p>
    <w:p w14:paraId="41A4B523" w14:textId="77777777" w:rsidR="00D1587D" w:rsidRDefault="00410D07">
      <w:pPr>
        <w:spacing w:line="282" w:lineRule="auto"/>
        <w:ind w:firstLine="1459"/>
        <w:jc w:val="both"/>
        <w:rPr>
          <w:sz w:val="20"/>
          <w:szCs w:val="20"/>
        </w:rPr>
      </w:pPr>
      <w:r>
        <w:rPr>
          <w:rFonts w:ascii="Arial" w:eastAsia="Arial" w:hAnsi="Arial" w:cs="Arial"/>
          <w:sz w:val="19"/>
          <w:szCs w:val="19"/>
        </w:rPr>
        <w:t xml:space="preserve">8.1.2. The termination of any Claim by judgment, order, </w:t>
      </w:r>
      <w:r>
        <w:rPr>
          <w:rFonts w:ascii="Arial" w:eastAsia="Arial" w:hAnsi="Arial" w:cs="Arial"/>
          <w:sz w:val="19"/>
          <w:szCs w:val="19"/>
        </w:rPr>
        <w:t>settlement (whether with or without court approval) or conviction, or upon a plea of nolo contendere or its equivalent, shall not adversely affect either the right of Indemnitee to indemnification under this Agreement or the presumptions to which Indemnite</w:t>
      </w:r>
      <w:r>
        <w:rPr>
          <w:rFonts w:ascii="Arial" w:eastAsia="Arial" w:hAnsi="Arial" w:cs="Arial"/>
          <w:sz w:val="19"/>
          <w:szCs w:val="19"/>
        </w:rPr>
        <w:t>e is otherwise entitled pursuant to the provisions of this Agreement nor create a presumption that Indemnitee did not meet any particular standard of conduct or have a particular belief or that a court has determined that indemnification is not permitted b</w:t>
      </w:r>
      <w:r>
        <w:rPr>
          <w:rFonts w:ascii="Arial" w:eastAsia="Arial" w:hAnsi="Arial" w:cs="Arial"/>
          <w:sz w:val="19"/>
          <w:szCs w:val="19"/>
        </w:rPr>
        <w:t>y applicable law.</w:t>
      </w:r>
    </w:p>
    <w:p w14:paraId="66C5EA56" w14:textId="77777777" w:rsidR="00D1587D" w:rsidRDefault="00D1587D">
      <w:pPr>
        <w:spacing w:line="107" w:lineRule="exact"/>
        <w:rPr>
          <w:sz w:val="20"/>
          <w:szCs w:val="20"/>
        </w:rPr>
      </w:pPr>
    </w:p>
    <w:p w14:paraId="51BBD14A" w14:textId="77777777" w:rsidR="00D1587D" w:rsidRDefault="00410D07">
      <w:pPr>
        <w:jc w:val="center"/>
        <w:rPr>
          <w:sz w:val="20"/>
          <w:szCs w:val="20"/>
        </w:rPr>
      </w:pPr>
      <w:r>
        <w:rPr>
          <w:rFonts w:ascii="Arial" w:eastAsia="Arial" w:hAnsi="Arial" w:cs="Arial"/>
        </w:rPr>
        <w:t>8</w:t>
      </w:r>
    </w:p>
    <w:p w14:paraId="2D58DAE0" w14:textId="77777777" w:rsidR="00D1587D" w:rsidRDefault="00410D07">
      <w:pPr>
        <w:spacing w:line="20" w:lineRule="exact"/>
        <w:rPr>
          <w:sz w:val="20"/>
          <w:szCs w:val="20"/>
        </w:rPr>
      </w:pPr>
      <w:r>
        <w:rPr>
          <w:noProof/>
          <w:sz w:val="20"/>
          <w:szCs w:val="20"/>
        </w:rPr>
        <w:drawing>
          <wp:anchor distT="0" distB="0" distL="114300" distR="114300" simplePos="0" relativeHeight="251409408" behindDoc="1" locked="0" layoutInCell="0" allowOverlap="1" wp14:anchorId="474A8BE3" wp14:editId="11E55AE9">
            <wp:simplePos x="0" y="0"/>
            <wp:positionH relativeFrom="column">
              <wp:posOffset>5080</wp:posOffset>
            </wp:positionH>
            <wp:positionV relativeFrom="paragraph">
              <wp:posOffset>41275</wp:posOffset>
            </wp:positionV>
            <wp:extent cx="7132320" cy="17145"/>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4D198CB" w14:textId="77777777" w:rsidR="00D1587D" w:rsidRDefault="00D1587D">
      <w:pPr>
        <w:sectPr w:rsidR="00D1587D">
          <w:pgSz w:w="11900" w:h="16838"/>
          <w:pgMar w:top="118" w:right="339" w:bottom="1440" w:left="320" w:header="0" w:footer="0" w:gutter="0"/>
          <w:cols w:space="720" w:equalWidth="0">
            <w:col w:w="11240"/>
          </w:cols>
        </w:sectPr>
      </w:pPr>
    </w:p>
    <w:p w14:paraId="37DF8049" w14:textId="77777777" w:rsidR="00D1587D" w:rsidRDefault="00410D07">
      <w:pPr>
        <w:ind w:left="980"/>
        <w:rPr>
          <w:sz w:val="20"/>
          <w:szCs w:val="20"/>
        </w:rPr>
      </w:pPr>
      <w:bookmarkStart w:id="245" w:name="page246"/>
      <w:bookmarkEnd w:id="245"/>
      <w:r>
        <w:rPr>
          <w:rFonts w:ascii="Arial" w:eastAsia="Arial" w:hAnsi="Arial" w:cs="Arial"/>
        </w:rPr>
        <w:t xml:space="preserve">8.2. </w:t>
      </w:r>
      <w:r>
        <w:rPr>
          <w:rFonts w:ascii="Arial" w:eastAsia="Arial" w:hAnsi="Arial" w:cs="Arial"/>
          <w:u w:val="single"/>
        </w:rPr>
        <w:t>Appeals; Enforcement.</w:t>
      </w:r>
    </w:p>
    <w:p w14:paraId="14493083" w14:textId="77777777" w:rsidR="00D1587D" w:rsidRDefault="00D1587D">
      <w:pPr>
        <w:spacing w:line="234" w:lineRule="exact"/>
        <w:rPr>
          <w:sz w:val="20"/>
          <w:szCs w:val="20"/>
        </w:rPr>
      </w:pPr>
    </w:p>
    <w:p w14:paraId="56D6C9B6" w14:textId="77777777" w:rsidR="00D1587D" w:rsidRDefault="00410D07">
      <w:pPr>
        <w:spacing w:line="244" w:lineRule="auto"/>
        <w:ind w:firstLine="1459"/>
        <w:jc w:val="both"/>
        <w:rPr>
          <w:sz w:val="20"/>
          <w:szCs w:val="20"/>
        </w:rPr>
      </w:pPr>
      <w:r>
        <w:rPr>
          <w:rFonts w:ascii="Arial" w:eastAsia="Arial" w:hAnsi="Arial" w:cs="Arial"/>
          <w:sz w:val="21"/>
          <w:szCs w:val="21"/>
        </w:rPr>
        <w:t>8.2.1. In the event that (a) a Determination is made that Indemnitee shall not be entitled to indemnification under this Agreement, (b) any Determination to be made by Independent Legal</w:t>
      </w:r>
      <w:r>
        <w:rPr>
          <w:rFonts w:ascii="Arial" w:eastAsia="Arial" w:hAnsi="Arial" w:cs="Arial"/>
          <w:sz w:val="21"/>
          <w:szCs w:val="21"/>
        </w:rPr>
        <w:t xml:space="preserve"> Counsel is not made within 90 days of receipt by the Company of a request for indemnification pursuant to Section 4.2.1 or (c) the Company fails to otherwise perform any of its obligations under this Agreement (including, without limitation, its obligatio</w:t>
      </w:r>
      <w:r>
        <w:rPr>
          <w:rFonts w:ascii="Arial" w:eastAsia="Arial" w:hAnsi="Arial" w:cs="Arial"/>
          <w:sz w:val="21"/>
          <w:szCs w:val="21"/>
        </w:rPr>
        <w:t>n to make payments to Indemnitee following any Determination made or deemed to have been made that such payments are appropriate), Indemnitee shall have the right to commence a Claim in any court of competent jurisdiction, as appropriate, to seek a Determi</w:t>
      </w:r>
      <w:r>
        <w:rPr>
          <w:rFonts w:ascii="Arial" w:eastAsia="Arial" w:hAnsi="Arial" w:cs="Arial"/>
          <w:sz w:val="21"/>
          <w:szCs w:val="21"/>
        </w:rPr>
        <w:t xml:space="preserve">nation by the court, to challenge or appeal any Determination which has been made, or to otherwise enforce this Agreement. If a Change of Control shall have occurred, Indemnitee shall have the option to have any such Claim conducted by a single arbitrator </w:t>
      </w:r>
      <w:r>
        <w:rPr>
          <w:rFonts w:ascii="Arial" w:eastAsia="Arial" w:hAnsi="Arial" w:cs="Arial"/>
          <w:sz w:val="21"/>
          <w:szCs w:val="21"/>
        </w:rPr>
        <w:t xml:space="preserve">pursuant to the rules of the American Arbitration Association. Any such judicial proceeding challenging or appealing any Determination shall be deemed to be conducted </w:t>
      </w:r>
      <w:r>
        <w:rPr>
          <w:rFonts w:ascii="Arial" w:eastAsia="Arial" w:hAnsi="Arial" w:cs="Arial"/>
          <w:i/>
          <w:iCs/>
          <w:sz w:val="21"/>
          <w:szCs w:val="21"/>
        </w:rPr>
        <w:t>de novo</w:t>
      </w:r>
      <w:r>
        <w:rPr>
          <w:rFonts w:ascii="Arial" w:eastAsia="Arial" w:hAnsi="Arial" w:cs="Arial"/>
          <w:sz w:val="21"/>
          <w:szCs w:val="21"/>
        </w:rPr>
        <w:t xml:space="preserve"> and without prejudice by reason of any prior Determination to the effect that Ind</w:t>
      </w:r>
      <w:r>
        <w:rPr>
          <w:rFonts w:ascii="Arial" w:eastAsia="Arial" w:hAnsi="Arial" w:cs="Arial"/>
          <w:sz w:val="21"/>
          <w:szCs w:val="21"/>
        </w:rPr>
        <w:t>emnitee is not entitled to indemnification under this Agreement. Any such Claim shall be at the sole expense of Indemnitee except as provided in Section 9.3.</w:t>
      </w:r>
    </w:p>
    <w:p w14:paraId="090526D5" w14:textId="77777777" w:rsidR="00D1587D" w:rsidRDefault="00D1587D">
      <w:pPr>
        <w:spacing w:line="213" w:lineRule="exact"/>
        <w:rPr>
          <w:sz w:val="20"/>
          <w:szCs w:val="20"/>
        </w:rPr>
      </w:pPr>
    </w:p>
    <w:p w14:paraId="25AF7972" w14:textId="77777777" w:rsidR="00D1587D" w:rsidRDefault="00410D07">
      <w:pPr>
        <w:spacing w:line="257" w:lineRule="auto"/>
        <w:ind w:firstLine="1459"/>
        <w:jc w:val="both"/>
        <w:rPr>
          <w:sz w:val="20"/>
          <w:szCs w:val="20"/>
        </w:rPr>
      </w:pPr>
      <w:r>
        <w:rPr>
          <w:rFonts w:ascii="Arial" w:eastAsia="Arial" w:hAnsi="Arial" w:cs="Arial"/>
          <w:sz w:val="21"/>
          <w:szCs w:val="21"/>
        </w:rPr>
        <w:t>8.2.2. If a Determination shall have been made or deemed to have been made pursuant to this Agree</w:t>
      </w:r>
      <w:r>
        <w:rPr>
          <w:rFonts w:ascii="Arial" w:eastAsia="Arial" w:hAnsi="Arial" w:cs="Arial"/>
          <w:sz w:val="21"/>
          <w:szCs w:val="21"/>
        </w:rPr>
        <w:t>ment that Indemnitee is entitled to indemnification, the Company shall be bound by such Determination in any judicial proceeding or arbitration commenced pursuant to this Section 8.2, except if such indemnification is unlawful.</w:t>
      </w:r>
    </w:p>
    <w:p w14:paraId="57D2C981" w14:textId="77777777" w:rsidR="00D1587D" w:rsidRDefault="00D1587D">
      <w:pPr>
        <w:spacing w:line="196" w:lineRule="exact"/>
        <w:rPr>
          <w:sz w:val="20"/>
          <w:szCs w:val="20"/>
        </w:rPr>
      </w:pPr>
    </w:p>
    <w:p w14:paraId="4C893174" w14:textId="77777777" w:rsidR="00D1587D" w:rsidRDefault="00410D07">
      <w:pPr>
        <w:spacing w:line="249" w:lineRule="auto"/>
        <w:ind w:firstLine="1459"/>
        <w:jc w:val="both"/>
        <w:rPr>
          <w:sz w:val="20"/>
          <w:szCs w:val="20"/>
        </w:rPr>
      </w:pPr>
      <w:r>
        <w:rPr>
          <w:rFonts w:ascii="Arial" w:eastAsia="Arial" w:hAnsi="Arial" w:cs="Arial"/>
          <w:sz w:val="21"/>
          <w:szCs w:val="21"/>
        </w:rPr>
        <w:t>8.2.3. The Company shall be</w:t>
      </w:r>
      <w:r>
        <w:rPr>
          <w:rFonts w:ascii="Arial" w:eastAsia="Arial" w:hAnsi="Arial" w:cs="Arial"/>
          <w:sz w:val="21"/>
          <w:szCs w:val="21"/>
        </w:rPr>
        <w:t xml:space="preserve"> precluded from asserting in any judicial proceeding or arbitration commenced pursuant to this Section 8.2 that the procedures and presumptions of this Agreement are not valid, binding and enforceable and shall stipulate in any such court or before any suc</w:t>
      </w:r>
      <w:r>
        <w:rPr>
          <w:rFonts w:ascii="Arial" w:eastAsia="Arial" w:hAnsi="Arial" w:cs="Arial"/>
          <w:sz w:val="21"/>
          <w:szCs w:val="21"/>
        </w:rPr>
        <w:t>h arbitrator that the Company is bound by all the provisions of this Agreement. The Company hereby consents to service of process and to appear in any such judicial or arbitration proceedings and shall not oppose Indemnitee’s right to commence any such pro</w:t>
      </w:r>
      <w:r>
        <w:rPr>
          <w:rFonts w:ascii="Arial" w:eastAsia="Arial" w:hAnsi="Arial" w:cs="Arial"/>
          <w:sz w:val="21"/>
          <w:szCs w:val="21"/>
        </w:rPr>
        <w:t>ceedings.</w:t>
      </w:r>
    </w:p>
    <w:p w14:paraId="463B15F1" w14:textId="77777777" w:rsidR="00D1587D" w:rsidRDefault="00D1587D">
      <w:pPr>
        <w:spacing w:line="205" w:lineRule="exact"/>
        <w:rPr>
          <w:sz w:val="20"/>
          <w:szCs w:val="20"/>
        </w:rPr>
      </w:pPr>
    </w:p>
    <w:p w14:paraId="63C5A07B" w14:textId="77777777" w:rsidR="00D1587D" w:rsidRDefault="00410D07">
      <w:pPr>
        <w:spacing w:line="282" w:lineRule="auto"/>
        <w:ind w:firstLine="972"/>
        <w:jc w:val="both"/>
        <w:rPr>
          <w:sz w:val="20"/>
          <w:szCs w:val="20"/>
        </w:rPr>
      </w:pPr>
      <w:r>
        <w:rPr>
          <w:rFonts w:ascii="Arial" w:eastAsia="Arial" w:hAnsi="Arial" w:cs="Arial"/>
          <w:sz w:val="19"/>
          <w:szCs w:val="19"/>
        </w:rPr>
        <w:t xml:space="preserve">8.3. </w:t>
      </w:r>
      <w:r>
        <w:rPr>
          <w:rFonts w:ascii="Arial" w:eastAsia="Arial" w:hAnsi="Arial" w:cs="Arial"/>
          <w:sz w:val="19"/>
          <w:szCs w:val="19"/>
          <w:u w:val="single"/>
        </w:rPr>
        <w:t>Procedures.</w:t>
      </w:r>
      <w:r>
        <w:rPr>
          <w:rFonts w:ascii="Arial" w:eastAsia="Arial" w:hAnsi="Arial" w:cs="Arial"/>
          <w:sz w:val="19"/>
          <w:szCs w:val="19"/>
        </w:rPr>
        <w:t xml:space="preserve"> Indemnitee shall cooperate with the Company and with any Person making any Determination with respect to any Claim for which a claim for indemnification under this Agreement has been made, as the Company may reasonably require. Indemnitee shall provide to</w:t>
      </w:r>
      <w:r>
        <w:rPr>
          <w:rFonts w:ascii="Arial" w:eastAsia="Arial" w:hAnsi="Arial" w:cs="Arial"/>
          <w:sz w:val="19"/>
          <w:szCs w:val="19"/>
        </w:rPr>
        <w:t xml:space="preserve"> the Company or the Person making any Determination, upon reasonable advance request, any documentation or information reasonably available to Indemnitee and necessary to (a) the Company with respect to any such Claim or (b) the Person making any Determina</w:t>
      </w:r>
      <w:r>
        <w:rPr>
          <w:rFonts w:ascii="Arial" w:eastAsia="Arial" w:hAnsi="Arial" w:cs="Arial"/>
          <w:sz w:val="19"/>
          <w:szCs w:val="19"/>
        </w:rPr>
        <w:t>tion with respect thereto.</w:t>
      </w:r>
    </w:p>
    <w:p w14:paraId="2FAA7809" w14:textId="77777777" w:rsidR="00D1587D" w:rsidRDefault="00D1587D">
      <w:pPr>
        <w:spacing w:line="168" w:lineRule="exact"/>
        <w:rPr>
          <w:sz w:val="20"/>
          <w:szCs w:val="20"/>
        </w:rPr>
      </w:pPr>
    </w:p>
    <w:p w14:paraId="39CBB395" w14:textId="77777777" w:rsidR="00D1587D" w:rsidRDefault="00410D07">
      <w:pPr>
        <w:ind w:left="500"/>
        <w:rPr>
          <w:sz w:val="20"/>
          <w:szCs w:val="20"/>
        </w:rPr>
      </w:pPr>
      <w:r>
        <w:rPr>
          <w:rFonts w:ascii="Arial" w:eastAsia="Arial" w:hAnsi="Arial" w:cs="Arial"/>
        </w:rPr>
        <w:t xml:space="preserve">Section 9. </w:t>
      </w:r>
      <w:r>
        <w:rPr>
          <w:rFonts w:ascii="Arial" w:eastAsia="Arial" w:hAnsi="Arial" w:cs="Arial"/>
          <w:b/>
          <w:bCs/>
        </w:rPr>
        <w:t>Change in Control Procedures.</w:t>
      </w:r>
    </w:p>
    <w:p w14:paraId="56B52B73" w14:textId="77777777" w:rsidR="00D1587D" w:rsidRDefault="00D1587D">
      <w:pPr>
        <w:spacing w:line="239" w:lineRule="exact"/>
        <w:rPr>
          <w:sz w:val="20"/>
          <w:szCs w:val="20"/>
        </w:rPr>
      </w:pPr>
    </w:p>
    <w:p w14:paraId="7F50D030" w14:textId="77777777" w:rsidR="00D1587D" w:rsidRDefault="00410D07">
      <w:pPr>
        <w:spacing w:line="282" w:lineRule="auto"/>
        <w:ind w:firstLine="972"/>
        <w:jc w:val="both"/>
        <w:rPr>
          <w:sz w:val="20"/>
          <w:szCs w:val="20"/>
        </w:rPr>
      </w:pPr>
      <w:r>
        <w:rPr>
          <w:rFonts w:ascii="Arial" w:eastAsia="Arial" w:hAnsi="Arial" w:cs="Arial"/>
          <w:sz w:val="19"/>
          <w:szCs w:val="19"/>
        </w:rPr>
        <w:t xml:space="preserve">9.1. </w:t>
      </w:r>
      <w:r>
        <w:rPr>
          <w:rFonts w:ascii="Arial" w:eastAsia="Arial" w:hAnsi="Arial" w:cs="Arial"/>
          <w:sz w:val="19"/>
          <w:szCs w:val="19"/>
          <w:u w:val="single"/>
        </w:rPr>
        <w:t>Determinations.</w:t>
      </w:r>
      <w:r>
        <w:rPr>
          <w:rFonts w:ascii="Arial" w:eastAsia="Arial" w:hAnsi="Arial" w:cs="Arial"/>
          <w:sz w:val="19"/>
          <w:szCs w:val="19"/>
        </w:rPr>
        <w:t xml:space="preserve"> If there is a Change in Control, any Determination to be made under Section 4 shall be made by Independent Legal Counsel selected by Indemnitee and approved by the Company (which approval shall not be unreasonably withheld). The Company shall pay the reas</w:t>
      </w:r>
      <w:r>
        <w:rPr>
          <w:rFonts w:ascii="Arial" w:eastAsia="Arial" w:hAnsi="Arial" w:cs="Arial"/>
          <w:sz w:val="19"/>
          <w:szCs w:val="19"/>
        </w:rPr>
        <w:t>onable fees of the Independent Legal Counsel and indemnify fully such Independent Legal Counsel against any and all expenses (including attorneys’ fees), claims, liabilities and damages arising out of or relating to this Agreement or the engagement of Inde</w:t>
      </w:r>
      <w:r>
        <w:rPr>
          <w:rFonts w:ascii="Arial" w:eastAsia="Arial" w:hAnsi="Arial" w:cs="Arial"/>
          <w:sz w:val="19"/>
          <w:szCs w:val="19"/>
        </w:rPr>
        <w:t>pendent Legal Counsel pursuant hereto.</w:t>
      </w:r>
    </w:p>
    <w:p w14:paraId="5A4FB37A" w14:textId="77777777" w:rsidR="00D1587D" w:rsidRDefault="00D1587D">
      <w:pPr>
        <w:spacing w:line="107" w:lineRule="exact"/>
        <w:rPr>
          <w:sz w:val="20"/>
          <w:szCs w:val="20"/>
        </w:rPr>
      </w:pPr>
    </w:p>
    <w:p w14:paraId="3EA53AD8" w14:textId="77777777" w:rsidR="00D1587D" w:rsidRDefault="00410D07">
      <w:pPr>
        <w:jc w:val="center"/>
        <w:rPr>
          <w:sz w:val="20"/>
          <w:szCs w:val="20"/>
        </w:rPr>
      </w:pPr>
      <w:r>
        <w:rPr>
          <w:rFonts w:ascii="Arial" w:eastAsia="Arial" w:hAnsi="Arial" w:cs="Arial"/>
        </w:rPr>
        <w:t>9</w:t>
      </w:r>
    </w:p>
    <w:p w14:paraId="63CF3D0B" w14:textId="77777777" w:rsidR="00D1587D" w:rsidRDefault="00410D07">
      <w:pPr>
        <w:spacing w:line="20" w:lineRule="exact"/>
        <w:rPr>
          <w:sz w:val="20"/>
          <w:szCs w:val="20"/>
        </w:rPr>
      </w:pPr>
      <w:r>
        <w:rPr>
          <w:noProof/>
          <w:sz w:val="20"/>
          <w:szCs w:val="20"/>
        </w:rPr>
        <w:drawing>
          <wp:anchor distT="0" distB="0" distL="114300" distR="114300" simplePos="0" relativeHeight="251410432" behindDoc="1" locked="0" layoutInCell="0" allowOverlap="1" wp14:anchorId="26DD4F26" wp14:editId="1332289E">
            <wp:simplePos x="0" y="0"/>
            <wp:positionH relativeFrom="column">
              <wp:posOffset>5080</wp:posOffset>
            </wp:positionH>
            <wp:positionV relativeFrom="paragraph">
              <wp:posOffset>41275</wp:posOffset>
            </wp:positionV>
            <wp:extent cx="7132320" cy="17145"/>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2065C144" w14:textId="77777777" w:rsidR="00D1587D" w:rsidRDefault="00D1587D">
      <w:pPr>
        <w:sectPr w:rsidR="00D1587D">
          <w:pgSz w:w="11900" w:h="16838"/>
          <w:pgMar w:top="118" w:right="339" w:bottom="1440" w:left="320" w:header="0" w:footer="0" w:gutter="0"/>
          <w:cols w:space="720" w:equalWidth="0">
            <w:col w:w="11240"/>
          </w:cols>
        </w:sectPr>
      </w:pPr>
    </w:p>
    <w:p w14:paraId="7AB40140" w14:textId="77777777" w:rsidR="00D1587D" w:rsidRDefault="00410D07">
      <w:pPr>
        <w:spacing w:line="271" w:lineRule="auto"/>
        <w:ind w:firstLine="972"/>
        <w:jc w:val="both"/>
        <w:rPr>
          <w:sz w:val="20"/>
          <w:szCs w:val="20"/>
        </w:rPr>
      </w:pPr>
      <w:bookmarkStart w:id="246" w:name="page247"/>
      <w:bookmarkEnd w:id="246"/>
      <w:r>
        <w:rPr>
          <w:rFonts w:ascii="Arial" w:eastAsia="Arial" w:hAnsi="Arial" w:cs="Arial"/>
          <w:sz w:val="19"/>
          <w:szCs w:val="19"/>
        </w:rPr>
        <w:t xml:space="preserve">9.2. </w:t>
      </w:r>
      <w:r>
        <w:rPr>
          <w:rFonts w:ascii="Arial" w:eastAsia="Arial" w:hAnsi="Arial" w:cs="Arial"/>
          <w:sz w:val="19"/>
          <w:szCs w:val="19"/>
          <w:u w:val="single"/>
        </w:rPr>
        <w:t>Establishment of Trust.</w:t>
      </w:r>
      <w:r>
        <w:rPr>
          <w:rFonts w:ascii="Arial" w:eastAsia="Arial" w:hAnsi="Arial" w:cs="Arial"/>
          <w:sz w:val="19"/>
          <w:szCs w:val="19"/>
        </w:rPr>
        <w:t xml:space="preserve"> Following the occurrence of any Potential Change in Control, the Company, upon receipt of a written request from Indemnitee, shall create a Trust (the “Trust”) for</w:t>
      </w:r>
      <w:r>
        <w:rPr>
          <w:rFonts w:ascii="Arial" w:eastAsia="Arial" w:hAnsi="Arial" w:cs="Arial"/>
          <w:sz w:val="19"/>
          <w:szCs w:val="19"/>
        </w:rPr>
        <w:t xml:space="preserve"> the benefit of Indemnitee, the trustee of which shall be a bank or similar financial institution with trust powers chosen by Indemnitee. From time to time, upon the written request of Indemnitee, the Company shall fund the Trust in amounts sufficient to s</w:t>
      </w:r>
      <w:r>
        <w:rPr>
          <w:rFonts w:ascii="Arial" w:eastAsia="Arial" w:hAnsi="Arial" w:cs="Arial"/>
          <w:sz w:val="19"/>
          <w:szCs w:val="19"/>
        </w:rPr>
        <w:t xml:space="preserve">atisfy any and all Losses and Expenses reasonably anticipated at the time of each such request to be incurred by Indemnitee for which indemnification may be available under this Agreement. The amount or amounts to be deposited in the Trust pursuant to the </w:t>
      </w:r>
      <w:r>
        <w:rPr>
          <w:rFonts w:ascii="Arial" w:eastAsia="Arial" w:hAnsi="Arial" w:cs="Arial"/>
          <w:sz w:val="19"/>
          <w:szCs w:val="19"/>
        </w:rPr>
        <w:t>foregoing funding obligation shall be determined by mutual agreement of Indemnitee and the Company or, if the Company and Indemnitee are unable to reach such an agreement or, in any event, a Change in Control has occurred, by Independent Legal Counsel (sel</w:t>
      </w:r>
      <w:r>
        <w:rPr>
          <w:rFonts w:ascii="Arial" w:eastAsia="Arial" w:hAnsi="Arial" w:cs="Arial"/>
          <w:sz w:val="19"/>
          <w:szCs w:val="19"/>
        </w:rPr>
        <w:t xml:space="preserve">ected pursuant to Section 9.1). The terms of the Trust shall provide that, except upon the prior written consent of Indemnitee and the Company, (a) the Trust shall not be revoked or the principal thereof invaded, other than to make payments to unsatisfied </w:t>
      </w:r>
      <w:r>
        <w:rPr>
          <w:rFonts w:ascii="Arial" w:eastAsia="Arial" w:hAnsi="Arial" w:cs="Arial"/>
          <w:sz w:val="19"/>
          <w:szCs w:val="19"/>
        </w:rPr>
        <w:t>judgment creditors of the Company, (b) the Trust shall continue to be funded by the Company in accordance with the funding obligations set forth in this Section, (c) the Trustee shall promptly pay or advance to Indemnitee any amounts to which Indemnitee sh</w:t>
      </w:r>
      <w:r>
        <w:rPr>
          <w:rFonts w:ascii="Arial" w:eastAsia="Arial" w:hAnsi="Arial" w:cs="Arial"/>
          <w:sz w:val="19"/>
          <w:szCs w:val="19"/>
        </w:rPr>
        <w:t xml:space="preserve">all be entitled pursuant to this Agreement, and (d) all unexpended funds in the Trust shall revert to the Company upon a Determination by Independent Legal Counsel (selected pursuant to Section 9.1) or a court of competent jurisdiction that Indemnitee has </w:t>
      </w:r>
      <w:r>
        <w:rPr>
          <w:rFonts w:ascii="Arial" w:eastAsia="Arial" w:hAnsi="Arial" w:cs="Arial"/>
          <w:sz w:val="19"/>
          <w:szCs w:val="19"/>
        </w:rPr>
        <w:t>been fully indemnified under the terms of this Agreement. All income earned on the assets held in the trust shall be reported as income by the Company for federal, state, local and foreign tax purposes.</w:t>
      </w:r>
    </w:p>
    <w:p w14:paraId="66A0F340" w14:textId="77777777" w:rsidR="00D1587D" w:rsidRDefault="00D1587D">
      <w:pPr>
        <w:spacing w:line="200" w:lineRule="exact"/>
        <w:rPr>
          <w:sz w:val="20"/>
          <w:szCs w:val="20"/>
        </w:rPr>
      </w:pPr>
    </w:p>
    <w:p w14:paraId="47A0D9F5" w14:textId="77777777" w:rsidR="00D1587D" w:rsidRDefault="00D1587D">
      <w:pPr>
        <w:spacing w:line="231" w:lineRule="exact"/>
        <w:rPr>
          <w:sz w:val="20"/>
          <w:szCs w:val="20"/>
        </w:rPr>
      </w:pPr>
    </w:p>
    <w:p w14:paraId="00D66194" w14:textId="77777777" w:rsidR="00D1587D" w:rsidRDefault="00410D07">
      <w:pPr>
        <w:spacing w:line="248" w:lineRule="auto"/>
        <w:ind w:firstLine="972"/>
        <w:jc w:val="both"/>
        <w:rPr>
          <w:sz w:val="20"/>
          <w:szCs w:val="20"/>
        </w:rPr>
      </w:pPr>
      <w:r>
        <w:rPr>
          <w:rFonts w:ascii="Arial" w:eastAsia="Arial" w:hAnsi="Arial" w:cs="Arial"/>
          <w:sz w:val="21"/>
          <w:szCs w:val="21"/>
        </w:rPr>
        <w:t xml:space="preserve">9.3. </w:t>
      </w:r>
      <w:r>
        <w:rPr>
          <w:rFonts w:ascii="Arial" w:eastAsia="Arial" w:hAnsi="Arial" w:cs="Arial"/>
          <w:sz w:val="21"/>
          <w:szCs w:val="21"/>
          <w:u w:val="single"/>
        </w:rPr>
        <w:t>Expenses.</w:t>
      </w:r>
      <w:r>
        <w:rPr>
          <w:rFonts w:ascii="Arial" w:eastAsia="Arial" w:hAnsi="Arial" w:cs="Arial"/>
          <w:sz w:val="21"/>
          <w:szCs w:val="21"/>
        </w:rPr>
        <w:t xml:space="preserve"> Following any Change in Control, the</w:t>
      </w:r>
      <w:r>
        <w:rPr>
          <w:rFonts w:ascii="Arial" w:eastAsia="Arial" w:hAnsi="Arial" w:cs="Arial"/>
          <w:sz w:val="21"/>
          <w:szCs w:val="21"/>
        </w:rPr>
        <w:t xml:space="preserve"> Company shall be liable for, and shall pay the Expenses paid or incurred by Indemnitee in connection with the making of any Determination (irrespective of the determination as to Indemnitee’s entitlement to indemnification) or the prosecution of any Claim</w:t>
      </w:r>
      <w:r>
        <w:rPr>
          <w:rFonts w:ascii="Arial" w:eastAsia="Arial" w:hAnsi="Arial" w:cs="Arial"/>
          <w:sz w:val="21"/>
          <w:szCs w:val="21"/>
        </w:rPr>
        <w:t xml:space="preserve"> pursuant to Section 8.2, and the Company hereby agrees to indemnify and hold Indemnitee harmless therefrom. If requested by counsel for Indemnitee, the Company shall promptly give such counsel an appropriate written agreement with respect to the payment o</w:t>
      </w:r>
      <w:r>
        <w:rPr>
          <w:rFonts w:ascii="Arial" w:eastAsia="Arial" w:hAnsi="Arial" w:cs="Arial"/>
          <w:sz w:val="21"/>
          <w:szCs w:val="21"/>
        </w:rPr>
        <w:t>f its fees and expenses and such other matters as may be reasonably requested by such counsel.</w:t>
      </w:r>
    </w:p>
    <w:p w14:paraId="3B6A0883" w14:textId="77777777" w:rsidR="00D1587D" w:rsidRDefault="00D1587D">
      <w:pPr>
        <w:spacing w:line="198" w:lineRule="exact"/>
        <w:rPr>
          <w:sz w:val="20"/>
          <w:szCs w:val="20"/>
        </w:rPr>
      </w:pPr>
    </w:p>
    <w:p w14:paraId="6DD567B3" w14:textId="77777777" w:rsidR="00D1587D" w:rsidRDefault="00410D07">
      <w:pPr>
        <w:spacing w:line="278" w:lineRule="auto"/>
        <w:ind w:firstLine="486"/>
        <w:jc w:val="both"/>
        <w:rPr>
          <w:sz w:val="20"/>
          <w:szCs w:val="20"/>
        </w:rPr>
      </w:pPr>
      <w:r>
        <w:rPr>
          <w:rFonts w:ascii="Arial" w:eastAsia="Arial" w:hAnsi="Arial" w:cs="Arial"/>
          <w:sz w:val="19"/>
          <w:szCs w:val="19"/>
        </w:rPr>
        <w:t xml:space="preserve">Section 10. </w:t>
      </w:r>
      <w:r>
        <w:rPr>
          <w:rFonts w:ascii="Arial" w:eastAsia="Arial" w:hAnsi="Arial" w:cs="Arial"/>
          <w:b/>
          <w:bCs/>
          <w:sz w:val="19"/>
          <w:szCs w:val="19"/>
        </w:rPr>
        <w:t>Period of Limitations.</w:t>
      </w:r>
      <w:r>
        <w:rPr>
          <w:rFonts w:ascii="Arial" w:eastAsia="Arial" w:hAnsi="Arial" w:cs="Arial"/>
          <w:sz w:val="19"/>
          <w:szCs w:val="19"/>
        </w:rPr>
        <w:t xml:space="preserve"> No legal action shall be brought and no cause of action shall be asserted by or in the right of the Company, any Subsidiary, </w:t>
      </w:r>
      <w:r>
        <w:rPr>
          <w:rFonts w:ascii="Arial" w:eastAsia="Arial" w:hAnsi="Arial" w:cs="Arial"/>
          <w:sz w:val="19"/>
          <w:szCs w:val="19"/>
        </w:rPr>
        <w:t>any Other Enterprise or any Affiliate of the Company against Indemnitee or Indemnitee’s spouse, heirs, executors, administrators or personal or legal representatives after the expiration of two years from the date of accrual of such cause of action, and an</w:t>
      </w:r>
      <w:r>
        <w:rPr>
          <w:rFonts w:ascii="Arial" w:eastAsia="Arial" w:hAnsi="Arial" w:cs="Arial"/>
          <w:sz w:val="19"/>
          <w:szCs w:val="19"/>
        </w:rPr>
        <w:t>y claim or cause of action of the Company, any Subsidiary, any Other Enterprise or any Affiliate of the Company shall be extinguished and deemed released unless asserted by the timely filing of a legal action within such two-year period; provided, however,</w:t>
      </w:r>
      <w:r>
        <w:rPr>
          <w:rFonts w:ascii="Arial" w:eastAsia="Arial" w:hAnsi="Arial" w:cs="Arial"/>
          <w:sz w:val="19"/>
          <w:szCs w:val="19"/>
        </w:rPr>
        <w:t xml:space="preserve"> that if any shorter period of limitations, whether established by statute or judicial decision, is otherwise applicable to any such cause of action such shorter period shall govern.</w:t>
      </w:r>
    </w:p>
    <w:p w14:paraId="2EF828BA" w14:textId="77777777" w:rsidR="00D1587D" w:rsidRDefault="00D1587D">
      <w:pPr>
        <w:spacing w:line="172" w:lineRule="exact"/>
        <w:rPr>
          <w:sz w:val="20"/>
          <w:szCs w:val="20"/>
        </w:rPr>
      </w:pPr>
    </w:p>
    <w:p w14:paraId="013F343A" w14:textId="77777777" w:rsidR="00D1587D" w:rsidRDefault="00410D07">
      <w:pPr>
        <w:spacing w:line="271" w:lineRule="auto"/>
        <w:ind w:firstLine="486"/>
        <w:jc w:val="both"/>
        <w:rPr>
          <w:sz w:val="20"/>
          <w:szCs w:val="20"/>
        </w:rPr>
      </w:pPr>
      <w:r>
        <w:rPr>
          <w:rFonts w:ascii="Arial" w:eastAsia="Arial" w:hAnsi="Arial" w:cs="Arial"/>
          <w:sz w:val="19"/>
          <w:szCs w:val="19"/>
        </w:rPr>
        <w:t xml:space="preserve">Section 11. </w:t>
      </w:r>
      <w:r>
        <w:rPr>
          <w:rFonts w:ascii="Arial" w:eastAsia="Arial" w:hAnsi="Arial" w:cs="Arial"/>
          <w:b/>
          <w:bCs/>
          <w:sz w:val="19"/>
          <w:szCs w:val="19"/>
        </w:rPr>
        <w:t>Contribution.</w:t>
      </w:r>
      <w:r>
        <w:rPr>
          <w:rFonts w:ascii="Arial" w:eastAsia="Arial" w:hAnsi="Arial" w:cs="Arial"/>
          <w:sz w:val="19"/>
          <w:szCs w:val="19"/>
        </w:rPr>
        <w:t xml:space="preserve"> If the indemnification provisions of this Agre</w:t>
      </w:r>
      <w:r>
        <w:rPr>
          <w:rFonts w:ascii="Arial" w:eastAsia="Arial" w:hAnsi="Arial" w:cs="Arial"/>
          <w:sz w:val="19"/>
          <w:szCs w:val="19"/>
        </w:rPr>
        <w:t>ement should be unenforceable under applicable law in whole or in part or insufficient to hold Indemnitee harmless in respect of any Losses and Expenses incurred by Indemnitee, then for purposes of this Section 11, the Company shall be treated as if it wer</w:t>
      </w:r>
      <w:r>
        <w:rPr>
          <w:rFonts w:ascii="Arial" w:eastAsia="Arial" w:hAnsi="Arial" w:cs="Arial"/>
          <w:sz w:val="19"/>
          <w:szCs w:val="19"/>
        </w:rPr>
        <w:t>e, or was threatened to be made, a party defendant to the subject Claim and the Company shall contribute to the amounts paid or payable by Indemnitee as a result of such Losses and Expenses incurred by Indemnitee in such proportion as is appropriate to ref</w:t>
      </w:r>
      <w:r>
        <w:rPr>
          <w:rFonts w:ascii="Arial" w:eastAsia="Arial" w:hAnsi="Arial" w:cs="Arial"/>
          <w:sz w:val="19"/>
          <w:szCs w:val="19"/>
        </w:rPr>
        <w:t>lect the relative benefits accruing to the Company on the one hand and Indemnitee on the other and the relative fault of the Company on the one hand and Indemnitee on the other in connection with such Claim, as well as any other relevant equitable consider</w:t>
      </w:r>
      <w:r>
        <w:rPr>
          <w:rFonts w:ascii="Arial" w:eastAsia="Arial" w:hAnsi="Arial" w:cs="Arial"/>
          <w:sz w:val="19"/>
          <w:szCs w:val="19"/>
        </w:rPr>
        <w:t>ations. For purposes of this Section 11 the relative benefit of the Company shall be deemed to be the benefits accruing to it and to all of its directors, officers, employees and agents (other than Indemnitee) on the one hand, as a group and treated as one</w:t>
      </w:r>
      <w:r>
        <w:rPr>
          <w:rFonts w:ascii="Arial" w:eastAsia="Arial" w:hAnsi="Arial" w:cs="Arial"/>
          <w:sz w:val="19"/>
          <w:szCs w:val="19"/>
        </w:rPr>
        <w:t xml:space="preserve"> entity, and the relative benefit of Indemnitee shall be deemed to be an amount not greater than the Indemnitee’s yearly base salary or Indemnitee’s compensation from the Company during the first year in which the Covered Event forming the basis for the su</w:t>
      </w:r>
      <w:r>
        <w:rPr>
          <w:rFonts w:ascii="Arial" w:eastAsia="Arial" w:hAnsi="Arial" w:cs="Arial"/>
          <w:sz w:val="19"/>
          <w:szCs w:val="19"/>
        </w:rPr>
        <w:t xml:space="preserve">bject Claim was alleged to have occurred. The relative fault shall be determined by reference to, among other things, the fault of the Company and all of its directors, officers, employees and agents (other than Indemnitee) on the one hand, as a group and </w:t>
      </w:r>
      <w:r>
        <w:rPr>
          <w:rFonts w:ascii="Arial" w:eastAsia="Arial" w:hAnsi="Arial" w:cs="Arial"/>
          <w:sz w:val="19"/>
          <w:szCs w:val="19"/>
        </w:rPr>
        <w:t>treated as one entity, and Indemnitee’s and such group’s relative intent, knowledge, access to information and opportunity to have altered or prevented the Covered Event forming the basis for the subject Claim.</w:t>
      </w:r>
    </w:p>
    <w:p w14:paraId="70C34193" w14:textId="77777777" w:rsidR="00D1587D" w:rsidRDefault="00D1587D">
      <w:pPr>
        <w:spacing w:line="126" w:lineRule="exact"/>
        <w:rPr>
          <w:sz w:val="20"/>
          <w:szCs w:val="20"/>
        </w:rPr>
      </w:pPr>
    </w:p>
    <w:p w14:paraId="0DB7A090" w14:textId="77777777" w:rsidR="00D1587D" w:rsidRDefault="00410D07">
      <w:pPr>
        <w:jc w:val="center"/>
        <w:rPr>
          <w:sz w:val="20"/>
          <w:szCs w:val="20"/>
        </w:rPr>
      </w:pPr>
      <w:r>
        <w:rPr>
          <w:rFonts w:ascii="Arial" w:eastAsia="Arial" w:hAnsi="Arial" w:cs="Arial"/>
        </w:rPr>
        <w:t>10</w:t>
      </w:r>
    </w:p>
    <w:p w14:paraId="58977294" w14:textId="77777777" w:rsidR="00D1587D" w:rsidRDefault="00410D07">
      <w:pPr>
        <w:spacing w:line="20" w:lineRule="exact"/>
        <w:rPr>
          <w:sz w:val="20"/>
          <w:szCs w:val="20"/>
        </w:rPr>
      </w:pPr>
      <w:r>
        <w:rPr>
          <w:noProof/>
          <w:sz w:val="20"/>
          <w:szCs w:val="20"/>
        </w:rPr>
        <w:drawing>
          <wp:anchor distT="0" distB="0" distL="114300" distR="114300" simplePos="0" relativeHeight="251411456" behindDoc="1" locked="0" layoutInCell="0" allowOverlap="1" wp14:anchorId="064CF7A4" wp14:editId="51C4F192">
            <wp:simplePos x="0" y="0"/>
            <wp:positionH relativeFrom="column">
              <wp:posOffset>5080</wp:posOffset>
            </wp:positionH>
            <wp:positionV relativeFrom="paragraph">
              <wp:posOffset>41275</wp:posOffset>
            </wp:positionV>
            <wp:extent cx="7132320" cy="1714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45136F6F" w14:textId="77777777" w:rsidR="00D1587D" w:rsidRDefault="00D1587D">
      <w:pPr>
        <w:sectPr w:rsidR="00D1587D">
          <w:pgSz w:w="11900" w:h="16838"/>
          <w:pgMar w:top="118" w:right="339" w:bottom="1440" w:left="320" w:header="0" w:footer="0" w:gutter="0"/>
          <w:cols w:space="720" w:equalWidth="0">
            <w:col w:w="11240"/>
          </w:cols>
        </w:sectPr>
      </w:pPr>
    </w:p>
    <w:p w14:paraId="15A6BCBC" w14:textId="77777777" w:rsidR="00D1587D" w:rsidRDefault="00410D07">
      <w:pPr>
        <w:ind w:left="500"/>
        <w:rPr>
          <w:sz w:val="20"/>
          <w:szCs w:val="20"/>
        </w:rPr>
      </w:pPr>
      <w:bookmarkStart w:id="247" w:name="page248"/>
      <w:bookmarkEnd w:id="247"/>
      <w:r>
        <w:rPr>
          <w:rFonts w:ascii="Arial" w:eastAsia="Arial" w:hAnsi="Arial" w:cs="Arial"/>
        </w:rPr>
        <w:t xml:space="preserve">Section 12. </w:t>
      </w:r>
      <w:r>
        <w:rPr>
          <w:rFonts w:ascii="Arial" w:eastAsia="Arial" w:hAnsi="Arial" w:cs="Arial"/>
          <w:b/>
          <w:bCs/>
        </w:rPr>
        <w:t>Miscellaneous Provisions.</w:t>
      </w:r>
    </w:p>
    <w:p w14:paraId="38A32FBF" w14:textId="77777777" w:rsidR="00D1587D" w:rsidRDefault="00D1587D">
      <w:pPr>
        <w:spacing w:line="240" w:lineRule="exact"/>
        <w:rPr>
          <w:sz w:val="20"/>
          <w:szCs w:val="20"/>
        </w:rPr>
      </w:pPr>
    </w:p>
    <w:p w14:paraId="676B75BF" w14:textId="77777777" w:rsidR="00D1587D" w:rsidRDefault="00410D07">
      <w:pPr>
        <w:ind w:left="980"/>
        <w:rPr>
          <w:sz w:val="20"/>
          <w:szCs w:val="20"/>
        </w:rPr>
      </w:pPr>
      <w:r>
        <w:rPr>
          <w:rFonts w:ascii="Arial" w:eastAsia="Arial" w:hAnsi="Arial" w:cs="Arial"/>
        </w:rPr>
        <w:t xml:space="preserve">12.1. </w:t>
      </w:r>
      <w:r>
        <w:rPr>
          <w:rFonts w:ascii="Arial" w:eastAsia="Arial" w:hAnsi="Arial" w:cs="Arial"/>
          <w:u w:val="single"/>
        </w:rPr>
        <w:t>Successors and Assigns, Etc.</w:t>
      </w:r>
    </w:p>
    <w:p w14:paraId="2091058B" w14:textId="77777777" w:rsidR="00D1587D" w:rsidRDefault="00D1587D">
      <w:pPr>
        <w:spacing w:line="233" w:lineRule="exact"/>
        <w:rPr>
          <w:sz w:val="20"/>
          <w:szCs w:val="20"/>
        </w:rPr>
      </w:pPr>
    </w:p>
    <w:p w14:paraId="768E6136" w14:textId="77777777" w:rsidR="00D1587D" w:rsidRDefault="00410D07">
      <w:pPr>
        <w:spacing w:line="238" w:lineRule="auto"/>
        <w:ind w:firstLine="1459"/>
        <w:jc w:val="both"/>
        <w:rPr>
          <w:sz w:val="20"/>
          <w:szCs w:val="20"/>
        </w:rPr>
      </w:pPr>
      <w:r>
        <w:rPr>
          <w:rFonts w:ascii="Arial" w:eastAsia="Arial" w:hAnsi="Arial" w:cs="Arial"/>
        </w:rPr>
        <w:t xml:space="preserve">12.1.1. This Agreement shall be binding upon and inure to the benefit of (a) the Company, its successors and assigns (including any direct or indirect successor by merger, </w:t>
      </w:r>
      <w:r>
        <w:rPr>
          <w:rFonts w:ascii="Arial" w:eastAsia="Arial" w:hAnsi="Arial" w:cs="Arial"/>
        </w:rPr>
        <w:t>consolidation or operation of law or by transfer of all or substantially all of its assets) and (b) Indemnitee and the heirs, personal and legal representatives, executors, administrators or assigns of Indemnitee.</w:t>
      </w:r>
    </w:p>
    <w:p w14:paraId="4F344BE7" w14:textId="77777777" w:rsidR="00D1587D" w:rsidRDefault="00D1587D">
      <w:pPr>
        <w:spacing w:line="212" w:lineRule="exact"/>
        <w:rPr>
          <w:sz w:val="20"/>
          <w:szCs w:val="20"/>
        </w:rPr>
      </w:pPr>
    </w:p>
    <w:p w14:paraId="2450BD5A" w14:textId="77777777" w:rsidR="00D1587D" w:rsidRDefault="00410D07">
      <w:pPr>
        <w:spacing w:line="277" w:lineRule="auto"/>
        <w:ind w:firstLine="1459"/>
        <w:jc w:val="both"/>
        <w:rPr>
          <w:sz w:val="20"/>
          <w:szCs w:val="20"/>
        </w:rPr>
      </w:pPr>
      <w:r>
        <w:rPr>
          <w:rFonts w:ascii="Arial" w:eastAsia="Arial" w:hAnsi="Arial" w:cs="Arial"/>
          <w:sz w:val="19"/>
          <w:szCs w:val="19"/>
        </w:rPr>
        <w:t xml:space="preserve">12.1.2. The Company shall not consummate </w:t>
      </w:r>
      <w:r>
        <w:rPr>
          <w:rFonts w:ascii="Arial" w:eastAsia="Arial" w:hAnsi="Arial" w:cs="Arial"/>
          <w:sz w:val="19"/>
          <w:szCs w:val="19"/>
        </w:rPr>
        <w:t>any consolidation, merger or other business combination, nor will it transfer 50% or more of its assets (in one or a series of related transactions), unless the ultimate Parent of the successor to the business or assets of the Company shall have first exec</w:t>
      </w:r>
      <w:r>
        <w:rPr>
          <w:rFonts w:ascii="Arial" w:eastAsia="Arial" w:hAnsi="Arial" w:cs="Arial"/>
          <w:sz w:val="19"/>
          <w:szCs w:val="19"/>
        </w:rPr>
        <w:t>uted an agreement, in form and substance satisfactory to Indemnitee, to expressly assume all obligations of the Company under this Agreement and agree to perform this Agreement in accordance with its terms, in the same manner and to the same extent that th</w:t>
      </w:r>
      <w:r>
        <w:rPr>
          <w:rFonts w:ascii="Arial" w:eastAsia="Arial" w:hAnsi="Arial" w:cs="Arial"/>
          <w:sz w:val="19"/>
          <w:szCs w:val="19"/>
        </w:rPr>
        <w:t>e Company would be required to perform this Agreement if no such transaction had taken place; provided that, if the Parent is not the Company, the legality of payment of indemnity by the Parent shall be determined by reference to the fact that such indemni</w:t>
      </w:r>
      <w:r>
        <w:rPr>
          <w:rFonts w:ascii="Arial" w:eastAsia="Arial" w:hAnsi="Arial" w:cs="Arial"/>
          <w:sz w:val="19"/>
          <w:szCs w:val="19"/>
        </w:rPr>
        <w:t>ty is to be paid by the Parent rather than the Company.</w:t>
      </w:r>
    </w:p>
    <w:p w14:paraId="487CF6C4" w14:textId="77777777" w:rsidR="00D1587D" w:rsidRDefault="00D1587D">
      <w:pPr>
        <w:spacing w:line="179" w:lineRule="exact"/>
        <w:rPr>
          <w:sz w:val="20"/>
          <w:szCs w:val="20"/>
        </w:rPr>
      </w:pPr>
    </w:p>
    <w:p w14:paraId="7D13AB92" w14:textId="77777777" w:rsidR="00D1587D" w:rsidRDefault="00410D07">
      <w:pPr>
        <w:spacing w:line="287" w:lineRule="auto"/>
        <w:ind w:firstLine="972"/>
        <w:jc w:val="both"/>
        <w:rPr>
          <w:sz w:val="20"/>
          <w:szCs w:val="20"/>
        </w:rPr>
      </w:pPr>
      <w:r>
        <w:rPr>
          <w:rFonts w:ascii="Arial" w:eastAsia="Arial" w:hAnsi="Arial" w:cs="Arial"/>
          <w:sz w:val="19"/>
          <w:szCs w:val="19"/>
        </w:rPr>
        <w:t xml:space="preserve">12.2. </w:t>
      </w:r>
      <w:r>
        <w:rPr>
          <w:rFonts w:ascii="Arial" w:eastAsia="Arial" w:hAnsi="Arial" w:cs="Arial"/>
          <w:sz w:val="19"/>
          <w:szCs w:val="19"/>
          <w:u w:val="single"/>
        </w:rPr>
        <w:t>Severability.</w:t>
      </w:r>
      <w:r>
        <w:rPr>
          <w:rFonts w:ascii="Arial" w:eastAsia="Arial" w:hAnsi="Arial" w:cs="Arial"/>
          <w:sz w:val="19"/>
          <w:szCs w:val="19"/>
        </w:rPr>
        <w:t xml:space="preserve"> The provisions of this Agreement are severable. If any provision of this Agreement shall be held by any court of competent jurisdiction to be invalid, void or unenforceable, such </w:t>
      </w:r>
      <w:r>
        <w:rPr>
          <w:rFonts w:ascii="Arial" w:eastAsia="Arial" w:hAnsi="Arial" w:cs="Arial"/>
          <w:sz w:val="19"/>
          <w:szCs w:val="19"/>
        </w:rPr>
        <w:t>provision shall be deemed to be modified to the minimum extent necessary to avoid a violation of law and, as so modified, such provision and the remaining provisions shall remain valid and enforceable in accordance with their terms to the fullest extent pe</w:t>
      </w:r>
      <w:r>
        <w:rPr>
          <w:rFonts w:ascii="Arial" w:eastAsia="Arial" w:hAnsi="Arial" w:cs="Arial"/>
          <w:sz w:val="19"/>
          <w:szCs w:val="19"/>
        </w:rPr>
        <w:t>rmitted by law.</w:t>
      </w:r>
    </w:p>
    <w:p w14:paraId="76A9EF3B" w14:textId="77777777" w:rsidR="00D1587D" w:rsidRDefault="00D1587D">
      <w:pPr>
        <w:spacing w:line="170" w:lineRule="exact"/>
        <w:rPr>
          <w:sz w:val="20"/>
          <w:szCs w:val="20"/>
        </w:rPr>
      </w:pPr>
    </w:p>
    <w:p w14:paraId="704B998D" w14:textId="77777777" w:rsidR="00D1587D" w:rsidRDefault="00410D07">
      <w:pPr>
        <w:spacing w:line="279" w:lineRule="auto"/>
        <w:ind w:firstLine="972"/>
        <w:jc w:val="both"/>
        <w:rPr>
          <w:sz w:val="20"/>
          <w:szCs w:val="20"/>
        </w:rPr>
      </w:pPr>
      <w:r>
        <w:rPr>
          <w:rFonts w:ascii="Arial" w:eastAsia="Arial" w:hAnsi="Arial" w:cs="Arial"/>
          <w:sz w:val="19"/>
          <w:szCs w:val="19"/>
        </w:rPr>
        <w:t xml:space="preserve">12.3. </w:t>
      </w:r>
      <w:r>
        <w:rPr>
          <w:rFonts w:ascii="Arial" w:eastAsia="Arial" w:hAnsi="Arial" w:cs="Arial"/>
          <w:sz w:val="19"/>
          <w:szCs w:val="19"/>
          <w:u w:val="single"/>
        </w:rPr>
        <w:t>Rights Not Exclusive; Continuation of Right of Indemnification.</w:t>
      </w:r>
      <w:r>
        <w:rPr>
          <w:rFonts w:ascii="Arial" w:eastAsia="Arial" w:hAnsi="Arial" w:cs="Arial"/>
          <w:sz w:val="19"/>
          <w:szCs w:val="19"/>
        </w:rPr>
        <w:t xml:space="preserve"> Nothing in this Agreement shall be deemed to diminish or otherwise restrict Indemnitee’s right to indemnification pursuant to any provision of the Certificate of Incorpo</w:t>
      </w:r>
      <w:r>
        <w:rPr>
          <w:rFonts w:ascii="Arial" w:eastAsia="Arial" w:hAnsi="Arial" w:cs="Arial"/>
          <w:sz w:val="19"/>
          <w:szCs w:val="19"/>
        </w:rPr>
        <w:t>ration or Bylaws of the Company, any agreement, vote of stockholders or Disinterested Directors, applicable law or otherwise. This Agreement shall be effective as of the date first above written and continue in effect until no Claims relating to any Covere</w:t>
      </w:r>
      <w:r>
        <w:rPr>
          <w:rFonts w:ascii="Arial" w:eastAsia="Arial" w:hAnsi="Arial" w:cs="Arial"/>
          <w:sz w:val="19"/>
          <w:szCs w:val="19"/>
        </w:rPr>
        <w:t>d Event may be asserted against Indemnitee and until any Claims commenced prior thereto are finally terminated and resolved, regardless of whether Indemnitee continues to serve as an officer of the Company, any Subsidiary or any Other Enterprise.</w:t>
      </w:r>
    </w:p>
    <w:p w14:paraId="1F4E9E73" w14:textId="77777777" w:rsidR="00D1587D" w:rsidRDefault="00D1587D">
      <w:pPr>
        <w:spacing w:line="177" w:lineRule="exact"/>
        <w:rPr>
          <w:sz w:val="20"/>
          <w:szCs w:val="20"/>
        </w:rPr>
      </w:pPr>
    </w:p>
    <w:p w14:paraId="26216EBB" w14:textId="77777777" w:rsidR="00D1587D" w:rsidRDefault="00410D07">
      <w:pPr>
        <w:spacing w:line="250" w:lineRule="auto"/>
        <w:ind w:firstLine="972"/>
        <w:jc w:val="both"/>
        <w:rPr>
          <w:sz w:val="20"/>
          <w:szCs w:val="20"/>
        </w:rPr>
      </w:pPr>
      <w:r>
        <w:rPr>
          <w:rFonts w:ascii="Arial" w:eastAsia="Arial" w:hAnsi="Arial" w:cs="Arial"/>
        </w:rPr>
        <w:t xml:space="preserve">12.4. </w:t>
      </w:r>
      <w:r>
        <w:rPr>
          <w:rFonts w:ascii="Arial" w:eastAsia="Arial" w:hAnsi="Arial" w:cs="Arial"/>
          <w:u w:val="single"/>
        </w:rPr>
        <w:t>No</w:t>
      </w:r>
      <w:r>
        <w:rPr>
          <w:rFonts w:ascii="Arial" w:eastAsia="Arial" w:hAnsi="Arial" w:cs="Arial"/>
          <w:u w:val="single"/>
        </w:rPr>
        <w:t xml:space="preserve"> Employment Agreement.</w:t>
      </w:r>
      <w:r>
        <w:rPr>
          <w:rFonts w:ascii="Arial" w:eastAsia="Arial" w:hAnsi="Arial" w:cs="Arial"/>
        </w:rPr>
        <w:t xml:space="preserve"> Nothing contained in this Agreement shall be construed as giving Indemnitee any right to be retained in the employ of the Company, any Subsidiary or any Other Enterprise.</w:t>
      </w:r>
    </w:p>
    <w:p w14:paraId="6BA1C450" w14:textId="77777777" w:rsidR="00D1587D" w:rsidRDefault="00D1587D">
      <w:pPr>
        <w:spacing w:line="202" w:lineRule="exact"/>
        <w:rPr>
          <w:sz w:val="20"/>
          <w:szCs w:val="20"/>
        </w:rPr>
      </w:pPr>
    </w:p>
    <w:p w14:paraId="37F51CBC" w14:textId="77777777" w:rsidR="00D1587D" w:rsidRDefault="00410D07">
      <w:pPr>
        <w:spacing w:line="236" w:lineRule="auto"/>
        <w:ind w:firstLine="972"/>
        <w:jc w:val="both"/>
        <w:rPr>
          <w:sz w:val="20"/>
          <w:szCs w:val="20"/>
        </w:rPr>
      </w:pPr>
      <w:r>
        <w:rPr>
          <w:rFonts w:ascii="Arial" w:eastAsia="Arial" w:hAnsi="Arial" w:cs="Arial"/>
        </w:rPr>
        <w:t xml:space="preserve">12.5. </w:t>
      </w:r>
      <w:r>
        <w:rPr>
          <w:rFonts w:ascii="Arial" w:eastAsia="Arial" w:hAnsi="Arial" w:cs="Arial"/>
          <w:u w:val="single"/>
        </w:rPr>
        <w:t>Subsequent Amendment.</w:t>
      </w:r>
      <w:r>
        <w:rPr>
          <w:rFonts w:ascii="Arial" w:eastAsia="Arial" w:hAnsi="Arial" w:cs="Arial"/>
        </w:rPr>
        <w:t xml:space="preserve"> No amendment, termination or repeal of any provision of the Certificate of Incorporation or Bylaws of the Company, or any respective successors thereto, or of any relevant provision of any applicable law, shall affect or diminish in any way the rights of </w:t>
      </w:r>
      <w:r>
        <w:rPr>
          <w:rFonts w:ascii="Arial" w:eastAsia="Arial" w:hAnsi="Arial" w:cs="Arial"/>
        </w:rPr>
        <w:t xml:space="preserve">Indemnitee to indemnification, or the obligations of the Company, arising under this Agreement, whether the alleged actions or conduct of Indemnitee giving rise to the necessity of such indemnification arose before or after any such amendment, termination </w:t>
      </w:r>
      <w:r>
        <w:rPr>
          <w:rFonts w:ascii="Arial" w:eastAsia="Arial" w:hAnsi="Arial" w:cs="Arial"/>
        </w:rPr>
        <w:t>or repeal.</w:t>
      </w:r>
    </w:p>
    <w:p w14:paraId="515C32E2" w14:textId="77777777" w:rsidR="00D1587D" w:rsidRDefault="00D1587D">
      <w:pPr>
        <w:spacing w:line="147" w:lineRule="exact"/>
        <w:rPr>
          <w:sz w:val="20"/>
          <w:szCs w:val="20"/>
        </w:rPr>
      </w:pPr>
    </w:p>
    <w:p w14:paraId="5918F918" w14:textId="77777777" w:rsidR="00D1587D" w:rsidRDefault="00410D07">
      <w:pPr>
        <w:jc w:val="center"/>
        <w:rPr>
          <w:sz w:val="20"/>
          <w:szCs w:val="20"/>
        </w:rPr>
      </w:pPr>
      <w:r>
        <w:rPr>
          <w:rFonts w:ascii="Arial" w:eastAsia="Arial" w:hAnsi="Arial" w:cs="Arial"/>
        </w:rPr>
        <w:t>11</w:t>
      </w:r>
    </w:p>
    <w:p w14:paraId="2E18E443" w14:textId="77777777" w:rsidR="00D1587D" w:rsidRDefault="00410D07">
      <w:pPr>
        <w:spacing w:line="20" w:lineRule="exact"/>
        <w:rPr>
          <w:sz w:val="20"/>
          <w:szCs w:val="20"/>
        </w:rPr>
      </w:pPr>
      <w:r>
        <w:rPr>
          <w:noProof/>
          <w:sz w:val="20"/>
          <w:szCs w:val="20"/>
        </w:rPr>
        <w:drawing>
          <wp:anchor distT="0" distB="0" distL="114300" distR="114300" simplePos="0" relativeHeight="251412480" behindDoc="1" locked="0" layoutInCell="0" allowOverlap="1" wp14:anchorId="0B744137" wp14:editId="05F67FED">
            <wp:simplePos x="0" y="0"/>
            <wp:positionH relativeFrom="column">
              <wp:posOffset>5080</wp:posOffset>
            </wp:positionH>
            <wp:positionV relativeFrom="paragraph">
              <wp:posOffset>41275</wp:posOffset>
            </wp:positionV>
            <wp:extent cx="7132320" cy="17145"/>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0BF9B051" w14:textId="77777777" w:rsidR="00D1587D" w:rsidRDefault="00D1587D">
      <w:pPr>
        <w:sectPr w:rsidR="00D1587D">
          <w:pgSz w:w="11900" w:h="16838"/>
          <w:pgMar w:top="112" w:right="339" w:bottom="1440" w:left="320" w:header="0" w:footer="0" w:gutter="0"/>
          <w:cols w:space="720" w:equalWidth="0">
            <w:col w:w="11240"/>
          </w:cols>
        </w:sectPr>
      </w:pPr>
    </w:p>
    <w:p w14:paraId="04EDBBF7" w14:textId="77777777" w:rsidR="00D1587D" w:rsidRDefault="00410D07">
      <w:pPr>
        <w:spacing w:line="236" w:lineRule="auto"/>
        <w:ind w:firstLine="972"/>
        <w:jc w:val="both"/>
        <w:rPr>
          <w:sz w:val="20"/>
          <w:szCs w:val="20"/>
        </w:rPr>
      </w:pPr>
      <w:bookmarkStart w:id="248" w:name="page249"/>
      <w:bookmarkEnd w:id="248"/>
      <w:r>
        <w:rPr>
          <w:rFonts w:ascii="Arial" w:eastAsia="Arial" w:hAnsi="Arial" w:cs="Arial"/>
        </w:rPr>
        <w:t xml:space="preserve">12.6. </w:t>
      </w:r>
      <w:r>
        <w:rPr>
          <w:rFonts w:ascii="Arial" w:eastAsia="Arial" w:hAnsi="Arial" w:cs="Arial"/>
          <w:u w:val="single"/>
        </w:rPr>
        <w:t>Notices.</w:t>
      </w:r>
      <w:r>
        <w:rPr>
          <w:rFonts w:ascii="Arial" w:eastAsia="Arial" w:hAnsi="Arial" w:cs="Arial"/>
        </w:rPr>
        <w:t xml:space="preserve"> Notices required under this Agreement shall be given in writing and shall be deemed given when delivered in person or sent by certified or registered mail, return receipt requested, postage prepaid. Notic</w:t>
      </w:r>
      <w:r>
        <w:rPr>
          <w:rFonts w:ascii="Arial" w:eastAsia="Arial" w:hAnsi="Arial" w:cs="Arial"/>
        </w:rPr>
        <w:t>es shall be directed to the Company 4 Limited Parkway East, Reynoldsburg, OH 43068, Attention: Chair of the Board, and to Indemnitee at the residential address as shown on the Company’s records (or such other address as either party may designate in writin</w:t>
      </w:r>
      <w:r>
        <w:rPr>
          <w:rFonts w:ascii="Arial" w:eastAsia="Arial" w:hAnsi="Arial" w:cs="Arial"/>
        </w:rPr>
        <w:t>g to the other).</w:t>
      </w:r>
    </w:p>
    <w:p w14:paraId="2F50B079" w14:textId="77777777" w:rsidR="00D1587D" w:rsidRDefault="00D1587D">
      <w:pPr>
        <w:spacing w:line="215" w:lineRule="exact"/>
        <w:rPr>
          <w:sz w:val="20"/>
          <w:szCs w:val="20"/>
        </w:rPr>
      </w:pPr>
    </w:p>
    <w:p w14:paraId="458EDF35" w14:textId="77777777" w:rsidR="00D1587D" w:rsidRDefault="00410D07">
      <w:pPr>
        <w:ind w:firstLine="972"/>
        <w:jc w:val="both"/>
        <w:rPr>
          <w:sz w:val="20"/>
          <w:szCs w:val="20"/>
        </w:rPr>
      </w:pPr>
      <w:r>
        <w:rPr>
          <w:rFonts w:ascii="Arial" w:eastAsia="Arial" w:hAnsi="Arial" w:cs="Arial"/>
        </w:rPr>
        <w:t xml:space="preserve">12.7. </w:t>
      </w:r>
      <w:r>
        <w:rPr>
          <w:rFonts w:ascii="Arial" w:eastAsia="Arial" w:hAnsi="Arial" w:cs="Arial"/>
          <w:u w:val="single"/>
        </w:rPr>
        <w:t>Governing Law.</w:t>
      </w:r>
      <w:r>
        <w:rPr>
          <w:rFonts w:ascii="Arial" w:eastAsia="Arial" w:hAnsi="Arial" w:cs="Arial"/>
        </w:rPr>
        <w:t xml:space="preserve"> This Agreement shall be governed by and construed and enforced in accordance with the laws of the State of Delaware applicable to contracts made and performed in such state without giving effect to the principles of c</w:t>
      </w:r>
      <w:r>
        <w:rPr>
          <w:rFonts w:ascii="Arial" w:eastAsia="Arial" w:hAnsi="Arial" w:cs="Arial"/>
        </w:rPr>
        <w:t>onflict of laws.</w:t>
      </w:r>
    </w:p>
    <w:p w14:paraId="1515D883" w14:textId="77777777" w:rsidR="00D1587D" w:rsidRDefault="00D1587D">
      <w:pPr>
        <w:spacing w:line="213" w:lineRule="exact"/>
        <w:rPr>
          <w:sz w:val="20"/>
          <w:szCs w:val="20"/>
        </w:rPr>
      </w:pPr>
    </w:p>
    <w:p w14:paraId="021FCE6B" w14:textId="77777777" w:rsidR="00D1587D" w:rsidRDefault="00410D07">
      <w:pPr>
        <w:spacing w:line="250" w:lineRule="auto"/>
        <w:ind w:firstLine="972"/>
        <w:jc w:val="both"/>
        <w:rPr>
          <w:sz w:val="20"/>
          <w:szCs w:val="20"/>
        </w:rPr>
      </w:pPr>
      <w:r>
        <w:rPr>
          <w:rFonts w:ascii="Arial" w:eastAsia="Arial" w:hAnsi="Arial" w:cs="Arial"/>
        </w:rPr>
        <w:t xml:space="preserve">12.8. </w:t>
      </w:r>
      <w:r>
        <w:rPr>
          <w:rFonts w:ascii="Arial" w:eastAsia="Arial" w:hAnsi="Arial" w:cs="Arial"/>
          <w:u w:val="single"/>
        </w:rPr>
        <w:t>Headings.</w:t>
      </w:r>
      <w:r>
        <w:rPr>
          <w:rFonts w:ascii="Arial" w:eastAsia="Arial" w:hAnsi="Arial" w:cs="Arial"/>
        </w:rPr>
        <w:t xml:space="preserve"> The headings of the Sections of this Agreement are inserted for convenience only and shall not be deemed to constitute part of this Agreement or to affect the construction thereof.</w:t>
      </w:r>
    </w:p>
    <w:p w14:paraId="193E9486" w14:textId="77777777" w:rsidR="00D1587D" w:rsidRDefault="00D1587D">
      <w:pPr>
        <w:spacing w:line="202" w:lineRule="exact"/>
        <w:rPr>
          <w:sz w:val="20"/>
          <w:szCs w:val="20"/>
        </w:rPr>
      </w:pPr>
    </w:p>
    <w:p w14:paraId="10D48E42" w14:textId="77777777" w:rsidR="00D1587D" w:rsidRDefault="00410D07">
      <w:pPr>
        <w:spacing w:line="250" w:lineRule="auto"/>
        <w:ind w:right="20" w:firstLine="972"/>
        <w:jc w:val="both"/>
        <w:rPr>
          <w:sz w:val="20"/>
          <w:szCs w:val="20"/>
        </w:rPr>
      </w:pPr>
      <w:r>
        <w:rPr>
          <w:rFonts w:ascii="Arial" w:eastAsia="Arial" w:hAnsi="Arial" w:cs="Arial"/>
        </w:rPr>
        <w:t xml:space="preserve">12.9. </w:t>
      </w:r>
      <w:r>
        <w:rPr>
          <w:rFonts w:ascii="Arial" w:eastAsia="Arial" w:hAnsi="Arial" w:cs="Arial"/>
          <w:u w:val="single"/>
        </w:rPr>
        <w:t>Counterparts.</w:t>
      </w:r>
      <w:r>
        <w:rPr>
          <w:rFonts w:ascii="Arial" w:eastAsia="Arial" w:hAnsi="Arial" w:cs="Arial"/>
        </w:rPr>
        <w:t xml:space="preserve"> This Agreement may b</w:t>
      </w:r>
      <w:r>
        <w:rPr>
          <w:rFonts w:ascii="Arial" w:eastAsia="Arial" w:hAnsi="Arial" w:cs="Arial"/>
        </w:rPr>
        <w:t>e executed in any number of counterparts all of which taken together shall constitute one instrument.</w:t>
      </w:r>
    </w:p>
    <w:p w14:paraId="45623F96" w14:textId="77777777" w:rsidR="00D1587D" w:rsidRDefault="00D1587D">
      <w:pPr>
        <w:spacing w:line="202" w:lineRule="exact"/>
        <w:rPr>
          <w:sz w:val="20"/>
          <w:szCs w:val="20"/>
        </w:rPr>
      </w:pPr>
    </w:p>
    <w:p w14:paraId="652E2D83" w14:textId="77777777" w:rsidR="00D1587D" w:rsidRDefault="00410D07">
      <w:pPr>
        <w:spacing w:line="238" w:lineRule="auto"/>
        <w:ind w:firstLine="972"/>
        <w:jc w:val="both"/>
        <w:rPr>
          <w:sz w:val="20"/>
          <w:szCs w:val="20"/>
        </w:rPr>
      </w:pPr>
      <w:r>
        <w:rPr>
          <w:rFonts w:ascii="Arial" w:eastAsia="Arial" w:hAnsi="Arial" w:cs="Arial"/>
        </w:rPr>
        <w:t xml:space="preserve">12.10. </w:t>
      </w:r>
      <w:r>
        <w:rPr>
          <w:rFonts w:ascii="Arial" w:eastAsia="Arial" w:hAnsi="Arial" w:cs="Arial"/>
          <w:u w:val="single"/>
        </w:rPr>
        <w:t>Modification and Waiver.</w:t>
      </w:r>
      <w:r>
        <w:rPr>
          <w:rFonts w:ascii="Arial" w:eastAsia="Arial" w:hAnsi="Arial" w:cs="Arial"/>
        </w:rPr>
        <w:t xml:space="preserve"> No supplement, modification or amendment of this Agreement shall be binding unless executed in writing by both of the par</w:t>
      </w:r>
      <w:r>
        <w:rPr>
          <w:rFonts w:ascii="Arial" w:eastAsia="Arial" w:hAnsi="Arial" w:cs="Arial"/>
        </w:rPr>
        <w:t>ties hereto. No waiver or any of the provisions of this Agreement shall constitute, or be deemed to constitute, a waiver of any other provision hereof (whether or not similar) nor shall any such waiver constitute a continuing waiver.</w:t>
      </w:r>
    </w:p>
    <w:p w14:paraId="3794FA7E" w14:textId="77777777" w:rsidR="00D1587D" w:rsidRDefault="00D1587D">
      <w:pPr>
        <w:spacing w:line="387" w:lineRule="exact"/>
        <w:rPr>
          <w:sz w:val="20"/>
          <w:szCs w:val="20"/>
        </w:rPr>
      </w:pPr>
    </w:p>
    <w:p w14:paraId="695A8FEF" w14:textId="77777777" w:rsidR="00D1587D" w:rsidRDefault="00410D07">
      <w:pPr>
        <w:jc w:val="center"/>
        <w:rPr>
          <w:sz w:val="20"/>
          <w:szCs w:val="20"/>
        </w:rPr>
      </w:pPr>
      <w:r>
        <w:rPr>
          <w:rFonts w:ascii="Arial" w:eastAsia="Arial" w:hAnsi="Arial" w:cs="Arial"/>
        </w:rPr>
        <w:t>12</w:t>
      </w:r>
    </w:p>
    <w:p w14:paraId="5250ADB2" w14:textId="77777777" w:rsidR="00D1587D" w:rsidRDefault="00410D07">
      <w:pPr>
        <w:spacing w:line="20" w:lineRule="exact"/>
        <w:rPr>
          <w:sz w:val="20"/>
          <w:szCs w:val="20"/>
        </w:rPr>
      </w:pPr>
      <w:r>
        <w:rPr>
          <w:noProof/>
          <w:sz w:val="20"/>
          <w:szCs w:val="20"/>
        </w:rPr>
        <w:drawing>
          <wp:anchor distT="0" distB="0" distL="114300" distR="114300" simplePos="0" relativeHeight="251413504" behindDoc="1" locked="0" layoutInCell="0" allowOverlap="1" wp14:anchorId="5C964943" wp14:editId="0C8588F4">
            <wp:simplePos x="0" y="0"/>
            <wp:positionH relativeFrom="column">
              <wp:posOffset>5080</wp:posOffset>
            </wp:positionH>
            <wp:positionV relativeFrom="paragraph">
              <wp:posOffset>41275</wp:posOffset>
            </wp:positionV>
            <wp:extent cx="7132320" cy="1714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7C2478C0" w14:textId="77777777" w:rsidR="00D1587D" w:rsidRDefault="00D1587D">
      <w:pPr>
        <w:sectPr w:rsidR="00D1587D">
          <w:pgSz w:w="11900" w:h="16838"/>
          <w:pgMar w:top="118" w:right="339" w:bottom="1440" w:left="320" w:header="0" w:footer="0" w:gutter="0"/>
          <w:cols w:space="720" w:equalWidth="0">
            <w:col w:w="11240"/>
          </w:cols>
        </w:sectPr>
      </w:pPr>
    </w:p>
    <w:p w14:paraId="1E395DF4" w14:textId="77777777" w:rsidR="00D1587D" w:rsidRDefault="00410D07">
      <w:pPr>
        <w:ind w:left="500"/>
        <w:rPr>
          <w:sz w:val="20"/>
          <w:szCs w:val="20"/>
        </w:rPr>
      </w:pPr>
      <w:bookmarkStart w:id="249" w:name="page250"/>
      <w:bookmarkEnd w:id="249"/>
      <w:r>
        <w:rPr>
          <w:rFonts w:ascii="Arial" w:eastAsia="Arial" w:hAnsi="Arial" w:cs="Arial"/>
        </w:rPr>
        <w:t>The parties hereto have caused this Agreement to be duly executed as of the day and year first above written.</w:t>
      </w:r>
    </w:p>
    <w:p w14:paraId="19D62B64" w14:textId="77777777" w:rsidR="00D1587D" w:rsidRDefault="00D1587D">
      <w:pPr>
        <w:spacing w:line="24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80"/>
        <w:gridCol w:w="4500"/>
        <w:gridCol w:w="1120"/>
        <w:gridCol w:w="5040"/>
      </w:tblGrid>
      <w:tr w:rsidR="00D1587D" w14:paraId="7DC37F1A" w14:textId="77777777">
        <w:trPr>
          <w:trHeight w:val="230"/>
        </w:trPr>
        <w:tc>
          <w:tcPr>
            <w:tcW w:w="5080" w:type="dxa"/>
            <w:gridSpan w:val="2"/>
            <w:vAlign w:val="bottom"/>
          </w:tcPr>
          <w:p w14:paraId="484B5553" w14:textId="77777777" w:rsidR="00D1587D" w:rsidRDefault="00410D07">
            <w:pPr>
              <w:rPr>
                <w:sz w:val="20"/>
                <w:szCs w:val="20"/>
              </w:rPr>
            </w:pPr>
            <w:r>
              <w:rPr>
                <w:rFonts w:ascii="Arial" w:eastAsia="Arial" w:hAnsi="Arial" w:cs="Arial"/>
                <w:sz w:val="18"/>
                <w:szCs w:val="18"/>
              </w:rPr>
              <w:t>VICTORIA’S SECRET &amp; CO.</w:t>
            </w:r>
          </w:p>
        </w:tc>
        <w:tc>
          <w:tcPr>
            <w:tcW w:w="6160" w:type="dxa"/>
            <w:gridSpan w:val="2"/>
            <w:vAlign w:val="bottom"/>
          </w:tcPr>
          <w:p w14:paraId="0D151B43" w14:textId="77777777" w:rsidR="00D1587D" w:rsidRDefault="00410D07">
            <w:pPr>
              <w:ind w:left="1120"/>
              <w:rPr>
                <w:sz w:val="20"/>
                <w:szCs w:val="20"/>
              </w:rPr>
            </w:pPr>
            <w:r>
              <w:rPr>
                <w:rFonts w:ascii="Arial" w:eastAsia="Arial" w:hAnsi="Arial" w:cs="Arial"/>
                <w:sz w:val="18"/>
                <w:szCs w:val="18"/>
              </w:rPr>
              <w:t>INDEMNITEE</w:t>
            </w:r>
          </w:p>
        </w:tc>
      </w:tr>
      <w:tr w:rsidR="00D1587D" w14:paraId="468ED1B1" w14:textId="77777777">
        <w:trPr>
          <w:trHeight w:val="453"/>
        </w:trPr>
        <w:tc>
          <w:tcPr>
            <w:tcW w:w="5080" w:type="dxa"/>
            <w:gridSpan w:val="2"/>
            <w:vAlign w:val="bottom"/>
          </w:tcPr>
          <w:p w14:paraId="4FEFF743" w14:textId="77777777" w:rsidR="00D1587D" w:rsidRDefault="00410D07">
            <w:pPr>
              <w:rPr>
                <w:sz w:val="20"/>
                <w:szCs w:val="20"/>
              </w:rPr>
            </w:pPr>
            <w:r>
              <w:rPr>
                <w:rFonts w:ascii="Arial" w:eastAsia="Arial" w:hAnsi="Arial" w:cs="Arial"/>
                <w:sz w:val="18"/>
                <w:szCs w:val="18"/>
              </w:rPr>
              <w:t>By</w:t>
            </w:r>
          </w:p>
        </w:tc>
        <w:tc>
          <w:tcPr>
            <w:tcW w:w="1120" w:type="dxa"/>
            <w:vAlign w:val="bottom"/>
          </w:tcPr>
          <w:p w14:paraId="43EDB80E" w14:textId="77777777" w:rsidR="00D1587D" w:rsidRDefault="00D1587D">
            <w:pPr>
              <w:rPr>
                <w:sz w:val="24"/>
                <w:szCs w:val="24"/>
              </w:rPr>
            </w:pPr>
          </w:p>
        </w:tc>
        <w:tc>
          <w:tcPr>
            <w:tcW w:w="5040" w:type="dxa"/>
            <w:vAlign w:val="bottom"/>
          </w:tcPr>
          <w:p w14:paraId="11BACE73" w14:textId="77777777" w:rsidR="00D1587D" w:rsidRDefault="00D1587D">
            <w:pPr>
              <w:rPr>
                <w:sz w:val="24"/>
                <w:szCs w:val="24"/>
              </w:rPr>
            </w:pPr>
          </w:p>
        </w:tc>
      </w:tr>
      <w:tr w:rsidR="00D1587D" w14:paraId="7C281A89" w14:textId="77777777">
        <w:trPr>
          <w:trHeight w:val="202"/>
        </w:trPr>
        <w:tc>
          <w:tcPr>
            <w:tcW w:w="580" w:type="dxa"/>
            <w:vAlign w:val="bottom"/>
          </w:tcPr>
          <w:p w14:paraId="700F4AD0" w14:textId="77777777" w:rsidR="00D1587D" w:rsidRDefault="00D1587D">
            <w:pPr>
              <w:rPr>
                <w:sz w:val="17"/>
                <w:szCs w:val="17"/>
              </w:rPr>
            </w:pPr>
          </w:p>
        </w:tc>
        <w:tc>
          <w:tcPr>
            <w:tcW w:w="4500" w:type="dxa"/>
            <w:tcBorders>
              <w:top w:val="single" w:sz="8" w:space="0" w:color="auto"/>
            </w:tcBorders>
            <w:vAlign w:val="bottom"/>
          </w:tcPr>
          <w:p w14:paraId="15B613C3" w14:textId="77777777" w:rsidR="00D1587D" w:rsidRDefault="00410D07">
            <w:pPr>
              <w:spacing w:line="201" w:lineRule="exact"/>
              <w:rPr>
                <w:sz w:val="20"/>
                <w:szCs w:val="20"/>
              </w:rPr>
            </w:pPr>
            <w:r>
              <w:rPr>
                <w:rFonts w:ascii="Arial" w:eastAsia="Arial" w:hAnsi="Arial" w:cs="Arial"/>
                <w:sz w:val="18"/>
                <w:szCs w:val="18"/>
              </w:rPr>
              <w:t>Name:</w:t>
            </w:r>
          </w:p>
        </w:tc>
        <w:tc>
          <w:tcPr>
            <w:tcW w:w="1120" w:type="dxa"/>
            <w:vAlign w:val="bottom"/>
          </w:tcPr>
          <w:p w14:paraId="0520DF9C" w14:textId="77777777" w:rsidR="00D1587D" w:rsidRDefault="00D1587D">
            <w:pPr>
              <w:rPr>
                <w:sz w:val="17"/>
                <w:szCs w:val="17"/>
              </w:rPr>
            </w:pPr>
          </w:p>
        </w:tc>
        <w:tc>
          <w:tcPr>
            <w:tcW w:w="5040" w:type="dxa"/>
            <w:tcBorders>
              <w:top w:val="single" w:sz="8" w:space="0" w:color="auto"/>
            </w:tcBorders>
            <w:vAlign w:val="bottom"/>
          </w:tcPr>
          <w:p w14:paraId="592F06E3" w14:textId="77777777" w:rsidR="00D1587D" w:rsidRDefault="00410D07">
            <w:pPr>
              <w:spacing w:line="201" w:lineRule="exact"/>
              <w:rPr>
                <w:sz w:val="20"/>
                <w:szCs w:val="20"/>
              </w:rPr>
            </w:pPr>
            <w:r>
              <w:rPr>
                <w:rFonts w:ascii="Arial" w:eastAsia="Arial" w:hAnsi="Arial" w:cs="Arial"/>
                <w:sz w:val="18"/>
                <w:szCs w:val="18"/>
              </w:rPr>
              <w:t>Name:</w:t>
            </w:r>
          </w:p>
        </w:tc>
      </w:tr>
      <w:tr w:rsidR="00D1587D" w14:paraId="1E68092F" w14:textId="77777777">
        <w:trPr>
          <w:trHeight w:val="230"/>
        </w:trPr>
        <w:tc>
          <w:tcPr>
            <w:tcW w:w="580" w:type="dxa"/>
            <w:vAlign w:val="bottom"/>
          </w:tcPr>
          <w:p w14:paraId="298F0570" w14:textId="77777777" w:rsidR="00D1587D" w:rsidRDefault="00D1587D">
            <w:pPr>
              <w:rPr>
                <w:sz w:val="20"/>
                <w:szCs w:val="20"/>
              </w:rPr>
            </w:pPr>
          </w:p>
        </w:tc>
        <w:tc>
          <w:tcPr>
            <w:tcW w:w="4500" w:type="dxa"/>
            <w:vAlign w:val="bottom"/>
          </w:tcPr>
          <w:p w14:paraId="6ED06357" w14:textId="77777777" w:rsidR="00D1587D" w:rsidRDefault="00410D07">
            <w:pPr>
              <w:rPr>
                <w:sz w:val="20"/>
                <w:szCs w:val="20"/>
              </w:rPr>
            </w:pPr>
            <w:r>
              <w:rPr>
                <w:rFonts w:ascii="Arial" w:eastAsia="Arial" w:hAnsi="Arial" w:cs="Arial"/>
                <w:sz w:val="18"/>
                <w:szCs w:val="18"/>
              </w:rPr>
              <w:t>Title:</w:t>
            </w:r>
          </w:p>
        </w:tc>
        <w:tc>
          <w:tcPr>
            <w:tcW w:w="1120" w:type="dxa"/>
            <w:vAlign w:val="bottom"/>
          </w:tcPr>
          <w:p w14:paraId="4B7FEFA6" w14:textId="77777777" w:rsidR="00D1587D" w:rsidRDefault="00D1587D">
            <w:pPr>
              <w:rPr>
                <w:sz w:val="20"/>
                <w:szCs w:val="20"/>
              </w:rPr>
            </w:pPr>
          </w:p>
        </w:tc>
        <w:tc>
          <w:tcPr>
            <w:tcW w:w="5040" w:type="dxa"/>
            <w:vAlign w:val="bottom"/>
          </w:tcPr>
          <w:p w14:paraId="061994A4" w14:textId="77777777" w:rsidR="00D1587D" w:rsidRDefault="00D1587D">
            <w:pPr>
              <w:rPr>
                <w:sz w:val="20"/>
                <w:szCs w:val="20"/>
              </w:rPr>
            </w:pPr>
          </w:p>
        </w:tc>
      </w:tr>
    </w:tbl>
    <w:p w14:paraId="18350CFE" w14:textId="77777777" w:rsidR="00D1587D" w:rsidRDefault="00D1587D">
      <w:pPr>
        <w:spacing w:line="222" w:lineRule="exact"/>
        <w:rPr>
          <w:sz w:val="20"/>
          <w:szCs w:val="20"/>
        </w:rPr>
      </w:pPr>
    </w:p>
    <w:p w14:paraId="46403999" w14:textId="77777777" w:rsidR="00D1587D" w:rsidRDefault="00410D07">
      <w:pPr>
        <w:jc w:val="center"/>
        <w:rPr>
          <w:sz w:val="20"/>
          <w:szCs w:val="20"/>
        </w:rPr>
      </w:pPr>
      <w:r>
        <w:rPr>
          <w:rFonts w:ascii="Arial" w:eastAsia="Arial" w:hAnsi="Arial" w:cs="Arial"/>
        </w:rPr>
        <w:t>13</w:t>
      </w:r>
    </w:p>
    <w:p w14:paraId="28EE8DCE" w14:textId="77777777" w:rsidR="00D1587D" w:rsidRDefault="00410D07">
      <w:pPr>
        <w:spacing w:line="20" w:lineRule="exact"/>
        <w:rPr>
          <w:sz w:val="20"/>
          <w:szCs w:val="20"/>
        </w:rPr>
      </w:pPr>
      <w:r>
        <w:rPr>
          <w:noProof/>
          <w:sz w:val="20"/>
          <w:szCs w:val="20"/>
        </w:rPr>
        <w:drawing>
          <wp:anchor distT="0" distB="0" distL="114300" distR="114300" simplePos="0" relativeHeight="251414528" behindDoc="1" locked="0" layoutInCell="0" allowOverlap="1" wp14:anchorId="79E3A48C" wp14:editId="2D2C79A2">
            <wp:simplePos x="0" y="0"/>
            <wp:positionH relativeFrom="column">
              <wp:posOffset>5080</wp:posOffset>
            </wp:positionH>
            <wp:positionV relativeFrom="paragraph">
              <wp:posOffset>75565</wp:posOffset>
            </wp:positionV>
            <wp:extent cx="7132320" cy="1714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3"/>
                    <a:srcRect/>
                    <a:stretch>
                      <a:fillRect/>
                    </a:stretch>
                  </pic:blipFill>
                  <pic:spPr bwMode="auto">
                    <a:xfrm>
                      <a:off x="0" y="0"/>
                      <a:ext cx="7132320" cy="17145"/>
                    </a:xfrm>
                    <a:prstGeom prst="rect">
                      <a:avLst/>
                    </a:prstGeom>
                    <a:noFill/>
                  </pic:spPr>
                </pic:pic>
              </a:graphicData>
            </a:graphic>
          </wp:anchor>
        </w:drawing>
      </w:r>
    </w:p>
    <w:p w14:paraId="62C2EEE7" w14:textId="77777777" w:rsidR="00D1587D" w:rsidRDefault="00D1587D">
      <w:pPr>
        <w:sectPr w:rsidR="00D1587D">
          <w:pgSz w:w="11900" w:h="16838"/>
          <w:pgMar w:top="118" w:right="339" w:bottom="1440" w:left="320" w:header="0" w:footer="0" w:gutter="0"/>
          <w:cols w:space="720" w:equalWidth="0">
            <w:col w:w="11240"/>
          </w:cols>
        </w:sectPr>
      </w:pPr>
    </w:p>
    <w:p w14:paraId="6B53F04D" w14:textId="77777777" w:rsidR="00D1587D" w:rsidRDefault="00410D07">
      <w:pPr>
        <w:jc w:val="right"/>
        <w:rPr>
          <w:sz w:val="20"/>
          <w:szCs w:val="20"/>
        </w:rPr>
      </w:pPr>
      <w:bookmarkStart w:id="250" w:name="page251"/>
      <w:bookmarkEnd w:id="250"/>
      <w:r>
        <w:rPr>
          <w:rFonts w:ascii="Arial" w:eastAsia="Arial" w:hAnsi="Arial" w:cs="Arial"/>
          <w:b/>
          <w:bCs/>
          <w:noProof/>
        </w:rPr>
        <w:drawing>
          <wp:anchor distT="0" distB="0" distL="114300" distR="114300" simplePos="0" relativeHeight="251415552" behindDoc="1" locked="0" layoutInCell="0" allowOverlap="1" wp14:anchorId="1E430F8D" wp14:editId="0DB84395">
            <wp:simplePos x="0" y="0"/>
            <wp:positionH relativeFrom="page">
              <wp:posOffset>208280</wp:posOffset>
            </wp:positionH>
            <wp:positionV relativeFrom="page">
              <wp:posOffset>88900</wp:posOffset>
            </wp:positionV>
            <wp:extent cx="7132320" cy="34290"/>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2"/>
                    <a:srcRect/>
                    <a:stretch>
                      <a:fillRect/>
                    </a:stretch>
                  </pic:blipFill>
                  <pic:spPr bwMode="auto">
                    <a:xfrm>
                      <a:off x="0" y="0"/>
                      <a:ext cx="7132320" cy="34290"/>
                    </a:xfrm>
                    <a:prstGeom prst="rect">
                      <a:avLst/>
                    </a:prstGeom>
                    <a:noFill/>
                  </pic:spPr>
                </pic:pic>
              </a:graphicData>
            </a:graphic>
          </wp:anchor>
        </w:drawing>
      </w:r>
      <w:r>
        <w:rPr>
          <w:rFonts w:ascii="Arial" w:eastAsia="Arial" w:hAnsi="Arial" w:cs="Arial"/>
          <w:b/>
          <w:bCs/>
        </w:rPr>
        <w:t>Exhibit 21.1</w:t>
      </w:r>
    </w:p>
    <w:p w14:paraId="0E36B8C1" w14:textId="77777777" w:rsidR="00D1587D" w:rsidRDefault="00D1587D">
      <w:pPr>
        <w:spacing w:line="2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80"/>
        <w:gridCol w:w="4460"/>
        <w:gridCol w:w="1780"/>
        <w:gridCol w:w="4720"/>
      </w:tblGrid>
      <w:tr w:rsidR="00D1587D" w14:paraId="561A6C80" w14:textId="77777777">
        <w:trPr>
          <w:trHeight w:val="253"/>
        </w:trPr>
        <w:tc>
          <w:tcPr>
            <w:tcW w:w="280" w:type="dxa"/>
            <w:vAlign w:val="bottom"/>
          </w:tcPr>
          <w:p w14:paraId="645A847A" w14:textId="77777777" w:rsidR="00D1587D" w:rsidRDefault="00D1587D">
            <w:pPr>
              <w:rPr>
                <w:sz w:val="21"/>
                <w:szCs w:val="21"/>
              </w:rPr>
            </w:pPr>
          </w:p>
        </w:tc>
        <w:tc>
          <w:tcPr>
            <w:tcW w:w="4460" w:type="dxa"/>
            <w:vAlign w:val="bottom"/>
          </w:tcPr>
          <w:p w14:paraId="7F991748" w14:textId="77777777" w:rsidR="00D1587D" w:rsidRDefault="00D1587D">
            <w:pPr>
              <w:rPr>
                <w:sz w:val="21"/>
                <w:szCs w:val="21"/>
              </w:rPr>
            </w:pPr>
          </w:p>
        </w:tc>
        <w:tc>
          <w:tcPr>
            <w:tcW w:w="6500" w:type="dxa"/>
            <w:gridSpan w:val="2"/>
            <w:vAlign w:val="bottom"/>
          </w:tcPr>
          <w:p w14:paraId="2F1F12A1" w14:textId="77777777" w:rsidR="00D1587D" w:rsidRDefault="00410D07">
            <w:pPr>
              <w:rPr>
                <w:sz w:val="20"/>
                <w:szCs w:val="20"/>
              </w:rPr>
            </w:pPr>
            <w:r>
              <w:rPr>
                <w:rFonts w:ascii="Arial" w:eastAsia="Arial" w:hAnsi="Arial" w:cs="Arial"/>
                <w:b/>
                <w:bCs/>
              </w:rPr>
              <w:t xml:space="preserve">List of </w:t>
            </w:r>
            <w:r>
              <w:rPr>
                <w:rFonts w:ascii="Arial" w:eastAsia="Arial" w:hAnsi="Arial" w:cs="Arial"/>
                <w:b/>
                <w:bCs/>
              </w:rPr>
              <w:t>Subsidiaries</w:t>
            </w:r>
          </w:p>
        </w:tc>
      </w:tr>
      <w:tr w:rsidR="00D1587D" w14:paraId="63270A85" w14:textId="77777777">
        <w:trPr>
          <w:trHeight w:val="465"/>
        </w:trPr>
        <w:tc>
          <w:tcPr>
            <w:tcW w:w="280" w:type="dxa"/>
            <w:vAlign w:val="bottom"/>
          </w:tcPr>
          <w:p w14:paraId="4EC14550" w14:textId="77777777" w:rsidR="00D1587D" w:rsidRDefault="00410D07">
            <w:pPr>
              <w:rPr>
                <w:sz w:val="20"/>
                <w:szCs w:val="20"/>
              </w:rPr>
            </w:pPr>
            <w:r>
              <w:rPr>
                <w:rFonts w:ascii="Arial" w:eastAsia="Arial" w:hAnsi="Arial" w:cs="Arial"/>
                <w:sz w:val="18"/>
                <w:szCs w:val="18"/>
              </w:rPr>
              <w:t>1.</w:t>
            </w:r>
          </w:p>
        </w:tc>
        <w:tc>
          <w:tcPr>
            <w:tcW w:w="4460" w:type="dxa"/>
            <w:vAlign w:val="bottom"/>
          </w:tcPr>
          <w:p w14:paraId="678CED98" w14:textId="77777777" w:rsidR="00D1587D" w:rsidRDefault="00410D07">
            <w:pPr>
              <w:ind w:left="60"/>
              <w:rPr>
                <w:sz w:val="20"/>
                <w:szCs w:val="20"/>
              </w:rPr>
            </w:pPr>
            <w:r>
              <w:rPr>
                <w:rFonts w:ascii="Arial" w:eastAsia="Arial" w:hAnsi="Arial" w:cs="Arial"/>
                <w:sz w:val="18"/>
                <w:szCs w:val="18"/>
              </w:rPr>
              <w:t>American Beauty Limited</w:t>
            </w:r>
          </w:p>
        </w:tc>
        <w:tc>
          <w:tcPr>
            <w:tcW w:w="1780" w:type="dxa"/>
            <w:tcBorders>
              <w:top w:val="single" w:sz="8" w:space="0" w:color="auto"/>
            </w:tcBorders>
            <w:vAlign w:val="bottom"/>
          </w:tcPr>
          <w:p w14:paraId="2483D0C3" w14:textId="77777777" w:rsidR="00D1587D" w:rsidRDefault="00D1587D">
            <w:pPr>
              <w:rPr>
                <w:sz w:val="24"/>
                <w:szCs w:val="24"/>
              </w:rPr>
            </w:pPr>
          </w:p>
        </w:tc>
        <w:tc>
          <w:tcPr>
            <w:tcW w:w="4720" w:type="dxa"/>
            <w:vAlign w:val="bottom"/>
          </w:tcPr>
          <w:p w14:paraId="6FEC9BEF" w14:textId="77777777" w:rsidR="00D1587D" w:rsidRDefault="00410D07">
            <w:pPr>
              <w:ind w:left="240"/>
              <w:rPr>
                <w:sz w:val="20"/>
                <w:szCs w:val="20"/>
              </w:rPr>
            </w:pPr>
            <w:r>
              <w:rPr>
                <w:rFonts w:ascii="Arial" w:eastAsia="Arial" w:hAnsi="Arial" w:cs="Arial"/>
                <w:sz w:val="18"/>
                <w:szCs w:val="18"/>
              </w:rPr>
              <w:t>Hong Kong</w:t>
            </w:r>
          </w:p>
        </w:tc>
      </w:tr>
      <w:tr w:rsidR="00D1587D" w14:paraId="21C670FE" w14:textId="77777777">
        <w:trPr>
          <w:trHeight w:val="216"/>
        </w:trPr>
        <w:tc>
          <w:tcPr>
            <w:tcW w:w="280" w:type="dxa"/>
            <w:vAlign w:val="bottom"/>
          </w:tcPr>
          <w:p w14:paraId="6BCB8354" w14:textId="77777777" w:rsidR="00D1587D" w:rsidRDefault="00410D07">
            <w:pPr>
              <w:rPr>
                <w:sz w:val="20"/>
                <w:szCs w:val="20"/>
              </w:rPr>
            </w:pPr>
            <w:r>
              <w:rPr>
                <w:rFonts w:ascii="Arial" w:eastAsia="Arial" w:hAnsi="Arial" w:cs="Arial"/>
                <w:sz w:val="18"/>
                <w:szCs w:val="18"/>
              </w:rPr>
              <w:t>2.</w:t>
            </w:r>
          </w:p>
        </w:tc>
        <w:tc>
          <w:tcPr>
            <w:tcW w:w="4460" w:type="dxa"/>
            <w:vAlign w:val="bottom"/>
          </w:tcPr>
          <w:p w14:paraId="797A26BF" w14:textId="77777777" w:rsidR="00D1587D" w:rsidRDefault="00410D07">
            <w:pPr>
              <w:ind w:left="60"/>
              <w:rPr>
                <w:sz w:val="20"/>
                <w:szCs w:val="20"/>
              </w:rPr>
            </w:pPr>
            <w:r>
              <w:rPr>
                <w:rFonts w:ascii="Arial" w:eastAsia="Arial" w:hAnsi="Arial" w:cs="Arial"/>
                <w:sz w:val="18"/>
                <w:szCs w:val="18"/>
              </w:rPr>
              <w:t>American Full Assortment Limited</w:t>
            </w:r>
          </w:p>
        </w:tc>
        <w:tc>
          <w:tcPr>
            <w:tcW w:w="1780" w:type="dxa"/>
            <w:vAlign w:val="bottom"/>
          </w:tcPr>
          <w:p w14:paraId="5E2D69B1" w14:textId="77777777" w:rsidR="00D1587D" w:rsidRDefault="00D1587D">
            <w:pPr>
              <w:rPr>
                <w:sz w:val="18"/>
                <w:szCs w:val="18"/>
              </w:rPr>
            </w:pPr>
          </w:p>
        </w:tc>
        <w:tc>
          <w:tcPr>
            <w:tcW w:w="4720" w:type="dxa"/>
            <w:vAlign w:val="bottom"/>
          </w:tcPr>
          <w:p w14:paraId="0F3C9255" w14:textId="77777777" w:rsidR="00D1587D" w:rsidRDefault="00410D07">
            <w:pPr>
              <w:ind w:left="240"/>
              <w:rPr>
                <w:sz w:val="20"/>
                <w:szCs w:val="20"/>
              </w:rPr>
            </w:pPr>
            <w:r>
              <w:rPr>
                <w:rFonts w:ascii="Arial" w:eastAsia="Arial" w:hAnsi="Arial" w:cs="Arial"/>
                <w:sz w:val="18"/>
                <w:szCs w:val="18"/>
              </w:rPr>
              <w:t>Hong Kong</w:t>
            </w:r>
          </w:p>
        </w:tc>
      </w:tr>
      <w:tr w:rsidR="00D1587D" w14:paraId="4EE163F2" w14:textId="77777777">
        <w:trPr>
          <w:trHeight w:val="216"/>
        </w:trPr>
        <w:tc>
          <w:tcPr>
            <w:tcW w:w="280" w:type="dxa"/>
            <w:vAlign w:val="bottom"/>
          </w:tcPr>
          <w:p w14:paraId="54E976E5" w14:textId="77777777" w:rsidR="00D1587D" w:rsidRDefault="00410D07">
            <w:pPr>
              <w:rPr>
                <w:sz w:val="20"/>
                <w:szCs w:val="20"/>
              </w:rPr>
            </w:pPr>
            <w:r>
              <w:rPr>
                <w:rFonts w:ascii="Arial" w:eastAsia="Arial" w:hAnsi="Arial" w:cs="Arial"/>
                <w:sz w:val="18"/>
                <w:szCs w:val="18"/>
              </w:rPr>
              <w:t>3.</w:t>
            </w:r>
          </w:p>
        </w:tc>
        <w:tc>
          <w:tcPr>
            <w:tcW w:w="4460" w:type="dxa"/>
            <w:vAlign w:val="bottom"/>
          </w:tcPr>
          <w:p w14:paraId="1B8318FE" w14:textId="77777777" w:rsidR="00D1587D" w:rsidRDefault="00410D07">
            <w:pPr>
              <w:ind w:left="60"/>
              <w:rPr>
                <w:sz w:val="20"/>
                <w:szCs w:val="20"/>
              </w:rPr>
            </w:pPr>
            <w:r>
              <w:rPr>
                <w:rFonts w:ascii="Arial" w:eastAsia="Arial" w:hAnsi="Arial" w:cs="Arial"/>
                <w:sz w:val="18"/>
                <w:szCs w:val="18"/>
              </w:rPr>
              <w:t>Aristides Properties, LLC</w:t>
            </w:r>
          </w:p>
        </w:tc>
        <w:tc>
          <w:tcPr>
            <w:tcW w:w="1780" w:type="dxa"/>
            <w:vAlign w:val="bottom"/>
          </w:tcPr>
          <w:p w14:paraId="0F628E09" w14:textId="77777777" w:rsidR="00D1587D" w:rsidRDefault="00D1587D">
            <w:pPr>
              <w:rPr>
                <w:sz w:val="18"/>
                <w:szCs w:val="18"/>
              </w:rPr>
            </w:pPr>
          </w:p>
        </w:tc>
        <w:tc>
          <w:tcPr>
            <w:tcW w:w="4720" w:type="dxa"/>
            <w:vAlign w:val="bottom"/>
          </w:tcPr>
          <w:p w14:paraId="52EFA6DE" w14:textId="77777777" w:rsidR="00D1587D" w:rsidRDefault="00410D07">
            <w:pPr>
              <w:ind w:left="240"/>
              <w:rPr>
                <w:sz w:val="20"/>
                <w:szCs w:val="20"/>
              </w:rPr>
            </w:pPr>
            <w:r>
              <w:rPr>
                <w:rFonts w:ascii="Arial" w:eastAsia="Arial" w:hAnsi="Arial" w:cs="Arial"/>
                <w:sz w:val="18"/>
                <w:szCs w:val="18"/>
              </w:rPr>
              <w:t>Delaware, United States</w:t>
            </w:r>
          </w:p>
        </w:tc>
      </w:tr>
      <w:tr w:rsidR="00D1587D" w14:paraId="2C2B2523" w14:textId="77777777">
        <w:trPr>
          <w:trHeight w:val="216"/>
        </w:trPr>
        <w:tc>
          <w:tcPr>
            <w:tcW w:w="280" w:type="dxa"/>
            <w:vAlign w:val="bottom"/>
          </w:tcPr>
          <w:p w14:paraId="37C417D3" w14:textId="77777777" w:rsidR="00D1587D" w:rsidRDefault="00410D07">
            <w:pPr>
              <w:rPr>
                <w:sz w:val="20"/>
                <w:szCs w:val="20"/>
              </w:rPr>
            </w:pPr>
            <w:r>
              <w:rPr>
                <w:rFonts w:ascii="Arial" w:eastAsia="Arial" w:hAnsi="Arial" w:cs="Arial"/>
                <w:sz w:val="18"/>
                <w:szCs w:val="18"/>
              </w:rPr>
              <w:t>4.</w:t>
            </w:r>
          </w:p>
        </w:tc>
        <w:tc>
          <w:tcPr>
            <w:tcW w:w="4460" w:type="dxa"/>
            <w:vAlign w:val="bottom"/>
          </w:tcPr>
          <w:p w14:paraId="78D2DC7B" w14:textId="77777777" w:rsidR="00D1587D" w:rsidRDefault="00410D07">
            <w:pPr>
              <w:ind w:left="60"/>
              <w:rPr>
                <w:sz w:val="20"/>
                <w:szCs w:val="20"/>
              </w:rPr>
            </w:pPr>
            <w:r>
              <w:rPr>
                <w:rFonts w:ascii="Arial" w:eastAsia="Arial" w:hAnsi="Arial" w:cs="Arial"/>
                <w:sz w:val="18"/>
                <w:szCs w:val="18"/>
              </w:rPr>
              <w:t>ASLA FA Holdings</w:t>
            </w:r>
          </w:p>
        </w:tc>
        <w:tc>
          <w:tcPr>
            <w:tcW w:w="1780" w:type="dxa"/>
            <w:vAlign w:val="bottom"/>
          </w:tcPr>
          <w:p w14:paraId="4C614AED" w14:textId="77777777" w:rsidR="00D1587D" w:rsidRDefault="00D1587D">
            <w:pPr>
              <w:rPr>
                <w:sz w:val="18"/>
                <w:szCs w:val="18"/>
              </w:rPr>
            </w:pPr>
          </w:p>
        </w:tc>
        <w:tc>
          <w:tcPr>
            <w:tcW w:w="4720" w:type="dxa"/>
            <w:vAlign w:val="bottom"/>
          </w:tcPr>
          <w:p w14:paraId="4B8443D5" w14:textId="77777777" w:rsidR="00D1587D" w:rsidRDefault="00410D07">
            <w:pPr>
              <w:ind w:left="240"/>
              <w:rPr>
                <w:sz w:val="20"/>
                <w:szCs w:val="20"/>
              </w:rPr>
            </w:pPr>
            <w:r>
              <w:rPr>
                <w:rFonts w:ascii="Arial" w:eastAsia="Arial" w:hAnsi="Arial" w:cs="Arial"/>
                <w:sz w:val="18"/>
                <w:szCs w:val="18"/>
              </w:rPr>
              <w:t>Cayman</w:t>
            </w:r>
          </w:p>
        </w:tc>
      </w:tr>
      <w:tr w:rsidR="00D1587D" w14:paraId="77974EB6" w14:textId="77777777">
        <w:trPr>
          <w:trHeight w:val="216"/>
        </w:trPr>
        <w:tc>
          <w:tcPr>
            <w:tcW w:w="280" w:type="dxa"/>
            <w:vAlign w:val="bottom"/>
          </w:tcPr>
          <w:p w14:paraId="0E3C72A1" w14:textId="77777777" w:rsidR="00D1587D" w:rsidRDefault="00410D07">
            <w:pPr>
              <w:rPr>
                <w:sz w:val="20"/>
                <w:szCs w:val="20"/>
              </w:rPr>
            </w:pPr>
            <w:r>
              <w:rPr>
                <w:rFonts w:ascii="Arial" w:eastAsia="Arial" w:hAnsi="Arial" w:cs="Arial"/>
                <w:sz w:val="18"/>
                <w:szCs w:val="18"/>
              </w:rPr>
              <w:t>5.</w:t>
            </w:r>
          </w:p>
        </w:tc>
        <w:tc>
          <w:tcPr>
            <w:tcW w:w="4460" w:type="dxa"/>
            <w:vAlign w:val="bottom"/>
          </w:tcPr>
          <w:p w14:paraId="400645D5" w14:textId="77777777" w:rsidR="00D1587D" w:rsidRDefault="00410D07">
            <w:pPr>
              <w:ind w:left="60"/>
              <w:rPr>
                <w:sz w:val="20"/>
                <w:szCs w:val="20"/>
              </w:rPr>
            </w:pPr>
            <w:r>
              <w:rPr>
                <w:rFonts w:ascii="Arial" w:eastAsia="Arial" w:hAnsi="Arial" w:cs="Arial"/>
                <w:sz w:val="18"/>
                <w:szCs w:val="18"/>
              </w:rPr>
              <w:t>ASLA Far East Holdings</w:t>
            </w:r>
          </w:p>
        </w:tc>
        <w:tc>
          <w:tcPr>
            <w:tcW w:w="1780" w:type="dxa"/>
            <w:vAlign w:val="bottom"/>
          </w:tcPr>
          <w:p w14:paraId="4BB1D0D3" w14:textId="77777777" w:rsidR="00D1587D" w:rsidRDefault="00D1587D">
            <w:pPr>
              <w:rPr>
                <w:sz w:val="18"/>
                <w:szCs w:val="18"/>
              </w:rPr>
            </w:pPr>
          </w:p>
        </w:tc>
        <w:tc>
          <w:tcPr>
            <w:tcW w:w="4720" w:type="dxa"/>
            <w:vAlign w:val="bottom"/>
          </w:tcPr>
          <w:p w14:paraId="7FA4FD53" w14:textId="77777777" w:rsidR="00D1587D" w:rsidRDefault="00410D07">
            <w:pPr>
              <w:ind w:left="240"/>
              <w:rPr>
                <w:sz w:val="20"/>
                <w:szCs w:val="20"/>
              </w:rPr>
            </w:pPr>
            <w:r>
              <w:rPr>
                <w:rFonts w:ascii="Arial" w:eastAsia="Arial" w:hAnsi="Arial" w:cs="Arial"/>
                <w:sz w:val="18"/>
                <w:szCs w:val="18"/>
              </w:rPr>
              <w:t>Cayman</w:t>
            </w:r>
          </w:p>
        </w:tc>
      </w:tr>
      <w:tr w:rsidR="00D1587D" w14:paraId="7599058D" w14:textId="77777777">
        <w:trPr>
          <w:trHeight w:val="216"/>
        </w:trPr>
        <w:tc>
          <w:tcPr>
            <w:tcW w:w="280" w:type="dxa"/>
            <w:vAlign w:val="bottom"/>
          </w:tcPr>
          <w:p w14:paraId="02B39C2C" w14:textId="77777777" w:rsidR="00D1587D" w:rsidRDefault="00410D07">
            <w:pPr>
              <w:rPr>
                <w:sz w:val="20"/>
                <w:szCs w:val="20"/>
              </w:rPr>
            </w:pPr>
            <w:r>
              <w:rPr>
                <w:rFonts w:ascii="Arial" w:eastAsia="Arial" w:hAnsi="Arial" w:cs="Arial"/>
                <w:sz w:val="18"/>
                <w:szCs w:val="18"/>
              </w:rPr>
              <w:t>6.</w:t>
            </w:r>
          </w:p>
        </w:tc>
        <w:tc>
          <w:tcPr>
            <w:tcW w:w="4460" w:type="dxa"/>
            <w:vAlign w:val="bottom"/>
          </w:tcPr>
          <w:p w14:paraId="3F7B07CB" w14:textId="77777777" w:rsidR="00D1587D" w:rsidRDefault="00410D07">
            <w:pPr>
              <w:ind w:left="60"/>
              <w:rPr>
                <w:sz w:val="20"/>
                <w:szCs w:val="20"/>
              </w:rPr>
            </w:pPr>
            <w:r>
              <w:rPr>
                <w:rFonts w:ascii="Arial" w:eastAsia="Arial" w:hAnsi="Arial" w:cs="Arial"/>
                <w:sz w:val="18"/>
                <w:szCs w:val="18"/>
              </w:rPr>
              <w:t>ASLA Global Holdings</w:t>
            </w:r>
          </w:p>
        </w:tc>
        <w:tc>
          <w:tcPr>
            <w:tcW w:w="1780" w:type="dxa"/>
            <w:vAlign w:val="bottom"/>
          </w:tcPr>
          <w:p w14:paraId="6DE6DF59" w14:textId="77777777" w:rsidR="00D1587D" w:rsidRDefault="00D1587D">
            <w:pPr>
              <w:rPr>
                <w:sz w:val="18"/>
                <w:szCs w:val="18"/>
              </w:rPr>
            </w:pPr>
          </w:p>
        </w:tc>
        <w:tc>
          <w:tcPr>
            <w:tcW w:w="4720" w:type="dxa"/>
            <w:vAlign w:val="bottom"/>
          </w:tcPr>
          <w:p w14:paraId="4D1339B0" w14:textId="77777777" w:rsidR="00D1587D" w:rsidRDefault="00410D07">
            <w:pPr>
              <w:ind w:left="240"/>
              <w:rPr>
                <w:sz w:val="20"/>
                <w:szCs w:val="20"/>
              </w:rPr>
            </w:pPr>
            <w:r>
              <w:rPr>
                <w:rFonts w:ascii="Arial" w:eastAsia="Arial" w:hAnsi="Arial" w:cs="Arial"/>
                <w:sz w:val="18"/>
                <w:szCs w:val="18"/>
              </w:rPr>
              <w:t>Cayman</w:t>
            </w:r>
          </w:p>
        </w:tc>
      </w:tr>
      <w:tr w:rsidR="00D1587D" w14:paraId="5D953B32" w14:textId="77777777">
        <w:trPr>
          <w:trHeight w:val="216"/>
        </w:trPr>
        <w:tc>
          <w:tcPr>
            <w:tcW w:w="280" w:type="dxa"/>
            <w:vAlign w:val="bottom"/>
          </w:tcPr>
          <w:p w14:paraId="0A76F2A7" w14:textId="77777777" w:rsidR="00D1587D" w:rsidRDefault="00410D07">
            <w:pPr>
              <w:rPr>
                <w:sz w:val="20"/>
                <w:szCs w:val="20"/>
              </w:rPr>
            </w:pPr>
            <w:r>
              <w:rPr>
                <w:rFonts w:ascii="Arial" w:eastAsia="Arial" w:hAnsi="Arial" w:cs="Arial"/>
                <w:sz w:val="18"/>
                <w:szCs w:val="18"/>
              </w:rPr>
              <w:t>7.</w:t>
            </w:r>
          </w:p>
        </w:tc>
        <w:tc>
          <w:tcPr>
            <w:tcW w:w="4460" w:type="dxa"/>
            <w:vAlign w:val="bottom"/>
          </w:tcPr>
          <w:p w14:paraId="1047B109" w14:textId="77777777" w:rsidR="00D1587D" w:rsidRDefault="00410D07">
            <w:pPr>
              <w:ind w:left="60"/>
              <w:rPr>
                <w:sz w:val="20"/>
                <w:szCs w:val="20"/>
              </w:rPr>
            </w:pPr>
            <w:r>
              <w:rPr>
                <w:rFonts w:ascii="Arial" w:eastAsia="Arial" w:hAnsi="Arial" w:cs="Arial"/>
                <w:sz w:val="18"/>
                <w:szCs w:val="18"/>
              </w:rPr>
              <w:t>ASLA Greater China Holdings</w:t>
            </w:r>
          </w:p>
        </w:tc>
        <w:tc>
          <w:tcPr>
            <w:tcW w:w="1780" w:type="dxa"/>
            <w:vAlign w:val="bottom"/>
          </w:tcPr>
          <w:p w14:paraId="295F5ADF" w14:textId="77777777" w:rsidR="00D1587D" w:rsidRDefault="00D1587D">
            <w:pPr>
              <w:rPr>
                <w:sz w:val="18"/>
                <w:szCs w:val="18"/>
              </w:rPr>
            </w:pPr>
          </w:p>
        </w:tc>
        <w:tc>
          <w:tcPr>
            <w:tcW w:w="4720" w:type="dxa"/>
            <w:vAlign w:val="bottom"/>
          </w:tcPr>
          <w:p w14:paraId="4A2DE41E" w14:textId="77777777" w:rsidR="00D1587D" w:rsidRDefault="00410D07">
            <w:pPr>
              <w:ind w:left="240"/>
              <w:rPr>
                <w:sz w:val="20"/>
                <w:szCs w:val="20"/>
              </w:rPr>
            </w:pPr>
            <w:r>
              <w:rPr>
                <w:rFonts w:ascii="Arial" w:eastAsia="Arial" w:hAnsi="Arial" w:cs="Arial"/>
                <w:sz w:val="18"/>
                <w:szCs w:val="18"/>
              </w:rPr>
              <w:t>Cayman</w:t>
            </w:r>
          </w:p>
        </w:tc>
      </w:tr>
      <w:tr w:rsidR="00D1587D" w14:paraId="07DF9CED" w14:textId="77777777">
        <w:trPr>
          <w:trHeight w:val="216"/>
        </w:trPr>
        <w:tc>
          <w:tcPr>
            <w:tcW w:w="280" w:type="dxa"/>
            <w:vAlign w:val="bottom"/>
          </w:tcPr>
          <w:p w14:paraId="410CE75F" w14:textId="77777777" w:rsidR="00D1587D" w:rsidRDefault="00410D07">
            <w:pPr>
              <w:rPr>
                <w:sz w:val="20"/>
                <w:szCs w:val="20"/>
              </w:rPr>
            </w:pPr>
            <w:r>
              <w:rPr>
                <w:rFonts w:ascii="Arial" w:eastAsia="Arial" w:hAnsi="Arial" w:cs="Arial"/>
                <w:sz w:val="18"/>
                <w:szCs w:val="18"/>
              </w:rPr>
              <w:t>8.</w:t>
            </w:r>
          </w:p>
        </w:tc>
        <w:tc>
          <w:tcPr>
            <w:tcW w:w="4460" w:type="dxa"/>
            <w:vAlign w:val="bottom"/>
          </w:tcPr>
          <w:p w14:paraId="27150B2B" w14:textId="77777777" w:rsidR="00D1587D" w:rsidRDefault="00410D07">
            <w:pPr>
              <w:ind w:left="60"/>
              <w:rPr>
                <w:sz w:val="20"/>
                <w:szCs w:val="20"/>
              </w:rPr>
            </w:pPr>
            <w:r>
              <w:rPr>
                <w:rFonts w:ascii="Arial" w:eastAsia="Arial" w:hAnsi="Arial" w:cs="Arial"/>
                <w:sz w:val="18"/>
                <w:szCs w:val="18"/>
              </w:rPr>
              <w:t>ASLA Greater China FA Holdings</w:t>
            </w:r>
          </w:p>
        </w:tc>
        <w:tc>
          <w:tcPr>
            <w:tcW w:w="1780" w:type="dxa"/>
            <w:vAlign w:val="bottom"/>
          </w:tcPr>
          <w:p w14:paraId="6D5A3A6C" w14:textId="77777777" w:rsidR="00D1587D" w:rsidRDefault="00D1587D">
            <w:pPr>
              <w:rPr>
                <w:sz w:val="18"/>
                <w:szCs w:val="18"/>
              </w:rPr>
            </w:pPr>
          </w:p>
        </w:tc>
        <w:tc>
          <w:tcPr>
            <w:tcW w:w="4720" w:type="dxa"/>
            <w:vAlign w:val="bottom"/>
          </w:tcPr>
          <w:p w14:paraId="39803E37" w14:textId="77777777" w:rsidR="00D1587D" w:rsidRDefault="00410D07">
            <w:pPr>
              <w:ind w:left="240"/>
              <w:rPr>
                <w:sz w:val="20"/>
                <w:szCs w:val="20"/>
              </w:rPr>
            </w:pPr>
            <w:r>
              <w:rPr>
                <w:rFonts w:ascii="Arial" w:eastAsia="Arial" w:hAnsi="Arial" w:cs="Arial"/>
                <w:sz w:val="18"/>
                <w:szCs w:val="18"/>
              </w:rPr>
              <w:t>Cayman</w:t>
            </w:r>
          </w:p>
        </w:tc>
      </w:tr>
      <w:tr w:rsidR="00D1587D" w14:paraId="1138259F" w14:textId="77777777">
        <w:trPr>
          <w:trHeight w:val="216"/>
        </w:trPr>
        <w:tc>
          <w:tcPr>
            <w:tcW w:w="280" w:type="dxa"/>
            <w:vAlign w:val="bottom"/>
          </w:tcPr>
          <w:p w14:paraId="2893D484" w14:textId="77777777" w:rsidR="00D1587D" w:rsidRDefault="00410D07">
            <w:pPr>
              <w:rPr>
                <w:sz w:val="20"/>
                <w:szCs w:val="20"/>
              </w:rPr>
            </w:pPr>
            <w:r>
              <w:rPr>
                <w:rFonts w:ascii="Arial" w:eastAsia="Arial" w:hAnsi="Arial" w:cs="Arial"/>
                <w:sz w:val="18"/>
                <w:szCs w:val="18"/>
              </w:rPr>
              <w:t>9.</w:t>
            </w:r>
          </w:p>
        </w:tc>
        <w:tc>
          <w:tcPr>
            <w:tcW w:w="4460" w:type="dxa"/>
            <w:vAlign w:val="bottom"/>
          </w:tcPr>
          <w:p w14:paraId="4A4C8A12" w14:textId="77777777" w:rsidR="00D1587D" w:rsidRDefault="00410D07">
            <w:pPr>
              <w:ind w:left="60"/>
              <w:rPr>
                <w:sz w:val="20"/>
                <w:szCs w:val="20"/>
              </w:rPr>
            </w:pPr>
            <w:r>
              <w:rPr>
                <w:rFonts w:ascii="Arial" w:eastAsia="Arial" w:hAnsi="Arial" w:cs="Arial"/>
                <w:sz w:val="18"/>
                <w:szCs w:val="18"/>
              </w:rPr>
              <w:t>ASLA US Holdings, LLC</w:t>
            </w:r>
          </w:p>
        </w:tc>
        <w:tc>
          <w:tcPr>
            <w:tcW w:w="1780" w:type="dxa"/>
            <w:vAlign w:val="bottom"/>
          </w:tcPr>
          <w:p w14:paraId="75599E44" w14:textId="77777777" w:rsidR="00D1587D" w:rsidRDefault="00D1587D">
            <w:pPr>
              <w:rPr>
                <w:sz w:val="18"/>
                <w:szCs w:val="18"/>
              </w:rPr>
            </w:pPr>
          </w:p>
        </w:tc>
        <w:tc>
          <w:tcPr>
            <w:tcW w:w="4720" w:type="dxa"/>
            <w:vAlign w:val="bottom"/>
          </w:tcPr>
          <w:p w14:paraId="0A198CB8" w14:textId="77777777" w:rsidR="00D1587D" w:rsidRDefault="00410D07">
            <w:pPr>
              <w:ind w:left="240"/>
              <w:rPr>
                <w:sz w:val="20"/>
                <w:szCs w:val="20"/>
              </w:rPr>
            </w:pPr>
            <w:r>
              <w:rPr>
                <w:rFonts w:ascii="Arial" w:eastAsia="Arial" w:hAnsi="Arial" w:cs="Arial"/>
                <w:sz w:val="18"/>
                <w:szCs w:val="18"/>
              </w:rPr>
              <w:t>Delaware, United States</w:t>
            </w:r>
          </w:p>
        </w:tc>
      </w:tr>
      <w:tr w:rsidR="00D1587D" w14:paraId="1ED772CE" w14:textId="77777777">
        <w:trPr>
          <w:trHeight w:val="216"/>
        </w:trPr>
        <w:tc>
          <w:tcPr>
            <w:tcW w:w="280" w:type="dxa"/>
            <w:vAlign w:val="bottom"/>
          </w:tcPr>
          <w:p w14:paraId="3207EFC6" w14:textId="77777777" w:rsidR="00D1587D" w:rsidRDefault="00410D07">
            <w:pPr>
              <w:rPr>
                <w:sz w:val="20"/>
                <w:szCs w:val="20"/>
              </w:rPr>
            </w:pPr>
            <w:r>
              <w:rPr>
                <w:rFonts w:ascii="Arial" w:eastAsia="Arial" w:hAnsi="Arial" w:cs="Arial"/>
                <w:sz w:val="18"/>
                <w:szCs w:val="18"/>
              </w:rPr>
              <w:t>10.</w:t>
            </w:r>
          </w:p>
        </w:tc>
        <w:tc>
          <w:tcPr>
            <w:tcW w:w="4460" w:type="dxa"/>
            <w:vAlign w:val="bottom"/>
          </w:tcPr>
          <w:p w14:paraId="75863C71" w14:textId="77777777" w:rsidR="00D1587D" w:rsidRDefault="00410D07">
            <w:pPr>
              <w:ind w:left="60"/>
              <w:rPr>
                <w:sz w:val="20"/>
                <w:szCs w:val="20"/>
              </w:rPr>
            </w:pPr>
            <w:r>
              <w:rPr>
                <w:rFonts w:ascii="Arial" w:eastAsia="Arial" w:hAnsi="Arial" w:cs="Arial"/>
                <w:sz w:val="18"/>
                <w:szCs w:val="18"/>
              </w:rPr>
              <w:t>ASLA US Partner, LLC</w:t>
            </w:r>
          </w:p>
        </w:tc>
        <w:tc>
          <w:tcPr>
            <w:tcW w:w="1780" w:type="dxa"/>
            <w:vAlign w:val="bottom"/>
          </w:tcPr>
          <w:p w14:paraId="39C9C020" w14:textId="77777777" w:rsidR="00D1587D" w:rsidRDefault="00D1587D">
            <w:pPr>
              <w:rPr>
                <w:sz w:val="18"/>
                <w:szCs w:val="18"/>
              </w:rPr>
            </w:pPr>
          </w:p>
        </w:tc>
        <w:tc>
          <w:tcPr>
            <w:tcW w:w="4720" w:type="dxa"/>
            <w:vAlign w:val="bottom"/>
          </w:tcPr>
          <w:p w14:paraId="0BDC55E2" w14:textId="77777777" w:rsidR="00D1587D" w:rsidRDefault="00410D07">
            <w:pPr>
              <w:ind w:left="240"/>
              <w:rPr>
                <w:sz w:val="20"/>
                <w:szCs w:val="20"/>
              </w:rPr>
            </w:pPr>
            <w:r>
              <w:rPr>
                <w:rFonts w:ascii="Arial" w:eastAsia="Arial" w:hAnsi="Arial" w:cs="Arial"/>
                <w:sz w:val="18"/>
                <w:szCs w:val="18"/>
              </w:rPr>
              <w:t>Delaware, United States</w:t>
            </w:r>
          </w:p>
        </w:tc>
      </w:tr>
      <w:tr w:rsidR="00D1587D" w14:paraId="70C080BD" w14:textId="77777777">
        <w:trPr>
          <w:trHeight w:val="216"/>
        </w:trPr>
        <w:tc>
          <w:tcPr>
            <w:tcW w:w="280" w:type="dxa"/>
            <w:vAlign w:val="bottom"/>
          </w:tcPr>
          <w:p w14:paraId="4A5C090D" w14:textId="77777777" w:rsidR="00D1587D" w:rsidRDefault="00410D07">
            <w:pPr>
              <w:rPr>
                <w:sz w:val="20"/>
                <w:szCs w:val="20"/>
              </w:rPr>
            </w:pPr>
            <w:r>
              <w:rPr>
                <w:rFonts w:ascii="Arial" w:eastAsia="Arial" w:hAnsi="Arial" w:cs="Arial"/>
                <w:sz w:val="18"/>
                <w:szCs w:val="18"/>
              </w:rPr>
              <w:t>11.</w:t>
            </w:r>
          </w:p>
        </w:tc>
        <w:tc>
          <w:tcPr>
            <w:tcW w:w="4460" w:type="dxa"/>
            <w:vAlign w:val="bottom"/>
          </w:tcPr>
          <w:p w14:paraId="47D404C0" w14:textId="77777777" w:rsidR="00D1587D" w:rsidRDefault="00410D07">
            <w:pPr>
              <w:ind w:left="60"/>
              <w:rPr>
                <w:sz w:val="20"/>
                <w:szCs w:val="20"/>
              </w:rPr>
            </w:pPr>
            <w:r>
              <w:rPr>
                <w:rFonts w:ascii="Arial" w:eastAsia="Arial" w:hAnsi="Arial" w:cs="Arial"/>
                <w:sz w:val="18"/>
                <w:szCs w:val="18"/>
              </w:rPr>
              <w:t>ASLA III Global Holdings</w:t>
            </w:r>
          </w:p>
        </w:tc>
        <w:tc>
          <w:tcPr>
            <w:tcW w:w="1780" w:type="dxa"/>
            <w:vAlign w:val="bottom"/>
          </w:tcPr>
          <w:p w14:paraId="2BC7091A" w14:textId="77777777" w:rsidR="00D1587D" w:rsidRDefault="00D1587D">
            <w:pPr>
              <w:rPr>
                <w:sz w:val="18"/>
                <w:szCs w:val="18"/>
              </w:rPr>
            </w:pPr>
          </w:p>
        </w:tc>
        <w:tc>
          <w:tcPr>
            <w:tcW w:w="4720" w:type="dxa"/>
            <w:vAlign w:val="bottom"/>
          </w:tcPr>
          <w:p w14:paraId="0DB4EBA3" w14:textId="77777777" w:rsidR="00D1587D" w:rsidRDefault="00410D07">
            <w:pPr>
              <w:ind w:left="240"/>
              <w:rPr>
                <w:sz w:val="20"/>
                <w:szCs w:val="20"/>
              </w:rPr>
            </w:pPr>
            <w:r>
              <w:rPr>
                <w:rFonts w:ascii="Arial" w:eastAsia="Arial" w:hAnsi="Arial" w:cs="Arial"/>
                <w:sz w:val="18"/>
                <w:szCs w:val="18"/>
              </w:rPr>
              <w:t>Cayman</w:t>
            </w:r>
          </w:p>
        </w:tc>
      </w:tr>
      <w:tr w:rsidR="00D1587D" w14:paraId="4E3DD08F" w14:textId="77777777">
        <w:trPr>
          <w:trHeight w:val="216"/>
        </w:trPr>
        <w:tc>
          <w:tcPr>
            <w:tcW w:w="280" w:type="dxa"/>
            <w:vAlign w:val="bottom"/>
          </w:tcPr>
          <w:p w14:paraId="2417B92A" w14:textId="77777777" w:rsidR="00D1587D" w:rsidRDefault="00410D07">
            <w:pPr>
              <w:rPr>
                <w:sz w:val="20"/>
                <w:szCs w:val="20"/>
              </w:rPr>
            </w:pPr>
            <w:r>
              <w:rPr>
                <w:rFonts w:ascii="Arial" w:eastAsia="Arial" w:hAnsi="Arial" w:cs="Arial"/>
                <w:sz w:val="18"/>
                <w:szCs w:val="18"/>
              </w:rPr>
              <w:t>12.</w:t>
            </w:r>
          </w:p>
        </w:tc>
        <w:tc>
          <w:tcPr>
            <w:tcW w:w="4460" w:type="dxa"/>
            <w:vAlign w:val="bottom"/>
          </w:tcPr>
          <w:p w14:paraId="3D274651" w14:textId="77777777" w:rsidR="00D1587D" w:rsidRDefault="00410D07">
            <w:pPr>
              <w:ind w:left="60"/>
              <w:rPr>
                <w:sz w:val="20"/>
                <w:szCs w:val="20"/>
              </w:rPr>
            </w:pPr>
            <w:r>
              <w:rPr>
                <w:rFonts w:ascii="Arial" w:eastAsia="Arial" w:hAnsi="Arial" w:cs="Arial"/>
                <w:sz w:val="18"/>
                <w:szCs w:val="18"/>
              </w:rPr>
              <w:t xml:space="preserve">ASLA IV Global </w:t>
            </w:r>
            <w:r>
              <w:rPr>
                <w:rFonts w:ascii="Arial" w:eastAsia="Arial" w:hAnsi="Arial" w:cs="Arial"/>
                <w:sz w:val="18"/>
                <w:szCs w:val="18"/>
              </w:rPr>
              <w:t>Holdings</w:t>
            </w:r>
          </w:p>
        </w:tc>
        <w:tc>
          <w:tcPr>
            <w:tcW w:w="1780" w:type="dxa"/>
            <w:vAlign w:val="bottom"/>
          </w:tcPr>
          <w:p w14:paraId="26C164E6" w14:textId="77777777" w:rsidR="00D1587D" w:rsidRDefault="00D1587D">
            <w:pPr>
              <w:rPr>
                <w:sz w:val="18"/>
                <w:szCs w:val="18"/>
              </w:rPr>
            </w:pPr>
          </w:p>
        </w:tc>
        <w:tc>
          <w:tcPr>
            <w:tcW w:w="4720" w:type="dxa"/>
            <w:vAlign w:val="bottom"/>
          </w:tcPr>
          <w:p w14:paraId="64488C5E" w14:textId="77777777" w:rsidR="00D1587D" w:rsidRDefault="00410D07">
            <w:pPr>
              <w:ind w:left="240"/>
              <w:rPr>
                <w:sz w:val="20"/>
                <w:szCs w:val="20"/>
              </w:rPr>
            </w:pPr>
            <w:r>
              <w:rPr>
                <w:rFonts w:ascii="Arial" w:eastAsia="Arial" w:hAnsi="Arial" w:cs="Arial"/>
                <w:sz w:val="18"/>
                <w:szCs w:val="18"/>
              </w:rPr>
              <w:t>Cayman</w:t>
            </w:r>
          </w:p>
        </w:tc>
      </w:tr>
      <w:tr w:rsidR="00D1587D" w14:paraId="51B38B85" w14:textId="77777777">
        <w:trPr>
          <w:trHeight w:val="216"/>
        </w:trPr>
        <w:tc>
          <w:tcPr>
            <w:tcW w:w="280" w:type="dxa"/>
            <w:vAlign w:val="bottom"/>
          </w:tcPr>
          <w:p w14:paraId="3476D2B2" w14:textId="77777777" w:rsidR="00D1587D" w:rsidRDefault="00410D07">
            <w:pPr>
              <w:rPr>
                <w:sz w:val="20"/>
                <w:szCs w:val="20"/>
              </w:rPr>
            </w:pPr>
            <w:r>
              <w:rPr>
                <w:rFonts w:ascii="Arial" w:eastAsia="Arial" w:hAnsi="Arial" w:cs="Arial"/>
                <w:sz w:val="18"/>
                <w:szCs w:val="18"/>
              </w:rPr>
              <w:t>13.</w:t>
            </w:r>
          </w:p>
        </w:tc>
        <w:tc>
          <w:tcPr>
            <w:tcW w:w="4460" w:type="dxa"/>
            <w:vAlign w:val="bottom"/>
          </w:tcPr>
          <w:p w14:paraId="4D7DBAD9" w14:textId="77777777" w:rsidR="00D1587D" w:rsidRDefault="00410D07">
            <w:pPr>
              <w:ind w:left="60"/>
              <w:rPr>
                <w:sz w:val="20"/>
                <w:szCs w:val="20"/>
              </w:rPr>
            </w:pPr>
            <w:r>
              <w:rPr>
                <w:rFonts w:ascii="Arial" w:eastAsia="Arial" w:hAnsi="Arial" w:cs="Arial"/>
                <w:sz w:val="18"/>
                <w:szCs w:val="18"/>
              </w:rPr>
              <w:t>Bond Street VS Limited</w:t>
            </w:r>
          </w:p>
        </w:tc>
        <w:tc>
          <w:tcPr>
            <w:tcW w:w="1780" w:type="dxa"/>
            <w:vAlign w:val="bottom"/>
          </w:tcPr>
          <w:p w14:paraId="6B75FBE8" w14:textId="77777777" w:rsidR="00D1587D" w:rsidRDefault="00D1587D">
            <w:pPr>
              <w:rPr>
                <w:sz w:val="18"/>
                <w:szCs w:val="18"/>
              </w:rPr>
            </w:pPr>
          </w:p>
        </w:tc>
        <w:tc>
          <w:tcPr>
            <w:tcW w:w="4720" w:type="dxa"/>
            <w:vAlign w:val="bottom"/>
          </w:tcPr>
          <w:p w14:paraId="284DF4C2" w14:textId="77777777" w:rsidR="00D1587D" w:rsidRDefault="00410D07">
            <w:pPr>
              <w:ind w:left="240"/>
              <w:rPr>
                <w:sz w:val="20"/>
                <w:szCs w:val="20"/>
              </w:rPr>
            </w:pPr>
            <w:r>
              <w:rPr>
                <w:rFonts w:ascii="Arial" w:eastAsia="Arial" w:hAnsi="Arial" w:cs="Arial"/>
                <w:sz w:val="18"/>
                <w:szCs w:val="18"/>
              </w:rPr>
              <w:t>United Kingdom</w:t>
            </w:r>
          </w:p>
        </w:tc>
      </w:tr>
      <w:tr w:rsidR="00D1587D" w14:paraId="5B57BBDF" w14:textId="77777777">
        <w:trPr>
          <w:trHeight w:val="216"/>
        </w:trPr>
        <w:tc>
          <w:tcPr>
            <w:tcW w:w="280" w:type="dxa"/>
            <w:vAlign w:val="bottom"/>
          </w:tcPr>
          <w:p w14:paraId="6FFC4D5F" w14:textId="77777777" w:rsidR="00D1587D" w:rsidRDefault="00410D07">
            <w:pPr>
              <w:rPr>
                <w:sz w:val="20"/>
                <w:szCs w:val="20"/>
              </w:rPr>
            </w:pPr>
            <w:r>
              <w:rPr>
                <w:rFonts w:ascii="Arial" w:eastAsia="Arial" w:hAnsi="Arial" w:cs="Arial"/>
                <w:sz w:val="18"/>
                <w:szCs w:val="18"/>
              </w:rPr>
              <w:t>14.</w:t>
            </w:r>
          </w:p>
        </w:tc>
        <w:tc>
          <w:tcPr>
            <w:tcW w:w="4460" w:type="dxa"/>
            <w:vAlign w:val="bottom"/>
          </w:tcPr>
          <w:p w14:paraId="3D313078" w14:textId="77777777" w:rsidR="00D1587D" w:rsidRDefault="00410D07">
            <w:pPr>
              <w:ind w:left="60"/>
              <w:rPr>
                <w:sz w:val="20"/>
                <w:szCs w:val="20"/>
              </w:rPr>
            </w:pPr>
            <w:r>
              <w:rPr>
                <w:rFonts w:ascii="Arial" w:eastAsia="Arial" w:hAnsi="Arial" w:cs="Arial"/>
                <w:sz w:val="18"/>
                <w:szCs w:val="18"/>
              </w:rPr>
              <w:t>Canadian Holdings S.á.r.l.</w:t>
            </w:r>
          </w:p>
        </w:tc>
        <w:tc>
          <w:tcPr>
            <w:tcW w:w="1780" w:type="dxa"/>
            <w:vAlign w:val="bottom"/>
          </w:tcPr>
          <w:p w14:paraId="231D4848" w14:textId="77777777" w:rsidR="00D1587D" w:rsidRDefault="00D1587D">
            <w:pPr>
              <w:rPr>
                <w:sz w:val="18"/>
                <w:szCs w:val="18"/>
              </w:rPr>
            </w:pPr>
          </w:p>
        </w:tc>
        <w:tc>
          <w:tcPr>
            <w:tcW w:w="4720" w:type="dxa"/>
            <w:vAlign w:val="bottom"/>
          </w:tcPr>
          <w:p w14:paraId="356AC015" w14:textId="77777777" w:rsidR="00D1587D" w:rsidRDefault="00410D07">
            <w:pPr>
              <w:ind w:left="240"/>
              <w:rPr>
                <w:sz w:val="20"/>
                <w:szCs w:val="20"/>
              </w:rPr>
            </w:pPr>
            <w:r>
              <w:rPr>
                <w:rFonts w:ascii="Arial" w:eastAsia="Arial" w:hAnsi="Arial" w:cs="Arial"/>
                <w:sz w:val="18"/>
                <w:szCs w:val="18"/>
              </w:rPr>
              <w:t>Luxembourg</w:t>
            </w:r>
          </w:p>
        </w:tc>
      </w:tr>
      <w:tr w:rsidR="00D1587D" w14:paraId="6697CBAA" w14:textId="77777777">
        <w:trPr>
          <w:trHeight w:val="216"/>
        </w:trPr>
        <w:tc>
          <w:tcPr>
            <w:tcW w:w="280" w:type="dxa"/>
            <w:vAlign w:val="bottom"/>
          </w:tcPr>
          <w:p w14:paraId="4FCF3679" w14:textId="77777777" w:rsidR="00D1587D" w:rsidRDefault="00410D07">
            <w:pPr>
              <w:rPr>
                <w:sz w:val="20"/>
                <w:szCs w:val="20"/>
              </w:rPr>
            </w:pPr>
            <w:r>
              <w:rPr>
                <w:rFonts w:ascii="Arial" w:eastAsia="Arial" w:hAnsi="Arial" w:cs="Arial"/>
                <w:sz w:val="18"/>
                <w:szCs w:val="18"/>
              </w:rPr>
              <w:t>15.</w:t>
            </w:r>
          </w:p>
        </w:tc>
        <w:tc>
          <w:tcPr>
            <w:tcW w:w="4460" w:type="dxa"/>
            <w:vAlign w:val="bottom"/>
          </w:tcPr>
          <w:p w14:paraId="5B699F57" w14:textId="77777777" w:rsidR="00D1587D" w:rsidRDefault="00410D07">
            <w:pPr>
              <w:ind w:left="60"/>
              <w:rPr>
                <w:sz w:val="20"/>
                <w:szCs w:val="20"/>
              </w:rPr>
            </w:pPr>
            <w:r>
              <w:rPr>
                <w:rFonts w:ascii="Arial" w:eastAsia="Arial" w:hAnsi="Arial" w:cs="Arial"/>
                <w:sz w:val="18"/>
                <w:szCs w:val="18"/>
              </w:rPr>
              <w:t>Distribution Center 456, LLC</w:t>
            </w:r>
          </w:p>
        </w:tc>
        <w:tc>
          <w:tcPr>
            <w:tcW w:w="1780" w:type="dxa"/>
            <w:vAlign w:val="bottom"/>
          </w:tcPr>
          <w:p w14:paraId="7E12AF35" w14:textId="77777777" w:rsidR="00D1587D" w:rsidRDefault="00D1587D">
            <w:pPr>
              <w:rPr>
                <w:sz w:val="18"/>
                <w:szCs w:val="18"/>
              </w:rPr>
            </w:pPr>
          </w:p>
        </w:tc>
        <w:tc>
          <w:tcPr>
            <w:tcW w:w="4720" w:type="dxa"/>
            <w:vAlign w:val="bottom"/>
          </w:tcPr>
          <w:p w14:paraId="2DD885F5" w14:textId="77777777" w:rsidR="00D1587D" w:rsidRDefault="00410D07">
            <w:pPr>
              <w:ind w:left="240"/>
              <w:rPr>
                <w:sz w:val="20"/>
                <w:szCs w:val="20"/>
              </w:rPr>
            </w:pPr>
            <w:r>
              <w:rPr>
                <w:rFonts w:ascii="Arial" w:eastAsia="Arial" w:hAnsi="Arial" w:cs="Arial"/>
                <w:sz w:val="18"/>
                <w:szCs w:val="18"/>
              </w:rPr>
              <w:t>United States</w:t>
            </w:r>
          </w:p>
        </w:tc>
      </w:tr>
      <w:tr w:rsidR="00D1587D" w14:paraId="04654DBF" w14:textId="77777777">
        <w:trPr>
          <w:trHeight w:val="216"/>
        </w:trPr>
        <w:tc>
          <w:tcPr>
            <w:tcW w:w="280" w:type="dxa"/>
            <w:vAlign w:val="bottom"/>
          </w:tcPr>
          <w:p w14:paraId="686D136B" w14:textId="77777777" w:rsidR="00D1587D" w:rsidRDefault="00410D07">
            <w:pPr>
              <w:rPr>
                <w:sz w:val="20"/>
                <w:szCs w:val="20"/>
              </w:rPr>
            </w:pPr>
            <w:r>
              <w:rPr>
                <w:rFonts w:ascii="Arial" w:eastAsia="Arial" w:hAnsi="Arial" w:cs="Arial"/>
                <w:sz w:val="18"/>
                <w:szCs w:val="18"/>
              </w:rPr>
              <w:t>16.</w:t>
            </w:r>
          </w:p>
        </w:tc>
        <w:tc>
          <w:tcPr>
            <w:tcW w:w="4460" w:type="dxa"/>
            <w:vAlign w:val="bottom"/>
          </w:tcPr>
          <w:p w14:paraId="3B8EE7D5" w14:textId="77777777" w:rsidR="00D1587D" w:rsidRDefault="00410D07">
            <w:pPr>
              <w:ind w:left="60"/>
              <w:rPr>
                <w:sz w:val="20"/>
                <w:szCs w:val="20"/>
              </w:rPr>
            </w:pPr>
            <w:r>
              <w:rPr>
                <w:rFonts w:ascii="Arial" w:eastAsia="Arial" w:hAnsi="Arial" w:cs="Arial"/>
                <w:sz w:val="18"/>
                <w:szCs w:val="18"/>
              </w:rPr>
              <w:t>Far West Factoring, LLC</w:t>
            </w:r>
          </w:p>
        </w:tc>
        <w:tc>
          <w:tcPr>
            <w:tcW w:w="1780" w:type="dxa"/>
            <w:vAlign w:val="bottom"/>
          </w:tcPr>
          <w:p w14:paraId="7460A8CC" w14:textId="77777777" w:rsidR="00D1587D" w:rsidRDefault="00D1587D">
            <w:pPr>
              <w:rPr>
                <w:sz w:val="18"/>
                <w:szCs w:val="18"/>
              </w:rPr>
            </w:pPr>
          </w:p>
        </w:tc>
        <w:tc>
          <w:tcPr>
            <w:tcW w:w="4720" w:type="dxa"/>
            <w:vAlign w:val="bottom"/>
          </w:tcPr>
          <w:p w14:paraId="3B3892D2" w14:textId="77777777" w:rsidR="00D1587D" w:rsidRDefault="00410D07">
            <w:pPr>
              <w:ind w:left="240"/>
              <w:rPr>
                <w:sz w:val="20"/>
                <w:szCs w:val="20"/>
              </w:rPr>
            </w:pPr>
            <w:r>
              <w:rPr>
                <w:rFonts w:ascii="Arial" w:eastAsia="Arial" w:hAnsi="Arial" w:cs="Arial"/>
                <w:sz w:val="18"/>
                <w:szCs w:val="18"/>
              </w:rPr>
              <w:t>Nevada, United States</w:t>
            </w:r>
          </w:p>
        </w:tc>
      </w:tr>
      <w:tr w:rsidR="00D1587D" w14:paraId="11964D86" w14:textId="77777777">
        <w:trPr>
          <w:trHeight w:val="216"/>
        </w:trPr>
        <w:tc>
          <w:tcPr>
            <w:tcW w:w="280" w:type="dxa"/>
            <w:vAlign w:val="bottom"/>
          </w:tcPr>
          <w:p w14:paraId="3D64487E" w14:textId="77777777" w:rsidR="00D1587D" w:rsidRDefault="00410D07">
            <w:pPr>
              <w:rPr>
                <w:sz w:val="20"/>
                <w:szCs w:val="20"/>
              </w:rPr>
            </w:pPr>
            <w:r>
              <w:rPr>
                <w:rFonts w:ascii="Arial" w:eastAsia="Arial" w:hAnsi="Arial" w:cs="Arial"/>
                <w:sz w:val="18"/>
                <w:szCs w:val="18"/>
              </w:rPr>
              <w:t>17.</w:t>
            </w:r>
          </w:p>
        </w:tc>
        <w:tc>
          <w:tcPr>
            <w:tcW w:w="4460" w:type="dxa"/>
            <w:vAlign w:val="bottom"/>
          </w:tcPr>
          <w:p w14:paraId="4B3DD4C7" w14:textId="77777777" w:rsidR="00D1587D" w:rsidRDefault="00410D07">
            <w:pPr>
              <w:ind w:left="60"/>
              <w:rPr>
                <w:sz w:val="20"/>
                <w:szCs w:val="20"/>
              </w:rPr>
            </w:pPr>
            <w:r>
              <w:rPr>
                <w:rFonts w:ascii="Arial" w:eastAsia="Arial" w:hAnsi="Arial" w:cs="Arial"/>
                <w:sz w:val="18"/>
                <w:szCs w:val="18"/>
              </w:rPr>
              <w:t>FLL Holding, LLC</w:t>
            </w:r>
          </w:p>
        </w:tc>
        <w:tc>
          <w:tcPr>
            <w:tcW w:w="1780" w:type="dxa"/>
            <w:vAlign w:val="bottom"/>
          </w:tcPr>
          <w:p w14:paraId="1E18A951" w14:textId="77777777" w:rsidR="00D1587D" w:rsidRDefault="00D1587D">
            <w:pPr>
              <w:rPr>
                <w:sz w:val="18"/>
                <w:szCs w:val="18"/>
              </w:rPr>
            </w:pPr>
          </w:p>
        </w:tc>
        <w:tc>
          <w:tcPr>
            <w:tcW w:w="4720" w:type="dxa"/>
            <w:vAlign w:val="bottom"/>
          </w:tcPr>
          <w:p w14:paraId="332445CB" w14:textId="77777777" w:rsidR="00D1587D" w:rsidRDefault="00410D07">
            <w:pPr>
              <w:ind w:left="240"/>
              <w:rPr>
                <w:sz w:val="20"/>
                <w:szCs w:val="20"/>
              </w:rPr>
            </w:pPr>
            <w:r>
              <w:rPr>
                <w:rFonts w:ascii="Arial" w:eastAsia="Arial" w:hAnsi="Arial" w:cs="Arial"/>
                <w:sz w:val="18"/>
                <w:szCs w:val="18"/>
              </w:rPr>
              <w:t xml:space="preserve">Delaware, United </w:t>
            </w:r>
            <w:r>
              <w:rPr>
                <w:rFonts w:ascii="Arial" w:eastAsia="Arial" w:hAnsi="Arial" w:cs="Arial"/>
                <w:sz w:val="18"/>
                <w:szCs w:val="18"/>
              </w:rPr>
              <w:t>States</w:t>
            </w:r>
          </w:p>
        </w:tc>
      </w:tr>
      <w:tr w:rsidR="00D1587D" w14:paraId="44BEA658" w14:textId="77777777">
        <w:trPr>
          <w:trHeight w:val="216"/>
        </w:trPr>
        <w:tc>
          <w:tcPr>
            <w:tcW w:w="280" w:type="dxa"/>
            <w:vAlign w:val="bottom"/>
          </w:tcPr>
          <w:p w14:paraId="4E28B9D0" w14:textId="77777777" w:rsidR="00D1587D" w:rsidRDefault="00410D07">
            <w:pPr>
              <w:rPr>
                <w:sz w:val="20"/>
                <w:szCs w:val="20"/>
              </w:rPr>
            </w:pPr>
            <w:r>
              <w:rPr>
                <w:rFonts w:ascii="Arial" w:eastAsia="Arial" w:hAnsi="Arial" w:cs="Arial"/>
                <w:sz w:val="18"/>
                <w:szCs w:val="18"/>
              </w:rPr>
              <w:t>18.</w:t>
            </w:r>
          </w:p>
        </w:tc>
        <w:tc>
          <w:tcPr>
            <w:tcW w:w="4460" w:type="dxa"/>
            <w:vAlign w:val="bottom"/>
          </w:tcPr>
          <w:p w14:paraId="0B6D39E1" w14:textId="77777777" w:rsidR="00D1587D" w:rsidRDefault="00410D07">
            <w:pPr>
              <w:ind w:left="60"/>
              <w:rPr>
                <w:sz w:val="20"/>
                <w:szCs w:val="20"/>
              </w:rPr>
            </w:pPr>
            <w:r>
              <w:rPr>
                <w:rFonts w:ascii="Arial" w:eastAsia="Arial" w:hAnsi="Arial" w:cs="Arial"/>
                <w:sz w:val="18"/>
                <w:szCs w:val="18"/>
              </w:rPr>
              <w:t>IB US Retail Holdings, Inc.</w:t>
            </w:r>
          </w:p>
        </w:tc>
        <w:tc>
          <w:tcPr>
            <w:tcW w:w="1780" w:type="dxa"/>
            <w:vAlign w:val="bottom"/>
          </w:tcPr>
          <w:p w14:paraId="785233FE" w14:textId="77777777" w:rsidR="00D1587D" w:rsidRDefault="00D1587D">
            <w:pPr>
              <w:rPr>
                <w:sz w:val="18"/>
                <w:szCs w:val="18"/>
              </w:rPr>
            </w:pPr>
          </w:p>
        </w:tc>
        <w:tc>
          <w:tcPr>
            <w:tcW w:w="4720" w:type="dxa"/>
            <w:vAlign w:val="bottom"/>
          </w:tcPr>
          <w:p w14:paraId="04A18D84" w14:textId="77777777" w:rsidR="00D1587D" w:rsidRDefault="00410D07">
            <w:pPr>
              <w:ind w:left="240"/>
              <w:rPr>
                <w:sz w:val="20"/>
                <w:szCs w:val="20"/>
              </w:rPr>
            </w:pPr>
            <w:r>
              <w:rPr>
                <w:rFonts w:ascii="Arial" w:eastAsia="Arial" w:hAnsi="Arial" w:cs="Arial"/>
                <w:sz w:val="18"/>
                <w:szCs w:val="18"/>
              </w:rPr>
              <w:t>Delaware, United States</w:t>
            </w:r>
          </w:p>
        </w:tc>
      </w:tr>
      <w:tr w:rsidR="00D1587D" w14:paraId="7414A46D" w14:textId="77777777">
        <w:trPr>
          <w:trHeight w:val="216"/>
        </w:trPr>
        <w:tc>
          <w:tcPr>
            <w:tcW w:w="280" w:type="dxa"/>
            <w:vAlign w:val="bottom"/>
          </w:tcPr>
          <w:p w14:paraId="610049F2" w14:textId="77777777" w:rsidR="00D1587D" w:rsidRDefault="00410D07">
            <w:pPr>
              <w:rPr>
                <w:sz w:val="20"/>
                <w:szCs w:val="20"/>
              </w:rPr>
            </w:pPr>
            <w:r>
              <w:rPr>
                <w:rFonts w:ascii="Arial" w:eastAsia="Arial" w:hAnsi="Arial" w:cs="Arial"/>
                <w:sz w:val="18"/>
                <w:szCs w:val="18"/>
              </w:rPr>
              <w:t>19.</w:t>
            </w:r>
          </w:p>
        </w:tc>
        <w:tc>
          <w:tcPr>
            <w:tcW w:w="4460" w:type="dxa"/>
            <w:vAlign w:val="bottom"/>
          </w:tcPr>
          <w:p w14:paraId="6321A9CB" w14:textId="77777777" w:rsidR="00D1587D" w:rsidRDefault="00410D07">
            <w:pPr>
              <w:ind w:left="60"/>
              <w:rPr>
                <w:sz w:val="20"/>
                <w:szCs w:val="20"/>
              </w:rPr>
            </w:pPr>
            <w:r>
              <w:rPr>
                <w:rFonts w:ascii="Arial" w:eastAsia="Arial" w:hAnsi="Arial" w:cs="Arial"/>
                <w:sz w:val="18"/>
                <w:szCs w:val="18"/>
              </w:rPr>
              <w:t>Independent Production Services Brazil Ltda.</w:t>
            </w:r>
          </w:p>
        </w:tc>
        <w:tc>
          <w:tcPr>
            <w:tcW w:w="1780" w:type="dxa"/>
            <w:vAlign w:val="bottom"/>
          </w:tcPr>
          <w:p w14:paraId="1D7BCBA2" w14:textId="77777777" w:rsidR="00D1587D" w:rsidRDefault="00D1587D">
            <w:pPr>
              <w:rPr>
                <w:sz w:val="18"/>
                <w:szCs w:val="18"/>
              </w:rPr>
            </w:pPr>
          </w:p>
        </w:tc>
        <w:tc>
          <w:tcPr>
            <w:tcW w:w="4720" w:type="dxa"/>
            <w:vAlign w:val="bottom"/>
          </w:tcPr>
          <w:p w14:paraId="313FB522" w14:textId="77777777" w:rsidR="00D1587D" w:rsidRDefault="00410D07">
            <w:pPr>
              <w:ind w:left="240"/>
              <w:rPr>
                <w:sz w:val="20"/>
                <w:szCs w:val="20"/>
              </w:rPr>
            </w:pPr>
            <w:r>
              <w:rPr>
                <w:rFonts w:ascii="Arial" w:eastAsia="Arial" w:hAnsi="Arial" w:cs="Arial"/>
                <w:sz w:val="18"/>
                <w:szCs w:val="18"/>
              </w:rPr>
              <w:t>Brazil</w:t>
            </w:r>
          </w:p>
        </w:tc>
      </w:tr>
      <w:tr w:rsidR="00D1587D" w14:paraId="1106A901" w14:textId="77777777">
        <w:trPr>
          <w:trHeight w:val="216"/>
        </w:trPr>
        <w:tc>
          <w:tcPr>
            <w:tcW w:w="280" w:type="dxa"/>
            <w:vAlign w:val="bottom"/>
          </w:tcPr>
          <w:p w14:paraId="56F4E9F3" w14:textId="77777777" w:rsidR="00D1587D" w:rsidRDefault="00410D07">
            <w:pPr>
              <w:rPr>
                <w:sz w:val="20"/>
                <w:szCs w:val="20"/>
              </w:rPr>
            </w:pPr>
            <w:r>
              <w:rPr>
                <w:rFonts w:ascii="Arial" w:eastAsia="Arial" w:hAnsi="Arial" w:cs="Arial"/>
                <w:sz w:val="18"/>
                <w:szCs w:val="18"/>
              </w:rPr>
              <w:t>20.</w:t>
            </w:r>
          </w:p>
        </w:tc>
        <w:tc>
          <w:tcPr>
            <w:tcW w:w="4460" w:type="dxa"/>
            <w:vAlign w:val="bottom"/>
          </w:tcPr>
          <w:p w14:paraId="0CBFEEF7" w14:textId="77777777" w:rsidR="00D1587D" w:rsidRDefault="00410D07">
            <w:pPr>
              <w:ind w:left="60"/>
              <w:rPr>
                <w:sz w:val="20"/>
                <w:szCs w:val="20"/>
              </w:rPr>
            </w:pPr>
            <w:r>
              <w:rPr>
                <w:rFonts w:ascii="Arial" w:eastAsia="Arial" w:hAnsi="Arial" w:cs="Arial"/>
                <w:sz w:val="18"/>
                <w:szCs w:val="18"/>
              </w:rPr>
              <w:t>Independent Production Services, LLC</w:t>
            </w:r>
          </w:p>
        </w:tc>
        <w:tc>
          <w:tcPr>
            <w:tcW w:w="1780" w:type="dxa"/>
            <w:vAlign w:val="bottom"/>
          </w:tcPr>
          <w:p w14:paraId="3A3F2B7C" w14:textId="77777777" w:rsidR="00D1587D" w:rsidRDefault="00D1587D">
            <w:pPr>
              <w:rPr>
                <w:sz w:val="18"/>
                <w:szCs w:val="18"/>
              </w:rPr>
            </w:pPr>
          </w:p>
        </w:tc>
        <w:tc>
          <w:tcPr>
            <w:tcW w:w="4720" w:type="dxa"/>
            <w:vAlign w:val="bottom"/>
          </w:tcPr>
          <w:p w14:paraId="2473FEE7" w14:textId="77777777" w:rsidR="00D1587D" w:rsidRDefault="00410D07">
            <w:pPr>
              <w:ind w:left="240"/>
              <w:rPr>
                <w:sz w:val="20"/>
                <w:szCs w:val="20"/>
              </w:rPr>
            </w:pPr>
            <w:r>
              <w:rPr>
                <w:rFonts w:ascii="Arial" w:eastAsia="Arial" w:hAnsi="Arial" w:cs="Arial"/>
                <w:sz w:val="18"/>
                <w:szCs w:val="18"/>
              </w:rPr>
              <w:t>Delaware, United States</w:t>
            </w:r>
          </w:p>
        </w:tc>
      </w:tr>
      <w:tr w:rsidR="00D1587D" w14:paraId="7929B485" w14:textId="77777777">
        <w:trPr>
          <w:trHeight w:val="216"/>
        </w:trPr>
        <w:tc>
          <w:tcPr>
            <w:tcW w:w="280" w:type="dxa"/>
            <w:vAlign w:val="bottom"/>
          </w:tcPr>
          <w:p w14:paraId="478E50F9" w14:textId="77777777" w:rsidR="00D1587D" w:rsidRDefault="00410D07">
            <w:pPr>
              <w:rPr>
                <w:sz w:val="20"/>
                <w:szCs w:val="20"/>
              </w:rPr>
            </w:pPr>
            <w:r>
              <w:rPr>
                <w:rFonts w:ascii="Arial" w:eastAsia="Arial" w:hAnsi="Arial" w:cs="Arial"/>
                <w:sz w:val="18"/>
                <w:szCs w:val="18"/>
              </w:rPr>
              <w:t>21.</w:t>
            </w:r>
          </w:p>
        </w:tc>
        <w:tc>
          <w:tcPr>
            <w:tcW w:w="4460" w:type="dxa"/>
            <w:vAlign w:val="bottom"/>
          </w:tcPr>
          <w:p w14:paraId="39C5307B" w14:textId="77777777" w:rsidR="00D1587D" w:rsidRDefault="00410D07">
            <w:pPr>
              <w:ind w:left="60"/>
              <w:rPr>
                <w:sz w:val="20"/>
                <w:szCs w:val="20"/>
              </w:rPr>
            </w:pPr>
            <w:r>
              <w:rPr>
                <w:rFonts w:ascii="Arial" w:eastAsia="Arial" w:hAnsi="Arial" w:cs="Arial"/>
                <w:sz w:val="18"/>
                <w:szCs w:val="18"/>
              </w:rPr>
              <w:t>Intimate Apparel Brand Management GP, LLC</w:t>
            </w:r>
          </w:p>
        </w:tc>
        <w:tc>
          <w:tcPr>
            <w:tcW w:w="1780" w:type="dxa"/>
            <w:vAlign w:val="bottom"/>
          </w:tcPr>
          <w:p w14:paraId="5CE1B839" w14:textId="77777777" w:rsidR="00D1587D" w:rsidRDefault="00D1587D">
            <w:pPr>
              <w:rPr>
                <w:sz w:val="18"/>
                <w:szCs w:val="18"/>
              </w:rPr>
            </w:pPr>
          </w:p>
        </w:tc>
        <w:tc>
          <w:tcPr>
            <w:tcW w:w="4720" w:type="dxa"/>
            <w:vAlign w:val="bottom"/>
          </w:tcPr>
          <w:p w14:paraId="5A653EDE" w14:textId="77777777" w:rsidR="00D1587D" w:rsidRDefault="00410D07">
            <w:pPr>
              <w:ind w:left="240"/>
              <w:rPr>
                <w:sz w:val="20"/>
                <w:szCs w:val="20"/>
              </w:rPr>
            </w:pPr>
            <w:r>
              <w:rPr>
                <w:rFonts w:ascii="Arial" w:eastAsia="Arial" w:hAnsi="Arial" w:cs="Arial"/>
                <w:sz w:val="18"/>
                <w:szCs w:val="18"/>
              </w:rPr>
              <w:t xml:space="preserve">Delaware, </w:t>
            </w:r>
            <w:r>
              <w:rPr>
                <w:rFonts w:ascii="Arial" w:eastAsia="Arial" w:hAnsi="Arial" w:cs="Arial"/>
                <w:sz w:val="18"/>
                <w:szCs w:val="18"/>
              </w:rPr>
              <w:t>United States</w:t>
            </w:r>
          </w:p>
        </w:tc>
      </w:tr>
      <w:tr w:rsidR="00D1587D" w14:paraId="2D26F6C8" w14:textId="77777777">
        <w:trPr>
          <w:trHeight w:val="216"/>
        </w:trPr>
        <w:tc>
          <w:tcPr>
            <w:tcW w:w="280" w:type="dxa"/>
            <w:vAlign w:val="bottom"/>
          </w:tcPr>
          <w:p w14:paraId="4FFF4568" w14:textId="77777777" w:rsidR="00D1587D" w:rsidRDefault="00410D07">
            <w:pPr>
              <w:rPr>
                <w:sz w:val="20"/>
                <w:szCs w:val="20"/>
              </w:rPr>
            </w:pPr>
            <w:r>
              <w:rPr>
                <w:rFonts w:ascii="Arial" w:eastAsia="Arial" w:hAnsi="Arial" w:cs="Arial"/>
                <w:sz w:val="18"/>
                <w:szCs w:val="18"/>
              </w:rPr>
              <w:t>22.</w:t>
            </w:r>
          </w:p>
        </w:tc>
        <w:tc>
          <w:tcPr>
            <w:tcW w:w="4460" w:type="dxa"/>
            <w:vAlign w:val="bottom"/>
          </w:tcPr>
          <w:p w14:paraId="0F1680A0" w14:textId="77777777" w:rsidR="00D1587D" w:rsidRDefault="00410D07">
            <w:pPr>
              <w:ind w:left="60"/>
              <w:rPr>
                <w:sz w:val="20"/>
                <w:szCs w:val="20"/>
              </w:rPr>
            </w:pPr>
            <w:r>
              <w:rPr>
                <w:rFonts w:ascii="Arial" w:eastAsia="Arial" w:hAnsi="Arial" w:cs="Arial"/>
                <w:sz w:val="18"/>
                <w:szCs w:val="18"/>
              </w:rPr>
              <w:t>Intimate Apparel Brand Management, LP</w:t>
            </w:r>
          </w:p>
        </w:tc>
        <w:tc>
          <w:tcPr>
            <w:tcW w:w="1780" w:type="dxa"/>
            <w:vAlign w:val="bottom"/>
          </w:tcPr>
          <w:p w14:paraId="6D51256E" w14:textId="77777777" w:rsidR="00D1587D" w:rsidRDefault="00D1587D">
            <w:pPr>
              <w:rPr>
                <w:sz w:val="18"/>
                <w:szCs w:val="18"/>
              </w:rPr>
            </w:pPr>
          </w:p>
        </w:tc>
        <w:tc>
          <w:tcPr>
            <w:tcW w:w="4720" w:type="dxa"/>
            <w:vAlign w:val="bottom"/>
          </w:tcPr>
          <w:p w14:paraId="5D15ECB6" w14:textId="77777777" w:rsidR="00D1587D" w:rsidRDefault="00410D07">
            <w:pPr>
              <w:ind w:left="240"/>
              <w:rPr>
                <w:sz w:val="20"/>
                <w:szCs w:val="20"/>
              </w:rPr>
            </w:pPr>
            <w:r>
              <w:rPr>
                <w:rFonts w:ascii="Arial" w:eastAsia="Arial" w:hAnsi="Arial" w:cs="Arial"/>
                <w:sz w:val="18"/>
                <w:szCs w:val="18"/>
              </w:rPr>
              <w:t>United States</w:t>
            </w:r>
          </w:p>
        </w:tc>
      </w:tr>
      <w:tr w:rsidR="00D1587D" w14:paraId="28651367" w14:textId="77777777">
        <w:trPr>
          <w:trHeight w:val="216"/>
        </w:trPr>
        <w:tc>
          <w:tcPr>
            <w:tcW w:w="280" w:type="dxa"/>
            <w:vAlign w:val="bottom"/>
          </w:tcPr>
          <w:p w14:paraId="4AD62960" w14:textId="77777777" w:rsidR="00D1587D" w:rsidRDefault="00410D07">
            <w:pPr>
              <w:rPr>
                <w:sz w:val="20"/>
                <w:szCs w:val="20"/>
              </w:rPr>
            </w:pPr>
            <w:r>
              <w:rPr>
                <w:rFonts w:ascii="Arial" w:eastAsia="Arial" w:hAnsi="Arial" w:cs="Arial"/>
                <w:sz w:val="18"/>
                <w:szCs w:val="18"/>
              </w:rPr>
              <w:t>23.</w:t>
            </w:r>
          </w:p>
        </w:tc>
        <w:tc>
          <w:tcPr>
            <w:tcW w:w="4460" w:type="dxa"/>
            <w:vAlign w:val="bottom"/>
          </w:tcPr>
          <w:p w14:paraId="14FE3619" w14:textId="77777777" w:rsidR="00D1587D" w:rsidRDefault="00410D07">
            <w:pPr>
              <w:ind w:left="60"/>
              <w:rPr>
                <w:sz w:val="20"/>
                <w:szCs w:val="20"/>
              </w:rPr>
            </w:pPr>
            <w:r>
              <w:rPr>
                <w:rFonts w:ascii="Arial" w:eastAsia="Arial" w:hAnsi="Arial" w:cs="Arial"/>
                <w:sz w:val="18"/>
                <w:szCs w:val="18"/>
              </w:rPr>
              <w:t>L Brands China Holdings S.á.r.l.</w:t>
            </w:r>
          </w:p>
        </w:tc>
        <w:tc>
          <w:tcPr>
            <w:tcW w:w="1780" w:type="dxa"/>
            <w:vAlign w:val="bottom"/>
          </w:tcPr>
          <w:p w14:paraId="776E17F9" w14:textId="77777777" w:rsidR="00D1587D" w:rsidRDefault="00D1587D">
            <w:pPr>
              <w:rPr>
                <w:sz w:val="18"/>
                <w:szCs w:val="18"/>
              </w:rPr>
            </w:pPr>
          </w:p>
        </w:tc>
        <w:tc>
          <w:tcPr>
            <w:tcW w:w="4720" w:type="dxa"/>
            <w:vAlign w:val="bottom"/>
          </w:tcPr>
          <w:p w14:paraId="559AA2D1" w14:textId="77777777" w:rsidR="00D1587D" w:rsidRDefault="00410D07">
            <w:pPr>
              <w:ind w:left="240"/>
              <w:rPr>
                <w:sz w:val="20"/>
                <w:szCs w:val="20"/>
              </w:rPr>
            </w:pPr>
            <w:r>
              <w:rPr>
                <w:rFonts w:ascii="Arial" w:eastAsia="Arial" w:hAnsi="Arial" w:cs="Arial"/>
                <w:sz w:val="18"/>
                <w:szCs w:val="18"/>
              </w:rPr>
              <w:t>Luxembourg</w:t>
            </w:r>
          </w:p>
        </w:tc>
      </w:tr>
      <w:tr w:rsidR="00D1587D" w14:paraId="1B09CC6F" w14:textId="77777777">
        <w:trPr>
          <w:trHeight w:val="216"/>
        </w:trPr>
        <w:tc>
          <w:tcPr>
            <w:tcW w:w="280" w:type="dxa"/>
            <w:vAlign w:val="bottom"/>
          </w:tcPr>
          <w:p w14:paraId="48A62A56" w14:textId="77777777" w:rsidR="00D1587D" w:rsidRDefault="00410D07">
            <w:pPr>
              <w:rPr>
                <w:sz w:val="20"/>
                <w:szCs w:val="20"/>
              </w:rPr>
            </w:pPr>
            <w:r>
              <w:rPr>
                <w:rFonts w:ascii="Arial" w:eastAsia="Arial" w:hAnsi="Arial" w:cs="Arial"/>
                <w:sz w:val="18"/>
                <w:szCs w:val="18"/>
              </w:rPr>
              <w:t>24.</w:t>
            </w:r>
          </w:p>
        </w:tc>
        <w:tc>
          <w:tcPr>
            <w:tcW w:w="4460" w:type="dxa"/>
            <w:vAlign w:val="bottom"/>
          </w:tcPr>
          <w:p w14:paraId="29B30FDE" w14:textId="77777777" w:rsidR="00D1587D" w:rsidRDefault="00410D07">
            <w:pPr>
              <w:ind w:left="60"/>
              <w:rPr>
                <w:sz w:val="20"/>
                <w:szCs w:val="20"/>
              </w:rPr>
            </w:pPr>
            <w:r>
              <w:rPr>
                <w:rFonts w:ascii="Arial" w:eastAsia="Arial" w:hAnsi="Arial" w:cs="Arial"/>
                <w:sz w:val="18"/>
                <w:szCs w:val="18"/>
              </w:rPr>
              <w:t>L Brands Direct Media Production, Inc.</w:t>
            </w:r>
          </w:p>
        </w:tc>
        <w:tc>
          <w:tcPr>
            <w:tcW w:w="1780" w:type="dxa"/>
            <w:vAlign w:val="bottom"/>
          </w:tcPr>
          <w:p w14:paraId="55747D55" w14:textId="77777777" w:rsidR="00D1587D" w:rsidRDefault="00D1587D">
            <w:pPr>
              <w:rPr>
                <w:sz w:val="18"/>
                <w:szCs w:val="18"/>
              </w:rPr>
            </w:pPr>
          </w:p>
        </w:tc>
        <w:tc>
          <w:tcPr>
            <w:tcW w:w="4720" w:type="dxa"/>
            <w:vAlign w:val="bottom"/>
          </w:tcPr>
          <w:p w14:paraId="70F8FCDE" w14:textId="77777777" w:rsidR="00D1587D" w:rsidRDefault="00410D07">
            <w:pPr>
              <w:ind w:left="240"/>
              <w:rPr>
                <w:sz w:val="20"/>
                <w:szCs w:val="20"/>
              </w:rPr>
            </w:pPr>
            <w:r>
              <w:rPr>
                <w:rFonts w:ascii="Arial" w:eastAsia="Arial" w:hAnsi="Arial" w:cs="Arial"/>
                <w:sz w:val="18"/>
                <w:szCs w:val="18"/>
              </w:rPr>
              <w:t>Delaware, United States</w:t>
            </w:r>
          </w:p>
        </w:tc>
      </w:tr>
      <w:tr w:rsidR="00D1587D" w14:paraId="396FDB37" w14:textId="77777777">
        <w:trPr>
          <w:trHeight w:val="216"/>
        </w:trPr>
        <w:tc>
          <w:tcPr>
            <w:tcW w:w="280" w:type="dxa"/>
            <w:vAlign w:val="bottom"/>
          </w:tcPr>
          <w:p w14:paraId="61F4747F" w14:textId="77777777" w:rsidR="00D1587D" w:rsidRDefault="00410D07">
            <w:pPr>
              <w:rPr>
                <w:sz w:val="20"/>
                <w:szCs w:val="20"/>
              </w:rPr>
            </w:pPr>
            <w:r>
              <w:rPr>
                <w:rFonts w:ascii="Arial" w:eastAsia="Arial" w:hAnsi="Arial" w:cs="Arial"/>
                <w:sz w:val="18"/>
                <w:szCs w:val="18"/>
              </w:rPr>
              <w:t>25.</w:t>
            </w:r>
          </w:p>
        </w:tc>
        <w:tc>
          <w:tcPr>
            <w:tcW w:w="4460" w:type="dxa"/>
            <w:vAlign w:val="bottom"/>
          </w:tcPr>
          <w:p w14:paraId="7A26127C" w14:textId="77777777" w:rsidR="00D1587D" w:rsidRDefault="00410D07">
            <w:pPr>
              <w:ind w:left="60"/>
              <w:rPr>
                <w:sz w:val="20"/>
                <w:szCs w:val="20"/>
              </w:rPr>
            </w:pPr>
            <w:r>
              <w:rPr>
                <w:rFonts w:ascii="Arial" w:eastAsia="Arial" w:hAnsi="Arial" w:cs="Arial"/>
                <w:sz w:val="18"/>
                <w:szCs w:val="18"/>
              </w:rPr>
              <w:t>L Brands Direct Fulfillment, LLC</w:t>
            </w:r>
          </w:p>
        </w:tc>
        <w:tc>
          <w:tcPr>
            <w:tcW w:w="1780" w:type="dxa"/>
            <w:vAlign w:val="bottom"/>
          </w:tcPr>
          <w:p w14:paraId="21A023E6" w14:textId="77777777" w:rsidR="00D1587D" w:rsidRDefault="00D1587D">
            <w:pPr>
              <w:rPr>
                <w:sz w:val="18"/>
                <w:szCs w:val="18"/>
              </w:rPr>
            </w:pPr>
          </w:p>
        </w:tc>
        <w:tc>
          <w:tcPr>
            <w:tcW w:w="4720" w:type="dxa"/>
            <w:vAlign w:val="bottom"/>
          </w:tcPr>
          <w:p w14:paraId="178DE3FB" w14:textId="77777777" w:rsidR="00D1587D" w:rsidRDefault="00410D07">
            <w:pPr>
              <w:ind w:left="240"/>
              <w:rPr>
                <w:sz w:val="20"/>
                <w:szCs w:val="20"/>
              </w:rPr>
            </w:pPr>
            <w:r>
              <w:rPr>
                <w:rFonts w:ascii="Arial" w:eastAsia="Arial" w:hAnsi="Arial" w:cs="Arial"/>
                <w:sz w:val="18"/>
                <w:szCs w:val="18"/>
              </w:rPr>
              <w:t xml:space="preserve">Delaware, United </w:t>
            </w:r>
            <w:r>
              <w:rPr>
                <w:rFonts w:ascii="Arial" w:eastAsia="Arial" w:hAnsi="Arial" w:cs="Arial"/>
                <w:sz w:val="18"/>
                <w:szCs w:val="18"/>
              </w:rPr>
              <w:t>States</w:t>
            </w:r>
          </w:p>
        </w:tc>
      </w:tr>
      <w:tr w:rsidR="00D1587D" w14:paraId="0E981F0C" w14:textId="77777777">
        <w:trPr>
          <w:trHeight w:val="216"/>
        </w:trPr>
        <w:tc>
          <w:tcPr>
            <w:tcW w:w="280" w:type="dxa"/>
            <w:vAlign w:val="bottom"/>
          </w:tcPr>
          <w:p w14:paraId="1339AE51" w14:textId="77777777" w:rsidR="00D1587D" w:rsidRDefault="00410D07">
            <w:pPr>
              <w:rPr>
                <w:sz w:val="20"/>
                <w:szCs w:val="20"/>
              </w:rPr>
            </w:pPr>
            <w:r>
              <w:rPr>
                <w:rFonts w:ascii="Arial" w:eastAsia="Arial" w:hAnsi="Arial" w:cs="Arial"/>
                <w:sz w:val="18"/>
                <w:szCs w:val="18"/>
              </w:rPr>
              <w:t>26.</w:t>
            </w:r>
          </w:p>
        </w:tc>
        <w:tc>
          <w:tcPr>
            <w:tcW w:w="4460" w:type="dxa"/>
            <w:vAlign w:val="bottom"/>
          </w:tcPr>
          <w:p w14:paraId="26E10B08" w14:textId="77777777" w:rsidR="00D1587D" w:rsidRDefault="00410D07">
            <w:pPr>
              <w:ind w:left="60"/>
              <w:rPr>
                <w:sz w:val="20"/>
                <w:szCs w:val="20"/>
              </w:rPr>
            </w:pPr>
            <w:r>
              <w:rPr>
                <w:rFonts w:ascii="Arial" w:eastAsia="Arial" w:hAnsi="Arial" w:cs="Arial"/>
                <w:sz w:val="18"/>
                <w:szCs w:val="18"/>
              </w:rPr>
              <w:t>L Brands Fashion Retail Ireland Limited</w:t>
            </w:r>
          </w:p>
        </w:tc>
        <w:tc>
          <w:tcPr>
            <w:tcW w:w="1780" w:type="dxa"/>
            <w:vAlign w:val="bottom"/>
          </w:tcPr>
          <w:p w14:paraId="2270EED3" w14:textId="77777777" w:rsidR="00D1587D" w:rsidRDefault="00D1587D">
            <w:pPr>
              <w:rPr>
                <w:sz w:val="18"/>
                <w:szCs w:val="18"/>
              </w:rPr>
            </w:pPr>
          </w:p>
        </w:tc>
        <w:tc>
          <w:tcPr>
            <w:tcW w:w="4720" w:type="dxa"/>
            <w:vAlign w:val="bottom"/>
          </w:tcPr>
          <w:p w14:paraId="6186E1FA" w14:textId="77777777" w:rsidR="00D1587D" w:rsidRDefault="00410D07">
            <w:pPr>
              <w:ind w:left="240"/>
              <w:rPr>
                <w:sz w:val="20"/>
                <w:szCs w:val="20"/>
              </w:rPr>
            </w:pPr>
            <w:r>
              <w:rPr>
                <w:rFonts w:ascii="Arial" w:eastAsia="Arial" w:hAnsi="Arial" w:cs="Arial"/>
                <w:sz w:val="18"/>
                <w:szCs w:val="18"/>
              </w:rPr>
              <w:t>Ireland</w:t>
            </w:r>
          </w:p>
        </w:tc>
      </w:tr>
      <w:tr w:rsidR="00D1587D" w14:paraId="46FCA284" w14:textId="77777777">
        <w:trPr>
          <w:trHeight w:val="216"/>
        </w:trPr>
        <w:tc>
          <w:tcPr>
            <w:tcW w:w="280" w:type="dxa"/>
            <w:vAlign w:val="bottom"/>
          </w:tcPr>
          <w:p w14:paraId="7CEBC00F" w14:textId="77777777" w:rsidR="00D1587D" w:rsidRDefault="00410D07">
            <w:pPr>
              <w:rPr>
                <w:sz w:val="20"/>
                <w:szCs w:val="20"/>
              </w:rPr>
            </w:pPr>
            <w:r>
              <w:rPr>
                <w:rFonts w:ascii="Arial" w:eastAsia="Arial" w:hAnsi="Arial" w:cs="Arial"/>
                <w:sz w:val="18"/>
                <w:szCs w:val="18"/>
              </w:rPr>
              <w:t>27.</w:t>
            </w:r>
          </w:p>
        </w:tc>
        <w:tc>
          <w:tcPr>
            <w:tcW w:w="4460" w:type="dxa"/>
            <w:vAlign w:val="bottom"/>
          </w:tcPr>
          <w:p w14:paraId="7B340232" w14:textId="77777777" w:rsidR="00D1587D" w:rsidRDefault="00410D07">
            <w:pPr>
              <w:ind w:left="60"/>
              <w:rPr>
                <w:sz w:val="20"/>
                <w:szCs w:val="20"/>
              </w:rPr>
            </w:pPr>
            <w:r>
              <w:rPr>
                <w:rFonts w:ascii="Arial" w:eastAsia="Arial" w:hAnsi="Arial" w:cs="Arial"/>
                <w:sz w:val="18"/>
                <w:szCs w:val="18"/>
              </w:rPr>
              <w:t>L Brands HK Management Company Limited</w:t>
            </w:r>
          </w:p>
        </w:tc>
        <w:tc>
          <w:tcPr>
            <w:tcW w:w="1780" w:type="dxa"/>
            <w:vAlign w:val="bottom"/>
          </w:tcPr>
          <w:p w14:paraId="15453705" w14:textId="77777777" w:rsidR="00D1587D" w:rsidRDefault="00D1587D">
            <w:pPr>
              <w:rPr>
                <w:sz w:val="18"/>
                <w:szCs w:val="18"/>
              </w:rPr>
            </w:pPr>
          </w:p>
        </w:tc>
        <w:tc>
          <w:tcPr>
            <w:tcW w:w="4720" w:type="dxa"/>
            <w:vAlign w:val="bottom"/>
          </w:tcPr>
          <w:p w14:paraId="1B5C823A" w14:textId="77777777" w:rsidR="00D1587D" w:rsidRDefault="00410D07">
            <w:pPr>
              <w:ind w:left="240"/>
              <w:rPr>
                <w:sz w:val="20"/>
                <w:szCs w:val="20"/>
              </w:rPr>
            </w:pPr>
            <w:r>
              <w:rPr>
                <w:rFonts w:ascii="Arial" w:eastAsia="Arial" w:hAnsi="Arial" w:cs="Arial"/>
                <w:sz w:val="18"/>
                <w:szCs w:val="18"/>
              </w:rPr>
              <w:t>Hong Kong</w:t>
            </w:r>
          </w:p>
        </w:tc>
      </w:tr>
      <w:tr w:rsidR="00D1587D" w14:paraId="66004686" w14:textId="77777777">
        <w:trPr>
          <w:trHeight w:val="230"/>
        </w:trPr>
        <w:tc>
          <w:tcPr>
            <w:tcW w:w="280" w:type="dxa"/>
            <w:vAlign w:val="bottom"/>
          </w:tcPr>
          <w:p w14:paraId="64F38BAD" w14:textId="77777777" w:rsidR="00D1587D" w:rsidRDefault="00410D07">
            <w:pPr>
              <w:rPr>
                <w:sz w:val="20"/>
                <w:szCs w:val="20"/>
              </w:rPr>
            </w:pPr>
            <w:r>
              <w:rPr>
                <w:rFonts w:ascii="Arial" w:eastAsia="Arial" w:hAnsi="Arial" w:cs="Arial"/>
                <w:sz w:val="18"/>
                <w:szCs w:val="18"/>
              </w:rPr>
              <w:t>28.</w:t>
            </w:r>
          </w:p>
        </w:tc>
        <w:tc>
          <w:tcPr>
            <w:tcW w:w="4460" w:type="dxa"/>
            <w:vAlign w:val="bottom"/>
          </w:tcPr>
          <w:p w14:paraId="6E425100" w14:textId="77777777" w:rsidR="00D1587D" w:rsidRDefault="00410D07">
            <w:pPr>
              <w:ind w:left="60"/>
              <w:rPr>
                <w:sz w:val="20"/>
                <w:szCs w:val="20"/>
              </w:rPr>
            </w:pPr>
            <w:r>
              <w:rPr>
                <w:rFonts w:ascii="Arial" w:eastAsia="Arial" w:hAnsi="Arial" w:cs="Arial"/>
                <w:sz w:val="18"/>
                <w:szCs w:val="18"/>
              </w:rPr>
              <w:t>L Brands Management (Shanghai) Co. Limited</w:t>
            </w:r>
          </w:p>
        </w:tc>
        <w:tc>
          <w:tcPr>
            <w:tcW w:w="1780" w:type="dxa"/>
            <w:vAlign w:val="bottom"/>
          </w:tcPr>
          <w:p w14:paraId="012A4F16" w14:textId="77777777" w:rsidR="00D1587D" w:rsidRDefault="00D1587D">
            <w:pPr>
              <w:rPr>
                <w:sz w:val="20"/>
                <w:szCs w:val="20"/>
              </w:rPr>
            </w:pPr>
          </w:p>
        </w:tc>
        <w:tc>
          <w:tcPr>
            <w:tcW w:w="4720" w:type="dxa"/>
            <w:vAlign w:val="bottom"/>
          </w:tcPr>
          <w:p w14:paraId="4F28A9A0" w14:textId="77777777" w:rsidR="00D1587D" w:rsidRDefault="00410D07">
            <w:pPr>
              <w:ind w:left="240"/>
              <w:rPr>
                <w:sz w:val="20"/>
                <w:szCs w:val="20"/>
              </w:rPr>
            </w:pPr>
            <w:r>
              <w:rPr>
                <w:rFonts w:ascii="Arial" w:eastAsia="Arial" w:hAnsi="Arial" w:cs="Arial"/>
                <w:sz w:val="18"/>
                <w:szCs w:val="18"/>
              </w:rPr>
              <w:t>China</w:t>
            </w:r>
          </w:p>
        </w:tc>
      </w:tr>
      <w:tr w:rsidR="00D1587D" w14:paraId="0AB61B33" w14:textId="77777777">
        <w:trPr>
          <w:trHeight w:val="425"/>
        </w:trPr>
        <w:tc>
          <w:tcPr>
            <w:tcW w:w="280" w:type="dxa"/>
            <w:tcBorders>
              <w:bottom w:val="single" w:sz="8" w:space="0" w:color="auto"/>
            </w:tcBorders>
            <w:vAlign w:val="bottom"/>
          </w:tcPr>
          <w:p w14:paraId="339E8176" w14:textId="77777777" w:rsidR="00D1587D" w:rsidRDefault="00D1587D">
            <w:pPr>
              <w:rPr>
                <w:sz w:val="24"/>
                <w:szCs w:val="24"/>
              </w:rPr>
            </w:pPr>
          </w:p>
        </w:tc>
        <w:tc>
          <w:tcPr>
            <w:tcW w:w="4460" w:type="dxa"/>
            <w:tcBorders>
              <w:bottom w:val="single" w:sz="8" w:space="0" w:color="auto"/>
            </w:tcBorders>
            <w:vAlign w:val="bottom"/>
          </w:tcPr>
          <w:p w14:paraId="62D94C3B" w14:textId="77777777" w:rsidR="00D1587D" w:rsidRDefault="00D1587D">
            <w:pPr>
              <w:rPr>
                <w:sz w:val="24"/>
                <w:szCs w:val="24"/>
              </w:rPr>
            </w:pPr>
          </w:p>
        </w:tc>
        <w:tc>
          <w:tcPr>
            <w:tcW w:w="1780" w:type="dxa"/>
            <w:tcBorders>
              <w:bottom w:val="single" w:sz="8" w:space="0" w:color="auto"/>
            </w:tcBorders>
            <w:vAlign w:val="bottom"/>
          </w:tcPr>
          <w:p w14:paraId="454E4E66" w14:textId="77777777" w:rsidR="00D1587D" w:rsidRDefault="00D1587D">
            <w:pPr>
              <w:rPr>
                <w:sz w:val="24"/>
                <w:szCs w:val="24"/>
              </w:rPr>
            </w:pPr>
          </w:p>
        </w:tc>
        <w:tc>
          <w:tcPr>
            <w:tcW w:w="4720" w:type="dxa"/>
            <w:tcBorders>
              <w:bottom w:val="single" w:sz="8" w:space="0" w:color="auto"/>
            </w:tcBorders>
            <w:vAlign w:val="bottom"/>
          </w:tcPr>
          <w:p w14:paraId="68226629" w14:textId="77777777" w:rsidR="00D1587D" w:rsidRDefault="00D1587D">
            <w:pPr>
              <w:rPr>
                <w:sz w:val="24"/>
                <w:szCs w:val="24"/>
              </w:rPr>
            </w:pPr>
          </w:p>
        </w:tc>
      </w:tr>
    </w:tbl>
    <w:p w14:paraId="073E2103" w14:textId="77777777" w:rsidR="00D1587D" w:rsidRDefault="00D1587D">
      <w:pPr>
        <w:sectPr w:rsidR="00D1587D">
          <w:pgSz w:w="11900" w:h="16838"/>
          <w:pgMar w:top="274" w:right="339" w:bottom="1440" w:left="320" w:header="0" w:footer="0" w:gutter="0"/>
          <w:cols w:space="720" w:equalWidth="0">
            <w:col w:w="11240"/>
          </w:cols>
        </w:sectPr>
      </w:pPr>
    </w:p>
    <w:p w14:paraId="75852D61" w14:textId="77777777" w:rsidR="00D1587D" w:rsidRDefault="00D1587D">
      <w:pPr>
        <w:spacing w:line="1" w:lineRule="exact"/>
        <w:rPr>
          <w:sz w:val="20"/>
          <w:szCs w:val="20"/>
        </w:rPr>
      </w:pPr>
      <w:bookmarkStart w:id="251" w:name="page252"/>
      <w:bookmarkEnd w:id="251"/>
    </w:p>
    <w:tbl>
      <w:tblPr>
        <w:tblW w:w="0" w:type="auto"/>
        <w:tblLayout w:type="fixed"/>
        <w:tblCellMar>
          <w:left w:w="0" w:type="dxa"/>
          <w:right w:w="0" w:type="dxa"/>
        </w:tblCellMar>
        <w:tblLook w:val="04A0" w:firstRow="1" w:lastRow="0" w:firstColumn="1" w:lastColumn="0" w:noHBand="0" w:noVBand="1"/>
      </w:tblPr>
      <w:tblGrid>
        <w:gridCol w:w="280"/>
        <w:gridCol w:w="5340"/>
        <w:gridCol w:w="5620"/>
      </w:tblGrid>
      <w:tr w:rsidR="00D1587D" w14:paraId="488A4E4E" w14:textId="77777777">
        <w:trPr>
          <w:trHeight w:val="216"/>
        </w:trPr>
        <w:tc>
          <w:tcPr>
            <w:tcW w:w="280" w:type="dxa"/>
            <w:vAlign w:val="bottom"/>
          </w:tcPr>
          <w:p w14:paraId="112AD269" w14:textId="77777777" w:rsidR="00D1587D" w:rsidRDefault="00410D07">
            <w:pPr>
              <w:jc w:val="right"/>
              <w:rPr>
                <w:sz w:val="20"/>
                <w:szCs w:val="20"/>
              </w:rPr>
            </w:pPr>
            <w:r>
              <w:rPr>
                <w:rFonts w:ascii="Arial" w:eastAsia="Arial" w:hAnsi="Arial" w:cs="Arial"/>
                <w:w w:val="87"/>
                <w:sz w:val="18"/>
                <w:szCs w:val="18"/>
              </w:rPr>
              <w:t>29.</w:t>
            </w:r>
          </w:p>
        </w:tc>
        <w:tc>
          <w:tcPr>
            <w:tcW w:w="5340" w:type="dxa"/>
            <w:vAlign w:val="bottom"/>
          </w:tcPr>
          <w:p w14:paraId="32D6B679" w14:textId="77777777" w:rsidR="00D1587D" w:rsidRDefault="00410D07">
            <w:pPr>
              <w:ind w:left="60"/>
              <w:rPr>
                <w:sz w:val="20"/>
                <w:szCs w:val="20"/>
              </w:rPr>
            </w:pPr>
            <w:r>
              <w:rPr>
                <w:rFonts w:ascii="Arial" w:eastAsia="Arial" w:hAnsi="Arial" w:cs="Arial"/>
                <w:sz w:val="18"/>
                <w:szCs w:val="18"/>
              </w:rPr>
              <w:t>L Brands Trading (Shanghai) Company Limited</w:t>
            </w:r>
          </w:p>
        </w:tc>
        <w:tc>
          <w:tcPr>
            <w:tcW w:w="5620" w:type="dxa"/>
            <w:vAlign w:val="bottom"/>
          </w:tcPr>
          <w:p w14:paraId="72231FDD" w14:textId="77777777" w:rsidR="00D1587D" w:rsidRDefault="00410D07">
            <w:pPr>
              <w:ind w:left="1140"/>
              <w:rPr>
                <w:sz w:val="20"/>
                <w:szCs w:val="20"/>
              </w:rPr>
            </w:pPr>
            <w:r>
              <w:rPr>
                <w:rFonts w:ascii="Arial" w:eastAsia="Arial" w:hAnsi="Arial" w:cs="Arial"/>
                <w:sz w:val="18"/>
                <w:szCs w:val="18"/>
              </w:rPr>
              <w:t>China</w:t>
            </w:r>
          </w:p>
        </w:tc>
      </w:tr>
      <w:tr w:rsidR="00D1587D" w14:paraId="0F21E23C" w14:textId="77777777">
        <w:trPr>
          <w:trHeight w:val="216"/>
        </w:trPr>
        <w:tc>
          <w:tcPr>
            <w:tcW w:w="280" w:type="dxa"/>
            <w:vAlign w:val="bottom"/>
          </w:tcPr>
          <w:p w14:paraId="7CEAEB43" w14:textId="77777777" w:rsidR="00D1587D" w:rsidRDefault="00410D07">
            <w:pPr>
              <w:jc w:val="right"/>
              <w:rPr>
                <w:sz w:val="20"/>
                <w:szCs w:val="20"/>
              </w:rPr>
            </w:pPr>
            <w:r>
              <w:rPr>
                <w:rFonts w:ascii="Arial" w:eastAsia="Arial" w:hAnsi="Arial" w:cs="Arial"/>
                <w:w w:val="87"/>
                <w:sz w:val="18"/>
                <w:szCs w:val="18"/>
              </w:rPr>
              <w:t>30.</w:t>
            </w:r>
          </w:p>
        </w:tc>
        <w:tc>
          <w:tcPr>
            <w:tcW w:w="5340" w:type="dxa"/>
            <w:vAlign w:val="bottom"/>
          </w:tcPr>
          <w:p w14:paraId="5B505CE1" w14:textId="77777777" w:rsidR="00D1587D" w:rsidRDefault="00410D07">
            <w:pPr>
              <w:ind w:left="60"/>
              <w:rPr>
                <w:sz w:val="20"/>
                <w:szCs w:val="20"/>
              </w:rPr>
            </w:pPr>
            <w:r>
              <w:rPr>
                <w:rFonts w:ascii="Arial" w:eastAsia="Arial" w:hAnsi="Arial" w:cs="Arial"/>
                <w:sz w:val="18"/>
                <w:szCs w:val="18"/>
              </w:rPr>
              <w:t>LB Full Assortment HK Limited</w:t>
            </w:r>
          </w:p>
        </w:tc>
        <w:tc>
          <w:tcPr>
            <w:tcW w:w="5620" w:type="dxa"/>
            <w:vAlign w:val="bottom"/>
          </w:tcPr>
          <w:p w14:paraId="3508012D" w14:textId="77777777" w:rsidR="00D1587D" w:rsidRDefault="00410D07">
            <w:pPr>
              <w:ind w:left="1140"/>
              <w:rPr>
                <w:sz w:val="20"/>
                <w:szCs w:val="20"/>
              </w:rPr>
            </w:pPr>
            <w:r>
              <w:rPr>
                <w:rFonts w:ascii="Arial" w:eastAsia="Arial" w:hAnsi="Arial" w:cs="Arial"/>
                <w:sz w:val="18"/>
                <w:szCs w:val="18"/>
              </w:rPr>
              <w:t>Hong Kong</w:t>
            </w:r>
          </w:p>
        </w:tc>
      </w:tr>
      <w:tr w:rsidR="00D1587D" w14:paraId="55BEF287" w14:textId="77777777">
        <w:trPr>
          <w:trHeight w:val="216"/>
        </w:trPr>
        <w:tc>
          <w:tcPr>
            <w:tcW w:w="280" w:type="dxa"/>
            <w:vAlign w:val="bottom"/>
          </w:tcPr>
          <w:p w14:paraId="21F0C4D5" w14:textId="77777777" w:rsidR="00D1587D" w:rsidRDefault="00410D07">
            <w:pPr>
              <w:jc w:val="right"/>
              <w:rPr>
                <w:sz w:val="20"/>
                <w:szCs w:val="20"/>
              </w:rPr>
            </w:pPr>
            <w:r>
              <w:rPr>
                <w:rFonts w:ascii="Arial" w:eastAsia="Arial" w:hAnsi="Arial" w:cs="Arial"/>
                <w:w w:val="87"/>
                <w:sz w:val="18"/>
                <w:szCs w:val="18"/>
              </w:rPr>
              <w:t>31.</w:t>
            </w:r>
          </w:p>
        </w:tc>
        <w:tc>
          <w:tcPr>
            <w:tcW w:w="5340" w:type="dxa"/>
            <w:vAlign w:val="bottom"/>
          </w:tcPr>
          <w:p w14:paraId="2CBBD93A" w14:textId="77777777" w:rsidR="00D1587D" w:rsidRDefault="00410D07">
            <w:pPr>
              <w:ind w:left="60"/>
              <w:rPr>
                <w:sz w:val="20"/>
                <w:szCs w:val="20"/>
              </w:rPr>
            </w:pPr>
            <w:r>
              <w:rPr>
                <w:rFonts w:ascii="Arial" w:eastAsia="Arial" w:hAnsi="Arial" w:cs="Arial"/>
                <w:sz w:val="18"/>
                <w:szCs w:val="18"/>
              </w:rPr>
              <w:t>LB US Holding, LLC</w:t>
            </w:r>
          </w:p>
        </w:tc>
        <w:tc>
          <w:tcPr>
            <w:tcW w:w="5620" w:type="dxa"/>
            <w:vAlign w:val="bottom"/>
          </w:tcPr>
          <w:p w14:paraId="3D89423D" w14:textId="77777777" w:rsidR="00D1587D" w:rsidRDefault="00410D07">
            <w:pPr>
              <w:ind w:left="1140"/>
              <w:rPr>
                <w:sz w:val="20"/>
                <w:szCs w:val="20"/>
              </w:rPr>
            </w:pPr>
            <w:r>
              <w:rPr>
                <w:rFonts w:ascii="Arial" w:eastAsia="Arial" w:hAnsi="Arial" w:cs="Arial"/>
                <w:sz w:val="18"/>
                <w:szCs w:val="18"/>
              </w:rPr>
              <w:t>Delaware, United States</w:t>
            </w:r>
          </w:p>
        </w:tc>
      </w:tr>
      <w:tr w:rsidR="00D1587D" w14:paraId="13275CC4" w14:textId="77777777">
        <w:trPr>
          <w:trHeight w:val="216"/>
        </w:trPr>
        <w:tc>
          <w:tcPr>
            <w:tcW w:w="280" w:type="dxa"/>
            <w:vAlign w:val="bottom"/>
          </w:tcPr>
          <w:p w14:paraId="196B131E" w14:textId="77777777" w:rsidR="00D1587D" w:rsidRDefault="00410D07">
            <w:pPr>
              <w:jc w:val="right"/>
              <w:rPr>
                <w:sz w:val="20"/>
                <w:szCs w:val="20"/>
              </w:rPr>
            </w:pPr>
            <w:r>
              <w:rPr>
                <w:rFonts w:ascii="Arial" w:eastAsia="Arial" w:hAnsi="Arial" w:cs="Arial"/>
                <w:w w:val="87"/>
                <w:sz w:val="18"/>
                <w:szCs w:val="18"/>
              </w:rPr>
              <w:t>32.</w:t>
            </w:r>
          </w:p>
        </w:tc>
        <w:tc>
          <w:tcPr>
            <w:tcW w:w="5340" w:type="dxa"/>
            <w:vAlign w:val="bottom"/>
          </w:tcPr>
          <w:p w14:paraId="3BC912DB" w14:textId="77777777" w:rsidR="00D1587D" w:rsidRDefault="00410D07">
            <w:pPr>
              <w:ind w:left="60"/>
              <w:rPr>
                <w:sz w:val="20"/>
                <w:szCs w:val="20"/>
              </w:rPr>
            </w:pPr>
            <w:r>
              <w:rPr>
                <w:rFonts w:ascii="Arial" w:eastAsia="Arial" w:hAnsi="Arial" w:cs="Arial"/>
                <w:sz w:val="18"/>
                <w:szCs w:val="18"/>
              </w:rPr>
              <w:t>LBIB HK Limited</w:t>
            </w:r>
          </w:p>
        </w:tc>
        <w:tc>
          <w:tcPr>
            <w:tcW w:w="5620" w:type="dxa"/>
            <w:vAlign w:val="bottom"/>
          </w:tcPr>
          <w:p w14:paraId="2BE534CD" w14:textId="77777777" w:rsidR="00D1587D" w:rsidRDefault="00410D07">
            <w:pPr>
              <w:ind w:left="1140"/>
              <w:rPr>
                <w:sz w:val="20"/>
                <w:szCs w:val="20"/>
              </w:rPr>
            </w:pPr>
            <w:r>
              <w:rPr>
                <w:rFonts w:ascii="Arial" w:eastAsia="Arial" w:hAnsi="Arial" w:cs="Arial"/>
                <w:sz w:val="18"/>
                <w:szCs w:val="18"/>
              </w:rPr>
              <w:t>Hong Kong</w:t>
            </w:r>
          </w:p>
        </w:tc>
      </w:tr>
      <w:tr w:rsidR="00D1587D" w14:paraId="41E73542" w14:textId="77777777">
        <w:trPr>
          <w:trHeight w:val="216"/>
        </w:trPr>
        <w:tc>
          <w:tcPr>
            <w:tcW w:w="280" w:type="dxa"/>
            <w:vAlign w:val="bottom"/>
          </w:tcPr>
          <w:p w14:paraId="681E78D5" w14:textId="77777777" w:rsidR="00D1587D" w:rsidRDefault="00410D07">
            <w:pPr>
              <w:jc w:val="right"/>
              <w:rPr>
                <w:sz w:val="20"/>
                <w:szCs w:val="20"/>
              </w:rPr>
            </w:pPr>
            <w:r>
              <w:rPr>
                <w:rFonts w:ascii="Arial" w:eastAsia="Arial" w:hAnsi="Arial" w:cs="Arial"/>
                <w:w w:val="87"/>
                <w:sz w:val="18"/>
                <w:szCs w:val="18"/>
              </w:rPr>
              <w:t>33.</w:t>
            </w:r>
          </w:p>
        </w:tc>
        <w:tc>
          <w:tcPr>
            <w:tcW w:w="5340" w:type="dxa"/>
            <w:vAlign w:val="bottom"/>
          </w:tcPr>
          <w:p w14:paraId="740E74F8" w14:textId="77777777" w:rsidR="00D1587D" w:rsidRDefault="00410D07">
            <w:pPr>
              <w:ind w:left="60"/>
              <w:rPr>
                <w:sz w:val="20"/>
                <w:szCs w:val="20"/>
              </w:rPr>
            </w:pPr>
            <w:r>
              <w:rPr>
                <w:rFonts w:ascii="Arial" w:eastAsia="Arial" w:hAnsi="Arial" w:cs="Arial"/>
                <w:sz w:val="18"/>
                <w:szCs w:val="18"/>
              </w:rPr>
              <w:t>Lone Mountain Factoring, LLC</w:t>
            </w:r>
          </w:p>
        </w:tc>
        <w:tc>
          <w:tcPr>
            <w:tcW w:w="5620" w:type="dxa"/>
            <w:vAlign w:val="bottom"/>
          </w:tcPr>
          <w:p w14:paraId="69AA3604" w14:textId="77777777" w:rsidR="00D1587D" w:rsidRDefault="00410D07">
            <w:pPr>
              <w:ind w:left="1140"/>
              <w:rPr>
                <w:sz w:val="20"/>
                <w:szCs w:val="20"/>
              </w:rPr>
            </w:pPr>
            <w:r>
              <w:rPr>
                <w:rFonts w:ascii="Arial" w:eastAsia="Arial" w:hAnsi="Arial" w:cs="Arial"/>
                <w:sz w:val="18"/>
                <w:szCs w:val="18"/>
              </w:rPr>
              <w:t>Nevada, United States</w:t>
            </w:r>
          </w:p>
        </w:tc>
      </w:tr>
      <w:tr w:rsidR="00D1587D" w14:paraId="2A626B0C" w14:textId="77777777">
        <w:trPr>
          <w:trHeight w:val="216"/>
        </w:trPr>
        <w:tc>
          <w:tcPr>
            <w:tcW w:w="280" w:type="dxa"/>
            <w:vAlign w:val="bottom"/>
          </w:tcPr>
          <w:p w14:paraId="5DF2FDD7" w14:textId="77777777" w:rsidR="00D1587D" w:rsidRDefault="00410D07">
            <w:pPr>
              <w:jc w:val="right"/>
              <w:rPr>
                <w:sz w:val="20"/>
                <w:szCs w:val="20"/>
              </w:rPr>
            </w:pPr>
            <w:r>
              <w:rPr>
                <w:rFonts w:ascii="Arial" w:eastAsia="Arial" w:hAnsi="Arial" w:cs="Arial"/>
                <w:w w:val="87"/>
                <w:sz w:val="18"/>
                <w:szCs w:val="18"/>
              </w:rPr>
              <w:t>34.</w:t>
            </w:r>
          </w:p>
        </w:tc>
        <w:tc>
          <w:tcPr>
            <w:tcW w:w="5340" w:type="dxa"/>
            <w:vAlign w:val="bottom"/>
          </w:tcPr>
          <w:p w14:paraId="4E010B47" w14:textId="77777777" w:rsidR="00D1587D" w:rsidRDefault="00410D07">
            <w:pPr>
              <w:ind w:left="60"/>
              <w:rPr>
                <w:sz w:val="20"/>
                <w:szCs w:val="20"/>
              </w:rPr>
            </w:pPr>
            <w:r>
              <w:rPr>
                <w:rFonts w:ascii="Arial" w:eastAsia="Arial" w:hAnsi="Arial" w:cs="Arial"/>
                <w:sz w:val="18"/>
                <w:szCs w:val="18"/>
              </w:rPr>
              <w:t>Mast Commercial Trading Shanghai Company Limited</w:t>
            </w:r>
          </w:p>
        </w:tc>
        <w:tc>
          <w:tcPr>
            <w:tcW w:w="5620" w:type="dxa"/>
            <w:vAlign w:val="bottom"/>
          </w:tcPr>
          <w:p w14:paraId="191A8B65" w14:textId="77777777" w:rsidR="00D1587D" w:rsidRDefault="00410D07">
            <w:pPr>
              <w:ind w:left="1140"/>
              <w:rPr>
                <w:sz w:val="20"/>
                <w:szCs w:val="20"/>
              </w:rPr>
            </w:pPr>
            <w:r>
              <w:rPr>
                <w:rFonts w:ascii="Arial" w:eastAsia="Arial" w:hAnsi="Arial" w:cs="Arial"/>
                <w:sz w:val="18"/>
                <w:szCs w:val="18"/>
              </w:rPr>
              <w:t>China</w:t>
            </w:r>
          </w:p>
        </w:tc>
      </w:tr>
      <w:tr w:rsidR="00D1587D" w14:paraId="1D35CB8D" w14:textId="77777777">
        <w:trPr>
          <w:trHeight w:val="216"/>
        </w:trPr>
        <w:tc>
          <w:tcPr>
            <w:tcW w:w="280" w:type="dxa"/>
            <w:vAlign w:val="bottom"/>
          </w:tcPr>
          <w:p w14:paraId="1CB17E88" w14:textId="77777777" w:rsidR="00D1587D" w:rsidRDefault="00410D07">
            <w:pPr>
              <w:jc w:val="right"/>
              <w:rPr>
                <w:sz w:val="20"/>
                <w:szCs w:val="20"/>
              </w:rPr>
            </w:pPr>
            <w:r>
              <w:rPr>
                <w:rFonts w:ascii="Arial" w:eastAsia="Arial" w:hAnsi="Arial" w:cs="Arial"/>
                <w:w w:val="87"/>
                <w:sz w:val="18"/>
                <w:szCs w:val="18"/>
              </w:rPr>
              <w:t>35.</w:t>
            </w:r>
          </w:p>
        </w:tc>
        <w:tc>
          <w:tcPr>
            <w:tcW w:w="5340" w:type="dxa"/>
            <w:vAlign w:val="bottom"/>
          </w:tcPr>
          <w:p w14:paraId="604FF2B5" w14:textId="77777777" w:rsidR="00D1587D" w:rsidRDefault="00410D07">
            <w:pPr>
              <w:ind w:left="60"/>
              <w:rPr>
                <w:sz w:val="20"/>
                <w:szCs w:val="20"/>
              </w:rPr>
            </w:pPr>
            <w:r>
              <w:rPr>
                <w:rFonts w:ascii="Arial" w:eastAsia="Arial" w:hAnsi="Arial" w:cs="Arial"/>
                <w:sz w:val="18"/>
                <w:szCs w:val="18"/>
              </w:rPr>
              <w:t xml:space="preserve">Mast </w:t>
            </w:r>
            <w:r>
              <w:rPr>
                <w:rFonts w:ascii="Arial" w:eastAsia="Arial" w:hAnsi="Arial" w:cs="Arial"/>
                <w:sz w:val="18"/>
                <w:szCs w:val="18"/>
              </w:rPr>
              <w:t>Commercial Trading (Shenzhen) Company Limited</w:t>
            </w:r>
          </w:p>
        </w:tc>
        <w:tc>
          <w:tcPr>
            <w:tcW w:w="5620" w:type="dxa"/>
            <w:vAlign w:val="bottom"/>
          </w:tcPr>
          <w:p w14:paraId="761EF8A5" w14:textId="77777777" w:rsidR="00D1587D" w:rsidRDefault="00410D07">
            <w:pPr>
              <w:ind w:left="1140"/>
              <w:rPr>
                <w:sz w:val="20"/>
                <w:szCs w:val="20"/>
              </w:rPr>
            </w:pPr>
            <w:r>
              <w:rPr>
                <w:rFonts w:ascii="Arial" w:eastAsia="Arial" w:hAnsi="Arial" w:cs="Arial"/>
                <w:sz w:val="18"/>
                <w:szCs w:val="18"/>
              </w:rPr>
              <w:t>China</w:t>
            </w:r>
          </w:p>
        </w:tc>
      </w:tr>
      <w:tr w:rsidR="00D1587D" w14:paraId="2BF409A3" w14:textId="77777777">
        <w:trPr>
          <w:trHeight w:val="216"/>
        </w:trPr>
        <w:tc>
          <w:tcPr>
            <w:tcW w:w="280" w:type="dxa"/>
            <w:vAlign w:val="bottom"/>
          </w:tcPr>
          <w:p w14:paraId="33CEB292" w14:textId="77777777" w:rsidR="00D1587D" w:rsidRDefault="00410D07">
            <w:pPr>
              <w:jc w:val="right"/>
              <w:rPr>
                <w:sz w:val="20"/>
                <w:szCs w:val="20"/>
              </w:rPr>
            </w:pPr>
            <w:r>
              <w:rPr>
                <w:rFonts w:ascii="Arial" w:eastAsia="Arial" w:hAnsi="Arial" w:cs="Arial"/>
                <w:w w:val="87"/>
                <w:sz w:val="18"/>
                <w:szCs w:val="18"/>
              </w:rPr>
              <w:t>36.</w:t>
            </w:r>
          </w:p>
        </w:tc>
        <w:tc>
          <w:tcPr>
            <w:tcW w:w="5340" w:type="dxa"/>
            <w:vAlign w:val="bottom"/>
          </w:tcPr>
          <w:p w14:paraId="1BA5566B" w14:textId="77777777" w:rsidR="00D1587D" w:rsidRDefault="00410D07">
            <w:pPr>
              <w:ind w:left="60"/>
              <w:rPr>
                <w:sz w:val="20"/>
                <w:szCs w:val="20"/>
              </w:rPr>
            </w:pPr>
            <w:r>
              <w:rPr>
                <w:rFonts w:ascii="Arial" w:eastAsia="Arial" w:hAnsi="Arial" w:cs="Arial"/>
                <w:sz w:val="18"/>
                <w:szCs w:val="18"/>
              </w:rPr>
              <w:t>Mast Far East (Mauritius)</w:t>
            </w:r>
          </w:p>
        </w:tc>
        <w:tc>
          <w:tcPr>
            <w:tcW w:w="5620" w:type="dxa"/>
            <w:vAlign w:val="bottom"/>
          </w:tcPr>
          <w:p w14:paraId="30F1165F" w14:textId="77777777" w:rsidR="00D1587D" w:rsidRDefault="00410D07">
            <w:pPr>
              <w:ind w:left="1140"/>
              <w:rPr>
                <w:sz w:val="20"/>
                <w:szCs w:val="20"/>
              </w:rPr>
            </w:pPr>
            <w:r>
              <w:rPr>
                <w:rFonts w:ascii="Arial" w:eastAsia="Arial" w:hAnsi="Arial" w:cs="Arial"/>
                <w:sz w:val="18"/>
                <w:szCs w:val="18"/>
              </w:rPr>
              <w:t>Mauritius</w:t>
            </w:r>
          </w:p>
        </w:tc>
      </w:tr>
      <w:tr w:rsidR="00D1587D" w14:paraId="2B30D469" w14:textId="77777777">
        <w:trPr>
          <w:trHeight w:val="216"/>
        </w:trPr>
        <w:tc>
          <w:tcPr>
            <w:tcW w:w="280" w:type="dxa"/>
            <w:vAlign w:val="bottom"/>
          </w:tcPr>
          <w:p w14:paraId="4C2284DC" w14:textId="77777777" w:rsidR="00D1587D" w:rsidRDefault="00410D07">
            <w:pPr>
              <w:jc w:val="right"/>
              <w:rPr>
                <w:sz w:val="20"/>
                <w:szCs w:val="20"/>
              </w:rPr>
            </w:pPr>
            <w:r>
              <w:rPr>
                <w:rFonts w:ascii="Arial" w:eastAsia="Arial" w:hAnsi="Arial" w:cs="Arial"/>
                <w:w w:val="87"/>
                <w:sz w:val="18"/>
                <w:szCs w:val="18"/>
              </w:rPr>
              <w:t>37.</w:t>
            </w:r>
          </w:p>
        </w:tc>
        <w:tc>
          <w:tcPr>
            <w:tcW w:w="5340" w:type="dxa"/>
            <w:vAlign w:val="bottom"/>
          </w:tcPr>
          <w:p w14:paraId="634FD32C" w14:textId="77777777" w:rsidR="00D1587D" w:rsidRDefault="00410D07">
            <w:pPr>
              <w:ind w:left="60"/>
              <w:rPr>
                <w:sz w:val="20"/>
                <w:szCs w:val="20"/>
              </w:rPr>
            </w:pPr>
            <w:r>
              <w:rPr>
                <w:rFonts w:ascii="Arial" w:eastAsia="Arial" w:hAnsi="Arial" w:cs="Arial"/>
                <w:sz w:val="18"/>
                <w:szCs w:val="18"/>
              </w:rPr>
              <w:t>Mast Global Business Services India Private Limited</w:t>
            </w:r>
          </w:p>
        </w:tc>
        <w:tc>
          <w:tcPr>
            <w:tcW w:w="5620" w:type="dxa"/>
            <w:vAlign w:val="bottom"/>
          </w:tcPr>
          <w:p w14:paraId="0865245E" w14:textId="77777777" w:rsidR="00D1587D" w:rsidRDefault="00410D07">
            <w:pPr>
              <w:ind w:left="1140"/>
              <w:rPr>
                <w:sz w:val="20"/>
                <w:szCs w:val="20"/>
              </w:rPr>
            </w:pPr>
            <w:r>
              <w:rPr>
                <w:rFonts w:ascii="Arial" w:eastAsia="Arial" w:hAnsi="Arial" w:cs="Arial"/>
                <w:sz w:val="18"/>
                <w:szCs w:val="18"/>
              </w:rPr>
              <w:t>India</w:t>
            </w:r>
          </w:p>
        </w:tc>
      </w:tr>
      <w:tr w:rsidR="00D1587D" w14:paraId="611D23EF" w14:textId="77777777">
        <w:trPr>
          <w:trHeight w:val="216"/>
        </w:trPr>
        <w:tc>
          <w:tcPr>
            <w:tcW w:w="280" w:type="dxa"/>
            <w:vAlign w:val="bottom"/>
          </w:tcPr>
          <w:p w14:paraId="0B5184B5" w14:textId="77777777" w:rsidR="00D1587D" w:rsidRDefault="00410D07">
            <w:pPr>
              <w:jc w:val="right"/>
              <w:rPr>
                <w:sz w:val="20"/>
                <w:szCs w:val="20"/>
              </w:rPr>
            </w:pPr>
            <w:r>
              <w:rPr>
                <w:rFonts w:ascii="Arial" w:eastAsia="Arial" w:hAnsi="Arial" w:cs="Arial"/>
                <w:w w:val="87"/>
                <w:sz w:val="18"/>
                <w:szCs w:val="18"/>
              </w:rPr>
              <w:t>38.</w:t>
            </w:r>
          </w:p>
        </w:tc>
        <w:tc>
          <w:tcPr>
            <w:tcW w:w="5340" w:type="dxa"/>
            <w:vAlign w:val="bottom"/>
          </w:tcPr>
          <w:p w14:paraId="515CCEF2" w14:textId="77777777" w:rsidR="00D1587D" w:rsidRDefault="00410D07">
            <w:pPr>
              <w:ind w:left="60"/>
              <w:rPr>
                <w:sz w:val="20"/>
                <w:szCs w:val="20"/>
              </w:rPr>
            </w:pPr>
            <w:r>
              <w:rPr>
                <w:rFonts w:ascii="Arial" w:eastAsia="Arial" w:hAnsi="Arial" w:cs="Arial"/>
                <w:sz w:val="18"/>
                <w:szCs w:val="18"/>
              </w:rPr>
              <w:t>Mast Industries (Far East) Limited</w:t>
            </w:r>
          </w:p>
        </w:tc>
        <w:tc>
          <w:tcPr>
            <w:tcW w:w="5620" w:type="dxa"/>
            <w:vAlign w:val="bottom"/>
          </w:tcPr>
          <w:p w14:paraId="707C06C8" w14:textId="77777777" w:rsidR="00D1587D" w:rsidRDefault="00410D07">
            <w:pPr>
              <w:ind w:left="1140"/>
              <w:rPr>
                <w:sz w:val="20"/>
                <w:szCs w:val="20"/>
              </w:rPr>
            </w:pPr>
            <w:r>
              <w:rPr>
                <w:rFonts w:ascii="Arial" w:eastAsia="Arial" w:hAnsi="Arial" w:cs="Arial"/>
                <w:sz w:val="18"/>
                <w:szCs w:val="18"/>
              </w:rPr>
              <w:t>Hong Kong</w:t>
            </w:r>
          </w:p>
        </w:tc>
      </w:tr>
      <w:tr w:rsidR="00D1587D" w14:paraId="0AC2BCEC" w14:textId="77777777">
        <w:trPr>
          <w:trHeight w:val="216"/>
        </w:trPr>
        <w:tc>
          <w:tcPr>
            <w:tcW w:w="280" w:type="dxa"/>
            <w:vAlign w:val="bottom"/>
          </w:tcPr>
          <w:p w14:paraId="35F87CA3" w14:textId="77777777" w:rsidR="00D1587D" w:rsidRDefault="00410D07">
            <w:pPr>
              <w:jc w:val="right"/>
              <w:rPr>
                <w:sz w:val="20"/>
                <w:szCs w:val="20"/>
              </w:rPr>
            </w:pPr>
            <w:r>
              <w:rPr>
                <w:rFonts w:ascii="Arial" w:eastAsia="Arial" w:hAnsi="Arial" w:cs="Arial"/>
                <w:w w:val="87"/>
                <w:sz w:val="18"/>
                <w:szCs w:val="18"/>
              </w:rPr>
              <w:t>39.</w:t>
            </w:r>
          </w:p>
        </w:tc>
        <w:tc>
          <w:tcPr>
            <w:tcW w:w="5340" w:type="dxa"/>
            <w:vAlign w:val="bottom"/>
          </w:tcPr>
          <w:p w14:paraId="18D259E0" w14:textId="77777777" w:rsidR="00D1587D" w:rsidRDefault="00410D07">
            <w:pPr>
              <w:ind w:left="60"/>
              <w:rPr>
                <w:sz w:val="20"/>
                <w:szCs w:val="20"/>
              </w:rPr>
            </w:pPr>
            <w:r>
              <w:rPr>
                <w:rFonts w:ascii="Arial" w:eastAsia="Arial" w:hAnsi="Arial" w:cs="Arial"/>
                <w:sz w:val="18"/>
                <w:szCs w:val="18"/>
              </w:rPr>
              <w:t>Mast Industries UK Limited</w:t>
            </w:r>
          </w:p>
        </w:tc>
        <w:tc>
          <w:tcPr>
            <w:tcW w:w="5620" w:type="dxa"/>
            <w:vAlign w:val="bottom"/>
          </w:tcPr>
          <w:p w14:paraId="58CEA5FD" w14:textId="77777777" w:rsidR="00D1587D" w:rsidRDefault="00410D07">
            <w:pPr>
              <w:ind w:left="1140"/>
              <w:rPr>
                <w:sz w:val="20"/>
                <w:szCs w:val="20"/>
              </w:rPr>
            </w:pPr>
            <w:r>
              <w:rPr>
                <w:rFonts w:ascii="Arial" w:eastAsia="Arial" w:hAnsi="Arial" w:cs="Arial"/>
                <w:sz w:val="18"/>
                <w:szCs w:val="18"/>
              </w:rPr>
              <w:t xml:space="preserve">United </w:t>
            </w:r>
            <w:r>
              <w:rPr>
                <w:rFonts w:ascii="Arial" w:eastAsia="Arial" w:hAnsi="Arial" w:cs="Arial"/>
                <w:sz w:val="18"/>
                <w:szCs w:val="18"/>
              </w:rPr>
              <w:t>Kingdom</w:t>
            </w:r>
          </w:p>
        </w:tc>
      </w:tr>
      <w:tr w:rsidR="00D1587D" w14:paraId="0A84926A" w14:textId="77777777">
        <w:trPr>
          <w:trHeight w:val="216"/>
        </w:trPr>
        <w:tc>
          <w:tcPr>
            <w:tcW w:w="280" w:type="dxa"/>
            <w:vAlign w:val="bottom"/>
          </w:tcPr>
          <w:p w14:paraId="6BD64D53" w14:textId="77777777" w:rsidR="00D1587D" w:rsidRDefault="00410D07">
            <w:pPr>
              <w:jc w:val="right"/>
              <w:rPr>
                <w:sz w:val="20"/>
                <w:szCs w:val="20"/>
              </w:rPr>
            </w:pPr>
            <w:r>
              <w:rPr>
                <w:rFonts w:ascii="Arial" w:eastAsia="Arial" w:hAnsi="Arial" w:cs="Arial"/>
                <w:w w:val="87"/>
                <w:sz w:val="18"/>
                <w:szCs w:val="18"/>
              </w:rPr>
              <w:t>40.</w:t>
            </w:r>
          </w:p>
        </w:tc>
        <w:tc>
          <w:tcPr>
            <w:tcW w:w="5340" w:type="dxa"/>
            <w:vAlign w:val="bottom"/>
          </w:tcPr>
          <w:p w14:paraId="17614DB5" w14:textId="77777777" w:rsidR="00D1587D" w:rsidRDefault="00410D07">
            <w:pPr>
              <w:ind w:left="60"/>
              <w:rPr>
                <w:sz w:val="20"/>
                <w:szCs w:val="20"/>
              </w:rPr>
            </w:pPr>
            <w:r>
              <w:rPr>
                <w:rFonts w:ascii="Arial" w:eastAsia="Arial" w:hAnsi="Arial" w:cs="Arial"/>
                <w:sz w:val="18"/>
                <w:szCs w:val="18"/>
              </w:rPr>
              <w:t>Mast Technology Services, Inc.</w:t>
            </w:r>
          </w:p>
        </w:tc>
        <w:tc>
          <w:tcPr>
            <w:tcW w:w="5620" w:type="dxa"/>
            <w:vAlign w:val="bottom"/>
          </w:tcPr>
          <w:p w14:paraId="0AEEE99B" w14:textId="77777777" w:rsidR="00D1587D" w:rsidRDefault="00410D07">
            <w:pPr>
              <w:ind w:left="1140"/>
              <w:rPr>
                <w:sz w:val="20"/>
                <w:szCs w:val="20"/>
              </w:rPr>
            </w:pPr>
            <w:r>
              <w:rPr>
                <w:rFonts w:ascii="Arial" w:eastAsia="Arial" w:hAnsi="Arial" w:cs="Arial"/>
                <w:sz w:val="18"/>
                <w:szCs w:val="18"/>
              </w:rPr>
              <w:t>Delaware, United States</w:t>
            </w:r>
          </w:p>
        </w:tc>
      </w:tr>
      <w:tr w:rsidR="00D1587D" w14:paraId="021ACEF4" w14:textId="77777777">
        <w:trPr>
          <w:trHeight w:val="216"/>
        </w:trPr>
        <w:tc>
          <w:tcPr>
            <w:tcW w:w="280" w:type="dxa"/>
            <w:vAlign w:val="bottom"/>
          </w:tcPr>
          <w:p w14:paraId="1AF19B57" w14:textId="77777777" w:rsidR="00D1587D" w:rsidRDefault="00410D07">
            <w:pPr>
              <w:jc w:val="right"/>
              <w:rPr>
                <w:sz w:val="20"/>
                <w:szCs w:val="20"/>
              </w:rPr>
            </w:pPr>
            <w:r>
              <w:rPr>
                <w:rFonts w:ascii="Arial" w:eastAsia="Arial" w:hAnsi="Arial" w:cs="Arial"/>
                <w:w w:val="87"/>
                <w:sz w:val="18"/>
                <w:szCs w:val="18"/>
              </w:rPr>
              <w:t>41.</w:t>
            </w:r>
          </w:p>
        </w:tc>
        <w:tc>
          <w:tcPr>
            <w:tcW w:w="5340" w:type="dxa"/>
            <w:vAlign w:val="bottom"/>
          </w:tcPr>
          <w:p w14:paraId="41E1203D" w14:textId="77777777" w:rsidR="00D1587D" w:rsidRDefault="00410D07">
            <w:pPr>
              <w:ind w:left="60"/>
              <w:rPr>
                <w:sz w:val="20"/>
                <w:szCs w:val="20"/>
              </w:rPr>
            </w:pPr>
            <w:r>
              <w:rPr>
                <w:rFonts w:ascii="Arial" w:eastAsia="Arial" w:hAnsi="Arial" w:cs="Arial"/>
                <w:sz w:val="18"/>
                <w:szCs w:val="18"/>
              </w:rPr>
              <w:t>MII Brand Import, LLC</w:t>
            </w:r>
          </w:p>
        </w:tc>
        <w:tc>
          <w:tcPr>
            <w:tcW w:w="5620" w:type="dxa"/>
            <w:vAlign w:val="bottom"/>
          </w:tcPr>
          <w:p w14:paraId="749E9082" w14:textId="77777777" w:rsidR="00D1587D" w:rsidRDefault="00410D07">
            <w:pPr>
              <w:ind w:left="1140"/>
              <w:rPr>
                <w:sz w:val="20"/>
                <w:szCs w:val="20"/>
              </w:rPr>
            </w:pPr>
            <w:r>
              <w:rPr>
                <w:rFonts w:ascii="Arial" w:eastAsia="Arial" w:hAnsi="Arial" w:cs="Arial"/>
                <w:sz w:val="18"/>
                <w:szCs w:val="18"/>
              </w:rPr>
              <w:t>Delaware, United States</w:t>
            </w:r>
          </w:p>
        </w:tc>
      </w:tr>
      <w:tr w:rsidR="00D1587D" w14:paraId="5660488C" w14:textId="77777777">
        <w:trPr>
          <w:trHeight w:val="216"/>
        </w:trPr>
        <w:tc>
          <w:tcPr>
            <w:tcW w:w="280" w:type="dxa"/>
            <w:vAlign w:val="bottom"/>
          </w:tcPr>
          <w:p w14:paraId="598226B4" w14:textId="77777777" w:rsidR="00D1587D" w:rsidRDefault="00410D07">
            <w:pPr>
              <w:jc w:val="right"/>
              <w:rPr>
                <w:sz w:val="20"/>
                <w:szCs w:val="20"/>
              </w:rPr>
            </w:pPr>
            <w:r>
              <w:rPr>
                <w:rFonts w:ascii="Arial" w:eastAsia="Arial" w:hAnsi="Arial" w:cs="Arial"/>
                <w:w w:val="87"/>
                <w:sz w:val="18"/>
                <w:szCs w:val="18"/>
              </w:rPr>
              <w:t>42.</w:t>
            </w:r>
          </w:p>
        </w:tc>
        <w:tc>
          <w:tcPr>
            <w:tcW w:w="5340" w:type="dxa"/>
            <w:vAlign w:val="bottom"/>
          </w:tcPr>
          <w:p w14:paraId="7113ACD8" w14:textId="77777777" w:rsidR="00D1587D" w:rsidRDefault="00410D07">
            <w:pPr>
              <w:ind w:left="60"/>
              <w:rPr>
                <w:sz w:val="20"/>
                <w:szCs w:val="20"/>
              </w:rPr>
            </w:pPr>
            <w:r>
              <w:rPr>
                <w:rFonts w:ascii="Arial" w:eastAsia="Arial" w:hAnsi="Arial" w:cs="Arial"/>
                <w:sz w:val="18"/>
                <w:szCs w:val="18"/>
              </w:rPr>
              <w:t>IB International Holdings, Inc.</w:t>
            </w:r>
          </w:p>
        </w:tc>
        <w:tc>
          <w:tcPr>
            <w:tcW w:w="5620" w:type="dxa"/>
            <w:vAlign w:val="bottom"/>
          </w:tcPr>
          <w:p w14:paraId="1ADAC911" w14:textId="77777777" w:rsidR="00D1587D" w:rsidRDefault="00410D07">
            <w:pPr>
              <w:ind w:left="1140"/>
              <w:rPr>
                <w:sz w:val="20"/>
                <w:szCs w:val="20"/>
              </w:rPr>
            </w:pPr>
            <w:r>
              <w:rPr>
                <w:rFonts w:ascii="Arial" w:eastAsia="Arial" w:hAnsi="Arial" w:cs="Arial"/>
                <w:sz w:val="18"/>
                <w:szCs w:val="18"/>
              </w:rPr>
              <w:t>Delaware, United States</w:t>
            </w:r>
          </w:p>
        </w:tc>
      </w:tr>
      <w:tr w:rsidR="00D1587D" w14:paraId="49974B3A" w14:textId="77777777">
        <w:trPr>
          <w:trHeight w:val="216"/>
        </w:trPr>
        <w:tc>
          <w:tcPr>
            <w:tcW w:w="280" w:type="dxa"/>
            <w:vAlign w:val="bottom"/>
          </w:tcPr>
          <w:p w14:paraId="46CC059D" w14:textId="77777777" w:rsidR="00D1587D" w:rsidRDefault="00410D07">
            <w:pPr>
              <w:jc w:val="right"/>
              <w:rPr>
                <w:sz w:val="20"/>
                <w:szCs w:val="20"/>
              </w:rPr>
            </w:pPr>
            <w:r>
              <w:rPr>
                <w:rFonts w:ascii="Arial" w:eastAsia="Arial" w:hAnsi="Arial" w:cs="Arial"/>
                <w:w w:val="87"/>
                <w:sz w:val="18"/>
                <w:szCs w:val="18"/>
              </w:rPr>
              <w:t>43.</w:t>
            </w:r>
          </w:p>
        </w:tc>
        <w:tc>
          <w:tcPr>
            <w:tcW w:w="5340" w:type="dxa"/>
            <w:vAlign w:val="bottom"/>
          </w:tcPr>
          <w:p w14:paraId="1C004150" w14:textId="77777777" w:rsidR="00D1587D" w:rsidRDefault="00410D07">
            <w:pPr>
              <w:ind w:left="60"/>
              <w:rPr>
                <w:sz w:val="20"/>
                <w:szCs w:val="20"/>
              </w:rPr>
            </w:pPr>
            <w:r>
              <w:rPr>
                <w:rFonts w:ascii="Arial" w:eastAsia="Arial" w:hAnsi="Arial" w:cs="Arial"/>
                <w:sz w:val="18"/>
                <w:szCs w:val="18"/>
              </w:rPr>
              <w:t>Retail Brokerage Solutions, LLC</w:t>
            </w:r>
          </w:p>
        </w:tc>
        <w:tc>
          <w:tcPr>
            <w:tcW w:w="5620" w:type="dxa"/>
            <w:vAlign w:val="bottom"/>
          </w:tcPr>
          <w:p w14:paraId="50D65568" w14:textId="77777777" w:rsidR="00D1587D" w:rsidRDefault="00410D07">
            <w:pPr>
              <w:ind w:left="1140"/>
              <w:rPr>
                <w:sz w:val="20"/>
                <w:szCs w:val="20"/>
              </w:rPr>
            </w:pPr>
            <w:r>
              <w:rPr>
                <w:rFonts w:ascii="Arial" w:eastAsia="Arial" w:hAnsi="Arial" w:cs="Arial"/>
                <w:sz w:val="18"/>
                <w:szCs w:val="18"/>
              </w:rPr>
              <w:t>Delaware, United States</w:t>
            </w:r>
          </w:p>
        </w:tc>
      </w:tr>
      <w:tr w:rsidR="00D1587D" w14:paraId="047086F1" w14:textId="77777777">
        <w:trPr>
          <w:trHeight w:val="216"/>
        </w:trPr>
        <w:tc>
          <w:tcPr>
            <w:tcW w:w="280" w:type="dxa"/>
            <w:vAlign w:val="bottom"/>
          </w:tcPr>
          <w:p w14:paraId="4C2DBEBF" w14:textId="77777777" w:rsidR="00D1587D" w:rsidRDefault="00410D07">
            <w:pPr>
              <w:jc w:val="right"/>
              <w:rPr>
                <w:sz w:val="20"/>
                <w:szCs w:val="20"/>
              </w:rPr>
            </w:pPr>
            <w:r>
              <w:rPr>
                <w:rFonts w:ascii="Arial" w:eastAsia="Arial" w:hAnsi="Arial" w:cs="Arial"/>
                <w:w w:val="87"/>
                <w:sz w:val="18"/>
                <w:szCs w:val="18"/>
              </w:rPr>
              <w:t>44.</w:t>
            </w:r>
          </w:p>
        </w:tc>
        <w:tc>
          <w:tcPr>
            <w:tcW w:w="5340" w:type="dxa"/>
            <w:vAlign w:val="bottom"/>
          </w:tcPr>
          <w:p w14:paraId="11FB7497" w14:textId="77777777" w:rsidR="00D1587D" w:rsidRDefault="00410D07">
            <w:pPr>
              <w:ind w:left="60"/>
              <w:rPr>
                <w:sz w:val="20"/>
                <w:szCs w:val="20"/>
              </w:rPr>
            </w:pPr>
            <w:r>
              <w:rPr>
                <w:rFonts w:ascii="Arial" w:eastAsia="Arial" w:hAnsi="Arial" w:cs="Arial"/>
                <w:sz w:val="18"/>
                <w:szCs w:val="18"/>
              </w:rPr>
              <w:t>Victoria’s Secret (Canada) Corp.</w:t>
            </w:r>
          </w:p>
        </w:tc>
        <w:tc>
          <w:tcPr>
            <w:tcW w:w="5620" w:type="dxa"/>
            <w:vAlign w:val="bottom"/>
          </w:tcPr>
          <w:p w14:paraId="76B4781A" w14:textId="77777777" w:rsidR="00D1587D" w:rsidRDefault="00410D07">
            <w:pPr>
              <w:ind w:left="1140"/>
              <w:rPr>
                <w:sz w:val="20"/>
                <w:szCs w:val="20"/>
              </w:rPr>
            </w:pPr>
            <w:r>
              <w:rPr>
                <w:rFonts w:ascii="Arial" w:eastAsia="Arial" w:hAnsi="Arial" w:cs="Arial"/>
                <w:sz w:val="18"/>
                <w:szCs w:val="18"/>
              </w:rPr>
              <w:t>Nova Scotia, Canada</w:t>
            </w:r>
          </w:p>
        </w:tc>
      </w:tr>
      <w:tr w:rsidR="00D1587D" w14:paraId="53B30EEC" w14:textId="77777777">
        <w:trPr>
          <w:trHeight w:val="216"/>
        </w:trPr>
        <w:tc>
          <w:tcPr>
            <w:tcW w:w="280" w:type="dxa"/>
            <w:vAlign w:val="bottom"/>
          </w:tcPr>
          <w:p w14:paraId="6BF58B03" w14:textId="77777777" w:rsidR="00D1587D" w:rsidRDefault="00410D07">
            <w:pPr>
              <w:jc w:val="right"/>
              <w:rPr>
                <w:sz w:val="20"/>
                <w:szCs w:val="20"/>
              </w:rPr>
            </w:pPr>
            <w:r>
              <w:rPr>
                <w:rFonts w:ascii="Arial" w:eastAsia="Arial" w:hAnsi="Arial" w:cs="Arial"/>
                <w:w w:val="87"/>
                <w:sz w:val="18"/>
                <w:szCs w:val="18"/>
              </w:rPr>
              <w:t>45.</w:t>
            </w:r>
          </w:p>
        </w:tc>
        <w:tc>
          <w:tcPr>
            <w:tcW w:w="5340" w:type="dxa"/>
            <w:vAlign w:val="bottom"/>
          </w:tcPr>
          <w:p w14:paraId="45E2EC86" w14:textId="77777777" w:rsidR="00D1587D" w:rsidRDefault="00410D07">
            <w:pPr>
              <w:ind w:left="60"/>
              <w:rPr>
                <w:sz w:val="20"/>
                <w:szCs w:val="20"/>
              </w:rPr>
            </w:pPr>
            <w:r>
              <w:rPr>
                <w:rFonts w:ascii="Arial" w:eastAsia="Arial" w:hAnsi="Arial" w:cs="Arial"/>
                <w:sz w:val="18"/>
                <w:szCs w:val="18"/>
              </w:rPr>
              <w:t>Victoria’s Secret Direct Brand Management, LLC</w:t>
            </w:r>
          </w:p>
        </w:tc>
        <w:tc>
          <w:tcPr>
            <w:tcW w:w="5620" w:type="dxa"/>
            <w:vAlign w:val="bottom"/>
          </w:tcPr>
          <w:p w14:paraId="2D98A307" w14:textId="77777777" w:rsidR="00D1587D" w:rsidRDefault="00410D07">
            <w:pPr>
              <w:ind w:left="1140"/>
              <w:rPr>
                <w:sz w:val="20"/>
                <w:szCs w:val="20"/>
              </w:rPr>
            </w:pPr>
            <w:r>
              <w:rPr>
                <w:rFonts w:ascii="Arial" w:eastAsia="Arial" w:hAnsi="Arial" w:cs="Arial"/>
                <w:sz w:val="18"/>
                <w:szCs w:val="18"/>
              </w:rPr>
              <w:t>Delaware, United States</w:t>
            </w:r>
          </w:p>
        </w:tc>
      </w:tr>
      <w:tr w:rsidR="00D1587D" w14:paraId="145F5B91" w14:textId="77777777">
        <w:trPr>
          <w:trHeight w:val="216"/>
        </w:trPr>
        <w:tc>
          <w:tcPr>
            <w:tcW w:w="280" w:type="dxa"/>
            <w:vAlign w:val="bottom"/>
          </w:tcPr>
          <w:p w14:paraId="1750433C" w14:textId="77777777" w:rsidR="00D1587D" w:rsidRDefault="00410D07">
            <w:pPr>
              <w:jc w:val="right"/>
              <w:rPr>
                <w:sz w:val="20"/>
                <w:szCs w:val="20"/>
              </w:rPr>
            </w:pPr>
            <w:r>
              <w:rPr>
                <w:rFonts w:ascii="Arial" w:eastAsia="Arial" w:hAnsi="Arial" w:cs="Arial"/>
                <w:w w:val="87"/>
                <w:sz w:val="18"/>
                <w:szCs w:val="18"/>
              </w:rPr>
              <w:t>46.</w:t>
            </w:r>
          </w:p>
        </w:tc>
        <w:tc>
          <w:tcPr>
            <w:tcW w:w="5340" w:type="dxa"/>
            <w:vAlign w:val="bottom"/>
          </w:tcPr>
          <w:p w14:paraId="7D3023EB" w14:textId="77777777" w:rsidR="00D1587D" w:rsidRDefault="00410D07">
            <w:pPr>
              <w:ind w:left="60"/>
              <w:rPr>
                <w:sz w:val="20"/>
                <w:szCs w:val="20"/>
              </w:rPr>
            </w:pPr>
            <w:r>
              <w:rPr>
                <w:rFonts w:ascii="Arial" w:eastAsia="Arial" w:hAnsi="Arial" w:cs="Arial"/>
                <w:sz w:val="18"/>
                <w:szCs w:val="18"/>
              </w:rPr>
              <w:t>Victoria’s Secret Direct GC, LLC</w:t>
            </w:r>
          </w:p>
        </w:tc>
        <w:tc>
          <w:tcPr>
            <w:tcW w:w="5620" w:type="dxa"/>
            <w:vAlign w:val="bottom"/>
          </w:tcPr>
          <w:p w14:paraId="3ADEE762" w14:textId="77777777" w:rsidR="00D1587D" w:rsidRDefault="00410D07">
            <w:pPr>
              <w:ind w:left="1140"/>
              <w:rPr>
                <w:sz w:val="20"/>
                <w:szCs w:val="20"/>
              </w:rPr>
            </w:pPr>
            <w:r>
              <w:rPr>
                <w:rFonts w:ascii="Arial" w:eastAsia="Arial" w:hAnsi="Arial" w:cs="Arial"/>
                <w:sz w:val="18"/>
                <w:szCs w:val="18"/>
              </w:rPr>
              <w:t>Ohio, United States</w:t>
            </w:r>
          </w:p>
        </w:tc>
      </w:tr>
      <w:tr w:rsidR="00D1587D" w14:paraId="70248771" w14:textId="77777777">
        <w:trPr>
          <w:trHeight w:val="216"/>
        </w:trPr>
        <w:tc>
          <w:tcPr>
            <w:tcW w:w="280" w:type="dxa"/>
            <w:vAlign w:val="bottom"/>
          </w:tcPr>
          <w:p w14:paraId="29488FA9" w14:textId="77777777" w:rsidR="00D1587D" w:rsidRDefault="00410D07">
            <w:pPr>
              <w:jc w:val="right"/>
              <w:rPr>
                <w:sz w:val="20"/>
                <w:szCs w:val="20"/>
              </w:rPr>
            </w:pPr>
            <w:r>
              <w:rPr>
                <w:rFonts w:ascii="Arial" w:eastAsia="Arial" w:hAnsi="Arial" w:cs="Arial"/>
                <w:w w:val="87"/>
                <w:sz w:val="18"/>
                <w:szCs w:val="18"/>
              </w:rPr>
              <w:t>47.</w:t>
            </w:r>
          </w:p>
        </w:tc>
        <w:tc>
          <w:tcPr>
            <w:tcW w:w="5340" w:type="dxa"/>
            <w:vAlign w:val="bottom"/>
          </w:tcPr>
          <w:p w14:paraId="5FBC12E5" w14:textId="77777777" w:rsidR="00D1587D" w:rsidRDefault="00410D07">
            <w:pPr>
              <w:ind w:left="60"/>
              <w:rPr>
                <w:sz w:val="20"/>
                <w:szCs w:val="20"/>
              </w:rPr>
            </w:pPr>
            <w:r>
              <w:rPr>
                <w:rFonts w:ascii="Arial" w:eastAsia="Arial" w:hAnsi="Arial" w:cs="Arial"/>
                <w:sz w:val="18"/>
                <w:szCs w:val="18"/>
              </w:rPr>
              <w:t>Victoria’s Secret Direct New York, LLC</w:t>
            </w:r>
          </w:p>
        </w:tc>
        <w:tc>
          <w:tcPr>
            <w:tcW w:w="5620" w:type="dxa"/>
            <w:vAlign w:val="bottom"/>
          </w:tcPr>
          <w:p w14:paraId="4D2DC67D" w14:textId="77777777" w:rsidR="00D1587D" w:rsidRDefault="00410D07">
            <w:pPr>
              <w:ind w:left="1140"/>
              <w:rPr>
                <w:sz w:val="20"/>
                <w:szCs w:val="20"/>
              </w:rPr>
            </w:pPr>
            <w:r>
              <w:rPr>
                <w:rFonts w:ascii="Arial" w:eastAsia="Arial" w:hAnsi="Arial" w:cs="Arial"/>
                <w:sz w:val="18"/>
                <w:szCs w:val="18"/>
              </w:rPr>
              <w:t xml:space="preserve">Delaware, United </w:t>
            </w:r>
            <w:r>
              <w:rPr>
                <w:rFonts w:ascii="Arial" w:eastAsia="Arial" w:hAnsi="Arial" w:cs="Arial"/>
                <w:sz w:val="18"/>
                <w:szCs w:val="18"/>
              </w:rPr>
              <w:t>States</w:t>
            </w:r>
          </w:p>
        </w:tc>
      </w:tr>
      <w:tr w:rsidR="00D1587D" w14:paraId="36AE2665" w14:textId="77777777">
        <w:trPr>
          <w:trHeight w:val="216"/>
        </w:trPr>
        <w:tc>
          <w:tcPr>
            <w:tcW w:w="280" w:type="dxa"/>
            <w:vAlign w:val="bottom"/>
          </w:tcPr>
          <w:p w14:paraId="446CF8AE" w14:textId="77777777" w:rsidR="00D1587D" w:rsidRDefault="00410D07">
            <w:pPr>
              <w:jc w:val="right"/>
              <w:rPr>
                <w:sz w:val="20"/>
                <w:szCs w:val="20"/>
              </w:rPr>
            </w:pPr>
            <w:r>
              <w:rPr>
                <w:rFonts w:ascii="Arial" w:eastAsia="Arial" w:hAnsi="Arial" w:cs="Arial"/>
                <w:w w:val="87"/>
                <w:sz w:val="18"/>
                <w:szCs w:val="18"/>
              </w:rPr>
              <w:t>48.</w:t>
            </w:r>
          </w:p>
        </w:tc>
        <w:tc>
          <w:tcPr>
            <w:tcW w:w="5340" w:type="dxa"/>
            <w:vAlign w:val="bottom"/>
          </w:tcPr>
          <w:p w14:paraId="238D0427" w14:textId="77777777" w:rsidR="00D1587D" w:rsidRDefault="00410D07">
            <w:pPr>
              <w:ind w:left="60"/>
              <w:rPr>
                <w:sz w:val="20"/>
                <w:szCs w:val="20"/>
              </w:rPr>
            </w:pPr>
            <w:r>
              <w:rPr>
                <w:rFonts w:ascii="Arial" w:eastAsia="Arial" w:hAnsi="Arial" w:cs="Arial"/>
                <w:sz w:val="18"/>
                <w:szCs w:val="18"/>
              </w:rPr>
              <w:t>Victoria’s Secret Stores Brand Management, LLC</w:t>
            </w:r>
          </w:p>
        </w:tc>
        <w:tc>
          <w:tcPr>
            <w:tcW w:w="5620" w:type="dxa"/>
            <w:vAlign w:val="bottom"/>
          </w:tcPr>
          <w:p w14:paraId="73E516F2" w14:textId="77777777" w:rsidR="00D1587D" w:rsidRDefault="00410D07">
            <w:pPr>
              <w:ind w:left="1140"/>
              <w:rPr>
                <w:sz w:val="20"/>
                <w:szCs w:val="20"/>
              </w:rPr>
            </w:pPr>
            <w:r>
              <w:rPr>
                <w:rFonts w:ascii="Arial" w:eastAsia="Arial" w:hAnsi="Arial" w:cs="Arial"/>
                <w:sz w:val="18"/>
                <w:szCs w:val="18"/>
              </w:rPr>
              <w:t>Delaware, United States</w:t>
            </w:r>
          </w:p>
        </w:tc>
      </w:tr>
      <w:tr w:rsidR="00D1587D" w14:paraId="72C764F0" w14:textId="77777777">
        <w:trPr>
          <w:trHeight w:val="216"/>
        </w:trPr>
        <w:tc>
          <w:tcPr>
            <w:tcW w:w="280" w:type="dxa"/>
            <w:vAlign w:val="bottom"/>
          </w:tcPr>
          <w:p w14:paraId="5203BA7F" w14:textId="77777777" w:rsidR="00D1587D" w:rsidRDefault="00410D07">
            <w:pPr>
              <w:jc w:val="right"/>
              <w:rPr>
                <w:sz w:val="20"/>
                <w:szCs w:val="20"/>
              </w:rPr>
            </w:pPr>
            <w:r>
              <w:rPr>
                <w:rFonts w:ascii="Arial" w:eastAsia="Arial" w:hAnsi="Arial" w:cs="Arial"/>
                <w:w w:val="87"/>
                <w:sz w:val="18"/>
                <w:szCs w:val="18"/>
              </w:rPr>
              <w:t>49.</w:t>
            </w:r>
          </w:p>
        </w:tc>
        <w:tc>
          <w:tcPr>
            <w:tcW w:w="5340" w:type="dxa"/>
            <w:vAlign w:val="bottom"/>
          </w:tcPr>
          <w:p w14:paraId="741670C0" w14:textId="77777777" w:rsidR="00D1587D" w:rsidRDefault="00410D07">
            <w:pPr>
              <w:ind w:left="60"/>
              <w:rPr>
                <w:sz w:val="20"/>
                <w:szCs w:val="20"/>
              </w:rPr>
            </w:pPr>
            <w:r>
              <w:rPr>
                <w:rFonts w:ascii="Arial" w:eastAsia="Arial" w:hAnsi="Arial" w:cs="Arial"/>
                <w:sz w:val="18"/>
                <w:szCs w:val="18"/>
              </w:rPr>
              <w:t>Victoria’s Secret Stores, LLC</w:t>
            </w:r>
          </w:p>
        </w:tc>
        <w:tc>
          <w:tcPr>
            <w:tcW w:w="5620" w:type="dxa"/>
            <w:vAlign w:val="bottom"/>
          </w:tcPr>
          <w:p w14:paraId="1BF0750E" w14:textId="77777777" w:rsidR="00D1587D" w:rsidRDefault="00410D07">
            <w:pPr>
              <w:ind w:left="1140"/>
              <w:rPr>
                <w:sz w:val="20"/>
                <w:szCs w:val="20"/>
              </w:rPr>
            </w:pPr>
            <w:r>
              <w:rPr>
                <w:rFonts w:ascii="Arial" w:eastAsia="Arial" w:hAnsi="Arial" w:cs="Arial"/>
                <w:sz w:val="18"/>
                <w:szCs w:val="18"/>
              </w:rPr>
              <w:t>Delaware, United States</w:t>
            </w:r>
          </w:p>
        </w:tc>
      </w:tr>
      <w:tr w:rsidR="00D1587D" w14:paraId="6FD2E02A" w14:textId="77777777">
        <w:trPr>
          <w:trHeight w:val="216"/>
        </w:trPr>
        <w:tc>
          <w:tcPr>
            <w:tcW w:w="280" w:type="dxa"/>
            <w:vAlign w:val="bottom"/>
          </w:tcPr>
          <w:p w14:paraId="667836A2" w14:textId="77777777" w:rsidR="00D1587D" w:rsidRDefault="00410D07">
            <w:pPr>
              <w:jc w:val="right"/>
              <w:rPr>
                <w:sz w:val="20"/>
                <w:szCs w:val="20"/>
              </w:rPr>
            </w:pPr>
            <w:r>
              <w:rPr>
                <w:rFonts w:ascii="Arial" w:eastAsia="Arial" w:hAnsi="Arial" w:cs="Arial"/>
                <w:w w:val="87"/>
                <w:sz w:val="18"/>
                <w:szCs w:val="18"/>
              </w:rPr>
              <w:t>50.</w:t>
            </w:r>
          </w:p>
        </w:tc>
        <w:tc>
          <w:tcPr>
            <w:tcW w:w="5340" w:type="dxa"/>
            <w:vAlign w:val="bottom"/>
          </w:tcPr>
          <w:p w14:paraId="2CD4D0F9" w14:textId="77777777" w:rsidR="00D1587D" w:rsidRDefault="00410D07">
            <w:pPr>
              <w:ind w:left="60"/>
              <w:rPr>
                <w:sz w:val="20"/>
                <w:szCs w:val="20"/>
              </w:rPr>
            </w:pPr>
            <w:r>
              <w:rPr>
                <w:rFonts w:ascii="Arial" w:eastAsia="Arial" w:hAnsi="Arial" w:cs="Arial"/>
                <w:sz w:val="18"/>
                <w:szCs w:val="18"/>
              </w:rPr>
              <w:t>Victoria’s Secret Stores GC, LLC</w:t>
            </w:r>
          </w:p>
        </w:tc>
        <w:tc>
          <w:tcPr>
            <w:tcW w:w="5620" w:type="dxa"/>
            <w:vAlign w:val="bottom"/>
          </w:tcPr>
          <w:p w14:paraId="7B61BE6A" w14:textId="77777777" w:rsidR="00D1587D" w:rsidRDefault="00410D07">
            <w:pPr>
              <w:ind w:left="1140"/>
              <w:rPr>
                <w:sz w:val="20"/>
                <w:szCs w:val="20"/>
              </w:rPr>
            </w:pPr>
            <w:r>
              <w:rPr>
                <w:rFonts w:ascii="Arial" w:eastAsia="Arial" w:hAnsi="Arial" w:cs="Arial"/>
                <w:sz w:val="18"/>
                <w:szCs w:val="18"/>
              </w:rPr>
              <w:t>Ohio, United States</w:t>
            </w:r>
          </w:p>
        </w:tc>
      </w:tr>
      <w:tr w:rsidR="00D1587D" w14:paraId="46D85750" w14:textId="77777777">
        <w:trPr>
          <w:trHeight w:val="216"/>
        </w:trPr>
        <w:tc>
          <w:tcPr>
            <w:tcW w:w="280" w:type="dxa"/>
            <w:vAlign w:val="bottom"/>
          </w:tcPr>
          <w:p w14:paraId="07EEAE9C" w14:textId="77777777" w:rsidR="00D1587D" w:rsidRDefault="00410D07">
            <w:pPr>
              <w:jc w:val="right"/>
              <w:rPr>
                <w:sz w:val="20"/>
                <w:szCs w:val="20"/>
              </w:rPr>
            </w:pPr>
            <w:r>
              <w:rPr>
                <w:rFonts w:ascii="Arial" w:eastAsia="Arial" w:hAnsi="Arial" w:cs="Arial"/>
                <w:w w:val="87"/>
                <w:sz w:val="18"/>
                <w:szCs w:val="18"/>
              </w:rPr>
              <w:t>51.</w:t>
            </w:r>
          </w:p>
        </w:tc>
        <w:tc>
          <w:tcPr>
            <w:tcW w:w="5340" w:type="dxa"/>
            <w:vAlign w:val="bottom"/>
          </w:tcPr>
          <w:p w14:paraId="6AAD5A2E" w14:textId="77777777" w:rsidR="00D1587D" w:rsidRDefault="00410D07">
            <w:pPr>
              <w:ind w:left="60"/>
              <w:rPr>
                <w:sz w:val="20"/>
                <w:szCs w:val="20"/>
              </w:rPr>
            </w:pPr>
            <w:r>
              <w:rPr>
                <w:rFonts w:ascii="Arial" w:eastAsia="Arial" w:hAnsi="Arial" w:cs="Arial"/>
                <w:sz w:val="18"/>
                <w:szCs w:val="18"/>
              </w:rPr>
              <w:t>VS Service Company, LLC</w:t>
            </w:r>
          </w:p>
        </w:tc>
        <w:tc>
          <w:tcPr>
            <w:tcW w:w="5620" w:type="dxa"/>
            <w:vAlign w:val="bottom"/>
          </w:tcPr>
          <w:p w14:paraId="176989CE" w14:textId="77777777" w:rsidR="00D1587D" w:rsidRDefault="00410D07">
            <w:pPr>
              <w:ind w:left="1140"/>
              <w:rPr>
                <w:sz w:val="20"/>
                <w:szCs w:val="20"/>
              </w:rPr>
            </w:pPr>
            <w:r>
              <w:rPr>
                <w:rFonts w:ascii="Arial" w:eastAsia="Arial" w:hAnsi="Arial" w:cs="Arial"/>
                <w:sz w:val="18"/>
                <w:szCs w:val="18"/>
              </w:rPr>
              <w:t xml:space="preserve">Delaware, United </w:t>
            </w:r>
            <w:r>
              <w:rPr>
                <w:rFonts w:ascii="Arial" w:eastAsia="Arial" w:hAnsi="Arial" w:cs="Arial"/>
                <w:sz w:val="18"/>
                <w:szCs w:val="18"/>
              </w:rPr>
              <w:t>States</w:t>
            </w:r>
          </w:p>
        </w:tc>
      </w:tr>
      <w:tr w:rsidR="00D1587D" w14:paraId="1417A6E2" w14:textId="77777777">
        <w:trPr>
          <w:trHeight w:val="216"/>
        </w:trPr>
        <w:tc>
          <w:tcPr>
            <w:tcW w:w="280" w:type="dxa"/>
            <w:vAlign w:val="bottom"/>
          </w:tcPr>
          <w:p w14:paraId="749A69BB" w14:textId="77777777" w:rsidR="00D1587D" w:rsidRDefault="00410D07">
            <w:pPr>
              <w:jc w:val="right"/>
              <w:rPr>
                <w:sz w:val="20"/>
                <w:szCs w:val="20"/>
              </w:rPr>
            </w:pPr>
            <w:r>
              <w:rPr>
                <w:rFonts w:ascii="Arial" w:eastAsia="Arial" w:hAnsi="Arial" w:cs="Arial"/>
                <w:w w:val="87"/>
                <w:sz w:val="18"/>
                <w:szCs w:val="18"/>
              </w:rPr>
              <w:t>52.</w:t>
            </w:r>
          </w:p>
        </w:tc>
        <w:tc>
          <w:tcPr>
            <w:tcW w:w="5340" w:type="dxa"/>
            <w:vAlign w:val="bottom"/>
          </w:tcPr>
          <w:p w14:paraId="62D72AAF" w14:textId="77777777" w:rsidR="00D1587D" w:rsidRDefault="00410D07">
            <w:pPr>
              <w:ind w:left="60"/>
              <w:rPr>
                <w:sz w:val="20"/>
                <w:szCs w:val="20"/>
              </w:rPr>
            </w:pPr>
            <w:r>
              <w:rPr>
                <w:rFonts w:ascii="Arial" w:eastAsia="Arial" w:hAnsi="Arial" w:cs="Arial"/>
                <w:sz w:val="18"/>
                <w:szCs w:val="18"/>
              </w:rPr>
              <w:t>VSPR Store Operations, LLC</w:t>
            </w:r>
          </w:p>
        </w:tc>
        <w:tc>
          <w:tcPr>
            <w:tcW w:w="5620" w:type="dxa"/>
            <w:vAlign w:val="bottom"/>
          </w:tcPr>
          <w:p w14:paraId="738D703C" w14:textId="77777777" w:rsidR="00D1587D" w:rsidRDefault="00410D07">
            <w:pPr>
              <w:ind w:left="1140"/>
              <w:rPr>
                <w:sz w:val="20"/>
                <w:szCs w:val="20"/>
              </w:rPr>
            </w:pPr>
            <w:r>
              <w:rPr>
                <w:rFonts w:ascii="Arial" w:eastAsia="Arial" w:hAnsi="Arial" w:cs="Arial"/>
                <w:sz w:val="18"/>
                <w:szCs w:val="18"/>
              </w:rPr>
              <w:t>Puerto Rico</w:t>
            </w:r>
          </w:p>
        </w:tc>
      </w:tr>
      <w:tr w:rsidR="00D1587D" w14:paraId="58FB70B8" w14:textId="77777777">
        <w:trPr>
          <w:trHeight w:val="230"/>
        </w:trPr>
        <w:tc>
          <w:tcPr>
            <w:tcW w:w="280" w:type="dxa"/>
            <w:vAlign w:val="bottom"/>
          </w:tcPr>
          <w:p w14:paraId="6A69F3F5" w14:textId="77777777" w:rsidR="00D1587D" w:rsidRDefault="00410D07">
            <w:pPr>
              <w:jc w:val="right"/>
              <w:rPr>
                <w:sz w:val="20"/>
                <w:szCs w:val="20"/>
              </w:rPr>
            </w:pPr>
            <w:r>
              <w:rPr>
                <w:rFonts w:ascii="Arial" w:eastAsia="Arial" w:hAnsi="Arial" w:cs="Arial"/>
                <w:w w:val="87"/>
                <w:sz w:val="18"/>
                <w:szCs w:val="18"/>
              </w:rPr>
              <w:t>53.</w:t>
            </w:r>
          </w:p>
        </w:tc>
        <w:tc>
          <w:tcPr>
            <w:tcW w:w="5340" w:type="dxa"/>
            <w:vAlign w:val="bottom"/>
          </w:tcPr>
          <w:p w14:paraId="7DC0DF42" w14:textId="77777777" w:rsidR="00D1587D" w:rsidRDefault="00410D07">
            <w:pPr>
              <w:ind w:left="60"/>
              <w:rPr>
                <w:sz w:val="20"/>
                <w:szCs w:val="20"/>
              </w:rPr>
            </w:pPr>
            <w:r>
              <w:rPr>
                <w:rFonts w:ascii="Arial" w:eastAsia="Arial" w:hAnsi="Arial" w:cs="Arial"/>
                <w:sz w:val="18"/>
                <w:szCs w:val="18"/>
              </w:rPr>
              <w:t>Victoria’s Secret UK Limited</w:t>
            </w:r>
          </w:p>
        </w:tc>
        <w:tc>
          <w:tcPr>
            <w:tcW w:w="5620" w:type="dxa"/>
            <w:vAlign w:val="bottom"/>
          </w:tcPr>
          <w:p w14:paraId="6B41DE56" w14:textId="77777777" w:rsidR="00D1587D" w:rsidRDefault="00410D07">
            <w:pPr>
              <w:ind w:left="1140"/>
              <w:rPr>
                <w:sz w:val="20"/>
                <w:szCs w:val="20"/>
              </w:rPr>
            </w:pPr>
            <w:r>
              <w:rPr>
                <w:rFonts w:ascii="Arial" w:eastAsia="Arial" w:hAnsi="Arial" w:cs="Arial"/>
                <w:sz w:val="18"/>
                <w:szCs w:val="18"/>
              </w:rPr>
              <w:t>United Kingdom</w:t>
            </w:r>
          </w:p>
        </w:tc>
      </w:tr>
      <w:tr w:rsidR="00D1587D" w14:paraId="09331335" w14:textId="77777777">
        <w:trPr>
          <w:trHeight w:val="358"/>
        </w:trPr>
        <w:tc>
          <w:tcPr>
            <w:tcW w:w="280" w:type="dxa"/>
            <w:tcBorders>
              <w:bottom w:val="single" w:sz="8" w:space="0" w:color="auto"/>
            </w:tcBorders>
            <w:vAlign w:val="bottom"/>
          </w:tcPr>
          <w:p w14:paraId="412016D7" w14:textId="77777777" w:rsidR="00D1587D" w:rsidRDefault="00D1587D">
            <w:pPr>
              <w:rPr>
                <w:sz w:val="24"/>
                <w:szCs w:val="24"/>
              </w:rPr>
            </w:pPr>
          </w:p>
        </w:tc>
        <w:tc>
          <w:tcPr>
            <w:tcW w:w="5340" w:type="dxa"/>
            <w:tcBorders>
              <w:bottom w:val="single" w:sz="8" w:space="0" w:color="auto"/>
            </w:tcBorders>
            <w:vAlign w:val="bottom"/>
          </w:tcPr>
          <w:p w14:paraId="07190156" w14:textId="77777777" w:rsidR="00D1587D" w:rsidRDefault="00D1587D">
            <w:pPr>
              <w:rPr>
                <w:sz w:val="24"/>
                <w:szCs w:val="24"/>
              </w:rPr>
            </w:pPr>
          </w:p>
        </w:tc>
        <w:tc>
          <w:tcPr>
            <w:tcW w:w="5620" w:type="dxa"/>
            <w:tcBorders>
              <w:bottom w:val="single" w:sz="8" w:space="0" w:color="auto"/>
            </w:tcBorders>
            <w:vAlign w:val="bottom"/>
          </w:tcPr>
          <w:p w14:paraId="655501CD" w14:textId="77777777" w:rsidR="00D1587D" w:rsidRDefault="00D1587D">
            <w:pPr>
              <w:rPr>
                <w:sz w:val="24"/>
                <w:szCs w:val="24"/>
              </w:rPr>
            </w:pPr>
          </w:p>
        </w:tc>
      </w:tr>
    </w:tbl>
    <w:p w14:paraId="077483CB" w14:textId="77777777" w:rsidR="00D1587D" w:rsidRDefault="00D1587D">
      <w:pPr>
        <w:sectPr w:rsidR="00D1587D">
          <w:pgSz w:w="11900" w:h="16838"/>
          <w:pgMar w:top="368" w:right="339" w:bottom="1440" w:left="320" w:header="0" w:footer="0" w:gutter="0"/>
          <w:cols w:space="720" w:equalWidth="0">
            <w:col w:w="11240"/>
          </w:cols>
        </w:sectPr>
      </w:pPr>
    </w:p>
    <w:bookmarkStart w:id="252" w:name="page253"/>
    <w:bookmarkEnd w:id="252"/>
    <w:p w14:paraId="1BF0A45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9DC7949" w14:textId="77777777" w:rsidR="00D1587D" w:rsidRDefault="00D1587D">
      <w:pPr>
        <w:spacing w:line="140" w:lineRule="exact"/>
        <w:rPr>
          <w:sz w:val="20"/>
          <w:szCs w:val="20"/>
        </w:rPr>
      </w:pPr>
    </w:p>
    <w:p w14:paraId="1A25D8C3" w14:textId="77777777" w:rsidR="00D1587D" w:rsidRDefault="00410D07">
      <w:pPr>
        <w:ind w:right="299"/>
        <w:jc w:val="right"/>
        <w:rPr>
          <w:sz w:val="20"/>
          <w:szCs w:val="20"/>
        </w:rPr>
      </w:pPr>
      <w:r>
        <w:rPr>
          <w:rFonts w:ascii="Arial" w:eastAsia="Arial" w:hAnsi="Arial" w:cs="Arial"/>
          <w:b/>
          <w:bCs/>
          <w:sz w:val="18"/>
          <w:szCs w:val="18"/>
        </w:rPr>
        <w:t>Exhibit 99.1</w:t>
      </w:r>
    </w:p>
    <w:p w14:paraId="38F97267" w14:textId="77777777" w:rsidR="00D1587D" w:rsidRDefault="00D1587D">
      <w:pPr>
        <w:spacing w:line="360" w:lineRule="exact"/>
        <w:rPr>
          <w:sz w:val="20"/>
          <w:szCs w:val="20"/>
        </w:rPr>
      </w:pPr>
    </w:p>
    <w:p w14:paraId="54A6B0C9" w14:textId="77777777" w:rsidR="00D1587D" w:rsidRDefault="00410D07">
      <w:pPr>
        <w:jc w:val="center"/>
        <w:rPr>
          <w:sz w:val="20"/>
          <w:szCs w:val="20"/>
        </w:rPr>
      </w:pPr>
      <w:r>
        <w:rPr>
          <w:rFonts w:ascii="Arial" w:eastAsia="Arial" w:hAnsi="Arial" w:cs="Arial"/>
          <w:b/>
          <w:bCs/>
          <w:sz w:val="18"/>
          <w:szCs w:val="18"/>
        </w:rPr>
        <w:t>(Subject to Completion, Dated June 21, 2021)</w:t>
      </w:r>
    </w:p>
    <w:p w14:paraId="19D8E0EB" w14:textId="77777777" w:rsidR="00D1587D" w:rsidRDefault="00D1587D">
      <w:pPr>
        <w:spacing w:line="200" w:lineRule="exact"/>
        <w:rPr>
          <w:sz w:val="20"/>
          <w:szCs w:val="20"/>
        </w:rPr>
      </w:pPr>
    </w:p>
    <w:p w14:paraId="30395F4E" w14:textId="77777777" w:rsidR="00D1587D" w:rsidRDefault="00D1587D">
      <w:pPr>
        <w:spacing w:line="200" w:lineRule="exact"/>
        <w:rPr>
          <w:sz w:val="20"/>
          <w:szCs w:val="20"/>
        </w:rPr>
      </w:pPr>
    </w:p>
    <w:p w14:paraId="2409F533" w14:textId="77777777" w:rsidR="00D1587D" w:rsidRDefault="00D1587D">
      <w:pPr>
        <w:spacing w:line="200" w:lineRule="exact"/>
        <w:rPr>
          <w:sz w:val="20"/>
          <w:szCs w:val="20"/>
        </w:rPr>
      </w:pPr>
    </w:p>
    <w:p w14:paraId="2D107268" w14:textId="77777777" w:rsidR="00D1587D" w:rsidRDefault="00D1587D">
      <w:pPr>
        <w:spacing w:line="200" w:lineRule="exact"/>
        <w:rPr>
          <w:sz w:val="20"/>
          <w:szCs w:val="20"/>
        </w:rPr>
      </w:pPr>
    </w:p>
    <w:p w14:paraId="6B01C131" w14:textId="77777777" w:rsidR="00D1587D" w:rsidRDefault="00D1587D">
      <w:pPr>
        <w:spacing w:line="200" w:lineRule="exact"/>
        <w:rPr>
          <w:sz w:val="20"/>
          <w:szCs w:val="20"/>
        </w:rPr>
      </w:pPr>
    </w:p>
    <w:p w14:paraId="3D5D6498" w14:textId="77777777" w:rsidR="00D1587D" w:rsidRDefault="00D1587D">
      <w:pPr>
        <w:spacing w:line="363" w:lineRule="exact"/>
        <w:rPr>
          <w:sz w:val="20"/>
          <w:szCs w:val="20"/>
        </w:rPr>
      </w:pPr>
    </w:p>
    <w:p w14:paraId="42E8F55C" w14:textId="77777777" w:rsidR="00D1587D" w:rsidRDefault="00410D07">
      <w:pPr>
        <w:ind w:left="300"/>
        <w:rPr>
          <w:sz w:val="20"/>
          <w:szCs w:val="20"/>
        </w:rPr>
      </w:pPr>
      <w:r>
        <w:rPr>
          <w:rFonts w:ascii="Arial" w:eastAsia="Arial" w:hAnsi="Arial" w:cs="Arial"/>
          <w:sz w:val="18"/>
          <w:szCs w:val="18"/>
        </w:rPr>
        <w:t xml:space="preserve">L Brands, </w:t>
      </w:r>
      <w:r>
        <w:rPr>
          <w:rFonts w:ascii="Arial" w:eastAsia="Arial" w:hAnsi="Arial" w:cs="Arial"/>
          <w:sz w:val="18"/>
          <w:szCs w:val="18"/>
        </w:rPr>
        <w:t>Inc.</w:t>
      </w:r>
    </w:p>
    <w:p w14:paraId="7E19919A" w14:textId="77777777" w:rsidR="00D1587D" w:rsidRDefault="00D1587D">
      <w:pPr>
        <w:spacing w:line="23" w:lineRule="exact"/>
        <w:rPr>
          <w:sz w:val="20"/>
          <w:szCs w:val="20"/>
        </w:rPr>
      </w:pPr>
    </w:p>
    <w:p w14:paraId="35F3B037" w14:textId="77777777" w:rsidR="00D1587D" w:rsidRDefault="00410D07">
      <w:pPr>
        <w:ind w:left="300"/>
        <w:rPr>
          <w:sz w:val="20"/>
          <w:szCs w:val="20"/>
        </w:rPr>
      </w:pPr>
      <w:r>
        <w:rPr>
          <w:rFonts w:ascii="Arial" w:eastAsia="Arial" w:hAnsi="Arial" w:cs="Arial"/>
          <w:sz w:val="18"/>
          <w:szCs w:val="18"/>
        </w:rPr>
        <w:t>Three Limited Parkway</w:t>
      </w:r>
    </w:p>
    <w:p w14:paraId="60BBFDC7" w14:textId="77777777" w:rsidR="00D1587D" w:rsidRDefault="00D1587D">
      <w:pPr>
        <w:spacing w:line="9" w:lineRule="exact"/>
        <w:rPr>
          <w:sz w:val="20"/>
          <w:szCs w:val="20"/>
        </w:rPr>
      </w:pPr>
    </w:p>
    <w:p w14:paraId="2703A64B" w14:textId="77777777" w:rsidR="00D1587D" w:rsidRDefault="00410D07">
      <w:pPr>
        <w:ind w:left="300"/>
        <w:rPr>
          <w:sz w:val="20"/>
          <w:szCs w:val="20"/>
        </w:rPr>
      </w:pPr>
      <w:r>
        <w:rPr>
          <w:rFonts w:ascii="Arial" w:eastAsia="Arial" w:hAnsi="Arial" w:cs="Arial"/>
          <w:sz w:val="18"/>
          <w:szCs w:val="18"/>
        </w:rPr>
        <w:t>Columbus, Ohio 43230</w:t>
      </w:r>
    </w:p>
    <w:p w14:paraId="520F4D68" w14:textId="77777777" w:rsidR="00D1587D" w:rsidRDefault="00D1587D">
      <w:pPr>
        <w:spacing w:line="143" w:lineRule="exact"/>
        <w:rPr>
          <w:sz w:val="20"/>
          <w:szCs w:val="20"/>
        </w:rPr>
      </w:pPr>
    </w:p>
    <w:p w14:paraId="30197788" w14:textId="77777777" w:rsidR="00D1587D" w:rsidRDefault="00410D07">
      <w:pPr>
        <w:ind w:left="1200"/>
        <w:rPr>
          <w:sz w:val="20"/>
          <w:szCs w:val="20"/>
        </w:rPr>
      </w:pPr>
      <w:r>
        <w:rPr>
          <w:rFonts w:ascii="Arial" w:eastAsia="Arial" w:hAnsi="Arial" w:cs="Arial"/>
          <w:sz w:val="18"/>
          <w:szCs w:val="18"/>
        </w:rPr>
        <w:t>, 2021</w:t>
      </w:r>
    </w:p>
    <w:p w14:paraId="5C0B73B2" w14:textId="77777777" w:rsidR="00D1587D" w:rsidRDefault="00D1587D">
      <w:pPr>
        <w:spacing w:line="171" w:lineRule="exact"/>
        <w:rPr>
          <w:sz w:val="20"/>
          <w:szCs w:val="20"/>
        </w:rPr>
      </w:pPr>
    </w:p>
    <w:p w14:paraId="3E6264F5" w14:textId="77777777" w:rsidR="00D1587D" w:rsidRDefault="00410D07">
      <w:pPr>
        <w:ind w:left="300"/>
        <w:rPr>
          <w:sz w:val="20"/>
          <w:szCs w:val="20"/>
        </w:rPr>
      </w:pPr>
      <w:r>
        <w:rPr>
          <w:rFonts w:ascii="Arial" w:eastAsia="Arial" w:hAnsi="Arial" w:cs="Arial"/>
          <w:sz w:val="18"/>
          <w:szCs w:val="18"/>
        </w:rPr>
        <w:t>Dear LB Stockholder:</w:t>
      </w:r>
    </w:p>
    <w:p w14:paraId="5FC7D70E" w14:textId="77777777" w:rsidR="00D1587D" w:rsidRDefault="00D1587D">
      <w:pPr>
        <w:spacing w:line="117" w:lineRule="exact"/>
        <w:rPr>
          <w:sz w:val="20"/>
          <w:szCs w:val="20"/>
        </w:rPr>
      </w:pPr>
    </w:p>
    <w:p w14:paraId="10921BF1" w14:textId="77777777" w:rsidR="00D1587D" w:rsidRDefault="00410D07">
      <w:pPr>
        <w:spacing w:line="291" w:lineRule="auto"/>
        <w:ind w:left="300" w:right="339" w:firstLine="360"/>
        <w:rPr>
          <w:sz w:val="20"/>
          <w:szCs w:val="20"/>
        </w:rPr>
      </w:pPr>
      <w:r>
        <w:rPr>
          <w:rFonts w:ascii="Arial" w:eastAsia="Arial" w:hAnsi="Arial" w:cs="Arial"/>
          <w:sz w:val="16"/>
          <w:szCs w:val="16"/>
        </w:rPr>
        <w:t>On May 11, 2021, L Brands, Inc. (“LB”) announced the strategic repositioning of LB through the spinoff of its Victoria’s Secret businesses from its remaining businesses (the “</w:t>
      </w:r>
      <w:r>
        <w:rPr>
          <w:rFonts w:ascii="Arial" w:eastAsia="Arial" w:hAnsi="Arial" w:cs="Arial"/>
          <w:sz w:val="16"/>
          <w:szCs w:val="16"/>
        </w:rPr>
        <w:t>Separation”), which is expected to become effective</w:t>
      </w:r>
    </w:p>
    <w:p w14:paraId="50469696" w14:textId="77777777" w:rsidR="00D1587D" w:rsidRDefault="00410D07">
      <w:pPr>
        <w:spacing w:line="277" w:lineRule="auto"/>
        <w:ind w:left="300" w:right="539"/>
        <w:rPr>
          <w:sz w:val="20"/>
          <w:szCs w:val="20"/>
        </w:rPr>
      </w:pPr>
      <w:r>
        <w:rPr>
          <w:rFonts w:ascii="Arial" w:eastAsia="Arial" w:hAnsi="Arial" w:cs="Arial"/>
          <w:sz w:val="17"/>
          <w:szCs w:val="17"/>
        </w:rPr>
        <w:t>on , 2021. On the effective date of the Separation, Victoria’s Secret &amp; Co. (“VS”), a Delaware corporation formed in anticipation of the Separation, will become an independent, publicly traded company and</w:t>
      </w:r>
      <w:r>
        <w:rPr>
          <w:rFonts w:ascii="Arial" w:eastAsia="Arial" w:hAnsi="Arial" w:cs="Arial"/>
          <w:sz w:val="17"/>
          <w:szCs w:val="17"/>
        </w:rPr>
        <w:t xml:space="preserve"> will hold, directly or indirectly through its subsidiaries, certain assets and liabilities associated with the VS businesses.</w:t>
      </w:r>
    </w:p>
    <w:p w14:paraId="3F0BCE83" w14:textId="77777777" w:rsidR="00D1587D" w:rsidRDefault="00D1587D">
      <w:pPr>
        <w:spacing w:line="65" w:lineRule="exact"/>
        <w:rPr>
          <w:sz w:val="20"/>
          <w:szCs w:val="20"/>
        </w:rPr>
      </w:pPr>
    </w:p>
    <w:p w14:paraId="42FE3F26" w14:textId="77777777" w:rsidR="00D1587D" w:rsidRDefault="00410D07">
      <w:pPr>
        <w:spacing w:line="291" w:lineRule="auto"/>
        <w:ind w:left="300" w:right="539" w:firstLine="360"/>
        <w:rPr>
          <w:sz w:val="20"/>
          <w:szCs w:val="20"/>
        </w:rPr>
      </w:pPr>
      <w:r>
        <w:rPr>
          <w:rFonts w:ascii="Arial" w:eastAsia="Arial" w:hAnsi="Arial" w:cs="Arial"/>
          <w:sz w:val="16"/>
          <w:szCs w:val="16"/>
        </w:rPr>
        <w:t xml:space="preserve">The Separation is subject to conditions as described in the enclosed information statement. Subject to the </w:t>
      </w:r>
      <w:r>
        <w:rPr>
          <w:rFonts w:ascii="Arial" w:eastAsia="Arial" w:hAnsi="Arial" w:cs="Arial"/>
          <w:sz w:val="16"/>
          <w:szCs w:val="16"/>
        </w:rPr>
        <w:t>satisfaction or waiver of these conditions, the Separation will be completed by way of a pro rata distribution of all</w:t>
      </w:r>
    </w:p>
    <w:p w14:paraId="2EC95A31" w14:textId="77777777" w:rsidR="00D1587D" w:rsidRDefault="00410D07">
      <w:pPr>
        <w:spacing w:line="281" w:lineRule="auto"/>
        <w:ind w:left="300" w:right="479"/>
        <w:rPr>
          <w:sz w:val="20"/>
          <w:szCs w:val="20"/>
        </w:rPr>
      </w:pPr>
      <w:r>
        <w:rPr>
          <w:rFonts w:ascii="Arial" w:eastAsia="Arial" w:hAnsi="Arial" w:cs="Arial"/>
          <w:sz w:val="16"/>
          <w:szCs w:val="16"/>
        </w:rPr>
        <w:t>the outstanding shares of VS common stock to LB’s stockholders of record as of the close of business on , 2021, the distribution record da</w:t>
      </w:r>
      <w:r>
        <w:rPr>
          <w:rFonts w:ascii="Arial" w:eastAsia="Arial" w:hAnsi="Arial" w:cs="Arial"/>
          <w:sz w:val="16"/>
          <w:szCs w:val="16"/>
        </w:rPr>
        <w:t>te (the “Distribution”). Each LB stockholder of record will receive one share of VS</w:t>
      </w:r>
    </w:p>
    <w:p w14:paraId="7D95C4EA" w14:textId="77777777" w:rsidR="00D1587D" w:rsidRDefault="00D1587D">
      <w:pPr>
        <w:spacing w:line="1" w:lineRule="exact"/>
        <w:rPr>
          <w:sz w:val="20"/>
          <w:szCs w:val="20"/>
        </w:rPr>
      </w:pPr>
    </w:p>
    <w:p w14:paraId="75B05145" w14:textId="77777777" w:rsidR="00D1587D" w:rsidRDefault="00410D07">
      <w:pPr>
        <w:spacing w:line="251" w:lineRule="auto"/>
        <w:ind w:left="300" w:right="319"/>
        <w:rPr>
          <w:sz w:val="20"/>
          <w:szCs w:val="20"/>
        </w:rPr>
      </w:pPr>
      <w:r>
        <w:rPr>
          <w:rFonts w:ascii="Arial" w:eastAsia="Arial" w:hAnsi="Arial" w:cs="Arial"/>
          <w:sz w:val="18"/>
          <w:szCs w:val="18"/>
        </w:rPr>
        <w:t>common stock, par value $0.01 per share, for every shares of LB common stock, par value $0.50 per share, held by such stockholder on the record date. The distribution of t</w:t>
      </w:r>
      <w:r>
        <w:rPr>
          <w:rFonts w:ascii="Arial" w:eastAsia="Arial" w:hAnsi="Arial" w:cs="Arial"/>
          <w:sz w:val="18"/>
          <w:szCs w:val="18"/>
        </w:rPr>
        <w:t>hese shares will be made in book-entry form, which means that no physical share certificates will be issued. At any time following the Distribution, stockholders may request that their shares of VS common stock be transferred to a brokerage or other accoun</w:t>
      </w:r>
      <w:r>
        <w:rPr>
          <w:rFonts w:ascii="Arial" w:eastAsia="Arial" w:hAnsi="Arial" w:cs="Arial"/>
          <w:sz w:val="18"/>
          <w:szCs w:val="18"/>
        </w:rPr>
        <w:t>t. No fractional shares of VS common stock will be issued. The distribution agent for the Distribution will aggregate fractional shares into whole shares, sell the whole shares in the open market at prevailing prices and distribute the net cash proceeds fr</w:t>
      </w:r>
      <w:r>
        <w:rPr>
          <w:rFonts w:ascii="Arial" w:eastAsia="Arial" w:hAnsi="Arial" w:cs="Arial"/>
          <w:sz w:val="18"/>
          <w:szCs w:val="18"/>
        </w:rPr>
        <w:t>om the sales pro rata to each holder who would otherwise have been entitled to receive a fractional share in the Distribution.</w:t>
      </w:r>
    </w:p>
    <w:p w14:paraId="082AC579" w14:textId="77777777" w:rsidR="00D1587D" w:rsidRDefault="00D1587D">
      <w:pPr>
        <w:spacing w:line="90" w:lineRule="exact"/>
        <w:rPr>
          <w:sz w:val="20"/>
          <w:szCs w:val="20"/>
        </w:rPr>
      </w:pPr>
    </w:p>
    <w:p w14:paraId="6BE65ABE" w14:textId="77777777" w:rsidR="00D1587D" w:rsidRDefault="00410D07">
      <w:pPr>
        <w:spacing w:line="263" w:lineRule="auto"/>
        <w:ind w:left="300" w:right="399" w:firstLine="360"/>
        <w:rPr>
          <w:sz w:val="20"/>
          <w:szCs w:val="20"/>
        </w:rPr>
      </w:pPr>
      <w:r>
        <w:rPr>
          <w:rFonts w:ascii="Arial" w:eastAsia="Arial" w:hAnsi="Arial" w:cs="Arial"/>
          <w:sz w:val="18"/>
          <w:szCs w:val="18"/>
        </w:rPr>
        <w:t>LB expects to receive an opinion from counsel to the effect that, among other things, the Distribution, together with certain re</w:t>
      </w:r>
      <w:r>
        <w:rPr>
          <w:rFonts w:ascii="Arial" w:eastAsia="Arial" w:hAnsi="Arial" w:cs="Arial"/>
          <w:sz w:val="18"/>
          <w:szCs w:val="18"/>
        </w:rPr>
        <w:t>lated transactions, will qualify as a transaction that is tax-free for U.S. federal income tax purposes, except to the extent of any cash received in lieu of fractional shares.</w:t>
      </w:r>
    </w:p>
    <w:p w14:paraId="7F34162B" w14:textId="77777777" w:rsidR="00D1587D" w:rsidRDefault="00D1587D">
      <w:pPr>
        <w:spacing w:line="76" w:lineRule="exact"/>
        <w:rPr>
          <w:sz w:val="20"/>
          <w:szCs w:val="20"/>
        </w:rPr>
      </w:pPr>
    </w:p>
    <w:p w14:paraId="0C43663C" w14:textId="77777777" w:rsidR="00D1587D" w:rsidRDefault="00410D07">
      <w:pPr>
        <w:spacing w:line="259" w:lineRule="auto"/>
        <w:ind w:left="300" w:right="399" w:firstLine="360"/>
        <w:rPr>
          <w:sz w:val="20"/>
          <w:szCs w:val="20"/>
        </w:rPr>
      </w:pPr>
      <w:r>
        <w:rPr>
          <w:rFonts w:ascii="Arial" w:eastAsia="Arial" w:hAnsi="Arial" w:cs="Arial"/>
          <w:sz w:val="18"/>
          <w:szCs w:val="18"/>
        </w:rPr>
        <w:t xml:space="preserve">The Distribution does not require LB stockholder approval, nor do you need to </w:t>
      </w:r>
      <w:r>
        <w:rPr>
          <w:rFonts w:ascii="Arial" w:eastAsia="Arial" w:hAnsi="Arial" w:cs="Arial"/>
          <w:sz w:val="18"/>
          <w:szCs w:val="18"/>
        </w:rPr>
        <w:t>take any action to receive your shares of VS common stock. LB’s common stock will continue to trade on the New York Stock Exchange under the ticker symbol “LB.” VS has applied to have its shares of common stock listed on the New York Stock Exchange under t</w:t>
      </w:r>
      <w:r>
        <w:rPr>
          <w:rFonts w:ascii="Arial" w:eastAsia="Arial" w:hAnsi="Arial" w:cs="Arial"/>
          <w:sz w:val="18"/>
          <w:szCs w:val="18"/>
        </w:rPr>
        <w:t>he ticker symbol “VSCO.”</w:t>
      </w:r>
    </w:p>
    <w:p w14:paraId="10B5D3F5" w14:textId="77777777" w:rsidR="00D1587D" w:rsidRDefault="00D1587D">
      <w:pPr>
        <w:spacing w:line="79" w:lineRule="exact"/>
        <w:rPr>
          <w:sz w:val="20"/>
          <w:szCs w:val="20"/>
        </w:rPr>
      </w:pPr>
    </w:p>
    <w:p w14:paraId="2A910E69" w14:textId="77777777" w:rsidR="00D1587D" w:rsidRDefault="00410D07">
      <w:pPr>
        <w:spacing w:line="263" w:lineRule="auto"/>
        <w:ind w:left="300" w:right="399" w:firstLine="360"/>
        <w:jc w:val="both"/>
        <w:rPr>
          <w:sz w:val="20"/>
          <w:szCs w:val="20"/>
        </w:rPr>
      </w:pPr>
      <w:r>
        <w:rPr>
          <w:rFonts w:ascii="Arial" w:eastAsia="Arial" w:hAnsi="Arial" w:cs="Arial"/>
          <w:sz w:val="18"/>
          <w:szCs w:val="18"/>
        </w:rPr>
        <w:t>The enclosed information statement, which we are mailing to all LB stockholders, describes the Separation in detail and contains important information about VS, including its historical combined financial statements. We urge you t</w:t>
      </w:r>
      <w:r>
        <w:rPr>
          <w:rFonts w:ascii="Arial" w:eastAsia="Arial" w:hAnsi="Arial" w:cs="Arial"/>
          <w:sz w:val="18"/>
          <w:szCs w:val="18"/>
        </w:rPr>
        <w:t>o read this information statement carefully.</w:t>
      </w:r>
    </w:p>
    <w:p w14:paraId="19E292A9" w14:textId="77777777" w:rsidR="00D1587D" w:rsidRDefault="00D1587D">
      <w:pPr>
        <w:spacing w:line="116" w:lineRule="exact"/>
        <w:rPr>
          <w:sz w:val="20"/>
          <w:szCs w:val="20"/>
        </w:rPr>
      </w:pPr>
    </w:p>
    <w:p w14:paraId="24211FEF" w14:textId="77777777" w:rsidR="00D1587D" w:rsidRDefault="00410D07">
      <w:pPr>
        <w:ind w:left="660"/>
        <w:rPr>
          <w:sz w:val="20"/>
          <w:szCs w:val="20"/>
        </w:rPr>
      </w:pPr>
      <w:r>
        <w:rPr>
          <w:rFonts w:ascii="Arial" w:eastAsia="Arial" w:hAnsi="Arial" w:cs="Arial"/>
          <w:sz w:val="18"/>
          <w:szCs w:val="18"/>
        </w:rPr>
        <w:t>We want to thank you for your continued support of LB.</w:t>
      </w:r>
    </w:p>
    <w:p w14:paraId="25D2D2B1" w14:textId="77777777" w:rsidR="00D1587D" w:rsidRDefault="00D1587D">
      <w:pPr>
        <w:spacing w:line="185" w:lineRule="exact"/>
        <w:rPr>
          <w:sz w:val="20"/>
          <w:szCs w:val="20"/>
        </w:rPr>
      </w:pPr>
    </w:p>
    <w:p w14:paraId="23E992FD" w14:textId="77777777" w:rsidR="00D1587D" w:rsidRDefault="00410D07">
      <w:pPr>
        <w:ind w:left="4620"/>
        <w:rPr>
          <w:sz w:val="20"/>
          <w:szCs w:val="20"/>
        </w:rPr>
      </w:pPr>
      <w:r>
        <w:rPr>
          <w:rFonts w:ascii="Arial" w:eastAsia="Arial" w:hAnsi="Arial" w:cs="Arial"/>
          <w:sz w:val="18"/>
          <w:szCs w:val="18"/>
        </w:rPr>
        <w:t>Sincerely,</w:t>
      </w:r>
    </w:p>
    <w:p w14:paraId="52B8C0B6" w14:textId="77777777" w:rsidR="00D1587D" w:rsidRDefault="00D1587D">
      <w:pPr>
        <w:spacing w:line="200" w:lineRule="exact"/>
        <w:rPr>
          <w:sz w:val="20"/>
          <w:szCs w:val="20"/>
        </w:rPr>
      </w:pPr>
    </w:p>
    <w:p w14:paraId="14C5E6ED" w14:textId="77777777" w:rsidR="00D1587D" w:rsidRDefault="00D1587D">
      <w:pPr>
        <w:spacing w:line="241" w:lineRule="exact"/>
        <w:rPr>
          <w:sz w:val="20"/>
          <w:szCs w:val="20"/>
        </w:rPr>
      </w:pPr>
    </w:p>
    <w:p w14:paraId="0738DFA7" w14:textId="77777777" w:rsidR="00D1587D" w:rsidRDefault="00410D07">
      <w:pPr>
        <w:ind w:left="4620"/>
        <w:rPr>
          <w:sz w:val="20"/>
          <w:szCs w:val="20"/>
        </w:rPr>
      </w:pPr>
      <w:r>
        <w:rPr>
          <w:rFonts w:ascii="Arial" w:eastAsia="Arial" w:hAnsi="Arial" w:cs="Arial"/>
          <w:sz w:val="18"/>
          <w:szCs w:val="18"/>
        </w:rPr>
        <w:t>Andrew Meslow</w:t>
      </w:r>
    </w:p>
    <w:p w14:paraId="2BE8BD12" w14:textId="77777777" w:rsidR="00D1587D" w:rsidRDefault="00D1587D">
      <w:pPr>
        <w:spacing w:line="23" w:lineRule="exact"/>
        <w:rPr>
          <w:sz w:val="20"/>
          <w:szCs w:val="20"/>
        </w:rPr>
      </w:pPr>
    </w:p>
    <w:p w14:paraId="1AAA263F" w14:textId="77777777" w:rsidR="00D1587D" w:rsidRDefault="00410D07">
      <w:pPr>
        <w:ind w:left="4620"/>
        <w:rPr>
          <w:sz w:val="20"/>
          <w:szCs w:val="20"/>
        </w:rPr>
      </w:pPr>
      <w:r>
        <w:rPr>
          <w:rFonts w:ascii="Arial" w:eastAsia="Arial" w:hAnsi="Arial" w:cs="Arial"/>
          <w:sz w:val="18"/>
          <w:szCs w:val="18"/>
        </w:rPr>
        <w:t>Chief Executive Officer</w:t>
      </w:r>
    </w:p>
    <w:p w14:paraId="0C89F60A" w14:textId="77777777" w:rsidR="00D1587D" w:rsidRDefault="00D1587D">
      <w:pPr>
        <w:spacing w:line="9" w:lineRule="exact"/>
        <w:rPr>
          <w:sz w:val="20"/>
          <w:szCs w:val="20"/>
        </w:rPr>
      </w:pPr>
    </w:p>
    <w:p w14:paraId="23B0851F" w14:textId="77777777" w:rsidR="00D1587D" w:rsidRDefault="00410D07">
      <w:pPr>
        <w:ind w:left="4620"/>
        <w:rPr>
          <w:sz w:val="20"/>
          <w:szCs w:val="20"/>
        </w:rPr>
      </w:pPr>
      <w:r>
        <w:rPr>
          <w:rFonts w:ascii="Arial" w:eastAsia="Arial" w:hAnsi="Arial" w:cs="Arial"/>
          <w:sz w:val="18"/>
          <w:szCs w:val="18"/>
        </w:rPr>
        <w:t>L Brands, Inc.</w:t>
      </w:r>
    </w:p>
    <w:p w14:paraId="45EFC589" w14:textId="77777777" w:rsidR="00D1587D" w:rsidRDefault="00410D07">
      <w:pPr>
        <w:spacing w:line="20" w:lineRule="exact"/>
        <w:rPr>
          <w:sz w:val="20"/>
          <w:szCs w:val="20"/>
        </w:rPr>
      </w:pPr>
      <w:r>
        <w:rPr>
          <w:noProof/>
          <w:sz w:val="20"/>
          <w:szCs w:val="20"/>
        </w:rPr>
        <w:drawing>
          <wp:anchor distT="0" distB="0" distL="114300" distR="114300" simplePos="0" relativeHeight="251416576" behindDoc="1" locked="0" layoutInCell="0" allowOverlap="1" wp14:anchorId="710556CF" wp14:editId="74E03F6D">
            <wp:simplePos x="0" y="0"/>
            <wp:positionH relativeFrom="column">
              <wp:posOffset>-636905</wp:posOffset>
            </wp:positionH>
            <wp:positionV relativeFrom="paragraph">
              <wp:posOffset>160020</wp:posOffset>
            </wp:positionV>
            <wp:extent cx="6995160" cy="1714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A79F95B" w14:textId="77777777" w:rsidR="00D1587D" w:rsidRDefault="00D1587D">
      <w:pPr>
        <w:sectPr w:rsidR="00D1587D">
          <w:pgSz w:w="11900" w:h="16838"/>
          <w:pgMar w:top="118" w:right="1440" w:bottom="1440" w:left="1440" w:header="0" w:footer="0" w:gutter="0"/>
          <w:cols w:space="720" w:equalWidth="0">
            <w:col w:w="9019"/>
          </w:cols>
        </w:sectPr>
      </w:pPr>
    </w:p>
    <w:bookmarkStart w:id="253" w:name="page254"/>
    <w:bookmarkEnd w:id="253"/>
    <w:p w14:paraId="545FD0B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AD66F84" w14:textId="77777777" w:rsidR="00D1587D" w:rsidRDefault="00410D07">
      <w:pPr>
        <w:spacing w:line="20" w:lineRule="exact"/>
        <w:rPr>
          <w:sz w:val="20"/>
          <w:szCs w:val="20"/>
        </w:rPr>
      </w:pPr>
      <w:r>
        <w:rPr>
          <w:noProof/>
          <w:sz w:val="20"/>
          <w:szCs w:val="20"/>
        </w:rPr>
        <w:drawing>
          <wp:anchor distT="0" distB="0" distL="114300" distR="114300" simplePos="0" relativeHeight="251417600" behindDoc="1" locked="0" layoutInCell="0" allowOverlap="1" wp14:anchorId="59EE3F18" wp14:editId="23F7575C">
            <wp:simplePos x="0" y="0"/>
            <wp:positionH relativeFrom="column">
              <wp:posOffset>2122805</wp:posOffset>
            </wp:positionH>
            <wp:positionV relativeFrom="paragraph">
              <wp:posOffset>220980</wp:posOffset>
            </wp:positionV>
            <wp:extent cx="1482725" cy="54864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7"/>
                    <a:srcRect/>
                    <a:stretch>
                      <a:fillRect/>
                    </a:stretch>
                  </pic:blipFill>
                  <pic:spPr bwMode="auto">
                    <a:xfrm>
                      <a:off x="0" y="0"/>
                      <a:ext cx="1482725" cy="548640"/>
                    </a:xfrm>
                    <a:prstGeom prst="rect">
                      <a:avLst/>
                    </a:prstGeom>
                    <a:noFill/>
                  </pic:spPr>
                </pic:pic>
              </a:graphicData>
            </a:graphic>
          </wp:anchor>
        </w:drawing>
      </w:r>
    </w:p>
    <w:p w14:paraId="0F810AE6" w14:textId="77777777" w:rsidR="00D1587D" w:rsidRDefault="00D1587D">
      <w:pPr>
        <w:spacing w:line="200" w:lineRule="exact"/>
        <w:rPr>
          <w:sz w:val="20"/>
          <w:szCs w:val="20"/>
        </w:rPr>
      </w:pPr>
    </w:p>
    <w:p w14:paraId="648BDB6A" w14:textId="77777777" w:rsidR="00D1587D" w:rsidRDefault="00D1587D">
      <w:pPr>
        <w:spacing w:line="200" w:lineRule="exact"/>
        <w:rPr>
          <w:sz w:val="20"/>
          <w:szCs w:val="20"/>
        </w:rPr>
      </w:pPr>
    </w:p>
    <w:p w14:paraId="646D64BF" w14:textId="77777777" w:rsidR="00D1587D" w:rsidRDefault="00D1587D">
      <w:pPr>
        <w:spacing w:line="200" w:lineRule="exact"/>
        <w:rPr>
          <w:sz w:val="20"/>
          <w:szCs w:val="20"/>
        </w:rPr>
      </w:pPr>
    </w:p>
    <w:p w14:paraId="53BEDB29" w14:textId="77777777" w:rsidR="00D1587D" w:rsidRDefault="00D1587D">
      <w:pPr>
        <w:spacing w:line="200" w:lineRule="exact"/>
        <w:rPr>
          <w:sz w:val="20"/>
          <w:szCs w:val="20"/>
        </w:rPr>
      </w:pPr>
    </w:p>
    <w:p w14:paraId="5BEAA3B0" w14:textId="77777777" w:rsidR="00D1587D" w:rsidRDefault="00D1587D">
      <w:pPr>
        <w:spacing w:line="200" w:lineRule="exact"/>
        <w:rPr>
          <w:sz w:val="20"/>
          <w:szCs w:val="20"/>
        </w:rPr>
      </w:pPr>
    </w:p>
    <w:p w14:paraId="53967113" w14:textId="77777777" w:rsidR="00D1587D" w:rsidRDefault="00D1587D">
      <w:pPr>
        <w:spacing w:line="200" w:lineRule="exact"/>
        <w:rPr>
          <w:sz w:val="20"/>
          <w:szCs w:val="20"/>
        </w:rPr>
      </w:pPr>
    </w:p>
    <w:p w14:paraId="4D7CD372" w14:textId="77777777" w:rsidR="00D1587D" w:rsidRDefault="00D1587D">
      <w:pPr>
        <w:spacing w:line="342" w:lineRule="exact"/>
        <w:rPr>
          <w:sz w:val="20"/>
          <w:szCs w:val="20"/>
        </w:rPr>
      </w:pPr>
    </w:p>
    <w:p w14:paraId="48C8ABAF" w14:textId="77777777" w:rsidR="00D1587D" w:rsidRDefault="00410D07">
      <w:pPr>
        <w:ind w:left="300"/>
        <w:rPr>
          <w:sz w:val="20"/>
          <w:szCs w:val="20"/>
        </w:rPr>
      </w:pPr>
      <w:r>
        <w:rPr>
          <w:rFonts w:ascii="Arial" w:eastAsia="Arial" w:hAnsi="Arial" w:cs="Arial"/>
          <w:sz w:val="18"/>
          <w:szCs w:val="18"/>
        </w:rPr>
        <w:t>Victoria’s Secret &amp; Co.</w:t>
      </w:r>
    </w:p>
    <w:p w14:paraId="556F284C" w14:textId="77777777" w:rsidR="00D1587D" w:rsidRDefault="00D1587D">
      <w:pPr>
        <w:spacing w:line="23" w:lineRule="exact"/>
        <w:rPr>
          <w:sz w:val="20"/>
          <w:szCs w:val="20"/>
        </w:rPr>
      </w:pPr>
    </w:p>
    <w:p w14:paraId="2469CFA4" w14:textId="77777777" w:rsidR="00D1587D" w:rsidRDefault="00410D07">
      <w:pPr>
        <w:ind w:left="300"/>
        <w:rPr>
          <w:sz w:val="20"/>
          <w:szCs w:val="20"/>
        </w:rPr>
      </w:pPr>
      <w:r>
        <w:rPr>
          <w:rFonts w:ascii="Arial" w:eastAsia="Arial" w:hAnsi="Arial" w:cs="Arial"/>
          <w:sz w:val="18"/>
          <w:szCs w:val="18"/>
        </w:rPr>
        <w:t>4 Limited Parkway East</w:t>
      </w:r>
    </w:p>
    <w:p w14:paraId="0A4F8CDD" w14:textId="77777777" w:rsidR="00D1587D" w:rsidRDefault="00D1587D">
      <w:pPr>
        <w:spacing w:line="9" w:lineRule="exact"/>
        <w:rPr>
          <w:sz w:val="20"/>
          <w:szCs w:val="20"/>
        </w:rPr>
      </w:pPr>
    </w:p>
    <w:p w14:paraId="28DBBC4C" w14:textId="77777777" w:rsidR="00D1587D" w:rsidRDefault="00410D07">
      <w:pPr>
        <w:ind w:left="300"/>
        <w:rPr>
          <w:sz w:val="20"/>
          <w:szCs w:val="20"/>
        </w:rPr>
      </w:pPr>
      <w:r>
        <w:rPr>
          <w:rFonts w:ascii="Arial" w:eastAsia="Arial" w:hAnsi="Arial" w:cs="Arial"/>
          <w:sz w:val="18"/>
          <w:szCs w:val="18"/>
        </w:rPr>
        <w:t>Reynoldsburg, Ohio 43068</w:t>
      </w:r>
    </w:p>
    <w:p w14:paraId="10D38A6D" w14:textId="77777777" w:rsidR="00D1587D" w:rsidRDefault="00D1587D">
      <w:pPr>
        <w:spacing w:line="143" w:lineRule="exact"/>
        <w:rPr>
          <w:sz w:val="20"/>
          <w:szCs w:val="20"/>
        </w:rPr>
      </w:pPr>
    </w:p>
    <w:p w14:paraId="1E7230C5" w14:textId="77777777" w:rsidR="00D1587D" w:rsidRDefault="00410D07">
      <w:pPr>
        <w:ind w:left="1380"/>
        <w:rPr>
          <w:sz w:val="20"/>
          <w:szCs w:val="20"/>
        </w:rPr>
      </w:pPr>
      <w:r>
        <w:rPr>
          <w:rFonts w:ascii="Arial" w:eastAsia="Arial" w:hAnsi="Arial" w:cs="Arial"/>
          <w:sz w:val="18"/>
          <w:szCs w:val="18"/>
        </w:rPr>
        <w:t>, 2021</w:t>
      </w:r>
    </w:p>
    <w:p w14:paraId="1DC5BFBF" w14:textId="77777777" w:rsidR="00D1587D" w:rsidRDefault="00D1587D">
      <w:pPr>
        <w:spacing w:line="171" w:lineRule="exact"/>
        <w:rPr>
          <w:sz w:val="20"/>
          <w:szCs w:val="20"/>
        </w:rPr>
      </w:pPr>
    </w:p>
    <w:p w14:paraId="4659D57B" w14:textId="77777777" w:rsidR="00D1587D" w:rsidRDefault="00410D07">
      <w:pPr>
        <w:ind w:left="300"/>
        <w:rPr>
          <w:sz w:val="20"/>
          <w:szCs w:val="20"/>
        </w:rPr>
      </w:pPr>
      <w:r>
        <w:rPr>
          <w:rFonts w:ascii="Arial" w:eastAsia="Arial" w:hAnsi="Arial" w:cs="Arial"/>
          <w:sz w:val="18"/>
          <w:szCs w:val="18"/>
        </w:rPr>
        <w:t>Dear Future VS Stockholder:</w:t>
      </w:r>
    </w:p>
    <w:p w14:paraId="7F5FBA61" w14:textId="77777777" w:rsidR="00D1587D" w:rsidRDefault="00D1587D">
      <w:pPr>
        <w:spacing w:line="117" w:lineRule="exact"/>
        <w:rPr>
          <w:sz w:val="20"/>
          <w:szCs w:val="20"/>
        </w:rPr>
      </w:pPr>
    </w:p>
    <w:p w14:paraId="167E0E42" w14:textId="77777777" w:rsidR="00D1587D" w:rsidRDefault="00410D07">
      <w:pPr>
        <w:spacing w:line="263" w:lineRule="auto"/>
        <w:ind w:left="300" w:right="419" w:firstLine="360"/>
        <w:rPr>
          <w:sz w:val="20"/>
          <w:szCs w:val="20"/>
        </w:rPr>
      </w:pPr>
      <w:r>
        <w:rPr>
          <w:rFonts w:ascii="Arial" w:eastAsia="Arial" w:hAnsi="Arial" w:cs="Arial"/>
          <w:sz w:val="18"/>
          <w:szCs w:val="18"/>
        </w:rPr>
        <w:t xml:space="preserve">I am excited to welcome you as a stockholder of our new company, Victoria’s Secret &amp; Co. (“VS”). Following the spinoff by L Brands, Inc. of </w:t>
      </w:r>
      <w:r>
        <w:rPr>
          <w:rFonts w:ascii="Arial" w:eastAsia="Arial" w:hAnsi="Arial" w:cs="Arial"/>
          <w:sz w:val="18"/>
          <w:szCs w:val="18"/>
        </w:rPr>
        <w:t>its VS businesses to us, we will be a global specialty retailer of women’s intimate and other apparel, personal care and beauty products.</w:t>
      </w:r>
    </w:p>
    <w:p w14:paraId="7CF5A68E" w14:textId="77777777" w:rsidR="00D1587D" w:rsidRDefault="00D1587D">
      <w:pPr>
        <w:spacing w:line="76" w:lineRule="exact"/>
        <w:rPr>
          <w:sz w:val="20"/>
          <w:szCs w:val="20"/>
        </w:rPr>
      </w:pPr>
    </w:p>
    <w:p w14:paraId="770398B5" w14:textId="77777777" w:rsidR="00D1587D" w:rsidRDefault="00410D07">
      <w:pPr>
        <w:spacing w:line="270" w:lineRule="auto"/>
        <w:ind w:left="300" w:right="319" w:firstLine="360"/>
        <w:rPr>
          <w:sz w:val="20"/>
          <w:szCs w:val="20"/>
        </w:rPr>
      </w:pPr>
      <w:r>
        <w:rPr>
          <w:rFonts w:ascii="Arial" w:eastAsia="Arial" w:hAnsi="Arial" w:cs="Arial"/>
          <w:sz w:val="17"/>
          <w:szCs w:val="17"/>
        </w:rPr>
        <w:t>We endeavor to provide consumers with high-quality, innovative products at an excellent value. We believe our experie</w:t>
      </w:r>
      <w:r>
        <w:rPr>
          <w:rFonts w:ascii="Arial" w:eastAsia="Arial" w:hAnsi="Arial" w:cs="Arial"/>
          <w:sz w:val="17"/>
          <w:szCs w:val="17"/>
        </w:rPr>
        <w:t>nced management team is executing a strategy that provides a superior product and brand experience to our consumers, primarily by delivering on our high standards of product design and innovation, and offering a wide variety of compelling products across c</w:t>
      </w:r>
      <w:r>
        <w:rPr>
          <w:rFonts w:ascii="Arial" w:eastAsia="Arial" w:hAnsi="Arial" w:cs="Arial"/>
          <w:sz w:val="17"/>
          <w:szCs w:val="17"/>
        </w:rPr>
        <w:t>hannels and categories. Our leadership team is largely a product of L Brands’ execution-focused culture, bringing a deep knowledge of the global business, strong customer insights, and category management expertise to the enterprise. In addition, we believ</w:t>
      </w:r>
      <w:r>
        <w:rPr>
          <w:rFonts w:ascii="Arial" w:eastAsia="Arial" w:hAnsi="Arial" w:cs="Arial"/>
          <w:sz w:val="17"/>
          <w:szCs w:val="17"/>
        </w:rPr>
        <w:t>e the global appeal of our brands combined with consistent execution will support our ability to produce strong financial results. We believe our financial performance will provide us with the opportunity to invest in our business and return capital to sto</w:t>
      </w:r>
      <w:r>
        <w:rPr>
          <w:rFonts w:ascii="Arial" w:eastAsia="Arial" w:hAnsi="Arial" w:cs="Arial"/>
          <w:sz w:val="17"/>
          <w:szCs w:val="17"/>
        </w:rPr>
        <w:t>ckholders as an independent public company.</w:t>
      </w:r>
    </w:p>
    <w:p w14:paraId="60065329" w14:textId="77777777" w:rsidR="00D1587D" w:rsidRDefault="00D1587D">
      <w:pPr>
        <w:spacing w:line="73" w:lineRule="exact"/>
        <w:rPr>
          <w:sz w:val="20"/>
          <w:szCs w:val="20"/>
        </w:rPr>
      </w:pPr>
    </w:p>
    <w:p w14:paraId="6DB12C06" w14:textId="77777777" w:rsidR="00D1587D" w:rsidRDefault="00410D07">
      <w:pPr>
        <w:spacing w:line="263" w:lineRule="auto"/>
        <w:ind w:left="300" w:right="379" w:firstLine="360"/>
        <w:rPr>
          <w:sz w:val="20"/>
          <w:szCs w:val="20"/>
        </w:rPr>
      </w:pPr>
      <w:r>
        <w:rPr>
          <w:rFonts w:ascii="Arial" w:eastAsia="Arial" w:hAnsi="Arial" w:cs="Arial"/>
          <w:sz w:val="18"/>
          <w:szCs w:val="18"/>
        </w:rPr>
        <w:t>I encourage you to learn more about VS and our business by reading the attached information statement. We have applied to list our common stock on the New York Stock Exchange under the ticker symbol “VSCO.” We l</w:t>
      </w:r>
      <w:r>
        <w:rPr>
          <w:rFonts w:ascii="Arial" w:eastAsia="Arial" w:hAnsi="Arial" w:cs="Arial"/>
          <w:sz w:val="18"/>
          <w:szCs w:val="18"/>
        </w:rPr>
        <w:t>ook forward to earning your continuing support for many years to come.</w:t>
      </w:r>
    </w:p>
    <w:p w14:paraId="40F2E41B" w14:textId="77777777" w:rsidR="00D1587D" w:rsidRDefault="00D1587D">
      <w:pPr>
        <w:spacing w:line="143" w:lineRule="exact"/>
        <w:rPr>
          <w:sz w:val="20"/>
          <w:szCs w:val="20"/>
        </w:rPr>
      </w:pPr>
    </w:p>
    <w:p w14:paraId="4125B873" w14:textId="77777777" w:rsidR="00D1587D" w:rsidRDefault="00410D07">
      <w:pPr>
        <w:ind w:left="3720"/>
        <w:rPr>
          <w:sz w:val="20"/>
          <w:szCs w:val="20"/>
        </w:rPr>
      </w:pPr>
      <w:r>
        <w:rPr>
          <w:rFonts w:ascii="Arial" w:eastAsia="Arial" w:hAnsi="Arial" w:cs="Arial"/>
          <w:sz w:val="18"/>
          <w:szCs w:val="18"/>
        </w:rPr>
        <w:t>Sincerely,</w:t>
      </w:r>
    </w:p>
    <w:p w14:paraId="5F21E90B" w14:textId="77777777" w:rsidR="00D1587D" w:rsidRDefault="00D1587D">
      <w:pPr>
        <w:spacing w:line="200" w:lineRule="exact"/>
        <w:rPr>
          <w:sz w:val="20"/>
          <w:szCs w:val="20"/>
        </w:rPr>
      </w:pPr>
    </w:p>
    <w:p w14:paraId="32F63FF6" w14:textId="77777777" w:rsidR="00D1587D" w:rsidRDefault="00D1587D">
      <w:pPr>
        <w:spacing w:line="241" w:lineRule="exact"/>
        <w:rPr>
          <w:sz w:val="20"/>
          <w:szCs w:val="20"/>
        </w:rPr>
      </w:pPr>
    </w:p>
    <w:p w14:paraId="2C008899" w14:textId="77777777" w:rsidR="00D1587D" w:rsidRDefault="00410D07">
      <w:pPr>
        <w:ind w:left="3720"/>
        <w:rPr>
          <w:sz w:val="20"/>
          <w:szCs w:val="20"/>
        </w:rPr>
      </w:pPr>
      <w:r>
        <w:rPr>
          <w:rFonts w:ascii="Arial" w:eastAsia="Arial" w:hAnsi="Arial" w:cs="Arial"/>
          <w:sz w:val="18"/>
          <w:szCs w:val="18"/>
        </w:rPr>
        <w:t>Martin Waters</w:t>
      </w:r>
    </w:p>
    <w:p w14:paraId="2B853352" w14:textId="77777777" w:rsidR="00D1587D" w:rsidRDefault="00D1587D">
      <w:pPr>
        <w:spacing w:line="117" w:lineRule="exact"/>
        <w:rPr>
          <w:sz w:val="20"/>
          <w:szCs w:val="20"/>
        </w:rPr>
      </w:pPr>
    </w:p>
    <w:p w14:paraId="300E8D2F" w14:textId="77777777" w:rsidR="00D1587D" w:rsidRDefault="00410D07">
      <w:pPr>
        <w:ind w:left="3720"/>
        <w:rPr>
          <w:sz w:val="20"/>
          <w:szCs w:val="20"/>
        </w:rPr>
      </w:pPr>
      <w:r>
        <w:rPr>
          <w:rFonts w:ascii="Arial" w:eastAsia="Arial" w:hAnsi="Arial" w:cs="Arial"/>
          <w:sz w:val="18"/>
          <w:szCs w:val="18"/>
        </w:rPr>
        <w:t>Chief Executive Officer</w:t>
      </w:r>
    </w:p>
    <w:p w14:paraId="394B06FC" w14:textId="77777777" w:rsidR="00D1587D" w:rsidRDefault="00D1587D">
      <w:pPr>
        <w:spacing w:line="117" w:lineRule="exact"/>
        <w:rPr>
          <w:sz w:val="20"/>
          <w:szCs w:val="20"/>
        </w:rPr>
      </w:pPr>
    </w:p>
    <w:p w14:paraId="0E57D342" w14:textId="77777777" w:rsidR="00D1587D" w:rsidRDefault="00410D07">
      <w:pPr>
        <w:ind w:left="3720"/>
        <w:rPr>
          <w:sz w:val="20"/>
          <w:szCs w:val="20"/>
        </w:rPr>
      </w:pPr>
      <w:r>
        <w:rPr>
          <w:rFonts w:ascii="Arial" w:eastAsia="Arial" w:hAnsi="Arial" w:cs="Arial"/>
          <w:sz w:val="18"/>
          <w:szCs w:val="18"/>
        </w:rPr>
        <w:t>Victoria’s Secret &amp; Co.</w:t>
      </w:r>
    </w:p>
    <w:p w14:paraId="5A50390E" w14:textId="77777777" w:rsidR="00D1587D" w:rsidRDefault="00410D07">
      <w:pPr>
        <w:spacing w:line="20" w:lineRule="exact"/>
        <w:rPr>
          <w:sz w:val="20"/>
          <w:szCs w:val="20"/>
        </w:rPr>
      </w:pPr>
      <w:r>
        <w:rPr>
          <w:noProof/>
          <w:sz w:val="20"/>
          <w:szCs w:val="20"/>
        </w:rPr>
        <w:drawing>
          <wp:anchor distT="0" distB="0" distL="114300" distR="114300" simplePos="0" relativeHeight="251418624" behindDoc="1" locked="0" layoutInCell="0" allowOverlap="1" wp14:anchorId="62DF1D84" wp14:editId="247C3A87">
            <wp:simplePos x="0" y="0"/>
            <wp:positionH relativeFrom="column">
              <wp:posOffset>-636905</wp:posOffset>
            </wp:positionH>
            <wp:positionV relativeFrom="paragraph">
              <wp:posOffset>160655</wp:posOffset>
            </wp:positionV>
            <wp:extent cx="6995160" cy="1714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2A9C320" w14:textId="77777777" w:rsidR="00D1587D" w:rsidRDefault="00D1587D">
      <w:pPr>
        <w:sectPr w:rsidR="00D1587D">
          <w:pgSz w:w="11900" w:h="16838"/>
          <w:pgMar w:top="265" w:right="1440" w:bottom="1440" w:left="1440" w:header="0" w:footer="0" w:gutter="0"/>
          <w:cols w:space="720" w:equalWidth="0">
            <w:col w:w="9019"/>
          </w:cols>
        </w:sectPr>
      </w:pPr>
    </w:p>
    <w:bookmarkStart w:id="254" w:name="page255"/>
    <w:bookmarkEnd w:id="254"/>
    <w:p w14:paraId="55AF71D3" w14:textId="77777777" w:rsidR="00D1587D" w:rsidRDefault="00410D07">
      <w:pPr>
        <w:ind w:left="14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6AE8544" w14:textId="77777777" w:rsidR="00D1587D" w:rsidRDefault="00D1587D">
      <w:pPr>
        <w:spacing w:line="122" w:lineRule="exact"/>
        <w:rPr>
          <w:sz w:val="20"/>
          <w:szCs w:val="20"/>
        </w:rPr>
      </w:pPr>
    </w:p>
    <w:p w14:paraId="303B64D6" w14:textId="77777777" w:rsidR="00D1587D" w:rsidRDefault="00410D07">
      <w:pPr>
        <w:spacing w:line="247" w:lineRule="auto"/>
        <w:ind w:left="1400" w:right="1580"/>
        <w:rPr>
          <w:sz w:val="20"/>
          <w:szCs w:val="20"/>
        </w:rPr>
      </w:pPr>
      <w:r>
        <w:rPr>
          <w:rFonts w:ascii="Arial" w:eastAsia="Arial" w:hAnsi="Arial" w:cs="Arial"/>
          <w:b/>
          <w:bCs/>
          <w:color w:val="FC0014"/>
          <w:sz w:val="18"/>
          <w:szCs w:val="18"/>
        </w:rPr>
        <w:t xml:space="preserve">Information contained herein is </w:t>
      </w:r>
      <w:r>
        <w:rPr>
          <w:rFonts w:ascii="Arial" w:eastAsia="Arial" w:hAnsi="Arial" w:cs="Arial"/>
          <w:b/>
          <w:bCs/>
          <w:color w:val="FC0014"/>
          <w:sz w:val="18"/>
          <w:szCs w:val="18"/>
        </w:rPr>
        <w:t>subject to completion or amendment. A registration statement on Form 10 relating to these securities has been filed with the Securities and Exchange Commission under the Securities Exchange Act of 1934, as amended, but has not yet become effective.</w:t>
      </w:r>
    </w:p>
    <w:p w14:paraId="71982521" w14:textId="77777777" w:rsidR="00D1587D" w:rsidRDefault="00D1587D">
      <w:pPr>
        <w:spacing w:line="178" w:lineRule="exact"/>
        <w:rPr>
          <w:sz w:val="20"/>
          <w:szCs w:val="20"/>
        </w:rPr>
      </w:pPr>
    </w:p>
    <w:p w14:paraId="74D55673" w14:textId="77777777" w:rsidR="00D1587D" w:rsidRDefault="00410D07">
      <w:pPr>
        <w:ind w:right="20"/>
        <w:jc w:val="center"/>
        <w:rPr>
          <w:sz w:val="20"/>
          <w:szCs w:val="20"/>
        </w:rPr>
      </w:pPr>
      <w:r>
        <w:rPr>
          <w:rFonts w:ascii="Arial" w:eastAsia="Arial" w:hAnsi="Arial" w:cs="Arial"/>
          <w:b/>
          <w:bCs/>
          <w:color w:val="FC0014"/>
          <w:sz w:val="18"/>
          <w:szCs w:val="18"/>
        </w:rPr>
        <w:t>Prelim</w:t>
      </w:r>
      <w:r>
        <w:rPr>
          <w:rFonts w:ascii="Arial" w:eastAsia="Arial" w:hAnsi="Arial" w:cs="Arial"/>
          <w:b/>
          <w:bCs/>
          <w:color w:val="FC0014"/>
          <w:sz w:val="18"/>
          <w:szCs w:val="18"/>
        </w:rPr>
        <w:t>inary Information Statement</w:t>
      </w:r>
    </w:p>
    <w:p w14:paraId="37627689" w14:textId="77777777" w:rsidR="00D1587D" w:rsidRDefault="00D1587D">
      <w:pPr>
        <w:spacing w:line="27" w:lineRule="exact"/>
        <w:rPr>
          <w:sz w:val="20"/>
          <w:szCs w:val="20"/>
        </w:rPr>
      </w:pPr>
    </w:p>
    <w:p w14:paraId="576A29E1" w14:textId="77777777" w:rsidR="00D1587D" w:rsidRDefault="00410D07">
      <w:pPr>
        <w:ind w:right="20"/>
        <w:jc w:val="center"/>
        <w:rPr>
          <w:sz w:val="20"/>
          <w:szCs w:val="20"/>
        </w:rPr>
      </w:pPr>
      <w:r>
        <w:rPr>
          <w:rFonts w:ascii="Arial" w:eastAsia="Arial" w:hAnsi="Arial" w:cs="Arial"/>
          <w:b/>
          <w:bCs/>
          <w:color w:val="FC0014"/>
          <w:sz w:val="18"/>
          <w:szCs w:val="18"/>
        </w:rPr>
        <w:t>(Subject to Completion, Dated June 21, 2021)</w:t>
      </w:r>
    </w:p>
    <w:p w14:paraId="1ED57ADA" w14:textId="77777777" w:rsidR="00D1587D" w:rsidRDefault="00D1587D">
      <w:pPr>
        <w:spacing w:line="342" w:lineRule="exact"/>
        <w:rPr>
          <w:sz w:val="20"/>
          <w:szCs w:val="20"/>
        </w:rPr>
      </w:pPr>
    </w:p>
    <w:p w14:paraId="7ED6B610" w14:textId="77777777" w:rsidR="00D1587D" w:rsidRDefault="00410D07">
      <w:pPr>
        <w:ind w:left="1400"/>
        <w:rPr>
          <w:sz w:val="20"/>
          <w:szCs w:val="20"/>
        </w:rPr>
      </w:pPr>
      <w:r>
        <w:rPr>
          <w:rFonts w:ascii="Arial" w:eastAsia="Arial" w:hAnsi="Arial" w:cs="Arial"/>
          <w:b/>
          <w:bCs/>
          <w:sz w:val="18"/>
          <w:szCs w:val="18"/>
        </w:rPr>
        <w:t>INFORMATION STATEMENT</w:t>
      </w:r>
    </w:p>
    <w:p w14:paraId="0E137ED9" w14:textId="77777777" w:rsidR="00D1587D" w:rsidRDefault="00D1587D">
      <w:pPr>
        <w:spacing w:line="346" w:lineRule="exact"/>
        <w:rPr>
          <w:sz w:val="20"/>
          <w:szCs w:val="20"/>
        </w:rPr>
      </w:pPr>
    </w:p>
    <w:p w14:paraId="1CF60833" w14:textId="77777777" w:rsidR="00D1587D" w:rsidRDefault="00410D07">
      <w:pPr>
        <w:ind w:right="20"/>
        <w:jc w:val="center"/>
        <w:rPr>
          <w:sz w:val="20"/>
          <w:szCs w:val="20"/>
        </w:rPr>
      </w:pPr>
      <w:r>
        <w:rPr>
          <w:rFonts w:ascii="Arial" w:eastAsia="Arial" w:hAnsi="Arial" w:cs="Arial"/>
          <w:b/>
          <w:bCs/>
          <w:sz w:val="29"/>
          <w:szCs w:val="29"/>
        </w:rPr>
        <w:t>Victoria’s Secret &amp; Co.</w:t>
      </w:r>
    </w:p>
    <w:p w14:paraId="25A55D4D" w14:textId="77777777" w:rsidR="00D1587D" w:rsidRDefault="00D1587D">
      <w:pPr>
        <w:spacing w:line="355" w:lineRule="exact"/>
        <w:rPr>
          <w:sz w:val="20"/>
          <w:szCs w:val="20"/>
        </w:rPr>
      </w:pPr>
    </w:p>
    <w:p w14:paraId="53F92578" w14:textId="77777777" w:rsidR="00D1587D" w:rsidRDefault="00410D07">
      <w:pPr>
        <w:ind w:right="20"/>
        <w:jc w:val="center"/>
        <w:rPr>
          <w:sz w:val="20"/>
          <w:szCs w:val="20"/>
        </w:rPr>
      </w:pPr>
      <w:r>
        <w:rPr>
          <w:rFonts w:ascii="Arial" w:eastAsia="Arial" w:hAnsi="Arial" w:cs="Arial"/>
          <w:b/>
          <w:bCs/>
          <w:sz w:val="18"/>
          <w:szCs w:val="18"/>
        </w:rPr>
        <w:t>Common Stock</w:t>
      </w:r>
    </w:p>
    <w:p w14:paraId="181F45E9" w14:textId="77777777" w:rsidR="00D1587D" w:rsidRDefault="00D1587D">
      <w:pPr>
        <w:spacing w:line="27" w:lineRule="exact"/>
        <w:rPr>
          <w:sz w:val="20"/>
          <w:szCs w:val="20"/>
        </w:rPr>
      </w:pPr>
    </w:p>
    <w:p w14:paraId="02C9C2E8" w14:textId="77777777" w:rsidR="00D1587D" w:rsidRDefault="00410D07">
      <w:pPr>
        <w:ind w:right="20"/>
        <w:jc w:val="center"/>
        <w:rPr>
          <w:sz w:val="20"/>
          <w:szCs w:val="20"/>
        </w:rPr>
      </w:pPr>
      <w:r>
        <w:rPr>
          <w:rFonts w:ascii="Arial" w:eastAsia="Arial" w:hAnsi="Arial" w:cs="Arial"/>
          <w:b/>
          <w:bCs/>
          <w:sz w:val="18"/>
          <w:szCs w:val="18"/>
        </w:rPr>
        <w:t>(Par Value $0.01 Per Share)</w:t>
      </w:r>
    </w:p>
    <w:p w14:paraId="1146E7CB" w14:textId="77777777" w:rsidR="00D1587D" w:rsidRDefault="00410D07">
      <w:pPr>
        <w:spacing w:line="20" w:lineRule="exact"/>
        <w:rPr>
          <w:sz w:val="20"/>
          <w:szCs w:val="20"/>
        </w:rPr>
      </w:pPr>
      <w:r>
        <w:rPr>
          <w:noProof/>
          <w:sz w:val="20"/>
          <w:szCs w:val="20"/>
        </w:rPr>
        <w:drawing>
          <wp:anchor distT="0" distB="0" distL="114300" distR="114300" simplePos="0" relativeHeight="251419648" behindDoc="1" locked="0" layoutInCell="0" allowOverlap="1" wp14:anchorId="4CDE2442" wp14:editId="0121E24E">
            <wp:simplePos x="0" y="0"/>
            <wp:positionH relativeFrom="column">
              <wp:posOffset>2946400</wp:posOffset>
            </wp:positionH>
            <wp:positionV relativeFrom="paragraph">
              <wp:posOffset>83185</wp:posOffset>
            </wp:positionV>
            <wp:extent cx="1097280" cy="825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
                    <a:srcRect/>
                    <a:stretch>
                      <a:fillRect/>
                    </a:stretch>
                  </pic:blipFill>
                  <pic:spPr bwMode="auto">
                    <a:xfrm>
                      <a:off x="0" y="0"/>
                      <a:ext cx="1097280" cy="8255"/>
                    </a:xfrm>
                    <a:prstGeom prst="rect">
                      <a:avLst/>
                    </a:prstGeom>
                    <a:noFill/>
                  </pic:spPr>
                </pic:pic>
              </a:graphicData>
            </a:graphic>
          </wp:anchor>
        </w:drawing>
      </w:r>
    </w:p>
    <w:p w14:paraId="68372259" w14:textId="77777777" w:rsidR="00D1587D" w:rsidRDefault="00D1587D">
      <w:pPr>
        <w:spacing w:line="326" w:lineRule="exact"/>
        <w:rPr>
          <w:sz w:val="20"/>
          <w:szCs w:val="20"/>
        </w:rPr>
      </w:pPr>
    </w:p>
    <w:p w14:paraId="262DABBE" w14:textId="77777777" w:rsidR="00D1587D" w:rsidRDefault="00410D07">
      <w:pPr>
        <w:spacing w:line="254" w:lineRule="auto"/>
        <w:ind w:left="1400" w:right="1420" w:firstLine="360"/>
        <w:rPr>
          <w:sz w:val="20"/>
          <w:szCs w:val="20"/>
        </w:rPr>
      </w:pPr>
      <w:r>
        <w:rPr>
          <w:rFonts w:ascii="Arial" w:eastAsia="Arial" w:hAnsi="Arial" w:cs="Arial"/>
          <w:sz w:val="18"/>
          <w:szCs w:val="18"/>
        </w:rPr>
        <w:t xml:space="preserve">L Brands, Inc. (“LB”) is furnishing this information statement in connection with the </w:t>
      </w:r>
      <w:r>
        <w:rPr>
          <w:rFonts w:ascii="Arial" w:eastAsia="Arial" w:hAnsi="Arial" w:cs="Arial"/>
          <w:sz w:val="18"/>
          <w:szCs w:val="18"/>
        </w:rPr>
        <w:t>separation of its Victoria’s Secret businesses from its remaining businesses and the creation of an independent, publicly traded company, named Victoria’s Secret &amp; Co. (“VS”). VS, directly or indirectly through its subsidiaries, will hold certain assets, l</w:t>
      </w:r>
      <w:r>
        <w:rPr>
          <w:rFonts w:ascii="Arial" w:eastAsia="Arial" w:hAnsi="Arial" w:cs="Arial"/>
          <w:sz w:val="18"/>
          <w:szCs w:val="18"/>
        </w:rPr>
        <w:t>iabilities and legal entities comprising the VS businesses after certain restructuring transactions are completed (the “Restructuring”). All of the shares of VS common stock owned by LB will be distributed to the stockholders of LB (the “Distribution” and,</w:t>
      </w:r>
      <w:r>
        <w:rPr>
          <w:rFonts w:ascii="Arial" w:eastAsia="Arial" w:hAnsi="Arial" w:cs="Arial"/>
          <w:sz w:val="18"/>
          <w:szCs w:val="18"/>
        </w:rPr>
        <w:t xml:space="preserve"> together with the Restructuring, the “Separation”). VS is currently a wholly owned subsidiary of LB.</w:t>
      </w:r>
    </w:p>
    <w:p w14:paraId="412251B8" w14:textId="77777777" w:rsidR="00D1587D" w:rsidRDefault="00D1587D">
      <w:pPr>
        <w:spacing w:line="195" w:lineRule="exact"/>
        <w:rPr>
          <w:sz w:val="20"/>
          <w:szCs w:val="20"/>
        </w:rPr>
      </w:pPr>
    </w:p>
    <w:p w14:paraId="5CA5D470" w14:textId="77777777" w:rsidR="00D1587D" w:rsidRDefault="00410D07">
      <w:pPr>
        <w:spacing w:line="308" w:lineRule="auto"/>
        <w:ind w:left="1400" w:right="1660" w:firstLine="360"/>
        <w:rPr>
          <w:sz w:val="20"/>
          <w:szCs w:val="20"/>
        </w:rPr>
      </w:pPr>
      <w:r>
        <w:rPr>
          <w:rFonts w:ascii="Arial" w:eastAsia="Arial" w:hAnsi="Arial" w:cs="Arial"/>
          <w:sz w:val="17"/>
          <w:szCs w:val="17"/>
        </w:rPr>
        <w:t>Each holder of LB common stock will receive one share of common stock of VS for every shares of LB common stock held as of the close of business on , 202</w:t>
      </w:r>
      <w:r>
        <w:rPr>
          <w:rFonts w:ascii="Arial" w:eastAsia="Arial" w:hAnsi="Arial" w:cs="Arial"/>
          <w:sz w:val="17"/>
          <w:szCs w:val="17"/>
        </w:rPr>
        <w:t>1, the record date for the Distribution.</w:t>
      </w:r>
    </w:p>
    <w:p w14:paraId="60D3A94C" w14:textId="77777777" w:rsidR="00D1587D" w:rsidRDefault="00D1587D">
      <w:pPr>
        <w:spacing w:line="146" w:lineRule="exact"/>
        <w:rPr>
          <w:sz w:val="20"/>
          <w:szCs w:val="20"/>
        </w:rPr>
      </w:pPr>
    </w:p>
    <w:p w14:paraId="3312B5EE" w14:textId="77777777" w:rsidR="00D1587D" w:rsidRDefault="00410D07">
      <w:pPr>
        <w:ind w:right="20"/>
        <w:jc w:val="center"/>
        <w:rPr>
          <w:sz w:val="20"/>
          <w:szCs w:val="20"/>
        </w:rPr>
      </w:pPr>
      <w:r>
        <w:rPr>
          <w:rFonts w:ascii="Arial" w:eastAsia="Arial" w:hAnsi="Arial" w:cs="Arial"/>
          <w:sz w:val="18"/>
          <w:szCs w:val="18"/>
        </w:rPr>
        <w:t>The Distribution is expected to be completed after the New York Stock Exchange (the “NYSE”) market</w:t>
      </w:r>
    </w:p>
    <w:p w14:paraId="6FDA45D2" w14:textId="77777777" w:rsidR="00D1587D" w:rsidRDefault="00D1587D">
      <w:pPr>
        <w:spacing w:line="23" w:lineRule="exact"/>
        <w:rPr>
          <w:sz w:val="20"/>
          <w:szCs w:val="20"/>
        </w:rPr>
      </w:pPr>
    </w:p>
    <w:p w14:paraId="23B58BBE" w14:textId="77777777" w:rsidR="00D1587D" w:rsidRDefault="00410D07">
      <w:pPr>
        <w:spacing w:line="253" w:lineRule="auto"/>
        <w:ind w:left="1400" w:right="1480"/>
        <w:rPr>
          <w:sz w:val="20"/>
          <w:szCs w:val="20"/>
        </w:rPr>
      </w:pPr>
      <w:r>
        <w:rPr>
          <w:rFonts w:ascii="Arial" w:eastAsia="Arial" w:hAnsi="Arial" w:cs="Arial"/>
          <w:sz w:val="18"/>
          <w:szCs w:val="18"/>
        </w:rPr>
        <w:t>closing on , 2021. Immediately after LB completes the Distribution, VS will be an independent, publicly traded com</w:t>
      </w:r>
      <w:r>
        <w:rPr>
          <w:rFonts w:ascii="Arial" w:eastAsia="Arial" w:hAnsi="Arial" w:cs="Arial"/>
          <w:sz w:val="18"/>
          <w:szCs w:val="18"/>
        </w:rPr>
        <w:t>pany. We expect that, for U.S. federal income tax purposes, no gain or loss will be recognized by you, and no amount will be included in your income in connection with the Distribution, except to the extent of any cash you receive in lieu of fractional sha</w:t>
      </w:r>
      <w:r>
        <w:rPr>
          <w:rFonts w:ascii="Arial" w:eastAsia="Arial" w:hAnsi="Arial" w:cs="Arial"/>
          <w:sz w:val="18"/>
          <w:szCs w:val="18"/>
        </w:rPr>
        <w:t>res.</w:t>
      </w:r>
    </w:p>
    <w:p w14:paraId="06BEB4A5" w14:textId="77777777" w:rsidR="00D1587D" w:rsidRDefault="00D1587D">
      <w:pPr>
        <w:spacing w:line="193" w:lineRule="exact"/>
        <w:rPr>
          <w:sz w:val="20"/>
          <w:szCs w:val="20"/>
        </w:rPr>
      </w:pPr>
    </w:p>
    <w:p w14:paraId="5D24CF65" w14:textId="77777777" w:rsidR="00D1587D" w:rsidRDefault="00410D07">
      <w:pPr>
        <w:spacing w:line="286" w:lineRule="auto"/>
        <w:ind w:left="1400" w:right="1460" w:firstLine="360"/>
        <w:rPr>
          <w:sz w:val="20"/>
          <w:szCs w:val="20"/>
        </w:rPr>
      </w:pPr>
      <w:r>
        <w:rPr>
          <w:rFonts w:ascii="Arial" w:eastAsia="Arial" w:hAnsi="Arial" w:cs="Arial"/>
          <w:sz w:val="17"/>
          <w:szCs w:val="17"/>
        </w:rPr>
        <w:t>No vote or other action is required by you to receive shares of VS common stock in the Separation. You will not be required to pay anything for the new shares or to surrender any of your shares of LB common stock. We are not asking you for a proxy an</w:t>
      </w:r>
      <w:r>
        <w:rPr>
          <w:rFonts w:ascii="Arial" w:eastAsia="Arial" w:hAnsi="Arial" w:cs="Arial"/>
          <w:sz w:val="17"/>
          <w:szCs w:val="17"/>
        </w:rPr>
        <w:t>d you should not send us a proxy or your share certificates.</w:t>
      </w:r>
    </w:p>
    <w:p w14:paraId="68352B08" w14:textId="77777777" w:rsidR="00D1587D" w:rsidRDefault="00D1587D">
      <w:pPr>
        <w:spacing w:line="165" w:lineRule="exact"/>
        <w:rPr>
          <w:sz w:val="20"/>
          <w:szCs w:val="20"/>
        </w:rPr>
      </w:pPr>
    </w:p>
    <w:p w14:paraId="5AC0CDD6" w14:textId="77777777" w:rsidR="00D1587D" w:rsidRDefault="00410D07">
      <w:pPr>
        <w:spacing w:line="287" w:lineRule="auto"/>
        <w:ind w:left="1400" w:right="1420" w:firstLine="360"/>
        <w:rPr>
          <w:sz w:val="20"/>
          <w:szCs w:val="20"/>
        </w:rPr>
      </w:pPr>
      <w:r>
        <w:rPr>
          <w:rFonts w:ascii="Arial" w:eastAsia="Arial" w:hAnsi="Arial" w:cs="Arial"/>
          <w:sz w:val="16"/>
          <w:szCs w:val="16"/>
        </w:rPr>
        <w:t>There currently is no trading market for VS common stock. We have applied to have VS’s shares of common stock listed on the NYSE under the ticker symbol “VSCO.” Assuming that the NYSE authorizes</w:t>
      </w:r>
      <w:r>
        <w:rPr>
          <w:rFonts w:ascii="Arial" w:eastAsia="Arial" w:hAnsi="Arial" w:cs="Arial"/>
          <w:sz w:val="16"/>
          <w:szCs w:val="16"/>
        </w:rPr>
        <w:t xml:space="preserve"> VS’s common stock for listing, we anticipate that a limited market, commonly known as a “when-issued” trading market, for</w:t>
      </w:r>
    </w:p>
    <w:p w14:paraId="31A57537" w14:textId="77777777" w:rsidR="00D1587D" w:rsidRDefault="00D1587D">
      <w:pPr>
        <w:spacing w:line="2" w:lineRule="exact"/>
        <w:rPr>
          <w:sz w:val="20"/>
          <w:szCs w:val="20"/>
        </w:rPr>
      </w:pPr>
    </w:p>
    <w:p w14:paraId="338E9D17" w14:textId="77777777" w:rsidR="00D1587D" w:rsidRDefault="00410D07">
      <w:pPr>
        <w:spacing w:line="255" w:lineRule="auto"/>
        <w:ind w:left="1400" w:right="1460"/>
        <w:rPr>
          <w:sz w:val="20"/>
          <w:szCs w:val="20"/>
        </w:rPr>
      </w:pPr>
      <w:r>
        <w:rPr>
          <w:rFonts w:ascii="Arial" w:eastAsia="Arial" w:hAnsi="Arial" w:cs="Arial"/>
          <w:sz w:val="18"/>
          <w:szCs w:val="18"/>
        </w:rPr>
        <w:t xml:space="preserve">VS’s common stock will commence on , 2021 and will continue up to and including the Distribution Date (as defined herein). We </w:t>
      </w:r>
      <w:r>
        <w:rPr>
          <w:rFonts w:ascii="Arial" w:eastAsia="Arial" w:hAnsi="Arial" w:cs="Arial"/>
          <w:sz w:val="18"/>
          <w:szCs w:val="18"/>
        </w:rPr>
        <w:t>expect the “regular-way” trading of VS’s common stock will begin on the first trading day following the Distribution Date.</w:t>
      </w:r>
    </w:p>
    <w:p w14:paraId="012D5A98" w14:textId="77777777" w:rsidR="00D1587D" w:rsidRDefault="00410D07">
      <w:pPr>
        <w:spacing w:line="20" w:lineRule="exact"/>
        <w:rPr>
          <w:sz w:val="20"/>
          <w:szCs w:val="20"/>
        </w:rPr>
      </w:pPr>
      <w:r>
        <w:rPr>
          <w:noProof/>
          <w:sz w:val="20"/>
          <w:szCs w:val="20"/>
        </w:rPr>
        <w:drawing>
          <wp:anchor distT="0" distB="0" distL="114300" distR="114300" simplePos="0" relativeHeight="251420672" behindDoc="1" locked="0" layoutInCell="0" allowOverlap="1" wp14:anchorId="0BF37426" wp14:editId="15BB96EC">
            <wp:simplePos x="0" y="0"/>
            <wp:positionH relativeFrom="column">
              <wp:posOffset>2946400</wp:posOffset>
            </wp:positionH>
            <wp:positionV relativeFrom="paragraph">
              <wp:posOffset>232410</wp:posOffset>
            </wp:positionV>
            <wp:extent cx="1097280" cy="8890"/>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
                    <a:srcRect/>
                    <a:stretch>
                      <a:fillRect/>
                    </a:stretch>
                  </pic:blipFill>
                  <pic:spPr bwMode="auto">
                    <a:xfrm>
                      <a:off x="0" y="0"/>
                      <a:ext cx="1097280" cy="8890"/>
                    </a:xfrm>
                    <a:prstGeom prst="rect">
                      <a:avLst/>
                    </a:prstGeom>
                    <a:noFill/>
                  </pic:spPr>
                </pic:pic>
              </a:graphicData>
            </a:graphic>
          </wp:anchor>
        </w:drawing>
      </w:r>
    </w:p>
    <w:p w14:paraId="43F92786" w14:textId="77777777" w:rsidR="00D1587D" w:rsidRDefault="00D1587D">
      <w:pPr>
        <w:spacing w:line="200" w:lineRule="exact"/>
        <w:rPr>
          <w:sz w:val="20"/>
          <w:szCs w:val="20"/>
        </w:rPr>
      </w:pPr>
    </w:p>
    <w:p w14:paraId="486E2343" w14:textId="77777777" w:rsidR="00D1587D" w:rsidRDefault="00D1587D">
      <w:pPr>
        <w:spacing w:line="357" w:lineRule="exact"/>
        <w:rPr>
          <w:sz w:val="20"/>
          <w:szCs w:val="20"/>
        </w:rPr>
      </w:pPr>
    </w:p>
    <w:p w14:paraId="444B8FA4" w14:textId="77777777" w:rsidR="00D1587D" w:rsidRDefault="00410D07">
      <w:pPr>
        <w:spacing w:line="282" w:lineRule="auto"/>
        <w:ind w:left="1400" w:right="1660" w:firstLine="360"/>
        <w:rPr>
          <w:rFonts w:ascii="Arial" w:eastAsia="Arial" w:hAnsi="Arial" w:cs="Arial"/>
          <w:b/>
          <w:bCs/>
          <w:sz w:val="18"/>
          <w:szCs w:val="18"/>
        </w:rPr>
      </w:pPr>
      <w:r>
        <w:rPr>
          <w:rFonts w:ascii="Arial" w:eastAsia="Arial" w:hAnsi="Arial" w:cs="Arial"/>
          <w:b/>
          <w:bCs/>
          <w:sz w:val="18"/>
          <w:szCs w:val="18"/>
        </w:rPr>
        <w:t>In reviewing this information statement, you should carefully consider the matters described under the caption “Risk Factors” beg</w:t>
      </w:r>
      <w:r>
        <w:rPr>
          <w:rFonts w:ascii="Arial" w:eastAsia="Arial" w:hAnsi="Arial" w:cs="Arial"/>
          <w:b/>
          <w:bCs/>
          <w:sz w:val="18"/>
          <w:szCs w:val="18"/>
        </w:rPr>
        <w:t xml:space="preserve">inning on page </w:t>
      </w:r>
      <w:hyperlink w:anchor="page275">
        <w:r>
          <w:rPr>
            <w:rFonts w:ascii="Arial" w:eastAsia="Arial" w:hAnsi="Arial" w:cs="Arial"/>
            <w:b/>
            <w:bCs/>
            <w:color w:val="0000EE"/>
            <w:sz w:val="18"/>
            <w:szCs w:val="18"/>
            <w:u w:val="single"/>
          </w:rPr>
          <w:t>17</w:t>
        </w:r>
      </w:hyperlink>
      <w:r>
        <w:rPr>
          <w:rFonts w:ascii="Arial" w:eastAsia="Arial" w:hAnsi="Arial" w:cs="Arial"/>
          <w:b/>
          <w:bCs/>
          <w:sz w:val="18"/>
          <w:szCs w:val="18"/>
        </w:rPr>
        <w:t>.</w:t>
      </w:r>
    </w:p>
    <w:p w14:paraId="21D2594D" w14:textId="77777777" w:rsidR="00D1587D" w:rsidRDefault="00D1587D">
      <w:pPr>
        <w:spacing w:line="166" w:lineRule="exact"/>
        <w:rPr>
          <w:sz w:val="20"/>
          <w:szCs w:val="20"/>
        </w:rPr>
      </w:pPr>
    </w:p>
    <w:p w14:paraId="1DB8A6D5" w14:textId="77777777" w:rsidR="00D1587D" w:rsidRDefault="00410D07">
      <w:pPr>
        <w:spacing w:line="263" w:lineRule="auto"/>
        <w:ind w:left="1400" w:right="1500" w:firstLine="360"/>
        <w:rPr>
          <w:sz w:val="20"/>
          <w:szCs w:val="20"/>
        </w:rPr>
      </w:pPr>
      <w:r>
        <w:rPr>
          <w:rFonts w:ascii="Arial" w:eastAsia="Arial" w:hAnsi="Arial" w:cs="Arial"/>
          <w:sz w:val="18"/>
          <w:szCs w:val="18"/>
        </w:rPr>
        <w:t>Neither the U.S. Securities and Exchange Commission (“SEC”) nor any state securities commission has approved or disapproved these securities or determined if this information statement is truthful or comple</w:t>
      </w:r>
      <w:r>
        <w:rPr>
          <w:rFonts w:ascii="Arial" w:eastAsia="Arial" w:hAnsi="Arial" w:cs="Arial"/>
          <w:sz w:val="18"/>
          <w:szCs w:val="18"/>
        </w:rPr>
        <w:t>te. Any representation to the contrary is a criminal offense.</w:t>
      </w:r>
    </w:p>
    <w:p w14:paraId="4FE4F446" w14:textId="77777777" w:rsidR="00D1587D" w:rsidRDefault="00D1587D">
      <w:pPr>
        <w:spacing w:line="184" w:lineRule="exact"/>
        <w:rPr>
          <w:sz w:val="20"/>
          <w:szCs w:val="20"/>
        </w:rPr>
      </w:pPr>
    </w:p>
    <w:p w14:paraId="1D7BF26E" w14:textId="77777777" w:rsidR="00D1587D" w:rsidRDefault="00410D07">
      <w:pPr>
        <w:spacing w:line="277" w:lineRule="auto"/>
        <w:ind w:left="1400" w:right="1920" w:firstLine="360"/>
        <w:rPr>
          <w:sz w:val="20"/>
          <w:szCs w:val="20"/>
        </w:rPr>
      </w:pPr>
      <w:r>
        <w:rPr>
          <w:rFonts w:ascii="Arial" w:eastAsia="Arial" w:hAnsi="Arial" w:cs="Arial"/>
          <w:sz w:val="18"/>
          <w:szCs w:val="18"/>
        </w:rPr>
        <w:t>This information statement does not constitute an offer to sell or the solicitation of an offer to buy any securities.</w:t>
      </w:r>
    </w:p>
    <w:p w14:paraId="37102700" w14:textId="77777777" w:rsidR="00D1587D" w:rsidRDefault="00D1587D">
      <w:pPr>
        <w:spacing w:line="200" w:lineRule="exact"/>
        <w:rPr>
          <w:sz w:val="20"/>
          <w:szCs w:val="20"/>
        </w:rPr>
      </w:pPr>
    </w:p>
    <w:p w14:paraId="01B4F7F5" w14:textId="77777777" w:rsidR="00D1587D" w:rsidRDefault="00D1587D">
      <w:pPr>
        <w:spacing w:line="200" w:lineRule="exact"/>
        <w:rPr>
          <w:sz w:val="20"/>
          <w:szCs w:val="20"/>
        </w:rPr>
      </w:pPr>
    </w:p>
    <w:p w14:paraId="16991406" w14:textId="77777777" w:rsidR="00D1587D" w:rsidRDefault="00D1587D">
      <w:pPr>
        <w:spacing w:line="324" w:lineRule="exact"/>
        <w:rPr>
          <w:sz w:val="20"/>
          <w:szCs w:val="20"/>
        </w:rPr>
      </w:pPr>
    </w:p>
    <w:tbl>
      <w:tblPr>
        <w:tblW w:w="0" w:type="auto"/>
        <w:tblInd w:w="3500" w:type="dxa"/>
        <w:tblLayout w:type="fixed"/>
        <w:tblCellMar>
          <w:left w:w="0" w:type="dxa"/>
          <w:right w:w="0" w:type="dxa"/>
        </w:tblCellMar>
        <w:tblLook w:val="04A0" w:firstRow="1" w:lastRow="0" w:firstColumn="1" w:lastColumn="0" w:noHBand="0" w:noVBand="1"/>
      </w:tblPr>
      <w:tblGrid>
        <w:gridCol w:w="3220"/>
        <w:gridCol w:w="780"/>
      </w:tblGrid>
      <w:tr w:rsidR="00D1587D" w14:paraId="17D1880F" w14:textId="77777777">
        <w:trPr>
          <w:trHeight w:val="230"/>
        </w:trPr>
        <w:tc>
          <w:tcPr>
            <w:tcW w:w="3220" w:type="dxa"/>
            <w:vAlign w:val="bottom"/>
          </w:tcPr>
          <w:p w14:paraId="09A1EF7F" w14:textId="77777777" w:rsidR="00D1587D" w:rsidRDefault="00410D07">
            <w:pPr>
              <w:rPr>
                <w:sz w:val="20"/>
                <w:szCs w:val="20"/>
              </w:rPr>
            </w:pPr>
            <w:r>
              <w:rPr>
                <w:rFonts w:ascii="Arial" w:eastAsia="Arial" w:hAnsi="Arial" w:cs="Arial"/>
                <w:w w:val="99"/>
                <w:sz w:val="18"/>
                <w:szCs w:val="18"/>
              </w:rPr>
              <w:t>The date of this information statement is</w:t>
            </w:r>
          </w:p>
        </w:tc>
        <w:tc>
          <w:tcPr>
            <w:tcW w:w="780" w:type="dxa"/>
            <w:vAlign w:val="bottom"/>
          </w:tcPr>
          <w:p w14:paraId="246D7FEE" w14:textId="77777777" w:rsidR="00D1587D" w:rsidRDefault="00410D07">
            <w:pPr>
              <w:jc w:val="right"/>
              <w:rPr>
                <w:sz w:val="20"/>
                <w:szCs w:val="20"/>
              </w:rPr>
            </w:pPr>
            <w:r>
              <w:rPr>
                <w:rFonts w:ascii="Arial" w:eastAsia="Arial" w:hAnsi="Arial" w:cs="Arial"/>
                <w:sz w:val="18"/>
                <w:szCs w:val="18"/>
              </w:rPr>
              <w:t>, 2021.</w:t>
            </w:r>
          </w:p>
        </w:tc>
      </w:tr>
    </w:tbl>
    <w:p w14:paraId="5C5D5C92" w14:textId="77777777" w:rsidR="00D1587D" w:rsidRDefault="00D1587D">
      <w:pPr>
        <w:spacing w:line="202" w:lineRule="exact"/>
        <w:rPr>
          <w:sz w:val="20"/>
          <w:szCs w:val="20"/>
        </w:rPr>
      </w:pPr>
    </w:p>
    <w:p w14:paraId="04B544EE" w14:textId="77777777" w:rsidR="00D1587D" w:rsidRDefault="00410D07">
      <w:pPr>
        <w:ind w:left="1760"/>
        <w:rPr>
          <w:sz w:val="20"/>
          <w:szCs w:val="20"/>
        </w:rPr>
      </w:pPr>
      <w:r>
        <w:rPr>
          <w:rFonts w:ascii="Arial" w:eastAsia="Arial" w:hAnsi="Arial" w:cs="Arial"/>
          <w:sz w:val="18"/>
          <w:szCs w:val="18"/>
        </w:rPr>
        <w:t xml:space="preserve">A Notice of </w:t>
      </w:r>
      <w:r>
        <w:rPr>
          <w:rFonts w:ascii="Arial" w:eastAsia="Arial" w:hAnsi="Arial" w:cs="Arial"/>
          <w:sz w:val="18"/>
          <w:szCs w:val="18"/>
        </w:rPr>
        <w:t>Internet Availability of Information Statement Materials containing instructions describing how</w:t>
      </w:r>
    </w:p>
    <w:p w14:paraId="3922038D" w14:textId="77777777" w:rsidR="00D1587D" w:rsidRDefault="00D1587D">
      <w:pPr>
        <w:spacing w:line="2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700"/>
        <w:gridCol w:w="3320"/>
      </w:tblGrid>
      <w:tr w:rsidR="00D1587D" w14:paraId="216EEE5C" w14:textId="77777777">
        <w:trPr>
          <w:trHeight w:val="230"/>
        </w:trPr>
        <w:tc>
          <w:tcPr>
            <w:tcW w:w="7700" w:type="dxa"/>
            <w:vAlign w:val="bottom"/>
          </w:tcPr>
          <w:p w14:paraId="68EF0EB0" w14:textId="77777777" w:rsidR="00D1587D" w:rsidRDefault="00410D07">
            <w:pPr>
              <w:ind w:left="1400"/>
              <w:rPr>
                <w:sz w:val="20"/>
                <w:szCs w:val="20"/>
              </w:rPr>
            </w:pPr>
            <w:r>
              <w:rPr>
                <w:rFonts w:ascii="Arial" w:eastAsia="Arial" w:hAnsi="Arial" w:cs="Arial"/>
                <w:w w:val="94"/>
                <w:sz w:val="18"/>
                <w:szCs w:val="18"/>
              </w:rPr>
              <w:t>to access the information statement was first mailed to LB stockholders on or about</w:t>
            </w:r>
          </w:p>
        </w:tc>
        <w:tc>
          <w:tcPr>
            <w:tcW w:w="3320" w:type="dxa"/>
            <w:vAlign w:val="bottom"/>
          </w:tcPr>
          <w:p w14:paraId="3613674E" w14:textId="77777777" w:rsidR="00D1587D" w:rsidRDefault="00410D07">
            <w:pPr>
              <w:ind w:right="2430"/>
              <w:jc w:val="right"/>
              <w:rPr>
                <w:sz w:val="20"/>
                <w:szCs w:val="20"/>
              </w:rPr>
            </w:pPr>
            <w:r>
              <w:rPr>
                <w:rFonts w:ascii="Arial" w:eastAsia="Arial" w:hAnsi="Arial" w:cs="Arial"/>
                <w:sz w:val="18"/>
                <w:szCs w:val="18"/>
              </w:rPr>
              <w:t>, 2021.</w:t>
            </w:r>
          </w:p>
        </w:tc>
      </w:tr>
      <w:tr w:rsidR="00D1587D" w14:paraId="30D9AB07" w14:textId="77777777">
        <w:trPr>
          <w:trHeight w:val="168"/>
        </w:trPr>
        <w:tc>
          <w:tcPr>
            <w:tcW w:w="7700" w:type="dxa"/>
            <w:tcBorders>
              <w:bottom w:val="single" w:sz="8" w:space="0" w:color="auto"/>
            </w:tcBorders>
            <w:vAlign w:val="bottom"/>
          </w:tcPr>
          <w:p w14:paraId="37BAFCCA" w14:textId="77777777" w:rsidR="00D1587D" w:rsidRDefault="00D1587D">
            <w:pPr>
              <w:rPr>
                <w:sz w:val="14"/>
                <w:szCs w:val="14"/>
              </w:rPr>
            </w:pPr>
          </w:p>
        </w:tc>
        <w:tc>
          <w:tcPr>
            <w:tcW w:w="3320" w:type="dxa"/>
            <w:tcBorders>
              <w:bottom w:val="single" w:sz="8" w:space="0" w:color="auto"/>
            </w:tcBorders>
            <w:vAlign w:val="bottom"/>
          </w:tcPr>
          <w:p w14:paraId="1B80A228" w14:textId="77777777" w:rsidR="00D1587D" w:rsidRDefault="00D1587D">
            <w:pPr>
              <w:rPr>
                <w:sz w:val="14"/>
                <w:szCs w:val="14"/>
              </w:rPr>
            </w:pPr>
          </w:p>
        </w:tc>
      </w:tr>
    </w:tbl>
    <w:p w14:paraId="298304DC" w14:textId="77777777" w:rsidR="00D1587D" w:rsidRDefault="00D1587D">
      <w:pPr>
        <w:sectPr w:rsidR="00D1587D">
          <w:pgSz w:w="11900" w:h="16838"/>
          <w:pgMar w:top="265" w:right="439" w:bottom="1440" w:left="440" w:header="0" w:footer="0" w:gutter="0"/>
          <w:cols w:space="720" w:equalWidth="0">
            <w:col w:w="11020"/>
          </w:cols>
        </w:sectPr>
      </w:pPr>
    </w:p>
    <w:bookmarkStart w:id="255" w:name="page256"/>
    <w:bookmarkEnd w:id="255"/>
    <w:p w14:paraId="225E332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2DE3B96" w14:textId="77777777" w:rsidR="00D1587D" w:rsidRDefault="00D1587D">
      <w:pPr>
        <w:spacing w:line="127" w:lineRule="exact"/>
        <w:rPr>
          <w:sz w:val="20"/>
          <w:szCs w:val="20"/>
        </w:rPr>
      </w:pPr>
    </w:p>
    <w:p w14:paraId="72A0B518" w14:textId="77777777" w:rsidR="00D1587D" w:rsidRDefault="00410D07">
      <w:pPr>
        <w:jc w:val="center"/>
        <w:rPr>
          <w:sz w:val="20"/>
          <w:szCs w:val="20"/>
        </w:rPr>
      </w:pPr>
      <w:r>
        <w:rPr>
          <w:rFonts w:ascii="Arial" w:eastAsia="Arial" w:hAnsi="Arial" w:cs="Arial"/>
          <w:b/>
          <w:bCs/>
          <w:sz w:val="18"/>
          <w:szCs w:val="18"/>
        </w:rPr>
        <w:t>TABLE OF CONTENTS</w:t>
      </w:r>
    </w:p>
    <w:p w14:paraId="1A503E20" w14:textId="77777777" w:rsidR="00D1587D" w:rsidRDefault="00410D07">
      <w:pPr>
        <w:spacing w:line="20" w:lineRule="exact"/>
        <w:rPr>
          <w:sz w:val="20"/>
          <w:szCs w:val="20"/>
        </w:rPr>
      </w:pPr>
      <w:r>
        <w:rPr>
          <w:noProof/>
          <w:sz w:val="20"/>
          <w:szCs w:val="20"/>
        </w:rPr>
        <w:drawing>
          <wp:anchor distT="0" distB="0" distL="114300" distR="114300" simplePos="0" relativeHeight="251421696" behindDoc="1" locked="0" layoutInCell="0" allowOverlap="1" wp14:anchorId="589994CB" wp14:editId="16EE02A8">
            <wp:simplePos x="0" y="0"/>
            <wp:positionH relativeFrom="column">
              <wp:posOffset>2311400</wp:posOffset>
            </wp:positionH>
            <wp:positionV relativeFrom="paragraph">
              <wp:posOffset>188595</wp:posOffset>
            </wp:positionV>
            <wp:extent cx="1097280" cy="825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7"/>
                    <a:srcRect/>
                    <a:stretch>
                      <a:fillRect/>
                    </a:stretch>
                  </pic:blipFill>
                  <pic:spPr bwMode="auto">
                    <a:xfrm>
                      <a:off x="0" y="0"/>
                      <a:ext cx="1097280" cy="8255"/>
                    </a:xfrm>
                    <a:prstGeom prst="rect">
                      <a:avLst/>
                    </a:prstGeom>
                    <a:noFill/>
                  </pic:spPr>
                </pic:pic>
              </a:graphicData>
            </a:graphic>
          </wp:anchor>
        </w:drawing>
      </w:r>
    </w:p>
    <w:p w14:paraId="136C1464" w14:textId="77777777" w:rsidR="00D1587D" w:rsidRDefault="00D1587D">
      <w:pPr>
        <w:spacing w:line="200" w:lineRule="exact"/>
        <w:rPr>
          <w:sz w:val="20"/>
          <w:szCs w:val="20"/>
        </w:rPr>
      </w:pPr>
    </w:p>
    <w:p w14:paraId="3456EDBC" w14:textId="77777777" w:rsidR="00D1587D" w:rsidRDefault="00D1587D">
      <w:pPr>
        <w:spacing w:line="24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40"/>
        <w:gridCol w:w="60"/>
        <w:gridCol w:w="200"/>
        <w:gridCol w:w="40"/>
        <w:gridCol w:w="60"/>
        <w:gridCol w:w="80"/>
        <w:gridCol w:w="80"/>
        <w:gridCol w:w="880"/>
        <w:gridCol w:w="800"/>
        <w:gridCol w:w="20"/>
        <w:gridCol w:w="80"/>
        <w:gridCol w:w="40"/>
        <w:gridCol w:w="260"/>
        <w:gridCol w:w="580"/>
        <w:gridCol w:w="40"/>
        <w:gridCol w:w="40"/>
        <w:gridCol w:w="1720"/>
        <w:gridCol w:w="820"/>
        <w:gridCol w:w="1680"/>
        <w:gridCol w:w="20"/>
        <w:gridCol w:w="40"/>
        <w:gridCol w:w="40"/>
        <w:gridCol w:w="20"/>
        <w:gridCol w:w="60"/>
        <w:gridCol w:w="80"/>
        <w:gridCol w:w="20"/>
        <w:gridCol w:w="20"/>
      </w:tblGrid>
      <w:tr w:rsidR="00D1587D" w14:paraId="42F4ACC9" w14:textId="77777777">
        <w:trPr>
          <w:trHeight w:val="186"/>
        </w:trPr>
        <w:tc>
          <w:tcPr>
            <w:tcW w:w="640" w:type="dxa"/>
            <w:vAlign w:val="bottom"/>
          </w:tcPr>
          <w:p w14:paraId="05EB21FD" w14:textId="77777777" w:rsidR="00D1587D" w:rsidRDefault="00D1587D">
            <w:pPr>
              <w:rPr>
                <w:sz w:val="16"/>
                <w:szCs w:val="16"/>
              </w:rPr>
            </w:pPr>
          </w:p>
        </w:tc>
        <w:tc>
          <w:tcPr>
            <w:tcW w:w="60" w:type="dxa"/>
            <w:vAlign w:val="bottom"/>
          </w:tcPr>
          <w:p w14:paraId="28838E79" w14:textId="77777777" w:rsidR="00D1587D" w:rsidRDefault="00D1587D">
            <w:pPr>
              <w:rPr>
                <w:sz w:val="16"/>
                <w:szCs w:val="16"/>
              </w:rPr>
            </w:pPr>
          </w:p>
        </w:tc>
        <w:tc>
          <w:tcPr>
            <w:tcW w:w="200" w:type="dxa"/>
            <w:vAlign w:val="bottom"/>
          </w:tcPr>
          <w:p w14:paraId="59FD8E33" w14:textId="77777777" w:rsidR="00D1587D" w:rsidRDefault="00D1587D">
            <w:pPr>
              <w:rPr>
                <w:sz w:val="16"/>
                <w:szCs w:val="16"/>
              </w:rPr>
            </w:pPr>
          </w:p>
        </w:tc>
        <w:tc>
          <w:tcPr>
            <w:tcW w:w="40" w:type="dxa"/>
            <w:vAlign w:val="bottom"/>
          </w:tcPr>
          <w:p w14:paraId="6F4516FC" w14:textId="77777777" w:rsidR="00D1587D" w:rsidRDefault="00D1587D">
            <w:pPr>
              <w:rPr>
                <w:sz w:val="16"/>
                <w:szCs w:val="16"/>
              </w:rPr>
            </w:pPr>
          </w:p>
        </w:tc>
        <w:tc>
          <w:tcPr>
            <w:tcW w:w="60" w:type="dxa"/>
            <w:vAlign w:val="bottom"/>
          </w:tcPr>
          <w:p w14:paraId="488FC74B" w14:textId="77777777" w:rsidR="00D1587D" w:rsidRDefault="00D1587D">
            <w:pPr>
              <w:rPr>
                <w:sz w:val="16"/>
                <w:szCs w:val="16"/>
              </w:rPr>
            </w:pPr>
          </w:p>
        </w:tc>
        <w:tc>
          <w:tcPr>
            <w:tcW w:w="80" w:type="dxa"/>
            <w:vAlign w:val="bottom"/>
          </w:tcPr>
          <w:p w14:paraId="4EDD6AED" w14:textId="77777777" w:rsidR="00D1587D" w:rsidRDefault="00D1587D">
            <w:pPr>
              <w:rPr>
                <w:sz w:val="16"/>
                <w:szCs w:val="16"/>
              </w:rPr>
            </w:pPr>
          </w:p>
        </w:tc>
        <w:tc>
          <w:tcPr>
            <w:tcW w:w="80" w:type="dxa"/>
            <w:vAlign w:val="bottom"/>
          </w:tcPr>
          <w:p w14:paraId="1F5BE868" w14:textId="77777777" w:rsidR="00D1587D" w:rsidRDefault="00D1587D">
            <w:pPr>
              <w:rPr>
                <w:sz w:val="16"/>
                <w:szCs w:val="16"/>
              </w:rPr>
            </w:pPr>
          </w:p>
        </w:tc>
        <w:tc>
          <w:tcPr>
            <w:tcW w:w="880" w:type="dxa"/>
            <w:vAlign w:val="bottom"/>
          </w:tcPr>
          <w:p w14:paraId="23EF9D3F" w14:textId="77777777" w:rsidR="00D1587D" w:rsidRDefault="00D1587D">
            <w:pPr>
              <w:rPr>
                <w:sz w:val="16"/>
                <w:szCs w:val="16"/>
              </w:rPr>
            </w:pPr>
          </w:p>
        </w:tc>
        <w:tc>
          <w:tcPr>
            <w:tcW w:w="800" w:type="dxa"/>
            <w:vAlign w:val="bottom"/>
          </w:tcPr>
          <w:p w14:paraId="3A704DF5" w14:textId="77777777" w:rsidR="00D1587D" w:rsidRDefault="00D1587D">
            <w:pPr>
              <w:rPr>
                <w:sz w:val="16"/>
                <w:szCs w:val="16"/>
              </w:rPr>
            </w:pPr>
          </w:p>
        </w:tc>
        <w:tc>
          <w:tcPr>
            <w:tcW w:w="20" w:type="dxa"/>
            <w:vAlign w:val="bottom"/>
          </w:tcPr>
          <w:p w14:paraId="016B8234" w14:textId="77777777" w:rsidR="00D1587D" w:rsidRDefault="00D1587D">
            <w:pPr>
              <w:rPr>
                <w:sz w:val="16"/>
                <w:szCs w:val="16"/>
              </w:rPr>
            </w:pPr>
          </w:p>
        </w:tc>
        <w:tc>
          <w:tcPr>
            <w:tcW w:w="80" w:type="dxa"/>
            <w:vAlign w:val="bottom"/>
          </w:tcPr>
          <w:p w14:paraId="146EC256" w14:textId="77777777" w:rsidR="00D1587D" w:rsidRDefault="00D1587D">
            <w:pPr>
              <w:rPr>
                <w:sz w:val="16"/>
                <w:szCs w:val="16"/>
              </w:rPr>
            </w:pPr>
          </w:p>
        </w:tc>
        <w:tc>
          <w:tcPr>
            <w:tcW w:w="40" w:type="dxa"/>
            <w:vAlign w:val="bottom"/>
          </w:tcPr>
          <w:p w14:paraId="78220E9E" w14:textId="77777777" w:rsidR="00D1587D" w:rsidRDefault="00D1587D">
            <w:pPr>
              <w:rPr>
                <w:sz w:val="16"/>
                <w:szCs w:val="16"/>
              </w:rPr>
            </w:pPr>
          </w:p>
        </w:tc>
        <w:tc>
          <w:tcPr>
            <w:tcW w:w="260" w:type="dxa"/>
            <w:vAlign w:val="bottom"/>
          </w:tcPr>
          <w:p w14:paraId="4D97C3A3" w14:textId="77777777" w:rsidR="00D1587D" w:rsidRDefault="00D1587D">
            <w:pPr>
              <w:rPr>
                <w:sz w:val="16"/>
                <w:szCs w:val="16"/>
              </w:rPr>
            </w:pPr>
          </w:p>
        </w:tc>
        <w:tc>
          <w:tcPr>
            <w:tcW w:w="580" w:type="dxa"/>
            <w:vAlign w:val="bottom"/>
          </w:tcPr>
          <w:p w14:paraId="52392C97" w14:textId="77777777" w:rsidR="00D1587D" w:rsidRDefault="00D1587D">
            <w:pPr>
              <w:rPr>
                <w:sz w:val="16"/>
                <w:szCs w:val="16"/>
              </w:rPr>
            </w:pPr>
          </w:p>
        </w:tc>
        <w:tc>
          <w:tcPr>
            <w:tcW w:w="40" w:type="dxa"/>
            <w:vAlign w:val="bottom"/>
          </w:tcPr>
          <w:p w14:paraId="767077AA" w14:textId="77777777" w:rsidR="00D1587D" w:rsidRDefault="00D1587D">
            <w:pPr>
              <w:rPr>
                <w:sz w:val="16"/>
                <w:szCs w:val="16"/>
              </w:rPr>
            </w:pPr>
          </w:p>
        </w:tc>
        <w:tc>
          <w:tcPr>
            <w:tcW w:w="40" w:type="dxa"/>
            <w:vAlign w:val="bottom"/>
          </w:tcPr>
          <w:p w14:paraId="53ABBAA7" w14:textId="77777777" w:rsidR="00D1587D" w:rsidRDefault="00D1587D">
            <w:pPr>
              <w:rPr>
                <w:sz w:val="16"/>
                <w:szCs w:val="16"/>
              </w:rPr>
            </w:pPr>
          </w:p>
        </w:tc>
        <w:tc>
          <w:tcPr>
            <w:tcW w:w="1720" w:type="dxa"/>
            <w:vAlign w:val="bottom"/>
          </w:tcPr>
          <w:p w14:paraId="7E248948" w14:textId="77777777" w:rsidR="00D1587D" w:rsidRDefault="00D1587D">
            <w:pPr>
              <w:rPr>
                <w:sz w:val="16"/>
                <w:szCs w:val="16"/>
              </w:rPr>
            </w:pPr>
          </w:p>
        </w:tc>
        <w:tc>
          <w:tcPr>
            <w:tcW w:w="820" w:type="dxa"/>
            <w:vAlign w:val="bottom"/>
          </w:tcPr>
          <w:p w14:paraId="5AB38F95" w14:textId="77777777" w:rsidR="00D1587D" w:rsidRDefault="00D1587D">
            <w:pPr>
              <w:rPr>
                <w:sz w:val="16"/>
                <w:szCs w:val="16"/>
              </w:rPr>
            </w:pPr>
          </w:p>
        </w:tc>
        <w:tc>
          <w:tcPr>
            <w:tcW w:w="1680" w:type="dxa"/>
            <w:vAlign w:val="bottom"/>
          </w:tcPr>
          <w:p w14:paraId="35982DDB" w14:textId="77777777" w:rsidR="00D1587D" w:rsidRDefault="00D1587D">
            <w:pPr>
              <w:rPr>
                <w:sz w:val="16"/>
                <w:szCs w:val="16"/>
              </w:rPr>
            </w:pPr>
          </w:p>
        </w:tc>
        <w:tc>
          <w:tcPr>
            <w:tcW w:w="300" w:type="dxa"/>
            <w:gridSpan w:val="8"/>
            <w:vAlign w:val="bottom"/>
          </w:tcPr>
          <w:p w14:paraId="2A240586" w14:textId="77777777" w:rsidR="00D1587D" w:rsidRDefault="00410D07">
            <w:pPr>
              <w:jc w:val="right"/>
              <w:rPr>
                <w:sz w:val="20"/>
                <w:szCs w:val="20"/>
              </w:rPr>
            </w:pPr>
            <w:r>
              <w:rPr>
                <w:rFonts w:ascii="Arial" w:eastAsia="Arial" w:hAnsi="Arial" w:cs="Arial"/>
                <w:b/>
                <w:bCs/>
                <w:w w:val="83"/>
                <w:sz w:val="14"/>
                <w:szCs w:val="14"/>
              </w:rPr>
              <w:t>Page</w:t>
            </w:r>
          </w:p>
        </w:tc>
      </w:tr>
      <w:tr w:rsidR="00D1587D" w14:paraId="53EEA16C" w14:textId="77777777">
        <w:trPr>
          <w:trHeight w:val="53"/>
        </w:trPr>
        <w:tc>
          <w:tcPr>
            <w:tcW w:w="640" w:type="dxa"/>
            <w:tcBorders>
              <w:bottom w:val="single" w:sz="8" w:space="0" w:color="CCEEFF"/>
            </w:tcBorders>
            <w:vAlign w:val="bottom"/>
          </w:tcPr>
          <w:p w14:paraId="3F958352" w14:textId="77777777" w:rsidR="00D1587D" w:rsidRDefault="00D1587D">
            <w:pPr>
              <w:rPr>
                <w:sz w:val="4"/>
                <w:szCs w:val="4"/>
              </w:rPr>
            </w:pPr>
          </w:p>
        </w:tc>
        <w:tc>
          <w:tcPr>
            <w:tcW w:w="60" w:type="dxa"/>
            <w:tcBorders>
              <w:bottom w:val="single" w:sz="8" w:space="0" w:color="CCEEFF"/>
            </w:tcBorders>
            <w:vAlign w:val="bottom"/>
          </w:tcPr>
          <w:p w14:paraId="65DBB4A2" w14:textId="77777777" w:rsidR="00D1587D" w:rsidRDefault="00D1587D">
            <w:pPr>
              <w:rPr>
                <w:sz w:val="4"/>
                <w:szCs w:val="4"/>
              </w:rPr>
            </w:pPr>
          </w:p>
        </w:tc>
        <w:tc>
          <w:tcPr>
            <w:tcW w:w="200" w:type="dxa"/>
            <w:tcBorders>
              <w:bottom w:val="single" w:sz="8" w:space="0" w:color="CCEEFF"/>
            </w:tcBorders>
            <w:vAlign w:val="bottom"/>
          </w:tcPr>
          <w:p w14:paraId="38AD8E82" w14:textId="77777777" w:rsidR="00D1587D" w:rsidRDefault="00D1587D">
            <w:pPr>
              <w:rPr>
                <w:sz w:val="4"/>
                <w:szCs w:val="4"/>
              </w:rPr>
            </w:pPr>
          </w:p>
        </w:tc>
        <w:tc>
          <w:tcPr>
            <w:tcW w:w="40" w:type="dxa"/>
            <w:tcBorders>
              <w:bottom w:val="single" w:sz="8" w:space="0" w:color="CCEEFF"/>
            </w:tcBorders>
            <w:vAlign w:val="bottom"/>
          </w:tcPr>
          <w:p w14:paraId="7540DB07" w14:textId="77777777" w:rsidR="00D1587D" w:rsidRDefault="00D1587D">
            <w:pPr>
              <w:rPr>
                <w:sz w:val="4"/>
                <w:szCs w:val="4"/>
              </w:rPr>
            </w:pPr>
          </w:p>
        </w:tc>
        <w:tc>
          <w:tcPr>
            <w:tcW w:w="60" w:type="dxa"/>
            <w:tcBorders>
              <w:bottom w:val="single" w:sz="8" w:space="0" w:color="CCEEFF"/>
            </w:tcBorders>
            <w:vAlign w:val="bottom"/>
          </w:tcPr>
          <w:p w14:paraId="541F9886" w14:textId="77777777" w:rsidR="00D1587D" w:rsidRDefault="00D1587D">
            <w:pPr>
              <w:rPr>
                <w:sz w:val="4"/>
                <w:szCs w:val="4"/>
              </w:rPr>
            </w:pPr>
          </w:p>
        </w:tc>
        <w:tc>
          <w:tcPr>
            <w:tcW w:w="80" w:type="dxa"/>
            <w:tcBorders>
              <w:bottom w:val="single" w:sz="8" w:space="0" w:color="CCEEFF"/>
            </w:tcBorders>
            <w:vAlign w:val="bottom"/>
          </w:tcPr>
          <w:p w14:paraId="5B2B259E" w14:textId="77777777" w:rsidR="00D1587D" w:rsidRDefault="00D1587D">
            <w:pPr>
              <w:rPr>
                <w:sz w:val="4"/>
                <w:szCs w:val="4"/>
              </w:rPr>
            </w:pPr>
          </w:p>
        </w:tc>
        <w:tc>
          <w:tcPr>
            <w:tcW w:w="80" w:type="dxa"/>
            <w:tcBorders>
              <w:bottom w:val="single" w:sz="8" w:space="0" w:color="CCEEFF"/>
            </w:tcBorders>
            <w:vAlign w:val="bottom"/>
          </w:tcPr>
          <w:p w14:paraId="214F0F8B" w14:textId="77777777" w:rsidR="00D1587D" w:rsidRDefault="00D1587D">
            <w:pPr>
              <w:rPr>
                <w:sz w:val="4"/>
                <w:szCs w:val="4"/>
              </w:rPr>
            </w:pPr>
          </w:p>
        </w:tc>
        <w:tc>
          <w:tcPr>
            <w:tcW w:w="880" w:type="dxa"/>
            <w:tcBorders>
              <w:bottom w:val="single" w:sz="8" w:space="0" w:color="CCEEFF"/>
            </w:tcBorders>
            <w:vAlign w:val="bottom"/>
          </w:tcPr>
          <w:p w14:paraId="7114059C" w14:textId="77777777" w:rsidR="00D1587D" w:rsidRDefault="00D1587D">
            <w:pPr>
              <w:rPr>
                <w:sz w:val="4"/>
                <w:szCs w:val="4"/>
              </w:rPr>
            </w:pPr>
          </w:p>
        </w:tc>
        <w:tc>
          <w:tcPr>
            <w:tcW w:w="800" w:type="dxa"/>
            <w:tcBorders>
              <w:bottom w:val="single" w:sz="8" w:space="0" w:color="CCEEFF"/>
            </w:tcBorders>
            <w:vAlign w:val="bottom"/>
          </w:tcPr>
          <w:p w14:paraId="282821C4" w14:textId="77777777" w:rsidR="00D1587D" w:rsidRDefault="00D1587D">
            <w:pPr>
              <w:rPr>
                <w:sz w:val="4"/>
                <w:szCs w:val="4"/>
              </w:rPr>
            </w:pPr>
          </w:p>
        </w:tc>
        <w:tc>
          <w:tcPr>
            <w:tcW w:w="20" w:type="dxa"/>
            <w:tcBorders>
              <w:bottom w:val="single" w:sz="8" w:space="0" w:color="CCEEFF"/>
            </w:tcBorders>
            <w:vAlign w:val="bottom"/>
          </w:tcPr>
          <w:p w14:paraId="26A42BDB" w14:textId="77777777" w:rsidR="00D1587D" w:rsidRDefault="00D1587D">
            <w:pPr>
              <w:rPr>
                <w:sz w:val="4"/>
                <w:szCs w:val="4"/>
              </w:rPr>
            </w:pPr>
          </w:p>
        </w:tc>
        <w:tc>
          <w:tcPr>
            <w:tcW w:w="80" w:type="dxa"/>
            <w:tcBorders>
              <w:bottom w:val="single" w:sz="8" w:space="0" w:color="CCEEFF"/>
            </w:tcBorders>
            <w:vAlign w:val="bottom"/>
          </w:tcPr>
          <w:p w14:paraId="03332743" w14:textId="77777777" w:rsidR="00D1587D" w:rsidRDefault="00D1587D">
            <w:pPr>
              <w:rPr>
                <w:sz w:val="4"/>
                <w:szCs w:val="4"/>
              </w:rPr>
            </w:pPr>
          </w:p>
        </w:tc>
        <w:tc>
          <w:tcPr>
            <w:tcW w:w="40" w:type="dxa"/>
            <w:tcBorders>
              <w:bottom w:val="single" w:sz="8" w:space="0" w:color="CCEEFF"/>
            </w:tcBorders>
            <w:vAlign w:val="bottom"/>
          </w:tcPr>
          <w:p w14:paraId="5C75D961" w14:textId="77777777" w:rsidR="00D1587D" w:rsidRDefault="00D1587D">
            <w:pPr>
              <w:rPr>
                <w:sz w:val="4"/>
                <w:szCs w:val="4"/>
              </w:rPr>
            </w:pPr>
          </w:p>
        </w:tc>
        <w:tc>
          <w:tcPr>
            <w:tcW w:w="260" w:type="dxa"/>
            <w:tcBorders>
              <w:bottom w:val="single" w:sz="8" w:space="0" w:color="CCEEFF"/>
            </w:tcBorders>
            <w:vAlign w:val="bottom"/>
          </w:tcPr>
          <w:p w14:paraId="3021463E" w14:textId="77777777" w:rsidR="00D1587D" w:rsidRDefault="00D1587D">
            <w:pPr>
              <w:rPr>
                <w:sz w:val="4"/>
                <w:szCs w:val="4"/>
              </w:rPr>
            </w:pPr>
          </w:p>
        </w:tc>
        <w:tc>
          <w:tcPr>
            <w:tcW w:w="580" w:type="dxa"/>
            <w:tcBorders>
              <w:bottom w:val="single" w:sz="8" w:space="0" w:color="CCEEFF"/>
            </w:tcBorders>
            <w:vAlign w:val="bottom"/>
          </w:tcPr>
          <w:p w14:paraId="07908780" w14:textId="77777777" w:rsidR="00D1587D" w:rsidRDefault="00D1587D">
            <w:pPr>
              <w:rPr>
                <w:sz w:val="4"/>
                <w:szCs w:val="4"/>
              </w:rPr>
            </w:pPr>
          </w:p>
        </w:tc>
        <w:tc>
          <w:tcPr>
            <w:tcW w:w="40" w:type="dxa"/>
            <w:tcBorders>
              <w:bottom w:val="single" w:sz="8" w:space="0" w:color="CCEEFF"/>
            </w:tcBorders>
            <w:vAlign w:val="bottom"/>
          </w:tcPr>
          <w:p w14:paraId="4EAAFE35" w14:textId="77777777" w:rsidR="00D1587D" w:rsidRDefault="00D1587D">
            <w:pPr>
              <w:rPr>
                <w:sz w:val="4"/>
                <w:szCs w:val="4"/>
              </w:rPr>
            </w:pPr>
          </w:p>
        </w:tc>
        <w:tc>
          <w:tcPr>
            <w:tcW w:w="40" w:type="dxa"/>
            <w:tcBorders>
              <w:bottom w:val="single" w:sz="8" w:space="0" w:color="CCEEFF"/>
            </w:tcBorders>
            <w:vAlign w:val="bottom"/>
          </w:tcPr>
          <w:p w14:paraId="10E726C0" w14:textId="77777777" w:rsidR="00D1587D" w:rsidRDefault="00D1587D">
            <w:pPr>
              <w:rPr>
                <w:sz w:val="4"/>
                <w:szCs w:val="4"/>
              </w:rPr>
            </w:pPr>
          </w:p>
        </w:tc>
        <w:tc>
          <w:tcPr>
            <w:tcW w:w="1720" w:type="dxa"/>
            <w:tcBorders>
              <w:bottom w:val="single" w:sz="8" w:space="0" w:color="CCEEFF"/>
            </w:tcBorders>
            <w:vAlign w:val="bottom"/>
          </w:tcPr>
          <w:p w14:paraId="0EC65205" w14:textId="77777777" w:rsidR="00D1587D" w:rsidRDefault="00D1587D">
            <w:pPr>
              <w:rPr>
                <w:sz w:val="4"/>
                <w:szCs w:val="4"/>
              </w:rPr>
            </w:pPr>
          </w:p>
        </w:tc>
        <w:tc>
          <w:tcPr>
            <w:tcW w:w="820" w:type="dxa"/>
            <w:tcBorders>
              <w:bottom w:val="single" w:sz="8" w:space="0" w:color="CCEEFF"/>
            </w:tcBorders>
            <w:vAlign w:val="bottom"/>
          </w:tcPr>
          <w:p w14:paraId="69453B1E" w14:textId="77777777" w:rsidR="00D1587D" w:rsidRDefault="00D1587D">
            <w:pPr>
              <w:rPr>
                <w:sz w:val="4"/>
                <w:szCs w:val="4"/>
              </w:rPr>
            </w:pPr>
          </w:p>
        </w:tc>
        <w:tc>
          <w:tcPr>
            <w:tcW w:w="1680" w:type="dxa"/>
            <w:tcBorders>
              <w:bottom w:val="single" w:sz="8" w:space="0" w:color="CCEEFF"/>
            </w:tcBorders>
            <w:vAlign w:val="bottom"/>
          </w:tcPr>
          <w:p w14:paraId="1FF9DBAC" w14:textId="77777777" w:rsidR="00D1587D" w:rsidRDefault="00D1587D">
            <w:pPr>
              <w:rPr>
                <w:sz w:val="4"/>
                <w:szCs w:val="4"/>
              </w:rPr>
            </w:pPr>
          </w:p>
        </w:tc>
        <w:tc>
          <w:tcPr>
            <w:tcW w:w="20" w:type="dxa"/>
            <w:tcBorders>
              <w:bottom w:val="single" w:sz="8" w:space="0" w:color="auto"/>
            </w:tcBorders>
            <w:vAlign w:val="bottom"/>
          </w:tcPr>
          <w:p w14:paraId="4F6D0CEE" w14:textId="77777777" w:rsidR="00D1587D" w:rsidRDefault="00D1587D">
            <w:pPr>
              <w:rPr>
                <w:sz w:val="4"/>
                <w:szCs w:val="4"/>
              </w:rPr>
            </w:pPr>
          </w:p>
        </w:tc>
        <w:tc>
          <w:tcPr>
            <w:tcW w:w="40" w:type="dxa"/>
            <w:tcBorders>
              <w:bottom w:val="single" w:sz="8" w:space="0" w:color="auto"/>
            </w:tcBorders>
            <w:vAlign w:val="bottom"/>
          </w:tcPr>
          <w:p w14:paraId="2595F030" w14:textId="77777777" w:rsidR="00D1587D" w:rsidRDefault="00D1587D">
            <w:pPr>
              <w:rPr>
                <w:sz w:val="4"/>
                <w:szCs w:val="4"/>
              </w:rPr>
            </w:pPr>
          </w:p>
        </w:tc>
        <w:tc>
          <w:tcPr>
            <w:tcW w:w="40" w:type="dxa"/>
            <w:tcBorders>
              <w:bottom w:val="single" w:sz="8" w:space="0" w:color="auto"/>
            </w:tcBorders>
            <w:vAlign w:val="bottom"/>
          </w:tcPr>
          <w:p w14:paraId="042C203B" w14:textId="77777777" w:rsidR="00D1587D" w:rsidRDefault="00D1587D">
            <w:pPr>
              <w:rPr>
                <w:sz w:val="4"/>
                <w:szCs w:val="4"/>
              </w:rPr>
            </w:pPr>
          </w:p>
        </w:tc>
        <w:tc>
          <w:tcPr>
            <w:tcW w:w="20" w:type="dxa"/>
            <w:tcBorders>
              <w:bottom w:val="single" w:sz="8" w:space="0" w:color="auto"/>
            </w:tcBorders>
            <w:vAlign w:val="bottom"/>
          </w:tcPr>
          <w:p w14:paraId="2BDD3327" w14:textId="77777777" w:rsidR="00D1587D" w:rsidRDefault="00D1587D">
            <w:pPr>
              <w:rPr>
                <w:sz w:val="4"/>
                <w:szCs w:val="4"/>
              </w:rPr>
            </w:pPr>
          </w:p>
        </w:tc>
        <w:tc>
          <w:tcPr>
            <w:tcW w:w="60" w:type="dxa"/>
            <w:tcBorders>
              <w:bottom w:val="single" w:sz="8" w:space="0" w:color="auto"/>
            </w:tcBorders>
            <w:vAlign w:val="bottom"/>
          </w:tcPr>
          <w:p w14:paraId="60003017" w14:textId="77777777" w:rsidR="00D1587D" w:rsidRDefault="00D1587D">
            <w:pPr>
              <w:rPr>
                <w:sz w:val="4"/>
                <w:szCs w:val="4"/>
              </w:rPr>
            </w:pPr>
          </w:p>
        </w:tc>
        <w:tc>
          <w:tcPr>
            <w:tcW w:w="80" w:type="dxa"/>
            <w:tcBorders>
              <w:bottom w:val="single" w:sz="8" w:space="0" w:color="auto"/>
            </w:tcBorders>
            <w:vAlign w:val="bottom"/>
          </w:tcPr>
          <w:p w14:paraId="0241C2CB" w14:textId="77777777" w:rsidR="00D1587D" w:rsidRDefault="00D1587D">
            <w:pPr>
              <w:rPr>
                <w:sz w:val="4"/>
                <w:szCs w:val="4"/>
              </w:rPr>
            </w:pPr>
          </w:p>
        </w:tc>
        <w:tc>
          <w:tcPr>
            <w:tcW w:w="20" w:type="dxa"/>
            <w:tcBorders>
              <w:bottom w:val="single" w:sz="8" w:space="0" w:color="auto"/>
            </w:tcBorders>
            <w:vAlign w:val="bottom"/>
          </w:tcPr>
          <w:p w14:paraId="2FDA9075" w14:textId="77777777" w:rsidR="00D1587D" w:rsidRDefault="00D1587D">
            <w:pPr>
              <w:rPr>
                <w:sz w:val="4"/>
                <w:szCs w:val="4"/>
              </w:rPr>
            </w:pPr>
          </w:p>
        </w:tc>
        <w:tc>
          <w:tcPr>
            <w:tcW w:w="20" w:type="dxa"/>
            <w:tcBorders>
              <w:bottom w:val="single" w:sz="8" w:space="0" w:color="auto"/>
            </w:tcBorders>
            <w:vAlign w:val="bottom"/>
          </w:tcPr>
          <w:p w14:paraId="6EE4A083" w14:textId="77777777" w:rsidR="00D1587D" w:rsidRDefault="00D1587D">
            <w:pPr>
              <w:rPr>
                <w:sz w:val="4"/>
                <w:szCs w:val="4"/>
              </w:rPr>
            </w:pPr>
          </w:p>
        </w:tc>
      </w:tr>
      <w:tr w:rsidR="00D1587D" w14:paraId="26C0F9A3" w14:textId="77777777">
        <w:trPr>
          <w:trHeight w:val="237"/>
        </w:trPr>
        <w:tc>
          <w:tcPr>
            <w:tcW w:w="8120" w:type="dxa"/>
            <w:gridSpan w:val="19"/>
            <w:shd w:val="clear" w:color="auto" w:fill="CCEEFF"/>
            <w:vAlign w:val="bottom"/>
          </w:tcPr>
          <w:p w14:paraId="04B3925E" w14:textId="77777777" w:rsidR="00D1587D" w:rsidRDefault="00410D07">
            <w:pPr>
              <w:rPr>
                <w:rFonts w:ascii="Arial" w:eastAsia="Arial" w:hAnsi="Arial" w:cs="Arial"/>
                <w:color w:val="0000EE"/>
                <w:sz w:val="18"/>
                <w:szCs w:val="18"/>
              </w:rPr>
            </w:pPr>
            <w:hyperlink w:anchor="page257">
              <w:r>
                <w:rPr>
                  <w:rFonts w:ascii="Arial" w:eastAsia="Arial" w:hAnsi="Arial" w:cs="Arial"/>
                  <w:color w:val="0000EE"/>
                  <w:sz w:val="18"/>
                  <w:szCs w:val="18"/>
                </w:rPr>
                <w:t>Note Regarding the Use of Certain Terms</w:t>
              </w:r>
            </w:hyperlink>
          </w:p>
        </w:tc>
        <w:tc>
          <w:tcPr>
            <w:tcW w:w="20" w:type="dxa"/>
            <w:shd w:val="clear" w:color="auto" w:fill="CCEEFF"/>
            <w:vAlign w:val="bottom"/>
          </w:tcPr>
          <w:p w14:paraId="7802C35D" w14:textId="77777777" w:rsidR="00D1587D" w:rsidRDefault="00D1587D">
            <w:pPr>
              <w:rPr>
                <w:sz w:val="20"/>
                <w:szCs w:val="20"/>
              </w:rPr>
            </w:pPr>
          </w:p>
        </w:tc>
        <w:tc>
          <w:tcPr>
            <w:tcW w:w="40" w:type="dxa"/>
            <w:shd w:val="clear" w:color="auto" w:fill="CCEEFF"/>
            <w:vAlign w:val="bottom"/>
          </w:tcPr>
          <w:p w14:paraId="1D0DAEDD" w14:textId="77777777" w:rsidR="00D1587D" w:rsidRDefault="00D1587D">
            <w:pPr>
              <w:rPr>
                <w:sz w:val="20"/>
                <w:szCs w:val="20"/>
              </w:rPr>
            </w:pPr>
          </w:p>
        </w:tc>
        <w:tc>
          <w:tcPr>
            <w:tcW w:w="40" w:type="dxa"/>
            <w:shd w:val="clear" w:color="auto" w:fill="CCEEFF"/>
            <w:vAlign w:val="bottom"/>
          </w:tcPr>
          <w:p w14:paraId="30FA134D" w14:textId="77777777" w:rsidR="00D1587D" w:rsidRDefault="00D1587D">
            <w:pPr>
              <w:rPr>
                <w:sz w:val="20"/>
                <w:szCs w:val="20"/>
              </w:rPr>
            </w:pPr>
          </w:p>
        </w:tc>
        <w:tc>
          <w:tcPr>
            <w:tcW w:w="20" w:type="dxa"/>
            <w:shd w:val="clear" w:color="auto" w:fill="CCEEFF"/>
            <w:vAlign w:val="bottom"/>
          </w:tcPr>
          <w:p w14:paraId="04C34199" w14:textId="77777777" w:rsidR="00D1587D" w:rsidRDefault="00D1587D">
            <w:pPr>
              <w:rPr>
                <w:sz w:val="20"/>
                <w:szCs w:val="20"/>
              </w:rPr>
            </w:pPr>
          </w:p>
        </w:tc>
        <w:tc>
          <w:tcPr>
            <w:tcW w:w="180" w:type="dxa"/>
            <w:gridSpan w:val="4"/>
            <w:shd w:val="clear" w:color="auto" w:fill="CCEEFF"/>
            <w:vAlign w:val="bottom"/>
          </w:tcPr>
          <w:p w14:paraId="51B84F24" w14:textId="77777777" w:rsidR="00D1587D" w:rsidRDefault="00410D07">
            <w:pPr>
              <w:ind w:right="20"/>
              <w:jc w:val="right"/>
              <w:rPr>
                <w:rFonts w:ascii="Arial" w:eastAsia="Arial" w:hAnsi="Arial" w:cs="Arial"/>
                <w:color w:val="0000EE"/>
                <w:sz w:val="18"/>
                <w:szCs w:val="18"/>
              </w:rPr>
            </w:pPr>
            <w:hyperlink w:anchor="page257">
              <w:r>
                <w:rPr>
                  <w:rFonts w:ascii="Arial" w:eastAsia="Arial" w:hAnsi="Arial" w:cs="Arial"/>
                  <w:color w:val="0000EE"/>
                  <w:sz w:val="18"/>
                  <w:szCs w:val="18"/>
                </w:rPr>
                <w:t>ii</w:t>
              </w:r>
            </w:hyperlink>
          </w:p>
        </w:tc>
      </w:tr>
      <w:tr w:rsidR="00410D07" w14:paraId="66180D9D" w14:textId="77777777">
        <w:trPr>
          <w:trHeight w:val="74"/>
        </w:trPr>
        <w:tc>
          <w:tcPr>
            <w:tcW w:w="640" w:type="dxa"/>
            <w:tcBorders>
              <w:top w:val="single" w:sz="8" w:space="0" w:color="0000EE"/>
            </w:tcBorders>
            <w:shd w:val="clear" w:color="auto" w:fill="CCEEFF"/>
            <w:vAlign w:val="bottom"/>
          </w:tcPr>
          <w:p w14:paraId="5435A8B9" w14:textId="77777777" w:rsidR="00D1587D" w:rsidRDefault="00D1587D">
            <w:pPr>
              <w:rPr>
                <w:sz w:val="6"/>
                <w:szCs w:val="6"/>
              </w:rPr>
            </w:pPr>
          </w:p>
        </w:tc>
        <w:tc>
          <w:tcPr>
            <w:tcW w:w="60" w:type="dxa"/>
            <w:tcBorders>
              <w:top w:val="single" w:sz="8" w:space="0" w:color="0000EE"/>
            </w:tcBorders>
            <w:shd w:val="clear" w:color="auto" w:fill="CCEEFF"/>
            <w:vAlign w:val="bottom"/>
          </w:tcPr>
          <w:p w14:paraId="29969820" w14:textId="77777777" w:rsidR="00D1587D" w:rsidRDefault="00D1587D">
            <w:pPr>
              <w:rPr>
                <w:sz w:val="6"/>
                <w:szCs w:val="6"/>
              </w:rPr>
            </w:pPr>
          </w:p>
        </w:tc>
        <w:tc>
          <w:tcPr>
            <w:tcW w:w="200" w:type="dxa"/>
            <w:tcBorders>
              <w:top w:val="single" w:sz="8" w:space="0" w:color="0000EE"/>
            </w:tcBorders>
            <w:shd w:val="clear" w:color="auto" w:fill="CCEEFF"/>
            <w:vAlign w:val="bottom"/>
          </w:tcPr>
          <w:p w14:paraId="1156D214" w14:textId="77777777" w:rsidR="00D1587D" w:rsidRDefault="00D1587D">
            <w:pPr>
              <w:rPr>
                <w:sz w:val="6"/>
                <w:szCs w:val="6"/>
              </w:rPr>
            </w:pPr>
          </w:p>
        </w:tc>
        <w:tc>
          <w:tcPr>
            <w:tcW w:w="40" w:type="dxa"/>
            <w:tcBorders>
              <w:top w:val="single" w:sz="8" w:space="0" w:color="0000EE"/>
            </w:tcBorders>
            <w:shd w:val="clear" w:color="auto" w:fill="CCEEFF"/>
            <w:vAlign w:val="bottom"/>
          </w:tcPr>
          <w:p w14:paraId="4AC6038F" w14:textId="77777777" w:rsidR="00D1587D" w:rsidRDefault="00D1587D">
            <w:pPr>
              <w:rPr>
                <w:sz w:val="6"/>
                <w:szCs w:val="6"/>
              </w:rPr>
            </w:pPr>
          </w:p>
        </w:tc>
        <w:tc>
          <w:tcPr>
            <w:tcW w:w="60" w:type="dxa"/>
            <w:tcBorders>
              <w:top w:val="single" w:sz="8" w:space="0" w:color="0000EE"/>
            </w:tcBorders>
            <w:shd w:val="clear" w:color="auto" w:fill="CCEEFF"/>
            <w:vAlign w:val="bottom"/>
          </w:tcPr>
          <w:p w14:paraId="29836AEE" w14:textId="77777777" w:rsidR="00D1587D" w:rsidRDefault="00D1587D">
            <w:pPr>
              <w:rPr>
                <w:sz w:val="6"/>
                <w:szCs w:val="6"/>
              </w:rPr>
            </w:pPr>
          </w:p>
        </w:tc>
        <w:tc>
          <w:tcPr>
            <w:tcW w:w="80" w:type="dxa"/>
            <w:tcBorders>
              <w:top w:val="single" w:sz="8" w:space="0" w:color="0000EE"/>
            </w:tcBorders>
            <w:shd w:val="clear" w:color="auto" w:fill="CCEEFF"/>
            <w:vAlign w:val="bottom"/>
          </w:tcPr>
          <w:p w14:paraId="31A9E81B" w14:textId="77777777" w:rsidR="00D1587D" w:rsidRDefault="00D1587D">
            <w:pPr>
              <w:rPr>
                <w:sz w:val="6"/>
                <w:szCs w:val="6"/>
              </w:rPr>
            </w:pPr>
          </w:p>
        </w:tc>
        <w:tc>
          <w:tcPr>
            <w:tcW w:w="80" w:type="dxa"/>
            <w:tcBorders>
              <w:top w:val="single" w:sz="8" w:space="0" w:color="0000EE"/>
            </w:tcBorders>
            <w:shd w:val="clear" w:color="auto" w:fill="CCEEFF"/>
            <w:vAlign w:val="bottom"/>
          </w:tcPr>
          <w:p w14:paraId="5E3A1DC3" w14:textId="77777777" w:rsidR="00D1587D" w:rsidRDefault="00D1587D">
            <w:pPr>
              <w:rPr>
                <w:sz w:val="6"/>
                <w:szCs w:val="6"/>
              </w:rPr>
            </w:pPr>
          </w:p>
        </w:tc>
        <w:tc>
          <w:tcPr>
            <w:tcW w:w="880" w:type="dxa"/>
            <w:tcBorders>
              <w:top w:val="single" w:sz="8" w:space="0" w:color="0000EE"/>
            </w:tcBorders>
            <w:shd w:val="clear" w:color="auto" w:fill="CCEEFF"/>
            <w:vAlign w:val="bottom"/>
          </w:tcPr>
          <w:p w14:paraId="7694A664" w14:textId="77777777" w:rsidR="00D1587D" w:rsidRDefault="00D1587D">
            <w:pPr>
              <w:rPr>
                <w:sz w:val="6"/>
                <w:szCs w:val="6"/>
              </w:rPr>
            </w:pPr>
          </w:p>
        </w:tc>
        <w:tc>
          <w:tcPr>
            <w:tcW w:w="800" w:type="dxa"/>
            <w:tcBorders>
              <w:top w:val="single" w:sz="8" w:space="0" w:color="0000EE"/>
            </w:tcBorders>
            <w:shd w:val="clear" w:color="auto" w:fill="CCEEFF"/>
            <w:vAlign w:val="bottom"/>
          </w:tcPr>
          <w:p w14:paraId="3FC04164" w14:textId="77777777" w:rsidR="00D1587D" w:rsidRDefault="00D1587D">
            <w:pPr>
              <w:rPr>
                <w:sz w:val="6"/>
                <w:szCs w:val="6"/>
              </w:rPr>
            </w:pPr>
          </w:p>
        </w:tc>
        <w:tc>
          <w:tcPr>
            <w:tcW w:w="20" w:type="dxa"/>
            <w:tcBorders>
              <w:top w:val="single" w:sz="8" w:space="0" w:color="0000EE"/>
            </w:tcBorders>
            <w:shd w:val="clear" w:color="auto" w:fill="CCEEFF"/>
            <w:vAlign w:val="bottom"/>
          </w:tcPr>
          <w:p w14:paraId="4D9964EE" w14:textId="77777777" w:rsidR="00D1587D" w:rsidRDefault="00D1587D">
            <w:pPr>
              <w:rPr>
                <w:sz w:val="6"/>
                <w:szCs w:val="6"/>
              </w:rPr>
            </w:pPr>
          </w:p>
        </w:tc>
        <w:tc>
          <w:tcPr>
            <w:tcW w:w="80" w:type="dxa"/>
            <w:tcBorders>
              <w:top w:val="single" w:sz="8" w:space="0" w:color="0000EE"/>
            </w:tcBorders>
            <w:shd w:val="clear" w:color="auto" w:fill="CCEEFF"/>
            <w:vAlign w:val="bottom"/>
          </w:tcPr>
          <w:p w14:paraId="10C1E2DE" w14:textId="77777777" w:rsidR="00D1587D" w:rsidRDefault="00D1587D">
            <w:pPr>
              <w:rPr>
                <w:sz w:val="6"/>
                <w:szCs w:val="6"/>
              </w:rPr>
            </w:pPr>
          </w:p>
        </w:tc>
        <w:tc>
          <w:tcPr>
            <w:tcW w:w="40" w:type="dxa"/>
            <w:tcBorders>
              <w:top w:val="single" w:sz="8" w:space="0" w:color="0000EE"/>
            </w:tcBorders>
            <w:shd w:val="clear" w:color="auto" w:fill="CCEEFF"/>
            <w:vAlign w:val="bottom"/>
          </w:tcPr>
          <w:p w14:paraId="79292168" w14:textId="77777777" w:rsidR="00D1587D" w:rsidRDefault="00D1587D">
            <w:pPr>
              <w:rPr>
                <w:sz w:val="6"/>
                <w:szCs w:val="6"/>
              </w:rPr>
            </w:pPr>
          </w:p>
        </w:tc>
        <w:tc>
          <w:tcPr>
            <w:tcW w:w="260" w:type="dxa"/>
            <w:tcBorders>
              <w:top w:val="single" w:sz="8" w:space="0" w:color="CCEEFF"/>
            </w:tcBorders>
            <w:shd w:val="clear" w:color="auto" w:fill="CCEEFF"/>
            <w:vAlign w:val="bottom"/>
          </w:tcPr>
          <w:p w14:paraId="39F38CEA" w14:textId="77777777" w:rsidR="00D1587D" w:rsidRDefault="00D1587D">
            <w:pPr>
              <w:rPr>
                <w:sz w:val="6"/>
                <w:szCs w:val="6"/>
              </w:rPr>
            </w:pPr>
          </w:p>
        </w:tc>
        <w:tc>
          <w:tcPr>
            <w:tcW w:w="580" w:type="dxa"/>
            <w:tcBorders>
              <w:top w:val="single" w:sz="8" w:space="0" w:color="CCEEFF"/>
            </w:tcBorders>
            <w:shd w:val="clear" w:color="auto" w:fill="CCEEFF"/>
            <w:vAlign w:val="bottom"/>
          </w:tcPr>
          <w:p w14:paraId="4F71C9D8" w14:textId="77777777" w:rsidR="00D1587D" w:rsidRDefault="00D1587D">
            <w:pPr>
              <w:rPr>
                <w:sz w:val="6"/>
                <w:szCs w:val="6"/>
              </w:rPr>
            </w:pPr>
          </w:p>
        </w:tc>
        <w:tc>
          <w:tcPr>
            <w:tcW w:w="40" w:type="dxa"/>
            <w:tcBorders>
              <w:top w:val="single" w:sz="8" w:space="0" w:color="CCEEFF"/>
            </w:tcBorders>
            <w:shd w:val="clear" w:color="auto" w:fill="CCEEFF"/>
            <w:vAlign w:val="bottom"/>
          </w:tcPr>
          <w:p w14:paraId="5B593F54" w14:textId="77777777" w:rsidR="00D1587D" w:rsidRDefault="00D1587D">
            <w:pPr>
              <w:rPr>
                <w:sz w:val="6"/>
                <w:szCs w:val="6"/>
              </w:rPr>
            </w:pPr>
          </w:p>
        </w:tc>
        <w:tc>
          <w:tcPr>
            <w:tcW w:w="40" w:type="dxa"/>
            <w:tcBorders>
              <w:top w:val="single" w:sz="8" w:space="0" w:color="CCEEFF"/>
            </w:tcBorders>
            <w:shd w:val="clear" w:color="auto" w:fill="CCEEFF"/>
            <w:vAlign w:val="bottom"/>
          </w:tcPr>
          <w:p w14:paraId="09DF6DE2" w14:textId="77777777" w:rsidR="00D1587D" w:rsidRDefault="00D1587D">
            <w:pPr>
              <w:rPr>
                <w:sz w:val="6"/>
                <w:szCs w:val="6"/>
              </w:rPr>
            </w:pPr>
          </w:p>
        </w:tc>
        <w:tc>
          <w:tcPr>
            <w:tcW w:w="1720" w:type="dxa"/>
            <w:tcBorders>
              <w:top w:val="single" w:sz="8" w:space="0" w:color="CCEEFF"/>
            </w:tcBorders>
            <w:shd w:val="clear" w:color="auto" w:fill="CCEEFF"/>
            <w:vAlign w:val="bottom"/>
          </w:tcPr>
          <w:p w14:paraId="5B872DF3" w14:textId="77777777" w:rsidR="00D1587D" w:rsidRDefault="00D1587D">
            <w:pPr>
              <w:rPr>
                <w:sz w:val="6"/>
                <w:szCs w:val="6"/>
              </w:rPr>
            </w:pPr>
          </w:p>
        </w:tc>
        <w:tc>
          <w:tcPr>
            <w:tcW w:w="820" w:type="dxa"/>
            <w:tcBorders>
              <w:top w:val="single" w:sz="8" w:space="0" w:color="CCEEFF"/>
            </w:tcBorders>
            <w:shd w:val="clear" w:color="auto" w:fill="CCEEFF"/>
            <w:vAlign w:val="bottom"/>
          </w:tcPr>
          <w:p w14:paraId="6BFA9B9E" w14:textId="77777777" w:rsidR="00D1587D" w:rsidRDefault="00D1587D">
            <w:pPr>
              <w:rPr>
                <w:sz w:val="6"/>
                <w:szCs w:val="6"/>
              </w:rPr>
            </w:pPr>
          </w:p>
        </w:tc>
        <w:tc>
          <w:tcPr>
            <w:tcW w:w="1680" w:type="dxa"/>
            <w:tcBorders>
              <w:top w:val="single" w:sz="8" w:space="0" w:color="CCEEFF"/>
            </w:tcBorders>
            <w:shd w:val="clear" w:color="auto" w:fill="CCEEFF"/>
            <w:vAlign w:val="bottom"/>
          </w:tcPr>
          <w:p w14:paraId="0830DC29" w14:textId="77777777" w:rsidR="00D1587D" w:rsidRDefault="00D1587D">
            <w:pPr>
              <w:rPr>
                <w:sz w:val="6"/>
                <w:szCs w:val="6"/>
              </w:rPr>
            </w:pPr>
          </w:p>
        </w:tc>
        <w:tc>
          <w:tcPr>
            <w:tcW w:w="20" w:type="dxa"/>
            <w:tcBorders>
              <w:top w:val="single" w:sz="8" w:space="0" w:color="CCEEFF"/>
            </w:tcBorders>
            <w:shd w:val="clear" w:color="auto" w:fill="CCEEFF"/>
            <w:vAlign w:val="bottom"/>
          </w:tcPr>
          <w:p w14:paraId="557AC9C4" w14:textId="77777777" w:rsidR="00D1587D" w:rsidRDefault="00D1587D">
            <w:pPr>
              <w:rPr>
                <w:sz w:val="6"/>
                <w:szCs w:val="6"/>
              </w:rPr>
            </w:pPr>
          </w:p>
        </w:tc>
        <w:tc>
          <w:tcPr>
            <w:tcW w:w="40" w:type="dxa"/>
            <w:tcBorders>
              <w:top w:val="single" w:sz="8" w:space="0" w:color="CCEEFF"/>
            </w:tcBorders>
            <w:shd w:val="clear" w:color="auto" w:fill="CCEEFF"/>
            <w:vAlign w:val="bottom"/>
          </w:tcPr>
          <w:p w14:paraId="629B38DF" w14:textId="77777777" w:rsidR="00D1587D" w:rsidRDefault="00D1587D">
            <w:pPr>
              <w:rPr>
                <w:sz w:val="6"/>
                <w:szCs w:val="6"/>
              </w:rPr>
            </w:pPr>
          </w:p>
        </w:tc>
        <w:tc>
          <w:tcPr>
            <w:tcW w:w="40" w:type="dxa"/>
            <w:tcBorders>
              <w:top w:val="single" w:sz="8" w:space="0" w:color="CCEEFF"/>
            </w:tcBorders>
            <w:shd w:val="clear" w:color="auto" w:fill="CCEEFF"/>
            <w:vAlign w:val="bottom"/>
          </w:tcPr>
          <w:p w14:paraId="77E1A697" w14:textId="77777777" w:rsidR="00D1587D" w:rsidRDefault="00D1587D">
            <w:pPr>
              <w:rPr>
                <w:sz w:val="6"/>
                <w:szCs w:val="6"/>
              </w:rPr>
            </w:pPr>
          </w:p>
        </w:tc>
        <w:tc>
          <w:tcPr>
            <w:tcW w:w="20" w:type="dxa"/>
            <w:tcBorders>
              <w:top w:val="single" w:sz="8" w:space="0" w:color="CCEEFF"/>
            </w:tcBorders>
            <w:shd w:val="clear" w:color="auto" w:fill="CCEEFF"/>
            <w:vAlign w:val="bottom"/>
          </w:tcPr>
          <w:p w14:paraId="26C0D80F" w14:textId="77777777" w:rsidR="00D1587D" w:rsidRDefault="00D1587D">
            <w:pPr>
              <w:rPr>
                <w:sz w:val="6"/>
                <w:szCs w:val="6"/>
              </w:rPr>
            </w:pPr>
          </w:p>
        </w:tc>
        <w:tc>
          <w:tcPr>
            <w:tcW w:w="60" w:type="dxa"/>
            <w:tcBorders>
              <w:top w:val="single" w:sz="8" w:space="0" w:color="CCEEFF"/>
            </w:tcBorders>
            <w:shd w:val="clear" w:color="auto" w:fill="CCEEFF"/>
            <w:vAlign w:val="bottom"/>
          </w:tcPr>
          <w:p w14:paraId="4F2D6BD3" w14:textId="77777777" w:rsidR="00D1587D" w:rsidRDefault="00D1587D">
            <w:pPr>
              <w:rPr>
                <w:sz w:val="6"/>
                <w:szCs w:val="6"/>
              </w:rPr>
            </w:pPr>
          </w:p>
        </w:tc>
        <w:tc>
          <w:tcPr>
            <w:tcW w:w="80" w:type="dxa"/>
            <w:tcBorders>
              <w:top w:val="single" w:sz="8" w:space="0" w:color="0000EE"/>
            </w:tcBorders>
            <w:shd w:val="clear" w:color="auto" w:fill="CCEEFF"/>
            <w:vAlign w:val="bottom"/>
          </w:tcPr>
          <w:p w14:paraId="1C8E5638" w14:textId="77777777" w:rsidR="00D1587D" w:rsidRDefault="00D1587D">
            <w:pPr>
              <w:rPr>
                <w:sz w:val="6"/>
                <w:szCs w:val="6"/>
              </w:rPr>
            </w:pPr>
          </w:p>
        </w:tc>
        <w:tc>
          <w:tcPr>
            <w:tcW w:w="20" w:type="dxa"/>
            <w:tcBorders>
              <w:top w:val="single" w:sz="8" w:space="0" w:color="0000EE"/>
            </w:tcBorders>
            <w:shd w:val="clear" w:color="auto" w:fill="CCEEFF"/>
            <w:vAlign w:val="bottom"/>
          </w:tcPr>
          <w:p w14:paraId="1B8E70A5" w14:textId="77777777" w:rsidR="00D1587D" w:rsidRDefault="00D1587D">
            <w:pPr>
              <w:rPr>
                <w:sz w:val="6"/>
                <w:szCs w:val="6"/>
              </w:rPr>
            </w:pPr>
          </w:p>
        </w:tc>
        <w:tc>
          <w:tcPr>
            <w:tcW w:w="20" w:type="dxa"/>
            <w:tcBorders>
              <w:top w:val="single" w:sz="8" w:space="0" w:color="CCEEFF"/>
            </w:tcBorders>
            <w:shd w:val="clear" w:color="auto" w:fill="CCEEFF"/>
            <w:vAlign w:val="bottom"/>
          </w:tcPr>
          <w:p w14:paraId="42843CAA" w14:textId="77777777" w:rsidR="00D1587D" w:rsidRDefault="00D1587D">
            <w:pPr>
              <w:rPr>
                <w:sz w:val="6"/>
                <w:szCs w:val="6"/>
              </w:rPr>
            </w:pPr>
          </w:p>
        </w:tc>
      </w:tr>
      <w:tr w:rsidR="00D1587D" w14:paraId="30E3491E" w14:textId="77777777">
        <w:trPr>
          <w:trHeight w:val="229"/>
        </w:trPr>
        <w:tc>
          <w:tcPr>
            <w:tcW w:w="8120" w:type="dxa"/>
            <w:gridSpan w:val="19"/>
            <w:vAlign w:val="bottom"/>
          </w:tcPr>
          <w:p w14:paraId="43CF214B" w14:textId="77777777" w:rsidR="00D1587D" w:rsidRDefault="00410D07">
            <w:pPr>
              <w:rPr>
                <w:rFonts w:ascii="Arial" w:eastAsia="Arial" w:hAnsi="Arial" w:cs="Arial"/>
                <w:color w:val="0000EE"/>
                <w:sz w:val="18"/>
                <w:szCs w:val="18"/>
              </w:rPr>
            </w:pPr>
            <w:hyperlink w:anchor="page258">
              <w:r>
                <w:rPr>
                  <w:rFonts w:ascii="Arial" w:eastAsia="Arial" w:hAnsi="Arial" w:cs="Arial"/>
                  <w:color w:val="0000EE"/>
                  <w:sz w:val="18"/>
                  <w:szCs w:val="18"/>
                </w:rPr>
                <w:t>Special Note Regarding Forward-Looking Statements</w:t>
              </w:r>
            </w:hyperlink>
          </w:p>
        </w:tc>
        <w:tc>
          <w:tcPr>
            <w:tcW w:w="20" w:type="dxa"/>
            <w:vAlign w:val="bottom"/>
          </w:tcPr>
          <w:p w14:paraId="7C3D0B3D" w14:textId="77777777" w:rsidR="00D1587D" w:rsidRDefault="00D1587D">
            <w:pPr>
              <w:rPr>
                <w:sz w:val="19"/>
                <w:szCs w:val="19"/>
              </w:rPr>
            </w:pPr>
          </w:p>
        </w:tc>
        <w:tc>
          <w:tcPr>
            <w:tcW w:w="40" w:type="dxa"/>
            <w:vAlign w:val="bottom"/>
          </w:tcPr>
          <w:p w14:paraId="4CE530ED" w14:textId="77777777" w:rsidR="00D1587D" w:rsidRDefault="00D1587D">
            <w:pPr>
              <w:rPr>
                <w:sz w:val="19"/>
                <w:szCs w:val="19"/>
              </w:rPr>
            </w:pPr>
          </w:p>
        </w:tc>
        <w:tc>
          <w:tcPr>
            <w:tcW w:w="40" w:type="dxa"/>
            <w:vAlign w:val="bottom"/>
          </w:tcPr>
          <w:p w14:paraId="0F92C10D" w14:textId="77777777" w:rsidR="00D1587D" w:rsidRDefault="00D1587D">
            <w:pPr>
              <w:rPr>
                <w:sz w:val="19"/>
                <w:szCs w:val="19"/>
              </w:rPr>
            </w:pPr>
          </w:p>
        </w:tc>
        <w:tc>
          <w:tcPr>
            <w:tcW w:w="200" w:type="dxa"/>
            <w:gridSpan w:val="5"/>
            <w:vAlign w:val="bottom"/>
          </w:tcPr>
          <w:p w14:paraId="0C04D81B" w14:textId="77777777" w:rsidR="00D1587D" w:rsidRDefault="00410D07">
            <w:pPr>
              <w:ind w:right="40"/>
              <w:jc w:val="right"/>
              <w:rPr>
                <w:rFonts w:ascii="Arial" w:eastAsia="Arial" w:hAnsi="Arial" w:cs="Arial"/>
                <w:color w:val="0000EE"/>
                <w:sz w:val="18"/>
                <w:szCs w:val="18"/>
              </w:rPr>
            </w:pPr>
            <w:hyperlink w:anchor="page258">
              <w:r>
                <w:rPr>
                  <w:rFonts w:ascii="Arial" w:eastAsia="Arial" w:hAnsi="Arial" w:cs="Arial"/>
                  <w:color w:val="0000EE"/>
                  <w:sz w:val="18"/>
                  <w:szCs w:val="18"/>
                </w:rPr>
                <w:t>iii</w:t>
              </w:r>
            </w:hyperlink>
          </w:p>
        </w:tc>
      </w:tr>
      <w:tr w:rsidR="00D1587D" w14:paraId="02E2B95A" w14:textId="77777777">
        <w:trPr>
          <w:trHeight w:val="75"/>
        </w:trPr>
        <w:tc>
          <w:tcPr>
            <w:tcW w:w="640" w:type="dxa"/>
            <w:tcBorders>
              <w:top w:val="single" w:sz="8" w:space="0" w:color="0000EE"/>
            </w:tcBorders>
            <w:vAlign w:val="bottom"/>
          </w:tcPr>
          <w:p w14:paraId="1A78DE6A" w14:textId="77777777" w:rsidR="00D1587D" w:rsidRDefault="00D1587D">
            <w:pPr>
              <w:rPr>
                <w:sz w:val="6"/>
                <w:szCs w:val="6"/>
              </w:rPr>
            </w:pPr>
          </w:p>
        </w:tc>
        <w:tc>
          <w:tcPr>
            <w:tcW w:w="60" w:type="dxa"/>
            <w:tcBorders>
              <w:top w:val="single" w:sz="8" w:space="0" w:color="0000EE"/>
            </w:tcBorders>
            <w:vAlign w:val="bottom"/>
          </w:tcPr>
          <w:p w14:paraId="29F94C2B" w14:textId="77777777" w:rsidR="00D1587D" w:rsidRDefault="00D1587D">
            <w:pPr>
              <w:rPr>
                <w:sz w:val="6"/>
                <w:szCs w:val="6"/>
              </w:rPr>
            </w:pPr>
          </w:p>
        </w:tc>
        <w:tc>
          <w:tcPr>
            <w:tcW w:w="200" w:type="dxa"/>
            <w:tcBorders>
              <w:top w:val="single" w:sz="8" w:space="0" w:color="0000EE"/>
            </w:tcBorders>
            <w:vAlign w:val="bottom"/>
          </w:tcPr>
          <w:p w14:paraId="5BEBE848" w14:textId="77777777" w:rsidR="00D1587D" w:rsidRDefault="00D1587D">
            <w:pPr>
              <w:rPr>
                <w:sz w:val="6"/>
                <w:szCs w:val="6"/>
              </w:rPr>
            </w:pPr>
          </w:p>
        </w:tc>
        <w:tc>
          <w:tcPr>
            <w:tcW w:w="40" w:type="dxa"/>
            <w:tcBorders>
              <w:top w:val="single" w:sz="8" w:space="0" w:color="0000EE"/>
            </w:tcBorders>
            <w:vAlign w:val="bottom"/>
          </w:tcPr>
          <w:p w14:paraId="043B0A1F" w14:textId="77777777" w:rsidR="00D1587D" w:rsidRDefault="00D1587D">
            <w:pPr>
              <w:rPr>
                <w:sz w:val="6"/>
                <w:szCs w:val="6"/>
              </w:rPr>
            </w:pPr>
          </w:p>
        </w:tc>
        <w:tc>
          <w:tcPr>
            <w:tcW w:w="60" w:type="dxa"/>
            <w:tcBorders>
              <w:top w:val="single" w:sz="8" w:space="0" w:color="0000EE"/>
            </w:tcBorders>
            <w:vAlign w:val="bottom"/>
          </w:tcPr>
          <w:p w14:paraId="67FFF351" w14:textId="77777777" w:rsidR="00D1587D" w:rsidRDefault="00D1587D">
            <w:pPr>
              <w:rPr>
                <w:sz w:val="6"/>
                <w:szCs w:val="6"/>
              </w:rPr>
            </w:pPr>
          </w:p>
        </w:tc>
        <w:tc>
          <w:tcPr>
            <w:tcW w:w="80" w:type="dxa"/>
            <w:tcBorders>
              <w:top w:val="single" w:sz="8" w:space="0" w:color="0000EE"/>
            </w:tcBorders>
            <w:vAlign w:val="bottom"/>
          </w:tcPr>
          <w:p w14:paraId="61266322" w14:textId="77777777" w:rsidR="00D1587D" w:rsidRDefault="00D1587D">
            <w:pPr>
              <w:rPr>
                <w:sz w:val="6"/>
                <w:szCs w:val="6"/>
              </w:rPr>
            </w:pPr>
          </w:p>
        </w:tc>
        <w:tc>
          <w:tcPr>
            <w:tcW w:w="80" w:type="dxa"/>
            <w:tcBorders>
              <w:top w:val="single" w:sz="8" w:space="0" w:color="0000EE"/>
            </w:tcBorders>
            <w:vAlign w:val="bottom"/>
          </w:tcPr>
          <w:p w14:paraId="18B60118" w14:textId="77777777" w:rsidR="00D1587D" w:rsidRDefault="00D1587D">
            <w:pPr>
              <w:rPr>
                <w:sz w:val="6"/>
                <w:szCs w:val="6"/>
              </w:rPr>
            </w:pPr>
          </w:p>
        </w:tc>
        <w:tc>
          <w:tcPr>
            <w:tcW w:w="880" w:type="dxa"/>
            <w:tcBorders>
              <w:top w:val="single" w:sz="8" w:space="0" w:color="0000EE"/>
            </w:tcBorders>
            <w:vAlign w:val="bottom"/>
          </w:tcPr>
          <w:p w14:paraId="1954C538" w14:textId="77777777" w:rsidR="00D1587D" w:rsidRDefault="00D1587D">
            <w:pPr>
              <w:rPr>
                <w:sz w:val="6"/>
                <w:szCs w:val="6"/>
              </w:rPr>
            </w:pPr>
          </w:p>
        </w:tc>
        <w:tc>
          <w:tcPr>
            <w:tcW w:w="800" w:type="dxa"/>
            <w:tcBorders>
              <w:top w:val="single" w:sz="8" w:space="0" w:color="0000EE"/>
            </w:tcBorders>
            <w:vAlign w:val="bottom"/>
          </w:tcPr>
          <w:p w14:paraId="641EC477" w14:textId="77777777" w:rsidR="00D1587D" w:rsidRDefault="00D1587D">
            <w:pPr>
              <w:rPr>
                <w:sz w:val="6"/>
                <w:szCs w:val="6"/>
              </w:rPr>
            </w:pPr>
          </w:p>
        </w:tc>
        <w:tc>
          <w:tcPr>
            <w:tcW w:w="20" w:type="dxa"/>
            <w:tcBorders>
              <w:top w:val="single" w:sz="8" w:space="0" w:color="0000EE"/>
            </w:tcBorders>
            <w:vAlign w:val="bottom"/>
          </w:tcPr>
          <w:p w14:paraId="0B64023E" w14:textId="77777777" w:rsidR="00D1587D" w:rsidRDefault="00D1587D">
            <w:pPr>
              <w:rPr>
                <w:sz w:val="6"/>
                <w:szCs w:val="6"/>
              </w:rPr>
            </w:pPr>
          </w:p>
        </w:tc>
        <w:tc>
          <w:tcPr>
            <w:tcW w:w="80" w:type="dxa"/>
            <w:tcBorders>
              <w:top w:val="single" w:sz="8" w:space="0" w:color="0000EE"/>
            </w:tcBorders>
            <w:vAlign w:val="bottom"/>
          </w:tcPr>
          <w:p w14:paraId="16B6C56A" w14:textId="77777777" w:rsidR="00D1587D" w:rsidRDefault="00D1587D">
            <w:pPr>
              <w:rPr>
                <w:sz w:val="6"/>
                <w:szCs w:val="6"/>
              </w:rPr>
            </w:pPr>
          </w:p>
        </w:tc>
        <w:tc>
          <w:tcPr>
            <w:tcW w:w="40" w:type="dxa"/>
            <w:tcBorders>
              <w:top w:val="single" w:sz="8" w:space="0" w:color="0000EE"/>
            </w:tcBorders>
            <w:vAlign w:val="bottom"/>
          </w:tcPr>
          <w:p w14:paraId="7CC03285" w14:textId="77777777" w:rsidR="00D1587D" w:rsidRDefault="00D1587D">
            <w:pPr>
              <w:rPr>
                <w:sz w:val="6"/>
                <w:szCs w:val="6"/>
              </w:rPr>
            </w:pPr>
          </w:p>
        </w:tc>
        <w:tc>
          <w:tcPr>
            <w:tcW w:w="260" w:type="dxa"/>
            <w:tcBorders>
              <w:top w:val="single" w:sz="8" w:space="0" w:color="0000EE"/>
            </w:tcBorders>
            <w:vAlign w:val="bottom"/>
          </w:tcPr>
          <w:p w14:paraId="745F0F4D" w14:textId="77777777" w:rsidR="00D1587D" w:rsidRDefault="00D1587D">
            <w:pPr>
              <w:rPr>
                <w:sz w:val="6"/>
                <w:szCs w:val="6"/>
              </w:rPr>
            </w:pPr>
          </w:p>
        </w:tc>
        <w:tc>
          <w:tcPr>
            <w:tcW w:w="580" w:type="dxa"/>
            <w:tcBorders>
              <w:top w:val="single" w:sz="8" w:space="0" w:color="0000EE"/>
            </w:tcBorders>
            <w:vAlign w:val="bottom"/>
          </w:tcPr>
          <w:p w14:paraId="7DDAE7E4" w14:textId="77777777" w:rsidR="00D1587D" w:rsidRDefault="00D1587D">
            <w:pPr>
              <w:rPr>
                <w:sz w:val="6"/>
                <w:szCs w:val="6"/>
              </w:rPr>
            </w:pPr>
          </w:p>
        </w:tc>
        <w:tc>
          <w:tcPr>
            <w:tcW w:w="40" w:type="dxa"/>
            <w:tcBorders>
              <w:top w:val="single" w:sz="8" w:space="0" w:color="0000EE"/>
            </w:tcBorders>
            <w:vAlign w:val="bottom"/>
          </w:tcPr>
          <w:p w14:paraId="51FF1DD2" w14:textId="77777777" w:rsidR="00D1587D" w:rsidRDefault="00D1587D">
            <w:pPr>
              <w:rPr>
                <w:sz w:val="6"/>
                <w:szCs w:val="6"/>
              </w:rPr>
            </w:pPr>
          </w:p>
        </w:tc>
        <w:tc>
          <w:tcPr>
            <w:tcW w:w="40" w:type="dxa"/>
            <w:vAlign w:val="bottom"/>
          </w:tcPr>
          <w:p w14:paraId="4327F534" w14:textId="77777777" w:rsidR="00D1587D" w:rsidRDefault="00D1587D">
            <w:pPr>
              <w:rPr>
                <w:sz w:val="6"/>
                <w:szCs w:val="6"/>
              </w:rPr>
            </w:pPr>
          </w:p>
        </w:tc>
        <w:tc>
          <w:tcPr>
            <w:tcW w:w="1720" w:type="dxa"/>
            <w:vAlign w:val="bottom"/>
          </w:tcPr>
          <w:p w14:paraId="6EF6A5A7" w14:textId="77777777" w:rsidR="00D1587D" w:rsidRDefault="00D1587D">
            <w:pPr>
              <w:rPr>
                <w:sz w:val="6"/>
                <w:szCs w:val="6"/>
              </w:rPr>
            </w:pPr>
          </w:p>
        </w:tc>
        <w:tc>
          <w:tcPr>
            <w:tcW w:w="820" w:type="dxa"/>
            <w:vAlign w:val="bottom"/>
          </w:tcPr>
          <w:p w14:paraId="073DE8BD" w14:textId="77777777" w:rsidR="00D1587D" w:rsidRDefault="00D1587D">
            <w:pPr>
              <w:rPr>
                <w:sz w:val="6"/>
                <w:szCs w:val="6"/>
              </w:rPr>
            </w:pPr>
          </w:p>
        </w:tc>
        <w:tc>
          <w:tcPr>
            <w:tcW w:w="1680" w:type="dxa"/>
            <w:vAlign w:val="bottom"/>
          </w:tcPr>
          <w:p w14:paraId="6D1651E1" w14:textId="77777777" w:rsidR="00D1587D" w:rsidRDefault="00D1587D">
            <w:pPr>
              <w:rPr>
                <w:sz w:val="6"/>
                <w:szCs w:val="6"/>
              </w:rPr>
            </w:pPr>
          </w:p>
        </w:tc>
        <w:tc>
          <w:tcPr>
            <w:tcW w:w="20" w:type="dxa"/>
            <w:vAlign w:val="bottom"/>
          </w:tcPr>
          <w:p w14:paraId="0C501FED" w14:textId="77777777" w:rsidR="00D1587D" w:rsidRDefault="00D1587D">
            <w:pPr>
              <w:rPr>
                <w:sz w:val="6"/>
                <w:szCs w:val="6"/>
              </w:rPr>
            </w:pPr>
          </w:p>
        </w:tc>
        <w:tc>
          <w:tcPr>
            <w:tcW w:w="40" w:type="dxa"/>
            <w:vAlign w:val="bottom"/>
          </w:tcPr>
          <w:p w14:paraId="78E56BE2" w14:textId="77777777" w:rsidR="00D1587D" w:rsidRDefault="00D1587D">
            <w:pPr>
              <w:rPr>
                <w:sz w:val="6"/>
                <w:szCs w:val="6"/>
              </w:rPr>
            </w:pPr>
          </w:p>
        </w:tc>
        <w:tc>
          <w:tcPr>
            <w:tcW w:w="40" w:type="dxa"/>
            <w:vAlign w:val="bottom"/>
          </w:tcPr>
          <w:p w14:paraId="1468C46D" w14:textId="77777777" w:rsidR="00D1587D" w:rsidRDefault="00D1587D">
            <w:pPr>
              <w:rPr>
                <w:sz w:val="6"/>
                <w:szCs w:val="6"/>
              </w:rPr>
            </w:pPr>
          </w:p>
        </w:tc>
        <w:tc>
          <w:tcPr>
            <w:tcW w:w="20" w:type="dxa"/>
            <w:vAlign w:val="bottom"/>
          </w:tcPr>
          <w:p w14:paraId="12443EE0" w14:textId="77777777" w:rsidR="00D1587D" w:rsidRDefault="00D1587D">
            <w:pPr>
              <w:rPr>
                <w:sz w:val="6"/>
                <w:szCs w:val="6"/>
              </w:rPr>
            </w:pPr>
          </w:p>
        </w:tc>
        <w:tc>
          <w:tcPr>
            <w:tcW w:w="60" w:type="dxa"/>
            <w:tcBorders>
              <w:top w:val="single" w:sz="8" w:space="0" w:color="0000EE"/>
            </w:tcBorders>
            <w:vAlign w:val="bottom"/>
          </w:tcPr>
          <w:p w14:paraId="5F2CD078" w14:textId="77777777" w:rsidR="00D1587D" w:rsidRDefault="00D1587D">
            <w:pPr>
              <w:rPr>
                <w:sz w:val="6"/>
                <w:szCs w:val="6"/>
              </w:rPr>
            </w:pPr>
          </w:p>
        </w:tc>
        <w:tc>
          <w:tcPr>
            <w:tcW w:w="80" w:type="dxa"/>
            <w:tcBorders>
              <w:top w:val="single" w:sz="8" w:space="0" w:color="0000EE"/>
            </w:tcBorders>
            <w:vAlign w:val="bottom"/>
          </w:tcPr>
          <w:p w14:paraId="5546752B" w14:textId="77777777" w:rsidR="00D1587D" w:rsidRDefault="00D1587D">
            <w:pPr>
              <w:rPr>
                <w:sz w:val="6"/>
                <w:szCs w:val="6"/>
              </w:rPr>
            </w:pPr>
          </w:p>
        </w:tc>
        <w:tc>
          <w:tcPr>
            <w:tcW w:w="20" w:type="dxa"/>
            <w:vAlign w:val="bottom"/>
          </w:tcPr>
          <w:p w14:paraId="0B09C9D7" w14:textId="77777777" w:rsidR="00D1587D" w:rsidRDefault="00D1587D">
            <w:pPr>
              <w:rPr>
                <w:sz w:val="6"/>
                <w:szCs w:val="6"/>
              </w:rPr>
            </w:pPr>
          </w:p>
        </w:tc>
        <w:tc>
          <w:tcPr>
            <w:tcW w:w="20" w:type="dxa"/>
            <w:vAlign w:val="bottom"/>
          </w:tcPr>
          <w:p w14:paraId="11910112" w14:textId="77777777" w:rsidR="00D1587D" w:rsidRDefault="00D1587D">
            <w:pPr>
              <w:rPr>
                <w:sz w:val="6"/>
                <w:szCs w:val="6"/>
              </w:rPr>
            </w:pPr>
          </w:p>
        </w:tc>
      </w:tr>
      <w:tr w:rsidR="00D1587D" w14:paraId="26D212A9" w14:textId="77777777">
        <w:trPr>
          <w:trHeight w:val="229"/>
        </w:trPr>
        <w:tc>
          <w:tcPr>
            <w:tcW w:w="8120" w:type="dxa"/>
            <w:gridSpan w:val="19"/>
            <w:shd w:val="clear" w:color="auto" w:fill="CCEEFF"/>
            <w:vAlign w:val="bottom"/>
          </w:tcPr>
          <w:p w14:paraId="4EED72CF" w14:textId="77777777" w:rsidR="00D1587D" w:rsidRDefault="00410D07">
            <w:pPr>
              <w:rPr>
                <w:rFonts w:ascii="Arial" w:eastAsia="Arial" w:hAnsi="Arial" w:cs="Arial"/>
                <w:color w:val="0000EE"/>
                <w:sz w:val="18"/>
                <w:szCs w:val="18"/>
              </w:rPr>
            </w:pPr>
            <w:hyperlink w:anchor="page259">
              <w:r>
                <w:rPr>
                  <w:rFonts w:ascii="Arial" w:eastAsia="Arial" w:hAnsi="Arial" w:cs="Arial"/>
                  <w:color w:val="0000EE"/>
                  <w:sz w:val="18"/>
                  <w:szCs w:val="18"/>
                </w:rPr>
                <w:t>Summary</w:t>
              </w:r>
            </w:hyperlink>
          </w:p>
        </w:tc>
        <w:tc>
          <w:tcPr>
            <w:tcW w:w="280" w:type="dxa"/>
            <w:gridSpan w:val="7"/>
            <w:shd w:val="clear" w:color="auto" w:fill="CCEEFF"/>
            <w:vAlign w:val="bottom"/>
          </w:tcPr>
          <w:p w14:paraId="065A4320" w14:textId="77777777" w:rsidR="00D1587D" w:rsidRDefault="00410D07">
            <w:pPr>
              <w:jc w:val="right"/>
              <w:rPr>
                <w:rFonts w:ascii="Arial" w:eastAsia="Arial" w:hAnsi="Arial" w:cs="Arial"/>
                <w:color w:val="0000EE"/>
                <w:sz w:val="18"/>
                <w:szCs w:val="18"/>
              </w:rPr>
            </w:pPr>
            <w:hyperlink w:anchor="page259">
              <w:r>
                <w:rPr>
                  <w:rFonts w:ascii="Arial" w:eastAsia="Arial" w:hAnsi="Arial" w:cs="Arial"/>
                  <w:color w:val="0000EE"/>
                  <w:sz w:val="18"/>
                  <w:szCs w:val="18"/>
                </w:rPr>
                <w:t>1</w:t>
              </w:r>
            </w:hyperlink>
          </w:p>
        </w:tc>
        <w:tc>
          <w:tcPr>
            <w:tcW w:w="20" w:type="dxa"/>
            <w:shd w:val="clear" w:color="auto" w:fill="CCEEFF"/>
            <w:vAlign w:val="bottom"/>
          </w:tcPr>
          <w:p w14:paraId="4FCDD786" w14:textId="77777777" w:rsidR="00D1587D" w:rsidRDefault="00D1587D">
            <w:pPr>
              <w:rPr>
                <w:sz w:val="19"/>
                <w:szCs w:val="19"/>
              </w:rPr>
            </w:pPr>
          </w:p>
        </w:tc>
      </w:tr>
      <w:tr w:rsidR="00410D07" w14:paraId="1533A7A6" w14:textId="77777777">
        <w:trPr>
          <w:trHeight w:val="75"/>
        </w:trPr>
        <w:tc>
          <w:tcPr>
            <w:tcW w:w="640" w:type="dxa"/>
            <w:tcBorders>
              <w:top w:val="single" w:sz="8" w:space="0" w:color="0000EE"/>
            </w:tcBorders>
            <w:shd w:val="clear" w:color="auto" w:fill="CCEEFF"/>
            <w:vAlign w:val="bottom"/>
          </w:tcPr>
          <w:p w14:paraId="6422B535" w14:textId="77777777" w:rsidR="00D1587D" w:rsidRDefault="00D1587D">
            <w:pPr>
              <w:rPr>
                <w:sz w:val="6"/>
                <w:szCs w:val="6"/>
              </w:rPr>
            </w:pPr>
          </w:p>
        </w:tc>
        <w:tc>
          <w:tcPr>
            <w:tcW w:w="60" w:type="dxa"/>
            <w:tcBorders>
              <w:top w:val="single" w:sz="8" w:space="0" w:color="0000EE"/>
            </w:tcBorders>
            <w:shd w:val="clear" w:color="auto" w:fill="CCEEFF"/>
            <w:vAlign w:val="bottom"/>
          </w:tcPr>
          <w:p w14:paraId="228EADF6" w14:textId="77777777" w:rsidR="00D1587D" w:rsidRDefault="00D1587D">
            <w:pPr>
              <w:rPr>
                <w:sz w:val="6"/>
                <w:szCs w:val="6"/>
              </w:rPr>
            </w:pPr>
          </w:p>
        </w:tc>
        <w:tc>
          <w:tcPr>
            <w:tcW w:w="200" w:type="dxa"/>
            <w:tcBorders>
              <w:top w:val="single" w:sz="8" w:space="0" w:color="CCEEFF"/>
            </w:tcBorders>
            <w:shd w:val="clear" w:color="auto" w:fill="CCEEFF"/>
            <w:vAlign w:val="bottom"/>
          </w:tcPr>
          <w:p w14:paraId="56B48BEF" w14:textId="77777777" w:rsidR="00D1587D" w:rsidRDefault="00D1587D">
            <w:pPr>
              <w:rPr>
                <w:sz w:val="6"/>
                <w:szCs w:val="6"/>
              </w:rPr>
            </w:pPr>
          </w:p>
        </w:tc>
        <w:tc>
          <w:tcPr>
            <w:tcW w:w="40" w:type="dxa"/>
            <w:tcBorders>
              <w:top w:val="single" w:sz="8" w:space="0" w:color="CCEEFF"/>
            </w:tcBorders>
            <w:shd w:val="clear" w:color="auto" w:fill="CCEEFF"/>
            <w:vAlign w:val="bottom"/>
          </w:tcPr>
          <w:p w14:paraId="67693A4C" w14:textId="77777777" w:rsidR="00D1587D" w:rsidRDefault="00D1587D">
            <w:pPr>
              <w:rPr>
                <w:sz w:val="6"/>
                <w:szCs w:val="6"/>
              </w:rPr>
            </w:pPr>
          </w:p>
        </w:tc>
        <w:tc>
          <w:tcPr>
            <w:tcW w:w="60" w:type="dxa"/>
            <w:tcBorders>
              <w:top w:val="single" w:sz="8" w:space="0" w:color="CCEEFF"/>
            </w:tcBorders>
            <w:shd w:val="clear" w:color="auto" w:fill="CCEEFF"/>
            <w:vAlign w:val="bottom"/>
          </w:tcPr>
          <w:p w14:paraId="4AEE53B8" w14:textId="77777777" w:rsidR="00D1587D" w:rsidRDefault="00D1587D">
            <w:pPr>
              <w:rPr>
                <w:sz w:val="6"/>
                <w:szCs w:val="6"/>
              </w:rPr>
            </w:pPr>
          </w:p>
        </w:tc>
        <w:tc>
          <w:tcPr>
            <w:tcW w:w="80" w:type="dxa"/>
            <w:tcBorders>
              <w:top w:val="single" w:sz="8" w:space="0" w:color="CCEEFF"/>
            </w:tcBorders>
            <w:shd w:val="clear" w:color="auto" w:fill="CCEEFF"/>
            <w:vAlign w:val="bottom"/>
          </w:tcPr>
          <w:p w14:paraId="340E9914" w14:textId="77777777" w:rsidR="00D1587D" w:rsidRDefault="00D1587D">
            <w:pPr>
              <w:rPr>
                <w:sz w:val="6"/>
                <w:szCs w:val="6"/>
              </w:rPr>
            </w:pPr>
          </w:p>
        </w:tc>
        <w:tc>
          <w:tcPr>
            <w:tcW w:w="80" w:type="dxa"/>
            <w:tcBorders>
              <w:top w:val="single" w:sz="8" w:space="0" w:color="CCEEFF"/>
            </w:tcBorders>
            <w:shd w:val="clear" w:color="auto" w:fill="CCEEFF"/>
            <w:vAlign w:val="bottom"/>
          </w:tcPr>
          <w:p w14:paraId="2F1368F0" w14:textId="77777777" w:rsidR="00D1587D" w:rsidRDefault="00D1587D">
            <w:pPr>
              <w:rPr>
                <w:sz w:val="6"/>
                <w:szCs w:val="6"/>
              </w:rPr>
            </w:pPr>
          </w:p>
        </w:tc>
        <w:tc>
          <w:tcPr>
            <w:tcW w:w="880" w:type="dxa"/>
            <w:tcBorders>
              <w:top w:val="single" w:sz="8" w:space="0" w:color="CCEEFF"/>
            </w:tcBorders>
            <w:shd w:val="clear" w:color="auto" w:fill="CCEEFF"/>
            <w:vAlign w:val="bottom"/>
          </w:tcPr>
          <w:p w14:paraId="16AD7C68" w14:textId="77777777" w:rsidR="00D1587D" w:rsidRDefault="00D1587D">
            <w:pPr>
              <w:rPr>
                <w:sz w:val="6"/>
                <w:szCs w:val="6"/>
              </w:rPr>
            </w:pPr>
          </w:p>
        </w:tc>
        <w:tc>
          <w:tcPr>
            <w:tcW w:w="800" w:type="dxa"/>
            <w:tcBorders>
              <w:top w:val="single" w:sz="8" w:space="0" w:color="CCEEFF"/>
            </w:tcBorders>
            <w:shd w:val="clear" w:color="auto" w:fill="CCEEFF"/>
            <w:vAlign w:val="bottom"/>
          </w:tcPr>
          <w:p w14:paraId="188A649F" w14:textId="77777777" w:rsidR="00D1587D" w:rsidRDefault="00D1587D">
            <w:pPr>
              <w:rPr>
                <w:sz w:val="6"/>
                <w:szCs w:val="6"/>
              </w:rPr>
            </w:pPr>
          </w:p>
        </w:tc>
        <w:tc>
          <w:tcPr>
            <w:tcW w:w="20" w:type="dxa"/>
            <w:tcBorders>
              <w:top w:val="single" w:sz="8" w:space="0" w:color="CCEEFF"/>
            </w:tcBorders>
            <w:shd w:val="clear" w:color="auto" w:fill="CCEEFF"/>
            <w:vAlign w:val="bottom"/>
          </w:tcPr>
          <w:p w14:paraId="1042DC24" w14:textId="77777777" w:rsidR="00D1587D" w:rsidRDefault="00D1587D">
            <w:pPr>
              <w:rPr>
                <w:sz w:val="6"/>
                <w:szCs w:val="6"/>
              </w:rPr>
            </w:pPr>
          </w:p>
        </w:tc>
        <w:tc>
          <w:tcPr>
            <w:tcW w:w="80" w:type="dxa"/>
            <w:tcBorders>
              <w:top w:val="single" w:sz="8" w:space="0" w:color="CCEEFF"/>
            </w:tcBorders>
            <w:shd w:val="clear" w:color="auto" w:fill="CCEEFF"/>
            <w:vAlign w:val="bottom"/>
          </w:tcPr>
          <w:p w14:paraId="70040347" w14:textId="77777777" w:rsidR="00D1587D" w:rsidRDefault="00D1587D">
            <w:pPr>
              <w:rPr>
                <w:sz w:val="6"/>
                <w:szCs w:val="6"/>
              </w:rPr>
            </w:pPr>
          </w:p>
        </w:tc>
        <w:tc>
          <w:tcPr>
            <w:tcW w:w="40" w:type="dxa"/>
            <w:tcBorders>
              <w:top w:val="single" w:sz="8" w:space="0" w:color="CCEEFF"/>
            </w:tcBorders>
            <w:shd w:val="clear" w:color="auto" w:fill="CCEEFF"/>
            <w:vAlign w:val="bottom"/>
          </w:tcPr>
          <w:p w14:paraId="64FEAF74" w14:textId="77777777" w:rsidR="00D1587D" w:rsidRDefault="00D1587D">
            <w:pPr>
              <w:rPr>
                <w:sz w:val="6"/>
                <w:szCs w:val="6"/>
              </w:rPr>
            </w:pPr>
          </w:p>
        </w:tc>
        <w:tc>
          <w:tcPr>
            <w:tcW w:w="260" w:type="dxa"/>
            <w:tcBorders>
              <w:top w:val="single" w:sz="8" w:space="0" w:color="CCEEFF"/>
            </w:tcBorders>
            <w:shd w:val="clear" w:color="auto" w:fill="CCEEFF"/>
            <w:vAlign w:val="bottom"/>
          </w:tcPr>
          <w:p w14:paraId="199DEE4D" w14:textId="77777777" w:rsidR="00D1587D" w:rsidRDefault="00D1587D">
            <w:pPr>
              <w:rPr>
                <w:sz w:val="6"/>
                <w:szCs w:val="6"/>
              </w:rPr>
            </w:pPr>
          </w:p>
        </w:tc>
        <w:tc>
          <w:tcPr>
            <w:tcW w:w="580" w:type="dxa"/>
            <w:tcBorders>
              <w:top w:val="single" w:sz="8" w:space="0" w:color="CCEEFF"/>
            </w:tcBorders>
            <w:shd w:val="clear" w:color="auto" w:fill="CCEEFF"/>
            <w:vAlign w:val="bottom"/>
          </w:tcPr>
          <w:p w14:paraId="5ACBCECC" w14:textId="77777777" w:rsidR="00D1587D" w:rsidRDefault="00D1587D">
            <w:pPr>
              <w:rPr>
                <w:sz w:val="6"/>
                <w:szCs w:val="6"/>
              </w:rPr>
            </w:pPr>
          </w:p>
        </w:tc>
        <w:tc>
          <w:tcPr>
            <w:tcW w:w="40" w:type="dxa"/>
            <w:tcBorders>
              <w:top w:val="single" w:sz="8" w:space="0" w:color="CCEEFF"/>
            </w:tcBorders>
            <w:shd w:val="clear" w:color="auto" w:fill="CCEEFF"/>
            <w:vAlign w:val="bottom"/>
          </w:tcPr>
          <w:p w14:paraId="57C9453E" w14:textId="77777777" w:rsidR="00D1587D" w:rsidRDefault="00D1587D">
            <w:pPr>
              <w:rPr>
                <w:sz w:val="6"/>
                <w:szCs w:val="6"/>
              </w:rPr>
            </w:pPr>
          </w:p>
        </w:tc>
        <w:tc>
          <w:tcPr>
            <w:tcW w:w="40" w:type="dxa"/>
            <w:tcBorders>
              <w:top w:val="single" w:sz="8" w:space="0" w:color="CCEEFF"/>
            </w:tcBorders>
            <w:shd w:val="clear" w:color="auto" w:fill="CCEEFF"/>
            <w:vAlign w:val="bottom"/>
          </w:tcPr>
          <w:p w14:paraId="5F725342" w14:textId="77777777" w:rsidR="00D1587D" w:rsidRDefault="00D1587D">
            <w:pPr>
              <w:rPr>
                <w:sz w:val="6"/>
                <w:szCs w:val="6"/>
              </w:rPr>
            </w:pPr>
          </w:p>
        </w:tc>
        <w:tc>
          <w:tcPr>
            <w:tcW w:w="1720" w:type="dxa"/>
            <w:tcBorders>
              <w:top w:val="single" w:sz="8" w:space="0" w:color="CCEEFF"/>
            </w:tcBorders>
            <w:shd w:val="clear" w:color="auto" w:fill="CCEEFF"/>
            <w:vAlign w:val="bottom"/>
          </w:tcPr>
          <w:p w14:paraId="3FF0EEDB" w14:textId="77777777" w:rsidR="00D1587D" w:rsidRDefault="00D1587D">
            <w:pPr>
              <w:rPr>
                <w:sz w:val="6"/>
                <w:szCs w:val="6"/>
              </w:rPr>
            </w:pPr>
          </w:p>
        </w:tc>
        <w:tc>
          <w:tcPr>
            <w:tcW w:w="820" w:type="dxa"/>
            <w:tcBorders>
              <w:top w:val="single" w:sz="8" w:space="0" w:color="CCEEFF"/>
            </w:tcBorders>
            <w:shd w:val="clear" w:color="auto" w:fill="CCEEFF"/>
            <w:vAlign w:val="bottom"/>
          </w:tcPr>
          <w:p w14:paraId="19082645" w14:textId="77777777" w:rsidR="00D1587D" w:rsidRDefault="00D1587D">
            <w:pPr>
              <w:rPr>
                <w:sz w:val="6"/>
                <w:szCs w:val="6"/>
              </w:rPr>
            </w:pPr>
          </w:p>
        </w:tc>
        <w:tc>
          <w:tcPr>
            <w:tcW w:w="1680" w:type="dxa"/>
            <w:tcBorders>
              <w:top w:val="single" w:sz="8" w:space="0" w:color="CCEEFF"/>
            </w:tcBorders>
            <w:shd w:val="clear" w:color="auto" w:fill="CCEEFF"/>
            <w:vAlign w:val="bottom"/>
          </w:tcPr>
          <w:p w14:paraId="68B0EF51" w14:textId="77777777" w:rsidR="00D1587D" w:rsidRDefault="00D1587D">
            <w:pPr>
              <w:rPr>
                <w:sz w:val="6"/>
                <w:szCs w:val="6"/>
              </w:rPr>
            </w:pPr>
          </w:p>
        </w:tc>
        <w:tc>
          <w:tcPr>
            <w:tcW w:w="20" w:type="dxa"/>
            <w:tcBorders>
              <w:top w:val="single" w:sz="8" w:space="0" w:color="CCEEFF"/>
            </w:tcBorders>
            <w:shd w:val="clear" w:color="auto" w:fill="CCEEFF"/>
            <w:vAlign w:val="bottom"/>
          </w:tcPr>
          <w:p w14:paraId="66D9F6DA" w14:textId="77777777" w:rsidR="00D1587D" w:rsidRDefault="00D1587D">
            <w:pPr>
              <w:rPr>
                <w:sz w:val="6"/>
                <w:szCs w:val="6"/>
              </w:rPr>
            </w:pPr>
          </w:p>
        </w:tc>
        <w:tc>
          <w:tcPr>
            <w:tcW w:w="40" w:type="dxa"/>
            <w:tcBorders>
              <w:top w:val="single" w:sz="8" w:space="0" w:color="CCEEFF"/>
            </w:tcBorders>
            <w:shd w:val="clear" w:color="auto" w:fill="CCEEFF"/>
            <w:vAlign w:val="bottom"/>
          </w:tcPr>
          <w:p w14:paraId="52DFEFC5" w14:textId="77777777" w:rsidR="00D1587D" w:rsidRDefault="00D1587D">
            <w:pPr>
              <w:rPr>
                <w:sz w:val="6"/>
                <w:szCs w:val="6"/>
              </w:rPr>
            </w:pPr>
          </w:p>
        </w:tc>
        <w:tc>
          <w:tcPr>
            <w:tcW w:w="40" w:type="dxa"/>
            <w:tcBorders>
              <w:top w:val="single" w:sz="8" w:space="0" w:color="CCEEFF"/>
            </w:tcBorders>
            <w:shd w:val="clear" w:color="auto" w:fill="CCEEFF"/>
            <w:vAlign w:val="bottom"/>
          </w:tcPr>
          <w:p w14:paraId="73FE4BF4" w14:textId="77777777" w:rsidR="00D1587D" w:rsidRDefault="00D1587D">
            <w:pPr>
              <w:rPr>
                <w:sz w:val="6"/>
                <w:szCs w:val="6"/>
              </w:rPr>
            </w:pPr>
          </w:p>
        </w:tc>
        <w:tc>
          <w:tcPr>
            <w:tcW w:w="20" w:type="dxa"/>
            <w:tcBorders>
              <w:top w:val="single" w:sz="8" w:space="0" w:color="CCEEFF"/>
            </w:tcBorders>
            <w:shd w:val="clear" w:color="auto" w:fill="CCEEFF"/>
            <w:vAlign w:val="bottom"/>
          </w:tcPr>
          <w:p w14:paraId="7DB4C559" w14:textId="77777777" w:rsidR="00D1587D" w:rsidRDefault="00D1587D">
            <w:pPr>
              <w:rPr>
                <w:sz w:val="6"/>
                <w:szCs w:val="6"/>
              </w:rPr>
            </w:pPr>
          </w:p>
        </w:tc>
        <w:tc>
          <w:tcPr>
            <w:tcW w:w="60" w:type="dxa"/>
            <w:tcBorders>
              <w:top w:val="single" w:sz="8" w:space="0" w:color="CCEEFF"/>
            </w:tcBorders>
            <w:shd w:val="clear" w:color="auto" w:fill="CCEEFF"/>
            <w:vAlign w:val="bottom"/>
          </w:tcPr>
          <w:p w14:paraId="1B03F553" w14:textId="77777777" w:rsidR="00D1587D" w:rsidRDefault="00D1587D">
            <w:pPr>
              <w:rPr>
                <w:sz w:val="6"/>
                <w:szCs w:val="6"/>
              </w:rPr>
            </w:pPr>
          </w:p>
        </w:tc>
        <w:tc>
          <w:tcPr>
            <w:tcW w:w="80" w:type="dxa"/>
            <w:tcBorders>
              <w:top w:val="single" w:sz="8" w:space="0" w:color="0000EE"/>
            </w:tcBorders>
            <w:shd w:val="clear" w:color="auto" w:fill="CCEEFF"/>
            <w:vAlign w:val="bottom"/>
          </w:tcPr>
          <w:p w14:paraId="01E72CB9" w14:textId="77777777" w:rsidR="00D1587D" w:rsidRDefault="00D1587D">
            <w:pPr>
              <w:rPr>
                <w:sz w:val="6"/>
                <w:szCs w:val="6"/>
              </w:rPr>
            </w:pPr>
          </w:p>
        </w:tc>
        <w:tc>
          <w:tcPr>
            <w:tcW w:w="20" w:type="dxa"/>
            <w:tcBorders>
              <w:top w:val="single" w:sz="8" w:space="0" w:color="0000EE"/>
            </w:tcBorders>
            <w:shd w:val="clear" w:color="auto" w:fill="CCEEFF"/>
            <w:vAlign w:val="bottom"/>
          </w:tcPr>
          <w:p w14:paraId="1CAB7832" w14:textId="77777777" w:rsidR="00D1587D" w:rsidRDefault="00D1587D">
            <w:pPr>
              <w:rPr>
                <w:sz w:val="6"/>
                <w:szCs w:val="6"/>
              </w:rPr>
            </w:pPr>
          </w:p>
        </w:tc>
        <w:tc>
          <w:tcPr>
            <w:tcW w:w="20" w:type="dxa"/>
            <w:tcBorders>
              <w:top w:val="single" w:sz="8" w:space="0" w:color="CCEEFF"/>
            </w:tcBorders>
            <w:shd w:val="clear" w:color="auto" w:fill="CCEEFF"/>
            <w:vAlign w:val="bottom"/>
          </w:tcPr>
          <w:p w14:paraId="792ED87A" w14:textId="77777777" w:rsidR="00D1587D" w:rsidRDefault="00D1587D">
            <w:pPr>
              <w:rPr>
                <w:sz w:val="6"/>
                <w:szCs w:val="6"/>
              </w:rPr>
            </w:pPr>
          </w:p>
        </w:tc>
      </w:tr>
      <w:tr w:rsidR="00D1587D" w14:paraId="1085279D" w14:textId="77777777">
        <w:trPr>
          <w:trHeight w:val="229"/>
        </w:trPr>
        <w:tc>
          <w:tcPr>
            <w:tcW w:w="8120" w:type="dxa"/>
            <w:gridSpan w:val="19"/>
            <w:vAlign w:val="bottom"/>
          </w:tcPr>
          <w:p w14:paraId="79B3515C" w14:textId="77777777" w:rsidR="00D1587D" w:rsidRDefault="00410D07">
            <w:pPr>
              <w:rPr>
                <w:rFonts w:ascii="Arial" w:eastAsia="Arial" w:hAnsi="Arial" w:cs="Arial"/>
                <w:color w:val="0000EE"/>
                <w:sz w:val="18"/>
                <w:szCs w:val="18"/>
              </w:rPr>
            </w:pPr>
            <w:hyperlink w:anchor="page275">
              <w:r>
                <w:rPr>
                  <w:rFonts w:ascii="Arial" w:eastAsia="Arial" w:hAnsi="Arial" w:cs="Arial"/>
                  <w:color w:val="0000EE"/>
                  <w:sz w:val="18"/>
                  <w:szCs w:val="18"/>
                </w:rPr>
                <w:t>Risk Factors</w:t>
              </w:r>
            </w:hyperlink>
          </w:p>
        </w:tc>
        <w:tc>
          <w:tcPr>
            <w:tcW w:w="280" w:type="dxa"/>
            <w:gridSpan w:val="7"/>
            <w:vAlign w:val="bottom"/>
          </w:tcPr>
          <w:p w14:paraId="6F453041" w14:textId="77777777" w:rsidR="00D1587D" w:rsidRDefault="00410D07">
            <w:pPr>
              <w:jc w:val="right"/>
              <w:rPr>
                <w:rFonts w:ascii="Arial" w:eastAsia="Arial" w:hAnsi="Arial" w:cs="Arial"/>
                <w:color w:val="0000EE"/>
                <w:sz w:val="18"/>
                <w:szCs w:val="18"/>
              </w:rPr>
            </w:pPr>
            <w:hyperlink w:anchor="page275">
              <w:r>
                <w:rPr>
                  <w:rFonts w:ascii="Arial" w:eastAsia="Arial" w:hAnsi="Arial" w:cs="Arial"/>
                  <w:color w:val="0000EE"/>
                  <w:sz w:val="18"/>
                  <w:szCs w:val="18"/>
                </w:rPr>
                <w:t>17</w:t>
              </w:r>
            </w:hyperlink>
          </w:p>
        </w:tc>
        <w:tc>
          <w:tcPr>
            <w:tcW w:w="20" w:type="dxa"/>
            <w:vAlign w:val="bottom"/>
          </w:tcPr>
          <w:p w14:paraId="4C5914F0" w14:textId="77777777" w:rsidR="00D1587D" w:rsidRDefault="00D1587D">
            <w:pPr>
              <w:rPr>
                <w:sz w:val="19"/>
                <w:szCs w:val="19"/>
              </w:rPr>
            </w:pPr>
          </w:p>
        </w:tc>
      </w:tr>
      <w:tr w:rsidR="00D1587D" w14:paraId="1742DE34" w14:textId="77777777">
        <w:trPr>
          <w:trHeight w:val="74"/>
        </w:trPr>
        <w:tc>
          <w:tcPr>
            <w:tcW w:w="640" w:type="dxa"/>
            <w:tcBorders>
              <w:top w:val="single" w:sz="8" w:space="0" w:color="0000EE"/>
            </w:tcBorders>
            <w:vAlign w:val="bottom"/>
          </w:tcPr>
          <w:p w14:paraId="5F4D5F24" w14:textId="77777777" w:rsidR="00D1587D" w:rsidRDefault="00D1587D">
            <w:pPr>
              <w:rPr>
                <w:sz w:val="6"/>
                <w:szCs w:val="6"/>
              </w:rPr>
            </w:pPr>
          </w:p>
        </w:tc>
        <w:tc>
          <w:tcPr>
            <w:tcW w:w="60" w:type="dxa"/>
            <w:tcBorders>
              <w:top w:val="single" w:sz="8" w:space="0" w:color="0000EE"/>
            </w:tcBorders>
            <w:vAlign w:val="bottom"/>
          </w:tcPr>
          <w:p w14:paraId="3647CF41" w14:textId="77777777" w:rsidR="00D1587D" w:rsidRDefault="00D1587D">
            <w:pPr>
              <w:rPr>
                <w:sz w:val="6"/>
                <w:szCs w:val="6"/>
              </w:rPr>
            </w:pPr>
          </w:p>
        </w:tc>
        <w:tc>
          <w:tcPr>
            <w:tcW w:w="200" w:type="dxa"/>
            <w:tcBorders>
              <w:top w:val="single" w:sz="8" w:space="0" w:color="0000EE"/>
            </w:tcBorders>
            <w:vAlign w:val="bottom"/>
          </w:tcPr>
          <w:p w14:paraId="7BE6CF05" w14:textId="77777777" w:rsidR="00D1587D" w:rsidRDefault="00D1587D">
            <w:pPr>
              <w:rPr>
                <w:sz w:val="6"/>
                <w:szCs w:val="6"/>
              </w:rPr>
            </w:pPr>
          </w:p>
        </w:tc>
        <w:tc>
          <w:tcPr>
            <w:tcW w:w="40" w:type="dxa"/>
            <w:vAlign w:val="bottom"/>
          </w:tcPr>
          <w:p w14:paraId="60A0EDEC" w14:textId="77777777" w:rsidR="00D1587D" w:rsidRDefault="00D1587D">
            <w:pPr>
              <w:rPr>
                <w:sz w:val="6"/>
                <w:szCs w:val="6"/>
              </w:rPr>
            </w:pPr>
          </w:p>
        </w:tc>
        <w:tc>
          <w:tcPr>
            <w:tcW w:w="60" w:type="dxa"/>
            <w:vAlign w:val="bottom"/>
          </w:tcPr>
          <w:p w14:paraId="18D4615C" w14:textId="77777777" w:rsidR="00D1587D" w:rsidRDefault="00D1587D">
            <w:pPr>
              <w:rPr>
                <w:sz w:val="6"/>
                <w:szCs w:val="6"/>
              </w:rPr>
            </w:pPr>
          </w:p>
        </w:tc>
        <w:tc>
          <w:tcPr>
            <w:tcW w:w="80" w:type="dxa"/>
            <w:vAlign w:val="bottom"/>
          </w:tcPr>
          <w:p w14:paraId="26A7CC1B" w14:textId="77777777" w:rsidR="00D1587D" w:rsidRDefault="00D1587D">
            <w:pPr>
              <w:rPr>
                <w:sz w:val="6"/>
                <w:szCs w:val="6"/>
              </w:rPr>
            </w:pPr>
          </w:p>
        </w:tc>
        <w:tc>
          <w:tcPr>
            <w:tcW w:w="80" w:type="dxa"/>
            <w:vAlign w:val="bottom"/>
          </w:tcPr>
          <w:p w14:paraId="0E4DFECE" w14:textId="77777777" w:rsidR="00D1587D" w:rsidRDefault="00D1587D">
            <w:pPr>
              <w:rPr>
                <w:sz w:val="6"/>
                <w:szCs w:val="6"/>
              </w:rPr>
            </w:pPr>
          </w:p>
        </w:tc>
        <w:tc>
          <w:tcPr>
            <w:tcW w:w="880" w:type="dxa"/>
            <w:vAlign w:val="bottom"/>
          </w:tcPr>
          <w:p w14:paraId="6134D3E4" w14:textId="77777777" w:rsidR="00D1587D" w:rsidRDefault="00D1587D">
            <w:pPr>
              <w:rPr>
                <w:sz w:val="6"/>
                <w:szCs w:val="6"/>
              </w:rPr>
            </w:pPr>
          </w:p>
        </w:tc>
        <w:tc>
          <w:tcPr>
            <w:tcW w:w="800" w:type="dxa"/>
            <w:vAlign w:val="bottom"/>
          </w:tcPr>
          <w:p w14:paraId="42B1AE5D" w14:textId="77777777" w:rsidR="00D1587D" w:rsidRDefault="00D1587D">
            <w:pPr>
              <w:rPr>
                <w:sz w:val="6"/>
                <w:szCs w:val="6"/>
              </w:rPr>
            </w:pPr>
          </w:p>
        </w:tc>
        <w:tc>
          <w:tcPr>
            <w:tcW w:w="20" w:type="dxa"/>
            <w:vAlign w:val="bottom"/>
          </w:tcPr>
          <w:p w14:paraId="357B0C23" w14:textId="77777777" w:rsidR="00D1587D" w:rsidRDefault="00D1587D">
            <w:pPr>
              <w:rPr>
                <w:sz w:val="6"/>
                <w:szCs w:val="6"/>
              </w:rPr>
            </w:pPr>
          </w:p>
        </w:tc>
        <w:tc>
          <w:tcPr>
            <w:tcW w:w="80" w:type="dxa"/>
            <w:vAlign w:val="bottom"/>
          </w:tcPr>
          <w:p w14:paraId="4C8D7933" w14:textId="77777777" w:rsidR="00D1587D" w:rsidRDefault="00D1587D">
            <w:pPr>
              <w:rPr>
                <w:sz w:val="6"/>
                <w:szCs w:val="6"/>
              </w:rPr>
            </w:pPr>
          </w:p>
        </w:tc>
        <w:tc>
          <w:tcPr>
            <w:tcW w:w="40" w:type="dxa"/>
            <w:vAlign w:val="bottom"/>
          </w:tcPr>
          <w:p w14:paraId="6A6F753D" w14:textId="77777777" w:rsidR="00D1587D" w:rsidRDefault="00D1587D">
            <w:pPr>
              <w:rPr>
                <w:sz w:val="6"/>
                <w:szCs w:val="6"/>
              </w:rPr>
            </w:pPr>
          </w:p>
        </w:tc>
        <w:tc>
          <w:tcPr>
            <w:tcW w:w="260" w:type="dxa"/>
            <w:vAlign w:val="bottom"/>
          </w:tcPr>
          <w:p w14:paraId="50F18B96" w14:textId="77777777" w:rsidR="00D1587D" w:rsidRDefault="00D1587D">
            <w:pPr>
              <w:rPr>
                <w:sz w:val="6"/>
                <w:szCs w:val="6"/>
              </w:rPr>
            </w:pPr>
          </w:p>
        </w:tc>
        <w:tc>
          <w:tcPr>
            <w:tcW w:w="580" w:type="dxa"/>
            <w:vAlign w:val="bottom"/>
          </w:tcPr>
          <w:p w14:paraId="5D84DEF2" w14:textId="77777777" w:rsidR="00D1587D" w:rsidRDefault="00D1587D">
            <w:pPr>
              <w:rPr>
                <w:sz w:val="6"/>
                <w:szCs w:val="6"/>
              </w:rPr>
            </w:pPr>
          </w:p>
        </w:tc>
        <w:tc>
          <w:tcPr>
            <w:tcW w:w="40" w:type="dxa"/>
            <w:vAlign w:val="bottom"/>
          </w:tcPr>
          <w:p w14:paraId="4D69C181" w14:textId="77777777" w:rsidR="00D1587D" w:rsidRDefault="00D1587D">
            <w:pPr>
              <w:rPr>
                <w:sz w:val="6"/>
                <w:szCs w:val="6"/>
              </w:rPr>
            </w:pPr>
          </w:p>
        </w:tc>
        <w:tc>
          <w:tcPr>
            <w:tcW w:w="40" w:type="dxa"/>
            <w:vAlign w:val="bottom"/>
          </w:tcPr>
          <w:p w14:paraId="6D3158AA" w14:textId="77777777" w:rsidR="00D1587D" w:rsidRDefault="00D1587D">
            <w:pPr>
              <w:rPr>
                <w:sz w:val="6"/>
                <w:szCs w:val="6"/>
              </w:rPr>
            </w:pPr>
          </w:p>
        </w:tc>
        <w:tc>
          <w:tcPr>
            <w:tcW w:w="1720" w:type="dxa"/>
            <w:vAlign w:val="bottom"/>
          </w:tcPr>
          <w:p w14:paraId="192353B1" w14:textId="77777777" w:rsidR="00D1587D" w:rsidRDefault="00D1587D">
            <w:pPr>
              <w:rPr>
                <w:sz w:val="6"/>
                <w:szCs w:val="6"/>
              </w:rPr>
            </w:pPr>
          </w:p>
        </w:tc>
        <w:tc>
          <w:tcPr>
            <w:tcW w:w="820" w:type="dxa"/>
            <w:vAlign w:val="bottom"/>
          </w:tcPr>
          <w:p w14:paraId="7B4E705C" w14:textId="77777777" w:rsidR="00D1587D" w:rsidRDefault="00D1587D">
            <w:pPr>
              <w:rPr>
                <w:sz w:val="6"/>
                <w:szCs w:val="6"/>
              </w:rPr>
            </w:pPr>
          </w:p>
        </w:tc>
        <w:tc>
          <w:tcPr>
            <w:tcW w:w="1680" w:type="dxa"/>
            <w:vAlign w:val="bottom"/>
          </w:tcPr>
          <w:p w14:paraId="0B396912" w14:textId="77777777" w:rsidR="00D1587D" w:rsidRDefault="00D1587D">
            <w:pPr>
              <w:rPr>
                <w:sz w:val="6"/>
                <w:szCs w:val="6"/>
              </w:rPr>
            </w:pPr>
          </w:p>
        </w:tc>
        <w:tc>
          <w:tcPr>
            <w:tcW w:w="20" w:type="dxa"/>
            <w:vAlign w:val="bottom"/>
          </w:tcPr>
          <w:p w14:paraId="34807D87" w14:textId="77777777" w:rsidR="00D1587D" w:rsidRDefault="00D1587D">
            <w:pPr>
              <w:rPr>
                <w:sz w:val="6"/>
                <w:szCs w:val="6"/>
              </w:rPr>
            </w:pPr>
          </w:p>
        </w:tc>
        <w:tc>
          <w:tcPr>
            <w:tcW w:w="40" w:type="dxa"/>
            <w:vAlign w:val="bottom"/>
          </w:tcPr>
          <w:p w14:paraId="405C8167" w14:textId="77777777" w:rsidR="00D1587D" w:rsidRDefault="00D1587D">
            <w:pPr>
              <w:rPr>
                <w:sz w:val="6"/>
                <w:szCs w:val="6"/>
              </w:rPr>
            </w:pPr>
          </w:p>
        </w:tc>
        <w:tc>
          <w:tcPr>
            <w:tcW w:w="40" w:type="dxa"/>
            <w:vAlign w:val="bottom"/>
          </w:tcPr>
          <w:p w14:paraId="37DD32B2" w14:textId="77777777" w:rsidR="00D1587D" w:rsidRDefault="00D1587D">
            <w:pPr>
              <w:rPr>
                <w:sz w:val="6"/>
                <w:szCs w:val="6"/>
              </w:rPr>
            </w:pPr>
          </w:p>
        </w:tc>
        <w:tc>
          <w:tcPr>
            <w:tcW w:w="20" w:type="dxa"/>
            <w:tcBorders>
              <w:top w:val="single" w:sz="8" w:space="0" w:color="0000EE"/>
            </w:tcBorders>
            <w:vAlign w:val="bottom"/>
          </w:tcPr>
          <w:p w14:paraId="3BEEAE2E" w14:textId="77777777" w:rsidR="00D1587D" w:rsidRDefault="00D1587D">
            <w:pPr>
              <w:rPr>
                <w:sz w:val="6"/>
                <w:szCs w:val="6"/>
              </w:rPr>
            </w:pPr>
          </w:p>
        </w:tc>
        <w:tc>
          <w:tcPr>
            <w:tcW w:w="60" w:type="dxa"/>
            <w:tcBorders>
              <w:top w:val="single" w:sz="8" w:space="0" w:color="0000EE"/>
            </w:tcBorders>
            <w:vAlign w:val="bottom"/>
          </w:tcPr>
          <w:p w14:paraId="4E9CFA8B" w14:textId="77777777" w:rsidR="00D1587D" w:rsidRDefault="00D1587D">
            <w:pPr>
              <w:rPr>
                <w:sz w:val="6"/>
                <w:szCs w:val="6"/>
              </w:rPr>
            </w:pPr>
          </w:p>
        </w:tc>
        <w:tc>
          <w:tcPr>
            <w:tcW w:w="80" w:type="dxa"/>
            <w:tcBorders>
              <w:top w:val="single" w:sz="8" w:space="0" w:color="0000EE"/>
            </w:tcBorders>
            <w:vAlign w:val="bottom"/>
          </w:tcPr>
          <w:p w14:paraId="77448C8C" w14:textId="77777777" w:rsidR="00D1587D" w:rsidRDefault="00D1587D">
            <w:pPr>
              <w:rPr>
                <w:sz w:val="6"/>
                <w:szCs w:val="6"/>
              </w:rPr>
            </w:pPr>
          </w:p>
        </w:tc>
        <w:tc>
          <w:tcPr>
            <w:tcW w:w="20" w:type="dxa"/>
            <w:tcBorders>
              <w:top w:val="single" w:sz="8" w:space="0" w:color="0000EE"/>
            </w:tcBorders>
            <w:vAlign w:val="bottom"/>
          </w:tcPr>
          <w:p w14:paraId="1BD0BFD6" w14:textId="77777777" w:rsidR="00D1587D" w:rsidRDefault="00D1587D">
            <w:pPr>
              <w:rPr>
                <w:sz w:val="6"/>
                <w:szCs w:val="6"/>
              </w:rPr>
            </w:pPr>
          </w:p>
        </w:tc>
        <w:tc>
          <w:tcPr>
            <w:tcW w:w="20" w:type="dxa"/>
            <w:vAlign w:val="bottom"/>
          </w:tcPr>
          <w:p w14:paraId="325C3AA7" w14:textId="77777777" w:rsidR="00D1587D" w:rsidRDefault="00D1587D">
            <w:pPr>
              <w:rPr>
                <w:sz w:val="6"/>
                <w:szCs w:val="6"/>
              </w:rPr>
            </w:pPr>
          </w:p>
        </w:tc>
      </w:tr>
      <w:tr w:rsidR="00D1587D" w14:paraId="4A905B93" w14:textId="77777777">
        <w:trPr>
          <w:trHeight w:val="230"/>
        </w:trPr>
        <w:tc>
          <w:tcPr>
            <w:tcW w:w="8120" w:type="dxa"/>
            <w:gridSpan w:val="19"/>
            <w:shd w:val="clear" w:color="auto" w:fill="CCEEFF"/>
            <w:vAlign w:val="bottom"/>
          </w:tcPr>
          <w:p w14:paraId="7B5339F1" w14:textId="77777777" w:rsidR="00D1587D" w:rsidRDefault="00410D07">
            <w:pPr>
              <w:rPr>
                <w:rFonts w:ascii="Arial" w:eastAsia="Arial" w:hAnsi="Arial" w:cs="Arial"/>
                <w:color w:val="0000EE"/>
                <w:sz w:val="18"/>
                <w:szCs w:val="18"/>
              </w:rPr>
            </w:pPr>
            <w:hyperlink w:anchor="page298">
              <w:r>
                <w:rPr>
                  <w:rFonts w:ascii="Arial" w:eastAsia="Arial" w:hAnsi="Arial" w:cs="Arial"/>
                  <w:color w:val="0000EE"/>
                  <w:sz w:val="18"/>
                  <w:szCs w:val="18"/>
                </w:rPr>
                <w:t>The Separation</w:t>
              </w:r>
            </w:hyperlink>
          </w:p>
        </w:tc>
        <w:tc>
          <w:tcPr>
            <w:tcW w:w="280" w:type="dxa"/>
            <w:gridSpan w:val="7"/>
            <w:shd w:val="clear" w:color="auto" w:fill="CCEEFF"/>
            <w:vAlign w:val="bottom"/>
          </w:tcPr>
          <w:p w14:paraId="42E2D693" w14:textId="77777777" w:rsidR="00D1587D" w:rsidRDefault="00410D07">
            <w:pPr>
              <w:jc w:val="right"/>
              <w:rPr>
                <w:rFonts w:ascii="Arial" w:eastAsia="Arial" w:hAnsi="Arial" w:cs="Arial"/>
                <w:color w:val="0000EE"/>
                <w:sz w:val="18"/>
                <w:szCs w:val="18"/>
              </w:rPr>
            </w:pPr>
            <w:hyperlink w:anchor="page298">
              <w:r>
                <w:rPr>
                  <w:rFonts w:ascii="Arial" w:eastAsia="Arial" w:hAnsi="Arial" w:cs="Arial"/>
                  <w:color w:val="0000EE"/>
                  <w:sz w:val="18"/>
                  <w:szCs w:val="18"/>
                </w:rPr>
                <w:t>40</w:t>
              </w:r>
            </w:hyperlink>
          </w:p>
        </w:tc>
        <w:tc>
          <w:tcPr>
            <w:tcW w:w="20" w:type="dxa"/>
            <w:shd w:val="clear" w:color="auto" w:fill="CCEEFF"/>
            <w:vAlign w:val="bottom"/>
          </w:tcPr>
          <w:p w14:paraId="134EA158" w14:textId="77777777" w:rsidR="00D1587D" w:rsidRDefault="00D1587D">
            <w:pPr>
              <w:rPr>
                <w:sz w:val="19"/>
                <w:szCs w:val="19"/>
              </w:rPr>
            </w:pPr>
          </w:p>
        </w:tc>
      </w:tr>
      <w:tr w:rsidR="00410D07" w14:paraId="189CC0BB" w14:textId="77777777">
        <w:trPr>
          <w:trHeight w:val="74"/>
        </w:trPr>
        <w:tc>
          <w:tcPr>
            <w:tcW w:w="640" w:type="dxa"/>
            <w:tcBorders>
              <w:top w:val="single" w:sz="8" w:space="0" w:color="0000EE"/>
            </w:tcBorders>
            <w:shd w:val="clear" w:color="auto" w:fill="CCEEFF"/>
            <w:vAlign w:val="bottom"/>
          </w:tcPr>
          <w:p w14:paraId="1F15EF7F" w14:textId="77777777" w:rsidR="00D1587D" w:rsidRDefault="00D1587D">
            <w:pPr>
              <w:rPr>
                <w:sz w:val="6"/>
                <w:szCs w:val="6"/>
              </w:rPr>
            </w:pPr>
          </w:p>
        </w:tc>
        <w:tc>
          <w:tcPr>
            <w:tcW w:w="60" w:type="dxa"/>
            <w:tcBorders>
              <w:top w:val="single" w:sz="8" w:space="0" w:color="0000EE"/>
            </w:tcBorders>
            <w:shd w:val="clear" w:color="auto" w:fill="CCEEFF"/>
            <w:vAlign w:val="bottom"/>
          </w:tcPr>
          <w:p w14:paraId="27918D7E" w14:textId="77777777" w:rsidR="00D1587D" w:rsidRDefault="00D1587D">
            <w:pPr>
              <w:rPr>
                <w:sz w:val="6"/>
                <w:szCs w:val="6"/>
              </w:rPr>
            </w:pPr>
          </w:p>
        </w:tc>
        <w:tc>
          <w:tcPr>
            <w:tcW w:w="200" w:type="dxa"/>
            <w:tcBorders>
              <w:top w:val="single" w:sz="8" w:space="0" w:color="0000EE"/>
            </w:tcBorders>
            <w:shd w:val="clear" w:color="auto" w:fill="CCEEFF"/>
            <w:vAlign w:val="bottom"/>
          </w:tcPr>
          <w:p w14:paraId="15EDD0A6" w14:textId="77777777" w:rsidR="00D1587D" w:rsidRDefault="00D1587D">
            <w:pPr>
              <w:rPr>
                <w:sz w:val="6"/>
                <w:szCs w:val="6"/>
              </w:rPr>
            </w:pPr>
          </w:p>
        </w:tc>
        <w:tc>
          <w:tcPr>
            <w:tcW w:w="40" w:type="dxa"/>
            <w:tcBorders>
              <w:top w:val="single" w:sz="8" w:space="0" w:color="0000EE"/>
            </w:tcBorders>
            <w:shd w:val="clear" w:color="auto" w:fill="CCEEFF"/>
            <w:vAlign w:val="bottom"/>
          </w:tcPr>
          <w:p w14:paraId="5F6A3AC8" w14:textId="77777777" w:rsidR="00D1587D" w:rsidRDefault="00D1587D">
            <w:pPr>
              <w:rPr>
                <w:sz w:val="6"/>
                <w:szCs w:val="6"/>
              </w:rPr>
            </w:pPr>
          </w:p>
        </w:tc>
        <w:tc>
          <w:tcPr>
            <w:tcW w:w="60" w:type="dxa"/>
            <w:tcBorders>
              <w:top w:val="single" w:sz="8" w:space="0" w:color="0000EE"/>
            </w:tcBorders>
            <w:shd w:val="clear" w:color="auto" w:fill="CCEEFF"/>
            <w:vAlign w:val="bottom"/>
          </w:tcPr>
          <w:p w14:paraId="095DF9A1" w14:textId="77777777" w:rsidR="00D1587D" w:rsidRDefault="00D1587D">
            <w:pPr>
              <w:rPr>
                <w:sz w:val="6"/>
                <w:szCs w:val="6"/>
              </w:rPr>
            </w:pPr>
          </w:p>
        </w:tc>
        <w:tc>
          <w:tcPr>
            <w:tcW w:w="80" w:type="dxa"/>
            <w:tcBorders>
              <w:top w:val="single" w:sz="8" w:space="0" w:color="0000EE"/>
            </w:tcBorders>
            <w:shd w:val="clear" w:color="auto" w:fill="CCEEFF"/>
            <w:vAlign w:val="bottom"/>
          </w:tcPr>
          <w:p w14:paraId="753E4956" w14:textId="77777777" w:rsidR="00D1587D" w:rsidRDefault="00D1587D">
            <w:pPr>
              <w:rPr>
                <w:sz w:val="6"/>
                <w:szCs w:val="6"/>
              </w:rPr>
            </w:pPr>
          </w:p>
        </w:tc>
        <w:tc>
          <w:tcPr>
            <w:tcW w:w="80" w:type="dxa"/>
            <w:tcBorders>
              <w:top w:val="single" w:sz="8" w:space="0" w:color="CCEEFF"/>
            </w:tcBorders>
            <w:shd w:val="clear" w:color="auto" w:fill="CCEEFF"/>
            <w:vAlign w:val="bottom"/>
          </w:tcPr>
          <w:p w14:paraId="71905CC1" w14:textId="77777777" w:rsidR="00D1587D" w:rsidRDefault="00D1587D">
            <w:pPr>
              <w:rPr>
                <w:sz w:val="6"/>
                <w:szCs w:val="6"/>
              </w:rPr>
            </w:pPr>
          </w:p>
        </w:tc>
        <w:tc>
          <w:tcPr>
            <w:tcW w:w="880" w:type="dxa"/>
            <w:tcBorders>
              <w:top w:val="single" w:sz="8" w:space="0" w:color="CCEEFF"/>
            </w:tcBorders>
            <w:shd w:val="clear" w:color="auto" w:fill="CCEEFF"/>
            <w:vAlign w:val="bottom"/>
          </w:tcPr>
          <w:p w14:paraId="4A434356" w14:textId="77777777" w:rsidR="00D1587D" w:rsidRDefault="00D1587D">
            <w:pPr>
              <w:rPr>
                <w:sz w:val="6"/>
                <w:szCs w:val="6"/>
              </w:rPr>
            </w:pPr>
          </w:p>
        </w:tc>
        <w:tc>
          <w:tcPr>
            <w:tcW w:w="800" w:type="dxa"/>
            <w:tcBorders>
              <w:top w:val="single" w:sz="8" w:space="0" w:color="CCEEFF"/>
            </w:tcBorders>
            <w:shd w:val="clear" w:color="auto" w:fill="CCEEFF"/>
            <w:vAlign w:val="bottom"/>
          </w:tcPr>
          <w:p w14:paraId="117B1163" w14:textId="77777777" w:rsidR="00D1587D" w:rsidRDefault="00D1587D">
            <w:pPr>
              <w:rPr>
                <w:sz w:val="6"/>
                <w:szCs w:val="6"/>
              </w:rPr>
            </w:pPr>
          </w:p>
        </w:tc>
        <w:tc>
          <w:tcPr>
            <w:tcW w:w="20" w:type="dxa"/>
            <w:tcBorders>
              <w:top w:val="single" w:sz="8" w:space="0" w:color="CCEEFF"/>
            </w:tcBorders>
            <w:shd w:val="clear" w:color="auto" w:fill="CCEEFF"/>
            <w:vAlign w:val="bottom"/>
          </w:tcPr>
          <w:p w14:paraId="3956BFF5" w14:textId="77777777" w:rsidR="00D1587D" w:rsidRDefault="00D1587D">
            <w:pPr>
              <w:rPr>
                <w:sz w:val="6"/>
                <w:szCs w:val="6"/>
              </w:rPr>
            </w:pPr>
          </w:p>
        </w:tc>
        <w:tc>
          <w:tcPr>
            <w:tcW w:w="80" w:type="dxa"/>
            <w:tcBorders>
              <w:top w:val="single" w:sz="8" w:space="0" w:color="CCEEFF"/>
            </w:tcBorders>
            <w:shd w:val="clear" w:color="auto" w:fill="CCEEFF"/>
            <w:vAlign w:val="bottom"/>
          </w:tcPr>
          <w:p w14:paraId="500EEE4C" w14:textId="77777777" w:rsidR="00D1587D" w:rsidRDefault="00D1587D">
            <w:pPr>
              <w:rPr>
                <w:sz w:val="6"/>
                <w:szCs w:val="6"/>
              </w:rPr>
            </w:pPr>
          </w:p>
        </w:tc>
        <w:tc>
          <w:tcPr>
            <w:tcW w:w="40" w:type="dxa"/>
            <w:tcBorders>
              <w:top w:val="single" w:sz="8" w:space="0" w:color="CCEEFF"/>
            </w:tcBorders>
            <w:shd w:val="clear" w:color="auto" w:fill="CCEEFF"/>
            <w:vAlign w:val="bottom"/>
          </w:tcPr>
          <w:p w14:paraId="67D8C0B5" w14:textId="77777777" w:rsidR="00D1587D" w:rsidRDefault="00D1587D">
            <w:pPr>
              <w:rPr>
                <w:sz w:val="6"/>
                <w:szCs w:val="6"/>
              </w:rPr>
            </w:pPr>
          </w:p>
        </w:tc>
        <w:tc>
          <w:tcPr>
            <w:tcW w:w="260" w:type="dxa"/>
            <w:tcBorders>
              <w:top w:val="single" w:sz="8" w:space="0" w:color="CCEEFF"/>
            </w:tcBorders>
            <w:shd w:val="clear" w:color="auto" w:fill="CCEEFF"/>
            <w:vAlign w:val="bottom"/>
          </w:tcPr>
          <w:p w14:paraId="0165DD90" w14:textId="77777777" w:rsidR="00D1587D" w:rsidRDefault="00D1587D">
            <w:pPr>
              <w:rPr>
                <w:sz w:val="6"/>
                <w:szCs w:val="6"/>
              </w:rPr>
            </w:pPr>
          </w:p>
        </w:tc>
        <w:tc>
          <w:tcPr>
            <w:tcW w:w="580" w:type="dxa"/>
            <w:tcBorders>
              <w:top w:val="single" w:sz="8" w:space="0" w:color="CCEEFF"/>
            </w:tcBorders>
            <w:shd w:val="clear" w:color="auto" w:fill="CCEEFF"/>
            <w:vAlign w:val="bottom"/>
          </w:tcPr>
          <w:p w14:paraId="3BF18FD1" w14:textId="77777777" w:rsidR="00D1587D" w:rsidRDefault="00D1587D">
            <w:pPr>
              <w:rPr>
                <w:sz w:val="6"/>
                <w:szCs w:val="6"/>
              </w:rPr>
            </w:pPr>
          </w:p>
        </w:tc>
        <w:tc>
          <w:tcPr>
            <w:tcW w:w="40" w:type="dxa"/>
            <w:tcBorders>
              <w:top w:val="single" w:sz="8" w:space="0" w:color="CCEEFF"/>
            </w:tcBorders>
            <w:shd w:val="clear" w:color="auto" w:fill="CCEEFF"/>
            <w:vAlign w:val="bottom"/>
          </w:tcPr>
          <w:p w14:paraId="3D2708BD" w14:textId="77777777" w:rsidR="00D1587D" w:rsidRDefault="00D1587D">
            <w:pPr>
              <w:rPr>
                <w:sz w:val="6"/>
                <w:szCs w:val="6"/>
              </w:rPr>
            </w:pPr>
          </w:p>
        </w:tc>
        <w:tc>
          <w:tcPr>
            <w:tcW w:w="40" w:type="dxa"/>
            <w:tcBorders>
              <w:top w:val="single" w:sz="8" w:space="0" w:color="CCEEFF"/>
            </w:tcBorders>
            <w:shd w:val="clear" w:color="auto" w:fill="CCEEFF"/>
            <w:vAlign w:val="bottom"/>
          </w:tcPr>
          <w:p w14:paraId="1D87085D" w14:textId="77777777" w:rsidR="00D1587D" w:rsidRDefault="00D1587D">
            <w:pPr>
              <w:rPr>
                <w:sz w:val="6"/>
                <w:szCs w:val="6"/>
              </w:rPr>
            </w:pPr>
          </w:p>
        </w:tc>
        <w:tc>
          <w:tcPr>
            <w:tcW w:w="1720" w:type="dxa"/>
            <w:tcBorders>
              <w:top w:val="single" w:sz="8" w:space="0" w:color="CCEEFF"/>
            </w:tcBorders>
            <w:shd w:val="clear" w:color="auto" w:fill="CCEEFF"/>
            <w:vAlign w:val="bottom"/>
          </w:tcPr>
          <w:p w14:paraId="6058991F" w14:textId="77777777" w:rsidR="00D1587D" w:rsidRDefault="00D1587D">
            <w:pPr>
              <w:rPr>
                <w:sz w:val="6"/>
                <w:szCs w:val="6"/>
              </w:rPr>
            </w:pPr>
          </w:p>
        </w:tc>
        <w:tc>
          <w:tcPr>
            <w:tcW w:w="820" w:type="dxa"/>
            <w:tcBorders>
              <w:top w:val="single" w:sz="8" w:space="0" w:color="CCEEFF"/>
            </w:tcBorders>
            <w:shd w:val="clear" w:color="auto" w:fill="CCEEFF"/>
            <w:vAlign w:val="bottom"/>
          </w:tcPr>
          <w:p w14:paraId="41F72316" w14:textId="77777777" w:rsidR="00D1587D" w:rsidRDefault="00D1587D">
            <w:pPr>
              <w:rPr>
                <w:sz w:val="6"/>
                <w:szCs w:val="6"/>
              </w:rPr>
            </w:pPr>
          </w:p>
        </w:tc>
        <w:tc>
          <w:tcPr>
            <w:tcW w:w="1680" w:type="dxa"/>
            <w:tcBorders>
              <w:top w:val="single" w:sz="8" w:space="0" w:color="CCEEFF"/>
            </w:tcBorders>
            <w:shd w:val="clear" w:color="auto" w:fill="CCEEFF"/>
            <w:vAlign w:val="bottom"/>
          </w:tcPr>
          <w:p w14:paraId="4109E141" w14:textId="77777777" w:rsidR="00D1587D" w:rsidRDefault="00D1587D">
            <w:pPr>
              <w:rPr>
                <w:sz w:val="6"/>
                <w:szCs w:val="6"/>
              </w:rPr>
            </w:pPr>
          </w:p>
        </w:tc>
        <w:tc>
          <w:tcPr>
            <w:tcW w:w="20" w:type="dxa"/>
            <w:tcBorders>
              <w:top w:val="single" w:sz="8" w:space="0" w:color="CCEEFF"/>
            </w:tcBorders>
            <w:shd w:val="clear" w:color="auto" w:fill="CCEEFF"/>
            <w:vAlign w:val="bottom"/>
          </w:tcPr>
          <w:p w14:paraId="3313416C" w14:textId="77777777" w:rsidR="00D1587D" w:rsidRDefault="00D1587D">
            <w:pPr>
              <w:rPr>
                <w:sz w:val="6"/>
                <w:szCs w:val="6"/>
              </w:rPr>
            </w:pPr>
          </w:p>
        </w:tc>
        <w:tc>
          <w:tcPr>
            <w:tcW w:w="40" w:type="dxa"/>
            <w:tcBorders>
              <w:top w:val="single" w:sz="8" w:space="0" w:color="CCEEFF"/>
            </w:tcBorders>
            <w:shd w:val="clear" w:color="auto" w:fill="CCEEFF"/>
            <w:vAlign w:val="bottom"/>
          </w:tcPr>
          <w:p w14:paraId="04C198AA" w14:textId="77777777" w:rsidR="00D1587D" w:rsidRDefault="00D1587D">
            <w:pPr>
              <w:rPr>
                <w:sz w:val="6"/>
                <w:szCs w:val="6"/>
              </w:rPr>
            </w:pPr>
          </w:p>
        </w:tc>
        <w:tc>
          <w:tcPr>
            <w:tcW w:w="40" w:type="dxa"/>
            <w:tcBorders>
              <w:top w:val="single" w:sz="8" w:space="0" w:color="CCEEFF"/>
            </w:tcBorders>
            <w:shd w:val="clear" w:color="auto" w:fill="CCEEFF"/>
            <w:vAlign w:val="bottom"/>
          </w:tcPr>
          <w:p w14:paraId="120A6FBA" w14:textId="77777777" w:rsidR="00D1587D" w:rsidRDefault="00D1587D">
            <w:pPr>
              <w:rPr>
                <w:sz w:val="6"/>
                <w:szCs w:val="6"/>
              </w:rPr>
            </w:pPr>
          </w:p>
        </w:tc>
        <w:tc>
          <w:tcPr>
            <w:tcW w:w="20" w:type="dxa"/>
            <w:tcBorders>
              <w:top w:val="single" w:sz="8" w:space="0" w:color="0000EE"/>
            </w:tcBorders>
            <w:shd w:val="clear" w:color="auto" w:fill="CCEEFF"/>
            <w:vAlign w:val="bottom"/>
          </w:tcPr>
          <w:p w14:paraId="356CEE5D" w14:textId="77777777" w:rsidR="00D1587D" w:rsidRDefault="00D1587D">
            <w:pPr>
              <w:rPr>
                <w:sz w:val="6"/>
                <w:szCs w:val="6"/>
              </w:rPr>
            </w:pPr>
          </w:p>
        </w:tc>
        <w:tc>
          <w:tcPr>
            <w:tcW w:w="60" w:type="dxa"/>
            <w:tcBorders>
              <w:top w:val="single" w:sz="8" w:space="0" w:color="0000EE"/>
            </w:tcBorders>
            <w:shd w:val="clear" w:color="auto" w:fill="CCEEFF"/>
            <w:vAlign w:val="bottom"/>
          </w:tcPr>
          <w:p w14:paraId="2F013DAD" w14:textId="77777777" w:rsidR="00D1587D" w:rsidRDefault="00D1587D">
            <w:pPr>
              <w:rPr>
                <w:sz w:val="6"/>
                <w:szCs w:val="6"/>
              </w:rPr>
            </w:pPr>
          </w:p>
        </w:tc>
        <w:tc>
          <w:tcPr>
            <w:tcW w:w="80" w:type="dxa"/>
            <w:tcBorders>
              <w:top w:val="single" w:sz="8" w:space="0" w:color="0000EE"/>
            </w:tcBorders>
            <w:shd w:val="clear" w:color="auto" w:fill="CCEEFF"/>
            <w:vAlign w:val="bottom"/>
          </w:tcPr>
          <w:p w14:paraId="5DA7F228" w14:textId="77777777" w:rsidR="00D1587D" w:rsidRDefault="00D1587D">
            <w:pPr>
              <w:rPr>
                <w:sz w:val="6"/>
                <w:szCs w:val="6"/>
              </w:rPr>
            </w:pPr>
          </w:p>
        </w:tc>
        <w:tc>
          <w:tcPr>
            <w:tcW w:w="20" w:type="dxa"/>
            <w:tcBorders>
              <w:top w:val="single" w:sz="8" w:space="0" w:color="0000EE"/>
            </w:tcBorders>
            <w:shd w:val="clear" w:color="auto" w:fill="CCEEFF"/>
            <w:vAlign w:val="bottom"/>
          </w:tcPr>
          <w:p w14:paraId="0F01E058" w14:textId="77777777" w:rsidR="00D1587D" w:rsidRDefault="00D1587D">
            <w:pPr>
              <w:rPr>
                <w:sz w:val="6"/>
                <w:szCs w:val="6"/>
              </w:rPr>
            </w:pPr>
          </w:p>
        </w:tc>
        <w:tc>
          <w:tcPr>
            <w:tcW w:w="20" w:type="dxa"/>
            <w:tcBorders>
              <w:top w:val="single" w:sz="8" w:space="0" w:color="CCEEFF"/>
            </w:tcBorders>
            <w:shd w:val="clear" w:color="auto" w:fill="CCEEFF"/>
            <w:vAlign w:val="bottom"/>
          </w:tcPr>
          <w:p w14:paraId="56085474" w14:textId="77777777" w:rsidR="00D1587D" w:rsidRDefault="00D1587D">
            <w:pPr>
              <w:rPr>
                <w:sz w:val="6"/>
                <w:szCs w:val="6"/>
              </w:rPr>
            </w:pPr>
          </w:p>
        </w:tc>
      </w:tr>
      <w:tr w:rsidR="00D1587D" w14:paraId="10B3714F" w14:textId="77777777">
        <w:trPr>
          <w:trHeight w:val="230"/>
        </w:trPr>
        <w:tc>
          <w:tcPr>
            <w:tcW w:w="8120" w:type="dxa"/>
            <w:gridSpan w:val="19"/>
            <w:vAlign w:val="bottom"/>
          </w:tcPr>
          <w:p w14:paraId="509A9090" w14:textId="77777777" w:rsidR="00D1587D" w:rsidRDefault="00410D07">
            <w:pPr>
              <w:rPr>
                <w:rFonts w:ascii="Arial" w:eastAsia="Arial" w:hAnsi="Arial" w:cs="Arial"/>
                <w:color w:val="0000EE"/>
                <w:sz w:val="18"/>
                <w:szCs w:val="18"/>
              </w:rPr>
            </w:pPr>
            <w:hyperlink w:anchor="page311">
              <w:r>
                <w:rPr>
                  <w:rFonts w:ascii="Arial" w:eastAsia="Arial" w:hAnsi="Arial" w:cs="Arial"/>
                  <w:color w:val="0000EE"/>
                  <w:sz w:val="18"/>
                  <w:szCs w:val="18"/>
                </w:rPr>
                <w:t>Dividend Policy</w:t>
              </w:r>
            </w:hyperlink>
          </w:p>
        </w:tc>
        <w:tc>
          <w:tcPr>
            <w:tcW w:w="280" w:type="dxa"/>
            <w:gridSpan w:val="7"/>
            <w:vAlign w:val="bottom"/>
          </w:tcPr>
          <w:p w14:paraId="54A8BADB" w14:textId="77777777" w:rsidR="00D1587D" w:rsidRDefault="00410D07">
            <w:pPr>
              <w:jc w:val="right"/>
              <w:rPr>
                <w:rFonts w:ascii="Arial" w:eastAsia="Arial" w:hAnsi="Arial" w:cs="Arial"/>
                <w:color w:val="0000EE"/>
                <w:sz w:val="18"/>
                <w:szCs w:val="18"/>
              </w:rPr>
            </w:pPr>
            <w:hyperlink w:anchor="page311">
              <w:r>
                <w:rPr>
                  <w:rFonts w:ascii="Arial" w:eastAsia="Arial" w:hAnsi="Arial" w:cs="Arial"/>
                  <w:color w:val="0000EE"/>
                  <w:sz w:val="18"/>
                  <w:szCs w:val="18"/>
                </w:rPr>
                <w:t>53</w:t>
              </w:r>
            </w:hyperlink>
          </w:p>
        </w:tc>
        <w:tc>
          <w:tcPr>
            <w:tcW w:w="20" w:type="dxa"/>
            <w:vAlign w:val="bottom"/>
          </w:tcPr>
          <w:p w14:paraId="68153587" w14:textId="77777777" w:rsidR="00D1587D" w:rsidRDefault="00D1587D">
            <w:pPr>
              <w:rPr>
                <w:sz w:val="19"/>
                <w:szCs w:val="19"/>
              </w:rPr>
            </w:pPr>
          </w:p>
        </w:tc>
      </w:tr>
      <w:tr w:rsidR="00D1587D" w14:paraId="18B4BF45" w14:textId="77777777">
        <w:trPr>
          <w:trHeight w:val="74"/>
        </w:trPr>
        <w:tc>
          <w:tcPr>
            <w:tcW w:w="640" w:type="dxa"/>
            <w:tcBorders>
              <w:top w:val="single" w:sz="8" w:space="0" w:color="0000EE"/>
            </w:tcBorders>
            <w:vAlign w:val="bottom"/>
          </w:tcPr>
          <w:p w14:paraId="4F0EA171" w14:textId="77777777" w:rsidR="00D1587D" w:rsidRDefault="00D1587D">
            <w:pPr>
              <w:rPr>
                <w:sz w:val="6"/>
                <w:szCs w:val="6"/>
              </w:rPr>
            </w:pPr>
          </w:p>
        </w:tc>
        <w:tc>
          <w:tcPr>
            <w:tcW w:w="60" w:type="dxa"/>
            <w:tcBorders>
              <w:top w:val="single" w:sz="8" w:space="0" w:color="0000EE"/>
            </w:tcBorders>
            <w:vAlign w:val="bottom"/>
          </w:tcPr>
          <w:p w14:paraId="7F54394C" w14:textId="77777777" w:rsidR="00D1587D" w:rsidRDefault="00D1587D">
            <w:pPr>
              <w:rPr>
                <w:sz w:val="6"/>
                <w:szCs w:val="6"/>
              </w:rPr>
            </w:pPr>
          </w:p>
        </w:tc>
        <w:tc>
          <w:tcPr>
            <w:tcW w:w="200" w:type="dxa"/>
            <w:tcBorders>
              <w:top w:val="single" w:sz="8" w:space="0" w:color="0000EE"/>
            </w:tcBorders>
            <w:vAlign w:val="bottom"/>
          </w:tcPr>
          <w:p w14:paraId="5D27233A" w14:textId="77777777" w:rsidR="00D1587D" w:rsidRDefault="00D1587D">
            <w:pPr>
              <w:rPr>
                <w:sz w:val="6"/>
                <w:szCs w:val="6"/>
              </w:rPr>
            </w:pPr>
          </w:p>
        </w:tc>
        <w:tc>
          <w:tcPr>
            <w:tcW w:w="40" w:type="dxa"/>
            <w:tcBorders>
              <w:top w:val="single" w:sz="8" w:space="0" w:color="0000EE"/>
            </w:tcBorders>
            <w:vAlign w:val="bottom"/>
          </w:tcPr>
          <w:p w14:paraId="417F4368" w14:textId="77777777" w:rsidR="00D1587D" w:rsidRDefault="00D1587D">
            <w:pPr>
              <w:rPr>
                <w:sz w:val="6"/>
                <w:szCs w:val="6"/>
              </w:rPr>
            </w:pPr>
          </w:p>
        </w:tc>
        <w:tc>
          <w:tcPr>
            <w:tcW w:w="60" w:type="dxa"/>
            <w:tcBorders>
              <w:top w:val="single" w:sz="8" w:space="0" w:color="0000EE"/>
            </w:tcBorders>
            <w:vAlign w:val="bottom"/>
          </w:tcPr>
          <w:p w14:paraId="4A49D6BB" w14:textId="77777777" w:rsidR="00D1587D" w:rsidRDefault="00D1587D">
            <w:pPr>
              <w:rPr>
                <w:sz w:val="6"/>
                <w:szCs w:val="6"/>
              </w:rPr>
            </w:pPr>
          </w:p>
        </w:tc>
        <w:tc>
          <w:tcPr>
            <w:tcW w:w="80" w:type="dxa"/>
            <w:tcBorders>
              <w:top w:val="single" w:sz="8" w:space="0" w:color="0000EE"/>
            </w:tcBorders>
            <w:vAlign w:val="bottom"/>
          </w:tcPr>
          <w:p w14:paraId="0DBF97A2" w14:textId="77777777" w:rsidR="00D1587D" w:rsidRDefault="00D1587D">
            <w:pPr>
              <w:rPr>
                <w:sz w:val="6"/>
                <w:szCs w:val="6"/>
              </w:rPr>
            </w:pPr>
          </w:p>
        </w:tc>
        <w:tc>
          <w:tcPr>
            <w:tcW w:w="80" w:type="dxa"/>
            <w:tcBorders>
              <w:top w:val="single" w:sz="8" w:space="0" w:color="0000EE"/>
            </w:tcBorders>
            <w:vAlign w:val="bottom"/>
          </w:tcPr>
          <w:p w14:paraId="0A28D136" w14:textId="77777777" w:rsidR="00D1587D" w:rsidRDefault="00D1587D">
            <w:pPr>
              <w:rPr>
                <w:sz w:val="6"/>
                <w:szCs w:val="6"/>
              </w:rPr>
            </w:pPr>
          </w:p>
        </w:tc>
        <w:tc>
          <w:tcPr>
            <w:tcW w:w="880" w:type="dxa"/>
            <w:vAlign w:val="bottom"/>
          </w:tcPr>
          <w:p w14:paraId="5AEEB04D" w14:textId="77777777" w:rsidR="00D1587D" w:rsidRDefault="00D1587D">
            <w:pPr>
              <w:rPr>
                <w:sz w:val="6"/>
                <w:szCs w:val="6"/>
              </w:rPr>
            </w:pPr>
          </w:p>
        </w:tc>
        <w:tc>
          <w:tcPr>
            <w:tcW w:w="800" w:type="dxa"/>
            <w:vAlign w:val="bottom"/>
          </w:tcPr>
          <w:p w14:paraId="11EE4FD8" w14:textId="77777777" w:rsidR="00D1587D" w:rsidRDefault="00D1587D">
            <w:pPr>
              <w:rPr>
                <w:sz w:val="6"/>
                <w:szCs w:val="6"/>
              </w:rPr>
            </w:pPr>
          </w:p>
        </w:tc>
        <w:tc>
          <w:tcPr>
            <w:tcW w:w="20" w:type="dxa"/>
            <w:vAlign w:val="bottom"/>
          </w:tcPr>
          <w:p w14:paraId="7E79CB16" w14:textId="77777777" w:rsidR="00D1587D" w:rsidRDefault="00D1587D">
            <w:pPr>
              <w:rPr>
                <w:sz w:val="6"/>
                <w:szCs w:val="6"/>
              </w:rPr>
            </w:pPr>
          </w:p>
        </w:tc>
        <w:tc>
          <w:tcPr>
            <w:tcW w:w="80" w:type="dxa"/>
            <w:vAlign w:val="bottom"/>
          </w:tcPr>
          <w:p w14:paraId="2170FEFC" w14:textId="77777777" w:rsidR="00D1587D" w:rsidRDefault="00D1587D">
            <w:pPr>
              <w:rPr>
                <w:sz w:val="6"/>
                <w:szCs w:val="6"/>
              </w:rPr>
            </w:pPr>
          </w:p>
        </w:tc>
        <w:tc>
          <w:tcPr>
            <w:tcW w:w="40" w:type="dxa"/>
            <w:vAlign w:val="bottom"/>
          </w:tcPr>
          <w:p w14:paraId="06F2C3EB" w14:textId="77777777" w:rsidR="00D1587D" w:rsidRDefault="00D1587D">
            <w:pPr>
              <w:rPr>
                <w:sz w:val="6"/>
                <w:szCs w:val="6"/>
              </w:rPr>
            </w:pPr>
          </w:p>
        </w:tc>
        <w:tc>
          <w:tcPr>
            <w:tcW w:w="260" w:type="dxa"/>
            <w:vAlign w:val="bottom"/>
          </w:tcPr>
          <w:p w14:paraId="2A52D4F5" w14:textId="77777777" w:rsidR="00D1587D" w:rsidRDefault="00D1587D">
            <w:pPr>
              <w:rPr>
                <w:sz w:val="6"/>
                <w:szCs w:val="6"/>
              </w:rPr>
            </w:pPr>
          </w:p>
        </w:tc>
        <w:tc>
          <w:tcPr>
            <w:tcW w:w="580" w:type="dxa"/>
            <w:vAlign w:val="bottom"/>
          </w:tcPr>
          <w:p w14:paraId="46C07287" w14:textId="77777777" w:rsidR="00D1587D" w:rsidRDefault="00D1587D">
            <w:pPr>
              <w:rPr>
                <w:sz w:val="6"/>
                <w:szCs w:val="6"/>
              </w:rPr>
            </w:pPr>
          </w:p>
        </w:tc>
        <w:tc>
          <w:tcPr>
            <w:tcW w:w="40" w:type="dxa"/>
            <w:vAlign w:val="bottom"/>
          </w:tcPr>
          <w:p w14:paraId="5FF66F5F" w14:textId="77777777" w:rsidR="00D1587D" w:rsidRDefault="00D1587D">
            <w:pPr>
              <w:rPr>
                <w:sz w:val="6"/>
                <w:szCs w:val="6"/>
              </w:rPr>
            </w:pPr>
          </w:p>
        </w:tc>
        <w:tc>
          <w:tcPr>
            <w:tcW w:w="40" w:type="dxa"/>
            <w:vAlign w:val="bottom"/>
          </w:tcPr>
          <w:p w14:paraId="0C1B708C" w14:textId="77777777" w:rsidR="00D1587D" w:rsidRDefault="00D1587D">
            <w:pPr>
              <w:rPr>
                <w:sz w:val="6"/>
                <w:szCs w:val="6"/>
              </w:rPr>
            </w:pPr>
          </w:p>
        </w:tc>
        <w:tc>
          <w:tcPr>
            <w:tcW w:w="1720" w:type="dxa"/>
            <w:vAlign w:val="bottom"/>
          </w:tcPr>
          <w:p w14:paraId="13B966F4" w14:textId="77777777" w:rsidR="00D1587D" w:rsidRDefault="00D1587D">
            <w:pPr>
              <w:rPr>
                <w:sz w:val="6"/>
                <w:szCs w:val="6"/>
              </w:rPr>
            </w:pPr>
          </w:p>
        </w:tc>
        <w:tc>
          <w:tcPr>
            <w:tcW w:w="820" w:type="dxa"/>
            <w:vAlign w:val="bottom"/>
          </w:tcPr>
          <w:p w14:paraId="4AAF6C0B" w14:textId="77777777" w:rsidR="00D1587D" w:rsidRDefault="00D1587D">
            <w:pPr>
              <w:rPr>
                <w:sz w:val="6"/>
                <w:szCs w:val="6"/>
              </w:rPr>
            </w:pPr>
          </w:p>
        </w:tc>
        <w:tc>
          <w:tcPr>
            <w:tcW w:w="1680" w:type="dxa"/>
            <w:vAlign w:val="bottom"/>
          </w:tcPr>
          <w:p w14:paraId="46D0ADD3" w14:textId="77777777" w:rsidR="00D1587D" w:rsidRDefault="00D1587D">
            <w:pPr>
              <w:rPr>
                <w:sz w:val="6"/>
                <w:szCs w:val="6"/>
              </w:rPr>
            </w:pPr>
          </w:p>
        </w:tc>
        <w:tc>
          <w:tcPr>
            <w:tcW w:w="20" w:type="dxa"/>
            <w:vAlign w:val="bottom"/>
          </w:tcPr>
          <w:p w14:paraId="4EA94A99" w14:textId="77777777" w:rsidR="00D1587D" w:rsidRDefault="00D1587D">
            <w:pPr>
              <w:rPr>
                <w:sz w:val="6"/>
                <w:szCs w:val="6"/>
              </w:rPr>
            </w:pPr>
          </w:p>
        </w:tc>
        <w:tc>
          <w:tcPr>
            <w:tcW w:w="40" w:type="dxa"/>
            <w:vAlign w:val="bottom"/>
          </w:tcPr>
          <w:p w14:paraId="4F9FAC58" w14:textId="77777777" w:rsidR="00D1587D" w:rsidRDefault="00D1587D">
            <w:pPr>
              <w:rPr>
                <w:sz w:val="6"/>
                <w:szCs w:val="6"/>
              </w:rPr>
            </w:pPr>
          </w:p>
        </w:tc>
        <w:tc>
          <w:tcPr>
            <w:tcW w:w="40" w:type="dxa"/>
            <w:vAlign w:val="bottom"/>
          </w:tcPr>
          <w:p w14:paraId="3BA380DD" w14:textId="77777777" w:rsidR="00D1587D" w:rsidRDefault="00D1587D">
            <w:pPr>
              <w:rPr>
                <w:sz w:val="6"/>
                <w:szCs w:val="6"/>
              </w:rPr>
            </w:pPr>
          </w:p>
        </w:tc>
        <w:tc>
          <w:tcPr>
            <w:tcW w:w="20" w:type="dxa"/>
            <w:tcBorders>
              <w:top w:val="single" w:sz="8" w:space="0" w:color="0000EE"/>
            </w:tcBorders>
            <w:vAlign w:val="bottom"/>
          </w:tcPr>
          <w:p w14:paraId="0A937069" w14:textId="77777777" w:rsidR="00D1587D" w:rsidRDefault="00D1587D">
            <w:pPr>
              <w:rPr>
                <w:sz w:val="6"/>
                <w:szCs w:val="6"/>
              </w:rPr>
            </w:pPr>
          </w:p>
        </w:tc>
        <w:tc>
          <w:tcPr>
            <w:tcW w:w="60" w:type="dxa"/>
            <w:tcBorders>
              <w:top w:val="single" w:sz="8" w:space="0" w:color="0000EE"/>
            </w:tcBorders>
            <w:vAlign w:val="bottom"/>
          </w:tcPr>
          <w:p w14:paraId="554C229E" w14:textId="77777777" w:rsidR="00D1587D" w:rsidRDefault="00D1587D">
            <w:pPr>
              <w:rPr>
                <w:sz w:val="6"/>
                <w:szCs w:val="6"/>
              </w:rPr>
            </w:pPr>
          </w:p>
        </w:tc>
        <w:tc>
          <w:tcPr>
            <w:tcW w:w="80" w:type="dxa"/>
            <w:tcBorders>
              <w:top w:val="single" w:sz="8" w:space="0" w:color="0000EE"/>
            </w:tcBorders>
            <w:vAlign w:val="bottom"/>
          </w:tcPr>
          <w:p w14:paraId="64D8E342" w14:textId="77777777" w:rsidR="00D1587D" w:rsidRDefault="00D1587D">
            <w:pPr>
              <w:rPr>
                <w:sz w:val="6"/>
                <w:szCs w:val="6"/>
              </w:rPr>
            </w:pPr>
          </w:p>
        </w:tc>
        <w:tc>
          <w:tcPr>
            <w:tcW w:w="20" w:type="dxa"/>
            <w:tcBorders>
              <w:top w:val="single" w:sz="8" w:space="0" w:color="0000EE"/>
            </w:tcBorders>
            <w:vAlign w:val="bottom"/>
          </w:tcPr>
          <w:p w14:paraId="6F934F56" w14:textId="77777777" w:rsidR="00D1587D" w:rsidRDefault="00D1587D">
            <w:pPr>
              <w:rPr>
                <w:sz w:val="6"/>
                <w:szCs w:val="6"/>
              </w:rPr>
            </w:pPr>
          </w:p>
        </w:tc>
        <w:tc>
          <w:tcPr>
            <w:tcW w:w="20" w:type="dxa"/>
            <w:vAlign w:val="bottom"/>
          </w:tcPr>
          <w:p w14:paraId="015799D2" w14:textId="77777777" w:rsidR="00D1587D" w:rsidRDefault="00D1587D">
            <w:pPr>
              <w:rPr>
                <w:sz w:val="6"/>
                <w:szCs w:val="6"/>
              </w:rPr>
            </w:pPr>
          </w:p>
        </w:tc>
      </w:tr>
      <w:tr w:rsidR="00D1587D" w14:paraId="7A9DA57B" w14:textId="77777777">
        <w:trPr>
          <w:trHeight w:val="229"/>
        </w:trPr>
        <w:tc>
          <w:tcPr>
            <w:tcW w:w="8120" w:type="dxa"/>
            <w:gridSpan w:val="19"/>
            <w:shd w:val="clear" w:color="auto" w:fill="CCEEFF"/>
            <w:vAlign w:val="bottom"/>
          </w:tcPr>
          <w:p w14:paraId="691A7376" w14:textId="77777777" w:rsidR="00D1587D" w:rsidRDefault="00410D07">
            <w:pPr>
              <w:rPr>
                <w:rFonts w:ascii="Arial" w:eastAsia="Arial" w:hAnsi="Arial" w:cs="Arial"/>
                <w:color w:val="0000EE"/>
                <w:sz w:val="18"/>
                <w:szCs w:val="18"/>
              </w:rPr>
            </w:pPr>
            <w:hyperlink w:anchor="page312">
              <w:r>
                <w:rPr>
                  <w:rFonts w:ascii="Arial" w:eastAsia="Arial" w:hAnsi="Arial" w:cs="Arial"/>
                  <w:color w:val="0000EE"/>
                  <w:sz w:val="18"/>
                  <w:szCs w:val="18"/>
                </w:rPr>
                <w:t>Capitalization</w:t>
              </w:r>
            </w:hyperlink>
          </w:p>
        </w:tc>
        <w:tc>
          <w:tcPr>
            <w:tcW w:w="280" w:type="dxa"/>
            <w:gridSpan w:val="7"/>
            <w:shd w:val="clear" w:color="auto" w:fill="CCEEFF"/>
            <w:vAlign w:val="bottom"/>
          </w:tcPr>
          <w:p w14:paraId="36CC6074" w14:textId="77777777" w:rsidR="00D1587D" w:rsidRDefault="00410D07">
            <w:pPr>
              <w:jc w:val="right"/>
              <w:rPr>
                <w:rFonts w:ascii="Arial" w:eastAsia="Arial" w:hAnsi="Arial" w:cs="Arial"/>
                <w:color w:val="0000EE"/>
                <w:sz w:val="18"/>
                <w:szCs w:val="18"/>
              </w:rPr>
            </w:pPr>
            <w:hyperlink w:anchor="page312">
              <w:r>
                <w:rPr>
                  <w:rFonts w:ascii="Arial" w:eastAsia="Arial" w:hAnsi="Arial" w:cs="Arial"/>
                  <w:color w:val="0000EE"/>
                  <w:sz w:val="18"/>
                  <w:szCs w:val="18"/>
                </w:rPr>
                <w:t>54</w:t>
              </w:r>
            </w:hyperlink>
          </w:p>
        </w:tc>
        <w:tc>
          <w:tcPr>
            <w:tcW w:w="20" w:type="dxa"/>
            <w:shd w:val="clear" w:color="auto" w:fill="CCEEFF"/>
            <w:vAlign w:val="bottom"/>
          </w:tcPr>
          <w:p w14:paraId="599D178F" w14:textId="77777777" w:rsidR="00D1587D" w:rsidRDefault="00D1587D">
            <w:pPr>
              <w:rPr>
                <w:sz w:val="19"/>
                <w:szCs w:val="19"/>
              </w:rPr>
            </w:pPr>
          </w:p>
        </w:tc>
      </w:tr>
      <w:tr w:rsidR="00410D07" w14:paraId="253302C3" w14:textId="77777777">
        <w:trPr>
          <w:trHeight w:val="75"/>
        </w:trPr>
        <w:tc>
          <w:tcPr>
            <w:tcW w:w="640" w:type="dxa"/>
            <w:tcBorders>
              <w:top w:val="single" w:sz="8" w:space="0" w:color="0000EE"/>
            </w:tcBorders>
            <w:shd w:val="clear" w:color="auto" w:fill="CCEEFF"/>
            <w:vAlign w:val="bottom"/>
          </w:tcPr>
          <w:p w14:paraId="0CE26C67" w14:textId="77777777" w:rsidR="00D1587D" w:rsidRDefault="00D1587D">
            <w:pPr>
              <w:rPr>
                <w:sz w:val="6"/>
                <w:szCs w:val="6"/>
              </w:rPr>
            </w:pPr>
          </w:p>
        </w:tc>
        <w:tc>
          <w:tcPr>
            <w:tcW w:w="60" w:type="dxa"/>
            <w:tcBorders>
              <w:top w:val="single" w:sz="8" w:space="0" w:color="0000EE"/>
            </w:tcBorders>
            <w:shd w:val="clear" w:color="auto" w:fill="CCEEFF"/>
            <w:vAlign w:val="bottom"/>
          </w:tcPr>
          <w:p w14:paraId="656563B0" w14:textId="77777777" w:rsidR="00D1587D" w:rsidRDefault="00D1587D">
            <w:pPr>
              <w:rPr>
                <w:sz w:val="6"/>
                <w:szCs w:val="6"/>
              </w:rPr>
            </w:pPr>
          </w:p>
        </w:tc>
        <w:tc>
          <w:tcPr>
            <w:tcW w:w="200" w:type="dxa"/>
            <w:tcBorders>
              <w:top w:val="single" w:sz="8" w:space="0" w:color="0000EE"/>
            </w:tcBorders>
            <w:shd w:val="clear" w:color="auto" w:fill="CCEEFF"/>
            <w:vAlign w:val="bottom"/>
          </w:tcPr>
          <w:p w14:paraId="7DAE4095" w14:textId="77777777" w:rsidR="00D1587D" w:rsidRDefault="00D1587D">
            <w:pPr>
              <w:rPr>
                <w:sz w:val="6"/>
                <w:szCs w:val="6"/>
              </w:rPr>
            </w:pPr>
          </w:p>
        </w:tc>
        <w:tc>
          <w:tcPr>
            <w:tcW w:w="40" w:type="dxa"/>
            <w:tcBorders>
              <w:top w:val="single" w:sz="8" w:space="0" w:color="0000EE"/>
            </w:tcBorders>
            <w:shd w:val="clear" w:color="auto" w:fill="CCEEFF"/>
            <w:vAlign w:val="bottom"/>
          </w:tcPr>
          <w:p w14:paraId="20F098AE" w14:textId="77777777" w:rsidR="00D1587D" w:rsidRDefault="00D1587D">
            <w:pPr>
              <w:rPr>
                <w:sz w:val="6"/>
                <w:szCs w:val="6"/>
              </w:rPr>
            </w:pPr>
          </w:p>
        </w:tc>
        <w:tc>
          <w:tcPr>
            <w:tcW w:w="60" w:type="dxa"/>
            <w:tcBorders>
              <w:top w:val="single" w:sz="8" w:space="0" w:color="0000EE"/>
            </w:tcBorders>
            <w:shd w:val="clear" w:color="auto" w:fill="CCEEFF"/>
            <w:vAlign w:val="bottom"/>
          </w:tcPr>
          <w:p w14:paraId="491E0B20" w14:textId="77777777" w:rsidR="00D1587D" w:rsidRDefault="00D1587D">
            <w:pPr>
              <w:rPr>
                <w:sz w:val="6"/>
                <w:szCs w:val="6"/>
              </w:rPr>
            </w:pPr>
          </w:p>
        </w:tc>
        <w:tc>
          <w:tcPr>
            <w:tcW w:w="80" w:type="dxa"/>
            <w:tcBorders>
              <w:top w:val="single" w:sz="8" w:space="0" w:color="CCEEFF"/>
            </w:tcBorders>
            <w:shd w:val="clear" w:color="auto" w:fill="CCEEFF"/>
            <w:vAlign w:val="bottom"/>
          </w:tcPr>
          <w:p w14:paraId="209DA225" w14:textId="77777777" w:rsidR="00D1587D" w:rsidRDefault="00D1587D">
            <w:pPr>
              <w:rPr>
                <w:sz w:val="6"/>
                <w:szCs w:val="6"/>
              </w:rPr>
            </w:pPr>
          </w:p>
        </w:tc>
        <w:tc>
          <w:tcPr>
            <w:tcW w:w="80" w:type="dxa"/>
            <w:tcBorders>
              <w:top w:val="single" w:sz="8" w:space="0" w:color="CCEEFF"/>
            </w:tcBorders>
            <w:shd w:val="clear" w:color="auto" w:fill="CCEEFF"/>
            <w:vAlign w:val="bottom"/>
          </w:tcPr>
          <w:p w14:paraId="5A621EE9" w14:textId="77777777" w:rsidR="00D1587D" w:rsidRDefault="00D1587D">
            <w:pPr>
              <w:rPr>
                <w:sz w:val="6"/>
                <w:szCs w:val="6"/>
              </w:rPr>
            </w:pPr>
          </w:p>
        </w:tc>
        <w:tc>
          <w:tcPr>
            <w:tcW w:w="880" w:type="dxa"/>
            <w:tcBorders>
              <w:top w:val="single" w:sz="8" w:space="0" w:color="CCEEFF"/>
            </w:tcBorders>
            <w:shd w:val="clear" w:color="auto" w:fill="CCEEFF"/>
            <w:vAlign w:val="bottom"/>
          </w:tcPr>
          <w:p w14:paraId="0148B6B3" w14:textId="77777777" w:rsidR="00D1587D" w:rsidRDefault="00D1587D">
            <w:pPr>
              <w:rPr>
                <w:sz w:val="6"/>
                <w:szCs w:val="6"/>
              </w:rPr>
            </w:pPr>
          </w:p>
        </w:tc>
        <w:tc>
          <w:tcPr>
            <w:tcW w:w="800" w:type="dxa"/>
            <w:tcBorders>
              <w:top w:val="single" w:sz="8" w:space="0" w:color="CCEEFF"/>
            </w:tcBorders>
            <w:shd w:val="clear" w:color="auto" w:fill="CCEEFF"/>
            <w:vAlign w:val="bottom"/>
          </w:tcPr>
          <w:p w14:paraId="5D95B3A3" w14:textId="77777777" w:rsidR="00D1587D" w:rsidRDefault="00D1587D">
            <w:pPr>
              <w:rPr>
                <w:sz w:val="6"/>
                <w:szCs w:val="6"/>
              </w:rPr>
            </w:pPr>
          </w:p>
        </w:tc>
        <w:tc>
          <w:tcPr>
            <w:tcW w:w="20" w:type="dxa"/>
            <w:tcBorders>
              <w:top w:val="single" w:sz="8" w:space="0" w:color="CCEEFF"/>
            </w:tcBorders>
            <w:shd w:val="clear" w:color="auto" w:fill="CCEEFF"/>
            <w:vAlign w:val="bottom"/>
          </w:tcPr>
          <w:p w14:paraId="53196069" w14:textId="77777777" w:rsidR="00D1587D" w:rsidRDefault="00D1587D">
            <w:pPr>
              <w:rPr>
                <w:sz w:val="6"/>
                <w:szCs w:val="6"/>
              </w:rPr>
            </w:pPr>
          </w:p>
        </w:tc>
        <w:tc>
          <w:tcPr>
            <w:tcW w:w="80" w:type="dxa"/>
            <w:tcBorders>
              <w:top w:val="single" w:sz="8" w:space="0" w:color="CCEEFF"/>
            </w:tcBorders>
            <w:shd w:val="clear" w:color="auto" w:fill="CCEEFF"/>
            <w:vAlign w:val="bottom"/>
          </w:tcPr>
          <w:p w14:paraId="0F948C8A" w14:textId="77777777" w:rsidR="00D1587D" w:rsidRDefault="00D1587D">
            <w:pPr>
              <w:rPr>
                <w:sz w:val="6"/>
                <w:szCs w:val="6"/>
              </w:rPr>
            </w:pPr>
          </w:p>
        </w:tc>
        <w:tc>
          <w:tcPr>
            <w:tcW w:w="40" w:type="dxa"/>
            <w:tcBorders>
              <w:top w:val="single" w:sz="8" w:space="0" w:color="CCEEFF"/>
            </w:tcBorders>
            <w:shd w:val="clear" w:color="auto" w:fill="CCEEFF"/>
            <w:vAlign w:val="bottom"/>
          </w:tcPr>
          <w:p w14:paraId="50E04F4A" w14:textId="77777777" w:rsidR="00D1587D" w:rsidRDefault="00D1587D">
            <w:pPr>
              <w:rPr>
                <w:sz w:val="6"/>
                <w:szCs w:val="6"/>
              </w:rPr>
            </w:pPr>
          </w:p>
        </w:tc>
        <w:tc>
          <w:tcPr>
            <w:tcW w:w="260" w:type="dxa"/>
            <w:tcBorders>
              <w:top w:val="single" w:sz="8" w:space="0" w:color="CCEEFF"/>
            </w:tcBorders>
            <w:shd w:val="clear" w:color="auto" w:fill="CCEEFF"/>
            <w:vAlign w:val="bottom"/>
          </w:tcPr>
          <w:p w14:paraId="484EBCD3" w14:textId="77777777" w:rsidR="00D1587D" w:rsidRDefault="00D1587D">
            <w:pPr>
              <w:rPr>
                <w:sz w:val="6"/>
                <w:szCs w:val="6"/>
              </w:rPr>
            </w:pPr>
          </w:p>
        </w:tc>
        <w:tc>
          <w:tcPr>
            <w:tcW w:w="580" w:type="dxa"/>
            <w:tcBorders>
              <w:top w:val="single" w:sz="8" w:space="0" w:color="CCEEFF"/>
            </w:tcBorders>
            <w:shd w:val="clear" w:color="auto" w:fill="CCEEFF"/>
            <w:vAlign w:val="bottom"/>
          </w:tcPr>
          <w:p w14:paraId="0FAEB68F" w14:textId="77777777" w:rsidR="00D1587D" w:rsidRDefault="00D1587D">
            <w:pPr>
              <w:rPr>
                <w:sz w:val="6"/>
                <w:szCs w:val="6"/>
              </w:rPr>
            </w:pPr>
          </w:p>
        </w:tc>
        <w:tc>
          <w:tcPr>
            <w:tcW w:w="40" w:type="dxa"/>
            <w:tcBorders>
              <w:top w:val="single" w:sz="8" w:space="0" w:color="CCEEFF"/>
            </w:tcBorders>
            <w:shd w:val="clear" w:color="auto" w:fill="CCEEFF"/>
            <w:vAlign w:val="bottom"/>
          </w:tcPr>
          <w:p w14:paraId="3C9E3F80" w14:textId="77777777" w:rsidR="00D1587D" w:rsidRDefault="00D1587D">
            <w:pPr>
              <w:rPr>
                <w:sz w:val="6"/>
                <w:szCs w:val="6"/>
              </w:rPr>
            </w:pPr>
          </w:p>
        </w:tc>
        <w:tc>
          <w:tcPr>
            <w:tcW w:w="40" w:type="dxa"/>
            <w:tcBorders>
              <w:top w:val="single" w:sz="8" w:space="0" w:color="CCEEFF"/>
            </w:tcBorders>
            <w:shd w:val="clear" w:color="auto" w:fill="CCEEFF"/>
            <w:vAlign w:val="bottom"/>
          </w:tcPr>
          <w:p w14:paraId="1DF6EA24" w14:textId="77777777" w:rsidR="00D1587D" w:rsidRDefault="00D1587D">
            <w:pPr>
              <w:rPr>
                <w:sz w:val="6"/>
                <w:szCs w:val="6"/>
              </w:rPr>
            </w:pPr>
          </w:p>
        </w:tc>
        <w:tc>
          <w:tcPr>
            <w:tcW w:w="1720" w:type="dxa"/>
            <w:tcBorders>
              <w:top w:val="single" w:sz="8" w:space="0" w:color="CCEEFF"/>
            </w:tcBorders>
            <w:shd w:val="clear" w:color="auto" w:fill="CCEEFF"/>
            <w:vAlign w:val="bottom"/>
          </w:tcPr>
          <w:p w14:paraId="24813C59" w14:textId="77777777" w:rsidR="00D1587D" w:rsidRDefault="00D1587D">
            <w:pPr>
              <w:rPr>
                <w:sz w:val="6"/>
                <w:szCs w:val="6"/>
              </w:rPr>
            </w:pPr>
          </w:p>
        </w:tc>
        <w:tc>
          <w:tcPr>
            <w:tcW w:w="820" w:type="dxa"/>
            <w:tcBorders>
              <w:top w:val="single" w:sz="8" w:space="0" w:color="CCEEFF"/>
            </w:tcBorders>
            <w:shd w:val="clear" w:color="auto" w:fill="CCEEFF"/>
            <w:vAlign w:val="bottom"/>
          </w:tcPr>
          <w:p w14:paraId="0CF4F0EF" w14:textId="77777777" w:rsidR="00D1587D" w:rsidRDefault="00D1587D">
            <w:pPr>
              <w:rPr>
                <w:sz w:val="6"/>
                <w:szCs w:val="6"/>
              </w:rPr>
            </w:pPr>
          </w:p>
        </w:tc>
        <w:tc>
          <w:tcPr>
            <w:tcW w:w="1680" w:type="dxa"/>
            <w:tcBorders>
              <w:top w:val="single" w:sz="8" w:space="0" w:color="CCEEFF"/>
            </w:tcBorders>
            <w:shd w:val="clear" w:color="auto" w:fill="CCEEFF"/>
            <w:vAlign w:val="bottom"/>
          </w:tcPr>
          <w:p w14:paraId="2BCBC90F" w14:textId="77777777" w:rsidR="00D1587D" w:rsidRDefault="00D1587D">
            <w:pPr>
              <w:rPr>
                <w:sz w:val="6"/>
                <w:szCs w:val="6"/>
              </w:rPr>
            </w:pPr>
          </w:p>
        </w:tc>
        <w:tc>
          <w:tcPr>
            <w:tcW w:w="20" w:type="dxa"/>
            <w:tcBorders>
              <w:top w:val="single" w:sz="8" w:space="0" w:color="CCEEFF"/>
            </w:tcBorders>
            <w:shd w:val="clear" w:color="auto" w:fill="CCEEFF"/>
            <w:vAlign w:val="bottom"/>
          </w:tcPr>
          <w:p w14:paraId="43ECFBD2" w14:textId="77777777" w:rsidR="00D1587D" w:rsidRDefault="00D1587D">
            <w:pPr>
              <w:rPr>
                <w:sz w:val="6"/>
                <w:szCs w:val="6"/>
              </w:rPr>
            </w:pPr>
          </w:p>
        </w:tc>
        <w:tc>
          <w:tcPr>
            <w:tcW w:w="40" w:type="dxa"/>
            <w:tcBorders>
              <w:top w:val="single" w:sz="8" w:space="0" w:color="CCEEFF"/>
            </w:tcBorders>
            <w:shd w:val="clear" w:color="auto" w:fill="CCEEFF"/>
            <w:vAlign w:val="bottom"/>
          </w:tcPr>
          <w:p w14:paraId="75858A0B" w14:textId="77777777" w:rsidR="00D1587D" w:rsidRDefault="00D1587D">
            <w:pPr>
              <w:rPr>
                <w:sz w:val="6"/>
                <w:szCs w:val="6"/>
              </w:rPr>
            </w:pPr>
          </w:p>
        </w:tc>
        <w:tc>
          <w:tcPr>
            <w:tcW w:w="40" w:type="dxa"/>
            <w:tcBorders>
              <w:top w:val="single" w:sz="8" w:space="0" w:color="CCEEFF"/>
            </w:tcBorders>
            <w:shd w:val="clear" w:color="auto" w:fill="CCEEFF"/>
            <w:vAlign w:val="bottom"/>
          </w:tcPr>
          <w:p w14:paraId="1F0DB146" w14:textId="77777777" w:rsidR="00D1587D" w:rsidRDefault="00D1587D">
            <w:pPr>
              <w:rPr>
                <w:sz w:val="6"/>
                <w:szCs w:val="6"/>
              </w:rPr>
            </w:pPr>
          </w:p>
        </w:tc>
        <w:tc>
          <w:tcPr>
            <w:tcW w:w="20" w:type="dxa"/>
            <w:tcBorders>
              <w:top w:val="single" w:sz="8" w:space="0" w:color="0000EE"/>
            </w:tcBorders>
            <w:shd w:val="clear" w:color="auto" w:fill="CCEEFF"/>
            <w:vAlign w:val="bottom"/>
          </w:tcPr>
          <w:p w14:paraId="6B5685D8" w14:textId="77777777" w:rsidR="00D1587D" w:rsidRDefault="00D1587D">
            <w:pPr>
              <w:rPr>
                <w:sz w:val="6"/>
                <w:szCs w:val="6"/>
              </w:rPr>
            </w:pPr>
          </w:p>
        </w:tc>
        <w:tc>
          <w:tcPr>
            <w:tcW w:w="60" w:type="dxa"/>
            <w:tcBorders>
              <w:top w:val="single" w:sz="8" w:space="0" w:color="0000EE"/>
            </w:tcBorders>
            <w:shd w:val="clear" w:color="auto" w:fill="CCEEFF"/>
            <w:vAlign w:val="bottom"/>
          </w:tcPr>
          <w:p w14:paraId="7159B13E" w14:textId="77777777" w:rsidR="00D1587D" w:rsidRDefault="00D1587D">
            <w:pPr>
              <w:rPr>
                <w:sz w:val="6"/>
                <w:szCs w:val="6"/>
              </w:rPr>
            </w:pPr>
          </w:p>
        </w:tc>
        <w:tc>
          <w:tcPr>
            <w:tcW w:w="80" w:type="dxa"/>
            <w:tcBorders>
              <w:top w:val="single" w:sz="8" w:space="0" w:color="0000EE"/>
            </w:tcBorders>
            <w:shd w:val="clear" w:color="auto" w:fill="CCEEFF"/>
            <w:vAlign w:val="bottom"/>
          </w:tcPr>
          <w:p w14:paraId="18F18871" w14:textId="77777777" w:rsidR="00D1587D" w:rsidRDefault="00D1587D">
            <w:pPr>
              <w:rPr>
                <w:sz w:val="6"/>
                <w:szCs w:val="6"/>
              </w:rPr>
            </w:pPr>
          </w:p>
        </w:tc>
        <w:tc>
          <w:tcPr>
            <w:tcW w:w="20" w:type="dxa"/>
            <w:tcBorders>
              <w:top w:val="single" w:sz="8" w:space="0" w:color="0000EE"/>
            </w:tcBorders>
            <w:shd w:val="clear" w:color="auto" w:fill="CCEEFF"/>
            <w:vAlign w:val="bottom"/>
          </w:tcPr>
          <w:p w14:paraId="050C26B4" w14:textId="77777777" w:rsidR="00D1587D" w:rsidRDefault="00D1587D">
            <w:pPr>
              <w:rPr>
                <w:sz w:val="6"/>
                <w:szCs w:val="6"/>
              </w:rPr>
            </w:pPr>
          </w:p>
        </w:tc>
        <w:tc>
          <w:tcPr>
            <w:tcW w:w="20" w:type="dxa"/>
            <w:tcBorders>
              <w:top w:val="single" w:sz="8" w:space="0" w:color="CCEEFF"/>
            </w:tcBorders>
            <w:shd w:val="clear" w:color="auto" w:fill="CCEEFF"/>
            <w:vAlign w:val="bottom"/>
          </w:tcPr>
          <w:p w14:paraId="3E357E17" w14:textId="77777777" w:rsidR="00D1587D" w:rsidRDefault="00D1587D">
            <w:pPr>
              <w:rPr>
                <w:sz w:val="6"/>
                <w:szCs w:val="6"/>
              </w:rPr>
            </w:pPr>
          </w:p>
        </w:tc>
      </w:tr>
      <w:tr w:rsidR="00D1587D" w14:paraId="452AF981" w14:textId="77777777">
        <w:trPr>
          <w:trHeight w:val="229"/>
        </w:trPr>
        <w:tc>
          <w:tcPr>
            <w:tcW w:w="8120" w:type="dxa"/>
            <w:gridSpan w:val="19"/>
            <w:vAlign w:val="bottom"/>
          </w:tcPr>
          <w:p w14:paraId="30FDB47A" w14:textId="77777777" w:rsidR="00D1587D" w:rsidRDefault="00410D07">
            <w:pPr>
              <w:rPr>
                <w:rFonts w:ascii="Arial" w:eastAsia="Arial" w:hAnsi="Arial" w:cs="Arial"/>
                <w:color w:val="0000EE"/>
                <w:sz w:val="18"/>
                <w:szCs w:val="18"/>
              </w:rPr>
            </w:pPr>
            <w:hyperlink w:anchor="page313">
              <w:r>
                <w:rPr>
                  <w:rFonts w:ascii="Arial" w:eastAsia="Arial" w:hAnsi="Arial" w:cs="Arial"/>
                  <w:color w:val="0000EE"/>
                  <w:sz w:val="18"/>
                  <w:szCs w:val="18"/>
                </w:rPr>
                <w:t>Unaudited Pro Forma Combined Financial Statements</w:t>
              </w:r>
            </w:hyperlink>
          </w:p>
        </w:tc>
        <w:tc>
          <w:tcPr>
            <w:tcW w:w="280" w:type="dxa"/>
            <w:gridSpan w:val="7"/>
            <w:vAlign w:val="bottom"/>
          </w:tcPr>
          <w:p w14:paraId="10018AA9" w14:textId="77777777" w:rsidR="00D1587D" w:rsidRDefault="00410D07">
            <w:pPr>
              <w:jc w:val="right"/>
              <w:rPr>
                <w:rFonts w:ascii="Arial" w:eastAsia="Arial" w:hAnsi="Arial" w:cs="Arial"/>
                <w:color w:val="0000EE"/>
                <w:sz w:val="18"/>
                <w:szCs w:val="18"/>
              </w:rPr>
            </w:pPr>
            <w:hyperlink w:anchor="page313">
              <w:r>
                <w:rPr>
                  <w:rFonts w:ascii="Arial" w:eastAsia="Arial" w:hAnsi="Arial" w:cs="Arial"/>
                  <w:color w:val="0000EE"/>
                  <w:sz w:val="18"/>
                  <w:szCs w:val="18"/>
                </w:rPr>
                <w:t>55</w:t>
              </w:r>
            </w:hyperlink>
          </w:p>
        </w:tc>
        <w:tc>
          <w:tcPr>
            <w:tcW w:w="20" w:type="dxa"/>
            <w:vAlign w:val="bottom"/>
          </w:tcPr>
          <w:p w14:paraId="26311CCF" w14:textId="77777777" w:rsidR="00D1587D" w:rsidRDefault="00D1587D">
            <w:pPr>
              <w:rPr>
                <w:sz w:val="19"/>
                <w:szCs w:val="19"/>
              </w:rPr>
            </w:pPr>
          </w:p>
        </w:tc>
      </w:tr>
      <w:tr w:rsidR="00D1587D" w14:paraId="48494AA5" w14:textId="77777777">
        <w:trPr>
          <w:trHeight w:val="74"/>
        </w:trPr>
        <w:tc>
          <w:tcPr>
            <w:tcW w:w="640" w:type="dxa"/>
            <w:tcBorders>
              <w:top w:val="single" w:sz="8" w:space="0" w:color="0000EE"/>
            </w:tcBorders>
            <w:vAlign w:val="bottom"/>
          </w:tcPr>
          <w:p w14:paraId="1CB2AE92" w14:textId="77777777" w:rsidR="00D1587D" w:rsidRDefault="00D1587D">
            <w:pPr>
              <w:rPr>
                <w:sz w:val="6"/>
                <w:szCs w:val="6"/>
              </w:rPr>
            </w:pPr>
          </w:p>
        </w:tc>
        <w:tc>
          <w:tcPr>
            <w:tcW w:w="60" w:type="dxa"/>
            <w:tcBorders>
              <w:top w:val="single" w:sz="8" w:space="0" w:color="0000EE"/>
            </w:tcBorders>
            <w:vAlign w:val="bottom"/>
          </w:tcPr>
          <w:p w14:paraId="0DDFCF50" w14:textId="77777777" w:rsidR="00D1587D" w:rsidRDefault="00D1587D">
            <w:pPr>
              <w:rPr>
                <w:sz w:val="6"/>
                <w:szCs w:val="6"/>
              </w:rPr>
            </w:pPr>
          </w:p>
        </w:tc>
        <w:tc>
          <w:tcPr>
            <w:tcW w:w="200" w:type="dxa"/>
            <w:tcBorders>
              <w:top w:val="single" w:sz="8" w:space="0" w:color="0000EE"/>
            </w:tcBorders>
            <w:vAlign w:val="bottom"/>
          </w:tcPr>
          <w:p w14:paraId="5E20F359" w14:textId="77777777" w:rsidR="00D1587D" w:rsidRDefault="00D1587D">
            <w:pPr>
              <w:rPr>
                <w:sz w:val="6"/>
                <w:szCs w:val="6"/>
              </w:rPr>
            </w:pPr>
          </w:p>
        </w:tc>
        <w:tc>
          <w:tcPr>
            <w:tcW w:w="40" w:type="dxa"/>
            <w:tcBorders>
              <w:top w:val="single" w:sz="8" w:space="0" w:color="0000EE"/>
            </w:tcBorders>
            <w:vAlign w:val="bottom"/>
          </w:tcPr>
          <w:p w14:paraId="31247B85" w14:textId="77777777" w:rsidR="00D1587D" w:rsidRDefault="00D1587D">
            <w:pPr>
              <w:rPr>
                <w:sz w:val="6"/>
                <w:szCs w:val="6"/>
              </w:rPr>
            </w:pPr>
          </w:p>
        </w:tc>
        <w:tc>
          <w:tcPr>
            <w:tcW w:w="60" w:type="dxa"/>
            <w:tcBorders>
              <w:top w:val="single" w:sz="8" w:space="0" w:color="0000EE"/>
            </w:tcBorders>
            <w:vAlign w:val="bottom"/>
          </w:tcPr>
          <w:p w14:paraId="5FA35D27" w14:textId="77777777" w:rsidR="00D1587D" w:rsidRDefault="00D1587D">
            <w:pPr>
              <w:rPr>
                <w:sz w:val="6"/>
                <w:szCs w:val="6"/>
              </w:rPr>
            </w:pPr>
          </w:p>
        </w:tc>
        <w:tc>
          <w:tcPr>
            <w:tcW w:w="80" w:type="dxa"/>
            <w:tcBorders>
              <w:top w:val="single" w:sz="8" w:space="0" w:color="0000EE"/>
            </w:tcBorders>
            <w:vAlign w:val="bottom"/>
          </w:tcPr>
          <w:p w14:paraId="19399815" w14:textId="77777777" w:rsidR="00D1587D" w:rsidRDefault="00D1587D">
            <w:pPr>
              <w:rPr>
                <w:sz w:val="6"/>
                <w:szCs w:val="6"/>
              </w:rPr>
            </w:pPr>
          </w:p>
        </w:tc>
        <w:tc>
          <w:tcPr>
            <w:tcW w:w="80" w:type="dxa"/>
            <w:tcBorders>
              <w:top w:val="single" w:sz="8" w:space="0" w:color="0000EE"/>
            </w:tcBorders>
            <w:vAlign w:val="bottom"/>
          </w:tcPr>
          <w:p w14:paraId="518C1B38" w14:textId="77777777" w:rsidR="00D1587D" w:rsidRDefault="00D1587D">
            <w:pPr>
              <w:rPr>
                <w:sz w:val="6"/>
                <w:szCs w:val="6"/>
              </w:rPr>
            </w:pPr>
          </w:p>
        </w:tc>
        <w:tc>
          <w:tcPr>
            <w:tcW w:w="880" w:type="dxa"/>
            <w:tcBorders>
              <w:top w:val="single" w:sz="8" w:space="0" w:color="0000EE"/>
            </w:tcBorders>
            <w:vAlign w:val="bottom"/>
          </w:tcPr>
          <w:p w14:paraId="06FD1906" w14:textId="77777777" w:rsidR="00D1587D" w:rsidRDefault="00D1587D">
            <w:pPr>
              <w:rPr>
                <w:sz w:val="6"/>
                <w:szCs w:val="6"/>
              </w:rPr>
            </w:pPr>
          </w:p>
        </w:tc>
        <w:tc>
          <w:tcPr>
            <w:tcW w:w="800" w:type="dxa"/>
            <w:tcBorders>
              <w:top w:val="single" w:sz="8" w:space="0" w:color="0000EE"/>
            </w:tcBorders>
            <w:vAlign w:val="bottom"/>
          </w:tcPr>
          <w:p w14:paraId="36B5C150" w14:textId="77777777" w:rsidR="00D1587D" w:rsidRDefault="00D1587D">
            <w:pPr>
              <w:rPr>
                <w:sz w:val="6"/>
                <w:szCs w:val="6"/>
              </w:rPr>
            </w:pPr>
          </w:p>
        </w:tc>
        <w:tc>
          <w:tcPr>
            <w:tcW w:w="20" w:type="dxa"/>
            <w:tcBorders>
              <w:top w:val="single" w:sz="8" w:space="0" w:color="0000EE"/>
            </w:tcBorders>
            <w:vAlign w:val="bottom"/>
          </w:tcPr>
          <w:p w14:paraId="75C5F47F" w14:textId="77777777" w:rsidR="00D1587D" w:rsidRDefault="00D1587D">
            <w:pPr>
              <w:rPr>
                <w:sz w:val="6"/>
                <w:szCs w:val="6"/>
              </w:rPr>
            </w:pPr>
          </w:p>
        </w:tc>
        <w:tc>
          <w:tcPr>
            <w:tcW w:w="80" w:type="dxa"/>
            <w:tcBorders>
              <w:top w:val="single" w:sz="8" w:space="0" w:color="0000EE"/>
            </w:tcBorders>
            <w:vAlign w:val="bottom"/>
          </w:tcPr>
          <w:p w14:paraId="4641B58E" w14:textId="77777777" w:rsidR="00D1587D" w:rsidRDefault="00D1587D">
            <w:pPr>
              <w:rPr>
                <w:sz w:val="6"/>
                <w:szCs w:val="6"/>
              </w:rPr>
            </w:pPr>
          </w:p>
        </w:tc>
        <w:tc>
          <w:tcPr>
            <w:tcW w:w="40" w:type="dxa"/>
            <w:tcBorders>
              <w:top w:val="single" w:sz="8" w:space="0" w:color="0000EE"/>
            </w:tcBorders>
            <w:vAlign w:val="bottom"/>
          </w:tcPr>
          <w:p w14:paraId="61DEE785" w14:textId="77777777" w:rsidR="00D1587D" w:rsidRDefault="00D1587D">
            <w:pPr>
              <w:rPr>
                <w:sz w:val="6"/>
                <w:szCs w:val="6"/>
              </w:rPr>
            </w:pPr>
          </w:p>
        </w:tc>
        <w:tc>
          <w:tcPr>
            <w:tcW w:w="260" w:type="dxa"/>
            <w:tcBorders>
              <w:top w:val="single" w:sz="8" w:space="0" w:color="0000EE"/>
            </w:tcBorders>
            <w:vAlign w:val="bottom"/>
          </w:tcPr>
          <w:p w14:paraId="3F64B87A" w14:textId="77777777" w:rsidR="00D1587D" w:rsidRDefault="00D1587D">
            <w:pPr>
              <w:rPr>
                <w:sz w:val="6"/>
                <w:szCs w:val="6"/>
              </w:rPr>
            </w:pPr>
          </w:p>
        </w:tc>
        <w:tc>
          <w:tcPr>
            <w:tcW w:w="580" w:type="dxa"/>
            <w:tcBorders>
              <w:top w:val="single" w:sz="8" w:space="0" w:color="0000EE"/>
            </w:tcBorders>
            <w:vAlign w:val="bottom"/>
          </w:tcPr>
          <w:p w14:paraId="1605EE06" w14:textId="77777777" w:rsidR="00D1587D" w:rsidRDefault="00D1587D">
            <w:pPr>
              <w:rPr>
                <w:sz w:val="6"/>
                <w:szCs w:val="6"/>
              </w:rPr>
            </w:pPr>
          </w:p>
        </w:tc>
        <w:tc>
          <w:tcPr>
            <w:tcW w:w="40" w:type="dxa"/>
            <w:tcBorders>
              <w:top w:val="single" w:sz="8" w:space="0" w:color="0000EE"/>
            </w:tcBorders>
            <w:vAlign w:val="bottom"/>
          </w:tcPr>
          <w:p w14:paraId="7C891D84" w14:textId="77777777" w:rsidR="00D1587D" w:rsidRDefault="00D1587D">
            <w:pPr>
              <w:rPr>
                <w:sz w:val="6"/>
                <w:szCs w:val="6"/>
              </w:rPr>
            </w:pPr>
          </w:p>
        </w:tc>
        <w:tc>
          <w:tcPr>
            <w:tcW w:w="40" w:type="dxa"/>
            <w:tcBorders>
              <w:top w:val="single" w:sz="8" w:space="0" w:color="0000EE"/>
            </w:tcBorders>
            <w:vAlign w:val="bottom"/>
          </w:tcPr>
          <w:p w14:paraId="333E39C7" w14:textId="77777777" w:rsidR="00D1587D" w:rsidRDefault="00D1587D">
            <w:pPr>
              <w:rPr>
                <w:sz w:val="6"/>
                <w:szCs w:val="6"/>
              </w:rPr>
            </w:pPr>
          </w:p>
        </w:tc>
        <w:tc>
          <w:tcPr>
            <w:tcW w:w="1720" w:type="dxa"/>
            <w:vAlign w:val="bottom"/>
          </w:tcPr>
          <w:p w14:paraId="753B65A0" w14:textId="77777777" w:rsidR="00D1587D" w:rsidRDefault="00D1587D">
            <w:pPr>
              <w:rPr>
                <w:sz w:val="6"/>
                <w:szCs w:val="6"/>
              </w:rPr>
            </w:pPr>
          </w:p>
        </w:tc>
        <w:tc>
          <w:tcPr>
            <w:tcW w:w="820" w:type="dxa"/>
            <w:vAlign w:val="bottom"/>
          </w:tcPr>
          <w:p w14:paraId="02B69F45" w14:textId="77777777" w:rsidR="00D1587D" w:rsidRDefault="00D1587D">
            <w:pPr>
              <w:rPr>
                <w:sz w:val="6"/>
                <w:szCs w:val="6"/>
              </w:rPr>
            </w:pPr>
          </w:p>
        </w:tc>
        <w:tc>
          <w:tcPr>
            <w:tcW w:w="1680" w:type="dxa"/>
            <w:vAlign w:val="bottom"/>
          </w:tcPr>
          <w:p w14:paraId="3308BC29" w14:textId="77777777" w:rsidR="00D1587D" w:rsidRDefault="00D1587D">
            <w:pPr>
              <w:rPr>
                <w:sz w:val="6"/>
                <w:szCs w:val="6"/>
              </w:rPr>
            </w:pPr>
          </w:p>
        </w:tc>
        <w:tc>
          <w:tcPr>
            <w:tcW w:w="20" w:type="dxa"/>
            <w:vAlign w:val="bottom"/>
          </w:tcPr>
          <w:p w14:paraId="71273D2C" w14:textId="77777777" w:rsidR="00D1587D" w:rsidRDefault="00D1587D">
            <w:pPr>
              <w:rPr>
                <w:sz w:val="6"/>
                <w:szCs w:val="6"/>
              </w:rPr>
            </w:pPr>
          </w:p>
        </w:tc>
        <w:tc>
          <w:tcPr>
            <w:tcW w:w="40" w:type="dxa"/>
            <w:vAlign w:val="bottom"/>
          </w:tcPr>
          <w:p w14:paraId="0962AE62" w14:textId="77777777" w:rsidR="00D1587D" w:rsidRDefault="00D1587D">
            <w:pPr>
              <w:rPr>
                <w:sz w:val="6"/>
                <w:szCs w:val="6"/>
              </w:rPr>
            </w:pPr>
          </w:p>
        </w:tc>
        <w:tc>
          <w:tcPr>
            <w:tcW w:w="40" w:type="dxa"/>
            <w:vAlign w:val="bottom"/>
          </w:tcPr>
          <w:p w14:paraId="29C8A092" w14:textId="77777777" w:rsidR="00D1587D" w:rsidRDefault="00D1587D">
            <w:pPr>
              <w:rPr>
                <w:sz w:val="6"/>
                <w:szCs w:val="6"/>
              </w:rPr>
            </w:pPr>
          </w:p>
        </w:tc>
        <w:tc>
          <w:tcPr>
            <w:tcW w:w="20" w:type="dxa"/>
            <w:tcBorders>
              <w:top w:val="single" w:sz="8" w:space="0" w:color="0000EE"/>
            </w:tcBorders>
            <w:vAlign w:val="bottom"/>
          </w:tcPr>
          <w:p w14:paraId="10C4D902" w14:textId="77777777" w:rsidR="00D1587D" w:rsidRDefault="00D1587D">
            <w:pPr>
              <w:rPr>
                <w:sz w:val="6"/>
                <w:szCs w:val="6"/>
              </w:rPr>
            </w:pPr>
          </w:p>
        </w:tc>
        <w:tc>
          <w:tcPr>
            <w:tcW w:w="60" w:type="dxa"/>
            <w:tcBorders>
              <w:top w:val="single" w:sz="8" w:space="0" w:color="0000EE"/>
            </w:tcBorders>
            <w:vAlign w:val="bottom"/>
          </w:tcPr>
          <w:p w14:paraId="6AC5DEA4" w14:textId="77777777" w:rsidR="00D1587D" w:rsidRDefault="00D1587D">
            <w:pPr>
              <w:rPr>
                <w:sz w:val="6"/>
                <w:szCs w:val="6"/>
              </w:rPr>
            </w:pPr>
          </w:p>
        </w:tc>
        <w:tc>
          <w:tcPr>
            <w:tcW w:w="80" w:type="dxa"/>
            <w:tcBorders>
              <w:top w:val="single" w:sz="8" w:space="0" w:color="0000EE"/>
            </w:tcBorders>
            <w:vAlign w:val="bottom"/>
          </w:tcPr>
          <w:p w14:paraId="43FB2D44" w14:textId="77777777" w:rsidR="00D1587D" w:rsidRDefault="00D1587D">
            <w:pPr>
              <w:rPr>
                <w:sz w:val="6"/>
                <w:szCs w:val="6"/>
              </w:rPr>
            </w:pPr>
          </w:p>
        </w:tc>
        <w:tc>
          <w:tcPr>
            <w:tcW w:w="20" w:type="dxa"/>
            <w:tcBorders>
              <w:top w:val="single" w:sz="8" w:space="0" w:color="0000EE"/>
            </w:tcBorders>
            <w:vAlign w:val="bottom"/>
          </w:tcPr>
          <w:p w14:paraId="160474EE" w14:textId="77777777" w:rsidR="00D1587D" w:rsidRDefault="00D1587D">
            <w:pPr>
              <w:rPr>
                <w:sz w:val="6"/>
                <w:szCs w:val="6"/>
              </w:rPr>
            </w:pPr>
          </w:p>
        </w:tc>
        <w:tc>
          <w:tcPr>
            <w:tcW w:w="20" w:type="dxa"/>
            <w:vAlign w:val="bottom"/>
          </w:tcPr>
          <w:p w14:paraId="44067F2A" w14:textId="77777777" w:rsidR="00D1587D" w:rsidRDefault="00D1587D">
            <w:pPr>
              <w:rPr>
                <w:sz w:val="6"/>
                <w:szCs w:val="6"/>
              </w:rPr>
            </w:pPr>
          </w:p>
        </w:tc>
      </w:tr>
      <w:tr w:rsidR="00D1587D" w14:paraId="6926D4A7" w14:textId="77777777">
        <w:trPr>
          <w:trHeight w:val="230"/>
        </w:trPr>
        <w:tc>
          <w:tcPr>
            <w:tcW w:w="8120" w:type="dxa"/>
            <w:gridSpan w:val="19"/>
            <w:shd w:val="clear" w:color="auto" w:fill="CCEEFF"/>
            <w:vAlign w:val="bottom"/>
          </w:tcPr>
          <w:p w14:paraId="3EC1745B" w14:textId="77777777" w:rsidR="00D1587D" w:rsidRDefault="00410D07">
            <w:pPr>
              <w:rPr>
                <w:rFonts w:ascii="Arial" w:eastAsia="Arial" w:hAnsi="Arial" w:cs="Arial"/>
                <w:color w:val="0000EE"/>
                <w:sz w:val="18"/>
                <w:szCs w:val="18"/>
              </w:rPr>
            </w:pPr>
            <w:hyperlink w:anchor="page320">
              <w:r>
                <w:rPr>
                  <w:rFonts w:ascii="Arial" w:eastAsia="Arial" w:hAnsi="Arial" w:cs="Arial"/>
                  <w:color w:val="0000EE"/>
                  <w:sz w:val="18"/>
                  <w:szCs w:val="18"/>
                </w:rPr>
                <w:t>Selected Historical Combined Financial Data</w:t>
              </w:r>
            </w:hyperlink>
          </w:p>
        </w:tc>
        <w:tc>
          <w:tcPr>
            <w:tcW w:w="280" w:type="dxa"/>
            <w:gridSpan w:val="7"/>
            <w:shd w:val="clear" w:color="auto" w:fill="CCEEFF"/>
            <w:vAlign w:val="bottom"/>
          </w:tcPr>
          <w:p w14:paraId="1E99ADCA" w14:textId="77777777" w:rsidR="00D1587D" w:rsidRDefault="00410D07">
            <w:pPr>
              <w:jc w:val="right"/>
              <w:rPr>
                <w:rFonts w:ascii="Arial" w:eastAsia="Arial" w:hAnsi="Arial" w:cs="Arial"/>
                <w:color w:val="0000EE"/>
                <w:sz w:val="18"/>
                <w:szCs w:val="18"/>
              </w:rPr>
            </w:pPr>
            <w:hyperlink w:anchor="page320">
              <w:r>
                <w:rPr>
                  <w:rFonts w:ascii="Arial" w:eastAsia="Arial" w:hAnsi="Arial" w:cs="Arial"/>
                  <w:color w:val="0000EE"/>
                  <w:sz w:val="18"/>
                  <w:szCs w:val="18"/>
                </w:rPr>
                <w:t>62</w:t>
              </w:r>
            </w:hyperlink>
          </w:p>
        </w:tc>
        <w:tc>
          <w:tcPr>
            <w:tcW w:w="20" w:type="dxa"/>
            <w:shd w:val="clear" w:color="auto" w:fill="CCEEFF"/>
            <w:vAlign w:val="bottom"/>
          </w:tcPr>
          <w:p w14:paraId="08ACD2FC" w14:textId="77777777" w:rsidR="00D1587D" w:rsidRDefault="00D1587D">
            <w:pPr>
              <w:rPr>
                <w:sz w:val="19"/>
                <w:szCs w:val="19"/>
              </w:rPr>
            </w:pPr>
          </w:p>
        </w:tc>
      </w:tr>
      <w:tr w:rsidR="00410D07" w14:paraId="4FB66C88" w14:textId="77777777">
        <w:trPr>
          <w:trHeight w:val="74"/>
        </w:trPr>
        <w:tc>
          <w:tcPr>
            <w:tcW w:w="640" w:type="dxa"/>
            <w:tcBorders>
              <w:top w:val="single" w:sz="8" w:space="0" w:color="0000EE"/>
            </w:tcBorders>
            <w:shd w:val="clear" w:color="auto" w:fill="CCEEFF"/>
            <w:vAlign w:val="bottom"/>
          </w:tcPr>
          <w:p w14:paraId="11B8F2F9" w14:textId="77777777" w:rsidR="00D1587D" w:rsidRDefault="00D1587D">
            <w:pPr>
              <w:rPr>
                <w:sz w:val="6"/>
                <w:szCs w:val="6"/>
              </w:rPr>
            </w:pPr>
          </w:p>
        </w:tc>
        <w:tc>
          <w:tcPr>
            <w:tcW w:w="60" w:type="dxa"/>
            <w:tcBorders>
              <w:top w:val="single" w:sz="8" w:space="0" w:color="0000EE"/>
            </w:tcBorders>
            <w:shd w:val="clear" w:color="auto" w:fill="CCEEFF"/>
            <w:vAlign w:val="bottom"/>
          </w:tcPr>
          <w:p w14:paraId="7F4DE7EF" w14:textId="77777777" w:rsidR="00D1587D" w:rsidRDefault="00D1587D">
            <w:pPr>
              <w:rPr>
                <w:sz w:val="6"/>
                <w:szCs w:val="6"/>
              </w:rPr>
            </w:pPr>
          </w:p>
        </w:tc>
        <w:tc>
          <w:tcPr>
            <w:tcW w:w="200" w:type="dxa"/>
            <w:tcBorders>
              <w:top w:val="single" w:sz="8" w:space="0" w:color="0000EE"/>
            </w:tcBorders>
            <w:shd w:val="clear" w:color="auto" w:fill="CCEEFF"/>
            <w:vAlign w:val="bottom"/>
          </w:tcPr>
          <w:p w14:paraId="6AC7C5D7" w14:textId="77777777" w:rsidR="00D1587D" w:rsidRDefault="00D1587D">
            <w:pPr>
              <w:rPr>
                <w:sz w:val="6"/>
                <w:szCs w:val="6"/>
              </w:rPr>
            </w:pPr>
          </w:p>
        </w:tc>
        <w:tc>
          <w:tcPr>
            <w:tcW w:w="40" w:type="dxa"/>
            <w:tcBorders>
              <w:top w:val="single" w:sz="8" w:space="0" w:color="0000EE"/>
            </w:tcBorders>
            <w:shd w:val="clear" w:color="auto" w:fill="CCEEFF"/>
            <w:vAlign w:val="bottom"/>
          </w:tcPr>
          <w:p w14:paraId="0CFDB96D" w14:textId="77777777" w:rsidR="00D1587D" w:rsidRDefault="00D1587D">
            <w:pPr>
              <w:rPr>
                <w:sz w:val="6"/>
                <w:szCs w:val="6"/>
              </w:rPr>
            </w:pPr>
          </w:p>
        </w:tc>
        <w:tc>
          <w:tcPr>
            <w:tcW w:w="60" w:type="dxa"/>
            <w:tcBorders>
              <w:top w:val="single" w:sz="8" w:space="0" w:color="0000EE"/>
            </w:tcBorders>
            <w:shd w:val="clear" w:color="auto" w:fill="CCEEFF"/>
            <w:vAlign w:val="bottom"/>
          </w:tcPr>
          <w:p w14:paraId="7CBF48DC" w14:textId="77777777" w:rsidR="00D1587D" w:rsidRDefault="00D1587D">
            <w:pPr>
              <w:rPr>
                <w:sz w:val="6"/>
                <w:szCs w:val="6"/>
              </w:rPr>
            </w:pPr>
          </w:p>
        </w:tc>
        <w:tc>
          <w:tcPr>
            <w:tcW w:w="80" w:type="dxa"/>
            <w:tcBorders>
              <w:top w:val="single" w:sz="8" w:space="0" w:color="0000EE"/>
            </w:tcBorders>
            <w:shd w:val="clear" w:color="auto" w:fill="CCEEFF"/>
            <w:vAlign w:val="bottom"/>
          </w:tcPr>
          <w:p w14:paraId="515B1DF3" w14:textId="77777777" w:rsidR="00D1587D" w:rsidRDefault="00D1587D">
            <w:pPr>
              <w:rPr>
                <w:sz w:val="6"/>
                <w:szCs w:val="6"/>
              </w:rPr>
            </w:pPr>
          </w:p>
        </w:tc>
        <w:tc>
          <w:tcPr>
            <w:tcW w:w="80" w:type="dxa"/>
            <w:tcBorders>
              <w:top w:val="single" w:sz="8" w:space="0" w:color="0000EE"/>
            </w:tcBorders>
            <w:shd w:val="clear" w:color="auto" w:fill="CCEEFF"/>
            <w:vAlign w:val="bottom"/>
          </w:tcPr>
          <w:p w14:paraId="2F98E133" w14:textId="77777777" w:rsidR="00D1587D" w:rsidRDefault="00D1587D">
            <w:pPr>
              <w:rPr>
                <w:sz w:val="6"/>
                <w:szCs w:val="6"/>
              </w:rPr>
            </w:pPr>
          </w:p>
        </w:tc>
        <w:tc>
          <w:tcPr>
            <w:tcW w:w="880" w:type="dxa"/>
            <w:tcBorders>
              <w:top w:val="single" w:sz="8" w:space="0" w:color="0000EE"/>
            </w:tcBorders>
            <w:shd w:val="clear" w:color="auto" w:fill="CCEEFF"/>
            <w:vAlign w:val="bottom"/>
          </w:tcPr>
          <w:p w14:paraId="170426EA" w14:textId="77777777" w:rsidR="00D1587D" w:rsidRDefault="00D1587D">
            <w:pPr>
              <w:rPr>
                <w:sz w:val="6"/>
                <w:szCs w:val="6"/>
              </w:rPr>
            </w:pPr>
          </w:p>
        </w:tc>
        <w:tc>
          <w:tcPr>
            <w:tcW w:w="800" w:type="dxa"/>
            <w:tcBorders>
              <w:top w:val="single" w:sz="8" w:space="0" w:color="0000EE"/>
            </w:tcBorders>
            <w:shd w:val="clear" w:color="auto" w:fill="CCEEFF"/>
            <w:vAlign w:val="bottom"/>
          </w:tcPr>
          <w:p w14:paraId="15559A21" w14:textId="77777777" w:rsidR="00D1587D" w:rsidRDefault="00D1587D">
            <w:pPr>
              <w:rPr>
                <w:sz w:val="6"/>
                <w:szCs w:val="6"/>
              </w:rPr>
            </w:pPr>
          </w:p>
        </w:tc>
        <w:tc>
          <w:tcPr>
            <w:tcW w:w="20" w:type="dxa"/>
            <w:tcBorders>
              <w:top w:val="single" w:sz="8" w:space="0" w:color="0000EE"/>
            </w:tcBorders>
            <w:shd w:val="clear" w:color="auto" w:fill="CCEEFF"/>
            <w:vAlign w:val="bottom"/>
          </w:tcPr>
          <w:p w14:paraId="1006A388" w14:textId="77777777" w:rsidR="00D1587D" w:rsidRDefault="00D1587D">
            <w:pPr>
              <w:rPr>
                <w:sz w:val="6"/>
                <w:szCs w:val="6"/>
              </w:rPr>
            </w:pPr>
          </w:p>
        </w:tc>
        <w:tc>
          <w:tcPr>
            <w:tcW w:w="80" w:type="dxa"/>
            <w:tcBorders>
              <w:top w:val="single" w:sz="8" w:space="0" w:color="0000EE"/>
            </w:tcBorders>
            <w:shd w:val="clear" w:color="auto" w:fill="CCEEFF"/>
            <w:vAlign w:val="bottom"/>
          </w:tcPr>
          <w:p w14:paraId="69BC4D14" w14:textId="77777777" w:rsidR="00D1587D" w:rsidRDefault="00D1587D">
            <w:pPr>
              <w:rPr>
                <w:sz w:val="6"/>
                <w:szCs w:val="6"/>
              </w:rPr>
            </w:pPr>
          </w:p>
        </w:tc>
        <w:tc>
          <w:tcPr>
            <w:tcW w:w="40" w:type="dxa"/>
            <w:tcBorders>
              <w:top w:val="single" w:sz="8" w:space="0" w:color="0000EE"/>
            </w:tcBorders>
            <w:shd w:val="clear" w:color="auto" w:fill="CCEEFF"/>
            <w:vAlign w:val="bottom"/>
          </w:tcPr>
          <w:p w14:paraId="77E5ECB3" w14:textId="77777777" w:rsidR="00D1587D" w:rsidRDefault="00D1587D">
            <w:pPr>
              <w:rPr>
                <w:sz w:val="6"/>
                <w:szCs w:val="6"/>
              </w:rPr>
            </w:pPr>
          </w:p>
        </w:tc>
        <w:tc>
          <w:tcPr>
            <w:tcW w:w="260" w:type="dxa"/>
            <w:tcBorders>
              <w:top w:val="single" w:sz="8" w:space="0" w:color="0000EE"/>
            </w:tcBorders>
            <w:shd w:val="clear" w:color="auto" w:fill="CCEEFF"/>
            <w:vAlign w:val="bottom"/>
          </w:tcPr>
          <w:p w14:paraId="4AB69992" w14:textId="77777777" w:rsidR="00D1587D" w:rsidRDefault="00D1587D">
            <w:pPr>
              <w:rPr>
                <w:sz w:val="6"/>
                <w:szCs w:val="6"/>
              </w:rPr>
            </w:pPr>
          </w:p>
        </w:tc>
        <w:tc>
          <w:tcPr>
            <w:tcW w:w="580" w:type="dxa"/>
            <w:tcBorders>
              <w:top w:val="single" w:sz="8" w:space="0" w:color="CCEEFF"/>
            </w:tcBorders>
            <w:shd w:val="clear" w:color="auto" w:fill="CCEEFF"/>
            <w:vAlign w:val="bottom"/>
          </w:tcPr>
          <w:p w14:paraId="5A2E4A55" w14:textId="77777777" w:rsidR="00D1587D" w:rsidRDefault="00D1587D">
            <w:pPr>
              <w:rPr>
                <w:sz w:val="6"/>
                <w:szCs w:val="6"/>
              </w:rPr>
            </w:pPr>
          </w:p>
        </w:tc>
        <w:tc>
          <w:tcPr>
            <w:tcW w:w="40" w:type="dxa"/>
            <w:tcBorders>
              <w:top w:val="single" w:sz="8" w:space="0" w:color="CCEEFF"/>
            </w:tcBorders>
            <w:shd w:val="clear" w:color="auto" w:fill="CCEEFF"/>
            <w:vAlign w:val="bottom"/>
          </w:tcPr>
          <w:p w14:paraId="3CE685FB" w14:textId="77777777" w:rsidR="00D1587D" w:rsidRDefault="00D1587D">
            <w:pPr>
              <w:rPr>
                <w:sz w:val="6"/>
                <w:szCs w:val="6"/>
              </w:rPr>
            </w:pPr>
          </w:p>
        </w:tc>
        <w:tc>
          <w:tcPr>
            <w:tcW w:w="40" w:type="dxa"/>
            <w:tcBorders>
              <w:top w:val="single" w:sz="8" w:space="0" w:color="CCEEFF"/>
            </w:tcBorders>
            <w:shd w:val="clear" w:color="auto" w:fill="CCEEFF"/>
            <w:vAlign w:val="bottom"/>
          </w:tcPr>
          <w:p w14:paraId="72AEC59F" w14:textId="77777777" w:rsidR="00D1587D" w:rsidRDefault="00D1587D">
            <w:pPr>
              <w:rPr>
                <w:sz w:val="6"/>
                <w:szCs w:val="6"/>
              </w:rPr>
            </w:pPr>
          </w:p>
        </w:tc>
        <w:tc>
          <w:tcPr>
            <w:tcW w:w="1720" w:type="dxa"/>
            <w:tcBorders>
              <w:top w:val="single" w:sz="8" w:space="0" w:color="CCEEFF"/>
            </w:tcBorders>
            <w:shd w:val="clear" w:color="auto" w:fill="CCEEFF"/>
            <w:vAlign w:val="bottom"/>
          </w:tcPr>
          <w:p w14:paraId="35E063FE" w14:textId="77777777" w:rsidR="00D1587D" w:rsidRDefault="00D1587D">
            <w:pPr>
              <w:rPr>
                <w:sz w:val="6"/>
                <w:szCs w:val="6"/>
              </w:rPr>
            </w:pPr>
          </w:p>
        </w:tc>
        <w:tc>
          <w:tcPr>
            <w:tcW w:w="820" w:type="dxa"/>
            <w:tcBorders>
              <w:top w:val="single" w:sz="8" w:space="0" w:color="CCEEFF"/>
            </w:tcBorders>
            <w:shd w:val="clear" w:color="auto" w:fill="CCEEFF"/>
            <w:vAlign w:val="bottom"/>
          </w:tcPr>
          <w:p w14:paraId="7C68CB3B" w14:textId="77777777" w:rsidR="00D1587D" w:rsidRDefault="00D1587D">
            <w:pPr>
              <w:rPr>
                <w:sz w:val="6"/>
                <w:szCs w:val="6"/>
              </w:rPr>
            </w:pPr>
          </w:p>
        </w:tc>
        <w:tc>
          <w:tcPr>
            <w:tcW w:w="1680" w:type="dxa"/>
            <w:tcBorders>
              <w:top w:val="single" w:sz="8" w:space="0" w:color="CCEEFF"/>
            </w:tcBorders>
            <w:shd w:val="clear" w:color="auto" w:fill="CCEEFF"/>
            <w:vAlign w:val="bottom"/>
          </w:tcPr>
          <w:p w14:paraId="5B498CF8" w14:textId="77777777" w:rsidR="00D1587D" w:rsidRDefault="00D1587D">
            <w:pPr>
              <w:rPr>
                <w:sz w:val="6"/>
                <w:szCs w:val="6"/>
              </w:rPr>
            </w:pPr>
          </w:p>
        </w:tc>
        <w:tc>
          <w:tcPr>
            <w:tcW w:w="20" w:type="dxa"/>
            <w:tcBorders>
              <w:top w:val="single" w:sz="8" w:space="0" w:color="CCEEFF"/>
            </w:tcBorders>
            <w:shd w:val="clear" w:color="auto" w:fill="CCEEFF"/>
            <w:vAlign w:val="bottom"/>
          </w:tcPr>
          <w:p w14:paraId="2FB1EDB9" w14:textId="77777777" w:rsidR="00D1587D" w:rsidRDefault="00D1587D">
            <w:pPr>
              <w:rPr>
                <w:sz w:val="6"/>
                <w:szCs w:val="6"/>
              </w:rPr>
            </w:pPr>
          </w:p>
        </w:tc>
        <w:tc>
          <w:tcPr>
            <w:tcW w:w="40" w:type="dxa"/>
            <w:tcBorders>
              <w:top w:val="single" w:sz="8" w:space="0" w:color="CCEEFF"/>
            </w:tcBorders>
            <w:shd w:val="clear" w:color="auto" w:fill="CCEEFF"/>
            <w:vAlign w:val="bottom"/>
          </w:tcPr>
          <w:p w14:paraId="57F98DB3" w14:textId="77777777" w:rsidR="00D1587D" w:rsidRDefault="00D1587D">
            <w:pPr>
              <w:rPr>
                <w:sz w:val="6"/>
                <w:szCs w:val="6"/>
              </w:rPr>
            </w:pPr>
          </w:p>
        </w:tc>
        <w:tc>
          <w:tcPr>
            <w:tcW w:w="40" w:type="dxa"/>
            <w:tcBorders>
              <w:top w:val="single" w:sz="8" w:space="0" w:color="CCEEFF"/>
            </w:tcBorders>
            <w:shd w:val="clear" w:color="auto" w:fill="CCEEFF"/>
            <w:vAlign w:val="bottom"/>
          </w:tcPr>
          <w:p w14:paraId="1BBDEE69" w14:textId="77777777" w:rsidR="00D1587D" w:rsidRDefault="00D1587D">
            <w:pPr>
              <w:rPr>
                <w:sz w:val="6"/>
                <w:szCs w:val="6"/>
              </w:rPr>
            </w:pPr>
          </w:p>
        </w:tc>
        <w:tc>
          <w:tcPr>
            <w:tcW w:w="20" w:type="dxa"/>
            <w:tcBorders>
              <w:top w:val="single" w:sz="8" w:space="0" w:color="0000EE"/>
            </w:tcBorders>
            <w:shd w:val="clear" w:color="auto" w:fill="CCEEFF"/>
            <w:vAlign w:val="bottom"/>
          </w:tcPr>
          <w:p w14:paraId="606FF893" w14:textId="77777777" w:rsidR="00D1587D" w:rsidRDefault="00D1587D">
            <w:pPr>
              <w:rPr>
                <w:sz w:val="6"/>
                <w:szCs w:val="6"/>
              </w:rPr>
            </w:pPr>
          </w:p>
        </w:tc>
        <w:tc>
          <w:tcPr>
            <w:tcW w:w="60" w:type="dxa"/>
            <w:tcBorders>
              <w:top w:val="single" w:sz="8" w:space="0" w:color="0000EE"/>
            </w:tcBorders>
            <w:shd w:val="clear" w:color="auto" w:fill="CCEEFF"/>
            <w:vAlign w:val="bottom"/>
          </w:tcPr>
          <w:p w14:paraId="42A015B7" w14:textId="77777777" w:rsidR="00D1587D" w:rsidRDefault="00D1587D">
            <w:pPr>
              <w:rPr>
                <w:sz w:val="6"/>
                <w:szCs w:val="6"/>
              </w:rPr>
            </w:pPr>
          </w:p>
        </w:tc>
        <w:tc>
          <w:tcPr>
            <w:tcW w:w="80" w:type="dxa"/>
            <w:tcBorders>
              <w:top w:val="single" w:sz="8" w:space="0" w:color="0000EE"/>
            </w:tcBorders>
            <w:shd w:val="clear" w:color="auto" w:fill="CCEEFF"/>
            <w:vAlign w:val="bottom"/>
          </w:tcPr>
          <w:p w14:paraId="126DE00E" w14:textId="77777777" w:rsidR="00D1587D" w:rsidRDefault="00D1587D">
            <w:pPr>
              <w:rPr>
                <w:sz w:val="6"/>
                <w:szCs w:val="6"/>
              </w:rPr>
            </w:pPr>
          </w:p>
        </w:tc>
        <w:tc>
          <w:tcPr>
            <w:tcW w:w="20" w:type="dxa"/>
            <w:tcBorders>
              <w:top w:val="single" w:sz="8" w:space="0" w:color="0000EE"/>
            </w:tcBorders>
            <w:shd w:val="clear" w:color="auto" w:fill="CCEEFF"/>
            <w:vAlign w:val="bottom"/>
          </w:tcPr>
          <w:p w14:paraId="1C393302" w14:textId="77777777" w:rsidR="00D1587D" w:rsidRDefault="00D1587D">
            <w:pPr>
              <w:rPr>
                <w:sz w:val="6"/>
                <w:szCs w:val="6"/>
              </w:rPr>
            </w:pPr>
          </w:p>
        </w:tc>
        <w:tc>
          <w:tcPr>
            <w:tcW w:w="20" w:type="dxa"/>
            <w:tcBorders>
              <w:top w:val="single" w:sz="8" w:space="0" w:color="CCEEFF"/>
            </w:tcBorders>
            <w:shd w:val="clear" w:color="auto" w:fill="CCEEFF"/>
            <w:vAlign w:val="bottom"/>
          </w:tcPr>
          <w:p w14:paraId="596696DC" w14:textId="77777777" w:rsidR="00D1587D" w:rsidRDefault="00D1587D">
            <w:pPr>
              <w:rPr>
                <w:sz w:val="6"/>
                <w:szCs w:val="6"/>
              </w:rPr>
            </w:pPr>
          </w:p>
        </w:tc>
      </w:tr>
      <w:tr w:rsidR="00D1587D" w14:paraId="2165EF98" w14:textId="77777777">
        <w:trPr>
          <w:trHeight w:val="230"/>
        </w:trPr>
        <w:tc>
          <w:tcPr>
            <w:tcW w:w="8120" w:type="dxa"/>
            <w:gridSpan w:val="19"/>
            <w:vAlign w:val="bottom"/>
          </w:tcPr>
          <w:p w14:paraId="246E8BDA" w14:textId="77777777" w:rsidR="00D1587D" w:rsidRDefault="00410D07">
            <w:pPr>
              <w:rPr>
                <w:rFonts w:ascii="Arial" w:eastAsia="Arial" w:hAnsi="Arial" w:cs="Arial"/>
                <w:color w:val="0000EE"/>
                <w:sz w:val="18"/>
                <w:szCs w:val="18"/>
              </w:rPr>
            </w:pPr>
            <w:hyperlink w:anchor="page324">
              <w:r>
                <w:rPr>
                  <w:rFonts w:ascii="Arial" w:eastAsia="Arial" w:hAnsi="Arial" w:cs="Arial"/>
                  <w:color w:val="0000EE"/>
                  <w:sz w:val="18"/>
                  <w:szCs w:val="18"/>
                </w:rPr>
                <w:t>Management’s Discussion and Analysis of Financial Condition and Results of Operations</w:t>
              </w:r>
            </w:hyperlink>
          </w:p>
        </w:tc>
        <w:tc>
          <w:tcPr>
            <w:tcW w:w="280" w:type="dxa"/>
            <w:gridSpan w:val="7"/>
            <w:vAlign w:val="bottom"/>
          </w:tcPr>
          <w:p w14:paraId="3FF7F9FF" w14:textId="77777777" w:rsidR="00D1587D" w:rsidRDefault="00410D07">
            <w:pPr>
              <w:jc w:val="right"/>
              <w:rPr>
                <w:rFonts w:ascii="Arial" w:eastAsia="Arial" w:hAnsi="Arial" w:cs="Arial"/>
                <w:color w:val="0000EE"/>
                <w:sz w:val="18"/>
                <w:szCs w:val="18"/>
              </w:rPr>
            </w:pPr>
            <w:hyperlink w:anchor="page324">
              <w:r>
                <w:rPr>
                  <w:rFonts w:ascii="Arial" w:eastAsia="Arial" w:hAnsi="Arial" w:cs="Arial"/>
                  <w:color w:val="0000EE"/>
                  <w:sz w:val="18"/>
                  <w:szCs w:val="18"/>
                </w:rPr>
                <w:t>66</w:t>
              </w:r>
            </w:hyperlink>
          </w:p>
        </w:tc>
        <w:tc>
          <w:tcPr>
            <w:tcW w:w="20" w:type="dxa"/>
            <w:vAlign w:val="bottom"/>
          </w:tcPr>
          <w:p w14:paraId="273E7046" w14:textId="77777777" w:rsidR="00D1587D" w:rsidRDefault="00D1587D">
            <w:pPr>
              <w:rPr>
                <w:sz w:val="19"/>
                <w:szCs w:val="19"/>
              </w:rPr>
            </w:pPr>
          </w:p>
        </w:tc>
      </w:tr>
      <w:tr w:rsidR="00D1587D" w14:paraId="064BCF91" w14:textId="77777777">
        <w:trPr>
          <w:trHeight w:val="74"/>
        </w:trPr>
        <w:tc>
          <w:tcPr>
            <w:tcW w:w="640" w:type="dxa"/>
            <w:tcBorders>
              <w:top w:val="single" w:sz="8" w:space="0" w:color="0000EE"/>
            </w:tcBorders>
            <w:vAlign w:val="bottom"/>
          </w:tcPr>
          <w:p w14:paraId="5EA55C9B" w14:textId="77777777" w:rsidR="00D1587D" w:rsidRDefault="00D1587D">
            <w:pPr>
              <w:rPr>
                <w:sz w:val="6"/>
                <w:szCs w:val="6"/>
              </w:rPr>
            </w:pPr>
          </w:p>
        </w:tc>
        <w:tc>
          <w:tcPr>
            <w:tcW w:w="60" w:type="dxa"/>
            <w:tcBorders>
              <w:top w:val="single" w:sz="8" w:space="0" w:color="0000EE"/>
            </w:tcBorders>
            <w:vAlign w:val="bottom"/>
          </w:tcPr>
          <w:p w14:paraId="08DE7D9B" w14:textId="77777777" w:rsidR="00D1587D" w:rsidRDefault="00D1587D">
            <w:pPr>
              <w:rPr>
                <w:sz w:val="6"/>
                <w:szCs w:val="6"/>
              </w:rPr>
            </w:pPr>
          </w:p>
        </w:tc>
        <w:tc>
          <w:tcPr>
            <w:tcW w:w="200" w:type="dxa"/>
            <w:tcBorders>
              <w:top w:val="single" w:sz="8" w:space="0" w:color="0000EE"/>
            </w:tcBorders>
            <w:vAlign w:val="bottom"/>
          </w:tcPr>
          <w:p w14:paraId="5A8547DF" w14:textId="77777777" w:rsidR="00D1587D" w:rsidRDefault="00D1587D">
            <w:pPr>
              <w:rPr>
                <w:sz w:val="6"/>
                <w:szCs w:val="6"/>
              </w:rPr>
            </w:pPr>
          </w:p>
        </w:tc>
        <w:tc>
          <w:tcPr>
            <w:tcW w:w="40" w:type="dxa"/>
            <w:tcBorders>
              <w:top w:val="single" w:sz="8" w:space="0" w:color="0000EE"/>
            </w:tcBorders>
            <w:vAlign w:val="bottom"/>
          </w:tcPr>
          <w:p w14:paraId="4623286D" w14:textId="77777777" w:rsidR="00D1587D" w:rsidRDefault="00D1587D">
            <w:pPr>
              <w:rPr>
                <w:sz w:val="6"/>
                <w:szCs w:val="6"/>
              </w:rPr>
            </w:pPr>
          </w:p>
        </w:tc>
        <w:tc>
          <w:tcPr>
            <w:tcW w:w="60" w:type="dxa"/>
            <w:tcBorders>
              <w:top w:val="single" w:sz="8" w:space="0" w:color="0000EE"/>
            </w:tcBorders>
            <w:vAlign w:val="bottom"/>
          </w:tcPr>
          <w:p w14:paraId="4DD2C573" w14:textId="77777777" w:rsidR="00D1587D" w:rsidRDefault="00D1587D">
            <w:pPr>
              <w:rPr>
                <w:sz w:val="6"/>
                <w:szCs w:val="6"/>
              </w:rPr>
            </w:pPr>
          </w:p>
        </w:tc>
        <w:tc>
          <w:tcPr>
            <w:tcW w:w="80" w:type="dxa"/>
            <w:tcBorders>
              <w:top w:val="single" w:sz="8" w:space="0" w:color="0000EE"/>
            </w:tcBorders>
            <w:vAlign w:val="bottom"/>
          </w:tcPr>
          <w:p w14:paraId="29ED9D2D" w14:textId="77777777" w:rsidR="00D1587D" w:rsidRDefault="00D1587D">
            <w:pPr>
              <w:rPr>
                <w:sz w:val="6"/>
                <w:szCs w:val="6"/>
              </w:rPr>
            </w:pPr>
          </w:p>
        </w:tc>
        <w:tc>
          <w:tcPr>
            <w:tcW w:w="80" w:type="dxa"/>
            <w:tcBorders>
              <w:top w:val="single" w:sz="8" w:space="0" w:color="0000EE"/>
            </w:tcBorders>
            <w:vAlign w:val="bottom"/>
          </w:tcPr>
          <w:p w14:paraId="1BB39D5E" w14:textId="77777777" w:rsidR="00D1587D" w:rsidRDefault="00D1587D">
            <w:pPr>
              <w:rPr>
                <w:sz w:val="6"/>
                <w:szCs w:val="6"/>
              </w:rPr>
            </w:pPr>
          </w:p>
        </w:tc>
        <w:tc>
          <w:tcPr>
            <w:tcW w:w="880" w:type="dxa"/>
            <w:tcBorders>
              <w:top w:val="single" w:sz="8" w:space="0" w:color="0000EE"/>
            </w:tcBorders>
            <w:vAlign w:val="bottom"/>
          </w:tcPr>
          <w:p w14:paraId="54A8E6B4" w14:textId="77777777" w:rsidR="00D1587D" w:rsidRDefault="00D1587D">
            <w:pPr>
              <w:rPr>
                <w:sz w:val="6"/>
                <w:szCs w:val="6"/>
              </w:rPr>
            </w:pPr>
          </w:p>
        </w:tc>
        <w:tc>
          <w:tcPr>
            <w:tcW w:w="800" w:type="dxa"/>
            <w:tcBorders>
              <w:top w:val="single" w:sz="8" w:space="0" w:color="0000EE"/>
            </w:tcBorders>
            <w:vAlign w:val="bottom"/>
          </w:tcPr>
          <w:p w14:paraId="6EA77323" w14:textId="77777777" w:rsidR="00D1587D" w:rsidRDefault="00D1587D">
            <w:pPr>
              <w:rPr>
                <w:sz w:val="6"/>
                <w:szCs w:val="6"/>
              </w:rPr>
            </w:pPr>
          </w:p>
        </w:tc>
        <w:tc>
          <w:tcPr>
            <w:tcW w:w="20" w:type="dxa"/>
            <w:tcBorders>
              <w:top w:val="single" w:sz="8" w:space="0" w:color="0000EE"/>
            </w:tcBorders>
            <w:vAlign w:val="bottom"/>
          </w:tcPr>
          <w:p w14:paraId="28F8E733" w14:textId="77777777" w:rsidR="00D1587D" w:rsidRDefault="00D1587D">
            <w:pPr>
              <w:rPr>
                <w:sz w:val="6"/>
                <w:szCs w:val="6"/>
              </w:rPr>
            </w:pPr>
          </w:p>
        </w:tc>
        <w:tc>
          <w:tcPr>
            <w:tcW w:w="80" w:type="dxa"/>
            <w:tcBorders>
              <w:top w:val="single" w:sz="8" w:space="0" w:color="0000EE"/>
            </w:tcBorders>
            <w:vAlign w:val="bottom"/>
          </w:tcPr>
          <w:p w14:paraId="6FCA4F24" w14:textId="77777777" w:rsidR="00D1587D" w:rsidRDefault="00D1587D">
            <w:pPr>
              <w:rPr>
                <w:sz w:val="6"/>
                <w:szCs w:val="6"/>
              </w:rPr>
            </w:pPr>
          </w:p>
        </w:tc>
        <w:tc>
          <w:tcPr>
            <w:tcW w:w="40" w:type="dxa"/>
            <w:tcBorders>
              <w:top w:val="single" w:sz="8" w:space="0" w:color="0000EE"/>
            </w:tcBorders>
            <w:vAlign w:val="bottom"/>
          </w:tcPr>
          <w:p w14:paraId="3F4AFA16" w14:textId="77777777" w:rsidR="00D1587D" w:rsidRDefault="00D1587D">
            <w:pPr>
              <w:rPr>
                <w:sz w:val="6"/>
                <w:szCs w:val="6"/>
              </w:rPr>
            </w:pPr>
          </w:p>
        </w:tc>
        <w:tc>
          <w:tcPr>
            <w:tcW w:w="260" w:type="dxa"/>
            <w:tcBorders>
              <w:top w:val="single" w:sz="8" w:space="0" w:color="0000EE"/>
            </w:tcBorders>
            <w:vAlign w:val="bottom"/>
          </w:tcPr>
          <w:p w14:paraId="3A68E7F2" w14:textId="77777777" w:rsidR="00D1587D" w:rsidRDefault="00D1587D">
            <w:pPr>
              <w:rPr>
                <w:sz w:val="6"/>
                <w:szCs w:val="6"/>
              </w:rPr>
            </w:pPr>
          </w:p>
        </w:tc>
        <w:tc>
          <w:tcPr>
            <w:tcW w:w="580" w:type="dxa"/>
            <w:tcBorders>
              <w:top w:val="single" w:sz="8" w:space="0" w:color="0000EE"/>
            </w:tcBorders>
            <w:vAlign w:val="bottom"/>
          </w:tcPr>
          <w:p w14:paraId="65971377" w14:textId="77777777" w:rsidR="00D1587D" w:rsidRDefault="00D1587D">
            <w:pPr>
              <w:rPr>
                <w:sz w:val="6"/>
                <w:szCs w:val="6"/>
              </w:rPr>
            </w:pPr>
          </w:p>
        </w:tc>
        <w:tc>
          <w:tcPr>
            <w:tcW w:w="40" w:type="dxa"/>
            <w:tcBorders>
              <w:top w:val="single" w:sz="8" w:space="0" w:color="0000EE"/>
            </w:tcBorders>
            <w:vAlign w:val="bottom"/>
          </w:tcPr>
          <w:p w14:paraId="6FD2B34A" w14:textId="77777777" w:rsidR="00D1587D" w:rsidRDefault="00D1587D">
            <w:pPr>
              <w:rPr>
                <w:sz w:val="6"/>
                <w:szCs w:val="6"/>
              </w:rPr>
            </w:pPr>
          </w:p>
        </w:tc>
        <w:tc>
          <w:tcPr>
            <w:tcW w:w="40" w:type="dxa"/>
            <w:tcBorders>
              <w:top w:val="single" w:sz="8" w:space="0" w:color="0000EE"/>
            </w:tcBorders>
            <w:vAlign w:val="bottom"/>
          </w:tcPr>
          <w:p w14:paraId="01350FC7" w14:textId="77777777" w:rsidR="00D1587D" w:rsidRDefault="00D1587D">
            <w:pPr>
              <w:rPr>
                <w:sz w:val="6"/>
                <w:szCs w:val="6"/>
              </w:rPr>
            </w:pPr>
          </w:p>
        </w:tc>
        <w:tc>
          <w:tcPr>
            <w:tcW w:w="1720" w:type="dxa"/>
            <w:tcBorders>
              <w:top w:val="single" w:sz="8" w:space="0" w:color="0000EE"/>
            </w:tcBorders>
            <w:vAlign w:val="bottom"/>
          </w:tcPr>
          <w:p w14:paraId="6BAAFC5D" w14:textId="77777777" w:rsidR="00D1587D" w:rsidRDefault="00D1587D">
            <w:pPr>
              <w:rPr>
                <w:sz w:val="6"/>
                <w:szCs w:val="6"/>
              </w:rPr>
            </w:pPr>
          </w:p>
        </w:tc>
        <w:tc>
          <w:tcPr>
            <w:tcW w:w="820" w:type="dxa"/>
            <w:tcBorders>
              <w:top w:val="single" w:sz="8" w:space="0" w:color="0000EE"/>
            </w:tcBorders>
            <w:vAlign w:val="bottom"/>
          </w:tcPr>
          <w:p w14:paraId="19A06909" w14:textId="77777777" w:rsidR="00D1587D" w:rsidRDefault="00D1587D">
            <w:pPr>
              <w:rPr>
                <w:sz w:val="6"/>
                <w:szCs w:val="6"/>
              </w:rPr>
            </w:pPr>
          </w:p>
        </w:tc>
        <w:tc>
          <w:tcPr>
            <w:tcW w:w="1680" w:type="dxa"/>
            <w:vAlign w:val="bottom"/>
          </w:tcPr>
          <w:p w14:paraId="39EA36D7" w14:textId="77777777" w:rsidR="00D1587D" w:rsidRDefault="00D1587D">
            <w:pPr>
              <w:rPr>
                <w:sz w:val="6"/>
                <w:szCs w:val="6"/>
              </w:rPr>
            </w:pPr>
          </w:p>
        </w:tc>
        <w:tc>
          <w:tcPr>
            <w:tcW w:w="20" w:type="dxa"/>
            <w:vAlign w:val="bottom"/>
          </w:tcPr>
          <w:p w14:paraId="6946B543" w14:textId="77777777" w:rsidR="00D1587D" w:rsidRDefault="00D1587D">
            <w:pPr>
              <w:rPr>
                <w:sz w:val="6"/>
                <w:szCs w:val="6"/>
              </w:rPr>
            </w:pPr>
          </w:p>
        </w:tc>
        <w:tc>
          <w:tcPr>
            <w:tcW w:w="40" w:type="dxa"/>
            <w:vAlign w:val="bottom"/>
          </w:tcPr>
          <w:p w14:paraId="58A4BF67" w14:textId="77777777" w:rsidR="00D1587D" w:rsidRDefault="00D1587D">
            <w:pPr>
              <w:rPr>
                <w:sz w:val="6"/>
                <w:szCs w:val="6"/>
              </w:rPr>
            </w:pPr>
          </w:p>
        </w:tc>
        <w:tc>
          <w:tcPr>
            <w:tcW w:w="40" w:type="dxa"/>
            <w:vAlign w:val="bottom"/>
          </w:tcPr>
          <w:p w14:paraId="434FBA1E" w14:textId="77777777" w:rsidR="00D1587D" w:rsidRDefault="00D1587D">
            <w:pPr>
              <w:rPr>
                <w:sz w:val="6"/>
                <w:szCs w:val="6"/>
              </w:rPr>
            </w:pPr>
          </w:p>
        </w:tc>
        <w:tc>
          <w:tcPr>
            <w:tcW w:w="20" w:type="dxa"/>
            <w:tcBorders>
              <w:top w:val="single" w:sz="8" w:space="0" w:color="0000EE"/>
            </w:tcBorders>
            <w:vAlign w:val="bottom"/>
          </w:tcPr>
          <w:p w14:paraId="64A3F9B9" w14:textId="77777777" w:rsidR="00D1587D" w:rsidRDefault="00D1587D">
            <w:pPr>
              <w:rPr>
                <w:sz w:val="6"/>
                <w:szCs w:val="6"/>
              </w:rPr>
            </w:pPr>
          </w:p>
        </w:tc>
        <w:tc>
          <w:tcPr>
            <w:tcW w:w="60" w:type="dxa"/>
            <w:tcBorders>
              <w:top w:val="single" w:sz="8" w:space="0" w:color="0000EE"/>
            </w:tcBorders>
            <w:vAlign w:val="bottom"/>
          </w:tcPr>
          <w:p w14:paraId="01B00C79" w14:textId="77777777" w:rsidR="00D1587D" w:rsidRDefault="00D1587D">
            <w:pPr>
              <w:rPr>
                <w:sz w:val="6"/>
                <w:szCs w:val="6"/>
              </w:rPr>
            </w:pPr>
          </w:p>
        </w:tc>
        <w:tc>
          <w:tcPr>
            <w:tcW w:w="80" w:type="dxa"/>
            <w:tcBorders>
              <w:top w:val="single" w:sz="8" w:space="0" w:color="0000EE"/>
            </w:tcBorders>
            <w:vAlign w:val="bottom"/>
          </w:tcPr>
          <w:p w14:paraId="59DB1E66" w14:textId="77777777" w:rsidR="00D1587D" w:rsidRDefault="00D1587D">
            <w:pPr>
              <w:rPr>
                <w:sz w:val="6"/>
                <w:szCs w:val="6"/>
              </w:rPr>
            </w:pPr>
          </w:p>
        </w:tc>
        <w:tc>
          <w:tcPr>
            <w:tcW w:w="20" w:type="dxa"/>
            <w:tcBorders>
              <w:top w:val="single" w:sz="8" w:space="0" w:color="0000EE"/>
            </w:tcBorders>
            <w:vAlign w:val="bottom"/>
          </w:tcPr>
          <w:p w14:paraId="462A21D9" w14:textId="77777777" w:rsidR="00D1587D" w:rsidRDefault="00D1587D">
            <w:pPr>
              <w:rPr>
                <w:sz w:val="6"/>
                <w:szCs w:val="6"/>
              </w:rPr>
            </w:pPr>
          </w:p>
        </w:tc>
        <w:tc>
          <w:tcPr>
            <w:tcW w:w="20" w:type="dxa"/>
            <w:vAlign w:val="bottom"/>
          </w:tcPr>
          <w:p w14:paraId="596156CD" w14:textId="77777777" w:rsidR="00D1587D" w:rsidRDefault="00D1587D">
            <w:pPr>
              <w:rPr>
                <w:sz w:val="6"/>
                <w:szCs w:val="6"/>
              </w:rPr>
            </w:pPr>
          </w:p>
        </w:tc>
      </w:tr>
      <w:tr w:rsidR="00D1587D" w14:paraId="34C12679" w14:textId="77777777">
        <w:trPr>
          <w:trHeight w:val="229"/>
        </w:trPr>
        <w:tc>
          <w:tcPr>
            <w:tcW w:w="8120" w:type="dxa"/>
            <w:gridSpan w:val="19"/>
            <w:shd w:val="clear" w:color="auto" w:fill="CCEEFF"/>
            <w:vAlign w:val="bottom"/>
          </w:tcPr>
          <w:p w14:paraId="2566A008" w14:textId="77777777" w:rsidR="00D1587D" w:rsidRDefault="00410D07">
            <w:pPr>
              <w:rPr>
                <w:rFonts w:ascii="Arial" w:eastAsia="Arial" w:hAnsi="Arial" w:cs="Arial"/>
                <w:color w:val="0000EE"/>
                <w:sz w:val="18"/>
                <w:szCs w:val="18"/>
              </w:rPr>
            </w:pPr>
            <w:hyperlink w:anchor="page348">
              <w:r>
                <w:rPr>
                  <w:rFonts w:ascii="Arial" w:eastAsia="Arial" w:hAnsi="Arial" w:cs="Arial"/>
                  <w:color w:val="0000EE"/>
                  <w:sz w:val="18"/>
                  <w:szCs w:val="18"/>
                </w:rPr>
                <w:t>Business</w:t>
              </w:r>
            </w:hyperlink>
          </w:p>
        </w:tc>
        <w:tc>
          <w:tcPr>
            <w:tcW w:w="280" w:type="dxa"/>
            <w:gridSpan w:val="7"/>
            <w:shd w:val="clear" w:color="auto" w:fill="CCEEFF"/>
            <w:vAlign w:val="bottom"/>
          </w:tcPr>
          <w:p w14:paraId="6D1608C7" w14:textId="77777777" w:rsidR="00D1587D" w:rsidRDefault="00410D07">
            <w:pPr>
              <w:jc w:val="right"/>
              <w:rPr>
                <w:rFonts w:ascii="Arial" w:eastAsia="Arial" w:hAnsi="Arial" w:cs="Arial"/>
                <w:color w:val="0000EE"/>
                <w:sz w:val="18"/>
                <w:szCs w:val="18"/>
              </w:rPr>
            </w:pPr>
            <w:hyperlink w:anchor="page348">
              <w:r>
                <w:rPr>
                  <w:rFonts w:ascii="Arial" w:eastAsia="Arial" w:hAnsi="Arial" w:cs="Arial"/>
                  <w:color w:val="0000EE"/>
                  <w:sz w:val="18"/>
                  <w:szCs w:val="18"/>
                </w:rPr>
                <w:t>90</w:t>
              </w:r>
            </w:hyperlink>
          </w:p>
        </w:tc>
        <w:tc>
          <w:tcPr>
            <w:tcW w:w="20" w:type="dxa"/>
            <w:shd w:val="clear" w:color="auto" w:fill="CCEEFF"/>
            <w:vAlign w:val="bottom"/>
          </w:tcPr>
          <w:p w14:paraId="015BAB24" w14:textId="77777777" w:rsidR="00D1587D" w:rsidRDefault="00D1587D">
            <w:pPr>
              <w:rPr>
                <w:sz w:val="19"/>
                <w:szCs w:val="19"/>
              </w:rPr>
            </w:pPr>
          </w:p>
        </w:tc>
      </w:tr>
      <w:tr w:rsidR="00410D07" w14:paraId="07183961" w14:textId="77777777">
        <w:trPr>
          <w:trHeight w:val="75"/>
        </w:trPr>
        <w:tc>
          <w:tcPr>
            <w:tcW w:w="640" w:type="dxa"/>
            <w:tcBorders>
              <w:top w:val="single" w:sz="8" w:space="0" w:color="0000EE"/>
            </w:tcBorders>
            <w:shd w:val="clear" w:color="auto" w:fill="CCEEFF"/>
            <w:vAlign w:val="bottom"/>
          </w:tcPr>
          <w:p w14:paraId="70EDB1BE" w14:textId="77777777" w:rsidR="00D1587D" w:rsidRDefault="00D1587D">
            <w:pPr>
              <w:rPr>
                <w:sz w:val="6"/>
                <w:szCs w:val="6"/>
              </w:rPr>
            </w:pPr>
          </w:p>
        </w:tc>
        <w:tc>
          <w:tcPr>
            <w:tcW w:w="60" w:type="dxa"/>
            <w:tcBorders>
              <w:top w:val="single" w:sz="8" w:space="0" w:color="CCEEFF"/>
            </w:tcBorders>
            <w:shd w:val="clear" w:color="auto" w:fill="CCEEFF"/>
            <w:vAlign w:val="bottom"/>
          </w:tcPr>
          <w:p w14:paraId="69C8BDCB" w14:textId="77777777" w:rsidR="00D1587D" w:rsidRDefault="00D1587D">
            <w:pPr>
              <w:rPr>
                <w:sz w:val="6"/>
                <w:szCs w:val="6"/>
              </w:rPr>
            </w:pPr>
          </w:p>
        </w:tc>
        <w:tc>
          <w:tcPr>
            <w:tcW w:w="200" w:type="dxa"/>
            <w:tcBorders>
              <w:top w:val="single" w:sz="8" w:space="0" w:color="CCEEFF"/>
            </w:tcBorders>
            <w:shd w:val="clear" w:color="auto" w:fill="CCEEFF"/>
            <w:vAlign w:val="bottom"/>
          </w:tcPr>
          <w:p w14:paraId="55260F67" w14:textId="77777777" w:rsidR="00D1587D" w:rsidRDefault="00D1587D">
            <w:pPr>
              <w:rPr>
                <w:sz w:val="6"/>
                <w:szCs w:val="6"/>
              </w:rPr>
            </w:pPr>
          </w:p>
        </w:tc>
        <w:tc>
          <w:tcPr>
            <w:tcW w:w="40" w:type="dxa"/>
            <w:tcBorders>
              <w:top w:val="single" w:sz="8" w:space="0" w:color="CCEEFF"/>
            </w:tcBorders>
            <w:shd w:val="clear" w:color="auto" w:fill="CCEEFF"/>
            <w:vAlign w:val="bottom"/>
          </w:tcPr>
          <w:p w14:paraId="3029C985" w14:textId="77777777" w:rsidR="00D1587D" w:rsidRDefault="00D1587D">
            <w:pPr>
              <w:rPr>
                <w:sz w:val="6"/>
                <w:szCs w:val="6"/>
              </w:rPr>
            </w:pPr>
          </w:p>
        </w:tc>
        <w:tc>
          <w:tcPr>
            <w:tcW w:w="60" w:type="dxa"/>
            <w:tcBorders>
              <w:top w:val="single" w:sz="8" w:space="0" w:color="CCEEFF"/>
            </w:tcBorders>
            <w:shd w:val="clear" w:color="auto" w:fill="CCEEFF"/>
            <w:vAlign w:val="bottom"/>
          </w:tcPr>
          <w:p w14:paraId="4E24CAC2" w14:textId="77777777" w:rsidR="00D1587D" w:rsidRDefault="00D1587D">
            <w:pPr>
              <w:rPr>
                <w:sz w:val="6"/>
                <w:szCs w:val="6"/>
              </w:rPr>
            </w:pPr>
          </w:p>
        </w:tc>
        <w:tc>
          <w:tcPr>
            <w:tcW w:w="80" w:type="dxa"/>
            <w:tcBorders>
              <w:top w:val="single" w:sz="8" w:space="0" w:color="CCEEFF"/>
            </w:tcBorders>
            <w:shd w:val="clear" w:color="auto" w:fill="CCEEFF"/>
            <w:vAlign w:val="bottom"/>
          </w:tcPr>
          <w:p w14:paraId="74834D57" w14:textId="77777777" w:rsidR="00D1587D" w:rsidRDefault="00D1587D">
            <w:pPr>
              <w:rPr>
                <w:sz w:val="6"/>
                <w:szCs w:val="6"/>
              </w:rPr>
            </w:pPr>
          </w:p>
        </w:tc>
        <w:tc>
          <w:tcPr>
            <w:tcW w:w="80" w:type="dxa"/>
            <w:tcBorders>
              <w:top w:val="single" w:sz="8" w:space="0" w:color="CCEEFF"/>
            </w:tcBorders>
            <w:shd w:val="clear" w:color="auto" w:fill="CCEEFF"/>
            <w:vAlign w:val="bottom"/>
          </w:tcPr>
          <w:p w14:paraId="6C3AECC7" w14:textId="77777777" w:rsidR="00D1587D" w:rsidRDefault="00D1587D">
            <w:pPr>
              <w:rPr>
                <w:sz w:val="6"/>
                <w:szCs w:val="6"/>
              </w:rPr>
            </w:pPr>
          </w:p>
        </w:tc>
        <w:tc>
          <w:tcPr>
            <w:tcW w:w="880" w:type="dxa"/>
            <w:tcBorders>
              <w:top w:val="single" w:sz="8" w:space="0" w:color="CCEEFF"/>
            </w:tcBorders>
            <w:shd w:val="clear" w:color="auto" w:fill="CCEEFF"/>
            <w:vAlign w:val="bottom"/>
          </w:tcPr>
          <w:p w14:paraId="2B9A76F8" w14:textId="77777777" w:rsidR="00D1587D" w:rsidRDefault="00D1587D">
            <w:pPr>
              <w:rPr>
                <w:sz w:val="6"/>
                <w:szCs w:val="6"/>
              </w:rPr>
            </w:pPr>
          </w:p>
        </w:tc>
        <w:tc>
          <w:tcPr>
            <w:tcW w:w="800" w:type="dxa"/>
            <w:tcBorders>
              <w:top w:val="single" w:sz="8" w:space="0" w:color="CCEEFF"/>
            </w:tcBorders>
            <w:shd w:val="clear" w:color="auto" w:fill="CCEEFF"/>
            <w:vAlign w:val="bottom"/>
          </w:tcPr>
          <w:p w14:paraId="5FD2D87D" w14:textId="77777777" w:rsidR="00D1587D" w:rsidRDefault="00D1587D">
            <w:pPr>
              <w:rPr>
                <w:sz w:val="6"/>
                <w:szCs w:val="6"/>
              </w:rPr>
            </w:pPr>
          </w:p>
        </w:tc>
        <w:tc>
          <w:tcPr>
            <w:tcW w:w="20" w:type="dxa"/>
            <w:tcBorders>
              <w:top w:val="single" w:sz="8" w:space="0" w:color="CCEEFF"/>
            </w:tcBorders>
            <w:shd w:val="clear" w:color="auto" w:fill="CCEEFF"/>
            <w:vAlign w:val="bottom"/>
          </w:tcPr>
          <w:p w14:paraId="36C82FCB" w14:textId="77777777" w:rsidR="00D1587D" w:rsidRDefault="00D1587D">
            <w:pPr>
              <w:rPr>
                <w:sz w:val="6"/>
                <w:szCs w:val="6"/>
              </w:rPr>
            </w:pPr>
          </w:p>
        </w:tc>
        <w:tc>
          <w:tcPr>
            <w:tcW w:w="80" w:type="dxa"/>
            <w:tcBorders>
              <w:top w:val="single" w:sz="8" w:space="0" w:color="CCEEFF"/>
            </w:tcBorders>
            <w:shd w:val="clear" w:color="auto" w:fill="CCEEFF"/>
            <w:vAlign w:val="bottom"/>
          </w:tcPr>
          <w:p w14:paraId="38DE464E" w14:textId="77777777" w:rsidR="00D1587D" w:rsidRDefault="00D1587D">
            <w:pPr>
              <w:rPr>
                <w:sz w:val="6"/>
                <w:szCs w:val="6"/>
              </w:rPr>
            </w:pPr>
          </w:p>
        </w:tc>
        <w:tc>
          <w:tcPr>
            <w:tcW w:w="40" w:type="dxa"/>
            <w:tcBorders>
              <w:top w:val="single" w:sz="8" w:space="0" w:color="CCEEFF"/>
            </w:tcBorders>
            <w:shd w:val="clear" w:color="auto" w:fill="CCEEFF"/>
            <w:vAlign w:val="bottom"/>
          </w:tcPr>
          <w:p w14:paraId="423BE3B8" w14:textId="77777777" w:rsidR="00D1587D" w:rsidRDefault="00D1587D">
            <w:pPr>
              <w:rPr>
                <w:sz w:val="6"/>
                <w:szCs w:val="6"/>
              </w:rPr>
            </w:pPr>
          </w:p>
        </w:tc>
        <w:tc>
          <w:tcPr>
            <w:tcW w:w="260" w:type="dxa"/>
            <w:tcBorders>
              <w:top w:val="single" w:sz="8" w:space="0" w:color="CCEEFF"/>
            </w:tcBorders>
            <w:shd w:val="clear" w:color="auto" w:fill="CCEEFF"/>
            <w:vAlign w:val="bottom"/>
          </w:tcPr>
          <w:p w14:paraId="0E9BEB54" w14:textId="77777777" w:rsidR="00D1587D" w:rsidRDefault="00D1587D">
            <w:pPr>
              <w:rPr>
                <w:sz w:val="6"/>
                <w:szCs w:val="6"/>
              </w:rPr>
            </w:pPr>
          </w:p>
        </w:tc>
        <w:tc>
          <w:tcPr>
            <w:tcW w:w="580" w:type="dxa"/>
            <w:tcBorders>
              <w:top w:val="single" w:sz="8" w:space="0" w:color="CCEEFF"/>
            </w:tcBorders>
            <w:shd w:val="clear" w:color="auto" w:fill="CCEEFF"/>
            <w:vAlign w:val="bottom"/>
          </w:tcPr>
          <w:p w14:paraId="0E9FB50F" w14:textId="77777777" w:rsidR="00D1587D" w:rsidRDefault="00D1587D">
            <w:pPr>
              <w:rPr>
                <w:sz w:val="6"/>
                <w:szCs w:val="6"/>
              </w:rPr>
            </w:pPr>
          </w:p>
        </w:tc>
        <w:tc>
          <w:tcPr>
            <w:tcW w:w="40" w:type="dxa"/>
            <w:tcBorders>
              <w:top w:val="single" w:sz="8" w:space="0" w:color="CCEEFF"/>
            </w:tcBorders>
            <w:shd w:val="clear" w:color="auto" w:fill="CCEEFF"/>
            <w:vAlign w:val="bottom"/>
          </w:tcPr>
          <w:p w14:paraId="1FF1B520" w14:textId="77777777" w:rsidR="00D1587D" w:rsidRDefault="00D1587D">
            <w:pPr>
              <w:rPr>
                <w:sz w:val="6"/>
                <w:szCs w:val="6"/>
              </w:rPr>
            </w:pPr>
          </w:p>
        </w:tc>
        <w:tc>
          <w:tcPr>
            <w:tcW w:w="40" w:type="dxa"/>
            <w:tcBorders>
              <w:top w:val="single" w:sz="8" w:space="0" w:color="CCEEFF"/>
            </w:tcBorders>
            <w:shd w:val="clear" w:color="auto" w:fill="CCEEFF"/>
            <w:vAlign w:val="bottom"/>
          </w:tcPr>
          <w:p w14:paraId="16BE5AB4" w14:textId="77777777" w:rsidR="00D1587D" w:rsidRDefault="00D1587D">
            <w:pPr>
              <w:rPr>
                <w:sz w:val="6"/>
                <w:szCs w:val="6"/>
              </w:rPr>
            </w:pPr>
          </w:p>
        </w:tc>
        <w:tc>
          <w:tcPr>
            <w:tcW w:w="1720" w:type="dxa"/>
            <w:tcBorders>
              <w:top w:val="single" w:sz="8" w:space="0" w:color="CCEEFF"/>
            </w:tcBorders>
            <w:shd w:val="clear" w:color="auto" w:fill="CCEEFF"/>
            <w:vAlign w:val="bottom"/>
          </w:tcPr>
          <w:p w14:paraId="1FAA6935" w14:textId="77777777" w:rsidR="00D1587D" w:rsidRDefault="00D1587D">
            <w:pPr>
              <w:rPr>
                <w:sz w:val="6"/>
                <w:szCs w:val="6"/>
              </w:rPr>
            </w:pPr>
          </w:p>
        </w:tc>
        <w:tc>
          <w:tcPr>
            <w:tcW w:w="820" w:type="dxa"/>
            <w:tcBorders>
              <w:top w:val="single" w:sz="8" w:space="0" w:color="CCEEFF"/>
            </w:tcBorders>
            <w:shd w:val="clear" w:color="auto" w:fill="CCEEFF"/>
            <w:vAlign w:val="bottom"/>
          </w:tcPr>
          <w:p w14:paraId="6792EA79" w14:textId="77777777" w:rsidR="00D1587D" w:rsidRDefault="00D1587D">
            <w:pPr>
              <w:rPr>
                <w:sz w:val="6"/>
                <w:szCs w:val="6"/>
              </w:rPr>
            </w:pPr>
          </w:p>
        </w:tc>
        <w:tc>
          <w:tcPr>
            <w:tcW w:w="1680" w:type="dxa"/>
            <w:tcBorders>
              <w:top w:val="single" w:sz="8" w:space="0" w:color="CCEEFF"/>
            </w:tcBorders>
            <w:shd w:val="clear" w:color="auto" w:fill="CCEEFF"/>
            <w:vAlign w:val="bottom"/>
          </w:tcPr>
          <w:p w14:paraId="0A3A0418" w14:textId="77777777" w:rsidR="00D1587D" w:rsidRDefault="00D1587D">
            <w:pPr>
              <w:rPr>
                <w:sz w:val="6"/>
                <w:szCs w:val="6"/>
              </w:rPr>
            </w:pPr>
          </w:p>
        </w:tc>
        <w:tc>
          <w:tcPr>
            <w:tcW w:w="20" w:type="dxa"/>
            <w:tcBorders>
              <w:top w:val="single" w:sz="8" w:space="0" w:color="CCEEFF"/>
            </w:tcBorders>
            <w:shd w:val="clear" w:color="auto" w:fill="CCEEFF"/>
            <w:vAlign w:val="bottom"/>
          </w:tcPr>
          <w:p w14:paraId="6EBBC1EA" w14:textId="77777777" w:rsidR="00D1587D" w:rsidRDefault="00D1587D">
            <w:pPr>
              <w:rPr>
                <w:sz w:val="6"/>
                <w:szCs w:val="6"/>
              </w:rPr>
            </w:pPr>
          </w:p>
        </w:tc>
        <w:tc>
          <w:tcPr>
            <w:tcW w:w="40" w:type="dxa"/>
            <w:tcBorders>
              <w:top w:val="single" w:sz="8" w:space="0" w:color="CCEEFF"/>
            </w:tcBorders>
            <w:shd w:val="clear" w:color="auto" w:fill="CCEEFF"/>
            <w:vAlign w:val="bottom"/>
          </w:tcPr>
          <w:p w14:paraId="340B2CDD" w14:textId="77777777" w:rsidR="00D1587D" w:rsidRDefault="00D1587D">
            <w:pPr>
              <w:rPr>
                <w:sz w:val="6"/>
                <w:szCs w:val="6"/>
              </w:rPr>
            </w:pPr>
          </w:p>
        </w:tc>
        <w:tc>
          <w:tcPr>
            <w:tcW w:w="40" w:type="dxa"/>
            <w:tcBorders>
              <w:top w:val="single" w:sz="8" w:space="0" w:color="CCEEFF"/>
            </w:tcBorders>
            <w:shd w:val="clear" w:color="auto" w:fill="CCEEFF"/>
            <w:vAlign w:val="bottom"/>
          </w:tcPr>
          <w:p w14:paraId="2BC4E1B2" w14:textId="77777777" w:rsidR="00D1587D" w:rsidRDefault="00D1587D">
            <w:pPr>
              <w:rPr>
                <w:sz w:val="6"/>
                <w:szCs w:val="6"/>
              </w:rPr>
            </w:pPr>
          </w:p>
        </w:tc>
        <w:tc>
          <w:tcPr>
            <w:tcW w:w="20" w:type="dxa"/>
            <w:tcBorders>
              <w:top w:val="single" w:sz="8" w:space="0" w:color="0000EE"/>
            </w:tcBorders>
            <w:shd w:val="clear" w:color="auto" w:fill="CCEEFF"/>
            <w:vAlign w:val="bottom"/>
          </w:tcPr>
          <w:p w14:paraId="3B13211D" w14:textId="77777777" w:rsidR="00D1587D" w:rsidRDefault="00D1587D">
            <w:pPr>
              <w:rPr>
                <w:sz w:val="6"/>
                <w:szCs w:val="6"/>
              </w:rPr>
            </w:pPr>
          </w:p>
        </w:tc>
        <w:tc>
          <w:tcPr>
            <w:tcW w:w="60" w:type="dxa"/>
            <w:tcBorders>
              <w:top w:val="single" w:sz="8" w:space="0" w:color="0000EE"/>
            </w:tcBorders>
            <w:shd w:val="clear" w:color="auto" w:fill="CCEEFF"/>
            <w:vAlign w:val="bottom"/>
          </w:tcPr>
          <w:p w14:paraId="67EA18E5" w14:textId="77777777" w:rsidR="00D1587D" w:rsidRDefault="00D1587D">
            <w:pPr>
              <w:rPr>
                <w:sz w:val="6"/>
                <w:szCs w:val="6"/>
              </w:rPr>
            </w:pPr>
          </w:p>
        </w:tc>
        <w:tc>
          <w:tcPr>
            <w:tcW w:w="80" w:type="dxa"/>
            <w:tcBorders>
              <w:top w:val="single" w:sz="8" w:space="0" w:color="0000EE"/>
            </w:tcBorders>
            <w:shd w:val="clear" w:color="auto" w:fill="CCEEFF"/>
            <w:vAlign w:val="bottom"/>
          </w:tcPr>
          <w:p w14:paraId="1AC9EE59" w14:textId="77777777" w:rsidR="00D1587D" w:rsidRDefault="00D1587D">
            <w:pPr>
              <w:rPr>
                <w:sz w:val="6"/>
                <w:szCs w:val="6"/>
              </w:rPr>
            </w:pPr>
          </w:p>
        </w:tc>
        <w:tc>
          <w:tcPr>
            <w:tcW w:w="20" w:type="dxa"/>
            <w:tcBorders>
              <w:top w:val="single" w:sz="8" w:space="0" w:color="0000EE"/>
            </w:tcBorders>
            <w:shd w:val="clear" w:color="auto" w:fill="CCEEFF"/>
            <w:vAlign w:val="bottom"/>
          </w:tcPr>
          <w:p w14:paraId="4FC9880D" w14:textId="77777777" w:rsidR="00D1587D" w:rsidRDefault="00D1587D">
            <w:pPr>
              <w:rPr>
                <w:sz w:val="6"/>
                <w:szCs w:val="6"/>
              </w:rPr>
            </w:pPr>
          </w:p>
        </w:tc>
        <w:tc>
          <w:tcPr>
            <w:tcW w:w="20" w:type="dxa"/>
            <w:tcBorders>
              <w:top w:val="single" w:sz="8" w:space="0" w:color="CCEEFF"/>
            </w:tcBorders>
            <w:shd w:val="clear" w:color="auto" w:fill="CCEEFF"/>
            <w:vAlign w:val="bottom"/>
          </w:tcPr>
          <w:p w14:paraId="01752BA6" w14:textId="77777777" w:rsidR="00D1587D" w:rsidRDefault="00D1587D">
            <w:pPr>
              <w:rPr>
                <w:sz w:val="6"/>
                <w:szCs w:val="6"/>
              </w:rPr>
            </w:pPr>
          </w:p>
        </w:tc>
      </w:tr>
      <w:tr w:rsidR="00D1587D" w14:paraId="401F4789" w14:textId="77777777">
        <w:trPr>
          <w:trHeight w:val="229"/>
        </w:trPr>
        <w:tc>
          <w:tcPr>
            <w:tcW w:w="8120" w:type="dxa"/>
            <w:gridSpan w:val="19"/>
            <w:vAlign w:val="bottom"/>
          </w:tcPr>
          <w:p w14:paraId="475DE8F3" w14:textId="77777777" w:rsidR="00D1587D" w:rsidRDefault="00410D07">
            <w:pPr>
              <w:rPr>
                <w:rFonts w:ascii="Arial" w:eastAsia="Arial" w:hAnsi="Arial" w:cs="Arial"/>
                <w:color w:val="0000EE"/>
                <w:sz w:val="18"/>
                <w:szCs w:val="18"/>
              </w:rPr>
            </w:pPr>
            <w:hyperlink w:anchor="page360">
              <w:r>
                <w:rPr>
                  <w:rFonts w:ascii="Arial" w:eastAsia="Arial" w:hAnsi="Arial" w:cs="Arial"/>
                  <w:color w:val="0000EE"/>
                  <w:sz w:val="18"/>
                  <w:szCs w:val="18"/>
                </w:rPr>
                <w:t>Management</w:t>
              </w:r>
            </w:hyperlink>
          </w:p>
        </w:tc>
        <w:tc>
          <w:tcPr>
            <w:tcW w:w="300" w:type="dxa"/>
            <w:gridSpan w:val="8"/>
            <w:vAlign w:val="bottom"/>
          </w:tcPr>
          <w:p w14:paraId="78BE85C8" w14:textId="77777777" w:rsidR="00D1587D" w:rsidRDefault="00410D07">
            <w:pPr>
              <w:ind w:right="20"/>
              <w:jc w:val="right"/>
              <w:rPr>
                <w:rFonts w:ascii="Arial" w:eastAsia="Arial" w:hAnsi="Arial" w:cs="Arial"/>
                <w:color w:val="0000EE"/>
                <w:w w:val="86"/>
                <w:sz w:val="18"/>
                <w:szCs w:val="18"/>
              </w:rPr>
            </w:pPr>
            <w:hyperlink w:anchor="page360">
              <w:r>
                <w:rPr>
                  <w:rFonts w:ascii="Arial" w:eastAsia="Arial" w:hAnsi="Arial" w:cs="Arial"/>
                  <w:color w:val="0000EE"/>
                  <w:w w:val="86"/>
                  <w:sz w:val="18"/>
                  <w:szCs w:val="18"/>
                </w:rPr>
                <w:t>102</w:t>
              </w:r>
            </w:hyperlink>
          </w:p>
        </w:tc>
      </w:tr>
      <w:tr w:rsidR="00D1587D" w14:paraId="4174DBFE" w14:textId="77777777">
        <w:trPr>
          <w:trHeight w:val="75"/>
        </w:trPr>
        <w:tc>
          <w:tcPr>
            <w:tcW w:w="640" w:type="dxa"/>
            <w:tcBorders>
              <w:top w:val="single" w:sz="8" w:space="0" w:color="0000EE"/>
            </w:tcBorders>
            <w:vAlign w:val="bottom"/>
          </w:tcPr>
          <w:p w14:paraId="0B08329B" w14:textId="77777777" w:rsidR="00D1587D" w:rsidRDefault="00D1587D">
            <w:pPr>
              <w:rPr>
                <w:sz w:val="6"/>
                <w:szCs w:val="6"/>
              </w:rPr>
            </w:pPr>
          </w:p>
        </w:tc>
        <w:tc>
          <w:tcPr>
            <w:tcW w:w="60" w:type="dxa"/>
            <w:tcBorders>
              <w:top w:val="single" w:sz="8" w:space="0" w:color="0000EE"/>
            </w:tcBorders>
            <w:vAlign w:val="bottom"/>
          </w:tcPr>
          <w:p w14:paraId="548A23FF" w14:textId="77777777" w:rsidR="00D1587D" w:rsidRDefault="00D1587D">
            <w:pPr>
              <w:rPr>
                <w:sz w:val="6"/>
                <w:szCs w:val="6"/>
              </w:rPr>
            </w:pPr>
          </w:p>
        </w:tc>
        <w:tc>
          <w:tcPr>
            <w:tcW w:w="200" w:type="dxa"/>
            <w:tcBorders>
              <w:top w:val="single" w:sz="8" w:space="0" w:color="0000EE"/>
            </w:tcBorders>
            <w:vAlign w:val="bottom"/>
          </w:tcPr>
          <w:p w14:paraId="5293D69C" w14:textId="77777777" w:rsidR="00D1587D" w:rsidRDefault="00D1587D">
            <w:pPr>
              <w:rPr>
                <w:sz w:val="6"/>
                <w:szCs w:val="6"/>
              </w:rPr>
            </w:pPr>
          </w:p>
        </w:tc>
        <w:tc>
          <w:tcPr>
            <w:tcW w:w="40" w:type="dxa"/>
            <w:tcBorders>
              <w:top w:val="single" w:sz="8" w:space="0" w:color="0000EE"/>
            </w:tcBorders>
            <w:vAlign w:val="bottom"/>
          </w:tcPr>
          <w:p w14:paraId="0C9D0ADF" w14:textId="77777777" w:rsidR="00D1587D" w:rsidRDefault="00D1587D">
            <w:pPr>
              <w:rPr>
                <w:sz w:val="6"/>
                <w:szCs w:val="6"/>
              </w:rPr>
            </w:pPr>
          </w:p>
        </w:tc>
        <w:tc>
          <w:tcPr>
            <w:tcW w:w="60" w:type="dxa"/>
            <w:vAlign w:val="bottom"/>
          </w:tcPr>
          <w:p w14:paraId="7FB6CB93" w14:textId="77777777" w:rsidR="00D1587D" w:rsidRDefault="00D1587D">
            <w:pPr>
              <w:rPr>
                <w:sz w:val="6"/>
                <w:szCs w:val="6"/>
              </w:rPr>
            </w:pPr>
          </w:p>
        </w:tc>
        <w:tc>
          <w:tcPr>
            <w:tcW w:w="80" w:type="dxa"/>
            <w:vAlign w:val="bottom"/>
          </w:tcPr>
          <w:p w14:paraId="22ACB9F2" w14:textId="77777777" w:rsidR="00D1587D" w:rsidRDefault="00D1587D">
            <w:pPr>
              <w:rPr>
                <w:sz w:val="6"/>
                <w:szCs w:val="6"/>
              </w:rPr>
            </w:pPr>
          </w:p>
        </w:tc>
        <w:tc>
          <w:tcPr>
            <w:tcW w:w="80" w:type="dxa"/>
            <w:vAlign w:val="bottom"/>
          </w:tcPr>
          <w:p w14:paraId="57662FFC" w14:textId="77777777" w:rsidR="00D1587D" w:rsidRDefault="00D1587D">
            <w:pPr>
              <w:rPr>
                <w:sz w:val="6"/>
                <w:szCs w:val="6"/>
              </w:rPr>
            </w:pPr>
          </w:p>
        </w:tc>
        <w:tc>
          <w:tcPr>
            <w:tcW w:w="880" w:type="dxa"/>
            <w:vAlign w:val="bottom"/>
          </w:tcPr>
          <w:p w14:paraId="064BC3CC" w14:textId="77777777" w:rsidR="00D1587D" w:rsidRDefault="00D1587D">
            <w:pPr>
              <w:rPr>
                <w:sz w:val="6"/>
                <w:szCs w:val="6"/>
              </w:rPr>
            </w:pPr>
          </w:p>
        </w:tc>
        <w:tc>
          <w:tcPr>
            <w:tcW w:w="800" w:type="dxa"/>
            <w:vAlign w:val="bottom"/>
          </w:tcPr>
          <w:p w14:paraId="23A31625" w14:textId="77777777" w:rsidR="00D1587D" w:rsidRDefault="00D1587D">
            <w:pPr>
              <w:rPr>
                <w:sz w:val="6"/>
                <w:szCs w:val="6"/>
              </w:rPr>
            </w:pPr>
          </w:p>
        </w:tc>
        <w:tc>
          <w:tcPr>
            <w:tcW w:w="20" w:type="dxa"/>
            <w:vAlign w:val="bottom"/>
          </w:tcPr>
          <w:p w14:paraId="42954349" w14:textId="77777777" w:rsidR="00D1587D" w:rsidRDefault="00D1587D">
            <w:pPr>
              <w:rPr>
                <w:sz w:val="6"/>
                <w:szCs w:val="6"/>
              </w:rPr>
            </w:pPr>
          </w:p>
        </w:tc>
        <w:tc>
          <w:tcPr>
            <w:tcW w:w="80" w:type="dxa"/>
            <w:vAlign w:val="bottom"/>
          </w:tcPr>
          <w:p w14:paraId="73432A0C" w14:textId="77777777" w:rsidR="00D1587D" w:rsidRDefault="00D1587D">
            <w:pPr>
              <w:rPr>
                <w:sz w:val="6"/>
                <w:szCs w:val="6"/>
              </w:rPr>
            </w:pPr>
          </w:p>
        </w:tc>
        <w:tc>
          <w:tcPr>
            <w:tcW w:w="40" w:type="dxa"/>
            <w:vAlign w:val="bottom"/>
          </w:tcPr>
          <w:p w14:paraId="72B10917" w14:textId="77777777" w:rsidR="00D1587D" w:rsidRDefault="00D1587D">
            <w:pPr>
              <w:rPr>
                <w:sz w:val="6"/>
                <w:szCs w:val="6"/>
              </w:rPr>
            </w:pPr>
          </w:p>
        </w:tc>
        <w:tc>
          <w:tcPr>
            <w:tcW w:w="260" w:type="dxa"/>
            <w:vAlign w:val="bottom"/>
          </w:tcPr>
          <w:p w14:paraId="0CB6A594" w14:textId="77777777" w:rsidR="00D1587D" w:rsidRDefault="00D1587D">
            <w:pPr>
              <w:rPr>
                <w:sz w:val="6"/>
                <w:szCs w:val="6"/>
              </w:rPr>
            </w:pPr>
          </w:p>
        </w:tc>
        <w:tc>
          <w:tcPr>
            <w:tcW w:w="580" w:type="dxa"/>
            <w:vAlign w:val="bottom"/>
          </w:tcPr>
          <w:p w14:paraId="55FAD9BC" w14:textId="77777777" w:rsidR="00D1587D" w:rsidRDefault="00D1587D">
            <w:pPr>
              <w:rPr>
                <w:sz w:val="6"/>
                <w:szCs w:val="6"/>
              </w:rPr>
            </w:pPr>
          </w:p>
        </w:tc>
        <w:tc>
          <w:tcPr>
            <w:tcW w:w="40" w:type="dxa"/>
            <w:vAlign w:val="bottom"/>
          </w:tcPr>
          <w:p w14:paraId="137FD944" w14:textId="77777777" w:rsidR="00D1587D" w:rsidRDefault="00D1587D">
            <w:pPr>
              <w:rPr>
                <w:sz w:val="6"/>
                <w:szCs w:val="6"/>
              </w:rPr>
            </w:pPr>
          </w:p>
        </w:tc>
        <w:tc>
          <w:tcPr>
            <w:tcW w:w="40" w:type="dxa"/>
            <w:vAlign w:val="bottom"/>
          </w:tcPr>
          <w:p w14:paraId="2ABEC29F" w14:textId="77777777" w:rsidR="00D1587D" w:rsidRDefault="00D1587D">
            <w:pPr>
              <w:rPr>
                <w:sz w:val="6"/>
                <w:szCs w:val="6"/>
              </w:rPr>
            </w:pPr>
          </w:p>
        </w:tc>
        <w:tc>
          <w:tcPr>
            <w:tcW w:w="1720" w:type="dxa"/>
            <w:vAlign w:val="bottom"/>
          </w:tcPr>
          <w:p w14:paraId="733D1B16" w14:textId="77777777" w:rsidR="00D1587D" w:rsidRDefault="00D1587D">
            <w:pPr>
              <w:rPr>
                <w:sz w:val="6"/>
                <w:szCs w:val="6"/>
              </w:rPr>
            </w:pPr>
          </w:p>
        </w:tc>
        <w:tc>
          <w:tcPr>
            <w:tcW w:w="820" w:type="dxa"/>
            <w:vAlign w:val="bottom"/>
          </w:tcPr>
          <w:p w14:paraId="0A450638" w14:textId="77777777" w:rsidR="00D1587D" w:rsidRDefault="00D1587D">
            <w:pPr>
              <w:rPr>
                <w:sz w:val="6"/>
                <w:szCs w:val="6"/>
              </w:rPr>
            </w:pPr>
          </w:p>
        </w:tc>
        <w:tc>
          <w:tcPr>
            <w:tcW w:w="1680" w:type="dxa"/>
            <w:vAlign w:val="bottom"/>
          </w:tcPr>
          <w:p w14:paraId="150C4320" w14:textId="77777777" w:rsidR="00D1587D" w:rsidRDefault="00D1587D">
            <w:pPr>
              <w:rPr>
                <w:sz w:val="6"/>
                <w:szCs w:val="6"/>
              </w:rPr>
            </w:pPr>
          </w:p>
        </w:tc>
        <w:tc>
          <w:tcPr>
            <w:tcW w:w="20" w:type="dxa"/>
            <w:vAlign w:val="bottom"/>
          </w:tcPr>
          <w:p w14:paraId="1277DF9F" w14:textId="77777777" w:rsidR="00D1587D" w:rsidRDefault="00D1587D">
            <w:pPr>
              <w:rPr>
                <w:sz w:val="6"/>
                <w:szCs w:val="6"/>
              </w:rPr>
            </w:pPr>
          </w:p>
        </w:tc>
        <w:tc>
          <w:tcPr>
            <w:tcW w:w="40" w:type="dxa"/>
            <w:tcBorders>
              <w:top w:val="single" w:sz="8" w:space="0" w:color="0000EE"/>
            </w:tcBorders>
            <w:vAlign w:val="bottom"/>
          </w:tcPr>
          <w:p w14:paraId="1BCA84B2" w14:textId="77777777" w:rsidR="00D1587D" w:rsidRDefault="00D1587D">
            <w:pPr>
              <w:rPr>
                <w:sz w:val="6"/>
                <w:szCs w:val="6"/>
              </w:rPr>
            </w:pPr>
          </w:p>
        </w:tc>
        <w:tc>
          <w:tcPr>
            <w:tcW w:w="40" w:type="dxa"/>
            <w:tcBorders>
              <w:top w:val="single" w:sz="8" w:space="0" w:color="0000EE"/>
            </w:tcBorders>
            <w:vAlign w:val="bottom"/>
          </w:tcPr>
          <w:p w14:paraId="43516167" w14:textId="77777777" w:rsidR="00D1587D" w:rsidRDefault="00D1587D">
            <w:pPr>
              <w:rPr>
                <w:sz w:val="6"/>
                <w:szCs w:val="6"/>
              </w:rPr>
            </w:pPr>
          </w:p>
        </w:tc>
        <w:tc>
          <w:tcPr>
            <w:tcW w:w="20" w:type="dxa"/>
            <w:tcBorders>
              <w:top w:val="single" w:sz="8" w:space="0" w:color="0000EE"/>
            </w:tcBorders>
            <w:vAlign w:val="bottom"/>
          </w:tcPr>
          <w:p w14:paraId="241283DC" w14:textId="77777777" w:rsidR="00D1587D" w:rsidRDefault="00D1587D">
            <w:pPr>
              <w:rPr>
                <w:sz w:val="6"/>
                <w:szCs w:val="6"/>
              </w:rPr>
            </w:pPr>
          </w:p>
        </w:tc>
        <w:tc>
          <w:tcPr>
            <w:tcW w:w="60" w:type="dxa"/>
            <w:tcBorders>
              <w:top w:val="single" w:sz="8" w:space="0" w:color="0000EE"/>
            </w:tcBorders>
            <w:vAlign w:val="bottom"/>
          </w:tcPr>
          <w:p w14:paraId="755967C9" w14:textId="77777777" w:rsidR="00D1587D" w:rsidRDefault="00D1587D">
            <w:pPr>
              <w:rPr>
                <w:sz w:val="6"/>
                <w:szCs w:val="6"/>
              </w:rPr>
            </w:pPr>
          </w:p>
        </w:tc>
        <w:tc>
          <w:tcPr>
            <w:tcW w:w="80" w:type="dxa"/>
            <w:tcBorders>
              <w:top w:val="single" w:sz="8" w:space="0" w:color="0000EE"/>
            </w:tcBorders>
            <w:vAlign w:val="bottom"/>
          </w:tcPr>
          <w:p w14:paraId="01EF7432" w14:textId="77777777" w:rsidR="00D1587D" w:rsidRDefault="00D1587D">
            <w:pPr>
              <w:rPr>
                <w:sz w:val="6"/>
                <w:szCs w:val="6"/>
              </w:rPr>
            </w:pPr>
          </w:p>
        </w:tc>
        <w:tc>
          <w:tcPr>
            <w:tcW w:w="20" w:type="dxa"/>
            <w:tcBorders>
              <w:top w:val="single" w:sz="8" w:space="0" w:color="0000EE"/>
            </w:tcBorders>
            <w:vAlign w:val="bottom"/>
          </w:tcPr>
          <w:p w14:paraId="5A496479" w14:textId="77777777" w:rsidR="00D1587D" w:rsidRDefault="00D1587D">
            <w:pPr>
              <w:rPr>
                <w:sz w:val="6"/>
                <w:szCs w:val="6"/>
              </w:rPr>
            </w:pPr>
          </w:p>
        </w:tc>
        <w:tc>
          <w:tcPr>
            <w:tcW w:w="20" w:type="dxa"/>
            <w:vAlign w:val="bottom"/>
          </w:tcPr>
          <w:p w14:paraId="4CA06CA5" w14:textId="77777777" w:rsidR="00D1587D" w:rsidRDefault="00D1587D">
            <w:pPr>
              <w:rPr>
                <w:sz w:val="6"/>
                <w:szCs w:val="6"/>
              </w:rPr>
            </w:pPr>
          </w:p>
        </w:tc>
      </w:tr>
      <w:tr w:rsidR="00D1587D" w14:paraId="1B389B8F" w14:textId="77777777">
        <w:trPr>
          <w:trHeight w:val="229"/>
        </w:trPr>
        <w:tc>
          <w:tcPr>
            <w:tcW w:w="8120" w:type="dxa"/>
            <w:gridSpan w:val="19"/>
            <w:shd w:val="clear" w:color="auto" w:fill="CCEEFF"/>
            <w:vAlign w:val="bottom"/>
          </w:tcPr>
          <w:p w14:paraId="3B288840" w14:textId="77777777" w:rsidR="00D1587D" w:rsidRDefault="00410D07">
            <w:pPr>
              <w:rPr>
                <w:rFonts w:ascii="Arial" w:eastAsia="Arial" w:hAnsi="Arial" w:cs="Arial"/>
                <w:color w:val="0000EE"/>
                <w:sz w:val="18"/>
                <w:szCs w:val="18"/>
              </w:rPr>
            </w:pPr>
            <w:hyperlink w:anchor="page365">
              <w:r>
                <w:rPr>
                  <w:rFonts w:ascii="Arial" w:eastAsia="Arial" w:hAnsi="Arial" w:cs="Arial"/>
                  <w:color w:val="0000EE"/>
                  <w:sz w:val="18"/>
                  <w:szCs w:val="18"/>
                </w:rPr>
                <w:t>Compensation Discussion and Analysis</w:t>
              </w:r>
            </w:hyperlink>
          </w:p>
        </w:tc>
        <w:tc>
          <w:tcPr>
            <w:tcW w:w="300" w:type="dxa"/>
            <w:gridSpan w:val="8"/>
            <w:shd w:val="clear" w:color="auto" w:fill="CCEEFF"/>
            <w:vAlign w:val="bottom"/>
          </w:tcPr>
          <w:p w14:paraId="1CFFC516" w14:textId="77777777" w:rsidR="00D1587D" w:rsidRDefault="00410D07">
            <w:pPr>
              <w:ind w:right="20"/>
              <w:jc w:val="right"/>
              <w:rPr>
                <w:rFonts w:ascii="Arial" w:eastAsia="Arial" w:hAnsi="Arial" w:cs="Arial"/>
                <w:color w:val="0000EE"/>
                <w:w w:val="86"/>
                <w:sz w:val="18"/>
                <w:szCs w:val="18"/>
              </w:rPr>
            </w:pPr>
            <w:hyperlink w:anchor="page365">
              <w:r>
                <w:rPr>
                  <w:rFonts w:ascii="Arial" w:eastAsia="Arial" w:hAnsi="Arial" w:cs="Arial"/>
                  <w:color w:val="0000EE"/>
                  <w:w w:val="86"/>
                  <w:sz w:val="18"/>
                  <w:szCs w:val="18"/>
                </w:rPr>
                <w:t>107</w:t>
              </w:r>
            </w:hyperlink>
          </w:p>
        </w:tc>
      </w:tr>
      <w:tr w:rsidR="00410D07" w14:paraId="6B85AD2D" w14:textId="77777777">
        <w:trPr>
          <w:trHeight w:val="74"/>
        </w:trPr>
        <w:tc>
          <w:tcPr>
            <w:tcW w:w="640" w:type="dxa"/>
            <w:tcBorders>
              <w:top w:val="single" w:sz="8" w:space="0" w:color="0000EE"/>
            </w:tcBorders>
            <w:shd w:val="clear" w:color="auto" w:fill="CCEEFF"/>
            <w:vAlign w:val="bottom"/>
          </w:tcPr>
          <w:p w14:paraId="65B48A20" w14:textId="77777777" w:rsidR="00D1587D" w:rsidRDefault="00D1587D">
            <w:pPr>
              <w:rPr>
                <w:sz w:val="6"/>
                <w:szCs w:val="6"/>
              </w:rPr>
            </w:pPr>
          </w:p>
        </w:tc>
        <w:tc>
          <w:tcPr>
            <w:tcW w:w="60" w:type="dxa"/>
            <w:tcBorders>
              <w:top w:val="single" w:sz="8" w:space="0" w:color="0000EE"/>
            </w:tcBorders>
            <w:shd w:val="clear" w:color="auto" w:fill="CCEEFF"/>
            <w:vAlign w:val="bottom"/>
          </w:tcPr>
          <w:p w14:paraId="5A23CAE9" w14:textId="77777777" w:rsidR="00D1587D" w:rsidRDefault="00D1587D">
            <w:pPr>
              <w:rPr>
                <w:sz w:val="6"/>
                <w:szCs w:val="6"/>
              </w:rPr>
            </w:pPr>
          </w:p>
        </w:tc>
        <w:tc>
          <w:tcPr>
            <w:tcW w:w="200" w:type="dxa"/>
            <w:tcBorders>
              <w:top w:val="single" w:sz="8" w:space="0" w:color="0000EE"/>
            </w:tcBorders>
            <w:shd w:val="clear" w:color="auto" w:fill="CCEEFF"/>
            <w:vAlign w:val="bottom"/>
          </w:tcPr>
          <w:p w14:paraId="2A2C2BF4" w14:textId="77777777" w:rsidR="00D1587D" w:rsidRDefault="00D1587D">
            <w:pPr>
              <w:rPr>
                <w:sz w:val="6"/>
                <w:szCs w:val="6"/>
              </w:rPr>
            </w:pPr>
          </w:p>
        </w:tc>
        <w:tc>
          <w:tcPr>
            <w:tcW w:w="40" w:type="dxa"/>
            <w:tcBorders>
              <w:top w:val="single" w:sz="8" w:space="0" w:color="0000EE"/>
            </w:tcBorders>
            <w:shd w:val="clear" w:color="auto" w:fill="CCEEFF"/>
            <w:vAlign w:val="bottom"/>
          </w:tcPr>
          <w:p w14:paraId="7B9F0B46" w14:textId="77777777" w:rsidR="00D1587D" w:rsidRDefault="00D1587D">
            <w:pPr>
              <w:rPr>
                <w:sz w:val="6"/>
                <w:szCs w:val="6"/>
              </w:rPr>
            </w:pPr>
          </w:p>
        </w:tc>
        <w:tc>
          <w:tcPr>
            <w:tcW w:w="60" w:type="dxa"/>
            <w:tcBorders>
              <w:top w:val="single" w:sz="8" w:space="0" w:color="0000EE"/>
            </w:tcBorders>
            <w:shd w:val="clear" w:color="auto" w:fill="CCEEFF"/>
            <w:vAlign w:val="bottom"/>
          </w:tcPr>
          <w:p w14:paraId="1F808241" w14:textId="77777777" w:rsidR="00D1587D" w:rsidRDefault="00D1587D">
            <w:pPr>
              <w:rPr>
                <w:sz w:val="6"/>
                <w:szCs w:val="6"/>
              </w:rPr>
            </w:pPr>
          </w:p>
        </w:tc>
        <w:tc>
          <w:tcPr>
            <w:tcW w:w="80" w:type="dxa"/>
            <w:tcBorders>
              <w:top w:val="single" w:sz="8" w:space="0" w:color="0000EE"/>
            </w:tcBorders>
            <w:shd w:val="clear" w:color="auto" w:fill="CCEEFF"/>
            <w:vAlign w:val="bottom"/>
          </w:tcPr>
          <w:p w14:paraId="2011BAFA" w14:textId="77777777" w:rsidR="00D1587D" w:rsidRDefault="00D1587D">
            <w:pPr>
              <w:rPr>
                <w:sz w:val="6"/>
                <w:szCs w:val="6"/>
              </w:rPr>
            </w:pPr>
          </w:p>
        </w:tc>
        <w:tc>
          <w:tcPr>
            <w:tcW w:w="80" w:type="dxa"/>
            <w:tcBorders>
              <w:top w:val="single" w:sz="8" w:space="0" w:color="0000EE"/>
            </w:tcBorders>
            <w:shd w:val="clear" w:color="auto" w:fill="CCEEFF"/>
            <w:vAlign w:val="bottom"/>
          </w:tcPr>
          <w:p w14:paraId="633EC79C" w14:textId="77777777" w:rsidR="00D1587D" w:rsidRDefault="00D1587D">
            <w:pPr>
              <w:rPr>
                <w:sz w:val="6"/>
                <w:szCs w:val="6"/>
              </w:rPr>
            </w:pPr>
          </w:p>
        </w:tc>
        <w:tc>
          <w:tcPr>
            <w:tcW w:w="880" w:type="dxa"/>
            <w:tcBorders>
              <w:top w:val="single" w:sz="8" w:space="0" w:color="0000EE"/>
            </w:tcBorders>
            <w:shd w:val="clear" w:color="auto" w:fill="CCEEFF"/>
            <w:vAlign w:val="bottom"/>
          </w:tcPr>
          <w:p w14:paraId="7A7C8DC0" w14:textId="77777777" w:rsidR="00D1587D" w:rsidRDefault="00D1587D">
            <w:pPr>
              <w:rPr>
                <w:sz w:val="6"/>
                <w:szCs w:val="6"/>
              </w:rPr>
            </w:pPr>
          </w:p>
        </w:tc>
        <w:tc>
          <w:tcPr>
            <w:tcW w:w="800" w:type="dxa"/>
            <w:tcBorders>
              <w:top w:val="single" w:sz="8" w:space="0" w:color="0000EE"/>
            </w:tcBorders>
            <w:shd w:val="clear" w:color="auto" w:fill="CCEEFF"/>
            <w:vAlign w:val="bottom"/>
          </w:tcPr>
          <w:p w14:paraId="1756F60A" w14:textId="77777777" w:rsidR="00D1587D" w:rsidRDefault="00D1587D">
            <w:pPr>
              <w:rPr>
                <w:sz w:val="6"/>
                <w:szCs w:val="6"/>
              </w:rPr>
            </w:pPr>
          </w:p>
        </w:tc>
        <w:tc>
          <w:tcPr>
            <w:tcW w:w="20" w:type="dxa"/>
            <w:tcBorders>
              <w:top w:val="single" w:sz="8" w:space="0" w:color="CCEEFF"/>
            </w:tcBorders>
            <w:shd w:val="clear" w:color="auto" w:fill="CCEEFF"/>
            <w:vAlign w:val="bottom"/>
          </w:tcPr>
          <w:p w14:paraId="7E2997B3" w14:textId="77777777" w:rsidR="00D1587D" w:rsidRDefault="00D1587D">
            <w:pPr>
              <w:rPr>
                <w:sz w:val="6"/>
                <w:szCs w:val="6"/>
              </w:rPr>
            </w:pPr>
          </w:p>
        </w:tc>
        <w:tc>
          <w:tcPr>
            <w:tcW w:w="80" w:type="dxa"/>
            <w:tcBorders>
              <w:top w:val="single" w:sz="8" w:space="0" w:color="CCEEFF"/>
            </w:tcBorders>
            <w:shd w:val="clear" w:color="auto" w:fill="CCEEFF"/>
            <w:vAlign w:val="bottom"/>
          </w:tcPr>
          <w:p w14:paraId="1CADA577" w14:textId="77777777" w:rsidR="00D1587D" w:rsidRDefault="00D1587D">
            <w:pPr>
              <w:rPr>
                <w:sz w:val="6"/>
                <w:szCs w:val="6"/>
              </w:rPr>
            </w:pPr>
          </w:p>
        </w:tc>
        <w:tc>
          <w:tcPr>
            <w:tcW w:w="40" w:type="dxa"/>
            <w:tcBorders>
              <w:top w:val="single" w:sz="8" w:space="0" w:color="CCEEFF"/>
            </w:tcBorders>
            <w:shd w:val="clear" w:color="auto" w:fill="CCEEFF"/>
            <w:vAlign w:val="bottom"/>
          </w:tcPr>
          <w:p w14:paraId="4CB18E63" w14:textId="77777777" w:rsidR="00D1587D" w:rsidRDefault="00D1587D">
            <w:pPr>
              <w:rPr>
                <w:sz w:val="6"/>
                <w:szCs w:val="6"/>
              </w:rPr>
            </w:pPr>
          </w:p>
        </w:tc>
        <w:tc>
          <w:tcPr>
            <w:tcW w:w="260" w:type="dxa"/>
            <w:tcBorders>
              <w:top w:val="single" w:sz="8" w:space="0" w:color="CCEEFF"/>
            </w:tcBorders>
            <w:shd w:val="clear" w:color="auto" w:fill="CCEEFF"/>
            <w:vAlign w:val="bottom"/>
          </w:tcPr>
          <w:p w14:paraId="52B042BB" w14:textId="77777777" w:rsidR="00D1587D" w:rsidRDefault="00D1587D">
            <w:pPr>
              <w:rPr>
                <w:sz w:val="6"/>
                <w:szCs w:val="6"/>
              </w:rPr>
            </w:pPr>
          </w:p>
        </w:tc>
        <w:tc>
          <w:tcPr>
            <w:tcW w:w="580" w:type="dxa"/>
            <w:tcBorders>
              <w:top w:val="single" w:sz="8" w:space="0" w:color="CCEEFF"/>
            </w:tcBorders>
            <w:shd w:val="clear" w:color="auto" w:fill="CCEEFF"/>
            <w:vAlign w:val="bottom"/>
          </w:tcPr>
          <w:p w14:paraId="4EFCE6CF" w14:textId="77777777" w:rsidR="00D1587D" w:rsidRDefault="00D1587D">
            <w:pPr>
              <w:rPr>
                <w:sz w:val="6"/>
                <w:szCs w:val="6"/>
              </w:rPr>
            </w:pPr>
          </w:p>
        </w:tc>
        <w:tc>
          <w:tcPr>
            <w:tcW w:w="40" w:type="dxa"/>
            <w:tcBorders>
              <w:top w:val="single" w:sz="8" w:space="0" w:color="CCEEFF"/>
            </w:tcBorders>
            <w:shd w:val="clear" w:color="auto" w:fill="CCEEFF"/>
            <w:vAlign w:val="bottom"/>
          </w:tcPr>
          <w:p w14:paraId="572F7C19" w14:textId="77777777" w:rsidR="00D1587D" w:rsidRDefault="00D1587D">
            <w:pPr>
              <w:rPr>
                <w:sz w:val="6"/>
                <w:szCs w:val="6"/>
              </w:rPr>
            </w:pPr>
          </w:p>
        </w:tc>
        <w:tc>
          <w:tcPr>
            <w:tcW w:w="40" w:type="dxa"/>
            <w:tcBorders>
              <w:top w:val="single" w:sz="8" w:space="0" w:color="CCEEFF"/>
            </w:tcBorders>
            <w:shd w:val="clear" w:color="auto" w:fill="CCEEFF"/>
            <w:vAlign w:val="bottom"/>
          </w:tcPr>
          <w:p w14:paraId="53B8B04F" w14:textId="77777777" w:rsidR="00D1587D" w:rsidRDefault="00D1587D">
            <w:pPr>
              <w:rPr>
                <w:sz w:val="6"/>
                <w:szCs w:val="6"/>
              </w:rPr>
            </w:pPr>
          </w:p>
        </w:tc>
        <w:tc>
          <w:tcPr>
            <w:tcW w:w="1720" w:type="dxa"/>
            <w:tcBorders>
              <w:top w:val="single" w:sz="8" w:space="0" w:color="CCEEFF"/>
            </w:tcBorders>
            <w:shd w:val="clear" w:color="auto" w:fill="CCEEFF"/>
            <w:vAlign w:val="bottom"/>
          </w:tcPr>
          <w:p w14:paraId="6F50AFBF" w14:textId="77777777" w:rsidR="00D1587D" w:rsidRDefault="00D1587D">
            <w:pPr>
              <w:rPr>
                <w:sz w:val="6"/>
                <w:szCs w:val="6"/>
              </w:rPr>
            </w:pPr>
          </w:p>
        </w:tc>
        <w:tc>
          <w:tcPr>
            <w:tcW w:w="820" w:type="dxa"/>
            <w:tcBorders>
              <w:top w:val="single" w:sz="8" w:space="0" w:color="CCEEFF"/>
            </w:tcBorders>
            <w:shd w:val="clear" w:color="auto" w:fill="CCEEFF"/>
            <w:vAlign w:val="bottom"/>
          </w:tcPr>
          <w:p w14:paraId="0573258E" w14:textId="77777777" w:rsidR="00D1587D" w:rsidRDefault="00D1587D">
            <w:pPr>
              <w:rPr>
                <w:sz w:val="6"/>
                <w:szCs w:val="6"/>
              </w:rPr>
            </w:pPr>
          </w:p>
        </w:tc>
        <w:tc>
          <w:tcPr>
            <w:tcW w:w="1680" w:type="dxa"/>
            <w:tcBorders>
              <w:top w:val="single" w:sz="8" w:space="0" w:color="CCEEFF"/>
            </w:tcBorders>
            <w:shd w:val="clear" w:color="auto" w:fill="CCEEFF"/>
            <w:vAlign w:val="bottom"/>
          </w:tcPr>
          <w:p w14:paraId="2D74731B" w14:textId="77777777" w:rsidR="00D1587D" w:rsidRDefault="00D1587D">
            <w:pPr>
              <w:rPr>
                <w:sz w:val="6"/>
                <w:szCs w:val="6"/>
              </w:rPr>
            </w:pPr>
          </w:p>
        </w:tc>
        <w:tc>
          <w:tcPr>
            <w:tcW w:w="20" w:type="dxa"/>
            <w:tcBorders>
              <w:top w:val="single" w:sz="8" w:space="0" w:color="CCEEFF"/>
            </w:tcBorders>
            <w:shd w:val="clear" w:color="auto" w:fill="CCEEFF"/>
            <w:vAlign w:val="bottom"/>
          </w:tcPr>
          <w:p w14:paraId="6770A753" w14:textId="77777777" w:rsidR="00D1587D" w:rsidRDefault="00D1587D">
            <w:pPr>
              <w:rPr>
                <w:sz w:val="6"/>
                <w:szCs w:val="6"/>
              </w:rPr>
            </w:pPr>
          </w:p>
        </w:tc>
        <w:tc>
          <w:tcPr>
            <w:tcW w:w="40" w:type="dxa"/>
            <w:tcBorders>
              <w:top w:val="single" w:sz="8" w:space="0" w:color="0000EE"/>
            </w:tcBorders>
            <w:shd w:val="clear" w:color="auto" w:fill="CCEEFF"/>
            <w:vAlign w:val="bottom"/>
          </w:tcPr>
          <w:p w14:paraId="67D01728" w14:textId="77777777" w:rsidR="00D1587D" w:rsidRDefault="00D1587D">
            <w:pPr>
              <w:rPr>
                <w:sz w:val="6"/>
                <w:szCs w:val="6"/>
              </w:rPr>
            </w:pPr>
          </w:p>
        </w:tc>
        <w:tc>
          <w:tcPr>
            <w:tcW w:w="40" w:type="dxa"/>
            <w:tcBorders>
              <w:top w:val="single" w:sz="8" w:space="0" w:color="0000EE"/>
            </w:tcBorders>
            <w:shd w:val="clear" w:color="auto" w:fill="CCEEFF"/>
            <w:vAlign w:val="bottom"/>
          </w:tcPr>
          <w:p w14:paraId="35154AF9" w14:textId="77777777" w:rsidR="00D1587D" w:rsidRDefault="00D1587D">
            <w:pPr>
              <w:rPr>
                <w:sz w:val="6"/>
                <w:szCs w:val="6"/>
              </w:rPr>
            </w:pPr>
          </w:p>
        </w:tc>
        <w:tc>
          <w:tcPr>
            <w:tcW w:w="20" w:type="dxa"/>
            <w:tcBorders>
              <w:top w:val="single" w:sz="8" w:space="0" w:color="0000EE"/>
            </w:tcBorders>
            <w:shd w:val="clear" w:color="auto" w:fill="CCEEFF"/>
            <w:vAlign w:val="bottom"/>
          </w:tcPr>
          <w:p w14:paraId="0CEA0C73" w14:textId="77777777" w:rsidR="00D1587D" w:rsidRDefault="00D1587D">
            <w:pPr>
              <w:rPr>
                <w:sz w:val="6"/>
                <w:szCs w:val="6"/>
              </w:rPr>
            </w:pPr>
          </w:p>
        </w:tc>
        <w:tc>
          <w:tcPr>
            <w:tcW w:w="60" w:type="dxa"/>
            <w:tcBorders>
              <w:top w:val="single" w:sz="8" w:space="0" w:color="0000EE"/>
            </w:tcBorders>
            <w:shd w:val="clear" w:color="auto" w:fill="CCEEFF"/>
            <w:vAlign w:val="bottom"/>
          </w:tcPr>
          <w:p w14:paraId="09EC5107" w14:textId="77777777" w:rsidR="00D1587D" w:rsidRDefault="00D1587D">
            <w:pPr>
              <w:rPr>
                <w:sz w:val="6"/>
                <w:szCs w:val="6"/>
              </w:rPr>
            </w:pPr>
          </w:p>
        </w:tc>
        <w:tc>
          <w:tcPr>
            <w:tcW w:w="80" w:type="dxa"/>
            <w:tcBorders>
              <w:top w:val="single" w:sz="8" w:space="0" w:color="0000EE"/>
            </w:tcBorders>
            <w:shd w:val="clear" w:color="auto" w:fill="CCEEFF"/>
            <w:vAlign w:val="bottom"/>
          </w:tcPr>
          <w:p w14:paraId="49ED2454" w14:textId="77777777" w:rsidR="00D1587D" w:rsidRDefault="00D1587D">
            <w:pPr>
              <w:rPr>
                <w:sz w:val="6"/>
                <w:szCs w:val="6"/>
              </w:rPr>
            </w:pPr>
          </w:p>
        </w:tc>
        <w:tc>
          <w:tcPr>
            <w:tcW w:w="20" w:type="dxa"/>
            <w:tcBorders>
              <w:top w:val="single" w:sz="8" w:space="0" w:color="0000EE"/>
            </w:tcBorders>
            <w:shd w:val="clear" w:color="auto" w:fill="CCEEFF"/>
            <w:vAlign w:val="bottom"/>
          </w:tcPr>
          <w:p w14:paraId="2997797E" w14:textId="77777777" w:rsidR="00D1587D" w:rsidRDefault="00D1587D">
            <w:pPr>
              <w:rPr>
                <w:sz w:val="6"/>
                <w:szCs w:val="6"/>
              </w:rPr>
            </w:pPr>
          </w:p>
        </w:tc>
        <w:tc>
          <w:tcPr>
            <w:tcW w:w="20" w:type="dxa"/>
            <w:tcBorders>
              <w:top w:val="single" w:sz="8" w:space="0" w:color="CCEEFF"/>
            </w:tcBorders>
            <w:shd w:val="clear" w:color="auto" w:fill="CCEEFF"/>
            <w:vAlign w:val="bottom"/>
          </w:tcPr>
          <w:p w14:paraId="331C9B7C" w14:textId="77777777" w:rsidR="00D1587D" w:rsidRDefault="00D1587D">
            <w:pPr>
              <w:rPr>
                <w:sz w:val="6"/>
                <w:szCs w:val="6"/>
              </w:rPr>
            </w:pPr>
          </w:p>
        </w:tc>
      </w:tr>
      <w:tr w:rsidR="00D1587D" w14:paraId="32C54BB1" w14:textId="77777777">
        <w:trPr>
          <w:trHeight w:val="230"/>
        </w:trPr>
        <w:tc>
          <w:tcPr>
            <w:tcW w:w="8120" w:type="dxa"/>
            <w:gridSpan w:val="19"/>
            <w:vAlign w:val="bottom"/>
          </w:tcPr>
          <w:p w14:paraId="02517BFB" w14:textId="77777777" w:rsidR="00D1587D" w:rsidRDefault="00410D07">
            <w:pPr>
              <w:rPr>
                <w:rFonts w:ascii="Arial" w:eastAsia="Arial" w:hAnsi="Arial" w:cs="Arial"/>
                <w:color w:val="0000EE"/>
                <w:sz w:val="18"/>
                <w:szCs w:val="18"/>
              </w:rPr>
            </w:pPr>
            <w:hyperlink w:anchor="page386">
              <w:r>
                <w:rPr>
                  <w:rFonts w:ascii="Arial" w:eastAsia="Arial" w:hAnsi="Arial" w:cs="Arial"/>
                  <w:color w:val="0000EE"/>
                  <w:sz w:val="18"/>
                  <w:szCs w:val="18"/>
                </w:rPr>
                <w:t>Certain Relationships and Related Party Transactions</w:t>
              </w:r>
            </w:hyperlink>
          </w:p>
        </w:tc>
        <w:tc>
          <w:tcPr>
            <w:tcW w:w="300" w:type="dxa"/>
            <w:gridSpan w:val="8"/>
            <w:vAlign w:val="bottom"/>
          </w:tcPr>
          <w:p w14:paraId="0B0DFD91" w14:textId="77777777" w:rsidR="00D1587D" w:rsidRDefault="00410D07">
            <w:pPr>
              <w:ind w:right="20"/>
              <w:jc w:val="right"/>
              <w:rPr>
                <w:rFonts w:ascii="Arial" w:eastAsia="Arial" w:hAnsi="Arial" w:cs="Arial"/>
                <w:color w:val="0000EE"/>
                <w:w w:val="86"/>
                <w:sz w:val="18"/>
                <w:szCs w:val="18"/>
              </w:rPr>
            </w:pPr>
            <w:hyperlink w:anchor="page386">
              <w:r>
                <w:rPr>
                  <w:rFonts w:ascii="Arial" w:eastAsia="Arial" w:hAnsi="Arial" w:cs="Arial"/>
                  <w:color w:val="0000EE"/>
                  <w:w w:val="86"/>
                  <w:sz w:val="18"/>
                  <w:szCs w:val="18"/>
                </w:rPr>
                <w:t>128</w:t>
              </w:r>
            </w:hyperlink>
          </w:p>
        </w:tc>
      </w:tr>
      <w:tr w:rsidR="00D1587D" w14:paraId="60DAC3E3" w14:textId="77777777">
        <w:trPr>
          <w:trHeight w:val="74"/>
        </w:trPr>
        <w:tc>
          <w:tcPr>
            <w:tcW w:w="640" w:type="dxa"/>
            <w:tcBorders>
              <w:top w:val="single" w:sz="8" w:space="0" w:color="0000EE"/>
            </w:tcBorders>
            <w:vAlign w:val="bottom"/>
          </w:tcPr>
          <w:p w14:paraId="55F58F9F" w14:textId="77777777" w:rsidR="00D1587D" w:rsidRDefault="00D1587D">
            <w:pPr>
              <w:rPr>
                <w:sz w:val="6"/>
                <w:szCs w:val="6"/>
              </w:rPr>
            </w:pPr>
          </w:p>
        </w:tc>
        <w:tc>
          <w:tcPr>
            <w:tcW w:w="60" w:type="dxa"/>
            <w:tcBorders>
              <w:top w:val="single" w:sz="8" w:space="0" w:color="0000EE"/>
            </w:tcBorders>
            <w:vAlign w:val="bottom"/>
          </w:tcPr>
          <w:p w14:paraId="4893988C" w14:textId="77777777" w:rsidR="00D1587D" w:rsidRDefault="00D1587D">
            <w:pPr>
              <w:rPr>
                <w:sz w:val="6"/>
                <w:szCs w:val="6"/>
              </w:rPr>
            </w:pPr>
          </w:p>
        </w:tc>
        <w:tc>
          <w:tcPr>
            <w:tcW w:w="200" w:type="dxa"/>
            <w:tcBorders>
              <w:top w:val="single" w:sz="8" w:space="0" w:color="0000EE"/>
            </w:tcBorders>
            <w:vAlign w:val="bottom"/>
          </w:tcPr>
          <w:p w14:paraId="6150037B" w14:textId="77777777" w:rsidR="00D1587D" w:rsidRDefault="00D1587D">
            <w:pPr>
              <w:rPr>
                <w:sz w:val="6"/>
                <w:szCs w:val="6"/>
              </w:rPr>
            </w:pPr>
          </w:p>
        </w:tc>
        <w:tc>
          <w:tcPr>
            <w:tcW w:w="40" w:type="dxa"/>
            <w:tcBorders>
              <w:top w:val="single" w:sz="8" w:space="0" w:color="0000EE"/>
            </w:tcBorders>
            <w:vAlign w:val="bottom"/>
          </w:tcPr>
          <w:p w14:paraId="55A2709B" w14:textId="77777777" w:rsidR="00D1587D" w:rsidRDefault="00D1587D">
            <w:pPr>
              <w:rPr>
                <w:sz w:val="6"/>
                <w:szCs w:val="6"/>
              </w:rPr>
            </w:pPr>
          </w:p>
        </w:tc>
        <w:tc>
          <w:tcPr>
            <w:tcW w:w="60" w:type="dxa"/>
            <w:tcBorders>
              <w:top w:val="single" w:sz="8" w:space="0" w:color="0000EE"/>
            </w:tcBorders>
            <w:vAlign w:val="bottom"/>
          </w:tcPr>
          <w:p w14:paraId="53C6CBDD" w14:textId="77777777" w:rsidR="00D1587D" w:rsidRDefault="00D1587D">
            <w:pPr>
              <w:rPr>
                <w:sz w:val="6"/>
                <w:szCs w:val="6"/>
              </w:rPr>
            </w:pPr>
          </w:p>
        </w:tc>
        <w:tc>
          <w:tcPr>
            <w:tcW w:w="80" w:type="dxa"/>
            <w:tcBorders>
              <w:top w:val="single" w:sz="8" w:space="0" w:color="0000EE"/>
            </w:tcBorders>
            <w:vAlign w:val="bottom"/>
          </w:tcPr>
          <w:p w14:paraId="0C87CA29" w14:textId="77777777" w:rsidR="00D1587D" w:rsidRDefault="00D1587D">
            <w:pPr>
              <w:rPr>
                <w:sz w:val="6"/>
                <w:szCs w:val="6"/>
              </w:rPr>
            </w:pPr>
          </w:p>
        </w:tc>
        <w:tc>
          <w:tcPr>
            <w:tcW w:w="80" w:type="dxa"/>
            <w:tcBorders>
              <w:top w:val="single" w:sz="8" w:space="0" w:color="0000EE"/>
            </w:tcBorders>
            <w:vAlign w:val="bottom"/>
          </w:tcPr>
          <w:p w14:paraId="50633773" w14:textId="77777777" w:rsidR="00D1587D" w:rsidRDefault="00D1587D">
            <w:pPr>
              <w:rPr>
                <w:sz w:val="6"/>
                <w:szCs w:val="6"/>
              </w:rPr>
            </w:pPr>
          </w:p>
        </w:tc>
        <w:tc>
          <w:tcPr>
            <w:tcW w:w="880" w:type="dxa"/>
            <w:tcBorders>
              <w:top w:val="single" w:sz="8" w:space="0" w:color="0000EE"/>
            </w:tcBorders>
            <w:vAlign w:val="bottom"/>
          </w:tcPr>
          <w:p w14:paraId="0953053B" w14:textId="77777777" w:rsidR="00D1587D" w:rsidRDefault="00D1587D">
            <w:pPr>
              <w:rPr>
                <w:sz w:val="6"/>
                <w:szCs w:val="6"/>
              </w:rPr>
            </w:pPr>
          </w:p>
        </w:tc>
        <w:tc>
          <w:tcPr>
            <w:tcW w:w="800" w:type="dxa"/>
            <w:tcBorders>
              <w:top w:val="single" w:sz="8" w:space="0" w:color="0000EE"/>
            </w:tcBorders>
            <w:vAlign w:val="bottom"/>
          </w:tcPr>
          <w:p w14:paraId="50FC62BA" w14:textId="77777777" w:rsidR="00D1587D" w:rsidRDefault="00D1587D">
            <w:pPr>
              <w:rPr>
                <w:sz w:val="6"/>
                <w:szCs w:val="6"/>
              </w:rPr>
            </w:pPr>
          </w:p>
        </w:tc>
        <w:tc>
          <w:tcPr>
            <w:tcW w:w="20" w:type="dxa"/>
            <w:tcBorders>
              <w:top w:val="single" w:sz="8" w:space="0" w:color="0000EE"/>
            </w:tcBorders>
            <w:vAlign w:val="bottom"/>
          </w:tcPr>
          <w:p w14:paraId="7D645F8B" w14:textId="77777777" w:rsidR="00D1587D" w:rsidRDefault="00D1587D">
            <w:pPr>
              <w:rPr>
                <w:sz w:val="6"/>
                <w:szCs w:val="6"/>
              </w:rPr>
            </w:pPr>
          </w:p>
        </w:tc>
        <w:tc>
          <w:tcPr>
            <w:tcW w:w="80" w:type="dxa"/>
            <w:tcBorders>
              <w:top w:val="single" w:sz="8" w:space="0" w:color="0000EE"/>
            </w:tcBorders>
            <w:vAlign w:val="bottom"/>
          </w:tcPr>
          <w:p w14:paraId="0EB25FDE" w14:textId="77777777" w:rsidR="00D1587D" w:rsidRDefault="00D1587D">
            <w:pPr>
              <w:rPr>
                <w:sz w:val="6"/>
                <w:szCs w:val="6"/>
              </w:rPr>
            </w:pPr>
          </w:p>
        </w:tc>
        <w:tc>
          <w:tcPr>
            <w:tcW w:w="40" w:type="dxa"/>
            <w:tcBorders>
              <w:top w:val="single" w:sz="8" w:space="0" w:color="0000EE"/>
            </w:tcBorders>
            <w:vAlign w:val="bottom"/>
          </w:tcPr>
          <w:p w14:paraId="6C14919A" w14:textId="77777777" w:rsidR="00D1587D" w:rsidRDefault="00D1587D">
            <w:pPr>
              <w:rPr>
                <w:sz w:val="6"/>
                <w:szCs w:val="6"/>
              </w:rPr>
            </w:pPr>
          </w:p>
        </w:tc>
        <w:tc>
          <w:tcPr>
            <w:tcW w:w="260" w:type="dxa"/>
            <w:tcBorders>
              <w:top w:val="single" w:sz="8" w:space="0" w:color="0000EE"/>
            </w:tcBorders>
            <w:vAlign w:val="bottom"/>
          </w:tcPr>
          <w:p w14:paraId="6C22A57F" w14:textId="77777777" w:rsidR="00D1587D" w:rsidRDefault="00D1587D">
            <w:pPr>
              <w:rPr>
                <w:sz w:val="6"/>
                <w:szCs w:val="6"/>
              </w:rPr>
            </w:pPr>
          </w:p>
        </w:tc>
        <w:tc>
          <w:tcPr>
            <w:tcW w:w="580" w:type="dxa"/>
            <w:tcBorders>
              <w:top w:val="single" w:sz="8" w:space="0" w:color="0000EE"/>
            </w:tcBorders>
            <w:vAlign w:val="bottom"/>
          </w:tcPr>
          <w:p w14:paraId="0833F05A" w14:textId="77777777" w:rsidR="00D1587D" w:rsidRDefault="00D1587D">
            <w:pPr>
              <w:rPr>
                <w:sz w:val="6"/>
                <w:szCs w:val="6"/>
              </w:rPr>
            </w:pPr>
          </w:p>
        </w:tc>
        <w:tc>
          <w:tcPr>
            <w:tcW w:w="40" w:type="dxa"/>
            <w:vAlign w:val="bottom"/>
          </w:tcPr>
          <w:p w14:paraId="4B985FDF" w14:textId="77777777" w:rsidR="00D1587D" w:rsidRDefault="00D1587D">
            <w:pPr>
              <w:rPr>
                <w:sz w:val="6"/>
                <w:szCs w:val="6"/>
              </w:rPr>
            </w:pPr>
          </w:p>
        </w:tc>
        <w:tc>
          <w:tcPr>
            <w:tcW w:w="40" w:type="dxa"/>
            <w:vAlign w:val="bottom"/>
          </w:tcPr>
          <w:p w14:paraId="2FA2CA2D" w14:textId="77777777" w:rsidR="00D1587D" w:rsidRDefault="00D1587D">
            <w:pPr>
              <w:rPr>
                <w:sz w:val="6"/>
                <w:szCs w:val="6"/>
              </w:rPr>
            </w:pPr>
          </w:p>
        </w:tc>
        <w:tc>
          <w:tcPr>
            <w:tcW w:w="1720" w:type="dxa"/>
            <w:vAlign w:val="bottom"/>
          </w:tcPr>
          <w:p w14:paraId="1332E3DC" w14:textId="77777777" w:rsidR="00D1587D" w:rsidRDefault="00D1587D">
            <w:pPr>
              <w:rPr>
                <w:sz w:val="6"/>
                <w:szCs w:val="6"/>
              </w:rPr>
            </w:pPr>
          </w:p>
        </w:tc>
        <w:tc>
          <w:tcPr>
            <w:tcW w:w="820" w:type="dxa"/>
            <w:vAlign w:val="bottom"/>
          </w:tcPr>
          <w:p w14:paraId="225C3BA7" w14:textId="77777777" w:rsidR="00D1587D" w:rsidRDefault="00D1587D">
            <w:pPr>
              <w:rPr>
                <w:sz w:val="6"/>
                <w:szCs w:val="6"/>
              </w:rPr>
            </w:pPr>
          </w:p>
        </w:tc>
        <w:tc>
          <w:tcPr>
            <w:tcW w:w="1680" w:type="dxa"/>
            <w:vAlign w:val="bottom"/>
          </w:tcPr>
          <w:p w14:paraId="47692925" w14:textId="77777777" w:rsidR="00D1587D" w:rsidRDefault="00D1587D">
            <w:pPr>
              <w:rPr>
                <w:sz w:val="6"/>
                <w:szCs w:val="6"/>
              </w:rPr>
            </w:pPr>
          </w:p>
        </w:tc>
        <w:tc>
          <w:tcPr>
            <w:tcW w:w="20" w:type="dxa"/>
            <w:vAlign w:val="bottom"/>
          </w:tcPr>
          <w:p w14:paraId="285C421D" w14:textId="77777777" w:rsidR="00D1587D" w:rsidRDefault="00D1587D">
            <w:pPr>
              <w:rPr>
                <w:sz w:val="6"/>
                <w:szCs w:val="6"/>
              </w:rPr>
            </w:pPr>
          </w:p>
        </w:tc>
        <w:tc>
          <w:tcPr>
            <w:tcW w:w="40" w:type="dxa"/>
            <w:tcBorders>
              <w:top w:val="single" w:sz="8" w:space="0" w:color="0000EE"/>
            </w:tcBorders>
            <w:vAlign w:val="bottom"/>
          </w:tcPr>
          <w:p w14:paraId="76612BEC" w14:textId="77777777" w:rsidR="00D1587D" w:rsidRDefault="00D1587D">
            <w:pPr>
              <w:rPr>
                <w:sz w:val="6"/>
                <w:szCs w:val="6"/>
              </w:rPr>
            </w:pPr>
          </w:p>
        </w:tc>
        <w:tc>
          <w:tcPr>
            <w:tcW w:w="40" w:type="dxa"/>
            <w:tcBorders>
              <w:top w:val="single" w:sz="8" w:space="0" w:color="0000EE"/>
            </w:tcBorders>
            <w:vAlign w:val="bottom"/>
          </w:tcPr>
          <w:p w14:paraId="08DEF154" w14:textId="77777777" w:rsidR="00D1587D" w:rsidRDefault="00D1587D">
            <w:pPr>
              <w:rPr>
                <w:sz w:val="6"/>
                <w:szCs w:val="6"/>
              </w:rPr>
            </w:pPr>
          </w:p>
        </w:tc>
        <w:tc>
          <w:tcPr>
            <w:tcW w:w="20" w:type="dxa"/>
            <w:tcBorders>
              <w:top w:val="single" w:sz="8" w:space="0" w:color="0000EE"/>
            </w:tcBorders>
            <w:vAlign w:val="bottom"/>
          </w:tcPr>
          <w:p w14:paraId="6BDCC8E7" w14:textId="77777777" w:rsidR="00D1587D" w:rsidRDefault="00D1587D">
            <w:pPr>
              <w:rPr>
                <w:sz w:val="6"/>
                <w:szCs w:val="6"/>
              </w:rPr>
            </w:pPr>
          </w:p>
        </w:tc>
        <w:tc>
          <w:tcPr>
            <w:tcW w:w="60" w:type="dxa"/>
            <w:tcBorders>
              <w:top w:val="single" w:sz="8" w:space="0" w:color="0000EE"/>
            </w:tcBorders>
            <w:vAlign w:val="bottom"/>
          </w:tcPr>
          <w:p w14:paraId="10143843" w14:textId="77777777" w:rsidR="00D1587D" w:rsidRDefault="00D1587D">
            <w:pPr>
              <w:rPr>
                <w:sz w:val="6"/>
                <w:szCs w:val="6"/>
              </w:rPr>
            </w:pPr>
          </w:p>
        </w:tc>
        <w:tc>
          <w:tcPr>
            <w:tcW w:w="80" w:type="dxa"/>
            <w:tcBorders>
              <w:top w:val="single" w:sz="8" w:space="0" w:color="0000EE"/>
            </w:tcBorders>
            <w:vAlign w:val="bottom"/>
          </w:tcPr>
          <w:p w14:paraId="72BF1D02" w14:textId="77777777" w:rsidR="00D1587D" w:rsidRDefault="00D1587D">
            <w:pPr>
              <w:rPr>
                <w:sz w:val="6"/>
                <w:szCs w:val="6"/>
              </w:rPr>
            </w:pPr>
          </w:p>
        </w:tc>
        <w:tc>
          <w:tcPr>
            <w:tcW w:w="20" w:type="dxa"/>
            <w:tcBorders>
              <w:top w:val="single" w:sz="8" w:space="0" w:color="0000EE"/>
            </w:tcBorders>
            <w:vAlign w:val="bottom"/>
          </w:tcPr>
          <w:p w14:paraId="28C8B82F" w14:textId="77777777" w:rsidR="00D1587D" w:rsidRDefault="00D1587D">
            <w:pPr>
              <w:rPr>
                <w:sz w:val="6"/>
                <w:szCs w:val="6"/>
              </w:rPr>
            </w:pPr>
          </w:p>
        </w:tc>
        <w:tc>
          <w:tcPr>
            <w:tcW w:w="20" w:type="dxa"/>
            <w:vAlign w:val="bottom"/>
          </w:tcPr>
          <w:p w14:paraId="374EB0A0" w14:textId="77777777" w:rsidR="00D1587D" w:rsidRDefault="00D1587D">
            <w:pPr>
              <w:rPr>
                <w:sz w:val="6"/>
                <w:szCs w:val="6"/>
              </w:rPr>
            </w:pPr>
          </w:p>
        </w:tc>
      </w:tr>
      <w:tr w:rsidR="00D1587D" w14:paraId="38D4B739" w14:textId="77777777">
        <w:trPr>
          <w:trHeight w:val="229"/>
        </w:trPr>
        <w:tc>
          <w:tcPr>
            <w:tcW w:w="8120" w:type="dxa"/>
            <w:gridSpan w:val="19"/>
            <w:shd w:val="clear" w:color="auto" w:fill="CCEEFF"/>
            <w:vAlign w:val="bottom"/>
          </w:tcPr>
          <w:p w14:paraId="4399CC88" w14:textId="77777777" w:rsidR="00D1587D" w:rsidRDefault="00410D07">
            <w:pPr>
              <w:rPr>
                <w:rFonts w:ascii="Arial" w:eastAsia="Arial" w:hAnsi="Arial" w:cs="Arial"/>
                <w:color w:val="0000EE"/>
                <w:sz w:val="18"/>
                <w:szCs w:val="18"/>
              </w:rPr>
            </w:pPr>
            <w:hyperlink w:anchor="page388">
              <w:r>
                <w:rPr>
                  <w:rFonts w:ascii="Arial" w:eastAsia="Arial" w:hAnsi="Arial" w:cs="Arial"/>
                  <w:color w:val="0000EE"/>
                  <w:sz w:val="18"/>
                  <w:szCs w:val="18"/>
                </w:rPr>
                <w:t xml:space="preserve">Ownership of Common Stock by Certain </w:t>
              </w:r>
              <w:r>
                <w:rPr>
                  <w:rFonts w:ascii="Arial" w:eastAsia="Arial" w:hAnsi="Arial" w:cs="Arial"/>
                  <w:color w:val="0000EE"/>
                  <w:sz w:val="18"/>
                  <w:szCs w:val="18"/>
                </w:rPr>
                <w:t>Beneficial Owners and Management</w:t>
              </w:r>
            </w:hyperlink>
          </w:p>
        </w:tc>
        <w:tc>
          <w:tcPr>
            <w:tcW w:w="300" w:type="dxa"/>
            <w:gridSpan w:val="8"/>
            <w:shd w:val="clear" w:color="auto" w:fill="CCEEFF"/>
            <w:vAlign w:val="bottom"/>
          </w:tcPr>
          <w:p w14:paraId="7E485AEA" w14:textId="77777777" w:rsidR="00D1587D" w:rsidRDefault="00410D07">
            <w:pPr>
              <w:ind w:right="20"/>
              <w:jc w:val="right"/>
              <w:rPr>
                <w:rFonts w:ascii="Arial" w:eastAsia="Arial" w:hAnsi="Arial" w:cs="Arial"/>
                <w:color w:val="0000EE"/>
                <w:w w:val="86"/>
                <w:sz w:val="18"/>
                <w:szCs w:val="18"/>
              </w:rPr>
            </w:pPr>
            <w:hyperlink w:anchor="page388">
              <w:r>
                <w:rPr>
                  <w:rFonts w:ascii="Arial" w:eastAsia="Arial" w:hAnsi="Arial" w:cs="Arial"/>
                  <w:color w:val="0000EE"/>
                  <w:w w:val="86"/>
                  <w:sz w:val="18"/>
                  <w:szCs w:val="18"/>
                </w:rPr>
                <w:t>130</w:t>
              </w:r>
            </w:hyperlink>
          </w:p>
        </w:tc>
      </w:tr>
      <w:tr w:rsidR="00410D07" w14:paraId="3EF8831C" w14:textId="77777777">
        <w:trPr>
          <w:trHeight w:val="75"/>
        </w:trPr>
        <w:tc>
          <w:tcPr>
            <w:tcW w:w="640" w:type="dxa"/>
            <w:tcBorders>
              <w:top w:val="single" w:sz="8" w:space="0" w:color="0000EE"/>
            </w:tcBorders>
            <w:shd w:val="clear" w:color="auto" w:fill="CCEEFF"/>
            <w:vAlign w:val="bottom"/>
          </w:tcPr>
          <w:p w14:paraId="5385D50E" w14:textId="77777777" w:rsidR="00D1587D" w:rsidRDefault="00D1587D">
            <w:pPr>
              <w:rPr>
                <w:sz w:val="6"/>
                <w:szCs w:val="6"/>
              </w:rPr>
            </w:pPr>
          </w:p>
        </w:tc>
        <w:tc>
          <w:tcPr>
            <w:tcW w:w="60" w:type="dxa"/>
            <w:tcBorders>
              <w:top w:val="single" w:sz="8" w:space="0" w:color="0000EE"/>
            </w:tcBorders>
            <w:shd w:val="clear" w:color="auto" w:fill="CCEEFF"/>
            <w:vAlign w:val="bottom"/>
          </w:tcPr>
          <w:p w14:paraId="504B61A3" w14:textId="77777777" w:rsidR="00D1587D" w:rsidRDefault="00D1587D">
            <w:pPr>
              <w:rPr>
                <w:sz w:val="6"/>
                <w:szCs w:val="6"/>
              </w:rPr>
            </w:pPr>
          </w:p>
        </w:tc>
        <w:tc>
          <w:tcPr>
            <w:tcW w:w="200" w:type="dxa"/>
            <w:tcBorders>
              <w:top w:val="single" w:sz="8" w:space="0" w:color="0000EE"/>
            </w:tcBorders>
            <w:shd w:val="clear" w:color="auto" w:fill="CCEEFF"/>
            <w:vAlign w:val="bottom"/>
          </w:tcPr>
          <w:p w14:paraId="76ED851A" w14:textId="77777777" w:rsidR="00D1587D" w:rsidRDefault="00D1587D">
            <w:pPr>
              <w:rPr>
                <w:sz w:val="6"/>
                <w:szCs w:val="6"/>
              </w:rPr>
            </w:pPr>
          </w:p>
        </w:tc>
        <w:tc>
          <w:tcPr>
            <w:tcW w:w="40" w:type="dxa"/>
            <w:tcBorders>
              <w:top w:val="single" w:sz="8" w:space="0" w:color="0000EE"/>
            </w:tcBorders>
            <w:shd w:val="clear" w:color="auto" w:fill="CCEEFF"/>
            <w:vAlign w:val="bottom"/>
          </w:tcPr>
          <w:p w14:paraId="11181CF3" w14:textId="77777777" w:rsidR="00D1587D" w:rsidRDefault="00D1587D">
            <w:pPr>
              <w:rPr>
                <w:sz w:val="6"/>
                <w:szCs w:val="6"/>
              </w:rPr>
            </w:pPr>
          </w:p>
        </w:tc>
        <w:tc>
          <w:tcPr>
            <w:tcW w:w="60" w:type="dxa"/>
            <w:tcBorders>
              <w:top w:val="single" w:sz="8" w:space="0" w:color="0000EE"/>
            </w:tcBorders>
            <w:shd w:val="clear" w:color="auto" w:fill="CCEEFF"/>
            <w:vAlign w:val="bottom"/>
          </w:tcPr>
          <w:p w14:paraId="651B5C55" w14:textId="77777777" w:rsidR="00D1587D" w:rsidRDefault="00D1587D">
            <w:pPr>
              <w:rPr>
                <w:sz w:val="6"/>
                <w:szCs w:val="6"/>
              </w:rPr>
            </w:pPr>
          </w:p>
        </w:tc>
        <w:tc>
          <w:tcPr>
            <w:tcW w:w="80" w:type="dxa"/>
            <w:tcBorders>
              <w:top w:val="single" w:sz="8" w:space="0" w:color="0000EE"/>
            </w:tcBorders>
            <w:shd w:val="clear" w:color="auto" w:fill="CCEEFF"/>
            <w:vAlign w:val="bottom"/>
          </w:tcPr>
          <w:p w14:paraId="65B222B6" w14:textId="77777777" w:rsidR="00D1587D" w:rsidRDefault="00D1587D">
            <w:pPr>
              <w:rPr>
                <w:sz w:val="6"/>
                <w:szCs w:val="6"/>
              </w:rPr>
            </w:pPr>
          </w:p>
        </w:tc>
        <w:tc>
          <w:tcPr>
            <w:tcW w:w="80" w:type="dxa"/>
            <w:tcBorders>
              <w:top w:val="single" w:sz="8" w:space="0" w:color="0000EE"/>
            </w:tcBorders>
            <w:shd w:val="clear" w:color="auto" w:fill="CCEEFF"/>
            <w:vAlign w:val="bottom"/>
          </w:tcPr>
          <w:p w14:paraId="7DEA874A" w14:textId="77777777" w:rsidR="00D1587D" w:rsidRDefault="00D1587D">
            <w:pPr>
              <w:rPr>
                <w:sz w:val="6"/>
                <w:szCs w:val="6"/>
              </w:rPr>
            </w:pPr>
          </w:p>
        </w:tc>
        <w:tc>
          <w:tcPr>
            <w:tcW w:w="880" w:type="dxa"/>
            <w:tcBorders>
              <w:top w:val="single" w:sz="8" w:space="0" w:color="0000EE"/>
            </w:tcBorders>
            <w:shd w:val="clear" w:color="auto" w:fill="CCEEFF"/>
            <w:vAlign w:val="bottom"/>
          </w:tcPr>
          <w:p w14:paraId="295526A8" w14:textId="77777777" w:rsidR="00D1587D" w:rsidRDefault="00D1587D">
            <w:pPr>
              <w:rPr>
                <w:sz w:val="6"/>
                <w:szCs w:val="6"/>
              </w:rPr>
            </w:pPr>
          </w:p>
        </w:tc>
        <w:tc>
          <w:tcPr>
            <w:tcW w:w="800" w:type="dxa"/>
            <w:tcBorders>
              <w:top w:val="single" w:sz="8" w:space="0" w:color="0000EE"/>
            </w:tcBorders>
            <w:shd w:val="clear" w:color="auto" w:fill="CCEEFF"/>
            <w:vAlign w:val="bottom"/>
          </w:tcPr>
          <w:p w14:paraId="42B8CFC6" w14:textId="77777777" w:rsidR="00D1587D" w:rsidRDefault="00D1587D">
            <w:pPr>
              <w:rPr>
                <w:sz w:val="6"/>
                <w:szCs w:val="6"/>
              </w:rPr>
            </w:pPr>
          </w:p>
        </w:tc>
        <w:tc>
          <w:tcPr>
            <w:tcW w:w="20" w:type="dxa"/>
            <w:tcBorders>
              <w:top w:val="single" w:sz="8" w:space="0" w:color="0000EE"/>
            </w:tcBorders>
            <w:shd w:val="clear" w:color="auto" w:fill="CCEEFF"/>
            <w:vAlign w:val="bottom"/>
          </w:tcPr>
          <w:p w14:paraId="4707C97A" w14:textId="77777777" w:rsidR="00D1587D" w:rsidRDefault="00D1587D">
            <w:pPr>
              <w:rPr>
                <w:sz w:val="6"/>
                <w:szCs w:val="6"/>
              </w:rPr>
            </w:pPr>
          </w:p>
        </w:tc>
        <w:tc>
          <w:tcPr>
            <w:tcW w:w="80" w:type="dxa"/>
            <w:tcBorders>
              <w:top w:val="single" w:sz="8" w:space="0" w:color="0000EE"/>
            </w:tcBorders>
            <w:shd w:val="clear" w:color="auto" w:fill="CCEEFF"/>
            <w:vAlign w:val="bottom"/>
          </w:tcPr>
          <w:p w14:paraId="10C93267" w14:textId="77777777" w:rsidR="00D1587D" w:rsidRDefault="00D1587D">
            <w:pPr>
              <w:rPr>
                <w:sz w:val="6"/>
                <w:szCs w:val="6"/>
              </w:rPr>
            </w:pPr>
          </w:p>
        </w:tc>
        <w:tc>
          <w:tcPr>
            <w:tcW w:w="40" w:type="dxa"/>
            <w:tcBorders>
              <w:top w:val="single" w:sz="8" w:space="0" w:color="0000EE"/>
            </w:tcBorders>
            <w:shd w:val="clear" w:color="auto" w:fill="CCEEFF"/>
            <w:vAlign w:val="bottom"/>
          </w:tcPr>
          <w:p w14:paraId="119F4E2C" w14:textId="77777777" w:rsidR="00D1587D" w:rsidRDefault="00D1587D">
            <w:pPr>
              <w:rPr>
                <w:sz w:val="6"/>
                <w:szCs w:val="6"/>
              </w:rPr>
            </w:pPr>
          </w:p>
        </w:tc>
        <w:tc>
          <w:tcPr>
            <w:tcW w:w="260" w:type="dxa"/>
            <w:tcBorders>
              <w:top w:val="single" w:sz="8" w:space="0" w:color="0000EE"/>
            </w:tcBorders>
            <w:shd w:val="clear" w:color="auto" w:fill="CCEEFF"/>
            <w:vAlign w:val="bottom"/>
          </w:tcPr>
          <w:p w14:paraId="27869CAB" w14:textId="77777777" w:rsidR="00D1587D" w:rsidRDefault="00D1587D">
            <w:pPr>
              <w:rPr>
                <w:sz w:val="6"/>
                <w:szCs w:val="6"/>
              </w:rPr>
            </w:pPr>
          </w:p>
        </w:tc>
        <w:tc>
          <w:tcPr>
            <w:tcW w:w="580" w:type="dxa"/>
            <w:tcBorders>
              <w:top w:val="single" w:sz="8" w:space="0" w:color="0000EE"/>
            </w:tcBorders>
            <w:shd w:val="clear" w:color="auto" w:fill="CCEEFF"/>
            <w:vAlign w:val="bottom"/>
          </w:tcPr>
          <w:p w14:paraId="723505D0" w14:textId="77777777" w:rsidR="00D1587D" w:rsidRDefault="00D1587D">
            <w:pPr>
              <w:rPr>
                <w:sz w:val="6"/>
                <w:szCs w:val="6"/>
              </w:rPr>
            </w:pPr>
          </w:p>
        </w:tc>
        <w:tc>
          <w:tcPr>
            <w:tcW w:w="40" w:type="dxa"/>
            <w:tcBorders>
              <w:top w:val="single" w:sz="8" w:space="0" w:color="0000EE"/>
            </w:tcBorders>
            <w:shd w:val="clear" w:color="auto" w:fill="CCEEFF"/>
            <w:vAlign w:val="bottom"/>
          </w:tcPr>
          <w:p w14:paraId="772CF784" w14:textId="77777777" w:rsidR="00D1587D" w:rsidRDefault="00D1587D">
            <w:pPr>
              <w:rPr>
                <w:sz w:val="6"/>
                <w:szCs w:val="6"/>
              </w:rPr>
            </w:pPr>
          </w:p>
        </w:tc>
        <w:tc>
          <w:tcPr>
            <w:tcW w:w="40" w:type="dxa"/>
            <w:tcBorders>
              <w:top w:val="single" w:sz="8" w:space="0" w:color="0000EE"/>
            </w:tcBorders>
            <w:shd w:val="clear" w:color="auto" w:fill="CCEEFF"/>
            <w:vAlign w:val="bottom"/>
          </w:tcPr>
          <w:p w14:paraId="13208601" w14:textId="77777777" w:rsidR="00D1587D" w:rsidRDefault="00D1587D">
            <w:pPr>
              <w:rPr>
                <w:sz w:val="6"/>
                <w:szCs w:val="6"/>
              </w:rPr>
            </w:pPr>
          </w:p>
        </w:tc>
        <w:tc>
          <w:tcPr>
            <w:tcW w:w="1720" w:type="dxa"/>
            <w:tcBorders>
              <w:top w:val="single" w:sz="8" w:space="0" w:color="0000EE"/>
            </w:tcBorders>
            <w:shd w:val="clear" w:color="auto" w:fill="CCEEFF"/>
            <w:vAlign w:val="bottom"/>
          </w:tcPr>
          <w:p w14:paraId="61C1A25D" w14:textId="77777777" w:rsidR="00D1587D" w:rsidRDefault="00D1587D">
            <w:pPr>
              <w:rPr>
                <w:sz w:val="6"/>
                <w:szCs w:val="6"/>
              </w:rPr>
            </w:pPr>
          </w:p>
        </w:tc>
        <w:tc>
          <w:tcPr>
            <w:tcW w:w="820" w:type="dxa"/>
            <w:tcBorders>
              <w:top w:val="single" w:sz="8" w:space="0" w:color="CCEEFF"/>
            </w:tcBorders>
            <w:shd w:val="clear" w:color="auto" w:fill="CCEEFF"/>
            <w:vAlign w:val="bottom"/>
          </w:tcPr>
          <w:p w14:paraId="5C7EA6FF" w14:textId="77777777" w:rsidR="00D1587D" w:rsidRDefault="00D1587D">
            <w:pPr>
              <w:rPr>
                <w:sz w:val="6"/>
                <w:szCs w:val="6"/>
              </w:rPr>
            </w:pPr>
          </w:p>
        </w:tc>
        <w:tc>
          <w:tcPr>
            <w:tcW w:w="1680" w:type="dxa"/>
            <w:tcBorders>
              <w:top w:val="single" w:sz="8" w:space="0" w:color="CCEEFF"/>
            </w:tcBorders>
            <w:shd w:val="clear" w:color="auto" w:fill="CCEEFF"/>
            <w:vAlign w:val="bottom"/>
          </w:tcPr>
          <w:p w14:paraId="01D95CFB" w14:textId="77777777" w:rsidR="00D1587D" w:rsidRDefault="00D1587D">
            <w:pPr>
              <w:rPr>
                <w:sz w:val="6"/>
                <w:szCs w:val="6"/>
              </w:rPr>
            </w:pPr>
          </w:p>
        </w:tc>
        <w:tc>
          <w:tcPr>
            <w:tcW w:w="20" w:type="dxa"/>
            <w:tcBorders>
              <w:top w:val="single" w:sz="8" w:space="0" w:color="CCEEFF"/>
            </w:tcBorders>
            <w:shd w:val="clear" w:color="auto" w:fill="CCEEFF"/>
            <w:vAlign w:val="bottom"/>
          </w:tcPr>
          <w:p w14:paraId="0AD0C295" w14:textId="77777777" w:rsidR="00D1587D" w:rsidRDefault="00D1587D">
            <w:pPr>
              <w:rPr>
                <w:sz w:val="6"/>
                <w:szCs w:val="6"/>
              </w:rPr>
            </w:pPr>
          </w:p>
        </w:tc>
        <w:tc>
          <w:tcPr>
            <w:tcW w:w="40" w:type="dxa"/>
            <w:tcBorders>
              <w:top w:val="single" w:sz="8" w:space="0" w:color="0000EE"/>
            </w:tcBorders>
            <w:shd w:val="clear" w:color="auto" w:fill="CCEEFF"/>
            <w:vAlign w:val="bottom"/>
          </w:tcPr>
          <w:p w14:paraId="05C586DB" w14:textId="77777777" w:rsidR="00D1587D" w:rsidRDefault="00D1587D">
            <w:pPr>
              <w:rPr>
                <w:sz w:val="6"/>
                <w:szCs w:val="6"/>
              </w:rPr>
            </w:pPr>
          </w:p>
        </w:tc>
        <w:tc>
          <w:tcPr>
            <w:tcW w:w="40" w:type="dxa"/>
            <w:tcBorders>
              <w:top w:val="single" w:sz="8" w:space="0" w:color="0000EE"/>
            </w:tcBorders>
            <w:shd w:val="clear" w:color="auto" w:fill="CCEEFF"/>
            <w:vAlign w:val="bottom"/>
          </w:tcPr>
          <w:p w14:paraId="05D336ED" w14:textId="77777777" w:rsidR="00D1587D" w:rsidRDefault="00D1587D">
            <w:pPr>
              <w:rPr>
                <w:sz w:val="6"/>
                <w:szCs w:val="6"/>
              </w:rPr>
            </w:pPr>
          </w:p>
        </w:tc>
        <w:tc>
          <w:tcPr>
            <w:tcW w:w="20" w:type="dxa"/>
            <w:tcBorders>
              <w:top w:val="single" w:sz="8" w:space="0" w:color="0000EE"/>
            </w:tcBorders>
            <w:shd w:val="clear" w:color="auto" w:fill="CCEEFF"/>
            <w:vAlign w:val="bottom"/>
          </w:tcPr>
          <w:p w14:paraId="12EECF3C" w14:textId="77777777" w:rsidR="00D1587D" w:rsidRDefault="00D1587D">
            <w:pPr>
              <w:rPr>
                <w:sz w:val="6"/>
                <w:szCs w:val="6"/>
              </w:rPr>
            </w:pPr>
          </w:p>
        </w:tc>
        <w:tc>
          <w:tcPr>
            <w:tcW w:w="60" w:type="dxa"/>
            <w:tcBorders>
              <w:top w:val="single" w:sz="8" w:space="0" w:color="0000EE"/>
            </w:tcBorders>
            <w:shd w:val="clear" w:color="auto" w:fill="CCEEFF"/>
            <w:vAlign w:val="bottom"/>
          </w:tcPr>
          <w:p w14:paraId="6E90F904" w14:textId="77777777" w:rsidR="00D1587D" w:rsidRDefault="00D1587D">
            <w:pPr>
              <w:rPr>
                <w:sz w:val="6"/>
                <w:szCs w:val="6"/>
              </w:rPr>
            </w:pPr>
          </w:p>
        </w:tc>
        <w:tc>
          <w:tcPr>
            <w:tcW w:w="80" w:type="dxa"/>
            <w:tcBorders>
              <w:top w:val="single" w:sz="8" w:space="0" w:color="0000EE"/>
            </w:tcBorders>
            <w:shd w:val="clear" w:color="auto" w:fill="CCEEFF"/>
            <w:vAlign w:val="bottom"/>
          </w:tcPr>
          <w:p w14:paraId="4AAE034E" w14:textId="77777777" w:rsidR="00D1587D" w:rsidRDefault="00D1587D">
            <w:pPr>
              <w:rPr>
                <w:sz w:val="6"/>
                <w:szCs w:val="6"/>
              </w:rPr>
            </w:pPr>
          </w:p>
        </w:tc>
        <w:tc>
          <w:tcPr>
            <w:tcW w:w="20" w:type="dxa"/>
            <w:tcBorders>
              <w:top w:val="single" w:sz="8" w:space="0" w:color="0000EE"/>
            </w:tcBorders>
            <w:shd w:val="clear" w:color="auto" w:fill="CCEEFF"/>
            <w:vAlign w:val="bottom"/>
          </w:tcPr>
          <w:p w14:paraId="10C19856" w14:textId="77777777" w:rsidR="00D1587D" w:rsidRDefault="00D1587D">
            <w:pPr>
              <w:rPr>
                <w:sz w:val="6"/>
                <w:szCs w:val="6"/>
              </w:rPr>
            </w:pPr>
          </w:p>
        </w:tc>
        <w:tc>
          <w:tcPr>
            <w:tcW w:w="20" w:type="dxa"/>
            <w:tcBorders>
              <w:top w:val="single" w:sz="8" w:space="0" w:color="CCEEFF"/>
            </w:tcBorders>
            <w:shd w:val="clear" w:color="auto" w:fill="CCEEFF"/>
            <w:vAlign w:val="bottom"/>
          </w:tcPr>
          <w:p w14:paraId="6DFDDC47" w14:textId="77777777" w:rsidR="00D1587D" w:rsidRDefault="00D1587D">
            <w:pPr>
              <w:rPr>
                <w:sz w:val="6"/>
                <w:szCs w:val="6"/>
              </w:rPr>
            </w:pPr>
          </w:p>
        </w:tc>
      </w:tr>
      <w:tr w:rsidR="00D1587D" w14:paraId="1BB4CA99" w14:textId="77777777">
        <w:trPr>
          <w:trHeight w:val="229"/>
        </w:trPr>
        <w:tc>
          <w:tcPr>
            <w:tcW w:w="8120" w:type="dxa"/>
            <w:gridSpan w:val="19"/>
            <w:vAlign w:val="bottom"/>
          </w:tcPr>
          <w:p w14:paraId="5ECA91A0" w14:textId="77777777" w:rsidR="00D1587D" w:rsidRDefault="00410D07">
            <w:pPr>
              <w:rPr>
                <w:rFonts w:ascii="Arial" w:eastAsia="Arial" w:hAnsi="Arial" w:cs="Arial"/>
                <w:color w:val="0000EE"/>
                <w:sz w:val="18"/>
                <w:szCs w:val="18"/>
              </w:rPr>
            </w:pPr>
            <w:hyperlink w:anchor="page390">
              <w:r>
                <w:rPr>
                  <w:rFonts w:ascii="Arial" w:eastAsia="Arial" w:hAnsi="Arial" w:cs="Arial"/>
                  <w:color w:val="0000EE"/>
                  <w:sz w:val="18"/>
                  <w:szCs w:val="18"/>
                </w:rPr>
                <w:t>Description of Capital Stock</w:t>
              </w:r>
            </w:hyperlink>
          </w:p>
        </w:tc>
        <w:tc>
          <w:tcPr>
            <w:tcW w:w="300" w:type="dxa"/>
            <w:gridSpan w:val="8"/>
            <w:vAlign w:val="bottom"/>
          </w:tcPr>
          <w:p w14:paraId="1C4199C5" w14:textId="77777777" w:rsidR="00D1587D" w:rsidRDefault="00410D07">
            <w:pPr>
              <w:ind w:right="20"/>
              <w:jc w:val="right"/>
              <w:rPr>
                <w:rFonts w:ascii="Arial" w:eastAsia="Arial" w:hAnsi="Arial" w:cs="Arial"/>
                <w:color w:val="0000EE"/>
                <w:w w:val="86"/>
                <w:sz w:val="18"/>
                <w:szCs w:val="18"/>
              </w:rPr>
            </w:pPr>
            <w:hyperlink w:anchor="page390">
              <w:r>
                <w:rPr>
                  <w:rFonts w:ascii="Arial" w:eastAsia="Arial" w:hAnsi="Arial" w:cs="Arial"/>
                  <w:color w:val="0000EE"/>
                  <w:w w:val="86"/>
                  <w:sz w:val="18"/>
                  <w:szCs w:val="18"/>
                </w:rPr>
                <w:t>132</w:t>
              </w:r>
            </w:hyperlink>
          </w:p>
        </w:tc>
      </w:tr>
      <w:tr w:rsidR="00D1587D" w14:paraId="4FE8ADCF" w14:textId="77777777">
        <w:trPr>
          <w:trHeight w:val="75"/>
        </w:trPr>
        <w:tc>
          <w:tcPr>
            <w:tcW w:w="640" w:type="dxa"/>
            <w:tcBorders>
              <w:top w:val="single" w:sz="8" w:space="0" w:color="0000EE"/>
            </w:tcBorders>
            <w:vAlign w:val="bottom"/>
          </w:tcPr>
          <w:p w14:paraId="01CD139F" w14:textId="77777777" w:rsidR="00D1587D" w:rsidRDefault="00D1587D">
            <w:pPr>
              <w:rPr>
                <w:sz w:val="6"/>
                <w:szCs w:val="6"/>
              </w:rPr>
            </w:pPr>
          </w:p>
        </w:tc>
        <w:tc>
          <w:tcPr>
            <w:tcW w:w="60" w:type="dxa"/>
            <w:tcBorders>
              <w:top w:val="single" w:sz="8" w:space="0" w:color="0000EE"/>
            </w:tcBorders>
            <w:vAlign w:val="bottom"/>
          </w:tcPr>
          <w:p w14:paraId="33766B8B" w14:textId="77777777" w:rsidR="00D1587D" w:rsidRDefault="00D1587D">
            <w:pPr>
              <w:rPr>
                <w:sz w:val="6"/>
                <w:szCs w:val="6"/>
              </w:rPr>
            </w:pPr>
          </w:p>
        </w:tc>
        <w:tc>
          <w:tcPr>
            <w:tcW w:w="200" w:type="dxa"/>
            <w:tcBorders>
              <w:top w:val="single" w:sz="8" w:space="0" w:color="0000EE"/>
            </w:tcBorders>
            <w:vAlign w:val="bottom"/>
          </w:tcPr>
          <w:p w14:paraId="6108707D" w14:textId="77777777" w:rsidR="00D1587D" w:rsidRDefault="00D1587D">
            <w:pPr>
              <w:rPr>
                <w:sz w:val="6"/>
                <w:szCs w:val="6"/>
              </w:rPr>
            </w:pPr>
          </w:p>
        </w:tc>
        <w:tc>
          <w:tcPr>
            <w:tcW w:w="40" w:type="dxa"/>
            <w:tcBorders>
              <w:top w:val="single" w:sz="8" w:space="0" w:color="0000EE"/>
            </w:tcBorders>
            <w:vAlign w:val="bottom"/>
          </w:tcPr>
          <w:p w14:paraId="1BD056B6" w14:textId="77777777" w:rsidR="00D1587D" w:rsidRDefault="00D1587D">
            <w:pPr>
              <w:rPr>
                <w:sz w:val="6"/>
                <w:szCs w:val="6"/>
              </w:rPr>
            </w:pPr>
          </w:p>
        </w:tc>
        <w:tc>
          <w:tcPr>
            <w:tcW w:w="60" w:type="dxa"/>
            <w:tcBorders>
              <w:top w:val="single" w:sz="8" w:space="0" w:color="0000EE"/>
            </w:tcBorders>
            <w:vAlign w:val="bottom"/>
          </w:tcPr>
          <w:p w14:paraId="229B3BCB" w14:textId="77777777" w:rsidR="00D1587D" w:rsidRDefault="00D1587D">
            <w:pPr>
              <w:rPr>
                <w:sz w:val="6"/>
                <w:szCs w:val="6"/>
              </w:rPr>
            </w:pPr>
          </w:p>
        </w:tc>
        <w:tc>
          <w:tcPr>
            <w:tcW w:w="80" w:type="dxa"/>
            <w:tcBorders>
              <w:top w:val="single" w:sz="8" w:space="0" w:color="0000EE"/>
            </w:tcBorders>
            <w:vAlign w:val="bottom"/>
          </w:tcPr>
          <w:p w14:paraId="38518CA6" w14:textId="77777777" w:rsidR="00D1587D" w:rsidRDefault="00D1587D">
            <w:pPr>
              <w:rPr>
                <w:sz w:val="6"/>
                <w:szCs w:val="6"/>
              </w:rPr>
            </w:pPr>
          </w:p>
        </w:tc>
        <w:tc>
          <w:tcPr>
            <w:tcW w:w="80" w:type="dxa"/>
            <w:tcBorders>
              <w:top w:val="single" w:sz="8" w:space="0" w:color="0000EE"/>
            </w:tcBorders>
            <w:vAlign w:val="bottom"/>
          </w:tcPr>
          <w:p w14:paraId="2B8D9519" w14:textId="77777777" w:rsidR="00D1587D" w:rsidRDefault="00D1587D">
            <w:pPr>
              <w:rPr>
                <w:sz w:val="6"/>
                <w:szCs w:val="6"/>
              </w:rPr>
            </w:pPr>
          </w:p>
        </w:tc>
        <w:tc>
          <w:tcPr>
            <w:tcW w:w="880" w:type="dxa"/>
            <w:tcBorders>
              <w:top w:val="single" w:sz="8" w:space="0" w:color="0000EE"/>
            </w:tcBorders>
            <w:vAlign w:val="bottom"/>
          </w:tcPr>
          <w:p w14:paraId="719D9CEC" w14:textId="77777777" w:rsidR="00D1587D" w:rsidRDefault="00D1587D">
            <w:pPr>
              <w:rPr>
                <w:sz w:val="6"/>
                <w:szCs w:val="6"/>
              </w:rPr>
            </w:pPr>
          </w:p>
        </w:tc>
        <w:tc>
          <w:tcPr>
            <w:tcW w:w="800" w:type="dxa"/>
            <w:vAlign w:val="bottom"/>
          </w:tcPr>
          <w:p w14:paraId="4699F675" w14:textId="77777777" w:rsidR="00D1587D" w:rsidRDefault="00D1587D">
            <w:pPr>
              <w:rPr>
                <w:sz w:val="6"/>
                <w:szCs w:val="6"/>
              </w:rPr>
            </w:pPr>
          </w:p>
        </w:tc>
        <w:tc>
          <w:tcPr>
            <w:tcW w:w="20" w:type="dxa"/>
            <w:vAlign w:val="bottom"/>
          </w:tcPr>
          <w:p w14:paraId="1B90AF90" w14:textId="77777777" w:rsidR="00D1587D" w:rsidRDefault="00D1587D">
            <w:pPr>
              <w:rPr>
                <w:sz w:val="6"/>
                <w:szCs w:val="6"/>
              </w:rPr>
            </w:pPr>
          </w:p>
        </w:tc>
        <w:tc>
          <w:tcPr>
            <w:tcW w:w="80" w:type="dxa"/>
            <w:vAlign w:val="bottom"/>
          </w:tcPr>
          <w:p w14:paraId="18ABDE9D" w14:textId="77777777" w:rsidR="00D1587D" w:rsidRDefault="00D1587D">
            <w:pPr>
              <w:rPr>
                <w:sz w:val="6"/>
                <w:szCs w:val="6"/>
              </w:rPr>
            </w:pPr>
          </w:p>
        </w:tc>
        <w:tc>
          <w:tcPr>
            <w:tcW w:w="40" w:type="dxa"/>
            <w:vAlign w:val="bottom"/>
          </w:tcPr>
          <w:p w14:paraId="1487E276" w14:textId="77777777" w:rsidR="00D1587D" w:rsidRDefault="00D1587D">
            <w:pPr>
              <w:rPr>
                <w:sz w:val="6"/>
                <w:szCs w:val="6"/>
              </w:rPr>
            </w:pPr>
          </w:p>
        </w:tc>
        <w:tc>
          <w:tcPr>
            <w:tcW w:w="260" w:type="dxa"/>
            <w:vAlign w:val="bottom"/>
          </w:tcPr>
          <w:p w14:paraId="3C078FE6" w14:textId="77777777" w:rsidR="00D1587D" w:rsidRDefault="00D1587D">
            <w:pPr>
              <w:rPr>
                <w:sz w:val="6"/>
                <w:szCs w:val="6"/>
              </w:rPr>
            </w:pPr>
          </w:p>
        </w:tc>
        <w:tc>
          <w:tcPr>
            <w:tcW w:w="580" w:type="dxa"/>
            <w:vAlign w:val="bottom"/>
          </w:tcPr>
          <w:p w14:paraId="09284BE4" w14:textId="77777777" w:rsidR="00D1587D" w:rsidRDefault="00D1587D">
            <w:pPr>
              <w:rPr>
                <w:sz w:val="6"/>
                <w:szCs w:val="6"/>
              </w:rPr>
            </w:pPr>
          </w:p>
        </w:tc>
        <w:tc>
          <w:tcPr>
            <w:tcW w:w="40" w:type="dxa"/>
            <w:vAlign w:val="bottom"/>
          </w:tcPr>
          <w:p w14:paraId="69F41B6E" w14:textId="77777777" w:rsidR="00D1587D" w:rsidRDefault="00D1587D">
            <w:pPr>
              <w:rPr>
                <w:sz w:val="6"/>
                <w:szCs w:val="6"/>
              </w:rPr>
            </w:pPr>
          </w:p>
        </w:tc>
        <w:tc>
          <w:tcPr>
            <w:tcW w:w="40" w:type="dxa"/>
            <w:vAlign w:val="bottom"/>
          </w:tcPr>
          <w:p w14:paraId="54CD2E3D" w14:textId="77777777" w:rsidR="00D1587D" w:rsidRDefault="00D1587D">
            <w:pPr>
              <w:rPr>
                <w:sz w:val="6"/>
                <w:szCs w:val="6"/>
              </w:rPr>
            </w:pPr>
          </w:p>
        </w:tc>
        <w:tc>
          <w:tcPr>
            <w:tcW w:w="1720" w:type="dxa"/>
            <w:vAlign w:val="bottom"/>
          </w:tcPr>
          <w:p w14:paraId="5E73CDD9" w14:textId="77777777" w:rsidR="00D1587D" w:rsidRDefault="00D1587D">
            <w:pPr>
              <w:rPr>
                <w:sz w:val="6"/>
                <w:szCs w:val="6"/>
              </w:rPr>
            </w:pPr>
          </w:p>
        </w:tc>
        <w:tc>
          <w:tcPr>
            <w:tcW w:w="820" w:type="dxa"/>
            <w:vAlign w:val="bottom"/>
          </w:tcPr>
          <w:p w14:paraId="1BACE90F" w14:textId="77777777" w:rsidR="00D1587D" w:rsidRDefault="00D1587D">
            <w:pPr>
              <w:rPr>
                <w:sz w:val="6"/>
                <w:szCs w:val="6"/>
              </w:rPr>
            </w:pPr>
          </w:p>
        </w:tc>
        <w:tc>
          <w:tcPr>
            <w:tcW w:w="1680" w:type="dxa"/>
            <w:vAlign w:val="bottom"/>
          </w:tcPr>
          <w:p w14:paraId="53759527" w14:textId="77777777" w:rsidR="00D1587D" w:rsidRDefault="00D1587D">
            <w:pPr>
              <w:rPr>
                <w:sz w:val="6"/>
                <w:szCs w:val="6"/>
              </w:rPr>
            </w:pPr>
          </w:p>
        </w:tc>
        <w:tc>
          <w:tcPr>
            <w:tcW w:w="20" w:type="dxa"/>
            <w:vAlign w:val="bottom"/>
          </w:tcPr>
          <w:p w14:paraId="60E7D58E" w14:textId="77777777" w:rsidR="00D1587D" w:rsidRDefault="00D1587D">
            <w:pPr>
              <w:rPr>
                <w:sz w:val="6"/>
                <w:szCs w:val="6"/>
              </w:rPr>
            </w:pPr>
          </w:p>
        </w:tc>
        <w:tc>
          <w:tcPr>
            <w:tcW w:w="40" w:type="dxa"/>
            <w:tcBorders>
              <w:top w:val="single" w:sz="8" w:space="0" w:color="0000EE"/>
            </w:tcBorders>
            <w:vAlign w:val="bottom"/>
          </w:tcPr>
          <w:p w14:paraId="38F88101" w14:textId="77777777" w:rsidR="00D1587D" w:rsidRDefault="00D1587D">
            <w:pPr>
              <w:rPr>
                <w:sz w:val="6"/>
                <w:szCs w:val="6"/>
              </w:rPr>
            </w:pPr>
          </w:p>
        </w:tc>
        <w:tc>
          <w:tcPr>
            <w:tcW w:w="40" w:type="dxa"/>
            <w:tcBorders>
              <w:top w:val="single" w:sz="8" w:space="0" w:color="0000EE"/>
            </w:tcBorders>
            <w:vAlign w:val="bottom"/>
          </w:tcPr>
          <w:p w14:paraId="3079C3BA" w14:textId="77777777" w:rsidR="00D1587D" w:rsidRDefault="00D1587D">
            <w:pPr>
              <w:rPr>
                <w:sz w:val="6"/>
                <w:szCs w:val="6"/>
              </w:rPr>
            </w:pPr>
          </w:p>
        </w:tc>
        <w:tc>
          <w:tcPr>
            <w:tcW w:w="20" w:type="dxa"/>
            <w:tcBorders>
              <w:top w:val="single" w:sz="8" w:space="0" w:color="0000EE"/>
            </w:tcBorders>
            <w:vAlign w:val="bottom"/>
          </w:tcPr>
          <w:p w14:paraId="4A569188" w14:textId="77777777" w:rsidR="00D1587D" w:rsidRDefault="00D1587D">
            <w:pPr>
              <w:rPr>
                <w:sz w:val="6"/>
                <w:szCs w:val="6"/>
              </w:rPr>
            </w:pPr>
          </w:p>
        </w:tc>
        <w:tc>
          <w:tcPr>
            <w:tcW w:w="60" w:type="dxa"/>
            <w:tcBorders>
              <w:top w:val="single" w:sz="8" w:space="0" w:color="0000EE"/>
            </w:tcBorders>
            <w:vAlign w:val="bottom"/>
          </w:tcPr>
          <w:p w14:paraId="7619FBE0" w14:textId="77777777" w:rsidR="00D1587D" w:rsidRDefault="00D1587D">
            <w:pPr>
              <w:rPr>
                <w:sz w:val="6"/>
                <w:szCs w:val="6"/>
              </w:rPr>
            </w:pPr>
          </w:p>
        </w:tc>
        <w:tc>
          <w:tcPr>
            <w:tcW w:w="80" w:type="dxa"/>
            <w:tcBorders>
              <w:top w:val="single" w:sz="8" w:space="0" w:color="0000EE"/>
            </w:tcBorders>
            <w:vAlign w:val="bottom"/>
          </w:tcPr>
          <w:p w14:paraId="5DE0A8AC" w14:textId="77777777" w:rsidR="00D1587D" w:rsidRDefault="00D1587D">
            <w:pPr>
              <w:rPr>
                <w:sz w:val="6"/>
                <w:szCs w:val="6"/>
              </w:rPr>
            </w:pPr>
          </w:p>
        </w:tc>
        <w:tc>
          <w:tcPr>
            <w:tcW w:w="20" w:type="dxa"/>
            <w:tcBorders>
              <w:top w:val="single" w:sz="8" w:space="0" w:color="0000EE"/>
            </w:tcBorders>
            <w:vAlign w:val="bottom"/>
          </w:tcPr>
          <w:p w14:paraId="0EB3C8B2" w14:textId="77777777" w:rsidR="00D1587D" w:rsidRDefault="00D1587D">
            <w:pPr>
              <w:rPr>
                <w:sz w:val="6"/>
                <w:szCs w:val="6"/>
              </w:rPr>
            </w:pPr>
          </w:p>
        </w:tc>
        <w:tc>
          <w:tcPr>
            <w:tcW w:w="20" w:type="dxa"/>
            <w:vAlign w:val="bottom"/>
          </w:tcPr>
          <w:p w14:paraId="222711F5" w14:textId="77777777" w:rsidR="00D1587D" w:rsidRDefault="00D1587D">
            <w:pPr>
              <w:rPr>
                <w:sz w:val="6"/>
                <w:szCs w:val="6"/>
              </w:rPr>
            </w:pPr>
          </w:p>
        </w:tc>
      </w:tr>
      <w:tr w:rsidR="00D1587D" w14:paraId="1146A56E" w14:textId="77777777">
        <w:trPr>
          <w:trHeight w:val="230"/>
        </w:trPr>
        <w:tc>
          <w:tcPr>
            <w:tcW w:w="8120" w:type="dxa"/>
            <w:gridSpan w:val="19"/>
            <w:shd w:val="clear" w:color="auto" w:fill="CCEEFF"/>
            <w:vAlign w:val="bottom"/>
          </w:tcPr>
          <w:p w14:paraId="2C60B4D1" w14:textId="77777777" w:rsidR="00D1587D" w:rsidRDefault="00410D07">
            <w:pPr>
              <w:rPr>
                <w:rFonts w:ascii="Arial" w:eastAsia="Arial" w:hAnsi="Arial" w:cs="Arial"/>
                <w:color w:val="0000EE"/>
                <w:sz w:val="18"/>
                <w:szCs w:val="18"/>
              </w:rPr>
            </w:pPr>
            <w:hyperlink w:anchor="page395">
              <w:r>
                <w:rPr>
                  <w:rFonts w:ascii="Arial" w:eastAsia="Arial" w:hAnsi="Arial" w:cs="Arial"/>
                  <w:color w:val="0000EE"/>
                  <w:sz w:val="18"/>
                  <w:szCs w:val="18"/>
                </w:rPr>
                <w:t>Where You Can Find More Information</w:t>
              </w:r>
            </w:hyperlink>
          </w:p>
        </w:tc>
        <w:tc>
          <w:tcPr>
            <w:tcW w:w="300" w:type="dxa"/>
            <w:gridSpan w:val="8"/>
            <w:shd w:val="clear" w:color="auto" w:fill="CCEEFF"/>
            <w:vAlign w:val="bottom"/>
          </w:tcPr>
          <w:p w14:paraId="15058EDE" w14:textId="77777777" w:rsidR="00D1587D" w:rsidRDefault="00410D07">
            <w:pPr>
              <w:ind w:right="20"/>
              <w:jc w:val="right"/>
              <w:rPr>
                <w:rFonts w:ascii="Arial" w:eastAsia="Arial" w:hAnsi="Arial" w:cs="Arial"/>
                <w:color w:val="0000EE"/>
                <w:w w:val="86"/>
                <w:sz w:val="18"/>
                <w:szCs w:val="18"/>
              </w:rPr>
            </w:pPr>
            <w:hyperlink w:anchor="page395">
              <w:r>
                <w:rPr>
                  <w:rFonts w:ascii="Arial" w:eastAsia="Arial" w:hAnsi="Arial" w:cs="Arial"/>
                  <w:color w:val="0000EE"/>
                  <w:w w:val="86"/>
                  <w:sz w:val="18"/>
                  <w:szCs w:val="18"/>
                </w:rPr>
                <w:t>137</w:t>
              </w:r>
            </w:hyperlink>
          </w:p>
        </w:tc>
      </w:tr>
      <w:tr w:rsidR="00410D07" w14:paraId="18B8BE71" w14:textId="77777777">
        <w:trPr>
          <w:trHeight w:val="75"/>
        </w:trPr>
        <w:tc>
          <w:tcPr>
            <w:tcW w:w="640" w:type="dxa"/>
            <w:tcBorders>
              <w:top w:val="single" w:sz="8" w:space="0" w:color="0000EE"/>
            </w:tcBorders>
            <w:shd w:val="clear" w:color="auto" w:fill="CCEEFF"/>
            <w:vAlign w:val="bottom"/>
          </w:tcPr>
          <w:p w14:paraId="5E452B13" w14:textId="77777777" w:rsidR="00D1587D" w:rsidRDefault="00D1587D">
            <w:pPr>
              <w:rPr>
                <w:sz w:val="6"/>
                <w:szCs w:val="6"/>
              </w:rPr>
            </w:pPr>
          </w:p>
        </w:tc>
        <w:tc>
          <w:tcPr>
            <w:tcW w:w="60" w:type="dxa"/>
            <w:tcBorders>
              <w:top w:val="single" w:sz="8" w:space="0" w:color="0000EE"/>
            </w:tcBorders>
            <w:shd w:val="clear" w:color="auto" w:fill="CCEEFF"/>
            <w:vAlign w:val="bottom"/>
          </w:tcPr>
          <w:p w14:paraId="1E9267FF" w14:textId="77777777" w:rsidR="00D1587D" w:rsidRDefault="00D1587D">
            <w:pPr>
              <w:rPr>
                <w:sz w:val="6"/>
                <w:szCs w:val="6"/>
              </w:rPr>
            </w:pPr>
          </w:p>
        </w:tc>
        <w:tc>
          <w:tcPr>
            <w:tcW w:w="200" w:type="dxa"/>
            <w:tcBorders>
              <w:top w:val="single" w:sz="8" w:space="0" w:color="0000EE"/>
            </w:tcBorders>
            <w:shd w:val="clear" w:color="auto" w:fill="CCEEFF"/>
            <w:vAlign w:val="bottom"/>
          </w:tcPr>
          <w:p w14:paraId="71AC7148" w14:textId="77777777" w:rsidR="00D1587D" w:rsidRDefault="00D1587D">
            <w:pPr>
              <w:rPr>
                <w:sz w:val="6"/>
                <w:szCs w:val="6"/>
              </w:rPr>
            </w:pPr>
          </w:p>
        </w:tc>
        <w:tc>
          <w:tcPr>
            <w:tcW w:w="40" w:type="dxa"/>
            <w:tcBorders>
              <w:top w:val="single" w:sz="8" w:space="0" w:color="0000EE"/>
            </w:tcBorders>
            <w:shd w:val="clear" w:color="auto" w:fill="CCEEFF"/>
            <w:vAlign w:val="bottom"/>
          </w:tcPr>
          <w:p w14:paraId="7F82DA94" w14:textId="77777777" w:rsidR="00D1587D" w:rsidRDefault="00D1587D">
            <w:pPr>
              <w:rPr>
                <w:sz w:val="6"/>
                <w:szCs w:val="6"/>
              </w:rPr>
            </w:pPr>
          </w:p>
        </w:tc>
        <w:tc>
          <w:tcPr>
            <w:tcW w:w="60" w:type="dxa"/>
            <w:tcBorders>
              <w:top w:val="single" w:sz="8" w:space="0" w:color="0000EE"/>
            </w:tcBorders>
            <w:shd w:val="clear" w:color="auto" w:fill="CCEEFF"/>
            <w:vAlign w:val="bottom"/>
          </w:tcPr>
          <w:p w14:paraId="5A0850AE" w14:textId="77777777" w:rsidR="00D1587D" w:rsidRDefault="00D1587D">
            <w:pPr>
              <w:rPr>
                <w:sz w:val="6"/>
                <w:szCs w:val="6"/>
              </w:rPr>
            </w:pPr>
          </w:p>
        </w:tc>
        <w:tc>
          <w:tcPr>
            <w:tcW w:w="80" w:type="dxa"/>
            <w:tcBorders>
              <w:top w:val="single" w:sz="8" w:space="0" w:color="0000EE"/>
            </w:tcBorders>
            <w:shd w:val="clear" w:color="auto" w:fill="CCEEFF"/>
            <w:vAlign w:val="bottom"/>
          </w:tcPr>
          <w:p w14:paraId="0C0C193A" w14:textId="77777777" w:rsidR="00D1587D" w:rsidRDefault="00D1587D">
            <w:pPr>
              <w:rPr>
                <w:sz w:val="6"/>
                <w:szCs w:val="6"/>
              </w:rPr>
            </w:pPr>
          </w:p>
        </w:tc>
        <w:tc>
          <w:tcPr>
            <w:tcW w:w="80" w:type="dxa"/>
            <w:tcBorders>
              <w:top w:val="single" w:sz="8" w:space="0" w:color="0000EE"/>
            </w:tcBorders>
            <w:shd w:val="clear" w:color="auto" w:fill="CCEEFF"/>
            <w:vAlign w:val="bottom"/>
          </w:tcPr>
          <w:p w14:paraId="47307CC5" w14:textId="77777777" w:rsidR="00D1587D" w:rsidRDefault="00D1587D">
            <w:pPr>
              <w:rPr>
                <w:sz w:val="6"/>
                <w:szCs w:val="6"/>
              </w:rPr>
            </w:pPr>
          </w:p>
        </w:tc>
        <w:tc>
          <w:tcPr>
            <w:tcW w:w="880" w:type="dxa"/>
            <w:tcBorders>
              <w:top w:val="single" w:sz="8" w:space="0" w:color="0000EE"/>
            </w:tcBorders>
            <w:shd w:val="clear" w:color="auto" w:fill="CCEEFF"/>
            <w:vAlign w:val="bottom"/>
          </w:tcPr>
          <w:p w14:paraId="2A2F5BF9" w14:textId="77777777" w:rsidR="00D1587D" w:rsidRDefault="00D1587D">
            <w:pPr>
              <w:rPr>
                <w:sz w:val="6"/>
                <w:szCs w:val="6"/>
              </w:rPr>
            </w:pPr>
          </w:p>
        </w:tc>
        <w:tc>
          <w:tcPr>
            <w:tcW w:w="800" w:type="dxa"/>
            <w:tcBorders>
              <w:top w:val="single" w:sz="8" w:space="0" w:color="0000EE"/>
            </w:tcBorders>
            <w:shd w:val="clear" w:color="auto" w:fill="CCEEFF"/>
            <w:vAlign w:val="bottom"/>
          </w:tcPr>
          <w:p w14:paraId="75E82117" w14:textId="77777777" w:rsidR="00D1587D" w:rsidRDefault="00D1587D">
            <w:pPr>
              <w:rPr>
                <w:sz w:val="6"/>
                <w:szCs w:val="6"/>
              </w:rPr>
            </w:pPr>
          </w:p>
        </w:tc>
        <w:tc>
          <w:tcPr>
            <w:tcW w:w="20" w:type="dxa"/>
            <w:tcBorders>
              <w:top w:val="single" w:sz="8" w:space="0" w:color="0000EE"/>
            </w:tcBorders>
            <w:shd w:val="clear" w:color="auto" w:fill="CCEEFF"/>
            <w:vAlign w:val="bottom"/>
          </w:tcPr>
          <w:p w14:paraId="654A740D" w14:textId="77777777" w:rsidR="00D1587D" w:rsidRDefault="00D1587D">
            <w:pPr>
              <w:rPr>
                <w:sz w:val="6"/>
                <w:szCs w:val="6"/>
              </w:rPr>
            </w:pPr>
          </w:p>
        </w:tc>
        <w:tc>
          <w:tcPr>
            <w:tcW w:w="80" w:type="dxa"/>
            <w:tcBorders>
              <w:top w:val="single" w:sz="8" w:space="0" w:color="CCEEFF"/>
            </w:tcBorders>
            <w:shd w:val="clear" w:color="auto" w:fill="CCEEFF"/>
            <w:vAlign w:val="bottom"/>
          </w:tcPr>
          <w:p w14:paraId="74530AEF" w14:textId="77777777" w:rsidR="00D1587D" w:rsidRDefault="00D1587D">
            <w:pPr>
              <w:rPr>
                <w:sz w:val="6"/>
                <w:szCs w:val="6"/>
              </w:rPr>
            </w:pPr>
          </w:p>
        </w:tc>
        <w:tc>
          <w:tcPr>
            <w:tcW w:w="40" w:type="dxa"/>
            <w:tcBorders>
              <w:top w:val="single" w:sz="8" w:space="0" w:color="CCEEFF"/>
            </w:tcBorders>
            <w:shd w:val="clear" w:color="auto" w:fill="CCEEFF"/>
            <w:vAlign w:val="bottom"/>
          </w:tcPr>
          <w:p w14:paraId="30D76877" w14:textId="77777777" w:rsidR="00D1587D" w:rsidRDefault="00D1587D">
            <w:pPr>
              <w:rPr>
                <w:sz w:val="6"/>
                <w:szCs w:val="6"/>
              </w:rPr>
            </w:pPr>
          </w:p>
        </w:tc>
        <w:tc>
          <w:tcPr>
            <w:tcW w:w="260" w:type="dxa"/>
            <w:tcBorders>
              <w:top w:val="single" w:sz="8" w:space="0" w:color="CCEEFF"/>
            </w:tcBorders>
            <w:shd w:val="clear" w:color="auto" w:fill="CCEEFF"/>
            <w:vAlign w:val="bottom"/>
          </w:tcPr>
          <w:p w14:paraId="52CF5799" w14:textId="77777777" w:rsidR="00D1587D" w:rsidRDefault="00D1587D">
            <w:pPr>
              <w:rPr>
                <w:sz w:val="6"/>
                <w:szCs w:val="6"/>
              </w:rPr>
            </w:pPr>
          </w:p>
        </w:tc>
        <w:tc>
          <w:tcPr>
            <w:tcW w:w="580" w:type="dxa"/>
            <w:tcBorders>
              <w:top w:val="single" w:sz="8" w:space="0" w:color="CCEEFF"/>
            </w:tcBorders>
            <w:shd w:val="clear" w:color="auto" w:fill="CCEEFF"/>
            <w:vAlign w:val="bottom"/>
          </w:tcPr>
          <w:p w14:paraId="77607586" w14:textId="77777777" w:rsidR="00D1587D" w:rsidRDefault="00D1587D">
            <w:pPr>
              <w:rPr>
                <w:sz w:val="6"/>
                <w:szCs w:val="6"/>
              </w:rPr>
            </w:pPr>
          </w:p>
        </w:tc>
        <w:tc>
          <w:tcPr>
            <w:tcW w:w="40" w:type="dxa"/>
            <w:tcBorders>
              <w:top w:val="single" w:sz="8" w:space="0" w:color="CCEEFF"/>
            </w:tcBorders>
            <w:shd w:val="clear" w:color="auto" w:fill="CCEEFF"/>
            <w:vAlign w:val="bottom"/>
          </w:tcPr>
          <w:p w14:paraId="4A8999EE" w14:textId="77777777" w:rsidR="00D1587D" w:rsidRDefault="00D1587D">
            <w:pPr>
              <w:rPr>
                <w:sz w:val="6"/>
                <w:szCs w:val="6"/>
              </w:rPr>
            </w:pPr>
          </w:p>
        </w:tc>
        <w:tc>
          <w:tcPr>
            <w:tcW w:w="40" w:type="dxa"/>
            <w:tcBorders>
              <w:top w:val="single" w:sz="8" w:space="0" w:color="CCEEFF"/>
            </w:tcBorders>
            <w:shd w:val="clear" w:color="auto" w:fill="CCEEFF"/>
            <w:vAlign w:val="bottom"/>
          </w:tcPr>
          <w:p w14:paraId="1BE309DE" w14:textId="77777777" w:rsidR="00D1587D" w:rsidRDefault="00D1587D">
            <w:pPr>
              <w:rPr>
                <w:sz w:val="6"/>
                <w:szCs w:val="6"/>
              </w:rPr>
            </w:pPr>
          </w:p>
        </w:tc>
        <w:tc>
          <w:tcPr>
            <w:tcW w:w="1720" w:type="dxa"/>
            <w:tcBorders>
              <w:top w:val="single" w:sz="8" w:space="0" w:color="CCEEFF"/>
            </w:tcBorders>
            <w:shd w:val="clear" w:color="auto" w:fill="CCEEFF"/>
            <w:vAlign w:val="bottom"/>
          </w:tcPr>
          <w:p w14:paraId="6FFE4B48" w14:textId="77777777" w:rsidR="00D1587D" w:rsidRDefault="00D1587D">
            <w:pPr>
              <w:rPr>
                <w:sz w:val="6"/>
                <w:szCs w:val="6"/>
              </w:rPr>
            </w:pPr>
          </w:p>
        </w:tc>
        <w:tc>
          <w:tcPr>
            <w:tcW w:w="820" w:type="dxa"/>
            <w:tcBorders>
              <w:top w:val="single" w:sz="8" w:space="0" w:color="CCEEFF"/>
            </w:tcBorders>
            <w:shd w:val="clear" w:color="auto" w:fill="CCEEFF"/>
            <w:vAlign w:val="bottom"/>
          </w:tcPr>
          <w:p w14:paraId="099B0DDC" w14:textId="77777777" w:rsidR="00D1587D" w:rsidRDefault="00D1587D">
            <w:pPr>
              <w:rPr>
                <w:sz w:val="6"/>
                <w:szCs w:val="6"/>
              </w:rPr>
            </w:pPr>
          </w:p>
        </w:tc>
        <w:tc>
          <w:tcPr>
            <w:tcW w:w="1680" w:type="dxa"/>
            <w:tcBorders>
              <w:top w:val="single" w:sz="8" w:space="0" w:color="CCEEFF"/>
            </w:tcBorders>
            <w:shd w:val="clear" w:color="auto" w:fill="CCEEFF"/>
            <w:vAlign w:val="bottom"/>
          </w:tcPr>
          <w:p w14:paraId="1C6F5869" w14:textId="77777777" w:rsidR="00D1587D" w:rsidRDefault="00D1587D">
            <w:pPr>
              <w:rPr>
                <w:sz w:val="6"/>
                <w:szCs w:val="6"/>
              </w:rPr>
            </w:pPr>
          </w:p>
        </w:tc>
        <w:tc>
          <w:tcPr>
            <w:tcW w:w="20" w:type="dxa"/>
            <w:tcBorders>
              <w:top w:val="single" w:sz="8" w:space="0" w:color="CCEEFF"/>
            </w:tcBorders>
            <w:shd w:val="clear" w:color="auto" w:fill="CCEEFF"/>
            <w:vAlign w:val="bottom"/>
          </w:tcPr>
          <w:p w14:paraId="769F836A" w14:textId="77777777" w:rsidR="00D1587D" w:rsidRDefault="00D1587D">
            <w:pPr>
              <w:rPr>
                <w:sz w:val="6"/>
                <w:szCs w:val="6"/>
              </w:rPr>
            </w:pPr>
          </w:p>
        </w:tc>
        <w:tc>
          <w:tcPr>
            <w:tcW w:w="40" w:type="dxa"/>
            <w:tcBorders>
              <w:top w:val="single" w:sz="8" w:space="0" w:color="0000EE"/>
            </w:tcBorders>
            <w:shd w:val="clear" w:color="auto" w:fill="CCEEFF"/>
            <w:vAlign w:val="bottom"/>
          </w:tcPr>
          <w:p w14:paraId="60818074" w14:textId="77777777" w:rsidR="00D1587D" w:rsidRDefault="00D1587D">
            <w:pPr>
              <w:rPr>
                <w:sz w:val="6"/>
                <w:szCs w:val="6"/>
              </w:rPr>
            </w:pPr>
          </w:p>
        </w:tc>
        <w:tc>
          <w:tcPr>
            <w:tcW w:w="40" w:type="dxa"/>
            <w:tcBorders>
              <w:top w:val="single" w:sz="8" w:space="0" w:color="0000EE"/>
            </w:tcBorders>
            <w:shd w:val="clear" w:color="auto" w:fill="CCEEFF"/>
            <w:vAlign w:val="bottom"/>
          </w:tcPr>
          <w:p w14:paraId="6329C139" w14:textId="77777777" w:rsidR="00D1587D" w:rsidRDefault="00D1587D">
            <w:pPr>
              <w:rPr>
                <w:sz w:val="6"/>
                <w:szCs w:val="6"/>
              </w:rPr>
            </w:pPr>
          </w:p>
        </w:tc>
        <w:tc>
          <w:tcPr>
            <w:tcW w:w="20" w:type="dxa"/>
            <w:tcBorders>
              <w:top w:val="single" w:sz="8" w:space="0" w:color="0000EE"/>
            </w:tcBorders>
            <w:shd w:val="clear" w:color="auto" w:fill="CCEEFF"/>
            <w:vAlign w:val="bottom"/>
          </w:tcPr>
          <w:p w14:paraId="53E694CD" w14:textId="77777777" w:rsidR="00D1587D" w:rsidRDefault="00D1587D">
            <w:pPr>
              <w:rPr>
                <w:sz w:val="6"/>
                <w:szCs w:val="6"/>
              </w:rPr>
            </w:pPr>
          </w:p>
        </w:tc>
        <w:tc>
          <w:tcPr>
            <w:tcW w:w="60" w:type="dxa"/>
            <w:tcBorders>
              <w:top w:val="single" w:sz="8" w:space="0" w:color="0000EE"/>
            </w:tcBorders>
            <w:shd w:val="clear" w:color="auto" w:fill="CCEEFF"/>
            <w:vAlign w:val="bottom"/>
          </w:tcPr>
          <w:p w14:paraId="4FE7684B" w14:textId="77777777" w:rsidR="00D1587D" w:rsidRDefault="00D1587D">
            <w:pPr>
              <w:rPr>
                <w:sz w:val="6"/>
                <w:szCs w:val="6"/>
              </w:rPr>
            </w:pPr>
          </w:p>
        </w:tc>
        <w:tc>
          <w:tcPr>
            <w:tcW w:w="80" w:type="dxa"/>
            <w:tcBorders>
              <w:top w:val="single" w:sz="8" w:space="0" w:color="0000EE"/>
            </w:tcBorders>
            <w:shd w:val="clear" w:color="auto" w:fill="CCEEFF"/>
            <w:vAlign w:val="bottom"/>
          </w:tcPr>
          <w:p w14:paraId="7B98EDB1" w14:textId="77777777" w:rsidR="00D1587D" w:rsidRDefault="00D1587D">
            <w:pPr>
              <w:rPr>
                <w:sz w:val="6"/>
                <w:szCs w:val="6"/>
              </w:rPr>
            </w:pPr>
          </w:p>
        </w:tc>
        <w:tc>
          <w:tcPr>
            <w:tcW w:w="20" w:type="dxa"/>
            <w:tcBorders>
              <w:top w:val="single" w:sz="8" w:space="0" w:color="0000EE"/>
            </w:tcBorders>
            <w:shd w:val="clear" w:color="auto" w:fill="CCEEFF"/>
            <w:vAlign w:val="bottom"/>
          </w:tcPr>
          <w:p w14:paraId="34E3A772" w14:textId="77777777" w:rsidR="00D1587D" w:rsidRDefault="00D1587D">
            <w:pPr>
              <w:rPr>
                <w:sz w:val="6"/>
                <w:szCs w:val="6"/>
              </w:rPr>
            </w:pPr>
          </w:p>
        </w:tc>
        <w:tc>
          <w:tcPr>
            <w:tcW w:w="20" w:type="dxa"/>
            <w:tcBorders>
              <w:top w:val="single" w:sz="8" w:space="0" w:color="CCEEFF"/>
            </w:tcBorders>
            <w:shd w:val="clear" w:color="auto" w:fill="CCEEFF"/>
            <w:vAlign w:val="bottom"/>
          </w:tcPr>
          <w:p w14:paraId="1C9B9BE7" w14:textId="77777777" w:rsidR="00D1587D" w:rsidRDefault="00D1587D">
            <w:pPr>
              <w:rPr>
                <w:sz w:val="6"/>
                <w:szCs w:val="6"/>
              </w:rPr>
            </w:pPr>
          </w:p>
        </w:tc>
      </w:tr>
      <w:tr w:rsidR="00D1587D" w14:paraId="42268D2E" w14:textId="77777777">
        <w:trPr>
          <w:trHeight w:val="230"/>
        </w:trPr>
        <w:tc>
          <w:tcPr>
            <w:tcW w:w="2940" w:type="dxa"/>
            <w:gridSpan w:val="11"/>
            <w:tcBorders>
              <w:bottom w:val="single" w:sz="8" w:space="0" w:color="0000EE"/>
            </w:tcBorders>
            <w:vAlign w:val="bottom"/>
          </w:tcPr>
          <w:p w14:paraId="026EC082" w14:textId="77777777" w:rsidR="00D1587D" w:rsidRDefault="00410D07">
            <w:pPr>
              <w:rPr>
                <w:rFonts w:ascii="Arial" w:eastAsia="Arial" w:hAnsi="Arial" w:cs="Arial"/>
                <w:color w:val="0000EE"/>
                <w:w w:val="90"/>
                <w:sz w:val="18"/>
                <w:szCs w:val="18"/>
              </w:rPr>
            </w:pPr>
            <w:hyperlink w:anchor="page396">
              <w:r>
                <w:rPr>
                  <w:rFonts w:ascii="Arial" w:eastAsia="Arial" w:hAnsi="Arial" w:cs="Arial"/>
                  <w:color w:val="0000EE"/>
                  <w:w w:val="90"/>
                  <w:sz w:val="18"/>
                  <w:szCs w:val="18"/>
                </w:rPr>
                <w:t>Index to Combined Financial Statements</w:t>
              </w:r>
            </w:hyperlink>
          </w:p>
        </w:tc>
        <w:tc>
          <w:tcPr>
            <w:tcW w:w="5180" w:type="dxa"/>
            <w:gridSpan w:val="8"/>
            <w:vAlign w:val="bottom"/>
          </w:tcPr>
          <w:p w14:paraId="6DDBEB54" w14:textId="77777777" w:rsidR="00D1587D" w:rsidRDefault="00D1587D">
            <w:pPr>
              <w:rPr>
                <w:sz w:val="19"/>
                <w:szCs w:val="19"/>
              </w:rPr>
            </w:pPr>
          </w:p>
        </w:tc>
        <w:tc>
          <w:tcPr>
            <w:tcW w:w="20" w:type="dxa"/>
            <w:vAlign w:val="bottom"/>
          </w:tcPr>
          <w:p w14:paraId="28DFE6E3" w14:textId="77777777" w:rsidR="00D1587D" w:rsidRDefault="00D1587D">
            <w:pPr>
              <w:rPr>
                <w:sz w:val="19"/>
                <w:szCs w:val="19"/>
              </w:rPr>
            </w:pPr>
          </w:p>
        </w:tc>
        <w:tc>
          <w:tcPr>
            <w:tcW w:w="40" w:type="dxa"/>
            <w:vAlign w:val="bottom"/>
          </w:tcPr>
          <w:p w14:paraId="30A95620" w14:textId="77777777" w:rsidR="00D1587D" w:rsidRDefault="00D1587D">
            <w:pPr>
              <w:rPr>
                <w:sz w:val="19"/>
                <w:szCs w:val="19"/>
              </w:rPr>
            </w:pPr>
          </w:p>
        </w:tc>
        <w:tc>
          <w:tcPr>
            <w:tcW w:w="220" w:type="dxa"/>
            <w:gridSpan w:val="5"/>
            <w:tcBorders>
              <w:bottom w:val="single" w:sz="8" w:space="0" w:color="0000EE"/>
            </w:tcBorders>
            <w:vAlign w:val="bottom"/>
          </w:tcPr>
          <w:p w14:paraId="6B59E449" w14:textId="77777777" w:rsidR="00D1587D" w:rsidRDefault="00410D07">
            <w:pPr>
              <w:jc w:val="right"/>
              <w:rPr>
                <w:rFonts w:ascii="Arial" w:eastAsia="Arial" w:hAnsi="Arial" w:cs="Arial"/>
                <w:color w:val="0000EE"/>
                <w:w w:val="95"/>
                <w:sz w:val="18"/>
                <w:szCs w:val="18"/>
              </w:rPr>
            </w:pPr>
            <w:hyperlink w:anchor="page396">
              <w:r>
                <w:rPr>
                  <w:rFonts w:ascii="Arial" w:eastAsia="Arial" w:hAnsi="Arial" w:cs="Arial"/>
                  <w:color w:val="0000EE"/>
                  <w:w w:val="95"/>
                  <w:sz w:val="18"/>
                  <w:szCs w:val="18"/>
                </w:rPr>
                <w:t>F-i</w:t>
              </w:r>
            </w:hyperlink>
          </w:p>
        </w:tc>
        <w:tc>
          <w:tcPr>
            <w:tcW w:w="20" w:type="dxa"/>
            <w:vAlign w:val="bottom"/>
          </w:tcPr>
          <w:p w14:paraId="7297BC7A" w14:textId="77777777" w:rsidR="00D1587D" w:rsidRDefault="00D1587D">
            <w:pPr>
              <w:rPr>
                <w:sz w:val="19"/>
                <w:szCs w:val="19"/>
              </w:rPr>
            </w:pPr>
          </w:p>
        </w:tc>
      </w:tr>
    </w:tbl>
    <w:p w14:paraId="5C02F719" w14:textId="77777777" w:rsidR="00D1587D" w:rsidRDefault="00410D07">
      <w:pPr>
        <w:spacing w:line="20" w:lineRule="exact"/>
        <w:rPr>
          <w:sz w:val="20"/>
          <w:szCs w:val="20"/>
        </w:rPr>
      </w:pPr>
      <w:r>
        <w:rPr>
          <w:noProof/>
          <w:sz w:val="20"/>
          <w:szCs w:val="20"/>
        </w:rPr>
        <w:drawing>
          <wp:anchor distT="0" distB="0" distL="114300" distR="114300" simplePos="0" relativeHeight="251422720" behindDoc="1" locked="0" layoutInCell="0" allowOverlap="1" wp14:anchorId="43E8AD2A" wp14:editId="5047FEB2">
            <wp:simplePos x="0" y="0"/>
            <wp:positionH relativeFrom="column">
              <wp:posOffset>5234305</wp:posOffset>
            </wp:positionH>
            <wp:positionV relativeFrom="paragraph">
              <wp:posOffset>-3668395</wp:posOffset>
            </wp:positionV>
            <wp:extent cx="111125" cy="825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
                    <a:srcRect/>
                    <a:stretch>
                      <a:fillRect/>
                    </a:stretch>
                  </pic:blipFill>
                  <pic:spPr bwMode="auto">
                    <a:xfrm>
                      <a:off x="0" y="0"/>
                      <a:ext cx="111125" cy="8255"/>
                    </a:xfrm>
                    <a:prstGeom prst="rect">
                      <a:avLst/>
                    </a:prstGeom>
                    <a:noFill/>
                  </pic:spPr>
                </pic:pic>
              </a:graphicData>
            </a:graphic>
          </wp:anchor>
        </w:drawing>
      </w:r>
    </w:p>
    <w:p w14:paraId="78CE6EAB" w14:textId="77777777" w:rsidR="00D1587D" w:rsidRDefault="00D1587D">
      <w:pPr>
        <w:spacing w:line="263" w:lineRule="exact"/>
        <w:rPr>
          <w:sz w:val="20"/>
          <w:szCs w:val="20"/>
        </w:rPr>
      </w:pPr>
    </w:p>
    <w:p w14:paraId="2278883D" w14:textId="77777777" w:rsidR="00D1587D" w:rsidRDefault="00410D07">
      <w:pPr>
        <w:jc w:val="center"/>
        <w:rPr>
          <w:sz w:val="20"/>
          <w:szCs w:val="20"/>
        </w:rPr>
      </w:pPr>
      <w:r>
        <w:rPr>
          <w:rFonts w:ascii="Arial" w:eastAsia="Arial" w:hAnsi="Arial" w:cs="Arial"/>
          <w:sz w:val="18"/>
          <w:szCs w:val="18"/>
        </w:rPr>
        <w:t>i</w:t>
      </w:r>
    </w:p>
    <w:p w14:paraId="050F5837" w14:textId="77777777" w:rsidR="00D1587D" w:rsidRDefault="00410D07">
      <w:pPr>
        <w:spacing w:line="20" w:lineRule="exact"/>
        <w:rPr>
          <w:sz w:val="20"/>
          <w:szCs w:val="20"/>
        </w:rPr>
      </w:pPr>
      <w:r>
        <w:rPr>
          <w:noProof/>
          <w:sz w:val="20"/>
          <w:szCs w:val="20"/>
        </w:rPr>
        <w:drawing>
          <wp:anchor distT="0" distB="0" distL="114300" distR="114300" simplePos="0" relativeHeight="251423744" behindDoc="1" locked="0" layoutInCell="0" allowOverlap="1" wp14:anchorId="7502D5B7" wp14:editId="08CDD2A2">
            <wp:simplePos x="0" y="0"/>
            <wp:positionH relativeFrom="column">
              <wp:posOffset>-636905</wp:posOffset>
            </wp:positionH>
            <wp:positionV relativeFrom="paragraph">
              <wp:posOffset>126365</wp:posOffset>
            </wp:positionV>
            <wp:extent cx="6995160" cy="1714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8B7F778" w14:textId="77777777" w:rsidR="00D1587D" w:rsidRDefault="00D1587D">
      <w:pPr>
        <w:sectPr w:rsidR="00D1587D">
          <w:pgSz w:w="11900" w:h="16838"/>
          <w:pgMar w:top="265" w:right="1440" w:bottom="1440" w:left="1440" w:header="0" w:footer="0" w:gutter="0"/>
          <w:cols w:space="720" w:equalWidth="0">
            <w:col w:w="9019"/>
          </w:cols>
        </w:sectPr>
      </w:pPr>
    </w:p>
    <w:bookmarkStart w:id="256" w:name="page257"/>
    <w:bookmarkEnd w:id="256"/>
    <w:p w14:paraId="049D86F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A50944B" w14:textId="77777777" w:rsidR="00D1587D" w:rsidRDefault="00D1587D">
      <w:pPr>
        <w:spacing w:line="127" w:lineRule="exact"/>
        <w:rPr>
          <w:sz w:val="20"/>
          <w:szCs w:val="20"/>
        </w:rPr>
      </w:pPr>
    </w:p>
    <w:p w14:paraId="7055C8CD" w14:textId="77777777" w:rsidR="00D1587D" w:rsidRDefault="00410D07">
      <w:pPr>
        <w:spacing w:line="393" w:lineRule="auto"/>
        <w:ind w:left="660" w:right="2359" w:firstLine="1688"/>
        <w:rPr>
          <w:sz w:val="20"/>
          <w:szCs w:val="20"/>
        </w:rPr>
      </w:pPr>
      <w:r>
        <w:rPr>
          <w:rFonts w:ascii="Arial" w:eastAsia="Arial" w:hAnsi="Arial" w:cs="Arial"/>
          <w:b/>
          <w:bCs/>
          <w:sz w:val="18"/>
          <w:szCs w:val="18"/>
        </w:rPr>
        <w:t xml:space="preserve">NOTE REGARDING THE USE OF CERTAIN TERMS </w:t>
      </w:r>
      <w:r>
        <w:rPr>
          <w:rFonts w:ascii="Arial" w:eastAsia="Arial" w:hAnsi="Arial" w:cs="Arial"/>
          <w:sz w:val="18"/>
          <w:szCs w:val="18"/>
        </w:rPr>
        <w:t>We use the following terms to refer to the items indicated:</w:t>
      </w:r>
    </w:p>
    <w:p w14:paraId="26054C39" w14:textId="77777777" w:rsidR="00D1587D" w:rsidRDefault="00D1587D">
      <w:pPr>
        <w:spacing w:line="1" w:lineRule="exact"/>
        <w:rPr>
          <w:sz w:val="20"/>
          <w:szCs w:val="20"/>
        </w:rPr>
      </w:pPr>
    </w:p>
    <w:p w14:paraId="3449E1FA" w14:textId="77777777" w:rsidR="00D1587D" w:rsidRDefault="00410D07">
      <w:pPr>
        <w:numPr>
          <w:ilvl w:val="0"/>
          <w:numId w:val="209"/>
        </w:numPr>
        <w:tabs>
          <w:tab w:val="left" w:pos="1000"/>
        </w:tabs>
        <w:spacing w:line="273" w:lineRule="auto"/>
        <w:ind w:left="1000" w:right="439" w:hanging="348"/>
        <w:rPr>
          <w:rFonts w:ascii="Arial" w:eastAsia="Arial" w:hAnsi="Arial" w:cs="Arial"/>
          <w:sz w:val="17"/>
          <w:szCs w:val="17"/>
        </w:rPr>
      </w:pPr>
      <w:r>
        <w:rPr>
          <w:rFonts w:ascii="Arial" w:eastAsia="Arial" w:hAnsi="Arial" w:cs="Arial"/>
          <w:sz w:val="17"/>
          <w:szCs w:val="17"/>
        </w:rPr>
        <w:t>“We,” “us,” “our,” “Company,” “Victoria’s Secret” and “VS,” unless the context otherwise requires, refer to Victoria’s Secret &amp; Co., the entity that at the</w:t>
      </w:r>
      <w:r>
        <w:rPr>
          <w:rFonts w:ascii="Arial" w:eastAsia="Arial" w:hAnsi="Arial" w:cs="Arial"/>
          <w:sz w:val="17"/>
          <w:szCs w:val="17"/>
        </w:rPr>
        <w:t xml:space="preserve"> time of the Distribution will hold, directly or indirectly through its subsidiaries, certain assets and liabilities associated with the Spin Business, as defined below, and whose shares LB will distribute in connection with the Separation. Where appropria</w:t>
      </w:r>
      <w:r>
        <w:rPr>
          <w:rFonts w:ascii="Arial" w:eastAsia="Arial" w:hAnsi="Arial" w:cs="Arial"/>
          <w:sz w:val="17"/>
          <w:szCs w:val="17"/>
        </w:rPr>
        <w:t>te in the context, the foregoing terms also include the subsidiaries of this entity; these terms may be used to describe the Spin Business prior to completion of the Separation.</w:t>
      </w:r>
    </w:p>
    <w:p w14:paraId="116F014D" w14:textId="77777777" w:rsidR="00D1587D" w:rsidRDefault="00D1587D">
      <w:pPr>
        <w:spacing w:line="69" w:lineRule="exact"/>
        <w:rPr>
          <w:rFonts w:ascii="Arial" w:eastAsia="Arial" w:hAnsi="Arial" w:cs="Arial"/>
          <w:sz w:val="17"/>
          <w:szCs w:val="17"/>
        </w:rPr>
      </w:pPr>
    </w:p>
    <w:p w14:paraId="6A919367" w14:textId="77777777" w:rsidR="00D1587D" w:rsidRDefault="00410D07">
      <w:pPr>
        <w:numPr>
          <w:ilvl w:val="0"/>
          <w:numId w:val="209"/>
        </w:numPr>
        <w:tabs>
          <w:tab w:val="left" w:pos="1000"/>
        </w:tabs>
        <w:spacing w:line="311" w:lineRule="auto"/>
        <w:ind w:left="1000" w:right="419" w:hanging="348"/>
        <w:jc w:val="both"/>
        <w:rPr>
          <w:rFonts w:ascii="Arial" w:eastAsia="Arial" w:hAnsi="Arial" w:cs="Arial"/>
          <w:sz w:val="16"/>
          <w:szCs w:val="16"/>
        </w:rPr>
      </w:pPr>
      <w:r>
        <w:rPr>
          <w:rFonts w:ascii="Arial" w:eastAsia="Arial" w:hAnsi="Arial" w:cs="Arial"/>
          <w:sz w:val="16"/>
          <w:szCs w:val="16"/>
        </w:rPr>
        <w:t xml:space="preserve">The “Spin Business” refers to the business, operations, products, </w:t>
      </w:r>
      <w:r>
        <w:rPr>
          <w:rFonts w:ascii="Arial" w:eastAsia="Arial" w:hAnsi="Arial" w:cs="Arial"/>
          <w:sz w:val="16"/>
          <w:szCs w:val="16"/>
        </w:rPr>
        <w:t>services and activities of LB’s specialty retail business with respect to women’s intimate and other apparel, accessories, beauty care products and fragrances conducted under the Victoria’s Secret and PINK brands. See “Business” for more information.</w:t>
      </w:r>
    </w:p>
    <w:p w14:paraId="6DD0CB9A" w14:textId="77777777" w:rsidR="00D1587D" w:rsidRDefault="00D1587D">
      <w:pPr>
        <w:spacing w:line="40" w:lineRule="exact"/>
        <w:rPr>
          <w:rFonts w:ascii="Arial" w:eastAsia="Arial" w:hAnsi="Arial" w:cs="Arial"/>
          <w:sz w:val="16"/>
          <w:szCs w:val="16"/>
        </w:rPr>
      </w:pPr>
    </w:p>
    <w:p w14:paraId="7E1FD671" w14:textId="77777777" w:rsidR="00D1587D" w:rsidRDefault="00410D07">
      <w:pPr>
        <w:numPr>
          <w:ilvl w:val="0"/>
          <w:numId w:val="209"/>
        </w:numPr>
        <w:tabs>
          <w:tab w:val="left" w:pos="1000"/>
        </w:tabs>
        <w:spacing w:line="263" w:lineRule="auto"/>
        <w:ind w:left="1000" w:right="479" w:hanging="348"/>
        <w:rPr>
          <w:rFonts w:ascii="Arial" w:eastAsia="Arial" w:hAnsi="Arial" w:cs="Arial"/>
          <w:sz w:val="18"/>
          <w:szCs w:val="18"/>
        </w:rPr>
      </w:pPr>
      <w:r>
        <w:rPr>
          <w:rFonts w:ascii="Arial" w:eastAsia="Arial" w:hAnsi="Arial" w:cs="Arial"/>
          <w:sz w:val="18"/>
          <w:szCs w:val="18"/>
        </w:rPr>
        <w:t>Exce</w:t>
      </w:r>
      <w:r>
        <w:rPr>
          <w:rFonts w:ascii="Arial" w:eastAsia="Arial" w:hAnsi="Arial" w:cs="Arial"/>
          <w:sz w:val="18"/>
          <w:szCs w:val="18"/>
        </w:rPr>
        <w:t>pt where the context otherwise requires, the term “LB” refers to L Brands, Inc., the entity that owns VS prior to the Separation and that after the Separation will be a separately traded public company consisting of its remaining operations.</w:t>
      </w:r>
    </w:p>
    <w:p w14:paraId="2672A4DD" w14:textId="77777777" w:rsidR="00D1587D" w:rsidRDefault="00D1587D">
      <w:pPr>
        <w:spacing w:line="75" w:lineRule="exact"/>
        <w:rPr>
          <w:rFonts w:ascii="Arial" w:eastAsia="Arial" w:hAnsi="Arial" w:cs="Arial"/>
          <w:sz w:val="18"/>
          <w:szCs w:val="18"/>
        </w:rPr>
      </w:pPr>
    </w:p>
    <w:p w14:paraId="172B76D9" w14:textId="77777777" w:rsidR="00D1587D" w:rsidRDefault="00410D07">
      <w:pPr>
        <w:numPr>
          <w:ilvl w:val="0"/>
          <w:numId w:val="209"/>
        </w:numPr>
        <w:tabs>
          <w:tab w:val="left" w:pos="1000"/>
        </w:tabs>
        <w:spacing w:line="277" w:lineRule="auto"/>
        <w:ind w:left="1000" w:right="359" w:hanging="348"/>
        <w:rPr>
          <w:rFonts w:ascii="Arial" w:eastAsia="Arial" w:hAnsi="Arial" w:cs="Arial"/>
          <w:sz w:val="18"/>
          <w:szCs w:val="18"/>
        </w:rPr>
      </w:pPr>
      <w:r>
        <w:rPr>
          <w:rFonts w:ascii="Arial" w:eastAsia="Arial" w:hAnsi="Arial" w:cs="Arial"/>
          <w:sz w:val="18"/>
          <w:szCs w:val="18"/>
        </w:rPr>
        <w:t xml:space="preserve">The term </w:t>
      </w:r>
      <w:r>
        <w:rPr>
          <w:rFonts w:ascii="Arial" w:eastAsia="Arial" w:hAnsi="Arial" w:cs="Arial"/>
          <w:sz w:val="18"/>
          <w:szCs w:val="18"/>
        </w:rPr>
        <w:t>“Distribution” refers to the distribution of all of the shares of VS common stock owned by LB to stockholders of LB as of the record date.</w:t>
      </w:r>
    </w:p>
    <w:p w14:paraId="797B1E06" w14:textId="77777777" w:rsidR="00D1587D" w:rsidRDefault="00D1587D">
      <w:pPr>
        <w:spacing w:line="62" w:lineRule="exact"/>
        <w:rPr>
          <w:rFonts w:ascii="Arial" w:eastAsia="Arial" w:hAnsi="Arial" w:cs="Arial"/>
          <w:sz w:val="18"/>
          <w:szCs w:val="18"/>
        </w:rPr>
      </w:pPr>
    </w:p>
    <w:p w14:paraId="033BB90E" w14:textId="77777777" w:rsidR="00D1587D" w:rsidRDefault="00410D07">
      <w:pPr>
        <w:numPr>
          <w:ilvl w:val="0"/>
          <w:numId w:val="209"/>
        </w:numPr>
        <w:tabs>
          <w:tab w:val="left" w:pos="1000"/>
        </w:tabs>
        <w:spacing w:line="263" w:lineRule="auto"/>
        <w:ind w:left="1000" w:right="339" w:hanging="348"/>
        <w:rPr>
          <w:rFonts w:ascii="Arial" w:eastAsia="Arial" w:hAnsi="Arial" w:cs="Arial"/>
          <w:sz w:val="18"/>
          <w:szCs w:val="18"/>
        </w:rPr>
      </w:pPr>
      <w:r>
        <w:rPr>
          <w:rFonts w:ascii="Arial" w:eastAsia="Arial" w:hAnsi="Arial" w:cs="Arial"/>
          <w:sz w:val="18"/>
          <w:szCs w:val="18"/>
        </w:rPr>
        <w:t>The term “Restructuring” refers to the series of transactions which will result in certain assets, liabilities and l</w:t>
      </w:r>
      <w:r>
        <w:rPr>
          <w:rFonts w:ascii="Arial" w:eastAsia="Arial" w:hAnsi="Arial" w:cs="Arial"/>
          <w:sz w:val="18"/>
          <w:szCs w:val="18"/>
        </w:rPr>
        <w:t>egal entities comprising the Spin Business being owned directly, or indirectly through its subsidiaries, by VS.</w:t>
      </w:r>
    </w:p>
    <w:p w14:paraId="2536FEB7" w14:textId="77777777" w:rsidR="00D1587D" w:rsidRDefault="00D1587D">
      <w:pPr>
        <w:spacing w:line="75" w:lineRule="exact"/>
        <w:rPr>
          <w:rFonts w:ascii="Arial" w:eastAsia="Arial" w:hAnsi="Arial" w:cs="Arial"/>
          <w:sz w:val="18"/>
          <w:szCs w:val="18"/>
        </w:rPr>
      </w:pPr>
    </w:p>
    <w:p w14:paraId="49D687E7" w14:textId="77777777" w:rsidR="00D1587D" w:rsidRDefault="00410D07">
      <w:pPr>
        <w:numPr>
          <w:ilvl w:val="0"/>
          <w:numId w:val="209"/>
        </w:numPr>
        <w:tabs>
          <w:tab w:val="left" w:pos="1000"/>
        </w:tabs>
        <w:spacing w:line="274" w:lineRule="auto"/>
        <w:ind w:left="1000" w:right="639" w:hanging="348"/>
        <w:rPr>
          <w:rFonts w:ascii="Arial" w:eastAsia="Arial" w:hAnsi="Arial" w:cs="Arial"/>
          <w:sz w:val="17"/>
          <w:szCs w:val="17"/>
        </w:rPr>
      </w:pPr>
      <w:r>
        <w:rPr>
          <w:rFonts w:ascii="Arial" w:eastAsia="Arial" w:hAnsi="Arial" w:cs="Arial"/>
          <w:sz w:val="17"/>
          <w:szCs w:val="17"/>
        </w:rPr>
        <w:t>Except where the context otherwise requires, the term “Separation” refers to the separation of the Spin Business from LB and the creation of an</w:t>
      </w:r>
      <w:r>
        <w:rPr>
          <w:rFonts w:ascii="Arial" w:eastAsia="Arial" w:hAnsi="Arial" w:cs="Arial"/>
          <w:sz w:val="17"/>
          <w:szCs w:val="17"/>
        </w:rPr>
        <w:t xml:space="preserve"> independent, publicly traded company, VS, through</w:t>
      </w:r>
    </w:p>
    <w:p w14:paraId="46287618" w14:textId="77777777" w:rsidR="00D1587D" w:rsidRDefault="00410D07">
      <w:pPr>
        <w:ind w:left="1000"/>
        <w:rPr>
          <w:rFonts w:ascii="Arial" w:eastAsia="Arial" w:hAnsi="Arial" w:cs="Arial"/>
          <w:sz w:val="17"/>
          <w:szCs w:val="17"/>
        </w:rPr>
      </w:pPr>
      <w:r>
        <w:rPr>
          <w:rFonts w:ascii="Arial" w:eastAsia="Arial" w:hAnsi="Arial" w:cs="Arial"/>
          <w:sz w:val="18"/>
          <w:szCs w:val="18"/>
        </w:rPr>
        <w:t>(1) the Restructuring and (2) the Distribution.</w:t>
      </w:r>
    </w:p>
    <w:p w14:paraId="19475402" w14:textId="77777777" w:rsidR="00D1587D" w:rsidRDefault="00D1587D">
      <w:pPr>
        <w:spacing w:line="102" w:lineRule="exact"/>
        <w:rPr>
          <w:rFonts w:ascii="Arial" w:eastAsia="Arial" w:hAnsi="Arial" w:cs="Arial"/>
          <w:sz w:val="17"/>
          <w:szCs w:val="17"/>
        </w:rPr>
      </w:pPr>
    </w:p>
    <w:p w14:paraId="606E89AC" w14:textId="77777777" w:rsidR="00D1587D" w:rsidRDefault="00410D07">
      <w:pPr>
        <w:numPr>
          <w:ilvl w:val="0"/>
          <w:numId w:val="209"/>
        </w:numPr>
        <w:tabs>
          <w:tab w:val="left" w:pos="1000"/>
        </w:tabs>
        <w:ind w:left="1000" w:hanging="348"/>
        <w:rPr>
          <w:rFonts w:ascii="Arial" w:eastAsia="Arial" w:hAnsi="Arial" w:cs="Arial"/>
          <w:sz w:val="18"/>
          <w:szCs w:val="18"/>
        </w:rPr>
      </w:pPr>
      <w:r>
        <w:rPr>
          <w:rFonts w:ascii="Arial" w:eastAsia="Arial" w:hAnsi="Arial" w:cs="Arial"/>
          <w:sz w:val="18"/>
          <w:szCs w:val="18"/>
        </w:rPr>
        <w:t>The term “Distribution Date” means the date on which the Distribution occurs.</w:t>
      </w:r>
    </w:p>
    <w:p w14:paraId="0BA46720" w14:textId="77777777" w:rsidR="00D1587D" w:rsidRDefault="00D1587D">
      <w:pPr>
        <w:spacing w:line="117" w:lineRule="exact"/>
        <w:rPr>
          <w:sz w:val="20"/>
          <w:szCs w:val="20"/>
        </w:rPr>
      </w:pPr>
    </w:p>
    <w:p w14:paraId="3D14EFB9" w14:textId="77777777" w:rsidR="00D1587D" w:rsidRDefault="00410D07">
      <w:pPr>
        <w:spacing w:line="291" w:lineRule="auto"/>
        <w:ind w:left="300" w:right="339" w:firstLine="360"/>
        <w:rPr>
          <w:sz w:val="20"/>
          <w:szCs w:val="20"/>
        </w:rPr>
      </w:pPr>
      <w:r>
        <w:rPr>
          <w:rFonts w:ascii="Arial" w:eastAsia="Arial" w:hAnsi="Arial" w:cs="Arial"/>
          <w:sz w:val="16"/>
          <w:szCs w:val="16"/>
        </w:rPr>
        <w:t>We own various trademark registrations and applications, and unregistered tra</w:t>
      </w:r>
      <w:r>
        <w:rPr>
          <w:rFonts w:ascii="Arial" w:eastAsia="Arial" w:hAnsi="Arial" w:cs="Arial"/>
          <w:sz w:val="16"/>
          <w:szCs w:val="16"/>
        </w:rPr>
        <w:t>demarks, including VICTORIA’S SECRET and PINK. All other trade names, trademarks and service marks of other companies appearing in this information statement are the property of their respective holders. Solely for convenience, the trademarks and trade nam</w:t>
      </w:r>
      <w:r>
        <w:rPr>
          <w:rFonts w:ascii="Arial" w:eastAsia="Arial" w:hAnsi="Arial" w:cs="Arial"/>
          <w:sz w:val="16"/>
          <w:szCs w:val="16"/>
        </w:rPr>
        <w:t>es in this information statement may be referred to without the ® and ™ symbols, but such references should not be construed as any indicator that their respective owners will not assert, to the fullest extent under applicable law, their rights thereto. We</w:t>
      </w:r>
      <w:r>
        <w:rPr>
          <w:rFonts w:ascii="Arial" w:eastAsia="Arial" w:hAnsi="Arial" w:cs="Arial"/>
          <w:sz w:val="16"/>
          <w:szCs w:val="16"/>
        </w:rPr>
        <w:t xml:space="preserve"> do not intend to use or display other companies’ trademarks and trade names to imply a relationship with, or endorsement or sponsorship of us by, any other companies.</w:t>
      </w:r>
    </w:p>
    <w:p w14:paraId="673D4F6A" w14:textId="77777777" w:rsidR="00D1587D" w:rsidRDefault="00D1587D">
      <w:pPr>
        <w:spacing w:line="58" w:lineRule="exact"/>
        <w:rPr>
          <w:sz w:val="20"/>
          <w:szCs w:val="20"/>
        </w:rPr>
      </w:pPr>
    </w:p>
    <w:p w14:paraId="361C9317" w14:textId="77777777" w:rsidR="00D1587D" w:rsidRDefault="00410D07">
      <w:pPr>
        <w:spacing w:line="269" w:lineRule="auto"/>
        <w:ind w:left="300" w:right="339" w:firstLine="360"/>
        <w:rPr>
          <w:sz w:val="20"/>
          <w:szCs w:val="20"/>
        </w:rPr>
      </w:pPr>
      <w:r>
        <w:rPr>
          <w:rFonts w:ascii="Arial" w:eastAsia="Arial" w:hAnsi="Arial" w:cs="Arial"/>
          <w:sz w:val="17"/>
          <w:szCs w:val="17"/>
        </w:rPr>
        <w:t xml:space="preserve">This information statement includes industry and market data that we obtained from </w:t>
      </w:r>
      <w:r>
        <w:rPr>
          <w:rFonts w:ascii="Arial" w:eastAsia="Arial" w:hAnsi="Arial" w:cs="Arial"/>
          <w:sz w:val="17"/>
          <w:szCs w:val="17"/>
        </w:rPr>
        <w:t>industry publications, third-party studies and surveys as well as internal company surveys. Industry publications and surveys generally state that the information contained therein has been obtained from sources believed to be reliable. Each publication, s</w:t>
      </w:r>
      <w:r>
        <w:rPr>
          <w:rFonts w:ascii="Arial" w:eastAsia="Arial" w:hAnsi="Arial" w:cs="Arial"/>
          <w:sz w:val="17"/>
          <w:szCs w:val="17"/>
        </w:rPr>
        <w:t xml:space="preserve">tudy and report speaks as of its original publication date (and not as of the date of this information statement). While we are not aware of any misstatements regarding the industry or market data presented herein, such data and estimates, particularly as </w:t>
      </w:r>
      <w:r>
        <w:rPr>
          <w:rFonts w:ascii="Arial" w:eastAsia="Arial" w:hAnsi="Arial" w:cs="Arial"/>
          <w:sz w:val="17"/>
          <w:szCs w:val="17"/>
        </w:rPr>
        <w:t>they relate to market size, market growth, and our general expectations, involve important risks, uncertainties and assumptions and are subject to change based on various factors, including those discussed under the headings “Risk Factors,” “Special Note R</w:t>
      </w:r>
      <w:r>
        <w:rPr>
          <w:rFonts w:ascii="Arial" w:eastAsia="Arial" w:hAnsi="Arial" w:cs="Arial"/>
          <w:sz w:val="17"/>
          <w:szCs w:val="17"/>
        </w:rPr>
        <w:t>egarding Forward-Looking Information,” and “Management’s Discussion and Analysis of Financial Condition and Results of Operations” in this information statement. These and other factors could cause results to differ materially from those expressed in the e</w:t>
      </w:r>
      <w:r>
        <w:rPr>
          <w:rFonts w:ascii="Arial" w:eastAsia="Arial" w:hAnsi="Arial" w:cs="Arial"/>
          <w:sz w:val="17"/>
          <w:szCs w:val="17"/>
        </w:rPr>
        <w:t>stimates and beliefs made by third parties and by us.</w:t>
      </w:r>
    </w:p>
    <w:p w14:paraId="01439D52" w14:textId="77777777" w:rsidR="00D1587D" w:rsidRDefault="00D1587D">
      <w:pPr>
        <w:spacing w:line="74" w:lineRule="exact"/>
        <w:rPr>
          <w:sz w:val="20"/>
          <w:szCs w:val="20"/>
        </w:rPr>
      </w:pPr>
    </w:p>
    <w:p w14:paraId="19F6FC9A" w14:textId="77777777" w:rsidR="00D1587D" w:rsidRDefault="00410D07">
      <w:pPr>
        <w:spacing w:line="257" w:lineRule="auto"/>
        <w:ind w:left="300" w:right="399" w:firstLine="360"/>
        <w:rPr>
          <w:sz w:val="20"/>
          <w:szCs w:val="20"/>
        </w:rPr>
      </w:pPr>
      <w:r>
        <w:rPr>
          <w:rFonts w:ascii="Arial" w:eastAsia="Arial" w:hAnsi="Arial" w:cs="Arial"/>
          <w:sz w:val="18"/>
          <w:szCs w:val="18"/>
        </w:rPr>
        <w:t>We will operate and report using a 52/53 week fiscal year ending on the Saturday closest to January 31 of each year. Except where the context otherwise requires, all references to “2020,” “2019,” and “</w:t>
      </w:r>
      <w:r>
        <w:rPr>
          <w:rFonts w:ascii="Arial" w:eastAsia="Arial" w:hAnsi="Arial" w:cs="Arial"/>
          <w:sz w:val="18"/>
          <w:szCs w:val="18"/>
        </w:rPr>
        <w:t>2018” relate to the fiscal periods ended January 30, 2021, February 1, 2020 and February 2, 2019, respectively. As used herein, “first quarter of 2021” and “first quarter of 2020” refer to the thirteen-week periods ended May 1, 2021 and May 2, 2020, respec</w:t>
      </w:r>
      <w:r>
        <w:rPr>
          <w:rFonts w:ascii="Arial" w:eastAsia="Arial" w:hAnsi="Arial" w:cs="Arial"/>
          <w:sz w:val="18"/>
          <w:szCs w:val="18"/>
        </w:rPr>
        <w:t>tively.</w:t>
      </w:r>
    </w:p>
    <w:p w14:paraId="3345610F" w14:textId="77777777" w:rsidR="00D1587D" w:rsidRDefault="00D1587D">
      <w:pPr>
        <w:spacing w:line="188" w:lineRule="exact"/>
        <w:rPr>
          <w:sz w:val="20"/>
          <w:szCs w:val="20"/>
        </w:rPr>
      </w:pPr>
    </w:p>
    <w:p w14:paraId="07A95BE0" w14:textId="77777777" w:rsidR="00D1587D" w:rsidRDefault="00410D07">
      <w:pPr>
        <w:ind w:right="19"/>
        <w:jc w:val="center"/>
        <w:rPr>
          <w:sz w:val="20"/>
          <w:szCs w:val="20"/>
        </w:rPr>
      </w:pPr>
      <w:r>
        <w:rPr>
          <w:rFonts w:ascii="Arial" w:eastAsia="Arial" w:hAnsi="Arial" w:cs="Arial"/>
          <w:sz w:val="18"/>
          <w:szCs w:val="18"/>
        </w:rPr>
        <w:t>ii</w:t>
      </w:r>
    </w:p>
    <w:p w14:paraId="07364CEC" w14:textId="77777777" w:rsidR="00D1587D" w:rsidRDefault="00410D07">
      <w:pPr>
        <w:spacing w:line="20" w:lineRule="exact"/>
        <w:rPr>
          <w:sz w:val="20"/>
          <w:szCs w:val="20"/>
        </w:rPr>
      </w:pPr>
      <w:r>
        <w:rPr>
          <w:noProof/>
          <w:sz w:val="20"/>
          <w:szCs w:val="20"/>
        </w:rPr>
        <w:drawing>
          <wp:anchor distT="0" distB="0" distL="114300" distR="114300" simplePos="0" relativeHeight="251424768" behindDoc="1" locked="0" layoutInCell="0" allowOverlap="1" wp14:anchorId="5B163BC9" wp14:editId="7F006AED">
            <wp:simplePos x="0" y="0"/>
            <wp:positionH relativeFrom="column">
              <wp:posOffset>-636905</wp:posOffset>
            </wp:positionH>
            <wp:positionV relativeFrom="paragraph">
              <wp:posOffset>134620</wp:posOffset>
            </wp:positionV>
            <wp:extent cx="6995160" cy="1714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931BFD4" w14:textId="77777777" w:rsidR="00D1587D" w:rsidRDefault="00D1587D">
      <w:pPr>
        <w:sectPr w:rsidR="00D1587D">
          <w:pgSz w:w="11900" w:h="16838"/>
          <w:pgMar w:top="265" w:right="1440" w:bottom="1440" w:left="1440" w:header="0" w:footer="0" w:gutter="0"/>
          <w:cols w:space="720" w:equalWidth="0">
            <w:col w:w="9019"/>
          </w:cols>
        </w:sectPr>
      </w:pPr>
    </w:p>
    <w:bookmarkStart w:id="257" w:name="page258"/>
    <w:bookmarkEnd w:id="257"/>
    <w:p w14:paraId="1499122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F5A3424" w14:textId="77777777" w:rsidR="00D1587D" w:rsidRDefault="00D1587D">
      <w:pPr>
        <w:spacing w:line="127" w:lineRule="exact"/>
        <w:rPr>
          <w:sz w:val="20"/>
          <w:szCs w:val="20"/>
        </w:rPr>
      </w:pPr>
    </w:p>
    <w:p w14:paraId="528F17FA" w14:textId="77777777" w:rsidR="00D1587D" w:rsidRDefault="00410D07">
      <w:pPr>
        <w:jc w:val="center"/>
        <w:rPr>
          <w:sz w:val="20"/>
          <w:szCs w:val="20"/>
        </w:rPr>
      </w:pPr>
      <w:r>
        <w:rPr>
          <w:rFonts w:ascii="Arial" w:eastAsia="Arial" w:hAnsi="Arial" w:cs="Arial"/>
          <w:b/>
          <w:bCs/>
          <w:sz w:val="18"/>
          <w:szCs w:val="18"/>
        </w:rPr>
        <w:t>SPECIAL NOTE REGARDING FORWARD-LOOKING STATEMENTS</w:t>
      </w:r>
    </w:p>
    <w:p w14:paraId="5697B5EC" w14:textId="77777777" w:rsidR="00D1587D" w:rsidRDefault="00D1587D">
      <w:pPr>
        <w:spacing w:line="121" w:lineRule="exact"/>
        <w:rPr>
          <w:sz w:val="20"/>
          <w:szCs w:val="20"/>
        </w:rPr>
      </w:pPr>
    </w:p>
    <w:p w14:paraId="152B125A" w14:textId="77777777" w:rsidR="00D1587D" w:rsidRDefault="00410D07">
      <w:pPr>
        <w:spacing w:line="287" w:lineRule="auto"/>
        <w:ind w:left="300" w:right="299" w:firstLine="360"/>
        <w:rPr>
          <w:sz w:val="20"/>
          <w:szCs w:val="20"/>
        </w:rPr>
      </w:pPr>
      <w:r>
        <w:rPr>
          <w:rFonts w:ascii="Arial" w:eastAsia="Arial" w:hAnsi="Arial" w:cs="Arial"/>
          <w:sz w:val="16"/>
          <w:szCs w:val="16"/>
        </w:rPr>
        <w:t xml:space="preserve">We have made statements under the captions “Summary,” “Risk Factors,” “Management’s Discussion and Analysis of </w:t>
      </w:r>
      <w:r>
        <w:rPr>
          <w:rFonts w:ascii="Arial" w:eastAsia="Arial" w:hAnsi="Arial" w:cs="Arial"/>
          <w:sz w:val="16"/>
          <w:szCs w:val="16"/>
        </w:rPr>
        <w:t>Financial Condition and Results of Operations,” “Business” and in other sections of this information statement that are forward-looking statements. In some cases, you can identify these statements by forward-looking words such as “may,” “might,” “will,” “s</w:t>
      </w:r>
      <w:r>
        <w:rPr>
          <w:rFonts w:ascii="Arial" w:eastAsia="Arial" w:hAnsi="Arial" w:cs="Arial"/>
          <w:sz w:val="16"/>
          <w:szCs w:val="16"/>
        </w:rPr>
        <w:t>hould,” “expects,” “plans,” “anticipates,” “believes,” “estimates,” “predicts,” “potential” or “continue,” the negative of these terms and other comparable terminology. These forward-looking statements, which are subject to risks, uncertainties and assumpt</w:t>
      </w:r>
      <w:r>
        <w:rPr>
          <w:rFonts w:ascii="Arial" w:eastAsia="Arial" w:hAnsi="Arial" w:cs="Arial"/>
          <w:sz w:val="16"/>
          <w:szCs w:val="16"/>
        </w:rPr>
        <w:t>ions about us, may include projections, forecasts or assumptions of our future financial performance, our anticipated growth strategies and anticipated trends in our business. These statements are only predictions based on our current expectations and proj</w:t>
      </w:r>
      <w:r>
        <w:rPr>
          <w:rFonts w:ascii="Arial" w:eastAsia="Arial" w:hAnsi="Arial" w:cs="Arial"/>
          <w:sz w:val="16"/>
          <w:szCs w:val="16"/>
        </w:rPr>
        <w:t>ections about future events. There are important factors that could cause our actual results, level of activity, performance or achievements to differ materially from the results, level of activity, performance or achievements expressed or implied by the f</w:t>
      </w:r>
      <w:r>
        <w:rPr>
          <w:rFonts w:ascii="Arial" w:eastAsia="Arial" w:hAnsi="Arial" w:cs="Arial"/>
          <w:sz w:val="16"/>
          <w:szCs w:val="16"/>
        </w:rPr>
        <w:t>orward-looking statements, including the numerous risks discussed under the caption entitled “Risk Factors.”</w:t>
      </w:r>
    </w:p>
    <w:p w14:paraId="306BC496" w14:textId="77777777" w:rsidR="00D1587D" w:rsidRDefault="00D1587D">
      <w:pPr>
        <w:spacing w:line="64" w:lineRule="exact"/>
        <w:rPr>
          <w:sz w:val="20"/>
          <w:szCs w:val="20"/>
        </w:rPr>
      </w:pPr>
    </w:p>
    <w:p w14:paraId="316189AE" w14:textId="77777777" w:rsidR="00D1587D" w:rsidRDefault="00410D07">
      <w:pPr>
        <w:spacing w:line="296" w:lineRule="auto"/>
        <w:ind w:left="300" w:right="439" w:firstLine="360"/>
        <w:rPr>
          <w:sz w:val="20"/>
          <w:szCs w:val="20"/>
        </w:rPr>
      </w:pPr>
      <w:r>
        <w:rPr>
          <w:rFonts w:ascii="Arial" w:eastAsia="Arial" w:hAnsi="Arial" w:cs="Arial"/>
          <w:sz w:val="16"/>
          <w:szCs w:val="16"/>
        </w:rPr>
        <w:t>Although we believe the expectations reflected in the forward-looking statements are reasonable, we cannot guarantee future results, level of acti</w:t>
      </w:r>
      <w:r>
        <w:rPr>
          <w:rFonts w:ascii="Arial" w:eastAsia="Arial" w:hAnsi="Arial" w:cs="Arial"/>
          <w:sz w:val="16"/>
          <w:szCs w:val="16"/>
        </w:rPr>
        <w:t xml:space="preserve">vity, performance or achievements. Moreover, neither we nor any other person assumes responsibility for the accuracy and completeness of any of these forward-looking statements. Except as required by law, neither LB nor we are under any duty to update any </w:t>
      </w:r>
      <w:r>
        <w:rPr>
          <w:rFonts w:ascii="Arial" w:eastAsia="Arial" w:hAnsi="Arial" w:cs="Arial"/>
          <w:sz w:val="16"/>
          <w:szCs w:val="16"/>
        </w:rPr>
        <w:t>of these forward-looking statements after the date of this information statement to conform our prior statements to actual results or revised expectations.</w:t>
      </w:r>
    </w:p>
    <w:p w14:paraId="05EBB43A" w14:textId="77777777" w:rsidR="00D1587D" w:rsidRDefault="00D1587D">
      <w:pPr>
        <w:spacing w:line="161" w:lineRule="exact"/>
        <w:rPr>
          <w:sz w:val="20"/>
          <w:szCs w:val="20"/>
        </w:rPr>
      </w:pPr>
    </w:p>
    <w:p w14:paraId="3E6DCAA5" w14:textId="77777777" w:rsidR="00D1587D" w:rsidRDefault="00410D07">
      <w:pPr>
        <w:jc w:val="center"/>
        <w:rPr>
          <w:sz w:val="20"/>
          <w:szCs w:val="20"/>
        </w:rPr>
      </w:pPr>
      <w:r>
        <w:rPr>
          <w:rFonts w:ascii="Arial" w:eastAsia="Arial" w:hAnsi="Arial" w:cs="Arial"/>
          <w:sz w:val="18"/>
          <w:szCs w:val="18"/>
        </w:rPr>
        <w:t>iii</w:t>
      </w:r>
    </w:p>
    <w:p w14:paraId="1503F0EA" w14:textId="77777777" w:rsidR="00D1587D" w:rsidRDefault="00410D07">
      <w:pPr>
        <w:spacing w:line="20" w:lineRule="exact"/>
        <w:rPr>
          <w:sz w:val="20"/>
          <w:szCs w:val="20"/>
        </w:rPr>
      </w:pPr>
      <w:r>
        <w:rPr>
          <w:noProof/>
          <w:sz w:val="20"/>
          <w:szCs w:val="20"/>
        </w:rPr>
        <w:drawing>
          <wp:anchor distT="0" distB="0" distL="114300" distR="114300" simplePos="0" relativeHeight="251425792" behindDoc="1" locked="0" layoutInCell="0" allowOverlap="1" wp14:anchorId="4E130F4A" wp14:editId="4C3E7A33">
            <wp:simplePos x="0" y="0"/>
            <wp:positionH relativeFrom="column">
              <wp:posOffset>-636905</wp:posOffset>
            </wp:positionH>
            <wp:positionV relativeFrom="paragraph">
              <wp:posOffset>134620</wp:posOffset>
            </wp:positionV>
            <wp:extent cx="6995160" cy="1714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33DF3BC" w14:textId="77777777" w:rsidR="00D1587D" w:rsidRDefault="00D1587D">
      <w:pPr>
        <w:sectPr w:rsidR="00D1587D">
          <w:pgSz w:w="11900" w:h="16838"/>
          <w:pgMar w:top="265" w:right="1440" w:bottom="1440" w:left="1440" w:header="0" w:footer="0" w:gutter="0"/>
          <w:cols w:space="720" w:equalWidth="0">
            <w:col w:w="9019"/>
          </w:cols>
        </w:sectPr>
      </w:pPr>
    </w:p>
    <w:bookmarkStart w:id="258" w:name="page259"/>
    <w:bookmarkEnd w:id="258"/>
    <w:p w14:paraId="0ABC4C04"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4BCEB53" w14:textId="77777777" w:rsidR="00D1587D" w:rsidRDefault="00410D07">
      <w:pPr>
        <w:spacing w:line="20" w:lineRule="exact"/>
        <w:rPr>
          <w:sz w:val="20"/>
          <w:szCs w:val="20"/>
        </w:rPr>
      </w:pPr>
      <w:r>
        <w:rPr>
          <w:noProof/>
          <w:sz w:val="20"/>
          <w:szCs w:val="20"/>
        </w:rPr>
        <w:drawing>
          <wp:anchor distT="0" distB="0" distL="114300" distR="114300" simplePos="0" relativeHeight="251426816" behindDoc="1" locked="0" layoutInCell="0" allowOverlap="1" wp14:anchorId="13E2DB16" wp14:editId="00FB8555">
            <wp:simplePos x="0" y="0"/>
            <wp:positionH relativeFrom="column">
              <wp:posOffset>46355</wp:posOffset>
            </wp:positionH>
            <wp:positionV relativeFrom="paragraph">
              <wp:posOffset>90170</wp:posOffset>
            </wp:positionV>
            <wp:extent cx="5653405" cy="771906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9"/>
                    <a:srcRect/>
                    <a:stretch>
                      <a:fillRect/>
                    </a:stretch>
                  </pic:blipFill>
                  <pic:spPr bwMode="auto">
                    <a:xfrm>
                      <a:off x="0" y="0"/>
                      <a:ext cx="5653405" cy="7719060"/>
                    </a:xfrm>
                    <a:prstGeom prst="rect">
                      <a:avLst/>
                    </a:prstGeom>
                    <a:noFill/>
                  </pic:spPr>
                </pic:pic>
              </a:graphicData>
            </a:graphic>
          </wp:anchor>
        </w:drawing>
      </w:r>
    </w:p>
    <w:p w14:paraId="0E9CBFFF" w14:textId="77777777" w:rsidR="00D1587D" w:rsidRDefault="00D1587D">
      <w:pPr>
        <w:spacing w:line="200" w:lineRule="exact"/>
        <w:rPr>
          <w:sz w:val="20"/>
          <w:szCs w:val="20"/>
        </w:rPr>
      </w:pPr>
    </w:p>
    <w:p w14:paraId="2E7E6265" w14:textId="77777777" w:rsidR="00D1587D" w:rsidRDefault="00D1587D">
      <w:pPr>
        <w:spacing w:line="271" w:lineRule="exact"/>
        <w:rPr>
          <w:sz w:val="20"/>
          <w:szCs w:val="20"/>
        </w:rPr>
      </w:pPr>
    </w:p>
    <w:p w14:paraId="41917E7B" w14:textId="77777777" w:rsidR="00D1587D" w:rsidRDefault="00410D07">
      <w:pPr>
        <w:ind w:right="-40"/>
        <w:jc w:val="center"/>
        <w:rPr>
          <w:sz w:val="20"/>
          <w:szCs w:val="20"/>
        </w:rPr>
      </w:pPr>
      <w:r>
        <w:rPr>
          <w:rFonts w:ascii="Arial" w:eastAsia="Arial" w:hAnsi="Arial" w:cs="Arial"/>
          <w:b/>
          <w:bCs/>
          <w:sz w:val="18"/>
          <w:szCs w:val="18"/>
        </w:rPr>
        <w:t>SUMMARY</w:t>
      </w:r>
    </w:p>
    <w:p w14:paraId="05ADFA98" w14:textId="77777777" w:rsidR="00D1587D" w:rsidRDefault="00D1587D">
      <w:pPr>
        <w:spacing w:line="121" w:lineRule="exact"/>
        <w:rPr>
          <w:sz w:val="20"/>
          <w:szCs w:val="20"/>
        </w:rPr>
      </w:pPr>
    </w:p>
    <w:p w14:paraId="7E735EC0" w14:textId="77777777" w:rsidR="00D1587D" w:rsidRDefault="00410D07">
      <w:pPr>
        <w:spacing w:line="291" w:lineRule="auto"/>
        <w:ind w:left="320" w:right="279" w:firstLine="360"/>
        <w:rPr>
          <w:sz w:val="20"/>
          <w:szCs w:val="20"/>
        </w:rPr>
      </w:pPr>
      <w:r>
        <w:rPr>
          <w:rFonts w:ascii="Arial" w:eastAsia="Arial" w:hAnsi="Arial" w:cs="Arial"/>
          <w:i/>
          <w:iCs/>
          <w:sz w:val="16"/>
          <w:szCs w:val="16"/>
        </w:rPr>
        <w:t xml:space="preserve">This </w:t>
      </w:r>
      <w:r>
        <w:rPr>
          <w:rFonts w:ascii="Arial" w:eastAsia="Arial" w:hAnsi="Arial" w:cs="Arial"/>
          <w:i/>
          <w:iCs/>
          <w:sz w:val="16"/>
          <w:szCs w:val="16"/>
        </w:rPr>
        <w:t>summary highlights information contained elsewhere in this information statement. This summary does not contain all of the information that you should consider. You should read this entire information statement carefully, especially the risks of owning our</w:t>
      </w:r>
      <w:r>
        <w:rPr>
          <w:rFonts w:ascii="Arial" w:eastAsia="Arial" w:hAnsi="Arial" w:cs="Arial"/>
          <w:i/>
          <w:iCs/>
          <w:sz w:val="16"/>
          <w:szCs w:val="16"/>
        </w:rPr>
        <w:t xml:space="preserve"> common stock discussed under “Risk Factors” and our audited combined financial statements, our unaudited pro forma combined financial statements and the respective notes to those statements appearing elsewhere in this information statement. Except as othe</w:t>
      </w:r>
      <w:r>
        <w:rPr>
          <w:rFonts w:ascii="Arial" w:eastAsia="Arial" w:hAnsi="Arial" w:cs="Arial"/>
          <w:i/>
          <w:iCs/>
          <w:sz w:val="16"/>
          <w:szCs w:val="16"/>
        </w:rPr>
        <w:t>rwise indicated or unless the context otherwise requires, the information included in this information statement assumes the completion of all the transactions referred to in this information statement in connection with the Separation.</w:t>
      </w:r>
    </w:p>
    <w:p w14:paraId="2B06DB2C" w14:textId="77777777" w:rsidR="00D1587D" w:rsidRDefault="00D1587D">
      <w:pPr>
        <w:spacing w:line="270" w:lineRule="exact"/>
        <w:rPr>
          <w:sz w:val="20"/>
          <w:szCs w:val="20"/>
        </w:rPr>
      </w:pPr>
    </w:p>
    <w:p w14:paraId="4112DE5B" w14:textId="77777777" w:rsidR="00D1587D" w:rsidRDefault="00410D07">
      <w:pPr>
        <w:ind w:left="320"/>
        <w:rPr>
          <w:sz w:val="20"/>
          <w:szCs w:val="20"/>
        </w:rPr>
      </w:pPr>
      <w:r>
        <w:rPr>
          <w:rFonts w:ascii="Arial" w:eastAsia="Arial" w:hAnsi="Arial" w:cs="Arial"/>
          <w:b/>
          <w:bCs/>
          <w:sz w:val="18"/>
          <w:szCs w:val="18"/>
        </w:rPr>
        <w:t>Our Mission</w:t>
      </w:r>
    </w:p>
    <w:p w14:paraId="0BE92BD1" w14:textId="77777777" w:rsidR="00D1587D" w:rsidRDefault="00D1587D">
      <w:pPr>
        <w:spacing w:line="121" w:lineRule="exact"/>
        <w:rPr>
          <w:sz w:val="20"/>
          <w:szCs w:val="20"/>
        </w:rPr>
      </w:pPr>
    </w:p>
    <w:p w14:paraId="0B42B3D7" w14:textId="77777777" w:rsidR="00D1587D" w:rsidRDefault="00410D07">
      <w:pPr>
        <w:spacing w:line="259" w:lineRule="auto"/>
        <w:ind w:left="320" w:right="339" w:firstLine="360"/>
        <w:rPr>
          <w:sz w:val="20"/>
          <w:szCs w:val="20"/>
        </w:rPr>
      </w:pPr>
      <w:r>
        <w:rPr>
          <w:rFonts w:ascii="Arial" w:eastAsia="Arial" w:hAnsi="Arial" w:cs="Arial"/>
          <w:sz w:val="18"/>
          <w:szCs w:val="18"/>
        </w:rPr>
        <w:t>Our m</w:t>
      </w:r>
      <w:r>
        <w:rPr>
          <w:rFonts w:ascii="Arial" w:eastAsia="Arial" w:hAnsi="Arial" w:cs="Arial"/>
          <w:sz w:val="18"/>
          <w:szCs w:val="18"/>
        </w:rPr>
        <w:t>ission is to understand our customer and inspire her with beautiful products and experiences for every moment in her life. Her narrative is ours and her stories are our source of energy, creativity and unrelenting drive to be each woman’s most loved linger</w:t>
      </w:r>
      <w:r>
        <w:rPr>
          <w:rFonts w:ascii="Arial" w:eastAsia="Arial" w:hAnsi="Arial" w:cs="Arial"/>
          <w:sz w:val="18"/>
          <w:szCs w:val="18"/>
        </w:rPr>
        <w:t>ie brand. We are always here to care for her and to celebrate her as an individual, and to amplify her voice around the world on what matters most to her.</w:t>
      </w:r>
    </w:p>
    <w:p w14:paraId="18F9FA74" w14:textId="77777777" w:rsidR="00D1587D" w:rsidRDefault="00D1587D">
      <w:pPr>
        <w:spacing w:line="291" w:lineRule="exact"/>
        <w:rPr>
          <w:sz w:val="20"/>
          <w:szCs w:val="20"/>
        </w:rPr>
      </w:pPr>
    </w:p>
    <w:p w14:paraId="4909E239" w14:textId="77777777" w:rsidR="00D1587D" w:rsidRDefault="00410D07">
      <w:pPr>
        <w:ind w:left="320"/>
        <w:rPr>
          <w:sz w:val="20"/>
          <w:szCs w:val="20"/>
        </w:rPr>
      </w:pPr>
      <w:r>
        <w:rPr>
          <w:rFonts w:ascii="Arial" w:eastAsia="Arial" w:hAnsi="Arial" w:cs="Arial"/>
          <w:b/>
          <w:bCs/>
          <w:sz w:val="18"/>
          <w:szCs w:val="18"/>
        </w:rPr>
        <w:t>Overview</w:t>
      </w:r>
    </w:p>
    <w:p w14:paraId="1B387362" w14:textId="77777777" w:rsidR="00D1587D" w:rsidRDefault="00D1587D">
      <w:pPr>
        <w:spacing w:line="121" w:lineRule="exact"/>
        <w:rPr>
          <w:sz w:val="20"/>
          <w:szCs w:val="20"/>
        </w:rPr>
      </w:pPr>
    </w:p>
    <w:p w14:paraId="5FAF45CD" w14:textId="77777777" w:rsidR="00D1587D" w:rsidRDefault="00410D07">
      <w:pPr>
        <w:spacing w:line="293" w:lineRule="auto"/>
        <w:ind w:left="320" w:right="379" w:firstLine="360"/>
        <w:rPr>
          <w:sz w:val="20"/>
          <w:szCs w:val="20"/>
        </w:rPr>
      </w:pPr>
      <w:r>
        <w:rPr>
          <w:rFonts w:ascii="Arial" w:eastAsia="Arial" w:hAnsi="Arial" w:cs="Arial"/>
          <w:sz w:val="16"/>
          <w:szCs w:val="16"/>
        </w:rPr>
        <w:t xml:space="preserve">Victoria’s Secret (“VS”) is an iconic global brand of women’s intimate and other </w:t>
      </w:r>
      <w:r>
        <w:rPr>
          <w:rFonts w:ascii="Arial" w:eastAsia="Arial" w:hAnsi="Arial" w:cs="Arial"/>
          <w:sz w:val="16"/>
          <w:szCs w:val="16"/>
        </w:rPr>
        <w:t>apparel, personal care and beauty products. We sell our products through two brands, Victoria’s Secret and PINK. Victoria’s Secret is a category-defining global lingerie brand with a leading market position and a rich, 40-year history of serving women acro</w:t>
      </w:r>
      <w:r>
        <w:rPr>
          <w:rFonts w:ascii="Arial" w:eastAsia="Arial" w:hAnsi="Arial" w:cs="Arial"/>
          <w:sz w:val="16"/>
          <w:szCs w:val="16"/>
        </w:rPr>
        <w:t>ss the globe. PINK is a lifestyle brand for the college-oriented customer, built around a strong intimates core. We also sell beauty products under both the Victoria’s Secret and PINK brands. Together, Victoria’s Secret, PINK and Victoria’s Secret Beauty s</w:t>
      </w:r>
      <w:r>
        <w:rPr>
          <w:rFonts w:ascii="Arial" w:eastAsia="Arial" w:hAnsi="Arial" w:cs="Arial"/>
          <w:sz w:val="16"/>
          <w:szCs w:val="16"/>
        </w:rPr>
        <w:t>upport, inspire and celebrate women through every phase of their life.</w:t>
      </w:r>
    </w:p>
    <w:p w14:paraId="6215A316" w14:textId="77777777" w:rsidR="00D1587D" w:rsidRDefault="00D1587D">
      <w:pPr>
        <w:spacing w:line="56" w:lineRule="exact"/>
        <w:rPr>
          <w:sz w:val="20"/>
          <w:szCs w:val="20"/>
        </w:rPr>
      </w:pPr>
    </w:p>
    <w:p w14:paraId="731E661F" w14:textId="77777777" w:rsidR="00D1587D" w:rsidRDefault="00410D07">
      <w:pPr>
        <w:spacing w:line="255" w:lineRule="auto"/>
        <w:ind w:left="320" w:right="339" w:firstLine="360"/>
        <w:rPr>
          <w:sz w:val="20"/>
          <w:szCs w:val="20"/>
        </w:rPr>
      </w:pPr>
      <w:r>
        <w:rPr>
          <w:rFonts w:ascii="Arial" w:eastAsia="Arial" w:hAnsi="Arial" w:cs="Arial"/>
          <w:sz w:val="18"/>
          <w:szCs w:val="18"/>
        </w:rPr>
        <w:t>Victoria’s Secret and PINK merchandise is sold online through our e-commerce platform, through company-operated retail stores located in the U.S., Canada and Greater China, and through</w:t>
      </w:r>
      <w:r>
        <w:rPr>
          <w:rFonts w:ascii="Arial" w:eastAsia="Arial" w:hAnsi="Arial" w:cs="Arial"/>
          <w:sz w:val="18"/>
          <w:szCs w:val="18"/>
        </w:rPr>
        <w:t xml:space="preserve"> international stores and websites operated by partners under franchise, license, wholesale and joint venture arrangements. We have a presence in over 70 countries and generated approximately $5.4 billion in global sales in 2020 across all channels. We bel</w:t>
      </w:r>
      <w:r>
        <w:rPr>
          <w:rFonts w:ascii="Arial" w:eastAsia="Arial" w:hAnsi="Arial" w:cs="Arial"/>
          <w:sz w:val="18"/>
          <w:szCs w:val="18"/>
        </w:rPr>
        <w:t>ieve we benefit from global brand awareness, a wide and compelling product assortment and a powerful, deep connection with our customers.</w:t>
      </w:r>
    </w:p>
    <w:p w14:paraId="70409903" w14:textId="77777777" w:rsidR="00D1587D" w:rsidRDefault="00D1587D">
      <w:pPr>
        <w:spacing w:line="84" w:lineRule="exact"/>
        <w:rPr>
          <w:sz w:val="20"/>
          <w:szCs w:val="20"/>
        </w:rPr>
      </w:pPr>
    </w:p>
    <w:p w14:paraId="793AFBB3" w14:textId="77777777" w:rsidR="00D1587D" w:rsidRDefault="00410D07">
      <w:pPr>
        <w:spacing w:line="287" w:lineRule="auto"/>
        <w:ind w:left="320" w:right="399" w:firstLine="360"/>
        <w:rPr>
          <w:sz w:val="20"/>
          <w:szCs w:val="20"/>
        </w:rPr>
      </w:pPr>
      <w:r>
        <w:rPr>
          <w:rFonts w:ascii="Arial" w:eastAsia="Arial" w:hAnsi="Arial" w:cs="Arial"/>
          <w:sz w:val="16"/>
          <w:szCs w:val="16"/>
        </w:rPr>
        <w:t>Our 867 North American stores as of May 1, 2021 represent the majority of our business and, despite the impact of the</w:t>
      </w:r>
      <w:r>
        <w:rPr>
          <w:rFonts w:ascii="Arial" w:eastAsia="Arial" w:hAnsi="Arial" w:cs="Arial"/>
          <w:sz w:val="16"/>
          <w:szCs w:val="16"/>
        </w:rPr>
        <w:t xml:space="preserve"> global coronavirus pandemic (“COVID-19”), our North American stores business generated approximately 50% of our revenue in 2020. In addition to our physical stores, our customer-centric digital platform</w:t>
      </w:r>
    </w:p>
    <w:p w14:paraId="66D70CB8" w14:textId="77777777" w:rsidR="00D1587D" w:rsidRDefault="00D1587D">
      <w:pPr>
        <w:spacing w:line="2" w:lineRule="exact"/>
        <w:rPr>
          <w:sz w:val="20"/>
          <w:szCs w:val="20"/>
        </w:rPr>
      </w:pPr>
    </w:p>
    <w:p w14:paraId="630FD113" w14:textId="77777777" w:rsidR="00D1587D" w:rsidRDefault="00410D07">
      <w:pPr>
        <w:spacing w:line="281" w:lineRule="auto"/>
        <w:ind w:left="320" w:right="759"/>
        <w:rPr>
          <w:sz w:val="20"/>
          <w:szCs w:val="20"/>
        </w:rPr>
      </w:pPr>
      <w:r>
        <w:rPr>
          <w:rFonts w:ascii="Arial" w:eastAsia="Arial" w:hAnsi="Arial" w:cs="Arial"/>
          <w:sz w:val="16"/>
          <w:szCs w:val="16"/>
        </w:rPr>
        <w:t>– including our social media following, our website</w:t>
      </w:r>
      <w:r>
        <w:rPr>
          <w:rFonts w:ascii="Arial" w:eastAsia="Arial" w:hAnsi="Arial" w:cs="Arial"/>
          <w:sz w:val="16"/>
          <w:szCs w:val="16"/>
        </w:rPr>
        <w:t>s and our mobile applications – allows us to connect to our customers and communicate with them anytime and anywhere. Sales in our direct channel increased 31% to</w:t>
      </w:r>
    </w:p>
    <w:p w14:paraId="70D4A4C2" w14:textId="77777777" w:rsidR="00D1587D" w:rsidRDefault="00D1587D">
      <w:pPr>
        <w:spacing w:line="1" w:lineRule="exact"/>
        <w:rPr>
          <w:sz w:val="20"/>
          <w:szCs w:val="20"/>
        </w:rPr>
      </w:pPr>
    </w:p>
    <w:p w14:paraId="28C1A508" w14:textId="77777777" w:rsidR="00D1587D" w:rsidRDefault="00410D07">
      <w:pPr>
        <w:spacing w:line="302" w:lineRule="auto"/>
        <w:ind w:left="320" w:right="359"/>
        <w:rPr>
          <w:sz w:val="20"/>
          <w:szCs w:val="20"/>
        </w:rPr>
      </w:pPr>
      <w:r>
        <w:rPr>
          <w:rFonts w:ascii="Arial" w:eastAsia="Arial" w:hAnsi="Arial" w:cs="Arial"/>
          <w:sz w:val="16"/>
          <w:szCs w:val="16"/>
        </w:rPr>
        <w:t>$2.2 billion in 2020 from $1.7 billion in 2019. We and our partners operated 520 stores outs</w:t>
      </w:r>
      <w:r>
        <w:rPr>
          <w:rFonts w:ascii="Arial" w:eastAsia="Arial" w:hAnsi="Arial" w:cs="Arial"/>
          <w:sz w:val="16"/>
          <w:szCs w:val="16"/>
        </w:rPr>
        <w:t>ide of North America as of May 1, 2021, including 62 company-operated stores in Greater China and 458 stores internationally outside of China, which are operated by partners under franchise, license, wholesale and joint venture arrangements.</w:t>
      </w:r>
    </w:p>
    <w:p w14:paraId="27E4F5CE" w14:textId="77777777" w:rsidR="00D1587D" w:rsidRDefault="00D1587D">
      <w:pPr>
        <w:spacing w:line="47" w:lineRule="exact"/>
        <w:rPr>
          <w:sz w:val="20"/>
          <w:szCs w:val="20"/>
        </w:rPr>
      </w:pPr>
    </w:p>
    <w:p w14:paraId="15B6A7C5" w14:textId="77777777" w:rsidR="00D1587D" w:rsidRDefault="00410D07">
      <w:pPr>
        <w:spacing w:line="291" w:lineRule="auto"/>
        <w:ind w:left="320" w:right="299" w:firstLine="360"/>
        <w:rPr>
          <w:sz w:val="20"/>
          <w:szCs w:val="20"/>
        </w:rPr>
      </w:pPr>
      <w:r>
        <w:rPr>
          <w:rFonts w:ascii="Arial" w:eastAsia="Arial" w:hAnsi="Arial" w:cs="Arial"/>
          <w:sz w:val="16"/>
          <w:szCs w:val="16"/>
        </w:rPr>
        <w:t xml:space="preserve">Our </w:t>
      </w:r>
      <w:r>
        <w:rPr>
          <w:rFonts w:ascii="Arial" w:eastAsia="Arial" w:hAnsi="Arial" w:cs="Arial"/>
          <w:sz w:val="16"/>
          <w:szCs w:val="16"/>
        </w:rPr>
        <w:t>brands operate across several categories and appeal to a broad and inclusive customer base. We are focused on maintaining our reputation for beautiful products known for comfort, quality and fit, while also expanding our assortment and size range to broade</w:t>
      </w:r>
      <w:r>
        <w:rPr>
          <w:rFonts w:ascii="Arial" w:eastAsia="Arial" w:hAnsi="Arial" w:cs="Arial"/>
          <w:sz w:val="16"/>
          <w:szCs w:val="16"/>
        </w:rPr>
        <w:t>n our customer offering. We target global markets across demographic and economic spectrums. We leverage our brands, as well as our expertise in product design and innovation, to create merchandise women love and marketing campaigns that resonate. We are f</w:t>
      </w:r>
      <w:r>
        <w:rPr>
          <w:rFonts w:ascii="Arial" w:eastAsia="Arial" w:hAnsi="Arial" w:cs="Arial"/>
          <w:sz w:val="16"/>
          <w:szCs w:val="16"/>
        </w:rPr>
        <w:t>ocused on aligning our brand positioning, product assortment and values to those of our customers. We believe our global brand awareness creates a platform for us to further strengthen our brands, enhance customer loyalty and grow our customer base.</w:t>
      </w:r>
    </w:p>
    <w:p w14:paraId="1B4EF26E" w14:textId="77777777" w:rsidR="00D1587D" w:rsidRDefault="00D1587D">
      <w:pPr>
        <w:spacing w:line="58" w:lineRule="exact"/>
        <w:rPr>
          <w:sz w:val="20"/>
          <w:szCs w:val="20"/>
        </w:rPr>
      </w:pPr>
    </w:p>
    <w:p w14:paraId="3EB732D6" w14:textId="77777777" w:rsidR="00D1587D" w:rsidRDefault="00410D07">
      <w:pPr>
        <w:spacing w:line="293" w:lineRule="auto"/>
        <w:ind w:left="320" w:right="419" w:firstLine="360"/>
        <w:rPr>
          <w:sz w:val="20"/>
          <w:szCs w:val="20"/>
        </w:rPr>
      </w:pPr>
      <w:r>
        <w:rPr>
          <w:rFonts w:ascii="Arial" w:eastAsia="Arial" w:hAnsi="Arial" w:cs="Arial"/>
          <w:sz w:val="16"/>
          <w:szCs w:val="16"/>
        </w:rPr>
        <w:t>Altho</w:t>
      </w:r>
      <w:r>
        <w:rPr>
          <w:rFonts w:ascii="Arial" w:eastAsia="Arial" w:hAnsi="Arial" w:cs="Arial"/>
          <w:sz w:val="16"/>
          <w:szCs w:val="16"/>
        </w:rPr>
        <w:t>ugh recent performance has improved significantly, we experienced challenging business results in 2019 and 2020. In 2019, net sales decreased 7% and our gross profit decreased 23% compared to the prior year period as our merchandise and brand positioning f</w:t>
      </w:r>
      <w:r>
        <w:rPr>
          <w:rFonts w:ascii="Arial" w:eastAsia="Arial" w:hAnsi="Arial" w:cs="Arial"/>
          <w:sz w:val="16"/>
          <w:szCs w:val="16"/>
        </w:rPr>
        <w:t>ailed to resonate with our customers. In 2019, we recognized a net loss of $897 million which included a $720 million charge related to the impairment of goodwill. In 2020, our business operations and financial performance were materially impacted by the C</w:t>
      </w:r>
      <w:r>
        <w:rPr>
          <w:rFonts w:ascii="Arial" w:eastAsia="Arial" w:hAnsi="Arial" w:cs="Arial"/>
          <w:sz w:val="16"/>
          <w:szCs w:val="16"/>
        </w:rPr>
        <w:t>OVID-19 pandemic. All of our stores in North America were closed on March 17, 2020, but we were able to re-open the majority of our</w:t>
      </w:r>
    </w:p>
    <w:p w14:paraId="15262385" w14:textId="77777777" w:rsidR="00D1587D" w:rsidRDefault="00D1587D">
      <w:pPr>
        <w:spacing w:line="394" w:lineRule="exact"/>
        <w:rPr>
          <w:sz w:val="20"/>
          <w:szCs w:val="20"/>
        </w:rPr>
      </w:pPr>
    </w:p>
    <w:p w14:paraId="732D6EBE" w14:textId="77777777" w:rsidR="00D1587D" w:rsidRDefault="00410D07">
      <w:pPr>
        <w:jc w:val="center"/>
        <w:rPr>
          <w:sz w:val="20"/>
          <w:szCs w:val="20"/>
        </w:rPr>
      </w:pPr>
      <w:r>
        <w:rPr>
          <w:rFonts w:ascii="Arial" w:eastAsia="Arial" w:hAnsi="Arial" w:cs="Arial"/>
          <w:sz w:val="18"/>
          <w:szCs w:val="18"/>
        </w:rPr>
        <w:t>1</w:t>
      </w:r>
    </w:p>
    <w:p w14:paraId="30FE6F87" w14:textId="77777777" w:rsidR="00D1587D" w:rsidRDefault="00410D07">
      <w:pPr>
        <w:spacing w:line="20" w:lineRule="exact"/>
        <w:rPr>
          <w:sz w:val="20"/>
          <w:szCs w:val="20"/>
        </w:rPr>
      </w:pPr>
      <w:r>
        <w:rPr>
          <w:noProof/>
          <w:sz w:val="20"/>
          <w:szCs w:val="20"/>
        </w:rPr>
        <w:drawing>
          <wp:anchor distT="0" distB="0" distL="114300" distR="114300" simplePos="0" relativeHeight="251427840" behindDoc="1" locked="0" layoutInCell="0" allowOverlap="1" wp14:anchorId="4C36B30B" wp14:editId="697F8A6E">
            <wp:simplePos x="0" y="0"/>
            <wp:positionH relativeFrom="column">
              <wp:posOffset>-636905</wp:posOffset>
            </wp:positionH>
            <wp:positionV relativeFrom="paragraph">
              <wp:posOffset>126365</wp:posOffset>
            </wp:positionV>
            <wp:extent cx="6995160" cy="1714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C09554D" w14:textId="77777777" w:rsidR="00D1587D" w:rsidRDefault="00D1587D">
      <w:pPr>
        <w:sectPr w:rsidR="00D1587D">
          <w:pgSz w:w="11900" w:h="16838"/>
          <w:pgMar w:top="265" w:right="1440" w:bottom="1440" w:left="1440" w:header="0" w:footer="0" w:gutter="0"/>
          <w:cols w:space="720" w:equalWidth="0">
            <w:col w:w="9019"/>
          </w:cols>
        </w:sectPr>
      </w:pPr>
    </w:p>
    <w:bookmarkStart w:id="259" w:name="page260"/>
    <w:bookmarkEnd w:id="259"/>
    <w:p w14:paraId="7D1A3AD8"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250626F" w14:textId="77777777" w:rsidR="00D1587D" w:rsidRDefault="00410D07">
      <w:pPr>
        <w:spacing w:line="20" w:lineRule="exact"/>
        <w:rPr>
          <w:sz w:val="20"/>
          <w:szCs w:val="20"/>
        </w:rPr>
      </w:pPr>
      <w:r>
        <w:rPr>
          <w:noProof/>
          <w:sz w:val="20"/>
          <w:szCs w:val="20"/>
        </w:rPr>
        <w:drawing>
          <wp:anchor distT="0" distB="0" distL="114300" distR="114300" simplePos="0" relativeHeight="251428864" behindDoc="1" locked="0" layoutInCell="0" allowOverlap="1" wp14:anchorId="5CEE96AB" wp14:editId="48170FDD">
            <wp:simplePos x="0" y="0"/>
            <wp:positionH relativeFrom="column">
              <wp:posOffset>46355</wp:posOffset>
            </wp:positionH>
            <wp:positionV relativeFrom="paragraph">
              <wp:posOffset>90170</wp:posOffset>
            </wp:positionV>
            <wp:extent cx="5653405" cy="814768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0"/>
                    <a:srcRect/>
                    <a:stretch>
                      <a:fillRect/>
                    </a:stretch>
                  </pic:blipFill>
                  <pic:spPr bwMode="auto">
                    <a:xfrm>
                      <a:off x="0" y="0"/>
                      <a:ext cx="5653405" cy="8147685"/>
                    </a:xfrm>
                    <a:prstGeom prst="rect">
                      <a:avLst/>
                    </a:prstGeom>
                    <a:noFill/>
                  </pic:spPr>
                </pic:pic>
              </a:graphicData>
            </a:graphic>
          </wp:anchor>
        </w:drawing>
      </w:r>
    </w:p>
    <w:p w14:paraId="10DD20CE" w14:textId="77777777" w:rsidR="00D1587D" w:rsidRDefault="00D1587D">
      <w:pPr>
        <w:sectPr w:rsidR="00D1587D">
          <w:pgSz w:w="11900" w:h="16838"/>
          <w:pgMar w:top="265" w:right="1440" w:bottom="1440" w:left="1440" w:header="0" w:footer="0" w:gutter="0"/>
          <w:cols w:space="720" w:equalWidth="0">
            <w:col w:w="9019"/>
          </w:cols>
        </w:sectPr>
      </w:pPr>
    </w:p>
    <w:p w14:paraId="0E4048A5" w14:textId="77777777" w:rsidR="00D1587D" w:rsidRDefault="00D1587D">
      <w:pPr>
        <w:spacing w:line="200" w:lineRule="exact"/>
        <w:rPr>
          <w:sz w:val="20"/>
          <w:szCs w:val="20"/>
        </w:rPr>
      </w:pPr>
    </w:p>
    <w:p w14:paraId="532F9232" w14:textId="77777777" w:rsidR="00D1587D" w:rsidRDefault="00D1587D">
      <w:pPr>
        <w:spacing w:line="295" w:lineRule="exact"/>
        <w:rPr>
          <w:sz w:val="20"/>
          <w:szCs w:val="20"/>
        </w:rPr>
      </w:pPr>
    </w:p>
    <w:p w14:paraId="6308611A" w14:textId="77777777" w:rsidR="00D1587D" w:rsidRDefault="00410D07">
      <w:pPr>
        <w:spacing w:line="286" w:lineRule="auto"/>
        <w:ind w:left="320" w:right="499"/>
        <w:jc w:val="both"/>
        <w:rPr>
          <w:sz w:val="20"/>
          <w:szCs w:val="20"/>
        </w:rPr>
      </w:pPr>
      <w:r>
        <w:rPr>
          <w:rFonts w:ascii="Arial" w:eastAsia="Arial" w:hAnsi="Arial" w:cs="Arial"/>
          <w:sz w:val="17"/>
          <w:szCs w:val="17"/>
        </w:rPr>
        <w:t xml:space="preserve">stores as of the beginning of </w:t>
      </w:r>
      <w:r>
        <w:rPr>
          <w:rFonts w:ascii="Arial" w:eastAsia="Arial" w:hAnsi="Arial" w:cs="Arial"/>
          <w:sz w:val="17"/>
          <w:szCs w:val="17"/>
        </w:rPr>
        <w:t>the third quarter of 2020. Although sales in our direct channel grew 31% in 2020, the closure of, and restrictions in operating, our stores led to a decrease in net sales of 28% in 2020, and a decrease in gross profit of 24%, each compared to the prior yea</w:t>
      </w:r>
      <w:r>
        <w:rPr>
          <w:rFonts w:ascii="Arial" w:eastAsia="Arial" w:hAnsi="Arial" w:cs="Arial"/>
          <w:sz w:val="17"/>
          <w:szCs w:val="17"/>
        </w:rPr>
        <w:t>r period, and a net loss of $72 million.</w:t>
      </w:r>
    </w:p>
    <w:p w14:paraId="53821396" w14:textId="77777777" w:rsidR="00D1587D" w:rsidRDefault="00D1587D">
      <w:pPr>
        <w:spacing w:line="57" w:lineRule="exact"/>
        <w:rPr>
          <w:sz w:val="20"/>
          <w:szCs w:val="20"/>
        </w:rPr>
      </w:pPr>
    </w:p>
    <w:p w14:paraId="403645F9" w14:textId="77777777" w:rsidR="00D1587D" w:rsidRDefault="00410D07">
      <w:pPr>
        <w:spacing w:line="311" w:lineRule="auto"/>
        <w:ind w:left="320" w:right="559" w:firstLine="360"/>
        <w:jc w:val="both"/>
        <w:rPr>
          <w:sz w:val="20"/>
          <w:szCs w:val="20"/>
        </w:rPr>
      </w:pPr>
      <w:r>
        <w:rPr>
          <w:rFonts w:ascii="Arial" w:eastAsia="Arial" w:hAnsi="Arial" w:cs="Arial"/>
          <w:sz w:val="16"/>
          <w:szCs w:val="16"/>
        </w:rPr>
        <w:t xml:space="preserve">In response to the COVID-19 pandemic and in order to improve business performance, we launched a profit improvement plan beginning in the third quarter of 2020. We began to see performance improve in the third and </w:t>
      </w:r>
      <w:r>
        <w:rPr>
          <w:rFonts w:ascii="Arial" w:eastAsia="Arial" w:hAnsi="Arial" w:cs="Arial"/>
          <w:sz w:val="16"/>
          <w:szCs w:val="16"/>
        </w:rPr>
        <w:t>fourth quarter of 2020 and, most recently, we reported net income of $174 million for the first quarter of 2021.</w:t>
      </w:r>
    </w:p>
    <w:p w14:paraId="7D272B2F" w14:textId="77777777" w:rsidR="00D1587D" w:rsidRDefault="00D1587D">
      <w:pPr>
        <w:spacing w:line="41" w:lineRule="exact"/>
        <w:rPr>
          <w:sz w:val="20"/>
          <w:szCs w:val="20"/>
        </w:rPr>
      </w:pPr>
    </w:p>
    <w:p w14:paraId="62B0A016" w14:textId="77777777" w:rsidR="00D1587D" w:rsidRDefault="00410D07">
      <w:pPr>
        <w:spacing w:line="311" w:lineRule="auto"/>
        <w:ind w:left="320" w:right="579" w:firstLine="360"/>
        <w:rPr>
          <w:sz w:val="20"/>
          <w:szCs w:val="20"/>
        </w:rPr>
      </w:pPr>
      <w:r>
        <w:rPr>
          <w:rFonts w:ascii="Arial" w:eastAsia="Arial" w:hAnsi="Arial" w:cs="Arial"/>
          <w:sz w:val="16"/>
          <w:szCs w:val="16"/>
        </w:rPr>
        <w:t xml:space="preserve">Our highly experienced management team is executing our strategy to continue to improve the performance and profitability of the business and </w:t>
      </w:r>
      <w:r>
        <w:rPr>
          <w:rFonts w:ascii="Arial" w:eastAsia="Arial" w:hAnsi="Arial" w:cs="Arial"/>
          <w:sz w:val="16"/>
          <w:szCs w:val="16"/>
        </w:rPr>
        <w:t>we believe there are opportunities for further improvement, which will be driven by delivering a best-in-class product, brand and retail experience to our customers.</w:t>
      </w:r>
    </w:p>
    <w:p w14:paraId="2CFA4921" w14:textId="77777777" w:rsidR="00D1587D" w:rsidRDefault="00D1587D">
      <w:pPr>
        <w:spacing w:line="41" w:lineRule="exact"/>
        <w:rPr>
          <w:sz w:val="20"/>
          <w:szCs w:val="20"/>
        </w:rPr>
      </w:pPr>
    </w:p>
    <w:p w14:paraId="18D4485D" w14:textId="77777777" w:rsidR="00D1587D" w:rsidRDefault="00410D07">
      <w:pPr>
        <w:spacing w:line="271" w:lineRule="auto"/>
        <w:ind w:left="320" w:right="419" w:firstLine="360"/>
        <w:rPr>
          <w:sz w:val="20"/>
          <w:szCs w:val="20"/>
        </w:rPr>
      </w:pPr>
      <w:r>
        <w:rPr>
          <w:rFonts w:ascii="Arial" w:eastAsia="Arial" w:hAnsi="Arial" w:cs="Arial"/>
          <w:sz w:val="17"/>
          <w:szCs w:val="17"/>
        </w:rPr>
        <w:t>VS is headquartered in Reynoldsburg, Ohio. Following the Separation, we will become an in</w:t>
      </w:r>
      <w:r>
        <w:rPr>
          <w:rFonts w:ascii="Arial" w:eastAsia="Arial" w:hAnsi="Arial" w:cs="Arial"/>
          <w:sz w:val="17"/>
          <w:szCs w:val="17"/>
        </w:rPr>
        <w:t xml:space="preserve">dependent, publicly traded company led by a highly experienced management team fully dedicated to leveraging our capabilities and driving our strategic initiatives. We will also have increased flexibility to deploy our free cash flow towards our operating </w:t>
      </w:r>
      <w:r>
        <w:rPr>
          <w:rFonts w:ascii="Arial" w:eastAsia="Arial" w:hAnsi="Arial" w:cs="Arial"/>
          <w:sz w:val="17"/>
          <w:szCs w:val="17"/>
        </w:rPr>
        <w:t>and capital allocation priorities. In connection with the Separation, we expect to incur up to $1.0 billion of new debt from senior notes and/or term loan facilities, the proceeds of which we intend to use to make a payment to LB as part of the Restructuri</w:t>
      </w:r>
      <w:r>
        <w:rPr>
          <w:rFonts w:ascii="Arial" w:eastAsia="Arial" w:hAnsi="Arial" w:cs="Arial"/>
          <w:sz w:val="17"/>
          <w:szCs w:val="17"/>
        </w:rPr>
        <w:t>ng (the “LB Cash Payment”) and to pay related fees and expenses. We also expect to establish a $750 million asset-based revolving facility, which is expected to be undrawn at the Separation. We expect to trade under the ticker symbol “VSCO” on the NYSE.</w:t>
      </w:r>
    </w:p>
    <w:p w14:paraId="22E8D54E" w14:textId="77777777" w:rsidR="00D1587D" w:rsidRDefault="00D1587D">
      <w:pPr>
        <w:spacing w:line="174" w:lineRule="exact"/>
        <w:rPr>
          <w:sz w:val="20"/>
          <w:szCs w:val="20"/>
        </w:rPr>
      </w:pPr>
    </w:p>
    <w:p w14:paraId="594BC9AE" w14:textId="77777777" w:rsidR="00D1587D" w:rsidRDefault="00410D07">
      <w:pPr>
        <w:ind w:left="320"/>
        <w:rPr>
          <w:sz w:val="20"/>
          <w:szCs w:val="20"/>
        </w:rPr>
      </w:pPr>
      <w:r>
        <w:rPr>
          <w:rFonts w:ascii="Arial" w:eastAsia="Arial" w:hAnsi="Arial" w:cs="Arial"/>
          <w:b/>
          <w:bCs/>
          <w:sz w:val="18"/>
          <w:szCs w:val="18"/>
        </w:rPr>
        <w:t>Our Competitive Strengths</w:t>
      </w:r>
    </w:p>
    <w:p w14:paraId="4B8508D4" w14:textId="77777777" w:rsidR="00D1587D" w:rsidRDefault="00D1587D">
      <w:pPr>
        <w:spacing w:line="148" w:lineRule="exact"/>
        <w:rPr>
          <w:sz w:val="20"/>
          <w:szCs w:val="20"/>
        </w:rPr>
      </w:pPr>
    </w:p>
    <w:p w14:paraId="49B08714" w14:textId="77777777" w:rsidR="00D1587D" w:rsidRDefault="00410D07">
      <w:pPr>
        <w:ind w:left="660"/>
        <w:rPr>
          <w:sz w:val="20"/>
          <w:szCs w:val="20"/>
        </w:rPr>
      </w:pPr>
      <w:r>
        <w:rPr>
          <w:rFonts w:ascii="Arial" w:eastAsia="Arial" w:hAnsi="Arial" w:cs="Arial"/>
          <w:b/>
          <w:bCs/>
          <w:i/>
          <w:iCs/>
          <w:sz w:val="18"/>
          <w:szCs w:val="18"/>
        </w:rPr>
        <w:t>Two Category-Defining Brands with Global Brand Awareness and Resonance.</w:t>
      </w:r>
    </w:p>
    <w:p w14:paraId="143AF0D8" w14:textId="77777777" w:rsidR="00D1587D" w:rsidRDefault="00D1587D">
      <w:pPr>
        <w:spacing w:line="117" w:lineRule="exact"/>
        <w:rPr>
          <w:sz w:val="20"/>
          <w:szCs w:val="20"/>
        </w:rPr>
      </w:pPr>
    </w:p>
    <w:p w14:paraId="34365B7F" w14:textId="77777777" w:rsidR="00D1587D" w:rsidRDefault="00410D07">
      <w:pPr>
        <w:spacing w:line="285" w:lineRule="auto"/>
        <w:ind w:left="320" w:right="279" w:firstLine="360"/>
        <w:rPr>
          <w:sz w:val="20"/>
          <w:szCs w:val="20"/>
        </w:rPr>
      </w:pPr>
      <w:r>
        <w:rPr>
          <w:rFonts w:ascii="Arial" w:eastAsia="Arial" w:hAnsi="Arial" w:cs="Arial"/>
          <w:sz w:val="16"/>
          <w:szCs w:val="16"/>
        </w:rPr>
        <w:t>Both the Victoria’s Secret and PINK brands have a strong global presence and awareness among consumers, which we believe provides us with a competitive adva</w:t>
      </w:r>
      <w:r>
        <w:rPr>
          <w:rFonts w:ascii="Arial" w:eastAsia="Arial" w:hAnsi="Arial" w:cs="Arial"/>
          <w:sz w:val="16"/>
          <w:szCs w:val="16"/>
        </w:rPr>
        <w:t>ntage. We estimate Victoria’s Secret’s overall U.S. brand awareness as 87% and PINK’s overall U.S. brand awareness as 86% based on a company-sponsored marketing study. While our history runs deep as a dominant player in intimates, our brands also provide c</w:t>
      </w:r>
      <w:r>
        <w:rPr>
          <w:rFonts w:ascii="Arial" w:eastAsia="Arial" w:hAnsi="Arial" w:cs="Arial"/>
          <w:sz w:val="16"/>
          <w:szCs w:val="16"/>
        </w:rPr>
        <w:t xml:space="preserve">ompelling offerings in fragrance, beauty, apparel, loungewear, sleepwear, athletic attire and swimwear. We believe our recent and decisive actions to evolve our positioning and promote inclusivity and diversity will allow us to attract new customers while </w:t>
      </w:r>
      <w:r>
        <w:rPr>
          <w:rFonts w:ascii="Arial" w:eastAsia="Arial" w:hAnsi="Arial" w:cs="Arial"/>
          <w:sz w:val="16"/>
          <w:szCs w:val="16"/>
        </w:rPr>
        <w:t>also deepening our connection with existing ones. For example, on June 16, 2021, we announced the creation of two new partnerships, The VS Collective and The Victoria’s Secret Global Fund for Women’s Cancers, as we continue our evolution to inspire women w</w:t>
      </w:r>
      <w:r>
        <w:rPr>
          <w:rFonts w:ascii="Arial" w:eastAsia="Arial" w:hAnsi="Arial" w:cs="Arial"/>
          <w:sz w:val="16"/>
          <w:szCs w:val="16"/>
        </w:rPr>
        <w:t>ith products, experiences and initiatives that champion them and support their journey. Through social, cultural and business relationships, The VS Collective is expected to work to create new associate programs, revolutionary product collections, compelli</w:t>
      </w:r>
      <w:r>
        <w:rPr>
          <w:rFonts w:ascii="Arial" w:eastAsia="Arial" w:hAnsi="Arial" w:cs="Arial"/>
          <w:sz w:val="16"/>
          <w:szCs w:val="16"/>
        </w:rPr>
        <w:t>ng and inspiring content, and rally support for causes vital to women. The Victoria’s Secret Global Fund for Women’s Cancers is expected to fund innovative research projects aimed at progressing treatments and cures for women’s cancers and investing in the</w:t>
      </w:r>
      <w:r>
        <w:rPr>
          <w:rFonts w:ascii="Arial" w:eastAsia="Arial" w:hAnsi="Arial" w:cs="Arial"/>
          <w:sz w:val="16"/>
          <w:szCs w:val="16"/>
        </w:rPr>
        <w:t xml:space="preserve"> next generation of women scientists who represent the diverse population they serve. We are focused on fueling our customer’s desire to be herself by empowering her with products that not only offer her comfort and style, but also allow her to celebrate a</w:t>
      </w:r>
      <w:r>
        <w:rPr>
          <w:rFonts w:ascii="Arial" w:eastAsia="Arial" w:hAnsi="Arial" w:cs="Arial"/>
          <w:sz w:val="16"/>
          <w:szCs w:val="16"/>
        </w:rPr>
        <w:t>nd express her true self.</w:t>
      </w:r>
    </w:p>
    <w:p w14:paraId="2460E67D" w14:textId="77777777" w:rsidR="00D1587D" w:rsidRDefault="00D1587D">
      <w:pPr>
        <w:spacing w:line="176" w:lineRule="exact"/>
        <w:rPr>
          <w:sz w:val="20"/>
          <w:szCs w:val="20"/>
        </w:rPr>
      </w:pPr>
    </w:p>
    <w:p w14:paraId="34770A99" w14:textId="77777777" w:rsidR="00D1587D" w:rsidRDefault="00410D07">
      <w:pPr>
        <w:ind w:left="660"/>
        <w:rPr>
          <w:sz w:val="20"/>
          <w:szCs w:val="20"/>
        </w:rPr>
      </w:pPr>
      <w:r>
        <w:rPr>
          <w:rFonts w:ascii="Arial" w:eastAsia="Arial" w:hAnsi="Arial" w:cs="Arial"/>
          <w:b/>
          <w:bCs/>
          <w:i/>
          <w:iCs/>
          <w:sz w:val="18"/>
          <w:szCs w:val="18"/>
        </w:rPr>
        <w:t>Global Scale at Retail.</w:t>
      </w:r>
    </w:p>
    <w:p w14:paraId="55DE6A78" w14:textId="77777777" w:rsidR="00D1587D" w:rsidRDefault="00D1587D">
      <w:pPr>
        <w:spacing w:line="117" w:lineRule="exact"/>
        <w:rPr>
          <w:sz w:val="20"/>
          <w:szCs w:val="20"/>
        </w:rPr>
      </w:pPr>
    </w:p>
    <w:p w14:paraId="50A76418" w14:textId="77777777" w:rsidR="00D1587D" w:rsidRDefault="00410D07">
      <w:pPr>
        <w:spacing w:line="271" w:lineRule="auto"/>
        <w:ind w:left="320" w:right="279" w:firstLine="360"/>
        <w:rPr>
          <w:sz w:val="20"/>
          <w:szCs w:val="20"/>
        </w:rPr>
      </w:pPr>
      <w:r>
        <w:rPr>
          <w:rFonts w:ascii="Arial" w:eastAsia="Arial" w:hAnsi="Arial" w:cs="Arial"/>
          <w:sz w:val="17"/>
          <w:szCs w:val="17"/>
        </w:rPr>
        <w:t xml:space="preserve">We believe VS has significant scale and strength in reaching its consumer base. Our vast reach is evidenced by our leading market position in the U.S. intimates category, with meaningful market share </w:t>
      </w:r>
      <w:r>
        <w:rPr>
          <w:rFonts w:ascii="Arial" w:eastAsia="Arial" w:hAnsi="Arial" w:cs="Arial"/>
          <w:sz w:val="17"/>
          <w:szCs w:val="17"/>
        </w:rPr>
        <w:t>based on a 2020 company-sponsored marketing study. The number of our North American active customers (which we define as customers who have purchased from us in the last twelve months) totaled 27 million as of May 2021, 25 million in 2020 and 32 million in</w:t>
      </w:r>
      <w:r>
        <w:rPr>
          <w:rFonts w:ascii="Arial" w:eastAsia="Arial" w:hAnsi="Arial" w:cs="Arial"/>
          <w:sz w:val="17"/>
          <w:szCs w:val="17"/>
        </w:rPr>
        <w:t xml:space="preserve"> each of 2019 and 2018. Additionally, as of May 2021, we had over 69 million Victoria’s Secret and approximately 8 million PINK Instagram followers, approximately 6.3 million active Victoria’s Secret Credit Card holders and approximately 5.5 million active</w:t>
      </w:r>
      <w:r>
        <w:rPr>
          <w:rFonts w:ascii="Arial" w:eastAsia="Arial" w:hAnsi="Arial" w:cs="Arial"/>
          <w:sz w:val="17"/>
          <w:szCs w:val="17"/>
        </w:rPr>
        <w:t xml:space="preserve"> members of PINK’s loyalty program, PINK Nation. We interact with our customers through three powerful distribution channels:</w:t>
      </w:r>
    </w:p>
    <w:p w14:paraId="40B7D924" w14:textId="77777777" w:rsidR="00D1587D" w:rsidRDefault="00D1587D">
      <w:pPr>
        <w:spacing w:line="70" w:lineRule="exact"/>
        <w:rPr>
          <w:sz w:val="20"/>
          <w:szCs w:val="20"/>
        </w:rPr>
      </w:pPr>
    </w:p>
    <w:p w14:paraId="68120D8C" w14:textId="77777777" w:rsidR="00D1587D" w:rsidRDefault="00410D07" w:rsidP="00410D07">
      <w:pPr>
        <w:numPr>
          <w:ilvl w:val="0"/>
          <w:numId w:val="210"/>
        </w:numPr>
        <w:tabs>
          <w:tab w:val="left" w:pos="1020"/>
        </w:tabs>
        <w:spacing w:line="272" w:lineRule="auto"/>
        <w:ind w:left="1020" w:right="319" w:hanging="350"/>
        <w:rPr>
          <w:rFonts w:ascii="Arial" w:eastAsia="Arial" w:hAnsi="Arial" w:cs="Arial"/>
          <w:sz w:val="17"/>
          <w:szCs w:val="17"/>
        </w:rPr>
      </w:pPr>
      <w:r>
        <w:rPr>
          <w:rFonts w:ascii="Arial" w:eastAsia="Arial" w:hAnsi="Arial" w:cs="Arial"/>
          <w:b/>
          <w:bCs/>
          <w:i/>
          <w:iCs/>
          <w:sz w:val="17"/>
          <w:szCs w:val="17"/>
        </w:rPr>
        <w:t xml:space="preserve">Digital. </w:t>
      </w:r>
      <w:r>
        <w:rPr>
          <w:rFonts w:ascii="Arial" w:eastAsia="Arial" w:hAnsi="Arial" w:cs="Arial"/>
          <w:sz w:val="17"/>
          <w:szCs w:val="17"/>
        </w:rPr>
        <w:t>Our large and growing digital business allows for an interconnected customer experience across</w:t>
      </w:r>
      <w:r>
        <w:rPr>
          <w:rFonts w:ascii="Arial" w:eastAsia="Arial" w:hAnsi="Arial" w:cs="Arial"/>
          <w:b/>
          <w:bCs/>
          <w:i/>
          <w:iCs/>
          <w:sz w:val="17"/>
          <w:szCs w:val="17"/>
        </w:rPr>
        <w:t xml:space="preserve"> </w:t>
      </w:r>
      <w:r>
        <w:rPr>
          <w:rFonts w:ascii="Arial" w:eastAsia="Arial" w:hAnsi="Arial" w:cs="Arial"/>
          <w:sz w:val="17"/>
          <w:szCs w:val="17"/>
        </w:rPr>
        <w:t>our brands and platforms.</w:t>
      </w:r>
      <w:r>
        <w:rPr>
          <w:rFonts w:ascii="Arial" w:eastAsia="Arial" w:hAnsi="Arial" w:cs="Arial"/>
          <w:sz w:val="17"/>
          <w:szCs w:val="17"/>
        </w:rPr>
        <w:t xml:space="preserve"> We deliver a differentiated digital experience through seamless and personalized touchpoints. Importantly, we are focused on developing our social media platforms and websites, applications with personalized digital marketing campaigns, advanced omni-chan</w:t>
      </w:r>
      <w:r>
        <w:rPr>
          <w:rFonts w:ascii="Arial" w:eastAsia="Arial" w:hAnsi="Arial" w:cs="Arial"/>
          <w:sz w:val="17"/>
          <w:szCs w:val="17"/>
        </w:rPr>
        <w:t>nel offerings and improved store and website inventory connectivity. Our digital connection to consumers is evidenced by the fact that approximately 15 million consumers as of May 1, 2021, or approximately 60% of our customer base, purchased from our digit</w:t>
      </w:r>
      <w:r>
        <w:rPr>
          <w:rFonts w:ascii="Arial" w:eastAsia="Arial" w:hAnsi="Arial" w:cs="Arial"/>
          <w:sz w:val="17"/>
          <w:szCs w:val="17"/>
        </w:rPr>
        <w:t>al channel in the last twelve months.</w:t>
      </w:r>
    </w:p>
    <w:p w14:paraId="179E9B0A" w14:textId="77777777" w:rsidR="00D1587D" w:rsidRDefault="00D1587D">
      <w:pPr>
        <w:sectPr w:rsidR="00D1587D">
          <w:type w:val="continuous"/>
          <w:pgSz w:w="11900" w:h="16838"/>
          <w:pgMar w:top="265" w:right="1440" w:bottom="1440" w:left="1440" w:header="0" w:footer="0" w:gutter="0"/>
          <w:cols w:space="720" w:equalWidth="0">
            <w:col w:w="9019"/>
          </w:cols>
        </w:sectPr>
      </w:pPr>
    </w:p>
    <w:p w14:paraId="3AAE86AE" w14:textId="77777777" w:rsidR="00D1587D" w:rsidRDefault="00D1587D">
      <w:pPr>
        <w:spacing w:line="200" w:lineRule="exact"/>
        <w:rPr>
          <w:sz w:val="20"/>
          <w:szCs w:val="20"/>
        </w:rPr>
      </w:pPr>
    </w:p>
    <w:p w14:paraId="547195F4" w14:textId="77777777" w:rsidR="00D1587D" w:rsidRDefault="00D1587D">
      <w:pPr>
        <w:spacing w:line="207" w:lineRule="exact"/>
        <w:rPr>
          <w:sz w:val="20"/>
          <w:szCs w:val="20"/>
        </w:rPr>
      </w:pPr>
    </w:p>
    <w:p w14:paraId="24929C31" w14:textId="77777777" w:rsidR="00D1587D" w:rsidRDefault="00410D07">
      <w:pPr>
        <w:ind w:right="19"/>
        <w:jc w:val="center"/>
        <w:rPr>
          <w:sz w:val="20"/>
          <w:szCs w:val="20"/>
        </w:rPr>
      </w:pPr>
      <w:r>
        <w:rPr>
          <w:rFonts w:ascii="Arial" w:eastAsia="Arial" w:hAnsi="Arial" w:cs="Arial"/>
          <w:sz w:val="13"/>
          <w:szCs w:val="13"/>
        </w:rPr>
        <w:t>2</w:t>
      </w:r>
    </w:p>
    <w:p w14:paraId="277EC285" w14:textId="77777777" w:rsidR="00D1587D" w:rsidRDefault="00410D07">
      <w:pPr>
        <w:spacing w:line="20" w:lineRule="exact"/>
        <w:rPr>
          <w:sz w:val="20"/>
          <w:szCs w:val="20"/>
        </w:rPr>
      </w:pPr>
      <w:r>
        <w:rPr>
          <w:noProof/>
          <w:sz w:val="20"/>
          <w:szCs w:val="20"/>
        </w:rPr>
        <w:drawing>
          <wp:anchor distT="0" distB="0" distL="114300" distR="114300" simplePos="0" relativeHeight="251429888" behindDoc="1" locked="0" layoutInCell="0" allowOverlap="1" wp14:anchorId="37C860C9" wp14:editId="1D35CE25">
            <wp:simplePos x="0" y="0"/>
            <wp:positionH relativeFrom="column">
              <wp:posOffset>-636905</wp:posOffset>
            </wp:positionH>
            <wp:positionV relativeFrom="paragraph">
              <wp:posOffset>162560</wp:posOffset>
            </wp:positionV>
            <wp:extent cx="6995160" cy="1714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4F91D11"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260" w:name="page261"/>
    <w:bookmarkEnd w:id="260"/>
    <w:p w14:paraId="23DCEA39"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D124666" w14:textId="77777777" w:rsidR="00D1587D" w:rsidRDefault="00410D07">
      <w:pPr>
        <w:spacing w:line="20" w:lineRule="exact"/>
        <w:rPr>
          <w:sz w:val="20"/>
          <w:szCs w:val="20"/>
        </w:rPr>
      </w:pPr>
      <w:r>
        <w:rPr>
          <w:noProof/>
          <w:sz w:val="20"/>
          <w:szCs w:val="20"/>
        </w:rPr>
        <w:drawing>
          <wp:anchor distT="0" distB="0" distL="114300" distR="114300" simplePos="0" relativeHeight="251430912" behindDoc="1" locked="0" layoutInCell="0" allowOverlap="1" wp14:anchorId="34323417" wp14:editId="0505173F">
            <wp:simplePos x="0" y="0"/>
            <wp:positionH relativeFrom="column">
              <wp:posOffset>46355</wp:posOffset>
            </wp:positionH>
            <wp:positionV relativeFrom="paragraph">
              <wp:posOffset>90170</wp:posOffset>
            </wp:positionV>
            <wp:extent cx="5653405" cy="723074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1"/>
                    <a:srcRect/>
                    <a:stretch>
                      <a:fillRect/>
                    </a:stretch>
                  </pic:blipFill>
                  <pic:spPr bwMode="auto">
                    <a:xfrm>
                      <a:off x="0" y="0"/>
                      <a:ext cx="5653405" cy="7230745"/>
                    </a:xfrm>
                    <a:prstGeom prst="rect">
                      <a:avLst/>
                    </a:prstGeom>
                    <a:noFill/>
                  </pic:spPr>
                </pic:pic>
              </a:graphicData>
            </a:graphic>
          </wp:anchor>
        </w:drawing>
      </w:r>
    </w:p>
    <w:p w14:paraId="7123B202" w14:textId="77777777" w:rsidR="00D1587D" w:rsidRDefault="00D1587D">
      <w:pPr>
        <w:spacing w:line="200" w:lineRule="exact"/>
        <w:rPr>
          <w:sz w:val="20"/>
          <w:szCs w:val="20"/>
        </w:rPr>
      </w:pPr>
    </w:p>
    <w:p w14:paraId="0170F9C8" w14:textId="77777777" w:rsidR="00D1587D" w:rsidRDefault="00D1587D">
      <w:pPr>
        <w:spacing w:line="275" w:lineRule="exact"/>
        <w:rPr>
          <w:sz w:val="20"/>
          <w:szCs w:val="20"/>
        </w:rPr>
      </w:pPr>
    </w:p>
    <w:p w14:paraId="662B154B" w14:textId="77777777" w:rsidR="00D1587D" w:rsidRDefault="00410D07" w:rsidP="00410D07">
      <w:pPr>
        <w:numPr>
          <w:ilvl w:val="0"/>
          <w:numId w:val="211"/>
        </w:numPr>
        <w:tabs>
          <w:tab w:val="left" w:pos="1020"/>
        </w:tabs>
        <w:spacing w:line="270" w:lineRule="auto"/>
        <w:ind w:left="1020" w:right="299" w:hanging="350"/>
        <w:rPr>
          <w:rFonts w:ascii="Arial" w:eastAsia="Arial" w:hAnsi="Arial" w:cs="Arial"/>
          <w:sz w:val="17"/>
          <w:szCs w:val="17"/>
        </w:rPr>
      </w:pPr>
      <w:r>
        <w:rPr>
          <w:rFonts w:ascii="Arial" w:eastAsia="Arial" w:hAnsi="Arial" w:cs="Arial"/>
          <w:b/>
          <w:bCs/>
          <w:i/>
          <w:iCs/>
          <w:sz w:val="17"/>
          <w:szCs w:val="17"/>
        </w:rPr>
        <w:t xml:space="preserve">North American Stores. </w:t>
      </w:r>
      <w:r>
        <w:rPr>
          <w:rFonts w:ascii="Arial" w:eastAsia="Arial" w:hAnsi="Arial" w:cs="Arial"/>
          <w:sz w:val="17"/>
          <w:szCs w:val="17"/>
        </w:rPr>
        <w:t>Our retail footprint in North America, as of May 1, 2021, spans the U.S. and</w:t>
      </w:r>
      <w:r>
        <w:rPr>
          <w:rFonts w:ascii="Arial" w:eastAsia="Arial" w:hAnsi="Arial" w:cs="Arial"/>
          <w:b/>
          <w:bCs/>
          <w:i/>
          <w:iCs/>
          <w:sz w:val="17"/>
          <w:szCs w:val="17"/>
        </w:rPr>
        <w:t xml:space="preserve"> </w:t>
      </w:r>
      <w:r>
        <w:rPr>
          <w:rFonts w:ascii="Arial" w:eastAsia="Arial" w:hAnsi="Arial" w:cs="Arial"/>
          <w:sz w:val="17"/>
          <w:szCs w:val="17"/>
        </w:rPr>
        <w:t xml:space="preserve">Canada with 867 </w:t>
      </w:r>
      <w:r>
        <w:rPr>
          <w:rFonts w:ascii="Arial" w:eastAsia="Arial" w:hAnsi="Arial" w:cs="Arial"/>
          <w:sz w:val="17"/>
          <w:szCs w:val="17"/>
        </w:rPr>
        <w:t>stores, representing a combined 6.0 million square feet of selling space. Our North American stores channel creates an immersive environment for customers to experience our brands and try new products. Our sales associates and store managers are central in</w:t>
      </w:r>
      <w:r>
        <w:rPr>
          <w:rFonts w:ascii="Arial" w:eastAsia="Arial" w:hAnsi="Arial" w:cs="Arial"/>
          <w:sz w:val="17"/>
          <w:szCs w:val="17"/>
        </w:rPr>
        <w:t xml:space="preserve"> creating an engaging and compelling store experience by providing a high level of customer service. Although traffic levels were challenged in the first quarter of 2021 and in 2020 due to the pandemic, our improved assortment and focus on store selling in</w:t>
      </w:r>
      <w:r>
        <w:rPr>
          <w:rFonts w:ascii="Arial" w:eastAsia="Arial" w:hAnsi="Arial" w:cs="Arial"/>
          <w:sz w:val="17"/>
          <w:szCs w:val="17"/>
        </w:rPr>
        <w:t>itiatives drove increases in conversion (which we define as the percentage of customers who visit our stores who make a purchase) and average unit retail (which we define as the average price per unit purchased) compared to 2019.</w:t>
      </w:r>
    </w:p>
    <w:p w14:paraId="1DDCBB76" w14:textId="77777777" w:rsidR="00D1587D" w:rsidRDefault="00D1587D">
      <w:pPr>
        <w:spacing w:line="72" w:lineRule="exact"/>
        <w:rPr>
          <w:rFonts w:ascii="Arial" w:eastAsia="Arial" w:hAnsi="Arial" w:cs="Arial"/>
          <w:sz w:val="17"/>
          <w:szCs w:val="17"/>
        </w:rPr>
      </w:pPr>
    </w:p>
    <w:p w14:paraId="38105B4F" w14:textId="77777777" w:rsidR="00D1587D" w:rsidRDefault="00410D07" w:rsidP="00410D07">
      <w:pPr>
        <w:numPr>
          <w:ilvl w:val="0"/>
          <w:numId w:val="211"/>
        </w:numPr>
        <w:tabs>
          <w:tab w:val="left" w:pos="1020"/>
        </w:tabs>
        <w:spacing w:line="254" w:lineRule="auto"/>
        <w:ind w:left="1020" w:right="379" w:hanging="350"/>
        <w:rPr>
          <w:rFonts w:ascii="Arial" w:eastAsia="Arial" w:hAnsi="Arial" w:cs="Arial"/>
          <w:sz w:val="18"/>
          <w:szCs w:val="18"/>
        </w:rPr>
      </w:pPr>
      <w:r>
        <w:rPr>
          <w:rFonts w:ascii="Arial" w:eastAsia="Arial" w:hAnsi="Arial" w:cs="Arial"/>
          <w:b/>
          <w:bCs/>
          <w:i/>
          <w:iCs/>
          <w:sz w:val="18"/>
          <w:szCs w:val="18"/>
        </w:rPr>
        <w:t xml:space="preserve">International. </w:t>
      </w:r>
      <w:r>
        <w:rPr>
          <w:rFonts w:ascii="Arial" w:eastAsia="Arial" w:hAnsi="Arial" w:cs="Arial"/>
          <w:sz w:val="18"/>
          <w:szCs w:val="18"/>
        </w:rPr>
        <w:t xml:space="preserve">We </w:t>
      </w:r>
      <w:r>
        <w:rPr>
          <w:rFonts w:ascii="Arial" w:eastAsia="Arial" w:hAnsi="Arial" w:cs="Arial"/>
          <w:sz w:val="18"/>
          <w:szCs w:val="18"/>
        </w:rPr>
        <w:t>have a significant international footprint with 520 international stores and 26</w:t>
      </w:r>
      <w:r>
        <w:rPr>
          <w:rFonts w:ascii="Arial" w:eastAsia="Arial" w:hAnsi="Arial" w:cs="Arial"/>
          <w:b/>
          <w:bCs/>
          <w:i/>
          <w:iCs/>
          <w:sz w:val="18"/>
          <w:szCs w:val="18"/>
        </w:rPr>
        <w:t xml:space="preserve"> </w:t>
      </w:r>
      <w:r>
        <w:rPr>
          <w:rFonts w:ascii="Arial" w:eastAsia="Arial" w:hAnsi="Arial" w:cs="Arial"/>
          <w:sz w:val="18"/>
          <w:szCs w:val="18"/>
        </w:rPr>
        <w:t>international digital sites as of May 1, 2021. We believe we have meaningful opportunity to grow through new Victoria’s Secret Beauty and Accessories and full assortment stores</w:t>
      </w:r>
      <w:r>
        <w:rPr>
          <w:rFonts w:ascii="Arial" w:eastAsia="Arial" w:hAnsi="Arial" w:cs="Arial"/>
          <w:sz w:val="18"/>
          <w:szCs w:val="18"/>
        </w:rPr>
        <w:t>, new digital sites and new geographies. Victoria’s Secret Beauty and Accessories stores represent smaller footprint stores including stores in airports and other travel retail locations, which enable significant global exposure. Our international stores s</w:t>
      </w:r>
      <w:r>
        <w:rPr>
          <w:rFonts w:ascii="Arial" w:eastAsia="Arial" w:hAnsi="Arial" w:cs="Arial"/>
          <w:sz w:val="18"/>
          <w:szCs w:val="18"/>
        </w:rPr>
        <w:t>pan the Americas, Europe, Asia, Africa and the Middle East, in addition to the strong digital component of our international business.</w:t>
      </w:r>
    </w:p>
    <w:p w14:paraId="668BBD70" w14:textId="77777777" w:rsidR="00D1587D" w:rsidRDefault="00D1587D">
      <w:pPr>
        <w:spacing w:line="343" w:lineRule="exact"/>
        <w:rPr>
          <w:sz w:val="20"/>
          <w:szCs w:val="20"/>
        </w:rPr>
      </w:pPr>
    </w:p>
    <w:p w14:paraId="19EF666E" w14:textId="77777777" w:rsidR="00D1587D" w:rsidRDefault="00410D07">
      <w:pPr>
        <w:ind w:left="660"/>
        <w:rPr>
          <w:sz w:val="20"/>
          <w:szCs w:val="20"/>
        </w:rPr>
      </w:pPr>
      <w:r>
        <w:rPr>
          <w:rFonts w:ascii="Arial" w:eastAsia="Arial" w:hAnsi="Arial" w:cs="Arial"/>
          <w:b/>
          <w:bCs/>
          <w:i/>
          <w:iCs/>
          <w:sz w:val="18"/>
          <w:szCs w:val="18"/>
        </w:rPr>
        <w:t>Agile and Highly Responsive Supply Chain and Sourcing Capabilities.</w:t>
      </w:r>
    </w:p>
    <w:p w14:paraId="10393D4A" w14:textId="77777777" w:rsidR="00D1587D" w:rsidRDefault="00D1587D">
      <w:pPr>
        <w:spacing w:line="117" w:lineRule="exact"/>
        <w:rPr>
          <w:sz w:val="20"/>
          <w:szCs w:val="20"/>
        </w:rPr>
      </w:pPr>
    </w:p>
    <w:p w14:paraId="7EF1039D" w14:textId="77777777" w:rsidR="00D1587D" w:rsidRDefault="00410D07">
      <w:pPr>
        <w:spacing w:line="293" w:lineRule="auto"/>
        <w:ind w:left="320" w:right="399" w:firstLine="360"/>
        <w:rPr>
          <w:sz w:val="20"/>
          <w:szCs w:val="20"/>
        </w:rPr>
      </w:pPr>
      <w:r>
        <w:rPr>
          <w:rFonts w:ascii="Arial" w:eastAsia="Arial" w:hAnsi="Arial" w:cs="Arial"/>
          <w:sz w:val="16"/>
          <w:szCs w:val="16"/>
        </w:rPr>
        <w:t>Our sourcing and production function has a long and</w:t>
      </w:r>
      <w:r>
        <w:rPr>
          <w:rFonts w:ascii="Arial" w:eastAsia="Arial" w:hAnsi="Arial" w:cs="Arial"/>
          <w:sz w:val="16"/>
          <w:szCs w:val="16"/>
        </w:rPr>
        <w:t xml:space="preserve"> deep presence in key sourcing markets including those in the U.S. and Asia. Our intimates and apparel categories are supported by an internationally outsourced platform, primarily in Asia, which has consistently provided rapid speed to market, high qualit</w:t>
      </w:r>
      <w:r>
        <w:rPr>
          <w:rFonts w:ascii="Arial" w:eastAsia="Arial" w:hAnsi="Arial" w:cs="Arial"/>
          <w:sz w:val="16"/>
          <w:szCs w:val="16"/>
        </w:rPr>
        <w:t>y and innovative products and an efficient cost base. Meanwhile, our beauty platform is largely centered in Ohio, where a number of our suppliers are located, boasting innovation and agile manufacturing. We have thoughtfully designed our supply chain aroun</w:t>
      </w:r>
      <w:r>
        <w:rPr>
          <w:rFonts w:ascii="Arial" w:eastAsia="Arial" w:hAnsi="Arial" w:cs="Arial"/>
          <w:sz w:val="16"/>
          <w:szCs w:val="16"/>
        </w:rPr>
        <w:t>d three key principles: speed-to-market, quality and cost efficiency.</w:t>
      </w:r>
    </w:p>
    <w:p w14:paraId="7F24A607" w14:textId="77777777" w:rsidR="00D1587D" w:rsidRDefault="00D1587D">
      <w:pPr>
        <w:spacing w:line="56" w:lineRule="exact"/>
        <w:rPr>
          <w:sz w:val="20"/>
          <w:szCs w:val="20"/>
        </w:rPr>
      </w:pPr>
    </w:p>
    <w:p w14:paraId="3C024E75" w14:textId="77777777" w:rsidR="00D1587D" w:rsidRDefault="00410D07">
      <w:pPr>
        <w:spacing w:line="254" w:lineRule="auto"/>
        <w:ind w:left="320" w:right="299" w:firstLine="360"/>
        <w:rPr>
          <w:sz w:val="20"/>
          <w:szCs w:val="20"/>
        </w:rPr>
      </w:pPr>
      <w:r>
        <w:rPr>
          <w:rFonts w:ascii="Arial" w:eastAsia="Arial" w:hAnsi="Arial" w:cs="Arial"/>
          <w:sz w:val="18"/>
          <w:szCs w:val="18"/>
        </w:rPr>
        <w:t xml:space="preserve">The current environment requires unprecedented agility, and we are leveraging the speed that we have in our supply chain, our close partnerships with suppliers and the </w:t>
      </w:r>
      <w:r>
        <w:rPr>
          <w:rFonts w:ascii="Arial" w:eastAsia="Arial" w:hAnsi="Arial" w:cs="Arial"/>
          <w:sz w:val="18"/>
          <w:szCs w:val="18"/>
        </w:rPr>
        <w:t>capabilities of our sourcing, production and logistics teams to actively manage our inventory and adjust for channel shifts across our business. We have focused on speed to market and believe our lead times are amongst the shortest in the industry, allowin</w:t>
      </w:r>
      <w:r>
        <w:rPr>
          <w:rFonts w:ascii="Arial" w:eastAsia="Arial" w:hAnsi="Arial" w:cs="Arial"/>
          <w:sz w:val="18"/>
          <w:szCs w:val="18"/>
        </w:rPr>
        <w:t>g us to read and react to customer preferences. As an example, we have worked with our suppliers to develop an “instant panty” program that allows us to go from order to product in stores within two weeks. The agility within our supply chain provides us wi</w:t>
      </w:r>
      <w:r>
        <w:rPr>
          <w:rFonts w:ascii="Arial" w:eastAsia="Arial" w:hAnsi="Arial" w:cs="Arial"/>
          <w:sz w:val="18"/>
          <w:szCs w:val="18"/>
        </w:rPr>
        <w:t>th flexibility to quickly re-order strong sellers as we seek to maximize our sales and merchandise margin rate opportunities.</w:t>
      </w:r>
    </w:p>
    <w:p w14:paraId="3F88B858" w14:textId="77777777" w:rsidR="00D1587D" w:rsidRDefault="00D1587D">
      <w:pPr>
        <w:spacing w:line="84" w:lineRule="exact"/>
        <w:rPr>
          <w:sz w:val="20"/>
          <w:szCs w:val="20"/>
        </w:rPr>
      </w:pPr>
    </w:p>
    <w:p w14:paraId="7B14D9A3" w14:textId="77777777" w:rsidR="00D1587D" w:rsidRDefault="00410D07">
      <w:pPr>
        <w:spacing w:line="259" w:lineRule="auto"/>
        <w:ind w:left="320" w:right="519" w:firstLine="360"/>
        <w:rPr>
          <w:sz w:val="20"/>
          <w:szCs w:val="20"/>
        </w:rPr>
      </w:pPr>
      <w:r>
        <w:rPr>
          <w:rFonts w:ascii="Arial" w:eastAsia="Arial" w:hAnsi="Arial" w:cs="Arial"/>
          <w:sz w:val="18"/>
          <w:szCs w:val="18"/>
        </w:rPr>
        <w:t xml:space="preserve">Our strong relationships with our suppliers have allowed us to manufacture our products with cost efficiency without sacrificing </w:t>
      </w:r>
      <w:r>
        <w:rPr>
          <w:rFonts w:ascii="Arial" w:eastAsia="Arial" w:hAnsi="Arial" w:cs="Arial"/>
          <w:sz w:val="18"/>
          <w:szCs w:val="18"/>
        </w:rPr>
        <w:t>quality. We have approximately 200 vendors across product categories as of January 30, 2021. Our global supply base and flexibility are key competitive advantages and allow us to provide a broad product range, innovation and assortment to our customers.</w:t>
      </w:r>
    </w:p>
    <w:p w14:paraId="69EE41F7" w14:textId="77777777" w:rsidR="00D1587D" w:rsidRDefault="00D1587D">
      <w:pPr>
        <w:spacing w:line="335" w:lineRule="exact"/>
        <w:rPr>
          <w:sz w:val="20"/>
          <w:szCs w:val="20"/>
        </w:rPr>
      </w:pPr>
    </w:p>
    <w:p w14:paraId="74659564" w14:textId="77777777" w:rsidR="00D1587D" w:rsidRDefault="00410D07">
      <w:pPr>
        <w:ind w:left="660"/>
        <w:rPr>
          <w:sz w:val="20"/>
          <w:szCs w:val="20"/>
        </w:rPr>
      </w:pPr>
      <w:r>
        <w:rPr>
          <w:rFonts w:ascii="Arial" w:eastAsia="Arial" w:hAnsi="Arial" w:cs="Arial"/>
          <w:b/>
          <w:bCs/>
          <w:i/>
          <w:iCs/>
          <w:sz w:val="18"/>
          <w:szCs w:val="18"/>
        </w:rPr>
        <w:t>H</w:t>
      </w:r>
      <w:r>
        <w:rPr>
          <w:rFonts w:ascii="Arial" w:eastAsia="Arial" w:hAnsi="Arial" w:cs="Arial"/>
          <w:b/>
          <w:bCs/>
          <w:i/>
          <w:iCs/>
          <w:sz w:val="18"/>
          <w:szCs w:val="18"/>
        </w:rPr>
        <w:t>ighly-Talented Management Team with Deep Industry Experience.</w:t>
      </w:r>
    </w:p>
    <w:p w14:paraId="78211669" w14:textId="77777777" w:rsidR="00D1587D" w:rsidRDefault="00D1587D">
      <w:pPr>
        <w:spacing w:line="117" w:lineRule="exact"/>
        <w:rPr>
          <w:sz w:val="20"/>
          <w:szCs w:val="20"/>
        </w:rPr>
      </w:pPr>
    </w:p>
    <w:p w14:paraId="2865A85E" w14:textId="77777777" w:rsidR="00D1587D" w:rsidRDefault="00410D07">
      <w:pPr>
        <w:spacing w:line="290" w:lineRule="auto"/>
        <w:ind w:left="320" w:right="339" w:firstLine="360"/>
        <w:rPr>
          <w:sz w:val="20"/>
          <w:szCs w:val="20"/>
        </w:rPr>
      </w:pPr>
      <w:r>
        <w:rPr>
          <w:rFonts w:ascii="Arial" w:eastAsia="Arial" w:hAnsi="Arial" w:cs="Arial"/>
          <w:sz w:val="16"/>
          <w:szCs w:val="16"/>
        </w:rPr>
        <w:t>We put an emphasis on ensuring a strong and impactful team is in place to direct the business towards growth and reach its potential at this crucial inflection point. The Company is led by Mart</w:t>
      </w:r>
      <w:r>
        <w:rPr>
          <w:rFonts w:ascii="Arial" w:eastAsia="Arial" w:hAnsi="Arial" w:cs="Arial"/>
          <w:sz w:val="16"/>
          <w:szCs w:val="16"/>
        </w:rPr>
        <w:t xml:space="preserve">in Waters, our Chief Executive Officer, who has deep knowledge of the VS brand from his involvement in our business since 2008. Additionally, Amy Hauk, Chief Executive Officer of PINK and Greg Unis, Chief Executive Officer of Victoria’s Secret Beauty, are </w:t>
      </w:r>
      <w:r>
        <w:rPr>
          <w:rFonts w:ascii="Arial" w:eastAsia="Arial" w:hAnsi="Arial" w:cs="Arial"/>
          <w:sz w:val="16"/>
          <w:szCs w:val="16"/>
        </w:rPr>
        <w:t>experienced and talented retail leaders. Amy Hauk joined LB in 2008 and has served as Chief Executive Officer of PINK since 2018. Greg Unis joined the Company as Chief Executive Officer of Victoria’s Secret Beauty in 2016. The management team is highly col</w:t>
      </w:r>
      <w:r>
        <w:rPr>
          <w:rFonts w:ascii="Arial" w:eastAsia="Arial" w:hAnsi="Arial" w:cs="Arial"/>
          <w:sz w:val="16"/>
          <w:szCs w:val="16"/>
        </w:rPr>
        <w:t>laborative across brands as well as channels, with each channel (Digital, North American Stores and International) also supported by well qualified leaders.</w:t>
      </w:r>
    </w:p>
    <w:p w14:paraId="5EF8D91E" w14:textId="77777777" w:rsidR="00D1587D" w:rsidRDefault="00D1587D">
      <w:pPr>
        <w:spacing w:line="200" w:lineRule="exact"/>
        <w:rPr>
          <w:sz w:val="20"/>
          <w:szCs w:val="20"/>
        </w:rPr>
      </w:pPr>
    </w:p>
    <w:p w14:paraId="0BAE2BDE" w14:textId="77777777" w:rsidR="00D1587D" w:rsidRDefault="00D1587D">
      <w:pPr>
        <w:spacing w:line="208" w:lineRule="exact"/>
        <w:rPr>
          <w:sz w:val="20"/>
          <w:szCs w:val="20"/>
        </w:rPr>
      </w:pPr>
    </w:p>
    <w:p w14:paraId="33D5A091" w14:textId="77777777" w:rsidR="00D1587D" w:rsidRDefault="00410D07">
      <w:pPr>
        <w:ind w:right="19"/>
        <w:jc w:val="center"/>
        <w:rPr>
          <w:sz w:val="20"/>
          <w:szCs w:val="20"/>
        </w:rPr>
      </w:pPr>
      <w:r>
        <w:rPr>
          <w:rFonts w:ascii="Arial" w:eastAsia="Arial" w:hAnsi="Arial" w:cs="Arial"/>
          <w:sz w:val="18"/>
          <w:szCs w:val="18"/>
        </w:rPr>
        <w:t>3</w:t>
      </w:r>
    </w:p>
    <w:p w14:paraId="257DA801" w14:textId="77777777" w:rsidR="00D1587D" w:rsidRDefault="00410D07">
      <w:pPr>
        <w:spacing w:line="20" w:lineRule="exact"/>
        <w:rPr>
          <w:sz w:val="20"/>
          <w:szCs w:val="20"/>
        </w:rPr>
      </w:pPr>
      <w:r>
        <w:rPr>
          <w:noProof/>
          <w:sz w:val="20"/>
          <w:szCs w:val="20"/>
        </w:rPr>
        <w:drawing>
          <wp:anchor distT="0" distB="0" distL="114300" distR="114300" simplePos="0" relativeHeight="251431936" behindDoc="1" locked="0" layoutInCell="0" allowOverlap="1" wp14:anchorId="2F598AE7" wp14:editId="1932908B">
            <wp:simplePos x="0" y="0"/>
            <wp:positionH relativeFrom="column">
              <wp:posOffset>-636905</wp:posOffset>
            </wp:positionH>
            <wp:positionV relativeFrom="paragraph">
              <wp:posOffset>126365</wp:posOffset>
            </wp:positionV>
            <wp:extent cx="6995160" cy="1714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0A2F339" w14:textId="77777777" w:rsidR="00D1587D" w:rsidRDefault="00D1587D">
      <w:pPr>
        <w:sectPr w:rsidR="00D1587D">
          <w:pgSz w:w="11900" w:h="16838"/>
          <w:pgMar w:top="265" w:right="1440" w:bottom="1440" w:left="1440" w:header="0" w:footer="0" w:gutter="0"/>
          <w:cols w:space="720" w:equalWidth="0">
            <w:col w:w="9019"/>
          </w:cols>
        </w:sectPr>
      </w:pPr>
    </w:p>
    <w:bookmarkStart w:id="261" w:name="page262"/>
    <w:bookmarkEnd w:id="261"/>
    <w:p w14:paraId="6659A8C6"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8AC9052" w14:textId="77777777" w:rsidR="00D1587D" w:rsidRDefault="00410D07">
      <w:pPr>
        <w:spacing w:line="20" w:lineRule="exact"/>
        <w:rPr>
          <w:sz w:val="20"/>
          <w:szCs w:val="20"/>
        </w:rPr>
      </w:pPr>
      <w:r>
        <w:rPr>
          <w:noProof/>
          <w:sz w:val="20"/>
          <w:szCs w:val="20"/>
        </w:rPr>
        <w:drawing>
          <wp:anchor distT="0" distB="0" distL="114300" distR="114300" simplePos="0" relativeHeight="251432960" behindDoc="1" locked="0" layoutInCell="0" allowOverlap="1" wp14:anchorId="43DFE90E" wp14:editId="7FFC9FA4">
            <wp:simplePos x="0" y="0"/>
            <wp:positionH relativeFrom="column">
              <wp:posOffset>46355</wp:posOffset>
            </wp:positionH>
            <wp:positionV relativeFrom="paragraph">
              <wp:posOffset>90170</wp:posOffset>
            </wp:positionV>
            <wp:extent cx="5653405" cy="774509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2"/>
                    <a:srcRect/>
                    <a:stretch>
                      <a:fillRect/>
                    </a:stretch>
                  </pic:blipFill>
                  <pic:spPr bwMode="auto">
                    <a:xfrm>
                      <a:off x="0" y="0"/>
                      <a:ext cx="5653405" cy="7745095"/>
                    </a:xfrm>
                    <a:prstGeom prst="rect">
                      <a:avLst/>
                    </a:prstGeom>
                    <a:noFill/>
                  </pic:spPr>
                </pic:pic>
              </a:graphicData>
            </a:graphic>
          </wp:anchor>
        </w:drawing>
      </w:r>
    </w:p>
    <w:p w14:paraId="2F294BD8" w14:textId="77777777" w:rsidR="00D1587D" w:rsidRDefault="00D1587D">
      <w:pPr>
        <w:spacing w:line="200" w:lineRule="exact"/>
        <w:rPr>
          <w:sz w:val="20"/>
          <w:szCs w:val="20"/>
        </w:rPr>
      </w:pPr>
    </w:p>
    <w:p w14:paraId="5E4F5DD5" w14:textId="77777777" w:rsidR="00D1587D" w:rsidRDefault="00D1587D">
      <w:pPr>
        <w:spacing w:line="271" w:lineRule="exact"/>
        <w:rPr>
          <w:sz w:val="20"/>
          <w:szCs w:val="20"/>
        </w:rPr>
      </w:pPr>
    </w:p>
    <w:p w14:paraId="25CF8F58" w14:textId="77777777" w:rsidR="00D1587D" w:rsidRDefault="00410D07">
      <w:pPr>
        <w:ind w:left="320"/>
        <w:rPr>
          <w:sz w:val="20"/>
          <w:szCs w:val="20"/>
        </w:rPr>
      </w:pPr>
      <w:r>
        <w:rPr>
          <w:rFonts w:ascii="Arial" w:eastAsia="Arial" w:hAnsi="Arial" w:cs="Arial"/>
          <w:b/>
          <w:bCs/>
          <w:sz w:val="18"/>
          <w:szCs w:val="18"/>
        </w:rPr>
        <w:t>Our Strategies</w:t>
      </w:r>
    </w:p>
    <w:p w14:paraId="26BAEA14" w14:textId="77777777" w:rsidR="00D1587D" w:rsidRDefault="00D1587D">
      <w:pPr>
        <w:spacing w:line="148" w:lineRule="exact"/>
        <w:rPr>
          <w:sz w:val="20"/>
          <w:szCs w:val="20"/>
        </w:rPr>
      </w:pPr>
    </w:p>
    <w:p w14:paraId="6BB2C333" w14:textId="77777777" w:rsidR="00D1587D" w:rsidRDefault="00410D07">
      <w:pPr>
        <w:ind w:left="660"/>
        <w:rPr>
          <w:sz w:val="20"/>
          <w:szCs w:val="20"/>
        </w:rPr>
      </w:pPr>
      <w:r>
        <w:rPr>
          <w:rFonts w:ascii="Arial" w:eastAsia="Arial" w:hAnsi="Arial" w:cs="Arial"/>
          <w:b/>
          <w:bCs/>
          <w:i/>
          <w:iCs/>
          <w:sz w:val="18"/>
          <w:szCs w:val="18"/>
        </w:rPr>
        <w:t>Continue to Drive Penetration and Growth in our Digital Channel.</w:t>
      </w:r>
    </w:p>
    <w:p w14:paraId="43F775BC" w14:textId="77777777" w:rsidR="00D1587D" w:rsidRDefault="00D1587D">
      <w:pPr>
        <w:spacing w:line="117" w:lineRule="exact"/>
        <w:rPr>
          <w:sz w:val="20"/>
          <w:szCs w:val="20"/>
        </w:rPr>
      </w:pPr>
    </w:p>
    <w:p w14:paraId="076C9108" w14:textId="77777777" w:rsidR="00D1587D" w:rsidRDefault="00410D07">
      <w:pPr>
        <w:spacing w:line="287" w:lineRule="auto"/>
        <w:ind w:left="320" w:right="319" w:firstLine="360"/>
        <w:rPr>
          <w:sz w:val="20"/>
          <w:szCs w:val="20"/>
        </w:rPr>
      </w:pPr>
      <w:r>
        <w:rPr>
          <w:rFonts w:ascii="Arial" w:eastAsia="Arial" w:hAnsi="Arial" w:cs="Arial"/>
          <w:sz w:val="16"/>
          <w:szCs w:val="16"/>
        </w:rPr>
        <w:t>Investing in our digital channel continues to be a key priority and we believe that our global brands and our scaled retail footprint in North America is a unique platform to continue to gro</w:t>
      </w:r>
      <w:r>
        <w:rPr>
          <w:rFonts w:ascii="Arial" w:eastAsia="Arial" w:hAnsi="Arial" w:cs="Arial"/>
          <w:sz w:val="16"/>
          <w:szCs w:val="16"/>
        </w:rPr>
        <w:t>w our digital business. Omni-channel initiatives, including buy online pick-up in store, and an increased focus on mobile and application interactions will continue to provide flexibility and convenience to our customers. Our shopping and services initiati</w:t>
      </w:r>
      <w:r>
        <w:rPr>
          <w:rFonts w:ascii="Arial" w:eastAsia="Arial" w:hAnsi="Arial" w:cs="Arial"/>
          <w:sz w:val="16"/>
          <w:szCs w:val="16"/>
        </w:rPr>
        <w:t>ves will continue to modernize the customer’s digital shopping experience through features like digital selling guides, virtual try-on, digital appointments, improved checkout performance and alternative payment options. Further, with our customer at the c</w:t>
      </w:r>
      <w:r>
        <w:rPr>
          <w:rFonts w:ascii="Arial" w:eastAsia="Arial" w:hAnsi="Arial" w:cs="Arial"/>
          <w:sz w:val="16"/>
          <w:szCs w:val="16"/>
        </w:rPr>
        <w:t>ore of our strategy, we are also increasing the personalization of our digital platforms through site experience and marketing designed for our customer. Our ongoing digital investments all help to create a seamless shopping experience between online and o</w:t>
      </w:r>
      <w:r>
        <w:rPr>
          <w:rFonts w:ascii="Arial" w:eastAsia="Arial" w:hAnsi="Arial" w:cs="Arial"/>
          <w:sz w:val="16"/>
          <w:szCs w:val="16"/>
        </w:rPr>
        <w:t>ffline and bolster our leadership in the digital channel. In addition, we are scaling the distribution capacity of our digital business in order to support our growth and our omni-channel offerings. These strategies are aimed at increasing our digital chan</w:t>
      </w:r>
      <w:r>
        <w:rPr>
          <w:rFonts w:ascii="Arial" w:eastAsia="Arial" w:hAnsi="Arial" w:cs="Arial"/>
          <w:sz w:val="16"/>
          <w:szCs w:val="16"/>
        </w:rPr>
        <w:t>nel mix and driving margin accretion.</w:t>
      </w:r>
    </w:p>
    <w:p w14:paraId="6B048A50" w14:textId="77777777" w:rsidR="00D1587D" w:rsidRDefault="00D1587D">
      <w:pPr>
        <w:spacing w:line="320" w:lineRule="exact"/>
        <w:rPr>
          <w:sz w:val="20"/>
          <w:szCs w:val="20"/>
        </w:rPr>
      </w:pPr>
    </w:p>
    <w:p w14:paraId="283B17EC" w14:textId="77777777" w:rsidR="00D1587D" w:rsidRDefault="00410D07">
      <w:pPr>
        <w:ind w:left="660"/>
        <w:rPr>
          <w:sz w:val="20"/>
          <w:szCs w:val="20"/>
        </w:rPr>
      </w:pPr>
      <w:r>
        <w:rPr>
          <w:rFonts w:ascii="Arial" w:eastAsia="Arial" w:hAnsi="Arial" w:cs="Arial"/>
          <w:b/>
          <w:bCs/>
          <w:i/>
          <w:iCs/>
          <w:sz w:val="18"/>
          <w:szCs w:val="18"/>
        </w:rPr>
        <w:t>Expand our International Business.</w:t>
      </w:r>
    </w:p>
    <w:p w14:paraId="7E11921F" w14:textId="77777777" w:rsidR="00D1587D" w:rsidRDefault="00D1587D">
      <w:pPr>
        <w:spacing w:line="117" w:lineRule="exact"/>
        <w:rPr>
          <w:sz w:val="20"/>
          <w:szCs w:val="20"/>
        </w:rPr>
      </w:pPr>
    </w:p>
    <w:p w14:paraId="031FA3DB" w14:textId="77777777" w:rsidR="00D1587D" w:rsidRDefault="00410D07">
      <w:pPr>
        <w:spacing w:line="253" w:lineRule="auto"/>
        <w:ind w:left="320" w:right="419" w:firstLine="360"/>
        <w:rPr>
          <w:sz w:val="20"/>
          <w:szCs w:val="20"/>
        </w:rPr>
      </w:pPr>
      <w:r>
        <w:rPr>
          <w:rFonts w:ascii="Arial" w:eastAsia="Arial" w:hAnsi="Arial" w:cs="Arial"/>
          <w:sz w:val="18"/>
          <w:szCs w:val="18"/>
        </w:rPr>
        <w:t xml:space="preserve">Growing our international business is a key strategy. We plan to drive strong comparable sales growth in franchise stores through continued improved product offerings and adjusting </w:t>
      </w:r>
      <w:r>
        <w:rPr>
          <w:rFonts w:ascii="Arial" w:eastAsia="Arial" w:hAnsi="Arial" w:cs="Arial"/>
          <w:sz w:val="18"/>
          <w:szCs w:val="18"/>
        </w:rPr>
        <w:t>assortments to better reflect local preferences. We plan to increase our international store count, enabled by a new store design, lower costs and flexible store formats, which provide a pathway to profitable growth. Additionally, we expect to continue inv</w:t>
      </w:r>
      <w:r>
        <w:rPr>
          <w:rFonts w:ascii="Arial" w:eastAsia="Arial" w:hAnsi="Arial" w:cs="Arial"/>
          <w:sz w:val="18"/>
          <w:szCs w:val="18"/>
        </w:rPr>
        <w:t>esting in and growing the digital components of our international business, including through country-specific web platforms tailored to local languages and preferences and through additional regional expansion. We believe our recent joint venture partners</w:t>
      </w:r>
      <w:r>
        <w:rPr>
          <w:rFonts w:ascii="Arial" w:eastAsia="Arial" w:hAnsi="Arial" w:cs="Arial"/>
          <w:sz w:val="18"/>
          <w:szCs w:val="18"/>
        </w:rPr>
        <w:t xml:space="preserve">hip with Next PLC (“Next”) in the United Kingdom (“U.K.”) will allow us leverage growth through the already existing and impressive Next digital presence. We also anticipate additional opportunities for growth in our travel retail channel as global travel </w:t>
      </w:r>
      <w:r>
        <w:rPr>
          <w:rFonts w:ascii="Arial" w:eastAsia="Arial" w:hAnsi="Arial" w:cs="Arial"/>
          <w:sz w:val="18"/>
          <w:szCs w:val="18"/>
        </w:rPr>
        <w:t>begins to normalize following the COVID-19 pandemic.</w:t>
      </w:r>
    </w:p>
    <w:p w14:paraId="6FDDADF2" w14:textId="77777777" w:rsidR="00D1587D" w:rsidRDefault="00D1587D">
      <w:pPr>
        <w:spacing w:line="343" w:lineRule="exact"/>
        <w:rPr>
          <w:sz w:val="20"/>
          <w:szCs w:val="20"/>
        </w:rPr>
      </w:pPr>
    </w:p>
    <w:p w14:paraId="26670F42" w14:textId="77777777" w:rsidR="00D1587D" w:rsidRDefault="00410D07">
      <w:pPr>
        <w:ind w:left="660"/>
        <w:rPr>
          <w:sz w:val="20"/>
          <w:szCs w:val="20"/>
        </w:rPr>
      </w:pPr>
      <w:r>
        <w:rPr>
          <w:rFonts w:ascii="Arial" w:eastAsia="Arial" w:hAnsi="Arial" w:cs="Arial"/>
          <w:b/>
          <w:bCs/>
          <w:i/>
          <w:iCs/>
          <w:sz w:val="16"/>
          <w:szCs w:val="16"/>
        </w:rPr>
        <w:t>Continue Optimizing Customer Experience through Elevated and Profitable Company-Operated Stores.</w:t>
      </w:r>
    </w:p>
    <w:p w14:paraId="5AC12892" w14:textId="77777777" w:rsidR="00D1587D" w:rsidRDefault="00D1587D">
      <w:pPr>
        <w:spacing w:line="140" w:lineRule="exact"/>
        <w:rPr>
          <w:sz w:val="20"/>
          <w:szCs w:val="20"/>
        </w:rPr>
      </w:pPr>
    </w:p>
    <w:p w14:paraId="3F3E61D3" w14:textId="77777777" w:rsidR="00D1587D" w:rsidRDefault="00410D07">
      <w:pPr>
        <w:spacing w:line="269" w:lineRule="auto"/>
        <w:ind w:left="320" w:right="299" w:firstLine="360"/>
        <w:rPr>
          <w:sz w:val="20"/>
          <w:szCs w:val="20"/>
        </w:rPr>
      </w:pPr>
      <w:r>
        <w:rPr>
          <w:rFonts w:ascii="Arial" w:eastAsia="Arial" w:hAnsi="Arial" w:cs="Arial"/>
          <w:sz w:val="17"/>
          <w:szCs w:val="17"/>
        </w:rPr>
        <w:t>We believe we can further optimize our existing base of stores within North America to continue to deliv</w:t>
      </w:r>
      <w:r>
        <w:rPr>
          <w:rFonts w:ascii="Arial" w:eastAsia="Arial" w:hAnsi="Arial" w:cs="Arial"/>
          <w:sz w:val="17"/>
          <w:szCs w:val="17"/>
        </w:rPr>
        <w:t>er an elevated retail experience and to meet our customer’s evolving channel preferences. We believe our stores channel is important to engaging with existing and new customers and, accordingly, see it as a key part of our strategy. We are investing in our</w:t>
      </w:r>
      <w:r>
        <w:rPr>
          <w:rFonts w:ascii="Arial" w:eastAsia="Arial" w:hAnsi="Arial" w:cs="Arial"/>
          <w:sz w:val="17"/>
          <w:szCs w:val="17"/>
        </w:rPr>
        <w:t xml:space="preserve"> stores through refreshing existing stores and working towards a store of the future that will include smaller, more flexible space with a unique dual-brand layout to meet the needs of our customer and accommodate shifting consumer preferences for omni-cha</w:t>
      </w:r>
      <w:r>
        <w:rPr>
          <w:rFonts w:ascii="Arial" w:eastAsia="Arial" w:hAnsi="Arial" w:cs="Arial"/>
          <w:sz w:val="17"/>
          <w:szCs w:val="17"/>
        </w:rPr>
        <w:t>nnel shopping. We also continue to focus on appropriate space allocation within the store and right-sizing the overall size of the North American stores which we believe will lead to sales transference to other stores and our digital channel. In addition t</w:t>
      </w:r>
      <w:r>
        <w:rPr>
          <w:rFonts w:ascii="Arial" w:eastAsia="Arial" w:hAnsi="Arial" w:cs="Arial"/>
          <w:sz w:val="17"/>
          <w:szCs w:val="17"/>
        </w:rPr>
        <w:t>o our initiatives related to our physical stores, we plan to continue to invest in store talent and labor optimization. These initiatives are designed to increase productivity in our stores measured through improved sales per selling square foot, as well a</w:t>
      </w:r>
      <w:r>
        <w:rPr>
          <w:rFonts w:ascii="Arial" w:eastAsia="Arial" w:hAnsi="Arial" w:cs="Arial"/>
          <w:sz w:val="17"/>
          <w:szCs w:val="17"/>
        </w:rPr>
        <w:t>s overall store profitability.</w:t>
      </w:r>
    </w:p>
    <w:p w14:paraId="573BADFF" w14:textId="77777777" w:rsidR="00D1587D" w:rsidRDefault="00D1587D">
      <w:pPr>
        <w:spacing w:line="330" w:lineRule="exact"/>
        <w:rPr>
          <w:sz w:val="20"/>
          <w:szCs w:val="20"/>
        </w:rPr>
      </w:pPr>
    </w:p>
    <w:p w14:paraId="278F0161" w14:textId="77777777" w:rsidR="00D1587D" w:rsidRDefault="00410D07">
      <w:pPr>
        <w:ind w:left="660"/>
        <w:rPr>
          <w:sz w:val="20"/>
          <w:szCs w:val="20"/>
        </w:rPr>
      </w:pPr>
      <w:r>
        <w:rPr>
          <w:rFonts w:ascii="Arial" w:eastAsia="Arial" w:hAnsi="Arial" w:cs="Arial"/>
          <w:b/>
          <w:bCs/>
          <w:i/>
          <w:iCs/>
          <w:sz w:val="18"/>
          <w:szCs w:val="18"/>
        </w:rPr>
        <w:t>Invest in our Brands and our Business to Drive Growth.</w:t>
      </w:r>
    </w:p>
    <w:p w14:paraId="3434B5BD" w14:textId="77777777" w:rsidR="00D1587D" w:rsidRDefault="00D1587D">
      <w:pPr>
        <w:spacing w:line="117" w:lineRule="exact"/>
        <w:rPr>
          <w:sz w:val="20"/>
          <w:szCs w:val="20"/>
        </w:rPr>
      </w:pPr>
    </w:p>
    <w:p w14:paraId="652CE2C8" w14:textId="77777777" w:rsidR="00D1587D" w:rsidRDefault="00410D07">
      <w:pPr>
        <w:spacing w:line="289" w:lineRule="auto"/>
        <w:ind w:left="320" w:right="299" w:firstLine="360"/>
        <w:rPr>
          <w:sz w:val="20"/>
          <w:szCs w:val="20"/>
        </w:rPr>
      </w:pPr>
      <w:r>
        <w:rPr>
          <w:rFonts w:ascii="Arial" w:eastAsia="Arial" w:hAnsi="Arial" w:cs="Arial"/>
          <w:sz w:val="16"/>
          <w:szCs w:val="16"/>
        </w:rPr>
        <w:t xml:space="preserve">In addition to the strategies outlined above, we continue to make significant investments in our iconic brands, our physical and digital business channels and our </w:t>
      </w:r>
      <w:r>
        <w:rPr>
          <w:rFonts w:ascii="Arial" w:eastAsia="Arial" w:hAnsi="Arial" w:cs="Arial"/>
          <w:sz w:val="16"/>
          <w:szCs w:val="16"/>
        </w:rPr>
        <w:t>organizational capabilities in order to support the continued growth of our business. We believe our success is significantly enabled by frequent and innovative product launches, which include bra launches at Victoria’s Secret Lingerie and PINK and new fra</w:t>
      </w:r>
      <w:r>
        <w:rPr>
          <w:rFonts w:ascii="Arial" w:eastAsia="Arial" w:hAnsi="Arial" w:cs="Arial"/>
          <w:sz w:val="16"/>
          <w:szCs w:val="16"/>
        </w:rPr>
        <w:t>grances at Victoria’s Secret Beauty. We are making targeted investments in technology to maintain our high digital penetration and to expand the omni-channel offering for our customers. We are also increasing our distribution capacity and efficiency in ord</w:t>
      </w:r>
      <w:r>
        <w:rPr>
          <w:rFonts w:ascii="Arial" w:eastAsia="Arial" w:hAnsi="Arial" w:cs="Arial"/>
          <w:sz w:val="16"/>
          <w:szCs w:val="16"/>
        </w:rPr>
        <w:t>er to make decisions close to market, deliver orders to customers more quickly and provide the best and widest assortment across product categories and sizes across all channels. Our management team is committed to a diverse and inclusive corporate culture</w:t>
      </w:r>
      <w:r>
        <w:rPr>
          <w:rFonts w:ascii="Arial" w:eastAsia="Arial" w:hAnsi="Arial" w:cs="Arial"/>
          <w:sz w:val="16"/>
          <w:szCs w:val="16"/>
        </w:rPr>
        <w:t xml:space="preserve"> and we are building a world class team to support the execution of our growth strategies.</w:t>
      </w:r>
    </w:p>
    <w:p w14:paraId="06050BAB" w14:textId="77777777" w:rsidR="00D1587D" w:rsidRDefault="00D1587D">
      <w:pPr>
        <w:spacing w:line="396" w:lineRule="exact"/>
        <w:rPr>
          <w:sz w:val="20"/>
          <w:szCs w:val="20"/>
        </w:rPr>
      </w:pPr>
    </w:p>
    <w:p w14:paraId="0A9D6003" w14:textId="77777777" w:rsidR="00D1587D" w:rsidRDefault="00410D07">
      <w:pPr>
        <w:ind w:right="19"/>
        <w:jc w:val="center"/>
        <w:rPr>
          <w:sz w:val="20"/>
          <w:szCs w:val="20"/>
        </w:rPr>
      </w:pPr>
      <w:r>
        <w:rPr>
          <w:rFonts w:ascii="Arial" w:eastAsia="Arial" w:hAnsi="Arial" w:cs="Arial"/>
          <w:sz w:val="18"/>
          <w:szCs w:val="18"/>
        </w:rPr>
        <w:t>4</w:t>
      </w:r>
    </w:p>
    <w:p w14:paraId="5279121B" w14:textId="77777777" w:rsidR="00D1587D" w:rsidRDefault="00410D07">
      <w:pPr>
        <w:spacing w:line="20" w:lineRule="exact"/>
        <w:rPr>
          <w:sz w:val="20"/>
          <w:szCs w:val="20"/>
        </w:rPr>
      </w:pPr>
      <w:r>
        <w:rPr>
          <w:noProof/>
          <w:sz w:val="20"/>
          <w:szCs w:val="20"/>
        </w:rPr>
        <w:drawing>
          <wp:anchor distT="0" distB="0" distL="114300" distR="114300" simplePos="0" relativeHeight="251433984" behindDoc="1" locked="0" layoutInCell="0" allowOverlap="1" wp14:anchorId="19854374" wp14:editId="287969C5">
            <wp:simplePos x="0" y="0"/>
            <wp:positionH relativeFrom="column">
              <wp:posOffset>-636905</wp:posOffset>
            </wp:positionH>
            <wp:positionV relativeFrom="paragraph">
              <wp:posOffset>134620</wp:posOffset>
            </wp:positionV>
            <wp:extent cx="6995160" cy="1714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9B8666F" w14:textId="77777777" w:rsidR="00D1587D" w:rsidRDefault="00D1587D">
      <w:pPr>
        <w:sectPr w:rsidR="00D1587D">
          <w:pgSz w:w="11900" w:h="16838"/>
          <w:pgMar w:top="265" w:right="1440" w:bottom="1440" w:left="1440" w:header="0" w:footer="0" w:gutter="0"/>
          <w:cols w:space="720" w:equalWidth="0">
            <w:col w:w="9019"/>
          </w:cols>
        </w:sectPr>
      </w:pPr>
    </w:p>
    <w:bookmarkStart w:id="262" w:name="page263"/>
    <w:bookmarkEnd w:id="262"/>
    <w:p w14:paraId="023E74E3"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116E3A9" w14:textId="77777777" w:rsidR="00D1587D" w:rsidRDefault="00410D07">
      <w:pPr>
        <w:spacing w:line="20" w:lineRule="exact"/>
        <w:rPr>
          <w:sz w:val="20"/>
          <w:szCs w:val="20"/>
        </w:rPr>
      </w:pPr>
      <w:r>
        <w:rPr>
          <w:noProof/>
          <w:sz w:val="20"/>
          <w:szCs w:val="20"/>
        </w:rPr>
        <w:drawing>
          <wp:anchor distT="0" distB="0" distL="114300" distR="114300" simplePos="0" relativeHeight="251435008" behindDoc="1" locked="0" layoutInCell="0" allowOverlap="1" wp14:anchorId="54DB7FFC" wp14:editId="03C9C316">
            <wp:simplePos x="0" y="0"/>
            <wp:positionH relativeFrom="column">
              <wp:posOffset>46355</wp:posOffset>
            </wp:positionH>
            <wp:positionV relativeFrom="paragraph">
              <wp:posOffset>90170</wp:posOffset>
            </wp:positionV>
            <wp:extent cx="5653405" cy="760793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3"/>
                    <a:srcRect/>
                    <a:stretch>
                      <a:fillRect/>
                    </a:stretch>
                  </pic:blipFill>
                  <pic:spPr bwMode="auto">
                    <a:xfrm>
                      <a:off x="0" y="0"/>
                      <a:ext cx="5653405" cy="7607935"/>
                    </a:xfrm>
                    <a:prstGeom prst="rect">
                      <a:avLst/>
                    </a:prstGeom>
                    <a:noFill/>
                  </pic:spPr>
                </pic:pic>
              </a:graphicData>
            </a:graphic>
          </wp:anchor>
        </w:drawing>
      </w:r>
    </w:p>
    <w:p w14:paraId="562890E7" w14:textId="77777777" w:rsidR="00D1587D" w:rsidRDefault="00D1587D">
      <w:pPr>
        <w:spacing w:line="200" w:lineRule="exact"/>
        <w:rPr>
          <w:sz w:val="20"/>
          <w:szCs w:val="20"/>
        </w:rPr>
      </w:pPr>
    </w:p>
    <w:p w14:paraId="6D4BDBD6" w14:textId="77777777" w:rsidR="00D1587D" w:rsidRDefault="00D1587D">
      <w:pPr>
        <w:spacing w:line="275" w:lineRule="exact"/>
        <w:rPr>
          <w:sz w:val="20"/>
          <w:szCs w:val="20"/>
        </w:rPr>
      </w:pPr>
    </w:p>
    <w:p w14:paraId="123D8C7E" w14:textId="77777777" w:rsidR="00D1587D" w:rsidRDefault="00410D07">
      <w:pPr>
        <w:ind w:left="660"/>
        <w:rPr>
          <w:sz w:val="20"/>
          <w:szCs w:val="20"/>
        </w:rPr>
      </w:pPr>
      <w:r>
        <w:rPr>
          <w:rFonts w:ascii="Arial" w:eastAsia="Arial" w:hAnsi="Arial" w:cs="Arial"/>
          <w:b/>
          <w:bCs/>
          <w:i/>
          <w:iCs/>
          <w:sz w:val="18"/>
          <w:szCs w:val="18"/>
        </w:rPr>
        <w:t>Recent Actions to Enable our Go-Forward Strategy.</w:t>
      </w:r>
    </w:p>
    <w:p w14:paraId="5E43790A" w14:textId="77777777" w:rsidR="00D1587D" w:rsidRDefault="00D1587D">
      <w:pPr>
        <w:spacing w:line="117" w:lineRule="exact"/>
        <w:rPr>
          <w:sz w:val="20"/>
          <w:szCs w:val="20"/>
        </w:rPr>
      </w:pPr>
    </w:p>
    <w:p w14:paraId="5D876878" w14:textId="77777777" w:rsidR="00D1587D" w:rsidRDefault="00410D07">
      <w:pPr>
        <w:spacing w:line="263" w:lineRule="auto"/>
        <w:ind w:left="320" w:right="359" w:firstLine="360"/>
        <w:rPr>
          <w:sz w:val="20"/>
          <w:szCs w:val="20"/>
        </w:rPr>
      </w:pPr>
      <w:r>
        <w:rPr>
          <w:rFonts w:ascii="Arial" w:eastAsia="Arial" w:hAnsi="Arial" w:cs="Arial"/>
          <w:sz w:val="18"/>
          <w:szCs w:val="18"/>
        </w:rPr>
        <w:t xml:space="preserve">Beginning in the third quarter of </w:t>
      </w:r>
      <w:r>
        <w:rPr>
          <w:rFonts w:ascii="Arial" w:eastAsia="Arial" w:hAnsi="Arial" w:cs="Arial"/>
          <w:sz w:val="18"/>
          <w:szCs w:val="18"/>
        </w:rPr>
        <w:t>2020, we launched a profit improvement plan to enable the go-forward strategy of the business and reduce costs. We focused on four main strategic actions which have delivered improved operating income:</w:t>
      </w:r>
    </w:p>
    <w:p w14:paraId="2EBFBCC1" w14:textId="77777777" w:rsidR="00D1587D" w:rsidRDefault="00D1587D">
      <w:pPr>
        <w:spacing w:line="76" w:lineRule="exact"/>
        <w:rPr>
          <w:sz w:val="20"/>
          <w:szCs w:val="20"/>
        </w:rPr>
      </w:pPr>
    </w:p>
    <w:p w14:paraId="0CB906F1" w14:textId="77777777" w:rsidR="00D1587D" w:rsidRDefault="00410D07" w:rsidP="00410D07">
      <w:pPr>
        <w:numPr>
          <w:ilvl w:val="0"/>
          <w:numId w:val="212"/>
        </w:numPr>
        <w:tabs>
          <w:tab w:val="left" w:pos="1020"/>
        </w:tabs>
        <w:spacing w:line="286" w:lineRule="auto"/>
        <w:ind w:left="1020" w:right="319" w:hanging="350"/>
        <w:rPr>
          <w:rFonts w:ascii="Arial" w:eastAsia="Arial" w:hAnsi="Arial" w:cs="Arial"/>
          <w:sz w:val="17"/>
          <w:szCs w:val="17"/>
        </w:rPr>
      </w:pPr>
      <w:r>
        <w:rPr>
          <w:rFonts w:ascii="Arial" w:eastAsia="Arial" w:hAnsi="Arial" w:cs="Arial"/>
          <w:b/>
          <w:bCs/>
          <w:i/>
          <w:iCs/>
          <w:sz w:val="17"/>
          <w:szCs w:val="17"/>
        </w:rPr>
        <w:t xml:space="preserve">Merchandise Margin Rate Expansion. </w:t>
      </w:r>
      <w:r>
        <w:rPr>
          <w:rFonts w:ascii="Arial" w:eastAsia="Arial" w:hAnsi="Arial" w:cs="Arial"/>
          <w:sz w:val="17"/>
          <w:szCs w:val="17"/>
        </w:rPr>
        <w:t>With improved asso</w:t>
      </w:r>
      <w:r>
        <w:rPr>
          <w:rFonts w:ascii="Arial" w:eastAsia="Arial" w:hAnsi="Arial" w:cs="Arial"/>
          <w:sz w:val="17"/>
          <w:szCs w:val="17"/>
        </w:rPr>
        <w:t>rtment and disciplined inventory management,</w:t>
      </w:r>
      <w:r>
        <w:rPr>
          <w:rFonts w:ascii="Arial" w:eastAsia="Arial" w:hAnsi="Arial" w:cs="Arial"/>
          <w:b/>
          <w:bCs/>
          <w:i/>
          <w:iCs/>
          <w:sz w:val="17"/>
          <w:szCs w:val="17"/>
        </w:rPr>
        <w:t xml:space="preserve"> </w:t>
      </w:r>
      <w:r>
        <w:rPr>
          <w:rFonts w:ascii="Arial" w:eastAsia="Arial" w:hAnsi="Arial" w:cs="Arial"/>
          <w:sz w:val="17"/>
          <w:szCs w:val="17"/>
        </w:rPr>
        <w:t>we drove a significant increase in our merchandise margin rate in the first quarter of 2021 and in 2020, resulting from a pullback in promotions and a shift to more full-priced selling.</w:t>
      </w:r>
    </w:p>
    <w:p w14:paraId="314C0253" w14:textId="77777777" w:rsidR="00D1587D" w:rsidRDefault="00D1587D">
      <w:pPr>
        <w:spacing w:line="57" w:lineRule="exact"/>
        <w:rPr>
          <w:rFonts w:ascii="Arial" w:eastAsia="Arial" w:hAnsi="Arial" w:cs="Arial"/>
          <w:sz w:val="17"/>
          <w:szCs w:val="17"/>
        </w:rPr>
      </w:pPr>
    </w:p>
    <w:p w14:paraId="4C01FB86" w14:textId="77777777" w:rsidR="00D1587D" w:rsidRDefault="00410D07" w:rsidP="00410D07">
      <w:pPr>
        <w:numPr>
          <w:ilvl w:val="0"/>
          <w:numId w:val="212"/>
        </w:numPr>
        <w:tabs>
          <w:tab w:val="left" w:pos="1020"/>
        </w:tabs>
        <w:spacing w:line="259" w:lineRule="auto"/>
        <w:ind w:left="1020" w:right="479" w:hanging="350"/>
        <w:rPr>
          <w:rFonts w:ascii="Arial" w:eastAsia="Arial" w:hAnsi="Arial" w:cs="Arial"/>
          <w:sz w:val="18"/>
          <w:szCs w:val="18"/>
        </w:rPr>
      </w:pPr>
      <w:r>
        <w:rPr>
          <w:rFonts w:ascii="Arial" w:eastAsia="Arial" w:hAnsi="Arial" w:cs="Arial"/>
          <w:b/>
          <w:bCs/>
          <w:i/>
          <w:iCs/>
          <w:sz w:val="18"/>
          <w:szCs w:val="18"/>
        </w:rPr>
        <w:t xml:space="preserve">Improved Store Performance. </w:t>
      </w:r>
      <w:r>
        <w:rPr>
          <w:rFonts w:ascii="Arial" w:eastAsia="Arial" w:hAnsi="Arial" w:cs="Arial"/>
          <w:sz w:val="18"/>
          <w:szCs w:val="18"/>
        </w:rPr>
        <w:t>Key initiatives in North American stores include simplified execution</w:t>
      </w:r>
      <w:r>
        <w:rPr>
          <w:rFonts w:ascii="Arial" w:eastAsia="Arial" w:hAnsi="Arial" w:cs="Arial"/>
          <w:b/>
          <w:bCs/>
          <w:i/>
          <w:iCs/>
          <w:sz w:val="18"/>
          <w:szCs w:val="18"/>
        </w:rPr>
        <w:t xml:space="preserve"> </w:t>
      </w:r>
      <w:r>
        <w:rPr>
          <w:rFonts w:ascii="Arial" w:eastAsia="Arial" w:hAnsi="Arial" w:cs="Arial"/>
          <w:sz w:val="18"/>
          <w:szCs w:val="18"/>
        </w:rPr>
        <w:t>through the permanent closure of 241 stores in 2020, store labor optimization through an enhanced labor model, fewer floorset moves and a rightsizing of store</w:t>
      </w:r>
      <w:r>
        <w:rPr>
          <w:rFonts w:ascii="Arial" w:eastAsia="Arial" w:hAnsi="Arial" w:cs="Arial"/>
          <w:sz w:val="18"/>
          <w:szCs w:val="18"/>
        </w:rPr>
        <w:t xml:space="preserve"> leadership models, resulting in a decrease in store selling costs.</w:t>
      </w:r>
    </w:p>
    <w:p w14:paraId="031B2790" w14:textId="77777777" w:rsidR="00D1587D" w:rsidRDefault="00D1587D">
      <w:pPr>
        <w:spacing w:line="78" w:lineRule="exact"/>
        <w:rPr>
          <w:rFonts w:ascii="Arial" w:eastAsia="Arial" w:hAnsi="Arial" w:cs="Arial"/>
          <w:sz w:val="18"/>
          <w:szCs w:val="18"/>
        </w:rPr>
      </w:pPr>
    </w:p>
    <w:p w14:paraId="43C977A9" w14:textId="77777777" w:rsidR="00D1587D" w:rsidRDefault="00410D07" w:rsidP="00410D07">
      <w:pPr>
        <w:numPr>
          <w:ilvl w:val="0"/>
          <w:numId w:val="212"/>
        </w:numPr>
        <w:tabs>
          <w:tab w:val="left" w:pos="1020"/>
        </w:tabs>
        <w:spacing w:line="290" w:lineRule="auto"/>
        <w:ind w:left="1020" w:right="299" w:hanging="350"/>
        <w:rPr>
          <w:rFonts w:ascii="Arial" w:eastAsia="Arial" w:hAnsi="Arial" w:cs="Arial"/>
          <w:sz w:val="16"/>
          <w:szCs w:val="16"/>
        </w:rPr>
      </w:pPr>
      <w:r>
        <w:rPr>
          <w:rFonts w:ascii="Arial" w:eastAsia="Arial" w:hAnsi="Arial" w:cs="Arial"/>
          <w:b/>
          <w:bCs/>
          <w:i/>
          <w:iCs/>
          <w:sz w:val="16"/>
          <w:szCs w:val="16"/>
        </w:rPr>
        <w:t xml:space="preserve">International Restructuring. </w:t>
      </w:r>
      <w:r>
        <w:rPr>
          <w:rFonts w:ascii="Arial" w:eastAsia="Arial" w:hAnsi="Arial" w:cs="Arial"/>
          <w:sz w:val="16"/>
          <w:szCs w:val="16"/>
        </w:rPr>
        <w:t>Through 2020, we took actions to improve performance in our international</w:t>
      </w:r>
      <w:r>
        <w:rPr>
          <w:rFonts w:ascii="Arial" w:eastAsia="Arial" w:hAnsi="Arial" w:cs="Arial"/>
          <w:b/>
          <w:bCs/>
          <w:i/>
          <w:iCs/>
          <w:sz w:val="16"/>
          <w:szCs w:val="16"/>
        </w:rPr>
        <w:t xml:space="preserve"> </w:t>
      </w:r>
      <w:r>
        <w:rPr>
          <w:rFonts w:ascii="Arial" w:eastAsia="Arial" w:hAnsi="Arial" w:cs="Arial"/>
          <w:sz w:val="16"/>
          <w:szCs w:val="16"/>
        </w:rPr>
        <w:t>business, primarily in the United Kingdom, Ireland and China. We transitioned our U.</w:t>
      </w:r>
      <w:r>
        <w:rPr>
          <w:rFonts w:ascii="Arial" w:eastAsia="Arial" w:hAnsi="Arial" w:cs="Arial"/>
          <w:sz w:val="16"/>
          <w:szCs w:val="16"/>
        </w:rPr>
        <w:t>K. and Ireland business to a joint venture with a native U.K. retail business, Next. Partnering with Next allows us to not only leverage our existing scale and capabilities, but also build upon Next’s digital platform. In China, we closed our Hong Kong fla</w:t>
      </w:r>
      <w:r>
        <w:rPr>
          <w:rFonts w:ascii="Arial" w:eastAsia="Arial" w:hAnsi="Arial" w:cs="Arial"/>
          <w:sz w:val="16"/>
          <w:szCs w:val="16"/>
        </w:rPr>
        <w:t>gship store, renegotiated our leases for key street locations and reduced overhead in our home office. We also made digital growth in international markets a priority. Through the first quarter of 2021, we grew our digital footprint with additional web and</w:t>
      </w:r>
      <w:r>
        <w:rPr>
          <w:rFonts w:ascii="Arial" w:eastAsia="Arial" w:hAnsi="Arial" w:cs="Arial"/>
          <w:sz w:val="16"/>
          <w:szCs w:val="16"/>
        </w:rPr>
        <w:t xml:space="preserve"> social commerce sites to a total of 26 as of May 1, 2021, across partner and company owned operations.</w:t>
      </w:r>
    </w:p>
    <w:p w14:paraId="230058A7" w14:textId="77777777" w:rsidR="00D1587D" w:rsidRDefault="00D1587D">
      <w:pPr>
        <w:spacing w:line="57" w:lineRule="exact"/>
        <w:rPr>
          <w:rFonts w:ascii="Arial" w:eastAsia="Arial" w:hAnsi="Arial" w:cs="Arial"/>
          <w:sz w:val="16"/>
          <w:szCs w:val="16"/>
        </w:rPr>
      </w:pPr>
    </w:p>
    <w:p w14:paraId="5F55C95F" w14:textId="77777777" w:rsidR="00D1587D" w:rsidRDefault="00410D07" w:rsidP="00410D07">
      <w:pPr>
        <w:numPr>
          <w:ilvl w:val="0"/>
          <w:numId w:val="212"/>
        </w:numPr>
        <w:tabs>
          <w:tab w:val="left" w:pos="1020"/>
        </w:tabs>
        <w:spacing w:line="301" w:lineRule="auto"/>
        <w:ind w:left="1020" w:right="479" w:hanging="350"/>
        <w:rPr>
          <w:rFonts w:ascii="Arial" w:eastAsia="Arial" w:hAnsi="Arial" w:cs="Arial"/>
          <w:sz w:val="16"/>
          <w:szCs w:val="16"/>
        </w:rPr>
      </w:pPr>
      <w:r>
        <w:rPr>
          <w:rFonts w:ascii="Arial" w:eastAsia="Arial" w:hAnsi="Arial" w:cs="Arial"/>
          <w:b/>
          <w:bCs/>
          <w:i/>
          <w:iCs/>
          <w:sz w:val="16"/>
          <w:szCs w:val="16"/>
        </w:rPr>
        <w:t xml:space="preserve">Reorganized Corporate Office. </w:t>
      </w:r>
      <w:r>
        <w:rPr>
          <w:rFonts w:ascii="Arial" w:eastAsia="Arial" w:hAnsi="Arial" w:cs="Arial"/>
          <w:sz w:val="16"/>
          <w:szCs w:val="16"/>
        </w:rPr>
        <w:t>In 2020, we performed an organizational review of the business to right-size and realign all major corporate functions to</w:t>
      </w:r>
      <w:r>
        <w:rPr>
          <w:rFonts w:ascii="Arial" w:eastAsia="Arial" w:hAnsi="Arial" w:cs="Arial"/>
          <w:sz w:val="16"/>
          <w:szCs w:val="16"/>
        </w:rPr>
        <w:t xml:space="preserve"> better support a standalone VS business. Home office headcount was reduced by approximately 25%. The goal of the restructuring was to create an effective, efficient and independent organizational structure to support a high performing business and culture</w:t>
      </w:r>
      <w:r>
        <w:rPr>
          <w:rFonts w:ascii="Arial" w:eastAsia="Arial" w:hAnsi="Arial" w:cs="Arial"/>
          <w:sz w:val="16"/>
          <w:szCs w:val="16"/>
        </w:rPr>
        <w:t>.</w:t>
      </w:r>
    </w:p>
    <w:p w14:paraId="791B1F05" w14:textId="77777777" w:rsidR="00D1587D" w:rsidRDefault="00D1587D">
      <w:pPr>
        <w:spacing w:line="302" w:lineRule="exact"/>
        <w:rPr>
          <w:sz w:val="20"/>
          <w:szCs w:val="20"/>
        </w:rPr>
      </w:pPr>
    </w:p>
    <w:p w14:paraId="2081F708" w14:textId="77777777" w:rsidR="00D1587D" w:rsidRDefault="00410D07">
      <w:pPr>
        <w:ind w:left="320"/>
        <w:rPr>
          <w:sz w:val="20"/>
          <w:szCs w:val="20"/>
        </w:rPr>
      </w:pPr>
      <w:r>
        <w:rPr>
          <w:rFonts w:ascii="Arial" w:eastAsia="Arial" w:hAnsi="Arial" w:cs="Arial"/>
          <w:b/>
          <w:bCs/>
          <w:sz w:val="18"/>
          <w:szCs w:val="18"/>
        </w:rPr>
        <w:t>The Separation</w:t>
      </w:r>
    </w:p>
    <w:p w14:paraId="34EEBD42" w14:textId="77777777" w:rsidR="00D1587D" w:rsidRDefault="00D1587D">
      <w:pPr>
        <w:spacing w:line="121" w:lineRule="exact"/>
        <w:rPr>
          <w:sz w:val="20"/>
          <w:szCs w:val="20"/>
        </w:rPr>
      </w:pPr>
    </w:p>
    <w:p w14:paraId="45DF4E2A" w14:textId="77777777" w:rsidR="00D1587D" w:rsidRDefault="00410D07">
      <w:pPr>
        <w:spacing w:line="259" w:lineRule="auto"/>
        <w:ind w:left="320" w:right="359" w:firstLine="360"/>
        <w:rPr>
          <w:sz w:val="20"/>
          <w:szCs w:val="20"/>
        </w:rPr>
      </w:pPr>
      <w:r>
        <w:rPr>
          <w:rFonts w:ascii="Arial" w:eastAsia="Arial" w:hAnsi="Arial" w:cs="Arial"/>
          <w:sz w:val="18"/>
          <w:szCs w:val="18"/>
        </w:rPr>
        <w:t xml:space="preserve">On May 11, 2021, LB announced a plan to distribute to LB’s stockholders all of the shares of common stock of a newly formed company, VS, that would hold the Spin Business. VS is currently a wholly owned subsidiary of LB and, at the </w:t>
      </w:r>
      <w:r>
        <w:rPr>
          <w:rFonts w:ascii="Arial" w:eastAsia="Arial" w:hAnsi="Arial" w:cs="Arial"/>
          <w:sz w:val="18"/>
          <w:szCs w:val="18"/>
        </w:rPr>
        <w:t>time of the Distribution will hold, directly or indirectly through its subsidiaries, certain assets and liabilities associated with the Spin Business.</w:t>
      </w:r>
    </w:p>
    <w:p w14:paraId="22C67C26" w14:textId="77777777" w:rsidR="00D1587D" w:rsidRDefault="00D1587D">
      <w:pPr>
        <w:spacing w:line="79" w:lineRule="exact"/>
        <w:rPr>
          <w:sz w:val="20"/>
          <w:szCs w:val="20"/>
        </w:rPr>
      </w:pPr>
    </w:p>
    <w:p w14:paraId="33957DF2" w14:textId="77777777" w:rsidR="00D1587D" w:rsidRDefault="00410D07">
      <w:pPr>
        <w:spacing w:line="291" w:lineRule="auto"/>
        <w:ind w:left="320" w:right="319" w:firstLine="360"/>
        <w:rPr>
          <w:sz w:val="20"/>
          <w:szCs w:val="20"/>
        </w:rPr>
      </w:pPr>
      <w:r>
        <w:rPr>
          <w:rFonts w:ascii="Arial" w:eastAsia="Arial" w:hAnsi="Arial" w:cs="Arial"/>
          <w:sz w:val="16"/>
          <w:szCs w:val="16"/>
        </w:rPr>
        <w:t>The Separation will be achieved through the transfer of certain assets and liabilities of the Spin Busin</w:t>
      </w:r>
      <w:r>
        <w:rPr>
          <w:rFonts w:ascii="Arial" w:eastAsia="Arial" w:hAnsi="Arial" w:cs="Arial"/>
          <w:sz w:val="16"/>
          <w:szCs w:val="16"/>
        </w:rPr>
        <w:t>ess to VS or its subsidiaries in the Restructuring and the distribution of 100% of the outstanding capital stock of VS pro rata to</w:t>
      </w:r>
    </w:p>
    <w:p w14:paraId="090D72FA" w14:textId="77777777" w:rsidR="00D1587D" w:rsidRDefault="00410D07">
      <w:pPr>
        <w:tabs>
          <w:tab w:val="left" w:pos="5120"/>
        </w:tabs>
        <w:ind w:left="320"/>
        <w:rPr>
          <w:sz w:val="20"/>
          <w:szCs w:val="20"/>
        </w:rPr>
      </w:pPr>
      <w:r>
        <w:rPr>
          <w:rFonts w:ascii="Arial" w:eastAsia="Arial" w:hAnsi="Arial" w:cs="Arial"/>
          <w:sz w:val="18"/>
          <w:szCs w:val="18"/>
        </w:rPr>
        <w:t>holders of LB common stock as of the close of business on</w:t>
      </w:r>
      <w:r>
        <w:rPr>
          <w:sz w:val="20"/>
          <w:szCs w:val="20"/>
        </w:rPr>
        <w:tab/>
      </w:r>
      <w:r>
        <w:rPr>
          <w:rFonts w:ascii="Arial" w:eastAsia="Arial" w:hAnsi="Arial" w:cs="Arial"/>
          <w:sz w:val="16"/>
          <w:szCs w:val="16"/>
        </w:rPr>
        <w:t>, 2021, the record date for the Distribution. At the</w:t>
      </w:r>
    </w:p>
    <w:p w14:paraId="64008DED" w14:textId="77777777" w:rsidR="00D1587D" w:rsidRDefault="00D1587D">
      <w:pPr>
        <w:spacing w:line="9" w:lineRule="exact"/>
        <w:rPr>
          <w:sz w:val="20"/>
          <w:szCs w:val="20"/>
        </w:rPr>
      </w:pPr>
    </w:p>
    <w:p w14:paraId="0451A447" w14:textId="77777777" w:rsidR="00D1587D" w:rsidRDefault="00410D07">
      <w:pPr>
        <w:ind w:left="320"/>
        <w:rPr>
          <w:sz w:val="20"/>
          <w:szCs w:val="20"/>
        </w:rPr>
      </w:pPr>
      <w:r>
        <w:rPr>
          <w:rFonts w:ascii="Arial" w:eastAsia="Arial" w:hAnsi="Arial" w:cs="Arial"/>
          <w:sz w:val="18"/>
          <w:szCs w:val="18"/>
        </w:rPr>
        <w:t>effective time of the Distribution, LB stockholders will receive one share of VS common stock for every</w:t>
      </w:r>
    </w:p>
    <w:p w14:paraId="4B17EFD7" w14:textId="77777777" w:rsidR="00D1587D" w:rsidRDefault="00D1587D">
      <w:pPr>
        <w:spacing w:line="9" w:lineRule="exact"/>
        <w:rPr>
          <w:sz w:val="20"/>
          <w:szCs w:val="20"/>
        </w:rPr>
      </w:pPr>
    </w:p>
    <w:p w14:paraId="7058DFD9" w14:textId="77777777" w:rsidR="00D1587D" w:rsidRDefault="00410D07">
      <w:pPr>
        <w:tabs>
          <w:tab w:val="left" w:pos="8040"/>
        </w:tabs>
        <w:ind w:left="320"/>
        <w:rPr>
          <w:sz w:val="20"/>
          <w:szCs w:val="20"/>
        </w:rPr>
      </w:pPr>
      <w:r>
        <w:rPr>
          <w:rFonts w:ascii="Arial" w:eastAsia="Arial" w:hAnsi="Arial" w:cs="Arial"/>
          <w:sz w:val="18"/>
          <w:szCs w:val="18"/>
        </w:rPr>
        <w:t>shares of LB common stock held on the record date. The Separation is expected to be completed on</w:t>
      </w:r>
      <w:r>
        <w:rPr>
          <w:sz w:val="20"/>
          <w:szCs w:val="20"/>
        </w:rPr>
        <w:tab/>
      </w:r>
      <w:r>
        <w:rPr>
          <w:rFonts w:ascii="Arial" w:eastAsia="Arial" w:hAnsi="Arial" w:cs="Arial"/>
          <w:sz w:val="16"/>
          <w:szCs w:val="16"/>
        </w:rPr>
        <w:t>, 2021.</w:t>
      </w:r>
    </w:p>
    <w:p w14:paraId="1C907262" w14:textId="77777777" w:rsidR="00D1587D" w:rsidRDefault="00D1587D">
      <w:pPr>
        <w:spacing w:line="9" w:lineRule="exact"/>
        <w:rPr>
          <w:sz w:val="20"/>
          <w:szCs w:val="20"/>
        </w:rPr>
      </w:pPr>
    </w:p>
    <w:p w14:paraId="6C80D877" w14:textId="77777777" w:rsidR="00D1587D" w:rsidRDefault="00410D07">
      <w:pPr>
        <w:spacing w:line="260" w:lineRule="auto"/>
        <w:ind w:left="320" w:right="419"/>
        <w:rPr>
          <w:sz w:val="20"/>
          <w:szCs w:val="20"/>
        </w:rPr>
      </w:pPr>
      <w:r>
        <w:rPr>
          <w:rFonts w:ascii="Arial" w:eastAsia="Arial" w:hAnsi="Arial" w:cs="Arial"/>
          <w:sz w:val="18"/>
          <w:szCs w:val="18"/>
        </w:rPr>
        <w:t>Immediately following the Separation, LB stoc</w:t>
      </w:r>
      <w:r>
        <w:rPr>
          <w:rFonts w:ascii="Arial" w:eastAsia="Arial" w:hAnsi="Arial" w:cs="Arial"/>
          <w:sz w:val="18"/>
          <w:szCs w:val="18"/>
        </w:rPr>
        <w:t>kholders as of the record date for the Distribution will own 100% of the outstanding shares of common stock of VS.</w:t>
      </w:r>
    </w:p>
    <w:p w14:paraId="25FD3648" w14:textId="77777777" w:rsidR="00D1587D" w:rsidRDefault="00D1587D">
      <w:pPr>
        <w:spacing w:line="77" w:lineRule="exact"/>
        <w:rPr>
          <w:sz w:val="20"/>
          <w:szCs w:val="20"/>
        </w:rPr>
      </w:pPr>
    </w:p>
    <w:p w14:paraId="7E18351B" w14:textId="77777777" w:rsidR="00D1587D" w:rsidRDefault="00410D07">
      <w:pPr>
        <w:spacing w:line="269" w:lineRule="auto"/>
        <w:ind w:left="320" w:right="379" w:firstLine="360"/>
        <w:rPr>
          <w:sz w:val="20"/>
          <w:szCs w:val="20"/>
        </w:rPr>
      </w:pPr>
      <w:r>
        <w:rPr>
          <w:rFonts w:ascii="Arial" w:eastAsia="Arial" w:hAnsi="Arial" w:cs="Arial"/>
          <w:sz w:val="17"/>
          <w:szCs w:val="17"/>
        </w:rPr>
        <w:t>Before the Distribution, we will enter into a Separation and Distribution Agreement and several other ancillary agreements with LB to effect</w:t>
      </w:r>
      <w:r>
        <w:rPr>
          <w:rFonts w:ascii="Arial" w:eastAsia="Arial" w:hAnsi="Arial" w:cs="Arial"/>
          <w:sz w:val="17"/>
          <w:szCs w:val="17"/>
        </w:rPr>
        <w:t xml:space="preserve"> the Separation and provide a framework for our relationship with LB after the Separation. These agreements will provide for the allocation between VS and LB of LB’s assets, liabilities and obligations (including with respect to employee matters, intellect</w:t>
      </w:r>
      <w:r>
        <w:rPr>
          <w:rFonts w:ascii="Arial" w:eastAsia="Arial" w:hAnsi="Arial" w:cs="Arial"/>
          <w:sz w:val="17"/>
          <w:szCs w:val="17"/>
        </w:rPr>
        <w:t>ual property matters, tax matters, domestic transportation services matters, and certain other matters). VS and LB will also enter into a L Brands to VS Transition Services Agreement and a VS to L Brands Transition Services Agreement, which will provide fo</w:t>
      </w:r>
      <w:r>
        <w:rPr>
          <w:rFonts w:ascii="Arial" w:eastAsia="Arial" w:hAnsi="Arial" w:cs="Arial"/>
          <w:sz w:val="17"/>
          <w:szCs w:val="17"/>
        </w:rPr>
        <w:t>r LB to provide to VS, and VS to provide to LB, respectively, on a transitional basis, certain services or functions that the companies historically have shared, and one or more commercial agreements relating to the ownership, management, maintenance, supp</w:t>
      </w:r>
      <w:r>
        <w:rPr>
          <w:rFonts w:ascii="Arial" w:eastAsia="Arial" w:hAnsi="Arial" w:cs="Arial"/>
          <w:sz w:val="17"/>
          <w:szCs w:val="17"/>
        </w:rPr>
        <w:t>ort, and use of certain shared aircraft, the provision of campus security and emergency operations services by VS to LB, the provision of domestic transportation services by LB to VS, the lease of space in one of LB’s distribution centers to VS and the use</w:t>
      </w:r>
      <w:r>
        <w:rPr>
          <w:rFonts w:ascii="Arial" w:eastAsia="Arial" w:hAnsi="Arial" w:cs="Arial"/>
          <w:sz w:val="17"/>
          <w:szCs w:val="17"/>
        </w:rPr>
        <w:t xml:space="preserve"> of certain of LB’s formulas relating to certain candle bases and fragrances by VS.</w:t>
      </w:r>
    </w:p>
    <w:p w14:paraId="01BA3B8F" w14:textId="77777777" w:rsidR="00D1587D" w:rsidRDefault="00D1587D">
      <w:pPr>
        <w:spacing w:line="200" w:lineRule="exact"/>
        <w:rPr>
          <w:sz w:val="20"/>
          <w:szCs w:val="20"/>
        </w:rPr>
      </w:pPr>
    </w:p>
    <w:p w14:paraId="608B7C0B" w14:textId="77777777" w:rsidR="00D1587D" w:rsidRDefault="00D1587D">
      <w:pPr>
        <w:spacing w:line="208" w:lineRule="exact"/>
        <w:rPr>
          <w:sz w:val="20"/>
          <w:szCs w:val="20"/>
        </w:rPr>
      </w:pPr>
    </w:p>
    <w:p w14:paraId="62229A72" w14:textId="77777777" w:rsidR="00D1587D" w:rsidRDefault="00410D07">
      <w:pPr>
        <w:ind w:right="19"/>
        <w:jc w:val="center"/>
        <w:rPr>
          <w:sz w:val="20"/>
          <w:szCs w:val="20"/>
        </w:rPr>
      </w:pPr>
      <w:r>
        <w:rPr>
          <w:rFonts w:ascii="Arial" w:eastAsia="Arial" w:hAnsi="Arial" w:cs="Arial"/>
          <w:sz w:val="18"/>
          <w:szCs w:val="18"/>
        </w:rPr>
        <w:t>5</w:t>
      </w:r>
    </w:p>
    <w:p w14:paraId="648C0032" w14:textId="77777777" w:rsidR="00D1587D" w:rsidRDefault="00410D07">
      <w:pPr>
        <w:spacing w:line="20" w:lineRule="exact"/>
        <w:rPr>
          <w:sz w:val="20"/>
          <w:szCs w:val="20"/>
        </w:rPr>
      </w:pPr>
      <w:r>
        <w:rPr>
          <w:noProof/>
          <w:sz w:val="20"/>
          <w:szCs w:val="20"/>
        </w:rPr>
        <w:drawing>
          <wp:anchor distT="0" distB="0" distL="114300" distR="114300" simplePos="0" relativeHeight="251436032" behindDoc="1" locked="0" layoutInCell="0" allowOverlap="1" wp14:anchorId="6E4DE2FA" wp14:editId="3D0995AB">
            <wp:simplePos x="0" y="0"/>
            <wp:positionH relativeFrom="column">
              <wp:posOffset>-636905</wp:posOffset>
            </wp:positionH>
            <wp:positionV relativeFrom="paragraph">
              <wp:posOffset>134620</wp:posOffset>
            </wp:positionV>
            <wp:extent cx="6995160" cy="1714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9F076DF" w14:textId="77777777" w:rsidR="00D1587D" w:rsidRDefault="00D1587D">
      <w:pPr>
        <w:sectPr w:rsidR="00D1587D">
          <w:pgSz w:w="11900" w:h="16838"/>
          <w:pgMar w:top="265" w:right="1440" w:bottom="1440" w:left="1440" w:header="0" w:footer="0" w:gutter="0"/>
          <w:cols w:space="720" w:equalWidth="0">
            <w:col w:w="9019"/>
          </w:cols>
        </w:sectPr>
      </w:pPr>
    </w:p>
    <w:bookmarkStart w:id="263" w:name="page264"/>
    <w:bookmarkEnd w:id="263"/>
    <w:p w14:paraId="490D3AC1"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B93CD9D" w14:textId="77777777" w:rsidR="00D1587D" w:rsidRDefault="00410D07">
      <w:pPr>
        <w:spacing w:line="20" w:lineRule="exact"/>
        <w:rPr>
          <w:sz w:val="20"/>
          <w:szCs w:val="20"/>
        </w:rPr>
      </w:pPr>
      <w:r>
        <w:rPr>
          <w:noProof/>
          <w:sz w:val="20"/>
          <w:szCs w:val="20"/>
        </w:rPr>
        <w:drawing>
          <wp:anchor distT="0" distB="0" distL="114300" distR="114300" simplePos="0" relativeHeight="251437056" behindDoc="1" locked="0" layoutInCell="0" allowOverlap="1" wp14:anchorId="33BF9CE9" wp14:editId="58F35DAD">
            <wp:simplePos x="0" y="0"/>
            <wp:positionH relativeFrom="column">
              <wp:posOffset>46355</wp:posOffset>
            </wp:positionH>
            <wp:positionV relativeFrom="paragraph">
              <wp:posOffset>90170</wp:posOffset>
            </wp:positionV>
            <wp:extent cx="5653405" cy="740219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4"/>
                    <a:srcRect/>
                    <a:stretch>
                      <a:fillRect/>
                    </a:stretch>
                  </pic:blipFill>
                  <pic:spPr bwMode="auto">
                    <a:xfrm>
                      <a:off x="0" y="0"/>
                      <a:ext cx="5653405" cy="7402195"/>
                    </a:xfrm>
                    <a:prstGeom prst="rect">
                      <a:avLst/>
                    </a:prstGeom>
                    <a:noFill/>
                  </pic:spPr>
                </pic:pic>
              </a:graphicData>
            </a:graphic>
          </wp:anchor>
        </w:drawing>
      </w:r>
    </w:p>
    <w:p w14:paraId="1043CF2A" w14:textId="77777777" w:rsidR="00D1587D" w:rsidRDefault="00D1587D">
      <w:pPr>
        <w:spacing w:line="200" w:lineRule="exact"/>
        <w:rPr>
          <w:sz w:val="20"/>
          <w:szCs w:val="20"/>
        </w:rPr>
      </w:pPr>
    </w:p>
    <w:p w14:paraId="146F2A8B" w14:textId="77777777" w:rsidR="00D1587D" w:rsidRDefault="00D1587D">
      <w:pPr>
        <w:spacing w:line="275" w:lineRule="exact"/>
        <w:rPr>
          <w:sz w:val="20"/>
          <w:szCs w:val="20"/>
        </w:rPr>
      </w:pPr>
    </w:p>
    <w:p w14:paraId="07BFD763" w14:textId="77777777" w:rsidR="00D1587D" w:rsidRDefault="00410D07">
      <w:pPr>
        <w:spacing w:line="263" w:lineRule="auto"/>
        <w:ind w:left="320" w:right="659" w:firstLine="360"/>
        <w:jc w:val="both"/>
        <w:rPr>
          <w:sz w:val="20"/>
          <w:szCs w:val="20"/>
        </w:rPr>
      </w:pPr>
      <w:r>
        <w:rPr>
          <w:rFonts w:ascii="Arial" w:eastAsia="Arial" w:hAnsi="Arial" w:cs="Arial"/>
          <w:sz w:val="18"/>
          <w:szCs w:val="18"/>
        </w:rPr>
        <w:t xml:space="preserve">The LB Board of Directors believes separating the Spin Business from LB’s other </w:t>
      </w:r>
      <w:r>
        <w:rPr>
          <w:rFonts w:ascii="Arial" w:eastAsia="Arial" w:hAnsi="Arial" w:cs="Arial"/>
          <w:sz w:val="18"/>
          <w:szCs w:val="18"/>
        </w:rPr>
        <w:t>businesses is in the best interests of LB and its stockholders and has concluded the Separation will provide LB and VS with a number of potential opportunities and benefits, including the following:</w:t>
      </w:r>
    </w:p>
    <w:p w14:paraId="65B6AFFA" w14:textId="77777777" w:rsidR="00D1587D" w:rsidRDefault="00D1587D">
      <w:pPr>
        <w:spacing w:line="76" w:lineRule="exact"/>
        <w:rPr>
          <w:sz w:val="20"/>
          <w:szCs w:val="20"/>
        </w:rPr>
      </w:pPr>
    </w:p>
    <w:p w14:paraId="2C8A00CF" w14:textId="77777777" w:rsidR="00D1587D" w:rsidRDefault="00410D07" w:rsidP="00410D07">
      <w:pPr>
        <w:numPr>
          <w:ilvl w:val="0"/>
          <w:numId w:val="213"/>
        </w:numPr>
        <w:tabs>
          <w:tab w:val="left" w:pos="1020"/>
        </w:tabs>
        <w:spacing w:line="291" w:lineRule="auto"/>
        <w:ind w:left="1020" w:right="399" w:hanging="350"/>
        <w:rPr>
          <w:rFonts w:ascii="Arial" w:eastAsia="Arial" w:hAnsi="Arial" w:cs="Arial"/>
          <w:sz w:val="16"/>
          <w:szCs w:val="16"/>
        </w:rPr>
      </w:pPr>
      <w:r>
        <w:rPr>
          <w:rFonts w:ascii="Arial" w:eastAsia="Arial" w:hAnsi="Arial" w:cs="Arial"/>
          <w:b/>
          <w:bCs/>
          <w:i/>
          <w:iCs/>
          <w:sz w:val="16"/>
          <w:szCs w:val="16"/>
        </w:rPr>
        <w:t xml:space="preserve">Strategic and Management Focus. </w:t>
      </w:r>
      <w:r>
        <w:rPr>
          <w:rFonts w:ascii="Arial" w:eastAsia="Arial" w:hAnsi="Arial" w:cs="Arial"/>
          <w:sz w:val="16"/>
          <w:szCs w:val="16"/>
        </w:rPr>
        <w:t xml:space="preserve">Permit the </w:t>
      </w:r>
      <w:r>
        <w:rPr>
          <w:rFonts w:ascii="Arial" w:eastAsia="Arial" w:hAnsi="Arial" w:cs="Arial"/>
          <w:sz w:val="16"/>
          <w:szCs w:val="16"/>
        </w:rPr>
        <w:t>management team of each company to focus on its own</w:t>
      </w:r>
      <w:r>
        <w:rPr>
          <w:rFonts w:ascii="Arial" w:eastAsia="Arial" w:hAnsi="Arial" w:cs="Arial"/>
          <w:b/>
          <w:bCs/>
          <w:i/>
          <w:iCs/>
          <w:sz w:val="16"/>
          <w:szCs w:val="16"/>
        </w:rPr>
        <w:t xml:space="preserve"> </w:t>
      </w:r>
      <w:r>
        <w:rPr>
          <w:rFonts w:ascii="Arial" w:eastAsia="Arial" w:hAnsi="Arial" w:cs="Arial"/>
          <w:sz w:val="16"/>
          <w:szCs w:val="16"/>
        </w:rPr>
        <w:t>strategic priorities with financial targets that best fit its own business and opportunities. We believe the Separation will enable each company’s management team to better position its businesses to capi</w:t>
      </w:r>
      <w:r>
        <w:rPr>
          <w:rFonts w:ascii="Arial" w:eastAsia="Arial" w:hAnsi="Arial" w:cs="Arial"/>
          <w:sz w:val="16"/>
          <w:szCs w:val="16"/>
        </w:rPr>
        <w:t xml:space="preserve">talize on developing macroeconomic trends, increase managerial focus to pursue its individual strategies and leverage its key strengths to drive performance. The management of each resulting company will be able to concentrate on its core competencies and </w:t>
      </w:r>
      <w:r>
        <w:rPr>
          <w:rFonts w:ascii="Arial" w:eastAsia="Arial" w:hAnsi="Arial" w:cs="Arial"/>
          <w:sz w:val="16"/>
          <w:szCs w:val="16"/>
        </w:rPr>
        <w:t>growth opportunities and will have increased flexibility and speed to design and implement strategies based on the characteristics of its business.</w:t>
      </w:r>
    </w:p>
    <w:p w14:paraId="454DC9C2" w14:textId="77777777" w:rsidR="00D1587D" w:rsidRDefault="00D1587D">
      <w:pPr>
        <w:spacing w:line="58" w:lineRule="exact"/>
        <w:rPr>
          <w:rFonts w:ascii="Arial" w:eastAsia="Arial" w:hAnsi="Arial" w:cs="Arial"/>
          <w:sz w:val="16"/>
          <w:szCs w:val="16"/>
        </w:rPr>
      </w:pPr>
    </w:p>
    <w:p w14:paraId="5441F908" w14:textId="77777777" w:rsidR="00D1587D" w:rsidRDefault="00410D07" w:rsidP="00410D07">
      <w:pPr>
        <w:numPr>
          <w:ilvl w:val="0"/>
          <w:numId w:val="213"/>
        </w:numPr>
        <w:tabs>
          <w:tab w:val="left" w:pos="1020"/>
        </w:tabs>
        <w:spacing w:line="296" w:lineRule="auto"/>
        <w:ind w:left="1020" w:right="299" w:hanging="350"/>
        <w:rPr>
          <w:rFonts w:ascii="Arial" w:eastAsia="Arial" w:hAnsi="Arial" w:cs="Arial"/>
          <w:sz w:val="16"/>
          <w:szCs w:val="16"/>
        </w:rPr>
      </w:pPr>
      <w:r>
        <w:rPr>
          <w:rFonts w:ascii="Arial" w:eastAsia="Arial" w:hAnsi="Arial" w:cs="Arial"/>
          <w:b/>
          <w:bCs/>
          <w:i/>
          <w:iCs/>
          <w:sz w:val="16"/>
          <w:szCs w:val="16"/>
        </w:rPr>
        <w:t xml:space="preserve">Resource Allocation and Capital Deployment. </w:t>
      </w:r>
      <w:r>
        <w:rPr>
          <w:rFonts w:ascii="Arial" w:eastAsia="Arial" w:hAnsi="Arial" w:cs="Arial"/>
          <w:sz w:val="16"/>
          <w:szCs w:val="16"/>
        </w:rPr>
        <w:t>Allow each company to allocate resources, incentivize</w:t>
      </w:r>
      <w:r>
        <w:rPr>
          <w:rFonts w:ascii="Arial" w:eastAsia="Arial" w:hAnsi="Arial" w:cs="Arial"/>
          <w:b/>
          <w:bCs/>
          <w:i/>
          <w:iCs/>
          <w:sz w:val="16"/>
          <w:szCs w:val="16"/>
        </w:rPr>
        <w:t xml:space="preserve"> </w:t>
      </w:r>
      <w:r>
        <w:rPr>
          <w:rFonts w:ascii="Arial" w:eastAsia="Arial" w:hAnsi="Arial" w:cs="Arial"/>
          <w:sz w:val="16"/>
          <w:szCs w:val="16"/>
        </w:rPr>
        <w:t>employees</w:t>
      </w:r>
      <w:r>
        <w:rPr>
          <w:rFonts w:ascii="Arial" w:eastAsia="Arial" w:hAnsi="Arial" w:cs="Arial"/>
          <w:sz w:val="16"/>
          <w:szCs w:val="16"/>
        </w:rPr>
        <w:t xml:space="preserve"> and deploy capital to capture the significant long-term opportunities in their respective markets. The Separation will enable each company’s management team to implement a capital structure, dividend policy and growth strategy tailored to each unique busi</w:t>
      </w:r>
      <w:r>
        <w:rPr>
          <w:rFonts w:ascii="Arial" w:eastAsia="Arial" w:hAnsi="Arial" w:cs="Arial"/>
          <w:sz w:val="16"/>
          <w:szCs w:val="16"/>
        </w:rPr>
        <w:t>ness. Both businesses are expected to have direct access to the debt and equity capital markets to fund their respective growth strategies.</w:t>
      </w:r>
    </w:p>
    <w:p w14:paraId="01FB94C8" w14:textId="77777777" w:rsidR="00D1587D" w:rsidRDefault="00D1587D">
      <w:pPr>
        <w:spacing w:line="53" w:lineRule="exact"/>
        <w:rPr>
          <w:rFonts w:ascii="Arial" w:eastAsia="Arial" w:hAnsi="Arial" w:cs="Arial"/>
          <w:sz w:val="16"/>
          <w:szCs w:val="16"/>
        </w:rPr>
      </w:pPr>
    </w:p>
    <w:p w14:paraId="2B876D36" w14:textId="77777777" w:rsidR="00D1587D" w:rsidRDefault="00410D07" w:rsidP="00410D07">
      <w:pPr>
        <w:numPr>
          <w:ilvl w:val="0"/>
          <w:numId w:val="213"/>
        </w:numPr>
        <w:tabs>
          <w:tab w:val="left" w:pos="1020"/>
        </w:tabs>
        <w:spacing w:line="257" w:lineRule="auto"/>
        <w:ind w:left="1020" w:right="479" w:hanging="350"/>
        <w:rPr>
          <w:rFonts w:ascii="Arial" w:eastAsia="Arial" w:hAnsi="Arial" w:cs="Arial"/>
          <w:sz w:val="18"/>
          <w:szCs w:val="18"/>
        </w:rPr>
      </w:pPr>
      <w:r>
        <w:rPr>
          <w:rFonts w:ascii="Arial" w:eastAsia="Arial" w:hAnsi="Arial" w:cs="Arial"/>
          <w:b/>
          <w:bCs/>
          <w:i/>
          <w:iCs/>
          <w:sz w:val="18"/>
          <w:szCs w:val="18"/>
        </w:rPr>
        <w:t xml:space="preserve">Investor Choice. </w:t>
      </w:r>
      <w:r>
        <w:rPr>
          <w:rFonts w:ascii="Arial" w:eastAsia="Arial" w:hAnsi="Arial" w:cs="Arial"/>
          <w:sz w:val="18"/>
          <w:szCs w:val="18"/>
        </w:rPr>
        <w:t>Provide investors, both current and prospective, with the ability to value the two</w:t>
      </w:r>
      <w:r>
        <w:rPr>
          <w:rFonts w:ascii="Arial" w:eastAsia="Arial" w:hAnsi="Arial" w:cs="Arial"/>
          <w:b/>
          <w:bCs/>
          <w:i/>
          <w:iCs/>
          <w:sz w:val="18"/>
          <w:szCs w:val="18"/>
        </w:rPr>
        <w:t xml:space="preserve"> </w:t>
      </w:r>
      <w:r>
        <w:rPr>
          <w:rFonts w:ascii="Arial" w:eastAsia="Arial" w:hAnsi="Arial" w:cs="Arial"/>
          <w:sz w:val="18"/>
          <w:szCs w:val="18"/>
        </w:rPr>
        <w:t>companies based</w:t>
      </w:r>
      <w:r>
        <w:rPr>
          <w:rFonts w:ascii="Arial" w:eastAsia="Arial" w:hAnsi="Arial" w:cs="Arial"/>
          <w:sz w:val="18"/>
          <w:szCs w:val="18"/>
        </w:rPr>
        <w:t xml:space="preserve"> on their distinct business characteristics and make more targeted investment decisions based on those characteristics. Separating the two businesses will provide investors with a more targeted investment opportunity so that investors interested in our bus</w:t>
      </w:r>
      <w:r>
        <w:rPr>
          <w:rFonts w:ascii="Arial" w:eastAsia="Arial" w:hAnsi="Arial" w:cs="Arial"/>
          <w:sz w:val="18"/>
          <w:szCs w:val="18"/>
        </w:rPr>
        <w:t>iness will have the opportunity to acquire stock of VS.</w:t>
      </w:r>
    </w:p>
    <w:p w14:paraId="05757F13" w14:textId="77777777" w:rsidR="00D1587D" w:rsidRDefault="00D1587D">
      <w:pPr>
        <w:spacing w:line="79" w:lineRule="exact"/>
        <w:rPr>
          <w:rFonts w:ascii="Arial" w:eastAsia="Arial" w:hAnsi="Arial" w:cs="Arial"/>
          <w:sz w:val="18"/>
          <w:szCs w:val="18"/>
        </w:rPr>
      </w:pPr>
    </w:p>
    <w:p w14:paraId="0798A6D7" w14:textId="77777777" w:rsidR="00D1587D" w:rsidRDefault="00410D07" w:rsidP="00410D07">
      <w:pPr>
        <w:numPr>
          <w:ilvl w:val="0"/>
          <w:numId w:val="213"/>
        </w:numPr>
        <w:tabs>
          <w:tab w:val="left" w:pos="1020"/>
        </w:tabs>
        <w:spacing w:line="257" w:lineRule="auto"/>
        <w:ind w:left="1020" w:right="579" w:hanging="350"/>
        <w:rPr>
          <w:rFonts w:ascii="Arial" w:eastAsia="Arial" w:hAnsi="Arial" w:cs="Arial"/>
          <w:sz w:val="18"/>
          <w:szCs w:val="18"/>
        </w:rPr>
      </w:pPr>
      <w:r>
        <w:rPr>
          <w:rFonts w:ascii="Arial" w:eastAsia="Arial" w:hAnsi="Arial" w:cs="Arial"/>
          <w:b/>
          <w:bCs/>
          <w:i/>
          <w:iCs/>
          <w:sz w:val="18"/>
          <w:szCs w:val="18"/>
        </w:rPr>
        <w:t xml:space="preserve">Employee Incentives and Retention. </w:t>
      </w:r>
      <w:r>
        <w:rPr>
          <w:rFonts w:ascii="Arial" w:eastAsia="Arial" w:hAnsi="Arial" w:cs="Arial"/>
          <w:sz w:val="18"/>
          <w:szCs w:val="18"/>
        </w:rPr>
        <w:t>Enable each company to better incentivize, attract, and retain key</w:t>
      </w:r>
      <w:r>
        <w:rPr>
          <w:rFonts w:ascii="Arial" w:eastAsia="Arial" w:hAnsi="Arial" w:cs="Arial"/>
          <w:b/>
          <w:bCs/>
          <w:i/>
          <w:iCs/>
          <w:sz w:val="18"/>
          <w:szCs w:val="18"/>
        </w:rPr>
        <w:t xml:space="preserve"> </w:t>
      </w:r>
      <w:r>
        <w:rPr>
          <w:rFonts w:ascii="Arial" w:eastAsia="Arial" w:hAnsi="Arial" w:cs="Arial"/>
          <w:sz w:val="18"/>
          <w:szCs w:val="18"/>
        </w:rPr>
        <w:t>employees through the use of equity compensation. Separating the two businesses will allow each c</w:t>
      </w:r>
      <w:r>
        <w:rPr>
          <w:rFonts w:ascii="Arial" w:eastAsia="Arial" w:hAnsi="Arial" w:cs="Arial"/>
          <w:sz w:val="18"/>
          <w:szCs w:val="18"/>
        </w:rPr>
        <w:t>ompany to design stock option and similar programs that better incentivize management to enhance business performance because the stock price performance of each company will be based on the performance of its own business.</w:t>
      </w:r>
    </w:p>
    <w:p w14:paraId="06453CA8" w14:textId="77777777" w:rsidR="00D1587D" w:rsidRDefault="00D1587D">
      <w:pPr>
        <w:spacing w:line="80" w:lineRule="exact"/>
        <w:rPr>
          <w:sz w:val="20"/>
          <w:szCs w:val="20"/>
        </w:rPr>
      </w:pPr>
    </w:p>
    <w:p w14:paraId="2934B580" w14:textId="77777777" w:rsidR="00D1587D" w:rsidRDefault="00410D07">
      <w:pPr>
        <w:spacing w:line="289" w:lineRule="auto"/>
        <w:ind w:left="320" w:right="279" w:firstLine="360"/>
        <w:rPr>
          <w:sz w:val="20"/>
          <w:szCs w:val="20"/>
        </w:rPr>
      </w:pPr>
      <w:r>
        <w:rPr>
          <w:rFonts w:ascii="Arial" w:eastAsia="Arial" w:hAnsi="Arial" w:cs="Arial"/>
          <w:sz w:val="16"/>
          <w:szCs w:val="16"/>
        </w:rPr>
        <w:t>While a number of potential cos</w:t>
      </w:r>
      <w:r>
        <w:rPr>
          <w:rFonts w:ascii="Arial" w:eastAsia="Arial" w:hAnsi="Arial" w:cs="Arial"/>
          <w:sz w:val="16"/>
          <w:szCs w:val="16"/>
        </w:rPr>
        <w:t>ts and risks were also considered, including, among others, risks relating to the creation of a new public company, such as increased costs from operating as a separate public company, the risk of volatility in our stock price immediately following the Dis</w:t>
      </w:r>
      <w:r>
        <w:rPr>
          <w:rFonts w:ascii="Arial" w:eastAsia="Arial" w:hAnsi="Arial" w:cs="Arial"/>
          <w:sz w:val="16"/>
          <w:szCs w:val="16"/>
        </w:rPr>
        <w:t xml:space="preserve">tribution due to sales by LB’s stockholders whose investment objectives may not be met by our common stock, the time it may take for us to attract our optimal stockholder base, potential disruptions to each business, the loss of synergies, scale and joint </w:t>
      </w:r>
      <w:r>
        <w:rPr>
          <w:rFonts w:ascii="Arial" w:eastAsia="Arial" w:hAnsi="Arial" w:cs="Arial"/>
          <w:sz w:val="16"/>
          <w:szCs w:val="16"/>
        </w:rPr>
        <w:t>purchasing power, increased administrative costs, one-time separation costs, the fact that each company will be less diversified following the Separation, and the potential inability to realize the anticipated benefits of the Separation, it was nevertheles</w:t>
      </w:r>
      <w:r>
        <w:rPr>
          <w:rFonts w:ascii="Arial" w:eastAsia="Arial" w:hAnsi="Arial" w:cs="Arial"/>
          <w:sz w:val="16"/>
          <w:szCs w:val="16"/>
        </w:rPr>
        <w:t>s determined that the potential benefits of the Separation outweighed the potential costs and risks in connection therewith and provided the best opportunity to achieve the above benefits and enhance stockholder value.</w:t>
      </w:r>
    </w:p>
    <w:p w14:paraId="6623B961" w14:textId="77777777" w:rsidR="00D1587D" w:rsidRDefault="00D1587D">
      <w:pPr>
        <w:spacing w:line="58" w:lineRule="exact"/>
        <w:rPr>
          <w:sz w:val="20"/>
          <w:szCs w:val="20"/>
        </w:rPr>
      </w:pPr>
    </w:p>
    <w:p w14:paraId="038B9BD4" w14:textId="77777777" w:rsidR="00D1587D" w:rsidRDefault="00410D07">
      <w:pPr>
        <w:spacing w:line="311" w:lineRule="auto"/>
        <w:ind w:left="320" w:right="339" w:firstLine="360"/>
        <w:jc w:val="both"/>
        <w:rPr>
          <w:sz w:val="20"/>
          <w:szCs w:val="20"/>
        </w:rPr>
      </w:pPr>
      <w:r>
        <w:rPr>
          <w:rFonts w:ascii="Arial" w:eastAsia="Arial" w:hAnsi="Arial" w:cs="Arial"/>
          <w:sz w:val="16"/>
          <w:szCs w:val="16"/>
        </w:rPr>
        <w:t xml:space="preserve">The distribution of our common </w:t>
      </w:r>
      <w:r>
        <w:rPr>
          <w:rFonts w:ascii="Arial" w:eastAsia="Arial" w:hAnsi="Arial" w:cs="Arial"/>
          <w:sz w:val="16"/>
          <w:szCs w:val="16"/>
        </w:rPr>
        <w:t>stock as described in this information statement is subject to the satisfaction or waiver of certain conditions. For more information, see “Risk Factors—Risks Relating to the Separation” and “The Separation—Conditions to the Distribution” included elsewher</w:t>
      </w:r>
      <w:r>
        <w:rPr>
          <w:rFonts w:ascii="Arial" w:eastAsia="Arial" w:hAnsi="Arial" w:cs="Arial"/>
          <w:sz w:val="16"/>
          <w:szCs w:val="16"/>
        </w:rPr>
        <w:t>e in this information statement.</w:t>
      </w:r>
    </w:p>
    <w:p w14:paraId="1DE5C279" w14:textId="77777777" w:rsidR="00D1587D" w:rsidRDefault="00D1587D">
      <w:pPr>
        <w:spacing w:line="293" w:lineRule="exact"/>
        <w:rPr>
          <w:sz w:val="20"/>
          <w:szCs w:val="20"/>
        </w:rPr>
      </w:pPr>
    </w:p>
    <w:p w14:paraId="1262671D" w14:textId="77777777" w:rsidR="00D1587D" w:rsidRDefault="00410D07">
      <w:pPr>
        <w:ind w:left="320"/>
        <w:rPr>
          <w:sz w:val="20"/>
          <w:szCs w:val="20"/>
        </w:rPr>
      </w:pPr>
      <w:r>
        <w:rPr>
          <w:rFonts w:ascii="Arial" w:eastAsia="Arial" w:hAnsi="Arial" w:cs="Arial"/>
          <w:b/>
          <w:bCs/>
          <w:sz w:val="18"/>
          <w:szCs w:val="18"/>
        </w:rPr>
        <w:t>Corporate Information</w:t>
      </w:r>
    </w:p>
    <w:p w14:paraId="641A7E21" w14:textId="77777777" w:rsidR="00D1587D" w:rsidRDefault="00D1587D">
      <w:pPr>
        <w:spacing w:line="121" w:lineRule="exact"/>
        <w:rPr>
          <w:sz w:val="20"/>
          <w:szCs w:val="20"/>
        </w:rPr>
      </w:pPr>
    </w:p>
    <w:p w14:paraId="67659379" w14:textId="77777777" w:rsidR="00D1587D" w:rsidRDefault="00410D07">
      <w:pPr>
        <w:spacing w:line="290" w:lineRule="auto"/>
        <w:ind w:left="320" w:right="379" w:firstLine="360"/>
        <w:rPr>
          <w:sz w:val="20"/>
          <w:szCs w:val="20"/>
        </w:rPr>
      </w:pPr>
      <w:r>
        <w:rPr>
          <w:rFonts w:ascii="Arial" w:eastAsia="Arial" w:hAnsi="Arial" w:cs="Arial"/>
          <w:sz w:val="16"/>
          <w:szCs w:val="16"/>
        </w:rPr>
        <w:t>VS was incorporated in Delaware on April 9, 2021. VS does not currently have any operations, has no assets and is not expected to conduct any operations until the completion of the Restructuring on o</w:t>
      </w:r>
      <w:r>
        <w:rPr>
          <w:rFonts w:ascii="Arial" w:eastAsia="Arial" w:hAnsi="Arial" w:cs="Arial"/>
          <w:sz w:val="16"/>
          <w:szCs w:val="16"/>
        </w:rPr>
        <w:t>r prior to the Distribution Date, pursuant to which certain assets related to the Spin Business will be contributed to and certain liabilities related to the Spin Business will be assumed by VS in accordance with the Separation and Distribution Agreement a</w:t>
      </w:r>
      <w:r>
        <w:rPr>
          <w:rFonts w:ascii="Arial" w:eastAsia="Arial" w:hAnsi="Arial" w:cs="Arial"/>
          <w:sz w:val="16"/>
          <w:szCs w:val="16"/>
        </w:rPr>
        <w:t>nd other agreements entered into in connection with the Separation. Our principal executive offices are located at 4 Limited Parkway East, Reynoldsburg, Ohio 43068 and our telephone number is 614-577-7000. Our Internet site will be victoriassecretandco.com</w:t>
      </w:r>
      <w:r>
        <w:rPr>
          <w:rFonts w:ascii="Arial" w:eastAsia="Arial" w:hAnsi="Arial" w:cs="Arial"/>
          <w:sz w:val="16"/>
          <w:szCs w:val="16"/>
        </w:rPr>
        <w:t>. Our website and the information contained therein or connected thereto is not incorporated into this information statement or the registration statement of which it forms a part.</w:t>
      </w:r>
    </w:p>
    <w:p w14:paraId="3ED780D8" w14:textId="77777777" w:rsidR="00D1587D" w:rsidRDefault="00D1587D">
      <w:pPr>
        <w:spacing w:line="395" w:lineRule="exact"/>
        <w:rPr>
          <w:sz w:val="20"/>
          <w:szCs w:val="20"/>
        </w:rPr>
      </w:pPr>
    </w:p>
    <w:p w14:paraId="6C76A9EB" w14:textId="77777777" w:rsidR="00D1587D" w:rsidRDefault="00410D07">
      <w:pPr>
        <w:jc w:val="center"/>
        <w:rPr>
          <w:sz w:val="20"/>
          <w:szCs w:val="20"/>
        </w:rPr>
      </w:pPr>
      <w:r>
        <w:rPr>
          <w:rFonts w:ascii="Arial" w:eastAsia="Arial" w:hAnsi="Arial" w:cs="Arial"/>
          <w:sz w:val="18"/>
          <w:szCs w:val="18"/>
        </w:rPr>
        <w:t>6</w:t>
      </w:r>
    </w:p>
    <w:p w14:paraId="1F619934" w14:textId="77777777" w:rsidR="00D1587D" w:rsidRDefault="00410D07">
      <w:pPr>
        <w:spacing w:line="20" w:lineRule="exact"/>
        <w:rPr>
          <w:sz w:val="20"/>
          <w:szCs w:val="20"/>
        </w:rPr>
      </w:pPr>
      <w:r>
        <w:rPr>
          <w:noProof/>
          <w:sz w:val="20"/>
          <w:szCs w:val="20"/>
        </w:rPr>
        <w:drawing>
          <wp:anchor distT="0" distB="0" distL="114300" distR="114300" simplePos="0" relativeHeight="251438080" behindDoc="1" locked="0" layoutInCell="0" allowOverlap="1" wp14:anchorId="0B5D972F" wp14:editId="207D97AE">
            <wp:simplePos x="0" y="0"/>
            <wp:positionH relativeFrom="column">
              <wp:posOffset>-636905</wp:posOffset>
            </wp:positionH>
            <wp:positionV relativeFrom="paragraph">
              <wp:posOffset>134620</wp:posOffset>
            </wp:positionV>
            <wp:extent cx="6995160" cy="1714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E3F2B0A" w14:textId="77777777" w:rsidR="00D1587D" w:rsidRDefault="00D1587D">
      <w:pPr>
        <w:sectPr w:rsidR="00D1587D">
          <w:pgSz w:w="11900" w:h="16838"/>
          <w:pgMar w:top="265" w:right="1440" w:bottom="1440" w:left="1440" w:header="0" w:footer="0" w:gutter="0"/>
          <w:cols w:space="720" w:equalWidth="0">
            <w:col w:w="9019"/>
          </w:cols>
        </w:sectPr>
      </w:pPr>
    </w:p>
    <w:bookmarkStart w:id="264" w:name="page265"/>
    <w:bookmarkEnd w:id="264"/>
    <w:p w14:paraId="586325F4"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EB3DD47" w14:textId="77777777" w:rsidR="00D1587D" w:rsidRDefault="00410D07">
      <w:pPr>
        <w:spacing w:line="20" w:lineRule="exact"/>
        <w:rPr>
          <w:sz w:val="20"/>
          <w:szCs w:val="20"/>
        </w:rPr>
      </w:pPr>
      <w:r>
        <w:rPr>
          <w:noProof/>
          <w:sz w:val="20"/>
          <w:szCs w:val="20"/>
        </w:rPr>
        <w:drawing>
          <wp:anchor distT="0" distB="0" distL="114300" distR="114300" simplePos="0" relativeHeight="251439104" behindDoc="1" locked="0" layoutInCell="0" allowOverlap="1" wp14:anchorId="0D30AB22" wp14:editId="1F21DE51">
            <wp:simplePos x="0" y="0"/>
            <wp:positionH relativeFrom="column">
              <wp:posOffset>46355</wp:posOffset>
            </wp:positionH>
            <wp:positionV relativeFrom="paragraph">
              <wp:posOffset>90170</wp:posOffset>
            </wp:positionV>
            <wp:extent cx="5653405" cy="764222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5"/>
                    <a:srcRect/>
                    <a:stretch>
                      <a:fillRect/>
                    </a:stretch>
                  </pic:blipFill>
                  <pic:spPr bwMode="auto">
                    <a:xfrm>
                      <a:off x="0" y="0"/>
                      <a:ext cx="5653405" cy="7642225"/>
                    </a:xfrm>
                    <a:prstGeom prst="rect">
                      <a:avLst/>
                    </a:prstGeom>
                    <a:noFill/>
                  </pic:spPr>
                </pic:pic>
              </a:graphicData>
            </a:graphic>
          </wp:anchor>
        </w:drawing>
      </w:r>
    </w:p>
    <w:p w14:paraId="053CCC41" w14:textId="77777777" w:rsidR="00D1587D" w:rsidRDefault="00D1587D">
      <w:pPr>
        <w:spacing w:line="200" w:lineRule="exact"/>
        <w:rPr>
          <w:sz w:val="20"/>
          <w:szCs w:val="20"/>
        </w:rPr>
      </w:pPr>
    </w:p>
    <w:p w14:paraId="08749CFA" w14:textId="77777777" w:rsidR="00D1587D" w:rsidRDefault="00D1587D">
      <w:pPr>
        <w:spacing w:line="271" w:lineRule="exact"/>
        <w:rPr>
          <w:sz w:val="20"/>
          <w:szCs w:val="20"/>
        </w:rPr>
      </w:pPr>
    </w:p>
    <w:p w14:paraId="7CB6E19B" w14:textId="77777777" w:rsidR="00D1587D" w:rsidRDefault="00410D07">
      <w:pPr>
        <w:ind w:right="-40"/>
        <w:jc w:val="center"/>
        <w:rPr>
          <w:sz w:val="20"/>
          <w:szCs w:val="20"/>
        </w:rPr>
      </w:pPr>
      <w:r>
        <w:rPr>
          <w:rFonts w:ascii="Arial" w:eastAsia="Arial" w:hAnsi="Arial" w:cs="Arial"/>
          <w:b/>
          <w:bCs/>
          <w:sz w:val="18"/>
          <w:szCs w:val="18"/>
        </w:rPr>
        <w:t>QUESTIONS AND ANSWERS ABOUT THE SEPARATION</w:t>
      </w:r>
    </w:p>
    <w:p w14:paraId="0EF9FFC2" w14:textId="77777777" w:rsidR="00D1587D" w:rsidRDefault="00D1587D">
      <w:pPr>
        <w:spacing w:line="324" w:lineRule="exact"/>
        <w:rPr>
          <w:sz w:val="20"/>
          <w:szCs w:val="20"/>
        </w:rPr>
      </w:pPr>
    </w:p>
    <w:p w14:paraId="27D5601D" w14:textId="77777777" w:rsidR="00D1587D" w:rsidRDefault="00410D07">
      <w:pPr>
        <w:spacing w:line="375" w:lineRule="auto"/>
        <w:ind w:left="320" w:right="1379" w:firstLine="360"/>
        <w:rPr>
          <w:sz w:val="20"/>
          <w:szCs w:val="20"/>
        </w:rPr>
      </w:pPr>
      <w:r>
        <w:rPr>
          <w:rFonts w:ascii="Arial" w:eastAsia="Arial" w:hAnsi="Arial" w:cs="Arial"/>
          <w:b/>
          <w:bCs/>
          <w:i/>
          <w:iCs/>
          <w:sz w:val="18"/>
          <w:szCs w:val="18"/>
        </w:rPr>
        <w:t xml:space="preserve">Please see “The Separation” for a more detailed description of the matters summarized below. </w:t>
      </w:r>
      <w:r>
        <w:rPr>
          <w:rFonts w:ascii="Arial" w:eastAsia="Arial" w:hAnsi="Arial" w:cs="Arial"/>
          <w:i/>
          <w:iCs/>
          <w:sz w:val="18"/>
          <w:szCs w:val="18"/>
        </w:rPr>
        <w:t>Q: Why am I receiving this document?</w:t>
      </w:r>
    </w:p>
    <w:p w14:paraId="3FD4F993" w14:textId="77777777" w:rsidR="00D1587D" w:rsidRDefault="00D1587D">
      <w:pPr>
        <w:spacing w:line="1" w:lineRule="exact"/>
        <w:rPr>
          <w:sz w:val="20"/>
          <w:szCs w:val="20"/>
        </w:rPr>
      </w:pPr>
    </w:p>
    <w:p w14:paraId="6877495A" w14:textId="77777777" w:rsidR="00D1587D" w:rsidRDefault="00410D07" w:rsidP="00410D07">
      <w:pPr>
        <w:numPr>
          <w:ilvl w:val="0"/>
          <w:numId w:val="214"/>
        </w:numPr>
        <w:tabs>
          <w:tab w:val="left" w:pos="660"/>
        </w:tabs>
        <w:spacing w:line="257" w:lineRule="auto"/>
        <w:ind w:left="660" w:right="339" w:hanging="350"/>
        <w:rPr>
          <w:rFonts w:ascii="Arial" w:eastAsia="Arial" w:hAnsi="Arial" w:cs="Arial"/>
          <w:sz w:val="18"/>
          <w:szCs w:val="18"/>
        </w:rPr>
      </w:pPr>
      <w:r>
        <w:rPr>
          <w:rFonts w:ascii="Arial" w:eastAsia="Arial" w:hAnsi="Arial" w:cs="Arial"/>
          <w:sz w:val="18"/>
          <w:szCs w:val="18"/>
        </w:rPr>
        <w:t>You are receiving this document because you are a holder of shares of LB common stock on the record date for the Distribution</w:t>
      </w:r>
      <w:r>
        <w:rPr>
          <w:rFonts w:ascii="Arial" w:eastAsia="Arial" w:hAnsi="Arial" w:cs="Arial"/>
          <w:sz w:val="18"/>
          <w:szCs w:val="18"/>
        </w:rPr>
        <w:t xml:space="preserve"> and, as such, will be entitled to receive shares of VS common stock upon completion of the transactions described in this information statement. We are sending you this document to inform you about the Separation and to provide you with information about </w:t>
      </w:r>
      <w:r>
        <w:rPr>
          <w:rFonts w:ascii="Arial" w:eastAsia="Arial" w:hAnsi="Arial" w:cs="Arial"/>
          <w:sz w:val="18"/>
          <w:szCs w:val="18"/>
        </w:rPr>
        <w:t>VS and its business and operations upon completion of the Separation.</w:t>
      </w:r>
    </w:p>
    <w:p w14:paraId="4345F070" w14:textId="77777777" w:rsidR="00D1587D" w:rsidRDefault="00D1587D">
      <w:pPr>
        <w:spacing w:line="188" w:lineRule="exact"/>
        <w:rPr>
          <w:sz w:val="20"/>
          <w:szCs w:val="20"/>
        </w:rPr>
      </w:pPr>
    </w:p>
    <w:p w14:paraId="6D25E45B"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What do I have to do to participate in the Separation?</w:t>
      </w:r>
    </w:p>
    <w:p w14:paraId="61B677EF" w14:textId="77777777" w:rsidR="00D1587D" w:rsidRDefault="00D1587D">
      <w:pPr>
        <w:spacing w:line="117" w:lineRule="exact"/>
        <w:rPr>
          <w:sz w:val="20"/>
          <w:szCs w:val="20"/>
        </w:rPr>
      </w:pPr>
    </w:p>
    <w:p w14:paraId="3023F5D9" w14:textId="77777777" w:rsidR="00D1587D" w:rsidRDefault="00410D07" w:rsidP="00410D07">
      <w:pPr>
        <w:numPr>
          <w:ilvl w:val="0"/>
          <w:numId w:val="215"/>
        </w:numPr>
        <w:tabs>
          <w:tab w:val="left" w:pos="660"/>
        </w:tabs>
        <w:spacing w:line="255" w:lineRule="auto"/>
        <w:ind w:left="660" w:right="279" w:hanging="350"/>
        <w:rPr>
          <w:rFonts w:ascii="Arial" w:eastAsia="Arial" w:hAnsi="Arial" w:cs="Arial"/>
          <w:sz w:val="18"/>
          <w:szCs w:val="18"/>
        </w:rPr>
      </w:pPr>
      <w:r>
        <w:rPr>
          <w:rFonts w:ascii="Arial" w:eastAsia="Arial" w:hAnsi="Arial" w:cs="Arial"/>
          <w:sz w:val="18"/>
          <w:szCs w:val="18"/>
        </w:rPr>
        <w:t xml:space="preserve">Nothing. You will not be required to pay any cash or deliver any other consideration in order to receive the shares of VS </w:t>
      </w:r>
      <w:r>
        <w:rPr>
          <w:rFonts w:ascii="Arial" w:eastAsia="Arial" w:hAnsi="Arial" w:cs="Arial"/>
          <w:sz w:val="18"/>
          <w:szCs w:val="18"/>
        </w:rPr>
        <w:t xml:space="preserve">common stock that you will be entitled to receive upon completion of the Separation. In addition, no stockholder approval will be required for the Separation and therefore you are not being asked to provide a proxy with respect to any of your shares of LB </w:t>
      </w:r>
      <w:r>
        <w:rPr>
          <w:rFonts w:ascii="Arial" w:eastAsia="Arial" w:hAnsi="Arial" w:cs="Arial"/>
          <w:sz w:val="18"/>
          <w:szCs w:val="18"/>
        </w:rPr>
        <w:t>common stock in connection with the Separation and you should not send us a proxy. The Distribution will not affect the number of outstanding shares of LB common stock or any rights of LB stockholders.</w:t>
      </w:r>
    </w:p>
    <w:p w14:paraId="6E9B607E" w14:textId="77777777" w:rsidR="00D1587D" w:rsidRDefault="00D1587D">
      <w:pPr>
        <w:spacing w:line="192" w:lineRule="exact"/>
        <w:rPr>
          <w:sz w:val="20"/>
          <w:szCs w:val="20"/>
        </w:rPr>
      </w:pPr>
    </w:p>
    <w:p w14:paraId="59D1B9BB"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Why is LB separating the Spin Business from its ot</w:t>
      </w:r>
      <w:r>
        <w:rPr>
          <w:rFonts w:ascii="Arial" w:eastAsia="Arial" w:hAnsi="Arial" w:cs="Arial"/>
          <w:i/>
          <w:iCs/>
          <w:sz w:val="16"/>
          <w:szCs w:val="16"/>
        </w:rPr>
        <w:t>her businesses?</w:t>
      </w:r>
    </w:p>
    <w:p w14:paraId="5DCF33CB" w14:textId="77777777" w:rsidR="00D1587D" w:rsidRDefault="00D1587D">
      <w:pPr>
        <w:spacing w:line="117" w:lineRule="exact"/>
        <w:rPr>
          <w:sz w:val="20"/>
          <w:szCs w:val="20"/>
        </w:rPr>
      </w:pPr>
    </w:p>
    <w:p w14:paraId="7102CC0F" w14:textId="77777777" w:rsidR="00D1587D" w:rsidRDefault="00410D07" w:rsidP="00410D07">
      <w:pPr>
        <w:numPr>
          <w:ilvl w:val="0"/>
          <w:numId w:val="216"/>
        </w:numPr>
        <w:tabs>
          <w:tab w:val="left" w:pos="660"/>
        </w:tabs>
        <w:spacing w:line="291" w:lineRule="auto"/>
        <w:ind w:left="660" w:right="359" w:hanging="350"/>
        <w:rPr>
          <w:rFonts w:ascii="Arial" w:eastAsia="Arial" w:hAnsi="Arial" w:cs="Arial"/>
          <w:sz w:val="16"/>
          <w:szCs w:val="16"/>
        </w:rPr>
      </w:pPr>
      <w:r>
        <w:rPr>
          <w:rFonts w:ascii="Arial" w:eastAsia="Arial" w:hAnsi="Arial" w:cs="Arial"/>
          <w:sz w:val="16"/>
          <w:szCs w:val="16"/>
        </w:rPr>
        <w:t>The LB Board of Directors believes separating our business from LB’s other businesses will provide both companies with a number of potential opportunities and benefits, such as enabling (1) the management team of each company to focus on i</w:t>
      </w:r>
      <w:r>
        <w:rPr>
          <w:rFonts w:ascii="Arial" w:eastAsia="Arial" w:hAnsi="Arial" w:cs="Arial"/>
          <w:sz w:val="16"/>
          <w:szCs w:val="16"/>
        </w:rPr>
        <w:t>ts own strategic priorities with financial targets that best fit its own business and opportunities; (2) each company to allocate resources and deploy capital in a manner consistent with its own priorities; (3) investors, both current and prospective, to v</w:t>
      </w:r>
      <w:r>
        <w:rPr>
          <w:rFonts w:ascii="Arial" w:eastAsia="Arial" w:hAnsi="Arial" w:cs="Arial"/>
          <w:sz w:val="16"/>
          <w:szCs w:val="16"/>
        </w:rPr>
        <w:t>alue the two companies based on their distinct business characteristics and make more targeted investment decisions based on those characteristics; and (4) each company to better incentivize, attract, and retain key employees through the use of equity comp</w:t>
      </w:r>
      <w:r>
        <w:rPr>
          <w:rFonts w:ascii="Arial" w:eastAsia="Arial" w:hAnsi="Arial" w:cs="Arial"/>
          <w:sz w:val="16"/>
          <w:szCs w:val="16"/>
        </w:rPr>
        <w:t>ensation.</w:t>
      </w:r>
    </w:p>
    <w:p w14:paraId="135B4913" w14:textId="77777777" w:rsidR="00D1587D" w:rsidRDefault="00D1587D">
      <w:pPr>
        <w:spacing w:line="166" w:lineRule="exact"/>
        <w:rPr>
          <w:sz w:val="20"/>
          <w:szCs w:val="20"/>
        </w:rPr>
      </w:pPr>
    </w:p>
    <w:p w14:paraId="300F077D"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5"/>
          <w:szCs w:val="15"/>
        </w:rPr>
        <w:t>What is VS?</w:t>
      </w:r>
    </w:p>
    <w:p w14:paraId="4B9F18FB" w14:textId="77777777" w:rsidR="00D1587D" w:rsidRDefault="00D1587D">
      <w:pPr>
        <w:spacing w:line="117" w:lineRule="exact"/>
        <w:rPr>
          <w:sz w:val="20"/>
          <w:szCs w:val="20"/>
        </w:rPr>
      </w:pPr>
    </w:p>
    <w:p w14:paraId="318E3578" w14:textId="77777777" w:rsidR="00D1587D" w:rsidRDefault="00410D07" w:rsidP="00410D07">
      <w:pPr>
        <w:numPr>
          <w:ilvl w:val="0"/>
          <w:numId w:val="217"/>
        </w:numPr>
        <w:tabs>
          <w:tab w:val="left" w:pos="660"/>
        </w:tabs>
        <w:spacing w:line="277" w:lineRule="auto"/>
        <w:ind w:left="660" w:right="459" w:hanging="350"/>
        <w:rPr>
          <w:rFonts w:ascii="Arial" w:eastAsia="Arial" w:hAnsi="Arial" w:cs="Arial"/>
          <w:sz w:val="18"/>
          <w:szCs w:val="18"/>
        </w:rPr>
      </w:pPr>
      <w:r>
        <w:rPr>
          <w:rFonts w:ascii="Arial" w:eastAsia="Arial" w:hAnsi="Arial" w:cs="Arial"/>
          <w:sz w:val="18"/>
          <w:szCs w:val="18"/>
        </w:rPr>
        <w:t>VS is a newly formed Delaware corporation that will hold the Spin Business, directly or indirectly through its subsidiaries, and be publicly traded following the Separation.</w:t>
      </w:r>
    </w:p>
    <w:p w14:paraId="37A5FFBB" w14:textId="77777777" w:rsidR="00D1587D" w:rsidRDefault="00D1587D">
      <w:pPr>
        <w:spacing w:line="170" w:lineRule="exact"/>
        <w:rPr>
          <w:sz w:val="20"/>
          <w:szCs w:val="20"/>
        </w:rPr>
      </w:pPr>
    </w:p>
    <w:p w14:paraId="7650792E"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How will LB accomplish the Separation of VS?</w:t>
      </w:r>
    </w:p>
    <w:p w14:paraId="0845C829" w14:textId="77777777" w:rsidR="00D1587D" w:rsidRDefault="00D1587D">
      <w:pPr>
        <w:spacing w:line="117" w:lineRule="exact"/>
        <w:rPr>
          <w:sz w:val="20"/>
          <w:szCs w:val="20"/>
        </w:rPr>
      </w:pPr>
    </w:p>
    <w:p w14:paraId="781C767A" w14:textId="77777777" w:rsidR="00D1587D" w:rsidRDefault="00410D07" w:rsidP="00410D07">
      <w:pPr>
        <w:numPr>
          <w:ilvl w:val="0"/>
          <w:numId w:val="218"/>
        </w:numPr>
        <w:tabs>
          <w:tab w:val="left" w:pos="660"/>
        </w:tabs>
        <w:spacing w:line="279" w:lineRule="auto"/>
        <w:ind w:left="660" w:right="519" w:hanging="350"/>
        <w:rPr>
          <w:rFonts w:ascii="Arial" w:eastAsia="Arial" w:hAnsi="Arial" w:cs="Arial"/>
          <w:sz w:val="17"/>
          <w:szCs w:val="17"/>
        </w:rPr>
      </w:pPr>
      <w:r>
        <w:rPr>
          <w:rFonts w:ascii="Arial" w:eastAsia="Arial" w:hAnsi="Arial" w:cs="Arial"/>
          <w:sz w:val="17"/>
          <w:szCs w:val="17"/>
        </w:rPr>
        <w:t>The Separation involves the Restructuring (i.e., the transfer of certain assets and liabilities related to the Spin Business to VS or its subsidiaries) and the Distribution (i.e., LB’s distribution to its stockholders of all the shares of VS’s common stock</w:t>
      </w:r>
      <w:r>
        <w:rPr>
          <w:rFonts w:ascii="Arial" w:eastAsia="Arial" w:hAnsi="Arial" w:cs="Arial"/>
          <w:sz w:val="17"/>
          <w:szCs w:val="17"/>
        </w:rPr>
        <w:t>). Following this Restructuring and Distribution, VS will be a publicly traded company independent from LB, and LB will not retain any ownership interest in VS.</w:t>
      </w:r>
    </w:p>
    <w:p w14:paraId="76FA1F40" w14:textId="77777777" w:rsidR="00D1587D" w:rsidRDefault="00D1587D">
      <w:pPr>
        <w:spacing w:line="171" w:lineRule="exact"/>
        <w:rPr>
          <w:sz w:val="20"/>
          <w:szCs w:val="20"/>
        </w:rPr>
      </w:pPr>
    </w:p>
    <w:p w14:paraId="748DE10B"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What will I receive in the Distribution?</w:t>
      </w:r>
    </w:p>
    <w:p w14:paraId="01FF5A83" w14:textId="77777777" w:rsidR="00D1587D" w:rsidRDefault="00D1587D">
      <w:pPr>
        <w:spacing w:line="117" w:lineRule="exact"/>
        <w:rPr>
          <w:sz w:val="20"/>
          <w:szCs w:val="20"/>
        </w:rPr>
      </w:pPr>
    </w:p>
    <w:p w14:paraId="3C3FFC47" w14:textId="77777777" w:rsidR="00D1587D" w:rsidRDefault="00410D07">
      <w:pPr>
        <w:tabs>
          <w:tab w:val="left" w:pos="640"/>
        </w:tabs>
        <w:ind w:left="320"/>
        <w:rPr>
          <w:sz w:val="20"/>
          <w:szCs w:val="20"/>
        </w:rPr>
      </w:pPr>
      <w:r>
        <w:rPr>
          <w:rFonts w:ascii="Arial" w:eastAsia="Arial" w:hAnsi="Arial" w:cs="Arial"/>
          <w:sz w:val="18"/>
          <w:szCs w:val="18"/>
        </w:rPr>
        <w:t>A:</w:t>
      </w:r>
      <w:r>
        <w:rPr>
          <w:sz w:val="20"/>
          <w:szCs w:val="20"/>
        </w:rPr>
        <w:tab/>
      </w:r>
      <w:r>
        <w:rPr>
          <w:rFonts w:ascii="Arial" w:eastAsia="Arial" w:hAnsi="Arial" w:cs="Arial"/>
          <w:sz w:val="16"/>
          <w:szCs w:val="16"/>
        </w:rPr>
        <w:t>At the effective time of the Distribution, you</w:t>
      </w:r>
      <w:r>
        <w:rPr>
          <w:rFonts w:ascii="Arial" w:eastAsia="Arial" w:hAnsi="Arial" w:cs="Arial"/>
          <w:sz w:val="16"/>
          <w:szCs w:val="16"/>
        </w:rPr>
        <w:t xml:space="preserve"> will be entitled to receive one share of VS common stock for</w:t>
      </w:r>
    </w:p>
    <w:p w14:paraId="7DBDFB78" w14:textId="77777777" w:rsidR="00D1587D" w:rsidRDefault="00D1587D">
      <w:pPr>
        <w:spacing w:line="23" w:lineRule="exact"/>
        <w:rPr>
          <w:sz w:val="20"/>
          <w:szCs w:val="20"/>
        </w:rPr>
      </w:pPr>
    </w:p>
    <w:p w14:paraId="7C652CF7" w14:textId="77777777" w:rsidR="00D1587D" w:rsidRDefault="00410D07">
      <w:pPr>
        <w:tabs>
          <w:tab w:val="left" w:pos="1500"/>
        </w:tabs>
        <w:ind w:left="660"/>
        <w:rPr>
          <w:sz w:val="20"/>
          <w:szCs w:val="20"/>
        </w:rPr>
      </w:pPr>
      <w:r>
        <w:rPr>
          <w:rFonts w:ascii="Arial" w:eastAsia="Arial" w:hAnsi="Arial" w:cs="Arial"/>
          <w:sz w:val="18"/>
          <w:szCs w:val="18"/>
        </w:rPr>
        <w:t>every</w:t>
      </w:r>
      <w:r>
        <w:rPr>
          <w:sz w:val="20"/>
          <w:szCs w:val="20"/>
        </w:rPr>
        <w:tab/>
      </w:r>
      <w:r>
        <w:rPr>
          <w:rFonts w:ascii="Arial" w:eastAsia="Arial" w:hAnsi="Arial" w:cs="Arial"/>
          <w:sz w:val="18"/>
          <w:szCs w:val="18"/>
        </w:rPr>
        <w:t>shares of LB common stock held by you on the record date.</w:t>
      </w:r>
    </w:p>
    <w:p w14:paraId="507B0208" w14:textId="77777777" w:rsidR="00D1587D" w:rsidRDefault="00D1587D">
      <w:pPr>
        <w:spacing w:line="211" w:lineRule="exact"/>
        <w:rPr>
          <w:sz w:val="20"/>
          <w:szCs w:val="20"/>
        </w:rPr>
      </w:pPr>
    </w:p>
    <w:p w14:paraId="1A09C1F4"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How does my ownership in LB change as a result of the Separation?</w:t>
      </w:r>
    </w:p>
    <w:p w14:paraId="03626757" w14:textId="77777777" w:rsidR="00D1587D" w:rsidRDefault="00D1587D">
      <w:pPr>
        <w:spacing w:line="117" w:lineRule="exact"/>
        <w:rPr>
          <w:sz w:val="20"/>
          <w:szCs w:val="20"/>
        </w:rPr>
      </w:pPr>
    </w:p>
    <w:p w14:paraId="712322D5" w14:textId="77777777" w:rsidR="00D1587D" w:rsidRDefault="00410D07">
      <w:pPr>
        <w:tabs>
          <w:tab w:val="left" w:pos="640"/>
        </w:tabs>
        <w:ind w:left="320"/>
        <w:rPr>
          <w:sz w:val="20"/>
          <w:szCs w:val="20"/>
        </w:rPr>
      </w:pPr>
      <w:r>
        <w:rPr>
          <w:rFonts w:ascii="Arial" w:eastAsia="Arial" w:hAnsi="Arial" w:cs="Arial"/>
          <w:sz w:val="18"/>
          <w:szCs w:val="18"/>
        </w:rPr>
        <w:t>A:</w:t>
      </w:r>
      <w:r>
        <w:rPr>
          <w:sz w:val="20"/>
          <w:szCs w:val="20"/>
        </w:rPr>
        <w:tab/>
      </w:r>
      <w:r>
        <w:rPr>
          <w:rFonts w:ascii="Arial" w:eastAsia="Arial" w:hAnsi="Arial" w:cs="Arial"/>
          <w:sz w:val="16"/>
          <w:szCs w:val="16"/>
        </w:rPr>
        <w:t xml:space="preserve">Your ownership of LB stock will not be affected by </w:t>
      </w:r>
      <w:r>
        <w:rPr>
          <w:rFonts w:ascii="Arial" w:eastAsia="Arial" w:hAnsi="Arial" w:cs="Arial"/>
          <w:sz w:val="16"/>
          <w:szCs w:val="16"/>
        </w:rPr>
        <w:t>the Separation.</w:t>
      </w:r>
    </w:p>
    <w:p w14:paraId="6BFC485A" w14:textId="77777777" w:rsidR="00D1587D" w:rsidRDefault="00D1587D">
      <w:pPr>
        <w:spacing w:line="225" w:lineRule="exact"/>
        <w:rPr>
          <w:sz w:val="20"/>
          <w:szCs w:val="20"/>
        </w:rPr>
      </w:pPr>
    </w:p>
    <w:p w14:paraId="48709204"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What is the record date for the Distribution?</w:t>
      </w:r>
    </w:p>
    <w:p w14:paraId="219E7DE5" w14:textId="77777777" w:rsidR="00D1587D" w:rsidRDefault="00D1587D">
      <w:pPr>
        <w:spacing w:line="117" w:lineRule="exact"/>
        <w:rPr>
          <w:sz w:val="20"/>
          <w:szCs w:val="20"/>
        </w:rPr>
      </w:pPr>
    </w:p>
    <w:p w14:paraId="585076E2" w14:textId="77777777" w:rsidR="00D1587D" w:rsidRDefault="00410D07">
      <w:pPr>
        <w:tabs>
          <w:tab w:val="left" w:pos="640"/>
        </w:tabs>
        <w:spacing w:line="263" w:lineRule="auto"/>
        <w:ind w:left="660" w:right="539" w:hanging="339"/>
        <w:rPr>
          <w:sz w:val="20"/>
          <w:szCs w:val="20"/>
        </w:rPr>
      </w:pPr>
      <w:r>
        <w:rPr>
          <w:rFonts w:ascii="Arial" w:eastAsia="Arial" w:hAnsi="Arial" w:cs="Arial"/>
          <w:sz w:val="18"/>
          <w:szCs w:val="18"/>
        </w:rPr>
        <w:t>A:</w:t>
      </w:r>
      <w:r>
        <w:rPr>
          <w:rFonts w:ascii="Arial" w:eastAsia="Arial" w:hAnsi="Arial" w:cs="Arial"/>
          <w:sz w:val="18"/>
          <w:szCs w:val="18"/>
        </w:rPr>
        <w:tab/>
        <w:t xml:space="preserve">The record date for the Distribution is , 2021, and ownership will be determined as of the close of business on that date. When we refer to the record date in this information </w:t>
      </w:r>
      <w:r>
        <w:rPr>
          <w:rFonts w:ascii="Arial" w:eastAsia="Arial" w:hAnsi="Arial" w:cs="Arial"/>
          <w:sz w:val="18"/>
          <w:szCs w:val="18"/>
        </w:rPr>
        <w:t>statement, we are referring to that time and date.</w:t>
      </w:r>
    </w:p>
    <w:p w14:paraId="21ED9AE3" w14:textId="77777777" w:rsidR="00D1587D" w:rsidRDefault="00D1587D">
      <w:pPr>
        <w:spacing w:line="200" w:lineRule="exact"/>
        <w:rPr>
          <w:sz w:val="20"/>
          <w:szCs w:val="20"/>
        </w:rPr>
      </w:pPr>
    </w:p>
    <w:p w14:paraId="335BC7B0" w14:textId="77777777" w:rsidR="00D1587D" w:rsidRDefault="00D1587D">
      <w:pPr>
        <w:spacing w:line="213" w:lineRule="exact"/>
        <w:rPr>
          <w:sz w:val="20"/>
          <w:szCs w:val="20"/>
        </w:rPr>
      </w:pPr>
    </w:p>
    <w:p w14:paraId="630880E1" w14:textId="77777777" w:rsidR="00D1587D" w:rsidRDefault="00410D07">
      <w:pPr>
        <w:jc w:val="center"/>
        <w:rPr>
          <w:sz w:val="20"/>
          <w:szCs w:val="20"/>
        </w:rPr>
      </w:pPr>
      <w:r>
        <w:rPr>
          <w:rFonts w:ascii="Arial" w:eastAsia="Arial" w:hAnsi="Arial" w:cs="Arial"/>
          <w:sz w:val="18"/>
          <w:szCs w:val="18"/>
        </w:rPr>
        <w:t>7</w:t>
      </w:r>
    </w:p>
    <w:p w14:paraId="58451EB0" w14:textId="77777777" w:rsidR="00D1587D" w:rsidRDefault="00410D07">
      <w:pPr>
        <w:spacing w:line="20" w:lineRule="exact"/>
        <w:rPr>
          <w:sz w:val="20"/>
          <w:szCs w:val="20"/>
        </w:rPr>
      </w:pPr>
      <w:r>
        <w:rPr>
          <w:noProof/>
          <w:sz w:val="20"/>
          <w:szCs w:val="20"/>
        </w:rPr>
        <w:drawing>
          <wp:anchor distT="0" distB="0" distL="114300" distR="114300" simplePos="0" relativeHeight="251440128" behindDoc="1" locked="0" layoutInCell="0" allowOverlap="1" wp14:anchorId="715A8E48" wp14:editId="3A115D96">
            <wp:simplePos x="0" y="0"/>
            <wp:positionH relativeFrom="column">
              <wp:posOffset>-636905</wp:posOffset>
            </wp:positionH>
            <wp:positionV relativeFrom="paragraph">
              <wp:posOffset>134620</wp:posOffset>
            </wp:positionV>
            <wp:extent cx="6995160" cy="1714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EB735CE" w14:textId="77777777" w:rsidR="00D1587D" w:rsidRDefault="00D1587D">
      <w:pPr>
        <w:sectPr w:rsidR="00D1587D">
          <w:pgSz w:w="11900" w:h="16838"/>
          <w:pgMar w:top="265" w:right="1440" w:bottom="1440" w:left="1440" w:header="0" w:footer="0" w:gutter="0"/>
          <w:cols w:space="720" w:equalWidth="0">
            <w:col w:w="9019"/>
          </w:cols>
        </w:sectPr>
      </w:pPr>
    </w:p>
    <w:bookmarkStart w:id="265" w:name="page266"/>
    <w:bookmarkEnd w:id="265"/>
    <w:p w14:paraId="059800F2"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36906FA" w14:textId="77777777" w:rsidR="00D1587D" w:rsidRDefault="00410D07">
      <w:pPr>
        <w:spacing w:line="20" w:lineRule="exact"/>
        <w:rPr>
          <w:sz w:val="20"/>
          <w:szCs w:val="20"/>
        </w:rPr>
      </w:pPr>
      <w:r>
        <w:rPr>
          <w:noProof/>
          <w:sz w:val="20"/>
          <w:szCs w:val="20"/>
        </w:rPr>
        <w:drawing>
          <wp:anchor distT="0" distB="0" distL="114300" distR="114300" simplePos="0" relativeHeight="251441152" behindDoc="1" locked="0" layoutInCell="0" allowOverlap="1" wp14:anchorId="47402007" wp14:editId="021992E6">
            <wp:simplePos x="0" y="0"/>
            <wp:positionH relativeFrom="column">
              <wp:posOffset>46355</wp:posOffset>
            </wp:positionH>
            <wp:positionV relativeFrom="paragraph">
              <wp:posOffset>90170</wp:posOffset>
            </wp:positionV>
            <wp:extent cx="5653405" cy="7924800"/>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6"/>
                    <a:srcRect/>
                    <a:stretch>
                      <a:fillRect/>
                    </a:stretch>
                  </pic:blipFill>
                  <pic:spPr bwMode="auto">
                    <a:xfrm>
                      <a:off x="0" y="0"/>
                      <a:ext cx="5653405" cy="7924800"/>
                    </a:xfrm>
                    <a:prstGeom prst="rect">
                      <a:avLst/>
                    </a:prstGeom>
                    <a:noFill/>
                  </pic:spPr>
                </pic:pic>
              </a:graphicData>
            </a:graphic>
          </wp:anchor>
        </w:drawing>
      </w:r>
    </w:p>
    <w:p w14:paraId="5F3D6E19" w14:textId="77777777" w:rsidR="00D1587D" w:rsidRDefault="00D1587D">
      <w:pPr>
        <w:spacing w:line="200" w:lineRule="exact"/>
        <w:rPr>
          <w:sz w:val="20"/>
          <w:szCs w:val="20"/>
        </w:rPr>
      </w:pPr>
    </w:p>
    <w:p w14:paraId="52B5A7A6" w14:textId="77777777" w:rsidR="00D1587D" w:rsidRDefault="00D1587D">
      <w:pPr>
        <w:spacing w:line="275" w:lineRule="exact"/>
        <w:rPr>
          <w:sz w:val="20"/>
          <w:szCs w:val="20"/>
        </w:rPr>
      </w:pPr>
    </w:p>
    <w:p w14:paraId="1DED5ABB"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When will the Distribution occur?</w:t>
      </w:r>
    </w:p>
    <w:p w14:paraId="35BE8017" w14:textId="77777777" w:rsidR="00D1587D" w:rsidRDefault="00D1587D">
      <w:pPr>
        <w:spacing w:line="117" w:lineRule="exact"/>
        <w:rPr>
          <w:sz w:val="20"/>
          <w:szCs w:val="20"/>
        </w:rPr>
      </w:pPr>
    </w:p>
    <w:tbl>
      <w:tblPr>
        <w:tblW w:w="0" w:type="auto"/>
        <w:tblInd w:w="320" w:type="dxa"/>
        <w:tblLayout w:type="fixed"/>
        <w:tblCellMar>
          <w:left w:w="0" w:type="dxa"/>
          <w:right w:w="0" w:type="dxa"/>
        </w:tblCellMar>
        <w:tblLook w:val="04A0" w:firstRow="1" w:lastRow="0" w:firstColumn="1" w:lastColumn="0" w:noHBand="0" w:noVBand="1"/>
      </w:tblPr>
      <w:tblGrid>
        <w:gridCol w:w="3540"/>
        <w:gridCol w:w="780"/>
      </w:tblGrid>
      <w:tr w:rsidR="00D1587D" w14:paraId="28A0D49E" w14:textId="77777777">
        <w:trPr>
          <w:trHeight w:val="230"/>
        </w:trPr>
        <w:tc>
          <w:tcPr>
            <w:tcW w:w="3540" w:type="dxa"/>
            <w:vAlign w:val="bottom"/>
          </w:tcPr>
          <w:p w14:paraId="6844C91F" w14:textId="77777777" w:rsidR="00D1587D" w:rsidRDefault="00410D07">
            <w:pPr>
              <w:rPr>
                <w:sz w:val="20"/>
                <w:szCs w:val="20"/>
              </w:rPr>
            </w:pPr>
            <w:r>
              <w:rPr>
                <w:rFonts w:ascii="Arial" w:eastAsia="Arial" w:hAnsi="Arial" w:cs="Arial"/>
                <w:sz w:val="18"/>
                <w:szCs w:val="18"/>
              </w:rPr>
              <w:t>A:  The Distribution is expected to occur on</w:t>
            </w:r>
          </w:p>
        </w:tc>
        <w:tc>
          <w:tcPr>
            <w:tcW w:w="780" w:type="dxa"/>
            <w:vAlign w:val="bottom"/>
          </w:tcPr>
          <w:p w14:paraId="31E49124" w14:textId="77777777" w:rsidR="00D1587D" w:rsidRDefault="00410D07">
            <w:pPr>
              <w:jc w:val="right"/>
              <w:rPr>
                <w:sz w:val="20"/>
                <w:szCs w:val="20"/>
              </w:rPr>
            </w:pPr>
            <w:r>
              <w:rPr>
                <w:rFonts w:ascii="Arial" w:eastAsia="Arial" w:hAnsi="Arial" w:cs="Arial"/>
                <w:sz w:val="18"/>
                <w:szCs w:val="18"/>
              </w:rPr>
              <w:t>, 2021.</w:t>
            </w:r>
          </w:p>
        </w:tc>
      </w:tr>
    </w:tbl>
    <w:p w14:paraId="3D097044" w14:textId="77777777" w:rsidR="00D1587D" w:rsidRDefault="00D1587D">
      <w:pPr>
        <w:spacing w:line="202" w:lineRule="exact"/>
        <w:rPr>
          <w:sz w:val="20"/>
          <w:szCs w:val="20"/>
        </w:rPr>
      </w:pPr>
    </w:p>
    <w:p w14:paraId="2E24A364" w14:textId="77777777" w:rsidR="00D1587D" w:rsidRDefault="00410D07" w:rsidP="00410D07">
      <w:pPr>
        <w:numPr>
          <w:ilvl w:val="0"/>
          <w:numId w:val="219"/>
        </w:numPr>
        <w:tabs>
          <w:tab w:val="left" w:pos="660"/>
        </w:tabs>
        <w:spacing w:line="277" w:lineRule="auto"/>
        <w:ind w:left="660" w:right="499" w:hanging="350"/>
        <w:rPr>
          <w:rFonts w:ascii="Arial" w:eastAsia="Arial" w:hAnsi="Arial" w:cs="Arial"/>
          <w:i/>
          <w:iCs/>
          <w:sz w:val="18"/>
          <w:szCs w:val="18"/>
        </w:rPr>
      </w:pPr>
      <w:r>
        <w:rPr>
          <w:rFonts w:ascii="Arial" w:eastAsia="Arial" w:hAnsi="Arial" w:cs="Arial"/>
          <w:i/>
          <w:iCs/>
          <w:sz w:val="18"/>
          <w:szCs w:val="18"/>
        </w:rPr>
        <w:t xml:space="preserve">As a holder of shares of LB </w:t>
      </w:r>
      <w:r>
        <w:rPr>
          <w:rFonts w:ascii="Arial" w:eastAsia="Arial" w:hAnsi="Arial" w:cs="Arial"/>
          <w:i/>
          <w:iCs/>
          <w:sz w:val="18"/>
          <w:szCs w:val="18"/>
        </w:rPr>
        <w:t>common stock as of the record date for the Distribution, how will shares of VS be distributed to me?</w:t>
      </w:r>
    </w:p>
    <w:p w14:paraId="4E9D0021" w14:textId="77777777" w:rsidR="00D1587D" w:rsidRDefault="00D1587D">
      <w:pPr>
        <w:spacing w:line="62" w:lineRule="exact"/>
        <w:rPr>
          <w:sz w:val="20"/>
          <w:szCs w:val="20"/>
        </w:rPr>
      </w:pPr>
    </w:p>
    <w:p w14:paraId="781AD2CB" w14:textId="77777777" w:rsidR="00D1587D" w:rsidRDefault="00410D07" w:rsidP="00410D07">
      <w:pPr>
        <w:numPr>
          <w:ilvl w:val="0"/>
          <w:numId w:val="220"/>
        </w:numPr>
        <w:tabs>
          <w:tab w:val="left" w:pos="660"/>
        </w:tabs>
        <w:spacing w:line="259" w:lineRule="auto"/>
        <w:ind w:left="660" w:right="379" w:hanging="350"/>
        <w:rPr>
          <w:rFonts w:ascii="Arial" w:eastAsia="Arial" w:hAnsi="Arial" w:cs="Arial"/>
          <w:sz w:val="18"/>
          <w:szCs w:val="18"/>
        </w:rPr>
      </w:pPr>
      <w:r>
        <w:rPr>
          <w:rFonts w:ascii="Arial" w:eastAsia="Arial" w:hAnsi="Arial" w:cs="Arial"/>
          <w:sz w:val="18"/>
          <w:szCs w:val="18"/>
        </w:rPr>
        <w:t>At the effective time, we will instruct our transfer agent and distribution agent to make book-entry credits for the shares of VS common stock that you ar</w:t>
      </w:r>
      <w:r>
        <w:rPr>
          <w:rFonts w:ascii="Arial" w:eastAsia="Arial" w:hAnsi="Arial" w:cs="Arial"/>
          <w:sz w:val="18"/>
          <w:szCs w:val="18"/>
        </w:rPr>
        <w:t>e entitled to receive. Since shares of VS common stock will be in uncertificated book-entry form, you will receive share ownership statements (and will not receive any physical share certificates).</w:t>
      </w:r>
    </w:p>
    <w:p w14:paraId="3815A9A9" w14:textId="77777777" w:rsidR="00D1587D" w:rsidRDefault="00D1587D">
      <w:pPr>
        <w:spacing w:line="187" w:lineRule="exact"/>
        <w:rPr>
          <w:sz w:val="20"/>
          <w:szCs w:val="20"/>
        </w:rPr>
      </w:pPr>
    </w:p>
    <w:p w14:paraId="321A923C"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What if I hold my shares through a broker, bank or oth</w:t>
      </w:r>
      <w:r>
        <w:rPr>
          <w:rFonts w:ascii="Arial" w:eastAsia="Arial" w:hAnsi="Arial" w:cs="Arial"/>
          <w:i/>
          <w:iCs/>
          <w:sz w:val="16"/>
          <w:szCs w:val="16"/>
        </w:rPr>
        <w:t>er nominee?</w:t>
      </w:r>
    </w:p>
    <w:p w14:paraId="4068D978" w14:textId="77777777" w:rsidR="00D1587D" w:rsidRDefault="00D1587D">
      <w:pPr>
        <w:spacing w:line="117" w:lineRule="exact"/>
        <w:rPr>
          <w:sz w:val="20"/>
          <w:szCs w:val="20"/>
        </w:rPr>
      </w:pPr>
    </w:p>
    <w:p w14:paraId="116BA9FD" w14:textId="77777777" w:rsidR="00D1587D" w:rsidRDefault="00410D07" w:rsidP="00410D07">
      <w:pPr>
        <w:numPr>
          <w:ilvl w:val="0"/>
          <w:numId w:val="221"/>
        </w:numPr>
        <w:tabs>
          <w:tab w:val="left" w:pos="660"/>
        </w:tabs>
        <w:spacing w:line="263" w:lineRule="auto"/>
        <w:ind w:left="660" w:right="539" w:hanging="350"/>
        <w:rPr>
          <w:rFonts w:ascii="Arial" w:eastAsia="Arial" w:hAnsi="Arial" w:cs="Arial"/>
          <w:sz w:val="18"/>
          <w:szCs w:val="18"/>
        </w:rPr>
      </w:pPr>
      <w:r>
        <w:rPr>
          <w:rFonts w:ascii="Arial" w:eastAsia="Arial" w:hAnsi="Arial" w:cs="Arial"/>
          <w:sz w:val="18"/>
          <w:szCs w:val="18"/>
        </w:rPr>
        <w:t>LB stockholders who hold their shares through a broker, bank or other nominee will have their brokerage account credited with VS common stock. For additional information, those stockholders should contact their broker or bank directly.</w:t>
      </w:r>
    </w:p>
    <w:p w14:paraId="6A64F6C5" w14:textId="77777777" w:rsidR="00D1587D" w:rsidRDefault="00D1587D">
      <w:pPr>
        <w:spacing w:line="184" w:lineRule="exact"/>
        <w:rPr>
          <w:sz w:val="20"/>
          <w:szCs w:val="20"/>
        </w:rPr>
      </w:pPr>
    </w:p>
    <w:p w14:paraId="3E5BD5AF"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Why</w:t>
      </w:r>
      <w:r>
        <w:rPr>
          <w:rFonts w:ascii="Arial" w:eastAsia="Arial" w:hAnsi="Arial" w:cs="Arial"/>
          <w:i/>
          <w:iCs/>
          <w:sz w:val="16"/>
          <w:szCs w:val="16"/>
        </w:rPr>
        <w:t xml:space="preserve"> is no LB stockholder vote required to approve the Separation and its material terms?</w:t>
      </w:r>
    </w:p>
    <w:p w14:paraId="6421668D" w14:textId="77777777" w:rsidR="00D1587D" w:rsidRDefault="00D1587D">
      <w:pPr>
        <w:spacing w:line="117" w:lineRule="exact"/>
        <w:rPr>
          <w:sz w:val="20"/>
          <w:szCs w:val="20"/>
        </w:rPr>
      </w:pPr>
    </w:p>
    <w:p w14:paraId="7068101A" w14:textId="77777777" w:rsidR="00D1587D" w:rsidRDefault="00410D07" w:rsidP="00410D07">
      <w:pPr>
        <w:numPr>
          <w:ilvl w:val="0"/>
          <w:numId w:val="222"/>
        </w:numPr>
        <w:tabs>
          <w:tab w:val="left" w:pos="660"/>
        </w:tabs>
        <w:spacing w:line="263" w:lineRule="auto"/>
        <w:ind w:left="660" w:right="539" w:hanging="350"/>
        <w:jc w:val="both"/>
        <w:rPr>
          <w:rFonts w:ascii="Arial" w:eastAsia="Arial" w:hAnsi="Arial" w:cs="Arial"/>
          <w:sz w:val="18"/>
          <w:szCs w:val="18"/>
        </w:rPr>
      </w:pPr>
      <w:r>
        <w:rPr>
          <w:rFonts w:ascii="Arial" w:eastAsia="Arial" w:hAnsi="Arial" w:cs="Arial"/>
          <w:sz w:val="18"/>
          <w:szCs w:val="18"/>
        </w:rPr>
        <w:t xml:space="preserve">LB is incorporated in Delaware. Delaware law does not require a stockholder vote to approve the Separation because the Separation does not constitute a sale, lease or </w:t>
      </w:r>
      <w:r>
        <w:rPr>
          <w:rFonts w:ascii="Arial" w:eastAsia="Arial" w:hAnsi="Arial" w:cs="Arial"/>
          <w:sz w:val="18"/>
          <w:szCs w:val="18"/>
        </w:rPr>
        <w:t>exchange of all or substantially all of the assets of LB.</w:t>
      </w:r>
    </w:p>
    <w:p w14:paraId="633EB053" w14:textId="77777777" w:rsidR="00D1587D" w:rsidRDefault="00D1587D">
      <w:pPr>
        <w:spacing w:line="184" w:lineRule="exact"/>
        <w:rPr>
          <w:sz w:val="20"/>
          <w:szCs w:val="20"/>
        </w:rPr>
      </w:pPr>
    </w:p>
    <w:p w14:paraId="76FF5C28"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How will fractional shares be treated in the Distribution?</w:t>
      </w:r>
    </w:p>
    <w:p w14:paraId="3D7F5BF9" w14:textId="77777777" w:rsidR="00D1587D" w:rsidRDefault="00D1587D">
      <w:pPr>
        <w:spacing w:line="117" w:lineRule="exact"/>
        <w:rPr>
          <w:sz w:val="20"/>
          <w:szCs w:val="20"/>
        </w:rPr>
      </w:pPr>
    </w:p>
    <w:p w14:paraId="59F83998" w14:textId="77777777" w:rsidR="00D1587D" w:rsidRDefault="00410D07" w:rsidP="00410D07">
      <w:pPr>
        <w:numPr>
          <w:ilvl w:val="0"/>
          <w:numId w:val="223"/>
        </w:numPr>
        <w:tabs>
          <w:tab w:val="left" w:pos="660"/>
        </w:tabs>
        <w:spacing w:line="257" w:lineRule="auto"/>
        <w:ind w:left="660" w:right="299" w:hanging="350"/>
        <w:rPr>
          <w:rFonts w:ascii="Arial" w:eastAsia="Arial" w:hAnsi="Arial" w:cs="Arial"/>
          <w:sz w:val="18"/>
          <w:szCs w:val="18"/>
        </w:rPr>
      </w:pPr>
      <w:r>
        <w:rPr>
          <w:rFonts w:ascii="Arial" w:eastAsia="Arial" w:hAnsi="Arial" w:cs="Arial"/>
          <w:sz w:val="18"/>
          <w:szCs w:val="18"/>
        </w:rPr>
        <w:t>You will not receive fractional shares of VS common stock in the Distribution. The distribution agent will aggregate and sell on the o</w:t>
      </w:r>
      <w:r>
        <w:rPr>
          <w:rFonts w:ascii="Arial" w:eastAsia="Arial" w:hAnsi="Arial" w:cs="Arial"/>
          <w:sz w:val="18"/>
          <w:szCs w:val="18"/>
        </w:rPr>
        <w:t>pen market the fractional shares of VS common stock that would otherwise be issued in the Distribution, and if you would otherwise be entitled to receive a fractional share of VS common stock in connection with the Distribution, you will instead receive th</w:t>
      </w:r>
      <w:r>
        <w:rPr>
          <w:rFonts w:ascii="Arial" w:eastAsia="Arial" w:hAnsi="Arial" w:cs="Arial"/>
          <w:sz w:val="18"/>
          <w:szCs w:val="18"/>
        </w:rPr>
        <w:t>e net cash proceeds of the sale attributable to such fractional share.</w:t>
      </w:r>
    </w:p>
    <w:p w14:paraId="22C669C4" w14:textId="77777777" w:rsidR="00D1587D" w:rsidRDefault="00D1587D">
      <w:pPr>
        <w:spacing w:line="188" w:lineRule="exact"/>
        <w:rPr>
          <w:sz w:val="20"/>
          <w:szCs w:val="20"/>
        </w:rPr>
      </w:pPr>
    </w:p>
    <w:p w14:paraId="30D44D1C"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What are the U.S. federal income tax consequences to me of the Distribution?</w:t>
      </w:r>
    </w:p>
    <w:p w14:paraId="5B9EFAE5" w14:textId="77777777" w:rsidR="00D1587D" w:rsidRDefault="00D1587D">
      <w:pPr>
        <w:spacing w:line="117" w:lineRule="exact"/>
        <w:rPr>
          <w:sz w:val="20"/>
          <w:szCs w:val="20"/>
        </w:rPr>
      </w:pPr>
    </w:p>
    <w:p w14:paraId="7D0C0738" w14:textId="77777777" w:rsidR="00D1587D" w:rsidRDefault="00410D07" w:rsidP="00410D07">
      <w:pPr>
        <w:numPr>
          <w:ilvl w:val="0"/>
          <w:numId w:val="224"/>
        </w:numPr>
        <w:tabs>
          <w:tab w:val="left" w:pos="660"/>
        </w:tabs>
        <w:spacing w:line="254" w:lineRule="auto"/>
        <w:ind w:left="660" w:right="279" w:hanging="350"/>
        <w:rPr>
          <w:rFonts w:ascii="Arial" w:eastAsia="Arial" w:hAnsi="Arial" w:cs="Arial"/>
          <w:sz w:val="18"/>
          <w:szCs w:val="18"/>
        </w:rPr>
      </w:pPr>
      <w:r>
        <w:rPr>
          <w:rFonts w:ascii="Arial" w:eastAsia="Arial" w:hAnsi="Arial" w:cs="Arial"/>
          <w:sz w:val="18"/>
          <w:szCs w:val="18"/>
        </w:rPr>
        <w:t>A condition to the closing of the Separation is LB’s receipt of an opinion of Davis Polk &amp; Wardwell LLP</w:t>
      </w:r>
      <w:r>
        <w:rPr>
          <w:rFonts w:ascii="Arial" w:eastAsia="Arial" w:hAnsi="Arial" w:cs="Arial"/>
          <w:sz w:val="18"/>
          <w:szCs w:val="18"/>
        </w:rPr>
        <w:t>, to the effect that the Distribution will qualify under the Internal Revenue Code of 1986, as amended (the “Code”), as a transaction that is generally tax-free to LB and to its stockholders. On the basis that the Distribution so qualifies, for U.S. federa</w:t>
      </w:r>
      <w:r>
        <w:rPr>
          <w:rFonts w:ascii="Arial" w:eastAsia="Arial" w:hAnsi="Arial" w:cs="Arial"/>
          <w:sz w:val="18"/>
          <w:szCs w:val="18"/>
        </w:rPr>
        <w:t>l income tax purposes, you will not recognize any gain or loss, and no amount will be included in your income in connection with the Distribution, except with respect to any cash received in lieu of fractional shares. You should review the section entitled</w:t>
      </w:r>
      <w:r>
        <w:rPr>
          <w:rFonts w:ascii="Arial" w:eastAsia="Arial" w:hAnsi="Arial" w:cs="Arial"/>
          <w:sz w:val="18"/>
          <w:szCs w:val="18"/>
        </w:rPr>
        <w:t xml:space="preserve"> “The Separation—Material U.S. Federal Income Tax Consequences of the Distribution” for a discussion of the material U.S. federal income tax consequences of the Distribution.</w:t>
      </w:r>
    </w:p>
    <w:p w14:paraId="517DDBFD" w14:textId="77777777" w:rsidR="00D1587D" w:rsidRDefault="00D1587D">
      <w:pPr>
        <w:spacing w:line="192" w:lineRule="exact"/>
        <w:rPr>
          <w:sz w:val="20"/>
          <w:szCs w:val="20"/>
        </w:rPr>
      </w:pPr>
    </w:p>
    <w:p w14:paraId="646D616F" w14:textId="77777777" w:rsidR="00D1587D" w:rsidRDefault="00410D07" w:rsidP="00410D07">
      <w:pPr>
        <w:numPr>
          <w:ilvl w:val="0"/>
          <w:numId w:val="225"/>
        </w:numPr>
        <w:tabs>
          <w:tab w:val="left" w:pos="660"/>
        </w:tabs>
        <w:spacing w:line="277" w:lineRule="auto"/>
        <w:ind w:left="660" w:right="319" w:hanging="350"/>
        <w:rPr>
          <w:rFonts w:ascii="Arial" w:eastAsia="Arial" w:hAnsi="Arial" w:cs="Arial"/>
          <w:i/>
          <w:iCs/>
          <w:sz w:val="18"/>
          <w:szCs w:val="18"/>
        </w:rPr>
      </w:pPr>
      <w:r>
        <w:rPr>
          <w:rFonts w:ascii="Arial" w:eastAsia="Arial" w:hAnsi="Arial" w:cs="Arial"/>
          <w:i/>
          <w:iCs/>
          <w:sz w:val="18"/>
          <w:szCs w:val="18"/>
        </w:rPr>
        <w:t>How will I determine the tax basis I will have in my LB shares after the Distrib</w:t>
      </w:r>
      <w:r>
        <w:rPr>
          <w:rFonts w:ascii="Arial" w:eastAsia="Arial" w:hAnsi="Arial" w:cs="Arial"/>
          <w:i/>
          <w:iCs/>
          <w:sz w:val="18"/>
          <w:szCs w:val="18"/>
        </w:rPr>
        <w:t>ution and the VS shares I receive in the Distribution?</w:t>
      </w:r>
    </w:p>
    <w:p w14:paraId="533FC813" w14:textId="77777777" w:rsidR="00D1587D" w:rsidRDefault="00D1587D">
      <w:pPr>
        <w:spacing w:line="62" w:lineRule="exact"/>
        <w:rPr>
          <w:sz w:val="20"/>
          <w:szCs w:val="20"/>
        </w:rPr>
      </w:pPr>
    </w:p>
    <w:p w14:paraId="50EB5831" w14:textId="77777777" w:rsidR="00D1587D" w:rsidRDefault="00410D07" w:rsidP="00410D07">
      <w:pPr>
        <w:numPr>
          <w:ilvl w:val="0"/>
          <w:numId w:val="226"/>
        </w:numPr>
        <w:tabs>
          <w:tab w:val="left" w:pos="660"/>
        </w:tabs>
        <w:spacing w:line="272" w:lineRule="auto"/>
        <w:ind w:left="660" w:right="299" w:hanging="350"/>
        <w:rPr>
          <w:rFonts w:ascii="Arial" w:eastAsia="Arial" w:hAnsi="Arial" w:cs="Arial"/>
          <w:sz w:val="17"/>
          <w:szCs w:val="17"/>
        </w:rPr>
      </w:pPr>
      <w:r>
        <w:rPr>
          <w:rFonts w:ascii="Arial" w:eastAsia="Arial" w:hAnsi="Arial" w:cs="Arial"/>
          <w:sz w:val="17"/>
          <w:szCs w:val="17"/>
        </w:rPr>
        <w:t xml:space="preserve">Generally, for U.S. federal income tax purposes, your aggregate basis in your shares of LB common stock and the shares of VS common stock you receive in the Distribution (including any </w:t>
      </w:r>
      <w:r>
        <w:rPr>
          <w:rFonts w:ascii="Arial" w:eastAsia="Arial" w:hAnsi="Arial" w:cs="Arial"/>
          <w:sz w:val="17"/>
          <w:szCs w:val="17"/>
        </w:rPr>
        <w:t>fractional shares for which cash is received) will equal the aggregate basis of LB common stock held by you immediately before the Distribution. This aggregate basis will be allocated between your shares of LB common stock and the shares of VS common stock</w:t>
      </w:r>
      <w:r>
        <w:rPr>
          <w:rFonts w:ascii="Arial" w:eastAsia="Arial" w:hAnsi="Arial" w:cs="Arial"/>
          <w:sz w:val="17"/>
          <w:szCs w:val="17"/>
        </w:rPr>
        <w:t xml:space="preserve"> you receive in the Distribution (including any fractional shares for which cash is received) in proportion to the relative fair market value of each immediately following the Distribution. See “The Separation—Material U.S. Federal Income Tax Consequences </w:t>
      </w:r>
      <w:r>
        <w:rPr>
          <w:rFonts w:ascii="Arial" w:eastAsia="Arial" w:hAnsi="Arial" w:cs="Arial"/>
          <w:sz w:val="17"/>
          <w:szCs w:val="17"/>
        </w:rPr>
        <w:t>of the Distribution.”</w:t>
      </w:r>
    </w:p>
    <w:p w14:paraId="6FA34117" w14:textId="77777777" w:rsidR="00D1587D" w:rsidRDefault="00D1587D">
      <w:pPr>
        <w:spacing w:line="177" w:lineRule="exact"/>
        <w:rPr>
          <w:sz w:val="20"/>
          <w:szCs w:val="20"/>
        </w:rPr>
      </w:pPr>
    </w:p>
    <w:p w14:paraId="650501C5"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How will LB’s common stock and VS’s common stock trade after the Separation?</w:t>
      </w:r>
    </w:p>
    <w:p w14:paraId="0C21CA7F" w14:textId="77777777" w:rsidR="00D1587D" w:rsidRDefault="00D1587D">
      <w:pPr>
        <w:spacing w:line="117" w:lineRule="exact"/>
        <w:rPr>
          <w:sz w:val="20"/>
          <w:szCs w:val="20"/>
        </w:rPr>
      </w:pPr>
    </w:p>
    <w:p w14:paraId="07621B25" w14:textId="77777777" w:rsidR="00D1587D" w:rsidRDefault="00410D07" w:rsidP="00410D07">
      <w:pPr>
        <w:numPr>
          <w:ilvl w:val="0"/>
          <w:numId w:val="227"/>
        </w:numPr>
        <w:tabs>
          <w:tab w:val="left" w:pos="660"/>
        </w:tabs>
        <w:spacing w:line="263" w:lineRule="auto"/>
        <w:ind w:left="660" w:right="519" w:hanging="350"/>
        <w:rPr>
          <w:rFonts w:ascii="Arial" w:eastAsia="Arial" w:hAnsi="Arial" w:cs="Arial"/>
          <w:sz w:val="18"/>
          <w:szCs w:val="18"/>
        </w:rPr>
      </w:pPr>
      <w:r>
        <w:rPr>
          <w:rFonts w:ascii="Arial" w:eastAsia="Arial" w:hAnsi="Arial" w:cs="Arial"/>
          <w:sz w:val="18"/>
          <w:szCs w:val="18"/>
        </w:rPr>
        <w:t xml:space="preserve">There is currently no public market for VS common stock. We expect to have VS’s shares of common stock listed on the NYSE under the ticker symbol </w:t>
      </w:r>
      <w:r>
        <w:rPr>
          <w:rFonts w:ascii="Arial" w:eastAsia="Arial" w:hAnsi="Arial" w:cs="Arial"/>
          <w:sz w:val="18"/>
          <w:szCs w:val="18"/>
        </w:rPr>
        <w:t>“VSCO.” LB common stock will continue to trade on the NYSE under the ticker symbol “LB.”</w:t>
      </w:r>
    </w:p>
    <w:p w14:paraId="59B805F9" w14:textId="77777777" w:rsidR="00D1587D" w:rsidRDefault="00D1587D">
      <w:pPr>
        <w:spacing w:line="200" w:lineRule="exact"/>
        <w:rPr>
          <w:sz w:val="20"/>
          <w:szCs w:val="20"/>
        </w:rPr>
      </w:pPr>
    </w:p>
    <w:p w14:paraId="03CA0FC1" w14:textId="77777777" w:rsidR="00D1587D" w:rsidRDefault="00D1587D">
      <w:pPr>
        <w:spacing w:line="213" w:lineRule="exact"/>
        <w:rPr>
          <w:sz w:val="20"/>
          <w:szCs w:val="20"/>
        </w:rPr>
      </w:pPr>
    </w:p>
    <w:p w14:paraId="79CB20F9" w14:textId="77777777" w:rsidR="00D1587D" w:rsidRDefault="00410D07">
      <w:pPr>
        <w:jc w:val="center"/>
        <w:rPr>
          <w:sz w:val="20"/>
          <w:szCs w:val="20"/>
        </w:rPr>
      </w:pPr>
      <w:r>
        <w:rPr>
          <w:rFonts w:ascii="Arial" w:eastAsia="Arial" w:hAnsi="Arial" w:cs="Arial"/>
          <w:sz w:val="18"/>
          <w:szCs w:val="18"/>
        </w:rPr>
        <w:t>8</w:t>
      </w:r>
    </w:p>
    <w:p w14:paraId="00BCE3B3" w14:textId="77777777" w:rsidR="00D1587D" w:rsidRDefault="00410D07">
      <w:pPr>
        <w:spacing w:line="20" w:lineRule="exact"/>
        <w:rPr>
          <w:sz w:val="20"/>
          <w:szCs w:val="20"/>
        </w:rPr>
      </w:pPr>
      <w:r>
        <w:rPr>
          <w:noProof/>
          <w:sz w:val="20"/>
          <w:szCs w:val="20"/>
        </w:rPr>
        <w:drawing>
          <wp:anchor distT="0" distB="0" distL="114300" distR="114300" simplePos="0" relativeHeight="251442176" behindDoc="1" locked="0" layoutInCell="0" allowOverlap="1" wp14:anchorId="2A2539AD" wp14:editId="71227D8F">
            <wp:simplePos x="0" y="0"/>
            <wp:positionH relativeFrom="column">
              <wp:posOffset>-636905</wp:posOffset>
            </wp:positionH>
            <wp:positionV relativeFrom="paragraph">
              <wp:posOffset>126365</wp:posOffset>
            </wp:positionV>
            <wp:extent cx="6995160" cy="1714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9780B96" w14:textId="77777777" w:rsidR="00D1587D" w:rsidRDefault="00D1587D">
      <w:pPr>
        <w:sectPr w:rsidR="00D1587D">
          <w:pgSz w:w="11900" w:h="16838"/>
          <w:pgMar w:top="265" w:right="1440" w:bottom="1440" w:left="1440" w:header="0" w:footer="0" w:gutter="0"/>
          <w:cols w:space="720" w:equalWidth="0">
            <w:col w:w="9019"/>
          </w:cols>
        </w:sectPr>
      </w:pPr>
    </w:p>
    <w:bookmarkStart w:id="266" w:name="page267"/>
    <w:bookmarkEnd w:id="266"/>
    <w:p w14:paraId="3D617739"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F27A311" w14:textId="77777777" w:rsidR="00D1587D" w:rsidRDefault="00410D07">
      <w:pPr>
        <w:spacing w:line="20" w:lineRule="exact"/>
        <w:rPr>
          <w:sz w:val="20"/>
          <w:szCs w:val="20"/>
        </w:rPr>
      </w:pPr>
      <w:r>
        <w:rPr>
          <w:noProof/>
          <w:sz w:val="20"/>
          <w:szCs w:val="20"/>
        </w:rPr>
        <w:drawing>
          <wp:anchor distT="0" distB="0" distL="114300" distR="114300" simplePos="0" relativeHeight="251443200" behindDoc="1" locked="0" layoutInCell="0" allowOverlap="1" wp14:anchorId="5337D461" wp14:editId="1FDB69C7">
            <wp:simplePos x="0" y="0"/>
            <wp:positionH relativeFrom="column">
              <wp:posOffset>46355</wp:posOffset>
            </wp:positionH>
            <wp:positionV relativeFrom="paragraph">
              <wp:posOffset>90170</wp:posOffset>
            </wp:positionV>
            <wp:extent cx="5653405" cy="785622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7"/>
                    <a:srcRect/>
                    <a:stretch>
                      <a:fillRect/>
                    </a:stretch>
                  </pic:blipFill>
                  <pic:spPr bwMode="auto">
                    <a:xfrm>
                      <a:off x="0" y="0"/>
                      <a:ext cx="5653405" cy="7856220"/>
                    </a:xfrm>
                    <a:prstGeom prst="rect">
                      <a:avLst/>
                    </a:prstGeom>
                    <a:noFill/>
                  </pic:spPr>
                </pic:pic>
              </a:graphicData>
            </a:graphic>
          </wp:anchor>
        </w:drawing>
      </w:r>
    </w:p>
    <w:p w14:paraId="0EA7A975" w14:textId="77777777" w:rsidR="00D1587D" w:rsidRDefault="00D1587D">
      <w:pPr>
        <w:spacing w:line="200" w:lineRule="exact"/>
        <w:rPr>
          <w:sz w:val="20"/>
          <w:szCs w:val="20"/>
        </w:rPr>
      </w:pPr>
    </w:p>
    <w:p w14:paraId="511C9EA8" w14:textId="77777777" w:rsidR="00D1587D" w:rsidRDefault="00D1587D">
      <w:pPr>
        <w:spacing w:line="275" w:lineRule="exact"/>
        <w:rPr>
          <w:sz w:val="20"/>
          <w:szCs w:val="20"/>
        </w:rPr>
      </w:pPr>
    </w:p>
    <w:p w14:paraId="51FF72DD" w14:textId="77777777" w:rsidR="00D1587D" w:rsidRDefault="00410D07" w:rsidP="00410D07">
      <w:pPr>
        <w:numPr>
          <w:ilvl w:val="0"/>
          <w:numId w:val="228"/>
        </w:numPr>
        <w:tabs>
          <w:tab w:val="left" w:pos="660"/>
        </w:tabs>
        <w:spacing w:line="277" w:lineRule="auto"/>
        <w:ind w:left="660" w:right="499" w:hanging="350"/>
        <w:rPr>
          <w:rFonts w:ascii="Arial" w:eastAsia="Arial" w:hAnsi="Arial" w:cs="Arial"/>
          <w:i/>
          <w:iCs/>
          <w:sz w:val="18"/>
          <w:szCs w:val="18"/>
        </w:rPr>
      </w:pPr>
      <w:r>
        <w:rPr>
          <w:rFonts w:ascii="Arial" w:eastAsia="Arial" w:hAnsi="Arial" w:cs="Arial"/>
          <w:i/>
          <w:iCs/>
          <w:sz w:val="18"/>
          <w:szCs w:val="18"/>
        </w:rPr>
        <w:t xml:space="preserve">If I sell my shares of LB common stock before or on the Distribution Date, will I still be </w:t>
      </w:r>
      <w:r>
        <w:rPr>
          <w:rFonts w:ascii="Arial" w:eastAsia="Arial" w:hAnsi="Arial" w:cs="Arial"/>
          <w:i/>
          <w:iCs/>
          <w:sz w:val="18"/>
          <w:szCs w:val="18"/>
        </w:rPr>
        <w:t>entitled to receive VS shares in the Distribution with respect to the sold shares?</w:t>
      </w:r>
    </w:p>
    <w:p w14:paraId="4FE66E56" w14:textId="77777777" w:rsidR="00D1587D" w:rsidRDefault="00D1587D">
      <w:pPr>
        <w:spacing w:line="62" w:lineRule="exact"/>
        <w:rPr>
          <w:sz w:val="20"/>
          <w:szCs w:val="20"/>
        </w:rPr>
      </w:pPr>
    </w:p>
    <w:p w14:paraId="5623C237" w14:textId="77777777" w:rsidR="00D1587D" w:rsidRDefault="00410D07" w:rsidP="00410D07">
      <w:pPr>
        <w:numPr>
          <w:ilvl w:val="0"/>
          <w:numId w:val="229"/>
        </w:numPr>
        <w:tabs>
          <w:tab w:val="left" w:pos="660"/>
        </w:tabs>
        <w:spacing w:line="286" w:lineRule="auto"/>
        <w:ind w:left="660" w:right="299" w:hanging="350"/>
        <w:rPr>
          <w:rFonts w:ascii="Arial" w:eastAsia="Arial" w:hAnsi="Arial" w:cs="Arial"/>
          <w:sz w:val="16"/>
          <w:szCs w:val="16"/>
        </w:rPr>
      </w:pPr>
      <w:r>
        <w:rPr>
          <w:rFonts w:ascii="Arial" w:eastAsia="Arial" w:hAnsi="Arial" w:cs="Arial"/>
          <w:sz w:val="16"/>
          <w:szCs w:val="16"/>
        </w:rPr>
        <w:t xml:space="preserve">Beginning on or shortly before the record date and continuing up to and including the Distribution Date, we expect there will be two markets in LB common stock: a </w:t>
      </w:r>
      <w:r>
        <w:rPr>
          <w:rFonts w:ascii="Arial" w:eastAsia="Arial" w:hAnsi="Arial" w:cs="Arial"/>
          <w:sz w:val="16"/>
          <w:szCs w:val="16"/>
        </w:rPr>
        <w:t>“regular-way” market and an “ex-distribution” market. Shares of LB common stock that trade on the “regular-way” market will trade with an entitlement to receive shares of our common stock to be distributed in the Distribution. Shares that trade on the “ex-</w:t>
      </w:r>
      <w:r>
        <w:rPr>
          <w:rFonts w:ascii="Arial" w:eastAsia="Arial" w:hAnsi="Arial" w:cs="Arial"/>
          <w:sz w:val="16"/>
          <w:szCs w:val="16"/>
        </w:rPr>
        <w:t>distribution” market will trade without an entitlement to receive shares of our common stock to be distributed in the Distribution, so that holders who initially sell LB shares ex-distribution will still be entitled to receive shares of VS common stock eve</w:t>
      </w:r>
      <w:r>
        <w:rPr>
          <w:rFonts w:ascii="Arial" w:eastAsia="Arial" w:hAnsi="Arial" w:cs="Arial"/>
          <w:sz w:val="16"/>
          <w:szCs w:val="16"/>
        </w:rPr>
        <w:t>n though they have sold their shares of LB common stock before the Distribution, because the LB shares were sold after the record date. Therefore, if you owned shares of LB common stock on the record date and sell those shares on the “regular-way” market b</w:t>
      </w:r>
      <w:r>
        <w:rPr>
          <w:rFonts w:ascii="Arial" w:eastAsia="Arial" w:hAnsi="Arial" w:cs="Arial"/>
          <w:sz w:val="16"/>
          <w:szCs w:val="16"/>
        </w:rPr>
        <w:t>efore the Distribution Date, you will also be selling the right to receive the shares of our common stock that would have been distributed to you in the Distribution. If you own shares of LB common stock as of the close of business on the record date and s</w:t>
      </w:r>
      <w:r>
        <w:rPr>
          <w:rFonts w:ascii="Arial" w:eastAsia="Arial" w:hAnsi="Arial" w:cs="Arial"/>
          <w:sz w:val="16"/>
          <w:szCs w:val="16"/>
        </w:rPr>
        <w:t>ell these shares in the “ex-distribution” market on any date up to and including the Distribution Date, you will still receive the shares of our common stock that you would be entitled to receive in respect of your ownership of the shares of LB common stoc</w:t>
      </w:r>
      <w:r>
        <w:rPr>
          <w:rFonts w:ascii="Arial" w:eastAsia="Arial" w:hAnsi="Arial" w:cs="Arial"/>
          <w:sz w:val="16"/>
          <w:szCs w:val="16"/>
        </w:rPr>
        <w:t>k that you sold. You are encouraged to consult with your financial advisor regarding the specific implications of selling your LB common stock prior to or on the Distribution Date.</w:t>
      </w:r>
    </w:p>
    <w:p w14:paraId="34DEA42E" w14:textId="77777777" w:rsidR="00D1587D" w:rsidRDefault="00D1587D">
      <w:pPr>
        <w:spacing w:line="167" w:lineRule="exact"/>
        <w:rPr>
          <w:sz w:val="20"/>
          <w:szCs w:val="20"/>
        </w:rPr>
      </w:pPr>
    </w:p>
    <w:p w14:paraId="5C4D3746"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Will I receive a stock certificate for VS shares distributed as a resul</w:t>
      </w:r>
      <w:r>
        <w:rPr>
          <w:rFonts w:ascii="Arial" w:eastAsia="Arial" w:hAnsi="Arial" w:cs="Arial"/>
          <w:i/>
          <w:iCs/>
          <w:sz w:val="16"/>
          <w:szCs w:val="16"/>
        </w:rPr>
        <w:t>t of the Distribution?</w:t>
      </w:r>
    </w:p>
    <w:p w14:paraId="194E6BF9" w14:textId="77777777" w:rsidR="00D1587D" w:rsidRDefault="00D1587D">
      <w:pPr>
        <w:spacing w:line="117" w:lineRule="exact"/>
        <w:rPr>
          <w:sz w:val="20"/>
          <w:szCs w:val="20"/>
        </w:rPr>
      </w:pPr>
    </w:p>
    <w:p w14:paraId="7090E660" w14:textId="77777777" w:rsidR="00D1587D" w:rsidRDefault="00410D07" w:rsidP="00410D07">
      <w:pPr>
        <w:numPr>
          <w:ilvl w:val="0"/>
          <w:numId w:val="230"/>
        </w:numPr>
        <w:tabs>
          <w:tab w:val="left" w:pos="660"/>
        </w:tabs>
        <w:spacing w:line="272" w:lineRule="auto"/>
        <w:ind w:left="660" w:right="379" w:hanging="350"/>
        <w:rPr>
          <w:rFonts w:ascii="Arial" w:eastAsia="Arial" w:hAnsi="Arial" w:cs="Arial"/>
          <w:sz w:val="17"/>
          <w:szCs w:val="17"/>
        </w:rPr>
      </w:pPr>
      <w:r>
        <w:rPr>
          <w:rFonts w:ascii="Arial" w:eastAsia="Arial" w:hAnsi="Arial" w:cs="Arial"/>
          <w:sz w:val="17"/>
          <w:szCs w:val="17"/>
        </w:rPr>
        <w:t>No. Registered holders of LB common stock who are entitled to participate in the Distribution will receive a book-entry account statement reflecting their ownership of VS common stock. For additional information, registered stockhol</w:t>
      </w:r>
      <w:r>
        <w:rPr>
          <w:rFonts w:ascii="Arial" w:eastAsia="Arial" w:hAnsi="Arial" w:cs="Arial"/>
          <w:sz w:val="17"/>
          <w:szCs w:val="17"/>
        </w:rPr>
        <w:t>ders in the U.S., Canada or Puerto Rico should contact LB’s transfer agent, American Stock Transfer &amp; Trust Company, LLC (“AST”), in writing at C/O: Shareholder Services, 6201 15th Avenue, Brooklyn, New York 11219, Toll Free at 1-877-248-6417 or through it</w:t>
      </w:r>
      <w:r>
        <w:rPr>
          <w:rFonts w:ascii="Arial" w:eastAsia="Arial" w:hAnsi="Arial" w:cs="Arial"/>
          <w:sz w:val="17"/>
          <w:szCs w:val="17"/>
        </w:rPr>
        <w:t>s website at www.astfinancial.com. Stockholders from outside the U.S., Canada and Puerto Rico may call 1-718-921-8317. See “The Separation— When and How You Will Receive the Distribution of VS Shares.”</w:t>
      </w:r>
    </w:p>
    <w:p w14:paraId="01E2F68D" w14:textId="77777777" w:rsidR="00D1587D" w:rsidRDefault="00D1587D">
      <w:pPr>
        <w:spacing w:line="177" w:lineRule="exact"/>
        <w:rPr>
          <w:sz w:val="20"/>
          <w:szCs w:val="20"/>
        </w:rPr>
      </w:pPr>
    </w:p>
    <w:p w14:paraId="7B19347E"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Can LB decide to cancel the Distribution of the VS</w:t>
      </w:r>
      <w:r>
        <w:rPr>
          <w:rFonts w:ascii="Arial" w:eastAsia="Arial" w:hAnsi="Arial" w:cs="Arial"/>
          <w:i/>
          <w:iCs/>
          <w:sz w:val="16"/>
          <w:szCs w:val="16"/>
        </w:rPr>
        <w:t xml:space="preserve"> common stock even if all the conditions have been met?</w:t>
      </w:r>
    </w:p>
    <w:p w14:paraId="10FFCB9A" w14:textId="77777777" w:rsidR="00D1587D" w:rsidRDefault="00D1587D">
      <w:pPr>
        <w:spacing w:line="117" w:lineRule="exact"/>
        <w:rPr>
          <w:sz w:val="20"/>
          <w:szCs w:val="20"/>
        </w:rPr>
      </w:pPr>
    </w:p>
    <w:p w14:paraId="403286DF" w14:textId="77777777" w:rsidR="00D1587D" w:rsidRDefault="00410D07" w:rsidP="00410D07">
      <w:pPr>
        <w:numPr>
          <w:ilvl w:val="0"/>
          <w:numId w:val="231"/>
        </w:numPr>
        <w:tabs>
          <w:tab w:val="left" w:pos="660"/>
        </w:tabs>
        <w:spacing w:line="277" w:lineRule="auto"/>
        <w:ind w:left="660" w:right="539" w:hanging="350"/>
        <w:rPr>
          <w:rFonts w:ascii="Arial" w:eastAsia="Arial" w:hAnsi="Arial" w:cs="Arial"/>
          <w:sz w:val="18"/>
          <w:szCs w:val="18"/>
        </w:rPr>
      </w:pPr>
      <w:r>
        <w:rPr>
          <w:rFonts w:ascii="Arial" w:eastAsia="Arial" w:hAnsi="Arial" w:cs="Arial"/>
          <w:sz w:val="18"/>
          <w:szCs w:val="18"/>
        </w:rPr>
        <w:t>Yes. The LB Board of Directors has the right to terminate, or modify the terms of, the Separation at any time prior to the Distribution, even if all of the conditions to the Distribution are satisfie</w:t>
      </w:r>
      <w:r>
        <w:rPr>
          <w:rFonts w:ascii="Arial" w:eastAsia="Arial" w:hAnsi="Arial" w:cs="Arial"/>
          <w:sz w:val="18"/>
          <w:szCs w:val="18"/>
        </w:rPr>
        <w:t>d.</w:t>
      </w:r>
    </w:p>
    <w:p w14:paraId="6D6CEE21" w14:textId="77777777" w:rsidR="00D1587D" w:rsidRDefault="00D1587D">
      <w:pPr>
        <w:spacing w:line="170" w:lineRule="exact"/>
        <w:rPr>
          <w:sz w:val="20"/>
          <w:szCs w:val="20"/>
        </w:rPr>
      </w:pPr>
    </w:p>
    <w:p w14:paraId="06F84F05"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Do I have appraisal rights?</w:t>
      </w:r>
    </w:p>
    <w:p w14:paraId="7EFC1CFF" w14:textId="77777777" w:rsidR="00D1587D" w:rsidRDefault="00D1587D">
      <w:pPr>
        <w:spacing w:line="117" w:lineRule="exact"/>
        <w:rPr>
          <w:sz w:val="20"/>
          <w:szCs w:val="20"/>
        </w:rPr>
      </w:pPr>
    </w:p>
    <w:p w14:paraId="28F16CF5" w14:textId="77777777" w:rsidR="00D1587D" w:rsidRDefault="00410D07">
      <w:pPr>
        <w:tabs>
          <w:tab w:val="left" w:pos="640"/>
        </w:tabs>
        <w:ind w:left="320"/>
        <w:rPr>
          <w:sz w:val="20"/>
          <w:szCs w:val="20"/>
        </w:rPr>
      </w:pPr>
      <w:r>
        <w:rPr>
          <w:rFonts w:ascii="Arial" w:eastAsia="Arial" w:hAnsi="Arial" w:cs="Arial"/>
          <w:sz w:val="18"/>
          <w:szCs w:val="18"/>
        </w:rPr>
        <w:t>A:</w:t>
      </w:r>
      <w:r>
        <w:rPr>
          <w:sz w:val="20"/>
          <w:szCs w:val="20"/>
        </w:rPr>
        <w:tab/>
      </w:r>
      <w:r>
        <w:rPr>
          <w:rFonts w:ascii="Arial" w:eastAsia="Arial" w:hAnsi="Arial" w:cs="Arial"/>
          <w:sz w:val="16"/>
          <w:szCs w:val="16"/>
        </w:rPr>
        <w:t>No, LB stockholders do not have any appraisal rights in connection with the Separation.</w:t>
      </w:r>
    </w:p>
    <w:p w14:paraId="50EDB278" w14:textId="77777777" w:rsidR="00D1587D" w:rsidRDefault="00D1587D">
      <w:pPr>
        <w:spacing w:line="225" w:lineRule="exact"/>
        <w:rPr>
          <w:sz w:val="20"/>
          <w:szCs w:val="20"/>
        </w:rPr>
      </w:pPr>
    </w:p>
    <w:p w14:paraId="49E479AA"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Will VS incur any debt in connection with the Separation?</w:t>
      </w:r>
    </w:p>
    <w:p w14:paraId="5D1C40F4" w14:textId="77777777" w:rsidR="00D1587D" w:rsidRDefault="00D1587D">
      <w:pPr>
        <w:spacing w:line="117" w:lineRule="exact"/>
        <w:rPr>
          <w:sz w:val="20"/>
          <w:szCs w:val="20"/>
        </w:rPr>
      </w:pPr>
    </w:p>
    <w:p w14:paraId="1FF4B473" w14:textId="77777777" w:rsidR="00D1587D" w:rsidRDefault="00410D07" w:rsidP="00410D07">
      <w:pPr>
        <w:numPr>
          <w:ilvl w:val="0"/>
          <w:numId w:val="232"/>
        </w:numPr>
        <w:tabs>
          <w:tab w:val="left" w:pos="660"/>
        </w:tabs>
        <w:spacing w:line="296" w:lineRule="auto"/>
        <w:ind w:left="660" w:right="359" w:hanging="350"/>
        <w:rPr>
          <w:rFonts w:ascii="Arial" w:eastAsia="Arial" w:hAnsi="Arial" w:cs="Arial"/>
          <w:sz w:val="16"/>
          <w:szCs w:val="16"/>
        </w:rPr>
      </w:pPr>
      <w:r>
        <w:rPr>
          <w:rFonts w:ascii="Arial" w:eastAsia="Arial" w:hAnsi="Arial" w:cs="Arial"/>
          <w:sz w:val="16"/>
          <w:szCs w:val="16"/>
        </w:rPr>
        <w:t xml:space="preserve">Yes. We intend to enter into new financing </w:t>
      </w:r>
      <w:r>
        <w:rPr>
          <w:rFonts w:ascii="Arial" w:eastAsia="Arial" w:hAnsi="Arial" w:cs="Arial"/>
          <w:sz w:val="16"/>
          <w:szCs w:val="16"/>
        </w:rPr>
        <w:t>arrangements in anticipation of the Separation consisting of senior notes and/or term loan facilities and a revolving facility. We expect to incur up to $1.0 billion of new debt from senior notes and/or term loan facilities, the proceeds of which we intend</w:t>
      </w:r>
      <w:r>
        <w:rPr>
          <w:rFonts w:ascii="Arial" w:eastAsia="Arial" w:hAnsi="Arial" w:cs="Arial"/>
          <w:sz w:val="16"/>
          <w:szCs w:val="16"/>
        </w:rPr>
        <w:t xml:space="preserve"> to use to make the LB Cash Payment and to pay related fees and expenses. We also expect to establish a $750 million asset-based revolving facility, which is expected to be undrawn at the Separation. See “The Separation—Incurrence of Debt.”</w:t>
      </w:r>
    </w:p>
    <w:p w14:paraId="09BB5129" w14:textId="77777777" w:rsidR="00D1587D" w:rsidRDefault="00D1587D">
      <w:pPr>
        <w:spacing w:line="53" w:lineRule="exact"/>
        <w:rPr>
          <w:rFonts w:ascii="Arial" w:eastAsia="Arial" w:hAnsi="Arial" w:cs="Arial"/>
          <w:sz w:val="16"/>
          <w:szCs w:val="16"/>
        </w:rPr>
      </w:pPr>
    </w:p>
    <w:p w14:paraId="722539E7" w14:textId="77777777" w:rsidR="00D1587D" w:rsidRDefault="00410D07">
      <w:pPr>
        <w:spacing w:line="255" w:lineRule="auto"/>
        <w:ind w:left="660" w:right="319"/>
        <w:rPr>
          <w:rFonts w:ascii="Arial" w:eastAsia="Arial" w:hAnsi="Arial" w:cs="Arial"/>
          <w:sz w:val="16"/>
          <w:szCs w:val="16"/>
        </w:rPr>
      </w:pPr>
      <w:r>
        <w:rPr>
          <w:rFonts w:ascii="Arial" w:eastAsia="Arial" w:hAnsi="Arial" w:cs="Arial"/>
          <w:sz w:val="18"/>
          <w:szCs w:val="18"/>
        </w:rPr>
        <w:t xml:space="preserve">Following the </w:t>
      </w:r>
      <w:r>
        <w:rPr>
          <w:rFonts w:ascii="Arial" w:eastAsia="Arial" w:hAnsi="Arial" w:cs="Arial"/>
          <w:sz w:val="18"/>
          <w:szCs w:val="18"/>
        </w:rPr>
        <w:t>Separation, our debt obligations could restrict our business and may adversely impact our financial condition, results of operations or cash flows. In addition, the Separation may increase the overall cost of debt funding and decrease the overall debt capa</w:t>
      </w:r>
      <w:r>
        <w:rPr>
          <w:rFonts w:ascii="Arial" w:eastAsia="Arial" w:hAnsi="Arial" w:cs="Arial"/>
          <w:sz w:val="18"/>
          <w:szCs w:val="18"/>
        </w:rPr>
        <w:t>city and commercial credit available to the businesses collectively. Also, our business, financial condition, results of operations and cash flows could be harmed by a deterioration of our credit profile or by factors adversely affecting the credit markets</w:t>
      </w:r>
      <w:r>
        <w:rPr>
          <w:rFonts w:ascii="Arial" w:eastAsia="Arial" w:hAnsi="Arial" w:cs="Arial"/>
          <w:sz w:val="18"/>
          <w:szCs w:val="18"/>
        </w:rPr>
        <w:t xml:space="preserve"> generally. See “Risk Factors—Risks Relating to the Separation.”</w:t>
      </w:r>
    </w:p>
    <w:p w14:paraId="192B52F9" w14:textId="77777777" w:rsidR="00D1587D" w:rsidRDefault="00D1587D">
      <w:pPr>
        <w:spacing w:line="192" w:lineRule="exact"/>
        <w:rPr>
          <w:sz w:val="20"/>
          <w:szCs w:val="20"/>
        </w:rPr>
      </w:pPr>
    </w:p>
    <w:p w14:paraId="2E1ADE45"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Does VS intend to pay cash dividends?</w:t>
      </w:r>
    </w:p>
    <w:p w14:paraId="57CDBF4D" w14:textId="77777777" w:rsidR="00D1587D" w:rsidRDefault="00D1587D">
      <w:pPr>
        <w:spacing w:line="117" w:lineRule="exact"/>
        <w:rPr>
          <w:sz w:val="20"/>
          <w:szCs w:val="20"/>
        </w:rPr>
      </w:pPr>
    </w:p>
    <w:p w14:paraId="0B30DCB2" w14:textId="77777777" w:rsidR="00D1587D" w:rsidRDefault="00410D07" w:rsidP="00410D07">
      <w:pPr>
        <w:numPr>
          <w:ilvl w:val="0"/>
          <w:numId w:val="233"/>
        </w:numPr>
        <w:tabs>
          <w:tab w:val="left" w:pos="660"/>
        </w:tabs>
        <w:spacing w:line="311" w:lineRule="auto"/>
        <w:ind w:left="660" w:right="399" w:hanging="350"/>
        <w:rPr>
          <w:rFonts w:ascii="Arial" w:eastAsia="Arial" w:hAnsi="Arial" w:cs="Arial"/>
          <w:sz w:val="16"/>
          <w:szCs w:val="16"/>
        </w:rPr>
      </w:pPr>
      <w:r>
        <w:rPr>
          <w:rFonts w:ascii="Arial" w:eastAsia="Arial" w:hAnsi="Arial" w:cs="Arial"/>
          <w:sz w:val="16"/>
          <w:szCs w:val="16"/>
        </w:rPr>
        <w:t>We do not currently intend to pay any cash dividends on our capital stock in the foreseeable future. We currently intend to retain all available fun</w:t>
      </w:r>
      <w:r>
        <w:rPr>
          <w:rFonts w:ascii="Arial" w:eastAsia="Arial" w:hAnsi="Arial" w:cs="Arial"/>
          <w:sz w:val="16"/>
          <w:szCs w:val="16"/>
        </w:rPr>
        <w:t>ds and any future earnings to fund the development and expansion of our business. The declaration and amount of any dividends to holders of our common stock will be at the</w:t>
      </w:r>
    </w:p>
    <w:p w14:paraId="6C8F4578" w14:textId="77777777" w:rsidR="00D1587D" w:rsidRDefault="00D1587D">
      <w:pPr>
        <w:spacing w:line="378" w:lineRule="exact"/>
        <w:rPr>
          <w:sz w:val="20"/>
          <w:szCs w:val="20"/>
        </w:rPr>
      </w:pPr>
    </w:p>
    <w:p w14:paraId="4F68FE42" w14:textId="77777777" w:rsidR="00D1587D" w:rsidRDefault="00410D07">
      <w:pPr>
        <w:ind w:right="19"/>
        <w:jc w:val="center"/>
        <w:rPr>
          <w:sz w:val="20"/>
          <w:szCs w:val="20"/>
        </w:rPr>
      </w:pPr>
      <w:r>
        <w:rPr>
          <w:rFonts w:ascii="Arial" w:eastAsia="Arial" w:hAnsi="Arial" w:cs="Arial"/>
          <w:sz w:val="18"/>
          <w:szCs w:val="18"/>
        </w:rPr>
        <w:t>9</w:t>
      </w:r>
    </w:p>
    <w:p w14:paraId="09EF18F3" w14:textId="77777777" w:rsidR="00D1587D" w:rsidRDefault="00410D07">
      <w:pPr>
        <w:spacing w:line="20" w:lineRule="exact"/>
        <w:rPr>
          <w:sz w:val="20"/>
          <w:szCs w:val="20"/>
        </w:rPr>
      </w:pPr>
      <w:r>
        <w:rPr>
          <w:noProof/>
          <w:sz w:val="20"/>
          <w:szCs w:val="20"/>
        </w:rPr>
        <w:drawing>
          <wp:anchor distT="0" distB="0" distL="114300" distR="114300" simplePos="0" relativeHeight="251444224" behindDoc="1" locked="0" layoutInCell="0" allowOverlap="1" wp14:anchorId="3F75B748" wp14:editId="220523A5">
            <wp:simplePos x="0" y="0"/>
            <wp:positionH relativeFrom="column">
              <wp:posOffset>-636905</wp:posOffset>
            </wp:positionH>
            <wp:positionV relativeFrom="paragraph">
              <wp:posOffset>126365</wp:posOffset>
            </wp:positionV>
            <wp:extent cx="6995160" cy="1714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49CD621" w14:textId="77777777" w:rsidR="00D1587D" w:rsidRDefault="00D1587D">
      <w:pPr>
        <w:sectPr w:rsidR="00D1587D">
          <w:pgSz w:w="11900" w:h="16838"/>
          <w:pgMar w:top="265" w:right="1440" w:bottom="1440" w:left="1440" w:header="0" w:footer="0" w:gutter="0"/>
          <w:cols w:space="720" w:equalWidth="0">
            <w:col w:w="9019"/>
          </w:cols>
        </w:sectPr>
      </w:pPr>
    </w:p>
    <w:bookmarkStart w:id="267" w:name="page268"/>
    <w:bookmarkEnd w:id="267"/>
    <w:p w14:paraId="7FCF7E23"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626EFDC" w14:textId="77777777" w:rsidR="00D1587D" w:rsidRDefault="00410D07">
      <w:pPr>
        <w:spacing w:line="20" w:lineRule="exact"/>
        <w:rPr>
          <w:sz w:val="20"/>
          <w:szCs w:val="20"/>
        </w:rPr>
      </w:pPr>
      <w:r>
        <w:rPr>
          <w:noProof/>
          <w:sz w:val="20"/>
          <w:szCs w:val="20"/>
        </w:rPr>
        <w:drawing>
          <wp:anchor distT="0" distB="0" distL="114300" distR="114300" simplePos="0" relativeHeight="251445248" behindDoc="1" locked="0" layoutInCell="0" allowOverlap="1" wp14:anchorId="3A35264B" wp14:editId="240ACB50">
            <wp:simplePos x="0" y="0"/>
            <wp:positionH relativeFrom="column">
              <wp:posOffset>46355</wp:posOffset>
            </wp:positionH>
            <wp:positionV relativeFrom="paragraph">
              <wp:posOffset>90170</wp:posOffset>
            </wp:positionV>
            <wp:extent cx="5653405" cy="692213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8"/>
                    <a:srcRect/>
                    <a:stretch>
                      <a:fillRect/>
                    </a:stretch>
                  </pic:blipFill>
                  <pic:spPr bwMode="auto">
                    <a:xfrm>
                      <a:off x="0" y="0"/>
                      <a:ext cx="5653405" cy="6922135"/>
                    </a:xfrm>
                    <a:prstGeom prst="rect">
                      <a:avLst/>
                    </a:prstGeom>
                    <a:noFill/>
                  </pic:spPr>
                </pic:pic>
              </a:graphicData>
            </a:graphic>
          </wp:anchor>
        </w:drawing>
      </w:r>
    </w:p>
    <w:p w14:paraId="2ECCC189" w14:textId="77777777" w:rsidR="00D1587D" w:rsidRDefault="00D1587D">
      <w:pPr>
        <w:spacing w:line="200" w:lineRule="exact"/>
        <w:rPr>
          <w:sz w:val="20"/>
          <w:szCs w:val="20"/>
        </w:rPr>
      </w:pPr>
    </w:p>
    <w:p w14:paraId="00296CDB" w14:textId="77777777" w:rsidR="00D1587D" w:rsidRDefault="00D1587D">
      <w:pPr>
        <w:spacing w:line="275" w:lineRule="exact"/>
        <w:rPr>
          <w:sz w:val="20"/>
          <w:szCs w:val="20"/>
        </w:rPr>
      </w:pPr>
    </w:p>
    <w:p w14:paraId="5041B6FE" w14:textId="77777777" w:rsidR="00D1587D" w:rsidRDefault="00410D07">
      <w:pPr>
        <w:spacing w:line="259" w:lineRule="auto"/>
        <w:ind w:left="660" w:right="319"/>
        <w:rPr>
          <w:sz w:val="20"/>
          <w:szCs w:val="20"/>
        </w:rPr>
      </w:pPr>
      <w:r>
        <w:rPr>
          <w:rFonts w:ascii="Arial" w:eastAsia="Arial" w:hAnsi="Arial" w:cs="Arial"/>
          <w:sz w:val="18"/>
          <w:szCs w:val="18"/>
        </w:rPr>
        <w:t>discretion of our Board of Directors and will depend upon many factors, including our financial condition, earnings, cash flows, capital requirements of our business, covenants associated with our debt obligations, legal requirements, regulatory constraint</w:t>
      </w:r>
      <w:r>
        <w:rPr>
          <w:rFonts w:ascii="Arial" w:eastAsia="Arial" w:hAnsi="Arial" w:cs="Arial"/>
          <w:sz w:val="18"/>
          <w:szCs w:val="18"/>
        </w:rPr>
        <w:t>s, industry practice and any other factors the Board of Directors deems relevant. See “Dividend Policy.”</w:t>
      </w:r>
    </w:p>
    <w:p w14:paraId="04161947" w14:textId="77777777" w:rsidR="00D1587D" w:rsidRDefault="00D1587D">
      <w:pPr>
        <w:spacing w:line="187" w:lineRule="exact"/>
        <w:rPr>
          <w:sz w:val="20"/>
          <w:szCs w:val="20"/>
        </w:rPr>
      </w:pPr>
    </w:p>
    <w:p w14:paraId="5ED462FA"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Will the Separation affect the trading price of my LB stock?</w:t>
      </w:r>
    </w:p>
    <w:p w14:paraId="14E5F4C7" w14:textId="77777777" w:rsidR="00D1587D" w:rsidRDefault="00D1587D">
      <w:pPr>
        <w:spacing w:line="117" w:lineRule="exact"/>
        <w:rPr>
          <w:sz w:val="20"/>
          <w:szCs w:val="20"/>
        </w:rPr>
      </w:pPr>
    </w:p>
    <w:p w14:paraId="54EC359B" w14:textId="77777777" w:rsidR="00D1587D" w:rsidRDefault="00410D07" w:rsidP="00410D07">
      <w:pPr>
        <w:numPr>
          <w:ilvl w:val="0"/>
          <w:numId w:val="234"/>
        </w:numPr>
        <w:tabs>
          <w:tab w:val="left" w:pos="660"/>
        </w:tabs>
        <w:spacing w:line="259" w:lineRule="auto"/>
        <w:ind w:left="660" w:right="339" w:hanging="350"/>
        <w:jc w:val="both"/>
        <w:rPr>
          <w:rFonts w:ascii="Arial" w:eastAsia="Arial" w:hAnsi="Arial" w:cs="Arial"/>
          <w:sz w:val="18"/>
          <w:szCs w:val="18"/>
        </w:rPr>
      </w:pPr>
      <w:r>
        <w:rPr>
          <w:rFonts w:ascii="Arial" w:eastAsia="Arial" w:hAnsi="Arial" w:cs="Arial"/>
          <w:sz w:val="18"/>
          <w:szCs w:val="18"/>
        </w:rPr>
        <w:t xml:space="preserve">Yes. The trading price of shares of LB common stock immediately following the </w:t>
      </w:r>
      <w:r>
        <w:rPr>
          <w:rFonts w:ascii="Arial" w:eastAsia="Arial" w:hAnsi="Arial" w:cs="Arial"/>
          <w:sz w:val="18"/>
          <w:szCs w:val="18"/>
        </w:rPr>
        <w:t xml:space="preserve">Distribution is expected to be lower than immediately prior to the Distribution because the trading price will no longer reflect the value of the Spin Business. We cannot provide you with any assurance regarding the price at which the LB shares will trade </w:t>
      </w:r>
      <w:r>
        <w:rPr>
          <w:rFonts w:ascii="Arial" w:eastAsia="Arial" w:hAnsi="Arial" w:cs="Arial"/>
          <w:sz w:val="18"/>
          <w:szCs w:val="18"/>
        </w:rPr>
        <w:t>following the Separation.</w:t>
      </w:r>
    </w:p>
    <w:p w14:paraId="04D167CF" w14:textId="77777777" w:rsidR="00D1587D" w:rsidRDefault="00D1587D">
      <w:pPr>
        <w:spacing w:line="187" w:lineRule="exact"/>
        <w:rPr>
          <w:sz w:val="20"/>
          <w:szCs w:val="20"/>
        </w:rPr>
      </w:pPr>
    </w:p>
    <w:p w14:paraId="70882446"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What will happen to outstanding LB equity compensation awards?</w:t>
      </w:r>
    </w:p>
    <w:p w14:paraId="31E4747C" w14:textId="77777777" w:rsidR="00D1587D" w:rsidRDefault="00D1587D">
      <w:pPr>
        <w:spacing w:line="117" w:lineRule="exact"/>
        <w:rPr>
          <w:sz w:val="20"/>
          <w:szCs w:val="20"/>
        </w:rPr>
      </w:pPr>
    </w:p>
    <w:p w14:paraId="245597FC" w14:textId="77777777" w:rsidR="00D1587D" w:rsidRDefault="00410D07" w:rsidP="00410D07">
      <w:pPr>
        <w:numPr>
          <w:ilvl w:val="0"/>
          <w:numId w:val="235"/>
        </w:numPr>
        <w:tabs>
          <w:tab w:val="left" w:pos="660"/>
        </w:tabs>
        <w:spacing w:line="263" w:lineRule="auto"/>
        <w:ind w:left="660" w:right="479" w:hanging="350"/>
        <w:rPr>
          <w:rFonts w:ascii="Arial" w:eastAsia="Arial" w:hAnsi="Arial" w:cs="Arial"/>
          <w:sz w:val="18"/>
          <w:szCs w:val="18"/>
        </w:rPr>
      </w:pPr>
      <w:r>
        <w:rPr>
          <w:rFonts w:ascii="Arial" w:eastAsia="Arial" w:hAnsi="Arial" w:cs="Arial"/>
          <w:sz w:val="18"/>
          <w:szCs w:val="18"/>
        </w:rPr>
        <w:t>In connection with the Separation, outstanding LB equity awards will generally be equitably adjusted in a manner that is intended to preserve the aggregate intrin</w:t>
      </w:r>
      <w:r>
        <w:rPr>
          <w:rFonts w:ascii="Arial" w:eastAsia="Arial" w:hAnsi="Arial" w:cs="Arial"/>
          <w:sz w:val="18"/>
          <w:szCs w:val="18"/>
        </w:rPr>
        <w:t>sic value of such awards as of immediately before and after the Distribution.</w:t>
      </w:r>
    </w:p>
    <w:p w14:paraId="02B45759" w14:textId="77777777" w:rsidR="00D1587D" w:rsidRDefault="00D1587D">
      <w:pPr>
        <w:spacing w:line="75" w:lineRule="exact"/>
        <w:rPr>
          <w:rFonts w:ascii="Arial" w:eastAsia="Arial" w:hAnsi="Arial" w:cs="Arial"/>
          <w:sz w:val="18"/>
          <w:szCs w:val="18"/>
        </w:rPr>
      </w:pPr>
    </w:p>
    <w:p w14:paraId="5B8798AB" w14:textId="77777777" w:rsidR="00D1587D" w:rsidRDefault="00410D07">
      <w:pPr>
        <w:spacing w:line="307" w:lineRule="auto"/>
        <w:ind w:left="660" w:right="299"/>
        <w:rPr>
          <w:rFonts w:ascii="Arial" w:eastAsia="Arial" w:hAnsi="Arial" w:cs="Arial"/>
          <w:sz w:val="18"/>
          <w:szCs w:val="18"/>
        </w:rPr>
      </w:pPr>
      <w:r>
        <w:rPr>
          <w:rFonts w:ascii="Arial" w:eastAsia="Arial" w:hAnsi="Arial" w:cs="Arial"/>
          <w:sz w:val="16"/>
          <w:szCs w:val="16"/>
        </w:rPr>
        <w:t xml:space="preserve">Specifically, we intend that, in connection with the Separation, (i) outstanding LB equity awards held by individuals who will continue to be employed by or provide services to </w:t>
      </w:r>
      <w:r>
        <w:rPr>
          <w:rFonts w:ascii="Arial" w:eastAsia="Arial" w:hAnsi="Arial" w:cs="Arial"/>
          <w:sz w:val="16"/>
          <w:szCs w:val="16"/>
        </w:rPr>
        <w:t>LB as well as former VS employees will be equitably adjusted to reflect the difference in the value of LB common stock before and after the Distribution in a manner that is intended to preserve the overall intrinsic value of the awards by taking into accou</w:t>
      </w:r>
      <w:r>
        <w:rPr>
          <w:rFonts w:ascii="Arial" w:eastAsia="Arial" w:hAnsi="Arial" w:cs="Arial"/>
          <w:sz w:val="16"/>
          <w:szCs w:val="16"/>
        </w:rPr>
        <w:t>nt the relative value of LB common stock before and after the Distribution, and (ii) outstanding LB equity awards held by individuals who are then-currently employed by or otherwise providing services to VS, or whose employment or engagement will be transf</w:t>
      </w:r>
      <w:r>
        <w:rPr>
          <w:rFonts w:ascii="Arial" w:eastAsia="Arial" w:hAnsi="Arial" w:cs="Arial"/>
          <w:sz w:val="16"/>
          <w:szCs w:val="16"/>
        </w:rPr>
        <w:t>erred to VS in connection with and prior to the Separation, will be converted into equity awards that will be settled in shares of VS common stock in a manner intended to equitably preserve the overall intrinsic value of the converted equity awards by taki</w:t>
      </w:r>
      <w:r>
        <w:rPr>
          <w:rFonts w:ascii="Arial" w:eastAsia="Arial" w:hAnsi="Arial" w:cs="Arial"/>
          <w:sz w:val="16"/>
          <w:szCs w:val="16"/>
        </w:rPr>
        <w:t>ng into account the relative value of LB common stock before the Distribution and the value of VS common stock after the Distribution. For additional details, see “Treatment of Outstanding Equity Compensation Awards.”</w:t>
      </w:r>
    </w:p>
    <w:p w14:paraId="7BF8BFD2" w14:textId="77777777" w:rsidR="00D1587D" w:rsidRDefault="00D1587D">
      <w:pPr>
        <w:spacing w:line="152" w:lineRule="exact"/>
        <w:rPr>
          <w:sz w:val="20"/>
          <w:szCs w:val="20"/>
        </w:rPr>
      </w:pPr>
    </w:p>
    <w:p w14:paraId="10E3DB1F"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What will the relationship between</w:t>
      </w:r>
      <w:r>
        <w:rPr>
          <w:rFonts w:ascii="Arial" w:eastAsia="Arial" w:hAnsi="Arial" w:cs="Arial"/>
          <w:i/>
          <w:iCs/>
          <w:sz w:val="16"/>
          <w:szCs w:val="16"/>
        </w:rPr>
        <w:t xml:space="preserve"> LB and VS be following the Separation?</w:t>
      </w:r>
    </w:p>
    <w:p w14:paraId="1059E33F" w14:textId="77777777" w:rsidR="00D1587D" w:rsidRDefault="00D1587D">
      <w:pPr>
        <w:spacing w:line="117" w:lineRule="exact"/>
        <w:rPr>
          <w:sz w:val="20"/>
          <w:szCs w:val="20"/>
        </w:rPr>
      </w:pPr>
    </w:p>
    <w:p w14:paraId="636F9717" w14:textId="77777777" w:rsidR="00D1587D" w:rsidRDefault="00410D07" w:rsidP="00410D07">
      <w:pPr>
        <w:numPr>
          <w:ilvl w:val="0"/>
          <w:numId w:val="236"/>
        </w:numPr>
        <w:tabs>
          <w:tab w:val="left" w:pos="660"/>
        </w:tabs>
        <w:spacing w:line="254" w:lineRule="auto"/>
        <w:ind w:left="660" w:right="299" w:hanging="350"/>
        <w:rPr>
          <w:rFonts w:ascii="Arial" w:eastAsia="Arial" w:hAnsi="Arial" w:cs="Arial"/>
          <w:sz w:val="18"/>
          <w:szCs w:val="18"/>
        </w:rPr>
      </w:pPr>
      <w:r>
        <w:rPr>
          <w:rFonts w:ascii="Arial" w:eastAsia="Arial" w:hAnsi="Arial" w:cs="Arial"/>
          <w:sz w:val="18"/>
          <w:szCs w:val="18"/>
        </w:rPr>
        <w:t xml:space="preserve">After the Separation, LB will not own any shares of VS common stock, and each of LB and VS will be independent, publicly traded companies with their own management teams and boards of directors. However, in </w:t>
      </w:r>
      <w:r>
        <w:rPr>
          <w:rFonts w:ascii="Arial" w:eastAsia="Arial" w:hAnsi="Arial" w:cs="Arial"/>
          <w:sz w:val="18"/>
          <w:szCs w:val="18"/>
        </w:rPr>
        <w:t>connection with the Separation, we will enter into a number of agreements with LB that, among other things, govern the Separation and certain transitional services and other commercial arrangements and allocate responsibilities for obligations arising befo</w:t>
      </w:r>
      <w:r>
        <w:rPr>
          <w:rFonts w:ascii="Arial" w:eastAsia="Arial" w:hAnsi="Arial" w:cs="Arial"/>
          <w:sz w:val="18"/>
          <w:szCs w:val="18"/>
        </w:rPr>
        <w:t>re and after the Separation, including, among others, obligations relating to transition services, employee matters, tax matters and certain commercial arrangements. See “The Separation—Agreements with LB.”</w:t>
      </w:r>
    </w:p>
    <w:p w14:paraId="4B0437D4" w14:textId="77777777" w:rsidR="00D1587D" w:rsidRDefault="00D1587D">
      <w:pPr>
        <w:spacing w:line="195" w:lineRule="exact"/>
        <w:rPr>
          <w:sz w:val="20"/>
          <w:szCs w:val="20"/>
        </w:rPr>
      </w:pPr>
    </w:p>
    <w:p w14:paraId="7BDE9E1F"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Who is the transfer agent for VS common stock</w:t>
      </w:r>
      <w:r>
        <w:rPr>
          <w:rFonts w:ascii="Arial" w:eastAsia="Arial" w:hAnsi="Arial" w:cs="Arial"/>
          <w:i/>
          <w:iCs/>
          <w:sz w:val="16"/>
          <w:szCs w:val="16"/>
        </w:rPr>
        <w:t>?</w:t>
      </w:r>
    </w:p>
    <w:p w14:paraId="266510DC" w14:textId="77777777" w:rsidR="00D1587D" w:rsidRDefault="00D1587D">
      <w:pPr>
        <w:spacing w:line="117" w:lineRule="exact"/>
        <w:rPr>
          <w:sz w:val="20"/>
          <w:szCs w:val="20"/>
        </w:rPr>
      </w:pPr>
    </w:p>
    <w:p w14:paraId="0E449CAB" w14:textId="77777777" w:rsidR="00D1587D" w:rsidRDefault="00410D07" w:rsidP="00410D07">
      <w:pPr>
        <w:numPr>
          <w:ilvl w:val="0"/>
          <w:numId w:val="237"/>
        </w:numPr>
        <w:tabs>
          <w:tab w:val="left" w:pos="660"/>
        </w:tabs>
        <w:spacing w:line="259" w:lineRule="auto"/>
        <w:ind w:left="660" w:right="359" w:hanging="350"/>
        <w:rPr>
          <w:rFonts w:ascii="Arial" w:eastAsia="Arial" w:hAnsi="Arial" w:cs="Arial"/>
          <w:sz w:val="18"/>
          <w:szCs w:val="18"/>
        </w:rPr>
      </w:pPr>
      <w:r>
        <w:rPr>
          <w:rFonts w:ascii="Arial" w:eastAsia="Arial" w:hAnsi="Arial" w:cs="Arial"/>
          <w:sz w:val="18"/>
          <w:szCs w:val="18"/>
        </w:rPr>
        <w:t>AST will be the transfer agent for VS common stock. AST’s mailing address is C/O: Shareholder Services, 6201 15th Avenue, Brooklyn, New York 11219, United States and AST’s phone number for stockholders in the U.S., Canada or Puerto Rico is Toll Free 1-8</w:t>
      </w:r>
      <w:r>
        <w:rPr>
          <w:rFonts w:ascii="Arial" w:eastAsia="Arial" w:hAnsi="Arial" w:cs="Arial"/>
          <w:sz w:val="18"/>
          <w:szCs w:val="18"/>
        </w:rPr>
        <w:t>77-248-6417 and for stockholders from outside the U.S., Canada and Puerto Rico is 1-718-921-8317.</w:t>
      </w:r>
    </w:p>
    <w:p w14:paraId="793B104D" w14:textId="77777777" w:rsidR="00D1587D" w:rsidRDefault="00D1587D">
      <w:pPr>
        <w:spacing w:line="187" w:lineRule="exact"/>
        <w:rPr>
          <w:sz w:val="20"/>
          <w:szCs w:val="20"/>
        </w:rPr>
      </w:pPr>
    </w:p>
    <w:p w14:paraId="69ED6569"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Who is the distribution agent for the Distribution?</w:t>
      </w:r>
    </w:p>
    <w:p w14:paraId="53586EB2" w14:textId="77777777" w:rsidR="00D1587D" w:rsidRDefault="00D1587D">
      <w:pPr>
        <w:spacing w:line="117" w:lineRule="exact"/>
        <w:rPr>
          <w:sz w:val="20"/>
          <w:szCs w:val="20"/>
        </w:rPr>
      </w:pPr>
    </w:p>
    <w:p w14:paraId="029B7EAE" w14:textId="77777777" w:rsidR="00D1587D" w:rsidRDefault="00410D07">
      <w:pPr>
        <w:tabs>
          <w:tab w:val="left" w:pos="640"/>
        </w:tabs>
        <w:ind w:left="320"/>
        <w:rPr>
          <w:sz w:val="20"/>
          <w:szCs w:val="20"/>
        </w:rPr>
      </w:pPr>
      <w:r>
        <w:rPr>
          <w:rFonts w:ascii="Arial" w:eastAsia="Arial" w:hAnsi="Arial" w:cs="Arial"/>
          <w:sz w:val="18"/>
          <w:szCs w:val="18"/>
        </w:rPr>
        <w:t>A:</w:t>
      </w:r>
      <w:r>
        <w:rPr>
          <w:sz w:val="20"/>
          <w:szCs w:val="20"/>
        </w:rPr>
        <w:tab/>
      </w:r>
      <w:r>
        <w:rPr>
          <w:rFonts w:ascii="Arial" w:eastAsia="Arial" w:hAnsi="Arial" w:cs="Arial"/>
          <w:sz w:val="16"/>
          <w:szCs w:val="16"/>
        </w:rPr>
        <w:t>American Stock Transfer, or AST.</w:t>
      </w:r>
    </w:p>
    <w:p w14:paraId="22578EC9" w14:textId="77777777" w:rsidR="00D1587D" w:rsidRDefault="00D1587D">
      <w:pPr>
        <w:spacing w:line="200" w:lineRule="exact"/>
        <w:rPr>
          <w:sz w:val="20"/>
          <w:szCs w:val="20"/>
        </w:rPr>
      </w:pPr>
    </w:p>
    <w:p w14:paraId="140D89FE" w14:textId="77777777" w:rsidR="00D1587D" w:rsidRDefault="00D1587D">
      <w:pPr>
        <w:spacing w:line="255" w:lineRule="exact"/>
        <w:rPr>
          <w:sz w:val="20"/>
          <w:szCs w:val="20"/>
        </w:rPr>
      </w:pPr>
    </w:p>
    <w:p w14:paraId="66739F00" w14:textId="77777777" w:rsidR="00D1587D" w:rsidRDefault="00410D07">
      <w:pPr>
        <w:ind w:right="19"/>
        <w:jc w:val="center"/>
        <w:rPr>
          <w:sz w:val="20"/>
          <w:szCs w:val="20"/>
        </w:rPr>
      </w:pPr>
      <w:r>
        <w:rPr>
          <w:rFonts w:ascii="Arial" w:eastAsia="Arial" w:hAnsi="Arial" w:cs="Arial"/>
          <w:sz w:val="18"/>
          <w:szCs w:val="18"/>
        </w:rPr>
        <w:t>10</w:t>
      </w:r>
    </w:p>
    <w:p w14:paraId="7CA7B902" w14:textId="77777777" w:rsidR="00D1587D" w:rsidRDefault="00410D07">
      <w:pPr>
        <w:spacing w:line="20" w:lineRule="exact"/>
        <w:rPr>
          <w:sz w:val="20"/>
          <w:szCs w:val="20"/>
        </w:rPr>
      </w:pPr>
      <w:r>
        <w:rPr>
          <w:noProof/>
          <w:sz w:val="20"/>
          <w:szCs w:val="20"/>
        </w:rPr>
        <w:drawing>
          <wp:anchor distT="0" distB="0" distL="114300" distR="114300" simplePos="0" relativeHeight="251446272" behindDoc="1" locked="0" layoutInCell="0" allowOverlap="1" wp14:anchorId="4D267B27" wp14:editId="584F5EC2">
            <wp:simplePos x="0" y="0"/>
            <wp:positionH relativeFrom="column">
              <wp:posOffset>-636905</wp:posOffset>
            </wp:positionH>
            <wp:positionV relativeFrom="paragraph">
              <wp:posOffset>134620</wp:posOffset>
            </wp:positionV>
            <wp:extent cx="6995160" cy="17145"/>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9718527" w14:textId="77777777" w:rsidR="00D1587D" w:rsidRDefault="00D1587D">
      <w:pPr>
        <w:sectPr w:rsidR="00D1587D">
          <w:pgSz w:w="11900" w:h="16838"/>
          <w:pgMar w:top="265" w:right="1440" w:bottom="1440" w:left="1440" w:header="0" w:footer="0" w:gutter="0"/>
          <w:cols w:space="720" w:equalWidth="0">
            <w:col w:w="9019"/>
          </w:cols>
        </w:sectPr>
      </w:pPr>
    </w:p>
    <w:bookmarkStart w:id="268" w:name="page269"/>
    <w:bookmarkEnd w:id="268"/>
    <w:p w14:paraId="230DF3B9"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94BCFC7" w14:textId="77777777" w:rsidR="00D1587D" w:rsidRDefault="00410D07">
      <w:pPr>
        <w:spacing w:line="20" w:lineRule="exact"/>
        <w:rPr>
          <w:sz w:val="20"/>
          <w:szCs w:val="20"/>
        </w:rPr>
      </w:pPr>
      <w:r>
        <w:rPr>
          <w:noProof/>
          <w:sz w:val="20"/>
          <w:szCs w:val="20"/>
        </w:rPr>
        <w:drawing>
          <wp:anchor distT="0" distB="0" distL="114300" distR="114300" simplePos="0" relativeHeight="251447296" behindDoc="1" locked="0" layoutInCell="0" allowOverlap="1" wp14:anchorId="77F31F46" wp14:editId="4503C8B9">
            <wp:simplePos x="0" y="0"/>
            <wp:positionH relativeFrom="column">
              <wp:posOffset>46355</wp:posOffset>
            </wp:positionH>
            <wp:positionV relativeFrom="paragraph">
              <wp:posOffset>90170</wp:posOffset>
            </wp:positionV>
            <wp:extent cx="5653405" cy="3818890"/>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9"/>
                    <a:srcRect/>
                    <a:stretch>
                      <a:fillRect/>
                    </a:stretch>
                  </pic:blipFill>
                  <pic:spPr bwMode="auto">
                    <a:xfrm>
                      <a:off x="0" y="0"/>
                      <a:ext cx="5653405" cy="3818890"/>
                    </a:xfrm>
                    <a:prstGeom prst="rect">
                      <a:avLst/>
                    </a:prstGeom>
                    <a:noFill/>
                  </pic:spPr>
                </pic:pic>
              </a:graphicData>
            </a:graphic>
          </wp:anchor>
        </w:drawing>
      </w:r>
    </w:p>
    <w:p w14:paraId="1C6F01C0" w14:textId="77777777" w:rsidR="00D1587D" w:rsidRDefault="00D1587D">
      <w:pPr>
        <w:spacing w:line="200" w:lineRule="exact"/>
        <w:rPr>
          <w:sz w:val="20"/>
          <w:szCs w:val="20"/>
        </w:rPr>
      </w:pPr>
    </w:p>
    <w:p w14:paraId="69A2F146" w14:textId="77777777" w:rsidR="00D1587D" w:rsidRDefault="00D1587D">
      <w:pPr>
        <w:spacing w:line="275" w:lineRule="exact"/>
        <w:rPr>
          <w:sz w:val="20"/>
          <w:szCs w:val="20"/>
        </w:rPr>
      </w:pPr>
    </w:p>
    <w:p w14:paraId="2B0EF20F" w14:textId="77777777" w:rsidR="00D1587D" w:rsidRDefault="00410D07">
      <w:pPr>
        <w:tabs>
          <w:tab w:val="left" w:pos="640"/>
        </w:tabs>
        <w:ind w:left="320"/>
        <w:rPr>
          <w:sz w:val="20"/>
          <w:szCs w:val="20"/>
        </w:rPr>
      </w:pPr>
      <w:r>
        <w:rPr>
          <w:rFonts w:ascii="Arial" w:eastAsia="Arial" w:hAnsi="Arial" w:cs="Arial"/>
          <w:i/>
          <w:iCs/>
          <w:sz w:val="18"/>
          <w:szCs w:val="18"/>
        </w:rPr>
        <w:t>Q:</w:t>
      </w:r>
      <w:r>
        <w:rPr>
          <w:sz w:val="20"/>
          <w:szCs w:val="20"/>
        </w:rPr>
        <w:tab/>
      </w:r>
      <w:r>
        <w:rPr>
          <w:rFonts w:ascii="Arial" w:eastAsia="Arial" w:hAnsi="Arial" w:cs="Arial"/>
          <w:i/>
          <w:iCs/>
          <w:sz w:val="16"/>
          <w:szCs w:val="16"/>
        </w:rPr>
        <w:t>Who can I contact for more information?</w:t>
      </w:r>
    </w:p>
    <w:p w14:paraId="7768E4F0" w14:textId="77777777" w:rsidR="00D1587D" w:rsidRDefault="00D1587D">
      <w:pPr>
        <w:spacing w:line="117" w:lineRule="exact"/>
        <w:rPr>
          <w:sz w:val="20"/>
          <w:szCs w:val="20"/>
        </w:rPr>
      </w:pPr>
    </w:p>
    <w:p w14:paraId="0E23D3EF" w14:textId="77777777" w:rsidR="00D1587D" w:rsidRDefault="00410D07" w:rsidP="00410D07">
      <w:pPr>
        <w:numPr>
          <w:ilvl w:val="0"/>
          <w:numId w:val="238"/>
        </w:numPr>
        <w:tabs>
          <w:tab w:val="left" w:pos="660"/>
        </w:tabs>
        <w:ind w:left="660" w:hanging="350"/>
        <w:rPr>
          <w:rFonts w:ascii="Arial" w:eastAsia="Arial" w:hAnsi="Arial" w:cs="Arial"/>
          <w:sz w:val="16"/>
          <w:szCs w:val="16"/>
        </w:rPr>
      </w:pPr>
      <w:r>
        <w:rPr>
          <w:rFonts w:ascii="Arial" w:eastAsia="Arial" w:hAnsi="Arial" w:cs="Arial"/>
          <w:sz w:val="16"/>
          <w:szCs w:val="16"/>
        </w:rPr>
        <w:t>If you have questions relating to the mechanics of the Distribution, you should contact the distribution agent:</w:t>
      </w:r>
    </w:p>
    <w:p w14:paraId="0F863E56" w14:textId="77777777" w:rsidR="00D1587D" w:rsidRDefault="00D1587D">
      <w:pPr>
        <w:spacing w:line="180" w:lineRule="exact"/>
        <w:rPr>
          <w:rFonts w:ascii="Arial" w:eastAsia="Arial" w:hAnsi="Arial" w:cs="Arial"/>
          <w:sz w:val="16"/>
          <w:szCs w:val="16"/>
        </w:rPr>
      </w:pPr>
    </w:p>
    <w:p w14:paraId="2C1219CC" w14:textId="77777777" w:rsidR="00D1587D" w:rsidRDefault="00410D07">
      <w:pPr>
        <w:spacing w:line="268" w:lineRule="auto"/>
        <w:ind w:left="660" w:right="6359"/>
        <w:rPr>
          <w:rFonts w:ascii="Arial" w:eastAsia="Arial" w:hAnsi="Arial" w:cs="Arial"/>
          <w:sz w:val="16"/>
          <w:szCs w:val="16"/>
        </w:rPr>
      </w:pPr>
      <w:r>
        <w:rPr>
          <w:rFonts w:ascii="Arial" w:eastAsia="Arial" w:hAnsi="Arial" w:cs="Arial"/>
          <w:sz w:val="17"/>
          <w:szCs w:val="17"/>
        </w:rPr>
        <w:t xml:space="preserve">American Stock Transfer C/O: </w:t>
      </w:r>
      <w:r>
        <w:rPr>
          <w:rFonts w:ascii="Arial" w:eastAsia="Arial" w:hAnsi="Arial" w:cs="Arial"/>
          <w:sz w:val="17"/>
          <w:szCs w:val="17"/>
        </w:rPr>
        <w:t>Shareholder Services 6201 15th Avenue Brooklyn, New York 11219 United States</w:t>
      </w:r>
    </w:p>
    <w:p w14:paraId="4D74758F" w14:textId="77777777" w:rsidR="00D1587D" w:rsidRDefault="00D1587D">
      <w:pPr>
        <w:spacing w:line="2" w:lineRule="exact"/>
        <w:rPr>
          <w:rFonts w:ascii="Arial" w:eastAsia="Arial" w:hAnsi="Arial" w:cs="Arial"/>
          <w:sz w:val="16"/>
          <w:szCs w:val="16"/>
        </w:rPr>
      </w:pPr>
    </w:p>
    <w:p w14:paraId="07CECF9C" w14:textId="77777777" w:rsidR="00D1587D" w:rsidRDefault="00410D07">
      <w:pPr>
        <w:ind w:left="660"/>
        <w:rPr>
          <w:rFonts w:ascii="Arial" w:eastAsia="Arial" w:hAnsi="Arial" w:cs="Arial"/>
          <w:sz w:val="16"/>
          <w:szCs w:val="16"/>
        </w:rPr>
      </w:pPr>
      <w:r>
        <w:rPr>
          <w:rFonts w:ascii="Arial" w:eastAsia="Arial" w:hAnsi="Arial" w:cs="Arial"/>
          <w:sz w:val="18"/>
          <w:szCs w:val="18"/>
        </w:rPr>
        <w:t>Toll Free: 1-877-248-6417</w:t>
      </w:r>
    </w:p>
    <w:p w14:paraId="23FF534A" w14:textId="77777777" w:rsidR="00D1587D" w:rsidRDefault="00D1587D">
      <w:pPr>
        <w:spacing w:line="9" w:lineRule="exact"/>
        <w:rPr>
          <w:rFonts w:ascii="Arial" w:eastAsia="Arial" w:hAnsi="Arial" w:cs="Arial"/>
          <w:sz w:val="16"/>
          <w:szCs w:val="16"/>
        </w:rPr>
      </w:pPr>
    </w:p>
    <w:p w14:paraId="152AF987" w14:textId="77777777" w:rsidR="00D1587D" w:rsidRDefault="00410D07">
      <w:pPr>
        <w:ind w:left="660"/>
        <w:rPr>
          <w:rFonts w:ascii="Arial" w:eastAsia="Arial" w:hAnsi="Arial" w:cs="Arial"/>
          <w:sz w:val="16"/>
          <w:szCs w:val="16"/>
        </w:rPr>
      </w:pPr>
      <w:r>
        <w:rPr>
          <w:rFonts w:ascii="Arial" w:eastAsia="Arial" w:hAnsi="Arial" w:cs="Arial"/>
          <w:sz w:val="18"/>
          <w:szCs w:val="18"/>
        </w:rPr>
        <w:t>International: 1-718-921-8317</w:t>
      </w:r>
    </w:p>
    <w:p w14:paraId="2CB37A00" w14:textId="77777777" w:rsidR="00D1587D" w:rsidRDefault="00D1587D">
      <w:pPr>
        <w:spacing w:line="143" w:lineRule="exact"/>
        <w:rPr>
          <w:sz w:val="20"/>
          <w:szCs w:val="20"/>
        </w:rPr>
      </w:pPr>
    </w:p>
    <w:p w14:paraId="7C5C1030" w14:textId="77777777" w:rsidR="00D1587D" w:rsidRDefault="00410D07">
      <w:pPr>
        <w:ind w:left="320"/>
        <w:rPr>
          <w:sz w:val="20"/>
          <w:szCs w:val="20"/>
        </w:rPr>
      </w:pPr>
      <w:r>
        <w:rPr>
          <w:rFonts w:ascii="Arial" w:eastAsia="Arial" w:hAnsi="Arial" w:cs="Arial"/>
          <w:sz w:val="16"/>
          <w:szCs w:val="16"/>
        </w:rPr>
        <w:t>Before the Separation, if you have questions relating to the transactions described herein, you should contact LB at:</w:t>
      </w:r>
    </w:p>
    <w:p w14:paraId="72E5F87F" w14:textId="77777777" w:rsidR="00D1587D" w:rsidRDefault="00D1587D">
      <w:pPr>
        <w:spacing w:line="194" w:lineRule="exact"/>
        <w:rPr>
          <w:sz w:val="20"/>
          <w:szCs w:val="20"/>
        </w:rPr>
      </w:pPr>
    </w:p>
    <w:p w14:paraId="7B7B1219" w14:textId="77777777" w:rsidR="00D1587D" w:rsidRDefault="00410D07">
      <w:pPr>
        <w:ind w:left="660"/>
        <w:rPr>
          <w:sz w:val="20"/>
          <w:szCs w:val="20"/>
        </w:rPr>
      </w:pPr>
      <w:r>
        <w:rPr>
          <w:rFonts w:ascii="Arial" w:eastAsia="Arial" w:hAnsi="Arial" w:cs="Arial"/>
          <w:sz w:val="18"/>
          <w:szCs w:val="18"/>
        </w:rPr>
        <w:t>A</w:t>
      </w:r>
      <w:r>
        <w:rPr>
          <w:rFonts w:ascii="Arial" w:eastAsia="Arial" w:hAnsi="Arial" w:cs="Arial"/>
          <w:sz w:val="18"/>
          <w:szCs w:val="18"/>
        </w:rPr>
        <w:t>mie Preston</w:t>
      </w:r>
    </w:p>
    <w:p w14:paraId="3B7253ED" w14:textId="77777777" w:rsidR="00D1587D" w:rsidRDefault="00D1587D">
      <w:pPr>
        <w:spacing w:line="23" w:lineRule="exact"/>
        <w:rPr>
          <w:sz w:val="20"/>
          <w:szCs w:val="20"/>
        </w:rPr>
      </w:pPr>
    </w:p>
    <w:p w14:paraId="2C0A74E7" w14:textId="77777777" w:rsidR="00D1587D" w:rsidRDefault="00410D07">
      <w:pPr>
        <w:ind w:left="660"/>
        <w:rPr>
          <w:sz w:val="20"/>
          <w:szCs w:val="20"/>
        </w:rPr>
      </w:pPr>
      <w:r>
        <w:rPr>
          <w:rFonts w:ascii="Arial" w:eastAsia="Arial" w:hAnsi="Arial" w:cs="Arial"/>
          <w:sz w:val="18"/>
          <w:szCs w:val="18"/>
        </w:rPr>
        <w:t>L Brands, Inc.</w:t>
      </w:r>
    </w:p>
    <w:p w14:paraId="28339889" w14:textId="77777777" w:rsidR="00D1587D" w:rsidRDefault="00D1587D">
      <w:pPr>
        <w:spacing w:line="9" w:lineRule="exact"/>
        <w:rPr>
          <w:sz w:val="20"/>
          <w:szCs w:val="20"/>
        </w:rPr>
      </w:pPr>
    </w:p>
    <w:p w14:paraId="5E6F98B5" w14:textId="77777777" w:rsidR="00D1587D" w:rsidRDefault="00410D07">
      <w:pPr>
        <w:ind w:left="660"/>
        <w:rPr>
          <w:sz w:val="20"/>
          <w:szCs w:val="20"/>
        </w:rPr>
      </w:pPr>
      <w:r>
        <w:rPr>
          <w:rFonts w:ascii="Arial" w:eastAsia="Arial" w:hAnsi="Arial" w:cs="Arial"/>
          <w:sz w:val="18"/>
          <w:szCs w:val="18"/>
        </w:rPr>
        <w:t>Three Limited Parkway</w:t>
      </w:r>
    </w:p>
    <w:p w14:paraId="7A4248E4" w14:textId="77777777" w:rsidR="00D1587D" w:rsidRDefault="00D1587D">
      <w:pPr>
        <w:spacing w:line="9" w:lineRule="exact"/>
        <w:rPr>
          <w:sz w:val="20"/>
          <w:szCs w:val="20"/>
        </w:rPr>
      </w:pPr>
    </w:p>
    <w:p w14:paraId="5BF35DAB" w14:textId="77777777" w:rsidR="00D1587D" w:rsidRDefault="00410D07">
      <w:pPr>
        <w:ind w:left="660"/>
        <w:rPr>
          <w:sz w:val="20"/>
          <w:szCs w:val="20"/>
        </w:rPr>
      </w:pPr>
      <w:r>
        <w:rPr>
          <w:rFonts w:ascii="Arial" w:eastAsia="Arial" w:hAnsi="Arial" w:cs="Arial"/>
          <w:sz w:val="18"/>
          <w:szCs w:val="18"/>
        </w:rPr>
        <w:t>Columbus, Ohio 43230</w:t>
      </w:r>
    </w:p>
    <w:p w14:paraId="225D594A" w14:textId="77777777" w:rsidR="00D1587D" w:rsidRDefault="00D1587D">
      <w:pPr>
        <w:spacing w:line="9" w:lineRule="exact"/>
        <w:rPr>
          <w:sz w:val="20"/>
          <w:szCs w:val="20"/>
        </w:rPr>
      </w:pPr>
    </w:p>
    <w:p w14:paraId="7237427F" w14:textId="77777777" w:rsidR="00D1587D" w:rsidRDefault="00410D07">
      <w:pPr>
        <w:ind w:left="660"/>
        <w:rPr>
          <w:sz w:val="20"/>
          <w:szCs w:val="20"/>
        </w:rPr>
      </w:pPr>
      <w:r>
        <w:rPr>
          <w:rFonts w:ascii="Arial" w:eastAsia="Arial" w:hAnsi="Arial" w:cs="Arial"/>
          <w:sz w:val="18"/>
          <w:szCs w:val="18"/>
        </w:rPr>
        <w:t>1-614-415-6704</w:t>
      </w:r>
    </w:p>
    <w:p w14:paraId="4CFF0170" w14:textId="77777777" w:rsidR="00D1587D" w:rsidRDefault="00D1587D">
      <w:pPr>
        <w:spacing w:line="143" w:lineRule="exact"/>
        <w:rPr>
          <w:sz w:val="20"/>
          <w:szCs w:val="20"/>
        </w:rPr>
      </w:pPr>
    </w:p>
    <w:p w14:paraId="6DE716E7" w14:textId="77777777" w:rsidR="00D1587D" w:rsidRDefault="00410D07">
      <w:pPr>
        <w:ind w:left="320"/>
        <w:rPr>
          <w:sz w:val="20"/>
          <w:szCs w:val="20"/>
        </w:rPr>
      </w:pPr>
      <w:r>
        <w:rPr>
          <w:rFonts w:ascii="Arial" w:eastAsia="Arial" w:hAnsi="Arial" w:cs="Arial"/>
          <w:sz w:val="16"/>
          <w:szCs w:val="16"/>
        </w:rPr>
        <w:t>After the Separation, if you have questions relating to the transactions described herein, you should contact VS at:</w:t>
      </w:r>
    </w:p>
    <w:p w14:paraId="5566875D" w14:textId="77777777" w:rsidR="00D1587D" w:rsidRDefault="00D1587D">
      <w:pPr>
        <w:spacing w:line="181" w:lineRule="exact"/>
        <w:rPr>
          <w:sz w:val="20"/>
          <w:szCs w:val="20"/>
        </w:rPr>
      </w:pPr>
    </w:p>
    <w:p w14:paraId="5963E6E8" w14:textId="77777777" w:rsidR="00D1587D" w:rsidRDefault="00410D07">
      <w:pPr>
        <w:ind w:left="660"/>
        <w:rPr>
          <w:sz w:val="20"/>
          <w:szCs w:val="20"/>
        </w:rPr>
      </w:pPr>
      <w:r>
        <w:rPr>
          <w:rFonts w:ascii="Arial" w:eastAsia="Arial" w:hAnsi="Arial" w:cs="Arial"/>
          <w:sz w:val="18"/>
          <w:szCs w:val="18"/>
        </w:rPr>
        <w:t>Jason Ware</w:t>
      </w:r>
    </w:p>
    <w:p w14:paraId="689E303D" w14:textId="77777777" w:rsidR="00D1587D" w:rsidRDefault="00D1587D">
      <w:pPr>
        <w:spacing w:line="23" w:lineRule="exact"/>
        <w:rPr>
          <w:sz w:val="20"/>
          <w:szCs w:val="20"/>
        </w:rPr>
      </w:pPr>
    </w:p>
    <w:p w14:paraId="17AD8BD3" w14:textId="77777777" w:rsidR="00D1587D" w:rsidRDefault="00410D07">
      <w:pPr>
        <w:ind w:left="660"/>
        <w:rPr>
          <w:sz w:val="20"/>
          <w:szCs w:val="20"/>
        </w:rPr>
      </w:pPr>
      <w:r>
        <w:rPr>
          <w:rFonts w:ascii="Arial" w:eastAsia="Arial" w:hAnsi="Arial" w:cs="Arial"/>
          <w:sz w:val="18"/>
          <w:szCs w:val="18"/>
        </w:rPr>
        <w:t>Victoria’s Secret &amp; Co.</w:t>
      </w:r>
    </w:p>
    <w:p w14:paraId="77D9D432" w14:textId="77777777" w:rsidR="00D1587D" w:rsidRDefault="00D1587D">
      <w:pPr>
        <w:spacing w:line="9" w:lineRule="exact"/>
        <w:rPr>
          <w:sz w:val="20"/>
          <w:szCs w:val="20"/>
        </w:rPr>
      </w:pPr>
    </w:p>
    <w:p w14:paraId="7AAE8B5B" w14:textId="77777777" w:rsidR="00D1587D" w:rsidRDefault="00410D07">
      <w:pPr>
        <w:ind w:left="660"/>
        <w:rPr>
          <w:sz w:val="20"/>
          <w:szCs w:val="20"/>
        </w:rPr>
      </w:pPr>
      <w:r>
        <w:rPr>
          <w:rFonts w:ascii="Arial" w:eastAsia="Arial" w:hAnsi="Arial" w:cs="Arial"/>
          <w:sz w:val="18"/>
          <w:szCs w:val="18"/>
        </w:rPr>
        <w:t xml:space="preserve">4 </w:t>
      </w:r>
      <w:r>
        <w:rPr>
          <w:rFonts w:ascii="Arial" w:eastAsia="Arial" w:hAnsi="Arial" w:cs="Arial"/>
          <w:sz w:val="18"/>
          <w:szCs w:val="18"/>
        </w:rPr>
        <w:t>Limited Parkway East</w:t>
      </w:r>
    </w:p>
    <w:p w14:paraId="15251261" w14:textId="77777777" w:rsidR="00D1587D" w:rsidRDefault="00D1587D">
      <w:pPr>
        <w:spacing w:line="9" w:lineRule="exact"/>
        <w:rPr>
          <w:sz w:val="20"/>
          <w:szCs w:val="20"/>
        </w:rPr>
      </w:pPr>
    </w:p>
    <w:p w14:paraId="4A3ED181" w14:textId="77777777" w:rsidR="00D1587D" w:rsidRDefault="00410D07">
      <w:pPr>
        <w:ind w:left="660"/>
        <w:rPr>
          <w:sz w:val="20"/>
          <w:szCs w:val="20"/>
        </w:rPr>
      </w:pPr>
      <w:r>
        <w:rPr>
          <w:rFonts w:ascii="Arial" w:eastAsia="Arial" w:hAnsi="Arial" w:cs="Arial"/>
          <w:sz w:val="18"/>
          <w:szCs w:val="18"/>
        </w:rPr>
        <w:t>Reynoldsburg, Ohio 43068</w:t>
      </w:r>
    </w:p>
    <w:p w14:paraId="66F81987" w14:textId="77777777" w:rsidR="00D1587D" w:rsidRDefault="00D1587D">
      <w:pPr>
        <w:spacing w:line="9" w:lineRule="exact"/>
        <w:rPr>
          <w:sz w:val="20"/>
          <w:szCs w:val="20"/>
        </w:rPr>
      </w:pPr>
    </w:p>
    <w:p w14:paraId="56F83DD0" w14:textId="77777777" w:rsidR="00D1587D" w:rsidRDefault="00410D07">
      <w:pPr>
        <w:ind w:left="660"/>
        <w:rPr>
          <w:sz w:val="20"/>
          <w:szCs w:val="20"/>
        </w:rPr>
      </w:pPr>
      <w:r>
        <w:rPr>
          <w:rFonts w:ascii="Arial" w:eastAsia="Arial" w:hAnsi="Arial" w:cs="Arial"/>
          <w:sz w:val="18"/>
          <w:szCs w:val="18"/>
        </w:rPr>
        <w:t>1-614-577-7000</w:t>
      </w:r>
    </w:p>
    <w:p w14:paraId="0C683260" w14:textId="77777777" w:rsidR="00D1587D" w:rsidRDefault="00D1587D">
      <w:pPr>
        <w:spacing w:line="200" w:lineRule="exact"/>
        <w:rPr>
          <w:sz w:val="20"/>
          <w:szCs w:val="20"/>
        </w:rPr>
      </w:pPr>
    </w:p>
    <w:p w14:paraId="1461503D" w14:textId="77777777" w:rsidR="00D1587D" w:rsidRDefault="00D1587D">
      <w:pPr>
        <w:spacing w:line="254" w:lineRule="exact"/>
        <w:rPr>
          <w:sz w:val="20"/>
          <w:szCs w:val="20"/>
        </w:rPr>
      </w:pPr>
    </w:p>
    <w:p w14:paraId="744FF2F2" w14:textId="77777777" w:rsidR="00D1587D" w:rsidRDefault="00410D07">
      <w:pPr>
        <w:ind w:right="19"/>
        <w:jc w:val="center"/>
        <w:rPr>
          <w:sz w:val="20"/>
          <w:szCs w:val="20"/>
        </w:rPr>
      </w:pPr>
      <w:r>
        <w:rPr>
          <w:rFonts w:ascii="Arial" w:eastAsia="Arial" w:hAnsi="Arial" w:cs="Arial"/>
          <w:sz w:val="18"/>
          <w:szCs w:val="18"/>
        </w:rPr>
        <w:t>11</w:t>
      </w:r>
    </w:p>
    <w:p w14:paraId="3A28365C" w14:textId="77777777" w:rsidR="00D1587D" w:rsidRDefault="00410D07">
      <w:pPr>
        <w:spacing w:line="20" w:lineRule="exact"/>
        <w:rPr>
          <w:sz w:val="20"/>
          <w:szCs w:val="20"/>
        </w:rPr>
      </w:pPr>
      <w:r>
        <w:rPr>
          <w:noProof/>
          <w:sz w:val="20"/>
          <w:szCs w:val="20"/>
        </w:rPr>
        <w:drawing>
          <wp:anchor distT="0" distB="0" distL="114300" distR="114300" simplePos="0" relativeHeight="251448320" behindDoc="1" locked="0" layoutInCell="0" allowOverlap="1" wp14:anchorId="3D384AA2" wp14:editId="3393F222">
            <wp:simplePos x="0" y="0"/>
            <wp:positionH relativeFrom="column">
              <wp:posOffset>-636905</wp:posOffset>
            </wp:positionH>
            <wp:positionV relativeFrom="paragraph">
              <wp:posOffset>126365</wp:posOffset>
            </wp:positionV>
            <wp:extent cx="6995160" cy="17145"/>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3BA386C" w14:textId="77777777" w:rsidR="00D1587D" w:rsidRDefault="00D1587D">
      <w:pPr>
        <w:sectPr w:rsidR="00D1587D">
          <w:pgSz w:w="11900" w:h="16838"/>
          <w:pgMar w:top="265" w:right="1440" w:bottom="1440" w:left="1440" w:header="0" w:footer="0" w:gutter="0"/>
          <w:cols w:space="720" w:equalWidth="0">
            <w:col w:w="9019"/>
          </w:cols>
        </w:sectPr>
      </w:pPr>
    </w:p>
    <w:bookmarkStart w:id="269" w:name="page270"/>
    <w:bookmarkEnd w:id="269"/>
    <w:p w14:paraId="0A134847"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0C87262" w14:textId="77777777" w:rsidR="00D1587D" w:rsidRDefault="00410D07">
      <w:pPr>
        <w:spacing w:line="20" w:lineRule="exact"/>
        <w:rPr>
          <w:sz w:val="20"/>
          <w:szCs w:val="20"/>
        </w:rPr>
      </w:pPr>
      <w:r>
        <w:rPr>
          <w:noProof/>
          <w:sz w:val="20"/>
          <w:szCs w:val="20"/>
        </w:rPr>
        <w:drawing>
          <wp:anchor distT="0" distB="0" distL="114300" distR="114300" simplePos="0" relativeHeight="251449344" behindDoc="1" locked="0" layoutInCell="0" allowOverlap="1" wp14:anchorId="4DBCCE8E" wp14:editId="5F4CED02">
            <wp:simplePos x="0" y="0"/>
            <wp:positionH relativeFrom="column">
              <wp:posOffset>46355</wp:posOffset>
            </wp:positionH>
            <wp:positionV relativeFrom="paragraph">
              <wp:posOffset>90170</wp:posOffset>
            </wp:positionV>
            <wp:extent cx="5653405" cy="8199120"/>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0"/>
                    <a:srcRect/>
                    <a:stretch>
                      <a:fillRect/>
                    </a:stretch>
                  </pic:blipFill>
                  <pic:spPr bwMode="auto">
                    <a:xfrm>
                      <a:off x="0" y="0"/>
                      <a:ext cx="5653405" cy="8199120"/>
                    </a:xfrm>
                    <a:prstGeom prst="rect">
                      <a:avLst/>
                    </a:prstGeom>
                    <a:noFill/>
                  </pic:spPr>
                </pic:pic>
              </a:graphicData>
            </a:graphic>
          </wp:anchor>
        </w:drawing>
      </w:r>
    </w:p>
    <w:p w14:paraId="44D8E1FB" w14:textId="77777777" w:rsidR="00D1587D" w:rsidRDefault="00D1587D">
      <w:pPr>
        <w:sectPr w:rsidR="00D1587D">
          <w:pgSz w:w="11900" w:h="16838"/>
          <w:pgMar w:top="265" w:right="1440" w:bottom="1440" w:left="1440" w:header="0" w:footer="0" w:gutter="0"/>
          <w:cols w:space="720" w:equalWidth="0">
            <w:col w:w="9019"/>
          </w:cols>
        </w:sectPr>
      </w:pPr>
    </w:p>
    <w:p w14:paraId="4F6245DB" w14:textId="77777777" w:rsidR="00D1587D" w:rsidRDefault="00D1587D">
      <w:pPr>
        <w:spacing w:line="200" w:lineRule="exact"/>
        <w:rPr>
          <w:sz w:val="20"/>
          <w:szCs w:val="20"/>
        </w:rPr>
      </w:pPr>
    </w:p>
    <w:p w14:paraId="081EBD13" w14:textId="77777777" w:rsidR="00D1587D" w:rsidRDefault="00D1587D">
      <w:pPr>
        <w:spacing w:line="291" w:lineRule="exact"/>
        <w:rPr>
          <w:sz w:val="20"/>
          <w:szCs w:val="20"/>
        </w:rPr>
      </w:pPr>
    </w:p>
    <w:p w14:paraId="1E484591" w14:textId="77777777" w:rsidR="00D1587D" w:rsidRDefault="00410D07">
      <w:pPr>
        <w:ind w:right="-20"/>
        <w:jc w:val="center"/>
        <w:rPr>
          <w:sz w:val="20"/>
          <w:szCs w:val="20"/>
        </w:rPr>
      </w:pPr>
      <w:r>
        <w:rPr>
          <w:rFonts w:ascii="Arial" w:eastAsia="Arial" w:hAnsi="Arial" w:cs="Arial"/>
          <w:b/>
          <w:bCs/>
          <w:sz w:val="18"/>
          <w:szCs w:val="18"/>
        </w:rPr>
        <w:t>SUMMARY OF THE SEPARATION</w:t>
      </w:r>
    </w:p>
    <w:p w14:paraId="55A17FFA" w14:textId="77777777" w:rsidR="00D1587D" w:rsidRDefault="00D1587D">
      <w:pPr>
        <w:spacing w:line="121" w:lineRule="exact"/>
        <w:rPr>
          <w:sz w:val="20"/>
          <w:szCs w:val="20"/>
        </w:rPr>
      </w:pPr>
    </w:p>
    <w:p w14:paraId="2FB76B6B" w14:textId="77777777" w:rsidR="00D1587D" w:rsidRDefault="00410D07">
      <w:pPr>
        <w:spacing w:line="277" w:lineRule="auto"/>
        <w:ind w:left="320" w:right="1139" w:firstLine="360"/>
        <w:rPr>
          <w:sz w:val="20"/>
          <w:szCs w:val="20"/>
        </w:rPr>
      </w:pPr>
      <w:r>
        <w:rPr>
          <w:rFonts w:ascii="Arial" w:eastAsia="Arial" w:hAnsi="Arial" w:cs="Arial"/>
          <w:sz w:val="18"/>
          <w:szCs w:val="18"/>
        </w:rPr>
        <w:t xml:space="preserve">The following is a summary of the material terms of the </w:t>
      </w:r>
      <w:r>
        <w:rPr>
          <w:rFonts w:ascii="Arial" w:eastAsia="Arial" w:hAnsi="Arial" w:cs="Arial"/>
          <w:sz w:val="18"/>
          <w:szCs w:val="18"/>
        </w:rPr>
        <w:t>Separation, including the Restructuring, the Distribution and certain other related transactions.</w:t>
      </w:r>
    </w:p>
    <w:p w14:paraId="2AA0BA4B" w14:textId="77777777" w:rsidR="00D1587D" w:rsidRDefault="00D1587D">
      <w:pPr>
        <w:spacing w:line="85" w:lineRule="exact"/>
        <w:rPr>
          <w:sz w:val="20"/>
          <w:szCs w:val="20"/>
        </w:rPr>
      </w:pPr>
    </w:p>
    <w:tbl>
      <w:tblPr>
        <w:tblW w:w="0" w:type="auto"/>
        <w:tblInd w:w="320" w:type="dxa"/>
        <w:tblLayout w:type="fixed"/>
        <w:tblCellMar>
          <w:left w:w="0" w:type="dxa"/>
          <w:right w:w="0" w:type="dxa"/>
        </w:tblCellMar>
        <w:tblLook w:val="04A0" w:firstRow="1" w:lastRow="0" w:firstColumn="1" w:lastColumn="0" w:noHBand="0" w:noVBand="1"/>
      </w:tblPr>
      <w:tblGrid>
        <w:gridCol w:w="3380"/>
        <w:gridCol w:w="2060"/>
        <w:gridCol w:w="2960"/>
      </w:tblGrid>
      <w:tr w:rsidR="00D1587D" w14:paraId="2D26303B" w14:textId="77777777">
        <w:trPr>
          <w:trHeight w:val="220"/>
        </w:trPr>
        <w:tc>
          <w:tcPr>
            <w:tcW w:w="3380" w:type="dxa"/>
            <w:vAlign w:val="bottom"/>
          </w:tcPr>
          <w:p w14:paraId="7317A197" w14:textId="77777777" w:rsidR="00D1587D" w:rsidRDefault="00410D07">
            <w:pPr>
              <w:rPr>
                <w:sz w:val="20"/>
                <w:szCs w:val="20"/>
              </w:rPr>
            </w:pPr>
            <w:r>
              <w:rPr>
                <w:rFonts w:ascii="Arial" w:eastAsia="Arial" w:hAnsi="Arial" w:cs="Arial"/>
                <w:b/>
                <w:bCs/>
                <w:sz w:val="18"/>
                <w:szCs w:val="18"/>
              </w:rPr>
              <w:t>Distributing Company</w:t>
            </w:r>
          </w:p>
        </w:tc>
        <w:tc>
          <w:tcPr>
            <w:tcW w:w="5020" w:type="dxa"/>
            <w:gridSpan w:val="2"/>
            <w:vAlign w:val="bottom"/>
          </w:tcPr>
          <w:p w14:paraId="6C9F0F98" w14:textId="77777777" w:rsidR="00D1587D" w:rsidRDefault="00410D07">
            <w:pPr>
              <w:ind w:left="940"/>
              <w:rPr>
                <w:sz w:val="20"/>
                <w:szCs w:val="20"/>
              </w:rPr>
            </w:pPr>
            <w:r>
              <w:rPr>
                <w:rFonts w:ascii="Arial" w:eastAsia="Arial" w:hAnsi="Arial" w:cs="Arial"/>
                <w:sz w:val="18"/>
                <w:szCs w:val="18"/>
              </w:rPr>
              <w:t>L Brands, Inc., a Delaware corporation. After the</w:t>
            </w:r>
          </w:p>
        </w:tc>
      </w:tr>
      <w:tr w:rsidR="00D1587D" w14:paraId="7A508E05" w14:textId="77777777">
        <w:trPr>
          <w:trHeight w:val="216"/>
        </w:trPr>
        <w:tc>
          <w:tcPr>
            <w:tcW w:w="3380" w:type="dxa"/>
            <w:vAlign w:val="bottom"/>
          </w:tcPr>
          <w:p w14:paraId="2D152492" w14:textId="77777777" w:rsidR="00D1587D" w:rsidRDefault="00D1587D">
            <w:pPr>
              <w:rPr>
                <w:sz w:val="18"/>
                <w:szCs w:val="18"/>
              </w:rPr>
            </w:pPr>
          </w:p>
        </w:tc>
        <w:tc>
          <w:tcPr>
            <w:tcW w:w="5020" w:type="dxa"/>
            <w:gridSpan w:val="2"/>
            <w:vAlign w:val="bottom"/>
          </w:tcPr>
          <w:p w14:paraId="1F28C66A" w14:textId="77777777" w:rsidR="00D1587D" w:rsidRDefault="00410D07">
            <w:pPr>
              <w:ind w:left="940"/>
              <w:rPr>
                <w:sz w:val="20"/>
                <w:szCs w:val="20"/>
              </w:rPr>
            </w:pPr>
            <w:r>
              <w:rPr>
                <w:rFonts w:ascii="Arial" w:eastAsia="Arial" w:hAnsi="Arial" w:cs="Arial"/>
                <w:w w:val="93"/>
                <w:sz w:val="18"/>
                <w:szCs w:val="18"/>
              </w:rPr>
              <w:t>Distribution, LB will not own any shares of VS common</w:t>
            </w:r>
          </w:p>
        </w:tc>
      </w:tr>
      <w:tr w:rsidR="00D1587D" w14:paraId="76DE0ED2" w14:textId="77777777">
        <w:trPr>
          <w:trHeight w:val="230"/>
        </w:trPr>
        <w:tc>
          <w:tcPr>
            <w:tcW w:w="3380" w:type="dxa"/>
            <w:vAlign w:val="bottom"/>
          </w:tcPr>
          <w:p w14:paraId="7F655AE3" w14:textId="77777777" w:rsidR="00D1587D" w:rsidRDefault="00D1587D">
            <w:pPr>
              <w:rPr>
                <w:sz w:val="20"/>
                <w:szCs w:val="20"/>
              </w:rPr>
            </w:pPr>
          </w:p>
        </w:tc>
        <w:tc>
          <w:tcPr>
            <w:tcW w:w="2060" w:type="dxa"/>
            <w:vAlign w:val="bottom"/>
          </w:tcPr>
          <w:p w14:paraId="6E5CA714" w14:textId="77777777" w:rsidR="00D1587D" w:rsidRDefault="00410D07">
            <w:pPr>
              <w:ind w:left="940"/>
              <w:rPr>
                <w:sz w:val="20"/>
                <w:szCs w:val="20"/>
              </w:rPr>
            </w:pPr>
            <w:r>
              <w:rPr>
                <w:rFonts w:ascii="Arial" w:eastAsia="Arial" w:hAnsi="Arial" w:cs="Arial"/>
                <w:sz w:val="18"/>
                <w:szCs w:val="18"/>
              </w:rPr>
              <w:t>stock.</w:t>
            </w:r>
          </w:p>
        </w:tc>
        <w:tc>
          <w:tcPr>
            <w:tcW w:w="2960" w:type="dxa"/>
            <w:vAlign w:val="bottom"/>
          </w:tcPr>
          <w:p w14:paraId="7382AAC4" w14:textId="77777777" w:rsidR="00D1587D" w:rsidRDefault="00D1587D">
            <w:pPr>
              <w:rPr>
                <w:sz w:val="20"/>
                <w:szCs w:val="20"/>
              </w:rPr>
            </w:pPr>
          </w:p>
        </w:tc>
      </w:tr>
      <w:tr w:rsidR="00D1587D" w14:paraId="57B0BA1B" w14:textId="77777777">
        <w:trPr>
          <w:trHeight w:val="350"/>
        </w:trPr>
        <w:tc>
          <w:tcPr>
            <w:tcW w:w="3380" w:type="dxa"/>
            <w:vAlign w:val="bottom"/>
          </w:tcPr>
          <w:p w14:paraId="3FEB849A" w14:textId="77777777" w:rsidR="00D1587D" w:rsidRDefault="00410D07">
            <w:pPr>
              <w:rPr>
                <w:sz w:val="20"/>
                <w:szCs w:val="20"/>
              </w:rPr>
            </w:pPr>
            <w:r>
              <w:rPr>
                <w:rFonts w:ascii="Arial" w:eastAsia="Arial" w:hAnsi="Arial" w:cs="Arial"/>
                <w:b/>
                <w:bCs/>
                <w:sz w:val="18"/>
                <w:szCs w:val="18"/>
              </w:rPr>
              <w:t>Distributed Company</w:t>
            </w:r>
          </w:p>
        </w:tc>
        <w:tc>
          <w:tcPr>
            <w:tcW w:w="5020" w:type="dxa"/>
            <w:gridSpan w:val="2"/>
            <w:vAlign w:val="bottom"/>
          </w:tcPr>
          <w:p w14:paraId="494ADA97" w14:textId="77777777" w:rsidR="00D1587D" w:rsidRDefault="00410D07">
            <w:pPr>
              <w:ind w:left="940"/>
              <w:rPr>
                <w:sz w:val="20"/>
                <w:szCs w:val="20"/>
              </w:rPr>
            </w:pPr>
            <w:r>
              <w:rPr>
                <w:rFonts w:ascii="Arial" w:eastAsia="Arial" w:hAnsi="Arial" w:cs="Arial"/>
                <w:w w:val="98"/>
                <w:sz w:val="18"/>
                <w:szCs w:val="18"/>
              </w:rPr>
              <w:t>Victoria’s Secret &amp; Co., a Delaware corporation, is a</w:t>
            </w:r>
          </w:p>
        </w:tc>
      </w:tr>
      <w:tr w:rsidR="00D1587D" w14:paraId="109DBF60" w14:textId="77777777">
        <w:trPr>
          <w:trHeight w:val="216"/>
        </w:trPr>
        <w:tc>
          <w:tcPr>
            <w:tcW w:w="3380" w:type="dxa"/>
            <w:vAlign w:val="bottom"/>
          </w:tcPr>
          <w:p w14:paraId="31E08330" w14:textId="77777777" w:rsidR="00D1587D" w:rsidRDefault="00D1587D">
            <w:pPr>
              <w:rPr>
                <w:sz w:val="18"/>
                <w:szCs w:val="18"/>
              </w:rPr>
            </w:pPr>
          </w:p>
        </w:tc>
        <w:tc>
          <w:tcPr>
            <w:tcW w:w="5020" w:type="dxa"/>
            <w:gridSpan w:val="2"/>
            <w:vAlign w:val="bottom"/>
          </w:tcPr>
          <w:p w14:paraId="0D159910" w14:textId="77777777" w:rsidR="00D1587D" w:rsidRDefault="00410D07">
            <w:pPr>
              <w:ind w:left="940"/>
              <w:rPr>
                <w:sz w:val="20"/>
                <w:szCs w:val="20"/>
              </w:rPr>
            </w:pPr>
            <w:r>
              <w:rPr>
                <w:rFonts w:ascii="Arial" w:eastAsia="Arial" w:hAnsi="Arial" w:cs="Arial"/>
                <w:w w:val="96"/>
                <w:sz w:val="18"/>
                <w:szCs w:val="18"/>
              </w:rPr>
              <w:t>wholly owned subsidiary of LB and, at the time of the</w:t>
            </w:r>
          </w:p>
        </w:tc>
      </w:tr>
      <w:tr w:rsidR="00D1587D" w14:paraId="6860E146" w14:textId="77777777">
        <w:trPr>
          <w:trHeight w:val="216"/>
        </w:trPr>
        <w:tc>
          <w:tcPr>
            <w:tcW w:w="3380" w:type="dxa"/>
            <w:vAlign w:val="bottom"/>
          </w:tcPr>
          <w:p w14:paraId="0EC38112" w14:textId="77777777" w:rsidR="00D1587D" w:rsidRDefault="00D1587D">
            <w:pPr>
              <w:rPr>
                <w:sz w:val="18"/>
                <w:szCs w:val="18"/>
              </w:rPr>
            </w:pPr>
          </w:p>
        </w:tc>
        <w:tc>
          <w:tcPr>
            <w:tcW w:w="5020" w:type="dxa"/>
            <w:gridSpan w:val="2"/>
            <w:vAlign w:val="bottom"/>
          </w:tcPr>
          <w:p w14:paraId="7D3B560B" w14:textId="77777777" w:rsidR="00D1587D" w:rsidRDefault="00410D07">
            <w:pPr>
              <w:ind w:left="940"/>
              <w:rPr>
                <w:sz w:val="20"/>
                <w:szCs w:val="20"/>
              </w:rPr>
            </w:pPr>
            <w:r>
              <w:rPr>
                <w:rFonts w:ascii="Arial" w:eastAsia="Arial" w:hAnsi="Arial" w:cs="Arial"/>
                <w:w w:val="97"/>
                <w:sz w:val="18"/>
                <w:szCs w:val="18"/>
              </w:rPr>
              <w:t>Distribution, will hold, directly or indirectly through its</w:t>
            </w:r>
          </w:p>
        </w:tc>
      </w:tr>
      <w:tr w:rsidR="00D1587D" w14:paraId="0BC250B1" w14:textId="77777777">
        <w:trPr>
          <w:trHeight w:val="216"/>
        </w:trPr>
        <w:tc>
          <w:tcPr>
            <w:tcW w:w="3380" w:type="dxa"/>
            <w:vAlign w:val="bottom"/>
          </w:tcPr>
          <w:p w14:paraId="67AF2F3E" w14:textId="77777777" w:rsidR="00D1587D" w:rsidRDefault="00D1587D">
            <w:pPr>
              <w:rPr>
                <w:sz w:val="18"/>
                <w:szCs w:val="18"/>
              </w:rPr>
            </w:pPr>
          </w:p>
        </w:tc>
        <w:tc>
          <w:tcPr>
            <w:tcW w:w="5020" w:type="dxa"/>
            <w:gridSpan w:val="2"/>
            <w:vAlign w:val="bottom"/>
          </w:tcPr>
          <w:p w14:paraId="46B43E2E" w14:textId="77777777" w:rsidR="00D1587D" w:rsidRDefault="00410D07">
            <w:pPr>
              <w:ind w:left="940"/>
              <w:rPr>
                <w:sz w:val="20"/>
                <w:szCs w:val="20"/>
              </w:rPr>
            </w:pPr>
            <w:r>
              <w:rPr>
                <w:rFonts w:ascii="Arial" w:eastAsia="Arial" w:hAnsi="Arial" w:cs="Arial"/>
                <w:w w:val="97"/>
                <w:sz w:val="18"/>
                <w:szCs w:val="18"/>
              </w:rPr>
              <w:t>subsidiaries, certain assets and liabilities of the Spin</w:t>
            </w:r>
          </w:p>
        </w:tc>
      </w:tr>
      <w:tr w:rsidR="00D1587D" w14:paraId="09087B35" w14:textId="77777777">
        <w:trPr>
          <w:trHeight w:val="216"/>
        </w:trPr>
        <w:tc>
          <w:tcPr>
            <w:tcW w:w="3380" w:type="dxa"/>
            <w:vAlign w:val="bottom"/>
          </w:tcPr>
          <w:p w14:paraId="389E51F2" w14:textId="77777777" w:rsidR="00D1587D" w:rsidRDefault="00D1587D">
            <w:pPr>
              <w:rPr>
                <w:sz w:val="18"/>
                <w:szCs w:val="18"/>
              </w:rPr>
            </w:pPr>
          </w:p>
        </w:tc>
        <w:tc>
          <w:tcPr>
            <w:tcW w:w="5020" w:type="dxa"/>
            <w:gridSpan w:val="2"/>
            <w:vAlign w:val="bottom"/>
          </w:tcPr>
          <w:p w14:paraId="2CBA7ADF" w14:textId="77777777" w:rsidR="00D1587D" w:rsidRDefault="00410D07">
            <w:pPr>
              <w:ind w:left="940"/>
              <w:rPr>
                <w:sz w:val="20"/>
                <w:szCs w:val="20"/>
              </w:rPr>
            </w:pPr>
            <w:r>
              <w:rPr>
                <w:rFonts w:ascii="Arial" w:eastAsia="Arial" w:hAnsi="Arial" w:cs="Arial"/>
                <w:sz w:val="18"/>
                <w:szCs w:val="18"/>
              </w:rPr>
              <w:t>Business. After the Distribution, VS will be an</w:t>
            </w:r>
          </w:p>
        </w:tc>
      </w:tr>
      <w:tr w:rsidR="00D1587D" w14:paraId="05E0E30A" w14:textId="77777777">
        <w:trPr>
          <w:trHeight w:val="230"/>
        </w:trPr>
        <w:tc>
          <w:tcPr>
            <w:tcW w:w="3380" w:type="dxa"/>
            <w:vAlign w:val="bottom"/>
          </w:tcPr>
          <w:p w14:paraId="256B4A97" w14:textId="77777777" w:rsidR="00D1587D" w:rsidRDefault="00D1587D">
            <w:pPr>
              <w:rPr>
                <w:sz w:val="20"/>
                <w:szCs w:val="20"/>
              </w:rPr>
            </w:pPr>
          </w:p>
        </w:tc>
        <w:tc>
          <w:tcPr>
            <w:tcW w:w="5020" w:type="dxa"/>
            <w:gridSpan w:val="2"/>
            <w:vAlign w:val="bottom"/>
          </w:tcPr>
          <w:p w14:paraId="20194E63" w14:textId="77777777" w:rsidR="00D1587D" w:rsidRDefault="00410D07">
            <w:pPr>
              <w:ind w:left="940"/>
              <w:rPr>
                <w:sz w:val="20"/>
                <w:szCs w:val="20"/>
              </w:rPr>
            </w:pPr>
            <w:r>
              <w:rPr>
                <w:rFonts w:ascii="Arial" w:eastAsia="Arial" w:hAnsi="Arial" w:cs="Arial"/>
                <w:sz w:val="18"/>
                <w:szCs w:val="18"/>
              </w:rPr>
              <w:t>independent, publicly traded company.</w:t>
            </w:r>
          </w:p>
        </w:tc>
      </w:tr>
      <w:tr w:rsidR="00D1587D" w14:paraId="3693EA8A" w14:textId="77777777">
        <w:trPr>
          <w:trHeight w:val="350"/>
        </w:trPr>
        <w:tc>
          <w:tcPr>
            <w:tcW w:w="3380" w:type="dxa"/>
            <w:vAlign w:val="bottom"/>
          </w:tcPr>
          <w:p w14:paraId="1F72BD84" w14:textId="77777777" w:rsidR="00D1587D" w:rsidRDefault="00410D07">
            <w:pPr>
              <w:rPr>
                <w:sz w:val="20"/>
                <w:szCs w:val="20"/>
              </w:rPr>
            </w:pPr>
            <w:r>
              <w:rPr>
                <w:rFonts w:ascii="Arial" w:eastAsia="Arial" w:hAnsi="Arial" w:cs="Arial"/>
                <w:b/>
                <w:bCs/>
                <w:sz w:val="18"/>
                <w:szCs w:val="18"/>
              </w:rPr>
              <w:t>Distributed Company Structure</w:t>
            </w:r>
          </w:p>
        </w:tc>
        <w:tc>
          <w:tcPr>
            <w:tcW w:w="5020" w:type="dxa"/>
            <w:gridSpan w:val="2"/>
            <w:vAlign w:val="bottom"/>
          </w:tcPr>
          <w:p w14:paraId="0FDD445A" w14:textId="77777777" w:rsidR="00D1587D" w:rsidRDefault="00410D07">
            <w:pPr>
              <w:ind w:left="940"/>
              <w:rPr>
                <w:sz w:val="20"/>
                <w:szCs w:val="20"/>
              </w:rPr>
            </w:pPr>
            <w:r>
              <w:rPr>
                <w:rFonts w:ascii="Arial" w:eastAsia="Arial" w:hAnsi="Arial" w:cs="Arial"/>
                <w:sz w:val="18"/>
                <w:szCs w:val="18"/>
              </w:rPr>
              <w:t>VS is a holding company. At the time of the</w:t>
            </w:r>
          </w:p>
        </w:tc>
      </w:tr>
      <w:tr w:rsidR="00D1587D" w14:paraId="29EDB1B2" w14:textId="77777777">
        <w:trPr>
          <w:trHeight w:val="216"/>
        </w:trPr>
        <w:tc>
          <w:tcPr>
            <w:tcW w:w="3380" w:type="dxa"/>
            <w:vAlign w:val="bottom"/>
          </w:tcPr>
          <w:p w14:paraId="639992A9" w14:textId="77777777" w:rsidR="00D1587D" w:rsidRDefault="00D1587D">
            <w:pPr>
              <w:rPr>
                <w:sz w:val="18"/>
                <w:szCs w:val="18"/>
              </w:rPr>
            </w:pPr>
          </w:p>
        </w:tc>
        <w:tc>
          <w:tcPr>
            <w:tcW w:w="5020" w:type="dxa"/>
            <w:gridSpan w:val="2"/>
            <w:vAlign w:val="bottom"/>
          </w:tcPr>
          <w:p w14:paraId="159C5821" w14:textId="77777777" w:rsidR="00D1587D" w:rsidRDefault="00410D07">
            <w:pPr>
              <w:ind w:left="940"/>
              <w:rPr>
                <w:sz w:val="20"/>
                <w:szCs w:val="20"/>
              </w:rPr>
            </w:pPr>
            <w:r>
              <w:rPr>
                <w:rFonts w:ascii="Arial" w:eastAsia="Arial" w:hAnsi="Arial" w:cs="Arial"/>
                <w:sz w:val="18"/>
                <w:szCs w:val="18"/>
              </w:rPr>
              <w:t>Distribution, it will own the shares of a number of</w:t>
            </w:r>
          </w:p>
        </w:tc>
      </w:tr>
      <w:tr w:rsidR="00D1587D" w14:paraId="2267DDAC" w14:textId="77777777">
        <w:trPr>
          <w:trHeight w:val="230"/>
        </w:trPr>
        <w:tc>
          <w:tcPr>
            <w:tcW w:w="3380" w:type="dxa"/>
            <w:vAlign w:val="bottom"/>
          </w:tcPr>
          <w:p w14:paraId="1EC6CCFD" w14:textId="77777777" w:rsidR="00D1587D" w:rsidRDefault="00D1587D">
            <w:pPr>
              <w:rPr>
                <w:sz w:val="20"/>
                <w:szCs w:val="20"/>
              </w:rPr>
            </w:pPr>
          </w:p>
        </w:tc>
        <w:tc>
          <w:tcPr>
            <w:tcW w:w="5020" w:type="dxa"/>
            <w:gridSpan w:val="2"/>
            <w:vAlign w:val="bottom"/>
          </w:tcPr>
          <w:p w14:paraId="4BB2B8C9" w14:textId="77777777" w:rsidR="00D1587D" w:rsidRDefault="00410D07">
            <w:pPr>
              <w:ind w:left="940"/>
              <w:rPr>
                <w:sz w:val="20"/>
                <w:szCs w:val="20"/>
              </w:rPr>
            </w:pPr>
            <w:r>
              <w:rPr>
                <w:rFonts w:ascii="Arial" w:eastAsia="Arial" w:hAnsi="Arial" w:cs="Arial"/>
                <w:sz w:val="18"/>
                <w:szCs w:val="18"/>
              </w:rPr>
              <w:t xml:space="preserve">subsidiaries operating the Spin </w:t>
            </w:r>
            <w:r>
              <w:rPr>
                <w:rFonts w:ascii="Arial" w:eastAsia="Arial" w:hAnsi="Arial" w:cs="Arial"/>
                <w:sz w:val="18"/>
                <w:szCs w:val="18"/>
              </w:rPr>
              <w:t>Business.</w:t>
            </w:r>
          </w:p>
        </w:tc>
      </w:tr>
      <w:tr w:rsidR="00D1587D" w14:paraId="46ADC292" w14:textId="77777777">
        <w:trPr>
          <w:trHeight w:val="337"/>
        </w:trPr>
        <w:tc>
          <w:tcPr>
            <w:tcW w:w="3380" w:type="dxa"/>
            <w:vAlign w:val="bottom"/>
          </w:tcPr>
          <w:p w14:paraId="05AFE37C" w14:textId="77777777" w:rsidR="00D1587D" w:rsidRDefault="00410D07">
            <w:pPr>
              <w:rPr>
                <w:sz w:val="20"/>
                <w:szCs w:val="20"/>
              </w:rPr>
            </w:pPr>
            <w:r>
              <w:rPr>
                <w:rFonts w:ascii="Arial" w:eastAsia="Arial" w:hAnsi="Arial" w:cs="Arial"/>
                <w:b/>
                <w:bCs/>
                <w:sz w:val="18"/>
                <w:szCs w:val="18"/>
              </w:rPr>
              <w:t>Record Date</w:t>
            </w:r>
          </w:p>
        </w:tc>
        <w:tc>
          <w:tcPr>
            <w:tcW w:w="5020" w:type="dxa"/>
            <w:gridSpan w:val="2"/>
            <w:vAlign w:val="bottom"/>
          </w:tcPr>
          <w:p w14:paraId="47B6B0E9" w14:textId="77777777" w:rsidR="00D1587D" w:rsidRDefault="00410D07">
            <w:pPr>
              <w:ind w:left="940"/>
              <w:rPr>
                <w:sz w:val="20"/>
                <w:szCs w:val="20"/>
              </w:rPr>
            </w:pPr>
            <w:r>
              <w:rPr>
                <w:rFonts w:ascii="Arial" w:eastAsia="Arial" w:hAnsi="Arial" w:cs="Arial"/>
                <w:w w:val="97"/>
                <w:sz w:val="18"/>
                <w:szCs w:val="18"/>
              </w:rPr>
              <w:t>The record date for the Distribution is on the close of</w:t>
            </w:r>
          </w:p>
        </w:tc>
      </w:tr>
      <w:tr w:rsidR="00D1587D" w14:paraId="0360B54F" w14:textId="77777777">
        <w:trPr>
          <w:trHeight w:val="230"/>
        </w:trPr>
        <w:tc>
          <w:tcPr>
            <w:tcW w:w="3380" w:type="dxa"/>
            <w:vAlign w:val="bottom"/>
          </w:tcPr>
          <w:p w14:paraId="130E3269" w14:textId="77777777" w:rsidR="00D1587D" w:rsidRDefault="00D1587D">
            <w:pPr>
              <w:rPr>
                <w:sz w:val="20"/>
                <w:szCs w:val="20"/>
              </w:rPr>
            </w:pPr>
          </w:p>
        </w:tc>
        <w:tc>
          <w:tcPr>
            <w:tcW w:w="2060" w:type="dxa"/>
            <w:vAlign w:val="bottom"/>
          </w:tcPr>
          <w:p w14:paraId="22B091AE" w14:textId="77777777" w:rsidR="00D1587D" w:rsidRDefault="00410D07">
            <w:pPr>
              <w:ind w:left="940"/>
              <w:rPr>
                <w:sz w:val="20"/>
                <w:szCs w:val="20"/>
              </w:rPr>
            </w:pPr>
            <w:r>
              <w:rPr>
                <w:rFonts w:ascii="Arial" w:eastAsia="Arial" w:hAnsi="Arial" w:cs="Arial"/>
                <w:sz w:val="18"/>
                <w:szCs w:val="18"/>
              </w:rPr>
              <w:t>business on</w:t>
            </w:r>
          </w:p>
        </w:tc>
        <w:tc>
          <w:tcPr>
            <w:tcW w:w="2960" w:type="dxa"/>
            <w:vAlign w:val="bottom"/>
          </w:tcPr>
          <w:p w14:paraId="6AD18824" w14:textId="77777777" w:rsidR="00D1587D" w:rsidRDefault="00410D07">
            <w:pPr>
              <w:ind w:right="2130"/>
              <w:jc w:val="right"/>
              <w:rPr>
                <w:sz w:val="20"/>
                <w:szCs w:val="20"/>
              </w:rPr>
            </w:pPr>
            <w:r>
              <w:rPr>
                <w:rFonts w:ascii="Arial" w:eastAsia="Arial" w:hAnsi="Arial" w:cs="Arial"/>
                <w:sz w:val="18"/>
                <w:szCs w:val="18"/>
              </w:rPr>
              <w:t>, 2021</w:t>
            </w:r>
          </w:p>
        </w:tc>
      </w:tr>
    </w:tbl>
    <w:p w14:paraId="30183E4A" w14:textId="77777777" w:rsidR="00D1587D" w:rsidRDefault="00D1587D">
      <w:pPr>
        <w:spacing w:line="130" w:lineRule="exact"/>
        <w:rPr>
          <w:sz w:val="20"/>
          <w:szCs w:val="20"/>
        </w:rPr>
      </w:pPr>
    </w:p>
    <w:p w14:paraId="2D1A6544" w14:textId="77777777" w:rsidR="00D1587D" w:rsidRDefault="00D1587D">
      <w:pPr>
        <w:sectPr w:rsidR="00D1587D">
          <w:type w:val="continuous"/>
          <w:pgSz w:w="11900" w:h="16838"/>
          <w:pgMar w:top="265" w:right="1440" w:bottom="1440" w:left="1440" w:header="0" w:footer="0" w:gutter="0"/>
          <w:cols w:space="720" w:equalWidth="0">
            <w:col w:w="9019"/>
          </w:cols>
        </w:sectPr>
      </w:pPr>
    </w:p>
    <w:p w14:paraId="68ABA702" w14:textId="77777777" w:rsidR="00D1587D" w:rsidRDefault="00410D07">
      <w:pPr>
        <w:ind w:left="320"/>
        <w:rPr>
          <w:sz w:val="20"/>
          <w:szCs w:val="20"/>
        </w:rPr>
      </w:pPr>
      <w:r>
        <w:rPr>
          <w:rFonts w:ascii="Arial" w:eastAsia="Arial" w:hAnsi="Arial" w:cs="Arial"/>
          <w:b/>
          <w:bCs/>
          <w:sz w:val="18"/>
          <w:szCs w:val="18"/>
        </w:rPr>
        <w:t>Distribution Date</w:t>
      </w:r>
    </w:p>
    <w:p w14:paraId="1C32F89B" w14:textId="77777777" w:rsidR="00D1587D" w:rsidRDefault="00D1587D">
      <w:pPr>
        <w:spacing w:line="185" w:lineRule="exact"/>
        <w:rPr>
          <w:sz w:val="20"/>
          <w:szCs w:val="20"/>
        </w:rPr>
      </w:pPr>
    </w:p>
    <w:p w14:paraId="6A7815F7" w14:textId="77777777" w:rsidR="00D1587D" w:rsidRDefault="00410D07">
      <w:pPr>
        <w:ind w:left="320"/>
        <w:rPr>
          <w:sz w:val="20"/>
          <w:szCs w:val="20"/>
        </w:rPr>
      </w:pPr>
      <w:r>
        <w:rPr>
          <w:rFonts w:ascii="Arial" w:eastAsia="Arial" w:hAnsi="Arial" w:cs="Arial"/>
          <w:b/>
          <w:bCs/>
          <w:sz w:val="16"/>
          <w:szCs w:val="16"/>
        </w:rPr>
        <w:t>Distributed Securities</w:t>
      </w:r>
    </w:p>
    <w:p w14:paraId="1BEFA5C2" w14:textId="77777777" w:rsidR="00D1587D" w:rsidRDefault="00410D07">
      <w:pPr>
        <w:spacing w:line="20" w:lineRule="exact"/>
        <w:rPr>
          <w:sz w:val="20"/>
          <w:szCs w:val="20"/>
        </w:rPr>
      </w:pPr>
      <w:r>
        <w:rPr>
          <w:sz w:val="20"/>
          <w:szCs w:val="20"/>
        </w:rPr>
        <w:br w:type="column"/>
      </w:r>
    </w:p>
    <w:p w14:paraId="53B6D513" w14:textId="77777777" w:rsidR="00D1587D" w:rsidRDefault="00D1587D">
      <w:pPr>
        <w:spacing w:line="25" w:lineRule="exact"/>
        <w:rPr>
          <w:sz w:val="20"/>
          <w:szCs w:val="20"/>
        </w:rPr>
      </w:pPr>
    </w:p>
    <w:p w14:paraId="28190C53" w14:textId="77777777" w:rsidR="00D1587D" w:rsidRDefault="00D1587D">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020"/>
        <w:gridCol w:w="800"/>
      </w:tblGrid>
      <w:tr w:rsidR="00D1587D" w14:paraId="1D2E0A3D" w14:textId="77777777">
        <w:trPr>
          <w:trHeight w:val="230"/>
        </w:trPr>
        <w:tc>
          <w:tcPr>
            <w:tcW w:w="2020" w:type="dxa"/>
            <w:vAlign w:val="bottom"/>
          </w:tcPr>
          <w:p w14:paraId="63FA9E7F" w14:textId="77777777" w:rsidR="00D1587D" w:rsidRDefault="00410D07">
            <w:pPr>
              <w:rPr>
                <w:sz w:val="20"/>
                <w:szCs w:val="20"/>
              </w:rPr>
            </w:pPr>
            <w:r>
              <w:rPr>
                <w:rFonts w:ascii="Arial" w:eastAsia="Arial" w:hAnsi="Arial" w:cs="Arial"/>
                <w:sz w:val="18"/>
                <w:szCs w:val="18"/>
              </w:rPr>
              <w:t>The Distribution Date is</w:t>
            </w:r>
          </w:p>
        </w:tc>
        <w:tc>
          <w:tcPr>
            <w:tcW w:w="800" w:type="dxa"/>
            <w:vAlign w:val="bottom"/>
          </w:tcPr>
          <w:p w14:paraId="209F5FE1" w14:textId="77777777" w:rsidR="00D1587D" w:rsidRDefault="00410D07">
            <w:pPr>
              <w:jc w:val="right"/>
              <w:rPr>
                <w:sz w:val="20"/>
                <w:szCs w:val="20"/>
              </w:rPr>
            </w:pPr>
            <w:r>
              <w:rPr>
                <w:rFonts w:ascii="Arial" w:eastAsia="Arial" w:hAnsi="Arial" w:cs="Arial"/>
                <w:sz w:val="18"/>
                <w:szCs w:val="18"/>
              </w:rPr>
              <w:t>, 2021.</w:t>
            </w:r>
          </w:p>
        </w:tc>
      </w:tr>
    </w:tbl>
    <w:p w14:paraId="0A4B954A" w14:textId="77777777" w:rsidR="00D1587D" w:rsidRDefault="00D1587D">
      <w:pPr>
        <w:spacing w:line="121" w:lineRule="exact"/>
        <w:rPr>
          <w:sz w:val="20"/>
          <w:szCs w:val="20"/>
        </w:rPr>
      </w:pPr>
    </w:p>
    <w:p w14:paraId="10AAE42B" w14:textId="77777777" w:rsidR="00D1587D" w:rsidRDefault="00410D07">
      <w:pPr>
        <w:spacing w:line="291" w:lineRule="auto"/>
        <w:ind w:right="379"/>
        <w:rPr>
          <w:sz w:val="20"/>
          <w:szCs w:val="20"/>
        </w:rPr>
      </w:pPr>
      <w:r>
        <w:rPr>
          <w:rFonts w:ascii="Arial" w:eastAsia="Arial" w:hAnsi="Arial" w:cs="Arial"/>
          <w:sz w:val="16"/>
          <w:szCs w:val="16"/>
        </w:rPr>
        <w:t xml:space="preserve">LB will distribute 100% of the shares of VS </w:t>
      </w:r>
      <w:r>
        <w:rPr>
          <w:rFonts w:ascii="Arial" w:eastAsia="Arial" w:hAnsi="Arial" w:cs="Arial"/>
          <w:sz w:val="16"/>
          <w:szCs w:val="16"/>
        </w:rPr>
        <w:t>common stock outstanding immediately prior to the Distribution.</w:t>
      </w:r>
    </w:p>
    <w:p w14:paraId="07000683" w14:textId="77777777" w:rsidR="00D1587D" w:rsidRDefault="00410D07">
      <w:pPr>
        <w:tabs>
          <w:tab w:val="left" w:pos="2440"/>
        </w:tabs>
        <w:rPr>
          <w:sz w:val="20"/>
          <w:szCs w:val="20"/>
        </w:rPr>
      </w:pPr>
      <w:r>
        <w:rPr>
          <w:rFonts w:ascii="Arial" w:eastAsia="Arial" w:hAnsi="Arial" w:cs="Arial"/>
          <w:sz w:val="18"/>
          <w:szCs w:val="18"/>
        </w:rPr>
        <w:t>Based on the approximately</w:t>
      </w:r>
      <w:r>
        <w:rPr>
          <w:sz w:val="20"/>
          <w:szCs w:val="20"/>
        </w:rPr>
        <w:tab/>
      </w:r>
      <w:r>
        <w:rPr>
          <w:rFonts w:ascii="Arial" w:eastAsia="Arial" w:hAnsi="Arial" w:cs="Arial"/>
          <w:sz w:val="16"/>
          <w:szCs w:val="16"/>
        </w:rPr>
        <w:t>shares of LB common</w:t>
      </w:r>
    </w:p>
    <w:p w14:paraId="27068E9B" w14:textId="77777777" w:rsidR="00D1587D" w:rsidRDefault="00D1587D">
      <w:pPr>
        <w:spacing w:line="9" w:lineRule="exact"/>
        <w:rPr>
          <w:sz w:val="20"/>
          <w:szCs w:val="20"/>
        </w:rPr>
      </w:pPr>
    </w:p>
    <w:p w14:paraId="4199A0EF" w14:textId="77777777" w:rsidR="00D1587D" w:rsidRDefault="00410D07">
      <w:pPr>
        <w:tabs>
          <w:tab w:val="left" w:pos="2040"/>
        </w:tabs>
        <w:rPr>
          <w:sz w:val="20"/>
          <w:szCs w:val="20"/>
        </w:rPr>
      </w:pPr>
      <w:r>
        <w:rPr>
          <w:rFonts w:ascii="Arial" w:eastAsia="Arial" w:hAnsi="Arial" w:cs="Arial"/>
          <w:sz w:val="18"/>
          <w:szCs w:val="18"/>
        </w:rPr>
        <w:t>stock outstanding on</w:t>
      </w:r>
      <w:r>
        <w:rPr>
          <w:sz w:val="20"/>
          <w:szCs w:val="20"/>
        </w:rPr>
        <w:tab/>
      </w:r>
      <w:r>
        <w:rPr>
          <w:rFonts w:ascii="Arial" w:eastAsia="Arial" w:hAnsi="Arial" w:cs="Arial"/>
          <w:sz w:val="16"/>
          <w:szCs w:val="16"/>
        </w:rPr>
        <w:t>, 2021, and applying the</w:t>
      </w:r>
    </w:p>
    <w:p w14:paraId="3DBFB562" w14:textId="77777777" w:rsidR="00D1587D" w:rsidRDefault="00D1587D">
      <w:pPr>
        <w:spacing w:line="9" w:lineRule="exact"/>
        <w:rPr>
          <w:sz w:val="20"/>
          <w:szCs w:val="20"/>
        </w:rPr>
      </w:pPr>
    </w:p>
    <w:p w14:paraId="7E9E5228" w14:textId="77777777" w:rsidR="00D1587D" w:rsidRDefault="00410D07">
      <w:pPr>
        <w:rPr>
          <w:sz w:val="20"/>
          <w:szCs w:val="20"/>
        </w:rPr>
      </w:pPr>
      <w:r>
        <w:rPr>
          <w:rFonts w:ascii="Arial" w:eastAsia="Arial" w:hAnsi="Arial" w:cs="Arial"/>
          <w:sz w:val="17"/>
          <w:szCs w:val="17"/>
        </w:rPr>
        <w:t>distribution ratio of one share of VS common stock for</w:t>
      </w:r>
    </w:p>
    <w:p w14:paraId="1AC2B568" w14:textId="77777777" w:rsidR="00D1587D" w:rsidRDefault="00D1587D">
      <w:pPr>
        <w:spacing w:line="21" w:lineRule="exact"/>
        <w:rPr>
          <w:sz w:val="20"/>
          <w:szCs w:val="20"/>
        </w:rPr>
      </w:pPr>
    </w:p>
    <w:p w14:paraId="3AB60769" w14:textId="77777777" w:rsidR="00D1587D" w:rsidRDefault="00410D07">
      <w:pPr>
        <w:tabs>
          <w:tab w:val="left" w:pos="820"/>
        </w:tabs>
        <w:rPr>
          <w:sz w:val="20"/>
          <w:szCs w:val="20"/>
        </w:rPr>
      </w:pPr>
      <w:r>
        <w:rPr>
          <w:rFonts w:ascii="Arial" w:eastAsia="Arial" w:hAnsi="Arial" w:cs="Arial"/>
          <w:sz w:val="18"/>
          <w:szCs w:val="18"/>
        </w:rPr>
        <w:t>every</w:t>
      </w:r>
      <w:r>
        <w:rPr>
          <w:sz w:val="20"/>
          <w:szCs w:val="20"/>
        </w:rPr>
        <w:tab/>
      </w:r>
      <w:r>
        <w:rPr>
          <w:rFonts w:ascii="Arial" w:eastAsia="Arial" w:hAnsi="Arial" w:cs="Arial"/>
          <w:sz w:val="18"/>
          <w:szCs w:val="18"/>
        </w:rPr>
        <w:t>shares of LB common stock, LB will</w:t>
      </w:r>
    </w:p>
    <w:p w14:paraId="74471C8F" w14:textId="77777777" w:rsidR="00D1587D" w:rsidRDefault="00D1587D">
      <w:pPr>
        <w:spacing w:line="9" w:lineRule="exact"/>
        <w:rPr>
          <w:sz w:val="20"/>
          <w:szCs w:val="20"/>
        </w:rPr>
      </w:pPr>
    </w:p>
    <w:p w14:paraId="671F9CD9" w14:textId="77777777" w:rsidR="00D1587D" w:rsidRDefault="00410D07">
      <w:pPr>
        <w:tabs>
          <w:tab w:val="left" w:pos="2180"/>
        </w:tabs>
        <w:rPr>
          <w:sz w:val="20"/>
          <w:szCs w:val="20"/>
        </w:rPr>
      </w:pPr>
      <w:r>
        <w:rPr>
          <w:rFonts w:ascii="Arial" w:eastAsia="Arial" w:hAnsi="Arial" w:cs="Arial"/>
          <w:sz w:val="18"/>
          <w:szCs w:val="18"/>
        </w:rPr>
        <w:t>distribute approximately</w:t>
      </w:r>
      <w:r>
        <w:rPr>
          <w:sz w:val="20"/>
          <w:szCs w:val="20"/>
        </w:rPr>
        <w:tab/>
      </w:r>
      <w:r>
        <w:rPr>
          <w:rFonts w:ascii="Arial" w:eastAsia="Arial" w:hAnsi="Arial" w:cs="Arial"/>
          <w:sz w:val="16"/>
          <w:szCs w:val="16"/>
        </w:rPr>
        <w:t>shares of VS common</w:t>
      </w:r>
    </w:p>
    <w:p w14:paraId="42D11742" w14:textId="77777777" w:rsidR="00D1587D" w:rsidRDefault="00D1587D">
      <w:pPr>
        <w:spacing w:line="9" w:lineRule="exact"/>
        <w:rPr>
          <w:sz w:val="20"/>
          <w:szCs w:val="20"/>
        </w:rPr>
      </w:pPr>
    </w:p>
    <w:p w14:paraId="6A76246D" w14:textId="77777777" w:rsidR="00D1587D" w:rsidRDefault="00410D07">
      <w:pPr>
        <w:spacing w:line="260" w:lineRule="auto"/>
        <w:ind w:right="299"/>
        <w:rPr>
          <w:sz w:val="20"/>
          <w:szCs w:val="20"/>
        </w:rPr>
      </w:pPr>
      <w:r>
        <w:rPr>
          <w:rFonts w:ascii="Arial" w:eastAsia="Arial" w:hAnsi="Arial" w:cs="Arial"/>
          <w:sz w:val="18"/>
          <w:szCs w:val="18"/>
        </w:rPr>
        <w:t>stock to LB stockholders who hold LB common stock as of the record date.</w:t>
      </w:r>
    </w:p>
    <w:p w14:paraId="5160678D" w14:textId="77777777" w:rsidR="00D1587D" w:rsidRDefault="00D1587D">
      <w:pPr>
        <w:spacing w:line="114" w:lineRule="exact"/>
        <w:rPr>
          <w:sz w:val="20"/>
          <w:szCs w:val="20"/>
        </w:rPr>
      </w:pPr>
    </w:p>
    <w:p w14:paraId="7A717305" w14:textId="77777777" w:rsidR="00D1587D" w:rsidRDefault="00D1587D">
      <w:pPr>
        <w:sectPr w:rsidR="00D1587D">
          <w:type w:val="continuous"/>
          <w:pgSz w:w="11900" w:h="16838"/>
          <w:pgMar w:top="265" w:right="1440" w:bottom="1440" w:left="1440" w:header="0" w:footer="0" w:gutter="0"/>
          <w:cols w:num="2" w:space="720" w:equalWidth="0">
            <w:col w:w="3920" w:space="720"/>
            <w:col w:w="4379"/>
          </w:cols>
        </w:sectPr>
      </w:pPr>
    </w:p>
    <w:tbl>
      <w:tblPr>
        <w:tblW w:w="0" w:type="auto"/>
        <w:tblInd w:w="320" w:type="dxa"/>
        <w:tblLayout w:type="fixed"/>
        <w:tblCellMar>
          <w:left w:w="0" w:type="dxa"/>
          <w:right w:w="0" w:type="dxa"/>
        </w:tblCellMar>
        <w:tblLook w:val="04A0" w:firstRow="1" w:lastRow="0" w:firstColumn="1" w:lastColumn="0" w:noHBand="0" w:noVBand="1"/>
      </w:tblPr>
      <w:tblGrid>
        <w:gridCol w:w="2860"/>
        <w:gridCol w:w="3900"/>
        <w:gridCol w:w="1480"/>
        <w:gridCol w:w="120"/>
      </w:tblGrid>
      <w:tr w:rsidR="00D1587D" w14:paraId="6BE5CCEF" w14:textId="77777777">
        <w:trPr>
          <w:trHeight w:val="220"/>
        </w:trPr>
        <w:tc>
          <w:tcPr>
            <w:tcW w:w="2860" w:type="dxa"/>
            <w:vAlign w:val="bottom"/>
          </w:tcPr>
          <w:p w14:paraId="6D568F1C" w14:textId="77777777" w:rsidR="00D1587D" w:rsidRDefault="00410D07">
            <w:pPr>
              <w:rPr>
                <w:sz w:val="20"/>
                <w:szCs w:val="20"/>
              </w:rPr>
            </w:pPr>
            <w:r>
              <w:rPr>
                <w:rFonts w:ascii="Arial" w:eastAsia="Arial" w:hAnsi="Arial" w:cs="Arial"/>
                <w:b/>
                <w:bCs/>
                <w:sz w:val="18"/>
                <w:szCs w:val="18"/>
              </w:rPr>
              <w:t>Distribution Ratio</w:t>
            </w:r>
          </w:p>
        </w:tc>
        <w:tc>
          <w:tcPr>
            <w:tcW w:w="5500" w:type="dxa"/>
            <w:gridSpan w:val="3"/>
            <w:vAlign w:val="bottom"/>
          </w:tcPr>
          <w:p w14:paraId="2CBD0E99" w14:textId="77777777" w:rsidR="00D1587D" w:rsidRDefault="00410D07">
            <w:pPr>
              <w:ind w:left="1460"/>
              <w:rPr>
                <w:sz w:val="20"/>
                <w:szCs w:val="20"/>
              </w:rPr>
            </w:pPr>
            <w:r>
              <w:rPr>
                <w:rFonts w:ascii="Arial" w:eastAsia="Arial" w:hAnsi="Arial" w:cs="Arial"/>
                <w:w w:val="90"/>
                <w:sz w:val="18"/>
                <w:szCs w:val="18"/>
              </w:rPr>
              <w:t>Each holder of LB common stock will receive one share</w:t>
            </w:r>
          </w:p>
        </w:tc>
      </w:tr>
      <w:tr w:rsidR="00D1587D" w14:paraId="49E462FA" w14:textId="77777777">
        <w:trPr>
          <w:trHeight w:val="216"/>
        </w:trPr>
        <w:tc>
          <w:tcPr>
            <w:tcW w:w="2860" w:type="dxa"/>
            <w:vAlign w:val="bottom"/>
          </w:tcPr>
          <w:p w14:paraId="69F3E65B" w14:textId="77777777" w:rsidR="00D1587D" w:rsidRDefault="00D1587D">
            <w:pPr>
              <w:rPr>
                <w:sz w:val="18"/>
                <w:szCs w:val="18"/>
              </w:rPr>
            </w:pPr>
          </w:p>
        </w:tc>
        <w:tc>
          <w:tcPr>
            <w:tcW w:w="3900" w:type="dxa"/>
            <w:vAlign w:val="bottom"/>
          </w:tcPr>
          <w:p w14:paraId="4CD922E0" w14:textId="77777777" w:rsidR="00D1587D" w:rsidRDefault="00410D07">
            <w:pPr>
              <w:ind w:left="1460"/>
              <w:rPr>
                <w:sz w:val="20"/>
                <w:szCs w:val="20"/>
              </w:rPr>
            </w:pPr>
            <w:r>
              <w:rPr>
                <w:rFonts w:ascii="Arial" w:eastAsia="Arial" w:hAnsi="Arial" w:cs="Arial"/>
                <w:sz w:val="18"/>
                <w:szCs w:val="18"/>
              </w:rPr>
              <w:t>of VS common stock for every</w:t>
            </w:r>
          </w:p>
        </w:tc>
        <w:tc>
          <w:tcPr>
            <w:tcW w:w="1480" w:type="dxa"/>
            <w:vAlign w:val="bottom"/>
          </w:tcPr>
          <w:p w14:paraId="411BC1D8" w14:textId="77777777" w:rsidR="00D1587D" w:rsidRDefault="00410D07">
            <w:pPr>
              <w:ind w:left="220"/>
              <w:rPr>
                <w:sz w:val="20"/>
                <w:szCs w:val="20"/>
              </w:rPr>
            </w:pPr>
            <w:r>
              <w:rPr>
                <w:rFonts w:ascii="Arial" w:eastAsia="Arial" w:hAnsi="Arial" w:cs="Arial"/>
                <w:sz w:val="18"/>
                <w:szCs w:val="18"/>
              </w:rPr>
              <w:t>shares of LB</w:t>
            </w:r>
          </w:p>
        </w:tc>
        <w:tc>
          <w:tcPr>
            <w:tcW w:w="120" w:type="dxa"/>
            <w:vAlign w:val="bottom"/>
          </w:tcPr>
          <w:p w14:paraId="60E84678" w14:textId="77777777" w:rsidR="00D1587D" w:rsidRDefault="00D1587D">
            <w:pPr>
              <w:rPr>
                <w:sz w:val="18"/>
                <w:szCs w:val="18"/>
              </w:rPr>
            </w:pPr>
          </w:p>
        </w:tc>
      </w:tr>
      <w:tr w:rsidR="00D1587D" w14:paraId="3EB333AB" w14:textId="77777777">
        <w:trPr>
          <w:trHeight w:val="216"/>
        </w:trPr>
        <w:tc>
          <w:tcPr>
            <w:tcW w:w="2860" w:type="dxa"/>
            <w:vAlign w:val="bottom"/>
          </w:tcPr>
          <w:p w14:paraId="59B5F48C" w14:textId="77777777" w:rsidR="00D1587D" w:rsidRDefault="00D1587D">
            <w:pPr>
              <w:rPr>
                <w:sz w:val="18"/>
                <w:szCs w:val="18"/>
              </w:rPr>
            </w:pPr>
          </w:p>
        </w:tc>
        <w:tc>
          <w:tcPr>
            <w:tcW w:w="5380" w:type="dxa"/>
            <w:gridSpan w:val="2"/>
            <w:vAlign w:val="bottom"/>
          </w:tcPr>
          <w:p w14:paraId="347395FF" w14:textId="77777777" w:rsidR="00D1587D" w:rsidRDefault="00410D07">
            <w:pPr>
              <w:ind w:left="1460"/>
              <w:rPr>
                <w:sz w:val="20"/>
                <w:szCs w:val="20"/>
              </w:rPr>
            </w:pPr>
            <w:r>
              <w:rPr>
                <w:rFonts w:ascii="Arial" w:eastAsia="Arial" w:hAnsi="Arial" w:cs="Arial"/>
                <w:w w:val="98"/>
                <w:sz w:val="18"/>
                <w:szCs w:val="18"/>
              </w:rPr>
              <w:t>common stock held as of the close of business on</w:t>
            </w:r>
          </w:p>
        </w:tc>
        <w:tc>
          <w:tcPr>
            <w:tcW w:w="120" w:type="dxa"/>
            <w:vAlign w:val="bottom"/>
          </w:tcPr>
          <w:p w14:paraId="514E2A22" w14:textId="77777777" w:rsidR="00D1587D" w:rsidRDefault="00410D07">
            <w:pPr>
              <w:jc w:val="right"/>
              <w:rPr>
                <w:sz w:val="20"/>
                <w:szCs w:val="20"/>
              </w:rPr>
            </w:pPr>
            <w:r>
              <w:rPr>
                <w:rFonts w:ascii="Arial" w:eastAsia="Arial" w:hAnsi="Arial" w:cs="Arial"/>
                <w:sz w:val="18"/>
                <w:szCs w:val="18"/>
              </w:rPr>
              <w:t>,</w:t>
            </w:r>
          </w:p>
        </w:tc>
      </w:tr>
      <w:tr w:rsidR="00D1587D" w14:paraId="4FA641CE" w14:textId="77777777">
        <w:trPr>
          <w:trHeight w:val="230"/>
        </w:trPr>
        <w:tc>
          <w:tcPr>
            <w:tcW w:w="2860" w:type="dxa"/>
            <w:vAlign w:val="bottom"/>
          </w:tcPr>
          <w:p w14:paraId="7BD1EE60" w14:textId="77777777" w:rsidR="00D1587D" w:rsidRDefault="00D1587D">
            <w:pPr>
              <w:rPr>
                <w:sz w:val="20"/>
                <w:szCs w:val="20"/>
              </w:rPr>
            </w:pPr>
          </w:p>
        </w:tc>
        <w:tc>
          <w:tcPr>
            <w:tcW w:w="3900" w:type="dxa"/>
            <w:vAlign w:val="bottom"/>
          </w:tcPr>
          <w:p w14:paraId="3FB2CF1D" w14:textId="77777777" w:rsidR="00D1587D" w:rsidRDefault="00410D07">
            <w:pPr>
              <w:ind w:left="1460"/>
              <w:rPr>
                <w:sz w:val="20"/>
                <w:szCs w:val="20"/>
              </w:rPr>
            </w:pPr>
            <w:r>
              <w:rPr>
                <w:rFonts w:ascii="Arial" w:eastAsia="Arial" w:hAnsi="Arial" w:cs="Arial"/>
                <w:sz w:val="18"/>
                <w:szCs w:val="18"/>
              </w:rPr>
              <w:t>2021.</w:t>
            </w:r>
          </w:p>
        </w:tc>
        <w:tc>
          <w:tcPr>
            <w:tcW w:w="1480" w:type="dxa"/>
            <w:vAlign w:val="bottom"/>
          </w:tcPr>
          <w:p w14:paraId="49C0574A" w14:textId="77777777" w:rsidR="00D1587D" w:rsidRDefault="00D1587D">
            <w:pPr>
              <w:rPr>
                <w:sz w:val="20"/>
                <w:szCs w:val="20"/>
              </w:rPr>
            </w:pPr>
          </w:p>
        </w:tc>
        <w:tc>
          <w:tcPr>
            <w:tcW w:w="120" w:type="dxa"/>
            <w:vAlign w:val="bottom"/>
          </w:tcPr>
          <w:p w14:paraId="72E17DDB" w14:textId="77777777" w:rsidR="00D1587D" w:rsidRDefault="00D1587D">
            <w:pPr>
              <w:rPr>
                <w:sz w:val="20"/>
                <w:szCs w:val="20"/>
              </w:rPr>
            </w:pPr>
          </w:p>
        </w:tc>
      </w:tr>
      <w:tr w:rsidR="00D1587D" w14:paraId="7CEA21C8" w14:textId="77777777">
        <w:trPr>
          <w:trHeight w:val="350"/>
        </w:trPr>
        <w:tc>
          <w:tcPr>
            <w:tcW w:w="2860" w:type="dxa"/>
            <w:vAlign w:val="bottom"/>
          </w:tcPr>
          <w:p w14:paraId="3837506E" w14:textId="77777777" w:rsidR="00D1587D" w:rsidRDefault="00410D07">
            <w:pPr>
              <w:rPr>
                <w:sz w:val="20"/>
                <w:szCs w:val="20"/>
              </w:rPr>
            </w:pPr>
            <w:r>
              <w:rPr>
                <w:rFonts w:ascii="Arial" w:eastAsia="Arial" w:hAnsi="Arial" w:cs="Arial"/>
                <w:b/>
                <w:bCs/>
                <w:sz w:val="18"/>
                <w:szCs w:val="18"/>
              </w:rPr>
              <w:t>Fractional Shares</w:t>
            </w:r>
          </w:p>
        </w:tc>
        <w:tc>
          <w:tcPr>
            <w:tcW w:w="5380" w:type="dxa"/>
            <w:gridSpan w:val="2"/>
            <w:vAlign w:val="bottom"/>
          </w:tcPr>
          <w:p w14:paraId="3D156893" w14:textId="77777777" w:rsidR="00D1587D" w:rsidRDefault="00410D07">
            <w:pPr>
              <w:ind w:left="1460"/>
              <w:rPr>
                <w:sz w:val="20"/>
                <w:szCs w:val="20"/>
              </w:rPr>
            </w:pPr>
            <w:r>
              <w:rPr>
                <w:rFonts w:ascii="Arial" w:eastAsia="Arial" w:hAnsi="Arial" w:cs="Arial"/>
                <w:sz w:val="18"/>
                <w:szCs w:val="18"/>
              </w:rPr>
              <w:t>LB will not distribute any fractional shares of VS</w:t>
            </w:r>
          </w:p>
        </w:tc>
        <w:tc>
          <w:tcPr>
            <w:tcW w:w="120" w:type="dxa"/>
            <w:vAlign w:val="bottom"/>
          </w:tcPr>
          <w:p w14:paraId="7959965B" w14:textId="77777777" w:rsidR="00D1587D" w:rsidRDefault="00D1587D">
            <w:pPr>
              <w:rPr>
                <w:sz w:val="24"/>
                <w:szCs w:val="24"/>
              </w:rPr>
            </w:pPr>
          </w:p>
        </w:tc>
      </w:tr>
      <w:tr w:rsidR="00D1587D" w14:paraId="04005948" w14:textId="77777777">
        <w:trPr>
          <w:trHeight w:val="216"/>
        </w:trPr>
        <w:tc>
          <w:tcPr>
            <w:tcW w:w="2860" w:type="dxa"/>
            <w:vAlign w:val="bottom"/>
          </w:tcPr>
          <w:p w14:paraId="3D1EF842" w14:textId="77777777" w:rsidR="00D1587D" w:rsidRDefault="00D1587D">
            <w:pPr>
              <w:rPr>
                <w:sz w:val="18"/>
                <w:szCs w:val="18"/>
              </w:rPr>
            </w:pPr>
          </w:p>
        </w:tc>
        <w:tc>
          <w:tcPr>
            <w:tcW w:w="5380" w:type="dxa"/>
            <w:gridSpan w:val="2"/>
            <w:vAlign w:val="bottom"/>
          </w:tcPr>
          <w:p w14:paraId="6826C687" w14:textId="77777777" w:rsidR="00D1587D" w:rsidRDefault="00410D07">
            <w:pPr>
              <w:ind w:left="1460"/>
              <w:rPr>
                <w:sz w:val="20"/>
                <w:szCs w:val="20"/>
              </w:rPr>
            </w:pPr>
            <w:r>
              <w:rPr>
                <w:rFonts w:ascii="Arial" w:eastAsia="Arial" w:hAnsi="Arial" w:cs="Arial"/>
                <w:w w:val="89"/>
                <w:sz w:val="18"/>
                <w:szCs w:val="18"/>
              </w:rPr>
              <w:t>common stock to LB stockholders. Instead, as soon as</w:t>
            </w:r>
          </w:p>
        </w:tc>
        <w:tc>
          <w:tcPr>
            <w:tcW w:w="120" w:type="dxa"/>
            <w:vAlign w:val="bottom"/>
          </w:tcPr>
          <w:p w14:paraId="329B1EFB" w14:textId="77777777" w:rsidR="00D1587D" w:rsidRDefault="00D1587D">
            <w:pPr>
              <w:rPr>
                <w:sz w:val="18"/>
                <w:szCs w:val="18"/>
              </w:rPr>
            </w:pPr>
          </w:p>
        </w:tc>
      </w:tr>
      <w:tr w:rsidR="00D1587D" w14:paraId="72639A25" w14:textId="77777777">
        <w:trPr>
          <w:trHeight w:val="230"/>
        </w:trPr>
        <w:tc>
          <w:tcPr>
            <w:tcW w:w="2860" w:type="dxa"/>
            <w:vAlign w:val="bottom"/>
          </w:tcPr>
          <w:p w14:paraId="1C6DC752" w14:textId="77777777" w:rsidR="00D1587D" w:rsidRDefault="00D1587D">
            <w:pPr>
              <w:rPr>
                <w:sz w:val="20"/>
                <w:szCs w:val="20"/>
              </w:rPr>
            </w:pPr>
          </w:p>
        </w:tc>
        <w:tc>
          <w:tcPr>
            <w:tcW w:w="5380" w:type="dxa"/>
            <w:gridSpan w:val="2"/>
            <w:vAlign w:val="bottom"/>
          </w:tcPr>
          <w:p w14:paraId="3A84560D" w14:textId="77777777" w:rsidR="00D1587D" w:rsidRDefault="00410D07">
            <w:pPr>
              <w:ind w:left="1460"/>
              <w:rPr>
                <w:sz w:val="20"/>
                <w:szCs w:val="20"/>
              </w:rPr>
            </w:pPr>
            <w:r>
              <w:rPr>
                <w:rFonts w:ascii="Arial" w:eastAsia="Arial" w:hAnsi="Arial" w:cs="Arial"/>
                <w:sz w:val="18"/>
                <w:szCs w:val="18"/>
              </w:rPr>
              <w:t xml:space="preserve">practicable on or after the </w:t>
            </w:r>
            <w:r>
              <w:rPr>
                <w:rFonts w:ascii="Arial" w:eastAsia="Arial" w:hAnsi="Arial" w:cs="Arial"/>
                <w:sz w:val="18"/>
                <w:szCs w:val="18"/>
              </w:rPr>
              <w:t>Distribution Date, the</w:t>
            </w:r>
          </w:p>
        </w:tc>
        <w:tc>
          <w:tcPr>
            <w:tcW w:w="120" w:type="dxa"/>
            <w:vAlign w:val="bottom"/>
          </w:tcPr>
          <w:p w14:paraId="01E61295" w14:textId="77777777" w:rsidR="00D1587D" w:rsidRDefault="00D1587D">
            <w:pPr>
              <w:rPr>
                <w:sz w:val="20"/>
                <w:szCs w:val="20"/>
              </w:rPr>
            </w:pPr>
          </w:p>
        </w:tc>
      </w:tr>
    </w:tbl>
    <w:p w14:paraId="721D6A3D" w14:textId="77777777" w:rsidR="00D1587D" w:rsidRDefault="00410D07">
      <w:pPr>
        <w:ind w:left="4640"/>
        <w:rPr>
          <w:sz w:val="20"/>
          <w:szCs w:val="20"/>
        </w:rPr>
      </w:pPr>
      <w:r>
        <w:rPr>
          <w:rFonts w:ascii="Arial" w:eastAsia="Arial" w:hAnsi="Arial" w:cs="Arial"/>
          <w:sz w:val="17"/>
          <w:szCs w:val="17"/>
        </w:rPr>
        <w:t>distribution agent will aggregate fractional shares into</w:t>
      </w:r>
    </w:p>
    <w:p w14:paraId="6D818D2F" w14:textId="77777777" w:rsidR="00D1587D" w:rsidRDefault="00D1587D">
      <w:pPr>
        <w:spacing w:line="21" w:lineRule="exact"/>
        <w:rPr>
          <w:sz w:val="20"/>
          <w:szCs w:val="20"/>
        </w:rPr>
      </w:pPr>
    </w:p>
    <w:p w14:paraId="1E123AFD" w14:textId="77777777" w:rsidR="00D1587D" w:rsidRDefault="00410D07">
      <w:pPr>
        <w:ind w:left="4640"/>
        <w:rPr>
          <w:sz w:val="20"/>
          <w:szCs w:val="20"/>
        </w:rPr>
      </w:pPr>
      <w:r>
        <w:rPr>
          <w:rFonts w:ascii="Arial" w:eastAsia="Arial" w:hAnsi="Arial" w:cs="Arial"/>
          <w:sz w:val="16"/>
          <w:szCs w:val="16"/>
        </w:rPr>
        <w:t>whole shares, sell the whole shares in the open market at</w:t>
      </w:r>
    </w:p>
    <w:p w14:paraId="3C6DB994" w14:textId="77777777" w:rsidR="00D1587D" w:rsidRDefault="00D1587D">
      <w:pPr>
        <w:spacing w:line="32" w:lineRule="exact"/>
        <w:rPr>
          <w:sz w:val="20"/>
          <w:szCs w:val="20"/>
        </w:rPr>
      </w:pPr>
    </w:p>
    <w:p w14:paraId="5875290C" w14:textId="77777777" w:rsidR="00D1587D" w:rsidRDefault="00410D07">
      <w:pPr>
        <w:ind w:left="4640"/>
        <w:rPr>
          <w:sz w:val="20"/>
          <w:szCs w:val="20"/>
        </w:rPr>
      </w:pPr>
      <w:r>
        <w:rPr>
          <w:rFonts w:ascii="Arial" w:eastAsia="Arial" w:hAnsi="Arial" w:cs="Arial"/>
          <w:sz w:val="17"/>
          <w:szCs w:val="17"/>
        </w:rPr>
        <w:t>prevailing prices and distribute the net cash proceeds,</w:t>
      </w:r>
    </w:p>
    <w:p w14:paraId="21B499BD" w14:textId="77777777" w:rsidR="00D1587D" w:rsidRDefault="00D1587D">
      <w:pPr>
        <w:spacing w:line="21" w:lineRule="exact"/>
        <w:rPr>
          <w:sz w:val="20"/>
          <w:szCs w:val="20"/>
        </w:rPr>
      </w:pPr>
    </w:p>
    <w:p w14:paraId="287A9C1D" w14:textId="77777777" w:rsidR="00D1587D" w:rsidRDefault="00410D07">
      <w:pPr>
        <w:ind w:left="4640"/>
        <w:rPr>
          <w:sz w:val="20"/>
          <w:szCs w:val="20"/>
        </w:rPr>
      </w:pPr>
      <w:r>
        <w:rPr>
          <w:rFonts w:ascii="Arial" w:eastAsia="Arial" w:hAnsi="Arial" w:cs="Arial"/>
          <w:sz w:val="16"/>
          <w:szCs w:val="16"/>
        </w:rPr>
        <w:t xml:space="preserve">net of brokerage fees and commissions, transfer </w:t>
      </w:r>
      <w:r>
        <w:rPr>
          <w:rFonts w:ascii="Arial" w:eastAsia="Arial" w:hAnsi="Arial" w:cs="Arial"/>
          <w:sz w:val="16"/>
          <w:szCs w:val="16"/>
        </w:rPr>
        <w:t>taxes</w:t>
      </w:r>
    </w:p>
    <w:p w14:paraId="02C3BDB6" w14:textId="77777777" w:rsidR="00D1587D" w:rsidRDefault="00D1587D">
      <w:pPr>
        <w:spacing w:line="32" w:lineRule="exact"/>
        <w:rPr>
          <w:sz w:val="20"/>
          <w:szCs w:val="20"/>
        </w:rPr>
      </w:pPr>
    </w:p>
    <w:p w14:paraId="2A5192EF" w14:textId="77777777" w:rsidR="00D1587D" w:rsidRDefault="00410D07">
      <w:pPr>
        <w:ind w:left="4640"/>
        <w:rPr>
          <w:sz w:val="20"/>
          <w:szCs w:val="20"/>
        </w:rPr>
      </w:pPr>
      <w:r>
        <w:rPr>
          <w:rFonts w:ascii="Arial" w:eastAsia="Arial" w:hAnsi="Arial" w:cs="Arial"/>
          <w:sz w:val="16"/>
          <w:szCs w:val="16"/>
        </w:rPr>
        <w:t>and other costs and after making appropriate deductions</w:t>
      </w:r>
    </w:p>
    <w:p w14:paraId="167EADED" w14:textId="77777777" w:rsidR="00D1587D" w:rsidRDefault="00D1587D">
      <w:pPr>
        <w:spacing w:line="32" w:lineRule="exact"/>
        <w:rPr>
          <w:sz w:val="20"/>
          <w:szCs w:val="20"/>
        </w:rPr>
      </w:pPr>
    </w:p>
    <w:p w14:paraId="14E31213" w14:textId="77777777" w:rsidR="00D1587D" w:rsidRDefault="00410D07">
      <w:pPr>
        <w:ind w:left="4640"/>
        <w:rPr>
          <w:sz w:val="20"/>
          <w:szCs w:val="20"/>
        </w:rPr>
      </w:pPr>
      <w:r>
        <w:rPr>
          <w:rFonts w:ascii="Arial" w:eastAsia="Arial" w:hAnsi="Arial" w:cs="Arial"/>
          <w:sz w:val="16"/>
          <w:szCs w:val="16"/>
        </w:rPr>
        <w:t>of the amounts required to be withheld for U.S. federal</w:t>
      </w:r>
    </w:p>
    <w:p w14:paraId="6639267C" w14:textId="77777777" w:rsidR="00D1587D" w:rsidRDefault="00D1587D">
      <w:pPr>
        <w:spacing w:line="32" w:lineRule="exact"/>
        <w:rPr>
          <w:sz w:val="20"/>
          <w:szCs w:val="20"/>
        </w:rPr>
      </w:pPr>
    </w:p>
    <w:p w14:paraId="39865D1B" w14:textId="77777777" w:rsidR="00D1587D" w:rsidRDefault="00410D07">
      <w:pPr>
        <w:ind w:left="4640"/>
        <w:rPr>
          <w:sz w:val="20"/>
          <w:szCs w:val="20"/>
        </w:rPr>
      </w:pPr>
      <w:r>
        <w:rPr>
          <w:rFonts w:ascii="Arial" w:eastAsia="Arial" w:hAnsi="Arial" w:cs="Arial"/>
          <w:sz w:val="17"/>
          <w:szCs w:val="17"/>
        </w:rPr>
        <w:t>income tax purposes, if any, from the sales pro rata to</w:t>
      </w:r>
    </w:p>
    <w:p w14:paraId="72AEAA86" w14:textId="77777777" w:rsidR="00D1587D" w:rsidRDefault="00D1587D">
      <w:pPr>
        <w:spacing w:line="21" w:lineRule="exact"/>
        <w:rPr>
          <w:sz w:val="20"/>
          <w:szCs w:val="20"/>
        </w:rPr>
      </w:pPr>
    </w:p>
    <w:p w14:paraId="31D0CF17" w14:textId="77777777" w:rsidR="00D1587D" w:rsidRDefault="00410D07">
      <w:pPr>
        <w:ind w:left="4640"/>
        <w:rPr>
          <w:sz w:val="20"/>
          <w:szCs w:val="20"/>
        </w:rPr>
      </w:pPr>
      <w:r>
        <w:rPr>
          <w:rFonts w:ascii="Arial" w:eastAsia="Arial" w:hAnsi="Arial" w:cs="Arial"/>
          <w:sz w:val="16"/>
          <w:szCs w:val="16"/>
        </w:rPr>
        <w:t>each holder who would otherwise have been entitled to</w:t>
      </w:r>
    </w:p>
    <w:p w14:paraId="32A57B4D" w14:textId="77777777" w:rsidR="00D1587D" w:rsidRDefault="00D1587D">
      <w:pPr>
        <w:spacing w:line="32" w:lineRule="exact"/>
        <w:rPr>
          <w:sz w:val="20"/>
          <w:szCs w:val="20"/>
        </w:rPr>
      </w:pPr>
    </w:p>
    <w:p w14:paraId="1177F990" w14:textId="77777777" w:rsidR="00D1587D" w:rsidRDefault="00410D07">
      <w:pPr>
        <w:ind w:left="4640"/>
        <w:rPr>
          <w:sz w:val="20"/>
          <w:szCs w:val="20"/>
        </w:rPr>
      </w:pPr>
      <w:r>
        <w:rPr>
          <w:rFonts w:ascii="Arial" w:eastAsia="Arial" w:hAnsi="Arial" w:cs="Arial"/>
          <w:sz w:val="18"/>
          <w:szCs w:val="18"/>
        </w:rPr>
        <w:t xml:space="preserve">receive a </w:t>
      </w:r>
      <w:r>
        <w:rPr>
          <w:rFonts w:ascii="Arial" w:eastAsia="Arial" w:hAnsi="Arial" w:cs="Arial"/>
          <w:sz w:val="18"/>
          <w:szCs w:val="18"/>
        </w:rPr>
        <w:t>fractional share in the Distribution. The</w:t>
      </w:r>
    </w:p>
    <w:p w14:paraId="42ADD2D1" w14:textId="77777777" w:rsidR="00D1587D" w:rsidRDefault="00D1587D">
      <w:pPr>
        <w:spacing w:line="9" w:lineRule="exact"/>
        <w:rPr>
          <w:sz w:val="20"/>
          <w:szCs w:val="20"/>
        </w:rPr>
      </w:pPr>
    </w:p>
    <w:p w14:paraId="217D7D09" w14:textId="77777777" w:rsidR="00D1587D" w:rsidRDefault="00410D07">
      <w:pPr>
        <w:ind w:left="4640"/>
        <w:rPr>
          <w:sz w:val="20"/>
          <w:szCs w:val="20"/>
        </w:rPr>
      </w:pPr>
      <w:r>
        <w:rPr>
          <w:rFonts w:ascii="Arial" w:eastAsia="Arial" w:hAnsi="Arial" w:cs="Arial"/>
          <w:sz w:val="17"/>
          <w:szCs w:val="17"/>
        </w:rPr>
        <w:t>distribution agent will determine when, how, through</w:t>
      </w:r>
    </w:p>
    <w:p w14:paraId="66328554" w14:textId="77777777" w:rsidR="00D1587D" w:rsidRDefault="00D1587D">
      <w:pPr>
        <w:spacing w:line="21" w:lineRule="exact"/>
        <w:rPr>
          <w:sz w:val="20"/>
          <w:szCs w:val="20"/>
        </w:rPr>
      </w:pPr>
    </w:p>
    <w:p w14:paraId="3B31D729" w14:textId="77777777" w:rsidR="00D1587D" w:rsidRDefault="00410D07">
      <w:pPr>
        <w:ind w:left="4640"/>
        <w:rPr>
          <w:sz w:val="20"/>
          <w:szCs w:val="20"/>
        </w:rPr>
      </w:pPr>
      <w:r>
        <w:rPr>
          <w:rFonts w:ascii="Arial" w:eastAsia="Arial" w:hAnsi="Arial" w:cs="Arial"/>
          <w:sz w:val="18"/>
          <w:szCs w:val="18"/>
        </w:rPr>
        <w:t>which broker-dealers and at what prices to sell the</w:t>
      </w:r>
    </w:p>
    <w:p w14:paraId="02180C1A" w14:textId="77777777" w:rsidR="00D1587D" w:rsidRDefault="00D1587D">
      <w:pPr>
        <w:spacing w:line="9" w:lineRule="exact"/>
        <w:rPr>
          <w:sz w:val="20"/>
          <w:szCs w:val="20"/>
        </w:rPr>
      </w:pPr>
    </w:p>
    <w:p w14:paraId="6F94EA81" w14:textId="77777777" w:rsidR="00D1587D" w:rsidRDefault="00410D07">
      <w:pPr>
        <w:ind w:left="4640"/>
        <w:rPr>
          <w:sz w:val="20"/>
          <w:szCs w:val="20"/>
        </w:rPr>
      </w:pPr>
      <w:r>
        <w:rPr>
          <w:rFonts w:ascii="Arial" w:eastAsia="Arial" w:hAnsi="Arial" w:cs="Arial"/>
          <w:sz w:val="16"/>
          <w:szCs w:val="16"/>
        </w:rPr>
        <w:t>aggregated fractional shares. Recipients of cash in lieu</w:t>
      </w:r>
    </w:p>
    <w:p w14:paraId="3EF54563" w14:textId="77777777" w:rsidR="00D1587D" w:rsidRDefault="00D1587D">
      <w:pPr>
        <w:spacing w:line="32" w:lineRule="exact"/>
        <w:rPr>
          <w:sz w:val="20"/>
          <w:szCs w:val="20"/>
        </w:rPr>
      </w:pPr>
    </w:p>
    <w:p w14:paraId="6273AE5F" w14:textId="77777777" w:rsidR="00D1587D" w:rsidRDefault="00410D07">
      <w:pPr>
        <w:ind w:left="4640"/>
        <w:rPr>
          <w:sz w:val="20"/>
          <w:szCs w:val="20"/>
        </w:rPr>
      </w:pPr>
      <w:r>
        <w:rPr>
          <w:rFonts w:ascii="Arial" w:eastAsia="Arial" w:hAnsi="Arial" w:cs="Arial"/>
          <w:sz w:val="16"/>
          <w:szCs w:val="16"/>
        </w:rPr>
        <w:t>of fractional shares will not be entitled to any</w:t>
      </w:r>
      <w:r>
        <w:rPr>
          <w:rFonts w:ascii="Arial" w:eastAsia="Arial" w:hAnsi="Arial" w:cs="Arial"/>
          <w:sz w:val="16"/>
          <w:szCs w:val="16"/>
        </w:rPr>
        <w:t xml:space="preserve"> minimum</w:t>
      </w:r>
    </w:p>
    <w:p w14:paraId="0AF55053" w14:textId="77777777" w:rsidR="00D1587D" w:rsidRDefault="00D1587D">
      <w:pPr>
        <w:spacing w:line="32" w:lineRule="exact"/>
        <w:rPr>
          <w:sz w:val="20"/>
          <w:szCs w:val="20"/>
        </w:rPr>
      </w:pPr>
    </w:p>
    <w:p w14:paraId="00174384" w14:textId="77777777" w:rsidR="00D1587D" w:rsidRDefault="00410D07">
      <w:pPr>
        <w:ind w:left="4640"/>
        <w:rPr>
          <w:sz w:val="20"/>
          <w:szCs w:val="20"/>
        </w:rPr>
      </w:pPr>
      <w:r>
        <w:rPr>
          <w:rFonts w:ascii="Arial" w:eastAsia="Arial" w:hAnsi="Arial" w:cs="Arial"/>
          <w:sz w:val="16"/>
          <w:szCs w:val="16"/>
        </w:rPr>
        <w:t>sale price for the fractional shares or to any interest on</w:t>
      </w:r>
    </w:p>
    <w:p w14:paraId="1785DDBF" w14:textId="77777777" w:rsidR="00D1587D" w:rsidRDefault="00D1587D">
      <w:pPr>
        <w:spacing w:line="32" w:lineRule="exact"/>
        <w:rPr>
          <w:sz w:val="20"/>
          <w:szCs w:val="20"/>
        </w:rPr>
      </w:pPr>
    </w:p>
    <w:p w14:paraId="0598A41C" w14:textId="77777777" w:rsidR="00D1587D" w:rsidRDefault="00410D07">
      <w:pPr>
        <w:ind w:left="4640"/>
        <w:rPr>
          <w:sz w:val="20"/>
          <w:szCs w:val="20"/>
        </w:rPr>
      </w:pPr>
      <w:r>
        <w:rPr>
          <w:rFonts w:ascii="Arial" w:eastAsia="Arial" w:hAnsi="Arial" w:cs="Arial"/>
          <w:sz w:val="18"/>
          <w:szCs w:val="18"/>
        </w:rPr>
        <w:t>the amounts of payments made in lieu of fractional</w:t>
      </w:r>
    </w:p>
    <w:p w14:paraId="4BDC7E63" w14:textId="77777777" w:rsidR="00D1587D" w:rsidRDefault="00D1587D">
      <w:pPr>
        <w:spacing w:line="9" w:lineRule="exact"/>
        <w:rPr>
          <w:sz w:val="20"/>
          <w:szCs w:val="20"/>
        </w:rPr>
      </w:pPr>
    </w:p>
    <w:p w14:paraId="64E976CB" w14:textId="77777777" w:rsidR="00D1587D" w:rsidRDefault="00410D07">
      <w:pPr>
        <w:ind w:left="4640"/>
        <w:rPr>
          <w:sz w:val="20"/>
          <w:szCs w:val="20"/>
        </w:rPr>
      </w:pPr>
      <w:r>
        <w:rPr>
          <w:rFonts w:ascii="Arial" w:eastAsia="Arial" w:hAnsi="Arial" w:cs="Arial"/>
          <w:sz w:val="17"/>
          <w:szCs w:val="17"/>
        </w:rPr>
        <w:t>shares. The receipt of cash in lieu of fractional shares</w:t>
      </w:r>
    </w:p>
    <w:p w14:paraId="6B7F47C6" w14:textId="77777777" w:rsidR="00D1587D" w:rsidRDefault="00D1587D">
      <w:pPr>
        <w:spacing w:line="21" w:lineRule="exact"/>
        <w:rPr>
          <w:sz w:val="20"/>
          <w:szCs w:val="20"/>
        </w:rPr>
      </w:pPr>
    </w:p>
    <w:p w14:paraId="0CF164B4" w14:textId="77777777" w:rsidR="00D1587D" w:rsidRDefault="00410D07">
      <w:pPr>
        <w:ind w:left="4640"/>
        <w:rPr>
          <w:sz w:val="20"/>
          <w:szCs w:val="20"/>
        </w:rPr>
      </w:pPr>
      <w:r>
        <w:rPr>
          <w:rFonts w:ascii="Arial" w:eastAsia="Arial" w:hAnsi="Arial" w:cs="Arial"/>
          <w:sz w:val="18"/>
          <w:szCs w:val="18"/>
        </w:rPr>
        <w:t>generally will be</w:t>
      </w:r>
    </w:p>
    <w:p w14:paraId="23B104EA" w14:textId="77777777" w:rsidR="00D1587D" w:rsidRDefault="00D1587D">
      <w:pPr>
        <w:sectPr w:rsidR="00D1587D">
          <w:type w:val="continuous"/>
          <w:pgSz w:w="11900" w:h="16838"/>
          <w:pgMar w:top="265" w:right="1440" w:bottom="1440" w:left="1440" w:header="0" w:footer="0" w:gutter="0"/>
          <w:cols w:space="720" w:equalWidth="0">
            <w:col w:w="9019"/>
          </w:cols>
        </w:sectPr>
      </w:pPr>
    </w:p>
    <w:p w14:paraId="59164F56" w14:textId="77777777" w:rsidR="00D1587D" w:rsidRDefault="00D1587D">
      <w:pPr>
        <w:spacing w:line="200" w:lineRule="exact"/>
        <w:rPr>
          <w:sz w:val="20"/>
          <w:szCs w:val="20"/>
        </w:rPr>
      </w:pPr>
    </w:p>
    <w:p w14:paraId="47EE7746" w14:textId="77777777" w:rsidR="00D1587D" w:rsidRDefault="00D1587D">
      <w:pPr>
        <w:spacing w:line="240" w:lineRule="exact"/>
        <w:rPr>
          <w:sz w:val="20"/>
          <w:szCs w:val="20"/>
        </w:rPr>
      </w:pPr>
    </w:p>
    <w:p w14:paraId="22629AE3" w14:textId="77777777" w:rsidR="00D1587D" w:rsidRDefault="00410D07">
      <w:pPr>
        <w:jc w:val="center"/>
        <w:rPr>
          <w:sz w:val="20"/>
          <w:szCs w:val="20"/>
        </w:rPr>
      </w:pPr>
      <w:r>
        <w:rPr>
          <w:rFonts w:ascii="Arial" w:eastAsia="Arial" w:hAnsi="Arial" w:cs="Arial"/>
          <w:sz w:val="16"/>
          <w:szCs w:val="16"/>
        </w:rPr>
        <w:t>12</w:t>
      </w:r>
    </w:p>
    <w:p w14:paraId="3BDCC3DE" w14:textId="77777777" w:rsidR="00D1587D" w:rsidRDefault="00410D07">
      <w:pPr>
        <w:spacing w:line="20" w:lineRule="exact"/>
        <w:rPr>
          <w:sz w:val="20"/>
          <w:szCs w:val="20"/>
        </w:rPr>
      </w:pPr>
      <w:r>
        <w:rPr>
          <w:noProof/>
          <w:sz w:val="20"/>
          <w:szCs w:val="20"/>
        </w:rPr>
        <w:drawing>
          <wp:anchor distT="0" distB="0" distL="114300" distR="114300" simplePos="0" relativeHeight="251450368" behindDoc="1" locked="0" layoutInCell="0" allowOverlap="1" wp14:anchorId="252D543F" wp14:editId="5705CBA7">
            <wp:simplePos x="0" y="0"/>
            <wp:positionH relativeFrom="column">
              <wp:posOffset>-636905</wp:posOffset>
            </wp:positionH>
            <wp:positionV relativeFrom="paragraph">
              <wp:posOffset>140970</wp:posOffset>
            </wp:positionV>
            <wp:extent cx="6995160" cy="17145"/>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F52E77A"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270" w:name="page271"/>
    <w:bookmarkEnd w:id="270"/>
    <w:p w14:paraId="4A870644"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9083B77" w14:textId="77777777" w:rsidR="00D1587D" w:rsidRDefault="00410D07">
      <w:pPr>
        <w:spacing w:line="20" w:lineRule="exact"/>
        <w:rPr>
          <w:sz w:val="20"/>
          <w:szCs w:val="20"/>
        </w:rPr>
      </w:pPr>
      <w:r>
        <w:rPr>
          <w:noProof/>
          <w:sz w:val="20"/>
          <w:szCs w:val="20"/>
        </w:rPr>
        <w:drawing>
          <wp:anchor distT="0" distB="0" distL="114300" distR="114300" simplePos="0" relativeHeight="251451392" behindDoc="1" locked="0" layoutInCell="0" allowOverlap="1" wp14:anchorId="1462AC8C" wp14:editId="28823966">
            <wp:simplePos x="0" y="0"/>
            <wp:positionH relativeFrom="column">
              <wp:posOffset>46355</wp:posOffset>
            </wp:positionH>
            <wp:positionV relativeFrom="paragraph">
              <wp:posOffset>90170</wp:posOffset>
            </wp:positionV>
            <wp:extent cx="5653405" cy="6802120"/>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1"/>
                    <a:srcRect/>
                    <a:stretch>
                      <a:fillRect/>
                    </a:stretch>
                  </pic:blipFill>
                  <pic:spPr bwMode="auto">
                    <a:xfrm>
                      <a:off x="0" y="0"/>
                      <a:ext cx="5653405" cy="6802120"/>
                    </a:xfrm>
                    <a:prstGeom prst="rect">
                      <a:avLst/>
                    </a:prstGeom>
                    <a:noFill/>
                  </pic:spPr>
                </pic:pic>
              </a:graphicData>
            </a:graphic>
          </wp:anchor>
        </w:drawing>
      </w:r>
    </w:p>
    <w:p w14:paraId="0BDE1921" w14:textId="77777777" w:rsidR="00D1587D" w:rsidRDefault="00D1587D">
      <w:pPr>
        <w:spacing w:line="200" w:lineRule="exact"/>
        <w:rPr>
          <w:sz w:val="20"/>
          <w:szCs w:val="20"/>
        </w:rPr>
      </w:pPr>
    </w:p>
    <w:p w14:paraId="6276B2BF" w14:textId="77777777" w:rsidR="00D1587D" w:rsidRDefault="00D1587D">
      <w:pPr>
        <w:spacing w:line="275" w:lineRule="exact"/>
        <w:rPr>
          <w:sz w:val="20"/>
          <w:szCs w:val="20"/>
        </w:rPr>
      </w:pPr>
    </w:p>
    <w:tbl>
      <w:tblPr>
        <w:tblW w:w="0" w:type="auto"/>
        <w:tblInd w:w="320" w:type="dxa"/>
        <w:tblLayout w:type="fixed"/>
        <w:tblCellMar>
          <w:left w:w="0" w:type="dxa"/>
          <w:right w:w="0" w:type="dxa"/>
        </w:tblCellMar>
        <w:tblLook w:val="04A0" w:firstRow="1" w:lastRow="0" w:firstColumn="1" w:lastColumn="0" w:noHBand="0" w:noVBand="1"/>
      </w:tblPr>
      <w:tblGrid>
        <w:gridCol w:w="3300"/>
        <w:gridCol w:w="1220"/>
        <w:gridCol w:w="3880"/>
      </w:tblGrid>
      <w:tr w:rsidR="00D1587D" w14:paraId="748C9330" w14:textId="77777777">
        <w:trPr>
          <w:trHeight w:val="216"/>
        </w:trPr>
        <w:tc>
          <w:tcPr>
            <w:tcW w:w="3300" w:type="dxa"/>
            <w:vAlign w:val="bottom"/>
          </w:tcPr>
          <w:p w14:paraId="7EB42638" w14:textId="77777777" w:rsidR="00D1587D" w:rsidRDefault="00D1587D">
            <w:pPr>
              <w:rPr>
                <w:sz w:val="18"/>
                <w:szCs w:val="18"/>
              </w:rPr>
            </w:pPr>
          </w:p>
        </w:tc>
        <w:tc>
          <w:tcPr>
            <w:tcW w:w="5100" w:type="dxa"/>
            <w:gridSpan w:val="2"/>
            <w:vAlign w:val="bottom"/>
          </w:tcPr>
          <w:p w14:paraId="602B3491" w14:textId="77777777" w:rsidR="00D1587D" w:rsidRDefault="00410D07">
            <w:pPr>
              <w:ind w:left="1020"/>
              <w:rPr>
                <w:sz w:val="20"/>
                <w:szCs w:val="20"/>
              </w:rPr>
            </w:pPr>
            <w:r>
              <w:rPr>
                <w:rFonts w:ascii="Arial" w:eastAsia="Arial" w:hAnsi="Arial" w:cs="Arial"/>
                <w:w w:val="98"/>
                <w:sz w:val="18"/>
                <w:szCs w:val="18"/>
              </w:rPr>
              <w:t>taxable to the recipient stockholders for U.S. federal</w:t>
            </w:r>
          </w:p>
        </w:tc>
      </w:tr>
      <w:tr w:rsidR="00D1587D" w14:paraId="7603FE1A" w14:textId="77777777">
        <w:trPr>
          <w:trHeight w:val="216"/>
        </w:trPr>
        <w:tc>
          <w:tcPr>
            <w:tcW w:w="3300" w:type="dxa"/>
            <w:vAlign w:val="bottom"/>
          </w:tcPr>
          <w:p w14:paraId="4FF78396" w14:textId="77777777" w:rsidR="00D1587D" w:rsidRDefault="00D1587D">
            <w:pPr>
              <w:rPr>
                <w:sz w:val="18"/>
                <w:szCs w:val="18"/>
              </w:rPr>
            </w:pPr>
          </w:p>
        </w:tc>
        <w:tc>
          <w:tcPr>
            <w:tcW w:w="5100" w:type="dxa"/>
            <w:gridSpan w:val="2"/>
            <w:vAlign w:val="bottom"/>
          </w:tcPr>
          <w:p w14:paraId="657FE1BD" w14:textId="77777777" w:rsidR="00D1587D" w:rsidRDefault="00410D07">
            <w:pPr>
              <w:ind w:left="1020"/>
              <w:rPr>
                <w:sz w:val="20"/>
                <w:szCs w:val="20"/>
              </w:rPr>
            </w:pPr>
            <w:r>
              <w:rPr>
                <w:rFonts w:ascii="Arial" w:eastAsia="Arial" w:hAnsi="Arial" w:cs="Arial"/>
                <w:w w:val="91"/>
                <w:sz w:val="18"/>
                <w:szCs w:val="18"/>
              </w:rPr>
              <w:t>income tax purposes as described in “The Separation—</w:t>
            </w:r>
          </w:p>
        </w:tc>
      </w:tr>
      <w:tr w:rsidR="00D1587D" w14:paraId="3229D2BC" w14:textId="77777777">
        <w:trPr>
          <w:trHeight w:val="216"/>
        </w:trPr>
        <w:tc>
          <w:tcPr>
            <w:tcW w:w="3300" w:type="dxa"/>
            <w:vAlign w:val="bottom"/>
          </w:tcPr>
          <w:p w14:paraId="1238219C" w14:textId="77777777" w:rsidR="00D1587D" w:rsidRDefault="00D1587D">
            <w:pPr>
              <w:rPr>
                <w:sz w:val="18"/>
                <w:szCs w:val="18"/>
              </w:rPr>
            </w:pPr>
          </w:p>
        </w:tc>
        <w:tc>
          <w:tcPr>
            <w:tcW w:w="5100" w:type="dxa"/>
            <w:gridSpan w:val="2"/>
            <w:vAlign w:val="bottom"/>
          </w:tcPr>
          <w:p w14:paraId="0E6E2262" w14:textId="77777777" w:rsidR="00D1587D" w:rsidRDefault="00410D07">
            <w:pPr>
              <w:ind w:left="1020"/>
              <w:rPr>
                <w:sz w:val="20"/>
                <w:szCs w:val="20"/>
              </w:rPr>
            </w:pPr>
            <w:r>
              <w:rPr>
                <w:rFonts w:ascii="Arial" w:eastAsia="Arial" w:hAnsi="Arial" w:cs="Arial"/>
                <w:w w:val="91"/>
                <w:sz w:val="18"/>
                <w:szCs w:val="18"/>
              </w:rPr>
              <w:t>Material U.S. Federal Income Tax Consequences of the</w:t>
            </w:r>
          </w:p>
        </w:tc>
      </w:tr>
      <w:tr w:rsidR="00D1587D" w14:paraId="6D581796" w14:textId="77777777">
        <w:trPr>
          <w:trHeight w:val="230"/>
        </w:trPr>
        <w:tc>
          <w:tcPr>
            <w:tcW w:w="3300" w:type="dxa"/>
            <w:vAlign w:val="bottom"/>
          </w:tcPr>
          <w:p w14:paraId="09863491" w14:textId="77777777" w:rsidR="00D1587D" w:rsidRDefault="00D1587D">
            <w:pPr>
              <w:rPr>
                <w:sz w:val="20"/>
                <w:szCs w:val="20"/>
              </w:rPr>
            </w:pPr>
          </w:p>
        </w:tc>
        <w:tc>
          <w:tcPr>
            <w:tcW w:w="5100" w:type="dxa"/>
            <w:gridSpan w:val="2"/>
            <w:vAlign w:val="bottom"/>
          </w:tcPr>
          <w:p w14:paraId="7C9B4FFA" w14:textId="77777777" w:rsidR="00D1587D" w:rsidRDefault="00410D07">
            <w:pPr>
              <w:ind w:left="1020"/>
              <w:rPr>
                <w:sz w:val="20"/>
                <w:szCs w:val="20"/>
              </w:rPr>
            </w:pPr>
            <w:r>
              <w:rPr>
                <w:rFonts w:ascii="Arial" w:eastAsia="Arial" w:hAnsi="Arial" w:cs="Arial"/>
                <w:sz w:val="18"/>
                <w:szCs w:val="18"/>
              </w:rPr>
              <w:t>Distribution.”</w:t>
            </w:r>
          </w:p>
        </w:tc>
      </w:tr>
      <w:tr w:rsidR="00D1587D" w14:paraId="07A0F59A" w14:textId="77777777">
        <w:trPr>
          <w:trHeight w:val="337"/>
        </w:trPr>
        <w:tc>
          <w:tcPr>
            <w:tcW w:w="3300" w:type="dxa"/>
            <w:vAlign w:val="bottom"/>
          </w:tcPr>
          <w:p w14:paraId="678DD9BD" w14:textId="77777777" w:rsidR="00D1587D" w:rsidRDefault="00410D07">
            <w:pPr>
              <w:rPr>
                <w:sz w:val="20"/>
                <w:szCs w:val="20"/>
              </w:rPr>
            </w:pPr>
            <w:r>
              <w:rPr>
                <w:rFonts w:ascii="Arial" w:eastAsia="Arial" w:hAnsi="Arial" w:cs="Arial"/>
                <w:b/>
                <w:bCs/>
                <w:sz w:val="18"/>
                <w:szCs w:val="18"/>
              </w:rPr>
              <w:t>Distribution Method</w:t>
            </w:r>
          </w:p>
        </w:tc>
        <w:tc>
          <w:tcPr>
            <w:tcW w:w="5100" w:type="dxa"/>
            <w:gridSpan w:val="2"/>
            <w:vAlign w:val="bottom"/>
          </w:tcPr>
          <w:p w14:paraId="47E7186D" w14:textId="77777777" w:rsidR="00D1587D" w:rsidRDefault="00410D07">
            <w:pPr>
              <w:ind w:left="1020"/>
              <w:rPr>
                <w:sz w:val="20"/>
                <w:szCs w:val="20"/>
              </w:rPr>
            </w:pPr>
            <w:r>
              <w:rPr>
                <w:rFonts w:ascii="Arial" w:eastAsia="Arial" w:hAnsi="Arial" w:cs="Arial"/>
                <w:sz w:val="18"/>
                <w:szCs w:val="18"/>
              </w:rPr>
              <w:t>VS common stock will be issued only by direct</w:t>
            </w:r>
          </w:p>
        </w:tc>
      </w:tr>
      <w:tr w:rsidR="00D1587D" w14:paraId="21C8771D" w14:textId="77777777">
        <w:trPr>
          <w:trHeight w:val="216"/>
        </w:trPr>
        <w:tc>
          <w:tcPr>
            <w:tcW w:w="3300" w:type="dxa"/>
            <w:vAlign w:val="bottom"/>
          </w:tcPr>
          <w:p w14:paraId="44FACCEB" w14:textId="77777777" w:rsidR="00D1587D" w:rsidRDefault="00D1587D">
            <w:pPr>
              <w:rPr>
                <w:sz w:val="18"/>
                <w:szCs w:val="18"/>
              </w:rPr>
            </w:pPr>
          </w:p>
        </w:tc>
        <w:tc>
          <w:tcPr>
            <w:tcW w:w="5100" w:type="dxa"/>
            <w:gridSpan w:val="2"/>
            <w:vAlign w:val="bottom"/>
          </w:tcPr>
          <w:p w14:paraId="64942125" w14:textId="77777777" w:rsidR="00D1587D" w:rsidRDefault="00410D07">
            <w:pPr>
              <w:ind w:left="1020"/>
              <w:rPr>
                <w:sz w:val="20"/>
                <w:szCs w:val="20"/>
              </w:rPr>
            </w:pPr>
            <w:r>
              <w:rPr>
                <w:rFonts w:ascii="Arial" w:eastAsia="Arial" w:hAnsi="Arial" w:cs="Arial"/>
                <w:w w:val="98"/>
                <w:sz w:val="18"/>
                <w:szCs w:val="18"/>
              </w:rPr>
              <w:t>registration in book-entry form. Registration in book-</w:t>
            </w:r>
          </w:p>
        </w:tc>
      </w:tr>
      <w:tr w:rsidR="00D1587D" w14:paraId="02167F61" w14:textId="77777777">
        <w:trPr>
          <w:trHeight w:val="216"/>
        </w:trPr>
        <w:tc>
          <w:tcPr>
            <w:tcW w:w="3300" w:type="dxa"/>
            <w:vAlign w:val="bottom"/>
          </w:tcPr>
          <w:p w14:paraId="228E51E1" w14:textId="77777777" w:rsidR="00D1587D" w:rsidRDefault="00D1587D">
            <w:pPr>
              <w:rPr>
                <w:sz w:val="18"/>
                <w:szCs w:val="18"/>
              </w:rPr>
            </w:pPr>
          </w:p>
        </w:tc>
        <w:tc>
          <w:tcPr>
            <w:tcW w:w="5100" w:type="dxa"/>
            <w:gridSpan w:val="2"/>
            <w:vAlign w:val="bottom"/>
          </w:tcPr>
          <w:p w14:paraId="48E7DD02" w14:textId="77777777" w:rsidR="00D1587D" w:rsidRDefault="00410D07">
            <w:pPr>
              <w:ind w:left="1020"/>
              <w:rPr>
                <w:sz w:val="20"/>
                <w:szCs w:val="20"/>
              </w:rPr>
            </w:pPr>
            <w:r>
              <w:rPr>
                <w:rFonts w:ascii="Arial" w:eastAsia="Arial" w:hAnsi="Arial" w:cs="Arial"/>
                <w:w w:val="98"/>
                <w:sz w:val="18"/>
                <w:szCs w:val="18"/>
              </w:rPr>
              <w:t>entry form is a method of recording stock ownership</w:t>
            </w:r>
          </w:p>
        </w:tc>
      </w:tr>
      <w:tr w:rsidR="00D1587D" w14:paraId="602FE338" w14:textId="77777777">
        <w:trPr>
          <w:trHeight w:val="216"/>
        </w:trPr>
        <w:tc>
          <w:tcPr>
            <w:tcW w:w="3300" w:type="dxa"/>
            <w:vAlign w:val="bottom"/>
          </w:tcPr>
          <w:p w14:paraId="34216410" w14:textId="77777777" w:rsidR="00D1587D" w:rsidRDefault="00D1587D">
            <w:pPr>
              <w:rPr>
                <w:sz w:val="18"/>
                <w:szCs w:val="18"/>
              </w:rPr>
            </w:pPr>
          </w:p>
        </w:tc>
        <w:tc>
          <w:tcPr>
            <w:tcW w:w="5100" w:type="dxa"/>
            <w:gridSpan w:val="2"/>
            <w:vAlign w:val="bottom"/>
          </w:tcPr>
          <w:p w14:paraId="000879A8" w14:textId="77777777" w:rsidR="00D1587D" w:rsidRDefault="00410D07">
            <w:pPr>
              <w:ind w:left="1020"/>
              <w:rPr>
                <w:sz w:val="20"/>
                <w:szCs w:val="20"/>
              </w:rPr>
            </w:pPr>
            <w:r>
              <w:rPr>
                <w:rFonts w:ascii="Arial" w:eastAsia="Arial" w:hAnsi="Arial" w:cs="Arial"/>
                <w:w w:val="92"/>
                <w:sz w:val="18"/>
                <w:szCs w:val="18"/>
              </w:rPr>
              <w:t>when no physical paper share certificates are issued to</w:t>
            </w:r>
          </w:p>
        </w:tc>
      </w:tr>
      <w:tr w:rsidR="00D1587D" w14:paraId="05A874B6" w14:textId="77777777">
        <w:trPr>
          <w:trHeight w:val="230"/>
        </w:trPr>
        <w:tc>
          <w:tcPr>
            <w:tcW w:w="3300" w:type="dxa"/>
            <w:vAlign w:val="bottom"/>
          </w:tcPr>
          <w:p w14:paraId="282CB63C" w14:textId="77777777" w:rsidR="00D1587D" w:rsidRDefault="00D1587D">
            <w:pPr>
              <w:rPr>
                <w:sz w:val="20"/>
                <w:szCs w:val="20"/>
              </w:rPr>
            </w:pPr>
          </w:p>
        </w:tc>
        <w:tc>
          <w:tcPr>
            <w:tcW w:w="5100" w:type="dxa"/>
            <w:gridSpan w:val="2"/>
            <w:vAlign w:val="bottom"/>
          </w:tcPr>
          <w:p w14:paraId="5657E992" w14:textId="77777777" w:rsidR="00D1587D" w:rsidRDefault="00410D07">
            <w:pPr>
              <w:ind w:left="1020"/>
              <w:rPr>
                <w:sz w:val="20"/>
                <w:szCs w:val="20"/>
              </w:rPr>
            </w:pPr>
            <w:r>
              <w:rPr>
                <w:rFonts w:ascii="Arial" w:eastAsia="Arial" w:hAnsi="Arial" w:cs="Arial"/>
                <w:sz w:val="18"/>
                <w:szCs w:val="18"/>
              </w:rPr>
              <w:t>stockholders, as is the case in this Distribution.</w:t>
            </w:r>
          </w:p>
        </w:tc>
      </w:tr>
      <w:tr w:rsidR="00D1587D" w14:paraId="24B0FB5E" w14:textId="77777777">
        <w:trPr>
          <w:trHeight w:val="350"/>
        </w:trPr>
        <w:tc>
          <w:tcPr>
            <w:tcW w:w="3300" w:type="dxa"/>
            <w:vAlign w:val="bottom"/>
          </w:tcPr>
          <w:p w14:paraId="2A922876" w14:textId="77777777" w:rsidR="00D1587D" w:rsidRDefault="00410D07">
            <w:pPr>
              <w:rPr>
                <w:sz w:val="20"/>
                <w:szCs w:val="20"/>
              </w:rPr>
            </w:pPr>
            <w:r>
              <w:rPr>
                <w:rFonts w:ascii="Arial" w:eastAsia="Arial" w:hAnsi="Arial" w:cs="Arial"/>
                <w:b/>
                <w:bCs/>
                <w:sz w:val="18"/>
                <w:szCs w:val="18"/>
              </w:rPr>
              <w:t>Conditions to the Distribution</w:t>
            </w:r>
          </w:p>
        </w:tc>
        <w:tc>
          <w:tcPr>
            <w:tcW w:w="5100" w:type="dxa"/>
            <w:gridSpan w:val="2"/>
            <w:vAlign w:val="bottom"/>
          </w:tcPr>
          <w:p w14:paraId="4426EF23" w14:textId="77777777" w:rsidR="00D1587D" w:rsidRDefault="00410D07">
            <w:pPr>
              <w:ind w:left="1020"/>
              <w:rPr>
                <w:sz w:val="20"/>
                <w:szCs w:val="20"/>
              </w:rPr>
            </w:pPr>
            <w:r>
              <w:rPr>
                <w:rFonts w:ascii="Arial" w:eastAsia="Arial" w:hAnsi="Arial" w:cs="Arial"/>
                <w:w w:val="94"/>
                <w:sz w:val="18"/>
                <w:szCs w:val="18"/>
              </w:rPr>
              <w:t>The Distribution is subject to the satisfaction or waiver</w:t>
            </w:r>
          </w:p>
        </w:tc>
      </w:tr>
      <w:tr w:rsidR="00D1587D" w14:paraId="4B98E028" w14:textId="77777777">
        <w:trPr>
          <w:trHeight w:val="216"/>
        </w:trPr>
        <w:tc>
          <w:tcPr>
            <w:tcW w:w="3300" w:type="dxa"/>
            <w:vAlign w:val="bottom"/>
          </w:tcPr>
          <w:p w14:paraId="34A7FCF9" w14:textId="77777777" w:rsidR="00D1587D" w:rsidRDefault="00D1587D">
            <w:pPr>
              <w:rPr>
                <w:sz w:val="18"/>
                <w:szCs w:val="18"/>
              </w:rPr>
            </w:pPr>
          </w:p>
        </w:tc>
        <w:tc>
          <w:tcPr>
            <w:tcW w:w="5100" w:type="dxa"/>
            <w:gridSpan w:val="2"/>
            <w:vAlign w:val="bottom"/>
          </w:tcPr>
          <w:p w14:paraId="2BA09C4C" w14:textId="77777777" w:rsidR="00D1587D" w:rsidRDefault="00410D07">
            <w:pPr>
              <w:ind w:left="1020"/>
              <w:rPr>
                <w:sz w:val="20"/>
                <w:szCs w:val="20"/>
              </w:rPr>
            </w:pPr>
            <w:r>
              <w:rPr>
                <w:rFonts w:ascii="Arial" w:eastAsia="Arial" w:hAnsi="Arial" w:cs="Arial"/>
                <w:sz w:val="18"/>
                <w:szCs w:val="18"/>
              </w:rPr>
              <w:t>by LB of the following conditions, as well as other</w:t>
            </w:r>
          </w:p>
        </w:tc>
      </w:tr>
      <w:tr w:rsidR="00D1587D" w14:paraId="7B5DC9B3" w14:textId="77777777">
        <w:trPr>
          <w:trHeight w:val="216"/>
        </w:trPr>
        <w:tc>
          <w:tcPr>
            <w:tcW w:w="3300" w:type="dxa"/>
            <w:vAlign w:val="bottom"/>
          </w:tcPr>
          <w:p w14:paraId="42DC427C" w14:textId="77777777" w:rsidR="00D1587D" w:rsidRDefault="00D1587D">
            <w:pPr>
              <w:rPr>
                <w:sz w:val="18"/>
                <w:szCs w:val="18"/>
              </w:rPr>
            </w:pPr>
          </w:p>
        </w:tc>
        <w:tc>
          <w:tcPr>
            <w:tcW w:w="5100" w:type="dxa"/>
            <w:gridSpan w:val="2"/>
            <w:vAlign w:val="bottom"/>
          </w:tcPr>
          <w:p w14:paraId="16EF74BA" w14:textId="77777777" w:rsidR="00D1587D" w:rsidRDefault="00410D07">
            <w:pPr>
              <w:ind w:left="1020"/>
              <w:rPr>
                <w:sz w:val="20"/>
                <w:szCs w:val="20"/>
              </w:rPr>
            </w:pPr>
            <w:r>
              <w:rPr>
                <w:rFonts w:ascii="Arial" w:eastAsia="Arial" w:hAnsi="Arial" w:cs="Arial"/>
                <w:w w:val="98"/>
                <w:sz w:val="18"/>
                <w:szCs w:val="18"/>
              </w:rPr>
              <w:t>conditions described in this information statement in</w:t>
            </w:r>
          </w:p>
        </w:tc>
      </w:tr>
      <w:tr w:rsidR="00D1587D" w14:paraId="1A241132" w14:textId="77777777">
        <w:trPr>
          <w:trHeight w:val="230"/>
        </w:trPr>
        <w:tc>
          <w:tcPr>
            <w:tcW w:w="3300" w:type="dxa"/>
            <w:vAlign w:val="bottom"/>
          </w:tcPr>
          <w:p w14:paraId="580FD8D4" w14:textId="77777777" w:rsidR="00D1587D" w:rsidRDefault="00D1587D">
            <w:pPr>
              <w:rPr>
                <w:sz w:val="20"/>
                <w:szCs w:val="20"/>
              </w:rPr>
            </w:pPr>
          </w:p>
        </w:tc>
        <w:tc>
          <w:tcPr>
            <w:tcW w:w="5100" w:type="dxa"/>
            <w:gridSpan w:val="2"/>
            <w:vAlign w:val="bottom"/>
          </w:tcPr>
          <w:p w14:paraId="72FE2025" w14:textId="77777777" w:rsidR="00D1587D" w:rsidRDefault="00410D07">
            <w:pPr>
              <w:ind w:left="1020"/>
              <w:rPr>
                <w:sz w:val="20"/>
                <w:szCs w:val="20"/>
              </w:rPr>
            </w:pPr>
            <w:r>
              <w:rPr>
                <w:rFonts w:ascii="Arial" w:eastAsia="Arial" w:hAnsi="Arial" w:cs="Arial"/>
                <w:sz w:val="18"/>
                <w:szCs w:val="18"/>
              </w:rPr>
              <w:t>“The Separation—Conditions to the Distribution”:</w:t>
            </w:r>
          </w:p>
        </w:tc>
      </w:tr>
      <w:tr w:rsidR="00D1587D" w14:paraId="2760BA4C" w14:textId="77777777">
        <w:trPr>
          <w:trHeight w:val="310"/>
        </w:trPr>
        <w:tc>
          <w:tcPr>
            <w:tcW w:w="3300" w:type="dxa"/>
            <w:vAlign w:val="bottom"/>
          </w:tcPr>
          <w:p w14:paraId="74B4786A" w14:textId="77777777" w:rsidR="00D1587D" w:rsidRDefault="00D1587D">
            <w:pPr>
              <w:rPr>
                <w:sz w:val="24"/>
                <w:szCs w:val="24"/>
              </w:rPr>
            </w:pPr>
          </w:p>
        </w:tc>
        <w:tc>
          <w:tcPr>
            <w:tcW w:w="1220" w:type="dxa"/>
            <w:vAlign w:val="bottom"/>
          </w:tcPr>
          <w:p w14:paraId="4A7C5EC3" w14:textId="77777777" w:rsidR="00D1587D" w:rsidRDefault="00410D07">
            <w:pPr>
              <w:ind w:left="1020"/>
              <w:rPr>
                <w:sz w:val="20"/>
                <w:szCs w:val="20"/>
              </w:rPr>
            </w:pPr>
            <w:r>
              <w:rPr>
                <w:rFonts w:ascii="Arial" w:eastAsia="Arial" w:hAnsi="Arial" w:cs="Arial"/>
                <w:sz w:val="18"/>
                <w:szCs w:val="18"/>
              </w:rPr>
              <w:t>•</w:t>
            </w:r>
          </w:p>
        </w:tc>
        <w:tc>
          <w:tcPr>
            <w:tcW w:w="3880" w:type="dxa"/>
            <w:vAlign w:val="bottom"/>
          </w:tcPr>
          <w:p w14:paraId="204C3A2E" w14:textId="77777777" w:rsidR="00D1587D" w:rsidRDefault="00410D07">
            <w:pPr>
              <w:ind w:left="140"/>
              <w:rPr>
                <w:sz w:val="20"/>
                <w:szCs w:val="20"/>
              </w:rPr>
            </w:pPr>
            <w:r>
              <w:rPr>
                <w:rFonts w:ascii="Arial" w:eastAsia="Arial" w:hAnsi="Arial" w:cs="Arial"/>
                <w:sz w:val="18"/>
                <w:szCs w:val="18"/>
              </w:rPr>
              <w:t>The SEC will have declared effective our</w:t>
            </w:r>
          </w:p>
        </w:tc>
      </w:tr>
      <w:tr w:rsidR="00D1587D" w14:paraId="19CD7039" w14:textId="77777777">
        <w:trPr>
          <w:trHeight w:val="216"/>
        </w:trPr>
        <w:tc>
          <w:tcPr>
            <w:tcW w:w="3300" w:type="dxa"/>
            <w:vAlign w:val="bottom"/>
          </w:tcPr>
          <w:p w14:paraId="44D7C94E" w14:textId="77777777" w:rsidR="00D1587D" w:rsidRDefault="00D1587D">
            <w:pPr>
              <w:rPr>
                <w:sz w:val="18"/>
                <w:szCs w:val="18"/>
              </w:rPr>
            </w:pPr>
          </w:p>
        </w:tc>
        <w:tc>
          <w:tcPr>
            <w:tcW w:w="1220" w:type="dxa"/>
            <w:vAlign w:val="bottom"/>
          </w:tcPr>
          <w:p w14:paraId="25528B0E" w14:textId="77777777" w:rsidR="00D1587D" w:rsidRDefault="00D1587D">
            <w:pPr>
              <w:rPr>
                <w:sz w:val="18"/>
                <w:szCs w:val="18"/>
              </w:rPr>
            </w:pPr>
          </w:p>
        </w:tc>
        <w:tc>
          <w:tcPr>
            <w:tcW w:w="3880" w:type="dxa"/>
            <w:vAlign w:val="bottom"/>
          </w:tcPr>
          <w:p w14:paraId="6AAD6A21" w14:textId="77777777" w:rsidR="00D1587D" w:rsidRDefault="00410D07">
            <w:pPr>
              <w:ind w:left="140"/>
              <w:rPr>
                <w:sz w:val="20"/>
                <w:szCs w:val="20"/>
              </w:rPr>
            </w:pPr>
            <w:r>
              <w:rPr>
                <w:rFonts w:ascii="Arial" w:eastAsia="Arial" w:hAnsi="Arial" w:cs="Arial"/>
                <w:w w:val="98"/>
                <w:sz w:val="18"/>
                <w:szCs w:val="18"/>
              </w:rPr>
              <w:t>registration statement on Form 10, of which this</w:t>
            </w:r>
          </w:p>
        </w:tc>
      </w:tr>
      <w:tr w:rsidR="00D1587D" w14:paraId="32234B25" w14:textId="77777777">
        <w:trPr>
          <w:trHeight w:val="216"/>
        </w:trPr>
        <w:tc>
          <w:tcPr>
            <w:tcW w:w="3300" w:type="dxa"/>
            <w:vAlign w:val="bottom"/>
          </w:tcPr>
          <w:p w14:paraId="7956F453" w14:textId="77777777" w:rsidR="00D1587D" w:rsidRDefault="00D1587D">
            <w:pPr>
              <w:rPr>
                <w:sz w:val="18"/>
                <w:szCs w:val="18"/>
              </w:rPr>
            </w:pPr>
          </w:p>
        </w:tc>
        <w:tc>
          <w:tcPr>
            <w:tcW w:w="1220" w:type="dxa"/>
            <w:vAlign w:val="bottom"/>
          </w:tcPr>
          <w:p w14:paraId="17E80825" w14:textId="77777777" w:rsidR="00D1587D" w:rsidRDefault="00D1587D">
            <w:pPr>
              <w:rPr>
                <w:sz w:val="18"/>
                <w:szCs w:val="18"/>
              </w:rPr>
            </w:pPr>
          </w:p>
        </w:tc>
        <w:tc>
          <w:tcPr>
            <w:tcW w:w="3880" w:type="dxa"/>
            <w:vAlign w:val="bottom"/>
          </w:tcPr>
          <w:p w14:paraId="3B8D2DD0" w14:textId="77777777" w:rsidR="00D1587D" w:rsidRDefault="00410D07">
            <w:pPr>
              <w:ind w:left="140"/>
              <w:rPr>
                <w:sz w:val="20"/>
                <w:szCs w:val="20"/>
              </w:rPr>
            </w:pPr>
            <w:r>
              <w:rPr>
                <w:rFonts w:ascii="Arial" w:eastAsia="Arial" w:hAnsi="Arial" w:cs="Arial"/>
                <w:w w:val="90"/>
                <w:sz w:val="18"/>
                <w:szCs w:val="18"/>
              </w:rPr>
              <w:t>information statement is a part, under the Securities</w:t>
            </w:r>
          </w:p>
        </w:tc>
      </w:tr>
      <w:tr w:rsidR="00D1587D" w14:paraId="4B179BF5" w14:textId="77777777">
        <w:trPr>
          <w:trHeight w:val="216"/>
        </w:trPr>
        <w:tc>
          <w:tcPr>
            <w:tcW w:w="3300" w:type="dxa"/>
            <w:vAlign w:val="bottom"/>
          </w:tcPr>
          <w:p w14:paraId="0F06A854" w14:textId="77777777" w:rsidR="00D1587D" w:rsidRDefault="00D1587D">
            <w:pPr>
              <w:rPr>
                <w:sz w:val="18"/>
                <w:szCs w:val="18"/>
              </w:rPr>
            </w:pPr>
          </w:p>
        </w:tc>
        <w:tc>
          <w:tcPr>
            <w:tcW w:w="1220" w:type="dxa"/>
            <w:vAlign w:val="bottom"/>
          </w:tcPr>
          <w:p w14:paraId="0D7468D9" w14:textId="77777777" w:rsidR="00D1587D" w:rsidRDefault="00D1587D">
            <w:pPr>
              <w:rPr>
                <w:sz w:val="18"/>
                <w:szCs w:val="18"/>
              </w:rPr>
            </w:pPr>
          </w:p>
        </w:tc>
        <w:tc>
          <w:tcPr>
            <w:tcW w:w="3880" w:type="dxa"/>
            <w:vAlign w:val="bottom"/>
          </w:tcPr>
          <w:p w14:paraId="45E70780" w14:textId="77777777" w:rsidR="00D1587D" w:rsidRDefault="00410D07">
            <w:pPr>
              <w:ind w:left="140"/>
              <w:rPr>
                <w:sz w:val="20"/>
                <w:szCs w:val="20"/>
              </w:rPr>
            </w:pPr>
            <w:r>
              <w:rPr>
                <w:rFonts w:ascii="Arial" w:eastAsia="Arial" w:hAnsi="Arial" w:cs="Arial"/>
                <w:w w:val="90"/>
                <w:sz w:val="18"/>
                <w:szCs w:val="18"/>
              </w:rPr>
              <w:t xml:space="preserve">Exchange Act of 1934, as amended (the </w:t>
            </w:r>
            <w:r>
              <w:rPr>
                <w:rFonts w:ascii="Arial" w:eastAsia="Arial" w:hAnsi="Arial" w:cs="Arial"/>
                <w:w w:val="90"/>
                <w:sz w:val="18"/>
                <w:szCs w:val="18"/>
              </w:rPr>
              <w:t>“Exchange</w:t>
            </w:r>
          </w:p>
        </w:tc>
      </w:tr>
      <w:tr w:rsidR="00D1587D" w14:paraId="237C5929" w14:textId="77777777">
        <w:trPr>
          <w:trHeight w:val="216"/>
        </w:trPr>
        <w:tc>
          <w:tcPr>
            <w:tcW w:w="3300" w:type="dxa"/>
            <w:vAlign w:val="bottom"/>
          </w:tcPr>
          <w:p w14:paraId="63C6D367" w14:textId="77777777" w:rsidR="00D1587D" w:rsidRDefault="00D1587D">
            <w:pPr>
              <w:rPr>
                <w:sz w:val="18"/>
                <w:szCs w:val="18"/>
              </w:rPr>
            </w:pPr>
          </w:p>
        </w:tc>
        <w:tc>
          <w:tcPr>
            <w:tcW w:w="1220" w:type="dxa"/>
            <w:vAlign w:val="bottom"/>
          </w:tcPr>
          <w:p w14:paraId="5DA9089B" w14:textId="77777777" w:rsidR="00D1587D" w:rsidRDefault="00D1587D">
            <w:pPr>
              <w:rPr>
                <w:sz w:val="18"/>
                <w:szCs w:val="18"/>
              </w:rPr>
            </w:pPr>
          </w:p>
        </w:tc>
        <w:tc>
          <w:tcPr>
            <w:tcW w:w="3880" w:type="dxa"/>
            <w:vAlign w:val="bottom"/>
          </w:tcPr>
          <w:p w14:paraId="38BC1B9E" w14:textId="77777777" w:rsidR="00D1587D" w:rsidRDefault="00410D07">
            <w:pPr>
              <w:ind w:left="140"/>
              <w:rPr>
                <w:sz w:val="20"/>
                <w:szCs w:val="20"/>
              </w:rPr>
            </w:pPr>
            <w:r>
              <w:rPr>
                <w:rFonts w:ascii="Arial" w:eastAsia="Arial" w:hAnsi="Arial" w:cs="Arial"/>
                <w:w w:val="90"/>
                <w:sz w:val="18"/>
                <w:szCs w:val="18"/>
              </w:rPr>
              <w:t>Act”), no stop order suspending the effectiveness of</w:t>
            </w:r>
          </w:p>
        </w:tc>
      </w:tr>
      <w:tr w:rsidR="00D1587D" w14:paraId="402A10E4" w14:textId="77777777">
        <w:trPr>
          <w:trHeight w:val="216"/>
        </w:trPr>
        <w:tc>
          <w:tcPr>
            <w:tcW w:w="3300" w:type="dxa"/>
            <w:vAlign w:val="bottom"/>
          </w:tcPr>
          <w:p w14:paraId="74754EC9" w14:textId="77777777" w:rsidR="00D1587D" w:rsidRDefault="00D1587D">
            <w:pPr>
              <w:rPr>
                <w:sz w:val="18"/>
                <w:szCs w:val="18"/>
              </w:rPr>
            </w:pPr>
          </w:p>
        </w:tc>
        <w:tc>
          <w:tcPr>
            <w:tcW w:w="1220" w:type="dxa"/>
            <w:vAlign w:val="bottom"/>
          </w:tcPr>
          <w:p w14:paraId="535C6D81" w14:textId="77777777" w:rsidR="00D1587D" w:rsidRDefault="00D1587D">
            <w:pPr>
              <w:rPr>
                <w:sz w:val="18"/>
                <w:szCs w:val="18"/>
              </w:rPr>
            </w:pPr>
          </w:p>
        </w:tc>
        <w:tc>
          <w:tcPr>
            <w:tcW w:w="3880" w:type="dxa"/>
            <w:vAlign w:val="bottom"/>
          </w:tcPr>
          <w:p w14:paraId="1BE1CAB4" w14:textId="77777777" w:rsidR="00D1587D" w:rsidRDefault="00410D07">
            <w:pPr>
              <w:ind w:left="140"/>
              <w:rPr>
                <w:sz w:val="20"/>
                <w:szCs w:val="20"/>
              </w:rPr>
            </w:pPr>
            <w:r>
              <w:rPr>
                <w:rFonts w:ascii="Arial" w:eastAsia="Arial" w:hAnsi="Arial" w:cs="Arial"/>
                <w:w w:val="99"/>
                <w:sz w:val="18"/>
                <w:szCs w:val="18"/>
              </w:rPr>
              <w:t>our registration statement on Form 10 will be in</w:t>
            </w:r>
          </w:p>
        </w:tc>
      </w:tr>
      <w:tr w:rsidR="00D1587D" w14:paraId="3C5C7AE7" w14:textId="77777777">
        <w:trPr>
          <w:trHeight w:val="216"/>
        </w:trPr>
        <w:tc>
          <w:tcPr>
            <w:tcW w:w="3300" w:type="dxa"/>
            <w:vAlign w:val="bottom"/>
          </w:tcPr>
          <w:p w14:paraId="28D6C8D5" w14:textId="77777777" w:rsidR="00D1587D" w:rsidRDefault="00D1587D">
            <w:pPr>
              <w:rPr>
                <w:sz w:val="18"/>
                <w:szCs w:val="18"/>
              </w:rPr>
            </w:pPr>
          </w:p>
        </w:tc>
        <w:tc>
          <w:tcPr>
            <w:tcW w:w="1220" w:type="dxa"/>
            <w:vAlign w:val="bottom"/>
          </w:tcPr>
          <w:p w14:paraId="52E34A3A" w14:textId="77777777" w:rsidR="00D1587D" w:rsidRDefault="00D1587D">
            <w:pPr>
              <w:rPr>
                <w:sz w:val="18"/>
                <w:szCs w:val="18"/>
              </w:rPr>
            </w:pPr>
          </w:p>
        </w:tc>
        <w:tc>
          <w:tcPr>
            <w:tcW w:w="3880" w:type="dxa"/>
            <w:vAlign w:val="bottom"/>
          </w:tcPr>
          <w:p w14:paraId="74A36B68" w14:textId="77777777" w:rsidR="00D1587D" w:rsidRDefault="00410D07">
            <w:pPr>
              <w:ind w:left="140"/>
              <w:rPr>
                <w:sz w:val="20"/>
                <w:szCs w:val="20"/>
              </w:rPr>
            </w:pPr>
            <w:r>
              <w:rPr>
                <w:rFonts w:ascii="Arial" w:eastAsia="Arial" w:hAnsi="Arial" w:cs="Arial"/>
                <w:w w:val="97"/>
                <w:sz w:val="18"/>
                <w:szCs w:val="18"/>
              </w:rPr>
              <w:t>effect, and no proceedings for such purpose will</w:t>
            </w:r>
          </w:p>
        </w:tc>
      </w:tr>
      <w:tr w:rsidR="00D1587D" w14:paraId="6A9C4AFC" w14:textId="77777777">
        <w:trPr>
          <w:trHeight w:val="216"/>
        </w:trPr>
        <w:tc>
          <w:tcPr>
            <w:tcW w:w="3300" w:type="dxa"/>
            <w:vAlign w:val="bottom"/>
          </w:tcPr>
          <w:p w14:paraId="42E3CF27" w14:textId="77777777" w:rsidR="00D1587D" w:rsidRDefault="00D1587D">
            <w:pPr>
              <w:rPr>
                <w:sz w:val="18"/>
                <w:szCs w:val="18"/>
              </w:rPr>
            </w:pPr>
          </w:p>
        </w:tc>
        <w:tc>
          <w:tcPr>
            <w:tcW w:w="1220" w:type="dxa"/>
            <w:vAlign w:val="bottom"/>
          </w:tcPr>
          <w:p w14:paraId="388EDFD6" w14:textId="77777777" w:rsidR="00D1587D" w:rsidRDefault="00D1587D">
            <w:pPr>
              <w:rPr>
                <w:sz w:val="18"/>
                <w:szCs w:val="18"/>
              </w:rPr>
            </w:pPr>
          </w:p>
        </w:tc>
        <w:tc>
          <w:tcPr>
            <w:tcW w:w="3880" w:type="dxa"/>
            <w:vAlign w:val="bottom"/>
          </w:tcPr>
          <w:p w14:paraId="5C2DF852" w14:textId="77777777" w:rsidR="00D1587D" w:rsidRDefault="00410D07">
            <w:pPr>
              <w:ind w:left="140"/>
              <w:rPr>
                <w:sz w:val="20"/>
                <w:szCs w:val="20"/>
              </w:rPr>
            </w:pPr>
            <w:r>
              <w:rPr>
                <w:rFonts w:ascii="Arial" w:eastAsia="Arial" w:hAnsi="Arial" w:cs="Arial"/>
                <w:w w:val="90"/>
                <w:sz w:val="18"/>
                <w:szCs w:val="18"/>
              </w:rPr>
              <w:t>have been instituted or threatened by the SEC, and</w:t>
            </w:r>
          </w:p>
        </w:tc>
      </w:tr>
      <w:tr w:rsidR="00D1587D" w14:paraId="314B3AC9" w14:textId="77777777">
        <w:trPr>
          <w:trHeight w:val="216"/>
        </w:trPr>
        <w:tc>
          <w:tcPr>
            <w:tcW w:w="3300" w:type="dxa"/>
            <w:vAlign w:val="bottom"/>
          </w:tcPr>
          <w:p w14:paraId="08F5A6A7" w14:textId="77777777" w:rsidR="00D1587D" w:rsidRDefault="00D1587D">
            <w:pPr>
              <w:rPr>
                <w:sz w:val="18"/>
                <w:szCs w:val="18"/>
              </w:rPr>
            </w:pPr>
          </w:p>
        </w:tc>
        <w:tc>
          <w:tcPr>
            <w:tcW w:w="1220" w:type="dxa"/>
            <w:vAlign w:val="bottom"/>
          </w:tcPr>
          <w:p w14:paraId="530706DE" w14:textId="77777777" w:rsidR="00D1587D" w:rsidRDefault="00D1587D">
            <w:pPr>
              <w:rPr>
                <w:sz w:val="18"/>
                <w:szCs w:val="18"/>
              </w:rPr>
            </w:pPr>
          </w:p>
        </w:tc>
        <w:tc>
          <w:tcPr>
            <w:tcW w:w="3880" w:type="dxa"/>
            <w:vAlign w:val="bottom"/>
          </w:tcPr>
          <w:p w14:paraId="4F9F6750" w14:textId="77777777" w:rsidR="00D1587D" w:rsidRDefault="00410D07">
            <w:pPr>
              <w:ind w:left="140"/>
              <w:rPr>
                <w:sz w:val="20"/>
                <w:szCs w:val="20"/>
              </w:rPr>
            </w:pPr>
            <w:r>
              <w:rPr>
                <w:rFonts w:ascii="Arial" w:eastAsia="Arial" w:hAnsi="Arial" w:cs="Arial"/>
                <w:w w:val="96"/>
                <w:sz w:val="18"/>
                <w:szCs w:val="18"/>
              </w:rPr>
              <w:t xml:space="preserve">this information </w:t>
            </w:r>
            <w:r>
              <w:rPr>
                <w:rFonts w:ascii="Arial" w:eastAsia="Arial" w:hAnsi="Arial" w:cs="Arial"/>
                <w:w w:val="96"/>
                <w:sz w:val="18"/>
                <w:szCs w:val="18"/>
              </w:rPr>
              <w:t>statement, or a notice of Internet</w:t>
            </w:r>
          </w:p>
        </w:tc>
      </w:tr>
      <w:tr w:rsidR="00D1587D" w14:paraId="08F9213D" w14:textId="77777777">
        <w:trPr>
          <w:trHeight w:val="216"/>
        </w:trPr>
        <w:tc>
          <w:tcPr>
            <w:tcW w:w="3300" w:type="dxa"/>
            <w:vAlign w:val="bottom"/>
          </w:tcPr>
          <w:p w14:paraId="2E1AF8E1" w14:textId="77777777" w:rsidR="00D1587D" w:rsidRDefault="00D1587D">
            <w:pPr>
              <w:rPr>
                <w:sz w:val="18"/>
                <w:szCs w:val="18"/>
              </w:rPr>
            </w:pPr>
          </w:p>
        </w:tc>
        <w:tc>
          <w:tcPr>
            <w:tcW w:w="1220" w:type="dxa"/>
            <w:vAlign w:val="bottom"/>
          </w:tcPr>
          <w:p w14:paraId="5BCA8AA1" w14:textId="77777777" w:rsidR="00D1587D" w:rsidRDefault="00D1587D">
            <w:pPr>
              <w:rPr>
                <w:sz w:val="18"/>
                <w:szCs w:val="18"/>
              </w:rPr>
            </w:pPr>
          </w:p>
        </w:tc>
        <w:tc>
          <w:tcPr>
            <w:tcW w:w="3880" w:type="dxa"/>
            <w:vAlign w:val="bottom"/>
          </w:tcPr>
          <w:p w14:paraId="043539DA" w14:textId="77777777" w:rsidR="00D1587D" w:rsidRDefault="00410D07">
            <w:pPr>
              <w:ind w:left="140"/>
              <w:rPr>
                <w:sz w:val="20"/>
                <w:szCs w:val="20"/>
              </w:rPr>
            </w:pPr>
            <w:r>
              <w:rPr>
                <w:rFonts w:ascii="Arial" w:eastAsia="Arial" w:hAnsi="Arial" w:cs="Arial"/>
                <w:w w:val="98"/>
                <w:sz w:val="18"/>
                <w:szCs w:val="18"/>
              </w:rPr>
              <w:t>availability thereof, will have been mailed to the</w:t>
            </w:r>
          </w:p>
        </w:tc>
      </w:tr>
      <w:tr w:rsidR="00D1587D" w14:paraId="45CFD7E8" w14:textId="77777777">
        <w:trPr>
          <w:trHeight w:val="216"/>
        </w:trPr>
        <w:tc>
          <w:tcPr>
            <w:tcW w:w="3300" w:type="dxa"/>
            <w:vAlign w:val="bottom"/>
          </w:tcPr>
          <w:p w14:paraId="587CC7BF" w14:textId="77777777" w:rsidR="00D1587D" w:rsidRDefault="00D1587D">
            <w:pPr>
              <w:rPr>
                <w:sz w:val="18"/>
                <w:szCs w:val="18"/>
              </w:rPr>
            </w:pPr>
          </w:p>
        </w:tc>
        <w:tc>
          <w:tcPr>
            <w:tcW w:w="1220" w:type="dxa"/>
            <w:vAlign w:val="bottom"/>
          </w:tcPr>
          <w:p w14:paraId="4607D921" w14:textId="77777777" w:rsidR="00D1587D" w:rsidRDefault="00D1587D">
            <w:pPr>
              <w:rPr>
                <w:sz w:val="18"/>
                <w:szCs w:val="18"/>
              </w:rPr>
            </w:pPr>
          </w:p>
        </w:tc>
        <w:tc>
          <w:tcPr>
            <w:tcW w:w="3880" w:type="dxa"/>
            <w:vAlign w:val="bottom"/>
          </w:tcPr>
          <w:p w14:paraId="3621B2A9" w14:textId="77777777" w:rsidR="00D1587D" w:rsidRDefault="00410D07">
            <w:pPr>
              <w:ind w:left="140"/>
              <w:rPr>
                <w:sz w:val="20"/>
                <w:szCs w:val="20"/>
              </w:rPr>
            </w:pPr>
            <w:r>
              <w:rPr>
                <w:rFonts w:ascii="Arial" w:eastAsia="Arial" w:hAnsi="Arial" w:cs="Arial"/>
                <w:w w:val="93"/>
                <w:sz w:val="18"/>
                <w:szCs w:val="18"/>
              </w:rPr>
              <w:t>holders of LB common stock as of the record date</w:t>
            </w:r>
          </w:p>
        </w:tc>
      </w:tr>
      <w:tr w:rsidR="00D1587D" w14:paraId="1FC3BD01" w14:textId="77777777">
        <w:trPr>
          <w:trHeight w:val="230"/>
        </w:trPr>
        <w:tc>
          <w:tcPr>
            <w:tcW w:w="3300" w:type="dxa"/>
            <w:vAlign w:val="bottom"/>
          </w:tcPr>
          <w:p w14:paraId="519AC94E" w14:textId="77777777" w:rsidR="00D1587D" w:rsidRDefault="00D1587D">
            <w:pPr>
              <w:rPr>
                <w:sz w:val="20"/>
                <w:szCs w:val="20"/>
              </w:rPr>
            </w:pPr>
          </w:p>
        </w:tc>
        <w:tc>
          <w:tcPr>
            <w:tcW w:w="1220" w:type="dxa"/>
            <w:vAlign w:val="bottom"/>
          </w:tcPr>
          <w:p w14:paraId="3A299000" w14:textId="77777777" w:rsidR="00D1587D" w:rsidRDefault="00D1587D">
            <w:pPr>
              <w:rPr>
                <w:sz w:val="20"/>
                <w:szCs w:val="20"/>
              </w:rPr>
            </w:pPr>
          </w:p>
        </w:tc>
        <w:tc>
          <w:tcPr>
            <w:tcW w:w="3880" w:type="dxa"/>
            <w:vAlign w:val="bottom"/>
          </w:tcPr>
          <w:p w14:paraId="67862198" w14:textId="77777777" w:rsidR="00D1587D" w:rsidRDefault="00410D07">
            <w:pPr>
              <w:ind w:left="140"/>
              <w:rPr>
                <w:sz w:val="20"/>
                <w:szCs w:val="20"/>
              </w:rPr>
            </w:pPr>
            <w:r>
              <w:rPr>
                <w:rFonts w:ascii="Arial" w:eastAsia="Arial" w:hAnsi="Arial" w:cs="Arial"/>
                <w:sz w:val="18"/>
                <w:szCs w:val="18"/>
              </w:rPr>
              <w:t>for the Distribution;</w:t>
            </w:r>
          </w:p>
        </w:tc>
      </w:tr>
      <w:tr w:rsidR="00D1587D" w14:paraId="267BD557" w14:textId="77777777">
        <w:trPr>
          <w:trHeight w:val="310"/>
        </w:trPr>
        <w:tc>
          <w:tcPr>
            <w:tcW w:w="3300" w:type="dxa"/>
            <w:vAlign w:val="bottom"/>
          </w:tcPr>
          <w:p w14:paraId="3336A1B6" w14:textId="77777777" w:rsidR="00D1587D" w:rsidRDefault="00D1587D">
            <w:pPr>
              <w:rPr>
                <w:sz w:val="24"/>
                <w:szCs w:val="24"/>
              </w:rPr>
            </w:pPr>
          </w:p>
        </w:tc>
        <w:tc>
          <w:tcPr>
            <w:tcW w:w="1220" w:type="dxa"/>
            <w:vAlign w:val="bottom"/>
          </w:tcPr>
          <w:p w14:paraId="51E68E7F" w14:textId="77777777" w:rsidR="00D1587D" w:rsidRDefault="00410D07">
            <w:pPr>
              <w:ind w:left="1020"/>
              <w:rPr>
                <w:sz w:val="20"/>
                <w:szCs w:val="20"/>
              </w:rPr>
            </w:pPr>
            <w:r>
              <w:rPr>
                <w:rFonts w:ascii="Arial" w:eastAsia="Arial" w:hAnsi="Arial" w:cs="Arial"/>
                <w:sz w:val="18"/>
                <w:szCs w:val="18"/>
              </w:rPr>
              <w:t>•</w:t>
            </w:r>
          </w:p>
        </w:tc>
        <w:tc>
          <w:tcPr>
            <w:tcW w:w="3880" w:type="dxa"/>
            <w:vAlign w:val="bottom"/>
          </w:tcPr>
          <w:p w14:paraId="14F56DA3" w14:textId="77777777" w:rsidR="00D1587D" w:rsidRDefault="00410D07">
            <w:pPr>
              <w:ind w:left="140"/>
              <w:rPr>
                <w:sz w:val="20"/>
                <w:szCs w:val="20"/>
              </w:rPr>
            </w:pPr>
            <w:r>
              <w:rPr>
                <w:rFonts w:ascii="Arial" w:eastAsia="Arial" w:hAnsi="Arial" w:cs="Arial"/>
                <w:sz w:val="18"/>
                <w:szCs w:val="18"/>
              </w:rPr>
              <w:t>Our common stock to be delivered in the</w:t>
            </w:r>
          </w:p>
        </w:tc>
      </w:tr>
      <w:tr w:rsidR="00D1587D" w14:paraId="07894E1B" w14:textId="77777777">
        <w:trPr>
          <w:trHeight w:val="216"/>
        </w:trPr>
        <w:tc>
          <w:tcPr>
            <w:tcW w:w="3300" w:type="dxa"/>
            <w:vAlign w:val="bottom"/>
          </w:tcPr>
          <w:p w14:paraId="77B43D40" w14:textId="77777777" w:rsidR="00D1587D" w:rsidRDefault="00D1587D">
            <w:pPr>
              <w:rPr>
                <w:sz w:val="18"/>
                <w:szCs w:val="18"/>
              </w:rPr>
            </w:pPr>
          </w:p>
        </w:tc>
        <w:tc>
          <w:tcPr>
            <w:tcW w:w="1220" w:type="dxa"/>
            <w:vAlign w:val="bottom"/>
          </w:tcPr>
          <w:p w14:paraId="589EA780" w14:textId="77777777" w:rsidR="00D1587D" w:rsidRDefault="00D1587D">
            <w:pPr>
              <w:rPr>
                <w:sz w:val="18"/>
                <w:szCs w:val="18"/>
              </w:rPr>
            </w:pPr>
          </w:p>
        </w:tc>
        <w:tc>
          <w:tcPr>
            <w:tcW w:w="3880" w:type="dxa"/>
            <w:vAlign w:val="bottom"/>
          </w:tcPr>
          <w:p w14:paraId="598CBF07" w14:textId="77777777" w:rsidR="00D1587D" w:rsidRDefault="00410D07">
            <w:pPr>
              <w:ind w:left="140"/>
              <w:rPr>
                <w:sz w:val="20"/>
                <w:szCs w:val="20"/>
              </w:rPr>
            </w:pPr>
            <w:r>
              <w:rPr>
                <w:rFonts w:ascii="Arial" w:eastAsia="Arial" w:hAnsi="Arial" w:cs="Arial"/>
                <w:w w:val="95"/>
                <w:sz w:val="18"/>
                <w:szCs w:val="18"/>
              </w:rPr>
              <w:t xml:space="preserve">Distribution will have been </w:t>
            </w:r>
            <w:r>
              <w:rPr>
                <w:rFonts w:ascii="Arial" w:eastAsia="Arial" w:hAnsi="Arial" w:cs="Arial"/>
                <w:w w:val="95"/>
                <w:sz w:val="18"/>
                <w:szCs w:val="18"/>
              </w:rPr>
              <w:t>approved for listing on</w:t>
            </w:r>
          </w:p>
        </w:tc>
      </w:tr>
      <w:tr w:rsidR="00D1587D" w14:paraId="32C4A5F4" w14:textId="77777777">
        <w:trPr>
          <w:trHeight w:val="230"/>
        </w:trPr>
        <w:tc>
          <w:tcPr>
            <w:tcW w:w="3300" w:type="dxa"/>
            <w:vAlign w:val="bottom"/>
          </w:tcPr>
          <w:p w14:paraId="39861E20" w14:textId="77777777" w:rsidR="00D1587D" w:rsidRDefault="00D1587D">
            <w:pPr>
              <w:rPr>
                <w:sz w:val="20"/>
                <w:szCs w:val="20"/>
              </w:rPr>
            </w:pPr>
          </w:p>
        </w:tc>
        <w:tc>
          <w:tcPr>
            <w:tcW w:w="1220" w:type="dxa"/>
            <w:vAlign w:val="bottom"/>
          </w:tcPr>
          <w:p w14:paraId="693E93EE" w14:textId="77777777" w:rsidR="00D1587D" w:rsidRDefault="00D1587D">
            <w:pPr>
              <w:rPr>
                <w:sz w:val="20"/>
                <w:szCs w:val="20"/>
              </w:rPr>
            </w:pPr>
          </w:p>
        </w:tc>
        <w:tc>
          <w:tcPr>
            <w:tcW w:w="3880" w:type="dxa"/>
            <w:vAlign w:val="bottom"/>
          </w:tcPr>
          <w:p w14:paraId="20BDF74A" w14:textId="77777777" w:rsidR="00D1587D" w:rsidRDefault="00410D07">
            <w:pPr>
              <w:ind w:left="140"/>
              <w:rPr>
                <w:sz w:val="20"/>
                <w:szCs w:val="20"/>
              </w:rPr>
            </w:pPr>
            <w:r>
              <w:rPr>
                <w:rFonts w:ascii="Arial" w:eastAsia="Arial" w:hAnsi="Arial" w:cs="Arial"/>
                <w:w w:val="98"/>
                <w:sz w:val="18"/>
                <w:szCs w:val="18"/>
              </w:rPr>
              <w:t>the NYSE, subject to official notice of issuance;</w:t>
            </w:r>
          </w:p>
        </w:tc>
      </w:tr>
      <w:tr w:rsidR="00D1587D" w14:paraId="613B2865" w14:textId="77777777">
        <w:trPr>
          <w:trHeight w:val="310"/>
        </w:trPr>
        <w:tc>
          <w:tcPr>
            <w:tcW w:w="3300" w:type="dxa"/>
            <w:vAlign w:val="bottom"/>
          </w:tcPr>
          <w:p w14:paraId="3D1F53D6" w14:textId="77777777" w:rsidR="00D1587D" w:rsidRDefault="00D1587D">
            <w:pPr>
              <w:rPr>
                <w:sz w:val="24"/>
                <w:szCs w:val="24"/>
              </w:rPr>
            </w:pPr>
          </w:p>
        </w:tc>
        <w:tc>
          <w:tcPr>
            <w:tcW w:w="1220" w:type="dxa"/>
            <w:vAlign w:val="bottom"/>
          </w:tcPr>
          <w:p w14:paraId="75E01C8B" w14:textId="77777777" w:rsidR="00D1587D" w:rsidRDefault="00410D07">
            <w:pPr>
              <w:ind w:left="1020"/>
              <w:rPr>
                <w:sz w:val="20"/>
                <w:szCs w:val="20"/>
              </w:rPr>
            </w:pPr>
            <w:r>
              <w:rPr>
                <w:rFonts w:ascii="Arial" w:eastAsia="Arial" w:hAnsi="Arial" w:cs="Arial"/>
                <w:sz w:val="18"/>
                <w:szCs w:val="18"/>
              </w:rPr>
              <w:t>•</w:t>
            </w:r>
          </w:p>
        </w:tc>
        <w:tc>
          <w:tcPr>
            <w:tcW w:w="3880" w:type="dxa"/>
            <w:vAlign w:val="bottom"/>
          </w:tcPr>
          <w:p w14:paraId="31B3FE9A" w14:textId="77777777" w:rsidR="00D1587D" w:rsidRDefault="00410D07">
            <w:pPr>
              <w:ind w:left="140"/>
              <w:rPr>
                <w:sz w:val="20"/>
                <w:szCs w:val="20"/>
              </w:rPr>
            </w:pPr>
            <w:r>
              <w:rPr>
                <w:rFonts w:ascii="Arial" w:eastAsia="Arial" w:hAnsi="Arial" w:cs="Arial"/>
                <w:w w:val="92"/>
                <w:sz w:val="18"/>
                <w:szCs w:val="18"/>
              </w:rPr>
              <w:t>LB shall have received the opinion of Davis Polk &amp;</w:t>
            </w:r>
          </w:p>
        </w:tc>
      </w:tr>
      <w:tr w:rsidR="00D1587D" w14:paraId="199F94B6" w14:textId="77777777">
        <w:trPr>
          <w:trHeight w:val="216"/>
        </w:trPr>
        <w:tc>
          <w:tcPr>
            <w:tcW w:w="3300" w:type="dxa"/>
            <w:vAlign w:val="bottom"/>
          </w:tcPr>
          <w:p w14:paraId="35898B5A" w14:textId="77777777" w:rsidR="00D1587D" w:rsidRDefault="00D1587D">
            <w:pPr>
              <w:rPr>
                <w:sz w:val="18"/>
                <w:szCs w:val="18"/>
              </w:rPr>
            </w:pPr>
          </w:p>
        </w:tc>
        <w:tc>
          <w:tcPr>
            <w:tcW w:w="1220" w:type="dxa"/>
            <w:vAlign w:val="bottom"/>
          </w:tcPr>
          <w:p w14:paraId="78B3BB4E" w14:textId="77777777" w:rsidR="00D1587D" w:rsidRDefault="00D1587D">
            <w:pPr>
              <w:rPr>
                <w:sz w:val="18"/>
                <w:szCs w:val="18"/>
              </w:rPr>
            </w:pPr>
          </w:p>
        </w:tc>
        <w:tc>
          <w:tcPr>
            <w:tcW w:w="3880" w:type="dxa"/>
            <w:vAlign w:val="bottom"/>
          </w:tcPr>
          <w:p w14:paraId="2225A7B5" w14:textId="77777777" w:rsidR="00D1587D" w:rsidRDefault="00410D07">
            <w:pPr>
              <w:ind w:left="140"/>
              <w:rPr>
                <w:sz w:val="20"/>
                <w:szCs w:val="20"/>
              </w:rPr>
            </w:pPr>
            <w:r>
              <w:rPr>
                <w:rFonts w:ascii="Arial" w:eastAsia="Arial" w:hAnsi="Arial" w:cs="Arial"/>
                <w:w w:val="98"/>
                <w:sz w:val="18"/>
                <w:szCs w:val="18"/>
              </w:rPr>
              <w:t>Wardwell LLP to the effect that, for U.S. federal</w:t>
            </w:r>
          </w:p>
        </w:tc>
      </w:tr>
      <w:tr w:rsidR="00D1587D" w14:paraId="68B07C90" w14:textId="77777777">
        <w:trPr>
          <w:trHeight w:val="216"/>
        </w:trPr>
        <w:tc>
          <w:tcPr>
            <w:tcW w:w="3300" w:type="dxa"/>
            <w:vAlign w:val="bottom"/>
          </w:tcPr>
          <w:p w14:paraId="1A18C84F" w14:textId="77777777" w:rsidR="00D1587D" w:rsidRDefault="00D1587D">
            <w:pPr>
              <w:rPr>
                <w:sz w:val="18"/>
                <w:szCs w:val="18"/>
              </w:rPr>
            </w:pPr>
          </w:p>
        </w:tc>
        <w:tc>
          <w:tcPr>
            <w:tcW w:w="1220" w:type="dxa"/>
            <w:vAlign w:val="bottom"/>
          </w:tcPr>
          <w:p w14:paraId="43C94F66" w14:textId="77777777" w:rsidR="00D1587D" w:rsidRDefault="00D1587D">
            <w:pPr>
              <w:rPr>
                <w:sz w:val="18"/>
                <w:szCs w:val="18"/>
              </w:rPr>
            </w:pPr>
          </w:p>
        </w:tc>
        <w:tc>
          <w:tcPr>
            <w:tcW w:w="3880" w:type="dxa"/>
            <w:vAlign w:val="bottom"/>
          </w:tcPr>
          <w:p w14:paraId="1CF7C796" w14:textId="77777777" w:rsidR="00D1587D" w:rsidRDefault="00410D07">
            <w:pPr>
              <w:ind w:left="140"/>
              <w:rPr>
                <w:sz w:val="20"/>
                <w:szCs w:val="20"/>
              </w:rPr>
            </w:pPr>
            <w:r>
              <w:rPr>
                <w:rFonts w:ascii="Arial" w:eastAsia="Arial" w:hAnsi="Arial" w:cs="Arial"/>
                <w:w w:val="90"/>
                <w:sz w:val="18"/>
                <w:szCs w:val="18"/>
              </w:rPr>
              <w:t>income tax purposes, the Distribution, together with</w:t>
            </w:r>
          </w:p>
        </w:tc>
      </w:tr>
      <w:tr w:rsidR="00D1587D" w14:paraId="323B3AE1" w14:textId="77777777">
        <w:trPr>
          <w:trHeight w:val="230"/>
        </w:trPr>
        <w:tc>
          <w:tcPr>
            <w:tcW w:w="3300" w:type="dxa"/>
            <w:vAlign w:val="bottom"/>
          </w:tcPr>
          <w:p w14:paraId="55A78D8F" w14:textId="77777777" w:rsidR="00D1587D" w:rsidRDefault="00D1587D">
            <w:pPr>
              <w:rPr>
                <w:sz w:val="20"/>
                <w:szCs w:val="20"/>
              </w:rPr>
            </w:pPr>
          </w:p>
        </w:tc>
        <w:tc>
          <w:tcPr>
            <w:tcW w:w="1220" w:type="dxa"/>
            <w:vAlign w:val="bottom"/>
          </w:tcPr>
          <w:p w14:paraId="17EE7A59" w14:textId="77777777" w:rsidR="00D1587D" w:rsidRDefault="00D1587D">
            <w:pPr>
              <w:rPr>
                <w:sz w:val="20"/>
                <w:szCs w:val="20"/>
              </w:rPr>
            </w:pPr>
          </w:p>
        </w:tc>
        <w:tc>
          <w:tcPr>
            <w:tcW w:w="3880" w:type="dxa"/>
            <w:vAlign w:val="bottom"/>
          </w:tcPr>
          <w:p w14:paraId="32D8622E" w14:textId="77777777" w:rsidR="00D1587D" w:rsidRDefault="00410D07">
            <w:pPr>
              <w:ind w:left="140"/>
              <w:rPr>
                <w:sz w:val="20"/>
                <w:szCs w:val="20"/>
              </w:rPr>
            </w:pPr>
            <w:r>
              <w:rPr>
                <w:rFonts w:ascii="Arial" w:eastAsia="Arial" w:hAnsi="Arial" w:cs="Arial"/>
                <w:sz w:val="18"/>
                <w:szCs w:val="18"/>
              </w:rPr>
              <w:t>certain related transactions, will qualify as a</w:t>
            </w:r>
          </w:p>
        </w:tc>
      </w:tr>
    </w:tbl>
    <w:p w14:paraId="254E9E1C" w14:textId="77777777" w:rsidR="00D1587D" w:rsidRDefault="00410D07">
      <w:pPr>
        <w:ind w:left="4980"/>
        <w:rPr>
          <w:sz w:val="20"/>
          <w:szCs w:val="20"/>
        </w:rPr>
      </w:pPr>
      <w:r>
        <w:rPr>
          <w:rFonts w:ascii="Arial" w:eastAsia="Arial" w:hAnsi="Arial" w:cs="Arial"/>
          <w:sz w:val="18"/>
          <w:szCs w:val="18"/>
        </w:rPr>
        <w:t>generally tax-free “reorganization” within the</w:t>
      </w:r>
    </w:p>
    <w:p w14:paraId="54145FE1" w14:textId="77777777" w:rsidR="00D1587D" w:rsidRDefault="00D1587D">
      <w:pPr>
        <w:spacing w:line="9" w:lineRule="exact"/>
        <w:rPr>
          <w:sz w:val="20"/>
          <w:szCs w:val="20"/>
        </w:rPr>
      </w:pPr>
    </w:p>
    <w:p w14:paraId="2CAF0E0F" w14:textId="77777777" w:rsidR="00D1587D" w:rsidRDefault="00410D07">
      <w:pPr>
        <w:ind w:left="4980"/>
        <w:rPr>
          <w:sz w:val="20"/>
          <w:szCs w:val="20"/>
        </w:rPr>
      </w:pPr>
      <w:r>
        <w:rPr>
          <w:rFonts w:ascii="Arial" w:eastAsia="Arial" w:hAnsi="Arial" w:cs="Arial"/>
          <w:sz w:val="16"/>
          <w:szCs w:val="16"/>
        </w:rPr>
        <w:t>meaning of Section 368(a)(1)(D) of the Code and a</w:t>
      </w:r>
    </w:p>
    <w:p w14:paraId="52BB2EB0" w14:textId="77777777" w:rsidR="00D1587D" w:rsidRDefault="00D1587D">
      <w:pPr>
        <w:spacing w:line="32" w:lineRule="exact"/>
        <w:rPr>
          <w:sz w:val="20"/>
          <w:szCs w:val="20"/>
        </w:rPr>
      </w:pPr>
    </w:p>
    <w:p w14:paraId="71FAFC96" w14:textId="77777777" w:rsidR="00D1587D" w:rsidRDefault="00410D07">
      <w:pPr>
        <w:ind w:left="4980"/>
        <w:rPr>
          <w:sz w:val="20"/>
          <w:szCs w:val="20"/>
        </w:rPr>
      </w:pPr>
      <w:r>
        <w:rPr>
          <w:rFonts w:ascii="Arial" w:eastAsia="Arial" w:hAnsi="Arial" w:cs="Arial"/>
          <w:sz w:val="17"/>
          <w:szCs w:val="17"/>
        </w:rPr>
        <w:t>generally tax-free distribution within the meaning</w:t>
      </w:r>
    </w:p>
    <w:p w14:paraId="44B900DA" w14:textId="77777777" w:rsidR="00D1587D" w:rsidRDefault="00D1587D">
      <w:pPr>
        <w:spacing w:line="21" w:lineRule="exact"/>
        <w:rPr>
          <w:sz w:val="20"/>
          <w:szCs w:val="20"/>
        </w:rPr>
      </w:pPr>
    </w:p>
    <w:p w14:paraId="08627681" w14:textId="77777777" w:rsidR="00D1587D" w:rsidRDefault="00410D07">
      <w:pPr>
        <w:ind w:left="4980"/>
        <w:rPr>
          <w:sz w:val="20"/>
          <w:szCs w:val="20"/>
        </w:rPr>
      </w:pPr>
      <w:r>
        <w:rPr>
          <w:rFonts w:ascii="Arial" w:eastAsia="Arial" w:hAnsi="Arial" w:cs="Arial"/>
          <w:sz w:val="16"/>
          <w:szCs w:val="16"/>
        </w:rPr>
        <w:t xml:space="preserve">of Section 355 of the Code, and the </w:t>
      </w:r>
      <w:r>
        <w:rPr>
          <w:rFonts w:ascii="Arial" w:eastAsia="Arial" w:hAnsi="Arial" w:cs="Arial"/>
          <w:sz w:val="16"/>
          <w:szCs w:val="16"/>
        </w:rPr>
        <w:t>distribution by</w:t>
      </w:r>
    </w:p>
    <w:p w14:paraId="4468D508" w14:textId="77777777" w:rsidR="00D1587D" w:rsidRDefault="00D1587D">
      <w:pPr>
        <w:spacing w:line="32" w:lineRule="exact"/>
        <w:rPr>
          <w:sz w:val="20"/>
          <w:szCs w:val="20"/>
        </w:rPr>
      </w:pPr>
    </w:p>
    <w:p w14:paraId="04C16728" w14:textId="77777777" w:rsidR="00D1587D" w:rsidRDefault="00410D07">
      <w:pPr>
        <w:ind w:left="4980"/>
        <w:rPr>
          <w:sz w:val="20"/>
          <w:szCs w:val="20"/>
        </w:rPr>
      </w:pPr>
      <w:r>
        <w:rPr>
          <w:rFonts w:ascii="Arial" w:eastAsia="Arial" w:hAnsi="Arial" w:cs="Arial"/>
          <w:sz w:val="17"/>
          <w:szCs w:val="17"/>
        </w:rPr>
        <w:t>LB of the proceeds from the LB Cash Payment to</w:t>
      </w:r>
    </w:p>
    <w:p w14:paraId="0A9F1571" w14:textId="77777777" w:rsidR="00D1587D" w:rsidRDefault="00D1587D">
      <w:pPr>
        <w:spacing w:line="21" w:lineRule="exact"/>
        <w:rPr>
          <w:sz w:val="20"/>
          <w:szCs w:val="20"/>
        </w:rPr>
      </w:pPr>
    </w:p>
    <w:p w14:paraId="14065477" w14:textId="77777777" w:rsidR="00D1587D" w:rsidRDefault="00410D07">
      <w:pPr>
        <w:ind w:left="4980"/>
        <w:rPr>
          <w:sz w:val="20"/>
          <w:szCs w:val="20"/>
        </w:rPr>
      </w:pPr>
      <w:r>
        <w:rPr>
          <w:rFonts w:ascii="Arial" w:eastAsia="Arial" w:hAnsi="Arial" w:cs="Arial"/>
          <w:sz w:val="18"/>
          <w:szCs w:val="18"/>
        </w:rPr>
        <w:t>its creditors in retirement of outstanding LB</w:t>
      </w:r>
    </w:p>
    <w:p w14:paraId="51E3067D" w14:textId="77777777" w:rsidR="00D1587D" w:rsidRDefault="00D1587D">
      <w:pPr>
        <w:spacing w:line="9" w:lineRule="exact"/>
        <w:rPr>
          <w:sz w:val="20"/>
          <w:szCs w:val="20"/>
        </w:rPr>
      </w:pPr>
    </w:p>
    <w:p w14:paraId="0D7CB82A" w14:textId="77777777" w:rsidR="00D1587D" w:rsidRDefault="00410D07">
      <w:pPr>
        <w:ind w:left="4980"/>
        <w:rPr>
          <w:sz w:val="20"/>
          <w:szCs w:val="20"/>
        </w:rPr>
      </w:pPr>
      <w:r>
        <w:rPr>
          <w:rFonts w:ascii="Arial" w:eastAsia="Arial" w:hAnsi="Arial" w:cs="Arial"/>
          <w:sz w:val="17"/>
          <w:szCs w:val="17"/>
        </w:rPr>
        <w:t>indebtedness or to LB stockholders in repurchase</w:t>
      </w:r>
    </w:p>
    <w:p w14:paraId="04B1D311" w14:textId="77777777" w:rsidR="00D1587D" w:rsidRDefault="00D1587D">
      <w:pPr>
        <w:spacing w:line="21" w:lineRule="exact"/>
        <w:rPr>
          <w:sz w:val="20"/>
          <w:szCs w:val="20"/>
        </w:rPr>
      </w:pPr>
    </w:p>
    <w:p w14:paraId="34FAE24F" w14:textId="77777777" w:rsidR="00D1587D" w:rsidRDefault="00410D07">
      <w:pPr>
        <w:ind w:left="4980"/>
        <w:rPr>
          <w:sz w:val="20"/>
          <w:szCs w:val="20"/>
        </w:rPr>
      </w:pPr>
      <w:r>
        <w:rPr>
          <w:rFonts w:ascii="Arial" w:eastAsia="Arial" w:hAnsi="Arial" w:cs="Arial"/>
          <w:sz w:val="18"/>
          <w:szCs w:val="18"/>
        </w:rPr>
        <w:t>of, or distribution with respect to, shares of LB</w:t>
      </w:r>
    </w:p>
    <w:p w14:paraId="17C8ADD8" w14:textId="77777777" w:rsidR="00D1587D" w:rsidRDefault="00D1587D">
      <w:pPr>
        <w:spacing w:line="9" w:lineRule="exact"/>
        <w:rPr>
          <w:sz w:val="20"/>
          <w:szCs w:val="20"/>
        </w:rPr>
      </w:pPr>
    </w:p>
    <w:p w14:paraId="08C1F357" w14:textId="77777777" w:rsidR="00D1587D" w:rsidRDefault="00410D07">
      <w:pPr>
        <w:ind w:left="4980"/>
        <w:rPr>
          <w:sz w:val="20"/>
          <w:szCs w:val="20"/>
        </w:rPr>
      </w:pPr>
      <w:r>
        <w:rPr>
          <w:rFonts w:ascii="Arial" w:eastAsia="Arial" w:hAnsi="Arial" w:cs="Arial"/>
          <w:sz w:val="16"/>
          <w:szCs w:val="16"/>
        </w:rPr>
        <w:t>common stock, should qualify as money distr</w:t>
      </w:r>
      <w:r>
        <w:rPr>
          <w:rFonts w:ascii="Arial" w:eastAsia="Arial" w:hAnsi="Arial" w:cs="Arial"/>
          <w:sz w:val="16"/>
          <w:szCs w:val="16"/>
        </w:rPr>
        <w:t>ibuted</w:t>
      </w:r>
    </w:p>
    <w:p w14:paraId="13A1091B" w14:textId="77777777" w:rsidR="00D1587D" w:rsidRDefault="00D1587D">
      <w:pPr>
        <w:spacing w:line="32" w:lineRule="exact"/>
        <w:rPr>
          <w:sz w:val="20"/>
          <w:szCs w:val="20"/>
        </w:rPr>
      </w:pPr>
    </w:p>
    <w:p w14:paraId="23E702A3" w14:textId="77777777" w:rsidR="00D1587D" w:rsidRDefault="00410D07">
      <w:pPr>
        <w:ind w:left="4980"/>
        <w:rPr>
          <w:sz w:val="20"/>
          <w:szCs w:val="20"/>
        </w:rPr>
      </w:pPr>
      <w:r>
        <w:rPr>
          <w:rFonts w:ascii="Arial" w:eastAsia="Arial" w:hAnsi="Arial" w:cs="Arial"/>
          <w:sz w:val="17"/>
          <w:szCs w:val="17"/>
        </w:rPr>
        <w:t>to LB creditors or stockholders in connection with</w:t>
      </w:r>
    </w:p>
    <w:p w14:paraId="705CF909" w14:textId="77777777" w:rsidR="00D1587D" w:rsidRDefault="00D1587D">
      <w:pPr>
        <w:spacing w:line="21" w:lineRule="exact"/>
        <w:rPr>
          <w:sz w:val="20"/>
          <w:szCs w:val="20"/>
        </w:rPr>
      </w:pPr>
    </w:p>
    <w:p w14:paraId="39CAB599" w14:textId="77777777" w:rsidR="00D1587D" w:rsidRDefault="00410D07">
      <w:pPr>
        <w:ind w:left="4980"/>
        <w:rPr>
          <w:sz w:val="20"/>
          <w:szCs w:val="20"/>
        </w:rPr>
      </w:pPr>
      <w:r>
        <w:rPr>
          <w:rFonts w:ascii="Arial" w:eastAsia="Arial" w:hAnsi="Arial" w:cs="Arial"/>
          <w:sz w:val="16"/>
          <w:szCs w:val="16"/>
        </w:rPr>
        <w:t>the reorganization for purposes of Section 361(b) of</w:t>
      </w:r>
    </w:p>
    <w:p w14:paraId="30A574A4" w14:textId="77777777" w:rsidR="00D1587D" w:rsidRDefault="00D1587D">
      <w:pPr>
        <w:spacing w:line="32" w:lineRule="exact"/>
        <w:rPr>
          <w:sz w:val="20"/>
          <w:szCs w:val="20"/>
        </w:rPr>
      </w:pPr>
    </w:p>
    <w:p w14:paraId="56788B0C" w14:textId="77777777" w:rsidR="00D1587D" w:rsidRDefault="00410D07">
      <w:pPr>
        <w:ind w:left="4980"/>
        <w:rPr>
          <w:sz w:val="20"/>
          <w:szCs w:val="20"/>
        </w:rPr>
      </w:pPr>
      <w:r>
        <w:rPr>
          <w:rFonts w:ascii="Arial" w:eastAsia="Arial" w:hAnsi="Arial" w:cs="Arial"/>
          <w:sz w:val="18"/>
          <w:szCs w:val="18"/>
        </w:rPr>
        <w:t>the Code;</w:t>
      </w:r>
    </w:p>
    <w:p w14:paraId="697B3289" w14:textId="77777777" w:rsidR="00D1587D" w:rsidRDefault="00D1587D">
      <w:pPr>
        <w:spacing w:line="200" w:lineRule="exact"/>
        <w:rPr>
          <w:sz w:val="20"/>
          <w:szCs w:val="20"/>
        </w:rPr>
      </w:pPr>
    </w:p>
    <w:p w14:paraId="364E902E" w14:textId="77777777" w:rsidR="00D1587D" w:rsidRDefault="00D1587D">
      <w:pPr>
        <w:spacing w:line="240" w:lineRule="exact"/>
        <w:rPr>
          <w:sz w:val="20"/>
          <w:szCs w:val="20"/>
        </w:rPr>
      </w:pPr>
    </w:p>
    <w:p w14:paraId="7EFE0974" w14:textId="77777777" w:rsidR="00D1587D" w:rsidRDefault="00410D07">
      <w:pPr>
        <w:ind w:right="19"/>
        <w:jc w:val="center"/>
        <w:rPr>
          <w:sz w:val="20"/>
          <w:szCs w:val="20"/>
        </w:rPr>
      </w:pPr>
      <w:r>
        <w:rPr>
          <w:rFonts w:ascii="Arial" w:eastAsia="Arial" w:hAnsi="Arial" w:cs="Arial"/>
          <w:sz w:val="18"/>
          <w:szCs w:val="18"/>
        </w:rPr>
        <w:t>13</w:t>
      </w:r>
    </w:p>
    <w:p w14:paraId="72BD91B0" w14:textId="77777777" w:rsidR="00D1587D" w:rsidRDefault="00410D07">
      <w:pPr>
        <w:spacing w:line="20" w:lineRule="exact"/>
        <w:rPr>
          <w:sz w:val="20"/>
          <w:szCs w:val="20"/>
        </w:rPr>
      </w:pPr>
      <w:r>
        <w:rPr>
          <w:noProof/>
          <w:sz w:val="20"/>
          <w:szCs w:val="20"/>
        </w:rPr>
        <w:drawing>
          <wp:anchor distT="0" distB="0" distL="114300" distR="114300" simplePos="0" relativeHeight="251452416" behindDoc="1" locked="0" layoutInCell="0" allowOverlap="1" wp14:anchorId="26E0BCEC" wp14:editId="16BC6C6C">
            <wp:simplePos x="0" y="0"/>
            <wp:positionH relativeFrom="column">
              <wp:posOffset>-636905</wp:posOffset>
            </wp:positionH>
            <wp:positionV relativeFrom="paragraph">
              <wp:posOffset>134620</wp:posOffset>
            </wp:positionV>
            <wp:extent cx="6995160" cy="17145"/>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D8AF22A" w14:textId="77777777" w:rsidR="00D1587D" w:rsidRDefault="00D1587D">
      <w:pPr>
        <w:sectPr w:rsidR="00D1587D">
          <w:pgSz w:w="11900" w:h="16838"/>
          <w:pgMar w:top="265" w:right="1440" w:bottom="1440" w:left="1440" w:header="0" w:footer="0" w:gutter="0"/>
          <w:cols w:space="720" w:equalWidth="0">
            <w:col w:w="9019"/>
          </w:cols>
        </w:sectPr>
      </w:pPr>
    </w:p>
    <w:bookmarkStart w:id="271" w:name="page272"/>
    <w:bookmarkEnd w:id="271"/>
    <w:p w14:paraId="06791E63"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F8F6972" w14:textId="77777777" w:rsidR="00D1587D" w:rsidRDefault="00410D07">
      <w:pPr>
        <w:spacing w:line="20" w:lineRule="exact"/>
        <w:rPr>
          <w:sz w:val="20"/>
          <w:szCs w:val="20"/>
        </w:rPr>
      </w:pPr>
      <w:r>
        <w:rPr>
          <w:noProof/>
          <w:sz w:val="20"/>
          <w:szCs w:val="20"/>
        </w:rPr>
        <w:drawing>
          <wp:anchor distT="0" distB="0" distL="114300" distR="114300" simplePos="0" relativeHeight="251453440" behindDoc="1" locked="0" layoutInCell="0" allowOverlap="1" wp14:anchorId="55983809" wp14:editId="4BAA9214">
            <wp:simplePos x="0" y="0"/>
            <wp:positionH relativeFrom="column">
              <wp:posOffset>46355</wp:posOffset>
            </wp:positionH>
            <wp:positionV relativeFrom="paragraph">
              <wp:posOffset>90170</wp:posOffset>
            </wp:positionV>
            <wp:extent cx="5653405" cy="7350760"/>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2"/>
                    <a:srcRect/>
                    <a:stretch>
                      <a:fillRect/>
                    </a:stretch>
                  </pic:blipFill>
                  <pic:spPr bwMode="auto">
                    <a:xfrm>
                      <a:off x="0" y="0"/>
                      <a:ext cx="5653405" cy="7350760"/>
                    </a:xfrm>
                    <a:prstGeom prst="rect">
                      <a:avLst/>
                    </a:prstGeom>
                    <a:noFill/>
                  </pic:spPr>
                </pic:pic>
              </a:graphicData>
            </a:graphic>
          </wp:anchor>
        </w:drawing>
      </w:r>
    </w:p>
    <w:p w14:paraId="6BCD1E11" w14:textId="77777777" w:rsidR="00D1587D" w:rsidRDefault="00D1587D">
      <w:pPr>
        <w:spacing w:line="200" w:lineRule="exact"/>
        <w:rPr>
          <w:sz w:val="20"/>
          <w:szCs w:val="20"/>
        </w:rPr>
      </w:pPr>
    </w:p>
    <w:p w14:paraId="3707627F" w14:textId="77777777" w:rsidR="00D1587D" w:rsidRDefault="00D1587D">
      <w:pPr>
        <w:spacing w:line="275" w:lineRule="exact"/>
        <w:rPr>
          <w:sz w:val="20"/>
          <w:szCs w:val="20"/>
        </w:rPr>
      </w:pPr>
    </w:p>
    <w:p w14:paraId="315A6067" w14:textId="77777777" w:rsidR="00D1587D" w:rsidRDefault="00410D07">
      <w:pPr>
        <w:tabs>
          <w:tab w:val="left" w:pos="4960"/>
        </w:tabs>
        <w:ind w:left="4640"/>
        <w:rPr>
          <w:sz w:val="20"/>
          <w:szCs w:val="20"/>
        </w:rPr>
      </w:pPr>
      <w:r>
        <w:rPr>
          <w:rFonts w:ascii="Arial" w:eastAsia="Arial" w:hAnsi="Arial" w:cs="Arial"/>
          <w:sz w:val="16"/>
          <w:szCs w:val="16"/>
        </w:rPr>
        <w:t>•</w:t>
      </w:r>
      <w:r>
        <w:rPr>
          <w:sz w:val="20"/>
          <w:szCs w:val="20"/>
        </w:rPr>
        <w:tab/>
      </w:r>
      <w:r>
        <w:rPr>
          <w:rFonts w:ascii="Arial" w:eastAsia="Arial" w:hAnsi="Arial" w:cs="Arial"/>
          <w:sz w:val="16"/>
          <w:szCs w:val="16"/>
        </w:rPr>
        <w:t xml:space="preserve">Any material governmental approvals and </w:t>
      </w:r>
      <w:r>
        <w:rPr>
          <w:rFonts w:ascii="Arial" w:eastAsia="Arial" w:hAnsi="Arial" w:cs="Arial"/>
          <w:sz w:val="16"/>
          <w:szCs w:val="16"/>
        </w:rPr>
        <w:t>consents</w:t>
      </w:r>
    </w:p>
    <w:p w14:paraId="73312715" w14:textId="77777777" w:rsidR="00D1587D" w:rsidRDefault="00D1587D">
      <w:pPr>
        <w:spacing w:line="46" w:lineRule="exact"/>
        <w:rPr>
          <w:sz w:val="20"/>
          <w:szCs w:val="20"/>
        </w:rPr>
      </w:pPr>
    </w:p>
    <w:p w14:paraId="3FB53E66" w14:textId="77777777" w:rsidR="00D1587D" w:rsidRDefault="00410D07">
      <w:pPr>
        <w:ind w:right="299"/>
        <w:jc w:val="right"/>
        <w:rPr>
          <w:sz w:val="20"/>
          <w:szCs w:val="20"/>
        </w:rPr>
      </w:pPr>
      <w:r>
        <w:rPr>
          <w:rFonts w:ascii="Arial" w:eastAsia="Arial" w:hAnsi="Arial" w:cs="Arial"/>
          <w:sz w:val="18"/>
          <w:szCs w:val="18"/>
        </w:rPr>
        <w:t>and any material permits, registrations and consents</w:t>
      </w:r>
    </w:p>
    <w:p w14:paraId="2727ACF1" w14:textId="77777777" w:rsidR="00D1587D" w:rsidRDefault="00D1587D">
      <w:pPr>
        <w:spacing w:line="9" w:lineRule="exact"/>
        <w:rPr>
          <w:sz w:val="20"/>
          <w:szCs w:val="20"/>
        </w:rPr>
      </w:pPr>
    </w:p>
    <w:p w14:paraId="382263E1" w14:textId="77777777" w:rsidR="00D1587D" w:rsidRDefault="00410D07">
      <w:pPr>
        <w:ind w:left="4980"/>
        <w:rPr>
          <w:sz w:val="20"/>
          <w:szCs w:val="20"/>
        </w:rPr>
      </w:pPr>
      <w:r>
        <w:rPr>
          <w:rFonts w:ascii="Arial" w:eastAsia="Arial" w:hAnsi="Arial" w:cs="Arial"/>
          <w:sz w:val="16"/>
          <w:szCs w:val="16"/>
        </w:rPr>
        <w:t>from third parties, in each case, necessary to effect</w:t>
      </w:r>
    </w:p>
    <w:p w14:paraId="1A5E8FC6" w14:textId="77777777" w:rsidR="00D1587D" w:rsidRDefault="00D1587D">
      <w:pPr>
        <w:spacing w:line="32" w:lineRule="exact"/>
        <w:rPr>
          <w:sz w:val="20"/>
          <w:szCs w:val="20"/>
        </w:rPr>
      </w:pPr>
    </w:p>
    <w:p w14:paraId="38BE5B06" w14:textId="77777777" w:rsidR="00D1587D" w:rsidRDefault="00410D07">
      <w:pPr>
        <w:ind w:left="4980"/>
        <w:rPr>
          <w:sz w:val="20"/>
          <w:szCs w:val="20"/>
        </w:rPr>
      </w:pPr>
      <w:r>
        <w:rPr>
          <w:rFonts w:ascii="Arial" w:eastAsia="Arial" w:hAnsi="Arial" w:cs="Arial"/>
          <w:sz w:val="18"/>
          <w:szCs w:val="18"/>
        </w:rPr>
        <w:t>the Distribution, shall have been obtained; and</w:t>
      </w:r>
    </w:p>
    <w:p w14:paraId="79B6C294" w14:textId="77777777" w:rsidR="00D1587D" w:rsidRDefault="00D1587D">
      <w:pPr>
        <w:spacing w:line="103" w:lineRule="exact"/>
        <w:rPr>
          <w:sz w:val="20"/>
          <w:szCs w:val="20"/>
        </w:rPr>
      </w:pPr>
    </w:p>
    <w:p w14:paraId="735399F4" w14:textId="77777777" w:rsidR="00D1587D" w:rsidRDefault="00410D07">
      <w:pPr>
        <w:tabs>
          <w:tab w:val="left" w:pos="4960"/>
        </w:tabs>
        <w:ind w:left="4640"/>
        <w:rPr>
          <w:sz w:val="20"/>
          <w:szCs w:val="20"/>
        </w:rPr>
      </w:pPr>
      <w:r>
        <w:rPr>
          <w:rFonts w:ascii="Arial" w:eastAsia="Arial" w:hAnsi="Arial" w:cs="Arial"/>
          <w:sz w:val="18"/>
          <w:szCs w:val="18"/>
        </w:rPr>
        <w:t>•</w:t>
      </w:r>
      <w:r>
        <w:rPr>
          <w:rFonts w:ascii="Arial" w:eastAsia="Arial" w:hAnsi="Arial" w:cs="Arial"/>
          <w:sz w:val="18"/>
          <w:szCs w:val="18"/>
        </w:rPr>
        <w:tab/>
        <w:t>No event or development will have occurred or</w:t>
      </w:r>
    </w:p>
    <w:p w14:paraId="69461EF3" w14:textId="77777777" w:rsidR="00D1587D" w:rsidRDefault="00D1587D">
      <w:pPr>
        <w:spacing w:line="23" w:lineRule="exact"/>
        <w:rPr>
          <w:sz w:val="20"/>
          <w:szCs w:val="20"/>
        </w:rPr>
      </w:pPr>
    </w:p>
    <w:p w14:paraId="421E2D1D" w14:textId="77777777" w:rsidR="00D1587D" w:rsidRDefault="00410D07">
      <w:pPr>
        <w:ind w:left="4980"/>
        <w:rPr>
          <w:sz w:val="20"/>
          <w:szCs w:val="20"/>
        </w:rPr>
      </w:pPr>
      <w:r>
        <w:rPr>
          <w:rFonts w:ascii="Arial" w:eastAsia="Arial" w:hAnsi="Arial" w:cs="Arial"/>
          <w:sz w:val="18"/>
          <w:szCs w:val="18"/>
        </w:rPr>
        <w:t xml:space="preserve">exist that, in the judgment of the LB </w:t>
      </w:r>
      <w:r>
        <w:rPr>
          <w:rFonts w:ascii="Arial" w:eastAsia="Arial" w:hAnsi="Arial" w:cs="Arial"/>
          <w:sz w:val="18"/>
          <w:szCs w:val="18"/>
        </w:rPr>
        <w:t>Board of</w:t>
      </w:r>
    </w:p>
    <w:p w14:paraId="1AB58D66" w14:textId="77777777" w:rsidR="00D1587D" w:rsidRDefault="00D1587D">
      <w:pPr>
        <w:spacing w:line="9" w:lineRule="exact"/>
        <w:rPr>
          <w:sz w:val="20"/>
          <w:szCs w:val="20"/>
        </w:rPr>
      </w:pPr>
    </w:p>
    <w:p w14:paraId="41FE500E" w14:textId="77777777" w:rsidR="00D1587D" w:rsidRDefault="00410D07">
      <w:pPr>
        <w:ind w:left="4980"/>
        <w:rPr>
          <w:sz w:val="20"/>
          <w:szCs w:val="20"/>
        </w:rPr>
      </w:pPr>
      <w:r>
        <w:rPr>
          <w:rFonts w:ascii="Arial" w:eastAsia="Arial" w:hAnsi="Arial" w:cs="Arial"/>
          <w:sz w:val="16"/>
          <w:szCs w:val="16"/>
        </w:rPr>
        <w:t>Directors, in its sole and absolute discretion, makes</w:t>
      </w:r>
    </w:p>
    <w:p w14:paraId="5452064C" w14:textId="77777777" w:rsidR="00D1587D" w:rsidRDefault="00D1587D">
      <w:pPr>
        <w:spacing w:line="32" w:lineRule="exact"/>
        <w:rPr>
          <w:sz w:val="20"/>
          <w:szCs w:val="20"/>
        </w:rPr>
      </w:pPr>
    </w:p>
    <w:p w14:paraId="69C869F3" w14:textId="77777777" w:rsidR="00D1587D" w:rsidRDefault="00410D07">
      <w:pPr>
        <w:ind w:left="4980"/>
        <w:rPr>
          <w:sz w:val="20"/>
          <w:szCs w:val="20"/>
        </w:rPr>
      </w:pPr>
      <w:r>
        <w:rPr>
          <w:rFonts w:ascii="Arial" w:eastAsia="Arial" w:hAnsi="Arial" w:cs="Arial"/>
          <w:sz w:val="18"/>
          <w:szCs w:val="18"/>
        </w:rPr>
        <w:t>it inadvisable to effect the Separation or other</w:t>
      </w:r>
    </w:p>
    <w:p w14:paraId="48956F09" w14:textId="77777777" w:rsidR="00D1587D" w:rsidRDefault="00D1587D">
      <w:pPr>
        <w:spacing w:line="9" w:lineRule="exact"/>
        <w:rPr>
          <w:sz w:val="20"/>
          <w:szCs w:val="20"/>
        </w:rPr>
      </w:pPr>
    </w:p>
    <w:p w14:paraId="27D18B5B" w14:textId="77777777" w:rsidR="00D1587D" w:rsidRDefault="00410D07">
      <w:pPr>
        <w:ind w:left="4980"/>
        <w:rPr>
          <w:sz w:val="20"/>
          <w:szCs w:val="20"/>
        </w:rPr>
      </w:pPr>
      <w:r>
        <w:rPr>
          <w:rFonts w:ascii="Arial" w:eastAsia="Arial" w:hAnsi="Arial" w:cs="Arial"/>
          <w:sz w:val="17"/>
          <w:szCs w:val="17"/>
        </w:rPr>
        <w:t>transactions contemplated by the Separation and</w:t>
      </w:r>
    </w:p>
    <w:p w14:paraId="2CDBE8CB" w14:textId="77777777" w:rsidR="00D1587D" w:rsidRDefault="00D1587D">
      <w:pPr>
        <w:spacing w:line="21" w:lineRule="exact"/>
        <w:rPr>
          <w:sz w:val="20"/>
          <w:szCs w:val="20"/>
        </w:rPr>
      </w:pPr>
    </w:p>
    <w:p w14:paraId="0B7E7935" w14:textId="77777777" w:rsidR="00D1587D" w:rsidRDefault="00410D07">
      <w:pPr>
        <w:ind w:left="4980"/>
        <w:rPr>
          <w:sz w:val="20"/>
          <w:szCs w:val="20"/>
        </w:rPr>
      </w:pPr>
      <w:r>
        <w:rPr>
          <w:rFonts w:ascii="Arial" w:eastAsia="Arial" w:hAnsi="Arial" w:cs="Arial"/>
          <w:sz w:val="17"/>
          <w:szCs w:val="17"/>
        </w:rPr>
        <w:t>Distribution Agreement or by any of the ancillary</w:t>
      </w:r>
    </w:p>
    <w:p w14:paraId="0DFCA858" w14:textId="77777777" w:rsidR="00D1587D" w:rsidRDefault="00D1587D">
      <w:pPr>
        <w:spacing w:line="21" w:lineRule="exact"/>
        <w:rPr>
          <w:sz w:val="20"/>
          <w:szCs w:val="20"/>
        </w:rPr>
      </w:pPr>
    </w:p>
    <w:p w14:paraId="30D2F363" w14:textId="77777777" w:rsidR="00D1587D" w:rsidRDefault="00410D07">
      <w:pPr>
        <w:ind w:left="4980"/>
        <w:rPr>
          <w:sz w:val="20"/>
          <w:szCs w:val="20"/>
        </w:rPr>
      </w:pPr>
      <w:r>
        <w:rPr>
          <w:rFonts w:ascii="Arial" w:eastAsia="Arial" w:hAnsi="Arial" w:cs="Arial"/>
          <w:sz w:val="17"/>
          <w:szCs w:val="17"/>
        </w:rPr>
        <w:t>agreements contemplated by the Separation</w:t>
      </w:r>
      <w:r>
        <w:rPr>
          <w:rFonts w:ascii="Arial" w:eastAsia="Arial" w:hAnsi="Arial" w:cs="Arial"/>
          <w:sz w:val="17"/>
          <w:szCs w:val="17"/>
        </w:rPr>
        <w:t xml:space="preserve"> and</w:t>
      </w:r>
    </w:p>
    <w:p w14:paraId="27CFF861" w14:textId="77777777" w:rsidR="00D1587D" w:rsidRDefault="00D1587D">
      <w:pPr>
        <w:spacing w:line="21" w:lineRule="exact"/>
        <w:rPr>
          <w:sz w:val="20"/>
          <w:szCs w:val="20"/>
        </w:rPr>
      </w:pPr>
    </w:p>
    <w:p w14:paraId="70786BCA" w14:textId="77777777" w:rsidR="00D1587D" w:rsidRDefault="00410D07">
      <w:pPr>
        <w:ind w:left="4980"/>
        <w:rPr>
          <w:sz w:val="20"/>
          <w:szCs w:val="20"/>
        </w:rPr>
      </w:pPr>
      <w:r>
        <w:rPr>
          <w:rFonts w:ascii="Arial" w:eastAsia="Arial" w:hAnsi="Arial" w:cs="Arial"/>
          <w:sz w:val="18"/>
          <w:szCs w:val="18"/>
        </w:rPr>
        <w:t>Distribution Agreement.</w:t>
      </w:r>
    </w:p>
    <w:p w14:paraId="56CC1A52" w14:textId="77777777" w:rsidR="00D1587D" w:rsidRDefault="00D1587D">
      <w:pPr>
        <w:spacing w:line="103" w:lineRule="exact"/>
        <w:rPr>
          <w:sz w:val="20"/>
          <w:szCs w:val="20"/>
        </w:rPr>
      </w:pPr>
    </w:p>
    <w:p w14:paraId="6F1A9207" w14:textId="77777777" w:rsidR="00D1587D" w:rsidRDefault="00410D07">
      <w:pPr>
        <w:ind w:left="4640"/>
        <w:rPr>
          <w:sz w:val="20"/>
          <w:szCs w:val="20"/>
        </w:rPr>
      </w:pPr>
      <w:r>
        <w:rPr>
          <w:rFonts w:ascii="Arial" w:eastAsia="Arial" w:hAnsi="Arial" w:cs="Arial"/>
          <w:sz w:val="17"/>
          <w:szCs w:val="17"/>
        </w:rPr>
        <w:t>We cannot assure you that all of the conditions will be</w:t>
      </w:r>
    </w:p>
    <w:p w14:paraId="6961195E" w14:textId="77777777" w:rsidR="00D1587D" w:rsidRDefault="00D1587D">
      <w:pPr>
        <w:spacing w:line="35" w:lineRule="exact"/>
        <w:rPr>
          <w:sz w:val="20"/>
          <w:szCs w:val="20"/>
        </w:rPr>
      </w:pPr>
    </w:p>
    <w:p w14:paraId="4D170AAE" w14:textId="77777777" w:rsidR="00D1587D" w:rsidRDefault="00410D07">
      <w:pPr>
        <w:ind w:left="4640"/>
        <w:rPr>
          <w:sz w:val="20"/>
          <w:szCs w:val="20"/>
        </w:rPr>
      </w:pPr>
      <w:r>
        <w:rPr>
          <w:rFonts w:ascii="Arial" w:eastAsia="Arial" w:hAnsi="Arial" w:cs="Arial"/>
          <w:sz w:val="17"/>
          <w:szCs w:val="17"/>
        </w:rPr>
        <w:t>satisfied or waived. The fulfillment of the conditions to</w:t>
      </w:r>
    </w:p>
    <w:p w14:paraId="0801A5C2" w14:textId="77777777" w:rsidR="00D1587D" w:rsidRDefault="00D1587D">
      <w:pPr>
        <w:spacing w:line="21" w:lineRule="exact"/>
        <w:rPr>
          <w:sz w:val="20"/>
          <w:szCs w:val="20"/>
        </w:rPr>
      </w:pPr>
    </w:p>
    <w:p w14:paraId="4240B035" w14:textId="77777777" w:rsidR="00D1587D" w:rsidRDefault="00410D07">
      <w:pPr>
        <w:ind w:left="4640"/>
        <w:rPr>
          <w:sz w:val="20"/>
          <w:szCs w:val="20"/>
        </w:rPr>
      </w:pPr>
      <w:r>
        <w:rPr>
          <w:rFonts w:ascii="Arial" w:eastAsia="Arial" w:hAnsi="Arial" w:cs="Arial"/>
          <w:sz w:val="17"/>
          <w:szCs w:val="17"/>
        </w:rPr>
        <w:t>the Distribution will not create any obligations on LB’s</w:t>
      </w:r>
    </w:p>
    <w:p w14:paraId="46B4CBF4" w14:textId="77777777" w:rsidR="00D1587D" w:rsidRDefault="00D1587D">
      <w:pPr>
        <w:spacing w:line="21" w:lineRule="exact"/>
        <w:rPr>
          <w:sz w:val="20"/>
          <w:szCs w:val="20"/>
        </w:rPr>
      </w:pPr>
    </w:p>
    <w:p w14:paraId="21011C4B" w14:textId="77777777" w:rsidR="00D1587D" w:rsidRDefault="00410D07">
      <w:pPr>
        <w:ind w:left="4640"/>
        <w:rPr>
          <w:sz w:val="20"/>
          <w:szCs w:val="20"/>
        </w:rPr>
      </w:pPr>
      <w:r>
        <w:rPr>
          <w:rFonts w:ascii="Arial" w:eastAsia="Arial" w:hAnsi="Arial" w:cs="Arial"/>
          <w:sz w:val="18"/>
          <w:szCs w:val="18"/>
        </w:rPr>
        <w:t>part to effect the Separation, and the LB Board of</w:t>
      </w:r>
    </w:p>
    <w:p w14:paraId="42A73C1E" w14:textId="77777777" w:rsidR="00D1587D" w:rsidRDefault="00D1587D">
      <w:pPr>
        <w:spacing w:line="9" w:lineRule="exact"/>
        <w:rPr>
          <w:sz w:val="20"/>
          <w:szCs w:val="20"/>
        </w:rPr>
      </w:pPr>
    </w:p>
    <w:p w14:paraId="24BA20B1" w14:textId="77777777" w:rsidR="00D1587D" w:rsidRDefault="00410D07">
      <w:pPr>
        <w:ind w:left="4640"/>
        <w:rPr>
          <w:sz w:val="20"/>
          <w:szCs w:val="20"/>
        </w:rPr>
      </w:pPr>
      <w:r>
        <w:rPr>
          <w:rFonts w:ascii="Arial" w:eastAsia="Arial" w:hAnsi="Arial" w:cs="Arial"/>
          <w:sz w:val="16"/>
          <w:szCs w:val="16"/>
        </w:rPr>
        <w:t>Directors has reserved the right, in its sole discretion, to</w:t>
      </w:r>
    </w:p>
    <w:p w14:paraId="1384FF52" w14:textId="77777777" w:rsidR="00D1587D" w:rsidRDefault="00D1587D">
      <w:pPr>
        <w:spacing w:line="32" w:lineRule="exact"/>
        <w:rPr>
          <w:sz w:val="20"/>
          <w:szCs w:val="20"/>
        </w:rPr>
      </w:pPr>
    </w:p>
    <w:p w14:paraId="7043982C" w14:textId="77777777" w:rsidR="00D1587D" w:rsidRDefault="00410D07">
      <w:pPr>
        <w:ind w:left="4640"/>
        <w:rPr>
          <w:sz w:val="20"/>
          <w:szCs w:val="20"/>
        </w:rPr>
      </w:pPr>
      <w:r>
        <w:rPr>
          <w:rFonts w:ascii="Arial" w:eastAsia="Arial" w:hAnsi="Arial" w:cs="Arial"/>
          <w:sz w:val="16"/>
          <w:szCs w:val="16"/>
        </w:rPr>
        <w:t>abandon, modify or change the terms of the Separation,</w:t>
      </w:r>
    </w:p>
    <w:p w14:paraId="6C31B057" w14:textId="77777777" w:rsidR="00D1587D" w:rsidRDefault="00D1587D">
      <w:pPr>
        <w:spacing w:line="32" w:lineRule="exact"/>
        <w:rPr>
          <w:sz w:val="20"/>
          <w:szCs w:val="20"/>
        </w:rPr>
      </w:pPr>
    </w:p>
    <w:p w14:paraId="4946EA39" w14:textId="77777777" w:rsidR="00D1587D" w:rsidRDefault="00410D07">
      <w:pPr>
        <w:ind w:left="4640"/>
        <w:rPr>
          <w:sz w:val="20"/>
          <w:szCs w:val="20"/>
        </w:rPr>
      </w:pPr>
      <w:r>
        <w:rPr>
          <w:rFonts w:ascii="Arial" w:eastAsia="Arial" w:hAnsi="Arial" w:cs="Arial"/>
          <w:sz w:val="17"/>
          <w:szCs w:val="17"/>
        </w:rPr>
        <w:t>including by accelerating or delaying the timing of the</w:t>
      </w:r>
    </w:p>
    <w:p w14:paraId="409466D9" w14:textId="77777777" w:rsidR="00D1587D" w:rsidRDefault="00D1587D">
      <w:pPr>
        <w:spacing w:line="21" w:lineRule="exact"/>
        <w:rPr>
          <w:sz w:val="20"/>
          <w:szCs w:val="20"/>
        </w:rPr>
      </w:pPr>
    </w:p>
    <w:p w14:paraId="183A5A04" w14:textId="77777777" w:rsidR="00D1587D" w:rsidRDefault="00410D07">
      <w:pPr>
        <w:ind w:left="4640"/>
        <w:rPr>
          <w:sz w:val="20"/>
          <w:szCs w:val="20"/>
        </w:rPr>
      </w:pPr>
      <w:r>
        <w:rPr>
          <w:rFonts w:ascii="Arial" w:eastAsia="Arial" w:hAnsi="Arial" w:cs="Arial"/>
          <w:sz w:val="17"/>
          <w:szCs w:val="17"/>
        </w:rPr>
        <w:t>consummation of all or part of the Distribution, at any</w:t>
      </w:r>
    </w:p>
    <w:p w14:paraId="119C145D" w14:textId="77777777" w:rsidR="00D1587D" w:rsidRDefault="00D1587D">
      <w:pPr>
        <w:spacing w:line="21" w:lineRule="exact"/>
        <w:rPr>
          <w:sz w:val="20"/>
          <w:szCs w:val="20"/>
        </w:rPr>
      </w:pPr>
    </w:p>
    <w:p w14:paraId="2BC5DD26" w14:textId="77777777" w:rsidR="00D1587D" w:rsidRDefault="00410D07">
      <w:pPr>
        <w:ind w:left="4640"/>
        <w:rPr>
          <w:sz w:val="20"/>
          <w:szCs w:val="20"/>
        </w:rPr>
      </w:pPr>
      <w:r>
        <w:rPr>
          <w:rFonts w:ascii="Arial" w:eastAsia="Arial" w:hAnsi="Arial" w:cs="Arial"/>
          <w:sz w:val="18"/>
          <w:szCs w:val="18"/>
        </w:rPr>
        <w:t xml:space="preserve">time prior to the </w:t>
      </w:r>
      <w:r>
        <w:rPr>
          <w:rFonts w:ascii="Arial" w:eastAsia="Arial" w:hAnsi="Arial" w:cs="Arial"/>
          <w:sz w:val="18"/>
          <w:szCs w:val="18"/>
        </w:rPr>
        <w:t>Distribution Date.</w:t>
      </w:r>
    </w:p>
    <w:p w14:paraId="60C1B878" w14:textId="77777777" w:rsidR="00D1587D" w:rsidRDefault="00D1587D">
      <w:pPr>
        <w:spacing w:line="126" w:lineRule="exact"/>
        <w:rPr>
          <w:sz w:val="20"/>
          <w:szCs w:val="20"/>
        </w:rPr>
      </w:pPr>
    </w:p>
    <w:p w14:paraId="02CEC03E" w14:textId="77777777" w:rsidR="00D1587D" w:rsidRDefault="00410D07">
      <w:pPr>
        <w:tabs>
          <w:tab w:val="left" w:pos="4620"/>
        </w:tabs>
        <w:ind w:left="320"/>
        <w:rPr>
          <w:sz w:val="20"/>
          <w:szCs w:val="20"/>
        </w:rPr>
      </w:pPr>
      <w:r>
        <w:rPr>
          <w:rFonts w:ascii="Arial" w:eastAsia="Arial" w:hAnsi="Arial" w:cs="Arial"/>
          <w:b/>
          <w:bCs/>
          <w:sz w:val="18"/>
          <w:szCs w:val="18"/>
        </w:rPr>
        <w:t>Stock Exchange Listing</w:t>
      </w:r>
      <w:r>
        <w:rPr>
          <w:sz w:val="20"/>
          <w:szCs w:val="20"/>
        </w:rPr>
        <w:tab/>
      </w:r>
      <w:r>
        <w:rPr>
          <w:rFonts w:ascii="Arial" w:eastAsia="Arial" w:hAnsi="Arial" w:cs="Arial"/>
          <w:sz w:val="16"/>
          <w:szCs w:val="16"/>
        </w:rPr>
        <w:t>We intend to have our shares of common stock</w:t>
      </w:r>
    </w:p>
    <w:p w14:paraId="50B1CC89" w14:textId="77777777" w:rsidR="00D1587D" w:rsidRDefault="00D1587D">
      <w:pPr>
        <w:spacing w:line="27" w:lineRule="exact"/>
        <w:rPr>
          <w:sz w:val="20"/>
          <w:szCs w:val="20"/>
        </w:rPr>
      </w:pPr>
    </w:p>
    <w:p w14:paraId="50007E96" w14:textId="77777777" w:rsidR="00D1587D" w:rsidRDefault="00410D07">
      <w:pPr>
        <w:ind w:left="4640"/>
        <w:rPr>
          <w:sz w:val="20"/>
          <w:szCs w:val="20"/>
        </w:rPr>
      </w:pPr>
      <w:r>
        <w:rPr>
          <w:rFonts w:ascii="Arial" w:eastAsia="Arial" w:hAnsi="Arial" w:cs="Arial"/>
          <w:sz w:val="18"/>
          <w:szCs w:val="18"/>
        </w:rPr>
        <w:t>authorized for listing on the NYSE under the ticker</w:t>
      </w:r>
    </w:p>
    <w:p w14:paraId="3E0510AA" w14:textId="77777777" w:rsidR="00D1587D" w:rsidRDefault="00D1587D">
      <w:pPr>
        <w:spacing w:line="9" w:lineRule="exact"/>
        <w:rPr>
          <w:sz w:val="20"/>
          <w:szCs w:val="20"/>
        </w:rPr>
      </w:pPr>
    </w:p>
    <w:p w14:paraId="635D313B" w14:textId="77777777" w:rsidR="00D1587D" w:rsidRDefault="00410D07">
      <w:pPr>
        <w:ind w:left="4640"/>
        <w:rPr>
          <w:sz w:val="20"/>
          <w:szCs w:val="20"/>
        </w:rPr>
      </w:pPr>
      <w:r>
        <w:rPr>
          <w:rFonts w:ascii="Arial" w:eastAsia="Arial" w:hAnsi="Arial" w:cs="Arial"/>
          <w:sz w:val="17"/>
          <w:szCs w:val="17"/>
        </w:rPr>
        <w:t>symbol “VSCO,” subject to official notice of issuance.</w:t>
      </w:r>
    </w:p>
    <w:p w14:paraId="09369EB8" w14:textId="77777777" w:rsidR="00D1587D" w:rsidRDefault="00D1587D">
      <w:pPr>
        <w:sectPr w:rsidR="00D1587D">
          <w:pgSz w:w="11900" w:h="16838"/>
          <w:pgMar w:top="265" w:right="1440" w:bottom="1440" w:left="1440" w:header="0" w:footer="0" w:gutter="0"/>
          <w:cols w:space="720" w:equalWidth="0">
            <w:col w:w="9019"/>
          </w:cols>
        </w:sectPr>
      </w:pPr>
    </w:p>
    <w:p w14:paraId="0F73BD1B" w14:textId="77777777" w:rsidR="00D1587D" w:rsidRDefault="00D1587D">
      <w:pPr>
        <w:spacing w:line="151" w:lineRule="exact"/>
        <w:rPr>
          <w:sz w:val="20"/>
          <w:szCs w:val="20"/>
        </w:rPr>
      </w:pPr>
    </w:p>
    <w:p w14:paraId="662A7A7D" w14:textId="77777777" w:rsidR="00D1587D" w:rsidRDefault="00410D07">
      <w:pPr>
        <w:ind w:left="320"/>
        <w:rPr>
          <w:sz w:val="20"/>
          <w:szCs w:val="20"/>
        </w:rPr>
      </w:pPr>
      <w:r>
        <w:rPr>
          <w:rFonts w:ascii="Arial" w:eastAsia="Arial" w:hAnsi="Arial" w:cs="Arial"/>
          <w:b/>
          <w:bCs/>
          <w:sz w:val="18"/>
          <w:szCs w:val="18"/>
        </w:rPr>
        <w:t>Dividend Policy</w:t>
      </w:r>
    </w:p>
    <w:p w14:paraId="06AA0AC5" w14:textId="77777777" w:rsidR="00D1587D" w:rsidRDefault="00D1587D">
      <w:pPr>
        <w:spacing w:line="200" w:lineRule="exact"/>
        <w:rPr>
          <w:sz w:val="20"/>
          <w:szCs w:val="20"/>
        </w:rPr>
      </w:pPr>
    </w:p>
    <w:p w14:paraId="446BD69F" w14:textId="77777777" w:rsidR="00D1587D" w:rsidRDefault="00D1587D">
      <w:pPr>
        <w:spacing w:line="200" w:lineRule="exact"/>
        <w:rPr>
          <w:sz w:val="20"/>
          <w:szCs w:val="20"/>
        </w:rPr>
      </w:pPr>
    </w:p>
    <w:p w14:paraId="78156E4C" w14:textId="77777777" w:rsidR="00D1587D" w:rsidRDefault="00D1587D">
      <w:pPr>
        <w:spacing w:line="200" w:lineRule="exact"/>
        <w:rPr>
          <w:sz w:val="20"/>
          <w:szCs w:val="20"/>
        </w:rPr>
      </w:pPr>
    </w:p>
    <w:p w14:paraId="69353FF6" w14:textId="77777777" w:rsidR="00D1587D" w:rsidRDefault="00D1587D">
      <w:pPr>
        <w:spacing w:line="200" w:lineRule="exact"/>
        <w:rPr>
          <w:sz w:val="20"/>
          <w:szCs w:val="20"/>
        </w:rPr>
      </w:pPr>
    </w:p>
    <w:p w14:paraId="3AE39F01" w14:textId="77777777" w:rsidR="00D1587D" w:rsidRDefault="00D1587D">
      <w:pPr>
        <w:spacing w:line="200" w:lineRule="exact"/>
        <w:rPr>
          <w:sz w:val="20"/>
          <w:szCs w:val="20"/>
        </w:rPr>
      </w:pPr>
    </w:p>
    <w:p w14:paraId="4957ACA6" w14:textId="77777777" w:rsidR="00D1587D" w:rsidRDefault="00D1587D">
      <w:pPr>
        <w:spacing w:line="200" w:lineRule="exact"/>
        <w:rPr>
          <w:sz w:val="20"/>
          <w:szCs w:val="20"/>
        </w:rPr>
      </w:pPr>
    </w:p>
    <w:p w14:paraId="43873A7D" w14:textId="77777777" w:rsidR="00D1587D" w:rsidRDefault="00D1587D">
      <w:pPr>
        <w:spacing w:line="200" w:lineRule="exact"/>
        <w:rPr>
          <w:sz w:val="20"/>
          <w:szCs w:val="20"/>
        </w:rPr>
      </w:pPr>
    </w:p>
    <w:p w14:paraId="35DBB39D" w14:textId="77777777" w:rsidR="00D1587D" w:rsidRDefault="00D1587D">
      <w:pPr>
        <w:spacing w:line="200" w:lineRule="exact"/>
        <w:rPr>
          <w:sz w:val="20"/>
          <w:szCs w:val="20"/>
        </w:rPr>
      </w:pPr>
    </w:p>
    <w:p w14:paraId="48865E95" w14:textId="77777777" w:rsidR="00D1587D" w:rsidRDefault="00D1587D">
      <w:pPr>
        <w:spacing w:line="200" w:lineRule="exact"/>
        <w:rPr>
          <w:sz w:val="20"/>
          <w:szCs w:val="20"/>
        </w:rPr>
      </w:pPr>
    </w:p>
    <w:p w14:paraId="65E75E15" w14:textId="77777777" w:rsidR="00D1587D" w:rsidRDefault="00D1587D">
      <w:pPr>
        <w:spacing w:line="200" w:lineRule="exact"/>
        <w:rPr>
          <w:sz w:val="20"/>
          <w:szCs w:val="20"/>
        </w:rPr>
      </w:pPr>
    </w:p>
    <w:p w14:paraId="7811314E" w14:textId="77777777" w:rsidR="00D1587D" w:rsidRDefault="00D1587D">
      <w:pPr>
        <w:spacing w:line="200" w:lineRule="exact"/>
        <w:rPr>
          <w:sz w:val="20"/>
          <w:szCs w:val="20"/>
        </w:rPr>
      </w:pPr>
    </w:p>
    <w:p w14:paraId="469D69D5" w14:textId="77777777" w:rsidR="00D1587D" w:rsidRDefault="00D1587D">
      <w:pPr>
        <w:spacing w:line="200" w:lineRule="exact"/>
        <w:rPr>
          <w:sz w:val="20"/>
          <w:szCs w:val="20"/>
        </w:rPr>
      </w:pPr>
    </w:p>
    <w:p w14:paraId="1FF1EAD2" w14:textId="77777777" w:rsidR="00D1587D" w:rsidRDefault="00D1587D">
      <w:pPr>
        <w:spacing w:line="350" w:lineRule="exact"/>
        <w:rPr>
          <w:sz w:val="20"/>
          <w:szCs w:val="20"/>
        </w:rPr>
      </w:pPr>
    </w:p>
    <w:p w14:paraId="1ECA36FC" w14:textId="77777777" w:rsidR="00D1587D" w:rsidRDefault="00410D07">
      <w:pPr>
        <w:ind w:left="320"/>
        <w:rPr>
          <w:sz w:val="20"/>
          <w:szCs w:val="20"/>
        </w:rPr>
      </w:pPr>
      <w:r>
        <w:rPr>
          <w:rFonts w:ascii="Arial" w:eastAsia="Arial" w:hAnsi="Arial" w:cs="Arial"/>
          <w:b/>
          <w:bCs/>
          <w:sz w:val="18"/>
          <w:szCs w:val="18"/>
        </w:rPr>
        <w:t>Transfer Agent</w:t>
      </w:r>
    </w:p>
    <w:p w14:paraId="4EAC19F8" w14:textId="77777777" w:rsidR="00D1587D" w:rsidRDefault="00D1587D">
      <w:pPr>
        <w:spacing w:line="185" w:lineRule="exact"/>
        <w:rPr>
          <w:sz w:val="20"/>
          <w:szCs w:val="20"/>
        </w:rPr>
      </w:pPr>
    </w:p>
    <w:p w14:paraId="3B6D1051" w14:textId="77777777" w:rsidR="00D1587D" w:rsidRDefault="00410D07">
      <w:pPr>
        <w:ind w:left="320"/>
        <w:rPr>
          <w:sz w:val="20"/>
          <w:szCs w:val="20"/>
        </w:rPr>
      </w:pPr>
      <w:r>
        <w:rPr>
          <w:rFonts w:ascii="Arial" w:eastAsia="Arial" w:hAnsi="Arial" w:cs="Arial"/>
          <w:b/>
          <w:bCs/>
          <w:sz w:val="15"/>
          <w:szCs w:val="15"/>
        </w:rPr>
        <w:t>U.S. Federal Income Tax Consequences</w:t>
      </w:r>
    </w:p>
    <w:p w14:paraId="6217C95E" w14:textId="77777777" w:rsidR="00D1587D" w:rsidRDefault="00410D07">
      <w:pPr>
        <w:spacing w:line="20" w:lineRule="exact"/>
        <w:rPr>
          <w:sz w:val="20"/>
          <w:szCs w:val="20"/>
        </w:rPr>
      </w:pPr>
      <w:r>
        <w:rPr>
          <w:sz w:val="20"/>
          <w:szCs w:val="20"/>
        </w:rPr>
        <w:br w:type="column"/>
      </w:r>
    </w:p>
    <w:p w14:paraId="4595021A" w14:textId="77777777" w:rsidR="00D1587D" w:rsidRDefault="00D1587D">
      <w:pPr>
        <w:spacing w:line="135" w:lineRule="exact"/>
        <w:rPr>
          <w:sz w:val="20"/>
          <w:szCs w:val="20"/>
        </w:rPr>
      </w:pPr>
    </w:p>
    <w:p w14:paraId="007E68F4" w14:textId="77777777" w:rsidR="00D1587D" w:rsidRDefault="00410D07">
      <w:pPr>
        <w:spacing w:line="286" w:lineRule="auto"/>
        <w:ind w:right="339"/>
        <w:rPr>
          <w:sz w:val="20"/>
          <w:szCs w:val="20"/>
        </w:rPr>
      </w:pPr>
      <w:r>
        <w:rPr>
          <w:rFonts w:ascii="Arial" w:eastAsia="Arial" w:hAnsi="Arial" w:cs="Arial"/>
          <w:sz w:val="16"/>
          <w:szCs w:val="16"/>
        </w:rPr>
        <w:t>We do not currently intend to pay any cash dividends on our capital stock in the foreseeable future. We currently intend to retain all available funds and any future earnings to fund the development a</w:t>
      </w:r>
      <w:r>
        <w:rPr>
          <w:rFonts w:ascii="Arial" w:eastAsia="Arial" w:hAnsi="Arial" w:cs="Arial"/>
          <w:sz w:val="16"/>
          <w:szCs w:val="16"/>
        </w:rPr>
        <w:t>nd expansion of our business. The declaration and amount of any dividends to holders of our common stock will be at the discretion of our Board of Directors and will depend upon many factors, including our financial condition, earnings, cash flows, capital</w:t>
      </w:r>
      <w:r>
        <w:rPr>
          <w:rFonts w:ascii="Arial" w:eastAsia="Arial" w:hAnsi="Arial" w:cs="Arial"/>
          <w:sz w:val="16"/>
          <w:szCs w:val="16"/>
        </w:rPr>
        <w:t xml:space="preserve"> requirements of our business, covenants associated with our debt obligations, legal requirements, regulatory constraints, industry practice and any other factors the Board of Directors deems relevant. For more information, see “Dividend Policy.”</w:t>
      </w:r>
    </w:p>
    <w:p w14:paraId="0C8D1363" w14:textId="77777777" w:rsidR="00D1587D" w:rsidRDefault="00D1587D">
      <w:pPr>
        <w:spacing w:line="133" w:lineRule="exact"/>
        <w:rPr>
          <w:sz w:val="20"/>
          <w:szCs w:val="20"/>
        </w:rPr>
      </w:pPr>
    </w:p>
    <w:p w14:paraId="1B2D8008" w14:textId="77777777" w:rsidR="00D1587D" w:rsidRDefault="00410D07">
      <w:pPr>
        <w:rPr>
          <w:sz w:val="20"/>
          <w:szCs w:val="20"/>
        </w:rPr>
      </w:pPr>
      <w:r>
        <w:rPr>
          <w:rFonts w:ascii="Arial" w:eastAsia="Arial" w:hAnsi="Arial" w:cs="Arial"/>
          <w:sz w:val="18"/>
          <w:szCs w:val="18"/>
        </w:rPr>
        <w:t>American</w:t>
      </w:r>
      <w:r>
        <w:rPr>
          <w:rFonts w:ascii="Arial" w:eastAsia="Arial" w:hAnsi="Arial" w:cs="Arial"/>
          <w:sz w:val="18"/>
          <w:szCs w:val="18"/>
        </w:rPr>
        <w:t xml:space="preserve"> Stock Transfer.</w:t>
      </w:r>
    </w:p>
    <w:p w14:paraId="3B956153" w14:textId="77777777" w:rsidR="00D1587D" w:rsidRDefault="00D1587D">
      <w:pPr>
        <w:spacing w:line="158" w:lineRule="exact"/>
        <w:rPr>
          <w:sz w:val="20"/>
          <w:szCs w:val="20"/>
        </w:rPr>
      </w:pPr>
    </w:p>
    <w:p w14:paraId="6CC38800" w14:textId="77777777" w:rsidR="00D1587D" w:rsidRDefault="00410D07">
      <w:pPr>
        <w:spacing w:line="270" w:lineRule="auto"/>
        <w:ind w:right="299"/>
        <w:rPr>
          <w:sz w:val="20"/>
          <w:szCs w:val="20"/>
        </w:rPr>
      </w:pPr>
      <w:r>
        <w:rPr>
          <w:rFonts w:ascii="Arial" w:eastAsia="Arial" w:hAnsi="Arial" w:cs="Arial"/>
          <w:sz w:val="17"/>
          <w:szCs w:val="17"/>
        </w:rPr>
        <w:t>A condition to the closing of the Separation is LB’s receipt of the opinion of Davis Polk &amp; Wardwell LLP to the effect that the Distribution will qualify under the Code as a transaction that is generally tax-free to LB and to its stockhol</w:t>
      </w:r>
      <w:r>
        <w:rPr>
          <w:rFonts w:ascii="Arial" w:eastAsia="Arial" w:hAnsi="Arial" w:cs="Arial"/>
          <w:sz w:val="17"/>
          <w:szCs w:val="17"/>
        </w:rPr>
        <w:t>ders. You should review the section entitled “The Separation—Material U.S. Federal Income Tax Consequences of the Distribution” for a discussion of the material U.S. federal income tax consequences of the Distribution.</w:t>
      </w:r>
    </w:p>
    <w:p w14:paraId="24455E3D" w14:textId="77777777" w:rsidR="00D1587D" w:rsidRDefault="00D1587D">
      <w:pPr>
        <w:spacing w:line="200" w:lineRule="exact"/>
        <w:rPr>
          <w:sz w:val="20"/>
          <w:szCs w:val="20"/>
        </w:rPr>
      </w:pPr>
    </w:p>
    <w:p w14:paraId="143D15EA" w14:textId="77777777" w:rsidR="00D1587D" w:rsidRDefault="00D1587D">
      <w:pPr>
        <w:sectPr w:rsidR="00D1587D">
          <w:type w:val="continuous"/>
          <w:pgSz w:w="11900" w:h="16838"/>
          <w:pgMar w:top="265" w:right="1440" w:bottom="1440" w:left="1440" w:header="0" w:footer="0" w:gutter="0"/>
          <w:cols w:num="2" w:space="720" w:equalWidth="0">
            <w:col w:w="3920" w:space="720"/>
            <w:col w:w="4379"/>
          </w:cols>
        </w:sectPr>
      </w:pPr>
    </w:p>
    <w:p w14:paraId="067E7DFD" w14:textId="77777777" w:rsidR="00D1587D" w:rsidRDefault="00D1587D">
      <w:pPr>
        <w:spacing w:line="210" w:lineRule="exact"/>
        <w:rPr>
          <w:sz w:val="20"/>
          <w:szCs w:val="20"/>
        </w:rPr>
      </w:pPr>
    </w:p>
    <w:p w14:paraId="3DB40D6E" w14:textId="77777777" w:rsidR="00D1587D" w:rsidRDefault="00410D07">
      <w:pPr>
        <w:jc w:val="center"/>
        <w:rPr>
          <w:sz w:val="20"/>
          <w:szCs w:val="20"/>
        </w:rPr>
      </w:pPr>
      <w:r>
        <w:rPr>
          <w:rFonts w:ascii="Arial" w:eastAsia="Arial" w:hAnsi="Arial" w:cs="Arial"/>
          <w:sz w:val="16"/>
          <w:szCs w:val="16"/>
        </w:rPr>
        <w:t>14</w:t>
      </w:r>
    </w:p>
    <w:p w14:paraId="3F74097B" w14:textId="77777777" w:rsidR="00D1587D" w:rsidRDefault="00410D07">
      <w:pPr>
        <w:spacing w:line="20" w:lineRule="exact"/>
        <w:rPr>
          <w:sz w:val="20"/>
          <w:szCs w:val="20"/>
        </w:rPr>
      </w:pPr>
      <w:r>
        <w:rPr>
          <w:noProof/>
          <w:sz w:val="20"/>
          <w:szCs w:val="20"/>
        </w:rPr>
        <w:drawing>
          <wp:anchor distT="0" distB="0" distL="114300" distR="114300" simplePos="0" relativeHeight="251454464" behindDoc="1" locked="0" layoutInCell="0" allowOverlap="1" wp14:anchorId="69B2D6D0" wp14:editId="0CE7E9B1">
            <wp:simplePos x="0" y="0"/>
            <wp:positionH relativeFrom="column">
              <wp:posOffset>-636905</wp:posOffset>
            </wp:positionH>
            <wp:positionV relativeFrom="paragraph">
              <wp:posOffset>149225</wp:posOffset>
            </wp:positionV>
            <wp:extent cx="6995160" cy="17145"/>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19C8953"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272" w:name="page273"/>
    <w:bookmarkEnd w:id="272"/>
    <w:p w14:paraId="4D4D2698"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3CE6F36" w14:textId="77777777" w:rsidR="00D1587D" w:rsidRDefault="00410D07">
      <w:pPr>
        <w:spacing w:line="20" w:lineRule="exact"/>
        <w:rPr>
          <w:sz w:val="20"/>
          <w:szCs w:val="20"/>
        </w:rPr>
      </w:pPr>
      <w:r>
        <w:rPr>
          <w:noProof/>
          <w:sz w:val="20"/>
          <w:szCs w:val="20"/>
        </w:rPr>
        <w:drawing>
          <wp:anchor distT="0" distB="0" distL="114300" distR="114300" simplePos="0" relativeHeight="251455488" behindDoc="1" locked="0" layoutInCell="0" allowOverlap="1" wp14:anchorId="37FCF601" wp14:editId="7E7661DF">
            <wp:simplePos x="0" y="0"/>
            <wp:positionH relativeFrom="column">
              <wp:posOffset>46355</wp:posOffset>
            </wp:positionH>
            <wp:positionV relativeFrom="paragraph">
              <wp:posOffset>90170</wp:posOffset>
            </wp:positionV>
            <wp:extent cx="5653405" cy="7839075"/>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srcRect/>
                    <a:stretch>
                      <a:fillRect/>
                    </a:stretch>
                  </pic:blipFill>
                  <pic:spPr bwMode="auto">
                    <a:xfrm>
                      <a:off x="0" y="0"/>
                      <a:ext cx="5653405" cy="7839075"/>
                    </a:xfrm>
                    <a:prstGeom prst="rect">
                      <a:avLst/>
                    </a:prstGeom>
                    <a:noFill/>
                  </pic:spPr>
                </pic:pic>
              </a:graphicData>
            </a:graphic>
          </wp:anchor>
        </w:drawing>
      </w:r>
    </w:p>
    <w:p w14:paraId="418D23DD" w14:textId="77777777" w:rsidR="00D1587D" w:rsidRDefault="00D1587D">
      <w:pPr>
        <w:spacing w:line="200" w:lineRule="exact"/>
        <w:rPr>
          <w:sz w:val="20"/>
          <w:szCs w:val="20"/>
        </w:rPr>
      </w:pPr>
    </w:p>
    <w:p w14:paraId="5EA5A66E" w14:textId="77777777" w:rsidR="00D1587D" w:rsidRDefault="00D1587D">
      <w:pPr>
        <w:spacing w:line="271" w:lineRule="exact"/>
        <w:rPr>
          <w:sz w:val="20"/>
          <w:szCs w:val="20"/>
        </w:rPr>
      </w:pPr>
    </w:p>
    <w:p w14:paraId="13EEBF4D" w14:textId="77777777" w:rsidR="00D1587D" w:rsidRDefault="00410D07">
      <w:pPr>
        <w:ind w:right="-20"/>
        <w:jc w:val="center"/>
        <w:rPr>
          <w:sz w:val="20"/>
          <w:szCs w:val="20"/>
        </w:rPr>
      </w:pPr>
      <w:r>
        <w:rPr>
          <w:rFonts w:ascii="Arial" w:eastAsia="Arial" w:hAnsi="Arial" w:cs="Arial"/>
          <w:b/>
          <w:bCs/>
          <w:sz w:val="18"/>
          <w:szCs w:val="18"/>
        </w:rPr>
        <w:t>SUMMARY RISK FACTORS</w:t>
      </w:r>
    </w:p>
    <w:p w14:paraId="492DB1AF" w14:textId="77777777" w:rsidR="00D1587D" w:rsidRDefault="00D1587D">
      <w:pPr>
        <w:spacing w:line="121" w:lineRule="exact"/>
        <w:rPr>
          <w:sz w:val="20"/>
          <w:szCs w:val="20"/>
        </w:rPr>
      </w:pPr>
    </w:p>
    <w:p w14:paraId="79064FB3" w14:textId="77777777" w:rsidR="00D1587D" w:rsidRDefault="00410D07">
      <w:pPr>
        <w:spacing w:line="263" w:lineRule="auto"/>
        <w:ind w:left="320" w:right="339" w:firstLine="360"/>
        <w:rPr>
          <w:sz w:val="20"/>
          <w:szCs w:val="20"/>
        </w:rPr>
      </w:pPr>
      <w:r>
        <w:rPr>
          <w:rFonts w:ascii="Arial" w:eastAsia="Arial" w:hAnsi="Arial" w:cs="Arial"/>
          <w:sz w:val="18"/>
          <w:szCs w:val="18"/>
        </w:rPr>
        <w:t>We are subject to a number of risks, including risks related to the Separation, including the Restructuring and the Distribution, and other related transactions. Th</w:t>
      </w:r>
      <w:r>
        <w:rPr>
          <w:rFonts w:ascii="Arial" w:eastAsia="Arial" w:hAnsi="Arial" w:cs="Arial"/>
          <w:sz w:val="18"/>
          <w:szCs w:val="18"/>
        </w:rPr>
        <w:t>e following list of risk factors is not exhaustive. Please read “Risk Factors” carefully for a more thorough description of these and other risks.</w:t>
      </w:r>
    </w:p>
    <w:p w14:paraId="022C9106" w14:textId="77777777" w:rsidR="00D1587D" w:rsidRDefault="00D1587D">
      <w:pPr>
        <w:spacing w:line="207" w:lineRule="exact"/>
        <w:rPr>
          <w:sz w:val="20"/>
          <w:szCs w:val="20"/>
        </w:rPr>
      </w:pPr>
    </w:p>
    <w:p w14:paraId="02C44490" w14:textId="77777777" w:rsidR="00D1587D" w:rsidRDefault="00410D07">
      <w:pPr>
        <w:ind w:left="320"/>
        <w:rPr>
          <w:sz w:val="20"/>
          <w:szCs w:val="20"/>
        </w:rPr>
      </w:pPr>
      <w:r>
        <w:rPr>
          <w:rFonts w:ascii="Arial" w:eastAsia="Arial" w:hAnsi="Arial" w:cs="Arial"/>
          <w:b/>
          <w:bCs/>
          <w:sz w:val="18"/>
          <w:szCs w:val="18"/>
        </w:rPr>
        <w:t>Risks Relating to the Separation</w:t>
      </w:r>
    </w:p>
    <w:p w14:paraId="3E86F054" w14:textId="77777777" w:rsidR="00D1587D" w:rsidRDefault="00D1587D">
      <w:pPr>
        <w:spacing w:line="121" w:lineRule="exact"/>
        <w:rPr>
          <w:sz w:val="20"/>
          <w:szCs w:val="20"/>
        </w:rPr>
      </w:pPr>
    </w:p>
    <w:p w14:paraId="59BE90D7" w14:textId="77777777" w:rsidR="00D1587D" w:rsidRDefault="00410D07" w:rsidP="00410D07">
      <w:pPr>
        <w:numPr>
          <w:ilvl w:val="0"/>
          <w:numId w:val="239"/>
        </w:numPr>
        <w:tabs>
          <w:tab w:val="left" w:pos="1020"/>
        </w:tabs>
        <w:spacing w:line="277" w:lineRule="auto"/>
        <w:ind w:left="1020" w:right="839" w:hanging="350"/>
        <w:rPr>
          <w:rFonts w:ascii="Arial" w:eastAsia="Arial" w:hAnsi="Arial" w:cs="Arial"/>
          <w:sz w:val="18"/>
          <w:szCs w:val="18"/>
        </w:rPr>
      </w:pPr>
      <w:r>
        <w:rPr>
          <w:rFonts w:ascii="Arial" w:eastAsia="Arial" w:hAnsi="Arial" w:cs="Arial"/>
          <w:sz w:val="18"/>
          <w:szCs w:val="18"/>
        </w:rPr>
        <w:t>We may not realize the anticipated benefits from the Separation, and the S</w:t>
      </w:r>
      <w:r>
        <w:rPr>
          <w:rFonts w:ascii="Arial" w:eastAsia="Arial" w:hAnsi="Arial" w:cs="Arial"/>
          <w:sz w:val="18"/>
          <w:szCs w:val="18"/>
        </w:rPr>
        <w:t>eparation could harm our business.</w:t>
      </w:r>
    </w:p>
    <w:p w14:paraId="7EC7617E" w14:textId="77777777" w:rsidR="00D1587D" w:rsidRDefault="00D1587D">
      <w:pPr>
        <w:spacing w:line="62" w:lineRule="exact"/>
        <w:rPr>
          <w:rFonts w:ascii="Arial" w:eastAsia="Arial" w:hAnsi="Arial" w:cs="Arial"/>
          <w:sz w:val="18"/>
          <w:szCs w:val="18"/>
        </w:rPr>
      </w:pPr>
    </w:p>
    <w:p w14:paraId="41F4135D" w14:textId="77777777" w:rsidR="00D1587D" w:rsidRDefault="00410D07" w:rsidP="00410D07">
      <w:pPr>
        <w:numPr>
          <w:ilvl w:val="0"/>
          <w:numId w:val="239"/>
        </w:numPr>
        <w:tabs>
          <w:tab w:val="left" w:pos="1020"/>
        </w:tabs>
        <w:spacing w:line="259" w:lineRule="auto"/>
        <w:ind w:left="1020" w:right="499" w:hanging="350"/>
        <w:rPr>
          <w:rFonts w:ascii="Arial" w:eastAsia="Arial" w:hAnsi="Arial" w:cs="Arial"/>
          <w:sz w:val="18"/>
          <w:szCs w:val="18"/>
        </w:rPr>
      </w:pPr>
      <w:r>
        <w:rPr>
          <w:rFonts w:ascii="Arial" w:eastAsia="Arial" w:hAnsi="Arial" w:cs="Arial"/>
          <w:sz w:val="18"/>
          <w:szCs w:val="18"/>
        </w:rPr>
        <w:t xml:space="preserve">We have no history of operating as an independent company, and our historical combined and unaudited pro forma financial information is not necessarily representative of the results that we would have achieved as an </w:t>
      </w:r>
      <w:r>
        <w:rPr>
          <w:rFonts w:ascii="Arial" w:eastAsia="Arial" w:hAnsi="Arial" w:cs="Arial"/>
          <w:sz w:val="18"/>
          <w:szCs w:val="18"/>
        </w:rPr>
        <w:t>independent, publicly traded company and may not be a reliable indicator of our future results.</w:t>
      </w:r>
    </w:p>
    <w:p w14:paraId="4B97A28A" w14:textId="77777777" w:rsidR="00D1587D" w:rsidRDefault="00D1587D">
      <w:pPr>
        <w:spacing w:line="78" w:lineRule="exact"/>
        <w:rPr>
          <w:rFonts w:ascii="Arial" w:eastAsia="Arial" w:hAnsi="Arial" w:cs="Arial"/>
          <w:sz w:val="18"/>
          <w:szCs w:val="18"/>
        </w:rPr>
      </w:pPr>
    </w:p>
    <w:p w14:paraId="1343541D" w14:textId="77777777" w:rsidR="00D1587D" w:rsidRDefault="00410D07" w:rsidP="00410D07">
      <w:pPr>
        <w:numPr>
          <w:ilvl w:val="0"/>
          <w:numId w:val="239"/>
        </w:numPr>
        <w:tabs>
          <w:tab w:val="left" w:pos="1020"/>
        </w:tabs>
        <w:spacing w:line="308" w:lineRule="auto"/>
        <w:ind w:left="1020" w:right="539" w:hanging="350"/>
        <w:rPr>
          <w:rFonts w:ascii="Arial" w:eastAsia="Arial" w:hAnsi="Arial" w:cs="Arial"/>
          <w:sz w:val="17"/>
          <w:szCs w:val="17"/>
        </w:rPr>
      </w:pPr>
      <w:r>
        <w:rPr>
          <w:rFonts w:ascii="Arial" w:eastAsia="Arial" w:hAnsi="Arial" w:cs="Arial"/>
          <w:sz w:val="17"/>
          <w:szCs w:val="17"/>
        </w:rPr>
        <w:t xml:space="preserve">We will incur significant costs to create the infrastructure necessary to operate as an independent public company, and may experience operational disruptions </w:t>
      </w:r>
      <w:r>
        <w:rPr>
          <w:rFonts w:ascii="Arial" w:eastAsia="Arial" w:hAnsi="Arial" w:cs="Arial"/>
          <w:sz w:val="17"/>
          <w:szCs w:val="17"/>
        </w:rPr>
        <w:t>in connection with the Separation.</w:t>
      </w:r>
    </w:p>
    <w:p w14:paraId="18FE970F" w14:textId="77777777" w:rsidR="00D1587D" w:rsidRDefault="00D1587D">
      <w:pPr>
        <w:spacing w:line="38" w:lineRule="exact"/>
        <w:rPr>
          <w:rFonts w:ascii="Arial" w:eastAsia="Arial" w:hAnsi="Arial" w:cs="Arial"/>
          <w:sz w:val="17"/>
          <w:szCs w:val="17"/>
        </w:rPr>
      </w:pPr>
    </w:p>
    <w:p w14:paraId="79F5C89A" w14:textId="77777777" w:rsidR="00D1587D" w:rsidRDefault="00410D07" w:rsidP="00410D07">
      <w:pPr>
        <w:numPr>
          <w:ilvl w:val="0"/>
          <w:numId w:val="239"/>
        </w:numPr>
        <w:tabs>
          <w:tab w:val="left" w:pos="1020"/>
        </w:tabs>
        <w:spacing w:line="277" w:lineRule="auto"/>
        <w:ind w:left="1020" w:right="679" w:hanging="350"/>
        <w:rPr>
          <w:rFonts w:ascii="Arial" w:eastAsia="Arial" w:hAnsi="Arial" w:cs="Arial"/>
          <w:sz w:val="18"/>
          <w:szCs w:val="18"/>
        </w:rPr>
      </w:pPr>
      <w:r>
        <w:rPr>
          <w:rFonts w:ascii="Arial" w:eastAsia="Arial" w:hAnsi="Arial" w:cs="Arial"/>
          <w:sz w:val="18"/>
          <w:szCs w:val="18"/>
        </w:rPr>
        <w:t>Until the Distribution occurs, the LB Board of Directors has sole discretion to change the terms of the Separation in ways that may be unfavorable to us.</w:t>
      </w:r>
    </w:p>
    <w:p w14:paraId="651DB7F3" w14:textId="77777777" w:rsidR="00D1587D" w:rsidRDefault="00D1587D">
      <w:pPr>
        <w:spacing w:line="62" w:lineRule="exact"/>
        <w:rPr>
          <w:rFonts w:ascii="Arial" w:eastAsia="Arial" w:hAnsi="Arial" w:cs="Arial"/>
          <w:sz w:val="18"/>
          <w:szCs w:val="18"/>
        </w:rPr>
      </w:pPr>
    </w:p>
    <w:p w14:paraId="4026D6CB" w14:textId="77777777" w:rsidR="00D1587D" w:rsidRDefault="00410D07" w:rsidP="00410D07">
      <w:pPr>
        <w:numPr>
          <w:ilvl w:val="0"/>
          <w:numId w:val="239"/>
        </w:numPr>
        <w:tabs>
          <w:tab w:val="left" w:pos="1020"/>
        </w:tabs>
        <w:spacing w:line="259" w:lineRule="auto"/>
        <w:ind w:left="1020" w:right="339" w:hanging="350"/>
        <w:rPr>
          <w:rFonts w:ascii="Arial" w:eastAsia="Arial" w:hAnsi="Arial" w:cs="Arial"/>
          <w:sz w:val="18"/>
          <w:szCs w:val="18"/>
        </w:rPr>
      </w:pPr>
      <w:r>
        <w:rPr>
          <w:rFonts w:ascii="Arial" w:eastAsia="Arial" w:hAnsi="Arial" w:cs="Arial"/>
          <w:sz w:val="18"/>
          <w:szCs w:val="18"/>
        </w:rPr>
        <w:t xml:space="preserve">Following the Separation, we will have debt </w:t>
      </w:r>
      <w:r>
        <w:rPr>
          <w:rFonts w:ascii="Arial" w:eastAsia="Arial" w:hAnsi="Arial" w:cs="Arial"/>
          <w:sz w:val="18"/>
          <w:szCs w:val="18"/>
        </w:rPr>
        <w:t xml:space="preserve">obligations that could restrict our business and adversely impact our results of operations, financial condition or cash flows. In addition, the separation of our business from LB may increase the overall cost of debt funding and decrease the overall debt </w:t>
      </w:r>
      <w:r>
        <w:rPr>
          <w:rFonts w:ascii="Arial" w:eastAsia="Arial" w:hAnsi="Arial" w:cs="Arial"/>
          <w:sz w:val="18"/>
          <w:szCs w:val="18"/>
        </w:rPr>
        <w:t>capacity and commercial credit available to us.</w:t>
      </w:r>
    </w:p>
    <w:p w14:paraId="2D0B0AB4" w14:textId="77777777" w:rsidR="00D1587D" w:rsidRDefault="00D1587D">
      <w:pPr>
        <w:spacing w:line="345" w:lineRule="exact"/>
        <w:rPr>
          <w:sz w:val="20"/>
          <w:szCs w:val="20"/>
        </w:rPr>
      </w:pPr>
    </w:p>
    <w:p w14:paraId="1BA676E1" w14:textId="77777777" w:rsidR="00D1587D" w:rsidRDefault="00410D07">
      <w:pPr>
        <w:ind w:left="320"/>
        <w:rPr>
          <w:sz w:val="20"/>
          <w:szCs w:val="20"/>
        </w:rPr>
      </w:pPr>
      <w:r>
        <w:rPr>
          <w:rFonts w:ascii="Arial" w:eastAsia="Arial" w:hAnsi="Arial" w:cs="Arial"/>
          <w:b/>
          <w:bCs/>
          <w:sz w:val="18"/>
          <w:szCs w:val="18"/>
        </w:rPr>
        <w:t>Risks Relating to Our Business</w:t>
      </w:r>
    </w:p>
    <w:p w14:paraId="5C2B6742" w14:textId="77777777" w:rsidR="00D1587D" w:rsidRDefault="00D1587D">
      <w:pPr>
        <w:spacing w:line="121" w:lineRule="exact"/>
        <w:rPr>
          <w:sz w:val="20"/>
          <w:szCs w:val="20"/>
        </w:rPr>
      </w:pPr>
    </w:p>
    <w:p w14:paraId="082540CC" w14:textId="77777777" w:rsidR="00D1587D" w:rsidRDefault="00410D07" w:rsidP="00410D07">
      <w:pPr>
        <w:numPr>
          <w:ilvl w:val="0"/>
          <w:numId w:val="240"/>
        </w:numPr>
        <w:tabs>
          <w:tab w:val="left" w:pos="1020"/>
        </w:tabs>
        <w:spacing w:line="263" w:lineRule="auto"/>
        <w:ind w:left="1020" w:right="479" w:hanging="350"/>
        <w:rPr>
          <w:rFonts w:ascii="Arial" w:eastAsia="Arial" w:hAnsi="Arial" w:cs="Arial"/>
          <w:sz w:val="18"/>
          <w:szCs w:val="18"/>
        </w:rPr>
      </w:pPr>
      <w:r>
        <w:rPr>
          <w:rFonts w:ascii="Arial" w:eastAsia="Arial" w:hAnsi="Arial" w:cs="Arial"/>
          <w:sz w:val="18"/>
          <w:szCs w:val="18"/>
        </w:rPr>
        <w:t xml:space="preserve">Our net sales, profit results and cash flows are sensitive to, and may be affected by, general economic conditions, consumer confidence, spending patterns, significant health </w:t>
      </w:r>
      <w:r>
        <w:rPr>
          <w:rFonts w:ascii="Arial" w:eastAsia="Arial" w:hAnsi="Arial" w:cs="Arial"/>
          <w:sz w:val="18"/>
          <w:szCs w:val="18"/>
        </w:rPr>
        <w:t>hazards or pandemics, weather or other market disruptions.</w:t>
      </w:r>
    </w:p>
    <w:p w14:paraId="18338237" w14:textId="77777777" w:rsidR="00D1587D" w:rsidRDefault="00D1587D">
      <w:pPr>
        <w:spacing w:line="75" w:lineRule="exact"/>
        <w:rPr>
          <w:rFonts w:ascii="Arial" w:eastAsia="Arial" w:hAnsi="Arial" w:cs="Arial"/>
          <w:sz w:val="18"/>
          <w:szCs w:val="18"/>
        </w:rPr>
      </w:pPr>
    </w:p>
    <w:p w14:paraId="0B1742FD" w14:textId="77777777" w:rsidR="00D1587D" w:rsidRDefault="00410D07" w:rsidP="00410D07">
      <w:pPr>
        <w:numPr>
          <w:ilvl w:val="0"/>
          <w:numId w:val="240"/>
        </w:numPr>
        <w:tabs>
          <w:tab w:val="left" w:pos="1020"/>
        </w:tabs>
        <w:spacing w:line="277" w:lineRule="auto"/>
        <w:ind w:left="1020" w:right="699" w:hanging="350"/>
        <w:rPr>
          <w:rFonts w:ascii="Arial" w:eastAsia="Arial" w:hAnsi="Arial" w:cs="Arial"/>
          <w:sz w:val="18"/>
          <w:szCs w:val="18"/>
        </w:rPr>
      </w:pPr>
      <w:r>
        <w:rPr>
          <w:rFonts w:ascii="Arial" w:eastAsia="Arial" w:hAnsi="Arial" w:cs="Arial"/>
          <w:sz w:val="18"/>
          <w:szCs w:val="18"/>
        </w:rPr>
        <w:t>The COVID-19 global pandemic has had and is expected to continue to have an adverse effect on our business and results of operations.</w:t>
      </w:r>
    </w:p>
    <w:p w14:paraId="16719092" w14:textId="77777777" w:rsidR="00D1587D" w:rsidRDefault="00D1587D">
      <w:pPr>
        <w:spacing w:line="62" w:lineRule="exact"/>
        <w:rPr>
          <w:rFonts w:ascii="Arial" w:eastAsia="Arial" w:hAnsi="Arial" w:cs="Arial"/>
          <w:sz w:val="18"/>
          <w:szCs w:val="18"/>
        </w:rPr>
      </w:pPr>
    </w:p>
    <w:p w14:paraId="1DC3EE68" w14:textId="77777777" w:rsidR="00D1587D" w:rsidRDefault="00410D07" w:rsidP="00410D07">
      <w:pPr>
        <w:numPr>
          <w:ilvl w:val="0"/>
          <w:numId w:val="240"/>
        </w:numPr>
        <w:tabs>
          <w:tab w:val="left" w:pos="1020"/>
        </w:tabs>
        <w:spacing w:line="277" w:lineRule="auto"/>
        <w:ind w:left="1020" w:right="559" w:hanging="350"/>
        <w:rPr>
          <w:rFonts w:ascii="Arial" w:eastAsia="Arial" w:hAnsi="Arial" w:cs="Arial"/>
          <w:sz w:val="18"/>
          <w:szCs w:val="18"/>
        </w:rPr>
      </w:pPr>
      <w:r>
        <w:rPr>
          <w:rFonts w:ascii="Arial" w:eastAsia="Arial" w:hAnsi="Arial" w:cs="Arial"/>
          <w:sz w:val="18"/>
          <w:szCs w:val="18"/>
        </w:rPr>
        <w:t xml:space="preserve">We have incurred operating losses in the past and we </w:t>
      </w:r>
      <w:r>
        <w:rPr>
          <w:rFonts w:ascii="Arial" w:eastAsia="Arial" w:hAnsi="Arial" w:cs="Arial"/>
          <w:sz w:val="18"/>
          <w:szCs w:val="18"/>
        </w:rPr>
        <w:t>cannot assure you that we will be able to generate sufficient revenue to sustain profitability in the future.</w:t>
      </w:r>
    </w:p>
    <w:p w14:paraId="009DDC8F" w14:textId="77777777" w:rsidR="00D1587D" w:rsidRDefault="00D1587D">
      <w:pPr>
        <w:spacing w:line="62" w:lineRule="exact"/>
        <w:rPr>
          <w:rFonts w:ascii="Arial" w:eastAsia="Arial" w:hAnsi="Arial" w:cs="Arial"/>
          <w:sz w:val="18"/>
          <w:szCs w:val="18"/>
        </w:rPr>
      </w:pPr>
    </w:p>
    <w:p w14:paraId="43230615" w14:textId="77777777" w:rsidR="00D1587D" w:rsidRDefault="00410D07" w:rsidP="00410D07">
      <w:pPr>
        <w:numPr>
          <w:ilvl w:val="0"/>
          <w:numId w:val="240"/>
        </w:numPr>
        <w:tabs>
          <w:tab w:val="left" w:pos="1020"/>
        </w:tabs>
        <w:ind w:left="1020" w:hanging="350"/>
        <w:rPr>
          <w:rFonts w:ascii="Arial" w:eastAsia="Arial" w:hAnsi="Arial" w:cs="Arial"/>
          <w:sz w:val="18"/>
          <w:szCs w:val="18"/>
        </w:rPr>
      </w:pPr>
      <w:r>
        <w:rPr>
          <w:rFonts w:ascii="Arial" w:eastAsia="Arial" w:hAnsi="Arial" w:cs="Arial"/>
          <w:sz w:val="18"/>
          <w:szCs w:val="18"/>
        </w:rPr>
        <w:t>Our net sales, operating income, cash and inventory levels fluctuate on a seasonal basis.</w:t>
      </w:r>
    </w:p>
    <w:p w14:paraId="31AD2CF2" w14:textId="77777777" w:rsidR="00D1587D" w:rsidRDefault="00D1587D">
      <w:pPr>
        <w:spacing w:line="117" w:lineRule="exact"/>
        <w:rPr>
          <w:rFonts w:ascii="Arial" w:eastAsia="Arial" w:hAnsi="Arial" w:cs="Arial"/>
          <w:sz w:val="18"/>
          <w:szCs w:val="18"/>
        </w:rPr>
      </w:pPr>
    </w:p>
    <w:p w14:paraId="5BA212A2" w14:textId="77777777" w:rsidR="00D1587D" w:rsidRDefault="00410D07" w:rsidP="00410D07">
      <w:pPr>
        <w:numPr>
          <w:ilvl w:val="0"/>
          <w:numId w:val="240"/>
        </w:numPr>
        <w:tabs>
          <w:tab w:val="left" w:pos="1020"/>
        </w:tabs>
        <w:spacing w:line="277" w:lineRule="auto"/>
        <w:ind w:left="1020" w:right="1039" w:hanging="350"/>
        <w:rPr>
          <w:rFonts w:ascii="Arial" w:eastAsia="Arial" w:hAnsi="Arial" w:cs="Arial"/>
          <w:sz w:val="18"/>
          <w:szCs w:val="18"/>
        </w:rPr>
      </w:pPr>
      <w:r>
        <w:rPr>
          <w:rFonts w:ascii="Arial" w:eastAsia="Arial" w:hAnsi="Arial" w:cs="Arial"/>
          <w:sz w:val="18"/>
          <w:szCs w:val="18"/>
        </w:rPr>
        <w:t xml:space="preserve">Turnover in company leadership or other key positions </w:t>
      </w:r>
      <w:r>
        <w:rPr>
          <w:rFonts w:ascii="Arial" w:eastAsia="Arial" w:hAnsi="Arial" w:cs="Arial"/>
          <w:sz w:val="18"/>
          <w:szCs w:val="18"/>
        </w:rPr>
        <w:t>may have an adverse impact on company performance.</w:t>
      </w:r>
    </w:p>
    <w:p w14:paraId="73B1BF11" w14:textId="77777777" w:rsidR="00D1587D" w:rsidRDefault="00D1587D">
      <w:pPr>
        <w:spacing w:line="62" w:lineRule="exact"/>
        <w:rPr>
          <w:rFonts w:ascii="Arial" w:eastAsia="Arial" w:hAnsi="Arial" w:cs="Arial"/>
          <w:sz w:val="18"/>
          <w:szCs w:val="18"/>
        </w:rPr>
      </w:pPr>
    </w:p>
    <w:p w14:paraId="04FBF6CD" w14:textId="77777777" w:rsidR="00D1587D" w:rsidRDefault="00410D07" w:rsidP="00410D07">
      <w:pPr>
        <w:numPr>
          <w:ilvl w:val="0"/>
          <w:numId w:val="240"/>
        </w:numPr>
        <w:tabs>
          <w:tab w:val="left" w:pos="1020"/>
        </w:tabs>
        <w:spacing w:line="277" w:lineRule="auto"/>
        <w:ind w:left="1020" w:right="539" w:hanging="350"/>
        <w:rPr>
          <w:rFonts w:ascii="Arial" w:eastAsia="Arial" w:hAnsi="Arial" w:cs="Arial"/>
          <w:sz w:val="18"/>
          <w:szCs w:val="18"/>
        </w:rPr>
      </w:pPr>
      <w:r>
        <w:rPr>
          <w:rFonts w:ascii="Arial" w:eastAsia="Arial" w:hAnsi="Arial" w:cs="Arial"/>
          <w:sz w:val="18"/>
          <w:szCs w:val="18"/>
        </w:rPr>
        <w:t>We may be impacted by our ability to attract, develop and retain qualified associates and manage labor-related costs.</w:t>
      </w:r>
    </w:p>
    <w:p w14:paraId="5137C142" w14:textId="77777777" w:rsidR="00D1587D" w:rsidRDefault="00D1587D">
      <w:pPr>
        <w:spacing w:line="62" w:lineRule="exact"/>
        <w:rPr>
          <w:rFonts w:ascii="Arial" w:eastAsia="Arial" w:hAnsi="Arial" w:cs="Arial"/>
          <w:sz w:val="18"/>
          <w:szCs w:val="18"/>
        </w:rPr>
      </w:pPr>
    </w:p>
    <w:p w14:paraId="62FDCFF3" w14:textId="77777777" w:rsidR="00D1587D" w:rsidRDefault="00410D07" w:rsidP="00410D07">
      <w:pPr>
        <w:numPr>
          <w:ilvl w:val="0"/>
          <w:numId w:val="240"/>
        </w:numPr>
        <w:tabs>
          <w:tab w:val="left" w:pos="1020"/>
        </w:tabs>
        <w:ind w:left="1020" w:hanging="350"/>
        <w:rPr>
          <w:rFonts w:ascii="Arial" w:eastAsia="Arial" w:hAnsi="Arial" w:cs="Arial"/>
          <w:sz w:val="17"/>
          <w:szCs w:val="17"/>
        </w:rPr>
      </w:pPr>
      <w:r>
        <w:rPr>
          <w:rFonts w:ascii="Arial" w:eastAsia="Arial" w:hAnsi="Arial" w:cs="Arial"/>
          <w:sz w:val="17"/>
          <w:szCs w:val="17"/>
        </w:rPr>
        <w:t>Our net sales depend on a volume of traffic to our stores and the availability of sui</w:t>
      </w:r>
      <w:r>
        <w:rPr>
          <w:rFonts w:ascii="Arial" w:eastAsia="Arial" w:hAnsi="Arial" w:cs="Arial"/>
          <w:sz w:val="17"/>
          <w:szCs w:val="17"/>
        </w:rPr>
        <w:t>table lease space.</w:t>
      </w:r>
    </w:p>
    <w:p w14:paraId="3E1F885A" w14:textId="77777777" w:rsidR="00D1587D" w:rsidRDefault="00D1587D">
      <w:pPr>
        <w:spacing w:line="128" w:lineRule="exact"/>
        <w:rPr>
          <w:rFonts w:ascii="Arial" w:eastAsia="Arial" w:hAnsi="Arial" w:cs="Arial"/>
          <w:sz w:val="17"/>
          <w:szCs w:val="17"/>
        </w:rPr>
      </w:pPr>
    </w:p>
    <w:p w14:paraId="5ABEADD3" w14:textId="77777777" w:rsidR="00D1587D" w:rsidRDefault="00410D07" w:rsidP="00410D07">
      <w:pPr>
        <w:numPr>
          <w:ilvl w:val="0"/>
          <w:numId w:val="240"/>
        </w:numPr>
        <w:tabs>
          <w:tab w:val="left" w:pos="1020"/>
        </w:tabs>
        <w:ind w:left="1020" w:hanging="350"/>
        <w:rPr>
          <w:rFonts w:ascii="Arial" w:eastAsia="Arial" w:hAnsi="Arial" w:cs="Arial"/>
          <w:sz w:val="16"/>
          <w:szCs w:val="16"/>
        </w:rPr>
      </w:pPr>
      <w:r>
        <w:rPr>
          <w:rFonts w:ascii="Arial" w:eastAsia="Arial" w:hAnsi="Arial" w:cs="Arial"/>
          <w:sz w:val="16"/>
          <w:szCs w:val="16"/>
        </w:rPr>
        <w:t>Our ability to grow depends in part on new store openings and existing store remodels and expansions.</w:t>
      </w:r>
    </w:p>
    <w:p w14:paraId="601F5C48" w14:textId="77777777" w:rsidR="00D1587D" w:rsidRDefault="00D1587D">
      <w:pPr>
        <w:spacing w:line="140" w:lineRule="exact"/>
        <w:rPr>
          <w:rFonts w:ascii="Arial" w:eastAsia="Arial" w:hAnsi="Arial" w:cs="Arial"/>
          <w:sz w:val="16"/>
          <w:szCs w:val="16"/>
        </w:rPr>
      </w:pPr>
    </w:p>
    <w:p w14:paraId="2E240DD3" w14:textId="77777777" w:rsidR="00D1587D" w:rsidRDefault="00410D07" w:rsidP="00410D07">
      <w:pPr>
        <w:numPr>
          <w:ilvl w:val="0"/>
          <w:numId w:val="240"/>
        </w:numPr>
        <w:tabs>
          <w:tab w:val="left" w:pos="1020"/>
        </w:tabs>
        <w:spacing w:line="277" w:lineRule="auto"/>
        <w:ind w:left="1020" w:right="439" w:hanging="350"/>
        <w:rPr>
          <w:rFonts w:ascii="Arial" w:eastAsia="Arial" w:hAnsi="Arial" w:cs="Arial"/>
          <w:sz w:val="18"/>
          <w:szCs w:val="18"/>
        </w:rPr>
      </w:pPr>
      <w:r>
        <w:rPr>
          <w:rFonts w:ascii="Arial" w:eastAsia="Arial" w:hAnsi="Arial" w:cs="Arial"/>
          <w:sz w:val="18"/>
          <w:szCs w:val="18"/>
        </w:rPr>
        <w:t xml:space="preserve">Our international operations and our plans for international expansion include risks that could impact our results and </w:t>
      </w:r>
      <w:r>
        <w:rPr>
          <w:rFonts w:ascii="Arial" w:eastAsia="Arial" w:hAnsi="Arial" w:cs="Arial"/>
          <w:sz w:val="18"/>
          <w:szCs w:val="18"/>
        </w:rPr>
        <w:t>reputation.</w:t>
      </w:r>
    </w:p>
    <w:p w14:paraId="38331F0F" w14:textId="77777777" w:rsidR="00D1587D" w:rsidRDefault="00D1587D">
      <w:pPr>
        <w:spacing w:line="62" w:lineRule="exact"/>
        <w:rPr>
          <w:rFonts w:ascii="Arial" w:eastAsia="Arial" w:hAnsi="Arial" w:cs="Arial"/>
          <w:sz w:val="18"/>
          <w:szCs w:val="18"/>
        </w:rPr>
      </w:pPr>
    </w:p>
    <w:p w14:paraId="1C3B6043" w14:textId="77777777" w:rsidR="00D1587D" w:rsidRDefault="00410D07" w:rsidP="00410D07">
      <w:pPr>
        <w:numPr>
          <w:ilvl w:val="0"/>
          <w:numId w:val="240"/>
        </w:numPr>
        <w:tabs>
          <w:tab w:val="left" w:pos="1020"/>
        </w:tabs>
        <w:ind w:left="1020" w:hanging="350"/>
        <w:rPr>
          <w:rFonts w:ascii="Arial" w:eastAsia="Arial" w:hAnsi="Arial" w:cs="Arial"/>
          <w:sz w:val="18"/>
          <w:szCs w:val="18"/>
        </w:rPr>
      </w:pPr>
      <w:r>
        <w:rPr>
          <w:rFonts w:ascii="Arial" w:eastAsia="Arial" w:hAnsi="Arial" w:cs="Arial"/>
          <w:sz w:val="18"/>
          <w:szCs w:val="18"/>
        </w:rPr>
        <w:t>Our direct channel business includes risks that could have an effect on our results.</w:t>
      </w:r>
    </w:p>
    <w:p w14:paraId="2CE8ADB4" w14:textId="77777777" w:rsidR="00D1587D" w:rsidRDefault="00D1587D">
      <w:pPr>
        <w:spacing w:line="117" w:lineRule="exact"/>
        <w:rPr>
          <w:rFonts w:ascii="Arial" w:eastAsia="Arial" w:hAnsi="Arial" w:cs="Arial"/>
          <w:sz w:val="18"/>
          <w:szCs w:val="18"/>
        </w:rPr>
      </w:pPr>
    </w:p>
    <w:p w14:paraId="755C912D" w14:textId="77777777" w:rsidR="00D1587D" w:rsidRDefault="00410D07" w:rsidP="00410D07">
      <w:pPr>
        <w:numPr>
          <w:ilvl w:val="0"/>
          <w:numId w:val="240"/>
        </w:numPr>
        <w:tabs>
          <w:tab w:val="left" w:pos="1020"/>
        </w:tabs>
        <w:ind w:left="1020" w:hanging="350"/>
        <w:rPr>
          <w:rFonts w:ascii="Arial" w:eastAsia="Arial" w:hAnsi="Arial" w:cs="Arial"/>
          <w:sz w:val="18"/>
          <w:szCs w:val="18"/>
        </w:rPr>
      </w:pPr>
      <w:r>
        <w:rPr>
          <w:rFonts w:ascii="Arial" w:eastAsia="Arial" w:hAnsi="Arial" w:cs="Arial"/>
          <w:sz w:val="18"/>
          <w:szCs w:val="18"/>
        </w:rPr>
        <w:t>Our ability to protect our reputation could have a material effect on our brand images.</w:t>
      </w:r>
    </w:p>
    <w:p w14:paraId="7B3A73CA" w14:textId="77777777" w:rsidR="00D1587D" w:rsidRDefault="00D1587D">
      <w:pPr>
        <w:spacing w:line="117" w:lineRule="exact"/>
        <w:rPr>
          <w:rFonts w:ascii="Arial" w:eastAsia="Arial" w:hAnsi="Arial" w:cs="Arial"/>
          <w:sz w:val="18"/>
          <w:szCs w:val="18"/>
        </w:rPr>
      </w:pPr>
    </w:p>
    <w:p w14:paraId="0C7903BF" w14:textId="77777777" w:rsidR="00D1587D" w:rsidRDefault="00410D07" w:rsidP="00410D07">
      <w:pPr>
        <w:numPr>
          <w:ilvl w:val="0"/>
          <w:numId w:val="240"/>
        </w:numPr>
        <w:tabs>
          <w:tab w:val="left" w:pos="1020"/>
        </w:tabs>
        <w:spacing w:line="342" w:lineRule="auto"/>
        <w:ind w:left="1020" w:right="419" w:hanging="350"/>
        <w:rPr>
          <w:rFonts w:ascii="Arial" w:eastAsia="Arial" w:hAnsi="Arial" w:cs="Arial"/>
          <w:sz w:val="16"/>
          <w:szCs w:val="16"/>
        </w:rPr>
      </w:pPr>
      <w:r>
        <w:rPr>
          <w:rFonts w:ascii="Arial" w:eastAsia="Arial" w:hAnsi="Arial" w:cs="Arial"/>
          <w:sz w:val="16"/>
          <w:szCs w:val="16"/>
        </w:rPr>
        <w:t>If our marketing, advertising and promotional programs are unsuccess</w:t>
      </w:r>
      <w:r>
        <w:rPr>
          <w:rFonts w:ascii="Arial" w:eastAsia="Arial" w:hAnsi="Arial" w:cs="Arial"/>
          <w:sz w:val="16"/>
          <w:szCs w:val="16"/>
        </w:rPr>
        <w:t>ful, or if our competitors are more effective with their programs than we are, our revenue or results of operations may be adversely affected.</w:t>
      </w:r>
    </w:p>
    <w:p w14:paraId="19917781" w14:textId="77777777" w:rsidR="00D1587D" w:rsidRDefault="00D1587D">
      <w:pPr>
        <w:spacing w:line="15" w:lineRule="exact"/>
        <w:rPr>
          <w:rFonts w:ascii="Arial" w:eastAsia="Arial" w:hAnsi="Arial" w:cs="Arial"/>
          <w:sz w:val="16"/>
          <w:szCs w:val="16"/>
        </w:rPr>
      </w:pPr>
    </w:p>
    <w:p w14:paraId="7CA23D6B" w14:textId="77777777" w:rsidR="00D1587D" w:rsidRDefault="00410D07" w:rsidP="00410D07">
      <w:pPr>
        <w:numPr>
          <w:ilvl w:val="0"/>
          <w:numId w:val="240"/>
        </w:numPr>
        <w:tabs>
          <w:tab w:val="left" w:pos="1020"/>
        </w:tabs>
        <w:spacing w:line="277" w:lineRule="auto"/>
        <w:ind w:left="1020" w:right="659" w:hanging="350"/>
        <w:rPr>
          <w:rFonts w:ascii="Arial" w:eastAsia="Arial" w:hAnsi="Arial" w:cs="Arial"/>
          <w:sz w:val="18"/>
          <w:szCs w:val="18"/>
        </w:rPr>
      </w:pPr>
      <w:r>
        <w:rPr>
          <w:rFonts w:ascii="Arial" w:eastAsia="Arial" w:hAnsi="Arial" w:cs="Arial"/>
          <w:sz w:val="18"/>
          <w:szCs w:val="18"/>
        </w:rPr>
        <w:t>Our ability to adequately maintain, enforce and protect our trade names, trademarks and patents could have an im</w:t>
      </w:r>
      <w:r>
        <w:rPr>
          <w:rFonts w:ascii="Arial" w:eastAsia="Arial" w:hAnsi="Arial" w:cs="Arial"/>
          <w:sz w:val="18"/>
          <w:szCs w:val="18"/>
        </w:rPr>
        <w:t>pact on our brand images and ability to penetrate new markets.</w:t>
      </w:r>
    </w:p>
    <w:p w14:paraId="771B1C7E" w14:textId="77777777" w:rsidR="00D1587D" w:rsidRDefault="00D1587D">
      <w:pPr>
        <w:spacing w:line="400" w:lineRule="exact"/>
        <w:rPr>
          <w:sz w:val="20"/>
          <w:szCs w:val="20"/>
        </w:rPr>
      </w:pPr>
    </w:p>
    <w:p w14:paraId="6620F9E5" w14:textId="77777777" w:rsidR="00D1587D" w:rsidRDefault="00410D07">
      <w:pPr>
        <w:ind w:right="19"/>
        <w:jc w:val="center"/>
        <w:rPr>
          <w:sz w:val="20"/>
          <w:szCs w:val="20"/>
        </w:rPr>
      </w:pPr>
      <w:r>
        <w:rPr>
          <w:rFonts w:ascii="Arial" w:eastAsia="Arial" w:hAnsi="Arial" w:cs="Arial"/>
          <w:sz w:val="18"/>
          <w:szCs w:val="18"/>
        </w:rPr>
        <w:t>15</w:t>
      </w:r>
    </w:p>
    <w:p w14:paraId="1A1FA43B" w14:textId="77777777" w:rsidR="00D1587D" w:rsidRDefault="00410D07">
      <w:pPr>
        <w:spacing w:line="20" w:lineRule="exact"/>
        <w:rPr>
          <w:sz w:val="20"/>
          <w:szCs w:val="20"/>
        </w:rPr>
      </w:pPr>
      <w:r>
        <w:rPr>
          <w:noProof/>
          <w:sz w:val="20"/>
          <w:szCs w:val="20"/>
        </w:rPr>
        <w:drawing>
          <wp:anchor distT="0" distB="0" distL="114300" distR="114300" simplePos="0" relativeHeight="251456512" behindDoc="1" locked="0" layoutInCell="0" allowOverlap="1" wp14:anchorId="1E959C3A" wp14:editId="6C972C6B">
            <wp:simplePos x="0" y="0"/>
            <wp:positionH relativeFrom="column">
              <wp:posOffset>-636905</wp:posOffset>
            </wp:positionH>
            <wp:positionV relativeFrom="paragraph">
              <wp:posOffset>126365</wp:posOffset>
            </wp:positionV>
            <wp:extent cx="6995160" cy="1714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AEC1D56" w14:textId="77777777" w:rsidR="00D1587D" w:rsidRDefault="00D1587D">
      <w:pPr>
        <w:sectPr w:rsidR="00D1587D">
          <w:pgSz w:w="11900" w:h="16838"/>
          <w:pgMar w:top="265" w:right="1440" w:bottom="1440" w:left="1440" w:header="0" w:footer="0" w:gutter="0"/>
          <w:cols w:space="720" w:equalWidth="0">
            <w:col w:w="9019"/>
          </w:cols>
        </w:sectPr>
      </w:pPr>
    </w:p>
    <w:bookmarkStart w:id="273" w:name="page274"/>
    <w:bookmarkEnd w:id="273"/>
    <w:p w14:paraId="5F2E4508" w14:textId="77777777" w:rsidR="00D1587D" w:rsidRDefault="00410D07">
      <w:pPr>
        <w:ind w:left="8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D1B271D" w14:textId="77777777" w:rsidR="00D1587D" w:rsidRDefault="00410D07">
      <w:pPr>
        <w:spacing w:line="20" w:lineRule="exact"/>
        <w:rPr>
          <w:sz w:val="20"/>
          <w:szCs w:val="20"/>
        </w:rPr>
      </w:pPr>
      <w:r>
        <w:rPr>
          <w:noProof/>
          <w:sz w:val="20"/>
          <w:szCs w:val="20"/>
        </w:rPr>
        <w:drawing>
          <wp:anchor distT="0" distB="0" distL="114300" distR="114300" simplePos="0" relativeHeight="251457536" behindDoc="1" locked="0" layoutInCell="0" allowOverlap="1" wp14:anchorId="7E8FEC6B" wp14:editId="726DC645">
            <wp:simplePos x="0" y="0"/>
            <wp:positionH relativeFrom="column">
              <wp:posOffset>46355</wp:posOffset>
            </wp:positionH>
            <wp:positionV relativeFrom="paragraph">
              <wp:posOffset>90170</wp:posOffset>
            </wp:positionV>
            <wp:extent cx="5653405" cy="637349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4"/>
                    <a:srcRect/>
                    <a:stretch>
                      <a:fillRect/>
                    </a:stretch>
                  </pic:blipFill>
                  <pic:spPr bwMode="auto">
                    <a:xfrm>
                      <a:off x="0" y="0"/>
                      <a:ext cx="5653405" cy="6373495"/>
                    </a:xfrm>
                    <a:prstGeom prst="rect">
                      <a:avLst/>
                    </a:prstGeom>
                    <a:noFill/>
                  </pic:spPr>
                </pic:pic>
              </a:graphicData>
            </a:graphic>
          </wp:anchor>
        </w:drawing>
      </w:r>
    </w:p>
    <w:p w14:paraId="65B849E4" w14:textId="77777777" w:rsidR="00D1587D" w:rsidRDefault="00D1587D">
      <w:pPr>
        <w:spacing w:line="200" w:lineRule="exact"/>
        <w:rPr>
          <w:sz w:val="20"/>
          <w:szCs w:val="20"/>
        </w:rPr>
      </w:pPr>
    </w:p>
    <w:p w14:paraId="69F79F2B" w14:textId="77777777" w:rsidR="00D1587D" w:rsidRDefault="00D1587D">
      <w:pPr>
        <w:spacing w:line="275" w:lineRule="exact"/>
        <w:rPr>
          <w:sz w:val="20"/>
          <w:szCs w:val="20"/>
        </w:rPr>
      </w:pPr>
    </w:p>
    <w:p w14:paraId="5BA231AD" w14:textId="77777777" w:rsidR="00D1587D" w:rsidRDefault="00410D07" w:rsidP="00410D07">
      <w:pPr>
        <w:numPr>
          <w:ilvl w:val="0"/>
          <w:numId w:val="241"/>
        </w:numPr>
        <w:tabs>
          <w:tab w:val="left" w:pos="1020"/>
        </w:tabs>
        <w:spacing w:line="277" w:lineRule="auto"/>
        <w:ind w:left="1020" w:right="359" w:hanging="350"/>
        <w:rPr>
          <w:rFonts w:ascii="Arial" w:eastAsia="Arial" w:hAnsi="Arial" w:cs="Arial"/>
          <w:sz w:val="18"/>
          <w:szCs w:val="18"/>
        </w:rPr>
      </w:pPr>
      <w:r>
        <w:rPr>
          <w:rFonts w:ascii="Arial" w:eastAsia="Arial" w:hAnsi="Arial" w:cs="Arial"/>
          <w:sz w:val="18"/>
          <w:szCs w:val="18"/>
        </w:rPr>
        <w:t xml:space="preserve">Our ability to compete favorably in our highly competitive segment of the retail industry could impact our </w:t>
      </w:r>
      <w:r>
        <w:rPr>
          <w:rFonts w:ascii="Arial" w:eastAsia="Arial" w:hAnsi="Arial" w:cs="Arial"/>
          <w:sz w:val="18"/>
          <w:szCs w:val="18"/>
        </w:rPr>
        <w:t>results.</w:t>
      </w:r>
    </w:p>
    <w:p w14:paraId="785899C1" w14:textId="77777777" w:rsidR="00D1587D" w:rsidRDefault="00D1587D">
      <w:pPr>
        <w:spacing w:line="62" w:lineRule="exact"/>
        <w:rPr>
          <w:rFonts w:ascii="Arial" w:eastAsia="Arial" w:hAnsi="Arial" w:cs="Arial"/>
          <w:sz w:val="18"/>
          <w:szCs w:val="18"/>
        </w:rPr>
      </w:pPr>
    </w:p>
    <w:p w14:paraId="7A0F6E21" w14:textId="77777777" w:rsidR="00D1587D" w:rsidRDefault="00410D07" w:rsidP="00410D07">
      <w:pPr>
        <w:numPr>
          <w:ilvl w:val="0"/>
          <w:numId w:val="241"/>
        </w:numPr>
        <w:tabs>
          <w:tab w:val="left" w:pos="1020"/>
        </w:tabs>
        <w:spacing w:line="308" w:lineRule="auto"/>
        <w:ind w:left="1020" w:right="599" w:hanging="350"/>
        <w:rPr>
          <w:rFonts w:ascii="Arial" w:eastAsia="Arial" w:hAnsi="Arial" w:cs="Arial"/>
          <w:sz w:val="17"/>
          <w:szCs w:val="17"/>
        </w:rPr>
      </w:pPr>
      <w:r>
        <w:rPr>
          <w:rFonts w:ascii="Arial" w:eastAsia="Arial" w:hAnsi="Arial" w:cs="Arial"/>
          <w:sz w:val="17"/>
          <w:szCs w:val="17"/>
        </w:rPr>
        <w:t>Our ability to manage the life cycle of our brands and to remain current with fashion trends and launch new product lines successfully could impact the image and relevance of our brands.</w:t>
      </w:r>
    </w:p>
    <w:p w14:paraId="3D00F348" w14:textId="77777777" w:rsidR="00D1587D" w:rsidRDefault="00D1587D">
      <w:pPr>
        <w:spacing w:line="38" w:lineRule="exact"/>
        <w:rPr>
          <w:rFonts w:ascii="Arial" w:eastAsia="Arial" w:hAnsi="Arial" w:cs="Arial"/>
          <w:sz w:val="17"/>
          <w:szCs w:val="17"/>
        </w:rPr>
      </w:pPr>
    </w:p>
    <w:p w14:paraId="6881DE68" w14:textId="77777777" w:rsidR="00D1587D" w:rsidRDefault="00410D07" w:rsidP="00410D07">
      <w:pPr>
        <w:numPr>
          <w:ilvl w:val="0"/>
          <w:numId w:val="241"/>
        </w:numPr>
        <w:tabs>
          <w:tab w:val="left" w:pos="1020"/>
        </w:tabs>
        <w:spacing w:line="277" w:lineRule="auto"/>
        <w:ind w:left="1020" w:right="899" w:hanging="350"/>
        <w:rPr>
          <w:rFonts w:ascii="Arial" w:eastAsia="Arial" w:hAnsi="Arial" w:cs="Arial"/>
          <w:sz w:val="18"/>
          <w:szCs w:val="18"/>
        </w:rPr>
      </w:pPr>
      <w:r>
        <w:rPr>
          <w:rFonts w:ascii="Arial" w:eastAsia="Arial" w:hAnsi="Arial" w:cs="Arial"/>
          <w:sz w:val="18"/>
          <w:szCs w:val="18"/>
        </w:rPr>
        <w:t>We may be impacted by our ability to adequately source, di</w:t>
      </w:r>
      <w:r>
        <w:rPr>
          <w:rFonts w:ascii="Arial" w:eastAsia="Arial" w:hAnsi="Arial" w:cs="Arial"/>
          <w:sz w:val="18"/>
          <w:szCs w:val="18"/>
        </w:rPr>
        <w:t>stribute and sell merchandise and other materials on a global basis.</w:t>
      </w:r>
    </w:p>
    <w:p w14:paraId="593E2009" w14:textId="77777777" w:rsidR="00D1587D" w:rsidRDefault="00D1587D">
      <w:pPr>
        <w:spacing w:line="62" w:lineRule="exact"/>
        <w:rPr>
          <w:rFonts w:ascii="Arial" w:eastAsia="Arial" w:hAnsi="Arial" w:cs="Arial"/>
          <w:sz w:val="18"/>
          <w:szCs w:val="18"/>
        </w:rPr>
      </w:pPr>
    </w:p>
    <w:p w14:paraId="3F5FD475" w14:textId="77777777" w:rsidR="00D1587D" w:rsidRDefault="00410D07" w:rsidP="00410D07">
      <w:pPr>
        <w:numPr>
          <w:ilvl w:val="0"/>
          <w:numId w:val="241"/>
        </w:numPr>
        <w:tabs>
          <w:tab w:val="left" w:pos="1020"/>
        </w:tabs>
        <w:spacing w:line="277" w:lineRule="auto"/>
        <w:ind w:left="1020" w:right="339" w:hanging="350"/>
        <w:rPr>
          <w:rFonts w:ascii="Arial" w:eastAsia="Arial" w:hAnsi="Arial" w:cs="Arial"/>
          <w:sz w:val="18"/>
          <w:szCs w:val="18"/>
        </w:rPr>
      </w:pPr>
      <w:r>
        <w:rPr>
          <w:rFonts w:ascii="Arial" w:eastAsia="Arial" w:hAnsi="Arial" w:cs="Arial"/>
          <w:sz w:val="18"/>
          <w:szCs w:val="18"/>
        </w:rPr>
        <w:t>We rely on a number of vendor and distribution facilities located in the same vicinity, making our business susceptible to local and regional disruptions or adverse conditions.</w:t>
      </w:r>
    </w:p>
    <w:p w14:paraId="5A666884" w14:textId="77777777" w:rsidR="00D1587D" w:rsidRDefault="00D1587D">
      <w:pPr>
        <w:spacing w:line="62" w:lineRule="exact"/>
        <w:rPr>
          <w:rFonts w:ascii="Arial" w:eastAsia="Arial" w:hAnsi="Arial" w:cs="Arial"/>
          <w:sz w:val="18"/>
          <w:szCs w:val="18"/>
        </w:rPr>
      </w:pPr>
    </w:p>
    <w:p w14:paraId="25C46BE4" w14:textId="77777777" w:rsidR="00D1587D" w:rsidRDefault="00410D07" w:rsidP="00410D07">
      <w:pPr>
        <w:numPr>
          <w:ilvl w:val="0"/>
          <w:numId w:val="241"/>
        </w:numPr>
        <w:tabs>
          <w:tab w:val="left" w:pos="1020"/>
        </w:tabs>
        <w:spacing w:line="277" w:lineRule="auto"/>
        <w:ind w:left="1020" w:right="319" w:hanging="350"/>
        <w:rPr>
          <w:rFonts w:ascii="Arial" w:eastAsia="Arial" w:hAnsi="Arial" w:cs="Arial"/>
          <w:sz w:val="18"/>
          <w:szCs w:val="18"/>
        </w:rPr>
      </w:pPr>
      <w:r>
        <w:rPr>
          <w:rFonts w:ascii="Arial" w:eastAsia="Arial" w:hAnsi="Arial" w:cs="Arial"/>
          <w:sz w:val="18"/>
          <w:szCs w:val="18"/>
        </w:rPr>
        <w:t xml:space="preserve">We </w:t>
      </w:r>
      <w:r>
        <w:rPr>
          <w:rFonts w:ascii="Arial" w:eastAsia="Arial" w:hAnsi="Arial" w:cs="Arial"/>
          <w:sz w:val="18"/>
          <w:szCs w:val="18"/>
        </w:rPr>
        <w:t>may be impacted by our vendors’ ability to manufacture and deliver products in a timely manner, meet quality standards and comply with applicable laws and regulations.</w:t>
      </w:r>
    </w:p>
    <w:p w14:paraId="7B6BDECB" w14:textId="77777777" w:rsidR="00D1587D" w:rsidRDefault="00D1587D">
      <w:pPr>
        <w:spacing w:line="62" w:lineRule="exact"/>
        <w:rPr>
          <w:rFonts w:ascii="Arial" w:eastAsia="Arial" w:hAnsi="Arial" w:cs="Arial"/>
          <w:sz w:val="18"/>
          <w:szCs w:val="18"/>
        </w:rPr>
      </w:pPr>
    </w:p>
    <w:p w14:paraId="744F1132" w14:textId="77777777" w:rsidR="00D1587D" w:rsidRDefault="00410D07" w:rsidP="00410D07">
      <w:pPr>
        <w:numPr>
          <w:ilvl w:val="0"/>
          <w:numId w:val="241"/>
        </w:numPr>
        <w:tabs>
          <w:tab w:val="left" w:pos="1020"/>
        </w:tabs>
        <w:spacing w:line="308" w:lineRule="auto"/>
        <w:ind w:left="1020" w:right="879" w:hanging="350"/>
        <w:rPr>
          <w:rFonts w:ascii="Arial" w:eastAsia="Arial" w:hAnsi="Arial" w:cs="Arial"/>
          <w:sz w:val="17"/>
          <w:szCs w:val="17"/>
        </w:rPr>
      </w:pPr>
      <w:r>
        <w:rPr>
          <w:rFonts w:ascii="Arial" w:eastAsia="Arial" w:hAnsi="Arial" w:cs="Arial"/>
          <w:sz w:val="17"/>
          <w:szCs w:val="17"/>
        </w:rPr>
        <w:t>We significantly rely on our and our third-party service providers’ ability to implemen</w:t>
      </w:r>
      <w:r>
        <w:rPr>
          <w:rFonts w:ascii="Arial" w:eastAsia="Arial" w:hAnsi="Arial" w:cs="Arial"/>
          <w:sz w:val="17"/>
          <w:szCs w:val="17"/>
        </w:rPr>
        <w:t>t and sustain information technology systems and to protect associated data and system availability.</w:t>
      </w:r>
    </w:p>
    <w:p w14:paraId="1853AA52" w14:textId="77777777" w:rsidR="00D1587D" w:rsidRDefault="00D1587D">
      <w:pPr>
        <w:spacing w:line="38" w:lineRule="exact"/>
        <w:rPr>
          <w:rFonts w:ascii="Arial" w:eastAsia="Arial" w:hAnsi="Arial" w:cs="Arial"/>
          <w:sz w:val="17"/>
          <w:szCs w:val="17"/>
        </w:rPr>
      </w:pPr>
    </w:p>
    <w:p w14:paraId="5CB9C8B4" w14:textId="77777777" w:rsidR="00D1587D" w:rsidRDefault="00410D07" w:rsidP="00410D07">
      <w:pPr>
        <w:numPr>
          <w:ilvl w:val="0"/>
          <w:numId w:val="241"/>
        </w:numPr>
        <w:tabs>
          <w:tab w:val="left" w:pos="1020"/>
        </w:tabs>
        <w:spacing w:line="263" w:lineRule="auto"/>
        <w:ind w:left="1020" w:right="479" w:hanging="350"/>
        <w:rPr>
          <w:rFonts w:ascii="Arial" w:eastAsia="Arial" w:hAnsi="Arial" w:cs="Arial"/>
          <w:sz w:val="18"/>
          <w:szCs w:val="18"/>
        </w:rPr>
      </w:pPr>
      <w:r>
        <w:rPr>
          <w:rFonts w:ascii="Arial" w:eastAsia="Arial" w:hAnsi="Arial" w:cs="Arial"/>
          <w:sz w:val="18"/>
          <w:szCs w:val="18"/>
        </w:rPr>
        <w:t>Any significant compromise or breach of our data security, including the security of customer, associate, third-party or company information, could have a</w:t>
      </w:r>
      <w:r>
        <w:rPr>
          <w:rFonts w:ascii="Arial" w:eastAsia="Arial" w:hAnsi="Arial" w:cs="Arial"/>
          <w:sz w:val="18"/>
          <w:szCs w:val="18"/>
        </w:rPr>
        <w:t xml:space="preserve"> material adverse effect on our reputation, results of operations, financial condition and cash flows.</w:t>
      </w:r>
    </w:p>
    <w:p w14:paraId="5E559514" w14:textId="77777777" w:rsidR="00D1587D" w:rsidRDefault="00D1587D">
      <w:pPr>
        <w:spacing w:line="75" w:lineRule="exact"/>
        <w:rPr>
          <w:rFonts w:ascii="Arial" w:eastAsia="Arial" w:hAnsi="Arial" w:cs="Arial"/>
          <w:sz w:val="18"/>
          <w:szCs w:val="18"/>
        </w:rPr>
      </w:pPr>
    </w:p>
    <w:p w14:paraId="14450B7E" w14:textId="77777777" w:rsidR="00D1587D" w:rsidRDefault="00410D07" w:rsidP="00410D07">
      <w:pPr>
        <w:numPr>
          <w:ilvl w:val="0"/>
          <w:numId w:val="241"/>
        </w:numPr>
        <w:tabs>
          <w:tab w:val="left" w:pos="1020"/>
        </w:tabs>
        <w:spacing w:line="277" w:lineRule="auto"/>
        <w:ind w:left="1020" w:right="299" w:hanging="350"/>
        <w:rPr>
          <w:rFonts w:ascii="Arial" w:eastAsia="Arial" w:hAnsi="Arial" w:cs="Arial"/>
          <w:sz w:val="18"/>
          <w:szCs w:val="18"/>
        </w:rPr>
      </w:pPr>
      <w:r>
        <w:rPr>
          <w:rFonts w:ascii="Arial" w:eastAsia="Arial" w:hAnsi="Arial" w:cs="Arial"/>
          <w:sz w:val="18"/>
          <w:szCs w:val="18"/>
        </w:rPr>
        <w:t>Shareholder activism could cause us to incur significant expense, hinder execution of our business strategy and impact our stock price.</w:t>
      </w:r>
    </w:p>
    <w:p w14:paraId="37D6917A" w14:textId="77777777" w:rsidR="00D1587D" w:rsidRDefault="00D1587D">
      <w:pPr>
        <w:spacing w:line="62" w:lineRule="exact"/>
        <w:rPr>
          <w:rFonts w:ascii="Arial" w:eastAsia="Arial" w:hAnsi="Arial" w:cs="Arial"/>
          <w:sz w:val="18"/>
          <w:szCs w:val="18"/>
        </w:rPr>
      </w:pPr>
    </w:p>
    <w:p w14:paraId="3D97D1B5" w14:textId="77777777" w:rsidR="00D1587D" w:rsidRDefault="00410D07" w:rsidP="00410D07">
      <w:pPr>
        <w:numPr>
          <w:ilvl w:val="0"/>
          <w:numId w:val="241"/>
        </w:numPr>
        <w:tabs>
          <w:tab w:val="left" w:pos="1020"/>
        </w:tabs>
        <w:spacing w:line="259" w:lineRule="auto"/>
        <w:ind w:left="1020" w:right="579" w:hanging="350"/>
        <w:rPr>
          <w:rFonts w:ascii="Arial" w:eastAsia="Arial" w:hAnsi="Arial" w:cs="Arial"/>
          <w:sz w:val="18"/>
          <w:szCs w:val="18"/>
        </w:rPr>
      </w:pPr>
      <w:r>
        <w:rPr>
          <w:rFonts w:ascii="Arial" w:eastAsia="Arial" w:hAnsi="Arial" w:cs="Arial"/>
          <w:sz w:val="18"/>
          <w:szCs w:val="18"/>
        </w:rPr>
        <w:t>Changes in laws</w:t>
      </w:r>
      <w:r>
        <w:rPr>
          <w:rFonts w:ascii="Arial" w:eastAsia="Arial" w:hAnsi="Arial" w:cs="Arial"/>
          <w:sz w:val="18"/>
          <w:szCs w:val="18"/>
        </w:rPr>
        <w:t>, regulations or technology platform rules relating to data privacy and security, or any actual or perceived failure by us to comply with such laws and regulations, or contractual or other obligations relating to data privacy and security, could have a mat</w:t>
      </w:r>
      <w:r>
        <w:rPr>
          <w:rFonts w:ascii="Arial" w:eastAsia="Arial" w:hAnsi="Arial" w:cs="Arial"/>
          <w:sz w:val="18"/>
          <w:szCs w:val="18"/>
        </w:rPr>
        <w:t>erial adverse effect on our reputation, results of operations, financial condition and cash flows.</w:t>
      </w:r>
    </w:p>
    <w:p w14:paraId="0454E52C" w14:textId="77777777" w:rsidR="00D1587D" w:rsidRDefault="00D1587D">
      <w:pPr>
        <w:spacing w:line="78" w:lineRule="exact"/>
        <w:rPr>
          <w:rFonts w:ascii="Arial" w:eastAsia="Arial" w:hAnsi="Arial" w:cs="Arial"/>
          <w:sz w:val="18"/>
          <w:szCs w:val="18"/>
        </w:rPr>
      </w:pPr>
    </w:p>
    <w:p w14:paraId="47E88959" w14:textId="77777777" w:rsidR="00D1587D" w:rsidRDefault="00410D07" w:rsidP="00410D07">
      <w:pPr>
        <w:numPr>
          <w:ilvl w:val="0"/>
          <w:numId w:val="241"/>
        </w:numPr>
        <w:tabs>
          <w:tab w:val="left" w:pos="1020"/>
        </w:tabs>
        <w:spacing w:line="277" w:lineRule="auto"/>
        <w:ind w:left="1020" w:right="459" w:hanging="350"/>
        <w:rPr>
          <w:rFonts w:ascii="Arial" w:eastAsia="Arial" w:hAnsi="Arial" w:cs="Arial"/>
          <w:sz w:val="18"/>
          <w:szCs w:val="18"/>
        </w:rPr>
      </w:pPr>
      <w:r>
        <w:rPr>
          <w:rFonts w:ascii="Arial" w:eastAsia="Arial" w:hAnsi="Arial" w:cs="Arial"/>
          <w:sz w:val="18"/>
          <w:szCs w:val="18"/>
        </w:rPr>
        <w:t>We may be adversely impacted by certain compliance or legal matters and changes in taxation, trade and other regulatory requirements.</w:t>
      </w:r>
    </w:p>
    <w:p w14:paraId="3EE9F64C" w14:textId="77777777" w:rsidR="00D1587D" w:rsidRDefault="00D1587D">
      <w:pPr>
        <w:spacing w:line="315" w:lineRule="exact"/>
        <w:rPr>
          <w:sz w:val="20"/>
          <w:szCs w:val="20"/>
        </w:rPr>
      </w:pPr>
    </w:p>
    <w:p w14:paraId="309A88B8" w14:textId="77777777" w:rsidR="00D1587D" w:rsidRDefault="00410D07">
      <w:pPr>
        <w:ind w:left="320"/>
        <w:rPr>
          <w:sz w:val="20"/>
          <w:szCs w:val="20"/>
        </w:rPr>
      </w:pPr>
      <w:r>
        <w:rPr>
          <w:rFonts w:ascii="Arial" w:eastAsia="Arial" w:hAnsi="Arial" w:cs="Arial"/>
          <w:b/>
          <w:bCs/>
          <w:sz w:val="18"/>
          <w:szCs w:val="18"/>
        </w:rPr>
        <w:t xml:space="preserve">Risks </w:t>
      </w:r>
      <w:r>
        <w:rPr>
          <w:rFonts w:ascii="Arial" w:eastAsia="Arial" w:hAnsi="Arial" w:cs="Arial"/>
          <w:b/>
          <w:bCs/>
          <w:sz w:val="18"/>
          <w:szCs w:val="18"/>
        </w:rPr>
        <w:t>Relating to Our Common Stock</w:t>
      </w:r>
    </w:p>
    <w:p w14:paraId="337BBCC8" w14:textId="77777777" w:rsidR="00D1587D" w:rsidRDefault="00D1587D">
      <w:pPr>
        <w:spacing w:line="121" w:lineRule="exact"/>
        <w:rPr>
          <w:sz w:val="20"/>
          <w:szCs w:val="20"/>
        </w:rPr>
      </w:pPr>
    </w:p>
    <w:p w14:paraId="2D061881" w14:textId="77777777" w:rsidR="00D1587D" w:rsidRDefault="00410D07" w:rsidP="00410D07">
      <w:pPr>
        <w:numPr>
          <w:ilvl w:val="0"/>
          <w:numId w:val="242"/>
        </w:numPr>
        <w:tabs>
          <w:tab w:val="left" w:pos="1020"/>
        </w:tabs>
        <w:spacing w:line="263" w:lineRule="auto"/>
        <w:ind w:left="1020" w:right="359" w:hanging="350"/>
        <w:rPr>
          <w:rFonts w:ascii="Arial" w:eastAsia="Arial" w:hAnsi="Arial" w:cs="Arial"/>
          <w:sz w:val="18"/>
          <w:szCs w:val="18"/>
        </w:rPr>
      </w:pPr>
      <w:r>
        <w:rPr>
          <w:rFonts w:ascii="Arial" w:eastAsia="Arial" w:hAnsi="Arial" w:cs="Arial"/>
          <w:sz w:val="18"/>
          <w:szCs w:val="18"/>
        </w:rPr>
        <w:t xml:space="preserve">Because there has not been any public market for our common stock, the market price and trading volume of our common stock may be volatile and you may not be able to resell your shares at or above the initial market price of </w:t>
      </w:r>
      <w:r>
        <w:rPr>
          <w:rFonts w:ascii="Arial" w:eastAsia="Arial" w:hAnsi="Arial" w:cs="Arial"/>
          <w:sz w:val="18"/>
          <w:szCs w:val="18"/>
        </w:rPr>
        <w:t>our common stock following the Separation.</w:t>
      </w:r>
    </w:p>
    <w:p w14:paraId="5DE6CA27" w14:textId="77777777" w:rsidR="00D1587D" w:rsidRDefault="00D1587D">
      <w:pPr>
        <w:spacing w:line="75" w:lineRule="exact"/>
        <w:rPr>
          <w:rFonts w:ascii="Arial" w:eastAsia="Arial" w:hAnsi="Arial" w:cs="Arial"/>
          <w:sz w:val="18"/>
          <w:szCs w:val="18"/>
        </w:rPr>
      </w:pPr>
    </w:p>
    <w:p w14:paraId="79E62A55" w14:textId="77777777" w:rsidR="00D1587D" w:rsidRDefault="00410D07" w:rsidP="00410D07">
      <w:pPr>
        <w:numPr>
          <w:ilvl w:val="0"/>
          <w:numId w:val="242"/>
        </w:numPr>
        <w:tabs>
          <w:tab w:val="left" w:pos="1020"/>
        </w:tabs>
        <w:spacing w:line="277" w:lineRule="auto"/>
        <w:ind w:left="1020" w:right="519" w:hanging="350"/>
        <w:rPr>
          <w:rFonts w:ascii="Arial" w:eastAsia="Arial" w:hAnsi="Arial" w:cs="Arial"/>
          <w:sz w:val="18"/>
          <w:szCs w:val="18"/>
        </w:rPr>
      </w:pPr>
      <w:r>
        <w:rPr>
          <w:rFonts w:ascii="Arial" w:eastAsia="Arial" w:hAnsi="Arial" w:cs="Arial"/>
          <w:sz w:val="18"/>
          <w:szCs w:val="18"/>
        </w:rPr>
        <w:t>A large number of our shares are or will be eligible for future sale, which may cause the market price of our common stock to decline.</w:t>
      </w:r>
    </w:p>
    <w:p w14:paraId="0DF2FBDD" w14:textId="77777777" w:rsidR="00D1587D" w:rsidRDefault="00D1587D">
      <w:pPr>
        <w:spacing w:line="62" w:lineRule="exact"/>
        <w:rPr>
          <w:rFonts w:ascii="Arial" w:eastAsia="Arial" w:hAnsi="Arial" w:cs="Arial"/>
          <w:sz w:val="18"/>
          <w:szCs w:val="18"/>
        </w:rPr>
      </w:pPr>
    </w:p>
    <w:p w14:paraId="3DB4FFDD" w14:textId="77777777" w:rsidR="00D1587D" w:rsidRDefault="00410D07" w:rsidP="00410D07">
      <w:pPr>
        <w:numPr>
          <w:ilvl w:val="0"/>
          <w:numId w:val="242"/>
        </w:numPr>
        <w:tabs>
          <w:tab w:val="left" w:pos="1020"/>
        </w:tabs>
        <w:spacing w:line="263" w:lineRule="auto"/>
        <w:ind w:left="1020" w:right="359" w:hanging="350"/>
        <w:rPr>
          <w:rFonts w:ascii="Arial" w:eastAsia="Arial" w:hAnsi="Arial" w:cs="Arial"/>
          <w:sz w:val="18"/>
          <w:szCs w:val="18"/>
        </w:rPr>
      </w:pPr>
      <w:r>
        <w:rPr>
          <w:rFonts w:ascii="Arial" w:eastAsia="Arial" w:hAnsi="Arial" w:cs="Arial"/>
          <w:sz w:val="18"/>
          <w:szCs w:val="18"/>
        </w:rPr>
        <w:t>Because our common stock may not be included in the Standard &amp; Poor’s 500 In</w:t>
      </w:r>
      <w:r>
        <w:rPr>
          <w:rFonts w:ascii="Arial" w:eastAsia="Arial" w:hAnsi="Arial" w:cs="Arial"/>
          <w:sz w:val="18"/>
          <w:szCs w:val="18"/>
        </w:rPr>
        <w:t>dex, and it may not be included in other stock indices, significant amounts of our common stock will likely need to be sold in the open market where there may not be offsetting demand.</w:t>
      </w:r>
    </w:p>
    <w:p w14:paraId="63C88C10" w14:textId="77777777" w:rsidR="00D1587D" w:rsidRDefault="00D1587D">
      <w:pPr>
        <w:spacing w:line="75" w:lineRule="exact"/>
        <w:rPr>
          <w:rFonts w:ascii="Arial" w:eastAsia="Arial" w:hAnsi="Arial" w:cs="Arial"/>
          <w:sz w:val="18"/>
          <w:szCs w:val="18"/>
        </w:rPr>
      </w:pPr>
    </w:p>
    <w:p w14:paraId="1FB2264B" w14:textId="77777777" w:rsidR="00D1587D" w:rsidRDefault="00410D07" w:rsidP="00410D07">
      <w:pPr>
        <w:numPr>
          <w:ilvl w:val="0"/>
          <w:numId w:val="242"/>
        </w:numPr>
        <w:tabs>
          <w:tab w:val="left" w:pos="1020"/>
        </w:tabs>
        <w:spacing w:line="308" w:lineRule="auto"/>
        <w:ind w:left="1020" w:right="419" w:hanging="350"/>
        <w:rPr>
          <w:rFonts w:ascii="Arial" w:eastAsia="Arial" w:hAnsi="Arial" w:cs="Arial"/>
          <w:sz w:val="17"/>
          <w:szCs w:val="17"/>
        </w:rPr>
      </w:pPr>
      <w:r>
        <w:rPr>
          <w:rFonts w:ascii="Arial" w:eastAsia="Arial" w:hAnsi="Arial" w:cs="Arial"/>
          <w:sz w:val="17"/>
          <w:szCs w:val="17"/>
        </w:rPr>
        <w:t>Provisions in our amended and restated certificate of incorporation an</w:t>
      </w:r>
      <w:r>
        <w:rPr>
          <w:rFonts w:ascii="Arial" w:eastAsia="Arial" w:hAnsi="Arial" w:cs="Arial"/>
          <w:sz w:val="17"/>
          <w:szCs w:val="17"/>
        </w:rPr>
        <w:t>d amended and restated bylaws and certain provisions of Delaware law could delay or prevent a change in control of VS.</w:t>
      </w:r>
    </w:p>
    <w:p w14:paraId="1073D4FB" w14:textId="77777777" w:rsidR="00D1587D" w:rsidRDefault="00D1587D">
      <w:pPr>
        <w:spacing w:line="38" w:lineRule="exact"/>
        <w:rPr>
          <w:rFonts w:ascii="Arial" w:eastAsia="Arial" w:hAnsi="Arial" w:cs="Arial"/>
          <w:sz w:val="17"/>
          <w:szCs w:val="17"/>
        </w:rPr>
      </w:pPr>
    </w:p>
    <w:p w14:paraId="46BE4A78" w14:textId="77777777" w:rsidR="00D1587D" w:rsidRDefault="00410D07" w:rsidP="00410D07">
      <w:pPr>
        <w:numPr>
          <w:ilvl w:val="0"/>
          <w:numId w:val="242"/>
        </w:numPr>
        <w:tabs>
          <w:tab w:val="left" w:pos="1020"/>
        </w:tabs>
        <w:ind w:left="1020" w:hanging="350"/>
        <w:rPr>
          <w:rFonts w:ascii="Arial" w:eastAsia="Arial" w:hAnsi="Arial" w:cs="Arial"/>
          <w:sz w:val="18"/>
          <w:szCs w:val="18"/>
        </w:rPr>
      </w:pPr>
      <w:r>
        <w:rPr>
          <w:rFonts w:ascii="Arial" w:eastAsia="Arial" w:hAnsi="Arial" w:cs="Arial"/>
          <w:sz w:val="18"/>
          <w:szCs w:val="18"/>
        </w:rPr>
        <w:t>Your percentage ownership in VS may be diluted in the future.</w:t>
      </w:r>
    </w:p>
    <w:p w14:paraId="0D3BBAA8" w14:textId="77777777" w:rsidR="00D1587D" w:rsidRDefault="00D1587D">
      <w:pPr>
        <w:spacing w:line="200" w:lineRule="exact"/>
        <w:rPr>
          <w:sz w:val="20"/>
          <w:szCs w:val="20"/>
        </w:rPr>
      </w:pPr>
    </w:p>
    <w:p w14:paraId="4774896F" w14:textId="77777777" w:rsidR="00D1587D" w:rsidRDefault="00D1587D">
      <w:pPr>
        <w:spacing w:line="255" w:lineRule="exact"/>
        <w:rPr>
          <w:sz w:val="20"/>
          <w:szCs w:val="20"/>
        </w:rPr>
      </w:pPr>
    </w:p>
    <w:p w14:paraId="5CC94F53" w14:textId="77777777" w:rsidR="00D1587D" w:rsidRDefault="00410D07">
      <w:pPr>
        <w:jc w:val="center"/>
        <w:rPr>
          <w:sz w:val="20"/>
          <w:szCs w:val="20"/>
        </w:rPr>
      </w:pPr>
      <w:r>
        <w:rPr>
          <w:rFonts w:ascii="Arial" w:eastAsia="Arial" w:hAnsi="Arial" w:cs="Arial"/>
          <w:sz w:val="18"/>
          <w:szCs w:val="18"/>
        </w:rPr>
        <w:t>16</w:t>
      </w:r>
    </w:p>
    <w:p w14:paraId="31F5017D" w14:textId="77777777" w:rsidR="00D1587D" w:rsidRDefault="00410D07">
      <w:pPr>
        <w:spacing w:line="20" w:lineRule="exact"/>
        <w:rPr>
          <w:sz w:val="20"/>
          <w:szCs w:val="20"/>
        </w:rPr>
      </w:pPr>
      <w:r>
        <w:rPr>
          <w:noProof/>
          <w:sz w:val="20"/>
          <w:szCs w:val="20"/>
        </w:rPr>
        <w:drawing>
          <wp:anchor distT="0" distB="0" distL="114300" distR="114300" simplePos="0" relativeHeight="251458560" behindDoc="1" locked="0" layoutInCell="0" allowOverlap="1" wp14:anchorId="785C3994" wp14:editId="0519CDFE">
            <wp:simplePos x="0" y="0"/>
            <wp:positionH relativeFrom="column">
              <wp:posOffset>-636905</wp:posOffset>
            </wp:positionH>
            <wp:positionV relativeFrom="paragraph">
              <wp:posOffset>134620</wp:posOffset>
            </wp:positionV>
            <wp:extent cx="6995160" cy="1714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F46E630" w14:textId="77777777" w:rsidR="00D1587D" w:rsidRDefault="00D1587D">
      <w:pPr>
        <w:sectPr w:rsidR="00D1587D">
          <w:pgSz w:w="11900" w:h="16838"/>
          <w:pgMar w:top="265" w:right="1440" w:bottom="1440" w:left="1440" w:header="0" w:footer="0" w:gutter="0"/>
          <w:cols w:space="720" w:equalWidth="0">
            <w:col w:w="9019"/>
          </w:cols>
        </w:sectPr>
      </w:pPr>
    </w:p>
    <w:bookmarkStart w:id="274" w:name="page275"/>
    <w:bookmarkEnd w:id="274"/>
    <w:p w14:paraId="7DF987B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8D968BA" w14:textId="77777777" w:rsidR="00D1587D" w:rsidRDefault="00D1587D">
      <w:pPr>
        <w:spacing w:line="127" w:lineRule="exact"/>
        <w:rPr>
          <w:sz w:val="20"/>
          <w:szCs w:val="20"/>
        </w:rPr>
      </w:pPr>
    </w:p>
    <w:p w14:paraId="77938634" w14:textId="77777777" w:rsidR="00D1587D" w:rsidRDefault="00410D07">
      <w:pPr>
        <w:jc w:val="center"/>
        <w:rPr>
          <w:sz w:val="20"/>
          <w:szCs w:val="20"/>
        </w:rPr>
      </w:pPr>
      <w:r>
        <w:rPr>
          <w:rFonts w:ascii="Arial" w:eastAsia="Arial" w:hAnsi="Arial" w:cs="Arial"/>
          <w:b/>
          <w:bCs/>
          <w:sz w:val="18"/>
          <w:szCs w:val="18"/>
        </w:rPr>
        <w:t>RISK FACTORS</w:t>
      </w:r>
    </w:p>
    <w:p w14:paraId="71906289" w14:textId="77777777" w:rsidR="00D1587D" w:rsidRDefault="00D1587D">
      <w:pPr>
        <w:spacing w:line="121" w:lineRule="exact"/>
        <w:rPr>
          <w:sz w:val="20"/>
          <w:szCs w:val="20"/>
        </w:rPr>
      </w:pPr>
    </w:p>
    <w:p w14:paraId="4B212678" w14:textId="77777777" w:rsidR="00D1587D" w:rsidRDefault="00410D07">
      <w:pPr>
        <w:spacing w:line="296" w:lineRule="auto"/>
        <w:ind w:left="300" w:right="399" w:firstLine="360"/>
        <w:rPr>
          <w:sz w:val="20"/>
          <w:szCs w:val="20"/>
        </w:rPr>
      </w:pPr>
      <w:r>
        <w:rPr>
          <w:rFonts w:ascii="Arial" w:eastAsia="Arial" w:hAnsi="Arial" w:cs="Arial"/>
          <w:sz w:val="16"/>
          <w:szCs w:val="16"/>
        </w:rPr>
        <w:t>You should carefully consider each of the following risks and all of the other information contained in this information statement. Some of these risks relate principally to the Separation, while</w:t>
      </w:r>
      <w:r>
        <w:rPr>
          <w:rFonts w:ascii="Arial" w:eastAsia="Arial" w:hAnsi="Arial" w:cs="Arial"/>
          <w:sz w:val="16"/>
          <w:szCs w:val="16"/>
        </w:rPr>
        <w:t xml:space="preserve"> others relate principally to our business and the industry in which we operate or to the securities markets generally and ownership of our common stock. Our business, prospects, results of operations, financial condition or cash flows could be materially </w:t>
      </w:r>
      <w:r>
        <w:rPr>
          <w:rFonts w:ascii="Arial" w:eastAsia="Arial" w:hAnsi="Arial" w:cs="Arial"/>
          <w:sz w:val="16"/>
          <w:szCs w:val="16"/>
        </w:rPr>
        <w:t>and adversely affected by any of these risks, and, as a result, the trading price of our common stock could decline.</w:t>
      </w:r>
    </w:p>
    <w:p w14:paraId="51CD9772" w14:textId="77777777" w:rsidR="00D1587D" w:rsidRDefault="00D1587D">
      <w:pPr>
        <w:spacing w:line="157" w:lineRule="exact"/>
        <w:rPr>
          <w:sz w:val="20"/>
          <w:szCs w:val="20"/>
        </w:rPr>
      </w:pPr>
    </w:p>
    <w:p w14:paraId="5737BFB0" w14:textId="77777777" w:rsidR="00D1587D" w:rsidRDefault="00410D07">
      <w:pPr>
        <w:ind w:left="300"/>
        <w:rPr>
          <w:sz w:val="20"/>
          <w:szCs w:val="20"/>
        </w:rPr>
      </w:pPr>
      <w:r>
        <w:rPr>
          <w:rFonts w:ascii="Arial" w:eastAsia="Arial" w:hAnsi="Arial" w:cs="Arial"/>
          <w:b/>
          <w:bCs/>
          <w:sz w:val="18"/>
          <w:szCs w:val="18"/>
        </w:rPr>
        <w:t>Risks Relating to the Separation</w:t>
      </w:r>
    </w:p>
    <w:p w14:paraId="10C1A386" w14:textId="77777777" w:rsidR="00D1587D" w:rsidRDefault="00D1587D">
      <w:pPr>
        <w:spacing w:line="121" w:lineRule="exact"/>
        <w:rPr>
          <w:sz w:val="20"/>
          <w:szCs w:val="20"/>
        </w:rPr>
      </w:pPr>
    </w:p>
    <w:p w14:paraId="6FAB0453" w14:textId="77777777" w:rsidR="00D1587D" w:rsidRDefault="00410D07">
      <w:pPr>
        <w:spacing w:line="277" w:lineRule="auto"/>
        <w:ind w:left="300" w:right="959" w:firstLine="360"/>
        <w:rPr>
          <w:sz w:val="20"/>
          <w:szCs w:val="20"/>
        </w:rPr>
      </w:pPr>
      <w:r>
        <w:rPr>
          <w:rFonts w:ascii="Arial" w:eastAsia="Arial" w:hAnsi="Arial" w:cs="Arial"/>
          <w:b/>
          <w:bCs/>
          <w:i/>
          <w:iCs/>
          <w:sz w:val="18"/>
          <w:szCs w:val="18"/>
        </w:rPr>
        <w:t xml:space="preserve">We may not realize the anticipated benefits from the Separation, and the Separation could harm our </w:t>
      </w:r>
      <w:r>
        <w:rPr>
          <w:rFonts w:ascii="Arial" w:eastAsia="Arial" w:hAnsi="Arial" w:cs="Arial"/>
          <w:b/>
          <w:bCs/>
          <w:i/>
          <w:iCs/>
          <w:sz w:val="18"/>
          <w:szCs w:val="18"/>
        </w:rPr>
        <w:t>business.</w:t>
      </w:r>
    </w:p>
    <w:p w14:paraId="0ED1CA48" w14:textId="77777777" w:rsidR="00D1587D" w:rsidRDefault="00D1587D">
      <w:pPr>
        <w:spacing w:line="62" w:lineRule="exact"/>
        <w:rPr>
          <w:sz w:val="20"/>
          <w:szCs w:val="20"/>
        </w:rPr>
      </w:pPr>
    </w:p>
    <w:p w14:paraId="2149F5D0" w14:textId="77777777" w:rsidR="00D1587D" w:rsidRDefault="00410D07">
      <w:pPr>
        <w:spacing w:line="301" w:lineRule="auto"/>
        <w:ind w:left="300" w:right="319" w:firstLine="360"/>
        <w:rPr>
          <w:sz w:val="20"/>
          <w:szCs w:val="20"/>
        </w:rPr>
      </w:pPr>
      <w:r>
        <w:rPr>
          <w:rFonts w:ascii="Arial" w:eastAsia="Arial" w:hAnsi="Arial" w:cs="Arial"/>
          <w:sz w:val="16"/>
          <w:szCs w:val="16"/>
        </w:rPr>
        <w:t xml:space="preserve">We may not be able to achieve the full strategic and financial benefits expected to result from the Separation, or such benefits may be delayed or not occur at all. The Separation is expected to enhance strategic and management focus, </w:t>
      </w:r>
      <w:r>
        <w:rPr>
          <w:rFonts w:ascii="Arial" w:eastAsia="Arial" w:hAnsi="Arial" w:cs="Arial"/>
          <w:sz w:val="16"/>
          <w:szCs w:val="16"/>
        </w:rPr>
        <w:t>provide a distinct investment identity and allow us to efficiently allocate resources and deploy capital. We may not achieve these and other anticipated benefits for a variety of reasons, including, among others:</w:t>
      </w:r>
    </w:p>
    <w:p w14:paraId="2D67F53F" w14:textId="77777777" w:rsidR="00D1587D" w:rsidRDefault="00D1587D">
      <w:pPr>
        <w:spacing w:line="49" w:lineRule="exact"/>
        <w:rPr>
          <w:sz w:val="20"/>
          <w:szCs w:val="20"/>
        </w:rPr>
      </w:pPr>
    </w:p>
    <w:p w14:paraId="08382CB6" w14:textId="77777777" w:rsidR="00D1587D" w:rsidRDefault="00410D07" w:rsidP="00410D07">
      <w:pPr>
        <w:numPr>
          <w:ilvl w:val="0"/>
          <w:numId w:val="243"/>
        </w:numPr>
        <w:tabs>
          <w:tab w:val="left" w:pos="1000"/>
        </w:tabs>
        <w:spacing w:line="277" w:lineRule="auto"/>
        <w:ind w:left="1000" w:right="839" w:hanging="348"/>
        <w:rPr>
          <w:rFonts w:ascii="Arial" w:eastAsia="Arial" w:hAnsi="Arial" w:cs="Arial"/>
          <w:sz w:val="18"/>
          <w:szCs w:val="18"/>
        </w:rPr>
      </w:pPr>
      <w:r>
        <w:rPr>
          <w:rFonts w:ascii="Arial" w:eastAsia="Arial" w:hAnsi="Arial" w:cs="Arial"/>
          <w:sz w:val="18"/>
          <w:szCs w:val="18"/>
        </w:rPr>
        <w:t>The Separation will require significant am</w:t>
      </w:r>
      <w:r>
        <w:rPr>
          <w:rFonts w:ascii="Arial" w:eastAsia="Arial" w:hAnsi="Arial" w:cs="Arial"/>
          <w:sz w:val="18"/>
          <w:szCs w:val="18"/>
        </w:rPr>
        <w:t>ounts of management’s time and effort, which may divert management’s attention from operating and growing our business;</w:t>
      </w:r>
    </w:p>
    <w:p w14:paraId="6E17E5C8" w14:textId="77777777" w:rsidR="00D1587D" w:rsidRDefault="00D1587D">
      <w:pPr>
        <w:spacing w:line="62" w:lineRule="exact"/>
        <w:rPr>
          <w:rFonts w:ascii="Arial" w:eastAsia="Arial" w:hAnsi="Arial" w:cs="Arial"/>
          <w:sz w:val="18"/>
          <w:szCs w:val="18"/>
        </w:rPr>
      </w:pPr>
    </w:p>
    <w:p w14:paraId="25D7152E" w14:textId="77777777" w:rsidR="00D1587D" w:rsidRDefault="00410D07" w:rsidP="00410D07">
      <w:pPr>
        <w:numPr>
          <w:ilvl w:val="0"/>
          <w:numId w:val="243"/>
        </w:numPr>
        <w:tabs>
          <w:tab w:val="left" w:pos="1000"/>
        </w:tabs>
        <w:spacing w:line="277" w:lineRule="auto"/>
        <w:ind w:left="1000" w:right="519" w:hanging="348"/>
        <w:rPr>
          <w:rFonts w:ascii="Arial" w:eastAsia="Arial" w:hAnsi="Arial" w:cs="Arial"/>
          <w:sz w:val="18"/>
          <w:szCs w:val="18"/>
        </w:rPr>
      </w:pPr>
      <w:r>
        <w:rPr>
          <w:rFonts w:ascii="Arial" w:eastAsia="Arial" w:hAnsi="Arial" w:cs="Arial"/>
          <w:sz w:val="18"/>
          <w:szCs w:val="18"/>
        </w:rPr>
        <w:t>Following the Separation, we may be more susceptible to economic downturns and other adverse events than if we were still a part of LB;</w:t>
      </w:r>
    </w:p>
    <w:p w14:paraId="4754525D" w14:textId="77777777" w:rsidR="00D1587D" w:rsidRDefault="00D1587D">
      <w:pPr>
        <w:spacing w:line="62" w:lineRule="exact"/>
        <w:rPr>
          <w:rFonts w:ascii="Arial" w:eastAsia="Arial" w:hAnsi="Arial" w:cs="Arial"/>
          <w:sz w:val="18"/>
          <w:szCs w:val="18"/>
        </w:rPr>
      </w:pPr>
    </w:p>
    <w:p w14:paraId="08E88CA9" w14:textId="77777777" w:rsidR="00D1587D" w:rsidRDefault="00410D07" w:rsidP="00410D07">
      <w:pPr>
        <w:numPr>
          <w:ilvl w:val="0"/>
          <w:numId w:val="243"/>
        </w:numPr>
        <w:tabs>
          <w:tab w:val="left" w:pos="1000"/>
        </w:tabs>
        <w:spacing w:line="263" w:lineRule="auto"/>
        <w:ind w:left="1000" w:right="439" w:hanging="348"/>
        <w:rPr>
          <w:rFonts w:ascii="Arial" w:eastAsia="Arial" w:hAnsi="Arial" w:cs="Arial"/>
          <w:sz w:val="18"/>
          <w:szCs w:val="18"/>
        </w:rPr>
      </w:pPr>
      <w:r>
        <w:rPr>
          <w:rFonts w:ascii="Arial" w:eastAsia="Arial" w:hAnsi="Arial" w:cs="Arial"/>
          <w:sz w:val="18"/>
          <w:szCs w:val="18"/>
        </w:rPr>
        <w:t>Following the Separation, our business will be less diversified than LB’s business prior to the Separation; our business will also experience a loss of scale and access to certain financial, managerial and professional resources from which we have benefi</w:t>
      </w:r>
      <w:r>
        <w:rPr>
          <w:rFonts w:ascii="Arial" w:eastAsia="Arial" w:hAnsi="Arial" w:cs="Arial"/>
          <w:sz w:val="18"/>
          <w:szCs w:val="18"/>
        </w:rPr>
        <w:t>ted in the past; and</w:t>
      </w:r>
    </w:p>
    <w:p w14:paraId="5C68DED3" w14:textId="77777777" w:rsidR="00D1587D" w:rsidRDefault="00D1587D">
      <w:pPr>
        <w:spacing w:line="75" w:lineRule="exact"/>
        <w:rPr>
          <w:rFonts w:ascii="Arial" w:eastAsia="Arial" w:hAnsi="Arial" w:cs="Arial"/>
          <w:sz w:val="18"/>
          <w:szCs w:val="18"/>
        </w:rPr>
      </w:pPr>
    </w:p>
    <w:p w14:paraId="3E391DAB" w14:textId="77777777" w:rsidR="00D1587D" w:rsidRDefault="00410D07" w:rsidP="00410D07">
      <w:pPr>
        <w:numPr>
          <w:ilvl w:val="0"/>
          <w:numId w:val="243"/>
        </w:numPr>
        <w:tabs>
          <w:tab w:val="left" w:pos="1000"/>
        </w:tabs>
        <w:ind w:left="1000" w:hanging="348"/>
        <w:rPr>
          <w:rFonts w:ascii="Arial" w:eastAsia="Arial" w:hAnsi="Arial" w:cs="Arial"/>
          <w:sz w:val="18"/>
          <w:szCs w:val="18"/>
        </w:rPr>
      </w:pPr>
      <w:r>
        <w:rPr>
          <w:rFonts w:ascii="Arial" w:eastAsia="Arial" w:hAnsi="Arial" w:cs="Arial"/>
          <w:sz w:val="18"/>
          <w:szCs w:val="18"/>
        </w:rPr>
        <w:t>The other actions required to separate the respective businesses could disrupt our operations.</w:t>
      </w:r>
    </w:p>
    <w:p w14:paraId="3033FADF" w14:textId="77777777" w:rsidR="00D1587D" w:rsidRDefault="00D1587D">
      <w:pPr>
        <w:spacing w:line="117" w:lineRule="exact"/>
        <w:rPr>
          <w:sz w:val="20"/>
          <w:szCs w:val="20"/>
        </w:rPr>
      </w:pPr>
    </w:p>
    <w:p w14:paraId="552BF701" w14:textId="77777777" w:rsidR="00D1587D" w:rsidRDefault="00410D07">
      <w:pPr>
        <w:spacing w:line="277" w:lineRule="auto"/>
        <w:ind w:left="300" w:right="579" w:firstLine="360"/>
        <w:rPr>
          <w:sz w:val="20"/>
          <w:szCs w:val="20"/>
        </w:rPr>
      </w:pPr>
      <w:r>
        <w:rPr>
          <w:rFonts w:ascii="Arial" w:eastAsia="Arial" w:hAnsi="Arial" w:cs="Arial"/>
          <w:sz w:val="18"/>
          <w:szCs w:val="18"/>
        </w:rPr>
        <w:t>If we fail to achieve some or all of the benefits expected to result from the Separation, or if such benefits are delayed, our business co</w:t>
      </w:r>
      <w:r>
        <w:rPr>
          <w:rFonts w:ascii="Arial" w:eastAsia="Arial" w:hAnsi="Arial" w:cs="Arial"/>
          <w:sz w:val="18"/>
          <w:szCs w:val="18"/>
        </w:rPr>
        <w:t>uld be harmed.</w:t>
      </w:r>
    </w:p>
    <w:p w14:paraId="12AFD1D5" w14:textId="77777777" w:rsidR="00D1587D" w:rsidRDefault="00D1587D">
      <w:pPr>
        <w:spacing w:line="170" w:lineRule="exact"/>
        <w:rPr>
          <w:sz w:val="20"/>
          <w:szCs w:val="20"/>
        </w:rPr>
      </w:pPr>
    </w:p>
    <w:p w14:paraId="7E11A481" w14:textId="77777777" w:rsidR="00D1587D" w:rsidRDefault="00410D07">
      <w:pPr>
        <w:spacing w:line="311" w:lineRule="auto"/>
        <w:ind w:left="300" w:right="299" w:firstLine="360"/>
        <w:rPr>
          <w:sz w:val="20"/>
          <w:szCs w:val="20"/>
        </w:rPr>
      </w:pPr>
      <w:r>
        <w:rPr>
          <w:rFonts w:ascii="Arial" w:eastAsia="Arial" w:hAnsi="Arial" w:cs="Arial"/>
          <w:b/>
          <w:bCs/>
          <w:i/>
          <w:iCs/>
          <w:sz w:val="16"/>
          <w:szCs w:val="16"/>
        </w:rPr>
        <w:t xml:space="preserve">We have no history of operating as an independent company, and our historical combined and unaudited pro forma financial information is not necessarily representative of the results that we would have achieved as an independent, </w:t>
      </w:r>
      <w:r>
        <w:rPr>
          <w:rFonts w:ascii="Arial" w:eastAsia="Arial" w:hAnsi="Arial" w:cs="Arial"/>
          <w:b/>
          <w:bCs/>
          <w:i/>
          <w:iCs/>
          <w:sz w:val="16"/>
          <w:szCs w:val="16"/>
        </w:rPr>
        <w:t>publicly traded company and may not be a reliable indicator of our future results.</w:t>
      </w:r>
    </w:p>
    <w:p w14:paraId="05E0D7B0" w14:textId="77777777" w:rsidR="00D1587D" w:rsidRDefault="00D1587D">
      <w:pPr>
        <w:spacing w:line="41" w:lineRule="exact"/>
        <w:rPr>
          <w:sz w:val="20"/>
          <w:szCs w:val="20"/>
        </w:rPr>
      </w:pPr>
    </w:p>
    <w:p w14:paraId="1DBF20EE" w14:textId="77777777" w:rsidR="00D1587D" w:rsidRDefault="00410D07">
      <w:pPr>
        <w:spacing w:line="254" w:lineRule="auto"/>
        <w:ind w:left="300" w:right="319" w:firstLine="360"/>
        <w:rPr>
          <w:sz w:val="20"/>
          <w:szCs w:val="20"/>
        </w:rPr>
      </w:pPr>
      <w:r>
        <w:rPr>
          <w:rFonts w:ascii="Arial" w:eastAsia="Arial" w:hAnsi="Arial" w:cs="Arial"/>
          <w:sz w:val="18"/>
          <w:szCs w:val="18"/>
        </w:rPr>
        <w:t>Our historical combined and unaudited pro forma combined financial information included in this information statement have been derived from LB’s consolidated financial sta</w:t>
      </w:r>
      <w:r>
        <w:rPr>
          <w:rFonts w:ascii="Arial" w:eastAsia="Arial" w:hAnsi="Arial" w:cs="Arial"/>
          <w:sz w:val="18"/>
          <w:szCs w:val="18"/>
        </w:rPr>
        <w:t>tements and accounting records and are not necessarily indicative of our future results of operations, financial condition or cash flows, nor do they reflect what our results of operations, financial condition or cash flows would have been as an independen</w:t>
      </w:r>
      <w:r>
        <w:rPr>
          <w:rFonts w:ascii="Arial" w:eastAsia="Arial" w:hAnsi="Arial" w:cs="Arial"/>
          <w:sz w:val="18"/>
          <w:szCs w:val="18"/>
        </w:rPr>
        <w:t>t public company during the periods presented. In particular, the historical combined financial information included in this information statement is not necessarily indicative of our future results of operations, financial condition or cash flows primaril</w:t>
      </w:r>
      <w:r>
        <w:rPr>
          <w:rFonts w:ascii="Arial" w:eastAsia="Arial" w:hAnsi="Arial" w:cs="Arial"/>
          <w:sz w:val="18"/>
          <w:szCs w:val="18"/>
        </w:rPr>
        <w:t>y because of the following factors:</w:t>
      </w:r>
    </w:p>
    <w:p w14:paraId="485F0175" w14:textId="77777777" w:rsidR="00D1587D" w:rsidRDefault="00D1587D">
      <w:pPr>
        <w:spacing w:line="87" w:lineRule="exact"/>
        <w:rPr>
          <w:sz w:val="20"/>
          <w:szCs w:val="20"/>
        </w:rPr>
      </w:pPr>
    </w:p>
    <w:p w14:paraId="7FC7CBC7" w14:textId="77777777" w:rsidR="00D1587D" w:rsidRDefault="00410D07" w:rsidP="00410D07">
      <w:pPr>
        <w:numPr>
          <w:ilvl w:val="0"/>
          <w:numId w:val="244"/>
        </w:numPr>
        <w:tabs>
          <w:tab w:val="left" w:pos="1000"/>
        </w:tabs>
        <w:spacing w:line="257" w:lineRule="auto"/>
        <w:ind w:left="1000" w:right="319" w:hanging="348"/>
        <w:rPr>
          <w:rFonts w:ascii="Arial" w:eastAsia="Arial" w:hAnsi="Arial" w:cs="Arial"/>
          <w:sz w:val="18"/>
          <w:szCs w:val="18"/>
        </w:rPr>
      </w:pPr>
      <w:r>
        <w:rPr>
          <w:rFonts w:ascii="Arial" w:eastAsia="Arial" w:hAnsi="Arial" w:cs="Arial"/>
          <w:sz w:val="18"/>
          <w:szCs w:val="18"/>
        </w:rPr>
        <w:t xml:space="preserve">Prior to the Separation, the Spin Business has been operated by LB as part of its broader corporate organization, rather than as an independent company. LB or one of its affiliates provide support for various corporate </w:t>
      </w:r>
      <w:r>
        <w:rPr>
          <w:rFonts w:ascii="Arial" w:eastAsia="Arial" w:hAnsi="Arial" w:cs="Arial"/>
          <w:sz w:val="18"/>
          <w:szCs w:val="18"/>
        </w:rPr>
        <w:t>functions for us, such as information technology, shared services, insurance, logistics, human resources, finance and internal audit. We will become a smaller, less diversified company as a result of the Separation;</w:t>
      </w:r>
    </w:p>
    <w:p w14:paraId="2EE18F2D" w14:textId="77777777" w:rsidR="00D1587D" w:rsidRDefault="00D1587D">
      <w:pPr>
        <w:spacing w:line="79" w:lineRule="exact"/>
        <w:rPr>
          <w:rFonts w:ascii="Arial" w:eastAsia="Arial" w:hAnsi="Arial" w:cs="Arial"/>
          <w:sz w:val="18"/>
          <w:szCs w:val="18"/>
        </w:rPr>
      </w:pPr>
    </w:p>
    <w:p w14:paraId="1E3E6AD2" w14:textId="77777777" w:rsidR="00D1587D" w:rsidRDefault="00410D07" w:rsidP="00410D07">
      <w:pPr>
        <w:numPr>
          <w:ilvl w:val="0"/>
          <w:numId w:val="244"/>
        </w:numPr>
        <w:tabs>
          <w:tab w:val="left" w:pos="1000"/>
        </w:tabs>
        <w:spacing w:line="263" w:lineRule="auto"/>
        <w:ind w:left="1000" w:right="559" w:hanging="348"/>
        <w:jc w:val="both"/>
        <w:rPr>
          <w:rFonts w:ascii="Arial" w:eastAsia="Arial" w:hAnsi="Arial" w:cs="Arial"/>
          <w:sz w:val="18"/>
          <w:szCs w:val="18"/>
        </w:rPr>
      </w:pPr>
      <w:r>
        <w:rPr>
          <w:rFonts w:ascii="Arial" w:eastAsia="Arial" w:hAnsi="Arial" w:cs="Arial"/>
          <w:sz w:val="18"/>
          <w:szCs w:val="18"/>
        </w:rPr>
        <w:t>Our historical combined financial resul</w:t>
      </w:r>
      <w:r>
        <w:rPr>
          <w:rFonts w:ascii="Arial" w:eastAsia="Arial" w:hAnsi="Arial" w:cs="Arial"/>
          <w:sz w:val="18"/>
          <w:szCs w:val="18"/>
        </w:rPr>
        <w:t>ts reflect the direct, indirect and allocated costs for such services historically provided by LB, and these costs may significantly differ from the comparable expenses we would have incurred as an independent company;</w:t>
      </w:r>
    </w:p>
    <w:p w14:paraId="5B94B9FA" w14:textId="77777777" w:rsidR="00D1587D" w:rsidRDefault="00D1587D">
      <w:pPr>
        <w:spacing w:line="75" w:lineRule="exact"/>
        <w:rPr>
          <w:rFonts w:ascii="Arial" w:eastAsia="Arial" w:hAnsi="Arial" w:cs="Arial"/>
          <w:sz w:val="18"/>
          <w:szCs w:val="18"/>
        </w:rPr>
      </w:pPr>
    </w:p>
    <w:p w14:paraId="73AF94CB" w14:textId="77777777" w:rsidR="00D1587D" w:rsidRDefault="00410D07" w:rsidP="00410D07">
      <w:pPr>
        <w:numPr>
          <w:ilvl w:val="0"/>
          <w:numId w:val="244"/>
        </w:numPr>
        <w:tabs>
          <w:tab w:val="left" w:pos="1000"/>
        </w:tabs>
        <w:spacing w:line="311" w:lineRule="auto"/>
        <w:ind w:left="1000" w:right="359" w:hanging="348"/>
        <w:jc w:val="both"/>
        <w:rPr>
          <w:rFonts w:ascii="Arial" w:eastAsia="Arial" w:hAnsi="Arial" w:cs="Arial"/>
          <w:sz w:val="16"/>
          <w:szCs w:val="16"/>
        </w:rPr>
      </w:pPr>
      <w:r>
        <w:rPr>
          <w:rFonts w:ascii="Arial" w:eastAsia="Arial" w:hAnsi="Arial" w:cs="Arial"/>
          <w:sz w:val="16"/>
          <w:szCs w:val="16"/>
        </w:rPr>
        <w:t>Our working capital requirements and</w:t>
      </w:r>
      <w:r>
        <w:rPr>
          <w:rFonts w:ascii="Arial" w:eastAsia="Arial" w:hAnsi="Arial" w:cs="Arial"/>
          <w:sz w:val="16"/>
          <w:szCs w:val="16"/>
        </w:rPr>
        <w:t xml:space="preserve"> capital expenditures historically have been satisfied as part of LB’s corporate-wide cash management and centralized funding programs, and our cost of debt and other capital may significantly differ from that which is reflected in our historical combined </w:t>
      </w:r>
      <w:r>
        <w:rPr>
          <w:rFonts w:ascii="Arial" w:eastAsia="Arial" w:hAnsi="Arial" w:cs="Arial"/>
          <w:sz w:val="16"/>
          <w:szCs w:val="16"/>
        </w:rPr>
        <w:t>financial statements;</w:t>
      </w:r>
    </w:p>
    <w:p w14:paraId="31EC1BF2" w14:textId="77777777" w:rsidR="00D1587D" w:rsidRDefault="00D1587D">
      <w:pPr>
        <w:spacing w:line="40" w:lineRule="exact"/>
        <w:rPr>
          <w:rFonts w:ascii="Arial" w:eastAsia="Arial" w:hAnsi="Arial" w:cs="Arial"/>
          <w:sz w:val="16"/>
          <w:szCs w:val="16"/>
        </w:rPr>
      </w:pPr>
    </w:p>
    <w:p w14:paraId="49F8D17B" w14:textId="77777777" w:rsidR="00D1587D" w:rsidRDefault="00410D07" w:rsidP="00410D07">
      <w:pPr>
        <w:numPr>
          <w:ilvl w:val="0"/>
          <w:numId w:val="244"/>
        </w:numPr>
        <w:tabs>
          <w:tab w:val="left" w:pos="1000"/>
        </w:tabs>
        <w:spacing w:line="308" w:lineRule="auto"/>
        <w:ind w:left="1000" w:right="1099" w:hanging="348"/>
        <w:rPr>
          <w:rFonts w:ascii="Arial" w:eastAsia="Arial" w:hAnsi="Arial" w:cs="Arial"/>
          <w:sz w:val="17"/>
          <w:szCs w:val="17"/>
        </w:rPr>
      </w:pPr>
      <w:r>
        <w:rPr>
          <w:rFonts w:ascii="Arial" w:eastAsia="Arial" w:hAnsi="Arial" w:cs="Arial"/>
          <w:sz w:val="17"/>
          <w:szCs w:val="17"/>
        </w:rPr>
        <w:t>The historical combined financial information may not fully reflect the costs associated with the Separation, including the costs related to being an independent public company;</w:t>
      </w:r>
    </w:p>
    <w:p w14:paraId="698928DC" w14:textId="77777777" w:rsidR="00D1587D" w:rsidRDefault="00D1587D">
      <w:pPr>
        <w:spacing w:line="146" w:lineRule="exact"/>
        <w:rPr>
          <w:sz w:val="20"/>
          <w:szCs w:val="20"/>
        </w:rPr>
      </w:pPr>
    </w:p>
    <w:p w14:paraId="4DF15D35" w14:textId="77777777" w:rsidR="00D1587D" w:rsidRDefault="00410D07">
      <w:pPr>
        <w:jc w:val="center"/>
        <w:rPr>
          <w:sz w:val="20"/>
          <w:szCs w:val="20"/>
        </w:rPr>
      </w:pPr>
      <w:r>
        <w:rPr>
          <w:rFonts w:ascii="Arial" w:eastAsia="Arial" w:hAnsi="Arial" w:cs="Arial"/>
          <w:sz w:val="18"/>
          <w:szCs w:val="18"/>
        </w:rPr>
        <w:t>17</w:t>
      </w:r>
    </w:p>
    <w:p w14:paraId="3F919990" w14:textId="77777777" w:rsidR="00D1587D" w:rsidRDefault="00410D07">
      <w:pPr>
        <w:spacing w:line="20" w:lineRule="exact"/>
        <w:rPr>
          <w:sz w:val="20"/>
          <w:szCs w:val="20"/>
        </w:rPr>
      </w:pPr>
      <w:r>
        <w:rPr>
          <w:noProof/>
          <w:sz w:val="20"/>
          <w:szCs w:val="20"/>
        </w:rPr>
        <w:drawing>
          <wp:anchor distT="0" distB="0" distL="114300" distR="114300" simplePos="0" relativeHeight="251459584" behindDoc="1" locked="0" layoutInCell="0" allowOverlap="1" wp14:anchorId="4A003A0D" wp14:editId="05BFE815">
            <wp:simplePos x="0" y="0"/>
            <wp:positionH relativeFrom="column">
              <wp:posOffset>-636905</wp:posOffset>
            </wp:positionH>
            <wp:positionV relativeFrom="paragraph">
              <wp:posOffset>134620</wp:posOffset>
            </wp:positionV>
            <wp:extent cx="6995160" cy="1714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FBD04F3" w14:textId="77777777" w:rsidR="00D1587D" w:rsidRDefault="00D1587D">
      <w:pPr>
        <w:sectPr w:rsidR="00D1587D">
          <w:pgSz w:w="11900" w:h="16838"/>
          <w:pgMar w:top="265" w:right="1440" w:bottom="1440" w:left="1440" w:header="0" w:footer="0" w:gutter="0"/>
          <w:cols w:space="720" w:equalWidth="0">
            <w:col w:w="9019"/>
          </w:cols>
        </w:sectPr>
      </w:pPr>
    </w:p>
    <w:bookmarkStart w:id="275" w:name="page276"/>
    <w:bookmarkEnd w:id="275"/>
    <w:p w14:paraId="2173BDB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042BEDE" w14:textId="77777777" w:rsidR="00D1587D" w:rsidRDefault="00D1587D">
      <w:pPr>
        <w:spacing w:line="131" w:lineRule="exact"/>
        <w:rPr>
          <w:sz w:val="20"/>
          <w:szCs w:val="20"/>
        </w:rPr>
      </w:pPr>
    </w:p>
    <w:p w14:paraId="4BA1483A" w14:textId="77777777" w:rsidR="00D1587D" w:rsidRDefault="00410D07" w:rsidP="00410D07">
      <w:pPr>
        <w:numPr>
          <w:ilvl w:val="0"/>
          <w:numId w:val="245"/>
        </w:numPr>
        <w:tabs>
          <w:tab w:val="left" w:pos="1000"/>
        </w:tabs>
        <w:spacing w:line="259" w:lineRule="auto"/>
        <w:ind w:left="1000" w:right="459" w:hanging="348"/>
        <w:rPr>
          <w:rFonts w:ascii="Arial" w:eastAsia="Arial" w:hAnsi="Arial" w:cs="Arial"/>
          <w:sz w:val="18"/>
          <w:szCs w:val="18"/>
        </w:rPr>
      </w:pPr>
      <w:r>
        <w:rPr>
          <w:rFonts w:ascii="Arial" w:eastAsia="Arial" w:hAnsi="Arial" w:cs="Arial"/>
          <w:sz w:val="18"/>
          <w:szCs w:val="18"/>
        </w:rPr>
        <w:t>Our historical combined financial information does not reflect our obligations under the various transitional and other agreements we will enter into with LB in connection with the Separation, though costs und</w:t>
      </w:r>
      <w:r>
        <w:rPr>
          <w:rFonts w:ascii="Arial" w:eastAsia="Arial" w:hAnsi="Arial" w:cs="Arial"/>
          <w:sz w:val="18"/>
          <w:szCs w:val="18"/>
        </w:rPr>
        <w:t>er such agreements are expected to be broadly similar to what was charged to the Spin Business in the past; and</w:t>
      </w:r>
    </w:p>
    <w:p w14:paraId="055CC366" w14:textId="77777777" w:rsidR="00D1587D" w:rsidRDefault="00D1587D">
      <w:pPr>
        <w:spacing w:line="78" w:lineRule="exact"/>
        <w:rPr>
          <w:rFonts w:ascii="Arial" w:eastAsia="Arial" w:hAnsi="Arial" w:cs="Arial"/>
          <w:sz w:val="18"/>
          <w:szCs w:val="18"/>
        </w:rPr>
      </w:pPr>
    </w:p>
    <w:p w14:paraId="52C0C9DD" w14:textId="77777777" w:rsidR="00D1587D" w:rsidRDefault="00410D07" w:rsidP="00410D07">
      <w:pPr>
        <w:numPr>
          <w:ilvl w:val="0"/>
          <w:numId w:val="245"/>
        </w:numPr>
        <w:tabs>
          <w:tab w:val="left" w:pos="1000"/>
        </w:tabs>
        <w:spacing w:line="259" w:lineRule="auto"/>
        <w:ind w:left="1000" w:right="399" w:hanging="348"/>
        <w:rPr>
          <w:rFonts w:ascii="Arial" w:eastAsia="Arial" w:hAnsi="Arial" w:cs="Arial"/>
          <w:sz w:val="18"/>
          <w:szCs w:val="18"/>
        </w:rPr>
      </w:pPr>
      <w:r>
        <w:rPr>
          <w:rFonts w:ascii="Arial" w:eastAsia="Arial" w:hAnsi="Arial" w:cs="Arial"/>
          <w:sz w:val="18"/>
          <w:szCs w:val="18"/>
        </w:rPr>
        <w:t>Currently, our business is integrated with that of LB and we benefit from LB’s size and scale in costs, employees and vendor and customer relat</w:t>
      </w:r>
      <w:r>
        <w:rPr>
          <w:rFonts w:ascii="Arial" w:eastAsia="Arial" w:hAnsi="Arial" w:cs="Arial"/>
          <w:sz w:val="18"/>
          <w:szCs w:val="18"/>
        </w:rPr>
        <w:t>ionships. Thus, costs we will incur as an independent company may significantly exceed comparable costs we would have incurred as part of LB and some of our vendor and customer relationships may be weakened or lost.</w:t>
      </w:r>
    </w:p>
    <w:p w14:paraId="490D0AC3" w14:textId="77777777" w:rsidR="00D1587D" w:rsidRDefault="00D1587D">
      <w:pPr>
        <w:spacing w:line="79" w:lineRule="exact"/>
        <w:rPr>
          <w:sz w:val="20"/>
          <w:szCs w:val="20"/>
        </w:rPr>
      </w:pPr>
    </w:p>
    <w:p w14:paraId="1462AEC3" w14:textId="77777777" w:rsidR="00D1587D" w:rsidRDefault="00410D07">
      <w:pPr>
        <w:spacing w:line="272" w:lineRule="auto"/>
        <w:ind w:left="300" w:right="339" w:firstLine="360"/>
        <w:rPr>
          <w:sz w:val="20"/>
          <w:szCs w:val="20"/>
        </w:rPr>
      </w:pPr>
      <w:r>
        <w:rPr>
          <w:rFonts w:ascii="Arial" w:eastAsia="Arial" w:hAnsi="Arial" w:cs="Arial"/>
          <w:sz w:val="17"/>
          <w:szCs w:val="17"/>
        </w:rPr>
        <w:t>We based the pro forma adjustments incl</w:t>
      </w:r>
      <w:r>
        <w:rPr>
          <w:rFonts w:ascii="Arial" w:eastAsia="Arial" w:hAnsi="Arial" w:cs="Arial"/>
          <w:sz w:val="17"/>
          <w:szCs w:val="17"/>
        </w:rPr>
        <w:t>uded in this information statement on available information and assumptions that we believe are reasonable and factually supportable; actual results, however, may vary. In addition, our unaudited pro forma combined financial information included in this in</w:t>
      </w:r>
      <w:r>
        <w:rPr>
          <w:rFonts w:ascii="Arial" w:eastAsia="Arial" w:hAnsi="Arial" w:cs="Arial"/>
          <w:sz w:val="17"/>
          <w:szCs w:val="17"/>
        </w:rPr>
        <w:t>formation statement may not give effect to various ongoing additional costs we may incur in connection with being an independent public company. Accordingly, our unaudited pro forma combined financial statements do not reflect what our results of operation</w:t>
      </w:r>
      <w:r>
        <w:rPr>
          <w:rFonts w:ascii="Arial" w:eastAsia="Arial" w:hAnsi="Arial" w:cs="Arial"/>
          <w:sz w:val="17"/>
          <w:szCs w:val="17"/>
        </w:rPr>
        <w:t>s, financial condition or cash flows would have been as an independent public company and are not necessarily indicative of our future financial condition or future results of operations.</w:t>
      </w:r>
    </w:p>
    <w:p w14:paraId="28D7331A" w14:textId="77777777" w:rsidR="00D1587D" w:rsidRDefault="00D1587D">
      <w:pPr>
        <w:spacing w:line="69" w:lineRule="exact"/>
        <w:rPr>
          <w:sz w:val="20"/>
          <w:szCs w:val="20"/>
        </w:rPr>
      </w:pPr>
    </w:p>
    <w:p w14:paraId="62D03220" w14:textId="77777777" w:rsidR="00D1587D" w:rsidRDefault="00410D07">
      <w:pPr>
        <w:spacing w:line="263" w:lineRule="auto"/>
        <w:ind w:left="300" w:right="319" w:firstLine="360"/>
        <w:rPr>
          <w:sz w:val="20"/>
          <w:szCs w:val="20"/>
        </w:rPr>
      </w:pPr>
      <w:r>
        <w:rPr>
          <w:rFonts w:ascii="Arial" w:eastAsia="Arial" w:hAnsi="Arial" w:cs="Arial"/>
          <w:sz w:val="18"/>
          <w:szCs w:val="18"/>
        </w:rPr>
        <w:t xml:space="preserve">Please refer to “Unaudited Pro Forma Combined Financial </w:t>
      </w:r>
      <w:r>
        <w:rPr>
          <w:rFonts w:ascii="Arial" w:eastAsia="Arial" w:hAnsi="Arial" w:cs="Arial"/>
          <w:sz w:val="18"/>
          <w:szCs w:val="18"/>
        </w:rPr>
        <w:t>Statements,” “Management’s Discussion and Analysis of Financial Condition and Results of Operations” and our historical combined financial statements and the notes to those statements included elsewhere in this information statement.</w:t>
      </w:r>
    </w:p>
    <w:p w14:paraId="681FF2FA" w14:textId="77777777" w:rsidR="00D1587D" w:rsidRDefault="00D1587D">
      <w:pPr>
        <w:spacing w:line="238" w:lineRule="exact"/>
        <w:rPr>
          <w:sz w:val="20"/>
          <w:szCs w:val="20"/>
        </w:rPr>
      </w:pPr>
    </w:p>
    <w:p w14:paraId="2CB95C9A" w14:textId="77777777" w:rsidR="00D1587D" w:rsidRDefault="00410D07">
      <w:pPr>
        <w:ind w:left="660"/>
        <w:rPr>
          <w:sz w:val="20"/>
          <w:szCs w:val="20"/>
        </w:rPr>
      </w:pPr>
      <w:r>
        <w:rPr>
          <w:rFonts w:ascii="Arial" w:eastAsia="Arial" w:hAnsi="Arial" w:cs="Arial"/>
          <w:b/>
          <w:bCs/>
          <w:i/>
          <w:iCs/>
          <w:sz w:val="18"/>
          <w:szCs w:val="18"/>
        </w:rPr>
        <w:t xml:space="preserve">We have historically </w:t>
      </w:r>
      <w:r>
        <w:rPr>
          <w:rFonts w:ascii="Arial" w:eastAsia="Arial" w:hAnsi="Arial" w:cs="Arial"/>
          <w:b/>
          <w:bCs/>
          <w:i/>
          <w:iCs/>
          <w:sz w:val="18"/>
          <w:szCs w:val="18"/>
        </w:rPr>
        <w:t>operated within LB, and there are risks associated with the Separation.</w:t>
      </w:r>
    </w:p>
    <w:p w14:paraId="5E225C7B" w14:textId="77777777" w:rsidR="00D1587D" w:rsidRDefault="00D1587D">
      <w:pPr>
        <w:spacing w:line="117" w:lineRule="exact"/>
        <w:rPr>
          <w:sz w:val="20"/>
          <w:szCs w:val="20"/>
        </w:rPr>
      </w:pPr>
    </w:p>
    <w:p w14:paraId="6742C109" w14:textId="77777777" w:rsidR="00D1587D" w:rsidRDefault="00410D07">
      <w:pPr>
        <w:spacing w:line="287" w:lineRule="auto"/>
        <w:ind w:left="300" w:right="299" w:firstLine="360"/>
        <w:rPr>
          <w:sz w:val="20"/>
          <w:szCs w:val="20"/>
        </w:rPr>
      </w:pPr>
      <w:r>
        <w:rPr>
          <w:rFonts w:ascii="Arial" w:eastAsia="Arial" w:hAnsi="Arial" w:cs="Arial"/>
          <w:sz w:val="16"/>
          <w:szCs w:val="16"/>
        </w:rPr>
        <w:t>We have historically operated within LB and a number of aspects of our current relationship with LB will change as a result of the Separation. For example, some of our landlords, vend</w:t>
      </w:r>
      <w:r>
        <w:rPr>
          <w:rFonts w:ascii="Arial" w:eastAsia="Arial" w:hAnsi="Arial" w:cs="Arial"/>
          <w:sz w:val="16"/>
          <w:szCs w:val="16"/>
        </w:rPr>
        <w:t>ors or other contract counterparties may have contracted with us because we were part of LB, and we may have difficulty obtaining favorable terms in our leases and other contractual arrangements in the future as a result of the Separation. LB also currentl</w:t>
      </w:r>
      <w:r>
        <w:rPr>
          <w:rFonts w:ascii="Arial" w:eastAsia="Arial" w:hAnsi="Arial" w:cs="Arial"/>
          <w:sz w:val="16"/>
          <w:szCs w:val="16"/>
        </w:rPr>
        <w:t>y provides guarantees for our benefit to third parties with respect to certain of our contractual obligations, including guarantees to landlords with respect to our obligations under certain leases. Following the Separation, we may not be able to obtain si</w:t>
      </w:r>
      <w:r>
        <w:rPr>
          <w:rFonts w:ascii="Arial" w:eastAsia="Arial" w:hAnsi="Arial" w:cs="Arial"/>
          <w:sz w:val="16"/>
          <w:szCs w:val="16"/>
        </w:rPr>
        <w:t>milar terms for new contracts, or renew existing contracts, without LB providing guarantees of our obligations under such contracts. In addition, pursuant to the Separation and Distribution Agreement, we are required to reimburse LB for any payments made b</w:t>
      </w:r>
      <w:r>
        <w:rPr>
          <w:rFonts w:ascii="Arial" w:eastAsia="Arial" w:hAnsi="Arial" w:cs="Arial"/>
          <w:sz w:val="16"/>
          <w:szCs w:val="16"/>
        </w:rPr>
        <w:t>y LB or any of its subsidiaries for any liabilities arising out of their obligations under these guarantees. Such payments are not subject to any cap and may be significant. These and other changes could have a material adverse effect on our business and r</w:t>
      </w:r>
      <w:r>
        <w:rPr>
          <w:rFonts w:ascii="Arial" w:eastAsia="Arial" w:hAnsi="Arial" w:cs="Arial"/>
          <w:sz w:val="16"/>
          <w:szCs w:val="16"/>
        </w:rPr>
        <w:t>esults of operations.</w:t>
      </w:r>
    </w:p>
    <w:p w14:paraId="06F454C2" w14:textId="77777777" w:rsidR="00D1587D" w:rsidRDefault="00D1587D">
      <w:pPr>
        <w:spacing w:line="64" w:lineRule="exact"/>
        <w:rPr>
          <w:sz w:val="20"/>
          <w:szCs w:val="20"/>
        </w:rPr>
      </w:pPr>
    </w:p>
    <w:p w14:paraId="66644BD3" w14:textId="77777777" w:rsidR="00D1587D" w:rsidRDefault="00410D07">
      <w:pPr>
        <w:spacing w:line="289" w:lineRule="auto"/>
        <w:ind w:left="300" w:right="339" w:firstLine="360"/>
        <w:rPr>
          <w:sz w:val="20"/>
          <w:szCs w:val="20"/>
        </w:rPr>
      </w:pPr>
      <w:r>
        <w:rPr>
          <w:rFonts w:ascii="Arial" w:eastAsia="Arial" w:hAnsi="Arial" w:cs="Arial"/>
          <w:sz w:val="16"/>
          <w:szCs w:val="16"/>
        </w:rPr>
        <w:t>Furthermore, in connection with the Separation, we will enter into certain commercial arrangements with LB pursuant to which we and LB will continue to provide to each other, on an ongoing basis, certain functions and services that t</w:t>
      </w:r>
      <w:r>
        <w:rPr>
          <w:rFonts w:ascii="Arial" w:eastAsia="Arial" w:hAnsi="Arial" w:cs="Arial"/>
          <w:sz w:val="16"/>
          <w:szCs w:val="16"/>
        </w:rPr>
        <w:t xml:space="preserve">he companies have historically shared. See “The Separation—Agreements with LB—Commercial Arrangements.” LB may not successfully execute its obligations to us under these arrangements, and any interruption in the functions or services that will be provided </w:t>
      </w:r>
      <w:r>
        <w:rPr>
          <w:rFonts w:ascii="Arial" w:eastAsia="Arial" w:hAnsi="Arial" w:cs="Arial"/>
          <w:sz w:val="16"/>
          <w:szCs w:val="16"/>
        </w:rPr>
        <w:t xml:space="preserve">to us by LB following the Distribution could have a material adverse effect on our business, results of operations, financial condition and cash flows. LB may also allege that we have failed to perform our obligations to LB under these arrangements, which </w:t>
      </w:r>
      <w:r>
        <w:rPr>
          <w:rFonts w:ascii="Arial" w:eastAsia="Arial" w:hAnsi="Arial" w:cs="Arial"/>
          <w:sz w:val="16"/>
          <w:szCs w:val="16"/>
        </w:rPr>
        <w:t>may subject us to claims and liability. In addition, performing our obligations to LB under these commercial arrangements may also require significant time and resources, and may divert management’s attention from the operation of the Spin Business.</w:t>
      </w:r>
    </w:p>
    <w:p w14:paraId="30BDC415" w14:textId="77777777" w:rsidR="00D1587D" w:rsidRDefault="00D1587D">
      <w:pPr>
        <w:spacing w:line="166" w:lineRule="exact"/>
        <w:rPr>
          <w:sz w:val="20"/>
          <w:szCs w:val="20"/>
        </w:rPr>
      </w:pPr>
    </w:p>
    <w:p w14:paraId="7B1818B7" w14:textId="77777777" w:rsidR="00D1587D" w:rsidRDefault="00410D07">
      <w:pPr>
        <w:spacing w:line="342" w:lineRule="auto"/>
        <w:ind w:left="300" w:right="659" w:firstLine="360"/>
        <w:rPr>
          <w:sz w:val="20"/>
          <w:szCs w:val="20"/>
        </w:rPr>
      </w:pPr>
      <w:r>
        <w:rPr>
          <w:rFonts w:ascii="Arial" w:eastAsia="Arial" w:hAnsi="Arial" w:cs="Arial"/>
          <w:b/>
          <w:bCs/>
          <w:i/>
          <w:iCs/>
          <w:sz w:val="16"/>
          <w:szCs w:val="16"/>
        </w:rPr>
        <w:t>We wi</w:t>
      </w:r>
      <w:r>
        <w:rPr>
          <w:rFonts w:ascii="Arial" w:eastAsia="Arial" w:hAnsi="Arial" w:cs="Arial"/>
          <w:b/>
          <w:bCs/>
          <w:i/>
          <w:iCs/>
          <w:sz w:val="16"/>
          <w:szCs w:val="16"/>
        </w:rPr>
        <w:t>ll incur significant costs to create the infrastructure necessary to operate as an independent public company, and may experience operational disruptions in connection with the Separation.</w:t>
      </w:r>
    </w:p>
    <w:p w14:paraId="6679226F" w14:textId="77777777" w:rsidR="00D1587D" w:rsidRDefault="00D1587D">
      <w:pPr>
        <w:spacing w:line="16" w:lineRule="exact"/>
        <w:rPr>
          <w:sz w:val="20"/>
          <w:szCs w:val="20"/>
        </w:rPr>
      </w:pPr>
    </w:p>
    <w:p w14:paraId="502AE333" w14:textId="77777777" w:rsidR="00D1587D" w:rsidRDefault="00410D07">
      <w:pPr>
        <w:spacing w:line="271" w:lineRule="auto"/>
        <w:ind w:left="300" w:right="339" w:firstLine="360"/>
        <w:rPr>
          <w:sz w:val="20"/>
          <w:szCs w:val="20"/>
        </w:rPr>
      </w:pPr>
      <w:r>
        <w:rPr>
          <w:rFonts w:ascii="Arial" w:eastAsia="Arial" w:hAnsi="Arial" w:cs="Arial"/>
          <w:sz w:val="17"/>
          <w:szCs w:val="17"/>
        </w:rPr>
        <w:t xml:space="preserve">LB currently performs many important corporate functions for </w:t>
      </w:r>
      <w:r>
        <w:rPr>
          <w:rFonts w:ascii="Arial" w:eastAsia="Arial" w:hAnsi="Arial" w:cs="Arial"/>
          <w:sz w:val="17"/>
          <w:szCs w:val="17"/>
        </w:rPr>
        <w:t>us, including information technology, shared services, insurance, logistics, human resources, finance and internal audit. The cost of these services has been allocated to us based on direct usage when identifiable or, when not directly identifiable, on the</w:t>
      </w:r>
      <w:r>
        <w:rPr>
          <w:rFonts w:ascii="Arial" w:eastAsia="Arial" w:hAnsi="Arial" w:cs="Arial"/>
          <w:sz w:val="17"/>
          <w:szCs w:val="17"/>
        </w:rPr>
        <w:t xml:space="preserve"> basis of proportional net revenues or other relevant metrics, as applicable. Following the Separation, LB will continue to provide some of these services to us on a transitional basis, generally for a period of up to two years, other than information tech</w:t>
      </w:r>
      <w:r>
        <w:rPr>
          <w:rFonts w:ascii="Arial" w:eastAsia="Arial" w:hAnsi="Arial" w:cs="Arial"/>
          <w:sz w:val="17"/>
          <w:szCs w:val="17"/>
        </w:rPr>
        <w:t>nology services, which will be provided for a period of up to three years following the Distribution, pursuant to an L Brands to VS Transition Services Agreement that we will enter into with LB. See “The Separation— Agreements with LB—L Brands to VS Transi</w:t>
      </w:r>
      <w:r>
        <w:rPr>
          <w:rFonts w:ascii="Arial" w:eastAsia="Arial" w:hAnsi="Arial" w:cs="Arial"/>
          <w:sz w:val="17"/>
          <w:szCs w:val="17"/>
        </w:rPr>
        <w:t>tion Services Agreement.” LB may not</w:t>
      </w:r>
    </w:p>
    <w:p w14:paraId="185B046E" w14:textId="77777777" w:rsidR="00D1587D" w:rsidRDefault="00D1587D">
      <w:pPr>
        <w:spacing w:line="178" w:lineRule="exact"/>
        <w:rPr>
          <w:sz w:val="20"/>
          <w:szCs w:val="20"/>
        </w:rPr>
      </w:pPr>
    </w:p>
    <w:p w14:paraId="76C5AED3" w14:textId="77777777" w:rsidR="00D1587D" w:rsidRDefault="00410D07">
      <w:pPr>
        <w:jc w:val="center"/>
        <w:rPr>
          <w:sz w:val="20"/>
          <w:szCs w:val="20"/>
        </w:rPr>
      </w:pPr>
      <w:r>
        <w:rPr>
          <w:rFonts w:ascii="Arial" w:eastAsia="Arial" w:hAnsi="Arial" w:cs="Arial"/>
          <w:sz w:val="18"/>
          <w:szCs w:val="18"/>
        </w:rPr>
        <w:t>18</w:t>
      </w:r>
    </w:p>
    <w:p w14:paraId="18D0BDB4" w14:textId="77777777" w:rsidR="00D1587D" w:rsidRDefault="00410D07">
      <w:pPr>
        <w:spacing w:line="20" w:lineRule="exact"/>
        <w:rPr>
          <w:sz w:val="20"/>
          <w:szCs w:val="20"/>
        </w:rPr>
      </w:pPr>
      <w:r>
        <w:rPr>
          <w:noProof/>
          <w:sz w:val="20"/>
          <w:szCs w:val="20"/>
        </w:rPr>
        <w:drawing>
          <wp:anchor distT="0" distB="0" distL="114300" distR="114300" simplePos="0" relativeHeight="251460608" behindDoc="1" locked="0" layoutInCell="0" allowOverlap="1" wp14:anchorId="2E371B90" wp14:editId="1329240E">
            <wp:simplePos x="0" y="0"/>
            <wp:positionH relativeFrom="column">
              <wp:posOffset>-636905</wp:posOffset>
            </wp:positionH>
            <wp:positionV relativeFrom="paragraph">
              <wp:posOffset>134620</wp:posOffset>
            </wp:positionV>
            <wp:extent cx="6995160" cy="1714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B0A6F58" w14:textId="77777777" w:rsidR="00D1587D" w:rsidRDefault="00D1587D">
      <w:pPr>
        <w:sectPr w:rsidR="00D1587D">
          <w:pgSz w:w="11900" w:h="16838"/>
          <w:pgMar w:top="265" w:right="1440" w:bottom="1440" w:left="1440" w:header="0" w:footer="0" w:gutter="0"/>
          <w:cols w:space="720" w:equalWidth="0">
            <w:col w:w="9019"/>
          </w:cols>
        </w:sectPr>
      </w:pPr>
    </w:p>
    <w:bookmarkStart w:id="276" w:name="page277"/>
    <w:bookmarkEnd w:id="276"/>
    <w:p w14:paraId="7A5E4B5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E7D8102" w14:textId="77777777" w:rsidR="00D1587D" w:rsidRDefault="00D1587D">
      <w:pPr>
        <w:spacing w:line="131" w:lineRule="exact"/>
        <w:rPr>
          <w:sz w:val="20"/>
          <w:szCs w:val="20"/>
        </w:rPr>
      </w:pPr>
    </w:p>
    <w:p w14:paraId="7FCADDF3" w14:textId="77777777" w:rsidR="00D1587D" w:rsidRDefault="00410D07">
      <w:pPr>
        <w:spacing w:line="259" w:lineRule="auto"/>
        <w:ind w:left="300" w:right="439"/>
        <w:rPr>
          <w:sz w:val="20"/>
          <w:szCs w:val="20"/>
        </w:rPr>
      </w:pPr>
      <w:r>
        <w:rPr>
          <w:rFonts w:ascii="Arial" w:eastAsia="Arial" w:hAnsi="Arial" w:cs="Arial"/>
          <w:sz w:val="18"/>
          <w:szCs w:val="18"/>
        </w:rPr>
        <w:t xml:space="preserve">successfully execute all of these functions during the transition period or we may have to expend significant efforts or costs materially in </w:t>
      </w:r>
      <w:r>
        <w:rPr>
          <w:rFonts w:ascii="Arial" w:eastAsia="Arial" w:hAnsi="Arial" w:cs="Arial"/>
          <w:sz w:val="18"/>
          <w:szCs w:val="18"/>
        </w:rPr>
        <w:t>excess of those estimated under the L Brands to VS Transition Services Agreement. Any interruption in these services could have a material adverse effect on our business, results of operations, financial condition and cash flows.</w:t>
      </w:r>
    </w:p>
    <w:p w14:paraId="24B1A445" w14:textId="77777777" w:rsidR="00D1587D" w:rsidRDefault="00D1587D">
      <w:pPr>
        <w:spacing w:line="79" w:lineRule="exact"/>
        <w:rPr>
          <w:sz w:val="20"/>
          <w:szCs w:val="20"/>
        </w:rPr>
      </w:pPr>
    </w:p>
    <w:p w14:paraId="4DF7C19C" w14:textId="77777777" w:rsidR="00D1587D" w:rsidRDefault="00410D07">
      <w:pPr>
        <w:spacing w:line="289" w:lineRule="auto"/>
        <w:ind w:left="300" w:right="299" w:firstLine="360"/>
        <w:rPr>
          <w:sz w:val="20"/>
          <w:szCs w:val="20"/>
        </w:rPr>
      </w:pPr>
      <w:r>
        <w:rPr>
          <w:rFonts w:ascii="Arial" w:eastAsia="Arial" w:hAnsi="Arial" w:cs="Arial"/>
          <w:sz w:val="16"/>
          <w:szCs w:val="16"/>
        </w:rPr>
        <w:t>In addition, at the end o</w:t>
      </w:r>
      <w:r>
        <w:rPr>
          <w:rFonts w:ascii="Arial" w:eastAsia="Arial" w:hAnsi="Arial" w:cs="Arial"/>
          <w:sz w:val="16"/>
          <w:szCs w:val="16"/>
        </w:rPr>
        <w:t>f this transition period, we will need to perform these functions ourselves or hire third parties to perform these functions on our behalf. The costs associated with performing or outsourcing these functions may exceed the amounts reflected in our historic</w:t>
      </w:r>
      <w:r>
        <w:rPr>
          <w:rFonts w:ascii="Arial" w:eastAsia="Arial" w:hAnsi="Arial" w:cs="Arial"/>
          <w:sz w:val="16"/>
          <w:szCs w:val="16"/>
        </w:rPr>
        <w:t>al combined financial statements that were incurred as a business segment of LB. We expect to incur costs beginning in the second quarter of 2021 to establish the necessary infrastructure and create the systems and services to replace many of the systems a</w:t>
      </w:r>
      <w:r>
        <w:rPr>
          <w:rFonts w:ascii="Arial" w:eastAsia="Arial" w:hAnsi="Arial" w:cs="Arial"/>
          <w:sz w:val="16"/>
          <w:szCs w:val="16"/>
        </w:rPr>
        <w:t>nd services that LB currently provides to us. However, we may not be successful in implementing these systems and services in a timely manner or at all, and we may incur additional costs in connection with, or following, the implementation of these systems</w:t>
      </w:r>
      <w:r>
        <w:rPr>
          <w:rFonts w:ascii="Arial" w:eastAsia="Arial" w:hAnsi="Arial" w:cs="Arial"/>
          <w:sz w:val="16"/>
          <w:szCs w:val="16"/>
        </w:rPr>
        <w:t xml:space="preserve"> and services. A significant increase in the costs of performing or outsourcing these functions could materially and adversely affect our business, results of operations, financial condition and cash flows.</w:t>
      </w:r>
    </w:p>
    <w:p w14:paraId="34CB4FA5" w14:textId="77777777" w:rsidR="00D1587D" w:rsidRDefault="00D1587D">
      <w:pPr>
        <w:spacing w:line="58" w:lineRule="exact"/>
        <w:rPr>
          <w:sz w:val="20"/>
          <w:szCs w:val="20"/>
        </w:rPr>
      </w:pPr>
    </w:p>
    <w:p w14:paraId="76BB3BD6" w14:textId="77777777" w:rsidR="00D1587D" w:rsidRDefault="00410D07">
      <w:pPr>
        <w:spacing w:line="270" w:lineRule="auto"/>
        <w:ind w:left="300" w:right="319" w:firstLine="360"/>
        <w:rPr>
          <w:sz w:val="20"/>
          <w:szCs w:val="20"/>
        </w:rPr>
      </w:pPr>
      <w:r>
        <w:rPr>
          <w:rFonts w:ascii="Arial" w:eastAsia="Arial" w:hAnsi="Arial" w:cs="Arial"/>
          <w:sz w:val="17"/>
          <w:szCs w:val="17"/>
        </w:rPr>
        <w:t>In addition, following the Separation, we will p</w:t>
      </w:r>
      <w:r>
        <w:rPr>
          <w:rFonts w:ascii="Arial" w:eastAsia="Arial" w:hAnsi="Arial" w:cs="Arial"/>
          <w:sz w:val="17"/>
          <w:szCs w:val="17"/>
        </w:rPr>
        <w:t>rovide to LB, on a transitional basis, certain services or functions transferred to us in connection with the Separation that the companies have historically shared, generally for a period of up to two years following the Distribution, other than informati</w:t>
      </w:r>
      <w:r>
        <w:rPr>
          <w:rFonts w:ascii="Arial" w:eastAsia="Arial" w:hAnsi="Arial" w:cs="Arial"/>
          <w:sz w:val="17"/>
          <w:szCs w:val="17"/>
        </w:rPr>
        <w:t>on technology services, which will be provided for a period of up to three years following the Distribution, pursuant to a VS to L Brands Transition Services Agreement that we will enter into with LB. See “The Separation—Agreements with LB—VS to L Brands T</w:t>
      </w:r>
      <w:r>
        <w:rPr>
          <w:rFonts w:ascii="Arial" w:eastAsia="Arial" w:hAnsi="Arial" w:cs="Arial"/>
          <w:sz w:val="17"/>
          <w:szCs w:val="17"/>
        </w:rPr>
        <w:t>ransition Services Agreement.” Performing our obligations under the VS to L Brands Transition Services Agreement may require significant time and resources, and may divert management’s attention from the operation of the Spin Business. LB may also allege t</w:t>
      </w:r>
      <w:r>
        <w:rPr>
          <w:rFonts w:ascii="Arial" w:eastAsia="Arial" w:hAnsi="Arial" w:cs="Arial"/>
          <w:sz w:val="17"/>
          <w:szCs w:val="17"/>
        </w:rPr>
        <w:t>hat we have failed to perform our obligations to LB under the VS to L Brands Transition Services Agreement, which may subject us to claims and liability.</w:t>
      </w:r>
    </w:p>
    <w:p w14:paraId="07F38B37" w14:textId="77777777" w:rsidR="00D1587D" w:rsidRDefault="00D1587D">
      <w:pPr>
        <w:spacing w:line="73" w:lineRule="exact"/>
        <w:rPr>
          <w:sz w:val="20"/>
          <w:szCs w:val="20"/>
        </w:rPr>
      </w:pPr>
    </w:p>
    <w:p w14:paraId="253063DF" w14:textId="77777777" w:rsidR="00D1587D" w:rsidRDefault="00410D07">
      <w:pPr>
        <w:spacing w:line="289" w:lineRule="auto"/>
        <w:ind w:left="300" w:right="379" w:firstLine="360"/>
        <w:rPr>
          <w:sz w:val="20"/>
          <w:szCs w:val="20"/>
        </w:rPr>
      </w:pPr>
      <w:r>
        <w:rPr>
          <w:rFonts w:ascii="Arial" w:eastAsia="Arial" w:hAnsi="Arial" w:cs="Arial"/>
          <w:sz w:val="16"/>
          <w:szCs w:val="16"/>
        </w:rPr>
        <w:t>Furthermore, we may experience certain operational disruptions in connection with the Separation as w</w:t>
      </w:r>
      <w:r>
        <w:rPr>
          <w:rFonts w:ascii="Arial" w:eastAsia="Arial" w:hAnsi="Arial" w:cs="Arial"/>
          <w:sz w:val="16"/>
          <w:szCs w:val="16"/>
        </w:rPr>
        <w:t>e transition to operating as an independent public company, including information technology disruptions as certain data, software, information technology hardware and other information technology assets and systems are transitioned or re-allocated between</w:t>
      </w:r>
      <w:r>
        <w:rPr>
          <w:rFonts w:ascii="Arial" w:eastAsia="Arial" w:hAnsi="Arial" w:cs="Arial"/>
          <w:sz w:val="16"/>
          <w:szCs w:val="16"/>
        </w:rPr>
        <w:t xml:space="preserve"> us and LB, or as we implement new systems or upgrades in connection with such transition. In addition, the efforts related to the separation of the information technology environment will require significant resources that could impact our ability to keep</w:t>
      </w:r>
      <w:r>
        <w:rPr>
          <w:rFonts w:ascii="Arial" w:eastAsia="Arial" w:hAnsi="Arial" w:cs="Arial"/>
          <w:sz w:val="16"/>
          <w:szCs w:val="16"/>
        </w:rPr>
        <w:t xml:space="preserve"> pace with ongoing advancement of information technology needs of the business. Our ability to effectively manage and operate our business depends significantly on information technology systems, and any failure, disruption, interruption, malfunction or ot</w:t>
      </w:r>
      <w:r>
        <w:rPr>
          <w:rFonts w:ascii="Arial" w:eastAsia="Arial" w:hAnsi="Arial" w:cs="Arial"/>
          <w:sz w:val="16"/>
          <w:szCs w:val="16"/>
        </w:rPr>
        <w:t>her issue with respect to such systems could have a material adverse effect on our business and results of operations.</w:t>
      </w:r>
    </w:p>
    <w:p w14:paraId="4C741FE7" w14:textId="77777777" w:rsidR="00D1587D" w:rsidRDefault="00D1587D">
      <w:pPr>
        <w:spacing w:line="315" w:lineRule="exact"/>
        <w:rPr>
          <w:sz w:val="20"/>
          <w:szCs w:val="20"/>
        </w:rPr>
      </w:pPr>
    </w:p>
    <w:p w14:paraId="1DF8BC1C" w14:textId="77777777" w:rsidR="00D1587D" w:rsidRDefault="00410D07">
      <w:pPr>
        <w:spacing w:line="277" w:lineRule="auto"/>
        <w:ind w:left="300" w:right="419" w:firstLine="360"/>
        <w:rPr>
          <w:sz w:val="20"/>
          <w:szCs w:val="20"/>
        </w:rPr>
      </w:pPr>
      <w:r>
        <w:rPr>
          <w:rFonts w:ascii="Arial" w:eastAsia="Arial" w:hAnsi="Arial" w:cs="Arial"/>
          <w:b/>
          <w:bCs/>
          <w:i/>
          <w:iCs/>
          <w:sz w:val="18"/>
          <w:szCs w:val="18"/>
        </w:rPr>
        <w:t>The obligations associated with being a public company will require significant resources and management attention.</w:t>
      </w:r>
    </w:p>
    <w:p w14:paraId="6A5533D1" w14:textId="77777777" w:rsidR="00D1587D" w:rsidRDefault="00D1587D">
      <w:pPr>
        <w:spacing w:line="62" w:lineRule="exact"/>
        <w:rPr>
          <w:sz w:val="20"/>
          <w:szCs w:val="20"/>
        </w:rPr>
      </w:pPr>
    </w:p>
    <w:p w14:paraId="61B1DB39" w14:textId="77777777" w:rsidR="00D1587D" w:rsidRDefault="00410D07">
      <w:pPr>
        <w:spacing w:line="259" w:lineRule="auto"/>
        <w:ind w:left="300" w:right="499" w:firstLine="360"/>
        <w:rPr>
          <w:sz w:val="20"/>
          <w:szCs w:val="20"/>
        </w:rPr>
      </w:pPr>
      <w:r>
        <w:rPr>
          <w:rFonts w:ascii="Arial" w:eastAsia="Arial" w:hAnsi="Arial" w:cs="Arial"/>
          <w:sz w:val="18"/>
          <w:szCs w:val="18"/>
        </w:rPr>
        <w:t>Currently, we are not directly subject to the reporting and other requirements of the Exchange Act. Following the effectiveness of the registration statement of which this information statement forms a part, we will be directly subject to such reporting an</w:t>
      </w:r>
      <w:r>
        <w:rPr>
          <w:rFonts w:ascii="Arial" w:eastAsia="Arial" w:hAnsi="Arial" w:cs="Arial"/>
          <w:sz w:val="18"/>
          <w:szCs w:val="18"/>
        </w:rPr>
        <w:t>d other obligations under the Exchange Act and the rules of the NYSE. As an independent public company, we will be required to, among other things:</w:t>
      </w:r>
    </w:p>
    <w:p w14:paraId="7F341509" w14:textId="77777777" w:rsidR="00D1587D" w:rsidRDefault="00D1587D">
      <w:pPr>
        <w:spacing w:line="79" w:lineRule="exact"/>
        <w:rPr>
          <w:sz w:val="20"/>
          <w:szCs w:val="20"/>
        </w:rPr>
      </w:pPr>
    </w:p>
    <w:p w14:paraId="0C17F9BA" w14:textId="77777777" w:rsidR="00D1587D" w:rsidRDefault="00410D07" w:rsidP="00410D07">
      <w:pPr>
        <w:numPr>
          <w:ilvl w:val="0"/>
          <w:numId w:val="246"/>
        </w:numPr>
        <w:tabs>
          <w:tab w:val="left" w:pos="1000"/>
        </w:tabs>
        <w:spacing w:line="277" w:lineRule="auto"/>
        <w:ind w:left="1000" w:right="919" w:hanging="348"/>
        <w:rPr>
          <w:rFonts w:ascii="Arial" w:eastAsia="Arial" w:hAnsi="Arial" w:cs="Arial"/>
          <w:sz w:val="18"/>
          <w:szCs w:val="18"/>
        </w:rPr>
      </w:pPr>
      <w:r>
        <w:rPr>
          <w:rFonts w:ascii="Arial" w:eastAsia="Arial" w:hAnsi="Arial" w:cs="Arial"/>
          <w:sz w:val="18"/>
          <w:szCs w:val="18"/>
        </w:rPr>
        <w:t xml:space="preserve">Prepare and distribute periodic reports, proxy statements and other stockholder </w:t>
      </w:r>
      <w:r>
        <w:rPr>
          <w:rFonts w:ascii="Arial" w:eastAsia="Arial" w:hAnsi="Arial" w:cs="Arial"/>
          <w:sz w:val="18"/>
          <w:szCs w:val="18"/>
        </w:rPr>
        <w:t>communications in compliance with the federal securities laws and rules;</w:t>
      </w:r>
    </w:p>
    <w:p w14:paraId="0ED40700" w14:textId="77777777" w:rsidR="00D1587D" w:rsidRDefault="00D1587D">
      <w:pPr>
        <w:spacing w:line="62" w:lineRule="exact"/>
        <w:rPr>
          <w:rFonts w:ascii="Arial" w:eastAsia="Arial" w:hAnsi="Arial" w:cs="Arial"/>
          <w:sz w:val="18"/>
          <w:szCs w:val="18"/>
        </w:rPr>
      </w:pPr>
    </w:p>
    <w:p w14:paraId="771D47D7" w14:textId="77777777" w:rsidR="00D1587D" w:rsidRDefault="00410D07" w:rsidP="00410D07">
      <w:pPr>
        <w:numPr>
          <w:ilvl w:val="0"/>
          <w:numId w:val="246"/>
        </w:numPr>
        <w:tabs>
          <w:tab w:val="left" w:pos="1000"/>
        </w:tabs>
        <w:spacing w:line="277" w:lineRule="auto"/>
        <w:ind w:left="1000" w:right="439" w:hanging="348"/>
        <w:rPr>
          <w:rFonts w:ascii="Arial" w:eastAsia="Arial" w:hAnsi="Arial" w:cs="Arial"/>
          <w:sz w:val="18"/>
          <w:szCs w:val="18"/>
        </w:rPr>
      </w:pPr>
      <w:r>
        <w:rPr>
          <w:rFonts w:ascii="Arial" w:eastAsia="Arial" w:hAnsi="Arial" w:cs="Arial"/>
          <w:sz w:val="18"/>
          <w:szCs w:val="18"/>
        </w:rPr>
        <w:t>Have our own Board of Directors and committees thereof, which comply with federal securities laws and rules;</w:t>
      </w:r>
    </w:p>
    <w:p w14:paraId="3959EFD4" w14:textId="77777777" w:rsidR="00D1587D" w:rsidRDefault="00D1587D">
      <w:pPr>
        <w:spacing w:line="62" w:lineRule="exact"/>
        <w:rPr>
          <w:rFonts w:ascii="Arial" w:eastAsia="Arial" w:hAnsi="Arial" w:cs="Arial"/>
          <w:sz w:val="18"/>
          <w:szCs w:val="18"/>
        </w:rPr>
      </w:pPr>
    </w:p>
    <w:p w14:paraId="4A526112" w14:textId="77777777" w:rsidR="00D1587D" w:rsidRDefault="00410D07" w:rsidP="00410D07">
      <w:pPr>
        <w:numPr>
          <w:ilvl w:val="0"/>
          <w:numId w:val="246"/>
        </w:numPr>
        <w:tabs>
          <w:tab w:val="left" w:pos="1000"/>
        </w:tabs>
        <w:ind w:left="1000" w:hanging="348"/>
        <w:rPr>
          <w:rFonts w:ascii="Arial" w:eastAsia="Arial" w:hAnsi="Arial" w:cs="Arial"/>
          <w:sz w:val="18"/>
          <w:szCs w:val="18"/>
        </w:rPr>
      </w:pPr>
      <w:r>
        <w:rPr>
          <w:rFonts w:ascii="Arial" w:eastAsia="Arial" w:hAnsi="Arial" w:cs="Arial"/>
          <w:sz w:val="18"/>
          <w:szCs w:val="18"/>
        </w:rPr>
        <w:t>Maintain an internal audit function;</w:t>
      </w:r>
    </w:p>
    <w:p w14:paraId="5562CD33" w14:textId="77777777" w:rsidR="00D1587D" w:rsidRDefault="00D1587D">
      <w:pPr>
        <w:spacing w:line="117" w:lineRule="exact"/>
        <w:rPr>
          <w:rFonts w:ascii="Arial" w:eastAsia="Arial" w:hAnsi="Arial" w:cs="Arial"/>
          <w:sz w:val="18"/>
          <w:szCs w:val="18"/>
        </w:rPr>
      </w:pPr>
    </w:p>
    <w:p w14:paraId="4A66F950" w14:textId="77777777" w:rsidR="00D1587D" w:rsidRDefault="00410D07" w:rsidP="00410D07">
      <w:pPr>
        <w:numPr>
          <w:ilvl w:val="0"/>
          <w:numId w:val="246"/>
        </w:numPr>
        <w:tabs>
          <w:tab w:val="left" w:pos="1000"/>
        </w:tabs>
        <w:ind w:left="1000" w:hanging="348"/>
        <w:rPr>
          <w:rFonts w:ascii="Arial" w:eastAsia="Arial" w:hAnsi="Arial" w:cs="Arial"/>
          <w:sz w:val="18"/>
          <w:szCs w:val="18"/>
        </w:rPr>
      </w:pPr>
      <w:r>
        <w:rPr>
          <w:rFonts w:ascii="Arial" w:eastAsia="Arial" w:hAnsi="Arial" w:cs="Arial"/>
          <w:sz w:val="18"/>
          <w:szCs w:val="18"/>
        </w:rPr>
        <w:t>Institute our own financial report</w:t>
      </w:r>
      <w:r>
        <w:rPr>
          <w:rFonts w:ascii="Arial" w:eastAsia="Arial" w:hAnsi="Arial" w:cs="Arial"/>
          <w:sz w:val="18"/>
          <w:szCs w:val="18"/>
        </w:rPr>
        <w:t>ing and disclosure compliance functions;</w:t>
      </w:r>
    </w:p>
    <w:p w14:paraId="6B775F75" w14:textId="77777777" w:rsidR="00D1587D" w:rsidRDefault="00D1587D">
      <w:pPr>
        <w:spacing w:line="117" w:lineRule="exact"/>
        <w:rPr>
          <w:rFonts w:ascii="Arial" w:eastAsia="Arial" w:hAnsi="Arial" w:cs="Arial"/>
          <w:sz w:val="18"/>
          <w:szCs w:val="18"/>
        </w:rPr>
      </w:pPr>
    </w:p>
    <w:p w14:paraId="5D95ECD6" w14:textId="77777777" w:rsidR="00D1587D" w:rsidRDefault="00410D07" w:rsidP="00410D07">
      <w:pPr>
        <w:numPr>
          <w:ilvl w:val="0"/>
          <w:numId w:val="246"/>
        </w:numPr>
        <w:tabs>
          <w:tab w:val="left" w:pos="1000"/>
        </w:tabs>
        <w:ind w:left="1000" w:hanging="348"/>
        <w:rPr>
          <w:rFonts w:ascii="Arial" w:eastAsia="Arial" w:hAnsi="Arial" w:cs="Arial"/>
          <w:sz w:val="18"/>
          <w:szCs w:val="18"/>
        </w:rPr>
      </w:pPr>
      <w:r>
        <w:rPr>
          <w:rFonts w:ascii="Arial" w:eastAsia="Arial" w:hAnsi="Arial" w:cs="Arial"/>
          <w:sz w:val="18"/>
          <w:szCs w:val="18"/>
        </w:rPr>
        <w:t>Establish an investor relations function;</w:t>
      </w:r>
    </w:p>
    <w:p w14:paraId="5BABA5C8" w14:textId="77777777" w:rsidR="00D1587D" w:rsidRDefault="00D1587D">
      <w:pPr>
        <w:spacing w:line="117" w:lineRule="exact"/>
        <w:rPr>
          <w:rFonts w:ascii="Arial" w:eastAsia="Arial" w:hAnsi="Arial" w:cs="Arial"/>
          <w:sz w:val="18"/>
          <w:szCs w:val="18"/>
        </w:rPr>
      </w:pPr>
    </w:p>
    <w:p w14:paraId="6303D3E7" w14:textId="77777777" w:rsidR="00D1587D" w:rsidRDefault="00410D07" w:rsidP="00410D07">
      <w:pPr>
        <w:numPr>
          <w:ilvl w:val="0"/>
          <w:numId w:val="246"/>
        </w:numPr>
        <w:tabs>
          <w:tab w:val="left" w:pos="1000"/>
        </w:tabs>
        <w:spacing w:line="277" w:lineRule="auto"/>
        <w:ind w:left="1000" w:right="419" w:hanging="348"/>
        <w:rPr>
          <w:rFonts w:ascii="Arial" w:eastAsia="Arial" w:hAnsi="Arial" w:cs="Arial"/>
          <w:sz w:val="18"/>
          <w:szCs w:val="18"/>
        </w:rPr>
      </w:pPr>
      <w:r>
        <w:rPr>
          <w:rFonts w:ascii="Arial" w:eastAsia="Arial" w:hAnsi="Arial" w:cs="Arial"/>
          <w:sz w:val="18"/>
          <w:szCs w:val="18"/>
        </w:rPr>
        <w:t>Establish internal policies, including those relating to trading in our securities and disclosure controls and procedures; and</w:t>
      </w:r>
    </w:p>
    <w:p w14:paraId="24E5347D" w14:textId="77777777" w:rsidR="00D1587D" w:rsidRDefault="00D1587D">
      <w:pPr>
        <w:spacing w:line="62" w:lineRule="exact"/>
        <w:rPr>
          <w:rFonts w:ascii="Arial" w:eastAsia="Arial" w:hAnsi="Arial" w:cs="Arial"/>
          <w:sz w:val="18"/>
          <w:szCs w:val="18"/>
        </w:rPr>
      </w:pPr>
    </w:p>
    <w:p w14:paraId="081B64A6" w14:textId="77777777" w:rsidR="00D1587D" w:rsidRDefault="00410D07" w:rsidP="00410D07">
      <w:pPr>
        <w:numPr>
          <w:ilvl w:val="0"/>
          <w:numId w:val="246"/>
        </w:numPr>
        <w:tabs>
          <w:tab w:val="left" w:pos="1000"/>
        </w:tabs>
        <w:spacing w:line="277" w:lineRule="auto"/>
        <w:ind w:left="1000" w:right="379" w:hanging="348"/>
        <w:rPr>
          <w:rFonts w:ascii="Arial" w:eastAsia="Arial" w:hAnsi="Arial" w:cs="Arial"/>
          <w:sz w:val="18"/>
          <w:szCs w:val="18"/>
        </w:rPr>
      </w:pPr>
      <w:r>
        <w:rPr>
          <w:rFonts w:ascii="Arial" w:eastAsia="Arial" w:hAnsi="Arial" w:cs="Arial"/>
          <w:sz w:val="18"/>
          <w:szCs w:val="18"/>
        </w:rPr>
        <w:t xml:space="preserve">Comply with the rules and </w:t>
      </w:r>
      <w:r>
        <w:rPr>
          <w:rFonts w:ascii="Arial" w:eastAsia="Arial" w:hAnsi="Arial" w:cs="Arial"/>
          <w:sz w:val="18"/>
          <w:szCs w:val="18"/>
        </w:rPr>
        <w:t>regulations implemented by the SEC, the Sarbanes-Oxley Act, the Dodd-Frank Act, the Public Company Accounting Oversight Board and the NYSE.</w:t>
      </w:r>
    </w:p>
    <w:p w14:paraId="1DF0E17D" w14:textId="77777777" w:rsidR="00D1587D" w:rsidRDefault="00D1587D">
      <w:pPr>
        <w:spacing w:line="170" w:lineRule="exact"/>
        <w:rPr>
          <w:sz w:val="20"/>
          <w:szCs w:val="20"/>
        </w:rPr>
      </w:pPr>
    </w:p>
    <w:p w14:paraId="3D074031" w14:textId="77777777" w:rsidR="00D1587D" w:rsidRDefault="00410D07">
      <w:pPr>
        <w:jc w:val="center"/>
        <w:rPr>
          <w:sz w:val="20"/>
          <w:szCs w:val="20"/>
        </w:rPr>
      </w:pPr>
      <w:r>
        <w:rPr>
          <w:rFonts w:ascii="Arial" w:eastAsia="Arial" w:hAnsi="Arial" w:cs="Arial"/>
          <w:sz w:val="18"/>
          <w:szCs w:val="18"/>
        </w:rPr>
        <w:t>19</w:t>
      </w:r>
    </w:p>
    <w:p w14:paraId="5A367217" w14:textId="77777777" w:rsidR="00D1587D" w:rsidRDefault="00410D07">
      <w:pPr>
        <w:spacing w:line="20" w:lineRule="exact"/>
        <w:rPr>
          <w:sz w:val="20"/>
          <w:szCs w:val="20"/>
        </w:rPr>
      </w:pPr>
      <w:r>
        <w:rPr>
          <w:noProof/>
          <w:sz w:val="20"/>
          <w:szCs w:val="20"/>
        </w:rPr>
        <w:drawing>
          <wp:anchor distT="0" distB="0" distL="114300" distR="114300" simplePos="0" relativeHeight="251461632" behindDoc="1" locked="0" layoutInCell="0" allowOverlap="1" wp14:anchorId="2C58DE2A" wp14:editId="684FCA1F">
            <wp:simplePos x="0" y="0"/>
            <wp:positionH relativeFrom="column">
              <wp:posOffset>-636905</wp:posOffset>
            </wp:positionH>
            <wp:positionV relativeFrom="paragraph">
              <wp:posOffset>126365</wp:posOffset>
            </wp:positionV>
            <wp:extent cx="6995160" cy="1714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5C3B179" w14:textId="77777777" w:rsidR="00D1587D" w:rsidRDefault="00D1587D">
      <w:pPr>
        <w:sectPr w:rsidR="00D1587D">
          <w:pgSz w:w="11900" w:h="16838"/>
          <w:pgMar w:top="265" w:right="1440" w:bottom="1440" w:left="1440" w:header="0" w:footer="0" w:gutter="0"/>
          <w:cols w:space="720" w:equalWidth="0">
            <w:col w:w="9019"/>
          </w:cols>
        </w:sectPr>
      </w:pPr>
    </w:p>
    <w:bookmarkStart w:id="277" w:name="page278"/>
    <w:bookmarkEnd w:id="277"/>
    <w:p w14:paraId="6F7C55F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FFB7519" w14:textId="77777777" w:rsidR="00D1587D" w:rsidRDefault="00D1587D">
      <w:pPr>
        <w:spacing w:line="131" w:lineRule="exact"/>
        <w:rPr>
          <w:sz w:val="20"/>
          <w:szCs w:val="20"/>
        </w:rPr>
      </w:pPr>
    </w:p>
    <w:p w14:paraId="3CC7FDC0" w14:textId="77777777" w:rsidR="00D1587D" w:rsidRDefault="00410D07">
      <w:pPr>
        <w:spacing w:line="272" w:lineRule="auto"/>
        <w:ind w:left="300" w:right="399" w:firstLine="360"/>
        <w:rPr>
          <w:sz w:val="20"/>
          <w:szCs w:val="20"/>
        </w:rPr>
      </w:pPr>
      <w:r>
        <w:rPr>
          <w:rFonts w:ascii="Arial" w:eastAsia="Arial" w:hAnsi="Arial" w:cs="Arial"/>
          <w:sz w:val="17"/>
          <w:szCs w:val="17"/>
        </w:rPr>
        <w:t>These reporting and other obligations will pl</w:t>
      </w:r>
      <w:r>
        <w:rPr>
          <w:rFonts w:ascii="Arial" w:eastAsia="Arial" w:hAnsi="Arial" w:cs="Arial"/>
          <w:sz w:val="17"/>
          <w:szCs w:val="17"/>
        </w:rPr>
        <w:t>ace significant demands on our management and our administrative and operational resources, including accounting resources, and we expect to face increased legal, accounting, administrative and other costs and expenses relating to these demands that we had</w:t>
      </w:r>
      <w:r>
        <w:rPr>
          <w:rFonts w:ascii="Arial" w:eastAsia="Arial" w:hAnsi="Arial" w:cs="Arial"/>
          <w:sz w:val="17"/>
          <w:szCs w:val="17"/>
        </w:rPr>
        <w:t xml:space="preserve"> not incurred as a segment of LB. Our investment in compliance with existing and evolving regulatory requirements will result in increased administrative expenses and a diversion of management’s time and attention from revenue-generating activities to comp</w:t>
      </w:r>
      <w:r>
        <w:rPr>
          <w:rFonts w:ascii="Arial" w:eastAsia="Arial" w:hAnsi="Arial" w:cs="Arial"/>
          <w:sz w:val="17"/>
          <w:szCs w:val="17"/>
        </w:rPr>
        <w:t>liance activities, which could have a material adverse effect on our business, results of operations, financial condition and cash flows.</w:t>
      </w:r>
    </w:p>
    <w:p w14:paraId="5F5E7508" w14:textId="77777777" w:rsidR="00D1587D" w:rsidRDefault="00D1587D">
      <w:pPr>
        <w:spacing w:line="177" w:lineRule="exact"/>
        <w:rPr>
          <w:sz w:val="20"/>
          <w:szCs w:val="20"/>
        </w:rPr>
      </w:pPr>
    </w:p>
    <w:p w14:paraId="45BC9C48" w14:textId="77777777" w:rsidR="00D1587D" w:rsidRDefault="00410D07">
      <w:pPr>
        <w:spacing w:line="263" w:lineRule="auto"/>
        <w:ind w:left="300" w:right="299" w:firstLine="360"/>
        <w:rPr>
          <w:sz w:val="20"/>
          <w:szCs w:val="20"/>
        </w:rPr>
      </w:pPr>
      <w:r>
        <w:rPr>
          <w:rFonts w:ascii="Arial" w:eastAsia="Arial" w:hAnsi="Arial" w:cs="Arial"/>
          <w:b/>
          <w:bCs/>
          <w:i/>
          <w:iCs/>
          <w:sz w:val="18"/>
          <w:szCs w:val="18"/>
        </w:rPr>
        <w:t xml:space="preserve">If we fail to maintain effective internal controls, we may not be able to report our financial results accurately or </w:t>
      </w:r>
      <w:r>
        <w:rPr>
          <w:rFonts w:ascii="Arial" w:eastAsia="Arial" w:hAnsi="Arial" w:cs="Arial"/>
          <w:b/>
          <w:bCs/>
          <w:i/>
          <w:iCs/>
          <w:sz w:val="18"/>
          <w:szCs w:val="18"/>
        </w:rPr>
        <w:t>timely or prevent or detect fraud, which could have a material adverse effect on our business or the market price of our securities.</w:t>
      </w:r>
    </w:p>
    <w:p w14:paraId="6FC450F7" w14:textId="77777777" w:rsidR="00D1587D" w:rsidRDefault="00D1587D">
      <w:pPr>
        <w:spacing w:line="76" w:lineRule="exact"/>
        <w:rPr>
          <w:sz w:val="20"/>
          <w:szCs w:val="20"/>
        </w:rPr>
      </w:pPr>
    </w:p>
    <w:p w14:paraId="596319A0" w14:textId="77777777" w:rsidR="00D1587D" w:rsidRDefault="00410D07">
      <w:pPr>
        <w:spacing w:line="285" w:lineRule="auto"/>
        <w:ind w:left="300" w:right="319" w:firstLine="360"/>
        <w:rPr>
          <w:sz w:val="20"/>
          <w:szCs w:val="20"/>
        </w:rPr>
      </w:pPr>
      <w:r>
        <w:rPr>
          <w:rFonts w:ascii="Arial" w:eastAsia="Arial" w:hAnsi="Arial" w:cs="Arial"/>
          <w:sz w:val="16"/>
          <w:szCs w:val="16"/>
        </w:rPr>
        <w:t xml:space="preserve">In accordance with Section 404 of the Sarbanes-Oxley Act, our management will be required to conduct an annual assessment </w:t>
      </w:r>
      <w:r>
        <w:rPr>
          <w:rFonts w:ascii="Arial" w:eastAsia="Arial" w:hAnsi="Arial" w:cs="Arial"/>
          <w:sz w:val="16"/>
          <w:szCs w:val="16"/>
        </w:rPr>
        <w:t>of the effectiveness of our internal control over financial reporting and include a report on these internal controls in the annual reports we will file with the SEC on Form 10-K. Our independent registered public accounting firm may not be required to for</w:t>
      </w:r>
      <w:r>
        <w:rPr>
          <w:rFonts w:ascii="Arial" w:eastAsia="Arial" w:hAnsi="Arial" w:cs="Arial"/>
          <w:sz w:val="16"/>
          <w:szCs w:val="16"/>
        </w:rPr>
        <w:t>mally attest to the effectiveness of our internal controls until the year following the first annual report required to be filed with the SEC. When required, this process will require significant documentation of policies, procedures and systems, review of</w:t>
      </w:r>
      <w:r>
        <w:rPr>
          <w:rFonts w:ascii="Arial" w:eastAsia="Arial" w:hAnsi="Arial" w:cs="Arial"/>
          <w:sz w:val="16"/>
          <w:szCs w:val="16"/>
        </w:rPr>
        <w:t xml:space="preserve"> that documentation by our internal auditing and accounting staff and our outside independent registered public accounting firm, and testing of our internal controls over financial reporting by our internal auditing and accounting staff and our outside ind</w:t>
      </w:r>
      <w:r>
        <w:rPr>
          <w:rFonts w:ascii="Arial" w:eastAsia="Arial" w:hAnsi="Arial" w:cs="Arial"/>
          <w:sz w:val="16"/>
          <w:szCs w:val="16"/>
        </w:rPr>
        <w:t>ependent registered public accounting firm. This process will involve considerable time and attention, may strain our internal resources, and will increase our operating costs. We may experience higher than anticipated operating expenses and outside audito</w:t>
      </w:r>
      <w:r>
        <w:rPr>
          <w:rFonts w:ascii="Arial" w:eastAsia="Arial" w:hAnsi="Arial" w:cs="Arial"/>
          <w:sz w:val="16"/>
          <w:szCs w:val="16"/>
        </w:rPr>
        <w:t>r fees during the implementation of these changes and thereafter. If management or our independent registered public accounting firm determines that our internal control over financial reporting is not effective, investors may lose confidence in the accura</w:t>
      </w:r>
      <w:r>
        <w:rPr>
          <w:rFonts w:ascii="Arial" w:eastAsia="Arial" w:hAnsi="Arial" w:cs="Arial"/>
          <w:sz w:val="16"/>
          <w:szCs w:val="16"/>
        </w:rPr>
        <w:t>cy and completeness of our financial reports and the market price of our common stock could be negatively affected, and we could become subject to investigations by the NYSE, the SEC or other regulatory authorities, which could require additional financial</w:t>
      </w:r>
      <w:r>
        <w:rPr>
          <w:rFonts w:ascii="Arial" w:eastAsia="Arial" w:hAnsi="Arial" w:cs="Arial"/>
          <w:sz w:val="16"/>
          <w:szCs w:val="16"/>
        </w:rPr>
        <w:t xml:space="preserve"> and management resources. In addition, if our controls are not effective, our ability to accurately and timely report our financial position could be impaired, which could result in late filings of our annual and quarterly reports under the Exchange Act, </w:t>
      </w:r>
      <w:r>
        <w:rPr>
          <w:rFonts w:ascii="Arial" w:eastAsia="Arial" w:hAnsi="Arial" w:cs="Arial"/>
          <w:sz w:val="16"/>
          <w:szCs w:val="16"/>
        </w:rPr>
        <w:t>restatements of our combined financial statements, a decline in our stock price, or suspension or delisting of our common stock from the NYSE, and could have a material adverse effect on our business, financial condition, prospects and results of operation</w:t>
      </w:r>
      <w:r>
        <w:rPr>
          <w:rFonts w:ascii="Arial" w:eastAsia="Arial" w:hAnsi="Arial" w:cs="Arial"/>
          <w:sz w:val="16"/>
          <w:szCs w:val="16"/>
        </w:rPr>
        <w:t>s.</w:t>
      </w:r>
    </w:p>
    <w:p w14:paraId="49DAFFBE" w14:textId="77777777" w:rsidR="00D1587D" w:rsidRDefault="00D1587D">
      <w:pPr>
        <w:spacing w:line="169" w:lineRule="exact"/>
        <w:rPr>
          <w:sz w:val="20"/>
          <w:szCs w:val="20"/>
        </w:rPr>
      </w:pPr>
    </w:p>
    <w:p w14:paraId="7191F616" w14:textId="77777777" w:rsidR="00D1587D" w:rsidRDefault="00410D07">
      <w:pPr>
        <w:spacing w:line="277" w:lineRule="auto"/>
        <w:ind w:left="300" w:right="819" w:firstLine="360"/>
        <w:rPr>
          <w:sz w:val="20"/>
          <w:szCs w:val="20"/>
        </w:rPr>
      </w:pPr>
      <w:r>
        <w:rPr>
          <w:rFonts w:ascii="Arial" w:eastAsia="Arial" w:hAnsi="Arial" w:cs="Arial"/>
          <w:b/>
          <w:bCs/>
          <w:i/>
          <w:iCs/>
          <w:sz w:val="18"/>
          <w:szCs w:val="18"/>
        </w:rPr>
        <w:t>Until the Distribution occurs, the LB Board of Directors has sole discretion to change the terms of the Separation in ways that may be unfavorable to us.</w:t>
      </w:r>
    </w:p>
    <w:p w14:paraId="079A9093" w14:textId="77777777" w:rsidR="00D1587D" w:rsidRDefault="00D1587D">
      <w:pPr>
        <w:spacing w:line="62" w:lineRule="exact"/>
        <w:rPr>
          <w:sz w:val="20"/>
          <w:szCs w:val="20"/>
        </w:rPr>
      </w:pPr>
    </w:p>
    <w:p w14:paraId="4FA8FE24" w14:textId="77777777" w:rsidR="00D1587D" w:rsidRDefault="00410D07">
      <w:pPr>
        <w:spacing w:line="293" w:lineRule="auto"/>
        <w:ind w:left="300" w:right="339" w:firstLine="360"/>
        <w:rPr>
          <w:sz w:val="20"/>
          <w:szCs w:val="20"/>
        </w:rPr>
      </w:pPr>
      <w:r>
        <w:rPr>
          <w:rFonts w:ascii="Arial" w:eastAsia="Arial" w:hAnsi="Arial" w:cs="Arial"/>
          <w:sz w:val="16"/>
          <w:szCs w:val="16"/>
        </w:rPr>
        <w:t xml:space="preserve">Until the Distribution occurs, VS’s business will be a business segment of LB. </w:t>
      </w:r>
      <w:r>
        <w:rPr>
          <w:rFonts w:ascii="Arial" w:eastAsia="Arial" w:hAnsi="Arial" w:cs="Arial"/>
          <w:sz w:val="16"/>
          <w:szCs w:val="16"/>
        </w:rPr>
        <w:t>Completion of the Separation remains subject to the satisfaction or waiver of certain conditions, some of which are in the sole and absolute discretion of LB, including final approval by the LB Board of Directors. Additionally, LB has the sole and absolute</w:t>
      </w:r>
      <w:r>
        <w:rPr>
          <w:rFonts w:ascii="Arial" w:eastAsia="Arial" w:hAnsi="Arial" w:cs="Arial"/>
          <w:sz w:val="16"/>
          <w:szCs w:val="16"/>
        </w:rPr>
        <w:t xml:space="preserve"> discretion to change certain terms of the Separation, including the amount of any payment we make to LB, the amount of our indebtedness and the allocation of contingent liabilities, which changes could be unfavorable to us. In addition, LB may decide at a</w:t>
      </w:r>
      <w:r>
        <w:rPr>
          <w:rFonts w:ascii="Arial" w:eastAsia="Arial" w:hAnsi="Arial" w:cs="Arial"/>
          <w:sz w:val="16"/>
          <w:szCs w:val="16"/>
        </w:rPr>
        <w:t>ny time prior to the completion of the Separation not to proceed with the Separation.</w:t>
      </w:r>
    </w:p>
    <w:p w14:paraId="212A8166" w14:textId="77777777" w:rsidR="00D1587D" w:rsidRDefault="00D1587D">
      <w:pPr>
        <w:spacing w:line="164" w:lineRule="exact"/>
        <w:rPr>
          <w:sz w:val="20"/>
          <w:szCs w:val="20"/>
        </w:rPr>
      </w:pPr>
    </w:p>
    <w:p w14:paraId="76B2E31E" w14:textId="77777777" w:rsidR="00D1587D" w:rsidRDefault="00410D07">
      <w:pPr>
        <w:spacing w:line="296" w:lineRule="auto"/>
        <w:ind w:left="300" w:right="419" w:firstLine="360"/>
        <w:rPr>
          <w:sz w:val="20"/>
          <w:szCs w:val="20"/>
        </w:rPr>
      </w:pPr>
      <w:r>
        <w:rPr>
          <w:rFonts w:ascii="Arial" w:eastAsia="Arial" w:hAnsi="Arial" w:cs="Arial"/>
          <w:b/>
          <w:bCs/>
          <w:i/>
          <w:iCs/>
          <w:sz w:val="16"/>
          <w:szCs w:val="16"/>
        </w:rPr>
        <w:t>In connection with the Separation, LB will indemnify us for certain liabilities and we will indemnify LB for certain liabilities. If we are required to act under these i</w:t>
      </w:r>
      <w:r>
        <w:rPr>
          <w:rFonts w:ascii="Arial" w:eastAsia="Arial" w:hAnsi="Arial" w:cs="Arial"/>
          <w:b/>
          <w:bCs/>
          <w:i/>
          <w:iCs/>
          <w:sz w:val="16"/>
          <w:szCs w:val="16"/>
        </w:rPr>
        <w:t xml:space="preserve">ndemnities to LB, we may need to divert cash to meet those obligations, which could adversely affect our financial results. Moreover, the LB indemnity may not be sufficient to insure us against the full amount of liabilities for which it will be allocated </w:t>
      </w:r>
      <w:r>
        <w:rPr>
          <w:rFonts w:ascii="Arial" w:eastAsia="Arial" w:hAnsi="Arial" w:cs="Arial"/>
          <w:b/>
          <w:bCs/>
          <w:i/>
          <w:iCs/>
          <w:sz w:val="16"/>
          <w:szCs w:val="16"/>
        </w:rPr>
        <w:t>responsibility, and LB may not be able to satisfy its indemnification obligations to us in the future.</w:t>
      </w:r>
    </w:p>
    <w:p w14:paraId="47BFF786" w14:textId="77777777" w:rsidR="00D1587D" w:rsidRDefault="00D1587D">
      <w:pPr>
        <w:spacing w:line="53" w:lineRule="exact"/>
        <w:rPr>
          <w:sz w:val="20"/>
          <w:szCs w:val="20"/>
        </w:rPr>
      </w:pPr>
    </w:p>
    <w:p w14:paraId="2A87B2D0" w14:textId="77777777" w:rsidR="00D1587D" w:rsidRDefault="00410D07">
      <w:pPr>
        <w:spacing w:line="290" w:lineRule="auto"/>
        <w:ind w:left="300" w:right="379" w:firstLine="360"/>
        <w:rPr>
          <w:sz w:val="20"/>
          <w:szCs w:val="20"/>
        </w:rPr>
      </w:pPr>
      <w:r>
        <w:rPr>
          <w:rFonts w:ascii="Arial" w:eastAsia="Arial" w:hAnsi="Arial" w:cs="Arial"/>
          <w:sz w:val="16"/>
          <w:szCs w:val="16"/>
        </w:rPr>
        <w:t>Pursuant to the Separation and Distribution Agreement and other agreements with LB, LB will agree to indemnify us for certain liabilities, and we will a</w:t>
      </w:r>
      <w:r>
        <w:rPr>
          <w:rFonts w:ascii="Arial" w:eastAsia="Arial" w:hAnsi="Arial" w:cs="Arial"/>
          <w:sz w:val="16"/>
          <w:szCs w:val="16"/>
        </w:rPr>
        <w:t>gree to indemnify LB for certain liabilities, as discussed further in “The Separation—Agreements with LB.” In addition, we will be required to reimburse LB for any payments made by LB or any of its subsidiaries for any liabilities arising out of their obli</w:t>
      </w:r>
      <w:r>
        <w:rPr>
          <w:rFonts w:ascii="Arial" w:eastAsia="Arial" w:hAnsi="Arial" w:cs="Arial"/>
          <w:sz w:val="16"/>
          <w:szCs w:val="16"/>
        </w:rPr>
        <w:t>gations under guarantees provided by them for our benefit to third parties with respect to certain of our contractual obligations, if such guarantees are not removed or replaced by the time of the Separation. Payments that we may be required to provide und</w:t>
      </w:r>
      <w:r>
        <w:rPr>
          <w:rFonts w:ascii="Arial" w:eastAsia="Arial" w:hAnsi="Arial" w:cs="Arial"/>
          <w:sz w:val="16"/>
          <w:szCs w:val="16"/>
        </w:rPr>
        <w:t>er indemnities and reimbursements to LB are not subject to any cap, may be significant and could negatively affect our business, particularly under indemnities relating to our actions that could affect the tax-free nature of the</w:t>
      </w:r>
    </w:p>
    <w:p w14:paraId="32E394F4" w14:textId="77777777" w:rsidR="00D1587D" w:rsidRDefault="00D1587D">
      <w:pPr>
        <w:spacing w:line="165" w:lineRule="exact"/>
        <w:rPr>
          <w:sz w:val="20"/>
          <w:szCs w:val="20"/>
        </w:rPr>
      </w:pPr>
    </w:p>
    <w:p w14:paraId="5FD621BD" w14:textId="77777777" w:rsidR="00D1587D" w:rsidRDefault="00410D07">
      <w:pPr>
        <w:jc w:val="center"/>
        <w:rPr>
          <w:sz w:val="20"/>
          <w:szCs w:val="20"/>
        </w:rPr>
      </w:pPr>
      <w:r>
        <w:rPr>
          <w:rFonts w:ascii="Arial" w:eastAsia="Arial" w:hAnsi="Arial" w:cs="Arial"/>
          <w:sz w:val="18"/>
          <w:szCs w:val="18"/>
        </w:rPr>
        <w:t>20</w:t>
      </w:r>
    </w:p>
    <w:p w14:paraId="34D94C58" w14:textId="77777777" w:rsidR="00D1587D" w:rsidRDefault="00410D07">
      <w:pPr>
        <w:spacing w:line="20" w:lineRule="exact"/>
        <w:rPr>
          <w:sz w:val="20"/>
          <w:szCs w:val="20"/>
        </w:rPr>
      </w:pPr>
      <w:r>
        <w:rPr>
          <w:noProof/>
          <w:sz w:val="20"/>
          <w:szCs w:val="20"/>
        </w:rPr>
        <w:drawing>
          <wp:anchor distT="0" distB="0" distL="114300" distR="114300" simplePos="0" relativeHeight="251462656" behindDoc="1" locked="0" layoutInCell="0" allowOverlap="1" wp14:anchorId="5809F16F" wp14:editId="108017ED">
            <wp:simplePos x="0" y="0"/>
            <wp:positionH relativeFrom="column">
              <wp:posOffset>-636905</wp:posOffset>
            </wp:positionH>
            <wp:positionV relativeFrom="paragraph">
              <wp:posOffset>134620</wp:posOffset>
            </wp:positionV>
            <wp:extent cx="6995160" cy="1714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F52890A" w14:textId="77777777" w:rsidR="00D1587D" w:rsidRDefault="00D1587D">
      <w:pPr>
        <w:sectPr w:rsidR="00D1587D">
          <w:pgSz w:w="11900" w:h="16838"/>
          <w:pgMar w:top="265" w:right="1440" w:bottom="1440" w:left="1440" w:header="0" w:footer="0" w:gutter="0"/>
          <w:cols w:space="720" w:equalWidth="0">
            <w:col w:w="9019"/>
          </w:cols>
        </w:sectPr>
      </w:pPr>
    </w:p>
    <w:bookmarkStart w:id="278" w:name="page279"/>
    <w:bookmarkEnd w:id="278"/>
    <w:p w14:paraId="6C5FF988" w14:textId="77777777" w:rsidR="00D1587D" w:rsidRDefault="00410D07">
      <w:pPr>
        <w:ind w:left="300"/>
        <w:rPr>
          <w:rFonts w:ascii="Arial" w:eastAsia="Arial" w:hAnsi="Arial" w:cs="Arial"/>
          <w:b/>
          <w:bCs/>
          <w:color w:val="0000EE"/>
          <w:sz w:val="14"/>
          <w:szCs w:val="14"/>
          <w:u w:val="single"/>
        </w:rPr>
      </w:pPr>
      <w:r>
        <w:fldChar w:fldCharType="begin"/>
      </w:r>
      <w:r>
        <w:instrText xml:space="preserve"> HY</w:instrText>
      </w:r>
      <w:r>
        <w:instrText xml:space="preserve">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8F4B963" w14:textId="77777777" w:rsidR="00D1587D" w:rsidRDefault="00D1587D">
      <w:pPr>
        <w:spacing w:line="131" w:lineRule="exact"/>
        <w:rPr>
          <w:sz w:val="20"/>
          <w:szCs w:val="20"/>
        </w:rPr>
      </w:pPr>
    </w:p>
    <w:p w14:paraId="1F78E2DC" w14:textId="77777777" w:rsidR="00D1587D" w:rsidRDefault="00410D07">
      <w:pPr>
        <w:spacing w:line="290" w:lineRule="auto"/>
        <w:ind w:left="300" w:right="319"/>
        <w:rPr>
          <w:sz w:val="20"/>
          <w:szCs w:val="20"/>
        </w:rPr>
      </w:pPr>
      <w:r>
        <w:rPr>
          <w:rFonts w:ascii="Arial" w:eastAsia="Arial" w:hAnsi="Arial" w:cs="Arial"/>
          <w:sz w:val="16"/>
          <w:szCs w:val="16"/>
        </w:rPr>
        <w:t>Separation. Third parties could also seek to hold us responsible for the liabilities that LB has agreed to retain, and under certain circumstances, we may be subject to continuing contingent liabilities of LB fol</w:t>
      </w:r>
      <w:r>
        <w:rPr>
          <w:rFonts w:ascii="Arial" w:eastAsia="Arial" w:hAnsi="Arial" w:cs="Arial"/>
          <w:sz w:val="16"/>
          <w:szCs w:val="16"/>
        </w:rPr>
        <w:t>lowing the Separation that arise relating to the operations of the Spin Business during the time that it was a business segment of LB prior to the Separation, such as certain tax liabilities which relate to periods during which taxes of the Spin Business w</w:t>
      </w:r>
      <w:r>
        <w:rPr>
          <w:rFonts w:ascii="Arial" w:eastAsia="Arial" w:hAnsi="Arial" w:cs="Arial"/>
          <w:sz w:val="16"/>
          <w:szCs w:val="16"/>
        </w:rPr>
        <w:t>ere reported as a part of LB; certain liabilities retained by LB which relate to contracts or other obligations entered into jointly by the Spin Business and LB’s retained business; certain environmental liabilities related to sites at which both LB and th</w:t>
      </w:r>
      <w:r>
        <w:rPr>
          <w:rFonts w:ascii="Arial" w:eastAsia="Arial" w:hAnsi="Arial" w:cs="Arial"/>
          <w:sz w:val="16"/>
          <w:szCs w:val="16"/>
        </w:rPr>
        <w:t>e Spin Business operated; and certain liabilities arising from third-party claims in respect of contracts in which both LB and the Spin Business supply goods or provide services.</w:t>
      </w:r>
    </w:p>
    <w:p w14:paraId="7BA3C7DE" w14:textId="77777777" w:rsidR="00D1587D" w:rsidRDefault="00D1587D">
      <w:pPr>
        <w:spacing w:line="57" w:lineRule="exact"/>
        <w:rPr>
          <w:sz w:val="20"/>
          <w:szCs w:val="20"/>
        </w:rPr>
      </w:pPr>
    </w:p>
    <w:p w14:paraId="55378775" w14:textId="77777777" w:rsidR="00D1587D" w:rsidRDefault="00410D07">
      <w:pPr>
        <w:spacing w:line="254" w:lineRule="auto"/>
        <w:ind w:left="300" w:right="299" w:firstLine="360"/>
        <w:rPr>
          <w:sz w:val="20"/>
          <w:szCs w:val="20"/>
        </w:rPr>
      </w:pPr>
      <w:r>
        <w:rPr>
          <w:rFonts w:ascii="Arial" w:eastAsia="Arial" w:hAnsi="Arial" w:cs="Arial"/>
          <w:sz w:val="18"/>
          <w:szCs w:val="18"/>
        </w:rPr>
        <w:t xml:space="preserve">LB has agreed to indemnify us for such contingent liabilities. While we </w:t>
      </w:r>
      <w:r>
        <w:rPr>
          <w:rFonts w:ascii="Arial" w:eastAsia="Arial" w:hAnsi="Arial" w:cs="Arial"/>
          <w:sz w:val="18"/>
          <w:szCs w:val="18"/>
        </w:rPr>
        <w:t>have no reason to expect that LB will not be able to support its indemnification obligations to us, we can provide no assurance that LB will be able to fully satisfy its indemnification obligations or that such indemnity obligations will be sufficient to c</w:t>
      </w:r>
      <w:r>
        <w:rPr>
          <w:rFonts w:ascii="Arial" w:eastAsia="Arial" w:hAnsi="Arial" w:cs="Arial"/>
          <w:sz w:val="18"/>
          <w:szCs w:val="18"/>
        </w:rPr>
        <w:t>over our liabilities for matters which LB has agreed to retain, including such contingent liabilities. Moreover, even if we ultimately succeed in recovering from LB any amounts for which we are indemnified, we may be temporarily required to bear these loss</w:t>
      </w:r>
      <w:r>
        <w:rPr>
          <w:rFonts w:ascii="Arial" w:eastAsia="Arial" w:hAnsi="Arial" w:cs="Arial"/>
          <w:sz w:val="18"/>
          <w:szCs w:val="18"/>
        </w:rPr>
        <w:t>es ourselves. Each of these risks could have a material adverse effect on our business, results of operations and financial condition.</w:t>
      </w:r>
    </w:p>
    <w:p w14:paraId="4E547E6D" w14:textId="77777777" w:rsidR="00D1587D" w:rsidRDefault="00D1587D">
      <w:pPr>
        <w:spacing w:line="343" w:lineRule="exact"/>
        <w:rPr>
          <w:sz w:val="20"/>
          <w:szCs w:val="20"/>
        </w:rPr>
      </w:pPr>
    </w:p>
    <w:p w14:paraId="1A82FD28" w14:textId="77777777" w:rsidR="00D1587D" w:rsidRDefault="00410D07">
      <w:pPr>
        <w:spacing w:line="263" w:lineRule="auto"/>
        <w:ind w:left="300" w:right="319" w:firstLine="360"/>
        <w:rPr>
          <w:sz w:val="20"/>
          <w:szCs w:val="20"/>
        </w:rPr>
      </w:pPr>
      <w:r>
        <w:rPr>
          <w:rFonts w:ascii="Arial" w:eastAsia="Arial" w:hAnsi="Arial" w:cs="Arial"/>
          <w:b/>
          <w:bCs/>
          <w:i/>
          <w:iCs/>
          <w:sz w:val="18"/>
          <w:szCs w:val="18"/>
        </w:rPr>
        <w:t>There can be no assurance that we will be able to obtain insurance coverage following the Distribution on terms that jus</w:t>
      </w:r>
      <w:r>
        <w:rPr>
          <w:rFonts w:ascii="Arial" w:eastAsia="Arial" w:hAnsi="Arial" w:cs="Arial"/>
          <w:b/>
          <w:bCs/>
          <w:i/>
          <w:iCs/>
          <w:sz w:val="18"/>
          <w:szCs w:val="18"/>
        </w:rPr>
        <w:t>tify its purchase, and any such insurance may not be adequate to offset costs associated with certain events.</w:t>
      </w:r>
    </w:p>
    <w:p w14:paraId="2E36AE0A" w14:textId="77777777" w:rsidR="00D1587D" w:rsidRDefault="00D1587D">
      <w:pPr>
        <w:spacing w:line="76" w:lineRule="exact"/>
        <w:rPr>
          <w:sz w:val="20"/>
          <w:szCs w:val="20"/>
        </w:rPr>
      </w:pPr>
    </w:p>
    <w:p w14:paraId="02BF8C8E" w14:textId="77777777" w:rsidR="00D1587D" w:rsidRDefault="00410D07">
      <w:pPr>
        <w:spacing w:line="273" w:lineRule="auto"/>
        <w:ind w:left="300" w:right="319" w:firstLine="360"/>
        <w:rPr>
          <w:sz w:val="20"/>
          <w:szCs w:val="20"/>
        </w:rPr>
      </w:pPr>
      <w:r>
        <w:rPr>
          <w:rFonts w:ascii="Arial" w:eastAsia="Arial" w:hAnsi="Arial" w:cs="Arial"/>
          <w:sz w:val="17"/>
          <w:szCs w:val="17"/>
        </w:rPr>
        <w:t>We will have to obtain our own insurance policies after the Distribution is complete. Although we expect to have insurance policies in place as o</w:t>
      </w:r>
      <w:r>
        <w:rPr>
          <w:rFonts w:ascii="Arial" w:eastAsia="Arial" w:hAnsi="Arial" w:cs="Arial"/>
          <w:sz w:val="17"/>
          <w:szCs w:val="17"/>
        </w:rPr>
        <w:t xml:space="preserve">f the Distribution that cover certain, but not all, hazards that could arise from our operations, we can provide no assurance that we will be able to obtain such coverage, that the cost of such coverage will be similar to those incurred by LB or that such </w:t>
      </w:r>
      <w:r>
        <w:rPr>
          <w:rFonts w:ascii="Arial" w:eastAsia="Arial" w:hAnsi="Arial" w:cs="Arial"/>
          <w:sz w:val="17"/>
          <w:szCs w:val="17"/>
        </w:rPr>
        <w:t>coverage will be adequate to protect us from costs incurred with certain events. The occurrence of an event that is not insured or not fully insured could have a material adverse effect on our results of operations, financial condition and cash flows in th</w:t>
      </w:r>
      <w:r>
        <w:rPr>
          <w:rFonts w:ascii="Arial" w:eastAsia="Arial" w:hAnsi="Arial" w:cs="Arial"/>
          <w:sz w:val="17"/>
          <w:szCs w:val="17"/>
        </w:rPr>
        <w:t>e future.</w:t>
      </w:r>
    </w:p>
    <w:p w14:paraId="097FCBAD" w14:textId="77777777" w:rsidR="00D1587D" w:rsidRDefault="00D1587D">
      <w:pPr>
        <w:spacing w:line="326" w:lineRule="exact"/>
        <w:rPr>
          <w:sz w:val="20"/>
          <w:szCs w:val="20"/>
        </w:rPr>
      </w:pPr>
    </w:p>
    <w:p w14:paraId="06B56626" w14:textId="77777777" w:rsidR="00D1587D" w:rsidRDefault="00410D07">
      <w:pPr>
        <w:spacing w:line="259" w:lineRule="auto"/>
        <w:ind w:left="300" w:right="319" w:firstLine="360"/>
        <w:rPr>
          <w:sz w:val="20"/>
          <w:szCs w:val="20"/>
        </w:rPr>
      </w:pPr>
      <w:r>
        <w:rPr>
          <w:rFonts w:ascii="Arial" w:eastAsia="Arial" w:hAnsi="Arial" w:cs="Arial"/>
          <w:b/>
          <w:bCs/>
          <w:i/>
          <w:iCs/>
          <w:sz w:val="18"/>
          <w:szCs w:val="18"/>
        </w:rPr>
        <w:t>Following the Separation, we will have debt obligations that could restrict our business and adversely impact our results of operations, financial condition or cash flows. In addition, the separation of our business from LB may increase the over</w:t>
      </w:r>
      <w:r>
        <w:rPr>
          <w:rFonts w:ascii="Arial" w:eastAsia="Arial" w:hAnsi="Arial" w:cs="Arial"/>
          <w:b/>
          <w:bCs/>
          <w:i/>
          <w:iCs/>
          <w:sz w:val="18"/>
          <w:szCs w:val="18"/>
        </w:rPr>
        <w:t>all cost of debt funding and decrease the overall debt capacity and commercial credit available to us.</w:t>
      </w:r>
    </w:p>
    <w:p w14:paraId="781C700C" w14:textId="77777777" w:rsidR="00D1587D" w:rsidRDefault="00D1587D">
      <w:pPr>
        <w:spacing w:line="79" w:lineRule="exact"/>
        <w:rPr>
          <w:sz w:val="20"/>
          <w:szCs w:val="20"/>
        </w:rPr>
      </w:pPr>
    </w:p>
    <w:p w14:paraId="76036C67" w14:textId="77777777" w:rsidR="00D1587D" w:rsidRDefault="00410D07">
      <w:pPr>
        <w:spacing w:line="257" w:lineRule="auto"/>
        <w:ind w:left="300" w:right="539" w:firstLine="360"/>
        <w:rPr>
          <w:sz w:val="20"/>
          <w:szCs w:val="20"/>
        </w:rPr>
      </w:pPr>
      <w:r>
        <w:rPr>
          <w:rFonts w:ascii="Arial" w:eastAsia="Arial" w:hAnsi="Arial" w:cs="Arial"/>
          <w:sz w:val="18"/>
          <w:szCs w:val="18"/>
        </w:rPr>
        <w:t>In connection with the Separation, we expect to incur up to $1.0 billion of new debt from senior notes and/or term loan facilities, the proceeds of whic</w:t>
      </w:r>
      <w:r>
        <w:rPr>
          <w:rFonts w:ascii="Arial" w:eastAsia="Arial" w:hAnsi="Arial" w:cs="Arial"/>
          <w:sz w:val="18"/>
          <w:szCs w:val="18"/>
        </w:rPr>
        <w:t>h we intend to use to make the LB Cash Payment and to pay related fees and expenses. We also expect to establish a $750 million asset-based revolving facility, which is expected to be undrawn at the Separation. This level of debt could have significant con</w:t>
      </w:r>
      <w:r>
        <w:rPr>
          <w:rFonts w:ascii="Arial" w:eastAsia="Arial" w:hAnsi="Arial" w:cs="Arial"/>
          <w:sz w:val="18"/>
          <w:szCs w:val="18"/>
        </w:rPr>
        <w:t>sequences on our future operations, including:</w:t>
      </w:r>
    </w:p>
    <w:p w14:paraId="7C62A1E0" w14:textId="77777777" w:rsidR="00D1587D" w:rsidRDefault="00D1587D">
      <w:pPr>
        <w:spacing w:line="80" w:lineRule="exact"/>
        <w:rPr>
          <w:sz w:val="20"/>
          <w:szCs w:val="20"/>
        </w:rPr>
      </w:pPr>
    </w:p>
    <w:p w14:paraId="6EE91551" w14:textId="77777777" w:rsidR="00D1587D" w:rsidRDefault="00410D07" w:rsidP="00410D07">
      <w:pPr>
        <w:numPr>
          <w:ilvl w:val="0"/>
          <w:numId w:val="247"/>
        </w:numPr>
        <w:tabs>
          <w:tab w:val="left" w:pos="1000"/>
        </w:tabs>
        <w:spacing w:line="263" w:lineRule="auto"/>
        <w:ind w:left="1000" w:right="659" w:hanging="348"/>
        <w:rPr>
          <w:rFonts w:ascii="Arial" w:eastAsia="Arial" w:hAnsi="Arial" w:cs="Arial"/>
          <w:sz w:val="18"/>
          <w:szCs w:val="18"/>
        </w:rPr>
      </w:pPr>
      <w:r>
        <w:rPr>
          <w:rFonts w:ascii="Arial" w:eastAsia="Arial" w:hAnsi="Arial" w:cs="Arial"/>
          <w:sz w:val="18"/>
          <w:szCs w:val="18"/>
        </w:rPr>
        <w:t xml:space="preserve">Resulting in an event of default if we fail to comply with the financial and other restrictive covenants contained in our debt agreements, which could result in all of our debt becoming immediately due and </w:t>
      </w:r>
      <w:r>
        <w:rPr>
          <w:rFonts w:ascii="Arial" w:eastAsia="Arial" w:hAnsi="Arial" w:cs="Arial"/>
          <w:sz w:val="18"/>
          <w:szCs w:val="18"/>
        </w:rPr>
        <w:t>payable;</w:t>
      </w:r>
    </w:p>
    <w:p w14:paraId="7EE3C9DF" w14:textId="77777777" w:rsidR="00D1587D" w:rsidRDefault="00D1587D">
      <w:pPr>
        <w:spacing w:line="75" w:lineRule="exact"/>
        <w:rPr>
          <w:rFonts w:ascii="Arial" w:eastAsia="Arial" w:hAnsi="Arial" w:cs="Arial"/>
          <w:sz w:val="18"/>
          <w:szCs w:val="18"/>
        </w:rPr>
      </w:pPr>
    </w:p>
    <w:p w14:paraId="03C45D30" w14:textId="77777777" w:rsidR="00D1587D" w:rsidRDefault="00410D07" w:rsidP="00410D07">
      <w:pPr>
        <w:numPr>
          <w:ilvl w:val="0"/>
          <w:numId w:val="247"/>
        </w:numPr>
        <w:tabs>
          <w:tab w:val="left" w:pos="1000"/>
        </w:tabs>
        <w:spacing w:line="342" w:lineRule="auto"/>
        <w:ind w:left="1000" w:right="339" w:hanging="348"/>
        <w:rPr>
          <w:rFonts w:ascii="Arial" w:eastAsia="Arial" w:hAnsi="Arial" w:cs="Arial"/>
          <w:sz w:val="16"/>
          <w:szCs w:val="16"/>
        </w:rPr>
      </w:pPr>
      <w:r>
        <w:rPr>
          <w:rFonts w:ascii="Arial" w:eastAsia="Arial" w:hAnsi="Arial" w:cs="Arial"/>
          <w:sz w:val="16"/>
          <w:szCs w:val="16"/>
        </w:rPr>
        <w:t>Reducing the availability of our cash flow to fund working capital, capital expenditures, acquisitions and other general corporate purposes, and limiting our ability to obtain additional financing for these purposes;</w:t>
      </w:r>
    </w:p>
    <w:p w14:paraId="1F37A094" w14:textId="77777777" w:rsidR="00D1587D" w:rsidRDefault="00D1587D">
      <w:pPr>
        <w:spacing w:line="15" w:lineRule="exact"/>
        <w:rPr>
          <w:rFonts w:ascii="Arial" w:eastAsia="Arial" w:hAnsi="Arial" w:cs="Arial"/>
          <w:sz w:val="16"/>
          <w:szCs w:val="16"/>
        </w:rPr>
      </w:pPr>
    </w:p>
    <w:p w14:paraId="341812B3" w14:textId="77777777" w:rsidR="00D1587D" w:rsidRDefault="00410D07" w:rsidP="00410D07">
      <w:pPr>
        <w:numPr>
          <w:ilvl w:val="0"/>
          <w:numId w:val="247"/>
        </w:numPr>
        <w:tabs>
          <w:tab w:val="left" w:pos="1000"/>
        </w:tabs>
        <w:spacing w:line="277" w:lineRule="auto"/>
        <w:ind w:left="1000" w:right="479" w:hanging="348"/>
        <w:rPr>
          <w:rFonts w:ascii="Arial" w:eastAsia="Arial" w:hAnsi="Arial" w:cs="Arial"/>
          <w:sz w:val="18"/>
          <w:szCs w:val="18"/>
        </w:rPr>
      </w:pPr>
      <w:r>
        <w:rPr>
          <w:rFonts w:ascii="Arial" w:eastAsia="Arial" w:hAnsi="Arial" w:cs="Arial"/>
          <w:sz w:val="18"/>
          <w:szCs w:val="18"/>
        </w:rPr>
        <w:t xml:space="preserve">Limiting our </w:t>
      </w:r>
      <w:r>
        <w:rPr>
          <w:rFonts w:ascii="Arial" w:eastAsia="Arial" w:hAnsi="Arial" w:cs="Arial"/>
          <w:sz w:val="18"/>
          <w:szCs w:val="18"/>
        </w:rPr>
        <w:t>flexibility in planning for, or reacting to, and increasing our vulnerability to, changes in our business, the industry in which we operate and the general economy; and</w:t>
      </w:r>
    </w:p>
    <w:p w14:paraId="1A923B11" w14:textId="77777777" w:rsidR="00D1587D" w:rsidRDefault="00D1587D">
      <w:pPr>
        <w:spacing w:line="62" w:lineRule="exact"/>
        <w:rPr>
          <w:rFonts w:ascii="Arial" w:eastAsia="Arial" w:hAnsi="Arial" w:cs="Arial"/>
          <w:sz w:val="18"/>
          <w:szCs w:val="18"/>
        </w:rPr>
      </w:pPr>
    </w:p>
    <w:p w14:paraId="76F0AD13" w14:textId="77777777" w:rsidR="00D1587D" w:rsidRDefault="00410D07" w:rsidP="00410D07">
      <w:pPr>
        <w:numPr>
          <w:ilvl w:val="0"/>
          <w:numId w:val="247"/>
        </w:numPr>
        <w:tabs>
          <w:tab w:val="left" w:pos="1000"/>
        </w:tabs>
        <w:spacing w:line="277" w:lineRule="auto"/>
        <w:ind w:left="1000" w:right="339" w:hanging="348"/>
        <w:rPr>
          <w:rFonts w:ascii="Arial" w:eastAsia="Arial" w:hAnsi="Arial" w:cs="Arial"/>
          <w:sz w:val="18"/>
          <w:szCs w:val="18"/>
        </w:rPr>
      </w:pPr>
      <w:r>
        <w:rPr>
          <w:rFonts w:ascii="Arial" w:eastAsia="Arial" w:hAnsi="Arial" w:cs="Arial"/>
          <w:sz w:val="18"/>
          <w:szCs w:val="18"/>
        </w:rPr>
        <w:t xml:space="preserve">Placing us at a competitive disadvantage compared to any of our competitors that have </w:t>
      </w:r>
      <w:r>
        <w:rPr>
          <w:rFonts w:ascii="Arial" w:eastAsia="Arial" w:hAnsi="Arial" w:cs="Arial"/>
          <w:sz w:val="18"/>
          <w:szCs w:val="18"/>
        </w:rPr>
        <w:t>less debt or are less leveraged.</w:t>
      </w:r>
    </w:p>
    <w:p w14:paraId="0A2CB10F" w14:textId="77777777" w:rsidR="00D1587D" w:rsidRDefault="00D1587D">
      <w:pPr>
        <w:spacing w:line="62" w:lineRule="exact"/>
        <w:rPr>
          <w:sz w:val="20"/>
          <w:szCs w:val="20"/>
        </w:rPr>
      </w:pPr>
    </w:p>
    <w:p w14:paraId="6F91495D" w14:textId="77777777" w:rsidR="00D1587D" w:rsidRDefault="00410D07">
      <w:pPr>
        <w:spacing w:line="308" w:lineRule="auto"/>
        <w:ind w:left="300" w:right="599" w:firstLine="360"/>
        <w:rPr>
          <w:sz w:val="20"/>
          <w:szCs w:val="20"/>
        </w:rPr>
      </w:pPr>
      <w:r>
        <w:rPr>
          <w:rFonts w:ascii="Arial" w:eastAsia="Arial" w:hAnsi="Arial" w:cs="Arial"/>
          <w:sz w:val="17"/>
          <w:szCs w:val="17"/>
        </w:rPr>
        <w:t>Any of the above-listed factors could have a material adverse effect on our business, financial condition and results of operations. We may also incur substantial additional indebtedness in the future.</w:t>
      </w:r>
    </w:p>
    <w:p w14:paraId="33B8687A" w14:textId="77777777" w:rsidR="00D1587D" w:rsidRDefault="00D1587D">
      <w:pPr>
        <w:spacing w:line="38" w:lineRule="exact"/>
        <w:rPr>
          <w:sz w:val="20"/>
          <w:szCs w:val="20"/>
        </w:rPr>
      </w:pPr>
    </w:p>
    <w:p w14:paraId="448CD52E" w14:textId="77777777" w:rsidR="00D1587D" w:rsidRDefault="00410D07">
      <w:pPr>
        <w:spacing w:line="311" w:lineRule="auto"/>
        <w:ind w:left="300" w:right="499" w:firstLine="360"/>
        <w:rPr>
          <w:sz w:val="20"/>
          <w:szCs w:val="20"/>
        </w:rPr>
      </w:pPr>
      <w:r>
        <w:rPr>
          <w:rFonts w:ascii="Arial" w:eastAsia="Arial" w:hAnsi="Arial" w:cs="Arial"/>
          <w:sz w:val="16"/>
          <w:szCs w:val="16"/>
        </w:rPr>
        <w:t>In addition, we may</w:t>
      </w:r>
      <w:r>
        <w:rPr>
          <w:rFonts w:ascii="Arial" w:eastAsia="Arial" w:hAnsi="Arial" w:cs="Arial"/>
          <w:sz w:val="16"/>
          <w:szCs w:val="16"/>
        </w:rPr>
        <w:t xml:space="preserve"> be unable to service or refinance our debt or maintain compliance with restrictive covenants in our debt instruments. Our cash flow from operations will provide the primary source of funds for our debt service payments. If our cash flow from operations de</w:t>
      </w:r>
      <w:r>
        <w:rPr>
          <w:rFonts w:ascii="Arial" w:eastAsia="Arial" w:hAnsi="Arial" w:cs="Arial"/>
          <w:sz w:val="16"/>
          <w:szCs w:val="16"/>
        </w:rPr>
        <w:t>clines, we may be unable to service or refinance</w:t>
      </w:r>
    </w:p>
    <w:p w14:paraId="69DB1CC6" w14:textId="77777777" w:rsidR="00D1587D" w:rsidRDefault="00D1587D">
      <w:pPr>
        <w:spacing w:line="149" w:lineRule="exact"/>
        <w:rPr>
          <w:sz w:val="20"/>
          <w:szCs w:val="20"/>
        </w:rPr>
      </w:pPr>
    </w:p>
    <w:p w14:paraId="15EBDAAF" w14:textId="77777777" w:rsidR="00D1587D" w:rsidRDefault="00410D07">
      <w:pPr>
        <w:jc w:val="center"/>
        <w:rPr>
          <w:sz w:val="20"/>
          <w:szCs w:val="20"/>
        </w:rPr>
      </w:pPr>
      <w:r>
        <w:rPr>
          <w:rFonts w:ascii="Arial" w:eastAsia="Arial" w:hAnsi="Arial" w:cs="Arial"/>
          <w:sz w:val="18"/>
          <w:szCs w:val="18"/>
        </w:rPr>
        <w:t>21</w:t>
      </w:r>
    </w:p>
    <w:p w14:paraId="14311DA1" w14:textId="77777777" w:rsidR="00D1587D" w:rsidRDefault="00410D07">
      <w:pPr>
        <w:spacing w:line="20" w:lineRule="exact"/>
        <w:rPr>
          <w:sz w:val="20"/>
          <w:szCs w:val="20"/>
        </w:rPr>
      </w:pPr>
      <w:r>
        <w:rPr>
          <w:noProof/>
          <w:sz w:val="20"/>
          <w:szCs w:val="20"/>
        </w:rPr>
        <w:drawing>
          <wp:anchor distT="0" distB="0" distL="114300" distR="114300" simplePos="0" relativeHeight="251463680" behindDoc="1" locked="0" layoutInCell="0" allowOverlap="1" wp14:anchorId="1D22A874" wp14:editId="55A53D4F">
            <wp:simplePos x="0" y="0"/>
            <wp:positionH relativeFrom="column">
              <wp:posOffset>-636905</wp:posOffset>
            </wp:positionH>
            <wp:positionV relativeFrom="paragraph">
              <wp:posOffset>126365</wp:posOffset>
            </wp:positionV>
            <wp:extent cx="6995160" cy="1714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B4A69DA" w14:textId="77777777" w:rsidR="00D1587D" w:rsidRDefault="00D1587D">
      <w:pPr>
        <w:sectPr w:rsidR="00D1587D">
          <w:pgSz w:w="11900" w:h="16838"/>
          <w:pgMar w:top="265" w:right="1440" w:bottom="1440" w:left="1440" w:header="0" w:footer="0" w:gutter="0"/>
          <w:cols w:space="720" w:equalWidth="0">
            <w:col w:w="9019"/>
          </w:cols>
        </w:sectPr>
      </w:pPr>
    </w:p>
    <w:bookmarkStart w:id="279" w:name="page280"/>
    <w:bookmarkEnd w:id="279"/>
    <w:p w14:paraId="30CBAB2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0720B01" w14:textId="77777777" w:rsidR="00D1587D" w:rsidRDefault="00D1587D">
      <w:pPr>
        <w:spacing w:line="131" w:lineRule="exact"/>
        <w:rPr>
          <w:sz w:val="20"/>
          <w:szCs w:val="20"/>
        </w:rPr>
      </w:pPr>
    </w:p>
    <w:p w14:paraId="021CE74E" w14:textId="77777777" w:rsidR="00D1587D" w:rsidRDefault="00410D07">
      <w:pPr>
        <w:spacing w:line="259" w:lineRule="auto"/>
        <w:ind w:left="300" w:right="299"/>
        <w:rPr>
          <w:sz w:val="20"/>
          <w:szCs w:val="20"/>
        </w:rPr>
      </w:pPr>
      <w:r>
        <w:rPr>
          <w:rFonts w:ascii="Arial" w:eastAsia="Arial" w:hAnsi="Arial" w:cs="Arial"/>
          <w:sz w:val="18"/>
          <w:szCs w:val="18"/>
        </w:rPr>
        <w:t xml:space="preserve">our current debt. If we fail to comply with any covenant in the future, including any financial covenant, it could result in an </w:t>
      </w:r>
      <w:r>
        <w:rPr>
          <w:rFonts w:ascii="Arial" w:eastAsia="Arial" w:hAnsi="Arial" w:cs="Arial"/>
          <w:sz w:val="18"/>
          <w:szCs w:val="18"/>
        </w:rPr>
        <w:t>event of default and make the entire debt incurred thereunder immediately due and payable or we may be forced to sell assets, restructure our indebtedness or seek additional equity capital, which would dilute our stockholders’ interests.</w:t>
      </w:r>
    </w:p>
    <w:p w14:paraId="29E248D2" w14:textId="77777777" w:rsidR="00D1587D" w:rsidRDefault="00D1587D">
      <w:pPr>
        <w:spacing w:line="79" w:lineRule="exact"/>
        <w:rPr>
          <w:sz w:val="20"/>
          <w:szCs w:val="20"/>
        </w:rPr>
      </w:pPr>
    </w:p>
    <w:p w14:paraId="69105D95" w14:textId="77777777" w:rsidR="00D1587D" w:rsidRDefault="00410D07">
      <w:pPr>
        <w:spacing w:line="291" w:lineRule="auto"/>
        <w:ind w:left="300" w:right="339" w:firstLine="360"/>
        <w:rPr>
          <w:sz w:val="20"/>
          <w:szCs w:val="20"/>
        </w:rPr>
      </w:pPr>
      <w:r>
        <w:rPr>
          <w:rFonts w:ascii="Arial" w:eastAsia="Arial" w:hAnsi="Arial" w:cs="Arial"/>
          <w:sz w:val="16"/>
          <w:szCs w:val="16"/>
        </w:rPr>
        <w:t xml:space="preserve">In addition, any </w:t>
      </w:r>
      <w:r>
        <w:rPr>
          <w:rFonts w:ascii="Arial" w:eastAsia="Arial" w:hAnsi="Arial" w:cs="Arial"/>
          <w:sz w:val="16"/>
          <w:szCs w:val="16"/>
        </w:rPr>
        <w:t>future indenture or credit agreements that we may enter into may include restrictive covenants that, subject to certain exceptions and qualifications, restrict or limit our ability and the ability of our restricted subsidiaries to, among other things, incu</w:t>
      </w:r>
      <w:r>
        <w:rPr>
          <w:rFonts w:ascii="Arial" w:eastAsia="Arial" w:hAnsi="Arial" w:cs="Arial"/>
          <w:sz w:val="16"/>
          <w:szCs w:val="16"/>
        </w:rPr>
        <w:t>r additional indebtedness, pay dividends, make certain investments, sell certain assets and enter into certain strategic transactions, including mergers and acquisitions. These covenants and restrictions could affect our ability to operate our business, an</w:t>
      </w:r>
      <w:r>
        <w:rPr>
          <w:rFonts w:ascii="Arial" w:eastAsia="Arial" w:hAnsi="Arial" w:cs="Arial"/>
          <w:sz w:val="16"/>
          <w:szCs w:val="16"/>
        </w:rPr>
        <w:t>d may limit our ability to react to market conditions or take advantage of potential business opportunities as they arise. The Separation may increase the overall cost of debt funding and decrease the overall debt capacity and commercial credit available t</w:t>
      </w:r>
      <w:r>
        <w:rPr>
          <w:rFonts w:ascii="Arial" w:eastAsia="Arial" w:hAnsi="Arial" w:cs="Arial"/>
          <w:sz w:val="16"/>
          <w:szCs w:val="16"/>
        </w:rPr>
        <w:t>o us.</w:t>
      </w:r>
    </w:p>
    <w:p w14:paraId="33E2FDF0" w14:textId="77777777" w:rsidR="00D1587D" w:rsidRDefault="00D1587D">
      <w:pPr>
        <w:spacing w:line="166" w:lineRule="exact"/>
        <w:rPr>
          <w:sz w:val="20"/>
          <w:szCs w:val="20"/>
        </w:rPr>
      </w:pPr>
    </w:p>
    <w:p w14:paraId="2634ADBD" w14:textId="77777777" w:rsidR="00D1587D" w:rsidRDefault="00410D07">
      <w:pPr>
        <w:spacing w:line="263" w:lineRule="auto"/>
        <w:ind w:left="300" w:right="419" w:firstLine="360"/>
        <w:jc w:val="both"/>
        <w:rPr>
          <w:sz w:val="20"/>
          <w:szCs w:val="20"/>
        </w:rPr>
      </w:pPr>
      <w:r>
        <w:rPr>
          <w:rFonts w:ascii="Arial" w:eastAsia="Arial" w:hAnsi="Arial" w:cs="Arial"/>
          <w:b/>
          <w:bCs/>
          <w:i/>
          <w:iCs/>
          <w:sz w:val="18"/>
          <w:szCs w:val="18"/>
        </w:rPr>
        <w:t>Transfer or assignment to us of some contracts and other assets will require the consent of a third party. If such consent is not given, we may not be entitled to the benefit of such contracts, investments and other assets in the future.</w:t>
      </w:r>
    </w:p>
    <w:p w14:paraId="4DFA056C" w14:textId="77777777" w:rsidR="00D1587D" w:rsidRDefault="00D1587D">
      <w:pPr>
        <w:spacing w:line="76" w:lineRule="exact"/>
        <w:rPr>
          <w:sz w:val="20"/>
          <w:szCs w:val="20"/>
        </w:rPr>
      </w:pPr>
    </w:p>
    <w:p w14:paraId="0BAEF14E" w14:textId="77777777" w:rsidR="00D1587D" w:rsidRDefault="00410D07">
      <w:pPr>
        <w:spacing w:line="286" w:lineRule="auto"/>
        <w:ind w:left="300" w:right="319" w:firstLine="360"/>
        <w:rPr>
          <w:sz w:val="20"/>
          <w:szCs w:val="20"/>
        </w:rPr>
      </w:pPr>
      <w:r>
        <w:rPr>
          <w:rFonts w:ascii="Arial" w:eastAsia="Arial" w:hAnsi="Arial" w:cs="Arial"/>
          <w:sz w:val="16"/>
          <w:szCs w:val="16"/>
        </w:rPr>
        <w:t>Transfer or assignment of some of the contracts and other assets in connection with the Separation will require the consent of a third party to the transfer or assignment. Similarly, in some circumstances, we are joint beneficiaries of contracts, and we wi</w:t>
      </w:r>
      <w:r>
        <w:rPr>
          <w:rFonts w:ascii="Arial" w:eastAsia="Arial" w:hAnsi="Arial" w:cs="Arial"/>
          <w:sz w:val="16"/>
          <w:szCs w:val="16"/>
        </w:rPr>
        <w:t>ll need to enter into a new agreement with the third party to replicate the existing contract or assign the portion of the existing contract related to the Spin Business. While we anticipate that most of these contract assignments and new agreements will b</w:t>
      </w:r>
      <w:r>
        <w:rPr>
          <w:rFonts w:ascii="Arial" w:eastAsia="Arial" w:hAnsi="Arial" w:cs="Arial"/>
          <w:sz w:val="16"/>
          <w:szCs w:val="16"/>
        </w:rPr>
        <w:t>e obtained prior to the Separation, we may not be able to obtain all required consents or enter into all such new agreements, as applicable, until after the Distribution Date. Some parties may use the requirement of a consent to seek more favorable contrac</w:t>
      </w:r>
      <w:r>
        <w:rPr>
          <w:rFonts w:ascii="Arial" w:eastAsia="Arial" w:hAnsi="Arial" w:cs="Arial"/>
          <w:sz w:val="16"/>
          <w:szCs w:val="16"/>
        </w:rPr>
        <w:t>tual terms from us, which could include our having to obtain letters of credit or other forms of credit support. If we are unable to obtain such consents or such credit support on commercially reasonable and satisfactory terms, we may be unable to obtain s</w:t>
      </w:r>
      <w:r>
        <w:rPr>
          <w:rFonts w:ascii="Arial" w:eastAsia="Arial" w:hAnsi="Arial" w:cs="Arial"/>
          <w:sz w:val="16"/>
          <w:szCs w:val="16"/>
        </w:rPr>
        <w:t>ome of the benefits, assets and contractual commitments that are intended to be allocated to us as part of the Separation. In addition, where we do not intend to obtain consent from third-party counterparties based on our belief that no consent is required</w:t>
      </w:r>
      <w:r>
        <w:rPr>
          <w:rFonts w:ascii="Arial" w:eastAsia="Arial" w:hAnsi="Arial" w:cs="Arial"/>
          <w:sz w:val="16"/>
          <w:szCs w:val="16"/>
        </w:rPr>
        <w:t>, the third-party counterparties may challenge the transaction on the basis that the terms of the applicable commercial arrangements require their consent. We may incur substantial litigation and other costs in connection with any such claims and, if we do</w:t>
      </w:r>
      <w:r>
        <w:rPr>
          <w:rFonts w:ascii="Arial" w:eastAsia="Arial" w:hAnsi="Arial" w:cs="Arial"/>
          <w:sz w:val="16"/>
          <w:szCs w:val="16"/>
        </w:rPr>
        <w:t xml:space="preserve"> not prevail, our ability to use these assets could be adversely impacted.</w:t>
      </w:r>
    </w:p>
    <w:p w14:paraId="516BF47C" w14:textId="77777777" w:rsidR="00D1587D" w:rsidRDefault="00D1587D">
      <w:pPr>
        <w:spacing w:line="63" w:lineRule="exact"/>
        <w:rPr>
          <w:sz w:val="20"/>
          <w:szCs w:val="20"/>
        </w:rPr>
      </w:pPr>
    </w:p>
    <w:p w14:paraId="358F06E6" w14:textId="77777777" w:rsidR="00D1587D" w:rsidRDefault="00410D07">
      <w:pPr>
        <w:spacing w:line="263" w:lineRule="auto"/>
        <w:ind w:left="300" w:right="359" w:firstLine="360"/>
        <w:rPr>
          <w:sz w:val="20"/>
          <w:szCs w:val="20"/>
        </w:rPr>
      </w:pPr>
      <w:r>
        <w:rPr>
          <w:rFonts w:ascii="Arial" w:eastAsia="Arial" w:hAnsi="Arial" w:cs="Arial"/>
          <w:sz w:val="18"/>
          <w:szCs w:val="18"/>
        </w:rPr>
        <w:t>We cannot provide assurance that all such required third-party consents and new agreements will be procured or put in place, as applicable, prior to the Distribution Date. Conseque</w:t>
      </w:r>
      <w:r>
        <w:rPr>
          <w:rFonts w:ascii="Arial" w:eastAsia="Arial" w:hAnsi="Arial" w:cs="Arial"/>
          <w:sz w:val="18"/>
          <w:szCs w:val="18"/>
        </w:rPr>
        <w:t>ntly, we may not realize certain of the benefits that are intended to be allocated to us as part of the Separation.</w:t>
      </w:r>
    </w:p>
    <w:p w14:paraId="4B0874D4" w14:textId="77777777" w:rsidR="00D1587D" w:rsidRDefault="00D1587D">
      <w:pPr>
        <w:spacing w:line="184" w:lineRule="exact"/>
        <w:rPr>
          <w:sz w:val="20"/>
          <w:szCs w:val="20"/>
        </w:rPr>
      </w:pPr>
    </w:p>
    <w:p w14:paraId="1E76C99A" w14:textId="77777777" w:rsidR="00D1587D" w:rsidRDefault="00410D07">
      <w:pPr>
        <w:spacing w:line="277" w:lineRule="auto"/>
        <w:ind w:left="300" w:right="639" w:firstLine="360"/>
        <w:rPr>
          <w:sz w:val="20"/>
          <w:szCs w:val="20"/>
        </w:rPr>
      </w:pPr>
      <w:r>
        <w:rPr>
          <w:rFonts w:ascii="Arial" w:eastAsia="Arial" w:hAnsi="Arial" w:cs="Arial"/>
          <w:b/>
          <w:bCs/>
          <w:i/>
          <w:iCs/>
          <w:sz w:val="18"/>
          <w:szCs w:val="18"/>
        </w:rPr>
        <w:t xml:space="preserve">After the Separation, some of our directors and officers may have actual or potential conflicts of interest because of their equity </w:t>
      </w:r>
      <w:r>
        <w:rPr>
          <w:rFonts w:ascii="Arial" w:eastAsia="Arial" w:hAnsi="Arial" w:cs="Arial"/>
          <w:b/>
          <w:bCs/>
          <w:i/>
          <w:iCs/>
          <w:sz w:val="18"/>
          <w:szCs w:val="18"/>
        </w:rPr>
        <w:t>ownership in LB.</w:t>
      </w:r>
    </w:p>
    <w:p w14:paraId="4E20D197" w14:textId="77777777" w:rsidR="00D1587D" w:rsidRDefault="00D1587D">
      <w:pPr>
        <w:spacing w:line="62" w:lineRule="exact"/>
        <w:rPr>
          <w:sz w:val="20"/>
          <w:szCs w:val="20"/>
        </w:rPr>
      </w:pPr>
    </w:p>
    <w:p w14:paraId="5C1573FB" w14:textId="77777777" w:rsidR="00D1587D" w:rsidRDefault="00410D07">
      <w:pPr>
        <w:spacing w:line="291" w:lineRule="auto"/>
        <w:ind w:left="300" w:right="339" w:firstLine="360"/>
        <w:rPr>
          <w:sz w:val="20"/>
          <w:szCs w:val="20"/>
        </w:rPr>
      </w:pPr>
      <w:r>
        <w:rPr>
          <w:rFonts w:ascii="Arial" w:eastAsia="Arial" w:hAnsi="Arial" w:cs="Arial"/>
          <w:sz w:val="16"/>
          <w:szCs w:val="16"/>
        </w:rPr>
        <w:t>Because of their current or former positions with LB, following the Separation, some of our directors and executive officers may own shares of LB common stock or have options to acquire shares of LB common stock, and the individual holdin</w:t>
      </w:r>
      <w:r>
        <w:rPr>
          <w:rFonts w:ascii="Arial" w:eastAsia="Arial" w:hAnsi="Arial" w:cs="Arial"/>
          <w:sz w:val="16"/>
          <w:szCs w:val="16"/>
        </w:rPr>
        <w:t>gs may be significant for some of these individuals compared to their total assets. This ownership may create, or may create the appearance of, conflicts of interest when these directors and officers are faced with decisions that could have different impli</w:t>
      </w:r>
      <w:r>
        <w:rPr>
          <w:rFonts w:ascii="Arial" w:eastAsia="Arial" w:hAnsi="Arial" w:cs="Arial"/>
          <w:sz w:val="16"/>
          <w:szCs w:val="16"/>
        </w:rPr>
        <w:t xml:space="preserve">cations for LB or us. For example, potential conflicts of interest could arise in connection with the resolution of any dispute that may arise between LB and us regarding the terms of the agreements governing the Separation and the relationship thereafter </w:t>
      </w:r>
      <w:r>
        <w:rPr>
          <w:rFonts w:ascii="Arial" w:eastAsia="Arial" w:hAnsi="Arial" w:cs="Arial"/>
          <w:sz w:val="16"/>
          <w:szCs w:val="16"/>
        </w:rPr>
        <w:t>between the companies.</w:t>
      </w:r>
    </w:p>
    <w:p w14:paraId="3E0F5420" w14:textId="77777777" w:rsidR="00D1587D" w:rsidRDefault="00D1587D">
      <w:pPr>
        <w:spacing w:line="166" w:lineRule="exact"/>
        <w:rPr>
          <w:sz w:val="20"/>
          <w:szCs w:val="20"/>
        </w:rPr>
      </w:pPr>
    </w:p>
    <w:p w14:paraId="6D1B37B3" w14:textId="77777777" w:rsidR="00D1587D" w:rsidRDefault="00410D07">
      <w:pPr>
        <w:spacing w:line="277" w:lineRule="auto"/>
        <w:ind w:left="300" w:right="619" w:firstLine="360"/>
        <w:rPr>
          <w:sz w:val="20"/>
          <w:szCs w:val="20"/>
        </w:rPr>
      </w:pPr>
      <w:r>
        <w:rPr>
          <w:rFonts w:ascii="Arial" w:eastAsia="Arial" w:hAnsi="Arial" w:cs="Arial"/>
          <w:b/>
          <w:bCs/>
          <w:i/>
          <w:iCs/>
          <w:sz w:val="18"/>
          <w:szCs w:val="18"/>
        </w:rPr>
        <w:t>The combined post-Distribution value of LB and VS shares may not equal or exceed the pre-Distribution value of LB shares.</w:t>
      </w:r>
    </w:p>
    <w:p w14:paraId="4834B355" w14:textId="77777777" w:rsidR="00D1587D" w:rsidRDefault="00D1587D">
      <w:pPr>
        <w:spacing w:line="62" w:lineRule="exact"/>
        <w:rPr>
          <w:sz w:val="20"/>
          <w:szCs w:val="20"/>
        </w:rPr>
      </w:pPr>
    </w:p>
    <w:p w14:paraId="28D08D89" w14:textId="77777777" w:rsidR="00D1587D" w:rsidRDefault="00410D07">
      <w:pPr>
        <w:spacing w:line="254" w:lineRule="auto"/>
        <w:ind w:left="300" w:right="379" w:firstLine="360"/>
        <w:rPr>
          <w:sz w:val="20"/>
          <w:szCs w:val="20"/>
        </w:rPr>
      </w:pPr>
      <w:r>
        <w:rPr>
          <w:rFonts w:ascii="Arial" w:eastAsia="Arial" w:hAnsi="Arial" w:cs="Arial"/>
          <w:sz w:val="18"/>
          <w:szCs w:val="18"/>
        </w:rPr>
        <w:t xml:space="preserve">After the Separation, we expect that LB common stock will continue to be traded on the NYSE. We have applied </w:t>
      </w:r>
      <w:r>
        <w:rPr>
          <w:rFonts w:ascii="Arial" w:eastAsia="Arial" w:hAnsi="Arial" w:cs="Arial"/>
          <w:sz w:val="18"/>
          <w:szCs w:val="18"/>
        </w:rPr>
        <w:t>to list the shares of our common stock on the NYSE. We cannot assure you that the combined trading prices of LB common stock and our common stock after the Separation, as adjusted for any changes in the combined capitalization of both companies, will be eq</w:t>
      </w:r>
      <w:r>
        <w:rPr>
          <w:rFonts w:ascii="Arial" w:eastAsia="Arial" w:hAnsi="Arial" w:cs="Arial"/>
          <w:sz w:val="18"/>
          <w:szCs w:val="18"/>
        </w:rPr>
        <w:t>ual to or greater than the trading price of LB common stock prior to the Separation. Until the market has fully evaluated the business of LB without the Spin Business and potentially thereafter, the price at which LB common stock trades may fluctuate signi</w:t>
      </w:r>
      <w:r>
        <w:rPr>
          <w:rFonts w:ascii="Arial" w:eastAsia="Arial" w:hAnsi="Arial" w:cs="Arial"/>
          <w:sz w:val="18"/>
          <w:szCs w:val="18"/>
        </w:rPr>
        <w:t>ficantly. Similarly, until the market has fully evaluated our business and potentially thereafter, the price at which our common stock trades may fluctuate significantly.</w:t>
      </w:r>
    </w:p>
    <w:p w14:paraId="63D28973" w14:textId="77777777" w:rsidR="00D1587D" w:rsidRDefault="00D1587D">
      <w:pPr>
        <w:spacing w:line="192" w:lineRule="exact"/>
        <w:rPr>
          <w:sz w:val="20"/>
          <w:szCs w:val="20"/>
        </w:rPr>
      </w:pPr>
    </w:p>
    <w:p w14:paraId="1EEFE1F6" w14:textId="77777777" w:rsidR="00D1587D" w:rsidRDefault="00410D07">
      <w:pPr>
        <w:jc w:val="center"/>
        <w:rPr>
          <w:sz w:val="20"/>
          <w:szCs w:val="20"/>
        </w:rPr>
      </w:pPr>
      <w:r>
        <w:rPr>
          <w:rFonts w:ascii="Arial" w:eastAsia="Arial" w:hAnsi="Arial" w:cs="Arial"/>
          <w:sz w:val="18"/>
          <w:szCs w:val="18"/>
        </w:rPr>
        <w:t>22</w:t>
      </w:r>
    </w:p>
    <w:p w14:paraId="73BC6465" w14:textId="77777777" w:rsidR="00D1587D" w:rsidRDefault="00410D07">
      <w:pPr>
        <w:spacing w:line="20" w:lineRule="exact"/>
        <w:rPr>
          <w:sz w:val="20"/>
          <w:szCs w:val="20"/>
        </w:rPr>
      </w:pPr>
      <w:r>
        <w:rPr>
          <w:noProof/>
          <w:sz w:val="20"/>
          <w:szCs w:val="20"/>
        </w:rPr>
        <w:drawing>
          <wp:anchor distT="0" distB="0" distL="114300" distR="114300" simplePos="0" relativeHeight="251464704" behindDoc="1" locked="0" layoutInCell="0" allowOverlap="1" wp14:anchorId="3F2DF15E" wp14:editId="60916BAD">
            <wp:simplePos x="0" y="0"/>
            <wp:positionH relativeFrom="column">
              <wp:posOffset>-636905</wp:posOffset>
            </wp:positionH>
            <wp:positionV relativeFrom="paragraph">
              <wp:posOffset>134620</wp:posOffset>
            </wp:positionV>
            <wp:extent cx="6995160" cy="17145"/>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D646237" w14:textId="77777777" w:rsidR="00D1587D" w:rsidRDefault="00D1587D">
      <w:pPr>
        <w:sectPr w:rsidR="00D1587D">
          <w:pgSz w:w="11900" w:h="16838"/>
          <w:pgMar w:top="265" w:right="1440" w:bottom="1440" w:left="1440" w:header="0" w:footer="0" w:gutter="0"/>
          <w:cols w:space="720" w:equalWidth="0">
            <w:col w:w="9019"/>
          </w:cols>
        </w:sectPr>
      </w:pPr>
    </w:p>
    <w:bookmarkStart w:id="280" w:name="page281"/>
    <w:bookmarkEnd w:id="280"/>
    <w:p w14:paraId="2F18A4A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F70ADB8" w14:textId="77777777" w:rsidR="00D1587D" w:rsidRDefault="00D1587D">
      <w:pPr>
        <w:spacing w:line="131" w:lineRule="exact"/>
        <w:rPr>
          <w:sz w:val="20"/>
          <w:szCs w:val="20"/>
        </w:rPr>
      </w:pPr>
    </w:p>
    <w:p w14:paraId="00C56801" w14:textId="77777777" w:rsidR="00D1587D" w:rsidRDefault="00410D07">
      <w:pPr>
        <w:spacing w:line="277" w:lineRule="auto"/>
        <w:ind w:left="300" w:right="379" w:firstLine="360"/>
        <w:rPr>
          <w:sz w:val="20"/>
          <w:szCs w:val="20"/>
        </w:rPr>
      </w:pPr>
      <w:r>
        <w:rPr>
          <w:rFonts w:ascii="Arial" w:eastAsia="Arial" w:hAnsi="Arial" w:cs="Arial"/>
          <w:b/>
          <w:bCs/>
          <w:i/>
          <w:iCs/>
          <w:sz w:val="18"/>
          <w:szCs w:val="18"/>
        </w:rPr>
        <w:t>We potentially</w:t>
      </w:r>
      <w:r>
        <w:rPr>
          <w:rFonts w:ascii="Arial" w:eastAsia="Arial" w:hAnsi="Arial" w:cs="Arial"/>
          <w:b/>
          <w:bCs/>
          <w:i/>
          <w:iCs/>
          <w:sz w:val="18"/>
          <w:szCs w:val="18"/>
        </w:rPr>
        <w:t xml:space="preserve"> could have received better terms from unaffiliated third parties than the terms we will receive in our agreements with LB.</w:t>
      </w:r>
    </w:p>
    <w:p w14:paraId="3033A104" w14:textId="77777777" w:rsidR="00D1587D" w:rsidRDefault="00D1587D">
      <w:pPr>
        <w:spacing w:line="62" w:lineRule="exact"/>
        <w:rPr>
          <w:sz w:val="20"/>
          <w:szCs w:val="20"/>
        </w:rPr>
      </w:pPr>
    </w:p>
    <w:p w14:paraId="47B4E833" w14:textId="77777777" w:rsidR="00D1587D" w:rsidRDefault="00410D07">
      <w:pPr>
        <w:spacing w:line="254" w:lineRule="auto"/>
        <w:ind w:left="300" w:right="299" w:firstLine="360"/>
        <w:rPr>
          <w:sz w:val="20"/>
          <w:szCs w:val="20"/>
        </w:rPr>
      </w:pPr>
      <w:r>
        <w:rPr>
          <w:rFonts w:ascii="Arial" w:eastAsia="Arial" w:hAnsi="Arial" w:cs="Arial"/>
          <w:sz w:val="18"/>
          <w:szCs w:val="18"/>
        </w:rPr>
        <w:t xml:space="preserve">The agreements we will enter into with LB in connection with the Separation will be negotiated while we are still part of LB’s </w:t>
      </w:r>
      <w:r>
        <w:rPr>
          <w:rFonts w:ascii="Arial" w:eastAsia="Arial" w:hAnsi="Arial" w:cs="Arial"/>
          <w:sz w:val="18"/>
          <w:szCs w:val="18"/>
        </w:rPr>
        <w:t>business. See “The Separation—Agreements with LB.” Accordingly, during the period in which the terms of those agreements will have been negotiated, we did not have an independent Board of Directors or a management team independent of LB. The terms of the a</w:t>
      </w:r>
      <w:r>
        <w:rPr>
          <w:rFonts w:ascii="Arial" w:eastAsia="Arial" w:hAnsi="Arial" w:cs="Arial"/>
          <w:sz w:val="18"/>
          <w:szCs w:val="18"/>
        </w:rPr>
        <w:t xml:space="preserve">greements negotiated in the context of the Separation relate to, among other things, the allocation of assets, intellectual property, liabilities, rights and other obligations between LB and us, and arm’s-length negotiations between LB and an unaffiliated </w:t>
      </w:r>
      <w:r>
        <w:rPr>
          <w:rFonts w:ascii="Arial" w:eastAsia="Arial" w:hAnsi="Arial" w:cs="Arial"/>
          <w:sz w:val="18"/>
          <w:szCs w:val="18"/>
        </w:rPr>
        <w:t>third party in another form of transaction, such as a buyer in a sale of a business transaction, may have resulted in more favorable terms to the unaffiliated third party.</w:t>
      </w:r>
    </w:p>
    <w:p w14:paraId="023CD864" w14:textId="77777777" w:rsidR="00D1587D" w:rsidRDefault="00D1587D">
      <w:pPr>
        <w:spacing w:line="192" w:lineRule="exact"/>
        <w:rPr>
          <w:sz w:val="20"/>
          <w:szCs w:val="20"/>
        </w:rPr>
      </w:pPr>
    </w:p>
    <w:p w14:paraId="734626AD" w14:textId="77777777" w:rsidR="00D1587D" w:rsidRDefault="00410D07">
      <w:pPr>
        <w:ind w:left="660"/>
        <w:rPr>
          <w:sz w:val="20"/>
          <w:szCs w:val="20"/>
        </w:rPr>
      </w:pPr>
      <w:r>
        <w:rPr>
          <w:rFonts w:ascii="Arial" w:eastAsia="Arial" w:hAnsi="Arial" w:cs="Arial"/>
          <w:b/>
          <w:bCs/>
          <w:i/>
          <w:iCs/>
          <w:sz w:val="18"/>
          <w:szCs w:val="18"/>
        </w:rPr>
        <w:t>LB stockholders do not have dissenters’ rights with respect to the Separation.</w:t>
      </w:r>
    </w:p>
    <w:p w14:paraId="6546BD73" w14:textId="77777777" w:rsidR="00D1587D" w:rsidRDefault="00D1587D">
      <w:pPr>
        <w:spacing w:line="117" w:lineRule="exact"/>
        <w:rPr>
          <w:sz w:val="20"/>
          <w:szCs w:val="20"/>
        </w:rPr>
      </w:pPr>
    </w:p>
    <w:p w14:paraId="65DEC642" w14:textId="77777777" w:rsidR="00D1587D" w:rsidRDefault="00410D07">
      <w:pPr>
        <w:spacing w:line="286" w:lineRule="auto"/>
        <w:ind w:left="300" w:right="419" w:firstLine="360"/>
        <w:rPr>
          <w:sz w:val="20"/>
          <w:szCs w:val="20"/>
        </w:rPr>
      </w:pPr>
      <w:r>
        <w:rPr>
          <w:rFonts w:ascii="Arial" w:eastAsia="Arial" w:hAnsi="Arial" w:cs="Arial"/>
          <w:sz w:val="17"/>
          <w:szCs w:val="17"/>
        </w:rPr>
        <w:t xml:space="preserve">LB </w:t>
      </w:r>
      <w:r>
        <w:rPr>
          <w:rFonts w:ascii="Arial" w:eastAsia="Arial" w:hAnsi="Arial" w:cs="Arial"/>
          <w:sz w:val="17"/>
          <w:szCs w:val="17"/>
        </w:rPr>
        <w:t>stockholders do not have any dissenters’ rights in connection with the Separation. Therefore, any LB stockholders who disagree with the Separation will be left without recourse other than selling their VS shares. Such stockholders may be unable to subseque</w:t>
      </w:r>
      <w:r>
        <w:rPr>
          <w:rFonts w:ascii="Arial" w:eastAsia="Arial" w:hAnsi="Arial" w:cs="Arial"/>
          <w:sz w:val="17"/>
          <w:szCs w:val="17"/>
        </w:rPr>
        <w:t>ntly sell their shares at the prices they desire or at all.</w:t>
      </w:r>
    </w:p>
    <w:p w14:paraId="2E68B7E1" w14:textId="77777777" w:rsidR="00D1587D" w:rsidRDefault="00D1587D">
      <w:pPr>
        <w:spacing w:line="165" w:lineRule="exact"/>
        <w:rPr>
          <w:sz w:val="20"/>
          <w:szCs w:val="20"/>
        </w:rPr>
      </w:pPr>
    </w:p>
    <w:p w14:paraId="02630DC8" w14:textId="77777777" w:rsidR="00D1587D" w:rsidRDefault="00410D07">
      <w:pPr>
        <w:spacing w:line="263" w:lineRule="auto"/>
        <w:ind w:left="300" w:right="459" w:firstLine="360"/>
        <w:rPr>
          <w:sz w:val="20"/>
          <w:szCs w:val="20"/>
        </w:rPr>
      </w:pPr>
      <w:r>
        <w:rPr>
          <w:rFonts w:ascii="Arial" w:eastAsia="Arial" w:hAnsi="Arial" w:cs="Arial"/>
          <w:b/>
          <w:bCs/>
          <w:i/>
          <w:iCs/>
          <w:sz w:val="18"/>
          <w:szCs w:val="18"/>
        </w:rPr>
        <w:t xml:space="preserve">If the Restructuring and Distribution, together with certain related transactions, do not qualify as transactions that are tax-free for U.S. federal income tax purposes or non-U.S. tax purposes, </w:t>
      </w:r>
      <w:r>
        <w:rPr>
          <w:rFonts w:ascii="Arial" w:eastAsia="Arial" w:hAnsi="Arial" w:cs="Arial"/>
          <w:b/>
          <w:bCs/>
          <w:i/>
          <w:iCs/>
          <w:sz w:val="18"/>
          <w:szCs w:val="18"/>
        </w:rPr>
        <w:t>LB and/or holders of LB common stock could be subject to significant tax liability.</w:t>
      </w:r>
    </w:p>
    <w:p w14:paraId="2D14595F" w14:textId="77777777" w:rsidR="00D1587D" w:rsidRDefault="00D1587D">
      <w:pPr>
        <w:spacing w:line="76" w:lineRule="exact"/>
        <w:rPr>
          <w:sz w:val="20"/>
          <w:szCs w:val="20"/>
        </w:rPr>
      </w:pPr>
    </w:p>
    <w:p w14:paraId="00B54F56" w14:textId="77777777" w:rsidR="00D1587D" w:rsidRDefault="00410D07">
      <w:pPr>
        <w:spacing w:line="286" w:lineRule="auto"/>
        <w:ind w:left="300" w:right="299" w:firstLine="360"/>
        <w:rPr>
          <w:sz w:val="20"/>
          <w:szCs w:val="20"/>
        </w:rPr>
      </w:pPr>
      <w:r>
        <w:rPr>
          <w:rFonts w:ascii="Arial" w:eastAsia="Arial" w:hAnsi="Arial" w:cs="Arial"/>
          <w:sz w:val="16"/>
          <w:szCs w:val="16"/>
        </w:rPr>
        <w:t>It is intended that the Distribution, together with certain related transactions, will qualify as a generally tax-free “reorganization” within the meaning of Section 368(a</w:t>
      </w:r>
      <w:r>
        <w:rPr>
          <w:rFonts w:ascii="Arial" w:eastAsia="Arial" w:hAnsi="Arial" w:cs="Arial"/>
          <w:sz w:val="16"/>
          <w:szCs w:val="16"/>
        </w:rPr>
        <w:t>)(1)(D) of the Code and a generally tax-free distribution within the meaning of Section 355 of the Code. The consummation of the Separation and the related transactions is conditioned upon the receipt of the opinion of Davis Polk &amp; Wardwell LLP to the effe</w:t>
      </w:r>
      <w:r>
        <w:rPr>
          <w:rFonts w:ascii="Arial" w:eastAsia="Arial" w:hAnsi="Arial" w:cs="Arial"/>
          <w:sz w:val="16"/>
          <w:szCs w:val="16"/>
        </w:rPr>
        <w:t>ct that such transactions will qualify for this intended tax treatment and that LB’s use of proceeds from the LB Cash Payment should qualify as money distributed to LB creditors or stockholders in connection with the “reorganization.” In addition, it is in</w:t>
      </w:r>
      <w:r>
        <w:rPr>
          <w:rFonts w:ascii="Arial" w:eastAsia="Arial" w:hAnsi="Arial" w:cs="Arial"/>
          <w:sz w:val="16"/>
          <w:szCs w:val="16"/>
        </w:rPr>
        <w:t>tended that the Restructuring steps generally will qualify as transactions that are tax-free for U.S. federal income tax and applicable non-U.S. tax purposes. The opinion will rely on certain representations, assumptions and undertakings, including those r</w:t>
      </w:r>
      <w:r>
        <w:rPr>
          <w:rFonts w:ascii="Arial" w:eastAsia="Arial" w:hAnsi="Arial" w:cs="Arial"/>
          <w:sz w:val="16"/>
          <w:szCs w:val="16"/>
        </w:rPr>
        <w:t>elating to the past and future conduct of our business, and the opinion would not be valid if such representations, assumptions and undertakings were incorrect. Notwithstanding the opinion, the IRS could determine that the Distribution should be treated as</w:t>
      </w:r>
      <w:r>
        <w:rPr>
          <w:rFonts w:ascii="Arial" w:eastAsia="Arial" w:hAnsi="Arial" w:cs="Arial"/>
          <w:sz w:val="16"/>
          <w:szCs w:val="16"/>
        </w:rPr>
        <w:t xml:space="preserve"> a taxable transaction for U.S. federal income tax purposes if it determines that any of the representations, assumptions or undertakings that were relied on for the opinion are false or have been violated, if it disagrees with the conclusions in the opini</w:t>
      </w:r>
      <w:r>
        <w:rPr>
          <w:rFonts w:ascii="Arial" w:eastAsia="Arial" w:hAnsi="Arial" w:cs="Arial"/>
          <w:sz w:val="16"/>
          <w:szCs w:val="16"/>
        </w:rPr>
        <w:t>on, or for other reasons, including as a result of significant changes in the stock ownership of LB or us after the Distribution. For more information regarding the opinions see “The Separation—Material U.S. Federal Income Tax Consequences of the Distribut</w:t>
      </w:r>
      <w:r>
        <w:rPr>
          <w:rFonts w:ascii="Arial" w:eastAsia="Arial" w:hAnsi="Arial" w:cs="Arial"/>
          <w:sz w:val="16"/>
          <w:szCs w:val="16"/>
        </w:rPr>
        <w:t>ion—Tax Opinion.”</w:t>
      </w:r>
    </w:p>
    <w:p w14:paraId="46B134BD" w14:textId="77777777" w:rsidR="00D1587D" w:rsidRDefault="00D1587D">
      <w:pPr>
        <w:spacing w:line="59" w:lineRule="exact"/>
        <w:rPr>
          <w:sz w:val="20"/>
          <w:szCs w:val="20"/>
        </w:rPr>
      </w:pPr>
    </w:p>
    <w:p w14:paraId="17410DBB" w14:textId="77777777" w:rsidR="00D1587D" w:rsidRDefault="00410D07">
      <w:pPr>
        <w:spacing w:line="257" w:lineRule="auto"/>
        <w:ind w:left="300" w:right="299" w:firstLine="360"/>
        <w:rPr>
          <w:sz w:val="20"/>
          <w:szCs w:val="20"/>
        </w:rPr>
      </w:pPr>
      <w:r>
        <w:rPr>
          <w:rFonts w:ascii="Arial" w:eastAsia="Arial" w:hAnsi="Arial" w:cs="Arial"/>
          <w:sz w:val="18"/>
          <w:szCs w:val="18"/>
        </w:rPr>
        <w:t>If the Restructuring and Distribution fail to qualify for tax-free treatment, for any reason, LB and/or holders of LB common stock would be subject to substantial U.S. and/or applicable non-U.S. taxes as a result of the Restructuring, Di</w:t>
      </w:r>
      <w:r>
        <w:rPr>
          <w:rFonts w:ascii="Arial" w:eastAsia="Arial" w:hAnsi="Arial" w:cs="Arial"/>
          <w:sz w:val="18"/>
          <w:szCs w:val="18"/>
        </w:rPr>
        <w:t>stribution and certain related transactions, and we could incur significant liabilities under applicable law or as a result of the Tax Matters Agreement. See “The Separation—Material U.S. Federal Income Tax Consequences of the Distribution.”</w:t>
      </w:r>
    </w:p>
    <w:p w14:paraId="35B8806C" w14:textId="77777777" w:rsidR="00D1587D" w:rsidRDefault="00D1587D">
      <w:pPr>
        <w:spacing w:line="188" w:lineRule="exact"/>
        <w:rPr>
          <w:sz w:val="20"/>
          <w:szCs w:val="20"/>
        </w:rPr>
      </w:pPr>
    </w:p>
    <w:p w14:paraId="02237FA3" w14:textId="77777777" w:rsidR="00D1587D" w:rsidRDefault="00410D07">
      <w:pPr>
        <w:spacing w:line="311" w:lineRule="auto"/>
        <w:ind w:left="300" w:right="479" w:firstLine="360"/>
        <w:rPr>
          <w:sz w:val="20"/>
          <w:szCs w:val="20"/>
        </w:rPr>
      </w:pPr>
      <w:r>
        <w:rPr>
          <w:rFonts w:ascii="Arial" w:eastAsia="Arial" w:hAnsi="Arial" w:cs="Arial"/>
          <w:b/>
          <w:bCs/>
          <w:i/>
          <w:iCs/>
          <w:sz w:val="16"/>
          <w:szCs w:val="16"/>
        </w:rPr>
        <w:t>If the Distri</w:t>
      </w:r>
      <w:r>
        <w:rPr>
          <w:rFonts w:ascii="Arial" w:eastAsia="Arial" w:hAnsi="Arial" w:cs="Arial"/>
          <w:b/>
          <w:bCs/>
          <w:i/>
          <w:iCs/>
          <w:sz w:val="16"/>
          <w:szCs w:val="16"/>
        </w:rPr>
        <w:t>bution is taxable to LB as a result of a breach by us of any covenant or representation made by us in the Tax Matters Agreement (as defined below), we generally will be required to indemnify LB; the obligation to make payments on this indemnification oblig</w:t>
      </w:r>
      <w:r>
        <w:rPr>
          <w:rFonts w:ascii="Arial" w:eastAsia="Arial" w:hAnsi="Arial" w:cs="Arial"/>
          <w:b/>
          <w:bCs/>
          <w:i/>
          <w:iCs/>
          <w:sz w:val="16"/>
          <w:szCs w:val="16"/>
        </w:rPr>
        <w:t>ation could have a material adverse effect on us.</w:t>
      </w:r>
    </w:p>
    <w:p w14:paraId="26E43FDF" w14:textId="77777777" w:rsidR="00D1587D" w:rsidRDefault="00D1587D">
      <w:pPr>
        <w:spacing w:line="41" w:lineRule="exact"/>
        <w:rPr>
          <w:sz w:val="20"/>
          <w:szCs w:val="20"/>
        </w:rPr>
      </w:pPr>
    </w:p>
    <w:p w14:paraId="1D731593" w14:textId="77777777" w:rsidR="00D1587D" w:rsidRDefault="00410D07">
      <w:pPr>
        <w:spacing w:line="269" w:lineRule="auto"/>
        <w:ind w:left="300" w:right="299" w:firstLine="360"/>
        <w:rPr>
          <w:sz w:val="20"/>
          <w:szCs w:val="20"/>
        </w:rPr>
      </w:pPr>
      <w:r>
        <w:rPr>
          <w:rFonts w:ascii="Arial" w:eastAsia="Arial" w:hAnsi="Arial" w:cs="Arial"/>
          <w:sz w:val="17"/>
          <w:szCs w:val="17"/>
        </w:rPr>
        <w:t xml:space="preserve">As described above, it is intended that the Distribution, together with certain related transactions, will qualify as generally tax-free transactions to LB and to holders of LB common stock, except </w:t>
      </w:r>
      <w:r>
        <w:rPr>
          <w:rFonts w:ascii="Arial" w:eastAsia="Arial" w:hAnsi="Arial" w:cs="Arial"/>
          <w:sz w:val="17"/>
          <w:szCs w:val="17"/>
        </w:rPr>
        <w:t>with respect to any cash received in lieu of fractional shares. If the Distribution and/or related transactions are not so treated or are taxable to LB (see “The Separation—Material U.S. Federal Income Tax Consequences of the Distribution”) due to a breach</w:t>
      </w:r>
      <w:r>
        <w:rPr>
          <w:rFonts w:ascii="Arial" w:eastAsia="Arial" w:hAnsi="Arial" w:cs="Arial"/>
          <w:sz w:val="17"/>
          <w:szCs w:val="17"/>
        </w:rPr>
        <w:t xml:space="preserve"> by us (or any of our subsidiaries) of any covenant or representation made by us in the Tax Matters Agreement, we generally will be required to indemnify LB for all tax-related losses suffered by LB. In addition, we will not control the resolution of any t</w:t>
      </w:r>
      <w:r>
        <w:rPr>
          <w:rFonts w:ascii="Arial" w:eastAsia="Arial" w:hAnsi="Arial" w:cs="Arial"/>
          <w:sz w:val="17"/>
          <w:szCs w:val="17"/>
        </w:rPr>
        <w:t>ax contest relating to taxes suffered by LB in connection with the Separation, and we may not control the resolution of tax contests relating to any other taxes for which we may ultimately have an indemnity obligation under the Tax Matters Agreement. In th</w:t>
      </w:r>
      <w:r>
        <w:rPr>
          <w:rFonts w:ascii="Arial" w:eastAsia="Arial" w:hAnsi="Arial" w:cs="Arial"/>
          <w:sz w:val="17"/>
          <w:szCs w:val="17"/>
        </w:rPr>
        <w:t>e event that LB suffers tax-related losses in connection with the Separation that must be indemnified by us under the Tax Matters Agreement, the indemnification liability could have a material adverse effect on us.</w:t>
      </w:r>
    </w:p>
    <w:p w14:paraId="630F5E6D" w14:textId="77777777" w:rsidR="00D1587D" w:rsidRDefault="00D1587D">
      <w:pPr>
        <w:spacing w:line="182" w:lineRule="exact"/>
        <w:rPr>
          <w:sz w:val="20"/>
          <w:szCs w:val="20"/>
        </w:rPr>
      </w:pPr>
    </w:p>
    <w:p w14:paraId="5FA65403" w14:textId="77777777" w:rsidR="00D1587D" w:rsidRDefault="00410D07">
      <w:pPr>
        <w:jc w:val="center"/>
        <w:rPr>
          <w:sz w:val="20"/>
          <w:szCs w:val="20"/>
        </w:rPr>
      </w:pPr>
      <w:r>
        <w:rPr>
          <w:rFonts w:ascii="Arial" w:eastAsia="Arial" w:hAnsi="Arial" w:cs="Arial"/>
          <w:sz w:val="18"/>
          <w:szCs w:val="18"/>
        </w:rPr>
        <w:t>23</w:t>
      </w:r>
    </w:p>
    <w:p w14:paraId="0AF1DDD2" w14:textId="77777777" w:rsidR="00D1587D" w:rsidRDefault="00410D07">
      <w:pPr>
        <w:spacing w:line="20" w:lineRule="exact"/>
        <w:rPr>
          <w:sz w:val="20"/>
          <w:szCs w:val="20"/>
        </w:rPr>
      </w:pPr>
      <w:r>
        <w:rPr>
          <w:noProof/>
          <w:sz w:val="20"/>
          <w:szCs w:val="20"/>
        </w:rPr>
        <w:drawing>
          <wp:anchor distT="0" distB="0" distL="114300" distR="114300" simplePos="0" relativeHeight="251465728" behindDoc="1" locked="0" layoutInCell="0" allowOverlap="1" wp14:anchorId="45DCC575" wp14:editId="418FEBC7">
            <wp:simplePos x="0" y="0"/>
            <wp:positionH relativeFrom="column">
              <wp:posOffset>-636905</wp:posOffset>
            </wp:positionH>
            <wp:positionV relativeFrom="paragraph">
              <wp:posOffset>134620</wp:posOffset>
            </wp:positionV>
            <wp:extent cx="6995160" cy="17145"/>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BD775E3" w14:textId="77777777" w:rsidR="00D1587D" w:rsidRDefault="00D1587D">
      <w:pPr>
        <w:sectPr w:rsidR="00D1587D">
          <w:pgSz w:w="11900" w:h="16838"/>
          <w:pgMar w:top="265" w:right="1440" w:bottom="1440" w:left="1440" w:header="0" w:footer="0" w:gutter="0"/>
          <w:cols w:space="720" w:equalWidth="0">
            <w:col w:w="9019"/>
          </w:cols>
        </w:sectPr>
      </w:pPr>
    </w:p>
    <w:bookmarkStart w:id="281" w:name="page282"/>
    <w:bookmarkEnd w:id="281"/>
    <w:p w14:paraId="13D272F0"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w:instrText>
      </w:r>
      <w:r>
        <w:instrText xml:space="preserve">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B902334" w14:textId="77777777" w:rsidR="00D1587D" w:rsidRDefault="00D1587D">
      <w:pPr>
        <w:spacing w:line="131" w:lineRule="exact"/>
        <w:rPr>
          <w:sz w:val="20"/>
          <w:szCs w:val="20"/>
        </w:rPr>
      </w:pPr>
    </w:p>
    <w:p w14:paraId="33A33657" w14:textId="77777777" w:rsidR="00D1587D" w:rsidRDefault="00410D07">
      <w:pPr>
        <w:spacing w:line="277" w:lineRule="auto"/>
        <w:ind w:left="300" w:right="899" w:firstLine="360"/>
        <w:rPr>
          <w:sz w:val="20"/>
          <w:szCs w:val="20"/>
        </w:rPr>
      </w:pPr>
      <w:r>
        <w:rPr>
          <w:rFonts w:ascii="Arial" w:eastAsia="Arial" w:hAnsi="Arial" w:cs="Arial"/>
          <w:b/>
          <w:bCs/>
          <w:i/>
          <w:iCs/>
          <w:sz w:val="18"/>
          <w:szCs w:val="18"/>
        </w:rPr>
        <w:t>We will be subject to significant restrictions on our actions following the Separation in order to avoid triggering significant tax-related liabilities.</w:t>
      </w:r>
    </w:p>
    <w:p w14:paraId="17688724" w14:textId="77777777" w:rsidR="00D1587D" w:rsidRDefault="00D1587D">
      <w:pPr>
        <w:spacing w:line="62" w:lineRule="exact"/>
        <w:rPr>
          <w:sz w:val="20"/>
          <w:szCs w:val="20"/>
        </w:rPr>
      </w:pPr>
    </w:p>
    <w:p w14:paraId="20153A42" w14:textId="77777777" w:rsidR="00D1587D" w:rsidRDefault="00410D07">
      <w:pPr>
        <w:ind w:left="660"/>
        <w:rPr>
          <w:sz w:val="20"/>
          <w:szCs w:val="20"/>
        </w:rPr>
      </w:pPr>
      <w:r>
        <w:rPr>
          <w:rFonts w:ascii="Arial" w:eastAsia="Arial" w:hAnsi="Arial" w:cs="Arial"/>
          <w:sz w:val="17"/>
          <w:szCs w:val="17"/>
        </w:rPr>
        <w:t>The Tax Matters Agreement generally will prohibit us from taking certain</w:t>
      </w:r>
      <w:r>
        <w:rPr>
          <w:rFonts w:ascii="Arial" w:eastAsia="Arial" w:hAnsi="Arial" w:cs="Arial"/>
          <w:sz w:val="17"/>
          <w:szCs w:val="17"/>
        </w:rPr>
        <w:t xml:space="preserve"> actions that could cause the</w:t>
      </w:r>
    </w:p>
    <w:p w14:paraId="6968C912" w14:textId="77777777" w:rsidR="00D1587D" w:rsidRDefault="00D1587D">
      <w:pPr>
        <w:spacing w:line="35" w:lineRule="exact"/>
        <w:rPr>
          <w:sz w:val="20"/>
          <w:szCs w:val="20"/>
        </w:rPr>
      </w:pPr>
    </w:p>
    <w:p w14:paraId="73F6A23C" w14:textId="77777777" w:rsidR="00D1587D" w:rsidRDefault="00410D07">
      <w:pPr>
        <w:ind w:left="300"/>
        <w:rPr>
          <w:sz w:val="20"/>
          <w:szCs w:val="20"/>
        </w:rPr>
      </w:pPr>
      <w:r>
        <w:rPr>
          <w:rFonts w:ascii="Arial" w:eastAsia="Arial" w:hAnsi="Arial" w:cs="Arial"/>
          <w:sz w:val="18"/>
          <w:szCs w:val="18"/>
        </w:rPr>
        <w:t>Distribution and certain related transactions to fail to qualify as tax-free transactions, including:</w:t>
      </w:r>
    </w:p>
    <w:p w14:paraId="57BACAD0" w14:textId="77777777" w:rsidR="00D1587D" w:rsidRDefault="00D1587D">
      <w:pPr>
        <w:spacing w:line="103" w:lineRule="exact"/>
        <w:rPr>
          <w:sz w:val="20"/>
          <w:szCs w:val="20"/>
        </w:rPr>
      </w:pPr>
    </w:p>
    <w:p w14:paraId="34036082" w14:textId="77777777" w:rsidR="00D1587D" w:rsidRDefault="00410D07" w:rsidP="00410D07">
      <w:pPr>
        <w:numPr>
          <w:ilvl w:val="0"/>
          <w:numId w:val="248"/>
        </w:numPr>
        <w:tabs>
          <w:tab w:val="left" w:pos="1000"/>
        </w:tabs>
        <w:spacing w:line="263" w:lineRule="auto"/>
        <w:ind w:left="1000" w:right="479" w:hanging="348"/>
        <w:rPr>
          <w:rFonts w:ascii="Arial" w:eastAsia="Arial" w:hAnsi="Arial" w:cs="Arial"/>
          <w:sz w:val="18"/>
          <w:szCs w:val="18"/>
        </w:rPr>
      </w:pPr>
      <w:r>
        <w:rPr>
          <w:rFonts w:ascii="Arial" w:eastAsia="Arial" w:hAnsi="Arial" w:cs="Arial"/>
          <w:sz w:val="18"/>
          <w:szCs w:val="18"/>
        </w:rPr>
        <w:t>During the two-year period following the Distribution Date (or otherwise pursuant to a “plan” within the meaning of Sectio</w:t>
      </w:r>
      <w:r>
        <w:rPr>
          <w:rFonts w:ascii="Arial" w:eastAsia="Arial" w:hAnsi="Arial" w:cs="Arial"/>
          <w:sz w:val="18"/>
          <w:szCs w:val="18"/>
        </w:rPr>
        <w:t>n 355(e) of the Code), we may not cause or permit certain business combinations or transactions to occur;</w:t>
      </w:r>
    </w:p>
    <w:p w14:paraId="009A37FE" w14:textId="77777777" w:rsidR="00D1587D" w:rsidRDefault="00D1587D">
      <w:pPr>
        <w:spacing w:line="75" w:lineRule="exact"/>
        <w:rPr>
          <w:rFonts w:ascii="Arial" w:eastAsia="Arial" w:hAnsi="Arial" w:cs="Arial"/>
          <w:sz w:val="18"/>
          <w:szCs w:val="18"/>
        </w:rPr>
      </w:pPr>
    </w:p>
    <w:p w14:paraId="3762B9CE" w14:textId="77777777" w:rsidR="00D1587D" w:rsidRDefault="00410D07" w:rsidP="00410D07">
      <w:pPr>
        <w:numPr>
          <w:ilvl w:val="0"/>
          <w:numId w:val="248"/>
        </w:numPr>
        <w:tabs>
          <w:tab w:val="left" w:pos="1000"/>
        </w:tabs>
        <w:spacing w:line="277" w:lineRule="auto"/>
        <w:ind w:left="1000" w:right="399" w:hanging="348"/>
        <w:rPr>
          <w:rFonts w:ascii="Arial" w:eastAsia="Arial" w:hAnsi="Arial" w:cs="Arial"/>
          <w:sz w:val="18"/>
          <w:szCs w:val="18"/>
        </w:rPr>
      </w:pPr>
      <w:r>
        <w:rPr>
          <w:rFonts w:ascii="Arial" w:eastAsia="Arial" w:hAnsi="Arial" w:cs="Arial"/>
          <w:sz w:val="18"/>
          <w:szCs w:val="18"/>
        </w:rPr>
        <w:t xml:space="preserve">During the two-year period following the Distribution Date, we may not discontinue the active conduct of our business (within the meaning of </w:t>
      </w:r>
      <w:r>
        <w:rPr>
          <w:rFonts w:ascii="Arial" w:eastAsia="Arial" w:hAnsi="Arial" w:cs="Arial"/>
          <w:sz w:val="18"/>
          <w:szCs w:val="18"/>
        </w:rPr>
        <w:t>Section 355(b)(2) of the Code);</w:t>
      </w:r>
    </w:p>
    <w:p w14:paraId="617EE5F5" w14:textId="77777777" w:rsidR="00D1587D" w:rsidRDefault="00D1587D">
      <w:pPr>
        <w:spacing w:line="62" w:lineRule="exact"/>
        <w:rPr>
          <w:rFonts w:ascii="Arial" w:eastAsia="Arial" w:hAnsi="Arial" w:cs="Arial"/>
          <w:sz w:val="18"/>
          <w:szCs w:val="18"/>
        </w:rPr>
      </w:pPr>
    </w:p>
    <w:p w14:paraId="5C48D04D" w14:textId="77777777" w:rsidR="00D1587D" w:rsidRDefault="00410D07" w:rsidP="00410D07">
      <w:pPr>
        <w:numPr>
          <w:ilvl w:val="0"/>
          <w:numId w:val="248"/>
        </w:numPr>
        <w:tabs>
          <w:tab w:val="left" w:pos="1000"/>
        </w:tabs>
        <w:spacing w:line="286" w:lineRule="auto"/>
        <w:ind w:left="1000" w:right="679" w:hanging="348"/>
        <w:rPr>
          <w:rFonts w:ascii="Arial" w:eastAsia="Arial" w:hAnsi="Arial" w:cs="Arial"/>
          <w:sz w:val="17"/>
          <w:szCs w:val="17"/>
        </w:rPr>
      </w:pPr>
      <w:r>
        <w:rPr>
          <w:rFonts w:ascii="Arial" w:eastAsia="Arial" w:hAnsi="Arial" w:cs="Arial"/>
          <w:sz w:val="17"/>
          <w:szCs w:val="17"/>
        </w:rPr>
        <w:t xml:space="preserve">During the two-year period following the Distribution Date, we may not sell or otherwise issue our common stock, other than pursuant to issuances that satisfy certain regulatory safe harbors set forth in Treasury </w:t>
      </w:r>
      <w:r>
        <w:rPr>
          <w:rFonts w:ascii="Arial" w:eastAsia="Arial" w:hAnsi="Arial" w:cs="Arial"/>
          <w:sz w:val="17"/>
          <w:szCs w:val="17"/>
        </w:rPr>
        <w:t>regulations related to stock issued to employees and retirement plans;</w:t>
      </w:r>
    </w:p>
    <w:p w14:paraId="706C142E" w14:textId="77777777" w:rsidR="00D1587D" w:rsidRDefault="00D1587D">
      <w:pPr>
        <w:spacing w:line="57" w:lineRule="exact"/>
        <w:rPr>
          <w:rFonts w:ascii="Arial" w:eastAsia="Arial" w:hAnsi="Arial" w:cs="Arial"/>
          <w:sz w:val="17"/>
          <w:szCs w:val="17"/>
        </w:rPr>
      </w:pPr>
    </w:p>
    <w:p w14:paraId="7D4F0C5D" w14:textId="77777777" w:rsidR="00D1587D" w:rsidRDefault="00410D07" w:rsidP="00410D07">
      <w:pPr>
        <w:numPr>
          <w:ilvl w:val="0"/>
          <w:numId w:val="248"/>
        </w:numPr>
        <w:tabs>
          <w:tab w:val="left" w:pos="1000"/>
        </w:tabs>
        <w:spacing w:line="263" w:lineRule="auto"/>
        <w:ind w:left="1000" w:right="419" w:hanging="348"/>
        <w:rPr>
          <w:rFonts w:ascii="Arial" w:eastAsia="Arial" w:hAnsi="Arial" w:cs="Arial"/>
          <w:sz w:val="18"/>
          <w:szCs w:val="18"/>
        </w:rPr>
      </w:pPr>
      <w:r>
        <w:rPr>
          <w:rFonts w:ascii="Arial" w:eastAsia="Arial" w:hAnsi="Arial" w:cs="Arial"/>
          <w:sz w:val="18"/>
          <w:szCs w:val="18"/>
        </w:rPr>
        <w:t xml:space="preserve">During the two-year period following the Distribution Date, we may not redeem or otherwise acquire any of our common stock, other than pursuant to open-market repurchases of less than </w:t>
      </w:r>
      <w:r>
        <w:rPr>
          <w:rFonts w:ascii="Arial" w:eastAsia="Arial" w:hAnsi="Arial" w:cs="Arial"/>
          <w:sz w:val="18"/>
          <w:szCs w:val="18"/>
        </w:rPr>
        <w:t>20% of our common stock (in the aggregate);</w:t>
      </w:r>
    </w:p>
    <w:p w14:paraId="5C9A3C1A" w14:textId="77777777" w:rsidR="00D1587D" w:rsidRDefault="00D1587D">
      <w:pPr>
        <w:spacing w:line="75" w:lineRule="exact"/>
        <w:rPr>
          <w:rFonts w:ascii="Arial" w:eastAsia="Arial" w:hAnsi="Arial" w:cs="Arial"/>
          <w:sz w:val="18"/>
          <w:szCs w:val="18"/>
        </w:rPr>
      </w:pPr>
    </w:p>
    <w:p w14:paraId="24009613" w14:textId="77777777" w:rsidR="00D1587D" w:rsidRDefault="00410D07" w:rsidP="00410D07">
      <w:pPr>
        <w:numPr>
          <w:ilvl w:val="0"/>
          <w:numId w:val="248"/>
        </w:numPr>
        <w:tabs>
          <w:tab w:val="left" w:pos="1000"/>
        </w:tabs>
        <w:spacing w:line="263" w:lineRule="auto"/>
        <w:ind w:left="1000" w:right="399" w:hanging="348"/>
        <w:rPr>
          <w:rFonts w:ascii="Arial" w:eastAsia="Arial" w:hAnsi="Arial" w:cs="Arial"/>
          <w:sz w:val="18"/>
          <w:szCs w:val="18"/>
        </w:rPr>
      </w:pPr>
      <w:r>
        <w:rPr>
          <w:rFonts w:ascii="Arial" w:eastAsia="Arial" w:hAnsi="Arial" w:cs="Arial"/>
          <w:sz w:val="18"/>
          <w:szCs w:val="18"/>
        </w:rPr>
        <w:t>During the two-year period following the Distribution Date, we may not amend our certificate of incorporation (or other organizational documents) or take any other action, whether through a stockholder vote or o</w:t>
      </w:r>
      <w:r>
        <w:rPr>
          <w:rFonts w:ascii="Arial" w:eastAsia="Arial" w:hAnsi="Arial" w:cs="Arial"/>
          <w:sz w:val="18"/>
          <w:szCs w:val="18"/>
        </w:rPr>
        <w:t>therwise, affecting the voting rights of our common stock; and</w:t>
      </w:r>
    </w:p>
    <w:p w14:paraId="458A2E92" w14:textId="77777777" w:rsidR="00D1587D" w:rsidRDefault="00D1587D">
      <w:pPr>
        <w:spacing w:line="75" w:lineRule="exact"/>
        <w:rPr>
          <w:rFonts w:ascii="Arial" w:eastAsia="Arial" w:hAnsi="Arial" w:cs="Arial"/>
          <w:sz w:val="18"/>
          <w:szCs w:val="18"/>
        </w:rPr>
      </w:pPr>
    </w:p>
    <w:p w14:paraId="61295E72" w14:textId="77777777" w:rsidR="00D1587D" w:rsidRDefault="00410D07" w:rsidP="00410D07">
      <w:pPr>
        <w:numPr>
          <w:ilvl w:val="0"/>
          <w:numId w:val="248"/>
        </w:numPr>
        <w:tabs>
          <w:tab w:val="left" w:pos="1000"/>
        </w:tabs>
        <w:spacing w:line="263" w:lineRule="auto"/>
        <w:ind w:left="1000" w:right="359" w:hanging="348"/>
        <w:rPr>
          <w:rFonts w:ascii="Arial" w:eastAsia="Arial" w:hAnsi="Arial" w:cs="Arial"/>
          <w:sz w:val="18"/>
          <w:szCs w:val="18"/>
        </w:rPr>
      </w:pPr>
      <w:r>
        <w:rPr>
          <w:rFonts w:ascii="Arial" w:eastAsia="Arial" w:hAnsi="Arial" w:cs="Arial"/>
          <w:sz w:val="18"/>
          <w:szCs w:val="18"/>
        </w:rPr>
        <w:t>More generally, we may not take any action that could reasonably be expected to cause the Separation and certain related transactions to fail to qualify as tax-free transactions for U.S. feder</w:t>
      </w:r>
      <w:r>
        <w:rPr>
          <w:rFonts w:ascii="Arial" w:eastAsia="Arial" w:hAnsi="Arial" w:cs="Arial"/>
          <w:sz w:val="18"/>
          <w:szCs w:val="18"/>
        </w:rPr>
        <w:t>al income tax purposes or for non-U.S. tax purposes.</w:t>
      </w:r>
    </w:p>
    <w:p w14:paraId="0B19193A" w14:textId="77777777" w:rsidR="00D1587D" w:rsidRDefault="00D1587D">
      <w:pPr>
        <w:spacing w:line="76" w:lineRule="exact"/>
        <w:rPr>
          <w:sz w:val="20"/>
          <w:szCs w:val="20"/>
        </w:rPr>
      </w:pPr>
    </w:p>
    <w:p w14:paraId="5CE9896E" w14:textId="77777777" w:rsidR="00D1587D" w:rsidRDefault="00410D07">
      <w:pPr>
        <w:spacing w:line="293" w:lineRule="auto"/>
        <w:ind w:left="300" w:right="359" w:firstLine="360"/>
        <w:rPr>
          <w:sz w:val="20"/>
          <w:szCs w:val="20"/>
        </w:rPr>
      </w:pPr>
      <w:r>
        <w:rPr>
          <w:rFonts w:ascii="Arial" w:eastAsia="Arial" w:hAnsi="Arial" w:cs="Arial"/>
          <w:sz w:val="16"/>
          <w:szCs w:val="16"/>
        </w:rPr>
        <w:t>If we take any of the actions above and such actions result in tax-related losses to LB, we generally will be required to indemnify LB for such tax-related losses under the Tax Matters Agreement. See “T</w:t>
      </w:r>
      <w:r>
        <w:rPr>
          <w:rFonts w:ascii="Arial" w:eastAsia="Arial" w:hAnsi="Arial" w:cs="Arial"/>
          <w:sz w:val="16"/>
          <w:szCs w:val="16"/>
        </w:rPr>
        <w:t>he Separation— Agreements with LB—Tax Matters Agreement.” Due to these restrictions and indemnification obligations under the Tax Matters Agreement, we may be limited in our ability to pursue strategic transactions, equity or convertible debt financings or</w:t>
      </w:r>
      <w:r>
        <w:rPr>
          <w:rFonts w:ascii="Arial" w:eastAsia="Arial" w:hAnsi="Arial" w:cs="Arial"/>
          <w:sz w:val="16"/>
          <w:szCs w:val="16"/>
        </w:rPr>
        <w:t xml:space="preserve"> other transactions that may otherwise be in our best interests. Also, our potential indemnity obligation to LB might discourage, delay or prevent a change of control that our stockholders may consider favorable.</w:t>
      </w:r>
    </w:p>
    <w:p w14:paraId="064A261E" w14:textId="77777777" w:rsidR="00D1587D" w:rsidRDefault="00D1587D">
      <w:pPr>
        <w:spacing w:line="164" w:lineRule="exact"/>
        <w:rPr>
          <w:sz w:val="20"/>
          <w:szCs w:val="20"/>
        </w:rPr>
      </w:pPr>
    </w:p>
    <w:p w14:paraId="65A5089D" w14:textId="77777777" w:rsidR="00D1587D" w:rsidRDefault="00410D07">
      <w:pPr>
        <w:spacing w:line="342" w:lineRule="auto"/>
        <w:ind w:left="300" w:right="479" w:firstLine="360"/>
        <w:rPr>
          <w:sz w:val="20"/>
          <w:szCs w:val="20"/>
        </w:rPr>
      </w:pPr>
      <w:r>
        <w:rPr>
          <w:rFonts w:ascii="Arial" w:eastAsia="Arial" w:hAnsi="Arial" w:cs="Arial"/>
          <w:b/>
          <w:bCs/>
          <w:i/>
          <w:iCs/>
          <w:sz w:val="16"/>
          <w:szCs w:val="16"/>
        </w:rPr>
        <w:t xml:space="preserve">Our accounting and other </w:t>
      </w:r>
      <w:r>
        <w:rPr>
          <w:rFonts w:ascii="Arial" w:eastAsia="Arial" w:hAnsi="Arial" w:cs="Arial"/>
          <w:b/>
          <w:bCs/>
          <w:i/>
          <w:iCs/>
          <w:sz w:val="16"/>
          <w:szCs w:val="16"/>
        </w:rPr>
        <w:t>management systems and resources may not be adequately prepared to meet the financial reporting and other requirements to which we will be subject following the Separation.</w:t>
      </w:r>
    </w:p>
    <w:p w14:paraId="07486653" w14:textId="77777777" w:rsidR="00D1587D" w:rsidRDefault="00D1587D">
      <w:pPr>
        <w:spacing w:line="16" w:lineRule="exact"/>
        <w:rPr>
          <w:sz w:val="20"/>
          <w:szCs w:val="20"/>
        </w:rPr>
      </w:pPr>
    </w:p>
    <w:p w14:paraId="7F8A3838" w14:textId="77777777" w:rsidR="00D1587D" w:rsidRDefault="00410D07">
      <w:pPr>
        <w:spacing w:line="290" w:lineRule="auto"/>
        <w:ind w:left="300" w:right="399" w:firstLine="360"/>
        <w:rPr>
          <w:sz w:val="20"/>
          <w:szCs w:val="20"/>
        </w:rPr>
      </w:pPr>
      <w:r>
        <w:rPr>
          <w:rFonts w:ascii="Arial" w:eastAsia="Arial" w:hAnsi="Arial" w:cs="Arial"/>
          <w:sz w:val="16"/>
          <w:szCs w:val="16"/>
        </w:rPr>
        <w:t>Prior to the Separation, our financial results were included within the consolidat</w:t>
      </w:r>
      <w:r>
        <w:rPr>
          <w:rFonts w:ascii="Arial" w:eastAsia="Arial" w:hAnsi="Arial" w:cs="Arial"/>
          <w:sz w:val="16"/>
          <w:szCs w:val="16"/>
        </w:rPr>
        <w:t>ed results of LB, and we were not directly subject to reporting and other requirements of the Exchange Act. These and other obligations will place significant demands on our management, administrative, and operational resources, including accounting and in</w:t>
      </w:r>
      <w:r>
        <w:rPr>
          <w:rFonts w:ascii="Arial" w:eastAsia="Arial" w:hAnsi="Arial" w:cs="Arial"/>
          <w:sz w:val="16"/>
          <w:szCs w:val="16"/>
        </w:rPr>
        <w:t>formation technology resources. To comply with these requirements, we anticipate that we will need to duplicate information technology infrastructure, implement additional financial and management controls, reporting systems and procedures and hire additio</w:t>
      </w:r>
      <w:r>
        <w:rPr>
          <w:rFonts w:ascii="Arial" w:eastAsia="Arial" w:hAnsi="Arial" w:cs="Arial"/>
          <w:sz w:val="16"/>
          <w:szCs w:val="16"/>
        </w:rPr>
        <w:t xml:space="preserve">nal accounting, finance, tax, treasury and information technology staff. If we are unable to do this in a timely and effective fashion, our ability to comply with our financial reporting requirements and other rules that apply to reporting companies could </w:t>
      </w:r>
      <w:r>
        <w:rPr>
          <w:rFonts w:ascii="Arial" w:eastAsia="Arial" w:hAnsi="Arial" w:cs="Arial"/>
          <w:sz w:val="16"/>
          <w:szCs w:val="16"/>
        </w:rPr>
        <w:t>be impaired and our business could be harmed.</w:t>
      </w:r>
    </w:p>
    <w:p w14:paraId="749BB3C7" w14:textId="77777777" w:rsidR="00D1587D" w:rsidRDefault="00D1587D">
      <w:pPr>
        <w:spacing w:line="215" w:lineRule="exact"/>
        <w:rPr>
          <w:sz w:val="20"/>
          <w:szCs w:val="20"/>
        </w:rPr>
      </w:pPr>
    </w:p>
    <w:p w14:paraId="144CC7D1" w14:textId="77777777" w:rsidR="00D1587D" w:rsidRDefault="00410D07">
      <w:pPr>
        <w:ind w:left="300"/>
        <w:rPr>
          <w:sz w:val="20"/>
          <w:szCs w:val="20"/>
        </w:rPr>
      </w:pPr>
      <w:r>
        <w:rPr>
          <w:rFonts w:ascii="Arial" w:eastAsia="Arial" w:hAnsi="Arial" w:cs="Arial"/>
          <w:b/>
          <w:bCs/>
          <w:sz w:val="18"/>
          <w:szCs w:val="18"/>
        </w:rPr>
        <w:t>Risks Relating to Our Business</w:t>
      </w:r>
    </w:p>
    <w:p w14:paraId="609A4D67" w14:textId="77777777" w:rsidR="00D1587D" w:rsidRDefault="00D1587D">
      <w:pPr>
        <w:spacing w:line="121" w:lineRule="exact"/>
        <w:rPr>
          <w:sz w:val="20"/>
          <w:szCs w:val="20"/>
        </w:rPr>
      </w:pPr>
    </w:p>
    <w:p w14:paraId="1A985644" w14:textId="77777777" w:rsidR="00D1587D" w:rsidRDefault="00410D07">
      <w:pPr>
        <w:spacing w:line="263" w:lineRule="auto"/>
        <w:ind w:left="300" w:right="499" w:firstLine="360"/>
        <w:rPr>
          <w:sz w:val="20"/>
          <w:szCs w:val="20"/>
        </w:rPr>
      </w:pPr>
      <w:r>
        <w:rPr>
          <w:rFonts w:ascii="Arial" w:eastAsia="Arial" w:hAnsi="Arial" w:cs="Arial"/>
          <w:b/>
          <w:bCs/>
          <w:i/>
          <w:iCs/>
          <w:sz w:val="18"/>
          <w:szCs w:val="18"/>
        </w:rPr>
        <w:t>Our net sales, profit results and cash flows are sensitive to, and may be affected by, general economic conditions, consumer confidence, spending patterns, significant health ha</w:t>
      </w:r>
      <w:r>
        <w:rPr>
          <w:rFonts w:ascii="Arial" w:eastAsia="Arial" w:hAnsi="Arial" w:cs="Arial"/>
          <w:b/>
          <w:bCs/>
          <w:i/>
          <w:iCs/>
          <w:sz w:val="18"/>
          <w:szCs w:val="18"/>
        </w:rPr>
        <w:t>zards or pandemics, weather or other market disruptions.</w:t>
      </w:r>
    </w:p>
    <w:p w14:paraId="61322D1E" w14:textId="77777777" w:rsidR="00D1587D" w:rsidRDefault="00D1587D">
      <w:pPr>
        <w:spacing w:line="76" w:lineRule="exact"/>
        <w:rPr>
          <w:sz w:val="20"/>
          <w:szCs w:val="20"/>
        </w:rPr>
      </w:pPr>
    </w:p>
    <w:p w14:paraId="5CF9BD80" w14:textId="77777777" w:rsidR="00D1587D" w:rsidRDefault="00410D07">
      <w:pPr>
        <w:spacing w:line="293" w:lineRule="auto"/>
        <w:ind w:left="300" w:right="519" w:firstLine="360"/>
        <w:rPr>
          <w:sz w:val="20"/>
          <w:szCs w:val="20"/>
        </w:rPr>
      </w:pPr>
      <w:r>
        <w:rPr>
          <w:rFonts w:ascii="Arial" w:eastAsia="Arial" w:hAnsi="Arial" w:cs="Arial"/>
          <w:sz w:val="16"/>
          <w:szCs w:val="16"/>
        </w:rPr>
        <w:t>Our net sales, profit, cash flows and future growth may be affected by negative local, regional, national or international political or economic trends or developments that reduce the consumers’ abi</w:t>
      </w:r>
      <w:r>
        <w:rPr>
          <w:rFonts w:ascii="Arial" w:eastAsia="Arial" w:hAnsi="Arial" w:cs="Arial"/>
          <w:sz w:val="16"/>
          <w:szCs w:val="16"/>
        </w:rPr>
        <w:t>lity or willingness to spend, including the effects of national and international security concerns such as war, terrorism or the threat thereof. In addition, market disruptions due to natural disasters, significant health hazards or pandemics, or other ma</w:t>
      </w:r>
      <w:r>
        <w:rPr>
          <w:rFonts w:ascii="Arial" w:eastAsia="Arial" w:hAnsi="Arial" w:cs="Arial"/>
          <w:sz w:val="16"/>
          <w:szCs w:val="16"/>
        </w:rPr>
        <w:t>jor events or the prospect of these events could also impact consumer spending and confidence levels. Extreme weather conditions in the areas in which our stores are located, particularly in markets where we have</w:t>
      </w:r>
    </w:p>
    <w:p w14:paraId="73E7BD06" w14:textId="77777777" w:rsidR="00D1587D" w:rsidRDefault="00D1587D">
      <w:pPr>
        <w:spacing w:line="164" w:lineRule="exact"/>
        <w:rPr>
          <w:sz w:val="20"/>
          <w:szCs w:val="20"/>
        </w:rPr>
      </w:pPr>
    </w:p>
    <w:p w14:paraId="1C4B941B" w14:textId="77777777" w:rsidR="00D1587D" w:rsidRDefault="00410D07">
      <w:pPr>
        <w:jc w:val="center"/>
        <w:rPr>
          <w:sz w:val="20"/>
          <w:szCs w:val="20"/>
        </w:rPr>
      </w:pPr>
      <w:r>
        <w:rPr>
          <w:rFonts w:ascii="Arial" w:eastAsia="Arial" w:hAnsi="Arial" w:cs="Arial"/>
          <w:sz w:val="18"/>
          <w:szCs w:val="18"/>
        </w:rPr>
        <w:t>24</w:t>
      </w:r>
    </w:p>
    <w:p w14:paraId="1A7D8C47" w14:textId="77777777" w:rsidR="00D1587D" w:rsidRDefault="00410D07">
      <w:pPr>
        <w:spacing w:line="20" w:lineRule="exact"/>
        <w:rPr>
          <w:sz w:val="20"/>
          <w:szCs w:val="20"/>
        </w:rPr>
      </w:pPr>
      <w:r>
        <w:rPr>
          <w:noProof/>
          <w:sz w:val="20"/>
          <w:szCs w:val="20"/>
        </w:rPr>
        <w:drawing>
          <wp:anchor distT="0" distB="0" distL="114300" distR="114300" simplePos="0" relativeHeight="251466752" behindDoc="1" locked="0" layoutInCell="0" allowOverlap="1" wp14:anchorId="4954F5B4" wp14:editId="5B62CE02">
            <wp:simplePos x="0" y="0"/>
            <wp:positionH relativeFrom="column">
              <wp:posOffset>-636905</wp:posOffset>
            </wp:positionH>
            <wp:positionV relativeFrom="paragraph">
              <wp:posOffset>126365</wp:posOffset>
            </wp:positionV>
            <wp:extent cx="6995160" cy="17145"/>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D7B49AC" w14:textId="77777777" w:rsidR="00D1587D" w:rsidRDefault="00D1587D">
      <w:pPr>
        <w:sectPr w:rsidR="00D1587D">
          <w:pgSz w:w="11900" w:h="16838"/>
          <w:pgMar w:top="265" w:right="1440" w:bottom="1440" w:left="1440" w:header="0" w:footer="0" w:gutter="0"/>
          <w:cols w:space="720" w:equalWidth="0">
            <w:col w:w="9019"/>
          </w:cols>
        </w:sectPr>
      </w:pPr>
    </w:p>
    <w:bookmarkStart w:id="282" w:name="page283"/>
    <w:bookmarkEnd w:id="282"/>
    <w:p w14:paraId="5DC6291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6226C5C" w14:textId="77777777" w:rsidR="00D1587D" w:rsidRDefault="00D1587D">
      <w:pPr>
        <w:spacing w:line="131" w:lineRule="exact"/>
        <w:rPr>
          <w:sz w:val="20"/>
          <w:szCs w:val="20"/>
        </w:rPr>
      </w:pPr>
    </w:p>
    <w:p w14:paraId="41A3D093" w14:textId="77777777" w:rsidR="00D1587D" w:rsidRDefault="00410D07">
      <w:pPr>
        <w:spacing w:line="259" w:lineRule="auto"/>
        <w:ind w:left="300" w:right="519"/>
        <w:rPr>
          <w:sz w:val="20"/>
          <w:szCs w:val="20"/>
        </w:rPr>
      </w:pPr>
      <w:r>
        <w:rPr>
          <w:rFonts w:ascii="Arial" w:eastAsia="Arial" w:hAnsi="Arial" w:cs="Arial"/>
          <w:sz w:val="18"/>
          <w:szCs w:val="18"/>
        </w:rPr>
        <w:t xml:space="preserve">multiple stores, could adversely affect our business. Purchases of our products may decline during periods when economic or market conditions are unsettled or weak. In such circumstances, we may </w:t>
      </w:r>
      <w:r>
        <w:rPr>
          <w:rFonts w:ascii="Arial" w:eastAsia="Arial" w:hAnsi="Arial" w:cs="Arial"/>
          <w:sz w:val="18"/>
          <w:szCs w:val="18"/>
        </w:rPr>
        <w:t>increase the number of promotional sales, which could have a material adverse effect on our results of operations, financial condition and cash flows.</w:t>
      </w:r>
    </w:p>
    <w:p w14:paraId="4485785C" w14:textId="77777777" w:rsidR="00D1587D" w:rsidRDefault="00D1587D">
      <w:pPr>
        <w:spacing w:line="79" w:lineRule="exact"/>
        <w:rPr>
          <w:sz w:val="20"/>
          <w:szCs w:val="20"/>
        </w:rPr>
      </w:pPr>
    </w:p>
    <w:p w14:paraId="4F673CE9" w14:textId="77777777" w:rsidR="00D1587D" w:rsidRDefault="00410D07">
      <w:pPr>
        <w:spacing w:line="291" w:lineRule="auto"/>
        <w:ind w:left="300" w:right="359" w:firstLine="360"/>
        <w:rPr>
          <w:sz w:val="20"/>
          <w:szCs w:val="20"/>
        </w:rPr>
      </w:pPr>
      <w:r>
        <w:rPr>
          <w:rFonts w:ascii="Arial" w:eastAsia="Arial" w:hAnsi="Arial" w:cs="Arial"/>
          <w:sz w:val="16"/>
          <w:szCs w:val="16"/>
        </w:rPr>
        <w:t>The decision by the U.K. to leave the European Union (commonly referred to as “Brexit”) has increased th</w:t>
      </w:r>
      <w:r>
        <w:rPr>
          <w:rFonts w:ascii="Arial" w:eastAsia="Arial" w:hAnsi="Arial" w:cs="Arial"/>
          <w:sz w:val="16"/>
          <w:szCs w:val="16"/>
        </w:rPr>
        <w:t>e uncertainty in the economic and political environment in Europe. On December 24, 2020, the U.K. and EU reached a post-Brexit Trade and Cooperation Agreement that contains new rules governing the new relationship between the U.K. and the EU, including wit</w:t>
      </w:r>
      <w:r>
        <w:rPr>
          <w:rFonts w:ascii="Arial" w:eastAsia="Arial" w:hAnsi="Arial" w:cs="Arial"/>
          <w:sz w:val="16"/>
          <w:szCs w:val="16"/>
        </w:rPr>
        <w:t>h respect to trade, travel and immigration among other things. Our business in the U.K. may be adversely impacted by ongoing uncertainty, fluctuations in currency exchange rates, changes in trade policies, or changes in labor, immigration, tax, data privac</w:t>
      </w:r>
      <w:r>
        <w:rPr>
          <w:rFonts w:ascii="Arial" w:eastAsia="Arial" w:hAnsi="Arial" w:cs="Arial"/>
          <w:sz w:val="16"/>
          <w:szCs w:val="16"/>
        </w:rPr>
        <w:t>y or other laws. Any of these effects, among others, could materially and adversely affect our business, results of operations, and financial condition.</w:t>
      </w:r>
    </w:p>
    <w:p w14:paraId="4698882B" w14:textId="77777777" w:rsidR="00D1587D" w:rsidRDefault="00D1587D">
      <w:pPr>
        <w:spacing w:line="166" w:lineRule="exact"/>
        <w:rPr>
          <w:sz w:val="20"/>
          <w:szCs w:val="20"/>
        </w:rPr>
      </w:pPr>
    </w:p>
    <w:p w14:paraId="64ACA512" w14:textId="77777777" w:rsidR="00D1587D" w:rsidRDefault="00410D07">
      <w:pPr>
        <w:spacing w:line="277" w:lineRule="auto"/>
        <w:ind w:left="300" w:right="859" w:firstLine="360"/>
        <w:rPr>
          <w:sz w:val="20"/>
          <w:szCs w:val="20"/>
        </w:rPr>
      </w:pPr>
      <w:r>
        <w:rPr>
          <w:rFonts w:ascii="Arial" w:eastAsia="Arial" w:hAnsi="Arial" w:cs="Arial"/>
          <w:b/>
          <w:bCs/>
          <w:i/>
          <w:iCs/>
          <w:sz w:val="18"/>
          <w:szCs w:val="18"/>
        </w:rPr>
        <w:t>The COVID-19 global pandemic has had and is expected to continue to have an adverse effect on our busi</w:t>
      </w:r>
      <w:r>
        <w:rPr>
          <w:rFonts w:ascii="Arial" w:eastAsia="Arial" w:hAnsi="Arial" w:cs="Arial"/>
          <w:b/>
          <w:bCs/>
          <w:i/>
          <w:iCs/>
          <w:sz w:val="18"/>
          <w:szCs w:val="18"/>
        </w:rPr>
        <w:t>ness and results of operations.</w:t>
      </w:r>
    </w:p>
    <w:p w14:paraId="4E45A05E" w14:textId="77777777" w:rsidR="00D1587D" w:rsidRDefault="00D1587D">
      <w:pPr>
        <w:spacing w:line="62" w:lineRule="exact"/>
        <w:rPr>
          <w:sz w:val="20"/>
          <w:szCs w:val="20"/>
        </w:rPr>
      </w:pPr>
    </w:p>
    <w:p w14:paraId="60262783" w14:textId="77777777" w:rsidR="00D1587D" w:rsidRDefault="00410D07">
      <w:pPr>
        <w:spacing w:line="286" w:lineRule="auto"/>
        <w:ind w:left="300" w:right="339" w:firstLine="360"/>
        <w:rPr>
          <w:sz w:val="20"/>
          <w:szCs w:val="20"/>
        </w:rPr>
      </w:pPr>
      <w:r>
        <w:rPr>
          <w:rFonts w:ascii="Arial" w:eastAsia="Arial" w:hAnsi="Arial" w:cs="Arial"/>
          <w:sz w:val="16"/>
          <w:szCs w:val="16"/>
        </w:rPr>
        <w:t>In March 2020, the COVID-19 pandemic was declared a global pandemic by the World Health Organization. This pandemic has negatively affected the U.S. and global economies, disrupted global supply chains and financial markets</w:t>
      </w:r>
      <w:r>
        <w:rPr>
          <w:rFonts w:ascii="Arial" w:eastAsia="Arial" w:hAnsi="Arial" w:cs="Arial"/>
          <w:sz w:val="16"/>
          <w:szCs w:val="16"/>
        </w:rPr>
        <w:t>, and led to significant travel and transportation restrictions, including mandatory closures and orders to “shelter-in-place.” The actions that governments around the world have taken to contain the spread of COVID-19 have resulted in a period of disrupti</w:t>
      </w:r>
      <w:r>
        <w:rPr>
          <w:rFonts w:ascii="Arial" w:eastAsia="Arial" w:hAnsi="Arial" w:cs="Arial"/>
          <w:sz w:val="16"/>
          <w:szCs w:val="16"/>
        </w:rPr>
        <w:t>on, including closure of our stores, limited store operating hours, reduced customer traffic and consumer spending and delays in manufacturing and shipping of products and raw materials. During this period, we are focused on protecting the health and safet</w:t>
      </w:r>
      <w:r>
        <w:rPr>
          <w:rFonts w:ascii="Arial" w:eastAsia="Arial" w:hAnsi="Arial" w:cs="Arial"/>
          <w:sz w:val="16"/>
          <w:szCs w:val="16"/>
        </w:rPr>
        <w:t>y of our customers, employees, contractors, suppliers, and other business partners. We are also working with our suppliers to minimize potential disruptions, while managing our business in response to a changing dynamic. Our business operations and financi</w:t>
      </w:r>
      <w:r>
        <w:rPr>
          <w:rFonts w:ascii="Arial" w:eastAsia="Arial" w:hAnsi="Arial" w:cs="Arial"/>
          <w:sz w:val="16"/>
          <w:szCs w:val="16"/>
        </w:rPr>
        <w:t>al performance for 2020 have been materially impacted by the COVID-19 pandemic. All of our stores in North America were closed on March 17, 2020 and almost all remained closed throughout the remainder of the first quarter. We reopened our stores by the end</w:t>
      </w:r>
      <w:r>
        <w:rPr>
          <w:rFonts w:ascii="Arial" w:eastAsia="Arial" w:hAnsi="Arial" w:cs="Arial"/>
          <w:sz w:val="16"/>
          <w:szCs w:val="16"/>
        </w:rPr>
        <w:t xml:space="preserve"> of the second quarter 2020 in accordance with local restrictions and where we believed we could provide for the safety and well-being of our employees and customers. Due to the uncertainty of COVID-19 and the speed at which the pandemic continues to impac</w:t>
      </w:r>
      <w:r>
        <w:rPr>
          <w:rFonts w:ascii="Arial" w:eastAsia="Arial" w:hAnsi="Arial" w:cs="Arial"/>
          <w:sz w:val="16"/>
          <w:szCs w:val="16"/>
        </w:rPr>
        <w:t>t our markets, we are continuing to assess the situation, including government-imposed restrictions, market by market.</w:t>
      </w:r>
    </w:p>
    <w:p w14:paraId="32C6C5FA" w14:textId="77777777" w:rsidR="00D1587D" w:rsidRDefault="00D1587D">
      <w:pPr>
        <w:spacing w:line="59" w:lineRule="exact"/>
        <w:rPr>
          <w:sz w:val="20"/>
          <w:szCs w:val="20"/>
        </w:rPr>
      </w:pPr>
    </w:p>
    <w:p w14:paraId="0EA5C531" w14:textId="77777777" w:rsidR="00D1587D" w:rsidRDefault="00410D07">
      <w:pPr>
        <w:spacing w:line="287" w:lineRule="auto"/>
        <w:ind w:left="300" w:right="339" w:firstLine="360"/>
        <w:rPr>
          <w:sz w:val="20"/>
          <w:szCs w:val="20"/>
        </w:rPr>
      </w:pPr>
      <w:r>
        <w:rPr>
          <w:rFonts w:ascii="Arial" w:eastAsia="Arial" w:hAnsi="Arial" w:cs="Arial"/>
          <w:sz w:val="16"/>
          <w:szCs w:val="16"/>
        </w:rPr>
        <w:t>We are unable to accurately predict the full impact that COVID-19 will have on our operations going forward due to uncertainties which w</w:t>
      </w:r>
      <w:r>
        <w:rPr>
          <w:rFonts w:ascii="Arial" w:eastAsia="Arial" w:hAnsi="Arial" w:cs="Arial"/>
          <w:sz w:val="16"/>
          <w:szCs w:val="16"/>
        </w:rPr>
        <w:t xml:space="preserve">ill be dictated by the length of time that such disruptions continue, which will, in turn, depend on the currently unknowable duration and spread of the COVID-19 pandemic, actions taken to limit the spread, and the public’s willingness to comply with such </w:t>
      </w:r>
      <w:r>
        <w:rPr>
          <w:rFonts w:ascii="Arial" w:eastAsia="Arial" w:hAnsi="Arial" w:cs="Arial"/>
          <w:sz w:val="16"/>
          <w:szCs w:val="16"/>
        </w:rPr>
        <w:t>actions, the availability and efficacy of a vaccine and positive treatments for COVID-19, and the impact of governmental regulations that might be imposed in response to the pandemic. Numerous state and local jurisdictions have imposed, and others in the f</w:t>
      </w:r>
      <w:r>
        <w:rPr>
          <w:rFonts w:ascii="Arial" w:eastAsia="Arial" w:hAnsi="Arial" w:cs="Arial"/>
          <w:sz w:val="16"/>
          <w:szCs w:val="16"/>
        </w:rPr>
        <w:t>uture may impose, shelter-in-place orders, quarantines, executive orders and similar government orders and restrictions for their residents to control the spread of COVID-19. Such orders, restrictions and changes in consumer behavior have negatively impact</w:t>
      </w:r>
      <w:r>
        <w:rPr>
          <w:rFonts w:ascii="Arial" w:eastAsia="Arial" w:hAnsi="Arial" w:cs="Arial"/>
          <w:sz w:val="16"/>
          <w:szCs w:val="16"/>
        </w:rPr>
        <w:t>ed our operations, especially in our stores. In addition to these more near-term impacts, we are unable to accurately predict the full impact COVID-19 will have on our longer-term operations as well, particularly with respect to our current mix of merchand</w:t>
      </w:r>
      <w:r>
        <w:rPr>
          <w:rFonts w:ascii="Arial" w:eastAsia="Arial" w:hAnsi="Arial" w:cs="Arial"/>
          <w:sz w:val="16"/>
          <w:szCs w:val="16"/>
        </w:rPr>
        <w:t>ise offerings, event-based categories and store traffic trends.</w:t>
      </w:r>
    </w:p>
    <w:p w14:paraId="088A9337" w14:textId="77777777" w:rsidR="00D1587D" w:rsidRDefault="00D1587D">
      <w:pPr>
        <w:spacing w:line="64" w:lineRule="exact"/>
        <w:rPr>
          <w:sz w:val="20"/>
          <w:szCs w:val="20"/>
        </w:rPr>
      </w:pPr>
    </w:p>
    <w:p w14:paraId="473E511D" w14:textId="77777777" w:rsidR="00D1587D" w:rsidRDefault="00410D07">
      <w:pPr>
        <w:spacing w:line="301" w:lineRule="auto"/>
        <w:ind w:left="300" w:right="319" w:firstLine="360"/>
        <w:rPr>
          <w:sz w:val="20"/>
          <w:szCs w:val="20"/>
        </w:rPr>
      </w:pPr>
      <w:r>
        <w:rPr>
          <w:rFonts w:ascii="Arial" w:eastAsia="Arial" w:hAnsi="Arial" w:cs="Arial"/>
          <w:sz w:val="16"/>
          <w:szCs w:val="16"/>
        </w:rPr>
        <w:t>To the extent COVID-19 adversely affects our business, operations, financial condition and operating results, it may also have the effect of heightening many of the other risks described in t</w:t>
      </w:r>
      <w:r>
        <w:rPr>
          <w:rFonts w:ascii="Arial" w:eastAsia="Arial" w:hAnsi="Arial" w:cs="Arial"/>
          <w:sz w:val="16"/>
          <w:szCs w:val="16"/>
        </w:rPr>
        <w:t>his “Risk Factors” section, such as those relating to our high level of indebtedness, our need to generate sufficient cash flows to service our indebtedness and our ability to comply with the covenants contained in the agreements that govern our indebtedne</w:t>
      </w:r>
      <w:r>
        <w:rPr>
          <w:rFonts w:ascii="Arial" w:eastAsia="Arial" w:hAnsi="Arial" w:cs="Arial"/>
          <w:sz w:val="16"/>
          <w:szCs w:val="16"/>
        </w:rPr>
        <w:t>ss.</w:t>
      </w:r>
    </w:p>
    <w:p w14:paraId="3CBA9EDA" w14:textId="77777777" w:rsidR="00D1587D" w:rsidRDefault="00D1587D">
      <w:pPr>
        <w:spacing w:line="157" w:lineRule="exact"/>
        <w:rPr>
          <w:sz w:val="20"/>
          <w:szCs w:val="20"/>
        </w:rPr>
      </w:pPr>
    </w:p>
    <w:p w14:paraId="5E6CD873" w14:textId="77777777" w:rsidR="00D1587D" w:rsidRDefault="00410D07">
      <w:pPr>
        <w:spacing w:line="277" w:lineRule="auto"/>
        <w:ind w:left="300" w:right="719" w:firstLine="360"/>
        <w:rPr>
          <w:sz w:val="20"/>
          <w:szCs w:val="20"/>
        </w:rPr>
      </w:pPr>
      <w:r>
        <w:rPr>
          <w:rFonts w:ascii="Arial" w:eastAsia="Arial" w:hAnsi="Arial" w:cs="Arial"/>
          <w:b/>
          <w:bCs/>
          <w:i/>
          <w:iCs/>
          <w:sz w:val="18"/>
          <w:szCs w:val="18"/>
        </w:rPr>
        <w:t>We have incurred operating losses in the past and we cannot assure you that we will be able to generate sufficient revenue to sustain profitability in the future.</w:t>
      </w:r>
    </w:p>
    <w:p w14:paraId="10B8AA04" w14:textId="77777777" w:rsidR="00D1587D" w:rsidRDefault="00D1587D">
      <w:pPr>
        <w:spacing w:line="62" w:lineRule="exact"/>
        <w:rPr>
          <w:sz w:val="20"/>
          <w:szCs w:val="20"/>
        </w:rPr>
      </w:pPr>
    </w:p>
    <w:p w14:paraId="175F270F" w14:textId="77777777" w:rsidR="00D1587D" w:rsidRDefault="00410D07">
      <w:pPr>
        <w:spacing w:line="279" w:lineRule="auto"/>
        <w:ind w:left="300" w:right="359" w:firstLine="360"/>
        <w:rPr>
          <w:sz w:val="20"/>
          <w:szCs w:val="20"/>
        </w:rPr>
      </w:pPr>
      <w:r>
        <w:rPr>
          <w:rFonts w:ascii="Arial" w:eastAsia="Arial" w:hAnsi="Arial" w:cs="Arial"/>
          <w:sz w:val="17"/>
          <w:szCs w:val="17"/>
        </w:rPr>
        <w:t xml:space="preserve">For the years ended January 30, 2021 and February 1, 2020, we had net losses of $72 </w:t>
      </w:r>
      <w:r>
        <w:rPr>
          <w:rFonts w:ascii="Arial" w:eastAsia="Arial" w:hAnsi="Arial" w:cs="Arial"/>
          <w:sz w:val="17"/>
          <w:szCs w:val="17"/>
        </w:rPr>
        <w:t>million and $897 million, respectively, and for the thirteen weeks ended May 2, 2020, we had a net loss of $299 million. In 2019, the net loss included a $720 million charge related to the impairment of goodwill. In 2020, our business operations and financ</w:t>
      </w:r>
      <w:r>
        <w:rPr>
          <w:rFonts w:ascii="Arial" w:eastAsia="Arial" w:hAnsi="Arial" w:cs="Arial"/>
          <w:sz w:val="17"/>
          <w:szCs w:val="17"/>
        </w:rPr>
        <w:t>ial performance were materially impacted by the COVID-19 pandemic. See also “Risk</w:t>
      </w:r>
    </w:p>
    <w:p w14:paraId="386A287E" w14:textId="77777777" w:rsidR="00D1587D" w:rsidRDefault="00D1587D">
      <w:pPr>
        <w:spacing w:line="171" w:lineRule="exact"/>
        <w:rPr>
          <w:sz w:val="20"/>
          <w:szCs w:val="20"/>
        </w:rPr>
      </w:pPr>
    </w:p>
    <w:p w14:paraId="5BA02C88" w14:textId="77777777" w:rsidR="00D1587D" w:rsidRDefault="00410D07">
      <w:pPr>
        <w:ind w:right="19"/>
        <w:jc w:val="center"/>
        <w:rPr>
          <w:sz w:val="20"/>
          <w:szCs w:val="20"/>
        </w:rPr>
      </w:pPr>
      <w:r>
        <w:rPr>
          <w:rFonts w:ascii="Arial" w:eastAsia="Arial" w:hAnsi="Arial" w:cs="Arial"/>
          <w:sz w:val="18"/>
          <w:szCs w:val="18"/>
        </w:rPr>
        <w:t>25</w:t>
      </w:r>
    </w:p>
    <w:p w14:paraId="2AD9578A" w14:textId="77777777" w:rsidR="00D1587D" w:rsidRDefault="00410D07">
      <w:pPr>
        <w:spacing w:line="20" w:lineRule="exact"/>
        <w:rPr>
          <w:sz w:val="20"/>
          <w:szCs w:val="20"/>
        </w:rPr>
      </w:pPr>
      <w:r>
        <w:rPr>
          <w:noProof/>
          <w:sz w:val="20"/>
          <w:szCs w:val="20"/>
        </w:rPr>
        <w:drawing>
          <wp:anchor distT="0" distB="0" distL="114300" distR="114300" simplePos="0" relativeHeight="251467776" behindDoc="1" locked="0" layoutInCell="0" allowOverlap="1" wp14:anchorId="788617D6" wp14:editId="4B4D6946">
            <wp:simplePos x="0" y="0"/>
            <wp:positionH relativeFrom="column">
              <wp:posOffset>-636905</wp:posOffset>
            </wp:positionH>
            <wp:positionV relativeFrom="paragraph">
              <wp:posOffset>134620</wp:posOffset>
            </wp:positionV>
            <wp:extent cx="6995160" cy="17145"/>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F0025D1" w14:textId="77777777" w:rsidR="00D1587D" w:rsidRDefault="00D1587D">
      <w:pPr>
        <w:sectPr w:rsidR="00D1587D">
          <w:pgSz w:w="11900" w:h="16838"/>
          <w:pgMar w:top="265" w:right="1440" w:bottom="1440" w:left="1440" w:header="0" w:footer="0" w:gutter="0"/>
          <w:cols w:space="720" w:equalWidth="0">
            <w:col w:w="9019"/>
          </w:cols>
        </w:sectPr>
      </w:pPr>
    </w:p>
    <w:bookmarkStart w:id="283" w:name="page284"/>
    <w:bookmarkEnd w:id="283"/>
    <w:p w14:paraId="73B7B736"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9FC8F39" w14:textId="77777777" w:rsidR="00D1587D" w:rsidRDefault="00D1587D">
      <w:pPr>
        <w:spacing w:line="131" w:lineRule="exact"/>
        <w:rPr>
          <w:sz w:val="20"/>
          <w:szCs w:val="20"/>
        </w:rPr>
      </w:pPr>
    </w:p>
    <w:p w14:paraId="190F5A3F" w14:textId="77777777" w:rsidR="00D1587D" w:rsidRDefault="00410D07">
      <w:pPr>
        <w:spacing w:line="271" w:lineRule="auto"/>
        <w:ind w:left="300" w:right="439"/>
        <w:rPr>
          <w:sz w:val="20"/>
          <w:szCs w:val="20"/>
        </w:rPr>
      </w:pPr>
      <w:r>
        <w:rPr>
          <w:rFonts w:ascii="Arial" w:eastAsia="Arial" w:hAnsi="Arial" w:cs="Arial"/>
          <w:sz w:val="17"/>
          <w:szCs w:val="17"/>
        </w:rPr>
        <w:t>Factors—Risks Relating to Our Business—The COVID-19 global pandemic has had and is expected to continue</w:t>
      </w:r>
      <w:r>
        <w:rPr>
          <w:rFonts w:ascii="Arial" w:eastAsia="Arial" w:hAnsi="Arial" w:cs="Arial"/>
          <w:sz w:val="17"/>
          <w:szCs w:val="17"/>
        </w:rPr>
        <w:t xml:space="preserve"> to have an adverse effect on our business and results of operations” in this information statement. In response to the COVID-19 pandemic and in order to improve business performance, we launched a profit improvement plan beginning in the third quarter of </w:t>
      </w:r>
      <w:r>
        <w:rPr>
          <w:rFonts w:ascii="Arial" w:eastAsia="Arial" w:hAnsi="Arial" w:cs="Arial"/>
          <w:sz w:val="17"/>
          <w:szCs w:val="17"/>
        </w:rPr>
        <w:t>2020. Although we began to see performance improve in the third and fourth quarters of 2020 and reported net income of $174 million in the first quarter of 2021, we cannot assure you that we will generate sufficient revenue from our operations to remain pr</w:t>
      </w:r>
      <w:r>
        <w:rPr>
          <w:rFonts w:ascii="Arial" w:eastAsia="Arial" w:hAnsi="Arial" w:cs="Arial"/>
          <w:sz w:val="17"/>
          <w:szCs w:val="17"/>
        </w:rPr>
        <w:t>ofitable for any substantial period of time. Our failure to maintain profitability could negatively affect the value of our securities and our ability to repay our indebtedness, raise capital and continue operations.</w:t>
      </w:r>
    </w:p>
    <w:p w14:paraId="7D05E2DF" w14:textId="77777777" w:rsidR="00D1587D" w:rsidRDefault="00D1587D">
      <w:pPr>
        <w:spacing w:line="178" w:lineRule="exact"/>
        <w:rPr>
          <w:sz w:val="20"/>
          <w:szCs w:val="20"/>
        </w:rPr>
      </w:pPr>
    </w:p>
    <w:p w14:paraId="65DD89DC" w14:textId="77777777" w:rsidR="00D1587D" w:rsidRDefault="00410D07">
      <w:pPr>
        <w:ind w:left="660"/>
        <w:rPr>
          <w:sz w:val="20"/>
          <w:szCs w:val="20"/>
        </w:rPr>
      </w:pPr>
      <w:r>
        <w:rPr>
          <w:rFonts w:ascii="Arial" w:eastAsia="Arial" w:hAnsi="Arial" w:cs="Arial"/>
          <w:b/>
          <w:bCs/>
          <w:i/>
          <w:iCs/>
          <w:sz w:val="18"/>
          <w:szCs w:val="18"/>
        </w:rPr>
        <w:t xml:space="preserve">Our net sales, operating income, cash </w:t>
      </w:r>
      <w:r>
        <w:rPr>
          <w:rFonts w:ascii="Arial" w:eastAsia="Arial" w:hAnsi="Arial" w:cs="Arial"/>
          <w:b/>
          <w:bCs/>
          <w:i/>
          <w:iCs/>
          <w:sz w:val="18"/>
          <w:szCs w:val="18"/>
        </w:rPr>
        <w:t>and inventory levels fluctuate on a seasonal basis.</w:t>
      </w:r>
    </w:p>
    <w:p w14:paraId="7EFE98B5" w14:textId="77777777" w:rsidR="00D1587D" w:rsidRDefault="00D1587D">
      <w:pPr>
        <w:spacing w:line="117" w:lineRule="exact"/>
        <w:rPr>
          <w:sz w:val="20"/>
          <w:szCs w:val="20"/>
        </w:rPr>
      </w:pPr>
    </w:p>
    <w:p w14:paraId="08354527" w14:textId="77777777" w:rsidR="00D1587D" w:rsidRDefault="00410D07">
      <w:pPr>
        <w:spacing w:line="259" w:lineRule="auto"/>
        <w:ind w:left="300" w:right="459" w:firstLine="360"/>
        <w:rPr>
          <w:sz w:val="20"/>
          <w:szCs w:val="20"/>
        </w:rPr>
      </w:pPr>
      <w:r>
        <w:rPr>
          <w:rFonts w:ascii="Arial" w:eastAsia="Arial" w:hAnsi="Arial" w:cs="Arial"/>
          <w:sz w:val="18"/>
          <w:szCs w:val="18"/>
        </w:rPr>
        <w:t>We experience major seasonal fluctuations in our net sales and operating income, with a significant portion of our operating income typically realized during the fourth quarter holiday season. Any decrea</w:t>
      </w:r>
      <w:r>
        <w:rPr>
          <w:rFonts w:ascii="Arial" w:eastAsia="Arial" w:hAnsi="Arial" w:cs="Arial"/>
          <w:sz w:val="18"/>
          <w:szCs w:val="18"/>
        </w:rPr>
        <w:t>se in sales or margins during this period could have a material adverse effect on our results of operations, financial condition and cash flows.</w:t>
      </w:r>
    </w:p>
    <w:p w14:paraId="7EAAA422" w14:textId="77777777" w:rsidR="00D1587D" w:rsidRDefault="00D1587D">
      <w:pPr>
        <w:spacing w:line="79" w:lineRule="exact"/>
        <w:rPr>
          <w:sz w:val="20"/>
          <w:szCs w:val="20"/>
        </w:rPr>
      </w:pPr>
    </w:p>
    <w:p w14:paraId="7367AAAE" w14:textId="77777777" w:rsidR="00D1587D" w:rsidRDefault="00410D07">
      <w:pPr>
        <w:spacing w:line="255" w:lineRule="auto"/>
        <w:ind w:left="300" w:right="339" w:firstLine="360"/>
        <w:rPr>
          <w:sz w:val="20"/>
          <w:szCs w:val="20"/>
        </w:rPr>
      </w:pPr>
      <w:r>
        <w:rPr>
          <w:rFonts w:ascii="Arial" w:eastAsia="Arial" w:hAnsi="Arial" w:cs="Arial"/>
          <w:sz w:val="18"/>
          <w:szCs w:val="18"/>
        </w:rPr>
        <w:t xml:space="preserve">Seasonal fluctuations also affect our cash and inventory levels, since we usually order merchandise in </w:t>
      </w:r>
      <w:r>
        <w:rPr>
          <w:rFonts w:ascii="Arial" w:eastAsia="Arial" w:hAnsi="Arial" w:cs="Arial"/>
          <w:sz w:val="18"/>
          <w:szCs w:val="18"/>
        </w:rPr>
        <w:t>advance of peak selling periods and sometimes before new fashion trends are confirmed by customer purchases. We must carry a significant amount of inventory, especially before the holiday season selling period. If we are not successful in selling inventory</w:t>
      </w:r>
      <w:r>
        <w:rPr>
          <w:rFonts w:ascii="Arial" w:eastAsia="Arial" w:hAnsi="Arial" w:cs="Arial"/>
          <w:sz w:val="18"/>
          <w:szCs w:val="18"/>
        </w:rPr>
        <w:t>, we may have to sell the inventory at significantly reduced prices or may not be able to sell the inventory at all, which could have a material adverse effect on our results of operations, financial condition and cash flows.</w:t>
      </w:r>
    </w:p>
    <w:p w14:paraId="6B0BB8A3" w14:textId="77777777" w:rsidR="00D1587D" w:rsidRDefault="00D1587D">
      <w:pPr>
        <w:spacing w:line="192" w:lineRule="exact"/>
        <w:rPr>
          <w:sz w:val="20"/>
          <w:szCs w:val="20"/>
        </w:rPr>
      </w:pPr>
    </w:p>
    <w:p w14:paraId="3BB746EB" w14:textId="77777777" w:rsidR="00D1587D" w:rsidRDefault="00410D07">
      <w:pPr>
        <w:spacing w:line="277" w:lineRule="auto"/>
        <w:ind w:left="300" w:right="1219" w:firstLine="360"/>
        <w:rPr>
          <w:sz w:val="20"/>
          <w:szCs w:val="20"/>
        </w:rPr>
      </w:pPr>
      <w:r>
        <w:rPr>
          <w:rFonts w:ascii="Arial" w:eastAsia="Arial" w:hAnsi="Arial" w:cs="Arial"/>
          <w:b/>
          <w:bCs/>
          <w:i/>
          <w:iCs/>
          <w:sz w:val="18"/>
          <w:szCs w:val="18"/>
        </w:rPr>
        <w:t xml:space="preserve">Turnover in company </w:t>
      </w:r>
      <w:r>
        <w:rPr>
          <w:rFonts w:ascii="Arial" w:eastAsia="Arial" w:hAnsi="Arial" w:cs="Arial"/>
          <w:b/>
          <w:bCs/>
          <w:i/>
          <w:iCs/>
          <w:sz w:val="18"/>
          <w:szCs w:val="18"/>
        </w:rPr>
        <w:t>leadership or other key positions may have an adverse impact on company performance.</w:t>
      </w:r>
    </w:p>
    <w:p w14:paraId="01286909" w14:textId="77777777" w:rsidR="00D1587D" w:rsidRDefault="00D1587D">
      <w:pPr>
        <w:spacing w:line="62" w:lineRule="exact"/>
        <w:rPr>
          <w:sz w:val="20"/>
          <w:szCs w:val="20"/>
        </w:rPr>
      </w:pPr>
    </w:p>
    <w:p w14:paraId="06523293" w14:textId="77777777" w:rsidR="00D1587D" w:rsidRDefault="00410D07">
      <w:pPr>
        <w:spacing w:line="291" w:lineRule="auto"/>
        <w:ind w:left="300" w:right="499" w:firstLine="360"/>
        <w:rPr>
          <w:sz w:val="20"/>
          <w:szCs w:val="20"/>
        </w:rPr>
      </w:pPr>
      <w:r>
        <w:rPr>
          <w:rFonts w:ascii="Arial" w:eastAsia="Arial" w:hAnsi="Arial" w:cs="Arial"/>
          <w:sz w:val="16"/>
          <w:szCs w:val="16"/>
        </w:rPr>
        <w:t>We may experience further changes in key leadership or key positions in the future. The departure of key leadership personnel can result in the loss of significant knowle</w:t>
      </w:r>
      <w:r>
        <w:rPr>
          <w:rFonts w:ascii="Arial" w:eastAsia="Arial" w:hAnsi="Arial" w:cs="Arial"/>
          <w:sz w:val="16"/>
          <w:szCs w:val="16"/>
        </w:rPr>
        <w:t xml:space="preserve">dge and experience. This loss of knowledge and experience can be mitigated through successful hiring and transition, but there can be no assurance that we will be successful in such efforts. Attracting and retaining qualified senior leadership may be more </w:t>
      </w:r>
      <w:r>
        <w:rPr>
          <w:rFonts w:ascii="Arial" w:eastAsia="Arial" w:hAnsi="Arial" w:cs="Arial"/>
          <w:sz w:val="16"/>
          <w:szCs w:val="16"/>
        </w:rPr>
        <w:t>challenging under adverse business conditions. Failure to attract and retain the right talent, or to smoothly manage the transition of responsibilities resulting from such turnover, could affect our ability to meet our challenges and may cause us to miss p</w:t>
      </w:r>
      <w:r>
        <w:rPr>
          <w:rFonts w:ascii="Arial" w:eastAsia="Arial" w:hAnsi="Arial" w:cs="Arial"/>
          <w:sz w:val="16"/>
          <w:szCs w:val="16"/>
        </w:rPr>
        <w:t>erformance objectives or financial targets or disrupt our relationships with our customers.</w:t>
      </w:r>
    </w:p>
    <w:p w14:paraId="1A6ADCA4" w14:textId="77777777" w:rsidR="00D1587D" w:rsidRDefault="00D1587D">
      <w:pPr>
        <w:spacing w:line="166" w:lineRule="exact"/>
        <w:rPr>
          <w:sz w:val="20"/>
          <w:szCs w:val="20"/>
        </w:rPr>
      </w:pPr>
    </w:p>
    <w:p w14:paraId="109F3723" w14:textId="77777777" w:rsidR="00D1587D" w:rsidRDefault="00410D07">
      <w:pPr>
        <w:spacing w:line="277" w:lineRule="auto"/>
        <w:ind w:left="300" w:right="719" w:firstLine="360"/>
        <w:rPr>
          <w:sz w:val="20"/>
          <w:szCs w:val="20"/>
        </w:rPr>
      </w:pPr>
      <w:r>
        <w:rPr>
          <w:rFonts w:ascii="Arial" w:eastAsia="Arial" w:hAnsi="Arial" w:cs="Arial"/>
          <w:b/>
          <w:bCs/>
          <w:i/>
          <w:iCs/>
          <w:sz w:val="18"/>
          <w:szCs w:val="18"/>
        </w:rPr>
        <w:t>We may be impacted by our ability to attract, develop and retain qualified associates and manage labor-related costs.</w:t>
      </w:r>
    </w:p>
    <w:p w14:paraId="4712ECB9" w14:textId="77777777" w:rsidR="00D1587D" w:rsidRDefault="00D1587D">
      <w:pPr>
        <w:spacing w:line="62" w:lineRule="exact"/>
        <w:rPr>
          <w:sz w:val="20"/>
          <w:szCs w:val="20"/>
        </w:rPr>
      </w:pPr>
    </w:p>
    <w:p w14:paraId="3C104B48" w14:textId="77777777" w:rsidR="00D1587D" w:rsidRDefault="00410D07">
      <w:pPr>
        <w:spacing w:line="269" w:lineRule="auto"/>
        <w:ind w:left="300" w:right="399" w:firstLine="360"/>
        <w:rPr>
          <w:sz w:val="20"/>
          <w:szCs w:val="20"/>
        </w:rPr>
      </w:pPr>
      <w:r>
        <w:rPr>
          <w:rFonts w:ascii="Arial" w:eastAsia="Arial" w:hAnsi="Arial" w:cs="Arial"/>
          <w:sz w:val="17"/>
          <w:szCs w:val="17"/>
        </w:rPr>
        <w:t>We believe our competitive advantage is prov</w:t>
      </w:r>
      <w:r>
        <w:rPr>
          <w:rFonts w:ascii="Arial" w:eastAsia="Arial" w:hAnsi="Arial" w:cs="Arial"/>
          <w:sz w:val="17"/>
          <w:szCs w:val="17"/>
        </w:rPr>
        <w:t>iding a positive, engaging and satisfying experience for each individual customer, which requires us to have highly trained and engaged associates. Our success depends in part upon our ability to attract, develop and retain a sufficient number of qualified</w:t>
      </w:r>
      <w:r>
        <w:rPr>
          <w:rFonts w:ascii="Arial" w:eastAsia="Arial" w:hAnsi="Arial" w:cs="Arial"/>
          <w:sz w:val="17"/>
          <w:szCs w:val="17"/>
        </w:rPr>
        <w:t xml:space="preserve"> associates, including store personnel and talented merchants. The turnover rate in the retail industry is generally high, and qualified individuals of the requisite caliber and number needed to fill these positions may be in short supply in some areas. Co</w:t>
      </w:r>
      <w:r>
        <w:rPr>
          <w:rFonts w:ascii="Arial" w:eastAsia="Arial" w:hAnsi="Arial" w:cs="Arial"/>
          <w:sz w:val="17"/>
          <w:szCs w:val="17"/>
        </w:rPr>
        <w:t>mpetition for such qualified individuals or changes in labor and healthcare laws could require us to incur higher labor costs. Our inability to recruit a sufficient number of qualified individuals in the future may delay planned openings of new stores or a</w:t>
      </w:r>
      <w:r>
        <w:rPr>
          <w:rFonts w:ascii="Arial" w:eastAsia="Arial" w:hAnsi="Arial" w:cs="Arial"/>
          <w:sz w:val="17"/>
          <w:szCs w:val="17"/>
        </w:rPr>
        <w:t xml:space="preserve">ffect the speed with which we expand. Delayed store openings, significant increases in associate turnover rates or significant increases in labor-related costs could have a material adverse effect on our results of operations, financial condition and cash </w:t>
      </w:r>
      <w:r>
        <w:rPr>
          <w:rFonts w:ascii="Arial" w:eastAsia="Arial" w:hAnsi="Arial" w:cs="Arial"/>
          <w:sz w:val="17"/>
          <w:szCs w:val="17"/>
        </w:rPr>
        <w:t>flows.</w:t>
      </w:r>
    </w:p>
    <w:p w14:paraId="5824DF8C" w14:textId="77777777" w:rsidR="00D1587D" w:rsidRDefault="00D1587D">
      <w:pPr>
        <w:spacing w:line="185" w:lineRule="exact"/>
        <w:rPr>
          <w:sz w:val="20"/>
          <w:szCs w:val="20"/>
        </w:rPr>
      </w:pPr>
    </w:p>
    <w:p w14:paraId="19A0E843" w14:textId="77777777" w:rsidR="00D1587D" w:rsidRDefault="00410D07">
      <w:pPr>
        <w:ind w:left="660"/>
        <w:rPr>
          <w:sz w:val="20"/>
          <w:szCs w:val="20"/>
        </w:rPr>
      </w:pPr>
      <w:r>
        <w:rPr>
          <w:rFonts w:ascii="Arial" w:eastAsia="Arial" w:hAnsi="Arial" w:cs="Arial"/>
          <w:b/>
          <w:bCs/>
          <w:i/>
          <w:iCs/>
          <w:sz w:val="16"/>
          <w:szCs w:val="16"/>
        </w:rPr>
        <w:t>Our net sales depend on a volume of traffic to our stores and the availability of suitable lease space.</w:t>
      </w:r>
    </w:p>
    <w:p w14:paraId="4CFB031E" w14:textId="77777777" w:rsidR="00D1587D" w:rsidRDefault="00D1587D">
      <w:pPr>
        <w:spacing w:line="140" w:lineRule="exact"/>
        <w:rPr>
          <w:sz w:val="20"/>
          <w:szCs w:val="20"/>
        </w:rPr>
      </w:pPr>
    </w:p>
    <w:p w14:paraId="54B37941" w14:textId="77777777" w:rsidR="00D1587D" w:rsidRDefault="00410D07">
      <w:pPr>
        <w:spacing w:line="289" w:lineRule="auto"/>
        <w:ind w:left="300" w:right="299" w:firstLine="360"/>
        <w:rPr>
          <w:sz w:val="20"/>
          <w:szCs w:val="20"/>
        </w:rPr>
      </w:pPr>
      <w:r>
        <w:rPr>
          <w:rFonts w:ascii="Arial" w:eastAsia="Arial" w:hAnsi="Arial" w:cs="Arial"/>
          <w:sz w:val="16"/>
          <w:szCs w:val="16"/>
        </w:rPr>
        <w:t>Most of our stores are located in retail shopping areas including malls and other types of retail centers. Sales at these stores are derived, i</w:t>
      </w:r>
      <w:r>
        <w:rPr>
          <w:rFonts w:ascii="Arial" w:eastAsia="Arial" w:hAnsi="Arial" w:cs="Arial"/>
          <w:sz w:val="16"/>
          <w:szCs w:val="16"/>
        </w:rPr>
        <w:t>n part, from the volume of traffic in those retail areas. Our stores benefit from the ability of the retail center and other attractions in an area, including “destination” retail stores, to generate consumer traffic in the vicinity of our stores. Sales vo</w:t>
      </w:r>
      <w:r>
        <w:rPr>
          <w:rFonts w:ascii="Arial" w:eastAsia="Arial" w:hAnsi="Arial" w:cs="Arial"/>
          <w:sz w:val="16"/>
          <w:szCs w:val="16"/>
        </w:rPr>
        <w:t xml:space="preserve">lume and retail traffic may be adversely affected by factors that we cannot control, such as economic downturns or changes in consumer demographics in a particular area, consumer trends away from brick-and-mortar retail toward online shopping, competition </w:t>
      </w:r>
      <w:r>
        <w:rPr>
          <w:rFonts w:ascii="Arial" w:eastAsia="Arial" w:hAnsi="Arial" w:cs="Arial"/>
          <w:sz w:val="16"/>
          <w:szCs w:val="16"/>
        </w:rPr>
        <w:t>from internet and other retailers and other retail areas where we do not have stores, significant health hazards or pandemics, the closing of other stores or the decline in popularity or safety in the shopping areas where our stores are located and the det</w:t>
      </w:r>
      <w:r>
        <w:rPr>
          <w:rFonts w:ascii="Arial" w:eastAsia="Arial" w:hAnsi="Arial" w:cs="Arial"/>
          <w:sz w:val="16"/>
          <w:szCs w:val="16"/>
        </w:rPr>
        <w:t>erioration in the financial condition of the operators or developers of the shopping areas in which our stores are located.</w:t>
      </w:r>
    </w:p>
    <w:p w14:paraId="043F86E9" w14:textId="77777777" w:rsidR="00D1587D" w:rsidRDefault="00D1587D">
      <w:pPr>
        <w:spacing w:line="166" w:lineRule="exact"/>
        <w:rPr>
          <w:sz w:val="20"/>
          <w:szCs w:val="20"/>
        </w:rPr>
      </w:pPr>
    </w:p>
    <w:p w14:paraId="14275963" w14:textId="77777777" w:rsidR="00D1587D" w:rsidRDefault="00410D07">
      <w:pPr>
        <w:jc w:val="center"/>
        <w:rPr>
          <w:sz w:val="20"/>
          <w:szCs w:val="20"/>
        </w:rPr>
      </w:pPr>
      <w:r>
        <w:rPr>
          <w:rFonts w:ascii="Arial" w:eastAsia="Arial" w:hAnsi="Arial" w:cs="Arial"/>
          <w:sz w:val="18"/>
          <w:szCs w:val="18"/>
        </w:rPr>
        <w:t>26</w:t>
      </w:r>
    </w:p>
    <w:p w14:paraId="449CDC0B" w14:textId="77777777" w:rsidR="00D1587D" w:rsidRDefault="00410D07">
      <w:pPr>
        <w:spacing w:line="20" w:lineRule="exact"/>
        <w:rPr>
          <w:sz w:val="20"/>
          <w:szCs w:val="20"/>
        </w:rPr>
      </w:pPr>
      <w:r>
        <w:rPr>
          <w:noProof/>
          <w:sz w:val="20"/>
          <w:szCs w:val="20"/>
        </w:rPr>
        <w:drawing>
          <wp:anchor distT="0" distB="0" distL="114300" distR="114300" simplePos="0" relativeHeight="251468800" behindDoc="1" locked="0" layoutInCell="0" allowOverlap="1" wp14:anchorId="73CC7812" wp14:editId="06273BFC">
            <wp:simplePos x="0" y="0"/>
            <wp:positionH relativeFrom="column">
              <wp:posOffset>-636905</wp:posOffset>
            </wp:positionH>
            <wp:positionV relativeFrom="paragraph">
              <wp:posOffset>134620</wp:posOffset>
            </wp:positionV>
            <wp:extent cx="6995160" cy="17145"/>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0B26ADC" w14:textId="77777777" w:rsidR="00D1587D" w:rsidRDefault="00D1587D">
      <w:pPr>
        <w:sectPr w:rsidR="00D1587D">
          <w:pgSz w:w="11900" w:h="16838"/>
          <w:pgMar w:top="265" w:right="1440" w:bottom="1440" w:left="1440" w:header="0" w:footer="0" w:gutter="0"/>
          <w:cols w:space="720" w:equalWidth="0">
            <w:col w:w="9019"/>
          </w:cols>
        </w:sectPr>
      </w:pPr>
    </w:p>
    <w:bookmarkStart w:id="284" w:name="page285"/>
    <w:bookmarkEnd w:id="284"/>
    <w:p w14:paraId="67BA641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49ED551" w14:textId="77777777" w:rsidR="00D1587D" w:rsidRDefault="00D1587D">
      <w:pPr>
        <w:spacing w:line="131" w:lineRule="exact"/>
        <w:rPr>
          <w:sz w:val="20"/>
          <w:szCs w:val="20"/>
        </w:rPr>
      </w:pPr>
    </w:p>
    <w:p w14:paraId="0C6A7426" w14:textId="77777777" w:rsidR="00D1587D" w:rsidRDefault="00410D07">
      <w:pPr>
        <w:spacing w:line="271" w:lineRule="auto"/>
        <w:ind w:left="300" w:right="359" w:firstLine="360"/>
        <w:rPr>
          <w:sz w:val="20"/>
          <w:szCs w:val="20"/>
        </w:rPr>
      </w:pPr>
      <w:r>
        <w:rPr>
          <w:rFonts w:ascii="Arial" w:eastAsia="Arial" w:hAnsi="Arial" w:cs="Arial"/>
          <w:sz w:val="17"/>
          <w:szCs w:val="17"/>
        </w:rPr>
        <w:t xml:space="preserve">Part of our future growth is significantly dependent on </w:t>
      </w:r>
      <w:r>
        <w:rPr>
          <w:rFonts w:ascii="Arial" w:eastAsia="Arial" w:hAnsi="Arial" w:cs="Arial"/>
          <w:sz w:val="17"/>
          <w:szCs w:val="17"/>
        </w:rPr>
        <w:t xml:space="preserve">our ability to operate stores in desirable locations with capital investment and lease costs providing the opportunity to earn a reasonable return. We cannot be sure as to when or whether such desirable locations will become available at reasonable costs. </w:t>
      </w:r>
      <w:r>
        <w:rPr>
          <w:rFonts w:ascii="Arial" w:eastAsia="Arial" w:hAnsi="Arial" w:cs="Arial"/>
          <w:sz w:val="17"/>
          <w:szCs w:val="17"/>
        </w:rPr>
        <w:t>Some of our store locations require significant upfront capital investment and have material lease commitments. Additionally, we are dependent upon the suitability of the lease spaces that we currently use. The leases that we enter into are generally nonca</w:t>
      </w:r>
      <w:r>
        <w:rPr>
          <w:rFonts w:ascii="Arial" w:eastAsia="Arial" w:hAnsi="Arial" w:cs="Arial"/>
          <w:sz w:val="17"/>
          <w:szCs w:val="17"/>
        </w:rPr>
        <w:t xml:space="preserve">ncelable leases with initial terms of 10 years. If we determine that it is no longer economical to operate a store and decide to close it, we may remain obligated under the applicable lease for, among other things, payment of the base rent for the balance </w:t>
      </w:r>
      <w:r>
        <w:rPr>
          <w:rFonts w:ascii="Arial" w:eastAsia="Arial" w:hAnsi="Arial" w:cs="Arial"/>
          <w:sz w:val="17"/>
          <w:szCs w:val="17"/>
        </w:rPr>
        <w:t>of the lease term.</w:t>
      </w:r>
    </w:p>
    <w:p w14:paraId="6AF682AF" w14:textId="77777777" w:rsidR="00D1587D" w:rsidRDefault="00D1587D">
      <w:pPr>
        <w:spacing w:line="70" w:lineRule="exact"/>
        <w:rPr>
          <w:sz w:val="20"/>
          <w:szCs w:val="20"/>
        </w:rPr>
      </w:pPr>
    </w:p>
    <w:p w14:paraId="0E006C36" w14:textId="77777777" w:rsidR="00D1587D" w:rsidRDefault="00410D07">
      <w:pPr>
        <w:spacing w:line="277" w:lineRule="auto"/>
        <w:ind w:left="300" w:right="499" w:firstLine="360"/>
        <w:rPr>
          <w:sz w:val="20"/>
          <w:szCs w:val="20"/>
        </w:rPr>
      </w:pPr>
      <w:r>
        <w:rPr>
          <w:rFonts w:ascii="Arial" w:eastAsia="Arial" w:hAnsi="Arial" w:cs="Arial"/>
          <w:sz w:val="18"/>
          <w:szCs w:val="18"/>
        </w:rPr>
        <w:t>These risks could have a material adverse effect on our ability to grow and our results of operations, financial condition and cash flows.</w:t>
      </w:r>
    </w:p>
    <w:p w14:paraId="4144182D" w14:textId="77777777" w:rsidR="00D1587D" w:rsidRDefault="00D1587D">
      <w:pPr>
        <w:spacing w:line="224" w:lineRule="exact"/>
        <w:rPr>
          <w:sz w:val="20"/>
          <w:szCs w:val="20"/>
        </w:rPr>
      </w:pPr>
    </w:p>
    <w:p w14:paraId="6C6057E7" w14:textId="77777777" w:rsidR="00D1587D" w:rsidRDefault="00410D07">
      <w:pPr>
        <w:ind w:left="660"/>
        <w:rPr>
          <w:sz w:val="20"/>
          <w:szCs w:val="20"/>
        </w:rPr>
      </w:pPr>
      <w:r>
        <w:rPr>
          <w:rFonts w:ascii="Arial" w:eastAsia="Arial" w:hAnsi="Arial" w:cs="Arial"/>
          <w:b/>
          <w:bCs/>
          <w:i/>
          <w:iCs/>
          <w:sz w:val="16"/>
          <w:szCs w:val="16"/>
        </w:rPr>
        <w:t>Our ability to grow depends in part on new store openings and existing store remodels and expans</w:t>
      </w:r>
      <w:r>
        <w:rPr>
          <w:rFonts w:ascii="Arial" w:eastAsia="Arial" w:hAnsi="Arial" w:cs="Arial"/>
          <w:b/>
          <w:bCs/>
          <w:i/>
          <w:iCs/>
          <w:sz w:val="16"/>
          <w:szCs w:val="16"/>
        </w:rPr>
        <w:t>ions.</w:t>
      </w:r>
    </w:p>
    <w:p w14:paraId="471925CA" w14:textId="77777777" w:rsidR="00D1587D" w:rsidRDefault="00D1587D">
      <w:pPr>
        <w:spacing w:line="140" w:lineRule="exact"/>
        <w:rPr>
          <w:sz w:val="20"/>
          <w:szCs w:val="20"/>
        </w:rPr>
      </w:pPr>
    </w:p>
    <w:p w14:paraId="2ACB8D60" w14:textId="77777777" w:rsidR="00D1587D" w:rsidRDefault="00410D07">
      <w:pPr>
        <w:spacing w:line="290" w:lineRule="auto"/>
        <w:ind w:left="300" w:right="339" w:firstLine="360"/>
        <w:rPr>
          <w:sz w:val="20"/>
          <w:szCs w:val="20"/>
        </w:rPr>
      </w:pPr>
      <w:r>
        <w:rPr>
          <w:rFonts w:ascii="Arial" w:eastAsia="Arial" w:hAnsi="Arial" w:cs="Arial"/>
          <w:sz w:val="16"/>
          <w:szCs w:val="16"/>
        </w:rPr>
        <w:t>Our continued growth and success will depend in part on our ability to open and operate new stores and expand and remodel existing stores on a timely and profitable basis. Accomplishing our new and existing store expansion goals will depend upon a n</w:t>
      </w:r>
      <w:r>
        <w:rPr>
          <w:rFonts w:ascii="Arial" w:eastAsia="Arial" w:hAnsi="Arial" w:cs="Arial"/>
          <w:sz w:val="16"/>
          <w:szCs w:val="16"/>
        </w:rPr>
        <w:t>umber of factors, including the ability to partner with developers and landlords to obtain suitable sites for new and expanded stores at acceptable costs, the hiring and training of qualified personnel and the integration of new stores into existing operat</w:t>
      </w:r>
      <w:r>
        <w:rPr>
          <w:rFonts w:ascii="Arial" w:eastAsia="Arial" w:hAnsi="Arial" w:cs="Arial"/>
          <w:sz w:val="16"/>
          <w:szCs w:val="16"/>
        </w:rPr>
        <w:t>ions. There can be no assurance we will be able to achieve our store expansion goals, manage our growth effectively, successfully integrate the planned new stores into our operations or operate our new, remodeled and expanded stores profitably. These risks</w:t>
      </w:r>
      <w:r>
        <w:rPr>
          <w:rFonts w:ascii="Arial" w:eastAsia="Arial" w:hAnsi="Arial" w:cs="Arial"/>
          <w:sz w:val="16"/>
          <w:szCs w:val="16"/>
        </w:rPr>
        <w:t xml:space="preserve"> could have a material adverse effect on our ability to grow and results of operations, financial condition and cash flows.</w:t>
      </w:r>
    </w:p>
    <w:p w14:paraId="5DFB714B" w14:textId="77777777" w:rsidR="00D1587D" w:rsidRDefault="00D1587D">
      <w:pPr>
        <w:spacing w:line="165" w:lineRule="exact"/>
        <w:rPr>
          <w:sz w:val="20"/>
          <w:szCs w:val="20"/>
        </w:rPr>
      </w:pPr>
    </w:p>
    <w:p w14:paraId="123626C9" w14:textId="77777777" w:rsidR="00D1587D" w:rsidRDefault="00410D07">
      <w:pPr>
        <w:spacing w:line="277" w:lineRule="auto"/>
        <w:ind w:left="300" w:right="439" w:firstLine="360"/>
        <w:rPr>
          <w:sz w:val="20"/>
          <w:szCs w:val="20"/>
        </w:rPr>
      </w:pPr>
      <w:r>
        <w:rPr>
          <w:rFonts w:ascii="Arial" w:eastAsia="Arial" w:hAnsi="Arial" w:cs="Arial"/>
          <w:b/>
          <w:bCs/>
          <w:i/>
          <w:iCs/>
          <w:sz w:val="18"/>
          <w:szCs w:val="18"/>
        </w:rPr>
        <w:t xml:space="preserve">Our international operations and our plans for international expansion include risks that could impact our results and </w:t>
      </w:r>
      <w:r>
        <w:rPr>
          <w:rFonts w:ascii="Arial" w:eastAsia="Arial" w:hAnsi="Arial" w:cs="Arial"/>
          <w:b/>
          <w:bCs/>
          <w:i/>
          <w:iCs/>
          <w:sz w:val="18"/>
          <w:szCs w:val="18"/>
        </w:rPr>
        <w:t>reputation.</w:t>
      </w:r>
    </w:p>
    <w:p w14:paraId="427AAD02" w14:textId="77777777" w:rsidR="00D1587D" w:rsidRDefault="00D1587D">
      <w:pPr>
        <w:spacing w:line="62" w:lineRule="exact"/>
        <w:rPr>
          <w:sz w:val="20"/>
          <w:szCs w:val="20"/>
        </w:rPr>
      </w:pPr>
    </w:p>
    <w:p w14:paraId="774C0435" w14:textId="77777777" w:rsidR="00D1587D" w:rsidRDefault="00410D07">
      <w:pPr>
        <w:spacing w:line="269" w:lineRule="auto"/>
        <w:ind w:left="300" w:right="319" w:firstLine="360"/>
        <w:rPr>
          <w:sz w:val="20"/>
          <w:szCs w:val="20"/>
        </w:rPr>
      </w:pPr>
      <w:r>
        <w:rPr>
          <w:rFonts w:ascii="Arial" w:eastAsia="Arial" w:hAnsi="Arial" w:cs="Arial"/>
          <w:sz w:val="17"/>
          <w:szCs w:val="17"/>
        </w:rPr>
        <w:t xml:space="preserve">We intend to continue to operate internationally and further expand into international markets, including mainland China, through partner arrangements and/or company-operated stores. The risks associated with international markets </w:t>
      </w:r>
      <w:r>
        <w:rPr>
          <w:rFonts w:ascii="Arial" w:eastAsia="Arial" w:hAnsi="Arial" w:cs="Arial"/>
          <w:sz w:val="17"/>
          <w:szCs w:val="17"/>
        </w:rPr>
        <w:t>include difficulties in attracting customers due to a lack of customer familiarity with our brands, our lack of familiarity with local customer preferences and seasonal differences in the market. Any of these difficulties may lead to disruption in the over</w:t>
      </w:r>
      <w:r>
        <w:rPr>
          <w:rFonts w:ascii="Arial" w:eastAsia="Arial" w:hAnsi="Arial" w:cs="Arial"/>
          <w:sz w:val="17"/>
          <w:szCs w:val="17"/>
        </w:rPr>
        <w:t>all timing of our international expansion efforts or increased costs. Further, entry into other markets may bring us into competition with new competitors or with existing competitors with an established market presence. Other risks include general economi</w:t>
      </w:r>
      <w:r>
        <w:rPr>
          <w:rFonts w:ascii="Arial" w:eastAsia="Arial" w:hAnsi="Arial" w:cs="Arial"/>
          <w:sz w:val="17"/>
          <w:szCs w:val="17"/>
        </w:rPr>
        <w:t>c conditions in specific countries or markets, volatility in the geopolitical landscape, restrictions on the repatriation of funds held internationally, disruptions or delays in shipments, occurrence of significant health hazards or pandemics, changes in d</w:t>
      </w:r>
      <w:r>
        <w:rPr>
          <w:rFonts w:ascii="Arial" w:eastAsia="Arial" w:hAnsi="Arial" w:cs="Arial"/>
          <w:sz w:val="17"/>
          <w:szCs w:val="17"/>
        </w:rPr>
        <w:t>iplomatic and trade relationships, political instability and foreign governmental regulation. Such expansions will also have upfront investment costs that may not be accompanied by sufficient revenues to achieve typical or expected operational and financia</w:t>
      </w:r>
      <w:r>
        <w:rPr>
          <w:rFonts w:ascii="Arial" w:eastAsia="Arial" w:hAnsi="Arial" w:cs="Arial"/>
          <w:sz w:val="17"/>
          <w:szCs w:val="17"/>
        </w:rPr>
        <w:t>l performance.</w:t>
      </w:r>
    </w:p>
    <w:p w14:paraId="3A4A6755" w14:textId="77777777" w:rsidR="00D1587D" w:rsidRDefault="00D1587D">
      <w:pPr>
        <w:spacing w:line="71" w:lineRule="exact"/>
        <w:rPr>
          <w:sz w:val="20"/>
          <w:szCs w:val="20"/>
        </w:rPr>
      </w:pPr>
    </w:p>
    <w:p w14:paraId="536AE7F1" w14:textId="77777777" w:rsidR="00D1587D" w:rsidRDefault="00410D07">
      <w:pPr>
        <w:spacing w:line="263" w:lineRule="auto"/>
        <w:ind w:left="300" w:right="399" w:firstLine="360"/>
        <w:rPr>
          <w:sz w:val="20"/>
          <w:szCs w:val="20"/>
        </w:rPr>
      </w:pPr>
      <w:r>
        <w:rPr>
          <w:rFonts w:ascii="Arial" w:eastAsia="Arial" w:hAnsi="Arial" w:cs="Arial"/>
          <w:sz w:val="18"/>
          <w:szCs w:val="18"/>
        </w:rPr>
        <w:t>Further, our results of operations and financial condition may be adversely affected by fluctuations in currency exchange rates. See “Fluctuations in foreign currency exchange rates could impact our financial condition and results of operat</w:t>
      </w:r>
      <w:r>
        <w:rPr>
          <w:rFonts w:ascii="Arial" w:eastAsia="Arial" w:hAnsi="Arial" w:cs="Arial"/>
          <w:sz w:val="18"/>
          <w:szCs w:val="18"/>
        </w:rPr>
        <w:t>ions” below.</w:t>
      </w:r>
    </w:p>
    <w:p w14:paraId="4750EE01" w14:textId="77777777" w:rsidR="00D1587D" w:rsidRDefault="00D1587D">
      <w:pPr>
        <w:spacing w:line="76" w:lineRule="exact"/>
        <w:rPr>
          <w:sz w:val="20"/>
          <w:szCs w:val="20"/>
        </w:rPr>
      </w:pPr>
    </w:p>
    <w:p w14:paraId="06C773F5" w14:textId="77777777" w:rsidR="00D1587D" w:rsidRDefault="00410D07">
      <w:pPr>
        <w:spacing w:line="277" w:lineRule="auto"/>
        <w:ind w:left="300" w:right="799" w:firstLine="360"/>
        <w:rPr>
          <w:sz w:val="20"/>
          <w:szCs w:val="20"/>
        </w:rPr>
      </w:pPr>
      <w:r>
        <w:rPr>
          <w:rFonts w:ascii="Arial" w:eastAsia="Arial" w:hAnsi="Arial" w:cs="Arial"/>
          <w:sz w:val="18"/>
          <w:szCs w:val="18"/>
        </w:rPr>
        <w:t>These risks could have a material adverse effect on our results of operations, financial condition and cash flows.</w:t>
      </w:r>
    </w:p>
    <w:p w14:paraId="2CB83E72" w14:textId="77777777" w:rsidR="00D1587D" w:rsidRDefault="00D1587D">
      <w:pPr>
        <w:spacing w:line="170" w:lineRule="exact"/>
        <w:rPr>
          <w:sz w:val="20"/>
          <w:szCs w:val="20"/>
        </w:rPr>
      </w:pPr>
    </w:p>
    <w:p w14:paraId="334056FC" w14:textId="77777777" w:rsidR="00D1587D" w:rsidRDefault="00410D07">
      <w:pPr>
        <w:spacing w:line="277" w:lineRule="auto"/>
        <w:ind w:left="300" w:right="899" w:firstLine="360"/>
        <w:rPr>
          <w:sz w:val="20"/>
          <w:szCs w:val="20"/>
        </w:rPr>
      </w:pPr>
      <w:r>
        <w:rPr>
          <w:rFonts w:ascii="Arial" w:eastAsia="Arial" w:hAnsi="Arial" w:cs="Arial"/>
          <w:b/>
          <w:bCs/>
          <w:i/>
          <w:iCs/>
          <w:sz w:val="18"/>
          <w:szCs w:val="18"/>
        </w:rPr>
        <w:t>Our licensees, franchisees and wholesalers could take actions that could harm our business or brand images.</w:t>
      </w:r>
    </w:p>
    <w:p w14:paraId="4655C488" w14:textId="77777777" w:rsidR="00D1587D" w:rsidRDefault="00D1587D">
      <w:pPr>
        <w:spacing w:line="62" w:lineRule="exact"/>
        <w:rPr>
          <w:sz w:val="20"/>
          <w:szCs w:val="20"/>
        </w:rPr>
      </w:pPr>
    </w:p>
    <w:p w14:paraId="63617E14" w14:textId="77777777" w:rsidR="00D1587D" w:rsidRDefault="00410D07">
      <w:pPr>
        <w:spacing w:line="290" w:lineRule="auto"/>
        <w:ind w:left="300" w:right="319" w:firstLine="360"/>
        <w:rPr>
          <w:sz w:val="20"/>
          <w:szCs w:val="20"/>
        </w:rPr>
      </w:pPr>
      <w:r>
        <w:rPr>
          <w:rFonts w:ascii="Arial" w:eastAsia="Arial" w:hAnsi="Arial" w:cs="Arial"/>
          <w:sz w:val="16"/>
          <w:szCs w:val="16"/>
        </w:rPr>
        <w:t>We have global re</w:t>
      </w:r>
      <w:r>
        <w:rPr>
          <w:rFonts w:ascii="Arial" w:eastAsia="Arial" w:hAnsi="Arial" w:cs="Arial"/>
          <w:sz w:val="16"/>
          <w:szCs w:val="16"/>
        </w:rPr>
        <w:t>presentation through independently owned stores operated by our partners. Although we have criteria to evaluate and select prospective partners, the level of control we can exercise over our partners is limited, and the quality and success of their operati</w:t>
      </w:r>
      <w:r>
        <w:rPr>
          <w:rFonts w:ascii="Arial" w:eastAsia="Arial" w:hAnsi="Arial" w:cs="Arial"/>
          <w:sz w:val="16"/>
          <w:szCs w:val="16"/>
        </w:rPr>
        <w:t>ons may be diminished by any number of factors beyond our control. For example, our partners may not have the business acumen or financial resources necessary to successfully operate stores in a manner consistent with our standards and may not hire and tra</w:t>
      </w:r>
      <w:r>
        <w:rPr>
          <w:rFonts w:ascii="Arial" w:eastAsia="Arial" w:hAnsi="Arial" w:cs="Arial"/>
          <w:sz w:val="16"/>
          <w:szCs w:val="16"/>
        </w:rPr>
        <w:t>in qualified store managers and other personnel. Further, we have no control as to whether our partners comply with federal and local law. Our brand image and reputation may suffer materially, and our sales could decline if our partners do not operate succ</w:t>
      </w:r>
      <w:r>
        <w:rPr>
          <w:rFonts w:ascii="Arial" w:eastAsia="Arial" w:hAnsi="Arial" w:cs="Arial"/>
          <w:sz w:val="16"/>
          <w:szCs w:val="16"/>
        </w:rPr>
        <w:t>essfully. These risks could have an adverse effect on our results of operations, financial condition and cash flows.</w:t>
      </w:r>
    </w:p>
    <w:p w14:paraId="2E2EBBF4" w14:textId="77777777" w:rsidR="00D1587D" w:rsidRDefault="00D1587D">
      <w:pPr>
        <w:spacing w:line="165" w:lineRule="exact"/>
        <w:rPr>
          <w:sz w:val="20"/>
          <w:szCs w:val="20"/>
        </w:rPr>
      </w:pPr>
    </w:p>
    <w:p w14:paraId="51ED4EB0" w14:textId="77777777" w:rsidR="00D1587D" w:rsidRDefault="00410D07">
      <w:pPr>
        <w:jc w:val="center"/>
        <w:rPr>
          <w:sz w:val="20"/>
          <w:szCs w:val="20"/>
        </w:rPr>
      </w:pPr>
      <w:r>
        <w:rPr>
          <w:rFonts w:ascii="Arial" w:eastAsia="Arial" w:hAnsi="Arial" w:cs="Arial"/>
          <w:sz w:val="18"/>
          <w:szCs w:val="18"/>
        </w:rPr>
        <w:t>27</w:t>
      </w:r>
    </w:p>
    <w:p w14:paraId="17F0A7FB" w14:textId="77777777" w:rsidR="00D1587D" w:rsidRDefault="00410D07">
      <w:pPr>
        <w:spacing w:line="20" w:lineRule="exact"/>
        <w:rPr>
          <w:sz w:val="20"/>
          <w:szCs w:val="20"/>
        </w:rPr>
      </w:pPr>
      <w:r>
        <w:rPr>
          <w:noProof/>
          <w:sz w:val="20"/>
          <w:szCs w:val="20"/>
        </w:rPr>
        <w:drawing>
          <wp:anchor distT="0" distB="0" distL="114300" distR="114300" simplePos="0" relativeHeight="251469824" behindDoc="1" locked="0" layoutInCell="0" allowOverlap="1" wp14:anchorId="2A34E653" wp14:editId="4A74C555">
            <wp:simplePos x="0" y="0"/>
            <wp:positionH relativeFrom="column">
              <wp:posOffset>-636905</wp:posOffset>
            </wp:positionH>
            <wp:positionV relativeFrom="paragraph">
              <wp:posOffset>134620</wp:posOffset>
            </wp:positionV>
            <wp:extent cx="6995160" cy="17145"/>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6690D32" w14:textId="77777777" w:rsidR="00D1587D" w:rsidRDefault="00D1587D">
      <w:pPr>
        <w:sectPr w:rsidR="00D1587D">
          <w:pgSz w:w="11900" w:h="16838"/>
          <w:pgMar w:top="265" w:right="1440" w:bottom="1440" w:left="1440" w:header="0" w:footer="0" w:gutter="0"/>
          <w:cols w:space="720" w:equalWidth="0">
            <w:col w:w="9019"/>
          </w:cols>
        </w:sectPr>
      </w:pPr>
    </w:p>
    <w:bookmarkStart w:id="285" w:name="page286"/>
    <w:bookmarkEnd w:id="285"/>
    <w:p w14:paraId="072BF5C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C81B3FB" w14:textId="77777777" w:rsidR="00D1587D" w:rsidRDefault="00D1587D">
      <w:pPr>
        <w:spacing w:line="131" w:lineRule="exact"/>
        <w:rPr>
          <w:sz w:val="20"/>
          <w:szCs w:val="20"/>
        </w:rPr>
      </w:pPr>
    </w:p>
    <w:p w14:paraId="56E27D59" w14:textId="77777777" w:rsidR="00D1587D" w:rsidRDefault="00410D07">
      <w:pPr>
        <w:ind w:left="660"/>
        <w:rPr>
          <w:sz w:val="20"/>
          <w:szCs w:val="20"/>
        </w:rPr>
      </w:pPr>
      <w:r>
        <w:rPr>
          <w:rFonts w:ascii="Arial" w:eastAsia="Arial" w:hAnsi="Arial" w:cs="Arial"/>
          <w:b/>
          <w:bCs/>
          <w:i/>
          <w:iCs/>
          <w:sz w:val="18"/>
          <w:szCs w:val="18"/>
        </w:rPr>
        <w:t xml:space="preserve">Our direct channel business includes risks that could have an </w:t>
      </w:r>
      <w:r>
        <w:rPr>
          <w:rFonts w:ascii="Arial" w:eastAsia="Arial" w:hAnsi="Arial" w:cs="Arial"/>
          <w:b/>
          <w:bCs/>
          <w:i/>
          <w:iCs/>
          <w:sz w:val="18"/>
          <w:szCs w:val="18"/>
        </w:rPr>
        <w:t>effect on our results.</w:t>
      </w:r>
    </w:p>
    <w:p w14:paraId="49EF9F04" w14:textId="77777777" w:rsidR="00D1587D" w:rsidRDefault="00D1587D">
      <w:pPr>
        <w:spacing w:line="117" w:lineRule="exact"/>
        <w:rPr>
          <w:sz w:val="20"/>
          <w:szCs w:val="20"/>
        </w:rPr>
      </w:pPr>
    </w:p>
    <w:p w14:paraId="08B43493" w14:textId="77777777" w:rsidR="00D1587D" w:rsidRDefault="00410D07">
      <w:pPr>
        <w:spacing w:line="254" w:lineRule="auto"/>
        <w:ind w:left="300" w:right="439" w:firstLine="360"/>
        <w:rPr>
          <w:sz w:val="20"/>
          <w:szCs w:val="20"/>
        </w:rPr>
      </w:pPr>
      <w:r>
        <w:rPr>
          <w:rFonts w:ascii="Arial" w:eastAsia="Arial" w:hAnsi="Arial" w:cs="Arial"/>
          <w:sz w:val="18"/>
          <w:szCs w:val="18"/>
        </w:rPr>
        <w:t>Our direct operations are subject to numerous risks that could have a material adverse effect on our results. Risks include, but are not limited to, the difficulty in recreating the in-store experience through our direct channels; d</w:t>
      </w:r>
      <w:r>
        <w:rPr>
          <w:rFonts w:ascii="Arial" w:eastAsia="Arial" w:hAnsi="Arial" w:cs="Arial"/>
          <w:sz w:val="18"/>
          <w:szCs w:val="18"/>
        </w:rPr>
        <w:t xml:space="preserve">omestic or international resellers purchasing merchandise and reselling it outside our control; our ability to anticipate and implement innovations in technology and logistics in order to appeal to existing and potential customers who increasingly rely on </w:t>
      </w:r>
      <w:r>
        <w:rPr>
          <w:rFonts w:ascii="Arial" w:eastAsia="Arial" w:hAnsi="Arial" w:cs="Arial"/>
          <w:sz w:val="18"/>
          <w:szCs w:val="18"/>
        </w:rPr>
        <w:t>multiple channels to meet their shopping needs; the failure of and risks related to the systems that operate our web infrastructure, websites and the related support systems, including computer viruses, theft of customer information, privacy concerns, tele</w:t>
      </w:r>
      <w:r>
        <w:rPr>
          <w:rFonts w:ascii="Arial" w:eastAsia="Arial" w:hAnsi="Arial" w:cs="Arial"/>
          <w:sz w:val="18"/>
          <w:szCs w:val="18"/>
        </w:rPr>
        <w:t>communication failures and electronic break-ins and similar disruptions.</w:t>
      </w:r>
    </w:p>
    <w:p w14:paraId="04518FE5" w14:textId="77777777" w:rsidR="00D1587D" w:rsidRDefault="00D1587D">
      <w:pPr>
        <w:spacing w:line="84" w:lineRule="exact"/>
        <w:rPr>
          <w:sz w:val="20"/>
          <w:szCs w:val="20"/>
        </w:rPr>
      </w:pPr>
    </w:p>
    <w:p w14:paraId="480A0946" w14:textId="77777777" w:rsidR="00D1587D" w:rsidRDefault="00410D07">
      <w:pPr>
        <w:spacing w:line="296" w:lineRule="auto"/>
        <w:ind w:left="300" w:right="319" w:firstLine="360"/>
        <w:rPr>
          <w:sz w:val="20"/>
          <w:szCs w:val="20"/>
        </w:rPr>
      </w:pPr>
      <w:r>
        <w:rPr>
          <w:rFonts w:ascii="Arial" w:eastAsia="Arial" w:hAnsi="Arial" w:cs="Arial"/>
          <w:sz w:val="16"/>
          <w:szCs w:val="16"/>
        </w:rPr>
        <w:t>In addition, even though sales in our direct channel increased 31% to $2.2 billion in 2020 from $1.7 billion in 2019, we are unable to predict how much of this increase was a shift d</w:t>
      </w:r>
      <w:r>
        <w:rPr>
          <w:rFonts w:ascii="Arial" w:eastAsia="Arial" w:hAnsi="Arial" w:cs="Arial"/>
          <w:sz w:val="16"/>
          <w:szCs w:val="16"/>
        </w:rPr>
        <w:t>ue to store closures as opposed to a permanent channel shift to online selling, as well as how the consumer will engage with our channels in the future and whether the growth in the direct channel will continue after the COVID-19 pandemic subsides. Accordi</w:t>
      </w:r>
      <w:r>
        <w:rPr>
          <w:rFonts w:ascii="Arial" w:eastAsia="Arial" w:hAnsi="Arial" w:cs="Arial"/>
          <w:sz w:val="16"/>
          <w:szCs w:val="16"/>
        </w:rPr>
        <w:t>ngly, we cannot assure you that we will continue to experience increase in sales in our direct channel in the future.</w:t>
      </w:r>
    </w:p>
    <w:p w14:paraId="4412AE67" w14:textId="77777777" w:rsidR="00D1587D" w:rsidRDefault="00D1587D">
      <w:pPr>
        <w:spacing w:line="53" w:lineRule="exact"/>
        <w:rPr>
          <w:sz w:val="20"/>
          <w:szCs w:val="20"/>
        </w:rPr>
      </w:pPr>
    </w:p>
    <w:p w14:paraId="1BB97572" w14:textId="77777777" w:rsidR="00D1587D" w:rsidRDefault="00410D07">
      <w:pPr>
        <w:spacing w:line="255" w:lineRule="auto"/>
        <w:ind w:left="300" w:right="319" w:firstLine="360"/>
        <w:rPr>
          <w:sz w:val="20"/>
          <w:szCs w:val="20"/>
        </w:rPr>
      </w:pPr>
      <w:r>
        <w:rPr>
          <w:rFonts w:ascii="Arial" w:eastAsia="Arial" w:hAnsi="Arial" w:cs="Arial"/>
          <w:sz w:val="18"/>
          <w:szCs w:val="18"/>
        </w:rPr>
        <w:t xml:space="preserve">Our failure to maintain efficient and uninterrupted order-taking and fulfillment operations could also have a material adverse effect on </w:t>
      </w:r>
      <w:r>
        <w:rPr>
          <w:rFonts w:ascii="Arial" w:eastAsia="Arial" w:hAnsi="Arial" w:cs="Arial"/>
          <w:sz w:val="18"/>
          <w:szCs w:val="18"/>
        </w:rPr>
        <w:t>our results. The satisfaction of our online customers depends on their timely receipt of merchandise. If we encounter difficulties with the distribution facilities, or if the facilities were to shut down for any reason, including as a result of fire, natur</w:t>
      </w:r>
      <w:r>
        <w:rPr>
          <w:rFonts w:ascii="Arial" w:eastAsia="Arial" w:hAnsi="Arial" w:cs="Arial"/>
          <w:sz w:val="18"/>
          <w:szCs w:val="18"/>
        </w:rPr>
        <w:t>al disaster or work stoppage, we could face shortages of inventory; incur significantly higher costs and longer lead times associated with distributing our products to our customers; and cause customer dissatisfaction.</w:t>
      </w:r>
    </w:p>
    <w:p w14:paraId="34DB4997" w14:textId="77777777" w:rsidR="00D1587D" w:rsidRDefault="00D1587D">
      <w:pPr>
        <w:spacing w:line="84" w:lineRule="exact"/>
        <w:rPr>
          <w:sz w:val="20"/>
          <w:szCs w:val="20"/>
        </w:rPr>
      </w:pPr>
    </w:p>
    <w:p w14:paraId="5BA30204" w14:textId="77777777" w:rsidR="00D1587D" w:rsidRDefault="00410D07">
      <w:pPr>
        <w:ind w:left="660"/>
        <w:rPr>
          <w:sz w:val="20"/>
          <w:szCs w:val="20"/>
        </w:rPr>
      </w:pPr>
      <w:r>
        <w:rPr>
          <w:rFonts w:ascii="Arial" w:eastAsia="Arial" w:hAnsi="Arial" w:cs="Arial"/>
          <w:sz w:val="16"/>
          <w:szCs w:val="16"/>
        </w:rPr>
        <w:t>Any of these issues could have a mat</w:t>
      </w:r>
      <w:r>
        <w:rPr>
          <w:rFonts w:ascii="Arial" w:eastAsia="Arial" w:hAnsi="Arial" w:cs="Arial"/>
          <w:sz w:val="16"/>
          <w:szCs w:val="16"/>
        </w:rPr>
        <w:t>erial adverse effect on our operations, financial condition and cash flows.</w:t>
      </w:r>
    </w:p>
    <w:p w14:paraId="17913D54" w14:textId="77777777" w:rsidR="00D1587D" w:rsidRDefault="00D1587D">
      <w:pPr>
        <w:spacing w:line="248" w:lineRule="exact"/>
        <w:rPr>
          <w:sz w:val="20"/>
          <w:szCs w:val="20"/>
        </w:rPr>
      </w:pPr>
    </w:p>
    <w:p w14:paraId="39EA8C3E" w14:textId="77777777" w:rsidR="00D1587D" w:rsidRDefault="00410D07">
      <w:pPr>
        <w:ind w:left="660"/>
        <w:rPr>
          <w:sz w:val="20"/>
          <w:szCs w:val="20"/>
        </w:rPr>
      </w:pPr>
      <w:r>
        <w:rPr>
          <w:rFonts w:ascii="Arial" w:eastAsia="Arial" w:hAnsi="Arial" w:cs="Arial"/>
          <w:b/>
          <w:bCs/>
          <w:i/>
          <w:iCs/>
          <w:sz w:val="18"/>
          <w:szCs w:val="18"/>
        </w:rPr>
        <w:t>Our ability to protect our reputation could have a material effect on our brand images.</w:t>
      </w:r>
    </w:p>
    <w:p w14:paraId="7613005C" w14:textId="77777777" w:rsidR="00D1587D" w:rsidRDefault="00D1587D">
      <w:pPr>
        <w:spacing w:line="117" w:lineRule="exact"/>
        <w:rPr>
          <w:sz w:val="20"/>
          <w:szCs w:val="20"/>
        </w:rPr>
      </w:pPr>
    </w:p>
    <w:p w14:paraId="5201C175" w14:textId="77777777" w:rsidR="00D1587D" w:rsidRDefault="00410D07">
      <w:pPr>
        <w:spacing w:line="257" w:lineRule="auto"/>
        <w:ind w:left="300" w:right="379" w:firstLine="360"/>
        <w:rPr>
          <w:sz w:val="20"/>
          <w:szCs w:val="20"/>
        </w:rPr>
      </w:pPr>
      <w:r>
        <w:rPr>
          <w:rFonts w:ascii="Arial" w:eastAsia="Arial" w:hAnsi="Arial" w:cs="Arial"/>
          <w:sz w:val="18"/>
          <w:szCs w:val="18"/>
        </w:rPr>
        <w:t>Our ability to maintain our reputation is critical to our brand images. Our reputation cou</w:t>
      </w:r>
      <w:r>
        <w:rPr>
          <w:rFonts w:ascii="Arial" w:eastAsia="Arial" w:hAnsi="Arial" w:cs="Arial"/>
          <w:sz w:val="18"/>
          <w:szCs w:val="18"/>
        </w:rPr>
        <w:t>ld be jeopardized if we fail to maintain high standards for merchandise quality and integrity. Any negative publicity, including information publicized through traditional or social media platforms and similar venues such as blogs, websites and other forum</w:t>
      </w:r>
      <w:r>
        <w:rPr>
          <w:rFonts w:ascii="Arial" w:eastAsia="Arial" w:hAnsi="Arial" w:cs="Arial"/>
          <w:sz w:val="18"/>
          <w:szCs w:val="18"/>
        </w:rPr>
        <w:t>s, may affect our reputation and brand and, consequently, reduce demand for our merchandise, even if such publicity is unverified or inaccurate.</w:t>
      </w:r>
    </w:p>
    <w:p w14:paraId="28677F0C" w14:textId="77777777" w:rsidR="00D1587D" w:rsidRDefault="00D1587D">
      <w:pPr>
        <w:spacing w:line="80" w:lineRule="exact"/>
        <w:rPr>
          <w:sz w:val="20"/>
          <w:szCs w:val="20"/>
        </w:rPr>
      </w:pPr>
    </w:p>
    <w:p w14:paraId="2581A529" w14:textId="77777777" w:rsidR="00D1587D" w:rsidRDefault="00410D07">
      <w:pPr>
        <w:spacing w:line="271" w:lineRule="auto"/>
        <w:ind w:left="300" w:right="339" w:firstLine="360"/>
        <w:rPr>
          <w:sz w:val="20"/>
          <w:szCs w:val="20"/>
        </w:rPr>
      </w:pPr>
      <w:r>
        <w:rPr>
          <w:rFonts w:ascii="Arial" w:eastAsia="Arial" w:hAnsi="Arial" w:cs="Arial"/>
          <w:sz w:val="17"/>
          <w:szCs w:val="17"/>
        </w:rPr>
        <w:t xml:space="preserve">Failure to comply with or the perception that we have failed to comply with ethical, social, product, </w:t>
      </w:r>
      <w:r>
        <w:rPr>
          <w:rFonts w:ascii="Arial" w:eastAsia="Arial" w:hAnsi="Arial" w:cs="Arial"/>
          <w:sz w:val="17"/>
          <w:szCs w:val="17"/>
        </w:rPr>
        <w:t>labor, privacy and environmental standards, or related political considerations, could also jeopardize our reputation and potentially lead to various adverse consumer actions, including boycotts. Failure to comply with local laws and regulations, to mainta</w:t>
      </w:r>
      <w:r>
        <w:rPr>
          <w:rFonts w:ascii="Arial" w:eastAsia="Arial" w:hAnsi="Arial" w:cs="Arial"/>
          <w:sz w:val="17"/>
          <w:szCs w:val="17"/>
        </w:rPr>
        <w:t xml:space="preserve">in an effective system of internal controls, to maintain the security of customer, associate, third-party and company information or to provide accurate and timely financial statement information could also hurt our reputation. Damage to our reputation or </w:t>
      </w:r>
      <w:r>
        <w:rPr>
          <w:rFonts w:ascii="Arial" w:eastAsia="Arial" w:hAnsi="Arial" w:cs="Arial"/>
          <w:sz w:val="17"/>
          <w:szCs w:val="17"/>
        </w:rPr>
        <w:t>loss of consumer confidence for any of these or other reasons could have a material adverse effect on our results of operations, financial condition and cash flows, as well as require additional resources to rebuild our reputation.</w:t>
      </w:r>
    </w:p>
    <w:p w14:paraId="79A9D967" w14:textId="77777777" w:rsidR="00D1587D" w:rsidRDefault="00D1587D">
      <w:pPr>
        <w:spacing w:line="178" w:lineRule="exact"/>
        <w:rPr>
          <w:sz w:val="20"/>
          <w:szCs w:val="20"/>
        </w:rPr>
      </w:pPr>
    </w:p>
    <w:p w14:paraId="04063783" w14:textId="77777777" w:rsidR="00D1587D" w:rsidRDefault="00410D07">
      <w:pPr>
        <w:spacing w:line="375" w:lineRule="auto"/>
        <w:ind w:left="300" w:right="579" w:firstLine="360"/>
        <w:rPr>
          <w:sz w:val="20"/>
          <w:szCs w:val="20"/>
        </w:rPr>
      </w:pPr>
      <w:r>
        <w:rPr>
          <w:rFonts w:ascii="Arial" w:eastAsia="Arial" w:hAnsi="Arial" w:cs="Arial"/>
          <w:b/>
          <w:bCs/>
          <w:i/>
          <w:iCs/>
          <w:sz w:val="15"/>
          <w:szCs w:val="15"/>
        </w:rPr>
        <w:t>If our marketing, adver</w:t>
      </w:r>
      <w:r>
        <w:rPr>
          <w:rFonts w:ascii="Arial" w:eastAsia="Arial" w:hAnsi="Arial" w:cs="Arial"/>
          <w:b/>
          <w:bCs/>
          <w:i/>
          <w:iCs/>
          <w:sz w:val="15"/>
          <w:szCs w:val="15"/>
        </w:rPr>
        <w:t>tising and promotional programs are unsuccessful, or if our competitors are more effective with their programs than we are, our revenue or results of operations may be adversely affected.</w:t>
      </w:r>
    </w:p>
    <w:p w14:paraId="7D8C5010" w14:textId="77777777" w:rsidR="00D1587D" w:rsidRDefault="00D1587D">
      <w:pPr>
        <w:spacing w:line="1" w:lineRule="exact"/>
        <w:rPr>
          <w:sz w:val="20"/>
          <w:szCs w:val="20"/>
        </w:rPr>
      </w:pPr>
    </w:p>
    <w:p w14:paraId="0AE86DDA" w14:textId="77777777" w:rsidR="00D1587D" w:rsidRDefault="00410D07">
      <w:pPr>
        <w:spacing w:line="272" w:lineRule="auto"/>
        <w:ind w:left="300" w:right="459" w:firstLine="360"/>
        <w:rPr>
          <w:sz w:val="20"/>
          <w:szCs w:val="20"/>
        </w:rPr>
      </w:pPr>
      <w:r>
        <w:rPr>
          <w:rFonts w:ascii="Arial" w:eastAsia="Arial" w:hAnsi="Arial" w:cs="Arial"/>
          <w:sz w:val="17"/>
          <w:szCs w:val="17"/>
        </w:rPr>
        <w:t xml:space="preserve">Customer traffic and demand for our merchandise are </w:t>
      </w:r>
      <w:r>
        <w:rPr>
          <w:rFonts w:ascii="Arial" w:eastAsia="Arial" w:hAnsi="Arial" w:cs="Arial"/>
          <w:sz w:val="17"/>
          <w:szCs w:val="17"/>
        </w:rPr>
        <w:t>influenced by our advertising, marketing and promotional activities, the name recognition and reputation of our brands and the location of and service offered in our stores. Although we use marketing, advertising and promotional programs to attract custome</w:t>
      </w:r>
      <w:r>
        <w:rPr>
          <w:rFonts w:ascii="Arial" w:eastAsia="Arial" w:hAnsi="Arial" w:cs="Arial"/>
          <w:sz w:val="17"/>
          <w:szCs w:val="17"/>
        </w:rPr>
        <w:t>rs through various media, including social media, websites, mobile applications, email, print and television, some of our competitors may expend more for their programs than we do, or use different approaches than we do, which may provide them with a compe</w:t>
      </w:r>
      <w:r>
        <w:rPr>
          <w:rFonts w:ascii="Arial" w:eastAsia="Arial" w:hAnsi="Arial" w:cs="Arial"/>
          <w:sz w:val="17"/>
          <w:szCs w:val="17"/>
        </w:rPr>
        <w:t>titive advantage. Our programs may not be effective or could require increased expenditures, which could have a material adverse effect on our revenue and results of operations.</w:t>
      </w:r>
    </w:p>
    <w:p w14:paraId="11CAF760" w14:textId="77777777" w:rsidR="00D1587D" w:rsidRDefault="00D1587D">
      <w:pPr>
        <w:spacing w:line="177" w:lineRule="exact"/>
        <w:rPr>
          <w:sz w:val="20"/>
          <w:szCs w:val="20"/>
        </w:rPr>
      </w:pPr>
    </w:p>
    <w:p w14:paraId="3280D3AD" w14:textId="77777777" w:rsidR="00D1587D" w:rsidRDefault="00410D07">
      <w:pPr>
        <w:spacing w:line="277" w:lineRule="auto"/>
        <w:ind w:left="300" w:right="359" w:firstLine="360"/>
        <w:rPr>
          <w:sz w:val="20"/>
          <w:szCs w:val="20"/>
        </w:rPr>
      </w:pPr>
      <w:r>
        <w:rPr>
          <w:rFonts w:ascii="Arial" w:eastAsia="Arial" w:hAnsi="Arial" w:cs="Arial"/>
          <w:b/>
          <w:bCs/>
          <w:i/>
          <w:iCs/>
          <w:sz w:val="18"/>
          <w:szCs w:val="18"/>
        </w:rPr>
        <w:t>Our ability to adequately maintain, enforce and protect our trade names, trad</w:t>
      </w:r>
      <w:r>
        <w:rPr>
          <w:rFonts w:ascii="Arial" w:eastAsia="Arial" w:hAnsi="Arial" w:cs="Arial"/>
          <w:b/>
          <w:bCs/>
          <w:i/>
          <w:iCs/>
          <w:sz w:val="18"/>
          <w:szCs w:val="18"/>
        </w:rPr>
        <w:t>emarks and patents could have an impact on our brand images and ability to penetrate new markets.</w:t>
      </w:r>
    </w:p>
    <w:p w14:paraId="1345575C" w14:textId="77777777" w:rsidR="00D1587D" w:rsidRDefault="00D1587D">
      <w:pPr>
        <w:spacing w:line="62" w:lineRule="exact"/>
        <w:rPr>
          <w:sz w:val="20"/>
          <w:szCs w:val="20"/>
        </w:rPr>
      </w:pPr>
    </w:p>
    <w:p w14:paraId="66353125" w14:textId="77777777" w:rsidR="00D1587D" w:rsidRDefault="00410D07">
      <w:pPr>
        <w:spacing w:line="342" w:lineRule="auto"/>
        <w:ind w:left="300" w:right="559" w:firstLine="360"/>
        <w:rPr>
          <w:sz w:val="20"/>
          <w:szCs w:val="20"/>
        </w:rPr>
      </w:pPr>
      <w:r>
        <w:rPr>
          <w:rFonts w:ascii="Arial" w:eastAsia="Arial" w:hAnsi="Arial" w:cs="Arial"/>
          <w:sz w:val="16"/>
          <w:szCs w:val="16"/>
        </w:rPr>
        <w:t>We believe that our trade names, trademarks and patents are important assets and an essential element of our strategy. We have obtained or applied for federa</w:t>
      </w:r>
      <w:r>
        <w:rPr>
          <w:rFonts w:ascii="Arial" w:eastAsia="Arial" w:hAnsi="Arial" w:cs="Arial"/>
          <w:sz w:val="16"/>
          <w:szCs w:val="16"/>
        </w:rPr>
        <w:t>l registration of these trade names, trademarks and patents</w:t>
      </w:r>
    </w:p>
    <w:p w14:paraId="21AB58A5" w14:textId="77777777" w:rsidR="00D1587D" w:rsidRDefault="00D1587D">
      <w:pPr>
        <w:spacing w:line="124" w:lineRule="exact"/>
        <w:rPr>
          <w:sz w:val="20"/>
          <w:szCs w:val="20"/>
        </w:rPr>
      </w:pPr>
    </w:p>
    <w:p w14:paraId="4574839D" w14:textId="77777777" w:rsidR="00D1587D" w:rsidRDefault="00410D07">
      <w:pPr>
        <w:ind w:right="19"/>
        <w:jc w:val="center"/>
        <w:rPr>
          <w:sz w:val="20"/>
          <w:szCs w:val="20"/>
        </w:rPr>
      </w:pPr>
      <w:r>
        <w:rPr>
          <w:rFonts w:ascii="Arial" w:eastAsia="Arial" w:hAnsi="Arial" w:cs="Arial"/>
          <w:sz w:val="18"/>
          <w:szCs w:val="18"/>
        </w:rPr>
        <w:t>28</w:t>
      </w:r>
    </w:p>
    <w:p w14:paraId="21E9F76D" w14:textId="77777777" w:rsidR="00D1587D" w:rsidRDefault="00410D07">
      <w:pPr>
        <w:spacing w:line="20" w:lineRule="exact"/>
        <w:rPr>
          <w:sz w:val="20"/>
          <w:szCs w:val="20"/>
        </w:rPr>
      </w:pPr>
      <w:r>
        <w:rPr>
          <w:noProof/>
          <w:sz w:val="20"/>
          <w:szCs w:val="20"/>
        </w:rPr>
        <w:drawing>
          <wp:anchor distT="0" distB="0" distL="114300" distR="114300" simplePos="0" relativeHeight="251470848" behindDoc="1" locked="0" layoutInCell="0" allowOverlap="1" wp14:anchorId="7CC33D25" wp14:editId="690DAA87">
            <wp:simplePos x="0" y="0"/>
            <wp:positionH relativeFrom="column">
              <wp:posOffset>-636905</wp:posOffset>
            </wp:positionH>
            <wp:positionV relativeFrom="paragraph">
              <wp:posOffset>134620</wp:posOffset>
            </wp:positionV>
            <wp:extent cx="6995160" cy="1714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7C5DED3" w14:textId="77777777" w:rsidR="00D1587D" w:rsidRDefault="00D1587D">
      <w:pPr>
        <w:sectPr w:rsidR="00D1587D">
          <w:pgSz w:w="11900" w:h="16838"/>
          <w:pgMar w:top="265" w:right="1440" w:bottom="1440" w:left="1440" w:header="0" w:footer="0" w:gutter="0"/>
          <w:cols w:space="720" w:equalWidth="0">
            <w:col w:w="9019"/>
          </w:cols>
        </w:sectPr>
      </w:pPr>
    </w:p>
    <w:bookmarkStart w:id="286" w:name="page287"/>
    <w:bookmarkEnd w:id="286"/>
    <w:p w14:paraId="6D021067"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33C31C3" w14:textId="77777777" w:rsidR="00D1587D" w:rsidRDefault="00D1587D">
      <w:pPr>
        <w:spacing w:line="131" w:lineRule="exact"/>
        <w:rPr>
          <w:sz w:val="20"/>
          <w:szCs w:val="20"/>
        </w:rPr>
      </w:pPr>
    </w:p>
    <w:p w14:paraId="374DC082" w14:textId="77777777" w:rsidR="00D1587D" w:rsidRDefault="00410D07">
      <w:pPr>
        <w:spacing w:line="293" w:lineRule="auto"/>
        <w:ind w:left="300" w:right="319"/>
        <w:rPr>
          <w:sz w:val="20"/>
          <w:szCs w:val="20"/>
        </w:rPr>
      </w:pPr>
      <w:r>
        <w:rPr>
          <w:rFonts w:ascii="Arial" w:eastAsia="Arial" w:hAnsi="Arial" w:cs="Arial"/>
          <w:sz w:val="16"/>
          <w:szCs w:val="16"/>
        </w:rPr>
        <w:t xml:space="preserve">and have applied for or obtained registrations in many foreign countries. There can be no assurance that we will obtain </w:t>
      </w:r>
      <w:r>
        <w:rPr>
          <w:rFonts w:ascii="Arial" w:eastAsia="Arial" w:hAnsi="Arial" w:cs="Arial"/>
          <w:sz w:val="16"/>
          <w:szCs w:val="16"/>
        </w:rPr>
        <w:t>such registrations or that the registrations we obtain will prevent the imitation of our products or infringement or other violation of our intellectual property rights by others. In particular, the laws of certain foreign countries may not protect proprie</w:t>
      </w:r>
      <w:r>
        <w:rPr>
          <w:rFonts w:ascii="Arial" w:eastAsia="Arial" w:hAnsi="Arial" w:cs="Arial"/>
          <w:sz w:val="16"/>
          <w:szCs w:val="16"/>
        </w:rPr>
        <w:t>tary rights to the same extent as the laws of the U.S. If any third-party copies our products or our stores in a manner that projects lesser quality or carries a negative connotation, it could have a material adverse effect on our brand image and reputatio</w:t>
      </w:r>
      <w:r>
        <w:rPr>
          <w:rFonts w:ascii="Arial" w:eastAsia="Arial" w:hAnsi="Arial" w:cs="Arial"/>
          <w:sz w:val="16"/>
          <w:szCs w:val="16"/>
        </w:rPr>
        <w:t>n as well as our results of operations, financial condition and cash flows.</w:t>
      </w:r>
    </w:p>
    <w:p w14:paraId="3CDF1DAF" w14:textId="77777777" w:rsidR="00D1587D" w:rsidRDefault="00D1587D">
      <w:pPr>
        <w:spacing w:line="56" w:lineRule="exact"/>
        <w:rPr>
          <w:sz w:val="20"/>
          <w:szCs w:val="20"/>
        </w:rPr>
      </w:pPr>
    </w:p>
    <w:p w14:paraId="5682A6FA" w14:textId="77777777" w:rsidR="00D1587D" w:rsidRDefault="00410D07">
      <w:pPr>
        <w:spacing w:line="255" w:lineRule="auto"/>
        <w:ind w:left="300" w:right="559" w:firstLine="360"/>
        <w:rPr>
          <w:sz w:val="20"/>
          <w:szCs w:val="20"/>
        </w:rPr>
      </w:pPr>
      <w:r>
        <w:rPr>
          <w:rFonts w:ascii="Arial" w:eastAsia="Arial" w:hAnsi="Arial" w:cs="Arial"/>
          <w:sz w:val="18"/>
          <w:szCs w:val="18"/>
        </w:rPr>
        <w:t>Third parties may assert rights in or ownership of our trademarks and other intellectual property rights, or trademarks that are similar to our trademarks, or claim that we are in</w:t>
      </w:r>
      <w:r>
        <w:rPr>
          <w:rFonts w:ascii="Arial" w:eastAsia="Arial" w:hAnsi="Arial" w:cs="Arial"/>
          <w:sz w:val="18"/>
          <w:szCs w:val="18"/>
        </w:rPr>
        <w:t>fringing, misappropriating or otherwise violating their intellectual property rights. We may be unable to successfully resolve these type of conflicts to our satisfaction and may be required to enter into costly license agreements, be required to pay signi</w:t>
      </w:r>
      <w:r>
        <w:rPr>
          <w:rFonts w:ascii="Arial" w:eastAsia="Arial" w:hAnsi="Arial" w:cs="Arial"/>
          <w:sz w:val="18"/>
          <w:szCs w:val="18"/>
        </w:rPr>
        <w:t>ficant royalty, settlements costs or damages, be required to rebrand our products and/or be prevented from selling some of our products.</w:t>
      </w:r>
    </w:p>
    <w:p w14:paraId="6D4CADF1" w14:textId="77777777" w:rsidR="00D1587D" w:rsidRDefault="00D1587D">
      <w:pPr>
        <w:spacing w:line="327" w:lineRule="exact"/>
        <w:rPr>
          <w:sz w:val="20"/>
          <w:szCs w:val="20"/>
        </w:rPr>
      </w:pPr>
    </w:p>
    <w:p w14:paraId="31B9F0AF" w14:textId="77777777" w:rsidR="00D1587D" w:rsidRDefault="00410D07">
      <w:pPr>
        <w:spacing w:line="277" w:lineRule="auto"/>
        <w:ind w:left="300" w:right="559" w:firstLine="360"/>
        <w:rPr>
          <w:sz w:val="20"/>
          <w:szCs w:val="20"/>
        </w:rPr>
      </w:pPr>
      <w:r>
        <w:rPr>
          <w:rFonts w:ascii="Arial" w:eastAsia="Arial" w:hAnsi="Arial" w:cs="Arial"/>
          <w:b/>
          <w:bCs/>
          <w:i/>
          <w:iCs/>
          <w:sz w:val="18"/>
          <w:szCs w:val="18"/>
        </w:rPr>
        <w:t>Our ability to compete favorably in our highly competitive segment of the retail industry could impact our results.</w:t>
      </w:r>
    </w:p>
    <w:p w14:paraId="45534669" w14:textId="77777777" w:rsidR="00D1587D" w:rsidRDefault="00D1587D">
      <w:pPr>
        <w:spacing w:line="62" w:lineRule="exact"/>
        <w:rPr>
          <w:sz w:val="20"/>
          <w:szCs w:val="20"/>
        </w:rPr>
      </w:pPr>
    </w:p>
    <w:p w14:paraId="26C10602" w14:textId="77777777" w:rsidR="00D1587D" w:rsidRDefault="00410D07">
      <w:pPr>
        <w:spacing w:line="296" w:lineRule="auto"/>
        <w:ind w:left="300" w:right="359" w:firstLine="360"/>
        <w:rPr>
          <w:sz w:val="20"/>
          <w:szCs w:val="20"/>
        </w:rPr>
      </w:pPr>
      <w:r>
        <w:rPr>
          <w:rFonts w:ascii="Arial" w:eastAsia="Arial" w:hAnsi="Arial" w:cs="Arial"/>
          <w:sz w:val="16"/>
          <w:szCs w:val="16"/>
        </w:rPr>
        <w:t>T</w:t>
      </w:r>
      <w:r>
        <w:rPr>
          <w:rFonts w:ascii="Arial" w:eastAsia="Arial" w:hAnsi="Arial" w:cs="Arial"/>
          <w:sz w:val="16"/>
          <w:szCs w:val="16"/>
        </w:rPr>
        <w:t>he retail industry is highly competitive. We compete for sales with a broad range of other retailers, including individual and chain specialty stores, department stores and discount retailers. In addition to the traditional store-based retailers, we also c</w:t>
      </w:r>
      <w:r>
        <w:rPr>
          <w:rFonts w:ascii="Arial" w:eastAsia="Arial" w:hAnsi="Arial" w:cs="Arial"/>
          <w:sz w:val="16"/>
          <w:szCs w:val="16"/>
        </w:rPr>
        <w:t>ompete with direct marketers or retailers that sell similar lines of merchandise and who target customers through online channels. Brand image, marketing, design, price, service, assortment, quality, image presentation and fulfillment are all competitive f</w:t>
      </w:r>
      <w:r>
        <w:rPr>
          <w:rFonts w:ascii="Arial" w:eastAsia="Arial" w:hAnsi="Arial" w:cs="Arial"/>
          <w:sz w:val="16"/>
          <w:szCs w:val="16"/>
        </w:rPr>
        <w:t>actors in both the store-based and online channels.</w:t>
      </w:r>
    </w:p>
    <w:p w14:paraId="561048BA" w14:textId="77777777" w:rsidR="00D1587D" w:rsidRDefault="00D1587D">
      <w:pPr>
        <w:spacing w:line="53" w:lineRule="exact"/>
        <w:rPr>
          <w:sz w:val="20"/>
          <w:szCs w:val="20"/>
        </w:rPr>
      </w:pPr>
    </w:p>
    <w:p w14:paraId="49C2E4C8" w14:textId="77777777" w:rsidR="00D1587D" w:rsidRDefault="00410D07">
      <w:pPr>
        <w:spacing w:line="273" w:lineRule="auto"/>
        <w:ind w:left="300" w:right="379" w:firstLine="360"/>
        <w:rPr>
          <w:sz w:val="20"/>
          <w:szCs w:val="20"/>
        </w:rPr>
      </w:pPr>
      <w:r>
        <w:rPr>
          <w:rFonts w:ascii="Arial" w:eastAsia="Arial" w:hAnsi="Arial" w:cs="Arial"/>
          <w:sz w:val="17"/>
          <w:szCs w:val="17"/>
        </w:rPr>
        <w:t>Some of our competitors may have greater financial, marketing and other resources available and trends across our product categories may favor our competitors. We rely to a greater degree than some of ou</w:t>
      </w:r>
      <w:r>
        <w:rPr>
          <w:rFonts w:ascii="Arial" w:eastAsia="Arial" w:hAnsi="Arial" w:cs="Arial"/>
          <w:sz w:val="17"/>
          <w:szCs w:val="17"/>
        </w:rPr>
        <w:t>r competitors on physical locations in shopping malls and centers and so declines in traffic to such locations may affect us more significantly than our competitors. Some of our competitors sell their products in stores that are located in the same shoppin</w:t>
      </w:r>
      <w:r>
        <w:rPr>
          <w:rFonts w:ascii="Arial" w:eastAsia="Arial" w:hAnsi="Arial" w:cs="Arial"/>
          <w:sz w:val="17"/>
          <w:szCs w:val="17"/>
        </w:rPr>
        <w:t>g malls and centers as our stores. In addition to competing for sales, we compete for favorable site locations and lease terms in shopping malls and centers.</w:t>
      </w:r>
    </w:p>
    <w:p w14:paraId="54CFA4FF" w14:textId="77777777" w:rsidR="00D1587D" w:rsidRDefault="00D1587D">
      <w:pPr>
        <w:spacing w:line="70" w:lineRule="exact"/>
        <w:rPr>
          <w:sz w:val="20"/>
          <w:szCs w:val="20"/>
        </w:rPr>
      </w:pPr>
    </w:p>
    <w:p w14:paraId="3CF9AA65" w14:textId="77777777" w:rsidR="00D1587D" w:rsidRDefault="00410D07">
      <w:pPr>
        <w:spacing w:line="286" w:lineRule="auto"/>
        <w:ind w:left="300" w:right="339" w:firstLine="360"/>
        <w:rPr>
          <w:sz w:val="20"/>
          <w:szCs w:val="20"/>
        </w:rPr>
      </w:pPr>
      <w:r>
        <w:rPr>
          <w:rFonts w:ascii="Arial" w:eastAsia="Arial" w:hAnsi="Arial" w:cs="Arial"/>
          <w:sz w:val="17"/>
          <w:szCs w:val="17"/>
        </w:rPr>
        <w:t>Increased competition, combined with declines in mall and/or online website traffic, could result</w:t>
      </w:r>
      <w:r>
        <w:rPr>
          <w:rFonts w:ascii="Arial" w:eastAsia="Arial" w:hAnsi="Arial" w:cs="Arial"/>
          <w:sz w:val="17"/>
          <w:szCs w:val="17"/>
        </w:rPr>
        <w:t xml:space="preserve"> in price reductions, increased marketing expenditures and loss of pricing power and market share, any of which could have a material adverse effect on our results of operations, financial condition and cash flows.</w:t>
      </w:r>
    </w:p>
    <w:p w14:paraId="510AC3C6" w14:textId="77777777" w:rsidR="00D1587D" w:rsidRDefault="00D1587D">
      <w:pPr>
        <w:spacing w:line="300" w:lineRule="exact"/>
        <w:rPr>
          <w:sz w:val="20"/>
          <w:szCs w:val="20"/>
        </w:rPr>
      </w:pPr>
    </w:p>
    <w:p w14:paraId="25057007" w14:textId="77777777" w:rsidR="00D1587D" w:rsidRDefault="00410D07">
      <w:pPr>
        <w:spacing w:line="277" w:lineRule="auto"/>
        <w:ind w:left="300" w:right="319" w:firstLine="360"/>
        <w:rPr>
          <w:sz w:val="20"/>
          <w:szCs w:val="20"/>
        </w:rPr>
      </w:pPr>
      <w:r>
        <w:rPr>
          <w:rFonts w:ascii="Arial" w:eastAsia="Arial" w:hAnsi="Arial" w:cs="Arial"/>
          <w:b/>
          <w:bCs/>
          <w:i/>
          <w:iCs/>
          <w:sz w:val="18"/>
          <w:szCs w:val="18"/>
        </w:rPr>
        <w:t xml:space="preserve">Our ability to manage the life </w:t>
      </w:r>
      <w:r>
        <w:rPr>
          <w:rFonts w:ascii="Arial" w:eastAsia="Arial" w:hAnsi="Arial" w:cs="Arial"/>
          <w:b/>
          <w:bCs/>
          <w:i/>
          <w:iCs/>
          <w:sz w:val="18"/>
          <w:szCs w:val="18"/>
        </w:rPr>
        <w:t>cycle of our brands and to remain current with fashion trends and launch new product lines successfully could impact the image and relevance of our brands.</w:t>
      </w:r>
    </w:p>
    <w:p w14:paraId="5CA78200" w14:textId="77777777" w:rsidR="00D1587D" w:rsidRDefault="00D1587D">
      <w:pPr>
        <w:spacing w:line="62" w:lineRule="exact"/>
        <w:rPr>
          <w:sz w:val="20"/>
          <w:szCs w:val="20"/>
        </w:rPr>
      </w:pPr>
    </w:p>
    <w:p w14:paraId="21332274" w14:textId="77777777" w:rsidR="00D1587D" w:rsidRDefault="00410D07">
      <w:pPr>
        <w:spacing w:line="269" w:lineRule="auto"/>
        <w:ind w:left="300" w:right="319" w:firstLine="360"/>
        <w:rPr>
          <w:sz w:val="20"/>
          <w:szCs w:val="20"/>
        </w:rPr>
      </w:pPr>
      <w:r>
        <w:rPr>
          <w:rFonts w:ascii="Arial" w:eastAsia="Arial" w:hAnsi="Arial" w:cs="Arial"/>
          <w:sz w:val="17"/>
          <w:szCs w:val="17"/>
        </w:rPr>
        <w:t>Our success depends in part on management’s ability to effectively manage the life cycle of our bra</w:t>
      </w:r>
      <w:r>
        <w:rPr>
          <w:rFonts w:ascii="Arial" w:eastAsia="Arial" w:hAnsi="Arial" w:cs="Arial"/>
          <w:sz w:val="17"/>
          <w:szCs w:val="17"/>
        </w:rPr>
        <w:t>nds and to anticipate and respond to changing fashion preferences and consumer demands and to translate market trends into appropriate, salable product offerings in advance of the actual time of sale to the customer. We are dependent on certain product cat</w:t>
      </w:r>
      <w:r>
        <w:rPr>
          <w:rFonts w:ascii="Arial" w:eastAsia="Arial" w:hAnsi="Arial" w:cs="Arial"/>
          <w:sz w:val="17"/>
          <w:szCs w:val="17"/>
        </w:rPr>
        <w:t>egories, and a decline in consumer demand in these product categories could negatively affect our results of operations, financial condition and cash flows. Customer demands and fashion trends change rapidly. If we are unable to successfully anticipate, id</w:t>
      </w:r>
      <w:r>
        <w:rPr>
          <w:rFonts w:ascii="Arial" w:eastAsia="Arial" w:hAnsi="Arial" w:cs="Arial"/>
          <w:sz w:val="17"/>
          <w:szCs w:val="17"/>
        </w:rPr>
        <w:t>entify or react to changing styles or trends or we misjudge the market for our products or any new product lines, our sales will be lower, potentially resulting in significant amounts of unsold inventory. In response, we may be forced to increase our marke</w:t>
      </w:r>
      <w:r>
        <w:rPr>
          <w:rFonts w:ascii="Arial" w:eastAsia="Arial" w:hAnsi="Arial" w:cs="Arial"/>
          <w:sz w:val="17"/>
          <w:szCs w:val="17"/>
        </w:rPr>
        <w:t>ting promotions or price markdowns. These risks could have a material adverse effect on our brand image and reputation as well as our results of operations, financial condition and cash flows.</w:t>
      </w:r>
    </w:p>
    <w:p w14:paraId="41BD778F" w14:textId="77777777" w:rsidR="00D1587D" w:rsidRDefault="00D1587D">
      <w:pPr>
        <w:spacing w:line="334" w:lineRule="exact"/>
        <w:rPr>
          <w:sz w:val="20"/>
          <w:szCs w:val="20"/>
        </w:rPr>
      </w:pPr>
    </w:p>
    <w:p w14:paraId="1CA0845D" w14:textId="77777777" w:rsidR="00D1587D" w:rsidRDefault="00410D07">
      <w:pPr>
        <w:spacing w:line="277" w:lineRule="auto"/>
        <w:ind w:left="300" w:right="359" w:firstLine="360"/>
        <w:rPr>
          <w:sz w:val="20"/>
          <w:szCs w:val="20"/>
        </w:rPr>
      </w:pPr>
      <w:r>
        <w:rPr>
          <w:rFonts w:ascii="Arial" w:eastAsia="Arial" w:hAnsi="Arial" w:cs="Arial"/>
          <w:b/>
          <w:bCs/>
          <w:i/>
          <w:iCs/>
          <w:sz w:val="18"/>
          <w:szCs w:val="18"/>
        </w:rPr>
        <w:t>We may be impacted by our ability to adequately source, distri</w:t>
      </w:r>
      <w:r>
        <w:rPr>
          <w:rFonts w:ascii="Arial" w:eastAsia="Arial" w:hAnsi="Arial" w:cs="Arial"/>
          <w:b/>
          <w:bCs/>
          <w:i/>
          <w:iCs/>
          <w:sz w:val="18"/>
          <w:szCs w:val="18"/>
        </w:rPr>
        <w:t>bute and sell merchandise and other materials on a global basis.</w:t>
      </w:r>
    </w:p>
    <w:p w14:paraId="5502AE56" w14:textId="77777777" w:rsidR="00D1587D" w:rsidRDefault="00D1587D">
      <w:pPr>
        <w:spacing w:line="62" w:lineRule="exact"/>
        <w:rPr>
          <w:sz w:val="20"/>
          <w:szCs w:val="20"/>
        </w:rPr>
      </w:pPr>
    </w:p>
    <w:p w14:paraId="62E70F2D" w14:textId="77777777" w:rsidR="00D1587D" w:rsidRDefault="00410D07">
      <w:pPr>
        <w:spacing w:line="257" w:lineRule="auto"/>
        <w:ind w:left="300" w:right="359" w:firstLine="360"/>
        <w:rPr>
          <w:sz w:val="20"/>
          <w:szCs w:val="20"/>
        </w:rPr>
      </w:pPr>
      <w:r>
        <w:rPr>
          <w:rFonts w:ascii="Arial" w:eastAsia="Arial" w:hAnsi="Arial" w:cs="Arial"/>
          <w:sz w:val="18"/>
          <w:szCs w:val="18"/>
        </w:rPr>
        <w:t>We source merchandise and other materials directly in international markets and in our domestic market. We distribute merchandise and other materials globally to our partners in internationa</w:t>
      </w:r>
      <w:r>
        <w:rPr>
          <w:rFonts w:ascii="Arial" w:eastAsia="Arial" w:hAnsi="Arial" w:cs="Arial"/>
          <w:sz w:val="18"/>
          <w:szCs w:val="18"/>
        </w:rPr>
        <w:t>l locations and to our stores. Many of our imports and exports are subject to a variety of customs regulations and international trade arrangements, including existing or potential duties, tariffs or safeguard quotas. We compete with other companies for pr</w:t>
      </w:r>
      <w:r>
        <w:rPr>
          <w:rFonts w:ascii="Arial" w:eastAsia="Arial" w:hAnsi="Arial" w:cs="Arial"/>
          <w:sz w:val="18"/>
          <w:szCs w:val="18"/>
        </w:rPr>
        <w:t>oduction facilities.</w:t>
      </w:r>
    </w:p>
    <w:p w14:paraId="553E2DCD" w14:textId="77777777" w:rsidR="00D1587D" w:rsidRDefault="00D1587D">
      <w:pPr>
        <w:spacing w:line="188" w:lineRule="exact"/>
        <w:rPr>
          <w:sz w:val="20"/>
          <w:szCs w:val="20"/>
        </w:rPr>
      </w:pPr>
    </w:p>
    <w:p w14:paraId="4D70065C" w14:textId="77777777" w:rsidR="00D1587D" w:rsidRDefault="00410D07">
      <w:pPr>
        <w:ind w:right="19"/>
        <w:jc w:val="center"/>
        <w:rPr>
          <w:sz w:val="20"/>
          <w:szCs w:val="20"/>
        </w:rPr>
      </w:pPr>
      <w:r>
        <w:rPr>
          <w:rFonts w:ascii="Arial" w:eastAsia="Arial" w:hAnsi="Arial" w:cs="Arial"/>
          <w:sz w:val="18"/>
          <w:szCs w:val="18"/>
        </w:rPr>
        <w:t>29</w:t>
      </w:r>
    </w:p>
    <w:p w14:paraId="5DB0DF0C" w14:textId="77777777" w:rsidR="00D1587D" w:rsidRDefault="00410D07">
      <w:pPr>
        <w:spacing w:line="20" w:lineRule="exact"/>
        <w:rPr>
          <w:sz w:val="20"/>
          <w:szCs w:val="20"/>
        </w:rPr>
      </w:pPr>
      <w:r>
        <w:rPr>
          <w:noProof/>
          <w:sz w:val="20"/>
          <w:szCs w:val="20"/>
        </w:rPr>
        <w:drawing>
          <wp:anchor distT="0" distB="0" distL="114300" distR="114300" simplePos="0" relativeHeight="251471872" behindDoc="1" locked="0" layoutInCell="0" allowOverlap="1" wp14:anchorId="4C53E112" wp14:editId="48EE5C2F">
            <wp:simplePos x="0" y="0"/>
            <wp:positionH relativeFrom="column">
              <wp:posOffset>-636905</wp:posOffset>
            </wp:positionH>
            <wp:positionV relativeFrom="paragraph">
              <wp:posOffset>126365</wp:posOffset>
            </wp:positionV>
            <wp:extent cx="6995160" cy="17145"/>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569B137" w14:textId="77777777" w:rsidR="00D1587D" w:rsidRDefault="00D1587D">
      <w:pPr>
        <w:sectPr w:rsidR="00D1587D">
          <w:pgSz w:w="11900" w:h="16838"/>
          <w:pgMar w:top="265" w:right="1440" w:bottom="1440" w:left="1440" w:header="0" w:footer="0" w:gutter="0"/>
          <w:cols w:space="720" w:equalWidth="0">
            <w:col w:w="9019"/>
          </w:cols>
        </w:sectPr>
      </w:pPr>
    </w:p>
    <w:bookmarkStart w:id="287" w:name="page288"/>
    <w:bookmarkEnd w:id="287"/>
    <w:p w14:paraId="22C06D5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B304F38" w14:textId="77777777" w:rsidR="00D1587D" w:rsidRDefault="00D1587D">
      <w:pPr>
        <w:spacing w:line="131" w:lineRule="exact"/>
        <w:rPr>
          <w:sz w:val="20"/>
          <w:szCs w:val="20"/>
        </w:rPr>
      </w:pPr>
    </w:p>
    <w:p w14:paraId="175BE74C" w14:textId="77777777" w:rsidR="00D1587D" w:rsidRDefault="00410D07">
      <w:pPr>
        <w:ind w:left="660"/>
        <w:rPr>
          <w:sz w:val="20"/>
          <w:szCs w:val="20"/>
        </w:rPr>
      </w:pPr>
      <w:r>
        <w:rPr>
          <w:rFonts w:ascii="Arial" w:eastAsia="Arial" w:hAnsi="Arial" w:cs="Arial"/>
          <w:sz w:val="16"/>
          <w:szCs w:val="16"/>
        </w:rPr>
        <w:t>We also face a variety of other risks generally associated with doing business on a global basis. For example:</w:t>
      </w:r>
    </w:p>
    <w:p w14:paraId="3BC4FAD1" w14:textId="77777777" w:rsidR="00D1587D" w:rsidRDefault="00D1587D">
      <w:pPr>
        <w:spacing w:line="140" w:lineRule="exact"/>
        <w:rPr>
          <w:sz w:val="20"/>
          <w:szCs w:val="20"/>
        </w:rPr>
      </w:pPr>
    </w:p>
    <w:p w14:paraId="0ED70436" w14:textId="77777777" w:rsidR="00D1587D" w:rsidRDefault="00410D07" w:rsidP="00410D07">
      <w:pPr>
        <w:numPr>
          <w:ilvl w:val="0"/>
          <w:numId w:val="249"/>
        </w:numPr>
        <w:tabs>
          <w:tab w:val="left" w:pos="1000"/>
        </w:tabs>
        <w:spacing w:line="277" w:lineRule="auto"/>
        <w:ind w:left="1000" w:right="419" w:hanging="348"/>
        <w:rPr>
          <w:rFonts w:ascii="Arial" w:eastAsia="Arial" w:hAnsi="Arial" w:cs="Arial"/>
          <w:sz w:val="18"/>
          <w:szCs w:val="18"/>
        </w:rPr>
      </w:pPr>
      <w:r>
        <w:rPr>
          <w:rFonts w:ascii="Arial" w:eastAsia="Arial" w:hAnsi="Arial" w:cs="Arial"/>
          <w:sz w:val="18"/>
          <w:szCs w:val="18"/>
        </w:rPr>
        <w:t xml:space="preserve">political instability, environmental hazards or </w:t>
      </w:r>
      <w:r>
        <w:rPr>
          <w:rFonts w:ascii="Arial" w:eastAsia="Arial" w:hAnsi="Arial" w:cs="Arial"/>
          <w:sz w:val="18"/>
          <w:szCs w:val="18"/>
        </w:rPr>
        <w:t>natural disasters which could negatively affect international economies, financial markets and business activity;</w:t>
      </w:r>
    </w:p>
    <w:p w14:paraId="69C94EC0" w14:textId="77777777" w:rsidR="00D1587D" w:rsidRDefault="00D1587D">
      <w:pPr>
        <w:spacing w:line="62" w:lineRule="exact"/>
        <w:rPr>
          <w:rFonts w:ascii="Arial" w:eastAsia="Arial" w:hAnsi="Arial" w:cs="Arial"/>
          <w:sz w:val="18"/>
          <w:szCs w:val="18"/>
        </w:rPr>
      </w:pPr>
    </w:p>
    <w:p w14:paraId="6ADF125C" w14:textId="77777777" w:rsidR="00D1587D" w:rsidRDefault="00410D07" w:rsidP="00410D07">
      <w:pPr>
        <w:numPr>
          <w:ilvl w:val="0"/>
          <w:numId w:val="249"/>
        </w:numPr>
        <w:tabs>
          <w:tab w:val="left" w:pos="1000"/>
        </w:tabs>
        <w:spacing w:line="342" w:lineRule="auto"/>
        <w:ind w:left="1000" w:right="839" w:hanging="348"/>
        <w:rPr>
          <w:rFonts w:ascii="Arial" w:eastAsia="Arial" w:hAnsi="Arial" w:cs="Arial"/>
          <w:sz w:val="16"/>
          <w:szCs w:val="16"/>
        </w:rPr>
      </w:pPr>
      <w:r>
        <w:rPr>
          <w:rFonts w:ascii="Arial" w:eastAsia="Arial" w:hAnsi="Arial" w:cs="Arial"/>
          <w:sz w:val="16"/>
          <w:szCs w:val="16"/>
        </w:rPr>
        <w:t xml:space="preserve">significant health hazards or pandemics, which could result in closed factories, reduced workforces, scarcity of raw materials, and scrutiny </w:t>
      </w:r>
      <w:r>
        <w:rPr>
          <w:rFonts w:ascii="Arial" w:eastAsia="Arial" w:hAnsi="Arial" w:cs="Arial"/>
          <w:sz w:val="16"/>
          <w:szCs w:val="16"/>
        </w:rPr>
        <w:t>or embargoing of goods produced in infected areas;</w:t>
      </w:r>
    </w:p>
    <w:p w14:paraId="0AD041DF" w14:textId="77777777" w:rsidR="00D1587D" w:rsidRDefault="00D1587D">
      <w:pPr>
        <w:spacing w:line="15" w:lineRule="exact"/>
        <w:rPr>
          <w:rFonts w:ascii="Arial" w:eastAsia="Arial" w:hAnsi="Arial" w:cs="Arial"/>
          <w:sz w:val="16"/>
          <w:szCs w:val="16"/>
        </w:rPr>
      </w:pPr>
    </w:p>
    <w:p w14:paraId="727BB198" w14:textId="77777777" w:rsidR="00D1587D" w:rsidRDefault="00410D07" w:rsidP="00410D07">
      <w:pPr>
        <w:numPr>
          <w:ilvl w:val="0"/>
          <w:numId w:val="249"/>
        </w:numPr>
        <w:tabs>
          <w:tab w:val="left" w:pos="1000"/>
        </w:tabs>
        <w:ind w:left="1000" w:hanging="348"/>
        <w:rPr>
          <w:rFonts w:ascii="Arial" w:eastAsia="Arial" w:hAnsi="Arial" w:cs="Arial"/>
          <w:sz w:val="16"/>
          <w:szCs w:val="16"/>
        </w:rPr>
      </w:pPr>
      <w:r>
        <w:rPr>
          <w:rFonts w:ascii="Arial" w:eastAsia="Arial" w:hAnsi="Arial" w:cs="Arial"/>
          <w:sz w:val="16"/>
          <w:szCs w:val="16"/>
        </w:rPr>
        <w:t>imposition of new or retaliatory trade duties, sanctions or taxes and other charges on imports or exports;</w:t>
      </w:r>
    </w:p>
    <w:p w14:paraId="0E590D28" w14:textId="77777777" w:rsidR="00D1587D" w:rsidRDefault="00D1587D">
      <w:pPr>
        <w:spacing w:line="140" w:lineRule="exact"/>
        <w:rPr>
          <w:rFonts w:ascii="Arial" w:eastAsia="Arial" w:hAnsi="Arial" w:cs="Arial"/>
          <w:sz w:val="16"/>
          <w:szCs w:val="16"/>
        </w:rPr>
      </w:pPr>
    </w:p>
    <w:p w14:paraId="095A719B" w14:textId="77777777" w:rsidR="00D1587D" w:rsidRDefault="00410D07" w:rsidP="00410D07">
      <w:pPr>
        <w:numPr>
          <w:ilvl w:val="0"/>
          <w:numId w:val="249"/>
        </w:numPr>
        <w:tabs>
          <w:tab w:val="left" w:pos="1000"/>
        </w:tabs>
        <w:ind w:left="1000" w:hanging="348"/>
        <w:rPr>
          <w:rFonts w:ascii="Arial" w:eastAsia="Arial" w:hAnsi="Arial" w:cs="Arial"/>
          <w:sz w:val="18"/>
          <w:szCs w:val="18"/>
        </w:rPr>
      </w:pPr>
      <w:r>
        <w:rPr>
          <w:rFonts w:ascii="Arial" w:eastAsia="Arial" w:hAnsi="Arial" w:cs="Arial"/>
          <w:sz w:val="18"/>
          <w:szCs w:val="18"/>
        </w:rPr>
        <w:t>evolving, new or complex legal and regulatory matters;</w:t>
      </w:r>
    </w:p>
    <w:p w14:paraId="6DC4F204" w14:textId="77777777" w:rsidR="00D1587D" w:rsidRDefault="00D1587D">
      <w:pPr>
        <w:spacing w:line="117" w:lineRule="exact"/>
        <w:rPr>
          <w:rFonts w:ascii="Arial" w:eastAsia="Arial" w:hAnsi="Arial" w:cs="Arial"/>
          <w:sz w:val="18"/>
          <w:szCs w:val="18"/>
        </w:rPr>
      </w:pPr>
    </w:p>
    <w:p w14:paraId="378571D3" w14:textId="77777777" w:rsidR="00D1587D" w:rsidRDefault="00410D07" w:rsidP="00410D07">
      <w:pPr>
        <w:numPr>
          <w:ilvl w:val="0"/>
          <w:numId w:val="249"/>
        </w:numPr>
        <w:tabs>
          <w:tab w:val="left" w:pos="1000"/>
        </w:tabs>
        <w:ind w:left="1000" w:hanging="348"/>
        <w:rPr>
          <w:rFonts w:ascii="Arial" w:eastAsia="Arial" w:hAnsi="Arial" w:cs="Arial"/>
          <w:sz w:val="18"/>
          <w:szCs w:val="18"/>
        </w:rPr>
      </w:pPr>
      <w:r>
        <w:rPr>
          <w:rFonts w:ascii="Arial" w:eastAsia="Arial" w:hAnsi="Arial" w:cs="Arial"/>
          <w:sz w:val="18"/>
          <w:szCs w:val="18"/>
        </w:rPr>
        <w:t xml:space="preserve">volatility in currency exchange </w:t>
      </w:r>
      <w:r>
        <w:rPr>
          <w:rFonts w:ascii="Arial" w:eastAsia="Arial" w:hAnsi="Arial" w:cs="Arial"/>
          <w:sz w:val="18"/>
          <w:szCs w:val="18"/>
        </w:rPr>
        <w:t>rates;</w:t>
      </w:r>
    </w:p>
    <w:p w14:paraId="156C748F" w14:textId="77777777" w:rsidR="00D1587D" w:rsidRDefault="00D1587D">
      <w:pPr>
        <w:spacing w:line="117" w:lineRule="exact"/>
        <w:rPr>
          <w:rFonts w:ascii="Arial" w:eastAsia="Arial" w:hAnsi="Arial" w:cs="Arial"/>
          <w:sz w:val="18"/>
          <w:szCs w:val="18"/>
        </w:rPr>
      </w:pPr>
    </w:p>
    <w:p w14:paraId="7CC061AB" w14:textId="77777777" w:rsidR="00D1587D" w:rsidRDefault="00410D07" w:rsidP="00410D07">
      <w:pPr>
        <w:numPr>
          <w:ilvl w:val="0"/>
          <w:numId w:val="249"/>
        </w:numPr>
        <w:tabs>
          <w:tab w:val="left" w:pos="1000"/>
        </w:tabs>
        <w:spacing w:line="263" w:lineRule="auto"/>
        <w:ind w:left="1000" w:right="819" w:hanging="348"/>
        <w:rPr>
          <w:rFonts w:ascii="Arial" w:eastAsia="Arial" w:hAnsi="Arial" w:cs="Arial"/>
          <w:sz w:val="18"/>
          <w:szCs w:val="18"/>
        </w:rPr>
      </w:pPr>
      <w:r>
        <w:rPr>
          <w:rFonts w:ascii="Arial" w:eastAsia="Arial" w:hAnsi="Arial" w:cs="Arial"/>
          <w:sz w:val="18"/>
          <w:szCs w:val="18"/>
        </w:rPr>
        <w:t>local business practice and political issues (including issues relating to compliance with domestic or international labor standards) which may result in adverse publicity or threatened or actual adverse consumer actions, including boycotts;</w:t>
      </w:r>
    </w:p>
    <w:p w14:paraId="7B6FE783" w14:textId="77777777" w:rsidR="00D1587D" w:rsidRDefault="00D1587D">
      <w:pPr>
        <w:spacing w:line="75" w:lineRule="exact"/>
        <w:rPr>
          <w:rFonts w:ascii="Arial" w:eastAsia="Arial" w:hAnsi="Arial" w:cs="Arial"/>
          <w:sz w:val="18"/>
          <w:szCs w:val="18"/>
        </w:rPr>
      </w:pPr>
    </w:p>
    <w:p w14:paraId="0F117950" w14:textId="77777777" w:rsidR="00D1587D" w:rsidRDefault="00410D07" w:rsidP="00410D07">
      <w:pPr>
        <w:numPr>
          <w:ilvl w:val="0"/>
          <w:numId w:val="249"/>
        </w:numPr>
        <w:tabs>
          <w:tab w:val="left" w:pos="1000"/>
        </w:tabs>
        <w:ind w:left="1000" w:hanging="348"/>
        <w:rPr>
          <w:rFonts w:ascii="Arial" w:eastAsia="Arial" w:hAnsi="Arial" w:cs="Arial"/>
          <w:sz w:val="18"/>
          <w:szCs w:val="18"/>
        </w:rPr>
      </w:pPr>
      <w:r>
        <w:rPr>
          <w:rFonts w:ascii="Arial" w:eastAsia="Arial" w:hAnsi="Arial" w:cs="Arial"/>
          <w:sz w:val="18"/>
          <w:szCs w:val="18"/>
        </w:rPr>
        <w:t>poten</w:t>
      </w:r>
      <w:r>
        <w:rPr>
          <w:rFonts w:ascii="Arial" w:eastAsia="Arial" w:hAnsi="Arial" w:cs="Arial"/>
          <w:sz w:val="18"/>
          <w:szCs w:val="18"/>
        </w:rPr>
        <w:t>tial delays or disruptions in shipping and transportation and related pricing impacts;</w:t>
      </w:r>
    </w:p>
    <w:p w14:paraId="2C67BB1E" w14:textId="77777777" w:rsidR="00D1587D" w:rsidRDefault="00D1587D">
      <w:pPr>
        <w:spacing w:line="117" w:lineRule="exact"/>
        <w:rPr>
          <w:rFonts w:ascii="Arial" w:eastAsia="Arial" w:hAnsi="Arial" w:cs="Arial"/>
          <w:sz w:val="18"/>
          <w:szCs w:val="18"/>
        </w:rPr>
      </w:pPr>
    </w:p>
    <w:p w14:paraId="22824B90" w14:textId="77777777" w:rsidR="00D1587D" w:rsidRDefault="00410D07" w:rsidP="00410D07">
      <w:pPr>
        <w:numPr>
          <w:ilvl w:val="0"/>
          <w:numId w:val="249"/>
        </w:numPr>
        <w:tabs>
          <w:tab w:val="left" w:pos="1000"/>
        </w:tabs>
        <w:ind w:left="1000" w:hanging="348"/>
        <w:rPr>
          <w:rFonts w:ascii="Arial" w:eastAsia="Arial" w:hAnsi="Arial" w:cs="Arial"/>
          <w:sz w:val="18"/>
          <w:szCs w:val="18"/>
        </w:rPr>
      </w:pPr>
      <w:r>
        <w:rPr>
          <w:rFonts w:ascii="Arial" w:eastAsia="Arial" w:hAnsi="Arial" w:cs="Arial"/>
          <w:sz w:val="18"/>
          <w:szCs w:val="18"/>
        </w:rPr>
        <w:t>disruption due to labor disputes; and</w:t>
      </w:r>
    </w:p>
    <w:p w14:paraId="7B9988BC" w14:textId="77777777" w:rsidR="00D1587D" w:rsidRDefault="00D1587D">
      <w:pPr>
        <w:spacing w:line="117" w:lineRule="exact"/>
        <w:rPr>
          <w:rFonts w:ascii="Arial" w:eastAsia="Arial" w:hAnsi="Arial" w:cs="Arial"/>
          <w:sz w:val="18"/>
          <w:szCs w:val="18"/>
        </w:rPr>
      </w:pPr>
    </w:p>
    <w:p w14:paraId="4C1F81B1" w14:textId="77777777" w:rsidR="00D1587D" w:rsidRDefault="00410D07" w:rsidP="00410D07">
      <w:pPr>
        <w:numPr>
          <w:ilvl w:val="0"/>
          <w:numId w:val="249"/>
        </w:numPr>
        <w:tabs>
          <w:tab w:val="left" w:pos="1000"/>
        </w:tabs>
        <w:ind w:left="1000" w:hanging="348"/>
        <w:rPr>
          <w:rFonts w:ascii="Arial" w:eastAsia="Arial" w:hAnsi="Arial" w:cs="Arial"/>
          <w:sz w:val="18"/>
          <w:szCs w:val="18"/>
        </w:rPr>
      </w:pPr>
      <w:r>
        <w:rPr>
          <w:rFonts w:ascii="Arial" w:eastAsia="Arial" w:hAnsi="Arial" w:cs="Arial"/>
          <w:sz w:val="18"/>
          <w:szCs w:val="18"/>
        </w:rPr>
        <w:t>changing expectations regarding product safety due to new legislation or other factors.</w:t>
      </w:r>
    </w:p>
    <w:p w14:paraId="6FBF44A1" w14:textId="77777777" w:rsidR="00D1587D" w:rsidRDefault="00D1587D">
      <w:pPr>
        <w:spacing w:line="117" w:lineRule="exact"/>
        <w:rPr>
          <w:sz w:val="20"/>
          <w:szCs w:val="20"/>
        </w:rPr>
      </w:pPr>
    </w:p>
    <w:p w14:paraId="17B8D2D2" w14:textId="77777777" w:rsidR="00D1587D" w:rsidRDefault="00410D07">
      <w:pPr>
        <w:spacing w:line="293" w:lineRule="auto"/>
        <w:ind w:left="300" w:right="439" w:firstLine="360"/>
        <w:rPr>
          <w:sz w:val="20"/>
          <w:szCs w:val="20"/>
        </w:rPr>
      </w:pPr>
      <w:r>
        <w:rPr>
          <w:rFonts w:ascii="Arial" w:eastAsia="Arial" w:hAnsi="Arial" w:cs="Arial"/>
          <w:sz w:val="16"/>
          <w:szCs w:val="16"/>
        </w:rPr>
        <w:t xml:space="preserve">We also rely upon third-party </w:t>
      </w:r>
      <w:r>
        <w:rPr>
          <w:rFonts w:ascii="Arial" w:eastAsia="Arial" w:hAnsi="Arial" w:cs="Arial"/>
          <w:sz w:val="16"/>
          <w:szCs w:val="16"/>
        </w:rPr>
        <w:t>transportation providers for substantially all of our product shipments, including shipments to and from our distribution centers, to our stores and to our customers. Our utilization of these delivery services for shipments is subject to risks, including i</w:t>
      </w:r>
      <w:r>
        <w:rPr>
          <w:rFonts w:ascii="Arial" w:eastAsia="Arial" w:hAnsi="Arial" w:cs="Arial"/>
          <w:sz w:val="16"/>
          <w:szCs w:val="16"/>
        </w:rPr>
        <w:t>ncreases in labor costs and fuel prices, which would increase our shipping costs, and associate strikes and inclement weather, which may impact our transportation providers’ ability to provide delivery services that adequately meet our shipping needs. Furt</w:t>
      </w:r>
      <w:r>
        <w:rPr>
          <w:rFonts w:ascii="Arial" w:eastAsia="Arial" w:hAnsi="Arial" w:cs="Arial"/>
          <w:sz w:val="16"/>
          <w:szCs w:val="16"/>
        </w:rPr>
        <w:t>her, the rapid increase in demand for online shopping has led to increased pressure on the capacity of our fulfillment network.</w:t>
      </w:r>
    </w:p>
    <w:p w14:paraId="287C7F5B" w14:textId="77777777" w:rsidR="00D1587D" w:rsidRDefault="00D1587D">
      <w:pPr>
        <w:spacing w:line="56" w:lineRule="exact"/>
        <w:rPr>
          <w:sz w:val="20"/>
          <w:szCs w:val="20"/>
        </w:rPr>
      </w:pPr>
    </w:p>
    <w:p w14:paraId="4B2EA152" w14:textId="77777777" w:rsidR="00D1587D" w:rsidRDefault="00410D07">
      <w:pPr>
        <w:spacing w:line="269" w:lineRule="auto"/>
        <w:ind w:left="300" w:right="319" w:firstLine="360"/>
        <w:rPr>
          <w:sz w:val="20"/>
          <w:szCs w:val="20"/>
        </w:rPr>
      </w:pPr>
      <w:r>
        <w:rPr>
          <w:rFonts w:ascii="Arial" w:eastAsia="Arial" w:hAnsi="Arial" w:cs="Arial"/>
          <w:sz w:val="17"/>
          <w:szCs w:val="17"/>
        </w:rPr>
        <w:t>For example, the COVID-19 global pandemic has negatively impacted the global economy, disrupted consumer spending and global su</w:t>
      </w:r>
      <w:r>
        <w:rPr>
          <w:rFonts w:ascii="Arial" w:eastAsia="Arial" w:hAnsi="Arial" w:cs="Arial"/>
          <w:sz w:val="17"/>
          <w:szCs w:val="17"/>
        </w:rPr>
        <w:t>pply chains, and created significant volatility and disruption of financial markets. The COVID-19 global pandemic resulted in the temporary shut-down of many of our supply chain facilities. The pandemic continues to have the potential to significantly impa</w:t>
      </w:r>
      <w:r>
        <w:rPr>
          <w:rFonts w:ascii="Arial" w:eastAsia="Arial" w:hAnsi="Arial" w:cs="Arial"/>
          <w:sz w:val="17"/>
          <w:szCs w:val="17"/>
        </w:rPr>
        <w:t xml:space="preserve">ct our supply chain if the factories that manufacture our products, the distribution centers where we manage our inventory, or the operations of our logistics and other service providers are disrupted, temporarily closed or experience worker shortages. We </w:t>
      </w:r>
      <w:r>
        <w:rPr>
          <w:rFonts w:ascii="Arial" w:eastAsia="Arial" w:hAnsi="Arial" w:cs="Arial"/>
          <w:sz w:val="17"/>
          <w:szCs w:val="17"/>
        </w:rPr>
        <w:t>may also see disruptions or delays in shipments and negative impacts to pricing of certain components of our products. In addition, the impact of COVID-19 on macroeconomic conditions may impact the proper functioning of financial and capital markets, forei</w:t>
      </w:r>
      <w:r>
        <w:rPr>
          <w:rFonts w:ascii="Arial" w:eastAsia="Arial" w:hAnsi="Arial" w:cs="Arial"/>
          <w:sz w:val="17"/>
          <w:szCs w:val="17"/>
        </w:rPr>
        <w:t>gn currency exchange rates, commodity prices, and interest rates. Even after the COVID-19 global pandemic has subsided, we may continue to experience adverse impacts to our business as a result of any economic recession or depression that has occurred or m</w:t>
      </w:r>
      <w:r>
        <w:rPr>
          <w:rFonts w:ascii="Arial" w:eastAsia="Arial" w:hAnsi="Arial" w:cs="Arial"/>
          <w:sz w:val="17"/>
          <w:szCs w:val="17"/>
        </w:rPr>
        <w:t>ay occur in the future.</w:t>
      </w:r>
    </w:p>
    <w:p w14:paraId="56EFA9C5" w14:textId="77777777" w:rsidR="00D1587D" w:rsidRDefault="00D1587D">
      <w:pPr>
        <w:spacing w:line="182" w:lineRule="exact"/>
        <w:rPr>
          <w:sz w:val="20"/>
          <w:szCs w:val="20"/>
        </w:rPr>
      </w:pPr>
    </w:p>
    <w:p w14:paraId="4350C262" w14:textId="77777777" w:rsidR="00D1587D" w:rsidRDefault="00410D07">
      <w:pPr>
        <w:spacing w:line="277" w:lineRule="auto"/>
        <w:ind w:left="300" w:right="499" w:firstLine="360"/>
        <w:rPr>
          <w:sz w:val="20"/>
          <w:szCs w:val="20"/>
        </w:rPr>
      </w:pPr>
      <w:r>
        <w:rPr>
          <w:rFonts w:ascii="Arial" w:eastAsia="Arial" w:hAnsi="Arial" w:cs="Arial"/>
          <w:b/>
          <w:bCs/>
          <w:i/>
          <w:iCs/>
          <w:sz w:val="18"/>
          <w:szCs w:val="18"/>
        </w:rPr>
        <w:t>We rely on a number of vendor and distribution facilities located in the same vicinity, making our business susceptible to local and regional disruptions or adverse conditions.</w:t>
      </w:r>
    </w:p>
    <w:p w14:paraId="0C3DFEF3" w14:textId="77777777" w:rsidR="00D1587D" w:rsidRDefault="00D1587D">
      <w:pPr>
        <w:spacing w:line="62" w:lineRule="exact"/>
        <w:rPr>
          <w:sz w:val="20"/>
          <w:szCs w:val="20"/>
        </w:rPr>
      </w:pPr>
    </w:p>
    <w:p w14:paraId="416A5F7B" w14:textId="77777777" w:rsidR="00D1587D" w:rsidRDefault="00410D07">
      <w:pPr>
        <w:spacing w:line="272" w:lineRule="auto"/>
        <w:ind w:left="300" w:right="299" w:firstLine="360"/>
        <w:rPr>
          <w:sz w:val="20"/>
          <w:szCs w:val="20"/>
        </w:rPr>
      </w:pPr>
      <w:r>
        <w:rPr>
          <w:rFonts w:ascii="Arial" w:eastAsia="Arial" w:hAnsi="Arial" w:cs="Arial"/>
          <w:sz w:val="17"/>
          <w:szCs w:val="17"/>
        </w:rPr>
        <w:t>To achieve the necessary speed and agility in produci</w:t>
      </w:r>
      <w:r>
        <w:rPr>
          <w:rFonts w:ascii="Arial" w:eastAsia="Arial" w:hAnsi="Arial" w:cs="Arial"/>
          <w:sz w:val="17"/>
          <w:szCs w:val="17"/>
        </w:rPr>
        <w:t>ng our beauty and personal care products, we rely heavily on vendor and distribution facilities in close proximity to our headquarters in Central Ohio. As a result of geographic concentration of the vendor and distribution facilities that we rely upon, our</w:t>
      </w:r>
      <w:r>
        <w:rPr>
          <w:rFonts w:ascii="Arial" w:eastAsia="Arial" w:hAnsi="Arial" w:cs="Arial"/>
          <w:sz w:val="17"/>
          <w:szCs w:val="17"/>
        </w:rPr>
        <w:t xml:space="preserve"> operations are susceptible to local and regional factors, such as accidents, system failures, economic and weather conditions, natural disasters, demographic and population changes, and other unforeseen events and circumstances. Any significant interrupti</w:t>
      </w:r>
      <w:r>
        <w:rPr>
          <w:rFonts w:ascii="Arial" w:eastAsia="Arial" w:hAnsi="Arial" w:cs="Arial"/>
          <w:sz w:val="17"/>
          <w:szCs w:val="17"/>
        </w:rPr>
        <w:t>on in the operations of these facilities could lead to inventory issues or increased costs, which could have a material adverse effect on our results of operations, financial condition and cash flows.</w:t>
      </w:r>
    </w:p>
    <w:p w14:paraId="28DDDC29" w14:textId="77777777" w:rsidR="00D1587D" w:rsidRDefault="00D1587D">
      <w:pPr>
        <w:spacing w:line="177" w:lineRule="exact"/>
        <w:rPr>
          <w:sz w:val="20"/>
          <w:szCs w:val="20"/>
        </w:rPr>
      </w:pPr>
    </w:p>
    <w:p w14:paraId="6253C8A4" w14:textId="77777777" w:rsidR="00D1587D" w:rsidRDefault="00410D07">
      <w:pPr>
        <w:spacing w:line="277" w:lineRule="auto"/>
        <w:ind w:left="300" w:right="959" w:firstLine="360"/>
        <w:rPr>
          <w:sz w:val="20"/>
          <w:szCs w:val="20"/>
        </w:rPr>
      </w:pPr>
      <w:r>
        <w:rPr>
          <w:rFonts w:ascii="Arial" w:eastAsia="Arial" w:hAnsi="Arial" w:cs="Arial"/>
          <w:b/>
          <w:bCs/>
          <w:i/>
          <w:iCs/>
          <w:sz w:val="18"/>
          <w:szCs w:val="18"/>
        </w:rPr>
        <w:t xml:space="preserve">Fluctuations in foreign currency exchange rates could </w:t>
      </w:r>
      <w:r>
        <w:rPr>
          <w:rFonts w:ascii="Arial" w:eastAsia="Arial" w:hAnsi="Arial" w:cs="Arial"/>
          <w:b/>
          <w:bCs/>
          <w:i/>
          <w:iCs/>
          <w:sz w:val="18"/>
          <w:szCs w:val="18"/>
        </w:rPr>
        <w:t>impact our financial condition and results of operations.</w:t>
      </w:r>
    </w:p>
    <w:p w14:paraId="43451AD0" w14:textId="77777777" w:rsidR="00D1587D" w:rsidRDefault="00D1587D">
      <w:pPr>
        <w:spacing w:line="62" w:lineRule="exact"/>
        <w:rPr>
          <w:sz w:val="20"/>
          <w:szCs w:val="20"/>
        </w:rPr>
      </w:pPr>
    </w:p>
    <w:p w14:paraId="4D22723B" w14:textId="77777777" w:rsidR="00D1587D" w:rsidRDefault="00410D07">
      <w:pPr>
        <w:spacing w:line="311" w:lineRule="auto"/>
        <w:ind w:left="300" w:right="479" w:firstLine="360"/>
        <w:rPr>
          <w:sz w:val="20"/>
          <w:szCs w:val="20"/>
        </w:rPr>
      </w:pPr>
      <w:r>
        <w:rPr>
          <w:rFonts w:ascii="Arial" w:eastAsia="Arial" w:hAnsi="Arial" w:cs="Arial"/>
          <w:sz w:val="16"/>
          <w:szCs w:val="16"/>
        </w:rPr>
        <w:t xml:space="preserve">We are exposed to foreign currency exchange rate risk with respect to our sales, profits, assets and liabilities denominated in currencies other than the U.S. dollar. In addition, our </w:t>
      </w:r>
      <w:r>
        <w:rPr>
          <w:rFonts w:ascii="Arial" w:eastAsia="Arial" w:hAnsi="Arial" w:cs="Arial"/>
          <w:sz w:val="16"/>
          <w:szCs w:val="16"/>
        </w:rPr>
        <w:t>royalty arrangements are calculated based on sales in local currency and, as such, we are exposed to foreign currency exchange rate fluctuations. Although</w:t>
      </w:r>
    </w:p>
    <w:p w14:paraId="3D852504" w14:textId="77777777" w:rsidR="00D1587D" w:rsidRDefault="00D1587D">
      <w:pPr>
        <w:spacing w:line="149" w:lineRule="exact"/>
        <w:rPr>
          <w:sz w:val="20"/>
          <w:szCs w:val="20"/>
        </w:rPr>
      </w:pPr>
    </w:p>
    <w:p w14:paraId="37E9CD4A" w14:textId="77777777" w:rsidR="00D1587D" w:rsidRDefault="00410D07">
      <w:pPr>
        <w:jc w:val="center"/>
        <w:rPr>
          <w:sz w:val="20"/>
          <w:szCs w:val="20"/>
        </w:rPr>
      </w:pPr>
      <w:r>
        <w:rPr>
          <w:rFonts w:ascii="Arial" w:eastAsia="Arial" w:hAnsi="Arial" w:cs="Arial"/>
          <w:sz w:val="18"/>
          <w:szCs w:val="18"/>
        </w:rPr>
        <w:t>30</w:t>
      </w:r>
    </w:p>
    <w:p w14:paraId="1F756AA0" w14:textId="77777777" w:rsidR="00D1587D" w:rsidRDefault="00410D07">
      <w:pPr>
        <w:spacing w:line="20" w:lineRule="exact"/>
        <w:rPr>
          <w:sz w:val="20"/>
          <w:szCs w:val="20"/>
        </w:rPr>
      </w:pPr>
      <w:r>
        <w:rPr>
          <w:noProof/>
          <w:sz w:val="20"/>
          <w:szCs w:val="20"/>
        </w:rPr>
        <w:drawing>
          <wp:anchor distT="0" distB="0" distL="114300" distR="114300" simplePos="0" relativeHeight="251472896" behindDoc="1" locked="0" layoutInCell="0" allowOverlap="1" wp14:anchorId="7B535F72" wp14:editId="48819997">
            <wp:simplePos x="0" y="0"/>
            <wp:positionH relativeFrom="column">
              <wp:posOffset>-636905</wp:posOffset>
            </wp:positionH>
            <wp:positionV relativeFrom="paragraph">
              <wp:posOffset>134620</wp:posOffset>
            </wp:positionV>
            <wp:extent cx="6995160" cy="17145"/>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6882E53" w14:textId="77777777" w:rsidR="00D1587D" w:rsidRDefault="00D1587D">
      <w:pPr>
        <w:sectPr w:rsidR="00D1587D">
          <w:pgSz w:w="11900" w:h="16838"/>
          <w:pgMar w:top="265" w:right="1440" w:bottom="1440" w:left="1440" w:header="0" w:footer="0" w:gutter="0"/>
          <w:cols w:space="720" w:equalWidth="0">
            <w:col w:w="9019"/>
          </w:cols>
        </w:sectPr>
      </w:pPr>
    </w:p>
    <w:bookmarkStart w:id="288" w:name="page289"/>
    <w:bookmarkEnd w:id="288"/>
    <w:p w14:paraId="61661AD0"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51F96B9" w14:textId="77777777" w:rsidR="00D1587D" w:rsidRDefault="00D1587D">
      <w:pPr>
        <w:spacing w:line="131" w:lineRule="exact"/>
        <w:rPr>
          <w:sz w:val="20"/>
          <w:szCs w:val="20"/>
        </w:rPr>
      </w:pPr>
    </w:p>
    <w:p w14:paraId="47E60608" w14:textId="77777777" w:rsidR="00D1587D" w:rsidRDefault="00410D07">
      <w:pPr>
        <w:spacing w:line="296" w:lineRule="auto"/>
        <w:ind w:left="300" w:right="319"/>
        <w:rPr>
          <w:sz w:val="20"/>
          <w:szCs w:val="20"/>
        </w:rPr>
      </w:pPr>
      <w:r>
        <w:rPr>
          <w:rFonts w:ascii="Arial" w:eastAsia="Arial" w:hAnsi="Arial" w:cs="Arial"/>
          <w:sz w:val="16"/>
          <w:szCs w:val="16"/>
        </w:rPr>
        <w:t xml:space="preserve">we use foreign </w:t>
      </w:r>
      <w:r>
        <w:rPr>
          <w:rFonts w:ascii="Arial" w:eastAsia="Arial" w:hAnsi="Arial" w:cs="Arial"/>
          <w:sz w:val="16"/>
          <w:szCs w:val="16"/>
        </w:rPr>
        <w:t>currency forward contracts to hedge certain foreign currency risks, these measures may not succeed in offsetting all of the short-term negative impacts of foreign currency rate movements on our business and results of operations. Hedging would generally no</w:t>
      </w:r>
      <w:r>
        <w:rPr>
          <w:rFonts w:ascii="Arial" w:eastAsia="Arial" w:hAnsi="Arial" w:cs="Arial"/>
          <w:sz w:val="16"/>
          <w:szCs w:val="16"/>
        </w:rPr>
        <w:t>t be effective in offsetting the long-term impact of sustained shifts in foreign exchange rates on our business results. As a result, the fluctuation in the value of the U.S. dollar against other currencies could have a material adverse effect on our resul</w:t>
      </w:r>
      <w:r>
        <w:rPr>
          <w:rFonts w:ascii="Arial" w:eastAsia="Arial" w:hAnsi="Arial" w:cs="Arial"/>
          <w:sz w:val="16"/>
          <w:szCs w:val="16"/>
        </w:rPr>
        <w:t>ts of operations, financial condition and cash flows.</w:t>
      </w:r>
    </w:p>
    <w:p w14:paraId="5E823E0A" w14:textId="77777777" w:rsidR="00D1587D" w:rsidRDefault="00D1587D">
      <w:pPr>
        <w:spacing w:line="161" w:lineRule="exact"/>
        <w:rPr>
          <w:sz w:val="20"/>
          <w:szCs w:val="20"/>
        </w:rPr>
      </w:pPr>
    </w:p>
    <w:p w14:paraId="4592FD5E" w14:textId="77777777" w:rsidR="00D1587D" w:rsidRDefault="00410D07">
      <w:pPr>
        <w:spacing w:line="277" w:lineRule="auto"/>
        <w:ind w:left="300" w:right="519" w:firstLine="360"/>
        <w:rPr>
          <w:sz w:val="20"/>
          <w:szCs w:val="20"/>
        </w:rPr>
      </w:pPr>
      <w:r>
        <w:rPr>
          <w:rFonts w:ascii="Arial" w:eastAsia="Arial" w:hAnsi="Arial" w:cs="Arial"/>
          <w:b/>
          <w:bCs/>
          <w:i/>
          <w:iCs/>
          <w:sz w:val="18"/>
          <w:szCs w:val="18"/>
        </w:rPr>
        <w:t>We may be impacted by our vendors’ ability to manufacture and deliver products in a timely manner, meet quality standards and comply with applicable laws and regulations.</w:t>
      </w:r>
    </w:p>
    <w:p w14:paraId="330EE307" w14:textId="77777777" w:rsidR="00D1587D" w:rsidRDefault="00D1587D">
      <w:pPr>
        <w:spacing w:line="62" w:lineRule="exact"/>
        <w:rPr>
          <w:sz w:val="20"/>
          <w:szCs w:val="20"/>
        </w:rPr>
      </w:pPr>
    </w:p>
    <w:p w14:paraId="5D286240" w14:textId="77777777" w:rsidR="00D1587D" w:rsidRDefault="00410D07">
      <w:pPr>
        <w:spacing w:line="263" w:lineRule="auto"/>
        <w:ind w:left="300" w:right="639" w:firstLine="360"/>
        <w:jc w:val="both"/>
        <w:rPr>
          <w:sz w:val="20"/>
          <w:szCs w:val="20"/>
        </w:rPr>
      </w:pPr>
      <w:r>
        <w:rPr>
          <w:rFonts w:ascii="Arial" w:eastAsia="Arial" w:hAnsi="Arial" w:cs="Arial"/>
          <w:sz w:val="18"/>
          <w:szCs w:val="18"/>
        </w:rPr>
        <w:t>We purchase products from thi</w:t>
      </w:r>
      <w:r>
        <w:rPr>
          <w:rFonts w:ascii="Arial" w:eastAsia="Arial" w:hAnsi="Arial" w:cs="Arial"/>
          <w:sz w:val="18"/>
          <w:szCs w:val="18"/>
        </w:rPr>
        <w:t>rd-party vendors. Factors outside our control, such as production or shipping delays or quality problems, could disrupt merchandise deliveries and result in lost sales, cancellation charges or excessive markdowns.</w:t>
      </w:r>
    </w:p>
    <w:p w14:paraId="714E21DD" w14:textId="77777777" w:rsidR="00D1587D" w:rsidRDefault="00D1587D">
      <w:pPr>
        <w:spacing w:line="76" w:lineRule="exact"/>
        <w:rPr>
          <w:sz w:val="20"/>
          <w:szCs w:val="20"/>
        </w:rPr>
      </w:pPr>
    </w:p>
    <w:p w14:paraId="5D761BB6" w14:textId="77777777" w:rsidR="00D1587D" w:rsidRDefault="00410D07">
      <w:pPr>
        <w:spacing w:line="257" w:lineRule="auto"/>
        <w:ind w:left="300" w:right="359" w:firstLine="360"/>
        <w:rPr>
          <w:sz w:val="20"/>
          <w:szCs w:val="20"/>
        </w:rPr>
      </w:pPr>
      <w:r>
        <w:rPr>
          <w:rFonts w:ascii="Arial" w:eastAsia="Arial" w:hAnsi="Arial" w:cs="Arial"/>
          <w:sz w:val="18"/>
          <w:szCs w:val="18"/>
        </w:rPr>
        <w:t>In addition, quality problems could resul</w:t>
      </w:r>
      <w:r>
        <w:rPr>
          <w:rFonts w:ascii="Arial" w:eastAsia="Arial" w:hAnsi="Arial" w:cs="Arial"/>
          <w:sz w:val="18"/>
          <w:szCs w:val="18"/>
        </w:rPr>
        <w:t>t in a product liability judgment or a widespread product recall that may negatively impact our sales and profitability for a period of time depending on product availability, competition reaction and consumer attitudes. Even if the product liability claim</w:t>
      </w:r>
      <w:r>
        <w:rPr>
          <w:rFonts w:ascii="Arial" w:eastAsia="Arial" w:hAnsi="Arial" w:cs="Arial"/>
          <w:sz w:val="18"/>
          <w:szCs w:val="18"/>
        </w:rPr>
        <w:t xml:space="preserve"> is unsuccessful or is not fully pursued, the negative publicity surrounding any assertions could adversely impact our reputation with existing and potential customers and our brand image.</w:t>
      </w:r>
    </w:p>
    <w:p w14:paraId="1711FBD9" w14:textId="77777777" w:rsidR="00D1587D" w:rsidRDefault="00D1587D">
      <w:pPr>
        <w:spacing w:line="80" w:lineRule="exact"/>
        <w:rPr>
          <w:sz w:val="20"/>
          <w:szCs w:val="20"/>
        </w:rPr>
      </w:pPr>
    </w:p>
    <w:p w14:paraId="27F7686F" w14:textId="77777777" w:rsidR="00D1587D" w:rsidRDefault="00410D07">
      <w:pPr>
        <w:spacing w:line="293" w:lineRule="auto"/>
        <w:ind w:left="300" w:right="379" w:firstLine="360"/>
        <w:jc w:val="both"/>
        <w:rPr>
          <w:sz w:val="20"/>
          <w:szCs w:val="20"/>
        </w:rPr>
      </w:pPr>
      <w:r>
        <w:rPr>
          <w:rFonts w:ascii="Arial" w:eastAsia="Arial" w:hAnsi="Arial" w:cs="Arial"/>
          <w:sz w:val="16"/>
          <w:szCs w:val="16"/>
        </w:rPr>
        <w:t xml:space="preserve">Our business could also suffer if our third-party vendors fail </w:t>
      </w:r>
      <w:r>
        <w:rPr>
          <w:rFonts w:ascii="Arial" w:eastAsia="Arial" w:hAnsi="Arial" w:cs="Arial"/>
          <w:sz w:val="16"/>
          <w:szCs w:val="16"/>
        </w:rPr>
        <w:t>to comply with applicable laws and regulations. While our internal and vendor operating guidelines promote ethical business practices and our associates visit and monitor the operations of our third-party vendors, we do not control these vendors or their p</w:t>
      </w:r>
      <w:r>
        <w:rPr>
          <w:rFonts w:ascii="Arial" w:eastAsia="Arial" w:hAnsi="Arial" w:cs="Arial"/>
          <w:sz w:val="16"/>
          <w:szCs w:val="16"/>
        </w:rPr>
        <w:t>ractices. The violation of labor, environmental or other laws by third-party vendors used by us, or the divergence of a third-party vendor’s or partner’s labor or environmental practices from those generally accepted as ethical or appropriate, could interr</w:t>
      </w:r>
      <w:r>
        <w:rPr>
          <w:rFonts w:ascii="Arial" w:eastAsia="Arial" w:hAnsi="Arial" w:cs="Arial"/>
          <w:sz w:val="16"/>
          <w:szCs w:val="16"/>
        </w:rPr>
        <w:t>upt or otherwise disrupt the shipment of finished products to us or damage our reputation.</w:t>
      </w:r>
    </w:p>
    <w:p w14:paraId="596E316E" w14:textId="77777777" w:rsidR="00D1587D" w:rsidRDefault="00D1587D">
      <w:pPr>
        <w:spacing w:line="56" w:lineRule="exact"/>
        <w:rPr>
          <w:sz w:val="20"/>
          <w:szCs w:val="20"/>
        </w:rPr>
      </w:pPr>
    </w:p>
    <w:p w14:paraId="736B3142" w14:textId="77777777" w:rsidR="00D1587D" w:rsidRDefault="00410D07">
      <w:pPr>
        <w:spacing w:line="277" w:lineRule="auto"/>
        <w:ind w:left="300" w:right="799" w:firstLine="360"/>
        <w:rPr>
          <w:sz w:val="20"/>
          <w:szCs w:val="20"/>
        </w:rPr>
      </w:pPr>
      <w:r>
        <w:rPr>
          <w:rFonts w:ascii="Arial" w:eastAsia="Arial" w:hAnsi="Arial" w:cs="Arial"/>
          <w:sz w:val="18"/>
          <w:szCs w:val="18"/>
        </w:rPr>
        <w:t>These risks could have a material adverse effect on our results of operations, financial condition and cash flows.</w:t>
      </w:r>
    </w:p>
    <w:p w14:paraId="724DAB2F" w14:textId="77777777" w:rsidR="00D1587D" w:rsidRDefault="00D1587D">
      <w:pPr>
        <w:spacing w:line="224" w:lineRule="exact"/>
        <w:rPr>
          <w:sz w:val="20"/>
          <w:szCs w:val="20"/>
        </w:rPr>
      </w:pPr>
    </w:p>
    <w:p w14:paraId="28AD0DCE" w14:textId="77777777" w:rsidR="00D1587D" w:rsidRDefault="00410D07">
      <w:pPr>
        <w:ind w:left="660"/>
        <w:rPr>
          <w:sz w:val="20"/>
          <w:szCs w:val="20"/>
        </w:rPr>
      </w:pPr>
      <w:r>
        <w:rPr>
          <w:rFonts w:ascii="Arial" w:eastAsia="Arial" w:hAnsi="Arial" w:cs="Arial"/>
          <w:b/>
          <w:bCs/>
          <w:i/>
          <w:iCs/>
          <w:sz w:val="18"/>
          <w:szCs w:val="18"/>
        </w:rPr>
        <w:t>Our results may be affected by fluctuations in p</w:t>
      </w:r>
      <w:r>
        <w:rPr>
          <w:rFonts w:ascii="Arial" w:eastAsia="Arial" w:hAnsi="Arial" w:cs="Arial"/>
          <w:b/>
          <w:bCs/>
          <w:i/>
          <w:iCs/>
          <w:sz w:val="18"/>
          <w:szCs w:val="18"/>
        </w:rPr>
        <w:t>roduct input costs.</w:t>
      </w:r>
    </w:p>
    <w:p w14:paraId="11F768B0" w14:textId="77777777" w:rsidR="00D1587D" w:rsidRDefault="00D1587D">
      <w:pPr>
        <w:spacing w:line="117" w:lineRule="exact"/>
        <w:rPr>
          <w:sz w:val="20"/>
          <w:szCs w:val="20"/>
        </w:rPr>
      </w:pPr>
    </w:p>
    <w:p w14:paraId="5B77DB0A" w14:textId="77777777" w:rsidR="00D1587D" w:rsidRDefault="00410D07">
      <w:pPr>
        <w:spacing w:line="259" w:lineRule="auto"/>
        <w:ind w:left="300" w:right="319" w:firstLine="360"/>
        <w:rPr>
          <w:sz w:val="20"/>
          <w:szCs w:val="20"/>
        </w:rPr>
      </w:pPr>
      <w:r>
        <w:rPr>
          <w:rFonts w:ascii="Arial" w:eastAsia="Arial" w:hAnsi="Arial" w:cs="Arial"/>
          <w:sz w:val="18"/>
          <w:szCs w:val="18"/>
        </w:rPr>
        <w:t>Product input costs, including freight, labor and raw materials, fluctuate. These fluctuations may result in an increase in our production costs. We may not be able to, or may elect not to, pass these increases on to our customers whic</w:t>
      </w:r>
      <w:r>
        <w:rPr>
          <w:rFonts w:ascii="Arial" w:eastAsia="Arial" w:hAnsi="Arial" w:cs="Arial"/>
          <w:sz w:val="18"/>
          <w:szCs w:val="18"/>
        </w:rPr>
        <w:t>h may adversely impact our profit margins. These risks could have a material adverse effect on our results of operations, financial condition and cash flows.</w:t>
      </w:r>
    </w:p>
    <w:p w14:paraId="201AE3D4" w14:textId="77777777" w:rsidR="00D1587D" w:rsidRDefault="00D1587D">
      <w:pPr>
        <w:spacing w:line="241" w:lineRule="exact"/>
        <w:rPr>
          <w:sz w:val="20"/>
          <w:szCs w:val="20"/>
        </w:rPr>
      </w:pPr>
    </w:p>
    <w:p w14:paraId="42A303A6" w14:textId="77777777" w:rsidR="00D1587D" w:rsidRDefault="00410D07">
      <w:pPr>
        <w:ind w:left="660"/>
        <w:rPr>
          <w:sz w:val="20"/>
          <w:szCs w:val="20"/>
        </w:rPr>
      </w:pPr>
      <w:r>
        <w:rPr>
          <w:rFonts w:ascii="Arial" w:eastAsia="Arial" w:hAnsi="Arial" w:cs="Arial"/>
          <w:b/>
          <w:bCs/>
          <w:i/>
          <w:iCs/>
          <w:sz w:val="18"/>
          <w:szCs w:val="18"/>
        </w:rPr>
        <w:t>Our ability to adequately protect our assets from loss and theft.</w:t>
      </w:r>
    </w:p>
    <w:p w14:paraId="02CFC3A9" w14:textId="77777777" w:rsidR="00D1587D" w:rsidRDefault="00D1587D">
      <w:pPr>
        <w:spacing w:line="117" w:lineRule="exact"/>
        <w:rPr>
          <w:sz w:val="20"/>
          <w:szCs w:val="20"/>
        </w:rPr>
      </w:pPr>
    </w:p>
    <w:p w14:paraId="7791E164" w14:textId="77777777" w:rsidR="00D1587D" w:rsidRDefault="00410D07">
      <w:pPr>
        <w:spacing w:line="296" w:lineRule="auto"/>
        <w:ind w:left="300" w:right="399" w:firstLine="360"/>
        <w:rPr>
          <w:sz w:val="20"/>
          <w:szCs w:val="20"/>
        </w:rPr>
      </w:pPr>
      <w:r>
        <w:rPr>
          <w:rFonts w:ascii="Arial" w:eastAsia="Arial" w:hAnsi="Arial" w:cs="Arial"/>
          <w:sz w:val="16"/>
          <w:szCs w:val="16"/>
        </w:rPr>
        <w:t>Our assets are subject to loss</w:t>
      </w:r>
      <w:r>
        <w:rPr>
          <w:rFonts w:ascii="Arial" w:eastAsia="Arial" w:hAnsi="Arial" w:cs="Arial"/>
          <w:sz w:val="16"/>
          <w:szCs w:val="16"/>
        </w:rPr>
        <w:t>, including those caused by illegal or unethical conduct by associates, customers, vendors or unaffiliated third parties. We have experienced events such as inventory shrinkage in the past, and we cannot assure that incidences of loss and theft will decrea</w:t>
      </w:r>
      <w:r>
        <w:rPr>
          <w:rFonts w:ascii="Arial" w:eastAsia="Arial" w:hAnsi="Arial" w:cs="Arial"/>
          <w:sz w:val="16"/>
          <w:szCs w:val="16"/>
        </w:rPr>
        <w:t>se in the future or that the measures we are taking will effectively reduce these losses. Higher rates of loss or increased security costs to combat theft could have a material adverse effect on our results of operations, financial condition and cash flows</w:t>
      </w:r>
      <w:r>
        <w:rPr>
          <w:rFonts w:ascii="Arial" w:eastAsia="Arial" w:hAnsi="Arial" w:cs="Arial"/>
          <w:sz w:val="16"/>
          <w:szCs w:val="16"/>
        </w:rPr>
        <w:t>.</w:t>
      </w:r>
    </w:p>
    <w:p w14:paraId="32809F9C" w14:textId="77777777" w:rsidR="00D1587D" w:rsidRDefault="00D1587D">
      <w:pPr>
        <w:spacing w:line="229" w:lineRule="exact"/>
        <w:rPr>
          <w:sz w:val="20"/>
          <w:szCs w:val="20"/>
        </w:rPr>
      </w:pPr>
    </w:p>
    <w:p w14:paraId="0B77EBD5" w14:textId="77777777" w:rsidR="00D1587D" w:rsidRDefault="00410D07">
      <w:pPr>
        <w:ind w:left="660"/>
        <w:rPr>
          <w:sz w:val="20"/>
          <w:szCs w:val="20"/>
        </w:rPr>
      </w:pPr>
      <w:r>
        <w:rPr>
          <w:rFonts w:ascii="Arial" w:eastAsia="Arial" w:hAnsi="Arial" w:cs="Arial"/>
          <w:b/>
          <w:bCs/>
          <w:i/>
          <w:iCs/>
          <w:sz w:val="18"/>
          <w:szCs w:val="18"/>
        </w:rPr>
        <w:t>Our results may be affected by fluctuations in energy costs.</w:t>
      </w:r>
    </w:p>
    <w:p w14:paraId="129EFAC9" w14:textId="77777777" w:rsidR="00D1587D" w:rsidRDefault="00D1587D">
      <w:pPr>
        <w:spacing w:line="117" w:lineRule="exact"/>
        <w:rPr>
          <w:sz w:val="20"/>
          <w:szCs w:val="20"/>
        </w:rPr>
      </w:pPr>
    </w:p>
    <w:p w14:paraId="7807B188" w14:textId="77777777" w:rsidR="00D1587D" w:rsidRDefault="00410D07">
      <w:pPr>
        <w:spacing w:line="257" w:lineRule="auto"/>
        <w:ind w:left="300" w:right="339" w:firstLine="360"/>
        <w:rPr>
          <w:sz w:val="20"/>
          <w:szCs w:val="20"/>
        </w:rPr>
      </w:pPr>
      <w:r>
        <w:rPr>
          <w:rFonts w:ascii="Arial" w:eastAsia="Arial" w:hAnsi="Arial" w:cs="Arial"/>
          <w:sz w:val="18"/>
          <w:szCs w:val="18"/>
        </w:rPr>
        <w:t xml:space="preserve">Energy costs have fluctuated in the past. These fluctuations may result in an increase in our transportation costs for distribution, utility costs for our retail stores and costs to </w:t>
      </w:r>
      <w:r>
        <w:rPr>
          <w:rFonts w:ascii="Arial" w:eastAsia="Arial" w:hAnsi="Arial" w:cs="Arial"/>
          <w:sz w:val="18"/>
          <w:szCs w:val="18"/>
        </w:rPr>
        <w:t>purchase products from our manufacturers. A continual rise in energy costs could adversely affect consumer spending and demand for our products and increase our operating costs, both of which could have a material adverse effect on our results of operation</w:t>
      </w:r>
      <w:r>
        <w:rPr>
          <w:rFonts w:ascii="Arial" w:eastAsia="Arial" w:hAnsi="Arial" w:cs="Arial"/>
          <w:sz w:val="18"/>
          <w:szCs w:val="18"/>
        </w:rPr>
        <w:t>s, financial condition and cash flows.</w:t>
      </w:r>
    </w:p>
    <w:p w14:paraId="5A32974E" w14:textId="77777777" w:rsidR="00D1587D" w:rsidRDefault="00D1587D">
      <w:pPr>
        <w:spacing w:line="188" w:lineRule="exact"/>
        <w:rPr>
          <w:sz w:val="20"/>
          <w:szCs w:val="20"/>
        </w:rPr>
      </w:pPr>
    </w:p>
    <w:p w14:paraId="61E37090" w14:textId="77777777" w:rsidR="00D1587D" w:rsidRDefault="00410D07">
      <w:pPr>
        <w:ind w:left="660"/>
        <w:rPr>
          <w:sz w:val="20"/>
          <w:szCs w:val="20"/>
        </w:rPr>
      </w:pPr>
      <w:r>
        <w:rPr>
          <w:rFonts w:ascii="Arial" w:eastAsia="Arial" w:hAnsi="Arial" w:cs="Arial"/>
          <w:b/>
          <w:bCs/>
          <w:i/>
          <w:iCs/>
          <w:sz w:val="15"/>
          <w:szCs w:val="15"/>
        </w:rPr>
        <w:t>We may be impacted by increases in the cost of mailing, paper, printing or other order fulfillment logistics.</w:t>
      </w:r>
    </w:p>
    <w:p w14:paraId="6D622D5C" w14:textId="77777777" w:rsidR="00D1587D" w:rsidRDefault="00D1587D">
      <w:pPr>
        <w:spacing w:line="152" w:lineRule="exact"/>
        <w:rPr>
          <w:sz w:val="20"/>
          <w:szCs w:val="20"/>
        </w:rPr>
      </w:pPr>
    </w:p>
    <w:p w14:paraId="6A731596" w14:textId="77777777" w:rsidR="00D1587D" w:rsidRDefault="00410D07">
      <w:pPr>
        <w:spacing w:line="311" w:lineRule="auto"/>
        <w:ind w:left="300" w:right="459" w:firstLine="360"/>
        <w:jc w:val="both"/>
        <w:rPr>
          <w:sz w:val="20"/>
          <w:szCs w:val="20"/>
        </w:rPr>
      </w:pPr>
      <w:r>
        <w:rPr>
          <w:rFonts w:ascii="Arial" w:eastAsia="Arial" w:hAnsi="Arial" w:cs="Arial"/>
          <w:sz w:val="16"/>
          <w:szCs w:val="16"/>
        </w:rPr>
        <w:t>Postal rate increases and paper and printing costs will affect the cost of our order fulfillment and prom</w:t>
      </w:r>
      <w:r>
        <w:rPr>
          <w:rFonts w:ascii="Arial" w:eastAsia="Arial" w:hAnsi="Arial" w:cs="Arial"/>
          <w:sz w:val="16"/>
          <w:szCs w:val="16"/>
        </w:rPr>
        <w:t>otional mailings. We rely on discounts from the basic postal rate structure, such as discounts for bulk mailings and sorting. Future paper and postal rate increases could adversely impact our earnings if we are unable</w:t>
      </w:r>
    </w:p>
    <w:p w14:paraId="5C0FFC60" w14:textId="77777777" w:rsidR="00D1587D" w:rsidRDefault="00D1587D">
      <w:pPr>
        <w:spacing w:line="149" w:lineRule="exact"/>
        <w:rPr>
          <w:sz w:val="20"/>
          <w:szCs w:val="20"/>
        </w:rPr>
      </w:pPr>
    </w:p>
    <w:p w14:paraId="6C51C364" w14:textId="77777777" w:rsidR="00D1587D" w:rsidRDefault="00410D07">
      <w:pPr>
        <w:ind w:right="19"/>
        <w:jc w:val="center"/>
        <w:rPr>
          <w:sz w:val="20"/>
          <w:szCs w:val="20"/>
        </w:rPr>
      </w:pPr>
      <w:r>
        <w:rPr>
          <w:rFonts w:ascii="Arial" w:eastAsia="Arial" w:hAnsi="Arial" w:cs="Arial"/>
          <w:sz w:val="18"/>
          <w:szCs w:val="18"/>
        </w:rPr>
        <w:t>31</w:t>
      </w:r>
    </w:p>
    <w:p w14:paraId="17C1CF56" w14:textId="77777777" w:rsidR="00D1587D" w:rsidRDefault="00410D07">
      <w:pPr>
        <w:spacing w:line="20" w:lineRule="exact"/>
        <w:rPr>
          <w:sz w:val="20"/>
          <w:szCs w:val="20"/>
        </w:rPr>
      </w:pPr>
      <w:r>
        <w:rPr>
          <w:noProof/>
          <w:sz w:val="20"/>
          <w:szCs w:val="20"/>
        </w:rPr>
        <w:drawing>
          <wp:anchor distT="0" distB="0" distL="114300" distR="114300" simplePos="0" relativeHeight="251473920" behindDoc="1" locked="0" layoutInCell="0" allowOverlap="1" wp14:anchorId="2EEE1564" wp14:editId="7EB76781">
            <wp:simplePos x="0" y="0"/>
            <wp:positionH relativeFrom="column">
              <wp:posOffset>-636905</wp:posOffset>
            </wp:positionH>
            <wp:positionV relativeFrom="paragraph">
              <wp:posOffset>126365</wp:posOffset>
            </wp:positionV>
            <wp:extent cx="6995160" cy="17145"/>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13BE166" w14:textId="77777777" w:rsidR="00D1587D" w:rsidRDefault="00D1587D">
      <w:pPr>
        <w:sectPr w:rsidR="00D1587D">
          <w:pgSz w:w="11900" w:h="16838"/>
          <w:pgMar w:top="265" w:right="1440" w:bottom="1440" w:left="1440" w:header="0" w:footer="0" w:gutter="0"/>
          <w:cols w:space="720" w:equalWidth="0">
            <w:col w:w="9019"/>
          </w:cols>
        </w:sectPr>
      </w:pPr>
    </w:p>
    <w:bookmarkStart w:id="289" w:name="page290"/>
    <w:bookmarkEnd w:id="289"/>
    <w:p w14:paraId="7142C0A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w:instrText>
      </w:r>
      <w:r>
        <w:instrText xml:space="preserve">"page256"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8E57BCC" w14:textId="77777777" w:rsidR="00D1587D" w:rsidRDefault="00D1587D">
      <w:pPr>
        <w:spacing w:line="131" w:lineRule="exact"/>
        <w:rPr>
          <w:sz w:val="20"/>
          <w:szCs w:val="20"/>
        </w:rPr>
      </w:pPr>
    </w:p>
    <w:p w14:paraId="06CAF7E3" w14:textId="77777777" w:rsidR="00D1587D" w:rsidRDefault="00410D07">
      <w:pPr>
        <w:spacing w:line="311" w:lineRule="auto"/>
        <w:ind w:left="300" w:right="339"/>
        <w:rPr>
          <w:sz w:val="20"/>
          <w:szCs w:val="20"/>
        </w:rPr>
      </w:pPr>
      <w:r>
        <w:rPr>
          <w:rFonts w:ascii="Arial" w:eastAsia="Arial" w:hAnsi="Arial" w:cs="Arial"/>
          <w:sz w:val="16"/>
          <w:szCs w:val="16"/>
        </w:rPr>
        <w:t xml:space="preserve">to recover these costs or if we are unable to implement more efficient printing, mailing, delivery and order fulfillment systems. We may face unexpected costs in transportation, warehousing or other </w:t>
      </w:r>
      <w:r>
        <w:rPr>
          <w:rFonts w:ascii="Arial" w:eastAsia="Arial" w:hAnsi="Arial" w:cs="Arial"/>
          <w:sz w:val="16"/>
          <w:szCs w:val="16"/>
        </w:rPr>
        <w:t>logistics-related services. These risks could have a material adverse effect on our results of operations, financial condition and cash flows.</w:t>
      </w:r>
    </w:p>
    <w:p w14:paraId="33946A7A" w14:textId="77777777" w:rsidR="00D1587D" w:rsidRDefault="00D1587D">
      <w:pPr>
        <w:spacing w:line="149" w:lineRule="exact"/>
        <w:rPr>
          <w:sz w:val="20"/>
          <w:szCs w:val="20"/>
        </w:rPr>
      </w:pPr>
    </w:p>
    <w:p w14:paraId="5FC587D6" w14:textId="77777777" w:rsidR="00D1587D" w:rsidRDefault="00410D07">
      <w:pPr>
        <w:ind w:left="660"/>
        <w:rPr>
          <w:sz w:val="20"/>
          <w:szCs w:val="20"/>
        </w:rPr>
      </w:pPr>
      <w:r>
        <w:rPr>
          <w:rFonts w:ascii="Arial" w:eastAsia="Arial" w:hAnsi="Arial" w:cs="Arial"/>
          <w:b/>
          <w:bCs/>
          <w:i/>
          <w:iCs/>
          <w:sz w:val="18"/>
          <w:szCs w:val="18"/>
        </w:rPr>
        <w:t>We self-insure certain risks and may be impacted by unfavorable claims experience.</w:t>
      </w:r>
    </w:p>
    <w:p w14:paraId="37F8FB74" w14:textId="77777777" w:rsidR="00D1587D" w:rsidRDefault="00D1587D">
      <w:pPr>
        <w:spacing w:line="117" w:lineRule="exact"/>
        <w:rPr>
          <w:sz w:val="20"/>
          <w:szCs w:val="20"/>
        </w:rPr>
      </w:pPr>
    </w:p>
    <w:p w14:paraId="65D35B65" w14:textId="77777777" w:rsidR="00D1587D" w:rsidRDefault="00410D07">
      <w:pPr>
        <w:spacing w:line="259" w:lineRule="auto"/>
        <w:ind w:left="300" w:right="359" w:firstLine="360"/>
        <w:rPr>
          <w:sz w:val="20"/>
          <w:szCs w:val="20"/>
        </w:rPr>
      </w:pPr>
      <w:r>
        <w:rPr>
          <w:rFonts w:ascii="Arial" w:eastAsia="Arial" w:hAnsi="Arial" w:cs="Arial"/>
          <w:sz w:val="18"/>
          <w:szCs w:val="18"/>
        </w:rPr>
        <w:t xml:space="preserve">We are </w:t>
      </w:r>
      <w:r>
        <w:rPr>
          <w:rFonts w:ascii="Arial" w:eastAsia="Arial" w:hAnsi="Arial" w:cs="Arial"/>
          <w:sz w:val="18"/>
          <w:szCs w:val="18"/>
        </w:rPr>
        <w:t>self-insured for various types of insurable risks including associate medical benefits, workers’ compensation, property, general liability and automobile up to certain stop-loss limits. Claims are difficult to predict and may be volatile. Any adverse claim</w:t>
      </w:r>
      <w:r>
        <w:rPr>
          <w:rFonts w:ascii="Arial" w:eastAsia="Arial" w:hAnsi="Arial" w:cs="Arial"/>
          <w:sz w:val="18"/>
          <w:szCs w:val="18"/>
        </w:rPr>
        <w:t>s experience could have a material adverse effect on our results of operations, financial condition and cash flows.</w:t>
      </w:r>
    </w:p>
    <w:p w14:paraId="78660BC1" w14:textId="77777777" w:rsidR="00D1587D" w:rsidRDefault="00D1587D">
      <w:pPr>
        <w:spacing w:line="187" w:lineRule="exact"/>
        <w:rPr>
          <w:sz w:val="20"/>
          <w:szCs w:val="20"/>
        </w:rPr>
      </w:pPr>
    </w:p>
    <w:p w14:paraId="7DDDD1B0" w14:textId="77777777" w:rsidR="00D1587D" w:rsidRDefault="00410D07">
      <w:pPr>
        <w:spacing w:line="342" w:lineRule="auto"/>
        <w:ind w:left="300" w:right="1079" w:firstLine="360"/>
        <w:rPr>
          <w:sz w:val="20"/>
          <w:szCs w:val="20"/>
        </w:rPr>
      </w:pPr>
      <w:r>
        <w:rPr>
          <w:rFonts w:ascii="Arial" w:eastAsia="Arial" w:hAnsi="Arial" w:cs="Arial"/>
          <w:b/>
          <w:bCs/>
          <w:i/>
          <w:iCs/>
          <w:sz w:val="16"/>
          <w:szCs w:val="16"/>
        </w:rPr>
        <w:t xml:space="preserve">We significantly rely on our and our third-party service providers’ ability to implement and sustain information technology systems and to </w:t>
      </w:r>
      <w:r>
        <w:rPr>
          <w:rFonts w:ascii="Arial" w:eastAsia="Arial" w:hAnsi="Arial" w:cs="Arial"/>
          <w:b/>
          <w:bCs/>
          <w:i/>
          <w:iCs/>
          <w:sz w:val="16"/>
          <w:szCs w:val="16"/>
        </w:rPr>
        <w:t>protect associated data and system availability.</w:t>
      </w:r>
    </w:p>
    <w:p w14:paraId="41C24067" w14:textId="77777777" w:rsidR="00D1587D" w:rsidRDefault="00D1587D">
      <w:pPr>
        <w:spacing w:line="16" w:lineRule="exact"/>
        <w:rPr>
          <w:sz w:val="20"/>
          <w:szCs w:val="20"/>
        </w:rPr>
      </w:pPr>
    </w:p>
    <w:p w14:paraId="542D85CF" w14:textId="77777777" w:rsidR="00D1587D" w:rsidRDefault="00410D07">
      <w:pPr>
        <w:spacing w:line="284" w:lineRule="auto"/>
        <w:ind w:left="300" w:right="319" w:firstLine="360"/>
        <w:rPr>
          <w:sz w:val="20"/>
          <w:szCs w:val="20"/>
        </w:rPr>
      </w:pPr>
      <w:r>
        <w:rPr>
          <w:rFonts w:ascii="Arial" w:eastAsia="Arial" w:hAnsi="Arial" w:cs="Arial"/>
          <w:sz w:val="16"/>
          <w:szCs w:val="16"/>
        </w:rPr>
        <w:t>Our success depends, in part, on the secure and uninterrupted performance of our and our third-party services providers’ and vendors’ information technology systems. Our information technology systems, as w</w:t>
      </w:r>
      <w:r>
        <w:rPr>
          <w:rFonts w:ascii="Arial" w:eastAsia="Arial" w:hAnsi="Arial" w:cs="Arial"/>
          <w:sz w:val="16"/>
          <w:szCs w:val="16"/>
        </w:rPr>
        <w:t>ell as those of our service providers and vendors are vulnerable to damage, interruption or breach from a variety of sources, including cyberattacks, ransomware attacks, telecommunication failures, malicious human acts and natural disasters. Moreover, desp</w:t>
      </w:r>
      <w:r>
        <w:rPr>
          <w:rFonts w:ascii="Arial" w:eastAsia="Arial" w:hAnsi="Arial" w:cs="Arial"/>
          <w:sz w:val="16"/>
          <w:szCs w:val="16"/>
        </w:rPr>
        <w:t>ite maintaining comprehensive measures, some of our systems, e-commerce environments, servers and those of our service providers and vendors are potentially vulnerable to physical or electronic break-ins, computer viruses and similar disruptive problems. S</w:t>
      </w:r>
      <w:r>
        <w:rPr>
          <w:rFonts w:ascii="Arial" w:eastAsia="Arial" w:hAnsi="Arial" w:cs="Arial"/>
          <w:sz w:val="16"/>
          <w:szCs w:val="16"/>
        </w:rPr>
        <w:t>uch incidents could disrupt our operations including our ability to timely ship and track product orders and project inventory requirements, and lead to interruptions or delays in our supply chain. Additionally, these types of problems could result in an a</w:t>
      </w:r>
      <w:r>
        <w:rPr>
          <w:rFonts w:ascii="Arial" w:eastAsia="Arial" w:hAnsi="Arial" w:cs="Arial"/>
          <w:sz w:val="16"/>
          <w:szCs w:val="16"/>
        </w:rPr>
        <w:t>ctual or perceived breach of confidential customer, merchandise, financial, employee or other important information (including personal information), which could result in damage to our reputation, costly litigation, customer complaints, negative publicity</w:t>
      </w:r>
      <w:r>
        <w:rPr>
          <w:rFonts w:ascii="Arial" w:eastAsia="Arial" w:hAnsi="Arial" w:cs="Arial"/>
          <w:sz w:val="16"/>
          <w:szCs w:val="16"/>
        </w:rPr>
        <w:t>, breach notification obligations, regulatory or administrative sanctions, inquiries, orders or investigations, indemnity obligations, damages for contract breach or penalties for violations of applicable laws or regulations. The increased use of smartphon</w:t>
      </w:r>
      <w:r>
        <w:rPr>
          <w:rFonts w:ascii="Arial" w:eastAsia="Arial" w:hAnsi="Arial" w:cs="Arial"/>
          <w:sz w:val="16"/>
          <w:szCs w:val="16"/>
        </w:rPr>
        <w:t>es, tablets and other mobile devices may also heighten these and other operational risks. Despite the precautions we have taken, unanticipated problems or events may nevertheless cause failures in, or unauthorized access to, our and our third-party service</w:t>
      </w:r>
      <w:r>
        <w:rPr>
          <w:rFonts w:ascii="Arial" w:eastAsia="Arial" w:hAnsi="Arial" w:cs="Arial"/>
          <w:sz w:val="16"/>
          <w:szCs w:val="16"/>
        </w:rPr>
        <w:t xml:space="preserve">s providers’ and vendors’ information technology systems. Sustained or repeated system disruptions that interrupt our ability to process orders and deliver products to the stores, impact our customers’ ability to access our websites in a timely manner, or </w:t>
      </w:r>
      <w:r>
        <w:rPr>
          <w:rFonts w:ascii="Arial" w:eastAsia="Arial" w:hAnsi="Arial" w:cs="Arial"/>
          <w:sz w:val="16"/>
          <w:szCs w:val="16"/>
        </w:rPr>
        <w:t>expose confidential customer information, merchandise, financial or other important information (including personal information) could have a material adverse effect on our results of operations, financial condition and cash flows.</w:t>
      </w:r>
    </w:p>
    <w:p w14:paraId="71734098" w14:textId="77777777" w:rsidR="00D1587D" w:rsidRDefault="00D1587D">
      <w:pPr>
        <w:spacing w:line="74" w:lineRule="exact"/>
        <w:rPr>
          <w:sz w:val="20"/>
          <w:szCs w:val="20"/>
        </w:rPr>
      </w:pPr>
    </w:p>
    <w:p w14:paraId="6D8204B9" w14:textId="77777777" w:rsidR="00D1587D" w:rsidRDefault="00410D07">
      <w:pPr>
        <w:spacing w:line="271" w:lineRule="auto"/>
        <w:ind w:left="300" w:right="339" w:firstLine="360"/>
        <w:rPr>
          <w:sz w:val="20"/>
          <w:szCs w:val="20"/>
        </w:rPr>
      </w:pPr>
      <w:r>
        <w:rPr>
          <w:rFonts w:ascii="Arial" w:eastAsia="Arial" w:hAnsi="Arial" w:cs="Arial"/>
          <w:sz w:val="17"/>
          <w:szCs w:val="17"/>
        </w:rPr>
        <w:t xml:space="preserve">In addition, from time </w:t>
      </w:r>
      <w:r>
        <w:rPr>
          <w:rFonts w:ascii="Arial" w:eastAsia="Arial" w:hAnsi="Arial" w:cs="Arial"/>
          <w:sz w:val="17"/>
          <w:szCs w:val="17"/>
        </w:rPr>
        <w:t>to time, we make hardware, software and code modifications and upgrades to our information technology systems for point-of-sale, e-commerce, mobile apps, merchandising, planning, sourcing, logistics, inventory management and support systems including human</w:t>
      </w:r>
      <w:r>
        <w:rPr>
          <w:rFonts w:ascii="Arial" w:eastAsia="Arial" w:hAnsi="Arial" w:cs="Arial"/>
          <w:sz w:val="17"/>
          <w:szCs w:val="17"/>
        </w:rPr>
        <w:t xml:space="preserve"> resources and finance. Modifications involve replacing existing systems with successor systems, making changes to existing systems or acquiring new systems with new functionality. We are aware of inherent risks associated with replacing and modifying our </w:t>
      </w:r>
      <w:r>
        <w:rPr>
          <w:rFonts w:ascii="Arial" w:eastAsia="Arial" w:hAnsi="Arial" w:cs="Arial"/>
          <w:sz w:val="17"/>
          <w:szCs w:val="17"/>
        </w:rPr>
        <w:t>information technology systems, including risks relative to data integrity and system disruptions. Information technology system disruptions or data corruption, if not anticipated and appropriately mitigated, could have a material adverse effect on our ope</w:t>
      </w:r>
      <w:r>
        <w:rPr>
          <w:rFonts w:ascii="Arial" w:eastAsia="Arial" w:hAnsi="Arial" w:cs="Arial"/>
          <w:sz w:val="17"/>
          <w:szCs w:val="17"/>
        </w:rPr>
        <w:t>rations, financial condition and cash flows.</w:t>
      </w:r>
    </w:p>
    <w:p w14:paraId="2FFC10A3" w14:textId="77777777" w:rsidR="00D1587D" w:rsidRDefault="00D1587D">
      <w:pPr>
        <w:spacing w:line="70" w:lineRule="exact"/>
        <w:rPr>
          <w:sz w:val="20"/>
          <w:szCs w:val="20"/>
        </w:rPr>
      </w:pPr>
    </w:p>
    <w:p w14:paraId="7417188D" w14:textId="77777777" w:rsidR="00D1587D" w:rsidRDefault="00410D07">
      <w:pPr>
        <w:spacing w:line="291" w:lineRule="auto"/>
        <w:ind w:left="300" w:right="359" w:firstLine="360"/>
        <w:rPr>
          <w:sz w:val="20"/>
          <w:szCs w:val="20"/>
        </w:rPr>
      </w:pPr>
      <w:r>
        <w:rPr>
          <w:rFonts w:ascii="Arial" w:eastAsia="Arial" w:hAnsi="Arial" w:cs="Arial"/>
          <w:sz w:val="16"/>
          <w:szCs w:val="16"/>
        </w:rPr>
        <w:t>In addition to our own systems, networks and databases, we use third-party service providers to store, transmit and otherwise process certain of this information on our behalf, and our third-party service provi</w:t>
      </w:r>
      <w:r>
        <w:rPr>
          <w:rFonts w:ascii="Arial" w:eastAsia="Arial" w:hAnsi="Arial" w:cs="Arial"/>
          <w:sz w:val="16"/>
          <w:szCs w:val="16"/>
        </w:rPr>
        <w:t>ders are subject to similar cybersecurity risks. Due to applicable laws and regulations or contractual obligations, we may be held responsible for any cybersecurity incident attributed to our service providers as they relate to the information we share wit</w:t>
      </w:r>
      <w:r>
        <w:rPr>
          <w:rFonts w:ascii="Arial" w:eastAsia="Arial" w:hAnsi="Arial" w:cs="Arial"/>
          <w:sz w:val="16"/>
          <w:szCs w:val="16"/>
        </w:rPr>
        <w:t>h them or to which they are granted access. Although we contractually require these service providers to implement and maintain a standard of security (such as implementing reasonable measures), we cannot control third parties and cannot guarantee that a s</w:t>
      </w:r>
      <w:r>
        <w:rPr>
          <w:rFonts w:ascii="Arial" w:eastAsia="Arial" w:hAnsi="Arial" w:cs="Arial"/>
          <w:sz w:val="16"/>
          <w:szCs w:val="16"/>
        </w:rPr>
        <w:t>ecurity breach will not occur in their systems.</w:t>
      </w:r>
    </w:p>
    <w:p w14:paraId="3515C32C" w14:textId="77777777" w:rsidR="00D1587D" w:rsidRDefault="00D1587D">
      <w:pPr>
        <w:spacing w:line="166" w:lineRule="exact"/>
        <w:rPr>
          <w:sz w:val="20"/>
          <w:szCs w:val="20"/>
        </w:rPr>
      </w:pPr>
    </w:p>
    <w:p w14:paraId="1EED42D5" w14:textId="77777777" w:rsidR="00D1587D" w:rsidRDefault="00410D07">
      <w:pPr>
        <w:spacing w:line="263" w:lineRule="auto"/>
        <w:ind w:left="300" w:right="319" w:firstLine="360"/>
        <w:rPr>
          <w:sz w:val="20"/>
          <w:szCs w:val="20"/>
        </w:rPr>
      </w:pPr>
      <w:r>
        <w:rPr>
          <w:rFonts w:ascii="Arial" w:eastAsia="Arial" w:hAnsi="Arial" w:cs="Arial"/>
          <w:b/>
          <w:bCs/>
          <w:i/>
          <w:iCs/>
          <w:sz w:val="18"/>
          <w:szCs w:val="18"/>
        </w:rPr>
        <w:t>Any significant compromise or breach of our data security, including the security of customer, associate, third-party or company information, could have a material adverse effect on our reputation, results o</w:t>
      </w:r>
      <w:r>
        <w:rPr>
          <w:rFonts w:ascii="Arial" w:eastAsia="Arial" w:hAnsi="Arial" w:cs="Arial"/>
          <w:b/>
          <w:bCs/>
          <w:i/>
          <w:iCs/>
          <w:sz w:val="18"/>
          <w:szCs w:val="18"/>
        </w:rPr>
        <w:t>f operations, financial condition and cash flows.</w:t>
      </w:r>
    </w:p>
    <w:p w14:paraId="0F29A2AC" w14:textId="77777777" w:rsidR="00D1587D" w:rsidRDefault="00D1587D">
      <w:pPr>
        <w:spacing w:line="76" w:lineRule="exact"/>
        <w:rPr>
          <w:sz w:val="20"/>
          <w:szCs w:val="20"/>
        </w:rPr>
      </w:pPr>
    </w:p>
    <w:p w14:paraId="4B526A4A" w14:textId="77777777" w:rsidR="00D1587D" w:rsidRDefault="00410D07">
      <w:pPr>
        <w:spacing w:line="342" w:lineRule="auto"/>
        <w:ind w:left="300" w:right="359" w:firstLine="360"/>
        <w:rPr>
          <w:sz w:val="20"/>
          <w:szCs w:val="20"/>
        </w:rPr>
      </w:pPr>
      <w:r>
        <w:rPr>
          <w:rFonts w:ascii="Arial" w:eastAsia="Arial" w:hAnsi="Arial" w:cs="Arial"/>
          <w:sz w:val="16"/>
          <w:szCs w:val="16"/>
        </w:rPr>
        <w:t xml:space="preserve">In the operation of our business, we collect, use, transmit and otherwise process a large volume of personal and other confidential, proprietary and sensitive information. Information systems are </w:t>
      </w:r>
      <w:r>
        <w:rPr>
          <w:rFonts w:ascii="Arial" w:eastAsia="Arial" w:hAnsi="Arial" w:cs="Arial"/>
          <w:sz w:val="16"/>
          <w:szCs w:val="16"/>
        </w:rPr>
        <w:t>susceptible to an increasing</w:t>
      </w:r>
    </w:p>
    <w:p w14:paraId="33C46F80" w14:textId="77777777" w:rsidR="00D1587D" w:rsidRDefault="00D1587D">
      <w:pPr>
        <w:spacing w:line="124" w:lineRule="exact"/>
        <w:rPr>
          <w:sz w:val="20"/>
          <w:szCs w:val="20"/>
        </w:rPr>
      </w:pPr>
    </w:p>
    <w:p w14:paraId="11F65A71" w14:textId="77777777" w:rsidR="00D1587D" w:rsidRDefault="00410D07">
      <w:pPr>
        <w:jc w:val="center"/>
        <w:rPr>
          <w:sz w:val="20"/>
          <w:szCs w:val="20"/>
        </w:rPr>
      </w:pPr>
      <w:r>
        <w:rPr>
          <w:rFonts w:ascii="Arial" w:eastAsia="Arial" w:hAnsi="Arial" w:cs="Arial"/>
          <w:sz w:val="18"/>
          <w:szCs w:val="18"/>
        </w:rPr>
        <w:t>32</w:t>
      </w:r>
    </w:p>
    <w:p w14:paraId="32F86BD5" w14:textId="77777777" w:rsidR="00D1587D" w:rsidRDefault="00410D07">
      <w:pPr>
        <w:spacing w:line="20" w:lineRule="exact"/>
        <w:rPr>
          <w:sz w:val="20"/>
          <w:szCs w:val="20"/>
        </w:rPr>
      </w:pPr>
      <w:r>
        <w:rPr>
          <w:noProof/>
          <w:sz w:val="20"/>
          <w:szCs w:val="20"/>
        </w:rPr>
        <w:drawing>
          <wp:anchor distT="0" distB="0" distL="114300" distR="114300" simplePos="0" relativeHeight="251474944" behindDoc="1" locked="0" layoutInCell="0" allowOverlap="1" wp14:anchorId="5D0AB952" wp14:editId="7F74698F">
            <wp:simplePos x="0" y="0"/>
            <wp:positionH relativeFrom="column">
              <wp:posOffset>-636905</wp:posOffset>
            </wp:positionH>
            <wp:positionV relativeFrom="paragraph">
              <wp:posOffset>134620</wp:posOffset>
            </wp:positionV>
            <wp:extent cx="6995160" cy="17145"/>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F4D887E" w14:textId="77777777" w:rsidR="00D1587D" w:rsidRDefault="00D1587D">
      <w:pPr>
        <w:sectPr w:rsidR="00D1587D">
          <w:pgSz w:w="11900" w:h="16838"/>
          <w:pgMar w:top="265" w:right="1440" w:bottom="1440" w:left="1440" w:header="0" w:footer="0" w:gutter="0"/>
          <w:cols w:space="720" w:equalWidth="0">
            <w:col w:w="9019"/>
          </w:cols>
        </w:sectPr>
      </w:pPr>
    </w:p>
    <w:bookmarkStart w:id="290" w:name="page291"/>
    <w:bookmarkEnd w:id="290"/>
    <w:p w14:paraId="5C7A39D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80AC94C" w14:textId="77777777" w:rsidR="00D1587D" w:rsidRDefault="00D1587D">
      <w:pPr>
        <w:spacing w:line="131" w:lineRule="exact"/>
        <w:rPr>
          <w:sz w:val="20"/>
          <w:szCs w:val="20"/>
        </w:rPr>
      </w:pPr>
    </w:p>
    <w:p w14:paraId="30D945AC" w14:textId="77777777" w:rsidR="00D1587D" w:rsidRDefault="00410D07">
      <w:pPr>
        <w:spacing w:line="254" w:lineRule="auto"/>
        <w:ind w:left="300" w:right="379"/>
        <w:rPr>
          <w:sz w:val="20"/>
          <w:szCs w:val="20"/>
        </w:rPr>
      </w:pPr>
      <w:r>
        <w:rPr>
          <w:rFonts w:ascii="Arial" w:eastAsia="Arial" w:hAnsi="Arial" w:cs="Arial"/>
          <w:sz w:val="18"/>
          <w:szCs w:val="18"/>
        </w:rPr>
        <w:t xml:space="preserve">threat of continually evolving cybersecurity risks. Any significant compromise or breach of our data security, media reports about such an </w:t>
      </w:r>
      <w:r>
        <w:rPr>
          <w:rFonts w:ascii="Arial" w:eastAsia="Arial" w:hAnsi="Arial" w:cs="Arial"/>
          <w:sz w:val="18"/>
          <w:szCs w:val="18"/>
        </w:rPr>
        <w:t>incident, whether accurate or not, or our failure to make adequate or timely disclosures to the public or law enforcement agencies following any such event, whether due to delayed discovery or a failure to follow existing protocols, could significantly dam</w:t>
      </w:r>
      <w:r>
        <w:rPr>
          <w:rFonts w:ascii="Arial" w:eastAsia="Arial" w:hAnsi="Arial" w:cs="Arial"/>
          <w:sz w:val="18"/>
          <w:szCs w:val="18"/>
        </w:rPr>
        <w:t>age our reputation with our customers, associates, investors and other third parties, cause the disclosure of personal, confidential, proprietary or sensitive customer, associate, third-party or company information, cause interruptions to our operations an</w:t>
      </w:r>
      <w:r>
        <w:rPr>
          <w:rFonts w:ascii="Arial" w:eastAsia="Arial" w:hAnsi="Arial" w:cs="Arial"/>
          <w:sz w:val="18"/>
          <w:szCs w:val="18"/>
        </w:rPr>
        <w:t>d distraction to our management, cause our customers to stop shopping with us and result in significant legal, regulatory and financial liabilities and lost revenues.</w:t>
      </w:r>
    </w:p>
    <w:p w14:paraId="1A52A1E4" w14:textId="77777777" w:rsidR="00D1587D" w:rsidRDefault="00D1587D">
      <w:pPr>
        <w:spacing w:line="84" w:lineRule="exact"/>
        <w:rPr>
          <w:sz w:val="20"/>
          <w:szCs w:val="20"/>
        </w:rPr>
      </w:pPr>
    </w:p>
    <w:p w14:paraId="6F196976" w14:textId="77777777" w:rsidR="00D1587D" w:rsidRDefault="00410D07">
      <w:pPr>
        <w:spacing w:line="286" w:lineRule="auto"/>
        <w:ind w:left="300" w:right="339" w:firstLine="360"/>
        <w:rPr>
          <w:sz w:val="20"/>
          <w:szCs w:val="20"/>
        </w:rPr>
      </w:pPr>
      <w:r>
        <w:rPr>
          <w:rFonts w:ascii="Arial" w:eastAsia="Arial" w:hAnsi="Arial" w:cs="Arial"/>
          <w:sz w:val="16"/>
          <w:szCs w:val="16"/>
        </w:rPr>
        <w:t>While we train our associates and have implemented systems, processes and security measu</w:t>
      </w:r>
      <w:r>
        <w:rPr>
          <w:rFonts w:ascii="Arial" w:eastAsia="Arial" w:hAnsi="Arial" w:cs="Arial"/>
          <w:sz w:val="16"/>
          <w:szCs w:val="16"/>
        </w:rPr>
        <w:t>res to protect our physical facilities and information technology systems against unauthorized access and prevent data loss, there is no guarantee that these procedures are adequate to safeguard against all data security threats. Despite these measures, we</w:t>
      </w:r>
      <w:r>
        <w:rPr>
          <w:rFonts w:ascii="Arial" w:eastAsia="Arial" w:hAnsi="Arial" w:cs="Arial"/>
          <w:sz w:val="16"/>
          <w:szCs w:val="16"/>
        </w:rPr>
        <w:t xml:space="preserve"> may be vulnerable to targeted or random attacks on our systems that could lead to security breaches, phishing attacks, denial of service attacks, acts of vandalism, computer viruses, malware, ransomware, misplaced or lost data, programming and/or human er</w:t>
      </w:r>
      <w:r>
        <w:rPr>
          <w:rFonts w:ascii="Arial" w:eastAsia="Arial" w:hAnsi="Arial" w:cs="Arial"/>
          <w:sz w:val="16"/>
          <w:szCs w:val="16"/>
        </w:rPr>
        <w:t>rors or similar events. Our systems and facilities are also subject to compromise from internal threats, such as theft, misuse, unauthorized access or other improper actions by employees, third-party service providers and other third parties with otherwise</w:t>
      </w:r>
      <w:r>
        <w:rPr>
          <w:rFonts w:ascii="Arial" w:eastAsia="Arial" w:hAnsi="Arial" w:cs="Arial"/>
          <w:sz w:val="16"/>
          <w:szCs w:val="16"/>
        </w:rPr>
        <w:t xml:space="preserve"> legitimate access to our systems, website or facilities (which risks may be heightened as a result of work-from-home policies and technologies implemented in the wake of the COVID-19 pandemic). Furthermore, because the methods of cyber-attack and deceptio</w:t>
      </w:r>
      <w:r>
        <w:rPr>
          <w:rFonts w:ascii="Arial" w:eastAsia="Arial" w:hAnsi="Arial" w:cs="Arial"/>
          <w:sz w:val="16"/>
          <w:szCs w:val="16"/>
        </w:rPr>
        <w:t xml:space="preserve">n change frequently, are increasingly complex and sophisticated, and can originate from a wide variety of sources, including nation-state actors, despite our reasonable efforts to ensure the integrity of our systems and website, it is possible that we may </w:t>
      </w:r>
      <w:r>
        <w:rPr>
          <w:rFonts w:ascii="Arial" w:eastAsia="Arial" w:hAnsi="Arial" w:cs="Arial"/>
          <w:sz w:val="16"/>
          <w:szCs w:val="16"/>
        </w:rPr>
        <w:t>not be able to anticipate, detect, appropriately react and respond to, or implement effective preventative measures against, all cybersecurity incidents.</w:t>
      </w:r>
    </w:p>
    <w:p w14:paraId="3CEFD891" w14:textId="77777777" w:rsidR="00D1587D" w:rsidRDefault="00D1587D">
      <w:pPr>
        <w:spacing w:line="63" w:lineRule="exact"/>
        <w:rPr>
          <w:sz w:val="20"/>
          <w:szCs w:val="20"/>
        </w:rPr>
      </w:pPr>
    </w:p>
    <w:p w14:paraId="58540086" w14:textId="77777777" w:rsidR="00D1587D" w:rsidRDefault="00410D07">
      <w:pPr>
        <w:spacing w:line="289" w:lineRule="auto"/>
        <w:ind w:left="300" w:right="319" w:firstLine="360"/>
        <w:rPr>
          <w:sz w:val="20"/>
          <w:szCs w:val="20"/>
        </w:rPr>
      </w:pPr>
      <w:r>
        <w:rPr>
          <w:rFonts w:ascii="Arial" w:eastAsia="Arial" w:hAnsi="Arial" w:cs="Arial"/>
          <w:sz w:val="16"/>
          <w:szCs w:val="16"/>
        </w:rPr>
        <w:t xml:space="preserve">We may be required to expend significant capital and other resources to protect against, respond to, </w:t>
      </w:r>
      <w:r>
        <w:rPr>
          <w:rFonts w:ascii="Arial" w:eastAsia="Arial" w:hAnsi="Arial" w:cs="Arial"/>
          <w:sz w:val="16"/>
          <w:szCs w:val="16"/>
        </w:rPr>
        <w:t>and recover from any potential, attempted, or existing cybersecurity incidents. As cybersecurity incidents continue to evolve, we may be required to expend significant additional resources to continue to modify or enhance our protective measures or to inve</w:t>
      </w:r>
      <w:r>
        <w:rPr>
          <w:rFonts w:ascii="Arial" w:eastAsia="Arial" w:hAnsi="Arial" w:cs="Arial"/>
          <w:sz w:val="16"/>
          <w:szCs w:val="16"/>
        </w:rPr>
        <w:t>stigate and remediate any information security vulnerabilities. In addition, our remediation efforts may not be successful, or may not be completed in a timely manner. The inability to implement, maintain and upgrade adequate safeguards could have a materi</w:t>
      </w:r>
      <w:r>
        <w:rPr>
          <w:rFonts w:ascii="Arial" w:eastAsia="Arial" w:hAnsi="Arial" w:cs="Arial"/>
          <w:sz w:val="16"/>
          <w:szCs w:val="16"/>
        </w:rPr>
        <w:t>al adverse effect on our results of operations, financial condition and cash flow. Moreover, there could be public announcements regarding any cybersecurity incidents and any steps we take to respond to or remediate such incidents, and if securities analys</w:t>
      </w:r>
      <w:r>
        <w:rPr>
          <w:rFonts w:ascii="Arial" w:eastAsia="Arial" w:hAnsi="Arial" w:cs="Arial"/>
          <w:sz w:val="16"/>
          <w:szCs w:val="16"/>
        </w:rPr>
        <w:t>ts or investors perceive these announcements to be negative, it could, among other things, have a substantial adverse effect on the price of our common stock.</w:t>
      </w:r>
    </w:p>
    <w:p w14:paraId="29A50A52" w14:textId="77777777" w:rsidR="00D1587D" w:rsidRDefault="00D1587D">
      <w:pPr>
        <w:spacing w:line="58" w:lineRule="exact"/>
        <w:rPr>
          <w:sz w:val="20"/>
          <w:szCs w:val="20"/>
        </w:rPr>
      </w:pPr>
    </w:p>
    <w:p w14:paraId="3B89A602" w14:textId="77777777" w:rsidR="00D1587D" w:rsidRDefault="00410D07">
      <w:pPr>
        <w:spacing w:line="291" w:lineRule="auto"/>
        <w:ind w:left="300" w:right="319" w:firstLine="360"/>
        <w:rPr>
          <w:sz w:val="20"/>
          <w:szCs w:val="20"/>
        </w:rPr>
      </w:pPr>
      <w:r>
        <w:rPr>
          <w:rFonts w:ascii="Arial" w:eastAsia="Arial" w:hAnsi="Arial" w:cs="Arial"/>
          <w:sz w:val="16"/>
          <w:szCs w:val="16"/>
        </w:rPr>
        <w:t>While we currently maintain cybersecurity insurance, such insurance may not be sufficient in typ</w:t>
      </w:r>
      <w:r>
        <w:rPr>
          <w:rFonts w:ascii="Arial" w:eastAsia="Arial" w:hAnsi="Arial" w:cs="Arial"/>
          <w:sz w:val="16"/>
          <w:szCs w:val="16"/>
        </w:rPr>
        <w:t>e or amount to cover us against claims related to breaches, failures or other data security-related incidents, and we cannot be certain that cyber insurance will continue to be available to us on economically reasonable terms, or at all, or that any insure</w:t>
      </w:r>
      <w:r>
        <w:rPr>
          <w:rFonts w:ascii="Arial" w:eastAsia="Arial" w:hAnsi="Arial" w:cs="Arial"/>
          <w:sz w:val="16"/>
          <w:szCs w:val="16"/>
        </w:rPr>
        <w:t>r will not deny coverage as to any future claim. The successful assertion of one or more large claims against us that exceed available insurance coverage, or the occurrence of changes in our insurance policies, including premium increases or the imposition</w:t>
      </w:r>
      <w:r>
        <w:rPr>
          <w:rFonts w:ascii="Arial" w:eastAsia="Arial" w:hAnsi="Arial" w:cs="Arial"/>
          <w:sz w:val="16"/>
          <w:szCs w:val="16"/>
        </w:rPr>
        <w:t xml:space="preserve"> of large deductible or co-insurance requirements, could have a material adverse effect on our results of operations, financial condition and cash flows.</w:t>
      </w:r>
    </w:p>
    <w:p w14:paraId="2AB279BD" w14:textId="77777777" w:rsidR="00D1587D" w:rsidRDefault="00D1587D">
      <w:pPr>
        <w:spacing w:line="166" w:lineRule="exact"/>
        <w:rPr>
          <w:sz w:val="20"/>
          <w:szCs w:val="20"/>
        </w:rPr>
      </w:pPr>
    </w:p>
    <w:p w14:paraId="1BF5076D" w14:textId="77777777" w:rsidR="00D1587D" w:rsidRDefault="00410D07">
      <w:pPr>
        <w:spacing w:line="277" w:lineRule="auto"/>
        <w:ind w:left="300" w:right="419" w:firstLine="360"/>
        <w:rPr>
          <w:sz w:val="20"/>
          <w:szCs w:val="20"/>
        </w:rPr>
      </w:pPr>
      <w:r>
        <w:rPr>
          <w:rFonts w:ascii="Arial" w:eastAsia="Arial" w:hAnsi="Arial" w:cs="Arial"/>
          <w:b/>
          <w:bCs/>
          <w:i/>
          <w:iCs/>
          <w:sz w:val="18"/>
          <w:szCs w:val="18"/>
        </w:rPr>
        <w:t xml:space="preserve">Shareholder activism could cause us to incur significant expense, hinder execution of our </w:t>
      </w:r>
      <w:r>
        <w:rPr>
          <w:rFonts w:ascii="Arial" w:eastAsia="Arial" w:hAnsi="Arial" w:cs="Arial"/>
          <w:b/>
          <w:bCs/>
          <w:i/>
          <w:iCs/>
          <w:sz w:val="18"/>
          <w:szCs w:val="18"/>
        </w:rPr>
        <w:t>business strategy and impact our stock price.</w:t>
      </w:r>
    </w:p>
    <w:p w14:paraId="222AAA2E" w14:textId="77777777" w:rsidR="00D1587D" w:rsidRDefault="00D1587D">
      <w:pPr>
        <w:spacing w:line="62" w:lineRule="exact"/>
        <w:rPr>
          <w:sz w:val="20"/>
          <w:szCs w:val="20"/>
        </w:rPr>
      </w:pPr>
    </w:p>
    <w:p w14:paraId="59CF686C" w14:textId="77777777" w:rsidR="00D1587D" w:rsidRDefault="00410D07">
      <w:pPr>
        <w:spacing w:line="291" w:lineRule="auto"/>
        <w:ind w:left="300" w:right="339" w:firstLine="360"/>
        <w:rPr>
          <w:sz w:val="20"/>
          <w:szCs w:val="20"/>
        </w:rPr>
      </w:pPr>
      <w:r>
        <w:rPr>
          <w:rFonts w:ascii="Arial" w:eastAsia="Arial" w:hAnsi="Arial" w:cs="Arial"/>
          <w:sz w:val="16"/>
          <w:szCs w:val="16"/>
        </w:rPr>
        <w:t>Shareholder activism, which can take many forms and arise in a variety of situations, could result in substantial costs and divert management’s and our board’s attention and resources from our business. Additi</w:t>
      </w:r>
      <w:r>
        <w:rPr>
          <w:rFonts w:ascii="Arial" w:eastAsia="Arial" w:hAnsi="Arial" w:cs="Arial"/>
          <w:sz w:val="16"/>
          <w:szCs w:val="16"/>
        </w:rPr>
        <w:t>onally, such shareholder activism could give rise to perceived uncertainties as to our future, adversely affect our relationships with our associates, customers or service providers and make it more difficult to attract and retain qualified personnel. Also</w:t>
      </w:r>
      <w:r>
        <w:rPr>
          <w:rFonts w:ascii="Arial" w:eastAsia="Arial" w:hAnsi="Arial" w:cs="Arial"/>
          <w:sz w:val="16"/>
          <w:szCs w:val="16"/>
        </w:rPr>
        <w:t>, we may be required to incur significant fees and other expenses related to activist shareholder matters, including for third-party advisors. Our stock price could be subject to significant fluctuation or otherwise be adversely affected by the events, ris</w:t>
      </w:r>
      <w:r>
        <w:rPr>
          <w:rFonts w:ascii="Arial" w:eastAsia="Arial" w:hAnsi="Arial" w:cs="Arial"/>
          <w:sz w:val="16"/>
          <w:szCs w:val="16"/>
        </w:rPr>
        <w:t>ks and uncertainties of any shareholder activism.</w:t>
      </w:r>
    </w:p>
    <w:p w14:paraId="04E5DC8B" w14:textId="77777777" w:rsidR="00D1587D" w:rsidRDefault="00D1587D">
      <w:pPr>
        <w:spacing w:line="166" w:lineRule="exact"/>
        <w:rPr>
          <w:sz w:val="20"/>
          <w:szCs w:val="20"/>
        </w:rPr>
      </w:pPr>
    </w:p>
    <w:p w14:paraId="014A63CB" w14:textId="77777777" w:rsidR="00D1587D" w:rsidRDefault="00410D07">
      <w:pPr>
        <w:spacing w:line="277" w:lineRule="auto"/>
        <w:ind w:left="300" w:right="679" w:firstLine="360"/>
        <w:rPr>
          <w:sz w:val="20"/>
          <w:szCs w:val="20"/>
        </w:rPr>
      </w:pPr>
      <w:r>
        <w:rPr>
          <w:rFonts w:ascii="Arial" w:eastAsia="Arial" w:hAnsi="Arial" w:cs="Arial"/>
          <w:b/>
          <w:bCs/>
          <w:i/>
          <w:iCs/>
          <w:sz w:val="18"/>
          <w:szCs w:val="18"/>
        </w:rPr>
        <w:t>Our ability to maintain our credit rating could affect our ability to access capital and could increase our interest expense.</w:t>
      </w:r>
    </w:p>
    <w:p w14:paraId="1DE30511" w14:textId="77777777" w:rsidR="00D1587D" w:rsidRDefault="00D1587D">
      <w:pPr>
        <w:spacing w:line="62" w:lineRule="exact"/>
        <w:rPr>
          <w:sz w:val="20"/>
          <w:szCs w:val="20"/>
        </w:rPr>
      </w:pPr>
    </w:p>
    <w:p w14:paraId="294617FF" w14:textId="77777777" w:rsidR="00D1587D" w:rsidRDefault="00410D07">
      <w:pPr>
        <w:spacing w:line="342" w:lineRule="auto"/>
        <w:ind w:left="300" w:right="639" w:firstLine="360"/>
        <w:rPr>
          <w:sz w:val="20"/>
          <w:szCs w:val="20"/>
        </w:rPr>
      </w:pPr>
      <w:r>
        <w:rPr>
          <w:rFonts w:ascii="Arial" w:eastAsia="Arial" w:hAnsi="Arial" w:cs="Arial"/>
          <w:sz w:val="16"/>
          <w:szCs w:val="16"/>
        </w:rPr>
        <w:t>Our credit risk is expected to be evaluated by the major independent rating ag</w:t>
      </w:r>
      <w:r>
        <w:rPr>
          <w:rFonts w:ascii="Arial" w:eastAsia="Arial" w:hAnsi="Arial" w:cs="Arial"/>
          <w:sz w:val="16"/>
          <w:szCs w:val="16"/>
        </w:rPr>
        <w:t>encies. Once a credit rating is obtained, any future downgrades could increase the cost of borrowing under any indebtedness we may incur in</w:t>
      </w:r>
    </w:p>
    <w:p w14:paraId="0113672C" w14:textId="77777777" w:rsidR="00D1587D" w:rsidRDefault="00D1587D">
      <w:pPr>
        <w:spacing w:line="124" w:lineRule="exact"/>
        <w:rPr>
          <w:sz w:val="20"/>
          <w:szCs w:val="20"/>
        </w:rPr>
      </w:pPr>
    </w:p>
    <w:p w14:paraId="6069B06D" w14:textId="77777777" w:rsidR="00D1587D" w:rsidRDefault="00410D07">
      <w:pPr>
        <w:ind w:right="19"/>
        <w:jc w:val="center"/>
        <w:rPr>
          <w:sz w:val="20"/>
          <w:szCs w:val="20"/>
        </w:rPr>
      </w:pPr>
      <w:r>
        <w:rPr>
          <w:rFonts w:ascii="Arial" w:eastAsia="Arial" w:hAnsi="Arial" w:cs="Arial"/>
          <w:sz w:val="18"/>
          <w:szCs w:val="18"/>
        </w:rPr>
        <w:t>33</w:t>
      </w:r>
    </w:p>
    <w:p w14:paraId="51A238F3" w14:textId="77777777" w:rsidR="00D1587D" w:rsidRDefault="00410D07">
      <w:pPr>
        <w:spacing w:line="20" w:lineRule="exact"/>
        <w:rPr>
          <w:sz w:val="20"/>
          <w:szCs w:val="20"/>
        </w:rPr>
      </w:pPr>
      <w:r>
        <w:rPr>
          <w:noProof/>
          <w:sz w:val="20"/>
          <w:szCs w:val="20"/>
        </w:rPr>
        <w:drawing>
          <wp:anchor distT="0" distB="0" distL="114300" distR="114300" simplePos="0" relativeHeight="251475968" behindDoc="1" locked="0" layoutInCell="0" allowOverlap="1" wp14:anchorId="30028CEF" wp14:editId="6CE57B92">
            <wp:simplePos x="0" y="0"/>
            <wp:positionH relativeFrom="column">
              <wp:posOffset>-636905</wp:posOffset>
            </wp:positionH>
            <wp:positionV relativeFrom="paragraph">
              <wp:posOffset>134620</wp:posOffset>
            </wp:positionV>
            <wp:extent cx="6995160" cy="17145"/>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76FACD3" w14:textId="77777777" w:rsidR="00D1587D" w:rsidRDefault="00D1587D">
      <w:pPr>
        <w:sectPr w:rsidR="00D1587D">
          <w:pgSz w:w="11900" w:h="16838"/>
          <w:pgMar w:top="265" w:right="1440" w:bottom="1440" w:left="1440" w:header="0" w:footer="0" w:gutter="0"/>
          <w:cols w:space="720" w:equalWidth="0">
            <w:col w:w="9019"/>
          </w:cols>
        </w:sectPr>
      </w:pPr>
    </w:p>
    <w:bookmarkStart w:id="291" w:name="page292"/>
    <w:bookmarkEnd w:id="291"/>
    <w:p w14:paraId="7245FFBA"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270840D" w14:textId="77777777" w:rsidR="00D1587D" w:rsidRDefault="00D1587D">
      <w:pPr>
        <w:spacing w:line="131" w:lineRule="exact"/>
        <w:rPr>
          <w:sz w:val="20"/>
          <w:szCs w:val="20"/>
        </w:rPr>
      </w:pPr>
    </w:p>
    <w:p w14:paraId="31869567" w14:textId="77777777" w:rsidR="00D1587D" w:rsidRDefault="00410D07">
      <w:pPr>
        <w:spacing w:line="301" w:lineRule="auto"/>
        <w:ind w:left="300" w:right="399"/>
        <w:rPr>
          <w:sz w:val="20"/>
          <w:szCs w:val="20"/>
        </w:rPr>
      </w:pPr>
      <w:r>
        <w:rPr>
          <w:rFonts w:ascii="Arial" w:eastAsia="Arial" w:hAnsi="Arial" w:cs="Arial"/>
          <w:sz w:val="16"/>
          <w:szCs w:val="16"/>
        </w:rPr>
        <w:t xml:space="preserve">connection with the Separation or otherwise. </w:t>
      </w:r>
      <w:r>
        <w:rPr>
          <w:rFonts w:ascii="Arial" w:eastAsia="Arial" w:hAnsi="Arial" w:cs="Arial"/>
          <w:sz w:val="16"/>
          <w:szCs w:val="16"/>
        </w:rPr>
        <w:t>Our credit rating is expected to be lower than that of LB. There can be no assurance that we will be able to maintain our credit ratings once established, and any additional actual or anticipated changes or downgrades in our credit ratings, including any a</w:t>
      </w:r>
      <w:r>
        <w:rPr>
          <w:rFonts w:ascii="Arial" w:eastAsia="Arial" w:hAnsi="Arial" w:cs="Arial"/>
          <w:sz w:val="16"/>
          <w:szCs w:val="16"/>
        </w:rPr>
        <w:t>nnouncement that our ratings are under review for a downgrade, may have a negative impact on our liquidity, capital position and access to capital markets.</w:t>
      </w:r>
    </w:p>
    <w:p w14:paraId="131E707B" w14:textId="77777777" w:rsidR="00D1587D" w:rsidRDefault="00D1587D">
      <w:pPr>
        <w:spacing w:line="157" w:lineRule="exact"/>
        <w:rPr>
          <w:sz w:val="20"/>
          <w:szCs w:val="20"/>
        </w:rPr>
      </w:pPr>
    </w:p>
    <w:p w14:paraId="11CDE3EC" w14:textId="77777777" w:rsidR="00D1587D" w:rsidRDefault="00410D07">
      <w:pPr>
        <w:spacing w:line="259" w:lineRule="auto"/>
        <w:ind w:left="300" w:right="319" w:firstLine="360"/>
        <w:rPr>
          <w:sz w:val="20"/>
          <w:szCs w:val="20"/>
        </w:rPr>
      </w:pPr>
      <w:r>
        <w:rPr>
          <w:rFonts w:ascii="Arial" w:eastAsia="Arial" w:hAnsi="Arial" w:cs="Arial"/>
          <w:b/>
          <w:bCs/>
          <w:i/>
          <w:iCs/>
          <w:sz w:val="18"/>
          <w:szCs w:val="18"/>
        </w:rPr>
        <w:t xml:space="preserve">Changes in laws, regulations or technology platform rules relating to data privacy and </w:t>
      </w:r>
      <w:r>
        <w:rPr>
          <w:rFonts w:ascii="Arial" w:eastAsia="Arial" w:hAnsi="Arial" w:cs="Arial"/>
          <w:b/>
          <w:bCs/>
          <w:i/>
          <w:iCs/>
          <w:sz w:val="18"/>
          <w:szCs w:val="18"/>
        </w:rPr>
        <w:t>security, or any actual or perceived failure by us to comply with such laws and regulations, or contractual or other obligations relating to data privacy and security, could have a material adverse effect on our reputation, results of operations, financial</w:t>
      </w:r>
      <w:r>
        <w:rPr>
          <w:rFonts w:ascii="Arial" w:eastAsia="Arial" w:hAnsi="Arial" w:cs="Arial"/>
          <w:b/>
          <w:bCs/>
          <w:i/>
          <w:iCs/>
          <w:sz w:val="18"/>
          <w:szCs w:val="18"/>
        </w:rPr>
        <w:t xml:space="preserve"> condition and cash flows.</w:t>
      </w:r>
    </w:p>
    <w:p w14:paraId="22AD81EB" w14:textId="77777777" w:rsidR="00D1587D" w:rsidRDefault="00D1587D">
      <w:pPr>
        <w:spacing w:line="79" w:lineRule="exact"/>
        <w:rPr>
          <w:sz w:val="20"/>
          <w:szCs w:val="20"/>
        </w:rPr>
      </w:pPr>
    </w:p>
    <w:p w14:paraId="755DDC26" w14:textId="77777777" w:rsidR="00D1587D" w:rsidRDefault="00410D07">
      <w:pPr>
        <w:spacing w:line="291" w:lineRule="auto"/>
        <w:ind w:left="300" w:right="319" w:firstLine="360"/>
        <w:rPr>
          <w:sz w:val="20"/>
          <w:szCs w:val="20"/>
        </w:rPr>
      </w:pPr>
      <w:r>
        <w:rPr>
          <w:rFonts w:ascii="Arial" w:eastAsia="Arial" w:hAnsi="Arial" w:cs="Arial"/>
          <w:sz w:val="16"/>
          <w:szCs w:val="16"/>
        </w:rPr>
        <w:t>We are, and may increasingly become, subject to various laws, directives, industry standards and regulations, as well as contractual obligations, relating to data privacy and security in the jurisdictions in which we operate. Th</w:t>
      </w:r>
      <w:r>
        <w:rPr>
          <w:rFonts w:ascii="Arial" w:eastAsia="Arial" w:hAnsi="Arial" w:cs="Arial"/>
          <w:sz w:val="16"/>
          <w:szCs w:val="16"/>
        </w:rPr>
        <w:t>e regulatory environment related to data privacy and security is increasingly rigorous, with new and constantly changing requirements applicable to our business, and enforcement practices are likely to remain uncertain for the foreseeable future. These law</w:t>
      </w:r>
      <w:r>
        <w:rPr>
          <w:rFonts w:ascii="Arial" w:eastAsia="Arial" w:hAnsi="Arial" w:cs="Arial"/>
          <w:sz w:val="16"/>
          <w:szCs w:val="16"/>
        </w:rPr>
        <w:t>s and regulations may be interpreted and applied differently over time and from jurisdiction to jurisdiction, and it is possible that they will be interpreted and applied in ways that may have a material adverse effect on our results of operations, financi</w:t>
      </w:r>
      <w:r>
        <w:rPr>
          <w:rFonts w:ascii="Arial" w:eastAsia="Arial" w:hAnsi="Arial" w:cs="Arial"/>
          <w:sz w:val="16"/>
          <w:szCs w:val="16"/>
        </w:rPr>
        <w:t>al condition and cash flows.</w:t>
      </w:r>
    </w:p>
    <w:p w14:paraId="2CD39E75" w14:textId="77777777" w:rsidR="00D1587D" w:rsidRDefault="00D1587D">
      <w:pPr>
        <w:spacing w:line="58" w:lineRule="exact"/>
        <w:rPr>
          <w:sz w:val="20"/>
          <w:szCs w:val="20"/>
        </w:rPr>
      </w:pPr>
    </w:p>
    <w:p w14:paraId="4D72C3B2" w14:textId="77777777" w:rsidR="00D1587D" w:rsidRDefault="00410D07">
      <w:pPr>
        <w:spacing w:line="284" w:lineRule="auto"/>
        <w:ind w:left="300" w:right="319" w:firstLine="360"/>
        <w:rPr>
          <w:sz w:val="20"/>
          <w:szCs w:val="20"/>
        </w:rPr>
      </w:pPr>
      <w:r>
        <w:rPr>
          <w:rFonts w:ascii="Arial" w:eastAsia="Arial" w:hAnsi="Arial" w:cs="Arial"/>
          <w:sz w:val="16"/>
          <w:szCs w:val="16"/>
        </w:rPr>
        <w:t>In the U.S., various federal and state regulators, including governmental agencies like the Consumer Financial Protection Bureau and the Federal Trade Commission, have adopted, or are considering adopting, laws and regulations</w:t>
      </w:r>
      <w:r>
        <w:rPr>
          <w:rFonts w:ascii="Arial" w:eastAsia="Arial" w:hAnsi="Arial" w:cs="Arial"/>
          <w:sz w:val="16"/>
          <w:szCs w:val="16"/>
        </w:rPr>
        <w:t xml:space="preserve"> concerning personal information and data security and have prioritized privacy and information security violations for enforcement actions. Certain state laws may be more stringent or broader in scope, or offer greater individual rights, with respect to p</w:t>
      </w:r>
      <w:r>
        <w:rPr>
          <w:rFonts w:ascii="Arial" w:eastAsia="Arial" w:hAnsi="Arial" w:cs="Arial"/>
          <w:sz w:val="16"/>
          <w:szCs w:val="16"/>
        </w:rPr>
        <w:t>ersonal information than federal, international or other state laws, and such laws may differ from each other, all of which may complicate compliance efforts. For example, the California Consumer Privacy Act (“CCPA”), which increases privacy rights for Cal</w:t>
      </w:r>
      <w:r>
        <w:rPr>
          <w:rFonts w:ascii="Arial" w:eastAsia="Arial" w:hAnsi="Arial" w:cs="Arial"/>
          <w:sz w:val="16"/>
          <w:szCs w:val="16"/>
        </w:rPr>
        <w:t>ifornia residents and imposes obligations on companies that process their personal information, went into effect on January 1, 2020. Among other things, the CCPA requires covered companies to provide new disclosures to California consumers and provide such</w:t>
      </w:r>
      <w:r>
        <w:rPr>
          <w:rFonts w:ascii="Arial" w:eastAsia="Arial" w:hAnsi="Arial" w:cs="Arial"/>
          <w:sz w:val="16"/>
          <w:szCs w:val="16"/>
        </w:rPr>
        <w:t xml:space="preserve"> consumers new data protection and privacy rights, including the ability to opt-out of certain data sharing arrangements of personal information, and the ability to access and delete personal information. The CCPA provides for civil penalties for violation</w:t>
      </w:r>
      <w:r>
        <w:rPr>
          <w:rFonts w:ascii="Arial" w:eastAsia="Arial" w:hAnsi="Arial" w:cs="Arial"/>
          <w:sz w:val="16"/>
          <w:szCs w:val="16"/>
        </w:rPr>
        <w:t>s, as well as a private right of action for certain data breaches that result in the loss of personal information. This private right of action may increase the likelihood of, and risks associated with, data breach litigation. Furthermore, in November 2020</w:t>
      </w:r>
      <w:r>
        <w:rPr>
          <w:rFonts w:ascii="Arial" w:eastAsia="Arial" w:hAnsi="Arial" w:cs="Arial"/>
          <w:sz w:val="16"/>
          <w:szCs w:val="16"/>
        </w:rPr>
        <w:t>, California voters passed the California Privacy Rights Act of 2020 (“CPRA”). Effective beginning January 1, 2023, the CPRA imposes additional obligations on companies covered by the legislation and will significantly modify the CCPA, including by expandi</w:t>
      </w:r>
      <w:r>
        <w:rPr>
          <w:rFonts w:ascii="Arial" w:eastAsia="Arial" w:hAnsi="Arial" w:cs="Arial"/>
          <w:sz w:val="16"/>
          <w:szCs w:val="16"/>
        </w:rPr>
        <w:t>ng California residents’ rights with respect to certain sensitive personal information. The CPRA also creates a new state agency that will be vested with authority to implement and enforce the CCPA and CPRA. Other states (such as Virginia) have also passed</w:t>
      </w:r>
      <w:r>
        <w:rPr>
          <w:rFonts w:ascii="Arial" w:eastAsia="Arial" w:hAnsi="Arial" w:cs="Arial"/>
          <w:sz w:val="16"/>
          <w:szCs w:val="16"/>
        </w:rPr>
        <w:t xml:space="preserve"> or plan to pass data privacy laws that are similar to the CCPA, CPRA, and GDPR (described below), further complicating the legal landscape. In addition, laws in all 50 U.S. states require businesses to provide notice to consumers (and, in some cases, to r</w:t>
      </w:r>
      <w:r>
        <w:rPr>
          <w:rFonts w:ascii="Arial" w:eastAsia="Arial" w:hAnsi="Arial" w:cs="Arial"/>
          <w:sz w:val="16"/>
          <w:szCs w:val="16"/>
        </w:rPr>
        <w:t xml:space="preserve">egulators) whose personal information has been accessed or acquired as a result of a data breach. State laws are changing rapidly and there is discussion in Congress of a new comprehensive federal data privacy law to which we would become subject if it is </w:t>
      </w:r>
      <w:r>
        <w:rPr>
          <w:rFonts w:ascii="Arial" w:eastAsia="Arial" w:hAnsi="Arial" w:cs="Arial"/>
          <w:sz w:val="16"/>
          <w:szCs w:val="16"/>
        </w:rPr>
        <w:t>enacted, which may add additional complexity, variation in requirements, restrictions and potential legal risk, require additional investment of resources in compliance programs, impact strategies and the availability of previously useful data and could re</w:t>
      </w:r>
      <w:r>
        <w:rPr>
          <w:rFonts w:ascii="Arial" w:eastAsia="Arial" w:hAnsi="Arial" w:cs="Arial"/>
          <w:sz w:val="16"/>
          <w:szCs w:val="16"/>
        </w:rPr>
        <w:t>sult in increased compliance costs or changes in business practices and policies.</w:t>
      </w:r>
    </w:p>
    <w:p w14:paraId="46CA71A9" w14:textId="77777777" w:rsidR="00D1587D" w:rsidRDefault="00D1587D">
      <w:pPr>
        <w:spacing w:line="281" w:lineRule="exact"/>
        <w:rPr>
          <w:sz w:val="20"/>
          <w:szCs w:val="20"/>
        </w:rPr>
      </w:pPr>
    </w:p>
    <w:p w14:paraId="5F772CBF" w14:textId="77777777" w:rsidR="00D1587D" w:rsidRDefault="00410D07">
      <w:pPr>
        <w:spacing w:line="269" w:lineRule="auto"/>
        <w:ind w:left="300" w:right="379" w:firstLine="360"/>
        <w:rPr>
          <w:sz w:val="20"/>
          <w:szCs w:val="20"/>
        </w:rPr>
      </w:pPr>
      <w:r>
        <w:rPr>
          <w:rFonts w:ascii="Arial" w:eastAsia="Arial" w:hAnsi="Arial" w:cs="Arial"/>
          <w:sz w:val="17"/>
          <w:szCs w:val="17"/>
        </w:rPr>
        <w:t>We are also subject to international laws, regulations and standards in many jurisdictions, which apply broadly to the collection, use, retention, security, disclosure, tran</w:t>
      </w:r>
      <w:r>
        <w:rPr>
          <w:rFonts w:ascii="Arial" w:eastAsia="Arial" w:hAnsi="Arial" w:cs="Arial"/>
          <w:sz w:val="17"/>
          <w:szCs w:val="17"/>
        </w:rPr>
        <w:t>sfer and other processing of personal information. For example, the E.U. General Data Protection Regulation (“GDPR”), which became effective in May 2018, greatly increased the European Commission’s jurisdictional reach of its laws and adds a broad array of</w:t>
      </w:r>
      <w:r>
        <w:rPr>
          <w:rFonts w:ascii="Arial" w:eastAsia="Arial" w:hAnsi="Arial" w:cs="Arial"/>
          <w:sz w:val="17"/>
          <w:szCs w:val="17"/>
        </w:rPr>
        <w:t xml:space="preserve"> requirements for handling personal data. EU member states are tasked under the GDPR to enact, and have enacted, certain implementing legislation that adds to and/or further interprets the GDPR requirements and potentially extends our obligations and poten</w:t>
      </w:r>
      <w:r>
        <w:rPr>
          <w:rFonts w:ascii="Arial" w:eastAsia="Arial" w:hAnsi="Arial" w:cs="Arial"/>
          <w:sz w:val="17"/>
          <w:szCs w:val="17"/>
        </w:rPr>
        <w:t>tial liability for failing to meet such obligations. The GDPR, together with national legislation, regulations and guidelines of the EU member states and the United Kingdom governing the processing of personal data, impose strict obligations and restrictio</w:t>
      </w:r>
      <w:r>
        <w:rPr>
          <w:rFonts w:ascii="Arial" w:eastAsia="Arial" w:hAnsi="Arial" w:cs="Arial"/>
          <w:sz w:val="17"/>
          <w:szCs w:val="17"/>
        </w:rPr>
        <w:t>ns on the ability to collect, use, retain, protect, disclose, transfer and otherwise process personal data. In particular, the GDPR includes obligations and restrictions concerning data transparency and consent, the overall rights of individuals to whom</w:t>
      </w:r>
    </w:p>
    <w:p w14:paraId="79FC78BF" w14:textId="77777777" w:rsidR="00D1587D" w:rsidRDefault="00D1587D">
      <w:pPr>
        <w:spacing w:line="182" w:lineRule="exact"/>
        <w:rPr>
          <w:sz w:val="20"/>
          <w:szCs w:val="20"/>
        </w:rPr>
      </w:pPr>
    </w:p>
    <w:p w14:paraId="65B11DA9" w14:textId="77777777" w:rsidR="00D1587D" w:rsidRDefault="00410D07">
      <w:pPr>
        <w:ind w:right="19"/>
        <w:jc w:val="center"/>
        <w:rPr>
          <w:sz w:val="20"/>
          <w:szCs w:val="20"/>
        </w:rPr>
      </w:pPr>
      <w:r>
        <w:rPr>
          <w:rFonts w:ascii="Arial" w:eastAsia="Arial" w:hAnsi="Arial" w:cs="Arial"/>
          <w:sz w:val="18"/>
          <w:szCs w:val="18"/>
        </w:rPr>
        <w:t>34</w:t>
      </w:r>
    </w:p>
    <w:p w14:paraId="56CBDA59" w14:textId="77777777" w:rsidR="00D1587D" w:rsidRDefault="00410D07">
      <w:pPr>
        <w:spacing w:line="20" w:lineRule="exact"/>
        <w:rPr>
          <w:sz w:val="20"/>
          <w:szCs w:val="20"/>
        </w:rPr>
      </w:pPr>
      <w:r>
        <w:rPr>
          <w:noProof/>
          <w:sz w:val="20"/>
          <w:szCs w:val="20"/>
        </w:rPr>
        <w:drawing>
          <wp:anchor distT="0" distB="0" distL="114300" distR="114300" simplePos="0" relativeHeight="251476992" behindDoc="1" locked="0" layoutInCell="0" allowOverlap="1" wp14:anchorId="3AC28C92" wp14:editId="549792AE">
            <wp:simplePos x="0" y="0"/>
            <wp:positionH relativeFrom="column">
              <wp:posOffset>-636905</wp:posOffset>
            </wp:positionH>
            <wp:positionV relativeFrom="paragraph">
              <wp:posOffset>134620</wp:posOffset>
            </wp:positionV>
            <wp:extent cx="6995160" cy="1714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5846F22" w14:textId="77777777" w:rsidR="00D1587D" w:rsidRDefault="00D1587D">
      <w:pPr>
        <w:sectPr w:rsidR="00D1587D">
          <w:pgSz w:w="11900" w:h="16838"/>
          <w:pgMar w:top="265" w:right="1440" w:bottom="1440" w:left="1440" w:header="0" w:footer="0" w:gutter="0"/>
          <w:cols w:space="720" w:equalWidth="0">
            <w:col w:w="9019"/>
          </w:cols>
        </w:sectPr>
      </w:pPr>
    </w:p>
    <w:bookmarkStart w:id="292" w:name="page293"/>
    <w:bookmarkEnd w:id="292"/>
    <w:p w14:paraId="24A84D4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7A9AC81" w14:textId="77777777" w:rsidR="00D1587D" w:rsidRDefault="00D1587D">
      <w:pPr>
        <w:spacing w:line="131" w:lineRule="exact"/>
        <w:rPr>
          <w:sz w:val="20"/>
          <w:szCs w:val="20"/>
        </w:rPr>
      </w:pPr>
    </w:p>
    <w:p w14:paraId="734BB989" w14:textId="77777777" w:rsidR="00D1587D" w:rsidRDefault="00410D07">
      <w:pPr>
        <w:spacing w:line="269" w:lineRule="auto"/>
        <w:ind w:left="300" w:right="399"/>
        <w:rPr>
          <w:sz w:val="20"/>
          <w:szCs w:val="20"/>
        </w:rPr>
      </w:pPr>
      <w:r>
        <w:rPr>
          <w:rFonts w:ascii="Arial" w:eastAsia="Arial" w:hAnsi="Arial" w:cs="Arial"/>
          <w:sz w:val="17"/>
          <w:szCs w:val="17"/>
        </w:rPr>
        <w:t xml:space="preserve">the personal data relates, the transfer of personal data out of the European Economic Area (“EEA”) or the United Kingdom, security breach notifications and the security and </w:t>
      </w:r>
      <w:r>
        <w:rPr>
          <w:rFonts w:ascii="Arial" w:eastAsia="Arial" w:hAnsi="Arial" w:cs="Arial"/>
          <w:sz w:val="17"/>
          <w:szCs w:val="17"/>
        </w:rPr>
        <w:t>confidentiality of personal data. The GDPR authorizes fines for certain violations of up to 4% of global annual revenue or €20 million, whichever is greater. Recent legal developments in Europe have created further complexity and uncertainty regarding tran</w:t>
      </w:r>
      <w:r>
        <w:rPr>
          <w:rFonts w:ascii="Arial" w:eastAsia="Arial" w:hAnsi="Arial" w:cs="Arial"/>
          <w:sz w:val="17"/>
          <w:szCs w:val="17"/>
        </w:rPr>
        <w:t xml:space="preserve">sfers of personal data from the EEA and the United Kingdom to the United States. Most recently, in July 2020, the Court of Justice of the European Union (“CJEU”) invalidated the EU-U.S. Privacy Shield Framework (“Privacy Shield”) under which personal data </w:t>
      </w:r>
      <w:r>
        <w:rPr>
          <w:rFonts w:ascii="Arial" w:eastAsia="Arial" w:hAnsi="Arial" w:cs="Arial"/>
          <w:sz w:val="17"/>
          <w:szCs w:val="17"/>
        </w:rPr>
        <w:t>could be transferred from the EEA to the United States. While the CJEU upheld the adequacy of standard contractual clauses, a standard form of contract approved by the European Commission as an adequate personal data transfer mechanism and potential altern</w:t>
      </w:r>
      <w:r>
        <w:rPr>
          <w:rFonts w:ascii="Arial" w:eastAsia="Arial" w:hAnsi="Arial" w:cs="Arial"/>
          <w:sz w:val="17"/>
          <w:szCs w:val="17"/>
        </w:rPr>
        <w:t>ative to the Privacy Shield, it made clear that reliance on them alone may not necessarily be sufficient in all circumstances.</w:t>
      </w:r>
    </w:p>
    <w:p w14:paraId="3B19B375" w14:textId="77777777" w:rsidR="00D1587D" w:rsidRDefault="00D1587D">
      <w:pPr>
        <w:spacing w:line="77" w:lineRule="exact"/>
        <w:rPr>
          <w:sz w:val="20"/>
          <w:szCs w:val="20"/>
        </w:rPr>
      </w:pPr>
    </w:p>
    <w:p w14:paraId="64065E8D" w14:textId="77777777" w:rsidR="00D1587D" w:rsidRDefault="00410D07">
      <w:pPr>
        <w:spacing w:line="269" w:lineRule="auto"/>
        <w:ind w:left="300" w:right="299" w:firstLine="360"/>
        <w:rPr>
          <w:sz w:val="20"/>
          <w:szCs w:val="20"/>
        </w:rPr>
      </w:pPr>
      <w:r>
        <w:rPr>
          <w:rFonts w:ascii="Arial" w:eastAsia="Arial" w:hAnsi="Arial" w:cs="Arial"/>
          <w:sz w:val="17"/>
          <w:szCs w:val="17"/>
        </w:rPr>
        <w:t xml:space="preserve">Further, the United Kingdom’s decision to leave the EU has created uncertainty with regard to data protection regulation in the </w:t>
      </w:r>
      <w:r>
        <w:rPr>
          <w:rFonts w:ascii="Arial" w:eastAsia="Arial" w:hAnsi="Arial" w:cs="Arial"/>
          <w:sz w:val="17"/>
          <w:szCs w:val="17"/>
        </w:rPr>
        <w:t>United Kingdom. As of January 1, 2021, we are also subject to the UK GDPR and UK Data Protection Act of 2018, which retains the GDPR in the United Kingdom’s national law. These recent developments will require us to review and amend the legal mechanisms by</w:t>
      </w:r>
      <w:r>
        <w:rPr>
          <w:rFonts w:ascii="Arial" w:eastAsia="Arial" w:hAnsi="Arial" w:cs="Arial"/>
          <w:sz w:val="17"/>
          <w:szCs w:val="17"/>
        </w:rPr>
        <w:t xml:space="preserve"> which we make and/or receive personal data transfers. As supervisory authorities issue further guidance on personal data export mechanisms, including circumstances where the standard contractual clauses and other mechanisms cannot be used, and/or start ta</w:t>
      </w:r>
      <w:r>
        <w:rPr>
          <w:rFonts w:ascii="Arial" w:eastAsia="Arial" w:hAnsi="Arial" w:cs="Arial"/>
          <w:sz w:val="17"/>
          <w:szCs w:val="17"/>
        </w:rPr>
        <w:t>king enforcement action, we could suffer additional costs, complaints and/or regulatory investigations or fines, or if we are otherwise unable to transfer personal data between and among countries and regions in which we operate, it could affect the manner</w:t>
      </w:r>
      <w:r>
        <w:rPr>
          <w:rFonts w:ascii="Arial" w:eastAsia="Arial" w:hAnsi="Arial" w:cs="Arial"/>
          <w:sz w:val="17"/>
          <w:szCs w:val="17"/>
        </w:rPr>
        <w:t xml:space="preserve"> in which we do business, the geographical location or segregation of our relevant operations, and could adversely affect our financial results.</w:t>
      </w:r>
    </w:p>
    <w:p w14:paraId="63663943" w14:textId="77777777" w:rsidR="00D1587D" w:rsidRDefault="00D1587D">
      <w:pPr>
        <w:spacing w:line="77" w:lineRule="exact"/>
        <w:rPr>
          <w:sz w:val="20"/>
          <w:szCs w:val="20"/>
        </w:rPr>
      </w:pPr>
    </w:p>
    <w:p w14:paraId="63AFAAB6" w14:textId="77777777" w:rsidR="00D1587D" w:rsidRDefault="00410D07">
      <w:pPr>
        <w:spacing w:line="269" w:lineRule="auto"/>
        <w:ind w:left="300" w:right="319" w:firstLine="360"/>
        <w:rPr>
          <w:sz w:val="20"/>
          <w:szCs w:val="20"/>
        </w:rPr>
      </w:pPr>
      <w:r>
        <w:rPr>
          <w:rFonts w:ascii="Arial" w:eastAsia="Arial" w:hAnsi="Arial" w:cs="Arial"/>
          <w:sz w:val="17"/>
          <w:szCs w:val="17"/>
        </w:rPr>
        <w:t xml:space="preserve">All of these evolving compliance and operational requirements impose significant costs, such as costs related </w:t>
      </w:r>
      <w:r>
        <w:rPr>
          <w:rFonts w:ascii="Arial" w:eastAsia="Arial" w:hAnsi="Arial" w:cs="Arial"/>
          <w:sz w:val="17"/>
          <w:szCs w:val="17"/>
        </w:rPr>
        <w:t>to organizational changes, implementing additional protection technologies, training associates and engaging consultants, which are likely to increase over time. In addition, such requirements may require us to modify our data processing practices and poli</w:t>
      </w:r>
      <w:r>
        <w:rPr>
          <w:rFonts w:ascii="Arial" w:eastAsia="Arial" w:hAnsi="Arial" w:cs="Arial"/>
          <w:sz w:val="17"/>
          <w:szCs w:val="17"/>
        </w:rPr>
        <w:t>cies, distract management or divert resources from other initiatives and projects, all of which could have a material adverse effect on our results of operations, financial condition and cash flows. Any failure or perceived failure by us to comply with any</w:t>
      </w:r>
      <w:r>
        <w:rPr>
          <w:rFonts w:ascii="Arial" w:eastAsia="Arial" w:hAnsi="Arial" w:cs="Arial"/>
          <w:sz w:val="17"/>
          <w:szCs w:val="17"/>
        </w:rPr>
        <w:t xml:space="preserve"> applicable federal, state or similar foreign laws and regulations relating to data privacy and security could result in damage to our reputation and our relationship with our customers, as well as proceedings or litigation by governmental agencies or cust</w:t>
      </w:r>
      <w:r>
        <w:rPr>
          <w:rFonts w:ascii="Arial" w:eastAsia="Arial" w:hAnsi="Arial" w:cs="Arial"/>
          <w:sz w:val="17"/>
          <w:szCs w:val="17"/>
        </w:rPr>
        <w:t>omers, including class action privacy litigation in certain jurisdictions, which could subject us to significant fines, sanctions, awards, penalties or judgments, any of which could have a material adverse effect on our results of operations, financial con</w:t>
      </w:r>
      <w:r>
        <w:rPr>
          <w:rFonts w:ascii="Arial" w:eastAsia="Arial" w:hAnsi="Arial" w:cs="Arial"/>
          <w:sz w:val="17"/>
          <w:szCs w:val="17"/>
        </w:rPr>
        <w:t>dition and cash flows.</w:t>
      </w:r>
    </w:p>
    <w:p w14:paraId="6534ED1E" w14:textId="77777777" w:rsidR="00D1587D" w:rsidRDefault="00D1587D">
      <w:pPr>
        <w:spacing w:line="290" w:lineRule="exact"/>
        <w:rPr>
          <w:sz w:val="20"/>
          <w:szCs w:val="20"/>
        </w:rPr>
      </w:pPr>
    </w:p>
    <w:p w14:paraId="3A799268" w14:textId="77777777" w:rsidR="00D1587D" w:rsidRDefault="00410D07">
      <w:pPr>
        <w:ind w:left="660"/>
        <w:rPr>
          <w:sz w:val="20"/>
          <w:szCs w:val="20"/>
        </w:rPr>
      </w:pPr>
      <w:r>
        <w:rPr>
          <w:rFonts w:ascii="Arial" w:eastAsia="Arial" w:hAnsi="Arial" w:cs="Arial"/>
          <w:b/>
          <w:bCs/>
          <w:i/>
          <w:iCs/>
          <w:sz w:val="18"/>
          <w:szCs w:val="18"/>
        </w:rPr>
        <w:t>We may be impacted by our ability to comply with regulatory requirements.</w:t>
      </w:r>
    </w:p>
    <w:p w14:paraId="64F278F2" w14:textId="77777777" w:rsidR="00D1587D" w:rsidRDefault="00D1587D">
      <w:pPr>
        <w:spacing w:line="117" w:lineRule="exact"/>
        <w:rPr>
          <w:sz w:val="20"/>
          <w:szCs w:val="20"/>
        </w:rPr>
      </w:pPr>
    </w:p>
    <w:p w14:paraId="4516BB99" w14:textId="77777777" w:rsidR="00D1587D" w:rsidRDefault="00410D07">
      <w:pPr>
        <w:spacing w:line="271" w:lineRule="auto"/>
        <w:ind w:left="300" w:right="339" w:firstLine="360"/>
        <w:rPr>
          <w:sz w:val="20"/>
          <w:szCs w:val="20"/>
        </w:rPr>
      </w:pPr>
      <w:r>
        <w:rPr>
          <w:rFonts w:ascii="Arial" w:eastAsia="Arial" w:hAnsi="Arial" w:cs="Arial"/>
          <w:sz w:val="17"/>
          <w:szCs w:val="17"/>
        </w:rPr>
        <w:t>We are subject to numerous regulatory requirements. Our policies, procedures and internal controls are designed to comply with all applicable foreign and dom</w:t>
      </w:r>
      <w:r>
        <w:rPr>
          <w:rFonts w:ascii="Arial" w:eastAsia="Arial" w:hAnsi="Arial" w:cs="Arial"/>
          <w:sz w:val="17"/>
          <w:szCs w:val="17"/>
        </w:rPr>
        <w:t>estic laws and regulations, including those required by the Sarbanes-Oxley Act of 2002, the U.S. Foreign Corrupt Practices Act, the U.K. Bribery Act, the SEC and the New York Stock Exchange (the “NYSE”), among others. Although we have put in place policies</w:t>
      </w:r>
      <w:r>
        <w:rPr>
          <w:rFonts w:ascii="Arial" w:eastAsia="Arial" w:hAnsi="Arial" w:cs="Arial"/>
          <w:sz w:val="17"/>
          <w:szCs w:val="17"/>
        </w:rPr>
        <w:t xml:space="preserve"> and procedures aimed at ensuring legal and regulatory compliance, our associates, subcontractors, vendors, licensees, franchisees and other third parties could take actions that violate these laws and regulations. Any violations of such laws or regulation</w:t>
      </w:r>
      <w:r>
        <w:rPr>
          <w:rFonts w:ascii="Arial" w:eastAsia="Arial" w:hAnsi="Arial" w:cs="Arial"/>
          <w:sz w:val="17"/>
          <w:szCs w:val="17"/>
        </w:rPr>
        <w:t>s could have an adverse effect on our reputation, market price of our common stock, results of operations, financial condition and cash flows.</w:t>
      </w:r>
    </w:p>
    <w:p w14:paraId="1427B4B3" w14:textId="77777777" w:rsidR="00D1587D" w:rsidRDefault="00D1587D">
      <w:pPr>
        <w:spacing w:line="70" w:lineRule="exact"/>
        <w:rPr>
          <w:sz w:val="20"/>
          <w:szCs w:val="20"/>
        </w:rPr>
      </w:pPr>
    </w:p>
    <w:p w14:paraId="524C01E1" w14:textId="77777777" w:rsidR="00D1587D" w:rsidRDefault="00410D07">
      <w:pPr>
        <w:spacing w:line="293" w:lineRule="auto"/>
        <w:ind w:left="300" w:right="379" w:firstLine="360"/>
        <w:rPr>
          <w:sz w:val="20"/>
          <w:szCs w:val="20"/>
        </w:rPr>
      </w:pPr>
      <w:r>
        <w:rPr>
          <w:rFonts w:ascii="Arial" w:eastAsia="Arial" w:hAnsi="Arial" w:cs="Arial"/>
          <w:sz w:val="16"/>
          <w:szCs w:val="16"/>
        </w:rPr>
        <w:t>It can be difficult to comply with sometimes conflicting regulations in local, national or foreign jurisdictions</w:t>
      </w:r>
      <w:r>
        <w:rPr>
          <w:rFonts w:ascii="Arial" w:eastAsia="Arial" w:hAnsi="Arial" w:cs="Arial"/>
          <w:sz w:val="16"/>
          <w:szCs w:val="16"/>
        </w:rPr>
        <w:t xml:space="preserve"> as well as new or changing regulations. Also, changes in such laws could make operating our business more expensive or require us to change the way we do business. For example, changes in product safety or other consumer protection laws could lead to incr</w:t>
      </w:r>
      <w:r>
        <w:rPr>
          <w:rFonts w:ascii="Arial" w:eastAsia="Arial" w:hAnsi="Arial" w:cs="Arial"/>
          <w:sz w:val="16"/>
          <w:szCs w:val="16"/>
        </w:rPr>
        <w:t>eased costs for certain merchandise, or additional labor costs associated with readying merchandise for sale. It may be difficult for us to oversee regulatory changes impacting our business, and our responses to changes in the law could be costly and may n</w:t>
      </w:r>
      <w:r>
        <w:rPr>
          <w:rFonts w:ascii="Arial" w:eastAsia="Arial" w:hAnsi="Arial" w:cs="Arial"/>
          <w:sz w:val="16"/>
          <w:szCs w:val="16"/>
        </w:rPr>
        <w:t>egatively impact our operations.</w:t>
      </w:r>
    </w:p>
    <w:p w14:paraId="48F1002F" w14:textId="77777777" w:rsidR="00D1587D" w:rsidRDefault="00D1587D">
      <w:pPr>
        <w:spacing w:line="259" w:lineRule="exact"/>
        <w:rPr>
          <w:sz w:val="20"/>
          <w:szCs w:val="20"/>
        </w:rPr>
      </w:pPr>
    </w:p>
    <w:p w14:paraId="60A0F70B" w14:textId="77777777" w:rsidR="00D1587D" w:rsidRDefault="00410D07">
      <w:pPr>
        <w:ind w:left="660"/>
        <w:rPr>
          <w:sz w:val="20"/>
          <w:szCs w:val="20"/>
        </w:rPr>
      </w:pPr>
      <w:r>
        <w:rPr>
          <w:rFonts w:ascii="Arial" w:eastAsia="Arial" w:hAnsi="Arial" w:cs="Arial"/>
          <w:b/>
          <w:bCs/>
          <w:i/>
          <w:iCs/>
          <w:sz w:val="18"/>
          <w:szCs w:val="18"/>
        </w:rPr>
        <w:t>We may be adversely impacted by certain compliance or legal matters.</w:t>
      </w:r>
    </w:p>
    <w:p w14:paraId="1A325763" w14:textId="77777777" w:rsidR="00D1587D" w:rsidRDefault="00D1587D">
      <w:pPr>
        <w:spacing w:line="117" w:lineRule="exact"/>
        <w:rPr>
          <w:sz w:val="20"/>
          <w:szCs w:val="20"/>
        </w:rPr>
      </w:pPr>
    </w:p>
    <w:p w14:paraId="184F2425" w14:textId="77777777" w:rsidR="00D1587D" w:rsidRDefault="00410D07">
      <w:pPr>
        <w:spacing w:line="301" w:lineRule="auto"/>
        <w:ind w:left="300" w:right="459" w:firstLine="360"/>
        <w:rPr>
          <w:sz w:val="20"/>
          <w:szCs w:val="20"/>
        </w:rPr>
      </w:pPr>
      <w:r>
        <w:rPr>
          <w:rFonts w:ascii="Arial" w:eastAsia="Arial" w:hAnsi="Arial" w:cs="Arial"/>
          <w:sz w:val="16"/>
          <w:szCs w:val="16"/>
        </w:rPr>
        <w:t xml:space="preserve">We, along with third parties we do business with, are subject to complex compliance and litigation risks. Actions filed against us from time to time </w:t>
      </w:r>
      <w:r>
        <w:rPr>
          <w:rFonts w:ascii="Arial" w:eastAsia="Arial" w:hAnsi="Arial" w:cs="Arial"/>
          <w:sz w:val="16"/>
          <w:szCs w:val="16"/>
        </w:rPr>
        <w:t>include commercial, tort, intellectual property, customer, employment, wage and hour, data privacy, securities, anti-corruption and other claims, including purported class action lawsuits. In addition, notwithstanding our adoption of CDC-recommended guidel</w:t>
      </w:r>
      <w:r>
        <w:rPr>
          <w:rFonts w:ascii="Arial" w:eastAsia="Arial" w:hAnsi="Arial" w:cs="Arial"/>
          <w:sz w:val="16"/>
          <w:szCs w:val="16"/>
        </w:rPr>
        <w:t>ines and preventative efforts to</w:t>
      </w:r>
    </w:p>
    <w:p w14:paraId="2F2A553E" w14:textId="77777777" w:rsidR="00D1587D" w:rsidRDefault="00D1587D">
      <w:pPr>
        <w:spacing w:line="157" w:lineRule="exact"/>
        <w:rPr>
          <w:sz w:val="20"/>
          <w:szCs w:val="20"/>
        </w:rPr>
      </w:pPr>
    </w:p>
    <w:p w14:paraId="0614EF0A" w14:textId="77777777" w:rsidR="00D1587D" w:rsidRDefault="00410D07">
      <w:pPr>
        <w:jc w:val="center"/>
        <w:rPr>
          <w:sz w:val="20"/>
          <w:szCs w:val="20"/>
        </w:rPr>
      </w:pPr>
      <w:r>
        <w:rPr>
          <w:rFonts w:ascii="Arial" w:eastAsia="Arial" w:hAnsi="Arial" w:cs="Arial"/>
          <w:sz w:val="18"/>
          <w:szCs w:val="18"/>
        </w:rPr>
        <w:t>35</w:t>
      </w:r>
    </w:p>
    <w:p w14:paraId="6C22F8FE" w14:textId="77777777" w:rsidR="00D1587D" w:rsidRDefault="00410D07">
      <w:pPr>
        <w:spacing w:line="20" w:lineRule="exact"/>
        <w:rPr>
          <w:sz w:val="20"/>
          <w:szCs w:val="20"/>
        </w:rPr>
      </w:pPr>
      <w:r>
        <w:rPr>
          <w:noProof/>
          <w:sz w:val="20"/>
          <w:szCs w:val="20"/>
        </w:rPr>
        <w:drawing>
          <wp:anchor distT="0" distB="0" distL="114300" distR="114300" simplePos="0" relativeHeight="251478016" behindDoc="1" locked="0" layoutInCell="0" allowOverlap="1" wp14:anchorId="55E30EA7" wp14:editId="02B5F6A9">
            <wp:simplePos x="0" y="0"/>
            <wp:positionH relativeFrom="column">
              <wp:posOffset>-636905</wp:posOffset>
            </wp:positionH>
            <wp:positionV relativeFrom="paragraph">
              <wp:posOffset>126365</wp:posOffset>
            </wp:positionV>
            <wp:extent cx="6995160" cy="1714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4B7287B" w14:textId="77777777" w:rsidR="00D1587D" w:rsidRDefault="00D1587D">
      <w:pPr>
        <w:sectPr w:rsidR="00D1587D">
          <w:pgSz w:w="11900" w:h="16838"/>
          <w:pgMar w:top="265" w:right="1440" w:bottom="1440" w:left="1440" w:header="0" w:footer="0" w:gutter="0"/>
          <w:cols w:space="720" w:equalWidth="0">
            <w:col w:w="9019"/>
          </w:cols>
        </w:sectPr>
      </w:pPr>
    </w:p>
    <w:bookmarkStart w:id="293" w:name="page294"/>
    <w:bookmarkEnd w:id="293"/>
    <w:p w14:paraId="5198A21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78E4688" w14:textId="77777777" w:rsidR="00D1587D" w:rsidRDefault="00D1587D">
      <w:pPr>
        <w:spacing w:line="131" w:lineRule="exact"/>
        <w:rPr>
          <w:sz w:val="20"/>
          <w:szCs w:val="20"/>
        </w:rPr>
      </w:pPr>
    </w:p>
    <w:p w14:paraId="5834BFDF" w14:textId="77777777" w:rsidR="00D1587D" w:rsidRDefault="00410D07">
      <w:pPr>
        <w:spacing w:line="254" w:lineRule="auto"/>
        <w:ind w:left="300" w:right="299"/>
        <w:rPr>
          <w:sz w:val="20"/>
          <w:szCs w:val="20"/>
        </w:rPr>
      </w:pPr>
      <w:r>
        <w:rPr>
          <w:rFonts w:ascii="Arial" w:eastAsia="Arial" w:hAnsi="Arial" w:cs="Arial"/>
          <w:sz w:val="18"/>
          <w:szCs w:val="18"/>
        </w:rPr>
        <w:t>ensure the health and safety of our customers and employees, it is possible that our customers and employees may contract COVID-19 while at our stores o</w:t>
      </w:r>
      <w:r>
        <w:rPr>
          <w:rFonts w:ascii="Arial" w:eastAsia="Arial" w:hAnsi="Arial" w:cs="Arial"/>
          <w:sz w:val="18"/>
          <w:szCs w:val="18"/>
        </w:rPr>
        <w:t>r facilities, which could subject us to litigation. The cost of defending against these types of claims against us or the ultimate resolution of such claims, whether by settlement or adverse court decision, may harm our business. Further, potential claiman</w:t>
      </w:r>
      <w:r>
        <w:rPr>
          <w:rFonts w:ascii="Arial" w:eastAsia="Arial" w:hAnsi="Arial" w:cs="Arial"/>
          <w:sz w:val="18"/>
          <w:szCs w:val="18"/>
        </w:rPr>
        <w:t>ts may be encouraged to bring suits based on a settlement from us or adverse court decisions against us. We cannot currently assess the likely outcome of such suits, but if the outcome were negative, it could have a material adverse effect on our reputatio</w:t>
      </w:r>
      <w:r>
        <w:rPr>
          <w:rFonts w:ascii="Arial" w:eastAsia="Arial" w:hAnsi="Arial" w:cs="Arial"/>
          <w:sz w:val="18"/>
          <w:szCs w:val="18"/>
        </w:rPr>
        <w:t>n, results of operations, financial condition and cash flows.</w:t>
      </w:r>
    </w:p>
    <w:p w14:paraId="7AB1C080" w14:textId="77777777" w:rsidR="00D1587D" w:rsidRDefault="00D1587D">
      <w:pPr>
        <w:spacing w:line="87" w:lineRule="exact"/>
        <w:rPr>
          <w:sz w:val="20"/>
          <w:szCs w:val="20"/>
        </w:rPr>
      </w:pPr>
    </w:p>
    <w:p w14:paraId="1032DD52" w14:textId="77777777" w:rsidR="00D1587D" w:rsidRDefault="00410D07">
      <w:pPr>
        <w:spacing w:line="263" w:lineRule="auto"/>
        <w:ind w:left="300" w:right="459" w:firstLine="360"/>
        <w:rPr>
          <w:sz w:val="20"/>
          <w:szCs w:val="20"/>
        </w:rPr>
      </w:pPr>
      <w:r>
        <w:rPr>
          <w:rFonts w:ascii="Arial" w:eastAsia="Arial" w:hAnsi="Arial" w:cs="Arial"/>
          <w:sz w:val="18"/>
          <w:szCs w:val="18"/>
        </w:rPr>
        <w:t>In addition, we may be impacted by litigation trends, including class action lawsuits involving consumers and shareholders, that could have a material adverse effect on our reputation, the mark</w:t>
      </w:r>
      <w:r>
        <w:rPr>
          <w:rFonts w:ascii="Arial" w:eastAsia="Arial" w:hAnsi="Arial" w:cs="Arial"/>
          <w:sz w:val="18"/>
          <w:szCs w:val="18"/>
        </w:rPr>
        <w:t>et price of our common stock, results of operations, financial condition and cash flows.</w:t>
      </w:r>
    </w:p>
    <w:p w14:paraId="0A615F25" w14:textId="77777777" w:rsidR="00D1587D" w:rsidRDefault="00D1587D">
      <w:pPr>
        <w:spacing w:line="319" w:lineRule="exact"/>
        <w:rPr>
          <w:sz w:val="20"/>
          <w:szCs w:val="20"/>
        </w:rPr>
      </w:pPr>
    </w:p>
    <w:p w14:paraId="548BC570" w14:textId="77777777" w:rsidR="00D1587D" w:rsidRDefault="00410D07">
      <w:pPr>
        <w:ind w:left="660"/>
        <w:rPr>
          <w:sz w:val="20"/>
          <w:szCs w:val="20"/>
        </w:rPr>
      </w:pPr>
      <w:r>
        <w:rPr>
          <w:rFonts w:ascii="Arial" w:eastAsia="Arial" w:hAnsi="Arial" w:cs="Arial"/>
          <w:b/>
          <w:bCs/>
          <w:i/>
          <w:iCs/>
          <w:sz w:val="18"/>
          <w:szCs w:val="18"/>
        </w:rPr>
        <w:t>We may be impacted by changes in taxation, trade and other regulatory requirements.</w:t>
      </w:r>
    </w:p>
    <w:p w14:paraId="11223FF8" w14:textId="77777777" w:rsidR="00D1587D" w:rsidRDefault="00D1587D">
      <w:pPr>
        <w:spacing w:line="117" w:lineRule="exact"/>
        <w:rPr>
          <w:sz w:val="20"/>
          <w:szCs w:val="20"/>
        </w:rPr>
      </w:pPr>
    </w:p>
    <w:p w14:paraId="69FCBE3F" w14:textId="77777777" w:rsidR="00D1587D" w:rsidRDefault="00410D07">
      <w:pPr>
        <w:spacing w:line="254" w:lineRule="auto"/>
        <w:ind w:left="300" w:right="299" w:firstLine="360"/>
        <w:rPr>
          <w:sz w:val="20"/>
          <w:szCs w:val="20"/>
        </w:rPr>
      </w:pPr>
      <w:r>
        <w:rPr>
          <w:rFonts w:ascii="Arial" w:eastAsia="Arial" w:hAnsi="Arial" w:cs="Arial"/>
          <w:sz w:val="18"/>
          <w:szCs w:val="18"/>
        </w:rPr>
        <w:t xml:space="preserve">We are subject to income tax in local, national and international </w:t>
      </w:r>
      <w:r>
        <w:rPr>
          <w:rFonts w:ascii="Arial" w:eastAsia="Arial" w:hAnsi="Arial" w:cs="Arial"/>
          <w:sz w:val="18"/>
          <w:szCs w:val="18"/>
        </w:rPr>
        <w:t>jurisdictions. In addition, our products are subject to import and excise duties and/or sales or value-added taxes in many jurisdictions. We are also subject to the examination of our tax returns and other tax matters by the Internal Revenue Service and ot</w:t>
      </w:r>
      <w:r>
        <w:rPr>
          <w:rFonts w:ascii="Arial" w:eastAsia="Arial" w:hAnsi="Arial" w:cs="Arial"/>
          <w:sz w:val="18"/>
          <w:szCs w:val="18"/>
        </w:rPr>
        <w:t>her tax authorities and governmental bodies. We plan to regularly assess the likelihood of an adverse outcome resulting from these examinations to determine the adequacy of our provision for taxes. There can be no assurance as to the outcome of these exami</w:t>
      </w:r>
      <w:r>
        <w:rPr>
          <w:rFonts w:ascii="Arial" w:eastAsia="Arial" w:hAnsi="Arial" w:cs="Arial"/>
          <w:sz w:val="18"/>
          <w:szCs w:val="18"/>
        </w:rPr>
        <w:t>nations. Fluctuations in tax rates and duties, changes in tax legislation or regulation or adverse outcomes of these examinations could have a material adverse effect on our results of operations, financial condition and cash flows.</w:t>
      </w:r>
    </w:p>
    <w:p w14:paraId="201B56B9" w14:textId="77777777" w:rsidR="00D1587D" w:rsidRDefault="00D1587D">
      <w:pPr>
        <w:spacing w:line="84" w:lineRule="exact"/>
        <w:rPr>
          <w:sz w:val="20"/>
          <w:szCs w:val="20"/>
        </w:rPr>
      </w:pPr>
    </w:p>
    <w:p w14:paraId="53DAB6E5" w14:textId="77777777" w:rsidR="00D1587D" w:rsidRDefault="00410D07">
      <w:pPr>
        <w:spacing w:line="257" w:lineRule="auto"/>
        <w:ind w:left="300" w:right="599" w:firstLine="360"/>
        <w:rPr>
          <w:sz w:val="20"/>
          <w:szCs w:val="20"/>
        </w:rPr>
      </w:pPr>
      <w:r>
        <w:rPr>
          <w:rFonts w:ascii="Arial" w:eastAsia="Arial" w:hAnsi="Arial" w:cs="Arial"/>
          <w:sz w:val="18"/>
          <w:szCs w:val="18"/>
        </w:rPr>
        <w:t xml:space="preserve">There is </w:t>
      </w:r>
      <w:r>
        <w:rPr>
          <w:rFonts w:ascii="Arial" w:eastAsia="Arial" w:hAnsi="Arial" w:cs="Arial"/>
          <w:sz w:val="18"/>
          <w:szCs w:val="18"/>
        </w:rPr>
        <w:t>increased uncertainty with respect to tax policy and trade relations between the U.S. and other countries, including as a result of any executive action taken or legislative priorities set by the current Biden administration. Major developments in tax poli</w:t>
      </w:r>
      <w:r>
        <w:rPr>
          <w:rFonts w:ascii="Arial" w:eastAsia="Arial" w:hAnsi="Arial" w:cs="Arial"/>
          <w:sz w:val="18"/>
          <w:szCs w:val="18"/>
        </w:rPr>
        <w:t>cy or trade relations, such as the imposition of unilateral tariffs on imported products, could have a material adverse effect on our results of operations, financial condition and cash flows.</w:t>
      </w:r>
    </w:p>
    <w:p w14:paraId="08A7582B" w14:textId="77777777" w:rsidR="00D1587D" w:rsidRDefault="00D1587D">
      <w:pPr>
        <w:spacing w:line="305" w:lineRule="exact"/>
        <w:rPr>
          <w:sz w:val="20"/>
          <w:szCs w:val="20"/>
        </w:rPr>
      </w:pPr>
    </w:p>
    <w:p w14:paraId="16EE2F75" w14:textId="77777777" w:rsidR="00D1587D" w:rsidRDefault="00410D07">
      <w:pPr>
        <w:ind w:left="300"/>
        <w:rPr>
          <w:sz w:val="20"/>
          <w:szCs w:val="20"/>
        </w:rPr>
      </w:pPr>
      <w:r>
        <w:rPr>
          <w:rFonts w:ascii="Arial" w:eastAsia="Arial" w:hAnsi="Arial" w:cs="Arial"/>
          <w:b/>
          <w:bCs/>
          <w:sz w:val="18"/>
          <w:szCs w:val="18"/>
        </w:rPr>
        <w:t>Risks Relating to Our Common Stock</w:t>
      </w:r>
    </w:p>
    <w:p w14:paraId="4A9F5A12" w14:textId="77777777" w:rsidR="00D1587D" w:rsidRDefault="00D1587D">
      <w:pPr>
        <w:spacing w:line="121" w:lineRule="exact"/>
        <w:rPr>
          <w:sz w:val="20"/>
          <w:szCs w:val="20"/>
        </w:rPr>
      </w:pPr>
    </w:p>
    <w:p w14:paraId="5E4F31B7" w14:textId="77777777" w:rsidR="00D1587D" w:rsidRDefault="00410D07">
      <w:pPr>
        <w:spacing w:line="263" w:lineRule="auto"/>
        <w:ind w:left="300" w:right="439" w:firstLine="360"/>
        <w:jc w:val="both"/>
        <w:rPr>
          <w:sz w:val="20"/>
          <w:szCs w:val="20"/>
        </w:rPr>
      </w:pPr>
      <w:r>
        <w:rPr>
          <w:rFonts w:ascii="Arial" w:eastAsia="Arial" w:hAnsi="Arial" w:cs="Arial"/>
          <w:b/>
          <w:bCs/>
          <w:i/>
          <w:iCs/>
          <w:sz w:val="18"/>
          <w:szCs w:val="18"/>
        </w:rPr>
        <w:t>Because there has not been</w:t>
      </w:r>
      <w:r>
        <w:rPr>
          <w:rFonts w:ascii="Arial" w:eastAsia="Arial" w:hAnsi="Arial" w:cs="Arial"/>
          <w:b/>
          <w:bCs/>
          <w:i/>
          <w:iCs/>
          <w:sz w:val="18"/>
          <w:szCs w:val="18"/>
        </w:rPr>
        <w:t xml:space="preserve"> any public market for our common stock, the market price and trading volume of our common stock may be volatile and you may not be able to resell your shares at or above the initial market price of our common stock following the Separation.</w:t>
      </w:r>
    </w:p>
    <w:p w14:paraId="1F3316C5" w14:textId="77777777" w:rsidR="00D1587D" w:rsidRDefault="00D1587D">
      <w:pPr>
        <w:spacing w:line="76" w:lineRule="exact"/>
        <w:rPr>
          <w:sz w:val="20"/>
          <w:szCs w:val="20"/>
        </w:rPr>
      </w:pPr>
    </w:p>
    <w:p w14:paraId="05FD3C84" w14:textId="77777777" w:rsidR="00D1587D" w:rsidRDefault="00410D07">
      <w:pPr>
        <w:spacing w:line="279" w:lineRule="auto"/>
        <w:ind w:left="300" w:right="459" w:firstLine="360"/>
        <w:rPr>
          <w:sz w:val="20"/>
          <w:szCs w:val="20"/>
        </w:rPr>
      </w:pPr>
      <w:r>
        <w:rPr>
          <w:rFonts w:ascii="Arial" w:eastAsia="Arial" w:hAnsi="Arial" w:cs="Arial"/>
          <w:sz w:val="17"/>
          <w:szCs w:val="17"/>
        </w:rPr>
        <w:t xml:space="preserve">Prior to the </w:t>
      </w:r>
      <w:r>
        <w:rPr>
          <w:rFonts w:ascii="Arial" w:eastAsia="Arial" w:hAnsi="Arial" w:cs="Arial"/>
          <w:sz w:val="17"/>
          <w:szCs w:val="17"/>
        </w:rPr>
        <w:t>Separation, there will have been no trading market for shares of our common stock. An active trading market may not develop or be sustained for our common stock after the Separation, and we cannot predict the prices at which our common stock will trade aft</w:t>
      </w:r>
      <w:r>
        <w:rPr>
          <w:rFonts w:ascii="Arial" w:eastAsia="Arial" w:hAnsi="Arial" w:cs="Arial"/>
          <w:sz w:val="17"/>
          <w:szCs w:val="17"/>
        </w:rPr>
        <w:t>er the Separation. The market price of our common stock could fluctuate significantly due to a number of factors, many of which are beyond our control, including:</w:t>
      </w:r>
    </w:p>
    <w:p w14:paraId="5F07493A" w14:textId="77777777" w:rsidR="00D1587D" w:rsidRDefault="00D1587D">
      <w:pPr>
        <w:spacing w:line="63" w:lineRule="exact"/>
        <w:rPr>
          <w:sz w:val="20"/>
          <w:szCs w:val="20"/>
        </w:rPr>
      </w:pPr>
    </w:p>
    <w:p w14:paraId="35911588" w14:textId="77777777" w:rsidR="00D1587D" w:rsidRDefault="00410D07" w:rsidP="00410D07">
      <w:pPr>
        <w:numPr>
          <w:ilvl w:val="0"/>
          <w:numId w:val="250"/>
        </w:numPr>
        <w:tabs>
          <w:tab w:val="left" w:pos="1000"/>
        </w:tabs>
        <w:ind w:left="1000" w:hanging="348"/>
        <w:rPr>
          <w:rFonts w:ascii="Arial" w:eastAsia="Arial" w:hAnsi="Arial" w:cs="Arial"/>
          <w:sz w:val="17"/>
          <w:szCs w:val="17"/>
        </w:rPr>
      </w:pPr>
      <w:r>
        <w:rPr>
          <w:rFonts w:ascii="Arial" w:eastAsia="Arial" w:hAnsi="Arial" w:cs="Arial"/>
          <w:sz w:val="17"/>
          <w:szCs w:val="17"/>
        </w:rPr>
        <w:t xml:space="preserve">Fluctuations in our quarterly or annual earnings results or those of other companies in our </w:t>
      </w:r>
      <w:r>
        <w:rPr>
          <w:rFonts w:ascii="Arial" w:eastAsia="Arial" w:hAnsi="Arial" w:cs="Arial"/>
          <w:sz w:val="17"/>
          <w:szCs w:val="17"/>
        </w:rPr>
        <w:t>industry;</w:t>
      </w:r>
    </w:p>
    <w:p w14:paraId="19F3C59F" w14:textId="77777777" w:rsidR="00D1587D" w:rsidRDefault="00D1587D">
      <w:pPr>
        <w:spacing w:line="128" w:lineRule="exact"/>
        <w:rPr>
          <w:rFonts w:ascii="Arial" w:eastAsia="Arial" w:hAnsi="Arial" w:cs="Arial"/>
          <w:sz w:val="17"/>
          <w:szCs w:val="17"/>
        </w:rPr>
      </w:pPr>
    </w:p>
    <w:p w14:paraId="37F1159E" w14:textId="77777777" w:rsidR="00D1587D" w:rsidRDefault="00410D07" w:rsidP="00410D07">
      <w:pPr>
        <w:numPr>
          <w:ilvl w:val="0"/>
          <w:numId w:val="250"/>
        </w:numPr>
        <w:tabs>
          <w:tab w:val="left" w:pos="1000"/>
        </w:tabs>
        <w:spacing w:line="308" w:lineRule="auto"/>
        <w:ind w:left="1000" w:right="739" w:hanging="348"/>
        <w:rPr>
          <w:rFonts w:ascii="Arial" w:eastAsia="Arial" w:hAnsi="Arial" w:cs="Arial"/>
          <w:sz w:val="17"/>
          <w:szCs w:val="17"/>
        </w:rPr>
      </w:pPr>
      <w:r>
        <w:rPr>
          <w:rFonts w:ascii="Arial" w:eastAsia="Arial" w:hAnsi="Arial" w:cs="Arial"/>
          <w:sz w:val="17"/>
          <w:szCs w:val="17"/>
        </w:rPr>
        <w:t>Failures of our operating results to meet the estimates of securities analysts or the expectations of our stockholders, or changes by securities analysts in their estimates of our future earnings;</w:t>
      </w:r>
    </w:p>
    <w:p w14:paraId="36D7125C" w14:textId="77777777" w:rsidR="00D1587D" w:rsidRDefault="00D1587D">
      <w:pPr>
        <w:spacing w:line="38" w:lineRule="exact"/>
        <w:rPr>
          <w:rFonts w:ascii="Arial" w:eastAsia="Arial" w:hAnsi="Arial" w:cs="Arial"/>
          <w:sz w:val="17"/>
          <w:szCs w:val="17"/>
        </w:rPr>
      </w:pPr>
    </w:p>
    <w:p w14:paraId="73E82398" w14:textId="77777777" w:rsidR="00D1587D" w:rsidRDefault="00410D07" w:rsidP="00410D07">
      <w:pPr>
        <w:numPr>
          <w:ilvl w:val="0"/>
          <w:numId w:val="250"/>
        </w:numPr>
        <w:tabs>
          <w:tab w:val="left" w:pos="1000"/>
        </w:tabs>
        <w:ind w:left="1000" w:hanging="348"/>
        <w:rPr>
          <w:rFonts w:ascii="Arial" w:eastAsia="Arial" w:hAnsi="Arial" w:cs="Arial"/>
          <w:sz w:val="18"/>
          <w:szCs w:val="18"/>
        </w:rPr>
      </w:pPr>
      <w:r>
        <w:rPr>
          <w:rFonts w:ascii="Arial" w:eastAsia="Arial" w:hAnsi="Arial" w:cs="Arial"/>
          <w:sz w:val="18"/>
          <w:szCs w:val="18"/>
        </w:rPr>
        <w:t>Announcements by us or our customers, suppliers</w:t>
      </w:r>
      <w:r>
        <w:rPr>
          <w:rFonts w:ascii="Arial" w:eastAsia="Arial" w:hAnsi="Arial" w:cs="Arial"/>
          <w:sz w:val="18"/>
          <w:szCs w:val="18"/>
        </w:rPr>
        <w:t xml:space="preserve"> or competitors;</w:t>
      </w:r>
    </w:p>
    <w:p w14:paraId="2BAA65B2" w14:textId="77777777" w:rsidR="00D1587D" w:rsidRDefault="00D1587D">
      <w:pPr>
        <w:spacing w:line="117" w:lineRule="exact"/>
        <w:rPr>
          <w:rFonts w:ascii="Arial" w:eastAsia="Arial" w:hAnsi="Arial" w:cs="Arial"/>
          <w:sz w:val="18"/>
          <w:szCs w:val="18"/>
        </w:rPr>
      </w:pPr>
    </w:p>
    <w:p w14:paraId="430C31A9" w14:textId="77777777" w:rsidR="00D1587D" w:rsidRDefault="00410D07" w:rsidP="00410D07">
      <w:pPr>
        <w:numPr>
          <w:ilvl w:val="0"/>
          <w:numId w:val="250"/>
        </w:numPr>
        <w:tabs>
          <w:tab w:val="left" w:pos="1000"/>
        </w:tabs>
        <w:ind w:left="1000" w:hanging="348"/>
        <w:rPr>
          <w:rFonts w:ascii="Arial" w:eastAsia="Arial" w:hAnsi="Arial" w:cs="Arial"/>
          <w:sz w:val="18"/>
          <w:szCs w:val="18"/>
        </w:rPr>
      </w:pPr>
      <w:r>
        <w:rPr>
          <w:rFonts w:ascii="Arial" w:eastAsia="Arial" w:hAnsi="Arial" w:cs="Arial"/>
          <w:sz w:val="18"/>
          <w:szCs w:val="18"/>
        </w:rPr>
        <w:t>Changes in market valuations or earnings of other companies in our industry;</w:t>
      </w:r>
    </w:p>
    <w:p w14:paraId="45D9EB9F" w14:textId="77777777" w:rsidR="00D1587D" w:rsidRDefault="00D1587D">
      <w:pPr>
        <w:spacing w:line="117" w:lineRule="exact"/>
        <w:rPr>
          <w:rFonts w:ascii="Arial" w:eastAsia="Arial" w:hAnsi="Arial" w:cs="Arial"/>
          <w:sz w:val="18"/>
          <w:szCs w:val="18"/>
        </w:rPr>
      </w:pPr>
    </w:p>
    <w:p w14:paraId="54311AB0" w14:textId="77777777" w:rsidR="00D1587D" w:rsidRDefault="00410D07" w:rsidP="00410D07">
      <w:pPr>
        <w:numPr>
          <w:ilvl w:val="0"/>
          <w:numId w:val="250"/>
        </w:numPr>
        <w:tabs>
          <w:tab w:val="left" w:pos="1000"/>
        </w:tabs>
        <w:ind w:left="1000" w:hanging="348"/>
        <w:rPr>
          <w:rFonts w:ascii="Arial" w:eastAsia="Arial" w:hAnsi="Arial" w:cs="Arial"/>
          <w:sz w:val="18"/>
          <w:szCs w:val="18"/>
        </w:rPr>
      </w:pPr>
      <w:r>
        <w:rPr>
          <w:rFonts w:ascii="Arial" w:eastAsia="Arial" w:hAnsi="Arial" w:cs="Arial"/>
          <w:sz w:val="18"/>
          <w:szCs w:val="18"/>
        </w:rPr>
        <w:t>Changes in laws or regulations which adversely affect our industry or us;</w:t>
      </w:r>
    </w:p>
    <w:p w14:paraId="7AD9A94D" w14:textId="77777777" w:rsidR="00D1587D" w:rsidRDefault="00D1587D">
      <w:pPr>
        <w:spacing w:line="117" w:lineRule="exact"/>
        <w:rPr>
          <w:rFonts w:ascii="Arial" w:eastAsia="Arial" w:hAnsi="Arial" w:cs="Arial"/>
          <w:sz w:val="18"/>
          <w:szCs w:val="18"/>
        </w:rPr>
      </w:pPr>
    </w:p>
    <w:p w14:paraId="0B40E73C" w14:textId="77777777" w:rsidR="00D1587D" w:rsidRDefault="00410D07" w:rsidP="00410D07">
      <w:pPr>
        <w:numPr>
          <w:ilvl w:val="0"/>
          <w:numId w:val="250"/>
        </w:numPr>
        <w:tabs>
          <w:tab w:val="left" w:pos="1000"/>
        </w:tabs>
        <w:ind w:left="1000" w:hanging="348"/>
        <w:rPr>
          <w:rFonts w:ascii="Arial" w:eastAsia="Arial" w:hAnsi="Arial" w:cs="Arial"/>
          <w:sz w:val="18"/>
          <w:szCs w:val="18"/>
        </w:rPr>
      </w:pPr>
      <w:r>
        <w:rPr>
          <w:rFonts w:ascii="Arial" w:eastAsia="Arial" w:hAnsi="Arial" w:cs="Arial"/>
          <w:sz w:val="18"/>
          <w:szCs w:val="18"/>
        </w:rPr>
        <w:t>General economic, industry and stock market conditions;</w:t>
      </w:r>
    </w:p>
    <w:p w14:paraId="53F3B0CD" w14:textId="77777777" w:rsidR="00D1587D" w:rsidRDefault="00D1587D">
      <w:pPr>
        <w:spacing w:line="117" w:lineRule="exact"/>
        <w:rPr>
          <w:rFonts w:ascii="Arial" w:eastAsia="Arial" w:hAnsi="Arial" w:cs="Arial"/>
          <w:sz w:val="18"/>
          <w:szCs w:val="18"/>
        </w:rPr>
      </w:pPr>
    </w:p>
    <w:p w14:paraId="46D297AB" w14:textId="77777777" w:rsidR="00D1587D" w:rsidRDefault="00410D07" w:rsidP="00410D07">
      <w:pPr>
        <w:numPr>
          <w:ilvl w:val="0"/>
          <w:numId w:val="250"/>
        </w:numPr>
        <w:tabs>
          <w:tab w:val="left" w:pos="1000"/>
        </w:tabs>
        <w:spacing w:line="277" w:lineRule="auto"/>
        <w:ind w:left="1000" w:right="479" w:hanging="348"/>
        <w:rPr>
          <w:rFonts w:ascii="Arial" w:eastAsia="Arial" w:hAnsi="Arial" w:cs="Arial"/>
          <w:sz w:val="18"/>
          <w:szCs w:val="18"/>
        </w:rPr>
      </w:pPr>
      <w:r>
        <w:rPr>
          <w:rFonts w:ascii="Arial" w:eastAsia="Arial" w:hAnsi="Arial" w:cs="Arial"/>
          <w:sz w:val="18"/>
          <w:szCs w:val="18"/>
        </w:rPr>
        <w:t xml:space="preserve">Future </w:t>
      </w:r>
      <w:r>
        <w:rPr>
          <w:rFonts w:ascii="Arial" w:eastAsia="Arial" w:hAnsi="Arial" w:cs="Arial"/>
          <w:sz w:val="18"/>
          <w:szCs w:val="18"/>
        </w:rPr>
        <w:t>significant sales of our common stock by our stockholders or the perception in the market of such sales;</w:t>
      </w:r>
    </w:p>
    <w:p w14:paraId="181143E1" w14:textId="77777777" w:rsidR="00D1587D" w:rsidRDefault="00D1587D">
      <w:pPr>
        <w:spacing w:line="62" w:lineRule="exact"/>
        <w:rPr>
          <w:rFonts w:ascii="Arial" w:eastAsia="Arial" w:hAnsi="Arial" w:cs="Arial"/>
          <w:sz w:val="18"/>
          <w:szCs w:val="18"/>
        </w:rPr>
      </w:pPr>
    </w:p>
    <w:p w14:paraId="6965D086" w14:textId="77777777" w:rsidR="00D1587D" w:rsidRDefault="00410D07" w:rsidP="00410D07">
      <w:pPr>
        <w:numPr>
          <w:ilvl w:val="0"/>
          <w:numId w:val="250"/>
        </w:numPr>
        <w:tabs>
          <w:tab w:val="left" w:pos="1000"/>
        </w:tabs>
        <w:ind w:left="1000" w:hanging="348"/>
        <w:rPr>
          <w:rFonts w:ascii="Arial" w:eastAsia="Arial" w:hAnsi="Arial" w:cs="Arial"/>
          <w:sz w:val="18"/>
          <w:szCs w:val="18"/>
        </w:rPr>
      </w:pPr>
      <w:r>
        <w:rPr>
          <w:rFonts w:ascii="Arial" w:eastAsia="Arial" w:hAnsi="Arial" w:cs="Arial"/>
          <w:sz w:val="18"/>
          <w:szCs w:val="18"/>
        </w:rPr>
        <w:t>Future issuances of our common stock by us; and</w:t>
      </w:r>
    </w:p>
    <w:p w14:paraId="01FD90F5" w14:textId="77777777" w:rsidR="00D1587D" w:rsidRDefault="00D1587D">
      <w:pPr>
        <w:spacing w:line="117" w:lineRule="exact"/>
        <w:rPr>
          <w:rFonts w:ascii="Arial" w:eastAsia="Arial" w:hAnsi="Arial" w:cs="Arial"/>
          <w:sz w:val="18"/>
          <w:szCs w:val="18"/>
        </w:rPr>
      </w:pPr>
    </w:p>
    <w:p w14:paraId="77AEA62C" w14:textId="77777777" w:rsidR="00D1587D" w:rsidRDefault="00410D07" w:rsidP="00410D07">
      <w:pPr>
        <w:numPr>
          <w:ilvl w:val="0"/>
          <w:numId w:val="250"/>
        </w:numPr>
        <w:tabs>
          <w:tab w:val="left" w:pos="1000"/>
        </w:tabs>
        <w:ind w:left="1000" w:hanging="348"/>
        <w:rPr>
          <w:rFonts w:ascii="Arial" w:eastAsia="Arial" w:hAnsi="Arial" w:cs="Arial"/>
          <w:sz w:val="18"/>
          <w:szCs w:val="18"/>
        </w:rPr>
      </w:pPr>
      <w:r>
        <w:rPr>
          <w:rFonts w:ascii="Arial" w:eastAsia="Arial" w:hAnsi="Arial" w:cs="Arial"/>
          <w:sz w:val="18"/>
          <w:szCs w:val="18"/>
        </w:rPr>
        <w:t>The other factors described in these “Risk Factors” and elsewhere in this information statement.</w:t>
      </w:r>
    </w:p>
    <w:p w14:paraId="0229D569" w14:textId="77777777" w:rsidR="00D1587D" w:rsidRDefault="00D1587D">
      <w:pPr>
        <w:spacing w:line="117" w:lineRule="exact"/>
        <w:rPr>
          <w:sz w:val="20"/>
          <w:szCs w:val="20"/>
        </w:rPr>
      </w:pPr>
    </w:p>
    <w:p w14:paraId="19ECC515" w14:textId="77777777" w:rsidR="00D1587D" w:rsidRDefault="00410D07">
      <w:pPr>
        <w:spacing w:line="311" w:lineRule="auto"/>
        <w:ind w:left="300" w:right="699" w:firstLine="360"/>
        <w:rPr>
          <w:sz w:val="20"/>
          <w:szCs w:val="20"/>
        </w:rPr>
      </w:pPr>
      <w:r>
        <w:rPr>
          <w:rFonts w:ascii="Arial" w:eastAsia="Arial" w:hAnsi="Arial" w:cs="Arial"/>
          <w:sz w:val="16"/>
          <w:szCs w:val="16"/>
        </w:rPr>
        <w:t>The</w:t>
      </w:r>
      <w:r>
        <w:rPr>
          <w:rFonts w:ascii="Arial" w:eastAsia="Arial" w:hAnsi="Arial" w:cs="Arial"/>
          <w:sz w:val="16"/>
          <w:szCs w:val="16"/>
        </w:rPr>
        <w:t>se and other factors may cause the market price and demand for our common stock to fluctuate substantially, which may limit or prevent investors from readily selling their shares of common stock and may otherwise negatively affect the liquidity of our comm</w:t>
      </w:r>
      <w:r>
        <w:rPr>
          <w:rFonts w:ascii="Arial" w:eastAsia="Arial" w:hAnsi="Arial" w:cs="Arial"/>
          <w:sz w:val="16"/>
          <w:szCs w:val="16"/>
        </w:rPr>
        <w:t>on stock. In addition, in the past, when the market price of</w:t>
      </w:r>
    </w:p>
    <w:p w14:paraId="2B51895B" w14:textId="77777777" w:rsidR="00D1587D" w:rsidRDefault="00D1587D">
      <w:pPr>
        <w:spacing w:line="149" w:lineRule="exact"/>
        <w:rPr>
          <w:sz w:val="20"/>
          <w:szCs w:val="20"/>
        </w:rPr>
      </w:pPr>
    </w:p>
    <w:p w14:paraId="720F208D" w14:textId="77777777" w:rsidR="00D1587D" w:rsidRDefault="00410D07">
      <w:pPr>
        <w:jc w:val="center"/>
        <w:rPr>
          <w:sz w:val="20"/>
          <w:szCs w:val="20"/>
        </w:rPr>
      </w:pPr>
      <w:r>
        <w:rPr>
          <w:rFonts w:ascii="Arial" w:eastAsia="Arial" w:hAnsi="Arial" w:cs="Arial"/>
          <w:sz w:val="18"/>
          <w:szCs w:val="18"/>
        </w:rPr>
        <w:t>36</w:t>
      </w:r>
    </w:p>
    <w:p w14:paraId="4960BFC7" w14:textId="77777777" w:rsidR="00D1587D" w:rsidRDefault="00410D07">
      <w:pPr>
        <w:spacing w:line="20" w:lineRule="exact"/>
        <w:rPr>
          <w:sz w:val="20"/>
          <w:szCs w:val="20"/>
        </w:rPr>
      </w:pPr>
      <w:r>
        <w:rPr>
          <w:noProof/>
          <w:sz w:val="20"/>
          <w:szCs w:val="20"/>
        </w:rPr>
        <w:drawing>
          <wp:anchor distT="0" distB="0" distL="114300" distR="114300" simplePos="0" relativeHeight="251479040" behindDoc="1" locked="0" layoutInCell="0" allowOverlap="1" wp14:anchorId="19C46AA4" wp14:editId="1F3BE6BB">
            <wp:simplePos x="0" y="0"/>
            <wp:positionH relativeFrom="column">
              <wp:posOffset>-636905</wp:posOffset>
            </wp:positionH>
            <wp:positionV relativeFrom="paragraph">
              <wp:posOffset>126365</wp:posOffset>
            </wp:positionV>
            <wp:extent cx="6995160" cy="17145"/>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FAA0731" w14:textId="77777777" w:rsidR="00D1587D" w:rsidRDefault="00D1587D">
      <w:pPr>
        <w:sectPr w:rsidR="00D1587D">
          <w:pgSz w:w="11900" w:h="16838"/>
          <w:pgMar w:top="265" w:right="1440" w:bottom="1440" w:left="1440" w:header="0" w:footer="0" w:gutter="0"/>
          <w:cols w:space="720" w:equalWidth="0">
            <w:col w:w="9019"/>
          </w:cols>
        </w:sectPr>
      </w:pPr>
    </w:p>
    <w:bookmarkStart w:id="294" w:name="page295"/>
    <w:bookmarkEnd w:id="294"/>
    <w:p w14:paraId="58E2AAB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ABCB02A" w14:textId="77777777" w:rsidR="00D1587D" w:rsidRDefault="00D1587D">
      <w:pPr>
        <w:spacing w:line="131" w:lineRule="exact"/>
        <w:rPr>
          <w:sz w:val="20"/>
          <w:szCs w:val="20"/>
        </w:rPr>
      </w:pPr>
    </w:p>
    <w:p w14:paraId="03BEE1C6" w14:textId="77777777" w:rsidR="00D1587D" w:rsidRDefault="00410D07">
      <w:pPr>
        <w:spacing w:line="311" w:lineRule="auto"/>
        <w:ind w:left="300" w:right="359"/>
        <w:rPr>
          <w:sz w:val="20"/>
          <w:szCs w:val="20"/>
        </w:rPr>
      </w:pPr>
      <w:r>
        <w:rPr>
          <w:rFonts w:ascii="Arial" w:eastAsia="Arial" w:hAnsi="Arial" w:cs="Arial"/>
          <w:sz w:val="16"/>
          <w:szCs w:val="16"/>
        </w:rPr>
        <w:t xml:space="preserve">a stock has been volatile, holders of that stock have instituted securities class action litigation against the </w:t>
      </w:r>
      <w:r>
        <w:rPr>
          <w:rFonts w:ascii="Arial" w:eastAsia="Arial" w:hAnsi="Arial" w:cs="Arial"/>
          <w:sz w:val="16"/>
          <w:szCs w:val="16"/>
        </w:rPr>
        <w:t>Company that issued the stock. If any of our stockholders brought a lawsuit against us, we could incur substantial costs defending the lawsuit. Such a lawsuit could also divert the time and attention of our management from our business.</w:t>
      </w:r>
    </w:p>
    <w:p w14:paraId="4CE82A57" w14:textId="77777777" w:rsidR="00D1587D" w:rsidRDefault="00D1587D">
      <w:pPr>
        <w:spacing w:line="41" w:lineRule="exact"/>
        <w:rPr>
          <w:sz w:val="20"/>
          <w:szCs w:val="20"/>
        </w:rPr>
      </w:pPr>
    </w:p>
    <w:p w14:paraId="01AD3B67" w14:textId="77777777" w:rsidR="00D1587D" w:rsidRDefault="00410D07">
      <w:pPr>
        <w:spacing w:line="296" w:lineRule="auto"/>
        <w:ind w:left="300" w:right="399" w:firstLine="360"/>
        <w:rPr>
          <w:sz w:val="20"/>
          <w:szCs w:val="20"/>
        </w:rPr>
      </w:pPr>
      <w:r>
        <w:rPr>
          <w:rFonts w:ascii="Arial" w:eastAsia="Arial" w:hAnsi="Arial" w:cs="Arial"/>
          <w:sz w:val="16"/>
          <w:szCs w:val="16"/>
        </w:rPr>
        <w:t>The trading market</w:t>
      </w:r>
      <w:r>
        <w:rPr>
          <w:rFonts w:ascii="Arial" w:eastAsia="Arial" w:hAnsi="Arial" w:cs="Arial"/>
          <w:sz w:val="16"/>
          <w:szCs w:val="16"/>
        </w:rPr>
        <w:t xml:space="preserve"> for our common stock may also be influenced by the research and reports that industry or securities analysts publish about us or our business. If one or more of these analysts cease coverage of our company or fail to publish reports on us regularly, we co</w:t>
      </w:r>
      <w:r>
        <w:rPr>
          <w:rFonts w:ascii="Arial" w:eastAsia="Arial" w:hAnsi="Arial" w:cs="Arial"/>
          <w:sz w:val="16"/>
          <w:szCs w:val="16"/>
        </w:rPr>
        <w:t>uld lose visibility in the financial markets, which in turn could cause our stock price or trading volume to decline. Moreover, if one or more of the analysts who cover us downgrade our stock, or if our results of operations do not meet their expectations,</w:t>
      </w:r>
      <w:r>
        <w:rPr>
          <w:rFonts w:ascii="Arial" w:eastAsia="Arial" w:hAnsi="Arial" w:cs="Arial"/>
          <w:sz w:val="16"/>
          <w:szCs w:val="16"/>
        </w:rPr>
        <w:t xml:space="preserve"> our stock price could decline.</w:t>
      </w:r>
    </w:p>
    <w:p w14:paraId="6DCC9231" w14:textId="77777777" w:rsidR="00D1587D" w:rsidRDefault="00D1587D">
      <w:pPr>
        <w:spacing w:line="161" w:lineRule="exact"/>
        <w:rPr>
          <w:sz w:val="20"/>
          <w:szCs w:val="20"/>
        </w:rPr>
      </w:pPr>
    </w:p>
    <w:p w14:paraId="5C114F59" w14:textId="77777777" w:rsidR="00D1587D" w:rsidRDefault="00410D07">
      <w:pPr>
        <w:spacing w:line="277" w:lineRule="auto"/>
        <w:ind w:left="300" w:right="359" w:firstLine="360"/>
        <w:rPr>
          <w:sz w:val="20"/>
          <w:szCs w:val="20"/>
        </w:rPr>
      </w:pPr>
      <w:r>
        <w:rPr>
          <w:rFonts w:ascii="Arial" w:eastAsia="Arial" w:hAnsi="Arial" w:cs="Arial"/>
          <w:b/>
          <w:bCs/>
          <w:i/>
          <w:iCs/>
          <w:sz w:val="18"/>
          <w:szCs w:val="18"/>
        </w:rPr>
        <w:t>A large number of our shares are or will be eligible for future sale, which may cause the market price of our common stock to decline.</w:t>
      </w:r>
    </w:p>
    <w:p w14:paraId="1F1DE951" w14:textId="77777777" w:rsidR="00D1587D" w:rsidRDefault="00D1587D">
      <w:pPr>
        <w:spacing w:line="62" w:lineRule="exact"/>
        <w:rPr>
          <w:sz w:val="20"/>
          <w:szCs w:val="20"/>
        </w:rPr>
      </w:pPr>
    </w:p>
    <w:p w14:paraId="598C960D" w14:textId="77777777" w:rsidR="00D1587D" w:rsidRDefault="00410D07">
      <w:pPr>
        <w:ind w:left="660"/>
        <w:rPr>
          <w:sz w:val="20"/>
          <w:szCs w:val="20"/>
        </w:rPr>
      </w:pPr>
      <w:r>
        <w:rPr>
          <w:rFonts w:ascii="Arial" w:eastAsia="Arial" w:hAnsi="Arial" w:cs="Arial"/>
          <w:sz w:val="16"/>
          <w:szCs w:val="16"/>
        </w:rPr>
        <w:t>Upon completion of the Separation, we estimate that we will have outstanding an aggrega</w:t>
      </w:r>
      <w:r>
        <w:rPr>
          <w:rFonts w:ascii="Arial" w:eastAsia="Arial" w:hAnsi="Arial" w:cs="Arial"/>
          <w:sz w:val="16"/>
          <w:szCs w:val="16"/>
        </w:rPr>
        <w:t>te of approximately</w:t>
      </w:r>
    </w:p>
    <w:p w14:paraId="01655176" w14:textId="77777777" w:rsidR="00D1587D" w:rsidRDefault="00D1587D">
      <w:pPr>
        <w:spacing w:line="46" w:lineRule="exact"/>
        <w:rPr>
          <w:sz w:val="20"/>
          <w:szCs w:val="20"/>
        </w:rPr>
      </w:pPr>
    </w:p>
    <w:p w14:paraId="26F2BC17" w14:textId="77777777" w:rsidR="00D1587D" w:rsidRDefault="00410D07">
      <w:pPr>
        <w:spacing w:line="281" w:lineRule="auto"/>
        <w:ind w:left="300" w:right="339" w:firstLine="585"/>
        <w:rPr>
          <w:sz w:val="20"/>
          <w:szCs w:val="20"/>
        </w:rPr>
      </w:pPr>
      <w:r>
        <w:rPr>
          <w:rFonts w:ascii="Arial" w:eastAsia="Arial" w:hAnsi="Arial" w:cs="Arial"/>
          <w:sz w:val="16"/>
          <w:szCs w:val="16"/>
        </w:rPr>
        <w:t>shares of our common stock (based on shares of LB common stock outstanding on , 2021). All of those shares (other than those held by our “affiliates”) will be freely tradable without restriction or registration under the Securities Act</w:t>
      </w:r>
      <w:r>
        <w:rPr>
          <w:rFonts w:ascii="Arial" w:eastAsia="Arial" w:hAnsi="Arial" w:cs="Arial"/>
          <w:sz w:val="16"/>
          <w:szCs w:val="16"/>
        </w:rPr>
        <w:t xml:space="preserve"> of 1933, as amended (the “Securities Act”). Shares held by our affiliates, which include our directors and executive officers, can be sold subject to volume, manner of sale and notice provisions of Rule 144 under the Securities Act. We estimate that our d</w:t>
      </w:r>
      <w:r>
        <w:rPr>
          <w:rFonts w:ascii="Arial" w:eastAsia="Arial" w:hAnsi="Arial" w:cs="Arial"/>
          <w:sz w:val="16"/>
          <w:szCs w:val="16"/>
        </w:rPr>
        <w:t>irectors and executive officers, who may be considered “affiliates”</w:t>
      </w:r>
    </w:p>
    <w:p w14:paraId="492675E1" w14:textId="77777777" w:rsidR="00D1587D" w:rsidRDefault="00D1587D">
      <w:pPr>
        <w:spacing w:line="3" w:lineRule="exact"/>
        <w:rPr>
          <w:sz w:val="20"/>
          <w:szCs w:val="20"/>
        </w:rPr>
      </w:pPr>
    </w:p>
    <w:p w14:paraId="63850E91" w14:textId="77777777" w:rsidR="00D1587D" w:rsidRDefault="00410D07">
      <w:pPr>
        <w:spacing w:line="251" w:lineRule="auto"/>
        <w:ind w:left="300" w:right="319"/>
        <w:rPr>
          <w:sz w:val="20"/>
          <w:szCs w:val="20"/>
        </w:rPr>
      </w:pPr>
      <w:r>
        <w:rPr>
          <w:rFonts w:ascii="Arial" w:eastAsia="Arial" w:hAnsi="Arial" w:cs="Arial"/>
          <w:sz w:val="18"/>
          <w:szCs w:val="18"/>
        </w:rPr>
        <w:t>for purposes of Rule 144, will beneficially own approximately shares of our common stock immediately following the Separation. We are unable to predict whether large amounts of our common</w:t>
      </w:r>
      <w:r>
        <w:rPr>
          <w:rFonts w:ascii="Arial" w:eastAsia="Arial" w:hAnsi="Arial" w:cs="Arial"/>
          <w:sz w:val="18"/>
          <w:szCs w:val="18"/>
        </w:rPr>
        <w:t xml:space="preserve"> stock will be sold in the open market following the Separation. We are also unable to predict whether a sufficient number of buyers will be in the market at that time. As discussed in the immediately following risk factor, certain index funds will likely </w:t>
      </w:r>
      <w:r>
        <w:rPr>
          <w:rFonts w:ascii="Arial" w:eastAsia="Arial" w:hAnsi="Arial" w:cs="Arial"/>
          <w:sz w:val="18"/>
          <w:szCs w:val="18"/>
        </w:rPr>
        <w:t>be required to sell shares of our common stock that they receive in the Separation. In addition, other LB stockholders may sell the shares of our common stock they receive in the Separation for various reasons. For example, such stockholders may not believ</w:t>
      </w:r>
      <w:r>
        <w:rPr>
          <w:rFonts w:ascii="Arial" w:eastAsia="Arial" w:hAnsi="Arial" w:cs="Arial"/>
          <w:sz w:val="18"/>
          <w:szCs w:val="18"/>
        </w:rPr>
        <w:t>e our business profile or level of market capitalization as an independent company fits their investment objectives.</w:t>
      </w:r>
    </w:p>
    <w:p w14:paraId="028CC053" w14:textId="77777777" w:rsidR="00D1587D" w:rsidRDefault="00D1587D">
      <w:pPr>
        <w:spacing w:line="198" w:lineRule="exact"/>
        <w:rPr>
          <w:sz w:val="20"/>
          <w:szCs w:val="20"/>
        </w:rPr>
      </w:pPr>
    </w:p>
    <w:p w14:paraId="6CBAD5FD" w14:textId="77777777" w:rsidR="00D1587D" w:rsidRDefault="00410D07">
      <w:pPr>
        <w:spacing w:line="263" w:lineRule="auto"/>
        <w:ind w:left="300" w:right="519" w:firstLine="360"/>
        <w:rPr>
          <w:sz w:val="20"/>
          <w:szCs w:val="20"/>
        </w:rPr>
      </w:pPr>
      <w:r>
        <w:rPr>
          <w:rFonts w:ascii="Arial" w:eastAsia="Arial" w:hAnsi="Arial" w:cs="Arial"/>
          <w:b/>
          <w:bCs/>
          <w:i/>
          <w:iCs/>
          <w:sz w:val="18"/>
          <w:szCs w:val="18"/>
        </w:rPr>
        <w:t xml:space="preserve">Because our common stock may not be included in the Standard &amp; Poor’s 500 Index, and it may not be included in other stock </w:t>
      </w:r>
      <w:r>
        <w:rPr>
          <w:rFonts w:ascii="Arial" w:eastAsia="Arial" w:hAnsi="Arial" w:cs="Arial"/>
          <w:b/>
          <w:bCs/>
          <w:i/>
          <w:iCs/>
          <w:sz w:val="18"/>
          <w:szCs w:val="18"/>
        </w:rPr>
        <w:t>indices, significant amounts of our common stock will likely need to be sold in the open market where there may not be offsetting demand.</w:t>
      </w:r>
    </w:p>
    <w:p w14:paraId="56B040B3" w14:textId="77777777" w:rsidR="00D1587D" w:rsidRDefault="00D1587D">
      <w:pPr>
        <w:spacing w:line="76" w:lineRule="exact"/>
        <w:rPr>
          <w:sz w:val="20"/>
          <w:szCs w:val="20"/>
        </w:rPr>
      </w:pPr>
    </w:p>
    <w:p w14:paraId="42AEF243" w14:textId="77777777" w:rsidR="00D1587D" w:rsidRDefault="00410D07">
      <w:pPr>
        <w:ind w:left="660"/>
        <w:rPr>
          <w:sz w:val="20"/>
          <w:szCs w:val="20"/>
        </w:rPr>
      </w:pPr>
      <w:r>
        <w:rPr>
          <w:rFonts w:ascii="Arial" w:eastAsia="Arial" w:hAnsi="Arial" w:cs="Arial"/>
          <w:sz w:val="17"/>
          <w:szCs w:val="17"/>
        </w:rPr>
        <w:t>A portion of LB’s outstanding common stock is held by index funds tied to the Standard &amp; Poor’s 500 Index</w:t>
      </w:r>
    </w:p>
    <w:p w14:paraId="4C90C902" w14:textId="77777777" w:rsidR="00D1587D" w:rsidRDefault="00D1587D">
      <w:pPr>
        <w:spacing w:line="35" w:lineRule="exact"/>
        <w:rPr>
          <w:sz w:val="20"/>
          <w:szCs w:val="20"/>
        </w:rPr>
      </w:pPr>
    </w:p>
    <w:p w14:paraId="697C354E" w14:textId="77777777" w:rsidR="00D1587D" w:rsidRDefault="00410D07">
      <w:pPr>
        <w:spacing w:line="265" w:lineRule="auto"/>
        <w:ind w:left="300" w:right="499"/>
        <w:rPr>
          <w:sz w:val="20"/>
          <w:szCs w:val="20"/>
        </w:rPr>
      </w:pPr>
      <w:r>
        <w:rPr>
          <w:rFonts w:ascii="Arial" w:eastAsia="Arial" w:hAnsi="Arial" w:cs="Arial"/>
          <w:sz w:val="17"/>
          <w:szCs w:val="17"/>
        </w:rPr>
        <w:t xml:space="preserve">and other </w:t>
      </w:r>
      <w:r>
        <w:rPr>
          <w:rFonts w:ascii="Arial" w:eastAsia="Arial" w:hAnsi="Arial" w:cs="Arial"/>
          <w:sz w:val="17"/>
          <w:szCs w:val="17"/>
        </w:rPr>
        <w:t>stock indices. Based on a review of publicly available information as of , 2021, we believe approximately % of LB’s outstanding common stock is held by index funds. Because our common stock may</w:t>
      </w:r>
    </w:p>
    <w:p w14:paraId="5D15DA89" w14:textId="77777777" w:rsidR="00D1587D" w:rsidRDefault="00410D07">
      <w:pPr>
        <w:spacing w:line="292" w:lineRule="auto"/>
        <w:ind w:left="300" w:right="339"/>
        <w:rPr>
          <w:sz w:val="20"/>
          <w:szCs w:val="20"/>
        </w:rPr>
      </w:pPr>
      <w:r>
        <w:rPr>
          <w:rFonts w:ascii="Arial" w:eastAsia="Arial" w:hAnsi="Arial" w:cs="Arial"/>
          <w:sz w:val="16"/>
          <w:szCs w:val="16"/>
        </w:rPr>
        <w:t>not be included in the Standard &amp; Poor’s 500 Index, and it may</w:t>
      </w:r>
      <w:r>
        <w:rPr>
          <w:rFonts w:ascii="Arial" w:eastAsia="Arial" w:hAnsi="Arial" w:cs="Arial"/>
          <w:sz w:val="16"/>
          <w:szCs w:val="16"/>
        </w:rPr>
        <w:t xml:space="preserve"> not be included in other stock indices at the time of the Separation, index funds currently holding shares of LB common stock will likely be required to sell the shares of our common stock they receive in the Separation. There may not be sufficient buying</w:t>
      </w:r>
      <w:r>
        <w:rPr>
          <w:rFonts w:ascii="Arial" w:eastAsia="Arial" w:hAnsi="Arial" w:cs="Arial"/>
          <w:sz w:val="16"/>
          <w:szCs w:val="16"/>
        </w:rPr>
        <w:t xml:space="preserve"> interest to offset sales by those index funds. Accordingly, our common stock could experience a high level of volatility immediately following the Separation and, as a result, the price of our common stock could be adversely affected.</w:t>
      </w:r>
    </w:p>
    <w:p w14:paraId="2A6D9482" w14:textId="77777777" w:rsidR="00D1587D" w:rsidRDefault="00D1587D">
      <w:pPr>
        <w:spacing w:line="162" w:lineRule="exact"/>
        <w:rPr>
          <w:sz w:val="20"/>
          <w:szCs w:val="20"/>
        </w:rPr>
      </w:pPr>
    </w:p>
    <w:p w14:paraId="48E717CB" w14:textId="77777777" w:rsidR="00D1587D" w:rsidRDefault="00410D07">
      <w:pPr>
        <w:spacing w:line="308" w:lineRule="auto"/>
        <w:ind w:left="300" w:right="519" w:firstLine="360"/>
        <w:rPr>
          <w:sz w:val="20"/>
          <w:szCs w:val="20"/>
        </w:rPr>
      </w:pPr>
      <w:r>
        <w:rPr>
          <w:rFonts w:ascii="Arial" w:eastAsia="Arial" w:hAnsi="Arial" w:cs="Arial"/>
          <w:b/>
          <w:bCs/>
          <w:i/>
          <w:iCs/>
          <w:sz w:val="17"/>
          <w:szCs w:val="17"/>
        </w:rPr>
        <w:t>Provisions in our a</w:t>
      </w:r>
      <w:r>
        <w:rPr>
          <w:rFonts w:ascii="Arial" w:eastAsia="Arial" w:hAnsi="Arial" w:cs="Arial"/>
          <w:b/>
          <w:bCs/>
          <w:i/>
          <w:iCs/>
          <w:sz w:val="17"/>
          <w:szCs w:val="17"/>
        </w:rPr>
        <w:t>mended and restated certificate of incorporation and amended and restated bylaws and certain provisions of Delaware law could delay or prevent a change in control of VS.</w:t>
      </w:r>
    </w:p>
    <w:p w14:paraId="6488950B" w14:textId="77777777" w:rsidR="00D1587D" w:rsidRDefault="00D1587D">
      <w:pPr>
        <w:spacing w:line="38" w:lineRule="exact"/>
        <w:rPr>
          <w:sz w:val="20"/>
          <w:szCs w:val="20"/>
        </w:rPr>
      </w:pPr>
    </w:p>
    <w:p w14:paraId="66CAC014" w14:textId="77777777" w:rsidR="00D1587D" w:rsidRDefault="00410D07">
      <w:pPr>
        <w:spacing w:line="263" w:lineRule="auto"/>
        <w:ind w:left="300" w:right="479" w:firstLine="360"/>
        <w:jc w:val="both"/>
        <w:rPr>
          <w:sz w:val="20"/>
          <w:szCs w:val="20"/>
        </w:rPr>
      </w:pPr>
      <w:r>
        <w:rPr>
          <w:rFonts w:ascii="Arial" w:eastAsia="Arial" w:hAnsi="Arial" w:cs="Arial"/>
          <w:sz w:val="18"/>
          <w:szCs w:val="18"/>
        </w:rPr>
        <w:t>The existence of certain provisions of our amended and restated certificate of incorp</w:t>
      </w:r>
      <w:r>
        <w:rPr>
          <w:rFonts w:ascii="Arial" w:eastAsia="Arial" w:hAnsi="Arial" w:cs="Arial"/>
          <w:sz w:val="18"/>
          <w:szCs w:val="18"/>
        </w:rPr>
        <w:t>oration and amended and restated bylaws and Delaware law could discourage, delay or prevent a change in control of VS that a stockholder may consider favorable. These include provisions:</w:t>
      </w:r>
    </w:p>
    <w:p w14:paraId="0B37AD7D" w14:textId="77777777" w:rsidR="00D1587D" w:rsidRDefault="00D1587D">
      <w:pPr>
        <w:spacing w:line="76" w:lineRule="exact"/>
        <w:rPr>
          <w:sz w:val="20"/>
          <w:szCs w:val="20"/>
        </w:rPr>
      </w:pPr>
    </w:p>
    <w:p w14:paraId="72074F4D" w14:textId="77777777" w:rsidR="00D1587D" w:rsidRDefault="00410D07" w:rsidP="00410D07">
      <w:pPr>
        <w:numPr>
          <w:ilvl w:val="0"/>
          <w:numId w:val="251"/>
        </w:numPr>
        <w:tabs>
          <w:tab w:val="left" w:pos="1000"/>
        </w:tabs>
        <w:spacing w:line="277" w:lineRule="auto"/>
        <w:ind w:left="1000" w:right="779" w:hanging="348"/>
        <w:rPr>
          <w:rFonts w:ascii="Arial" w:eastAsia="Arial" w:hAnsi="Arial" w:cs="Arial"/>
          <w:sz w:val="18"/>
          <w:szCs w:val="18"/>
        </w:rPr>
      </w:pPr>
      <w:r>
        <w:rPr>
          <w:rFonts w:ascii="Arial" w:eastAsia="Arial" w:hAnsi="Arial" w:cs="Arial"/>
          <w:sz w:val="18"/>
          <w:szCs w:val="18"/>
        </w:rPr>
        <w:t>Providing the right to our Board of Directors to issue one or more c</w:t>
      </w:r>
      <w:r>
        <w:rPr>
          <w:rFonts w:ascii="Arial" w:eastAsia="Arial" w:hAnsi="Arial" w:cs="Arial"/>
          <w:sz w:val="18"/>
          <w:szCs w:val="18"/>
        </w:rPr>
        <w:t>lasses or series of preferred stock without stockholder approval;</w:t>
      </w:r>
    </w:p>
    <w:p w14:paraId="1D7A3456" w14:textId="77777777" w:rsidR="00D1587D" w:rsidRDefault="00D1587D">
      <w:pPr>
        <w:spacing w:line="62" w:lineRule="exact"/>
        <w:rPr>
          <w:rFonts w:ascii="Arial" w:eastAsia="Arial" w:hAnsi="Arial" w:cs="Arial"/>
          <w:sz w:val="18"/>
          <w:szCs w:val="18"/>
        </w:rPr>
      </w:pPr>
    </w:p>
    <w:p w14:paraId="7436885A" w14:textId="77777777" w:rsidR="00D1587D" w:rsidRDefault="00410D07" w:rsidP="00410D07">
      <w:pPr>
        <w:numPr>
          <w:ilvl w:val="0"/>
          <w:numId w:val="251"/>
        </w:numPr>
        <w:tabs>
          <w:tab w:val="left" w:pos="1000"/>
        </w:tabs>
        <w:spacing w:line="259" w:lineRule="auto"/>
        <w:ind w:left="1000" w:right="319" w:hanging="348"/>
        <w:rPr>
          <w:rFonts w:ascii="Arial" w:eastAsia="Arial" w:hAnsi="Arial" w:cs="Arial"/>
          <w:sz w:val="18"/>
          <w:szCs w:val="18"/>
        </w:rPr>
      </w:pPr>
      <w:r>
        <w:rPr>
          <w:rFonts w:ascii="Arial" w:eastAsia="Arial" w:hAnsi="Arial" w:cs="Arial"/>
          <w:sz w:val="18"/>
          <w:szCs w:val="18"/>
        </w:rPr>
        <w:t xml:space="preserve">Authorizing a large number of shares of stock that are not yet issued, which would allow our Board of Directors to issue shares to persons friendly to current management, thereby </w:t>
      </w:r>
      <w:r>
        <w:rPr>
          <w:rFonts w:ascii="Arial" w:eastAsia="Arial" w:hAnsi="Arial" w:cs="Arial"/>
          <w:sz w:val="18"/>
          <w:szCs w:val="18"/>
        </w:rPr>
        <w:t>protecting the continuity of our management, or which could be used to dilute the stock ownership of persons seeking to obtain control of us;</w:t>
      </w:r>
    </w:p>
    <w:p w14:paraId="6B19DEFA" w14:textId="77777777" w:rsidR="00D1587D" w:rsidRDefault="00D1587D">
      <w:pPr>
        <w:spacing w:line="78" w:lineRule="exact"/>
        <w:rPr>
          <w:rFonts w:ascii="Arial" w:eastAsia="Arial" w:hAnsi="Arial" w:cs="Arial"/>
          <w:sz w:val="18"/>
          <w:szCs w:val="18"/>
        </w:rPr>
      </w:pPr>
    </w:p>
    <w:p w14:paraId="5A8C0771" w14:textId="77777777" w:rsidR="00D1587D" w:rsidRDefault="00410D07" w:rsidP="00410D07">
      <w:pPr>
        <w:numPr>
          <w:ilvl w:val="0"/>
          <w:numId w:val="251"/>
        </w:numPr>
        <w:tabs>
          <w:tab w:val="left" w:pos="1000"/>
        </w:tabs>
        <w:ind w:left="1000" w:hanging="348"/>
        <w:rPr>
          <w:rFonts w:ascii="Arial" w:eastAsia="Arial" w:hAnsi="Arial" w:cs="Arial"/>
          <w:sz w:val="18"/>
          <w:szCs w:val="18"/>
        </w:rPr>
      </w:pPr>
      <w:r>
        <w:rPr>
          <w:rFonts w:ascii="Arial" w:eastAsia="Arial" w:hAnsi="Arial" w:cs="Arial"/>
          <w:sz w:val="18"/>
          <w:szCs w:val="18"/>
        </w:rPr>
        <w:t>Prohibiting stockholders from taking action by written consent; and</w:t>
      </w:r>
    </w:p>
    <w:p w14:paraId="4906662C" w14:textId="77777777" w:rsidR="00D1587D" w:rsidRDefault="00D1587D">
      <w:pPr>
        <w:spacing w:line="225" w:lineRule="exact"/>
        <w:rPr>
          <w:sz w:val="20"/>
          <w:szCs w:val="20"/>
        </w:rPr>
      </w:pPr>
    </w:p>
    <w:p w14:paraId="158A83F3" w14:textId="77777777" w:rsidR="00D1587D" w:rsidRDefault="00410D07">
      <w:pPr>
        <w:ind w:right="19"/>
        <w:jc w:val="center"/>
        <w:rPr>
          <w:sz w:val="20"/>
          <w:szCs w:val="20"/>
        </w:rPr>
      </w:pPr>
      <w:r>
        <w:rPr>
          <w:rFonts w:ascii="Arial" w:eastAsia="Arial" w:hAnsi="Arial" w:cs="Arial"/>
          <w:sz w:val="18"/>
          <w:szCs w:val="18"/>
        </w:rPr>
        <w:t>37</w:t>
      </w:r>
    </w:p>
    <w:p w14:paraId="7DF4AC35" w14:textId="77777777" w:rsidR="00D1587D" w:rsidRDefault="00410D07">
      <w:pPr>
        <w:spacing w:line="20" w:lineRule="exact"/>
        <w:rPr>
          <w:sz w:val="20"/>
          <w:szCs w:val="20"/>
        </w:rPr>
      </w:pPr>
      <w:r>
        <w:rPr>
          <w:noProof/>
          <w:sz w:val="20"/>
          <w:szCs w:val="20"/>
        </w:rPr>
        <w:drawing>
          <wp:anchor distT="0" distB="0" distL="114300" distR="114300" simplePos="0" relativeHeight="251480064" behindDoc="1" locked="0" layoutInCell="0" allowOverlap="1" wp14:anchorId="580F538C" wp14:editId="5F0503DD">
            <wp:simplePos x="0" y="0"/>
            <wp:positionH relativeFrom="column">
              <wp:posOffset>-636905</wp:posOffset>
            </wp:positionH>
            <wp:positionV relativeFrom="paragraph">
              <wp:posOffset>134620</wp:posOffset>
            </wp:positionV>
            <wp:extent cx="6995160" cy="17145"/>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E7F7088" w14:textId="77777777" w:rsidR="00D1587D" w:rsidRDefault="00D1587D">
      <w:pPr>
        <w:sectPr w:rsidR="00D1587D">
          <w:pgSz w:w="11900" w:h="16838"/>
          <w:pgMar w:top="265" w:right="1440" w:bottom="1440" w:left="1440" w:header="0" w:footer="0" w:gutter="0"/>
          <w:cols w:space="720" w:equalWidth="0">
            <w:col w:w="9019"/>
          </w:cols>
        </w:sectPr>
      </w:pPr>
    </w:p>
    <w:bookmarkStart w:id="295" w:name="page296"/>
    <w:bookmarkEnd w:id="295"/>
    <w:p w14:paraId="6A0CCDD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w:instrText>
      </w:r>
      <w:r>
        <w:instrText xml:space="preserve">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842D442" w14:textId="77777777" w:rsidR="00D1587D" w:rsidRDefault="00D1587D">
      <w:pPr>
        <w:spacing w:line="131" w:lineRule="exact"/>
        <w:rPr>
          <w:sz w:val="20"/>
          <w:szCs w:val="20"/>
        </w:rPr>
      </w:pPr>
    </w:p>
    <w:p w14:paraId="06D59F34" w14:textId="77777777" w:rsidR="00D1587D" w:rsidRDefault="00410D07" w:rsidP="00410D07">
      <w:pPr>
        <w:numPr>
          <w:ilvl w:val="0"/>
          <w:numId w:val="252"/>
        </w:numPr>
        <w:tabs>
          <w:tab w:val="left" w:pos="1000"/>
        </w:tabs>
        <w:spacing w:line="263" w:lineRule="auto"/>
        <w:ind w:left="1000" w:right="379" w:hanging="348"/>
        <w:rPr>
          <w:rFonts w:ascii="Arial" w:eastAsia="Arial" w:hAnsi="Arial" w:cs="Arial"/>
          <w:sz w:val="18"/>
          <w:szCs w:val="18"/>
        </w:rPr>
      </w:pPr>
      <w:r>
        <w:rPr>
          <w:rFonts w:ascii="Arial" w:eastAsia="Arial" w:hAnsi="Arial" w:cs="Arial"/>
          <w:sz w:val="18"/>
          <w:szCs w:val="18"/>
        </w:rPr>
        <w:t>Establishing advance notice and other requirements for nominations of candidates for election to our Board of Directors or for proposing matters that can be acted on by stockholders at the annual stockholder meetings.</w:t>
      </w:r>
    </w:p>
    <w:p w14:paraId="4C493C59" w14:textId="77777777" w:rsidR="00D1587D" w:rsidRDefault="00D1587D">
      <w:pPr>
        <w:spacing w:line="76" w:lineRule="exact"/>
        <w:rPr>
          <w:sz w:val="20"/>
          <w:szCs w:val="20"/>
        </w:rPr>
      </w:pPr>
    </w:p>
    <w:p w14:paraId="309CED7D" w14:textId="77777777" w:rsidR="00D1587D" w:rsidRDefault="00410D07">
      <w:pPr>
        <w:spacing w:line="273" w:lineRule="auto"/>
        <w:ind w:left="300" w:right="359" w:firstLine="360"/>
        <w:rPr>
          <w:sz w:val="20"/>
          <w:szCs w:val="20"/>
        </w:rPr>
      </w:pPr>
      <w:r>
        <w:rPr>
          <w:rFonts w:ascii="Arial" w:eastAsia="Arial" w:hAnsi="Arial" w:cs="Arial"/>
          <w:sz w:val="17"/>
          <w:szCs w:val="17"/>
        </w:rPr>
        <w:t xml:space="preserve">We believe </w:t>
      </w:r>
      <w:r>
        <w:rPr>
          <w:rFonts w:ascii="Arial" w:eastAsia="Arial" w:hAnsi="Arial" w:cs="Arial"/>
          <w:sz w:val="17"/>
          <w:szCs w:val="17"/>
        </w:rPr>
        <w:t>these provisions will protect our stockholders from coercive or otherwise unfair takeover tactics by requiring potential acquirors to negotiate with our Board of Directors and by providing our Board of Directors with more time to assess any acquisition pro</w:t>
      </w:r>
      <w:r>
        <w:rPr>
          <w:rFonts w:ascii="Arial" w:eastAsia="Arial" w:hAnsi="Arial" w:cs="Arial"/>
          <w:sz w:val="17"/>
          <w:szCs w:val="17"/>
        </w:rPr>
        <w:t>posal. These provisions are not intended to make us immune from takeovers. However, these provisions apply even if a takeover offer may be considered beneficial by some stockholders and could delay or prevent an acquisition that our Board of Directors dete</w:t>
      </w:r>
      <w:r>
        <w:rPr>
          <w:rFonts w:ascii="Arial" w:eastAsia="Arial" w:hAnsi="Arial" w:cs="Arial"/>
          <w:sz w:val="17"/>
          <w:szCs w:val="17"/>
        </w:rPr>
        <w:t>rmines is not in our and our stockholders’ best interests. See “Description of Capital Stock.”</w:t>
      </w:r>
    </w:p>
    <w:p w14:paraId="0F4F8F02" w14:textId="77777777" w:rsidR="00D1587D" w:rsidRDefault="00D1587D">
      <w:pPr>
        <w:spacing w:line="178" w:lineRule="exact"/>
        <w:rPr>
          <w:sz w:val="20"/>
          <w:szCs w:val="20"/>
        </w:rPr>
      </w:pPr>
    </w:p>
    <w:p w14:paraId="7A2DF4D9" w14:textId="77777777" w:rsidR="00D1587D" w:rsidRDefault="00410D07">
      <w:pPr>
        <w:spacing w:line="286" w:lineRule="auto"/>
        <w:ind w:left="300" w:right="459" w:firstLine="360"/>
        <w:rPr>
          <w:sz w:val="20"/>
          <w:szCs w:val="20"/>
        </w:rPr>
      </w:pPr>
      <w:r>
        <w:rPr>
          <w:rFonts w:ascii="Arial" w:eastAsia="Arial" w:hAnsi="Arial" w:cs="Arial"/>
          <w:b/>
          <w:bCs/>
          <w:i/>
          <w:iCs/>
          <w:sz w:val="17"/>
          <w:szCs w:val="17"/>
        </w:rPr>
        <w:t xml:space="preserve">Our amended and restated bylaws will designate Delaware as the exclusive forum for certain litigation that may be initiated by our stockholders, which </w:t>
      </w:r>
      <w:r>
        <w:rPr>
          <w:rFonts w:ascii="Arial" w:eastAsia="Arial" w:hAnsi="Arial" w:cs="Arial"/>
          <w:b/>
          <w:bCs/>
          <w:i/>
          <w:iCs/>
          <w:sz w:val="17"/>
          <w:szCs w:val="17"/>
        </w:rPr>
        <w:t>could limit our stockholders’ ability to obtain a favorable judicial forum for disputes with us and limit the market price of our common stock.</w:t>
      </w:r>
    </w:p>
    <w:p w14:paraId="501720B7" w14:textId="77777777" w:rsidR="00D1587D" w:rsidRDefault="00D1587D">
      <w:pPr>
        <w:spacing w:line="57" w:lineRule="exact"/>
        <w:rPr>
          <w:sz w:val="20"/>
          <w:szCs w:val="20"/>
        </w:rPr>
      </w:pPr>
    </w:p>
    <w:p w14:paraId="224EFE4C" w14:textId="77777777" w:rsidR="00D1587D" w:rsidRDefault="00410D07">
      <w:pPr>
        <w:spacing w:line="267" w:lineRule="auto"/>
        <w:ind w:left="300" w:right="359" w:firstLine="360"/>
        <w:rPr>
          <w:sz w:val="20"/>
          <w:szCs w:val="20"/>
        </w:rPr>
      </w:pPr>
      <w:r>
        <w:rPr>
          <w:rFonts w:ascii="Arial" w:eastAsia="Arial" w:hAnsi="Arial" w:cs="Arial"/>
          <w:sz w:val="17"/>
          <w:szCs w:val="17"/>
        </w:rPr>
        <w:t>Pursuant to our amended and restated bylaws, as will be in effect upon the completion of the Separation, unless</w:t>
      </w:r>
      <w:r>
        <w:rPr>
          <w:rFonts w:ascii="Arial" w:eastAsia="Arial" w:hAnsi="Arial" w:cs="Arial"/>
          <w:sz w:val="17"/>
          <w:szCs w:val="17"/>
        </w:rPr>
        <w:t xml:space="preserve"> we consent in writing to the selection of an alternative forum, a state court located within the State of Delaware (or, if no state court located within the State of Delaware has jurisdiction, the federal court for the District of Delaware) shall be the s</w:t>
      </w:r>
      <w:r>
        <w:rPr>
          <w:rFonts w:ascii="Arial" w:eastAsia="Arial" w:hAnsi="Arial" w:cs="Arial"/>
          <w:sz w:val="17"/>
          <w:szCs w:val="17"/>
        </w:rPr>
        <w:t xml:space="preserve">ole and exclusive forum for (i) any derivative action or proceeding brought on our behalf; (ii) any action asserting a claim for or based on a breach of a fiduciary duty owed by any of our directors or officers or other employees or agents to us or to our </w:t>
      </w:r>
      <w:r>
        <w:rPr>
          <w:rFonts w:ascii="Arial" w:eastAsia="Arial" w:hAnsi="Arial" w:cs="Arial"/>
          <w:sz w:val="17"/>
          <w:szCs w:val="17"/>
        </w:rPr>
        <w:t>stockholders, including a claim alleging the aiding and abetting of such a breach of fiduciary duty; (iii) any action asserting a claim against us or any of our directors or officers or other employees or agents arising pursuant to any provision of the Del</w:t>
      </w:r>
      <w:r>
        <w:rPr>
          <w:rFonts w:ascii="Arial" w:eastAsia="Arial" w:hAnsi="Arial" w:cs="Arial"/>
          <w:sz w:val="17"/>
          <w:szCs w:val="17"/>
        </w:rPr>
        <w:t>aware General Corporation Law or our certificate of incorporation or bylaws; (iv) any action asserting a claim related to or involving us that is governed by the internal affairs doctrine; or (v) any action asserting an “internal corporate claim” as that t</w:t>
      </w:r>
      <w:r>
        <w:rPr>
          <w:rFonts w:ascii="Arial" w:eastAsia="Arial" w:hAnsi="Arial" w:cs="Arial"/>
          <w:sz w:val="17"/>
          <w:szCs w:val="17"/>
        </w:rPr>
        <w:t>erm is defined in Section 115 of the Delaware General Corporation Law. These exclusive forum provisions will apply to all covered actions, including any covered action in which the plaintiff chooses to assert a claim or claims under federal law in addition</w:t>
      </w:r>
      <w:r>
        <w:rPr>
          <w:rFonts w:ascii="Arial" w:eastAsia="Arial" w:hAnsi="Arial" w:cs="Arial"/>
          <w:sz w:val="17"/>
          <w:szCs w:val="17"/>
        </w:rPr>
        <w:t xml:space="preserve"> to a claim or claims under Delaware law. These exclusive forum provisions, however, will not apply to actions asserting only federal law claims under the Securities Act or the Exchange Act, regardless of whether the state courts in the State of Delaware h</w:t>
      </w:r>
      <w:r>
        <w:rPr>
          <w:rFonts w:ascii="Arial" w:eastAsia="Arial" w:hAnsi="Arial" w:cs="Arial"/>
          <w:sz w:val="17"/>
          <w:szCs w:val="17"/>
        </w:rPr>
        <w:t>ave jurisdiction over those claims. The forum selection clause in our amended and restated bylaws may limit our stockholders’ ability to obtain a favorable judicial forum for disputes with us and limit the market price of our common stock.</w:t>
      </w:r>
    </w:p>
    <w:p w14:paraId="4B7E8014" w14:textId="77777777" w:rsidR="00D1587D" w:rsidRDefault="00D1587D">
      <w:pPr>
        <w:spacing w:line="232" w:lineRule="exact"/>
        <w:rPr>
          <w:sz w:val="20"/>
          <w:szCs w:val="20"/>
        </w:rPr>
      </w:pPr>
    </w:p>
    <w:p w14:paraId="4F044A45" w14:textId="77777777" w:rsidR="00D1587D" w:rsidRDefault="00410D07">
      <w:pPr>
        <w:ind w:left="660"/>
        <w:rPr>
          <w:sz w:val="20"/>
          <w:szCs w:val="20"/>
        </w:rPr>
      </w:pPr>
      <w:r>
        <w:rPr>
          <w:rFonts w:ascii="Arial" w:eastAsia="Arial" w:hAnsi="Arial" w:cs="Arial"/>
          <w:b/>
          <w:bCs/>
          <w:i/>
          <w:iCs/>
          <w:sz w:val="18"/>
          <w:szCs w:val="18"/>
        </w:rPr>
        <w:t>Your percentage</w:t>
      </w:r>
      <w:r>
        <w:rPr>
          <w:rFonts w:ascii="Arial" w:eastAsia="Arial" w:hAnsi="Arial" w:cs="Arial"/>
          <w:b/>
          <w:bCs/>
          <w:i/>
          <w:iCs/>
          <w:sz w:val="18"/>
          <w:szCs w:val="18"/>
        </w:rPr>
        <w:t xml:space="preserve"> ownership in VS may be diluted in the future.</w:t>
      </w:r>
    </w:p>
    <w:p w14:paraId="72A20C16" w14:textId="77777777" w:rsidR="00D1587D" w:rsidRDefault="00D1587D">
      <w:pPr>
        <w:spacing w:line="117" w:lineRule="exact"/>
        <w:rPr>
          <w:sz w:val="20"/>
          <w:szCs w:val="20"/>
        </w:rPr>
      </w:pPr>
    </w:p>
    <w:p w14:paraId="4DB68BB9" w14:textId="77777777" w:rsidR="00D1587D" w:rsidRDefault="00410D07">
      <w:pPr>
        <w:spacing w:line="254" w:lineRule="auto"/>
        <w:ind w:left="300" w:right="359" w:firstLine="360"/>
        <w:rPr>
          <w:sz w:val="20"/>
          <w:szCs w:val="20"/>
        </w:rPr>
      </w:pPr>
      <w:r>
        <w:rPr>
          <w:rFonts w:ascii="Arial" w:eastAsia="Arial" w:hAnsi="Arial" w:cs="Arial"/>
          <w:sz w:val="18"/>
          <w:szCs w:val="18"/>
        </w:rPr>
        <w:t>In the future, your percentage ownership in VS may be diluted because of equity issuances for acquisitions, strategic investments, capital market transactions or otherwise, including equity awards that we may</w:t>
      </w:r>
      <w:r>
        <w:rPr>
          <w:rFonts w:ascii="Arial" w:eastAsia="Arial" w:hAnsi="Arial" w:cs="Arial"/>
          <w:sz w:val="18"/>
          <w:szCs w:val="18"/>
        </w:rPr>
        <w:t xml:space="preserve"> grant to our directors, officers, employees and other service providers. Our compensation committee may grant additional equity awards to our employees and other service providers after the Separation. These awards would have a dilutive effect on our earn</w:t>
      </w:r>
      <w:r>
        <w:rPr>
          <w:rFonts w:ascii="Arial" w:eastAsia="Arial" w:hAnsi="Arial" w:cs="Arial"/>
          <w:sz w:val="18"/>
          <w:szCs w:val="18"/>
        </w:rPr>
        <w:t>ings per share, which could adversely affect the market price of our common stock. From time to time, we may issue additional equity awards to our employees and other service providers under our employee compensation and benefit plans.</w:t>
      </w:r>
    </w:p>
    <w:p w14:paraId="6F1B090D" w14:textId="77777777" w:rsidR="00D1587D" w:rsidRDefault="00D1587D">
      <w:pPr>
        <w:spacing w:line="87" w:lineRule="exact"/>
        <w:rPr>
          <w:sz w:val="20"/>
          <w:szCs w:val="20"/>
        </w:rPr>
      </w:pPr>
    </w:p>
    <w:p w14:paraId="7B37378C" w14:textId="77777777" w:rsidR="00D1587D" w:rsidRDefault="00410D07">
      <w:pPr>
        <w:spacing w:line="270" w:lineRule="auto"/>
        <w:ind w:left="300" w:right="359" w:firstLine="360"/>
        <w:rPr>
          <w:sz w:val="20"/>
          <w:szCs w:val="20"/>
        </w:rPr>
      </w:pPr>
      <w:r>
        <w:rPr>
          <w:rFonts w:ascii="Arial" w:eastAsia="Arial" w:hAnsi="Arial" w:cs="Arial"/>
          <w:sz w:val="17"/>
          <w:szCs w:val="17"/>
        </w:rPr>
        <w:t>In addition, our am</w:t>
      </w:r>
      <w:r>
        <w:rPr>
          <w:rFonts w:ascii="Arial" w:eastAsia="Arial" w:hAnsi="Arial" w:cs="Arial"/>
          <w:sz w:val="17"/>
          <w:szCs w:val="17"/>
        </w:rPr>
        <w:t xml:space="preserve">ended and restated certificate of incorporation authorize us to issue, without the approval of our stockholders, one or more classes or series of preferred stock having such designations, powers, preferences and relative, participating, optional and other </w:t>
      </w:r>
      <w:r>
        <w:rPr>
          <w:rFonts w:ascii="Arial" w:eastAsia="Arial" w:hAnsi="Arial" w:cs="Arial"/>
          <w:sz w:val="17"/>
          <w:szCs w:val="17"/>
        </w:rPr>
        <w:t>rights, and such qualifications, limitations or restrictions as our Board of directors generally may determine. The terms of one or more classes or series of preferred stock could dilute the voting power or reduce the value of our common stock. For example</w:t>
      </w:r>
      <w:r>
        <w:rPr>
          <w:rFonts w:ascii="Arial" w:eastAsia="Arial" w:hAnsi="Arial" w:cs="Arial"/>
          <w:sz w:val="17"/>
          <w:szCs w:val="17"/>
        </w:rPr>
        <w:t>, we could grant holders of preferred stock the right to elect some number of our directors in all events or on the happening of specified events or the right to veto specified transactions. Similarly, the repurchase or redemption rights or dividend, distr</w:t>
      </w:r>
      <w:r>
        <w:rPr>
          <w:rFonts w:ascii="Arial" w:eastAsia="Arial" w:hAnsi="Arial" w:cs="Arial"/>
          <w:sz w:val="17"/>
          <w:szCs w:val="17"/>
        </w:rPr>
        <w:t>ibution or liquidation preferences we could assign to holders of preferred stock could affect the residual value of the common stock. See “Description of Capital Stock—Preferred Stock.”</w:t>
      </w:r>
    </w:p>
    <w:p w14:paraId="105AF192" w14:textId="77777777" w:rsidR="00D1587D" w:rsidRDefault="00D1587D">
      <w:pPr>
        <w:spacing w:line="181" w:lineRule="exact"/>
        <w:rPr>
          <w:sz w:val="20"/>
          <w:szCs w:val="20"/>
        </w:rPr>
      </w:pPr>
    </w:p>
    <w:p w14:paraId="0BF21D53" w14:textId="77777777" w:rsidR="00D1587D" w:rsidRDefault="00410D07">
      <w:pPr>
        <w:spacing w:line="342" w:lineRule="auto"/>
        <w:ind w:left="300" w:right="419" w:firstLine="360"/>
        <w:rPr>
          <w:sz w:val="20"/>
          <w:szCs w:val="20"/>
        </w:rPr>
      </w:pPr>
      <w:r>
        <w:rPr>
          <w:rFonts w:ascii="Arial" w:eastAsia="Arial" w:hAnsi="Arial" w:cs="Arial"/>
          <w:b/>
          <w:bCs/>
          <w:i/>
          <w:iCs/>
          <w:sz w:val="16"/>
          <w:szCs w:val="16"/>
        </w:rPr>
        <w:t xml:space="preserve">Our common stock is and will be subordinate to all of our </w:t>
      </w:r>
      <w:r>
        <w:rPr>
          <w:rFonts w:ascii="Arial" w:eastAsia="Arial" w:hAnsi="Arial" w:cs="Arial"/>
          <w:b/>
          <w:bCs/>
          <w:i/>
          <w:iCs/>
          <w:sz w:val="16"/>
          <w:szCs w:val="16"/>
        </w:rPr>
        <w:t>future indebtedness and any preferred stock, and effectively subordinated to all indebtedness and preferred equity claims against our subsidiaries.</w:t>
      </w:r>
    </w:p>
    <w:p w14:paraId="625B9DDE" w14:textId="77777777" w:rsidR="00D1587D" w:rsidRDefault="00D1587D">
      <w:pPr>
        <w:spacing w:line="16" w:lineRule="exact"/>
        <w:rPr>
          <w:sz w:val="20"/>
          <w:szCs w:val="20"/>
        </w:rPr>
      </w:pPr>
    </w:p>
    <w:p w14:paraId="6FC427A2" w14:textId="77777777" w:rsidR="00D1587D" w:rsidRDefault="00410D07">
      <w:pPr>
        <w:spacing w:line="286" w:lineRule="auto"/>
        <w:ind w:left="300" w:right="339" w:firstLine="360"/>
        <w:rPr>
          <w:sz w:val="20"/>
          <w:szCs w:val="20"/>
        </w:rPr>
      </w:pPr>
      <w:r>
        <w:rPr>
          <w:rFonts w:ascii="Arial" w:eastAsia="Arial" w:hAnsi="Arial" w:cs="Arial"/>
          <w:sz w:val="17"/>
          <w:szCs w:val="17"/>
        </w:rPr>
        <w:t>Shares of our common stock are common equity interests in us and, as such, will rank junior to all of our f</w:t>
      </w:r>
      <w:r>
        <w:rPr>
          <w:rFonts w:ascii="Arial" w:eastAsia="Arial" w:hAnsi="Arial" w:cs="Arial"/>
          <w:sz w:val="17"/>
          <w:szCs w:val="17"/>
        </w:rPr>
        <w:t>uture indebtedness and other liabilities. Additionally, holders of our common stock may become subject to the prior dividend and liquidation rights of holders of any class or series of preferred stock that our Board of</w:t>
      </w:r>
    </w:p>
    <w:p w14:paraId="533177D3" w14:textId="77777777" w:rsidR="00D1587D" w:rsidRDefault="00D1587D">
      <w:pPr>
        <w:spacing w:line="165" w:lineRule="exact"/>
        <w:rPr>
          <w:sz w:val="20"/>
          <w:szCs w:val="20"/>
        </w:rPr>
      </w:pPr>
    </w:p>
    <w:p w14:paraId="2BCEAACD" w14:textId="77777777" w:rsidR="00D1587D" w:rsidRDefault="00410D07">
      <w:pPr>
        <w:jc w:val="center"/>
        <w:rPr>
          <w:sz w:val="20"/>
          <w:szCs w:val="20"/>
        </w:rPr>
      </w:pPr>
      <w:r>
        <w:rPr>
          <w:rFonts w:ascii="Arial" w:eastAsia="Arial" w:hAnsi="Arial" w:cs="Arial"/>
          <w:sz w:val="18"/>
          <w:szCs w:val="18"/>
        </w:rPr>
        <w:t>38</w:t>
      </w:r>
    </w:p>
    <w:p w14:paraId="327B4973" w14:textId="77777777" w:rsidR="00D1587D" w:rsidRDefault="00410D07">
      <w:pPr>
        <w:spacing w:line="20" w:lineRule="exact"/>
        <w:rPr>
          <w:sz w:val="20"/>
          <w:szCs w:val="20"/>
        </w:rPr>
      </w:pPr>
      <w:r>
        <w:rPr>
          <w:noProof/>
          <w:sz w:val="20"/>
          <w:szCs w:val="20"/>
        </w:rPr>
        <w:drawing>
          <wp:anchor distT="0" distB="0" distL="114300" distR="114300" simplePos="0" relativeHeight="251481088" behindDoc="1" locked="0" layoutInCell="0" allowOverlap="1" wp14:anchorId="5E72259A" wp14:editId="5C19697F">
            <wp:simplePos x="0" y="0"/>
            <wp:positionH relativeFrom="column">
              <wp:posOffset>-636905</wp:posOffset>
            </wp:positionH>
            <wp:positionV relativeFrom="paragraph">
              <wp:posOffset>126365</wp:posOffset>
            </wp:positionV>
            <wp:extent cx="6995160" cy="17145"/>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EBD857D" w14:textId="77777777" w:rsidR="00D1587D" w:rsidRDefault="00D1587D">
      <w:pPr>
        <w:sectPr w:rsidR="00D1587D">
          <w:pgSz w:w="11900" w:h="16838"/>
          <w:pgMar w:top="265" w:right="1440" w:bottom="1440" w:left="1440" w:header="0" w:footer="0" w:gutter="0"/>
          <w:cols w:space="720" w:equalWidth="0">
            <w:col w:w="9019"/>
          </w:cols>
        </w:sectPr>
      </w:pPr>
    </w:p>
    <w:bookmarkStart w:id="296" w:name="page297"/>
    <w:bookmarkEnd w:id="296"/>
    <w:p w14:paraId="07B6D58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C2AF3C4" w14:textId="77777777" w:rsidR="00D1587D" w:rsidRDefault="00D1587D">
      <w:pPr>
        <w:spacing w:line="131" w:lineRule="exact"/>
        <w:rPr>
          <w:sz w:val="20"/>
          <w:szCs w:val="20"/>
        </w:rPr>
      </w:pPr>
    </w:p>
    <w:p w14:paraId="66D65781" w14:textId="77777777" w:rsidR="00D1587D" w:rsidRDefault="00410D07">
      <w:pPr>
        <w:spacing w:line="263" w:lineRule="auto"/>
        <w:ind w:left="300" w:right="299"/>
        <w:rPr>
          <w:sz w:val="20"/>
          <w:szCs w:val="20"/>
        </w:rPr>
      </w:pPr>
      <w:r>
        <w:rPr>
          <w:rFonts w:ascii="Arial" w:eastAsia="Arial" w:hAnsi="Arial" w:cs="Arial"/>
          <w:sz w:val="18"/>
          <w:szCs w:val="18"/>
        </w:rPr>
        <w:t xml:space="preserve">Directors may designate and issue without any action on the part of the holders of our common stock. Furthermore, our right to participate in a distribution of assets upon any of our subsidiaries’ liquidation </w:t>
      </w:r>
      <w:r>
        <w:rPr>
          <w:rFonts w:ascii="Arial" w:eastAsia="Arial" w:hAnsi="Arial" w:cs="Arial"/>
          <w:sz w:val="18"/>
          <w:szCs w:val="18"/>
        </w:rPr>
        <w:t>or reorganization is subject to the prior claims of that subsidiary’s creditors and preferred stockholders.</w:t>
      </w:r>
    </w:p>
    <w:p w14:paraId="47E7DDA2" w14:textId="77777777" w:rsidR="00D1587D" w:rsidRDefault="00D1587D">
      <w:pPr>
        <w:spacing w:line="346" w:lineRule="exact"/>
        <w:rPr>
          <w:sz w:val="20"/>
          <w:szCs w:val="20"/>
        </w:rPr>
      </w:pPr>
    </w:p>
    <w:p w14:paraId="252E6DAA" w14:textId="77777777" w:rsidR="00D1587D" w:rsidRDefault="00410D07">
      <w:pPr>
        <w:ind w:left="660"/>
        <w:rPr>
          <w:sz w:val="20"/>
          <w:szCs w:val="20"/>
        </w:rPr>
      </w:pPr>
      <w:r>
        <w:rPr>
          <w:rFonts w:ascii="Arial" w:eastAsia="Arial" w:hAnsi="Arial" w:cs="Arial"/>
          <w:b/>
          <w:bCs/>
          <w:i/>
          <w:iCs/>
          <w:sz w:val="17"/>
          <w:szCs w:val="17"/>
        </w:rPr>
        <w:t>We cannot assure you that our Board of Directors will declare dividends in the foreseeable future.</w:t>
      </w:r>
    </w:p>
    <w:p w14:paraId="0131D61F" w14:textId="77777777" w:rsidR="00D1587D" w:rsidRDefault="00D1587D">
      <w:pPr>
        <w:spacing w:line="129" w:lineRule="exact"/>
        <w:rPr>
          <w:sz w:val="20"/>
          <w:szCs w:val="20"/>
        </w:rPr>
      </w:pPr>
    </w:p>
    <w:p w14:paraId="6FF0220D" w14:textId="77777777" w:rsidR="00D1587D" w:rsidRDefault="00410D07">
      <w:pPr>
        <w:spacing w:line="290" w:lineRule="auto"/>
        <w:ind w:left="300" w:right="319" w:firstLine="360"/>
        <w:rPr>
          <w:sz w:val="20"/>
          <w:szCs w:val="20"/>
        </w:rPr>
      </w:pPr>
      <w:r>
        <w:rPr>
          <w:rFonts w:ascii="Arial" w:eastAsia="Arial" w:hAnsi="Arial" w:cs="Arial"/>
          <w:sz w:val="16"/>
          <w:szCs w:val="16"/>
        </w:rPr>
        <w:t>We do not currently intend to pay any cash divi</w:t>
      </w:r>
      <w:r>
        <w:rPr>
          <w:rFonts w:ascii="Arial" w:eastAsia="Arial" w:hAnsi="Arial" w:cs="Arial"/>
          <w:sz w:val="16"/>
          <w:szCs w:val="16"/>
        </w:rPr>
        <w:t>dends on our capital stock in the foreseeable future. We currently intend to retain all available funds and any future earnings to fund the development and expansion of our business. The declaration and amount of any dividends to holders of our common stoc</w:t>
      </w:r>
      <w:r>
        <w:rPr>
          <w:rFonts w:ascii="Arial" w:eastAsia="Arial" w:hAnsi="Arial" w:cs="Arial"/>
          <w:sz w:val="16"/>
          <w:szCs w:val="16"/>
        </w:rPr>
        <w:t>k will be at the discretion of our Board of Directors and will depend upon many factors, including our financial condition, earnings, cash flows, capital requirements of our business, covenants associated with our debt obligations, legal requirements, regu</w:t>
      </w:r>
      <w:r>
        <w:rPr>
          <w:rFonts w:ascii="Arial" w:eastAsia="Arial" w:hAnsi="Arial" w:cs="Arial"/>
          <w:sz w:val="16"/>
          <w:szCs w:val="16"/>
        </w:rPr>
        <w:t>latory constraints, industry practice and any other factors the Board of Directors deems relevant. We may incur expenses or liabilities or be subject to other circumstances in the future that reduce or eliminate the amount of cash that we have available fo</w:t>
      </w:r>
      <w:r>
        <w:rPr>
          <w:rFonts w:ascii="Arial" w:eastAsia="Arial" w:hAnsi="Arial" w:cs="Arial"/>
          <w:sz w:val="16"/>
          <w:szCs w:val="16"/>
        </w:rPr>
        <w:t>r distribution as dividends, including as a result of the risks described herein.</w:t>
      </w:r>
    </w:p>
    <w:p w14:paraId="6A572ECD" w14:textId="77777777" w:rsidR="00D1587D" w:rsidRDefault="00D1587D">
      <w:pPr>
        <w:spacing w:line="165" w:lineRule="exact"/>
        <w:rPr>
          <w:sz w:val="20"/>
          <w:szCs w:val="20"/>
        </w:rPr>
      </w:pPr>
    </w:p>
    <w:p w14:paraId="2DAB7160" w14:textId="77777777" w:rsidR="00D1587D" w:rsidRDefault="00410D07">
      <w:pPr>
        <w:jc w:val="center"/>
        <w:rPr>
          <w:sz w:val="20"/>
          <w:szCs w:val="20"/>
        </w:rPr>
      </w:pPr>
      <w:r>
        <w:rPr>
          <w:rFonts w:ascii="Arial" w:eastAsia="Arial" w:hAnsi="Arial" w:cs="Arial"/>
          <w:sz w:val="18"/>
          <w:szCs w:val="18"/>
        </w:rPr>
        <w:t>39</w:t>
      </w:r>
    </w:p>
    <w:p w14:paraId="25292FDE" w14:textId="77777777" w:rsidR="00D1587D" w:rsidRDefault="00410D07">
      <w:pPr>
        <w:spacing w:line="20" w:lineRule="exact"/>
        <w:rPr>
          <w:sz w:val="20"/>
          <w:szCs w:val="20"/>
        </w:rPr>
      </w:pPr>
      <w:r>
        <w:rPr>
          <w:noProof/>
          <w:sz w:val="20"/>
          <w:szCs w:val="20"/>
        </w:rPr>
        <w:drawing>
          <wp:anchor distT="0" distB="0" distL="114300" distR="114300" simplePos="0" relativeHeight="251482112" behindDoc="1" locked="0" layoutInCell="0" allowOverlap="1" wp14:anchorId="55F12432" wp14:editId="1F06840F">
            <wp:simplePos x="0" y="0"/>
            <wp:positionH relativeFrom="column">
              <wp:posOffset>-636905</wp:posOffset>
            </wp:positionH>
            <wp:positionV relativeFrom="paragraph">
              <wp:posOffset>126365</wp:posOffset>
            </wp:positionV>
            <wp:extent cx="6995160" cy="17145"/>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81E0FC5" w14:textId="77777777" w:rsidR="00D1587D" w:rsidRDefault="00D1587D">
      <w:pPr>
        <w:sectPr w:rsidR="00D1587D">
          <w:pgSz w:w="11900" w:h="16838"/>
          <w:pgMar w:top="265" w:right="1440" w:bottom="1440" w:left="1440" w:header="0" w:footer="0" w:gutter="0"/>
          <w:cols w:space="720" w:equalWidth="0">
            <w:col w:w="9019"/>
          </w:cols>
        </w:sectPr>
      </w:pPr>
    </w:p>
    <w:bookmarkStart w:id="297" w:name="page298"/>
    <w:bookmarkEnd w:id="297"/>
    <w:p w14:paraId="744FD447"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58F8E39" w14:textId="77777777" w:rsidR="00D1587D" w:rsidRDefault="00D1587D">
      <w:pPr>
        <w:spacing w:line="127" w:lineRule="exact"/>
        <w:rPr>
          <w:sz w:val="20"/>
          <w:szCs w:val="20"/>
        </w:rPr>
      </w:pPr>
    </w:p>
    <w:p w14:paraId="5F4FDFDF" w14:textId="77777777" w:rsidR="00D1587D" w:rsidRDefault="00410D07">
      <w:pPr>
        <w:ind w:right="19"/>
        <w:jc w:val="center"/>
        <w:rPr>
          <w:sz w:val="20"/>
          <w:szCs w:val="20"/>
        </w:rPr>
      </w:pPr>
      <w:r>
        <w:rPr>
          <w:rFonts w:ascii="Arial" w:eastAsia="Arial" w:hAnsi="Arial" w:cs="Arial"/>
          <w:b/>
          <w:bCs/>
          <w:sz w:val="18"/>
          <w:szCs w:val="18"/>
        </w:rPr>
        <w:t>THE SEPARATION</w:t>
      </w:r>
    </w:p>
    <w:p w14:paraId="164C4C93" w14:textId="77777777" w:rsidR="00D1587D" w:rsidRDefault="00D1587D">
      <w:pPr>
        <w:spacing w:line="360" w:lineRule="exact"/>
        <w:rPr>
          <w:sz w:val="20"/>
          <w:szCs w:val="20"/>
        </w:rPr>
      </w:pPr>
    </w:p>
    <w:p w14:paraId="08225FB9" w14:textId="77777777" w:rsidR="00D1587D" w:rsidRDefault="00410D07">
      <w:pPr>
        <w:ind w:left="300"/>
        <w:rPr>
          <w:sz w:val="20"/>
          <w:szCs w:val="20"/>
        </w:rPr>
      </w:pPr>
      <w:r>
        <w:rPr>
          <w:rFonts w:ascii="Arial" w:eastAsia="Arial" w:hAnsi="Arial" w:cs="Arial"/>
          <w:b/>
          <w:bCs/>
          <w:sz w:val="18"/>
          <w:szCs w:val="18"/>
        </w:rPr>
        <w:t>General</w:t>
      </w:r>
    </w:p>
    <w:p w14:paraId="29BEF827" w14:textId="77777777" w:rsidR="00D1587D" w:rsidRDefault="00D1587D">
      <w:pPr>
        <w:spacing w:line="121" w:lineRule="exact"/>
        <w:rPr>
          <w:sz w:val="20"/>
          <w:szCs w:val="20"/>
        </w:rPr>
      </w:pPr>
    </w:p>
    <w:p w14:paraId="1E42AFA2" w14:textId="77777777" w:rsidR="00D1587D" w:rsidRDefault="00410D07">
      <w:pPr>
        <w:spacing w:line="284" w:lineRule="auto"/>
        <w:ind w:left="300" w:right="319" w:firstLine="360"/>
        <w:rPr>
          <w:sz w:val="20"/>
          <w:szCs w:val="20"/>
        </w:rPr>
      </w:pPr>
      <w:r>
        <w:rPr>
          <w:rFonts w:ascii="Arial" w:eastAsia="Arial" w:hAnsi="Arial" w:cs="Arial"/>
          <w:sz w:val="16"/>
          <w:szCs w:val="16"/>
        </w:rPr>
        <w:t xml:space="preserve">On May 11, 2021, LB announced that it was moving forward with a plan to </w:t>
      </w:r>
      <w:r>
        <w:rPr>
          <w:rFonts w:ascii="Arial" w:eastAsia="Arial" w:hAnsi="Arial" w:cs="Arial"/>
          <w:sz w:val="16"/>
          <w:szCs w:val="16"/>
        </w:rPr>
        <w:t>distribute to LB’s stockholders all of the shares of common stock of VS through the Separation, including the Restructuring and the Distribution. VS is currently a wholly owned subsidiary of LB and, at the time of the Distribution, LB will hold, through it</w:t>
      </w:r>
      <w:r>
        <w:rPr>
          <w:rFonts w:ascii="Arial" w:eastAsia="Arial" w:hAnsi="Arial" w:cs="Arial"/>
          <w:sz w:val="16"/>
          <w:szCs w:val="16"/>
        </w:rPr>
        <w:t>s subsidiaries, certain assets and liabilities associated with the Spin Business. The Separation will be achieved through the transfer of certain assets and liabilities of the Spin Business to VS or its subsidiaries through the Restructuring and the distri</w:t>
      </w:r>
      <w:r>
        <w:rPr>
          <w:rFonts w:ascii="Arial" w:eastAsia="Arial" w:hAnsi="Arial" w:cs="Arial"/>
          <w:sz w:val="16"/>
          <w:szCs w:val="16"/>
        </w:rPr>
        <w:t>bution of 100% of the outstanding capital stock of VS to holders of LB common stock on the record</w:t>
      </w:r>
    </w:p>
    <w:p w14:paraId="7F58ADEB" w14:textId="77777777" w:rsidR="00D1587D" w:rsidRDefault="00D1587D">
      <w:pPr>
        <w:spacing w:line="4" w:lineRule="exact"/>
        <w:rPr>
          <w:sz w:val="20"/>
          <w:szCs w:val="20"/>
        </w:rPr>
      </w:pPr>
    </w:p>
    <w:p w14:paraId="081508EF" w14:textId="77777777" w:rsidR="00D1587D" w:rsidRDefault="00410D07">
      <w:pPr>
        <w:spacing w:line="265" w:lineRule="auto"/>
        <w:ind w:left="300" w:right="459"/>
        <w:rPr>
          <w:sz w:val="20"/>
          <w:szCs w:val="20"/>
        </w:rPr>
      </w:pPr>
      <w:r>
        <w:rPr>
          <w:rFonts w:ascii="Arial" w:eastAsia="Arial" w:hAnsi="Arial" w:cs="Arial"/>
          <w:sz w:val="17"/>
          <w:szCs w:val="17"/>
        </w:rPr>
        <w:t>date of , 2021. At the effective time of the Distribution, LB stockholders will receive one share of VS common stock for every shares of LB common stock held</w:t>
      </w:r>
      <w:r>
        <w:rPr>
          <w:rFonts w:ascii="Arial" w:eastAsia="Arial" w:hAnsi="Arial" w:cs="Arial"/>
          <w:sz w:val="17"/>
          <w:szCs w:val="17"/>
        </w:rPr>
        <w:t xml:space="preserve"> on the record date. The Separation is expected to be completed on , 2021. Immediately following the Separation, LB stockholders as of the record date will</w:t>
      </w:r>
    </w:p>
    <w:p w14:paraId="2A047658" w14:textId="77777777" w:rsidR="00D1587D" w:rsidRDefault="00410D07">
      <w:pPr>
        <w:spacing w:line="260" w:lineRule="auto"/>
        <w:ind w:left="300" w:right="599"/>
        <w:rPr>
          <w:sz w:val="20"/>
          <w:szCs w:val="20"/>
        </w:rPr>
      </w:pPr>
      <w:r>
        <w:rPr>
          <w:rFonts w:ascii="Arial" w:eastAsia="Arial" w:hAnsi="Arial" w:cs="Arial"/>
          <w:sz w:val="18"/>
          <w:szCs w:val="18"/>
        </w:rPr>
        <w:t>own 100% of the outstanding capital stock of VS. Following the Separation, VS will be an independent</w:t>
      </w:r>
      <w:r>
        <w:rPr>
          <w:rFonts w:ascii="Arial" w:eastAsia="Arial" w:hAnsi="Arial" w:cs="Arial"/>
          <w:sz w:val="18"/>
          <w:szCs w:val="18"/>
        </w:rPr>
        <w:t>, publicly traded company, and LB will retain no ownership interest in VS.</w:t>
      </w:r>
    </w:p>
    <w:p w14:paraId="083CC652" w14:textId="77777777" w:rsidR="00D1587D" w:rsidRDefault="00D1587D">
      <w:pPr>
        <w:spacing w:line="77" w:lineRule="exact"/>
        <w:rPr>
          <w:sz w:val="20"/>
          <w:szCs w:val="20"/>
        </w:rPr>
      </w:pPr>
    </w:p>
    <w:p w14:paraId="1E90DBAF" w14:textId="77777777" w:rsidR="00D1587D" w:rsidRDefault="00410D07">
      <w:pPr>
        <w:spacing w:line="296" w:lineRule="auto"/>
        <w:ind w:left="300" w:right="499" w:firstLine="360"/>
        <w:rPr>
          <w:sz w:val="20"/>
          <w:szCs w:val="20"/>
        </w:rPr>
      </w:pPr>
      <w:r>
        <w:rPr>
          <w:rFonts w:ascii="Arial" w:eastAsia="Arial" w:hAnsi="Arial" w:cs="Arial"/>
          <w:sz w:val="16"/>
          <w:szCs w:val="16"/>
        </w:rPr>
        <w:t>As part of the Separation, we will enter into a Separation and Distribution Agreement and several other agreements to effect the Separation and provide a framework for our relation</w:t>
      </w:r>
      <w:r>
        <w:rPr>
          <w:rFonts w:ascii="Arial" w:eastAsia="Arial" w:hAnsi="Arial" w:cs="Arial"/>
          <w:sz w:val="16"/>
          <w:szCs w:val="16"/>
        </w:rPr>
        <w:t>ship with LB after the Separation. These agreements will provide for the allocation between us and LB of the assets, liabilities and obligations of LB and its subsidiaries, and will govern the relationship between VS and LB after the Separation. In additio</w:t>
      </w:r>
      <w:r>
        <w:rPr>
          <w:rFonts w:ascii="Arial" w:eastAsia="Arial" w:hAnsi="Arial" w:cs="Arial"/>
          <w:sz w:val="16"/>
          <w:szCs w:val="16"/>
        </w:rPr>
        <w:t>n to the Separation and Distribution Agreement, the other principal agreements to be entered into with LB include:</w:t>
      </w:r>
    </w:p>
    <w:p w14:paraId="36487C47" w14:textId="77777777" w:rsidR="00D1587D" w:rsidRDefault="00D1587D">
      <w:pPr>
        <w:spacing w:line="53" w:lineRule="exact"/>
        <w:rPr>
          <w:sz w:val="20"/>
          <w:szCs w:val="20"/>
        </w:rPr>
      </w:pPr>
    </w:p>
    <w:p w14:paraId="15D47002" w14:textId="77777777" w:rsidR="00D1587D" w:rsidRDefault="00410D07" w:rsidP="00410D07">
      <w:pPr>
        <w:numPr>
          <w:ilvl w:val="0"/>
          <w:numId w:val="253"/>
        </w:numPr>
        <w:tabs>
          <w:tab w:val="left" w:pos="1000"/>
        </w:tabs>
        <w:ind w:left="1000" w:hanging="348"/>
        <w:rPr>
          <w:rFonts w:ascii="Arial" w:eastAsia="Arial" w:hAnsi="Arial" w:cs="Arial"/>
          <w:sz w:val="18"/>
          <w:szCs w:val="18"/>
        </w:rPr>
      </w:pPr>
      <w:r>
        <w:rPr>
          <w:rFonts w:ascii="Arial" w:eastAsia="Arial" w:hAnsi="Arial" w:cs="Arial"/>
          <w:sz w:val="18"/>
          <w:szCs w:val="18"/>
        </w:rPr>
        <w:t>Tax Matters Agreement;</w:t>
      </w:r>
    </w:p>
    <w:p w14:paraId="11D9C9C2" w14:textId="77777777" w:rsidR="00D1587D" w:rsidRDefault="00D1587D">
      <w:pPr>
        <w:spacing w:line="117" w:lineRule="exact"/>
        <w:rPr>
          <w:rFonts w:ascii="Arial" w:eastAsia="Arial" w:hAnsi="Arial" w:cs="Arial"/>
          <w:sz w:val="18"/>
          <w:szCs w:val="18"/>
        </w:rPr>
      </w:pPr>
    </w:p>
    <w:p w14:paraId="6B1DC076" w14:textId="77777777" w:rsidR="00D1587D" w:rsidRDefault="00410D07" w:rsidP="00410D07">
      <w:pPr>
        <w:numPr>
          <w:ilvl w:val="0"/>
          <w:numId w:val="253"/>
        </w:numPr>
        <w:tabs>
          <w:tab w:val="left" w:pos="1000"/>
        </w:tabs>
        <w:ind w:left="1000" w:hanging="348"/>
        <w:rPr>
          <w:rFonts w:ascii="Arial" w:eastAsia="Arial" w:hAnsi="Arial" w:cs="Arial"/>
          <w:sz w:val="18"/>
          <w:szCs w:val="18"/>
        </w:rPr>
      </w:pPr>
      <w:r>
        <w:rPr>
          <w:rFonts w:ascii="Arial" w:eastAsia="Arial" w:hAnsi="Arial" w:cs="Arial"/>
          <w:sz w:val="18"/>
          <w:szCs w:val="18"/>
        </w:rPr>
        <w:t>L Brands to VS Transition Services Agreement;</w:t>
      </w:r>
    </w:p>
    <w:p w14:paraId="6F6D566A" w14:textId="77777777" w:rsidR="00D1587D" w:rsidRDefault="00D1587D">
      <w:pPr>
        <w:spacing w:line="117" w:lineRule="exact"/>
        <w:rPr>
          <w:rFonts w:ascii="Arial" w:eastAsia="Arial" w:hAnsi="Arial" w:cs="Arial"/>
          <w:sz w:val="18"/>
          <w:szCs w:val="18"/>
        </w:rPr>
      </w:pPr>
    </w:p>
    <w:p w14:paraId="509921E9" w14:textId="77777777" w:rsidR="00D1587D" w:rsidRDefault="00410D07" w:rsidP="00410D07">
      <w:pPr>
        <w:numPr>
          <w:ilvl w:val="0"/>
          <w:numId w:val="253"/>
        </w:numPr>
        <w:tabs>
          <w:tab w:val="left" w:pos="1000"/>
        </w:tabs>
        <w:ind w:left="1000" w:hanging="348"/>
        <w:rPr>
          <w:rFonts w:ascii="Arial" w:eastAsia="Arial" w:hAnsi="Arial" w:cs="Arial"/>
          <w:sz w:val="18"/>
          <w:szCs w:val="18"/>
        </w:rPr>
      </w:pPr>
      <w:r>
        <w:rPr>
          <w:rFonts w:ascii="Arial" w:eastAsia="Arial" w:hAnsi="Arial" w:cs="Arial"/>
          <w:sz w:val="18"/>
          <w:szCs w:val="18"/>
        </w:rPr>
        <w:t>VS to L Brands Transition Services Agreement;</w:t>
      </w:r>
    </w:p>
    <w:p w14:paraId="1DB6B5CC" w14:textId="77777777" w:rsidR="00D1587D" w:rsidRDefault="00D1587D">
      <w:pPr>
        <w:spacing w:line="117" w:lineRule="exact"/>
        <w:rPr>
          <w:rFonts w:ascii="Arial" w:eastAsia="Arial" w:hAnsi="Arial" w:cs="Arial"/>
          <w:sz w:val="18"/>
          <w:szCs w:val="18"/>
        </w:rPr>
      </w:pPr>
    </w:p>
    <w:p w14:paraId="056917E6" w14:textId="77777777" w:rsidR="00D1587D" w:rsidRDefault="00410D07" w:rsidP="00410D07">
      <w:pPr>
        <w:numPr>
          <w:ilvl w:val="0"/>
          <w:numId w:val="253"/>
        </w:numPr>
        <w:tabs>
          <w:tab w:val="left" w:pos="1000"/>
        </w:tabs>
        <w:ind w:left="1000" w:hanging="348"/>
        <w:rPr>
          <w:rFonts w:ascii="Arial" w:eastAsia="Arial" w:hAnsi="Arial" w:cs="Arial"/>
          <w:sz w:val="18"/>
          <w:szCs w:val="18"/>
        </w:rPr>
      </w:pPr>
      <w:r>
        <w:rPr>
          <w:rFonts w:ascii="Arial" w:eastAsia="Arial" w:hAnsi="Arial" w:cs="Arial"/>
          <w:sz w:val="18"/>
          <w:szCs w:val="18"/>
        </w:rPr>
        <w:t xml:space="preserve">Employee </w:t>
      </w:r>
      <w:r>
        <w:rPr>
          <w:rFonts w:ascii="Arial" w:eastAsia="Arial" w:hAnsi="Arial" w:cs="Arial"/>
          <w:sz w:val="18"/>
          <w:szCs w:val="18"/>
        </w:rPr>
        <w:t>Matters Agreement;</w:t>
      </w:r>
    </w:p>
    <w:p w14:paraId="2BC67C4B" w14:textId="77777777" w:rsidR="00D1587D" w:rsidRDefault="00D1587D">
      <w:pPr>
        <w:spacing w:line="117" w:lineRule="exact"/>
        <w:rPr>
          <w:rFonts w:ascii="Arial" w:eastAsia="Arial" w:hAnsi="Arial" w:cs="Arial"/>
          <w:sz w:val="18"/>
          <w:szCs w:val="18"/>
        </w:rPr>
      </w:pPr>
    </w:p>
    <w:p w14:paraId="789B0363" w14:textId="77777777" w:rsidR="00D1587D" w:rsidRDefault="00410D07" w:rsidP="00410D07">
      <w:pPr>
        <w:numPr>
          <w:ilvl w:val="0"/>
          <w:numId w:val="253"/>
        </w:numPr>
        <w:tabs>
          <w:tab w:val="left" w:pos="1000"/>
        </w:tabs>
        <w:ind w:left="1000" w:hanging="348"/>
        <w:rPr>
          <w:rFonts w:ascii="Arial" w:eastAsia="Arial" w:hAnsi="Arial" w:cs="Arial"/>
          <w:sz w:val="18"/>
          <w:szCs w:val="18"/>
        </w:rPr>
      </w:pPr>
      <w:r>
        <w:rPr>
          <w:rFonts w:ascii="Arial" w:eastAsia="Arial" w:hAnsi="Arial" w:cs="Arial"/>
          <w:sz w:val="18"/>
          <w:szCs w:val="18"/>
        </w:rPr>
        <w:t>Domestic Transportation Services Agreement; and</w:t>
      </w:r>
    </w:p>
    <w:p w14:paraId="6DDDEB5E" w14:textId="77777777" w:rsidR="00D1587D" w:rsidRDefault="00D1587D">
      <w:pPr>
        <w:spacing w:line="117" w:lineRule="exact"/>
        <w:rPr>
          <w:rFonts w:ascii="Arial" w:eastAsia="Arial" w:hAnsi="Arial" w:cs="Arial"/>
          <w:sz w:val="18"/>
          <w:szCs w:val="18"/>
        </w:rPr>
      </w:pPr>
    </w:p>
    <w:p w14:paraId="759B5F78" w14:textId="77777777" w:rsidR="00D1587D" w:rsidRDefault="00410D07" w:rsidP="00410D07">
      <w:pPr>
        <w:numPr>
          <w:ilvl w:val="0"/>
          <w:numId w:val="253"/>
        </w:numPr>
        <w:tabs>
          <w:tab w:val="left" w:pos="1000"/>
        </w:tabs>
        <w:ind w:left="1000" w:hanging="348"/>
        <w:rPr>
          <w:rFonts w:ascii="Arial" w:eastAsia="Arial" w:hAnsi="Arial" w:cs="Arial"/>
          <w:sz w:val="18"/>
          <w:szCs w:val="18"/>
        </w:rPr>
      </w:pPr>
      <w:r>
        <w:rPr>
          <w:rFonts w:ascii="Arial" w:eastAsia="Arial" w:hAnsi="Arial" w:cs="Arial"/>
          <w:sz w:val="18"/>
          <w:szCs w:val="18"/>
        </w:rPr>
        <w:t>Certain other commercial arrangements.</w:t>
      </w:r>
    </w:p>
    <w:p w14:paraId="64AA7534" w14:textId="77777777" w:rsidR="00D1587D" w:rsidRDefault="00D1587D">
      <w:pPr>
        <w:spacing w:line="117" w:lineRule="exact"/>
        <w:rPr>
          <w:sz w:val="20"/>
          <w:szCs w:val="20"/>
        </w:rPr>
      </w:pPr>
    </w:p>
    <w:p w14:paraId="7A5F3A68" w14:textId="77777777" w:rsidR="00D1587D" w:rsidRDefault="00410D07">
      <w:pPr>
        <w:spacing w:line="263" w:lineRule="auto"/>
        <w:ind w:left="300" w:right="739" w:firstLine="360"/>
        <w:rPr>
          <w:sz w:val="20"/>
          <w:szCs w:val="20"/>
        </w:rPr>
      </w:pPr>
      <w:r>
        <w:rPr>
          <w:rFonts w:ascii="Arial" w:eastAsia="Arial" w:hAnsi="Arial" w:cs="Arial"/>
          <w:sz w:val="18"/>
          <w:szCs w:val="18"/>
        </w:rPr>
        <w:t>The Separation as described in this information statement is subject to the satisfaction or waiver of certain conditions. For a more detailed descr</w:t>
      </w:r>
      <w:r>
        <w:rPr>
          <w:rFonts w:ascii="Arial" w:eastAsia="Arial" w:hAnsi="Arial" w:cs="Arial"/>
          <w:sz w:val="18"/>
          <w:szCs w:val="18"/>
        </w:rPr>
        <w:t>iption of these conditions, see “—Conditions to the Distribution” below. We cannot provide any assurances that LB will complete the Separation.</w:t>
      </w:r>
    </w:p>
    <w:p w14:paraId="3250A4EA" w14:textId="77777777" w:rsidR="00D1587D" w:rsidRDefault="00D1587D">
      <w:pPr>
        <w:spacing w:line="342" w:lineRule="exact"/>
        <w:rPr>
          <w:sz w:val="20"/>
          <w:szCs w:val="20"/>
        </w:rPr>
      </w:pPr>
    </w:p>
    <w:p w14:paraId="5AD365AB" w14:textId="77777777" w:rsidR="00D1587D" w:rsidRDefault="00410D07">
      <w:pPr>
        <w:ind w:left="300"/>
        <w:rPr>
          <w:sz w:val="20"/>
          <w:szCs w:val="20"/>
        </w:rPr>
      </w:pPr>
      <w:r>
        <w:rPr>
          <w:rFonts w:ascii="Arial" w:eastAsia="Arial" w:hAnsi="Arial" w:cs="Arial"/>
          <w:b/>
          <w:bCs/>
          <w:sz w:val="18"/>
          <w:szCs w:val="18"/>
        </w:rPr>
        <w:t>Reasons for the Separation</w:t>
      </w:r>
    </w:p>
    <w:p w14:paraId="7AF047F4" w14:textId="77777777" w:rsidR="00D1587D" w:rsidRDefault="00D1587D">
      <w:pPr>
        <w:spacing w:line="121" w:lineRule="exact"/>
        <w:rPr>
          <w:sz w:val="20"/>
          <w:szCs w:val="20"/>
        </w:rPr>
      </w:pPr>
    </w:p>
    <w:p w14:paraId="6F055EFD" w14:textId="77777777" w:rsidR="00D1587D" w:rsidRDefault="00410D07">
      <w:pPr>
        <w:spacing w:line="263" w:lineRule="auto"/>
        <w:ind w:left="300" w:right="679" w:firstLine="360"/>
        <w:jc w:val="both"/>
        <w:rPr>
          <w:sz w:val="20"/>
          <w:szCs w:val="20"/>
        </w:rPr>
      </w:pPr>
      <w:r>
        <w:rPr>
          <w:rFonts w:ascii="Arial" w:eastAsia="Arial" w:hAnsi="Arial" w:cs="Arial"/>
          <w:sz w:val="18"/>
          <w:szCs w:val="18"/>
        </w:rPr>
        <w:t>The LB Board of Directors believes separating the Spin Business from LB’s other bus</w:t>
      </w:r>
      <w:r>
        <w:rPr>
          <w:rFonts w:ascii="Arial" w:eastAsia="Arial" w:hAnsi="Arial" w:cs="Arial"/>
          <w:sz w:val="18"/>
          <w:szCs w:val="18"/>
        </w:rPr>
        <w:t>inesses is in the best interests of LB and its stockholders and has concluded the Separation will provide LB and VS with a number of potential opportunities and benefits, including the following:</w:t>
      </w:r>
    </w:p>
    <w:p w14:paraId="3C19F9C9" w14:textId="77777777" w:rsidR="00D1587D" w:rsidRDefault="00D1587D">
      <w:pPr>
        <w:spacing w:line="76" w:lineRule="exact"/>
        <w:rPr>
          <w:sz w:val="20"/>
          <w:szCs w:val="20"/>
        </w:rPr>
      </w:pPr>
    </w:p>
    <w:p w14:paraId="4B9060D2" w14:textId="77777777" w:rsidR="00D1587D" w:rsidRDefault="00410D07" w:rsidP="00410D07">
      <w:pPr>
        <w:numPr>
          <w:ilvl w:val="0"/>
          <w:numId w:val="254"/>
        </w:numPr>
        <w:tabs>
          <w:tab w:val="left" w:pos="1000"/>
        </w:tabs>
        <w:spacing w:line="291" w:lineRule="auto"/>
        <w:ind w:left="1000" w:right="419" w:hanging="348"/>
        <w:rPr>
          <w:rFonts w:ascii="Arial" w:eastAsia="Arial" w:hAnsi="Arial" w:cs="Arial"/>
          <w:sz w:val="16"/>
          <w:szCs w:val="16"/>
        </w:rPr>
      </w:pPr>
      <w:r>
        <w:rPr>
          <w:rFonts w:ascii="Arial" w:eastAsia="Arial" w:hAnsi="Arial" w:cs="Arial"/>
          <w:b/>
          <w:bCs/>
          <w:i/>
          <w:iCs/>
          <w:sz w:val="16"/>
          <w:szCs w:val="16"/>
        </w:rPr>
        <w:t>Strategic and Management Focus</w:t>
      </w:r>
      <w:r>
        <w:rPr>
          <w:rFonts w:ascii="Arial" w:eastAsia="Arial" w:hAnsi="Arial" w:cs="Arial"/>
          <w:sz w:val="16"/>
          <w:szCs w:val="16"/>
        </w:rPr>
        <w:t xml:space="preserve">. Permit the management team </w:t>
      </w:r>
      <w:r>
        <w:rPr>
          <w:rFonts w:ascii="Arial" w:eastAsia="Arial" w:hAnsi="Arial" w:cs="Arial"/>
          <w:sz w:val="16"/>
          <w:szCs w:val="16"/>
        </w:rPr>
        <w:t>of each company to focus on its own</w:t>
      </w:r>
      <w:r>
        <w:rPr>
          <w:rFonts w:ascii="Arial" w:eastAsia="Arial" w:hAnsi="Arial" w:cs="Arial"/>
          <w:b/>
          <w:bCs/>
          <w:i/>
          <w:iCs/>
          <w:sz w:val="16"/>
          <w:szCs w:val="16"/>
        </w:rPr>
        <w:t xml:space="preserve"> </w:t>
      </w:r>
      <w:r>
        <w:rPr>
          <w:rFonts w:ascii="Arial" w:eastAsia="Arial" w:hAnsi="Arial" w:cs="Arial"/>
          <w:sz w:val="16"/>
          <w:szCs w:val="16"/>
        </w:rPr>
        <w:t>strategic priorities with financial targets that best fit its own business and opportunities. We believe the Separation will enable each company’s management team to better position its businesses to capitalize on develo</w:t>
      </w:r>
      <w:r>
        <w:rPr>
          <w:rFonts w:ascii="Arial" w:eastAsia="Arial" w:hAnsi="Arial" w:cs="Arial"/>
          <w:sz w:val="16"/>
          <w:szCs w:val="16"/>
        </w:rPr>
        <w:t>ping macroeconomic trends, increase managerial focus to pursue its individual strategies and leverage its key strengths to drive performance. The management of each resulting company will be able to concentrate on its core competencies and growth opportuni</w:t>
      </w:r>
      <w:r>
        <w:rPr>
          <w:rFonts w:ascii="Arial" w:eastAsia="Arial" w:hAnsi="Arial" w:cs="Arial"/>
          <w:sz w:val="16"/>
          <w:szCs w:val="16"/>
        </w:rPr>
        <w:t>ties, and will have increased flexibility and speed to design and implement corporate strategies based on the characteristics of its business.</w:t>
      </w:r>
    </w:p>
    <w:p w14:paraId="7CDF3918" w14:textId="77777777" w:rsidR="00D1587D" w:rsidRDefault="00D1587D">
      <w:pPr>
        <w:spacing w:line="58" w:lineRule="exact"/>
        <w:rPr>
          <w:rFonts w:ascii="Arial" w:eastAsia="Arial" w:hAnsi="Arial" w:cs="Arial"/>
          <w:sz w:val="16"/>
          <w:szCs w:val="16"/>
        </w:rPr>
      </w:pPr>
    </w:p>
    <w:p w14:paraId="1A9E41A3" w14:textId="77777777" w:rsidR="00D1587D" w:rsidRDefault="00410D07" w:rsidP="00410D07">
      <w:pPr>
        <w:numPr>
          <w:ilvl w:val="0"/>
          <w:numId w:val="254"/>
        </w:numPr>
        <w:tabs>
          <w:tab w:val="left" w:pos="1000"/>
        </w:tabs>
        <w:spacing w:line="296" w:lineRule="auto"/>
        <w:ind w:left="1000" w:right="319" w:hanging="348"/>
        <w:rPr>
          <w:rFonts w:ascii="Arial" w:eastAsia="Arial" w:hAnsi="Arial" w:cs="Arial"/>
          <w:sz w:val="16"/>
          <w:szCs w:val="16"/>
        </w:rPr>
      </w:pPr>
      <w:r>
        <w:rPr>
          <w:rFonts w:ascii="Arial" w:eastAsia="Arial" w:hAnsi="Arial" w:cs="Arial"/>
          <w:b/>
          <w:bCs/>
          <w:i/>
          <w:iCs/>
          <w:sz w:val="16"/>
          <w:szCs w:val="16"/>
        </w:rPr>
        <w:t>Resource Allocation and Capital Deployment</w:t>
      </w:r>
      <w:r>
        <w:rPr>
          <w:rFonts w:ascii="Arial" w:eastAsia="Arial" w:hAnsi="Arial" w:cs="Arial"/>
          <w:sz w:val="16"/>
          <w:szCs w:val="16"/>
        </w:rPr>
        <w:t>. Allow each company to allocate resources, incentivize</w:t>
      </w:r>
      <w:r>
        <w:rPr>
          <w:rFonts w:ascii="Arial" w:eastAsia="Arial" w:hAnsi="Arial" w:cs="Arial"/>
          <w:b/>
          <w:bCs/>
          <w:i/>
          <w:iCs/>
          <w:sz w:val="16"/>
          <w:szCs w:val="16"/>
        </w:rPr>
        <w:t xml:space="preserve"> </w:t>
      </w:r>
      <w:r>
        <w:rPr>
          <w:rFonts w:ascii="Arial" w:eastAsia="Arial" w:hAnsi="Arial" w:cs="Arial"/>
          <w:sz w:val="16"/>
          <w:szCs w:val="16"/>
        </w:rPr>
        <w:t>employees and deploy capital to capture the significant long-term opportunities in their respective markets. The Separation will enable each company’s management team to implement a capital structure, dividend policy and growth strategy tailored to each un</w:t>
      </w:r>
      <w:r>
        <w:rPr>
          <w:rFonts w:ascii="Arial" w:eastAsia="Arial" w:hAnsi="Arial" w:cs="Arial"/>
          <w:sz w:val="16"/>
          <w:szCs w:val="16"/>
        </w:rPr>
        <w:t>ique business. Both businesses are expected to have direct access to the debt and equity capital markets to fund their respective growth strategies.</w:t>
      </w:r>
    </w:p>
    <w:p w14:paraId="4448BDB1" w14:textId="77777777" w:rsidR="00D1587D" w:rsidRDefault="00D1587D">
      <w:pPr>
        <w:spacing w:line="161" w:lineRule="exact"/>
        <w:rPr>
          <w:sz w:val="20"/>
          <w:szCs w:val="20"/>
        </w:rPr>
      </w:pPr>
    </w:p>
    <w:p w14:paraId="35A200F9" w14:textId="77777777" w:rsidR="00D1587D" w:rsidRDefault="00410D07">
      <w:pPr>
        <w:ind w:right="19"/>
        <w:jc w:val="center"/>
        <w:rPr>
          <w:sz w:val="20"/>
          <w:szCs w:val="20"/>
        </w:rPr>
      </w:pPr>
      <w:r>
        <w:rPr>
          <w:rFonts w:ascii="Arial" w:eastAsia="Arial" w:hAnsi="Arial" w:cs="Arial"/>
          <w:sz w:val="18"/>
          <w:szCs w:val="18"/>
        </w:rPr>
        <w:t>40</w:t>
      </w:r>
    </w:p>
    <w:p w14:paraId="230C29D9" w14:textId="77777777" w:rsidR="00D1587D" w:rsidRDefault="00410D07">
      <w:pPr>
        <w:spacing w:line="20" w:lineRule="exact"/>
        <w:rPr>
          <w:sz w:val="20"/>
          <w:szCs w:val="20"/>
        </w:rPr>
      </w:pPr>
      <w:r>
        <w:rPr>
          <w:noProof/>
          <w:sz w:val="20"/>
          <w:szCs w:val="20"/>
        </w:rPr>
        <w:drawing>
          <wp:anchor distT="0" distB="0" distL="114300" distR="114300" simplePos="0" relativeHeight="251483136" behindDoc="1" locked="0" layoutInCell="0" allowOverlap="1" wp14:anchorId="5804EA85" wp14:editId="4FA5DD90">
            <wp:simplePos x="0" y="0"/>
            <wp:positionH relativeFrom="column">
              <wp:posOffset>-636905</wp:posOffset>
            </wp:positionH>
            <wp:positionV relativeFrom="paragraph">
              <wp:posOffset>126365</wp:posOffset>
            </wp:positionV>
            <wp:extent cx="6995160" cy="17145"/>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4AE380F" w14:textId="77777777" w:rsidR="00D1587D" w:rsidRDefault="00D1587D">
      <w:pPr>
        <w:sectPr w:rsidR="00D1587D">
          <w:pgSz w:w="11900" w:h="16838"/>
          <w:pgMar w:top="265" w:right="1440" w:bottom="1440" w:left="1440" w:header="0" w:footer="0" w:gutter="0"/>
          <w:cols w:space="720" w:equalWidth="0">
            <w:col w:w="9019"/>
          </w:cols>
        </w:sectPr>
      </w:pPr>
    </w:p>
    <w:bookmarkStart w:id="298" w:name="page299"/>
    <w:bookmarkEnd w:id="298"/>
    <w:p w14:paraId="4AA9633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F4F8DDE" w14:textId="77777777" w:rsidR="00D1587D" w:rsidRDefault="00D1587D">
      <w:pPr>
        <w:spacing w:line="131" w:lineRule="exact"/>
        <w:rPr>
          <w:sz w:val="20"/>
          <w:szCs w:val="20"/>
        </w:rPr>
      </w:pPr>
    </w:p>
    <w:p w14:paraId="0A025E89" w14:textId="77777777" w:rsidR="00D1587D" w:rsidRDefault="00410D07" w:rsidP="00410D07">
      <w:pPr>
        <w:numPr>
          <w:ilvl w:val="0"/>
          <w:numId w:val="255"/>
        </w:numPr>
        <w:tabs>
          <w:tab w:val="left" w:pos="1000"/>
        </w:tabs>
        <w:spacing w:line="257" w:lineRule="auto"/>
        <w:ind w:left="1000" w:right="499" w:hanging="348"/>
        <w:rPr>
          <w:rFonts w:ascii="Arial" w:eastAsia="Arial" w:hAnsi="Arial" w:cs="Arial"/>
          <w:sz w:val="18"/>
          <w:szCs w:val="18"/>
        </w:rPr>
      </w:pPr>
      <w:r>
        <w:rPr>
          <w:rFonts w:ascii="Arial" w:eastAsia="Arial" w:hAnsi="Arial" w:cs="Arial"/>
          <w:b/>
          <w:bCs/>
          <w:i/>
          <w:iCs/>
          <w:sz w:val="18"/>
          <w:szCs w:val="18"/>
        </w:rPr>
        <w:t>Investor Choice</w:t>
      </w:r>
      <w:r>
        <w:rPr>
          <w:rFonts w:ascii="Arial" w:eastAsia="Arial" w:hAnsi="Arial" w:cs="Arial"/>
          <w:sz w:val="18"/>
          <w:szCs w:val="18"/>
        </w:rPr>
        <w:t xml:space="preserve">. Provide </w:t>
      </w:r>
      <w:r>
        <w:rPr>
          <w:rFonts w:ascii="Arial" w:eastAsia="Arial" w:hAnsi="Arial" w:cs="Arial"/>
          <w:sz w:val="18"/>
          <w:szCs w:val="18"/>
        </w:rPr>
        <w:t>investors, both current and prospective, with the ability to value the two</w:t>
      </w:r>
      <w:r>
        <w:rPr>
          <w:rFonts w:ascii="Arial" w:eastAsia="Arial" w:hAnsi="Arial" w:cs="Arial"/>
          <w:b/>
          <w:bCs/>
          <w:i/>
          <w:iCs/>
          <w:sz w:val="18"/>
          <w:szCs w:val="18"/>
        </w:rPr>
        <w:t xml:space="preserve"> </w:t>
      </w:r>
      <w:r>
        <w:rPr>
          <w:rFonts w:ascii="Arial" w:eastAsia="Arial" w:hAnsi="Arial" w:cs="Arial"/>
          <w:sz w:val="18"/>
          <w:szCs w:val="18"/>
        </w:rPr>
        <w:t>companies based on their distinct business characteristics and make more targeted investment decisions based on those characteristics. Separating the two businesses will provide inv</w:t>
      </w:r>
      <w:r>
        <w:rPr>
          <w:rFonts w:ascii="Arial" w:eastAsia="Arial" w:hAnsi="Arial" w:cs="Arial"/>
          <w:sz w:val="18"/>
          <w:szCs w:val="18"/>
        </w:rPr>
        <w:t>estors with a more targeted investment opportunity so that investors interested in our business will have the opportunity to acquire stock of VS.</w:t>
      </w:r>
    </w:p>
    <w:p w14:paraId="17F15BEE" w14:textId="77777777" w:rsidR="00D1587D" w:rsidRDefault="00D1587D">
      <w:pPr>
        <w:spacing w:line="79" w:lineRule="exact"/>
        <w:rPr>
          <w:rFonts w:ascii="Arial" w:eastAsia="Arial" w:hAnsi="Arial" w:cs="Arial"/>
          <w:sz w:val="18"/>
          <w:szCs w:val="18"/>
        </w:rPr>
      </w:pPr>
    </w:p>
    <w:p w14:paraId="216068BE" w14:textId="77777777" w:rsidR="00D1587D" w:rsidRDefault="00410D07" w:rsidP="00410D07">
      <w:pPr>
        <w:numPr>
          <w:ilvl w:val="0"/>
          <w:numId w:val="255"/>
        </w:numPr>
        <w:tabs>
          <w:tab w:val="left" w:pos="1000"/>
        </w:tabs>
        <w:spacing w:line="257" w:lineRule="auto"/>
        <w:ind w:left="1000" w:right="599" w:hanging="348"/>
        <w:rPr>
          <w:rFonts w:ascii="Arial" w:eastAsia="Arial" w:hAnsi="Arial" w:cs="Arial"/>
          <w:sz w:val="18"/>
          <w:szCs w:val="18"/>
        </w:rPr>
      </w:pPr>
      <w:r>
        <w:rPr>
          <w:rFonts w:ascii="Arial" w:eastAsia="Arial" w:hAnsi="Arial" w:cs="Arial"/>
          <w:b/>
          <w:bCs/>
          <w:i/>
          <w:iCs/>
          <w:sz w:val="18"/>
          <w:szCs w:val="18"/>
        </w:rPr>
        <w:t>Employee Incentives and Retention</w:t>
      </w:r>
      <w:r>
        <w:rPr>
          <w:rFonts w:ascii="Arial" w:eastAsia="Arial" w:hAnsi="Arial" w:cs="Arial"/>
          <w:sz w:val="18"/>
          <w:szCs w:val="18"/>
        </w:rPr>
        <w:t>. Enable each company to better incentivize, attract, and retain key</w:t>
      </w:r>
      <w:r>
        <w:rPr>
          <w:rFonts w:ascii="Arial" w:eastAsia="Arial" w:hAnsi="Arial" w:cs="Arial"/>
          <w:b/>
          <w:bCs/>
          <w:i/>
          <w:iCs/>
          <w:sz w:val="18"/>
          <w:szCs w:val="18"/>
        </w:rPr>
        <w:t xml:space="preserve"> </w:t>
      </w:r>
      <w:r>
        <w:rPr>
          <w:rFonts w:ascii="Arial" w:eastAsia="Arial" w:hAnsi="Arial" w:cs="Arial"/>
          <w:sz w:val="18"/>
          <w:szCs w:val="18"/>
        </w:rPr>
        <w:t>employe</w:t>
      </w:r>
      <w:r>
        <w:rPr>
          <w:rFonts w:ascii="Arial" w:eastAsia="Arial" w:hAnsi="Arial" w:cs="Arial"/>
          <w:sz w:val="18"/>
          <w:szCs w:val="18"/>
        </w:rPr>
        <w:t>es through the use of equity compensation. Separating the two businesses will allow each company to design stock option and similar programs that better incentivize management to enhance business performance because the stock price performance of each comp</w:t>
      </w:r>
      <w:r>
        <w:rPr>
          <w:rFonts w:ascii="Arial" w:eastAsia="Arial" w:hAnsi="Arial" w:cs="Arial"/>
          <w:sz w:val="18"/>
          <w:szCs w:val="18"/>
        </w:rPr>
        <w:t>any will be based on the performance of its own business.</w:t>
      </w:r>
    </w:p>
    <w:p w14:paraId="0A9F0C1B" w14:textId="77777777" w:rsidR="00D1587D" w:rsidRDefault="00D1587D">
      <w:pPr>
        <w:spacing w:line="80" w:lineRule="exact"/>
        <w:rPr>
          <w:sz w:val="20"/>
          <w:szCs w:val="20"/>
        </w:rPr>
      </w:pPr>
    </w:p>
    <w:p w14:paraId="12A01B70" w14:textId="77777777" w:rsidR="00D1587D" w:rsidRDefault="00410D07">
      <w:pPr>
        <w:spacing w:line="289" w:lineRule="auto"/>
        <w:ind w:left="300" w:right="299" w:firstLine="360"/>
        <w:rPr>
          <w:sz w:val="20"/>
          <w:szCs w:val="20"/>
        </w:rPr>
      </w:pPr>
      <w:r>
        <w:rPr>
          <w:rFonts w:ascii="Arial" w:eastAsia="Arial" w:hAnsi="Arial" w:cs="Arial"/>
          <w:sz w:val="16"/>
          <w:szCs w:val="16"/>
        </w:rPr>
        <w:t>While a number of potential costs and risks were also considered, including, among others, risks relating to the creation of a new public company, such as increased costs from operating as a separa</w:t>
      </w:r>
      <w:r>
        <w:rPr>
          <w:rFonts w:ascii="Arial" w:eastAsia="Arial" w:hAnsi="Arial" w:cs="Arial"/>
          <w:sz w:val="16"/>
          <w:szCs w:val="16"/>
        </w:rPr>
        <w:t>te public company, the risk of volatility in our stock price immediately following the Distribution due to sales by LB’s stockholders whose investment objectives may not be met by our common stock, the time it may take for us to attract our optimal stockho</w:t>
      </w:r>
      <w:r>
        <w:rPr>
          <w:rFonts w:ascii="Arial" w:eastAsia="Arial" w:hAnsi="Arial" w:cs="Arial"/>
          <w:sz w:val="16"/>
          <w:szCs w:val="16"/>
        </w:rPr>
        <w:t>lder base, potential disruptions to each business, the loss of synergies, scale and joint purchasing power, increased administrative costs, one-time separation costs, the fact that each company will be less diversified following the Separation, and the pot</w:t>
      </w:r>
      <w:r>
        <w:rPr>
          <w:rFonts w:ascii="Arial" w:eastAsia="Arial" w:hAnsi="Arial" w:cs="Arial"/>
          <w:sz w:val="16"/>
          <w:szCs w:val="16"/>
        </w:rPr>
        <w:t>ential inability to realize the anticipated benefits of the Separation, it was nevertheless determined that the potential benefits of the Separation outweighed the potential costs and risks in connection therewith and provided the best opportunity to achie</w:t>
      </w:r>
      <w:r>
        <w:rPr>
          <w:rFonts w:ascii="Arial" w:eastAsia="Arial" w:hAnsi="Arial" w:cs="Arial"/>
          <w:sz w:val="16"/>
          <w:szCs w:val="16"/>
        </w:rPr>
        <w:t>ve the above benefits and enhance stockholder value.</w:t>
      </w:r>
    </w:p>
    <w:p w14:paraId="234950EF" w14:textId="77777777" w:rsidR="00D1587D" w:rsidRDefault="00D1587D">
      <w:pPr>
        <w:spacing w:line="58" w:lineRule="exact"/>
        <w:rPr>
          <w:sz w:val="20"/>
          <w:szCs w:val="20"/>
        </w:rPr>
      </w:pPr>
    </w:p>
    <w:p w14:paraId="4EB2B1F9" w14:textId="77777777" w:rsidR="00D1587D" w:rsidRDefault="00410D07">
      <w:pPr>
        <w:spacing w:line="296" w:lineRule="auto"/>
        <w:ind w:left="300" w:right="339" w:firstLine="360"/>
        <w:rPr>
          <w:sz w:val="20"/>
          <w:szCs w:val="20"/>
        </w:rPr>
      </w:pPr>
      <w:r>
        <w:rPr>
          <w:rFonts w:ascii="Arial" w:eastAsia="Arial" w:hAnsi="Arial" w:cs="Arial"/>
          <w:sz w:val="16"/>
          <w:szCs w:val="16"/>
        </w:rPr>
        <w:t xml:space="preserve">The financial terms of the Separation, including the new indebtedness expected to be incurred by VS or entities that are, or will become, prior to the completion of the Separation, </w:t>
      </w:r>
      <w:r>
        <w:rPr>
          <w:rFonts w:ascii="Arial" w:eastAsia="Arial" w:hAnsi="Arial" w:cs="Arial"/>
          <w:sz w:val="16"/>
          <w:szCs w:val="16"/>
        </w:rPr>
        <w:t>subsidiaries of VS, and the amount of the LB Cash Payment has been, or will be, determined by the LB Board of Directors based on a variety of factors, including establishing an appropriate pro forma capitalization for VS as a stand-alone company considerin</w:t>
      </w:r>
      <w:r>
        <w:rPr>
          <w:rFonts w:ascii="Arial" w:eastAsia="Arial" w:hAnsi="Arial" w:cs="Arial"/>
          <w:sz w:val="16"/>
          <w:szCs w:val="16"/>
        </w:rPr>
        <w:t>g the historical earnings of the Spin Business and the level of indebtedness relative to earnings of various comparable companies.</w:t>
      </w:r>
    </w:p>
    <w:p w14:paraId="38626C6F" w14:textId="77777777" w:rsidR="00D1587D" w:rsidRDefault="00D1587D">
      <w:pPr>
        <w:spacing w:line="184" w:lineRule="exact"/>
        <w:rPr>
          <w:sz w:val="20"/>
          <w:szCs w:val="20"/>
        </w:rPr>
      </w:pPr>
    </w:p>
    <w:p w14:paraId="32E6A309" w14:textId="77777777" w:rsidR="00D1587D" w:rsidRDefault="00410D07">
      <w:pPr>
        <w:ind w:left="300"/>
        <w:rPr>
          <w:sz w:val="20"/>
          <w:szCs w:val="20"/>
        </w:rPr>
      </w:pPr>
      <w:r>
        <w:rPr>
          <w:rFonts w:ascii="Arial" w:eastAsia="Arial" w:hAnsi="Arial" w:cs="Arial"/>
          <w:b/>
          <w:bCs/>
          <w:sz w:val="18"/>
          <w:szCs w:val="18"/>
        </w:rPr>
        <w:t>The Number of Shares You Will Receive</w:t>
      </w:r>
    </w:p>
    <w:p w14:paraId="55095966" w14:textId="77777777" w:rsidR="00D1587D" w:rsidRDefault="00D1587D">
      <w:pPr>
        <w:spacing w:line="121" w:lineRule="exact"/>
        <w:rPr>
          <w:sz w:val="20"/>
          <w:szCs w:val="20"/>
        </w:rPr>
      </w:pPr>
    </w:p>
    <w:p w14:paraId="62B782AE" w14:textId="77777777" w:rsidR="00D1587D" w:rsidRDefault="00410D07">
      <w:pPr>
        <w:tabs>
          <w:tab w:val="left" w:pos="1920"/>
          <w:tab w:val="left" w:pos="7320"/>
        </w:tabs>
        <w:ind w:left="660"/>
        <w:rPr>
          <w:sz w:val="20"/>
          <w:szCs w:val="20"/>
        </w:rPr>
      </w:pPr>
      <w:r>
        <w:rPr>
          <w:rFonts w:ascii="Arial" w:eastAsia="Arial" w:hAnsi="Arial" w:cs="Arial"/>
          <w:sz w:val="18"/>
          <w:szCs w:val="18"/>
        </w:rPr>
        <w:t>For every</w:t>
      </w:r>
      <w:r>
        <w:rPr>
          <w:sz w:val="20"/>
          <w:szCs w:val="20"/>
        </w:rPr>
        <w:tab/>
      </w:r>
      <w:r>
        <w:rPr>
          <w:rFonts w:ascii="Arial" w:eastAsia="Arial" w:hAnsi="Arial" w:cs="Arial"/>
          <w:sz w:val="18"/>
          <w:szCs w:val="18"/>
        </w:rPr>
        <w:t>shares of LB common stock you own as of the close of business on</w:t>
      </w:r>
      <w:r>
        <w:rPr>
          <w:sz w:val="20"/>
          <w:szCs w:val="20"/>
        </w:rPr>
        <w:tab/>
      </w:r>
      <w:r>
        <w:rPr>
          <w:rFonts w:ascii="Arial" w:eastAsia="Arial" w:hAnsi="Arial" w:cs="Arial"/>
          <w:sz w:val="16"/>
          <w:szCs w:val="16"/>
        </w:rPr>
        <w:t xml:space="preserve">, </w:t>
      </w:r>
      <w:r>
        <w:rPr>
          <w:rFonts w:ascii="Arial" w:eastAsia="Arial" w:hAnsi="Arial" w:cs="Arial"/>
          <w:sz w:val="16"/>
          <w:szCs w:val="16"/>
        </w:rPr>
        <w:t>2021, the record</w:t>
      </w:r>
    </w:p>
    <w:p w14:paraId="351D4B3E" w14:textId="77777777" w:rsidR="00D1587D" w:rsidRDefault="00D1587D">
      <w:pPr>
        <w:spacing w:line="23" w:lineRule="exact"/>
        <w:rPr>
          <w:sz w:val="20"/>
          <w:szCs w:val="20"/>
        </w:rPr>
      </w:pPr>
    </w:p>
    <w:p w14:paraId="3FDC50EE" w14:textId="77777777" w:rsidR="00D1587D" w:rsidRDefault="00410D07">
      <w:pPr>
        <w:ind w:left="300"/>
        <w:rPr>
          <w:sz w:val="20"/>
          <w:szCs w:val="20"/>
        </w:rPr>
      </w:pPr>
      <w:r>
        <w:rPr>
          <w:rFonts w:ascii="Arial" w:eastAsia="Arial" w:hAnsi="Arial" w:cs="Arial"/>
          <w:sz w:val="18"/>
          <w:szCs w:val="18"/>
        </w:rPr>
        <w:t>date for the Distribution, you will receive one share of VS common stock on the Distribution Date.</w:t>
      </w:r>
    </w:p>
    <w:p w14:paraId="02199846" w14:textId="77777777" w:rsidR="00D1587D" w:rsidRDefault="00D1587D">
      <w:pPr>
        <w:spacing w:line="220" w:lineRule="exact"/>
        <w:rPr>
          <w:sz w:val="20"/>
          <w:szCs w:val="20"/>
        </w:rPr>
      </w:pPr>
    </w:p>
    <w:p w14:paraId="2AF378CB" w14:textId="77777777" w:rsidR="00D1587D" w:rsidRDefault="00410D07">
      <w:pPr>
        <w:ind w:left="300"/>
        <w:rPr>
          <w:sz w:val="20"/>
          <w:szCs w:val="20"/>
        </w:rPr>
      </w:pPr>
      <w:r>
        <w:rPr>
          <w:rFonts w:ascii="Arial" w:eastAsia="Arial" w:hAnsi="Arial" w:cs="Arial"/>
          <w:b/>
          <w:bCs/>
          <w:sz w:val="18"/>
          <w:szCs w:val="18"/>
        </w:rPr>
        <w:t>Treatment of Fractional Shares</w:t>
      </w:r>
    </w:p>
    <w:p w14:paraId="596DC28A" w14:textId="77777777" w:rsidR="00D1587D" w:rsidRDefault="00D1587D">
      <w:pPr>
        <w:spacing w:line="121" w:lineRule="exact"/>
        <w:rPr>
          <w:sz w:val="20"/>
          <w:szCs w:val="20"/>
        </w:rPr>
      </w:pPr>
    </w:p>
    <w:p w14:paraId="62CCFADA" w14:textId="77777777" w:rsidR="00D1587D" w:rsidRDefault="00410D07">
      <w:pPr>
        <w:spacing w:line="269" w:lineRule="auto"/>
        <w:ind w:left="300" w:right="339" w:firstLine="360"/>
        <w:rPr>
          <w:sz w:val="20"/>
          <w:szCs w:val="20"/>
        </w:rPr>
      </w:pPr>
      <w:r>
        <w:rPr>
          <w:rFonts w:ascii="Arial" w:eastAsia="Arial" w:hAnsi="Arial" w:cs="Arial"/>
          <w:sz w:val="17"/>
          <w:szCs w:val="17"/>
        </w:rPr>
        <w:t>The distribution agent will not distribute any fractional shares of our common stock to LB stockholders. I</w:t>
      </w:r>
      <w:r>
        <w:rPr>
          <w:rFonts w:ascii="Arial" w:eastAsia="Arial" w:hAnsi="Arial" w:cs="Arial"/>
          <w:sz w:val="17"/>
          <w:szCs w:val="17"/>
        </w:rPr>
        <w:t>nstead, as soon as practicable on or after the Distribution Date, the distribution agent for the Distribution will aggregate fractional shares into whole shares, sell the whole shares in the open market at prevailing prices and distribute the net cash proc</w:t>
      </w:r>
      <w:r>
        <w:rPr>
          <w:rFonts w:ascii="Arial" w:eastAsia="Arial" w:hAnsi="Arial" w:cs="Arial"/>
          <w:sz w:val="17"/>
          <w:szCs w:val="17"/>
        </w:rPr>
        <w:t>eeds from the sales, net of brokerage fees and commissions, transfer taxes and other costs and after making appropriate deductions of the amounts required to be withheld for U.S. federal income tax purposes, if any, pro rata to each holder who would otherw</w:t>
      </w:r>
      <w:r>
        <w:rPr>
          <w:rFonts w:ascii="Arial" w:eastAsia="Arial" w:hAnsi="Arial" w:cs="Arial"/>
          <w:sz w:val="17"/>
          <w:szCs w:val="17"/>
        </w:rPr>
        <w:t>ise have been entitled to receive a fractional share in the Distribution. The distribution agent will determine when, how, through which broker-dealers and at what prices to sell the aggregated fractional shares. Recipients of cash in lieu of fractional sh</w:t>
      </w:r>
      <w:r>
        <w:rPr>
          <w:rFonts w:ascii="Arial" w:eastAsia="Arial" w:hAnsi="Arial" w:cs="Arial"/>
          <w:sz w:val="17"/>
          <w:szCs w:val="17"/>
        </w:rPr>
        <w:t>ares will not be entitled to any minimum sale price for the fractional shares or to any interest on the amounts of payments made in lieu of fractional shares. The receipt of cash in lieu of fractional shares generally will be taxable to the recipient stock</w:t>
      </w:r>
      <w:r>
        <w:rPr>
          <w:rFonts w:ascii="Arial" w:eastAsia="Arial" w:hAnsi="Arial" w:cs="Arial"/>
          <w:sz w:val="17"/>
          <w:szCs w:val="17"/>
        </w:rPr>
        <w:t>holders for U.S. federal income tax purposes as described below in “The Separation—Material U.S. Federal Income Tax Consequences of the Distribution—The Distribution.”</w:t>
      </w:r>
    </w:p>
    <w:p w14:paraId="6CC06B6A" w14:textId="77777777" w:rsidR="00D1587D" w:rsidRDefault="00D1587D">
      <w:pPr>
        <w:spacing w:line="188" w:lineRule="exact"/>
        <w:rPr>
          <w:sz w:val="20"/>
          <w:szCs w:val="20"/>
        </w:rPr>
      </w:pPr>
    </w:p>
    <w:p w14:paraId="2CE5A2C4" w14:textId="77777777" w:rsidR="00D1587D" w:rsidRDefault="00410D07">
      <w:pPr>
        <w:ind w:left="300"/>
        <w:rPr>
          <w:sz w:val="20"/>
          <w:szCs w:val="20"/>
        </w:rPr>
      </w:pPr>
      <w:r>
        <w:rPr>
          <w:rFonts w:ascii="Arial" w:eastAsia="Arial" w:hAnsi="Arial" w:cs="Arial"/>
          <w:b/>
          <w:bCs/>
          <w:sz w:val="18"/>
          <w:szCs w:val="18"/>
        </w:rPr>
        <w:t>When and How You Will Receive the Distribution of VS Shares</w:t>
      </w:r>
    </w:p>
    <w:p w14:paraId="00A20A5B" w14:textId="77777777" w:rsidR="00D1587D" w:rsidRDefault="00D1587D">
      <w:pPr>
        <w:spacing w:line="121" w:lineRule="exact"/>
        <w:rPr>
          <w:sz w:val="20"/>
          <w:szCs w:val="20"/>
        </w:rPr>
      </w:pPr>
    </w:p>
    <w:p w14:paraId="6373EDAB" w14:textId="77777777" w:rsidR="00D1587D" w:rsidRDefault="00410D07">
      <w:pPr>
        <w:spacing w:line="279" w:lineRule="auto"/>
        <w:ind w:left="300" w:right="359" w:firstLine="360"/>
        <w:rPr>
          <w:sz w:val="20"/>
          <w:szCs w:val="20"/>
        </w:rPr>
      </w:pPr>
      <w:r>
        <w:rPr>
          <w:rFonts w:ascii="Arial" w:eastAsia="Arial" w:hAnsi="Arial" w:cs="Arial"/>
          <w:sz w:val="17"/>
          <w:szCs w:val="17"/>
        </w:rPr>
        <w:t>LB will distribute the sha</w:t>
      </w:r>
      <w:r>
        <w:rPr>
          <w:rFonts w:ascii="Arial" w:eastAsia="Arial" w:hAnsi="Arial" w:cs="Arial"/>
          <w:sz w:val="17"/>
          <w:szCs w:val="17"/>
        </w:rPr>
        <w:t>res of our common stock on , 2021 to holders of record as of the close of business on the record date for the Distribution. The Distribution is expected to be completed following the market closing on the Distribution Date. LB’s transfer agent and registra</w:t>
      </w:r>
      <w:r>
        <w:rPr>
          <w:rFonts w:ascii="Arial" w:eastAsia="Arial" w:hAnsi="Arial" w:cs="Arial"/>
          <w:sz w:val="17"/>
          <w:szCs w:val="17"/>
        </w:rPr>
        <w:t>r, AST, will serve as transfer agent and registrar for the VS common stock and as distribution agent in connection with the Distribution.</w:t>
      </w:r>
    </w:p>
    <w:p w14:paraId="7171A431" w14:textId="77777777" w:rsidR="00D1587D" w:rsidRDefault="00D1587D">
      <w:pPr>
        <w:spacing w:line="63" w:lineRule="exact"/>
        <w:rPr>
          <w:sz w:val="20"/>
          <w:szCs w:val="20"/>
        </w:rPr>
      </w:pPr>
    </w:p>
    <w:p w14:paraId="2FB4E6C2" w14:textId="77777777" w:rsidR="00D1587D" w:rsidRDefault="00410D07">
      <w:pPr>
        <w:spacing w:line="263" w:lineRule="auto"/>
        <w:ind w:left="300" w:right="519" w:firstLine="360"/>
        <w:rPr>
          <w:sz w:val="20"/>
          <w:szCs w:val="20"/>
        </w:rPr>
      </w:pPr>
      <w:r>
        <w:rPr>
          <w:rFonts w:ascii="Arial" w:eastAsia="Arial" w:hAnsi="Arial" w:cs="Arial"/>
          <w:sz w:val="18"/>
          <w:szCs w:val="18"/>
        </w:rPr>
        <w:t xml:space="preserve">If you own LB common stock as of the close of business on the record date for the Distribution, the shares of VS </w:t>
      </w:r>
      <w:r>
        <w:rPr>
          <w:rFonts w:ascii="Arial" w:eastAsia="Arial" w:hAnsi="Arial" w:cs="Arial"/>
          <w:sz w:val="18"/>
          <w:szCs w:val="18"/>
        </w:rPr>
        <w:t>common stock that you are entitled to receive in the Distribution will be issued electronically, as of the Distribution Date, to your account as follows:</w:t>
      </w:r>
    </w:p>
    <w:p w14:paraId="4A057D2A" w14:textId="77777777" w:rsidR="00D1587D" w:rsidRDefault="00D1587D">
      <w:pPr>
        <w:spacing w:line="184" w:lineRule="exact"/>
        <w:rPr>
          <w:sz w:val="20"/>
          <w:szCs w:val="20"/>
        </w:rPr>
      </w:pPr>
    </w:p>
    <w:p w14:paraId="4F9F822F" w14:textId="77777777" w:rsidR="00D1587D" w:rsidRDefault="00410D07">
      <w:pPr>
        <w:jc w:val="center"/>
        <w:rPr>
          <w:sz w:val="20"/>
          <w:szCs w:val="20"/>
        </w:rPr>
      </w:pPr>
      <w:r>
        <w:rPr>
          <w:rFonts w:ascii="Arial" w:eastAsia="Arial" w:hAnsi="Arial" w:cs="Arial"/>
          <w:sz w:val="18"/>
          <w:szCs w:val="18"/>
        </w:rPr>
        <w:t>41</w:t>
      </w:r>
    </w:p>
    <w:p w14:paraId="35521B51" w14:textId="77777777" w:rsidR="00D1587D" w:rsidRDefault="00410D07">
      <w:pPr>
        <w:spacing w:line="20" w:lineRule="exact"/>
        <w:rPr>
          <w:sz w:val="20"/>
          <w:szCs w:val="20"/>
        </w:rPr>
      </w:pPr>
      <w:r>
        <w:rPr>
          <w:noProof/>
          <w:sz w:val="20"/>
          <w:szCs w:val="20"/>
        </w:rPr>
        <w:drawing>
          <wp:anchor distT="0" distB="0" distL="114300" distR="114300" simplePos="0" relativeHeight="251484160" behindDoc="1" locked="0" layoutInCell="0" allowOverlap="1" wp14:anchorId="2931B0B6" wp14:editId="7254EFF6">
            <wp:simplePos x="0" y="0"/>
            <wp:positionH relativeFrom="column">
              <wp:posOffset>-636905</wp:posOffset>
            </wp:positionH>
            <wp:positionV relativeFrom="paragraph">
              <wp:posOffset>126365</wp:posOffset>
            </wp:positionV>
            <wp:extent cx="6995160" cy="1714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9EECEE4" w14:textId="77777777" w:rsidR="00D1587D" w:rsidRDefault="00D1587D">
      <w:pPr>
        <w:sectPr w:rsidR="00D1587D">
          <w:pgSz w:w="11900" w:h="16838"/>
          <w:pgMar w:top="265" w:right="1440" w:bottom="1440" w:left="1440" w:header="0" w:footer="0" w:gutter="0"/>
          <w:cols w:space="720" w:equalWidth="0">
            <w:col w:w="9019"/>
          </w:cols>
        </w:sectPr>
      </w:pPr>
    </w:p>
    <w:bookmarkStart w:id="299" w:name="page300"/>
    <w:bookmarkEnd w:id="299"/>
    <w:p w14:paraId="4983B9D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D7D9C70" w14:textId="77777777" w:rsidR="00D1587D" w:rsidRDefault="00D1587D">
      <w:pPr>
        <w:spacing w:line="131" w:lineRule="exact"/>
        <w:rPr>
          <w:sz w:val="20"/>
          <w:szCs w:val="20"/>
        </w:rPr>
      </w:pPr>
    </w:p>
    <w:p w14:paraId="36E75007" w14:textId="77777777" w:rsidR="00D1587D" w:rsidRDefault="00410D07" w:rsidP="00410D07">
      <w:pPr>
        <w:numPr>
          <w:ilvl w:val="0"/>
          <w:numId w:val="256"/>
        </w:numPr>
        <w:tabs>
          <w:tab w:val="left" w:pos="1000"/>
        </w:tabs>
        <w:spacing w:line="257" w:lineRule="auto"/>
        <w:ind w:left="1000" w:right="379" w:hanging="348"/>
        <w:rPr>
          <w:rFonts w:ascii="Arial" w:eastAsia="Arial" w:hAnsi="Arial" w:cs="Arial"/>
          <w:sz w:val="18"/>
          <w:szCs w:val="18"/>
        </w:rPr>
      </w:pPr>
      <w:r>
        <w:rPr>
          <w:rFonts w:ascii="Arial" w:eastAsia="Arial" w:hAnsi="Arial" w:cs="Arial"/>
          <w:b/>
          <w:bCs/>
          <w:i/>
          <w:iCs/>
          <w:sz w:val="18"/>
          <w:szCs w:val="18"/>
        </w:rPr>
        <w:t>Registered Stockholders</w:t>
      </w:r>
      <w:r>
        <w:rPr>
          <w:rFonts w:ascii="Arial" w:eastAsia="Arial" w:hAnsi="Arial" w:cs="Arial"/>
          <w:sz w:val="18"/>
          <w:szCs w:val="18"/>
        </w:rPr>
        <w:t xml:space="preserve">. If </w:t>
      </w:r>
      <w:r>
        <w:rPr>
          <w:rFonts w:ascii="Arial" w:eastAsia="Arial" w:hAnsi="Arial" w:cs="Arial"/>
          <w:sz w:val="18"/>
          <w:szCs w:val="18"/>
        </w:rPr>
        <w:t>you own your shares of LB stock directly, either in book-entry form through</w:t>
      </w:r>
      <w:r>
        <w:rPr>
          <w:rFonts w:ascii="Arial" w:eastAsia="Arial" w:hAnsi="Arial" w:cs="Arial"/>
          <w:b/>
          <w:bCs/>
          <w:i/>
          <w:iCs/>
          <w:sz w:val="18"/>
          <w:szCs w:val="18"/>
        </w:rPr>
        <w:t xml:space="preserve"> </w:t>
      </w:r>
      <w:r>
        <w:rPr>
          <w:rFonts w:ascii="Arial" w:eastAsia="Arial" w:hAnsi="Arial" w:cs="Arial"/>
          <w:sz w:val="18"/>
          <w:szCs w:val="18"/>
        </w:rPr>
        <w:t>an account at AST and/or if you hold paper stock certificates, you will receive your shares of VS common stock by way of direct registration in book-entry form. Registration in boo</w:t>
      </w:r>
      <w:r>
        <w:rPr>
          <w:rFonts w:ascii="Arial" w:eastAsia="Arial" w:hAnsi="Arial" w:cs="Arial"/>
          <w:sz w:val="18"/>
          <w:szCs w:val="18"/>
        </w:rPr>
        <w:t>k-entry form is a method of recording stock ownership when no physical paper share certificates are issued to stockholders, as is the case in the Distribution.</w:t>
      </w:r>
    </w:p>
    <w:p w14:paraId="62F5E020" w14:textId="77777777" w:rsidR="00D1587D" w:rsidRDefault="00D1587D">
      <w:pPr>
        <w:spacing w:line="79" w:lineRule="exact"/>
        <w:rPr>
          <w:rFonts w:ascii="Arial" w:eastAsia="Arial" w:hAnsi="Arial" w:cs="Arial"/>
          <w:sz w:val="18"/>
          <w:szCs w:val="18"/>
        </w:rPr>
      </w:pPr>
    </w:p>
    <w:p w14:paraId="0DA425B0" w14:textId="77777777" w:rsidR="00D1587D" w:rsidRDefault="00410D07">
      <w:pPr>
        <w:spacing w:line="263" w:lineRule="auto"/>
        <w:ind w:left="1020" w:right="439"/>
        <w:jc w:val="both"/>
        <w:rPr>
          <w:rFonts w:ascii="Arial" w:eastAsia="Arial" w:hAnsi="Arial" w:cs="Arial"/>
          <w:sz w:val="18"/>
          <w:szCs w:val="18"/>
        </w:rPr>
      </w:pPr>
      <w:r>
        <w:rPr>
          <w:rFonts w:ascii="Arial" w:eastAsia="Arial" w:hAnsi="Arial" w:cs="Arial"/>
          <w:sz w:val="18"/>
          <w:szCs w:val="18"/>
        </w:rPr>
        <w:t>On or shortly after the Distribution Date, the distribution agent will mail to you an account s</w:t>
      </w:r>
      <w:r>
        <w:rPr>
          <w:rFonts w:ascii="Arial" w:eastAsia="Arial" w:hAnsi="Arial" w:cs="Arial"/>
          <w:sz w:val="18"/>
          <w:szCs w:val="18"/>
        </w:rPr>
        <w:t>tatement that indicates the number of shares of VS common stock that have been registered in book-entry form in your name.</w:t>
      </w:r>
    </w:p>
    <w:p w14:paraId="6D46804A" w14:textId="77777777" w:rsidR="00D1587D" w:rsidRDefault="00D1587D">
      <w:pPr>
        <w:spacing w:line="75" w:lineRule="exact"/>
        <w:rPr>
          <w:rFonts w:ascii="Arial" w:eastAsia="Arial" w:hAnsi="Arial" w:cs="Arial"/>
          <w:sz w:val="18"/>
          <w:szCs w:val="18"/>
        </w:rPr>
      </w:pPr>
    </w:p>
    <w:p w14:paraId="44B48F4B" w14:textId="77777777" w:rsidR="00D1587D" w:rsidRDefault="00410D07">
      <w:pPr>
        <w:spacing w:line="263" w:lineRule="auto"/>
        <w:ind w:left="1020" w:right="699"/>
        <w:rPr>
          <w:rFonts w:ascii="Arial" w:eastAsia="Arial" w:hAnsi="Arial" w:cs="Arial"/>
          <w:sz w:val="18"/>
          <w:szCs w:val="18"/>
        </w:rPr>
      </w:pPr>
      <w:r>
        <w:rPr>
          <w:rFonts w:ascii="Arial" w:eastAsia="Arial" w:hAnsi="Arial" w:cs="Arial"/>
          <w:sz w:val="18"/>
          <w:szCs w:val="18"/>
        </w:rPr>
        <w:t>Stockholders having any questions concerning the mechanics of having shares of our common stock registered in book-entry form may co</w:t>
      </w:r>
      <w:r>
        <w:rPr>
          <w:rFonts w:ascii="Arial" w:eastAsia="Arial" w:hAnsi="Arial" w:cs="Arial"/>
          <w:sz w:val="18"/>
          <w:szCs w:val="18"/>
        </w:rPr>
        <w:t>ntact AST at the address set forth in “Summary—Questions and Answers About the Separation” in this information statement.</w:t>
      </w:r>
    </w:p>
    <w:p w14:paraId="5DEA0630" w14:textId="77777777" w:rsidR="00D1587D" w:rsidRDefault="00D1587D">
      <w:pPr>
        <w:spacing w:line="75" w:lineRule="exact"/>
        <w:rPr>
          <w:rFonts w:ascii="Arial" w:eastAsia="Arial" w:hAnsi="Arial" w:cs="Arial"/>
          <w:sz w:val="18"/>
          <w:szCs w:val="18"/>
        </w:rPr>
      </w:pPr>
    </w:p>
    <w:p w14:paraId="75FC4663" w14:textId="77777777" w:rsidR="00D1587D" w:rsidRDefault="00410D07" w:rsidP="00410D07">
      <w:pPr>
        <w:numPr>
          <w:ilvl w:val="0"/>
          <w:numId w:val="256"/>
        </w:numPr>
        <w:tabs>
          <w:tab w:val="left" w:pos="1000"/>
        </w:tabs>
        <w:spacing w:line="272" w:lineRule="auto"/>
        <w:ind w:left="1000" w:right="339" w:hanging="348"/>
        <w:rPr>
          <w:rFonts w:ascii="Arial" w:eastAsia="Arial" w:hAnsi="Arial" w:cs="Arial"/>
          <w:sz w:val="17"/>
          <w:szCs w:val="17"/>
        </w:rPr>
      </w:pPr>
      <w:r>
        <w:rPr>
          <w:rFonts w:ascii="Arial" w:eastAsia="Arial" w:hAnsi="Arial" w:cs="Arial"/>
          <w:b/>
          <w:bCs/>
          <w:i/>
          <w:iCs/>
          <w:sz w:val="17"/>
          <w:szCs w:val="17"/>
        </w:rPr>
        <w:t>Beneficial Stockholders</w:t>
      </w:r>
      <w:r>
        <w:rPr>
          <w:rFonts w:ascii="Arial" w:eastAsia="Arial" w:hAnsi="Arial" w:cs="Arial"/>
          <w:sz w:val="17"/>
          <w:szCs w:val="17"/>
        </w:rPr>
        <w:t>. Many LB stockholders hold their shares of LB common stock beneficially</w:t>
      </w:r>
      <w:r>
        <w:rPr>
          <w:rFonts w:ascii="Arial" w:eastAsia="Arial" w:hAnsi="Arial" w:cs="Arial"/>
          <w:b/>
          <w:bCs/>
          <w:i/>
          <w:iCs/>
          <w:sz w:val="17"/>
          <w:szCs w:val="17"/>
        </w:rPr>
        <w:t xml:space="preserve"> </w:t>
      </w:r>
      <w:r>
        <w:rPr>
          <w:rFonts w:ascii="Arial" w:eastAsia="Arial" w:hAnsi="Arial" w:cs="Arial"/>
          <w:sz w:val="17"/>
          <w:szCs w:val="17"/>
        </w:rPr>
        <w:t xml:space="preserve">through a bank or brokerage firm. In </w:t>
      </w:r>
      <w:r>
        <w:rPr>
          <w:rFonts w:ascii="Arial" w:eastAsia="Arial" w:hAnsi="Arial" w:cs="Arial"/>
          <w:sz w:val="17"/>
          <w:szCs w:val="17"/>
        </w:rPr>
        <w:t>such cases, the bank or brokerage firm would be said to hold the stock in “street name” and ownership would be recorded on the bank or brokerage firm’s books. If you hold your LB common stock through a bank or brokerage firm, your bank or brokerage firm wi</w:t>
      </w:r>
      <w:r>
        <w:rPr>
          <w:rFonts w:ascii="Arial" w:eastAsia="Arial" w:hAnsi="Arial" w:cs="Arial"/>
          <w:sz w:val="17"/>
          <w:szCs w:val="17"/>
        </w:rPr>
        <w:t xml:space="preserve">ll credit your account for the shares of VS common stock that you are entitled to receive in the Distribution. If you have any questions concerning the mechanics of having shares of common stock held in “street name,” we encourage you to contact your bank </w:t>
      </w:r>
      <w:r>
        <w:rPr>
          <w:rFonts w:ascii="Arial" w:eastAsia="Arial" w:hAnsi="Arial" w:cs="Arial"/>
          <w:sz w:val="17"/>
          <w:szCs w:val="17"/>
        </w:rPr>
        <w:t>or brokerage firm.</w:t>
      </w:r>
    </w:p>
    <w:p w14:paraId="6A2533D5" w14:textId="77777777" w:rsidR="00D1587D" w:rsidRDefault="00D1587D">
      <w:pPr>
        <w:spacing w:line="227" w:lineRule="exact"/>
        <w:rPr>
          <w:sz w:val="20"/>
          <w:szCs w:val="20"/>
        </w:rPr>
      </w:pPr>
    </w:p>
    <w:p w14:paraId="30425390" w14:textId="77777777" w:rsidR="00D1587D" w:rsidRDefault="00410D07">
      <w:pPr>
        <w:ind w:left="300"/>
        <w:rPr>
          <w:sz w:val="20"/>
          <w:szCs w:val="20"/>
        </w:rPr>
      </w:pPr>
      <w:r>
        <w:rPr>
          <w:rFonts w:ascii="Arial" w:eastAsia="Arial" w:hAnsi="Arial" w:cs="Arial"/>
          <w:b/>
          <w:bCs/>
          <w:sz w:val="18"/>
          <w:szCs w:val="18"/>
        </w:rPr>
        <w:t>Treatment of Outstanding Equity Compensation Awards</w:t>
      </w:r>
    </w:p>
    <w:p w14:paraId="7B8C8557" w14:textId="77777777" w:rsidR="00D1587D" w:rsidRDefault="00D1587D">
      <w:pPr>
        <w:spacing w:line="121" w:lineRule="exact"/>
        <w:rPr>
          <w:sz w:val="20"/>
          <w:szCs w:val="20"/>
        </w:rPr>
      </w:pPr>
    </w:p>
    <w:p w14:paraId="58E44620" w14:textId="77777777" w:rsidR="00D1587D" w:rsidRDefault="00410D07">
      <w:pPr>
        <w:spacing w:line="263" w:lineRule="auto"/>
        <w:ind w:left="300" w:right="479" w:firstLine="360"/>
        <w:rPr>
          <w:sz w:val="20"/>
          <w:szCs w:val="20"/>
        </w:rPr>
      </w:pPr>
      <w:r>
        <w:rPr>
          <w:rFonts w:ascii="Arial" w:eastAsia="Arial" w:hAnsi="Arial" w:cs="Arial"/>
          <w:sz w:val="18"/>
          <w:szCs w:val="18"/>
        </w:rPr>
        <w:t xml:space="preserve">In connection with the Separation, outstanding LB equity awards will generally be equitably adjusted in a manner that is intended to preserve the aggregate intrinsic value of such </w:t>
      </w:r>
      <w:r>
        <w:rPr>
          <w:rFonts w:ascii="Arial" w:eastAsia="Arial" w:hAnsi="Arial" w:cs="Arial"/>
          <w:sz w:val="18"/>
          <w:szCs w:val="18"/>
        </w:rPr>
        <w:t>awards as of immediately before and after the Distribution.</w:t>
      </w:r>
    </w:p>
    <w:p w14:paraId="48632CA4" w14:textId="77777777" w:rsidR="00D1587D" w:rsidRDefault="00D1587D">
      <w:pPr>
        <w:spacing w:line="76" w:lineRule="exact"/>
        <w:rPr>
          <w:sz w:val="20"/>
          <w:szCs w:val="20"/>
        </w:rPr>
      </w:pPr>
    </w:p>
    <w:p w14:paraId="1FB46273" w14:textId="77777777" w:rsidR="00D1587D" w:rsidRDefault="00410D07">
      <w:pPr>
        <w:spacing w:line="269" w:lineRule="auto"/>
        <w:ind w:left="300" w:right="319" w:firstLine="360"/>
        <w:rPr>
          <w:sz w:val="20"/>
          <w:szCs w:val="20"/>
        </w:rPr>
      </w:pPr>
      <w:r>
        <w:rPr>
          <w:rFonts w:ascii="Arial" w:eastAsia="Arial" w:hAnsi="Arial" w:cs="Arial"/>
          <w:sz w:val="17"/>
          <w:szCs w:val="17"/>
        </w:rPr>
        <w:t>Specifically, we intend that, in connection with the Separation, (i) outstanding LB equity awards held by individuals who will continue to be employed by or provide services to LB as well as form</w:t>
      </w:r>
      <w:r>
        <w:rPr>
          <w:rFonts w:ascii="Arial" w:eastAsia="Arial" w:hAnsi="Arial" w:cs="Arial"/>
          <w:sz w:val="17"/>
          <w:szCs w:val="17"/>
        </w:rPr>
        <w:t>er VS employees will be equitably adjusted to reflect the difference in the value of LB common stock before and after the Distribution in a manner that is intended to preserve the overall intrinsic value of the awards by taking into account the relative va</w:t>
      </w:r>
      <w:r>
        <w:rPr>
          <w:rFonts w:ascii="Arial" w:eastAsia="Arial" w:hAnsi="Arial" w:cs="Arial"/>
          <w:sz w:val="17"/>
          <w:szCs w:val="17"/>
        </w:rPr>
        <w:t>lue of LB common stock before and after the Distribution, and (ii) outstanding LB equity awards held by individuals who are then-currently employed by or otherwise providing services to VS, or whose employment or engagement will be transferred to VS in con</w:t>
      </w:r>
      <w:r>
        <w:rPr>
          <w:rFonts w:ascii="Arial" w:eastAsia="Arial" w:hAnsi="Arial" w:cs="Arial"/>
          <w:sz w:val="17"/>
          <w:szCs w:val="17"/>
        </w:rPr>
        <w:t>nection with and prior to the Separation, will be converted into equity awards that will be settled in shares of VS common stock in a manner intended to equitably preserve the overall intrinsic value of the converted equity awards by taking into account th</w:t>
      </w:r>
      <w:r>
        <w:rPr>
          <w:rFonts w:ascii="Arial" w:eastAsia="Arial" w:hAnsi="Arial" w:cs="Arial"/>
          <w:sz w:val="17"/>
          <w:szCs w:val="17"/>
        </w:rPr>
        <w:t>e relative value of LB common stock before the Distribution and the value of VS common stock after the Distribution.</w:t>
      </w:r>
    </w:p>
    <w:p w14:paraId="6631AB91" w14:textId="77777777" w:rsidR="00D1587D" w:rsidRDefault="00D1587D">
      <w:pPr>
        <w:spacing w:line="77" w:lineRule="exact"/>
        <w:rPr>
          <w:sz w:val="20"/>
          <w:szCs w:val="20"/>
        </w:rPr>
      </w:pPr>
    </w:p>
    <w:p w14:paraId="1A8FD90E" w14:textId="77777777" w:rsidR="00D1587D" w:rsidRDefault="00410D07">
      <w:pPr>
        <w:spacing w:line="272" w:lineRule="auto"/>
        <w:ind w:left="300" w:right="359" w:firstLine="360"/>
        <w:rPr>
          <w:sz w:val="20"/>
          <w:szCs w:val="20"/>
        </w:rPr>
      </w:pPr>
      <w:r>
        <w:rPr>
          <w:rFonts w:ascii="Arial" w:eastAsia="Arial" w:hAnsi="Arial" w:cs="Arial"/>
          <w:sz w:val="17"/>
          <w:szCs w:val="17"/>
        </w:rPr>
        <w:t>In addition, any LB equity awards held by employees who are intended to transfer to VS following the Distribution Date (including in conne</w:t>
      </w:r>
      <w:r>
        <w:rPr>
          <w:rFonts w:ascii="Arial" w:eastAsia="Arial" w:hAnsi="Arial" w:cs="Arial"/>
          <w:sz w:val="17"/>
          <w:szCs w:val="17"/>
        </w:rPr>
        <w:t>ction with any transition services) will be treated in the same manner as other LB employees on the Distribution Date, as described above. Upon the transfer of their employment to VS following the Distribution Date, VS will be required to grant such employ</w:t>
      </w:r>
      <w:r>
        <w:rPr>
          <w:rFonts w:ascii="Arial" w:eastAsia="Arial" w:hAnsi="Arial" w:cs="Arial"/>
          <w:sz w:val="17"/>
          <w:szCs w:val="17"/>
        </w:rPr>
        <w:t>ees VS equity awards to replace any LB equity awards forfeited by such employees in connection with the transfer of their employment. These replacement VS equity awards will have a value equal to the intrinsic value of the applicable forfeited LB equity aw</w:t>
      </w:r>
      <w:r>
        <w:rPr>
          <w:rFonts w:ascii="Arial" w:eastAsia="Arial" w:hAnsi="Arial" w:cs="Arial"/>
          <w:sz w:val="17"/>
          <w:szCs w:val="17"/>
        </w:rPr>
        <w:t>ards, determined in the manner set forth in the Employee Matters Agreement.</w:t>
      </w:r>
    </w:p>
    <w:p w14:paraId="1B86BFD6" w14:textId="77777777" w:rsidR="00D1587D" w:rsidRDefault="00D1587D">
      <w:pPr>
        <w:spacing w:line="214" w:lineRule="exact"/>
        <w:rPr>
          <w:sz w:val="20"/>
          <w:szCs w:val="20"/>
        </w:rPr>
      </w:pPr>
    </w:p>
    <w:p w14:paraId="1B7A2EBD" w14:textId="77777777" w:rsidR="00D1587D" w:rsidRDefault="00410D07">
      <w:pPr>
        <w:ind w:left="300"/>
        <w:rPr>
          <w:sz w:val="20"/>
          <w:szCs w:val="20"/>
        </w:rPr>
      </w:pPr>
      <w:r>
        <w:rPr>
          <w:rFonts w:ascii="Arial" w:eastAsia="Arial" w:hAnsi="Arial" w:cs="Arial"/>
          <w:b/>
          <w:bCs/>
          <w:sz w:val="18"/>
          <w:szCs w:val="18"/>
        </w:rPr>
        <w:t>Results of the Separation</w:t>
      </w:r>
    </w:p>
    <w:p w14:paraId="395FD2C4" w14:textId="77777777" w:rsidR="00D1587D" w:rsidRDefault="00D1587D">
      <w:pPr>
        <w:spacing w:line="121" w:lineRule="exact"/>
        <w:rPr>
          <w:sz w:val="20"/>
          <w:szCs w:val="20"/>
        </w:rPr>
      </w:pPr>
    </w:p>
    <w:p w14:paraId="2C257555" w14:textId="77777777" w:rsidR="00D1587D" w:rsidRDefault="00410D07">
      <w:pPr>
        <w:spacing w:line="291" w:lineRule="auto"/>
        <w:ind w:left="300" w:right="779" w:firstLine="360"/>
        <w:rPr>
          <w:sz w:val="20"/>
          <w:szCs w:val="20"/>
        </w:rPr>
      </w:pPr>
      <w:r>
        <w:rPr>
          <w:rFonts w:ascii="Arial" w:eastAsia="Arial" w:hAnsi="Arial" w:cs="Arial"/>
          <w:sz w:val="16"/>
          <w:szCs w:val="16"/>
        </w:rPr>
        <w:t>After the Separation, we will be an independent, publicly traded company that directly or indirectly holds certain assets and liabilities of the Spin Bu</w:t>
      </w:r>
      <w:r>
        <w:rPr>
          <w:rFonts w:ascii="Arial" w:eastAsia="Arial" w:hAnsi="Arial" w:cs="Arial"/>
          <w:sz w:val="16"/>
          <w:szCs w:val="16"/>
        </w:rPr>
        <w:t>siness. Immediately following the Separation, we expect to have</w:t>
      </w:r>
    </w:p>
    <w:p w14:paraId="34130656" w14:textId="77777777" w:rsidR="00D1587D" w:rsidRDefault="00410D07">
      <w:pPr>
        <w:spacing w:line="253" w:lineRule="auto"/>
        <w:ind w:left="300" w:right="439"/>
        <w:rPr>
          <w:sz w:val="20"/>
          <w:szCs w:val="20"/>
        </w:rPr>
      </w:pPr>
      <w:r>
        <w:rPr>
          <w:rFonts w:ascii="Arial" w:eastAsia="Arial" w:hAnsi="Arial" w:cs="Arial"/>
          <w:sz w:val="18"/>
          <w:szCs w:val="18"/>
        </w:rPr>
        <w:t>approximately stockholders of record, based on the number of registered stockholders of LB common stock on , 2021, applying a distribution ratio of one share of our common stock for every shar</w:t>
      </w:r>
      <w:r>
        <w:rPr>
          <w:rFonts w:ascii="Arial" w:eastAsia="Arial" w:hAnsi="Arial" w:cs="Arial"/>
          <w:sz w:val="18"/>
          <w:szCs w:val="18"/>
        </w:rPr>
        <w:t>es of LB common stock. We expect to have approximately shares of VS common stock outstanding. The actual number of shares to be distributed will be determined on the record date.</w:t>
      </w:r>
    </w:p>
    <w:p w14:paraId="58E6DD85" w14:textId="77777777" w:rsidR="00D1587D" w:rsidRDefault="00D1587D">
      <w:pPr>
        <w:spacing w:line="85" w:lineRule="exact"/>
        <w:rPr>
          <w:sz w:val="20"/>
          <w:szCs w:val="20"/>
        </w:rPr>
      </w:pPr>
    </w:p>
    <w:p w14:paraId="2BCD0DB6" w14:textId="77777777" w:rsidR="00D1587D" w:rsidRDefault="00410D07">
      <w:pPr>
        <w:spacing w:line="301" w:lineRule="auto"/>
        <w:ind w:left="300" w:right="779" w:firstLine="360"/>
        <w:rPr>
          <w:sz w:val="20"/>
          <w:szCs w:val="20"/>
        </w:rPr>
      </w:pPr>
      <w:r>
        <w:rPr>
          <w:rFonts w:ascii="Arial" w:eastAsia="Arial" w:hAnsi="Arial" w:cs="Arial"/>
          <w:sz w:val="16"/>
          <w:szCs w:val="16"/>
        </w:rPr>
        <w:t xml:space="preserve">Before the completion of the Separation, we will enter into a </w:t>
      </w:r>
      <w:r>
        <w:rPr>
          <w:rFonts w:ascii="Arial" w:eastAsia="Arial" w:hAnsi="Arial" w:cs="Arial"/>
          <w:sz w:val="16"/>
          <w:szCs w:val="16"/>
        </w:rPr>
        <w:t>Separation and Distribution Agreement and several other agreements with LB to effect the Separation and provide a framework for our relationship with LB after the Separation. These agreements will provide for the allocation between VS and LB of LB’s assets</w:t>
      </w:r>
      <w:r>
        <w:rPr>
          <w:rFonts w:ascii="Arial" w:eastAsia="Arial" w:hAnsi="Arial" w:cs="Arial"/>
          <w:sz w:val="16"/>
          <w:szCs w:val="16"/>
        </w:rPr>
        <w:t>, liabilities and obligations subsequent to the Separation (including with respect to transition services, employee</w:t>
      </w:r>
    </w:p>
    <w:p w14:paraId="7493C326" w14:textId="77777777" w:rsidR="00D1587D" w:rsidRDefault="00D1587D">
      <w:pPr>
        <w:spacing w:line="157" w:lineRule="exact"/>
        <w:rPr>
          <w:sz w:val="20"/>
          <w:szCs w:val="20"/>
        </w:rPr>
      </w:pPr>
    </w:p>
    <w:p w14:paraId="63B2864F" w14:textId="77777777" w:rsidR="00D1587D" w:rsidRDefault="00410D07">
      <w:pPr>
        <w:jc w:val="center"/>
        <w:rPr>
          <w:sz w:val="20"/>
          <w:szCs w:val="20"/>
        </w:rPr>
      </w:pPr>
      <w:r>
        <w:rPr>
          <w:rFonts w:ascii="Arial" w:eastAsia="Arial" w:hAnsi="Arial" w:cs="Arial"/>
          <w:sz w:val="18"/>
          <w:szCs w:val="18"/>
        </w:rPr>
        <w:t>42</w:t>
      </w:r>
    </w:p>
    <w:p w14:paraId="52D76821" w14:textId="77777777" w:rsidR="00D1587D" w:rsidRDefault="00410D07">
      <w:pPr>
        <w:spacing w:line="20" w:lineRule="exact"/>
        <w:rPr>
          <w:sz w:val="20"/>
          <w:szCs w:val="20"/>
        </w:rPr>
      </w:pPr>
      <w:r>
        <w:rPr>
          <w:noProof/>
          <w:sz w:val="20"/>
          <w:szCs w:val="20"/>
        </w:rPr>
        <w:drawing>
          <wp:anchor distT="0" distB="0" distL="114300" distR="114300" simplePos="0" relativeHeight="251485184" behindDoc="1" locked="0" layoutInCell="0" allowOverlap="1" wp14:anchorId="3F8692E6" wp14:editId="28BE5600">
            <wp:simplePos x="0" y="0"/>
            <wp:positionH relativeFrom="column">
              <wp:posOffset>-636905</wp:posOffset>
            </wp:positionH>
            <wp:positionV relativeFrom="paragraph">
              <wp:posOffset>126365</wp:posOffset>
            </wp:positionV>
            <wp:extent cx="6995160" cy="17145"/>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CC29541" w14:textId="77777777" w:rsidR="00D1587D" w:rsidRDefault="00D1587D">
      <w:pPr>
        <w:sectPr w:rsidR="00D1587D">
          <w:pgSz w:w="11900" w:h="16838"/>
          <w:pgMar w:top="265" w:right="1440" w:bottom="1440" w:left="1440" w:header="0" w:footer="0" w:gutter="0"/>
          <w:cols w:space="720" w:equalWidth="0">
            <w:col w:w="9019"/>
          </w:cols>
        </w:sectPr>
      </w:pPr>
    </w:p>
    <w:bookmarkStart w:id="300" w:name="page301"/>
    <w:bookmarkEnd w:id="300"/>
    <w:p w14:paraId="3FE49B3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023FE40" w14:textId="77777777" w:rsidR="00D1587D" w:rsidRDefault="00D1587D">
      <w:pPr>
        <w:spacing w:line="131" w:lineRule="exact"/>
        <w:rPr>
          <w:sz w:val="20"/>
          <w:szCs w:val="20"/>
        </w:rPr>
      </w:pPr>
    </w:p>
    <w:p w14:paraId="3FDDB298" w14:textId="77777777" w:rsidR="00D1587D" w:rsidRDefault="00410D07">
      <w:pPr>
        <w:spacing w:line="286" w:lineRule="auto"/>
        <w:ind w:left="300" w:right="599"/>
        <w:jc w:val="both"/>
        <w:rPr>
          <w:sz w:val="20"/>
          <w:szCs w:val="20"/>
        </w:rPr>
      </w:pPr>
      <w:r>
        <w:rPr>
          <w:rFonts w:ascii="Arial" w:eastAsia="Arial" w:hAnsi="Arial" w:cs="Arial"/>
          <w:sz w:val="17"/>
          <w:szCs w:val="17"/>
        </w:rPr>
        <w:t xml:space="preserve">matters, tax matters, domestic transportation services </w:t>
      </w:r>
      <w:r>
        <w:rPr>
          <w:rFonts w:ascii="Arial" w:eastAsia="Arial" w:hAnsi="Arial" w:cs="Arial"/>
          <w:sz w:val="17"/>
          <w:szCs w:val="17"/>
        </w:rPr>
        <w:t>matters, and certain commercial arrangements). For a more detailed description of these agreements, see “—Agreements with LB” below. The Separation will not affect the number of outstanding shares of LB common stock or any rights of LB stockholders.</w:t>
      </w:r>
    </w:p>
    <w:p w14:paraId="371946CA" w14:textId="77777777" w:rsidR="00D1587D" w:rsidRDefault="00D1587D">
      <w:pPr>
        <w:spacing w:line="310" w:lineRule="exact"/>
        <w:rPr>
          <w:sz w:val="20"/>
          <w:szCs w:val="20"/>
        </w:rPr>
      </w:pPr>
    </w:p>
    <w:p w14:paraId="5FBD777E" w14:textId="77777777" w:rsidR="00D1587D" w:rsidRDefault="00410D07">
      <w:pPr>
        <w:ind w:left="300"/>
        <w:rPr>
          <w:sz w:val="20"/>
          <w:szCs w:val="20"/>
        </w:rPr>
      </w:pPr>
      <w:r>
        <w:rPr>
          <w:rFonts w:ascii="Arial" w:eastAsia="Arial" w:hAnsi="Arial" w:cs="Arial"/>
          <w:b/>
          <w:bCs/>
          <w:sz w:val="18"/>
          <w:szCs w:val="18"/>
        </w:rPr>
        <w:t>Incur</w:t>
      </w:r>
      <w:r>
        <w:rPr>
          <w:rFonts w:ascii="Arial" w:eastAsia="Arial" w:hAnsi="Arial" w:cs="Arial"/>
          <w:b/>
          <w:bCs/>
          <w:sz w:val="18"/>
          <w:szCs w:val="18"/>
        </w:rPr>
        <w:t>rence of Debt</w:t>
      </w:r>
    </w:p>
    <w:p w14:paraId="029DFAE3" w14:textId="77777777" w:rsidR="00D1587D" w:rsidRDefault="00D1587D">
      <w:pPr>
        <w:spacing w:line="121" w:lineRule="exact"/>
        <w:rPr>
          <w:sz w:val="20"/>
          <w:szCs w:val="20"/>
        </w:rPr>
      </w:pPr>
    </w:p>
    <w:p w14:paraId="01AE8F57" w14:textId="77777777" w:rsidR="00D1587D" w:rsidRDefault="00410D07">
      <w:pPr>
        <w:spacing w:line="257" w:lineRule="auto"/>
        <w:ind w:left="300" w:right="399" w:firstLine="360"/>
        <w:rPr>
          <w:sz w:val="20"/>
          <w:szCs w:val="20"/>
        </w:rPr>
      </w:pPr>
      <w:r>
        <w:rPr>
          <w:rFonts w:ascii="Arial" w:eastAsia="Arial" w:hAnsi="Arial" w:cs="Arial"/>
          <w:sz w:val="18"/>
          <w:szCs w:val="18"/>
        </w:rPr>
        <w:t xml:space="preserve">We intend to enter into new financing arrangements in anticipation of the Separation consisting of senior notes and/or term loan facilities and a revolving facility. We expect to incur up to $1.0 billion of new debt from senior notes and/or </w:t>
      </w:r>
      <w:r>
        <w:rPr>
          <w:rFonts w:ascii="Arial" w:eastAsia="Arial" w:hAnsi="Arial" w:cs="Arial"/>
          <w:sz w:val="18"/>
          <w:szCs w:val="18"/>
        </w:rPr>
        <w:t>term loan facilities, the proceeds of which we intend to use to make the LB Cash Payment and to pay related fees and expenses. We also expect to establish a $750 million asset-based revolving facility, which is expected to be undrawn at the Separation.</w:t>
      </w:r>
    </w:p>
    <w:p w14:paraId="20BDAAEA" w14:textId="77777777" w:rsidR="00D1587D" w:rsidRDefault="00D1587D">
      <w:pPr>
        <w:spacing w:line="80" w:lineRule="exact"/>
        <w:rPr>
          <w:sz w:val="20"/>
          <w:szCs w:val="20"/>
        </w:rPr>
      </w:pPr>
    </w:p>
    <w:p w14:paraId="2752A739" w14:textId="77777777" w:rsidR="00D1587D" w:rsidRDefault="00410D07">
      <w:pPr>
        <w:spacing w:line="253" w:lineRule="auto"/>
        <w:ind w:left="300" w:right="299" w:firstLine="360"/>
        <w:rPr>
          <w:sz w:val="20"/>
          <w:szCs w:val="20"/>
        </w:rPr>
      </w:pPr>
      <w:r>
        <w:rPr>
          <w:rFonts w:ascii="Arial" w:eastAsia="Arial" w:hAnsi="Arial" w:cs="Arial"/>
          <w:sz w:val="18"/>
          <w:szCs w:val="18"/>
        </w:rPr>
        <w:t>Fo</w:t>
      </w:r>
      <w:r>
        <w:rPr>
          <w:rFonts w:ascii="Arial" w:eastAsia="Arial" w:hAnsi="Arial" w:cs="Arial"/>
          <w:sz w:val="18"/>
          <w:szCs w:val="18"/>
        </w:rPr>
        <w:t>llowing the Separation, our debt obligations could restrict our business and may adversely impact our financial condition, results of operations or cash flows. In addition, the Separation may increase the overall cost of debt funding and decrease the overa</w:t>
      </w:r>
      <w:r>
        <w:rPr>
          <w:rFonts w:ascii="Arial" w:eastAsia="Arial" w:hAnsi="Arial" w:cs="Arial"/>
          <w:sz w:val="18"/>
          <w:szCs w:val="18"/>
        </w:rPr>
        <w:t>ll debt capacity and commercial credit available to the businesses collectively. Also, our business, financial condition, results of operations and cash flows could be harmed by a deterioration of our credit profile or by factors adversely affecting the cr</w:t>
      </w:r>
      <w:r>
        <w:rPr>
          <w:rFonts w:ascii="Arial" w:eastAsia="Arial" w:hAnsi="Arial" w:cs="Arial"/>
          <w:sz w:val="18"/>
          <w:szCs w:val="18"/>
        </w:rPr>
        <w:t>edit markets generally. See “Risk Factors—Risks Relating to the Separation—Following the Separation, we will have debt obligations that could restrict our business and adversely impact our results of operations, financial condition or cash flows. In additi</w:t>
      </w:r>
      <w:r>
        <w:rPr>
          <w:rFonts w:ascii="Arial" w:eastAsia="Arial" w:hAnsi="Arial" w:cs="Arial"/>
          <w:sz w:val="18"/>
          <w:szCs w:val="18"/>
        </w:rPr>
        <w:t>on, the separation of our business from LB may increase the overall cost of debt funding and decrease the overall debt capacity and commercial credit available to us.”</w:t>
      </w:r>
    </w:p>
    <w:p w14:paraId="28E60E33" w14:textId="77777777" w:rsidR="00D1587D" w:rsidRDefault="00D1587D">
      <w:pPr>
        <w:spacing w:line="341" w:lineRule="exact"/>
        <w:rPr>
          <w:sz w:val="20"/>
          <w:szCs w:val="20"/>
        </w:rPr>
      </w:pPr>
    </w:p>
    <w:p w14:paraId="1CBB81DD" w14:textId="77777777" w:rsidR="00D1587D" w:rsidRDefault="00410D07">
      <w:pPr>
        <w:ind w:left="300"/>
        <w:rPr>
          <w:sz w:val="20"/>
          <w:szCs w:val="20"/>
        </w:rPr>
      </w:pPr>
      <w:r>
        <w:rPr>
          <w:rFonts w:ascii="Arial" w:eastAsia="Arial" w:hAnsi="Arial" w:cs="Arial"/>
          <w:b/>
          <w:bCs/>
          <w:sz w:val="18"/>
          <w:szCs w:val="18"/>
        </w:rPr>
        <w:t>Material U.S. Federal Income Tax Consequences of the Distribution</w:t>
      </w:r>
    </w:p>
    <w:p w14:paraId="6071ABC3" w14:textId="77777777" w:rsidR="00D1587D" w:rsidRDefault="00D1587D">
      <w:pPr>
        <w:spacing w:line="121" w:lineRule="exact"/>
        <w:rPr>
          <w:sz w:val="20"/>
          <w:szCs w:val="20"/>
        </w:rPr>
      </w:pPr>
    </w:p>
    <w:p w14:paraId="03D745B0" w14:textId="77777777" w:rsidR="00D1587D" w:rsidRDefault="00410D07">
      <w:pPr>
        <w:spacing w:line="286" w:lineRule="auto"/>
        <w:ind w:left="300" w:right="459" w:firstLine="360"/>
        <w:rPr>
          <w:sz w:val="20"/>
          <w:szCs w:val="20"/>
        </w:rPr>
      </w:pPr>
      <w:r>
        <w:rPr>
          <w:rFonts w:ascii="Arial" w:eastAsia="Arial" w:hAnsi="Arial" w:cs="Arial"/>
          <w:sz w:val="16"/>
          <w:szCs w:val="16"/>
        </w:rPr>
        <w:t xml:space="preserve">The </w:t>
      </w:r>
      <w:r>
        <w:rPr>
          <w:rFonts w:ascii="Arial" w:eastAsia="Arial" w:hAnsi="Arial" w:cs="Arial"/>
          <w:sz w:val="16"/>
          <w:szCs w:val="16"/>
        </w:rPr>
        <w:t xml:space="preserve">following is a discussion of the material U.S. federal income tax consequences of the Distribution to U.S. Holders (as defined below) of LB common stock. This discussion is based on the Code, applicable Treasury regulations, administrative interpretations </w:t>
      </w:r>
      <w:r>
        <w:rPr>
          <w:rFonts w:ascii="Arial" w:eastAsia="Arial" w:hAnsi="Arial" w:cs="Arial"/>
          <w:sz w:val="16"/>
          <w:szCs w:val="16"/>
        </w:rPr>
        <w:t>and court decisions as in effect as of the date of this information statement, all of which may change, possibly with retroactive effect. For purposes of this discussion,</w:t>
      </w:r>
    </w:p>
    <w:p w14:paraId="74992F5A" w14:textId="77777777" w:rsidR="00D1587D" w:rsidRDefault="00D1587D">
      <w:pPr>
        <w:spacing w:line="1" w:lineRule="exact"/>
        <w:rPr>
          <w:sz w:val="20"/>
          <w:szCs w:val="20"/>
        </w:rPr>
      </w:pPr>
    </w:p>
    <w:p w14:paraId="33BA754D" w14:textId="77777777" w:rsidR="00D1587D" w:rsidRDefault="00410D07">
      <w:pPr>
        <w:ind w:left="300"/>
        <w:rPr>
          <w:sz w:val="20"/>
          <w:szCs w:val="20"/>
        </w:rPr>
      </w:pPr>
      <w:r>
        <w:rPr>
          <w:rFonts w:ascii="Arial" w:eastAsia="Arial" w:hAnsi="Arial" w:cs="Arial"/>
          <w:sz w:val="18"/>
          <w:szCs w:val="18"/>
        </w:rPr>
        <w:t>a “U.S. Holder” is a beneficial owner of LB common stock that is for U.S. federal in</w:t>
      </w:r>
      <w:r>
        <w:rPr>
          <w:rFonts w:ascii="Arial" w:eastAsia="Arial" w:hAnsi="Arial" w:cs="Arial"/>
          <w:sz w:val="18"/>
          <w:szCs w:val="18"/>
        </w:rPr>
        <w:t>come tax purposes:</w:t>
      </w:r>
    </w:p>
    <w:p w14:paraId="1332CA24" w14:textId="77777777" w:rsidR="00D1587D" w:rsidRDefault="00D1587D">
      <w:pPr>
        <w:spacing w:line="103" w:lineRule="exact"/>
        <w:rPr>
          <w:sz w:val="20"/>
          <w:szCs w:val="20"/>
        </w:rPr>
      </w:pPr>
    </w:p>
    <w:p w14:paraId="1E817F47" w14:textId="77777777" w:rsidR="00D1587D" w:rsidRDefault="00410D07" w:rsidP="00410D07">
      <w:pPr>
        <w:numPr>
          <w:ilvl w:val="0"/>
          <w:numId w:val="257"/>
        </w:numPr>
        <w:tabs>
          <w:tab w:val="left" w:pos="1000"/>
        </w:tabs>
        <w:ind w:left="1000" w:hanging="348"/>
        <w:rPr>
          <w:rFonts w:ascii="Arial" w:eastAsia="Arial" w:hAnsi="Arial" w:cs="Arial"/>
          <w:sz w:val="18"/>
          <w:szCs w:val="18"/>
        </w:rPr>
      </w:pPr>
      <w:r>
        <w:rPr>
          <w:rFonts w:ascii="Arial" w:eastAsia="Arial" w:hAnsi="Arial" w:cs="Arial"/>
          <w:sz w:val="18"/>
          <w:szCs w:val="18"/>
        </w:rPr>
        <w:t>A citizen or resident of the U.S.;</w:t>
      </w:r>
    </w:p>
    <w:p w14:paraId="68FC831C" w14:textId="77777777" w:rsidR="00D1587D" w:rsidRDefault="00D1587D">
      <w:pPr>
        <w:spacing w:line="117" w:lineRule="exact"/>
        <w:rPr>
          <w:rFonts w:ascii="Arial" w:eastAsia="Arial" w:hAnsi="Arial" w:cs="Arial"/>
          <w:sz w:val="18"/>
          <w:szCs w:val="18"/>
        </w:rPr>
      </w:pPr>
    </w:p>
    <w:p w14:paraId="3A3EAB7A" w14:textId="77777777" w:rsidR="00D1587D" w:rsidRDefault="00410D07" w:rsidP="00410D07">
      <w:pPr>
        <w:numPr>
          <w:ilvl w:val="0"/>
          <w:numId w:val="257"/>
        </w:numPr>
        <w:tabs>
          <w:tab w:val="left" w:pos="1000"/>
        </w:tabs>
        <w:spacing w:line="342" w:lineRule="auto"/>
        <w:ind w:left="1000" w:right="659" w:hanging="348"/>
        <w:rPr>
          <w:rFonts w:ascii="Arial" w:eastAsia="Arial" w:hAnsi="Arial" w:cs="Arial"/>
          <w:sz w:val="16"/>
          <w:szCs w:val="16"/>
        </w:rPr>
      </w:pPr>
      <w:r>
        <w:rPr>
          <w:rFonts w:ascii="Arial" w:eastAsia="Arial" w:hAnsi="Arial" w:cs="Arial"/>
          <w:sz w:val="16"/>
          <w:szCs w:val="16"/>
        </w:rPr>
        <w:t>A corporation, or other entity taxable as a corporation for U.S. federal income tax purposes, created or organized in or under the laws of the U.S., any state therein or the District of Columbia; or</w:t>
      </w:r>
    </w:p>
    <w:p w14:paraId="11454D27" w14:textId="77777777" w:rsidR="00D1587D" w:rsidRDefault="00D1587D">
      <w:pPr>
        <w:spacing w:line="15" w:lineRule="exact"/>
        <w:rPr>
          <w:rFonts w:ascii="Arial" w:eastAsia="Arial" w:hAnsi="Arial" w:cs="Arial"/>
          <w:sz w:val="16"/>
          <w:szCs w:val="16"/>
        </w:rPr>
      </w:pPr>
    </w:p>
    <w:p w14:paraId="2AAD7EE0" w14:textId="77777777" w:rsidR="00D1587D" w:rsidRDefault="00410D07" w:rsidP="00410D07">
      <w:pPr>
        <w:numPr>
          <w:ilvl w:val="0"/>
          <w:numId w:val="257"/>
        </w:numPr>
        <w:tabs>
          <w:tab w:val="left" w:pos="1000"/>
        </w:tabs>
        <w:ind w:left="1000" w:hanging="348"/>
        <w:rPr>
          <w:rFonts w:ascii="Arial" w:eastAsia="Arial" w:hAnsi="Arial" w:cs="Arial"/>
          <w:sz w:val="16"/>
          <w:szCs w:val="16"/>
        </w:rPr>
      </w:pPr>
      <w:r>
        <w:rPr>
          <w:rFonts w:ascii="Arial" w:eastAsia="Arial" w:hAnsi="Arial" w:cs="Arial"/>
          <w:sz w:val="16"/>
          <w:szCs w:val="16"/>
        </w:rPr>
        <w:t>An estate or trust the income of which is subject to U.S. federal income taxation regardless of its source.</w:t>
      </w:r>
    </w:p>
    <w:p w14:paraId="5CE92992" w14:textId="77777777" w:rsidR="00D1587D" w:rsidRDefault="00D1587D">
      <w:pPr>
        <w:spacing w:line="140" w:lineRule="exact"/>
        <w:rPr>
          <w:sz w:val="20"/>
          <w:szCs w:val="20"/>
        </w:rPr>
      </w:pPr>
    </w:p>
    <w:p w14:paraId="77ECA9D7" w14:textId="77777777" w:rsidR="00D1587D" w:rsidRDefault="00410D07">
      <w:pPr>
        <w:spacing w:line="259" w:lineRule="auto"/>
        <w:ind w:left="300" w:right="479" w:firstLine="360"/>
        <w:rPr>
          <w:sz w:val="20"/>
          <w:szCs w:val="20"/>
        </w:rPr>
      </w:pPr>
      <w:r>
        <w:rPr>
          <w:rFonts w:ascii="Arial" w:eastAsia="Arial" w:hAnsi="Arial" w:cs="Arial"/>
          <w:sz w:val="18"/>
          <w:szCs w:val="18"/>
        </w:rPr>
        <w:t>This discussion addresses only the consequences of the Distribution to U.S. Holders that hold LB common stock as a capital asset. It does not addre</w:t>
      </w:r>
      <w:r>
        <w:rPr>
          <w:rFonts w:ascii="Arial" w:eastAsia="Arial" w:hAnsi="Arial" w:cs="Arial"/>
          <w:sz w:val="18"/>
          <w:szCs w:val="18"/>
        </w:rPr>
        <w:t>ss all aspects of U.S. federal income taxation that may be important to a U.S. Holder in light of that stockholder’s particular circumstances or to a U.S. Holder subject to special rules, such as:</w:t>
      </w:r>
    </w:p>
    <w:p w14:paraId="4D3C9B36" w14:textId="77777777" w:rsidR="00D1587D" w:rsidRDefault="00D1587D">
      <w:pPr>
        <w:spacing w:line="79" w:lineRule="exact"/>
        <w:rPr>
          <w:sz w:val="20"/>
          <w:szCs w:val="20"/>
        </w:rPr>
      </w:pPr>
    </w:p>
    <w:p w14:paraId="291B3512" w14:textId="77777777" w:rsidR="00D1587D" w:rsidRDefault="00410D07" w:rsidP="00410D07">
      <w:pPr>
        <w:numPr>
          <w:ilvl w:val="0"/>
          <w:numId w:val="258"/>
        </w:numPr>
        <w:tabs>
          <w:tab w:val="left" w:pos="1000"/>
        </w:tabs>
        <w:ind w:left="1000" w:hanging="348"/>
        <w:rPr>
          <w:rFonts w:ascii="Arial" w:eastAsia="Arial" w:hAnsi="Arial" w:cs="Arial"/>
          <w:sz w:val="18"/>
          <w:szCs w:val="18"/>
        </w:rPr>
      </w:pPr>
      <w:r>
        <w:rPr>
          <w:rFonts w:ascii="Arial" w:eastAsia="Arial" w:hAnsi="Arial" w:cs="Arial"/>
          <w:sz w:val="18"/>
          <w:szCs w:val="18"/>
        </w:rPr>
        <w:t>A financial institution, regulated investment company or i</w:t>
      </w:r>
      <w:r>
        <w:rPr>
          <w:rFonts w:ascii="Arial" w:eastAsia="Arial" w:hAnsi="Arial" w:cs="Arial"/>
          <w:sz w:val="18"/>
          <w:szCs w:val="18"/>
        </w:rPr>
        <w:t>nsurance company;</w:t>
      </w:r>
    </w:p>
    <w:p w14:paraId="13CFADD6" w14:textId="77777777" w:rsidR="00D1587D" w:rsidRDefault="00D1587D">
      <w:pPr>
        <w:spacing w:line="117" w:lineRule="exact"/>
        <w:rPr>
          <w:rFonts w:ascii="Arial" w:eastAsia="Arial" w:hAnsi="Arial" w:cs="Arial"/>
          <w:sz w:val="18"/>
          <w:szCs w:val="18"/>
        </w:rPr>
      </w:pPr>
    </w:p>
    <w:p w14:paraId="214CAA5C" w14:textId="77777777" w:rsidR="00D1587D" w:rsidRDefault="00410D07" w:rsidP="00410D07">
      <w:pPr>
        <w:numPr>
          <w:ilvl w:val="0"/>
          <w:numId w:val="258"/>
        </w:numPr>
        <w:tabs>
          <w:tab w:val="left" w:pos="1000"/>
        </w:tabs>
        <w:ind w:left="1000" w:hanging="348"/>
        <w:rPr>
          <w:rFonts w:ascii="Arial" w:eastAsia="Arial" w:hAnsi="Arial" w:cs="Arial"/>
          <w:sz w:val="18"/>
          <w:szCs w:val="18"/>
        </w:rPr>
      </w:pPr>
      <w:r>
        <w:rPr>
          <w:rFonts w:ascii="Arial" w:eastAsia="Arial" w:hAnsi="Arial" w:cs="Arial"/>
          <w:sz w:val="18"/>
          <w:szCs w:val="18"/>
        </w:rPr>
        <w:t>A tax-exempt organization;</w:t>
      </w:r>
    </w:p>
    <w:p w14:paraId="15304711" w14:textId="77777777" w:rsidR="00D1587D" w:rsidRDefault="00D1587D">
      <w:pPr>
        <w:spacing w:line="117" w:lineRule="exact"/>
        <w:rPr>
          <w:rFonts w:ascii="Arial" w:eastAsia="Arial" w:hAnsi="Arial" w:cs="Arial"/>
          <w:sz w:val="18"/>
          <w:szCs w:val="18"/>
        </w:rPr>
      </w:pPr>
    </w:p>
    <w:p w14:paraId="78232120" w14:textId="77777777" w:rsidR="00D1587D" w:rsidRDefault="00410D07" w:rsidP="00410D07">
      <w:pPr>
        <w:numPr>
          <w:ilvl w:val="0"/>
          <w:numId w:val="258"/>
        </w:numPr>
        <w:tabs>
          <w:tab w:val="left" w:pos="1000"/>
        </w:tabs>
        <w:ind w:left="1000" w:hanging="348"/>
        <w:rPr>
          <w:rFonts w:ascii="Arial" w:eastAsia="Arial" w:hAnsi="Arial" w:cs="Arial"/>
          <w:sz w:val="18"/>
          <w:szCs w:val="18"/>
        </w:rPr>
      </w:pPr>
      <w:r>
        <w:rPr>
          <w:rFonts w:ascii="Arial" w:eastAsia="Arial" w:hAnsi="Arial" w:cs="Arial"/>
          <w:sz w:val="18"/>
          <w:szCs w:val="18"/>
        </w:rPr>
        <w:t>A dealer or broker in securities, commodities or foreign currencies;</w:t>
      </w:r>
    </w:p>
    <w:p w14:paraId="76BAD38A" w14:textId="77777777" w:rsidR="00D1587D" w:rsidRDefault="00D1587D">
      <w:pPr>
        <w:spacing w:line="117" w:lineRule="exact"/>
        <w:rPr>
          <w:rFonts w:ascii="Arial" w:eastAsia="Arial" w:hAnsi="Arial" w:cs="Arial"/>
          <w:sz w:val="18"/>
          <w:szCs w:val="18"/>
        </w:rPr>
      </w:pPr>
    </w:p>
    <w:p w14:paraId="78524C57" w14:textId="77777777" w:rsidR="00D1587D" w:rsidRDefault="00410D07" w:rsidP="00410D07">
      <w:pPr>
        <w:numPr>
          <w:ilvl w:val="0"/>
          <w:numId w:val="258"/>
        </w:numPr>
        <w:tabs>
          <w:tab w:val="left" w:pos="1000"/>
        </w:tabs>
        <w:spacing w:line="277" w:lineRule="auto"/>
        <w:ind w:left="1000" w:right="639" w:hanging="348"/>
        <w:rPr>
          <w:rFonts w:ascii="Arial" w:eastAsia="Arial" w:hAnsi="Arial" w:cs="Arial"/>
          <w:sz w:val="18"/>
          <w:szCs w:val="18"/>
        </w:rPr>
      </w:pPr>
      <w:r>
        <w:rPr>
          <w:rFonts w:ascii="Arial" w:eastAsia="Arial" w:hAnsi="Arial" w:cs="Arial"/>
          <w:sz w:val="18"/>
          <w:szCs w:val="18"/>
        </w:rPr>
        <w:t xml:space="preserve">A stockholder that holds LB common stock as part of a hedge, appreciated financial position, straddle, conversion, or other risk </w:t>
      </w:r>
      <w:r>
        <w:rPr>
          <w:rFonts w:ascii="Arial" w:eastAsia="Arial" w:hAnsi="Arial" w:cs="Arial"/>
          <w:sz w:val="18"/>
          <w:szCs w:val="18"/>
        </w:rPr>
        <w:t>reduction transaction;</w:t>
      </w:r>
    </w:p>
    <w:p w14:paraId="0847A583" w14:textId="77777777" w:rsidR="00D1587D" w:rsidRDefault="00D1587D">
      <w:pPr>
        <w:spacing w:line="62" w:lineRule="exact"/>
        <w:rPr>
          <w:rFonts w:ascii="Arial" w:eastAsia="Arial" w:hAnsi="Arial" w:cs="Arial"/>
          <w:sz w:val="18"/>
          <w:szCs w:val="18"/>
        </w:rPr>
      </w:pPr>
    </w:p>
    <w:p w14:paraId="3FA54877" w14:textId="77777777" w:rsidR="00D1587D" w:rsidRDefault="00410D07" w:rsidP="00410D07">
      <w:pPr>
        <w:numPr>
          <w:ilvl w:val="0"/>
          <w:numId w:val="258"/>
        </w:numPr>
        <w:tabs>
          <w:tab w:val="left" w:pos="1000"/>
        </w:tabs>
        <w:spacing w:line="277" w:lineRule="auto"/>
        <w:ind w:left="1000" w:right="659" w:hanging="348"/>
        <w:rPr>
          <w:rFonts w:ascii="Arial" w:eastAsia="Arial" w:hAnsi="Arial" w:cs="Arial"/>
          <w:sz w:val="18"/>
          <w:szCs w:val="18"/>
        </w:rPr>
      </w:pPr>
      <w:r>
        <w:rPr>
          <w:rFonts w:ascii="Arial" w:eastAsia="Arial" w:hAnsi="Arial" w:cs="Arial"/>
          <w:sz w:val="18"/>
          <w:szCs w:val="18"/>
        </w:rPr>
        <w:t>A stockholder that holds LB common stock in a tax-deferred account, such as an individual retirement account; or</w:t>
      </w:r>
    </w:p>
    <w:p w14:paraId="42D9C7B6" w14:textId="77777777" w:rsidR="00D1587D" w:rsidRDefault="00D1587D">
      <w:pPr>
        <w:spacing w:line="62" w:lineRule="exact"/>
        <w:rPr>
          <w:rFonts w:ascii="Arial" w:eastAsia="Arial" w:hAnsi="Arial" w:cs="Arial"/>
          <w:sz w:val="18"/>
          <w:szCs w:val="18"/>
        </w:rPr>
      </w:pPr>
    </w:p>
    <w:p w14:paraId="37CF59B9" w14:textId="77777777" w:rsidR="00D1587D" w:rsidRDefault="00410D07" w:rsidP="00410D07">
      <w:pPr>
        <w:numPr>
          <w:ilvl w:val="0"/>
          <w:numId w:val="258"/>
        </w:numPr>
        <w:tabs>
          <w:tab w:val="left" w:pos="1000"/>
        </w:tabs>
        <w:spacing w:line="277" w:lineRule="auto"/>
        <w:ind w:left="1000" w:right="619" w:hanging="348"/>
        <w:rPr>
          <w:rFonts w:ascii="Arial" w:eastAsia="Arial" w:hAnsi="Arial" w:cs="Arial"/>
          <w:sz w:val="18"/>
          <w:szCs w:val="18"/>
        </w:rPr>
      </w:pPr>
      <w:r>
        <w:rPr>
          <w:rFonts w:ascii="Arial" w:eastAsia="Arial" w:hAnsi="Arial" w:cs="Arial"/>
          <w:sz w:val="18"/>
          <w:szCs w:val="18"/>
        </w:rPr>
        <w:t>A stockholder that acquired LB common stock pursuant to the exercise of options or similar derivative securities or ot</w:t>
      </w:r>
      <w:r>
        <w:rPr>
          <w:rFonts w:ascii="Arial" w:eastAsia="Arial" w:hAnsi="Arial" w:cs="Arial"/>
          <w:sz w:val="18"/>
          <w:szCs w:val="18"/>
        </w:rPr>
        <w:t>herwise as compensation.</w:t>
      </w:r>
    </w:p>
    <w:p w14:paraId="28B1E86C" w14:textId="77777777" w:rsidR="00D1587D" w:rsidRDefault="00D1587D">
      <w:pPr>
        <w:spacing w:line="62" w:lineRule="exact"/>
        <w:rPr>
          <w:sz w:val="20"/>
          <w:szCs w:val="20"/>
        </w:rPr>
      </w:pPr>
    </w:p>
    <w:p w14:paraId="4C2E4562" w14:textId="77777777" w:rsidR="00D1587D" w:rsidRDefault="00410D07">
      <w:pPr>
        <w:spacing w:line="311" w:lineRule="auto"/>
        <w:ind w:left="300" w:right="439" w:firstLine="360"/>
        <w:rPr>
          <w:sz w:val="20"/>
          <w:szCs w:val="20"/>
        </w:rPr>
      </w:pPr>
      <w:r>
        <w:rPr>
          <w:rFonts w:ascii="Arial" w:eastAsia="Arial" w:hAnsi="Arial" w:cs="Arial"/>
          <w:sz w:val="16"/>
          <w:szCs w:val="16"/>
        </w:rPr>
        <w:t>If a partnership, or any entity treated as a partnership for U.S. federal income tax purposes, holds LB common stock, the tax treatment of a partner in such partnership generally will depend on the status of the partners and the a</w:t>
      </w:r>
      <w:r>
        <w:rPr>
          <w:rFonts w:ascii="Arial" w:eastAsia="Arial" w:hAnsi="Arial" w:cs="Arial"/>
          <w:sz w:val="16"/>
          <w:szCs w:val="16"/>
        </w:rPr>
        <w:t>ctivities of the partnership. A partner in a partnership holding LB common stock should consult its tax adviser.</w:t>
      </w:r>
    </w:p>
    <w:p w14:paraId="2628ABC0" w14:textId="77777777" w:rsidR="00D1587D" w:rsidRDefault="00D1587D">
      <w:pPr>
        <w:spacing w:line="149" w:lineRule="exact"/>
        <w:rPr>
          <w:sz w:val="20"/>
          <w:szCs w:val="20"/>
        </w:rPr>
      </w:pPr>
    </w:p>
    <w:p w14:paraId="0151B4DA" w14:textId="77777777" w:rsidR="00D1587D" w:rsidRDefault="00410D07">
      <w:pPr>
        <w:jc w:val="center"/>
        <w:rPr>
          <w:sz w:val="20"/>
          <w:szCs w:val="20"/>
        </w:rPr>
      </w:pPr>
      <w:r>
        <w:rPr>
          <w:rFonts w:ascii="Arial" w:eastAsia="Arial" w:hAnsi="Arial" w:cs="Arial"/>
          <w:sz w:val="18"/>
          <w:szCs w:val="18"/>
        </w:rPr>
        <w:t>43</w:t>
      </w:r>
    </w:p>
    <w:p w14:paraId="3693C957" w14:textId="77777777" w:rsidR="00D1587D" w:rsidRDefault="00410D07">
      <w:pPr>
        <w:spacing w:line="20" w:lineRule="exact"/>
        <w:rPr>
          <w:sz w:val="20"/>
          <w:szCs w:val="20"/>
        </w:rPr>
      </w:pPr>
      <w:r>
        <w:rPr>
          <w:noProof/>
          <w:sz w:val="20"/>
          <w:szCs w:val="20"/>
        </w:rPr>
        <w:drawing>
          <wp:anchor distT="0" distB="0" distL="114300" distR="114300" simplePos="0" relativeHeight="251486208" behindDoc="1" locked="0" layoutInCell="0" allowOverlap="1" wp14:anchorId="28F60CAD" wp14:editId="0251180D">
            <wp:simplePos x="0" y="0"/>
            <wp:positionH relativeFrom="column">
              <wp:posOffset>-636905</wp:posOffset>
            </wp:positionH>
            <wp:positionV relativeFrom="paragraph">
              <wp:posOffset>126365</wp:posOffset>
            </wp:positionV>
            <wp:extent cx="6995160" cy="1714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E9FE6A5" w14:textId="77777777" w:rsidR="00D1587D" w:rsidRDefault="00D1587D">
      <w:pPr>
        <w:sectPr w:rsidR="00D1587D">
          <w:pgSz w:w="11900" w:h="16838"/>
          <w:pgMar w:top="265" w:right="1440" w:bottom="1440" w:left="1440" w:header="0" w:footer="0" w:gutter="0"/>
          <w:cols w:space="720" w:equalWidth="0">
            <w:col w:w="9019"/>
          </w:cols>
        </w:sectPr>
      </w:pPr>
    </w:p>
    <w:bookmarkStart w:id="301" w:name="page302"/>
    <w:bookmarkEnd w:id="301"/>
    <w:p w14:paraId="37603DA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22A1739" w14:textId="77777777" w:rsidR="00D1587D" w:rsidRDefault="00D1587D">
      <w:pPr>
        <w:spacing w:line="131" w:lineRule="exact"/>
        <w:rPr>
          <w:sz w:val="20"/>
          <w:szCs w:val="20"/>
        </w:rPr>
      </w:pPr>
    </w:p>
    <w:p w14:paraId="23C99A3C" w14:textId="77777777" w:rsidR="00D1587D" w:rsidRDefault="00410D07">
      <w:pPr>
        <w:spacing w:line="259" w:lineRule="auto"/>
        <w:ind w:left="300" w:right="479" w:firstLine="360"/>
        <w:rPr>
          <w:sz w:val="20"/>
          <w:szCs w:val="20"/>
        </w:rPr>
      </w:pPr>
      <w:r>
        <w:rPr>
          <w:rFonts w:ascii="Arial" w:eastAsia="Arial" w:hAnsi="Arial" w:cs="Arial"/>
          <w:sz w:val="18"/>
          <w:szCs w:val="18"/>
        </w:rPr>
        <w:t xml:space="preserve">A U.S. Holder who acquired different blocks of LB common stock at </w:t>
      </w:r>
      <w:r>
        <w:rPr>
          <w:rFonts w:ascii="Arial" w:eastAsia="Arial" w:hAnsi="Arial" w:cs="Arial"/>
          <w:sz w:val="18"/>
          <w:szCs w:val="18"/>
        </w:rPr>
        <w:t>different times and at different prices generally must apply the rules described in the following sections separately to each identifiable block of shares of LB common stock. A U.S. Holder who holds LB common stock with differing bases or holding periods s</w:t>
      </w:r>
      <w:r>
        <w:rPr>
          <w:rFonts w:ascii="Arial" w:eastAsia="Arial" w:hAnsi="Arial" w:cs="Arial"/>
          <w:sz w:val="18"/>
          <w:szCs w:val="18"/>
        </w:rPr>
        <w:t>hould consult its tax adviser.</w:t>
      </w:r>
    </w:p>
    <w:p w14:paraId="082EAFF1" w14:textId="77777777" w:rsidR="00D1587D" w:rsidRDefault="00D1587D">
      <w:pPr>
        <w:spacing w:line="79" w:lineRule="exact"/>
        <w:rPr>
          <w:sz w:val="20"/>
          <w:szCs w:val="20"/>
        </w:rPr>
      </w:pPr>
    </w:p>
    <w:p w14:paraId="02206741" w14:textId="77777777" w:rsidR="00D1587D" w:rsidRDefault="00410D07">
      <w:pPr>
        <w:spacing w:line="286" w:lineRule="auto"/>
        <w:ind w:left="300" w:right="319" w:firstLine="360"/>
        <w:rPr>
          <w:sz w:val="20"/>
          <w:szCs w:val="20"/>
        </w:rPr>
      </w:pPr>
      <w:r>
        <w:rPr>
          <w:rFonts w:ascii="Arial" w:eastAsia="Arial" w:hAnsi="Arial" w:cs="Arial"/>
          <w:sz w:val="16"/>
          <w:szCs w:val="16"/>
        </w:rPr>
        <w:t>This discussion of material U.S. federal income tax consequences is not a complete analysis or description of all potential U.S. federal income tax consequences of the Distribution. This discussion does not address tax conse</w:t>
      </w:r>
      <w:r>
        <w:rPr>
          <w:rFonts w:ascii="Arial" w:eastAsia="Arial" w:hAnsi="Arial" w:cs="Arial"/>
          <w:sz w:val="16"/>
          <w:szCs w:val="16"/>
        </w:rPr>
        <w:t>quences that may vary with, or are contingent on, individual circumstances. In addition, it does not address any U.S. federal, estate, gift or other non-income tax or any non-U.S., state or local tax consequences of the Distribution.</w:t>
      </w:r>
    </w:p>
    <w:p w14:paraId="3025CCA8" w14:textId="77777777" w:rsidR="00D1587D" w:rsidRDefault="00D1587D">
      <w:pPr>
        <w:spacing w:line="1" w:lineRule="exact"/>
        <w:rPr>
          <w:sz w:val="20"/>
          <w:szCs w:val="20"/>
        </w:rPr>
      </w:pPr>
    </w:p>
    <w:p w14:paraId="35290AAC" w14:textId="77777777" w:rsidR="00D1587D" w:rsidRDefault="00410D07">
      <w:pPr>
        <w:spacing w:line="255" w:lineRule="auto"/>
        <w:ind w:left="300" w:right="319"/>
        <w:rPr>
          <w:sz w:val="20"/>
          <w:szCs w:val="20"/>
        </w:rPr>
      </w:pPr>
      <w:r>
        <w:rPr>
          <w:rFonts w:ascii="Arial" w:eastAsia="Arial" w:hAnsi="Arial" w:cs="Arial"/>
          <w:b/>
          <w:bCs/>
          <w:sz w:val="18"/>
          <w:szCs w:val="18"/>
        </w:rPr>
        <w:t>Accordingly, each hol</w:t>
      </w:r>
      <w:r>
        <w:rPr>
          <w:rFonts w:ascii="Arial" w:eastAsia="Arial" w:hAnsi="Arial" w:cs="Arial"/>
          <w:b/>
          <w:bCs/>
          <w:sz w:val="18"/>
          <w:szCs w:val="18"/>
        </w:rPr>
        <w:t>der of LB common stock should consult his, her or its tax adviser to determine the particular U.S. federal, state or local or non-U.S. income or other tax consequences of the Distribution to such holder.</w:t>
      </w:r>
    </w:p>
    <w:p w14:paraId="028B3776" w14:textId="77777777" w:rsidR="00D1587D" w:rsidRDefault="00D1587D">
      <w:pPr>
        <w:spacing w:line="244" w:lineRule="exact"/>
        <w:rPr>
          <w:sz w:val="20"/>
          <w:szCs w:val="20"/>
        </w:rPr>
      </w:pPr>
    </w:p>
    <w:p w14:paraId="31DB6E94" w14:textId="77777777" w:rsidR="00D1587D" w:rsidRDefault="00410D07">
      <w:pPr>
        <w:ind w:left="660"/>
        <w:rPr>
          <w:sz w:val="20"/>
          <w:szCs w:val="20"/>
        </w:rPr>
      </w:pPr>
      <w:r>
        <w:rPr>
          <w:rFonts w:ascii="Arial" w:eastAsia="Arial" w:hAnsi="Arial" w:cs="Arial"/>
          <w:b/>
          <w:bCs/>
          <w:i/>
          <w:iCs/>
          <w:sz w:val="18"/>
          <w:szCs w:val="18"/>
        </w:rPr>
        <w:t>Tax Opinion</w:t>
      </w:r>
    </w:p>
    <w:p w14:paraId="4A2DECE6" w14:textId="77777777" w:rsidR="00D1587D" w:rsidRDefault="00D1587D">
      <w:pPr>
        <w:spacing w:line="117" w:lineRule="exact"/>
        <w:rPr>
          <w:sz w:val="20"/>
          <w:szCs w:val="20"/>
        </w:rPr>
      </w:pPr>
    </w:p>
    <w:p w14:paraId="5EE608D2" w14:textId="77777777" w:rsidR="00D1587D" w:rsidRDefault="00410D07">
      <w:pPr>
        <w:spacing w:line="283" w:lineRule="auto"/>
        <w:ind w:left="300" w:right="339" w:firstLine="360"/>
        <w:rPr>
          <w:sz w:val="20"/>
          <w:szCs w:val="20"/>
        </w:rPr>
      </w:pPr>
      <w:r>
        <w:rPr>
          <w:rFonts w:ascii="Arial" w:eastAsia="Arial" w:hAnsi="Arial" w:cs="Arial"/>
          <w:sz w:val="16"/>
          <w:szCs w:val="16"/>
        </w:rPr>
        <w:t xml:space="preserve">The consummation of the </w:t>
      </w:r>
      <w:r>
        <w:rPr>
          <w:rFonts w:ascii="Arial" w:eastAsia="Arial" w:hAnsi="Arial" w:cs="Arial"/>
          <w:sz w:val="16"/>
          <w:szCs w:val="16"/>
        </w:rPr>
        <w:t>Separation, along with certain related transactions, is conditioned upon the receipt of the opinion of Davis Polk &amp; Wardwell LLP substantially to the effect that the Distribution, together with certain related transactions, will qualify as a generally tax-</w:t>
      </w:r>
      <w:r>
        <w:rPr>
          <w:rFonts w:ascii="Arial" w:eastAsia="Arial" w:hAnsi="Arial" w:cs="Arial"/>
          <w:sz w:val="16"/>
          <w:szCs w:val="16"/>
        </w:rPr>
        <w:t>free “reorganization” within the meaning of Section 368(a)(1)(D) of the Code and a generally tax-free distribution within the meaning of Section 355 of the Code, and the distribution by LB of the proceeds from the LB Cash Payment to its creditors in retire</w:t>
      </w:r>
      <w:r>
        <w:rPr>
          <w:rFonts w:ascii="Arial" w:eastAsia="Arial" w:hAnsi="Arial" w:cs="Arial"/>
          <w:sz w:val="16"/>
          <w:szCs w:val="16"/>
        </w:rPr>
        <w:t>ment of outstanding LB indebtedness or to LB stockholders in repurchase of, or distribution with respect to, shares of LB common stock, should qualify as money distributed to LB creditors or stockholders in connection with the reorganization for purposes o</w:t>
      </w:r>
      <w:r>
        <w:rPr>
          <w:rFonts w:ascii="Arial" w:eastAsia="Arial" w:hAnsi="Arial" w:cs="Arial"/>
          <w:sz w:val="16"/>
          <w:szCs w:val="16"/>
        </w:rPr>
        <w:t>f Section 361(b) of the Code, which we refer to as the “Tax Opinion.” In rendering the Tax Opinion to be given as of the closing of the Separation, which we refer to as the “Closing Tax Opinion,” Davis Polk &amp; Wardwell LLP will rely on</w:t>
      </w:r>
    </w:p>
    <w:p w14:paraId="39ED5541" w14:textId="77777777" w:rsidR="00D1587D" w:rsidRDefault="00D1587D">
      <w:pPr>
        <w:spacing w:line="6" w:lineRule="exact"/>
        <w:rPr>
          <w:sz w:val="20"/>
          <w:szCs w:val="20"/>
        </w:rPr>
      </w:pPr>
    </w:p>
    <w:p w14:paraId="60EC66D8" w14:textId="77777777" w:rsidR="00D1587D" w:rsidRDefault="00410D07" w:rsidP="00410D07">
      <w:pPr>
        <w:numPr>
          <w:ilvl w:val="0"/>
          <w:numId w:val="259"/>
        </w:numPr>
        <w:tabs>
          <w:tab w:val="left" w:pos="515"/>
        </w:tabs>
        <w:spacing w:line="268" w:lineRule="auto"/>
        <w:ind w:left="300" w:right="319" w:hanging="8"/>
        <w:rPr>
          <w:rFonts w:ascii="Arial" w:eastAsia="Arial" w:hAnsi="Arial" w:cs="Arial"/>
          <w:sz w:val="17"/>
          <w:szCs w:val="17"/>
        </w:rPr>
      </w:pPr>
      <w:r>
        <w:rPr>
          <w:rFonts w:ascii="Arial" w:eastAsia="Arial" w:hAnsi="Arial" w:cs="Arial"/>
          <w:sz w:val="17"/>
          <w:szCs w:val="17"/>
        </w:rPr>
        <w:t xml:space="preserve">customary </w:t>
      </w:r>
      <w:r>
        <w:rPr>
          <w:rFonts w:ascii="Arial" w:eastAsia="Arial" w:hAnsi="Arial" w:cs="Arial"/>
          <w:sz w:val="17"/>
          <w:szCs w:val="17"/>
        </w:rPr>
        <w:t xml:space="preserve">representations and covenants made by us and LB, including those contained in certificates of officers of us and LB, and (ii) specified assumptions, including an assumption regarding the completion of the Separation and certain related transactions in the </w:t>
      </w:r>
      <w:r>
        <w:rPr>
          <w:rFonts w:ascii="Arial" w:eastAsia="Arial" w:hAnsi="Arial" w:cs="Arial"/>
          <w:sz w:val="17"/>
          <w:szCs w:val="17"/>
        </w:rPr>
        <w:t>manner contemplated by the transaction agreements. In addition, Davis Polk &amp; Wardwell LLP’s ability to provide the Closing Tax Opinion will depend on the absence of changes in existing facts or law between the date of this information statement and the clo</w:t>
      </w:r>
      <w:r>
        <w:rPr>
          <w:rFonts w:ascii="Arial" w:eastAsia="Arial" w:hAnsi="Arial" w:cs="Arial"/>
          <w:sz w:val="17"/>
          <w:szCs w:val="17"/>
        </w:rPr>
        <w:t>sing date of the Distribution. If any of the representations, covenants or assumptions on which Davis Polk &amp; Wardwell LLP will rely is inaccurate, Davis Polk &amp; Wardwell LLP may not be able to provide the Closing Tax Opinion or the tax consequences of the D</w:t>
      </w:r>
      <w:r>
        <w:rPr>
          <w:rFonts w:ascii="Arial" w:eastAsia="Arial" w:hAnsi="Arial" w:cs="Arial"/>
          <w:sz w:val="17"/>
          <w:szCs w:val="17"/>
        </w:rPr>
        <w:t>istribution could differ from those described below. The opinions of Davis Polk &amp; Wardwell LLP do not preclude the IRS or the courts from adopting a contrary position.</w:t>
      </w:r>
    </w:p>
    <w:p w14:paraId="68324A34" w14:textId="77777777" w:rsidR="00D1587D" w:rsidRDefault="00D1587D">
      <w:pPr>
        <w:spacing w:line="222" w:lineRule="exact"/>
        <w:rPr>
          <w:sz w:val="20"/>
          <w:szCs w:val="20"/>
        </w:rPr>
      </w:pPr>
    </w:p>
    <w:p w14:paraId="6C558FA5" w14:textId="77777777" w:rsidR="00D1587D" w:rsidRDefault="00410D07">
      <w:pPr>
        <w:ind w:left="660"/>
        <w:rPr>
          <w:sz w:val="20"/>
          <w:szCs w:val="20"/>
        </w:rPr>
      </w:pPr>
      <w:r>
        <w:rPr>
          <w:rFonts w:ascii="Arial" w:eastAsia="Arial" w:hAnsi="Arial" w:cs="Arial"/>
          <w:b/>
          <w:bCs/>
          <w:i/>
          <w:iCs/>
          <w:sz w:val="18"/>
          <w:szCs w:val="18"/>
        </w:rPr>
        <w:t>The Distribution</w:t>
      </w:r>
    </w:p>
    <w:p w14:paraId="29749638" w14:textId="77777777" w:rsidR="00D1587D" w:rsidRDefault="00D1587D">
      <w:pPr>
        <w:spacing w:line="117" w:lineRule="exact"/>
        <w:rPr>
          <w:sz w:val="20"/>
          <w:szCs w:val="20"/>
        </w:rPr>
      </w:pPr>
    </w:p>
    <w:p w14:paraId="78B39DC2" w14:textId="77777777" w:rsidR="00D1587D" w:rsidRDefault="00410D07">
      <w:pPr>
        <w:spacing w:line="279" w:lineRule="auto"/>
        <w:ind w:left="300" w:right="339" w:firstLine="360"/>
        <w:rPr>
          <w:sz w:val="20"/>
          <w:szCs w:val="20"/>
        </w:rPr>
      </w:pPr>
      <w:r>
        <w:rPr>
          <w:rFonts w:ascii="Arial" w:eastAsia="Arial" w:hAnsi="Arial" w:cs="Arial"/>
          <w:sz w:val="17"/>
          <w:szCs w:val="17"/>
        </w:rPr>
        <w:t>Assuming that the Distribution, together with certain related transac</w:t>
      </w:r>
      <w:r>
        <w:rPr>
          <w:rFonts w:ascii="Arial" w:eastAsia="Arial" w:hAnsi="Arial" w:cs="Arial"/>
          <w:sz w:val="17"/>
          <w:szCs w:val="17"/>
        </w:rPr>
        <w:t>tions, will qualify as a generally tax-free “reorganization” within the meaning of Section 368(a)(1)(D) of the Code and a generally tax-free distribution within the meaning of Section 355 of the Code, and that the Restructuring steps will qualify as transa</w:t>
      </w:r>
      <w:r>
        <w:rPr>
          <w:rFonts w:ascii="Arial" w:eastAsia="Arial" w:hAnsi="Arial" w:cs="Arial"/>
          <w:sz w:val="17"/>
          <w:szCs w:val="17"/>
        </w:rPr>
        <w:t>ctions that are tax-free for U.S. federal income tax purposes, in general, for U.S. federal income tax purposes:</w:t>
      </w:r>
    </w:p>
    <w:p w14:paraId="1DB81D41" w14:textId="77777777" w:rsidR="00D1587D" w:rsidRDefault="00D1587D">
      <w:pPr>
        <w:spacing w:line="63" w:lineRule="exact"/>
        <w:rPr>
          <w:sz w:val="20"/>
          <w:szCs w:val="20"/>
        </w:rPr>
      </w:pPr>
    </w:p>
    <w:p w14:paraId="3B47112B" w14:textId="77777777" w:rsidR="00D1587D" w:rsidRDefault="00410D07" w:rsidP="00410D07">
      <w:pPr>
        <w:numPr>
          <w:ilvl w:val="0"/>
          <w:numId w:val="260"/>
        </w:numPr>
        <w:tabs>
          <w:tab w:val="left" w:pos="1000"/>
        </w:tabs>
        <w:spacing w:line="277" w:lineRule="auto"/>
        <w:ind w:left="1000" w:right="459" w:hanging="348"/>
        <w:rPr>
          <w:rFonts w:ascii="Arial" w:eastAsia="Arial" w:hAnsi="Arial" w:cs="Arial"/>
          <w:sz w:val="18"/>
          <w:szCs w:val="18"/>
        </w:rPr>
      </w:pPr>
      <w:r>
        <w:rPr>
          <w:rFonts w:ascii="Arial" w:eastAsia="Arial" w:hAnsi="Arial" w:cs="Arial"/>
          <w:sz w:val="18"/>
          <w:szCs w:val="18"/>
        </w:rPr>
        <w:t>Subject to limited exceptions, the Distribution will not result in the recognition of income, gain or loss to LB or us;</w:t>
      </w:r>
    </w:p>
    <w:p w14:paraId="306A6E32" w14:textId="77777777" w:rsidR="00D1587D" w:rsidRDefault="00D1587D">
      <w:pPr>
        <w:spacing w:line="62" w:lineRule="exact"/>
        <w:rPr>
          <w:rFonts w:ascii="Arial" w:eastAsia="Arial" w:hAnsi="Arial" w:cs="Arial"/>
          <w:sz w:val="18"/>
          <w:szCs w:val="18"/>
        </w:rPr>
      </w:pPr>
    </w:p>
    <w:p w14:paraId="7E124A41" w14:textId="77777777" w:rsidR="00D1587D" w:rsidRDefault="00410D07" w:rsidP="00410D07">
      <w:pPr>
        <w:numPr>
          <w:ilvl w:val="0"/>
          <w:numId w:val="260"/>
        </w:numPr>
        <w:tabs>
          <w:tab w:val="left" w:pos="1000"/>
        </w:tabs>
        <w:spacing w:line="277" w:lineRule="auto"/>
        <w:ind w:left="1000" w:right="539" w:hanging="348"/>
        <w:rPr>
          <w:rFonts w:ascii="Arial" w:eastAsia="Arial" w:hAnsi="Arial" w:cs="Arial"/>
          <w:sz w:val="18"/>
          <w:szCs w:val="18"/>
        </w:rPr>
      </w:pPr>
      <w:r>
        <w:rPr>
          <w:rFonts w:ascii="Arial" w:eastAsia="Arial" w:hAnsi="Arial" w:cs="Arial"/>
          <w:sz w:val="18"/>
          <w:szCs w:val="18"/>
        </w:rPr>
        <w:t xml:space="preserve">No gain or loss will </w:t>
      </w:r>
      <w:r>
        <w:rPr>
          <w:rFonts w:ascii="Arial" w:eastAsia="Arial" w:hAnsi="Arial" w:cs="Arial"/>
          <w:sz w:val="18"/>
          <w:szCs w:val="18"/>
        </w:rPr>
        <w:t>be recognized by, and no amount will be included in the income of, U.S. Holders of LB common stock upon the receipt of our common stock in the Distribution;</w:t>
      </w:r>
    </w:p>
    <w:p w14:paraId="1EB79481" w14:textId="77777777" w:rsidR="00D1587D" w:rsidRDefault="00D1587D">
      <w:pPr>
        <w:spacing w:line="62" w:lineRule="exact"/>
        <w:rPr>
          <w:rFonts w:ascii="Arial" w:eastAsia="Arial" w:hAnsi="Arial" w:cs="Arial"/>
          <w:sz w:val="18"/>
          <w:szCs w:val="18"/>
        </w:rPr>
      </w:pPr>
    </w:p>
    <w:p w14:paraId="03C8DA21" w14:textId="77777777" w:rsidR="00D1587D" w:rsidRDefault="00410D07" w:rsidP="00410D07">
      <w:pPr>
        <w:numPr>
          <w:ilvl w:val="0"/>
          <w:numId w:val="260"/>
        </w:numPr>
        <w:tabs>
          <w:tab w:val="left" w:pos="1000"/>
        </w:tabs>
        <w:spacing w:line="257" w:lineRule="auto"/>
        <w:ind w:left="1000" w:right="399" w:hanging="348"/>
        <w:rPr>
          <w:rFonts w:ascii="Arial" w:eastAsia="Arial" w:hAnsi="Arial" w:cs="Arial"/>
          <w:sz w:val="18"/>
          <w:szCs w:val="18"/>
        </w:rPr>
      </w:pPr>
      <w:r>
        <w:rPr>
          <w:rFonts w:ascii="Arial" w:eastAsia="Arial" w:hAnsi="Arial" w:cs="Arial"/>
          <w:sz w:val="18"/>
          <w:szCs w:val="18"/>
        </w:rPr>
        <w:t>The aggregate tax basis of the shares of our common stock distributed in the Distribution to a U.S</w:t>
      </w:r>
      <w:r>
        <w:rPr>
          <w:rFonts w:ascii="Arial" w:eastAsia="Arial" w:hAnsi="Arial" w:cs="Arial"/>
          <w:sz w:val="18"/>
          <w:szCs w:val="18"/>
        </w:rPr>
        <w:t xml:space="preserve">. Holder of LB common stock will be determined by allocating the aggregate tax basis such U.S. Holder has in the shares of LB common stock immediately before such Distribution between such LB common stock and our common stock in proportion to the relative </w:t>
      </w:r>
      <w:r>
        <w:rPr>
          <w:rFonts w:ascii="Arial" w:eastAsia="Arial" w:hAnsi="Arial" w:cs="Arial"/>
          <w:sz w:val="18"/>
          <w:szCs w:val="18"/>
        </w:rPr>
        <w:t>fair market value of each immediately following the Distribution;</w:t>
      </w:r>
    </w:p>
    <w:p w14:paraId="4B64DF7B" w14:textId="77777777" w:rsidR="00D1587D" w:rsidRDefault="00D1587D">
      <w:pPr>
        <w:spacing w:line="79" w:lineRule="exact"/>
        <w:rPr>
          <w:rFonts w:ascii="Arial" w:eastAsia="Arial" w:hAnsi="Arial" w:cs="Arial"/>
          <w:sz w:val="18"/>
          <w:szCs w:val="18"/>
        </w:rPr>
      </w:pPr>
    </w:p>
    <w:p w14:paraId="77DE5410" w14:textId="77777777" w:rsidR="00D1587D" w:rsidRDefault="00410D07" w:rsidP="00410D07">
      <w:pPr>
        <w:numPr>
          <w:ilvl w:val="0"/>
          <w:numId w:val="260"/>
        </w:numPr>
        <w:tabs>
          <w:tab w:val="left" w:pos="1000"/>
        </w:tabs>
        <w:spacing w:line="263" w:lineRule="auto"/>
        <w:ind w:left="1000" w:right="399" w:hanging="348"/>
        <w:rPr>
          <w:rFonts w:ascii="Arial" w:eastAsia="Arial" w:hAnsi="Arial" w:cs="Arial"/>
          <w:sz w:val="18"/>
          <w:szCs w:val="18"/>
        </w:rPr>
      </w:pPr>
      <w:r>
        <w:rPr>
          <w:rFonts w:ascii="Arial" w:eastAsia="Arial" w:hAnsi="Arial" w:cs="Arial"/>
          <w:sz w:val="18"/>
          <w:szCs w:val="18"/>
        </w:rPr>
        <w:t xml:space="preserve">The holding period of any shares of our common stock received by a U.S. Holder of LB common stock in the Distribution will include the holding period of the shares of LB common stock </w:t>
      </w:r>
      <w:r>
        <w:rPr>
          <w:rFonts w:ascii="Arial" w:eastAsia="Arial" w:hAnsi="Arial" w:cs="Arial"/>
          <w:sz w:val="18"/>
          <w:szCs w:val="18"/>
        </w:rPr>
        <w:t>held by a U.S. Holder prior to the Distribution; and</w:t>
      </w:r>
    </w:p>
    <w:p w14:paraId="274BD69C" w14:textId="77777777" w:rsidR="00D1587D" w:rsidRDefault="00D1587D">
      <w:pPr>
        <w:spacing w:line="75" w:lineRule="exact"/>
        <w:rPr>
          <w:rFonts w:ascii="Arial" w:eastAsia="Arial" w:hAnsi="Arial" w:cs="Arial"/>
          <w:sz w:val="18"/>
          <w:szCs w:val="18"/>
        </w:rPr>
      </w:pPr>
    </w:p>
    <w:p w14:paraId="2374EE9F" w14:textId="77777777" w:rsidR="00D1587D" w:rsidRDefault="00410D07" w:rsidP="00410D07">
      <w:pPr>
        <w:numPr>
          <w:ilvl w:val="0"/>
          <w:numId w:val="260"/>
        </w:numPr>
        <w:tabs>
          <w:tab w:val="left" w:pos="1000"/>
        </w:tabs>
        <w:spacing w:line="342" w:lineRule="auto"/>
        <w:ind w:left="1000" w:right="539" w:hanging="348"/>
        <w:rPr>
          <w:rFonts w:ascii="Arial" w:eastAsia="Arial" w:hAnsi="Arial" w:cs="Arial"/>
          <w:sz w:val="16"/>
          <w:szCs w:val="16"/>
        </w:rPr>
      </w:pPr>
      <w:r>
        <w:rPr>
          <w:rFonts w:ascii="Arial" w:eastAsia="Arial" w:hAnsi="Arial" w:cs="Arial"/>
          <w:sz w:val="16"/>
          <w:szCs w:val="16"/>
        </w:rPr>
        <w:t>A U.S. Holder of LB common stock that receives cash in lieu of a fractional share of our common stock will recognize capital gain or loss, measured by the difference between the cash received for such</w:t>
      </w:r>
    </w:p>
    <w:p w14:paraId="57F31C55" w14:textId="77777777" w:rsidR="00D1587D" w:rsidRDefault="00D1587D">
      <w:pPr>
        <w:spacing w:line="124" w:lineRule="exact"/>
        <w:rPr>
          <w:sz w:val="20"/>
          <w:szCs w:val="20"/>
        </w:rPr>
      </w:pPr>
    </w:p>
    <w:p w14:paraId="2492C92A" w14:textId="77777777" w:rsidR="00D1587D" w:rsidRDefault="00410D07">
      <w:pPr>
        <w:ind w:right="19"/>
        <w:jc w:val="center"/>
        <w:rPr>
          <w:sz w:val="20"/>
          <w:szCs w:val="20"/>
        </w:rPr>
      </w:pPr>
      <w:r>
        <w:rPr>
          <w:rFonts w:ascii="Arial" w:eastAsia="Arial" w:hAnsi="Arial" w:cs="Arial"/>
          <w:sz w:val="18"/>
          <w:szCs w:val="18"/>
        </w:rPr>
        <w:t>44</w:t>
      </w:r>
    </w:p>
    <w:p w14:paraId="2E3C1365" w14:textId="77777777" w:rsidR="00D1587D" w:rsidRDefault="00410D07">
      <w:pPr>
        <w:spacing w:line="20" w:lineRule="exact"/>
        <w:rPr>
          <w:sz w:val="20"/>
          <w:szCs w:val="20"/>
        </w:rPr>
      </w:pPr>
      <w:r>
        <w:rPr>
          <w:noProof/>
          <w:sz w:val="20"/>
          <w:szCs w:val="20"/>
        </w:rPr>
        <w:drawing>
          <wp:anchor distT="0" distB="0" distL="114300" distR="114300" simplePos="0" relativeHeight="251487232" behindDoc="1" locked="0" layoutInCell="0" allowOverlap="1" wp14:anchorId="7C145DF8" wp14:editId="3465FC97">
            <wp:simplePos x="0" y="0"/>
            <wp:positionH relativeFrom="column">
              <wp:posOffset>-636905</wp:posOffset>
            </wp:positionH>
            <wp:positionV relativeFrom="paragraph">
              <wp:posOffset>126365</wp:posOffset>
            </wp:positionV>
            <wp:extent cx="6995160" cy="1714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1C0D9F0" w14:textId="77777777" w:rsidR="00D1587D" w:rsidRDefault="00D1587D">
      <w:pPr>
        <w:sectPr w:rsidR="00D1587D">
          <w:pgSz w:w="11900" w:h="16838"/>
          <w:pgMar w:top="265" w:right="1440" w:bottom="1440" w:left="1440" w:header="0" w:footer="0" w:gutter="0"/>
          <w:cols w:space="720" w:equalWidth="0">
            <w:col w:w="9019"/>
          </w:cols>
        </w:sectPr>
      </w:pPr>
    </w:p>
    <w:bookmarkStart w:id="302" w:name="page303"/>
    <w:bookmarkEnd w:id="302"/>
    <w:p w14:paraId="6E75BAA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585A8A7" w14:textId="77777777" w:rsidR="00D1587D" w:rsidRDefault="00D1587D">
      <w:pPr>
        <w:spacing w:line="131" w:lineRule="exact"/>
        <w:rPr>
          <w:sz w:val="20"/>
          <w:szCs w:val="20"/>
        </w:rPr>
      </w:pPr>
    </w:p>
    <w:p w14:paraId="63A3D360" w14:textId="77777777" w:rsidR="00D1587D" w:rsidRDefault="00410D07">
      <w:pPr>
        <w:spacing w:line="263" w:lineRule="auto"/>
        <w:ind w:left="1020" w:right="299"/>
        <w:rPr>
          <w:sz w:val="20"/>
          <w:szCs w:val="20"/>
        </w:rPr>
      </w:pPr>
      <w:r>
        <w:rPr>
          <w:rFonts w:ascii="Arial" w:eastAsia="Arial" w:hAnsi="Arial" w:cs="Arial"/>
          <w:sz w:val="18"/>
          <w:szCs w:val="18"/>
        </w:rPr>
        <w:t xml:space="preserve">fractional share and the U.S. Holder’s tax basis in that fractional share, determined as described above, and such gain or loss will be long-term capital gain or loss if the U.S. </w:t>
      </w:r>
      <w:r>
        <w:rPr>
          <w:rFonts w:ascii="Arial" w:eastAsia="Arial" w:hAnsi="Arial" w:cs="Arial"/>
          <w:sz w:val="18"/>
          <w:szCs w:val="18"/>
        </w:rPr>
        <w:t>Holder’s holding period in the LB common stock is more than one year as of the closing date of the Distribution.</w:t>
      </w:r>
    </w:p>
    <w:p w14:paraId="1EF0F95F" w14:textId="77777777" w:rsidR="00D1587D" w:rsidRDefault="00D1587D">
      <w:pPr>
        <w:spacing w:line="76" w:lineRule="exact"/>
        <w:rPr>
          <w:sz w:val="20"/>
          <w:szCs w:val="20"/>
        </w:rPr>
      </w:pPr>
    </w:p>
    <w:p w14:paraId="1D9B6FC8" w14:textId="77777777" w:rsidR="00D1587D" w:rsidRDefault="00410D07">
      <w:pPr>
        <w:spacing w:line="293" w:lineRule="auto"/>
        <w:ind w:left="300" w:right="339" w:firstLine="360"/>
        <w:rPr>
          <w:sz w:val="20"/>
          <w:szCs w:val="20"/>
        </w:rPr>
      </w:pPr>
      <w:r>
        <w:rPr>
          <w:rFonts w:ascii="Arial" w:eastAsia="Arial" w:hAnsi="Arial" w:cs="Arial"/>
          <w:sz w:val="16"/>
          <w:szCs w:val="16"/>
        </w:rPr>
        <w:t xml:space="preserve">In general, if the Distribution, together with certain related transactions, does not qualify as a generally tax-free “reorganization” within </w:t>
      </w:r>
      <w:r>
        <w:rPr>
          <w:rFonts w:ascii="Arial" w:eastAsia="Arial" w:hAnsi="Arial" w:cs="Arial"/>
          <w:sz w:val="16"/>
          <w:szCs w:val="16"/>
        </w:rPr>
        <w:t xml:space="preserve">the meaning of Section 368(a)(1)(D) of the Code and a generally tax-free distribution within the meaning of Section 355 of the Code, the Distribution will be treated as a taxable dividend to holders of LB common stock in an amount equal to the fair market </w:t>
      </w:r>
      <w:r>
        <w:rPr>
          <w:rFonts w:ascii="Arial" w:eastAsia="Arial" w:hAnsi="Arial" w:cs="Arial"/>
          <w:sz w:val="16"/>
          <w:szCs w:val="16"/>
        </w:rPr>
        <w:t>value of our common stock received, to the extent of such holder’s ratable share of LB’s earnings and profits. In addition, if the Separation does not qualify as a tax-free transaction, LB will recognize significant taxable gain, which could result in sign</w:t>
      </w:r>
      <w:r>
        <w:rPr>
          <w:rFonts w:ascii="Arial" w:eastAsia="Arial" w:hAnsi="Arial" w:cs="Arial"/>
          <w:sz w:val="16"/>
          <w:szCs w:val="16"/>
        </w:rPr>
        <w:t>ificant tax to LB.</w:t>
      </w:r>
    </w:p>
    <w:p w14:paraId="6F1BFCF5" w14:textId="77777777" w:rsidR="00D1587D" w:rsidRDefault="00D1587D">
      <w:pPr>
        <w:spacing w:line="56" w:lineRule="exact"/>
        <w:rPr>
          <w:sz w:val="20"/>
          <w:szCs w:val="20"/>
        </w:rPr>
      </w:pPr>
    </w:p>
    <w:p w14:paraId="1FC430C7" w14:textId="77777777" w:rsidR="00D1587D" w:rsidRDefault="00410D07">
      <w:pPr>
        <w:spacing w:line="272" w:lineRule="auto"/>
        <w:ind w:left="300" w:right="339" w:firstLine="360"/>
        <w:rPr>
          <w:sz w:val="20"/>
          <w:szCs w:val="20"/>
        </w:rPr>
      </w:pPr>
      <w:r>
        <w:rPr>
          <w:rFonts w:ascii="Arial" w:eastAsia="Arial" w:hAnsi="Arial" w:cs="Arial"/>
          <w:sz w:val="17"/>
          <w:szCs w:val="17"/>
        </w:rPr>
        <w:t xml:space="preserve">Even if the Separation were otherwise to qualify as a generally tax-free transaction, the Distribution will be taxable to LB under Section 355(e) of the Code if 50% or more of either the total voting power or the total fair market </w:t>
      </w:r>
      <w:r>
        <w:rPr>
          <w:rFonts w:ascii="Arial" w:eastAsia="Arial" w:hAnsi="Arial" w:cs="Arial"/>
          <w:sz w:val="17"/>
          <w:szCs w:val="17"/>
        </w:rPr>
        <w:t>value of the stock of LB or our common stock is acquired as part of a plan or series of related transactions that includes the Distribution. If Section 355(e) applies as a result of such an acquisition, LB would recognize taxable gain as described above, b</w:t>
      </w:r>
      <w:r>
        <w:rPr>
          <w:rFonts w:ascii="Arial" w:eastAsia="Arial" w:hAnsi="Arial" w:cs="Arial"/>
          <w:sz w:val="17"/>
          <w:szCs w:val="17"/>
        </w:rPr>
        <w:t>ut the Distribution would generally be tax-free to you. Under some circumstances, the Tax Matters Agreement would require us to indemnify LB for the tax liability associated with the taxable gain. See “—Agreements with LB—Tax Matters Agreement.”</w:t>
      </w:r>
    </w:p>
    <w:p w14:paraId="448FF9D1" w14:textId="77777777" w:rsidR="00D1587D" w:rsidRDefault="00D1587D">
      <w:pPr>
        <w:spacing w:line="69" w:lineRule="exact"/>
        <w:rPr>
          <w:sz w:val="20"/>
          <w:szCs w:val="20"/>
        </w:rPr>
      </w:pPr>
    </w:p>
    <w:p w14:paraId="626F9141" w14:textId="77777777" w:rsidR="00D1587D" w:rsidRDefault="00410D07">
      <w:pPr>
        <w:spacing w:line="275" w:lineRule="auto"/>
        <w:ind w:left="300" w:right="319" w:firstLine="360"/>
        <w:rPr>
          <w:sz w:val="20"/>
          <w:szCs w:val="20"/>
        </w:rPr>
      </w:pPr>
      <w:r>
        <w:rPr>
          <w:rFonts w:ascii="Arial" w:eastAsia="Arial" w:hAnsi="Arial" w:cs="Arial"/>
          <w:sz w:val="17"/>
          <w:szCs w:val="17"/>
        </w:rPr>
        <w:t>Under the</w:t>
      </w:r>
      <w:r>
        <w:rPr>
          <w:rFonts w:ascii="Arial" w:eastAsia="Arial" w:hAnsi="Arial" w:cs="Arial"/>
          <w:sz w:val="17"/>
          <w:szCs w:val="17"/>
        </w:rPr>
        <w:t xml:space="preserve"> Tax Matters Agreement, we will generally be required to indemnify LB for the resulting taxes in the event that the Separation and/or related transactions fail to qualify for their intended tax treatment due to any action by us or any of our subsidiaries (</w:t>
      </w:r>
      <w:r>
        <w:rPr>
          <w:rFonts w:ascii="Arial" w:eastAsia="Arial" w:hAnsi="Arial" w:cs="Arial"/>
          <w:sz w:val="17"/>
          <w:szCs w:val="17"/>
        </w:rPr>
        <w:t>see “—Agreements with LB—Tax Matters Agreement”). If the Separation were to be taxable to LB, the liability for payment of such tax by LB or by us under the Tax Matters Agreement could have a material adverse effect on LB or us, as the case may be.</w:t>
      </w:r>
    </w:p>
    <w:p w14:paraId="6D244BA5" w14:textId="77777777" w:rsidR="00D1587D" w:rsidRDefault="00D1587D">
      <w:pPr>
        <w:spacing w:line="257" w:lineRule="exact"/>
        <w:rPr>
          <w:sz w:val="20"/>
          <w:szCs w:val="20"/>
        </w:rPr>
      </w:pPr>
    </w:p>
    <w:p w14:paraId="2476DB66" w14:textId="77777777" w:rsidR="00D1587D" w:rsidRDefault="00410D07">
      <w:pPr>
        <w:ind w:left="660"/>
        <w:rPr>
          <w:sz w:val="20"/>
          <w:szCs w:val="20"/>
        </w:rPr>
      </w:pPr>
      <w:r>
        <w:rPr>
          <w:rFonts w:ascii="Arial" w:eastAsia="Arial" w:hAnsi="Arial" w:cs="Arial"/>
          <w:b/>
          <w:bCs/>
          <w:i/>
          <w:iCs/>
          <w:sz w:val="18"/>
          <w:szCs w:val="18"/>
        </w:rPr>
        <w:t>Inform</w:t>
      </w:r>
      <w:r>
        <w:rPr>
          <w:rFonts w:ascii="Arial" w:eastAsia="Arial" w:hAnsi="Arial" w:cs="Arial"/>
          <w:b/>
          <w:bCs/>
          <w:i/>
          <w:iCs/>
          <w:sz w:val="18"/>
          <w:szCs w:val="18"/>
        </w:rPr>
        <w:t>ation Reporting and Backup Withholding</w:t>
      </w:r>
    </w:p>
    <w:p w14:paraId="7ECBA59A" w14:textId="77777777" w:rsidR="00D1587D" w:rsidRDefault="00D1587D">
      <w:pPr>
        <w:spacing w:line="117" w:lineRule="exact"/>
        <w:rPr>
          <w:sz w:val="20"/>
          <w:szCs w:val="20"/>
        </w:rPr>
      </w:pPr>
    </w:p>
    <w:p w14:paraId="659D0512" w14:textId="77777777" w:rsidR="00D1587D" w:rsidRDefault="00410D07">
      <w:pPr>
        <w:spacing w:line="287" w:lineRule="auto"/>
        <w:ind w:left="300" w:right="399" w:firstLine="360"/>
        <w:rPr>
          <w:sz w:val="20"/>
          <w:szCs w:val="20"/>
        </w:rPr>
      </w:pPr>
      <w:r>
        <w:rPr>
          <w:rFonts w:ascii="Arial" w:eastAsia="Arial" w:hAnsi="Arial" w:cs="Arial"/>
          <w:sz w:val="16"/>
          <w:szCs w:val="16"/>
        </w:rPr>
        <w:t>U.S. Treasury regulations generally require holders who own at least 5% of the total outstanding stock of LB (by vote or value) and who receive our common stock pursuant to the Distribution to attach to their U.S. fe</w:t>
      </w:r>
      <w:r>
        <w:rPr>
          <w:rFonts w:ascii="Arial" w:eastAsia="Arial" w:hAnsi="Arial" w:cs="Arial"/>
          <w:sz w:val="16"/>
          <w:szCs w:val="16"/>
        </w:rPr>
        <w:t>deral income tax return for the year in which the Distribution occurs a detailed statement setting forth certain information relating to the tax-free nature of the Distribution. LB and/or we will provide the appropriate information to each holder upon requ</w:t>
      </w:r>
      <w:r>
        <w:rPr>
          <w:rFonts w:ascii="Arial" w:eastAsia="Arial" w:hAnsi="Arial" w:cs="Arial"/>
          <w:sz w:val="16"/>
          <w:szCs w:val="16"/>
        </w:rPr>
        <w:t>est, and each such holder is required to retain permanent records of this information. In addition, payments of cash to a U.S. Holder of LB common stock in lieu of fractional shares of our common stock in the Distribution may be subject to information repo</w:t>
      </w:r>
      <w:r>
        <w:rPr>
          <w:rFonts w:ascii="Arial" w:eastAsia="Arial" w:hAnsi="Arial" w:cs="Arial"/>
          <w:sz w:val="16"/>
          <w:szCs w:val="16"/>
        </w:rPr>
        <w:t>rting, unless the U.S. Holder provides the withholding agent with proof of an applicable exemption. Such payments that are subject to information reporting may also be subject to backup withholding, unless such U.S. Holder provides the withholding agent wi</w:t>
      </w:r>
      <w:r>
        <w:rPr>
          <w:rFonts w:ascii="Arial" w:eastAsia="Arial" w:hAnsi="Arial" w:cs="Arial"/>
          <w:sz w:val="16"/>
          <w:szCs w:val="16"/>
        </w:rPr>
        <w:t>th a correct taxpayer identification number and otherwise complies with the requirements of the backup withholding rules. Backup withholding does not constitute additional tax, but merely an advance payment, which may be refunded or credited against a U.S.</w:t>
      </w:r>
      <w:r>
        <w:rPr>
          <w:rFonts w:ascii="Arial" w:eastAsia="Arial" w:hAnsi="Arial" w:cs="Arial"/>
          <w:sz w:val="16"/>
          <w:szCs w:val="16"/>
        </w:rPr>
        <w:t xml:space="preserve"> Holder’s U.S. federal income tax liability, provided the required information is timely supplied to the IRS.</w:t>
      </w:r>
    </w:p>
    <w:p w14:paraId="53D874C1" w14:textId="77777777" w:rsidR="00D1587D" w:rsidRDefault="00D1587D">
      <w:pPr>
        <w:spacing w:line="231" w:lineRule="exact"/>
        <w:rPr>
          <w:sz w:val="20"/>
          <w:szCs w:val="20"/>
        </w:rPr>
      </w:pPr>
    </w:p>
    <w:p w14:paraId="3203FB90" w14:textId="77777777" w:rsidR="00D1587D" w:rsidRDefault="00410D07">
      <w:pPr>
        <w:ind w:left="300"/>
        <w:rPr>
          <w:sz w:val="20"/>
          <w:szCs w:val="20"/>
        </w:rPr>
      </w:pPr>
      <w:r>
        <w:rPr>
          <w:rFonts w:ascii="Arial" w:eastAsia="Arial" w:hAnsi="Arial" w:cs="Arial"/>
          <w:b/>
          <w:bCs/>
          <w:sz w:val="18"/>
          <w:szCs w:val="18"/>
        </w:rPr>
        <w:t>Appraisal Rights</w:t>
      </w:r>
    </w:p>
    <w:p w14:paraId="5DD688EB" w14:textId="77777777" w:rsidR="00D1587D" w:rsidRDefault="00D1587D">
      <w:pPr>
        <w:spacing w:line="135" w:lineRule="exact"/>
        <w:rPr>
          <w:sz w:val="20"/>
          <w:szCs w:val="20"/>
        </w:rPr>
      </w:pPr>
    </w:p>
    <w:p w14:paraId="0A4F95C3" w14:textId="77777777" w:rsidR="00D1587D" w:rsidRDefault="00410D07">
      <w:pPr>
        <w:ind w:left="660"/>
        <w:rPr>
          <w:sz w:val="20"/>
          <w:szCs w:val="20"/>
        </w:rPr>
      </w:pPr>
      <w:r>
        <w:rPr>
          <w:rFonts w:ascii="Arial" w:eastAsia="Arial" w:hAnsi="Arial" w:cs="Arial"/>
          <w:sz w:val="18"/>
          <w:szCs w:val="18"/>
        </w:rPr>
        <w:t>No LB stockholder will have any appraisal rights in connection with the Separation.</w:t>
      </w:r>
    </w:p>
    <w:p w14:paraId="2A310D04" w14:textId="77777777" w:rsidR="00D1587D" w:rsidRDefault="00D1587D">
      <w:pPr>
        <w:spacing w:line="302" w:lineRule="exact"/>
        <w:rPr>
          <w:sz w:val="20"/>
          <w:szCs w:val="20"/>
        </w:rPr>
      </w:pPr>
    </w:p>
    <w:p w14:paraId="36CD2E9E" w14:textId="77777777" w:rsidR="00D1587D" w:rsidRDefault="00410D07">
      <w:pPr>
        <w:ind w:left="300"/>
        <w:rPr>
          <w:sz w:val="20"/>
          <w:szCs w:val="20"/>
        </w:rPr>
      </w:pPr>
      <w:r>
        <w:rPr>
          <w:rFonts w:ascii="Arial" w:eastAsia="Arial" w:hAnsi="Arial" w:cs="Arial"/>
          <w:b/>
          <w:bCs/>
          <w:sz w:val="18"/>
          <w:szCs w:val="18"/>
        </w:rPr>
        <w:t>Listing and Trading of Our Common Stock</w:t>
      </w:r>
    </w:p>
    <w:p w14:paraId="788226E8" w14:textId="77777777" w:rsidR="00D1587D" w:rsidRDefault="00D1587D">
      <w:pPr>
        <w:spacing w:line="121" w:lineRule="exact"/>
        <w:rPr>
          <w:sz w:val="20"/>
          <w:szCs w:val="20"/>
        </w:rPr>
      </w:pPr>
    </w:p>
    <w:p w14:paraId="341B855F" w14:textId="77777777" w:rsidR="00D1587D" w:rsidRDefault="00410D07">
      <w:pPr>
        <w:spacing w:line="277" w:lineRule="auto"/>
        <w:ind w:left="300" w:right="439" w:firstLine="360"/>
        <w:rPr>
          <w:sz w:val="20"/>
          <w:szCs w:val="20"/>
        </w:rPr>
      </w:pPr>
      <w:r>
        <w:rPr>
          <w:rFonts w:ascii="Arial" w:eastAsia="Arial" w:hAnsi="Arial" w:cs="Arial"/>
          <w:sz w:val="18"/>
          <w:szCs w:val="18"/>
        </w:rPr>
        <w:t>A</w:t>
      </w:r>
      <w:r>
        <w:rPr>
          <w:rFonts w:ascii="Arial" w:eastAsia="Arial" w:hAnsi="Arial" w:cs="Arial"/>
          <w:sz w:val="18"/>
          <w:szCs w:val="18"/>
        </w:rPr>
        <w:t>s of the date of this information statement, there is no public market for our common stock. We have applied for listing of our common stock on the NYSE under the ticker symbol “VSCO.”</w:t>
      </w:r>
    </w:p>
    <w:p w14:paraId="1ED8675A" w14:textId="77777777" w:rsidR="00D1587D" w:rsidRDefault="00D1587D">
      <w:pPr>
        <w:spacing w:line="247" w:lineRule="exact"/>
        <w:rPr>
          <w:sz w:val="20"/>
          <w:szCs w:val="20"/>
        </w:rPr>
      </w:pPr>
    </w:p>
    <w:p w14:paraId="6F01B95D" w14:textId="77777777" w:rsidR="00D1587D" w:rsidRDefault="00410D07">
      <w:pPr>
        <w:ind w:left="300"/>
        <w:rPr>
          <w:sz w:val="20"/>
          <w:szCs w:val="20"/>
        </w:rPr>
      </w:pPr>
      <w:r>
        <w:rPr>
          <w:rFonts w:ascii="Arial" w:eastAsia="Arial" w:hAnsi="Arial" w:cs="Arial"/>
          <w:b/>
          <w:bCs/>
          <w:sz w:val="18"/>
          <w:szCs w:val="18"/>
        </w:rPr>
        <w:t>Trading Between Record Date and Distribution Date</w:t>
      </w:r>
    </w:p>
    <w:p w14:paraId="3031248A" w14:textId="77777777" w:rsidR="00D1587D" w:rsidRDefault="00D1587D">
      <w:pPr>
        <w:spacing w:line="121" w:lineRule="exact"/>
        <w:rPr>
          <w:sz w:val="20"/>
          <w:szCs w:val="20"/>
        </w:rPr>
      </w:pPr>
    </w:p>
    <w:p w14:paraId="6853906E" w14:textId="77777777" w:rsidR="00D1587D" w:rsidRDefault="00410D07">
      <w:pPr>
        <w:spacing w:line="273" w:lineRule="auto"/>
        <w:ind w:left="300" w:right="419" w:firstLine="360"/>
        <w:rPr>
          <w:sz w:val="20"/>
          <w:szCs w:val="20"/>
        </w:rPr>
      </w:pPr>
      <w:r>
        <w:rPr>
          <w:rFonts w:ascii="Arial" w:eastAsia="Arial" w:hAnsi="Arial" w:cs="Arial"/>
          <w:sz w:val="17"/>
          <w:szCs w:val="17"/>
        </w:rPr>
        <w:t xml:space="preserve">Beginning on the </w:t>
      </w:r>
      <w:r>
        <w:rPr>
          <w:rFonts w:ascii="Arial" w:eastAsia="Arial" w:hAnsi="Arial" w:cs="Arial"/>
          <w:sz w:val="17"/>
          <w:szCs w:val="17"/>
        </w:rPr>
        <w:t>record date for the Distribution and continuing up to and including the Distribution Date, we expect there will be two markets in LB common stock: a “regular-way” market and an “ex-distribution” market. Shares of LB common stock that trade on the “regular-</w:t>
      </w:r>
      <w:r>
        <w:rPr>
          <w:rFonts w:ascii="Arial" w:eastAsia="Arial" w:hAnsi="Arial" w:cs="Arial"/>
          <w:sz w:val="17"/>
          <w:szCs w:val="17"/>
        </w:rPr>
        <w:t>way” market will trade with an entitlement to receive shares of VS common stock in the Distribution. Shares that trade on the “ex-distribution” market will trade without an entitlement to receive shares of VS common stock in the Distribution. Therefore, if</w:t>
      </w:r>
      <w:r>
        <w:rPr>
          <w:rFonts w:ascii="Arial" w:eastAsia="Arial" w:hAnsi="Arial" w:cs="Arial"/>
          <w:sz w:val="17"/>
          <w:szCs w:val="17"/>
        </w:rPr>
        <w:t xml:space="preserve"> you sell shares of LB common stock in the “regular-way” market after the close of business on the record date for the</w:t>
      </w:r>
    </w:p>
    <w:p w14:paraId="68D8C50B" w14:textId="77777777" w:rsidR="00D1587D" w:rsidRDefault="00D1587D">
      <w:pPr>
        <w:spacing w:line="178" w:lineRule="exact"/>
        <w:rPr>
          <w:sz w:val="20"/>
          <w:szCs w:val="20"/>
        </w:rPr>
      </w:pPr>
    </w:p>
    <w:p w14:paraId="5F0C2537" w14:textId="77777777" w:rsidR="00D1587D" w:rsidRDefault="00410D07">
      <w:pPr>
        <w:jc w:val="center"/>
        <w:rPr>
          <w:sz w:val="20"/>
          <w:szCs w:val="20"/>
        </w:rPr>
      </w:pPr>
      <w:r>
        <w:rPr>
          <w:rFonts w:ascii="Arial" w:eastAsia="Arial" w:hAnsi="Arial" w:cs="Arial"/>
          <w:sz w:val="18"/>
          <w:szCs w:val="18"/>
        </w:rPr>
        <w:t>45</w:t>
      </w:r>
    </w:p>
    <w:p w14:paraId="6FFC903C" w14:textId="77777777" w:rsidR="00D1587D" w:rsidRDefault="00410D07">
      <w:pPr>
        <w:spacing w:line="20" w:lineRule="exact"/>
        <w:rPr>
          <w:sz w:val="20"/>
          <w:szCs w:val="20"/>
        </w:rPr>
      </w:pPr>
      <w:r>
        <w:rPr>
          <w:noProof/>
          <w:sz w:val="20"/>
          <w:szCs w:val="20"/>
        </w:rPr>
        <w:drawing>
          <wp:anchor distT="0" distB="0" distL="114300" distR="114300" simplePos="0" relativeHeight="251488256" behindDoc="1" locked="0" layoutInCell="0" allowOverlap="1" wp14:anchorId="4798033F" wp14:editId="2DC17249">
            <wp:simplePos x="0" y="0"/>
            <wp:positionH relativeFrom="column">
              <wp:posOffset>-636905</wp:posOffset>
            </wp:positionH>
            <wp:positionV relativeFrom="paragraph">
              <wp:posOffset>134620</wp:posOffset>
            </wp:positionV>
            <wp:extent cx="6995160" cy="1714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7364528" w14:textId="77777777" w:rsidR="00D1587D" w:rsidRDefault="00D1587D">
      <w:pPr>
        <w:sectPr w:rsidR="00D1587D">
          <w:pgSz w:w="11900" w:h="16838"/>
          <w:pgMar w:top="265" w:right="1440" w:bottom="1440" w:left="1440" w:header="0" w:footer="0" w:gutter="0"/>
          <w:cols w:space="720" w:equalWidth="0">
            <w:col w:w="9019"/>
          </w:cols>
        </w:sectPr>
      </w:pPr>
    </w:p>
    <w:bookmarkStart w:id="303" w:name="page304"/>
    <w:bookmarkEnd w:id="303"/>
    <w:p w14:paraId="0807F70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49BDBA6" w14:textId="77777777" w:rsidR="00D1587D" w:rsidRDefault="00D1587D">
      <w:pPr>
        <w:spacing w:line="131" w:lineRule="exact"/>
        <w:rPr>
          <w:sz w:val="20"/>
          <w:szCs w:val="20"/>
        </w:rPr>
      </w:pPr>
    </w:p>
    <w:p w14:paraId="5A463390" w14:textId="77777777" w:rsidR="00D1587D" w:rsidRDefault="00410D07">
      <w:pPr>
        <w:spacing w:line="296" w:lineRule="auto"/>
        <w:ind w:left="300" w:right="679"/>
        <w:rPr>
          <w:sz w:val="20"/>
          <w:szCs w:val="20"/>
        </w:rPr>
      </w:pPr>
      <w:r>
        <w:rPr>
          <w:rFonts w:ascii="Arial" w:eastAsia="Arial" w:hAnsi="Arial" w:cs="Arial"/>
          <w:sz w:val="16"/>
          <w:szCs w:val="16"/>
        </w:rPr>
        <w:t xml:space="preserve">Distribution and up to and including the Distribution Date, you </w:t>
      </w:r>
      <w:r>
        <w:rPr>
          <w:rFonts w:ascii="Arial" w:eastAsia="Arial" w:hAnsi="Arial" w:cs="Arial"/>
          <w:sz w:val="16"/>
          <w:szCs w:val="16"/>
        </w:rPr>
        <w:t>will be selling your right to receive shares of VS common stock in the Distribution. If you own shares of LB common stock as of the close of business on the record date for the Distribution and sell those shares in the “ex-distribution” market, up to and i</w:t>
      </w:r>
      <w:r>
        <w:rPr>
          <w:rFonts w:ascii="Arial" w:eastAsia="Arial" w:hAnsi="Arial" w:cs="Arial"/>
          <w:sz w:val="16"/>
          <w:szCs w:val="16"/>
        </w:rPr>
        <w:t>ncluding the Distribution Date, you will still receive the shares of VS common stock that you would be entitled to receive in respect of your ownership, as of the record date, of the shares of LB common stock that you sold.</w:t>
      </w:r>
    </w:p>
    <w:p w14:paraId="5235075C" w14:textId="77777777" w:rsidR="00D1587D" w:rsidRDefault="00D1587D">
      <w:pPr>
        <w:spacing w:line="53" w:lineRule="exact"/>
        <w:rPr>
          <w:sz w:val="20"/>
          <w:szCs w:val="20"/>
        </w:rPr>
      </w:pPr>
    </w:p>
    <w:p w14:paraId="57682B6A" w14:textId="77777777" w:rsidR="00D1587D" w:rsidRDefault="00410D07">
      <w:pPr>
        <w:spacing w:line="270" w:lineRule="auto"/>
        <w:ind w:left="300" w:right="339" w:firstLine="360"/>
        <w:rPr>
          <w:sz w:val="20"/>
          <w:szCs w:val="20"/>
        </w:rPr>
      </w:pPr>
      <w:r>
        <w:rPr>
          <w:rFonts w:ascii="Arial" w:eastAsia="Arial" w:hAnsi="Arial" w:cs="Arial"/>
          <w:sz w:val="17"/>
          <w:szCs w:val="17"/>
        </w:rPr>
        <w:t>Furthermore, beginning on , 202</w:t>
      </w:r>
      <w:r>
        <w:rPr>
          <w:rFonts w:ascii="Arial" w:eastAsia="Arial" w:hAnsi="Arial" w:cs="Arial"/>
          <w:sz w:val="17"/>
          <w:szCs w:val="17"/>
        </w:rPr>
        <w:t>1 and continuing up to and including the Distribution Date, we expect there will be a “when-issued” market in our common stock. “When-issued” trading refers to a sale or purchase made conditionally because the security has been authorized but not yet issue</w:t>
      </w:r>
      <w:r>
        <w:rPr>
          <w:rFonts w:ascii="Arial" w:eastAsia="Arial" w:hAnsi="Arial" w:cs="Arial"/>
          <w:sz w:val="17"/>
          <w:szCs w:val="17"/>
        </w:rPr>
        <w:t>d. The “when-issued” trading market will be a market for shares of VS common stock that will be distributed to LB stockholders on the Distribution Date. If you own shares of LB common stock as of the close of business on the record date, you would be entit</w:t>
      </w:r>
      <w:r>
        <w:rPr>
          <w:rFonts w:ascii="Arial" w:eastAsia="Arial" w:hAnsi="Arial" w:cs="Arial"/>
          <w:sz w:val="17"/>
          <w:szCs w:val="17"/>
        </w:rPr>
        <w:t>led to receive shares of our common stock in the Distribution. You may trade this entitlement to receive shares of VS common stock, without trading the shares of LB common stock you own, in the “when-issued” market. On the first trading day following the D</w:t>
      </w:r>
      <w:r>
        <w:rPr>
          <w:rFonts w:ascii="Arial" w:eastAsia="Arial" w:hAnsi="Arial" w:cs="Arial"/>
          <w:sz w:val="17"/>
          <w:szCs w:val="17"/>
        </w:rPr>
        <w:t>istribution Date, we expect “when-issued” trading with respect to VS common stock will end and “regular-way” trading in VS common stock will begin.</w:t>
      </w:r>
    </w:p>
    <w:p w14:paraId="525656ED" w14:textId="77777777" w:rsidR="00D1587D" w:rsidRDefault="00D1587D">
      <w:pPr>
        <w:spacing w:line="339" w:lineRule="exact"/>
        <w:rPr>
          <w:sz w:val="20"/>
          <w:szCs w:val="20"/>
        </w:rPr>
      </w:pPr>
    </w:p>
    <w:p w14:paraId="55519EA2" w14:textId="77777777" w:rsidR="00D1587D" w:rsidRDefault="00410D07">
      <w:pPr>
        <w:ind w:left="300"/>
        <w:rPr>
          <w:sz w:val="20"/>
          <w:szCs w:val="20"/>
        </w:rPr>
      </w:pPr>
      <w:r>
        <w:rPr>
          <w:rFonts w:ascii="Arial" w:eastAsia="Arial" w:hAnsi="Arial" w:cs="Arial"/>
          <w:b/>
          <w:bCs/>
          <w:sz w:val="18"/>
          <w:szCs w:val="18"/>
        </w:rPr>
        <w:t>Conditions to the Distribution</w:t>
      </w:r>
    </w:p>
    <w:p w14:paraId="373F9334" w14:textId="77777777" w:rsidR="00D1587D" w:rsidRDefault="00D1587D">
      <w:pPr>
        <w:spacing w:line="121" w:lineRule="exact"/>
        <w:rPr>
          <w:sz w:val="20"/>
          <w:szCs w:val="20"/>
        </w:rPr>
      </w:pPr>
    </w:p>
    <w:p w14:paraId="1CFF1061" w14:textId="77777777" w:rsidR="00D1587D" w:rsidRDefault="00410D07">
      <w:pPr>
        <w:tabs>
          <w:tab w:val="left" w:pos="4580"/>
        </w:tabs>
        <w:ind w:left="660"/>
        <w:rPr>
          <w:sz w:val="20"/>
          <w:szCs w:val="20"/>
        </w:rPr>
      </w:pPr>
      <w:r>
        <w:rPr>
          <w:rFonts w:ascii="Arial" w:eastAsia="Arial" w:hAnsi="Arial" w:cs="Arial"/>
          <w:sz w:val="18"/>
          <w:szCs w:val="18"/>
        </w:rPr>
        <w:t>We expect the Distribution will be effective on</w:t>
      </w:r>
      <w:r>
        <w:rPr>
          <w:sz w:val="20"/>
          <w:szCs w:val="20"/>
        </w:rPr>
        <w:tab/>
      </w:r>
      <w:r>
        <w:rPr>
          <w:rFonts w:ascii="Arial" w:eastAsia="Arial" w:hAnsi="Arial" w:cs="Arial"/>
          <w:sz w:val="16"/>
          <w:szCs w:val="16"/>
        </w:rPr>
        <w:t>, 2021, the Distribution Da</w:t>
      </w:r>
      <w:r>
        <w:rPr>
          <w:rFonts w:ascii="Arial" w:eastAsia="Arial" w:hAnsi="Arial" w:cs="Arial"/>
          <w:sz w:val="16"/>
          <w:szCs w:val="16"/>
        </w:rPr>
        <w:t>te, provided that, among other</w:t>
      </w:r>
    </w:p>
    <w:p w14:paraId="00240E97" w14:textId="77777777" w:rsidR="00D1587D" w:rsidRDefault="00D1587D">
      <w:pPr>
        <w:spacing w:line="23" w:lineRule="exact"/>
        <w:rPr>
          <w:sz w:val="20"/>
          <w:szCs w:val="20"/>
        </w:rPr>
      </w:pPr>
    </w:p>
    <w:p w14:paraId="025076EC" w14:textId="77777777" w:rsidR="00D1587D" w:rsidRDefault="00410D07">
      <w:pPr>
        <w:spacing w:line="260" w:lineRule="auto"/>
        <w:ind w:left="300" w:right="319"/>
        <w:rPr>
          <w:sz w:val="20"/>
          <w:szCs w:val="20"/>
        </w:rPr>
      </w:pPr>
      <w:r>
        <w:rPr>
          <w:rFonts w:ascii="Arial" w:eastAsia="Arial" w:hAnsi="Arial" w:cs="Arial"/>
          <w:sz w:val="18"/>
          <w:szCs w:val="18"/>
        </w:rPr>
        <w:t>conditions described in the Separation and Distribution Agreement, the following conditions will have been satisfied or waived by LB in its sole discretion:</w:t>
      </w:r>
    </w:p>
    <w:p w14:paraId="63EEFAD3" w14:textId="77777777" w:rsidR="00D1587D" w:rsidRDefault="00D1587D">
      <w:pPr>
        <w:spacing w:line="77" w:lineRule="exact"/>
        <w:rPr>
          <w:sz w:val="20"/>
          <w:szCs w:val="20"/>
        </w:rPr>
      </w:pPr>
    </w:p>
    <w:p w14:paraId="6219569E" w14:textId="77777777" w:rsidR="00D1587D" w:rsidRDefault="00410D07" w:rsidP="00410D07">
      <w:pPr>
        <w:numPr>
          <w:ilvl w:val="0"/>
          <w:numId w:val="261"/>
        </w:numPr>
        <w:tabs>
          <w:tab w:val="left" w:pos="1000"/>
        </w:tabs>
        <w:spacing w:line="259" w:lineRule="auto"/>
        <w:ind w:left="1000" w:right="379" w:hanging="348"/>
        <w:rPr>
          <w:rFonts w:ascii="Arial" w:eastAsia="Arial" w:hAnsi="Arial" w:cs="Arial"/>
          <w:sz w:val="18"/>
          <w:szCs w:val="18"/>
        </w:rPr>
      </w:pPr>
      <w:r>
        <w:rPr>
          <w:rFonts w:ascii="Arial" w:eastAsia="Arial" w:hAnsi="Arial" w:cs="Arial"/>
          <w:sz w:val="18"/>
          <w:szCs w:val="18"/>
        </w:rPr>
        <w:t xml:space="preserve">The Separation-related restructuring and financing </w:t>
      </w:r>
      <w:r>
        <w:rPr>
          <w:rFonts w:ascii="Arial" w:eastAsia="Arial" w:hAnsi="Arial" w:cs="Arial"/>
          <w:sz w:val="18"/>
          <w:szCs w:val="18"/>
        </w:rPr>
        <w:t>transactions contemplated by the Separation and Distribution Agreement, including the LB Cash Payment, will each have been completed, and LB shall be satisfied in its sole and absolute discretion that, as of the effective time of the Distribution, it shall</w:t>
      </w:r>
      <w:r>
        <w:rPr>
          <w:rFonts w:ascii="Arial" w:eastAsia="Arial" w:hAnsi="Arial" w:cs="Arial"/>
          <w:sz w:val="18"/>
          <w:szCs w:val="18"/>
        </w:rPr>
        <w:t xml:space="preserve"> have no liability whatsoever under such financing transactions;</w:t>
      </w:r>
    </w:p>
    <w:p w14:paraId="011CCD7C" w14:textId="77777777" w:rsidR="00D1587D" w:rsidRDefault="00D1587D">
      <w:pPr>
        <w:spacing w:line="78" w:lineRule="exact"/>
        <w:rPr>
          <w:rFonts w:ascii="Arial" w:eastAsia="Arial" w:hAnsi="Arial" w:cs="Arial"/>
          <w:sz w:val="18"/>
          <w:szCs w:val="18"/>
        </w:rPr>
      </w:pPr>
    </w:p>
    <w:p w14:paraId="4903B89B" w14:textId="77777777" w:rsidR="00D1587D" w:rsidRDefault="00410D07" w:rsidP="00410D07">
      <w:pPr>
        <w:numPr>
          <w:ilvl w:val="0"/>
          <w:numId w:val="261"/>
        </w:numPr>
        <w:tabs>
          <w:tab w:val="left" w:pos="1000"/>
        </w:tabs>
        <w:spacing w:line="342" w:lineRule="auto"/>
        <w:ind w:left="1000" w:right="339" w:hanging="348"/>
        <w:rPr>
          <w:rFonts w:ascii="Arial" w:eastAsia="Arial" w:hAnsi="Arial" w:cs="Arial"/>
          <w:sz w:val="16"/>
          <w:szCs w:val="16"/>
        </w:rPr>
      </w:pPr>
      <w:r>
        <w:rPr>
          <w:rFonts w:ascii="Arial" w:eastAsia="Arial" w:hAnsi="Arial" w:cs="Arial"/>
          <w:sz w:val="16"/>
          <w:szCs w:val="16"/>
        </w:rPr>
        <w:t>The LB Board of Directors will have approved the Distribution and will not have abandoned the Distribution or terminated the Separation and Distribution Agreement at any time prior to the Di</w:t>
      </w:r>
      <w:r>
        <w:rPr>
          <w:rFonts w:ascii="Arial" w:eastAsia="Arial" w:hAnsi="Arial" w:cs="Arial"/>
          <w:sz w:val="16"/>
          <w:szCs w:val="16"/>
        </w:rPr>
        <w:t>stribution;</w:t>
      </w:r>
    </w:p>
    <w:p w14:paraId="2ECDF2BE" w14:textId="77777777" w:rsidR="00D1587D" w:rsidRDefault="00D1587D">
      <w:pPr>
        <w:spacing w:line="15" w:lineRule="exact"/>
        <w:rPr>
          <w:rFonts w:ascii="Arial" w:eastAsia="Arial" w:hAnsi="Arial" w:cs="Arial"/>
          <w:sz w:val="16"/>
          <w:szCs w:val="16"/>
        </w:rPr>
      </w:pPr>
    </w:p>
    <w:p w14:paraId="2DE63F90" w14:textId="77777777" w:rsidR="00D1587D" w:rsidRDefault="00410D07" w:rsidP="00410D07">
      <w:pPr>
        <w:numPr>
          <w:ilvl w:val="0"/>
          <w:numId w:val="261"/>
        </w:numPr>
        <w:tabs>
          <w:tab w:val="left" w:pos="1000"/>
        </w:tabs>
        <w:spacing w:line="296" w:lineRule="auto"/>
        <w:ind w:left="1000" w:right="399" w:hanging="348"/>
        <w:rPr>
          <w:rFonts w:ascii="Arial" w:eastAsia="Arial" w:hAnsi="Arial" w:cs="Arial"/>
          <w:sz w:val="16"/>
          <w:szCs w:val="16"/>
        </w:rPr>
      </w:pPr>
      <w:r>
        <w:rPr>
          <w:rFonts w:ascii="Arial" w:eastAsia="Arial" w:hAnsi="Arial" w:cs="Arial"/>
          <w:sz w:val="16"/>
          <w:szCs w:val="16"/>
        </w:rPr>
        <w:t xml:space="preserve">The SEC will have declared effective our registration statement on Form 10, of which this information statement is a part, under the Exchange Act, no stop order suspending the effectiveness of our registration statement on Form 10 will be in </w:t>
      </w:r>
      <w:r>
        <w:rPr>
          <w:rFonts w:ascii="Arial" w:eastAsia="Arial" w:hAnsi="Arial" w:cs="Arial"/>
          <w:sz w:val="16"/>
          <w:szCs w:val="16"/>
        </w:rPr>
        <w:t>effect and no proceedings for such purpose will have been instituted or threatened by the SEC, and this information statement, or a notice of Internet availability thereof, will have been mailed to the holders of LB common stock as of the record date for t</w:t>
      </w:r>
      <w:r>
        <w:rPr>
          <w:rFonts w:ascii="Arial" w:eastAsia="Arial" w:hAnsi="Arial" w:cs="Arial"/>
          <w:sz w:val="16"/>
          <w:szCs w:val="16"/>
        </w:rPr>
        <w:t>he Distribution;</w:t>
      </w:r>
    </w:p>
    <w:p w14:paraId="7521374C" w14:textId="77777777" w:rsidR="00D1587D" w:rsidRDefault="00D1587D">
      <w:pPr>
        <w:spacing w:line="53" w:lineRule="exact"/>
        <w:rPr>
          <w:rFonts w:ascii="Arial" w:eastAsia="Arial" w:hAnsi="Arial" w:cs="Arial"/>
          <w:sz w:val="16"/>
          <w:szCs w:val="16"/>
        </w:rPr>
      </w:pPr>
    </w:p>
    <w:p w14:paraId="16536376" w14:textId="77777777" w:rsidR="00D1587D" w:rsidRDefault="00410D07" w:rsidP="00410D07">
      <w:pPr>
        <w:numPr>
          <w:ilvl w:val="0"/>
          <w:numId w:val="261"/>
        </w:numPr>
        <w:tabs>
          <w:tab w:val="left" w:pos="1000"/>
        </w:tabs>
        <w:spacing w:line="263" w:lineRule="auto"/>
        <w:ind w:left="1000" w:right="519" w:hanging="348"/>
        <w:rPr>
          <w:rFonts w:ascii="Arial" w:eastAsia="Arial" w:hAnsi="Arial" w:cs="Arial"/>
          <w:sz w:val="18"/>
          <w:szCs w:val="18"/>
        </w:rPr>
      </w:pPr>
      <w:r>
        <w:rPr>
          <w:rFonts w:ascii="Arial" w:eastAsia="Arial" w:hAnsi="Arial" w:cs="Arial"/>
          <w:sz w:val="18"/>
          <w:szCs w:val="18"/>
        </w:rPr>
        <w:t xml:space="preserve">All actions and filings necessary or appropriate under applicable federal, state or other securities laws or “blue sky” laws and the rules and regulations thereunder will have been taken or made and, where applicable, become effective or </w:t>
      </w:r>
      <w:r>
        <w:rPr>
          <w:rFonts w:ascii="Arial" w:eastAsia="Arial" w:hAnsi="Arial" w:cs="Arial"/>
          <w:sz w:val="18"/>
          <w:szCs w:val="18"/>
        </w:rPr>
        <w:t>accepted;</w:t>
      </w:r>
    </w:p>
    <w:p w14:paraId="181B5B4B" w14:textId="77777777" w:rsidR="00D1587D" w:rsidRDefault="00D1587D">
      <w:pPr>
        <w:spacing w:line="75" w:lineRule="exact"/>
        <w:rPr>
          <w:rFonts w:ascii="Arial" w:eastAsia="Arial" w:hAnsi="Arial" w:cs="Arial"/>
          <w:sz w:val="18"/>
          <w:szCs w:val="18"/>
        </w:rPr>
      </w:pPr>
    </w:p>
    <w:p w14:paraId="6C8A1347" w14:textId="77777777" w:rsidR="00D1587D" w:rsidRDefault="00410D07" w:rsidP="00410D07">
      <w:pPr>
        <w:numPr>
          <w:ilvl w:val="0"/>
          <w:numId w:val="261"/>
        </w:numPr>
        <w:tabs>
          <w:tab w:val="left" w:pos="1000"/>
        </w:tabs>
        <w:spacing w:line="277" w:lineRule="auto"/>
        <w:ind w:left="1000" w:right="559" w:hanging="348"/>
        <w:rPr>
          <w:rFonts w:ascii="Arial" w:eastAsia="Arial" w:hAnsi="Arial" w:cs="Arial"/>
          <w:sz w:val="18"/>
          <w:szCs w:val="18"/>
        </w:rPr>
      </w:pPr>
      <w:r>
        <w:rPr>
          <w:rFonts w:ascii="Arial" w:eastAsia="Arial" w:hAnsi="Arial" w:cs="Arial"/>
          <w:sz w:val="18"/>
          <w:szCs w:val="18"/>
        </w:rPr>
        <w:t>Our common stock to be delivered in the Distribution will have been approved for listing on the NYSE, subject to official notice of issuance;</w:t>
      </w:r>
    </w:p>
    <w:p w14:paraId="08126C21" w14:textId="77777777" w:rsidR="00D1587D" w:rsidRDefault="00D1587D">
      <w:pPr>
        <w:spacing w:line="62" w:lineRule="exact"/>
        <w:rPr>
          <w:rFonts w:ascii="Arial" w:eastAsia="Arial" w:hAnsi="Arial" w:cs="Arial"/>
          <w:sz w:val="18"/>
          <w:szCs w:val="18"/>
        </w:rPr>
      </w:pPr>
    </w:p>
    <w:p w14:paraId="45CADFAA" w14:textId="77777777" w:rsidR="00D1587D" w:rsidRDefault="00410D07" w:rsidP="00410D07">
      <w:pPr>
        <w:numPr>
          <w:ilvl w:val="0"/>
          <w:numId w:val="261"/>
        </w:numPr>
        <w:tabs>
          <w:tab w:val="left" w:pos="1000"/>
        </w:tabs>
        <w:spacing w:line="259" w:lineRule="auto"/>
        <w:ind w:left="1000" w:right="359" w:hanging="348"/>
        <w:rPr>
          <w:rFonts w:ascii="Arial" w:eastAsia="Arial" w:hAnsi="Arial" w:cs="Arial"/>
          <w:sz w:val="18"/>
          <w:szCs w:val="18"/>
        </w:rPr>
      </w:pPr>
      <w:r>
        <w:rPr>
          <w:rFonts w:ascii="Arial" w:eastAsia="Arial" w:hAnsi="Arial" w:cs="Arial"/>
          <w:sz w:val="18"/>
          <w:szCs w:val="18"/>
        </w:rPr>
        <w:t xml:space="preserve">The VS Board of Directors, as named in this information statement, will have been duly </w:t>
      </w:r>
      <w:r>
        <w:rPr>
          <w:rFonts w:ascii="Arial" w:eastAsia="Arial" w:hAnsi="Arial" w:cs="Arial"/>
          <w:sz w:val="18"/>
          <w:szCs w:val="18"/>
        </w:rPr>
        <w:t>elected, and the amended and restated certificate of incorporation and amended and restated bylaws of VS, in substantially the form attached as exhibits to the registration statement of which this information statement is a part, will be in effect;</w:t>
      </w:r>
    </w:p>
    <w:p w14:paraId="12F36702" w14:textId="77777777" w:rsidR="00D1587D" w:rsidRDefault="00D1587D">
      <w:pPr>
        <w:spacing w:line="78" w:lineRule="exact"/>
        <w:rPr>
          <w:rFonts w:ascii="Arial" w:eastAsia="Arial" w:hAnsi="Arial" w:cs="Arial"/>
          <w:sz w:val="18"/>
          <w:szCs w:val="18"/>
        </w:rPr>
      </w:pPr>
    </w:p>
    <w:p w14:paraId="1EC380EF" w14:textId="77777777" w:rsidR="00D1587D" w:rsidRDefault="00410D07" w:rsidP="00410D07">
      <w:pPr>
        <w:numPr>
          <w:ilvl w:val="0"/>
          <w:numId w:val="261"/>
        </w:numPr>
        <w:tabs>
          <w:tab w:val="left" w:pos="1000"/>
        </w:tabs>
        <w:spacing w:line="277" w:lineRule="auto"/>
        <w:ind w:left="1000" w:right="559" w:hanging="348"/>
        <w:rPr>
          <w:rFonts w:ascii="Arial" w:eastAsia="Arial" w:hAnsi="Arial" w:cs="Arial"/>
          <w:sz w:val="18"/>
          <w:szCs w:val="18"/>
        </w:rPr>
      </w:pPr>
      <w:r>
        <w:rPr>
          <w:rFonts w:ascii="Arial" w:eastAsia="Arial" w:hAnsi="Arial" w:cs="Arial"/>
          <w:sz w:val="18"/>
          <w:szCs w:val="18"/>
        </w:rPr>
        <w:t>Each o</w:t>
      </w:r>
      <w:r>
        <w:rPr>
          <w:rFonts w:ascii="Arial" w:eastAsia="Arial" w:hAnsi="Arial" w:cs="Arial"/>
          <w:sz w:val="18"/>
          <w:szCs w:val="18"/>
        </w:rPr>
        <w:t>f the ancillary agreements contemplated by the Separation and Distribution Agreement will have been executed and delivered by the parties thereto;</w:t>
      </w:r>
    </w:p>
    <w:p w14:paraId="4D36160F" w14:textId="77777777" w:rsidR="00D1587D" w:rsidRDefault="00D1587D">
      <w:pPr>
        <w:spacing w:line="62" w:lineRule="exact"/>
        <w:rPr>
          <w:rFonts w:ascii="Arial" w:eastAsia="Arial" w:hAnsi="Arial" w:cs="Arial"/>
          <w:sz w:val="18"/>
          <w:szCs w:val="18"/>
        </w:rPr>
      </w:pPr>
    </w:p>
    <w:p w14:paraId="2EF910FF" w14:textId="77777777" w:rsidR="00D1587D" w:rsidRDefault="00410D07" w:rsidP="00410D07">
      <w:pPr>
        <w:numPr>
          <w:ilvl w:val="0"/>
          <w:numId w:val="261"/>
        </w:numPr>
        <w:tabs>
          <w:tab w:val="left" w:pos="1000"/>
        </w:tabs>
        <w:spacing w:line="273" w:lineRule="auto"/>
        <w:ind w:left="1000" w:right="379" w:hanging="348"/>
        <w:rPr>
          <w:rFonts w:ascii="Arial" w:eastAsia="Arial" w:hAnsi="Arial" w:cs="Arial"/>
          <w:sz w:val="17"/>
          <w:szCs w:val="17"/>
        </w:rPr>
      </w:pPr>
      <w:r>
        <w:rPr>
          <w:rFonts w:ascii="Arial" w:eastAsia="Arial" w:hAnsi="Arial" w:cs="Arial"/>
          <w:sz w:val="17"/>
          <w:szCs w:val="17"/>
        </w:rPr>
        <w:t>LB will have received the opinion of Davis Polk &amp; Wardwell LLP (which will not have been revoked or modified</w:t>
      </w:r>
      <w:r>
        <w:rPr>
          <w:rFonts w:ascii="Arial" w:eastAsia="Arial" w:hAnsi="Arial" w:cs="Arial"/>
          <w:sz w:val="17"/>
          <w:szCs w:val="17"/>
        </w:rPr>
        <w:t xml:space="preserve"> in any material respect), reasonably satisfactory to LB, to the effect that, for U.S. federal income tax purposes, the Distribution, together with certain related transactions, will qualify as a generally tax-free “reorganization” within the meaning of Se</w:t>
      </w:r>
      <w:r>
        <w:rPr>
          <w:rFonts w:ascii="Arial" w:eastAsia="Arial" w:hAnsi="Arial" w:cs="Arial"/>
          <w:sz w:val="17"/>
          <w:szCs w:val="17"/>
        </w:rPr>
        <w:t>ction 368(a)(1)(D) of the Code and a generally tax-free distribution within the meaning of Section 355 of the Code and the distribution by LB of the proceeds from the LB Cash Payment to its creditors in retirement of outstanding LB</w:t>
      </w:r>
    </w:p>
    <w:p w14:paraId="240DCE6C" w14:textId="77777777" w:rsidR="00D1587D" w:rsidRDefault="00D1587D">
      <w:pPr>
        <w:spacing w:line="178" w:lineRule="exact"/>
        <w:rPr>
          <w:sz w:val="20"/>
          <w:szCs w:val="20"/>
        </w:rPr>
      </w:pPr>
    </w:p>
    <w:p w14:paraId="40B4B929" w14:textId="77777777" w:rsidR="00D1587D" w:rsidRDefault="00410D07">
      <w:pPr>
        <w:ind w:right="19"/>
        <w:jc w:val="center"/>
        <w:rPr>
          <w:sz w:val="20"/>
          <w:szCs w:val="20"/>
        </w:rPr>
      </w:pPr>
      <w:r>
        <w:rPr>
          <w:rFonts w:ascii="Arial" w:eastAsia="Arial" w:hAnsi="Arial" w:cs="Arial"/>
          <w:sz w:val="18"/>
          <w:szCs w:val="18"/>
        </w:rPr>
        <w:t>46</w:t>
      </w:r>
    </w:p>
    <w:p w14:paraId="70302F03" w14:textId="77777777" w:rsidR="00D1587D" w:rsidRDefault="00410D07">
      <w:pPr>
        <w:spacing w:line="20" w:lineRule="exact"/>
        <w:rPr>
          <w:sz w:val="20"/>
          <w:szCs w:val="20"/>
        </w:rPr>
      </w:pPr>
      <w:r>
        <w:rPr>
          <w:noProof/>
          <w:sz w:val="20"/>
          <w:szCs w:val="20"/>
        </w:rPr>
        <w:drawing>
          <wp:anchor distT="0" distB="0" distL="114300" distR="114300" simplePos="0" relativeHeight="251489280" behindDoc="1" locked="0" layoutInCell="0" allowOverlap="1" wp14:anchorId="714A31A9" wp14:editId="466003C0">
            <wp:simplePos x="0" y="0"/>
            <wp:positionH relativeFrom="column">
              <wp:posOffset>-636905</wp:posOffset>
            </wp:positionH>
            <wp:positionV relativeFrom="paragraph">
              <wp:posOffset>126365</wp:posOffset>
            </wp:positionV>
            <wp:extent cx="6995160" cy="17145"/>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3886D1F" w14:textId="77777777" w:rsidR="00D1587D" w:rsidRDefault="00D1587D">
      <w:pPr>
        <w:sectPr w:rsidR="00D1587D">
          <w:pgSz w:w="11900" w:h="16838"/>
          <w:pgMar w:top="265" w:right="1440" w:bottom="1440" w:left="1440" w:header="0" w:footer="0" w:gutter="0"/>
          <w:cols w:space="720" w:equalWidth="0">
            <w:col w:w="9019"/>
          </w:cols>
        </w:sectPr>
      </w:pPr>
    </w:p>
    <w:bookmarkStart w:id="304" w:name="page305"/>
    <w:bookmarkEnd w:id="304"/>
    <w:p w14:paraId="23CEE87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3B8415E" w14:textId="77777777" w:rsidR="00D1587D" w:rsidRDefault="00D1587D">
      <w:pPr>
        <w:spacing w:line="131" w:lineRule="exact"/>
        <w:rPr>
          <w:sz w:val="20"/>
          <w:szCs w:val="20"/>
        </w:rPr>
      </w:pPr>
    </w:p>
    <w:p w14:paraId="5EB098D3" w14:textId="77777777" w:rsidR="00D1587D" w:rsidRDefault="00410D07">
      <w:pPr>
        <w:spacing w:line="286" w:lineRule="auto"/>
        <w:ind w:left="1020" w:right="359"/>
        <w:rPr>
          <w:sz w:val="20"/>
          <w:szCs w:val="20"/>
        </w:rPr>
      </w:pPr>
      <w:r>
        <w:rPr>
          <w:rFonts w:ascii="Arial" w:eastAsia="Arial" w:hAnsi="Arial" w:cs="Arial"/>
          <w:sz w:val="17"/>
          <w:szCs w:val="17"/>
        </w:rPr>
        <w:t>indebtedness or to LB stockholders in repurchase of, or distribution with respect to, shares of LB common stock, should qualify as money distributed to LB creditors or stockholders in connection with the reorg</w:t>
      </w:r>
      <w:r>
        <w:rPr>
          <w:rFonts w:ascii="Arial" w:eastAsia="Arial" w:hAnsi="Arial" w:cs="Arial"/>
          <w:sz w:val="17"/>
          <w:szCs w:val="17"/>
        </w:rPr>
        <w:t>anization for purposes of Section 361(b) of the Code (the “Tax Opinion Condition”);</w:t>
      </w:r>
    </w:p>
    <w:p w14:paraId="37E3C326" w14:textId="77777777" w:rsidR="00D1587D" w:rsidRDefault="00D1587D">
      <w:pPr>
        <w:spacing w:line="57" w:lineRule="exact"/>
        <w:rPr>
          <w:sz w:val="20"/>
          <w:szCs w:val="20"/>
        </w:rPr>
      </w:pPr>
    </w:p>
    <w:p w14:paraId="37C2633E" w14:textId="77777777" w:rsidR="00D1587D" w:rsidRDefault="00410D07" w:rsidP="00410D07">
      <w:pPr>
        <w:numPr>
          <w:ilvl w:val="0"/>
          <w:numId w:val="262"/>
        </w:numPr>
        <w:tabs>
          <w:tab w:val="left" w:pos="1000"/>
        </w:tabs>
        <w:spacing w:line="255" w:lineRule="auto"/>
        <w:ind w:left="1000" w:right="339" w:hanging="348"/>
        <w:rPr>
          <w:rFonts w:ascii="Arial" w:eastAsia="Arial" w:hAnsi="Arial" w:cs="Arial"/>
          <w:sz w:val="18"/>
          <w:szCs w:val="18"/>
        </w:rPr>
      </w:pPr>
      <w:r>
        <w:rPr>
          <w:rFonts w:ascii="Arial" w:eastAsia="Arial" w:hAnsi="Arial" w:cs="Arial"/>
          <w:sz w:val="18"/>
          <w:szCs w:val="18"/>
        </w:rPr>
        <w:t xml:space="preserve">An independent appraisal firm acceptable to LB will have delivered one or more opinions to the LB Board of Directors concerning the solvency and capital adequacy </w:t>
      </w:r>
      <w:r>
        <w:rPr>
          <w:rFonts w:ascii="Arial" w:eastAsia="Arial" w:hAnsi="Arial" w:cs="Arial"/>
          <w:sz w:val="18"/>
          <w:szCs w:val="18"/>
        </w:rPr>
        <w:t>matters of each of (a) LB and its subsidiaries prior to the consummation of the Distribution and (b) LB and its subsidiaries and VS and its subsidiaries after consummation of the Distribution, and such opinions will be acceptable in form and substance to t</w:t>
      </w:r>
      <w:r>
        <w:rPr>
          <w:rFonts w:ascii="Arial" w:eastAsia="Arial" w:hAnsi="Arial" w:cs="Arial"/>
          <w:sz w:val="18"/>
          <w:szCs w:val="18"/>
        </w:rPr>
        <w:t>he LB Board of Directors in its sole and absolute discretion and such opinions will not have been withdrawn or rescinded;</w:t>
      </w:r>
    </w:p>
    <w:p w14:paraId="37662494" w14:textId="77777777" w:rsidR="00D1587D" w:rsidRDefault="00D1587D">
      <w:pPr>
        <w:spacing w:line="84" w:lineRule="exact"/>
        <w:rPr>
          <w:rFonts w:ascii="Arial" w:eastAsia="Arial" w:hAnsi="Arial" w:cs="Arial"/>
          <w:sz w:val="18"/>
          <w:szCs w:val="18"/>
        </w:rPr>
      </w:pPr>
    </w:p>
    <w:p w14:paraId="6496208C" w14:textId="77777777" w:rsidR="00D1587D" w:rsidRDefault="00410D07" w:rsidP="00410D07">
      <w:pPr>
        <w:numPr>
          <w:ilvl w:val="0"/>
          <w:numId w:val="262"/>
        </w:numPr>
        <w:tabs>
          <w:tab w:val="left" w:pos="1000"/>
        </w:tabs>
        <w:spacing w:line="286" w:lineRule="auto"/>
        <w:ind w:left="1000" w:right="479" w:hanging="348"/>
        <w:jc w:val="both"/>
        <w:rPr>
          <w:rFonts w:ascii="Arial" w:eastAsia="Arial" w:hAnsi="Arial" w:cs="Arial"/>
          <w:sz w:val="17"/>
          <w:szCs w:val="17"/>
        </w:rPr>
      </w:pPr>
      <w:r>
        <w:rPr>
          <w:rFonts w:ascii="Arial" w:eastAsia="Arial" w:hAnsi="Arial" w:cs="Arial"/>
          <w:sz w:val="17"/>
          <w:szCs w:val="17"/>
        </w:rPr>
        <w:t>No applicable law will have been adopted, promulgated or issued that prohibits the consummation of the Distribution or any of the oth</w:t>
      </w:r>
      <w:r>
        <w:rPr>
          <w:rFonts w:ascii="Arial" w:eastAsia="Arial" w:hAnsi="Arial" w:cs="Arial"/>
          <w:sz w:val="17"/>
          <w:szCs w:val="17"/>
        </w:rPr>
        <w:t>er transactions contemplated by the Separation and Distribution Agreement or an ancillary agreement contemplated by the Separation and Distribution Agreement;</w:t>
      </w:r>
    </w:p>
    <w:p w14:paraId="6E6B9271" w14:textId="77777777" w:rsidR="00D1587D" w:rsidRDefault="00D1587D">
      <w:pPr>
        <w:spacing w:line="57" w:lineRule="exact"/>
        <w:rPr>
          <w:rFonts w:ascii="Arial" w:eastAsia="Arial" w:hAnsi="Arial" w:cs="Arial"/>
          <w:sz w:val="17"/>
          <w:szCs w:val="17"/>
        </w:rPr>
      </w:pPr>
    </w:p>
    <w:p w14:paraId="2FDDF55C" w14:textId="77777777" w:rsidR="00D1587D" w:rsidRDefault="00410D07" w:rsidP="00410D07">
      <w:pPr>
        <w:numPr>
          <w:ilvl w:val="0"/>
          <w:numId w:val="262"/>
        </w:numPr>
        <w:tabs>
          <w:tab w:val="left" w:pos="1000"/>
        </w:tabs>
        <w:spacing w:line="342" w:lineRule="auto"/>
        <w:ind w:left="1000" w:right="539" w:hanging="348"/>
        <w:rPr>
          <w:rFonts w:ascii="Arial" w:eastAsia="Arial" w:hAnsi="Arial" w:cs="Arial"/>
          <w:sz w:val="16"/>
          <w:szCs w:val="16"/>
        </w:rPr>
      </w:pPr>
      <w:r>
        <w:rPr>
          <w:rFonts w:ascii="Arial" w:eastAsia="Arial" w:hAnsi="Arial" w:cs="Arial"/>
          <w:sz w:val="16"/>
          <w:szCs w:val="16"/>
        </w:rPr>
        <w:t>Any material governmental approvals and consents and any material permits, registrations and con</w:t>
      </w:r>
      <w:r>
        <w:rPr>
          <w:rFonts w:ascii="Arial" w:eastAsia="Arial" w:hAnsi="Arial" w:cs="Arial"/>
          <w:sz w:val="16"/>
          <w:szCs w:val="16"/>
        </w:rPr>
        <w:t>sents from third parties, in each case, necessary to effect the Distribution, will have been obtained;</w:t>
      </w:r>
    </w:p>
    <w:p w14:paraId="711A8B15" w14:textId="77777777" w:rsidR="00D1587D" w:rsidRDefault="00D1587D">
      <w:pPr>
        <w:spacing w:line="15" w:lineRule="exact"/>
        <w:rPr>
          <w:rFonts w:ascii="Arial" w:eastAsia="Arial" w:hAnsi="Arial" w:cs="Arial"/>
          <w:sz w:val="16"/>
          <w:szCs w:val="16"/>
        </w:rPr>
      </w:pPr>
    </w:p>
    <w:p w14:paraId="22569B78" w14:textId="77777777" w:rsidR="00D1587D" w:rsidRDefault="00410D07" w:rsidP="00410D07">
      <w:pPr>
        <w:numPr>
          <w:ilvl w:val="0"/>
          <w:numId w:val="262"/>
        </w:numPr>
        <w:tabs>
          <w:tab w:val="left" w:pos="1000"/>
        </w:tabs>
        <w:ind w:left="1000" w:hanging="348"/>
        <w:rPr>
          <w:rFonts w:ascii="Arial" w:eastAsia="Arial" w:hAnsi="Arial" w:cs="Arial"/>
          <w:sz w:val="18"/>
          <w:szCs w:val="18"/>
        </w:rPr>
      </w:pPr>
      <w:r>
        <w:rPr>
          <w:rFonts w:ascii="Arial" w:eastAsia="Arial" w:hAnsi="Arial" w:cs="Arial"/>
          <w:sz w:val="18"/>
          <w:szCs w:val="18"/>
        </w:rPr>
        <w:t>VS shall have entered into a registration rights agreement with certain stockholders of LB;</w:t>
      </w:r>
    </w:p>
    <w:p w14:paraId="6F97015D" w14:textId="77777777" w:rsidR="00D1587D" w:rsidRDefault="00D1587D">
      <w:pPr>
        <w:spacing w:line="117" w:lineRule="exact"/>
        <w:rPr>
          <w:rFonts w:ascii="Arial" w:eastAsia="Arial" w:hAnsi="Arial" w:cs="Arial"/>
          <w:sz w:val="18"/>
          <w:szCs w:val="18"/>
        </w:rPr>
      </w:pPr>
    </w:p>
    <w:p w14:paraId="0F1C4486" w14:textId="77777777" w:rsidR="00D1587D" w:rsidRDefault="00410D07" w:rsidP="00410D07">
      <w:pPr>
        <w:numPr>
          <w:ilvl w:val="0"/>
          <w:numId w:val="262"/>
        </w:numPr>
        <w:tabs>
          <w:tab w:val="left" w:pos="1000"/>
        </w:tabs>
        <w:spacing w:line="259" w:lineRule="auto"/>
        <w:ind w:left="1000" w:right="339" w:hanging="348"/>
        <w:rPr>
          <w:rFonts w:ascii="Arial" w:eastAsia="Arial" w:hAnsi="Arial" w:cs="Arial"/>
          <w:sz w:val="18"/>
          <w:szCs w:val="18"/>
        </w:rPr>
      </w:pPr>
      <w:r>
        <w:rPr>
          <w:rFonts w:ascii="Arial" w:eastAsia="Arial" w:hAnsi="Arial" w:cs="Arial"/>
          <w:sz w:val="18"/>
          <w:szCs w:val="18"/>
        </w:rPr>
        <w:t>No event or development will have occurred or exist that, i</w:t>
      </w:r>
      <w:r>
        <w:rPr>
          <w:rFonts w:ascii="Arial" w:eastAsia="Arial" w:hAnsi="Arial" w:cs="Arial"/>
          <w:sz w:val="18"/>
          <w:szCs w:val="18"/>
        </w:rPr>
        <w:t>n the judgment of the LB Board of Directors, in its sole and absolute discretion, makes it inadvisable to effect the Distribution or any of the other transactions contemplated by the Separation and Distribution Agreement or an ancillary agreement contempla</w:t>
      </w:r>
      <w:r>
        <w:rPr>
          <w:rFonts w:ascii="Arial" w:eastAsia="Arial" w:hAnsi="Arial" w:cs="Arial"/>
          <w:sz w:val="18"/>
          <w:szCs w:val="18"/>
        </w:rPr>
        <w:t>ted by the Separation and Distribution Agreement; and</w:t>
      </w:r>
    </w:p>
    <w:p w14:paraId="4A7D8658" w14:textId="77777777" w:rsidR="00D1587D" w:rsidRDefault="00D1587D">
      <w:pPr>
        <w:spacing w:line="78" w:lineRule="exact"/>
        <w:rPr>
          <w:rFonts w:ascii="Arial" w:eastAsia="Arial" w:hAnsi="Arial" w:cs="Arial"/>
          <w:sz w:val="18"/>
          <w:szCs w:val="18"/>
        </w:rPr>
      </w:pPr>
    </w:p>
    <w:p w14:paraId="4C97CA9D" w14:textId="77777777" w:rsidR="00D1587D" w:rsidRDefault="00410D07" w:rsidP="00410D07">
      <w:pPr>
        <w:numPr>
          <w:ilvl w:val="0"/>
          <w:numId w:val="262"/>
        </w:numPr>
        <w:tabs>
          <w:tab w:val="left" w:pos="1000"/>
        </w:tabs>
        <w:spacing w:line="263" w:lineRule="auto"/>
        <w:ind w:left="1000" w:right="319" w:hanging="348"/>
        <w:rPr>
          <w:rFonts w:ascii="Arial" w:eastAsia="Arial" w:hAnsi="Arial" w:cs="Arial"/>
          <w:sz w:val="18"/>
          <w:szCs w:val="18"/>
        </w:rPr>
      </w:pPr>
      <w:r>
        <w:rPr>
          <w:rFonts w:ascii="Arial" w:eastAsia="Arial" w:hAnsi="Arial" w:cs="Arial"/>
          <w:sz w:val="18"/>
          <w:szCs w:val="18"/>
        </w:rPr>
        <w:t xml:space="preserve">Certain necessary actions to complete the Separation will have occurred, including that LB will have entered into a distribution agent agreement with a distribution agent or otherwise provided </w:t>
      </w:r>
      <w:r>
        <w:rPr>
          <w:rFonts w:ascii="Arial" w:eastAsia="Arial" w:hAnsi="Arial" w:cs="Arial"/>
          <w:sz w:val="18"/>
          <w:szCs w:val="18"/>
        </w:rPr>
        <w:t>instructions to a distribution agent regarding the Distribution.</w:t>
      </w:r>
    </w:p>
    <w:p w14:paraId="7644D168" w14:textId="77777777" w:rsidR="00D1587D" w:rsidRDefault="00D1587D">
      <w:pPr>
        <w:spacing w:line="76" w:lineRule="exact"/>
        <w:rPr>
          <w:sz w:val="20"/>
          <w:szCs w:val="20"/>
        </w:rPr>
      </w:pPr>
    </w:p>
    <w:p w14:paraId="492283F5" w14:textId="77777777" w:rsidR="00D1587D" w:rsidRDefault="00410D07">
      <w:pPr>
        <w:spacing w:line="259" w:lineRule="auto"/>
        <w:ind w:left="300" w:right="339" w:firstLine="360"/>
        <w:rPr>
          <w:sz w:val="20"/>
          <w:szCs w:val="20"/>
        </w:rPr>
      </w:pPr>
      <w:r>
        <w:rPr>
          <w:rFonts w:ascii="Arial" w:eastAsia="Arial" w:hAnsi="Arial" w:cs="Arial"/>
          <w:sz w:val="18"/>
          <w:szCs w:val="18"/>
        </w:rPr>
        <w:t>The fulfillment of the foregoing conditions will not create any obligations on LB’s part to effect the Separation, and the LB Board of Directors has reserved the right, in its sole discretio</w:t>
      </w:r>
      <w:r>
        <w:rPr>
          <w:rFonts w:ascii="Arial" w:eastAsia="Arial" w:hAnsi="Arial" w:cs="Arial"/>
          <w:sz w:val="18"/>
          <w:szCs w:val="18"/>
        </w:rPr>
        <w:t>n, to abandon, modify or change the terms of the Separation, including by accelerating or delaying the timing of the consummation of all or part of the Distribution, at any time prior to the Distribution Date.</w:t>
      </w:r>
    </w:p>
    <w:p w14:paraId="4C2D2D89" w14:textId="77777777" w:rsidR="00D1587D" w:rsidRDefault="00D1587D">
      <w:pPr>
        <w:spacing w:line="79" w:lineRule="exact"/>
        <w:rPr>
          <w:sz w:val="20"/>
          <w:szCs w:val="20"/>
        </w:rPr>
      </w:pPr>
    </w:p>
    <w:p w14:paraId="7C38D14F" w14:textId="77777777" w:rsidR="00D1587D" w:rsidRDefault="00410D07">
      <w:pPr>
        <w:spacing w:line="289" w:lineRule="auto"/>
        <w:ind w:left="300" w:right="339" w:firstLine="360"/>
        <w:rPr>
          <w:sz w:val="20"/>
          <w:szCs w:val="20"/>
        </w:rPr>
      </w:pPr>
      <w:r>
        <w:rPr>
          <w:rFonts w:ascii="Arial" w:eastAsia="Arial" w:hAnsi="Arial" w:cs="Arial"/>
          <w:sz w:val="16"/>
          <w:szCs w:val="16"/>
        </w:rPr>
        <w:t>We cannot assure you that all of the conditio</w:t>
      </w:r>
      <w:r>
        <w:rPr>
          <w:rFonts w:ascii="Arial" w:eastAsia="Arial" w:hAnsi="Arial" w:cs="Arial"/>
          <w:sz w:val="16"/>
          <w:szCs w:val="16"/>
        </w:rPr>
        <w:t xml:space="preserve">ns will be satisfied or waived. In addition, if the Distribution is completed and the LB Board of Directors waived any such condition, such waiver could have a material adverse effect on LB’s and VS’s respective business, financial condition or results of </w:t>
      </w:r>
      <w:r>
        <w:rPr>
          <w:rFonts w:ascii="Arial" w:eastAsia="Arial" w:hAnsi="Arial" w:cs="Arial"/>
          <w:sz w:val="16"/>
          <w:szCs w:val="16"/>
        </w:rPr>
        <w:t>operations, the trading price of VS common stock, or the ability of stockholders to sell their shares after the Distribution, including, without limitation, as a result of illiquid trading due to the failure of VS common stock to be accepted for listing or</w:t>
      </w:r>
      <w:r>
        <w:rPr>
          <w:rFonts w:ascii="Arial" w:eastAsia="Arial" w:hAnsi="Arial" w:cs="Arial"/>
          <w:sz w:val="16"/>
          <w:szCs w:val="16"/>
        </w:rPr>
        <w:t xml:space="preserve"> litigation relating to any preliminary or permanent injunctions sought to prevent the consummation of the Distribution. See “—Material U.S. Federal Income Tax Consequences of the Distribution—The Distribution” above for a discussion of the U.S. federal in</w:t>
      </w:r>
      <w:r>
        <w:rPr>
          <w:rFonts w:ascii="Arial" w:eastAsia="Arial" w:hAnsi="Arial" w:cs="Arial"/>
          <w:sz w:val="16"/>
          <w:szCs w:val="16"/>
        </w:rPr>
        <w:t>come tax consequences for LB and its stockholders that may arise if LB waives the Tax Opinion Condition and the Distribution is treated as a taxable transaction for U.S. federal income tax purposes.</w:t>
      </w:r>
    </w:p>
    <w:p w14:paraId="2AC2BD29" w14:textId="77777777" w:rsidR="00D1587D" w:rsidRDefault="00D1587D">
      <w:pPr>
        <w:spacing w:line="162" w:lineRule="exact"/>
        <w:rPr>
          <w:sz w:val="20"/>
          <w:szCs w:val="20"/>
        </w:rPr>
      </w:pPr>
    </w:p>
    <w:p w14:paraId="0BDF924F" w14:textId="77777777" w:rsidR="00D1587D" w:rsidRDefault="00410D07">
      <w:pPr>
        <w:ind w:left="300"/>
        <w:rPr>
          <w:sz w:val="20"/>
          <w:szCs w:val="20"/>
        </w:rPr>
      </w:pPr>
      <w:r>
        <w:rPr>
          <w:rFonts w:ascii="Arial" w:eastAsia="Arial" w:hAnsi="Arial" w:cs="Arial"/>
          <w:b/>
          <w:bCs/>
          <w:sz w:val="18"/>
          <w:szCs w:val="18"/>
        </w:rPr>
        <w:t>Agreements with LB</w:t>
      </w:r>
    </w:p>
    <w:p w14:paraId="1AFC8DF5" w14:textId="77777777" w:rsidR="00D1587D" w:rsidRDefault="00D1587D">
      <w:pPr>
        <w:spacing w:line="121" w:lineRule="exact"/>
        <w:rPr>
          <w:sz w:val="20"/>
          <w:szCs w:val="20"/>
        </w:rPr>
      </w:pPr>
    </w:p>
    <w:p w14:paraId="65DEBEC0" w14:textId="77777777" w:rsidR="00D1587D" w:rsidRDefault="00410D07">
      <w:pPr>
        <w:spacing w:line="273" w:lineRule="auto"/>
        <w:ind w:left="300" w:right="679" w:firstLine="360"/>
        <w:rPr>
          <w:sz w:val="20"/>
          <w:szCs w:val="20"/>
        </w:rPr>
      </w:pPr>
      <w:r>
        <w:rPr>
          <w:rFonts w:ascii="Arial" w:eastAsia="Arial" w:hAnsi="Arial" w:cs="Arial"/>
          <w:sz w:val="17"/>
          <w:szCs w:val="17"/>
        </w:rPr>
        <w:t>As part of the Separation, we will e</w:t>
      </w:r>
      <w:r>
        <w:rPr>
          <w:rFonts w:ascii="Arial" w:eastAsia="Arial" w:hAnsi="Arial" w:cs="Arial"/>
          <w:sz w:val="17"/>
          <w:szCs w:val="17"/>
        </w:rPr>
        <w:t>nter into a Separation and Distribution Agreement and several other agreements with LB to effect the Separation and provide a framework for our relationships with LB after the Separation. These agreements will provide for the allocation between us and LB o</w:t>
      </w:r>
      <w:r>
        <w:rPr>
          <w:rFonts w:ascii="Arial" w:eastAsia="Arial" w:hAnsi="Arial" w:cs="Arial"/>
          <w:sz w:val="17"/>
          <w:szCs w:val="17"/>
        </w:rPr>
        <w:t>f the assets, liabilities and obligations of LB and its subsidiaries, and will govern the relationships between VS and LB subsequent to the Separation (including with respect to transition services, employee matters, tax matters, domestic transportation se</w:t>
      </w:r>
      <w:r>
        <w:rPr>
          <w:rFonts w:ascii="Arial" w:eastAsia="Arial" w:hAnsi="Arial" w:cs="Arial"/>
          <w:sz w:val="17"/>
          <w:szCs w:val="17"/>
        </w:rPr>
        <w:t>rvices matters, and certain commercial arrangements).</w:t>
      </w:r>
    </w:p>
    <w:p w14:paraId="2D48C848" w14:textId="77777777" w:rsidR="00D1587D" w:rsidRDefault="00D1587D">
      <w:pPr>
        <w:spacing w:line="70" w:lineRule="exact"/>
        <w:rPr>
          <w:sz w:val="20"/>
          <w:szCs w:val="20"/>
        </w:rPr>
      </w:pPr>
    </w:p>
    <w:p w14:paraId="5C3847A6" w14:textId="77777777" w:rsidR="00D1587D" w:rsidRDefault="00410D07">
      <w:pPr>
        <w:spacing w:line="263" w:lineRule="auto"/>
        <w:ind w:left="300" w:right="459" w:firstLine="360"/>
        <w:rPr>
          <w:sz w:val="20"/>
          <w:szCs w:val="20"/>
        </w:rPr>
      </w:pPr>
      <w:r>
        <w:rPr>
          <w:rFonts w:ascii="Arial" w:eastAsia="Arial" w:hAnsi="Arial" w:cs="Arial"/>
          <w:sz w:val="18"/>
          <w:szCs w:val="18"/>
        </w:rPr>
        <w:t>In addition to the Separation and Distribution Agreement (which will contain many of the key provisions related to the Separation and the distribution of our shares of common stock to LB stockholders),</w:t>
      </w:r>
      <w:r>
        <w:rPr>
          <w:rFonts w:ascii="Arial" w:eastAsia="Arial" w:hAnsi="Arial" w:cs="Arial"/>
          <w:sz w:val="18"/>
          <w:szCs w:val="18"/>
        </w:rPr>
        <w:t xml:space="preserve"> these agreements include, among others:</w:t>
      </w:r>
    </w:p>
    <w:p w14:paraId="76218ECE" w14:textId="77777777" w:rsidR="00D1587D" w:rsidRDefault="00D1587D">
      <w:pPr>
        <w:spacing w:line="76" w:lineRule="exact"/>
        <w:rPr>
          <w:sz w:val="20"/>
          <w:szCs w:val="20"/>
        </w:rPr>
      </w:pPr>
    </w:p>
    <w:p w14:paraId="00707D6F" w14:textId="77777777" w:rsidR="00D1587D" w:rsidRDefault="00410D07" w:rsidP="00410D07">
      <w:pPr>
        <w:numPr>
          <w:ilvl w:val="0"/>
          <w:numId w:val="263"/>
        </w:numPr>
        <w:tabs>
          <w:tab w:val="left" w:pos="1000"/>
        </w:tabs>
        <w:ind w:left="1000" w:hanging="348"/>
        <w:rPr>
          <w:rFonts w:ascii="Arial" w:eastAsia="Arial" w:hAnsi="Arial" w:cs="Arial"/>
          <w:sz w:val="18"/>
          <w:szCs w:val="18"/>
        </w:rPr>
      </w:pPr>
      <w:r>
        <w:rPr>
          <w:rFonts w:ascii="Arial" w:eastAsia="Arial" w:hAnsi="Arial" w:cs="Arial"/>
          <w:sz w:val="18"/>
          <w:szCs w:val="18"/>
        </w:rPr>
        <w:t>Tax Matters Agreement;</w:t>
      </w:r>
    </w:p>
    <w:p w14:paraId="7688C3E4" w14:textId="77777777" w:rsidR="00D1587D" w:rsidRDefault="00D1587D">
      <w:pPr>
        <w:spacing w:line="117" w:lineRule="exact"/>
        <w:rPr>
          <w:rFonts w:ascii="Arial" w:eastAsia="Arial" w:hAnsi="Arial" w:cs="Arial"/>
          <w:sz w:val="18"/>
          <w:szCs w:val="18"/>
        </w:rPr>
      </w:pPr>
    </w:p>
    <w:p w14:paraId="77D00759" w14:textId="77777777" w:rsidR="00D1587D" w:rsidRDefault="00410D07" w:rsidP="00410D07">
      <w:pPr>
        <w:numPr>
          <w:ilvl w:val="0"/>
          <w:numId w:val="263"/>
        </w:numPr>
        <w:tabs>
          <w:tab w:val="left" w:pos="1000"/>
        </w:tabs>
        <w:ind w:left="1000" w:hanging="348"/>
        <w:rPr>
          <w:rFonts w:ascii="Arial" w:eastAsia="Arial" w:hAnsi="Arial" w:cs="Arial"/>
          <w:sz w:val="18"/>
          <w:szCs w:val="18"/>
        </w:rPr>
      </w:pPr>
      <w:r>
        <w:rPr>
          <w:rFonts w:ascii="Arial" w:eastAsia="Arial" w:hAnsi="Arial" w:cs="Arial"/>
          <w:sz w:val="18"/>
          <w:szCs w:val="18"/>
        </w:rPr>
        <w:t>L Brands to VS Transition Services Agreement;</w:t>
      </w:r>
    </w:p>
    <w:p w14:paraId="02B6E0F0" w14:textId="77777777" w:rsidR="00D1587D" w:rsidRDefault="00D1587D">
      <w:pPr>
        <w:spacing w:line="117" w:lineRule="exact"/>
        <w:rPr>
          <w:rFonts w:ascii="Arial" w:eastAsia="Arial" w:hAnsi="Arial" w:cs="Arial"/>
          <w:sz w:val="18"/>
          <w:szCs w:val="18"/>
        </w:rPr>
      </w:pPr>
    </w:p>
    <w:p w14:paraId="3CE0178D" w14:textId="77777777" w:rsidR="00D1587D" w:rsidRDefault="00410D07" w:rsidP="00410D07">
      <w:pPr>
        <w:numPr>
          <w:ilvl w:val="0"/>
          <w:numId w:val="263"/>
        </w:numPr>
        <w:tabs>
          <w:tab w:val="left" w:pos="1000"/>
        </w:tabs>
        <w:ind w:left="1000" w:hanging="348"/>
        <w:rPr>
          <w:rFonts w:ascii="Arial" w:eastAsia="Arial" w:hAnsi="Arial" w:cs="Arial"/>
          <w:sz w:val="18"/>
          <w:szCs w:val="18"/>
        </w:rPr>
      </w:pPr>
      <w:r>
        <w:rPr>
          <w:rFonts w:ascii="Arial" w:eastAsia="Arial" w:hAnsi="Arial" w:cs="Arial"/>
          <w:sz w:val="18"/>
          <w:szCs w:val="18"/>
        </w:rPr>
        <w:t>VS to L Brands Transition Services Agreement;</w:t>
      </w:r>
    </w:p>
    <w:p w14:paraId="7BF4572F" w14:textId="77777777" w:rsidR="00D1587D" w:rsidRDefault="00D1587D">
      <w:pPr>
        <w:spacing w:line="225" w:lineRule="exact"/>
        <w:rPr>
          <w:sz w:val="20"/>
          <w:szCs w:val="20"/>
        </w:rPr>
      </w:pPr>
    </w:p>
    <w:p w14:paraId="67C1AA8C" w14:textId="77777777" w:rsidR="00D1587D" w:rsidRDefault="00410D07">
      <w:pPr>
        <w:ind w:right="19"/>
        <w:jc w:val="center"/>
        <w:rPr>
          <w:sz w:val="20"/>
          <w:szCs w:val="20"/>
        </w:rPr>
      </w:pPr>
      <w:r>
        <w:rPr>
          <w:rFonts w:ascii="Arial" w:eastAsia="Arial" w:hAnsi="Arial" w:cs="Arial"/>
          <w:sz w:val="18"/>
          <w:szCs w:val="18"/>
        </w:rPr>
        <w:t>47</w:t>
      </w:r>
    </w:p>
    <w:p w14:paraId="0BB89C19" w14:textId="77777777" w:rsidR="00D1587D" w:rsidRDefault="00410D07">
      <w:pPr>
        <w:spacing w:line="20" w:lineRule="exact"/>
        <w:rPr>
          <w:sz w:val="20"/>
          <w:szCs w:val="20"/>
        </w:rPr>
      </w:pPr>
      <w:r>
        <w:rPr>
          <w:noProof/>
          <w:sz w:val="20"/>
          <w:szCs w:val="20"/>
        </w:rPr>
        <w:drawing>
          <wp:anchor distT="0" distB="0" distL="114300" distR="114300" simplePos="0" relativeHeight="251490304" behindDoc="1" locked="0" layoutInCell="0" allowOverlap="1" wp14:anchorId="6C7CB131" wp14:editId="06A699D8">
            <wp:simplePos x="0" y="0"/>
            <wp:positionH relativeFrom="column">
              <wp:posOffset>-636905</wp:posOffset>
            </wp:positionH>
            <wp:positionV relativeFrom="paragraph">
              <wp:posOffset>134620</wp:posOffset>
            </wp:positionV>
            <wp:extent cx="6995160" cy="17145"/>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4491963" w14:textId="77777777" w:rsidR="00D1587D" w:rsidRDefault="00D1587D">
      <w:pPr>
        <w:sectPr w:rsidR="00D1587D">
          <w:pgSz w:w="11900" w:h="16838"/>
          <w:pgMar w:top="265" w:right="1440" w:bottom="1440" w:left="1440" w:header="0" w:footer="0" w:gutter="0"/>
          <w:cols w:space="720" w:equalWidth="0">
            <w:col w:w="9019"/>
          </w:cols>
        </w:sectPr>
      </w:pPr>
    </w:p>
    <w:bookmarkStart w:id="305" w:name="page306"/>
    <w:bookmarkEnd w:id="305"/>
    <w:p w14:paraId="435FCE8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D8393B2" w14:textId="77777777" w:rsidR="00D1587D" w:rsidRDefault="00D1587D">
      <w:pPr>
        <w:spacing w:line="131" w:lineRule="exact"/>
        <w:rPr>
          <w:sz w:val="20"/>
          <w:szCs w:val="20"/>
        </w:rPr>
      </w:pPr>
    </w:p>
    <w:p w14:paraId="4BC5EE67" w14:textId="77777777" w:rsidR="00D1587D" w:rsidRDefault="00410D07" w:rsidP="00410D07">
      <w:pPr>
        <w:numPr>
          <w:ilvl w:val="0"/>
          <w:numId w:val="264"/>
        </w:numPr>
        <w:tabs>
          <w:tab w:val="left" w:pos="1000"/>
        </w:tabs>
        <w:ind w:left="1000" w:hanging="348"/>
        <w:rPr>
          <w:rFonts w:ascii="Arial" w:eastAsia="Arial" w:hAnsi="Arial" w:cs="Arial"/>
          <w:sz w:val="18"/>
          <w:szCs w:val="18"/>
        </w:rPr>
      </w:pPr>
      <w:r>
        <w:rPr>
          <w:rFonts w:ascii="Arial" w:eastAsia="Arial" w:hAnsi="Arial" w:cs="Arial"/>
          <w:sz w:val="18"/>
          <w:szCs w:val="18"/>
        </w:rPr>
        <w:t xml:space="preserve">Employee Matters </w:t>
      </w:r>
      <w:r>
        <w:rPr>
          <w:rFonts w:ascii="Arial" w:eastAsia="Arial" w:hAnsi="Arial" w:cs="Arial"/>
          <w:sz w:val="18"/>
          <w:szCs w:val="18"/>
        </w:rPr>
        <w:t>Agreement;</w:t>
      </w:r>
    </w:p>
    <w:p w14:paraId="0357BDFD" w14:textId="77777777" w:rsidR="00D1587D" w:rsidRDefault="00D1587D">
      <w:pPr>
        <w:spacing w:line="117" w:lineRule="exact"/>
        <w:rPr>
          <w:rFonts w:ascii="Arial" w:eastAsia="Arial" w:hAnsi="Arial" w:cs="Arial"/>
          <w:sz w:val="18"/>
          <w:szCs w:val="18"/>
        </w:rPr>
      </w:pPr>
    </w:p>
    <w:p w14:paraId="58203AD9" w14:textId="77777777" w:rsidR="00D1587D" w:rsidRDefault="00410D07" w:rsidP="00410D07">
      <w:pPr>
        <w:numPr>
          <w:ilvl w:val="0"/>
          <w:numId w:val="264"/>
        </w:numPr>
        <w:tabs>
          <w:tab w:val="left" w:pos="1000"/>
        </w:tabs>
        <w:ind w:left="1000" w:hanging="348"/>
        <w:rPr>
          <w:rFonts w:ascii="Arial" w:eastAsia="Arial" w:hAnsi="Arial" w:cs="Arial"/>
          <w:sz w:val="18"/>
          <w:szCs w:val="18"/>
        </w:rPr>
      </w:pPr>
      <w:r>
        <w:rPr>
          <w:rFonts w:ascii="Arial" w:eastAsia="Arial" w:hAnsi="Arial" w:cs="Arial"/>
          <w:sz w:val="18"/>
          <w:szCs w:val="18"/>
        </w:rPr>
        <w:t>Domestic Transportation Services Agreement; and</w:t>
      </w:r>
    </w:p>
    <w:p w14:paraId="677E698D" w14:textId="77777777" w:rsidR="00D1587D" w:rsidRDefault="00D1587D">
      <w:pPr>
        <w:spacing w:line="117" w:lineRule="exact"/>
        <w:rPr>
          <w:rFonts w:ascii="Arial" w:eastAsia="Arial" w:hAnsi="Arial" w:cs="Arial"/>
          <w:sz w:val="18"/>
          <w:szCs w:val="18"/>
        </w:rPr>
      </w:pPr>
    </w:p>
    <w:p w14:paraId="77A43470" w14:textId="77777777" w:rsidR="00D1587D" w:rsidRDefault="00410D07" w:rsidP="00410D07">
      <w:pPr>
        <w:numPr>
          <w:ilvl w:val="0"/>
          <w:numId w:val="264"/>
        </w:numPr>
        <w:tabs>
          <w:tab w:val="left" w:pos="1000"/>
        </w:tabs>
        <w:ind w:left="1000" w:hanging="348"/>
        <w:rPr>
          <w:rFonts w:ascii="Arial" w:eastAsia="Arial" w:hAnsi="Arial" w:cs="Arial"/>
          <w:sz w:val="18"/>
          <w:szCs w:val="18"/>
        </w:rPr>
      </w:pPr>
      <w:r>
        <w:rPr>
          <w:rFonts w:ascii="Arial" w:eastAsia="Arial" w:hAnsi="Arial" w:cs="Arial"/>
          <w:sz w:val="18"/>
          <w:szCs w:val="18"/>
        </w:rPr>
        <w:t>Certain other commercial arrangements.</w:t>
      </w:r>
    </w:p>
    <w:p w14:paraId="717CB44E" w14:textId="77777777" w:rsidR="00D1587D" w:rsidRDefault="00D1587D">
      <w:pPr>
        <w:spacing w:line="117" w:lineRule="exact"/>
        <w:rPr>
          <w:sz w:val="20"/>
          <w:szCs w:val="20"/>
        </w:rPr>
      </w:pPr>
    </w:p>
    <w:p w14:paraId="581E0BD8" w14:textId="77777777" w:rsidR="00D1587D" w:rsidRDefault="00410D07">
      <w:pPr>
        <w:spacing w:line="263" w:lineRule="auto"/>
        <w:ind w:left="300" w:right="539" w:firstLine="360"/>
        <w:rPr>
          <w:sz w:val="20"/>
          <w:szCs w:val="20"/>
        </w:rPr>
      </w:pPr>
      <w:r>
        <w:rPr>
          <w:rFonts w:ascii="Arial" w:eastAsia="Arial" w:hAnsi="Arial" w:cs="Arial"/>
          <w:sz w:val="18"/>
          <w:szCs w:val="18"/>
        </w:rPr>
        <w:t>The forms of the principal agreements described below are expected to be filed as exhibits to the registration statement of which this information statemen</w:t>
      </w:r>
      <w:r>
        <w:rPr>
          <w:rFonts w:ascii="Arial" w:eastAsia="Arial" w:hAnsi="Arial" w:cs="Arial"/>
          <w:sz w:val="18"/>
          <w:szCs w:val="18"/>
        </w:rPr>
        <w:t>t forms a part. The following descriptions of these agreements are summaries of the material terms of these agreements.</w:t>
      </w:r>
    </w:p>
    <w:p w14:paraId="13B952E2" w14:textId="77777777" w:rsidR="00D1587D" w:rsidRDefault="00D1587D">
      <w:pPr>
        <w:spacing w:line="346" w:lineRule="exact"/>
        <w:rPr>
          <w:sz w:val="20"/>
          <w:szCs w:val="20"/>
        </w:rPr>
      </w:pPr>
    </w:p>
    <w:p w14:paraId="47AD73C7" w14:textId="77777777" w:rsidR="00D1587D" w:rsidRDefault="00410D07">
      <w:pPr>
        <w:ind w:left="660"/>
        <w:rPr>
          <w:sz w:val="20"/>
          <w:szCs w:val="20"/>
        </w:rPr>
      </w:pPr>
      <w:r>
        <w:rPr>
          <w:rFonts w:ascii="Arial" w:eastAsia="Arial" w:hAnsi="Arial" w:cs="Arial"/>
          <w:b/>
          <w:bCs/>
          <w:i/>
          <w:iCs/>
          <w:sz w:val="18"/>
          <w:szCs w:val="18"/>
        </w:rPr>
        <w:t>The Separation and Distribution Agreement</w:t>
      </w:r>
    </w:p>
    <w:p w14:paraId="643F84AA" w14:textId="77777777" w:rsidR="00D1587D" w:rsidRDefault="00D1587D">
      <w:pPr>
        <w:spacing w:line="117" w:lineRule="exact"/>
        <w:rPr>
          <w:sz w:val="20"/>
          <w:szCs w:val="20"/>
        </w:rPr>
      </w:pPr>
    </w:p>
    <w:p w14:paraId="73D152C2" w14:textId="77777777" w:rsidR="00D1587D" w:rsidRDefault="00410D07">
      <w:pPr>
        <w:spacing w:line="259" w:lineRule="auto"/>
        <w:ind w:left="300" w:right="339" w:firstLine="360"/>
        <w:rPr>
          <w:sz w:val="20"/>
          <w:szCs w:val="20"/>
        </w:rPr>
      </w:pPr>
      <w:r>
        <w:rPr>
          <w:rFonts w:ascii="Arial" w:eastAsia="Arial" w:hAnsi="Arial" w:cs="Arial"/>
          <w:sz w:val="18"/>
          <w:szCs w:val="18"/>
        </w:rPr>
        <w:t xml:space="preserve">The Separation and Distribution Agreement will govern the overall terms of the </w:t>
      </w:r>
      <w:r>
        <w:rPr>
          <w:rFonts w:ascii="Arial" w:eastAsia="Arial" w:hAnsi="Arial" w:cs="Arial"/>
          <w:sz w:val="18"/>
          <w:szCs w:val="18"/>
        </w:rPr>
        <w:t>Separation. Generally, the Separation and Distribution Agreement will include LB’s and our agreements relating to the restructuring steps to be taken to complete the Separation, including the assets and rights to be transferred, liabilities to be assumed a</w:t>
      </w:r>
      <w:r>
        <w:rPr>
          <w:rFonts w:ascii="Arial" w:eastAsia="Arial" w:hAnsi="Arial" w:cs="Arial"/>
          <w:sz w:val="18"/>
          <w:szCs w:val="18"/>
        </w:rPr>
        <w:t>nd related matters.</w:t>
      </w:r>
    </w:p>
    <w:p w14:paraId="4060D6FC" w14:textId="77777777" w:rsidR="00D1587D" w:rsidRDefault="00D1587D">
      <w:pPr>
        <w:spacing w:line="79" w:lineRule="exact"/>
        <w:rPr>
          <w:sz w:val="20"/>
          <w:szCs w:val="20"/>
        </w:rPr>
      </w:pPr>
    </w:p>
    <w:p w14:paraId="5E245AC9" w14:textId="77777777" w:rsidR="00D1587D" w:rsidRDefault="00410D07">
      <w:pPr>
        <w:spacing w:line="272" w:lineRule="auto"/>
        <w:ind w:left="300" w:right="499" w:firstLine="360"/>
        <w:rPr>
          <w:sz w:val="20"/>
          <w:szCs w:val="20"/>
        </w:rPr>
      </w:pPr>
      <w:r>
        <w:rPr>
          <w:rFonts w:ascii="Arial" w:eastAsia="Arial" w:hAnsi="Arial" w:cs="Arial"/>
          <w:sz w:val="17"/>
          <w:szCs w:val="17"/>
        </w:rPr>
        <w:t>Subject to the receipt of required governmental and other consents and approvals and the satisfaction of other closing conditions, in order to accomplish the Separation, the Separation and Distribution Agreement will provide for LB and</w:t>
      </w:r>
      <w:r>
        <w:rPr>
          <w:rFonts w:ascii="Arial" w:eastAsia="Arial" w:hAnsi="Arial" w:cs="Arial"/>
          <w:sz w:val="17"/>
          <w:szCs w:val="17"/>
        </w:rPr>
        <w:t xml:space="preserve"> us to transfer specified assets between the companies that will operate the Spin Business after the Distribution, on the one hand, and LB’s remaining businesses, on the other hand. The Separation and Distribution Agreement will require LB and us to use co</w:t>
      </w:r>
      <w:r>
        <w:rPr>
          <w:rFonts w:ascii="Arial" w:eastAsia="Arial" w:hAnsi="Arial" w:cs="Arial"/>
          <w:sz w:val="17"/>
          <w:szCs w:val="17"/>
        </w:rPr>
        <w:t>mmercially reasonable efforts to obtain consents, approvals and amendments required to assign the assets and liabilities that are to be transferred pursuant to the Separation and Distribution Agreement.</w:t>
      </w:r>
    </w:p>
    <w:p w14:paraId="33BBB7AC" w14:textId="77777777" w:rsidR="00D1587D" w:rsidRDefault="00D1587D">
      <w:pPr>
        <w:spacing w:line="69" w:lineRule="exact"/>
        <w:rPr>
          <w:sz w:val="20"/>
          <w:szCs w:val="20"/>
        </w:rPr>
      </w:pPr>
    </w:p>
    <w:p w14:paraId="4382157B" w14:textId="77777777" w:rsidR="00D1587D" w:rsidRDefault="00410D07">
      <w:pPr>
        <w:spacing w:line="289" w:lineRule="auto"/>
        <w:ind w:left="300" w:right="299" w:firstLine="360"/>
        <w:rPr>
          <w:sz w:val="20"/>
          <w:szCs w:val="20"/>
        </w:rPr>
      </w:pPr>
      <w:r>
        <w:rPr>
          <w:rFonts w:ascii="Arial" w:eastAsia="Arial" w:hAnsi="Arial" w:cs="Arial"/>
          <w:sz w:val="16"/>
          <w:szCs w:val="16"/>
        </w:rPr>
        <w:t>Unless otherwise provided in the Separation and Dist</w:t>
      </w:r>
      <w:r>
        <w:rPr>
          <w:rFonts w:ascii="Arial" w:eastAsia="Arial" w:hAnsi="Arial" w:cs="Arial"/>
          <w:sz w:val="16"/>
          <w:szCs w:val="16"/>
        </w:rPr>
        <w:t>ribution Agreement or any of the related ancillary agreements, all assets will be transferred on an “as is, where is” basis. Generally, if the transfer of any assets or any claim or right or benefit arising thereunder requires a consent that will not be ob</w:t>
      </w:r>
      <w:r>
        <w:rPr>
          <w:rFonts w:ascii="Arial" w:eastAsia="Arial" w:hAnsi="Arial" w:cs="Arial"/>
          <w:sz w:val="16"/>
          <w:szCs w:val="16"/>
        </w:rPr>
        <w:t>tained before the Distribution, or if the transfer or assignment of any such asset or such claim or right or benefit arising thereunder would be ineffective, would adversely affect the rights of the transferor thereunder or would violate any applicable law</w:t>
      </w:r>
      <w:r>
        <w:rPr>
          <w:rFonts w:ascii="Arial" w:eastAsia="Arial" w:hAnsi="Arial" w:cs="Arial"/>
          <w:sz w:val="16"/>
          <w:szCs w:val="16"/>
        </w:rPr>
        <w:t xml:space="preserve">, the party retaining any asset that otherwise would have been transferred shall hold such asset in trust for the use and benefit of the party entitled thereto and retain such liability for the account of the party by whom such liability is to be assumed, </w:t>
      </w:r>
      <w:r>
        <w:rPr>
          <w:rFonts w:ascii="Arial" w:eastAsia="Arial" w:hAnsi="Arial" w:cs="Arial"/>
          <w:sz w:val="16"/>
          <w:szCs w:val="16"/>
        </w:rPr>
        <w:t>and take such other action in order to place such party, insofar as reasonably possible, in the same position as would have existed had such asset or liability been transferred prior to the Distribution.</w:t>
      </w:r>
    </w:p>
    <w:p w14:paraId="707EDAE9" w14:textId="77777777" w:rsidR="00D1587D" w:rsidRDefault="00D1587D">
      <w:pPr>
        <w:spacing w:line="58" w:lineRule="exact"/>
        <w:rPr>
          <w:sz w:val="20"/>
          <w:szCs w:val="20"/>
        </w:rPr>
      </w:pPr>
    </w:p>
    <w:p w14:paraId="4DA10492" w14:textId="77777777" w:rsidR="00D1587D" w:rsidRDefault="00410D07">
      <w:pPr>
        <w:spacing w:line="263" w:lineRule="auto"/>
        <w:ind w:left="300" w:right="459" w:firstLine="360"/>
        <w:rPr>
          <w:sz w:val="20"/>
          <w:szCs w:val="20"/>
        </w:rPr>
      </w:pPr>
      <w:r>
        <w:rPr>
          <w:rFonts w:ascii="Arial" w:eastAsia="Arial" w:hAnsi="Arial" w:cs="Arial"/>
          <w:sz w:val="18"/>
          <w:szCs w:val="18"/>
        </w:rPr>
        <w:t>In addition, we will also grant and receive license</w:t>
      </w:r>
      <w:r>
        <w:rPr>
          <w:rFonts w:ascii="Arial" w:eastAsia="Arial" w:hAnsi="Arial" w:cs="Arial"/>
          <w:sz w:val="18"/>
          <w:szCs w:val="18"/>
        </w:rPr>
        <w:t>s under certain intellectual property in connection with the Separation and Distribution Agreement, which will generally provide us and LB the freedom to continue operating our respective businesses following the Distribution, including as follows:</w:t>
      </w:r>
    </w:p>
    <w:p w14:paraId="35392C7B" w14:textId="77777777" w:rsidR="00D1587D" w:rsidRDefault="00D1587D">
      <w:pPr>
        <w:spacing w:line="76" w:lineRule="exact"/>
        <w:rPr>
          <w:sz w:val="20"/>
          <w:szCs w:val="20"/>
        </w:rPr>
      </w:pPr>
    </w:p>
    <w:p w14:paraId="6D6C438C" w14:textId="77777777" w:rsidR="00D1587D" w:rsidRDefault="00410D07" w:rsidP="00410D07">
      <w:pPr>
        <w:numPr>
          <w:ilvl w:val="0"/>
          <w:numId w:val="265"/>
        </w:numPr>
        <w:tabs>
          <w:tab w:val="left" w:pos="1000"/>
        </w:tabs>
        <w:spacing w:line="286" w:lineRule="auto"/>
        <w:ind w:left="1000" w:right="479" w:hanging="348"/>
        <w:rPr>
          <w:rFonts w:ascii="Arial" w:eastAsia="Arial" w:hAnsi="Arial" w:cs="Arial"/>
          <w:sz w:val="17"/>
          <w:szCs w:val="17"/>
        </w:rPr>
      </w:pPr>
      <w:r>
        <w:rPr>
          <w:rFonts w:ascii="Arial" w:eastAsia="Arial" w:hAnsi="Arial" w:cs="Arial"/>
          <w:sz w:val="17"/>
          <w:szCs w:val="17"/>
        </w:rPr>
        <w:t>We wil</w:t>
      </w:r>
      <w:r>
        <w:rPr>
          <w:rFonts w:ascii="Arial" w:eastAsia="Arial" w:hAnsi="Arial" w:cs="Arial"/>
          <w:sz w:val="17"/>
          <w:szCs w:val="17"/>
        </w:rPr>
        <w:t>l grant LB a non-exclusive, worldwide, perpetual, irrevocable, fully paid-up and royalty-free license to certain intellectual property transferred to us in connection with the Separation but used by LB in its business as of the Distribution in order for LB</w:t>
      </w:r>
      <w:r>
        <w:rPr>
          <w:rFonts w:ascii="Arial" w:eastAsia="Arial" w:hAnsi="Arial" w:cs="Arial"/>
          <w:sz w:val="17"/>
          <w:szCs w:val="17"/>
        </w:rPr>
        <w:t xml:space="preserve"> to continue operating its business.</w:t>
      </w:r>
    </w:p>
    <w:p w14:paraId="6D683C08" w14:textId="77777777" w:rsidR="00D1587D" w:rsidRDefault="00D1587D">
      <w:pPr>
        <w:spacing w:line="57" w:lineRule="exact"/>
        <w:rPr>
          <w:rFonts w:ascii="Arial" w:eastAsia="Arial" w:hAnsi="Arial" w:cs="Arial"/>
          <w:sz w:val="17"/>
          <w:szCs w:val="17"/>
        </w:rPr>
      </w:pPr>
    </w:p>
    <w:p w14:paraId="52D3E795" w14:textId="77777777" w:rsidR="00D1587D" w:rsidRDefault="00410D07" w:rsidP="00410D07">
      <w:pPr>
        <w:numPr>
          <w:ilvl w:val="0"/>
          <w:numId w:val="265"/>
        </w:numPr>
        <w:tabs>
          <w:tab w:val="left" w:pos="1000"/>
        </w:tabs>
        <w:spacing w:line="263" w:lineRule="auto"/>
        <w:ind w:left="1000" w:right="579" w:hanging="348"/>
        <w:rPr>
          <w:rFonts w:ascii="Arial" w:eastAsia="Arial" w:hAnsi="Arial" w:cs="Arial"/>
          <w:sz w:val="18"/>
          <w:szCs w:val="18"/>
        </w:rPr>
      </w:pPr>
      <w:r>
        <w:rPr>
          <w:rFonts w:ascii="Arial" w:eastAsia="Arial" w:hAnsi="Arial" w:cs="Arial"/>
          <w:sz w:val="18"/>
          <w:szCs w:val="18"/>
        </w:rPr>
        <w:t xml:space="preserve">We will receive from LB a non-exclusive, worldwide, perpetual, irrevocable, fully paid-up and royalty-free license to certain intellectual property retained by LB but used in the Spin Business as of the </w:t>
      </w:r>
      <w:r>
        <w:rPr>
          <w:rFonts w:ascii="Arial" w:eastAsia="Arial" w:hAnsi="Arial" w:cs="Arial"/>
          <w:sz w:val="18"/>
          <w:szCs w:val="18"/>
        </w:rPr>
        <w:t>Distribution in order for us to continue operating the Spin Business.</w:t>
      </w:r>
    </w:p>
    <w:p w14:paraId="26680F87" w14:textId="77777777" w:rsidR="00D1587D" w:rsidRDefault="00D1587D">
      <w:pPr>
        <w:spacing w:line="76" w:lineRule="exact"/>
        <w:rPr>
          <w:sz w:val="20"/>
          <w:szCs w:val="20"/>
        </w:rPr>
      </w:pPr>
    </w:p>
    <w:p w14:paraId="01288411" w14:textId="77777777" w:rsidR="00D1587D" w:rsidRDefault="00410D07">
      <w:pPr>
        <w:spacing w:line="257" w:lineRule="auto"/>
        <w:ind w:left="300" w:right="319" w:firstLine="360"/>
        <w:rPr>
          <w:sz w:val="20"/>
          <w:szCs w:val="20"/>
        </w:rPr>
      </w:pPr>
      <w:r>
        <w:rPr>
          <w:rFonts w:ascii="Arial" w:eastAsia="Arial" w:hAnsi="Arial" w:cs="Arial"/>
          <w:sz w:val="18"/>
          <w:szCs w:val="18"/>
        </w:rPr>
        <w:t>The Separation and Distribution Agreement will specify those conditions that must be satisfied or waived by LB prior to the completion of the Separation, which are described further abo</w:t>
      </w:r>
      <w:r>
        <w:rPr>
          <w:rFonts w:ascii="Arial" w:eastAsia="Arial" w:hAnsi="Arial" w:cs="Arial"/>
          <w:sz w:val="18"/>
          <w:szCs w:val="18"/>
        </w:rPr>
        <w:t>ve in “—Conditions to the Distribution.” In addition, LB will have the right to determine the date and terms of the Separation, and will have the right, at any time until completion of the Distribution, to determine to abandon or modify the Distribution an</w:t>
      </w:r>
      <w:r>
        <w:rPr>
          <w:rFonts w:ascii="Arial" w:eastAsia="Arial" w:hAnsi="Arial" w:cs="Arial"/>
          <w:sz w:val="18"/>
          <w:szCs w:val="18"/>
        </w:rPr>
        <w:t>d to terminate the Separation and Distribution Agreement.</w:t>
      </w:r>
    </w:p>
    <w:p w14:paraId="0A5F215F" w14:textId="77777777" w:rsidR="00D1587D" w:rsidRDefault="00D1587D">
      <w:pPr>
        <w:spacing w:line="80" w:lineRule="exact"/>
        <w:rPr>
          <w:sz w:val="20"/>
          <w:szCs w:val="20"/>
        </w:rPr>
      </w:pPr>
    </w:p>
    <w:p w14:paraId="7E8FFEE5" w14:textId="77777777" w:rsidR="00D1587D" w:rsidRDefault="00410D07">
      <w:pPr>
        <w:spacing w:line="273" w:lineRule="auto"/>
        <w:ind w:left="300" w:right="319" w:firstLine="360"/>
        <w:rPr>
          <w:sz w:val="20"/>
          <w:szCs w:val="20"/>
        </w:rPr>
      </w:pPr>
      <w:r>
        <w:rPr>
          <w:rFonts w:ascii="Arial" w:eastAsia="Arial" w:hAnsi="Arial" w:cs="Arial"/>
          <w:sz w:val="17"/>
          <w:szCs w:val="17"/>
        </w:rPr>
        <w:t>In addition, the Separation and Distribution Agreement will govern the treatment of indemnification, insurance and litigation responsibility and management. Generally, the Separation and Distributi</w:t>
      </w:r>
      <w:r>
        <w:rPr>
          <w:rFonts w:ascii="Arial" w:eastAsia="Arial" w:hAnsi="Arial" w:cs="Arial"/>
          <w:sz w:val="17"/>
          <w:szCs w:val="17"/>
        </w:rPr>
        <w:t>on Agreement will provide for uncapped cross-indemnities principally designed to place financial responsibility for the obligations and liabilities of the Spin Business with us and financial responsibility for the obligations and liabilities of LB’s retain</w:t>
      </w:r>
      <w:r>
        <w:rPr>
          <w:rFonts w:ascii="Arial" w:eastAsia="Arial" w:hAnsi="Arial" w:cs="Arial"/>
          <w:sz w:val="17"/>
          <w:szCs w:val="17"/>
        </w:rPr>
        <w:t>ed businesses with LB. The Separation and Distribution Agreement will also establish procedures for handling claims subject to indemnification and related matters.</w:t>
      </w:r>
    </w:p>
    <w:p w14:paraId="7532842C" w14:textId="77777777" w:rsidR="00D1587D" w:rsidRDefault="00D1587D">
      <w:pPr>
        <w:spacing w:line="178" w:lineRule="exact"/>
        <w:rPr>
          <w:sz w:val="20"/>
          <w:szCs w:val="20"/>
        </w:rPr>
      </w:pPr>
    </w:p>
    <w:p w14:paraId="2E0580A6" w14:textId="77777777" w:rsidR="00D1587D" w:rsidRDefault="00410D07">
      <w:pPr>
        <w:jc w:val="center"/>
        <w:rPr>
          <w:sz w:val="20"/>
          <w:szCs w:val="20"/>
        </w:rPr>
      </w:pPr>
      <w:r>
        <w:rPr>
          <w:rFonts w:ascii="Arial" w:eastAsia="Arial" w:hAnsi="Arial" w:cs="Arial"/>
          <w:sz w:val="18"/>
          <w:szCs w:val="18"/>
        </w:rPr>
        <w:t>48</w:t>
      </w:r>
    </w:p>
    <w:p w14:paraId="2425331A" w14:textId="77777777" w:rsidR="00D1587D" w:rsidRDefault="00410D07">
      <w:pPr>
        <w:spacing w:line="20" w:lineRule="exact"/>
        <w:rPr>
          <w:sz w:val="20"/>
          <w:szCs w:val="20"/>
        </w:rPr>
      </w:pPr>
      <w:r>
        <w:rPr>
          <w:noProof/>
          <w:sz w:val="20"/>
          <w:szCs w:val="20"/>
        </w:rPr>
        <w:drawing>
          <wp:anchor distT="0" distB="0" distL="114300" distR="114300" simplePos="0" relativeHeight="251491328" behindDoc="1" locked="0" layoutInCell="0" allowOverlap="1" wp14:anchorId="40689C74" wp14:editId="0846F5B2">
            <wp:simplePos x="0" y="0"/>
            <wp:positionH relativeFrom="column">
              <wp:posOffset>-636905</wp:posOffset>
            </wp:positionH>
            <wp:positionV relativeFrom="paragraph">
              <wp:posOffset>126365</wp:posOffset>
            </wp:positionV>
            <wp:extent cx="6995160" cy="17145"/>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2263B45" w14:textId="77777777" w:rsidR="00D1587D" w:rsidRDefault="00D1587D">
      <w:pPr>
        <w:sectPr w:rsidR="00D1587D">
          <w:pgSz w:w="11900" w:h="16838"/>
          <w:pgMar w:top="265" w:right="1440" w:bottom="1440" w:left="1440" w:header="0" w:footer="0" w:gutter="0"/>
          <w:cols w:space="720" w:equalWidth="0">
            <w:col w:w="9019"/>
          </w:cols>
        </w:sectPr>
      </w:pPr>
    </w:p>
    <w:bookmarkStart w:id="306" w:name="page307"/>
    <w:bookmarkEnd w:id="306"/>
    <w:p w14:paraId="4FBCA33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2CDD344" w14:textId="77777777" w:rsidR="00D1587D" w:rsidRDefault="00D1587D">
      <w:pPr>
        <w:spacing w:line="131" w:lineRule="exact"/>
        <w:rPr>
          <w:sz w:val="20"/>
          <w:szCs w:val="20"/>
        </w:rPr>
      </w:pPr>
    </w:p>
    <w:p w14:paraId="7D2E9537" w14:textId="77777777" w:rsidR="00D1587D" w:rsidRDefault="00410D07">
      <w:pPr>
        <w:ind w:left="660"/>
        <w:rPr>
          <w:sz w:val="20"/>
          <w:szCs w:val="20"/>
        </w:rPr>
      </w:pPr>
      <w:r>
        <w:rPr>
          <w:rFonts w:ascii="Arial" w:eastAsia="Arial" w:hAnsi="Arial" w:cs="Arial"/>
          <w:b/>
          <w:bCs/>
          <w:i/>
          <w:iCs/>
          <w:sz w:val="18"/>
          <w:szCs w:val="18"/>
        </w:rPr>
        <w:t xml:space="preserve">Tax Matters </w:t>
      </w:r>
      <w:r>
        <w:rPr>
          <w:rFonts w:ascii="Arial" w:eastAsia="Arial" w:hAnsi="Arial" w:cs="Arial"/>
          <w:b/>
          <w:bCs/>
          <w:i/>
          <w:iCs/>
          <w:sz w:val="18"/>
          <w:szCs w:val="18"/>
        </w:rPr>
        <w:t>Agreement</w:t>
      </w:r>
    </w:p>
    <w:p w14:paraId="7F1F640D" w14:textId="77777777" w:rsidR="00D1587D" w:rsidRDefault="00D1587D">
      <w:pPr>
        <w:spacing w:line="117" w:lineRule="exact"/>
        <w:rPr>
          <w:sz w:val="20"/>
          <w:szCs w:val="20"/>
        </w:rPr>
      </w:pPr>
    </w:p>
    <w:p w14:paraId="724E3756" w14:textId="77777777" w:rsidR="00D1587D" w:rsidRDefault="00410D07">
      <w:pPr>
        <w:spacing w:line="293" w:lineRule="auto"/>
        <w:ind w:left="300" w:right="399" w:firstLine="360"/>
        <w:rPr>
          <w:sz w:val="20"/>
          <w:szCs w:val="20"/>
        </w:rPr>
      </w:pPr>
      <w:r>
        <w:rPr>
          <w:rFonts w:ascii="Arial" w:eastAsia="Arial" w:hAnsi="Arial" w:cs="Arial"/>
          <w:sz w:val="16"/>
          <w:szCs w:val="16"/>
        </w:rPr>
        <w:t>In connection with the Separation, we and LB will enter into a tax matters agreement (the “Tax Matters Agreement”) that will govern the parties’ respective rights, responsibilities and obligations with respect to taxes, including taxes arising i</w:t>
      </w:r>
      <w:r>
        <w:rPr>
          <w:rFonts w:ascii="Arial" w:eastAsia="Arial" w:hAnsi="Arial" w:cs="Arial"/>
          <w:sz w:val="16"/>
          <w:szCs w:val="16"/>
        </w:rPr>
        <w:t>n the ordinary course of business, and taxes, if any, incurred as a result of the failure of the Distribution (and certain related transactions) to qualify for tax-free treatment for U.S. federal income tax purposes. The Tax Matters Agreement will also set</w:t>
      </w:r>
      <w:r>
        <w:rPr>
          <w:rFonts w:ascii="Arial" w:eastAsia="Arial" w:hAnsi="Arial" w:cs="Arial"/>
          <w:sz w:val="16"/>
          <w:szCs w:val="16"/>
        </w:rPr>
        <w:t xml:space="preserve"> forth the respective obligations of the parties with respect to the filing of tax returns, the administration of tax contests and assistance and cooperation on tax matters.</w:t>
      </w:r>
    </w:p>
    <w:p w14:paraId="3DADDEBF" w14:textId="77777777" w:rsidR="00D1587D" w:rsidRDefault="00D1587D">
      <w:pPr>
        <w:spacing w:line="56" w:lineRule="exact"/>
        <w:rPr>
          <w:sz w:val="20"/>
          <w:szCs w:val="20"/>
        </w:rPr>
      </w:pPr>
    </w:p>
    <w:p w14:paraId="52470CA5" w14:textId="77777777" w:rsidR="00D1587D" w:rsidRDefault="00410D07">
      <w:pPr>
        <w:spacing w:line="272" w:lineRule="auto"/>
        <w:ind w:left="300" w:right="499" w:firstLine="360"/>
        <w:rPr>
          <w:sz w:val="20"/>
          <w:szCs w:val="20"/>
        </w:rPr>
      </w:pPr>
      <w:r>
        <w:rPr>
          <w:rFonts w:ascii="Arial" w:eastAsia="Arial" w:hAnsi="Arial" w:cs="Arial"/>
          <w:sz w:val="17"/>
          <w:szCs w:val="17"/>
        </w:rPr>
        <w:t xml:space="preserve">In general, the Tax Matters Agreement will govern the rights and </w:t>
      </w:r>
      <w:r>
        <w:rPr>
          <w:rFonts w:ascii="Arial" w:eastAsia="Arial" w:hAnsi="Arial" w:cs="Arial"/>
          <w:sz w:val="17"/>
          <w:szCs w:val="17"/>
        </w:rPr>
        <w:t xml:space="preserve">obligations that we and LB have after the Separation with respect to taxes for both pre- and post-closing periods. Under the Tax Matters Agreement, LB generally will be responsible for all of our pre-closing taxes that are reported on combined tax returns </w:t>
      </w:r>
      <w:r>
        <w:rPr>
          <w:rFonts w:ascii="Arial" w:eastAsia="Arial" w:hAnsi="Arial" w:cs="Arial"/>
          <w:sz w:val="17"/>
          <w:szCs w:val="17"/>
        </w:rPr>
        <w:t>with LB or any of its affiliates, all of our pre-closing income taxes that are reported on tax returns that include only us and/or our subsidiaries (“separate tax returns”) for taxable years that end before the Separation and all of our pre-closing non-inc</w:t>
      </w:r>
      <w:r>
        <w:rPr>
          <w:rFonts w:ascii="Arial" w:eastAsia="Arial" w:hAnsi="Arial" w:cs="Arial"/>
          <w:sz w:val="17"/>
          <w:szCs w:val="17"/>
        </w:rPr>
        <w:t>ome taxes that are reported on separate tax returns. We will generally be responsible for all other taxes that are reported on separate tax returns.</w:t>
      </w:r>
    </w:p>
    <w:p w14:paraId="0ABCE5D2" w14:textId="77777777" w:rsidR="00D1587D" w:rsidRDefault="00D1587D">
      <w:pPr>
        <w:spacing w:line="69" w:lineRule="exact"/>
        <w:rPr>
          <w:sz w:val="20"/>
          <w:szCs w:val="20"/>
        </w:rPr>
      </w:pPr>
    </w:p>
    <w:p w14:paraId="0BC94E88" w14:textId="77777777" w:rsidR="00D1587D" w:rsidRDefault="00410D07">
      <w:pPr>
        <w:spacing w:line="271" w:lineRule="auto"/>
        <w:ind w:left="300" w:right="319" w:firstLine="360"/>
        <w:rPr>
          <w:sz w:val="20"/>
          <w:szCs w:val="20"/>
        </w:rPr>
      </w:pPr>
      <w:r>
        <w:rPr>
          <w:rFonts w:ascii="Arial" w:eastAsia="Arial" w:hAnsi="Arial" w:cs="Arial"/>
          <w:sz w:val="17"/>
          <w:szCs w:val="17"/>
        </w:rPr>
        <w:t>In the Tax Matters Agreement, we will also agree to certain covenants that contain restrictions intended t</w:t>
      </w:r>
      <w:r>
        <w:rPr>
          <w:rFonts w:ascii="Arial" w:eastAsia="Arial" w:hAnsi="Arial" w:cs="Arial"/>
          <w:sz w:val="17"/>
          <w:szCs w:val="17"/>
        </w:rPr>
        <w:t>o preserve the tax-free treatment of the Distribution. We may take certain actions prohibited by these covenants only if we obtain and provide to LB a ruling from the IRS or an opinion from a tax adviser acceptable to LB in its sole discretion, in each cas</w:t>
      </w:r>
      <w:r>
        <w:rPr>
          <w:rFonts w:ascii="Arial" w:eastAsia="Arial" w:hAnsi="Arial" w:cs="Arial"/>
          <w:sz w:val="17"/>
          <w:szCs w:val="17"/>
        </w:rPr>
        <w:t>e, to the effect that such action will not jeopardize the tax-free treatment of these transactions, or if we obtain prior written consent of LB, in its sole and absolute discretion, waiving such requirement. We will be barred from taking any action, or fai</w:t>
      </w:r>
      <w:r>
        <w:rPr>
          <w:rFonts w:ascii="Arial" w:eastAsia="Arial" w:hAnsi="Arial" w:cs="Arial"/>
          <w:sz w:val="17"/>
          <w:szCs w:val="17"/>
        </w:rPr>
        <w:t>ling to take any action, where such action or failure to act adversely affects or could reasonably be expected to adversely affect the tax-free treatment of the Distribution, for all relevant time periods. In addition, these covenants will include specific</w:t>
      </w:r>
      <w:r>
        <w:rPr>
          <w:rFonts w:ascii="Arial" w:eastAsia="Arial" w:hAnsi="Arial" w:cs="Arial"/>
          <w:sz w:val="17"/>
          <w:szCs w:val="17"/>
        </w:rPr>
        <w:t xml:space="preserve"> restrictions on our:</w:t>
      </w:r>
    </w:p>
    <w:p w14:paraId="44D67572" w14:textId="77777777" w:rsidR="00D1587D" w:rsidRDefault="00D1587D">
      <w:pPr>
        <w:spacing w:line="70" w:lineRule="exact"/>
        <w:rPr>
          <w:sz w:val="20"/>
          <w:szCs w:val="20"/>
        </w:rPr>
      </w:pPr>
    </w:p>
    <w:p w14:paraId="72647F89" w14:textId="77777777" w:rsidR="00D1587D" w:rsidRDefault="00410D07" w:rsidP="00410D07">
      <w:pPr>
        <w:numPr>
          <w:ilvl w:val="0"/>
          <w:numId w:val="266"/>
        </w:numPr>
        <w:tabs>
          <w:tab w:val="left" w:pos="1000"/>
        </w:tabs>
        <w:ind w:left="1000" w:hanging="348"/>
        <w:rPr>
          <w:rFonts w:ascii="Arial" w:eastAsia="Arial" w:hAnsi="Arial" w:cs="Arial"/>
          <w:sz w:val="18"/>
          <w:szCs w:val="18"/>
        </w:rPr>
      </w:pPr>
      <w:r>
        <w:rPr>
          <w:rFonts w:ascii="Arial" w:eastAsia="Arial" w:hAnsi="Arial" w:cs="Arial"/>
          <w:sz w:val="18"/>
          <w:szCs w:val="18"/>
        </w:rPr>
        <w:t>Discontinuing the active conduct of our trade or business;</w:t>
      </w:r>
    </w:p>
    <w:p w14:paraId="147DA4E8" w14:textId="77777777" w:rsidR="00D1587D" w:rsidRDefault="00D1587D">
      <w:pPr>
        <w:spacing w:line="117" w:lineRule="exact"/>
        <w:rPr>
          <w:rFonts w:ascii="Arial" w:eastAsia="Arial" w:hAnsi="Arial" w:cs="Arial"/>
          <w:sz w:val="18"/>
          <w:szCs w:val="18"/>
        </w:rPr>
      </w:pPr>
    </w:p>
    <w:p w14:paraId="332C0EC1" w14:textId="77777777" w:rsidR="00D1587D" w:rsidRDefault="00410D07" w:rsidP="00410D07">
      <w:pPr>
        <w:numPr>
          <w:ilvl w:val="0"/>
          <w:numId w:val="266"/>
        </w:numPr>
        <w:tabs>
          <w:tab w:val="left" w:pos="1000"/>
        </w:tabs>
        <w:spacing w:line="277" w:lineRule="auto"/>
        <w:ind w:left="1000" w:right="499" w:hanging="348"/>
        <w:rPr>
          <w:rFonts w:ascii="Arial" w:eastAsia="Arial" w:hAnsi="Arial" w:cs="Arial"/>
          <w:sz w:val="18"/>
          <w:szCs w:val="18"/>
        </w:rPr>
      </w:pPr>
      <w:r>
        <w:rPr>
          <w:rFonts w:ascii="Arial" w:eastAsia="Arial" w:hAnsi="Arial" w:cs="Arial"/>
          <w:sz w:val="18"/>
          <w:szCs w:val="18"/>
        </w:rPr>
        <w:t>Issuance or sale of stock or other securities (including securities convertible into our stock but excluding certain compensatory arrangements);</w:t>
      </w:r>
    </w:p>
    <w:p w14:paraId="3C3EDDFA" w14:textId="77777777" w:rsidR="00D1587D" w:rsidRDefault="00D1587D">
      <w:pPr>
        <w:spacing w:line="62" w:lineRule="exact"/>
        <w:rPr>
          <w:rFonts w:ascii="Arial" w:eastAsia="Arial" w:hAnsi="Arial" w:cs="Arial"/>
          <w:sz w:val="18"/>
          <w:szCs w:val="18"/>
        </w:rPr>
      </w:pPr>
    </w:p>
    <w:p w14:paraId="52D68DD2" w14:textId="77777777" w:rsidR="00D1587D" w:rsidRDefault="00410D07" w:rsidP="00410D07">
      <w:pPr>
        <w:numPr>
          <w:ilvl w:val="0"/>
          <w:numId w:val="266"/>
        </w:numPr>
        <w:tabs>
          <w:tab w:val="left" w:pos="1000"/>
        </w:tabs>
        <w:spacing w:line="342" w:lineRule="auto"/>
        <w:ind w:left="1000" w:right="579" w:hanging="348"/>
        <w:jc w:val="both"/>
        <w:rPr>
          <w:rFonts w:ascii="Arial" w:eastAsia="Arial" w:hAnsi="Arial" w:cs="Arial"/>
          <w:sz w:val="16"/>
          <w:szCs w:val="16"/>
        </w:rPr>
      </w:pPr>
      <w:r>
        <w:rPr>
          <w:rFonts w:ascii="Arial" w:eastAsia="Arial" w:hAnsi="Arial" w:cs="Arial"/>
          <w:sz w:val="16"/>
          <w:szCs w:val="16"/>
        </w:rPr>
        <w:t>Amending our certificate of</w:t>
      </w:r>
      <w:r>
        <w:rPr>
          <w:rFonts w:ascii="Arial" w:eastAsia="Arial" w:hAnsi="Arial" w:cs="Arial"/>
          <w:sz w:val="16"/>
          <w:szCs w:val="16"/>
        </w:rPr>
        <w:t xml:space="preserve"> incorporation (or other organizational documents) or take any other action, whether through a stockholder vote or otherwise, affecting the voting rights of our common stock; and</w:t>
      </w:r>
    </w:p>
    <w:p w14:paraId="0C0B8E81" w14:textId="77777777" w:rsidR="00D1587D" w:rsidRDefault="00D1587D">
      <w:pPr>
        <w:spacing w:line="15" w:lineRule="exact"/>
        <w:rPr>
          <w:rFonts w:ascii="Arial" w:eastAsia="Arial" w:hAnsi="Arial" w:cs="Arial"/>
          <w:sz w:val="16"/>
          <w:szCs w:val="16"/>
        </w:rPr>
      </w:pPr>
    </w:p>
    <w:p w14:paraId="32669CD7" w14:textId="77777777" w:rsidR="00D1587D" w:rsidRDefault="00410D07" w:rsidP="00410D07">
      <w:pPr>
        <w:numPr>
          <w:ilvl w:val="0"/>
          <w:numId w:val="266"/>
        </w:numPr>
        <w:tabs>
          <w:tab w:val="left" w:pos="1000"/>
        </w:tabs>
        <w:ind w:left="1000" w:hanging="348"/>
        <w:rPr>
          <w:rFonts w:ascii="Arial" w:eastAsia="Arial" w:hAnsi="Arial" w:cs="Arial"/>
          <w:sz w:val="16"/>
          <w:szCs w:val="16"/>
        </w:rPr>
      </w:pPr>
      <w:r>
        <w:rPr>
          <w:rFonts w:ascii="Arial" w:eastAsia="Arial" w:hAnsi="Arial" w:cs="Arial"/>
          <w:sz w:val="16"/>
          <w:szCs w:val="16"/>
        </w:rPr>
        <w:t xml:space="preserve">Entering into certain corporate transactions that could jeopardize the </w:t>
      </w:r>
      <w:r>
        <w:rPr>
          <w:rFonts w:ascii="Arial" w:eastAsia="Arial" w:hAnsi="Arial" w:cs="Arial"/>
          <w:sz w:val="16"/>
          <w:szCs w:val="16"/>
        </w:rPr>
        <w:t>tax-free treatment of the Distribution.</w:t>
      </w:r>
    </w:p>
    <w:p w14:paraId="259BC3DE" w14:textId="77777777" w:rsidR="00D1587D" w:rsidRDefault="00D1587D">
      <w:pPr>
        <w:spacing w:line="140" w:lineRule="exact"/>
        <w:rPr>
          <w:sz w:val="20"/>
          <w:szCs w:val="20"/>
        </w:rPr>
      </w:pPr>
    </w:p>
    <w:p w14:paraId="63B5D45E" w14:textId="77777777" w:rsidR="00D1587D" w:rsidRDefault="00410D07">
      <w:pPr>
        <w:spacing w:line="259" w:lineRule="auto"/>
        <w:ind w:left="300" w:right="419" w:firstLine="360"/>
        <w:jc w:val="both"/>
        <w:rPr>
          <w:sz w:val="20"/>
          <w:szCs w:val="20"/>
        </w:rPr>
      </w:pPr>
      <w:r>
        <w:rPr>
          <w:rFonts w:ascii="Arial" w:eastAsia="Arial" w:hAnsi="Arial" w:cs="Arial"/>
          <w:sz w:val="18"/>
          <w:szCs w:val="18"/>
        </w:rPr>
        <w:t xml:space="preserve">We will generally agree to indemnify LB against any and all tax-related liabilities incurred by them relating to the Distribution to the extent caused by any action undertaken by us. The </w:t>
      </w:r>
      <w:r>
        <w:rPr>
          <w:rFonts w:ascii="Arial" w:eastAsia="Arial" w:hAnsi="Arial" w:cs="Arial"/>
          <w:sz w:val="18"/>
          <w:szCs w:val="18"/>
        </w:rPr>
        <w:t>indemnification will apply even if LB has permitted us to take an action that would otherwise have been prohibited under the tax-related covenants described above.</w:t>
      </w:r>
    </w:p>
    <w:p w14:paraId="51A1073E" w14:textId="77777777" w:rsidR="00D1587D" w:rsidRDefault="00D1587D">
      <w:pPr>
        <w:spacing w:line="187" w:lineRule="exact"/>
        <w:rPr>
          <w:sz w:val="20"/>
          <w:szCs w:val="20"/>
        </w:rPr>
      </w:pPr>
    </w:p>
    <w:p w14:paraId="299FC159" w14:textId="77777777" w:rsidR="00D1587D" w:rsidRDefault="00410D07">
      <w:pPr>
        <w:ind w:left="660"/>
        <w:rPr>
          <w:sz w:val="20"/>
          <w:szCs w:val="20"/>
        </w:rPr>
      </w:pPr>
      <w:r>
        <w:rPr>
          <w:rFonts w:ascii="Arial" w:eastAsia="Arial" w:hAnsi="Arial" w:cs="Arial"/>
          <w:b/>
          <w:bCs/>
          <w:i/>
          <w:iCs/>
          <w:sz w:val="18"/>
          <w:szCs w:val="18"/>
        </w:rPr>
        <w:t>L Brands to VS Transition Services Agreement</w:t>
      </w:r>
    </w:p>
    <w:p w14:paraId="70C9356B" w14:textId="77777777" w:rsidR="00D1587D" w:rsidRDefault="00D1587D">
      <w:pPr>
        <w:spacing w:line="117" w:lineRule="exact"/>
        <w:rPr>
          <w:sz w:val="20"/>
          <w:szCs w:val="20"/>
        </w:rPr>
      </w:pPr>
    </w:p>
    <w:p w14:paraId="72132BA6" w14:textId="77777777" w:rsidR="00D1587D" w:rsidRDefault="00410D07">
      <w:pPr>
        <w:spacing w:line="267" w:lineRule="auto"/>
        <w:ind w:left="300" w:right="299" w:firstLine="360"/>
        <w:rPr>
          <w:sz w:val="20"/>
          <w:szCs w:val="20"/>
        </w:rPr>
      </w:pPr>
      <w:r>
        <w:rPr>
          <w:rFonts w:ascii="Arial" w:eastAsia="Arial" w:hAnsi="Arial" w:cs="Arial"/>
          <w:sz w:val="17"/>
          <w:szCs w:val="17"/>
        </w:rPr>
        <w:t>The L Brands to VS Transition Services Agreem</w:t>
      </w:r>
      <w:r>
        <w:rPr>
          <w:rFonts w:ascii="Arial" w:eastAsia="Arial" w:hAnsi="Arial" w:cs="Arial"/>
          <w:sz w:val="17"/>
          <w:szCs w:val="17"/>
        </w:rPr>
        <w:t>ent will set forth the terms on which LB will provide to VS, on a transitional basis, certain services or functions that the companies historically have shared. The transition services will include various services or functions, many of which currently use</w:t>
      </w:r>
      <w:r>
        <w:rPr>
          <w:rFonts w:ascii="Arial" w:eastAsia="Arial" w:hAnsi="Arial" w:cs="Arial"/>
          <w:sz w:val="17"/>
          <w:szCs w:val="17"/>
        </w:rPr>
        <w:t xml:space="preserve"> a shared technology platform, including human resources, payroll, certain logistics functions and information technology services, generally for a period of up to two years following the Distribution for all such services other than information technology</w:t>
      </w:r>
      <w:r>
        <w:rPr>
          <w:rFonts w:ascii="Arial" w:eastAsia="Arial" w:hAnsi="Arial" w:cs="Arial"/>
          <w:sz w:val="17"/>
          <w:szCs w:val="17"/>
        </w:rPr>
        <w:t xml:space="preserve"> services, which will be provided for a period of up to three years following the Distribution. Compensation for the transition services will be determined using several billing methodologies, including customary billing, pass-through billing, percent of s</w:t>
      </w:r>
      <w:r>
        <w:rPr>
          <w:rFonts w:ascii="Arial" w:eastAsia="Arial" w:hAnsi="Arial" w:cs="Arial"/>
          <w:sz w:val="17"/>
          <w:szCs w:val="17"/>
        </w:rPr>
        <w:t>ales billing or fixed fee billing. The L Brands to VS Transition Services Agreement will provide that VS may, subject to certain conditions, terminate any or all of the services, or any part of a service, upon 60 days’ prior written notice to LB. LB may, s</w:t>
      </w:r>
      <w:r>
        <w:rPr>
          <w:rFonts w:ascii="Arial" w:eastAsia="Arial" w:hAnsi="Arial" w:cs="Arial"/>
          <w:sz w:val="17"/>
          <w:szCs w:val="17"/>
        </w:rPr>
        <w:t xml:space="preserve">ubject to certain conditions, terminate a service if the performance of such service subjects LB to a reasonable risk of violating applicable law or would reasonably be expected to materially and adversely affect LB’s business, in each case upon providing </w:t>
      </w:r>
      <w:r>
        <w:rPr>
          <w:rFonts w:ascii="Arial" w:eastAsia="Arial" w:hAnsi="Arial" w:cs="Arial"/>
          <w:sz w:val="17"/>
          <w:szCs w:val="17"/>
        </w:rPr>
        <w:t xml:space="preserve">VS with reasonable prior written notice. VS will indemnify LB from liabilities for claims arising from the L Brands to VS Transition Services Agreement, including LB’s provision of the services, VS’s use of the services or breach of the agreement, or from </w:t>
      </w:r>
      <w:r>
        <w:rPr>
          <w:rFonts w:ascii="Arial" w:eastAsia="Arial" w:hAnsi="Arial" w:cs="Arial"/>
          <w:sz w:val="17"/>
          <w:szCs w:val="17"/>
        </w:rPr>
        <w:t>VS’s gross negligence, fraud or willful misconduct. LB will indemnify VS from liabilities for claims arising from LB’s breach of the agreement or from LB’s gross negligence, fraud or willful misconduct. Subject to certain customary exceptions, LB’s maximum</w:t>
      </w:r>
      <w:r>
        <w:rPr>
          <w:rFonts w:ascii="Arial" w:eastAsia="Arial" w:hAnsi="Arial" w:cs="Arial"/>
          <w:sz w:val="17"/>
          <w:szCs w:val="17"/>
        </w:rPr>
        <w:t xml:space="preserve"> aggregate</w:t>
      </w:r>
    </w:p>
    <w:p w14:paraId="647E8127" w14:textId="77777777" w:rsidR="00D1587D" w:rsidRDefault="00D1587D">
      <w:pPr>
        <w:spacing w:line="191" w:lineRule="exact"/>
        <w:rPr>
          <w:sz w:val="20"/>
          <w:szCs w:val="20"/>
        </w:rPr>
      </w:pPr>
    </w:p>
    <w:p w14:paraId="642DAD20" w14:textId="77777777" w:rsidR="00D1587D" w:rsidRDefault="00410D07">
      <w:pPr>
        <w:jc w:val="center"/>
        <w:rPr>
          <w:sz w:val="20"/>
          <w:szCs w:val="20"/>
        </w:rPr>
      </w:pPr>
      <w:r>
        <w:rPr>
          <w:rFonts w:ascii="Arial" w:eastAsia="Arial" w:hAnsi="Arial" w:cs="Arial"/>
          <w:sz w:val="18"/>
          <w:szCs w:val="18"/>
        </w:rPr>
        <w:t>49</w:t>
      </w:r>
    </w:p>
    <w:p w14:paraId="47579D69" w14:textId="77777777" w:rsidR="00D1587D" w:rsidRDefault="00410D07">
      <w:pPr>
        <w:spacing w:line="20" w:lineRule="exact"/>
        <w:rPr>
          <w:sz w:val="20"/>
          <w:szCs w:val="20"/>
        </w:rPr>
      </w:pPr>
      <w:r>
        <w:rPr>
          <w:noProof/>
          <w:sz w:val="20"/>
          <w:szCs w:val="20"/>
        </w:rPr>
        <w:drawing>
          <wp:anchor distT="0" distB="0" distL="114300" distR="114300" simplePos="0" relativeHeight="251492352" behindDoc="1" locked="0" layoutInCell="0" allowOverlap="1" wp14:anchorId="254C6231" wp14:editId="7E5FB1F0">
            <wp:simplePos x="0" y="0"/>
            <wp:positionH relativeFrom="column">
              <wp:posOffset>-636905</wp:posOffset>
            </wp:positionH>
            <wp:positionV relativeFrom="paragraph">
              <wp:posOffset>134620</wp:posOffset>
            </wp:positionV>
            <wp:extent cx="6995160" cy="17145"/>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73E977F" w14:textId="77777777" w:rsidR="00D1587D" w:rsidRDefault="00D1587D">
      <w:pPr>
        <w:sectPr w:rsidR="00D1587D">
          <w:pgSz w:w="11900" w:h="16838"/>
          <w:pgMar w:top="265" w:right="1440" w:bottom="1440" w:left="1440" w:header="0" w:footer="0" w:gutter="0"/>
          <w:cols w:space="720" w:equalWidth="0">
            <w:col w:w="9019"/>
          </w:cols>
        </w:sectPr>
      </w:pPr>
    </w:p>
    <w:bookmarkStart w:id="307" w:name="page308"/>
    <w:bookmarkEnd w:id="307"/>
    <w:p w14:paraId="0746882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7E20FAB" w14:textId="77777777" w:rsidR="00D1587D" w:rsidRDefault="00D1587D">
      <w:pPr>
        <w:spacing w:line="131" w:lineRule="exact"/>
        <w:rPr>
          <w:sz w:val="20"/>
          <w:szCs w:val="20"/>
        </w:rPr>
      </w:pPr>
    </w:p>
    <w:p w14:paraId="767FE23E" w14:textId="77777777" w:rsidR="00D1587D" w:rsidRDefault="00410D07">
      <w:pPr>
        <w:spacing w:line="259" w:lineRule="auto"/>
        <w:ind w:left="300" w:right="359"/>
        <w:rPr>
          <w:sz w:val="20"/>
          <w:szCs w:val="20"/>
        </w:rPr>
      </w:pPr>
      <w:r>
        <w:rPr>
          <w:rFonts w:ascii="Arial" w:eastAsia="Arial" w:hAnsi="Arial" w:cs="Arial"/>
          <w:sz w:val="18"/>
          <w:szCs w:val="18"/>
        </w:rPr>
        <w:t>liability under the L Brands to VS Transition Services Agreement will be limited to the fees actually received by LB under the agreement, provided that, for liabilities relat</w:t>
      </w:r>
      <w:r>
        <w:rPr>
          <w:rFonts w:ascii="Arial" w:eastAsia="Arial" w:hAnsi="Arial" w:cs="Arial"/>
          <w:sz w:val="18"/>
          <w:szCs w:val="18"/>
        </w:rPr>
        <w:t>ed to data privacy, cybersecurity or similar matters, if LB is able to recover a greater amount from its third-party service providers, it will pass through such excess recovery to VS on a pro-rata basis.</w:t>
      </w:r>
    </w:p>
    <w:p w14:paraId="23175D89" w14:textId="77777777" w:rsidR="00D1587D" w:rsidRDefault="00D1587D">
      <w:pPr>
        <w:spacing w:line="335" w:lineRule="exact"/>
        <w:rPr>
          <w:sz w:val="20"/>
          <w:szCs w:val="20"/>
        </w:rPr>
      </w:pPr>
    </w:p>
    <w:p w14:paraId="526C11BB" w14:textId="77777777" w:rsidR="00D1587D" w:rsidRDefault="00410D07">
      <w:pPr>
        <w:ind w:left="660"/>
        <w:rPr>
          <w:sz w:val="20"/>
          <w:szCs w:val="20"/>
        </w:rPr>
      </w:pPr>
      <w:r>
        <w:rPr>
          <w:rFonts w:ascii="Arial" w:eastAsia="Arial" w:hAnsi="Arial" w:cs="Arial"/>
          <w:b/>
          <w:bCs/>
          <w:i/>
          <w:iCs/>
          <w:sz w:val="18"/>
          <w:szCs w:val="18"/>
        </w:rPr>
        <w:t>VS to L Brands Transition Services Agreement</w:t>
      </w:r>
    </w:p>
    <w:p w14:paraId="16F11F48" w14:textId="77777777" w:rsidR="00D1587D" w:rsidRDefault="00D1587D">
      <w:pPr>
        <w:spacing w:line="117" w:lineRule="exact"/>
        <w:rPr>
          <w:sz w:val="20"/>
          <w:szCs w:val="20"/>
        </w:rPr>
      </w:pPr>
    </w:p>
    <w:p w14:paraId="3B49D9A9" w14:textId="77777777" w:rsidR="00D1587D" w:rsidRDefault="00410D07">
      <w:pPr>
        <w:spacing w:line="284" w:lineRule="auto"/>
        <w:ind w:left="300" w:right="319" w:firstLine="360"/>
        <w:rPr>
          <w:sz w:val="20"/>
          <w:szCs w:val="20"/>
        </w:rPr>
      </w:pPr>
      <w:r>
        <w:rPr>
          <w:rFonts w:ascii="Arial" w:eastAsia="Arial" w:hAnsi="Arial" w:cs="Arial"/>
          <w:sz w:val="16"/>
          <w:szCs w:val="16"/>
        </w:rPr>
        <w:t xml:space="preserve">The </w:t>
      </w:r>
      <w:r>
        <w:rPr>
          <w:rFonts w:ascii="Arial" w:eastAsia="Arial" w:hAnsi="Arial" w:cs="Arial"/>
          <w:sz w:val="16"/>
          <w:szCs w:val="16"/>
        </w:rPr>
        <w:t>VS to L Brands Transition Services Agreement will set forth the terms on which VS will provide to LB, on a transitional basis, certain services or functions transferred to us in connection with the Separation that the companies have historically shared. Th</w:t>
      </w:r>
      <w:r>
        <w:rPr>
          <w:rFonts w:ascii="Arial" w:eastAsia="Arial" w:hAnsi="Arial" w:cs="Arial"/>
          <w:sz w:val="16"/>
          <w:szCs w:val="16"/>
        </w:rPr>
        <w:t xml:space="preserve">e transition services will include various services or functions, including information technology, certain logistics functions, customer marketing and customer call center services, generally for a period of up to two years following the Distribution for </w:t>
      </w:r>
      <w:r>
        <w:rPr>
          <w:rFonts w:ascii="Arial" w:eastAsia="Arial" w:hAnsi="Arial" w:cs="Arial"/>
          <w:sz w:val="16"/>
          <w:szCs w:val="16"/>
        </w:rPr>
        <w:t>all such services other than information technology services, which will be provided for a period of up to three years following the Distribution, but may be extended for a maximum of two additional one-year periods subject to increased administrative char</w:t>
      </w:r>
      <w:r>
        <w:rPr>
          <w:rFonts w:ascii="Arial" w:eastAsia="Arial" w:hAnsi="Arial" w:cs="Arial"/>
          <w:sz w:val="16"/>
          <w:szCs w:val="16"/>
        </w:rPr>
        <w:t>ges. Compensation for the transition services will be determined using several billing methodologies, including customary billing, pass-through billing, percent of sales billing or fixed fee billing. The VS to L Brands Transition Services Agreement will pr</w:t>
      </w:r>
      <w:r>
        <w:rPr>
          <w:rFonts w:ascii="Arial" w:eastAsia="Arial" w:hAnsi="Arial" w:cs="Arial"/>
          <w:sz w:val="16"/>
          <w:szCs w:val="16"/>
        </w:rPr>
        <w:t>ovide that LB may, subject to certain conditions, terminate any or all of the services, or any part of a service, upon 60 days’ prior written notice to VS. VS may, subject to certain conditions, terminate a service if the performance of such service subjec</w:t>
      </w:r>
      <w:r>
        <w:rPr>
          <w:rFonts w:ascii="Arial" w:eastAsia="Arial" w:hAnsi="Arial" w:cs="Arial"/>
          <w:sz w:val="16"/>
          <w:szCs w:val="16"/>
        </w:rPr>
        <w:t>ts VS to a reasonable risk of violating applicable law or would reasonably be expected to materially and adversely affect the Spin Business, in each case upon providing LB with reasonable prior written notice. LB will indemnify VS from liabilities for clai</w:t>
      </w:r>
      <w:r>
        <w:rPr>
          <w:rFonts w:ascii="Arial" w:eastAsia="Arial" w:hAnsi="Arial" w:cs="Arial"/>
          <w:sz w:val="16"/>
          <w:szCs w:val="16"/>
        </w:rPr>
        <w:t>ms arising from the VS to L Brands Transition Services Agreement, including VS’s provision of the services, LB’s use of the services or breach of the agreement, or from LB’s gross negligence, fraud or willful misconduct. VS will indemnify LB from liabiliti</w:t>
      </w:r>
      <w:r>
        <w:rPr>
          <w:rFonts w:ascii="Arial" w:eastAsia="Arial" w:hAnsi="Arial" w:cs="Arial"/>
          <w:sz w:val="16"/>
          <w:szCs w:val="16"/>
        </w:rPr>
        <w:t>es for claims arising from VS’s breach of the agreement or from VS’s gross negligence, fraud or willful misconduct. Subject to certain customary exceptions, VS’s maximum aggregate liability under the VS to L Brands Transition Services Agreement will be lim</w:t>
      </w:r>
      <w:r>
        <w:rPr>
          <w:rFonts w:ascii="Arial" w:eastAsia="Arial" w:hAnsi="Arial" w:cs="Arial"/>
          <w:sz w:val="16"/>
          <w:szCs w:val="16"/>
        </w:rPr>
        <w:t>ited to the fees actually received by VS under the agreement, provided that, for liabilities related to data privacy, cybersecurity or similar matters, if VS is able to recover a greater amount from its third-party service providers, it will pass through s</w:t>
      </w:r>
      <w:r>
        <w:rPr>
          <w:rFonts w:ascii="Arial" w:eastAsia="Arial" w:hAnsi="Arial" w:cs="Arial"/>
          <w:sz w:val="16"/>
          <w:szCs w:val="16"/>
        </w:rPr>
        <w:t>uch excess recovery to LB on a pro-rata basis.</w:t>
      </w:r>
    </w:p>
    <w:p w14:paraId="1B2FED55" w14:textId="77777777" w:rsidR="00D1587D" w:rsidRDefault="00D1587D">
      <w:pPr>
        <w:spacing w:line="200" w:lineRule="exact"/>
        <w:rPr>
          <w:sz w:val="20"/>
          <w:szCs w:val="20"/>
        </w:rPr>
      </w:pPr>
    </w:p>
    <w:p w14:paraId="18B08D8E" w14:textId="77777777" w:rsidR="00D1587D" w:rsidRDefault="00D1587D">
      <w:pPr>
        <w:spacing w:line="346" w:lineRule="exact"/>
        <w:rPr>
          <w:sz w:val="20"/>
          <w:szCs w:val="20"/>
        </w:rPr>
      </w:pPr>
    </w:p>
    <w:p w14:paraId="4833327D" w14:textId="77777777" w:rsidR="00D1587D" w:rsidRDefault="00410D07">
      <w:pPr>
        <w:ind w:left="660"/>
        <w:rPr>
          <w:sz w:val="20"/>
          <w:szCs w:val="20"/>
        </w:rPr>
      </w:pPr>
      <w:r>
        <w:rPr>
          <w:rFonts w:ascii="Arial" w:eastAsia="Arial" w:hAnsi="Arial" w:cs="Arial"/>
          <w:b/>
          <w:bCs/>
          <w:i/>
          <w:iCs/>
          <w:sz w:val="18"/>
          <w:szCs w:val="18"/>
        </w:rPr>
        <w:t>Employee Matters Agreement</w:t>
      </w:r>
    </w:p>
    <w:p w14:paraId="6F24BE33" w14:textId="77777777" w:rsidR="00D1587D" w:rsidRDefault="00D1587D">
      <w:pPr>
        <w:spacing w:line="117" w:lineRule="exact"/>
        <w:rPr>
          <w:sz w:val="20"/>
          <w:szCs w:val="20"/>
        </w:rPr>
      </w:pPr>
    </w:p>
    <w:p w14:paraId="6FA18DBB" w14:textId="77777777" w:rsidR="00D1587D" w:rsidRDefault="00410D07">
      <w:pPr>
        <w:spacing w:line="293" w:lineRule="auto"/>
        <w:ind w:left="300" w:right="379" w:firstLine="360"/>
        <w:rPr>
          <w:sz w:val="20"/>
          <w:szCs w:val="20"/>
        </w:rPr>
      </w:pPr>
      <w:r>
        <w:rPr>
          <w:rFonts w:ascii="Arial" w:eastAsia="Arial" w:hAnsi="Arial" w:cs="Arial"/>
          <w:sz w:val="16"/>
          <w:szCs w:val="16"/>
        </w:rPr>
        <w:t xml:space="preserve">We intend to enter into an Employee Matters Agreement with LB prior to the Separation that will govern each company’s respective compensation and benefit obligations with </w:t>
      </w:r>
      <w:r>
        <w:rPr>
          <w:rFonts w:ascii="Arial" w:eastAsia="Arial" w:hAnsi="Arial" w:cs="Arial"/>
          <w:sz w:val="16"/>
          <w:szCs w:val="16"/>
        </w:rPr>
        <w:t>respect to current and former employees, directors and consultants. The Employee Matters Agreement will set forth general principles relating to employee matters in connection with the Separation, such as the assignment of employees, the assumption and ret</w:t>
      </w:r>
      <w:r>
        <w:rPr>
          <w:rFonts w:ascii="Arial" w:eastAsia="Arial" w:hAnsi="Arial" w:cs="Arial"/>
          <w:sz w:val="16"/>
          <w:szCs w:val="16"/>
        </w:rPr>
        <w:t>ention of liabilities and related assets, expense reimbursements, workers’ compensation, leaves of absence, the provision of comparable benefits, employee service credit, the sharing of employee information and duplication or acceleration of benefits.</w:t>
      </w:r>
    </w:p>
    <w:p w14:paraId="23C72BA8" w14:textId="77777777" w:rsidR="00D1587D" w:rsidRDefault="00D1587D">
      <w:pPr>
        <w:spacing w:line="56" w:lineRule="exact"/>
        <w:rPr>
          <w:sz w:val="20"/>
          <w:szCs w:val="20"/>
        </w:rPr>
      </w:pPr>
    </w:p>
    <w:p w14:paraId="2AE29517" w14:textId="77777777" w:rsidR="00D1587D" w:rsidRDefault="00410D07">
      <w:pPr>
        <w:spacing w:line="269" w:lineRule="auto"/>
        <w:ind w:left="300" w:right="299" w:firstLine="360"/>
        <w:rPr>
          <w:sz w:val="20"/>
          <w:szCs w:val="20"/>
        </w:rPr>
      </w:pPr>
      <w:r>
        <w:rPr>
          <w:rFonts w:ascii="Arial" w:eastAsia="Arial" w:hAnsi="Arial" w:cs="Arial"/>
          <w:sz w:val="17"/>
          <w:szCs w:val="17"/>
        </w:rPr>
        <w:t>The</w:t>
      </w:r>
      <w:r>
        <w:rPr>
          <w:rFonts w:ascii="Arial" w:eastAsia="Arial" w:hAnsi="Arial" w:cs="Arial"/>
          <w:sz w:val="17"/>
          <w:szCs w:val="17"/>
        </w:rPr>
        <w:t xml:space="preserve"> Employee Matters Agreement generally will allocate liabilities and responsibilities relating to employment, compensation and benefits-related matters, with (i) LB generally retaining liabilities (both pre- and post-Distribution) and responsibilities with </w:t>
      </w:r>
      <w:r>
        <w:rPr>
          <w:rFonts w:ascii="Arial" w:eastAsia="Arial" w:hAnsi="Arial" w:cs="Arial"/>
          <w:sz w:val="17"/>
          <w:szCs w:val="17"/>
        </w:rPr>
        <w:t>respect to (a) LB employees and participants who will remain with (or who will otherwise transfer to) LB and former employees who were last actively employed by LB primarily in its business and (b) benefit plans and programs sponsored by LB and (ii) VS ass</w:t>
      </w:r>
      <w:r>
        <w:rPr>
          <w:rFonts w:ascii="Arial" w:eastAsia="Arial" w:hAnsi="Arial" w:cs="Arial"/>
          <w:sz w:val="17"/>
          <w:szCs w:val="17"/>
        </w:rPr>
        <w:t>uming liabilities (both pre- and post-Distribution) and responsibilities with respect to (a) employees and participants who will transfer with VS in connection with the Separation and former employees who were last actively employed primarily in the Spin B</w:t>
      </w:r>
      <w:r>
        <w:rPr>
          <w:rFonts w:ascii="Arial" w:eastAsia="Arial" w:hAnsi="Arial" w:cs="Arial"/>
          <w:sz w:val="17"/>
          <w:szCs w:val="17"/>
        </w:rPr>
        <w:t>usiness and (b) benefit plans and programs sponsored by VS. The Employee Matters Agreement will provide that, following the Distribution, VS active employees generally will no longer participate in benefit plans sponsored or maintained by LB and will comme</w:t>
      </w:r>
      <w:r>
        <w:rPr>
          <w:rFonts w:ascii="Arial" w:eastAsia="Arial" w:hAnsi="Arial" w:cs="Arial"/>
          <w:sz w:val="17"/>
          <w:szCs w:val="17"/>
        </w:rPr>
        <w:t>nce participation in VS benefit plans, subject to the terms of the L Brands to VS Transition Services Agreement.</w:t>
      </w:r>
    </w:p>
    <w:p w14:paraId="517E4AA7" w14:textId="77777777" w:rsidR="00D1587D" w:rsidRDefault="00D1587D">
      <w:pPr>
        <w:spacing w:line="74" w:lineRule="exact"/>
        <w:rPr>
          <w:sz w:val="20"/>
          <w:szCs w:val="20"/>
        </w:rPr>
      </w:pPr>
    </w:p>
    <w:p w14:paraId="7502C474" w14:textId="77777777" w:rsidR="00D1587D" w:rsidRDefault="00410D07">
      <w:pPr>
        <w:spacing w:line="257" w:lineRule="auto"/>
        <w:ind w:left="300" w:right="419" w:firstLine="360"/>
        <w:rPr>
          <w:sz w:val="20"/>
          <w:szCs w:val="20"/>
        </w:rPr>
      </w:pPr>
      <w:r>
        <w:rPr>
          <w:rFonts w:ascii="Arial" w:eastAsia="Arial" w:hAnsi="Arial" w:cs="Arial"/>
          <w:sz w:val="18"/>
          <w:szCs w:val="18"/>
        </w:rPr>
        <w:t>In addition, during the 24 month period following the Separation (or, for employees providing transition services under the L Brands to VS Tra</w:t>
      </w:r>
      <w:r>
        <w:rPr>
          <w:rFonts w:ascii="Arial" w:eastAsia="Arial" w:hAnsi="Arial" w:cs="Arial"/>
          <w:sz w:val="18"/>
          <w:szCs w:val="18"/>
        </w:rPr>
        <w:t>nsition Services Agreement or the VS to L Brands Transition Services Agreement, as applicable, through the date on which the applicable transition service period ends, if later), each of LB and VS will be subject to mutual nonsolicit and no hire restrictio</w:t>
      </w:r>
      <w:r>
        <w:rPr>
          <w:rFonts w:ascii="Arial" w:eastAsia="Arial" w:hAnsi="Arial" w:cs="Arial"/>
          <w:sz w:val="18"/>
          <w:szCs w:val="18"/>
        </w:rPr>
        <w:t>ns, subject to certain exceptions set forth in the Employee Matters Agreement.</w:t>
      </w:r>
    </w:p>
    <w:p w14:paraId="0637838A" w14:textId="77777777" w:rsidR="00D1587D" w:rsidRDefault="00D1587D">
      <w:pPr>
        <w:spacing w:line="188" w:lineRule="exact"/>
        <w:rPr>
          <w:sz w:val="20"/>
          <w:szCs w:val="20"/>
        </w:rPr>
      </w:pPr>
    </w:p>
    <w:p w14:paraId="1ABE001B" w14:textId="77777777" w:rsidR="00D1587D" w:rsidRDefault="00410D07">
      <w:pPr>
        <w:jc w:val="center"/>
        <w:rPr>
          <w:sz w:val="20"/>
          <w:szCs w:val="20"/>
        </w:rPr>
      </w:pPr>
      <w:r>
        <w:rPr>
          <w:rFonts w:ascii="Arial" w:eastAsia="Arial" w:hAnsi="Arial" w:cs="Arial"/>
          <w:sz w:val="18"/>
          <w:szCs w:val="18"/>
        </w:rPr>
        <w:t>50</w:t>
      </w:r>
    </w:p>
    <w:p w14:paraId="0616BD6A" w14:textId="77777777" w:rsidR="00D1587D" w:rsidRDefault="00410D07">
      <w:pPr>
        <w:spacing w:line="20" w:lineRule="exact"/>
        <w:rPr>
          <w:sz w:val="20"/>
          <w:szCs w:val="20"/>
        </w:rPr>
      </w:pPr>
      <w:r>
        <w:rPr>
          <w:noProof/>
          <w:sz w:val="20"/>
          <w:szCs w:val="20"/>
        </w:rPr>
        <w:drawing>
          <wp:anchor distT="0" distB="0" distL="114300" distR="114300" simplePos="0" relativeHeight="251493376" behindDoc="1" locked="0" layoutInCell="0" allowOverlap="1" wp14:anchorId="383A309C" wp14:editId="2B67A438">
            <wp:simplePos x="0" y="0"/>
            <wp:positionH relativeFrom="column">
              <wp:posOffset>-636905</wp:posOffset>
            </wp:positionH>
            <wp:positionV relativeFrom="paragraph">
              <wp:posOffset>126365</wp:posOffset>
            </wp:positionV>
            <wp:extent cx="6995160" cy="17145"/>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16D486D" w14:textId="77777777" w:rsidR="00D1587D" w:rsidRDefault="00D1587D">
      <w:pPr>
        <w:sectPr w:rsidR="00D1587D">
          <w:pgSz w:w="11900" w:h="16838"/>
          <w:pgMar w:top="265" w:right="1440" w:bottom="1440" w:left="1440" w:header="0" w:footer="0" w:gutter="0"/>
          <w:cols w:space="720" w:equalWidth="0">
            <w:col w:w="9019"/>
          </w:cols>
        </w:sectPr>
      </w:pPr>
    </w:p>
    <w:bookmarkStart w:id="308" w:name="page309"/>
    <w:bookmarkEnd w:id="308"/>
    <w:p w14:paraId="48804AEC"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CC72AF4" w14:textId="77777777" w:rsidR="00D1587D" w:rsidRDefault="00D1587D">
      <w:pPr>
        <w:spacing w:line="131" w:lineRule="exact"/>
        <w:rPr>
          <w:sz w:val="20"/>
          <w:szCs w:val="20"/>
        </w:rPr>
      </w:pPr>
    </w:p>
    <w:p w14:paraId="7FC7D011" w14:textId="77777777" w:rsidR="00D1587D" w:rsidRDefault="00410D07">
      <w:pPr>
        <w:spacing w:line="272" w:lineRule="auto"/>
        <w:ind w:left="300" w:right="419" w:firstLine="360"/>
        <w:rPr>
          <w:sz w:val="20"/>
          <w:szCs w:val="20"/>
        </w:rPr>
      </w:pPr>
      <w:r>
        <w:rPr>
          <w:rFonts w:ascii="Arial" w:eastAsia="Arial" w:hAnsi="Arial" w:cs="Arial"/>
          <w:sz w:val="17"/>
          <w:szCs w:val="17"/>
        </w:rPr>
        <w:t xml:space="preserve">Effective on or prior to the Distribution, except as otherwise expressly provided in the Employee </w:t>
      </w:r>
      <w:r>
        <w:rPr>
          <w:rFonts w:ascii="Arial" w:eastAsia="Arial" w:hAnsi="Arial" w:cs="Arial"/>
          <w:sz w:val="17"/>
          <w:szCs w:val="17"/>
        </w:rPr>
        <w:t>Matters Agreement, the L Brands to VS Transition Services Agreement or otherwise agreed between LB and VS, to the extent not already employed by VS or one of its applicable subsidiaries, the employment of each VS employee will be transferred to VS or one o</w:t>
      </w:r>
      <w:r>
        <w:rPr>
          <w:rFonts w:ascii="Arial" w:eastAsia="Arial" w:hAnsi="Arial" w:cs="Arial"/>
          <w:sz w:val="17"/>
          <w:szCs w:val="17"/>
        </w:rPr>
        <w:t>f its applicable subsidiaries, and VS or one of its subsidiaries will generally assume responsibility for any individual employment, retention, severance or similar agreements applicable to such VS employee. Any employees who transfer to VS following the D</w:t>
      </w:r>
      <w:r>
        <w:rPr>
          <w:rFonts w:ascii="Arial" w:eastAsia="Arial" w:hAnsi="Arial" w:cs="Arial"/>
          <w:sz w:val="17"/>
          <w:szCs w:val="17"/>
        </w:rPr>
        <w:t>istribution Date (including in connection with any transition services) will be deemed a VS employee as of the date of such transfer.</w:t>
      </w:r>
    </w:p>
    <w:p w14:paraId="2F861F14" w14:textId="77777777" w:rsidR="00D1587D" w:rsidRDefault="00D1587D">
      <w:pPr>
        <w:spacing w:line="69" w:lineRule="exact"/>
        <w:rPr>
          <w:sz w:val="20"/>
          <w:szCs w:val="20"/>
        </w:rPr>
      </w:pPr>
    </w:p>
    <w:p w14:paraId="47630254" w14:textId="77777777" w:rsidR="00D1587D" w:rsidRDefault="00410D07">
      <w:pPr>
        <w:spacing w:line="290" w:lineRule="auto"/>
        <w:ind w:left="300" w:right="339" w:firstLine="360"/>
        <w:rPr>
          <w:sz w:val="20"/>
          <w:szCs w:val="20"/>
        </w:rPr>
      </w:pPr>
      <w:r>
        <w:rPr>
          <w:rFonts w:ascii="Arial" w:eastAsia="Arial" w:hAnsi="Arial" w:cs="Arial"/>
          <w:sz w:val="16"/>
          <w:szCs w:val="16"/>
        </w:rPr>
        <w:t>Each VS employee participating in a cash bonus plan maintained by LB in respect of the spring 2021 performance period wil</w:t>
      </w:r>
      <w:r>
        <w:rPr>
          <w:rFonts w:ascii="Arial" w:eastAsia="Arial" w:hAnsi="Arial" w:cs="Arial"/>
          <w:sz w:val="16"/>
          <w:szCs w:val="16"/>
        </w:rPr>
        <w:t xml:space="preserve">l remain eligible to receive such cash bonus award, subject to the terms of the applicable bonus plan and actual achievement of applicable performance goals determined as of the end of the performance period. The actual spring 2021 cash bonuses payable to </w:t>
      </w:r>
      <w:r>
        <w:rPr>
          <w:rFonts w:ascii="Arial" w:eastAsia="Arial" w:hAnsi="Arial" w:cs="Arial"/>
          <w:sz w:val="16"/>
          <w:szCs w:val="16"/>
        </w:rPr>
        <w:t>VS employees will be paid by VS in accordance with the terms of the applicable LB cash bonus plan, and LB will reimburse VS for the aggregate cost of the Spring 2021 bonuses paid by VS to VS employees. The Employee Matters Agreement will also set forth the</w:t>
      </w:r>
      <w:r>
        <w:rPr>
          <w:rFonts w:ascii="Arial" w:eastAsia="Arial" w:hAnsi="Arial" w:cs="Arial"/>
          <w:sz w:val="16"/>
          <w:szCs w:val="16"/>
        </w:rPr>
        <w:t xml:space="preserve"> treatment of any outstanding equity awards. For additional details regarding the treatment of outstanding equity awards in connection with the Separation, see “Separation—Treatment of Outstanding Equity Compensation Awards” above.</w:t>
      </w:r>
    </w:p>
    <w:p w14:paraId="3C5D35F8" w14:textId="77777777" w:rsidR="00D1587D" w:rsidRDefault="00D1587D">
      <w:pPr>
        <w:spacing w:line="219" w:lineRule="exact"/>
        <w:rPr>
          <w:sz w:val="20"/>
          <w:szCs w:val="20"/>
        </w:rPr>
      </w:pPr>
    </w:p>
    <w:p w14:paraId="5EEC42AF" w14:textId="77777777" w:rsidR="00D1587D" w:rsidRDefault="00410D07">
      <w:pPr>
        <w:ind w:left="660"/>
        <w:rPr>
          <w:sz w:val="20"/>
          <w:szCs w:val="20"/>
        </w:rPr>
      </w:pPr>
      <w:r>
        <w:rPr>
          <w:rFonts w:ascii="Arial" w:eastAsia="Arial" w:hAnsi="Arial" w:cs="Arial"/>
          <w:b/>
          <w:bCs/>
          <w:i/>
          <w:iCs/>
          <w:sz w:val="18"/>
          <w:szCs w:val="18"/>
        </w:rPr>
        <w:t>Domestic Transportation</w:t>
      </w:r>
      <w:r>
        <w:rPr>
          <w:rFonts w:ascii="Arial" w:eastAsia="Arial" w:hAnsi="Arial" w:cs="Arial"/>
          <w:b/>
          <w:bCs/>
          <w:i/>
          <w:iCs/>
          <w:sz w:val="18"/>
          <w:szCs w:val="18"/>
        </w:rPr>
        <w:t xml:space="preserve"> Services Agreement</w:t>
      </w:r>
    </w:p>
    <w:p w14:paraId="28C71A61" w14:textId="77777777" w:rsidR="00D1587D" w:rsidRDefault="00D1587D">
      <w:pPr>
        <w:spacing w:line="117" w:lineRule="exact"/>
        <w:rPr>
          <w:sz w:val="20"/>
          <w:szCs w:val="20"/>
        </w:rPr>
      </w:pPr>
    </w:p>
    <w:p w14:paraId="794BB6CE" w14:textId="77777777" w:rsidR="00D1587D" w:rsidRDefault="00410D07">
      <w:pPr>
        <w:spacing w:line="268" w:lineRule="auto"/>
        <w:ind w:left="300" w:right="319" w:firstLine="360"/>
        <w:rPr>
          <w:sz w:val="20"/>
          <w:szCs w:val="20"/>
        </w:rPr>
      </w:pPr>
      <w:r>
        <w:rPr>
          <w:rFonts w:ascii="Arial" w:eastAsia="Arial" w:hAnsi="Arial" w:cs="Arial"/>
          <w:sz w:val="17"/>
          <w:szCs w:val="17"/>
        </w:rPr>
        <w:t>In connection with the Separation, we intend to enter into a Domestic Transportation Services Agreement with a subsidiary of LB pursuant to which LB’s subsidiary will continue to provide transportation services for certain personal car</w:t>
      </w:r>
      <w:r>
        <w:rPr>
          <w:rFonts w:ascii="Arial" w:eastAsia="Arial" w:hAnsi="Arial" w:cs="Arial"/>
          <w:sz w:val="17"/>
          <w:szCs w:val="17"/>
        </w:rPr>
        <w:t>e and apparel merchandise of the Spin Business in the United States and Canada for an initial term of three years following the Distribution, which term will thereafter continuously renew unless and until we or LB’s subsidiary elect to terminate the arrang</w:t>
      </w:r>
      <w:r>
        <w:rPr>
          <w:rFonts w:ascii="Arial" w:eastAsia="Arial" w:hAnsi="Arial" w:cs="Arial"/>
          <w:sz w:val="17"/>
          <w:szCs w:val="17"/>
        </w:rPr>
        <w:t>ement upon 18 or 36 months’ prior written notice, respectively. LB’s subsidiary will indemnify VS from liabilities for claims arising from such subsidiary’s breach of the agreement, such subsidiary’s violation of applicable law or such subsidiary’s gross n</w:t>
      </w:r>
      <w:r>
        <w:rPr>
          <w:rFonts w:ascii="Arial" w:eastAsia="Arial" w:hAnsi="Arial" w:cs="Arial"/>
          <w:sz w:val="17"/>
          <w:szCs w:val="17"/>
        </w:rPr>
        <w:t>egligence, fraud or willful misconduct. VS will indemnify LB’s subsidiary from liabilities for claims arising from VS’s use of the services or breach of the agreement, the merchandise of the Spin Business subject to the agreement, VS’s violation of applica</w:t>
      </w:r>
      <w:r>
        <w:rPr>
          <w:rFonts w:ascii="Arial" w:eastAsia="Arial" w:hAnsi="Arial" w:cs="Arial"/>
          <w:sz w:val="17"/>
          <w:szCs w:val="17"/>
        </w:rPr>
        <w:t>ble law or VS’s gross negligence, fraud or willful misconduct. Subject to certain customary exceptions, the maximum aggregate liability of each of VS and LB’s subsidiary under the Domestic Transportation Services Agreement in any calendar year will be limi</w:t>
      </w:r>
      <w:r>
        <w:rPr>
          <w:rFonts w:ascii="Arial" w:eastAsia="Arial" w:hAnsi="Arial" w:cs="Arial"/>
          <w:sz w:val="17"/>
          <w:szCs w:val="17"/>
        </w:rPr>
        <w:t>ted to $7,500,000. LB’s subsidiary’s maximum liability for lost, damaged, destroyed or stolen VS products under the agreement will be $250,000 per occurrence, provided that if LB's subsidiary recovers a greater amount under its third-party service provider</w:t>
      </w:r>
      <w:r>
        <w:rPr>
          <w:rFonts w:ascii="Arial" w:eastAsia="Arial" w:hAnsi="Arial" w:cs="Arial"/>
          <w:sz w:val="17"/>
          <w:szCs w:val="17"/>
        </w:rPr>
        <w:t xml:space="preserve"> contracts, it will pass through such excess recovery to VS, or $5,000,000 per calendar year.</w:t>
      </w:r>
    </w:p>
    <w:p w14:paraId="68B0E62F" w14:textId="77777777" w:rsidR="00D1587D" w:rsidRDefault="00D1587D">
      <w:pPr>
        <w:spacing w:line="222" w:lineRule="exact"/>
        <w:rPr>
          <w:sz w:val="20"/>
          <w:szCs w:val="20"/>
        </w:rPr>
      </w:pPr>
    </w:p>
    <w:p w14:paraId="657B81E6" w14:textId="77777777" w:rsidR="00D1587D" w:rsidRDefault="00410D07">
      <w:pPr>
        <w:ind w:left="660"/>
        <w:rPr>
          <w:sz w:val="20"/>
          <w:szCs w:val="20"/>
        </w:rPr>
      </w:pPr>
      <w:r>
        <w:rPr>
          <w:rFonts w:ascii="Arial" w:eastAsia="Arial" w:hAnsi="Arial" w:cs="Arial"/>
          <w:b/>
          <w:bCs/>
          <w:i/>
          <w:iCs/>
          <w:sz w:val="18"/>
          <w:szCs w:val="18"/>
        </w:rPr>
        <w:t>Commercial Arrangements</w:t>
      </w:r>
    </w:p>
    <w:p w14:paraId="4E3332D0" w14:textId="77777777" w:rsidR="00D1587D" w:rsidRDefault="00D1587D">
      <w:pPr>
        <w:spacing w:line="117" w:lineRule="exact"/>
        <w:rPr>
          <w:sz w:val="20"/>
          <w:szCs w:val="20"/>
        </w:rPr>
      </w:pPr>
    </w:p>
    <w:p w14:paraId="1D3142BC" w14:textId="77777777" w:rsidR="00D1587D" w:rsidRDefault="00410D07">
      <w:pPr>
        <w:spacing w:line="287" w:lineRule="auto"/>
        <w:ind w:left="300" w:right="379" w:firstLine="360"/>
        <w:rPr>
          <w:sz w:val="20"/>
          <w:szCs w:val="20"/>
        </w:rPr>
      </w:pPr>
      <w:r>
        <w:rPr>
          <w:rFonts w:ascii="Arial" w:eastAsia="Arial" w:hAnsi="Arial" w:cs="Arial"/>
          <w:sz w:val="16"/>
          <w:szCs w:val="16"/>
        </w:rPr>
        <w:t>We intend to enter into certain other commercial arrangements with LB in connection with the Separation. These commercial arrangements w</w:t>
      </w:r>
      <w:r>
        <w:rPr>
          <w:rFonts w:ascii="Arial" w:eastAsia="Arial" w:hAnsi="Arial" w:cs="Arial"/>
          <w:sz w:val="16"/>
          <w:szCs w:val="16"/>
        </w:rPr>
        <w:t>ill include a campus security and emergency operations services agreement pursuant to which VS or a subsidiary thereof will continue to provide campus security and emergency operations services for LB for an initial term of three years following the Distri</w:t>
      </w:r>
      <w:r>
        <w:rPr>
          <w:rFonts w:ascii="Arial" w:eastAsia="Arial" w:hAnsi="Arial" w:cs="Arial"/>
          <w:sz w:val="16"/>
          <w:szCs w:val="16"/>
        </w:rPr>
        <w:t>bution, which term will thereafter continuously renew unless and until we or LB elect to terminate the arrangement upon 12 months’ prior notice. In addition, we intend to enter into agreements relating to the ownership, management, maintenance, support and</w:t>
      </w:r>
      <w:r>
        <w:rPr>
          <w:rFonts w:ascii="Arial" w:eastAsia="Arial" w:hAnsi="Arial" w:cs="Arial"/>
          <w:sz w:val="16"/>
          <w:szCs w:val="16"/>
        </w:rPr>
        <w:t xml:space="preserve"> use of certain shared aircraft, pursuant to which LB will operate the aircraft and allocate to the Spin Business its share of the operating costs. We also intend to enter into an agreement pursuant to which LB will lease to VS a portion of one of LB’s dis</w:t>
      </w:r>
      <w:r>
        <w:rPr>
          <w:rFonts w:ascii="Arial" w:eastAsia="Arial" w:hAnsi="Arial" w:cs="Arial"/>
          <w:sz w:val="16"/>
          <w:szCs w:val="16"/>
        </w:rPr>
        <w:t>tribution centers and an agreement pursuant to which LB will grant VS a limited, non-exclusive, royalty-free license to use certain of LB’s formulas relating to certain candle bases and fragrances in certain VS candle products for two years following the D</w:t>
      </w:r>
      <w:r>
        <w:rPr>
          <w:rFonts w:ascii="Arial" w:eastAsia="Arial" w:hAnsi="Arial" w:cs="Arial"/>
          <w:sz w:val="16"/>
          <w:szCs w:val="16"/>
        </w:rPr>
        <w:t>istribution. These agreements modify our historical intercompany arrangements, and we do not believe such commercial arrangements are material to the Spin Business.</w:t>
      </w:r>
    </w:p>
    <w:p w14:paraId="05D9F2BA" w14:textId="77777777" w:rsidR="00D1587D" w:rsidRDefault="00D1587D">
      <w:pPr>
        <w:spacing w:line="218" w:lineRule="exact"/>
        <w:rPr>
          <w:sz w:val="20"/>
          <w:szCs w:val="20"/>
        </w:rPr>
      </w:pPr>
    </w:p>
    <w:p w14:paraId="1541878A" w14:textId="77777777" w:rsidR="00D1587D" w:rsidRDefault="00410D07">
      <w:pPr>
        <w:ind w:left="300"/>
        <w:rPr>
          <w:sz w:val="20"/>
          <w:szCs w:val="20"/>
        </w:rPr>
      </w:pPr>
      <w:r>
        <w:rPr>
          <w:rFonts w:ascii="Arial" w:eastAsia="Arial" w:hAnsi="Arial" w:cs="Arial"/>
          <w:b/>
          <w:bCs/>
          <w:sz w:val="18"/>
          <w:szCs w:val="18"/>
        </w:rPr>
        <w:t>Transferability of Shares of Our Common Stock</w:t>
      </w:r>
    </w:p>
    <w:p w14:paraId="0DF974EE" w14:textId="77777777" w:rsidR="00D1587D" w:rsidRDefault="00D1587D">
      <w:pPr>
        <w:spacing w:line="121" w:lineRule="exact"/>
        <w:rPr>
          <w:sz w:val="20"/>
          <w:szCs w:val="20"/>
        </w:rPr>
      </w:pPr>
    </w:p>
    <w:p w14:paraId="36077FFD" w14:textId="77777777" w:rsidR="00D1587D" w:rsidRDefault="00410D07">
      <w:pPr>
        <w:spacing w:line="279" w:lineRule="auto"/>
        <w:ind w:left="300" w:right="359" w:firstLine="360"/>
        <w:rPr>
          <w:sz w:val="20"/>
          <w:szCs w:val="20"/>
        </w:rPr>
      </w:pPr>
      <w:r>
        <w:rPr>
          <w:rFonts w:ascii="Arial" w:eastAsia="Arial" w:hAnsi="Arial" w:cs="Arial"/>
          <w:sz w:val="17"/>
          <w:szCs w:val="17"/>
        </w:rPr>
        <w:t xml:space="preserve">The shares of our common stock that you </w:t>
      </w:r>
      <w:r>
        <w:rPr>
          <w:rFonts w:ascii="Arial" w:eastAsia="Arial" w:hAnsi="Arial" w:cs="Arial"/>
          <w:sz w:val="17"/>
          <w:szCs w:val="17"/>
        </w:rPr>
        <w:t>will receive in the Distribution will be freely transferable, unless you are considered an “affiliate” of ours under Rule 144 under the Securities Act. Persons who can be considered our affiliates after the Separation generally include individuals or entit</w:t>
      </w:r>
      <w:r>
        <w:rPr>
          <w:rFonts w:ascii="Arial" w:eastAsia="Arial" w:hAnsi="Arial" w:cs="Arial"/>
          <w:sz w:val="17"/>
          <w:szCs w:val="17"/>
        </w:rPr>
        <w:t>ies that directly, or indirectly through one or more intermediaries, control, are controlled by or are under common control with us, and may</w:t>
      </w:r>
    </w:p>
    <w:p w14:paraId="58C5E938" w14:textId="77777777" w:rsidR="00D1587D" w:rsidRDefault="00D1587D">
      <w:pPr>
        <w:spacing w:line="171" w:lineRule="exact"/>
        <w:rPr>
          <w:sz w:val="20"/>
          <w:szCs w:val="20"/>
        </w:rPr>
      </w:pPr>
    </w:p>
    <w:p w14:paraId="3B910128" w14:textId="77777777" w:rsidR="00D1587D" w:rsidRDefault="00410D07">
      <w:pPr>
        <w:ind w:right="19"/>
        <w:jc w:val="center"/>
        <w:rPr>
          <w:sz w:val="20"/>
          <w:szCs w:val="20"/>
        </w:rPr>
      </w:pPr>
      <w:r>
        <w:rPr>
          <w:rFonts w:ascii="Arial" w:eastAsia="Arial" w:hAnsi="Arial" w:cs="Arial"/>
          <w:sz w:val="18"/>
          <w:szCs w:val="18"/>
        </w:rPr>
        <w:t>51</w:t>
      </w:r>
    </w:p>
    <w:p w14:paraId="44E62004" w14:textId="77777777" w:rsidR="00D1587D" w:rsidRDefault="00410D07">
      <w:pPr>
        <w:spacing w:line="20" w:lineRule="exact"/>
        <w:rPr>
          <w:sz w:val="20"/>
          <w:szCs w:val="20"/>
        </w:rPr>
      </w:pPr>
      <w:r>
        <w:rPr>
          <w:noProof/>
          <w:sz w:val="20"/>
          <w:szCs w:val="20"/>
        </w:rPr>
        <w:drawing>
          <wp:anchor distT="0" distB="0" distL="114300" distR="114300" simplePos="0" relativeHeight="251494400" behindDoc="1" locked="0" layoutInCell="0" allowOverlap="1" wp14:anchorId="4213C020" wp14:editId="0ABE65EB">
            <wp:simplePos x="0" y="0"/>
            <wp:positionH relativeFrom="column">
              <wp:posOffset>-636905</wp:posOffset>
            </wp:positionH>
            <wp:positionV relativeFrom="paragraph">
              <wp:posOffset>126365</wp:posOffset>
            </wp:positionV>
            <wp:extent cx="6995160" cy="17145"/>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B67140B" w14:textId="77777777" w:rsidR="00D1587D" w:rsidRDefault="00D1587D">
      <w:pPr>
        <w:sectPr w:rsidR="00D1587D">
          <w:pgSz w:w="11900" w:h="16838"/>
          <w:pgMar w:top="265" w:right="1440" w:bottom="1440" w:left="1440" w:header="0" w:footer="0" w:gutter="0"/>
          <w:cols w:space="720" w:equalWidth="0">
            <w:col w:w="9019"/>
          </w:cols>
        </w:sectPr>
      </w:pPr>
    </w:p>
    <w:bookmarkStart w:id="309" w:name="page310"/>
    <w:bookmarkEnd w:id="309"/>
    <w:p w14:paraId="4C78B4A0"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DB634AB" w14:textId="77777777" w:rsidR="00D1587D" w:rsidRDefault="00D1587D">
      <w:pPr>
        <w:spacing w:line="131" w:lineRule="exact"/>
        <w:rPr>
          <w:sz w:val="20"/>
          <w:szCs w:val="20"/>
        </w:rPr>
      </w:pPr>
    </w:p>
    <w:p w14:paraId="620F5617" w14:textId="77777777" w:rsidR="00D1587D" w:rsidRDefault="00410D07">
      <w:pPr>
        <w:spacing w:line="291" w:lineRule="auto"/>
        <w:ind w:left="300" w:right="679"/>
        <w:rPr>
          <w:sz w:val="20"/>
          <w:szCs w:val="20"/>
        </w:rPr>
      </w:pPr>
      <w:r>
        <w:rPr>
          <w:rFonts w:ascii="Arial" w:eastAsia="Arial" w:hAnsi="Arial" w:cs="Arial"/>
          <w:sz w:val="16"/>
          <w:szCs w:val="16"/>
        </w:rPr>
        <w:t xml:space="preserve">include certain of our officers and </w:t>
      </w:r>
      <w:r>
        <w:rPr>
          <w:rFonts w:ascii="Arial" w:eastAsia="Arial" w:hAnsi="Arial" w:cs="Arial"/>
          <w:sz w:val="16"/>
          <w:szCs w:val="16"/>
        </w:rPr>
        <w:t>directors. In addition, individuals who are affiliates of LB on the Distribution Date may be deemed to be affiliates of ours. We estimate that our directors and executive officers, who may be</w:t>
      </w:r>
    </w:p>
    <w:p w14:paraId="0166A59F" w14:textId="77777777" w:rsidR="00D1587D" w:rsidRDefault="00410D07">
      <w:pPr>
        <w:spacing w:line="253" w:lineRule="auto"/>
        <w:ind w:left="300" w:right="339"/>
        <w:rPr>
          <w:sz w:val="20"/>
          <w:szCs w:val="20"/>
        </w:rPr>
      </w:pPr>
      <w:r>
        <w:rPr>
          <w:rFonts w:ascii="Arial" w:eastAsia="Arial" w:hAnsi="Arial" w:cs="Arial"/>
          <w:sz w:val="18"/>
          <w:szCs w:val="18"/>
        </w:rPr>
        <w:t>considered “affiliates” for purposes of Rule 144, will beneficia</w:t>
      </w:r>
      <w:r>
        <w:rPr>
          <w:rFonts w:ascii="Arial" w:eastAsia="Arial" w:hAnsi="Arial" w:cs="Arial"/>
          <w:sz w:val="18"/>
          <w:szCs w:val="18"/>
        </w:rPr>
        <w:t>lly own approximately shares of our common stock immediately following the Separation. See “Ownership of Common Stock by Certain Beneficial Owners and Management” included elsewhere in this information statement. Our affiliates may sell shares of our commo</w:t>
      </w:r>
      <w:r>
        <w:rPr>
          <w:rFonts w:ascii="Arial" w:eastAsia="Arial" w:hAnsi="Arial" w:cs="Arial"/>
          <w:sz w:val="18"/>
          <w:szCs w:val="18"/>
        </w:rPr>
        <w:t>n stock received in the Distribution only:</w:t>
      </w:r>
    </w:p>
    <w:p w14:paraId="59EC8280" w14:textId="77777777" w:rsidR="00D1587D" w:rsidRDefault="00D1587D">
      <w:pPr>
        <w:spacing w:line="85" w:lineRule="exact"/>
        <w:rPr>
          <w:sz w:val="20"/>
          <w:szCs w:val="20"/>
        </w:rPr>
      </w:pPr>
    </w:p>
    <w:p w14:paraId="61575C1D" w14:textId="77777777" w:rsidR="00D1587D" w:rsidRDefault="00410D07" w:rsidP="00410D07">
      <w:pPr>
        <w:numPr>
          <w:ilvl w:val="0"/>
          <w:numId w:val="267"/>
        </w:numPr>
        <w:tabs>
          <w:tab w:val="left" w:pos="1000"/>
        </w:tabs>
        <w:ind w:left="1000" w:hanging="348"/>
        <w:rPr>
          <w:rFonts w:ascii="Arial" w:eastAsia="Arial" w:hAnsi="Arial" w:cs="Arial"/>
          <w:sz w:val="18"/>
          <w:szCs w:val="18"/>
        </w:rPr>
      </w:pPr>
      <w:r>
        <w:rPr>
          <w:rFonts w:ascii="Arial" w:eastAsia="Arial" w:hAnsi="Arial" w:cs="Arial"/>
          <w:sz w:val="18"/>
          <w:szCs w:val="18"/>
        </w:rPr>
        <w:t>Under a registration statement that the SEC has declared effective under the Securities Act; or</w:t>
      </w:r>
    </w:p>
    <w:p w14:paraId="6F75B440" w14:textId="77777777" w:rsidR="00D1587D" w:rsidRDefault="00D1587D">
      <w:pPr>
        <w:spacing w:line="117" w:lineRule="exact"/>
        <w:rPr>
          <w:rFonts w:ascii="Arial" w:eastAsia="Arial" w:hAnsi="Arial" w:cs="Arial"/>
          <w:sz w:val="18"/>
          <w:szCs w:val="18"/>
        </w:rPr>
      </w:pPr>
    </w:p>
    <w:p w14:paraId="1190F4C9" w14:textId="77777777" w:rsidR="00D1587D" w:rsidRDefault="00410D07" w:rsidP="00410D07">
      <w:pPr>
        <w:numPr>
          <w:ilvl w:val="0"/>
          <w:numId w:val="267"/>
        </w:numPr>
        <w:tabs>
          <w:tab w:val="left" w:pos="1000"/>
        </w:tabs>
        <w:spacing w:line="277" w:lineRule="auto"/>
        <w:ind w:left="1000" w:right="959" w:hanging="348"/>
        <w:rPr>
          <w:rFonts w:ascii="Arial" w:eastAsia="Arial" w:hAnsi="Arial" w:cs="Arial"/>
          <w:sz w:val="18"/>
          <w:szCs w:val="18"/>
        </w:rPr>
      </w:pPr>
      <w:r>
        <w:rPr>
          <w:rFonts w:ascii="Arial" w:eastAsia="Arial" w:hAnsi="Arial" w:cs="Arial"/>
          <w:sz w:val="18"/>
          <w:szCs w:val="18"/>
        </w:rPr>
        <w:t>Under an exemption from registration under the Securities Act, such as the exemption afforded by Rule 144.</w:t>
      </w:r>
    </w:p>
    <w:p w14:paraId="010B8E7A" w14:textId="77777777" w:rsidR="00D1587D" w:rsidRDefault="00D1587D">
      <w:pPr>
        <w:spacing w:line="62" w:lineRule="exact"/>
        <w:rPr>
          <w:sz w:val="20"/>
          <w:szCs w:val="20"/>
        </w:rPr>
      </w:pPr>
    </w:p>
    <w:p w14:paraId="33658E6D" w14:textId="77777777" w:rsidR="00D1587D" w:rsidRDefault="00410D07">
      <w:pPr>
        <w:spacing w:line="277" w:lineRule="auto"/>
        <w:ind w:left="300" w:right="679" w:firstLine="360"/>
        <w:rPr>
          <w:sz w:val="20"/>
          <w:szCs w:val="20"/>
        </w:rPr>
      </w:pPr>
      <w:r>
        <w:rPr>
          <w:rFonts w:ascii="Arial" w:eastAsia="Arial" w:hAnsi="Arial" w:cs="Arial"/>
          <w:sz w:val="18"/>
          <w:szCs w:val="18"/>
        </w:rPr>
        <w:t xml:space="preserve">In </w:t>
      </w:r>
      <w:r>
        <w:rPr>
          <w:rFonts w:ascii="Arial" w:eastAsia="Arial" w:hAnsi="Arial" w:cs="Arial"/>
          <w:sz w:val="18"/>
          <w:szCs w:val="18"/>
        </w:rPr>
        <w:t>general, under Rule 144 as currently in effect, an affiliate will be entitled to sell, within any three-month period, a number of shares of our common stock that does not exceed the greater of:</w:t>
      </w:r>
    </w:p>
    <w:p w14:paraId="5A15B69A" w14:textId="77777777" w:rsidR="00D1587D" w:rsidRDefault="00D1587D">
      <w:pPr>
        <w:spacing w:line="62" w:lineRule="exact"/>
        <w:rPr>
          <w:sz w:val="20"/>
          <w:szCs w:val="20"/>
        </w:rPr>
      </w:pPr>
    </w:p>
    <w:p w14:paraId="0E0B1079" w14:textId="77777777" w:rsidR="00D1587D" w:rsidRDefault="00410D07" w:rsidP="00410D07">
      <w:pPr>
        <w:numPr>
          <w:ilvl w:val="0"/>
          <w:numId w:val="268"/>
        </w:numPr>
        <w:tabs>
          <w:tab w:val="left" w:pos="1000"/>
        </w:tabs>
        <w:ind w:left="1000" w:hanging="348"/>
        <w:rPr>
          <w:rFonts w:ascii="Arial" w:eastAsia="Arial" w:hAnsi="Arial" w:cs="Arial"/>
          <w:sz w:val="18"/>
          <w:szCs w:val="18"/>
        </w:rPr>
      </w:pPr>
      <w:r>
        <w:rPr>
          <w:rFonts w:ascii="Arial" w:eastAsia="Arial" w:hAnsi="Arial" w:cs="Arial"/>
          <w:sz w:val="18"/>
          <w:szCs w:val="18"/>
        </w:rPr>
        <w:t>One percent of our common stock then outstanding; or</w:t>
      </w:r>
    </w:p>
    <w:p w14:paraId="59839792" w14:textId="77777777" w:rsidR="00D1587D" w:rsidRDefault="00D1587D">
      <w:pPr>
        <w:spacing w:line="117" w:lineRule="exact"/>
        <w:rPr>
          <w:rFonts w:ascii="Arial" w:eastAsia="Arial" w:hAnsi="Arial" w:cs="Arial"/>
          <w:sz w:val="18"/>
          <w:szCs w:val="18"/>
        </w:rPr>
      </w:pPr>
    </w:p>
    <w:p w14:paraId="285A9CEC" w14:textId="77777777" w:rsidR="00D1587D" w:rsidRDefault="00410D07" w:rsidP="00410D07">
      <w:pPr>
        <w:numPr>
          <w:ilvl w:val="0"/>
          <w:numId w:val="268"/>
        </w:numPr>
        <w:tabs>
          <w:tab w:val="left" w:pos="1000"/>
        </w:tabs>
        <w:spacing w:line="277" w:lineRule="auto"/>
        <w:ind w:left="1000" w:right="559" w:hanging="348"/>
        <w:rPr>
          <w:rFonts w:ascii="Arial" w:eastAsia="Arial" w:hAnsi="Arial" w:cs="Arial"/>
          <w:sz w:val="18"/>
          <w:szCs w:val="18"/>
        </w:rPr>
      </w:pPr>
      <w:r>
        <w:rPr>
          <w:rFonts w:ascii="Arial" w:eastAsia="Arial" w:hAnsi="Arial" w:cs="Arial"/>
          <w:sz w:val="18"/>
          <w:szCs w:val="18"/>
        </w:rPr>
        <w:t>The ave</w:t>
      </w:r>
      <w:r>
        <w:rPr>
          <w:rFonts w:ascii="Arial" w:eastAsia="Arial" w:hAnsi="Arial" w:cs="Arial"/>
          <w:sz w:val="18"/>
          <w:szCs w:val="18"/>
        </w:rPr>
        <w:t>rage weekly trading volume of our common stock during the four calendar weeks preceding the filing of a notice on Form 144 for the sale.</w:t>
      </w:r>
    </w:p>
    <w:p w14:paraId="3742DE41" w14:textId="77777777" w:rsidR="00D1587D" w:rsidRDefault="00D1587D">
      <w:pPr>
        <w:spacing w:line="62" w:lineRule="exact"/>
        <w:rPr>
          <w:sz w:val="20"/>
          <w:szCs w:val="20"/>
        </w:rPr>
      </w:pPr>
    </w:p>
    <w:p w14:paraId="1B553942" w14:textId="77777777" w:rsidR="00D1587D" w:rsidRDefault="00410D07">
      <w:pPr>
        <w:spacing w:line="342" w:lineRule="auto"/>
        <w:ind w:left="300" w:right="819" w:firstLine="360"/>
        <w:rPr>
          <w:sz w:val="20"/>
          <w:szCs w:val="20"/>
        </w:rPr>
      </w:pPr>
      <w:r>
        <w:rPr>
          <w:rFonts w:ascii="Arial" w:eastAsia="Arial" w:hAnsi="Arial" w:cs="Arial"/>
          <w:sz w:val="16"/>
          <w:szCs w:val="16"/>
        </w:rPr>
        <w:t xml:space="preserve">Rule 144 also includes notice requirements and restrictions governing the manner of sale for sales by our affiliates. </w:t>
      </w:r>
      <w:r>
        <w:rPr>
          <w:rFonts w:ascii="Arial" w:eastAsia="Arial" w:hAnsi="Arial" w:cs="Arial"/>
          <w:sz w:val="16"/>
          <w:szCs w:val="16"/>
        </w:rPr>
        <w:t>Sales may not be made under Rule 144 unless certain information about us is publicly available.</w:t>
      </w:r>
    </w:p>
    <w:p w14:paraId="2F82640E" w14:textId="77777777" w:rsidR="00D1587D" w:rsidRDefault="00D1587D">
      <w:pPr>
        <w:spacing w:line="282" w:lineRule="exact"/>
        <w:rPr>
          <w:sz w:val="20"/>
          <w:szCs w:val="20"/>
        </w:rPr>
      </w:pPr>
    </w:p>
    <w:p w14:paraId="38454713" w14:textId="77777777" w:rsidR="00D1587D" w:rsidRDefault="00410D07">
      <w:pPr>
        <w:ind w:left="300"/>
        <w:rPr>
          <w:sz w:val="20"/>
          <w:szCs w:val="20"/>
        </w:rPr>
      </w:pPr>
      <w:r>
        <w:rPr>
          <w:rFonts w:ascii="Arial" w:eastAsia="Arial" w:hAnsi="Arial" w:cs="Arial"/>
          <w:b/>
          <w:bCs/>
          <w:sz w:val="18"/>
          <w:szCs w:val="18"/>
        </w:rPr>
        <w:t>Reason for Furnishing this Information Statement</w:t>
      </w:r>
    </w:p>
    <w:p w14:paraId="54C48383" w14:textId="77777777" w:rsidR="00D1587D" w:rsidRDefault="00D1587D">
      <w:pPr>
        <w:spacing w:line="121" w:lineRule="exact"/>
        <w:rPr>
          <w:sz w:val="20"/>
          <w:szCs w:val="20"/>
        </w:rPr>
      </w:pPr>
    </w:p>
    <w:p w14:paraId="11F609BE" w14:textId="77777777" w:rsidR="00D1587D" w:rsidRDefault="00410D07">
      <w:pPr>
        <w:spacing w:line="255" w:lineRule="auto"/>
        <w:ind w:left="300" w:right="319" w:firstLine="360"/>
        <w:rPr>
          <w:sz w:val="20"/>
          <w:szCs w:val="20"/>
        </w:rPr>
      </w:pPr>
      <w:r>
        <w:rPr>
          <w:rFonts w:ascii="Arial" w:eastAsia="Arial" w:hAnsi="Arial" w:cs="Arial"/>
          <w:sz w:val="18"/>
          <w:szCs w:val="18"/>
        </w:rPr>
        <w:t>This information statement is being furnished solely to provide information to LB stockholders who are entitl</w:t>
      </w:r>
      <w:r>
        <w:rPr>
          <w:rFonts w:ascii="Arial" w:eastAsia="Arial" w:hAnsi="Arial" w:cs="Arial"/>
          <w:sz w:val="18"/>
          <w:szCs w:val="18"/>
        </w:rPr>
        <w:t>ed to receive shares of our common stock in the Distribution. The information statement is not, and is not to be construed as, an inducement or encouragement to buy, hold or sell any of our securities. We believe the information contained in this informati</w:t>
      </w:r>
      <w:r>
        <w:rPr>
          <w:rFonts w:ascii="Arial" w:eastAsia="Arial" w:hAnsi="Arial" w:cs="Arial"/>
          <w:sz w:val="18"/>
          <w:szCs w:val="18"/>
        </w:rPr>
        <w:t>on statement is accurate as of the date set forth on the cover. Changes may occur after that date and neither LB nor we undertake any obligation to update such information except in the normal course of our respective public disclosure obligations.</w:t>
      </w:r>
    </w:p>
    <w:p w14:paraId="26E066A3" w14:textId="77777777" w:rsidR="00D1587D" w:rsidRDefault="00D1587D">
      <w:pPr>
        <w:spacing w:line="192" w:lineRule="exact"/>
        <w:rPr>
          <w:sz w:val="20"/>
          <w:szCs w:val="20"/>
        </w:rPr>
      </w:pPr>
    </w:p>
    <w:p w14:paraId="09CE3FED" w14:textId="77777777" w:rsidR="00D1587D" w:rsidRDefault="00410D07">
      <w:pPr>
        <w:ind w:right="19"/>
        <w:jc w:val="center"/>
        <w:rPr>
          <w:sz w:val="20"/>
          <w:szCs w:val="20"/>
        </w:rPr>
      </w:pPr>
      <w:r>
        <w:rPr>
          <w:rFonts w:ascii="Arial" w:eastAsia="Arial" w:hAnsi="Arial" w:cs="Arial"/>
          <w:sz w:val="18"/>
          <w:szCs w:val="18"/>
        </w:rPr>
        <w:t>52</w:t>
      </w:r>
    </w:p>
    <w:p w14:paraId="4877303A" w14:textId="77777777" w:rsidR="00D1587D" w:rsidRDefault="00410D07">
      <w:pPr>
        <w:spacing w:line="20" w:lineRule="exact"/>
        <w:rPr>
          <w:sz w:val="20"/>
          <w:szCs w:val="20"/>
        </w:rPr>
      </w:pPr>
      <w:r>
        <w:rPr>
          <w:noProof/>
          <w:sz w:val="20"/>
          <w:szCs w:val="20"/>
        </w:rPr>
        <w:drawing>
          <wp:anchor distT="0" distB="0" distL="114300" distR="114300" simplePos="0" relativeHeight="251495424" behindDoc="1" locked="0" layoutInCell="0" allowOverlap="1" wp14:anchorId="45589720" wp14:editId="72AA8DA6">
            <wp:simplePos x="0" y="0"/>
            <wp:positionH relativeFrom="column">
              <wp:posOffset>-636905</wp:posOffset>
            </wp:positionH>
            <wp:positionV relativeFrom="paragraph">
              <wp:posOffset>126365</wp:posOffset>
            </wp:positionV>
            <wp:extent cx="6995160" cy="17145"/>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F8205B4" w14:textId="77777777" w:rsidR="00D1587D" w:rsidRDefault="00D1587D">
      <w:pPr>
        <w:sectPr w:rsidR="00D1587D">
          <w:pgSz w:w="11900" w:h="16838"/>
          <w:pgMar w:top="265" w:right="1440" w:bottom="1440" w:left="1440" w:header="0" w:footer="0" w:gutter="0"/>
          <w:cols w:space="720" w:equalWidth="0">
            <w:col w:w="9019"/>
          </w:cols>
        </w:sectPr>
      </w:pPr>
    </w:p>
    <w:bookmarkStart w:id="310" w:name="page311"/>
    <w:bookmarkEnd w:id="310"/>
    <w:p w14:paraId="5A217BB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1932312" w14:textId="77777777" w:rsidR="00D1587D" w:rsidRDefault="00D1587D">
      <w:pPr>
        <w:spacing w:line="127" w:lineRule="exact"/>
        <w:rPr>
          <w:sz w:val="20"/>
          <w:szCs w:val="20"/>
        </w:rPr>
      </w:pPr>
    </w:p>
    <w:p w14:paraId="14B5475A" w14:textId="77777777" w:rsidR="00D1587D" w:rsidRDefault="00410D07">
      <w:pPr>
        <w:ind w:left="3680"/>
        <w:rPr>
          <w:sz w:val="20"/>
          <w:szCs w:val="20"/>
        </w:rPr>
      </w:pPr>
      <w:r>
        <w:rPr>
          <w:rFonts w:ascii="Arial" w:eastAsia="Arial" w:hAnsi="Arial" w:cs="Arial"/>
          <w:b/>
          <w:bCs/>
          <w:sz w:val="18"/>
          <w:szCs w:val="18"/>
        </w:rPr>
        <w:t>DIVIDEND POLICY</w:t>
      </w:r>
    </w:p>
    <w:p w14:paraId="097F0B0F" w14:textId="77777777" w:rsidR="00D1587D" w:rsidRDefault="00D1587D">
      <w:pPr>
        <w:spacing w:line="121" w:lineRule="exact"/>
        <w:rPr>
          <w:sz w:val="20"/>
          <w:szCs w:val="20"/>
        </w:rPr>
      </w:pPr>
    </w:p>
    <w:p w14:paraId="69D7FD3D" w14:textId="77777777" w:rsidR="00D1587D" w:rsidRDefault="00410D07">
      <w:pPr>
        <w:ind w:left="660"/>
        <w:rPr>
          <w:sz w:val="20"/>
          <w:szCs w:val="20"/>
        </w:rPr>
      </w:pPr>
      <w:r>
        <w:rPr>
          <w:rFonts w:ascii="Arial" w:eastAsia="Arial" w:hAnsi="Arial" w:cs="Arial"/>
          <w:sz w:val="18"/>
          <w:szCs w:val="18"/>
        </w:rPr>
        <w:t>We do not currently intend to pay any cash dividends on our capital stock in the foreseeable future.</w:t>
      </w:r>
    </w:p>
    <w:p w14:paraId="1E1AEF3E" w14:textId="77777777" w:rsidR="00D1587D" w:rsidRDefault="00D1587D">
      <w:pPr>
        <w:spacing w:line="23" w:lineRule="exact"/>
        <w:rPr>
          <w:sz w:val="20"/>
          <w:szCs w:val="20"/>
        </w:rPr>
      </w:pPr>
    </w:p>
    <w:p w14:paraId="0A58EE73" w14:textId="77777777" w:rsidR="00D1587D" w:rsidRDefault="00410D07">
      <w:pPr>
        <w:spacing w:line="269" w:lineRule="auto"/>
        <w:ind w:left="300" w:right="319"/>
        <w:rPr>
          <w:sz w:val="20"/>
          <w:szCs w:val="20"/>
        </w:rPr>
      </w:pPr>
      <w:r>
        <w:rPr>
          <w:rFonts w:ascii="Arial" w:eastAsia="Arial" w:hAnsi="Arial" w:cs="Arial"/>
          <w:sz w:val="17"/>
          <w:szCs w:val="17"/>
        </w:rPr>
        <w:t xml:space="preserve">We currently intend to retain all available funds and any future </w:t>
      </w:r>
      <w:r>
        <w:rPr>
          <w:rFonts w:ascii="Arial" w:eastAsia="Arial" w:hAnsi="Arial" w:cs="Arial"/>
          <w:sz w:val="17"/>
          <w:szCs w:val="17"/>
        </w:rPr>
        <w:t>earnings to fund the development and expansion of our business. The declaration and amount of any dividends to holders of our common stock will be at the discretion of our Board of Directors and will depend upon many factors, including our financial condit</w:t>
      </w:r>
      <w:r>
        <w:rPr>
          <w:rFonts w:ascii="Arial" w:eastAsia="Arial" w:hAnsi="Arial" w:cs="Arial"/>
          <w:sz w:val="17"/>
          <w:szCs w:val="17"/>
        </w:rPr>
        <w:t>ion, earnings, cash flows, capital requirements of our business, covenants associated with our debt obligations, legal requirements, regulatory constraints, industry practice and any other factors the Board of Directors deems relevant. In addition, our abi</w:t>
      </w:r>
      <w:r>
        <w:rPr>
          <w:rFonts w:ascii="Arial" w:eastAsia="Arial" w:hAnsi="Arial" w:cs="Arial"/>
          <w:sz w:val="17"/>
          <w:szCs w:val="17"/>
        </w:rPr>
        <w:t>lity to pay cash dividends on our capital stock may be limited by the terms of any future debt or preferred securities we issue or any credit facilities we enter into.</w:t>
      </w:r>
    </w:p>
    <w:p w14:paraId="10C06BDA" w14:textId="77777777" w:rsidR="00D1587D" w:rsidRDefault="00D1587D">
      <w:pPr>
        <w:spacing w:line="180" w:lineRule="exact"/>
        <w:rPr>
          <w:sz w:val="20"/>
          <w:szCs w:val="20"/>
        </w:rPr>
      </w:pPr>
    </w:p>
    <w:p w14:paraId="40F634E8" w14:textId="77777777" w:rsidR="00D1587D" w:rsidRDefault="00410D07">
      <w:pPr>
        <w:ind w:right="19"/>
        <w:jc w:val="center"/>
        <w:rPr>
          <w:sz w:val="20"/>
          <w:szCs w:val="20"/>
        </w:rPr>
      </w:pPr>
      <w:r>
        <w:rPr>
          <w:rFonts w:ascii="Arial" w:eastAsia="Arial" w:hAnsi="Arial" w:cs="Arial"/>
          <w:sz w:val="18"/>
          <w:szCs w:val="18"/>
        </w:rPr>
        <w:t>53</w:t>
      </w:r>
    </w:p>
    <w:p w14:paraId="4058704A" w14:textId="77777777" w:rsidR="00D1587D" w:rsidRDefault="00410D07">
      <w:pPr>
        <w:spacing w:line="20" w:lineRule="exact"/>
        <w:rPr>
          <w:sz w:val="20"/>
          <w:szCs w:val="20"/>
        </w:rPr>
      </w:pPr>
      <w:r>
        <w:rPr>
          <w:noProof/>
          <w:sz w:val="20"/>
          <w:szCs w:val="20"/>
        </w:rPr>
        <w:drawing>
          <wp:anchor distT="0" distB="0" distL="114300" distR="114300" simplePos="0" relativeHeight="251496448" behindDoc="1" locked="0" layoutInCell="0" allowOverlap="1" wp14:anchorId="14091025" wp14:editId="3ABD1237">
            <wp:simplePos x="0" y="0"/>
            <wp:positionH relativeFrom="column">
              <wp:posOffset>-636905</wp:posOffset>
            </wp:positionH>
            <wp:positionV relativeFrom="paragraph">
              <wp:posOffset>134620</wp:posOffset>
            </wp:positionV>
            <wp:extent cx="6995160" cy="17145"/>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BD88FB7" w14:textId="77777777" w:rsidR="00D1587D" w:rsidRDefault="00D1587D">
      <w:pPr>
        <w:sectPr w:rsidR="00D1587D">
          <w:pgSz w:w="11900" w:h="16838"/>
          <w:pgMar w:top="265" w:right="1440" w:bottom="1440" w:left="1440" w:header="0" w:footer="0" w:gutter="0"/>
          <w:cols w:space="720" w:equalWidth="0">
            <w:col w:w="9019"/>
          </w:cols>
        </w:sectPr>
      </w:pPr>
    </w:p>
    <w:bookmarkStart w:id="311" w:name="page312"/>
    <w:bookmarkEnd w:id="311"/>
    <w:p w14:paraId="5E0E283C"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02A6DF2" w14:textId="77777777" w:rsidR="00D1587D" w:rsidRDefault="00D1587D">
      <w:pPr>
        <w:spacing w:line="127" w:lineRule="exact"/>
        <w:rPr>
          <w:sz w:val="20"/>
          <w:szCs w:val="20"/>
        </w:rPr>
      </w:pPr>
    </w:p>
    <w:p w14:paraId="56C8C92F" w14:textId="77777777" w:rsidR="00D1587D" w:rsidRDefault="00410D07">
      <w:pPr>
        <w:jc w:val="center"/>
        <w:rPr>
          <w:sz w:val="20"/>
          <w:szCs w:val="20"/>
        </w:rPr>
      </w:pPr>
      <w:r>
        <w:rPr>
          <w:rFonts w:ascii="Arial" w:eastAsia="Arial" w:hAnsi="Arial" w:cs="Arial"/>
          <w:b/>
          <w:bCs/>
          <w:sz w:val="18"/>
          <w:szCs w:val="18"/>
        </w:rPr>
        <w:t>CAPITALIZATION</w:t>
      </w:r>
    </w:p>
    <w:p w14:paraId="6FDAFBF8" w14:textId="77777777" w:rsidR="00D1587D" w:rsidRDefault="00D1587D">
      <w:pPr>
        <w:spacing w:line="121" w:lineRule="exact"/>
        <w:rPr>
          <w:sz w:val="20"/>
          <w:szCs w:val="20"/>
        </w:rPr>
      </w:pPr>
    </w:p>
    <w:p w14:paraId="3F014883" w14:textId="77777777" w:rsidR="00D1587D" w:rsidRDefault="00410D07">
      <w:pPr>
        <w:spacing w:line="342" w:lineRule="auto"/>
        <w:ind w:left="300" w:right="539" w:firstLine="360"/>
        <w:rPr>
          <w:sz w:val="20"/>
          <w:szCs w:val="20"/>
        </w:rPr>
      </w:pPr>
      <w:r>
        <w:rPr>
          <w:rFonts w:ascii="Arial" w:eastAsia="Arial" w:hAnsi="Arial" w:cs="Arial"/>
          <w:sz w:val="16"/>
          <w:szCs w:val="16"/>
        </w:rPr>
        <w:t>T</w:t>
      </w:r>
      <w:r>
        <w:rPr>
          <w:rFonts w:ascii="Arial" w:eastAsia="Arial" w:hAnsi="Arial" w:cs="Arial"/>
          <w:sz w:val="16"/>
          <w:szCs w:val="16"/>
        </w:rPr>
        <w:t>he following table sets forth our cash and cash equivalents and our capitalization as of May 1, 2021 on a historical and pro forma basis to give effect to the Separation and other matters, as discussed in “The Separation.”</w:t>
      </w:r>
    </w:p>
    <w:p w14:paraId="2F47A754" w14:textId="77777777" w:rsidR="00D1587D" w:rsidRDefault="00D1587D">
      <w:pPr>
        <w:spacing w:line="16" w:lineRule="exact"/>
        <w:rPr>
          <w:sz w:val="20"/>
          <w:szCs w:val="20"/>
        </w:rPr>
      </w:pPr>
    </w:p>
    <w:p w14:paraId="6AEAFDE8" w14:textId="77777777" w:rsidR="00D1587D" w:rsidRDefault="00410D07">
      <w:pPr>
        <w:spacing w:line="287" w:lineRule="auto"/>
        <w:ind w:left="300" w:right="559" w:firstLine="360"/>
        <w:rPr>
          <w:sz w:val="20"/>
          <w:szCs w:val="20"/>
        </w:rPr>
      </w:pPr>
      <w:r>
        <w:rPr>
          <w:rFonts w:ascii="Arial" w:eastAsia="Arial" w:hAnsi="Arial" w:cs="Arial"/>
          <w:sz w:val="16"/>
          <w:szCs w:val="16"/>
        </w:rPr>
        <w:t xml:space="preserve">The pro forma </w:t>
      </w:r>
      <w:r>
        <w:rPr>
          <w:rFonts w:ascii="Arial" w:eastAsia="Arial" w:hAnsi="Arial" w:cs="Arial"/>
          <w:sz w:val="16"/>
          <w:szCs w:val="16"/>
        </w:rPr>
        <w:t>adjustments are based upon available information and assumptions that management believes are reasonable; however, such adjustments are subject to change based on the finalization of the terms of the Separation and the agreements which define our relations</w:t>
      </w:r>
      <w:r>
        <w:rPr>
          <w:rFonts w:ascii="Arial" w:eastAsia="Arial" w:hAnsi="Arial" w:cs="Arial"/>
          <w:sz w:val="16"/>
          <w:szCs w:val="16"/>
        </w:rPr>
        <w:t>hip with LB after the completion of the Separation.</w:t>
      </w:r>
    </w:p>
    <w:p w14:paraId="541B968E" w14:textId="77777777" w:rsidR="00D1587D" w:rsidRDefault="00D1587D">
      <w:pPr>
        <w:spacing w:line="2" w:lineRule="exact"/>
        <w:rPr>
          <w:sz w:val="20"/>
          <w:szCs w:val="20"/>
        </w:rPr>
      </w:pPr>
    </w:p>
    <w:p w14:paraId="416BA75E" w14:textId="77777777" w:rsidR="00D1587D" w:rsidRDefault="00410D07">
      <w:pPr>
        <w:ind w:left="300"/>
        <w:rPr>
          <w:sz w:val="20"/>
          <w:szCs w:val="20"/>
        </w:rPr>
      </w:pPr>
      <w:r>
        <w:rPr>
          <w:rFonts w:ascii="Arial" w:eastAsia="Arial" w:hAnsi="Arial" w:cs="Arial"/>
          <w:sz w:val="18"/>
          <w:szCs w:val="18"/>
        </w:rPr>
        <w:t>In addition, such adjustments are estimates and may not prove to be accurate.</w:t>
      </w:r>
    </w:p>
    <w:p w14:paraId="5A009C8F" w14:textId="77777777" w:rsidR="00D1587D" w:rsidRDefault="00D1587D">
      <w:pPr>
        <w:spacing w:line="103" w:lineRule="exact"/>
        <w:rPr>
          <w:sz w:val="20"/>
          <w:szCs w:val="20"/>
        </w:rPr>
      </w:pPr>
    </w:p>
    <w:p w14:paraId="64830ADD" w14:textId="77777777" w:rsidR="00D1587D" w:rsidRDefault="00410D07">
      <w:pPr>
        <w:spacing w:line="259" w:lineRule="auto"/>
        <w:ind w:left="300" w:right="379" w:firstLine="360"/>
        <w:rPr>
          <w:sz w:val="20"/>
          <w:szCs w:val="20"/>
        </w:rPr>
      </w:pPr>
      <w:r>
        <w:rPr>
          <w:rFonts w:ascii="Arial" w:eastAsia="Arial" w:hAnsi="Arial" w:cs="Arial"/>
          <w:sz w:val="18"/>
          <w:szCs w:val="18"/>
        </w:rPr>
        <w:t>You should read the information in the following table together with “Selected Historical Combined Financial Data,” “Managem</w:t>
      </w:r>
      <w:r>
        <w:rPr>
          <w:rFonts w:ascii="Arial" w:eastAsia="Arial" w:hAnsi="Arial" w:cs="Arial"/>
          <w:sz w:val="18"/>
          <w:szCs w:val="18"/>
        </w:rPr>
        <w:t>ent’s Discussion and Analysis of Financial Condition and Results of Operations,” “Unaudited Pro Forma Combined Financial Statements” and our historical combined financial statements and the related notes included elsewhere in this information statement.</w:t>
      </w:r>
    </w:p>
    <w:p w14:paraId="1244B63A" w14:textId="77777777" w:rsidR="00D1587D" w:rsidRDefault="00D1587D">
      <w:pPr>
        <w:spacing w:line="79" w:lineRule="exact"/>
        <w:rPr>
          <w:sz w:val="20"/>
          <w:szCs w:val="20"/>
        </w:rPr>
      </w:pPr>
    </w:p>
    <w:p w14:paraId="710F7ECC" w14:textId="77777777" w:rsidR="00D1587D" w:rsidRDefault="00410D07">
      <w:pPr>
        <w:spacing w:line="259" w:lineRule="auto"/>
        <w:ind w:left="300" w:right="359" w:firstLine="360"/>
        <w:rPr>
          <w:sz w:val="20"/>
          <w:szCs w:val="20"/>
        </w:rPr>
      </w:pPr>
      <w:r>
        <w:rPr>
          <w:rFonts w:ascii="Arial" w:eastAsia="Arial" w:hAnsi="Arial" w:cs="Arial"/>
          <w:sz w:val="18"/>
          <w:szCs w:val="18"/>
        </w:rPr>
        <w:t>W</w:t>
      </w:r>
      <w:r>
        <w:rPr>
          <w:rFonts w:ascii="Arial" w:eastAsia="Arial" w:hAnsi="Arial" w:cs="Arial"/>
          <w:sz w:val="18"/>
          <w:szCs w:val="18"/>
        </w:rPr>
        <w:t>e are providing the capitalization table for information purposes only. The capitalization table below may not reflect the capitalization or financial condition that would have resulted had we been operating as an independent, publicly traded company on Ma</w:t>
      </w:r>
      <w:r>
        <w:rPr>
          <w:rFonts w:ascii="Arial" w:eastAsia="Arial" w:hAnsi="Arial" w:cs="Arial"/>
          <w:sz w:val="18"/>
          <w:szCs w:val="18"/>
        </w:rPr>
        <w:t>y 1, 2021 and is not necessarily indicative of our future capitalization or financial condition.</w:t>
      </w:r>
    </w:p>
    <w:p w14:paraId="7A804CFF" w14:textId="77777777" w:rsidR="00D1587D" w:rsidRDefault="00D1587D">
      <w:pPr>
        <w:spacing w:line="151"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3360"/>
        <w:gridCol w:w="1860"/>
        <w:gridCol w:w="1760"/>
        <w:gridCol w:w="240"/>
        <w:gridCol w:w="520"/>
        <w:gridCol w:w="100"/>
        <w:gridCol w:w="340"/>
        <w:gridCol w:w="420"/>
      </w:tblGrid>
      <w:tr w:rsidR="00D1587D" w14:paraId="7910281A" w14:textId="77777777">
        <w:trPr>
          <w:trHeight w:val="186"/>
        </w:trPr>
        <w:tc>
          <w:tcPr>
            <w:tcW w:w="3360" w:type="dxa"/>
            <w:vAlign w:val="bottom"/>
          </w:tcPr>
          <w:p w14:paraId="2716BA44" w14:textId="77777777" w:rsidR="00D1587D" w:rsidRDefault="00D1587D">
            <w:pPr>
              <w:rPr>
                <w:sz w:val="16"/>
                <w:szCs w:val="16"/>
              </w:rPr>
            </w:pPr>
          </w:p>
        </w:tc>
        <w:tc>
          <w:tcPr>
            <w:tcW w:w="1860" w:type="dxa"/>
            <w:vAlign w:val="bottom"/>
          </w:tcPr>
          <w:p w14:paraId="2DF47E46" w14:textId="77777777" w:rsidR="00D1587D" w:rsidRDefault="00D1587D">
            <w:pPr>
              <w:rPr>
                <w:sz w:val="16"/>
                <w:szCs w:val="16"/>
              </w:rPr>
            </w:pPr>
          </w:p>
        </w:tc>
        <w:tc>
          <w:tcPr>
            <w:tcW w:w="1760" w:type="dxa"/>
            <w:vAlign w:val="bottom"/>
          </w:tcPr>
          <w:p w14:paraId="179D066B" w14:textId="77777777" w:rsidR="00D1587D" w:rsidRDefault="00D1587D">
            <w:pPr>
              <w:rPr>
                <w:sz w:val="16"/>
                <w:szCs w:val="16"/>
              </w:rPr>
            </w:pPr>
          </w:p>
        </w:tc>
        <w:tc>
          <w:tcPr>
            <w:tcW w:w="240" w:type="dxa"/>
            <w:vAlign w:val="bottom"/>
          </w:tcPr>
          <w:p w14:paraId="7E0BF92E" w14:textId="77777777" w:rsidR="00D1587D" w:rsidRDefault="00D1587D">
            <w:pPr>
              <w:rPr>
                <w:sz w:val="16"/>
                <w:szCs w:val="16"/>
              </w:rPr>
            </w:pPr>
          </w:p>
        </w:tc>
        <w:tc>
          <w:tcPr>
            <w:tcW w:w="1380" w:type="dxa"/>
            <w:gridSpan w:val="4"/>
            <w:vAlign w:val="bottom"/>
          </w:tcPr>
          <w:p w14:paraId="2C635066" w14:textId="77777777" w:rsidR="00D1587D" w:rsidRDefault="00410D07">
            <w:pPr>
              <w:ind w:right="150"/>
              <w:jc w:val="center"/>
              <w:rPr>
                <w:sz w:val="20"/>
                <w:szCs w:val="20"/>
              </w:rPr>
            </w:pPr>
            <w:r>
              <w:rPr>
                <w:rFonts w:ascii="Arial" w:eastAsia="Arial" w:hAnsi="Arial" w:cs="Arial"/>
                <w:b/>
                <w:bCs/>
                <w:w w:val="94"/>
                <w:sz w:val="14"/>
                <w:szCs w:val="14"/>
              </w:rPr>
              <w:t>As of May 1, 2021</w:t>
            </w:r>
          </w:p>
        </w:tc>
      </w:tr>
      <w:tr w:rsidR="00D1587D" w14:paraId="699CF94E" w14:textId="77777777">
        <w:trPr>
          <w:trHeight w:val="53"/>
        </w:trPr>
        <w:tc>
          <w:tcPr>
            <w:tcW w:w="3360" w:type="dxa"/>
            <w:vAlign w:val="bottom"/>
          </w:tcPr>
          <w:p w14:paraId="7BDF5F7C" w14:textId="77777777" w:rsidR="00D1587D" w:rsidRDefault="00D1587D">
            <w:pPr>
              <w:rPr>
                <w:sz w:val="4"/>
                <w:szCs w:val="4"/>
              </w:rPr>
            </w:pPr>
          </w:p>
        </w:tc>
        <w:tc>
          <w:tcPr>
            <w:tcW w:w="1860" w:type="dxa"/>
            <w:vAlign w:val="bottom"/>
          </w:tcPr>
          <w:p w14:paraId="435F0392" w14:textId="77777777" w:rsidR="00D1587D" w:rsidRDefault="00D1587D">
            <w:pPr>
              <w:rPr>
                <w:sz w:val="4"/>
                <w:szCs w:val="4"/>
              </w:rPr>
            </w:pPr>
          </w:p>
        </w:tc>
        <w:tc>
          <w:tcPr>
            <w:tcW w:w="1760" w:type="dxa"/>
            <w:vAlign w:val="bottom"/>
          </w:tcPr>
          <w:p w14:paraId="2F18C4B1" w14:textId="77777777" w:rsidR="00D1587D" w:rsidRDefault="00D1587D">
            <w:pPr>
              <w:rPr>
                <w:sz w:val="4"/>
                <w:szCs w:val="4"/>
              </w:rPr>
            </w:pPr>
          </w:p>
        </w:tc>
        <w:tc>
          <w:tcPr>
            <w:tcW w:w="860" w:type="dxa"/>
            <w:gridSpan w:val="3"/>
            <w:tcBorders>
              <w:bottom w:val="single" w:sz="8" w:space="0" w:color="auto"/>
            </w:tcBorders>
            <w:vAlign w:val="bottom"/>
          </w:tcPr>
          <w:p w14:paraId="643E8D2B" w14:textId="77777777" w:rsidR="00D1587D" w:rsidRDefault="00D1587D">
            <w:pPr>
              <w:rPr>
                <w:sz w:val="4"/>
                <w:szCs w:val="4"/>
              </w:rPr>
            </w:pPr>
          </w:p>
        </w:tc>
        <w:tc>
          <w:tcPr>
            <w:tcW w:w="760" w:type="dxa"/>
            <w:gridSpan w:val="2"/>
            <w:tcBorders>
              <w:bottom w:val="single" w:sz="8" w:space="0" w:color="auto"/>
            </w:tcBorders>
            <w:vAlign w:val="bottom"/>
          </w:tcPr>
          <w:p w14:paraId="4EBAA6C7" w14:textId="77777777" w:rsidR="00D1587D" w:rsidRDefault="00D1587D">
            <w:pPr>
              <w:rPr>
                <w:sz w:val="4"/>
                <w:szCs w:val="4"/>
              </w:rPr>
            </w:pPr>
          </w:p>
        </w:tc>
      </w:tr>
      <w:tr w:rsidR="00D1587D" w14:paraId="4928D3DE" w14:textId="77777777">
        <w:trPr>
          <w:trHeight w:val="187"/>
        </w:trPr>
        <w:tc>
          <w:tcPr>
            <w:tcW w:w="3360" w:type="dxa"/>
            <w:vAlign w:val="bottom"/>
          </w:tcPr>
          <w:p w14:paraId="46151D72" w14:textId="77777777" w:rsidR="00D1587D" w:rsidRDefault="00D1587D">
            <w:pPr>
              <w:rPr>
                <w:sz w:val="16"/>
                <w:szCs w:val="16"/>
              </w:rPr>
            </w:pPr>
          </w:p>
        </w:tc>
        <w:tc>
          <w:tcPr>
            <w:tcW w:w="1860" w:type="dxa"/>
            <w:vAlign w:val="bottom"/>
          </w:tcPr>
          <w:p w14:paraId="33177EC6" w14:textId="77777777" w:rsidR="00D1587D" w:rsidRDefault="00D1587D">
            <w:pPr>
              <w:rPr>
                <w:sz w:val="16"/>
                <w:szCs w:val="16"/>
              </w:rPr>
            </w:pPr>
          </w:p>
        </w:tc>
        <w:tc>
          <w:tcPr>
            <w:tcW w:w="1760" w:type="dxa"/>
            <w:vAlign w:val="bottom"/>
          </w:tcPr>
          <w:p w14:paraId="27673C09" w14:textId="77777777" w:rsidR="00D1587D" w:rsidRDefault="00D1587D">
            <w:pPr>
              <w:rPr>
                <w:sz w:val="16"/>
                <w:szCs w:val="16"/>
              </w:rPr>
            </w:pPr>
          </w:p>
        </w:tc>
        <w:tc>
          <w:tcPr>
            <w:tcW w:w="860" w:type="dxa"/>
            <w:gridSpan w:val="3"/>
            <w:vAlign w:val="bottom"/>
          </w:tcPr>
          <w:p w14:paraId="3E76F166" w14:textId="77777777" w:rsidR="00D1587D" w:rsidRDefault="00410D07">
            <w:pPr>
              <w:ind w:right="100"/>
              <w:jc w:val="center"/>
              <w:rPr>
                <w:sz w:val="20"/>
                <w:szCs w:val="20"/>
              </w:rPr>
            </w:pPr>
            <w:r>
              <w:rPr>
                <w:rFonts w:ascii="Arial" w:eastAsia="Arial" w:hAnsi="Arial" w:cs="Arial"/>
                <w:b/>
                <w:bCs/>
                <w:w w:val="93"/>
                <w:sz w:val="14"/>
                <w:szCs w:val="14"/>
              </w:rPr>
              <w:t>Actual</w:t>
            </w:r>
          </w:p>
        </w:tc>
        <w:tc>
          <w:tcPr>
            <w:tcW w:w="760" w:type="dxa"/>
            <w:gridSpan w:val="2"/>
            <w:vAlign w:val="bottom"/>
          </w:tcPr>
          <w:p w14:paraId="74179E82" w14:textId="77777777" w:rsidR="00D1587D" w:rsidRDefault="00410D07">
            <w:pPr>
              <w:jc w:val="right"/>
              <w:rPr>
                <w:sz w:val="20"/>
                <w:szCs w:val="20"/>
              </w:rPr>
            </w:pPr>
            <w:r>
              <w:rPr>
                <w:rFonts w:ascii="Arial" w:eastAsia="Arial" w:hAnsi="Arial" w:cs="Arial"/>
                <w:b/>
                <w:bCs/>
                <w:w w:val="97"/>
                <w:sz w:val="14"/>
                <w:szCs w:val="14"/>
              </w:rPr>
              <w:t>Pro Forma</w:t>
            </w:r>
          </w:p>
        </w:tc>
      </w:tr>
      <w:tr w:rsidR="00D1587D" w14:paraId="594115D8" w14:textId="77777777">
        <w:trPr>
          <w:trHeight w:val="186"/>
        </w:trPr>
        <w:tc>
          <w:tcPr>
            <w:tcW w:w="3360" w:type="dxa"/>
            <w:vAlign w:val="bottom"/>
          </w:tcPr>
          <w:p w14:paraId="3E54C231" w14:textId="77777777" w:rsidR="00D1587D" w:rsidRDefault="00D1587D">
            <w:pPr>
              <w:rPr>
                <w:sz w:val="16"/>
                <w:szCs w:val="16"/>
              </w:rPr>
            </w:pPr>
          </w:p>
        </w:tc>
        <w:tc>
          <w:tcPr>
            <w:tcW w:w="1860" w:type="dxa"/>
            <w:vAlign w:val="bottom"/>
          </w:tcPr>
          <w:p w14:paraId="54AAA3C5" w14:textId="77777777" w:rsidR="00D1587D" w:rsidRDefault="00D1587D">
            <w:pPr>
              <w:rPr>
                <w:sz w:val="16"/>
                <w:szCs w:val="16"/>
              </w:rPr>
            </w:pPr>
          </w:p>
        </w:tc>
        <w:tc>
          <w:tcPr>
            <w:tcW w:w="1760" w:type="dxa"/>
            <w:vAlign w:val="bottom"/>
          </w:tcPr>
          <w:p w14:paraId="3159B1D5" w14:textId="77777777" w:rsidR="00D1587D" w:rsidRDefault="00D1587D">
            <w:pPr>
              <w:rPr>
                <w:sz w:val="16"/>
                <w:szCs w:val="16"/>
              </w:rPr>
            </w:pPr>
          </w:p>
        </w:tc>
        <w:tc>
          <w:tcPr>
            <w:tcW w:w="860" w:type="dxa"/>
            <w:gridSpan w:val="3"/>
            <w:vAlign w:val="bottom"/>
          </w:tcPr>
          <w:p w14:paraId="5907F61E" w14:textId="77777777" w:rsidR="00D1587D" w:rsidRDefault="00410D07">
            <w:pPr>
              <w:ind w:right="80"/>
              <w:jc w:val="center"/>
              <w:rPr>
                <w:sz w:val="20"/>
                <w:szCs w:val="20"/>
              </w:rPr>
            </w:pPr>
            <w:r>
              <w:rPr>
                <w:rFonts w:ascii="Arial" w:eastAsia="Arial" w:hAnsi="Arial" w:cs="Arial"/>
                <w:b/>
                <w:bCs/>
                <w:w w:val="95"/>
                <w:sz w:val="14"/>
                <w:szCs w:val="14"/>
              </w:rPr>
              <w:t>(Unaudited)</w:t>
            </w:r>
          </w:p>
        </w:tc>
        <w:tc>
          <w:tcPr>
            <w:tcW w:w="760" w:type="dxa"/>
            <w:gridSpan w:val="2"/>
            <w:vAlign w:val="bottom"/>
          </w:tcPr>
          <w:p w14:paraId="2179D084" w14:textId="77777777" w:rsidR="00D1587D" w:rsidRDefault="00410D07">
            <w:pPr>
              <w:jc w:val="right"/>
              <w:rPr>
                <w:sz w:val="20"/>
                <w:szCs w:val="20"/>
              </w:rPr>
            </w:pPr>
            <w:r>
              <w:rPr>
                <w:rFonts w:ascii="Arial" w:eastAsia="Arial" w:hAnsi="Arial" w:cs="Arial"/>
                <w:b/>
                <w:bCs/>
                <w:w w:val="95"/>
                <w:sz w:val="14"/>
                <w:szCs w:val="14"/>
              </w:rPr>
              <w:t>(Unaudited)</w:t>
            </w:r>
          </w:p>
        </w:tc>
      </w:tr>
      <w:tr w:rsidR="00D1587D" w14:paraId="589C43F1" w14:textId="77777777">
        <w:trPr>
          <w:trHeight w:val="53"/>
        </w:trPr>
        <w:tc>
          <w:tcPr>
            <w:tcW w:w="3360" w:type="dxa"/>
            <w:vAlign w:val="bottom"/>
          </w:tcPr>
          <w:p w14:paraId="30EFDAA8" w14:textId="77777777" w:rsidR="00D1587D" w:rsidRDefault="00D1587D">
            <w:pPr>
              <w:rPr>
                <w:sz w:val="4"/>
                <w:szCs w:val="4"/>
              </w:rPr>
            </w:pPr>
          </w:p>
        </w:tc>
        <w:tc>
          <w:tcPr>
            <w:tcW w:w="1860" w:type="dxa"/>
            <w:vAlign w:val="bottom"/>
          </w:tcPr>
          <w:p w14:paraId="7CA43B0A" w14:textId="77777777" w:rsidR="00D1587D" w:rsidRDefault="00D1587D">
            <w:pPr>
              <w:rPr>
                <w:sz w:val="4"/>
                <w:szCs w:val="4"/>
              </w:rPr>
            </w:pPr>
          </w:p>
        </w:tc>
        <w:tc>
          <w:tcPr>
            <w:tcW w:w="1760" w:type="dxa"/>
            <w:vAlign w:val="bottom"/>
          </w:tcPr>
          <w:p w14:paraId="4379F0EF" w14:textId="77777777" w:rsidR="00D1587D" w:rsidRDefault="00D1587D">
            <w:pPr>
              <w:rPr>
                <w:sz w:val="4"/>
                <w:szCs w:val="4"/>
              </w:rPr>
            </w:pPr>
          </w:p>
        </w:tc>
        <w:tc>
          <w:tcPr>
            <w:tcW w:w="240" w:type="dxa"/>
            <w:tcBorders>
              <w:bottom w:val="single" w:sz="8" w:space="0" w:color="auto"/>
            </w:tcBorders>
            <w:vAlign w:val="bottom"/>
          </w:tcPr>
          <w:p w14:paraId="381CD5DE" w14:textId="77777777" w:rsidR="00D1587D" w:rsidRDefault="00D1587D">
            <w:pPr>
              <w:rPr>
                <w:sz w:val="4"/>
                <w:szCs w:val="4"/>
              </w:rPr>
            </w:pPr>
          </w:p>
        </w:tc>
        <w:tc>
          <w:tcPr>
            <w:tcW w:w="960" w:type="dxa"/>
            <w:gridSpan w:val="3"/>
            <w:tcBorders>
              <w:bottom w:val="single" w:sz="8" w:space="0" w:color="auto"/>
            </w:tcBorders>
            <w:vAlign w:val="bottom"/>
          </w:tcPr>
          <w:p w14:paraId="454585B5" w14:textId="77777777" w:rsidR="00D1587D" w:rsidRDefault="00D1587D">
            <w:pPr>
              <w:rPr>
                <w:sz w:val="4"/>
                <w:szCs w:val="4"/>
              </w:rPr>
            </w:pPr>
          </w:p>
        </w:tc>
        <w:tc>
          <w:tcPr>
            <w:tcW w:w="420" w:type="dxa"/>
            <w:tcBorders>
              <w:bottom w:val="single" w:sz="8" w:space="0" w:color="auto"/>
            </w:tcBorders>
            <w:vAlign w:val="bottom"/>
          </w:tcPr>
          <w:p w14:paraId="1727455A" w14:textId="77777777" w:rsidR="00D1587D" w:rsidRDefault="00D1587D">
            <w:pPr>
              <w:rPr>
                <w:sz w:val="4"/>
                <w:szCs w:val="4"/>
              </w:rPr>
            </w:pPr>
          </w:p>
        </w:tc>
      </w:tr>
      <w:tr w:rsidR="00D1587D" w14:paraId="5F63C6E8" w14:textId="77777777">
        <w:trPr>
          <w:trHeight w:val="224"/>
        </w:trPr>
        <w:tc>
          <w:tcPr>
            <w:tcW w:w="3360" w:type="dxa"/>
            <w:vAlign w:val="bottom"/>
          </w:tcPr>
          <w:p w14:paraId="7DE761DE" w14:textId="77777777" w:rsidR="00D1587D" w:rsidRDefault="00D1587D">
            <w:pPr>
              <w:rPr>
                <w:sz w:val="19"/>
                <w:szCs w:val="19"/>
              </w:rPr>
            </w:pPr>
          </w:p>
        </w:tc>
        <w:tc>
          <w:tcPr>
            <w:tcW w:w="1860" w:type="dxa"/>
            <w:vAlign w:val="bottom"/>
          </w:tcPr>
          <w:p w14:paraId="30A28260" w14:textId="77777777" w:rsidR="00D1587D" w:rsidRDefault="00D1587D">
            <w:pPr>
              <w:rPr>
                <w:sz w:val="19"/>
                <w:szCs w:val="19"/>
              </w:rPr>
            </w:pPr>
          </w:p>
        </w:tc>
        <w:tc>
          <w:tcPr>
            <w:tcW w:w="1760" w:type="dxa"/>
            <w:vAlign w:val="bottom"/>
          </w:tcPr>
          <w:p w14:paraId="6570791C" w14:textId="77777777" w:rsidR="00D1587D" w:rsidRDefault="00D1587D">
            <w:pPr>
              <w:rPr>
                <w:sz w:val="19"/>
                <w:szCs w:val="19"/>
              </w:rPr>
            </w:pPr>
          </w:p>
        </w:tc>
        <w:tc>
          <w:tcPr>
            <w:tcW w:w="240" w:type="dxa"/>
            <w:vAlign w:val="bottom"/>
          </w:tcPr>
          <w:p w14:paraId="26E31804" w14:textId="77777777" w:rsidR="00D1587D" w:rsidRDefault="00D1587D">
            <w:pPr>
              <w:rPr>
                <w:sz w:val="19"/>
                <w:szCs w:val="19"/>
              </w:rPr>
            </w:pPr>
          </w:p>
        </w:tc>
        <w:tc>
          <w:tcPr>
            <w:tcW w:w="960" w:type="dxa"/>
            <w:gridSpan w:val="3"/>
            <w:vAlign w:val="bottom"/>
          </w:tcPr>
          <w:p w14:paraId="711D1A0E" w14:textId="77777777" w:rsidR="00D1587D" w:rsidRDefault="00410D07">
            <w:pPr>
              <w:ind w:left="94"/>
              <w:jc w:val="center"/>
              <w:rPr>
                <w:sz w:val="20"/>
                <w:szCs w:val="20"/>
              </w:rPr>
            </w:pPr>
            <w:r>
              <w:rPr>
                <w:rFonts w:ascii="Arial" w:eastAsia="Arial" w:hAnsi="Arial" w:cs="Arial"/>
                <w:b/>
                <w:bCs/>
                <w:w w:val="94"/>
                <w:sz w:val="14"/>
                <w:szCs w:val="14"/>
              </w:rPr>
              <w:t>(in millions)</w:t>
            </w:r>
          </w:p>
        </w:tc>
        <w:tc>
          <w:tcPr>
            <w:tcW w:w="420" w:type="dxa"/>
            <w:vAlign w:val="bottom"/>
          </w:tcPr>
          <w:p w14:paraId="047D8BAB" w14:textId="77777777" w:rsidR="00D1587D" w:rsidRDefault="00D1587D">
            <w:pPr>
              <w:rPr>
                <w:sz w:val="19"/>
                <w:szCs w:val="19"/>
              </w:rPr>
            </w:pPr>
          </w:p>
        </w:tc>
      </w:tr>
      <w:tr w:rsidR="00D1587D" w14:paraId="43ED1E89" w14:textId="77777777">
        <w:trPr>
          <w:trHeight w:val="53"/>
        </w:trPr>
        <w:tc>
          <w:tcPr>
            <w:tcW w:w="3360" w:type="dxa"/>
            <w:vAlign w:val="bottom"/>
          </w:tcPr>
          <w:p w14:paraId="11D29D6F" w14:textId="77777777" w:rsidR="00D1587D" w:rsidRDefault="00D1587D">
            <w:pPr>
              <w:rPr>
                <w:sz w:val="4"/>
                <w:szCs w:val="4"/>
              </w:rPr>
            </w:pPr>
          </w:p>
        </w:tc>
        <w:tc>
          <w:tcPr>
            <w:tcW w:w="1860" w:type="dxa"/>
            <w:vAlign w:val="bottom"/>
          </w:tcPr>
          <w:p w14:paraId="57EE550F" w14:textId="77777777" w:rsidR="00D1587D" w:rsidRDefault="00D1587D">
            <w:pPr>
              <w:rPr>
                <w:sz w:val="4"/>
                <w:szCs w:val="4"/>
              </w:rPr>
            </w:pPr>
          </w:p>
        </w:tc>
        <w:tc>
          <w:tcPr>
            <w:tcW w:w="1760" w:type="dxa"/>
            <w:vAlign w:val="bottom"/>
          </w:tcPr>
          <w:p w14:paraId="6D4200F4" w14:textId="77777777" w:rsidR="00D1587D" w:rsidRDefault="00D1587D">
            <w:pPr>
              <w:rPr>
                <w:sz w:val="4"/>
                <w:szCs w:val="4"/>
              </w:rPr>
            </w:pPr>
          </w:p>
        </w:tc>
        <w:tc>
          <w:tcPr>
            <w:tcW w:w="240" w:type="dxa"/>
            <w:vAlign w:val="bottom"/>
          </w:tcPr>
          <w:p w14:paraId="182B8F0C" w14:textId="77777777" w:rsidR="00D1587D" w:rsidRDefault="00D1587D">
            <w:pPr>
              <w:rPr>
                <w:sz w:val="4"/>
                <w:szCs w:val="4"/>
              </w:rPr>
            </w:pPr>
          </w:p>
        </w:tc>
        <w:tc>
          <w:tcPr>
            <w:tcW w:w="520" w:type="dxa"/>
            <w:vAlign w:val="bottom"/>
          </w:tcPr>
          <w:p w14:paraId="5A1B8351" w14:textId="77777777" w:rsidR="00D1587D" w:rsidRDefault="00D1587D">
            <w:pPr>
              <w:rPr>
                <w:sz w:val="4"/>
                <w:szCs w:val="4"/>
              </w:rPr>
            </w:pPr>
          </w:p>
        </w:tc>
        <w:tc>
          <w:tcPr>
            <w:tcW w:w="100" w:type="dxa"/>
            <w:vAlign w:val="bottom"/>
          </w:tcPr>
          <w:p w14:paraId="6C89B0F6" w14:textId="77777777" w:rsidR="00D1587D" w:rsidRDefault="00D1587D">
            <w:pPr>
              <w:rPr>
                <w:sz w:val="4"/>
                <w:szCs w:val="4"/>
              </w:rPr>
            </w:pPr>
          </w:p>
        </w:tc>
        <w:tc>
          <w:tcPr>
            <w:tcW w:w="340" w:type="dxa"/>
            <w:vAlign w:val="bottom"/>
          </w:tcPr>
          <w:p w14:paraId="7956B4D7" w14:textId="77777777" w:rsidR="00D1587D" w:rsidRDefault="00D1587D">
            <w:pPr>
              <w:rPr>
                <w:sz w:val="4"/>
                <w:szCs w:val="4"/>
              </w:rPr>
            </w:pPr>
          </w:p>
        </w:tc>
        <w:tc>
          <w:tcPr>
            <w:tcW w:w="420" w:type="dxa"/>
            <w:vAlign w:val="bottom"/>
          </w:tcPr>
          <w:p w14:paraId="0E649677" w14:textId="77777777" w:rsidR="00D1587D" w:rsidRDefault="00D1587D">
            <w:pPr>
              <w:rPr>
                <w:sz w:val="4"/>
                <w:szCs w:val="4"/>
              </w:rPr>
            </w:pPr>
          </w:p>
        </w:tc>
      </w:tr>
      <w:tr w:rsidR="00D1587D" w14:paraId="76160B47" w14:textId="77777777">
        <w:trPr>
          <w:trHeight w:val="351"/>
        </w:trPr>
        <w:tc>
          <w:tcPr>
            <w:tcW w:w="3360" w:type="dxa"/>
            <w:shd w:val="clear" w:color="auto" w:fill="CCEEFF"/>
            <w:vAlign w:val="bottom"/>
          </w:tcPr>
          <w:p w14:paraId="7AB9364C" w14:textId="77777777" w:rsidR="00D1587D" w:rsidRDefault="00410D07">
            <w:pPr>
              <w:rPr>
                <w:sz w:val="20"/>
                <w:szCs w:val="20"/>
              </w:rPr>
            </w:pPr>
            <w:r>
              <w:rPr>
                <w:rFonts w:ascii="Arial" w:eastAsia="Arial" w:hAnsi="Arial" w:cs="Arial"/>
                <w:sz w:val="18"/>
                <w:szCs w:val="18"/>
              </w:rPr>
              <w:t>Cash and cash equivalents</w:t>
            </w:r>
            <w:r>
              <w:rPr>
                <w:rFonts w:ascii="Arial" w:eastAsia="Arial" w:hAnsi="Arial" w:cs="Arial"/>
                <w:sz w:val="29"/>
                <w:szCs w:val="29"/>
                <w:vertAlign w:val="superscript"/>
              </w:rPr>
              <w:t>(1)</w:t>
            </w:r>
          </w:p>
        </w:tc>
        <w:tc>
          <w:tcPr>
            <w:tcW w:w="1860" w:type="dxa"/>
            <w:shd w:val="clear" w:color="auto" w:fill="CCEEFF"/>
            <w:vAlign w:val="bottom"/>
          </w:tcPr>
          <w:p w14:paraId="2E64FB38" w14:textId="77777777" w:rsidR="00D1587D" w:rsidRDefault="00D1587D">
            <w:pPr>
              <w:rPr>
                <w:sz w:val="24"/>
                <w:szCs w:val="24"/>
              </w:rPr>
            </w:pPr>
          </w:p>
        </w:tc>
        <w:tc>
          <w:tcPr>
            <w:tcW w:w="2000" w:type="dxa"/>
            <w:gridSpan w:val="2"/>
            <w:shd w:val="clear" w:color="auto" w:fill="CCEEFF"/>
            <w:vAlign w:val="bottom"/>
          </w:tcPr>
          <w:p w14:paraId="730665B0" w14:textId="77777777" w:rsidR="00D1587D" w:rsidRDefault="00410D07">
            <w:pPr>
              <w:jc w:val="right"/>
              <w:rPr>
                <w:sz w:val="20"/>
                <w:szCs w:val="20"/>
              </w:rPr>
            </w:pPr>
            <w:r>
              <w:rPr>
                <w:rFonts w:ascii="Arial" w:eastAsia="Arial" w:hAnsi="Arial" w:cs="Arial"/>
                <w:sz w:val="18"/>
                <w:szCs w:val="18"/>
              </w:rPr>
              <w:t>$</w:t>
            </w:r>
          </w:p>
        </w:tc>
        <w:tc>
          <w:tcPr>
            <w:tcW w:w="520" w:type="dxa"/>
            <w:shd w:val="clear" w:color="auto" w:fill="CCEEFF"/>
            <w:vAlign w:val="bottom"/>
          </w:tcPr>
          <w:p w14:paraId="577802AD" w14:textId="77777777" w:rsidR="00D1587D" w:rsidRDefault="00410D07">
            <w:pPr>
              <w:ind w:right="54"/>
              <w:jc w:val="right"/>
              <w:rPr>
                <w:sz w:val="20"/>
                <w:szCs w:val="20"/>
              </w:rPr>
            </w:pPr>
            <w:r>
              <w:rPr>
                <w:rFonts w:ascii="Arial" w:eastAsia="Arial" w:hAnsi="Arial" w:cs="Arial"/>
                <w:sz w:val="18"/>
                <w:szCs w:val="18"/>
              </w:rPr>
              <w:t>332</w:t>
            </w:r>
          </w:p>
        </w:tc>
        <w:tc>
          <w:tcPr>
            <w:tcW w:w="100" w:type="dxa"/>
            <w:shd w:val="clear" w:color="auto" w:fill="CCEEFF"/>
            <w:vAlign w:val="bottom"/>
          </w:tcPr>
          <w:p w14:paraId="320B9CDC" w14:textId="77777777" w:rsidR="00D1587D" w:rsidRDefault="00D1587D">
            <w:pPr>
              <w:rPr>
                <w:sz w:val="24"/>
                <w:szCs w:val="24"/>
              </w:rPr>
            </w:pPr>
          </w:p>
        </w:tc>
        <w:tc>
          <w:tcPr>
            <w:tcW w:w="340" w:type="dxa"/>
            <w:shd w:val="clear" w:color="auto" w:fill="CCEEFF"/>
            <w:vAlign w:val="bottom"/>
          </w:tcPr>
          <w:p w14:paraId="028D80FD" w14:textId="77777777" w:rsidR="00D1587D" w:rsidRDefault="00410D07">
            <w:pPr>
              <w:ind w:right="39"/>
              <w:jc w:val="right"/>
              <w:rPr>
                <w:sz w:val="20"/>
                <w:szCs w:val="20"/>
              </w:rPr>
            </w:pPr>
            <w:r>
              <w:rPr>
                <w:rFonts w:ascii="Arial" w:eastAsia="Arial" w:hAnsi="Arial" w:cs="Arial"/>
                <w:sz w:val="18"/>
                <w:szCs w:val="18"/>
              </w:rPr>
              <w:t>$</w:t>
            </w:r>
          </w:p>
        </w:tc>
        <w:tc>
          <w:tcPr>
            <w:tcW w:w="420" w:type="dxa"/>
            <w:shd w:val="clear" w:color="auto" w:fill="CCEEFF"/>
            <w:vAlign w:val="bottom"/>
          </w:tcPr>
          <w:p w14:paraId="099A0DF4" w14:textId="77777777" w:rsidR="00D1587D" w:rsidRDefault="00410D07">
            <w:pPr>
              <w:ind w:right="50"/>
              <w:jc w:val="right"/>
              <w:rPr>
                <w:sz w:val="20"/>
                <w:szCs w:val="20"/>
              </w:rPr>
            </w:pPr>
            <w:r>
              <w:rPr>
                <w:rFonts w:ascii="Arial" w:eastAsia="Arial" w:hAnsi="Arial" w:cs="Arial"/>
                <w:w w:val="86"/>
                <w:sz w:val="18"/>
                <w:szCs w:val="18"/>
              </w:rPr>
              <w:t>250</w:t>
            </w:r>
          </w:p>
        </w:tc>
      </w:tr>
      <w:tr w:rsidR="00D1587D" w14:paraId="082DD9A1" w14:textId="77777777">
        <w:trPr>
          <w:trHeight w:val="277"/>
        </w:trPr>
        <w:tc>
          <w:tcPr>
            <w:tcW w:w="3360" w:type="dxa"/>
            <w:vAlign w:val="bottom"/>
          </w:tcPr>
          <w:p w14:paraId="46BB981F" w14:textId="77777777" w:rsidR="00D1587D" w:rsidRDefault="00410D07">
            <w:pPr>
              <w:rPr>
                <w:sz w:val="20"/>
                <w:szCs w:val="20"/>
              </w:rPr>
            </w:pPr>
            <w:r>
              <w:rPr>
                <w:rFonts w:ascii="Arial" w:eastAsia="Arial" w:hAnsi="Arial" w:cs="Arial"/>
                <w:sz w:val="18"/>
                <w:szCs w:val="18"/>
              </w:rPr>
              <w:t>Indebtedness:</w:t>
            </w:r>
          </w:p>
        </w:tc>
        <w:tc>
          <w:tcPr>
            <w:tcW w:w="1860" w:type="dxa"/>
            <w:vAlign w:val="bottom"/>
          </w:tcPr>
          <w:p w14:paraId="25C7B933" w14:textId="77777777" w:rsidR="00D1587D" w:rsidRDefault="00D1587D">
            <w:pPr>
              <w:rPr>
                <w:sz w:val="24"/>
                <w:szCs w:val="24"/>
              </w:rPr>
            </w:pPr>
          </w:p>
        </w:tc>
        <w:tc>
          <w:tcPr>
            <w:tcW w:w="1760" w:type="dxa"/>
            <w:vAlign w:val="bottom"/>
          </w:tcPr>
          <w:p w14:paraId="7A18AE7E" w14:textId="77777777" w:rsidR="00D1587D" w:rsidRDefault="00D1587D">
            <w:pPr>
              <w:rPr>
                <w:sz w:val="24"/>
                <w:szCs w:val="24"/>
              </w:rPr>
            </w:pPr>
          </w:p>
        </w:tc>
        <w:tc>
          <w:tcPr>
            <w:tcW w:w="240" w:type="dxa"/>
            <w:tcBorders>
              <w:top w:val="single" w:sz="8" w:space="0" w:color="auto"/>
            </w:tcBorders>
            <w:vAlign w:val="bottom"/>
          </w:tcPr>
          <w:p w14:paraId="1FEB173B" w14:textId="77777777" w:rsidR="00D1587D" w:rsidRDefault="00D1587D">
            <w:pPr>
              <w:rPr>
                <w:sz w:val="24"/>
                <w:szCs w:val="24"/>
              </w:rPr>
            </w:pPr>
          </w:p>
        </w:tc>
        <w:tc>
          <w:tcPr>
            <w:tcW w:w="520" w:type="dxa"/>
            <w:tcBorders>
              <w:top w:val="single" w:sz="8" w:space="0" w:color="auto"/>
            </w:tcBorders>
            <w:vAlign w:val="bottom"/>
          </w:tcPr>
          <w:p w14:paraId="18E6E4DD" w14:textId="77777777" w:rsidR="00D1587D" w:rsidRDefault="00D1587D">
            <w:pPr>
              <w:rPr>
                <w:sz w:val="24"/>
                <w:szCs w:val="24"/>
              </w:rPr>
            </w:pPr>
          </w:p>
        </w:tc>
        <w:tc>
          <w:tcPr>
            <w:tcW w:w="100" w:type="dxa"/>
            <w:tcBorders>
              <w:top w:val="single" w:sz="8" w:space="0" w:color="CCEEFF"/>
            </w:tcBorders>
            <w:vAlign w:val="bottom"/>
          </w:tcPr>
          <w:p w14:paraId="6CE6AF20" w14:textId="77777777" w:rsidR="00D1587D" w:rsidRDefault="00D1587D">
            <w:pPr>
              <w:rPr>
                <w:sz w:val="24"/>
                <w:szCs w:val="24"/>
              </w:rPr>
            </w:pPr>
          </w:p>
        </w:tc>
        <w:tc>
          <w:tcPr>
            <w:tcW w:w="340" w:type="dxa"/>
            <w:tcBorders>
              <w:top w:val="single" w:sz="8" w:space="0" w:color="auto"/>
            </w:tcBorders>
            <w:vAlign w:val="bottom"/>
          </w:tcPr>
          <w:p w14:paraId="68D94B58" w14:textId="77777777" w:rsidR="00D1587D" w:rsidRDefault="00D1587D">
            <w:pPr>
              <w:rPr>
                <w:sz w:val="24"/>
                <w:szCs w:val="24"/>
              </w:rPr>
            </w:pPr>
          </w:p>
        </w:tc>
        <w:tc>
          <w:tcPr>
            <w:tcW w:w="420" w:type="dxa"/>
            <w:tcBorders>
              <w:top w:val="single" w:sz="8" w:space="0" w:color="auto"/>
            </w:tcBorders>
            <w:vAlign w:val="bottom"/>
          </w:tcPr>
          <w:p w14:paraId="732C5E62" w14:textId="77777777" w:rsidR="00D1587D" w:rsidRDefault="00D1587D">
            <w:pPr>
              <w:rPr>
                <w:sz w:val="24"/>
                <w:szCs w:val="24"/>
              </w:rPr>
            </w:pPr>
          </w:p>
        </w:tc>
      </w:tr>
      <w:tr w:rsidR="00D1587D" w14:paraId="214F921B" w14:textId="77777777">
        <w:trPr>
          <w:trHeight w:val="54"/>
        </w:trPr>
        <w:tc>
          <w:tcPr>
            <w:tcW w:w="3360" w:type="dxa"/>
            <w:vAlign w:val="bottom"/>
          </w:tcPr>
          <w:p w14:paraId="6202AB0F" w14:textId="77777777" w:rsidR="00D1587D" w:rsidRDefault="00D1587D">
            <w:pPr>
              <w:rPr>
                <w:sz w:val="4"/>
                <w:szCs w:val="4"/>
              </w:rPr>
            </w:pPr>
          </w:p>
        </w:tc>
        <w:tc>
          <w:tcPr>
            <w:tcW w:w="1860" w:type="dxa"/>
            <w:vAlign w:val="bottom"/>
          </w:tcPr>
          <w:p w14:paraId="1B6959C9" w14:textId="77777777" w:rsidR="00D1587D" w:rsidRDefault="00D1587D">
            <w:pPr>
              <w:rPr>
                <w:sz w:val="4"/>
                <w:szCs w:val="4"/>
              </w:rPr>
            </w:pPr>
          </w:p>
        </w:tc>
        <w:tc>
          <w:tcPr>
            <w:tcW w:w="1760" w:type="dxa"/>
            <w:vAlign w:val="bottom"/>
          </w:tcPr>
          <w:p w14:paraId="33A626BF" w14:textId="77777777" w:rsidR="00D1587D" w:rsidRDefault="00D1587D">
            <w:pPr>
              <w:rPr>
                <w:sz w:val="4"/>
                <w:szCs w:val="4"/>
              </w:rPr>
            </w:pPr>
          </w:p>
        </w:tc>
        <w:tc>
          <w:tcPr>
            <w:tcW w:w="240" w:type="dxa"/>
            <w:vAlign w:val="bottom"/>
          </w:tcPr>
          <w:p w14:paraId="0829461B" w14:textId="77777777" w:rsidR="00D1587D" w:rsidRDefault="00D1587D">
            <w:pPr>
              <w:rPr>
                <w:sz w:val="4"/>
                <w:szCs w:val="4"/>
              </w:rPr>
            </w:pPr>
          </w:p>
        </w:tc>
        <w:tc>
          <w:tcPr>
            <w:tcW w:w="520" w:type="dxa"/>
            <w:vAlign w:val="bottom"/>
          </w:tcPr>
          <w:p w14:paraId="32732FAF" w14:textId="77777777" w:rsidR="00D1587D" w:rsidRDefault="00D1587D">
            <w:pPr>
              <w:rPr>
                <w:sz w:val="4"/>
                <w:szCs w:val="4"/>
              </w:rPr>
            </w:pPr>
          </w:p>
        </w:tc>
        <w:tc>
          <w:tcPr>
            <w:tcW w:w="100" w:type="dxa"/>
            <w:vAlign w:val="bottom"/>
          </w:tcPr>
          <w:p w14:paraId="07F9170F" w14:textId="77777777" w:rsidR="00D1587D" w:rsidRDefault="00D1587D">
            <w:pPr>
              <w:rPr>
                <w:sz w:val="4"/>
                <w:szCs w:val="4"/>
              </w:rPr>
            </w:pPr>
          </w:p>
        </w:tc>
        <w:tc>
          <w:tcPr>
            <w:tcW w:w="340" w:type="dxa"/>
            <w:vAlign w:val="bottom"/>
          </w:tcPr>
          <w:p w14:paraId="79F63CB0" w14:textId="77777777" w:rsidR="00D1587D" w:rsidRDefault="00D1587D">
            <w:pPr>
              <w:rPr>
                <w:sz w:val="4"/>
                <w:szCs w:val="4"/>
              </w:rPr>
            </w:pPr>
          </w:p>
        </w:tc>
        <w:tc>
          <w:tcPr>
            <w:tcW w:w="420" w:type="dxa"/>
            <w:vAlign w:val="bottom"/>
          </w:tcPr>
          <w:p w14:paraId="76832C83" w14:textId="77777777" w:rsidR="00D1587D" w:rsidRDefault="00D1587D">
            <w:pPr>
              <w:rPr>
                <w:sz w:val="4"/>
                <w:szCs w:val="4"/>
              </w:rPr>
            </w:pPr>
          </w:p>
        </w:tc>
      </w:tr>
      <w:tr w:rsidR="00D1587D" w14:paraId="5F8D5771" w14:textId="77777777">
        <w:trPr>
          <w:trHeight w:val="324"/>
        </w:trPr>
        <w:tc>
          <w:tcPr>
            <w:tcW w:w="3360" w:type="dxa"/>
            <w:shd w:val="clear" w:color="auto" w:fill="CCEEFF"/>
            <w:vAlign w:val="bottom"/>
          </w:tcPr>
          <w:p w14:paraId="04A4DAAC" w14:textId="77777777" w:rsidR="00D1587D" w:rsidRDefault="00410D07">
            <w:pPr>
              <w:spacing w:line="324" w:lineRule="exact"/>
              <w:ind w:left="360"/>
              <w:rPr>
                <w:sz w:val="20"/>
                <w:szCs w:val="20"/>
              </w:rPr>
            </w:pPr>
            <w:r>
              <w:rPr>
                <w:rFonts w:ascii="Arial" w:eastAsia="Arial" w:hAnsi="Arial" w:cs="Arial"/>
                <w:sz w:val="18"/>
                <w:szCs w:val="18"/>
              </w:rPr>
              <w:t>Long-term debt</w:t>
            </w:r>
            <w:r>
              <w:rPr>
                <w:rFonts w:ascii="Arial" w:eastAsia="Arial" w:hAnsi="Arial" w:cs="Arial"/>
                <w:sz w:val="29"/>
                <w:szCs w:val="29"/>
                <w:vertAlign w:val="superscript"/>
              </w:rPr>
              <w:t>(2)</w:t>
            </w:r>
          </w:p>
        </w:tc>
        <w:tc>
          <w:tcPr>
            <w:tcW w:w="1860" w:type="dxa"/>
            <w:shd w:val="clear" w:color="auto" w:fill="CCEEFF"/>
            <w:vAlign w:val="bottom"/>
          </w:tcPr>
          <w:p w14:paraId="4365A930" w14:textId="77777777" w:rsidR="00D1587D" w:rsidRDefault="00D1587D">
            <w:pPr>
              <w:rPr>
                <w:sz w:val="24"/>
                <w:szCs w:val="24"/>
              </w:rPr>
            </w:pPr>
          </w:p>
        </w:tc>
        <w:tc>
          <w:tcPr>
            <w:tcW w:w="1760" w:type="dxa"/>
            <w:shd w:val="clear" w:color="auto" w:fill="CCEEFF"/>
            <w:vAlign w:val="bottom"/>
          </w:tcPr>
          <w:p w14:paraId="2E1872D3" w14:textId="77777777" w:rsidR="00D1587D" w:rsidRDefault="00D1587D">
            <w:pPr>
              <w:rPr>
                <w:sz w:val="24"/>
                <w:szCs w:val="24"/>
              </w:rPr>
            </w:pPr>
          </w:p>
        </w:tc>
        <w:tc>
          <w:tcPr>
            <w:tcW w:w="240" w:type="dxa"/>
            <w:shd w:val="clear" w:color="auto" w:fill="CCEEFF"/>
            <w:vAlign w:val="bottom"/>
          </w:tcPr>
          <w:p w14:paraId="7AF9E111" w14:textId="77777777" w:rsidR="00D1587D" w:rsidRDefault="00D1587D">
            <w:pPr>
              <w:rPr>
                <w:sz w:val="24"/>
                <w:szCs w:val="24"/>
              </w:rPr>
            </w:pPr>
          </w:p>
        </w:tc>
        <w:tc>
          <w:tcPr>
            <w:tcW w:w="620" w:type="dxa"/>
            <w:gridSpan w:val="2"/>
            <w:shd w:val="clear" w:color="auto" w:fill="CCEEFF"/>
            <w:vAlign w:val="bottom"/>
          </w:tcPr>
          <w:p w14:paraId="5F3C2FE7" w14:textId="77777777" w:rsidR="00D1587D" w:rsidRDefault="00410D07">
            <w:pPr>
              <w:ind w:right="240"/>
              <w:jc w:val="right"/>
              <w:rPr>
                <w:sz w:val="20"/>
                <w:szCs w:val="20"/>
              </w:rPr>
            </w:pPr>
            <w:r>
              <w:rPr>
                <w:rFonts w:ascii="Arial" w:eastAsia="Arial" w:hAnsi="Arial" w:cs="Arial"/>
                <w:sz w:val="18"/>
                <w:szCs w:val="18"/>
              </w:rPr>
              <w:t>—</w:t>
            </w:r>
          </w:p>
        </w:tc>
        <w:tc>
          <w:tcPr>
            <w:tcW w:w="340" w:type="dxa"/>
            <w:shd w:val="clear" w:color="auto" w:fill="CCEEFF"/>
            <w:vAlign w:val="bottom"/>
          </w:tcPr>
          <w:p w14:paraId="23068BF5" w14:textId="77777777" w:rsidR="00D1587D" w:rsidRDefault="00D1587D">
            <w:pPr>
              <w:rPr>
                <w:sz w:val="24"/>
                <w:szCs w:val="24"/>
              </w:rPr>
            </w:pPr>
          </w:p>
        </w:tc>
        <w:tc>
          <w:tcPr>
            <w:tcW w:w="420" w:type="dxa"/>
            <w:shd w:val="clear" w:color="auto" w:fill="CCEEFF"/>
            <w:vAlign w:val="bottom"/>
          </w:tcPr>
          <w:p w14:paraId="4D340414" w14:textId="77777777" w:rsidR="00D1587D" w:rsidRDefault="00410D07">
            <w:pPr>
              <w:ind w:right="50"/>
              <w:jc w:val="right"/>
              <w:rPr>
                <w:sz w:val="20"/>
                <w:szCs w:val="20"/>
              </w:rPr>
            </w:pPr>
            <w:r>
              <w:rPr>
                <w:rFonts w:ascii="Arial" w:eastAsia="Arial" w:hAnsi="Arial" w:cs="Arial"/>
                <w:w w:val="86"/>
                <w:sz w:val="18"/>
                <w:szCs w:val="18"/>
              </w:rPr>
              <w:t>975</w:t>
            </w:r>
          </w:p>
        </w:tc>
      </w:tr>
      <w:tr w:rsidR="00D1587D" w14:paraId="37CA3C78" w14:textId="77777777">
        <w:trPr>
          <w:trHeight w:val="338"/>
        </w:trPr>
        <w:tc>
          <w:tcPr>
            <w:tcW w:w="3360" w:type="dxa"/>
            <w:tcBorders>
              <w:bottom w:val="single" w:sz="8" w:space="0" w:color="CCEEFF"/>
            </w:tcBorders>
            <w:vAlign w:val="bottom"/>
          </w:tcPr>
          <w:p w14:paraId="4C6084A2" w14:textId="77777777" w:rsidR="00D1587D" w:rsidRDefault="00410D07">
            <w:pPr>
              <w:ind w:left="360"/>
              <w:rPr>
                <w:sz w:val="20"/>
                <w:szCs w:val="20"/>
              </w:rPr>
            </w:pPr>
            <w:r>
              <w:rPr>
                <w:rFonts w:ascii="Arial" w:eastAsia="Arial" w:hAnsi="Arial" w:cs="Arial"/>
                <w:w w:val="97"/>
                <w:sz w:val="18"/>
                <w:szCs w:val="18"/>
              </w:rPr>
              <w:t>Long-term debt due to related party</w:t>
            </w:r>
            <w:r>
              <w:rPr>
                <w:rFonts w:ascii="Arial" w:eastAsia="Arial" w:hAnsi="Arial" w:cs="Arial"/>
                <w:w w:val="97"/>
                <w:sz w:val="29"/>
                <w:szCs w:val="29"/>
                <w:vertAlign w:val="superscript"/>
              </w:rPr>
              <w:t>(3)</w:t>
            </w:r>
          </w:p>
        </w:tc>
        <w:tc>
          <w:tcPr>
            <w:tcW w:w="1860" w:type="dxa"/>
            <w:tcBorders>
              <w:bottom w:val="single" w:sz="8" w:space="0" w:color="CCEEFF"/>
            </w:tcBorders>
            <w:vAlign w:val="bottom"/>
          </w:tcPr>
          <w:p w14:paraId="2DCD1AFC" w14:textId="77777777" w:rsidR="00D1587D" w:rsidRDefault="00D1587D">
            <w:pPr>
              <w:rPr>
                <w:sz w:val="24"/>
                <w:szCs w:val="24"/>
              </w:rPr>
            </w:pPr>
          </w:p>
        </w:tc>
        <w:tc>
          <w:tcPr>
            <w:tcW w:w="1760" w:type="dxa"/>
            <w:tcBorders>
              <w:bottom w:val="single" w:sz="8" w:space="0" w:color="CCEEFF"/>
            </w:tcBorders>
            <w:vAlign w:val="bottom"/>
          </w:tcPr>
          <w:p w14:paraId="3091111C" w14:textId="77777777" w:rsidR="00D1587D" w:rsidRDefault="00D1587D">
            <w:pPr>
              <w:rPr>
                <w:sz w:val="24"/>
                <w:szCs w:val="24"/>
              </w:rPr>
            </w:pPr>
          </w:p>
        </w:tc>
        <w:tc>
          <w:tcPr>
            <w:tcW w:w="240" w:type="dxa"/>
            <w:tcBorders>
              <w:bottom w:val="single" w:sz="8" w:space="0" w:color="auto"/>
            </w:tcBorders>
            <w:vAlign w:val="bottom"/>
          </w:tcPr>
          <w:p w14:paraId="484A37A9" w14:textId="77777777" w:rsidR="00D1587D" w:rsidRDefault="00D1587D">
            <w:pPr>
              <w:rPr>
                <w:sz w:val="24"/>
                <w:szCs w:val="24"/>
              </w:rPr>
            </w:pPr>
          </w:p>
        </w:tc>
        <w:tc>
          <w:tcPr>
            <w:tcW w:w="520" w:type="dxa"/>
            <w:tcBorders>
              <w:bottom w:val="single" w:sz="8" w:space="0" w:color="auto"/>
            </w:tcBorders>
            <w:vAlign w:val="bottom"/>
          </w:tcPr>
          <w:p w14:paraId="62463C16" w14:textId="77777777" w:rsidR="00D1587D" w:rsidRDefault="00410D07">
            <w:pPr>
              <w:ind w:right="54"/>
              <w:jc w:val="right"/>
              <w:rPr>
                <w:sz w:val="20"/>
                <w:szCs w:val="20"/>
              </w:rPr>
            </w:pPr>
            <w:r>
              <w:rPr>
                <w:rFonts w:ascii="Arial" w:eastAsia="Arial" w:hAnsi="Arial" w:cs="Arial"/>
                <w:sz w:val="18"/>
                <w:szCs w:val="18"/>
              </w:rPr>
              <w:t>97</w:t>
            </w:r>
          </w:p>
        </w:tc>
        <w:tc>
          <w:tcPr>
            <w:tcW w:w="100" w:type="dxa"/>
            <w:tcBorders>
              <w:bottom w:val="single" w:sz="8" w:space="0" w:color="CCEEFF"/>
            </w:tcBorders>
            <w:vAlign w:val="bottom"/>
          </w:tcPr>
          <w:p w14:paraId="3B7C1533" w14:textId="77777777" w:rsidR="00D1587D" w:rsidRDefault="00D1587D">
            <w:pPr>
              <w:rPr>
                <w:sz w:val="24"/>
                <w:szCs w:val="24"/>
              </w:rPr>
            </w:pPr>
          </w:p>
        </w:tc>
        <w:tc>
          <w:tcPr>
            <w:tcW w:w="340" w:type="dxa"/>
            <w:tcBorders>
              <w:bottom w:val="single" w:sz="8" w:space="0" w:color="auto"/>
            </w:tcBorders>
            <w:vAlign w:val="bottom"/>
          </w:tcPr>
          <w:p w14:paraId="22460D03" w14:textId="77777777" w:rsidR="00D1587D" w:rsidRDefault="00D1587D">
            <w:pPr>
              <w:rPr>
                <w:sz w:val="24"/>
                <w:szCs w:val="24"/>
              </w:rPr>
            </w:pPr>
          </w:p>
        </w:tc>
        <w:tc>
          <w:tcPr>
            <w:tcW w:w="420" w:type="dxa"/>
            <w:tcBorders>
              <w:bottom w:val="single" w:sz="8" w:space="0" w:color="auto"/>
            </w:tcBorders>
            <w:vAlign w:val="bottom"/>
          </w:tcPr>
          <w:p w14:paraId="746DEA81" w14:textId="77777777" w:rsidR="00D1587D" w:rsidRDefault="00410D07">
            <w:pPr>
              <w:ind w:right="50"/>
              <w:jc w:val="right"/>
              <w:rPr>
                <w:sz w:val="20"/>
                <w:szCs w:val="20"/>
              </w:rPr>
            </w:pPr>
            <w:r>
              <w:rPr>
                <w:rFonts w:ascii="Arial" w:eastAsia="Arial" w:hAnsi="Arial" w:cs="Arial"/>
                <w:sz w:val="18"/>
                <w:szCs w:val="18"/>
              </w:rPr>
              <w:t>—</w:t>
            </w:r>
          </w:p>
        </w:tc>
      </w:tr>
      <w:tr w:rsidR="00D1587D" w14:paraId="294B6335" w14:textId="77777777">
        <w:trPr>
          <w:trHeight w:val="277"/>
        </w:trPr>
        <w:tc>
          <w:tcPr>
            <w:tcW w:w="3360" w:type="dxa"/>
            <w:shd w:val="clear" w:color="auto" w:fill="CCEEFF"/>
            <w:vAlign w:val="bottom"/>
          </w:tcPr>
          <w:p w14:paraId="647E86C2" w14:textId="77777777" w:rsidR="00D1587D" w:rsidRDefault="00410D07">
            <w:pPr>
              <w:ind w:left="180"/>
              <w:rPr>
                <w:sz w:val="20"/>
                <w:szCs w:val="20"/>
              </w:rPr>
            </w:pPr>
            <w:r>
              <w:rPr>
                <w:rFonts w:ascii="Arial" w:eastAsia="Arial" w:hAnsi="Arial" w:cs="Arial"/>
                <w:sz w:val="18"/>
                <w:szCs w:val="18"/>
              </w:rPr>
              <w:t>Total indebtedness</w:t>
            </w:r>
          </w:p>
        </w:tc>
        <w:tc>
          <w:tcPr>
            <w:tcW w:w="1860" w:type="dxa"/>
            <w:shd w:val="clear" w:color="auto" w:fill="CCEEFF"/>
            <w:vAlign w:val="bottom"/>
          </w:tcPr>
          <w:p w14:paraId="65049F09" w14:textId="77777777" w:rsidR="00D1587D" w:rsidRDefault="00D1587D">
            <w:pPr>
              <w:rPr>
                <w:sz w:val="24"/>
                <w:szCs w:val="24"/>
              </w:rPr>
            </w:pPr>
          </w:p>
        </w:tc>
        <w:tc>
          <w:tcPr>
            <w:tcW w:w="1760" w:type="dxa"/>
            <w:shd w:val="clear" w:color="auto" w:fill="CCEEFF"/>
            <w:vAlign w:val="bottom"/>
          </w:tcPr>
          <w:p w14:paraId="7D55FEF2" w14:textId="77777777" w:rsidR="00D1587D" w:rsidRDefault="00D1587D">
            <w:pPr>
              <w:rPr>
                <w:sz w:val="24"/>
                <w:szCs w:val="24"/>
              </w:rPr>
            </w:pPr>
          </w:p>
        </w:tc>
        <w:tc>
          <w:tcPr>
            <w:tcW w:w="240" w:type="dxa"/>
            <w:shd w:val="clear" w:color="auto" w:fill="CCEEFF"/>
            <w:vAlign w:val="bottom"/>
          </w:tcPr>
          <w:p w14:paraId="67229295" w14:textId="77777777" w:rsidR="00D1587D" w:rsidRDefault="00D1587D">
            <w:pPr>
              <w:rPr>
                <w:sz w:val="24"/>
                <w:szCs w:val="24"/>
              </w:rPr>
            </w:pPr>
          </w:p>
        </w:tc>
        <w:tc>
          <w:tcPr>
            <w:tcW w:w="520" w:type="dxa"/>
            <w:shd w:val="clear" w:color="auto" w:fill="CCEEFF"/>
            <w:vAlign w:val="bottom"/>
          </w:tcPr>
          <w:p w14:paraId="345E43F5" w14:textId="77777777" w:rsidR="00D1587D" w:rsidRDefault="00410D07">
            <w:pPr>
              <w:ind w:right="54"/>
              <w:jc w:val="right"/>
              <w:rPr>
                <w:sz w:val="20"/>
                <w:szCs w:val="20"/>
              </w:rPr>
            </w:pPr>
            <w:r>
              <w:rPr>
                <w:rFonts w:ascii="Arial" w:eastAsia="Arial" w:hAnsi="Arial" w:cs="Arial"/>
                <w:sz w:val="18"/>
                <w:szCs w:val="18"/>
              </w:rPr>
              <w:t>97</w:t>
            </w:r>
          </w:p>
        </w:tc>
        <w:tc>
          <w:tcPr>
            <w:tcW w:w="100" w:type="dxa"/>
            <w:shd w:val="clear" w:color="auto" w:fill="CCEEFF"/>
            <w:vAlign w:val="bottom"/>
          </w:tcPr>
          <w:p w14:paraId="1F61E213" w14:textId="77777777" w:rsidR="00D1587D" w:rsidRDefault="00D1587D">
            <w:pPr>
              <w:rPr>
                <w:sz w:val="24"/>
                <w:szCs w:val="24"/>
              </w:rPr>
            </w:pPr>
          </w:p>
        </w:tc>
        <w:tc>
          <w:tcPr>
            <w:tcW w:w="340" w:type="dxa"/>
            <w:shd w:val="clear" w:color="auto" w:fill="CCEEFF"/>
            <w:vAlign w:val="bottom"/>
          </w:tcPr>
          <w:p w14:paraId="092AC51A" w14:textId="77777777" w:rsidR="00D1587D" w:rsidRDefault="00D1587D">
            <w:pPr>
              <w:rPr>
                <w:sz w:val="24"/>
                <w:szCs w:val="24"/>
              </w:rPr>
            </w:pPr>
          </w:p>
        </w:tc>
        <w:tc>
          <w:tcPr>
            <w:tcW w:w="420" w:type="dxa"/>
            <w:shd w:val="clear" w:color="auto" w:fill="CCEEFF"/>
            <w:vAlign w:val="bottom"/>
          </w:tcPr>
          <w:p w14:paraId="48D833E3" w14:textId="77777777" w:rsidR="00D1587D" w:rsidRDefault="00410D07">
            <w:pPr>
              <w:ind w:right="50"/>
              <w:jc w:val="right"/>
              <w:rPr>
                <w:sz w:val="20"/>
                <w:szCs w:val="20"/>
              </w:rPr>
            </w:pPr>
            <w:r>
              <w:rPr>
                <w:rFonts w:ascii="Arial" w:eastAsia="Arial" w:hAnsi="Arial" w:cs="Arial"/>
                <w:w w:val="86"/>
                <w:sz w:val="18"/>
                <w:szCs w:val="18"/>
              </w:rPr>
              <w:t>975</w:t>
            </w:r>
          </w:p>
        </w:tc>
      </w:tr>
      <w:tr w:rsidR="00D1587D" w14:paraId="62E4BE86" w14:textId="77777777">
        <w:trPr>
          <w:trHeight w:val="67"/>
        </w:trPr>
        <w:tc>
          <w:tcPr>
            <w:tcW w:w="3360" w:type="dxa"/>
            <w:shd w:val="clear" w:color="auto" w:fill="CCEEFF"/>
            <w:vAlign w:val="bottom"/>
          </w:tcPr>
          <w:p w14:paraId="4C29B6A1" w14:textId="77777777" w:rsidR="00D1587D" w:rsidRDefault="00D1587D">
            <w:pPr>
              <w:rPr>
                <w:sz w:val="5"/>
                <w:szCs w:val="5"/>
              </w:rPr>
            </w:pPr>
          </w:p>
        </w:tc>
        <w:tc>
          <w:tcPr>
            <w:tcW w:w="1860" w:type="dxa"/>
            <w:shd w:val="clear" w:color="auto" w:fill="CCEEFF"/>
            <w:vAlign w:val="bottom"/>
          </w:tcPr>
          <w:p w14:paraId="7750182D" w14:textId="77777777" w:rsidR="00D1587D" w:rsidRDefault="00D1587D">
            <w:pPr>
              <w:rPr>
                <w:sz w:val="5"/>
                <w:szCs w:val="5"/>
              </w:rPr>
            </w:pPr>
          </w:p>
        </w:tc>
        <w:tc>
          <w:tcPr>
            <w:tcW w:w="1760" w:type="dxa"/>
            <w:shd w:val="clear" w:color="auto" w:fill="CCEEFF"/>
            <w:vAlign w:val="bottom"/>
          </w:tcPr>
          <w:p w14:paraId="56BC6072" w14:textId="77777777" w:rsidR="00D1587D" w:rsidRDefault="00D1587D">
            <w:pPr>
              <w:rPr>
                <w:sz w:val="5"/>
                <w:szCs w:val="5"/>
              </w:rPr>
            </w:pPr>
          </w:p>
        </w:tc>
        <w:tc>
          <w:tcPr>
            <w:tcW w:w="240" w:type="dxa"/>
            <w:tcBorders>
              <w:bottom w:val="single" w:sz="8" w:space="0" w:color="auto"/>
            </w:tcBorders>
            <w:shd w:val="clear" w:color="auto" w:fill="CCEEFF"/>
            <w:vAlign w:val="bottom"/>
          </w:tcPr>
          <w:p w14:paraId="13CCD70C" w14:textId="77777777" w:rsidR="00D1587D" w:rsidRDefault="00D1587D">
            <w:pPr>
              <w:rPr>
                <w:sz w:val="5"/>
                <w:szCs w:val="5"/>
              </w:rPr>
            </w:pPr>
          </w:p>
        </w:tc>
        <w:tc>
          <w:tcPr>
            <w:tcW w:w="520" w:type="dxa"/>
            <w:tcBorders>
              <w:bottom w:val="single" w:sz="8" w:space="0" w:color="auto"/>
            </w:tcBorders>
            <w:shd w:val="clear" w:color="auto" w:fill="CCEEFF"/>
            <w:vAlign w:val="bottom"/>
          </w:tcPr>
          <w:p w14:paraId="3462B4D6" w14:textId="77777777" w:rsidR="00D1587D" w:rsidRDefault="00D1587D">
            <w:pPr>
              <w:rPr>
                <w:sz w:val="5"/>
                <w:szCs w:val="5"/>
              </w:rPr>
            </w:pPr>
          </w:p>
        </w:tc>
        <w:tc>
          <w:tcPr>
            <w:tcW w:w="100" w:type="dxa"/>
            <w:tcBorders>
              <w:bottom w:val="single" w:sz="8" w:space="0" w:color="CCEEFF"/>
            </w:tcBorders>
            <w:shd w:val="clear" w:color="auto" w:fill="CCEEFF"/>
            <w:vAlign w:val="bottom"/>
          </w:tcPr>
          <w:p w14:paraId="49C0488A" w14:textId="77777777" w:rsidR="00D1587D" w:rsidRDefault="00D1587D">
            <w:pPr>
              <w:rPr>
                <w:sz w:val="5"/>
                <w:szCs w:val="5"/>
              </w:rPr>
            </w:pPr>
          </w:p>
        </w:tc>
        <w:tc>
          <w:tcPr>
            <w:tcW w:w="340" w:type="dxa"/>
            <w:tcBorders>
              <w:bottom w:val="single" w:sz="8" w:space="0" w:color="auto"/>
            </w:tcBorders>
            <w:shd w:val="clear" w:color="auto" w:fill="CCEEFF"/>
            <w:vAlign w:val="bottom"/>
          </w:tcPr>
          <w:p w14:paraId="70ABA4F4" w14:textId="77777777" w:rsidR="00D1587D" w:rsidRDefault="00D1587D">
            <w:pPr>
              <w:rPr>
                <w:sz w:val="5"/>
                <w:szCs w:val="5"/>
              </w:rPr>
            </w:pPr>
          </w:p>
        </w:tc>
        <w:tc>
          <w:tcPr>
            <w:tcW w:w="420" w:type="dxa"/>
            <w:tcBorders>
              <w:bottom w:val="single" w:sz="8" w:space="0" w:color="auto"/>
            </w:tcBorders>
            <w:shd w:val="clear" w:color="auto" w:fill="CCEEFF"/>
            <w:vAlign w:val="bottom"/>
          </w:tcPr>
          <w:p w14:paraId="03E42825" w14:textId="77777777" w:rsidR="00D1587D" w:rsidRDefault="00D1587D">
            <w:pPr>
              <w:rPr>
                <w:sz w:val="5"/>
                <w:szCs w:val="5"/>
              </w:rPr>
            </w:pPr>
          </w:p>
        </w:tc>
      </w:tr>
      <w:tr w:rsidR="00D1587D" w14:paraId="28362834" w14:textId="77777777">
        <w:trPr>
          <w:trHeight w:val="277"/>
        </w:trPr>
        <w:tc>
          <w:tcPr>
            <w:tcW w:w="3360" w:type="dxa"/>
            <w:vAlign w:val="bottom"/>
          </w:tcPr>
          <w:p w14:paraId="7C6E0586" w14:textId="77777777" w:rsidR="00D1587D" w:rsidRDefault="00410D07">
            <w:pPr>
              <w:rPr>
                <w:sz w:val="20"/>
                <w:szCs w:val="20"/>
              </w:rPr>
            </w:pPr>
            <w:r>
              <w:rPr>
                <w:rFonts w:ascii="Arial" w:eastAsia="Arial" w:hAnsi="Arial" w:cs="Arial"/>
                <w:sz w:val="18"/>
                <w:szCs w:val="18"/>
              </w:rPr>
              <w:t>Equity:</w:t>
            </w:r>
          </w:p>
        </w:tc>
        <w:tc>
          <w:tcPr>
            <w:tcW w:w="1860" w:type="dxa"/>
            <w:vAlign w:val="bottom"/>
          </w:tcPr>
          <w:p w14:paraId="23D6E6A2" w14:textId="77777777" w:rsidR="00D1587D" w:rsidRDefault="00D1587D">
            <w:pPr>
              <w:rPr>
                <w:sz w:val="24"/>
                <w:szCs w:val="24"/>
              </w:rPr>
            </w:pPr>
          </w:p>
        </w:tc>
        <w:tc>
          <w:tcPr>
            <w:tcW w:w="1760" w:type="dxa"/>
            <w:vAlign w:val="bottom"/>
          </w:tcPr>
          <w:p w14:paraId="065A9F8F" w14:textId="77777777" w:rsidR="00D1587D" w:rsidRDefault="00D1587D">
            <w:pPr>
              <w:rPr>
                <w:sz w:val="24"/>
                <w:szCs w:val="24"/>
              </w:rPr>
            </w:pPr>
          </w:p>
        </w:tc>
        <w:tc>
          <w:tcPr>
            <w:tcW w:w="240" w:type="dxa"/>
            <w:vAlign w:val="bottom"/>
          </w:tcPr>
          <w:p w14:paraId="5DA7E818" w14:textId="77777777" w:rsidR="00D1587D" w:rsidRDefault="00D1587D">
            <w:pPr>
              <w:rPr>
                <w:sz w:val="24"/>
                <w:szCs w:val="24"/>
              </w:rPr>
            </w:pPr>
          </w:p>
        </w:tc>
        <w:tc>
          <w:tcPr>
            <w:tcW w:w="520" w:type="dxa"/>
            <w:vAlign w:val="bottom"/>
          </w:tcPr>
          <w:p w14:paraId="0D7FD4F0" w14:textId="77777777" w:rsidR="00D1587D" w:rsidRDefault="00D1587D">
            <w:pPr>
              <w:rPr>
                <w:sz w:val="24"/>
                <w:szCs w:val="24"/>
              </w:rPr>
            </w:pPr>
          </w:p>
        </w:tc>
        <w:tc>
          <w:tcPr>
            <w:tcW w:w="100" w:type="dxa"/>
            <w:vAlign w:val="bottom"/>
          </w:tcPr>
          <w:p w14:paraId="7C18A418" w14:textId="77777777" w:rsidR="00D1587D" w:rsidRDefault="00D1587D">
            <w:pPr>
              <w:rPr>
                <w:sz w:val="24"/>
                <w:szCs w:val="24"/>
              </w:rPr>
            </w:pPr>
          </w:p>
        </w:tc>
        <w:tc>
          <w:tcPr>
            <w:tcW w:w="340" w:type="dxa"/>
            <w:vAlign w:val="bottom"/>
          </w:tcPr>
          <w:p w14:paraId="585C33AA" w14:textId="77777777" w:rsidR="00D1587D" w:rsidRDefault="00D1587D">
            <w:pPr>
              <w:rPr>
                <w:sz w:val="24"/>
                <w:szCs w:val="24"/>
              </w:rPr>
            </w:pPr>
          </w:p>
        </w:tc>
        <w:tc>
          <w:tcPr>
            <w:tcW w:w="420" w:type="dxa"/>
            <w:vAlign w:val="bottom"/>
          </w:tcPr>
          <w:p w14:paraId="6436DFD7" w14:textId="77777777" w:rsidR="00D1587D" w:rsidRDefault="00D1587D">
            <w:pPr>
              <w:rPr>
                <w:sz w:val="24"/>
                <w:szCs w:val="24"/>
              </w:rPr>
            </w:pPr>
          </w:p>
        </w:tc>
      </w:tr>
      <w:tr w:rsidR="00D1587D" w14:paraId="6A848505" w14:textId="77777777">
        <w:trPr>
          <w:trHeight w:val="54"/>
        </w:trPr>
        <w:tc>
          <w:tcPr>
            <w:tcW w:w="3360" w:type="dxa"/>
            <w:vAlign w:val="bottom"/>
          </w:tcPr>
          <w:p w14:paraId="40B11859" w14:textId="77777777" w:rsidR="00D1587D" w:rsidRDefault="00D1587D">
            <w:pPr>
              <w:rPr>
                <w:sz w:val="4"/>
                <w:szCs w:val="4"/>
              </w:rPr>
            </w:pPr>
          </w:p>
        </w:tc>
        <w:tc>
          <w:tcPr>
            <w:tcW w:w="1860" w:type="dxa"/>
            <w:vAlign w:val="bottom"/>
          </w:tcPr>
          <w:p w14:paraId="64FFF6C8" w14:textId="77777777" w:rsidR="00D1587D" w:rsidRDefault="00D1587D">
            <w:pPr>
              <w:rPr>
                <w:sz w:val="4"/>
                <w:szCs w:val="4"/>
              </w:rPr>
            </w:pPr>
          </w:p>
        </w:tc>
        <w:tc>
          <w:tcPr>
            <w:tcW w:w="1760" w:type="dxa"/>
            <w:vAlign w:val="bottom"/>
          </w:tcPr>
          <w:p w14:paraId="4AAB3870" w14:textId="77777777" w:rsidR="00D1587D" w:rsidRDefault="00D1587D">
            <w:pPr>
              <w:rPr>
                <w:sz w:val="4"/>
                <w:szCs w:val="4"/>
              </w:rPr>
            </w:pPr>
          </w:p>
        </w:tc>
        <w:tc>
          <w:tcPr>
            <w:tcW w:w="240" w:type="dxa"/>
            <w:vAlign w:val="bottom"/>
          </w:tcPr>
          <w:p w14:paraId="25A0FC1A" w14:textId="77777777" w:rsidR="00D1587D" w:rsidRDefault="00D1587D">
            <w:pPr>
              <w:rPr>
                <w:sz w:val="4"/>
                <w:szCs w:val="4"/>
              </w:rPr>
            </w:pPr>
          </w:p>
        </w:tc>
        <w:tc>
          <w:tcPr>
            <w:tcW w:w="520" w:type="dxa"/>
            <w:vAlign w:val="bottom"/>
          </w:tcPr>
          <w:p w14:paraId="2BF43C00" w14:textId="77777777" w:rsidR="00D1587D" w:rsidRDefault="00D1587D">
            <w:pPr>
              <w:rPr>
                <w:sz w:val="4"/>
                <w:szCs w:val="4"/>
              </w:rPr>
            </w:pPr>
          </w:p>
        </w:tc>
        <w:tc>
          <w:tcPr>
            <w:tcW w:w="100" w:type="dxa"/>
            <w:vAlign w:val="bottom"/>
          </w:tcPr>
          <w:p w14:paraId="53AE9B93" w14:textId="77777777" w:rsidR="00D1587D" w:rsidRDefault="00D1587D">
            <w:pPr>
              <w:rPr>
                <w:sz w:val="4"/>
                <w:szCs w:val="4"/>
              </w:rPr>
            </w:pPr>
          </w:p>
        </w:tc>
        <w:tc>
          <w:tcPr>
            <w:tcW w:w="340" w:type="dxa"/>
            <w:vAlign w:val="bottom"/>
          </w:tcPr>
          <w:p w14:paraId="6C932C7E" w14:textId="77777777" w:rsidR="00D1587D" w:rsidRDefault="00D1587D">
            <w:pPr>
              <w:rPr>
                <w:sz w:val="4"/>
                <w:szCs w:val="4"/>
              </w:rPr>
            </w:pPr>
          </w:p>
        </w:tc>
        <w:tc>
          <w:tcPr>
            <w:tcW w:w="420" w:type="dxa"/>
            <w:vAlign w:val="bottom"/>
          </w:tcPr>
          <w:p w14:paraId="651ED2A9" w14:textId="77777777" w:rsidR="00D1587D" w:rsidRDefault="00D1587D">
            <w:pPr>
              <w:rPr>
                <w:sz w:val="4"/>
                <w:szCs w:val="4"/>
              </w:rPr>
            </w:pPr>
          </w:p>
        </w:tc>
      </w:tr>
      <w:tr w:rsidR="00D1587D" w14:paraId="32FBDD54" w14:textId="77777777">
        <w:trPr>
          <w:trHeight w:val="246"/>
        </w:trPr>
        <w:tc>
          <w:tcPr>
            <w:tcW w:w="3360" w:type="dxa"/>
            <w:shd w:val="clear" w:color="auto" w:fill="CCEEFF"/>
            <w:vAlign w:val="bottom"/>
          </w:tcPr>
          <w:p w14:paraId="78EFF2AB" w14:textId="77777777" w:rsidR="00D1587D" w:rsidRDefault="00410D07">
            <w:pPr>
              <w:rPr>
                <w:sz w:val="20"/>
                <w:szCs w:val="20"/>
              </w:rPr>
            </w:pPr>
            <w:r>
              <w:rPr>
                <w:rFonts w:ascii="Arial" w:eastAsia="Arial" w:hAnsi="Arial" w:cs="Arial"/>
                <w:w w:val="98"/>
                <w:sz w:val="18"/>
                <w:szCs w:val="18"/>
              </w:rPr>
              <w:t>Common stock, par value $0.01 per share;</w:t>
            </w:r>
          </w:p>
        </w:tc>
        <w:tc>
          <w:tcPr>
            <w:tcW w:w="1860" w:type="dxa"/>
            <w:shd w:val="clear" w:color="auto" w:fill="CCEEFF"/>
            <w:vAlign w:val="bottom"/>
          </w:tcPr>
          <w:p w14:paraId="283D92DE" w14:textId="77777777" w:rsidR="00D1587D" w:rsidRDefault="00410D07">
            <w:pPr>
              <w:ind w:left="260"/>
              <w:rPr>
                <w:sz w:val="20"/>
                <w:szCs w:val="20"/>
              </w:rPr>
            </w:pPr>
            <w:r>
              <w:rPr>
                <w:rFonts w:ascii="Arial" w:eastAsia="Arial" w:hAnsi="Arial" w:cs="Arial"/>
                <w:sz w:val="18"/>
                <w:szCs w:val="18"/>
              </w:rPr>
              <w:t>shares authorized,</w:t>
            </w:r>
          </w:p>
        </w:tc>
        <w:tc>
          <w:tcPr>
            <w:tcW w:w="2000" w:type="dxa"/>
            <w:gridSpan w:val="2"/>
            <w:shd w:val="clear" w:color="auto" w:fill="CCEEFF"/>
            <w:vAlign w:val="bottom"/>
          </w:tcPr>
          <w:p w14:paraId="5D381528" w14:textId="77777777" w:rsidR="00D1587D" w:rsidRDefault="00410D07">
            <w:pPr>
              <w:ind w:right="382"/>
              <w:jc w:val="right"/>
              <w:rPr>
                <w:sz w:val="20"/>
                <w:szCs w:val="20"/>
              </w:rPr>
            </w:pPr>
            <w:r>
              <w:rPr>
                <w:rFonts w:ascii="Arial" w:eastAsia="Arial" w:hAnsi="Arial" w:cs="Arial"/>
                <w:sz w:val="18"/>
                <w:szCs w:val="18"/>
              </w:rPr>
              <w:t xml:space="preserve">shares </w:t>
            </w:r>
            <w:r>
              <w:rPr>
                <w:rFonts w:ascii="Arial" w:eastAsia="Arial" w:hAnsi="Arial" w:cs="Arial"/>
                <w:sz w:val="18"/>
                <w:szCs w:val="18"/>
              </w:rPr>
              <w:t>issued and</w:t>
            </w:r>
          </w:p>
        </w:tc>
        <w:tc>
          <w:tcPr>
            <w:tcW w:w="520" w:type="dxa"/>
            <w:shd w:val="clear" w:color="auto" w:fill="CCEEFF"/>
            <w:vAlign w:val="bottom"/>
          </w:tcPr>
          <w:p w14:paraId="4B907673" w14:textId="77777777" w:rsidR="00D1587D" w:rsidRDefault="00D1587D">
            <w:pPr>
              <w:rPr>
                <w:sz w:val="21"/>
                <w:szCs w:val="21"/>
              </w:rPr>
            </w:pPr>
          </w:p>
        </w:tc>
        <w:tc>
          <w:tcPr>
            <w:tcW w:w="100" w:type="dxa"/>
            <w:shd w:val="clear" w:color="auto" w:fill="CCEEFF"/>
            <w:vAlign w:val="bottom"/>
          </w:tcPr>
          <w:p w14:paraId="001CE83B" w14:textId="77777777" w:rsidR="00D1587D" w:rsidRDefault="00D1587D">
            <w:pPr>
              <w:rPr>
                <w:sz w:val="21"/>
                <w:szCs w:val="21"/>
              </w:rPr>
            </w:pPr>
          </w:p>
        </w:tc>
        <w:tc>
          <w:tcPr>
            <w:tcW w:w="340" w:type="dxa"/>
            <w:shd w:val="clear" w:color="auto" w:fill="CCEEFF"/>
            <w:vAlign w:val="bottom"/>
          </w:tcPr>
          <w:p w14:paraId="7005D9BA" w14:textId="77777777" w:rsidR="00D1587D" w:rsidRDefault="00D1587D">
            <w:pPr>
              <w:rPr>
                <w:sz w:val="21"/>
                <w:szCs w:val="21"/>
              </w:rPr>
            </w:pPr>
          </w:p>
        </w:tc>
        <w:tc>
          <w:tcPr>
            <w:tcW w:w="420" w:type="dxa"/>
            <w:shd w:val="clear" w:color="auto" w:fill="CCEEFF"/>
            <w:vAlign w:val="bottom"/>
          </w:tcPr>
          <w:p w14:paraId="2B7E9A8D" w14:textId="77777777" w:rsidR="00D1587D" w:rsidRDefault="00D1587D">
            <w:pPr>
              <w:rPr>
                <w:sz w:val="21"/>
                <w:szCs w:val="21"/>
              </w:rPr>
            </w:pPr>
          </w:p>
        </w:tc>
      </w:tr>
      <w:tr w:rsidR="00D1587D" w14:paraId="6CDBD9F1" w14:textId="77777777">
        <w:trPr>
          <w:trHeight w:val="294"/>
        </w:trPr>
        <w:tc>
          <w:tcPr>
            <w:tcW w:w="3360" w:type="dxa"/>
            <w:shd w:val="clear" w:color="auto" w:fill="CCEEFF"/>
            <w:vAlign w:val="bottom"/>
          </w:tcPr>
          <w:p w14:paraId="0366ABA6" w14:textId="77777777" w:rsidR="00D1587D" w:rsidRDefault="00410D07">
            <w:pPr>
              <w:spacing w:line="294" w:lineRule="exact"/>
              <w:ind w:left="180"/>
              <w:rPr>
                <w:sz w:val="20"/>
                <w:szCs w:val="20"/>
              </w:rPr>
            </w:pPr>
            <w:r>
              <w:rPr>
                <w:rFonts w:ascii="Arial" w:eastAsia="Arial" w:hAnsi="Arial" w:cs="Arial"/>
                <w:sz w:val="18"/>
                <w:szCs w:val="18"/>
              </w:rPr>
              <w:t>outstanding, pro forma</w:t>
            </w:r>
            <w:r>
              <w:rPr>
                <w:rFonts w:ascii="Arial" w:eastAsia="Arial" w:hAnsi="Arial" w:cs="Arial"/>
                <w:sz w:val="29"/>
                <w:szCs w:val="29"/>
                <w:vertAlign w:val="superscript"/>
              </w:rPr>
              <w:t>(4)</w:t>
            </w:r>
          </w:p>
        </w:tc>
        <w:tc>
          <w:tcPr>
            <w:tcW w:w="1860" w:type="dxa"/>
            <w:shd w:val="clear" w:color="auto" w:fill="CCEEFF"/>
            <w:vAlign w:val="bottom"/>
          </w:tcPr>
          <w:p w14:paraId="14D3A166" w14:textId="77777777" w:rsidR="00D1587D" w:rsidRDefault="00D1587D">
            <w:pPr>
              <w:rPr>
                <w:sz w:val="24"/>
                <w:szCs w:val="24"/>
              </w:rPr>
            </w:pPr>
          </w:p>
        </w:tc>
        <w:tc>
          <w:tcPr>
            <w:tcW w:w="1760" w:type="dxa"/>
            <w:shd w:val="clear" w:color="auto" w:fill="CCEEFF"/>
            <w:vAlign w:val="bottom"/>
          </w:tcPr>
          <w:p w14:paraId="15E39256" w14:textId="77777777" w:rsidR="00D1587D" w:rsidRDefault="00D1587D">
            <w:pPr>
              <w:rPr>
                <w:sz w:val="24"/>
                <w:szCs w:val="24"/>
              </w:rPr>
            </w:pPr>
          </w:p>
        </w:tc>
        <w:tc>
          <w:tcPr>
            <w:tcW w:w="240" w:type="dxa"/>
            <w:shd w:val="clear" w:color="auto" w:fill="CCEEFF"/>
            <w:vAlign w:val="bottom"/>
          </w:tcPr>
          <w:p w14:paraId="56719D45" w14:textId="77777777" w:rsidR="00D1587D" w:rsidRDefault="00D1587D">
            <w:pPr>
              <w:rPr>
                <w:sz w:val="24"/>
                <w:szCs w:val="24"/>
              </w:rPr>
            </w:pPr>
          </w:p>
        </w:tc>
        <w:tc>
          <w:tcPr>
            <w:tcW w:w="620" w:type="dxa"/>
            <w:gridSpan w:val="2"/>
            <w:shd w:val="clear" w:color="auto" w:fill="CCEEFF"/>
            <w:vAlign w:val="bottom"/>
          </w:tcPr>
          <w:p w14:paraId="5FAB4A77" w14:textId="77777777" w:rsidR="00D1587D" w:rsidRDefault="00410D07">
            <w:pPr>
              <w:ind w:right="240"/>
              <w:jc w:val="right"/>
              <w:rPr>
                <w:sz w:val="20"/>
                <w:szCs w:val="20"/>
              </w:rPr>
            </w:pPr>
            <w:r>
              <w:rPr>
                <w:rFonts w:ascii="Arial" w:eastAsia="Arial" w:hAnsi="Arial" w:cs="Arial"/>
                <w:sz w:val="18"/>
                <w:szCs w:val="18"/>
              </w:rPr>
              <w:t>—</w:t>
            </w:r>
          </w:p>
        </w:tc>
        <w:tc>
          <w:tcPr>
            <w:tcW w:w="340" w:type="dxa"/>
            <w:shd w:val="clear" w:color="auto" w:fill="CCEEFF"/>
            <w:vAlign w:val="bottom"/>
          </w:tcPr>
          <w:p w14:paraId="49548E5F" w14:textId="77777777" w:rsidR="00D1587D" w:rsidRDefault="00D1587D">
            <w:pPr>
              <w:rPr>
                <w:sz w:val="24"/>
                <w:szCs w:val="24"/>
              </w:rPr>
            </w:pPr>
          </w:p>
        </w:tc>
        <w:tc>
          <w:tcPr>
            <w:tcW w:w="420" w:type="dxa"/>
            <w:shd w:val="clear" w:color="auto" w:fill="CCEEFF"/>
            <w:vAlign w:val="bottom"/>
          </w:tcPr>
          <w:p w14:paraId="4BE6B5DE" w14:textId="77777777" w:rsidR="00D1587D" w:rsidRDefault="00410D07">
            <w:pPr>
              <w:ind w:right="50"/>
              <w:jc w:val="right"/>
              <w:rPr>
                <w:sz w:val="20"/>
                <w:szCs w:val="20"/>
              </w:rPr>
            </w:pPr>
            <w:r>
              <w:rPr>
                <w:rFonts w:ascii="Arial" w:eastAsia="Arial" w:hAnsi="Arial" w:cs="Arial"/>
                <w:sz w:val="18"/>
                <w:szCs w:val="18"/>
              </w:rPr>
              <w:t>—</w:t>
            </w:r>
          </w:p>
        </w:tc>
      </w:tr>
      <w:tr w:rsidR="00D1587D" w14:paraId="1D4CDFAB" w14:textId="77777777">
        <w:trPr>
          <w:trHeight w:val="324"/>
        </w:trPr>
        <w:tc>
          <w:tcPr>
            <w:tcW w:w="3360" w:type="dxa"/>
            <w:vAlign w:val="bottom"/>
          </w:tcPr>
          <w:p w14:paraId="4944D9A7" w14:textId="77777777" w:rsidR="00D1587D" w:rsidRDefault="00410D07">
            <w:pPr>
              <w:spacing w:line="324" w:lineRule="exact"/>
              <w:rPr>
                <w:sz w:val="20"/>
                <w:szCs w:val="20"/>
              </w:rPr>
            </w:pPr>
            <w:r>
              <w:rPr>
                <w:rFonts w:ascii="Arial" w:eastAsia="Arial" w:hAnsi="Arial" w:cs="Arial"/>
                <w:sz w:val="18"/>
                <w:szCs w:val="18"/>
              </w:rPr>
              <w:t>Paid-in capital</w:t>
            </w:r>
            <w:r>
              <w:rPr>
                <w:rFonts w:ascii="Arial" w:eastAsia="Arial" w:hAnsi="Arial" w:cs="Arial"/>
                <w:sz w:val="29"/>
                <w:szCs w:val="29"/>
                <w:vertAlign w:val="superscript"/>
              </w:rPr>
              <w:t>(4)</w:t>
            </w:r>
          </w:p>
        </w:tc>
        <w:tc>
          <w:tcPr>
            <w:tcW w:w="1860" w:type="dxa"/>
            <w:vAlign w:val="bottom"/>
          </w:tcPr>
          <w:p w14:paraId="715EB31B" w14:textId="77777777" w:rsidR="00D1587D" w:rsidRDefault="00D1587D">
            <w:pPr>
              <w:rPr>
                <w:sz w:val="24"/>
                <w:szCs w:val="24"/>
              </w:rPr>
            </w:pPr>
          </w:p>
        </w:tc>
        <w:tc>
          <w:tcPr>
            <w:tcW w:w="1760" w:type="dxa"/>
            <w:vAlign w:val="bottom"/>
          </w:tcPr>
          <w:p w14:paraId="590A1209" w14:textId="77777777" w:rsidR="00D1587D" w:rsidRDefault="00D1587D">
            <w:pPr>
              <w:rPr>
                <w:sz w:val="24"/>
                <w:szCs w:val="24"/>
              </w:rPr>
            </w:pPr>
          </w:p>
        </w:tc>
        <w:tc>
          <w:tcPr>
            <w:tcW w:w="240" w:type="dxa"/>
            <w:vAlign w:val="bottom"/>
          </w:tcPr>
          <w:p w14:paraId="7262CD97" w14:textId="77777777" w:rsidR="00D1587D" w:rsidRDefault="00D1587D">
            <w:pPr>
              <w:rPr>
                <w:sz w:val="24"/>
                <w:szCs w:val="24"/>
              </w:rPr>
            </w:pPr>
          </w:p>
        </w:tc>
        <w:tc>
          <w:tcPr>
            <w:tcW w:w="620" w:type="dxa"/>
            <w:gridSpan w:val="2"/>
            <w:vAlign w:val="bottom"/>
          </w:tcPr>
          <w:p w14:paraId="53761064" w14:textId="77777777" w:rsidR="00D1587D" w:rsidRDefault="00410D07">
            <w:pPr>
              <w:ind w:right="240"/>
              <w:jc w:val="right"/>
              <w:rPr>
                <w:sz w:val="20"/>
                <w:szCs w:val="20"/>
              </w:rPr>
            </w:pPr>
            <w:r>
              <w:rPr>
                <w:rFonts w:ascii="Arial" w:eastAsia="Arial" w:hAnsi="Arial" w:cs="Arial"/>
                <w:sz w:val="18"/>
                <w:szCs w:val="18"/>
              </w:rPr>
              <w:t>—</w:t>
            </w:r>
          </w:p>
        </w:tc>
        <w:tc>
          <w:tcPr>
            <w:tcW w:w="340" w:type="dxa"/>
            <w:vAlign w:val="bottom"/>
          </w:tcPr>
          <w:p w14:paraId="735FB3F3" w14:textId="77777777" w:rsidR="00D1587D" w:rsidRDefault="00D1587D">
            <w:pPr>
              <w:rPr>
                <w:sz w:val="24"/>
                <w:szCs w:val="24"/>
              </w:rPr>
            </w:pPr>
          </w:p>
        </w:tc>
        <w:tc>
          <w:tcPr>
            <w:tcW w:w="420" w:type="dxa"/>
            <w:vAlign w:val="bottom"/>
          </w:tcPr>
          <w:p w14:paraId="3987797F" w14:textId="77777777" w:rsidR="00D1587D" w:rsidRDefault="00410D07">
            <w:pPr>
              <w:ind w:right="50"/>
              <w:jc w:val="right"/>
              <w:rPr>
                <w:sz w:val="20"/>
                <w:szCs w:val="20"/>
              </w:rPr>
            </w:pPr>
            <w:r>
              <w:rPr>
                <w:rFonts w:ascii="Arial" w:eastAsia="Arial" w:hAnsi="Arial" w:cs="Arial"/>
                <w:sz w:val="18"/>
                <w:szCs w:val="18"/>
              </w:rPr>
              <w:t>95</w:t>
            </w:r>
          </w:p>
        </w:tc>
      </w:tr>
      <w:tr w:rsidR="00D1587D" w14:paraId="7E1E63E5" w14:textId="77777777">
        <w:trPr>
          <w:trHeight w:val="304"/>
        </w:trPr>
        <w:tc>
          <w:tcPr>
            <w:tcW w:w="3360" w:type="dxa"/>
            <w:tcBorders>
              <w:bottom w:val="single" w:sz="8" w:space="0" w:color="CCEEFF"/>
            </w:tcBorders>
            <w:shd w:val="clear" w:color="auto" w:fill="CCEEFF"/>
            <w:vAlign w:val="bottom"/>
          </w:tcPr>
          <w:p w14:paraId="292D777E" w14:textId="77777777" w:rsidR="00D1587D" w:rsidRDefault="00410D07">
            <w:pPr>
              <w:rPr>
                <w:sz w:val="20"/>
                <w:szCs w:val="20"/>
              </w:rPr>
            </w:pPr>
            <w:r>
              <w:rPr>
                <w:rFonts w:ascii="Arial" w:eastAsia="Arial" w:hAnsi="Arial" w:cs="Arial"/>
                <w:w w:val="98"/>
                <w:sz w:val="18"/>
                <w:szCs w:val="18"/>
              </w:rPr>
              <w:t>Accumulated other comprehensive income</w:t>
            </w:r>
          </w:p>
        </w:tc>
        <w:tc>
          <w:tcPr>
            <w:tcW w:w="1860" w:type="dxa"/>
            <w:tcBorders>
              <w:bottom w:val="single" w:sz="8" w:space="0" w:color="CCEEFF"/>
            </w:tcBorders>
            <w:shd w:val="clear" w:color="auto" w:fill="CCEEFF"/>
            <w:vAlign w:val="bottom"/>
          </w:tcPr>
          <w:p w14:paraId="504DE47B" w14:textId="77777777" w:rsidR="00D1587D" w:rsidRDefault="00D1587D">
            <w:pPr>
              <w:rPr>
                <w:sz w:val="24"/>
                <w:szCs w:val="24"/>
              </w:rPr>
            </w:pPr>
          </w:p>
        </w:tc>
        <w:tc>
          <w:tcPr>
            <w:tcW w:w="1760" w:type="dxa"/>
            <w:tcBorders>
              <w:bottom w:val="single" w:sz="8" w:space="0" w:color="CCEEFF"/>
            </w:tcBorders>
            <w:shd w:val="clear" w:color="auto" w:fill="CCEEFF"/>
            <w:vAlign w:val="bottom"/>
          </w:tcPr>
          <w:p w14:paraId="57431601" w14:textId="77777777" w:rsidR="00D1587D" w:rsidRDefault="00D1587D">
            <w:pPr>
              <w:rPr>
                <w:sz w:val="24"/>
                <w:szCs w:val="24"/>
              </w:rPr>
            </w:pPr>
          </w:p>
        </w:tc>
        <w:tc>
          <w:tcPr>
            <w:tcW w:w="240" w:type="dxa"/>
            <w:tcBorders>
              <w:bottom w:val="single" w:sz="8" w:space="0" w:color="CCEEFF"/>
            </w:tcBorders>
            <w:shd w:val="clear" w:color="auto" w:fill="CCEEFF"/>
            <w:vAlign w:val="bottom"/>
          </w:tcPr>
          <w:p w14:paraId="43AFFD9A" w14:textId="77777777" w:rsidR="00D1587D" w:rsidRDefault="00D1587D">
            <w:pPr>
              <w:rPr>
                <w:sz w:val="24"/>
                <w:szCs w:val="24"/>
              </w:rPr>
            </w:pPr>
          </w:p>
        </w:tc>
        <w:tc>
          <w:tcPr>
            <w:tcW w:w="520" w:type="dxa"/>
            <w:tcBorders>
              <w:bottom w:val="single" w:sz="8" w:space="0" w:color="CCEEFF"/>
            </w:tcBorders>
            <w:shd w:val="clear" w:color="auto" w:fill="CCEEFF"/>
            <w:vAlign w:val="bottom"/>
          </w:tcPr>
          <w:p w14:paraId="51A0E399" w14:textId="77777777" w:rsidR="00D1587D" w:rsidRDefault="00410D07">
            <w:pPr>
              <w:ind w:right="54"/>
              <w:jc w:val="right"/>
              <w:rPr>
                <w:sz w:val="20"/>
                <w:szCs w:val="20"/>
              </w:rPr>
            </w:pPr>
            <w:r>
              <w:rPr>
                <w:rFonts w:ascii="Arial" w:eastAsia="Arial" w:hAnsi="Arial" w:cs="Arial"/>
                <w:sz w:val="18"/>
                <w:szCs w:val="18"/>
              </w:rPr>
              <w:t>7</w:t>
            </w:r>
          </w:p>
        </w:tc>
        <w:tc>
          <w:tcPr>
            <w:tcW w:w="100" w:type="dxa"/>
            <w:tcBorders>
              <w:bottom w:val="single" w:sz="8" w:space="0" w:color="CCEEFF"/>
            </w:tcBorders>
            <w:shd w:val="clear" w:color="auto" w:fill="CCEEFF"/>
            <w:vAlign w:val="bottom"/>
          </w:tcPr>
          <w:p w14:paraId="24483894" w14:textId="77777777" w:rsidR="00D1587D" w:rsidRDefault="00D1587D">
            <w:pPr>
              <w:rPr>
                <w:sz w:val="24"/>
                <w:szCs w:val="24"/>
              </w:rPr>
            </w:pPr>
          </w:p>
        </w:tc>
        <w:tc>
          <w:tcPr>
            <w:tcW w:w="340" w:type="dxa"/>
            <w:tcBorders>
              <w:bottom w:val="single" w:sz="8" w:space="0" w:color="CCEEFF"/>
            </w:tcBorders>
            <w:shd w:val="clear" w:color="auto" w:fill="CCEEFF"/>
            <w:vAlign w:val="bottom"/>
          </w:tcPr>
          <w:p w14:paraId="01AF50FF" w14:textId="77777777" w:rsidR="00D1587D" w:rsidRDefault="00D1587D">
            <w:pPr>
              <w:rPr>
                <w:sz w:val="24"/>
                <w:szCs w:val="24"/>
              </w:rPr>
            </w:pPr>
          </w:p>
        </w:tc>
        <w:tc>
          <w:tcPr>
            <w:tcW w:w="420" w:type="dxa"/>
            <w:tcBorders>
              <w:bottom w:val="single" w:sz="8" w:space="0" w:color="CCEEFF"/>
            </w:tcBorders>
            <w:shd w:val="clear" w:color="auto" w:fill="CCEEFF"/>
            <w:vAlign w:val="bottom"/>
          </w:tcPr>
          <w:p w14:paraId="3DC30833" w14:textId="77777777" w:rsidR="00D1587D" w:rsidRDefault="00410D07">
            <w:pPr>
              <w:ind w:right="50"/>
              <w:jc w:val="right"/>
              <w:rPr>
                <w:sz w:val="20"/>
                <w:szCs w:val="20"/>
              </w:rPr>
            </w:pPr>
            <w:r>
              <w:rPr>
                <w:rFonts w:ascii="Arial" w:eastAsia="Arial" w:hAnsi="Arial" w:cs="Arial"/>
                <w:sz w:val="18"/>
                <w:szCs w:val="18"/>
              </w:rPr>
              <w:t>7</w:t>
            </w:r>
          </w:p>
        </w:tc>
      </w:tr>
      <w:tr w:rsidR="00D1587D" w14:paraId="066F7884" w14:textId="77777777">
        <w:trPr>
          <w:trHeight w:val="338"/>
        </w:trPr>
        <w:tc>
          <w:tcPr>
            <w:tcW w:w="3360" w:type="dxa"/>
            <w:tcBorders>
              <w:bottom w:val="single" w:sz="8" w:space="0" w:color="CCEEFF"/>
            </w:tcBorders>
            <w:vAlign w:val="bottom"/>
          </w:tcPr>
          <w:p w14:paraId="6EEB3117" w14:textId="77777777" w:rsidR="00D1587D" w:rsidRDefault="00410D07">
            <w:pPr>
              <w:rPr>
                <w:sz w:val="20"/>
                <w:szCs w:val="20"/>
              </w:rPr>
            </w:pPr>
            <w:r>
              <w:rPr>
                <w:rFonts w:ascii="Arial" w:eastAsia="Arial" w:hAnsi="Arial" w:cs="Arial"/>
                <w:sz w:val="18"/>
                <w:szCs w:val="18"/>
              </w:rPr>
              <w:t>Net investment by L Brands. Inc.</w:t>
            </w:r>
            <w:r>
              <w:rPr>
                <w:rFonts w:ascii="Arial" w:eastAsia="Arial" w:hAnsi="Arial" w:cs="Arial"/>
                <w:sz w:val="29"/>
                <w:szCs w:val="29"/>
                <w:vertAlign w:val="superscript"/>
              </w:rPr>
              <w:t>(4)</w:t>
            </w:r>
          </w:p>
        </w:tc>
        <w:tc>
          <w:tcPr>
            <w:tcW w:w="1860" w:type="dxa"/>
            <w:tcBorders>
              <w:bottom w:val="single" w:sz="8" w:space="0" w:color="CCEEFF"/>
            </w:tcBorders>
            <w:vAlign w:val="bottom"/>
          </w:tcPr>
          <w:p w14:paraId="4FC72495" w14:textId="77777777" w:rsidR="00D1587D" w:rsidRDefault="00D1587D">
            <w:pPr>
              <w:rPr>
                <w:sz w:val="24"/>
                <w:szCs w:val="24"/>
              </w:rPr>
            </w:pPr>
          </w:p>
        </w:tc>
        <w:tc>
          <w:tcPr>
            <w:tcW w:w="1760" w:type="dxa"/>
            <w:tcBorders>
              <w:bottom w:val="single" w:sz="8" w:space="0" w:color="CCEEFF"/>
            </w:tcBorders>
            <w:vAlign w:val="bottom"/>
          </w:tcPr>
          <w:p w14:paraId="25D35141" w14:textId="77777777" w:rsidR="00D1587D" w:rsidRDefault="00D1587D">
            <w:pPr>
              <w:rPr>
                <w:sz w:val="24"/>
                <w:szCs w:val="24"/>
              </w:rPr>
            </w:pPr>
          </w:p>
        </w:tc>
        <w:tc>
          <w:tcPr>
            <w:tcW w:w="760" w:type="dxa"/>
            <w:gridSpan w:val="2"/>
            <w:tcBorders>
              <w:bottom w:val="single" w:sz="8" w:space="0" w:color="auto"/>
            </w:tcBorders>
            <w:vAlign w:val="bottom"/>
          </w:tcPr>
          <w:p w14:paraId="36E0FE62" w14:textId="77777777" w:rsidR="00D1587D" w:rsidRDefault="00410D07">
            <w:pPr>
              <w:ind w:right="54"/>
              <w:jc w:val="right"/>
              <w:rPr>
                <w:sz w:val="20"/>
                <w:szCs w:val="20"/>
              </w:rPr>
            </w:pPr>
            <w:r>
              <w:rPr>
                <w:rFonts w:ascii="Arial" w:eastAsia="Arial" w:hAnsi="Arial" w:cs="Arial"/>
                <w:sz w:val="18"/>
                <w:szCs w:val="18"/>
              </w:rPr>
              <w:t>1,000</w:t>
            </w:r>
          </w:p>
        </w:tc>
        <w:tc>
          <w:tcPr>
            <w:tcW w:w="100" w:type="dxa"/>
            <w:tcBorders>
              <w:bottom w:val="single" w:sz="8" w:space="0" w:color="CCEEFF"/>
            </w:tcBorders>
            <w:vAlign w:val="bottom"/>
          </w:tcPr>
          <w:p w14:paraId="708BD249" w14:textId="77777777" w:rsidR="00D1587D" w:rsidRDefault="00D1587D">
            <w:pPr>
              <w:rPr>
                <w:sz w:val="24"/>
                <w:szCs w:val="24"/>
              </w:rPr>
            </w:pPr>
          </w:p>
        </w:tc>
        <w:tc>
          <w:tcPr>
            <w:tcW w:w="340" w:type="dxa"/>
            <w:tcBorders>
              <w:bottom w:val="single" w:sz="8" w:space="0" w:color="auto"/>
            </w:tcBorders>
            <w:vAlign w:val="bottom"/>
          </w:tcPr>
          <w:p w14:paraId="3F0F2ECF" w14:textId="77777777" w:rsidR="00D1587D" w:rsidRDefault="00D1587D">
            <w:pPr>
              <w:rPr>
                <w:sz w:val="24"/>
                <w:szCs w:val="24"/>
              </w:rPr>
            </w:pPr>
          </w:p>
        </w:tc>
        <w:tc>
          <w:tcPr>
            <w:tcW w:w="420" w:type="dxa"/>
            <w:tcBorders>
              <w:bottom w:val="single" w:sz="8" w:space="0" w:color="auto"/>
            </w:tcBorders>
            <w:vAlign w:val="bottom"/>
          </w:tcPr>
          <w:p w14:paraId="44839171" w14:textId="77777777" w:rsidR="00D1587D" w:rsidRDefault="00410D07">
            <w:pPr>
              <w:ind w:right="50"/>
              <w:jc w:val="right"/>
              <w:rPr>
                <w:sz w:val="20"/>
                <w:szCs w:val="20"/>
              </w:rPr>
            </w:pPr>
            <w:r>
              <w:rPr>
                <w:rFonts w:ascii="Arial" w:eastAsia="Arial" w:hAnsi="Arial" w:cs="Arial"/>
                <w:sz w:val="18"/>
                <w:szCs w:val="18"/>
              </w:rPr>
              <w:t>—</w:t>
            </w:r>
          </w:p>
        </w:tc>
      </w:tr>
      <w:tr w:rsidR="00D1587D" w14:paraId="7F9AD96A" w14:textId="77777777">
        <w:trPr>
          <w:trHeight w:val="277"/>
        </w:trPr>
        <w:tc>
          <w:tcPr>
            <w:tcW w:w="3360" w:type="dxa"/>
            <w:shd w:val="clear" w:color="auto" w:fill="CCEEFF"/>
            <w:vAlign w:val="bottom"/>
          </w:tcPr>
          <w:p w14:paraId="7D6F18F8" w14:textId="77777777" w:rsidR="00D1587D" w:rsidRDefault="00410D07">
            <w:pPr>
              <w:ind w:left="180"/>
              <w:rPr>
                <w:sz w:val="20"/>
                <w:szCs w:val="20"/>
              </w:rPr>
            </w:pPr>
            <w:r>
              <w:rPr>
                <w:rFonts w:ascii="Arial" w:eastAsia="Arial" w:hAnsi="Arial" w:cs="Arial"/>
                <w:sz w:val="18"/>
                <w:szCs w:val="18"/>
              </w:rPr>
              <w:t>Total equity</w:t>
            </w:r>
          </w:p>
        </w:tc>
        <w:tc>
          <w:tcPr>
            <w:tcW w:w="1860" w:type="dxa"/>
            <w:shd w:val="clear" w:color="auto" w:fill="CCEEFF"/>
            <w:vAlign w:val="bottom"/>
          </w:tcPr>
          <w:p w14:paraId="2A1DEB10" w14:textId="77777777" w:rsidR="00D1587D" w:rsidRDefault="00D1587D">
            <w:pPr>
              <w:rPr>
                <w:sz w:val="24"/>
                <w:szCs w:val="24"/>
              </w:rPr>
            </w:pPr>
          </w:p>
        </w:tc>
        <w:tc>
          <w:tcPr>
            <w:tcW w:w="2520" w:type="dxa"/>
            <w:gridSpan w:val="3"/>
            <w:shd w:val="clear" w:color="auto" w:fill="CCEEFF"/>
            <w:vAlign w:val="bottom"/>
          </w:tcPr>
          <w:p w14:paraId="58CFA026" w14:textId="77777777" w:rsidR="00D1587D" w:rsidRDefault="00410D07">
            <w:pPr>
              <w:ind w:right="54"/>
              <w:jc w:val="right"/>
              <w:rPr>
                <w:sz w:val="20"/>
                <w:szCs w:val="20"/>
              </w:rPr>
            </w:pPr>
            <w:r>
              <w:rPr>
                <w:rFonts w:ascii="Arial" w:eastAsia="Arial" w:hAnsi="Arial" w:cs="Arial"/>
                <w:sz w:val="18"/>
                <w:szCs w:val="18"/>
              </w:rPr>
              <w:t>1,007</w:t>
            </w:r>
          </w:p>
        </w:tc>
        <w:tc>
          <w:tcPr>
            <w:tcW w:w="100" w:type="dxa"/>
            <w:shd w:val="clear" w:color="auto" w:fill="CCEEFF"/>
            <w:vAlign w:val="bottom"/>
          </w:tcPr>
          <w:p w14:paraId="303FBBC1" w14:textId="77777777" w:rsidR="00D1587D" w:rsidRDefault="00D1587D">
            <w:pPr>
              <w:rPr>
                <w:sz w:val="24"/>
                <w:szCs w:val="24"/>
              </w:rPr>
            </w:pPr>
          </w:p>
        </w:tc>
        <w:tc>
          <w:tcPr>
            <w:tcW w:w="340" w:type="dxa"/>
            <w:shd w:val="clear" w:color="auto" w:fill="CCEEFF"/>
            <w:vAlign w:val="bottom"/>
          </w:tcPr>
          <w:p w14:paraId="1812AED0" w14:textId="77777777" w:rsidR="00D1587D" w:rsidRDefault="00D1587D">
            <w:pPr>
              <w:rPr>
                <w:sz w:val="24"/>
                <w:szCs w:val="24"/>
              </w:rPr>
            </w:pPr>
          </w:p>
        </w:tc>
        <w:tc>
          <w:tcPr>
            <w:tcW w:w="420" w:type="dxa"/>
            <w:shd w:val="clear" w:color="auto" w:fill="CCEEFF"/>
            <w:vAlign w:val="bottom"/>
          </w:tcPr>
          <w:p w14:paraId="1FC910EB" w14:textId="77777777" w:rsidR="00D1587D" w:rsidRDefault="00410D07">
            <w:pPr>
              <w:ind w:right="50"/>
              <w:jc w:val="right"/>
              <w:rPr>
                <w:sz w:val="20"/>
                <w:szCs w:val="20"/>
              </w:rPr>
            </w:pPr>
            <w:r>
              <w:rPr>
                <w:rFonts w:ascii="Arial" w:eastAsia="Arial" w:hAnsi="Arial" w:cs="Arial"/>
                <w:w w:val="86"/>
                <w:sz w:val="18"/>
                <w:szCs w:val="18"/>
              </w:rPr>
              <w:t>102</w:t>
            </w:r>
          </w:p>
        </w:tc>
      </w:tr>
      <w:tr w:rsidR="00D1587D" w14:paraId="77336E03" w14:textId="77777777">
        <w:trPr>
          <w:trHeight w:val="67"/>
        </w:trPr>
        <w:tc>
          <w:tcPr>
            <w:tcW w:w="3360" w:type="dxa"/>
            <w:shd w:val="clear" w:color="auto" w:fill="CCEEFF"/>
            <w:vAlign w:val="bottom"/>
          </w:tcPr>
          <w:p w14:paraId="7293B3BC" w14:textId="77777777" w:rsidR="00D1587D" w:rsidRDefault="00D1587D">
            <w:pPr>
              <w:rPr>
                <w:sz w:val="5"/>
                <w:szCs w:val="5"/>
              </w:rPr>
            </w:pPr>
          </w:p>
        </w:tc>
        <w:tc>
          <w:tcPr>
            <w:tcW w:w="1860" w:type="dxa"/>
            <w:shd w:val="clear" w:color="auto" w:fill="CCEEFF"/>
            <w:vAlign w:val="bottom"/>
          </w:tcPr>
          <w:p w14:paraId="276339CC" w14:textId="77777777" w:rsidR="00D1587D" w:rsidRDefault="00D1587D">
            <w:pPr>
              <w:rPr>
                <w:sz w:val="5"/>
                <w:szCs w:val="5"/>
              </w:rPr>
            </w:pPr>
          </w:p>
        </w:tc>
        <w:tc>
          <w:tcPr>
            <w:tcW w:w="1760" w:type="dxa"/>
            <w:shd w:val="clear" w:color="auto" w:fill="CCEEFF"/>
            <w:vAlign w:val="bottom"/>
          </w:tcPr>
          <w:p w14:paraId="24ACFC63" w14:textId="77777777" w:rsidR="00D1587D" w:rsidRDefault="00D1587D">
            <w:pPr>
              <w:rPr>
                <w:sz w:val="5"/>
                <w:szCs w:val="5"/>
              </w:rPr>
            </w:pPr>
          </w:p>
        </w:tc>
        <w:tc>
          <w:tcPr>
            <w:tcW w:w="760" w:type="dxa"/>
            <w:gridSpan w:val="2"/>
            <w:tcBorders>
              <w:bottom w:val="single" w:sz="8" w:space="0" w:color="auto"/>
            </w:tcBorders>
            <w:shd w:val="clear" w:color="auto" w:fill="CCEEFF"/>
            <w:vAlign w:val="bottom"/>
          </w:tcPr>
          <w:p w14:paraId="1B5B1B10" w14:textId="77777777" w:rsidR="00D1587D" w:rsidRDefault="00D1587D">
            <w:pPr>
              <w:rPr>
                <w:sz w:val="5"/>
                <w:szCs w:val="5"/>
              </w:rPr>
            </w:pPr>
          </w:p>
        </w:tc>
        <w:tc>
          <w:tcPr>
            <w:tcW w:w="100" w:type="dxa"/>
            <w:tcBorders>
              <w:bottom w:val="single" w:sz="8" w:space="0" w:color="CCEEFF"/>
            </w:tcBorders>
            <w:shd w:val="clear" w:color="auto" w:fill="CCEEFF"/>
            <w:vAlign w:val="bottom"/>
          </w:tcPr>
          <w:p w14:paraId="1129F807" w14:textId="77777777" w:rsidR="00D1587D" w:rsidRDefault="00D1587D">
            <w:pPr>
              <w:rPr>
                <w:sz w:val="5"/>
                <w:szCs w:val="5"/>
              </w:rPr>
            </w:pPr>
          </w:p>
        </w:tc>
        <w:tc>
          <w:tcPr>
            <w:tcW w:w="760" w:type="dxa"/>
            <w:gridSpan w:val="2"/>
            <w:tcBorders>
              <w:bottom w:val="single" w:sz="8" w:space="0" w:color="auto"/>
            </w:tcBorders>
            <w:shd w:val="clear" w:color="auto" w:fill="CCEEFF"/>
            <w:vAlign w:val="bottom"/>
          </w:tcPr>
          <w:p w14:paraId="121CD566" w14:textId="77777777" w:rsidR="00D1587D" w:rsidRDefault="00D1587D">
            <w:pPr>
              <w:rPr>
                <w:sz w:val="5"/>
                <w:szCs w:val="5"/>
              </w:rPr>
            </w:pPr>
          </w:p>
        </w:tc>
      </w:tr>
      <w:tr w:rsidR="00D1587D" w14:paraId="56947B3F" w14:textId="77777777">
        <w:trPr>
          <w:trHeight w:val="304"/>
        </w:trPr>
        <w:tc>
          <w:tcPr>
            <w:tcW w:w="3360" w:type="dxa"/>
            <w:vAlign w:val="bottom"/>
          </w:tcPr>
          <w:p w14:paraId="0B105FA1" w14:textId="77777777" w:rsidR="00D1587D" w:rsidRDefault="00410D07">
            <w:pPr>
              <w:ind w:left="180"/>
              <w:rPr>
                <w:sz w:val="20"/>
                <w:szCs w:val="20"/>
              </w:rPr>
            </w:pPr>
            <w:r>
              <w:rPr>
                <w:rFonts w:ascii="Arial" w:eastAsia="Arial" w:hAnsi="Arial" w:cs="Arial"/>
                <w:sz w:val="18"/>
                <w:szCs w:val="18"/>
              </w:rPr>
              <w:t>Total capitalization</w:t>
            </w:r>
          </w:p>
        </w:tc>
        <w:tc>
          <w:tcPr>
            <w:tcW w:w="1860" w:type="dxa"/>
            <w:vAlign w:val="bottom"/>
          </w:tcPr>
          <w:p w14:paraId="0E3164C1" w14:textId="77777777" w:rsidR="00D1587D" w:rsidRDefault="00D1587D">
            <w:pPr>
              <w:rPr>
                <w:sz w:val="24"/>
                <w:szCs w:val="24"/>
              </w:rPr>
            </w:pPr>
          </w:p>
        </w:tc>
        <w:tc>
          <w:tcPr>
            <w:tcW w:w="2520" w:type="dxa"/>
            <w:gridSpan w:val="3"/>
            <w:vAlign w:val="bottom"/>
          </w:tcPr>
          <w:p w14:paraId="17F2FB9C" w14:textId="77777777" w:rsidR="00D1587D" w:rsidRDefault="00410D07">
            <w:pPr>
              <w:ind w:right="54"/>
              <w:jc w:val="right"/>
              <w:rPr>
                <w:sz w:val="20"/>
                <w:szCs w:val="20"/>
              </w:rPr>
            </w:pPr>
            <w:r>
              <w:rPr>
                <w:rFonts w:ascii="Arial" w:eastAsia="Arial" w:hAnsi="Arial" w:cs="Arial"/>
                <w:sz w:val="18"/>
                <w:szCs w:val="18"/>
              </w:rPr>
              <w:t>$1,104</w:t>
            </w:r>
          </w:p>
        </w:tc>
        <w:tc>
          <w:tcPr>
            <w:tcW w:w="100" w:type="dxa"/>
            <w:vAlign w:val="bottom"/>
          </w:tcPr>
          <w:p w14:paraId="5FAB4BB0" w14:textId="77777777" w:rsidR="00D1587D" w:rsidRDefault="00D1587D">
            <w:pPr>
              <w:rPr>
                <w:sz w:val="24"/>
                <w:szCs w:val="24"/>
              </w:rPr>
            </w:pPr>
          </w:p>
        </w:tc>
        <w:tc>
          <w:tcPr>
            <w:tcW w:w="760" w:type="dxa"/>
            <w:gridSpan w:val="2"/>
            <w:vAlign w:val="bottom"/>
          </w:tcPr>
          <w:p w14:paraId="49838BBC" w14:textId="77777777" w:rsidR="00D1587D" w:rsidRDefault="00410D07">
            <w:pPr>
              <w:ind w:right="50"/>
              <w:jc w:val="right"/>
              <w:rPr>
                <w:sz w:val="20"/>
                <w:szCs w:val="20"/>
              </w:rPr>
            </w:pPr>
            <w:r>
              <w:rPr>
                <w:rFonts w:ascii="Arial" w:eastAsia="Arial" w:hAnsi="Arial" w:cs="Arial"/>
                <w:sz w:val="18"/>
                <w:szCs w:val="18"/>
              </w:rPr>
              <w:t>$1,077</w:t>
            </w:r>
          </w:p>
        </w:tc>
      </w:tr>
      <w:tr w:rsidR="00D1587D" w14:paraId="041BB004" w14:textId="77777777">
        <w:trPr>
          <w:trHeight w:val="27"/>
        </w:trPr>
        <w:tc>
          <w:tcPr>
            <w:tcW w:w="3360" w:type="dxa"/>
            <w:vAlign w:val="bottom"/>
          </w:tcPr>
          <w:p w14:paraId="1948F276" w14:textId="77777777" w:rsidR="00D1587D" w:rsidRDefault="00D1587D">
            <w:pPr>
              <w:rPr>
                <w:sz w:val="2"/>
                <w:szCs w:val="2"/>
              </w:rPr>
            </w:pPr>
          </w:p>
        </w:tc>
        <w:tc>
          <w:tcPr>
            <w:tcW w:w="1860" w:type="dxa"/>
            <w:vAlign w:val="bottom"/>
          </w:tcPr>
          <w:p w14:paraId="1E8A52CA" w14:textId="77777777" w:rsidR="00D1587D" w:rsidRDefault="00D1587D">
            <w:pPr>
              <w:rPr>
                <w:sz w:val="2"/>
                <w:szCs w:val="2"/>
              </w:rPr>
            </w:pPr>
          </w:p>
        </w:tc>
        <w:tc>
          <w:tcPr>
            <w:tcW w:w="1760" w:type="dxa"/>
            <w:vAlign w:val="bottom"/>
          </w:tcPr>
          <w:p w14:paraId="3B96D285" w14:textId="77777777" w:rsidR="00D1587D" w:rsidRDefault="00D1587D">
            <w:pPr>
              <w:rPr>
                <w:sz w:val="2"/>
                <w:szCs w:val="2"/>
              </w:rPr>
            </w:pPr>
          </w:p>
        </w:tc>
        <w:tc>
          <w:tcPr>
            <w:tcW w:w="240" w:type="dxa"/>
            <w:tcBorders>
              <w:bottom w:val="single" w:sz="8" w:space="0" w:color="auto"/>
            </w:tcBorders>
            <w:vAlign w:val="bottom"/>
          </w:tcPr>
          <w:p w14:paraId="24170891" w14:textId="77777777" w:rsidR="00D1587D" w:rsidRDefault="00D1587D">
            <w:pPr>
              <w:rPr>
                <w:sz w:val="2"/>
                <w:szCs w:val="2"/>
              </w:rPr>
            </w:pPr>
          </w:p>
        </w:tc>
        <w:tc>
          <w:tcPr>
            <w:tcW w:w="520" w:type="dxa"/>
            <w:tcBorders>
              <w:bottom w:val="single" w:sz="8" w:space="0" w:color="auto"/>
            </w:tcBorders>
            <w:vAlign w:val="bottom"/>
          </w:tcPr>
          <w:p w14:paraId="22B06AC2" w14:textId="77777777" w:rsidR="00D1587D" w:rsidRDefault="00D1587D">
            <w:pPr>
              <w:rPr>
                <w:sz w:val="2"/>
                <w:szCs w:val="2"/>
              </w:rPr>
            </w:pPr>
          </w:p>
        </w:tc>
        <w:tc>
          <w:tcPr>
            <w:tcW w:w="100" w:type="dxa"/>
            <w:vAlign w:val="bottom"/>
          </w:tcPr>
          <w:p w14:paraId="64FC6446" w14:textId="77777777" w:rsidR="00D1587D" w:rsidRDefault="00D1587D">
            <w:pPr>
              <w:rPr>
                <w:sz w:val="2"/>
                <w:szCs w:val="2"/>
              </w:rPr>
            </w:pPr>
          </w:p>
        </w:tc>
        <w:tc>
          <w:tcPr>
            <w:tcW w:w="340" w:type="dxa"/>
            <w:tcBorders>
              <w:bottom w:val="single" w:sz="8" w:space="0" w:color="auto"/>
            </w:tcBorders>
            <w:vAlign w:val="bottom"/>
          </w:tcPr>
          <w:p w14:paraId="419FBC6D" w14:textId="77777777" w:rsidR="00D1587D" w:rsidRDefault="00D1587D">
            <w:pPr>
              <w:rPr>
                <w:sz w:val="2"/>
                <w:szCs w:val="2"/>
              </w:rPr>
            </w:pPr>
          </w:p>
        </w:tc>
        <w:tc>
          <w:tcPr>
            <w:tcW w:w="420" w:type="dxa"/>
            <w:tcBorders>
              <w:bottom w:val="single" w:sz="8" w:space="0" w:color="auto"/>
            </w:tcBorders>
            <w:vAlign w:val="bottom"/>
          </w:tcPr>
          <w:p w14:paraId="280C8A20" w14:textId="77777777" w:rsidR="00D1587D" w:rsidRDefault="00D1587D">
            <w:pPr>
              <w:rPr>
                <w:sz w:val="2"/>
                <w:szCs w:val="2"/>
              </w:rPr>
            </w:pPr>
          </w:p>
        </w:tc>
      </w:tr>
      <w:tr w:rsidR="00D1587D" w14:paraId="00BD60FB" w14:textId="77777777">
        <w:trPr>
          <w:trHeight w:val="20"/>
        </w:trPr>
        <w:tc>
          <w:tcPr>
            <w:tcW w:w="3360" w:type="dxa"/>
            <w:vAlign w:val="bottom"/>
          </w:tcPr>
          <w:p w14:paraId="353C3A62" w14:textId="77777777" w:rsidR="00D1587D" w:rsidRDefault="00D1587D">
            <w:pPr>
              <w:spacing w:line="20" w:lineRule="exact"/>
              <w:rPr>
                <w:sz w:val="1"/>
                <w:szCs w:val="1"/>
              </w:rPr>
            </w:pPr>
          </w:p>
        </w:tc>
        <w:tc>
          <w:tcPr>
            <w:tcW w:w="1860" w:type="dxa"/>
            <w:vAlign w:val="bottom"/>
          </w:tcPr>
          <w:p w14:paraId="62988C87" w14:textId="77777777" w:rsidR="00D1587D" w:rsidRDefault="00D1587D">
            <w:pPr>
              <w:spacing w:line="20" w:lineRule="exact"/>
              <w:rPr>
                <w:sz w:val="1"/>
                <w:szCs w:val="1"/>
              </w:rPr>
            </w:pPr>
          </w:p>
        </w:tc>
        <w:tc>
          <w:tcPr>
            <w:tcW w:w="1760" w:type="dxa"/>
            <w:vAlign w:val="bottom"/>
          </w:tcPr>
          <w:p w14:paraId="11540976" w14:textId="77777777" w:rsidR="00D1587D" w:rsidRDefault="00D1587D">
            <w:pPr>
              <w:spacing w:line="20" w:lineRule="exact"/>
              <w:rPr>
                <w:sz w:val="1"/>
                <w:szCs w:val="1"/>
              </w:rPr>
            </w:pPr>
          </w:p>
        </w:tc>
        <w:tc>
          <w:tcPr>
            <w:tcW w:w="240" w:type="dxa"/>
            <w:tcBorders>
              <w:bottom w:val="single" w:sz="8" w:space="0" w:color="auto"/>
            </w:tcBorders>
            <w:vAlign w:val="bottom"/>
          </w:tcPr>
          <w:p w14:paraId="5FFBB55A" w14:textId="77777777" w:rsidR="00D1587D" w:rsidRDefault="00D1587D">
            <w:pPr>
              <w:spacing w:line="20" w:lineRule="exact"/>
              <w:rPr>
                <w:sz w:val="1"/>
                <w:szCs w:val="1"/>
              </w:rPr>
            </w:pPr>
          </w:p>
        </w:tc>
        <w:tc>
          <w:tcPr>
            <w:tcW w:w="520" w:type="dxa"/>
            <w:tcBorders>
              <w:bottom w:val="single" w:sz="8" w:space="0" w:color="auto"/>
            </w:tcBorders>
            <w:vAlign w:val="bottom"/>
          </w:tcPr>
          <w:p w14:paraId="56693475" w14:textId="77777777" w:rsidR="00D1587D" w:rsidRDefault="00D1587D">
            <w:pPr>
              <w:spacing w:line="20" w:lineRule="exact"/>
              <w:rPr>
                <w:sz w:val="1"/>
                <w:szCs w:val="1"/>
              </w:rPr>
            </w:pPr>
          </w:p>
        </w:tc>
        <w:tc>
          <w:tcPr>
            <w:tcW w:w="100" w:type="dxa"/>
            <w:vAlign w:val="bottom"/>
          </w:tcPr>
          <w:p w14:paraId="1D0E4286" w14:textId="77777777" w:rsidR="00D1587D" w:rsidRDefault="00D1587D">
            <w:pPr>
              <w:spacing w:line="20" w:lineRule="exact"/>
              <w:rPr>
                <w:sz w:val="1"/>
                <w:szCs w:val="1"/>
              </w:rPr>
            </w:pPr>
          </w:p>
        </w:tc>
        <w:tc>
          <w:tcPr>
            <w:tcW w:w="340" w:type="dxa"/>
            <w:tcBorders>
              <w:bottom w:val="single" w:sz="8" w:space="0" w:color="auto"/>
            </w:tcBorders>
            <w:vAlign w:val="bottom"/>
          </w:tcPr>
          <w:p w14:paraId="471AD63C" w14:textId="77777777" w:rsidR="00D1587D" w:rsidRDefault="00D1587D">
            <w:pPr>
              <w:spacing w:line="20" w:lineRule="exact"/>
              <w:rPr>
                <w:sz w:val="1"/>
                <w:szCs w:val="1"/>
              </w:rPr>
            </w:pPr>
          </w:p>
        </w:tc>
        <w:tc>
          <w:tcPr>
            <w:tcW w:w="420" w:type="dxa"/>
            <w:tcBorders>
              <w:bottom w:val="single" w:sz="8" w:space="0" w:color="auto"/>
            </w:tcBorders>
            <w:vAlign w:val="bottom"/>
          </w:tcPr>
          <w:p w14:paraId="6B99A78B" w14:textId="77777777" w:rsidR="00D1587D" w:rsidRDefault="00D1587D">
            <w:pPr>
              <w:spacing w:line="20" w:lineRule="exact"/>
              <w:rPr>
                <w:sz w:val="1"/>
                <w:szCs w:val="1"/>
              </w:rPr>
            </w:pPr>
          </w:p>
        </w:tc>
      </w:tr>
    </w:tbl>
    <w:p w14:paraId="7C3E3CCB" w14:textId="77777777" w:rsidR="00D1587D" w:rsidRDefault="00410D07">
      <w:pPr>
        <w:spacing w:line="20" w:lineRule="exact"/>
        <w:rPr>
          <w:sz w:val="20"/>
          <w:szCs w:val="20"/>
        </w:rPr>
      </w:pPr>
      <w:r>
        <w:rPr>
          <w:noProof/>
          <w:sz w:val="20"/>
          <w:szCs w:val="20"/>
        </w:rPr>
        <w:drawing>
          <wp:anchor distT="0" distB="0" distL="114300" distR="114300" simplePos="0" relativeHeight="251497472" behindDoc="1" locked="0" layoutInCell="0" allowOverlap="1" wp14:anchorId="0270995B" wp14:editId="34B7F593">
            <wp:simplePos x="0" y="0"/>
            <wp:positionH relativeFrom="column">
              <wp:posOffset>4591685</wp:posOffset>
            </wp:positionH>
            <wp:positionV relativeFrom="paragraph">
              <wp:posOffset>-256540</wp:posOffset>
            </wp:positionV>
            <wp:extent cx="34290" cy="8890"/>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5"/>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498496" behindDoc="1" locked="0" layoutInCell="0" allowOverlap="1" wp14:anchorId="1054E71E" wp14:editId="243324CB">
            <wp:simplePos x="0" y="0"/>
            <wp:positionH relativeFrom="column">
              <wp:posOffset>5106035</wp:posOffset>
            </wp:positionH>
            <wp:positionV relativeFrom="paragraph">
              <wp:posOffset>-487680</wp:posOffset>
            </wp:positionV>
            <wp:extent cx="68580" cy="8255"/>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499520" behindDoc="1" locked="0" layoutInCell="0" allowOverlap="1" wp14:anchorId="591750BE" wp14:editId="6E81706C">
            <wp:simplePos x="0" y="0"/>
            <wp:positionH relativeFrom="column">
              <wp:posOffset>4591685</wp:posOffset>
            </wp:positionH>
            <wp:positionV relativeFrom="paragraph">
              <wp:posOffset>-487680</wp:posOffset>
            </wp:positionV>
            <wp:extent cx="34290" cy="8255"/>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00544" behindDoc="1" locked="0" layoutInCell="0" allowOverlap="1" wp14:anchorId="76C2D28C" wp14:editId="2B1433AE">
            <wp:simplePos x="0" y="0"/>
            <wp:positionH relativeFrom="column">
              <wp:posOffset>4591685</wp:posOffset>
            </wp:positionH>
            <wp:positionV relativeFrom="paragraph">
              <wp:posOffset>-1679575</wp:posOffset>
            </wp:positionV>
            <wp:extent cx="34290" cy="8890"/>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5"/>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501568" behindDoc="1" locked="0" layoutInCell="0" allowOverlap="1" wp14:anchorId="410F6690" wp14:editId="06DE7FAD">
            <wp:simplePos x="0" y="0"/>
            <wp:positionH relativeFrom="column">
              <wp:posOffset>5106035</wp:posOffset>
            </wp:positionH>
            <wp:positionV relativeFrom="paragraph">
              <wp:posOffset>-1910715</wp:posOffset>
            </wp:positionV>
            <wp:extent cx="68580" cy="825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02592" behindDoc="1" locked="0" layoutInCell="0" allowOverlap="1" wp14:anchorId="20D4CFC4" wp14:editId="1F33435C">
            <wp:simplePos x="0" y="0"/>
            <wp:positionH relativeFrom="column">
              <wp:posOffset>4591685</wp:posOffset>
            </wp:positionH>
            <wp:positionV relativeFrom="paragraph">
              <wp:posOffset>-1910715</wp:posOffset>
            </wp:positionV>
            <wp:extent cx="34290" cy="825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03616" behindDoc="1" locked="0" layoutInCell="0" allowOverlap="1" wp14:anchorId="0CABD9E5" wp14:editId="37D2E5E2">
            <wp:simplePos x="0" y="0"/>
            <wp:positionH relativeFrom="column">
              <wp:posOffset>4591685</wp:posOffset>
            </wp:positionH>
            <wp:positionV relativeFrom="paragraph">
              <wp:posOffset>-2553970</wp:posOffset>
            </wp:positionV>
            <wp:extent cx="34290" cy="8255"/>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5"/>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04640" behindDoc="1" locked="0" layoutInCell="0" allowOverlap="1" wp14:anchorId="30C9D1B7" wp14:editId="497F1F50">
            <wp:simplePos x="0" y="0"/>
            <wp:positionH relativeFrom="column">
              <wp:posOffset>5106035</wp:posOffset>
            </wp:positionH>
            <wp:positionV relativeFrom="paragraph">
              <wp:posOffset>-2965450</wp:posOffset>
            </wp:positionV>
            <wp:extent cx="68580" cy="8890"/>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505664" behindDoc="1" locked="0" layoutInCell="0" allowOverlap="1" wp14:anchorId="2CE124FE" wp14:editId="5454F173">
            <wp:simplePos x="0" y="0"/>
            <wp:positionH relativeFrom="column">
              <wp:posOffset>185420</wp:posOffset>
            </wp:positionH>
            <wp:positionV relativeFrom="paragraph">
              <wp:posOffset>154305</wp:posOffset>
            </wp:positionV>
            <wp:extent cx="822960" cy="8890"/>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7AAF401D" w14:textId="77777777" w:rsidR="00D1587D" w:rsidRDefault="00D1587D">
      <w:pPr>
        <w:spacing w:line="272" w:lineRule="exact"/>
        <w:rPr>
          <w:sz w:val="20"/>
          <w:szCs w:val="20"/>
        </w:rPr>
      </w:pPr>
    </w:p>
    <w:p w14:paraId="303B9465" w14:textId="77777777" w:rsidR="00D1587D" w:rsidRDefault="00410D07" w:rsidP="00410D07">
      <w:pPr>
        <w:numPr>
          <w:ilvl w:val="0"/>
          <w:numId w:val="269"/>
        </w:numPr>
        <w:tabs>
          <w:tab w:val="left" w:pos="640"/>
        </w:tabs>
        <w:spacing w:line="253" w:lineRule="auto"/>
        <w:ind w:left="640" w:right="479" w:hanging="348"/>
        <w:rPr>
          <w:rFonts w:ascii="Arial" w:eastAsia="Arial" w:hAnsi="Arial" w:cs="Arial"/>
          <w:sz w:val="14"/>
          <w:szCs w:val="14"/>
        </w:rPr>
      </w:pPr>
      <w:r>
        <w:rPr>
          <w:rFonts w:ascii="Arial" w:eastAsia="Arial" w:hAnsi="Arial" w:cs="Arial"/>
          <w:sz w:val="14"/>
          <w:szCs w:val="14"/>
        </w:rPr>
        <w:t>Reflects an expected cash amount of $250 million at Separation following receipt of debt proceeds and the cash transfer to LB (including the LB Cash Payment).</w:t>
      </w:r>
    </w:p>
    <w:p w14:paraId="78B8A3E8" w14:textId="77777777" w:rsidR="00D1587D" w:rsidRDefault="00D1587D">
      <w:pPr>
        <w:spacing w:line="11" w:lineRule="exact"/>
        <w:rPr>
          <w:rFonts w:ascii="Arial" w:eastAsia="Arial" w:hAnsi="Arial" w:cs="Arial"/>
          <w:sz w:val="14"/>
          <w:szCs w:val="14"/>
        </w:rPr>
      </w:pPr>
    </w:p>
    <w:p w14:paraId="5E74E47B" w14:textId="77777777" w:rsidR="00D1587D" w:rsidRDefault="00410D07" w:rsidP="00410D07">
      <w:pPr>
        <w:numPr>
          <w:ilvl w:val="0"/>
          <w:numId w:val="269"/>
        </w:numPr>
        <w:tabs>
          <w:tab w:val="left" w:pos="640"/>
        </w:tabs>
        <w:spacing w:line="253" w:lineRule="auto"/>
        <w:ind w:left="640" w:right="359" w:hanging="348"/>
        <w:rPr>
          <w:rFonts w:ascii="Arial" w:eastAsia="Arial" w:hAnsi="Arial" w:cs="Arial"/>
          <w:sz w:val="14"/>
          <w:szCs w:val="14"/>
        </w:rPr>
      </w:pPr>
      <w:r>
        <w:rPr>
          <w:rFonts w:ascii="Arial" w:eastAsia="Arial" w:hAnsi="Arial" w:cs="Arial"/>
          <w:sz w:val="14"/>
          <w:szCs w:val="14"/>
        </w:rPr>
        <w:t xml:space="preserve">Reflects an estimated $1.0 billion of new long-term debt from </w:t>
      </w:r>
      <w:r>
        <w:rPr>
          <w:rFonts w:ascii="Arial" w:eastAsia="Arial" w:hAnsi="Arial" w:cs="Arial"/>
          <w:sz w:val="14"/>
          <w:szCs w:val="14"/>
        </w:rPr>
        <w:t>senior notes and/or term loan facilities we expect to incur in connection with the Separation, less $25 million of estimated debt issuance costs.</w:t>
      </w:r>
    </w:p>
    <w:p w14:paraId="456E1D6C" w14:textId="77777777" w:rsidR="00D1587D" w:rsidRDefault="00D1587D">
      <w:pPr>
        <w:spacing w:line="11" w:lineRule="exact"/>
        <w:rPr>
          <w:rFonts w:ascii="Arial" w:eastAsia="Arial" w:hAnsi="Arial" w:cs="Arial"/>
          <w:sz w:val="14"/>
          <w:szCs w:val="14"/>
        </w:rPr>
      </w:pPr>
    </w:p>
    <w:p w14:paraId="2C6B90CD" w14:textId="77777777" w:rsidR="00D1587D" w:rsidRDefault="00410D07" w:rsidP="00410D07">
      <w:pPr>
        <w:numPr>
          <w:ilvl w:val="0"/>
          <w:numId w:val="269"/>
        </w:numPr>
        <w:tabs>
          <w:tab w:val="left" w:pos="640"/>
        </w:tabs>
        <w:ind w:left="640" w:hanging="348"/>
        <w:rPr>
          <w:rFonts w:ascii="Arial" w:eastAsia="Arial" w:hAnsi="Arial" w:cs="Arial"/>
          <w:sz w:val="14"/>
          <w:szCs w:val="14"/>
        </w:rPr>
      </w:pPr>
      <w:r>
        <w:rPr>
          <w:rFonts w:ascii="Arial" w:eastAsia="Arial" w:hAnsi="Arial" w:cs="Arial"/>
          <w:sz w:val="14"/>
          <w:szCs w:val="14"/>
        </w:rPr>
        <w:t>Reflects that we will no longer have the related party note at the time of the Separation.</w:t>
      </w:r>
    </w:p>
    <w:p w14:paraId="359ED6C6" w14:textId="77777777" w:rsidR="00D1587D" w:rsidRDefault="00D1587D">
      <w:pPr>
        <w:spacing w:line="41" w:lineRule="exact"/>
        <w:rPr>
          <w:rFonts w:ascii="Arial" w:eastAsia="Arial" w:hAnsi="Arial" w:cs="Arial"/>
          <w:sz w:val="14"/>
          <w:szCs w:val="14"/>
        </w:rPr>
      </w:pPr>
    </w:p>
    <w:p w14:paraId="29A23CA7" w14:textId="77777777" w:rsidR="00D1587D" w:rsidRDefault="00410D07" w:rsidP="00410D07">
      <w:pPr>
        <w:numPr>
          <w:ilvl w:val="0"/>
          <w:numId w:val="269"/>
        </w:numPr>
        <w:tabs>
          <w:tab w:val="left" w:pos="640"/>
        </w:tabs>
        <w:ind w:left="640" w:hanging="348"/>
        <w:rPr>
          <w:rFonts w:ascii="Arial" w:eastAsia="Arial" w:hAnsi="Arial" w:cs="Arial"/>
          <w:sz w:val="14"/>
          <w:szCs w:val="14"/>
        </w:rPr>
      </w:pPr>
      <w:r>
        <w:rPr>
          <w:rFonts w:ascii="Arial" w:eastAsia="Arial" w:hAnsi="Arial" w:cs="Arial"/>
          <w:sz w:val="14"/>
          <w:szCs w:val="14"/>
        </w:rPr>
        <w:t>At Separation, LB</w:t>
      </w:r>
      <w:r>
        <w:rPr>
          <w:rFonts w:ascii="Arial" w:eastAsia="Arial" w:hAnsi="Arial" w:cs="Arial"/>
          <w:sz w:val="14"/>
          <w:szCs w:val="14"/>
        </w:rPr>
        <w:t>’s net investment in us will be eliminated to reflect the distribution of our common stock to LB’s stockholders, at an</w:t>
      </w:r>
    </w:p>
    <w:p w14:paraId="4FFD9A86" w14:textId="77777777" w:rsidR="00D1587D" w:rsidRDefault="00410D07">
      <w:pPr>
        <w:tabs>
          <w:tab w:val="left" w:pos="4540"/>
        </w:tabs>
        <w:ind w:left="640"/>
        <w:rPr>
          <w:sz w:val="20"/>
          <w:szCs w:val="20"/>
        </w:rPr>
      </w:pPr>
      <w:r>
        <w:rPr>
          <w:rFonts w:ascii="Arial" w:eastAsia="Arial" w:hAnsi="Arial" w:cs="Arial"/>
          <w:sz w:val="14"/>
          <w:szCs w:val="14"/>
        </w:rPr>
        <w:t>exchange ratio of one share of our common stock for every</w:t>
      </w:r>
      <w:r>
        <w:rPr>
          <w:sz w:val="20"/>
          <w:szCs w:val="20"/>
        </w:rPr>
        <w:tab/>
      </w:r>
      <w:r>
        <w:rPr>
          <w:rFonts w:ascii="Arial" w:eastAsia="Arial" w:hAnsi="Arial" w:cs="Arial"/>
          <w:sz w:val="12"/>
          <w:szCs w:val="12"/>
        </w:rPr>
        <w:t>shares of LB common stock.</w:t>
      </w:r>
    </w:p>
    <w:p w14:paraId="4F1DE7F0" w14:textId="77777777" w:rsidR="00D1587D" w:rsidRDefault="00D1587D">
      <w:pPr>
        <w:spacing w:line="196" w:lineRule="exact"/>
        <w:rPr>
          <w:sz w:val="20"/>
          <w:szCs w:val="20"/>
        </w:rPr>
      </w:pPr>
    </w:p>
    <w:p w14:paraId="4957B32F" w14:textId="77777777" w:rsidR="00D1587D" w:rsidRDefault="00410D07">
      <w:pPr>
        <w:jc w:val="center"/>
        <w:rPr>
          <w:sz w:val="20"/>
          <w:szCs w:val="20"/>
        </w:rPr>
      </w:pPr>
      <w:r>
        <w:rPr>
          <w:rFonts w:ascii="Arial" w:eastAsia="Arial" w:hAnsi="Arial" w:cs="Arial"/>
          <w:sz w:val="18"/>
          <w:szCs w:val="18"/>
        </w:rPr>
        <w:t>54</w:t>
      </w:r>
    </w:p>
    <w:p w14:paraId="4481F97A" w14:textId="77777777" w:rsidR="00D1587D" w:rsidRDefault="00410D07">
      <w:pPr>
        <w:spacing w:line="20" w:lineRule="exact"/>
        <w:rPr>
          <w:sz w:val="20"/>
          <w:szCs w:val="20"/>
        </w:rPr>
      </w:pPr>
      <w:r>
        <w:rPr>
          <w:noProof/>
          <w:sz w:val="20"/>
          <w:szCs w:val="20"/>
        </w:rPr>
        <w:drawing>
          <wp:anchor distT="0" distB="0" distL="114300" distR="114300" simplePos="0" relativeHeight="251506688" behindDoc="1" locked="0" layoutInCell="0" allowOverlap="1" wp14:anchorId="59BFA610" wp14:editId="28529320">
            <wp:simplePos x="0" y="0"/>
            <wp:positionH relativeFrom="column">
              <wp:posOffset>-636905</wp:posOffset>
            </wp:positionH>
            <wp:positionV relativeFrom="paragraph">
              <wp:posOffset>126365</wp:posOffset>
            </wp:positionV>
            <wp:extent cx="6995160" cy="17145"/>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94C8A45" w14:textId="77777777" w:rsidR="00D1587D" w:rsidRDefault="00D1587D">
      <w:pPr>
        <w:sectPr w:rsidR="00D1587D">
          <w:pgSz w:w="11900" w:h="16838"/>
          <w:pgMar w:top="265" w:right="1440" w:bottom="1440" w:left="1440" w:header="0" w:footer="0" w:gutter="0"/>
          <w:cols w:space="720" w:equalWidth="0">
            <w:col w:w="9019"/>
          </w:cols>
        </w:sectPr>
      </w:pPr>
    </w:p>
    <w:bookmarkStart w:id="312" w:name="page313"/>
    <w:bookmarkEnd w:id="312"/>
    <w:p w14:paraId="186167D0"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BD85BDE" w14:textId="77777777" w:rsidR="00D1587D" w:rsidRDefault="00D1587D">
      <w:pPr>
        <w:spacing w:line="127" w:lineRule="exact"/>
        <w:rPr>
          <w:sz w:val="20"/>
          <w:szCs w:val="20"/>
        </w:rPr>
      </w:pPr>
    </w:p>
    <w:p w14:paraId="66495486" w14:textId="77777777" w:rsidR="00D1587D" w:rsidRDefault="00410D07">
      <w:pPr>
        <w:jc w:val="center"/>
        <w:rPr>
          <w:sz w:val="20"/>
          <w:szCs w:val="20"/>
        </w:rPr>
      </w:pPr>
      <w:r>
        <w:rPr>
          <w:rFonts w:ascii="Arial" w:eastAsia="Arial" w:hAnsi="Arial" w:cs="Arial"/>
          <w:b/>
          <w:bCs/>
          <w:sz w:val="18"/>
          <w:szCs w:val="18"/>
        </w:rPr>
        <w:t>UNAUDITED PRO FORMA COMBINED FINANCIAL STATEMENTS</w:t>
      </w:r>
    </w:p>
    <w:p w14:paraId="263C82B5" w14:textId="77777777" w:rsidR="00D1587D" w:rsidRDefault="00D1587D">
      <w:pPr>
        <w:spacing w:line="121" w:lineRule="exact"/>
        <w:rPr>
          <w:sz w:val="20"/>
          <w:szCs w:val="20"/>
        </w:rPr>
      </w:pPr>
    </w:p>
    <w:p w14:paraId="7A6F0E0D" w14:textId="77777777" w:rsidR="00D1587D" w:rsidRDefault="00410D07">
      <w:pPr>
        <w:spacing w:line="268" w:lineRule="auto"/>
        <w:ind w:left="300" w:right="299" w:firstLine="360"/>
        <w:rPr>
          <w:sz w:val="20"/>
          <w:szCs w:val="20"/>
        </w:rPr>
      </w:pPr>
      <w:r>
        <w:rPr>
          <w:rFonts w:ascii="Arial" w:eastAsia="Arial" w:hAnsi="Arial" w:cs="Arial"/>
          <w:sz w:val="17"/>
          <w:szCs w:val="17"/>
        </w:rPr>
        <w:t xml:space="preserve">The unaudited pro forma combined financial statements consist of an unaudited pro forma combined statement of income (loss) for the thirteen weeks ended May 1, 2021 and for the year </w:t>
      </w:r>
      <w:r>
        <w:rPr>
          <w:rFonts w:ascii="Arial" w:eastAsia="Arial" w:hAnsi="Arial" w:cs="Arial"/>
          <w:sz w:val="17"/>
          <w:szCs w:val="17"/>
        </w:rPr>
        <w:t>ended January 30, 2021 and an unaudited pro forma combined balance sheet as of May 1, 2021. The unaudited pro forma combined financial statements should be read in conjunction with our historical audited combined financial statements and the related notes,</w:t>
      </w:r>
      <w:r>
        <w:rPr>
          <w:rFonts w:ascii="Arial" w:eastAsia="Arial" w:hAnsi="Arial" w:cs="Arial"/>
          <w:sz w:val="17"/>
          <w:szCs w:val="17"/>
        </w:rPr>
        <w:t xml:space="preserve"> “Capitalization” and “Management’s Discussion and Analysis of Financial Condition and Results of Operations” included elsewhere in this information statement. The unaudited pro forma combined statement of income (loss) has been prepared to give effect to </w:t>
      </w:r>
      <w:r>
        <w:rPr>
          <w:rFonts w:ascii="Arial" w:eastAsia="Arial" w:hAnsi="Arial" w:cs="Arial"/>
          <w:sz w:val="17"/>
          <w:szCs w:val="17"/>
        </w:rPr>
        <w:t>the Pro Forma Transactions (as defined below) as if the Pro Forma Transactions had occurred or became effective as of February 2, 2020, the beginning of our most recently completed fiscal year. The unaudited pro forma combined balance sheet has been prepar</w:t>
      </w:r>
      <w:r>
        <w:rPr>
          <w:rFonts w:ascii="Arial" w:eastAsia="Arial" w:hAnsi="Arial" w:cs="Arial"/>
          <w:sz w:val="17"/>
          <w:szCs w:val="17"/>
        </w:rPr>
        <w:t>ed to give effect to the Pro Forma Transactions as though the Pro Forma Transactions had occurred as of May 1, 2021. The unaudited pro forma combined financial statements constitute forward-looking information and are subject to certain risks and uncertain</w:t>
      </w:r>
      <w:r>
        <w:rPr>
          <w:rFonts w:ascii="Arial" w:eastAsia="Arial" w:hAnsi="Arial" w:cs="Arial"/>
          <w:sz w:val="17"/>
          <w:szCs w:val="17"/>
        </w:rPr>
        <w:t>ties that could cause actual results to differ materially from those anticipated. See “Special Note Regarding Forward-Looking Statements.”</w:t>
      </w:r>
    </w:p>
    <w:p w14:paraId="117B00B0" w14:textId="77777777" w:rsidR="00D1587D" w:rsidRDefault="00D1587D">
      <w:pPr>
        <w:spacing w:line="78" w:lineRule="exact"/>
        <w:rPr>
          <w:sz w:val="20"/>
          <w:szCs w:val="20"/>
        </w:rPr>
      </w:pPr>
    </w:p>
    <w:p w14:paraId="36D60C12" w14:textId="77777777" w:rsidR="00D1587D" w:rsidRDefault="00410D07">
      <w:pPr>
        <w:spacing w:line="291" w:lineRule="auto"/>
        <w:ind w:left="300" w:right="379" w:firstLine="360"/>
        <w:rPr>
          <w:sz w:val="20"/>
          <w:szCs w:val="20"/>
        </w:rPr>
      </w:pPr>
      <w:r>
        <w:rPr>
          <w:rFonts w:ascii="Arial" w:eastAsia="Arial" w:hAnsi="Arial" w:cs="Arial"/>
          <w:sz w:val="16"/>
          <w:szCs w:val="16"/>
        </w:rPr>
        <w:t xml:space="preserve">The unaudited pro forma combined financial statements presented below have been derived from our </w:t>
      </w:r>
      <w:r>
        <w:rPr>
          <w:rFonts w:ascii="Arial" w:eastAsia="Arial" w:hAnsi="Arial" w:cs="Arial"/>
          <w:sz w:val="16"/>
          <w:szCs w:val="16"/>
        </w:rPr>
        <w:t xml:space="preserve">historical audited combined financial statements and the unaudited combined interim financial statements included elsewhere in this information statement and do not purport to represent what our financial position and results of operations would have been </w:t>
      </w:r>
      <w:r>
        <w:rPr>
          <w:rFonts w:ascii="Arial" w:eastAsia="Arial" w:hAnsi="Arial" w:cs="Arial"/>
          <w:sz w:val="16"/>
          <w:szCs w:val="16"/>
        </w:rPr>
        <w:t>had the Separation occurred on the dates indicated and are not necessarily indicative of our future financial position and future results of operations. In addition, the unaudited pro forma combined financial statements are provided for illustrative and in</w:t>
      </w:r>
      <w:r>
        <w:rPr>
          <w:rFonts w:ascii="Arial" w:eastAsia="Arial" w:hAnsi="Arial" w:cs="Arial"/>
          <w:sz w:val="16"/>
          <w:szCs w:val="16"/>
        </w:rPr>
        <w:t>formational purposes only. The pro forma adjustments are based on available information and assumptions we believe are reasonable; however, such adjustments are subject to change.</w:t>
      </w:r>
    </w:p>
    <w:p w14:paraId="4C99E7DA" w14:textId="77777777" w:rsidR="00D1587D" w:rsidRDefault="00D1587D">
      <w:pPr>
        <w:spacing w:line="58" w:lineRule="exact"/>
        <w:rPr>
          <w:sz w:val="20"/>
          <w:szCs w:val="20"/>
        </w:rPr>
      </w:pPr>
    </w:p>
    <w:p w14:paraId="476083D1" w14:textId="77777777" w:rsidR="00D1587D" w:rsidRDefault="00410D07">
      <w:pPr>
        <w:spacing w:line="293" w:lineRule="auto"/>
        <w:ind w:left="300" w:right="299" w:firstLine="360"/>
        <w:rPr>
          <w:sz w:val="20"/>
          <w:szCs w:val="20"/>
        </w:rPr>
      </w:pPr>
      <w:r>
        <w:rPr>
          <w:rFonts w:ascii="Arial" w:eastAsia="Arial" w:hAnsi="Arial" w:cs="Arial"/>
          <w:sz w:val="16"/>
          <w:szCs w:val="16"/>
        </w:rPr>
        <w:t xml:space="preserve">LB did not account for us as, and we were not operated as, an independent, </w:t>
      </w:r>
      <w:r>
        <w:rPr>
          <w:rFonts w:ascii="Arial" w:eastAsia="Arial" w:hAnsi="Arial" w:cs="Arial"/>
          <w:sz w:val="16"/>
          <w:szCs w:val="16"/>
        </w:rPr>
        <w:t>publicly traded company for the periods presented. Our unaudited pro forma combined financial statements have been prepared to reflect adjustments to our historical audited combined financial statements that are (1) directly attributable to the Pro Forma T</w:t>
      </w:r>
      <w:r>
        <w:rPr>
          <w:rFonts w:ascii="Arial" w:eastAsia="Arial" w:hAnsi="Arial" w:cs="Arial"/>
          <w:sz w:val="16"/>
          <w:szCs w:val="16"/>
        </w:rPr>
        <w:t xml:space="preserve">ransactions; (2) factually supportable; and (3) with respect to the unaudited pro forma statement of income (loss), expected to have a continuing impact on our results of operations. The unaudited pro forma combined financial statements have been adjusted </w:t>
      </w:r>
      <w:r>
        <w:rPr>
          <w:rFonts w:ascii="Arial" w:eastAsia="Arial" w:hAnsi="Arial" w:cs="Arial"/>
          <w:sz w:val="16"/>
          <w:szCs w:val="16"/>
        </w:rPr>
        <w:t>to give effect to the following (the “Pro Forma Transactions”):</w:t>
      </w:r>
    </w:p>
    <w:p w14:paraId="5CADB8CC" w14:textId="77777777" w:rsidR="00D1587D" w:rsidRDefault="00D1587D">
      <w:pPr>
        <w:spacing w:line="56" w:lineRule="exact"/>
        <w:rPr>
          <w:sz w:val="20"/>
          <w:szCs w:val="20"/>
        </w:rPr>
      </w:pPr>
    </w:p>
    <w:p w14:paraId="0F975C14" w14:textId="77777777" w:rsidR="00D1587D" w:rsidRDefault="00410D07" w:rsidP="00410D07">
      <w:pPr>
        <w:numPr>
          <w:ilvl w:val="0"/>
          <w:numId w:val="270"/>
        </w:numPr>
        <w:tabs>
          <w:tab w:val="left" w:pos="1000"/>
        </w:tabs>
        <w:spacing w:line="286" w:lineRule="auto"/>
        <w:ind w:left="1000" w:right="339" w:hanging="348"/>
        <w:rPr>
          <w:rFonts w:ascii="Arial" w:eastAsia="Arial" w:hAnsi="Arial" w:cs="Arial"/>
          <w:sz w:val="17"/>
          <w:szCs w:val="17"/>
        </w:rPr>
      </w:pPr>
      <w:r>
        <w:rPr>
          <w:rFonts w:ascii="Arial" w:eastAsia="Arial" w:hAnsi="Arial" w:cs="Arial"/>
          <w:sz w:val="17"/>
          <w:szCs w:val="17"/>
        </w:rPr>
        <w:t>The contribution by LB to us of certain of the assets and liabilities that comprise the Spin Business and the retention by LB of certain specified assets and liabilities reflected in our hist</w:t>
      </w:r>
      <w:r>
        <w:rPr>
          <w:rFonts w:ascii="Arial" w:eastAsia="Arial" w:hAnsi="Arial" w:cs="Arial"/>
          <w:sz w:val="17"/>
          <w:szCs w:val="17"/>
        </w:rPr>
        <w:t>orical combined financial statements, in each case, pursuant to the Separation and Distribution Agreement;</w:t>
      </w:r>
    </w:p>
    <w:p w14:paraId="3CB4294F" w14:textId="77777777" w:rsidR="00D1587D" w:rsidRDefault="00D1587D">
      <w:pPr>
        <w:spacing w:line="57" w:lineRule="exact"/>
        <w:rPr>
          <w:rFonts w:ascii="Arial" w:eastAsia="Arial" w:hAnsi="Arial" w:cs="Arial"/>
          <w:sz w:val="17"/>
          <w:szCs w:val="17"/>
        </w:rPr>
      </w:pPr>
    </w:p>
    <w:p w14:paraId="66A17E75" w14:textId="77777777" w:rsidR="00D1587D" w:rsidRDefault="00410D07" w:rsidP="00410D07">
      <w:pPr>
        <w:numPr>
          <w:ilvl w:val="0"/>
          <w:numId w:val="270"/>
        </w:numPr>
        <w:tabs>
          <w:tab w:val="left" w:pos="1000"/>
        </w:tabs>
        <w:spacing w:line="308" w:lineRule="auto"/>
        <w:ind w:left="1000" w:right="619" w:hanging="348"/>
        <w:rPr>
          <w:rFonts w:ascii="Arial" w:eastAsia="Arial" w:hAnsi="Arial" w:cs="Arial"/>
          <w:sz w:val="17"/>
          <w:szCs w:val="17"/>
        </w:rPr>
      </w:pPr>
      <w:r>
        <w:rPr>
          <w:rFonts w:ascii="Arial" w:eastAsia="Arial" w:hAnsi="Arial" w:cs="Arial"/>
          <w:sz w:val="17"/>
          <w:szCs w:val="17"/>
        </w:rPr>
        <w:t>The anticipated post-Separation capital structure, including: (i) the incurrence of debt and the LB Cash Payment; and (ii) the issuance of our commo</w:t>
      </w:r>
      <w:r>
        <w:rPr>
          <w:rFonts w:ascii="Arial" w:eastAsia="Arial" w:hAnsi="Arial" w:cs="Arial"/>
          <w:sz w:val="17"/>
          <w:szCs w:val="17"/>
        </w:rPr>
        <w:t>n stock to holders of LB common stock;</w:t>
      </w:r>
    </w:p>
    <w:p w14:paraId="5C7D48A3" w14:textId="77777777" w:rsidR="00D1587D" w:rsidRDefault="00D1587D">
      <w:pPr>
        <w:spacing w:line="38" w:lineRule="exact"/>
        <w:rPr>
          <w:rFonts w:ascii="Arial" w:eastAsia="Arial" w:hAnsi="Arial" w:cs="Arial"/>
          <w:sz w:val="17"/>
          <w:szCs w:val="17"/>
        </w:rPr>
      </w:pPr>
    </w:p>
    <w:p w14:paraId="4D5871E7" w14:textId="77777777" w:rsidR="00D1587D" w:rsidRDefault="00410D07" w:rsidP="00410D07">
      <w:pPr>
        <w:numPr>
          <w:ilvl w:val="0"/>
          <w:numId w:val="270"/>
        </w:numPr>
        <w:tabs>
          <w:tab w:val="left" w:pos="1000"/>
        </w:tabs>
        <w:ind w:left="1000" w:hanging="348"/>
        <w:rPr>
          <w:rFonts w:ascii="Arial" w:eastAsia="Arial" w:hAnsi="Arial" w:cs="Arial"/>
          <w:sz w:val="18"/>
          <w:szCs w:val="18"/>
        </w:rPr>
      </w:pPr>
      <w:r>
        <w:rPr>
          <w:rFonts w:ascii="Arial" w:eastAsia="Arial" w:hAnsi="Arial" w:cs="Arial"/>
          <w:sz w:val="18"/>
          <w:szCs w:val="18"/>
        </w:rPr>
        <w:t>The resulting elimination of LB’s net investment in us;</w:t>
      </w:r>
    </w:p>
    <w:p w14:paraId="551678D8" w14:textId="77777777" w:rsidR="00D1587D" w:rsidRDefault="00D1587D">
      <w:pPr>
        <w:spacing w:line="117" w:lineRule="exact"/>
        <w:rPr>
          <w:rFonts w:ascii="Arial" w:eastAsia="Arial" w:hAnsi="Arial" w:cs="Arial"/>
          <w:sz w:val="18"/>
          <w:szCs w:val="18"/>
        </w:rPr>
      </w:pPr>
    </w:p>
    <w:p w14:paraId="5A26CCB6" w14:textId="77777777" w:rsidR="00D1587D" w:rsidRDefault="00410D07" w:rsidP="00410D07">
      <w:pPr>
        <w:numPr>
          <w:ilvl w:val="0"/>
          <w:numId w:val="270"/>
        </w:numPr>
        <w:tabs>
          <w:tab w:val="left" w:pos="1000"/>
        </w:tabs>
        <w:ind w:left="1000" w:hanging="348"/>
        <w:rPr>
          <w:rFonts w:ascii="Arial" w:eastAsia="Arial" w:hAnsi="Arial" w:cs="Arial"/>
          <w:sz w:val="18"/>
          <w:szCs w:val="18"/>
        </w:rPr>
      </w:pPr>
      <w:r>
        <w:rPr>
          <w:rFonts w:ascii="Arial" w:eastAsia="Arial" w:hAnsi="Arial" w:cs="Arial"/>
          <w:sz w:val="18"/>
          <w:szCs w:val="18"/>
        </w:rPr>
        <w:t>Transaction costs specifically related to the Separation; and</w:t>
      </w:r>
    </w:p>
    <w:p w14:paraId="1D883E95" w14:textId="77777777" w:rsidR="00D1587D" w:rsidRDefault="00D1587D">
      <w:pPr>
        <w:spacing w:line="117" w:lineRule="exact"/>
        <w:rPr>
          <w:rFonts w:ascii="Arial" w:eastAsia="Arial" w:hAnsi="Arial" w:cs="Arial"/>
          <w:sz w:val="18"/>
          <w:szCs w:val="18"/>
        </w:rPr>
      </w:pPr>
    </w:p>
    <w:p w14:paraId="0ED59327" w14:textId="77777777" w:rsidR="00D1587D" w:rsidRDefault="00410D07" w:rsidP="00410D07">
      <w:pPr>
        <w:numPr>
          <w:ilvl w:val="0"/>
          <w:numId w:val="270"/>
        </w:numPr>
        <w:tabs>
          <w:tab w:val="left" w:pos="1000"/>
        </w:tabs>
        <w:spacing w:line="301" w:lineRule="auto"/>
        <w:ind w:left="1000" w:right="379" w:hanging="348"/>
        <w:rPr>
          <w:rFonts w:ascii="Arial" w:eastAsia="Arial" w:hAnsi="Arial" w:cs="Arial"/>
          <w:sz w:val="16"/>
          <w:szCs w:val="16"/>
        </w:rPr>
      </w:pPr>
      <w:r>
        <w:rPr>
          <w:rFonts w:ascii="Arial" w:eastAsia="Arial" w:hAnsi="Arial" w:cs="Arial"/>
          <w:sz w:val="16"/>
          <w:szCs w:val="16"/>
        </w:rPr>
        <w:t xml:space="preserve">The impact of, and transactions contemplated by, the Separation and Distribution </w:t>
      </w:r>
      <w:r>
        <w:rPr>
          <w:rFonts w:ascii="Arial" w:eastAsia="Arial" w:hAnsi="Arial" w:cs="Arial"/>
          <w:sz w:val="16"/>
          <w:szCs w:val="16"/>
        </w:rPr>
        <w:t>Agreement, Tax Matters Agreement, L Brands to VS Transition Services Agreement, VS to L Brands Transition Services Agreement, Employee Matters Agreement, Domestic Transportation Services Agreement and other agreements related to the Separation between us a</w:t>
      </w:r>
      <w:r>
        <w:rPr>
          <w:rFonts w:ascii="Arial" w:eastAsia="Arial" w:hAnsi="Arial" w:cs="Arial"/>
          <w:sz w:val="16"/>
          <w:szCs w:val="16"/>
        </w:rPr>
        <w:t>nd LB and the provisions contained therein.</w:t>
      </w:r>
    </w:p>
    <w:p w14:paraId="327AFB69" w14:textId="77777777" w:rsidR="00D1587D" w:rsidRDefault="00D1587D">
      <w:pPr>
        <w:spacing w:line="49" w:lineRule="exact"/>
        <w:rPr>
          <w:sz w:val="20"/>
          <w:szCs w:val="20"/>
        </w:rPr>
      </w:pPr>
    </w:p>
    <w:p w14:paraId="330BC67C" w14:textId="77777777" w:rsidR="00D1587D" w:rsidRDefault="00410D07">
      <w:pPr>
        <w:spacing w:line="255" w:lineRule="auto"/>
        <w:ind w:left="300" w:right="299" w:firstLine="360"/>
        <w:rPr>
          <w:sz w:val="20"/>
          <w:szCs w:val="20"/>
        </w:rPr>
      </w:pPr>
      <w:r>
        <w:rPr>
          <w:rFonts w:ascii="Arial" w:eastAsia="Arial" w:hAnsi="Arial" w:cs="Arial"/>
          <w:sz w:val="18"/>
          <w:szCs w:val="18"/>
        </w:rPr>
        <w:t>A final determination regarding our capital structure has not yet been made, and the Separation and Distribution Agreement, Tax Matters Agreement, L Brands to VS Transition Services Agreement, VS to L Brands Tra</w:t>
      </w:r>
      <w:r>
        <w:rPr>
          <w:rFonts w:ascii="Arial" w:eastAsia="Arial" w:hAnsi="Arial" w:cs="Arial"/>
          <w:sz w:val="18"/>
          <w:szCs w:val="18"/>
        </w:rPr>
        <w:t>nsition Services Agreement, Employee Matters Agreement, Domestic Transportation Services Agreement and certain other transaction agreements have not been finalized. As such, the pro forma statements may be revised in future amendments to reflect the impact</w:t>
      </w:r>
      <w:r>
        <w:rPr>
          <w:rFonts w:ascii="Arial" w:eastAsia="Arial" w:hAnsi="Arial" w:cs="Arial"/>
          <w:sz w:val="18"/>
          <w:szCs w:val="18"/>
        </w:rPr>
        <w:t xml:space="preserve"> on our capital structure and the final form of those agreements, to the extent any such revisions would be deemed material.</w:t>
      </w:r>
    </w:p>
    <w:p w14:paraId="65CA46A1" w14:textId="77777777" w:rsidR="00D1587D" w:rsidRDefault="00D1587D">
      <w:pPr>
        <w:spacing w:line="84" w:lineRule="exact"/>
        <w:rPr>
          <w:sz w:val="20"/>
          <w:szCs w:val="20"/>
        </w:rPr>
      </w:pPr>
    </w:p>
    <w:p w14:paraId="1C04888D" w14:textId="77777777" w:rsidR="00D1587D" w:rsidRDefault="00410D07">
      <w:pPr>
        <w:spacing w:line="263" w:lineRule="auto"/>
        <w:ind w:left="300" w:right="319" w:firstLine="360"/>
        <w:rPr>
          <w:sz w:val="20"/>
          <w:szCs w:val="20"/>
        </w:rPr>
      </w:pPr>
      <w:r>
        <w:rPr>
          <w:rFonts w:ascii="Arial" w:eastAsia="Arial" w:hAnsi="Arial" w:cs="Arial"/>
          <w:sz w:val="18"/>
          <w:szCs w:val="18"/>
        </w:rPr>
        <w:t>The operating expenses reported in our historical audited combined statements of income (loss) and unaudited combined interim stat</w:t>
      </w:r>
      <w:r>
        <w:rPr>
          <w:rFonts w:ascii="Arial" w:eastAsia="Arial" w:hAnsi="Arial" w:cs="Arial"/>
          <w:sz w:val="18"/>
          <w:szCs w:val="18"/>
        </w:rPr>
        <w:t>ements of income (loss) include allocations of certain LB costs, such as corporate costs, shared services, and other related costs that benefit us.</w:t>
      </w:r>
    </w:p>
    <w:p w14:paraId="74F73893" w14:textId="77777777" w:rsidR="00D1587D" w:rsidRDefault="00D1587D">
      <w:pPr>
        <w:spacing w:line="184" w:lineRule="exact"/>
        <w:rPr>
          <w:sz w:val="20"/>
          <w:szCs w:val="20"/>
        </w:rPr>
      </w:pPr>
    </w:p>
    <w:p w14:paraId="4B4257D0" w14:textId="77777777" w:rsidR="00D1587D" w:rsidRDefault="00410D07">
      <w:pPr>
        <w:jc w:val="center"/>
        <w:rPr>
          <w:sz w:val="20"/>
          <w:szCs w:val="20"/>
        </w:rPr>
      </w:pPr>
      <w:r>
        <w:rPr>
          <w:rFonts w:ascii="Arial" w:eastAsia="Arial" w:hAnsi="Arial" w:cs="Arial"/>
          <w:sz w:val="18"/>
          <w:szCs w:val="18"/>
        </w:rPr>
        <w:t>55</w:t>
      </w:r>
    </w:p>
    <w:p w14:paraId="4B2F9C81" w14:textId="77777777" w:rsidR="00D1587D" w:rsidRDefault="00410D07">
      <w:pPr>
        <w:spacing w:line="20" w:lineRule="exact"/>
        <w:rPr>
          <w:sz w:val="20"/>
          <w:szCs w:val="20"/>
        </w:rPr>
      </w:pPr>
      <w:r>
        <w:rPr>
          <w:noProof/>
          <w:sz w:val="20"/>
          <w:szCs w:val="20"/>
        </w:rPr>
        <w:drawing>
          <wp:anchor distT="0" distB="0" distL="114300" distR="114300" simplePos="0" relativeHeight="251507712" behindDoc="1" locked="0" layoutInCell="0" allowOverlap="1" wp14:anchorId="02E2E7E7" wp14:editId="55E74203">
            <wp:simplePos x="0" y="0"/>
            <wp:positionH relativeFrom="column">
              <wp:posOffset>-636905</wp:posOffset>
            </wp:positionH>
            <wp:positionV relativeFrom="paragraph">
              <wp:posOffset>134620</wp:posOffset>
            </wp:positionV>
            <wp:extent cx="6995160" cy="17145"/>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C93E7D0" w14:textId="77777777" w:rsidR="00D1587D" w:rsidRDefault="00D1587D">
      <w:pPr>
        <w:sectPr w:rsidR="00D1587D">
          <w:pgSz w:w="11900" w:h="16838"/>
          <w:pgMar w:top="265" w:right="1440" w:bottom="1440" w:left="1440" w:header="0" w:footer="0" w:gutter="0"/>
          <w:cols w:space="720" w:equalWidth="0">
            <w:col w:w="9019"/>
          </w:cols>
        </w:sectPr>
      </w:pPr>
    </w:p>
    <w:bookmarkStart w:id="313" w:name="page314"/>
    <w:bookmarkEnd w:id="313"/>
    <w:p w14:paraId="5131066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0D08B24" w14:textId="77777777" w:rsidR="00D1587D" w:rsidRDefault="00D1587D">
      <w:pPr>
        <w:spacing w:line="131" w:lineRule="exact"/>
        <w:rPr>
          <w:sz w:val="20"/>
          <w:szCs w:val="20"/>
        </w:rPr>
      </w:pPr>
    </w:p>
    <w:p w14:paraId="3B76D479" w14:textId="77777777" w:rsidR="00D1587D" w:rsidRDefault="00410D07">
      <w:pPr>
        <w:spacing w:line="263" w:lineRule="auto"/>
        <w:ind w:left="300" w:right="419" w:firstLine="360"/>
        <w:rPr>
          <w:sz w:val="20"/>
          <w:szCs w:val="20"/>
        </w:rPr>
      </w:pPr>
      <w:r>
        <w:rPr>
          <w:rFonts w:ascii="Arial" w:eastAsia="Arial" w:hAnsi="Arial" w:cs="Arial"/>
          <w:sz w:val="18"/>
          <w:szCs w:val="18"/>
        </w:rPr>
        <w:t xml:space="preserve">As an independent, publicly </w:t>
      </w:r>
      <w:r>
        <w:rPr>
          <w:rFonts w:ascii="Arial" w:eastAsia="Arial" w:hAnsi="Arial" w:cs="Arial"/>
          <w:sz w:val="18"/>
          <w:szCs w:val="18"/>
        </w:rPr>
        <w:t>traded company, we expect to incur additional recurring expenses. The significant assumptions involved in determining our estimates of the recurring costs of being an independent, publicly traded company include:</w:t>
      </w:r>
    </w:p>
    <w:p w14:paraId="58C1EB1D" w14:textId="77777777" w:rsidR="00D1587D" w:rsidRDefault="00D1587D">
      <w:pPr>
        <w:spacing w:line="76" w:lineRule="exact"/>
        <w:rPr>
          <w:sz w:val="20"/>
          <w:szCs w:val="20"/>
        </w:rPr>
      </w:pPr>
    </w:p>
    <w:p w14:paraId="2265AA7A" w14:textId="77777777" w:rsidR="00D1587D" w:rsidRDefault="00410D07" w:rsidP="00410D07">
      <w:pPr>
        <w:numPr>
          <w:ilvl w:val="0"/>
          <w:numId w:val="271"/>
        </w:numPr>
        <w:tabs>
          <w:tab w:val="left" w:pos="1000"/>
        </w:tabs>
        <w:spacing w:line="277" w:lineRule="auto"/>
        <w:ind w:left="1000" w:right="619" w:hanging="348"/>
        <w:rPr>
          <w:rFonts w:ascii="Arial" w:eastAsia="Arial" w:hAnsi="Arial" w:cs="Arial"/>
          <w:sz w:val="18"/>
          <w:szCs w:val="18"/>
        </w:rPr>
      </w:pPr>
      <w:r>
        <w:rPr>
          <w:rFonts w:ascii="Arial" w:eastAsia="Arial" w:hAnsi="Arial" w:cs="Arial"/>
          <w:sz w:val="18"/>
          <w:szCs w:val="18"/>
        </w:rPr>
        <w:t xml:space="preserve">Costs to perform financial </w:t>
      </w:r>
      <w:r>
        <w:rPr>
          <w:rFonts w:ascii="Arial" w:eastAsia="Arial" w:hAnsi="Arial" w:cs="Arial"/>
          <w:sz w:val="18"/>
          <w:szCs w:val="18"/>
        </w:rPr>
        <w:t>reporting, tax, regulatory compliance, corporate governance, treasury, legal, internal audit and investor relations activities;</w:t>
      </w:r>
    </w:p>
    <w:p w14:paraId="3149D639" w14:textId="77777777" w:rsidR="00D1587D" w:rsidRDefault="00D1587D">
      <w:pPr>
        <w:spacing w:line="62" w:lineRule="exact"/>
        <w:rPr>
          <w:rFonts w:ascii="Arial" w:eastAsia="Arial" w:hAnsi="Arial" w:cs="Arial"/>
          <w:sz w:val="18"/>
          <w:szCs w:val="18"/>
        </w:rPr>
      </w:pPr>
    </w:p>
    <w:p w14:paraId="78AC229E" w14:textId="77777777" w:rsidR="00D1587D" w:rsidRDefault="00410D07" w:rsidP="00410D07">
      <w:pPr>
        <w:numPr>
          <w:ilvl w:val="0"/>
          <w:numId w:val="271"/>
        </w:numPr>
        <w:tabs>
          <w:tab w:val="left" w:pos="1000"/>
        </w:tabs>
        <w:ind w:left="1000" w:hanging="348"/>
        <w:rPr>
          <w:rFonts w:ascii="Arial" w:eastAsia="Arial" w:hAnsi="Arial" w:cs="Arial"/>
          <w:sz w:val="16"/>
          <w:szCs w:val="16"/>
        </w:rPr>
      </w:pPr>
      <w:r>
        <w:rPr>
          <w:rFonts w:ascii="Arial" w:eastAsia="Arial" w:hAnsi="Arial" w:cs="Arial"/>
          <w:sz w:val="16"/>
          <w:szCs w:val="16"/>
        </w:rPr>
        <w:t>Compensation, including equity-based awards, and benefits with respect to new and existing positions;</w:t>
      </w:r>
    </w:p>
    <w:p w14:paraId="7EB90666" w14:textId="77777777" w:rsidR="00D1587D" w:rsidRDefault="00D1587D">
      <w:pPr>
        <w:spacing w:line="140" w:lineRule="exact"/>
        <w:rPr>
          <w:rFonts w:ascii="Arial" w:eastAsia="Arial" w:hAnsi="Arial" w:cs="Arial"/>
          <w:sz w:val="16"/>
          <w:szCs w:val="16"/>
        </w:rPr>
      </w:pPr>
    </w:p>
    <w:p w14:paraId="1B3772C4" w14:textId="77777777" w:rsidR="00D1587D" w:rsidRDefault="00410D07" w:rsidP="00410D07">
      <w:pPr>
        <w:numPr>
          <w:ilvl w:val="0"/>
          <w:numId w:val="271"/>
        </w:numPr>
        <w:tabs>
          <w:tab w:val="left" w:pos="1000"/>
        </w:tabs>
        <w:ind w:left="1000" w:hanging="348"/>
        <w:rPr>
          <w:rFonts w:ascii="Arial" w:eastAsia="Arial" w:hAnsi="Arial" w:cs="Arial"/>
          <w:sz w:val="16"/>
          <w:szCs w:val="16"/>
        </w:rPr>
      </w:pPr>
      <w:r>
        <w:rPr>
          <w:rFonts w:ascii="Arial" w:eastAsia="Arial" w:hAnsi="Arial" w:cs="Arial"/>
          <w:sz w:val="16"/>
          <w:szCs w:val="16"/>
        </w:rPr>
        <w:t>Depreciation and amortiz</w:t>
      </w:r>
      <w:r>
        <w:rPr>
          <w:rFonts w:ascii="Arial" w:eastAsia="Arial" w:hAnsi="Arial" w:cs="Arial"/>
          <w:sz w:val="16"/>
          <w:szCs w:val="16"/>
        </w:rPr>
        <w:t>ation related to incremental information technology infrastructure investments;</w:t>
      </w:r>
    </w:p>
    <w:p w14:paraId="393A787C" w14:textId="77777777" w:rsidR="00D1587D" w:rsidRDefault="00D1587D">
      <w:pPr>
        <w:spacing w:line="140" w:lineRule="exact"/>
        <w:rPr>
          <w:rFonts w:ascii="Arial" w:eastAsia="Arial" w:hAnsi="Arial" w:cs="Arial"/>
          <w:sz w:val="16"/>
          <w:szCs w:val="16"/>
        </w:rPr>
      </w:pPr>
    </w:p>
    <w:p w14:paraId="132CF821" w14:textId="77777777" w:rsidR="00D1587D" w:rsidRDefault="00410D07" w:rsidP="00410D07">
      <w:pPr>
        <w:numPr>
          <w:ilvl w:val="0"/>
          <w:numId w:val="271"/>
        </w:numPr>
        <w:tabs>
          <w:tab w:val="left" w:pos="1000"/>
        </w:tabs>
        <w:ind w:left="1000" w:hanging="348"/>
        <w:rPr>
          <w:rFonts w:ascii="Arial" w:eastAsia="Arial" w:hAnsi="Arial" w:cs="Arial"/>
          <w:sz w:val="18"/>
          <w:szCs w:val="18"/>
        </w:rPr>
      </w:pPr>
      <w:r>
        <w:rPr>
          <w:rFonts w:ascii="Arial" w:eastAsia="Arial" w:hAnsi="Arial" w:cs="Arial"/>
          <w:sz w:val="18"/>
          <w:szCs w:val="18"/>
        </w:rPr>
        <w:t>Insurance premiums; and</w:t>
      </w:r>
    </w:p>
    <w:p w14:paraId="3F37BD9D" w14:textId="77777777" w:rsidR="00D1587D" w:rsidRDefault="00D1587D">
      <w:pPr>
        <w:spacing w:line="117" w:lineRule="exact"/>
        <w:rPr>
          <w:rFonts w:ascii="Arial" w:eastAsia="Arial" w:hAnsi="Arial" w:cs="Arial"/>
          <w:sz w:val="18"/>
          <w:szCs w:val="18"/>
        </w:rPr>
      </w:pPr>
    </w:p>
    <w:p w14:paraId="58720FA4" w14:textId="77777777" w:rsidR="00D1587D" w:rsidRDefault="00410D07" w:rsidP="00410D07">
      <w:pPr>
        <w:numPr>
          <w:ilvl w:val="0"/>
          <w:numId w:val="271"/>
        </w:numPr>
        <w:tabs>
          <w:tab w:val="left" w:pos="1000"/>
        </w:tabs>
        <w:ind w:left="1000" w:hanging="348"/>
        <w:rPr>
          <w:rFonts w:ascii="Arial" w:eastAsia="Arial" w:hAnsi="Arial" w:cs="Arial"/>
          <w:sz w:val="18"/>
          <w:szCs w:val="18"/>
        </w:rPr>
      </w:pPr>
      <w:r>
        <w:rPr>
          <w:rFonts w:ascii="Arial" w:eastAsia="Arial" w:hAnsi="Arial" w:cs="Arial"/>
          <w:sz w:val="18"/>
          <w:szCs w:val="18"/>
        </w:rPr>
        <w:t>Changes in our overall facility costs.</w:t>
      </w:r>
    </w:p>
    <w:p w14:paraId="2ACEFE17" w14:textId="77777777" w:rsidR="00D1587D" w:rsidRDefault="00D1587D">
      <w:pPr>
        <w:spacing w:line="117" w:lineRule="exact"/>
        <w:rPr>
          <w:sz w:val="20"/>
          <w:szCs w:val="20"/>
        </w:rPr>
      </w:pPr>
    </w:p>
    <w:p w14:paraId="61F68754" w14:textId="77777777" w:rsidR="00D1587D" w:rsidRDefault="00410D07">
      <w:pPr>
        <w:spacing w:line="259" w:lineRule="auto"/>
        <w:ind w:left="300" w:right="479" w:firstLine="360"/>
        <w:rPr>
          <w:sz w:val="20"/>
          <w:szCs w:val="20"/>
        </w:rPr>
      </w:pPr>
      <w:r>
        <w:rPr>
          <w:rFonts w:ascii="Arial" w:eastAsia="Arial" w:hAnsi="Arial" w:cs="Arial"/>
          <w:sz w:val="18"/>
          <w:szCs w:val="18"/>
        </w:rPr>
        <w:t>Incremental recurring expenses attributable to these additional activities are estimated to be approximately $</w:t>
      </w:r>
      <w:r>
        <w:rPr>
          <w:rFonts w:ascii="Arial" w:eastAsia="Arial" w:hAnsi="Arial" w:cs="Arial"/>
          <w:sz w:val="18"/>
          <w:szCs w:val="18"/>
        </w:rPr>
        <w:t xml:space="preserve">100 million before income taxes annually. A pro forma adjustment has not been made to the accompanying unaudited pro forma combined statement of income to reflect these additional expenses because they are projected amounts based on estimates that are not </w:t>
      </w:r>
      <w:r>
        <w:rPr>
          <w:rFonts w:ascii="Arial" w:eastAsia="Arial" w:hAnsi="Arial" w:cs="Arial"/>
          <w:sz w:val="18"/>
          <w:szCs w:val="18"/>
        </w:rPr>
        <w:t>factually supportable.</w:t>
      </w:r>
    </w:p>
    <w:p w14:paraId="49B28C96" w14:textId="77777777" w:rsidR="00D1587D" w:rsidRDefault="00D1587D">
      <w:pPr>
        <w:spacing w:line="79" w:lineRule="exact"/>
        <w:rPr>
          <w:sz w:val="20"/>
          <w:szCs w:val="20"/>
        </w:rPr>
      </w:pPr>
    </w:p>
    <w:p w14:paraId="61C845FC" w14:textId="77777777" w:rsidR="00D1587D" w:rsidRDefault="00410D07">
      <w:pPr>
        <w:spacing w:line="271" w:lineRule="auto"/>
        <w:ind w:left="300" w:right="399" w:firstLine="360"/>
        <w:rPr>
          <w:sz w:val="20"/>
          <w:szCs w:val="20"/>
        </w:rPr>
      </w:pPr>
      <w:r>
        <w:rPr>
          <w:rFonts w:ascii="Arial" w:eastAsia="Arial" w:hAnsi="Arial" w:cs="Arial"/>
          <w:sz w:val="17"/>
          <w:szCs w:val="17"/>
        </w:rPr>
        <w:t>We currently estimate that we will incur between $100 million and $150 million in capital expenditures and expense over a period of time to separate and implement information systems as we become an independent, publicly traded comp</w:t>
      </w:r>
      <w:r>
        <w:rPr>
          <w:rFonts w:ascii="Arial" w:eastAsia="Arial" w:hAnsi="Arial" w:cs="Arial"/>
          <w:sz w:val="17"/>
          <w:szCs w:val="17"/>
        </w:rPr>
        <w:t>any. These estimated costs will consist of internal and external labor, software licensing, networking, security and physical infrastructure required to separate the current information technology capabilities (systems &amp; infrastructure) in support of two i</w:t>
      </w:r>
      <w:r>
        <w:rPr>
          <w:rFonts w:ascii="Arial" w:eastAsia="Arial" w:hAnsi="Arial" w:cs="Arial"/>
          <w:sz w:val="17"/>
          <w:szCs w:val="17"/>
        </w:rPr>
        <w:t>ndependent companies. The accompanying unaudited pro forma combined statements of income (loss) and the unaudited pro forma combined balance sheet have not been adjusted for these estimated costs and capital expenditures as they are projected amounts based</w:t>
      </w:r>
      <w:r>
        <w:rPr>
          <w:rFonts w:ascii="Arial" w:eastAsia="Arial" w:hAnsi="Arial" w:cs="Arial"/>
          <w:sz w:val="17"/>
          <w:szCs w:val="17"/>
        </w:rPr>
        <w:t xml:space="preserve"> on estimates that are not factually supportable.</w:t>
      </w:r>
    </w:p>
    <w:p w14:paraId="5B31B92D" w14:textId="77777777" w:rsidR="00D1587D" w:rsidRDefault="00D1587D">
      <w:pPr>
        <w:spacing w:line="70" w:lineRule="exact"/>
        <w:rPr>
          <w:sz w:val="20"/>
          <w:szCs w:val="20"/>
        </w:rPr>
      </w:pPr>
    </w:p>
    <w:p w14:paraId="1D99CB04" w14:textId="77777777" w:rsidR="00D1587D" w:rsidRDefault="00410D07">
      <w:pPr>
        <w:spacing w:line="290" w:lineRule="auto"/>
        <w:ind w:left="300" w:right="399" w:firstLine="360"/>
        <w:rPr>
          <w:sz w:val="20"/>
          <w:szCs w:val="20"/>
        </w:rPr>
      </w:pPr>
      <w:r>
        <w:rPr>
          <w:rFonts w:ascii="Arial" w:eastAsia="Arial" w:hAnsi="Arial" w:cs="Arial"/>
          <w:sz w:val="16"/>
          <w:szCs w:val="16"/>
        </w:rPr>
        <w:t>Subject to the terms of the Separation and Distribution Agreement, LB will pay all nonrecurring third-party costs and expenses related to the Separation and incurred prior to the completion of the Separati</w:t>
      </w:r>
      <w:r>
        <w:rPr>
          <w:rFonts w:ascii="Arial" w:eastAsia="Arial" w:hAnsi="Arial" w:cs="Arial"/>
          <w:sz w:val="16"/>
          <w:szCs w:val="16"/>
        </w:rPr>
        <w:t xml:space="preserve">on. Such nonrecurring amounts are expected to include investment banker fees (other than fees and expenses in connection with the debt financing), third-party legal and accounting fees, and similar costs. After the completion of the Separation, subject to </w:t>
      </w:r>
      <w:r>
        <w:rPr>
          <w:rFonts w:ascii="Arial" w:eastAsia="Arial" w:hAnsi="Arial" w:cs="Arial"/>
          <w:sz w:val="16"/>
          <w:szCs w:val="16"/>
        </w:rPr>
        <w:t xml:space="preserve">the terms of the Separation and Distribution Agreement, the L Brands to VS Transition Services Agreement, the VS to L Brands Transition Services Agreement and other agreements entered into between LB and us in connection with the Separation, all costs and </w:t>
      </w:r>
      <w:r>
        <w:rPr>
          <w:rFonts w:ascii="Arial" w:eastAsia="Arial" w:hAnsi="Arial" w:cs="Arial"/>
          <w:sz w:val="16"/>
          <w:szCs w:val="16"/>
        </w:rPr>
        <w:t>expenses related to the Separation incurred by either LB or us will be borne by the party incurring the costs and expenses unless otherwise agreed between LB and us.</w:t>
      </w:r>
    </w:p>
    <w:p w14:paraId="300E1FDC" w14:textId="77777777" w:rsidR="00D1587D" w:rsidRDefault="00D1587D">
      <w:pPr>
        <w:spacing w:line="57" w:lineRule="exact"/>
        <w:rPr>
          <w:sz w:val="20"/>
          <w:szCs w:val="20"/>
        </w:rPr>
      </w:pPr>
    </w:p>
    <w:p w14:paraId="28E918BC" w14:textId="77777777" w:rsidR="00D1587D" w:rsidRDefault="00410D07">
      <w:pPr>
        <w:spacing w:line="263" w:lineRule="auto"/>
        <w:ind w:left="300" w:right="519" w:firstLine="360"/>
        <w:rPr>
          <w:sz w:val="20"/>
          <w:szCs w:val="20"/>
        </w:rPr>
      </w:pPr>
      <w:r>
        <w:rPr>
          <w:rFonts w:ascii="Arial" w:eastAsia="Arial" w:hAnsi="Arial" w:cs="Arial"/>
          <w:sz w:val="18"/>
          <w:szCs w:val="18"/>
        </w:rPr>
        <w:t xml:space="preserve">Our retained cash balance is subject to adjustments prior to and following the </w:t>
      </w:r>
      <w:r>
        <w:rPr>
          <w:rFonts w:ascii="Arial" w:eastAsia="Arial" w:hAnsi="Arial" w:cs="Arial"/>
          <w:sz w:val="18"/>
          <w:szCs w:val="18"/>
        </w:rPr>
        <w:t>completion of the Separation. The following unaudited pro forma combined balance sheet does not reflect any such adjustments, as the amounts are not currently determinable and would represent a financial projection.</w:t>
      </w:r>
    </w:p>
    <w:p w14:paraId="1166A7A9" w14:textId="77777777" w:rsidR="00D1587D" w:rsidRDefault="00D1587D">
      <w:pPr>
        <w:spacing w:line="184" w:lineRule="exact"/>
        <w:rPr>
          <w:sz w:val="20"/>
          <w:szCs w:val="20"/>
        </w:rPr>
      </w:pPr>
    </w:p>
    <w:p w14:paraId="2A3ABD30" w14:textId="77777777" w:rsidR="00D1587D" w:rsidRDefault="00410D07">
      <w:pPr>
        <w:ind w:right="19"/>
        <w:jc w:val="center"/>
        <w:rPr>
          <w:sz w:val="20"/>
          <w:szCs w:val="20"/>
        </w:rPr>
      </w:pPr>
      <w:r>
        <w:rPr>
          <w:rFonts w:ascii="Arial" w:eastAsia="Arial" w:hAnsi="Arial" w:cs="Arial"/>
          <w:sz w:val="18"/>
          <w:szCs w:val="18"/>
        </w:rPr>
        <w:t>56</w:t>
      </w:r>
    </w:p>
    <w:p w14:paraId="2A789628" w14:textId="77777777" w:rsidR="00D1587D" w:rsidRDefault="00410D07">
      <w:pPr>
        <w:spacing w:line="20" w:lineRule="exact"/>
        <w:rPr>
          <w:sz w:val="20"/>
          <w:szCs w:val="20"/>
        </w:rPr>
      </w:pPr>
      <w:r>
        <w:rPr>
          <w:noProof/>
          <w:sz w:val="20"/>
          <w:szCs w:val="20"/>
        </w:rPr>
        <w:drawing>
          <wp:anchor distT="0" distB="0" distL="114300" distR="114300" simplePos="0" relativeHeight="251508736" behindDoc="1" locked="0" layoutInCell="0" allowOverlap="1" wp14:anchorId="23DC56AB" wp14:editId="56F5A5FA">
            <wp:simplePos x="0" y="0"/>
            <wp:positionH relativeFrom="column">
              <wp:posOffset>-636905</wp:posOffset>
            </wp:positionH>
            <wp:positionV relativeFrom="paragraph">
              <wp:posOffset>134620</wp:posOffset>
            </wp:positionV>
            <wp:extent cx="6995160" cy="17145"/>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F254D74" w14:textId="77777777" w:rsidR="00D1587D" w:rsidRDefault="00D1587D">
      <w:pPr>
        <w:sectPr w:rsidR="00D1587D">
          <w:pgSz w:w="11900" w:h="16838"/>
          <w:pgMar w:top="265" w:right="1440" w:bottom="1440" w:left="1440" w:header="0" w:footer="0" w:gutter="0"/>
          <w:cols w:space="720" w:equalWidth="0">
            <w:col w:w="9019"/>
          </w:cols>
        </w:sectPr>
      </w:pPr>
    </w:p>
    <w:bookmarkStart w:id="314" w:name="page315"/>
    <w:bookmarkEnd w:id="314"/>
    <w:p w14:paraId="05193B9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w:instrText>
      </w:r>
      <w:r>
        <w:instrText xml:space="preserve">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40F478D" w14:textId="77777777" w:rsidR="00D1587D" w:rsidRDefault="00D1587D">
      <w:pPr>
        <w:spacing w:line="127" w:lineRule="exact"/>
        <w:rPr>
          <w:sz w:val="20"/>
          <w:szCs w:val="20"/>
        </w:rPr>
      </w:pPr>
    </w:p>
    <w:p w14:paraId="4938BB32" w14:textId="77777777" w:rsidR="00D1587D" w:rsidRDefault="00410D07">
      <w:pPr>
        <w:jc w:val="center"/>
        <w:rPr>
          <w:sz w:val="20"/>
          <w:szCs w:val="20"/>
        </w:rPr>
      </w:pPr>
      <w:r>
        <w:rPr>
          <w:rFonts w:ascii="Arial" w:eastAsia="Arial" w:hAnsi="Arial" w:cs="Arial"/>
          <w:b/>
          <w:bCs/>
          <w:sz w:val="18"/>
          <w:szCs w:val="18"/>
        </w:rPr>
        <w:t>Victoria’s Secret &amp; Co.</w:t>
      </w:r>
    </w:p>
    <w:p w14:paraId="2072583D" w14:textId="77777777" w:rsidR="00D1587D" w:rsidRDefault="00D1587D">
      <w:pPr>
        <w:spacing w:line="27" w:lineRule="exact"/>
        <w:rPr>
          <w:sz w:val="20"/>
          <w:szCs w:val="20"/>
        </w:rPr>
      </w:pPr>
    </w:p>
    <w:p w14:paraId="5DAFE54A" w14:textId="77777777" w:rsidR="00D1587D" w:rsidRDefault="00410D07">
      <w:pPr>
        <w:jc w:val="center"/>
        <w:rPr>
          <w:sz w:val="20"/>
          <w:szCs w:val="20"/>
        </w:rPr>
      </w:pPr>
      <w:r>
        <w:rPr>
          <w:rFonts w:ascii="Arial" w:eastAsia="Arial" w:hAnsi="Arial" w:cs="Arial"/>
          <w:b/>
          <w:bCs/>
          <w:sz w:val="18"/>
          <w:szCs w:val="18"/>
        </w:rPr>
        <w:t>Unaudited Pro Forma Combined Balance Sheet</w:t>
      </w:r>
    </w:p>
    <w:p w14:paraId="3FFC2C83" w14:textId="77777777" w:rsidR="00D1587D" w:rsidRDefault="00D1587D">
      <w:pPr>
        <w:spacing w:line="9" w:lineRule="exact"/>
        <w:rPr>
          <w:sz w:val="20"/>
          <w:szCs w:val="20"/>
        </w:rPr>
      </w:pPr>
    </w:p>
    <w:p w14:paraId="48447541" w14:textId="77777777" w:rsidR="00D1587D" w:rsidRDefault="00410D07">
      <w:pPr>
        <w:jc w:val="center"/>
        <w:rPr>
          <w:sz w:val="20"/>
          <w:szCs w:val="20"/>
        </w:rPr>
      </w:pPr>
      <w:r>
        <w:rPr>
          <w:rFonts w:ascii="Arial" w:eastAsia="Arial" w:hAnsi="Arial" w:cs="Arial"/>
          <w:b/>
          <w:bCs/>
          <w:sz w:val="18"/>
          <w:szCs w:val="18"/>
        </w:rPr>
        <w:t>As of May 1, 2021</w:t>
      </w:r>
    </w:p>
    <w:p w14:paraId="05532C63" w14:textId="77777777" w:rsidR="00D1587D" w:rsidRDefault="00D1587D">
      <w:pPr>
        <w:spacing w:line="9" w:lineRule="exact"/>
        <w:rPr>
          <w:sz w:val="20"/>
          <w:szCs w:val="20"/>
        </w:rPr>
      </w:pPr>
    </w:p>
    <w:p w14:paraId="62DA8969" w14:textId="77777777" w:rsidR="00D1587D" w:rsidRDefault="00410D07">
      <w:pPr>
        <w:jc w:val="center"/>
        <w:rPr>
          <w:sz w:val="20"/>
          <w:szCs w:val="20"/>
        </w:rPr>
      </w:pPr>
      <w:r>
        <w:rPr>
          <w:rFonts w:ascii="Arial" w:eastAsia="Arial" w:hAnsi="Arial" w:cs="Arial"/>
          <w:b/>
          <w:bCs/>
          <w:sz w:val="18"/>
          <w:szCs w:val="18"/>
        </w:rPr>
        <w:t>(in millions, except par value amounts)</w:t>
      </w:r>
    </w:p>
    <w:p w14:paraId="74D66ADE" w14:textId="77777777" w:rsidR="00D1587D" w:rsidRDefault="00D1587D">
      <w:pPr>
        <w:spacing w:line="173" w:lineRule="exact"/>
        <w:rPr>
          <w:sz w:val="20"/>
          <w:szCs w:val="20"/>
        </w:rPr>
      </w:pPr>
    </w:p>
    <w:p w14:paraId="60CEABCD" w14:textId="77777777" w:rsidR="00D1587D" w:rsidRDefault="00410D07">
      <w:pPr>
        <w:ind w:left="5720"/>
        <w:jc w:val="center"/>
        <w:rPr>
          <w:sz w:val="20"/>
          <w:szCs w:val="20"/>
        </w:rPr>
      </w:pPr>
      <w:r>
        <w:rPr>
          <w:rFonts w:ascii="Arial" w:eastAsia="Arial" w:hAnsi="Arial" w:cs="Arial"/>
          <w:b/>
          <w:bCs/>
          <w:sz w:val="14"/>
          <w:szCs w:val="14"/>
        </w:rPr>
        <w:t>Pro Forma</w:t>
      </w:r>
    </w:p>
    <w:p w14:paraId="73A1B9B3" w14:textId="77777777" w:rsidR="00D1587D" w:rsidRDefault="00410D07">
      <w:pPr>
        <w:tabs>
          <w:tab w:val="left" w:pos="180"/>
          <w:tab w:val="left" w:pos="180"/>
        </w:tabs>
        <w:ind w:left="5820"/>
        <w:jc w:val="center"/>
        <w:rPr>
          <w:sz w:val="20"/>
          <w:szCs w:val="20"/>
        </w:rPr>
      </w:pPr>
      <w:r>
        <w:rPr>
          <w:rFonts w:ascii="Arial" w:eastAsia="Arial" w:hAnsi="Arial" w:cs="Arial"/>
          <w:b/>
          <w:bCs/>
          <w:sz w:val="14"/>
          <w:szCs w:val="14"/>
        </w:rPr>
        <w:t>Historical</w:t>
      </w:r>
      <w:r>
        <w:rPr>
          <w:rFonts w:ascii="Arial" w:eastAsia="Arial" w:hAnsi="Arial" w:cs="Arial"/>
          <w:b/>
          <w:bCs/>
          <w:sz w:val="14"/>
          <w:szCs w:val="14"/>
        </w:rPr>
        <w:tab/>
        <w:t>Adjustments</w:t>
      </w:r>
      <w:r>
        <w:rPr>
          <w:rFonts w:ascii="Arial" w:eastAsia="Arial" w:hAnsi="Arial" w:cs="Arial"/>
          <w:b/>
          <w:bCs/>
          <w:sz w:val="23"/>
          <w:szCs w:val="23"/>
          <w:vertAlign w:val="superscript"/>
        </w:rPr>
        <w:t>(1)</w:t>
      </w:r>
      <w:r>
        <w:rPr>
          <w:sz w:val="20"/>
          <w:szCs w:val="20"/>
        </w:rPr>
        <w:tab/>
      </w:r>
      <w:r>
        <w:rPr>
          <w:rFonts w:ascii="Arial" w:eastAsia="Arial" w:hAnsi="Arial" w:cs="Arial"/>
          <w:b/>
          <w:bCs/>
          <w:sz w:val="13"/>
          <w:szCs w:val="13"/>
        </w:rPr>
        <w:t>Pro Forma</w:t>
      </w:r>
    </w:p>
    <w:p w14:paraId="1E5E0D41" w14:textId="77777777" w:rsidR="00D1587D" w:rsidRDefault="00410D07">
      <w:pPr>
        <w:spacing w:line="20" w:lineRule="exact"/>
        <w:rPr>
          <w:sz w:val="20"/>
          <w:szCs w:val="20"/>
        </w:rPr>
      </w:pPr>
      <w:r>
        <w:rPr>
          <w:noProof/>
          <w:sz w:val="20"/>
          <w:szCs w:val="20"/>
        </w:rPr>
        <w:drawing>
          <wp:anchor distT="0" distB="0" distL="114300" distR="114300" simplePos="0" relativeHeight="251509760" behindDoc="1" locked="0" layoutInCell="0" allowOverlap="1" wp14:anchorId="28ED4914" wp14:editId="32195544">
            <wp:simplePos x="0" y="0"/>
            <wp:positionH relativeFrom="column">
              <wp:posOffset>185420</wp:posOffset>
            </wp:positionH>
            <wp:positionV relativeFrom="paragraph">
              <wp:posOffset>-22225</wp:posOffset>
            </wp:positionV>
            <wp:extent cx="5349240" cy="22288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8"/>
                    <a:srcRect/>
                    <a:stretch>
                      <a:fillRect/>
                    </a:stretch>
                  </pic:blipFill>
                  <pic:spPr bwMode="auto">
                    <a:xfrm>
                      <a:off x="0" y="0"/>
                      <a:ext cx="5349240" cy="222885"/>
                    </a:xfrm>
                    <a:prstGeom prst="rect">
                      <a:avLst/>
                    </a:prstGeom>
                    <a:noFill/>
                  </pic:spPr>
                </pic:pic>
              </a:graphicData>
            </a:graphic>
          </wp:anchor>
        </w:drawing>
      </w:r>
    </w:p>
    <w:p w14:paraId="192F2898" w14:textId="77777777" w:rsidR="00D1587D" w:rsidRDefault="00D1587D">
      <w:pPr>
        <w:spacing w:line="19" w:lineRule="exact"/>
        <w:rPr>
          <w:sz w:val="20"/>
          <w:szCs w:val="20"/>
        </w:rPr>
      </w:pPr>
    </w:p>
    <w:p w14:paraId="4135089D" w14:textId="77777777" w:rsidR="00D1587D" w:rsidRDefault="00410D07">
      <w:pPr>
        <w:ind w:left="300"/>
        <w:rPr>
          <w:sz w:val="20"/>
          <w:szCs w:val="20"/>
        </w:rPr>
      </w:pPr>
      <w:r>
        <w:rPr>
          <w:rFonts w:ascii="Arial" w:eastAsia="Arial" w:hAnsi="Arial" w:cs="Arial"/>
          <w:b/>
          <w:bCs/>
          <w:sz w:val="18"/>
          <w:szCs w:val="18"/>
        </w:rPr>
        <w:t>ASSETS</w:t>
      </w:r>
    </w:p>
    <w:p w14:paraId="2A984E1F" w14:textId="77777777" w:rsidR="00D1587D" w:rsidRDefault="00D1587D">
      <w:pPr>
        <w:spacing w:line="105" w:lineRule="exact"/>
        <w:rPr>
          <w:sz w:val="20"/>
          <w:szCs w:val="20"/>
        </w:rPr>
      </w:pPr>
    </w:p>
    <w:p w14:paraId="2FF9C1FF" w14:textId="77777777" w:rsidR="00D1587D" w:rsidRDefault="00410D07">
      <w:pPr>
        <w:ind w:left="300"/>
        <w:rPr>
          <w:sz w:val="20"/>
          <w:szCs w:val="20"/>
        </w:rPr>
      </w:pPr>
      <w:r>
        <w:rPr>
          <w:rFonts w:ascii="Arial" w:eastAsia="Arial" w:hAnsi="Arial" w:cs="Arial"/>
          <w:b/>
          <w:bCs/>
          <w:sz w:val="18"/>
          <w:szCs w:val="18"/>
        </w:rPr>
        <w:t>Current Assets:</w:t>
      </w:r>
    </w:p>
    <w:p w14:paraId="1B941919" w14:textId="77777777" w:rsidR="00D1587D" w:rsidRDefault="00D1587D">
      <w:pPr>
        <w:spacing w:line="81"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960"/>
        <w:gridCol w:w="1740"/>
        <w:gridCol w:w="1020"/>
        <w:gridCol w:w="100"/>
        <w:gridCol w:w="620"/>
        <w:gridCol w:w="160"/>
        <w:gridCol w:w="160"/>
        <w:gridCol w:w="820"/>
        <w:gridCol w:w="160"/>
        <w:gridCol w:w="240"/>
        <w:gridCol w:w="440"/>
      </w:tblGrid>
      <w:tr w:rsidR="00D1587D" w14:paraId="40ADB7EF" w14:textId="77777777">
        <w:trPr>
          <w:trHeight w:val="304"/>
        </w:trPr>
        <w:tc>
          <w:tcPr>
            <w:tcW w:w="2960" w:type="dxa"/>
            <w:tcBorders>
              <w:bottom w:val="single" w:sz="8" w:space="0" w:color="CCEEFF"/>
            </w:tcBorders>
            <w:shd w:val="clear" w:color="auto" w:fill="CCEEFF"/>
            <w:vAlign w:val="bottom"/>
          </w:tcPr>
          <w:p w14:paraId="1B93962C" w14:textId="77777777" w:rsidR="00D1587D" w:rsidRDefault="00410D07">
            <w:pPr>
              <w:ind w:left="180"/>
              <w:rPr>
                <w:sz w:val="20"/>
                <w:szCs w:val="20"/>
              </w:rPr>
            </w:pPr>
            <w:r>
              <w:rPr>
                <w:rFonts w:ascii="Arial" w:eastAsia="Arial" w:hAnsi="Arial" w:cs="Arial"/>
                <w:sz w:val="18"/>
                <w:szCs w:val="18"/>
              </w:rPr>
              <w:t xml:space="preserve">Cash and Cash </w:t>
            </w:r>
            <w:r>
              <w:rPr>
                <w:rFonts w:ascii="Arial" w:eastAsia="Arial" w:hAnsi="Arial" w:cs="Arial"/>
                <w:sz w:val="18"/>
                <w:szCs w:val="18"/>
              </w:rPr>
              <w:t>Equivalents</w:t>
            </w:r>
          </w:p>
        </w:tc>
        <w:tc>
          <w:tcPr>
            <w:tcW w:w="1740" w:type="dxa"/>
            <w:tcBorders>
              <w:bottom w:val="single" w:sz="8" w:space="0" w:color="CCEEFF"/>
            </w:tcBorders>
            <w:shd w:val="clear" w:color="auto" w:fill="CCEEFF"/>
            <w:vAlign w:val="bottom"/>
          </w:tcPr>
          <w:p w14:paraId="07F4D168"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561237D4" w14:textId="77777777" w:rsidR="00D1587D" w:rsidRDefault="00410D07">
            <w:pPr>
              <w:jc w:val="right"/>
              <w:rPr>
                <w:sz w:val="20"/>
                <w:szCs w:val="20"/>
              </w:rPr>
            </w:pPr>
            <w:r>
              <w:rPr>
                <w:rFonts w:ascii="Arial" w:eastAsia="Arial" w:hAnsi="Arial" w:cs="Arial"/>
                <w:sz w:val="18"/>
                <w:szCs w:val="18"/>
              </w:rPr>
              <w:t>$  332</w:t>
            </w:r>
          </w:p>
        </w:tc>
        <w:tc>
          <w:tcPr>
            <w:tcW w:w="160" w:type="dxa"/>
            <w:tcBorders>
              <w:bottom w:val="single" w:sz="8" w:space="0" w:color="CCEEFF"/>
            </w:tcBorders>
            <w:shd w:val="clear" w:color="auto" w:fill="CCEEFF"/>
            <w:vAlign w:val="bottom"/>
          </w:tcPr>
          <w:p w14:paraId="13F4B0F0" w14:textId="77777777" w:rsidR="00D1587D" w:rsidRDefault="00D1587D">
            <w:pPr>
              <w:rPr>
                <w:sz w:val="24"/>
                <w:szCs w:val="24"/>
              </w:rPr>
            </w:pPr>
          </w:p>
        </w:tc>
        <w:tc>
          <w:tcPr>
            <w:tcW w:w="160" w:type="dxa"/>
            <w:tcBorders>
              <w:bottom w:val="single" w:sz="8" w:space="0" w:color="CCEEFF"/>
            </w:tcBorders>
            <w:shd w:val="clear" w:color="auto" w:fill="CCEEFF"/>
            <w:vAlign w:val="bottom"/>
          </w:tcPr>
          <w:p w14:paraId="2D349066" w14:textId="77777777" w:rsidR="00D1587D" w:rsidRDefault="00410D07">
            <w:pPr>
              <w:jc w:val="right"/>
              <w:rPr>
                <w:sz w:val="20"/>
                <w:szCs w:val="20"/>
              </w:rPr>
            </w:pPr>
            <w:r>
              <w:rPr>
                <w:rFonts w:ascii="Arial" w:eastAsia="Arial" w:hAnsi="Arial" w:cs="Arial"/>
                <w:w w:val="99"/>
                <w:sz w:val="18"/>
                <w:szCs w:val="18"/>
              </w:rPr>
              <w:t>$</w:t>
            </w:r>
          </w:p>
        </w:tc>
        <w:tc>
          <w:tcPr>
            <w:tcW w:w="980" w:type="dxa"/>
            <w:gridSpan w:val="2"/>
            <w:tcBorders>
              <w:bottom w:val="single" w:sz="8" w:space="0" w:color="CCEEFF"/>
            </w:tcBorders>
            <w:shd w:val="clear" w:color="auto" w:fill="CCEEFF"/>
            <w:vAlign w:val="bottom"/>
          </w:tcPr>
          <w:p w14:paraId="54946F25" w14:textId="77777777" w:rsidR="00D1587D" w:rsidRDefault="00410D07">
            <w:pPr>
              <w:ind w:right="160"/>
              <w:jc w:val="right"/>
              <w:rPr>
                <w:sz w:val="20"/>
                <w:szCs w:val="20"/>
              </w:rPr>
            </w:pPr>
            <w:r>
              <w:rPr>
                <w:rFonts w:ascii="Arial" w:eastAsia="Arial" w:hAnsi="Arial" w:cs="Arial"/>
                <w:sz w:val="18"/>
                <w:szCs w:val="18"/>
              </w:rPr>
              <w:t>(82)(a)</w:t>
            </w:r>
          </w:p>
        </w:tc>
        <w:tc>
          <w:tcPr>
            <w:tcW w:w="240" w:type="dxa"/>
            <w:tcBorders>
              <w:bottom w:val="single" w:sz="8" w:space="0" w:color="CCEEFF"/>
            </w:tcBorders>
            <w:shd w:val="clear" w:color="auto" w:fill="CCEEFF"/>
            <w:vAlign w:val="bottom"/>
          </w:tcPr>
          <w:p w14:paraId="5D78D354" w14:textId="77777777" w:rsidR="00D1587D" w:rsidRDefault="00410D07">
            <w:pPr>
              <w:jc w:val="right"/>
              <w:rPr>
                <w:sz w:val="20"/>
                <w:szCs w:val="20"/>
              </w:rPr>
            </w:pPr>
            <w:r>
              <w:rPr>
                <w:rFonts w:ascii="Arial" w:eastAsia="Arial" w:hAnsi="Arial" w:cs="Arial"/>
                <w:sz w:val="18"/>
                <w:szCs w:val="18"/>
              </w:rPr>
              <w:t>$</w:t>
            </w:r>
          </w:p>
        </w:tc>
        <w:tc>
          <w:tcPr>
            <w:tcW w:w="440" w:type="dxa"/>
            <w:tcBorders>
              <w:bottom w:val="single" w:sz="8" w:space="0" w:color="CCEEFF"/>
            </w:tcBorders>
            <w:shd w:val="clear" w:color="auto" w:fill="CCEEFF"/>
            <w:vAlign w:val="bottom"/>
          </w:tcPr>
          <w:p w14:paraId="7F502523" w14:textId="77777777" w:rsidR="00D1587D" w:rsidRDefault="00410D07">
            <w:pPr>
              <w:jc w:val="right"/>
              <w:rPr>
                <w:sz w:val="20"/>
                <w:szCs w:val="20"/>
              </w:rPr>
            </w:pPr>
            <w:r>
              <w:rPr>
                <w:rFonts w:ascii="Arial" w:eastAsia="Arial" w:hAnsi="Arial" w:cs="Arial"/>
                <w:sz w:val="18"/>
                <w:szCs w:val="18"/>
              </w:rPr>
              <w:t>250</w:t>
            </w:r>
          </w:p>
        </w:tc>
      </w:tr>
      <w:tr w:rsidR="00D1587D" w14:paraId="635204E2" w14:textId="77777777">
        <w:trPr>
          <w:trHeight w:val="270"/>
        </w:trPr>
        <w:tc>
          <w:tcPr>
            <w:tcW w:w="2960" w:type="dxa"/>
            <w:vAlign w:val="bottom"/>
          </w:tcPr>
          <w:p w14:paraId="63762E5A" w14:textId="77777777" w:rsidR="00D1587D" w:rsidRDefault="00410D07">
            <w:pPr>
              <w:ind w:left="180"/>
              <w:rPr>
                <w:sz w:val="20"/>
                <w:szCs w:val="20"/>
              </w:rPr>
            </w:pPr>
            <w:r>
              <w:rPr>
                <w:rFonts w:ascii="Arial" w:eastAsia="Arial" w:hAnsi="Arial" w:cs="Arial"/>
                <w:sz w:val="18"/>
                <w:szCs w:val="18"/>
              </w:rPr>
              <w:t>Accounts Receivable, Net</w:t>
            </w:r>
          </w:p>
        </w:tc>
        <w:tc>
          <w:tcPr>
            <w:tcW w:w="1740" w:type="dxa"/>
            <w:vAlign w:val="bottom"/>
          </w:tcPr>
          <w:p w14:paraId="47DD2D6D" w14:textId="77777777" w:rsidR="00D1587D" w:rsidRDefault="00D1587D">
            <w:pPr>
              <w:rPr>
                <w:sz w:val="23"/>
                <w:szCs w:val="23"/>
              </w:rPr>
            </w:pPr>
          </w:p>
        </w:tc>
        <w:tc>
          <w:tcPr>
            <w:tcW w:w="1740" w:type="dxa"/>
            <w:gridSpan w:val="3"/>
            <w:vAlign w:val="bottom"/>
          </w:tcPr>
          <w:p w14:paraId="0B249CAC" w14:textId="77777777" w:rsidR="00D1587D" w:rsidRDefault="00410D07">
            <w:pPr>
              <w:jc w:val="right"/>
              <w:rPr>
                <w:sz w:val="20"/>
                <w:szCs w:val="20"/>
              </w:rPr>
            </w:pPr>
            <w:r>
              <w:rPr>
                <w:rFonts w:ascii="Arial" w:eastAsia="Arial" w:hAnsi="Arial" w:cs="Arial"/>
                <w:sz w:val="18"/>
                <w:szCs w:val="18"/>
              </w:rPr>
              <w:t>111</w:t>
            </w:r>
          </w:p>
        </w:tc>
        <w:tc>
          <w:tcPr>
            <w:tcW w:w="160" w:type="dxa"/>
            <w:vAlign w:val="bottom"/>
          </w:tcPr>
          <w:p w14:paraId="169B1F72" w14:textId="77777777" w:rsidR="00D1587D" w:rsidRDefault="00D1587D">
            <w:pPr>
              <w:rPr>
                <w:sz w:val="23"/>
                <w:szCs w:val="23"/>
              </w:rPr>
            </w:pPr>
          </w:p>
        </w:tc>
        <w:tc>
          <w:tcPr>
            <w:tcW w:w="160" w:type="dxa"/>
            <w:vAlign w:val="bottom"/>
          </w:tcPr>
          <w:p w14:paraId="58120B4A" w14:textId="77777777" w:rsidR="00D1587D" w:rsidRDefault="00D1587D">
            <w:pPr>
              <w:rPr>
                <w:sz w:val="23"/>
                <w:szCs w:val="23"/>
              </w:rPr>
            </w:pPr>
          </w:p>
        </w:tc>
        <w:tc>
          <w:tcPr>
            <w:tcW w:w="980" w:type="dxa"/>
            <w:gridSpan w:val="2"/>
            <w:vAlign w:val="bottom"/>
          </w:tcPr>
          <w:p w14:paraId="4747FC89" w14:textId="77777777" w:rsidR="00D1587D" w:rsidRDefault="00410D07">
            <w:pPr>
              <w:ind w:right="160"/>
              <w:jc w:val="right"/>
              <w:rPr>
                <w:sz w:val="20"/>
                <w:szCs w:val="20"/>
              </w:rPr>
            </w:pPr>
            <w:r>
              <w:rPr>
                <w:rFonts w:ascii="Arial" w:eastAsia="Arial" w:hAnsi="Arial" w:cs="Arial"/>
                <w:sz w:val="18"/>
                <w:szCs w:val="18"/>
              </w:rPr>
              <w:t>—</w:t>
            </w:r>
          </w:p>
        </w:tc>
        <w:tc>
          <w:tcPr>
            <w:tcW w:w="240" w:type="dxa"/>
            <w:vAlign w:val="bottom"/>
          </w:tcPr>
          <w:p w14:paraId="2FAFE7C4" w14:textId="77777777" w:rsidR="00D1587D" w:rsidRDefault="00D1587D">
            <w:pPr>
              <w:rPr>
                <w:sz w:val="23"/>
                <w:szCs w:val="23"/>
              </w:rPr>
            </w:pPr>
          </w:p>
        </w:tc>
        <w:tc>
          <w:tcPr>
            <w:tcW w:w="440" w:type="dxa"/>
            <w:vAlign w:val="bottom"/>
          </w:tcPr>
          <w:p w14:paraId="0A5B156F" w14:textId="77777777" w:rsidR="00D1587D" w:rsidRDefault="00410D07">
            <w:pPr>
              <w:ind w:right="10"/>
              <w:jc w:val="right"/>
              <w:rPr>
                <w:sz w:val="20"/>
                <w:szCs w:val="20"/>
              </w:rPr>
            </w:pPr>
            <w:r>
              <w:rPr>
                <w:rFonts w:ascii="Arial" w:eastAsia="Arial" w:hAnsi="Arial" w:cs="Arial"/>
                <w:sz w:val="18"/>
                <w:szCs w:val="18"/>
              </w:rPr>
              <w:t>111</w:t>
            </w:r>
          </w:p>
        </w:tc>
      </w:tr>
      <w:tr w:rsidR="00D1587D" w14:paraId="3C4DE14D" w14:textId="77777777">
        <w:trPr>
          <w:trHeight w:val="54"/>
        </w:trPr>
        <w:tc>
          <w:tcPr>
            <w:tcW w:w="2960" w:type="dxa"/>
            <w:vAlign w:val="bottom"/>
          </w:tcPr>
          <w:p w14:paraId="5C924FD4" w14:textId="77777777" w:rsidR="00D1587D" w:rsidRDefault="00D1587D">
            <w:pPr>
              <w:rPr>
                <w:sz w:val="4"/>
                <w:szCs w:val="4"/>
              </w:rPr>
            </w:pPr>
          </w:p>
        </w:tc>
        <w:tc>
          <w:tcPr>
            <w:tcW w:w="1740" w:type="dxa"/>
            <w:vAlign w:val="bottom"/>
          </w:tcPr>
          <w:p w14:paraId="740D7046" w14:textId="77777777" w:rsidR="00D1587D" w:rsidRDefault="00D1587D">
            <w:pPr>
              <w:rPr>
                <w:sz w:val="4"/>
                <w:szCs w:val="4"/>
              </w:rPr>
            </w:pPr>
          </w:p>
        </w:tc>
        <w:tc>
          <w:tcPr>
            <w:tcW w:w="1020" w:type="dxa"/>
            <w:vAlign w:val="bottom"/>
          </w:tcPr>
          <w:p w14:paraId="42991BB9" w14:textId="77777777" w:rsidR="00D1587D" w:rsidRDefault="00D1587D">
            <w:pPr>
              <w:rPr>
                <w:sz w:val="4"/>
                <w:szCs w:val="4"/>
              </w:rPr>
            </w:pPr>
          </w:p>
        </w:tc>
        <w:tc>
          <w:tcPr>
            <w:tcW w:w="100" w:type="dxa"/>
            <w:vAlign w:val="bottom"/>
          </w:tcPr>
          <w:p w14:paraId="06C97070" w14:textId="77777777" w:rsidR="00D1587D" w:rsidRDefault="00D1587D">
            <w:pPr>
              <w:rPr>
                <w:sz w:val="4"/>
                <w:szCs w:val="4"/>
              </w:rPr>
            </w:pPr>
          </w:p>
        </w:tc>
        <w:tc>
          <w:tcPr>
            <w:tcW w:w="620" w:type="dxa"/>
            <w:vAlign w:val="bottom"/>
          </w:tcPr>
          <w:p w14:paraId="78EB1F33" w14:textId="77777777" w:rsidR="00D1587D" w:rsidRDefault="00D1587D">
            <w:pPr>
              <w:rPr>
                <w:sz w:val="4"/>
                <w:szCs w:val="4"/>
              </w:rPr>
            </w:pPr>
          </w:p>
        </w:tc>
        <w:tc>
          <w:tcPr>
            <w:tcW w:w="160" w:type="dxa"/>
            <w:vAlign w:val="bottom"/>
          </w:tcPr>
          <w:p w14:paraId="6F18CF4D" w14:textId="77777777" w:rsidR="00D1587D" w:rsidRDefault="00D1587D">
            <w:pPr>
              <w:rPr>
                <w:sz w:val="4"/>
                <w:szCs w:val="4"/>
              </w:rPr>
            </w:pPr>
          </w:p>
        </w:tc>
        <w:tc>
          <w:tcPr>
            <w:tcW w:w="160" w:type="dxa"/>
            <w:vAlign w:val="bottom"/>
          </w:tcPr>
          <w:p w14:paraId="25D5ACD8" w14:textId="77777777" w:rsidR="00D1587D" w:rsidRDefault="00D1587D">
            <w:pPr>
              <w:rPr>
                <w:sz w:val="4"/>
                <w:szCs w:val="4"/>
              </w:rPr>
            </w:pPr>
          </w:p>
        </w:tc>
        <w:tc>
          <w:tcPr>
            <w:tcW w:w="820" w:type="dxa"/>
            <w:vAlign w:val="bottom"/>
          </w:tcPr>
          <w:p w14:paraId="1154954A" w14:textId="77777777" w:rsidR="00D1587D" w:rsidRDefault="00D1587D">
            <w:pPr>
              <w:rPr>
                <w:sz w:val="4"/>
                <w:szCs w:val="4"/>
              </w:rPr>
            </w:pPr>
          </w:p>
        </w:tc>
        <w:tc>
          <w:tcPr>
            <w:tcW w:w="160" w:type="dxa"/>
            <w:vAlign w:val="bottom"/>
          </w:tcPr>
          <w:p w14:paraId="74F001E9" w14:textId="77777777" w:rsidR="00D1587D" w:rsidRDefault="00D1587D">
            <w:pPr>
              <w:rPr>
                <w:sz w:val="4"/>
                <w:szCs w:val="4"/>
              </w:rPr>
            </w:pPr>
          </w:p>
        </w:tc>
        <w:tc>
          <w:tcPr>
            <w:tcW w:w="240" w:type="dxa"/>
            <w:vAlign w:val="bottom"/>
          </w:tcPr>
          <w:p w14:paraId="3686332B" w14:textId="77777777" w:rsidR="00D1587D" w:rsidRDefault="00D1587D">
            <w:pPr>
              <w:rPr>
                <w:sz w:val="4"/>
                <w:szCs w:val="4"/>
              </w:rPr>
            </w:pPr>
          </w:p>
        </w:tc>
        <w:tc>
          <w:tcPr>
            <w:tcW w:w="440" w:type="dxa"/>
            <w:vAlign w:val="bottom"/>
          </w:tcPr>
          <w:p w14:paraId="5565C546" w14:textId="77777777" w:rsidR="00D1587D" w:rsidRDefault="00D1587D">
            <w:pPr>
              <w:rPr>
                <w:sz w:val="4"/>
                <w:szCs w:val="4"/>
              </w:rPr>
            </w:pPr>
          </w:p>
        </w:tc>
      </w:tr>
      <w:tr w:rsidR="00D1587D" w14:paraId="5882283F" w14:textId="77777777">
        <w:trPr>
          <w:trHeight w:val="304"/>
        </w:trPr>
        <w:tc>
          <w:tcPr>
            <w:tcW w:w="2960" w:type="dxa"/>
            <w:tcBorders>
              <w:bottom w:val="single" w:sz="8" w:space="0" w:color="CCEEFF"/>
            </w:tcBorders>
            <w:shd w:val="clear" w:color="auto" w:fill="CCEEFF"/>
            <w:vAlign w:val="bottom"/>
          </w:tcPr>
          <w:p w14:paraId="12C91CC5" w14:textId="77777777" w:rsidR="00D1587D" w:rsidRDefault="00410D07">
            <w:pPr>
              <w:ind w:left="180"/>
              <w:rPr>
                <w:sz w:val="20"/>
                <w:szCs w:val="20"/>
              </w:rPr>
            </w:pPr>
            <w:r>
              <w:rPr>
                <w:rFonts w:ascii="Arial" w:eastAsia="Arial" w:hAnsi="Arial" w:cs="Arial"/>
                <w:sz w:val="18"/>
                <w:szCs w:val="18"/>
              </w:rPr>
              <w:t>Due from Related Parties</w:t>
            </w:r>
          </w:p>
        </w:tc>
        <w:tc>
          <w:tcPr>
            <w:tcW w:w="1740" w:type="dxa"/>
            <w:tcBorders>
              <w:bottom w:val="single" w:sz="8" w:space="0" w:color="CCEEFF"/>
            </w:tcBorders>
            <w:shd w:val="clear" w:color="auto" w:fill="CCEEFF"/>
            <w:vAlign w:val="bottom"/>
          </w:tcPr>
          <w:p w14:paraId="48616438"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5B4E8A17" w14:textId="77777777" w:rsidR="00D1587D" w:rsidRDefault="00410D07">
            <w:pPr>
              <w:jc w:val="right"/>
              <w:rPr>
                <w:sz w:val="20"/>
                <w:szCs w:val="20"/>
              </w:rPr>
            </w:pPr>
            <w:r>
              <w:rPr>
                <w:rFonts w:ascii="Arial" w:eastAsia="Arial" w:hAnsi="Arial" w:cs="Arial"/>
                <w:sz w:val="18"/>
                <w:szCs w:val="18"/>
              </w:rPr>
              <w:t>2</w:t>
            </w:r>
          </w:p>
        </w:tc>
        <w:tc>
          <w:tcPr>
            <w:tcW w:w="160" w:type="dxa"/>
            <w:tcBorders>
              <w:bottom w:val="single" w:sz="8" w:space="0" w:color="CCEEFF"/>
            </w:tcBorders>
            <w:shd w:val="clear" w:color="auto" w:fill="CCEEFF"/>
            <w:vAlign w:val="bottom"/>
          </w:tcPr>
          <w:p w14:paraId="6F1474B6" w14:textId="77777777" w:rsidR="00D1587D" w:rsidRDefault="00D1587D">
            <w:pPr>
              <w:rPr>
                <w:sz w:val="24"/>
                <w:szCs w:val="24"/>
              </w:rPr>
            </w:pPr>
          </w:p>
        </w:tc>
        <w:tc>
          <w:tcPr>
            <w:tcW w:w="160" w:type="dxa"/>
            <w:tcBorders>
              <w:bottom w:val="single" w:sz="8" w:space="0" w:color="CCEEFF"/>
            </w:tcBorders>
            <w:shd w:val="clear" w:color="auto" w:fill="CCEEFF"/>
            <w:vAlign w:val="bottom"/>
          </w:tcPr>
          <w:p w14:paraId="7ECE5A95"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4D75F8B2" w14:textId="77777777" w:rsidR="00D1587D" w:rsidRDefault="00410D07">
            <w:pPr>
              <w:ind w:right="160"/>
              <w:jc w:val="right"/>
              <w:rPr>
                <w:sz w:val="20"/>
                <w:szCs w:val="20"/>
              </w:rPr>
            </w:pPr>
            <w:r>
              <w:rPr>
                <w:rFonts w:ascii="Arial" w:eastAsia="Arial" w:hAnsi="Arial" w:cs="Arial"/>
                <w:sz w:val="18"/>
                <w:szCs w:val="18"/>
              </w:rPr>
              <w:t>—</w:t>
            </w:r>
          </w:p>
        </w:tc>
        <w:tc>
          <w:tcPr>
            <w:tcW w:w="240" w:type="dxa"/>
            <w:tcBorders>
              <w:bottom w:val="single" w:sz="8" w:space="0" w:color="CCEEFF"/>
            </w:tcBorders>
            <w:shd w:val="clear" w:color="auto" w:fill="CCEEFF"/>
            <w:vAlign w:val="bottom"/>
          </w:tcPr>
          <w:p w14:paraId="41D2942A" w14:textId="77777777" w:rsidR="00D1587D" w:rsidRDefault="00D1587D">
            <w:pPr>
              <w:rPr>
                <w:sz w:val="24"/>
                <w:szCs w:val="24"/>
              </w:rPr>
            </w:pPr>
          </w:p>
        </w:tc>
        <w:tc>
          <w:tcPr>
            <w:tcW w:w="440" w:type="dxa"/>
            <w:tcBorders>
              <w:bottom w:val="single" w:sz="8" w:space="0" w:color="CCEEFF"/>
            </w:tcBorders>
            <w:shd w:val="clear" w:color="auto" w:fill="CCEEFF"/>
            <w:vAlign w:val="bottom"/>
          </w:tcPr>
          <w:p w14:paraId="468ADE62" w14:textId="77777777" w:rsidR="00D1587D" w:rsidRDefault="00410D07">
            <w:pPr>
              <w:jc w:val="right"/>
              <w:rPr>
                <w:sz w:val="20"/>
                <w:szCs w:val="20"/>
              </w:rPr>
            </w:pPr>
            <w:r>
              <w:rPr>
                <w:rFonts w:ascii="Arial" w:eastAsia="Arial" w:hAnsi="Arial" w:cs="Arial"/>
                <w:sz w:val="18"/>
                <w:szCs w:val="18"/>
              </w:rPr>
              <w:t>2</w:t>
            </w:r>
          </w:p>
        </w:tc>
      </w:tr>
      <w:tr w:rsidR="00D1587D" w14:paraId="0DA9C096" w14:textId="77777777">
        <w:trPr>
          <w:trHeight w:val="270"/>
        </w:trPr>
        <w:tc>
          <w:tcPr>
            <w:tcW w:w="2960" w:type="dxa"/>
            <w:vAlign w:val="bottom"/>
          </w:tcPr>
          <w:p w14:paraId="144EE024" w14:textId="77777777" w:rsidR="00D1587D" w:rsidRDefault="00410D07">
            <w:pPr>
              <w:ind w:left="180"/>
              <w:rPr>
                <w:sz w:val="20"/>
                <w:szCs w:val="20"/>
              </w:rPr>
            </w:pPr>
            <w:r>
              <w:rPr>
                <w:rFonts w:ascii="Arial" w:eastAsia="Arial" w:hAnsi="Arial" w:cs="Arial"/>
                <w:sz w:val="18"/>
                <w:szCs w:val="18"/>
              </w:rPr>
              <w:t>Inventories</w:t>
            </w:r>
          </w:p>
        </w:tc>
        <w:tc>
          <w:tcPr>
            <w:tcW w:w="1740" w:type="dxa"/>
            <w:vAlign w:val="bottom"/>
          </w:tcPr>
          <w:p w14:paraId="30F98418" w14:textId="77777777" w:rsidR="00D1587D" w:rsidRDefault="00D1587D">
            <w:pPr>
              <w:rPr>
                <w:sz w:val="23"/>
                <w:szCs w:val="23"/>
              </w:rPr>
            </w:pPr>
          </w:p>
        </w:tc>
        <w:tc>
          <w:tcPr>
            <w:tcW w:w="1740" w:type="dxa"/>
            <w:gridSpan w:val="3"/>
            <w:vAlign w:val="bottom"/>
          </w:tcPr>
          <w:p w14:paraId="6F4D5D57" w14:textId="77777777" w:rsidR="00D1587D" w:rsidRDefault="00410D07">
            <w:pPr>
              <w:jc w:val="right"/>
              <w:rPr>
                <w:sz w:val="20"/>
                <w:szCs w:val="20"/>
              </w:rPr>
            </w:pPr>
            <w:r>
              <w:rPr>
                <w:rFonts w:ascii="Arial" w:eastAsia="Arial" w:hAnsi="Arial" w:cs="Arial"/>
                <w:sz w:val="18"/>
                <w:szCs w:val="18"/>
              </w:rPr>
              <w:t>761</w:t>
            </w:r>
          </w:p>
        </w:tc>
        <w:tc>
          <w:tcPr>
            <w:tcW w:w="160" w:type="dxa"/>
            <w:vAlign w:val="bottom"/>
          </w:tcPr>
          <w:p w14:paraId="0602BD88" w14:textId="77777777" w:rsidR="00D1587D" w:rsidRDefault="00D1587D">
            <w:pPr>
              <w:rPr>
                <w:sz w:val="23"/>
                <w:szCs w:val="23"/>
              </w:rPr>
            </w:pPr>
          </w:p>
        </w:tc>
        <w:tc>
          <w:tcPr>
            <w:tcW w:w="160" w:type="dxa"/>
            <w:vAlign w:val="bottom"/>
          </w:tcPr>
          <w:p w14:paraId="322DC5AD" w14:textId="77777777" w:rsidR="00D1587D" w:rsidRDefault="00D1587D">
            <w:pPr>
              <w:rPr>
                <w:sz w:val="23"/>
                <w:szCs w:val="23"/>
              </w:rPr>
            </w:pPr>
          </w:p>
        </w:tc>
        <w:tc>
          <w:tcPr>
            <w:tcW w:w="980" w:type="dxa"/>
            <w:gridSpan w:val="2"/>
            <w:vAlign w:val="bottom"/>
          </w:tcPr>
          <w:p w14:paraId="21054B53" w14:textId="77777777" w:rsidR="00D1587D" w:rsidRDefault="00410D07">
            <w:pPr>
              <w:ind w:right="160"/>
              <w:jc w:val="right"/>
              <w:rPr>
                <w:sz w:val="20"/>
                <w:szCs w:val="20"/>
              </w:rPr>
            </w:pPr>
            <w:r>
              <w:rPr>
                <w:rFonts w:ascii="Arial" w:eastAsia="Arial" w:hAnsi="Arial" w:cs="Arial"/>
                <w:sz w:val="18"/>
                <w:szCs w:val="18"/>
              </w:rPr>
              <w:t>—</w:t>
            </w:r>
          </w:p>
        </w:tc>
        <w:tc>
          <w:tcPr>
            <w:tcW w:w="240" w:type="dxa"/>
            <w:vAlign w:val="bottom"/>
          </w:tcPr>
          <w:p w14:paraId="632781F2" w14:textId="77777777" w:rsidR="00D1587D" w:rsidRDefault="00D1587D">
            <w:pPr>
              <w:rPr>
                <w:sz w:val="23"/>
                <w:szCs w:val="23"/>
              </w:rPr>
            </w:pPr>
          </w:p>
        </w:tc>
        <w:tc>
          <w:tcPr>
            <w:tcW w:w="440" w:type="dxa"/>
            <w:vAlign w:val="bottom"/>
          </w:tcPr>
          <w:p w14:paraId="7DB11619" w14:textId="77777777" w:rsidR="00D1587D" w:rsidRDefault="00410D07">
            <w:pPr>
              <w:ind w:right="10"/>
              <w:jc w:val="right"/>
              <w:rPr>
                <w:sz w:val="20"/>
                <w:szCs w:val="20"/>
              </w:rPr>
            </w:pPr>
            <w:r>
              <w:rPr>
                <w:rFonts w:ascii="Arial" w:eastAsia="Arial" w:hAnsi="Arial" w:cs="Arial"/>
                <w:sz w:val="18"/>
                <w:szCs w:val="18"/>
              </w:rPr>
              <w:t>761</w:t>
            </w:r>
          </w:p>
        </w:tc>
      </w:tr>
      <w:tr w:rsidR="00D1587D" w14:paraId="06657276" w14:textId="77777777">
        <w:trPr>
          <w:trHeight w:val="54"/>
        </w:trPr>
        <w:tc>
          <w:tcPr>
            <w:tcW w:w="2960" w:type="dxa"/>
            <w:vAlign w:val="bottom"/>
          </w:tcPr>
          <w:p w14:paraId="444DE593" w14:textId="77777777" w:rsidR="00D1587D" w:rsidRDefault="00D1587D">
            <w:pPr>
              <w:rPr>
                <w:sz w:val="4"/>
                <w:szCs w:val="4"/>
              </w:rPr>
            </w:pPr>
          </w:p>
        </w:tc>
        <w:tc>
          <w:tcPr>
            <w:tcW w:w="1740" w:type="dxa"/>
            <w:vAlign w:val="bottom"/>
          </w:tcPr>
          <w:p w14:paraId="7B6D233F" w14:textId="77777777" w:rsidR="00D1587D" w:rsidRDefault="00D1587D">
            <w:pPr>
              <w:rPr>
                <w:sz w:val="4"/>
                <w:szCs w:val="4"/>
              </w:rPr>
            </w:pPr>
          </w:p>
        </w:tc>
        <w:tc>
          <w:tcPr>
            <w:tcW w:w="1020" w:type="dxa"/>
            <w:vAlign w:val="bottom"/>
          </w:tcPr>
          <w:p w14:paraId="24EE28D7" w14:textId="77777777" w:rsidR="00D1587D" w:rsidRDefault="00D1587D">
            <w:pPr>
              <w:rPr>
                <w:sz w:val="4"/>
                <w:szCs w:val="4"/>
              </w:rPr>
            </w:pPr>
          </w:p>
        </w:tc>
        <w:tc>
          <w:tcPr>
            <w:tcW w:w="100" w:type="dxa"/>
            <w:vAlign w:val="bottom"/>
          </w:tcPr>
          <w:p w14:paraId="5FA18ACF" w14:textId="77777777" w:rsidR="00D1587D" w:rsidRDefault="00D1587D">
            <w:pPr>
              <w:rPr>
                <w:sz w:val="4"/>
                <w:szCs w:val="4"/>
              </w:rPr>
            </w:pPr>
          </w:p>
        </w:tc>
        <w:tc>
          <w:tcPr>
            <w:tcW w:w="620" w:type="dxa"/>
            <w:vAlign w:val="bottom"/>
          </w:tcPr>
          <w:p w14:paraId="535704B5" w14:textId="77777777" w:rsidR="00D1587D" w:rsidRDefault="00D1587D">
            <w:pPr>
              <w:rPr>
                <w:sz w:val="4"/>
                <w:szCs w:val="4"/>
              </w:rPr>
            </w:pPr>
          </w:p>
        </w:tc>
        <w:tc>
          <w:tcPr>
            <w:tcW w:w="160" w:type="dxa"/>
            <w:vAlign w:val="bottom"/>
          </w:tcPr>
          <w:p w14:paraId="4C5C87F8" w14:textId="77777777" w:rsidR="00D1587D" w:rsidRDefault="00D1587D">
            <w:pPr>
              <w:rPr>
                <w:sz w:val="4"/>
                <w:szCs w:val="4"/>
              </w:rPr>
            </w:pPr>
          </w:p>
        </w:tc>
        <w:tc>
          <w:tcPr>
            <w:tcW w:w="160" w:type="dxa"/>
            <w:vAlign w:val="bottom"/>
          </w:tcPr>
          <w:p w14:paraId="14D9045F" w14:textId="77777777" w:rsidR="00D1587D" w:rsidRDefault="00D1587D">
            <w:pPr>
              <w:rPr>
                <w:sz w:val="4"/>
                <w:szCs w:val="4"/>
              </w:rPr>
            </w:pPr>
          </w:p>
        </w:tc>
        <w:tc>
          <w:tcPr>
            <w:tcW w:w="820" w:type="dxa"/>
            <w:vAlign w:val="bottom"/>
          </w:tcPr>
          <w:p w14:paraId="64896ABB" w14:textId="77777777" w:rsidR="00D1587D" w:rsidRDefault="00D1587D">
            <w:pPr>
              <w:rPr>
                <w:sz w:val="4"/>
                <w:szCs w:val="4"/>
              </w:rPr>
            </w:pPr>
          </w:p>
        </w:tc>
        <w:tc>
          <w:tcPr>
            <w:tcW w:w="160" w:type="dxa"/>
            <w:vAlign w:val="bottom"/>
          </w:tcPr>
          <w:p w14:paraId="06D066F2" w14:textId="77777777" w:rsidR="00D1587D" w:rsidRDefault="00D1587D">
            <w:pPr>
              <w:rPr>
                <w:sz w:val="4"/>
                <w:szCs w:val="4"/>
              </w:rPr>
            </w:pPr>
          </w:p>
        </w:tc>
        <w:tc>
          <w:tcPr>
            <w:tcW w:w="240" w:type="dxa"/>
            <w:vAlign w:val="bottom"/>
          </w:tcPr>
          <w:p w14:paraId="040A11AF" w14:textId="77777777" w:rsidR="00D1587D" w:rsidRDefault="00D1587D">
            <w:pPr>
              <w:rPr>
                <w:sz w:val="4"/>
                <w:szCs w:val="4"/>
              </w:rPr>
            </w:pPr>
          </w:p>
        </w:tc>
        <w:tc>
          <w:tcPr>
            <w:tcW w:w="440" w:type="dxa"/>
            <w:vAlign w:val="bottom"/>
          </w:tcPr>
          <w:p w14:paraId="115509CB" w14:textId="77777777" w:rsidR="00D1587D" w:rsidRDefault="00D1587D">
            <w:pPr>
              <w:rPr>
                <w:sz w:val="4"/>
                <w:szCs w:val="4"/>
              </w:rPr>
            </w:pPr>
          </w:p>
        </w:tc>
      </w:tr>
      <w:tr w:rsidR="00D1587D" w14:paraId="0DAC8DFC" w14:textId="77777777">
        <w:trPr>
          <w:trHeight w:val="304"/>
        </w:trPr>
        <w:tc>
          <w:tcPr>
            <w:tcW w:w="2960" w:type="dxa"/>
            <w:tcBorders>
              <w:bottom w:val="single" w:sz="8" w:space="0" w:color="CCEEFF"/>
            </w:tcBorders>
            <w:shd w:val="clear" w:color="auto" w:fill="CCEEFF"/>
            <w:vAlign w:val="bottom"/>
          </w:tcPr>
          <w:p w14:paraId="7CE4D7CE" w14:textId="77777777" w:rsidR="00D1587D" w:rsidRDefault="00410D07">
            <w:pPr>
              <w:ind w:left="180"/>
              <w:rPr>
                <w:sz w:val="20"/>
                <w:szCs w:val="20"/>
              </w:rPr>
            </w:pPr>
            <w:r>
              <w:rPr>
                <w:rFonts w:ascii="Arial" w:eastAsia="Arial" w:hAnsi="Arial" w:cs="Arial"/>
                <w:sz w:val="18"/>
                <w:szCs w:val="18"/>
              </w:rPr>
              <w:t>Prepaid Expenses</w:t>
            </w:r>
          </w:p>
        </w:tc>
        <w:tc>
          <w:tcPr>
            <w:tcW w:w="1740" w:type="dxa"/>
            <w:tcBorders>
              <w:bottom w:val="single" w:sz="8" w:space="0" w:color="CCEEFF"/>
            </w:tcBorders>
            <w:shd w:val="clear" w:color="auto" w:fill="CCEEFF"/>
            <w:vAlign w:val="bottom"/>
          </w:tcPr>
          <w:p w14:paraId="7237E9DA"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66133F50" w14:textId="77777777" w:rsidR="00D1587D" w:rsidRDefault="00410D07">
            <w:pPr>
              <w:jc w:val="right"/>
              <w:rPr>
                <w:sz w:val="20"/>
                <w:szCs w:val="20"/>
              </w:rPr>
            </w:pPr>
            <w:r>
              <w:rPr>
                <w:rFonts w:ascii="Arial" w:eastAsia="Arial" w:hAnsi="Arial" w:cs="Arial"/>
                <w:sz w:val="18"/>
                <w:szCs w:val="18"/>
              </w:rPr>
              <w:t>39</w:t>
            </w:r>
          </w:p>
        </w:tc>
        <w:tc>
          <w:tcPr>
            <w:tcW w:w="160" w:type="dxa"/>
            <w:tcBorders>
              <w:bottom w:val="single" w:sz="8" w:space="0" w:color="CCEEFF"/>
            </w:tcBorders>
            <w:shd w:val="clear" w:color="auto" w:fill="CCEEFF"/>
            <w:vAlign w:val="bottom"/>
          </w:tcPr>
          <w:p w14:paraId="0B70C84B" w14:textId="77777777" w:rsidR="00D1587D" w:rsidRDefault="00D1587D">
            <w:pPr>
              <w:rPr>
                <w:sz w:val="24"/>
                <w:szCs w:val="24"/>
              </w:rPr>
            </w:pPr>
          </w:p>
        </w:tc>
        <w:tc>
          <w:tcPr>
            <w:tcW w:w="160" w:type="dxa"/>
            <w:tcBorders>
              <w:bottom w:val="single" w:sz="8" w:space="0" w:color="CCEEFF"/>
            </w:tcBorders>
            <w:shd w:val="clear" w:color="auto" w:fill="CCEEFF"/>
            <w:vAlign w:val="bottom"/>
          </w:tcPr>
          <w:p w14:paraId="00C08BC3"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75BE7940" w14:textId="77777777" w:rsidR="00D1587D" w:rsidRDefault="00410D07">
            <w:pPr>
              <w:ind w:right="160"/>
              <w:jc w:val="right"/>
              <w:rPr>
                <w:sz w:val="20"/>
                <w:szCs w:val="20"/>
              </w:rPr>
            </w:pPr>
            <w:r>
              <w:rPr>
                <w:rFonts w:ascii="Arial" w:eastAsia="Arial" w:hAnsi="Arial" w:cs="Arial"/>
                <w:sz w:val="18"/>
                <w:szCs w:val="18"/>
              </w:rPr>
              <w:t>—</w:t>
            </w:r>
          </w:p>
        </w:tc>
        <w:tc>
          <w:tcPr>
            <w:tcW w:w="240" w:type="dxa"/>
            <w:tcBorders>
              <w:bottom w:val="single" w:sz="8" w:space="0" w:color="CCEEFF"/>
            </w:tcBorders>
            <w:shd w:val="clear" w:color="auto" w:fill="CCEEFF"/>
            <w:vAlign w:val="bottom"/>
          </w:tcPr>
          <w:p w14:paraId="273E7C0C" w14:textId="77777777" w:rsidR="00D1587D" w:rsidRDefault="00D1587D">
            <w:pPr>
              <w:rPr>
                <w:sz w:val="24"/>
                <w:szCs w:val="24"/>
              </w:rPr>
            </w:pPr>
          </w:p>
        </w:tc>
        <w:tc>
          <w:tcPr>
            <w:tcW w:w="440" w:type="dxa"/>
            <w:tcBorders>
              <w:bottom w:val="single" w:sz="8" w:space="0" w:color="CCEEFF"/>
            </w:tcBorders>
            <w:shd w:val="clear" w:color="auto" w:fill="CCEEFF"/>
            <w:vAlign w:val="bottom"/>
          </w:tcPr>
          <w:p w14:paraId="232997AD" w14:textId="77777777" w:rsidR="00D1587D" w:rsidRDefault="00410D07">
            <w:pPr>
              <w:ind w:right="10"/>
              <w:jc w:val="right"/>
              <w:rPr>
                <w:sz w:val="20"/>
                <w:szCs w:val="20"/>
              </w:rPr>
            </w:pPr>
            <w:r>
              <w:rPr>
                <w:rFonts w:ascii="Arial" w:eastAsia="Arial" w:hAnsi="Arial" w:cs="Arial"/>
                <w:sz w:val="18"/>
                <w:szCs w:val="18"/>
              </w:rPr>
              <w:t>39</w:t>
            </w:r>
          </w:p>
        </w:tc>
      </w:tr>
      <w:tr w:rsidR="00D1587D" w14:paraId="703042EE" w14:textId="77777777">
        <w:trPr>
          <w:trHeight w:val="270"/>
        </w:trPr>
        <w:tc>
          <w:tcPr>
            <w:tcW w:w="2960" w:type="dxa"/>
            <w:vAlign w:val="bottom"/>
          </w:tcPr>
          <w:p w14:paraId="2FCFB0A0" w14:textId="77777777" w:rsidR="00D1587D" w:rsidRDefault="00410D07">
            <w:pPr>
              <w:ind w:left="180"/>
              <w:rPr>
                <w:sz w:val="20"/>
                <w:szCs w:val="20"/>
              </w:rPr>
            </w:pPr>
            <w:r>
              <w:rPr>
                <w:rFonts w:ascii="Arial" w:eastAsia="Arial" w:hAnsi="Arial" w:cs="Arial"/>
                <w:sz w:val="18"/>
                <w:szCs w:val="18"/>
              </w:rPr>
              <w:t>Other</w:t>
            </w:r>
          </w:p>
        </w:tc>
        <w:tc>
          <w:tcPr>
            <w:tcW w:w="1740" w:type="dxa"/>
            <w:vAlign w:val="bottom"/>
          </w:tcPr>
          <w:p w14:paraId="4DB7A6D1" w14:textId="77777777" w:rsidR="00D1587D" w:rsidRDefault="00D1587D">
            <w:pPr>
              <w:rPr>
                <w:sz w:val="23"/>
                <w:szCs w:val="23"/>
              </w:rPr>
            </w:pPr>
          </w:p>
        </w:tc>
        <w:tc>
          <w:tcPr>
            <w:tcW w:w="1740" w:type="dxa"/>
            <w:gridSpan w:val="3"/>
            <w:vAlign w:val="bottom"/>
          </w:tcPr>
          <w:p w14:paraId="19877EB6" w14:textId="77777777" w:rsidR="00D1587D" w:rsidRDefault="00410D07">
            <w:pPr>
              <w:jc w:val="right"/>
              <w:rPr>
                <w:sz w:val="20"/>
                <w:szCs w:val="20"/>
              </w:rPr>
            </w:pPr>
            <w:r>
              <w:rPr>
                <w:rFonts w:ascii="Arial" w:eastAsia="Arial" w:hAnsi="Arial" w:cs="Arial"/>
                <w:sz w:val="18"/>
                <w:szCs w:val="18"/>
              </w:rPr>
              <w:t>54</w:t>
            </w:r>
          </w:p>
        </w:tc>
        <w:tc>
          <w:tcPr>
            <w:tcW w:w="160" w:type="dxa"/>
            <w:vAlign w:val="bottom"/>
          </w:tcPr>
          <w:p w14:paraId="7E14DD56" w14:textId="77777777" w:rsidR="00D1587D" w:rsidRDefault="00D1587D">
            <w:pPr>
              <w:rPr>
                <w:sz w:val="23"/>
                <w:szCs w:val="23"/>
              </w:rPr>
            </w:pPr>
          </w:p>
        </w:tc>
        <w:tc>
          <w:tcPr>
            <w:tcW w:w="160" w:type="dxa"/>
            <w:vAlign w:val="bottom"/>
          </w:tcPr>
          <w:p w14:paraId="017C288D" w14:textId="77777777" w:rsidR="00D1587D" w:rsidRDefault="00D1587D">
            <w:pPr>
              <w:rPr>
                <w:sz w:val="23"/>
                <w:szCs w:val="23"/>
              </w:rPr>
            </w:pPr>
          </w:p>
        </w:tc>
        <w:tc>
          <w:tcPr>
            <w:tcW w:w="980" w:type="dxa"/>
            <w:gridSpan w:val="2"/>
            <w:vAlign w:val="bottom"/>
          </w:tcPr>
          <w:p w14:paraId="132C69E4" w14:textId="77777777" w:rsidR="00D1587D" w:rsidRDefault="00410D07">
            <w:pPr>
              <w:ind w:right="160"/>
              <w:jc w:val="right"/>
              <w:rPr>
                <w:sz w:val="20"/>
                <w:szCs w:val="20"/>
              </w:rPr>
            </w:pPr>
            <w:r>
              <w:rPr>
                <w:rFonts w:ascii="Arial" w:eastAsia="Arial" w:hAnsi="Arial" w:cs="Arial"/>
                <w:sz w:val="18"/>
                <w:szCs w:val="18"/>
              </w:rPr>
              <w:t>—</w:t>
            </w:r>
          </w:p>
        </w:tc>
        <w:tc>
          <w:tcPr>
            <w:tcW w:w="240" w:type="dxa"/>
            <w:vAlign w:val="bottom"/>
          </w:tcPr>
          <w:p w14:paraId="29E6F9F1" w14:textId="77777777" w:rsidR="00D1587D" w:rsidRDefault="00D1587D">
            <w:pPr>
              <w:rPr>
                <w:sz w:val="23"/>
                <w:szCs w:val="23"/>
              </w:rPr>
            </w:pPr>
          </w:p>
        </w:tc>
        <w:tc>
          <w:tcPr>
            <w:tcW w:w="440" w:type="dxa"/>
            <w:vAlign w:val="bottom"/>
          </w:tcPr>
          <w:p w14:paraId="1D0F54AD" w14:textId="77777777" w:rsidR="00D1587D" w:rsidRDefault="00410D07">
            <w:pPr>
              <w:ind w:right="10"/>
              <w:jc w:val="right"/>
              <w:rPr>
                <w:sz w:val="20"/>
                <w:szCs w:val="20"/>
              </w:rPr>
            </w:pPr>
            <w:r>
              <w:rPr>
                <w:rFonts w:ascii="Arial" w:eastAsia="Arial" w:hAnsi="Arial" w:cs="Arial"/>
                <w:sz w:val="18"/>
                <w:szCs w:val="18"/>
              </w:rPr>
              <w:t>54</w:t>
            </w:r>
          </w:p>
        </w:tc>
      </w:tr>
      <w:tr w:rsidR="00D1587D" w14:paraId="7AFFE151" w14:textId="77777777">
        <w:trPr>
          <w:trHeight w:val="67"/>
        </w:trPr>
        <w:tc>
          <w:tcPr>
            <w:tcW w:w="2960" w:type="dxa"/>
            <w:tcBorders>
              <w:bottom w:val="single" w:sz="8" w:space="0" w:color="CCEEFF"/>
            </w:tcBorders>
            <w:vAlign w:val="bottom"/>
          </w:tcPr>
          <w:p w14:paraId="06849100" w14:textId="77777777" w:rsidR="00D1587D" w:rsidRDefault="00D1587D">
            <w:pPr>
              <w:rPr>
                <w:sz w:val="5"/>
                <w:szCs w:val="5"/>
              </w:rPr>
            </w:pPr>
          </w:p>
        </w:tc>
        <w:tc>
          <w:tcPr>
            <w:tcW w:w="1740" w:type="dxa"/>
            <w:tcBorders>
              <w:bottom w:val="single" w:sz="8" w:space="0" w:color="CCEEFF"/>
            </w:tcBorders>
            <w:vAlign w:val="bottom"/>
          </w:tcPr>
          <w:p w14:paraId="26BB517E" w14:textId="77777777" w:rsidR="00D1587D" w:rsidRDefault="00D1587D">
            <w:pPr>
              <w:rPr>
                <w:sz w:val="5"/>
                <w:szCs w:val="5"/>
              </w:rPr>
            </w:pPr>
          </w:p>
        </w:tc>
        <w:tc>
          <w:tcPr>
            <w:tcW w:w="1020" w:type="dxa"/>
            <w:tcBorders>
              <w:bottom w:val="single" w:sz="8" w:space="0" w:color="CCEEFF"/>
            </w:tcBorders>
            <w:vAlign w:val="bottom"/>
          </w:tcPr>
          <w:p w14:paraId="7B3213DB" w14:textId="77777777" w:rsidR="00D1587D" w:rsidRDefault="00D1587D">
            <w:pPr>
              <w:rPr>
                <w:sz w:val="5"/>
                <w:szCs w:val="5"/>
              </w:rPr>
            </w:pPr>
          </w:p>
        </w:tc>
        <w:tc>
          <w:tcPr>
            <w:tcW w:w="100" w:type="dxa"/>
            <w:tcBorders>
              <w:bottom w:val="single" w:sz="8" w:space="0" w:color="CCEEFF"/>
            </w:tcBorders>
            <w:vAlign w:val="bottom"/>
          </w:tcPr>
          <w:p w14:paraId="4B30A488" w14:textId="77777777" w:rsidR="00D1587D" w:rsidRDefault="00D1587D">
            <w:pPr>
              <w:rPr>
                <w:sz w:val="5"/>
                <w:szCs w:val="5"/>
              </w:rPr>
            </w:pPr>
          </w:p>
        </w:tc>
        <w:tc>
          <w:tcPr>
            <w:tcW w:w="620" w:type="dxa"/>
            <w:tcBorders>
              <w:bottom w:val="single" w:sz="8" w:space="0" w:color="auto"/>
            </w:tcBorders>
            <w:vAlign w:val="bottom"/>
          </w:tcPr>
          <w:p w14:paraId="2424C582" w14:textId="77777777" w:rsidR="00D1587D" w:rsidRDefault="00D1587D">
            <w:pPr>
              <w:rPr>
                <w:sz w:val="5"/>
                <w:szCs w:val="5"/>
              </w:rPr>
            </w:pPr>
          </w:p>
        </w:tc>
        <w:tc>
          <w:tcPr>
            <w:tcW w:w="160" w:type="dxa"/>
            <w:tcBorders>
              <w:bottom w:val="single" w:sz="8" w:space="0" w:color="CCEEFF"/>
            </w:tcBorders>
            <w:vAlign w:val="bottom"/>
          </w:tcPr>
          <w:p w14:paraId="31B9C65F" w14:textId="77777777" w:rsidR="00D1587D" w:rsidRDefault="00D1587D">
            <w:pPr>
              <w:rPr>
                <w:sz w:val="5"/>
                <w:szCs w:val="5"/>
              </w:rPr>
            </w:pPr>
          </w:p>
        </w:tc>
        <w:tc>
          <w:tcPr>
            <w:tcW w:w="160" w:type="dxa"/>
            <w:tcBorders>
              <w:bottom w:val="single" w:sz="8" w:space="0" w:color="auto"/>
            </w:tcBorders>
            <w:vAlign w:val="bottom"/>
          </w:tcPr>
          <w:p w14:paraId="3EFC028E" w14:textId="77777777" w:rsidR="00D1587D" w:rsidRDefault="00D1587D">
            <w:pPr>
              <w:rPr>
                <w:sz w:val="5"/>
                <w:szCs w:val="5"/>
              </w:rPr>
            </w:pPr>
          </w:p>
        </w:tc>
        <w:tc>
          <w:tcPr>
            <w:tcW w:w="820" w:type="dxa"/>
            <w:tcBorders>
              <w:bottom w:val="single" w:sz="8" w:space="0" w:color="auto"/>
            </w:tcBorders>
            <w:vAlign w:val="bottom"/>
          </w:tcPr>
          <w:p w14:paraId="64FAC578" w14:textId="77777777" w:rsidR="00D1587D" w:rsidRDefault="00D1587D">
            <w:pPr>
              <w:rPr>
                <w:sz w:val="5"/>
                <w:szCs w:val="5"/>
              </w:rPr>
            </w:pPr>
          </w:p>
        </w:tc>
        <w:tc>
          <w:tcPr>
            <w:tcW w:w="160" w:type="dxa"/>
            <w:tcBorders>
              <w:bottom w:val="single" w:sz="8" w:space="0" w:color="CCEEFF"/>
            </w:tcBorders>
            <w:vAlign w:val="bottom"/>
          </w:tcPr>
          <w:p w14:paraId="03767C2A" w14:textId="77777777" w:rsidR="00D1587D" w:rsidRDefault="00D1587D">
            <w:pPr>
              <w:rPr>
                <w:sz w:val="5"/>
                <w:szCs w:val="5"/>
              </w:rPr>
            </w:pPr>
          </w:p>
        </w:tc>
        <w:tc>
          <w:tcPr>
            <w:tcW w:w="680" w:type="dxa"/>
            <w:gridSpan w:val="2"/>
            <w:tcBorders>
              <w:bottom w:val="single" w:sz="8" w:space="0" w:color="auto"/>
            </w:tcBorders>
            <w:vAlign w:val="bottom"/>
          </w:tcPr>
          <w:p w14:paraId="73861C7D" w14:textId="77777777" w:rsidR="00D1587D" w:rsidRDefault="00D1587D">
            <w:pPr>
              <w:rPr>
                <w:sz w:val="5"/>
                <w:szCs w:val="5"/>
              </w:rPr>
            </w:pPr>
          </w:p>
        </w:tc>
      </w:tr>
      <w:tr w:rsidR="00D1587D" w14:paraId="04A5EC60" w14:textId="77777777">
        <w:trPr>
          <w:trHeight w:val="311"/>
        </w:trPr>
        <w:tc>
          <w:tcPr>
            <w:tcW w:w="2960" w:type="dxa"/>
            <w:tcBorders>
              <w:bottom w:val="single" w:sz="8" w:space="0" w:color="CCEEFF"/>
            </w:tcBorders>
            <w:shd w:val="clear" w:color="auto" w:fill="CCEEFF"/>
            <w:vAlign w:val="bottom"/>
          </w:tcPr>
          <w:p w14:paraId="4573CEA5" w14:textId="77777777" w:rsidR="00D1587D" w:rsidRDefault="00410D07">
            <w:pPr>
              <w:rPr>
                <w:sz w:val="20"/>
                <w:szCs w:val="20"/>
              </w:rPr>
            </w:pPr>
            <w:r>
              <w:rPr>
                <w:rFonts w:ascii="Arial" w:eastAsia="Arial" w:hAnsi="Arial" w:cs="Arial"/>
                <w:sz w:val="18"/>
                <w:szCs w:val="18"/>
              </w:rPr>
              <w:t>Total Current Assets</w:t>
            </w:r>
          </w:p>
        </w:tc>
        <w:tc>
          <w:tcPr>
            <w:tcW w:w="1740" w:type="dxa"/>
            <w:tcBorders>
              <w:bottom w:val="single" w:sz="8" w:space="0" w:color="CCEEFF"/>
            </w:tcBorders>
            <w:shd w:val="clear" w:color="auto" w:fill="CCEEFF"/>
            <w:vAlign w:val="bottom"/>
          </w:tcPr>
          <w:p w14:paraId="06CB7147"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45C56265" w14:textId="77777777" w:rsidR="00D1587D" w:rsidRDefault="00410D07">
            <w:pPr>
              <w:jc w:val="right"/>
              <w:rPr>
                <w:sz w:val="20"/>
                <w:szCs w:val="20"/>
              </w:rPr>
            </w:pPr>
            <w:r>
              <w:rPr>
                <w:rFonts w:ascii="Arial" w:eastAsia="Arial" w:hAnsi="Arial" w:cs="Arial"/>
                <w:sz w:val="18"/>
                <w:szCs w:val="18"/>
              </w:rPr>
              <w:t>1,299</w:t>
            </w:r>
          </w:p>
        </w:tc>
        <w:tc>
          <w:tcPr>
            <w:tcW w:w="160" w:type="dxa"/>
            <w:tcBorders>
              <w:bottom w:val="single" w:sz="8" w:space="0" w:color="CCEEFF"/>
            </w:tcBorders>
            <w:shd w:val="clear" w:color="auto" w:fill="CCEEFF"/>
            <w:vAlign w:val="bottom"/>
          </w:tcPr>
          <w:p w14:paraId="405C9FF9" w14:textId="77777777" w:rsidR="00D1587D" w:rsidRDefault="00D1587D">
            <w:pPr>
              <w:rPr>
                <w:sz w:val="24"/>
                <w:szCs w:val="24"/>
              </w:rPr>
            </w:pPr>
          </w:p>
        </w:tc>
        <w:tc>
          <w:tcPr>
            <w:tcW w:w="160" w:type="dxa"/>
            <w:tcBorders>
              <w:bottom w:val="single" w:sz="8" w:space="0" w:color="CCEEFF"/>
            </w:tcBorders>
            <w:shd w:val="clear" w:color="auto" w:fill="CCEEFF"/>
            <w:vAlign w:val="bottom"/>
          </w:tcPr>
          <w:p w14:paraId="3C71E0C9"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77C943E0" w14:textId="77777777" w:rsidR="00D1587D" w:rsidRDefault="00410D07">
            <w:pPr>
              <w:ind w:right="160"/>
              <w:jc w:val="right"/>
              <w:rPr>
                <w:sz w:val="20"/>
                <w:szCs w:val="20"/>
              </w:rPr>
            </w:pPr>
            <w:r>
              <w:rPr>
                <w:rFonts w:ascii="Arial" w:eastAsia="Arial" w:hAnsi="Arial" w:cs="Arial"/>
                <w:sz w:val="18"/>
                <w:szCs w:val="18"/>
              </w:rPr>
              <w:t>(82)</w:t>
            </w:r>
          </w:p>
        </w:tc>
        <w:tc>
          <w:tcPr>
            <w:tcW w:w="680" w:type="dxa"/>
            <w:gridSpan w:val="2"/>
            <w:tcBorders>
              <w:bottom w:val="single" w:sz="8" w:space="0" w:color="CCEEFF"/>
            </w:tcBorders>
            <w:shd w:val="clear" w:color="auto" w:fill="CCEEFF"/>
            <w:vAlign w:val="bottom"/>
          </w:tcPr>
          <w:p w14:paraId="7F3DE5CD" w14:textId="77777777" w:rsidR="00D1587D" w:rsidRDefault="00410D07">
            <w:pPr>
              <w:ind w:right="10"/>
              <w:jc w:val="right"/>
              <w:rPr>
                <w:sz w:val="20"/>
                <w:szCs w:val="20"/>
              </w:rPr>
            </w:pPr>
            <w:r>
              <w:rPr>
                <w:rFonts w:ascii="Arial" w:eastAsia="Arial" w:hAnsi="Arial" w:cs="Arial"/>
                <w:sz w:val="18"/>
                <w:szCs w:val="18"/>
              </w:rPr>
              <w:t>1,217</w:t>
            </w:r>
          </w:p>
        </w:tc>
      </w:tr>
      <w:tr w:rsidR="00D1587D" w14:paraId="509E35AF" w14:textId="77777777">
        <w:trPr>
          <w:trHeight w:val="270"/>
        </w:trPr>
        <w:tc>
          <w:tcPr>
            <w:tcW w:w="2960" w:type="dxa"/>
            <w:vAlign w:val="bottom"/>
          </w:tcPr>
          <w:p w14:paraId="6C69DEF0" w14:textId="77777777" w:rsidR="00D1587D" w:rsidRDefault="00410D07">
            <w:pPr>
              <w:rPr>
                <w:sz w:val="20"/>
                <w:szCs w:val="20"/>
              </w:rPr>
            </w:pPr>
            <w:r>
              <w:rPr>
                <w:rFonts w:ascii="Arial" w:eastAsia="Arial" w:hAnsi="Arial" w:cs="Arial"/>
                <w:sz w:val="18"/>
                <w:szCs w:val="18"/>
              </w:rPr>
              <w:t>Property and Equipment, Net</w:t>
            </w:r>
          </w:p>
        </w:tc>
        <w:tc>
          <w:tcPr>
            <w:tcW w:w="1740" w:type="dxa"/>
            <w:vAlign w:val="bottom"/>
          </w:tcPr>
          <w:p w14:paraId="349A82A4" w14:textId="77777777" w:rsidR="00D1587D" w:rsidRDefault="00D1587D">
            <w:pPr>
              <w:rPr>
                <w:sz w:val="23"/>
                <w:szCs w:val="23"/>
              </w:rPr>
            </w:pPr>
          </w:p>
        </w:tc>
        <w:tc>
          <w:tcPr>
            <w:tcW w:w="1740" w:type="dxa"/>
            <w:gridSpan w:val="3"/>
            <w:vAlign w:val="bottom"/>
          </w:tcPr>
          <w:p w14:paraId="2692A552" w14:textId="77777777" w:rsidR="00D1587D" w:rsidRDefault="00410D07">
            <w:pPr>
              <w:jc w:val="right"/>
              <w:rPr>
                <w:sz w:val="20"/>
                <w:szCs w:val="20"/>
              </w:rPr>
            </w:pPr>
            <w:r>
              <w:rPr>
                <w:rFonts w:ascii="Arial" w:eastAsia="Arial" w:hAnsi="Arial" w:cs="Arial"/>
                <w:sz w:val="18"/>
                <w:szCs w:val="18"/>
              </w:rPr>
              <w:t>1,036</w:t>
            </w:r>
          </w:p>
        </w:tc>
        <w:tc>
          <w:tcPr>
            <w:tcW w:w="160" w:type="dxa"/>
            <w:vAlign w:val="bottom"/>
          </w:tcPr>
          <w:p w14:paraId="62DD092A" w14:textId="77777777" w:rsidR="00D1587D" w:rsidRDefault="00D1587D">
            <w:pPr>
              <w:rPr>
                <w:sz w:val="23"/>
                <w:szCs w:val="23"/>
              </w:rPr>
            </w:pPr>
          </w:p>
        </w:tc>
        <w:tc>
          <w:tcPr>
            <w:tcW w:w="160" w:type="dxa"/>
            <w:vAlign w:val="bottom"/>
          </w:tcPr>
          <w:p w14:paraId="54B569F2" w14:textId="77777777" w:rsidR="00D1587D" w:rsidRDefault="00D1587D">
            <w:pPr>
              <w:rPr>
                <w:sz w:val="23"/>
                <w:szCs w:val="23"/>
              </w:rPr>
            </w:pPr>
          </w:p>
        </w:tc>
        <w:tc>
          <w:tcPr>
            <w:tcW w:w="980" w:type="dxa"/>
            <w:gridSpan w:val="2"/>
            <w:vAlign w:val="bottom"/>
          </w:tcPr>
          <w:p w14:paraId="4EAE5303" w14:textId="77777777" w:rsidR="00D1587D" w:rsidRDefault="00410D07">
            <w:pPr>
              <w:ind w:right="160"/>
              <w:jc w:val="right"/>
              <w:rPr>
                <w:sz w:val="20"/>
                <w:szCs w:val="20"/>
              </w:rPr>
            </w:pPr>
            <w:r>
              <w:rPr>
                <w:rFonts w:ascii="Arial" w:eastAsia="Arial" w:hAnsi="Arial" w:cs="Arial"/>
                <w:sz w:val="18"/>
                <w:szCs w:val="18"/>
              </w:rPr>
              <w:t>—</w:t>
            </w:r>
          </w:p>
        </w:tc>
        <w:tc>
          <w:tcPr>
            <w:tcW w:w="680" w:type="dxa"/>
            <w:gridSpan w:val="2"/>
            <w:vAlign w:val="bottom"/>
          </w:tcPr>
          <w:p w14:paraId="10B37BBA" w14:textId="77777777" w:rsidR="00D1587D" w:rsidRDefault="00410D07">
            <w:pPr>
              <w:ind w:right="10"/>
              <w:jc w:val="right"/>
              <w:rPr>
                <w:sz w:val="20"/>
                <w:szCs w:val="20"/>
              </w:rPr>
            </w:pPr>
            <w:r>
              <w:rPr>
                <w:rFonts w:ascii="Arial" w:eastAsia="Arial" w:hAnsi="Arial" w:cs="Arial"/>
                <w:sz w:val="18"/>
                <w:szCs w:val="18"/>
              </w:rPr>
              <w:t>1,036</w:t>
            </w:r>
          </w:p>
        </w:tc>
      </w:tr>
      <w:tr w:rsidR="00D1587D" w14:paraId="5E1508C8" w14:textId="77777777">
        <w:trPr>
          <w:trHeight w:val="54"/>
        </w:trPr>
        <w:tc>
          <w:tcPr>
            <w:tcW w:w="2960" w:type="dxa"/>
            <w:vAlign w:val="bottom"/>
          </w:tcPr>
          <w:p w14:paraId="607E4D5E" w14:textId="77777777" w:rsidR="00D1587D" w:rsidRDefault="00D1587D">
            <w:pPr>
              <w:rPr>
                <w:sz w:val="4"/>
                <w:szCs w:val="4"/>
              </w:rPr>
            </w:pPr>
          </w:p>
        </w:tc>
        <w:tc>
          <w:tcPr>
            <w:tcW w:w="1740" w:type="dxa"/>
            <w:vAlign w:val="bottom"/>
          </w:tcPr>
          <w:p w14:paraId="686B0456" w14:textId="77777777" w:rsidR="00D1587D" w:rsidRDefault="00D1587D">
            <w:pPr>
              <w:rPr>
                <w:sz w:val="4"/>
                <w:szCs w:val="4"/>
              </w:rPr>
            </w:pPr>
          </w:p>
        </w:tc>
        <w:tc>
          <w:tcPr>
            <w:tcW w:w="1020" w:type="dxa"/>
            <w:vAlign w:val="bottom"/>
          </w:tcPr>
          <w:p w14:paraId="6C923460" w14:textId="77777777" w:rsidR="00D1587D" w:rsidRDefault="00D1587D">
            <w:pPr>
              <w:rPr>
                <w:sz w:val="4"/>
                <w:szCs w:val="4"/>
              </w:rPr>
            </w:pPr>
          </w:p>
        </w:tc>
        <w:tc>
          <w:tcPr>
            <w:tcW w:w="100" w:type="dxa"/>
            <w:vAlign w:val="bottom"/>
          </w:tcPr>
          <w:p w14:paraId="3FF03E9C" w14:textId="77777777" w:rsidR="00D1587D" w:rsidRDefault="00D1587D">
            <w:pPr>
              <w:rPr>
                <w:sz w:val="4"/>
                <w:szCs w:val="4"/>
              </w:rPr>
            </w:pPr>
          </w:p>
        </w:tc>
        <w:tc>
          <w:tcPr>
            <w:tcW w:w="620" w:type="dxa"/>
            <w:vAlign w:val="bottom"/>
          </w:tcPr>
          <w:p w14:paraId="7E9ECAB3" w14:textId="77777777" w:rsidR="00D1587D" w:rsidRDefault="00D1587D">
            <w:pPr>
              <w:rPr>
                <w:sz w:val="4"/>
                <w:szCs w:val="4"/>
              </w:rPr>
            </w:pPr>
          </w:p>
        </w:tc>
        <w:tc>
          <w:tcPr>
            <w:tcW w:w="160" w:type="dxa"/>
            <w:vAlign w:val="bottom"/>
          </w:tcPr>
          <w:p w14:paraId="2CD321AD" w14:textId="77777777" w:rsidR="00D1587D" w:rsidRDefault="00D1587D">
            <w:pPr>
              <w:rPr>
                <w:sz w:val="4"/>
                <w:szCs w:val="4"/>
              </w:rPr>
            </w:pPr>
          </w:p>
        </w:tc>
        <w:tc>
          <w:tcPr>
            <w:tcW w:w="160" w:type="dxa"/>
            <w:vAlign w:val="bottom"/>
          </w:tcPr>
          <w:p w14:paraId="3ABFAC03" w14:textId="77777777" w:rsidR="00D1587D" w:rsidRDefault="00D1587D">
            <w:pPr>
              <w:rPr>
                <w:sz w:val="4"/>
                <w:szCs w:val="4"/>
              </w:rPr>
            </w:pPr>
          </w:p>
        </w:tc>
        <w:tc>
          <w:tcPr>
            <w:tcW w:w="820" w:type="dxa"/>
            <w:vAlign w:val="bottom"/>
          </w:tcPr>
          <w:p w14:paraId="6636B179" w14:textId="77777777" w:rsidR="00D1587D" w:rsidRDefault="00D1587D">
            <w:pPr>
              <w:rPr>
                <w:sz w:val="4"/>
                <w:szCs w:val="4"/>
              </w:rPr>
            </w:pPr>
          </w:p>
        </w:tc>
        <w:tc>
          <w:tcPr>
            <w:tcW w:w="160" w:type="dxa"/>
            <w:vAlign w:val="bottom"/>
          </w:tcPr>
          <w:p w14:paraId="5B436C9C" w14:textId="77777777" w:rsidR="00D1587D" w:rsidRDefault="00D1587D">
            <w:pPr>
              <w:rPr>
                <w:sz w:val="4"/>
                <w:szCs w:val="4"/>
              </w:rPr>
            </w:pPr>
          </w:p>
        </w:tc>
        <w:tc>
          <w:tcPr>
            <w:tcW w:w="680" w:type="dxa"/>
            <w:gridSpan w:val="2"/>
            <w:vAlign w:val="bottom"/>
          </w:tcPr>
          <w:p w14:paraId="44AA8DF7" w14:textId="77777777" w:rsidR="00D1587D" w:rsidRDefault="00D1587D">
            <w:pPr>
              <w:rPr>
                <w:sz w:val="4"/>
                <w:szCs w:val="4"/>
              </w:rPr>
            </w:pPr>
          </w:p>
        </w:tc>
      </w:tr>
      <w:tr w:rsidR="00D1587D" w14:paraId="44E2CF3A" w14:textId="77777777">
        <w:trPr>
          <w:trHeight w:val="304"/>
        </w:trPr>
        <w:tc>
          <w:tcPr>
            <w:tcW w:w="2960" w:type="dxa"/>
            <w:tcBorders>
              <w:bottom w:val="single" w:sz="8" w:space="0" w:color="CCEEFF"/>
            </w:tcBorders>
            <w:shd w:val="clear" w:color="auto" w:fill="CCEEFF"/>
            <w:vAlign w:val="bottom"/>
          </w:tcPr>
          <w:p w14:paraId="67FEC881" w14:textId="77777777" w:rsidR="00D1587D" w:rsidRDefault="00410D07">
            <w:pPr>
              <w:rPr>
                <w:sz w:val="20"/>
                <w:szCs w:val="20"/>
              </w:rPr>
            </w:pPr>
            <w:r>
              <w:rPr>
                <w:rFonts w:ascii="Arial" w:eastAsia="Arial" w:hAnsi="Arial" w:cs="Arial"/>
                <w:sz w:val="18"/>
                <w:szCs w:val="18"/>
              </w:rPr>
              <w:t>Operating Lease Assets</w:t>
            </w:r>
          </w:p>
        </w:tc>
        <w:tc>
          <w:tcPr>
            <w:tcW w:w="1740" w:type="dxa"/>
            <w:tcBorders>
              <w:bottom w:val="single" w:sz="8" w:space="0" w:color="CCEEFF"/>
            </w:tcBorders>
            <w:shd w:val="clear" w:color="auto" w:fill="CCEEFF"/>
            <w:vAlign w:val="bottom"/>
          </w:tcPr>
          <w:p w14:paraId="345EF3A0"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39B51725" w14:textId="77777777" w:rsidR="00D1587D" w:rsidRDefault="00410D07">
            <w:pPr>
              <w:jc w:val="right"/>
              <w:rPr>
                <w:sz w:val="20"/>
                <w:szCs w:val="20"/>
              </w:rPr>
            </w:pPr>
            <w:r>
              <w:rPr>
                <w:rFonts w:ascii="Arial" w:eastAsia="Arial" w:hAnsi="Arial" w:cs="Arial"/>
                <w:sz w:val="18"/>
                <w:szCs w:val="18"/>
              </w:rPr>
              <w:t>1,602</w:t>
            </w:r>
          </w:p>
        </w:tc>
        <w:tc>
          <w:tcPr>
            <w:tcW w:w="160" w:type="dxa"/>
            <w:tcBorders>
              <w:bottom w:val="single" w:sz="8" w:space="0" w:color="CCEEFF"/>
            </w:tcBorders>
            <w:shd w:val="clear" w:color="auto" w:fill="CCEEFF"/>
            <w:vAlign w:val="bottom"/>
          </w:tcPr>
          <w:p w14:paraId="7345ADFF" w14:textId="77777777" w:rsidR="00D1587D" w:rsidRDefault="00D1587D">
            <w:pPr>
              <w:rPr>
                <w:sz w:val="24"/>
                <w:szCs w:val="24"/>
              </w:rPr>
            </w:pPr>
          </w:p>
        </w:tc>
        <w:tc>
          <w:tcPr>
            <w:tcW w:w="160" w:type="dxa"/>
            <w:tcBorders>
              <w:bottom w:val="single" w:sz="8" w:space="0" w:color="CCEEFF"/>
            </w:tcBorders>
            <w:shd w:val="clear" w:color="auto" w:fill="CCEEFF"/>
            <w:vAlign w:val="bottom"/>
          </w:tcPr>
          <w:p w14:paraId="5330FB62"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1928C03C" w14:textId="77777777" w:rsidR="00D1587D" w:rsidRDefault="00410D07">
            <w:pPr>
              <w:ind w:right="160"/>
              <w:jc w:val="right"/>
              <w:rPr>
                <w:sz w:val="20"/>
                <w:szCs w:val="20"/>
              </w:rPr>
            </w:pPr>
            <w:r>
              <w:rPr>
                <w:rFonts w:ascii="Arial" w:eastAsia="Arial" w:hAnsi="Arial" w:cs="Arial"/>
                <w:sz w:val="18"/>
                <w:szCs w:val="18"/>
              </w:rPr>
              <w:t>—</w:t>
            </w:r>
          </w:p>
        </w:tc>
        <w:tc>
          <w:tcPr>
            <w:tcW w:w="680" w:type="dxa"/>
            <w:gridSpan w:val="2"/>
            <w:tcBorders>
              <w:bottom w:val="single" w:sz="8" w:space="0" w:color="CCEEFF"/>
            </w:tcBorders>
            <w:shd w:val="clear" w:color="auto" w:fill="CCEEFF"/>
            <w:vAlign w:val="bottom"/>
          </w:tcPr>
          <w:p w14:paraId="4B638B46" w14:textId="77777777" w:rsidR="00D1587D" w:rsidRDefault="00410D07">
            <w:pPr>
              <w:ind w:right="10"/>
              <w:jc w:val="right"/>
              <w:rPr>
                <w:sz w:val="20"/>
                <w:szCs w:val="20"/>
              </w:rPr>
            </w:pPr>
            <w:r>
              <w:rPr>
                <w:rFonts w:ascii="Arial" w:eastAsia="Arial" w:hAnsi="Arial" w:cs="Arial"/>
                <w:sz w:val="18"/>
                <w:szCs w:val="18"/>
              </w:rPr>
              <w:t>1,602</w:t>
            </w:r>
          </w:p>
        </w:tc>
      </w:tr>
      <w:tr w:rsidR="00D1587D" w14:paraId="1B1BD7AE" w14:textId="77777777">
        <w:trPr>
          <w:trHeight w:val="270"/>
        </w:trPr>
        <w:tc>
          <w:tcPr>
            <w:tcW w:w="2960" w:type="dxa"/>
            <w:vAlign w:val="bottom"/>
          </w:tcPr>
          <w:p w14:paraId="4C34B2E5" w14:textId="77777777" w:rsidR="00D1587D" w:rsidRDefault="00410D07">
            <w:pPr>
              <w:rPr>
                <w:sz w:val="20"/>
                <w:szCs w:val="20"/>
              </w:rPr>
            </w:pPr>
            <w:r>
              <w:rPr>
                <w:rFonts w:ascii="Arial" w:eastAsia="Arial" w:hAnsi="Arial" w:cs="Arial"/>
                <w:sz w:val="18"/>
                <w:szCs w:val="18"/>
              </w:rPr>
              <w:t>Trade Name</w:t>
            </w:r>
          </w:p>
        </w:tc>
        <w:tc>
          <w:tcPr>
            <w:tcW w:w="1740" w:type="dxa"/>
            <w:vAlign w:val="bottom"/>
          </w:tcPr>
          <w:p w14:paraId="1CBFD854" w14:textId="77777777" w:rsidR="00D1587D" w:rsidRDefault="00D1587D">
            <w:pPr>
              <w:rPr>
                <w:sz w:val="23"/>
                <w:szCs w:val="23"/>
              </w:rPr>
            </w:pPr>
          </w:p>
        </w:tc>
        <w:tc>
          <w:tcPr>
            <w:tcW w:w="1740" w:type="dxa"/>
            <w:gridSpan w:val="3"/>
            <w:vAlign w:val="bottom"/>
          </w:tcPr>
          <w:p w14:paraId="06DADFE4" w14:textId="77777777" w:rsidR="00D1587D" w:rsidRDefault="00410D07">
            <w:pPr>
              <w:jc w:val="right"/>
              <w:rPr>
                <w:sz w:val="20"/>
                <w:szCs w:val="20"/>
              </w:rPr>
            </w:pPr>
            <w:r>
              <w:rPr>
                <w:rFonts w:ascii="Arial" w:eastAsia="Arial" w:hAnsi="Arial" w:cs="Arial"/>
                <w:sz w:val="18"/>
                <w:szCs w:val="18"/>
              </w:rPr>
              <w:t>246</w:t>
            </w:r>
          </w:p>
        </w:tc>
        <w:tc>
          <w:tcPr>
            <w:tcW w:w="160" w:type="dxa"/>
            <w:vAlign w:val="bottom"/>
          </w:tcPr>
          <w:p w14:paraId="15CBEB59" w14:textId="77777777" w:rsidR="00D1587D" w:rsidRDefault="00D1587D">
            <w:pPr>
              <w:rPr>
                <w:sz w:val="23"/>
                <w:szCs w:val="23"/>
              </w:rPr>
            </w:pPr>
          </w:p>
        </w:tc>
        <w:tc>
          <w:tcPr>
            <w:tcW w:w="160" w:type="dxa"/>
            <w:vAlign w:val="bottom"/>
          </w:tcPr>
          <w:p w14:paraId="4B106DAE" w14:textId="77777777" w:rsidR="00D1587D" w:rsidRDefault="00D1587D">
            <w:pPr>
              <w:rPr>
                <w:sz w:val="23"/>
                <w:szCs w:val="23"/>
              </w:rPr>
            </w:pPr>
          </w:p>
        </w:tc>
        <w:tc>
          <w:tcPr>
            <w:tcW w:w="980" w:type="dxa"/>
            <w:gridSpan w:val="2"/>
            <w:vAlign w:val="bottom"/>
          </w:tcPr>
          <w:p w14:paraId="504C7677" w14:textId="77777777" w:rsidR="00D1587D" w:rsidRDefault="00410D07">
            <w:pPr>
              <w:ind w:right="160"/>
              <w:jc w:val="right"/>
              <w:rPr>
                <w:sz w:val="20"/>
                <w:szCs w:val="20"/>
              </w:rPr>
            </w:pPr>
            <w:r>
              <w:rPr>
                <w:rFonts w:ascii="Arial" w:eastAsia="Arial" w:hAnsi="Arial" w:cs="Arial"/>
                <w:sz w:val="18"/>
                <w:szCs w:val="18"/>
              </w:rPr>
              <w:t>—</w:t>
            </w:r>
          </w:p>
        </w:tc>
        <w:tc>
          <w:tcPr>
            <w:tcW w:w="240" w:type="dxa"/>
            <w:vAlign w:val="bottom"/>
          </w:tcPr>
          <w:p w14:paraId="20698D4C" w14:textId="77777777" w:rsidR="00D1587D" w:rsidRDefault="00D1587D">
            <w:pPr>
              <w:rPr>
                <w:sz w:val="23"/>
                <w:szCs w:val="23"/>
              </w:rPr>
            </w:pPr>
          </w:p>
        </w:tc>
        <w:tc>
          <w:tcPr>
            <w:tcW w:w="440" w:type="dxa"/>
            <w:vAlign w:val="bottom"/>
          </w:tcPr>
          <w:p w14:paraId="0C5E5CD4" w14:textId="77777777" w:rsidR="00D1587D" w:rsidRDefault="00410D07">
            <w:pPr>
              <w:ind w:right="10"/>
              <w:jc w:val="right"/>
              <w:rPr>
                <w:sz w:val="20"/>
                <w:szCs w:val="20"/>
              </w:rPr>
            </w:pPr>
            <w:r>
              <w:rPr>
                <w:rFonts w:ascii="Arial" w:eastAsia="Arial" w:hAnsi="Arial" w:cs="Arial"/>
                <w:sz w:val="18"/>
                <w:szCs w:val="18"/>
              </w:rPr>
              <w:t>246</w:t>
            </w:r>
          </w:p>
        </w:tc>
      </w:tr>
      <w:tr w:rsidR="00D1587D" w14:paraId="46084BB4" w14:textId="77777777">
        <w:trPr>
          <w:trHeight w:val="54"/>
        </w:trPr>
        <w:tc>
          <w:tcPr>
            <w:tcW w:w="2960" w:type="dxa"/>
            <w:vAlign w:val="bottom"/>
          </w:tcPr>
          <w:p w14:paraId="162DFD90" w14:textId="77777777" w:rsidR="00D1587D" w:rsidRDefault="00D1587D">
            <w:pPr>
              <w:rPr>
                <w:sz w:val="4"/>
                <w:szCs w:val="4"/>
              </w:rPr>
            </w:pPr>
          </w:p>
        </w:tc>
        <w:tc>
          <w:tcPr>
            <w:tcW w:w="1740" w:type="dxa"/>
            <w:vAlign w:val="bottom"/>
          </w:tcPr>
          <w:p w14:paraId="7D653E7F" w14:textId="77777777" w:rsidR="00D1587D" w:rsidRDefault="00D1587D">
            <w:pPr>
              <w:rPr>
                <w:sz w:val="4"/>
                <w:szCs w:val="4"/>
              </w:rPr>
            </w:pPr>
          </w:p>
        </w:tc>
        <w:tc>
          <w:tcPr>
            <w:tcW w:w="1020" w:type="dxa"/>
            <w:vAlign w:val="bottom"/>
          </w:tcPr>
          <w:p w14:paraId="301B8F64" w14:textId="77777777" w:rsidR="00D1587D" w:rsidRDefault="00D1587D">
            <w:pPr>
              <w:rPr>
                <w:sz w:val="4"/>
                <w:szCs w:val="4"/>
              </w:rPr>
            </w:pPr>
          </w:p>
        </w:tc>
        <w:tc>
          <w:tcPr>
            <w:tcW w:w="100" w:type="dxa"/>
            <w:vAlign w:val="bottom"/>
          </w:tcPr>
          <w:p w14:paraId="2C58AF8B" w14:textId="77777777" w:rsidR="00D1587D" w:rsidRDefault="00D1587D">
            <w:pPr>
              <w:rPr>
                <w:sz w:val="4"/>
                <w:szCs w:val="4"/>
              </w:rPr>
            </w:pPr>
          </w:p>
        </w:tc>
        <w:tc>
          <w:tcPr>
            <w:tcW w:w="620" w:type="dxa"/>
            <w:vAlign w:val="bottom"/>
          </w:tcPr>
          <w:p w14:paraId="61533485" w14:textId="77777777" w:rsidR="00D1587D" w:rsidRDefault="00D1587D">
            <w:pPr>
              <w:rPr>
                <w:sz w:val="4"/>
                <w:szCs w:val="4"/>
              </w:rPr>
            </w:pPr>
          </w:p>
        </w:tc>
        <w:tc>
          <w:tcPr>
            <w:tcW w:w="160" w:type="dxa"/>
            <w:vAlign w:val="bottom"/>
          </w:tcPr>
          <w:p w14:paraId="5012C807" w14:textId="77777777" w:rsidR="00D1587D" w:rsidRDefault="00D1587D">
            <w:pPr>
              <w:rPr>
                <w:sz w:val="4"/>
                <w:szCs w:val="4"/>
              </w:rPr>
            </w:pPr>
          </w:p>
        </w:tc>
        <w:tc>
          <w:tcPr>
            <w:tcW w:w="160" w:type="dxa"/>
            <w:vAlign w:val="bottom"/>
          </w:tcPr>
          <w:p w14:paraId="7B909C17" w14:textId="77777777" w:rsidR="00D1587D" w:rsidRDefault="00D1587D">
            <w:pPr>
              <w:rPr>
                <w:sz w:val="4"/>
                <w:szCs w:val="4"/>
              </w:rPr>
            </w:pPr>
          </w:p>
        </w:tc>
        <w:tc>
          <w:tcPr>
            <w:tcW w:w="820" w:type="dxa"/>
            <w:vAlign w:val="bottom"/>
          </w:tcPr>
          <w:p w14:paraId="75C11F9B" w14:textId="77777777" w:rsidR="00D1587D" w:rsidRDefault="00D1587D">
            <w:pPr>
              <w:rPr>
                <w:sz w:val="4"/>
                <w:szCs w:val="4"/>
              </w:rPr>
            </w:pPr>
          </w:p>
        </w:tc>
        <w:tc>
          <w:tcPr>
            <w:tcW w:w="160" w:type="dxa"/>
            <w:vAlign w:val="bottom"/>
          </w:tcPr>
          <w:p w14:paraId="0CE663E4" w14:textId="77777777" w:rsidR="00D1587D" w:rsidRDefault="00D1587D">
            <w:pPr>
              <w:rPr>
                <w:sz w:val="4"/>
                <w:szCs w:val="4"/>
              </w:rPr>
            </w:pPr>
          </w:p>
        </w:tc>
        <w:tc>
          <w:tcPr>
            <w:tcW w:w="240" w:type="dxa"/>
            <w:vAlign w:val="bottom"/>
          </w:tcPr>
          <w:p w14:paraId="7D92C890" w14:textId="77777777" w:rsidR="00D1587D" w:rsidRDefault="00D1587D">
            <w:pPr>
              <w:rPr>
                <w:sz w:val="4"/>
                <w:szCs w:val="4"/>
              </w:rPr>
            </w:pPr>
          </w:p>
        </w:tc>
        <w:tc>
          <w:tcPr>
            <w:tcW w:w="440" w:type="dxa"/>
            <w:vAlign w:val="bottom"/>
          </w:tcPr>
          <w:p w14:paraId="032538FF" w14:textId="77777777" w:rsidR="00D1587D" w:rsidRDefault="00D1587D">
            <w:pPr>
              <w:rPr>
                <w:sz w:val="4"/>
                <w:szCs w:val="4"/>
              </w:rPr>
            </w:pPr>
          </w:p>
        </w:tc>
      </w:tr>
      <w:tr w:rsidR="00D1587D" w14:paraId="637FB3FC" w14:textId="77777777">
        <w:trPr>
          <w:trHeight w:val="304"/>
        </w:trPr>
        <w:tc>
          <w:tcPr>
            <w:tcW w:w="2960" w:type="dxa"/>
            <w:tcBorders>
              <w:bottom w:val="single" w:sz="8" w:space="0" w:color="CCEEFF"/>
            </w:tcBorders>
            <w:shd w:val="clear" w:color="auto" w:fill="CCEEFF"/>
            <w:vAlign w:val="bottom"/>
          </w:tcPr>
          <w:p w14:paraId="474D13A8" w14:textId="77777777" w:rsidR="00D1587D" w:rsidRDefault="00410D07">
            <w:pPr>
              <w:rPr>
                <w:sz w:val="20"/>
                <w:szCs w:val="20"/>
              </w:rPr>
            </w:pPr>
            <w:r>
              <w:rPr>
                <w:rFonts w:ascii="Arial" w:eastAsia="Arial" w:hAnsi="Arial" w:cs="Arial"/>
                <w:sz w:val="18"/>
                <w:szCs w:val="18"/>
              </w:rPr>
              <w:t>Deferred Income Taxes</w:t>
            </w:r>
          </w:p>
        </w:tc>
        <w:tc>
          <w:tcPr>
            <w:tcW w:w="1740" w:type="dxa"/>
            <w:tcBorders>
              <w:bottom w:val="single" w:sz="8" w:space="0" w:color="CCEEFF"/>
            </w:tcBorders>
            <w:shd w:val="clear" w:color="auto" w:fill="CCEEFF"/>
            <w:vAlign w:val="bottom"/>
          </w:tcPr>
          <w:p w14:paraId="72F7E7A6"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2B7EC06B" w14:textId="77777777" w:rsidR="00D1587D" w:rsidRDefault="00410D07">
            <w:pPr>
              <w:jc w:val="right"/>
              <w:rPr>
                <w:sz w:val="20"/>
                <w:szCs w:val="20"/>
              </w:rPr>
            </w:pPr>
            <w:r>
              <w:rPr>
                <w:rFonts w:ascii="Arial" w:eastAsia="Arial" w:hAnsi="Arial" w:cs="Arial"/>
                <w:sz w:val="18"/>
                <w:szCs w:val="18"/>
              </w:rPr>
              <w:t>13</w:t>
            </w:r>
          </w:p>
        </w:tc>
        <w:tc>
          <w:tcPr>
            <w:tcW w:w="160" w:type="dxa"/>
            <w:tcBorders>
              <w:bottom w:val="single" w:sz="8" w:space="0" w:color="CCEEFF"/>
            </w:tcBorders>
            <w:shd w:val="clear" w:color="auto" w:fill="CCEEFF"/>
            <w:vAlign w:val="bottom"/>
          </w:tcPr>
          <w:p w14:paraId="38A89F1D" w14:textId="77777777" w:rsidR="00D1587D" w:rsidRDefault="00D1587D">
            <w:pPr>
              <w:rPr>
                <w:sz w:val="24"/>
                <w:szCs w:val="24"/>
              </w:rPr>
            </w:pPr>
          </w:p>
        </w:tc>
        <w:tc>
          <w:tcPr>
            <w:tcW w:w="160" w:type="dxa"/>
            <w:tcBorders>
              <w:bottom w:val="single" w:sz="8" w:space="0" w:color="CCEEFF"/>
            </w:tcBorders>
            <w:shd w:val="clear" w:color="auto" w:fill="CCEEFF"/>
            <w:vAlign w:val="bottom"/>
          </w:tcPr>
          <w:p w14:paraId="37ECF7FF"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18F2D106" w14:textId="77777777" w:rsidR="00D1587D" w:rsidRDefault="00410D07">
            <w:pPr>
              <w:ind w:right="160"/>
              <w:jc w:val="right"/>
              <w:rPr>
                <w:sz w:val="20"/>
                <w:szCs w:val="20"/>
              </w:rPr>
            </w:pPr>
            <w:r>
              <w:rPr>
                <w:rFonts w:ascii="Arial" w:eastAsia="Arial" w:hAnsi="Arial" w:cs="Arial"/>
                <w:sz w:val="18"/>
                <w:szCs w:val="18"/>
              </w:rPr>
              <w:t>(3)(c)</w:t>
            </w:r>
          </w:p>
        </w:tc>
        <w:tc>
          <w:tcPr>
            <w:tcW w:w="240" w:type="dxa"/>
            <w:tcBorders>
              <w:bottom w:val="single" w:sz="8" w:space="0" w:color="CCEEFF"/>
            </w:tcBorders>
            <w:shd w:val="clear" w:color="auto" w:fill="CCEEFF"/>
            <w:vAlign w:val="bottom"/>
          </w:tcPr>
          <w:p w14:paraId="36498F6C" w14:textId="77777777" w:rsidR="00D1587D" w:rsidRDefault="00D1587D">
            <w:pPr>
              <w:rPr>
                <w:sz w:val="24"/>
                <w:szCs w:val="24"/>
              </w:rPr>
            </w:pPr>
          </w:p>
        </w:tc>
        <w:tc>
          <w:tcPr>
            <w:tcW w:w="440" w:type="dxa"/>
            <w:tcBorders>
              <w:bottom w:val="single" w:sz="8" w:space="0" w:color="CCEEFF"/>
            </w:tcBorders>
            <w:shd w:val="clear" w:color="auto" w:fill="CCEEFF"/>
            <w:vAlign w:val="bottom"/>
          </w:tcPr>
          <w:p w14:paraId="3F0FFD93" w14:textId="77777777" w:rsidR="00D1587D" w:rsidRDefault="00410D07">
            <w:pPr>
              <w:ind w:right="10"/>
              <w:jc w:val="right"/>
              <w:rPr>
                <w:sz w:val="20"/>
                <w:szCs w:val="20"/>
              </w:rPr>
            </w:pPr>
            <w:r>
              <w:rPr>
                <w:rFonts w:ascii="Arial" w:eastAsia="Arial" w:hAnsi="Arial" w:cs="Arial"/>
                <w:sz w:val="18"/>
                <w:szCs w:val="18"/>
              </w:rPr>
              <w:t>10</w:t>
            </w:r>
          </w:p>
        </w:tc>
      </w:tr>
      <w:tr w:rsidR="00D1587D" w14:paraId="7F28EEBB" w14:textId="77777777">
        <w:trPr>
          <w:trHeight w:val="270"/>
        </w:trPr>
        <w:tc>
          <w:tcPr>
            <w:tcW w:w="2960" w:type="dxa"/>
            <w:vAlign w:val="bottom"/>
          </w:tcPr>
          <w:p w14:paraId="3528C49B" w14:textId="77777777" w:rsidR="00D1587D" w:rsidRDefault="00410D07">
            <w:pPr>
              <w:rPr>
                <w:sz w:val="20"/>
                <w:szCs w:val="20"/>
              </w:rPr>
            </w:pPr>
            <w:r>
              <w:rPr>
                <w:rFonts w:ascii="Arial" w:eastAsia="Arial" w:hAnsi="Arial" w:cs="Arial"/>
                <w:sz w:val="18"/>
                <w:szCs w:val="18"/>
              </w:rPr>
              <w:t>Other Assets</w:t>
            </w:r>
          </w:p>
        </w:tc>
        <w:tc>
          <w:tcPr>
            <w:tcW w:w="1740" w:type="dxa"/>
            <w:vAlign w:val="bottom"/>
          </w:tcPr>
          <w:p w14:paraId="780B4406" w14:textId="77777777" w:rsidR="00D1587D" w:rsidRDefault="00D1587D">
            <w:pPr>
              <w:rPr>
                <w:sz w:val="23"/>
                <w:szCs w:val="23"/>
              </w:rPr>
            </w:pPr>
          </w:p>
        </w:tc>
        <w:tc>
          <w:tcPr>
            <w:tcW w:w="1740" w:type="dxa"/>
            <w:gridSpan w:val="3"/>
            <w:vAlign w:val="bottom"/>
          </w:tcPr>
          <w:p w14:paraId="633D9296" w14:textId="77777777" w:rsidR="00D1587D" w:rsidRDefault="00410D07">
            <w:pPr>
              <w:jc w:val="right"/>
              <w:rPr>
                <w:sz w:val="20"/>
                <w:szCs w:val="20"/>
              </w:rPr>
            </w:pPr>
            <w:r>
              <w:rPr>
                <w:rFonts w:ascii="Arial" w:eastAsia="Arial" w:hAnsi="Arial" w:cs="Arial"/>
                <w:sz w:val="18"/>
                <w:szCs w:val="18"/>
              </w:rPr>
              <w:t>51</w:t>
            </w:r>
          </w:p>
        </w:tc>
        <w:tc>
          <w:tcPr>
            <w:tcW w:w="160" w:type="dxa"/>
            <w:vAlign w:val="bottom"/>
          </w:tcPr>
          <w:p w14:paraId="4C2D80CC" w14:textId="77777777" w:rsidR="00D1587D" w:rsidRDefault="00D1587D">
            <w:pPr>
              <w:rPr>
                <w:sz w:val="23"/>
                <w:szCs w:val="23"/>
              </w:rPr>
            </w:pPr>
          </w:p>
        </w:tc>
        <w:tc>
          <w:tcPr>
            <w:tcW w:w="160" w:type="dxa"/>
            <w:vAlign w:val="bottom"/>
          </w:tcPr>
          <w:p w14:paraId="08B2F911" w14:textId="77777777" w:rsidR="00D1587D" w:rsidRDefault="00D1587D">
            <w:pPr>
              <w:rPr>
                <w:sz w:val="23"/>
                <w:szCs w:val="23"/>
              </w:rPr>
            </w:pPr>
          </w:p>
        </w:tc>
        <w:tc>
          <w:tcPr>
            <w:tcW w:w="980" w:type="dxa"/>
            <w:gridSpan w:val="2"/>
            <w:vAlign w:val="bottom"/>
          </w:tcPr>
          <w:p w14:paraId="5509A451" w14:textId="77777777" w:rsidR="00D1587D" w:rsidRDefault="00410D07">
            <w:pPr>
              <w:ind w:right="160"/>
              <w:jc w:val="right"/>
              <w:rPr>
                <w:sz w:val="20"/>
                <w:szCs w:val="20"/>
              </w:rPr>
            </w:pPr>
            <w:r>
              <w:rPr>
                <w:rFonts w:ascii="Arial" w:eastAsia="Arial" w:hAnsi="Arial" w:cs="Arial"/>
                <w:sz w:val="18"/>
                <w:szCs w:val="18"/>
              </w:rPr>
              <w:t>—</w:t>
            </w:r>
          </w:p>
        </w:tc>
        <w:tc>
          <w:tcPr>
            <w:tcW w:w="240" w:type="dxa"/>
            <w:vAlign w:val="bottom"/>
          </w:tcPr>
          <w:p w14:paraId="6DF19888" w14:textId="77777777" w:rsidR="00D1587D" w:rsidRDefault="00D1587D">
            <w:pPr>
              <w:rPr>
                <w:sz w:val="23"/>
                <w:szCs w:val="23"/>
              </w:rPr>
            </w:pPr>
          </w:p>
        </w:tc>
        <w:tc>
          <w:tcPr>
            <w:tcW w:w="440" w:type="dxa"/>
            <w:vAlign w:val="bottom"/>
          </w:tcPr>
          <w:p w14:paraId="687582D4" w14:textId="77777777" w:rsidR="00D1587D" w:rsidRDefault="00410D07">
            <w:pPr>
              <w:ind w:right="10"/>
              <w:jc w:val="right"/>
              <w:rPr>
                <w:sz w:val="20"/>
                <w:szCs w:val="20"/>
              </w:rPr>
            </w:pPr>
            <w:r>
              <w:rPr>
                <w:rFonts w:ascii="Arial" w:eastAsia="Arial" w:hAnsi="Arial" w:cs="Arial"/>
                <w:sz w:val="18"/>
                <w:szCs w:val="18"/>
              </w:rPr>
              <w:t>51</w:t>
            </w:r>
          </w:p>
        </w:tc>
      </w:tr>
      <w:tr w:rsidR="00D1587D" w14:paraId="167211DD" w14:textId="77777777">
        <w:trPr>
          <w:trHeight w:val="67"/>
        </w:trPr>
        <w:tc>
          <w:tcPr>
            <w:tcW w:w="2960" w:type="dxa"/>
            <w:tcBorders>
              <w:bottom w:val="single" w:sz="8" w:space="0" w:color="CCEEFF"/>
            </w:tcBorders>
            <w:vAlign w:val="bottom"/>
          </w:tcPr>
          <w:p w14:paraId="605B7577" w14:textId="77777777" w:rsidR="00D1587D" w:rsidRDefault="00D1587D">
            <w:pPr>
              <w:rPr>
                <w:sz w:val="5"/>
                <w:szCs w:val="5"/>
              </w:rPr>
            </w:pPr>
          </w:p>
        </w:tc>
        <w:tc>
          <w:tcPr>
            <w:tcW w:w="1740" w:type="dxa"/>
            <w:tcBorders>
              <w:bottom w:val="single" w:sz="8" w:space="0" w:color="CCEEFF"/>
            </w:tcBorders>
            <w:vAlign w:val="bottom"/>
          </w:tcPr>
          <w:p w14:paraId="2FB6480C" w14:textId="77777777" w:rsidR="00D1587D" w:rsidRDefault="00D1587D">
            <w:pPr>
              <w:rPr>
                <w:sz w:val="5"/>
                <w:szCs w:val="5"/>
              </w:rPr>
            </w:pPr>
          </w:p>
        </w:tc>
        <w:tc>
          <w:tcPr>
            <w:tcW w:w="1020" w:type="dxa"/>
            <w:tcBorders>
              <w:bottom w:val="single" w:sz="8" w:space="0" w:color="CCEEFF"/>
            </w:tcBorders>
            <w:vAlign w:val="bottom"/>
          </w:tcPr>
          <w:p w14:paraId="7EF6CAD3" w14:textId="77777777" w:rsidR="00D1587D" w:rsidRDefault="00D1587D">
            <w:pPr>
              <w:rPr>
                <w:sz w:val="5"/>
                <w:szCs w:val="5"/>
              </w:rPr>
            </w:pPr>
          </w:p>
        </w:tc>
        <w:tc>
          <w:tcPr>
            <w:tcW w:w="100" w:type="dxa"/>
            <w:tcBorders>
              <w:bottom w:val="single" w:sz="8" w:space="0" w:color="CCEEFF"/>
            </w:tcBorders>
            <w:vAlign w:val="bottom"/>
          </w:tcPr>
          <w:p w14:paraId="5CCFF204" w14:textId="77777777" w:rsidR="00D1587D" w:rsidRDefault="00D1587D">
            <w:pPr>
              <w:rPr>
                <w:sz w:val="5"/>
                <w:szCs w:val="5"/>
              </w:rPr>
            </w:pPr>
          </w:p>
        </w:tc>
        <w:tc>
          <w:tcPr>
            <w:tcW w:w="620" w:type="dxa"/>
            <w:tcBorders>
              <w:bottom w:val="single" w:sz="8" w:space="0" w:color="auto"/>
            </w:tcBorders>
            <w:vAlign w:val="bottom"/>
          </w:tcPr>
          <w:p w14:paraId="30847CEA" w14:textId="77777777" w:rsidR="00D1587D" w:rsidRDefault="00D1587D">
            <w:pPr>
              <w:rPr>
                <w:sz w:val="5"/>
                <w:szCs w:val="5"/>
              </w:rPr>
            </w:pPr>
          </w:p>
        </w:tc>
        <w:tc>
          <w:tcPr>
            <w:tcW w:w="160" w:type="dxa"/>
            <w:tcBorders>
              <w:bottom w:val="single" w:sz="8" w:space="0" w:color="CCEEFF"/>
            </w:tcBorders>
            <w:vAlign w:val="bottom"/>
          </w:tcPr>
          <w:p w14:paraId="65B8E157" w14:textId="77777777" w:rsidR="00D1587D" w:rsidRDefault="00D1587D">
            <w:pPr>
              <w:rPr>
                <w:sz w:val="5"/>
                <w:szCs w:val="5"/>
              </w:rPr>
            </w:pPr>
          </w:p>
        </w:tc>
        <w:tc>
          <w:tcPr>
            <w:tcW w:w="160" w:type="dxa"/>
            <w:tcBorders>
              <w:bottom w:val="single" w:sz="8" w:space="0" w:color="auto"/>
            </w:tcBorders>
            <w:vAlign w:val="bottom"/>
          </w:tcPr>
          <w:p w14:paraId="00A9B9A0" w14:textId="77777777" w:rsidR="00D1587D" w:rsidRDefault="00D1587D">
            <w:pPr>
              <w:rPr>
                <w:sz w:val="5"/>
                <w:szCs w:val="5"/>
              </w:rPr>
            </w:pPr>
          </w:p>
        </w:tc>
        <w:tc>
          <w:tcPr>
            <w:tcW w:w="820" w:type="dxa"/>
            <w:tcBorders>
              <w:bottom w:val="single" w:sz="8" w:space="0" w:color="auto"/>
            </w:tcBorders>
            <w:vAlign w:val="bottom"/>
          </w:tcPr>
          <w:p w14:paraId="0A42DBA3" w14:textId="77777777" w:rsidR="00D1587D" w:rsidRDefault="00D1587D">
            <w:pPr>
              <w:rPr>
                <w:sz w:val="5"/>
                <w:szCs w:val="5"/>
              </w:rPr>
            </w:pPr>
          </w:p>
        </w:tc>
        <w:tc>
          <w:tcPr>
            <w:tcW w:w="160" w:type="dxa"/>
            <w:tcBorders>
              <w:bottom w:val="single" w:sz="8" w:space="0" w:color="CCEEFF"/>
            </w:tcBorders>
            <w:vAlign w:val="bottom"/>
          </w:tcPr>
          <w:p w14:paraId="41F0ABA5" w14:textId="77777777" w:rsidR="00D1587D" w:rsidRDefault="00D1587D">
            <w:pPr>
              <w:rPr>
                <w:sz w:val="5"/>
                <w:szCs w:val="5"/>
              </w:rPr>
            </w:pPr>
          </w:p>
        </w:tc>
        <w:tc>
          <w:tcPr>
            <w:tcW w:w="680" w:type="dxa"/>
            <w:gridSpan w:val="2"/>
            <w:tcBorders>
              <w:bottom w:val="single" w:sz="8" w:space="0" w:color="auto"/>
            </w:tcBorders>
            <w:vAlign w:val="bottom"/>
          </w:tcPr>
          <w:p w14:paraId="48F5BD75" w14:textId="77777777" w:rsidR="00D1587D" w:rsidRDefault="00D1587D">
            <w:pPr>
              <w:rPr>
                <w:sz w:val="5"/>
                <w:szCs w:val="5"/>
              </w:rPr>
            </w:pPr>
          </w:p>
        </w:tc>
      </w:tr>
      <w:tr w:rsidR="00D1587D" w14:paraId="1B5F497A" w14:textId="77777777">
        <w:trPr>
          <w:trHeight w:val="304"/>
        </w:trPr>
        <w:tc>
          <w:tcPr>
            <w:tcW w:w="2960" w:type="dxa"/>
            <w:shd w:val="clear" w:color="auto" w:fill="CCEEFF"/>
            <w:vAlign w:val="bottom"/>
          </w:tcPr>
          <w:p w14:paraId="31241564" w14:textId="77777777" w:rsidR="00D1587D" w:rsidRDefault="00410D07">
            <w:pPr>
              <w:rPr>
                <w:sz w:val="20"/>
                <w:szCs w:val="20"/>
              </w:rPr>
            </w:pPr>
            <w:r>
              <w:rPr>
                <w:rFonts w:ascii="Arial" w:eastAsia="Arial" w:hAnsi="Arial" w:cs="Arial"/>
                <w:b/>
                <w:bCs/>
                <w:sz w:val="18"/>
                <w:szCs w:val="18"/>
              </w:rPr>
              <w:t>Total Assets</w:t>
            </w:r>
          </w:p>
        </w:tc>
        <w:tc>
          <w:tcPr>
            <w:tcW w:w="1740" w:type="dxa"/>
            <w:shd w:val="clear" w:color="auto" w:fill="CCEEFF"/>
            <w:vAlign w:val="bottom"/>
          </w:tcPr>
          <w:p w14:paraId="50556974" w14:textId="77777777" w:rsidR="00D1587D" w:rsidRDefault="00D1587D">
            <w:pPr>
              <w:rPr>
                <w:sz w:val="24"/>
                <w:szCs w:val="24"/>
              </w:rPr>
            </w:pPr>
          </w:p>
        </w:tc>
        <w:tc>
          <w:tcPr>
            <w:tcW w:w="1740" w:type="dxa"/>
            <w:gridSpan w:val="3"/>
            <w:shd w:val="clear" w:color="auto" w:fill="CCEEFF"/>
            <w:vAlign w:val="bottom"/>
          </w:tcPr>
          <w:p w14:paraId="77BB75F5" w14:textId="77777777" w:rsidR="00D1587D" w:rsidRDefault="00410D07">
            <w:pPr>
              <w:jc w:val="right"/>
              <w:rPr>
                <w:sz w:val="20"/>
                <w:szCs w:val="20"/>
              </w:rPr>
            </w:pPr>
            <w:r>
              <w:rPr>
                <w:rFonts w:ascii="Arial" w:eastAsia="Arial" w:hAnsi="Arial" w:cs="Arial"/>
                <w:b/>
                <w:bCs/>
                <w:sz w:val="18"/>
                <w:szCs w:val="18"/>
              </w:rPr>
              <w:t>$4,247</w:t>
            </w:r>
          </w:p>
        </w:tc>
        <w:tc>
          <w:tcPr>
            <w:tcW w:w="160" w:type="dxa"/>
            <w:shd w:val="clear" w:color="auto" w:fill="CCEEFF"/>
            <w:vAlign w:val="bottom"/>
          </w:tcPr>
          <w:p w14:paraId="6DA92AA4" w14:textId="77777777" w:rsidR="00D1587D" w:rsidRDefault="00D1587D">
            <w:pPr>
              <w:rPr>
                <w:sz w:val="24"/>
                <w:szCs w:val="24"/>
              </w:rPr>
            </w:pPr>
          </w:p>
        </w:tc>
        <w:tc>
          <w:tcPr>
            <w:tcW w:w="160" w:type="dxa"/>
            <w:shd w:val="clear" w:color="auto" w:fill="CCEEFF"/>
            <w:vAlign w:val="bottom"/>
          </w:tcPr>
          <w:p w14:paraId="0DD5D27D" w14:textId="77777777" w:rsidR="00D1587D" w:rsidRDefault="00410D07">
            <w:pPr>
              <w:jc w:val="right"/>
              <w:rPr>
                <w:sz w:val="20"/>
                <w:szCs w:val="20"/>
              </w:rPr>
            </w:pPr>
            <w:r>
              <w:rPr>
                <w:rFonts w:ascii="Arial" w:eastAsia="Arial" w:hAnsi="Arial" w:cs="Arial"/>
                <w:b/>
                <w:bCs/>
                <w:sz w:val="18"/>
                <w:szCs w:val="18"/>
              </w:rPr>
              <w:t>$</w:t>
            </w:r>
          </w:p>
        </w:tc>
        <w:tc>
          <w:tcPr>
            <w:tcW w:w="980" w:type="dxa"/>
            <w:gridSpan w:val="2"/>
            <w:shd w:val="clear" w:color="auto" w:fill="CCEEFF"/>
            <w:vAlign w:val="bottom"/>
          </w:tcPr>
          <w:p w14:paraId="5EF8B117" w14:textId="77777777" w:rsidR="00D1587D" w:rsidRDefault="00410D07">
            <w:pPr>
              <w:ind w:right="160"/>
              <w:jc w:val="right"/>
              <w:rPr>
                <w:sz w:val="20"/>
                <w:szCs w:val="20"/>
              </w:rPr>
            </w:pPr>
            <w:r>
              <w:rPr>
                <w:rFonts w:ascii="Arial" w:eastAsia="Arial" w:hAnsi="Arial" w:cs="Arial"/>
                <w:b/>
                <w:bCs/>
                <w:sz w:val="18"/>
                <w:szCs w:val="18"/>
              </w:rPr>
              <w:t>(85)</w:t>
            </w:r>
          </w:p>
        </w:tc>
        <w:tc>
          <w:tcPr>
            <w:tcW w:w="680" w:type="dxa"/>
            <w:gridSpan w:val="2"/>
            <w:shd w:val="clear" w:color="auto" w:fill="CCEEFF"/>
            <w:vAlign w:val="bottom"/>
          </w:tcPr>
          <w:p w14:paraId="05AEBB97" w14:textId="77777777" w:rsidR="00D1587D" w:rsidRDefault="00410D07">
            <w:pPr>
              <w:jc w:val="right"/>
              <w:rPr>
                <w:sz w:val="20"/>
                <w:szCs w:val="20"/>
              </w:rPr>
            </w:pPr>
            <w:r>
              <w:rPr>
                <w:rFonts w:ascii="Arial" w:eastAsia="Arial" w:hAnsi="Arial" w:cs="Arial"/>
                <w:b/>
                <w:bCs/>
                <w:sz w:val="18"/>
                <w:szCs w:val="18"/>
              </w:rPr>
              <w:t>$4,162</w:t>
            </w:r>
          </w:p>
        </w:tc>
      </w:tr>
      <w:tr w:rsidR="00D1587D" w14:paraId="5110F090" w14:textId="77777777">
        <w:trPr>
          <w:trHeight w:val="128"/>
        </w:trPr>
        <w:tc>
          <w:tcPr>
            <w:tcW w:w="2960" w:type="dxa"/>
            <w:tcBorders>
              <w:bottom w:val="single" w:sz="8" w:space="0" w:color="CCEEFF"/>
            </w:tcBorders>
            <w:shd w:val="clear" w:color="auto" w:fill="CCEEFF"/>
            <w:vAlign w:val="bottom"/>
          </w:tcPr>
          <w:p w14:paraId="31929AF2" w14:textId="77777777" w:rsidR="00D1587D" w:rsidRDefault="00D1587D">
            <w:pPr>
              <w:rPr>
                <w:sz w:val="11"/>
                <w:szCs w:val="11"/>
              </w:rPr>
            </w:pPr>
          </w:p>
        </w:tc>
        <w:tc>
          <w:tcPr>
            <w:tcW w:w="1740" w:type="dxa"/>
            <w:tcBorders>
              <w:bottom w:val="single" w:sz="8" w:space="0" w:color="CCEEFF"/>
            </w:tcBorders>
            <w:shd w:val="clear" w:color="auto" w:fill="CCEEFF"/>
            <w:vAlign w:val="bottom"/>
          </w:tcPr>
          <w:p w14:paraId="604F16A5" w14:textId="77777777" w:rsidR="00D1587D" w:rsidRDefault="00D1587D">
            <w:pPr>
              <w:rPr>
                <w:sz w:val="11"/>
                <w:szCs w:val="11"/>
              </w:rPr>
            </w:pPr>
          </w:p>
        </w:tc>
        <w:tc>
          <w:tcPr>
            <w:tcW w:w="1020" w:type="dxa"/>
            <w:tcBorders>
              <w:bottom w:val="single" w:sz="8" w:space="0" w:color="CCEEFF"/>
            </w:tcBorders>
            <w:shd w:val="clear" w:color="auto" w:fill="CCEEFF"/>
            <w:vAlign w:val="bottom"/>
          </w:tcPr>
          <w:p w14:paraId="5524A4E3" w14:textId="77777777" w:rsidR="00D1587D" w:rsidRDefault="00D1587D">
            <w:pPr>
              <w:rPr>
                <w:sz w:val="11"/>
                <w:szCs w:val="11"/>
              </w:rPr>
            </w:pPr>
          </w:p>
        </w:tc>
        <w:tc>
          <w:tcPr>
            <w:tcW w:w="100" w:type="dxa"/>
            <w:tcBorders>
              <w:bottom w:val="single" w:sz="8" w:space="0" w:color="CCEEFF"/>
            </w:tcBorders>
            <w:shd w:val="clear" w:color="auto" w:fill="CCEEFF"/>
            <w:vAlign w:val="bottom"/>
          </w:tcPr>
          <w:p w14:paraId="79D67659" w14:textId="77777777" w:rsidR="00D1587D" w:rsidRDefault="00D1587D">
            <w:pPr>
              <w:rPr>
                <w:sz w:val="11"/>
                <w:szCs w:val="11"/>
              </w:rPr>
            </w:pPr>
          </w:p>
        </w:tc>
        <w:tc>
          <w:tcPr>
            <w:tcW w:w="620" w:type="dxa"/>
            <w:tcBorders>
              <w:bottom w:val="single" w:sz="8" w:space="0" w:color="auto"/>
            </w:tcBorders>
            <w:shd w:val="clear" w:color="auto" w:fill="CCEEFF"/>
            <w:vAlign w:val="bottom"/>
          </w:tcPr>
          <w:p w14:paraId="33872506" w14:textId="77777777" w:rsidR="00D1587D" w:rsidRDefault="00D1587D">
            <w:pPr>
              <w:rPr>
                <w:sz w:val="11"/>
                <w:szCs w:val="11"/>
              </w:rPr>
            </w:pPr>
          </w:p>
        </w:tc>
        <w:tc>
          <w:tcPr>
            <w:tcW w:w="160" w:type="dxa"/>
            <w:tcBorders>
              <w:bottom w:val="single" w:sz="8" w:space="0" w:color="CCEEFF"/>
            </w:tcBorders>
            <w:shd w:val="clear" w:color="auto" w:fill="CCEEFF"/>
            <w:vAlign w:val="bottom"/>
          </w:tcPr>
          <w:p w14:paraId="62A43836" w14:textId="77777777" w:rsidR="00D1587D" w:rsidRDefault="00D1587D">
            <w:pPr>
              <w:rPr>
                <w:sz w:val="11"/>
                <w:szCs w:val="11"/>
              </w:rPr>
            </w:pPr>
          </w:p>
        </w:tc>
        <w:tc>
          <w:tcPr>
            <w:tcW w:w="160" w:type="dxa"/>
            <w:tcBorders>
              <w:bottom w:val="single" w:sz="8" w:space="0" w:color="auto"/>
            </w:tcBorders>
            <w:shd w:val="clear" w:color="auto" w:fill="CCEEFF"/>
            <w:vAlign w:val="bottom"/>
          </w:tcPr>
          <w:p w14:paraId="510D5212" w14:textId="77777777" w:rsidR="00D1587D" w:rsidRDefault="00D1587D">
            <w:pPr>
              <w:rPr>
                <w:sz w:val="11"/>
                <w:szCs w:val="11"/>
              </w:rPr>
            </w:pPr>
          </w:p>
        </w:tc>
        <w:tc>
          <w:tcPr>
            <w:tcW w:w="820" w:type="dxa"/>
            <w:tcBorders>
              <w:bottom w:val="single" w:sz="8" w:space="0" w:color="auto"/>
            </w:tcBorders>
            <w:shd w:val="clear" w:color="auto" w:fill="CCEEFF"/>
            <w:vAlign w:val="bottom"/>
          </w:tcPr>
          <w:p w14:paraId="0712704F" w14:textId="77777777" w:rsidR="00D1587D" w:rsidRDefault="00D1587D">
            <w:pPr>
              <w:rPr>
                <w:sz w:val="11"/>
                <w:szCs w:val="11"/>
              </w:rPr>
            </w:pPr>
          </w:p>
        </w:tc>
        <w:tc>
          <w:tcPr>
            <w:tcW w:w="160" w:type="dxa"/>
            <w:tcBorders>
              <w:bottom w:val="single" w:sz="8" w:space="0" w:color="CCEEFF"/>
            </w:tcBorders>
            <w:shd w:val="clear" w:color="auto" w:fill="CCEEFF"/>
            <w:vAlign w:val="bottom"/>
          </w:tcPr>
          <w:p w14:paraId="696B2C29" w14:textId="77777777" w:rsidR="00D1587D" w:rsidRDefault="00D1587D">
            <w:pPr>
              <w:rPr>
                <w:sz w:val="11"/>
                <w:szCs w:val="11"/>
              </w:rPr>
            </w:pPr>
          </w:p>
        </w:tc>
        <w:tc>
          <w:tcPr>
            <w:tcW w:w="240" w:type="dxa"/>
            <w:tcBorders>
              <w:bottom w:val="single" w:sz="8" w:space="0" w:color="auto"/>
            </w:tcBorders>
            <w:shd w:val="clear" w:color="auto" w:fill="CCEEFF"/>
            <w:vAlign w:val="bottom"/>
          </w:tcPr>
          <w:p w14:paraId="4F8A1A34" w14:textId="77777777" w:rsidR="00D1587D" w:rsidRDefault="00D1587D">
            <w:pPr>
              <w:rPr>
                <w:sz w:val="11"/>
                <w:szCs w:val="11"/>
              </w:rPr>
            </w:pPr>
          </w:p>
        </w:tc>
        <w:tc>
          <w:tcPr>
            <w:tcW w:w="440" w:type="dxa"/>
            <w:tcBorders>
              <w:bottom w:val="single" w:sz="8" w:space="0" w:color="auto"/>
            </w:tcBorders>
            <w:shd w:val="clear" w:color="auto" w:fill="CCEEFF"/>
            <w:vAlign w:val="bottom"/>
          </w:tcPr>
          <w:p w14:paraId="001C19A8" w14:textId="77777777" w:rsidR="00D1587D" w:rsidRDefault="00D1587D">
            <w:pPr>
              <w:rPr>
                <w:sz w:val="11"/>
                <w:szCs w:val="11"/>
              </w:rPr>
            </w:pPr>
          </w:p>
        </w:tc>
      </w:tr>
      <w:tr w:rsidR="00D1587D" w14:paraId="5D94847D" w14:textId="77777777">
        <w:trPr>
          <w:trHeight w:val="285"/>
        </w:trPr>
        <w:tc>
          <w:tcPr>
            <w:tcW w:w="2960" w:type="dxa"/>
            <w:vAlign w:val="bottom"/>
          </w:tcPr>
          <w:p w14:paraId="11E99670" w14:textId="77777777" w:rsidR="00D1587D" w:rsidRDefault="00410D07">
            <w:pPr>
              <w:rPr>
                <w:sz w:val="20"/>
                <w:szCs w:val="20"/>
              </w:rPr>
            </w:pPr>
            <w:r>
              <w:rPr>
                <w:rFonts w:ascii="Arial" w:eastAsia="Arial" w:hAnsi="Arial" w:cs="Arial"/>
                <w:b/>
                <w:bCs/>
                <w:sz w:val="18"/>
                <w:szCs w:val="18"/>
              </w:rPr>
              <w:t>LIABILITIES AND EQUITY</w:t>
            </w:r>
          </w:p>
        </w:tc>
        <w:tc>
          <w:tcPr>
            <w:tcW w:w="1740" w:type="dxa"/>
            <w:vAlign w:val="bottom"/>
          </w:tcPr>
          <w:p w14:paraId="493D0B8C" w14:textId="77777777" w:rsidR="00D1587D" w:rsidRDefault="00D1587D">
            <w:pPr>
              <w:rPr>
                <w:sz w:val="24"/>
                <w:szCs w:val="24"/>
              </w:rPr>
            </w:pPr>
          </w:p>
        </w:tc>
        <w:tc>
          <w:tcPr>
            <w:tcW w:w="1020" w:type="dxa"/>
            <w:vAlign w:val="bottom"/>
          </w:tcPr>
          <w:p w14:paraId="45F0D0ED" w14:textId="77777777" w:rsidR="00D1587D" w:rsidRDefault="00D1587D">
            <w:pPr>
              <w:rPr>
                <w:sz w:val="24"/>
                <w:szCs w:val="24"/>
              </w:rPr>
            </w:pPr>
          </w:p>
        </w:tc>
        <w:tc>
          <w:tcPr>
            <w:tcW w:w="100" w:type="dxa"/>
            <w:vAlign w:val="bottom"/>
          </w:tcPr>
          <w:p w14:paraId="428BF07C" w14:textId="77777777" w:rsidR="00D1587D" w:rsidRDefault="00D1587D">
            <w:pPr>
              <w:rPr>
                <w:sz w:val="24"/>
                <w:szCs w:val="24"/>
              </w:rPr>
            </w:pPr>
          </w:p>
        </w:tc>
        <w:tc>
          <w:tcPr>
            <w:tcW w:w="620" w:type="dxa"/>
            <w:vAlign w:val="bottom"/>
          </w:tcPr>
          <w:p w14:paraId="0D959D77" w14:textId="77777777" w:rsidR="00D1587D" w:rsidRDefault="00D1587D">
            <w:pPr>
              <w:rPr>
                <w:sz w:val="24"/>
                <w:szCs w:val="24"/>
              </w:rPr>
            </w:pPr>
          </w:p>
        </w:tc>
        <w:tc>
          <w:tcPr>
            <w:tcW w:w="160" w:type="dxa"/>
            <w:vAlign w:val="bottom"/>
          </w:tcPr>
          <w:p w14:paraId="3FC69E98" w14:textId="77777777" w:rsidR="00D1587D" w:rsidRDefault="00D1587D">
            <w:pPr>
              <w:rPr>
                <w:sz w:val="24"/>
                <w:szCs w:val="24"/>
              </w:rPr>
            </w:pPr>
          </w:p>
        </w:tc>
        <w:tc>
          <w:tcPr>
            <w:tcW w:w="160" w:type="dxa"/>
            <w:vAlign w:val="bottom"/>
          </w:tcPr>
          <w:p w14:paraId="41BF082F" w14:textId="77777777" w:rsidR="00D1587D" w:rsidRDefault="00D1587D">
            <w:pPr>
              <w:rPr>
                <w:sz w:val="24"/>
                <w:szCs w:val="24"/>
              </w:rPr>
            </w:pPr>
          </w:p>
        </w:tc>
        <w:tc>
          <w:tcPr>
            <w:tcW w:w="820" w:type="dxa"/>
            <w:vAlign w:val="bottom"/>
          </w:tcPr>
          <w:p w14:paraId="58A9BA2E" w14:textId="77777777" w:rsidR="00D1587D" w:rsidRDefault="00D1587D">
            <w:pPr>
              <w:rPr>
                <w:sz w:val="24"/>
                <w:szCs w:val="24"/>
              </w:rPr>
            </w:pPr>
          </w:p>
        </w:tc>
        <w:tc>
          <w:tcPr>
            <w:tcW w:w="160" w:type="dxa"/>
            <w:vAlign w:val="bottom"/>
          </w:tcPr>
          <w:p w14:paraId="02585F04" w14:textId="77777777" w:rsidR="00D1587D" w:rsidRDefault="00D1587D">
            <w:pPr>
              <w:rPr>
                <w:sz w:val="24"/>
                <w:szCs w:val="24"/>
              </w:rPr>
            </w:pPr>
          </w:p>
        </w:tc>
        <w:tc>
          <w:tcPr>
            <w:tcW w:w="240" w:type="dxa"/>
            <w:vAlign w:val="bottom"/>
          </w:tcPr>
          <w:p w14:paraId="1341C9F0" w14:textId="77777777" w:rsidR="00D1587D" w:rsidRDefault="00D1587D">
            <w:pPr>
              <w:rPr>
                <w:sz w:val="24"/>
                <w:szCs w:val="24"/>
              </w:rPr>
            </w:pPr>
          </w:p>
        </w:tc>
        <w:tc>
          <w:tcPr>
            <w:tcW w:w="440" w:type="dxa"/>
            <w:vAlign w:val="bottom"/>
          </w:tcPr>
          <w:p w14:paraId="5DECB97B" w14:textId="77777777" w:rsidR="00D1587D" w:rsidRDefault="00D1587D">
            <w:pPr>
              <w:rPr>
                <w:sz w:val="24"/>
                <w:szCs w:val="24"/>
              </w:rPr>
            </w:pPr>
          </w:p>
        </w:tc>
      </w:tr>
      <w:tr w:rsidR="00D1587D" w14:paraId="1F98B3C1" w14:textId="77777777">
        <w:trPr>
          <w:trHeight w:val="54"/>
        </w:trPr>
        <w:tc>
          <w:tcPr>
            <w:tcW w:w="2960" w:type="dxa"/>
            <w:vAlign w:val="bottom"/>
          </w:tcPr>
          <w:p w14:paraId="25ABA353" w14:textId="77777777" w:rsidR="00D1587D" w:rsidRDefault="00D1587D">
            <w:pPr>
              <w:rPr>
                <w:sz w:val="4"/>
                <w:szCs w:val="4"/>
              </w:rPr>
            </w:pPr>
          </w:p>
        </w:tc>
        <w:tc>
          <w:tcPr>
            <w:tcW w:w="1740" w:type="dxa"/>
            <w:vAlign w:val="bottom"/>
          </w:tcPr>
          <w:p w14:paraId="44A580EB" w14:textId="77777777" w:rsidR="00D1587D" w:rsidRDefault="00D1587D">
            <w:pPr>
              <w:rPr>
                <w:sz w:val="4"/>
                <w:szCs w:val="4"/>
              </w:rPr>
            </w:pPr>
          </w:p>
        </w:tc>
        <w:tc>
          <w:tcPr>
            <w:tcW w:w="1020" w:type="dxa"/>
            <w:vAlign w:val="bottom"/>
          </w:tcPr>
          <w:p w14:paraId="1C4F8214" w14:textId="77777777" w:rsidR="00D1587D" w:rsidRDefault="00D1587D">
            <w:pPr>
              <w:rPr>
                <w:sz w:val="4"/>
                <w:szCs w:val="4"/>
              </w:rPr>
            </w:pPr>
          </w:p>
        </w:tc>
        <w:tc>
          <w:tcPr>
            <w:tcW w:w="100" w:type="dxa"/>
            <w:vAlign w:val="bottom"/>
          </w:tcPr>
          <w:p w14:paraId="313DF06A" w14:textId="77777777" w:rsidR="00D1587D" w:rsidRDefault="00D1587D">
            <w:pPr>
              <w:rPr>
                <w:sz w:val="4"/>
                <w:szCs w:val="4"/>
              </w:rPr>
            </w:pPr>
          </w:p>
        </w:tc>
        <w:tc>
          <w:tcPr>
            <w:tcW w:w="620" w:type="dxa"/>
            <w:vAlign w:val="bottom"/>
          </w:tcPr>
          <w:p w14:paraId="303CE05C" w14:textId="77777777" w:rsidR="00D1587D" w:rsidRDefault="00D1587D">
            <w:pPr>
              <w:rPr>
                <w:sz w:val="4"/>
                <w:szCs w:val="4"/>
              </w:rPr>
            </w:pPr>
          </w:p>
        </w:tc>
        <w:tc>
          <w:tcPr>
            <w:tcW w:w="160" w:type="dxa"/>
            <w:vAlign w:val="bottom"/>
          </w:tcPr>
          <w:p w14:paraId="2A77F8B3" w14:textId="77777777" w:rsidR="00D1587D" w:rsidRDefault="00D1587D">
            <w:pPr>
              <w:rPr>
                <w:sz w:val="4"/>
                <w:szCs w:val="4"/>
              </w:rPr>
            </w:pPr>
          </w:p>
        </w:tc>
        <w:tc>
          <w:tcPr>
            <w:tcW w:w="160" w:type="dxa"/>
            <w:vAlign w:val="bottom"/>
          </w:tcPr>
          <w:p w14:paraId="578CA53F" w14:textId="77777777" w:rsidR="00D1587D" w:rsidRDefault="00D1587D">
            <w:pPr>
              <w:rPr>
                <w:sz w:val="4"/>
                <w:szCs w:val="4"/>
              </w:rPr>
            </w:pPr>
          </w:p>
        </w:tc>
        <w:tc>
          <w:tcPr>
            <w:tcW w:w="820" w:type="dxa"/>
            <w:vAlign w:val="bottom"/>
          </w:tcPr>
          <w:p w14:paraId="49AC40E5" w14:textId="77777777" w:rsidR="00D1587D" w:rsidRDefault="00D1587D">
            <w:pPr>
              <w:rPr>
                <w:sz w:val="4"/>
                <w:szCs w:val="4"/>
              </w:rPr>
            </w:pPr>
          </w:p>
        </w:tc>
        <w:tc>
          <w:tcPr>
            <w:tcW w:w="160" w:type="dxa"/>
            <w:vAlign w:val="bottom"/>
          </w:tcPr>
          <w:p w14:paraId="70427751" w14:textId="77777777" w:rsidR="00D1587D" w:rsidRDefault="00D1587D">
            <w:pPr>
              <w:rPr>
                <w:sz w:val="4"/>
                <w:szCs w:val="4"/>
              </w:rPr>
            </w:pPr>
          </w:p>
        </w:tc>
        <w:tc>
          <w:tcPr>
            <w:tcW w:w="240" w:type="dxa"/>
            <w:vAlign w:val="bottom"/>
          </w:tcPr>
          <w:p w14:paraId="40E84E5E" w14:textId="77777777" w:rsidR="00D1587D" w:rsidRDefault="00D1587D">
            <w:pPr>
              <w:rPr>
                <w:sz w:val="4"/>
                <w:szCs w:val="4"/>
              </w:rPr>
            </w:pPr>
          </w:p>
        </w:tc>
        <w:tc>
          <w:tcPr>
            <w:tcW w:w="440" w:type="dxa"/>
            <w:vAlign w:val="bottom"/>
          </w:tcPr>
          <w:p w14:paraId="2B135460" w14:textId="77777777" w:rsidR="00D1587D" w:rsidRDefault="00D1587D">
            <w:pPr>
              <w:rPr>
                <w:sz w:val="4"/>
                <w:szCs w:val="4"/>
              </w:rPr>
            </w:pPr>
          </w:p>
        </w:tc>
      </w:tr>
      <w:tr w:rsidR="00D1587D" w14:paraId="384197B8" w14:textId="77777777">
        <w:trPr>
          <w:trHeight w:val="304"/>
        </w:trPr>
        <w:tc>
          <w:tcPr>
            <w:tcW w:w="2960" w:type="dxa"/>
            <w:tcBorders>
              <w:bottom w:val="single" w:sz="8" w:space="0" w:color="CCEEFF"/>
            </w:tcBorders>
            <w:shd w:val="clear" w:color="auto" w:fill="CCEEFF"/>
            <w:vAlign w:val="bottom"/>
          </w:tcPr>
          <w:p w14:paraId="4034B487" w14:textId="77777777" w:rsidR="00D1587D" w:rsidRDefault="00410D07">
            <w:pPr>
              <w:rPr>
                <w:sz w:val="20"/>
                <w:szCs w:val="20"/>
              </w:rPr>
            </w:pPr>
            <w:r>
              <w:rPr>
                <w:rFonts w:ascii="Arial" w:eastAsia="Arial" w:hAnsi="Arial" w:cs="Arial"/>
                <w:b/>
                <w:bCs/>
                <w:sz w:val="18"/>
                <w:szCs w:val="18"/>
              </w:rPr>
              <w:t>Current Liabilities:</w:t>
            </w:r>
          </w:p>
        </w:tc>
        <w:tc>
          <w:tcPr>
            <w:tcW w:w="1740" w:type="dxa"/>
            <w:tcBorders>
              <w:bottom w:val="single" w:sz="8" w:space="0" w:color="CCEEFF"/>
            </w:tcBorders>
            <w:shd w:val="clear" w:color="auto" w:fill="CCEEFF"/>
            <w:vAlign w:val="bottom"/>
          </w:tcPr>
          <w:p w14:paraId="40FE6879" w14:textId="77777777" w:rsidR="00D1587D" w:rsidRDefault="00D1587D">
            <w:pPr>
              <w:rPr>
                <w:sz w:val="24"/>
                <w:szCs w:val="24"/>
              </w:rPr>
            </w:pPr>
          </w:p>
        </w:tc>
        <w:tc>
          <w:tcPr>
            <w:tcW w:w="1020" w:type="dxa"/>
            <w:tcBorders>
              <w:bottom w:val="single" w:sz="8" w:space="0" w:color="CCEEFF"/>
            </w:tcBorders>
            <w:shd w:val="clear" w:color="auto" w:fill="CCEEFF"/>
            <w:vAlign w:val="bottom"/>
          </w:tcPr>
          <w:p w14:paraId="7AFAC418"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141BA45" w14:textId="77777777" w:rsidR="00D1587D" w:rsidRDefault="00D1587D">
            <w:pPr>
              <w:rPr>
                <w:sz w:val="24"/>
                <w:szCs w:val="24"/>
              </w:rPr>
            </w:pPr>
          </w:p>
        </w:tc>
        <w:tc>
          <w:tcPr>
            <w:tcW w:w="620" w:type="dxa"/>
            <w:tcBorders>
              <w:bottom w:val="single" w:sz="8" w:space="0" w:color="CCEEFF"/>
            </w:tcBorders>
            <w:shd w:val="clear" w:color="auto" w:fill="CCEEFF"/>
            <w:vAlign w:val="bottom"/>
          </w:tcPr>
          <w:p w14:paraId="51938BC2" w14:textId="77777777" w:rsidR="00D1587D" w:rsidRDefault="00D1587D">
            <w:pPr>
              <w:rPr>
                <w:sz w:val="24"/>
                <w:szCs w:val="24"/>
              </w:rPr>
            </w:pPr>
          </w:p>
        </w:tc>
        <w:tc>
          <w:tcPr>
            <w:tcW w:w="160" w:type="dxa"/>
            <w:tcBorders>
              <w:bottom w:val="single" w:sz="8" w:space="0" w:color="CCEEFF"/>
            </w:tcBorders>
            <w:shd w:val="clear" w:color="auto" w:fill="CCEEFF"/>
            <w:vAlign w:val="bottom"/>
          </w:tcPr>
          <w:p w14:paraId="24656F24" w14:textId="77777777" w:rsidR="00D1587D" w:rsidRDefault="00D1587D">
            <w:pPr>
              <w:rPr>
                <w:sz w:val="24"/>
                <w:szCs w:val="24"/>
              </w:rPr>
            </w:pPr>
          </w:p>
        </w:tc>
        <w:tc>
          <w:tcPr>
            <w:tcW w:w="160" w:type="dxa"/>
            <w:tcBorders>
              <w:bottom w:val="single" w:sz="8" w:space="0" w:color="CCEEFF"/>
            </w:tcBorders>
            <w:shd w:val="clear" w:color="auto" w:fill="CCEEFF"/>
            <w:vAlign w:val="bottom"/>
          </w:tcPr>
          <w:p w14:paraId="626578F7" w14:textId="77777777" w:rsidR="00D1587D" w:rsidRDefault="00D1587D">
            <w:pPr>
              <w:rPr>
                <w:sz w:val="24"/>
                <w:szCs w:val="24"/>
              </w:rPr>
            </w:pPr>
          </w:p>
        </w:tc>
        <w:tc>
          <w:tcPr>
            <w:tcW w:w="820" w:type="dxa"/>
            <w:tcBorders>
              <w:bottom w:val="single" w:sz="8" w:space="0" w:color="CCEEFF"/>
            </w:tcBorders>
            <w:shd w:val="clear" w:color="auto" w:fill="CCEEFF"/>
            <w:vAlign w:val="bottom"/>
          </w:tcPr>
          <w:p w14:paraId="69DE811B" w14:textId="77777777" w:rsidR="00D1587D" w:rsidRDefault="00D1587D">
            <w:pPr>
              <w:rPr>
                <w:sz w:val="24"/>
                <w:szCs w:val="24"/>
              </w:rPr>
            </w:pPr>
          </w:p>
        </w:tc>
        <w:tc>
          <w:tcPr>
            <w:tcW w:w="160" w:type="dxa"/>
            <w:tcBorders>
              <w:bottom w:val="single" w:sz="8" w:space="0" w:color="CCEEFF"/>
            </w:tcBorders>
            <w:shd w:val="clear" w:color="auto" w:fill="CCEEFF"/>
            <w:vAlign w:val="bottom"/>
          </w:tcPr>
          <w:p w14:paraId="180BDFCC" w14:textId="77777777" w:rsidR="00D1587D" w:rsidRDefault="00D1587D">
            <w:pPr>
              <w:rPr>
                <w:sz w:val="24"/>
                <w:szCs w:val="24"/>
              </w:rPr>
            </w:pPr>
          </w:p>
        </w:tc>
        <w:tc>
          <w:tcPr>
            <w:tcW w:w="240" w:type="dxa"/>
            <w:tcBorders>
              <w:bottom w:val="single" w:sz="8" w:space="0" w:color="CCEEFF"/>
            </w:tcBorders>
            <w:shd w:val="clear" w:color="auto" w:fill="CCEEFF"/>
            <w:vAlign w:val="bottom"/>
          </w:tcPr>
          <w:p w14:paraId="1A9559AC" w14:textId="77777777" w:rsidR="00D1587D" w:rsidRDefault="00D1587D">
            <w:pPr>
              <w:rPr>
                <w:sz w:val="24"/>
                <w:szCs w:val="24"/>
              </w:rPr>
            </w:pPr>
          </w:p>
        </w:tc>
        <w:tc>
          <w:tcPr>
            <w:tcW w:w="440" w:type="dxa"/>
            <w:tcBorders>
              <w:bottom w:val="single" w:sz="8" w:space="0" w:color="CCEEFF"/>
            </w:tcBorders>
            <w:shd w:val="clear" w:color="auto" w:fill="CCEEFF"/>
            <w:vAlign w:val="bottom"/>
          </w:tcPr>
          <w:p w14:paraId="6E9DD6AD" w14:textId="77777777" w:rsidR="00D1587D" w:rsidRDefault="00D1587D">
            <w:pPr>
              <w:rPr>
                <w:sz w:val="24"/>
                <w:szCs w:val="24"/>
              </w:rPr>
            </w:pPr>
          </w:p>
        </w:tc>
      </w:tr>
      <w:tr w:rsidR="00D1587D" w14:paraId="47E7471B" w14:textId="77777777">
        <w:trPr>
          <w:trHeight w:val="256"/>
        </w:trPr>
        <w:tc>
          <w:tcPr>
            <w:tcW w:w="2960" w:type="dxa"/>
            <w:vAlign w:val="bottom"/>
          </w:tcPr>
          <w:p w14:paraId="476644D6" w14:textId="77777777" w:rsidR="00D1587D" w:rsidRDefault="00D1587D"/>
        </w:tc>
        <w:tc>
          <w:tcPr>
            <w:tcW w:w="1740" w:type="dxa"/>
            <w:vAlign w:val="bottom"/>
          </w:tcPr>
          <w:p w14:paraId="396B9B29" w14:textId="77777777" w:rsidR="00D1587D" w:rsidRDefault="00D1587D"/>
        </w:tc>
        <w:tc>
          <w:tcPr>
            <w:tcW w:w="1020" w:type="dxa"/>
            <w:vAlign w:val="bottom"/>
          </w:tcPr>
          <w:p w14:paraId="702C506E" w14:textId="77777777" w:rsidR="00D1587D" w:rsidRDefault="00D1587D"/>
        </w:tc>
        <w:tc>
          <w:tcPr>
            <w:tcW w:w="100" w:type="dxa"/>
            <w:vAlign w:val="bottom"/>
          </w:tcPr>
          <w:p w14:paraId="6F16724F" w14:textId="77777777" w:rsidR="00D1587D" w:rsidRDefault="00D1587D"/>
        </w:tc>
        <w:tc>
          <w:tcPr>
            <w:tcW w:w="620" w:type="dxa"/>
            <w:vAlign w:val="bottom"/>
          </w:tcPr>
          <w:p w14:paraId="4B2C45B2" w14:textId="77777777" w:rsidR="00D1587D" w:rsidRDefault="00D1587D"/>
        </w:tc>
        <w:tc>
          <w:tcPr>
            <w:tcW w:w="160" w:type="dxa"/>
            <w:vAlign w:val="bottom"/>
          </w:tcPr>
          <w:p w14:paraId="7C7AA762" w14:textId="77777777" w:rsidR="00D1587D" w:rsidRDefault="00D1587D"/>
        </w:tc>
        <w:tc>
          <w:tcPr>
            <w:tcW w:w="160" w:type="dxa"/>
            <w:vAlign w:val="bottom"/>
          </w:tcPr>
          <w:p w14:paraId="0874661F" w14:textId="77777777" w:rsidR="00D1587D" w:rsidRDefault="00D1587D"/>
        </w:tc>
        <w:tc>
          <w:tcPr>
            <w:tcW w:w="820" w:type="dxa"/>
            <w:vAlign w:val="bottom"/>
          </w:tcPr>
          <w:p w14:paraId="747E6F20" w14:textId="77777777" w:rsidR="00D1587D" w:rsidRDefault="00410D07">
            <w:pPr>
              <w:ind w:right="630"/>
              <w:jc w:val="right"/>
              <w:rPr>
                <w:sz w:val="20"/>
                <w:szCs w:val="20"/>
              </w:rPr>
            </w:pPr>
            <w:r>
              <w:rPr>
                <w:rFonts w:ascii="Arial" w:eastAsia="Arial" w:hAnsi="Arial" w:cs="Arial"/>
                <w:w w:val="79"/>
                <w:sz w:val="18"/>
                <w:szCs w:val="18"/>
              </w:rPr>
              <w:t>$</w:t>
            </w:r>
          </w:p>
        </w:tc>
        <w:tc>
          <w:tcPr>
            <w:tcW w:w="160" w:type="dxa"/>
            <w:vAlign w:val="bottom"/>
          </w:tcPr>
          <w:p w14:paraId="317A23D9" w14:textId="77777777" w:rsidR="00D1587D" w:rsidRDefault="00D1587D"/>
        </w:tc>
        <w:tc>
          <w:tcPr>
            <w:tcW w:w="240" w:type="dxa"/>
            <w:vAlign w:val="bottom"/>
          </w:tcPr>
          <w:p w14:paraId="35BE142C" w14:textId="77777777" w:rsidR="00D1587D" w:rsidRDefault="00D1587D"/>
        </w:tc>
        <w:tc>
          <w:tcPr>
            <w:tcW w:w="440" w:type="dxa"/>
            <w:vAlign w:val="bottom"/>
          </w:tcPr>
          <w:p w14:paraId="5818BBBE" w14:textId="77777777" w:rsidR="00D1587D" w:rsidRDefault="00D1587D"/>
        </w:tc>
      </w:tr>
      <w:tr w:rsidR="00D1587D" w14:paraId="5D1E763B" w14:textId="77777777">
        <w:trPr>
          <w:trHeight w:val="230"/>
        </w:trPr>
        <w:tc>
          <w:tcPr>
            <w:tcW w:w="2960" w:type="dxa"/>
            <w:vAlign w:val="bottom"/>
          </w:tcPr>
          <w:p w14:paraId="0E9FC3E8" w14:textId="77777777" w:rsidR="00D1587D" w:rsidRDefault="00410D07">
            <w:pPr>
              <w:ind w:left="180"/>
              <w:rPr>
                <w:sz w:val="20"/>
                <w:szCs w:val="20"/>
              </w:rPr>
            </w:pPr>
            <w:r>
              <w:rPr>
                <w:rFonts w:ascii="Arial" w:eastAsia="Arial" w:hAnsi="Arial" w:cs="Arial"/>
                <w:sz w:val="18"/>
                <w:szCs w:val="18"/>
              </w:rPr>
              <w:t>Accounts Payable</w:t>
            </w:r>
          </w:p>
        </w:tc>
        <w:tc>
          <w:tcPr>
            <w:tcW w:w="1740" w:type="dxa"/>
            <w:vAlign w:val="bottom"/>
          </w:tcPr>
          <w:p w14:paraId="222B60BE" w14:textId="77777777" w:rsidR="00D1587D" w:rsidRDefault="00D1587D">
            <w:pPr>
              <w:rPr>
                <w:sz w:val="20"/>
                <w:szCs w:val="20"/>
              </w:rPr>
            </w:pPr>
          </w:p>
        </w:tc>
        <w:tc>
          <w:tcPr>
            <w:tcW w:w="1740" w:type="dxa"/>
            <w:gridSpan w:val="3"/>
            <w:vAlign w:val="bottom"/>
          </w:tcPr>
          <w:p w14:paraId="752B1B1B" w14:textId="77777777" w:rsidR="00D1587D" w:rsidRDefault="00410D07">
            <w:pPr>
              <w:jc w:val="right"/>
              <w:rPr>
                <w:sz w:val="20"/>
                <w:szCs w:val="20"/>
              </w:rPr>
            </w:pPr>
            <w:r>
              <w:rPr>
                <w:rFonts w:ascii="Arial" w:eastAsia="Arial" w:hAnsi="Arial" w:cs="Arial"/>
                <w:sz w:val="18"/>
                <w:szCs w:val="18"/>
              </w:rPr>
              <w:t>$  366</w:t>
            </w:r>
          </w:p>
        </w:tc>
        <w:tc>
          <w:tcPr>
            <w:tcW w:w="160" w:type="dxa"/>
            <w:vAlign w:val="bottom"/>
          </w:tcPr>
          <w:p w14:paraId="11BBE2F5" w14:textId="77777777" w:rsidR="00D1587D" w:rsidRDefault="00D1587D">
            <w:pPr>
              <w:rPr>
                <w:sz w:val="20"/>
                <w:szCs w:val="20"/>
              </w:rPr>
            </w:pPr>
          </w:p>
        </w:tc>
        <w:tc>
          <w:tcPr>
            <w:tcW w:w="160" w:type="dxa"/>
            <w:vAlign w:val="bottom"/>
          </w:tcPr>
          <w:p w14:paraId="6FFE8620" w14:textId="77777777" w:rsidR="00D1587D" w:rsidRDefault="00D1587D">
            <w:pPr>
              <w:rPr>
                <w:sz w:val="20"/>
                <w:szCs w:val="20"/>
              </w:rPr>
            </w:pPr>
          </w:p>
        </w:tc>
        <w:tc>
          <w:tcPr>
            <w:tcW w:w="980" w:type="dxa"/>
            <w:gridSpan w:val="2"/>
            <w:vAlign w:val="bottom"/>
          </w:tcPr>
          <w:p w14:paraId="126C7183" w14:textId="77777777" w:rsidR="00D1587D" w:rsidRDefault="00410D07">
            <w:pPr>
              <w:ind w:right="160"/>
              <w:jc w:val="right"/>
              <w:rPr>
                <w:sz w:val="20"/>
                <w:szCs w:val="20"/>
              </w:rPr>
            </w:pPr>
            <w:r>
              <w:rPr>
                <w:rFonts w:ascii="Arial" w:eastAsia="Arial" w:hAnsi="Arial" w:cs="Arial"/>
                <w:sz w:val="18"/>
                <w:szCs w:val="18"/>
              </w:rPr>
              <w:t>—</w:t>
            </w:r>
          </w:p>
        </w:tc>
        <w:tc>
          <w:tcPr>
            <w:tcW w:w="240" w:type="dxa"/>
            <w:vAlign w:val="bottom"/>
          </w:tcPr>
          <w:p w14:paraId="654B7A0A" w14:textId="77777777" w:rsidR="00D1587D" w:rsidRDefault="00410D07">
            <w:pPr>
              <w:jc w:val="right"/>
              <w:rPr>
                <w:sz w:val="20"/>
                <w:szCs w:val="20"/>
              </w:rPr>
            </w:pPr>
            <w:r>
              <w:rPr>
                <w:rFonts w:ascii="Arial" w:eastAsia="Arial" w:hAnsi="Arial" w:cs="Arial"/>
                <w:sz w:val="18"/>
                <w:szCs w:val="18"/>
              </w:rPr>
              <w:t>$</w:t>
            </w:r>
          </w:p>
        </w:tc>
        <w:tc>
          <w:tcPr>
            <w:tcW w:w="440" w:type="dxa"/>
            <w:vAlign w:val="bottom"/>
          </w:tcPr>
          <w:p w14:paraId="1B95CE77" w14:textId="77777777" w:rsidR="00D1587D" w:rsidRDefault="00410D07">
            <w:pPr>
              <w:jc w:val="right"/>
              <w:rPr>
                <w:sz w:val="20"/>
                <w:szCs w:val="20"/>
              </w:rPr>
            </w:pPr>
            <w:r>
              <w:rPr>
                <w:rFonts w:ascii="Arial" w:eastAsia="Arial" w:hAnsi="Arial" w:cs="Arial"/>
                <w:sz w:val="18"/>
                <w:szCs w:val="18"/>
              </w:rPr>
              <w:t>366</w:t>
            </w:r>
          </w:p>
        </w:tc>
      </w:tr>
      <w:tr w:rsidR="00D1587D" w14:paraId="61A3013F" w14:textId="77777777">
        <w:trPr>
          <w:trHeight w:val="54"/>
        </w:trPr>
        <w:tc>
          <w:tcPr>
            <w:tcW w:w="2960" w:type="dxa"/>
            <w:vAlign w:val="bottom"/>
          </w:tcPr>
          <w:p w14:paraId="74AAAED1" w14:textId="77777777" w:rsidR="00D1587D" w:rsidRDefault="00D1587D">
            <w:pPr>
              <w:rPr>
                <w:sz w:val="4"/>
                <w:szCs w:val="4"/>
              </w:rPr>
            </w:pPr>
          </w:p>
        </w:tc>
        <w:tc>
          <w:tcPr>
            <w:tcW w:w="1740" w:type="dxa"/>
            <w:vAlign w:val="bottom"/>
          </w:tcPr>
          <w:p w14:paraId="53016BA8" w14:textId="77777777" w:rsidR="00D1587D" w:rsidRDefault="00D1587D">
            <w:pPr>
              <w:rPr>
                <w:sz w:val="4"/>
                <w:szCs w:val="4"/>
              </w:rPr>
            </w:pPr>
          </w:p>
        </w:tc>
        <w:tc>
          <w:tcPr>
            <w:tcW w:w="1020" w:type="dxa"/>
            <w:vAlign w:val="bottom"/>
          </w:tcPr>
          <w:p w14:paraId="788BDCE0" w14:textId="77777777" w:rsidR="00D1587D" w:rsidRDefault="00D1587D">
            <w:pPr>
              <w:rPr>
                <w:sz w:val="4"/>
                <w:szCs w:val="4"/>
              </w:rPr>
            </w:pPr>
          </w:p>
        </w:tc>
        <w:tc>
          <w:tcPr>
            <w:tcW w:w="100" w:type="dxa"/>
            <w:vAlign w:val="bottom"/>
          </w:tcPr>
          <w:p w14:paraId="28A57D34" w14:textId="77777777" w:rsidR="00D1587D" w:rsidRDefault="00D1587D">
            <w:pPr>
              <w:rPr>
                <w:sz w:val="4"/>
                <w:szCs w:val="4"/>
              </w:rPr>
            </w:pPr>
          </w:p>
        </w:tc>
        <w:tc>
          <w:tcPr>
            <w:tcW w:w="620" w:type="dxa"/>
            <w:vAlign w:val="bottom"/>
          </w:tcPr>
          <w:p w14:paraId="6FC1093B" w14:textId="77777777" w:rsidR="00D1587D" w:rsidRDefault="00D1587D">
            <w:pPr>
              <w:rPr>
                <w:sz w:val="4"/>
                <w:szCs w:val="4"/>
              </w:rPr>
            </w:pPr>
          </w:p>
        </w:tc>
        <w:tc>
          <w:tcPr>
            <w:tcW w:w="160" w:type="dxa"/>
            <w:vAlign w:val="bottom"/>
          </w:tcPr>
          <w:p w14:paraId="5B8C185D" w14:textId="77777777" w:rsidR="00D1587D" w:rsidRDefault="00D1587D">
            <w:pPr>
              <w:rPr>
                <w:sz w:val="4"/>
                <w:szCs w:val="4"/>
              </w:rPr>
            </w:pPr>
          </w:p>
        </w:tc>
        <w:tc>
          <w:tcPr>
            <w:tcW w:w="160" w:type="dxa"/>
            <w:vAlign w:val="bottom"/>
          </w:tcPr>
          <w:p w14:paraId="288F9269" w14:textId="77777777" w:rsidR="00D1587D" w:rsidRDefault="00D1587D">
            <w:pPr>
              <w:rPr>
                <w:sz w:val="4"/>
                <w:szCs w:val="4"/>
              </w:rPr>
            </w:pPr>
          </w:p>
        </w:tc>
        <w:tc>
          <w:tcPr>
            <w:tcW w:w="820" w:type="dxa"/>
            <w:vAlign w:val="bottom"/>
          </w:tcPr>
          <w:p w14:paraId="26F08BD4" w14:textId="77777777" w:rsidR="00D1587D" w:rsidRDefault="00D1587D">
            <w:pPr>
              <w:rPr>
                <w:sz w:val="4"/>
                <w:szCs w:val="4"/>
              </w:rPr>
            </w:pPr>
          </w:p>
        </w:tc>
        <w:tc>
          <w:tcPr>
            <w:tcW w:w="160" w:type="dxa"/>
            <w:vAlign w:val="bottom"/>
          </w:tcPr>
          <w:p w14:paraId="75311B01" w14:textId="77777777" w:rsidR="00D1587D" w:rsidRDefault="00D1587D">
            <w:pPr>
              <w:rPr>
                <w:sz w:val="4"/>
                <w:szCs w:val="4"/>
              </w:rPr>
            </w:pPr>
          </w:p>
        </w:tc>
        <w:tc>
          <w:tcPr>
            <w:tcW w:w="240" w:type="dxa"/>
            <w:vAlign w:val="bottom"/>
          </w:tcPr>
          <w:p w14:paraId="77E5F124" w14:textId="77777777" w:rsidR="00D1587D" w:rsidRDefault="00D1587D">
            <w:pPr>
              <w:rPr>
                <w:sz w:val="4"/>
                <w:szCs w:val="4"/>
              </w:rPr>
            </w:pPr>
          </w:p>
        </w:tc>
        <w:tc>
          <w:tcPr>
            <w:tcW w:w="440" w:type="dxa"/>
            <w:vAlign w:val="bottom"/>
          </w:tcPr>
          <w:p w14:paraId="4B60F4FA" w14:textId="77777777" w:rsidR="00D1587D" w:rsidRDefault="00D1587D">
            <w:pPr>
              <w:rPr>
                <w:sz w:val="4"/>
                <w:szCs w:val="4"/>
              </w:rPr>
            </w:pPr>
          </w:p>
        </w:tc>
      </w:tr>
      <w:tr w:rsidR="00D1587D" w14:paraId="788895C7" w14:textId="77777777">
        <w:trPr>
          <w:trHeight w:val="304"/>
        </w:trPr>
        <w:tc>
          <w:tcPr>
            <w:tcW w:w="2960" w:type="dxa"/>
            <w:tcBorders>
              <w:bottom w:val="single" w:sz="8" w:space="0" w:color="CCEEFF"/>
            </w:tcBorders>
            <w:shd w:val="clear" w:color="auto" w:fill="CCEEFF"/>
            <w:vAlign w:val="bottom"/>
          </w:tcPr>
          <w:p w14:paraId="4573B357" w14:textId="77777777" w:rsidR="00D1587D" w:rsidRDefault="00410D07">
            <w:pPr>
              <w:ind w:left="180"/>
              <w:rPr>
                <w:sz w:val="20"/>
                <w:szCs w:val="20"/>
              </w:rPr>
            </w:pPr>
            <w:r>
              <w:rPr>
                <w:rFonts w:ascii="Arial" w:eastAsia="Arial" w:hAnsi="Arial" w:cs="Arial"/>
                <w:sz w:val="18"/>
                <w:szCs w:val="18"/>
              </w:rPr>
              <w:t>Accrued Expenses and Other</w:t>
            </w:r>
          </w:p>
        </w:tc>
        <w:tc>
          <w:tcPr>
            <w:tcW w:w="1740" w:type="dxa"/>
            <w:tcBorders>
              <w:bottom w:val="single" w:sz="8" w:space="0" w:color="CCEEFF"/>
            </w:tcBorders>
            <w:shd w:val="clear" w:color="auto" w:fill="CCEEFF"/>
            <w:vAlign w:val="bottom"/>
          </w:tcPr>
          <w:p w14:paraId="02B3E833"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4ADFACF7" w14:textId="77777777" w:rsidR="00D1587D" w:rsidRDefault="00410D07">
            <w:pPr>
              <w:jc w:val="right"/>
              <w:rPr>
                <w:sz w:val="20"/>
                <w:szCs w:val="20"/>
              </w:rPr>
            </w:pPr>
            <w:r>
              <w:rPr>
                <w:rFonts w:ascii="Arial" w:eastAsia="Arial" w:hAnsi="Arial" w:cs="Arial"/>
                <w:sz w:val="18"/>
                <w:szCs w:val="18"/>
              </w:rPr>
              <w:t>688</w:t>
            </w:r>
          </w:p>
        </w:tc>
        <w:tc>
          <w:tcPr>
            <w:tcW w:w="160" w:type="dxa"/>
            <w:tcBorders>
              <w:bottom w:val="single" w:sz="8" w:space="0" w:color="CCEEFF"/>
            </w:tcBorders>
            <w:shd w:val="clear" w:color="auto" w:fill="CCEEFF"/>
            <w:vAlign w:val="bottom"/>
          </w:tcPr>
          <w:p w14:paraId="01FB61AB" w14:textId="77777777" w:rsidR="00D1587D" w:rsidRDefault="00D1587D">
            <w:pPr>
              <w:rPr>
                <w:sz w:val="24"/>
                <w:szCs w:val="24"/>
              </w:rPr>
            </w:pPr>
          </w:p>
        </w:tc>
        <w:tc>
          <w:tcPr>
            <w:tcW w:w="160" w:type="dxa"/>
            <w:tcBorders>
              <w:bottom w:val="single" w:sz="8" w:space="0" w:color="CCEEFF"/>
            </w:tcBorders>
            <w:shd w:val="clear" w:color="auto" w:fill="CCEEFF"/>
            <w:vAlign w:val="bottom"/>
          </w:tcPr>
          <w:p w14:paraId="23DE90C0"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2C63CF00" w14:textId="77777777" w:rsidR="00D1587D" w:rsidRDefault="00410D07">
            <w:pPr>
              <w:ind w:right="160"/>
              <w:jc w:val="right"/>
              <w:rPr>
                <w:sz w:val="20"/>
                <w:szCs w:val="20"/>
              </w:rPr>
            </w:pPr>
            <w:r>
              <w:rPr>
                <w:rFonts w:ascii="Arial" w:eastAsia="Arial" w:hAnsi="Arial" w:cs="Arial"/>
                <w:sz w:val="18"/>
                <w:szCs w:val="18"/>
              </w:rPr>
              <w:t>—</w:t>
            </w:r>
          </w:p>
        </w:tc>
        <w:tc>
          <w:tcPr>
            <w:tcW w:w="240" w:type="dxa"/>
            <w:tcBorders>
              <w:bottom w:val="single" w:sz="8" w:space="0" w:color="CCEEFF"/>
            </w:tcBorders>
            <w:shd w:val="clear" w:color="auto" w:fill="CCEEFF"/>
            <w:vAlign w:val="bottom"/>
          </w:tcPr>
          <w:p w14:paraId="0C08F4CA" w14:textId="77777777" w:rsidR="00D1587D" w:rsidRDefault="00D1587D">
            <w:pPr>
              <w:rPr>
                <w:sz w:val="24"/>
                <w:szCs w:val="24"/>
              </w:rPr>
            </w:pPr>
          </w:p>
        </w:tc>
        <w:tc>
          <w:tcPr>
            <w:tcW w:w="440" w:type="dxa"/>
            <w:tcBorders>
              <w:bottom w:val="single" w:sz="8" w:space="0" w:color="CCEEFF"/>
            </w:tcBorders>
            <w:shd w:val="clear" w:color="auto" w:fill="CCEEFF"/>
            <w:vAlign w:val="bottom"/>
          </w:tcPr>
          <w:p w14:paraId="4EA3AF4A" w14:textId="77777777" w:rsidR="00D1587D" w:rsidRDefault="00410D07">
            <w:pPr>
              <w:ind w:right="10"/>
              <w:jc w:val="right"/>
              <w:rPr>
                <w:sz w:val="20"/>
                <w:szCs w:val="20"/>
              </w:rPr>
            </w:pPr>
            <w:r>
              <w:rPr>
                <w:rFonts w:ascii="Arial" w:eastAsia="Arial" w:hAnsi="Arial" w:cs="Arial"/>
                <w:sz w:val="18"/>
                <w:szCs w:val="18"/>
              </w:rPr>
              <w:t>688</w:t>
            </w:r>
          </w:p>
        </w:tc>
      </w:tr>
      <w:tr w:rsidR="00D1587D" w14:paraId="59772F51" w14:textId="77777777">
        <w:trPr>
          <w:trHeight w:val="270"/>
        </w:trPr>
        <w:tc>
          <w:tcPr>
            <w:tcW w:w="2960" w:type="dxa"/>
            <w:vAlign w:val="bottom"/>
          </w:tcPr>
          <w:p w14:paraId="2AE6E2B7" w14:textId="77777777" w:rsidR="00D1587D" w:rsidRDefault="00410D07">
            <w:pPr>
              <w:ind w:left="180"/>
              <w:rPr>
                <w:sz w:val="20"/>
                <w:szCs w:val="20"/>
              </w:rPr>
            </w:pPr>
            <w:r>
              <w:rPr>
                <w:rFonts w:ascii="Arial" w:eastAsia="Arial" w:hAnsi="Arial" w:cs="Arial"/>
                <w:w w:val="99"/>
                <w:sz w:val="18"/>
                <w:szCs w:val="18"/>
              </w:rPr>
              <w:t xml:space="preserve">Current Operating Lease </w:t>
            </w:r>
            <w:r>
              <w:rPr>
                <w:rFonts w:ascii="Arial" w:eastAsia="Arial" w:hAnsi="Arial" w:cs="Arial"/>
                <w:w w:val="99"/>
                <w:sz w:val="18"/>
                <w:szCs w:val="18"/>
              </w:rPr>
              <w:t>Liabilities</w:t>
            </w:r>
          </w:p>
        </w:tc>
        <w:tc>
          <w:tcPr>
            <w:tcW w:w="1740" w:type="dxa"/>
            <w:vAlign w:val="bottom"/>
          </w:tcPr>
          <w:p w14:paraId="76943DD9" w14:textId="77777777" w:rsidR="00D1587D" w:rsidRDefault="00D1587D">
            <w:pPr>
              <w:rPr>
                <w:sz w:val="23"/>
                <w:szCs w:val="23"/>
              </w:rPr>
            </w:pPr>
          </w:p>
        </w:tc>
        <w:tc>
          <w:tcPr>
            <w:tcW w:w="1740" w:type="dxa"/>
            <w:gridSpan w:val="3"/>
            <w:vAlign w:val="bottom"/>
          </w:tcPr>
          <w:p w14:paraId="3015B6F4" w14:textId="77777777" w:rsidR="00D1587D" w:rsidRDefault="00410D07">
            <w:pPr>
              <w:jc w:val="right"/>
              <w:rPr>
                <w:sz w:val="20"/>
                <w:szCs w:val="20"/>
              </w:rPr>
            </w:pPr>
            <w:r>
              <w:rPr>
                <w:rFonts w:ascii="Arial" w:eastAsia="Arial" w:hAnsi="Arial" w:cs="Arial"/>
                <w:sz w:val="18"/>
                <w:szCs w:val="18"/>
              </w:rPr>
              <w:t>356</w:t>
            </w:r>
          </w:p>
        </w:tc>
        <w:tc>
          <w:tcPr>
            <w:tcW w:w="160" w:type="dxa"/>
            <w:vAlign w:val="bottom"/>
          </w:tcPr>
          <w:p w14:paraId="4C1871B3" w14:textId="77777777" w:rsidR="00D1587D" w:rsidRDefault="00D1587D">
            <w:pPr>
              <w:rPr>
                <w:sz w:val="23"/>
                <w:szCs w:val="23"/>
              </w:rPr>
            </w:pPr>
          </w:p>
        </w:tc>
        <w:tc>
          <w:tcPr>
            <w:tcW w:w="160" w:type="dxa"/>
            <w:vAlign w:val="bottom"/>
          </w:tcPr>
          <w:p w14:paraId="60CECFAB" w14:textId="77777777" w:rsidR="00D1587D" w:rsidRDefault="00D1587D">
            <w:pPr>
              <w:rPr>
                <w:sz w:val="23"/>
                <w:szCs w:val="23"/>
              </w:rPr>
            </w:pPr>
          </w:p>
        </w:tc>
        <w:tc>
          <w:tcPr>
            <w:tcW w:w="980" w:type="dxa"/>
            <w:gridSpan w:val="2"/>
            <w:vAlign w:val="bottom"/>
          </w:tcPr>
          <w:p w14:paraId="7901C5AF" w14:textId="77777777" w:rsidR="00D1587D" w:rsidRDefault="00410D07">
            <w:pPr>
              <w:ind w:right="160"/>
              <w:jc w:val="right"/>
              <w:rPr>
                <w:sz w:val="20"/>
                <w:szCs w:val="20"/>
              </w:rPr>
            </w:pPr>
            <w:r>
              <w:rPr>
                <w:rFonts w:ascii="Arial" w:eastAsia="Arial" w:hAnsi="Arial" w:cs="Arial"/>
                <w:sz w:val="18"/>
                <w:szCs w:val="18"/>
              </w:rPr>
              <w:t>—</w:t>
            </w:r>
          </w:p>
        </w:tc>
        <w:tc>
          <w:tcPr>
            <w:tcW w:w="240" w:type="dxa"/>
            <w:vAlign w:val="bottom"/>
          </w:tcPr>
          <w:p w14:paraId="5409C05C" w14:textId="77777777" w:rsidR="00D1587D" w:rsidRDefault="00D1587D">
            <w:pPr>
              <w:rPr>
                <w:sz w:val="23"/>
                <w:szCs w:val="23"/>
              </w:rPr>
            </w:pPr>
          </w:p>
        </w:tc>
        <w:tc>
          <w:tcPr>
            <w:tcW w:w="440" w:type="dxa"/>
            <w:vAlign w:val="bottom"/>
          </w:tcPr>
          <w:p w14:paraId="152577F2" w14:textId="77777777" w:rsidR="00D1587D" w:rsidRDefault="00410D07">
            <w:pPr>
              <w:ind w:right="10"/>
              <w:jc w:val="right"/>
              <w:rPr>
                <w:sz w:val="20"/>
                <w:szCs w:val="20"/>
              </w:rPr>
            </w:pPr>
            <w:r>
              <w:rPr>
                <w:rFonts w:ascii="Arial" w:eastAsia="Arial" w:hAnsi="Arial" w:cs="Arial"/>
                <w:sz w:val="18"/>
                <w:szCs w:val="18"/>
              </w:rPr>
              <w:t>356</w:t>
            </w:r>
          </w:p>
        </w:tc>
      </w:tr>
      <w:tr w:rsidR="00D1587D" w14:paraId="3AD3045D" w14:textId="77777777">
        <w:trPr>
          <w:trHeight w:val="54"/>
        </w:trPr>
        <w:tc>
          <w:tcPr>
            <w:tcW w:w="2960" w:type="dxa"/>
            <w:vAlign w:val="bottom"/>
          </w:tcPr>
          <w:p w14:paraId="4C5F1D4D" w14:textId="77777777" w:rsidR="00D1587D" w:rsidRDefault="00D1587D">
            <w:pPr>
              <w:rPr>
                <w:sz w:val="4"/>
                <w:szCs w:val="4"/>
              </w:rPr>
            </w:pPr>
          </w:p>
        </w:tc>
        <w:tc>
          <w:tcPr>
            <w:tcW w:w="1740" w:type="dxa"/>
            <w:vAlign w:val="bottom"/>
          </w:tcPr>
          <w:p w14:paraId="77F3FBDF" w14:textId="77777777" w:rsidR="00D1587D" w:rsidRDefault="00D1587D">
            <w:pPr>
              <w:rPr>
                <w:sz w:val="4"/>
                <w:szCs w:val="4"/>
              </w:rPr>
            </w:pPr>
          </w:p>
        </w:tc>
        <w:tc>
          <w:tcPr>
            <w:tcW w:w="1020" w:type="dxa"/>
            <w:vAlign w:val="bottom"/>
          </w:tcPr>
          <w:p w14:paraId="66127F3D" w14:textId="77777777" w:rsidR="00D1587D" w:rsidRDefault="00D1587D">
            <w:pPr>
              <w:rPr>
                <w:sz w:val="4"/>
                <w:szCs w:val="4"/>
              </w:rPr>
            </w:pPr>
          </w:p>
        </w:tc>
        <w:tc>
          <w:tcPr>
            <w:tcW w:w="100" w:type="dxa"/>
            <w:vAlign w:val="bottom"/>
          </w:tcPr>
          <w:p w14:paraId="6EA83048" w14:textId="77777777" w:rsidR="00D1587D" w:rsidRDefault="00D1587D">
            <w:pPr>
              <w:rPr>
                <w:sz w:val="4"/>
                <w:szCs w:val="4"/>
              </w:rPr>
            </w:pPr>
          </w:p>
        </w:tc>
        <w:tc>
          <w:tcPr>
            <w:tcW w:w="620" w:type="dxa"/>
            <w:vAlign w:val="bottom"/>
          </w:tcPr>
          <w:p w14:paraId="4551344A" w14:textId="77777777" w:rsidR="00D1587D" w:rsidRDefault="00D1587D">
            <w:pPr>
              <w:rPr>
                <w:sz w:val="4"/>
                <w:szCs w:val="4"/>
              </w:rPr>
            </w:pPr>
          </w:p>
        </w:tc>
        <w:tc>
          <w:tcPr>
            <w:tcW w:w="160" w:type="dxa"/>
            <w:vAlign w:val="bottom"/>
          </w:tcPr>
          <w:p w14:paraId="574FD7B8" w14:textId="77777777" w:rsidR="00D1587D" w:rsidRDefault="00D1587D">
            <w:pPr>
              <w:rPr>
                <w:sz w:val="4"/>
                <w:szCs w:val="4"/>
              </w:rPr>
            </w:pPr>
          </w:p>
        </w:tc>
        <w:tc>
          <w:tcPr>
            <w:tcW w:w="160" w:type="dxa"/>
            <w:vAlign w:val="bottom"/>
          </w:tcPr>
          <w:p w14:paraId="2D1389B5" w14:textId="77777777" w:rsidR="00D1587D" w:rsidRDefault="00D1587D">
            <w:pPr>
              <w:rPr>
                <w:sz w:val="4"/>
                <w:szCs w:val="4"/>
              </w:rPr>
            </w:pPr>
          </w:p>
        </w:tc>
        <w:tc>
          <w:tcPr>
            <w:tcW w:w="820" w:type="dxa"/>
            <w:vAlign w:val="bottom"/>
          </w:tcPr>
          <w:p w14:paraId="6196B2C1" w14:textId="77777777" w:rsidR="00D1587D" w:rsidRDefault="00D1587D">
            <w:pPr>
              <w:rPr>
                <w:sz w:val="4"/>
                <w:szCs w:val="4"/>
              </w:rPr>
            </w:pPr>
          </w:p>
        </w:tc>
        <w:tc>
          <w:tcPr>
            <w:tcW w:w="160" w:type="dxa"/>
            <w:vAlign w:val="bottom"/>
          </w:tcPr>
          <w:p w14:paraId="6D547352" w14:textId="77777777" w:rsidR="00D1587D" w:rsidRDefault="00D1587D">
            <w:pPr>
              <w:rPr>
                <w:sz w:val="4"/>
                <w:szCs w:val="4"/>
              </w:rPr>
            </w:pPr>
          </w:p>
        </w:tc>
        <w:tc>
          <w:tcPr>
            <w:tcW w:w="240" w:type="dxa"/>
            <w:vAlign w:val="bottom"/>
          </w:tcPr>
          <w:p w14:paraId="5BD90F7E" w14:textId="77777777" w:rsidR="00D1587D" w:rsidRDefault="00D1587D">
            <w:pPr>
              <w:rPr>
                <w:sz w:val="4"/>
                <w:szCs w:val="4"/>
              </w:rPr>
            </w:pPr>
          </w:p>
        </w:tc>
        <w:tc>
          <w:tcPr>
            <w:tcW w:w="440" w:type="dxa"/>
            <w:vAlign w:val="bottom"/>
          </w:tcPr>
          <w:p w14:paraId="3134349C" w14:textId="77777777" w:rsidR="00D1587D" w:rsidRDefault="00D1587D">
            <w:pPr>
              <w:rPr>
                <w:sz w:val="4"/>
                <w:szCs w:val="4"/>
              </w:rPr>
            </w:pPr>
          </w:p>
        </w:tc>
      </w:tr>
      <w:tr w:rsidR="00D1587D" w14:paraId="3B8D40B9" w14:textId="77777777">
        <w:trPr>
          <w:trHeight w:val="304"/>
        </w:trPr>
        <w:tc>
          <w:tcPr>
            <w:tcW w:w="2960" w:type="dxa"/>
            <w:tcBorders>
              <w:bottom w:val="single" w:sz="8" w:space="0" w:color="CCEEFF"/>
            </w:tcBorders>
            <w:shd w:val="clear" w:color="auto" w:fill="CCEEFF"/>
            <w:vAlign w:val="bottom"/>
          </w:tcPr>
          <w:p w14:paraId="4C5B2665" w14:textId="77777777" w:rsidR="00D1587D" w:rsidRDefault="00410D07">
            <w:pPr>
              <w:ind w:left="180"/>
              <w:rPr>
                <w:sz w:val="20"/>
                <w:szCs w:val="20"/>
              </w:rPr>
            </w:pPr>
            <w:r>
              <w:rPr>
                <w:rFonts w:ascii="Arial" w:eastAsia="Arial" w:hAnsi="Arial" w:cs="Arial"/>
                <w:sz w:val="18"/>
                <w:szCs w:val="18"/>
              </w:rPr>
              <w:t>Income Taxes Payable</w:t>
            </w:r>
          </w:p>
        </w:tc>
        <w:tc>
          <w:tcPr>
            <w:tcW w:w="1740" w:type="dxa"/>
            <w:tcBorders>
              <w:bottom w:val="single" w:sz="8" w:space="0" w:color="CCEEFF"/>
            </w:tcBorders>
            <w:shd w:val="clear" w:color="auto" w:fill="CCEEFF"/>
            <w:vAlign w:val="bottom"/>
          </w:tcPr>
          <w:p w14:paraId="5FDCDCE3"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3712D565" w14:textId="77777777" w:rsidR="00D1587D" w:rsidRDefault="00410D07">
            <w:pPr>
              <w:jc w:val="right"/>
              <w:rPr>
                <w:sz w:val="20"/>
                <w:szCs w:val="20"/>
              </w:rPr>
            </w:pPr>
            <w:r>
              <w:rPr>
                <w:rFonts w:ascii="Arial" w:eastAsia="Arial" w:hAnsi="Arial" w:cs="Arial"/>
                <w:sz w:val="18"/>
                <w:szCs w:val="18"/>
              </w:rPr>
              <w:t>29</w:t>
            </w:r>
          </w:p>
        </w:tc>
        <w:tc>
          <w:tcPr>
            <w:tcW w:w="160" w:type="dxa"/>
            <w:tcBorders>
              <w:bottom w:val="single" w:sz="8" w:space="0" w:color="CCEEFF"/>
            </w:tcBorders>
            <w:shd w:val="clear" w:color="auto" w:fill="CCEEFF"/>
            <w:vAlign w:val="bottom"/>
          </w:tcPr>
          <w:p w14:paraId="689150DE" w14:textId="77777777" w:rsidR="00D1587D" w:rsidRDefault="00D1587D">
            <w:pPr>
              <w:rPr>
                <w:sz w:val="24"/>
                <w:szCs w:val="24"/>
              </w:rPr>
            </w:pPr>
          </w:p>
        </w:tc>
        <w:tc>
          <w:tcPr>
            <w:tcW w:w="160" w:type="dxa"/>
            <w:tcBorders>
              <w:bottom w:val="single" w:sz="8" w:space="0" w:color="CCEEFF"/>
            </w:tcBorders>
            <w:shd w:val="clear" w:color="auto" w:fill="CCEEFF"/>
            <w:vAlign w:val="bottom"/>
          </w:tcPr>
          <w:p w14:paraId="29D831F0"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66007D22" w14:textId="77777777" w:rsidR="00D1587D" w:rsidRDefault="00410D07">
            <w:pPr>
              <w:ind w:right="160"/>
              <w:jc w:val="right"/>
              <w:rPr>
                <w:sz w:val="20"/>
                <w:szCs w:val="20"/>
              </w:rPr>
            </w:pPr>
            <w:r>
              <w:rPr>
                <w:rFonts w:ascii="Arial" w:eastAsia="Arial" w:hAnsi="Arial" w:cs="Arial"/>
                <w:sz w:val="18"/>
                <w:szCs w:val="18"/>
              </w:rPr>
              <w:t>(7)(c)</w:t>
            </w:r>
          </w:p>
        </w:tc>
        <w:tc>
          <w:tcPr>
            <w:tcW w:w="240" w:type="dxa"/>
            <w:tcBorders>
              <w:bottom w:val="single" w:sz="8" w:space="0" w:color="CCEEFF"/>
            </w:tcBorders>
            <w:shd w:val="clear" w:color="auto" w:fill="CCEEFF"/>
            <w:vAlign w:val="bottom"/>
          </w:tcPr>
          <w:p w14:paraId="3BCD5CFD" w14:textId="77777777" w:rsidR="00D1587D" w:rsidRDefault="00D1587D">
            <w:pPr>
              <w:rPr>
                <w:sz w:val="24"/>
                <w:szCs w:val="24"/>
              </w:rPr>
            </w:pPr>
          </w:p>
        </w:tc>
        <w:tc>
          <w:tcPr>
            <w:tcW w:w="440" w:type="dxa"/>
            <w:tcBorders>
              <w:bottom w:val="single" w:sz="8" w:space="0" w:color="CCEEFF"/>
            </w:tcBorders>
            <w:shd w:val="clear" w:color="auto" w:fill="CCEEFF"/>
            <w:vAlign w:val="bottom"/>
          </w:tcPr>
          <w:p w14:paraId="5075355E" w14:textId="77777777" w:rsidR="00D1587D" w:rsidRDefault="00410D07">
            <w:pPr>
              <w:ind w:right="10"/>
              <w:jc w:val="right"/>
              <w:rPr>
                <w:sz w:val="20"/>
                <w:szCs w:val="20"/>
              </w:rPr>
            </w:pPr>
            <w:r>
              <w:rPr>
                <w:rFonts w:ascii="Arial" w:eastAsia="Arial" w:hAnsi="Arial" w:cs="Arial"/>
                <w:sz w:val="18"/>
                <w:szCs w:val="18"/>
              </w:rPr>
              <w:t>22</w:t>
            </w:r>
          </w:p>
        </w:tc>
      </w:tr>
      <w:tr w:rsidR="00D1587D" w14:paraId="2F12340C" w14:textId="77777777">
        <w:trPr>
          <w:trHeight w:val="270"/>
        </w:trPr>
        <w:tc>
          <w:tcPr>
            <w:tcW w:w="2960" w:type="dxa"/>
            <w:vAlign w:val="bottom"/>
          </w:tcPr>
          <w:p w14:paraId="34F8D06D" w14:textId="77777777" w:rsidR="00D1587D" w:rsidRDefault="00410D07">
            <w:pPr>
              <w:ind w:left="180"/>
              <w:rPr>
                <w:sz w:val="20"/>
                <w:szCs w:val="20"/>
              </w:rPr>
            </w:pPr>
            <w:r>
              <w:rPr>
                <w:rFonts w:ascii="Arial" w:eastAsia="Arial" w:hAnsi="Arial" w:cs="Arial"/>
                <w:sz w:val="18"/>
                <w:szCs w:val="18"/>
              </w:rPr>
              <w:t>Due to Related Parties</w:t>
            </w:r>
          </w:p>
        </w:tc>
        <w:tc>
          <w:tcPr>
            <w:tcW w:w="1740" w:type="dxa"/>
            <w:vAlign w:val="bottom"/>
          </w:tcPr>
          <w:p w14:paraId="4860A98F" w14:textId="77777777" w:rsidR="00D1587D" w:rsidRDefault="00D1587D">
            <w:pPr>
              <w:rPr>
                <w:sz w:val="23"/>
                <w:szCs w:val="23"/>
              </w:rPr>
            </w:pPr>
          </w:p>
        </w:tc>
        <w:tc>
          <w:tcPr>
            <w:tcW w:w="1740" w:type="dxa"/>
            <w:gridSpan w:val="3"/>
            <w:vAlign w:val="bottom"/>
          </w:tcPr>
          <w:p w14:paraId="3F55A31F" w14:textId="77777777" w:rsidR="00D1587D" w:rsidRDefault="00410D07">
            <w:pPr>
              <w:jc w:val="right"/>
              <w:rPr>
                <w:sz w:val="20"/>
                <w:szCs w:val="20"/>
              </w:rPr>
            </w:pPr>
            <w:r>
              <w:rPr>
                <w:rFonts w:ascii="Arial" w:eastAsia="Arial" w:hAnsi="Arial" w:cs="Arial"/>
                <w:sz w:val="18"/>
                <w:szCs w:val="18"/>
              </w:rPr>
              <w:t>5</w:t>
            </w:r>
          </w:p>
        </w:tc>
        <w:tc>
          <w:tcPr>
            <w:tcW w:w="160" w:type="dxa"/>
            <w:vAlign w:val="bottom"/>
          </w:tcPr>
          <w:p w14:paraId="535FC3BD" w14:textId="77777777" w:rsidR="00D1587D" w:rsidRDefault="00D1587D">
            <w:pPr>
              <w:rPr>
                <w:sz w:val="23"/>
                <w:szCs w:val="23"/>
              </w:rPr>
            </w:pPr>
          </w:p>
        </w:tc>
        <w:tc>
          <w:tcPr>
            <w:tcW w:w="160" w:type="dxa"/>
            <w:vAlign w:val="bottom"/>
          </w:tcPr>
          <w:p w14:paraId="1BE4FD95" w14:textId="77777777" w:rsidR="00D1587D" w:rsidRDefault="00D1587D">
            <w:pPr>
              <w:rPr>
                <w:sz w:val="23"/>
                <w:szCs w:val="23"/>
              </w:rPr>
            </w:pPr>
          </w:p>
        </w:tc>
        <w:tc>
          <w:tcPr>
            <w:tcW w:w="980" w:type="dxa"/>
            <w:gridSpan w:val="2"/>
            <w:vAlign w:val="bottom"/>
          </w:tcPr>
          <w:p w14:paraId="3AE10164" w14:textId="77777777" w:rsidR="00D1587D" w:rsidRDefault="00410D07">
            <w:pPr>
              <w:ind w:right="160"/>
              <w:jc w:val="right"/>
              <w:rPr>
                <w:sz w:val="20"/>
                <w:szCs w:val="20"/>
              </w:rPr>
            </w:pPr>
            <w:r>
              <w:rPr>
                <w:rFonts w:ascii="Arial" w:eastAsia="Arial" w:hAnsi="Arial" w:cs="Arial"/>
                <w:sz w:val="18"/>
                <w:szCs w:val="18"/>
              </w:rPr>
              <w:t>(1)(b)</w:t>
            </w:r>
          </w:p>
        </w:tc>
        <w:tc>
          <w:tcPr>
            <w:tcW w:w="240" w:type="dxa"/>
            <w:vAlign w:val="bottom"/>
          </w:tcPr>
          <w:p w14:paraId="64FF1F02" w14:textId="77777777" w:rsidR="00D1587D" w:rsidRDefault="00D1587D">
            <w:pPr>
              <w:rPr>
                <w:sz w:val="23"/>
                <w:szCs w:val="23"/>
              </w:rPr>
            </w:pPr>
          </w:p>
        </w:tc>
        <w:tc>
          <w:tcPr>
            <w:tcW w:w="440" w:type="dxa"/>
            <w:vAlign w:val="bottom"/>
          </w:tcPr>
          <w:p w14:paraId="2A558D15" w14:textId="77777777" w:rsidR="00D1587D" w:rsidRDefault="00410D07">
            <w:pPr>
              <w:jc w:val="right"/>
              <w:rPr>
                <w:sz w:val="20"/>
                <w:szCs w:val="20"/>
              </w:rPr>
            </w:pPr>
            <w:r>
              <w:rPr>
                <w:rFonts w:ascii="Arial" w:eastAsia="Arial" w:hAnsi="Arial" w:cs="Arial"/>
                <w:sz w:val="18"/>
                <w:szCs w:val="18"/>
              </w:rPr>
              <w:t>4</w:t>
            </w:r>
          </w:p>
        </w:tc>
      </w:tr>
      <w:tr w:rsidR="00D1587D" w14:paraId="19F7495E" w14:textId="77777777">
        <w:trPr>
          <w:trHeight w:val="67"/>
        </w:trPr>
        <w:tc>
          <w:tcPr>
            <w:tcW w:w="2960" w:type="dxa"/>
            <w:tcBorders>
              <w:bottom w:val="single" w:sz="8" w:space="0" w:color="CCEEFF"/>
            </w:tcBorders>
            <w:vAlign w:val="bottom"/>
          </w:tcPr>
          <w:p w14:paraId="68638CE5" w14:textId="77777777" w:rsidR="00D1587D" w:rsidRDefault="00D1587D">
            <w:pPr>
              <w:rPr>
                <w:sz w:val="5"/>
                <w:szCs w:val="5"/>
              </w:rPr>
            </w:pPr>
          </w:p>
        </w:tc>
        <w:tc>
          <w:tcPr>
            <w:tcW w:w="1740" w:type="dxa"/>
            <w:tcBorders>
              <w:bottom w:val="single" w:sz="8" w:space="0" w:color="CCEEFF"/>
            </w:tcBorders>
            <w:vAlign w:val="bottom"/>
          </w:tcPr>
          <w:p w14:paraId="4E21138B" w14:textId="77777777" w:rsidR="00D1587D" w:rsidRDefault="00D1587D">
            <w:pPr>
              <w:rPr>
                <w:sz w:val="5"/>
                <w:szCs w:val="5"/>
              </w:rPr>
            </w:pPr>
          </w:p>
        </w:tc>
        <w:tc>
          <w:tcPr>
            <w:tcW w:w="1020" w:type="dxa"/>
            <w:tcBorders>
              <w:bottom w:val="single" w:sz="8" w:space="0" w:color="CCEEFF"/>
            </w:tcBorders>
            <w:vAlign w:val="bottom"/>
          </w:tcPr>
          <w:p w14:paraId="65F799FB" w14:textId="77777777" w:rsidR="00D1587D" w:rsidRDefault="00D1587D">
            <w:pPr>
              <w:rPr>
                <w:sz w:val="5"/>
                <w:szCs w:val="5"/>
              </w:rPr>
            </w:pPr>
          </w:p>
        </w:tc>
        <w:tc>
          <w:tcPr>
            <w:tcW w:w="100" w:type="dxa"/>
            <w:tcBorders>
              <w:bottom w:val="single" w:sz="8" w:space="0" w:color="CCEEFF"/>
            </w:tcBorders>
            <w:vAlign w:val="bottom"/>
          </w:tcPr>
          <w:p w14:paraId="66DB0DE5" w14:textId="77777777" w:rsidR="00D1587D" w:rsidRDefault="00D1587D">
            <w:pPr>
              <w:rPr>
                <w:sz w:val="5"/>
                <w:szCs w:val="5"/>
              </w:rPr>
            </w:pPr>
          </w:p>
        </w:tc>
        <w:tc>
          <w:tcPr>
            <w:tcW w:w="620" w:type="dxa"/>
            <w:tcBorders>
              <w:bottom w:val="single" w:sz="8" w:space="0" w:color="auto"/>
            </w:tcBorders>
            <w:vAlign w:val="bottom"/>
          </w:tcPr>
          <w:p w14:paraId="7CB0F09D" w14:textId="77777777" w:rsidR="00D1587D" w:rsidRDefault="00D1587D">
            <w:pPr>
              <w:rPr>
                <w:sz w:val="5"/>
                <w:szCs w:val="5"/>
              </w:rPr>
            </w:pPr>
          </w:p>
        </w:tc>
        <w:tc>
          <w:tcPr>
            <w:tcW w:w="160" w:type="dxa"/>
            <w:tcBorders>
              <w:bottom w:val="single" w:sz="8" w:space="0" w:color="CCEEFF"/>
            </w:tcBorders>
            <w:vAlign w:val="bottom"/>
          </w:tcPr>
          <w:p w14:paraId="2B0BC2DA" w14:textId="77777777" w:rsidR="00D1587D" w:rsidRDefault="00D1587D">
            <w:pPr>
              <w:rPr>
                <w:sz w:val="5"/>
                <w:szCs w:val="5"/>
              </w:rPr>
            </w:pPr>
          </w:p>
        </w:tc>
        <w:tc>
          <w:tcPr>
            <w:tcW w:w="160" w:type="dxa"/>
            <w:tcBorders>
              <w:bottom w:val="single" w:sz="8" w:space="0" w:color="auto"/>
            </w:tcBorders>
            <w:vAlign w:val="bottom"/>
          </w:tcPr>
          <w:p w14:paraId="7D3EFCEF" w14:textId="77777777" w:rsidR="00D1587D" w:rsidRDefault="00D1587D">
            <w:pPr>
              <w:rPr>
                <w:sz w:val="5"/>
                <w:szCs w:val="5"/>
              </w:rPr>
            </w:pPr>
          </w:p>
        </w:tc>
        <w:tc>
          <w:tcPr>
            <w:tcW w:w="820" w:type="dxa"/>
            <w:tcBorders>
              <w:bottom w:val="single" w:sz="8" w:space="0" w:color="auto"/>
            </w:tcBorders>
            <w:vAlign w:val="bottom"/>
          </w:tcPr>
          <w:p w14:paraId="747A518F" w14:textId="77777777" w:rsidR="00D1587D" w:rsidRDefault="00D1587D">
            <w:pPr>
              <w:rPr>
                <w:sz w:val="5"/>
                <w:szCs w:val="5"/>
              </w:rPr>
            </w:pPr>
          </w:p>
        </w:tc>
        <w:tc>
          <w:tcPr>
            <w:tcW w:w="160" w:type="dxa"/>
            <w:tcBorders>
              <w:bottom w:val="single" w:sz="8" w:space="0" w:color="CCEEFF"/>
            </w:tcBorders>
            <w:vAlign w:val="bottom"/>
          </w:tcPr>
          <w:p w14:paraId="1397DB28" w14:textId="77777777" w:rsidR="00D1587D" w:rsidRDefault="00D1587D">
            <w:pPr>
              <w:rPr>
                <w:sz w:val="5"/>
                <w:szCs w:val="5"/>
              </w:rPr>
            </w:pPr>
          </w:p>
        </w:tc>
        <w:tc>
          <w:tcPr>
            <w:tcW w:w="680" w:type="dxa"/>
            <w:gridSpan w:val="2"/>
            <w:tcBorders>
              <w:bottom w:val="single" w:sz="8" w:space="0" w:color="auto"/>
            </w:tcBorders>
            <w:vAlign w:val="bottom"/>
          </w:tcPr>
          <w:p w14:paraId="43BF38EA" w14:textId="77777777" w:rsidR="00D1587D" w:rsidRDefault="00D1587D">
            <w:pPr>
              <w:rPr>
                <w:sz w:val="5"/>
                <w:szCs w:val="5"/>
              </w:rPr>
            </w:pPr>
          </w:p>
        </w:tc>
      </w:tr>
      <w:tr w:rsidR="00D1587D" w14:paraId="2EF5FF4F" w14:textId="77777777">
        <w:trPr>
          <w:trHeight w:val="311"/>
        </w:trPr>
        <w:tc>
          <w:tcPr>
            <w:tcW w:w="2960" w:type="dxa"/>
            <w:tcBorders>
              <w:bottom w:val="single" w:sz="8" w:space="0" w:color="CCEEFF"/>
            </w:tcBorders>
            <w:shd w:val="clear" w:color="auto" w:fill="CCEEFF"/>
            <w:vAlign w:val="bottom"/>
          </w:tcPr>
          <w:p w14:paraId="3EC66541" w14:textId="77777777" w:rsidR="00D1587D" w:rsidRDefault="00410D07">
            <w:pPr>
              <w:rPr>
                <w:sz w:val="20"/>
                <w:szCs w:val="20"/>
              </w:rPr>
            </w:pPr>
            <w:r>
              <w:rPr>
                <w:rFonts w:ascii="Arial" w:eastAsia="Arial" w:hAnsi="Arial" w:cs="Arial"/>
                <w:sz w:val="18"/>
                <w:szCs w:val="18"/>
              </w:rPr>
              <w:t>Total Current Liabilities</w:t>
            </w:r>
          </w:p>
        </w:tc>
        <w:tc>
          <w:tcPr>
            <w:tcW w:w="1740" w:type="dxa"/>
            <w:tcBorders>
              <w:bottom w:val="single" w:sz="8" w:space="0" w:color="CCEEFF"/>
            </w:tcBorders>
            <w:shd w:val="clear" w:color="auto" w:fill="CCEEFF"/>
            <w:vAlign w:val="bottom"/>
          </w:tcPr>
          <w:p w14:paraId="5C273ABD"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6805537A" w14:textId="77777777" w:rsidR="00D1587D" w:rsidRDefault="00410D07">
            <w:pPr>
              <w:jc w:val="right"/>
              <w:rPr>
                <w:sz w:val="20"/>
                <w:szCs w:val="20"/>
              </w:rPr>
            </w:pPr>
            <w:r>
              <w:rPr>
                <w:rFonts w:ascii="Arial" w:eastAsia="Arial" w:hAnsi="Arial" w:cs="Arial"/>
                <w:sz w:val="18"/>
                <w:szCs w:val="18"/>
              </w:rPr>
              <w:t>1,444</w:t>
            </w:r>
          </w:p>
        </w:tc>
        <w:tc>
          <w:tcPr>
            <w:tcW w:w="160" w:type="dxa"/>
            <w:tcBorders>
              <w:bottom w:val="single" w:sz="8" w:space="0" w:color="CCEEFF"/>
            </w:tcBorders>
            <w:shd w:val="clear" w:color="auto" w:fill="CCEEFF"/>
            <w:vAlign w:val="bottom"/>
          </w:tcPr>
          <w:p w14:paraId="2F6061F6" w14:textId="77777777" w:rsidR="00D1587D" w:rsidRDefault="00D1587D">
            <w:pPr>
              <w:rPr>
                <w:sz w:val="24"/>
                <w:szCs w:val="24"/>
              </w:rPr>
            </w:pPr>
          </w:p>
        </w:tc>
        <w:tc>
          <w:tcPr>
            <w:tcW w:w="160" w:type="dxa"/>
            <w:tcBorders>
              <w:bottom w:val="single" w:sz="8" w:space="0" w:color="CCEEFF"/>
            </w:tcBorders>
            <w:shd w:val="clear" w:color="auto" w:fill="CCEEFF"/>
            <w:vAlign w:val="bottom"/>
          </w:tcPr>
          <w:p w14:paraId="1F9AF0C3"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16132CE1" w14:textId="77777777" w:rsidR="00D1587D" w:rsidRDefault="00410D07">
            <w:pPr>
              <w:ind w:right="160"/>
              <w:jc w:val="right"/>
              <w:rPr>
                <w:sz w:val="20"/>
                <w:szCs w:val="20"/>
              </w:rPr>
            </w:pPr>
            <w:r>
              <w:rPr>
                <w:rFonts w:ascii="Arial" w:eastAsia="Arial" w:hAnsi="Arial" w:cs="Arial"/>
                <w:sz w:val="18"/>
                <w:szCs w:val="18"/>
              </w:rPr>
              <w:t>(8)</w:t>
            </w:r>
          </w:p>
        </w:tc>
        <w:tc>
          <w:tcPr>
            <w:tcW w:w="680" w:type="dxa"/>
            <w:gridSpan w:val="2"/>
            <w:tcBorders>
              <w:bottom w:val="single" w:sz="8" w:space="0" w:color="CCEEFF"/>
            </w:tcBorders>
            <w:shd w:val="clear" w:color="auto" w:fill="CCEEFF"/>
            <w:vAlign w:val="bottom"/>
          </w:tcPr>
          <w:p w14:paraId="78AD6483" w14:textId="77777777" w:rsidR="00D1587D" w:rsidRDefault="00410D07">
            <w:pPr>
              <w:ind w:right="10"/>
              <w:jc w:val="right"/>
              <w:rPr>
                <w:sz w:val="20"/>
                <w:szCs w:val="20"/>
              </w:rPr>
            </w:pPr>
            <w:r>
              <w:rPr>
                <w:rFonts w:ascii="Arial" w:eastAsia="Arial" w:hAnsi="Arial" w:cs="Arial"/>
                <w:sz w:val="18"/>
                <w:szCs w:val="18"/>
              </w:rPr>
              <w:t>1,436</w:t>
            </w:r>
          </w:p>
        </w:tc>
      </w:tr>
      <w:tr w:rsidR="00D1587D" w14:paraId="30694B05" w14:textId="77777777">
        <w:trPr>
          <w:trHeight w:val="270"/>
        </w:trPr>
        <w:tc>
          <w:tcPr>
            <w:tcW w:w="2960" w:type="dxa"/>
            <w:vAlign w:val="bottom"/>
          </w:tcPr>
          <w:p w14:paraId="2E504E25" w14:textId="77777777" w:rsidR="00D1587D" w:rsidRDefault="00410D07">
            <w:pPr>
              <w:rPr>
                <w:sz w:val="20"/>
                <w:szCs w:val="20"/>
              </w:rPr>
            </w:pPr>
            <w:r>
              <w:rPr>
                <w:rFonts w:ascii="Arial" w:eastAsia="Arial" w:hAnsi="Arial" w:cs="Arial"/>
                <w:sz w:val="18"/>
                <w:szCs w:val="18"/>
              </w:rPr>
              <w:t>Deferred Income Taxes</w:t>
            </w:r>
          </w:p>
        </w:tc>
        <w:tc>
          <w:tcPr>
            <w:tcW w:w="1740" w:type="dxa"/>
            <w:vAlign w:val="bottom"/>
          </w:tcPr>
          <w:p w14:paraId="59D2B01D" w14:textId="77777777" w:rsidR="00D1587D" w:rsidRDefault="00D1587D">
            <w:pPr>
              <w:rPr>
                <w:sz w:val="23"/>
                <w:szCs w:val="23"/>
              </w:rPr>
            </w:pPr>
          </w:p>
        </w:tc>
        <w:tc>
          <w:tcPr>
            <w:tcW w:w="1740" w:type="dxa"/>
            <w:gridSpan w:val="3"/>
            <w:vAlign w:val="bottom"/>
          </w:tcPr>
          <w:p w14:paraId="02BB3E1A" w14:textId="77777777" w:rsidR="00D1587D" w:rsidRDefault="00410D07">
            <w:pPr>
              <w:jc w:val="right"/>
              <w:rPr>
                <w:sz w:val="20"/>
                <w:szCs w:val="20"/>
              </w:rPr>
            </w:pPr>
            <w:r>
              <w:rPr>
                <w:rFonts w:ascii="Arial" w:eastAsia="Arial" w:hAnsi="Arial" w:cs="Arial"/>
                <w:sz w:val="18"/>
                <w:szCs w:val="18"/>
              </w:rPr>
              <w:t>45</w:t>
            </w:r>
          </w:p>
        </w:tc>
        <w:tc>
          <w:tcPr>
            <w:tcW w:w="160" w:type="dxa"/>
            <w:vAlign w:val="bottom"/>
          </w:tcPr>
          <w:p w14:paraId="644A1EB2" w14:textId="77777777" w:rsidR="00D1587D" w:rsidRDefault="00D1587D">
            <w:pPr>
              <w:rPr>
                <w:sz w:val="23"/>
                <w:szCs w:val="23"/>
              </w:rPr>
            </w:pPr>
          </w:p>
        </w:tc>
        <w:tc>
          <w:tcPr>
            <w:tcW w:w="160" w:type="dxa"/>
            <w:vAlign w:val="bottom"/>
          </w:tcPr>
          <w:p w14:paraId="0A8875CD" w14:textId="77777777" w:rsidR="00D1587D" w:rsidRDefault="00D1587D">
            <w:pPr>
              <w:rPr>
                <w:sz w:val="23"/>
                <w:szCs w:val="23"/>
              </w:rPr>
            </w:pPr>
          </w:p>
        </w:tc>
        <w:tc>
          <w:tcPr>
            <w:tcW w:w="980" w:type="dxa"/>
            <w:gridSpan w:val="2"/>
            <w:vAlign w:val="bottom"/>
          </w:tcPr>
          <w:p w14:paraId="301BE981" w14:textId="77777777" w:rsidR="00D1587D" w:rsidRDefault="00410D07">
            <w:pPr>
              <w:ind w:right="160"/>
              <w:jc w:val="right"/>
              <w:rPr>
                <w:sz w:val="20"/>
                <w:szCs w:val="20"/>
              </w:rPr>
            </w:pPr>
            <w:r>
              <w:rPr>
                <w:rFonts w:ascii="Arial" w:eastAsia="Arial" w:hAnsi="Arial" w:cs="Arial"/>
                <w:sz w:val="18"/>
                <w:szCs w:val="18"/>
              </w:rPr>
              <w:t>26(c)</w:t>
            </w:r>
          </w:p>
        </w:tc>
        <w:tc>
          <w:tcPr>
            <w:tcW w:w="240" w:type="dxa"/>
            <w:vAlign w:val="bottom"/>
          </w:tcPr>
          <w:p w14:paraId="39D9BDE6" w14:textId="77777777" w:rsidR="00D1587D" w:rsidRDefault="00D1587D">
            <w:pPr>
              <w:rPr>
                <w:sz w:val="23"/>
                <w:szCs w:val="23"/>
              </w:rPr>
            </w:pPr>
          </w:p>
        </w:tc>
        <w:tc>
          <w:tcPr>
            <w:tcW w:w="440" w:type="dxa"/>
            <w:vAlign w:val="bottom"/>
          </w:tcPr>
          <w:p w14:paraId="7156F7B2" w14:textId="77777777" w:rsidR="00D1587D" w:rsidRDefault="00410D07">
            <w:pPr>
              <w:ind w:right="10"/>
              <w:jc w:val="right"/>
              <w:rPr>
                <w:sz w:val="20"/>
                <w:szCs w:val="20"/>
              </w:rPr>
            </w:pPr>
            <w:r>
              <w:rPr>
                <w:rFonts w:ascii="Arial" w:eastAsia="Arial" w:hAnsi="Arial" w:cs="Arial"/>
                <w:sz w:val="18"/>
                <w:szCs w:val="18"/>
              </w:rPr>
              <w:t>71</w:t>
            </w:r>
          </w:p>
        </w:tc>
      </w:tr>
      <w:tr w:rsidR="00D1587D" w14:paraId="2FB3FC9B" w14:textId="77777777">
        <w:trPr>
          <w:trHeight w:val="54"/>
        </w:trPr>
        <w:tc>
          <w:tcPr>
            <w:tcW w:w="2960" w:type="dxa"/>
            <w:vAlign w:val="bottom"/>
          </w:tcPr>
          <w:p w14:paraId="526FD343" w14:textId="77777777" w:rsidR="00D1587D" w:rsidRDefault="00D1587D">
            <w:pPr>
              <w:rPr>
                <w:sz w:val="4"/>
                <w:szCs w:val="4"/>
              </w:rPr>
            </w:pPr>
          </w:p>
        </w:tc>
        <w:tc>
          <w:tcPr>
            <w:tcW w:w="1740" w:type="dxa"/>
            <w:vAlign w:val="bottom"/>
          </w:tcPr>
          <w:p w14:paraId="27088004" w14:textId="77777777" w:rsidR="00D1587D" w:rsidRDefault="00D1587D">
            <w:pPr>
              <w:rPr>
                <w:sz w:val="4"/>
                <w:szCs w:val="4"/>
              </w:rPr>
            </w:pPr>
          </w:p>
        </w:tc>
        <w:tc>
          <w:tcPr>
            <w:tcW w:w="1020" w:type="dxa"/>
            <w:vAlign w:val="bottom"/>
          </w:tcPr>
          <w:p w14:paraId="0C23E8A8" w14:textId="77777777" w:rsidR="00D1587D" w:rsidRDefault="00D1587D">
            <w:pPr>
              <w:rPr>
                <w:sz w:val="4"/>
                <w:szCs w:val="4"/>
              </w:rPr>
            </w:pPr>
          </w:p>
        </w:tc>
        <w:tc>
          <w:tcPr>
            <w:tcW w:w="100" w:type="dxa"/>
            <w:vAlign w:val="bottom"/>
          </w:tcPr>
          <w:p w14:paraId="58A12848" w14:textId="77777777" w:rsidR="00D1587D" w:rsidRDefault="00D1587D">
            <w:pPr>
              <w:rPr>
                <w:sz w:val="4"/>
                <w:szCs w:val="4"/>
              </w:rPr>
            </w:pPr>
          </w:p>
        </w:tc>
        <w:tc>
          <w:tcPr>
            <w:tcW w:w="620" w:type="dxa"/>
            <w:vAlign w:val="bottom"/>
          </w:tcPr>
          <w:p w14:paraId="39933549" w14:textId="77777777" w:rsidR="00D1587D" w:rsidRDefault="00D1587D">
            <w:pPr>
              <w:rPr>
                <w:sz w:val="4"/>
                <w:szCs w:val="4"/>
              </w:rPr>
            </w:pPr>
          </w:p>
        </w:tc>
        <w:tc>
          <w:tcPr>
            <w:tcW w:w="160" w:type="dxa"/>
            <w:vAlign w:val="bottom"/>
          </w:tcPr>
          <w:p w14:paraId="5F701745" w14:textId="77777777" w:rsidR="00D1587D" w:rsidRDefault="00D1587D">
            <w:pPr>
              <w:rPr>
                <w:sz w:val="4"/>
                <w:szCs w:val="4"/>
              </w:rPr>
            </w:pPr>
          </w:p>
        </w:tc>
        <w:tc>
          <w:tcPr>
            <w:tcW w:w="160" w:type="dxa"/>
            <w:vAlign w:val="bottom"/>
          </w:tcPr>
          <w:p w14:paraId="6A39A587" w14:textId="77777777" w:rsidR="00D1587D" w:rsidRDefault="00D1587D">
            <w:pPr>
              <w:rPr>
                <w:sz w:val="4"/>
                <w:szCs w:val="4"/>
              </w:rPr>
            </w:pPr>
          </w:p>
        </w:tc>
        <w:tc>
          <w:tcPr>
            <w:tcW w:w="820" w:type="dxa"/>
            <w:vAlign w:val="bottom"/>
          </w:tcPr>
          <w:p w14:paraId="409028B9" w14:textId="77777777" w:rsidR="00D1587D" w:rsidRDefault="00D1587D">
            <w:pPr>
              <w:rPr>
                <w:sz w:val="4"/>
                <w:szCs w:val="4"/>
              </w:rPr>
            </w:pPr>
          </w:p>
        </w:tc>
        <w:tc>
          <w:tcPr>
            <w:tcW w:w="160" w:type="dxa"/>
            <w:vAlign w:val="bottom"/>
          </w:tcPr>
          <w:p w14:paraId="757724A2" w14:textId="77777777" w:rsidR="00D1587D" w:rsidRDefault="00D1587D">
            <w:pPr>
              <w:rPr>
                <w:sz w:val="4"/>
                <w:szCs w:val="4"/>
              </w:rPr>
            </w:pPr>
          </w:p>
        </w:tc>
        <w:tc>
          <w:tcPr>
            <w:tcW w:w="240" w:type="dxa"/>
            <w:vAlign w:val="bottom"/>
          </w:tcPr>
          <w:p w14:paraId="76C55C79" w14:textId="77777777" w:rsidR="00D1587D" w:rsidRDefault="00D1587D">
            <w:pPr>
              <w:rPr>
                <w:sz w:val="4"/>
                <w:szCs w:val="4"/>
              </w:rPr>
            </w:pPr>
          </w:p>
        </w:tc>
        <w:tc>
          <w:tcPr>
            <w:tcW w:w="440" w:type="dxa"/>
            <w:vAlign w:val="bottom"/>
          </w:tcPr>
          <w:p w14:paraId="0C799774" w14:textId="77777777" w:rsidR="00D1587D" w:rsidRDefault="00D1587D">
            <w:pPr>
              <w:rPr>
                <w:sz w:val="4"/>
                <w:szCs w:val="4"/>
              </w:rPr>
            </w:pPr>
          </w:p>
        </w:tc>
      </w:tr>
      <w:tr w:rsidR="00D1587D" w14:paraId="0ABE96A1" w14:textId="77777777">
        <w:trPr>
          <w:trHeight w:val="304"/>
        </w:trPr>
        <w:tc>
          <w:tcPr>
            <w:tcW w:w="2960" w:type="dxa"/>
            <w:tcBorders>
              <w:bottom w:val="single" w:sz="8" w:space="0" w:color="CCEEFF"/>
            </w:tcBorders>
            <w:shd w:val="clear" w:color="auto" w:fill="CCEEFF"/>
            <w:vAlign w:val="bottom"/>
          </w:tcPr>
          <w:p w14:paraId="26EE9A61" w14:textId="77777777" w:rsidR="00D1587D" w:rsidRDefault="00410D07">
            <w:pPr>
              <w:rPr>
                <w:sz w:val="20"/>
                <w:szCs w:val="20"/>
              </w:rPr>
            </w:pPr>
            <w:r>
              <w:rPr>
                <w:rFonts w:ascii="Arial" w:eastAsia="Arial" w:hAnsi="Arial" w:cs="Arial"/>
                <w:sz w:val="18"/>
                <w:szCs w:val="18"/>
              </w:rPr>
              <w:t>Long-term Debt</w:t>
            </w:r>
          </w:p>
        </w:tc>
        <w:tc>
          <w:tcPr>
            <w:tcW w:w="1740" w:type="dxa"/>
            <w:tcBorders>
              <w:bottom w:val="single" w:sz="8" w:space="0" w:color="CCEEFF"/>
            </w:tcBorders>
            <w:shd w:val="clear" w:color="auto" w:fill="CCEEFF"/>
            <w:vAlign w:val="bottom"/>
          </w:tcPr>
          <w:p w14:paraId="2AA54D70" w14:textId="77777777" w:rsidR="00D1587D" w:rsidRDefault="00D1587D">
            <w:pPr>
              <w:rPr>
                <w:sz w:val="24"/>
                <w:szCs w:val="24"/>
              </w:rPr>
            </w:pPr>
          </w:p>
        </w:tc>
        <w:tc>
          <w:tcPr>
            <w:tcW w:w="1020" w:type="dxa"/>
            <w:tcBorders>
              <w:bottom w:val="single" w:sz="8" w:space="0" w:color="CCEEFF"/>
            </w:tcBorders>
            <w:shd w:val="clear" w:color="auto" w:fill="CCEEFF"/>
            <w:vAlign w:val="bottom"/>
          </w:tcPr>
          <w:p w14:paraId="22987F21" w14:textId="77777777" w:rsidR="00D1587D" w:rsidRDefault="00D1587D">
            <w:pPr>
              <w:rPr>
                <w:sz w:val="24"/>
                <w:szCs w:val="24"/>
              </w:rPr>
            </w:pPr>
          </w:p>
        </w:tc>
        <w:tc>
          <w:tcPr>
            <w:tcW w:w="100" w:type="dxa"/>
            <w:tcBorders>
              <w:bottom w:val="single" w:sz="8" w:space="0" w:color="CCEEFF"/>
            </w:tcBorders>
            <w:shd w:val="clear" w:color="auto" w:fill="CCEEFF"/>
            <w:vAlign w:val="bottom"/>
          </w:tcPr>
          <w:p w14:paraId="4F51ECBB" w14:textId="77777777" w:rsidR="00D1587D" w:rsidRDefault="00D1587D">
            <w:pPr>
              <w:rPr>
                <w:sz w:val="24"/>
                <w:szCs w:val="24"/>
              </w:rPr>
            </w:pPr>
          </w:p>
        </w:tc>
        <w:tc>
          <w:tcPr>
            <w:tcW w:w="780" w:type="dxa"/>
            <w:gridSpan w:val="2"/>
            <w:tcBorders>
              <w:bottom w:val="single" w:sz="8" w:space="0" w:color="CCEEFF"/>
            </w:tcBorders>
            <w:shd w:val="clear" w:color="auto" w:fill="CCEEFF"/>
            <w:vAlign w:val="bottom"/>
          </w:tcPr>
          <w:p w14:paraId="14F39050" w14:textId="77777777" w:rsidR="00D1587D" w:rsidRDefault="00410D07">
            <w:pPr>
              <w:ind w:right="240"/>
              <w:jc w:val="right"/>
              <w:rPr>
                <w:sz w:val="20"/>
                <w:szCs w:val="20"/>
              </w:rPr>
            </w:pPr>
            <w:r>
              <w:rPr>
                <w:rFonts w:ascii="Arial" w:eastAsia="Arial" w:hAnsi="Arial" w:cs="Arial"/>
                <w:sz w:val="18"/>
                <w:szCs w:val="18"/>
              </w:rPr>
              <w:t>—</w:t>
            </w:r>
          </w:p>
        </w:tc>
        <w:tc>
          <w:tcPr>
            <w:tcW w:w="160" w:type="dxa"/>
            <w:tcBorders>
              <w:bottom w:val="single" w:sz="8" w:space="0" w:color="CCEEFF"/>
            </w:tcBorders>
            <w:shd w:val="clear" w:color="auto" w:fill="CCEEFF"/>
            <w:vAlign w:val="bottom"/>
          </w:tcPr>
          <w:p w14:paraId="5EF40063"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51BFC010" w14:textId="77777777" w:rsidR="00D1587D" w:rsidRDefault="00410D07">
            <w:pPr>
              <w:ind w:right="160"/>
              <w:jc w:val="right"/>
              <w:rPr>
                <w:sz w:val="20"/>
                <w:szCs w:val="20"/>
              </w:rPr>
            </w:pPr>
            <w:r>
              <w:rPr>
                <w:rFonts w:ascii="Arial" w:eastAsia="Arial" w:hAnsi="Arial" w:cs="Arial"/>
                <w:sz w:val="18"/>
                <w:szCs w:val="18"/>
              </w:rPr>
              <w:t>975(f)</w:t>
            </w:r>
          </w:p>
        </w:tc>
        <w:tc>
          <w:tcPr>
            <w:tcW w:w="240" w:type="dxa"/>
            <w:tcBorders>
              <w:bottom w:val="single" w:sz="8" w:space="0" w:color="CCEEFF"/>
            </w:tcBorders>
            <w:shd w:val="clear" w:color="auto" w:fill="CCEEFF"/>
            <w:vAlign w:val="bottom"/>
          </w:tcPr>
          <w:p w14:paraId="44380772" w14:textId="77777777" w:rsidR="00D1587D" w:rsidRDefault="00D1587D">
            <w:pPr>
              <w:rPr>
                <w:sz w:val="24"/>
                <w:szCs w:val="24"/>
              </w:rPr>
            </w:pPr>
          </w:p>
        </w:tc>
        <w:tc>
          <w:tcPr>
            <w:tcW w:w="440" w:type="dxa"/>
            <w:tcBorders>
              <w:bottom w:val="single" w:sz="8" w:space="0" w:color="CCEEFF"/>
            </w:tcBorders>
            <w:shd w:val="clear" w:color="auto" w:fill="CCEEFF"/>
            <w:vAlign w:val="bottom"/>
          </w:tcPr>
          <w:p w14:paraId="34826DE4" w14:textId="77777777" w:rsidR="00D1587D" w:rsidRDefault="00410D07">
            <w:pPr>
              <w:ind w:right="10"/>
              <w:jc w:val="right"/>
              <w:rPr>
                <w:sz w:val="20"/>
                <w:szCs w:val="20"/>
              </w:rPr>
            </w:pPr>
            <w:r>
              <w:rPr>
                <w:rFonts w:ascii="Arial" w:eastAsia="Arial" w:hAnsi="Arial" w:cs="Arial"/>
                <w:sz w:val="18"/>
                <w:szCs w:val="18"/>
              </w:rPr>
              <w:t>975</w:t>
            </w:r>
          </w:p>
        </w:tc>
      </w:tr>
      <w:tr w:rsidR="00D1587D" w14:paraId="1A7F4A4C" w14:textId="77777777">
        <w:trPr>
          <w:trHeight w:val="270"/>
        </w:trPr>
        <w:tc>
          <w:tcPr>
            <w:tcW w:w="2960" w:type="dxa"/>
            <w:vAlign w:val="bottom"/>
          </w:tcPr>
          <w:p w14:paraId="4CA546F3" w14:textId="77777777" w:rsidR="00D1587D" w:rsidRDefault="00410D07">
            <w:pPr>
              <w:rPr>
                <w:sz w:val="20"/>
                <w:szCs w:val="20"/>
              </w:rPr>
            </w:pPr>
            <w:r>
              <w:rPr>
                <w:rFonts w:ascii="Arial" w:eastAsia="Arial" w:hAnsi="Arial" w:cs="Arial"/>
                <w:w w:val="99"/>
                <w:sz w:val="18"/>
                <w:szCs w:val="18"/>
              </w:rPr>
              <w:t>Long-term Debt due to Related Party</w:t>
            </w:r>
          </w:p>
        </w:tc>
        <w:tc>
          <w:tcPr>
            <w:tcW w:w="1740" w:type="dxa"/>
            <w:vAlign w:val="bottom"/>
          </w:tcPr>
          <w:p w14:paraId="7B9FB569" w14:textId="77777777" w:rsidR="00D1587D" w:rsidRDefault="00D1587D">
            <w:pPr>
              <w:rPr>
                <w:sz w:val="23"/>
                <w:szCs w:val="23"/>
              </w:rPr>
            </w:pPr>
          </w:p>
        </w:tc>
        <w:tc>
          <w:tcPr>
            <w:tcW w:w="1740" w:type="dxa"/>
            <w:gridSpan w:val="3"/>
            <w:vAlign w:val="bottom"/>
          </w:tcPr>
          <w:p w14:paraId="38FF74E1" w14:textId="77777777" w:rsidR="00D1587D" w:rsidRDefault="00410D07">
            <w:pPr>
              <w:jc w:val="right"/>
              <w:rPr>
                <w:sz w:val="20"/>
                <w:szCs w:val="20"/>
              </w:rPr>
            </w:pPr>
            <w:r>
              <w:rPr>
                <w:rFonts w:ascii="Arial" w:eastAsia="Arial" w:hAnsi="Arial" w:cs="Arial"/>
                <w:sz w:val="18"/>
                <w:szCs w:val="18"/>
              </w:rPr>
              <w:t>97</w:t>
            </w:r>
          </w:p>
        </w:tc>
        <w:tc>
          <w:tcPr>
            <w:tcW w:w="160" w:type="dxa"/>
            <w:vAlign w:val="bottom"/>
          </w:tcPr>
          <w:p w14:paraId="3B33BFC5" w14:textId="77777777" w:rsidR="00D1587D" w:rsidRDefault="00D1587D">
            <w:pPr>
              <w:rPr>
                <w:sz w:val="23"/>
                <w:szCs w:val="23"/>
              </w:rPr>
            </w:pPr>
          </w:p>
        </w:tc>
        <w:tc>
          <w:tcPr>
            <w:tcW w:w="160" w:type="dxa"/>
            <w:vAlign w:val="bottom"/>
          </w:tcPr>
          <w:p w14:paraId="4B50AED9" w14:textId="77777777" w:rsidR="00D1587D" w:rsidRDefault="00D1587D">
            <w:pPr>
              <w:rPr>
                <w:sz w:val="23"/>
                <w:szCs w:val="23"/>
              </w:rPr>
            </w:pPr>
          </w:p>
        </w:tc>
        <w:tc>
          <w:tcPr>
            <w:tcW w:w="980" w:type="dxa"/>
            <w:gridSpan w:val="2"/>
            <w:vAlign w:val="bottom"/>
          </w:tcPr>
          <w:p w14:paraId="7150A334" w14:textId="77777777" w:rsidR="00D1587D" w:rsidRDefault="00410D07">
            <w:pPr>
              <w:ind w:right="160"/>
              <w:jc w:val="right"/>
              <w:rPr>
                <w:sz w:val="20"/>
                <w:szCs w:val="20"/>
              </w:rPr>
            </w:pPr>
            <w:r>
              <w:rPr>
                <w:rFonts w:ascii="Arial" w:eastAsia="Arial" w:hAnsi="Arial" w:cs="Arial"/>
                <w:sz w:val="18"/>
                <w:szCs w:val="18"/>
              </w:rPr>
              <w:t>(97)(b)</w:t>
            </w:r>
          </w:p>
        </w:tc>
        <w:tc>
          <w:tcPr>
            <w:tcW w:w="240" w:type="dxa"/>
            <w:vAlign w:val="bottom"/>
          </w:tcPr>
          <w:p w14:paraId="3D920311" w14:textId="77777777" w:rsidR="00D1587D" w:rsidRDefault="00D1587D">
            <w:pPr>
              <w:rPr>
                <w:sz w:val="23"/>
                <w:szCs w:val="23"/>
              </w:rPr>
            </w:pPr>
          </w:p>
        </w:tc>
        <w:tc>
          <w:tcPr>
            <w:tcW w:w="440" w:type="dxa"/>
            <w:vAlign w:val="bottom"/>
          </w:tcPr>
          <w:p w14:paraId="258C82B6" w14:textId="77777777" w:rsidR="00D1587D" w:rsidRDefault="00410D07">
            <w:pPr>
              <w:ind w:right="10"/>
              <w:jc w:val="right"/>
              <w:rPr>
                <w:sz w:val="20"/>
                <w:szCs w:val="20"/>
              </w:rPr>
            </w:pPr>
            <w:r>
              <w:rPr>
                <w:rFonts w:ascii="Arial" w:eastAsia="Arial" w:hAnsi="Arial" w:cs="Arial"/>
                <w:sz w:val="18"/>
                <w:szCs w:val="18"/>
              </w:rPr>
              <w:t>—</w:t>
            </w:r>
          </w:p>
        </w:tc>
      </w:tr>
      <w:tr w:rsidR="00D1587D" w14:paraId="2B670F74" w14:textId="77777777">
        <w:trPr>
          <w:trHeight w:val="54"/>
        </w:trPr>
        <w:tc>
          <w:tcPr>
            <w:tcW w:w="2960" w:type="dxa"/>
            <w:vAlign w:val="bottom"/>
          </w:tcPr>
          <w:p w14:paraId="205218B5" w14:textId="77777777" w:rsidR="00D1587D" w:rsidRDefault="00D1587D">
            <w:pPr>
              <w:rPr>
                <w:sz w:val="4"/>
                <w:szCs w:val="4"/>
              </w:rPr>
            </w:pPr>
          </w:p>
        </w:tc>
        <w:tc>
          <w:tcPr>
            <w:tcW w:w="1740" w:type="dxa"/>
            <w:vAlign w:val="bottom"/>
          </w:tcPr>
          <w:p w14:paraId="088A9C18" w14:textId="77777777" w:rsidR="00D1587D" w:rsidRDefault="00D1587D">
            <w:pPr>
              <w:rPr>
                <w:sz w:val="4"/>
                <w:szCs w:val="4"/>
              </w:rPr>
            </w:pPr>
          </w:p>
        </w:tc>
        <w:tc>
          <w:tcPr>
            <w:tcW w:w="1020" w:type="dxa"/>
            <w:vAlign w:val="bottom"/>
          </w:tcPr>
          <w:p w14:paraId="4892EB02" w14:textId="77777777" w:rsidR="00D1587D" w:rsidRDefault="00D1587D">
            <w:pPr>
              <w:rPr>
                <w:sz w:val="4"/>
                <w:szCs w:val="4"/>
              </w:rPr>
            </w:pPr>
          </w:p>
        </w:tc>
        <w:tc>
          <w:tcPr>
            <w:tcW w:w="100" w:type="dxa"/>
            <w:vAlign w:val="bottom"/>
          </w:tcPr>
          <w:p w14:paraId="474E7E99" w14:textId="77777777" w:rsidR="00D1587D" w:rsidRDefault="00D1587D">
            <w:pPr>
              <w:rPr>
                <w:sz w:val="4"/>
                <w:szCs w:val="4"/>
              </w:rPr>
            </w:pPr>
          </w:p>
        </w:tc>
        <w:tc>
          <w:tcPr>
            <w:tcW w:w="620" w:type="dxa"/>
            <w:vAlign w:val="bottom"/>
          </w:tcPr>
          <w:p w14:paraId="295B8960" w14:textId="77777777" w:rsidR="00D1587D" w:rsidRDefault="00D1587D">
            <w:pPr>
              <w:rPr>
                <w:sz w:val="4"/>
                <w:szCs w:val="4"/>
              </w:rPr>
            </w:pPr>
          </w:p>
        </w:tc>
        <w:tc>
          <w:tcPr>
            <w:tcW w:w="160" w:type="dxa"/>
            <w:vAlign w:val="bottom"/>
          </w:tcPr>
          <w:p w14:paraId="37B200E4" w14:textId="77777777" w:rsidR="00D1587D" w:rsidRDefault="00D1587D">
            <w:pPr>
              <w:rPr>
                <w:sz w:val="4"/>
                <w:szCs w:val="4"/>
              </w:rPr>
            </w:pPr>
          </w:p>
        </w:tc>
        <w:tc>
          <w:tcPr>
            <w:tcW w:w="160" w:type="dxa"/>
            <w:vAlign w:val="bottom"/>
          </w:tcPr>
          <w:p w14:paraId="42D8FC93" w14:textId="77777777" w:rsidR="00D1587D" w:rsidRDefault="00D1587D">
            <w:pPr>
              <w:rPr>
                <w:sz w:val="4"/>
                <w:szCs w:val="4"/>
              </w:rPr>
            </w:pPr>
          </w:p>
        </w:tc>
        <w:tc>
          <w:tcPr>
            <w:tcW w:w="820" w:type="dxa"/>
            <w:vAlign w:val="bottom"/>
          </w:tcPr>
          <w:p w14:paraId="195E73C3" w14:textId="77777777" w:rsidR="00D1587D" w:rsidRDefault="00D1587D">
            <w:pPr>
              <w:rPr>
                <w:sz w:val="4"/>
                <w:szCs w:val="4"/>
              </w:rPr>
            </w:pPr>
          </w:p>
        </w:tc>
        <w:tc>
          <w:tcPr>
            <w:tcW w:w="160" w:type="dxa"/>
            <w:vAlign w:val="bottom"/>
          </w:tcPr>
          <w:p w14:paraId="578BC9F1" w14:textId="77777777" w:rsidR="00D1587D" w:rsidRDefault="00D1587D">
            <w:pPr>
              <w:rPr>
                <w:sz w:val="4"/>
                <w:szCs w:val="4"/>
              </w:rPr>
            </w:pPr>
          </w:p>
        </w:tc>
        <w:tc>
          <w:tcPr>
            <w:tcW w:w="680" w:type="dxa"/>
            <w:gridSpan w:val="2"/>
            <w:vAlign w:val="bottom"/>
          </w:tcPr>
          <w:p w14:paraId="28CF150B" w14:textId="77777777" w:rsidR="00D1587D" w:rsidRDefault="00D1587D">
            <w:pPr>
              <w:rPr>
                <w:sz w:val="4"/>
                <w:szCs w:val="4"/>
              </w:rPr>
            </w:pPr>
          </w:p>
        </w:tc>
      </w:tr>
      <w:tr w:rsidR="00D1587D" w14:paraId="7DD0B9E9" w14:textId="77777777">
        <w:trPr>
          <w:trHeight w:val="304"/>
        </w:trPr>
        <w:tc>
          <w:tcPr>
            <w:tcW w:w="2960" w:type="dxa"/>
            <w:tcBorders>
              <w:bottom w:val="single" w:sz="8" w:space="0" w:color="CCEEFF"/>
            </w:tcBorders>
            <w:shd w:val="clear" w:color="auto" w:fill="CCEEFF"/>
            <w:vAlign w:val="bottom"/>
          </w:tcPr>
          <w:p w14:paraId="2BC8A16B" w14:textId="77777777" w:rsidR="00D1587D" w:rsidRDefault="00410D07">
            <w:pPr>
              <w:rPr>
                <w:sz w:val="20"/>
                <w:szCs w:val="20"/>
              </w:rPr>
            </w:pPr>
            <w:r>
              <w:rPr>
                <w:rFonts w:ascii="Arial" w:eastAsia="Arial" w:hAnsi="Arial" w:cs="Arial"/>
                <w:w w:val="98"/>
                <w:sz w:val="18"/>
                <w:szCs w:val="18"/>
              </w:rPr>
              <w:t>Long-term Operating Lease Liabilities</w:t>
            </w:r>
          </w:p>
        </w:tc>
        <w:tc>
          <w:tcPr>
            <w:tcW w:w="1740" w:type="dxa"/>
            <w:tcBorders>
              <w:bottom w:val="single" w:sz="8" w:space="0" w:color="CCEEFF"/>
            </w:tcBorders>
            <w:shd w:val="clear" w:color="auto" w:fill="CCEEFF"/>
            <w:vAlign w:val="bottom"/>
          </w:tcPr>
          <w:p w14:paraId="4AE55C43" w14:textId="77777777" w:rsidR="00D1587D" w:rsidRDefault="00D1587D">
            <w:pPr>
              <w:rPr>
                <w:sz w:val="24"/>
                <w:szCs w:val="24"/>
              </w:rPr>
            </w:pPr>
          </w:p>
        </w:tc>
        <w:tc>
          <w:tcPr>
            <w:tcW w:w="1740" w:type="dxa"/>
            <w:gridSpan w:val="3"/>
            <w:tcBorders>
              <w:bottom w:val="single" w:sz="8" w:space="0" w:color="CCEEFF"/>
            </w:tcBorders>
            <w:shd w:val="clear" w:color="auto" w:fill="CCEEFF"/>
            <w:vAlign w:val="bottom"/>
          </w:tcPr>
          <w:p w14:paraId="5C1160BD" w14:textId="77777777" w:rsidR="00D1587D" w:rsidRDefault="00410D07">
            <w:pPr>
              <w:jc w:val="right"/>
              <w:rPr>
                <w:sz w:val="20"/>
                <w:szCs w:val="20"/>
              </w:rPr>
            </w:pPr>
            <w:r>
              <w:rPr>
                <w:rFonts w:ascii="Arial" w:eastAsia="Arial" w:hAnsi="Arial" w:cs="Arial"/>
                <w:sz w:val="18"/>
                <w:szCs w:val="18"/>
              </w:rPr>
              <w:t>1,541</w:t>
            </w:r>
          </w:p>
        </w:tc>
        <w:tc>
          <w:tcPr>
            <w:tcW w:w="160" w:type="dxa"/>
            <w:tcBorders>
              <w:bottom w:val="single" w:sz="8" w:space="0" w:color="CCEEFF"/>
            </w:tcBorders>
            <w:shd w:val="clear" w:color="auto" w:fill="CCEEFF"/>
            <w:vAlign w:val="bottom"/>
          </w:tcPr>
          <w:p w14:paraId="21B909CE" w14:textId="77777777" w:rsidR="00D1587D" w:rsidRDefault="00D1587D">
            <w:pPr>
              <w:rPr>
                <w:sz w:val="24"/>
                <w:szCs w:val="24"/>
              </w:rPr>
            </w:pPr>
          </w:p>
        </w:tc>
        <w:tc>
          <w:tcPr>
            <w:tcW w:w="160" w:type="dxa"/>
            <w:tcBorders>
              <w:bottom w:val="single" w:sz="8" w:space="0" w:color="CCEEFF"/>
            </w:tcBorders>
            <w:shd w:val="clear" w:color="auto" w:fill="CCEEFF"/>
            <w:vAlign w:val="bottom"/>
          </w:tcPr>
          <w:p w14:paraId="52B9E0D4"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3FF2F94F" w14:textId="77777777" w:rsidR="00D1587D" w:rsidRDefault="00410D07">
            <w:pPr>
              <w:ind w:right="160"/>
              <w:jc w:val="right"/>
              <w:rPr>
                <w:sz w:val="20"/>
                <w:szCs w:val="20"/>
              </w:rPr>
            </w:pPr>
            <w:r>
              <w:rPr>
                <w:rFonts w:ascii="Arial" w:eastAsia="Arial" w:hAnsi="Arial" w:cs="Arial"/>
                <w:sz w:val="18"/>
                <w:szCs w:val="18"/>
              </w:rPr>
              <w:t>—</w:t>
            </w:r>
          </w:p>
        </w:tc>
        <w:tc>
          <w:tcPr>
            <w:tcW w:w="680" w:type="dxa"/>
            <w:gridSpan w:val="2"/>
            <w:tcBorders>
              <w:bottom w:val="single" w:sz="8" w:space="0" w:color="CCEEFF"/>
            </w:tcBorders>
            <w:shd w:val="clear" w:color="auto" w:fill="CCEEFF"/>
            <w:vAlign w:val="bottom"/>
          </w:tcPr>
          <w:p w14:paraId="675332CC" w14:textId="77777777" w:rsidR="00D1587D" w:rsidRDefault="00410D07">
            <w:pPr>
              <w:ind w:right="10"/>
              <w:jc w:val="right"/>
              <w:rPr>
                <w:sz w:val="20"/>
                <w:szCs w:val="20"/>
              </w:rPr>
            </w:pPr>
            <w:r>
              <w:rPr>
                <w:rFonts w:ascii="Arial" w:eastAsia="Arial" w:hAnsi="Arial" w:cs="Arial"/>
                <w:sz w:val="18"/>
                <w:szCs w:val="18"/>
              </w:rPr>
              <w:t>1,541</w:t>
            </w:r>
          </w:p>
        </w:tc>
      </w:tr>
      <w:tr w:rsidR="00D1587D" w14:paraId="4E51F891" w14:textId="77777777">
        <w:trPr>
          <w:trHeight w:val="270"/>
        </w:trPr>
        <w:tc>
          <w:tcPr>
            <w:tcW w:w="2960" w:type="dxa"/>
            <w:vAlign w:val="bottom"/>
          </w:tcPr>
          <w:p w14:paraId="4B791EDF" w14:textId="77777777" w:rsidR="00D1587D" w:rsidRDefault="00410D07">
            <w:pPr>
              <w:rPr>
                <w:sz w:val="20"/>
                <w:szCs w:val="20"/>
              </w:rPr>
            </w:pPr>
            <w:r>
              <w:rPr>
                <w:rFonts w:ascii="Arial" w:eastAsia="Arial" w:hAnsi="Arial" w:cs="Arial"/>
                <w:sz w:val="18"/>
                <w:szCs w:val="18"/>
              </w:rPr>
              <w:t>Other Long-term Liabilities</w:t>
            </w:r>
          </w:p>
        </w:tc>
        <w:tc>
          <w:tcPr>
            <w:tcW w:w="1740" w:type="dxa"/>
            <w:vAlign w:val="bottom"/>
          </w:tcPr>
          <w:p w14:paraId="00A23B57" w14:textId="77777777" w:rsidR="00D1587D" w:rsidRDefault="00D1587D">
            <w:pPr>
              <w:rPr>
                <w:sz w:val="23"/>
                <w:szCs w:val="23"/>
              </w:rPr>
            </w:pPr>
          </w:p>
        </w:tc>
        <w:tc>
          <w:tcPr>
            <w:tcW w:w="1740" w:type="dxa"/>
            <w:gridSpan w:val="3"/>
            <w:vAlign w:val="bottom"/>
          </w:tcPr>
          <w:p w14:paraId="6ACB226A" w14:textId="77777777" w:rsidR="00D1587D" w:rsidRDefault="00410D07">
            <w:pPr>
              <w:jc w:val="right"/>
              <w:rPr>
                <w:sz w:val="20"/>
                <w:szCs w:val="20"/>
              </w:rPr>
            </w:pPr>
            <w:r>
              <w:rPr>
                <w:rFonts w:ascii="Arial" w:eastAsia="Arial" w:hAnsi="Arial" w:cs="Arial"/>
                <w:sz w:val="18"/>
                <w:szCs w:val="18"/>
              </w:rPr>
              <w:t>113</w:t>
            </w:r>
          </w:p>
        </w:tc>
        <w:tc>
          <w:tcPr>
            <w:tcW w:w="160" w:type="dxa"/>
            <w:vAlign w:val="bottom"/>
          </w:tcPr>
          <w:p w14:paraId="0DF423FD" w14:textId="77777777" w:rsidR="00D1587D" w:rsidRDefault="00D1587D">
            <w:pPr>
              <w:rPr>
                <w:sz w:val="23"/>
                <w:szCs w:val="23"/>
              </w:rPr>
            </w:pPr>
          </w:p>
        </w:tc>
        <w:tc>
          <w:tcPr>
            <w:tcW w:w="160" w:type="dxa"/>
            <w:vAlign w:val="bottom"/>
          </w:tcPr>
          <w:p w14:paraId="6A155A14" w14:textId="77777777" w:rsidR="00D1587D" w:rsidRDefault="00D1587D">
            <w:pPr>
              <w:rPr>
                <w:sz w:val="23"/>
                <w:szCs w:val="23"/>
              </w:rPr>
            </w:pPr>
          </w:p>
        </w:tc>
        <w:tc>
          <w:tcPr>
            <w:tcW w:w="980" w:type="dxa"/>
            <w:gridSpan w:val="2"/>
            <w:vAlign w:val="bottom"/>
          </w:tcPr>
          <w:p w14:paraId="502DA1CF" w14:textId="77777777" w:rsidR="00D1587D" w:rsidRDefault="00410D07">
            <w:pPr>
              <w:ind w:right="160"/>
              <w:jc w:val="right"/>
              <w:rPr>
                <w:sz w:val="20"/>
                <w:szCs w:val="20"/>
              </w:rPr>
            </w:pPr>
            <w:r>
              <w:rPr>
                <w:rFonts w:ascii="Arial" w:eastAsia="Arial" w:hAnsi="Arial" w:cs="Arial"/>
                <w:sz w:val="18"/>
                <w:szCs w:val="18"/>
              </w:rPr>
              <w:t>(76)(c)</w:t>
            </w:r>
          </w:p>
        </w:tc>
        <w:tc>
          <w:tcPr>
            <w:tcW w:w="240" w:type="dxa"/>
            <w:vAlign w:val="bottom"/>
          </w:tcPr>
          <w:p w14:paraId="01A5554C" w14:textId="77777777" w:rsidR="00D1587D" w:rsidRDefault="00D1587D">
            <w:pPr>
              <w:rPr>
                <w:sz w:val="23"/>
                <w:szCs w:val="23"/>
              </w:rPr>
            </w:pPr>
          </w:p>
        </w:tc>
        <w:tc>
          <w:tcPr>
            <w:tcW w:w="440" w:type="dxa"/>
            <w:vAlign w:val="bottom"/>
          </w:tcPr>
          <w:p w14:paraId="3EC608F2" w14:textId="77777777" w:rsidR="00D1587D" w:rsidRDefault="00410D07">
            <w:pPr>
              <w:ind w:right="10"/>
              <w:jc w:val="right"/>
              <w:rPr>
                <w:sz w:val="20"/>
                <w:szCs w:val="20"/>
              </w:rPr>
            </w:pPr>
            <w:r>
              <w:rPr>
                <w:rFonts w:ascii="Arial" w:eastAsia="Arial" w:hAnsi="Arial" w:cs="Arial"/>
                <w:sz w:val="18"/>
                <w:szCs w:val="18"/>
              </w:rPr>
              <w:t>37</w:t>
            </w:r>
          </w:p>
        </w:tc>
      </w:tr>
      <w:tr w:rsidR="00D1587D" w14:paraId="42F53559" w14:textId="77777777">
        <w:trPr>
          <w:trHeight w:val="68"/>
        </w:trPr>
        <w:tc>
          <w:tcPr>
            <w:tcW w:w="2960" w:type="dxa"/>
            <w:tcBorders>
              <w:bottom w:val="single" w:sz="8" w:space="0" w:color="CCEEFF"/>
            </w:tcBorders>
            <w:vAlign w:val="bottom"/>
          </w:tcPr>
          <w:p w14:paraId="39B9B103" w14:textId="77777777" w:rsidR="00D1587D" w:rsidRDefault="00D1587D">
            <w:pPr>
              <w:rPr>
                <w:sz w:val="5"/>
                <w:szCs w:val="5"/>
              </w:rPr>
            </w:pPr>
          </w:p>
        </w:tc>
        <w:tc>
          <w:tcPr>
            <w:tcW w:w="1740" w:type="dxa"/>
            <w:tcBorders>
              <w:bottom w:val="single" w:sz="8" w:space="0" w:color="CCEEFF"/>
            </w:tcBorders>
            <w:vAlign w:val="bottom"/>
          </w:tcPr>
          <w:p w14:paraId="23C88DDE" w14:textId="77777777" w:rsidR="00D1587D" w:rsidRDefault="00D1587D">
            <w:pPr>
              <w:rPr>
                <w:sz w:val="5"/>
                <w:szCs w:val="5"/>
              </w:rPr>
            </w:pPr>
          </w:p>
        </w:tc>
        <w:tc>
          <w:tcPr>
            <w:tcW w:w="1020" w:type="dxa"/>
            <w:tcBorders>
              <w:bottom w:val="single" w:sz="8" w:space="0" w:color="CCEEFF"/>
            </w:tcBorders>
            <w:vAlign w:val="bottom"/>
          </w:tcPr>
          <w:p w14:paraId="5FF745F4" w14:textId="77777777" w:rsidR="00D1587D" w:rsidRDefault="00D1587D">
            <w:pPr>
              <w:rPr>
                <w:sz w:val="5"/>
                <w:szCs w:val="5"/>
              </w:rPr>
            </w:pPr>
          </w:p>
        </w:tc>
        <w:tc>
          <w:tcPr>
            <w:tcW w:w="100" w:type="dxa"/>
            <w:tcBorders>
              <w:bottom w:val="single" w:sz="8" w:space="0" w:color="CCEEFF"/>
            </w:tcBorders>
            <w:vAlign w:val="bottom"/>
          </w:tcPr>
          <w:p w14:paraId="2C438659" w14:textId="77777777" w:rsidR="00D1587D" w:rsidRDefault="00D1587D">
            <w:pPr>
              <w:rPr>
                <w:sz w:val="5"/>
                <w:szCs w:val="5"/>
              </w:rPr>
            </w:pPr>
          </w:p>
        </w:tc>
        <w:tc>
          <w:tcPr>
            <w:tcW w:w="620" w:type="dxa"/>
            <w:tcBorders>
              <w:bottom w:val="single" w:sz="8" w:space="0" w:color="auto"/>
            </w:tcBorders>
            <w:vAlign w:val="bottom"/>
          </w:tcPr>
          <w:p w14:paraId="3585BC9B" w14:textId="77777777" w:rsidR="00D1587D" w:rsidRDefault="00D1587D">
            <w:pPr>
              <w:rPr>
                <w:sz w:val="5"/>
                <w:szCs w:val="5"/>
              </w:rPr>
            </w:pPr>
          </w:p>
        </w:tc>
        <w:tc>
          <w:tcPr>
            <w:tcW w:w="160" w:type="dxa"/>
            <w:tcBorders>
              <w:bottom w:val="single" w:sz="8" w:space="0" w:color="CCEEFF"/>
            </w:tcBorders>
            <w:vAlign w:val="bottom"/>
          </w:tcPr>
          <w:p w14:paraId="66A14998" w14:textId="77777777" w:rsidR="00D1587D" w:rsidRDefault="00D1587D">
            <w:pPr>
              <w:rPr>
                <w:sz w:val="5"/>
                <w:szCs w:val="5"/>
              </w:rPr>
            </w:pPr>
          </w:p>
        </w:tc>
        <w:tc>
          <w:tcPr>
            <w:tcW w:w="160" w:type="dxa"/>
            <w:tcBorders>
              <w:bottom w:val="single" w:sz="8" w:space="0" w:color="auto"/>
            </w:tcBorders>
            <w:vAlign w:val="bottom"/>
          </w:tcPr>
          <w:p w14:paraId="54912A67" w14:textId="77777777" w:rsidR="00D1587D" w:rsidRDefault="00D1587D">
            <w:pPr>
              <w:rPr>
                <w:sz w:val="5"/>
                <w:szCs w:val="5"/>
              </w:rPr>
            </w:pPr>
          </w:p>
        </w:tc>
        <w:tc>
          <w:tcPr>
            <w:tcW w:w="820" w:type="dxa"/>
            <w:tcBorders>
              <w:bottom w:val="single" w:sz="8" w:space="0" w:color="auto"/>
            </w:tcBorders>
            <w:vAlign w:val="bottom"/>
          </w:tcPr>
          <w:p w14:paraId="6014979E" w14:textId="77777777" w:rsidR="00D1587D" w:rsidRDefault="00D1587D">
            <w:pPr>
              <w:rPr>
                <w:sz w:val="5"/>
                <w:szCs w:val="5"/>
              </w:rPr>
            </w:pPr>
          </w:p>
        </w:tc>
        <w:tc>
          <w:tcPr>
            <w:tcW w:w="160" w:type="dxa"/>
            <w:tcBorders>
              <w:bottom w:val="single" w:sz="8" w:space="0" w:color="CCEEFF"/>
            </w:tcBorders>
            <w:vAlign w:val="bottom"/>
          </w:tcPr>
          <w:p w14:paraId="11097F50" w14:textId="77777777" w:rsidR="00D1587D" w:rsidRDefault="00D1587D">
            <w:pPr>
              <w:rPr>
                <w:sz w:val="5"/>
                <w:szCs w:val="5"/>
              </w:rPr>
            </w:pPr>
          </w:p>
        </w:tc>
        <w:tc>
          <w:tcPr>
            <w:tcW w:w="680" w:type="dxa"/>
            <w:gridSpan w:val="2"/>
            <w:tcBorders>
              <w:bottom w:val="single" w:sz="8" w:space="0" w:color="auto"/>
            </w:tcBorders>
            <w:vAlign w:val="bottom"/>
          </w:tcPr>
          <w:p w14:paraId="3465DDA8" w14:textId="77777777" w:rsidR="00D1587D" w:rsidRDefault="00D1587D">
            <w:pPr>
              <w:rPr>
                <w:sz w:val="5"/>
                <w:szCs w:val="5"/>
              </w:rPr>
            </w:pPr>
          </w:p>
        </w:tc>
      </w:tr>
      <w:tr w:rsidR="00D1587D" w14:paraId="280911FB" w14:textId="77777777">
        <w:trPr>
          <w:trHeight w:val="304"/>
        </w:trPr>
        <w:tc>
          <w:tcPr>
            <w:tcW w:w="2960" w:type="dxa"/>
            <w:shd w:val="clear" w:color="auto" w:fill="CCEEFF"/>
            <w:vAlign w:val="bottom"/>
          </w:tcPr>
          <w:p w14:paraId="540C5D77" w14:textId="77777777" w:rsidR="00D1587D" w:rsidRDefault="00410D07">
            <w:pPr>
              <w:rPr>
                <w:sz w:val="20"/>
                <w:szCs w:val="20"/>
              </w:rPr>
            </w:pPr>
            <w:r>
              <w:rPr>
                <w:rFonts w:ascii="Arial" w:eastAsia="Arial" w:hAnsi="Arial" w:cs="Arial"/>
                <w:b/>
                <w:bCs/>
                <w:sz w:val="18"/>
                <w:szCs w:val="18"/>
              </w:rPr>
              <w:t>Total Liabilities</w:t>
            </w:r>
          </w:p>
        </w:tc>
        <w:tc>
          <w:tcPr>
            <w:tcW w:w="1740" w:type="dxa"/>
            <w:shd w:val="clear" w:color="auto" w:fill="CCEEFF"/>
            <w:vAlign w:val="bottom"/>
          </w:tcPr>
          <w:p w14:paraId="796A78AA" w14:textId="77777777" w:rsidR="00D1587D" w:rsidRDefault="00D1587D">
            <w:pPr>
              <w:rPr>
                <w:sz w:val="24"/>
                <w:szCs w:val="24"/>
              </w:rPr>
            </w:pPr>
          </w:p>
        </w:tc>
        <w:tc>
          <w:tcPr>
            <w:tcW w:w="1740" w:type="dxa"/>
            <w:gridSpan w:val="3"/>
            <w:shd w:val="clear" w:color="auto" w:fill="CCEEFF"/>
            <w:vAlign w:val="bottom"/>
          </w:tcPr>
          <w:p w14:paraId="04A41B2E" w14:textId="77777777" w:rsidR="00D1587D" w:rsidRDefault="00410D07">
            <w:pPr>
              <w:jc w:val="right"/>
              <w:rPr>
                <w:sz w:val="20"/>
                <w:szCs w:val="20"/>
              </w:rPr>
            </w:pPr>
            <w:r>
              <w:rPr>
                <w:rFonts w:ascii="Arial" w:eastAsia="Arial" w:hAnsi="Arial" w:cs="Arial"/>
                <w:b/>
                <w:bCs/>
                <w:sz w:val="18"/>
                <w:szCs w:val="18"/>
              </w:rPr>
              <w:t>$3,240</w:t>
            </w:r>
          </w:p>
        </w:tc>
        <w:tc>
          <w:tcPr>
            <w:tcW w:w="160" w:type="dxa"/>
            <w:shd w:val="clear" w:color="auto" w:fill="CCEEFF"/>
            <w:vAlign w:val="bottom"/>
          </w:tcPr>
          <w:p w14:paraId="26B36C49" w14:textId="77777777" w:rsidR="00D1587D" w:rsidRDefault="00D1587D">
            <w:pPr>
              <w:rPr>
                <w:sz w:val="24"/>
                <w:szCs w:val="24"/>
              </w:rPr>
            </w:pPr>
          </w:p>
        </w:tc>
        <w:tc>
          <w:tcPr>
            <w:tcW w:w="160" w:type="dxa"/>
            <w:shd w:val="clear" w:color="auto" w:fill="CCEEFF"/>
            <w:vAlign w:val="bottom"/>
          </w:tcPr>
          <w:p w14:paraId="4C4DE551" w14:textId="77777777" w:rsidR="00D1587D" w:rsidRDefault="00410D07">
            <w:pPr>
              <w:jc w:val="right"/>
              <w:rPr>
                <w:sz w:val="20"/>
                <w:szCs w:val="20"/>
              </w:rPr>
            </w:pPr>
            <w:r>
              <w:rPr>
                <w:rFonts w:ascii="Arial" w:eastAsia="Arial" w:hAnsi="Arial" w:cs="Arial"/>
                <w:b/>
                <w:bCs/>
                <w:sz w:val="18"/>
                <w:szCs w:val="18"/>
              </w:rPr>
              <w:t>$</w:t>
            </w:r>
          </w:p>
        </w:tc>
        <w:tc>
          <w:tcPr>
            <w:tcW w:w="980" w:type="dxa"/>
            <w:gridSpan w:val="2"/>
            <w:shd w:val="clear" w:color="auto" w:fill="CCEEFF"/>
            <w:vAlign w:val="bottom"/>
          </w:tcPr>
          <w:p w14:paraId="63632220" w14:textId="77777777" w:rsidR="00D1587D" w:rsidRDefault="00410D07">
            <w:pPr>
              <w:ind w:right="160"/>
              <w:jc w:val="right"/>
              <w:rPr>
                <w:sz w:val="20"/>
                <w:szCs w:val="20"/>
              </w:rPr>
            </w:pPr>
            <w:r>
              <w:rPr>
                <w:rFonts w:ascii="Arial" w:eastAsia="Arial" w:hAnsi="Arial" w:cs="Arial"/>
                <w:b/>
                <w:bCs/>
                <w:sz w:val="18"/>
                <w:szCs w:val="18"/>
              </w:rPr>
              <w:t>820</w:t>
            </w:r>
          </w:p>
        </w:tc>
        <w:tc>
          <w:tcPr>
            <w:tcW w:w="680" w:type="dxa"/>
            <w:gridSpan w:val="2"/>
            <w:shd w:val="clear" w:color="auto" w:fill="CCEEFF"/>
            <w:vAlign w:val="bottom"/>
          </w:tcPr>
          <w:p w14:paraId="6D210D53" w14:textId="77777777" w:rsidR="00D1587D" w:rsidRDefault="00410D07">
            <w:pPr>
              <w:jc w:val="right"/>
              <w:rPr>
                <w:sz w:val="20"/>
                <w:szCs w:val="20"/>
              </w:rPr>
            </w:pPr>
            <w:r>
              <w:rPr>
                <w:rFonts w:ascii="Arial" w:eastAsia="Arial" w:hAnsi="Arial" w:cs="Arial"/>
                <w:b/>
                <w:bCs/>
                <w:sz w:val="18"/>
                <w:szCs w:val="18"/>
              </w:rPr>
              <w:t>$4,060</w:t>
            </w:r>
          </w:p>
        </w:tc>
      </w:tr>
      <w:tr w:rsidR="00D1587D" w14:paraId="269C9FC4" w14:textId="77777777">
        <w:trPr>
          <w:trHeight w:val="128"/>
        </w:trPr>
        <w:tc>
          <w:tcPr>
            <w:tcW w:w="2960" w:type="dxa"/>
            <w:tcBorders>
              <w:bottom w:val="single" w:sz="8" w:space="0" w:color="CCEEFF"/>
            </w:tcBorders>
            <w:shd w:val="clear" w:color="auto" w:fill="CCEEFF"/>
            <w:vAlign w:val="bottom"/>
          </w:tcPr>
          <w:p w14:paraId="7F038227" w14:textId="77777777" w:rsidR="00D1587D" w:rsidRDefault="00D1587D">
            <w:pPr>
              <w:rPr>
                <w:sz w:val="11"/>
                <w:szCs w:val="11"/>
              </w:rPr>
            </w:pPr>
          </w:p>
        </w:tc>
        <w:tc>
          <w:tcPr>
            <w:tcW w:w="1740" w:type="dxa"/>
            <w:tcBorders>
              <w:bottom w:val="single" w:sz="8" w:space="0" w:color="CCEEFF"/>
            </w:tcBorders>
            <w:shd w:val="clear" w:color="auto" w:fill="CCEEFF"/>
            <w:vAlign w:val="bottom"/>
          </w:tcPr>
          <w:p w14:paraId="44A5064F" w14:textId="77777777" w:rsidR="00D1587D" w:rsidRDefault="00D1587D">
            <w:pPr>
              <w:rPr>
                <w:sz w:val="11"/>
                <w:szCs w:val="11"/>
              </w:rPr>
            </w:pPr>
          </w:p>
        </w:tc>
        <w:tc>
          <w:tcPr>
            <w:tcW w:w="1020" w:type="dxa"/>
            <w:tcBorders>
              <w:bottom w:val="single" w:sz="8" w:space="0" w:color="CCEEFF"/>
            </w:tcBorders>
            <w:shd w:val="clear" w:color="auto" w:fill="CCEEFF"/>
            <w:vAlign w:val="bottom"/>
          </w:tcPr>
          <w:p w14:paraId="09EFCD29" w14:textId="77777777" w:rsidR="00D1587D" w:rsidRDefault="00D1587D">
            <w:pPr>
              <w:rPr>
                <w:sz w:val="11"/>
                <w:szCs w:val="11"/>
              </w:rPr>
            </w:pPr>
          </w:p>
        </w:tc>
        <w:tc>
          <w:tcPr>
            <w:tcW w:w="100" w:type="dxa"/>
            <w:tcBorders>
              <w:bottom w:val="single" w:sz="8" w:space="0" w:color="CCEEFF"/>
            </w:tcBorders>
            <w:shd w:val="clear" w:color="auto" w:fill="CCEEFF"/>
            <w:vAlign w:val="bottom"/>
          </w:tcPr>
          <w:p w14:paraId="4F9E43CF" w14:textId="77777777" w:rsidR="00D1587D" w:rsidRDefault="00D1587D">
            <w:pPr>
              <w:rPr>
                <w:sz w:val="11"/>
                <w:szCs w:val="11"/>
              </w:rPr>
            </w:pPr>
          </w:p>
        </w:tc>
        <w:tc>
          <w:tcPr>
            <w:tcW w:w="620" w:type="dxa"/>
            <w:tcBorders>
              <w:bottom w:val="single" w:sz="8" w:space="0" w:color="auto"/>
            </w:tcBorders>
            <w:shd w:val="clear" w:color="auto" w:fill="CCEEFF"/>
            <w:vAlign w:val="bottom"/>
          </w:tcPr>
          <w:p w14:paraId="059C3298" w14:textId="77777777" w:rsidR="00D1587D" w:rsidRDefault="00D1587D">
            <w:pPr>
              <w:rPr>
                <w:sz w:val="11"/>
                <w:szCs w:val="11"/>
              </w:rPr>
            </w:pPr>
          </w:p>
        </w:tc>
        <w:tc>
          <w:tcPr>
            <w:tcW w:w="160" w:type="dxa"/>
            <w:tcBorders>
              <w:bottom w:val="single" w:sz="8" w:space="0" w:color="CCEEFF"/>
            </w:tcBorders>
            <w:shd w:val="clear" w:color="auto" w:fill="CCEEFF"/>
            <w:vAlign w:val="bottom"/>
          </w:tcPr>
          <w:p w14:paraId="544DB541" w14:textId="77777777" w:rsidR="00D1587D" w:rsidRDefault="00D1587D">
            <w:pPr>
              <w:rPr>
                <w:sz w:val="11"/>
                <w:szCs w:val="11"/>
              </w:rPr>
            </w:pPr>
          </w:p>
        </w:tc>
        <w:tc>
          <w:tcPr>
            <w:tcW w:w="160" w:type="dxa"/>
            <w:tcBorders>
              <w:bottom w:val="single" w:sz="8" w:space="0" w:color="auto"/>
            </w:tcBorders>
            <w:shd w:val="clear" w:color="auto" w:fill="CCEEFF"/>
            <w:vAlign w:val="bottom"/>
          </w:tcPr>
          <w:p w14:paraId="442F55C1" w14:textId="77777777" w:rsidR="00D1587D" w:rsidRDefault="00D1587D">
            <w:pPr>
              <w:rPr>
                <w:sz w:val="11"/>
                <w:szCs w:val="11"/>
              </w:rPr>
            </w:pPr>
          </w:p>
        </w:tc>
        <w:tc>
          <w:tcPr>
            <w:tcW w:w="820" w:type="dxa"/>
            <w:tcBorders>
              <w:bottom w:val="single" w:sz="8" w:space="0" w:color="auto"/>
            </w:tcBorders>
            <w:shd w:val="clear" w:color="auto" w:fill="CCEEFF"/>
            <w:vAlign w:val="bottom"/>
          </w:tcPr>
          <w:p w14:paraId="66F9B077" w14:textId="77777777" w:rsidR="00D1587D" w:rsidRDefault="00D1587D">
            <w:pPr>
              <w:rPr>
                <w:sz w:val="11"/>
                <w:szCs w:val="11"/>
              </w:rPr>
            </w:pPr>
          </w:p>
        </w:tc>
        <w:tc>
          <w:tcPr>
            <w:tcW w:w="160" w:type="dxa"/>
            <w:tcBorders>
              <w:bottom w:val="single" w:sz="8" w:space="0" w:color="CCEEFF"/>
            </w:tcBorders>
            <w:shd w:val="clear" w:color="auto" w:fill="CCEEFF"/>
            <w:vAlign w:val="bottom"/>
          </w:tcPr>
          <w:p w14:paraId="13F3BFE4" w14:textId="77777777" w:rsidR="00D1587D" w:rsidRDefault="00D1587D">
            <w:pPr>
              <w:rPr>
                <w:sz w:val="11"/>
                <w:szCs w:val="11"/>
              </w:rPr>
            </w:pPr>
          </w:p>
        </w:tc>
        <w:tc>
          <w:tcPr>
            <w:tcW w:w="240" w:type="dxa"/>
            <w:tcBorders>
              <w:bottom w:val="single" w:sz="8" w:space="0" w:color="auto"/>
            </w:tcBorders>
            <w:shd w:val="clear" w:color="auto" w:fill="CCEEFF"/>
            <w:vAlign w:val="bottom"/>
          </w:tcPr>
          <w:p w14:paraId="09154E92" w14:textId="77777777" w:rsidR="00D1587D" w:rsidRDefault="00D1587D">
            <w:pPr>
              <w:rPr>
                <w:sz w:val="11"/>
                <w:szCs w:val="11"/>
              </w:rPr>
            </w:pPr>
          </w:p>
        </w:tc>
        <w:tc>
          <w:tcPr>
            <w:tcW w:w="440" w:type="dxa"/>
            <w:tcBorders>
              <w:bottom w:val="single" w:sz="8" w:space="0" w:color="auto"/>
            </w:tcBorders>
            <w:shd w:val="clear" w:color="auto" w:fill="CCEEFF"/>
            <w:vAlign w:val="bottom"/>
          </w:tcPr>
          <w:p w14:paraId="1173E81F" w14:textId="77777777" w:rsidR="00D1587D" w:rsidRDefault="00D1587D">
            <w:pPr>
              <w:rPr>
                <w:sz w:val="11"/>
                <w:szCs w:val="11"/>
              </w:rPr>
            </w:pPr>
          </w:p>
        </w:tc>
      </w:tr>
      <w:tr w:rsidR="00D1587D" w14:paraId="68D69ACF" w14:textId="77777777">
        <w:trPr>
          <w:trHeight w:val="285"/>
        </w:trPr>
        <w:tc>
          <w:tcPr>
            <w:tcW w:w="2960" w:type="dxa"/>
            <w:vAlign w:val="bottom"/>
          </w:tcPr>
          <w:p w14:paraId="61A9E603" w14:textId="77777777" w:rsidR="00D1587D" w:rsidRDefault="00410D07">
            <w:pPr>
              <w:rPr>
                <w:sz w:val="20"/>
                <w:szCs w:val="20"/>
              </w:rPr>
            </w:pPr>
            <w:r>
              <w:rPr>
                <w:rFonts w:ascii="Arial" w:eastAsia="Arial" w:hAnsi="Arial" w:cs="Arial"/>
                <w:b/>
                <w:bCs/>
                <w:sz w:val="18"/>
                <w:szCs w:val="18"/>
              </w:rPr>
              <w:t>Equity</w:t>
            </w:r>
          </w:p>
        </w:tc>
        <w:tc>
          <w:tcPr>
            <w:tcW w:w="1740" w:type="dxa"/>
            <w:vAlign w:val="bottom"/>
          </w:tcPr>
          <w:p w14:paraId="4DE9E9B0" w14:textId="77777777" w:rsidR="00D1587D" w:rsidRDefault="00D1587D">
            <w:pPr>
              <w:rPr>
                <w:sz w:val="24"/>
                <w:szCs w:val="24"/>
              </w:rPr>
            </w:pPr>
          </w:p>
        </w:tc>
        <w:tc>
          <w:tcPr>
            <w:tcW w:w="1020" w:type="dxa"/>
            <w:vAlign w:val="bottom"/>
          </w:tcPr>
          <w:p w14:paraId="21B6F4A8" w14:textId="77777777" w:rsidR="00D1587D" w:rsidRDefault="00D1587D">
            <w:pPr>
              <w:rPr>
                <w:sz w:val="24"/>
                <w:szCs w:val="24"/>
              </w:rPr>
            </w:pPr>
          </w:p>
        </w:tc>
        <w:tc>
          <w:tcPr>
            <w:tcW w:w="100" w:type="dxa"/>
            <w:vAlign w:val="bottom"/>
          </w:tcPr>
          <w:p w14:paraId="02D4A435" w14:textId="77777777" w:rsidR="00D1587D" w:rsidRDefault="00D1587D">
            <w:pPr>
              <w:rPr>
                <w:sz w:val="24"/>
                <w:szCs w:val="24"/>
              </w:rPr>
            </w:pPr>
          </w:p>
        </w:tc>
        <w:tc>
          <w:tcPr>
            <w:tcW w:w="620" w:type="dxa"/>
            <w:vAlign w:val="bottom"/>
          </w:tcPr>
          <w:p w14:paraId="32AC2A32" w14:textId="77777777" w:rsidR="00D1587D" w:rsidRDefault="00D1587D">
            <w:pPr>
              <w:rPr>
                <w:sz w:val="24"/>
                <w:szCs w:val="24"/>
              </w:rPr>
            </w:pPr>
          </w:p>
        </w:tc>
        <w:tc>
          <w:tcPr>
            <w:tcW w:w="160" w:type="dxa"/>
            <w:vAlign w:val="bottom"/>
          </w:tcPr>
          <w:p w14:paraId="11DB88B3" w14:textId="77777777" w:rsidR="00D1587D" w:rsidRDefault="00D1587D">
            <w:pPr>
              <w:rPr>
                <w:sz w:val="24"/>
                <w:szCs w:val="24"/>
              </w:rPr>
            </w:pPr>
          </w:p>
        </w:tc>
        <w:tc>
          <w:tcPr>
            <w:tcW w:w="160" w:type="dxa"/>
            <w:vAlign w:val="bottom"/>
          </w:tcPr>
          <w:p w14:paraId="2E17FEEA" w14:textId="77777777" w:rsidR="00D1587D" w:rsidRDefault="00D1587D">
            <w:pPr>
              <w:rPr>
                <w:sz w:val="24"/>
                <w:szCs w:val="24"/>
              </w:rPr>
            </w:pPr>
          </w:p>
        </w:tc>
        <w:tc>
          <w:tcPr>
            <w:tcW w:w="820" w:type="dxa"/>
            <w:vAlign w:val="bottom"/>
          </w:tcPr>
          <w:p w14:paraId="699B2036" w14:textId="77777777" w:rsidR="00D1587D" w:rsidRDefault="00D1587D">
            <w:pPr>
              <w:rPr>
                <w:sz w:val="24"/>
                <w:szCs w:val="24"/>
              </w:rPr>
            </w:pPr>
          </w:p>
        </w:tc>
        <w:tc>
          <w:tcPr>
            <w:tcW w:w="160" w:type="dxa"/>
            <w:vAlign w:val="bottom"/>
          </w:tcPr>
          <w:p w14:paraId="7F2FA336" w14:textId="77777777" w:rsidR="00D1587D" w:rsidRDefault="00D1587D">
            <w:pPr>
              <w:rPr>
                <w:sz w:val="24"/>
                <w:szCs w:val="24"/>
              </w:rPr>
            </w:pPr>
          </w:p>
        </w:tc>
        <w:tc>
          <w:tcPr>
            <w:tcW w:w="240" w:type="dxa"/>
            <w:vAlign w:val="bottom"/>
          </w:tcPr>
          <w:p w14:paraId="61954886" w14:textId="77777777" w:rsidR="00D1587D" w:rsidRDefault="00D1587D">
            <w:pPr>
              <w:rPr>
                <w:sz w:val="24"/>
                <w:szCs w:val="24"/>
              </w:rPr>
            </w:pPr>
          </w:p>
        </w:tc>
        <w:tc>
          <w:tcPr>
            <w:tcW w:w="440" w:type="dxa"/>
            <w:vAlign w:val="bottom"/>
          </w:tcPr>
          <w:p w14:paraId="370C2AE6" w14:textId="77777777" w:rsidR="00D1587D" w:rsidRDefault="00D1587D">
            <w:pPr>
              <w:rPr>
                <w:sz w:val="24"/>
                <w:szCs w:val="24"/>
              </w:rPr>
            </w:pPr>
          </w:p>
        </w:tc>
      </w:tr>
      <w:tr w:rsidR="00D1587D" w14:paraId="7692E5CD" w14:textId="77777777">
        <w:trPr>
          <w:trHeight w:val="54"/>
        </w:trPr>
        <w:tc>
          <w:tcPr>
            <w:tcW w:w="2960" w:type="dxa"/>
            <w:vAlign w:val="bottom"/>
          </w:tcPr>
          <w:p w14:paraId="0BFDEE90" w14:textId="77777777" w:rsidR="00D1587D" w:rsidRDefault="00D1587D">
            <w:pPr>
              <w:rPr>
                <w:sz w:val="4"/>
                <w:szCs w:val="4"/>
              </w:rPr>
            </w:pPr>
          </w:p>
        </w:tc>
        <w:tc>
          <w:tcPr>
            <w:tcW w:w="1740" w:type="dxa"/>
            <w:vAlign w:val="bottom"/>
          </w:tcPr>
          <w:p w14:paraId="27B5CB5A" w14:textId="77777777" w:rsidR="00D1587D" w:rsidRDefault="00D1587D">
            <w:pPr>
              <w:rPr>
                <w:sz w:val="4"/>
                <w:szCs w:val="4"/>
              </w:rPr>
            </w:pPr>
          </w:p>
        </w:tc>
        <w:tc>
          <w:tcPr>
            <w:tcW w:w="1020" w:type="dxa"/>
            <w:vAlign w:val="bottom"/>
          </w:tcPr>
          <w:p w14:paraId="044708A7" w14:textId="77777777" w:rsidR="00D1587D" w:rsidRDefault="00D1587D">
            <w:pPr>
              <w:rPr>
                <w:sz w:val="4"/>
                <w:szCs w:val="4"/>
              </w:rPr>
            </w:pPr>
          </w:p>
        </w:tc>
        <w:tc>
          <w:tcPr>
            <w:tcW w:w="100" w:type="dxa"/>
            <w:vAlign w:val="bottom"/>
          </w:tcPr>
          <w:p w14:paraId="342390B0" w14:textId="77777777" w:rsidR="00D1587D" w:rsidRDefault="00D1587D">
            <w:pPr>
              <w:rPr>
                <w:sz w:val="4"/>
                <w:szCs w:val="4"/>
              </w:rPr>
            </w:pPr>
          </w:p>
        </w:tc>
        <w:tc>
          <w:tcPr>
            <w:tcW w:w="620" w:type="dxa"/>
            <w:vAlign w:val="bottom"/>
          </w:tcPr>
          <w:p w14:paraId="5372753F" w14:textId="77777777" w:rsidR="00D1587D" w:rsidRDefault="00D1587D">
            <w:pPr>
              <w:rPr>
                <w:sz w:val="4"/>
                <w:szCs w:val="4"/>
              </w:rPr>
            </w:pPr>
          </w:p>
        </w:tc>
        <w:tc>
          <w:tcPr>
            <w:tcW w:w="160" w:type="dxa"/>
            <w:vAlign w:val="bottom"/>
          </w:tcPr>
          <w:p w14:paraId="6908CC66" w14:textId="77777777" w:rsidR="00D1587D" w:rsidRDefault="00D1587D">
            <w:pPr>
              <w:rPr>
                <w:sz w:val="4"/>
                <w:szCs w:val="4"/>
              </w:rPr>
            </w:pPr>
          </w:p>
        </w:tc>
        <w:tc>
          <w:tcPr>
            <w:tcW w:w="160" w:type="dxa"/>
            <w:vAlign w:val="bottom"/>
          </w:tcPr>
          <w:p w14:paraId="11964F15" w14:textId="77777777" w:rsidR="00D1587D" w:rsidRDefault="00D1587D">
            <w:pPr>
              <w:rPr>
                <w:sz w:val="4"/>
                <w:szCs w:val="4"/>
              </w:rPr>
            </w:pPr>
          </w:p>
        </w:tc>
        <w:tc>
          <w:tcPr>
            <w:tcW w:w="820" w:type="dxa"/>
            <w:vAlign w:val="bottom"/>
          </w:tcPr>
          <w:p w14:paraId="4E648CEE" w14:textId="77777777" w:rsidR="00D1587D" w:rsidRDefault="00D1587D">
            <w:pPr>
              <w:rPr>
                <w:sz w:val="4"/>
                <w:szCs w:val="4"/>
              </w:rPr>
            </w:pPr>
          </w:p>
        </w:tc>
        <w:tc>
          <w:tcPr>
            <w:tcW w:w="160" w:type="dxa"/>
            <w:vAlign w:val="bottom"/>
          </w:tcPr>
          <w:p w14:paraId="027F5810" w14:textId="77777777" w:rsidR="00D1587D" w:rsidRDefault="00D1587D">
            <w:pPr>
              <w:rPr>
                <w:sz w:val="4"/>
                <w:szCs w:val="4"/>
              </w:rPr>
            </w:pPr>
          </w:p>
        </w:tc>
        <w:tc>
          <w:tcPr>
            <w:tcW w:w="240" w:type="dxa"/>
            <w:vAlign w:val="bottom"/>
          </w:tcPr>
          <w:p w14:paraId="6A6209DE" w14:textId="77777777" w:rsidR="00D1587D" w:rsidRDefault="00D1587D">
            <w:pPr>
              <w:rPr>
                <w:sz w:val="4"/>
                <w:szCs w:val="4"/>
              </w:rPr>
            </w:pPr>
          </w:p>
        </w:tc>
        <w:tc>
          <w:tcPr>
            <w:tcW w:w="440" w:type="dxa"/>
            <w:vAlign w:val="bottom"/>
          </w:tcPr>
          <w:p w14:paraId="4E21825C" w14:textId="77777777" w:rsidR="00D1587D" w:rsidRDefault="00D1587D">
            <w:pPr>
              <w:rPr>
                <w:sz w:val="4"/>
                <w:szCs w:val="4"/>
              </w:rPr>
            </w:pPr>
          </w:p>
        </w:tc>
      </w:tr>
      <w:tr w:rsidR="00D1587D" w14:paraId="194AF4BF" w14:textId="77777777">
        <w:trPr>
          <w:trHeight w:val="256"/>
        </w:trPr>
        <w:tc>
          <w:tcPr>
            <w:tcW w:w="2960" w:type="dxa"/>
            <w:shd w:val="clear" w:color="auto" w:fill="CCEEFF"/>
            <w:vAlign w:val="bottom"/>
          </w:tcPr>
          <w:p w14:paraId="7C86D644" w14:textId="77777777" w:rsidR="00D1587D" w:rsidRDefault="00410D07">
            <w:pPr>
              <w:ind w:left="180"/>
              <w:rPr>
                <w:sz w:val="20"/>
                <w:szCs w:val="20"/>
              </w:rPr>
            </w:pPr>
            <w:r>
              <w:rPr>
                <w:rFonts w:ascii="Arial" w:eastAsia="Arial" w:hAnsi="Arial" w:cs="Arial"/>
                <w:sz w:val="18"/>
                <w:szCs w:val="18"/>
              </w:rPr>
              <w:t>Common stock, $0.01 par value;</w:t>
            </w:r>
          </w:p>
        </w:tc>
        <w:tc>
          <w:tcPr>
            <w:tcW w:w="1740" w:type="dxa"/>
            <w:shd w:val="clear" w:color="auto" w:fill="CCEEFF"/>
            <w:vAlign w:val="bottom"/>
          </w:tcPr>
          <w:p w14:paraId="5BD6E503" w14:textId="77777777" w:rsidR="00D1587D" w:rsidRDefault="00410D07">
            <w:pPr>
              <w:ind w:left="140"/>
              <w:rPr>
                <w:sz w:val="20"/>
                <w:szCs w:val="20"/>
              </w:rPr>
            </w:pPr>
            <w:r>
              <w:rPr>
                <w:rFonts w:ascii="Arial" w:eastAsia="Arial" w:hAnsi="Arial" w:cs="Arial"/>
                <w:sz w:val="18"/>
                <w:szCs w:val="18"/>
              </w:rPr>
              <w:t>shares authorized,</w:t>
            </w:r>
          </w:p>
        </w:tc>
        <w:tc>
          <w:tcPr>
            <w:tcW w:w="1900" w:type="dxa"/>
            <w:gridSpan w:val="4"/>
            <w:shd w:val="clear" w:color="auto" w:fill="CCEEFF"/>
            <w:vAlign w:val="bottom"/>
          </w:tcPr>
          <w:p w14:paraId="5E1C9D19" w14:textId="77777777" w:rsidR="00D1587D" w:rsidRDefault="00410D07">
            <w:pPr>
              <w:ind w:left="280"/>
              <w:rPr>
                <w:sz w:val="20"/>
                <w:szCs w:val="20"/>
              </w:rPr>
            </w:pPr>
            <w:r>
              <w:rPr>
                <w:rFonts w:ascii="Arial" w:eastAsia="Arial" w:hAnsi="Arial" w:cs="Arial"/>
                <w:sz w:val="18"/>
                <w:szCs w:val="18"/>
              </w:rPr>
              <w:t>shares</w:t>
            </w:r>
          </w:p>
        </w:tc>
        <w:tc>
          <w:tcPr>
            <w:tcW w:w="160" w:type="dxa"/>
            <w:shd w:val="clear" w:color="auto" w:fill="CCEEFF"/>
            <w:vAlign w:val="bottom"/>
          </w:tcPr>
          <w:p w14:paraId="0AC3AF56" w14:textId="77777777" w:rsidR="00D1587D" w:rsidRDefault="00D1587D"/>
        </w:tc>
        <w:tc>
          <w:tcPr>
            <w:tcW w:w="820" w:type="dxa"/>
            <w:shd w:val="clear" w:color="auto" w:fill="CCEEFF"/>
            <w:vAlign w:val="bottom"/>
          </w:tcPr>
          <w:p w14:paraId="102A3543" w14:textId="77777777" w:rsidR="00D1587D" w:rsidRDefault="00D1587D"/>
        </w:tc>
        <w:tc>
          <w:tcPr>
            <w:tcW w:w="160" w:type="dxa"/>
            <w:shd w:val="clear" w:color="auto" w:fill="CCEEFF"/>
            <w:vAlign w:val="bottom"/>
          </w:tcPr>
          <w:p w14:paraId="3E49F59A" w14:textId="77777777" w:rsidR="00D1587D" w:rsidRDefault="00D1587D"/>
        </w:tc>
        <w:tc>
          <w:tcPr>
            <w:tcW w:w="240" w:type="dxa"/>
            <w:shd w:val="clear" w:color="auto" w:fill="CCEEFF"/>
            <w:vAlign w:val="bottom"/>
          </w:tcPr>
          <w:p w14:paraId="365FD981" w14:textId="77777777" w:rsidR="00D1587D" w:rsidRDefault="00D1587D"/>
        </w:tc>
        <w:tc>
          <w:tcPr>
            <w:tcW w:w="440" w:type="dxa"/>
            <w:shd w:val="clear" w:color="auto" w:fill="CCEEFF"/>
            <w:vAlign w:val="bottom"/>
          </w:tcPr>
          <w:p w14:paraId="16280B6C" w14:textId="77777777" w:rsidR="00D1587D" w:rsidRDefault="00D1587D"/>
        </w:tc>
      </w:tr>
      <w:tr w:rsidR="00D1587D" w14:paraId="1EAB9D0C" w14:textId="77777777">
        <w:trPr>
          <w:trHeight w:val="264"/>
        </w:trPr>
        <w:tc>
          <w:tcPr>
            <w:tcW w:w="2960" w:type="dxa"/>
            <w:tcBorders>
              <w:bottom w:val="single" w:sz="8" w:space="0" w:color="CCEEFF"/>
            </w:tcBorders>
            <w:shd w:val="clear" w:color="auto" w:fill="CCEEFF"/>
            <w:vAlign w:val="bottom"/>
          </w:tcPr>
          <w:p w14:paraId="6B9BF3F0" w14:textId="77777777" w:rsidR="00D1587D" w:rsidRDefault="00410D07">
            <w:pPr>
              <w:ind w:left="360"/>
              <w:rPr>
                <w:sz w:val="20"/>
                <w:szCs w:val="20"/>
              </w:rPr>
            </w:pPr>
            <w:r>
              <w:rPr>
                <w:rFonts w:ascii="Arial" w:eastAsia="Arial" w:hAnsi="Arial" w:cs="Arial"/>
                <w:w w:val="94"/>
                <w:sz w:val="18"/>
                <w:szCs w:val="18"/>
              </w:rPr>
              <w:t>issued and outstanding, pro forma</w:t>
            </w:r>
          </w:p>
        </w:tc>
        <w:tc>
          <w:tcPr>
            <w:tcW w:w="1740" w:type="dxa"/>
            <w:tcBorders>
              <w:bottom w:val="single" w:sz="8" w:space="0" w:color="CCEEFF"/>
            </w:tcBorders>
            <w:shd w:val="clear" w:color="auto" w:fill="CCEEFF"/>
            <w:vAlign w:val="bottom"/>
          </w:tcPr>
          <w:p w14:paraId="58EA3300" w14:textId="77777777" w:rsidR="00D1587D" w:rsidRDefault="00D1587D"/>
        </w:tc>
        <w:tc>
          <w:tcPr>
            <w:tcW w:w="1020" w:type="dxa"/>
            <w:tcBorders>
              <w:bottom w:val="single" w:sz="8" w:space="0" w:color="CCEEFF"/>
            </w:tcBorders>
            <w:shd w:val="clear" w:color="auto" w:fill="CCEEFF"/>
            <w:vAlign w:val="bottom"/>
          </w:tcPr>
          <w:p w14:paraId="2BB367BC" w14:textId="77777777" w:rsidR="00D1587D" w:rsidRDefault="00D1587D"/>
        </w:tc>
        <w:tc>
          <w:tcPr>
            <w:tcW w:w="100" w:type="dxa"/>
            <w:tcBorders>
              <w:bottom w:val="single" w:sz="8" w:space="0" w:color="CCEEFF"/>
            </w:tcBorders>
            <w:shd w:val="clear" w:color="auto" w:fill="CCEEFF"/>
            <w:vAlign w:val="bottom"/>
          </w:tcPr>
          <w:p w14:paraId="1C9F5DE2" w14:textId="77777777" w:rsidR="00D1587D" w:rsidRDefault="00D1587D"/>
        </w:tc>
        <w:tc>
          <w:tcPr>
            <w:tcW w:w="780" w:type="dxa"/>
            <w:gridSpan w:val="2"/>
            <w:tcBorders>
              <w:bottom w:val="single" w:sz="8" w:space="0" w:color="CCEEFF"/>
            </w:tcBorders>
            <w:shd w:val="clear" w:color="auto" w:fill="CCEEFF"/>
            <w:vAlign w:val="bottom"/>
          </w:tcPr>
          <w:p w14:paraId="28E15EA0" w14:textId="77777777" w:rsidR="00D1587D" w:rsidRDefault="00410D07">
            <w:pPr>
              <w:ind w:right="240"/>
              <w:jc w:val="right"/>
              <w:rPr>
                <w:sz w:val="20"/>
                <w:szCs w:val="20"/>
              </w:rPr>
            </w:pPr>
            <w:r>
              <w:rPr>
                <w:rFonts w:ascii="Arial" w:eastAsia="Arial" w:hAnsi="Arial" w:cs="Arial"/>
                <w:sz w:val="18"/>
                <w:szCs w:val="18"/>
              </w:rPr>
              <w:t>—</w:t>
            </w:r>
          </w:p>
        </w:tc>
        <w:tc>
          <w:tcPr>
            <w:tcW w:w="160" w:type="dxa"/>
            <w:tcBorders>
              <w:bottom w:val="single" w:sz="8" w:space="0" w:color="CCEEFF"/>
            </w:tcBorders>
            <w:shd w:val="clear" w:color="auto" w:fill="CCEEFF"/>
            <w:vAlign w:val="bottom"/>
          </w:tcPr>
          <w:p w14:paraId="68F7EA74" w14:textId="77777777" w:rsidR="00D1587D" w:rsidRDefault="00D1587D"/>
        </w:tc>
        <w:tc>
          <w:tcPr>
            <w:tcW w:w="980" w:type="dxa"/>
            <w:gridSpan w:val="2"/>
            <w:tcBorders>
              <w:bottom w:val="single" w:sz="8" w:space="0" w:color="CCEEFF"/>
            </w:tcBorders>
            <w:shd w:val="clear" w:color="auto" w:fill="CCEEFF"/>
            <w:vAlign w:val="bottom"/>
          </w:tcPr>
          <w:p w14:paraId="09EA452D" w14:textId="77777777" w:rsidR="00D1587D" w:rsidRDefault="00410D07">
            <w:pPr>
              <w:ind w:right="160"/>
              <w:jc w:val="right"/>
              <w:rPr>
                <w:sz w:val="20"/>
                <w:szCs w:val="20"/>
              </w:rPr>
            </w:pPr>
            <w:r>
              <w:rPr>
                <w:rFonts w:ascii="Arial" w:eastAsia="Arial" w:hAnsi="Arial" w:cs="Arial"/>
                <w:sz w:val="18"/>
                <w:szCs w:val="18"/>
              </w:rPr>
              <w:t>(d)</w:t>
            </w:r>
          </w:p>
        </w:tc>
        <w:tc>
          <w:tcPr>
            <w:tcW w:w="240" w:type="dxa"/>
            <w:tcBorders>
              <w:bottom w:val="single" w:sz="8" w:space="0" w:color="CCEEFF"/>
            </w:tcBorders>
            <w:shd w:val="clear" w:color="auto" w:fill="CCEEFF"/>
            <w:vAlign w:val="bottom"/>
          </w:tcPr>
          <w:p w14:paraId="7B6C8B70" w14:textId="77777777" w:rsidR="00D1587D" w:rsidRDefault="00D1587D"/>
        </w:tc>
        <w:tc>
          <w:tcPr>
            <w:tcW w:w="440" w:type="dxa"/>
            <w:tcBorders>
              <w:bottom w:val="single" w:sz="8" w:space="0" w:color="CCEEFF"/>
            </w:tcBorders>
            <w:shd w:val="clear" w:color="auto" w:fill="CCEEFF"/>
            <w:vAlign w:val="bottom"/>
          </w:tcPr>
          <w:p w14:paraId="0E2E3B75" w14:textId="77777777" w:rsidR="00D1587D" w:rsidRDefault="00410D07">
            <w:pPr>
              <w:ind w:right="10"/>
              <w:jc w:val="right"/>
              <w:rPr>
                <w:sz w:val="20"/>
                <w:szCs w:val="20"/>
              </w:rPr>
            </w:pPr>
            <w:r>
              <w:rPr>
                <w:rFonts w:ascii="Arial" w:eastAsia="Arial" w:hAnsi="Arial" w:cs="Arial"/>
                <w:sz w:val="18"/>
                <w:szCs w:val="18"/>
              </w:rPr>
              <w:t>—</w:t>
            </w:r>
          </w:p>
        </w:tc>
      </w:tr>
      <w:tr w:rsidR="00D1587D" w14:paraId="202FFE55" w14:textId="77777777">
        <w:trPr>
          <w:trHeight w:val="270"/>
        </w:trPr>
        <w:tc>
          <w:tcPr>
            <w:tcW w:w="2960" w:type="dxa"/>
            <w:vAlign w:val="bottom"/>
          </w:tcPr>
          <w:p w14:paraId="38B488E9" w14:textId="77777777" w:rsidR="00D1587D" w:rsidRDefault="00410D07">
            <w:pPr>
              <w:ind w:left="180"/>
              <w:rPr>
                <w:sz w:val="20"/>
                <w:szCs w:val="20"/>
              </w:rPr>
            </w:pPr>
            <w:r>
              <w:rPr>
                <w:rFonts w:ascii="Arial" w:eastAsia="Arial" w:hAnsi="Arial" w:cs="Arial"/>
                <w:sz w:val="18"/>
                <w:szCs w:val="18"/>
              </w:rPr>
              <w:t>Paid-in Capital</w:t>
            </w:r>
          </w:p>
        </w:tc>
        <w:tc>
          <w:tcPr>
            <w:tcW w:w="1740" w:type="dxa"/>
            <w:vAlign w:val="bottom"/>
          </w:tcPr>
          <w:p w14:paraId="00F52B4A" w14:textId="77777777" w:rsidR="00D1587D" w:rsidRDefault="00D1587D">
            <w:pPr>
              <w:rPr>
                <w:sz w:val="23"/>
                <w:szCs w:val="23"/>
              </w:rPr>
            </w:pPr>
          </w:p>
        </w:tc>
        <w:tc>
          <w:tcPr>
            <w:tcW w:w="1020" w:type="dxa"/>
            <w:vAlign w:val="bottom"/>
          </w:tcPr>
          <w:p w14:paraId="588A64C9" w14:textId="77777777" w:rsidR="00D1587D" w:rsidRDefault="00D1587D">
            <w:pPr>
              <w:rPr>
                <w:sz w:val="23"/>
                <w:szCs w:val="23"/>
              </w:rPr>
            </w:pPr>
          </w:p>
        </w:tc>
        <w:tc>
          <w:tcPr>
            <w:tcW w:w="100" w:type="dxa"/>
            <w:vAlign w:val="bottom"/>
          </w:tcPr>
          <w:p w14:paraId="504967FC" w14:textId="77777777" w:rsidR="00D1587D" w:rsidRDefault="00D1587D">
            <w:pPr>
              <w:rPr>
                <w:sz w:val="23"/>
                <w:szCs w:val="23"/>
              </w:rPr>
            </w:pPr>
          </w:p>
        </w:tc>
        <w:tc>
          <w:tcPr>
            <w:tcW w:w="780" w:type="dxa"/>
            <w:gridSpan w:val="2"/>
            <w:vAlign w:val="bottom"/>
          </w:tcPr>
          <w:p w14:paraId="2B27023E" w14:textId="77777777" w:rsidR="00D1587D" w:rsidRDefault="00410D07">
            <w:pPr>
              <w:ind w:right="240"/>
              <w:jc w:val="right"/>
              <w:rPr>
                <w:sz w:val="20"/>
                <w:szCs w:val="20"/>
              </w:rPr>
            </w:pPr>
            <w:r>
              <w:rPr>
                <w:rFonts w:ascii="Arial" w:eastAsia="Arial" w:hAnsi="Arial" w:cs="Arial"/>
                <w:sz w:val="18"/>
                <w:szCs w:val="18"/>
              </w:rPr>
              <w:t>—</w:t>
            </w:r>
          </w:p>
        </w:tc>
        <w:tc>
          <w:tcPr>
            <w:tcW w:w="160" w:type="dxa"/>
            <w:vAlign w:val="bottom"/>
          </w:tcPr>
          <w:p w14:paraId="128DDA3F" w14:textId="77777777" w:rsidR="00D1587D" w:rsidRDefault="00D1587D">
            <w:pPr>
              <w:rPr>
                <w:sz w:val="23"/>
                <w:szCs w:val="23"/>
              </w:rPr>
            </w:pPr>
          </w:p>
        </w:tc>
        <w:tc>
          <w:tcPr>
            <w:tcW w:w="980" w:type="dxa"/>
            <w:gridSpan w:val="2"/>
            <w:vAlign w:val="bottom"/>
          </w:tcPr>
          <w:p w14:paraId="66FA4E91" w14:textId="77777777" w:rsidR="00D1587D" w:rsidRDefault="00410D07">
            <w:pPr>
              <w:ind w:right="160"/>
              <w:jc w:val="right"/>
              <w:rPr>
                <w:sz w:val="20"/>
                <w:szCs w:val="20"/>
              </w:rPr>
            </w:pPr>
            <w:r>
              <w:rPr>
                <w:rFonts w:ascii="Arial" w:eastAsia="Arial" w:hAnsi="Arial" w:cs="Arial"/>
                <w:sz w:val="18"/>
                <w:szCs w:val="18"/>
              </w:rPr>
              <w:t>95(d)</w:t>
            </w:r>
          </w:p>
        </w:tc>
        <w:tc>
          <w:tcPr>
            <w:tcW w:w="240" w:type="dxa"/>
            <w:vAlign w:val="bottom"/>
          </w:tcPr>
          <w:p w14:paraId="2BA50CE9" w14:textId="77777777" w:rsidR="00D1587D" w:rsidRDefault="00D1587D">
            <w:pPr>
              <w:rPr>
                <w:sz w:val="23"/>
                <w:szCs w:val="23"/>
              </w:rPr>
            </w:pPr>
          </w:p>
        </w:tc>
        <w:tc>
          <w:tcPr>
            <w:tcW w:w="440" w:type="dxa"/>
            <w:vAlign w:val="bottom"/>
          </w:tcPr>
          <w:p w14:paraId="75ED0043" w14:textId="77777777" w:rsidR="00D1587D" w:rsidRDefault="00410D07">
            <w:pPr>
              <w:ind w:right="10"/>
              <w:jc w:val="right"/>
              <w:rPr>
                <w:sz w:val="20"/>
                <w:szCs w:val="20"/>
              </w:rPr>
            </w:pPr>
            <w:r>
              <w:rPr>
                <w:rFonts w:ascii="Arial" w:eastAsia="Arial" w:hAnsi="Arial" w:cs="Arial"/>
                <w:sz w:val="18"/>
                <w:szCs w:val="18"/>
              </w:rPr>
              <w:t>95</w:t>
            </w:r>
          </w:p>
        </w:tc>
      </w:tr>
      <w:tr w:rsidR="00D1587D" w14:paraId="47E7EC3F" w14:textId="77777777">
        <w:trPr>
          <w:trHeight w:val="54"/>
        </w:trPr>
        <w:tc>
          <w:tcPr>
            <w:tcW w:w="4700" w:type="dxa"/>
            <w:gridSpan w:val="2"/>
            <w:vAlign w:val="bottom"/>
          </w:tcPr>
          <w:p w14:paraId="6C3CBD3F" w14:textId="77777777" w:rsidR="00D1587D" w:rsidRDefault="00D1587D">
            <w:pPr>
              <w:rPr>
                <w:sz w:val="4"/>
                <w:szCs w:val="4"/>
              </w:rPr>
            </w:pPr>
          </w:p>
        </w:tc>
        <w:tc>
          <w:tcPr>
            <w:tcW w:w="1020" w:type="dxa"/>
            <w:vAlign w:val="bottom"/>
          </w:tcPr>
          <w:p w14:paraId="713506D4" w14:textId="77777777" w:rsidR="00D1587D" w:rsidRDefault="00D1587D">
            <w:pPr>
              <w:rPr>
                <w:sz w:val="4"/>
                <w:szCs w:val="4"/>
              </w:rPr>
            </w:pPr>
          </w:p>
        </w:tc>
        <w:tc>
          <w:tcPr>
            <w:tcW w:w="100" w:type="dxa"/>
            <w:vAlign w:val="bottom"/>
          </w:tcPr>
          <w:p w14:paraId="1A53F76B" w14:textId="77777777" w:rsidR="00D1587D" w:rsidRDefault="00D1587D">
            <w:pPr>
              <w:rPr>
                <w:sz w:val="4"/>
                <w:szCs w:val="4"/>
              </w:rPr>
            </w:pPr>
          </w:p>
        </w:tc>
        <w:tc>
          <w:tcPr>
            <w:tcW w:w="620" w:type="dxa"/>
            <w:vAlign w:val="bottom"/>
          </w:tcPr>
          <w:p w14:paraId="224775DA" w14:textId="77777777" w:rsidR="00D1587D" w:rsidRDefault="00D1587D">
            <w:pPr>
              <w:rPr>
                <w:sz w:val="4"/>
                <w:szCs w:val="4"/>
              </w:rPr>
            </w:pPr>
          </w:p>
        </w:tc>
        <w:tc>
          <w:tcPr>
            <w:tcW w:w="160" w:type="dxa"/>
            <w:vAlign w:val="bottom"/>
          </w:tcPr>
          <w:p w14:paraId="2A80E598" w14:textId="77777777" w:rsidR="00D1587D" w:rsidRDefault="00D1587D">
            <w:pPr>
              <w:rPr>
                <w:sz w:val="4"/>
                <w:szCs w:val="4"/>
              </w:rPr>
            </w:pPr>
          </w:p>
        </w:tc>
        <w:tc>
          <w:tcPr>
            <w:tcW w:w="160" w:type="dxa"/>
            <w:vAlign w:val="bottom"/>
          </w:tcPr>
          <w:p w14:paraId="2DF4B0F1" w14:textId="77777777" w:rsidR="00D1587D" w:rsidRDefault="00D1587D">
            <w:pPr>
              <w:rPr>
                <w:sz w:val="4"/>
                <w:szCs w:val="4"/>
              </w:rPr>
            </w:pPr>
          </w:p>
        </w:tc>
        <w:tc>
          <w:tcPr>
            <w:tcW w:w="820" w:type="dxa"/>
            <w:vAlign w:val="bottom"/>
          </w:tcPr>
          <w:p w14:paraId="1F34D449" w14:textId="77777777" w:rsidR="00D1587D" w:rsidRDefault="00D1587D">
            <w:pPr>
              <w:rPr>
                <w:sz w:val="4"/>
                <w:szCs w:val="4"/>
              </w:rPr>
            </w:pPr>
          </w:p>
        </w:tc>
        <w:tc>
          <w:tcPr>
            <w:tcW w:w="160" w:type="dxa"/>
            <w:vAlign w:val="bottom"/>
          </w:tcPr>
          <w:p w14:paraId="48C0B9FA" w14:textId="77777777" w:rsidR="00D1587D" w:rsidRDefault="00D1587D">
            <w:pPr>
              <w:rPr>
                <w:sz w:val="4"/>
                <w:szCs w:val="4"/>
              </w:rPr>
            </w:pPr>
          </w:p>
        </w:tc>
        <w:tc>
          <w:tcPr>
            <w:tcW w:w="240" w:type="dxa"/>
            <w:vAlign w:val="bottom"/>
          </w:tcPr>
          <w:p w14:paraId="24AB9446" w14:textId="77777777" w:rsidR="00D1587D" w:rsidRDefault="00D1587D">
            <w:pPr>
              <w:rPr>
                <w:sz w:val="4"/>
                <w:szCs w:val="4"/>
              </w:rPr>
            </w:pPr>
          </w:p>
        </w:tc>
        <w:tc>
          <w:tcPr>
            <w:tcW w:w="440" w:type="dxa"/>
            <w:vAlign w:val="bottom"/>
          </w:tcPr>
          <w:p w14:paraId="6563FCD9" w14:textId="77777777" w:rsidR="00D1587D" w:rsidRDefault="00D1587D">
            <w:pPr>
              <w:rPr>
                <w:sz w:val="4"/>
                <w:szCs w:val="4"/>
              </w:rPr>
            </w:pPr>
          </w:p>
        </w:tc>
      </w:tr>
      <w:tr w:rsidR="00D1587D" w14:paraId="1DFD0A50" w14:textId="77777777">
        <w:trPr>
          <w:trHeight w:val="304"/>
        </w:trPr>
        <w:tc>
          <w:tcPr>
            <w:tcW w:w="4700" w:type="dxa"/>
            <w:gridSpan w:val="2"/>
            <w:tcBorders>
              <w:bottom w:val="single" w:sz="8" w:space="0" w:color="CCEEFF"/>
            </w:tcBorders>
            <w:shd w:val="clear" w:color="auto" w:fill="CCEEFF"/>
            <w:vAlign w:val="bottom"/>
          </w:tcPr>
          <w:p w14:paraId="275EF771" w14:textId="77777777" w:rsidR="00D1587D" w:rsidRDefault="00410D07">
            <w:pPr>
              <w:ind w:left="180"/>
              <w:rPr>
                <w:sz w:val="20"/>
                <w:szCs w:val="20"/>
              </w:rPr>
            </w:pPr>
            <w:r>
              <w:rPr>
                <w:rFonts w:ascii="Arial" w:eastAsia="Arial" w:hAnsi="Arial" w:cs="Arial"/>
                <w:sz w:val="18"/>
                <w:szCs w:val="18"/>
              </w:rPr>
              <w:t>Accumulated Other Comprehensive Income</w:t>
            </w:r>
          </w:p>
        </w:tc>
        <w:tc>
          <w:tcPr>
            <w:tcW w:w="1740" w:type="dxa"/>
            <w:gridSpan w:val="3"/>
            <w:tcBorders>
              <w:bottom w:val="single" w:sz="8" w:space="0" w:color="CCEEFF"/>
            </w:tcBorders>
            <w:shd w:val="clear" w:color="auto" w:fill="CCEEFF"/>
            <w:vAlign w:val="bottom"/>
          </w:tcPr>
          <w:p w14:paraId="014779A1" w14:textId="77777777" w:rsidR="00D1587D" w:rsidRDefault="00410D07">
            <w:pPr>
              <w:jc w:val="right"/>
              <w:rPr>
                <w:sz w:val="20"/>
                <w:szCs w:val="20"/>
              </w:rPr>
            </w:pPr>
            <w:r>
              <w:rPr>
                <w:rFonts w:ascii="Arial" w:eastAsia="Arial" w:hAnsi="Arial" w:cs="Arial"/>
                <w:sz w:val="18"/>
                <w:szCs w:val="18"/>
              </w:rPr>
              <w:t>7</w:t>
            </w:r>
          </w:p>
        </w:tc>
        <w:tc>
          <w:tcPr>
            <w:tcW w:w="160" w:type="dxa"/>
            <w:tcBorders>
              <w:bottom w:val="single" w:sz="8" w:space="0" w:color="CCEEFF"/>
            </w:tcBorders>
            <w:shd w:val="clear" w:color="auto" w:fill="CCEEFF"/>
            <w:vAlign w:val="bottom"/>
          </w:tcPr>
          <w:p w14:paraId="2E11C538" w14:textId="77777777" w:rsidR="00D1587D" w:rsidRDefault="00D1587D">
            <w:pPr>
              <w:rPr>
                <w:sz w:val="24"/>
                <w:szCs w:val="24"/>
              </w:rPr>
            </w:pPr>
          </w:p>
        </w:tc>
        <w:tc>
          <w:tcPr>
            <w:tcW w:w="160" w:type="dxa"/>
            <w:tcBorders>
              <w:bottom w:val="single" w:sz="8" w:space="0" w:color="CCEEFF"/>
            </w:tcBorders>
            <w:shd w:val="clear" w:color="auto" w:fill="CCEEFF"/>
            <w:vAlign w:val="bottom"/>
          </w:tcPr>
          <w:p w14:paraId="7AC7C3DE" w14:textId="77777777" w:rsidR="00D1587D" w:rsidRDefault="00D1587D">
            <w:pPr>
              <w:rPr>
                <w:sz w:val="24"/>
                <w:szCs w:val="24"/>
              </w:rPr>
            </w:pPr>
          </w:p>
        </w:tc>
        <w:tc>
          <w:tcPr>
            <w:tcW w:w="980" w:type="dxa"/>
            <w:gridSpan w:val="2"/>
            <w:tcBorders>
              <w:bottom w:val="single" w:sz="8" w:space="0" w:color="CCEEFF"/>
            </w:tcBorders>
            <w:shd w:val="clear" w:color="auto" w:fill="CCEEFF"/>
            <w:vAlign w:val="bottom"/>
          </w:tcPr>
          <w:p w14:paraId="5CB20EC6" w14:textId="77777777" w:rsidR="00D1587D" w:rsidRDefault="00410D07">
            <w:pPr>
              <w:ind w:right="160"/>
              <w:jc w:val="right"/>
              <w:rPr>
                <w:sz w:val="20"/>
                <w:szCs w:val="20"/>
              </w:rPr>
            </w:pPr>
            <w:r>
              <w:rPr>
                <w:rFonts w:ascii="Arial" w:eastAsia="Arial" w:hAnsi="Arial" w:cs="Arial"/>
                <w:sz w:val="18"/>
                <w:szCs w:val="18"/>
              </w:rPr>
              <w:t>—</w:t>
            </w:r>
          </w:p>
        </w:tc>
        <w:tc>
          <w:tcPr>
            <w:tcW w:w="240" w:type="dxa"/>
            <w:tcBorders>
              <w:bottom w:val="single" w:sz="8" w:space="0" w:color="CCEEFF"/>
            </w:tcBorders>
            <w:shd w:val="clear" w:color="auto" w:fill="CCEEFF"/>
            <w:vAlign w:val="bottom"/>
          </w:tcPr>
          <w:p w14:paraId="35EDB28C" w14:textId="77777777" w:rsidR="00D1587D" w:rsidRDefault="00D1587D">
            <w:pPr>
              <w:rPr>
                <w:sz w:val="24"/>
                <w:szCs w:val="24"/>
              </w:rPr>
            </w:pPr>
          </w:p>
        </w:tc>
        <w:tc>
          <w:tcPr>
            <w:tcW w:w="440" w:type="dxa"/>
            <w:tcBorders>
              <w:bottom w:val="single" w:sz="8" w:space="0" w:color="CCEEFF"/>
            </w:tcBorders>
            <w:shd w:val="clear" w:color="auto" w:fill="CCEEFF"/>
            <w:vAlign w:val="bottom"/>
          </w:tcPr>
          <w:p w14:paraId="7AE77EEB" w14:textId="77777777" w:rsidR="00D1587D" w:rsidRDefault="00410D07">
            <w:pPr>
              <w:jc w:val="right"/>
              <w:rPr>
                <w:sz w:val="20"/>
                <w:szCs w:val="20"/>
              </w:rPr>
            </w:pPr>
            <w:r>
              <w:rPr>
                <w:rFonts w:ascii="Arial" w:eastAsia="Arial" w:hAnsi="Arial" w:cs="Arial"/>
                <w:sz w:val="18"/>
                <w:szCs w:val="18"/>
              </w:rPr>
              <w:t>7</w:t>
            </w:r>
          </w:p>
        </w:tc>
      </w:tr>
      <w:tr w:rsidR="00D1587D" w14:paraId="087F5EFB" w14:textId="77777777">
        <w:trPr>
          <w:trHeight w:val="270"/>
        </w:trPr>
        <w:tc>
          <w:tcPr>
            <w:tcW w:w="2960" w:type="dxa"/>
            <w:vAlign w:val="bottom"/>
          </w:tcPr>
          <w:p w14:paraId="0F816C2B" w14:textId="77777777" w:rsidR="00D1587D" w:rsidRDefault="00410D07">
            <w:pPr>
              <w:ind w:left="180"/>
              <w:rPr>
                <w:sz w:val="20"/>
                <w:szCs w:val="20"/>
              </w:rPr>
            </w:pPr>
            <w:r>
              <w:rPr>
                <w:rFonts w:ascii="Arial" w:eastAsia="Arial" w:hAnsi="Arial" w:cs="Arial"/>
                <w:sz w:val="18"/>
                <w:szCs w:val="18"/>
              </w:rPr>
              <w:t xml:space="preserve">Net </w:t>
            </w:r>
            <w:r>
              <w:rPr>
                <w:rFonts w:ascii="Arial" w:eastAsia="Arial" w:hAnsi="Arial" w:cs="Arial"/>
                <w:sz w:val="18"/>
                <w:szCs w:val="18"/>
              </w:rPr>
              <w:t>Investment by L Brands. Inc.</w:t>
            </w:r>
          </w:p>
        </w:tc>
        <w:tc>
          <w:tcPr>
            <w:tcW w:w="1740" w:type="dxa"/>
            <w:vAlign w:val="bottom"/>
          </w:tcPr>
          <w:p w14:paraId="731F5D93" w14:textId="77777777" w:rsidR="00D1587D" w:rsidRDefault="00D1587D">
            <w:pPr>
              <w:rPr>
                <w:sz w:val="23"/>
                <w:szCs w:val="23"/>
              </w:rPr>
            </w:pPr>
          </w:p>
        </w:tc>
        <w:tc>
          <w:tcPr>
            <w:tcW w:w="1740" w:type="dxa"/>
            <w:gridSpan w:val="3"/>
            <w:vAlign w:val="bottom"/>
          </w:tcPr>
          <w:p w14:paraId="1555B3D6" w14:textId="77777777" w:rsidR="00D1587D" w:rsidRDefault="00410D07">
            <w:pPr>
              <w:jc w:val="right"/>
              <w:rPr>
                <w:sz w:val="20"/>
                <w:szCs w:val="20"/>
              </w:rPr>
            </w:pPr>
            <w:r>
              <w:rPr>
                <w:rFonts w:ascii="Arial" w:eastAsia="Arial" w:hAnsi="Arial" w:cs="Arial"/>
                <w:sz w:val="18"/>
                <w:szCs w:val="18"/>
              </w:rPr>
              <w:t>1,000</w:t>
            </w:r>
          </w:p>
        </w:tc>
        <w:tc>
          <w:tcPr>
            <w:tcW w:w="160" w:type="dxa"/>
            <w:vAlign w:val="bottom"/>
          </w:tcPr>
          <w:p w14:paraId="13E0CDB8" w14:textId="77777777" w:rsidR="00D1587D" w:rsidRDefault="00D1587D">
            <w:pPr>
              <w:rPr>
                <w:sz w:val="23"/>
                <w:szCs w:val="23"/>
              </w:rPr>
            </w:pPr>
          </w:p>
        </w:tc>
        <w:tc>
          <w:tcPr>
            <w:tcW w:w="160" w:type="dxa"/>
            <w:vAlign w:val="bottom"/>
          </w:tcPr>
          <w:p w14:paraId="3240CF6E" w14:textId="77777777" w:rsidR="00D1587D" w:rsidRDefault="00D1587D">
            <w:pPr>
              <w:rPr>
                <w:sz w:val="23"/>
                <w:szCs w:val="23"/>
              </w:rPr>
            </w:pPr>
          </w:p>
        </w:tc>
        <w:tc>
          <w:tcPr>
            <w:tcW w:w="980" w:type="dxa"/>
            <w:gridSpan w:val="2"/>
            <w:vAlign w:val="bottom"/>
          </w:tcPr>
          <w:p w14:paraId="7B6282A7" w14:textId="77777777" w:rsidR="00D1587D" w:rsidRDefault="00410D07">
            <w:pPr>
              <w:ind w:right="160"/>
              <w:jc w:val="right"/>
              <w:rPr>
                <w:sz w:val="20"/>
                <w:szCs w:val="20"/>
              </w:rPr>
            </w:pPr>
            <w:r>
              <w:rPr>
                <w:rFonts w:ascii="Arial" w:eastAsia="Arial" w:hAnsi="Arial" w:cs="Arial"/>
                <w:sz w:val="18"/>
                <w:szCs w:val="18"/>
              </w:rPr>
              <w:t>(1,000)(d)</w:t>
            </w:r>
          </w:p>
        </w:tc>
        <w:tc>
          <w:tcPr>
            <w:tcW w:w="240" w:type="dxa"/>
            <w:vAlign w:val="bottom"/>
          </w:tcPr>
          <w:p w14:paraId="0D3B3CC1" w14:textId="77777777" w:rsidR="00D1587D" w:rsidRDefault="00D1587D">
            <w:pPr>
              <w:rPr>
                <w:sz w:val="23"/>
                <w:szCs w:val="23"/>
              </w:rPr>
            </w:pPr>
          </w:p>
        </w:tc>
        <w:tc>
          <w:tcPr>
            <w:tcW w:w="440" w:type="dxa"/>
            <w:vAlign w:val="bottom"/>
          </w:tcPr>
          <w:p w14:paraId="349663CC" w14:textId="77777777" w:rsidR="00D1587D" w:rsidRDefault="00410D07">
            <w:pPr>
              <w:ind w:right="10"/>
              <w:jc w:val="right"/>
              <w:rPr>
                <w:sz w:val="20"/>
                <w:szCs w:val="20"/>
              </w:rPr>
            </w:pPr>
            <w:r>
              <w:rPr>
                <w:rFonts w:ascii="Arial" w:eastAsia="Arial" w:hAnsi="Arial" w:cs="Arial"/>
                <w:sz w:val="18"/>
                <w:szCs w:val="18"/>
              </w:rPr>
              <w:t>—</w:t>
            </w:r>
          </w:p>
        </w:tc>
      </w:tr>
      <w:tr w:rsidR="00D1587D" w14:paraId="04E180CC" w14:textId="77777777">
        <w:trPr>
          <w:trHeight w:val="68"/>
        </w:trPr>
        <w:tc>
          <w:tcPr>
            <w:tcW w:w="2960" w:type="dxa"/>
            <w:tcBorders>
              <w:bottom w:val="single" w:sz="8" w:space="0" w:color="CCEEFF"/>
            </w:tcBorders>
            <w:vAlign w:val="bottom"/>
          </w:tcPr>
          <w:p w14:paraId="196B7CCE" w14:textId="77777777" w:rsidR="00D1587D" w:rsidRDefault="00D1587D">
            <w:pPr>
              <w:rPr>
                <w:sz w:val="5"/>
                <w:szCs w:val="5"/>
              </w:rPr>
            </w:pPr>
          </w:p>
        </w:tc>
        <w:tc>
          <w:tcPr>
            <w:tcW w:w="1740" w:type="dxa"/>
            <w:tcBorders>
              <w:bottom w:val="single" w:sz="8" w:space="0" w:color="CCEEFF"/>
            </w:tcBorders>
            <w:vAlign w:val="bottom"/>
          </w:tcPr>
          <w:p w14:paraId="4B9FB876" w14:textId="77777777" w:rsidR="00D1587D" w:rsidRDefault="00D1587D">
            <w:pPr>
              <w:rPr>
                <w:sz w:val="5"/>
                <w:szCs w:val="5"/>
              </w:rPr>
            </w:pPr>
          </w:p>
        </w:tc>
        <w:tc>
          <w:tcPr>
            <w:tcW w:w="1020" w:type="dxa"/>
            <w:tcBorders>
              <w:bottom w:val="single" w:sz="8" w:space="0" w:color="CCEEFF"/>
            </w:tcBorders>
            <w:vAlign w:val="bottom"/>
          </w:tcPr>
          <w:p w14:paraId="49746799" w14:textId="77777777" w:rsidR="00D1587D" w:rsidRDefault="00D1587D">
            <w:pPr>
              <w:rPr>
                <w:sz w:val="5"/>
                <w:szCs w:val="5"/>
              </w:rPr>
            </w:pPr>
          </w:p>
        </w:tc>
        <w:tc>
          <w:tcPr>
            <w:tcW w:w="100" w:type="dxa"/>
            <w:tcBorders>
              <w:bottom w:val="single" w:sz="8" w:space="0" w:color="CCEEFF"/>
            </w:tcBorders>
            <w:vAlign w:val="bottom"/>
          </w:tcPr>
          <w:p w14:paraId="11B74588" w14:textId="77777777" w:rsidR="00D1587D" w:rsidRDefault="00D1587D">
            <w:pPr>
              <w:rPr>
                <w:sz w:val="5"/>
                <w:szCs w:val="5"/>
              </w:rPr>
            </w:pPr>
          </w:p>
        </w:tc>
        <w:tc>
          <w:tcPr>
            <w:tcW w:w="620" w:type="dxa"/>
            <w:tcBorders>
              <w:bottom w:val="single" w:sz="8" w:space="0" w:color="auto"/>
            </w:tcBorders>
            <w:vAlign w:val="bottom"/>
          </w:tcPr>
          <w:p w14:paraId="3EF329EE" w14:textId="77777777" w:rsidR="00D1587D" w:rsidRDefault="00D1587D">
            <w:pPr>
              <w:rPr>
                <w:sz w:val="5"/>
                <w:szCs w:val="5"/>
              </w:rPr>
            </w:pPr>
          </w:p>
        </w:tc>
        <w:tc>
          <w:tcPr>
            <w:tcW w:w="160" w:type="dxa"/>
            <w:tcBorders>
              <w:bottom w:val="single" w:sz="8" w:space="0" w:color="CCEEFF"/>
            </w:tcBorders>
            <w:vAlign w:val="bottom"/>
          </w:tcPr>
          <w:p w14:paraId="119C59CB" w14:textId="77777777" w:rsidR="00D1587D" w:rsidRDefault="00D1587D">
            <w:pPr>
              <w:rPr>
                <w:sz w:val="5"/>
                <w:szCs w:val="5"/>
              </w:rPr>
            </w:pPr>
          </w:p>
        </w:tc>
        <w:tc>
          <w:tcPr>
            <w:tcW w:w="160" w:type="dxa"/>
            <w:tcBorders>
              <w:bottom w:val="single" w:sz="8" w:space="0" w:color="auto"/>
            </w:tcBorders>
            <w:vAlign w:val="bottom"/>
          </w:tcPr>
          <w:p w14:paraId="362D7B6A" w14:textId="77777777" w:rsidR="00D1587D" w:rsidRDefault="00D1587D">
            <w:pPr>
              <w:rPr>
                <w:sz w:val="5"/>
                <w:szCs w:val="5"/>
              </w:rPr>
            </w:pPr>
          </w:p>
        </w:tc>
        <w:tc>
          <w:tcPr>
            <w:tcW w:w="820" w:type="dxa"/>
            <w:tcBorders>
              <w:bottom w:val="single" w:sz="8" w:space="0" w:color="auto"/>
            </w:tcBorders>
            <w:vAlign w:val="bottom"/>
          </w:tcPr>
          <w:p w14:paraId="09E473F8" w14:textId="77777777" w:rsidR="00D1587D" w:rsidRDefault="00D1587D">
            <w:pPr>
              <w:rPr>
                <w:sz w:val="5"/>
                <w:szCs w:val="5"/>
              </w:rPr>
            </w:pPr>
          </w:p>
        </w:tc>
        <w:tc>
          <w:tcPr>
            <w:tcW w:w="160" w:type="dxa"/>
            <w:tcBorders>
              <w:bottom w:val="single" w:sz="8" w:space="0" w:color="CCEEFF"/>
            </w:tcBorders>
            <w:vAlign w:val="bottom"/>
          </w:tcPr>
          <w:p w14:paraId="1C419822" w14:textId="77777777" w:rsidR="00D1587D" w:rsidRDefault="00D1587D">
            <w:pPr>
              <w:rPr>
                <w:sz w:val="5"/>
                <w:szCs w:val="5"/>
              </w:rPr>
            </w:pPr>
          </w:p>
        </w:tc>
        <w:tc>
          <w:tcPr>
            <w:tcW w:w="240" w:type="dxa"/>
            <w:tcBorders>
              <w:bottom w:val="single" w:sz="8" w:space="0" w:color="auto"/>
            </w:tcBorders>
            <w:vAlign w:val="bottom"/>
          </w:tcPr>
          <w:p w14:paraId="1B761C2E" w14:textId="77777777" w:rsidR="00D1587D" w:rsidRDefault="00D1587D">
            <w:pPr>
              <w:rPr>
                <w:sz w:val="5"/>
                <w:szCs w:val="5"/>
              </w:rPr>
            </w:pPr>
          </w:p>
        </w:tc>
        <w:tc>
          <w:tcPr>
            <w:tcW w:w="440" w:type="dxa"/>
            <w:tcBorders>
              <w:bottom w:val="single" w:sz="8" w:space="0" w:color="auto"/>
            </w:tcBorders>
            <w:vAlign w:val="bottom"/>
          </w:tcPr>
          <w:p w14:paraId="1D23E3A9" w14:textId="77777777" w:rsidR="00D1587D" w:rsidRDefault="00D1587D">
            <w:pPr>
              <w:rPr>
                <w:sz w:val="5"/>
                <w:szCs w:val="5"/>
              </w:rPr>
            </w:pPr>
          </w:p>
        </w:tc>
      </w:tr>
      <w:tr w:rsidR="00D1587D" w14:paraId="6392A961" w14:textId="77777777">
        <w:trPr>
          <w:trHeight w:val="277"/>
        </w:trPr>
        <w:tc>
          <w:tcPr>
            <w:tcW w:w="2960" w:type="dxa"/>
            <w:shd w:val="clear" w:color="auto" w:fill="CCEEFF"/>
            <w:vAlign w:val="bottom"/>
          </w:tcPr>
          <w:p w14:paraId="5A16C0A3" w14:textId="77777777" w:rsidR="00D1587D" w:rsidRDefault="00410D07">
            <w:pPr>
              <w:rPr>
                <w:sz w:val="20"/>
                <w:szCs w:val="20"/>
              </w:rPr>
            </w:pPr>
            <w:r>
              <w:rPr>
                <w:rFonts w:ascii="Arial" w:eastAsia="Arial" w:hAnsi="Arial" w:cs="Arial"/>
                <w:b/>
                <w:bCs/>
                <w:sz w:val="18"/>
                <w:szCs w:val="18"/>
              </w:rPr>
              <w:t>Total Equity</w:t>
            </w:r>
          </w:p>
        </w:tc>
        <w:tc>
          <w:tcPr>
            <w:tcW w:w="1740" w:type="dxa"/>
            <w:shd w:val="clear" w:color="auto" w:fill="CCEEFF"/>
            <w:vAlign w:val="bottom"/>
          </w:tcPr>
          <w:p w14:paraId="35E925B3" w14:textId="77777777" w:rsidR="00D1587D" w:rsidRDefault="00D1587D">
            <w:pPr>
              <w:rPr>
                <w:sz w:val="24"/>
                <w:szCs w:val="24"/>
              </w:rPr>
            </w:pPr>
          </w:p>
        </w:tc>
        <w:tc>
          <w:tcPr>
            <w:tcW w:w="1740" w:type="dxa"/>
            <w:gridSpan w:val="3"/>
            <w:shd w:val="clear" w:color="auto" w:fill="CCEEFF"/>
            <w:vAlign w:val="bottom"/>
          </w:tcPr>
          <w:p w14:paraId="4C5820DD" w14:textId="77777777" w:rsidR="00D1587D" w:rsidRDefault="00410D07">
            <w:pPr>
              <w:jc w:val="right"/>
              <w:rPr>
                <w:sz w:val="20"/>
                <w:szCs w:val="20"/>
              </w:rPr>
            </w:pPr>
            <w:r>
              <w:rPr>
                <w:rFonts w:ascii="Arial" w:eastAsia="Arial" w:hAnsi="Arial" w:cs="Arial"/>
                <w:b/>
                <w:bCs/>
                <w:sz w:val="18"/>
                <w:szCs w:val="18"/>
              </w:rPr>
              <w:t>1,007</w:t>
            </w:r>
          </w:p>
        </w:tc>
        <w:tc>
          <w:tcPr>
            <w:tcW w:w="160" w:type="dxa"/>
            <w:shd w:val="clear" w:color="auto" w:fill="CCEEFF"/>
            <w:vAlign w:val="bottom"/>
          </w:tcPr>
          <w:p w14:paraId="6BF19A25" w14:textId="77777777" w:rsidR="00D1587D" w:rsidRDefault="00D1587D">
            <w:pPr>
              <w:rPr>
                <w:sz w:val="24"/>
                <w:szCs w:val="24"/>
              </w:rPr>
            </w:pPr>
          </w:p>
        </w:tc>
        <w:tc>
          <w:tcPr>
            <w:tcW w:w="160" w:type="dxa"/>
            <w:shd w:val="clear" w:color="auto" w:fill="CCEEFF"/>
            <w:vAlign w:val="bottom"/>
          </w:tcPr>
          <w:p w14:paraId="2EB371CE" w14:textId="77777777" w:rsidR="00D1587D" w:rsidRDefault="00D1587D">
            <w:pPr>
              <w:rPr>
                <w:sz w:val="24"/>
                <w:szCs w:val="24"/>
              </w:rPr>
            </w:pPr>
          </w:p>
        </w:tc>
        <w:tc>
          <w:tcPr>
            <w:tcW w:w="980" w:type="dxa"/>
            <w:gridSpan w:val="2"/>
            <w:shd w:val="clear" w:color="auto" w:fill="CCEEFF"/>
            <w:vAlign w:val="bottom"/>
          </w:tcPr>
          <w:p w14:paraId="3521C91F" w14:textId="77777777" w:rsidR="00D1587D" w:rsidRDefault="00410D07">
            <w:pPr>
              <w:ind w:right="160"/>
              <w:jc w:val="right"/>
              <w:rPr>
                <w:sz w:val="20"/>
                <w:szCs w:val="20"/>
              </w:rPr>
            </w:pPr>
            <w:r>
              <w:rPr>
                <w:rFonts w:ascii="Arial" w:eastAsia="Arial" w:hAnsi="Arial" w:cs="Arial"/>
                <w:b/>
                <w:bCs/>
                <w:sz w:val="18"/>
                <w:szCs w:val="18"/>
              </w:rPr>
              <w:t>(905)</w:t>
            </w:r>
          </w:p>
        </w:tc>
        <w:tc>
          <w:tcPr>
            <w:tcW w:w="240" w:type="dxa"/>
            <w:shd w:val="clear" w:color="auto" w:fill="CCEEFF"/>
            <w:vAlign w:val="bottom"/>
          </w:tcPr>
          <w:p w14:paraId="6C2D8991" w14:textId="77777777" w:rsidR="00D1587D" w:rsidRDefault="00D1587D">
            <w:pPr>
              <w:rPr>
                <w:sz w:val="24"/>
                <w:szCs w:val="24"/>
              </w:rPr>
            </w:pPr>
          </w:p>
        </w:tc>
        <w:tc>
          <w:tcPr>
            <w:tcW w:w="440" w:type="dxa"/>
            <w:shd w:val="clear" w:color="auto" w:fill="CCEEFF"/>
            <w:vAlign w:val="bottom"/>
          </w:tcPr>
          <w:p w14:paraId="2A0381AE" w14:textId="77777777" w:rsidR="00D1587D" w:rsidRDefault="00410D07">
            <w:pPr>
              <w:ind w:right="10"/>
              <w:jc w:val="right"/>
              <w:rPr>
                <w:sz w:val="20"/>
                <w:szCs w:val="20"/>
              </w:rPr>
            </w:pPr>
            <w:r>
              <w:rPr>
                <w:rFonts w:ascii="Arial" w:eastAsia="Arial" w:hAnsi="Arial" w:cs="Arial"/>
                <w:b/>
                <w:bCs/>
                <w:sz w:val="18"/>
                <w:szCs w:val="18"/>
              </w:rPr>
              <w:t>102</w:t>
            </w:r>
          </w:p>
        </w:tc>
      </w:tr>
      <w:tr w:rsidR="00D1587D" w14:paraId="18D3700F" w14:textId="77777777">
        <w:trPr>
          <w:trHeight w:val="68"/>
        </w:trPr>
        <w:tc>
          <w:tcPr>
            <w:tcW w:w="2960" w:type="dxa"/>
            <w:shd w:val="clear" w:color="auto" w:fill="CCEEFF"/>
            <w:vAlign w:val="bottom"/>
          </w:tcPr>
          <w:p w14:paraId="0C78DEC9" w14:textId="77777777" w:rsidR="00D1587D" w:rsidRDefault="00D1587D">
            <w:pPr>
              <w:rPr>
                <w:sz w:val="5"/>
                <w:szCs w:val="5"/>
              </w:rPr>
            </w:pPr>
          </w:p>
        </w:tc>
        <w:tc>
          <w:tcPr>
            <w:tcW w:w="1740" w:type="dxa"/>
            <w:shd w:val="clear" w:color="auto" w:fill="CCEEFF"/>
            <w:vAlign w:val="bottom"/>
          </w:tcPr>
          <w:p w14:paraId="140771C1" w14:textId="77777777" w:rsidR="00D1587D" w:rsidRDefault="00D1587D">
            <w:pPr>
              <w:rPr>
                <w:sz w:val="5"/>
                <w:szCs w:val="5"/>
              </w:rPr>
            </w:pPr>
          </w:p>
        </w:tc>
        <w:tc>
          <w:tcPr>
            <w:tcW w:w="1020" w:type="dxa"/>
            <w:shd w:val="clear" w:color="auto" w:fill="CCEEFF"/>
            <w:vAlign w:val="bottom"/>
          </w:tcPr>
          <w:p w14:paraId="7CA3BD72" w14:textId="77777777" w:rsidR="00D1587D" w:rsidRDefault="00D1587D">
            <w:pPr>
              <w:rPr>
                <w:sz w:val="5"/>
                <w:szCs w:val="5"/>
              </w:rPr>
            </w:pPr>
          </w:p>
        </w:tc>
        <w:tc>
          <w:tcPr>
            <w:tcW w:w="100" w:type="dxa"/>
            <w:tcBorders>
              <w:bottom w:val="single" w:sz="8" w:space="0" w:color="CCEEFF"/>
            </w:tcBorders>
            <w:shd w:val="clear" w:color="auto" w:fill="CCEEFF"/>
            <w:vAlign w:val="bottom"/>
          </w:tcPr>
          <w:p w14:paraId="30A7B16E" w14:textId="77777777" w:rsidR="00D1587D" w:rsidRDefault="00D1587D">
            <w:pPr>
              <w:rPr>
                <w:sz w:val="5"/>
                <w:szCs w:val="5"/>
              </w:rPr>
            </w:pPr>
          </w:p>
        </w:tc>
        <w:tc>
          <w:tcPr>
            <w:tcW w:w="620" w:type="dxa"/>
            <w:tcBorders>
              <w:bottom w:val="single" w:sz="8" w:space="0" w:color="auto"/>
            </w:tcBorders>
            <w:shd w:val="clear" w:color="auto" w:fill="CCEEFF"/>
            <w:vAlign w:val="bottom"/>
          </w:tcPr>
          <w:p w14:paraId="2C4E9BE8" w14:textId="77777777" w:rsidR="00D1587D" w:rsidRDefault="00D1587D">
            <w:pPr>
              <w:rPr>
                <w:sz w:val="5"/>
                <w:szCs w:val="5"/>
              </w:rPr>
            </w:pPr>
          </w:p>
        </w:tc>
        <w:tc>
          <w:tcPr>
            <w:tcW w:w="160" w:type="dxa"/>
            <w:tcBorders>
              <w:bottom w:val="single" w:sz="8" w:space="0" w:color="CCEEFF"/>
            </w:tcBorders>
            <w:shd w:val="clear" w:color="auto" w:fill="CCEEFF"/>
            <w:vAlign w:val="bottom"/>
          </w:tcPr>
          <w:p w14:paraId="5EBFF00A" w14:textId="77777777" w:rsidR="00D1587D" w:rsidRDefault="00D1587D">
            <w:pPr>
              <w:rPr>
                <w:sz w:val="5"/>
                <w:szCs w:val="5"/>
              </w:rPr>
            </w:pPr>
          </w:p>
        </w:tc>
        <w:tc>
          <w:tcPr>
            <w:tcW w:w="160" w:type="dxa"/>
            <w:tcBorders>
              <w:bottom w:val="single" w:sz="8" w:space="0" w:color="auto"/>
            </w:tcBorders>
            <w:shd w:val="clear" w:color="auto" w:fill="CCEEFF"/>
            <w:vAlign w:val="bottom"/>
          </w:tcPr>
          <w:p w14:paraId="0468AAE5" w14:textId="77777777" w:rsidR="00D1587D" w:rsidRDefault="00D1587D">
            <w:pPr>
              <w:rPr>
                <w:sz w:val="5"/>
                <w:szCs w:val="5"/>
              </w:rPr>
            </w:pPr>
          </w:p>
        </w:tc>
        <w:tc>
          <w:tcPr>
            <w:tcW w:w="820" w:type="dxa"/>
            <w:tcBorders>
              <w:bottom w:val="single" w:sz="8" w:space="0" w:color="auto"/>
            </w:tcBorders>
            <w:shd w:val="clear" w:color="auto" w:fill="CCEEFF"/>
            <w:vAlign w:val="bottom"/>
          </w:tcPr>
          <w:p w14:paraId="3E70BEF3" w14:textId="77777777" w:rsidR="00D1587D" w:rsidRDefault="00D1587D">
            <w:pPr>
              <w:rPr>
                <w:sz w:val="5"/>
                <w:szCs w:val="5"/>
              </w:rPr>
            </w:pPr>
          </w:p>
        </w:tc>
        <w:tc>
          <w:tcPr>
            <w:tcW w:w="160" w:type="dxa"/>
            <w:tcBorders>
              <w:bottom w:val="single" w:sz="8" w:space="0" w:color="CCEEFF"/>
            </w:tcBorders>
            <w:shd w:val="clear" w:color="auto" w:fill="CCEEFF"/>
            <w:vAlign w:val="bottom"/>
          </w:tcPr>
          <w:p w14:paraId="065A4D1E" w14:textId="77777777" w:rsidR="00D1587D" w:rsidRDefault="00D1587D">
            <w:pPr>
              <w:rPr>
                <w:sz w:val="5"/>
                <w:szCs w:val="5"/>
              </w:rPr>
            </w:pPr>
          </w:p>
        </w:tc>
        <w:tc>
          <w:tcPr>
            <w:tcW w:w="680" w:type="dxa"/>
            <w:gridSpan w:val="2"/>
            <w:tcBorders>
              <w:bottom w:val="single" w:sz="8" w:space="0" w:color="auto"/>
            </w:tcBorders>
            <w:shd w:val="clear" w:color="auto" w:fill="CCEEFF"/>
            <w:vAlign w:val="bottom"/>
          </w:tcPr>
          <w:p w14:paraId="514D2D66" w14:textId="77777777" w:rsidR="00D1587D" w:rsidRDefault="00D1587D">
            <w:pPr>
              <w:rPr>
                <w:sz w:val="5"/>
                <w:szCs w:val="5"/>
              </w:rPr>
            </w:pPr>
          </w:p>
        </w:tc>
      </w:tr>
      <w:tr w:rsidR="00D1587D" w14:paraId="32BE59AB" w14:textId="77777777">
        <w:trPr>
          <w:trHeight w:val="304"/>
        </w:trPr>
        <w:tc>
          <w:tcPr>
            <w:tcW w:w="2960" w:type="dxa"/>
            <w:vAlign w:val="bottom"/>
          </w:tcPr>
          <w:p w14:paraId="027EA64D" w14:textId="77777777" w:rsidR="00D1587D" w:rsidRDefault="00410D07">
            <w:pPr>
              <w:rPr>
                <w:sz w:val="20"/>
                <w:szCs w:val="20"/>
              </w:rPr>
            </w:pPr>
            <w:r>
              <w:rPr>
                <w:rFonts w:ascii="Arial" w:eastAsia="Arial" w:hAnsi="Arial" w:cs="Arial"/>
                <w:b/>
                <w:bCs/>
                <w:sz w:val="18"/>
                <w:szCs w:val="18"/>
              </w:rPr>
              <w:t>Total Liabilities and Equity</w:t>
            </w:r>
          </w:p>
        </w:tc>
        <w:tc>
          <w:tcPr>
            <w:tcW w:w="1740" w:type="dxa"/>
            <w:vAlign w:val="bottom"/>
          </w:tcPr>
          <w:p w14:paraId="4FBE89F3" w14:textId="77777777" w:rsidR="00D1587D" w:rsidRDefault="00D1587D">
            <w:pPr>
              <w:rPr>
                <w:sz w:val="24"/>
                <w:szCs w:val="24"/>
              </w:rPr>
            </w:pPr>
          </w:p>
        </w:tc>
        <w:tc>
          <w:tcPr>
            <w:tcW w:w="1740" w:type="dxa"/>
            <w:gridSpan w:val="3"/>
            <w:vAlign w:val="bottom"/>
          </w:tcPr>
          <w:p w14:paraId="5BBF0F09" w14:textId="77777777" w:rsidR="00D1587D" w:rsidRDefault="00410D07">
            <w:pPr>
              <w:jc w:val="right"/>
              <w:rPr>
                <w:sz w:val="20"/>
                <w:szCs w:val="20"/>
              </w:rPr>
            </w:pPr>
            <w:r>
              <w:rPr>
                <w:rFonts w:ascii="Arial" w:eastAsia="Arial" w:hAnsi="Arial" w:cs="Arial"/>
                <w:b/>
                <w:bCs/>
                <w:sz w:val="18"/>
                <w:szCs w:val="18"/>
              </w:rPr>
              <w:t>$4,247</w:t>
            </w:r>
          </w:p>
        </w:tc>
        <w:tc>
          <w:tcPr>
            <w:tcW w:w="160" w:type="dxa"/>
            <w:vAlign w:val="bottom"/>
          </w:tcPr>
          <w:p w14:paraId="4BB0C25B" w14:textId="77777777" w:rsidR="00D1587D" w:rsidRDefault="00D1587D">
            <w:pPr>
              <w:rPr>
                <w:sz w:val="24"/>
                <w:szCs w:val="24"/>
              </w:rPr>
            </w:pPr>
          </w:p>
        </w:tc>
        <w:tc>
          <w:tcPr>
            <w:tcW w:w="160" w:type="dxa"/>
            <w:vAlign w:val="bottom"/>
          </w:tcPr>
          <w:p w14:paraId="571D0116" w14:textId="77777777" w:rsidR="00D1587D" w:rsidRDefault="00410D07">
            <w:pPr>
              <w:jc w:val="right"/>
              <w:rPr>
                <w:sz w:val="20"/>
                <w:szCs w:val="20"/>
              </w:rPr>
            </w:pPr>
            <w:r>
              <w:rPr>
                <w:rFonts w:ascii="Arial" w:eastAsia="Arial" w:hAnsi="Arial" w:cs="Arial"/>
                <w:b/>
                <w:bCs/>
                <w:sz w:val="18"/>
                <w:szCs w:val="18"/>
              </w:rPr>
              <w:t>$</w:t>
            </w:r>
          </w:p>
        </w:tc>
        <w:tc>
          <w:tcPr>
            <w:tcW w:w="980" w:type="dxa"/>
            <w:gridSpan w:val="2"/>
            <w:vAlign w:val="bottom"/>
          </w:tcPr>
          <w:p w14:paraId="0EBF95A4" w14:textId="77777777" w:rsidR="00D1587D" w:rsidRDefault="00410D07">
            <w:pPr>
              <w:ind w:right="160"/>
              <w:jc w:val="right"/>
              <w:rPr>
                <w:sz w:val="20"/>
                <w:szCs w:val="20"/>
              </w:rPr>
            </w:pPr>
            <w:r>
              <w:rPr>
                <w:rFonts w:ascii="Arial" w:eastAsia="Arial" w:hAnsi="Arial" w:cs="Arial"/>
                <w:b/>
                <w:bCs/>
                <w:sz w:val="18"/>
                <w:szCs w:val="18"/>
              </w:rPr>
              <w:t>(85)</w:t>
            </w:r>
          </w:p>
        </w:tc>
        <w:tc>
          <w:tcPr>
            <w:tcW w:w="680" w:type="dxa"/>
            <w:gridSpan w:val="2"/>
            <w:vAlign w:val="bottom"/>
          </w:tcPr>
          <w:p w14:paraId="66DC7697" w14:textId="77777777" w:rsidR="00D1587D" w:rsidRDefault="00410D07">
            <w:pPr>
              <w:jc w:val="right"/>
              <w:rPr>
                <w:sz w:val="20"/>
                <w:szCs w:val="20"/>
              </w:rPr>
            </w:pPr>
            <w:r>
              <w:rPr>
                <w:rFonts w:ascii="Arial" w:eastAsia="Arial" w:hAnsi="Arial" w:cs="Arial"/>
                <w:b/>
                <w:bCs/>
                <w:sz w:val="18"/>
                <w:szCs w:val="18"/>
              </w:rPr>
              <w:t>$4,162</w:t>
            </w:r>
          </w:p>
        </w:tc>
      </w:tr>
      <w:tr w:rsidR="00D1587D" w14:paraId="0A4BF906" w14:textId="77777777">
        <w:trPr>
          <w:trHeight w:val="27"/>
        </w:trPr>
        <w:tc>
          <w:tcPr>
            <w:tcW w:w="2960" w:type="dxa"/>
            <w:vAlign w:val="bottom"/>
          </w:tcPr>
          <w:p w14:paraId="4B82D4A7" w14:textId="77777777" w:rsidR="00D1587D" w:rsidRDefault="00D1587D">
            <w:pPr>
              <w:rPr>
                <w:sz w:val="2"/>
                <w:szCs w:val="2"/>
              </w:rPr>
            </w:pPr>
          </w:p>
        </w:tc>
        <w:tc>
          <w:tcPr>
            <w:tcW w:w="1740" w:type="dxa"/>
            <w:vAlign w:val="bottom"/>
          </w:tcPr>
          <w:p w14:paraId="7524FB35" w14:textId="77777777" w:rsidR="00D1587D" w:rsidRDefault="00D1587D">
            <w:pPr>
              <w:rPr>
                <w:sz w:val="2"/>
                <w:szCs w:val="2"/>
              </w:rPr>
            </w:pPr>
          </w:p>
        </w:tc>
        <w:tc>
          <w:tcPr>
            <w:tcW w:w="1020" w:type="dxa"/>
            <w:vAlign w:val="bottom"/>
          </w:tcPr>
          <w:p w14:paraId="26C619B7" w14:textId="77777777" w:rsidR="00D1587D" w:rsidRDefault="00D1587D">
            <w:pPr>
              <w:rPr>
                <w:sz w:val="2"/>
                <w:szCs w:val="2"/>
              </w:rPr>
            </w:pPr>
          </w:p>
        </w:tc>
        <w:tc>
          <w:tcPr>
            <w:tcW w:w="100" w:type="dxa"/>
            <w:vAlign w:val="bottom"/>
          </w:tcPr>
          <w:p w14:paraId="18D545E5" w14:textId="77777777" w:rsidR="00D1587D" w:rsidRDefault="00D1587D">
            <w:pPr>
              <w:rPr>
                <w:sz w:val="2"/>
                <w:szCs w:val="2"/>
              </w:rPr>
            </w:pPr>
          </w:p>
        </w:tc>
        <w:tc>
          <w:tcPr>
            <w:tcW w:w="620" w:type="dxa"/>
            <w:tcBorders>
              <w:bottom w:val="single" w:sz="8" w:space="0" w:color="auto"/>
            </w:tcBorders>
            <w:vAlign w:val="bottom"/>
          </w:tcPr>
          <w:p w14:paraId="48E70F73" w14:textId="77777777" w:rsidR="00D1587D" w:rsidRDefault="00D1587D">
            <w:pPr>
              <w:rPr>
                <w:sz w:val="2"/>
                <w:szCs w:val="2"/>
              </w:rPr>
            </w:pPr>
          </w:p>
        </w:tc>
        <w:tc>
          <w:tcPr>
            <w:tcW w:w="160" w:type="dxa"/>
            <w:vAlign w:val="bottom"/>
          </w:tcPr>
          <w:p w14:paraId="63487D86" w14:textId="77777777" w:rsidR="00D1587D" w:rsidRDefault="00D1587D">
            <w:pPr>
              <w:rPr>
                <w:sz w:val="2"/>
                <w:szCs w:val="2"/>
              </w:rPr>
            </w:pPr>
          </w:p>
        </w:tc>
        <w:tc>
          <w:tcPr>
            <w:tcW w:w="160" w:type="dxa"/>
            <w:tcBorders>
              <w:bottom w:val="single" w:sz="8" w:space="0" w:color="auto"/>
            </w:tcBorders>
            <w:vAlign w:val="bottom"/>
          </w:tcPr>
          <w:p w14:paraId="6F047A35" w14:textId="77777777" w:rsidR="00D1587D" w:rsidRDefault="00D1587D">
            <w:pPr>
              <w:rPr>
                <w:sz w:val="2"/>
                <w:szCs w:val="2"/>
              </w:rPr>
            </w:pPr>
          </w:p>
        </w:tc>
        <w:tc>
          <w:tcPr>
            <w:tcW w:w="820" w:type="dxa"/>
            <w:tcBorders>
              <w:bottom w:val="single" w:sz="8" w:space="0" w:color="auto"/>
            </w:tcBorders>
            <w:vAlign w:val="bottom"/>
          </w:tcPr>
          <w:p w14:paraId="19D13F1D" w14:textId="77777777" w:rsidR="00D1587D" w:rsidRDefault="00D1587D">
            <w:pPr>
              <w:rPr>
                <w:sz w:val="2"/>
                <w:szCs w:val="2"/>
              </w:rPr>
            </w:pPr>
          </w:p>
        </w:tc>
        <w:tc>
          <w:tcPr>
            <w:tcW w:w="160" w:type="dxa"/>
            <w:vAlign w:val="bottom"/>
          </w:tcPr>
          <w:p w14:paraId="0B6EF8C1" w14:textId="77777777" w:rsidR="00D1587D" w:rsidRDefault="00D1587D">
            <w:pPr>
              <w:rPr>
                <w:sz w:val="2"/>
                <w:szCs w:val="2"/>
              </w:rPr>
            </w:pPr>
          </w:p>
        </w:tc>
        <w:tc>
          <w:tcPr>
            <w:tcW w:w="240" w:type="dxa"/>
            <w:tcBorders>
              <w:bottom w:val="single" w:sz="8" w:space="0" w:color="auto"/>
            </w:tcBorders>
            <w:vAlign w:val="bottom"/>
          </w:tcPr>
          <w:p w14:paraId="3B49C6F3" w14:textId="77777777" w:rsidR="00D1587D" w:rsidRDefault="00D1587D">
            <w:pPr>
              <w:rPr>
                <w:sz w:val="2"/>
                <w:szCs w:val="2"/>
              </w:rPr>
            </w:pPr>
          </w:p>
        </w:tc>
        <w:tc>
          <w:tcPr>
            <w:tcW w:w="440" w:type="dxa"/>
            <w:tcBorders>
              <w:bottom w:val="single" w:sz="8" w:space="0" w:color="auto"/>
            </w:tcBorders>
            <w:vAlign w:val="bottom"/>
          </w:tcPr>
          <w:p w14:paraId="18623305" w14:textId="77777777" w:rsidR="00D1587D" w:rsidRDefault="00D1587D">
            <w:pPr>
              <w:rPr>
                <w:sz w:val="2"/>
                <w:szCs w:val="2"/>
              </w:rPr>
            </w:pPr>
          </w:p>
        </w:tc>
      </w:tr>
      <w:tr w:rsidR="00D1587D" w14:paraId="41FFD89E" w14:textId="77777777">
        <w:trPr>
          <w:trHeight w:val="21"/>
        </w:trPr>
        <w:tc>
          <w:tcPr>
            <w:tcW w:w="2960" w:type="dxa"/>
            <w:vAlign w:val="bottom"/>
          </w:tcPr>
          <w:p w14:paraId="1F9D031E" w14:textId="77777777" w:rsidR="00D1587D" w:rsidRDefault="00D1587D">
            <w:pPr>
              <w:spacing w:line="20" w:lineRule="exact"/>
              <w:rPr>
                <w:sz w:val="1"/>
                <w:szCs w:val="1"/>
              </w:rPr>
            </w:pPr>
          </w:p>
        </w:tc>
        <w:tc>
          <w:tcPr>
            <w:tcW w:w="1740" w:type="dxa"/>
            <w:vAlign w:val="bottom"/>
          </w:tcPr>
          <w:p w14:paraId="658D689E" w14:textId="77777777" w:rsidR="00D1587D" w:rsidRDefault="00D1587D">
            <w:pPr>
              <w:spacing w:line="20" w:lineRule="exact"/>
              <w:rPr>
                <w:sz w:val="1"/>
                <w:szCs w:val="1"/>
              </w:rPr>
            </w:pPr>
          </w:p>
        </w:tc>
        <w:tc>
          <w:tcPr>
            <w:tcW w:w="1020" w:type="dxa"/>
            <w:vAlign w:val="bottom"/>
          </w:tcPr>
          <w:p w14:paraId="7CF3639D" w14:textId="77777777" w:rsidR="00D1587D" w:rsidRDefault="00D1587D">
            <w:pPr>
              <w:spacing w:line="20" w:lineRule="exact"/>
              <w:rPr>
                <w:sz w:val="1"/>
                <w:szCs w:val="1"/>
              </w:rPr>
            </w:pPr>
          </w:p>
        </w:tc>
        <w:tc>
          <w:tcPr>
            <w:tcW w:w="100" w:type="dxa"/>
            <w:vAlign w:val="bottom"/>
          </w:tcPr>
          <w:p w14:paraId="204185A8" w14:textId="77777777" w:rsidR="00D1587D" w:rsidRDefault="00D1587D">
            <w:pPr>
              <w:spacing w:line="20" w:lineRule="exact"/>
              <w:rPr>
                <w:sz w:val="1"/>
                <w:szCs w:val="1"/>
              </w:rPr>
            </w:pPr>
          </w:p>
        </w:tc>
        <w:tc>
          <w:tcPr>
            <w:tcW w:w="620" w:type="dxa"/>
            <w:tcBorders>
              <w:bottom w:val="single" w:sz="8" w:space="0" w:color="auto"/>
            </w:tcBorders>
            <w:vAlign w:val="bottom"/>
          </w:tcPr>
          <w:p w14:paraId="0CB14F2F" w14:textId="77777777" w:rsidR="00D1587D" w:rsidRDefault="00D1587D">
            <w:pPr>
              <w:spacing w:line="20" w:lineRule="exact"/>
              <w:rPr>
                <w:sz w:val="1"/>
                <w:szCs w:val="1"/>
              </w:rPr>
            </w:pPr>
          </w:p>
        </w:tc>
        <w:tc>
          <w:tcPr>
            <w:tcW w:w="160" w:type="dxa"/>
            <w:vAlign w:val="bottom"/>
          </w:tcPr>
          <w:p w14:paraId="093766B0" w14:textId="77777777" w:rsidR="00D1587D" w:rsidRDefault="00D1587D">
            <w:pPr>
              <w:spacing w:line="20" w:lineRule="exact"/>
              <w:rPr>
                <w:sz w:val="1"/>
                <w:szCs w:val="1"/>
              </w:rPr>
            </w:pPr>
          </w:p>
        </w:tc>
        <w:tc>
          <w:tcPr>
            <w:tcW w:w="160" w:type="dxa"/>
            <w:tcBorders>
              <w:bottom w:val="single" w:sz="8" w:space="0" w:color="auto"/>
            </w:tcBorders>
            <w:vAlign w:val="bottom"/>
          </w:tcPr>
          <w:p w14:paraId="2D6B32A6" w14:textId="77777777" w:rsidR="00D1587D" w:rsidRDefault="00D1587D">
            <w:pPr>
              <w:spacing w:line="20" w:lineRule="exact"/>
              <w:rPr>
                <w:sz w:val="1"/>
                <w:szCs w:val="1"/>
              </w:rPr>
            </w:pPr>
          </w:p>
        </w:tc>
        <w:tc>
          <w:tcPr>
            <w:tcW w:w="820" w:type="dxa"/>
            <w:tcBorders>
              <w:bottom w:val="single" w:sz="8" w:space="0" w:color="auto"/>
            </w:tcBorders>
            <w:vAlign w:val="bottom"/>
          </w:tcPr>
          <w:p w14:paraId="0482D370" w14:textId="77777777" w:rsidR="00D1587D" w:rsidRDefault="00D1587D">
            <w:pPr>
              <w:spacing w:line="20" w:lineRule="exact"/>
              <w:rPr>
                <w:sz w:val="1"/>
                <w:szCs w:val="1"/>
              </w:rPr>
            </w:pPr>
          </w:p>
        </w:tc>
        <w:tc>
          <w:tcPr>
            <w:tcW w:w="160" w:type="dxa"/>
            <w:vAlign w:val="bottom"/>
          </w:tcPr>
          <w:p w14:paraId="29F62DF4" w14:textId="77777777" w:rsidR="00D1587D" w:rsidRDefault="00D1587D">
            <w:pPr>
              <w:spacing w:line="20" w:lineRule="exact"/>
              <w:rPr>
                <w:sz w:val="1"/>
                <w:szCs w:val="1"/>
              </w:rPr>
            </w:pPr>
          </w:p>
        </w:tc>
        <w:tc>
          <w:tcPr>
            <w:tcW w:w="240" w:type="dxa"/>
            <w:tcBorders>
              <w:bottom w:val="single" w:sz="8" w:space="0" w:color="auto"/>
            </w:tcBorders>
            <w:vAlign w:val="bottom"/>
          </w:tcPr>
          <w:p w14:paraId="644DC14E" w14:textId="77777777" w:rsidR="00D1587D" w:rsidRDefault="00D1587D">
            <w:pPr>
              <w:spacing w:line="20" w:lineRule="exact"/>
              <w:rPr>
                <w:sz w:val="1"/>
                <w:szCs w:val="1"/>
              </w:rPr>
            </w:pPr>
          </w:p>
        </w:tc>
        <w:tc>
          <w:tcPr>
            <w:tcW w:w="440" w:type="dxa"/>
            <w:tcBorders>
              <w:bottom w:val="single" w:sz="8" w:space="0" w:color="auto"/>
            </w:tcBorders>
            <w:vAlign w:val="bottom"/>
          </w:tcPr>
          <w:p w14:paraId="15FDBB1C" w14:textId="77777777" w:rsidR="00D1587D" w:rsidRDefault="00D1587D">
            <w:pPr>
              <w:spacing w:line="20" w:lineRule="exact"/>
              <w:rPr>
                <w:sz w:val="1"/>
                <w:szCs w:val="1"/>
              </w:rPr>
            </w:pPr>
          </w:p>
        </w:tc>
      </w:tr>
    </w:tbl>
    <w:p w14:paraId="0F260F20" w14:textId="77777777" w:rsidR="00D1587D" w:rsidRDefault="00410D07">
      <w:pPr>
        <w:spacing w:line="20" w:lineRule="exact"/>
        <w:rPr>
          <w:sz w:val="20"/>
          <w:szCs w:val="20"/>
        </w:rPr>
      </w:pPr>
      <w:r>
        <w:rPr>
          <w:noProof/>
          <w:sz w:val="20"/>
          <w:szCs w:val="20"/>
        </w:rPr>
        <w:drawing>
          <wp:anchor distT="0" distB="0" distL="114300" distR="114300" simplePos="0" relativeHeight="251510784" behindDoc="1" locked="0" layoutInCell="0" allowOverlap="1" wp14:anchorId="10E8D2BE" wp14:editId="4EE98FF9">
            <wp:simplePos x="0" y="0"/>
            <wp:positionH relativeFrom="column">
              <wp:posOffset>5003165</wp:posOffset>
            </wp:positionH>
            <wp:positionV relativeFrom="paragraph">
              <wp:posOffset>-487680</wp:posOffset>
            </wp:positionV>
            <wp:extent cx="102870" cy="8890"/>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11808" behindDoc="1" locked="0" layoutInCell="0" allowOverlap="1" wp14:anchorId="71453233" wp14:editId="06A3BA34">
            <wp:simplePos x="0" y="0"/>
            <wp:positionH relativeFrom="column">
              <wp:posOffset>4274185</wp:posOffset>
            </wp:positionH>
            <wp:positionV relativeFrom="paragraph">
              <wp:posOffset>-487680</wp:posOffset>
            </wp:positionV>
            <wp:extent cx="102870" cy="8890"/>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12832" behindDoc="1" locked="0" layoutInCell="0" allowOverlap="1" wp14:anchorId="522B111D" wp14:editId="593C7687">
            <wp:simplePos x="0" y="0"/>
            <wp:positionH relativeFrom="column">
              <wp:posOffset>3820160</wp:posOffset>
            </wp:positionH>
            <wp:positionV relativeFrom="paragraph">
              <wp:posOffset>-487680</wp:posOffset>
            </wp:positionV>
            <wp:extent cx="60325" cy="8890"/>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0"/>
                    <a:srcRect/>
                    <a:stretch>
                      <a:fillRect/>
                    </a:stretch>
                  </pic:blipFill>
                  <pic:spPr bwMode="auto">
                    <a:xfrm>
                      <a:off x="0" y="0"/>
                      <a:ext cx="60325" cy="8890"/>
                    </a:xfrm>
                    <a:prstGeom prst="rect">
                      <a:avLst/>
                    </a:prstGeom>
                    <a:noFill/>
                  </pic:spPr>
                </pic:pic>
              </a:graphicData>
            </a:graphic>
          </wp:anchor>
        </w:drawing>
      </w:r>
      <w:r>
        <w:rPr>
          <w:noProof/>
          <w:sz w:val="20"/>
          <w:szCs w:val="20"/>
        </w:rPr>
        <w:drawing>
          <wp:anchor distT="0" distB="0" distL="114300" distR="114300" simplePos="0" relativeHeight="251513856" behindDoc="1" locked="0" layoutInCell="0" allowOverlap="1" wp14:anchorId="7F9BEF95" wp14:editId="1C431F77">
            <wp:simplePos x="0" y="0"/>
            <wp:positionH relativeFrom="column">
              <wp:posOffset>5003165</wp:posOffset>
            </wp:positionH>
            <wp:positionV relativeFrom="paragraph">
              <wp:posOffset>-1971040</wp:posOffset>
            </wp:positionV>
            <wp:extent cx="102870" cy="8255"/>
            <wp:effectExtent l="0" t="0" r="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r>
        <w:rPr>
          <w:noProof/>
          <w:sz w:val="20"/>
          <w:szCs w:val="20"/>
        </w:rPr>
        <w:drawing>
          <wp:anchor distT="0" distB="0" distL="114300" distR="114300" simplePos="0" relativeHeight="251514880" behindDoc="1" locked="0" layoutInCell="0" allowOverlap="1" wp14:anchorId="561AE747" wp14:editId="612780D5">
            <wp:simplePos x="0" y="0"/>
            <wp:positionH relativeFrom="column">
              <wp:posOffset>4274185</wp:posOffset>
            </wp:positionH>
            <wp:positionV relativeFrom="paragraph">
              <wp:posOffset>-1971040</wp:posOffset>
            </wp:positionV>
            <wp:extent cx="102870" cy="8255"/>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r>
        <w:rPr>
          <w:noProof/>
          <w:sz w:val="20"/>
          <w:szCs w:val="20"/>
        </w:rPr>
        <w:drawing>
          <wp:anchor distT="0" distB="0" distL="114300" distR="114300" simplePos="0" relativeHeight="251515904" behindDoc="1" locked="0" layoutInCell="0" allowOverlap="1" wp14:anchorId="438656C0" wp14:editId="13BAE8C2">
            <wp:simplePos x="0" y="0"/>
            <wp:positionH relativeFrom="column">
              <wp:posOffset>3820160</wp:posOffset>
            </wp:positionH>
            <wp:positionV relativeFrom="paragraph">
              <wp:posOffset>-1971040</wp:posOffset>
            </wp:positionV>
            <wp:extent cx="60325" cy="8255"/>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516928" behindDoc="1" locked="0" layoutInCell="0" allowOverlap="1" wp14:anchorId="04800843" wp14:editId="3EC9A524">
            <wp:simplePos x="0" y="0"/>
            <wp:positionH relativeFrom="column">
              <wp:posOffset>5003165</wp:posOffset>
            </wp:positionH>
            <wp:positionV relativeFrom="paragraph">
              <wp:posOffset>-3230880</wp:posOffset>
            </wp:positionV>
            <wp:extent cx="102870" cy="8890"/>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17952" behindDoc="1" locked="0" layoutInCell="0" allowOverlap="1" wp14:anchorId="58D135C3" wp14:editId="6D0851F4">
            <wp:simplePos x="0" y="0"/>
            <wp:positionH relativeFrom="column">
              <wp:posOffset>4274185</wp:posOffset>
            </wp:positionH>
            <wp:positionV relativeFrom="paragraph">
              <wp:posOffset>-3230880</wp:posOffset>
            </wp:positionV>
            <wp:extent cx="102870" cy="8890"/>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18976" behindDoc="1" locked="0" layoutInCell="0" allowOverlap="1" wp14:anchorId="733CEEDB" wp14:editId="03A43316">
            <wp:simplePos x="0" y="0"/>
            <wp:positionH relativeFrom="column">
              <wp:posOffset>3820160</wp:posOffset>
            </wp:positionH>
            <wp:positionV relativeFrom="paragraph">
              <wp:posOffset>-3230880</wp:posOffset>
            </wp:positionV>
            <wp:extent cx="60325" cy="8890"/>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0"/>
                    <a:srcRect/>
                    <a:stretch>
                      <a:fillRect/>
                    </a:stretch>
                  </pic:blipFill>
                  <pic:spPr bwMode="auto">
                    <a:xfrm>
                      <a:off x="0" y="0"/>
                      <a:ext cx="60325" cy="8890"/>
                    </a:xfrm>
                    <a:prstGeom prst="rect">
                      <a:avLst/>
                    </a:prstGeom>
                    <a:noFill/>
                  </pic:spPr>
                </pic:pic>
              </a:graphicData>
            </a:graphic>
          </wp:anchor>
        </w:drawing>
      </w:r>
      <w:r>
        <w:rPr>
          <w:noProof/>
          <w:sz w:val="20"/>
          <w:szCs w:val="20"/>
        </w:rPr>
        <w:drawing>
          <wp:anchor distT="0" distB="0" distL="114300" distR="114300" simplePos="0" relativeHeight="251520000" behindDoc="1" locked="0" layoutInCell="0" allowOverlap="1" wp14:anchorId="4D487948" wp14:editId="70619206">
            <wp:simplePos x="0" y="0"/>
            <wp:positionH relativeFrom="column">
              <wp:posOffset>5003165</wp:posOffset>
            </wp:positionH>
            <wp:positionV relativeFrom="paragraph">
              <wp:posOffset>-5125720</wp:posOffset>
            </wp:positionV>
            <wp:extent cx="102870" cy="8890"/>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21024" behindDoc="1" locked="0" layoutInCell="0" allowOverlap="1" wp14:anchorId="6A2BEC55" wp14:editId="32167855">
            <wp:simplePos x="0" y="0"/>
            <wp:positionH relativeFrom="column">
              <wp:posOffset>4274185</wp:posOffset>
            </wp:positionH>
            <wp:positionV relativeFrom="paragraph">
              <wp:posOffset>-5125720</wp:posOffset>
            </wp:positionV>
            <wp:extent cx="102870" cy="8890"/>
            <wp:effectExtent l="0" t="0" r="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22048" behindDoc="1" locked="0" layoutInCell="0" allowOverlap="1" wp14:anchorId="23132D99" wp14:editId="31C8FC75">
            <wp:simplePos x="0" y="0"/>
            <wp:positionH relativeFrom="column">
              <wp:posOffset>3820160</wp:posOffset>
            </wp:positionH>
            <wp:positionV relativeFrom="paragraph">
              <wp:posOffset>-5125720</wp:posOffset>
            </wp:positionV>
            <wp:extent cx="60325" cy="8890"/>
            <wp:effectExtent l="0" t="0" r="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0"/>
                    <a:srcRect/>
                    <a:stretch>
                      <a:fillRect/>
                    </a:stretch>
                  </pic:blipFill>
                  <pic:spPr bwMode="auto">
                    <a:xfrm>
                      <a:off x="0" y="0"/>
                      <a:ext cx="60325" cy="8890"/>
                    </a:xfrm>
                    <a:prstGeom prst="rect">
                      <a:avLst/>
                    </a:prstGeom>
                    <a:noFill/>
                  </pic:spPr>
                </pic:pic>
              </a:graphicData>
            </a:graphic>
          </wp:anchor>
        </w:drawing>
      </w:r>
      <w:r>
        <w:rPr>
          <w:noProof/>
          <w:sz w:val="20"/>
          <w:szCs w:val="20"/>
        </w:rPr>
        <w:drawing>
          <wp:anchor distT="0" distB="0" distL="114300" distR="114300" simplePos="0" relativeHeight="251523072" behindDoc="1" locked="0" layoutInCell="0" allowOverlap="1" wp14:anchorId="0689DEFD" wp14:editId="723C3226">
            <wp:simplePos x="0" y="0"/>
            <wp:positionH relativeFrom="column">
              <wp:posOffset>5003165</wp:posOffset>
            </wp:positionH>
            <wp:positionV relativeFrom="paragraph">
              <wp:posOffset>-6385560</wp:posOffset>
            </wp:positionV>
            <wp:extent cx="102870" cy="8890"/>
            <wp:effectExtent l="0" t="0" r="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24096" behindDoc="1" locked="0" layoutInCell="0" allowOverlap="1" wp14:anchorId="0A5CDC63" wp14:editId="277F69C1">
            <wp:simplePos x="0" y="0"/>
            <wp:positionH relativeFrom="column">
              <wp:posOffset>4274185</wp:posOffset>
            </wp:positionH>
            <wp:positionV relativeFrom="paragraph">
              <wp:posOffset>-6385560</wp:posOffset>
            </wp:positionV>
            <wp:extent cx="102870" cy="8890"/>
            <wp:effectExtent l="0" t="0" r="0"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r>
        <w:rPr>
          <w:noProof/>
          <w:sz w:val="20"/>
          <w:szCs w:val="20"/>
        </w:rPr>
        <w:drawing>
          <wp:anchor distT="0" distB="0" distL="114300" distR="114300" simplePos="0" relativeHeight="251525120" behindDoc="1" locked="0" layoutInCell="0" allowOverlap="1" wp14:anchorId="5E08D5E5" wp14:editId="1402A8A8">
            <wp:simplePos x="0" y="0"/>
            <wp:positionH relativeFrom="column">
              <wp:posOffset>3820160</wp:posOffset>
            </wp:positionH>
            <wp:positionV relativeFrom="paragraph">
              <wp:posOffset>-6385560</wp:posOffset>
            </wp:positionV>
            <wp:extent cx="60325" cy="8890"/>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0"/>
                    <a:srcRect/>
                    <a:stretch>
                      <a:fillRect/>
                    </a:stretch>
                  </pic:blipFill>
                  <pic:spPr bwMode="auto">
                    <a:xfrm>
                      <a:off x="0" y="0"/>
                      <a:ext cx="60325" cy="8890"/>
                    </a:xfrm>
                    <a:prstGeom prst="rect">
                      <a:avLst/>
                    </a:prstGeom>
                    <a:noFill/>
                  </pic:spPr>
                </pic:pic>
              </a:graphicData>
            </a:graphic>
          </wp:anchor>
        </w:drawing>
      </w:r>
      <w:r>
        <w:rPr>
          <w:noProof/>
          <w:sz w:val="20"/>
          <w:szCs w:val="20"/>
        </w:rPr>
        <w:drawing>
          <wp:anchor distT="0" distB="0" distL="114300" distR="114300" simplePos="0" relativeHeight="251526144" behindDoc="1" locked="0" layoutInCell="0" allowOverlap="1" wp14:anchorId="450CEF2D" wp14:editId="1C406964">
            <wp:simplePos x="0" y="0"/>
            <wp:positionH relativeFrom="column">
              <wp:posOffset>185420</wp:posOffset>
            </wp:positionH>
            <wp:positionV relativeFrom="paragraph">
              <wp:posOffset>154305</wp:posOffset>
            </wp:positionV>
            <wp:extent cx="822960" cy="8890"/>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421EFD6A" w14:textId="77777777" w:rsidR="00D1587D" w:rsidRDefault="00D1587D">
      <w:pPr>
        <w:spacing w:line="272" w:lineRule="exact"/>
        <w:rPr>
          <w:sz w:val="20"/>
          <w:szCs w:val="20"/>
        </w:rPr>
      </w:pPr>
    </w:p>
    <w:p w14:paraId="39ECAD97" w14:textId="77777777" w:rsidR="00D1587D" w:rsidRDefault="00410D07" w:rsidP="00410D07">
      <w:pPr>
        <w:numPr>
          <w:ilvl w:val="0"/>
          <w:numId w:val="272"/>
        </w:numPr>
        <w:tabs>
          <w:tab w:val="left" w:pos="640"/>
        </w:tabs>
        <w:ind w:left="640" w:hanging="348"/>
        <w:rPr>
          <w:rFonts w:ascii="Arial" w:eastAsia="Arial" w:hAnsi="Arial" w:cs="Arial"/>
          <w:sz w:val="14"/>
          <w:szCs w:val="14"/>
        </w:rPr>
      </w:pPr>
      <w:r>
        <w:rPr>
          <w:rFonts w:ascii="Arial" w:eastAsia="Arial" w:hAnsi="Arial" w:cs="Arial"/>
          <w:sz w:val="14"/>
          <w:szCs w:val="14"/>
        </w:rPr>
        <w:t xml:space="preserve">The change in our cost structure related to </w:t>
      </w:r>
      <w:r>
        <w:rPr>
          <w:rFonts w:ascii="Arial" w:eastAsia="Arial" w:hAnsi="Arial" w:cs="Arial"/>
          <w:sz w:val="14"/>
          <w:szCs w:val="14"/>
        </w:rPr>
        <w:t>becoming an independent, publicly traded company is not reflected above.</w:t>
      </w:r>
    </w:p>
    <w:p w14:paraId="47CC4AC7" w14:textId="77777777" w:rsidR="00D1587D" w:rsidRDefault="00D1587D">
      <w:pPr>
        <w:spacing w:line="208" w:lineRule="exact"/>
        <w:rPr>
          <w:sz w:val="20"/>
          <w:szCs w:val="20"/>
        </w:rPr>
      </w:pPr>
    </w:p>
    <w:p w14:paraId="035D94BB" w14:textId="77777777" w:rsidR="00D1587D" w:rsidRDefault="00410D07">
      <w:pPr>
        <w:jc w:val="center"/>
        <w:rPr>
          <w:sz w:val="20"/>
          <w:szCs w:val="20"/>
        </w:rPr>
      </w:pPr>
      <w:r>
        <w:rPr>
          <w:rFonts w:ascii="Arial" w:eastAsia="Arial" w:hAnsi="Arial" w:cs="Arial"/>
          <w:sz w:val="18"/>
          <w:szCs w:val="18"/>
        </w:rPr>
        <w:t>See Notes to Unaudited Pro Forma Combined Financial Statements.</w:t>
      </w:r>
    </w:p>
    <w:p w14:paraId="381F74A5" w14:textId="77777777" w:rsidR="00D1587D" w:rsidRDefault="00D1587D">
      <w:pPr>
        <w:sectPr w:rsidR="00D1587D">
          <w:pgSz w:w="11900" w:h="16838"/>
          <w:pgMar w:top="265" w:right="1440" w:bottom="318" w:left="1440" w:header="0" w:footer="0" w:gutter="0"/>
          <w:cols w:space="720" w:equalWidth="0">
            <w:col w:w="9019"/>
          </w:cols>
        </w:sectPr>
      </w:pPr>
    </w:p>
    <w:p w14:paraId="29CAA5F3" w14:textId="77777777" w:rsidR="00D1587D" w:rsidRDefault="00D1587D">
      <w:pPr>
        <w:spacing w:line="225" w:lineRule="exact"/>
        <w:rPr>
          <w:sz w:val="20"/>
          <w:szCs w:val="20"/>
        </w:rPr>
      </w:pPr>
    </w:p>
    <w:p w14:paraId="5E4D241B" w14:textId="77777777" w:rsidR="00D1587D" w:rsidRDefault="00410D07">
      <w:pPr>
        <w:jc w:val="center"/>
        <w:rPr>
          <w:sz w:val="20"/>
          <w:szCs w:val="20"/>
        </w:rPr>
      </w:pPr>
      <w:r>
        <w:rPr>
          <w:rFonts w:ascii="Arial" w:eastAsia="Arial" w:hAnsi="Arial" w:cs="Arial"/>
          <w:sz w:val="16"/>
          <w:szCs w:val="16"/>
        </w:rPr>
        <w:t>57</w:t>
      </w:r>
    </w:p>
    <w:p w14:paraId="506F0EED" w14:textId="77777777" w:rsidR="00D1587D" w:rsidRDefault="00410D07">
      <w:pPr>
        <w:spacing w:line="20" w:lineRule="exact"/>
        <w:rPr>
          <w:sz w:val="20"/>
          <w:szCs w:val="20"/>
        </w:rPr>
      </w:pPr>
      <w:r>
        <w:rPr>
          <w:noProof/>
          <w:sz w:val="20"/>
          <w:szCs w:val="20"/>
        </w:rPr>
        <w:drawing>
          <wp:anchor distT="0" distB="0" distL="114300" distR="114300" simplePos="0" relativeHeight="251527168" behindDoc="1" locked="0" layoutInCell="0" allowOverlap="1" wp14:anchorId="6E17E536" wp14:editId="25C13830">
            <wp:simplePos x="0" y="0"/>
            <wp:positionH relativeFrom="column">
              <wp:posOffset>-636905</wp:posOffset>
            </wp:positionH>
            <wp:positionV relativeFrom="paragraph">
              <wp:posOffset>140970</wp:posOffset>
            </wp:positionV>
            <wp:extent cx="6995160" cy="17145"/>
            <wp:effectExtent l="0" t="0" r="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F9C823F" w14:textId="77777777" w:rsidR="00D1587D" w:rsidRDefault="00D1587D">
      <w:pPr>
        <w:sectPr w:rsidR="00D1587D">
          <w:type w:val="continuous"/>
          <w:pgSz w:w="11900" w:h="16838"/>
          <w:pgMar w:top="265" w:right="1440" w:bottom="318" w:left="1440" w:header="0" w:footer="0" w:gutter="0"/>
          <w:cols w:space="720" w:equalWidth="0">
            <w:col w:w="9019"/>
          </w:cols>
        </w:sectPr>
      </w:pPr>
    </w:p>
    <w:bookmarkStart w:id="315" w:name="page316"/>
    <w:bookmarkEnd w:id="315"/>
    <w:p w14:paraId="423D972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FDCC56D" w14:textId="77777777" w:rsidR="00D1587D" w:rsidRDefault="00D1587D">
      <w:pPr>
        <w:spacing w:line="127" w:lineRule="exact"/>
        <w:rPr>
          <w:sz w:val="20"/>
          <w:szCs w:val="20"/>
        </w:rPr>
      </w:pPr>
    </w:p>
    <w:p w14:paraId="638ED604" w14:textId="77777777" w:rsidR="00D1587D" w:rsidRDefault="00410D07">
      <w:pPr>
        <w:jc w:val="center"/>
        <w:rPr>
          <w:sz w:val="20"/>
          <w:szCs w:val="20"/>
        </w:rPr>
      </w:pPr>
      <w:r>
        <w:rPr>
          <w:rFonts w:ascii="Arial" w:eastAsia="Arial" w:hAnsi="Arial" w:cs="Arial"/>
          <w:b/>
          <w:bCs/>
          <w:sz w:val="18"/>
          <w:szCs w:val="18"/>
        </w:rPr>
        <w:t xml:space="preserve">Victoria’s Secret &amp; </w:t>
      </w:r>
      <w:r>
        <w:rPr>
          <w:rFonts w:ascii="Arial" w:eastAsia="Arial" w:hAnsi="Arial" w:cs="Arial"/>
          <w:b/>
          <w:bCs/>
          <w:sz w:val="18"/>
          <w:szCs w:val="18"/>
        </w:rPr>
        <w:t>Co.</w:t>
      </w:r>
    </w:p>
    <w:p w14:paraId="79B5351C" w14:textId="77777777" w:rsidR="00D1587D" w:rsidRDefault="00D1587D">
      <w:pPr>
        <w:spacing w:line="27" w:lineRule="exact"/>
        <w:rPr>
          <w:sz w:val="20"/>
          <w:szCs w:val="20"/>
        </w:rPr>
      </w:pPr>
    </w:p>
    <w:p w14:paraId="37C37553" w14:textId="77777777" w:rsidR="00D1587D" w:rsidRDefault="00410D07">
      <w:pPr>
        <w:ind w:right="39"/>
        <w:jc w:val="center"/>
        <w:rPr>
          <w:sz w:val="20"/>
          <w:szCs w:val="20"/>
        </w:rPr>
      </w:pPr>
      <w:r>
        <w:rPr>
          <w:rFonts w:ascii="Arial" w:eastAsia="Arial" w:hAnsi="Arial" w:cs="Arial"/>
          <w:b/>
          <w:bCs/>
          <w:sz w:val="18"/>
          <w:szCs w:val="18"/>
        </w:rPr>
        <w:t>Unaudited Pro Forma Combined Statement of Income</w:t>
      </w:r>
    </w:p>
    <w:p w14:paraId="6078B842" w14:textId="77777777" w:rsidR="00D1587D" w:rsidRDefault="00D1587D">
      <w:pPr>
        <w:spacing w:line="9" w:lineRule="exact"/>
        <w:rPr>
          <w:sz w:val="20"/>
          <w:szCs w:val="20"/>
        </w:rPr>
      </w:pPr>
    </w:p>
    <w:p w14:paraId="1241A448" w14:textId="77777777" w:rsidR="00D1587D" w:rsidRDefault="00410D07">
      <w:pPr>
        <w:jc w:val="center"/>
        <w:rPr>
          <w:sz w:val="20"/>
          <w:szCs w:val="20"/>
        </w:rPr>
      </w:pPr>
      <w:r>
        <w:rPr>
          <w:rFonts w:ascii="Arial" w:eastAsia="Arial" w:hAnsi="Arial" w:cs="Arial"/>
          <w:b/>
          <w:bCs/>
          <w:sz w:val="18"/>
          <w:szCs w:val="18"/>
        </w:rPr>
        <w:t>Thirteen Weeks Ended May 1, 2021</w:t>
      </w:r>
    </w:p>
    <w:p w14:paraId="7B480BA2" w14:textId="77777777" w:rsidR="00D1587D" w:rsidRDefault="00D1587D">
      <w:pPr>
        <w:spacing w:line="9" w:lineRule="exact"/>
        <w:rPr>
          <w:sz w:val="20"/>
          <w:szCs w:val="20"/>
        </w:rPr>
      </w:pPr>
    </w:p>
    <w:p w14:paraId="15F34FDF" w14:textId="77777777" w:rsidR="00D1587D" w:rsidRDefault="00410D07">
      <w:pPr>
        <w:jc w:val="center"/>
        <w:rPr>
          <w:sz w:val="20"/>
          <w:szCs w:val="20"/>
        </w:rPr>
      </w:pPr>
      <w:r>
        <w:rPr>
          <w:rFonts w:ascii="Arial" w:eastAsia="Arial" w:hAnsi="Arial" w:cs="Arial"/>
          <w:b/>
          <w:bCs/>
          <w:sz w:val="18"/>
          <w:szCs w:val="18"/>
        </w:rPr>
        <w:t>(in millions, except per share amounts)</w:t>
      </w:r>
    </w:p>
    <w:p w14:paraId="324BE7F8" w14:textId="77777777" w:rsidR="00D1587D" w:rsidRDefault="00D1587D">
      <w:pPr>
        <w:spacing w:line="15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620"/>
        <w:gridCol w:w="180"/>
        <w:gridCol w:w="440"/>
        <w:gridCol w:w="120"/>
        <w:gridCol w:w="440"/>
        <w:gridCol w:w="480"/>
        <w:gridCol w:w="100"/>
        <w:gridCol w:w="140"/>
        <w:gridCol w:w="900"/>
        <w:gridCol w:w="20"/>
      </w:tblGrid>
      <w:tr w:rsidR="00D1587D" w14:paraId="10199798" w14:textId="77777777">
        <w:trPr>
          <w:trHeight w:val="161"/>
        </w:trPr>
        <w:tc>
          <w:tcPr>
            <w:tcW w:w="5620" w:type="dxa"/>
            <w:vAlign w:val="bottom"/>
          </w:tcPr>
          <w:p w14:paraId="250ED349" w14:textId="77777777" w:rsidR="00D1587D" w:rsidRDefault="00D1587D">
            <w:pPr>
              <w:rPr>
                <w:sz w:val="14"/>
                <w:szCs w:val="14"/>
              </w:rPr>
            </w:pPr>
          </w:p>
        </w:tc>
        <w:tc>
          <w:tcPr>
            <w:tcW w:w="620" w:type="dxa"/>
            <w:gridSpan w:val="2"/>
            <w:vMerge w:val="restart"/>
            <w:vAlign w:val="bottom"/>
          </w:tcPr>
          <w:p w14:paraId="44CC6838" w14:textId="77777777" w:rsidR="00D1587D" w:rsidRDefault="00410D07">
            <w:pPr>
              <w:jc w:val="right"/>
              <w:rPr>
                <w:sz w:val="20"/>
                <w:szCs w:val="20"/>
              </w:rPr>
            </w:pPr>
            <w:r>
              <w:rPr>
                <w:rFonts w:ascii="Arial" w:eastAsia="Arial" w:hAnsi="Arial" w:cs="Arial"/>
                <w:b/>
                <w:bCs/>
                <w:w w:val="93"/>
                <w:sz w:val="14"/>
                <w:szCs w:val="14"/>
              </w:rPr>
              <w:t>Historical</w:t>
            </w:r>
          </w:p>
        </w:tc>
        <w:tc>
          <w:tcPr>
            <w:tcW w:w="120" w:type="dxa"/>
            <w:vMerge w:val="restart"/>
            <w:vAlign w:val="bottom"/>
          </w:tcPr>
          <w:p w14:paraId="70C6F7DE" w14:textId="77777777" w:rsidR="00D1587D" w:rsidRDefault="00D1587D">
            <w:pPr>
              <w:rPr>
                <w:sz w:val="14"/>
                <w:szCs w:val="14"/>
              </w:rPr>
            </w:pPr>
          </w:p>
        </w:tc>
        <w:tc>
          <w:tcPr>
            <w:tcW w:w="1020" w:type="dxa"/>
            <w:gridSpan w:val="3"/>
            <w:vAlign w:val="bottom"/>
          </w:tcPr>
          <w:p w14:paraId="1C200373" w14:textId="77777777" w:rsidR="00D1587D" w:rsidRDefault="00410D07">
            <w:pPr>
              <w:ind w:left="100"/>
              <w:rPr>
                <w:sz w:val="20"/>
                <w:szCs w:val="20"/>
              </w:rPr>
            </w:pPr>
            <w:r>
              <w:rPr>
                <w:rFonts w:ascii="Arial" w:eastAsia="Arial" w:hAnsi="Arial" w:cs="Arial"/>
                <w:b/>
                <w:bCs/>
                <w:sz w:val="14"/>
                <w:szCs w:val="14"/>
              </w:rPr>
              <w:t>Pro Forma</w:t>
            </w:r>
          </w:p>
        </w:tc>
        <w:tc>
          <w:tcPr>
            <w:tcW w:w="140" w:type="dxa"/>
            <w:vAlign w:val="bottom"/>
          </w:tcPr>
          <w:p w14:paraId="133119BD" w14:textId="77777777" w:rsidR="00D1587D" w:rsidRDefault="00D1587D">
            <w:pPr>
              <w:rPr>
                <w:sz w:val="14"/>
                <w:szCs w:val="14"/>
              </w:rPr>
            </w:pPr>
          </w:p>
        </w:tc>
        <w:tc>
          <w:tcPr>
            <w:tcW w:w="900" w:type="dxa"/>
            <w:vMerge w:val="restart"/>
            <w:vAlign w:val="bottom"/>
          </w:tcPr>
          <w:p w14:paraId="5DB51BA9" w14:textId="77777777" w:rsidR="00D1587D" w:rsidRDefault="00410D07">
            <w:pPr>
              <w:ind w:right="92"/>
              <w:jc w:val="right"/>
              <w:rPr>
                <w:sz w:val="20"/>
                <w:szCs w:val="20"/>
              </w:rPr>
            </w:pPr>
            <w:r>
              <w:rPr>
                <w:rFonts w:ascii="Arial" w:eastAsia="Arial" w:hAnsi="Arial" w:cs="Arial"/>
                <w:b/>
                <w:bCs/>
                <w:w w:val="99"/>
                <w:sz w:val="14"/>
                <w:szCs w:val="14"/>
              </w:rPr>
              <w:t>Pro Forma</w:t>
            </w:r>
          </w:p>
        </w:tc>
        <w:tc>
          <w:tcPr>
            <w:tcW w:w="0" w:type="dxa"/>
            <w:vAlign w:val="bottom"/>
          </w:tcPr>
          <w:p w14:paraId="07F2FE7C" w14:textId="77777777" w:rsidR="00D1587D" w:rsidRDefault="00D1587D">
            <w:pPr>
              <w:rPr>
                <w:sz w:val="1"/>
                <w:szCs w:val="1"/>
              </w:rPr>
            </w:pPr>
          </w:p>
        </w:tc>
      </w:tr>
      <w:tr w:rsidR="00D1587D" w14:paraId="53681BC7" w14:textId="77777777">
        <w:trPr>
          <w:trHeight w:val="242"/>
        </w:trPr>
        <w:tc>
          <w:tcPr>
            <w:tcW w:w="5620" w:type="dxa"/>
            <w:tcBorders>
              <w:bottom w:val="single" w:sz="8" w:space="0" w:color="CCEEFF"/>
            </w:tcBorders>
            <w:vAlign w:val="bottom"/>
          </w:tcPr>
          <w:p w14:paraId="40D94CB4" w14:textId="77777777" w:rsidR="00D1587D" w:rsidRDefault="00D1587D">
            <w:pPr>
              <w:rPr>
                <w:sz w:val="21"/>
                <w:szCs w:val="21"/>
              </w:rPr>
            </w:pPr>
          </w:p>
        </w:tc>
        <w:tc>
          <w:tcPr>
            <w:tcW w:w="620" w:type="dxa"/>
            <w:gridSpan w:val="2"/>
            <w:vMerge/>
            <w:tcBorders>
              <w:bottom w:val="single" w:sz="8" w:space="0" w:color="auto"/>
            </w:tcBorders>
            <w:vAlign w:val="bottom"/>
          </w:tcPr>
          <w:p w14:paraId="6B606EDA" w14:textId="77777777" w:rsidR="00D1587D" w:rsidRDefault="00D1587D">
            <w:pPr>
              <w:rPr>
                <w:sz w:val="21"/>
                <w:szCs w:val="21"/>
              </w:rPr>
            </w:pPr>
          </w:p>
        </w:tc>
        <w:tc>
          <w:tcPr>
            <w:tcW w:w="120" w:type="dxa"/>
            <w:vMerge/>
            <w:tcBorders>
              <w:bottom w:val="single" w:sz="8" w:space="0" w:color="CCEEFF"/>
            </w:tcBorders>
            <w:vAlign w:val="bottom"/>
          </w:tcPr>
          <w:p w14:paraId="6D899CC0" w14:textId="77777777" w:rsidR="00D1587D" w:rsidRDefault="00D1587D">
            <w:pPr>
              <w:rPr>
                <w:sz w:val="21"/>
                <w:szCs w:val="21"/>
              </w:rPr>
            </w:pPr>
          </w:p>
        </w:tc>
        <w:tc>
          <w:tcPr>
            <w:tcW w:w="920" w:type="dxa"/>
            <w:gridSpan w:val="2"/>
            <w:tcBorders>
              <w:bottom w:val="single" w:sz="8" w:space="0" w:color="auto"/>
            </w:tcBorders>
            <w:vAlign w:val="bottom"/>
          </w:tcPr>
          <w:p w14:paraId="534F5FD2" w14:textId="77777777" w:rsidR="00D1587D" w:rsidRDefault="00410D07">
            <w:pPr>
              <w:spacing w:line="242" w:lineRule="exact"/>
              <w:jc w:val="right"/>
              <w:rPr>
                <w:sz w:val="20"/>
                <w:szCs w:val="20"/>
              </w:rPr>
            </w:pPr>
            <w:r>
              <w:rPr>
                <w:rFonts w:ascii="Arial" w:eastAsia="Arial" w:hAnsi="Arial" w:cs="Arial"/>
                <w:b/>
                <w:bCs/>
                <w:w w:val="86"/>
                <w:sz w:val="14"/>
                <w:szCs w:val="14"/>
              </w:rPr>
              <w:t>Adjustments</w:t>
            </w:r>
            <w:r>
              <w:rPr>
                <w:rFonts w:ascii="Arial" w:eastAsia="Arial" w:hAnsi="Arial" w:cs="Arial"/>
                <w:b/>
                <w:bCs/>
                <w:w w:val="86"/>
                <w:sz w:val="23"/>
                <w:szCs w:val="23"/>
                <w:vertAlign w:val="superscript"/>
              </w:rPr>
              <w:t>(1)</w:t>
            </w:r>
          </w:p>
        </w:tc>
        <w:tc>
          <w:tcPr>
            <w:tcW w:w="100" w:type="dxa"/>
            <w:tcBorders>
              <w:bottom w:val="single" w:sz="8" w:space="0" w:color="CCEEFF"/>
            </w:tcBorders>
            <w:vAlign w:val="bottom"/>
          </w:tcPr>
          <w:p w14:paraId="271BCEB0" w14:textId="77777777" w:rsidR="00D1587D" w:rsidRDefault="00D1587D">
            <w:pPr>
              <w:rPr>
                <w:sz w:val="21"/>
                <w:szCs w:val="21"/>
              </w:rPr>
            </w:pPr>
          </w:p>
        </w:tc>
        <w:tc>
          <w:tcPr>
            <w:tcW w:w="140" w:type="dxa"/>
            <w:tcBorders>
              <w:bottom w:val="single" w:sz="8" w:space="0" w:color="auto"/>
            </w:tcBorders>
            <w:vAlign w:val="bottom"/>
          </w:tcPr>
          <w:p w14:paraId="70D4EFC8" w14:textId="77777777" w:rsidR="00D1587D" w:rsidRDefault="00D1587D">
            <w:pPr>
              <w:rPr>
                <w:sz w:val="21"/>
                <w:szCs w:val="21"/>
              </w:rPr>
            </w:pPr>
          </w:p>
        </w:tc>
        <w:tc>
          <w:tcPr>
            <w:tcW w:w="900" w:type="dxa"/>
            <w:vMerge/>
            <w:tcBorders>
              <w:bottom w:val="single" w:sz="8" w:space="0" w:color="auto"/>
            </w:tcBorders>
            <w:vAlign w:val="bottom"/>
          </w:tcPr>
          <w:p w14:paraId="33FFAE30" w14:textId="77777777" w:rsidR="00D1587D" w:rsidRDefault="00D1587D">
            <w:pPr>
              <w:rPr>
                <w:sz w:val="21"/>
                <w:szCs w:val="21"/>
              </w:rPr>
            </w:pPr>
          </w:p>
        </w:tc>
        <w:tc>
          <w:tcPr>
            <w:tcW w:w="0" w:type="dxa"/>
            <w:vAlign w:val="bottom"/>
          </w:tcPr>
          <w:p w14:paraId="72CA3BE1" w14:textId="77777777" w:rsidR="00D1587D" w:rsidRDefault="00D1587D">
            <w:pPr>
              <w:rPr>
                <w:sz w:val="1"/>
                <w:szCs w:val="1"/>
              </w:rPr>
            </w:pPr>
          </w:p>
        </w:tc>
      </w:tr>
      <w:tr w:rsidR="00D1587D" w14:paraId="1AFF391D" w14:textId="77777777">
        <w:trPr>
          <w:trHeight w:val="311"/>
        </w:trPr>
        <w:tc>
          <w:tcPr>
            <w:tcW w:w="5620" w:type="dxa"/>
            <w:tcBorders>
              <w:bottom w:val="single" w:sz="8" w:space="0" w:color="CCEEFF"/>
            </w:tcBorders>
            <w:shd w:val="clear" w:color="auto" w:fill="CCEEFF"/>
            <w:vAlign w:val="bottom"/>
          </w:tcPr>
          <w:p w14:paraId="5BFE70A4" w14:textId="77777777" w:rsidR="00D1587D" w:rsidRDefault="00410D07">
            <w:pPr>
              <w:rPr>
                <w:sz w:val="20"/>
                <w:szCs w:val="20"/>
              </w:rPr>
            </w:pPr>
            <w:r>
              <w:rPr>
                <w:rFonts w:ascii="Arial" w:eastAsia="Arial" w:hAnsi="Arial" w:cs="Arial"/>
                <w:sz w:val="18"/>
                <w:szCs w:val="18"/>
              </w:rPr>
              <w:t>Net Sales</w:t>
            </w:r>
          </w:p>
        </w:tc>
        <w:tc>
          <w:tcPr>
            <w:tcW w:w="620" w:type="dxa"/>
            <w:gridSpan w:val="2"/>
            <w:tcBorders>
              <w:bottom w:val="single" w:sz="8" w:space="0" w:color="CCEEFF"/>
            </w:tcBorders>
            <w:shd w:val="clear" w:color="auto" w:fill="CCEEFF"/>
            <w:vAlign w:val="bottom"/>
          </w:tcPr>
          <w:p w14:paraId="4B342B21" w14:textId="77777777" w:rsidR="00D1587D" w:rsidRDefault="00410D07">
            <w:pPr>
              <w:jc w:val="right"/>
              <w:rPr>
                <w:sz w:val="20"/>
                <w:szCs w:val="20"/>
              </w:rPr>
            </w:pPr>
            <w:r>
              <w:rPr>
                <w:rFonts w:ascii="Arial" w:eastAsia="Arial" w:hAnsi="Arial" w:cs="Arial"/>
                <w:w w:val="98"/>
                <w:sz w:val="18"/>
                <w:szCs w:val="18"/>
              </w:rPr>
              <w:t>$1,554</w:t>
            </w:r>
          </w:p>
        </w:tc>
        <w:tc>
          <w:tcPr>
            <w:tcW w:w="120" w:type="dxa"/>
            <w:tcBorders>
              <w:bottom w:val="single" w:sz="8" w:space="0" w:color="CCEEFF"/>
            </w:tcBorders>
            <w:shd w:val="clear" w:color="auto" w:fill="CCEEFF"/>
            <w:vAlign w:val="bottom"/>
          </w:tcPr>
          <w:p w14:paraId="2B676BE1" w14:textId="77777777" w:rsidR="00D1587D" w:rsidRDefault="00D1587D">
            <w:pPr>
              <w:rPr>
                <w:sz w:val="24"/>
                <w:szCs w:val="24"/>
              </w:rPr>
            </w:pPr>
          </w:p>
        </w:tc>
        <w:tc>
          <w:tcPr>
            <w:tcW w:w="440" w:type="dxa"/>
            <w:tcBorders>
              <w:bottom w:val="single" w:sz="8" w:space="0" w:color="CCEEFF"/>
            </w:tcBorders>
            <w:shd w:val="clear" w:color="auto" w:fill="CCEEFF"/>
            <w:vAlign w:val="bottom"/>
          </w:tcPr>
          <w:p w14:paraId="39A256E1" w14:textId="77777777" w:rsidR="00D1587D" w:rsidRDefault="00410D07">
            <w:pPr>
              <w:jc w:val="right"/>
              <w:rPr>
                <w:sz w:val="20"/>
                <w:szCs w:val="20"/>
              </w:rPr>
            </w:pPr>
            <w:r>
              <w:rPr>
                <w:rFonts w:ascii="Arial" w:eastAsia="Arial" w:hAnsi="Arial" w:cs="Arial"/>
                <w:sz w:val="18"/>
                <w:szCs w:val="18"/>
              </w:rPr>
              <w:t>$</w:t>
            </w:r>
          </w:p>
        </w:tc>
        <w:tc>
          <w:tcPr>
            <w:tcW w:w="580" w:type="dxa"/>
            <w:gridSpan w:val="2"/>
            <w:tcBorders>
              <w:bottom w:val="single" w:sz="8" w:space="0" w:color="CCEEFF"/>
            </w:tcBorders>
            <w:shd w:val="clear" w:color="auto" w:fill="CCEEFF"/>
            <w:vAlign w:val="bottom"/>
          </w:tcPr>
          <w:p w14:paraId="23EBBBCC" w14:textId="77777777" w:rsidR="00D1587D" w:rsidRDefault="00410D07">
            <w:pPr>
              <w:ind w:right="100"/>
              <w:jc w:val="right"/>
              <w:rPr>
                <w:sz w:val="20"/>
                <w:szCs w:val="20"/>
              </w:rPr>
            </w:pPr>
            <w:r>
              <w:rPr>
                <w:rFonts w:ascii="Arial" w:eastAsia="Arial" w:hAnsi="Arial" w:cs="Arial"/>
                <w:sz w:val="18"/>
                <w:szCs w:val="18"/>
              </w:rPr>
              <w:t>—</w:t>
            </w:r>
          </w:p>
        </w:tc>
        <w:tc>
          <w:tcPr>
            <w:tcW w:w="140" w:type="dxa"/>
            <w:tcBorders>
              <w:bottom w:val="single" w:sz="8" w:space="0" w:color="CCEEFF"/>
            </w:tcBorders>
            <w:shd w:val="clear" w:color="auto" w:fill="CCEEFF"/>
            <w:vAlign w:val="bottom"/>
          </w:tcPr>
          <w:p w14:paraId="25905495" w14:textId="77777777" w:rsidR="00D1587D" w:rsidRDefault="00410D07">
            <w:pPr>
              <w:jc w:val="right"/>
              <w:rPr>
                <w:sz w:val="20"/>
                <w:szCs w:val="20"/>
              </w:rPr>
            </w:pPr>
            <w:r>
              <w:rPr>
                <w:rFonts w:ascii="Arial" w:eastAsia="Arial" w:hAnsi="Arial" w:cs="Arial"/>
                <w:w w:val="79"/>
                <w:sz w:val="18"/>
                <w:szCs w:val="18"/>
              </w:rPr>
              <w:t>$</w:t>
            </w:r>
          </w:p>
        </w:tc>
        <w:tc>
          <w:tcPr>
            <w:tcW w:w="900" w:type="dxa"/>
            <w:tcBorders>
              <w:bottom w:val="single" w:sz="8" w:space="0" w:color="CCEEFF"/>
            </w:tcBorders>
            <w:shd w:val="clear" w:color="auto" w:fill="CCEEFF"/>
            <w:vAlign w:val="bottom"/>
          </w:tcPr>
          <w:p w14:paraId="2D0998F2" w14:textId="77777777" w:rsidR="00D1587D" w:rsidRDefault="00410D07">
            <w:pPr>
              <w:jc w:val="right"/>
              <w:rPr>
                <w:sz w:val="20"/>
                <w:szCs w:val="20"/>
              </w:rPr>
            </w:pPr>
            <w:r>
              <w:rPr>
                <w:rFonts w:ascii="Arial" w:eastAsia="Arial" w:hAnsi="Arial" w:cs="Arial"/>
                <w:sz w:val="18"/>
                <w:szCs w:val="18"/>
              </w:rPr>
              <w:t>1,554</w:t>
            </w:r>
          </w:p>
        </w:tc>
        <w:tc>
          <w:tcPr>
            <w:tcW w:w="0" w:type="dxa"/>
            <w:vAlign w:val="bottom"/>
          </w:tcPr>
          <w:p w14:paraId="643D33F5" w14:textId="77777777" w:rsidR="00D1587D" w:rsidRDefault="00D1587D">
            <w:pPr>
              <w:rPr>
                <w:sz w:val="1"/>
                <w:szCs w:val="1"/>
              </w:rPr>
            </w:pPr>
          </w:p>
        </w:tc>
      </w:tr>
      <w:tr w:rsidR="00D1587D" w14:paraId="0AEC7CB6" w14:textId="77777777">
        <w:trPr>
          <w:trHeight w:val="270"/>
        </w:trPr>
        <w:tc>
          <w:tcPr>
            <w:tcW w:w="5620" w:type="dxa"/>
            <w:vAlign w:val="bottom"/>
          </w:tcPr>
          <w:p w14:paraId="4C3ED1B8" w14:textId="77777777" w:rsidR="00D1587D" w:rsidRDefault="00410D07">
            <w:pPr>
              <w:rPr>
                <w:sz w:val="20"/>
                <w:szCs w:val="20"/>
              </w:rPr>
            </w:pPr>
            <w:r>
              <w:rPr>
                <w:rFonts w:ascii="Arial" w:eastAsia="Arial" w:hAnsi="Arial" w:cs="Arial"/>
                <w:sz w:val="18"/>
                <w:szCs w:val="18"/>
              </w:rPr>
              <w:t xml:space="preserve">Costs of Goods Sold, Buying and </w:t>
            </w:r>
            <w:r>
              <w:rPr>
                <w:rFonts w:ascii="Arial" w:eastAsia="Arial" w:hAnsi="Arial" w:cs="Arial"/>
                <w:sz w:val="18"/>
                <w:szCs w:val="18"/>
              </w:rPr>
              <w:t>Occupancy</w:t>
            </w:r>
          </w:p>
        </w:tc>
        <w:tc>
          <w:tcPr>
            <w:tcW w:w="180" w:type="dxa"/>
            <w:vAlign w:val="bottom"/>
          </w:tcPr>
          <w:p w14:paraId="210064ED" w14:textId="77777777" w:rsidR="00D1587D" w:rsidRDefault="00D1587D">
            <w:pPr>
              <w:rPr>
                <w:sz w:val="23"/>
                <w:szCs w:val="23"/>
              </w:rPr>
            </w:pPr>
          </w:p>
        </w:tc>
        <w:tc>
          <w:tcPr>
            <w:tcW w:w="440" w:type="dxa"/>
            <w:vAlign w:val="bottom"/>
          </w:tcPr>
          <w:p w14:paraId="272C8CD9" w14:textId="77777777" w:rsidR="00D1587D" w:rsidRDefault="00410D07">
            <w:pPr>
              <w:jc w:val="right"/>
              <w:rPr>
                <w:sz w:val="20"/>
                <w:szCs w:val="20"/>
              </w:rPr>
            </w:pPr>
            <w:r>
              <w:rPr>
                <w:rFonts w:ascii="Arial" w:eastAsia="Arial" w:hAnsi="Arial" w:cs="Arial"/>
                <w:w w:val="95"/>
                <w:sz w:val="18"/>
                <w:szCs w:val="18"/>
              </w:rPr>
              <w:t>(882)</w:t>
            </w:r>
          </w:p>
        </w:tc>
        <w:tc>
          <w:tcPr>
            <w:tcW w:w="120" w:type="dxa"/>
            <w:vAlign w:val="bottom"/>
          </w:tcPr>
          <w:p w14:paraId="732435DF" w14:textId="77777777" w:rsidR="00D1587D" w:rsidRDefault="00D1587D">
            <w:pPr>
              <w:rPr>
                <w:sz w:val="23"/>
                <w:szCs w:val="23"/>
              </w:rPr>
            </w:pPr>
          </w:p>
        </w:tc>
        <w:tc>
          <w:tcPr>
            <w:tcW w:w="440" w:type="dxa"/>
            <w:vAlign w:val="bottom"/>
          </w:tcPr>
          <w:p w14:paraId="4F33B26F" w14:textId="77777777" w:rsidR="00D1587D" w:rsidRDefault="00D1587D">
            <w:pPr>
              <w:rPr>
                <w:sz w:val="23"/>
                <w:szCs w:val="23"/>
              </w:rPr>
            </w:pPr>
          </w:p>
        </w:tc>
        <w:tc>
          <w:tcPr>
            <w:tcW w:w="580" w:type="dxa"/>
            <w:gridSpan w:val="2"/>
            <w:vAlign w:val="bottom"/>
          </w:tcPr>
          <w:p w14:paraId="0D512112" w14:textId="77777777" w:rsidR="00D1587D" w:rsidRDefault="00410D07">
            <w:pPr>
              <w:ind w:right="100"/>
              <w:jc w:val="right"/>
              <w:rPr>
                <w:sz w:val="20"/>
                <w:szCs w:val="20"/>
              </w:rPr>
            </w:pPr>
            <w:r>
              <w:rPr>
                <w:rFonts w:ascii="Arial" w:eastAsia="Arial" w:hAnsi="Arial" w:cs="Arial"/>
                <w:sz w:val="18"/>
                <w:szCs w:val="18"/>
              </w:rPr>
              <w:t>—</w:t>
            </w:r>
          </w:p>
        </w:tc>
        <w:tc>
          <w:tcPr>
            <w:tcW w:w="1040" w:type="dxa"/>
            <w:gridSpan w:val="2"/>
            <w:vAlign w:val="bottom"/>
          </w:tcPr>
          <w:p w14:paraId="7C6E73B8" w14:textId="77777777" w:rsidR="00D1587D" w:rsidRDefault="00410D07">
            <w:pPr>
              <w:ind w:right="472"/>
              <w:jc w:val="right"/>
              <w:rPr>
                <w:sz w:val="20"/>
                <w:szCs w:val="20"/>
              </w:rPr>
            </w:pPr>
            <w:r>
              <w:rPr>
                <w:rFonts w:ascii="Arial" w:eastAsia="Arial" w:hAnsi="Arial" w:cs="Arial"/>
                <w:sz w:val="18"/>
                <w:szCs w:val="18"/>
              </w:rPr>
              <w:t>(882)</w:t>
            </w:r>
          </w:p>
        </w:tc>
        <w:tc>
          <w:tcPr>
            <w:tcW w:w="0" w:type="dxa"/>
            <w:vAlign w:val="bottom"/>
          </w:tcPr>
          <w:p w14:paraId="345A6549" w14:textId="77777777" w:rsidR="00D1587D" w:rsidRDefault="00D1587D">
            <w:pPr>
              <w:rPr>
                <w:sz w:val="1"/>
                <w:szCs w:val="1"/>
              </w:rPr>
            </w:pPr>
          </w:p>
        </w:tc>
      </w:tr>
      <w:tr w:rsidR="00D1587D" w14:paraId="58941AEE" w14:textId="77777777">
        <w:trPr>
          <w:trHeight w:val="68"/>
        </w:trPr>
        <w:tc>
          <w:tcPr>
            <w:tcW w:w="5620" w:type="dxa"/>
            <w:tcBorders>
              <w:bottom w:val="single" w:sz="8" w:space="0" w:color="CCEEFF"/>
            </w:tcBorders>
            <w:vAlign w:val="bottom"/>
          </w:tcPr>
          <w:p w14:paraId="2D7907C4" w14:textId="77777777" w:rsidR="00D1587D" w:rsidRDefault="00D1587D">
            <w:pPr>
              <w:rPr>
                <w:sz w:val="5"/>
                <w:szCs w:val="5"/>
              </w:rPr>
            </w:pPr>
          </w:p>
        </w:tc>
        <w:tc>
          <w:tcPr>
            <w:tcW w:w="180" w:type="dxa"/>
            <w:tcBorders>
              <w:bottom w:val="single" w:sz="8" w:space="0" w:color="auto"/>
            </w:tcBorders>
            <w:vAlign w:val="bottom"/>
          </w:tcPr>
          <w:p w14:paraId="172BC625" w14:textId="77777777" w:rsidR="00D1587D" w:rsidRDefault="00D1587D">
            <w:pPr>
              <w:rPr>
                <w:sz w:val="5"/>
                <w:szCs w:val="5"/>
              </w:rPr>
            </w:pPr>
          </w:p>
        </w:tc>
        <w:tc>
          <w:tcPr>
            <w:tcW w:w="440" w:type="dxa"/>
            <w:tcBorders>
              <w:bottom w:val="single" w:sz="8" w:space="0" w:color="auto"/>
            </w:tcBorders>
            <w:vAlign w:val="bottom"/>
          </w:tcPr>
          <w:p w14:paraId="055D280D" w14:textId="77777777" w:rsidR="00D1587D" w:rsidRDefault="00D1587D">
            <w:pPr>
              <w:rPr>
                <w:sz w:val="5"/>
                <w:szCs w:val="5"/>
              </w:rPr>
            </w:pPr>
          </w:p>
        </w:tc>
        <w:tc>
          <w:tcPr>
            <w:tcW w:w="120" w:type="dxa"/>
            <w:tcBorders>
              <w:bottom w:val="single" w:sz="8" w:space="0" w:color="CCEEFF"/>
            </w:tcBorders>
            <w:vAlign w:val="bottom"/>
          </w:tcPr>
          <w:p w14:paraId="61D62D73" w14:textId="77777777" w:rsidR="00D1587D" w:rsidRDefault="00D1587D">
            <w:pPr>
              <w:rPr>
                <w:sz w:val="5"/>
                <w:szCs w:val="5"/>
              </w:rPr>
            </w:pPr>
          </w:p>
        </w:tc>
        <w:tc>
          <w:tcPr>
            <w:tcW w:w="440" w:type="dxa"/>
            <w:tcBorders>
              <w:bottom w:val="single" w:sz="8" w:space="0" w:color="auto"/>
            </w:tcBorders>
            <w:vAlign w:val="bottom"/>
          </w:tcPr>
          <w:p w14:paraId="709A6D7D" w14:textId="77777777" w:rsidR="00D1587D" w:rsidRDefault="00D1587D">
            <w:pPr>
              <w:rPr>
                <w:sz w:val="5"/>
                <w:szCs w:val="5"/>
              </w:rPr>
            </w:pPr>
          </w:p>
        </w:tc>
        <w:tc>
          <w:tcPr>
            <w:tcW w:w="480" w:type="dxa"/>
            <w:tcBorders>
              <w:bottom w:val="single" w:sz="8" w:space="0" w:color="auto"/>
            </w:tcBorders>
            <w:vAlign w:val="bottom"/>
          </w:tcPr>
          <w:p w14:paraId="6F675702" w14:textId="77777777" w:rsidR="00D1587D" w:rsidRDefault="00D1587D">
            <w:pPr>
              <w:rPr>
                <w:sz w:val="5"/>
                <w:szCs w:val="5"/>
              </w:rPr>
            </w:pPr>
          </w:p>
        </w:tc>
        <w:tc>
          <w:tcPr>
            <w:tcW w:w="100" w:type="dxa"/>
            <w:tcBorders>
              <w:bottom w:val="single" w:sz="8" w:space="0" w:color="CCEEFF"/>
            </w:tcBorders>
            <w:vAlign w:val="bottom"/>
          </w:tcPr>
          <w:p w14:paraId="6A81D8A4" w14:textId="77777777" w:rsidR="00D1587D" w:rsidRDefault="00D1587D">
            <w:pPr>
              <w:rPr>
                <w:sz w:val="5"/>
                <w:szCs w:val="5"/>
              </w:rPr>
            </w:pPr>
          </w:p>
        </w:tc>
        <w:tc>
          <w:tcPr>
            <w:tcW w:w="140" w:type="dxa"/>
            <w:tcBorders>
              <w:bottom w:val="single" w:sz="8" w:space="0" w:color="auto"/>
            </w:tcBorders>
            <w:vAlign w:val="bottom"/>
          </w:tcPr>
          <w:p w14:paraId="12610198" w14:textId="77777777" w:rsidR="00D1587D" w:rsidRDefault="00D1587D">
            <w:pPr>
              <w:rPr>
                <w:sz w:val="5"/>
                <w:szCs w:val="5"/>
              </w:rPr>
            </w:pPr>
          </w:p>
        </w:tc>
        <w:tc>
          <w:tcPr>
            <w:tcW w:w="900" w:type="dxa"/>
            <w:tcBorders>
              <w:bottom w:val="single" w:sz="8" w:space="0" w:color="auto"/>
            </w:tcBorders>
            <w:vAlign w:val="bottom"/>
          </w:tcPr>
          <w:p w14:paraId="2E86DAEB" w14:textId="77777777" w:rsidR="00D1587D" w:rsidRDefault="00D1587D">
            <w:pPr>
              <w:rPr>
                <w:sz w:val="5"/>
                <w:szCs w:val="5"/>
              </w:rPr>
            </w:pPr>
          </w:p>
        </w:tc>
        <w:tc>
          <w:tcPr>
            <w:tcW w:w="0" w:type="dxa"/>
            <w:vAlign w:val="bottom"/>
          </w:tcPr>
          <w:p w14:paraId="068933C7" w14:textId="77777777" w:rsidR="00D1587D" w:rsidRDefault="00D1587D">
            <w:pPr>
              <w:rPr>
                <w:sz w:val="1"/>
                <w:szCs w:val="1"/>
              </w:rPr>
            </w:pPr>
          </w:p>
        </w:tc>
      </w:tr>
      <w:tr w:rsidR="00D1587D" w14:paraId="55D73FDC" w14:textId="77777777">
        <w:trPr>
          <w:trHeight w:val="311"/>
        </w:trPr>
        <w:tc>
          <w:tcPr>
            <w:tcW w:w="5620" w:type="dxa"/>
            <w:tcBorders>
              <w:bottom w:val="single" w:sz="8" w:space="0" w:color="CCEEFF"/>
            </w:tcBorders>
            <w:shd w:val="clear" w:color="auto" w:fill="CCEEFF"/>
            <w:vAlign w:val="bottom"/>
          </w:tcPr>
          <w:p w14:paraId="44D9FACC" w14:textId="77777777" w:rsidR="00D1587D" w:rsidRDefault="00410D07">
            <w:pPr>
              <w:rPr>
                <w:sz w:val="20"/>
                <w:szCs w:val="20"/>
              </w:rPr>
            </w:pPr>
            <w:r>
              <w:rPr>
                <w:rFonts w:ascii="Arial" w:eastAsia="Arial" w:hAnsi="Arial" w:cs="Arial"/>
                <w:sz w:val="18"/>
                <w:szCs w:val="18"/>
              </w:rPr>
              <w:t>Gross Profit</w:t>
            </w:r>
          </w:p>
        </w:tc>
        <w:tc>
          <w:tcPr>
            <w:tcW w:w="180" w:type="dxa"/>
            <w:tcBorders>
              <w:bottom w:val="single" w:sz="8" w:space="0" w:color="CCEEFF"/>
            </w:tcBorders>
            <w:shd w:val="clear" w:color="auto" w:fill="CCEEFF"/>
            <w:vAlign w:val="bottom"/>
          </w:tcPr>
          <w:p w14:paraId="797731E2" w14:textId="77777777" w:rsidR="00D1587D" w:rsidRDefault="00D1587D">
            <w:pPr>
              <w:rPr>
                <w:sz w:val="24"/>
                <w:szCs w:val="24"/>
              </w:rPr>
            </w:pPr>
          </w:p>
        </w:tc>
        <w:tc>
          <w:tcPr>
            <w:tcW w:w="440" w:type="dxa"/>
            <w:tcBorders>
              <w:bottom w:val="single" w:sz="8" w:space="0" w:color="CCEEFF"/>
            </w:tcBorders>
            <w:shd w:val="clear" w:color="auto" w:fill="CCEEFF"/>
            <w:vAlign w:val="bottom"/>
          </w:tcPr>
          <w:p w14:paraId="6CC199C5" w14:textId="77777777" w:rsidR="00D1587D" w:rsidRDefault="00410D07">
            <w:pPr>
              <w:jc w:val="right"/>
              <w:rPr>
                <w:sz w:val="20"/>
                <w:szCs w:val="20"/>
              </w:rPr>
            </w:pPr>
            <w:r>
              <w:rPr>
                <w:rFonts w:ascii="Arial" w:eastAsia="Arial" w:hAnsi="Arial" w:cs="Arial"/>
                <w:sz w:val="18"/>
                <w:szCs w:val="18"/>
              </w:rPr>
              <w:t>672</w:t>
            </w:r>
          </w:p>
        </w:tc>
        <w:tc>
          <w:tcPr>
            <w:tcW w:w="120" w:type="dxa"/>
            <w:tcBorders>
              <w:bottom w:val="single" w:sz="8" w:space="0" w:color="CCEEFF"/>
            </w:tcBorders>
            <w:shd w:val="clear" w:color="auto" w:fill="CCEEFF"/>
            <w:vAlign w:val="bottom"/>
          </w:tcPr>
          <w:p w14:paraId="5A34FF58" w14:textId="77777777" w:rsidR="00D1587D" w:rsidRDefault="00D1587D">
            <w:pPr>
              <w:rPr>
                <w:sz w:val="24"/>
                <w:szCs w:val="24"/>
              </w:rPr>
            </w:pPr>
          </w:p>
        </w:tc>
        <w:tc>
          <w:tcPr>
            <w:tcW w:w="440" w:type="dxa"/>
            <w:tcBorders>
              <w:bottom w:val="single" w:sz="8" w:space="0" w:color="CCEEFF"/>
            </w:tcBorders>
            <w:shd w:val="clear" w:color="auto" w:fill="CCEEFF"/>
            <w:vAlign w:val="bottom"/>
          </w:tcPr>
          <w:p w14:paraId="3E34B8A6"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079C7E71" w14:textId="77777777" w:rsidR="00D1587D" w:rsidRDefault="00410D07">
            <w:pPr>
              <w:ind w:right="100"/>
              <w:jc w:val="right"/>
              <w:rPr>
                <w:sz w:val="20"/>
                <w:szCs w:val="20"/>
              </w:rPr>
            </w:pPr>
            <w:r>
              <w:rPr>
                <w:rFonts w:ascii="Arial" w:eastAsia="Arial" w:hAnsi="Arial" w:cs="Arial"/>
                <w:sz w:val="18"/>
                <w:szCs w:val="18"/>
              </w:rPr>
              <w:t>—</w:t>
            </w:r>
          </w:p>
        </w:tc>
        <w:tc>
          <w:tcPr>
            <w:tcW w:w="140" w:type="dxa"/>
            <w:tcBorders>
              <w:bottom w:val="single" w:sz="8" w:space="0" w:color="CCEEFF"/>
            </w:tcBorders>
            <w:shd w:val="clear" w:color="auto" w:fill="CCEEFF"/>
            <w:vAlign w:val="bottom"/>
          </w:tcPr>
          <w:p w14:paraId="19AB6921" w14:textId="77777777" w:rsidR="00D1587D" w:rsidRDefault="00D1587D">
            <w:pPr>
              <w:rPr>
                <w:sz w:val="24"/>
                <w:szCs w:val="24"/>
              </w:rPr>
            </w:pPr>
          </w:p>
        </w:tc>
        <w:tc>
          <w:tcPr>
            <w:tcW w:w="900" w:type="dxa"/>
            <w:tcBorders>
              <w:bottom w:val="single" w:sz="8" w:space="0" w:color="CCEEFF"/>
            </w:tcBorders>
            <w:shd w:val="clear" w:color="auto" w:fill="CCEEFF"/>
            <w:vAlign w:val="bottom"/>
          </w:tcPr>
          <w:p w14:paraId="5FECD3AE" w14:textId="77777777" w:rsidR="00D1587D" w:rsidRDefault="00410D07">
            <w:pPr>
              <w:jc w:val="right"/>
              <w:rPr>
                <w:sz w:val="20"/>
                <w:szCs w:val="20"/>
              </w:rPr>
            </w:pPr>
            <w:r>
              <w:rPr>
                <w:rFonts w:ascii="Arial" w:eastAsia="Arial" w:hAnsi="Arial" w:cs="Arial"/>
                <w:sz w:val="18"/>
                <w:szCs w:val="18"/>
              </w:rPr>
              <w:t>672</w:t>
            </w:r>
          </w:p>
        </w:tc>
        <w:tc>
          <w:tcPr>
            <w:tcW w:w="0" w:type="dxa"/>
            <w:vAlign w:val="bottom"/>
          </w:tcPr>
          <w:p w14:paraId="1B8198FF" w14:textId="77777777" w:rsidR="00D1587D" w:rsidRDefault="00D1587D">
            <w:pPr>
              <w:rPr>
                <w:sz w:val="1"/>
                <w:szCs w:val="1"/>
              </w:rPr>
            </w:pPr>
          </w:p>
        </w:tc>
      </w:tr>
      <w:tr w:rsidR="00D1587D" w14:paraId="0E1AD72C" w14:textId="77777777">
        <w:trPr>
          <w:trHeight w:val="270"/>
        </w:trPr>
        <w:tc>
          <w:tcPr>
            <w:tcW w:w="5620" w:type="dxa"/>
            <w:vAlign w:val="bottom"/>
          </w:tcPr>
          <w:p w14:paraId="3DB9B0DD" w14:textId="77777777" w:rsidR="00D1587D" w:rsidRDefault="00410D07">
            <w:pPr>
              <w:rPr>
                <w:sz w:val="20"/>
                <w:szCs w:val="20"/>
              </w:rPr>
            </w:pPr>
            <w:r>
              <w:rPr>
                <w:rFonts w:ascii="Arial" w:eastAsia="Arial" w:hAnsi="Arial" w:cs="Arial"/>
                <w:sz w:val="18"/>
                <w:szCs w:val="18"/>
              </w:rPr>
              <w:t>General, Administrative and Store Operating Expenses</w:t>
            </w:r>
          </w:p>
        </w:tc>
        <w:tc>
          <w:tcPr>
            <w:tcW w:w="180" w:type="dxa"/>
            <w:vAlign w:val="bottom"/>
          </w:tcPr>
          <w:p w14:paraId="17C2F53D" w14:textId="77777777" w:rsidR="00D1587D" w:rsidRDefault="00D1587D">
            <w:pPr>
              <w:rPr>
                <w:sz w:val="23"/>
                <w:szCs w:val="23"/>
              </w:rPr>
            </w:pPr>
          </w:p>
        </w:tc>
        <w:tc>
          <w:tcPr>
            <w:tcW w:w="440" w:type="dxa"/>
            <w:vAlign w:val="bottom"/>
          </w:tcPr>
          <w:p w14:paraId="2D46EEAB" w14:textId="77777777" w:rsidR="00D1587D" w:rsidRDefault="00410D07">
            <w:pPr>
              <w:jc w:val="right"/>
              <w:rPr>
                <w:sz w:val="20"/>
                <w:szCs w:val="20"/>
              </w:rPr>
            </w:pPr>
            <w:r>
              <w:rPr>
                <w:rFonts w:ascii="Arial" w:eastAsia="Arial" w:hAnsi="Arial" w:cs="Arial"/>
                <w:w w:val="95"/>
                <w:sz w:val="18"/>
                <w:szCs w:val="18"/>
              </w:rPr>
              <w:t>(446)</w:t>
            </w:r>
          </w:p>
        </w:tc>
        <w:tc>
          <w:tcPr>
            <w:tcW w:w="120" w:type="dxa"/>
            <w:vAlign w:val="bottom"/>
          </w:tcPr>
          <w:p w14:paraId="153ED0DE" w14:textId="77777777" w:rsidR="00D1587D" w:rsidRDefault="00D1587D">
            <w:pPr>
              <w:rPr>
                <w:sz w:val="23"/>
                <w:szCs w:val="23"/>
              </w:rPr>
            </w:pPr>
          </w:p>
        </w:tc>
        <w:tc>
          <w:tcPr>
            <w:tcW w:w="440" w:type="dxa"/>
            <w:vAlign w:val="bottom"/>
          </w:tcPr>
          <w:p w14:paraId="25DF97B6" w14:textId="77777777" w:rsidR="00D1587D" w:rsidRDefault="00D1587D">
            <w:pPr>
              <w:rPr>
                <w:sz w:val="23"/>
                <w:szCs w:val="23"/>
              </w:rPr>
            </w:pPr>
          </w:p>
        </w:tc>
        <w:tc>
          <w:tcPr>
            <w:tcW w:w="580" w:type="dxa"/>
            <w:gridSpan w:val="2"/>
            <w:vAlign w:val="bottom"/>
          </w:tcPr>
          <w:p w14:paraId="0DCBEA67" w14:textId="77777777" w:rsidR="00D1587D" w:rsidRDefault="00410D07">
            <w:pPr>
              <w:ind w:right="100"/>
              <w:jc w:val="right"/>
              <w:rPr>
                <w:sz w:val="20"/>
                <w:szCs w:val="20"/>
              </w:rPr>
            </w:pPr>
            <w:r>
              <w:rPr>
                <w:rFonts w:ascii="Arial" w:eastAsia="Arial" w:hAnsi="Arial" w:cs="Arial"/>
                <w:sz w:val="18"/>
                <w:szCs w:val="18"/>
              </w:rPr>
              <w:t>5(e)</w:t>
            </w:r>
          </w:p>
        </w:tc>
        <w:tc>
          <w:tcPr>
            <w:tcW w:w="140" w:type="dxa"/>
            <w:vAlign w:val="bottom"/>
          </w:tcPr>
          <w:p w14:paraId="62EC1741" w14:textId="77777777" w:rsidR="00D1587D" w:rsidRDefault="00D1587D">
            <w:pPr>
              <w:rPr>
                <w:sz w:val="23"/>
                <w:szCs w:val="23"/>
              </w:rPr>
            </w:pPr>
          </w:p>
        </w:tc>
        <w:tc>
          <w:tcPr>
            <w:tcW w:w="900" w:type="dxa"/>
            <w:vAlign w:val="bottom"/>
          </w:tcPr>
          <w:p w14:paraId="16450E67" w14:textId="77777777" w:rsidR="00D1587D" w:rsidRDefault="00410D07">
            <w:pPr>
              <w:jc w:val="right"/>
              <w:rPr>
                <w:sz w:val="20"/>
                <w:szCs w:val="20"/>
              </w:rPr>
            </w:pPr>
            <w:r>
              <w:rPr>
                <w:rFonts w:ascii="Arial" w:eastAsia="Arial" w:hAnsi="Arial" w:cs="Arial"/>
                <w:sz w:val="18"/>
                <w:szCs w:val="18"/>
              </w:rPr>
              <w:t>(441)</w:t>
            </w:r>
          </w:p>
        </w:tc>
        <w:tc>
          <w:tcPr>
            <w:tcW w:w="0" w:type="dxa"/>
            <w:vAlign w:val="bottom"/>
          </w:tcPr>
          <w:p w14:paraId="72464D92" w14:textId="77777777" w:rsidR="00D1587D" w:rsidRDefault="00D1587D">
            <w:pPr>
              <w:rPr>
                <w:sz w:val="1"/>
                <w:szCs w:val="1"/>
              </w:rPr>
            </w:pPr>
          </w:p>
        </w:tc>
      </w:tr>
      <w:tr w:rsidR="00D1587D" w14:paraId="7A6280BF" w14:textId="77777777">
        <w:trPr>
          <w:trHeight w:val="68"/>
        </w:trPr>
        <w:tc>
          <w:tcPr>
            <w:tcW w:w="5620" w:type="dxa"/>
            <w:tcBorders>
              <w:bottom w:val="single" w:sz="8" w:space="0" w:color="CCEEFF"/>
            </w:tcBorders>
            <w:vAlign w:val="bottom"/>
          </w:tcPr>
          <w:p w14:paraId="36BD73A6" w14:textId="77777777" w:rsidR="00D1587D" w:rsidRDefault="00D1587D">
            <w:pPr>
              <w:rPr>
                <w:sz w:val="5"/>
                <w:szCs w:val="5"/>
              </w:rPr>
            </w:pPr>
          </w:p>
        </w:tc>
        <w:tc>
          <w:tcPr>
            <w:tcW w:w="180" w:type="dxa"/>
            <w:tcBorders>
              <w:bottom w:val="single" w:sz="8" w:space="0" w:color="auto"/>
            </w:tcBorders>
            <w:vAlign w:val="bottom"/>
          </w:tcPr>
          <w:p w14:paraId="1D0A77C8" w14:textId="77777777" w:rsidR="00D1587D" w:rsidRDefault="00D1587D">
            <w:pPr>
              <w:rPr>
                <w:sz w:val="5"/>
                <w:szCs w:val="5"/>
              </w:rPr>
            </w:pPr>
          </w:p>
        </w:tc>
        <w:tc>
          <w:tcPr>
            <w:tcW w:w="440" w:type="dxa"/>
            <w:tcBorders>
              <w:bottom w:val="single" w:sz="8" w:space="0" w:color="auto"/>
            </w:tcBorders>
            <w:vAlign w:val="bottom"/>
          </w:tcPr>
          <w:p w14:paraId="35A1EA48" w14:textId="77777777" w:rsidR="00D1587D" w:rsidRDefault="00D1587D">
            <w:pPr>
              <w:rPr>
                <w:sz w:val="5"/>
                <w:szCs w:val="5"/>
              </w:rPr>
            </w:pPr>
          </w:p>
        </w:tc>
        <w:tc>
          <w:tcPr>
            <w:tcW w:w="120" w:type="dxa"/>
            <w:tcBorders>
              <w:bottom w:val="single" w:sz="8" w:space="0" w:color="CCEEFF"/>
            </w:tcBorders>
            <w:vAlign w:val="bottom"/>
          </w:tcPr>
          <w:p w14:paraId="1FA58F98" w14:textId="77777777" w:rsidR="00D1587D" w:rsidRDefault="00D1587D">
            <w:pPr>
              <w:rPr>
                <w:sz w:val="5"/>
                <w:szCs w:val="5"/>
              </w:rPr>
            </w:pPr>
          </w:p>
        </w:tc>
        <w:tc>
          <w:tcPr>
            <w:tcW w:w="440" w:type="dxa"/>
            <w:tcBorders>
              <w:bottom w:val="single" w:sz="8" w:space="0" w:color="auto"/>
            </w:tcBorders>
            <w:vAlign w:val="bottom"/>
          </w:tcPr>
          <w:p w14:paraId="2D827FFA" w14:textId="77777777" w:rsidR="00D1587D" w:rsidRDefault="00D1587D">
            <w:pPr>
              <w:rPr>
                <w:sz w:val="5"/>
                <w:szCs w:val="5"/>
              </w:rPr>
            </w:pPr>
          </w:p>
        </w:tc>
        <w:tc>
          <w:tcPr>
            <w:tcW w:w="480" w:type="dxa"/>
            <w:tcBorders>
              <w:bottom w:val="single" w:sz="8" w:space="0" w:color="auto"/>
            </w:tcBorders>
            <w:vAlign w:val="bottom"/>
          </w:tcPr>
          <w:p w14:paraId="027477C9" w14:textId="77777777" w:rsidR="00D1587D" w:rsidRDefault="00D1587D">
            <w:pPr>
              <w:rPr>
                <w:sz w:val="5"/>
                <w:szCs w:val="5"/>
              </w:rPr>
            </w:pPr>
          </w:p>
        </w:tc>
        <w:tc>
          <w:tcPr>
            <w:tcW w:w="100" w:type="dxa"/>
            <w:tcBorders>
              <w:bottom w:val="single" w:sz="8" w:space="0" w:color="CCEEFF"/>
            </w:tcBorders>
            <w:vAlign w:val="bottom"/>
          </w:tcPr>
          <w:p w14:paraId="492404F4" w14:textId="77777777" w:rsidR="00D1587D" w:rsidRDefault="00D1587D">
            <w:pPr>
              <w:rPr>
                <w:sz w:val="5"/>
                <w:szCs w:val="5"/>
              </w:rPr>
            </w:pPr>
          </w:p>
        </w:tc>
        <w:tc>
          <w:tcPr>
            <w:tcW w:w="140" w:type="dxa"/>
            <w:tcBorders>
              <w:bottom w:val="single" w:sz="8" w:space="0" w:color="auto"/>
            </w:tcBorders>
            <w:vAlign w:val="bottom"/>
          </w:tcPr>
          <w:p w14:paraId="05DEE18F" w14:textId="77777777" w:rsidR="00D1587D" w:rsidRDefault="00D1587D">
            <w:pPr>
              <w:rPr>
                <w:sz w:val="5"/>
                <w:szCs w:val="5"/>
              </w:rPr>
            </w:pPr>
          </w:p>
        </w:tc>
        <w:tc>
          <w:tcPr>
            <w:tcW w:w="900" w:type="dxa"/>
            <w:tcBorders>
              <w:bottom w:val="single" w:sz="8" w:space="0" w:color="auto"/>
            </w:tcBorders>
            <w:vAlign w:val="bottom"/>
          </w:tcPr>
          <w:p w14:paraId="527FD80E" w14:textId="77777777" w:rsidR="00D1587D" w:rsidRDefault="00D1587D">
            <w:pPr>
              <w:rPr>
                <w:sz w:val="5"/>
                <w:szCs w:val="5"/>
              </w:rPr>
            </w:pPr>
          </w:p>
        </w:tc>
        <w:tc>
          <w:tcPr>
            <w:tcW w:w="0" w:type="dxa"/>
            <w:vAlign w:val="bottom"/>
          </w:tcPr>
          <w:p w14:paraId="0D907844" w14:textId="77777777" w:rsidR="00D1587D" w:rsidRDefault="00D1587D">
            <w:pPr>
              <w:rPr>
                <w:sz w:val="1"/>
                <w:szCs w:val="1"/>
              </w:rPr>
            </w:pPr>
          </w:p>
        </w:tc>
      </w:tr>
      <w:tr w:rsidR="00D1587D" w14:paraId="5660C217" w14:textId="77777777">
        <w:trPr>
          <w:trHeight w:val="311"/>
        </w:trPr>
        <w:tc>
          <w:tcPr>
            <w:tcW w:w="5620" w:type="dxa"/>
            <w:tcBorders>
              <w:bottom w:val="single" w:sz="8" w:space="0" w:color="CCEEFF"/>
            </w:tcBorders>
            <w:shd w:val="clear" w:color="auto" w:fill="CCEEFF"/>
            <w:vAlign w:val="bottom"/>
          </w:tcPr>
          <w:p w14:paraId="2FF21A7F" w14:textId="77777777" w:rsidR="00D1587D" w:rsidRDefault="00410D07">
            <w:pPr>
              <w:rPr>
                <w:sz w:val="20"/>
                <w:szCs w:val="20"/>
              </w:rPr>
            </w:pPr>
            <w:r>
              <w:rPr>
                <w:rFonts w:ascii="Arial" w:eastAsia="Arial" w:hAnsi="Arial" w:cs="Arial"/>
                <w:sz w:val="18"/>
                <w:szCs w:val="18"/>
              </w:rPr>
              <w:t>Operating Income</w:t>
            </w:r>
          </w:p>
        </w:tc>
        <w:tc>
          <w:tcPr>
            <w:tcW w:w="180" w:type="dxa"/>
            <w:tcBorders>
              <w:bottom w:val="single" w:sz="8" w:space="0" w:color="CCEEFF"/>
            </w:tcBorders>
            <w:shd w:val="clear" w:color="auto" w:fill="CCEEFF"/>
            <w:vAlign w:val="bottom"/>
          </w:tcPr>
          <w:p w14:paraId="75EF3E65" w14:textId="77777777" w:rsidR="00D1587D" w:rsidRDefault="00D1587D">
            <w:pPr>
              <w:rPr>
                <w:sz w:val="24"/>
                <w:szCs w:val="24"/>
              </w:rPr>
            </w:pPr>
          </w:p>
        </w:tc>
        <w:tc>
          <w:tcPr>
            <w:tcW w:w="440" w:type="dxa"/>
            <w:tcBorders>
              <w:bottom w:val="single" w:sz="8" w:space="0" w:color="CCEEFF"/>
            </w:tcBorders>
            <w:shd w:val="clear" w:color="auto" w:fill="CCEEFF"/>
            <w:vAlign w:val="bottom"/>
          </w:tcPr>
          <w:p w14:paraId="763994BC" w14:textId="77777777" w:rsidR="00D1587D" w:rsidRDefault="00410D07">
            <w:pPr>
              <w:jc w:val="right"/>
              <w:rPr>
                <w:sz w:val="20"/>
                <w:szCs w:val="20"/>
              </w:rPr>
            </w:pPr>
            <w:r>
              <w:rPr>
                <w:rFonts w:ascii="Arial" w:eastAsia="Arial" w:hAnsi="Arial" w:cs="Arial"/>
                <w:sz w:val="18"/>
                <w:szCs w:val="18"/>
              </w:rPr>
              <w:t>226</w:t>
            </w:r>
          </w:p>
        </w:tc>
        <w:tc>
          <w:tcPr>
            <w:tcW w:w="120" w:type="dxa"/>
            <w:tcBorders>
              <w:bottom w:val="single" w:sz="8" w:space="0" w:color="CCEEFF"/>
            </w:tcBorders>
            <w:shd w:val="clear" w:color="auto" w:fill="CCEEFF"/>
            <w:vAlign w:val="bottom"/>
          </w:tcPr>
          <w:p w14:paraId="1A0BEDCE" w14:textId="77777777" w:rsidR="00D1587D" w:rsidRDefault="00D1587D">
            <w:pPr>
              <w:rPr>
                <w:sz w:val="24"/>
                <w:szCs w:val="24"/>
              </w:rPr>
            </w:pPr>
          </w:p>
        </w:tc>
        <w:tc>
          <w:tcPr>
            <w:tcW w:w="440" w:type="dxa"/>
            <w:tcBorders>
              <w:bottom w:val="single" w:sz="8" w:space="0" w:color="CCEEFF"/>
            </w:tcBorders>
            <w:shd w:val="clear" w:color="auto" w:fill="CCEEFF"/>
            <w:vAlign w:val="bottom"/>
          </w:tcPr>
          <w:p w14:paraId="56AEB4E7"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075EDD2F" w14:textId="77777777" w:rsidR="00D1587D" w:rsidRDefault="00410D07">
            <w:pPr>
              <w:ind w:right="100"/>
              <w:jc w:val="right"/>
              <w:rPr>
                <w:sz w:val="20"/>
                <w:szCs w:val="20"/>
              </w:rPr>
            </w:pPr>
            <w:r>
              <w:rPr>
                <w:rFonts w:ascii="Arial" w:eastAsia="Arial" w:hAnsi="Arial" w:cs="Arial"/>
                <w:sz w:val="18"/>
                <w:szCs w:val="18"/>
              </w:rPr>
              <w:t>5</w:t>
            </w:r>
          </w:p>
        </w:tc>
        <w:tc>
          <w:tcPr>
            <w:tcW w:w="140" w:type="dxa"/>
            <w:tcBorders>
              <w:bottom w:val="single" w:sz="8" w:space="0" w:color="CCEEFF"/>
            </w:tcBorders>
            <w:shd w:val="clear" w:color="auto" w:fill="CCEEFF"/>
            <w:vAlign w:val="bottom"/>
          </w:tcPr>
          <w:p w14:paraId="5D5810B1" w14:textId="77777777" w:rsidR="00D1587D" w:rsidRDefault="00D1587D">
            <w:pPr>
              <w:rPr>
                <w:sz w:val="24"/>
                <w:szCs w:val="24"/>
              </w:rPr>
            </w:pPr>
          </w:p>
        </w:tc>
        <w:tc>
          <w:tcPr>
            <w:tcW w:w="900" w:type="dxa"/>
            <w:tcBorders>
              <w:bottom w:val="single" w:sz="8" w:space="0" w:color="CCEEFF"/>
            </w:tcBorders>
            <w:shd w:val="clear" w:color="auto" w:fill="CCEEFF"/>
            <w:vAlign w:val="bottom"/>
          </w:tcPr>
          <w:p w14:paraId="16852E1F" w14:textId="77777777" w:rsidR="00D1587D" w:rsidRDefault="00410D07">
            <w:pPr>
              <w:jc w:val="right"/>
              <w:rPr>
                <w:sz w:val="20"/>
                <w:szCs w:val="20"/>
              </w:rPr>
            </w:pPr>
            <w:r>
              <w:rPr>
                <w:rFonts w:ascii="Arial" w:eastAsia="Arial" w:hAnsi="Arial" w:cs="Arial"/>
                <w:sz w:val="18"/>
                <w:szCs w:val="18"/>
              </w:rPr>
              <w:t>231</w:t>
            </w:r>
          </w:p>
        </w:tc>
        <w:tc>
          <w:tcPr>
            <w:tcW w:w="0" w:type="dxa"/>
            <w:vAlign w:val="bottom"/>
          </w:tcPr>
          <w:p w14:paraId="0E470A3F" w14:textId="77777777" w:rsidR="00D1587D" w:rsidRDefault="00D1587D">
            <w:pPr>
              <w:rPr>
                <w:sz w:val="1"/>
                <w:szCs w:val="1"/>
              </w:rPr>
            </w:pPr>
          </w:p>
        </w:tc>
      </w:tr>
      <w:tr w:rsidR="00D1587D" w14:paraId="55F7C0DB" w14:textId="77777777">
        <w:trPr>
          <w:trHeight w:val="270"/>
        </w:trPr>
        <w:tc>
          <w:tcPr>
            <w:tcW w:w="5620" w:type="dxa"/>
            <w:vAlign w:val="bottom"/>
          </w:tcPr>
          <w:p w14:paraId="5902D6D4" w14:textId="77777777" w:rsidR="00D1587D" w:rsidRDefault="00410D07">
            <w:pPr>
              <w:rPr>
                <w:sz w:val="20"/>
                <w:szCs w:val="20"/>
              </w:rPr>
            </w:pPr>
            <w:r>
              <w:rPr>
                <w:rFonts w:ascii="Arial" w:eastAsia="Arial" w:hAnsi="Arial" w:cs="Arial"/>
                <w:sz w:val="18"/>
                <w:szCs w:val="18"/>
              </w:rPr>
              <w:t>Interest Expense</w:t>
            </w:r>
          </w:p>
        </w:tc>
        <w:tc>
          <w:tcPr>
            <w:tcW w:w="180" w:type="dxa"/>
            <w:vAlign w:val="bottom"/>
          </w:tcPr>
          <w:p w14:paraId="5CF86120" w14:textId="77777777" w:rsidR="00D1587D" w:rsidRDefault="00D1587D">
            <w:pPr>
              <w:rPr>
                <w:sz w:val="23"/>
                <w:szCs w:val="23"/>
              </w:rPr>
            </w:pPr>
          </w:p>
        </w:tc>
        <w:tc>
          <w:tcPr>
            <w:tcW w:w="440" w:type="dxa"/>
            <w:vAlign w:val="bottom"/>
          </w:tcPr>
          <w:p w14:paraId="3FB2E7DC" w14:textId="77777777" w:rsidR="00D1587D" w:rsidRDefault="00410D07">
            <w:pPr>
              <w:jc w:val="right"/>
              <w:rPr>
                <w:sz w:val="20"/>
                <w:szCs w:val="20"/>
              </w:rPr>
            </w:pPr>
            <w:r>
              <w:rPr>
                <w:rFonts w:ascii="Arial" w:eastAsia="Arial" w:hAnsi="Arial" w:cs="Arial"/>
                <w:sz w:val="18"/>
                <w:szCs w:val="18"/>
              </w:rPr>
              <w:t>(1)</w:t>
            </w:r>
          </w:p>
        </w:tc>
        <w:tc>
          <w:tcPr>
            <w:tcW w:w="120" w:type="dxa"/>
            <w:vAlign w:val="bottom"/>
          </w:tcPr>
          <w:p w14:paraId="4D75B797" w14:textId="77777777" w:rsidR="00D1587D" w:rsidRDefault="00D1587D">
            <w:pPr>
              <w:rPr>
                <w:sz w:val="23"/>
                <w:szCs w:val="23"/>
              </w:rPr>
            </w:pPr>
          </w:p>
        </w:tc>
        <w:tc>
          <w:tcPr>
            <w:tcW w:w="1020" w:type="dxa"/>
            <w:gridSpan w:val="3"/>
            <w:vAlign w:val="bottom"/>
          </w:tcPr>
          <w:p w14:paraId="3810FF70" w14:textId="77777777" w:rsidR="00D1587D" w:rsidRDefault="00410D07">
            <w:pPr>
              <w:ind w:right="100"/>
              <w:jc w:val="right"/>
              <w:rPr>
                <w:sz w:val="20"/>
                <w:szCs w:val="20"/>
              </w:rPr>
            </w:pPr>
            <w:r>
              <w:rPr>
                <w:rFonts w:ascii="Arial" w:eastAsia="Arial" w:hAnsi="Arial" w:cs="Arial"/>
                <w:sz w:val="18"/>
                <w:szCs w:val="18"/>
              </w:rPr>
              <w:t>(11)(b)(f)</w:t>
            </w:r>
          </w:p>
        </w:tc>
        <w:tc>
          <w:tcPr>
            <w:tcW w:w="140" w:type="dxa"/>
            <w:vAlign w:val="bottom"/>
          </w:tcPr>
          <w:p w14:paraId="7F242E85" w14:textId="77777777" w:rsidR="00D1587D" w:rsidRDefault="00D1587D">
            <w:pPr>
              <w:rPr>
                <w:sz w:val="23"/>
                <w:szCs w:val="23"/>
              </w:rPr>
            </w:pPr>
          </w:p>
        </w:tc>
        <w:tc>
          <w:tcPr>
            <w:tcW w:w="900" w:type="dxa"/>
            <w:vAlign w:val="bottom"/>
          </w:tcPr>
          <w:p w14:paraId="2A19A56B" w14:textId="77777777" w:rsidR="00D1587D" w:rsidRDefault="00410D07">
            <w:pPr>
              <w:jc w:val="right"/>
              <w:rPr>
                <w:sz w:val="20"/>
                <w:szCs w:val="20"/>
              </w:rPr>
            </w:pPr>
            <w:r>
              <w:rPr>
                <w:rFonts w:ascii="Arial" w:eastAsia="Arial" w:hAnsi="Arial" w:cs="Arial"/>
                <w:sz w:val="18"/>
                <w:szCs w:val="18"/>
              </w:rPr>
              <w:t>(12)</w:t>
            </w:r>
          </w:p>
        </w:tc>
        <w:tc>
          <w:tcPr>
            <w:tcW w:w="0" w:type="dxa"/>
            <w:vAlign w:val="bottom"/>
          </w:tcPr>
          <w:p w14:paraId="34EBD283" w14:textId="77777777" w:rsidR="00D1587D" w:rsidRDefault="00D1587D">
            <w:pPr>
              <w:rPr>
                <w:sz w:val="1"/>
                <w:szCs w:val="1"/>
              </w:rPr>
            </w:pPr>
          </w:p>
        </w:tc>
      </w:tr>
      <w:tr w:rsidR="00D1587D" w14:paraId="185AB2D2" w14:textId="77777777">
        <w:trPr>
          <w:trHeight w:val="68"/>
        </w:trPr>
        <w:tc>
          <w:tcPr>
            <w:tcW w:w="5620" w:type="dxa"/>
            <w:tcBorders>
              <w:bottom w:val="single" w:sz="8" w:space="0" w:color="CCEEFF"/>
            </w:tcBorders>
            <w:vAlign w:val="bottom"/>
          </w:tcPr>
          <w:p w14:paraId="1CAE8686" w14:textId="77777777" w:rsidR="00D1587D" w:rsidRDefault="00D1587D">
            <w:pPr>
              <w:rPr>
                <w:sz w:val="5"/>
                <w:szCs w:val="5"/>
              </w:rPr>
            </w:pPr>
          </w:p>
        </w:tc>
        <w:tc>
          <w:tcPr>
            <w:tcW w:w="180" w:type="dxa"/>
            <w:tcBorders>
              <w:bottom w:val="single" w:sz="8" w:space="0" w:color="auto"/>
            </w:tcBorders>
            <w:vAlign w:val="bottom"/>
          </w:tcPr>
          <w:p w14:paraId="6E6B8AE8" w14:textId="77777777" w:rsidR="00D1587D" w:rsidRDefault="00D1587D">
            <w:pPr>
              <w:rPr>
                <w:sz w:val="5"/>
                <w:szCs w:val="5"/>
              </w:rPr>
            </w:pPr>
          </w:p>
        </w:tc>
        <w:tc>
          <w:tcPr>
            <w:tcW w:w="440" w:type="dxa"/>
            <w:tcBorders>
              <w:bottom w:val="single" w:sz="8" w:space="0" w:color="auto"/>
            </w:tcBorders>
            <w:vAlign w:val="bottom"/>
          </w:tcPr>
          <w:p w14:paraId="2EBCEA62" w14:textId="77777777" w:rsidR="00D1587D" w:rsidRDefault="00D1587D">
            <w:pPr>
              <w:rPr>
                <w:sz w:val="5"/>
                <w:szCs w:val="5"/>
              </w:rPr>
            </w:pPr>
          </w:p>
        </w:tc>
        <w:tc>
          <w:tcPr>
            <w:tcW w:w="120" w:type="dxa"/>
            <w:tcBorders>
              <w:bottom w:val="single" w:sz="8" w:space="0" w:color="CCEEFF"/>
            </w:tcBorders>
            <w:vAlign w:val="bottom"/>
          </w:tcPr>
          <w:p w14:paraId="20786E12" w14:textId="77777777" w:rsidR="00D1587D" w:rsidRDefault="00D1587D">
            <w:pPr>
              <w:rPr>
                <w:sz w:val="5"/>
                <w:szCs w:val="5"/>
              </w:rPr>
            </w:pPr>
          </w:p>
        </w:tc>
        <w:tc>
          <w:tcPr>
            <w:tcW w:w="440" w:type="dxa"/>
            <w:tcBorders>
              <w:bottom w:val="single" w:sz="8" w:space="0" w:color="auto"/>
            </w:tcBorders>
            <w:vAlign w:val="bottom"/>
          </w:tcPr>
          <w:p w14:paraId="4723726B" w14:textId="77777777" w:rsidR="00D1587D" w:rsidRDefault="00D1587D">
            <w:pPr>
              <w:rPr>
                <w:sz w:val="5"/>
                <w:szCs w:val="5"/>
              </w:rPr>
            </w:pPr>
          </w:p>
        </w:tc>
        <w:tc>
          <w:tcPr>
            <w:tcW w:w="480" w:type="dxa"/>
            <w:tcBorders>
              <w:bottom w:val="single" w:sz="8" w:space="0" w:color="auto"/>
            </w:tcBorders>
            <w:vAlign w:val="bottom"/>
          </w:tcPr>
          <w:p w14:paraId="35E95075" w14:textId="77777777" w:rsidR="00D1587D" w:rsidRDefault="00D1587D">
            <w:pPr>
              <w:rPr>
                <w:sz w:val="5"/>
                <w:szCs w:val="5"/>
              </w:rPr>
            </w:pPr>
          </w:p>
        </w:tc>
        <w:tc>
          <w:tcPr>
            <w:tcW w:w="100" w:type="dxa"/>
            <w:tcBorders>
              <w:bottom w:val="single" w:sz="8" w:space="0" w:color="CCEEFF"/>
            </w:tcBorders>
            <w:vAlign w:val="bottom"/>
          </w:tcPr>
          <w:p w14:paraId="52C06D52" w14:textId="77777777" w:rsidR="00D1587D" w:rsidRDefault="00D1587D">
            <w:pPr>
              <w:rPr>
                <w:sz w:val="5"/>
                <w:szCs w:val="5"/>
              </w:rPr>
            </w:pPr>
          </w:p>
        </w:tc>
        <w:tc>
          <w:tcPr>
            <w:tcW w:w="140" w:type="dxa"/>
            <w:tcBorders>
              <w:bottom w:val="single" w:sz="8" w:space="0" w:color="auto"/>
            </w:tcBorders>
            <w:vAlign w:val="bottom"/>
          </w:tcPr>
          <w:p w14:paraId="3B2ED44E" w14:textId="77777777" w:rsidR="00D1587D" w:rsidRDefault="00D1587D">
            <w:pPr>
              <w:rPr>
                <w:sz w:val="5"/>
                <w:szCs w:val="5"/>
              </w:rPr>
            </w:pPr>
          </w:p>
        </w:tc>
        <w:tc>
          <w:tcPr>
            <w:tcW w:w="900" w:type="dxa"/>
            <w:tcBorders>
              <w:bottom w:val="single" w:sz="8" w:space="0" w:color="auto"/>
            </w:tcBorders>
            <w:vAlign w:val="bottom"/>
          </w:tcPr>
          <w:p w14:paraId="0E93954C" w14:textId="77777777" w:rsidR="00D1587D" w:rsidRDefault="00D1587D">
            <w:pPr>
              <w:rPr>
                <w:sz w:val="5"/>
                <w:szCs w:val="5"/>
              </w:rPr>
            </w:pPr>
          </w:p>
        </w:tc>
        <w:tc>
          <w:tcPr>
            <w:tcW w:w="0" w:type="dxa"/>
            <w:vAlign w:val="bottom"/>
          </w:tcPr>
          <w:p w14:paraId="4ED339BC" w14:textId="77777777" w:rsidR="00D1587D" w:rsidRDefault="00D1587D">
            <w:pPr>
              <w:rPr>
                <w:sz w:val="1"/>
                <w:szCs w:val="1"/>
              </w:rPr>
            </w:pPr>
          </w:p>
        </w:tc>
      </w:tr>
      <w:tr w:rsidR="00D1587D" w14:paraId="73A52150" w14:textId="77777777">
        <w:trPr>
          <w:trHeight w:val="311"/>
        </w:trPr>
        <w:tc>
          <w:tcPr>
            <w:tcW w:w="5620" w:type="dxa"/>
            <w:tcBorders>
              <w:bottom w:val="single" w:sz="8" w:space="0" w:color="CCEEFF"/>
            </w:tcBorders>
            <w:shd w:val="clear" w:color="auto" w:fill="CCEEFF"/>
            <w:vAlign w:val="bottom"/>
          </w:tcPr>
          <w:p w14:paraId="6A8AEDBD" w14:textId="77777777" w:rsidR="00D1587D" w:rsidRDefault="00410D07">
            <w:pPr>
              <w:rPr>
                <w:sz w:val="20"/>
                <w:szCs w:val="20"/>
              </w:rPr>
            </w:pPr>
            <w:r>
              <w:rPr>
                <w:rFonts w:ascii="Arial" w:eastAsia="Arial" w:hAnsi="Arial" w:cs="Arial"/>
                <w:sz w:val="18"/>
                <w:szCs w:val="18"/>
              </w:rPr>
              <w:t xml:space="preserve">Income </w:t>
            </w:r>
            <w:r>
              <w:rPr>
                <w:rFonts w:ascii="Arial" w:eastAsia="Arial" w:hAnsi="Arial" w:cs="Arial"/>
                <w:sz w:val="18"/>
                <w:szCs w:val="18"/>
              </w:rPr>
              <w:t>before Income Taxes</w:t>
            </w:r>
          </w:p>
        </w:tc>
        <w:tc>
          <w:tcPr>
            <w:tcW w:w="180" w:type="dxa"/>
            <w:tcBorders>
              <w:bottom w:val="single" w:sz="8" w:space="0" w:color="CCEEFF"/>
            </w:tcBorders>
            <w:shd w:val="clear" w:color="auto" w:fill="CCEEFF"/>
            <w:vAlign w:val="bottom"/>
          </w:tcPr>
          <w:p w14:paraId="6ECF687D" w14:textId="77777777" w:rsidR="00D1587D" w:rsidRDefault="00D1587D">
            <w:pPr>
              <w:rPr>
                <w:sz w:val="24"/>
                <w:szCs w:val="24"/>
              </w:rPr>
            </w:pPr>
          </w:p>
        </w:tc>
        <w:tc>
          <w:tcPr>
            <w:tcW w:w="440" w:type="dxa"/>
            <w:tcBorders>
              <w:bottom w:val="single" w:sz="8" w:space="0" w:color="CCEEFF"/>
            </w:tcBorders>
            <w:shd w:val="clear" w:color="auto" w:fill="CCEEFF"/>
            <w:vAlign w:val="bottom"/>
          </w:tcPr>
          <w:p w14:paraId="25E874C7" w14:textId="77777777" w:rsidR="00D1587D" w:rsidRDefault="00410D07">
            <w:pPr>
              <w:jc w:val="right"/>
              <w:rPr>
                <w:sz w:val="20"/>
                <w:szCs w:val="20"/>
              </w:rPr>
            </w:pPr>
            <w:r>
              <w:rPr>
                <w:rFonts w:ascii="Arial" w:eastAsia="Arial" w:hAnsi="Arial" w:cs="Arial"/>
                <w:sz w:val="18"/>
                <w:szCs w:val="18"/>
              </w:rPr>
              <w:t>225</w:t>
            </w:r>
          </w:p>
        </w:tc>
        <w:tc>
          <w:tcPr>
            <w:tcW w:w="120" w:type="dxa"/>
            <w:tcBorders>
              <w:bottom w:val="single" w:sz="8" w:space="0" w:color="CCEEFF"/>
            </w:tcBorders>
            <w:shd w:val="clear" w:color="auto" w:fill="CCEEFF"/>
            <w:vAlign w:val="bottom"/>
          </w:tcPr>
          <w:p w14:paraId="61D4C963" w14:textId="77777777" w:rsidR="00D1587D" w:rsidRDefault="00D1587D">
            <w:pPr>
              <w:rPr>
                <w:sz w:val="24"/>
                <w:szCs w:val="24"/>
              </w:rPr>
            </w:pPr>
          </w:p>
        </w:tc>
        <w:tc>
          <w:tcPr>
            <w:tcW w:w="440" w:type="dxa"/>
            <w:tcBorders>
              <w:bottom w:val="single" w:sz="8" w:space="0" w:color="CCEEFF"/>
            </w:tcBorders>
            <w:shd w:val="clear" w:color="auto" w:fill="CCEEFF"/>
            <w:vAlign w:val="bottom"/>
          </w:tcPr>
          <w:p w14:paraId="3B3EC5AA"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7231D768" w14:textId="77777777" w:rsidR="00D1587D" w:rsidRDefault="00410D07">
            <w:pPr>
              <w:ind w:right="100"/>
              <w:jc w:val="right"/>
              <w:rPr>
                <w:sz w:val="20"/>
                <w:szCs w:val="20"/>
              </w:rPr>
            </w:pPr>
            <w:r>
              <w:rPr>
                <w:rFonts w:ascii="Arial" w:eastAsia="Arial" w:hAnsi="Arial" w:cs="Arial"/>
                <w:sz w:val="18"/>
                <w:szCs w:val="18"/>
              </w:rPr>
              <w:t>(6)</w:t>
            </w:r>
          </w:p>
        </w:tc>
        <w:tc>
          <w:tcPr>
            <w:tcW w:w="140" w:type="dxa"/>
            <w:tcBorders>
              <w:bottom w:val="single" w:sz="8" w:space="0" w:color="CCEEFF"/>
            </w:tcBorders>
            <w:shd w:val="clear" w:color="auto" w:fill="CCEEFF"/>
            <w:vAlign w:val="bottom"/>
          </w:tcPr>
          <w:p w14:paraId="7D21AA03" w14:textId="77777777" w:rsidR="00D1587D" w:rsidRDefault="00D1587D">
            <w:pPr>
              <w:rPr>
                <w:sz w:val="24"/>
                <w:szCs w:val="24"/>
              </w:rPr>
            </w:pPr>
          </w:p>
        </w:tc>
        <w:tc>
          <w:tcPr>
            <w:tcW w:w="900" w:type="dxa"/>
            <w:tcBorders>
              <w:bottom w:val="single" w:sz="8" w:space="0" w:color="CCEEFF"/>
            </w:tcBorders>
            <w:shd w:val="clear" w:color="auto" w:fill="CCEEFF"/>
            <w:vAlign w:val="bottom"/>
          </w:tcPr>
          <w:p w14:paraId="0F843166" w14:textId="77777777" w:rsidR="00D1587D" w:rsidRDefault="00410D07">
            <w:pPr>
              <w:jc w:val="right"/>
              <w:rPr>
                <w:sz w:val="20"/>
                <w:szCs w:val="20"/>
              </w:rPr>
            </w:pPr>
            <w:r>
              <w:rPr>
                <w:rFonts w:ascii="Arial" w:eastAsia="Arial" w:hAnsi="Arial" w:cs="Arial"/>
                <w:sz w:val="18"/>
                <w:szCs w:val="18"/>
              </w:rPr>
              <w:t>219</w:t>
            </w:r>
          </w:p>
        </w:tc>
        <w:tc>
          <w:tcPr>
            <w:tcW w:w="0" w:type="dxa"/>
            <w:vAlign w:val="bottom"/>
          </w:tcPr>
          <w:p w14:paraId="5D67D6B7" w14:textId="77777777" w:rsidR="00D1587D" w:rsidRDefault="00D1587D">
            <w:pPr>
              <w:rPr>
                <w:sz w:val="1"/>
                <w:szCs w:val="1"/>
              </w:rPr>
            </w:pPr>
          </w:p>
        </w:tc>
      </w:tr>
      <w:tr w:rsidR="00D1587D" w14:paraId="781859A4" w14:textId="77777777">
        <w:trPr>
          <w:trHeight w:val="270"/>
        </w:trPr>
        <w:tc>
          <w:tcPr>
            <w:tcW w:w="5620" w:type="dxa"/>
            <w:vAlign w:val="bottom"/>
          </w:tcPr>
          <w:p w14:paraId="20FBFD6A" w14:textId="77777777" w:rsidR="00D1587D" w:rsidRDefault="00410D07">
            <w:pPr>
              <w:rPr>
                <w:sz w:val="20"/>
                <w:szCs w:val="20"/>
              </w:rPr>
            </w:pPr>
            <w:r>
              <w:rPr>
                <w:rFonts w:ascii="Arial" w:eastAsia="Arial" w:hAnsi="Arial" w:cs="Arial"/>
                <w:sz w:val="18"/>
                <w:szCs w:val="18"/>
              </w:rPr>
              <w:t>Provision for Income Taxes</w:t>
            </w:r>
          </w:p>
        </w:tc>
        <w:tc>
          <w:tcPr>
            <w:tcW w:w="180" w:type="dxa"/>
            <w:vAlign w:val="bottom"/>
          </w:tcPr>
          <w:p w14:paraId="7E358F04" w14:textId="77777777" w:rsidR="00D1587D" w:rsidRDefault="00D1587D">
            <w:pPr>
              <w:rPr>
                <w:sz w:val="23"/>
                <w:szCs w:val="23"/>
              </w:rPr>
            </w:pPr>
          </w:p>
        </w:tc>
        <w:tc>
          <w:tcPr>
            <w:tcW w:w="440" w:type="dxa"/>
            <w:vAlign w:val="bottom"/>
          </w:tcPr>
          <w:p w14:paraId="67BC7F8A" w14:textId="77777777" w:rsidR="00D1587D" w:rsidRDefault="00410D07">
            <w:pPr>
              <w:jc w:val="right"/>
              <w:rPr>
                <w:sz w:val="20"/>
                <w:szCs w:val="20"/>
              </w:rPr>
            </w:pPr>
            <w:r>
              <w:rPr>
                <w:rFonts w:ascii="Arial" w:eastAsia="Arial" w:hAnsi="Arial" w:cs="Arial"/>
                <w:sz w:val="18"/>
                <w:szCs w:val="18"/>
              </w:rPr>
              <w:t>51</w:t>
            </w:r>
          </w:p>
        </w:tc>
        <w:tc>
          <w:tcPr>
            <w:tcW w:w="120" w:type="dxa"/>
            <w:vAlign w:val="bottom"/>
          </w:tcPr>
          <w:p w14:paraId="4575D156" w14:textId="77777777" w:rsidR="00D1587D" w:rsidRDefault="00D1587D">
            <w:pPr>
              <w:rPr>
                <w:sz w:val="23"/>
                <w:szCs w:val="23"/>
              </w:rPr>
            </w:pPr>
          </w:p>
        </w:tc>
        <w:tc>
          <w:tcPr>
            <w:tcW w:w="440" w:type="dxa"/>
            <w:vAlign w:val="bottom"/>
          </w:tcPr>
          <w:p w14:paraId="53ECA1EA" w14:textId="77777777" w:rsidR="00D1587D" w:rsidRDefault="00D1587D">
            <w:pPr>
              <w:rPr>
                <w:sz w:val="23"/>
                <w:szCs w:val="23"/>
              </w:rPr>
            </w:pPr>
          </w:p>
        </w:tc>
        <w:tc>
          <w:tcPr>
            <w:tcW w:w="580" w:type="dxa"/>
            <w:gridSpan w:val="2"/>
            <w:vAlign w:val="bottom"/>
          </w:tcPr>
          <w:p w14:paraId="380C6766" w14:textId="77777777" w:rsidR="00D1587D" w:rsidRDefault="00410D07">
            <w:pPr>
              <w:ind w:right="100"/>
              <w:jc w:val="right"/>
              <w:rPr>
                <w:sz w:val="20"/>
                <w:szCs w:val="20"/>
              </w:rPr>
            </w:pPr>
            <w:r>
              <w:rPr>
                <w:rFonts w:ascii="Arial" w:eastAsia="Arial" w:hAnsi="Arial" w:cs="Arial"/>
                <w:sz w:val="18"/>
                <w:szCs w:val="18"/>
              </w:rPr>
              <w:t>(2)(c)</w:t>
            </w:r>
          </w:p>
        </w:tc>
        <w:tc>
          <w:tcPr>
            <w:tcW w:w="140" w:type="dxa"/>
            <w:vAlign w:val="bottom"/>
          </w:tcPr>
          <w:p w14:paraId="4EE78247" w14:textId="77777777" w:rsidR="00D1587D" w:rsidRDefault="00D1587D">
            <w:pPr>
              <w:rPr>
                <w:sz w:val="23"/>
                <w:szCs w:val="23"/>
              </w:rPr>
            </w:pPr>
          </w:p>
        </w:tc>
        <w:tc>
          <w:tcPr>
            <w:tcW w:w="900" w:type="dxa"/>
            <w:vAlign w:val="bottom"/>
          </w:tcPr>
          <w:p w14:paraId="227DCFE9" w14:textId="77777777" w:rsidR="00D1587D" w:rsidRDefault="00410D07">
            <w:pPr>
              <w:jc w:val="right"/>
              <w:rPr>
                <w:sz w:val="20"/>
                <w:szCs w:val="20"/>
              </w:rPr>
            </w:pPr>
            <w:r>
              <w:rPr>
                <w:rFonts w:ascii="Arial" w:eastAsia="Arial" w:hAnsi="Arial" w:cs="Arial"/>
                <w:sz w:val="18"/>
                <w:szCs w:val="18"/>
              </w:rPr>
              <w:t>49</w:t>
            </w:r>
          </w:p>
        </w:tc>
        <w:tc>
          <w:tcPr>
            <w:tcW w:w="0" w:type="dxa"/>
            <w:vAlign w:val="bottom"/>
          </w:tcPr>
          <w:p w14:paraId="4F9DE99F" w14:textId="77777777" w:rsidR="00D1587D" w:rsidRDefault="00D1587D">
            <w:pPr>
              <w:rPr>
                <w:sz w:val="1"/>
                <w:szCs w:val="1"/>
              </w:rPr>
            </w:pPr>
          </w:p>
        </w:tc>
      </w:tr>
      <w:tr w:rsidR="00D1587D" w14:paraId="0EFE8DD7" w14:textId="77777777">
        <w:trPr>
          <w:trHeight w:val="67"/>
        </w:trPr>
        <w:tc>
          <w:tcPr>
            <w:tcW w:w="5620" w:type="dxa"/>
            <w:tcBorders>
              <w:bottom w:val="single" w:sz="8" w:space="0" w:color="CCEEFF"/>
            </w:tcBorders>
            <w:vAlign w:val="bottom"/>
          </w:tcPr>
          <w:p w14:paraId="5933E376" w14:textId="77777777" w:rsidR="00D1587D" w:rsidRDefault="00D1587D">
            <w:pPr>
              <w:rPr>
                <w:sz w:val="5"/>
                <w:szCs w:val="5"/>
              </w:rPr>
            </w:pPr>
          </w:p>
        </w:tc>
        <w:tc>
          <w:tcPr>
            <w:tcW w:w="180" w:type="dxa"/>
            <w:tcBorders>
              <w:bottom w:val="single" w:sz="8" w:space="0" w:color="auto"/>
            </w:tcBorders>
            <w:vAlign w:val="bottom"/>
          </w:tcPr>
          <w:p w14:paraId="36A9FB83" w14:textId="77777777" w:rsidR="00D1587D" w:rsidRDefault="00D1587D">
            <w:pPr>
              <w:rPr>
                <w:sz w:val="5"/>
                <w:szCs w:val="5"/>
              </w:rPr>
            </w:pPr>
          </w:p>
        </w:tc>
        <w:tc>
          <w:tcPr>
            <w:tcW w:w="440" w:type="dxa"/>
            <w:tcBorders>
              <w:bottom w:val="single" w:sz="8" w:space="0" w:color="auto"/>
            </w:tcBorders>
            <w:vAlign w:val="bottom"/>
          </w:tcPr>
          <w:p w14:paraId="32229BAB" w14:textId="77777777" w:rsidR="00D1587D" w:rsidRDefault="00D1587D">
            <w:pPr>
              <w:rPr>
                <w:sz w:val="5"/>
                <w:szCs w:val="5"/>
              </w:rPr>
            </w:pPr>
          </w:p>
        </w:tc>
        <w:tc>
          <w:tcPr>
            <w:tcW w:w="120" w:type="dxa"/>
            <w:tcBorders>
              <w:bottom w:val="single" w:sz="8" w:space="0" w:color="CCEEFF"/>
            </w:tcBorders>
            <w:vAlign w:val="bottom"/>
          </w:tcPr>
          <w:p w14:paraId="74BAC91B" w14:textId="77777777" w:rsidR="00D1587D" w:rsidRDefault="00D1587D">
            <w:pPr>
              <w:rPr>
                <w:sz w:val="5"/>
                <w:szCs w:val="5"/>
              </w:rPr>
            </w:pPr>
          </w:p>
        </w:tc>
        <w:tc>
          <w:tcPr>
            <w:tcW w:w="440" w:type="dxa"/>
            <w:tcBorders>
              <w:bottom w:val="single" w:sz="8" w:space="0" w:color="auto"/>
            </w:tcBorders>
            <w:vAlign w:val="bottom"/>
          </w:tcPr>
          <w:p w14:paraId="3CC216C8" w14:textId="77777777" w:rsidR="00D1587D" w:rsidRDefault="00D1587D">
            <w:pPr>
              <w:rPr>
                <w:sz w:val="5"/>
                <w:szCs w:val="5"/>
              </w:rPr>
            </w:pPr>
          </w:p>
        </w:tc>
        <w:tc>
          <w:tcPr>
            <w:tcW w:w="480" w:type="dxa"/>
            <w:tcBorders>
              <w:bottom w:val="single" w:sz="8" w:space="0" w:color="auto"/>
            </w:tcBorders>
            <w:vAlign w:val="bottom"/>
          </w:tcPr>
          <w:p w14:paraId="7CF0C7CD" w14:textId="77777777" w:rsidR="00D1587D" w:rsidRDefault="00D1587D">
            <w:pPr>
              <w:rPr>
                <w:sz w:val="5"/>
                <w:szCs w:val="5"/>
              </w:rPr>
            </w:pPr>
          </w:p>
        </w:tc>
        <w:tc>
          <w:tcPr>
            <w:tcW w:w="100" w:type="dxa"/>
            <w:tcBorders>
              <w:bottom w:val="single" w:sz="8" w:space="0" w:color="CCEEFF"/>
            </w:tcBorders>
            <w:vAlign w:val="bottom"/>
          </w:tcPr>
          <w:p w14:paraId="3C2DF8D0" w14:textId="77777777" w:rsidR="00D1587D" w:rsidRDefault="00D1587D">
            <w:pPr>
              <w:rPr>
                <w:sz w:val="5"/>
                <w:szCs w:val="5"/>
              </w:rPr>
            </w:pPr>
          </w:p>
        </w:tc>
        <w:tc>
          <w:tcPr>
            <w:tcW w:w="140" w:type="dxa"/>
            <w:tcBorders>
              <w:bottom w:val="single" w:sz="8" w:space="0" w:color="auto"/>
            </w:tcBorders>
            <w:vAlign w:val="bottom"/>
          </w:tcPr>
          <w:p w14:paraId="4AAF086C" w14:textId="77777777" w:rsidR="00D1587D" w:rsidRDefault="00D1587D">
            <w:pPr>
              <w:rPr>
                <w:sz w:val="5"/>
                <w:szCs w:val="5"/>
              </w:rPr>
            </w:pPr>
          </w:p>
        </w:tc>
        <w:tc>
          <w:tcPr>
            <w:tcW w:w="900" w:type="dxa"/>
            <w:tcBorders>
              <w:bottom w:val="single" w:sz="8" w:space="0" w:color="auto"/>
            </w:tcBorders>
            <w:vAlign w:val="bottom"/>
          </w:tcPr>
          <w:p w14:paraId="37E2EE4D" w14:textId="77777777" w:rsidR="00D1587D" w:rsidRDefault="00D1587D">
            <w:pPr>
              <w:rPr>
                <w:sz w:val="5"/>
                <w:szCs w:val="5"/>
              </w:rPr>
            </w:pPr>
          </w:p>
        </w:tc>
        <w:tc>
          <w:tcPr>
            <w:tcW w:w="0" w:type="dxa"/>
            <w:vAlign w:val="bottom"/>
          </w:tcPr>
          <w:p w14:paraId="17DCDC5D" w14:textId="77777777" w:rsidR="00D1587D" w:rsidRDefault="00D1587D">
            <w:pPr>
              <w:rPr>
                <w:sz w:val="1"/>
                <w:szCs w:val="1"/>
              </w:rPr>
            </w:pPr>
          </w:p>
        </w:tc>
      </w:tr>
      <w:tr w:rsidR="00D1587D" w14:paraId="31010B34" w14:textId="77777777">
        <w:trPr>
          <w:trHeight w:val="304"/>
        </w:trPr>
        <w:tc>
          <w:tcPr>
            <w:tcW w:w="5620" w:type="dxa"/>
            <w:shd w:val="clear" w:color="auto" w:fill="CCEEFF"/>
            <w:vAlign w:val="bottom"/>
          </w:tcPr>
          <w:p w14:paraId="56943178" w14:textId="77777777" w:rsidR="00D1587D" w:rsidRDefault="00410D07">
            <w:pPr>
              <w:rPr>
                <w:sz w:val="20"/>
                <w:szCs w:val="20"/>
              </w:rPr>
            </w:pPr>
            <w:r>
              <w:rPr>
                <w:rFonts w:ascii="Arial" w:eastAsia="Arial" w:hAnsi="Arial" w:cs="Arial"/>
                <w:sz w:val="18"/>
                <w:szCs w:val="18"/>
              </w:rPr>
              <w:t>Net Income</w:t>
            </w:r>
          </w:p>
        </w:tc>
        <w:tc>
          <w:tcPr>
            <w:tcW w:w="180" w:type="dxa"/>
            <w:shd w:val="clear" w:color="auto" w:fill="CCEEFF"/>
            <w:vAlign w:val="bottom"/>
          </w:tcPr>
          <w:p w14:paraId="0E3AA38F" w14:textId="77777777" w:rsidR="00D1587D" w:rsidRDefault="00410D07">
            <w:pPr>
              <w:jc w:val="right"/>
              <w:rPr>
                <w:sz w:val="20"/>
                <w:szCs w:val="20"/>
              </w:rPr>
            </w:pPr>
            <w:r>
              <w:rPr>
                <w:rFonts w:ascii="Arial" w:eastAsia="Arial" w:hAnsi="Arial" w:cs="Arial"/>
                <w:sz w:val="18"/>
                <w:szCs w:val="18"/>
              </w:rPr>
              <w:t>$</w:t>
            </w:r>
          </w:p>
        </w:tc>
        <w:tc>
          <w:tcPr>
            <w:tcW w:w="440" w:type="dxa"/>
            <w:shd w:val="clear" w:color="auto" w:fill="CCEEFF"/>
            <w:vAlign w:val="bottom"/>
          </w:tcPr>
          <w:p w14:paraId="7AA16C0E" w14:textId="77777777" w:rsidR="00D1587D" w:rsidRDefault="00410D07">
            <w:pPr>
              <w:jc w:val="right"/>
              <w:rPr>
                <w:sz w:val="20"/>
                <w:szCs w:val="20"/>
              </w:rPr>
            </w:pPr>
            <w:r>
              <w:rPr>
                <w:rFonts w:ascii="Arial" w:eastAsia="Arial" w:hAnsi="Arial" w:cs="Arial"/>
                <w:sz w:val="18"/>
                <w:szCs w:val="18"/>
              </w:rPr>
              <w:t>174</w:t>
            </w:r>
          </w:p>
        </w:tc>
        <w:tc>
          <w:tcPr>
            <w:tcW w:w="120" w:type="dxa"/>
            <w:shd w:val="clear" w:color="auto" w:fill="CCEEFF"/>
            <w:vAlign w:val="bottom"/>
          </w:tcPr>
          <w:p w14:paraId="1DBB3D63" w14:textId="77777777" w:rsidR="00D1587D" w:rsidRDefault="00D1587D">
            <w:pPr>
              <w:rPr>
                <w:sz w:val="24"/>
                <w:szCs w:val="24"/>
              </w:rPr>
            </w:pPr>
          </w:p>
        </w:tc>
        <w:tc>
          <w:tcPr>
            <w:tcW w:w="440" w:type="dxa"/>
            <w:shd w:val="clear" w:color="auto" w:fill="CCEEFF"/>
            <w:vAlign w:val="bottom"/>
          </w:tcPr>
          <w:p w14:paraId="332ED2D0" w14:textId="77777777" w:rsidR="00D1587D" w:rsidRDefault="00410D07">
            <w:pPr>
              <w:jc w:val="right"/>
              <w:rPr>
                <w:sz w:val="20"/>
                <w:szCs w:val="20"/>
              </w:rPr>
            </w:pPr>
            <w:r>
              <w:rPr>
                <w:rFonts w:ascii="Arial" w:eastAsia="Arial" w:hAnsi="Arial" w:cs="Arial"/>
                <w:sz w:val="18"/>
                <w:szCs w:val="18"/>
              </w:rPr>
              <w:t>$</w:t>
            </w:r>
          </w:p>
        </w:tc>
        <w:tc>
          <w:tcPr>
            <w:tcW w:w="580" w:type="dxa"/>
            <w:gridSpan w:val="2"/>
            <w:shd w:val="clear" w:color="auto" w:fill="CCEEFF"/>
            <w:vAlign w:val="bottom"/>
          </w:tcPr>
          <w:p w14:paraId="265A32DB" w14:textId="77777777" w:rsidR="00D1587D" w:rsidRDefault="00410D07">
            <w:pPr>
              <w:ind w:right="100"/>
              <w:jc w:val="right"/>
              <w:rPr>
                <w:sz w:val="20"/>
                <w:szCs w:val="20"/>
              </w:rPr>
            </w:pPr>
            <w:r>
              <w:rPr>
                <w:rFonts w:ascii="Arial" w:eastAsia="Arial" w:hAnsi="Arial" w:cs="Arial"/>
                <w:sz w:val="18"/>
                <w:szCs w:val="18"/>
              </w:rPr>
              <w:t>(4)</w:t>
            </w:r>
          </w:p>
        </w:tc>
        <w:tc>
          <w:tcPr>
            <w:tcW w:w="140" w:type="dxa"/>
            <w:shd w:val="clear" w:color="auto" w:fill="CCEEFF"/>
            <w:vAlign w:val="bottom"/>
          </w:tcPr>
          <w:p w14:paraId="6D5DC55C" w14:textId="77777777" w:rsidR="00D1587D" w:rsidRDefault="00410D07">
            <w:pPr>
              <w:jc w:val="right"/>
              <w:rPr>
                <w:sz w:val="20"/>
                <w:szCs w:val="20"/>
              </w:rPr>
            </w:pPr>
            <w:r>
              <w:rPr>
                <w:rFonts w:ascii="Arial" w:eastAsia="Arial" w:hAnsi="Arial" w:cs="Arial"/>
                <w:w w:val="79"/>
                <w:sz w:val="18"/>
                <w:szCs w:val="18"/>
              </w:rPr>
              <w:t>$</w:t>
            </w:r>
          </w:p>
        </w:tc>
        <w:tc>
          <w:tcPr>
            <w:tcW w:w="900" w:type="dxa"/>
            <w:shd w:val="clear" w:color="auto" w:fill="CCEEFF"/>
            <w:vAlign w:val="bottom"/>
          </w:tcPr>
          <w:p w14:paraId="41695767" w14:textId="77777777" w:rsidR="00D1587D" w:rsidRDefault="00410D07">
            <w:pPr>
              <w:jc w:val="right"/>
              <w:rPr>
                <w:sz w:val="20"/>
                <w:szCs w:val="20"/>
              </w:rPr>
            </w:pPr>
            <w:r>
              <w:rPr>
                <w:rFonts w:ascii="Arial" w:eastAsia="Arial" w:hAnsi="Arial" w:cs="Arial"/>
                <w:sz w:val="18"/>
                <w:szCs w:val="18"/>
              </w:rPr>
              <w:t>170</w:t>
            </w:r>
          </w:p>
        </w:tc>
        <w:tc>
          <w:tcPr>
            <w:tcW w:w="0" w:type="dxa"/>
            <w:vAlign w:val="bottom"/>
          </w:tcPr>
          <w:p w14:paraId="014AE35D" w14:textId="77777777" w:rsidR="00D1587D" w:rsidRDefault="00D1587D">
            <w:pPr>
              <w:rPr>
                <w:sz w:val="1"/>
                <w:szCs w:val="1"/>
              </w:rPr>
            </w:pPr>
          </w:p>
        </w:tc>
      </w:tr>
      <w:tr w:rsidR="00D1587D" w14:paraId="1373EDA0" w14:textId="77777777">
        <w:trPr>
          <w:trHeight w:val="128"/>
        </w:trPr>
        <w:tc>
          <w:tcPr>
            <w:tcW w:w="5620" w:type="dxa"/>
            <w:tcBorders>
              <w:bottom w:val="single" w:sz="8" w:space="0" w:color="CCEEFF"/>
            </w:tcBorders>
            <w:shd w:val="clear" w:color="auto" w:fill="CCEEFF"/>
            <w:vAlign w:val="bottom"/>
          </w:tcPr>
          <w:p w14:paraId="10178803" w14:textId="77777777" w:rsidR="00D1587D" w:rsidRDefault="00D1587D">
            <w:pPr>
              <w:rPr>
                <w:sz w:val="11"/>
                <w:szCs w:val="11"/>
              </w:rPr>
            </w:pPr>
          </w:p>
        </w:tc>
        <w:tc>
          <w:tcPr>
            <w:tcW w:w="180" w:type="dxa"/>
            <w:tcBorders>
              <w:bottom w:val="single" w:sz="8" w:space="0" w:color="auto"/>
            </w:tcBorders>
            <w:shd w:val="clear" w:color="auto" w:fill="CCEEFF"/>
            <w:vAlign w:val="bottom"/>
          </w:tcPr>
          <w:p w14:paraId="71C989F4" w14:textId="77777777" w:rsidR="00D1587D" w:rsidRDefault="00D1587D">
            <w:pPr>
              <w:rPr>
                <w:sz w:val="11"/>
                <w:szCs w:val="11"/>
              </w:rPr>
            </w:pPr>
          </w:p>
        </w:tc>
        <w:tc>
          <w:tcPr>
            <w:tcW w:w="440" w:type="dxa"/>
            <w:tcBorders>
              <w:bottom w:val="single" w:sz="8" w:space="0" w:color="auto"/>
            </w:tcBorders>
            <w:shd w:val="clear" w:color="auto" w:fill="CCEEFF"/>
            <w:vAlign w:val="bottom"/>
          </w:tcPr>
          <w:p w14:paraId="5BBE5A4D" w14:textId="77777777" w:rsidR="00D1587D" w:rsidRDefault="00D1587D">
            <w:pPr>
              <w:rPr>
                <w:sz w:val="11"/>
                <w:szCs w:val="11"/>
              </w:rPr>
            </w:pPr>
          </w:p>
        </w:tc>
        <w:tc>
          <w:tcPr>
            <w:tcW w:w="120" w:type="dxa"/>
            <w:tcBorders>
              <w:bottom w:val="single" w:sz="8" w:space="0" w:color="CCEEFF"/>
            </w:tcBorders>
            <w:shd w:val="clear" w:color="auto" w:fill="CCEEFF"/>
            <w:vAlign w:val="bottom"/>
          </w:tcPr>
          <w:p w14:paraId="309B198F" w14:textId="77777777" w:rsidR="00D1587D" w:rsidRDefault="00D1587D">
            <w:pPr>
              <w:rPr>
                <w:sz w:val="11"/>
                <w:szCs w:val="11"/>
              </w:rPr>
            </w:pPr>
          </w:p>
        </w:tc>
        <w:tc>
          <w:tcPr>
            <w:tcW w:w="440" w:type="dxa"/>
            <w:tcBorders>
              <w:bottom w:val="single" w:sz="8" w:space="0" w:color="auto"/>
            </w:tcBorders>
            <w:shd w:val="clear" w:color="auto" w:fill="CCEEFF"/>
            <w:vAlign w:val="bottom"/>
          </w:tcPr>
          <w:p w14:paraId="493057C5" w14:textId="77777777" w:rsidR="00D1587D" w:rsidRDefault="00D1587D">
            <w:pPr>
              <w:rPr>
                <w:sz w:val="11"/>
                <w:szCs w:val="11"/>
              </w:rPr>
            </w:pPr>
          </w:p>
        </w:tc>
        <w:tc>
          <w:tcPr>
            <w:tcW w:w="480" w:type="dxa"/>
            <w:tcBorders>
              <w:bottom w:val="single" w:sz="8" w:space="0" w:color="auto"/>
            </w:tcBorders>
            <w:shd w:val="clear" w:color="auto" w:fill="CCEEFF"/>
            <w:vAlign w:val="bottom"/>
          </w:tcPr>
          <w:p w14:paraId="5EA3EBB8" w14:textId="77777777" w:rsidR="00D1587D" w:rsidRDefault="00D1587D">
            <w:pPr>
              <w:rPr>
                <w:sz w:val="11"/>
                <w:szCs w:val="11"/>
              </w:rPr>
            </w:pPr>
          </w:p>
        </w:tc>
        <w:tc>
          <w:tcPr>
            <w:tcW w:w="100" w:type="dxa"/>
            <w:tcBorders>
              <w:bottom w:val="single" w:sz="8" w:space="0" w:color="CCEEFF"/>
            </w:tcBorders>
            <w:shd w:val="clear" w:color="auto" w:fill="CCEEFF"/>
            <w:vAlign w:val="bottom"/>
          </w:tcPr>
          <w:p w14:paraId="5196D2CD" w14:textId="77777777" w:rsidR="00D1587D" w:rsidRDefault="00D1587D">
            <w:pPr>
              <w:rPr>
                <w:sz w:val="11"/>
                <w:szCs w:val="11"/>
              </w:rPr>
            </w:pPr>
          </w:p>
        </w:tc>
        <w:tc>
          <w:tcPr>
            <w:tcW w:w="140" w:type="dxa"/>
            <w:tcBorders>
              <w:bottom w:val="single" w:sz="8" w:space="0" w:color="auto"/>
            </w:tcBorders>
            <w:shd w:val="clear" w:color="auto" w:fill="CCEEFF"/>
            <w:vAlign w:val="bottom"/>
          </w:tcPr>
          <w:p w14:paraId="2221DDF6" w14:textId="77777777" w:rsidR="00D1587D" w:rsidRDefault="00D1587D">
            <w:pPr>
              <w:rPr>
                <w:sz w:val="11"/>
                <w:szCs w:val="11"/>
              </w:rPr>
            </w:pPr>
          </w:p>
        </w:tc>
        <w:tc>
          <w:tcPr>
            <w:tcW w:w="900" w:type="dxa"/>
            <w:tcBorders>
              <w:bottom w:val="single" w:sz="8" w:space="0" w:color="auto"/>
            </w:tcBorders>
            <w:shd w:val="clear" w:color="auto" w:fill="CCEEFF"/>
            <w:vAlign w:val="bottom"/>
          </w:tcPr>
          <w:p w14:paraId="084CF7E5" w14:textId="77777777" w:rsidR="00D1587D" w:rsidRDefault="00D1587D">
            <w:pPr>
              <w:rPr>
                <w:sz w:val="11"/>
                <w:szCs w:val="11"/>
              </w:rPr>
            </w:pPr>
          </w:p>
        </w:tc>
        <w:tc>
          <w:tcPr>
            <w:tcW w:w="0" w:type="dxa"/>
            <w:vAlign w:val="bottom"/>
          </w:tcPr>
          <w:p w14:paraId="0BCEB149" w14:textId="77777777" w:rsidR="00D1587D" w:rsidRDefault="00D1587D">
            <w:pPr>
              <w:rPr>
                <w:sz w:val="1"/>
                <w:szCs w:val="1"/>
              </w:rPr>
            </w:pPr>
          </w:p>
        </w:tc>
      </w:tr>
      <w:tr w:rsidR="00D1587D" w14:paraId="036B19EF" w14:textId="77777777">
        <w:trPr>
          <w:trHeight w:val="285"/>
        </w:trPr>
        <w:tc>
          <w:tcPr>
            <w:tcW w:w="5620" w:type="dxa"/>
            <w:vAlign w:val="bottom"/>
          </w:tcPr>
          <w:p w14:paraId="616FDE20" w14:textId="77777777" w:rsidR="00D1587D" w:rsidRDefault="00410D07">
            <w:pPr>
              <w:rPr>
                <w:sz w:val="20"/>
                <w:szCs w:val="20"/>
              </w:rPr>
            </w:pPr>
            <w:r>
              <w:rPr>
                <w:rFonts w:ascii="Arial" w:eastAsia="Arial" w:hAnsi="Arial" w:cs="Arial"/>
                <w:sz w:val="18"/>
                <w:szCs w:val="18"/>
              </w:rPr>
              <w:t>Pro forma Net Income Per Share:</w:t>
            </w:r>
          </w:p>
        </w:tc>
        <w:tc>
          <w:tcPr>
            <w:tcW w:w="180" w:type="dxa"/>
            <w:vAlign w:val="bottom"/>
          </w:tcPr>
          <w:p w14:paraId="1BA96B03" w14:textId="77777777" w:rsidR="00D1587D" w:rsidRDefault="00D1587D">
            <w:pPr>
              <w:rPr>
                <w:sz w:val="24"/>
                <w:szCs w:val="24"/>
              </w:rPr>
            </w:pPr>
          </w:p>
        </w:tc>
        <w:tc>
          <w:tcPr>
            <w:tcW w:w="440" w:type="dxa"/>
            <w:vAlign w:val="bottom"/>
          </w:tcPr>
          <w:p w14:paraId="4D7B0F75" w14:textId="77777777" w:rsidR="00D1587D" w:rsidRDefault="00D1587D">
            <w:pPr>
              <w:rPr>
                <w:sz w:val="24"/>
                <w:szCs w:val="24"/>
              </w:rPr>
            </w:pPr>
          </w:p>
        </w:tc>
        <w:tc>
          <w:tcPr>
            <w:tcW w:w="120" w:type="dxa"/>
            <w:vAlign w:val="bottom"/>
          </w:tcPr>
          <w:p w14:paraId="050CCC48" w14:textId="77777777" w:rsidR="00D1587D" w:rsidRDefault="00D1587D">
            <w:pPr>
              <w:rPr>
                <w:sz w:val="24"/>
                <w:szCs w:val="24"/>
              </w:rPr>
            </w:pPr>
          </w:p>
        </w:tc>
        <w:tc>
          <w:tcPr>
            <w:tcW w:w="440" w:type="dxa"/>
            <w:vAlign w:val="bottom"/>
          </w:tcPr>
          <w:p w14:paraId="5705924A" w14:textId="77777777" w:rsidR="00D1587D" w:rsidRDefault="00D1587D">
            <w:pPr>
              <w:rPr>
                <w:sz w:val="24"/>
                <w:szCs w:val="24"/>
              </w:rPr>
            </w:pPr>
          </w:p>
        </w:tc>
        <w:tc>
          <w:tcPr>
            <w:tcW w:w="480" w:type="dxa"/>
            <w:vAlign w:val="bottom"/>
          </w:tcPr>
          <w:p w14:paraId="0BC9FA33" w14:textId="77777777" w:rsidR="00D1587D" w:rsidRDefault="00D1587D">
            <w:pPr>
              <w:rPr>
                <w:sz w:val="24"/>
                <w:szCs w:val="24"/>
              </w:rPr>
            </w:pPr>
          </w:p>
        </w:tc>
        <w:tc>
          <w:tcPr>
            <w:tcW w:w="100" w:type="dxa"/>
            <w:vAlign w:val="bottom"/>
          </w:tcPr>
          <w:p w14:paraId="5E903DC8" w14:textId="77777777" w:rsidR="00D1587D" w:rsidRDefault="00D1587D">
            <w:pPr>
              <w:rPr>
                <w:sz w:val="24"/>
                <w:szCs w:val="24"/>
              </w:rPr>
            </w:pPr>
          </w:p>
        </w:tc>
        <w:tc>
          <w:tcPr>
            <w:tcW w:w="140" w:type="dxa"/>
            <w:vAlign w:val="bottom"/>
          </w:tcPr>
          <w:p w14:paraId="5E9F17E4" w14:textId="77777777" w:rsidR="00D1587D" w:rsidRDefault="00D1587D">
            <w:pPr>
              <w:rPr>
                <w:sz w:val="24"/>
                <w:szCs w:val="24"/>
              </w:rPr>
            </w:pPr>
          </w:p>
        </w:tc>
        <w:tc>
          <w:tcPr>
            <w:tcW w:w="900" w:type="dxa"/>
            <w:vAlign w:val="bottom"/>
          </w:tcPr>
          <w:p w14:paraId="186477CC" w14:textId="77777777" w:rsidR="00D1587D" w:rsidRDefault="00D1587D">
            <w:pPr>
              <w:rPr>
                <w:sz w:val="24"/>
                <w:szCs w:val="24"/>
              </w:rPr>
            </w:pPr>
          </w:p>
        </w:tc>
        <w:tc>
          <w:tcPr>
            <w:tcW w:w="0" w:type="dxa"/>
            <w:vAlign w:val="bottom"/>
          </w:tcPr>
          <w:p w14:paraId="61548B26" w14:textId="77777777" w:rsidR="00D1587D" w:rsidRDefault="00D1587D">
            <w:pPr>
              <w:rPr>
                <w:sz w:val="1"/>
                <w:szCs w:val="1"/>
              </w:rPr>
            </w:pPr>
          </w:p>
        </w:tc>
      </w:tr>
      <w:tr w:rsidR="00D1587D" w14:paraId="6B00D029" w14:textId="77777777">
        <w:trPr>
          <w:trHeight w:val="54"/>
        </w:trPr>
        <w:tc>
          <w:tcPr>
            <w:tcW w:w="5620" w:type="dxa"/>
            <w:vAlign w:val="bottom"/>
          </w:tcPr>
          <w:p w14:paraId="3ECE933B" w14:textId="77777777" w:rsidR="00D1587D" w:rsidRDefault="00D1587D">
            <w:pPr>
              <w:rPr>
                <w:sz w:val="4"/>
                <w:szCs w:val="4"/>
              </w:rPr>
            </w:pPr>
          </w:p>
        </w:tc>
        <w:tc>
          <w:tcPr>
            <w:tcW w:w="180" w:type="dxa"/>
            <w:vAlign w:val="bottom"/>
          </w:tcPr>
          <w:p w14:paraId="15F31B1F" w14:textId="77777777" w:rsidR="00D1587D" w:rsidRDefault="00D1587D">
            <w:pPr>
              <w:rPr>
                <w:sz w:val="4"/>
                <w:szCs w:val="4"/>
              </w:rPr>
            </w:pPr>
          </w:p>
        </w:tc>
        <w:tc>
          <w:tcPr>
            <w:tcW w:w="440" w:type="dxa"/>
            <w:vAlign w:val="bottom"/>
          </w:tcPr>
          <w:p w14:paraId="2A644230" w14:textId="77777777" w:rsidR="00D1587D" w:rsidRDefault="00D1587D">
            <w:pPr>
              <w:rPr>
                <w:sz w:val="4"/>
                <w:szCs w:val="4"/>
              </w:rPr>
            </w:pPr>
          </w:p>
        </w:tc>
        <w:tc>
          <w:tcPr>
            <w:tcW w:w="120" w:type="dxa"/>
            <w:vAlign w:val="bottom"/>
          </w:tcPr>
          <w:p w14:paraId="634C01AE" w14:textId="77777777" w:rsidR="00D1587D" w:rsidRDefault="00D1587D">
            <w:pPr>
              <w:rPr>
                <w:sz w:val="4"/>
                <w:szCs w:val="4"/>
              </w:rPr>
            </w:pPr>
          </w:p>
        </w:tc>
        <w:tc>
          <w:tcPr>
            <w:tcW w:w="440" w:type="dxa"/>
            <w:vAlign w:val="bottom"/>
          </w:tcPr>
          <w:p w14:paraId="75E94CAB" w14:textId="77777777" w:rsidR="00D1587D" w:rsidRDefault="00D1587D">
            <w:pPr>
              <w:rPr>
                <w:sz w:val="4"/>
                <w:szCs w:val="4"/>
              </w:rPr>
            </w:pPr>
          </w:p>
        </w:tc>
        <w:tc>
          <w:tcPr>
            <w:tcW w:w="480" w:type="dxa"/>
            <w:vAlign w:val="bottom"/>
          </w:tcPr>
          <w:p w14:paraId="122F41DF" w14:textId="77777777" w:rsidR="00D1587D" w:rsidRDefault="00D1587D">
            <w:pPr>
              <w:rPr>
                <w:sz w:val="4"/>
                <w:szCs w:val="4"/>
              </w:rPr>
            </w:pPr>
          </w:p>
        </w:tc>
        <w:tc>
          <w:tcPr>
            <w:tcW w:w="100" w:type="dxa"/>
            <w:vAlign w:val="bottom"/>
          </w:tcPr>
          <w:p w14:paraId="39FEC454" w14:textId="77777777" w:rsidR="00D1587D" w:rsidRDefault="00D1587D">
            <w:pPr>
              <w:rPr>
                <w:sz w:val="4"/>
                <w:szCs w:val="4"/>
              </w:rPr>
            </w:pPr>
          </w:p>
        </w:tc>
        <w:tc>
          <w:tcPr>
            <w:tcW w:w="140" w:type="dxa"/>
            <w:vAlign w:val="bottom"/>
          </w:tcPr>
          <w:p w14:paraId="7DBEACD1" w14:textId="77777777" w:rsidR="00D1587D" w:rsidRDefault="00D1587D">
            <w:pPr>
              <w:rPr>
                <w:sz w:val="4"/>
                <w:szCs w:val="4"/>
              </w:rPr>
            </w:pPr>
          </w:p>
        </w:tc>
        <w:tc>
          <w:tcPr>
            <w:tcW w:w="900" w:type="dxa"/>
            <w:vAlign w:val="bottom"/>
          </w:tcPr>
          <w:p w14:paraId="16F8DA1F" w14:textId="77777777" w:rsidR="00D1587D" w:rsidRDefault="00D1587D">
            <w:pPr>
              <w:rPr>
                <w:sz w:val="4"/>
                <w:szCs w:val="4"/>
              </w:rPr>
            </w:pPr>
          </w:p>
        </w:tc>
        <w:tc>
          <w:tcPr>
            <w:tcW w:w="0" w:type="dxa"/>
            <w:vAlign w:val="bottom"/>
          </w:tcPr>
          <w:p w14:paraId="63D4850B" w14:textId="77777777" w:rsidR="00D1587D" w:rsidRDefault="00D1587D">
            <w:pPr>
              <w:rPr>
                <w:sz w:val="1"/>
                <w:szCs w:val="1"/>
              </w:rPr>
            </w:pPr>
          </w:p>
        </w:tc>
      </w:tr>
      <w:tr w:rsidR="00D1587D" w14:paraId="105A3156" w14:textId="77777777">
        <w:trPr>
          <w:trHeight w:val="304"/>
        </w:trPr>
        <w:tc>
          <w:tcPr>
            <w:tcW w:w="5620" w:type="dxa"/>
            <w:tcBorders>
              <w:bottom w:val="single" w:sz="8" w:space="0" w:color="CCEEFF"/>
            </w:tcBorders>
            <w:shd w:val="clear" w:color="auto" w:fill="CCEEFF"/>
            <w:vAlign w:val="bottom"/>
          </w:tcPr>
          <w:p w14:paraId="193E9495" w14:textId="77777777" w:rsidR="00D1587D" w:rsidRDefault="00410D07">
            <w:pPr>
              <w:ind w:left="180"/>
              <w:rPr>
                <w:sz w:val="20"/>
                <w:szCs w:val="20"/>
              </w:rPr>
            </w:pPr>
            <w:r>
              <w:rPr>
                <w:rFonts w:ascii="Arial" w:eastAsia="Arial" w:hAnsi="Arial" w:cs="Arial"/>
                <w:sz w:val="18"/>
                <w:szCs w:val="18"/>
              </w:rPr>
              <w:t>Basic</w:t>
            </w:r>
          </w:p>
        </w:tc>
        <w:tc>
          <w:tcPr>
            <w:tcW w:w="180" w:type="dxa"/>
            <w:tcBorders>
              <w:bottom w:val="single" w:sz="8" w:space="0" w:color="CCEEFF"/>
            </w:tcBorders>
            <w:shd w:val="clear" w:color="auto" w:fill="CCEEFF"/>
            <w:vAlign w:val="bottom"/>
          </w:tcPr>
          <w:p w14:paraId="10D6C9F6" w14:textId="77777777" w:rsidR="00D1587D" w:rsidRDefault="00410D07">
            <w:pPr>
              <w:jc w:val="right"/>
              <w:rPr>
                <w:sz w:val="20"/>
                <w:szCs w:val="20"/>
              </w:rPr>
            </w:pPr>
            <w:r>
              <w:rPr>
                <w:rFonts w:ascii="Arial" w:eastAsia="Arial" w:hAnsi="Arial" w:cs="Arial"/>
                <w:sz w:val="18"/>
                <w:szCs w:val="18"/>
              </w:rPr>
              <w:t>$</w:t>
            </w:r>
          </w:p>
        </w:tc>
        <w:tc>
          <w:tcPr>
            <w:tcW w:w="440" w:type="dxa"/>
            <w:tcBorders>
              <w:bottom w:val="single" w:sz="8" w:space="0" w:color="CCEEFF"/>
            </w:tcBorders>
            <w:shd w:val="clear" w:color="auto" w:fill="CCEEFF"/>
            <w:vAlign w:val="bottom"/>
          </w:tcPr>
          <w:p w14:paraId="1B0E8DD4" w14:textId="77777777" w:rsidR="00D1587D" w:rsidRDefault="00D1587D">
            <w:pPr>
              <w:rPr>
                <w:sz w:val="24"/>
                <w:szCs w:val="24"/>
              </w:rPr>
            </w:pPr>
          </w:p>
        </w:tc>
        <w:tc>
          <w:tcPr>
            <w:tcW w:w="120" w:type="dxa"/>
            <w:tcBorders>
              <w:bottom w:val="single" w:sz="8" w:space="0" w:color="CCEEFF"/>
            </w:tcBorders>
            <w:shd w:val="clear" w:color="auto" w:fill="CCEEFF"/>
            <w:vAlign w:val="bottom"/>
          </w:tcPr>
          <w:p w14:paraId="1863BEFB" w14:textId="77777777" w:rsidR="00D1587D" w:rsidRDefault="00D1587D">
            <w:pPr>
              <w:rPr>
                <w:sz w:val="24"/>
                <w:szCs w:val="24"/>
              </w:rPr>
            </w:pPr>
          </w:p>
        </w:tc>
        <w:tc>
          <w:tcPr>
            <w:tcW w:w="440" w:type="dxa"/>
            <w:tcBorders>
              <w:bottom w:val="single" w:sz="8" w:space="0" w:color="CCEEFF"/>
            </w:tcBorders>
            <w:shd w:val="clear" w:color="auto" w:fill="CCEEFF"/>
            <w:vAlign w:val="bottom"/>
          </w:tcPr>
          <w:p w14:paraId="45A2692B" w14:textId="77777777" w:rsidR="00D1587D" w:rsidRDefault="00410D07">
            <w:pPr>
              <w:ind w:left="120"/>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02A96320"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74C878F" w14:textId="77777777" w:rsidR="00D1587D" w:rsidRDefault="00D1587D">
            <w:pPr>
              <w:rPr>
                <w:sz w:val="24"/>
                <w:szCs w:val="24"/>
              </w:rPr>
            </w:pPr>
          </w:p>
        </w:tc>
        <w:tc>
          <w:tcPr>
            <w:tcW w:w="140" w:type="dxa"/>
            <w:tcBorders>
              <w:bottom w:val="single" w:sz="8" w:space="0" w:color="CCEEFF"/>
            </w:tcBorders>
            <w:shd w:val="clear" w:color="auto" w:fill="CCEEFF"/>
            <w:vAlign w:val="bottom"/>
          </w:tcPr>
          <w:p w14:paraId="0DF956FD" w14:textId="77777777" w:rsidR="00D1587D" w:rsidRDefault="00410D07">
            <w:pPr>
              <w:jc w:val="right"/>
              <w:rPr>
                <w:sz w:val="20"/>
                <w:szCs w:val="20"/>
              </w:rPr>
            </w:pPr>
            <w:r>
              <w:rPr>
                <w:rFonts w:ascii="Arial" w:eastAsia="Arial" w:hAnsi="Arial" w:cs="Arial"/>
                <w:w w:val="79"/>
                <w:sz w:val="18"/>
                <w:szCs w:val="18"/>
              </w:rPr>
              <w:t>$</w:t>
            </w:r>
          </w:p>
        </w:tc>
        <w:tc>
          <w:tcPr>
            <w:tcW w:w="900" w:type="dxa"/>
            <w:tcBorders>
              <w:bottom w:val="single" w:sz="8" w:space="0" w:color="CCEEFF"/>
            </w:tcBorders>
            <w:shd w:val="clear" w:color="auto" w:fill="CCEEFF"/>
            <w:vAlign w:val="bottom"/>
          </w:tcPr>
          <w:p w14:paraId="318AF0D1" w14:textId="77777777" w:rsidR="00D1587D" w:rsidRDefault="00D1587D">
            <w:pPr>
              <w:rPr>
                <w:sz w:val="24"/>
                <w:szCs w:val="24"/>
              </w:rPr>
            </w:pPr>
          </w:p>
        </w:tc>
        <w:tc>
          <w:tcPr>
            <w:tcW w:w="0" w:type="dxa"/>
            <w:vAlign w:val="bottom"/>
          </w:tcPr>
          <w:p w14:paraId="3A4551A6" w14:textId="77777777" w:rsidR="00D1587D" w:rsidRDefault="00D1587D">
            <w:pPr>
              <w:rPr>
                <w:sz w:val="1"/>
                <w:szCs w:val="1"/>
              </w:rPr>
            </w:pPr>
          </w:p>
        </w:tc>
      </w:tr>
      <w:tr w:rsidR="00D1587D" w14:paraId="4EC403A5" w14:textId="77777777">
        <w:trPr>
          <w:trHeight w:val="270"/>
        </w:trPr>
        <w:tc>
          <w:tcPr>
            <w:tcW w:w="5620" w:type="dxa"/>
            <w:vAlign w:val="bottom"/>
          </w:tcPr>
          <w:p w14:paraId="6F237686" w14:textId="77777777" w:rsidR="00D1587D" w:rsidRDefault="00410D07">
            <w:pPr>
              <w:ind w:left="180"/>
              <w:rPr>
                <w:sz w:val="20"/>
                <w:szCs w:val="20"/>
              </w:rPr>
            </w:pPr>
            <w:r>
              <w:rPr>
                <w:rFonts w:ascii="Arial" w:eastAsia="Arial" w:hAnsi="Arial" w:cs="Arial"/>
                <w:sz w:val="18"/>
                <w:szCs w:val="18"/>
              </w:rPr>
              <w:t>Diluted</w:t>
            </w:r>
          </w:p>
        </w:tc>
        <w:tc>
          <w:tcPr>
            <w:tcW w:w="180" w:type="dxa"/>
            <w:vAlign w:val="bottom"/>
          </w:tcPr>
          <w:p w14:paraId="3E86DB0E" w14:textId="77777777" w:rsidR="00D1587D" w:rsidRDefault="00410D07">
            <w:pPr>
              <w:jc w:val="right"/>
              <w:rPr>
                <w:sz w:val="20"/>
                <w:szCs w:val="20"/>
              </w:rPr>
            </w:pPr>
            <w:r>
              <w:rPr>
                <w:rFonts w:ascii="Arial" w:eastAsia="Arial" w:hAnsi="Arial" w:cs="Arial"/>
                <w:sz w:val="18"/>
                <w:szCs w:val="18"/>
              </w:rPr>
              <w:t>$</w:t>
            </w:r>
          </w:p>
        </w:tc>
        <w:tc>
          <w:tcPr>
            <w:tcW w:w="440" w:type="dxa"/>
            <w:vAlign w:val="bottom"/>
          </w:tcPr>
          <w:p w14:paraId="568E82F9" w14:textId="77777777" w:rsidR="00D1587D" w:rsidRDefault="00D1587D">
            <w:pPr>
              <w:rPr>
                <w:sz w:val="23"/>
                <w:szCs w:val="23"/>
              </w:rPr>
            </w:pPr>
          </w:p>
        </w:tc>
        <w:tc>
          <w:tcPr>
            <w:tcW w:w="120" w:type="dxa"/>
            <w:vAlign w:val="bottom"/>
          </w:tcPr>
          <w:p w14:paraId="344370F6" w14:textId="77777777" w:rsidR="00D1587D" w:rsidRDefault="00D1587D">
            <w:pPr>
              <w:rPr>
                <w:sz w:val="23"/>
                <w:szCs w:val="23"/>
              </w:rPr>
            </w:pPr>
          </w:p>
        </w:tc>
        <w:tc>
          <w:tcPr>
            <w:tcW w:w="440" w:type="dxa"/>
            <w:vAlign w:val="bottom"/>
          </w:tcPr>
          <w:p w14:paraId="1A51536E" w14:textId="77777777" w:rsidR="00D1587D" w:rsidRDefault="00410D07">
            <w:pPr>
              <w:ind w:left="120"/>
              <w:rPr>
                <w:sz w:val="20"/>
                <w:szCs w:val="20"/>
              </w:rPr>
            </w:pPr>
            <w:r>
              <w:rPr>
                <w:rFonts w:ascii="Arial" w:eastAsia="Arial" w:hAnsi="Arial" w:cs="Arial"/>
                <w:sz w:val="18"/>
                <w:szCs w:val="18"/>
              </w:rPr>
              <w:t>$</w:t>
            </w:r>
          </w:p>
        </w:tc>
        <w:tc>
          <w:tcPr>
            <w:tcW w:w="480" w:type="dxa"/>
            <w:vAlign w:val="bottom"/>
          </w:tcPr>
          <w:p w14:paraId="3CFA5011" w14:textId="77777777" w:rsidR="00D1587D" w:rsidRDefault="00D1587D">
            <w:pPr>
              <w:rPr>
                <w:sz w:val="23"/>
                <w:szCs w:val="23"/>
              </w:rPr>
            </w:pPr>
          </w:p>
        </w:tc>
        <w:tc>
          <w:tcPr>
            <w:tcW w:w="100" w:type="dxa"/>
            <w:vAlign w:val="bottom"/>
          </w:tcPr>
          <w:p w14:paraId="69DE835A" w14:textId="77777777" w:rsidR="00D1587D" w:rsidRDefault="00D1587D">
            <w:pPr>
              <w:rPr>
                <w:sz w:val="23"/>
                <w:szCs w:val="23"/>
              </w:rPr>
            </w:pPr>
          </w:p>
        </w:tc>
        <w:tc>
          <w:tcPr>
            <w:tcW w:w="140" w:type="dxa"/>
            <w:vAlign w:val="bottom"/>
          </w:tcPr>
          <w:p w14:paraId="1861F21C" w14:textId="77777777" w:rsidR="00D1587D" w:rsidRDefault="00410D07">
            <w:pPr>
              <w:jc w:val="right"/>
              <w:rPr>
                <w:sz w:val="20"/>
                <w:szCs w:val="20"/>
              </w:rPr>
            </w:pPr>
            <w:r>
              <w:rPr>
                <w:rFonts w:ascii="Arial" w:eastAsia="Arial" w:hAnsi="Arial" w:cs="Arial"/>
                <w:w w:val="79"/>
                <w:sz w:val="18"/>
                <w:szCs w:val="18"/>
              </w:rPr>
              <w:t>$</w:t>
            </w:r>
          </w:p>
        </w:tc>
        <w:tc>
          <w:tcPr>
            <w:tcW w:w="900" w:type="dxa"/>
            <w:vAlign w:val="bottom"/>
          </w:tcPr>
          <w:p w14:paraId="0091CA8F" w14:textId="77777777" w:rsidR="00D1587D" w:rsidRDefault="00D1587D">
            <w:pPr>
              <w:rPr>
                <w:sz w:val="23"/>
                <w:szCs w:val="23"/>
              </w:rPr>
            </w:pPr>
          </w:p>
        </w:tc>
        <w:tc>
          <w:tcPr>
            <w:tcW w:w="0" w:type="dxa"/>
            <w:vAlign w:val="bottom"/>
          </w:tcPr>
          <w:p w14:paraId="74146DC5" w14:textId="77777777" w:rsidR="00D1587D" w:rsidRDefault="00D1587D">
            <w:pPr>
              <w:rPr>
                <w:sz w:val="1"/>
                <w:szCs w:val="1"/>
              </w:rPr>
            </w:pPr>
          </w:p>
        </w:tc>
      </w:tr>
      <w:tr w:rsidR="00D1587D" w14:paraId="7F3D4C20" w14:textId="77777777">
        <w:trPr>
          <w:trHeight w:val="54"/>
        </w:trPr>
        <w:tc>
          <w:tcPr>
            <w:tcW w:w="5620" w:type="dxa"/>
            <w:vAlign w:val="bottom"/>
          </w:tcPr>
          <w:p w14:paraId="50CCB7AB" w14:textId="77777777" w:rsidR="00D1587D" w:rsidRDefault="00D1587D">
            <w:pPr>
              <w:rPr>
                <w:sz w:val="4"/>
                <w:szCs w:val="4"/>
              </w:rPr>
            </w:pPr>
          </w:p>
        </w:tc>
        <w:tc>
          <w:tcPr>
            <w:tcW w:w="180" w:type="dxa"/>
            <w:vAlign w:val="bottom"/>
          </w:tcPr>
          <w:p w14:paraId="58AEF615" w14:textId="77777777" w:rsidR="00D1587D" w:rsidRDefault="00D1587D">
            <w:pPr>
              <w:rPr>
                <w:sz w:val="4"/>
                <w:szCs w:val="4"/>
              </w:rPr>
            </w:pPr>
          </w:p>
        </w:tc>
        <w:tc>
          <w:tcPr>
            <w:tcW w:w="440" w:type="dxa"/>
            <w:vAlign w:val="bottom"/>
          </w:tcPr>
          <w:p w14:paraId="4B237119" w14:textId="77777777" w:rsidR="00D1587D" w:rsidRDefault="00D1587D">
            <w:pPr>
              <w:rPr>
                <w:sz w:val="4"/>
                <w:szCs w:val="4"/>
              </w:rPr>
            </w:pPr>
          </w:p>
        </w:tc>
        <w:tc>
          <w:tcPr>
            <w:tcW w:w="120" w:type="dxa"/>
            <w:vAlign w:val="bottom"/>
          </w:tcPr>
          <w:p w14:paraId="29B6B462" w14:textId="77777777" w:rsidR="00D1587D" w:rsidRDefault="00D1587D">
            <w:pPr>
              <w:rPr>
                <w:sz w:val="4"/>
                <w:szCs w:val="4"/>
              </w:rPr>
            </w:pPr>
          </w:p>
        </w:tc>
        <w:tc>
          <w:tcPr>
            <w:tcW w:w="440" w:type="dxa"/>
            <w:vAlign w:val="bottom"/>
          </w:tcPr>
          <w:p w14:paraId="6132E772" w14:textId="77777777" w:rsidR="00D1587D" w:rsidRDefault="00D1587D">
            <w:pPr>
              <w:rPr>
                <w:sz w:val="4"/>
                <w:szCs w:val="4"/>
              </w:rPr>
            </w:pPr>
          </w:p>
        </w:tc>
        <w:tc>
          <w:tcPr>
            <w:tcW w:w="480" w:type="dxa"/>
            <w:vAlign w:val="bottom"/>
          </w:tcPr>
          <w:p w14:paraId="78E5E411" w14:textId="77777777" w:rsidR="00D1587D" w:rsidRDefault="00D1587D">
            <w:pPr>
              <w:rPr>
                <w:sz w:val="4"/>
                <w:szCs w:val="4"/>
              </w:rPr>
            </w:pPr>
          </w:p>
        </w:tc>
        <w:tc>
          <w:tcPr>
            <w:tcW w:w="100" w:type="dxa"/>
            <w:vAlign w:val="bottom"/>
          </w:tcPr>
          <w:p w14:paraId="266B5058" w14:textId="77777777" w:rsidR="00D1587D" w:rsidRDefault="00D1587D">
            <w:pPr>
              <w:rPr>
                <w:sz w:val="4"/>
                <w:szCs w:val="4"/>
              </w:rPr>
            </w:pPr>
          </w:p>
        </w:tc>
        <w:tc>
          <w:tcPr>
            <w:tcW w:w="140" w:type="dxa"/>
            <w:vAlign w:val="bottom"/>
          </w:tcPr>
          <w:p w14:paraId="7DF616A8" w14:textId="77777777" w:rsidR="00D1587D" w:rsidRDefault="00D1587D">
            <w:pPr>
              <w:rPr>
                <w:sz w:val="4"/>
                <w:szCs w:val="4"/>
              </w:rPr>
            </w:pPr>
          </w:p>
        </w:tc>
        <w:tc>
          <w:tcPr>
            <w:tcW w:w="900" w:type="dxa"/>
            <w:vAlign w:val="bottom"/>
          </w:tcPr>
          <w:p w14:paraId="64D0314D" w14:textId="77777777" w:rsidR="00D1587D" w:rsidRDefault="00D1587D">
            <w:pPr>
              <w:rPr>
                <w:sz w:val="4"/>
                <w:szCs w:val="4"/>
              </w:rPr>
            </w:pPr>
          </w:p>
        </w:tc>
        <w:tc>
          <w:tcPr>
            <w:tcW w:w="0" w:type="dxa"/>
            <w:vAlign w:val="bottom"/>
          </w:tcPr>
          <w:p w14:paraId="220043FF" w14:textId="77777777" w:rsidR="00D1587D" w:rsidRDefault="00D1587D">
            <w:pPr>
              <w:rPr>
                <w:sz w:val="1"/>
                <w:szCs w:val="1"/>
              </w:rPr>
            </w:pPr>
          </w:p>
        </w:tc>
      </w:tr>
      <w:tr w:rsidR="00D1587D" w14:paraId="505E04C8" w14:textId="77777777">
        <w:trPr>
          <w:trHeight w:val="304"/>
        </w:trPr>
        <w:tc>
          <w:tcPr>
            <w:tcW w:w="5620" w:type="dxa"/>
            <w:tcBorders>
              <w:bottom w:val="single" w:sz="8" w:space="0" w:color="CCEEFF"/>
            </w:tcBorders>
            <w:shd w:val="clear" w:color="auto" w:fill="CCEEFF"/>
            <w:vAlign w:val="bottom"/>
          </w:tcPr>
          <w:p w14:paraId="6D9E5432" w14:textId="77777777" w:rsidR="00D1587D" w:rsidRDefault="00410D07">
            <w:pPr>
              <w:rPr>
                <w:sz w:val="20"/>
                <w:szCs w:val="20"/>
              </w:rPr>
            </w:pPr>
            <w:r>
              <w:rPr>
                <w:rFonts w:ascii="Arial" w:eastAsia="Arial" w:hAnsi="Arial" w:cs="Arial"/>
                <w:sz w:val="18"/>
                <w:szCs w:val="18"/>
              </w:rPr>
              <w:t>Weighted Average Shares:</w:t>
            </w:r>
          </w:p>
        </w:tc>
        <w:tc>
          <w:tcPr>
            <w:tcW w:w="180" w:type="dxa"/>
            <w:tcBorders>
              <w:bottom w:val="single" w:sz="8" w:space="0" w:color="CCEEFF"/>
            </w:tcBorders>
            <w:shd w:val="clear" w:color="auto" w:fill="CCEEFF"/>
            <w:vAlign w:val="bottom"/>
          </w:tcPr>
          <w:p w14:paraId="6E10E3A5" w14:textId="77777777" w:rsidR="00D1587D" w:rsidRDefault="00D1587D">
            <w:pPr>
              <w:rPr>
                <w:sz w:val="24"/>
                <w:szCs w:val="24"/>
              </w:rPr>
            </w:pPr>
          </w:p>
        </w:tc>
        <w:tc>
          <w:tcPr>
            <w:tcW w:w="440" w:type="dxa"/>
            <w:tcBorders>
              <w:bottom w:val="single" w:sz="8" w:space="0" w:color="CCEEFF"/>
            </w:tcBorders>
            <w:shd w:val="clear" w:color="auto" w:fill="CCEEFF"/>
            <w:vAlign w:val="bottom"/>
          </w:tcPr>
          <w:p w14:paraId="18FA16EC" w14:textId="77777777" w:rsidR="00D1587D" w:rsidRDefault="00D1587D">
            <w:pPr>
              <w:rPr>
                <w:sz w:val="24"/>
                <w:szCs w:val="24"/>
              </w:rPr>
            </w:pPr>
          </w:p>
        </w:tc>
        <w:tc>
          <w:tcPr>
            <w:tcW w:w="120" w:type="dxa"/>
            <w:tcBorders>
              <w:bottom w:val="single" w:sz="8" w:space="0" w:color="CCEEFF"/>
            </w:tcBorders>
            <w:shd w:val="clear" w:color="auto" w:fill="CCEEFF"/>
            <w:vAlign w:val="bottom"/>
          </w:tcPr>
          <w:p w14:paraId="4D4E1774" w14:textId="77777777" w:rsidR="00D1587D" w:rsidRDefault="00D1587D">
            <w:pPr>
              <w:rPr>
                <w:sz w:val="24"/>
                <w:szCs w:val="24"/>
              </w:rPr>
            </w:pPr>
          </w:p>
        </w:tc>
        <w:tc>
          <w:tcPr>
            <w:tcW w:w="440" w:type="dxa"/>
            <w:tcBorders>
              <w:bottom w:val="single" w:sz="8" w:space="0" w:color="CCEEFF"/>
            </w:tcBorders>
            <w:shd w:val="clear" w:color="auto" w:fill="CCEEFF"/>
            <w:vAlign w:val="bottom"/>
          </w:tcPr>
          <w:p w14:paraId="47E68E10" w14:textId="77777777" w:rsidR="00D1587D" w:rsidRDefault="00D1587D">
            <w:pPr>
              <w:rPr>
                <w:sz w:val="24"/>
                <w:szCs w:val="24"/>
              </w:rPr>
            </w:pPr>
          </w:p>
        </w:tc>
        <w:tc>
          <w:tcPr>
            <w:tcW w:w="480" w:type="dxa"/>
            <w:tcBorders>
              <w:bottom w:val="single" w:sz="8" w:space="0" w:color="CCEEFF"/>
            </w:tcBorders>
            <w:shd w:val="clear" w:color="auto" w:fill="CCEEFF"/>
            <w:vAlign w:val="bottom"/>
          </w:tcPr>
          <w:p w14:paraId="72E4DC3E"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0E22DF5" w14:textId="77777777" w:rsidR="00D1587D" w:rsidRDefault="00D1587D">
            <w:pPr>
              <w:rPr>
                <w:sz w:val="24"/>
                <w:szCs w:val="24"/>
              </w:rPr>
            </w:pPr>
          </w:p>
        </w:tc>
        <w:tc>
          <w:tcPr>
            <w:tcW w:w="140" w:type="dxa"/>
            <w:tcBorders>
              <w:bottom w:val="single" w:sz="8" w:space="0" w:color="CCEEFF"/>
            </w:tcBorders>
            <w:shd w:val="clear" w:color="auto" w:fill="CCEEFF"/>
            <w:vAlign w:val="bottom"/>
          </w:tcPr>
          <w:p w14:paraId="1009FE87" w14:textId="77777777" w:rsidR="00D1587D" w:rsidRDefault="00D1587D">
            <w:pPr>
              <w:rPr>
                <w:sz w:val="24"/>
                <w:szCs w:val="24"/>
              </w:rPr>
            </w:pPr>
          </w:p>
        </w:tc>
        <w:tc>
          <w:tcPr>
            <w:tcW w:w="900" w:type="dxa"/>
            <w:tcBorders>
              <w:bottom w:val="single" w:sz="8" w:space="0" w:color="CCEEFF"/>
            </w:tcBorders>
            <w:shd w:val="clear" w:color="auto" w:fill="CCEEFF"/>
            <w:vAlign w:val="bottom"/>
          </w:tcPr>
          <w:p w14:paraId="6A763172" w14:textId="77777777" w:rsidR="00D1587D" w:rsidRDefault="00D1587D">
            <w:pPr>
              <w:rPr>
                <w:sz w:val="24"/>
                <w:szCs w:val="24"/>
              </w:rPr>
            </w:pPr>
          </w:p>
        </w:tc>
        <w:tc>
          <w:tcPr>
            <w:tcW w:w="0" w:type="dxa"/>
            <w:vAlign w:val="bottom"/>
          </w:tcPr>
          <w:p w14:paraId="5353C94A" w14:textId="77777777" w:rsidR="00D1587D" w:rsidRDefault="00D1587D">
            <w:pPr>
              <w:rPr>
                <w:sz w:val="1"/>
                <w:szCs w:val="1"/>
              </w:rPr>
            </w:pPr>
          </w:p>
        </w:tc>
      </w:tr>
      <w:tr w:rsidR="00D1587D" w14:paraId="31899ADC" w14:textId="77777777">
        <w:trPr>
          <w:trHeight w:val="270"/>
        </w:trPr>
        <w:tc>
          <w:tcPr>
            <w:tcW w:w="5620" w:type="dxa"/>
            <w:vAlign w:val="bottom"/>
          </w:tcPr>
          <w:p w14:paraId="41EA51E2" w14:textId="77777777" w:rsidR="00D1587D" w:rsidRDefault="00410D07">
            <w:pPr>
              <w:ind w:left="180"/>
              <w:rPr>
                <w:sz w:val="20"/>
                <w:szCs w:val="20"/>
              </w:rPr>
            </w:pPr>
            <w:r>
              <w:rPr>
                <w:rFonts w:ascii="Arial" w:eastAsia="Arial" w:hAnsi="Arial" w:cs="Arial"/>
                <w:sz w:val="18"/>
                <w:szCs w:val="18"/>
              </w:rPr>
              <w:t>Basic</w:t>
            </w:r>
          </w:p>
        </w:tc>
        <w:tc>
          <w:tcPr>
            <w:tcW w:w="180" w:type="dxa"/>
            <w:vAlign w:val="bottom"/>
          </w:tcPr>
          <w:p w14:paraId="55543426" w14:textId="77777777" w:rsidR="00D1587D" w:rsidRDefault="00D1587D">
            <w:pPr>
              <w:rPr>
                <w:sz w:val="23"/>
                <w:szCs w:val="23"/>
              </w:rPr>
            </w:pPr>
          </w:p>
        </w:tc>
        <w:tc>
          <w:tcPr>
            <w:tcW w:w="440" w:type="dxa"/>
            <w:vAlign w:val="bottom"/>
          </w:tcPr>
          <w:p w14:paraId="1A6188F9" w14:textId="77777777" w:rsidR="00D1587D" w:rsidRDefault="00D1587D">
            <w:pPr>
              <w:rPr>
                <w:sz w:val="23"/>
                <w:szCs w:val="23"/>
              </w:rPr>
            </w:pPr>
          </w:p>
        </w:tc>
        <w:tc>
          <w:tcPr>
            <w:tcW w:w="120" w:type="dxa"/>
            <w:vAlign w:val="bottom"/>
          </w:tcPr>
          <w:p w14:paraId="2AD072E7" w14:textId="77777777" w:rsidR="00D1587D" w:rsidRDefault="00D1587D">
            <w:pPr>
              <w:rPr>
                <w:sz w:val="23"/>
                <w:szCs w:val="23"/>
              </w:rPr>
            </w:pPr>
          </w:p>
        </w:tc>
        <w:tc>
          <w:tcPr>
            <w:tcW w:w="440" w:type="dxa"/>
            <w:vAlign w:val="bottom"/>
          </w:tcPr>
          <w:p w14:paraId="19D4D579" w14:textId="77777777" w:rsidR="00D1587D" w:rsidRDefault="00D1587D">
            <w:pPr>
              <w:rPr>
                <w:sz w:val="23"/>
                <w:szCs w:val="23"/>
              </w:rPr>
            </w:pPr>
          </w:p>
        </w:tc>
        <w:tc>
          <w:tcPr>
            <w:tcW w:w="480" w:type="dxa"/>
            <w:vAlign w:val="bottom"/>
          </w:tcPr>
          <w:p w14:paraId="150E365C" w14:textId="77777777" w:rsidR="00D1587D" w:rsidRDefault="00D1587D">
            <w:pPr>
              <w:rPr>
                <w:sz w:val="23"/>
                <w:szCs w:val="23"/>
              </w:rPr>
            </w:pPr>
          </w:p>
        </w:tc>
        <w:tc>
          <w:tcPr>
            <w:tcW w:w="100" w:type="dxa"/>
            <w:vAlign w:val="bottom"/>
          </w:tcPr>
          <w:p w14:paraId="5D483220" w14:textId="77777777" w:rsidR="00D1587D" w:rsidRDefault="00D1587D">
            <w:pPr>
              <w:rPr>
                <w:sz w:val="23"/>
                <w:szCs w:val="23"/>
              </w:rPr>
            </w:pPr>
          </w:p>
        </w:tc>
        <w:tc>
          <w:tcPr>
            <w:tcW w:w="140" w:type="dxa"/>
            <w:vAlign w:val="bottom"/>
          </w:tcPr>
          <w:p w14:paraId="35B7D323" w14:textId="77777777" w:rsidR="00D1587D" w:rsidRDefault="00D1587D">
            <w:pPr>
              <w:rPr>
                <w:sz w:val="23"/>
                <w:szCs w:val="23"/>
              </w:rPr>
            </w:pPr>
          </w:p>
        </w:tc>
        <w:tc>
          <w:tcPr>
            <w:tcW w:w="900" w:type="dxa"/>
            <w:vAlign w:val="bottom"/>
          </w:tcPr>
          <w:p w14:paraId="682BB390" w14:textId="77777777" w:rsidR="00D1587D" w:rsidRDefault="00D1587D">
            <w:pPr>
              <w:rPr>
                <w:sz w:val="23"/>
                <w:szCs w:val="23"/>
              </w:rPr>
            </w:pPr>
          </w:p>
        </w:tc>
        <w:tc>
          <w:tcPr>
            <w:tcW w:w="0" w:type="dxa"/>
            <w:vAlign w:val="bottom"/>
          </w:tcPr>
          <w:p w14:paraId="6F9490F3" w14:textId="77777777" w:rsidR="00D1587D" w:rsidRDefault="00D1587D">
            <w:pPr>
              <w:rPr>
                <w:sz w:val="1"/>
                <w:szCs w:val="1"/>
              </w:rPr>
            </w:pPr>
          </w:p>
        </w:tc>
      </w:tr>
      <w:tr w:rsidR="00D1587D" w14:paraId="030E0540" w14:textId="77777777">
        <w:trPr>
          <w:trHeight w:val="54"/>
        </w:trPr>
        <w:tc>
          <w:tcPr>
            <w:tcW w:w="5620" w:type="dxa"/>
            <w:vAlign w:val="bottom"/>
          </w:tcPr>
          <w:p w14:paraId="0706C902" w14:textId="77777777" w:rsidR="00D1587D" w:rsidRDefault="00D1587D">
            <w:pPr>
              <w:rPr>
                <w:sz w:val="4"/>
                <w:szCs w:val="4"/>
              </w:rPr>
            </w:pPr>
          </w:p>
        </w:tc>
        <w:tc>
          <w:tcPr>
            <w:tcW w:w="180" w:type="dxa"/>
            <w:vAlign w:val="bottom"/>
          </w:tcPr>
          <w:p w14:paraId="2A5A1876" w14:textId="77777777" w:rsidR="00D1587D" w:rsidRDefault="00D1587D">
            <w:pPr>
              <w:rPr>
                <w:sz w:val="4"/>
                <w:szCs w:val="4"/>
              </w:rPr>
            </w:pPr>
          </w:p>
        </w:tc>
        <w:tc>
          <w:tcPr>
            <w:tcW w:w="440" w:type="dxa"/>
            <w:vAlign w:val="bottom"/>
          </w:tcPr>
          <w:p w14:paraId="5D692C53" w14:textId="77777777" w:rsidR="00D1587D" w:rsidRDefault="00D1587D">
            <w:pPr>
              <w:rPr>
                <w:sz w:val="4"/>
                <w:szCs w:val="4"/>
              </w:rPr>
            </w:pPr>
          </w:p>
        </w:tc>
        <w:tc>
          <w:tcPr>
            <w:tcW w:w="120" w:type="dxa"/>
            <w:vAlign w:val="bottom"/>
          </w:tcPr>
          <w:p w14:paraId="26D6549B" w14:textId="77777777" w:rsidR="00D1587D" w:rsidRDefault="00D1587D">
            <w:pPr>
              <w:rPr>
                <w:sz w:val="4"/>
                <w:szCs w:val="4"/>
              </w:rPr>
            </w:pPr>
          </w:p>
        </w:tc>
        <w:tc>
          <w:tcPr>
            <w:tcW w:w="440" w:type="dxa"/>
            <w:vAlign w:val="bottom"/>
          </w:tcPr>
          <w:p w14:paraId="077879BB" w14:textId="77777777" w:rsidR="00D1587D" w:rsidRDefault="00D1587D">
            <w:pPr>
              <w:rPr>
                <w:sz w:val="4"/>
                <w:szCs w:val="4"/>
              </w:rPr>
            </w:pPr>
          </w:p>
        </w:tc>
        <w:tc>
          <w:tcPr>
            <w:tcW w:w="480" w:type="dxa"/>
            <w:vAlign w:val="bottom"/>
          </w:tcPr>
          <w:p w14:paraId="33E2AFFC" w14:textId="77777777" w:rsidR="00D1587D" w:rsidRDefault="00D1587D">
            <w:pPr>
              <w:rPr>
                <w:sz w:val="4"/>
                <w:szCs w:val="4"/>
              </w:rPr>
            </w:pPr>
          </w:p>
        </w:tc>
        <w:tc>
          <w:tcPr>
            <w:tcW w:w="100" w:type="dxa"/>
            <w:vAlign w:val="bottom"/>
          </w:tcPr>
          <w:p w14:paraId="1A86211A" w14:textId="77777777" w:rsidR="00D1587D" w:rsidRDefault="00D1587D">
            <w:pPr>
              <w:rPr>
                <w:sz w:val="4"/>
                <w:szCs w:val="4"/>
              </w:rPr>
            </w:pPr>
          </w:p>
        </w:tc>
        <w:tc>
          <w:tcPr>
            <w:tcW w:w="140" w:type="dxa"/>
            <w:vAlign w:val="bottom"/>
          </w:tcPr>
          <w:p w14:paraId="26B0B205" w14:textId="77777777" w:rsidR="00D1587D" w:rsidRDefault="00D1587D">
            <w:pPr>
              <w:rPr>
                <w:sz w:val="4"/>
                <w:szCs w:val="4"/>
              </w:rPr>
            </w:pPr>
          </w:p>
        </w:tc>
        <w:tc>
          <w:tcPr>
            <w:tcW w:w="900" w:type="dxa"/>
            <w:vAlign w:val="bottom"/>
          </w:tcPr>
          <w:p w14:paraId="63AA3FE8" w14:textId="77777777" w:rsidR="00D1587D" w:rsidRDefault="00D1587D">
            <w:pPr>
              <w:rPr>
                <w:sz w:val="4"/>
                <w:szCs w:val="4"/>
              </w:rPr>
            </w:pPr>
          </w:p>
        </w:tc>
        <w:tc>
          <w:tcPr>
            <w:tcW w:w="0" w:type="dxa"/>
            <w:vAlign w:val="bottom"/>
          </w:tcPr>
          <w:p w14:paraId="15629C2C" w14:textId="77777777" w:rsidR="00D1587D" w:rsidRDefault="00D1587D">
            <w:pPr>
              <w:rPr>
                <w:sz w:val="1"/>
                <w:szCs w:val="1"/>
              </w:rPr>
            </w:pPr>
          </w:p>
        </w:tc>
      </w:tr>
      <w:tr w:rsidR="00D1587D" w14:paraId="01A6D380" w14:textId="77777777">
        <w:trPr>
          <w:trHeight w:val="270"/>
        </w:trPr>
        <w:tc>
          <w:tcPr>
            <w:tcW w:w="5620" w:type="dxa"/>
            <w:shd w:val="clear" w:color="auto" w:fill="CCEEFF"/>
            <w:vAlign w:val="bottom"/>
          </w:tcPr>
          <w:p w14:paraId="4BEC23BE" w14:textId="77777777" w:rsidR="00D1587D" w:rsidRDefault="00410D07">
            <w:pPr>
              <w:ind w:left="180"/>
              <w:rPr>
                <w:sz w:val="20"/>
                <w:szCs w:val="20"/>
              </w:rPr>
            </w:pPr>
            <w:r>
              <w:rPr>
                <w:rFonts w:ascii="Arial" w:eastAsia="Arial" w:hAnsi="Arial" w:cs="Arial"/>
                <w:sz w:val="18"/>
                <w:szCs w:val="18"/>
              </w:rPr>
              <w:t>Diluted</w:t>
            </w:r>
          </w:p>
        </w:tc>
        <w:tc>
          <w:tcPr>
            <w:tcW w:w="180" w:type="dxa"/>
            <w:shd w:val="clear" w:color="auto" w:fill="CCEEFF"/>
            <w:vAlign w:val="bottom"/>
          </w:tcPr>
          <w:p w14:paraId="3D241268" w14:textId="77777777" w:rsidR="00D1587D" w:rsidRDefault="00D1587D">
            <w:pPr>
              <w:rPr>
                <w:sz w:val="23"/>
                <w:szCs w:val="23"/>
              </w:rPr>
            </w:pPr>
          </w:p>
        </w:tc>
        <w:tc>
          <w:tcPr>
            <w:tcW w:w="440" w:type="dxa"/>
            <w:shd w:val="clear" w:color="auto" w:fill="CCEEFF"/>
            <w:vAlign w:val="bottom"/>
          </w:tcPr>
          <w:p w14:paraId="2BE2FD38" w14:textId="77777777" w:rsidR="00D1587D" w:rsidRDefault="00D1587D">
            <w:pPr>
              <w:rPr>
                <w:sz w:val="23"/>
                <w:szCs w:val="23"/>
              </w:rPr>
            </w:pPr>
          </w:p>
        </w:tc>
        <w:tc>
          <w:tcPr>
            <w:tcW w:w="120" w:type="dxa"/>
            <w:shd w:val="clear" w:color="auto" w:fill="CCEEFF"/>
            <w:vAlign w:val="bottom"/>
          </w:tcPr>
          <w:p w14:paraId="3E19143A" w14:textId="77777777" w:rsidR="00D1587D" w:rsidRDefault="00D1587D">
            <w:pPr>
              <w:rPr>
                <w:sz w:val="23"/>
                <w:szCs w:val="23"/>
              </w:rPr>
            </w:pPr>
          </w:p>
        </w:tc>
        <w:tc>
          <w:tcPr>
            <w:tcW w:w="440" w:type="dxa"/>
            <w:shd w:val="clear" w:color="auto" w:fill="CCEEFF"/>
            <w:vAlign w:val="bottom"/>
          </w:tcPr>
          <w:p w14:paraId="6329C877" w14:textId="77777777" w:rsidR="00D1587D" w:rsidRDefault="00D1587D">
            <w:pPr>
              <w:rPr>
                <w:sz w:val="23"/>
                <w:szCs w:val="23"/>
              </w:rPr>
            </w:pPr>
          </w:p>
        </w:tc>
        <w:tc>
          <w:tcPr>
            <w:tcW w:w="480" w:type="dxa"/>
            <w:shd w:val="clear" w:color="auto" w:fill="CCEEFF"/>
            <w:vAlign w:val="bottom"/>
          </w:tcPr>
          <w:p w14:paraId="54FC5D70" w14:textId="77777777" w:rsidR="00D1587D" w:rsidRDefault="00D1587D">
            <w:pPr>
              <w:rPr>
                <w:sz w:val="23"/>
                <w:szCs w:val="23"/>
              </w:rPr>
            </w:pPr>
          </w:p>
        </w:tc>
        <w:tc>
          <w:tcPr>
            <w:tcW w:w="100" w:type="dxa"/>
            <w:shd w:val="clear" w:color="auto" w:fill="CCEEFF"/>
            <w:vAlign w:val="bottom"/>
          </w:tcPr>
          <w:p w14:paraId="70997437" w14:textId="77777777" w:rsidR="00D1587D" w:rsidRDefault="00D1587D">
            <w:pPr>
              <w:rPr>
                <w:sz w:val="23"/>
                <w:szCs w:val="23"/>
              </w:rPr>
            </w:pPr>
          </w:p>
        </w:tc>
        <w:tc>
          <w:tcPr>
            <w:tcW w:w="140" w:type="dxa"/>
            <w:shd w:val="clear" w:color="auto" w:fill="CCEEFF"/>
            <w:vAlign w:val="bottom"/>
          </w:tcPr>
          <w:p w14:paraId="4A0C5CB6" w14:textId="77777777" w:rsidR="00D1587D" w:rsidRDefault="00D1587D">
            <w:pPr>
              <w:rPr>
                <w:sz w:val="23"/>
                <w:szCs w:val="23"/>
              </w:rPr>
            </w:pPr>
          </w:p>
        </w:tc>
        <w:tc>
          <w:tcPr>
            <w:tcW w:w="900" w:type="dxa"/>
            <w:shd w:val="clear" w:color="auto" w:fill="CCEEFF"/>
            <w:vAlign w:val="bottom"/>
          </w:tcPr>
          <w:p w14:paraId="574DA056" w14:textId="77777777" w:rsidR="00D1587D" w:rsidRDefault="00D1587D">
            <w:pPr>
              <w:rPr>
                <w:sz w:val="23"/>
                <w:szCs w:val="23"/>
              </w:rPr>
            </w:pPr>
          </w:p>
        </w:tc>
        <w:tc>
          <w:tcPr>
            <w:tcW w:w="0" w:type="dxa"/>
            <w:vAlign w:val="bottom"/>
          </w:tcPr>
          <w:p w14:paraId="580CE47F" w14:textId="77777777" w:rsidR="00D1587D" w:rsidRDefault="00D1587D">
            <w:pPr>
              <w:rPr>
                <w:sz w:val="1"/>
                <w:szCs w:val="1"/>
              </w:rPr>
            </w:pPr>
          </w:p>
        </w:tc>
      </w:tr>
      <w:tr w:rsidR="00D1587D" w14:paraId="3F120539" w14:textId="77777777">
        <w:trPr>
          <w:trHeight w:val="54"/>
        </w:trPr>
        <w:tc>
          <w:tcPr>
            <w:tcW w:w="5620" w:type="dxa"/>
            <w:shd w:val="clear" w:color="auto" w:fill="CCEEFF"/>
            <w:vAlign w:val="bottom"/>
          </w:tcPr>
          <w:p w14:paraId="780C9689" w14:textId="77777777" w:rsidR="00D1587D" w:rsidRDefault="00D1587D">
            <w:pPr>
              <w:rPr>
                <w:sz w:val="4"/>
                <w:szCs w:val="4"/>
              </w:rPr>
            </w:pPr>
          </w:p>
        </w:tc>
        <w:tc>
          <w:tcPr>
            <w:tcW w:w="180" w:type="dxa"/>
            <w:shd w:val="clear" w:color="auto" w:fill="CCEEFF"/>
            <w:vAlign w:val="bottom"/>
          </w:tcPr>
          <w:p w14:paraId="15F7F917" w14:textId="77777777" w:rsidR="00D1587D" w:rsidRDefault="00D1587D">
            <w:pPr>
              <w:rPr>
                <w:sz w:val="4"/>
                <w:szCs w:val="4"/>
              </w:rPr>
            </w:pPr>
          </w:p>
        </w:tc>
        <w:tc>
          <w:tcPr>
            <w:tcW w:w="440" w:type="dxa"/>
            <w:shd w:val="clear" w:color="auto" w:fill="CCEEFF"/>
            <w:vAlign w:val="bottom"/>
          </w:tcPr>
          <w:p w14:paraId="651B94FC" w14:textId="77777777" w:rsidR="00D1587D" w:rsidRDefault="00D1587D">
            <w:pPr>
              <w:rPr>
                <w:sz w:val="4"/>
                <w:szCs w:val="4"/>
              </w:rPr>
            </w:pPr>
          </w:p>
        </w:tc>
        <w:tc>
          <w:tcPr>
            <w:tcW w:w="120" w:type="dxa"/>
            <w:shd w:val="clear" w:color="auto" w:fill="CCEEFF"/>
            <w:vAlign w:val="bottom"/>
          </w:tcPr>
          <w:p w14:paraId="6E2F7923" w14:textId="77777777" w:rsidR="00D1587D" w:rsidRDefault="00D1587D">
            <w:pPr>
              <w:rPr>
                <w:sz w:val="4"/>
                <w:szCs w:val="4"/>
              </w:rPr>
            </w:pPr>
          </w:p>
        </w:tc>
        <w:tc>
          <w:tcPr>
            <w:tcW w:w="440" w:type="dxa"/>
            <w:shd w:val="clear" w:color="auto" w:fill="CCEEFF"/>
            <w:vAlign w:val="bottom"/>
          </w:tcPr>
          <w:p w14:paraId="2E471BA4" w14:textId="77777777" w:rsidR="00D1587D" w:rsidRDefault="00D1587D">
            <w:pPr>
              <w:rPr>
                <w:sz w:val="4"/>
                <w:szCs w:val="4"/>
              </w:rPr>
            </w:pPr>
          </w:p>
        </w:tc>
        <w:tc>
          <w:tcPr>
            <w:tcW w:w="480" w:type="dxa"/>
            <w:shd w:val="clear" w:color="auto" w:fill="CCEEFF"/>
            <w:vAlign w:val="bottom"/>
          </w:tcPr>
          <w:p w14:paraId="78FC3A04" w14:textId="77777777" w:rsidR="00D1587D" w:rsidRDefault="00D1587D">
            <w:pPr>
              <w:rPr>
                <w:sz w:val="4"/>
                <w:szCs w:val="4"/>
              </w:rPr>
            </w:pPr>
          </w:p>
        </w:tc>
        <w:tc>
          <w:tcPr>
            <w:tcW w:w="100" w:type="dxa"/>
            <w:shd w:val="clear" w:color="auto" w:fill="CCEEFF"/>
            <w:vAlign w:val="bottom"/>
          </w:tcPr>
          <w:p w14:paraId="7F4AAAAE" w14:textId="77777777" w:rsidR="00D1587D" w:rsidRDefault="00D1587D">
            <w:pPr>
              <w:rPr>
                <w:sz w:val="4"/>
                <w:szCs w:val="4"/>
              </w:rPr>
            </w:pPr>
          </w:p>
        </w:tc>
        <w:tc>
          <w:tcPr>
            <w:tcW w:w="140" w:type="dxa"/>
            <w:shd w:val="clear" w:color="auto" w:fill="CCEEFF"/>
            <w:vAlign w:val="bottom"/>
          </w:tcPr>
          <w:p w14:paraId="6E82BF88" w14:textId="77777777" w:rsidR="00D1587D" w:rsidRDefault="00D1587D">
            <w:pPr>
              <w:rPr>
                <w:sz w:val="4"/>
                <w:szCs w:val="4"/>
              </w:rPr>
            </w:pPr>
          </w:p>
        </w:tc>
        <w:tc>
          <w:tcPr>
            <w:tcW w:w="900" w:type="dxa"/>
            <w:shd w:val="clear" w:color="auto" w:fill="CCEEFF"/>
            <w:vAlign w:val="bottom"/>
          </w:tcPr>
          <w:p w14:paraId="28FABB05" w14:textId="77777777" w:rsidR="00D1587D" w:rsidRDefault="00D1587D">
            <w:pPr>
              <w:rPr>
                <w:sz w:val="4"/>
                <w:szCs w:val="4"/>
              </w:rPr>
            </w:pPr>
          </w:p>
        </w:tc>
        <w:tc>
          <w:tcPr>
            <w:tcW w:w="0" w:type="dxa"/>
            <w:vAlign w:val="bottom"/>
          </w:tcPr>
          <w:p w14:paraId="35E576F9" w14:textId="77777777" w:rsidR="00D1587D" w:rsidRDefault="00D1587D">
            <w:pPr>
              <w:rPr>
                <w:sz w:val="1"/>
                <w:szCs w:val="1"/>
              </w:rPr>
            </w:pPr>
          </w:p>
        </w:tc>
      </w:tr>
    </w:tbl>
    <w:p w14:paraId="315F4296" w14:textId="77777777" w:rsidR="00D1587D" w:rsidRDefault="00410D07">
      <w:pPr>
        <w:spacing w:line="20" w:lineRule="exact"/>
        <w:rPr>
          <w:sz w:val="20"/>
          <w:szCs w:val="20"/>
        </w:rPr>
      </w:pPr>
      <w:r>
        <w:rPr>
          <w:noProof/>
          <w:sz w:val="20"/>
          <w:szCs w:val="20"/>
        </w:rPr>
        <w:drawing>
          <wp:anchor distT="0" distB="0" distL="114300" distR="114300" simplePos="0" relativeHeight="251528192" behindDoc="1" locked="0" layoutInCell="0" allowOverlap="1" wp14:anchorId="00954EC0" wp14:editId="7AFACFE6">
            <wp:simplePos x="0" y="0"/>
            <wp:positionH relativeFrom="column">
              <wp:posOffset>3725545</wp:posOffset>
            </wp:positionH>
            <wp:positionV relativeFrom="paragraph">
              <wp:posOffset>-1276985</wp:posOffset>
            </wp:positionV>
            <wp:extent cx="34290" cy="8890"/>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5"/>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529216" behindDoc="1" locked="0" layoutInCell="0" allowOverlap="1" wp14:anchorId="03069495" wp14:editId="2E7ED80B">
            <wp:simplePos x="0" y="0"/>
            <wp:positionH relativeFrom="column">
              <wp:posOffset>4814570</wp:posOffset>
            </wp:positionH>
            <wp:positionV relativeFrom="paragraph">
              <wp:posOffset>-1542415</wp:posOffset>
            </wp:positionV>
            <wp:extent cx="68580" cy="8255"/>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30240" behindDoc="1" locked="0" layoutInCell="0" allowOverlap="1" wp14:anchorId="5332F584" wp14:editId="6501996D">
            <wp:simplePos x="0" y="0"/>
            <wp:positionH relativeFrom="column">
              <wp:posOffset>4154170</wp:posOffset>
            </wp:positionH>
            <wp:positionV relativeFrom="paragraph">
              <wp:posOffset>-1542415</wp:posOffset>
            </wp:positionV>
            <wp:extent cx="68580" cy="8255"/>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31264" behindDoc="1" locked="0" layoutInCell="0" allowOverlap="1" wp14:anchorId="0967C796" wp14:editId="6D6088ED">
            <wp:simplePos x="0" y="0"/>
            <wp:positionH relativeFrom="column">
              <wp:posOffset>3725545</wp:posOffset>
            </wp:positionH>
            <wp:positionV relativeFrom="paragraph">
              <wp:posOffset>-1542415</wp:posOffset>
            </wp:positionV>
            <wp:extent cx="34290" cy="8255"/>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32288" behindDoc="1" locked="0" layoutInCell="0" allowOverlap="1" wp14:anchorId="2B71D839" wp14:editId="4980BA61">
            <wp:simplePos x="0" y="0"/>
            <wp:positionH relativeFrom="column">
              <wp:posOffset>4814570</wp:posOffset>
            </wp:positionH>
            <wp:positionV relativeFrom="paragraph">
              <wp:posOffset>-1979295</wp:posOffset>
            </wp:positionV>
            <wp:extent cx="68580" cy="825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33312" behindDoc="1" locked="0" layoutInCell="0" allowOverlap="1" wp14:anchorId="6A7AF380" wp14:editId="09DC74A8">
            <wp:simplePos x="0" y="0"/>
            <wp:positionH relativeFrom="column">
              <wp:posOffset>4154170</wp:posOffset>
            </wp:positionH>
            <wp:positionV relativeFrom="paragraph">
              <wp:posOffset>-1979295</wp:posOffset>
            </wp:positionV>
            <wp:extent cx="68580" cy="8255"/>
            <wp:effectExtent l="0" t="0" r="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34336" behindDoc="1" locked="0" layoutInCell="0" allowOverlap="1" wp14:anchorId="69740DDF" wp14:editId="244510BC">
            <wp:simplePos x="0" y="0"/>
            <wp:positionH relativeFrom="column">
              <wp:posOffset>3725545</wp:posOffset>
            </wp:positionH>
            <wp:positionV relativeFrom="paragraph">
              <wp:posOffset>-1979295</wp:posOffset>
            </wp:positionV>
            <wp:extent cx="34290" cy="8255"/>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35360" behindDoc="1" locked="0" layoutInCell="0" allowOverlap="1" wp14:anchorId="089FC548" wp14:editId="74600B7B">
            <wp:simplePos x="0" y="0"/>
            <wp:positionH relativeFrom="column">
              <wp:posOffset>4814570</wp:posOffset>
            </wp:positionH>
            <wp:positionV relativeFrom="paragraph">
              <wp:posOffset>-2416810</wp:posOffset>
            </wp:positionV>
            <wp:extent cx="68580" cy="8255"/>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36384" behindDoc="1" locked="0" layoutInCell="0" allowOverlap="1" wp14:anchorId="23A573F5" wp14:editId="1D5E44AA">
            <wp:simplePos x="0" y="0"/>
            <wp:positionH relativeFrom="column">
              <wp:posOffset>4154170</wp:posOffset>
            </wp:positionH>
            <wp:positionV relativeFrom="paragraph">
              <wp:posOffset>-2416810</wp:posOffset>
            </wp:positionV>
            <wp:extent cx="68580" cy="8255"/>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37408" behindDoc="1" locked="0" layoutInCell="0" allowOverlap="1" wp14:anchorId="447CEC40" wp14:editId="07801976">
            <wp:simplePos x="0" y="0"/>
            <wp:positionH relativeFrom="column">
              <wp:posOffset>3725545</wp:posOffset>
            </wp:positionH>
            <wp:positionV relativeFrom="paragraph">
              <wp:posOffset>-2416810</wp:posOffset>
            </wp:positionV>
            <wp:extent cx="34290" cy="8255"/>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38432" behindDoc="1" locked="0" layoutInCell="0" allowOverlap="1" wp14:anchorId="585D7EE9" wp14:editId="15DA8F95">
            <wp:simplePos x="0" y="0"/>
            <wp:positionH relativeFrom="column">
              <wp:posOffset>4814570</wp:posOffset>
            </wp:positionH>
            <wp:positionV relativeFrom="paragraph">
              <wp:posOffset>-2853690</wp:posOffset>
            </wp:positionV>
            <wp:extent cx="68580" cy="8255"/>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39456" behindDoc="1" locked="0" layoutInCell="0" allowOverlap="1" wp14:anchorId="7CC2FFEC" wp14:editId="5FE0F4CC">
            <wp:simplePos x="0" y="0"/>
            <wp:positionH relativeFrom="column">
              <wp:posOffset>4154170</wp:posOffset>
            </wp:positionH>
            <wp:positionV relativeFrom="paragraph">
              <wp:posOffset>-2853690</wp:posOffset>
            </wp:positionV>
            <wp:extent cx="68580" cy="8255"/>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40480" behindDoc="1" locked="0" layoutInCell="0" allowOverlap="1" wp14:anchorId="541C1DE2" wp14:editId="55B356E5">
            <wp:simplePos x="0" y="0"/>
            <wp:positionH relativeFrom="column">
              <wp:posOffset>3725545</wp:posOffset>
            </wp:positionH>
            <wp:positionV relativeFrom="paragraph">
              <wp:posOffset>-2853690</wp:posOffset>
            </wp:positionV>
            <wp:extent cx="34290" cy="8255"/>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41504" behindDoc="1" locked="0" layoutInCell="0" allowOverlap="1" wp14:anchorId="5C196954" wp14:editId="55EAA90F">
            <wp:simplePos x="0" y="0"/>
            <wp:positionH relativeFrom="column">
              <wp:posOffset>4814570</wp:posOffset>
            </wp:positionH>
            <wp:positionV relativeFrom="paragraph">
              <wp:posOffset>-3291205</wp:posOffset>
            </wp:positionV>
            <wp:extent cx="68580" cy="8255"/>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42528" behindDoc="1" locked="0" layoutInCell="0" allowOverlap="1" wp14:anchorId="266493B8" wp14:editId="7B83C990">
            <wp:simplePos x="0" y="0"/>
            <wp:positionH relativeFrom="column">
              <wp:posOffset>4154170</wp:posOffset>
            </wp:positionH>
            <wp:positionV relativeFrom="paragraph">
              <wp:posOffset>-3291205</wp:posOffset>
            </wp:positionV>
            <wp:extent cx="68580" cy="8255"/>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543552" behindDoc="1" locked="0" layoutInCell="0" allowOverlap="1" wp14:anchorId="09D8A3B5" wp14:editId="570D1D1C">
            <wp:simplePos x="0" y="0"/>
            <wp:positionH relativeFrom="column">
              <wp:posOffset>3725545</wp:posOffset>
            </wp:positionH>
            <wp:positionV relativeFrom="paragraph">
              <wp:posOffset>-3291205</wp:posOffset>
            </wp:positionV>
            <wp:extent cx="34290" cy="8255"/>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544576" behindDoc="1" locked="0" layoutInCell="0" allowOverlap="1" wp14:anchorId="2D22AA84" wp14:editId="25F460A6">
            <wp:simplePos x="0" y="0"/>
            <wp:positionH relativeFrom="column">
              <wp:posOffset>185420</wp:posOffset>
            </wp:positionH>
            <wp:positionV relativeFrom="paragraph">
              <wp:posOffset>154305</wp:posOffset>
            </wp:positionV>
            <wp:extent cx="822960" cy="8890"/>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2E8A3708" w14:textId="77777777" w:rsidR="00D1587D" w:rsidRDefault="00D1587D">
      <w:pPr>
        <w:spacing w:line="272" w:lineRule="exact"/>
        <w:rPr>
          <w:sz w:val="20"/>
          <w:szCs w:val="20"/>
        </w:rPr>
      </w:pPr>
    </w:p>
    <w:p w14:paraId="076DECC6" w14:textId="77777777" w:rsidR="00D1587D" w:rsidRDefault="00410D07" w:rsidP="00410D07">
      <w:pPr>
        <w:numPr>
          <w:ilvl w:val="0"/>
          <w:numId w:val="273"/>
        </w:numPr>
        <w:tabs>
          <w:tab w:val="left" w:pos="640"/>
        </w:tabs>
        <w:ind w:left="640" w:hanging="348"/>
        <w:rPr>
          <w:rFonts w:ascii="Arial" w:eastAsia="Arial" w:hAnsi="Arial" w:cs="Arial"/>
          <w:sz w:val="14"/>
          <w:szCs w:val="14"/>
        </w:rPr>
      </w:pPr>
      <w:r>
        <w:rPr>
          <w:rFonts w:ascii="Arial" w:eastAsia="Arial" w:hAnsi="Arial" w:cs="Arial"/>
          <w:sz w:val="14"/>
          <w:szCs w:val="14"/>
        </w:rPr>
        <w:t>The change in our cost structure related to becoming an independent, publicly traded company is not reflected above.</w:t>
      </w:r>
    </w:p>
    <w:p w14:paraId="1F212A9E" w14:textId="77777777" w:rsidR="00D1587D" w:rsidRDefault="00D1587D">
      <w:pPr>
        <w:spacing w:line="208" w:lineRule="exact"/>
        <w:rPr>
          <w:sz w:val="20"/>
          <w:szCs w:val="20"/>
        </w:rPr>
      </w:pPr>
    </w:p>
    <w:p w14:paraId="566CBC33" w14:textId="77777777" w:rsidR="00D1587D" w:rsidRDefault="00410D07">
      <w:pPr>
        <w:jc w:val="center"/>
        <w:rPr>
          <w:sz w:val="20"/>
          <w:szCs w:val="20"/>
        </w:rPr>
      </w:pPr>
      <w:r>
        <w:rPr>
          <w:rFonts w:ascii="Arial" w:eastAsia="Arial" w:hAnsi="Arial" w:cs="Arial"/>
          <w:sz w:val="18"/>
          <w:szCs w:val="18"/>
        </w:rPr>
        <w:t xml:space="preserve">See Notes to </w:t>
      </w:r>
      <w:r>
        <w:rPr>
          <w:rFonts w:ascii="Arial" w:eastAsia="Arial" w:hAnsi="Arial" w:cs="Arial"/>
          <w:sz w:val="18"/>
          <w:szCs w:val="18"/>
        </w:rPr>
        <w:t>Unaudited Pro Forma Combined Financial Statements.</w:t>
      </w:r>
    </w:p>
    <w:p w14:paraId="247CD156" w14:textId="77777777" w:rsidR="00D1587D" w:rsidRDefault="00D1587D">
      <w:pPr>
        <w:spacing w:line="225" w:lineRule="exact"/>
        <w:rPr>
          <w:sz w:val="20"/>
          <w:szCs w:val="20"/>
        </w:rPr>
      </w:pPr>
    </w:p>
    <w:p w14:paraId="63779DCB" w14:textId="77777777" w:rsidR="00D1587D" w:rsidRDefault="00410D07">
      <w:pPr>
        <w:jc w:val="center"/>
        <w:rPr>
          <w:sz w:val="20"/>
          <w:szCs w:val="20"/>
        </w:rPr>
      </w:pPr>
      <w:r>
        <w:rPr>
          <w:rFonts w:ascii="Arial" w:eastAsia="Arial" w:hAnsi="Arial" w:cs="Arial"/>
          <w:sz w:val="18"/>
          <w:szCs w:val="18"/>
        </w:rPr>
        <w:t>58</w:t>
      </w:r>
    </w:p>
    <w:p w14:paraId="7EED4E82" w14:textId="77777777" w:rsidR="00D1587D" w:rsidRDefault="00410D07">
      <w:pPr>
        <w:spacing w:line="20" w:lineRule="exact"/>
        <w:rPr>
          <w:sz w:val="20"/>
          <w:szCs w:val="20"/>
        </w:rPr>
      </w:pPr>
      <w:r>
        <w:rPr>
          <w:noProof/>
          <w:sz w:val="20"/>
          <w:szCs w:val="20"/>
        </w:rPr>
        <w:drawing>
          <wp:anchor distT="0" distB="0" distL="114300" distR="114300" simplePos="0" relativeHeight="251545600" behindDoc="1" locked="0" layoutInCell="0" allowOverlap="1" wp14:anchorId="2B2C79DA" wp14:editId="644B66DA">
            <wp:simplePos x="0" y="0"/>
            <wp:positionH relativeFrom="column">
              <wp:posOffset>-636905</wp:posOffset>
            </wp:positionH>
            <wp:positionV relativeFrom="paragraph">
              <wp:posOffset>126365</wp:posOffset>
            </wp:positionV>
            <wp:extent cx="6995160" cy="17145"/>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0E9C24A" w14:textId="77777777" w:rsidR="00D1587D" w:rsidRDefault="00D1587D">
      <w:pPr>
        <w:sectPr w:rsidR="00D1587D">
          <w:pgSz w:w="11900" w:h="16838"/>
          <w:pgMar w:top="265" w:right="1440" w:bottom="1440" w:left="1440" w:header="0" w:footer="0" w:gutter="0"/>
          <w:cols w:space="720" w:equalWidth="0">
            <w:col w:w="9019"/>
          </w:cols>
        </w:sectPr>
      </w:pPr>
    </w:p>
    <w:bookmarkStart w:id="316" w:name="page317"/>
    <w:bookmarkEnd w:id="316"/>
    <w:p w14:paraId="52CF94D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08D8447" w14:textId="77777777" w:rsidR="00D1587D" w:rsidRDefault="00D1587D">
      <w:pPr>
        <w:spacing w:line="127" w:lineRule="exact"/>
        <w:rPr>
          <w:sz w:val="20"/>
          <w:szCs w:val="20"/>
        </w:rPr>
      </w:pPr>
    </w:p>
    <w:p w14:paraId="5018438D" w14:textId="77777777" w:rsidR="00D1587D" w:rsidRDefault="00410D07">
      <w:pPr>
        <w:jc w:val="center"/>
        <w:rPr>
          <w:sz w:val="20"/>
          <w:szCs w:val="20"/>
        </w:rPr>
      </w:pPr>
      <w:r>
        <w:rPr>
          <w:rFonts w:ascii="Arial" w:eastAsia="Arial" w:hAnsi="Arial" w:cs="Arial"/>
          <w:b/>
          <w:bCs/>
          <w:sz w:val="18"/>
          <w:szCs w:val="18"/>
        </w:rPr>
        <w:t>Victoria’s Secret &amp; Co.</w:t>
      </w:r>
    </w:p>
    <w:p w14:paraId="4DE4550F" w14:textId="77777777" w:rsidR="00D1587D" w:rsidRDefault="00D1587D">
      <w:pPr>
        <w:spacing w:line="27" w:lineRule="exact"/>
        <w:rPr>
          <w:sz w:val="20"/>
          <w:szCs w:val="20"/>
        </w:rPr>
      </w:pPr>
    </w:p>
    <w:p w14:paraId="4BA007C6" w14:textId="77777777" w:rsidR="00D1587D" w:rsidRDefault="00410D07">
      <w:pPr>
        <w:ind w:right="39"/>
        <w:jc w:val="center"/>
        <w:rPr>
          <w:sz w:val="20"/>
          <w:szCs w:val="20"/>
        </w:rPr>
      </w:pPr>
      <w:r>
        <w:rPr>
          <w:rFonts w:ascii="Arial" w:eastAsia="Arial" w:hAnsi="Arial" w:cs="Arial"/>
          <w:b/>
          <w:bCs/>
          <w:sz w:val="18"/>
          <w:szCs w:val="18"/>
        </w:rPr>
        <w:t>Unaudited Pro Forma Combined Statement of Loss</w:t>
      </w:r>
    </w:p>
    <w:p w14:paraId="55572346" w14:textId="77777777" w:rsidR="00D1587D" w:rsidRDefault="00D1587D">
      <w:pPr>
        <w:spacing w:line="9" w:lineRule="exact"/>
        <w:rPr>
          <w:sz w:val="20"/>
          <w:szCs w:val="20"/>
        </w:rPr>
      </w:pPr>
    </w:p>
    <w:p w14:paraId="0AF1274C" w14:textId="77777777" w:rsidR="00D1587D" w:rsidRDefault="00410D07">
      <w:pPr>
        <w:jc w:val="center"/>
        <w:rPr>
          <w:sz w:val="20"/>
          <w:szCs w:val="20"/>
        </w:rPr>
      </w:pPr>
      <w:r>
        <w:rPr>
          <w:rFonts w:ascii="Arial" w:eastAsia="Arial" w:hAnsi="Arial" w:cs="Arial"/>
          <w:b/>
          <w:bCs/>
          <w:sz w:val="18"/>
          <w:szCs w:val="18"/>
        </w:rPr>
        <w:t>Year Ended January 30, 2021</w:t>
      </w:r>
    </w:p>
    <w:p w14:paraId="607D538B" w14:textId="77777777" w:rsidR="00D1587D" w:rsidRDefault="00D1587D">
      <w:pPr>
        <w:spacing w:line="9" w:lineRule="exact"/>
        <w:rPr>
          <w:sz w:val="20"/>
          <w:szCs w:val="20"/>
        </w:rPr>
      </w:pPr>
    </w:p>
    <w:p w14:paraId="42FAD988" w14:textId="77777777" w:rsidR="00D1587D" w:rsidRDefault="00410D07">
      <w:pPr>
        <w:jc w:val="center"/>
        <w:rPr>
          <w:sz w:val="20"/>
          <w:szCs w:val="20"/>
        </w:rPr>
      </w:pPr>
      <w:r>
        <w:rPr>
          <w:rFonts w:ascii="Arial" w:eastAsia="Arial" w:hAnsi="Arial" w:cs="Arial"/>
          <w:b/>
          <w:bCs/>
          <w:sz w:val="18"/>
          <w:szCs w:val="18"/>
        </w:rPr>
        <w:t xml:space="preserve">(in millions, except per </w:t>
      </w:r>
      <w:r>
        <w:rPr>
          <w:rFonts w:ascii="Arial" w:eastAsia="Arial" w:hAnsi="Arial" w:cs="Arial"/>
          <w:b/>
          <w:bCs/>
          <w:sz w:val="18"/>
          <w:szCs w:val="18"/>
        </w:rPr>
        <w:t>share amounts)</w:t>
      </w:r>
    </w:p>
    <w:p w14:paraId="2C780EAC" w14:textId="77777777" w:rsidR="00D1587D" w:rsidRDefault="00D1587D">
      <w:pPr>
        <w:spacing w:line="15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680"/>
        <w:gridCol w:w="80"/>
        <w:gridCol w:w="160"/>
        <w:gridCol w:w="500"/>
        <w:gridCol w:w="180"/>
        <w:gridCol w:w="360"/>
        <w:gridCol w:w="580"/>
        <w:gridCol w:w="180"/>
        <w:gridCol w:w="180"/>
        <w:gridCol w:w="520"/>
        <w:gridCol w:w="20"/>
      </w:tblGrid>
      <w:tr w:rsidR="00D1587D" w14:paraId="7A8A4A4A" w14:textId="77777777">
        <w:trPr>
          <w:trHeight w:val="161"/>
        </w:trPr>
        <w:tc>
          <w:tcPr>
            <w:tcW w:w="5680" w:type="dxa"/>
            <w:vAlign w:val="bottom"/>
          </w:tcPr>
          <w:p w14:paraId="14D7B547" w14:textId="77777777" w:rsidR="00D1587D" w:rsidRDefault="00D1587D">
            <w:pPr>
              <w:rPr>
                <w:sz w:val="14"/>
                <w:szCs w:val="14"/>
              </w:rPr>
            </w:pPr>
          </w:p>
        </w:tc>
        <w:tc>
          <w:tcPr>
            <w:tcW w:w="80" w:type="dxa"/>
            <w:vAlign w:val="bottom"/>
          </w:tcPr>
          <w:p w14:paraId="325221A3" w14:textId="77777777" w:rsidR="00D1587D" w:rsidRDefault="00D1587D">
            <w:pPr>
              <w:rPr>
                <w:sz w:val="14"/>
                <w:szCs w:val="14"/>
              </w:rPr>
            </w:pPr>
          </w:p>
        </w:tc>
        <w:tc>
          <w:tcPr>
            <w:tcW w:w="660" w:type="dxa"/>
            <w:gridSpan w:val="2"/>
            <w:vMerge w:val="restart"/>
            <w:vAlign w:val="bottom"/>
          </w:tcPr>
          <w:p w14:paraId="13E13093" w14:textId="77777777" w:rsidR="00D1587D" w:rsidRDefault="00410D07">
            <w:pPr>
              <w:ind w:left="40"/>
              <w:rPr>
                <w:sz w:val="20"/>
                <w:szCs w:val="20"/>
              </w:rPr>
            </w:pPr>
            <w:r>
              <w:rPr>
                <w:rFonts w:ascii="Arial" w:eastAsia="Arial" w:hAnsi="Arial" w:cs="Arial"/>
                <w:b/>
                <w:bCs/>
                <w:w w:val="93"/>
                <w:sz w:val="14"/>
                <w:szCs w:val="14"/>
              </w:rPr>
              <w:t>Historical</w:t>
            </w:r>
          </w:p>
        </w:tc>
        <w:tc>
          <w:tcPr>
            <w:tcW w:w="180" w:type="dxa"/>
            <w:vMerge w:val="restart"/>
            <w:vAlign w:val="bottom"/>
          </w:tcPr>
          <w:p w14:paraId="41114062" w14:textId="77777777" w:rsidR="00D1587D" w:rsidRDefault="00D1587D">
            <w:pPr>
              <w:rPr>
                <w:sz w:val="14"/>
                <w:szCs w:val="14"/>
              </w:rPr>
            </w:pPr>
          </w:p>
        </w:tc>
        <w:tc>
          <w:tcPr>
            <w:tcW w:w="1120" w:type="dxa"/>
            <w:gridSpan w:val="3"/>
            <w:vAlign w:val="bottom"/>
          </w:tcPr>
          <w:p w14:paraId="4DDFC64B" w14:textId="77777777" w:rsidR="00D1587D" w:rsidRDefault="00410D07">
            <w:pPr>
              <w:ind w:left="120"/>
              <w:rPr>
                <w:sz w:val="20"/>
                <w:szCs w:val="20"/>
              </w:rPr>
            </w:pPr>
            <w:r>
              <w:rPr>
                <w:rFonts w:ascii="Arial" w:eastAsia="Arial" w:hAnsi="Arial" w:cs="Arial"/>
                <w:b/>
                <w:bCs/>
                <w:sz w:val="14"/>
                <w:szCs w:val="14"/>
              </w:rPr>
              <w:t>Pro Forma</w:t>
            </w:r>
          </w:p>
        </w:tc>
        <w:tc>
          <w:tcPr>
            <w:tcW w:w="700" w:type="dxa"/>
            <w:gridSpan w:val="2"/>
            <w:vMerge w:val="restart"/>
            <w:vAlign w:val="bottom"/>
          </w:tcPr>
          <w:p w14:paraId="1CC70B28" w14:textId="77777777" w:rsidR="00D1587D" w:rsidRDefault="00410D07">
            <w:pPr>
              <w:jc w:val="right"/>
              <w:rPr>
                <w:sz w:val="20"/>
                <w:szCs w:val="20"/>
              </w:rPr>
            </w:pPr>
            <w:r>
              <w:rPr>
                <w:rFonts w:ascii="Arial" w:eastAsia="Arial" w:hAnsi="Arial" w:cs="Arial"/>
                <w:b/>
                <w:bCs/>
                <w:w w:val="94"/>
                <w:sz w:val="14"/>
                <w:szCs w:val="14"/>
              </w:rPr>
              <w:t>Pro Forma</w:t>
            </w:r>
          </w:p>
        </w:tc>
        <w:tc>
          <w:tcPr>
            <w:tcW w:w="0" w:type="dxa"/>
            <w:vAlign w:val="bottom"/>
          </w:tcPr>
          <w:p w14:paraId="1B03C431" w14:textId="77777777" w:rsidR="00D1587D" w:rsidRDefault="00D1587D">
            <w:pPr>
              <w:rPr>
                <w:sz w:val="1"/>
                <w:szCs w:val="1"/>
              </w:rPr>
            </w:pPr>
          </w:p>
        </w:tc>
      </w:tr>
      <w:tr w:rsidR="00D1587D" w14:paraId="660AE30A" w14:textId="77777777">
        <w:trPr>
          <w:trHeight w:val="242"/>
        </w:trPr>
        <w:tc>
          <w:tcPr>
            <w:tcW w:w="5680" w:type="dxa"/>
            <w:tcBorders>
              <w:bottom w:val="single" w:sz="8" w:space="0" w:color="CCEEFF"/>
            </w:tcBorders>
            <w:vAlign w:val="bottom"/>
          </w:tcPr>
          <w:p w14:paraId="2650E575" w14:textId="77777777" w:rsidR="00D1587D" w:rsidRDefault="00D1587D">
            <w:pPr>
              <w:rPr>
                <w:sz w:val="21"/>
                <w:szCs w:val="21"/>
              </w:rPr>
            </w:pPr>
          </w:p>
        </w:tc>
        <w:tc>
          <w:tcPr>
            <w:tcW w:w="80" w:type="dxa"/>
            <w:tcBorders>
              <w:bottom w:val="single" w:sz="8" w:space="0" w:color="CCEEFF"/>
            </w:tcBorders>
            <w:vAlign w:val="bottom"/>
          </w:tcPr>
          <w:p w14:paraId="087F74A0" w14:textId="77777777" w:rsidR="00D1587D" w:rsidRDefault="00D1587D">
            <w:pPr>
              <w:rPr>
                <w:sz w:val="21"/>
                <w:szCs w:val="21"/>
              </w:rPr>
            </w:pPr>
          </w:p>
        </w:tc>
        <w:tc>
          <w:tcPr>
            <w:tcW w:w="660" w:type="dxa"/>
            <w:gridSpan w:val="2"/>
            <w:vMerge/>
            <w:tcBorders>
              <w:bottom w:val="single" w:sz="8" w:space="0" w:color="auto"/>
            </w:tcBorders>
            <w:vAlign w:val="bottom"/>
          </w:tcPr>
          <w:p w14:paraId="1CA9DDAB" w14:textId="77777777" w:rsidR="00D1587D" w:rsidRDefault="00D1587D">
            <w:pPr>
              <w:rPr>
                <w:sz w:val="21"/>
                <w:szCs w:val="21"/>
              </w:rPr>
            </w:pPr>
          </w:p>
        </w:tc>
        <w:tc>
          <w:tcPr>
            <w:tcW w:w="180" w:type="dxa"/>
            <w:vMerge/>
            <w:tcBorders>
              <w:bottom w:val="single" w:sz="8" w:space="0" w:color="CCEEFF"/>
            </w:tcBorders>
            <w:vAlign w:val="bottom"/>
          </w:tcPr>
          <w:p w14:paraId="3BA99DCC" w14:textId="77777777" w:rsidR="00D1587D" w:rsidRDefault="00D1587D">
            <w:pPr>
              <w:rPr>
                <w:sz w:val="21"/>
                <w:szCs w:val="21"/>
              </w:rPr>
            </w:pPr>
          </w:p>
        </w:tc>
        <w:tc>
          <w:tcPr>
            <w:tcW w:w="940" w:type="dxa"/>
            <w:gridSpan w:val="2"/>
            <w:tcBorders>
              <w:bottom w:val="single" w:sz="8" w:space="0" w:color="auto"/>
            </w:tcBorders>
            <w:vAlign w:val="bottom"/>
          </w:tcPr>
          <w:p w14:paraId="7517692F" w14:textId="77777777" w:rsidR="00D1587D" w:rsidRDefault="00410D07">
            <w:pPr>
              <w:spacing w:line="242" w:lineRule="exact"/>
              <w:jc w:val="right"/>
              <w:rPr>
                <w:sz w:val="20"/>
                <w:szCs w:val="20"/>
              </w:rPr>
            </w:pPr>
            <w:r>
              <w:rPr>
                <w:rFonts w:ascii="Arial" w:eastAsia="Arial" w:hAnsi="Arial" w:cs="Arial"/>
                <w:b/>
                <w:bCs/>
                <w:w w:val="88"/>
                <w:sz w:val="14"/>
                <w:szCs w:val="14"/>
              </w:rPr>
              <w:t>Adjustments</w:t>
            </w:r>
            <w:r>
              <w:rPr>
                <w:rFonts w:ascii="Arial" w:eastAsia="Arial" w:hAnsi="Arial" w:cs="Arial"/>
                <w:b/>
                <w:bCs/>
                <w:w w:val="88"/>
                <w:sz w:val="23"/>
                <w:szCs w:val="23"/>
                <w:vertAlign w:val="superscript"/>
              </w:rPr>
              <w:t>(1)</w:t>
            </w:r>
          </w:p>
        </w:tc>
        <w:tc>
          <w:tcPr>
            <w:tcW w:w="180" w:type="dxa"/>
            <w:tcBorders>
              <w:bottom w:val="single" w:sz="8" w:space="0" w:color="CCEEFF"/>
            </w:tcBorders>
            <w:vAlign w:val="bottom"/>
          </w:tcPr>
          <w:p w14:paraId="1E2B1441" w14:textId="77777777" w:rsidR="00D1587D" w:rsidRDefault="00D1587D">
            <w:pPr>
              <w:rPr>
                <w:sz w:val="21"/>
                <w:szCs w:val="21"/>
              </w:rPr>
            </w:pPr>
          </w:p>
        </w:tc>
        <w:tc>
          <w:tcPr>
            <w:tcW w:w="700" w:type="dxa"/>
            <w:gridSpan w:val="2"/>
            <w:vMerge/>
            <w:tcBorders>
              <w:bottom w:val="single" w:sz="8" w:space="0" w:color="auto"/>
            </w:tcBorders>
            <w:vAlign w:val="bottom"/>
          </w:tcPr>
          <w:p w14:paraId="75B4D5E8" w14:textId="77777777" w:rsidR="00D1587D" w:rsidRDefault="00D1587D">
            <w:pPr>
              <w:rPr>
                <w:sz w:val="21"/>
                <w:szCs w:val="21"/>
              </w:rPr>
            </w:pPr>
          </w:p>
        </w:tc>
        <w:tc>
          <w:tcPr>
            <w:tcW w:w="0" w:type="dxa"/>
            <w:vAlign w:val="bottom"/>
          </w:tcPr>
          <w:p w14:paraId="357F0C62" w14:textId="77777777" w:rsidR="00D1587D" w:rsidRDefault="00D1587D">
            <w:pPr>
              <w:rPr>
                <w:sz w:val="1"/>
                <w:szCs w:val="1"/>
              </w:rPr>
            </w:pPr>
          </w:p>
        </w:tc>
      </w:tr>
      <w:tr w:rsidR="00D1587D" w14:paraId="3B2087EE" w14:textId="77777777">
        <w:trPr>
          <w:trHeight w:val="311"/>
        </w:trPr>
        <w:tc>
          <w:tcPr>
            <w:tcW w:w="5760" w:type="dxa"/>
            <w:gridSpan w:val="2"/>
            <w:tcBorders>
              <w:bottom w:val="single" w:sz="8" w:space="0" w:color="CCEEFF"/>
            </w:tcBorders>
            <w:shd w:val="clear" w:color="auto" w:fill="CCEEFF"/>
            <w:vAlign w:val="bottom"/>
          </w:tcPr>
          <w:p w14:paraId="4AB4F5DC" w14:textId="77777777" w:rsidR="00D1587D" w:rsidRDefault="00410D07">
            <w:pPr>
              <w:rPr>
                <w:sz w:val="20"/>
                <w:szCs w:val="20"/>
              </w:rPr>
            </w:pPr>
            <w:r>
              <w:rPr>
                <w:rFonts w:ascii="Arial" w:eastAsia="Arial" w:hAnsi="Arial" w:cs="Arial"/>
                <w:sz w:val="18"/>
                <w:szCs w:val="18"/>
              </w:rPr>
              <w:t>Net Sales</w:t>
            </w:r>
          </w:p>
        </w:tc>
        <w:tc>
          <w:tcPr>
            <w:tcW w:w="160" w:type="dxa"/>
            <w:tcBorders>
              <w:bottom w:val="single" w:sz="8" w:space="0" w:color="CCEEFF"/>
            </w:tcBorders>
            <w:shd w:val="clear" w:color="auto" w:fill="CCEEFF"/>
            <w:vAlign w:val="bottom"/>
          </w:tcPr>
          <w:p w14:paraId="1B48E319" w14:textId="77777777" w:rsidR="00D1587D" w:rsidRDefault="00410D07">
            <w:pPr>
              <w:ind w:left="40"/>
              <w:rPr>
                <w:sz w:val="20"/>
                <w:szCs w:val="20"/>
              </w:rPr>
            </w:pPr>
            <w:r>
              <w:rPr>
                <w:rFonts w:ascii="Arial" w:eastAsia="Arial" w:hAnsi="Arial" w:cs="Arial"/>
                <w:w w:val="99"/>
                <w:sz w:val="18"/>
                <w:szCs w:val="18"/>
              </w:rPr>
              <w:t>$</w:t>
            </w:r>
          </w:p>
        </w:tc>
        <w:tc>
          <w:tcPr>
            <w:tcW w:w="500" w:type="dxa"/>
            <w:tcBorders>
              <w:bottom w:val="single" w:sz="8" w:space="0" w:color="CCEEFF"/>
            </w:tcBorders>
            <w:shd w:val="clear" w:color="auto" w:fill="CCEEFF"/>
            <w:vAlign w:val="bottom"/>
          </w:tcPr>
          <w:p w14:paraId="563CF851" w14:textId="77777777" w:rsidR="00D1587D" w:rsidRDefault="00410D07">
            <w:pPr>
              <w:jc w:val="right"/>
              <w:rPr>
                <w:sz w:val="20"/>
                <w:szCs w:val="20"/>
              </w:rPr>
            </w:pPr>
            <w:r>
              <w:rPr>
                <w:rFonts w:ascii="Arial" w:eastAsia="Arial" w:hAnsi="Arial" w:cs="Arial"/>
                <w:w w:val="88"/>
                <w:sz w:val="18"/>
                <w:szCs w:val="18"/>
              </w:rPr>
              <w:t>5,413</w:t>
            </w:r>
          </w:p>
        </w:tc>
        <w:tc>
          <w:tcPr>
            <w:tcW w:w="180" w:type="dxa"/>
            <w:tcBorders>
              <w:bottom w:val="single" w:sz="8" w:space="0" w:color="CCEEFF"/>
            </w:tcBorders>
            <w:shd w:val="clear" w:color="auto" w:fill="CCEEFF"/>
            <w:vAlign w:val="bottom"/>
          </w:tcPr>
          <w:p w14:paraId="7C0F2B24" w14:textId="77777777" w:rsidR="00D1587D" w:rsidRDefault="00D1587D">
            <w:pPr>
              <w:rPr>
                <w:sz w:val="24"/>
                <w:szCs w:val="24"/>
              </w:rPr>
            </w:pPr>
          </w:p>
        </w:tc>
        <w:tc>
          <w:tcPr>
            <w:tcW w:w="360" w:type="dxa"/>
            <w:tcBorders>
              <w:bottom w:val="single" w:sz="8" w:space="0" w:color="CCEEFF"/>
            </w:tcBorders>
            <w:shd w:val="clear" w:color="auto" w:fill="CCEEFF"/>
            <w:vAlign w:val="bottom"/>
          </w:tcPr>
          <w:p w14:paraId="6CF6FD9C" w14:textId="77777777" w:rsidR="00D1587D" w:rsidRDefault="00410D07">
            <w:pPr>
              <w:ind w:left="120"/>
              <w:rPr>
                <w:sz w:val="20"/>
                <w:szCs w:val="20"/>
              </w:rPr>
            </w:pPr>
            <w:r>
              <w:rPr>
                <w:rFonts w:ascii="Arial" w:eastAsia="Arial" w:hAnsi="Arial" w:cs="Arial"/>
                <w:sz w:val="18"/>
                <w:szCs w:val="18"/>
              </w:rPr>
              <w:t>$</w:t>
            </w:r>
          </w:p>
        </w:tc>
        <w:tc>
          <w:tcPr>
            <w:tcW w:w="760" w:type="dxa"/>
            <w:gridSpan w:val="2"/>
            <w:tcBorders>
              <w:bottom w:val="single" w:sz="8" w:space="0" w:color="CCEEFF"/>
            </w:tcBorders>
            <w:shd w:val="clear" w:color="auto" w:fill="CCEEFF"/>
            <w:vAlign w:val="bottom"/>
          </w:tcPr>
          <w:p w14:paraId="5A6C3B7D" w14:textId="77777777" w:rsidR="00D1587D" w:rsidRDefault="00410D07">
            <w:pPr>
              <w:ind w:right="180"/>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053300F5" w14:textId="77777777" w:rsidR="00D1587D" w:rsidRDefault="00410D07">
            <w:pPr>
              <w:jc w:val="right"/>
              <w:rPr>
                <w:sz w:val="20"/>
                <w:szCs w:val="20"/>
              </w:rPr>
            </w:pPr>
            <w:r>
              <w:rPr>
                <w:rFonts w:ascii="Arial" w:eastAsia="Arial" w:hAnsi="Arial" w:cs="Arial"/>
                <w:sz w:val="18"/>
                <w:szCs w:val="18"/>
              </w:rPr>
              <w:t>$</w:t>
            </w:r>
          </w:p>
        </w:tc>
        <w:tc>
          <w:tcPr>
            <w:tcW w:w="520" w:type="dxa"/>
            <w:tcBorders>
              <w:bottom w:val="single" w:sz="8" w:space="0" w:color="CCEEFF"/>
            </w:tcBorders>
            <w:shd w:val="clear" w:color="auto" w:fill="CCEEFF"/>
            <w:vAlign w:val="bottom"/>
          </w:tcPr>
          <w:p w14:paraId="10B8629E" w14:textId="77777777" w:rsidR="00D1587D" w:rsidRDefault="00410D07">
            <w:pPr>
              <w:jc w:val="right"/>
              <w:rPr>
                <w:sz w:val="20"/>
                <w:szCs w:val="20"/>
              </w:rPr>
            </w:pPr>
            <w:r>
              <w:rPr>
                <w:rFonts w:ascii="Arial" w:eastAsia="Arial" w:hAnsi="Arial" w:cs="Arial"/>
                <w:w w:val="93"/>
                <w:sz w:val="18"/>
                <w:szCs w:val="18"/>
              </w:rPr>
              <w:t>5,413</w:t>
            </w:r>
          </w:p>
        </w:tc>
        <w:tc>
          <w:tcPr>
            <w:tcW w:w="0" w:type="dxa"/>
            <w:vAlign w:val="bottom"/>
          </w:tcPr>
          <w:p w14:paraId="0CABEFF0" w14:textId="77777777" w:rsidR="00D1587D" w:rsidRDefault="00D1587D">
            <w:pPr>
              <w:rPr>
                <w:sz w:val="1"/>
                <w:szCs w:val="1"/>
              </w:rPr>
            </w:pPr>
          </w:p>
        </w:tc>
      </w:tr>
      <w:tr w:rsidR="00D1587D" w14:paraId="4598A0AE" w14:textId="77777777">
        <w:trPr>
          <w:trHeight w:val="270"/>
        </w:trPr>
        <w:tc>
          <w:tcPr>
            <w:tcW w:w="5760" w:type="dxa"/>
            <w:gridSpan w:val="2"/>
            <w:vAlign w:val="bottom"/>
          </w:tcPr>
          <w:p w14:paraId="6A0B82B6" w14:textId="77777777" w:rsidR="00D1587D" w:rsidRDefault="00410D07">
            <w:pPr>
              <w:rPr>
                <w:sz w:val="20"/>
                <w:szCs w:val="20"/>
              </w:rPr>
            </w:pPr>
            <w:r>
              <w:rPr>
                <w:rFonts w:ascii="Arial" w:eastAsia="Arial" w:hAnsi="Arial" w:cs="Arial"/>
                <w:sz w:val="18"/>
                <w:szCs w:val="18"/>
              </w:rPr>
              <w:t>Costs of Goods Sold, Buying and Occupancy</w:t>
            </w:r>
          </w:p>
        </w:tc>
        <w:tc>
          <w:tcPr>
            <w:tcW w:w="660" w:type="dxa"/>
            <w:gridSpan w:val="2"/>
            <w:vAlign w:val="bottom"/>
          </w:tcPr>
          <w:p w14:paraId="56A2645F" w14:textId="77777777" w:rsidR="00D1587D" w:rsidRDefault="00410D07">
            <w:pPr>
              <w:jc w:val="right"/>
              <w:rPr>
                <w:sz w:val="20"/>
                <w:szCs w:val="20"/>
              </w:rPr>
            </w:pPr>
            <w:r>
              <w:rPr>
                <w:rFonts w:ascii="Arial" w:eastAsia="Arial" w:hAnsi="Arial" w:cs="Arial"/>
                <w:sz w:val="18"/>
                <w:szCs w:val="18"/>
              </w:rPr>
              <w:t>(3,842)</w:t>
            </w:r>
          </w:p>
        </w:tc>
        <w:tc>
          <w:tcPr>
            <w:tcW w:w="180" w:type="dxa"/>
            <w:vAlign w:val="bottom"/>
          </w:tcPr>
          <w:p w14:paraId="2EF16BB3" w14:textId="77777777" w:rsidR="00D1587D" w:rsidRDefault="00D1587D">
            <w:pPr>
              <w:rPr>
                <w:sz w:val="23"/>
                <w:szCs w:val="23"/>
              </w:rPr>
            </w:pPr>
          </w:p>
        </w:tc>
        <w:tc>
          <w:tcPr>
            <w:tcW w:w="360" w:type="dxa"/>
            <w:vAlign w:val="bottom"/>
          </w:tcPr>
          <w:p w14:paraId="7EBD8E09" w14:textId="77777777" w:rsidR="00D1587D" w:rsidRDefault="00D1587D">
            <w:pPr>
              <w:rPr>
                <w:sz w:val="23"/>
                <w:szCs w:val="23"/>
              </w:rPr>
            </w:pPr>
          </w:p>
        </w:tc>
        <w:tc>
          <w:tcPr>
            <w:tcW w:w="760" w:type="dxa"/>
            <w:gridSpan w:val="2"/>
            <w:vAlign w:val="bottom"/>
          </w:tcPr>
          <w:p w14:paraId="48FEF192" w14:textId="77777777" w:rsidR="00D1587D" w:rsidRDefault="00410D07">
            <w:pPr>
              <w:ind w:right="180"/>
              <w:jc w:val="right"/>
              <w:rPr>
                <w:sz w:val="20"/>
                <w:szCs w:val="20"/>
              </w:rPr>
            </w:pPr>
            <w:r>
              <w:rPr>
                <w:rFonts w:ascii="Arial" w:eastAsia="Arial" w:hAnsi="Arial" w:cs="Arial"/>
                <w:sz w:val="18"/>
                <w:szCs w:val="18"/>
              </w:rPr>
              <w:t>—</w:t>
            </w:r>
          </w:p>
        </w:tc>
        <w:tc>
          <w:tcPr>
            <w:tcW w:w="700" w:type="dxa"/>
            <w:gridSpan w:val="2"/>
            <w:vAlign w:val="bottom"/>
          </w:tcPr>
          <w:p w14:paraId="77864314" w14:textId="77777777" w:rsidR="00D1587D" w:rsidRDefault="00410D07">
            <w:pPr>
              <w:jc w:val="right"/>
              <w:rPr>
                <w:sz w:val="20"/>
                <w:szCs w:val="20"/>
              </w:rPr>
            </w:pPr>
            <w:r>
              <w:rPr>
                <w:rFonts w:ascii="Arial" w:eastAsia="Arial" w:hAnsi="Arial" w:cs="Arial"/>
                <w:sz w:val="18"/>
                <w:szCs w:val="18"/>
              </w:rPr>
              <w:t>(3,842)</w:t>
            </w:r>
          </w:p>
        </w:tc>
        <w:tc>
          <w:tcPr>
            <w:tcW w:w="0" w:type="dxa"/>
            <w:vAlign w:val="bottom"/>
          </w:tcPr>
          <w:p w14:paraId="74C85CAF" w14:textId="77777777" w:rsidR="00D1587D" w:rsidRDefault="00D1587D">
            <w:pPr>
              <w:rPr>
                <w:sz w:val="1"/>
                <w:szCs w:val="1"/>
              </w:rPr>
            </w:pPr>
          </w:p>
        </w:tc>
      </w:tr>
      <w:tr w:rsidR="00D1587D" w14:paraId="14D69719" w14:textId="77777777">
        <w:trPr>
          <w:trHeight w:val="68"/>
        </w:trPr>
        <w:tc>
          <w:tcPr>
            <w:tcW w:w="5680" w:type="dxa"/>
            <w:tcBorders>
              <w:bottom w:val="single" w:sz="8" w:space="0" w:color="CCEEFF"/>
            </w:tcBorders>
            <w:vAlign w:val="bottom"/>
          </w:tcPr>
          <w:p w14:paraId="0B591DD6" w14:textId="77777777" w:rsidR="00D1587D" w:rsidRDefault="00D1587D">
            <w:pPr>
              <w:rPr>
                <w:sz w:val="5"/>
                <w:szCs w:val="5"/>
              </w:rPr>
            </w:pPr>
          </w:p>
        </w:tc>
        <w:tc>
          <w:tcPr>
            <w:tcW w:w="80" w:type="dxa"/>
            <w:tcBorders>
              <w:bottom w:val="single" w:sz="8" w:space="0" w:color="CCEEFF"/>
            </w:tcBorders>
            <w:vAlign w:val="bottom"/>
          </w:tcPr>
          <w:p w14:paraId="74DA606C" w14:textId="77777777" w:rsidR="00D1587D" w:rsidRDefault="00D1587D">
            <w:pPr>
              <w:rPr>
                <w:sz w:val="5"/>
                <w:szCs w:val="5"/>
              </w:rPr>
            </w:pPr>
          </w:p>
        </w:tc>
        <w:tc>
          <w:tcPr>
            <w:tcW w:w="160" w:type="dxa"/>
            <w:tcBorders>
              <w:bottom w:val="single" w:sz="8" w:space="0" w:color="auto"/>
            </w:tcBorders>
            <w:vAlign w:val="bottom"/>
          </w:tcPr>
          <w:p w14:paraId="78B20C96" w14:textId="77777777" w:rsidR="00D1587D" w:rsidRDefault="00D1587D">
            <w:pPr>
              <w:rPr>
                <w:sz w:val="5"/>
                <w:szCs w:val="5"/>
              </w:rPr>
            </w:pPr>
          </w:p>
        </w:tc>
        <w:tc>
          <w:tcPr>
            <w:tcW w:w="500" w:type="dxa"/>
            <w:tcBorders>
              <w:bottom w:val="single" w:sz="8" w:space="0" w:color="auto"/>
            </w:tcBorders>
            <w:vAlign w:val="bottom"/>
          </w:tcPr>
          <w:p w14:paraId="6199D259" w14:textId="77777777" w:rsidR="00D1587D" w:rsidRDefault="00D1587D">
            <w:pPr>
              <w:rPr>
                <w:sz w:val="5"/>
                <w:szCs w:val="5"/>
              </w:rPr>
            </w:pPr>
          </w:p>
        </w:tc>
        <w:tc>
          <w:tcPr>
            <w:tcW w:w="180" w:type="dxa"/>
            <w:tcBorders>
              <w:bottom w:val="single" w:sz="8" w:space="0" w:color="CCEEFF"/>
            </w:tcBorders>
            <w:vAlign w:val="bottom"/>
          </w:tcPr>
          <w:p w14:paraId="652783E9" w14:textId="77777777" w:rsidR="00D1587D" w:rsidRDefault="00D1587D">
            <w:pPr>
              <w:rPr>
                <w:sz w:val="5"/>
                <w:szCs w:val="5"/>
              </w:rPr>
            </w:pPr>
          </w:p>
        </w:tc>
        <w:tc>
          <w:tcPr>
            <w:tcW w:w="360" w:type="dxa"/>
            <w:tcBorders>
              <w:bottom w:val="single" w:sz="8" w:space="0" w:color="auto"/>
            </w:tcBorders>
            <w:vAlign w:val="bottom"/>
          </w:tcPr>
          <w:p w14:paraId="37FC6AD8" w14:textId="77777777" w:rsidR="00D1587D" w:rsidRDefault="00D1587D">
            <w:pPr>
              <w:rPr>
                <w:sz w:val="5"/>
                <w:szCs w:val="5"/>
              </w:rPr>
            </w:pPr>
          </w:p>
        </w:tc>
        <w:tc>
          <w:tcPr>
            <w:tcW w:w="580" w:type="dxa"/>
            <w:tcBorders>
              <w:bottom w:val="single" w:sz="8" w:space="0" w:color="auto"/>
            </w:tcBorders>
            <w:vAlign w:val="bottom"/>
          </w:tcPr>
          <w:p w14:paraId="699BBB34" w14:textId="77777777" w:rsidR="00D1587D" w:rsidRDefault="00D1587D">
            <w:pPr>
              <w:rPr>
                <w:sz w:val="5"/>
                <w:szCs w:val="5"/>
              </w:rPr>
            </w:pPr>
          </w:p>
        </w:tc>
        <w:tc>
          <w:tcPr>
            <w:tcW w:w="180" w:type="dxa"/>
            <w:tcBorders>
              <w:bottom w:val="single" w:sz="8" w:space="0" w:color="CCEEFF"/>
            </w:tcBorders>
            <w:vAlign w:val="bottom"/>
          </w:tcPr>
          <w:p w14:paraId="1669B8D2" w14:textId="77777777" w:rsidR="00D1587D" w:rsidRDefault="00D1587D">
            <w:pPr>
              <w:rPr>
                <w:sz w:val="5"/>
                <w:szCs w:val="5"/>
              </w:rPr>
            </w:pPr>
          </w:p>
        </w:tc>
        <w:tc>
          <w:tcPr>
            <w:tcW w:w="180" w:type="dxa"/>
            <w:tcBorders>
              <w:bottom w:val="single" w:sz="8" w:space="0" w:color="auto"/>
            </w:tcBorders>
            <w:vAlign w:val="bottom"/>
          </w:tcPr>
          <w:p w14:paraId="70E41E96" w14:textId="77777777" w:rsidR="00D1587D" w:rsidRDefault="00D1587D">
            <w:pPr>
              <w:rPr>
                <w:sz w:val="5"/>
                <w:szCs w:val="5"/>
              </w:rPr>
            </w:pPr>
          </w:p>
        </w:tc>
        <w:tc>
          <w:tcPr>
            <w:tcW w:w="520" w:type="dxa"/>
            <w:tcBorders>
              <w:bottom w:val="single" w:sz="8" w:space="0" w:color="auto"/>
            </w:tcBorders>
            <w:vAlign w:val="bottom"/>
          </w:tcPr>
          <w:p w14:paraId="7A765993" w14:textId="77777777" w:rsidR="00D1587D" w:rsidRDefault="00D1587D">
            <w:pPr>
              <w:rPr>
                <w:sz w:val="5"/>
                <w:szCs w:val="5"/>
              </w:rPr>
            </w:pPr>
          </w:p>
        </w:tc>
        <w:tc>
          <w:tcPr>
            <w:tcW w:w="0" w:type="dxa"/>
            <w:vAlign w:val="bottom"/>
          </w:tcPr>
          <w:p w14:paraId="29574AA0" w14:textId="77777777" w:rsidR="00D1587D" w:rsidRDefault="00D1587D">
            <w:pPr>
              <w:rPr>
                <w:sz w:val="1"/>
                <w:szCs w:val="1"/>
              </w:rPr>
            </w:pPr>
          </w:p>
        </w:tc>
      </w:tr>
      <w:tr w:rsidR="00D1587D" w14:paraId="3C72239E" w14:textId="77777777">
        <w:trPr>
          <w:trHeight w:val="311"/>
        </w:trPr>
        <w:tc>
          <w:tcPr>
            <w:tcW w:w="5760" w:type="dxa"/>
            <w:gridSpan w:val="2"/>
            <w:tcBorders>
              <w:bottom w:val="single" w:sz="8" w:space="0" w:color="CCEEFF"/>
            </w:tcBorders>
            <w:shd w:val="clear" w:color="auto" w:fill="CCEEFF"/>
            <w:vAlign w:val="bottom"/>
          </w:tcPr>
          <w:p w14:paraId="076F4BB0" w14:textId="77777777" w:rsidR="00D1587D" w:rsidRDefault="00410D07">
            <w:pPr>
              <w:rPr>
                <w:sz w:val="20"/>
                <w:szCs w:val="20"/>
              </w:rPr>
            </w:pPr>
            <w:r>
              <w:rPr>
                <w:rFonts w:ascii="Arial" w:eastAsia="Arial" w:hAnsi="Arial" w:cs="Arial"/>
                <w:sz w:val="18"/>
                <w:szCs w:val="18"/>
              </w:rPr>
              <w:t>Gross Profit</w:t>
            </w:r>
          </w:p>
        </w:tc>
        <w:tc>
          <w:tcPr>
            <w:tcW w:w="160" w:type="dxa"/>
            <w:tcBorders>
              <w:bottom w:val="single" w:sz="8" w:space="0" w:color="CCEEFF"/>
            </w:tcBorders>
            <w:shd w:val="clear" w:color="auto" w:fill="CCEEFF"/>
            <w:vAlign w:val="bottom"/>
          </w:tcPr>
          <w:p w14:paraId="53B75BDA" w14:textId="77777777" w:rsidR="00D1587D" w:rsidRDefault="00D1587D">
            <w:pPr>
              <w:rPr>
                <w:sz w:val="24"/>
                <w:szCs w:val="24"/>
              </w:rPr>
            </w:pPr>
          </w:p>
        </w:tc>
        <w:tc>
          <w:tcPr>
            <w:tcW w:w="500" w:type="dxa"/>
            <w:tcBorders>
              <w:bottom w:val="single" w:sz="8" w:space="0" w:color="CCEEFF"/>
            </w:tcBorders>
            <w:shd w:val="clear" w:color="auto" w:fill="CCEEFF"/>
            <w:vAlign w:val="bottom"/>
          </w:tcPr>
          <w:p w14:paraId="3C4BADE3" w14:textId="77777777" w:rsidR="00D1587D" w:rsidRDefault="00410D07">
            <w:pPr>
              <w:jc w:val="right"/>
              <w:rPr>
                <w:sz w:val="20"/>
                <w:szCs w:val="20"/>
              </w:rPr>
            </w:pPr>
            <w:r>
              <w:rPr>
                <w:rFonts w:ascii="Arial" w:eastAsia="Arial" w:hAnsi="Arial" w:cs="Arial"/>
                <w:w w:val="88"/>
                <w:sz w:val="18"/>
                <w:szCs w:val="18"/>
              </w:rPr>
              <w:t>1,571</w:t>
            </w:r>
          </w:p>
        </w:tc>
        <w:tc>
          <w:tcPr>
            <w:tcW w:w="180" w:type="dxa"/>
            <w:tcBorders>
              <w:bottom w:val="single" w:sz="8" w:space="0" w:color="CCEEFF"/>
            </w:tcBorders>
            <w:shd w:val="clear" w:color="auto" w:fill="CCEEFF"/>
            <w:vAlign w:val="bottom"/>
          </w:tcPr>
          <w:p w14:paraId="3E5AA253" w14:textId="77777777" w:rsidR="00D1587D" w:rsidRDefault="00D1587D">
            <w:pPr>
              <w:rPr>
                <w:sz w:val="24"/>
                <w:szCs w:val="24"/>
              </w:rPr>
            </w:pPr>
          </w:p>
        </w:tc>
        <w:tc>
          <w:tcPr>
            <w:tcW w:w="360" w:type="dxa"/>
            <w:tcBorders>
              <w:bottom w:val="single" w:sz="8" w:space="0" w:color="CCEEFF"/>
            </w:tcBorders>
            <w:shd w:val="clear" w:color="auto" w:fill="CCEEFF"/>
            <w:vAlign w:val="bottom"/>
          </w:tcPr>
          <w:p w14:paraId="36122138" w14:textId="77777777" w:rsidR="00D1587D" w:rsidRDefault="00D1587D">
            <w:pPr>
              <w:rPr>
                <w:sz w:val="24"/>
                <w:szCs w:val="24"/>
              </w:rPr>
            </w:pPr>
          </w:p>
        </w:tc>
        <w:tc>
          <w:tcPr>
            <w:tcW w:w="760" w:type="dxa"/>
            <w:gridSpan w:val="2"/>
            <w:tcBorders>
              <w:bottom w:val="single" w:sz="8" w:space="0" w:color="CCEEFF"/>
            </w:tcBorders>
            <w:shd w:val="clear" w:color="auto" w:fill="CCEEFF"/>
            <w:vAlign w:val="bottom"/>
          </w:tcPr>
          <w:p w14:paraId="70913DBA" w14:textId="77777777" w:rsidR="00D1587D" w:rsidRDefault="00410D07">
            <w:pPr>
              <w:ind w:right="180"/>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0EFA075A" w14:textId="77777777" w:rsidR="00D1587D" w:rsidRDefault="00D1587D">
            <w:pPr>
              <w:rPr>
                <w:sz w:val="24"/>
                <w:szCs w:val="24"/>
              </w:rPr>
            </w:pPr>
          </w:p>
        </w:tc>
        <w:tc>
          <w:tcPr>
            <w:tcW w:w="520" w:type="dxa"/>
            <w:tcBorders>
              <w:bottom w:val="single" w:sz="8" w:space="0" w:color="CCEEFF"/>
            </w:tcBorders>
            <w:shd w:val="clear" w:color="auto" w:fill="CCEEFF"/>
            <w:vAlign w:val="bottom"/>
          </w:tcPr>
          <w:p w14:paraId="28F8C80F" w14:textId="77777777" w:rsidR="00D1587D" w:rsidRDefault="00410D07">
            <w:pPr>
              <w:jc w:val="right"/>
              <w:rPr>
                <w:sz w:val="20"/>
                <w:szCs w:val="20"/>
              </w:rPr>
            </w:pPr>
            <w:r>
              <w:rPr>
                <w:rFonts w:ascii="Arial" w:eastAsia="Arial" w:hAnsi="Arial" w:cs="Arial"/>
                <w:w w:val="93"/>
                <w:sz w:val="18"/>
                <w:szCs w:val="18"/>
              </w:rPr>
              <w:t>1,571</w:t>
            </w:r>
          </w:p>
        </w:tc>
        <w:tc>
          <w:tcPr>
            <w:tcW w:w="0" w:type="dxa"/>
            <w:vAlign w:val="bottom"/>
          </w:tcPr>
          <w:p w14:paraId="6B1FC269" w14:textId="77777777" w:rsidR="00D1587D" w:rsidRDefault="00D1587D">
            <w:pPr>
              <w:rPr>
                <w:sz w:val="1"/>
                <w:szCs w:val="1"/>
              </w:rPr>
            </w:pPr>
          </w:p>
        </w:tc>
      </w:tr>
      <w:tr w:rsidR="00D1587D" w14:paraId="7230E458" w14:textId="77777777">
        <w:trPr>
          <w:trHeight w:val="270"/>
        </w:trPr>
        <w:tc>
          <w:tcPr>
            <w:tcW w:w="5760" w:type="dxa"/>
            <w:gridSpan w:val="2"/>
            <w:vAlign w:val="bottom"/>
          </w:tcPr>
          <w:p w14:paraId="01CD266A" w14:textId="77777777" w:rsidR="00D1587D" w:rsidRDefault="00410D07">
            <w:pPr>
              <w:rPr>
                <w:sz w:val="20"/>
                <w:szCs w:val="20"/>
              </w:rPr>
            </w:pPr>
            <w:r>
              <w:rPr>
                <w:rFonts w:ascii="Arial" w:eastAsia="Arial" w:hAnsi="Arial" w:cs="Arial"/>
                <w:sz w:val="18"/>
                <w:szCs w:val="18"/>
              </w:rPr>
              <w:t xml:space="preserve">General, Administrative and Store </w:t>
            </w:r>
            <w:r>
              <w:rPr>
                <w:rFonts w:ascii="Arial" w:eastAsia="Arial" w:hAnsi="Arial" w:cs="Arial"/>
                <w:sz w:val="18"/>
                <w:szCs w:val="18"/>
              </w:rPr>
              <w:t>Operating Expenses</w:t>
            </w:r>
          </w:p>
        </w:tc>
        <w:tc>
          <w:tcPr>
            <w:tcW w:w="660" w:type="dxa"/>
            <w:gridSpan w:val="2"/>
            <w:vAlign w:val="bottom"/>
          </w:tcPr>
          <w:p w14:paraId="364764F5" w14:textId="77777777" w:rsidR="00D1587D" w:rsidRDefault="00410D07">
            <w:pPr>
              <w:jc w:val="right"/>
              <w:rPr>
                <w:sz w:val="20"/>
                <w:szCs w:val="20"/>
              </w:rPr>
            </w:pPr>
            <w:r>
              <w:rPr>
                <w:rFonts w:ascii="Arial" w:eastAsia="Arial" w:hAnsi="Arial" w:cs="Arial"/>
                <w:sz w:val="18"/>
                <w:szCs w:val="18"/>
              </w:rPr>
              <w:t>(1,672)</w:t>
            </w:r>
          </w:p>
        </w:tc>
        <w:tc>
          <w:tcPr>
            <w:tcW w:w="180" w:type="dxa"/>
            <w:vAlign w:val="bottom"/>
          </w:tcPr>
          <w:p w14:paraId="6BF8EA8A" w14:textId="77777777" w:rsidR="00D1587D" w:rsidRDefault="00D1587D">
            <w:pPr>
              <w:rPr>
                <w:sz w:val="23"/>
                <w:szCs w:val="23"/>
              </w:rPr>
            </w:pPr>
          </w:p>
        </w:tc>
        <w:tc>
          <w:tcPr>
            <w:tcW w:w="360" w:type="dxa"/>
            <w:vAlign w:val="bottom"/>
          </w:tcPr>
          <w:p w14:paraId="474A9151" w14:textId="77777777" w:rsidR="00D1587D" w:rsidRDefault="00D1587D">
            <w:pPr>
              <w:rPr>
                <w:sz w:val="23"/>
                <w:szCs w:val="23"/>
              </w:rPr>
            </w:pPr>
          </w:p>
        </w:tc>
        <w:tc>
          <w:tcPr>
            <w:tcW w:w="760" w:type="dxa"/>
            <w:gridSpan w:val="2"/>
            <w:vAlign w:val="bottom"/>
          </w:tcPr>
          <w:p w14:paraId="12B59A88" w14:textId="77777777" w:rsidR="00D1587D" w:rsidRDefault="00410D07">
            <w:pPr>
              <w:ind w:right="180"/>
              <w:jc w:val="right"/>
              <w:rPr>
                <w:sz w:val="20"/>
                <w:szCs w:val="20"/>
              </w:rPr>
            </w:pPr>
            <w:r>
              <w:rPr>
                <w:rFonts w:ascii="Arial" w:eastAsia="Arial" w:hAnsi="Arial" w:cs="Arial"/>
                <w:sz w:val="18"/>
                <w:szCs w:val="18"/>
              </w:rPr>
              <w:t>4(e)</w:t>
            </w:r>
          </w:p>
        </w:tc>
        <w:tc>
          <w:tcPr>
            <w:tcW w:w="700" w:type="dxa"/>
            <w:gridSpan w:val="2"/>
            <w:vAlign w:val="bottom"/>
          </w:tcPr>
          <w:p w14:paraId="5BF61F88" w14:textId="77777777" w:rsidR="00D1587D" w:rsidRDefault="00410D07">
            <w:pPr>
              <w:jc w:val="right"/>
              <w:rPr>
                <w:sz w:val="20"/>
                <w:szCs w:val="20"/>
              </w:rPr>
            </w:pPr>
            <w:r>
              <w:rPr>
                <w:rFonts w:ascii="Arial" w:eastAsia="Arial" w:hAnsi="Arial" w:cs="Arial"/>
                <w:sz w:val="18"/>
                <w:szCs w:val="18"/>
              </w:rPr>
              <w:t>(1,668)</w:t>
            </w:r>
          </w:p>
        </w:tc>
        <w:tc>
          <w:tcPr>
            <w:tcW w:w="0" w:type="dxa"/>
            <w:vAlign w:val="bottom"/>
          </w:tcPr>
          <w:p w14:paraId="0C24933B" w14:textId="77777777" w:rsidR="00D1587D" w:rsidRDefault="00D1587D">
            <w:pPr>
              <w:rPr>
                <w:sz w:val="1"/>
                <w:szCs w:val="1"/>
              </w:rPr>
            </w:pPr>
          </w:p>
        </w:tc>
      </w:tr>
      <w:tr w:rsidR="00D1587D" w14:paraId="25B34866" w14:textId="77777777">
        <w:trPr>
          <w:trHeight w:val="68"/>
        </w:trPr>
        <w:tc>
          <w:tcPr>
            <w:tcW w:w="5680" w:type="dxa"/>
            <w:tcBorders>
              <w:bottom w:val="single" w:sz="8" w:space="0" w:color="CCEEFF"/>
            </w:tcBorders>
            <w:vAlign w:val="bottom"/>
          </w:tcPr>
          <w:p w14:paraId="58B500B9" w14:textId="77777777" w:rsidR="00D1587D" w:rsidRDefault="00D1587D">
            <w:pPr>
              <w:rPr>
                <w:sz w:val="5"/>
                <w:szCs w:val="5"/>
              </w:rPr>
            </w:pPr>
          </w:p>
        </w:tc>
        <w:tc>
          <w:tcPr>
            <w:tcW w:w="80" w:type="dxa"/>
            <w:tcBorders>
              <w:bottom w:val="single" w:sz="8" w:space="0" w:color="CCEEFF"/>
            </w:tcBorders>
            <w:vAlign w:val="bottom"/>
          </w:tcPr>
          <w:p w14:paraId="32E9A3AE" w14:textId="77777777" w:rsidR="00D1587D" w:rsidRDefault="00D1587D">
            <w:pPr>
              <w:rPr>
                <w:sz w:val="5"/>
                <w:szCs w:val="5"/>
              </w:rPr>
            </w:pPr>
          </w:p>
        </w:tc>
        <w:tc>
          <w:tcPr>
            <w:tcW w:w="160" w:type="dxa"/>
            <w:tcBorders>
              <w:bottom w:val="single" w:sz="8" w:space="0" w:color="auto"/>
            </w:tcBorders>
            <w:vAlign w:val="bottom"/>
          </w:tcPr>
          <w:p w14:paraId="48392852" w14:textId="77777777" w:rsidR="00D1587D" w:rsidRDefault="00D1587D">
            <w:pPr>
              <w:rPr>
                <w:sz w:val="5"/>
                <w:szCs w:val="5"/>
              </w:rPr>
            </w:pPr>
          </w:p>
        </w:tc>
        <w:tc>
          <w:tcPr>
            <w:tcW w:w="500" w:type="dxa"/>
            <w:tcBorders>
              <w:bottom w:val="single" w:sz="8" w:space="0" w:color="auto"/>
            </w:tcBorders>
            <w:vAlign w:val="bottom"/>
          </w:tcPr>
          <w:p w14:paraId="53CCB106" w14:textId="77777777" w:rsidR="00D1587D" w:rsidRDefault="00D1587D">
            <w:pPr>
              <w:rPr>
                <w:sz w:val="5"/>
                <w:szCs w:val="5"/>
              </w:rPr>
            </w:pPr>
          </w:p>
        </w:tc>
        <w:tc>
          <w:tcPr>
            <w:tcW w:w="180" w:type="dxa"/>
            <w:tcBorders>
              <w:bottom w:val="single" w:sz="8" w:space="0" w:color="CCEEFF"/>
            </w:tcBorders>
            <w:vAlign w:val="bottom"/>
          </w:tcPr>
          <w:p w14:paraId="6EB007D9" w14:textId="77777777" w:rsidR="00D1587D" w:rsidRDefault="00D1587D">
            <w:pPr>
              <w:rPr>
                <w:sz w:val="5"/>
                <w:szCs w:val="5"/>
              </w:rPr>
            </w:pPr>
          </w:p>
        </w:tc>
        <w:tc>
          <w:tcPr>
            <w:tcW w:w="360" w:type="dxa"/>
            <w:tcBorders>
              <w:bottom w:val="single" w:sz="8" w:space="0" w:color="auto"/>
            </w:tcBorders>
            <w:vAlign w:val="bottom"/>
          </w:tcPr>
          <w:p w14:paraId="7229F369" w14:textId="77777777" w:rsidR="00D1587D" w:rsidRDefault="00D1587D">
            <w:pPr>
              <w:rPr>
                <w:sz w:val="5"/>
                <w:szCs w:val="5"/>
              </w:rPr>
            </w:pPr>
          </w:p>
        </w:tc>
        <w:tc>
          <w:tcPr>
            <w:tcW w:w="580" w:type="dxa"/>
            <w:tcBorders>
              <w:bottom w:val="single" w:sz="8" w:space="0" w:color="auto"/>
            </w:tcBorders>
            <w:vAlign w:val="bottom"/>
          </w:tcPr>
          <w:p w14:paraId="4E6BEC6B" w14:textId="77777777" w:rsidR="00D1587D" w:rsidRDefault="00D1587D">
            <w:pPr>
              <w:rPr>
                <w:sz w:val="5"/>
                <w:szCs w:val="5"/>
              </w:rPr>
            </w:pPr>
          </w:p>
        </w:tc>
        <w:tc>
          <w:tcPr>
            <w:tcW w:w="180" w:type="dxa"/>
            <w:tcBorders>
              <w:bottom w:val="single" w:sz="8" w:space="0" w:color="CCEEFF"/>
            </w:tcBorders>
            <w:vAlign w:val="bottom"/>
          </w:tcPr>
          <w:p w14:paraId="1D59A6A8" w14:textId="77777777" w:rsidR="00D1587D" w:rsidRDefault="00D1587D">
            <w:pPr>
              <w:rPr>
                <w:sz w:val="5"/>
                <w:szCs w:val="5"/>
              </w:rPr>
            </w:pPr>
          </w:p>
        </w:tc>
        <w:tc>
          <w:tcPr>
            <w:tcW w:w="180" w:type="dxa"/>
            <w:tcBorders>
              <w:bottom w:val="single" w:sz="8" w:space="0" w:color="auto"/>
            </w:tcBorders>
            <w:vAlign w:val="bottom"/>
          </w:tcPr>
          <w:p w14:paraId="135B3015" w14:textId="77777777" w:rsidR="00D1587D" w:rsidRDefault="00D1587D">
            <w:pPr>
              <w:rPr>
                <w:sz w:val="5"/>
                <w:szCs w:val="5"/>
              </w:rPr>
            </w:pPr>
          </w:p>
        </w:tc>
        <w:tc>
          <w:tcPr>
            <w:tcW w:w="520" w:type="dxa"/>
            <w:tcBorders>
              <w:bottom w:val="single" w:sz="8" w:space="0" w:color="auto"/>
            </w:tcBorders>
            <w:vAlign w:val="bottom"/>
          </w:tcPr>
          <w:p w14:paraId="2C50602F" w14:textId="77777777" w:rsidR="00D1587D" w:rsidRDefault="00D1587D">
            <w:pPr>
              <w:rPr>
                <w:sz w:val="5"/>
                <w:szCs w:val="5"/>
              </w:rPr>
            </w:pPr>
          </w:p>
        </w:tc>
        <w:tc>
          <w:tcPr>
            <w:tcW w:w="0" w:type="dxa"/>
            <w:vAlign w:val="bottom"/>
          </w:tcPr>
          <w:p w14:paraId="2286BAA6" w14:textId="77777777" w:rsidR="00D1587D" w:rsidRDefault="00D1587D">
            <w:pPr>
              <w:rPr>
                <w:sz w:val="1"/>
                <w:szCs w:val="1"/>
              </w:rPr>
            </w:pPr>
          </w:p>
        </w:tc>
      </w:tr>
      <w:tr w:rsidR="00D1587D" w14:paraId="4DCB859C" w14:textId="77777777">
        <w:trPr>
          <w:trHeight w:val="311"/>
        </w:trPr>
        <w:tc>
          <w:tcPr>
            <w:tcW w:w="5760" w:type="dxa"/>
            <w:gridSpan w:val="2"/>
            <w:tcBorders>
              <w:bottom w:val="single" w:sz="8" w:space="0" w:color="CCEEFF"/>
            </w:tcBorders>
            <w:shd w:val="clear" w:color="auto" w:fill="CCEEFF"/>
            <w:vAlign w:val="bottom"/>
          </w:tcPr>
          <w:p w14:paraId="69ED3F94" w14:textId="77777777" w:rsidR="00D1587D" w:rsidRDefault="00410D07">
            <w:pPr>
              <w:rPr>
                <w:sz w:val="20"/>
                <w:szCs w:val="20"/>
              </w:rPr>
            </w:pPr>
            <w:r>
              <w:rPr>
                <w:rFonts w:ascii="Arial" w:eastAsia="Arial" w:hAnsi="Arial" w:cs="Arial"/>
                <w:sz w:val="18"/>
                <w:szCs w:val="18"/>
              </w:rPr>
              <w:t>Operating Loss</w:t>
            </w:r>
          </w:p>
        </w:tc>
        <w:tc>
          <w:tcPr>
            <w:tcW w:w="160" w:type="dxa"/>
            <w:tcBorders>
              <w:bottom w:val="single" w:sz="8" w:space="0" w:color="CCEEFF"/>
            </w:tcBorders>
            <w:shd w:val="clear" w:color="auto" w:fill="CCEEFF"/>
            <w:vAlign w:val="bottom"/>
          </w:tcPr>
          <w:p w14:paraId="4DACF864"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FC1F62E" w14:textId="77777777" w:rsidR="00D1587D" w:rsidRDefault="00410D07">
            <w:pPr>
              <w:jc w:val="right"/>
              <w:rPr>
                <w:sz w:val="20"/>
                <w:szCs w:val="20"/>
              </w:rPr>
            </w:pPr>
            <w:r>
              <w:rPr>
                <w:rFonts w:ascii="Arial" w:eastAsia="Arial" w:hAnsi="Arial" w:cs="Arial"/>
                <w:sz w:val="18"/>
                <w:szCs w:val="18"/>
              </w:rPr>
              <w:t>(101)</w:t>
            </w:r>
          </w:p>
        </w:tc>
        <w:tc>
          <w:tcPr>
            <w:tcW w:w="180" w:type="dxa"/>
            <w:tcBorders>
              <w:bottom w:val="single" w:sz="8" w:space="0" w:color="CCEEFF"/>
            </w:tcBorders>
            <w:shd w:val="clear" w:color="auto" w:fill="CCEEFF"/>
            <w:vAlign w:val="bottom"/>
          </w:tcPr>
          <w:p w14:paraId="4F0E4B74" w14:textId="77777777" w:rsidR="00D1587D" w:rsidRDefault="00D1587D">
            <w:pPr>
              <w:rPr>
                <w:sz w:val="24"/>
                <w:szCs w:val="24"/>
              </w:rPr>
            </w:pPr>
          </w:p>
        </w:tc>
        <w:tc>
          <w:tcPr>
            <w:tcW w:w="360" w:type="dxa"/>
            <w:tcBorders>
              <w:bottom w:val="single" w:sz="8" w:space="0" w:color="CCEEFF"/>
            </w:tcBorders>
            <w:shd w:val="clear" w:color="auto" w:fill="CCEEFF"/>
            <w:vAlign w:val="bottom"/>
          </w:tcPr>
          <w:p w14:paraId="72718E02" w14:textId="77777777" w:rsidR="00D1587D" w:rsidRDefault="00D1587D">
            <w:pPr>
              <w:rPr>
                <w:sz w:val="24"/>
                <w:szCs w:val="24"/>
              </w:rPr>
            </w:pPr>
          </w:p>
        </w:tc>
        <w:tc>
          <w:tcPr>
            <w:tcW w:w="760" w:type="dxa"/>
            <w:gridSpan w:val="2"/>
            <w:tcBorders>
              <w:bottom w:val="single" w:sz="8" w:space="0" w:color="CCEEFF"/>
            </w:tcBorders>
            <w:shd w:val="clear" w:color="auto" w:fill="CCEEFF"/>
            <w:vAlign w:val="bottom"/>
          </w:tcPr>
          <w:p w14:paraId="0961E003" w14:textId="77777777" w:rsidR="00D1587D" w:rsidRDefault="00410D07">
            <w:pPr>
              <w:ind w:right="180"/>
              <w:jc w:val="right"/>
              <w:rPr>
                <w:sz w:val="20"/>
                <w:szCs w:val="20"/>
              </w:rPr>
            </w:pPr>
            <w:r>
              <w:rPr>
                <w:rFonts w:ascii="Arial" w:eastAsia="Arial" w:hAnsi="Arial" w:cs="Arial"/>
                <w:sz w:val="18"/>
                <w:szCs w:val="18"/>
              </w:rPr>
              <w:t>4</w:t>
            </w:r>
          </w:p>
        </w:tc>
        <w:tc>
          <w:tcPr>
            <w:tcW w:w="180" w:type="dxa"/>
            <w:tcBorders>
              <w:bottom w:val="single" w:sz="8" w:space="0" w:color="CCEEFF"/>
            </w:tcBorders>
            <w:shd w:val="clear" w:color="auto" w:fill="CCEEFF"/>
            <w:vAlign w:val="bottom"/>
          </w:tcPr>
          <w:p w14:paraId="0ADB7B2E" w14:textId="77777777" w:rsidR="00D1587D" w:rsidRDefault="00D1587D">
            <w:pPr>
              <w:rPr>
                <w:sz w:val="24"/>
                <w:szCs w:val="24"/>
              </w:rPr>
            </w:pPr>
          </w:p>
        </w:tc>
        <w:tc>
          <w:tcPr>
            <w:tcW w:w="520" w:type="dxa"/>
            <w:tcBorders>
              <w:bottom w:val="single" w:sz="8" w:space="0" w:color="CCEEFF"/>
            </w:tcBorders>
            <w:shd w:val="clear" w:color="auto" w:fill="CCEEFF"/>
            <w:vAlign w:val="bottom"/>
          </w:tcPr>
          <w:p w14:paraId="21114E02" w14:textId="77777777" w:rsidR="00D1587D" w:rsidRDefault="00410D07">
            <w:pPr>
              <w:jc w:val="right"/>
              <w:rPr>
                <w:sz w:val="20"/>
                <w:szCs w:val="20"/>
              </w:rPr>
            </w:pPr>
            <w:r>
              <w:rPr>
                <w:rFonts w:ascii="Arial" w:eastAsia="Arial" w:hAnsi="Arial" w:cs="Arial"/>
                <w:sz w:val="18"/>
                <w:szCs w:val="18"/>
              </w:rPr>
              <w:t>(97)</w:t>
            </w:r>
          </w:p>
        </w:tc>
        <w:tc>
          <w:tcPr>
            <w:tcW w:w="0" w:type="dxa"/>
            <w:vAlign w:val="bottom"/>
          </w:tcPr>
          <w:p w14:paraId="2FEA6258" w14:textId="77777777" w:rsidR="00D1587D" w:rsidRDefault="00D1587D">
            <w:pPr>
              <w:rPr>
                <w:sz w:val="1"/>
                <w:szCs w:val="1"/>
              </w:rPr>
            </w:pPr>
          </w:p>
        </w:tc>
      </w:tr>
      <w:tr w:rsidR="00D1587D" w14:paraId="61D5B4B1" w14:textId="77777777">
        <w:trPr>
          <w:trHeight w:val="270"/>
        </w:trPr>
        <w:tc>
          <w:tcPr>
            <w:tcW w:w="5760" w:type="dxa"/>
            <w:gridSpan w:val="2"/>
            <w:vAlign w:val="bottom"/>
          </w:tcPr>
          <w:p w14:paraId="13D1A1FE" w14:textId="77777777" w:rsidR="00D1587D" w:rsidRDefault="00410D07">
            <w:pPr>
              <w:rPr>
                <w:sz w:val="20"/>
                <w:szCs w:val="20"/>
              </w:rPr>
            </w:pPr>
            <w:r>
              <w:rPr>
                <w:rFonts w:ascii="Arial" w:eastAsia="Arial" w:hAnsi="Arial" w:cs="Arial"/>
                <w:sz w:val="18"/>
                <w:szCs w:val="18"/>
              </w:rPr>
              <w:t>Interest Expense</w:t>
            </w:r>
          </w:p>
        </w:tc>
        <w:tc>
          <w:tcPr>
            <w:tcW w:w="160" w:type="dxa"/>
            <w:vAlign w:val="bottom"/>
          </w:tcPr>
          <w:p w14:paraId="6C404B76" w14:textId="77777777" w:rsidR="00D1587D" w:rsidRDefault="00D1587D">
            <w:pPr>
              <w:rPr>
                <w:sz w:val="23"/>
                <w:szCs w:val="23"/>
              </w:rPr>
            </w:pPr>
          </w:p>
        </w:tc>
        <w:tc>
          <w:tcPr>
            <w:tcW w:w="500" w:type="dxa"/>
            <w:vAlign w:val="bottom"/>
          </w:tcPr>
          <w:p w14:paraId="799BE4ED" w14:textId="77777777" w:rsidR="00D1587D" w:rsidRDefault="00410D07">
            <w:pPr>
              <w:jc w:val="right"/>
              <w:rPr>
                <w:sz w:val="20"/>
                <w:szCs w:val="20"/>
              </w:rPr>
            </w:pPr>
            <w:r>
              <w:rPr>
                <w:rFonts w:ascii="Arial" w:eastAsia="Arial" w:hAnsi="Arial" w:cs="Arial"/>
                <w:sz w:val="18"/>
                <w:szCs w:val="18"/>
              </w:rPr>
              <w:t>(6)</w:t>
            </w:r>
          </w:p>
        </w:tc>
        <w:tc>
          <w:tcPr>
            <w:tcW w:w="180" w:type="dxa"/>
            <w:vAlign w:val="bottom"/>
          </w:tcPr>
          <w:p w14:paraId="6CAA4A10" w14:textId="77777777" w:rsidR="00D1587D" w:rsidRDefault="00D1587D">
            <w:pPr>
              <w:rPr>
                <w:sz w:val="23"/>
                <w:szCs w:val="23"/>
              </w:rPr>
            </w:pPr>
          </w:p>
        </w:tc>
        <w:tc>
          <w:tcPr>
            <w:tcW w:w="360" w:type="dxa"/>
            <w:vAlign w:val="bottom"/>
          </w:tcPr>
          <w:p w14:paraId="5BE82C4A" w14:textId="77777777" w:rsidR="00D1587D" w:rsidRDefault="00D1587D">
            <w:pPr>
              <w:rPr>
                <w:sz w:val="23"/>
                <w:szCs w:val="23"/>
              </w:rPr>
            </w:pPr>
          </w:p>
        </w:tc>
        <w:tc>
          <w:tcPr>
            <w:tcW w:w="760" w:type="dxa"/>
            <w:gridSpan w:val="2"/>
            <w:vAlign w:val="bottom"/>
          </w:tcPr>
          <w:p w14:paraId="74F8030C" w14:textId="77777777" w:rsidR="00D1587D" w:rsidRDefault="00410D07">
            <w:pPr>
              <w:ind w:right="180"/>
              <w:jc w:val="right"/>
              <w:rPr>
                <w:sz w:val="20"/>
                <w:szCs w:val="20"/>
              </w:rPr>
            </w:pPr>
            <w:r>
              <w:rPr>
                <w:rFonts w:ascii="Arial" w:eastAsia="Arial" w:hAnsi="Arial" w:cs="Arial"/>
                <w:sz w:val="18"/>
                <w:szCs w:val="18"/>
              </w:rPr>
              <w:t>(48)(f)</w:t>
            </w:r>
          </w:p>
        </w:tc>
        <w:tc>
          <w:tcPr>
            <w:tcW w:w="180" w:type="dxa"/>
            <w:vAlign w:val="bottom"/>
          </w:tcPr>
          <w:p w14:paraId="6999E056" w14:textId="77777777" w:rsidR="00D1587D" w:rsidRDefault="00D1587D">
            <w:pPr>
              <w:rPr>
                <w:sz w:val="23"/>
                <w:szCs w:val="23"/>
              </w:rPr>
            </w:pPr>
          </w:p>
        </w:tc>
        <w:tc>
          <w:tcPr>
            <w:tcW w:w="520" w:type="dxa"/>
            <w:vAlign w:val="bottom"/>
          </w:tcPr>
          <w:p w14:paraId="4F40428B" w14:textId="77777777" w:rsidR="00D1587D" w:rsidRDefault="00410D07">
            <w:pPr>
              <w:jc w:val="right"/>
              <w:rPr>
                <w:sz w:val="20"/>
                <w:szCs w:val="20"/>
              </w:rPr>
            </w:pPr>
            <w:r>
              <w:rPr>
                <w:rFonts w:ascii="Arial" w:eastAsia="Arial" w:hAnsi="Arial" w:cs="Arial"/>
                <w:sz w:val="18"/>
                <w:szCs w:val="18"/>
              </w:rPr>
              <w:t>(54)</w:t>
            </w:r>
          </w:p>
        </w:tc>
        <w:tc>
          <w:tcPr>
            <w:tcW w:w="0" w:type="dxa"/>
            <w:vAlign w:val="bottom"/>
          </w:tcPr>
          <w:p w14:paraId="6F45BFA3" w14:textId="77777777" w:rsidR="00D1587D" w:rsidRDefault="00D1587D">
            <w:pPr>
              <w:rPr>
                <w:sz w:val="1"/>
                <w:szCs w:val="1"/>
              </w:rPr>
            </w:pPr>
          </w:p>
        </w:tc>
      </w:tr>
      <w:tr w:rsidR="00D1587D" w14:paraId="007BC11B" w14:textId="77777777">
        <w:trPr>
          <w:trHeight w:val="54"/>
        </w:trPr>
        <w:tc>
          <w:tcPr>
            <w:tcW w:w="5680" w:type="dxa"/>
            <w:vAlign w:val="bottom"/>
          </w:tcPr>
          <w:p w14:paraId="5E81DA78" w14:textId="77777777" w:rsidR="00D1587D" w:rsidRDefault="00D1587D">
            <w:pPr>
              <w:rPr>
                <w:sz w:val="4"/>
                <w:szCs w:val="4"/>
              </w:rPr>
            </w:pPr>
          </w:p>
        </w:tc>
        <w:tc>
          <w:tcPr>
            <w:tcW w:w="80" w:type="dxa"/>
            <w:vAlign w:val="bottom"/>
          </w:tcPr>
          <w:p w14:paraId="36A70436" w14:textId="77777777" w:rsidR="00D1587D" w:rsidRDefault="00D1587D">
            <w:pPr>
              <w:rPr>
                <w:sz w:val="4"/>
                <w:szCs w:val="4"/>
              </w:rPr>
            </w:pPr>
          </w:p>
        </w:tc>
        <w:tc>
          <w:tcPr>
            <w:tcW w:w="160" w:type="dxa"/>
            <w:vAlign w:val="bottom"/>
          </w:tcPr>
          <w:p w14:paraId="4059648F" w14:textId="77777777" w:rsidR="00D1587D" w:rsidRDefault="00D1587D">
            <w:pPr>
              <w:rPr>
                <w:sz w:val="4"/>
                <w:szCs w:val="4"/>
              </w:rPr>
            </w:pPr>
          </w:p>
        </w:tc>
        <w:tc>
          <w:tcPr>
            <w:tcW w:w="500" w:type="dxa"/>
            <w:vAlign w:val="bottom"/>
          </w:tcPr>
          <w:p w14:paraId="40738CBA" w14:textId="77777777" w:rsidR="00D1587D" w:rsidRDefault="00D1587D">
            <w:pPr>
              <w:rPr>
                <w:sz w:val="4"/>
                <w:szCs w:val="4"/>
              </w:rPr>
            </w:pPr>
          </w:p>
        </w:tc>
        <w:tc>
          <w:tcPr>
            <w:tcW w:w="180" w:type="dxa"/>
            <w:vAlign w:val="bottom"/>
          </w:tcPr>
          <w:p w14:paraId="2BEAA00D" w14:textId="77777777" w:rsidR="00D1587D" w:rsidRDefault="00D1587D">
            <w:pPr>
              <w:rPr>
                <w:sz w:val="4"/>
                <w:szCs w:val="4"/>
              </w:rPr>
            </w:pPr>
          </w:p>
        </w:tc>
        <w:tc>
          <w:tcPr>
            <w:tcW w:w="360" w:type="dxa"/>
            <w:vAlign w:val="bottom"/>
          </w:tcPr>
          <w:p w14:paraId="630ADC73" w14:textId="77777777" w:rsidR="00D1587D" w:rsidRDefault="00D1587D">
            <w:pPr>
              <w:rPr>
                <w:sz w:val="4"/>
                <w:szCs w:val="4"/>
              </w:rPr>
            </w:pPr>
          </w:p>
        </w:tc>
        <w:tc>
          <w:tcPr>
            <w:tcW w:w="580" w:type="dxa"/>
            <w:vAlign w:val="bottom"/>
          </w:tcPr>
          <w:p w14:paraId="32B81DCA" w14:textId="77777777" w:rsidR="00D1587D" w:rsidRDefault="00D1587D">
            <w:pPr>
              <w:rPr>
                <w:sz w:val="4"/>
                <w:szCs w:val="4"/>
              </w:rPr>
            </w:pPr>
          </w:p>
        </w:tc>
        <w:tc>
          <w:tcPr>
            <w:tcW w:w="180" w:type="dxa"/>
            <w:vAlign w:val="bottom"/>
          </w:tcPr>
          <w:p w14:paraId="5C5BAB71" w14:textId="77777777" w:rsidR="00D1587D" w:rsidRDefault="00D1587D">
            <w:pPr>
              <w:rPr>
                <w:sz w:val="4"/>
                <w:szCs w:val="4"/>
              </w:rPr>
            </w:pPr>
          </w:p>
        </w:tc>
        <w:tc>
          <w:tcPr>
            <w:tcW w:w="180" w:type="dxa"/>
            <w:vAlign w:val="bottom"/>
          </w:tcPr>
          <w:p w14:paraId="43CCFED1" w14:textId="77777777" w:rsidR="00D1587D" w:rsidRDefault="00D1587D">
            <w:pPr>
              <w:rPr>
                <w:sz w:val="4"/>
                <w:szCs w:val="4"/>
              </w:rPr>
            </w:pPr>
          </w:p>
        </w:tc>
        <w:tc>
          <w:tcPr>
            <w:tcW w:w="520" w:type="dxa"/>
            <w:vAlign w:val="bottom"/>
          </w:tcPr>
          <w:p w14:paraId="2A587FEE" w14:textId="77777777" w:rsidR="00D1587D" w:rsidRDefault="00D1587D">
            <w:pPr>
              <w:rPr>
                <w:sz w:val="4"/>
                <w:szCs w:val="4"/>
              </w:rPr>
            </w:pPr>
          </w:p>
        </w:tc>
        <w:tc>
          <w:tcPr>
            <w:tcW w:w="0" w:type="dxa"/>
            <w:vAlign w:val="bottom"/>
          </w:tcPr>
          <w:p w14:paraId="2030856F" w14:textId="77777777" w:rsidR="00D1587D" w:rsidRDefault="00D1587D">
            <w:pPr>
              <w:rPr>
                <w:sz w:val="1"/>
                <w:szCs w:val="1"/>
              </w:rPr>
            </w:pPr>
          </w:p>
        </w:tc>
      </w:tr>
      <w:tr w:rsidR="00D1587D" w14:paraId="0804F075" w14:textId="77777777">
        <w:trPr>
          <w:trHeight w:val="270"/>
        </w:trPr>
        <w:tc>
          <w:tcPr>
            <w:tcW w:w="5760" w:type="dxa"/>
            <w:gridSpan w:val="2"/>
            <w:shd w:val="clear" w:color="auto" w:fill="CCEEFF"/>
            <w:vAlign w:val="bottom"/>
          </w:tcPr>
          <w:p w14:paraId="26ABCAC1" w14:textId="77777777" w:rsidR="00D1587D" w:rsidRDefault="00410D07">
            <w:pPr>
              <w:rPr>
                <w:sz w:val="20"/>
                <w:szCs w:val="20"/>
              </w:rPr>
            </w:pPr>
            <w:r>
              <w:rPr>
                <w:rFonts w:ascii="Arial" w:eastAsia="Arial" w:hAnsi="Arial" w:cs="Arial"/>
                <w:sz w:val="18"/>
                <w:szCs w:val="18"/>
              </w:rPr>
              <w:t>Other Income</w:t>
            </w:r>
          </w:p>
        </w:tc>
        <w:tc>
          <w:tcPr>
            <w:tcW w:w="160" w:type="dxa"/>
            <w:shd w:val="clear" w:color="auto" w:fill="CCEEFF"/>
            <w:vAlign w:val="bottom"/>
          </w:tcPr>
          <w:p w14:paraId="278E0C75" w14:textId="77777777" w:rsidR="00D1587D" w:rsidRDefault="00D1587D">
            <w:pPr>
              <w:rPr>
                <w:sz w:val="23"/>
                <w:szCs w:val="23"/>
              </w:rPr>
            </w:pPr>
          </w:p>
        </w:tc>
        <w:tc>
          <w:tcPr>
            <w:tcW w:w="500" w:type="dxa"/>
            <w:shd w:val="clear" w:color="auto" w:fill="CCEEFF"/>
            <w:vAlign w:val="bottom"/>
          </w:tcPr>
          <w:p w14:paraId="0F80A848" w14:textId="77777777" w:rsidR="00D1587D" w:rsidRDefault="00410D07">
            <w:pPr>
              <w:jc w:val="right"/>
              <w:rPr>
                <w:sz w:val="20"/>
                <w:szCs w:val="20"/>
              </w:rPr>
            </w:pPr>
            <w:r>
              <w:rPr>
                <w:rFonts w:ascii="Arial" w:eastAsia="Arial" w:hAnsi="Arial" w:cs="Arial"/>
                <w:sz w:val="18"/>
                <w:szCs w:val="18"/>
              </w:rPr>
              <w:t>1</w:t>
            </w:r>
          </w:p>
        </w:tc>
        <w:tc>
          <w:tcPr>
            <w:tcW w:w="180" w:type="dxa"/>
            <w:shd w:val="clear" w:color="auto" w:fill="CCEEFF"/>
            <w:vAlign w:val="bottom"/>
          </w:tcPr>
          <w:p w14:paraId="55C47DBA" w14:textId="77777777" w:rsidR="00D1587D" w:rsidRDefault="00D1587D">
            <w:pPr>
              <w:rPr>
                <w:sz w:val="23"/>
                <w:szCs w:val="23"/>
              </w:rPr>
            </w:pPr>
          </w:p>
        </w:tc>
        <w:tc>
          <w:tcPr>
            <w:tcW w:w="360" w:type="dxa"/>
            <w:shd w:val="clear" w:color="auto" w:fill="CCEEFF"/>
            <w:vAlign w:val="bottom"/>
          </w:tcPr>
          <w:p w14:paraId="6E18272A" w14:textId="77777777" w:rsidR="00D1587D" w:rsidRDefault="00D1587D">
            <w:pPr>
              <w:rPr>
                <w:sz w:val="23"/>
                <w:szCs w:val="23"/>
              </w:rPr>
            </w:pPr>
          </w:p>
        </w:tc>
        <w:tc>
          <w:tcPr>
            <w:tcW w:w="760" w:type="dxa"/>
            <w:gridSpan w:val="2"/>
            <w:shd w:val="clear" w:color="auto" w:fill="CCEEFF"/>
            <w:vAlign w:val="bottom"/>
          </w:tcPr>
          <w:p w14:paraId="2FA36FA5" w14:textId="77777777" w:rsidR="00D1587D" w:rsidRDefault="00410D07">
            <w:pPr>
              <w:ind w:right="180"/>
              <w:jc w:val="right"/>
              <w:rPr>
                <w:sz w:val="20"/>
                <w:szCs w:val="20"/>
              </w:rPr>
            </w:pPr>
            <w:r>
              <w:rPr>
                <w:rFonts w:ascii="Arial" w:eastAsia="Arial" w:hAnsi="Arial" w:cs="Arial"/>
                <w:sz w:val="18"/>
                <w:szCs w:val="18"/>
              </w:rPr>
              <w:t>—</w:t>
            </w:r>
          </w:p>
        </w:tc>
        <w:tc>
          <w:tcPr>
            <w:tcW w:w="180" w:type="dxa"/>
            <w:shd w:val="clear" w:color="auto" w:fill="CCEEFF"/>
            <w:vAlign w:val="bottom"/>
          </w:tcPr>
          <w:p w14:paraId="2BFECA4F" w14:textId="77777777" w:rsidR="00D1587D" w:rsidRDefault="00D1587D">
            <w:pPr>
              <w:rPr>
                <w:sz w:val="23"/>
                <w:szCs w:val="23"/>
              </w:rPr>
            </w:pPr>
          </w:p>
        </w:tc>
        <w:tc>
          <w:tcPr>
            <w:tcW w:w="520" w:type="dxa"/>
            <w:shd w:val="clear" w:color="auto" w:fill="CCEEFF"/>
            <w:vAlign w:val="bottom"/>
          </w:tcPr>
          <w:p w14:paraId="68A40978" w14:textId="77777777" w:rsidR="00D1587D" w:rsidRDefault="00410D07">
            <w:pPr>
              <w:jc w:val="right"/>
              <w:rPr>
                <w:sz w:val="20"/>
                <w:szCs w:val="20"/>
              </w:rPr>
            </w:pPr>
            <w:r>
              <w:rPr>
                <w:rFonts w:ascii="Arial" w:eastAsia="Arial" w:hAnsi="Arial" w:cs="Arial"/>
                <w:sz w:val="18"/>
                <w:szCs w:val="18"/>
              </w:rPr>
              <w:t>1</w:t>
            </w:r>
          </w:p>
        </w:tc>
        <w:tc>
          <w:tcPr>
            <w:tcW w:w="0" w:type="dxa"/>
            <w:vAlign w:val="bottom"/>
          </w:tcPr>
          <w:p w14:paraId="780C3973" w14:textId="77777777" w:rsidR="00D1587D" w:rsidRDefault="00D1587D">
            <w:pPr>
              <w:rPr>
                <w:sz w:val="1"/>
                <w:szCs w:val="1"/>
              </w:rPr>
            </w:pPr>
          </w:p>
        </w:tc>
      </w:tr>
      <w:tr w:rsidR="00D1587D" w14:paraId="2B626418" w14:textId="77777777">
        <w:trPr>
          <w:trHeight w:val="68"/>
        </w:trPr>
        <w:tc>
          <w:tcPr>
            <w:tcW w:w="5680" w:type="dxa"/>
            <w:shd w:val="clear" w:color="auto" w:fill="CCEEFF"/>
            <w:vAlign w:val="bottom"/>
          </w:tcPr>
          <w:p w14:paraId="40897FC3" w14:textId="77777777" w:rsidR="00D1587D" w:rsidRDefault="00D1587D">
            <w:pPr>
              <w:rPr>
                <w:sz w:val="5"/>
                <w:szCs w:val="5"/>
              </w:rPr>
            </w:pPr>
          </w:p>
        </w:tc>
        <w:tc>
          <w:tcPr>
            <w:tcW w:w="80" w:type="dxa"/>
            <w:tcBorders>
              <w:bottom w:val="single" w:sz="8" w:space="0" w:color="CCEEFF"/>
            </w:tcBorders>
            <w:shd w:val="clear" w:color="auto" w:fill="CCEEFF"/>
            <w:vAlign w:val="bottom"/>
          </w:tcPr>
          <w:p w14:paraId="75F72BB6" w14:textId="77777777" w:rsidR="00D1587D" w:rsidRDefault="00D1587D">
            <w:pPr>
              <w:rPr>
                <w:sz w:val="5"/>
                <w:szCs w:val="5"/>
              </w:rPr>
            </w:pPr>
          </w:p>
        </w:tc>
        <w:tc>
          <w:tcPr>
            <w:tcW w:w="160" w:type="dxa"/>
            <w:tcBorders>
              <w:bottom w:val="single" w:sz="8" w:space="0" w:color="auto"/>
            </w:tcBorders>
            <w:shd w:val="clear" w:color="auto" w:fill="CCEEFF"/>
            <w:vAlign w:val="bottom"/>
          </w:tcPr>
          <w:p w14:paraId="2654D716" w14:textId="77777777" w:rsidR="00D1587D" w:rsidRDefault="00D1587D">
            <w:pPr>
              <w:rPr>
                <w:sz w:val="5"/>
                <w:szCs w:val="5"/>
              </w:rPr>
            </w:pPr>
          </w:p>
        </w:tc>
        <w:tc>
          <w:tcPr>
            <w:tcW w:w="500" w:type="dxa"/>
            <w:tcBorders>
              <w:bottom w:val="single" w:sz="8" w:space="0" w:color="auto"/>
            </w:tcBorders>
            <w:shd w:val="clear" w:color="auto" w:fill="CCEEFF"/>
            <w:vAlign w:val="bottom"/>
          </w:tcPr>
          <w:p w14:paraId="1FCC251C" w14:textId="77777777" w:rsidR="00D1587D" w:rsidRDefault="00D1587D">
            <w:pPr>
              <w:rPr>
                <w:sz w:val="5"/>
                <w:szCs w:val="5"/>
              </w:rPr>
            </w:pPr>
          </w:p>
        </w:tc>
        <w:tc>
          <w:tcPr>
            <w:tcW w:w="180" w:type="dxa"/>
            <w:tcBorders>
              <w:bottom w:val="single" w:sz="8" w:space="0" w:color="CCEEFF"/>
            </w:tcBorders>
            <w:shd w:val="clear" w:color="auto" w:fill="CCEEFF"/>
            <w:vAlign w:val="bottom"/>
          </w:tcPr>
          <w:p w14:paraId="75B86CE6" w14:textId="77777777" w:rsidR="00D1587D" w:rsidRDefault="00D1587D">
            <w:pPr>
              <w:rPr>
                <w:sz w:val="5"/>
                <w:szCs w:val="5"/>
              </w:rPr>
            </w:pPr>
          </w:p>
        </w:tc>
        <w:tc>
          <w:tcPr>
            <w:tcW w:w="360" w:type="dxa"/>
            <w:tcBorders>
              <w:bottom w:val="single" w:sz="8" w:space="0" w:color="auto"/>
            </w:tcBorders>
            <w:shd w:val="clear" w:color="auto" w:fill="CCEEFF"/>
            <w:vAlign w:val="bottom"/>
          </w:tcPr>
          <w:p w14:paraId="3F36A991" w14:textId="77777777" w:rsidR="00D1587D" w:rsidRDefault="00D1587D">
            <w:pPr>
              <w:rPr>
                <w:sz w:val="5"/>
                <w:szCs w:val="5"/>
              </w:rPr>
            </w:pPr>
          </w:p>
        </w:tc>
        <w:tc>
          <w:tcPr>
            <w:tcW w:w="580" w:type="dxa"/>
            <w:tcBorders>
              <w:bottom w:val="single" w:sz="8" w:space="0" w:color="auto"/>
            </w:tcBorders>
            <w:shd w:val="clear" w:color="auto" w:fill="CCEEFF"/>
            <w:vAlign w:val="bottom"/>
          </w:tcPr>
          <w:p w14:paraId="2F13FCD0" w14:textId="77777777" w:rsidR="00D1587D" w:rsidRDefault="00D1587D">
            <w:pPr>
              <w:rPr>
                <w:sz w:val="5"/>
                <w:szCs w:val="5"/>
              </w:rPr>
            </w:pPr>
          </w:p>
        </w:tc>
        <w:tc>
          <w:tcPr>
            <w:tcW w:w="180" w:type="dxa"/>
            <w:tcBorders>
              <w:bottom w:val="single" w:sz="8" w:space="0" w:color="CCEEFF"/>
            </w:tcBorders>
            <w:shd w:val="clear" w:color="auto" w:fill="CCEEFF"/>
            <w:vAlign w:val="bottom"/>
          </w:tcPr>
          <w:p w14:paraId="2CD688F0" w14:textId="77777777" w:rsidR="00D1587D" w:rsidRDefault="00D1587D">
            <w:pPr>
              <w:rPr>
                <w:sz w:val="5"/>
                <w:szCs w:val="5"/>
              </w:rPr>
            </w:pPr>
          </w:p>
        </w:tc>
        <w:tc>
          <w:tcPr>
            <w:tcW w:w="180" w:type="dxa"/>
            <w:tcBorders>
              <w:bottom w:val="single" w:sz="8" w:space="0" w:color="auto"/>
            </w:tcBorders>
            <w:shd w:val="clear" w:color="auto" w:fill="CCEEFF"/>
            <w:vAlign w:val="bottom"/>
          </w:tcPr>
          <w:p w14:paraId="3D501CB4" w14:textId="77777777" w:rsidR="00D1587D" w:rsidRDefault="00D1587D">
            <w:pPr>
              <w:rPr>
                <w:sz w:val="5"/>
                <w:szCs w:val="5"/>
              </w:rPr>
            </w:pPr>
          </w:p>
        </w:tc>
        <w:tc>
          <w:tcPr>
            <w:tcW w:w="520" w:type="dxa"/>
            <w:tcBorders>
              <w:bottom w:val="single" w:sz="8" w:space="0" w:color="auto"/>
            </w:tcBorders>
            <w:shd w:val="clear" w:color="auto" w:fill="CCEEFF"/>
            <w:vAlign w:val="bottom"/>
          </w:tcPr>
          <w:p w14:paraId="456A041A" w14:textId="77777777" w:rsidR="00D1587D" w:rsidRDefault="00D1587D">
            <w:pPr>
              <w:rPr>
                <w:sz w:val="5"/>
                <w:szCs w:val="5"/>
              </w:rPr>
            </w:pPr>
          </w:p>
        </w:tc>
        <w:tc>
          <w:tcPr>
            <w:tcW w:w="0" w:type="dxa"/>
            <w:vAlign w:val="bottom"/>
          </w:tcPr>
          <w:p w14:paraId="0F2C23B4" w14:textId="77777777" w:rsidR="00D1587D" w:rsidRDefault="00D1587D">
            <w:pPr>
              <w:rPr>
                <w:sz w:val="1"/>
                <w:szCs w:val="1"/>
              </w:rPr>
            </w:pPr>
          </w:p>
        </w:tc>
      </w:tr>
      <w:tr w:rsidR="00D1587D" w14:paraId="06D4DD48" w14:textId="77777777">
        <w:trPr>
          <w:trHeight w:val="277"/>
        </w:trPr>
        <w:tc>
          <w:tcPr>
            <w:tcW w:w="5760" w:type="dxa"/>
            <w:gridSpan w:val="2"/>
            <w:vAlign w:val="bottom"/>
          </w:tcPr>
          <w:p w14:paraId="78A6ACEE" w14:textId="77777777" w:rsidR="00D1587D" w:rsidRDefault="00410D07">
            <w:pPr>
              <w:rPr>
                <w:sz w:val="20"/>
                <w:szCs w:val="20"/>
              </w:rPr>
            </w:pPr>
            <w:r>
              <w:rPr>
                <w:rFonts w:ascii="Arial" w:eastAsia="Arial" w:hAnsi="Arial" w:cs="Arial"/>
                <w:sz w:val="18"/>
                <w:szCs w:val="18"/>
              </w:rPr>
              <w:t>Loss before Income Taxes</w:t>
            </w:r>
          </w:p>
        </w:tc>
        <w:tc>
          <w:tcPr>
            <w:tcW w:w="160" w:type="dxa"/>
            <w:vAlign w:val="bottom"/>
          </w:tcPr>
          <w:p w14:paraId="2D4519DA" w14:textId="77777777" w:rsidR="00D1587D" w:rsidRDefault="00D1587D">
            <w:pPr>
              <w:rPr>
                <w:sz w:val="24"/>
                <w:szCs w:val="24"/>
              </w:rPr>
            </w:pPr>
          </w:p>
        </w:tc>
        <w:tc>
          <w:tcPr>
            <w:tcW w:w="500" w:type="dxa"/>
            <w:vAlign w:val="bottom"/>
          </w:tcPr>
          <w:p w14:paraId="4EFD8F8B" w14:textId="77777777" w:rsidR="00D1587D" w:rsidRDefault="00410D07">
            <w:pPr>
              <w:jc w:val="right"/>
              <w:rPr>
                <w:sz w:val="20"/>
                <w:szCs w:val="20"/>
              </w:rPr>
            </w:pPr>
            <w:r>
              <w:rPr>
                <w:rFonts w:ascii="Arial" w:eastAsia="Arial" w:hAnsi="Arial" w:cs="Arial"/>
                <w:sz w:val="18"/>
                <w:szCs w:val="18"/>
              </w:rPr>
              <w:t>(106)</w:t>
            </w:r>
          </w:p>
        </w:tc>
        <w:tc>
          <w:tcPr>
            <w:tcW w:w="180" w:type="dxa"/>
            <w:vAlign w:val="bottom"/>
          </w:tcPr>
          <w:p w14:paraId="7078AF0B" w14:textId="77777777" w:rsidR="00D1587D" w:rsidRDefault="00D1587D">
            <w:pPr>
              <w:rPr>
                <w:sz w:val="24"/>
                <w:szCs w:val="24"/>
              </w:rPr>
            </w:pPr>
          </w:p>
        </w:tc>
        <w:tc>
          <w:tcPr>
            <w:tcW w:w="360" w:type="dxa"/>
            <w:vAlign w:val="bottom"/>
          </w:tcPr>
          <w:p w14:paraId="60E03A3F" w14:textId="77777777" w:rsidR="00D1587D" w:rsidRDefault="00D1587D">
            <w:pPr>
              <w:rPr>
                <w:sz w:val="24"/>
                <w:szCs w:val="24"/>
              </w:rPr>
            </w:pPr>
          </w:p>
        </w:tc>
        <w:tc>
          <w:tcPr>
            <w:tcW w:w="760" w:type="dxa"/>
            <w:gridSpan w:val="2"/>
            <w:vAlign w:val="bottom"/>
          </w:tcPr>
          <w:p w14:paraId="15276977" w14:textId="77777777" w:rsidR="00D1587D" w:rsidRDefault="00410D07">
            <w:pPr>
              <w:ind w:right="180"/>
              <w:jc w:val="right"/>
              <w:rPr>
                <w:sz w:val="20"/>
                <w:szCs w:val="20"/>
              </w:rPr>
            </w:pPr>
            <w:r>
              <w:rPr>
                <w:rFonts w:ascii="Arial" w:eastAsia="Arial" w:hAnsi="Arial" w:cs="Arial"/>
                <w:sz w:val="18"/>
                <w:szCs w:val="18"/>
              </w:rPr>
              <w:t>(44)</w:t>
            </w:r>
          </w:p>
        </w:tc>
        <w:tc>
          <w:tcPr>
            <w:tcW w:w="180" w:type="dxa"/>
            <w:vAlign w:val="bottom"/>
          </w:tcPr>
          <w:p w14:paraId="2405C742" w14:textId="77777777" w:rsidR="00D1587D" w:rsidRDefault="00D1587D">
            <w:pPr>
              <w:rPr>
                <w:sz w:val="24"/>
                <w:szCs w:val="24"/>
              </w:rPr>
            </w:pPr>
          </w:p>
        </w:tc>
        <w:tc>
          <w:tcPr>
            <w:tcW w:w="520" w:type="dxa"/>
            <w:vAlign w:val="bottom"/>
          </w:tcPr>
          <w:p w14:paraId="0CB9FE54" w14:textId="77777777" w:rsidR="00D1587D" w:rsidRDefault="00410D07">
            <w:pPr>
              <w:jc w:val="right"/>
              <w:rPr>
                <w:sz w:val="20"/>
                <w:szCs w:val="20"/>
              </w:rPr>
            </w:pPr>
            <w:r>
              <w:rPr>
                <w:rFonts w:ascii="Arial" w:eastAsia="Arial" w:hAnsi="Arial" w:cs="Arial"/>
                <w:sz w:val="18"/>
                <w:szCs w:val="18"/>
              </w:rPr>
              <w:t>(150)</w:t>
            </w:r>
          </w:p>
        </w:tc>
        <w:tc>
          <w:tcPr>
            <w:tcW w:w="0" w:type="dxa"/>
            <w:vAlign w:val="bottom"/>
          </w:tcPr>
          <w:p w14:paraId="565E9DB4" w14:textId="77777777" w:rsidR="00D1587D" w:rsidRDefault="00D1587D">
            <w:pPr>
              <w:rPr>
                <w:sz w:val="1"/>
                <w:szCs w:val="1"/>
              </w:rPr>
            </w:pPr>
          </w:p>
        </w:tc>
      </w:tr>
      <w:tr w:rsidR="00D1587D" w14:paraId="04530C20" w14:textId="77777777">
        <w:trPr>
          <w:trHeight w:val="54"/>
        </w:trPr>
        <w:tc>
          <w:tcPr>
            <w:tcW w:w="5680" w:type="dxa"/>
            <w:vAlign w:val="bottom"/>
          </w:tcPr>
          <w:p w14:paraId="2F39D34C" w14:textId="77777777" w:rsidR="00D1587D" w:rsidRDefault="00D1587D">
            <w:pPr>
              <w:rPr>
                <w:sz w:val="4"/>
                <w:szCs w:val="4"/>
              </w:rPr>
            </w:pPr>
          </w:p>
        </w:tc>
        <w:tc>
          <w:tcPr>
            <w:tcW w:w="80" w:type="dxa"/>
            <w:vAlign w:val="bottom"/>
          </w:tcPr>
          <w:p w14:paraId="586BD0AB" w14:textId="77777777" w:rsidR="00D1587D" w:rsidRDefault="00D1587D">
            <w:pPr>
              <w:rPr>
                <w:sz w:val="4"/>
                <w:szCs w:val="4"/>
              </w:rPr>
            </w:pPr>
          </w:p>
        </w:tc>
        <w:tc>
          <w:tcPr>
            <w:tcW w:w="160" w:type="dxa"/>
            <w:vAlign w:val="bottom"/>
          </w:tcPr>
          <w:p w14:paraId="3B310398" w14:textId="77777777" w:rsidR="00D1587D" w:rsidRDefault="00D1587D">
            <w:pPr>
              <w:rPr>
                <w:sz w:val="4"/>
                <w:szCs w:val="4"/>
              </w:rPr>
            </w:pPr>
          </w:p>
        </w:tc>
        <w:tc>
          <w:tcPr>
            <w:tcW w:w="500" w:type="dxa"/>
            <w:vAlign w:val="bottom"/>
          </w:tcPr>
          <w:p w14:paraId="62639F08" w14:textId="77777777" w:rsidR="00D1587D" w:rsidRDefault="00D1587D">
            <w:pPr>
              <w:rPr>
                <w:sz w:val="4"/>
                <w:szCs w:val="4"/>
              </w:rPr>
            </w:pPr>
          </w:p>
        </w:tc>
        <w:tc>
          <w:tcPr>
            <w:tcW w:w="180" w:type="dxa"/>
            <w:vAlign w:val="bottom"/>
          </w:tcPr>
          <w:p w14:paraId="22D8D451" w14:textId="77777777" w:rsidR="00D1587D" w:rsidRDefault="00D1587D">
            <w:pPr>
              <w:rPr>
                <w:sz w:val="4"/>
                <w:szCs w:val="4"/>
              </w:rPr>
            </w:pPr>
          </w:p>
        </w:tc>
        <w:tc>
          <w:tcPr>
            <w:tcW w:w="360" w:type="dxa"/>
            <w:vAlign w:val="bottom"/>
          </w:tcPr>
          <w:p w14:paraId="7355FC2B" w14:textId="77777777" w:rsidR="00D1587D" w:rsidRDefault="00D1587D">
            <w:pPr>
              <w:rPr>
                <w:sz w:val="4"/>
                <w:szCs w:val="4"/>
              </w:rPr>
            </w:pPr>
          </w:p>
        </w:tc>
        <w:tc>
          <w:tcPr>
            <w:tcW w:w="580" w:type="dxa"/>
            <w:vAlign w:val="bottom"/>
          </w:tcPr>
          <w:p w14:paraId="44B7E82B" w14:textId="77777777" w:rsidR="00D1587D" w:rsidRDefault="00D1587D">
            <w:pPr>
              <w:rPr>
                <w:sz w:val="4"/>
                <w:szCs w:val="4"/>
              </w:rPr>
            </w:pPr>
          </w:p>
        </w:tc>
        <w:tc>
          <w:tcPr>
            <w:tcW w:w="180" w:type="dxa"/>
            <w:vAlign w:val="bottom"/>
          </w:tcPr>
          <w:p w14:paraId="5E529ED9" w14:textId="77777777" w:rsidR="00D1587D" w:rsidRDefault="00D1587D">
            <w:pPr>
              <w:rPr>
                <w:sz w:val="4"/>
                <w:szCs w:val="4"/>
              </w:rPr>
            </w:pPr>
          </w:p>
        </w:tc>
        <w:tc>
          <w:tcPr>
            <w:tcW w:w="180" w:type="dxa"/>
            <w:vAlign w:val="bottom"/>
          </w:tcPr>
          <w:p w14:paraId="22A4D3E2" w14:textId="77777777" w:rsidR="00D1587D" w:rsidRDefault="00D1587D">
            <w:pPr>
              <w:rPr>
                <w:sz w:val="4"/>
                <w:szCs w:val="4"/>
              </w:rPr>
            </w:pPr>
          </w:p>
        </w:tc>
        <w:tc>
          <w:tcPr>
            <w:tcW w:w="520" w:type="dxa"/>
            <w:vAlign w:val="bottom"/>
          </w:tcPr>
          <w:p w14:paraId="286151E8" w14:textId="77777777" w:rsidR="00D1587D" w:rsidRDefault="00D1587D">
            <w:pPr>
              <w:rPr>
                <w:sz w:val="4"/>
                <w:szCs w:val="4"/>
              </w:rPr>
            </w:pPr>
          </w:p>
        </w:tc>
        <w:tc>
          <w:tcPr>
            <w:tcW w:w="0" w:type="dxa"/>
            <w:vAlign w:val="bottom"/>
          </w:tcPr>
          <w:p w14:paraId="388FEBBA" w14:textId="77777777" w:rsidR="00D1587D" w:rsidRDefault="00D1587D">
            <w:pPr>
              <w:rPr>
                <w:sz w:val="1"/>
                <w:szCs w:val="1"/>
              </w:rPr>
            </w:pPr>
          </w:p>
        </w:tc>
      </w:tr>
      <w:tr w:rsidR="00D1587D" w14:paraId="71BCFBCB" w14:textId="77777777">
        <w:trPr>
          <w:trHeight w:val="270"/>
        </w:trPr>
        <w:tc>
          <w:tcPr>
            <w:tcW w:w="5760" w:type="dxa"/>
            <w:gridSpan w:val="2"/>
            <w:shd w:val="clear" w:color="auto" w:fill="CCEEFF"/>
            <w:vAlign w:val="bottom"/>
          </w:tcPr>
          <w:p w14:paraId="0104DB08" w14:textId="77777777" w:rsidR="00D1587D" w:rsidRDefault="00410D07">
            <w:pPr>
              <w:rPr>
                <w:sz w:val="20"/>
                <w:szCs w:val="20"/>
              </w:rPr>
            </w:pPr>
            <w:r>
              <w:rPr>
                <w:rFonts w:ascii="Arial" w:eastAsia="Arial" w:hAnsi="Arial" w:cs="Arial"/>
                <w:sz w:val="18"/>
                <w:szCs w:val="18"/>
              </w:rPr>
              <w:t xml:space="preserve">Benefit for </w:t>
            </w:r>
            <w:r>
              <w:rPr>
                <w:rFonts w:ascii="Arial" w:eastAsia="Arial" w:hAnsi="Arial" w:cs="Arial"/>
                <w:sz w:val="18"/>
                <w:szCs w:val="18"/>
              </w:rPr>
              <w:t>Income Taxes</w:t>
            </w:r>
          </w:p>
        </w:tc>
        <w:tc>
          <w:tcPr>
            <w:tcW w:w="160" w:type="dxa"/>
            <w:shd w:val="clear" w:color="auto" w:fill="CCEEFF"/>
            <w:vAlign w:val="bottom"/>
          </w:tcPr>
          <w:p w14:paraId="3253663F" w14:textId="77777777" w:rsidR="00D1587D" w:rsidRDefault="00D1587D">
            <w:pPr>
              <w:rPr>
                <w:sz w:val="23"/>
                <w:szCs w:val="23"/>
              </w:rPr>
            </w:pPr>
          </w:p>
        </w:tc>
        <w:tc>
          <w:tcPr>
            <w:tcW w:w="500" w:type="dxa"/>
            <w:shd w:val="clear" w:color="auto" w:fill="CCEEFF"/>
            <w:vAlign w:val="bottom"/>
          </w:tcPr>
          <w:p w14:paraId="44865C66" w14:textId="77777777" w:rsidR="00D1587D" w:rsidRDefault="00410D07">
            <w:pPr>
              <w:jc w:val="right"/>
              <w:rPr>
                <w:sz w:val="20"/>
                <w:szCs w:val="20"/>
              </w:rPr>
            </w:pPr>
            <w:r>
              <w:rPr>
                <w:rFonts w:ascii="Arial" w:eastAsia="Arial" w:hAnsi="Arial" w:cs="Arial"/>
                <w:sz w:val="18"/>
                <w:szCs w:val="18"/>
              </w:rPr>
              <w:t>(34)</w:t>
            </w:r>
          </w:p>
        </w:tc>
        <w:tc>
          <w:tcPr>
            <w:tcW w:w="180" w:type="dxa"/>
            <w:shd w:val="clear" w:color="auto" w:fill="CCEEFF"/>
            <w:vAlign w:val="bottom"/>
          </w:tcPr>
          <w:p w14:paraId="71938E67" w14:textId="77777777" w:rsidR="00D1587D" w:rsidRDefault="00D1587D">
            <w:pPr>
              <w:rPr>
                <w:sz w:val="23"/>
                <w:szCs w:val="23"/>
              </w:rPr>
            </w:pPr>
          </w:p>
        </w:tc>
        <w:tc>
          <w:tcPr>
            <w:tcW w:w="360" w:type="dxa"/>
            <w:shd w:val="clear" w:color="auto" w:fill="CCEEFF"/>
            <w:vAlign w:val="bottom"/>
          </w:tcPr>
          <w:p w14:paraId="44CB09BE" w14:textId="77777777" w:rsidR="00D1587D" w:rsidRDefault="00D1587D">
            <w:pPr>
              <w:rPr>
                <w:sz w:val="23"/>
                <w:szCs w:val="23"/>
              </w:rPr>
            </w:pPr>
          </w:p>
        </w:tc>
        <w:tc>
          <w:tcPr>
            <w:tcW w:w="760" w:type="dxa"/>
            <w:gridSpan w:val="2"/>
            <w:shd w:val="clear" w:color="auto" w:fill="CCEEFF"/>
            <w:vAlign w:val="bottom"/>
          </w:tcPr>
          <w:p w14:paraId="3C418F79" w14:textId="77777777" w:rsidR="00D1587D" w:rsidRDefault="00410D07">
            <w:pPr>
              <w:ind w:right="180"/>
              <w:jc w:val="right"/>
              <w:rPr>
                <w:sz w:val="20"/>
                <w:szCs w:val="20"/>
              </w:rPr>
            </w:pPr>
            <w:r>
              <w:rPr>
                <w:rFonts w:ascii="Arial" w:eastAsia="Arial" w:hAnsi="Arial" w:cs="Arial"/>
                <w:sz w:val="18"/>
                <w:szCs w:val="18"/>
              </w:rPr>
              <w:t>(11)(c)</w:t>
            </w:r>
          </w:p>
        </w:tc>
        <w:tc>
          <w:tcPr>
            <w:tcW w:w="180" w:type="dxa"/>
            <w:shd w:val="clear" w:color="auto" w:fill="CCEEFF"/>
            <w:vAlign w:val="bottom"/>
          </w:tcPr>
          <w:p w14:paraId="3A29D971" w14:textId="77777777" w:rsidR="00D1587D" w:rsidRDefault="00D1587D">
            <w:pPr>
              <w:rPr>
                <w:sz w:val="23"/>
                <w:szCs w:val="23"/>
              </w:rPr>
            </w:pPr>
          </w:p>
        </w:tc>
        <w:tc>
          <w:tcPr>
            <w:tcW w:w="520" w:type="dxa"/>
            <w:shd w:val="clear" w:color="auto" w:fill="CCEEFF"/>
            <w:vAlign w:val="bottom"/>
          </w:tcPr>
          <w:p w14:paraId="72879EA3" w14:textId="77777777" w:rsidR="00D1587D" w:rsidRDefault="00410D07">
            <w:pPr>
              <w:jc w:val="right"/>
              <w:rPr>
                <w:sz w:val="20"/>
                <w:szCs w:val="20"/>
              </w:rPr>
            </w:pPr>
            <w:r>
              <w:rPr>
                <w:rFonts w:ascii="Arial" w:eastAsia="Arial" w:hAnsi="Arial" w:cs="Arial"/>
                <w:sz w:val="18"/>
                <w:szCs w:val="18"/>
              </w:rPr>
              <w:t>(45)</w:t>
            </w:r>
          </w:p>
        </w:tc>
        <w:tc>
          <w:tcPr>
            <w:tcW w:w="0" w:type="dxa"/>
            <w:vAlign w:val="bottom"/>
          </w:tcPr>
          <w:p w14:paraId="57DDC435" w14:textId="77777777" w:rsidR="00D1587D" w:rsidRDefault="00D1587D">
            <w:pPr>
              <w:rPr>
                <w:sz w:val="1"/>
                <w:szCs w:val="1"/>
              </w:rPr>
            </w:pPr>
          </w:p>
        </w:tc>
      </w:tr>
      <w:tr w:rsidR="00D1587D" w14:paraId="27705A95" w14:textId="77777777">
        <w:trPr>
          <w:trHeight w:val="68"/>
        </w:trPr>
        <w:tc>
          <w:tcPr>
            <w:tcW w:w="5680" w:type="dxa"/>
            <w:shd w:val="clear" w:color="auto" w:fill="CCEEFF"/>
            <w:vAlign w:val="bottom"/>
          </w:tcPr>
          <w:p w14:paraId="7A149314" w14:textId="77777777" w:rsidR="00D1587D" w:rsidRDefault="00D1587D">
            <w:pPr>
              <w:rPr>
                <w:sz w:val="5"/>
                <w:szCs w:val="5"/>
              </w:rPr>
            </w:pPr>
          </w:p>
        </w:tc>
        <w:tc>
          <w:tcPr>
            <w:tcW w:w="80" w:type="dxa"/>
            <w:tcBorders>
              <w:bottom w:val="single" w:sz="8" w:space="0" w:color="CCEEFF"/>
            </w:tcBorders>
            <w:shd w:val="clear" w:color="auto" w:fill="CCEEFF"/>
            <w:vAlign w:val="bottom"/>
          </w:tcPr>
          <w:p w14:paraId="025B5BAF" w14:textId="77777777" w:rsidR="00D1587D" w:rsidRDefault="00D1587D">
            <w:pPr>
              <w:rPr>
                <w:sz w:val="5"/>
                <w:szCs w:val="5"/>
              </w:rPr>
            </w:pPr>
          </w:p>
        </w:tc>
        <w:tc>
          <w:tcPr>
            <w:tcW w:w="160" w:type="dxa"/>
            <w:tcBorders>
              <w:bottom w:val="single" w:sz="8" w:space="0" w:color="auto"/>
            </w:tcBorders>
            <w:shd w:val="clear" w:color="auto" w:fill="CCEEFF"/>
            <w:vAlign w:val="bottom"/>
          </w:tcPr>
          <w:p w14:paraId="05D8EDF8" w14:textId="77777777" w:rsidR="00D1587D" w:rsidRDefault="00D1587D">
            <w:pPr>
              <w:rPr>
                <w:sz w:val="5"/>
                <w:szCs w:val="5"/>
              </w:rPr>
            </w:pPr>
          </w:p>
        </w:tc>
        <w:tc>
          <w:tcPr>
            <w:tcW w:w="500" w:type="dxa"/>
            <w:tcBorders>
              <w:bottom w:val="single" w:sz="8" w:space="0" w:color="auto"/>
            </w:tcBorders>
            <w:shd w:val="clear" w:color="auto" w:fill="CCEEFF"/>
            <w:vAlign w:val="bottom"/>
          </w:tcPr>
          <w:p w14:paraId="6E2DE8B5" w14:textId="77777777" w:rsidR="00D1587D" w:rsidRDefault="00D1587D">
            <w:pPr>
              <w:rPr>
                <w:sz w:val="5"/>
                <w:szCs w:val="5"/>
              </w:rPr>
            </w:pPr>
          </w:p>
        </w:tc>
        <w:tc>
          <w:tcPr>
            <w:tcW w:w="180" w:type="dxa"/>
            <w:tcBorders>
              <w:bottom w:val="single" w:sz="8" w:space="0" w:color="CCEEFF"/>
            </w:tcBorders>
            <w:shd w:val="clear" w:color="auto" w:fill="CCEEFF"/>
            <w:vAlign w:val="bottom"/>
          </w:tcPr>
          <w:p w14:paraId="72455FA1" w14:textId="77777777" w:rsidR="00D1587D" w:rsidRDefault="00D1587D">
            <w:pPr>
              <w:rPr>
                <w:sz w:val="5"/>
                <w:szCs w:val="5"/>
              </w:rPr>
            </w:pPr>
          </w:p>
        </w:tc>
        <w:tc>
          <w:tcPr>
            <w:tcW w:w="360" w:type="dxa"/>
            <w:tcBorders>
              <w:bottom w:val="single" w:sz="8" w:space="0" w:color="auto"/>
            </w:tcBorders>
            <w:shd w:val="clear" w:color="auto" w:fill="CCEEFF"/>
            <w:vAlign w:val="bottom"/>
          </w:tcPr>
          <w:p w14:paraId="6A72862B" w14:textId="77777777" w:rsidR="00D1587D" w:rsidRDefault="00D1587D">
            <w:pPr>
              <w:rPr>
                <w:sz w:val="5"/>
                <w:szCs w:val="5"/>
              </w:rPr>
            </w:pPr>
          </w:p>
        </w:tc>
        <w:tc>
          <w:tcPr>
            <w:tcW w:w="580" w:type="dxa"/>
            <w:tcBorders>
              <w:bottom w:val="single" w:sz="8" w:space="0" w:color="auto"/>
            </w:tcBorders>
            <w:shd w:val="clear" w:color="auto" w:fill="CCEEFF"/>
            <w:vAlign w:val="bottom"/>
          </w:tcPr>
          <w:p w14:paraId="46920200" w14:textId="77777777" w:rsidR="00D1587D" w:rsidRDefault="00D1587D">
            <w:pPr>
              <w:rPr>
                <w:sz w:val="5"/>
                <w:szCs w:val="5"/>
              </w:rPr>
            </w:pPr>
          </w:p>
        </w:tc>
        <w:tc>
          <w:tcPr>
            <w:tcW w:w="180" w:type="dxa"/>
            <w:tcBorders>
              <w:bottom w:val="single" w:sz="8" w:space="0" w:color="CCEEFF"/>
            </w:tcBorders>
            <w:shd w:val="clear" w:color="auto" w:fill="CCEEFF"/>
            <w:vAlign w:val="bottom"/>
          </w:tcPr>
          <w:p w14:paraId="6A63A6CB" w14:textId="77777777" w:rsidR="00D1587D" w:rsidRDefault="00D1587D">
            <w:pPr>
              <w:rPr>
                <w:sz w:val="5"/>
                <w:szCs w:val="5"/>
              </w:rPr>
            </w:pPr>
          </w:p>
        </w:tc>
        <w:tc>
          <w:tcPr>
            <w:tcW w:w="180" w:type="dxa"/>
            <w:tcBorders>
              <w:bottom w:val="single" w:sz="8" w:space="0" w:color="auto"/>
            </w:tcBorders>
            <w:shd w:val="clear" w:color="auto" w:fill="CCEEFF"/>
            <w:vAlign w:val="bottom"/>
          </w:tcPr>
          <w:p w14:paraId="0C02B010" w14:textId="77777777" w:rsidR="00D1587D" w:rsidRDefault="00D1587D">
            <w:pPr>
              <w:rPr>
                <w:sz w:val="5"/>
                <w:szCs w:val="5"/>
              </w:rPr>
            </w:pPr>
          </w:p>
        </w:tc>
        <w:tc>
          <w:tcPr>
            <w:tcW w:w="520" w:type="dxa"/>
            <w:tcBorders>
              <w:bottom w:val="single" w:sz="8" w:space="0" w:color="auto"/>
            </w:tcBorders>
            <w:shd w:val="clear" w:color="auto" w:fill="CCEEFF"/>
            <w:vAlign w:val="bottom"/>
          </w:tcPr>
          <w:p w14:paraId="5E290205" w14:textId="77777777" w:rsidR="00D1587D" w:rsidRDefault="00D1587D">
            <w:pPr>
              <w:rPr>
                <w:sz w:val="5"/>
                <w:szCs w:val="5"/>
              </w:rPr>
            </w:pPr>
          </w:p>
        </w:tc>
        <w:tc>
          <w:tcPr>
            <w:tcW w:w="0" w:type="dxa"/>
            <w:vAlign w:val="bottom"/>
          </w:tcPr>
          <w:p w14:paraId="663F5A19" w14:textId="77777777" w:rsidR="00D1587D" w:rsidRDefault="00D1587D">
            <w:pPr>
              <w:rPr>
                <w:sz w:val="1"/>
                <w:szCs w:val="1"/>
              </w:rPr>
            </w:pPr>
          </w:p>
        </w:tc>
      </w:tr>
      <w:tr w:rsidR="00D1587D" w14:paraId="51DBB3FE" w14:textId="77777777">
        <w:trPr>
          <w:trHeight w:val="304"/>
        </w:trPr>
        <w:tc>
          <w:tcPr>
            <w:tcW w:w="5760" w:type="dxa"/>
            <w:gridSpan w:val="2"/>
            <w:vAlign w:val="bottom"/>
          </w:tcPr>
          <w:p w14:paraId="1C4FD661" w14:textId="77777777" w:rsidR="00D1587D" w:rsidRDefault="00410D07">
            <w:pPr>
              <w:rPr>
                <w:sz w:val="20"/>
                <w:szCs w:val="20"/>
              </w:rPr>
            </w:pPr>
            <w:r>
              <w:rPr>
                <w:rFonts w:ascii="Arial" w:eastAsia="Arial" w:hAnsi="Arial" w:cs="Arial"/>
                <w:sz w:val="18"/>
                <w:szCs w:val="18"/>
              </w:rPr>
              <w:t>Net Loss</w:t>
            </w:r>
          </w:p>
        </w:tc>
        <w:tc>
          <w:tcPr>
            <w:tcW w:w="160" w:type="dxa"/>
            <w:vAlign w:val="bottom"/>
          </w:tcPr>
          <w:p w14:paraId="3DE00F52" w14:textId="77777777" w:rsidR="00D1587D" w:rsidRDefault="00410D07">
            <w:pPr>
              <w:ind w:left="40"/>
              <w:rPr>
                <w:sz w:val="20"/>
                <w:szCs w:val="20"/>
              </w:rPr>
            </w:pPr>
            <w:r>
              <w:rPr>
                <w:rFonts w:ascii="Arial" w:eastAsia="Arial" w:hAnsi="Arial" w:cs="Arial"/>
                <w:w w:val="99"/>
                <w:sz w:val="18"/>
                <w:szCs w:val="18"/>
              </w:rPr>
              <w:t>$</w:t>
            </w:r>
          </w:p>
        </w:tc>
        <w:tc>
          <w:tcPr>
            <w:tcW w:w="500" w:type="dxa"/>
            <w:vAlign w:val="bottom"/>
          </w:tcPr>
          <w:p w14:paraId="57B88C96" w14:textId="77777777" w:rsidR="00D1587D" w:rsidRDefault="00410D07">
            <w:pPr>
              <w:jc w:val="right"/>
              <w:rPr>
                <w:sz w:val="20"/>
                <w:szCs w:val="20"/>
              </w:rPr>
            </w:pPr>
            <w:r>
              <w:rPr>
                <w:rFonts w:ascii="Arial" w:eastAsia="Arial" w:hAnsi="Arial" w:cs="Arial"/>
                <w:sz w:val="18"/>
                <w:szCs w:val="18"/>
              </w:rPr>
              <w:t>(72)</w:t>
            </w:r>
          </w:p>
        </w:tc>
        <w:tc>
          <w:tcPr>
            <w:tcW w:w="180" w:type="dxa"/>
            <w:vAlign w:val="bottom"/>
          </w:tcPr>
          <w:p w14:paraId="5DF6417D" w14:textId="77777777" w:rsidR="00D1587D" w:rsidRDefault="00D1587D">
            <w:pPr>
              <w:rPr>
                <w:sz w:val="24"/>
                <w:szCs w:val="24"/>
              </w:rPr>
            </w:pPr>
          </w:p>
        </w:tc>
        <w:tc>
          <w:tcPr>
            <w:tcW w:w="360" w:type="dxa"/>
            <w:vAlign w:val="bottom"/>
          </w:tcPr>
          <w:p w14:paraId="4B3B40EF" w14:textId="77777777" w:rsidR="00D1587D" w:rsidRDefault="00410D07">
            <w:pPr>
              <w:jc w:val="right"/>
              <w:rPr>
                <w:sz w:val="20"/>
                <w:szCs w:val="20"/>
              </w:rPr>
            </w:pPr>
            <w:r>
              <w:rPr>
                <w:rFonts w:ascii="Arial" w:eastAsia="Arial" w:hAnsi="Arial" w:cs="Arial"/>
                <w:sz w:val="18"/>
                <w:szCs w:val="18"/>
              </w:rPr>
              <w:t>$</w:t>
            </w:r>
          </w:p>
        </w:tc>
        <w:tc>
          <w:tcPr>
            <w:tcW w:w="760" w:type="dxa"/>
            <w:gridSpan w:val="2"/>
            <w:vAlign w:val="bottom"/>
          </w:tcPr>
          <w:p w14:paraId="3B36F993" w14:textId="77777777" w:rsidR="00D1587D" w:rsidRDefault="00410D07">
            <w:pPr>
              <w:ind w:right="180"/>
              <w:jc w:val="right"/>
              <w:rPr>
                <w:sz w:val="20"/>
                <w:szCs w:val="20"/>
              </w:rPr>
            </w:pPr>
            <w:r>
              <w:rPr>
                <w:rFonts w:ascii="Arial" w:eastAsia="Arial" w:hAnsi="Arial" w:cs="Arial"/>
                <w:sz w:val="18"/>
                <w:szCs w:val="18"/>
              </w:rPr>
              <w:t>(33)</w:t>
            </w:r>
          </w:p>
        </w:tc>
        <w:tc>
          <w:tcPr>
            <w:tcW w:w="180" w:type="dxa"/>
            <w:vAlign w:val="bottom"/>
          </w:tcPr>
          <w:p w14:paraId="471153B2" w14:textId="77777777" w:rsidR="00D1587D" w:rsidRDefault="00410D07">
            <w:pPr>
              <w:jc w:val="right"/>
              <w:rPr>
                <w:sz w:val="20"/>
                <w:szCs w:val="20"/>
              </w:rPr>
            </w:pPr>
            <w:r>
              <w:rPr>
                <w:rFonts w:ascii="Arial" w:eastAsia="Arial" w:hAnsi="Arial" w:cs="Arial"/>
                <w:sz w:val="18"/>
                <w:szCs w:val="18"/>
              </w:rPr>
              <w:t>$</w:t>
            </w:r>
          </w:p>
        </w:tc>
        <w:tc>
          <w:tcPr>
            <w:tcW w:w="520" w:type="dxa"/>
            <w:vAlign w:val="bottom"/>
          </w:tcPr>
          <w:p w14:paraId="7EC49E97" w14:textId="77777777" w:rsidR="00D1587D" w:rsidRDefault="00410D07">
            <w:pPr>
              <w:jc w:val="right"/>
              <w:rPr>
                <w:sz w:val="20"/>
                <w:szCs w:val="20"/>
              </w:rPr>
            </w:pPr>
            <w:r>
              <w:rPr>
                <w:rFonts w:ascii="Arial" w:eastAsia="Arial" w:hAnsi="Arial" w:cs="Arial"/>
                <w:sz w:val="18"/>
                <w:szCs w:val="18"/>
              </w:rPr>
              <w:t>(105)</w:t>
            </w:r>
          </w:p>
        </w:tc>
        <w:tc>
          <w:tcPr>
            <w:tcW w:w="0" w:type="dxa"/>
            <w:vAlign w:val="bottom"/>
          </w:tcPr>
          <w:p w14:paraId="5804F945" w14:textId="77777777" w:rsidR="00D1587D" w:rsidRDefault="00D1587D">
            <w:pPr>
              <w:rPr>
                <w:sz w:val="1"/>
                <w:szCs w:val="1"/>
              </w:rPr>
            </w:pPr>
          </w:p>
        </w:tc>
      </w:tr>
      <w:tr w:rsidR="00D1587D" w14:paraId="774B148B" w14:textId="77777777">
        <w:trPr>
          <w:trHeight w:val="68"/>
        </w:trPr>
        <w:tc>
          <w:tcPr>
            <w:tcW w:w="5680" w:type="dxa"/>
            <w:vAlign w:val="bottom"/>
          </w:tcPr>
          <w:p w14:paraId="7494EEA3" w14:textId="77777777" w:rsidR="00D1587D" w:rsidRDefault="00D1587D">
            <w:pPr>
              <w:rPr>
                <w:sz w:val="5"/>
                <w:szCs w:val="5"/>
              </w:rPr>
            </w:pPr>
          </w:p>
        </w:tc>
        <w:tc>
          <w:tcPr>
            <w:tcW w:w="80" w:type="dxa"/>
            <w:vAlign w:val="bottom"/>
          </w:tcPr>
          <w:p w14:paraId="1093DB7A" w14:textId="77777777" w:rsidR="00D1587D" w:rsidRDefault="00D1587D">
            <w:pPr>
              <w:rPr>
                <w:sz w:val="5"/>
                <w:szCs w:val="5"/>
              </w:rPr>
            </w:pPr>
          </w:p>
        </w:tc>
        <w:tc>
          <w:tcPr>
            <w:tcW w:w="160" w:type="dxa"/>
            <w:tcBorders>
              <w:bottom w:val="single" w:sz="8" w:space="0" w:color="auto"/>
            </w:tcBorders>
            <w:vAlign w:val="bottom"/>
          </w:tcPr>
          <w:p w14:paraId="13579F54" w14:textId="77777777" w:rsidR="00D1587D" w:rsidRDefault="00D1587D">
            <w:pPr>
              <w:rPr>
                <w:sz w:val="5"/>
                <w:szCs w:val="5"/>
              </w:rPr>
            </w:pPr>
          </w:p>
        </w:tc>
        <w:tc>
          <w:tcPr>
            <w:tcW w:w="500" w:type="dxa"/>
            <w:tcBorders>
              <w:bottom w:val="single" w:sz="8" w:space="0" w:color="auto"/>
            </w:tcBorders>
            <w:vAlign w:val="bottom"/>
          </w:tcPr>
          <w:p w14:paraId="23882259" w14:textId="77777777" w:rsidR="00D1587D" w:rsidRDefault="00D1587D">
            <w:pPr>
              <w:rPr>
                <w:sz w:val="5"/>
                <w:szCs w:val="5"/>
              </w:rPr>
            </w:pPr>
          </w:p>
        </w:tc>
        <w:tc>
          <w:tcPr>
            <w:tcW w:w="180" w:type="dxa"/>
            <w:vAlign w:val="bottom"/>
          </w:tcPr>
          <w:p w14:paraId="389A7917" w14:textId="77777777" w:rsidR="00D1587D" w:rsidRDefault="00D1587D">
            <w:pPr>
              <w:rPr>
                <w:sz w:val="5"/>
                <w:szCs w:val="5"/>
              </w:rPr>
            </w:pPr>
          </w:p>
        </w:tc>
        <w:tc>
          <w:tcPr>
            <w:tcW w:w="360" w:type="dxa"/>
            <w:tcBorders>
              <w:bottom w:val="single" w:sz="8" w:space="0" w:color="auto"/>
            </w:tcBorders>
            <w:vAlign w:val="bottom"/>
          </w:tcPr>
          <w:p w14:paraId="19242925" w14:textId="77777777" w:rsidR="00D1587D" w:rsidRDefault="00D1587D">
            <w:pPr>
              <w:rPr>
                <w:sz w:val="5"/>
                <w:szCs w:val="5"/>
              </w:rPr>
            </w:pPr>
          </w:p>
        </w:tc>
        <w:tc>
          <w:tcPr>
            <w:tcW w:w="580" w:type="dxa"/>
            <w:tcBorders>
              <w:bottom w:val="single" w:sz="8" w:space="0" w:color="auto"/>
            </w:tcBorders>
            <w:vAlign w:val="bottom"/>
          </w:tcPr>
          <w:p w14:paraId="1B4B365A" w14:textId="77777777" w:rsidR="00D1587D" w:rsidRDefault="00D1587D">
            <w:pPr>
              <w:rPr>
                <w:sz w:val="5"/>
                <w:szCs w:val="5"/>
              </w:rPr>
            </w:pPr>
          </w:p>
        </w:tc>
        <w:tc>
          <w:tcPr>
            <w:tcW w:w="180" w:type="dxa"/>
            <w:vAlign w:val="bottom"/>
          </w:tcPr>
          <w:p w14:paraId="2F70E03B" w14:textId="77777777" w:rsidR="00D1587D" w:rsidRDefault="00D1587D">
            <w:pPr>
              <w:rPr>
                <w:sz w:val="5"/>
                <w:szCs w:val="5"/>
              </w:rPr>
            </w:pPr>
          </w:p>
        </w:tc>
        <w:tc>
          <w:tcPr>
            <w:tcW w:w="180" w:type="dxa"/>
            <w:tcBorders>
              <w:bottom w:val="single" w:sz="8" w:space="0" w:color="auto"/>
            </w:tcBorders>
            <w:vAlign w:val="bottom"/>
          </w:tcPr>
          <w:p w14:paraId="1857007E" w14:textId="77777777" w:rsidR="00D1587D" w:rsidRDefault="00D1587D">
            <w:pPr>
              <w:rPr>
                <w:sz w:val="5"/>
                <w:szCs w:val="5"/>
              </w:rPr>
            </w:pPr>
          </w:p>
        </w:tc>
        <w:tc>
          <w:tcPr>
            <w:tcW w:w="520" w:type="dxa"/>
            <w:tcBorders>
              <w:bottom w:val="single" w:sz="8" w:space="0" w:color="auto"/>
            </w:tcBorders>
            <w:vAlign w:val="bottom"/>
          </w:tcPr>
          <w:p w14:paraId="5CBA9912" w14:textId="77777777" w:rsidR="00D1587D" w:rsidRDefault="00D1587D">
            <w:pPr>
              <w:rPr>
                <w:sz w:val="5"/>
                <w:szCs w:val="5"/>
              </w:rPr>
            </w:pPr>
          </w:p>
        </w:tc>
        <w:tc>
          <w:tcPr>
            <w:tcW w:w="0" w:type="dxa"/>
            <w:vAlign w:val="bottom"/>
          </w:tcPr>
          <w:p w14:paraId="7D8F2353" w14:textId="77777777" w:rsidR="00D1587D" w:rsidRDefault="00D1587D">
            <w:pPr>
              <w:rPr>
                <w:sz w:val="1"/>
                <w:szCs w:val="1"/>
              </w:rPr>
            </w:pPr>
          </w:p>
        </w:tc>
      </w:tr>
      <w:tr w:rsidR="00D1587D" w14:paraId="243CF444" w14:textId="77777777">
        <w:trPr>
          <w:trHeight w:val="20"/>
        </w:trPr>
        <w:tc>
          <w:tcPr>
            <w:tcW w:w="5680" w:type="dxa"/>
            <w:tcBorders>
              <w:bottom w:val="single" w:sz="8" w:space="0" w:color="CCEEFF"/>
            </w:tcBorders>
            <w:vAlign w:val="bottom"/>
          </w:tcPr>
          <w:p w14:paraId="16602032" w14:textId="77777777" w:rsidR="00D1587D" w:rsidRDefault="00D1587D">
            <w:pPr>
              <w:spacing w:line="20" w:lineRule="exact"/>
              <w:rPr>
                <w:sz w:val="1"/>
                <w:szCs w:val="1"/>
              </w:rPr>
            </w:pPr>
          </w:p>
        </w:tc>
        <w:tc>
          <w:tcPr>
            <w:tcW w:w="80" w:type="dxa"/>
            <w:tcBorders>
              <w:bottom w:val="single" w:sz="8" w:space="0" w:color="CCEEFF"/>
            </w:tcBorders>
            <w:vAlign w:val="bottom"/>
          </w:tcPr>
          <w:p w14:paraId="00BFCFD9" w14:textId="77777777" w:rsidR="00D1587D" w:rsidRDefault="00D1587D">
            <w:pPr>
              <w:spacing w:line="20" w:lineRule="exact"/>
              <w:rPr>
                <w:sz w:val="1"/>
                <w:szCs w:val="1"/>
              </w:rPr>
            </w:pPr>
          </w:p>
        </w:tc>
        <w:tc>
          <w:tcPr>
            <w:tcW w:w="160" w:type="dxa"/>
            <w:tcBorders>
              <w:bottom w:val="single" w:sz="8" w:space="0" w:color="auto"/>
            </w:tcBorders>
            <w:vAlign w:val="bottom"/>
          </w:tcPr>
          <w:p w14:paraId="5995555A" w14:textId="77777777" w:rsidR="00D1587D" w:rsidRDefault="00D1587D">
            <w:pPr>
              <w:spacing w:line="20" w:lineRule="exact"/>
              <w:rPr>
                <w:sz w:val="1"/>
                <w:szCs w:val="1"/>
              </w:rPr>
            </w:pPr>
          </w:p>
        </w:tc>
        <w:tc>
          <w:tcPr>
            <w:tcW w:w="500" w:type="dxa"/>
            <w:tcBorders>
              <w:bottom w:val="single" w:sz="8" w:space="0" w:color="auto"/>
            </w:tcBorders>
            <w:vAlign w:val="bottom"/>
          </w:tcPr>
          <w:p w14:paraId="50F84D44" w14:textId="77777777" w:rsidR="00D1587D" w:rsidRDefault="00D1587D">
            <w:pPr>
              <w:spacing w:line="20" w:lineRule="exact"/>
              <w:rPr>
                <w:sz w:val="1"/>
                <w:szCs w:val="1"/>
              </w:rPr>
            </w:pPr>
          </w:p>
        </w:tc>
        <w:tc>
          <w:tcPr>
            <w:tcW w:w="180" w:type="dxa"/>
            <w:tcBorders>
              <w:bottom w:val="single" w:sz="8" w:space="0" w:color="CCEEFF"/>
            </w:tcBorders>
            <w:vAlign w:val="bottom"/>
          </w:tcPr>
          <w:p w14:paraId="60B8FA66" w14:textId="77777777" w:rsidR="00D1587D" w:rsidRDefault="00D1587D">
            <w:pPr>
              <w:spacing w:line="20" w:lineRule="exact"/>
              <w:rPr>
                <w:sz w:val="1"/>
                <w:szCs w:val="1"/>
              </w:rPr>
            </w:pPr>
          </w:p>
        </w:tc>
        <w:tc>
          <w:tcPr>
            <w:tcW w:w="360" w:type="dxa"/>
            <w:tcBorders>
              <w:bottom w:val="single" w:sz="8" w:space="0" w:color="auto"/>
            </w:tcBorders>
            <w:vAlign w:val="bottom"/>
          </w:tcPr>
          <w:p w14:paraId="336B0CF2" w14:textId="77777777" w:rsidR="00D1587D" w:rsidRDefault="00D1587D">
            <w:pPr>
              <w:spacing w:line="20" w:lineRule="exact"/>
              <w:rPr>
                <w:sz w:val="1"/>
                <w:szCs w:val="1"/>
              </w:rPr>
            </w:pPr>
          </w:p>
        </w:tc>
        <w:tc>
          <w:tcPr>
            <w:tcW w:w="580" w:type="dxa"/>
            <w:tcBorders>
              <w:bottom w:val="single" w:sz="8" w:space="0" w:color="auto"/>
            </w:tcBorders>
            <w:vAlign w:val="bottom"/>
          </w:tcPr>
          <w:p w14:paraId="2CDC7D5A" w14:textId="77777777" w:rsidR="00D1587D" w:rsidRDefault="00D1587D">
            <w:pPr>
              <w:spacing w:line="20" w:lineRule="exact"/>
              <w:rPr>
                <w:sz w:val="1"/>
                <w:szCs w:val="1"/>
              </w:rPr>
            </w:pPr>
          </w:p>
        </w:tc>
        <w:tc>
          <w:tcPr>
            <w:tcW w:w="180" w:type="dxa"/>
            <w:tcBorders>
              <w:bottom w:val="single" w:sz="8" w:space="0" w:color="CCEEFF"/>
            </w:tcBorders>
            <w:vAlign w:val="bottom"/>
          </w:tcPr>
          <w:p w14:paraId="21C1AC94" w14:textId="77777777" w:rsidR="00D1587D" w:rsidRDefault="00D1587D">
            <w:pPr>
              <w:spacing w:line="20" w:lineRule="exact"/>
              <w:rPr>
                <w:sz w:val="1"/>
                <w:szCs w:val="1"/>
              </w:rPr>
            </w:pPr>
          </w:p>
        </w:tc>
        <w:tc>
          <w:tcPr>
            <w:tcW w:w="180" w:type="dxa"/>
            <w:tcBorders>
              <w:bottom w:val="single" w:sz="8" w:space="0" w:color="auto"/>
            </w:tcBorders>
            <w:vAlign w:val="bottom"/>
          </w:tcPr>
          <w:p w14:paraId="1E067D2A" w14:textId="77777777" w:rsidR="00D1587D" w:rsidRDefault="00D1587D">
            <w:pPr>
              <w:spacing w:line="20" w:lineRule="exact"/>
              <w:rPr>
                <w:sz w:val="1"/>
                <w:szCs w:val="1"/>
              </w:rPr>
            </w:pPr>
          </w:p>
        </w:tc>
        <w:tc>
          <w:tcPr>
            <w:tcW w:w="520" w:type="dxa"/>
            <w:tcBorders>
              <w:bottom w:val="single" w:sz="8" w:space="0" w:color="auto"/>
            </w:tcBorders>
            <w:vAlign w:val="bottom"/>
          </w:tcPr>
          <w:p w14:paraId="79FC6E19" w14:textId="77777777" w:rsidR="00D1587D" w:rsidRDefault="00D1587D">
            <w:pPr>
              <w:spacing w:line="20" w:lineRule="exact"/>
              <w:rPr>
                <w:sz w:val="1"/>
                <w:szCs w:val="1"/>
              </w:rPr>
            </w:pPr>
          </w:p>
        </w:tc>
        <w:tc>
          <w:tcPr>
            <w:tcW w:w="0" w:type="dxa"/>
            <w:vAlign w:val="bottom"/>
          </w:tcPr>
          <w:p w14:paraId="6418BDF9" w14:textId="77777777" w:rsidR="00D1587D" w:rsidRDefault="00D1587D">
            <w:pPr>
              <w:spacing w:line="20" w:lineRule="exact"/>
              <w:rPr>
                <w:sz w:val="1"/>
                <w:szCs w:val="1"/>
              </w:rPr>
            </w:pPr>
          </w:p>
        </w:tc>
      </w:tr>
      <w:tr w:rsidR="00D1587D" w14:paraId="4ABF73D3" w14:textId="77777777">
        <w:trPr>
          <w:trHeight w:val="338"/>
        </w:trPr>
        <w:tc>
          <w:tcPr>
            <w:tcW w:w="5760" w:type="dxa"/>
            <w:gridSpan w:val="2"/>
            <w:tcBorders>
              <w:bottom w:val="single" w:sz="8" w:space="0" w:color="CCEEFF"/>
            </w:tcBorders>
            <w:shd w:val="clear" w:color="auto" w:fill="CCEEFF"/>
            <w:vAlign w:val="bottom"/>
          </w:tcPr>
          <w:p w14:paraId="5173A361" w14:textId="77777777" w:rsidR="00D1587D" w:rsidRDefault="00410D07">
            <w:pPr>
              <w:rPr>
                <w:sz w:val="20"/>
                <w:szCs w:val="20"/>
              </w:rPr>
            </w:pPr>
            <w:r>
              <w:rPr>
                <w:rFonts w:ascii="Arial" w:eastAsia="Arial" w:hAnsi="Arial" w:cs="Arial"/>
                <w:sz w:val="18"/>
                <w:szCs w:val="18"/>
              </w:rPr>
              <w:t>Pro forma Net Loss Per Share:</w:t>
            </w:r>
          </w:p>
        </w:tc>
        <w:tc>
          <w:tcPr>
            <w:tcW w:w="160" w:type="dxa"/>
            <w:tcBorders>
              <w:bottom w:val="single" w:sz="8" w:space="0" w:color="CCEEFF"/>
            </w:tcBorders>
            <w:shd w:val="clear" w:color="auto" w:fill="CCEEFF"/>
            <w:vAlign w:val="bottom"/>
          </w:tcPr>
          <w:p w14:paraId="5C4F8F70"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33E954D" w14:textId="77777777" w:rsidR="00D1587D" w:rsidRDefault="00D1587D">
            <w:pPr>
              <w:rPr>
                <w:sz w:val="24"/>
                <w:szCs w:val="24"/>
              </w:rPr>
            </w:pPr>
          </w:p>
        </w:tc>
        <w:tc>
          <w:tcPr>
            <w:tcW w:w="180" w:type="dxa"/>
            <w:tcBorders>
              <w:bottom w:val="single" w:sz="8" w:space="0" w:color="CCEEFF"/>
            </w:tcBorders>
            <w:shd w:val="clear" w:color="auto" w:fill="CCEEFF"/>
            <w:vAlign w:val="bottom"/>
          </w:tcPr>
          <w:p w14:paraId="42F28E1A" w14:textId="77777777" w:rsidR="00D1587D" w:rsidRDefault="00D1587D">
            <w:pPr>
              <w:rPr>
                <w:sz w:val="24"/>
                <w:szCs w:val="24"/>
              </w:rPr>
            </w:pPr>
          </w:p>
        </w:tc>
        <w:tc>
          <w:tcPr>
            <w:tcW w:w="360" w:type="dxa"/>
            <w:tcBorders>
              <w:bottom w:val="single" w:sz="8" w:space="0" w:color="CCEEFF"/>
            </w:tcBorders>
            <w:shd w:val="clear" w:color="auto" w:fill="CCEEFF"/>
            <w:vAlign w:val="bottom"/>
          </w:tcPr>
          <w:p w14:paraId="6E426145" w14:textId="77777777" w:rsidR="00D1587D" w:rsidRDefault="00D1587D">
            <w:pPr>
              <w:rPr>
                <w:sz w:val="24"/>
                <w:szCs w:val="24"/>
              </w:rPr>
            </w:pPr>
          </w:p>
        </w:tc>
        <w:tc>
          <w:tcPr>
            <w:tcW w:w="580" w:type="dxa"/>
            <w:tcBorders>
              <w:bottom w:val="single" w:sz="8" w:space="0" w:color="CCEEFF"/>
            </w:tcBorders>
            <w:shd w:val="clear" w:color="auto" w:fill="CCEEFF"/>
            <w:vAlign w:val="bottom"/>
          </w:tcPr>
          <w:p w14:paraId="039A8E81" w14:textId="77777777" w:rsidR="00D1587D" w:rsidRDefault="00D1587D">
            <w:pPr>
              <w:rPr>
                <w:sz w:val="24"/>
                <w:szCs w:val="24"/>
              </w:rPr>
            </w:pPr>
          </w:p>
        </w:tc>
        <w:tc>
          <w:tcPr>
            <w:tcW w:w="180" w:type="dxa"/>
            <w:tcBorders>
              <w:bottom w:val="single" w:sz="8" w:space="0" w:color="CCEEFF"/>
            </w:tcBorders>
            <w:shd w:val="clear" w:color="auto" w:fill="CCEEFF"/>
            <w:vAlign w:val="bottom"/>
          </w:tcPr>
          <w:p w14:paraId="5B5996D8" w14:textId="77777777" w:rsidR="00D1587D" w:rsidRDefault="00D1587D">
            <w:pPr>
              <w:rPr>
                <w:sz w:val="24"/>
                <w:szCs w:val="24"/>
              </w:rPr>
            </w:pPr>
          </w:p>
        </w:tc>
        <w:tc>
          <w:tcPr>
            <w:tcW w:w="180" w:type="dxa"/>
            <w:tcBorders>
              <w:bottom w:val="single" w:sz="8" w:space="0" w:color="CCEEFF"/>
            </w:tcBorders>
            <w:shd w:val="clear" w:color="auto" w:fill="CCEEFF"/>
            <w:vAlign w:val="bottom"/>
          </w:tcPr>
          <w:p w14:paraId="16FCCE36" w14:textId="77777777" w:rsidR="00D1587D" w:rsidRDefault="00D1587D">
            <w:pPr>
              <w:rPr>
                <w:sz w:val="24"/>
                <w:szCs w:val="24"/>
              </w:rPr>
            </w:pPr>
          </w:p>
        </w:tc>
        <w:tc>
          <w:tcPr>
            <w:tcW w:w="520" w:type="dxa"/>
            <w:tcBorders>
              <w:bottom w:val="single" w:sz="8" w:space="0" w:color="CCEEFF"/>
            </w:tcBorders>
            <w:shd w:val="clear" w:color="auto" w:fill="CCEEFF"/>
            <w:vAlign w:val="bottom"/>
          </w:tcPr>
          <w:p w14:paraId="7B7FBD1D" w14:textId="77777777" w:rsidR="00D1587D" w:rsidRDefault="00D1587D">
            <w:pPr>
              <w:rPr>
                <w:sz w:val="24"/>
                <w:szCs w:val="24"/>
              </w:rPr>
            </w:pPr>
          </w:p>
        </w:tc>
        <w:tc>
          <w:tcPr>
            <w:tcW w:w="0" w:type="dxa"/>
            <w:vAlign w:val="bottom"/>
          </w:tcPr>
          <w:p w14:paraId="6E86F705" w14:textId="77777777" w:rsidR="00D1587D" w:rsidRDefault="00D1587D">
            <w:pPr>
              <w:rPr>
                <w:sz w:val="1"/>
                <w:szCs w:val="1"/>
              </w:rPr>
            </w:pPr>
          </w:p>
        </w:tc>
      </w:tr>
      <w:tr w:rsidR="00D1587D" w14:paraId="20F55230" w14:textId="77777777">
        <w:trPr>
          <w:trHeight w:val="270"/>
        </w:trPr>
        <w:tc>
          <w:tcPr>
            <w:tcW w:w="5760" w:type="dxa"/>
            <w:gridSpan w:val="2"/>
            <w:vAlign w:val="bottom"/>
          </w:tcPr>
          <w:p w14:paraId="2DCB4CFB" w14:textId="77777777" w:rsidR="00D1587D" w:rsidRDefault="00410D07">
            <w:pPr>
              <w:ind w:left="180"/>
              <w:rPr>
                <w:sz w:val="20"/>
                <w:szCs w:val="20"/>
              </w:rPr>
            </w:pPr>
            <w:r>
              <w:rPr>
                <w:rFonts w:ascii="Arial" w:eastAsia="Arial" w:hAnsi="Arial" w:cs="Arial"/>
                <w:sz w:val="18"/>
                <w:szCs w:val="18"/>
              </w:rPr>
              <w:t>Basic</w:t>
            </w:r>
          </w:p>
        </w:tc>
        <w:tc>
          <w:tcPr>
            <w:tcW w:w="160" w:type="dxa"/>
            <w:vAlign w:val="bottom"/>
          </w:tcPr>
          <w:p w14:paraId="6B54FF2A" w14:textId="77777777" w:rsidR="00D1587D" w:rsidRDefault="00410D07">
            <w:pPr>
              <w:ind w:left="40"/>
              <w:rPr>
                <w:sz w:val="20"/>
                <w:szCs w:val="20"/>
              </w:rPr>
            </w:pPr>
            <w:r>
              <w:rPr>
                <w:rFonts w:ascii="Arial" w:eastAsia="Arial" w:hAnsi="Arial" w:cs="Arial"/>
                <w:w w:val="99"/>
                <w:sz w:val="18"/>
                <w:szCs w:val="18"/>
              </w:rPr>
              <w:t>$</w:t>
            </w:r>
          </w:p>
        </w:tc>
        <w:tc>
          <w:tcPr>
            <w:tcW w:w="500" w:type="dxa"/>
            <w:vAlign w:val="bottom"/>
          </w:tcPr>
          <w:p w14:paraId="36CDE120" w14:textId="77777777" w:rsidR="00D1587D" w:rsidRDefault="00D1587D">
            <w:pPr>
              <w:rPr>
                <w:sz w:val="23"/>
                <w:szCs w:val="23"/>
              </w:rPr>
            </w:pPr>
          </w:p>
        </w:tc>
        <w:tc>
          <w:tcPr>
            <w:tcW w:w="180" w:type="dxa"/>
            <w:vAlign w:val="bottom"/>
          </w:tcPr>
          <w:p w14:paraId="13424DA3" w14:textId="77777777" w:rsidR="00D1587D" w:rsidRDefault="00D1587D">
            <w:pPr>
              <w:rPr>
                <w:sz w:val="23"/>
                <w:szCs w:val="23"/>
              </w:rPr>
            </w:pPr>
          </w:p>
        </w:tc>
        <w:tc>
          <w:tcPr>
            <w:tcW w:w="360" w:type="dxa"/>
            <w:vAlign w:val="bottom"/>
          </w:tcPr>
          <w:p w14:paraId="71A924DA" w14:textId="77777777" w:rsidR="00D1587D" w:rsidRDefault="00D1587D">
            <w:pPr>
              <w:rPr>
                <w:sz w:val="23"/>
                <w:szCs w:val="23"/>
              </w:rPr>
            </w:pPr>
          </w:p>
        </w:tc>
        <w:tc>
          <w:tcPr>
            <w:tcW w:w="580" w:type="dxa"/>
            <w:vAlign w:val="bottom"/>
          </w:tcPr>
          <w:p w14:paraId="00F7B9B5" w14:textId="77777777" w:rsidR="00D1587D" w:rsidRDefault="00D1587D">
            <w:pPr>
              <w:rPr>
                <w:sz w:val="23"/>
                <w:szCs w:val="23"/>
              </w:rPr>
            </w:pPr>
          </w:p>
        </w:tc>
        <w:tc>
          <w:tcPr>
            <w:tcW w:w="180" w:type="dxa"/>
            <w:vAlign w:val="bottom"/>
          </w:tcPr>
          <w:p w14:paraId="3A9C07A2" w14:textId="77777777" w:rsidR="00D1587D" w:rsidRDefault="00D1587D">
            <w:pPr>
              <w:rPr>
                <w:sz w:val="23"/>
                <w:szCs w:val="23"/>
              </w:rPr>
            </w:pPr>
          </w:p>
        </w:tc>
        <w:tc>
          <w:tcPr>
            <w:tcW w:w="180" w:type="dxa"/>
            <w:vAlign w:val="bottom"/>
          </w:tcPr>
          <w:p w14:paraId="0EDD9225" w14:textId="77777777" w:rsidR="00D1587D" w:rsidRDefault="00410D07">
            <w:pPr>
              <w:jc w:val="right"/>
              <w:rPr>
                <w:sz w:val="20"/>
                <w:szCs w:val="20"/>
              </w:rPr>
            </w:pPr>
            <w:r>
              <w:rPr>
                <w:rFonts w:ascii="Arial" w:eastAsia="Arial" w:hAnsi="Arial" w:cs="Arial"/>
                <w:sz w:val="18"/>
                <w:szCs w:val="18"/>
              </w:rPr>
              <w:t>$</w:t>
            </w:r>
          </w:p>
        </w:tc>
        <w:tc>
          <w:tcPr>
            <w:tcW w:w="520" w:type="dxa"/>
            <w:vAlign w:val="bottom"/>
          </w:tcPr>
          <w:p w14:paraId="653C4E89" w14:textId="77777777" w:rsidR="00D1587D" w:rsidRDefault="00D1587D">
            <w:pPr>
              <w:rPr>
                <w:sz w:val="23"/>
                <w:szCs w:val="23"/>
              </w:rPr>
            </w:pPr>
          </w:p>
        </w:tc>
        <w:tc>
          <w:tcPr>
            <w:tcW w:w="0" w:type="dxa"/>
            <w:vAlign w:val="bottom"/>
          </w:tcPr>
          <w:p w14:paraId="559DC758" w14:textId="77777777" w:rsidR="00D1587D" w:rsidRDefault="00D1587D">
            <w:pPr>
              <w:rPr>
                <w:sz w:val="1"/>
                <w:szCs w:val="1"/>
              </w:rPr>
            </w:pPr>
          </w:p>
        </w:tc>
      </w:tr>
      <w:tr w:rsidR="00D1587D" w14:paraId="3338FF13" w14:textId="77777777">
        <w:trPr>
          <w:trHeight w:val="54"/>
        </w:trPr>
        <w:tc>
          <w:tcPr>
            <w:tcW w:w="5680" w:type="dxa"/>
            <w:vAlign w:val="bottom"/>
          </w:tcPr>
          <w:p w14:paraId="7E5EBF65" w14:textId="77777777" w:rsidR="00D1587D" w:rsidRDefault="00D1587D">
            <w:pPr>
              <w:rPr>
                <w:sz w:val="4"/>
                <w:szCs w:val="4"/>
              </w:rPr>
            </w:pPr>
          </w:p>
        </w:tc>
        <w:tc>
          <w:tcPr>
            <w:tcW w:w="80" w:type="dxa"/>
            <w:vAlign w:val="bottom"/>
          </w:tcPr>
          <w:p w14:paraId="13E17C3B" w14:textId="77777777" w:rsidR="00D1587D" w:rsidRDefault="00D1587D">
            <w:pPr>
              <w:rPr>
                <w:sz w:val="4"/>
                <w:szCs w:val="4"/>
              </w:rPr>
            </w:pPr>
          </w:p>
        </w:tc>
        <w:tc>
          <w:tcPr>
            <w:tcW w:w="160" w:type="dxa"/>
            <w:vAlign w:val="bottom"/>
          </w:tcPr>
          <w:p w14:paraId="4C67A4B2" w14:textId="77777777" w:rsidR="00D1587D" w:rsidRDefault="00D1587D">
            <w:pPr>
              <w:rPr>
                <w:sz w:val="4"/>
                <w:szCs w:val="4"/>
              </w:rPr>
            </w:pPr>
          </w:p>
        </w:tc>
        <w:tc>
          <w:tcPr>
            <w:tcW w:w="500" w:type="dxa"/>
            <w:vAlign w:val="bottom"/>
          </w:tcPr>
          <w:p w14:paraId="3F262285" w14:textId="77777777" w:rsidR="00D1587D" w:rsidRDefault="00D1587D">
            <w:pPr>
              <w:rPr>
                <w:sz w:val="4"/>
                <w:szCs w:val="4"/>
              </w:rPr>
            </w:pPr>
          </w:p>
        </w:tc>
        <w:tc>
          <w:tcPr>
            <w:tcW w:w="180" w:type="dxa"/>
            <w:vAlign w:val="bottom"/>
          </w:tcPr>
          <w:p w14:paraId="35072AB3" w14:textId="77777777" w:rsidR="00D1587D" w:rsidRDefault="00D1587D">
            <w:pPr>
              <w:rPr>
                <w:sz w:val="4"/>
                <w:szCs w:val="4"/>
              </w:rPr>
            </w:pPr>
          </w:p>
        </w:tc>
        <w:tc>
          <w:tcPr>
            <w:tcW w:w="360" w:type="dxa"/>
            <w:vAlign w:val="bottom"/>
          </w:tcPr>
          <w:p w14:paraId="6EFDDB75" w14:textId="77777777" w:rsidR="00D1587D" w:rsidRDefault="00D1587D">
            <w:pPr>
              <w:rPr>
                <w:sz w:val="4"/>
                <w:szCs w:val="4"/>
              </w:rPr>
            </w:pPr>
          </w:p>
        </w:tc>
        <w:tc>
          <w:tcPr>
            <w:tcW w:w="580" w:type="dxa"/>
            <w:vAlign w:val="bottom"/>
          </w:tcPr>
          <w:p w14:paraId="1BD90DD1" w14:textId="77777777" w:rsidR="00D1587D" w:rsidRDefault="00D1587D">
            <w:pPr>
              <w:rPr>
                <w:sz w:val="4"/>
                <w:szCs w:val="4"/>
              </w:rPr>
            </w:pPr>
          </w:p>
        </w:tc>
        <w:tc>
          <w:tcPr>
            <w:tcW w:w="180" w:type="dxa"/>
            <w:vAlign w:val="bottom"/>
          </w:tcPr>
          <w:p w14:paraId="70F3DD92" w14:textId="77777777" w:rsidR="00D1587D" w:rsidRDefault="00D1587D">
            <w:pPr>
              <w:rPr>
                <w:sz w:val="4"/>
                <w:szCs w:val="4"/>
              </w:rPr>
            </w:pPr>
          </w:p>
        </w:tc>
        <w:tc>
          <w:tcPr>
            <w:tcW w:w="180" w:type="dxa"/>
            <w:vAlign w:val="bottom"/>
          </w:tcPr>
          <w:p w14:paraId="5688114A" w14:textId="77777777" w:rsidR="00D1587D" w:rsidRDefault="00D1587D">
            <w:pPr>
              <w:rPr>
                <w:sz w:val="4"/>
                <w:szCs w:val="4"/>
              </w:rPr>
            </w:pPr>
          </w:p>
        </w:tc>
        <w:tc>
          <w:tcPr>
            <w:tcW w:w="520" w:type="dxa"/>
            <w:vAlign w:val="bottom"/>
          </w:tcPr>
          <w:p w14:paraId="3D0C2969" w14:textId="77777777" w:rsidR="00D1587D" w:rsidRDefault="00D1587D">
            <w:pPr>
              <w:rPr>
                <w:sz w:val="4"/>
                <w:szCs w:val="4"/>
              </w:rPr>
            </w:pPr>
          </w:p>
        </w:tc>
        <w:tc>
          <w:tcPr>
            <w:tcW w:w="0" w:type="dxa"/>
            <w:vAlign w:val="bottom"/>
          </w:tcPr>
          <w:p w14:paraId="169D7FB5" w14:textId="77777777" w:rsidR="00D1587D" w:rsidRDefault="00D1587D">
            <w:pPr>
              <w:rPr>
                <w:sz w:val="1"/>
                <w:szCs w:val="1"/>
              </w:rPr>
            </w:pPr>
          </w:p>
        </w:tc>
      </w:tr>
      <w:tr w:rsidR="00D1587D" w14:paraId="16C01665" w14:textId="77777777">
        <w:trPr>
          <w:trHeight w:val="304"/>
        </w:trPr>
        <w:tc>
          <w:tcPr>
            <w:tcW w:w="5760" w:type="dxa"/>
            <w:gridSpan w:val="2"/>
            <w:tcBorders>
              <w:bottom w:val="single" w:sz="8" w:space="0" w:color="CCEEFF"/>
            </w:tcBorders>
            <w:shd w:val="clear" w:color="auto" w:fill="CCEEFF"/>
            <w:vAlign w:val="bottom"/>
          </w:tcPr>
          <w:p w14:paraId="2C9E37D9" w14:textId="77777777" w:rsidR="00D1587D" w:rsidRDefault="00410D07">
            <w:pPr>
              <w:ind w:left="180"/>
              <w:rPr>
                <w:sz w:val="20"/>
                <w:szCs w:val="20"/>
              </w:rPr>
            </w:pPr>
            <w:r>
              <w:rPr>
                <w:rFonts w:ascii="Arial" w:eastAsia="Arial" w:hAnsi="Arial" w:cs="Arial"/>
                <w:sz w:val="18"/>
                <w:szCs w:val="18"/>
              </w:rPr>
              <w:t>Diluted</w:t>
            </w:r>
          </w:p>
        </w:tc>
        <w:tc>
          <w:tcPr>
            <w:tcW w:w="160" w:type="dxa"/>
            <w:tcBorders>
              <w:bottom w:val="single" w:sz="8" w:space="0" w:color="CCEEFF"/>
            </w:tcBorders>
            <w:shd w:val="clear" w:color="auto" w:fill="CCEEFF"/>
            <w:vAlign w:val="bottom"/>
          </w:tcPr>
          <w:p w14:paraId="4CD13F4C" w14:textId="77777777" w:rsidR="00D1587D" w:rsidRDefault="00410D07">
            <w:pPr>
              <w:ind w:left="40"/>
              <w:rPr>
                <w:sz w:val="20"/>
                <w:szCs w:val="20"/>
              </w:rPr>
            </w:pPr>
            <w:r>
              <w:rPr>
                <w:rFonts w:ascii="Arial" w:eastAsia="Arial" w:hAnsi="Arial" w:cs="Arial"/>
                <w:w w:val="99"/>
                <w:sz w:val="18"/>
                <w:szCs w:val="18"/>
              </w:rPr>
              <w:t>$</w:t>
            </w:r>
          </w:p>
        </w:tc>
        <w:tc>
          <w:tcPr>
            <w:tcW w:w="500" w:type="dxa"/>
            <w:tcBorders>
              <w:bottom w:val="single" w:sz="8" w:space="0" w:color="CCEEFF"/>
            </w:tcBorders>
            <w:shd w:val="clear" w:color="auto" w:fill="CCEEFF"/>
            <w:vAlign w:val="bottom"/>
          </w:tcPr>
          <w:p w14:paraId="12761AAF" w14:textId="77777777" w:rsidR="00D1587D" w:rsidRDefault="00D1587D">
            <w:pPr>
              <w:rPr>
                <w:sz w:val="24"/>
                <w:szCs w:val="24"/>
              </w:rPr>
            </w:pPr>
          </w:p>
        </w:tc>
        <w:tc>
          <w:tcPr>
            <w:tcW w:w="180" w:type="dxa"/>
            <w:tcBorders>
              <w:bottom w:val="single" w:sz="8" w:space="0" w:color="CCEEFF"/>
            </w:tcBorders>
            <w:shd w:val="clear" w:color="auto" w:fill="CCEEFF"/>
            <w:vAlign w:val="bottom"/>
          </w:tcPr>
          <w:p w14:paraId="57EA5768" w14:textId="77777777" w:rsidR="00D1587D" w:rsidRDefault="00D1587D">
            <w:pPr>
              <w:rPr>
                <w:sz w:val="24"/>
                <w:szCs w:val="24"/>
              </w:rPr>
            </w:pPr>
          </w:p>
        </w:tc>
        <w:tc>
          <w:tcPr>
            <w:tcW w:w="360" w:type="dxa"/>
            <w:tcBorders>
              <w:bottom w:val="single" w:sz="8" w:space="0" w:color="CCEEFF"/>
            </w:tcBorders>
            <w:shd w:val="clear" w:color="auto" w:fill="CCEEFF"/>
            <w:vAlign w:val="bottom"/>
          </w:tcPr>
          <w:p w14:paraId="54281496" w14:textId="77777777" w:rsidR="00D1587D" w:rsidRDefault="00D1587D">
            <w:pPr>
              <w:rPr>
                <w:sz w:val="24"/>
                <w:szCs w:val="24"/>
              </w:rPr>
            </w:pPr>
          </w:p>
        </w:tc>
        <w:tc>
          <w:tcPr>
            <w:tcW w:w="580" w:type="dxa"/>
            <w:tcBorders>
              <w:bottom w:val="single" w:sz="8" w:space="0" w:color="CCEEFF"/>
            </w:tcBorders>
            <w:shd w:val="clear" w:color="auto" w:fill="CCEEFF"/>
            <w:vAlign w:val="bottom"/>
          </w:tcPr>
          <w:p w14:paraId="20AA963C" w14:textId="77777777" w:rsidR="00D1587D" w:rsidRDefault="00D1587D">
            <w:pPr>
              <w:rPr>
                <w:sz w:val="24"/>
                <w:szCs w:val="24"/>
              </w:rPr>
            </w:pPr>
          </w:p>
        </w:tc>
        <w:tc>
          <w:tcPr>
            <w:tcW w:w="180" w:type="dxa"/>
            <w:tcBorders>
              <w:bottom w:val="single" w:sz="8" w:space="0" w:color="CCEEFF"/>
            </w:tcBorders>
            <w:shd w:val="clear" w:color="auto" w:fill="CCEEFF"/>
            <w:vAlign w:val="bottom"/>
          </w:tcPr>
          <w:p w14:paraId="4B524A2C" w14:textId="77777777" w:rsidR="00D1587D" w:rsidRDefault="00D1587D">
            <w:pPr>
              <w:rPr>
                <w:sz w:val="24"/>
                <w:szCs w:val="24"/>
              </w:rPr>
            </w:pPr>
          </w:p>
        </w:tc>
        <w:tc>
          <w:tcPr>
            <w:tcW w:w="180" w:type="dxa"/>
            <w:tcBorders>
              <w:bottom w:val="single" w:sz="8" w:space="0" w:color="CCEEFF"/>
            </w:tcBorders>
            <w:shd w:val="clear" w:color="auto" w:fill="CCEEFF"/>
            <w:vAlign w:val="bottom"/>
          </w:tcPr>
          <w:p w14:paraId="2EF453AD" w14:textId="77777777" w:rsidR="00D1587D" w:rsidRDefault="00410D07">
            <w:pPr>
              <w:jc w:val="right"/>
              <w:rPr>
                <w:sz w:val="20"/>
                <w:szCs w:val="20"/>
              </w:rPr>
            </w:pPr>
            <w:r>
              <w:rPr>
                <w:rFonts w:ascii="Arial" w:eastAsia="Arial" w:hAnsi="Arial" w:cs="Arial"/>
                <w:sz w:val="18"/>
                <w:szCs w:val="18"/>
              </w:rPr>
              <w:t>$</w:t>
            </w:r>
          </w:p>
        </w:tc>
        <w:tc>
          <w:tcPr>
            <w:tcW w:w="520" w:type="dxa"/>
            <w:tcBorders>
              <w:bottom w:val="single" w:sz="8" w:space="0" w:color="CCEEFF"/>
            </w:tcBorders>
            <w:shd w:val="clear" w:color="auto" w:fill="CCEEFF"/>
            <w:vAlign w:val="bottom"/>
          </w:tcPr>
          <w:p w14:paraId="6E3AD795" w14:textId="77777777" w:rsidR="00D1587D" w:rsidRDefault="00D1587D">
            <w:pPr>
              <w:rPr>
                <w:sz w:val="24"/>
                <w:szCs w:val="24"/>
              </w:rPr>
            </w:pPr>
          </w:p>
        </w:tc>
        <w:tc>
          <w:tcPr>
            <w:tcW w:w="0" w:type="dxa"/>
            <w:vAlign w:val="bottom"/>
          </w:tcPr>
          <w:p w14:paraId="626D50C2" w14:textId="77777777" w:rsidR="00D1587D" w:rsidRDefault="00D1587D">
            <w:pPr>
              <w:rPr>
                <w:sz w:val="1"/>
                <w:szCs w:val="1"/>
              </w:rPr>
            </w:pPr>
          </w:p>
        </w:tc>
      </w:tr>
      <w:tr w:rsidR="00D1587D" w14:paraId="7CB2C877" w14:textId="77777777">
        <w:trPr>
          <w:trHeight w:val="270"/>
        </w:trPr>
        <w:tc>
          <w:tcPr>
            <w:tcW w:w="5760" w:type="dxa"/>
            <w:gridSpan w:val="2"/>
            <w:vAlign w:val="bottom"/>
          </w:tcPr>
          <w:p w14:paraId="6227D417" w14:textId="77777777" w:rsidR="00D1587D" w:rsidRDefault="00410D07">
            <w:pPr>
              <w:rPr>
                <w:sz w:val="20"/>
                <w:szCs w:val="20"/>
              </w:rPr>
            </w:pPr>
            <w:r>
              <w:rPr>
                <w:rFonts w:ascii="Arial" w:eastAsia="Arial" w:hAnsi="Arial" w:cs="Arial"/>
                <w:sz w:val="18"/>
                <w:szCs w:val="18"/>
              </w:rPr>
              <w:t>Weighted Average Shares:</w:t>
            </w:r>
          </w:p>
        </w:tc>
        <w:tc>
          <w:tcPr>
            <w:tcW w:w="160" w:type="dxa"/>
            <w:vAlign w:val="bottom"/>
          </w:tcPr>
          <w:p w14:paraId="2D00676C" w14:textId="77777777" w:rsidR="00D1587D" w:rsidRDefault="00D1587D">
            <w:pPr>
              <w:rPr>
                <w:sz w:val="23"/>
                <w:szCs w:val="23"/>
              </w:rPr>
            </w:pPr>
          </w:p>
        </w:tc>
        <w:tc>
          <w:tcPr>
            <w:tcW w:w="500" w:type="dxa"/>
            <w:vAlign w:val="bottom"/>
          </w:tcPr>
          <w:p w14:paraId="038C77C0" w14:textId="77777777" w:rsidR="00D1587D" w:rsidRDefault="00D1587D">
            <w:pPr>
              <w:rPr>
                <w:sz w:val="23"/>
                <w:szCs w:val="23"/>
              </w:rPr>
            </w:pPr>
          </w:p>
        </w:tc>
        <w:tc>
          <w:tcPr>
            <w:tcW w:w="180" w:type="dxa"/>
            <w:vAlign w:val="bottom"/>
          </w:tcPr>
          <w:p w14:paraId="3EDAA83D" w14:textId="77777777" w:rsidR="00D1587D" w:rsidRDefault="00D1587D">
            <w:pPr>
              <w:rPr>
                <w:sz w:val="23"/>
                <w:szCs w:val="23"/>
              </w:rPr>
            </w:pPr>
          </w:p>
        </w:tc>
        <w:tc>
          <w:tcPr>
            <w:tcW w:w="360" w:type="dxa"/>
            <w:vAlign w:val="bottom"/>
          </w:tcPr>
          <w:p w14:paraId="6574FB6F" w14:textId="77777777" w:rsidR="00D1587D" w:rsidRDefault="00D1587D">
            <w:pPr>
              <w:rPr>
                <w:sz w:val="23"/>
                <w:szCs w:val="23"/>
              </w:rPr>
            </w:pPr>
          </w:p>
        </w:tc>
        <w:tc>
          <w:tcPr>
            <w:tcW w:w="580" w:type="dxa"/>
            <w:vAlign w:val="bottom"/>
          </w:tcPr>
          <w:p w14:paraId="53DEB1E8" w14:textId="77777777" w:rsidR="00D1587D" w:rsidRDefault="00D1587D">
            <w:pPr>
              <w:rPr>
                <w:sz w:val="23"/>
                <w:szCs w:val="23"/>
              </w:rPr>
            </w:pPr>
          </w:p>
        </w:tc>
        <w:tc>
          <w:tcPr>
            <w:tcW w:w="180" w:type="dxa"/>
            <w:vAlign w:val="bottom"/>
          </w:tcPr>
          <w:p w14:paraId="215BF04B" w14:textId="77777777" w:rsidR="00D1587D" w:rsidRDefault="00D1587D">
            <w:pPr>
              <w:rPr>
                <w:sz w:val="23"/>
                <w:szCs w:val="23"/>
              </w:rPr>
            </w:pPr>
          </w:p>
        </w:tc>
        <w:tc>
          <w:tcPr>
            <w:tcW w:w="180" w:type="dxa"/>
            <w:vAlign w:val="bottom"/>
          </w:tcPr>
          <w:p w14:paraId="5F1E2D02" w14:textId="77777777" w:rsidR="00D1587D" w:rsidRDefault="00D1587D">
            <w:pPr>
              <w:rPr>
                <w:sz w:val="23"/>
                <w:szCs w:val="23"/>
              </w:rPr>
            </w:pPr>
          </w:p>
        </w:tc>
        <w:tc>
          <w:tcPr>
            <w:tcW w:w="520" w:type="dxa"/>
            <w:vAlign w:val="bottom"/>
          </w:tcPr>
          <w:p w14:paraId="23B195AC" w14:textId="77777777" w:rsidR="00D1587D" w:rsidRDefault="00D1587D">
            <w:pPr>
              <w:rPr>
                <w:sz w:val="23"/>
                <w:szCs w:val="23"/>
              </w:rPr>
            </w:pPr>
          </w:p>
        </w:tc>
        <w:tc>
          <w:tcPr>
            <w:tcW w:w="0" w:type="dxa"/>
            <w:vAlign w:val="bottom"/>
          </w:tcPr>
          <w:p w14:paraId="6EC7A932" w14:textId="77777777" w:rsidR="00D1587D" w:rsidRDefault="00D1587D">
            <w:pPr>
              <w:rPr>
                <w:sz w:val="1"/>
                <w:szCs w:val="1"/>
              </w:rPr>
            </w:pPr>
          </w:p>
        </w:tc>
      </w:tr>
      <w:tr w:rsidR="00D1587D" w14:paraId="54E45665" w14:textId="77777777">
        <w:trPr>
          <w:trHeight w:val="54"/>
        </w:trPr>
        <w:tc>
          <w:tcPr>
            <w:tcW w:w="5680" w:type="dxa"/>
            <w:vAlign w:val="bottom"/>
          </w:tcPr>
          <w:p w14:paraId="71C16D3F" w14:textId="77777777" w:rsidR="00D1587D" w:rsidRDefault="00D1587D">
            <w:pPr>
              <w:rPr>
                <w:sz w:val="4"/>
                <w:szCs w:val="4"/>
              </w:rPr>
            </w:pPr>
          </w:p>
        </w:tc>
        <w:tc>
          <w:tcPr>
            <w:tcW w:w="80" w:type="dxa"/>
            <w:vAlign w:val="bottom"/>
          </w:tcPr>
          <w:p w14:paraId="2488F902" w14:textId="77777777" w:rsidR="00D1587D" w:rsidRDefault="00D1587D">
            <w:pPr>
              <w:rPr>
                <w:sz w:val="4"/>
                <w:szCs w:val="4"/>
              </w:rPr>
            </w:pPr>
          </w:p>
        </w:tc>
        <w:tc>
          <w:tcPr>
            <w:tcW w:w="160" w:type="dxa"/>
            <w:vAlign w:val="bottom"/>
          </w:tcPr>
          <w:p w14:paraId="35C58397" w14:textId="77777777" w:rsidR="00D1587D" w:rsidRDefault="00D1587D">
            <w:pPr>
              <w:rPr>
                <w:sz w:val="4"/>
                <w:szCs w:val="4"/>
              </w:rPr>
            </w:pPr>
          </w:p>
        </w:tc>
        <w:tc>
          <w:tcPr>
            <w:tcW w:w="500" w:type="dxa"/>
            <w:vAlign w:val="bottom"/>
          </w:tcPr>
          <w:p w14:paraId="755604BB" w14:textId="77777777" w:rsidR="00D1587D" w:rsidRDefault="00D1587D">
            <w:pPr>
              <w:rPr>
                <w:sz w:val="4"/>
                <w:szCs w:val="4"/>
              </w:rPr>
            </w:pPr>
          </w:p>
        </w:tc>
        <w:tc>
          <w:tcPr>
            <w:tcW w:w="180" w:type="dxa"/>
            <w:vAlign w:val="bottom"/>
          </w:tcPr>
          <w:p w14:paraId="000061B7" w14:textId="77777777" w:rsidR="00D1587D" w:rsidRDefault="00D1587D">
            <w:pPr>
              <w:rPr>
                <w:sz w:val="4"/>
                <w:szCs w:val="4"/>
              </w:rPr>
            </w:pPr>
          </w:p>
        </w:tc>
        <w:tc>
          <w:tcPr>
            <w:tcW w:w="360" w:type="dxa"/>
            <w:vAlign w:val="bottom"/>
          </w:tcPr>
          <w:p w14:paraId="29B14CA0" w14:textId="77777777" w:rsidR="00D1587D" w:rsidRDefault="00D1587D">
            <w:pPr>
              <w:rPr>
                <w:sz w:val="4"/>
                <w:szCs w:val="4"/>
              </w:rPr>
            </w:pPr>
          </w:p>
        </w:tc>
        <w:tc>
          <w:tcPr>
            <w:tcW w:w="580" w:type="dxa"/>
            <w:vAlign w:val="bottom"/>
          </w:tcPr>
          <w:p w14:paraId="11D550E0" w14:textId="77777777" w:rsidR="00D1587D" w:rsidRDefault="00D1587D">
            <w:pPr>
              <w:rPr>
                <w:sz w:val="4"/>
                <w:szCs w:val="4"/>
              </w:rPr>
            </w:pPr>
          </w:p>
        </w:tc>
        <w:tc>
          <w:tcPr>
            <w:tcW w:w="180" w:type="dxa"/>
            <w:vAlign w:val="bottom"/>
          </w:tcPr>
          <w:p w14:paraId="3F8C4BDC" w14:textId="77777777" w:rsidR="00D1587D" w:rsidRDefault="00D1587D">
            <w:pPr>
              <w:rPr>
                <w:sz w:val="4"/>
                <w:szCs w:val="4"/>
              </w:rPr>
            </w:pPr>
          </w:p>
        </w:tc>
        <w:tc>
          <w:tcPr>
            <w:tcW w:w="180" w:type="dxa"/>
            <w:vAlign w:val="bottom"/>
          </w:tcPr>
          <w:p w14:paraId="04471064" w14:textId="77777777" w:rsidR="00D1587D" w:rsidRDefault="00D1587D">
            <w:pPr>
              <w:rPr>
                <w:sz w:val="4"/>
                <w:szCs w:val="4"/>
              </w:rPr>
            </w:pPr>
          </w:p>
        </w:tc>
        <w:tc>
          <w:tcPr>
            <w:tcW w:w="520" w:type="dxa"/>
            <w:vAlign w:val="bottom"/>
          </w:tcPr>
          <w:p w14:paraId="354C7B29" w14:textId="77777777" w:rsidR="00D1587D" w:rsidRDefault="00D1587D">
            <w:pPr>
              <w:rPr>
                <w:sz w:val="4"/>
                <w:szCs w:val="4"/>
              </w:rPr>
            </w:pPr>
          </w:p>
        </w:tc>
        <w:tc>
          <w:tcPr>
            <w:tcW w:w="0" w:type="dxa"/>
            <w:vAlign w:val="bottom"/>
          </w:tcPr>
          <w:p w14:paraId="521D9B86" w14:textId="77777777" w:rsidR="00D1587D" w:rsidRDefault="00D1587D">
            <w:pPr>
              <w:rPr>
                <w:sz w:val="1"/>
                <w:szCs w:val="1"/>
              </w:rPr>
            </w:pPr>
          </w:p>
        </w:tc>
      </w:tr>
      <w:tr w:rsidR="00D1587D" w14:paraId="7780FCA8" w14:textId="77777777">
        <w:trPr>
          <w:trHeight w:val="304"/>
        </w:trPr>
        <w:tc>
          <w:tcPr>
            <w:tcW w:w="5760" w:type="dxa"/>
            <w:gridSpan w:val="2"/>
            <w:tcBorders>
              <w:bottom w:val="single" w:sz="8" w:space="0" w:color="CCEEFF"/>
            </w:tcBorders>
            <w:shd w:val="clear" w:color="auto" w:fill="CCEEFF"/>
            <w:vAlign w:val="bottom"/>
          </w:tcPr>
          <w:p w14:paraId="56D33E0D" w14:textId="77777777" w:rsidR="00D1587D" w:rsidRDefault="00410D07">
            <w:pPr>
              <w:ind w:left="180"/>
              <w:rPr>
                <w:sz w:val="20"/>
                <w:szCs w:val="20"/>
              </w:rPr>
            </w:pPr>
            <w:r>
              <w:rPr>
                <w:rFonts w:ascii="Arial" w:eastAsia="Arial" w:hAnsi="Arial" w:cs="Arial"/>
                <w:sz w:val="18"/>
                <w:szCs w:val="18"/>
              </w:rPr>
              <w:t>Basic</w:t>
            </w:r>
          </w:p>
        </w:tc>
        <w:tc>
          <w:tcPr>
            <w:tcW w:w="160" w:type="dxa"/>
            <w:tcBorders>
              <w:bottom w:val="single" w:sz="8" w:space="0" w:color="CCEEFF"/>
            </w:tcBorders>
            <w:shd w:val="clear" w:color="auto" w:fill="CCEEFF"/>
            <w:vAlign w:val="bottom"/>
          </w:tcPr>
          <w:p w14:paraId="01005F01" w14:textId="77777777" w:rsidR="00D1587D" w:rsidRDefault="00D1587D">
            <w:pPr>
              <w:rPr>
                <w:sz w:val="24"/>
                <w:szCs w:val="24"/>
              </w:rPr>
            </w:pPr>
          </w:p>
        </w:tc>
        <w:tc>
          <w:tcPr>
            <w:tcW w:w="500" w:type="dxa"/>
            <w:tcBorders>
              <w:bottom w:val="single" w:sz="8" w:space="0" w:color="CCEEFF"/>
            </w:tcBorders>
            <w:shd w:val="clear" w:color="auto" w:fill="CCEEFF"/>
            <w:vAlign w:val="bottom"/>
          </w:tcPr>
          <w:p w14:paraId="06495A85" w14:textId="77777777" w:rsidR="00D1587D" w:rsidRDefault="00D1587D">
            <w:pPr>
              <w:rPr>
                <w:sz w:val="24"/>
                <w:szCs w:val="24"/>
              </w:rPr>
            </w:pPr>
          </w:p>
        </w:tc>
        <w:tc>
          <w:tcPr>
            <w:tcW w:w="180" w:type="dxa"/>
            <w:tcBorders>
              <w:bottom w:val="single" w:sz="8" w:space="0" w:color="CCEEFF"/>
            </w:tcBorders>
            <w:shd w:val="clear" w:color="auto" w:fill="CCEEFF"/>
            <w:vAlign w:val="bottom"/>
          </w:tcPr>
          <w:p w14:paraId="472259CA" w14:textId="77777777" w:rsidR="00D1587D" w:rsidRDefault="00D1587D">
            <w:pPr>
              <w:rPr>
                <w:sz w:val="24"/>
                <w:szCs w:val="24"/>
              </w:rPr>
            </w:pPr>
          </w:p>
        </w:tc>
        <w:tc>
          <w:tcPr>
            <w:tcW w:w="360" w:type="dxa"/>
            <w:tcBorders>
              <w:bottom w:val="single" w:sz="8" w:space="0" w:color="CCEEFF"/>
            </w:tcBorders>
            <w:shd w:val="clear" w:color="auto" w:fill="CCEEFF"/>
            <w:vAlign w:val="bottom"/>
          </w:tcPr>
          <w:p w14:paraId="0BDB6592" w14:textId="77777777" w:rsidR="00D1587D" w:rsidRDefault="00D1587D">
            <w:pPr>
              <w:rPr>
                <w:sz w:val="24"/>
                <w:szCs w:val="24"/>
              </w:rPr>
            </w:pPr>
          </w:p>
        </w:tc>
        <w:tc>
          <w:tcPr>
            <w:tcW w:w="580" w:type="dxa"/>
            <w:tcBorders>
              <w:bottom w:val="single" w:sz="8" w:space="0" w:color="CCEEFF"/>
            </w:tcBorders>
            <w:shd w:val="clear" w:color="auto" w:fill="CCEEFF"/>
            <w:vAlign w:val="bottom"/>
          </w:tcPr>
          <w:p w14:paraId="7AD45BB1" w14:textId="77777777" w:rsidR="00D1587D" w:rsidRDefault="00D1587D">
            <w:pPr>
              <w:rPr>
                <w:sz w:val="24"/>
                <w:szCs w:val="24"/>
              </w:rPr>
            </w:pPr>
          </w:p>
        </w:tc>
        <w:tc>
          <w:tcPr>
            <w:tcW w:w="180" w:type="dxa"/>
            <w:tcBorders>
              <w:bottom w:val="single" w:sz="8" w:space="0" w:color="CCEEFF"/>
            </w:tcBorders>
            <w:shd w:val="clear" w:color="auto" w:fill="CCEEFF"/>
            <w:vAlign w:val="bottom"/>
          </w:tcPr>
          <w:p w14:paraId="3FCE8458" w14:textId="77777777" w:rsidR="00D1587D" w:rsidRDefault="00D1587D">
            <w:pPr>
              <w:rPr>
                <w:sz w:val="24"/>
                <w:szCs w:val="24"/>
              </w:rPr>
            </w:pPr>
          </w:p>
        </w:tc>
        <w:tc>
          <w:tcPr>
            <w:tcW w:w="180" w:type="dxa"/>
            <w:tcBorders>
              <w:bottom w:val="single" w:sz="8" w:space="0" w:color="CCEEFF"/>
            </w:tcBorders>
            <w:shd w:val="clear" w:color="auto" w:fill="CCEEFF"/>
            <w:vAlign w:val="bottom"/>
          </w:tcPr>
          <w:p w14:paraId="70B8054C" w14:textId="77777777" w:rsidR="00D1587D" w:rsidRDefault="00D1587D">
            <w:pPr>
              <w:rPr>
                <w:sz w:val="24"/>
                <w:szCs w:val="24"/>
              </w:rPr>
            </w:pPr>
          </w:p>
        </w:tc>
        <w:tc>
          <w:tcPr>
            <w:tcW w:w="520" w:type="dxa"/>
            <w:tcBorders>
              <w:bottom w:val="single" w:sz="8" w:space="0" w:color="CCEEFF"/>
            </w:tcBorders>
            <w:shd w:val="clear" w:color="auto" w:fill="CCEEFF"/>
            <w:vAlign w:val="bottom"/>
          </w:tcPr>
          <w:p w14:paraId="5EB032F0" w14:textId="77777777" w:rsidR="00D1587D" w:rsidRDefault="00D1587D">
            <w:pPr>
              <w:rPr>
                <w:sz w:val="24"/>
                <w:szCs w:val="24"/>
              </w:rPr>
            </w:pPr>
          </w:p>
        </w:tc>
        <w:tc>
          <w:tcPr>
            <w:tcW w:w="0" w:type="dxa"/>
            <w:vAlign w:val="bottom"/>
          </w:tcPr>
          <w:p w14:paraId="289F049E" w14:textId="77777777" w:rsidR="00D1587D" w:rsidRDefault="00D1587D">
            <w:pPr>
              <w:rPr>
                <w:sz w:val="1"/>
                <w:szCs w:val="1"/>
              </w:rPr>
            </w:pPr>
          </w:p>
        </w:tc>
      </w:tr>
      <w:tr w:rsidR="00D1587D" w14:paraId="4ECE2F69" w14:textId="77777777">
        <w:trPr>
          <w:trHeight w:val="270"/>
        </w:trPr>
        <w:tc>
          <w:tcPr>
            <w:tcW w:w="5760" w:type="dxa"/>
            <w:gridSpan w:val="2"/>
            <w:vAlign w:val="bottom"/>
          </w:tcPr>
          <w:p w14:paraId="2A69C260" w14:textId="77777777" w:rsidR="00D1587D" w:rsidRDefault="00410D07">
            <w:pPr>
              <w:ind w:left="180"/>
              <w:rPr>
                <w:sz w:val="20"/>
                <w:szCs w:val="20"/>
              </w:rPr>
            </w:pPr>
            <w:r>
              <w:rPr>
                <w:rFonts w:ascii="Arial" w:eastAsia="Arial" w:hAnsi="Arial" w:cs="Arial"/>
                <w:sz w:val="18"/>
                <w:szCs w:val="18"/>
              </w:rPr>
              <w:t>Diluted</w:t>
            </w:r>
          </w:p>
        </w:tc>
        <w:tc>
          <w:tcPr>
            <w:tcW w:w="160" w:type="dxa"/>
            <w:vAlign w:val="bottom"/>
          </w:tcPr>
          <w:p w14:paraId="3652B4C4" w14:textId="77777777" w:rsidR="00D1587D" w:rsidRDefault="00D1587D">
            <w:pPr>
              <w:rPr>
                <w:sz w:val="23"/>
                <w:szCs w:val="23"/>
              </w:rPr>
            </w:pPr>
          </w:p>
        </w:tc>
        <w:tc>
          <w:tcPr>
            <w:tcW w:w="500" w:type="dxa"/>
            <w:vAlign w:val="bottom"/>
          </w:tcPr>
          <w:p w14:paraId="1DED9F84" w14:textId="77777777" w:rsidR="00D1587D" w:rsidRDefault="00D1587D">
            <w:pPr>
              <w:rPr>
                <w:sz w:val="23"/>
                <w:szCs w:val="23"/>
              </w:rPr>
            </w:pPr>
          </w:p>
        </w:tc>
        <w:tc>
          <w:tcPr>
            <w:tcW w:w="180" w:type="dxa"/>
            <w:vAlign w:val="bottom"/>
          </w:tcPr>
          <w:p w14:paraId="400D5C67" w14:textId="77777777" w:rsidR="00D1587D" w:rsidRDefault="00D1587D">
            <w:pPr>
              <w:rPr>
                <w:sz w:val="23"/>
                <w:szCs w:val="23"/>
              </w:rPr>
            </w:pPr>
          </w:p>
        </w:tc>
        <w:tc>
          <w:tcPr>
            <w:tcW w:w="360" w:type="dxa"/>
            <w:vAlign w:val="bottom"/>
          </w:tcPr>
          <w:p w14:paraId="5B9E9FE7" w14:textId="77777777" w:rsidR="00D1587D" w:rsidRDefault="00D1587D">
            <w:pPr>
              <w:rPr>
                <w:sz w:val="23"/>
                <w:szCs w:val="23"/>
              </w:rPr>
            </w:pPr>
          </w:p>
        </w:tc>
        <w:tc>
          <w:tcPr>
            <w:tcW w:w="580" w:type="dxa"/>
            <w:vAlign w:val="bottom"/>
          </w:tcPr>
          <w:p w14:paraId="6F693B81" w14:textId="77777777" w:rsidR="00D1587D" w:rsidRDefault="00D1587D">
            <w:pPr>
              <w:rPr>
                <w:sz w:val="23"/>
                <w:szCs w:val="23"/>
              </w:rPr>
            </w:pPr>
          </w:p>
        </w:tc>
        <w:tc>
          <w:tcPr>
            <w:tcW w:w="180" w:type="dxa"/>
            <w:vAlign w:val="bottom"/>
          </w:tcPr>
          <w:p w14:paraId="331CB4DB" w14:textId="77777777" w:rsidR="00D1587D" w:rsidRDefault="00D1587D">
            <w:pPr>
              <w:rPr>
                <w:sz w:val="23"/>
                <w:szCs w:val="23"/>
              </w:rPr>
            </w:pPr>
          </w:p>
        </w:tc>
        <w:tc>
          <w:tcPr>
            <w:tcW w:w="180" w:type="dxa"/>
            <w:vAlign w:val="bottom"/>
          </w:tcPr>
          <w:p w14:paraId="6F530C19" w14:textId="77777777" w:rsidR="00D1587D" w:rsidRDefault="00D1587D">
            <w:pPr>
              <w:rPr>
                <w:sz w:val="23"/>
                <w:szCs w:val="23"/>
              </w:rPr>
            </w:pPr>
          </w:p>
        </w:tc>
        <w:tc>
          <w:tcPr>
            <w:tcW w:w="520" w:type="dxa"/>
            <w:vAlign w:val="bottom"/>
          </w:tcPr>
          <w:p w14:paraId="6004136A" w14:textId="77777777" w:rsidR="00D1587D" w:rsidRDefault="00D1587D">
            <w:pPr>
              <w:rPr>
                <w:sz w:val="23"/>
                <w:szCs w:val="23"/>
              </w:rPr>
            </w:pPr>
          </w:p>
        </w:tc>
        <w:tc>
          <w:tcPr>
            <w:tcW w:w="0" w:type="dxa"/>
            <w:vAlign w:val="bottom"/>
          </w:tcPr>
          <w:p w14:paraId="1769BEEC" w14:textId="77777777" w:rsidR="00D1587D" w:rsidRDefault="00D1587D">
            <w:pPr>
              <w:rPr>
                <w:sz w:val="1"/>
                <w:szCs w:val="1"/>
              </w:rPr>
            </w:pPr>
          </w:p>
        </w:tc>
      </w:tr>
    </w:tbl>
    <w:p w14:paraId="56FDBA84" w14:textId="77777777" w:rsidR="00D1587D" w:rsidRDefault="00410D07">
      <w:pPr>
        <w:spacing w:line="20" w:lineRule="exact"/>
        <w:rPr>
          <w:sz w:val="20"/>
          <w:szCs w:val="20"/>
        </w:rPr>
      </w:pPr>
      <w:r>
        <w:rPr>
          <w:noProof/>
          <w:sz w:val="20"/>
          <w:szCs w:val="20"/>
        </w:rPr>
        <w:drawing>
          <wp:anchor distT="0" distB="0" distL="114300" distR="114300" simplePos="0" relativeHeight="251546624" behindDoc="1" locked="0" layoutInCell="0" allowOverlap="1" wp14:anchorId="3BB59E0D" wp14:editId="417D1EEE">
            <wp:simplePos x="0" y="0"/>
            <wp:positionH relativeFrom="column">
              <wp:posOffset>4977130</wp:posOffset>
            </wp:positionH>
            <wp:positionV relativeFrom="paragraph">
              <wp:posOffset>-1242695</wp:posOffset>
            </wp:positionV>
            <wp:extent cx="120015" cy="8255"/>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47648" behindDoc="1" locked="0" layoutInCell="0" allowOverlap="1" wp14:anchorId="781871DD" wp14:editId="5CD53095">
            <wp:simplePos x="0" y="0"/>
            <wp:positionH relativeFrom="column">
              <wp:posOffset>4265930</wp:posOffset>
            </wp:positionH>
            <wp:positionV relativeFrom="paragraph">
              <wp:posOffset>-1242695</wp:posOffset>
            </wp:positionV>
            <wp:extent cx="120015" cy="8255"/>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48672" behindDoc="1" locked="0" layoutInCell="0" allowOverlap="1" wp14:anchorId="79B5A35C" wp14:editId="4848FB74">
            <wp:simplePos x="0" y="0"/>
            <wp:positionH relativeFrom="column">
              <wp:posOffset>3794125</wp:posOffset>
            </wp:positionH>
            <wp:positionV relativeFrom="paragraph">
              <wp:posOffset>-1242695</wp:posOffset>
            </wp:positionV>
            <wp:extent cx="60325" cy="8255"/>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549696" behindDoc="1" locked="0" layoutInCell="0" allowOverlap="1" wp14:anchorId="32E374DF" wp14:editId="5B075FC8">
            <wp:simplePos x="0" y="0"/>
            <wp:positionH relativeFrom="column">
              <wp:posOffset>4977130</wp:posOffset>
            </wp:positionH>
            <wp:positionV relativeFrom="paragraph">
              <wp:posOffset>-2588260</wp:posOffset>
            </wp:positionV>
            <wp:extent cx="120015" cy="8255"/>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50720" behindDoc="1" locked="0" layoutInCell="0" allowOverlap="1" wp14:anchorId="44F27484" wp14:editId="246CC545">
            <wp:simplePos x="0" y="0"/>
            <wp:positionH relativeFrom="column">
              <wp:posOffset>4265930</wp:posOffset>
            </wp:positionH>
            <wp:positionV relativeFrom="paragraph">
              <wp:posOffset>-2588260</wp:posOffset>
            </wp:positionV>
            <wp:extent cx="120015" cy="8255"/>
            <wp:effectExtent l="0" t="0" r="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51744" behindDoc="1" locked="0" layoutInCell="0" allowOverlap="1" wp14:anchorId="7BD8AF52" wp14:editId="42CAD307">
            <wp:simplePos x="0" y="0"/>
            <wp:positionH relativeFrom="column">
              <wp:posOffset>3794125</wp:posOffset>
            </wp:positionH>
            <wp:positionV relativeFrom="paragraph">
              <wp:posOffset>-2588260</wp:posOffset>
            </wp:positionV>
            <wp:extent cx="60325" cy="8255"/>
            <wp:effectExtent l="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552768" behindDoc="1" locked="0" layoutInCell="0" allowOverlap="1" wp14:anchorId="7A0E7F4B" wp14:editId="19365297">
            <wp:simplePos x="0" y="0"/>
            <wp:positionH relativeFrom="column">
              <wp:posOffset>4977130</wp:posOffset>
            </wp:positionH>
            <wp:positionV relativeFrom="paragraph">
              <wp:posOffset>-3025140</wp:posOffset>
            </wp:positionV>
            <wp:extent cx="120015" cy="8255"/>
            <wp:effectExtent l="0" t="0" r="0"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53792" behindDoc="1" locked="0" layoutInCell="0" allowOverlap="1" wp14:anchorId="540B2586" wp14:editId="4AAB6823">
            <wp:simplePos x="0" y="0"/>
            <wp:positionH relativeFrom="column">
              <wp:posOffset>4265930</wp:posOffset>
            </wp:positionH>
            <wp:positionV relativeFrom="paragraph">
              <wp:posOffset>-3025140</wp:posOffset>
            </wp:positionV>
            <wp:extent cx="120015" cy="8255"/>
            <wp:effectExtent l="0" t="0" r="0" b="0"/>
            <wp:wrapNone/>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54816" behindDoc="1" locked="0" layoutInCell="0" allowOverlap="1" wp14:anchorId="2CC6D41E" wp14:editId="62C44EB9">
            <wp:simplePos x="0" y="0"/>
            <wp:positionH relativeFrom="column">
              <wp:posOffset>3794125</wp:posOffset>
            </wp:positionH>
            <wp:positionV relativeFrom="paragraph">
              <wp:posOffset>-3025140</wp:posOffset>
            </wp:positionV>
            <wp:extent cx="60325" cy="8255"/>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555840" behindDoc="1" locked="0" layoutInCell="0" allowOverlap="1" wp14:anchorId="200D0885" wp14:editId="2F0C8CB7">
            <wp:simplePos x="0" y="0"/>
            <wp:positionH relativeFrom="column">
              <wp:posOffset>4977130</wp:posOffset>
            </wp:positionH>
            <wp:positionV relativeFrom="paragraph">
              <wp:posOffset>-3462655</wp:posOffset>
            </wp:positionV>
            <wp:extent cx="120015" cy="8255"/>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56864" behindDoc="1" locked="0" layoutInCell="0" allowOverlap="1" wp14:anchorId="0F7F1D61" wp14:editId="1A96BE00">
            <wp:simplePos x="0" y="0"/>
            <wp:positionH relativeFrom="column">
              <wp:posOffset>4265930</wp:posOffset>
            </wp:positionH>
            <wp:positionV relativeFrom="paragraph">
              <wp:posOffset>-3462655</wp:posOffset>
            </wp:positionV>
            <wp:extent cx="120015" cy="8255"/>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57888" behindDoc="1" locked="0" layoutInCell="0" allowOverlap="1" wp14:anchorId="2403BC7A" wp14:editId="3E6249D2">
            <wp:simplePos x="0" y="0"/>
            <wp:positionH relativeFrom="column">
              <wp:posOffset>3794125</wp:posOffset>
            </wp:positionH>
            <wp:positionV relativeFrom="paragraph">
              <wp:posOffset>-3462655</wp:posOffset>
            </wp:positionV>
            <wp:extent cx="60325" cy="8255"/>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558912" behindDoc="1" locked="0" layoutInCell="0" allowOverlap="1" wp14:anchorId="5BB6CB4A" wp14:editId="0EA1B319">
            <wp:simplePos x="0" y="0"/>
            <wp:positionH relativeFrom="column">
              <wp:posOffset>185420</wp:posOffset>
            </wp:positionH>
            <wp:positionV relativeFrom="paragraph">
              <wp:posOffset>188595</wp:posOffset>
            </wp:positionV>
            <wp:extent cx="822960" cy="8255"/>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5EE93EF4" w14:textId="77777777" w:rsidR="00D1587D" w:rsidRDefault="00D1587D">
      <w:pPr>
        <w:spacing w:line="326" w:lineRule="exact"/>
        <w:rPr>
          <w:sz w:val="20"/>
          <w:szCs w:val="20"/>
        </w:rPr>
      </w:pPr>
    </w:p>
    <w:p w14:paraId="35211126" w14:textId="77777777" w:rsidR="00D1587D" w:rsidRDefault="00410D07" w:rsidP="00410D07">
      <w:pPr>
        <w:numPr>
          <w:ilvl w:val="0"/>
          <w:numId w:val="274"/>
        </w:numPr>
        <w:tabs>
          <w:tab w:val="left" w:pos="640"/>
        </w:tabs>
        <w:ind w:left="640" w:hanging="348"/>
        <w:rPr>
          <w:rFonts w:ascii="Arial" w:eastAsia="Arial" w:hAnsi="Arial" w:cs="Arial"/>
          <w:sz w:val="14"/>
          <w:szCs w:val="14"/>
        </w:rPr>
      </w:pPr>
      <w:r>
        <w:rPr>
          <w:rFonts w:ascii="Arial" w:eastAsia="Arial" w:hAnsi="Arial" w:cs="Arial"/>
          <w:sz w:val="14"/>
          <w:szCs w:val="14"/>
        </w:rPr>
        <w:t>The change in our cost structure related to becoming an independent, publicly traded company is not reflected above.</w:t>
      </w:r>
    </w:p>
    <w:p w14:paraId="509BB7F8" w14:textId="77777777" w:rsidR="00D1587D" w:rsidRDefault="00D1587D">
      <w:pPr>
        <w:spacing w:line="208" w:lineRule="exact"/>
        <w:rPr>
          <w:sz w:val="20"/>
          <w:szCs w:val="20"/>
        </w:rPr>
      </w:pPr>
    </w:p>
    <w:p w14:paraId="00ED84C8" w14:textId="77777777" w:rsidR="00D1587D" w:rsidRDefault="00410D07">
      <w:pPr>
        <w:jc w:val="center"/>
        <w:rPr>
          <w:sz w:val="20"/>
          <w:szCs w:val="20"/>
        </w:rPr>
      </w:pPr>
      <w:r>
        <w:rPr>
          <w:rFonts w:ascii="Arial" w:eastAsia="Arial" w:hAnsi="Arial" w:cs="Arial"/>
          <w:sz w:val="18"/>
          <w:szCs w:val="18"/>
        </w:rPr>
        <w:t>See Notes to Unaudited Pro Forma Combined Financial Statements.</w:t>
      </w:r>
    </w:p>
    <w:p w14:paraId="330B9E69" w14:textId="77777777" w:rsidR="00D1587D" w:rsidRDefault="00D1587D">
      <w:pPr>
        <w:spacing w:line="225" w:lineRule="exact"/>
        <w:rPr>
          <w:sz w:val="20"/>
          <w:szCs w:val="20"/>
        </w:rPr>
      </w:pPr>
    </w:p>
    <w:p w14:paraId="5FC8ECFF" w14:textId="77777777" w:rsidR="00D1587D" w:rsidRDefault="00410D07">
      <w:pPr>
        <w:jc w:val="center"/>
        <w:rPr>
          <w:sz w:val="20"/>
          <w:szCs w:val="20"/>
        </w:rPr>
      </w:pPr>
      <w:r>
        <w:rPr>
          <w:rFonts w:ascii="Arial" w:eastAsia="Arial" w:hAnsi="Arial" w:cs="Arial"/>
          <w:sz w:val="18"/>
          <w:szCs w:val="18"/>
        </w:rPr>
        <w:t>59</w:t>
      </w:r>
    </w:p>
    <w:p w14:paraId="3A38E996" w14:textId="77777777" w:rsidR="00D1587D" w:rsidRDefault="00410D07">
      <w:pPr>
        <w:spacing w:line="20" w:lineRule="exact"/>
        <w:rPr>
          <w:sz w:val="20"/>
          <w:szCs w:val="20"/>
        </w:rPr>
      </w:pPr>
      <w:r>
        <w:rPr>
          <w:noProof/>
          <w:sz w:val="20"/>
          <w:szCs w:val="20"/>
        </w:rPr>
        <w:drawing>
          <wp:anchor distT="0" distB="0" distL="114300" distR="114300" simplePos="0" relativeHeight="251559936" behindDoc="1" locked="0" layoutInCell="0" allowOverlap="1" wp14:anchorId="6C60780F" wp14:editId="4BEAB735">
            <wp:simplePos x="0" y="0"/>
            <wp:positionH relativeFrom="column">
              <wp:posOffset>-636905</wp:posOffset>
            </wp:positionH>
            <wp:positionV relativeFrom="paragraph">
              <wp:posOffset>126365</wp:posOffset>
            </wp:positionV>
            <wp:extent cx="6995160" cy="17145"/>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465F3B6" w14:textId="77777777" w:rsidR="00D1587D" w:rsidRDefault="00D1587D">
      <w:pPr>
        <w:sectPr w:rsidR="00D1587D">
          <w:pgSz w:w="11900" w:h="16838"/>
          <w:pgMar w:top="265" w:right="1440" w:bottom="1440" w:left="1440" w:header="0" w:footer="0" w:gutter="0"/>
          <w:cols w:space="720" w:equalWidth="0">
            <w:col w:w="9019"/>
          </w:cols>
        </w:sectPr>
      </w:pPr>
    </w:p>
    <w:bookmarkStart w:id="317" w:name="page318"/>
    <w:bookmarkEnd w:id="317"/>
    <w:p w14:paraId="46436D40" w14:textId="77777777" w:rsidR="00D1587D" w:rsidRDefault="00410D07">
      <w:pPr>
        <w:ind w:left="1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3C30BD0" w14:textId="77777777" w:rsidR="00D1587D" w:rsidRDefault="00D1587D">
      <w:pPr>
        <w:spacing w:line="127" w:lineRule="exact"/>
        <w:rPr>
          <w:sz w:val="20"/>
          <w:szCs w:val="20"/>
        </w:rPr>
      </w:pPr>
    </w:p>
    <w:p w14:paraId="0CA9030E" w14:textId="77777777" w:rsidR="00D1587D" w:rsidRDefault="00410D07">
      <w:pPr>
        <w:ind w:right="20"/>
        <w:jc w:val="center"/>
        <w:rPr>
          <w:sz w:val="20"/>
          <w:szCs w:val="20"/>
        </w:rPr>
      </w:pPr>
      <w:r>
        <w:rPr>
          <w:rFonts w:ascii="Arial" w:eastAsia="Arial" w:hAnsi="Arial" w:cs="Arial"/>
          <w:b/>
          <w:bCs/>
          <w:sz w:val="18"/>
          <w:szCs w:val="18"/>
        </w:rPr>
        <w:t>Notes to Unaudited Pro Forma Combined Financial Statements</w:t>
      </w:r>
    </w:p>
    <w:p w14:paraId="4AE6F76B" w14:textId="77777777" w:rsidR="00D1587D" w:rsidRDefault="00D1587D">
      <w:pPr>
        <w:spacing w:line="229" w:lineRule="exact"/>
        <w:rPr>
          <w:sz w:val="20"/>
          <w:szCs w:val="20"/>
        </w:rPr>
      </w:pPr>
    </w:p>
    <w:p w14:paraId="19AE9AB7" w14:textId="77777777" w:rsidR="00D1587D" w:rsidRDefault="00410D07">
      <w:pPr>
        <w:tabs>
          <w:tab w:val="left" w:pos="1620"/>
        </w:tabs>
        <w:ind w:left="1300"/>
        <w:rPr>
          <w:sz w:val="20"/>
          <w:szCs w:val="20"/>
        </w:rPr>
      </w:pPr>
      <w:r>
        <w:rPr>
          <w:rFonts w:ascii="Arial" w:eastAsia="Arial" w:hAnsi="Arial" w:cs="Arial"/>
          <w:sz w:val="18"/>
          <w:szCs w:val="18"/>
        </w:rPr>
        <w:t>(a)</w:t>
      </w:r>
      <w:r>
        <w:rPr>
          <w:sz w:val="20"/>
          <w:szCs w:val="20"/>
        </w:rPr>
        <w:tab/>
      </w:r>
      <w:r>
        <w:rPr>
          <w:rFonts w:ascii="Arial" w:eastAsia="Arial" w:hAnsi="Arial" w:cs="Arial"/>
          <w:sz w:val="16"/>
          <w:szCs w:val="16"/>
        </w:rPr>
        <w:t>The following represents adjustments to reflect an expected cash amount of $250 million at Separation:</w:t>
      </w:r>
    </w:p>
    <w:p w14:paraId="5A7225F6" w14:textId="77777777" w:rsidR="00D1587D" w:rsidRDefault="00D1587D">
      <w:pPr>
        <w:spacing w:line="177" w:lineRule="exact"/>
        <w:rPr>
          <w:sz w:val="20"/>
          <w:szCs w:val="20"/>
        </w:rPr>
      </w:pPr>
    </w:p>
    <w:tbl>
      <w:tblPr>
        <w:tblW w:w="0" w:type="auto"/>
        <w:tblInd w:w="1660" w:type="dxa"/>
        <w:tblLayout w:type="fixed"/>
        <w:tblCellMar>
          <w:left w:w="0" w:type="dxa"/>
          <w:right w:w="0" w:type="dxa"/>
        </w:tblCellMar>
        <w:tblLook w:val="04A0" w:firstRow="1" w:lastRow="0" w:firstColumn="1" w:lastColumn="0" w:noHBand="0" w:noVBand="1"/>
      </w:tblPr>
      <w:tblGrid>
        <w:gridCol w:w="6620"/>
        <w:gridCol w:w="240"/>
        <w:gridCol w:w="240"/>
        <w:gridCol w:w="600"/>
      </w:tblGrid>
      <w:tr w:rsidR="00D1587D" w14:paraId="778F2A3C" w14:textId="77777777">
        <w:trPr>
          <w:trHeight w:val="161"/>
        </w:trPr>
        <w:tc>
          <w:tcPr>
            <w:tcW w:w="6620" w:type="dxa"/>
            <w:vAlign w:val="bottom"/>
          </w:tcPr>
          <w:p w14:paraId="68273325" w14:textId="77777777" w:rsidR="00D1587D" w:rsidRDefault="00D1587D">
            <w:pPr>
              <w:rPr>
                <w:sz w:val="14"/>
                <w:szCs w:val="14"/>
              </w:rPr>
            </w:pPr>
          </w:p>
        </w:tc>
        <w:tc>
          <w:tcPr>
            <w:tcW w:w="240" w:type="dxa"/>
            <w:vAlign w:val="bottom"/>
          </w:tcPr>
          <w:p w14:paraId="42E1F80B" w14:textId="77777777" w:rsidR="00D1587D" w:rsidRDefault="00D1587D">
            <w:pPr>
              <w:rPr>
                <w:sz w:val="14"/>
                <w:szCs w:val="14"/>
              </w:rPr>
            </w:pPr>
          </w:p>
        </w:tc>
        <w:tc>
          <w:tcPr>
            <w:tcW w:w="840" w:type="dxa"/>
            <w:gridSpan w:val="2"/>
            <w:vAlign w:val="bottom"/>
          </w:tcPr>
          <w:p w14:paraId="71F5A385" w14:textId="77777777" w:rsidR="00D1587D" w:rsidRDefault="00410D07">
            <w:pPr>
              <w:jc w:val="center"/>
              <w:rPr>
                <w:sz w:val="20"/>
                <w:szCs w:val="20"/>
              </w:rPr>
            </w:pPr>
            <w:r>
              <w:rPr>
                <w:rFonts w:ascii="Arial" w:eastAsia="Arial" w:hAnsi="Arial" w:cs="Arial"/>
                <w:b/>
                <w:bCs/>
                <w:w w:val="95"/>
                <w:sz w:val="14"/>
                <w:szCs w:val="14"/>
              </w:rPr>
              <w:t>As of May 1,</w:t>
            </w:r>
          </w:p>
        </w:tc>
      </w:tr>
      <w:tr w:rsidR="00D1587D" w14:paraId="538DD32E" w14:textId="77777777">
        <w:trPr>
          <w:trHeight w:val="186"/>
        </w:trPr>
        <w:tc>
          <w:tcPr>
            <w:tcW w:w="6620" w:type="dxa"/>
            <w:vAlign w:val="bottom"/>
          </w:tcPr>
          <w:p w14:paraId="4A5448FE" w14:textId="77777777" w:rsidR="00D1587D" w:rsidRDefault="00D1587D">
            <w:pPr>
              <w:rPr>
                <w:sz w:val="16"/>
                <w:szCs w:val="16"/>
              </w:rPr>
            </w:pPr>
          </w:p>
        </w:tc>
        <w:tc>
          <w:tcPr>
            <w:tcW w:w="240" w:type="dxa"/>
            <w:vAlign w:val="bottom"/>
          </w:tcPr>
          <w:p w14:paraId="1E81023B" w14:textId="77777777" w:rsidR="00D1587D" w:rsidRDefault="00D1587D">
            <w:pPr>
              <w:rPr>
                <w:sz w:val="16"/>
                <w:szCs w:val="16"/>
              </w:rPr>
            </w:pPr>
          </w:p>
        </w:tc>
        <w:tc>
          <w:tcPr>
            <w:tcW w:w="240" w:type="dxa"/>
            <w:vAlign w:val="bottom"/>
          </w:tcPr>
          <w:p w14:paraId="563F4FA0" w14:textId="77777777" w:rsidR="00D1587D" w:rsidRDefault="00D1587D">
            <w:pPr>
              <w:rPr>
                <w:sz w:val="16"/>
                <w:szCs w:val="16"/>
              </w:rPr>
            </w:pPr>
          </w:p>
        </w:tc>
        <w:tc>
          <w:tcPr>
            <w:tcW w:w="600" w:type="dxa"/>
            <w:vAlign w:val="bottom"/>
          </w:tcPr>
          <w:p w14:paraId="55DE7DD2" w14:textId="77777777" w:rsidR="00D1587D" w:rsidRDefault="00410D07">
            <w:pPr>
              <w:ind w:right="155"/>
              <w:jc w:val="center"/>
              <w:rPr>
                <w:sz w:val="20"/>
                <w:szCs w:val="20"/>
              </w:rPr>
            </w:pPr>
            <w:r>
              <w:rPr>
                <w:rFonts w:ascii="Arial" w:eastAsia="Arial" w:hAnsi="Arial" w:cs="Arial"/>
                <w:b/>
                <w:bCs/>
                <w:w w:val="89"/>
                <w:sz w:val="14"/>
                <w:szCs w:val="14"/>
              </w:rPr>
              <w:t>2021</w:t>
            </w:r>
          </w:p>
        </w:tc>
      </w:tr>
      <w:tr w:rsidR="00D1587D" w14:paraId="39A28017" w14:textId="77777777">
        <w:trPr>
          <w:trHeight w:val="53"/>
        </w:trPr>
        <w:tc>
          <w:tcPr>
            <w:tcW w:w="6620" w:type="dxa"/>
            <w:vAlign w:val="bottom"/>
          </w:tcPr>
          <w:p w14:paraId="02EB6927" w14:textId="77777777" w:rsidR="00D1587D" w:rsidRDefault="00D1587D">
            <w:pPr>
              <w:rPr>
                <w:sz w:val="4"/>
                <w:szCs w:val="4"/>
              </w:rPr>
            </w:pPr>
          </w:p>
        </w:tc>
        <w:tc>
          <w:tcPr>
            <w:tcW w:w="240" w:type="dxa"/>
            <w:vAlign w:val="bottom"/>
          </w:tcPr>
          <w:p w14:paraId="1C2D9DB0" w14:textId="77777777" w:rsidR="00D1587D" w:rsidRDefault="00D1587D">
            <w:pPr>
              <w:rPr>
                <w:sz w:val="4"/>
                <w:szCs w:val="4"/>
              </w:rPr>
            </w:pPr>
          </w:p>
        </w:tc>
        <w:tc>
          <w:tcPr>
            <w:tcW w:w="840" w:type="dxa"/>
            <w:gridSpan w:val="2"/>
            <w:tcBorders>
              <w:bottom w:val="single" w:sz="8" w:space="0" w:color="auto"/>
            </w:tcBorders>
            <w:vAlign w:val="bottom"/>
          </w:tcPr>
          <w:p w14:paraId="1D073C56" w14:textId="77777777" w:rsidR="00D1587D" w:rsidRDefault="00D1587D">
            <w:pPr>
              <w:rPr>
                <w:sz w:val="4"/>
                <w:szCs w:val="4"/>
              </w:rPr>
            </w:pPr>
          </w:p>
        </w:tc>
      </w:tr>
      <w:tr w:rsidR="00D1587D" w14:paraId="1CE8B791" w14:textId="77777777">
        <w:trPr>
          <w:trHeight w:val="224"/>
        </w:trPr>
        <w:tc>
          <w:tcPr>
            <w:tcW w:w="6620" w:type="dxa"/>
            <w:vAlign w:val="bottom"/>
          </w:tcPr>
          <w:p w14:paraId="2A18CBD2" w14:textId="77777777" w:rsidR="00D1587D" w:rsidRDefault="00D1587D">
            <w:pPr>
              <w:rPr>
                <w:sz w:val="19"/>
                <w:szCs w:val="19"/>
              </w:rPr>
            </w:pPr>
          </w:p>
        </w:tc>
        <w:tc>
          <w:tcPr>
            <w:tcW w:w="240" w:type="dxa"/>
            <w:vAlign w:val="bottom"/>
          </w:tcPr>
          <w:p w14:paraId="14500C7C" w14:textId="77777777" w:rsidR="00D1587D" w:rsidRDefault="00D1587D">
            <w:pPr>
              <w:rPr>
                <w:sz w:val="19"/>
                <w:szCs w:val="19"/>
              </w:rPr>
            </w:pPr>
          </w:p>
        </w:tc>
        <w:tc>
          <w:tcPr>
            <w:tcW w:w="840" w:type="dxa"/>
            <w:gridSpan w:val="2"/>
            <w:vAlign w:val="bottom"/>
          </w:tcPr>
          <w:p w14:paraId="5DFBB8AD" w14:textId="77777777" w:rsidR="00D1587D" w:rsidRDefault="00410D07">
            <w:pPr>
              <w:jc w:val="center"/>
              <w:rPr>
                <w:sz w:val="20"/>
                <w:szCs w:val="20"/>
              </w:rPr>
            </w:pPr>
            <w:r>
              <w:rPr>
                <w:rFonts w:ascii="Arial" w:eastAsia="Arial" w:hAnsi="Arial" w:cs="Arial"/>
                <w:b/>
                <w:bCs/>
                <w:w w:val="94"/>
                <w:sz w:val="14"/>
                <w:szCs w:val="14"/>
              </w:rPr>
              <w:t xml:space="preserve">(in </w:t>
            </w:r>
            <w:r>
              <w:rPr>
                <w:rFonts w:ascii="Arial" w:eastAsia="Arial" w:hAnsi="Arial" w:cs="Arial"/>
                <w:b/>
                <w:bCs/>
                <w:w w:val="94"/>
                <w:sz w:val="14"/>
                <w:szCs w:val="14"/>
              </w:rPr>
              <w:t>millions)</w:t>
            </w:r>
          </w:p>
        </w:tc>
      </w:tr>
      <w:tr w:rsidR="00D1587D" w14:paraId="657EE2F4" w14:textId="77777777">
        <w:trPr>
          <w:trHeight w:val="53"/>
        </w:trPr>
        <w:tc>
          <w:tcPr>
            <w:tcW w:w="6620" w:type="dxa"/>
            <w:vAlign w:val="bottom"/>
          </w:tcPr>
          <w:p w14:paraId="26D6ECAD" w14:textId="77777777" w:rsidR="00D1587D" w:rsidRDefault="00D1587D">
            <w:pPr>
              <w:rPr>
                <w:sz w:val="4"/>
                <w:szCs w:val="4"/>
              </w:rPr>
            </w:pPr>
          </w:p>
        </w:tc>
        <w:tc>
          <w:tcPr>
            <w:tcW w:w="240" w:type="dxa"/>
            <w:vAlign w:val="bottom"/>
          </w:tcPr>
          <w:p w14:paraId="1E4268C4" w14:textId="77777777" w:rsidR="00D1587D" w:rsidRDefault="00D1587D">
            <w:pPr>
              <w:rPr>
                <w:sz w:val="4"/>
                <w:szCs w:val="4"/>
              </w:rPr>
            </w:pPr>
          </w:p>
        </w:tc>
        <w:tc>
          <w:tcPr>
            <w:tcW w:w="240" w:type="dxa"/>
            <w:vAlign w:val="bottom"/>
          </w:tcPr>
          <w:p w14:paraId="74B9D85A" w14:textId="77777777" w:rsidR="00D1587D" w:rsidRDefault="00D1587D">
            <w:pPr>
              <w:rPr>
                <w:sz w:val="4"/>
                <w:szCs w:val="4"/>
              </w:rPr>
            </w:pPr>
          </w:p>
        </w:tc>
        <w:tc>
          <w:tcPr>
            <w:tcW w:w="600" w:type="dxa"/>
            <w:vAlign w:val="bottom"/>
          </w:tcPr>
          <w:p w14:paraId="18ADFAE5" w14:textId="77777777" w:rsidR="00D1587D" w:rsidRDefault="00D1587D">
            <w:pPr>
              <w:rPr>
                <w:sz w:val="4"/>
                <w:szCs w:val="4"/>
              </w:rPr>
            </w:pPr>
          </w:p>
        </w:tc>
      </w:tr>
      <w:tr w:rsidR="00D1587D" w14:paraId="772A55D1" w14:textId="77777777">
        <w:trPr>
          <w:trHeight w:val="318"/>
        </w:trPr>
        <w:tc>
          <w:tcPr>
            <w:tcW w:w="6860" w:type="dxa"/>
            <w:gridSpan w:val="2"/>
            <w:tcBorders>
              <w:bottom w:val="single" w:sz="8" w:space="0" w:color="CCEEFF"/>
            </w:tcBorders>
            <w:shd w:val="clear" w:color="auto" w:fill="CCEEFF"/>
            <w:vAlign w:val="bottom"/>
          </w:tcPr>
          <w:p w14:paraId="4FD59A95" w14:textId="77777777" w:rsidR="00D1587D" w:rsidRDefault="00410D07">
            <w:pPr>
              <w:rPr>
                <w:sz w:val="20"/>
                <w:szCs w:val="20"/>
              </w:rPr>
            </w:pPr>
            <w:r>
              <w:rPr>
                <w:rFonts w:ascii="Arial" w:eastAsia="Arial" w:hAnsi="Arial" w:cs="Arial"/>
                <w:sz w:val="18"/>
                <w:szCs w:val="18"/>
              </w:rPr>
              <w:t>Cash Received from Incurrence of Debt</w:t>
            </w:r>
          </w:p>
        </w:tc>
        <w:tc>
          <w:tcPr>
            <w:tcW w:w="240" w:type="dxa"/>
            <w:tcBorders>
              <w:bottom w:val="single" w:sz="8" w:space="0" w:color="CCEEFF"/>
            </w:tcBorders>
            <w:shd w:val="clear" w:color="auto" w:fill="CCEEFF"/>
            <w:vAlign w:val="bottom"/>
          </w:tcPr>
          <w:p w14:paraId="50982E34" w14:textId="77777777" w:rsidR="00D1587D" w:rsidRDefault="00410D07">
            <w:pPr>
              <w:jc w:val="right"/>
              <w:rPr>
                <w:sz w:val="20"/>
                <w:szCs w:val="20"/>
              </w:rPr>
            </w:pPr>
            <w:r>
              <w:rPr>
                <w:rFonts w:ascii="Arial" w:eastAsia="Arial" w:hAnsi="Arial" w:cs="Arial"/>
                <w:sz w:val="18"/>
                <w:szCs w:val="18"/>
              </w:rPr>
              <w:t>$</w:t>
            </w:r>
          </w:p>
        </w:tc>
        <w:tc>
          <w:tcPr>
            <w:tcW w:w="600" w:type="dxa"/>
            <w:tcBorders>
              <w:bottom w:val="single" w:sz="8" w:space="0" w:color="CCEEFF"/>
            </w:tcBorders>
            <w:shd w:val="clear" w:color="auto" w:fill="CCEEFF"/>
            <w:vAlign w:val="bottom"/>
          </w:tcPr>
          <w:p w14:paraId="79316631" w14:textId="77777777" w:rsidR="00D1587D" w:rsidRDefault="00410D07">
            <w:pPr>
              <w:ind w:right="75"/>
              <w:jc w:val="right"/>
              <w:rPr>
                <w:sz w:val="20"/>
                <w:szCs w:val="20"/>
              </w:rPr>
            </w:pPr>
            <w:r>
              <w:rPr>
                <w:rFonts w:ascii="Arial" w:eastAsia="Arial" w:hAnsi="Arial" w:cs="Arial"/>
                <w:w w:val="93"/>
                <w:sz w:val="18"/>
                <w:szCs w:val="18"/>
              </w:rPr>
              <w:t>1,000</w:t>
            </w:r>
          </w:p>
        </w:tc>
      </w:tr>
      <w:tr w:rsidR="00D1587D" w14:paraId="0E6A9F96" w14:textId="77777777">
        <w:trPr>
          <w:trHeight w:val="270"/>
        </w:trPr>
        <w:tc>
          <w:tcPr>
            <w:tcW w:w="6860" w:type="dxa"/>
            <w:gridSpan w:val="2"/>
            <w:vAlign w:val="bottom"/>
          </w:tcPr>
          <w:p w14:paraId="2E2B220C" w14:textId="77777777" w:rsidR="00D1587D" w:rsidRDefault="00410D07">
            <w:pPr>
              <w:rPr>
                <w:sz w:val="20"/>
                <w:szCs w:val="20"/>
              </w:rPr>
            </w:pPr>
            <w:r>
              <w:rPr>
                <w:rFonts w:ascii="Arial" w:eastAsia="Arial" w:hAnsi="Arial" w:cs="Arial"/>
                <w:sz w:val="18"/>
                <w:szCs w:val="18"/>
              </w:rPr>
              <w:t>Cash Transfer to LB at Separation</w:t>
            </w:r>
          </w:p>
        </w:tc>
        <w:tc>
          <w:tcPr>
            <w:tcW w:w="840" w:type="dxa"/>
            <w:gridSpan w:val="2"/>
            <w:vAlign w:val="bottom"/>
          </w:tcPr>
          <w:p w14:paraId="47C5E839" w14:textId="77777777" w:rsidR="00D1587D" w:rsidRDefault="00410D07">
            <w:pPr>
              <w:ind w:right="15"/>
              <w:jc w:val="right"/>
              <w:rPr>
                <w:sz w:val="20"/>
                <w:szCs w:val="20"/>
              </w:rPr>
            </w:pPr>
            <w:r>
              <w:rPr>
                <w:rFonts w:ascii="Arial" w:eastAsia="Arial" w:hAnsi="Arial" w:cs="Arial"/>
                <w:sz w:val="18"/>
                <w:szCs w:val="18"/>
              </w:rPr>
              <w:t>(1,057)</w:t>
            </w:r>
          </w:p>
        </w:tc>
      </w:tr>
      <w:tr w:rsidR="00D1587D" w14:paraId="72E14BCD" w14:textId="77777777">
        <w:trPr>
          <w:trHeight w:val="54"/>
        </w:trPr>
        <w:tc>
          <w:tcPr>
            <w:tcW w:w="6620" w:type="dxa"/>
            <w:vAlign w:val="bottom"/>
          </w:tcPr>
          <w:p w14:paraId="2B78FEE8" w14:textId="77777777" w:rsidR="00D1587D" w:rsidRDefault="00D1587D">
            <w:pPr>
              <w:rPr>
                <w:sz w:val="4"/>
                <w:szCs w:val="4"/>
              </w:rPr>
            </w:pPr>
          </w:p>
        </w:tc>
        <w:tc>
          <w:tcPr>
            <w:tcW w:w="240" w:type="dxa"/>
            <w:vAlign w:val="bottom"/>
          </w:tcPr>
          <w:p w14:paraId="5BD7D3B6" w14:textId="77777777" w:rsidR="00D1587D" w:rsidRDefault="00D1587D">
            <w:pPr>
              <w:rPr>
                <w:sz w:val="4"/>
                <w:szCs w:val="4"/>
              </w:rPr>
            </w:pPr>
          </w:p>
        </w:tc>
        <w:tc>
          <w:tcPr>
            <w:tcW w:w="240" w:type="dxa"/>
            <w:vAlign w:val="bottom"/>
          </w:tcPr>
          <w:p w14:paraId="01E1C743" w14:textId="77777777" w:rsidR="00D1587D" w:rsidRDefault="00D1587D">
            <w:pPr>
              <w:rPr>
                <w:sz w:val="4"/>
                <w:szCs w:val="4"/>
              </w:rPr>
            </w:pPr>
          </w:p>
        </w:tc>
        <w:tc>
          <w:tcPr>
            <w:tcW w:w="600" w:type="dxa"/>
            <w:vAlign w:val="bottom"/>
          </w:tcPr>
          <w:p w14:paraId="4DA5F628" w14:textId="77777777" w:rsidR="00D1587D" w:rsidRDefault="00D1587D">
            <w:pPr>
              <w:rPr>
                <w:sz w:val="4"/>
                <w:szCs w:val="4"/>
              </w:rPr>
            </w:pPr>
          </w:p>
        </w:tc>
      </w:tr>
      <w:tr w:rsidR="00D1587D" w14:paraId="34ED1F14" w14:textId="77777777">
        <w:trPr>
          <w:trHeight w:val="270"/>
        </w:trPr>
        <w:tc>
          <w:tcPr>
            <w:tcW w:w="6860" w:type="dxa"/>
            <w:gridSpan w:val="2"/>
            <w:shd w:val="clear" w:color="auto" w:fill="CCEEFF"/>
            <w:vAlign w:val="bottom"/>
          </w:tcPr>
          <w:p w14:paraId="4825DE33" w14:textId="77777777" w:rsidR="00D1587D" w:rsidRDefault="00410D07">
            <w:pPr>
              <w:rPr>
                <w:sz w:val="20"/>
                <w:szCs w:val="20"/>
              </w:rPr>
            </w:pPr>
            <w:r>
              <w:rPr>
                <w:rFonts w:ascii="Arial" w:eastAsia="Arial" w:hAnsi="Arial" w:cs="Arial"/>
                <w:sz w:val="18"/>
                <w:szCs w:val="18"/>
              </w:rPr>
              <w:t>Cash Paid for Debt Issuance Costs</w:t>
            </w:r>
          </w:p>
        </w:tc>
        <w:tc>
          <w:tcPr>
            <w:tcW w:w="240" w:type="dxa"/>
            <w:shd w:val="clear" w:color="auto" w:fill="CCEEFF"/>
            <w:vAlign w:val="bottom"/>
          </w:tcPr>
          <w:p w14:paraId="6FCA2590" w14:textId="77777777" w:rsidR="00D1587D" w:rsidRDefault="00D1587D">
            <w:pPr>
              <w:rPr>
                <w:sz w:val="23"/>
                <w:szCs w:val="23"/>
              </w:rPr>
            </w:pPr>
          </w:p>
        </w:tc>
        <w:tc>
          <w:tcPr>
            <w:tcW w:w="600" w:type="dxa"/>
            <w:shd w:val="clear" w:color="auto" w:fill="CCEEFF"/>
            <w:vAlign w:val="bottom"/>
          </w:tcPr>
          <w:p w14:paraId="390FF9C0" w14:textId="77777777" w:rsidR="00D1587D" w:rsidRDefault="00410D07">
            <w:pPr>
              <w:ind w:right="15"/>
              <w:jc w:val="right"/>
              <w:rPr>
                <w:sz w:val="20"/>
                <w:szCs w:val="20"/>
              </w:rPr>
            </w:pPr>
            <w:r>
              <w:rPr>
                <w:rFonts w:ascii="Arial" w:eastAsia="Arial" w:hAnsi="Arial" w:cs="Arial"/>
                <w:sz w:val="18"/>
                <w:szCs w:val="18"/>
              </w:rPr>
              <w:t>(25)</w:t>
            </w:r>
          </w:p>
        </w:tc>
      </w:tr>
      <w:tr w:rsidR="00D1587D" w14:paraId="65857FC6" w14:textId="77777777">
        <w:trPr>
          <w:trHeight w:val="68"/>
        </w:trPr>
        <w:tc>
          <w:tcPr>
            <w:tcW w:w="6620" w:type="dxa"/>
            <w:shd w:val="clear" w:color="auto" w:fill="CCEEFF"/>
            <w:vAlign w:val="bottom"/>
          </w:tcPr>
          <w:p w14:paraId="07CE246D" w14:textId="77777777" w:rsidR="00D1587D" w:rsidRDefault="00D1587D">
            <w:pPr>
              <w:rPr>
                <w:sz w:val="5"/>
                <w:szCs w:val="5"/>
              </w:rPr>
            </w:pPr>
          </w:p>
        </w:tc>
        <w:tc>
          <w:tcPr>
            <w:tcW w:w="240" w:type="dxa"/>
            <w:tcBorders>
              <w:bottom w:val="single" w:sz="8" w:space="0" w:color="CCEEFF"/>
            </w:tcBorders>
            <w:shd w:val="clear" w:color="auto" w:fill="CCEEFF"/>
            <w:vAlign w:val="bottom"/>
          </w:tcPr>
          <w:p w14:paraId="0A581B21" w14:textId="77777777" w:rsidR="00D1587D" w:rsidRDefault="00D1587D">
            <w:pPr>
              <w:rPr>
                <w:sz w:val="5"/>
                <w:szCs w:val="5"/>
              </w:rPr>
            </w:pPr>
          </w:p>
        </w:tc>
        <w:tc>
          <w:tcPr>
            <w:tcW w:w="240" w:type="dxa"/>
            <w:tcBorders>
              <w:bottom w:val="single" w:sz="8" w:space="0" w:color="auto"/>
            </w:tcBorders>
            <w:shd w:val="clear" w:color="auto" w:fill="CCEEFF"/>
            <w:vAlign w:val="bottom"/>
          </w:tcPr>
          <w:p w14:paraId="711576EF" w14:textId="77777777" w:rsidR="00D1587D" w:rsidRDefault="00D1587D">
            <w:pPr>
              <w:rPr>
                <w:sz w:val="5"/>
                <w:szCs w:val="5"/>
              </w:rPr>
            </w:pPr>
          </w:p>
        </w:tc>
        <w:tc>
          <w:tcPr>
            <w:tcW w:w="600" w:type="dxa"/>
            <w:tcBorders>
              <w:bottom w:val="single" w:sz="8" w:space="0" w:color="auto"/>
            </w:tcBorders>
            <w:shd w:val="clear" w:color="auto" w:fill="CCEEFF"/>
            <w:vAlign w:val="bottom"/>
          </w:tcPr>
          <w:p w14:paraId="5F80A6A2" w14:textId="77777777" w:rsidR="00D1587D" w:rsidRDefault="00D1587D">
            <w:pPr>
              <w:rPr>
                <w:sz w:val="5"/>
                <w:szCs w:val="5"/>
              </w:rPr>
            </w:pPr>
          </w:p>
        </w:tc>
      </w:tr>
      <w:tr w:rsidR="00D1587D" w14:paraId="5FACB455" w14:textId="77777777">
        <w:trPr>
          <w:trHeight w:val="304"/>
        </w:trPr>
        <w:tc>
          <w:tcPr>
            <w:tcW w:w="6860" w:type="dxa"/>
            <w:gridSpan w:val="2"/>
            <w:vAlign w:val="bottom"/>
          </w:tcPr>
          <w:p w14:paraId="4D83B07C" w14:textId="77777777" w:rsidR="00D1587D" w:rsidRDefault="00410D07">
            <w:pPr>
              <w:rPr>
                <w:sz w:val="20"/>
                <w:szCs w:val="20"/>
              </w:rPr>
            </w:pPr>
            <w:r>
              <w:rPr>
                <w:rFonts w:ascii="Arial" w:eastAsia="Arial" w:hAnsi="Arial" w:cs="Arial"/>
                <w:sz w:val="18"/>
                <w:szCs w:val="18"/>
              </w:rPr>
              <w:t>Total Pro Forma Adjustment to Cash</w:t>
            </w:r>
          </w:p>
        </w:tc>
        <w:tc>
          <w:tcPr>
            <w:tcW w:w="240" w:type="dxa"/>
            <w:vAlign w:val="bottom"/>
          </w:tcPr>
          <w:p w14:paraId="501671EB" w14:textId="77777777" w:rsidR="00D1587D" w:rsidRDefault="00410D07">
            <w:pPr>
              <w:jc w:val="right"/>
              <w:rPr>
                <w:sz w:val="20"/>
                <w:szCs w:val="20"/>
              </w:rPr>
            </w:pPr>
            <w:r>
              <w:rPr>
                <w:rFonts w:ascii="Arial" w:eastAsia="Arial" w:hAnsi="Arial" w:cs="Arial"/>
                <w:sz w:val="18"/>
                <w:szCs w:val="18"/>
              </w:rPr>
              <w:t>$</w:t>
            </w:r>
          </w:p>
        </w:tc>
        <w:tc>
          <w:tcPr>
            <w:tcW w:w="600" w:type="dxa"/>
            <w:vAlign w:val="bottom"/>
          </w:tcPr>
          <w:p w14:paraId="081D1B4B" w14:textId="77777777" w:rsidR="00D1587D" w:rsidRDefault="00410D07">
            <w:pPr>
              <w:ind w:right="15"/>
              <w:jc w:val="right"/>
              <w:rPr>
                <w:sz w:val="20"/>
                <w:szCs w:val="20"/>
              </w:rPr>
            </w:pPr>
            <w:r>
              <w:rPr>
                <w:rFonts w:ascii="Arial" w:eastAsia="Arial" w:hAnsi="Arial" w:cs="Arial"/>
                <w:sz w:val="18"/>
                <w:szCs w:val="18"/>
              </w:rPr>
              <w:t>(82)</w:t>
            </w:r>
          </w:p>
        </w:tc>
      </w:tr>
      <w:tr w:rsidR="00D1587D" w14:paraId="0761FF64" w14:textId="77777777">
        <w:trPr>
          <w:trHeight w:val="27"/>
        </w:trPr>
        <w:tc>
          <w:tcPr>
            <w:tcW w:w="6620" w:type="dxa"/>
            <w:vAlign w:val="bottom"/>
          </w:tcPr>
          <w:p w14:paraId="7F8F0188" w14:textId="77777777" w:rsidR="00D1587D" w:rsidRDefault="00D1587D">
            <w:pPr>
              <w:rPr>
                <w:sz w:val="2"/>
                <w:szCs w:val="2"/>
              </w:rPr>
            </w:pPr>
          </w:p>
        </w:tc>
        <w:tc>
          <w:tcPr>
            <w:tcW w:w="240" w:type="dxa"/>
            <w:vAlign w:val="bottom"/>
          </w:tcPr>
          <w:p w14:paraId="2C3ACAC0" w14:textId="77777777" w:rsidR="00D1587D" w:rsidRDefault="00D1587D">
            <w:pPr>
              <w:rPr>
                <w:sz w:val="2"/>
                <w:szCs w:val="2"/>
              </w:rPr>
            </w:pPr>
          </w:p>
        </w:tc>
        <w:tc>
          <w:tcPr>
            <w:tcW w:w="240" w:type="dxa"/>
            <w:tcBorders>
              <w:bottom w:val="single" w:sz="8" w:space="0" w:color="auto"/>
            </w:tcBorders>
            <w:vAlign w:val="bottom"/>
          </w:tcPr>
          <w:p w14:paraId="6680E377" w14:textId="77777777" w:rsidR="00D1587D" w:rsidRDefault="00D1587D">
            <w:pPr>
              <w:rPr>
                <w:sz w:val="2"/>
                <w:szCs w:val="2"/>
              </w:rPr>
            </w:pPr>
          </w:p>
        </w:tc>
        <w:tc>
          <w:tcPr>
            <w:tcW w:w="600" w:type="dxa"/>
            <w:tcBorders>
              <w:bottom w:val="single" w:sz="8" w:space="0" w:color="auto"/>
            </w:tcBorders>
            <w:vAlign w:val="bottom"/>
          </w:tcPr>
          <w:p w14:paraId="79A34383" w14:textId="77777777" w:rsidR="00D1587D" w:rsidRDefault="00D1587D">
            <w:pPr>
              <w:rPr>
                <w:sz w:val="2"/>
                <w:szCs w:val="2"/>
              </w:rPr>
            </w:pPr>
          </w:p>
        </w:tc>
      </w:tr>
      <w:tr w:rsidR="00D1587D" w14:paraId="348913F2" w14:textId="77777777">
        <w:trPr>
          <w:trHeight w:val="20"/>
        </w:trPr>
        <w:tc>
          <w:tcPr>
            <w:tcW w:w="6620" w:type="dxa"/>
            <w:vAlign w:val="bottom"/>
          </w:tcPr>
          <w:p w14:paraId="558F4A1C" w14:textId="77777777" w:rsidR="00D1587D" w:rsidRDefault="00D1587D">
            <w:pPr>
              <w:spacing w:line="20" w:lineRule="exact"/>
              <w:rPr>
                <w:sz w:val="1"/>
                <w:szCs w:val="1"/>
              </w:rPr>
            </w:pPr>
          </w:p>
        </w:tc>
        <w:tc>
          <w:tcPr>
            <w:tcW w:w="240" w:type="dxa"/>
            <w:vAlign w:val="bottom"/>
          </w:tcPr>
          <w:p w14:paraId="751B0982" w14:textId="77777777" w:rsidR="00D1587D" w:rsidRDefault="00D1587D">
            <w:pPr>
              <w:spacing w:line="20" w:lineRule="exact"/>
              <w:rPr>
                <w:sz w:val="1"/>
                <w:szCs w:val="1"/>
              </w:rPr>
            </w:pPr>
          </w:p>
        </w:tc>
        <w:tc>
          <w:tcPr>
            <w:tcW w:w="240" w:type="dxa"/>
            <w:tcBorders>
              <w:bottom w:val="single" w:sz="8" w:space="0" w:color="auto"/>
            </w:tcBorders>
            <w:vAlign w:val="bottom"/>
          </w:tcPr>
          <w:p w14:paraId="2948AB4D" w14:textId="77777777" w:rsidR="00D1587D" w:rsidRDefault="00D1587D">
            <w:pPr>
              <w:spacing w:line="20" w:lineRule="exact"/>
              <w:rPr>
                <w:sz w:val="1"/>
                <w:szCs w:val="1"/>
              </w:rPr>
            </w:pPr>
          </w:p>
        </w:tc>
        <w:tc>
          <w:tcPr>
            <w:tcW w:w="600" w:type="dxa"/>
            <w:tcBorders>
              <w:bottom w:val="single" w:sz="8" w:space="0" w:color="auto"/>
            </w:tcBorders>
            <w:vAlign w:val="bottom"/>
          </w:tcPr>
          <w:p w14:paraId="63E0722D" w14:textId="77777777" w:rsidR="00D1587D" w:rsidRDefault="00D1587D">
            <w:pPr>
              <w:spacing w:line="20" w:lineRule="exact"/>
              <w:rPr>
                <w:sz w:val="1"/>
                <w:szCs w:val="1"/>
              </w:rPr>
            </w:pPr>
          </w:p>
        </w:tc>
      </w:tr>
    </w:tbl>
    <w:p w14:paraId="09CEFE76" w14:textId="77777777" w:rsidR="00D1587D" w:rsidRDefault="00D1587D">
      <w:pPr>
        <w:spacing w:line="94" w:lineRule="exact"/>
        <w:rPr>
          <w:sz w:val="20"/>
          <w:szCs w:val="20"/>
        </w:rPr>
      </w:pPr>
    </w:p>
    <w:p w14:paraId="6504BCA6" w14:textId="77777777" w:rsidR="00D1587D" w:rsidRDefault="00410D07" w:rsidP="00410D07">
      <w:pPr>
        <w:numPr>
          <w:ilvl w:val="0"/>
          <w:numId w:val="275"/>
        </w:numPr>
        <w:tabs>
          <w:tab w:val="left" w:pos="1640"/>
        </w:tabs>
        <w:spacing w:line="301" w:lineRule="auto"/>
        <w:ind w:left="1640" w:right="1360" w:hanging="348"/>
        <w:rPr>
          <w:rFonts w:ascii="Arial" w:eastAsia="Arial" w:hAnsi="Arial" w:cs="Arial"/>
          <w:sz w:val="16"/>
          <w:szCs w:val="16"/>
        </w:rPr>
      </w:pPr>
      <w:r>
        <w:rPr>
          <w:rFonts w:ascii="Arial" w:eastAsia="Arial" w:hAnsi="Arial" w:cs="Arial"/>
          <w:sz w:val="16"/>
          <w:szCs w:val="16"/>
        </w:rPr>
        <w:t xml:space="preserve">At the time of the Separation, we will no </w:t>
      </w:r>
      <w:r>
        <w:rPr>
          <w:rFonts w:ascii="Arial" w:eastAsia="Arial" w:hAnsi="Arial" w:cs="Arial"/>
          <w:sz w:val="16"/>
          <w:szCs w:val="16"/>
        </w:rPr>
        <w:t>longer have long-term debt due to related party of $97 million and associated accrued interest of $1 million. Accordingly, we have removed these amounts from the unaudited pro forma combined balance sheet as of May 1, 2021. Additionally, we have removed th</w:t>
      </w:r>
      <w:r>
        <w:rPr>
          <w:rFonts w:ascii="Arial" w:eastAsia="Arial" w:hAnsi="Arial" w:cs="Arial"/>
          <w:sz w:val="16"/>
          <w:szCs w:val="16"/>
        </w:rPr>
        <w:t>e related interest expense from the unaudited pro forma combined statement of income (loss) for the thirteen weeks ended May 1, 2021.</w:t>
      </w:r>
    </w:p>
    <w:p w14:paraId="01C60699" w14:textId="77777777" w:rsidR="00D1587D" w:rsidRDefault="00D1587D">
      <w:pPr>
        <w:spacing w:line="49" w:lineRule="exact"/>
        <w:rPr>
          <w:rFonts w:ascii="Arial" w:eastAsia="Arial" w:hAnsi="Arial" w:cs="Arial"/>
          <w:sz w:val="16"/>
          <w:szCs w:val="16"/>
        </w:rPr>
      </w:pPr>
    </w:p>
    <w:p w14:paraId="24F7CA57" w14:textId="77777777" w:rsidR="00D1587D" w:rsidRDefault="00410D07" w:rsidP="00410D07">
      <w:pPr>
        <w:numPr>
          <w:ilvl w:val="0"/>
          <w:numId w:val="275"/>
        </w:numPr>
        <w:tabs>
          <w:tab w:val="left" w:pos="1640"/>
        </w:tabs>
        <w:spacing w:line="257" w:lineRule="auto"/>
        <w:ind w:left="1640" w:right="1320" w:hanging="348"/>
        <w:rPr>
          <w:rFonts w:ascii="Arial" w:eastAsia="Arial" w:hAnsi="Arial" w:cs="Arial"/>
          <w:sz w:val="18"/>
          <w:szCs w:val="18"/>
        </w:rPr>
      </w:pPr>
      <w:r>
        <w:rPr>
          <w:rFonts w:ascii="Arial" w:eastAsia="Arial" w:hAnsi="Arial" w:cs="Arial"/>
          <w:sz w:val="18"/>
          <w:szCs w:val="18"/>
        </w:rPr>
        <w:t>At the time of the Separation, LB will retain the net liabilities associated with uncertain tax positions related to LB’s</w:t>
      </w:r>
      <w:r>
        <w:rPr>
          <w:rFonts w:ascii="Arial" w:eastAsia="Arial" w:hAnsi="Arial" w:cs="Arial"/>
          <w:sz w:val="18"/>
          <w:szCs w:val="18"/>
        </w:rPr>
        <w:t xml:space="preserve"> various tax filings, the liability for the one time deemed mandatory repatriation as part of the Tax Cuts and Jobs Act of 2017 and certain deferred tax assets related to losses generated. Accordingly, we have made the following adjustments related to tax </w:t>
      </w:r>
      <w:r>
        <w:rPr>
          <w:rFonts w:ascii="Arial" w:eastAsia="Arial" w:hAnsi="Arial" w:cs="Arial"/>
          <w:sz w:val="18"/>
          <w:szCs w:val="18"/>
        </w:rPr>
        <w:t>assets and liabilities in the unaudited pro forma combined balance sheet as of May 1, 2021:</w:t>
      </w:r>
    </w:p>
    <w:p w14:paraId="511A2C45" w14:textId="77777777" w:rsidR="00D1587D" w:rsidRDefault="00D1587D">
      <w:pPr>
        <w:spacing w:line="194" w:lineRule="exact"/>
        <w:rPr>
          <w:sz w:val="20"/>
          <w:szCs w:val="20"/>
        </w:rPr>
      </w:pPr>
    </w:p>
    <w:tbl>
      <w:tblPr>
        <w:tblW w:w="0" w:type="auto"/>
        <w:tblInd w:w="1660" w:type="dxa"/>
        <w:tblLayout w:type="fixed"/>
        <w:tblCellMar>
          <w:left w:w="0" w:type="dxa"/>
          <w:right w:w="0" w:type="dxa"/>
        </w:tblCellMar>
        <w:tblLook w:val="04A0" w:firstRow="1" w:lastRow="0" w:firstColumn="1" w:lastColumn="0" w:noHBand="0" w:noVBand="1"/>
      </w:tblPr>
      <w:tblGrid>
        <w:gridCol w:w="6860"/>
        <w:gridCol w:w="840"/>
      </w:tblGrid>
      <w:tr w:rsidR="00D1587D" w14:paraId="712F5F21" w14:textId="77777777">
        <w:trPr>
          <w:trHeight w:val="161"/>
        </w:trPr>
        <w:tc>
          <w:tcPr>
            <w:tcW w:w="6860" w:type="dxa"/>
            <w:vAlign w:val="bottom"/>
          </w:tcPr>
          <w:p w14:paraId="74213A8A" w14:textId="77777777" w:rsidR="00D1587D" w:rsidRDefault="00D1587D">
            <w:pPr>
              <w:rPr>
                <w:sz w:val="14"/>
                <w:szCs w:val="14"/>
              </w:rPr>
            </w:pPr>
          </w:p>
        </w:tc>
        <w:tc>
          <w:tcPr>
            <w:tcW w:w="840" w:type="dxa"/>
            <w:vAlign w:val="bottom"/>
          </w:tcPr>
          <w:p w14:paraId="39CFBA6B" w14:textId="77777777" w:rsidR="00D1587D" w:rsidRDefault="00410D07">
            <w:pPr>
              <w:jc w:val="right"/>
              <w:rPr>
                <w:sz w:val="20"/>
                <w:szCs w:val="20"/>
              </w:rPr>
            </w:pPr>
            <w:r>
              <w:rPr>
                <w:rFonts w:ascii="Arial" w:eastAsia="Arial" w:hAnsi="Arial" w:cs="Arial"/>
                <w:b/>
                <w:bCs/>
                <w:w w:val="92"/>
                <w:sz w:val="14"/>
                <w:szCs w:val="14"/>
              </w:rPr>
              <w:t>As of May 1,</w:t>
            </w:r>
          </w:p>
        </w:tc>
      </w:tr>
      <w:tr w:rsidR="00D1587D" w14:paraId="23763880" w14:textId="77777777">
        <w:trPr>
          <w:trHeight w:val="186"/>
        </w:trPr>
        <w:tc>
          <w:tcPr>
            <w:tcW w:w="6860" w:type="dxa"/>
            <w:vAlign w:val="bottom"/>
          </w:tcPr>
          <w:p w14:paraId="41616109" w14:textId="77777777" w:rsidR="00D1587D" w:rsidRDefault="00D1587D">
            <w:pPr>
              <w:rPr>
                <w:sz w:val="16"/>
                <w:szCs w:val="16"/>
              </w:rPr>
            </w:pPr>
          </w:p>
        </w:tc>
        <w:tc>
          <w:tcPr>
            <w:tcW w:w="840" w:type="dxa"/>
            <w:vAlign w:val="bottom"/>
          </w:tcPr>
          <w:p w14:paraId="4FD46D69" w14:textId="77777777" w:rsidR="00D1587D" w:rsidRDefault="00410D07">
            <w:pPr>
              <w:ind w:right="198"/>
              <w:jc w:val="right"/>
              <w:rPr>
                <w:sz w:val="20"/>
                <w:szCs w:val="20"/>
              </w:rPr>
            </w:pPr>
            <w:r>
              <w:rPr>
                <w:rFonts w:ascii="Arial" w:eastAsia="Arial" w:hAnsi="Arial" w:cs="Arial"/>
                <w:b/>
                <w:bCs/>
                <w:sz w:val="14"/>
                <w:szCs w:val="14"/>
              </w:rPr>
              <w:t>2021</w:t>
            </w:r>
          </w:p>
        </w:tc>
      </w:tr>
      <w:tr w:rsidR="00D1587D" w14:paraId="08C0D047" w14:textId="77777777">
        <w:trPr>
          <w:trHeight w:val="53"/>
        </w:trPr>
        <w:tc>
          <w:tcPr>
            <w:tcW w:w="6860" w:type="dxa"/>
            <w:vAlign w:val="bottom"/>
          </w:tcPr>
          <w:p w14:paraId="09625ACC" w14:textId="77777777" w:rsidR="00D1587D" w:rsidRDefault="00D1587D">
            <w:pPr>
              <w:rPr>
                <w:sz w:val="4"/>
                <w:szCs w:val="4"/>
              </w:rPr>
            </w:pPr>
          </w:p>
        </w:tc>
        <w:tc>
          <w:tcPr>
            <w:tcW w:w="840" w:type="dxa"/>
            <w:tcBorders>
              <w:bottom w:val="single" w:sz="8" w:space="0" w:color="auto"/>
            </w:tcBorders>
            <w:vAlign w:val="bottom"/>
          </w:tcPr>
          <w:p w14:paraId="1D4204DA" w14:textId="77777777" w:rsidR="00D1587D" w:rsidRDefault="00D1587D">
            <w:pPr>
              <w:rPr>
                <w:sz w:val="4"/>
                <w:szCs w:val="4"/>
              </w:rPr>
            </w:pPr>
          </w:p>
        </w:tc>
      </w:tr>
      <w:tr w:rsidR="00D1587D" w14:paraId="70C1B278" w14:textId="77777777">
        <w:trPr>
          <w:trHeight w:val="224"/>
        </w:trPr>
        <w:tc>
          <w:tcPr>
            <w:tcW w:w="6860" w:type="dxa"/>
            <w:vAlign w:val="bottom"/>
          </w:tcPr>
          <w:p w14:paraId="6802E64B" w14:textId="77777777" w:rsidR="00D1587D" w:rsidRDefault="00D1587D">
            <w:pPr>
              <w:rPr>
                <w:sz w:val="19"/>
                <w:szCs w:val="19"/>
              </w:rPr>
            </w:pPr>
          </w:p>
        </w:tc>
        <w:tc>
          <w:tcPr>
            <w:tcW w:w="840" w:type="dxa"/>
            <w:vAlign w:val="bottom"/>
          </w:tcPr>
          <w:p w14:paraId="5249B56B" w14:textId="77777777" w:rsidR="00D1587D" w:rsidRDefault="00410D07">
            <w:pPr>
              <w:jc w:val="right"/>
              <w:rPr>
                <w:sz w:val="20"/>
                <w:szCs w:val="20"/>
              </w:rPr>
            </w:pPr>
            <w:r>
              <w:rPr>
                <w:rFonts w:ascii="Arial" w:eastAsia="Arial" w:hAnsi="Arial" w:cs="Arial"/>
                <w:b/>
                <w:bCs/>
                <w:w w:val="96"/>
                <w:sz w:val="14"/>
                <w:szCs w:val="14"/>
              </w:rPr>
              <w:t>(in millions)</w:t>
            </w:r>
          </w:p>
        </w:tc>
      </w:tr>
      <w:tr w:rsidR="00D1587D" w14:paraId="529A35F8" w14:textId="77777777">
        <w:trPr>
          <w:trHeight w:val="53"/>
        </w:trPr>
        <w:tc>
          <w:tcPr>
            <w:tcW w:w="6860" w:type="dxa"/>
            <w:vAlign w:val="bottom"/>
          </w:tcPr>
          <w:p w14:paraId="51E89550" w14:textId="77777777" w:rsidR="00D1587D" w:rsidRDefault="00D1587D">
            <w:pPr>
              <w:rPr>
                <w:sz w:val="4"/>
                <w:szCs w:val="4"/>
              </w:rPr>
            </w:pPr>
          </w:p>
        </w:tc>
        <w:tc>
          <w:tcPr>
            <w:tcW w:w="840" w:type="dxa"/>
            <w:vAlign w:val="bottom"/>
          </w:tcPr>
          <w:p w14:paraId="62B4F14E" w14:textId="77777777" w:rsidR="00D1587D" w:rsidRDefault="00D1587D">
            <w:pPr>
              <w:rPr>
                <w:sz w:val="4"/>
                <w:szCs w:val="4"/>
              </w:rPr>
            </w:pPr>
          </w:p>
        </w:tc>
      </w:tr>
      <w:tr w:rsidR="00D1587D" w14:paraId="56E69AD1" w14:textId="77777777">
        <w:trPr>
          <w:trHeight w:val="318"/>
        </w:trPr>
        <w:tc>
          <w:tcPr>
            <w:tcW w:w="6860" w:type="dxa"/>
            <w:tcBorders>
              <w:bottom w:val="single" w:sz="8" w:space="0" w:color="CCEEFF"/>
            </w:tcBorders>
            <w:shd w:val="clear" w:color="auto" w:fill="CCEEFF"/>
            <w:vAlign w:val="bottom"/>
          </w:tcPr>
          <w:p w14:paraId="011555DF" w14:textId="77777777" w:rsidR="00D1587D" w:rsidRDefault="00410D07">
            <w:pPr>
              <w:rPr>
                <w:sz w:val="20"/>
                <w:szCs w:val="20"/>
              </w:rPr>
            </w:pPr>
            <w:r>
              <w:rPr>
                <w:rFonts w:ascii="Arial" w:eastAsia="Arial" w:hAnsi="Arial" w:cs="Arial"/>
                <w:sz w:val="18"/>
                <w:szCs w:val="18"/>
              </w:rPr>
              <w:t>Deferred Income Tax Assets</w:t>
            </w:r>
          </w:p>
        </w:tc>
        <w:tc>
          <w:tcPr>
            <w:tcW w:w="840" w:type="dxa"/>
            <w:tcBorders>
              <w:bottom w:val="single" w:sz="8" w:space="0" w:color="CCEEFF"/>
            </w:tcBorders>
            <w:shd w:val="clear" w:color="auto" w:fill="CCEEFF"/>
            <w:vAlign w:val="bottom"/>
          </w:tcPr>
          <w:p w14:paraId="2A8BF945" w14:textId="77777777" w:rsidR="00D1587D" w:rsidRDefault="00410D07">
            <w:pPr>
              <w:ind w:right="138"/>
              <w:jc w:val="right"/>
              <w:rPr>
                <w:sz w:val="20"/>
                <w:szCs w:val="20"/>
              </w:rPr>
            </w:pPr>
            <w:r>
              <w:rPr>
                <w:rFonts w:ascii="Arial" w:eastAsia="Arial" w:hAnsi="Arial" w:cs="Arial"/>
                <w:sz w:val="18"/>
                <w:szCs w:val="18"/>
              </w:rPr>
              <w:t>$ (3)</w:t>
            </w:r>
          </w:p>
        </w:tc>
      </w:tr>
      <w:tr w:rsidR="00D1587D" w14:paraId="0F9C6968" w14:textId="77777777">
        <w:trPr>
          <w:trHeight w:val="270"/>
        </w:trPr>
        <w:tc>
          <w:tcPr>
            <w:tcW w:w="6860" w:type="dxa"/>
            <w:vAlign w:val="bottom"/>
          </w:tcPr>
          <w:p w14:paraId="67CE2598" w14:textId="77777777" w:rsidR="00D1587D" w:rsidRDefault="00410D07">
            <w:pPr>
              <w:rPr>
                <w:sz w:val="20"/>
                <w:szCs w:val="20"/>
              </w:rPr>
            </w:pPr>
            <w:r>
              <w:rPr>
                <w:rFonts w:ascii="Arial" w:eastAsia="Arial" w:hAnsi="Arial" w:cs="Arial"/>
                <w:sz w:val="18"/>
                <w:szCs w:val="18"/>
              </w:rPr>
              <w:t>Income Taxes Payable</w:t>
            </w:r>
          </w:p>
        </w:tc>
        <w:tc>
          <w:tcPr>
            <w:tcW w:w="840" w:type="dxa"/>
            <w:vAlign w:val="bottom"/>
          </w:tcPr>
          <w:p w14:paraId="6A851C52" w14:textId="77777777" w:rsidR="00D1587D" w:rsidRDefault="00410D07">
            <w:pPr>
              <w:ind w:right="138"/>
              <w:jc w:val="right"/>
              <w:rPr>
                <w:sz w:val="20"/>
                <w:szCs w:val="20"/>
              </w:rPr>
            </w:pPr>
            <w:r>
              <w:rPr>
                <w:rFonts w:ascii="Arial" w:eastAsia="Arial" w:hAnsi="Arial" w:cs="Arial"/>
                <w:sz w:val="18"/>
                <w:szCs w:val="18"/>
              </w:rPr>
              <w:t>(7)</w:t>
            </w:r>
          </w:p>
        </w:tc>
      </w:tr>
      <w:tr w:rsidR="00D1587D" w14:paraId="5EAF5792" w14:textId="77777777">
        <w:trPr>
          <w:trHeight w:val="54"/>
        </w:trPr>
        <w:tc>
          <w:tcPr>
            <w:tcW w:w="6860" w:type="dxa"/>
            <w:vAlign w:val="bottom"/>
          </w:tcPr>
          <w:p w14:paraId="7E8478AB" w14:textId="77777777" w:rsidR="00D1587D" w:rsidRDefault="00D1587D">
            <w:pPr>
              <w:rPr>
                <w:sz w:val="4"/>
                <w:szCs w:val="4"/>
              </w:rPr>
            </w:pPr>
          </w:p>
        </w:tc>
        <w:tc>
          <w:tcPr>
            <w:tcW w:w="840" w:type="dxa"/>
            <w:vAlign w:val="bottom"/>
          </w:tcPr>
          <w:p w14:paraId="3B1639AC" w14:textId="77777777" w:rsidR="00D1587D" w:rsidRDefault="00D1587D">
            <w:pPr>
              <w:rPr>
                <w:sz w:val="4"/>
                <w:szCs w:val="4"/>
              </w:rPr>
            </w:pPr>
          </w:p>
        </w:tc>
      </w:tr>
      <w:tr w:rsidR="00D1587D" w14:paraId="449D244E" w14:textId="77777777">
        <w:trPr>
          <w:trHeight w:val="304"/>
        </w:trPr>
        <w:tc>
          <w:tcPr>
            <w:tcW w:w="6860" w:type="dxa"/>
            <w:tcBorders>
              <w:bottom w:val="single" w:sz="8" w:space="0" w:color="CCEEFF"/>
            </w:tcBorders>
            <w:shd w:val="clear" w:color="auto" w:fill="CCEEFF"/>
            <w:vAlign w:val="bottom"/>
          </w:tcPr>
          <w:p w14:paraId="07BF5EF3" w14:textId="77777777" w:rsidR="00D1587D" w:rsidRDefault="00410D07">
            <w:pPr>
              <w:rPr>
                <w:sz w:val="20"/>
                <w:szCs w:val="20"/>
              </w:rPr>
            </w:pPr>
            <w:r>
              <w:rPr>
                <w:rFonts w:ascii="Arial" w:eastAsia="Arial" w:hAnsi="Arial" w:cs="Arial"/>
                <w:sz w:val="18"/>
                <w:szCs w:val="18"/>
              </w:rPr>
              <w:t>Deferred Income Tax Liabilities</w:t>
            </w:r>
          </w:p>
        </w:tc>
        <w:tc>
          <w:tcPr>
            <w:tcW w:w="840" w:type="dxa"/>
            <w:tcBorders>
              <w:bottom w:val="single" w:sz="8" w:space="0" w:color="CCEEFF"/>
            </w:tcBorders>
            <w:shd w:val="clear" w:color="auto" w:fill="CCEEFF"/>
            <w:vAlign w:val="bottom"/>
          </w:tcPr>
          <w:p w14:paraId="53AA3AC3" w14:textId="77777777" w:rsidR="00D1587D" w:rsidRDefault="00410D07">
            <w:pPr>
              <w:ind w:right="178"/>
              <w:jc w:val="right"/>
              <w:rPr>
                <w:sz w:val="20"/>
                <w:szCs w:val="20"/>
              </w:rPr>
            </w:pPr>
            <w:r>
              <w:rPr>
                <w:rFonts w:ascii="Arial" w:eastAsia="Arial" w:hAnsi="Arial" w:cs="Arial"/>
                <w:sz w:val="18"/>
                <w:szCs w:val="18"/>
              </w:rPr>
              <w:t>26</w:t>
            </w:r>
          </w:p>
        </w:tc>
      </w:tr>
      <w:tr w:rsidR="00D1587D" w14:paraId="44D351FC" w14:textId="77777777">
        <w:trPr>
          <w:trHeight w:val="270"/>
        </w:trPr>
        <w:tc>
          <w:tcPr>
            <w:tcW w:w="6860" w:type="dxa"/>
            <w:vAlign w:val="bottom"/>
          </w:tcPr>
          <w:p w14:paraId="5B869987" w14:textId="77777777" w:rsidR="00D1587D" w:rsidRDefault="00410D07">
            <w:pPr>
              <w:rPr>
                <w:sz w:val="20"/>
                <w:szCs w:val="20"/>
              </w:rPr>
            </w:pPr>
            <w:r>
              <w:rPr>
                <w:rFonts w:ascii="Arial" w:eastAsia="Arial" w:hAnsi="Arial" w:cs="Arial"/>
                <w:sz w:val="18"/>
                <w:szCs w:val="18"/>
              </w:rPr>
              <w:t xml:space="preserve">Other </w:t>
            </w:r>
            <w:r>
              <w:rPr>
                <w:rFonts w:ascii="Arial" w:eastAsia="Arial" w:hAnsi="Arial" w:cs="Arial"/>
                <w:sz w:val="18"/>
                <w:szCs w:val="18"/>
              </w:rPr>
              <w:t>Long-Term Liabilities</w:t>
            </w:r>
          </w:p>
        </w:tc>
        <w:tc>
          <w:tcPr>
            <w:tcW w:w="840" w:type="dxa"/>
            <w:vAlign w:val="bottom"/>
          </w:tcPr>
          <w:p w14:paraId="55BCBE09" w14:textId="77777777" w:rsidR="00D1587D" w:rsidRDefault="00410D07">
            <w:pPr>
              <w:ind w:right="138"/>
              <w:jc w:val="right"/>
              <w:rPr>
                <w:sz w:val="20"/>
                <w:szCs w:val="20"/>
              </w:rPr>
            </w:pPr>
            <w:r>
              <w:rPr>
                <w:rFonts w:ascii="Arial" w:eastAsia="Arial" w:hAnsi="Arial" w:cs="Arial"/>
                <w:sz w:val="18"/>
                <w:szCs w:val="18"/>
              </w:rPr>
              <w:t>(76)</w:t>
            </w:r>
          </w:p>
        </w:tc>
      </w:tr>
    </w:tbl>
    <w:p w14:paraId="79FD0DE8" w14:textId="77777777" w:rsidR="00D1587D" w:rsidRDefault="00D1587D">
      <w:pPr>
        <w:spacing w:line="148" w:lineRule="exact"/>
        <w:rPr>
          <w:sz w:val="20"/>
          <w:szCs w:val="20"/>
        </w:rPr>
      </w:pPr>
    </w:p>
    <w:p w14:paraId="7C0B638E" w14:textId="77777777" w:rsidR="00D1587D" w:rsidRDefault="00410D07">
      <w:pPr>
        <w:spacing w:line="272" w:lineRule="auto"/>
        <w:ind w:left="1660" w:right="1420"/>
        <w:rPr>
          <w:sz w:val="20"/>
          <w:szCs w:val="20"/>
        </w:rPr>
      </w:pPr>
      <w:r>
        <w:rPr>
          <w:rFonts w:ascii="Arial" w:eastAsia="Arial" w:hAnsi="Arial" w:cs="Arial"/>
          <w:sz w:val="17"/>
          <w:szCs w:val="17"/>
        </w:rPr>
        <w:t xml:space="preserve">The pro forma income tax expense (benefit) adjustment reflects a blended statutory tax rate of 26.0% based on statutory rates by jurisdiction. Management believes the blended statutory tax rate provides a reasonable basis </w:t>
      </w:r>
      <w:r>
        <w:rPr>
          <w:rFonts w:ascii="Arial" w:eastAsia="Arial" w:hAnsi="Arial" w:cs="Arial"/>
          <w:sz w:val="17"/>
          <w:szCs w:val="17"/>
        </w:rPr>
        <w:t>for the pro forma adjustment. However, the effective tax rate of VS could be significantly different depending on actual operating results by jurisdiction and the application of enacted tax law to those specific results. The following summarizes the calcul</w:t>
      </w:r>
      <w:r>
        <w:rPr>
          <w:rFonts w:ascii="Arial" w:eastAsia="Arial" w:hAnsi="Arial" w:cs="Arial"/>
          <w:sz w:val="17"/>
          <w:szCs w:val="17"/>
        </w:rPr>
        <w:t>ation of our pro forma income tax expense (benefit) adjustment in the unaudited pro forma combined statements of income (loss) for the thirteen weeks ended May 1, 2021 and for the year ended January 30, 2021:</w:t>
      </w:r>
    </w:p>
    <w:p w14:paraId="5BF73C8A" w14:textId="77777777" w:rsidR="00D1587D" w:rsidRDefault="00D1587D">
      <w:pPr>
        <w:spacing w:line="19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660"/>
        <w:gridCol w:w="5160"/>
        <w:gridCol w:w="80"/>
        <w:gridCol w:w="560"/>
        <w:gridCol w:w="660"/>
        <w:gridCol w:w="160"/>
        <w:gridCol w:w="1080"/>
        <w:gridCol w:w="1660"/>
      </w:tblGrid>
      <w:tr w:rsidR="00D1587D" w14:paraId="6B2C7222" w14:textId="77777777">
        <w:trPr>
          <w:trHeight w:val="161"/>
        </w:trPr>
        <w:tc>
          <w:tcPr>
            <w:tcW w:w="1660" w:type="dxa"/>
            <w:vAlign w:val="bottom"/>
          </w:tcPr>
          <w:p w14:paraId="36DA6103" w14:textId="77777777" w:rsidR="00D1587D" w:rsidRDefault="00D1587D">
            <w:pPr>
              <w:rPr>
                <w:sz w:val="14"/>
                <w:szCs w:val="14"/>
              </w:rPr>
            </w:pPr>
          </w:p>
        </w:tc>
        <w:tc>
          <w:tcPr>
            <w:tcW w:w="5160" w:type="dxa"/>
            <w:vAlign w:val="bottom"/>
          </w:tcPr>
          <w:p w14:paraId="72C872A0" w14:textId="77777777" w:rsidR="00D1587D" w:rsidRDefault="00D1587D">
            <w:pPr>
              <w:rPr>
                <w:sz w:val="14"/>
                <w:szCs w:val="14"/>
              </w:rPr>
            </w:pPr>
          </w:p>
        </w:tc>
        <w:tc>
          <w:tcPr>
            <w:tcW w:w="80" w:type="dxa"/>
            <w:vAlign w:val="bottom"/>
          </w:tcPr>
          <w:p w14:paraId="0EE2495B" w14:textId="77777777" w:rsidR="00D1587D" w:rsidRDefault="00D1587D">
            <w:pPr>
              <w:rPr>
                <w:sz w:val="14"/>
                <w:szCs w:val="14"/>
              </w:rPr>
            </w:pPr>
          </w:p>
        </w:tc>
        <w:tc>
          <w:tcPr>
            <w:tcW w:w="1380" w:type="dxa"/>
            <w:gridSpan w:val="3"/>
            <w:vAlign w:val="bottom"/>
          </w:tcPr>
          <w:p w14:paraId="1A24EAD3" w14:textId="77777777" w:rsidR="00D1587D" w:rsidRDefault="00410D07">
            <w:pPr>
              <w:ind w:right="160"/>
              <w:jc w:val="center"/>
              <w:rPr>
                <w:sz w:val="20"/>
                <w:szCs w:val="20"/>
              </w:rPr>
            </w:pPr>
            <w:r>
              <w:rPr>
                <w:rFonts w:ascii="Arial" w:eastAsia="Arial" w:hAnsi="Arial" w:cs="Arial"/>
                <w:b/>
                <w:bCs/>
                <w:w w:val="94"/>
                <w:sz w:val="14"/>
                <w:szCs w:val="14"/>
              </w:rPr>
              <w:t>Thirteen Weeks</w:t>
            </w:r>
          </w:p>
        </w:tc>
        <w:tc>
          <w:tcPr>
            <w:tcW w:w="2740" w:type="dxa"/>
            <w:gridSpan w:val="2"/>
            <w:vAlign w:val="bottom"/>
          </w:tcPr>
          <w:p w14:paraId="15514E10" w14:textId="77777777" w:rsidR="00D1587D" w:rsidRDefault="00410D07">
            <w:pPr>
              <w:ind w:right="1660"/>
              <w:jc w:val="center"/>
              <w:rPr>
                <w:sz w:val="20"/>
                <w:szCs w:val="20"/>
              </w:rPr>
            </w:pPr>
            <w:r>
              <w:rPr>
                <w:rFonts w:ascii="Arial" w:eastAsia="Arial" w:hAnsi="Arial" w:cs="Arial"/>
                <w:b/>
                <w:bCs/>
                <w:w w:val="93"/>
                <w:sz w:val="14"/>
                <w:szCs w:val="14"/>
              </w:rPr>
              <w:t>Year Ended</w:t>
            </w:r>
          </w:p>
        </w:tc>
      </w:tr>
      <w:tr w:rsidR="00D1587D" w14:paraId="4C1C8C57" w14:textId="77777777">
        <w:trPr>
          <w:trHeight w:val="186"/>
        </w:trPr>
        <w:tc>
          <w:tcPr>
            <w:tcW w:w="1660" w:type="dxa"/>
            <w:vAlign w:val="bottom"/>
          </w:tcPr>
          <w:p w14:paraId="232376A4" w14:textId="77777777" w:rsidR="00D1587D" w:rsidRDefault="00D1587D">
            <w:pPr>
              <w:rPr>
                <w:sz w:val="16"/>
                <w:szCs w:val="16"/>
              </w:rPr>
            </w:pPr>
          </w:p>
        </w:tc>
        <w:tc>
          <w:tcPr>
            <w:tcW w:w="5160" w:type="dxa"/>
            <w:vAlign w:val="bottom"/>
          </w:tcPr>
          <w:p w14:paraId="228B47D3" w14:textId="77777777" w:rsidR="00D1587D" w:rsidRDefault="00D1587D">
            <w:pPr>
              <w:rPr>
                <w:sz w:val="16"/>
                <w:szCs w:val="16"/>
              </w:rPr>
            </w:pPr>
          </w:p>
        </w:tc>
        <w:tc>
          <w:tcPr>
            <w:tcW w:w="80" w:type="dxa"/>
            <w:vAlign w:val="bottom"/>
          </w:tcPr>
          <w:p w14:paraId="544F1FC0" w14:textId="77777777" w:rsidR="00D1587D" w:rsidRDefault="00D1587D">
            <w:pPr>
              <w:rPr>
                <w:sz w:val="16"/>
                <w:szCs w:val="16"/>
              </w:rPr>
            </w:pPr>
          </w:p>
        </w:tc>
        <w:tc>
          <w:tcPr>
            <w:tcW w:w="1380" w:type="dxa"/>
            <w:gridSpan w:val="3"/>
            <w:vAlign w:val="bottom"/>
          </w:tcPr>
          <w:p w14:paraId="7A81E821" w14:textId="77777777" w:rsidR="00D1587D" w:rsidRDefault="00410D07">
            <w:pPr>
              <w:ind w:right="160"/>
              <w:jc w:val="center"/>
              <w:rPr>
                <w:sz w:val="20"/>
                <w:szCs w:val="20"/>
              </w:rPr>
            </w:pPr>
            <w:r>
              <w:rPr>
                <w:rFonts w:ascii="Arial" w:eastAsia="Arial" w:hAnsi="Arial" w:cs="Arial"/>
                <w:b/>
                <w:bCs/>
                <w:w w:val="94"/>
                <w:sz w:val="14"/>
                <w:szCs w:val="14"/>
              </w:rPr>
              <w:t xml:space="preserve">Ended May </w:t>
            </w:r>
            <w:r>
              <w:rPr>
                <w:rFonts w:ascii="Arial" w:eastAsia="Arial" w:hAnsi="Arial" w:cs="Arial"/>
                <w:b/>
                <w:bCs/>
                <w:w w:val="94"/>
                <w:sz w:val="14"/>
                <w:szCs w:val="14"/>
              </w:rPr>
              <w:t>1, 2021</w:t>
            </w:r>
          </w:p>
        </w:tc>
        <w:tc>
          <w:tcPr>
            <w:tcW w:w="2740" w:type="dxa"/>
            <w:gridSpan w:val="2"/>
            <w:vAlign w:val="bottom"/>
          </w:tcPr>
          <w:p w14:paraId="64B342F5" w14:textId="77777777" w:rsidR="00D1587D" w:rsidRDefault="00410D07">
            <w:pPr>
              <w:ind w:right="1680"/>
              <w:jc w:val="center"/>
              <w:rPr>
                <w:sz w:val="20"/>
                <w:szCs w:val="20"/>
              </w:rPr>
            </w:pPr>
            <w:r>
              <w:rPr>
                <w:rFonts w:ascii="Arial" w:eastAsia="Arial" w:hAnsi="Arial" w:cs="Arial"/>
                <w:b/>
                <w:bCs/>
                <w:w w:val="94"/>
                <w:sz w:val="14"/>
                <w:szCs w:val="14"/>
              </w:rPr>
              <w:t>January 30, 2021</w:t>
            </w:r>
          </w:p>
        </w:tc>
      </w:tr>
      <w:tr w:rsidR="00D1587D" w14:paraId="4EFA92F4" w14:textId="77777777">
        <w:trPr>
          <w:trHeight w:val="53"/>
        </w:trPr>
        <w:tc>
          <w:tcPr>
            <w:tcW w:w="1660" w:type="dxa"/>
            <w:vAlign w:val="bottom"/>
          </w:tcPr>
          <w:p w14:paraId="7E40CF8D" w14:textId="77777777" w:rsidR="00D1587D" w:rsidRDefault="00D1587D">
            <w:pPr>
              <w:rPr>
                <w:sz w:val="4"/>
                <w:szCs w:val="4"/>
              </w:rPr>
            </w:pPr>
          </w:p>
        </w:tc>
        <w:tc>
          <w:tcPr>
            <w:tcW w:w="5160" w:type="dxa"/>
            <w:vAlign w:val="bottom"/>
          </w:tcPr>
          <w:p w14:paraId="17674E49" w14:textId="77777777" w:rsidR="00D1587D" w:rsidRDefault="00D1587D">
            <w:pPr>
              <w:rPr>
                <w:sz w:val="4"/>
                <w:szCs w:val="4"/>
              </w:rPr>
            </w:pPr>
          </w:p>
        </w:tc>
        <w:tc>
          <w:tcPr>
            <w:tcW w:w="80" w:type="dxa"/>
            <w:vAlign w:val="bottom"/>
          </w:tcPr>
          <w:p w14:paraId="7132F5F2" w14:textId="77777777" w:rsidR="00D1587D" w:rsidRDefault="00D1587D">
            <w:pPr>
              <w:rPr>
                <w:sz w:val="4"/>
                <w:szCs w:val="4"/>
              </w:rPr>
            </w:pPr>
          </w:p>
        </w:tc>
        <w:tc>
          <w:tcPr>
            <w:tcW w:w="560" w:type="dxa"/>
            <w:tcBorders>
              <w:bottom w:val="single" w:sz="8" w:space="0" w:color="auto"/>
            </w:tcBorders>
            <w:vAlign w:val="bottom"/>
          </w:tcPr>
          <w:p w14:paraId="4B12444B" w14:textId="77777777" w:rsidR="00D1587D" w:rsidRDefault="00D1587D">
            <w:pPr>
              <w:rPr>
                <w:sz w:val="4"/>
                <w:szCs w:val="4"/>
              </w:rPr>
            </w:pPr>
          </w:p>
        </w:tc>
        <w:tc>
          <w:tcPr>
            <w:tcW w:w="1900" w:type="dxa"/>
            <w:gridSpan w:val="3"/>
            <w:tcBorders>
              <w:bottom w:val="single" w:sz="8" w:space="0" w:color="auto"/>
            </w:tcBorders>
            <w:vAlign w:val="bottom"/>
          </w:tcPr>
          <w:p w14:paraId="16D2C2FF" w14:textId="77777777" w:rsidR="00D1587D" w:rsidRDefault="00D1587D">
            <w:pPr>
              <w:rPr>
                <w:sz w:val="4"/>
                <w:szCs w:val="4"/>
              </w:rPr>
            </w:pPr>
          </w:p>
        </w:tc>
        <w:tc>
          <w:tcPr>
            <w:tcW w:w="1660" w:type="dxa"/>
            <w:vAlign w:val="bottom"/>
          </w:tcPr>
          <w:p w14:paraId="2E8F6AA2" w14:textId="77777777" w:rsidR="00D1587D" w:rsidRDefault="00D1587D">
            <w:pPr>
              <w:rPr>
                <w:sz w:val="4"/>
                <w:szCs w:val="4"/>
              </w:rPr>
            </w:pPr>
          </w:p>
        </w:tc>
      </w:tr>
      <w:tr w:rsidR="00D1587D" w14:paraId="24B86B4D" w14:textId="77777777">
        <w:trPr>
          <w:trHeight w:val="225"/>
        </w:trPr>
        <w:tc>
          <w:tcPr>
            <w:tcW w:w="1660" w:type="dxa"/>
            <w:vAlign w:val="bottom"/>
          </w:tcPr>
          <w:p w14:paraId="7DE48D21" w14:textId="77777777" w:rsidR="00D1587D" w:rsidRDefault="00D1587D">
            <w:pPr>
              <w:rPr>
                <w:sz w:val="19"/>
                <w:szCs w:val="19"/>
              </w:rPr>
            </w:pPr>
          </w:p>
        </w:tc>
        <w:tc>
          <w:tcPr>
            <w:tcW w:w="5160" w:type="dxa"/>
            <w:vAlign w:val="bottom"/>
          </w:tcPr>
          <w:p w14:paraId="440719CF" w14:textId="77777777" w:rsidR="00D1587D" w:rsidRDefault="00D1587D">
            <w:pPr>
              <w:rPr>
                <w:sz w:val="19"/>
                <w:szCs w:val="19"/>
              </w:rPr>
            </w:pPr>
          </w:p>
        </w:tc>
        <w:tc>
          <w:tcPr>
            <w:tcW w:w="80" w:type="dxa"/>
            <w:vAlign w:val="bottom"/>
          </w:tcPr>
          <w:p w14:paraId="5F75E68D" w14:textId="77777777" w:rsidR="00D1587D" w:rsidRDefault="00D1587D">
            <w:pPr>
              <w:rPr>
                <w:sz w:val="19"/>
                <w:szCs w:val="19"/>
              </w:rPr>
            </w:pPr>
          </w:p>
        </w:tc>
        <w:tc>
          <w:tcPr>
            <w:tcW w:w="560" w:type="dxa"/>
            <w:vAlign w:val="bottom"/>
          </w:tcPr>
          <w:p w14:paraId="491A8C95" w14:textId="77777777" w:rsidR="00D1587D" w:rsidRDefault="00D1587D">
            <w:pPr>
              <w:rPr>
                <w:sz w:val="19"/>
                <w:szCs w:val="19"/>
              </w:rPr>
            </w:pPr>
          </w:p>
        </w:tc>
        <w:tc>
          <w:tcPr>
            <w:tcW w:w="3560" w:type="dxa"/>
            <w:gridSpan w:val="4"/>
            <w:vAlign w:val="bottom"/>
          </w:tcPr>
          <w:p w14:paraId="1A901669" w14:textId="77777777" w:rsidR="00D1587D" w:rsidRDefault="00410D07">
            <w:pPr>
              <w:ind w:left="60"/>
              <w:rPr>
                <w:sz w:val="20"/>
                <w:szCs w:val="20"/>
              </w:rPr>
            </w:pPr>
            <w:r>
              <w:rPr>
                <w:rFonts w:ascii="Arial" w:eastAsia="Arial" w:hAnsi="Arial" w:cs="Arial"/>
                <w:b/>
                <w:bCs/>
                <w:sz w:val="14"/>
                <w:szCs w:val="14"/>
              </w:rPr>
              <w:t>(dollars in millions)</w:t>
            </w:r>
          </w:p>
        </w:tc>
      </w:tr>
      <w:tr w:rsidR="00D1587D" w14:paraId="7AD37393" w14:textId="77777777">
        <w:trPr>
          <w:trHeight w:val="53"/>
        </w:trPr>
        <w:tc>
          <w:tcPr>
            <w:tcW w:w="6820" w:type="dxa"/>
            <w:gridSpan w:val="2"/>
            <w:vAlign w:val="bottom"/>
          </w:tcPr>
          <w:p w14:paraId="51F92271" w14:textId="77777777" w:rsidR="00D1587D" w:rsidRDefault="00D1587D">
            <w:pPr>
              <w:rPr>
                <w:sz w:val="4"/>
                <w:szCs w:val="4"/>
              </w:rPr>
            </w:pPr>
          </w:p>
        </w:tc>
        <w:tc>
          <w:tcPr>
            <w:tcW w:w="80" w:type="dxa"/>
            <w:vAlign w:val="bottom"/>
          </w:tcPr>
          <w:p w14:paraId="5DAB2F1A" w14:textId="77777777" w:rsidR="00D1587D" w:rsidRDefault="00D1587D">
            <w:pPr>
              <w:rPr>
                <w:sz w:val="4"/>
                <w:szCs w:val="4"/>
              </w:rPr>
            </w:pPr>
          </w:p>
        </w:tc>
        <w:tc>
          <w:tcPr>
            <w:tcW w:w="560" w:type="dxa"/>
            <w:vAlign w:val="bottom"/>
          </w:tcPr>
          <w:p w14:paraId="0B3AE16C" w14:textId="77777777" w:rsidR="00D1587D" w:rsidRDefault="00D1587D">
            <w:pPr>
              <w:rPr>
                <w:sz w:val="4"/>
                <w:szCs w:val="4"/>
              </w:rPr>
            </w:pPr>
          </w:p>
        </w:tc>
        <w:tc>
          <w:tcPr>
            <w:tcW w:w="660" w:type="dxa"/>
            <w:vAlign w:val="bottom"/>
          </w:tcPr>
          <w:p w14:paraId="6CE6B211" w14:textId="77777777" w:rsidR="00D1587D" w:rsidRDefault="00D1587D">
            <w:pPr>
              <w:rPr>
                <w:sz w:val="4"/>
                <w:szCs w:val="4"/>
              </w:rPr>
            </w:pPr>
          </w:p>
        </w:tc>
        <w:tc>
          <w:tcPr>
            <w:tcW w:w="160" w:type="dxa"/>
            <w:vAlign w:val="bottom"/>
          </w:tcPr>
          <w:p w14:paraId="694A1B1A" w14:textId="77777777" w:rsidR="00D1587D" w:rsidRDefault="00D1587D">
            <w:pPr>
              <w:rPr>
                <w:sz w:val="4"/>
                <w:szCs w:val="4"/>
              </w:rPr>
            </w:pPr>
          </w:p>
        </w:tc>
        <w:tc>
          <w:tcPr>
            <w:tcW w:w="1080" w:type="dxa"/>
            <w:vAlign w:val="bottom"/>
          </w:tcPr>
          <w:p w14:paraId="5AFEA80F" w14:textId="77777777" w:rsidR="00D1587D" w:rsidRDefault="00D1587D">
            <w:pPr>
              <w:rPr>
                <w:sz w:val="4"/>
                <w:szCs w:val="4"/>
              </w:rPr>
            </w:pPr>
          </w:p>
        </w:tc>
        <w:tc>
          <w:tcPr>
            <w:tcW w:w="1660" w:type="dxa"/>
            <w:vAlign w:val="bottom"/>
          </w:tcPr>
          <w:p w14:paraId="76822BB3" w14:textId="77777777" w:rsidR="00D1587D" w:rsidRDefault="00D1587D">
            <w:pPr>
              <w:rPr>
                <w:sz w:val="4"/>
                <w:szCs w:val="4"/>
              </w:rPr>
            </w:pPr>
          </w:p>
        </w:tc>
      </w:tr>
      <w:tr w:rsidR="00D1587D" w14:paraId="65392E59" w14:textId="77777777">
        <w:trPr>
          <w:trHeight w:val="318"/>
        </w:trPr>
        <w:tc>
          <w:tcPr>
            <w:tcW w:w="1660" w:type="dxa"/>
            <w:vAlign w:val="bottom"/>
          </w:tcPr>
          <w:p w14:paraId="1D05D0DB" w14:textId="77777777" w:rsidR="00D1587D" w:rsidRDefault="00D1587D">
            <w:pPr>
              <w:rPr>
                <w:sz w:val="24"/>
                <w:szCs w:val="24"/>
              </w:rPr>
            </w:pPr>
          </w:p>
        </w:tc>
        <w:tc>
          <w:tcPr>
            <w:tcW w:w="5240" w:type="dxa"/>
            <w:gridSpan w:val="2"/>
            <w:tcBorders>
              <w:bottom w:val="single" w:sz="8" w:space="0" w:color="CCEEFF"/>
            </w:tcBorders>
            <w:shd w:val="clear" w:color="auto" w:fill="CCEEFF"/>
            <w:vAlign w:val="bottom"/>
          </w:tcPr>
          <w:p w14:paraId="032A1E2E" w14:textId="77777777" w:rsidR="00D1587D" w:rsidRDefault="00410D07">
            <w:pPr>
              <w:rPr>
                <w:sz w:val="20"/>
                <w:szCs w:val="20"/>
              </w:rPr>
            </w:pPr>
            <w:r>
              <w:rPr>
                <w:rFonts w:ascii="Arial" w:eastAsia="Arial" w:hAnsi="Arial" w:cs="Arial"/>
                <w:w w:val="95"/>
                <w:sz w:val="18"/>
                <w:szCs w:val="18"/>
              </w:rPr>
              <w:t>Total Pro Forma Adjustments to Income (Loss) before Income Taxes</w:t>
            </w:r>
          </w:p>
        </w:tc>
        <w:tc>
          <w:tcPr>
            <w:tcW w:w="560" w:type="dxa"/>
            <w:tcBorders>
              <w:bottom w:val="single" w:sz="8" w:space="0" w:color="CCEEFF"/>
            </w:tcBorders>
            <w:shd w:val="clear" w:color="auto" w:fill="CCEEFF"/>
            <w:vAlign w:val="bottom"/>
          </w:tcPr>
          <w:p w14:paraId="01D47C2B" w14:textId="77777777" w:rsidR="00D1587D" w:rsidRDefault="00410D07">
            <w:pPr>
              <w:jc w:val="right"/>
              <w:rPr>
                <w:sz w:val="20"/>
                <w:szCs w:val="20"/>
              </w:rPr>
            </w:pPr>
            <w:r>
              <w:rPr>
                <w:rFonts w:ascii="Arial" w:eastAsia="Arial" w:hAnsi="Arial" w:cs="Arial"/>
                <w:sz w:val="18"/>
                <w:szCs w:val="18"/>
              </w:rPr>
              <w:t>$</w:t>
            </w:r>
          </w:p>
        </w:tc>
        <w:tc>
          <w:tcPr>
            <w:tcW w:w="660" w:type="dxa"/>
            <w:tcBorders>
              <w:bottom w:val="single" w:sz="8" w:space="0" w:color="CCEEFF"/>
            </w:tcBorders>
            <w:shd w:val="clear" w:color="auto" w:fill="CCEEFF"/>
            <w:vAlign w:val="bottom"/>
          </w:tcPr>
          <w:p w14:paraId="4FAC2C9A" w14:textId="77777777" w:rsidR="00D1587D" w:rsidRDefault="00410D07">
            <w:pPr>
              <w:ind w:right="276"/>
              <w:jc w:val="right"/>
              <w:rPr>
                <w:sz w:val="20"/>
                <w:szCs w:val="20"/>
              </w:rPr>
            </w:pPr>
            <w:r>
              <w:rPr>
                <w:rFonts w:ascii="Arial" w:eastAsia="Arial" w:hAnsi="Arial" w:cs="Arial"/>
                <w:sz w:val="18"/>
                <w:szCs w:val="18"/>
              </w:rPr>
              <w:t>(6)</w:t>
            </w:r>
          </w:p>
        </w:tc>
        <w:tc>
          <w:tcPr>
            <w:tcW w:w="160" w:type="dxa"/>
            <w:tcBorders>
              <w:bottom w:val="single" w:sz="8" w:space="0" w:color="CCEEFF"/>
            </w:tcBorders>
            <w:shd w:val="clear" w:color="auto" w:fill="CCEEFF"/>
            <w:vAlign w:val="bottom"/>
          </w:tcPr>
          <w:p w14:paraId="1B37FC84" w14:textId="77777777" w:rsidR="00D1587D" w:rsidRDefault="00D1587D">
            <w:pPr>
              <w:rPr>
                <w:sz w:val="24"/>
                <w:szCs w:val="24"/>
              </w:rPr>
            </w:pPr>
          </w:p>
        </w:tc>
        <w:tc>
          <w:tcPr>
            <w:tcW w:w="1080" w:type="dxa"/>
            <w:tcBorders>
              <w:bottom w:val="single" w:sz="8" w:space="0" w:color="CCEEFF"/>
            </w:tcBorders>
            <w:shd w:val="clear" w:color="auto" w:fill="CCEEFF"/>
            <w:vAlign w:val="bottom"/>
          </w:tcPr>
          <w:p w14:paraId="4DDF075A" w14:textId="77777777" w:rsidR="00D1587D" w:rsidRDefault="00410D07">
            <w:pPr>
              <w:ind w:right="197"/>
              <w:jc w:val="right"/>
              <w:rPr>
                <w:sz w:val="20"/>
                <w:szCs w:val="20"/>
              </w:rPr>
            </w:pPr>
            <w:r>
              <w:rPr>
                <w:rFonts w:ascii="Arial" w:eastAsia="Arial" w:hAnsi="Arial" w:cs="Arial"/>
                <w:sz w:val="18"/>
                <w:szCs w:val="18"/>
              </w:rPr>
              <w:t>$ (44)</w:t>
            </w:r>
          </w:p>
        </w:tc>
        <w:tc>
          <w:tcPr>
            <w:tcW w:w="1660" w:type="dxa"/>
            <w:vAlign w:val="bottom"/>
          </w:tcPr>
          <w:p w14:paraId="0029F8C4" w14:textId="77777777" w:rsidR="00D1587D" w:rsidRDefault="00D1587D">
            <w:pPr>
              <w:rPr>
                <w:sz w:val="24"/>
                <w:szCs w:val="24"/>
              </w:rPr>
            </w:pPr>
          </w:p>
        </w:tc>
      </w:tr>
      <w:tr w:rsidR="00D1587D" w14:paraId="5D15E1A7" w14:textId="77777777">
        <w:trPr>
          <w:trHeight w:val="270"/>
        </w:trPr>
        <w:tc>
          <w:tcPr>
            <w:tcW w:w="6900" w:type="dxa"/>
            <w:gridSpan w:val="3"/>
            <w:vAlign w:val="bottom"/>
          </w:tcPr>
          <w:p w14:paraId="5DB4008C" w14:textId="77777777" w:rsidR="00D1587D" w:rsidRDefault="00410D07">
            <w:pPr>
              <w:ind w:left="1660"/>
              <w:rPr>
                <w:sz w:val="20"/>
                <w:szCs w:val="20"/>
              </w:rPr>
            </w:pPr>
            <w:r>
              <w:rPr>
                <w:rFonts w:ascii="Arial" w:eastAsia="Arial" w:hAnsi="Arial" w:cs="Arial"/>
                <w:sz w:val="18"/>
                <w:szCs w:val="18"/>
              </w:rPr>
              <w:t>Blended Statutory Tax Rate</w:t>
            </w:r>
          </w:p>
        </w:tc>
        <w:tc>
          <w:tcPr>
            <w:tcW w:w="1220" w:type="dxa"/>
            <w:gridSpan w:val="2"/>
            <w:vAlign w:val="bottom"/>
          </w:tcPr>
          <w:p w14:paraId="5D85D885" w14:textId="77777777" w:rsidR="00D1587D" w:rsidRDefault="00410D07">
            <w:pPr>
              <w:ind w:right="176"/>
              <w:jc w:val="right"/>
              <w:rPr>
                <w:sz w:val="20"/>
                <w:szCs w:val="20"/>
              </w:rPr>
            </w:pPr>
            <w:r>
              <w:rPr>
                <w:rFonts w:ascii="Arial" w:eastAsia="Arial" w:hAnsi="Arial" w:cs="Arial"/>
                <w:sz w:val="18"/>
                <w:szCs w:val="18"/>
              </w:rPr>
              <w:t>26.0%</w:t>
            </w:r>
          </w:p>
        </w:tc>
        <w:tc>
          <w:tcPr>
            <w:tcW w:w="160" w:type="dxa"/>
            <w:vAlign w:val="bottom"/>
          </w:tcPr>
          <w:p w14:paraId="72D0421A" w14:textId="77777777" w:rsidR="00D1587D" w:rsidRDefault="00D1587D">
            <w:pPr>
              <w:rPr>
                <w:sz w:val="23"/>
                <w:szCs w:val="23"/>
              </w:rPr>
            </w:pPr>
          </w:p>
        </w:tc>
        <w:tc>
          <w:tcPr>
            <w:tcW w:w="1080" w:type="dxa"/>
            <w:vAlign w:val="bottom"/>
          </w:tcPr>
          <w:p w14:paraId="3A84CCD7" w14:textId="77777777" w:rsidR="00D1587D" w:rsidRDefault="00410D07">
            <w:pPr>
              <w:ind w:right="97"/>
              <w:jc w:val="right"/>
              <w:rPr>
                <w:sz w:val="20"/>
                <w:szCs w:val="20"/>
              </w:rPr>
            </w:pPr>
            <w:r>
              <w:rPr>
                <w:rFonts w:ascii="Arial" w:eastAsia="Arial" w:hAnsi="Arial" w:cs="Arial"/>
                <w:sz w:val="18"/>
                <w:szCs w:val="18"/>
              </w:rPr>
              <w:t>26.0%</w:t>
            </w:r>
          </w:p>
        </w:tc>
        <w:tc>
          <w:tcPr>
            <w:tcW w:w="1660" w:type="dxa"/>
            <w:vAlign w:val="bottom"/>
          </w:tcPr>
          <w:p w14:paraId="13B33571" w14:textId="77777777" w:rsidR="00D1587D" w:rsidRDefault="00D1587D">
            <w:pPr>
              <w:rPr>
                <w:sz w:val="23"/>
                <w:szCs w:val="23"/>
              </w:rPr>
            </w:pPr>
          </w:p>
        </w:tc>
      </w:tr>
      <w:tr w:rsidR="00D1587D" w14:paraId="02A55363" w14:textId="77777777">
        <w:trPr>
          <w:trHeight w:val="68"/>
        </w:trPr>
        <w:tc>
          <w:tcPr>
            <w:tcW w:w="6820" w:type="dxa"/>
            <w:gridSpan w:val="2"/>
            <w:vAlign w:val="bottom"/>
          </w:tcPr>
          <w:p w14:paraId="2B7EA6F3" w14:textId="77777777" w:rsidR="00D1587D" w:rsidRDefault="00D1587D">
            <w:pPr>
              <w:rPr>
                <w:sz w:val="5"/>
                <w:szCs w:val="5"/>
              </w:rPr>
            </w:pPr>
          </w:p>
        </w:tc>
        <w:tc>
          <w:tcPr>
            <w:tcW w:w="80" w:type="dxa"/>
            <w:vAlign w:val="bottom"/>
          </w:tcPr>
          <w:p w14:paraId="34D7859B" w14:textId="77777777" w:rsidR="00D1587D" w:rsidRDefault="00D1587D">
            <w:pPr>
              <w:rPr>
                <w:sz w:val="5"/>
                <w:szCs w:val="5"/>
              </w:rPr>
            </w:pPr>
          </w:p>
        </w:tc>
        <w:tc>
          <w:tcPr>
            <w:tcW w:w="560" w:type="dxa"/>
            <w:vAlign w:val="bottom"/>
          </w:tcPr>
          <w:p w14:paraId="4B2D502B" w14:textId="77777777" w:rsidR="00D1587D" w:rsidRDefault="00D1587D">
            <w:pPr>
              <w:rPr>
                <w:sz w:val="5"/>
                <w:szCs w:val="5"/>
              </w:rPr>
            </w:pPr>
          </w:p>
        </w:tc>
        <w:tc>
          <w:tcPr>
            <w:tcW w:w="660" w:type="dxa"/>
            <w:vAlign w:val="bottom"/>
          </w:tcPr>
          <w:p w14:paraId="246958B1" w14:textId="77777777" w:rsidR="00D1587D" w:rsidRDefault="00D1587D">
            <w:pPr>
              <w:rPr>
                <w:sz w:val="5"/>
                <w:szCs w:val="5"/>
              </w:rPr>
            </w:pPr>
          </w:p>
        </w:tc>
        <w:tc>
          <w:tcPr>
            <w:tcW w:w="160" w:type="dxa"/>
            <w:vAlign w:val="bottom"/>
          </w:tcPr>
          <w:p w14:paraId="787C3452" w14:textId="77777777" w:rsidR="00D1587D" w:rsidRDefault="00D1587D">
            <w:pPr>
              <w:rPr>
                <w:sz w:val="5"/>
                <w:szCs w:val="5"/>
              </w:rPr>
            </w:pPr>
          </w:p>
        </w:tc>
        <w:tc>
          <w:tcPr>
            <w:tcW w:w="1080" w:type="dxa"/>
            <w:vAlign w:val="bottom"/>
          </w:tcPr>
          <w:p w14:paraId="4FF02C91" w14:textId="77777777" w:rsidR="00D1587D" w:rsidRDefault="00D1587D">
            <w:pPr>
              <w:rPr>
                <w:sz w:val="5"/>
                <w:szCs w:val="5"/>
              </w:rPr>
            </w:pPr>
          </w:p>
        </w:tc>
        <w:tc>
          <w:tcPr>
            <w:tcW w:w="1660" w:type="dxa"/>
            <w:vAlign w:val="bottom"/>
          </w:tcPr>
          <w:p w14:paraId="4BEA9D67" w14:textId="77777777" w:rsidR="00D1587D" w:rsidRDefault="00D1587D">
            <w:pPr>
              <w:rPr>
                <w:sz w:val="5"/>
                <w:szCs w:val="5"/>
              </w:rPr>
            </w:pPr>
          </w:p>
        </w:tc>
      </w:tr>
      <w:tr w:rsidR="00D1587D" w14:paraId="6C70E32D" w14:textId="77777777">
        <w:trPr>
          <w:trHeight w:val="396"/>
        </w:trPr>
        <w:tc>
          <w:tcPr>
            <w:tcW w:w="1660" w:type="dxa"/>
            <w:vAlign w:val="bottom"/>
          </w:tcPr>
          <w:p w14:paraId="1B7C9DB6" w14:textId="77777777" w:rsidR="00D1587D" w:rsidRDefault="00D1587D">
            <w:pPr>
              <w:rPr>
                <w:sz w:val="24"/>
                <w:szCs w:val="24"/>
              </w:rPr>
            </w:pPr>
          </w:p>
        </w:tc>
        <w:tc>
          <w:tcPr>
            <w:tcW w:w="5240" w:type="dxa"/>
            <w:gridSpan w:val="2"/>
            <w:tcBorders>
              <w:top w:val="single" w:sz="8" w:space="0" w:color="CCEEFF"/>
              <w:bottom w:val="single" w:sz="8" w:space="0" w:color="CCEEFF"/>
            </w:tcBorders>
            <w:shd w:val="clear" w:color="auto" w:fill="CCEEFF"/>
            <w:vAlign w:val="bottom"/>
          </w:tcPr>
          <w:p w14:paraId="16BB110F" w14:textId="77777777" w:rsidR="00D1587D" w:rsidRDefault="00410D07">
            <w:pPr>
              <w:rPr>
                <w:sz w:val="20"/>
                <w:szCs w:val="20"/>
              </w:rPr>
            </w:pPr>
            <w:r>
              <w:rPr>
                <w:rFonts w:ascii="Arial" w:eastAsia="Arial" w:hAnsi="Arial" w:cs="Arial"/>
                <w:sz w:val="18"/>
                <w:szCs w:val="18"/>
              </w:rPr>
              <w:t xml:space="preserve">Total Pro Forma Adjustment to Income Taxes </w:t>
            </w:r>
            <w:r>
              <w:rPr>
                <w:rFonts w:ascii="Arial" w:eastAsia="Arial" w:hAnsi="Arial" w:cs="Arial"/>
                <w:sz w:val="18"/>
                <w:szCs w:val="18"/>
              </w:rPr>
              <w:t>(Benefit)</w:t>
            </w:r>
          </w:p>
        </w:tc>
        <w:tc>
          <w:tcPr>
            <w:tcW w:w="560" w:type="dxa"/>
            <w:tcBorders>
              <w:top w:val="single" w:sz="8" w:space="0" w:color="auto"/>
              <w:bottom w:val="single" w:sz="8" w:space="0" w:color="CCEEFF"/>
            </w:tcBorders>
            <w:shd w:val="clear" w:color="auto" w:fill="CCEEFF"/>
            <w:vAlign w:val="bottom"/>
          </w:tcPr>
          <w:p w14:paraId="218A30F0" w14:textId="77777777" w:rsidR="00D1587D" w:rsidRDefault="00410D07">
            <w:pPr>
              <w:jc w:val="right"/>
              <w:rPr>
                <w:sz w:val="20"/>
                <w:szCs w:val="20"/>
              </w:rPr>
            </w:pPr>
            <w:r>
              <w:rPr>
                <w:rFonts w:ascii="Arial" w:eastAsia="Arial" w:hAnsi="Arial" w:cs="Arial"/>
                <w:sz w:val="18"/>
                <w:szCs w:val="18"/>
              </w:rPr>
              <w:t>$</w:t>
            </w:r>
          </w:p>
        </w:tc>
        <w:tc>
          <w:tcPr>
            <w:tcW w:w="660" w:type="dxa"/>
            <w:tcBorders>
              <w:top w:val="single" w:sz="8" w:space="0" w:color="auto"/>
              <w:bottom w:val="single" w:sz="8" w:space="0" w:color="CCEEFF"/>
            </w:tcBorders>
            <w:shd w:val="clear" w:color="auto" w:fill="CCEEFF"/>
            <w:vAlign w:val="bottom"/>
          </w:tcPr>
          <w:p w14:paraId="4D841B69" w14:textId="77777777" w:rsidR="00D1587D" w:rsidRDefault="00410D07">
            <w:pPr>
              <w:ind w:right="276"/>
              <w:jc w:val="right"/>
              <w:rPr>
                <w:sz w:val="20"/>
                <w:szCs w:val="20"/>
              </w:rPr>
            </w:pPr>
            <w:r>
              <w:rPr>
                <w:rFonts w:ascii="Arial" w:eastAsia="Arial" w:hAnsi="Arial" w:cs="Arial"/>
                <w:sz w:val="18"/>
                <w:szCs w:val="18"/>
              </w:rPr>
              <w:t>(2)</w:t>
            </w:r>
          </w:p>
        </w:tc>
        <w:tc>
          <w:tcPr>
            <w:tcW w:w="160" w:type="dxa"/>
            <w:tcBorders>
              <w:top w:val="single" w:sz="8" w:space="0" w:color="CCEEFF"/>
              <w:bottom w:val="single" w:sz="8" w:space="0" w:color="CCEEFF"/>
            </w:tcBorders>
            <w:shd w:val="clear" w:color="auto" w:fill="CCEEFF"/>
            <w:vAlign w:val="bottom"/>
          </w:tcPr>
          <w:p w14:paraId="601C7C22" w14:textId="77777777" w:rsidR="00D1587D" w:rsidRDefault="00D1587D">
            <w:pPr>
              <w:rPr>
                <w:sz w:val="24"/>
                <w:szCs w:val="24"/>
              </w:rPr>
            </w:pPr>
          </w:p>
        </w:tc>
        <w:tc>
          <w:tcPr>
            <w:tcW w:w="1080" w:type="dxa"/>
            <w:tcBorders>
              <w:top w:val="single" w:sz="8" w:space="0" w:color="auto"/>
              <w:bottom w:val="single" w:sz="8" w:space="0" w:color="CCEEFF"/>
            </w:tcBorders>
            <w:shd w:val="clear" w:color="auto" w:fill="CCEEFF"/>
            <w:vAlign w:val="bottom"/>
          </w:tcPr>
          <w:p w14:paraId="3FD32142" w14:textId="77777777" w:rsidR="00D1587D" w:rsidRDefault="00410D07">
            <w:pPr>
              <w:ind w:right="197"/>
              <w:jc w:val="right"/>
              <w:rPr>
                <w:sz w:val="20"/>
                <w:szCs w:val="20"/>
              </w:rPr>
            </w:pPr>
            <w:r>
              <w:rPr>
                <w:rFonts w:ascii="Arial" w:eastAsia="Arial" w:hAnsi="Arial" w:cs="Arial"/>
                <w:sz w:val="18"/>
                <w:szCs w:val="18"/>
              </w:rPr>
              <w:t>$ (11)</w:t>
            </w:r>
          </w:p>
        </w:tc>
        <w:tc>
          <w:tcPr>
            <w:tcW w:w="1660" w:type="dxa"/>
            <w:vAlign w:val="bottom"/>
          </w:tcPr>
          <w:p w14:paraId="21AFB2F3" w14:textId="77777777" w:rsidR="00D1587D" w:rsidRDefault="00D1587D">
            <w:pPr>
              <w:rPr>
                <w:sz w:val="24"/>
                <w:szCs w:val="24"/>
              </w:rPr>
            </w:pPr>
          </w:p>
        </w:tc>
      </w:tr>
      <w:tr w:rsidR="00D1587D" w14:paraId="4500F37C" w14:textId="77777777">
        <w:trPr>
          <w:trHeight w:val="406"/>
        </w:trPr>
        <w:tc>
          <w:tcPr>
            <w:tcW w:w="1660" w:type="dxa"/>
            <w:vAlign w:val="bottom"/>
          </w:tcPr>
          <w:p w14:paraId="41C81974" w14:textId="77777777" w:rsidR="00D1587D" w:rsidRDefault="00D1587D">
            <w:pPr>
              <w:rPr>
                <w:sz w:val="24"/>
                <w:szCs w:val="24"/>
              </w:rPr>
            </w:pPr>
          </w:p>
        </w:tc>
        <w:tc>
          <w:tcPr>
            <w:tcW w:w="5160" w:type="dxa"/>
            <w:tcBorders>
              <w:top w:val="single" w:sz="8" w:space="0" w:color="CCEEFF"/>
            </w:tcBorders>
            <w:vAlign w:val="bottom"/>
          </w:tcPr>
          <w:p w14:paraId="34854465" w14:textId="77777777" w:rsidR="00D1587D" w:rsidRDefault="00410D07">
            <w:pPr>
              <w:ind w:right="1130"/>
              <w:jc w:val="right"/>
              <w:rPr>
                <w:sz w:val="20"/>
                <w:szCs w:val="20"/>
              </w:rPr>
            </w:pPr>
            <w:r>
              <w:rPr>
                <w:rFonts w:ascii="Arial" w:eastAsia="Arial" w:hAnsi="Arial" w:cs="Arial"/>
                <w:sz w:val="18"/>
                <w:szCs w:val="18"/>
              </w:rPr>
              <w:t>60</w:t>
            </w:r>
          </w:p>
        </w:tc>
        <w:tc>
          <w:tcPr>
            <w:tcW w:w="80" w:type="dxa"/>
            <w:tcBorders>
              <w:top w:val="single" w:sz="8" w:space="0" w:color="CCEEFF"/>
            </w:tcBorders>
            <w:vAlign w:val="bottom"/>
          </w:tcPr>
          <w:p w14:paraId="779D9494" w14:textId="77777777" w:rsidR="00D1587D" w:rsidRDefault="00D1587D">
            <w:pPr>
              <w:rPr>
                <w:sz w:val="24"/>
                <w:szCs w:val="24"/>
              </w:rPr>
            </w:pPr>
          </w:p>
        </w:tc>
        <w:tc>
          <w:tcPr>
            <w:tcW w:w="560" w:type="dxa"/>
            <w:tcBorders>
              <w:top w:val="single" w:sz="8" w:space="0" w:color="auto"/>
            </w:tcBorders>
            <w:vAlign w:val="bottom"/>
          </w:tcPr>
          <w:p w14:paraId="7359F350" w14:textId="77777777" w:rsidR="00D1587D" w:rsidRDefault="00D1587D">
            <w:pPr>
              <w:rPr>
                <w:sz w:val="24"/>
                <w:szCs w:val="24"/>
              </w:rPr>
            </w:pPr>
          </w:p>
        </w:tc>
        <w:tc>
          <w:tcPr>
            <w:tcW w:w="660" w:type="dxa"/>
            <w:tcBorders>
              <w:top w:val="single" w:sz="8" w:space="0" w:color="auto"/>
            </w:tcBorders>
            <w:vAlign w:val="bottom"/>
          </w:tcPr>
          <w:p w14:paraId="5CD84683" w14:textId="77777777" w:rsidR="00D1587D" w:rsidRDefault="00D1587D">
            <w:pPr>
              <w:rPr>
                <w:sz w:val="24"/>
                <w:szCs w:val="24"/>
              </w:rPr>
            </w:pPr>
          </w:p>
        </w:tc>
        <w:tc>
          <w:tcPr>
            <w:tcW w:w="160" w:type="dxa"/>
            <w:tcBorders>
              <w:top w:val="single" w:sz="8" w:space="0" w:color="CCEEFF"/>
            </w:tcBorders>
            <w:vAlign w:val="bottom"/>
          </w:tcPr>
          <w:p w14:paraId="7015F291" w14:textId="77777777" w:rsidR="00D1587D" w:rsidRDefault="00D1587D">
            <w:pPr>
              <w:rPr>
                <w:sz w:val="24"/>
                <w:szCs w:val="24"/>
              </w:rPr>
            </w:pPr>
          </w:p>
        </w:tc>
        <w:tc>
          <w:tcPr>
            <w:tcW w:w="1080" w:type="dxa"/>
            <w:tcBorders>
              <w:top w:val="single" w:sz="8" w:space="0" w:color="auto"/>
            </w:tcBorders>
            <w:vAlign w:val="bottom"/>
          </w:tcPr>
          <w:p w14:paraId="1507A2DC" w14:textId="77777777" w:rsidR="00D1587D" w:rsidRDefault="00D1587D">
            <w:pPr>
              <w:rPr>
                <w:sz w:val="24"/>
                <w:szCs w:val="24"/>
              </w:rPr>
            </w:pPr>
          </w:p>
        </w:tc>
        <w:tc>
          <w:tcPr>
            <w:tcW w:w="1660" w:type="dxa"/>
            <w:vAlign w:val="bottom"/>
          </w:tcPr>
          <w:p w14:paraId="60FF80E6" w14:textId="77777777" w:rsidR="00D1587D" w:rsidRDefault="00D1587D">
            <w:pPr>
              <w:rPr>
                <w:sz w:val="24"/>
                <w:szCs w:val="24"/>
              </w:rPr>
            </w:pPr>
          </w:p>
        </w:tc>
      </w:tr>
      <w:tr w:rsidR="00D1587D" w14:paraId="067A5039" w14:textId="77777777">
        <w:trPr>
          <w:trHeight w:val="183"/>
        </w:trPr>
        <w:tc>
          <w:tcPr>
            <w:tcW w:w="1660" w:type="dxa"/>
            <w:tcBorders>
              <w:bottom w:val="single" w:sz="8" w:space="0" w:color="auto"/>
            </w:tcBorders>
            <w:vAlign w:val="bottom"/>
          </w:tcPr>
          <w:p w14:paraId="5089C685" w14:textId="77777777" w:rsidR="00D1587D" w:rsidRDefault="00D1587D">
            <w:pPr>
              <w:rPr>
                <w:sz w:val="15"/>
                <w:szCs w:val="15"/>
              </w:rPr>
            </w:pPr>
          </w:p>
        </w:tc>
        <w:tc>
          <w:tcPr>
            <w:tcW w:w="5160" w:type="dxa"/>
            <w:tcBorders>
              <w:bottom w:val="single" w:sz="8" w:space="0" w:color="auto"/>
            </w:tcBorders>
            <w:vAlign w:val="bottom"/>
          </w:tcPr>
          <w:p w14:paraId="5091BA6D" w14:textId="77777777" w:rsidR="00D1587D" w:rsidRDefault="00D1587D">
            <w:pPr>
              <w:rPr>
                <w:sz w:val="15"/>
                <w:szCs w:val="15"/>
              </w:rPr>
            </w:pPr>
          </w:p>
        </w:tc>
        <w:tc>
          <w:tcPr>
            <w:tcW w:w="80" w:type="dxa"/>
            <w:tcBorders>
              <w:bottom w:val="single" w:sz="8" w:space="0" w:color="auto"/>
            </w:tcBorders>
            <w:vAlign w:val="bottom"/>
          </w:tcPr>
          <w:p w14:paraId="01A9C6D6" w14:textId="77777777" w:rsidR="00D1587D" w:rsidRDefault="00D1587D">
            <w:pPr>
              <w:rPr>
                <w:sz w:val="15"/>
                <w:szCs w:val="15"/>
              </w:rPr>
            </w:pPr>
          </w:p>
        </w:tc>
        <w:tc>
          <w:tcPr>
            <w:tcW w:w="560" w:type="dxa"/>
            <w:tcBorders>
              <w:bottom w:val="single" w:sz="8" w:space="0" w:color="auto"/>
            </w:tcBorders>
            <w:vAlign w:val="bottom"/>
          </w:tcPr>
          <w:p w14:paraId="693DAE0C" w14:textId="77777777" w:rsidR="00D1587D" w:rsidRDefault="00D1587D">
            <w:pPr>
              <w:rPr>
                <w:sz w:val="15"/>
                <w:szCs w:val="15"/>
              </w:rPr>
            </w:pPr>
          </w:p>
        </w:tc>
        <w:tc>
          <w:tcPr>
            <w:tcW w:w="660" w:type="dxa"/>
            <w:tcBorders>
              <w:bottom w:val="single" w:sz="8" w:space="0" w:color="auto"/>
            </w:tcBorders>
            <w:vAlign w:val="bottom"/>
          </w:tcPr>
          <w:p w14:paraId="7E4AE5F0" w14:textId="77777777" w:rsidR="00D1587D" w:rsidRDefault="00D1587D">
            <w:pPr>
              <w:rPr>
                <w:sz w:val="15"/>
                <w:szCs w:val="15"/>
              </w:rPr>
            </w:pPr>
          </w:p>
        </w:tc>
        <w:tc>
          <w:tcPr>
            <w:tcW w:w="160" w:type="dxa"/>
            <w:tcBorders>
              <w:bottom w:val="single" w:sz="8" w:space="0" w:color="auto"/>
            </w:tcBorders>
            <w:vAlign w:val="bottom"/>
          </w:tcPr>
          <w:p w14:paraId="1A641CDA" w14:textId="77777777" w:rsidR="00D1587D" w:rsidRDefault="00D1587D">
            <w:pPr>
              <w:rPr>
                <w:sz w:val="15"/>
                <w:szCs w:val="15"/>
              </w:rPr>
            </w:pPr>
          </w:p>
        </w:tc>
        <w:tc>
          <w:tcPr>
            <w:tcW w:w="1080" w:type="dxa"/>
            <w:tcBorders>
              <w:bottom w:val="single" w:sz="8" w:space="0" w:color="auto"/>
            </w:tcBorders>
            <w:vAlign w:val="bottom"/>
          </w:tcPr>
          <w:p w14:paraId="0DB3A9FF" w14:textId="77777777" w:rsidR="00D1587D" w:rsidRDefault="00D1587D">
            <w:pPr>
              <w:rPr>
                <w:sz w:val="15"/>
                <w:szCs w:val="15"/>
              </w:rPr>
            </w:pPr>
          </w:p>
        </w:tc>
        <w:tc>
          <w:tcPr>
            <w:tcW w:w="1660" w:type="dxa"/>
            <w:tcBorders>
              <w:bottom w:val="single" w:sz="8" w:space="0" w:color="auto"/>
            </w:tcBorders>
            <w:vAlign w:val="bottom"/>
          </w:tcPr>
          <w:p w14:paraId="408D4419" w14:textId="77777777" w:rsidR="00D1587D" w:rsidRDefault="00D1587D">
            <w:pPr>
              <w:rPr>
                <w:sz w:val="15"/>
                <w:szCs w:val="15"/>
              </w:rPr>
            </w:pPr>
          </w:p>
        </w:tc>
      </w:tr>
    </w:tbl>
    <w:p w14:paraId="1D6445B8" w14:textId="77777777" w:rsidR="00D1587D" w:rsidRDefault="00410D07">
      <w:pPr>
        <w:spacing w:line="20" w:lineRule="exact"/>
        <w:rPr>
          <w:sz w:val="20"/>
          <w:szCs w:val="20"/>
        </w:rPr>
      </w:pPr>
      <w:r>
        <w:rPr>
          <w:noProof/>
          <w:sz w:val="20"/>
          <w:szCs w:val="20"/>
        </w:rPr>
        <w:drawing>
          <wp:anchor distT="0" distB="0" distL="114300" distR="114300" simplePos="0" relativeHeight="251560960" behindDoc="1" locked="0" layoutInCell="0" allowOverlap="1" wp14:anchorId="06834B7E" wp14:editId="75F3CF13">
            <wp:simplePos x="0" y="0"/>
            <wp:positionH relativeFrom="column">
              <wp:posOffset>5158105</wp:posOffset>
            </wp:positionH>
            <wp:positionV relativeFrom="paragraph">
              <wp:posOffset>-659130</wp:posOffset>
            </wp:positionV>
            <wp:extent cx="102870" cy="8255"/>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r>
        <w:rPr>
          <w:noProof/>
          <w:sz w:val="20"/>
          <w:szCs w:val="20"/>
        </w:rPr>
        <w:drawing>
          <wp:anchor distT="0" distB="0" distL="114300" distR="114300" simplePos="0" relativeHeight="251561984" behindDoc="1" locked="0" layoutInCell="0" allowOverlap="1" wp14:anchorId="255C15D9" wp14:editId="58BEE8BE">
            <wp:simplePos x="0" y="0"/>
            <wp:positionH relativeFrom="column">
              <wp:posOffset>4335145</wp:posOffset>
            </wp:positionH>
            <wp:positionV relativeFrom="paragraph">
              <wp:posOffset>-659130</wp:posOffset>
            </wp:positionV>
            <wp:extent cx="51435" cy="8255"/>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563008" behindDoc="1" locked="0" layoutInCell="0" allowOverlap="1" wp14:anchorId="2EF3A2BB" wp14:editId="53B6B460">
            <wp:simplePos x="0" y="0"/>
            <wp:positionH relativeFrom="column">
              <wp:posOffset>5158105</wp:posOffset>
            </wp:positionH>
            <wp:positionV relativeFrom="paragraph">
              <wp:posOffset>-1276350</wp:posOffset>
            </wp:positionV>
            <wp:extent cx="102870" cy="8890"/>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39"/>
                    <a:srcRect/>
                    <a:stretch>
                      <a:fillRect/>
                    </a:stretch>
                  </pic:blipFill>
                  <pic:spPr bwMode="auto">
                    <a:xfrm>
                      <a:off x="0" y="0"/>
                      <a:ext cx="102870" cy="8890"/>
                    </a:xfrm>
                    <a:prstGeom prst="rect">
                      <a:avLst/>
                    </a:prstGeom>
                    <a:noFill/>
                  </pic:spPr>
                </pic:pic>
              </a:graphicData>
            </a:graphic>
          </wp:anchor>
        </w:drawing>
      </w:r>
    </w:p>
    <w:p w14:paraId="2AD3615D" w14:textId="77777777" w:rsidR="00D1587D" w:rsidRDefault="00D1587D">
      <w:pPr>
        <w:sectPr w:rsidR="00D1587D">
          <w:pgSz w:w="11900" w:h="16838"/>
          <w:pgMar w:top="265" w:right="439" w:bottom="1440" w:left="440" w:header="0" w:footer="0" w:gutter="0"/>
          <w:cols w:space="720" w:equalWidth="0">
            <w:col w:w="11020"/>
          </w:cols>
        </w:sectPr>
      </w:pPr>
    </w:p>
    <w:bookmarkStart w:id="318" w:name="page319"/>
    <w:bookmarkEnd w:id="318"/>
    <w:p w14:paraId="0A4AE52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645139A" w14:textId="77777777" w:rsidR="00D1587D" w:rsidRDefault="00D1587D">
      <w:pPr>
        <w:spacing w:line="131" w:lineRule="exact"/>
        <w:rPr>
          <w:sz w:val="20"/>
          <w:szCs w:val="20"/>
        </w:rPr>
      </w:pPr>
    </w:p>
    <w:p w14:paraId="530DFB5F" w14:textId="77777777" w:rsidR="00D1587D" w:rsidRDefault="00410D07">
      <w:pPr>
        <w:ind w:left="300"/>
        <w:rPr>
          <w:sz w:val="20"/>
          <w:szCs w:val="20"/>
        </w:rPr>
      </w:pPr>
      <w:r>
        <w:rPr>
          <w:rFonts w:ascii="Arial" w:eastAsia="Arial" w:hAnsi="Arial" w:cs="Arial"/>
          <w:sz w:val="17"/>
          <w:szCs w:val="17"/>
        </w:rPr>
        <w:t>(d)  Reflects the reclassification of LB’s net investment in us, which was recorded in net investment by LB, into</w:t>
      </w:r>
    </w:p>
    <w:p w14:paraId="5A71523D" w14:textId="77777777" w:rsidR="00D1587D" w:rsidRDefault="00D1587D">
      <w:pPr>
        <w:spacing w:line="35" w:lineRule="exact"/>
        <w:rPr>
          <w:sz w:val="20"/>
          <w:szCs w:val="20"/>
        </w:rPr>
      </w:pPr>
    </w:p>
    <w:p w14:paraId="486CC91F" w14:textId="77777777" w:rsidR="00D1587D" w:rsidRDefault="00410D07">
      <w:pPr>
        <w:spacing w:line="281" w:lineRule="auto"/>
        <w:ind w:left="640" w:right="379"/>
        <w:rPr>
          <w:sz w:val="20"/>
          <w:szCs w:val="20"/>
        </w:rPr>
      </w:pPr>
      <w:r>
        <w:rPr>
          <w:rFonts w:ascii="Arial" w:eastAsia="Arial" w:hAnsi="Arial" w:cs="Arial"/>
          <w:sz w:val="16"/>
          <w:szCs w:val="16"/>
        </w:rPr>
        <w:t xml:space="preserve">additional </w:t>
      </w:r>
      <w:r>
        <w:rPr>
          <w:rFonts w:ascii="Arial" w:eastAsia="Arial" w:hAnsi="Arial" w:cs="Arial"/>
          <w:sz w:val="16"/>
          <w:szCs w:val="16"/>
        </w:rPr>
        <w:t>paid-in-capital and common stock to reflect the assumed issuance of million shares of our common stock with $0.01 par value per share pursuant to the Separation and Distribution Agreement immediately prior to the Separation. We have assumed the number of o</w:t>
      </w:r>
      <w:r>
        <w:rPr>
          <w:rFonts w:ascii="Arial" w:eastAsia="Arial" w:hAnsi="Arial" w:cs="Arial"/>
          <w:sz w:val="16"/>
          <w:szCs w:val="16"/>
        </w:rPr>
        <w:t>utstanding shares of our common stock based on the number of shares of LB common stock outstanding on May 1, 2021 and a distribution ratio of one</w:t>
      </w:r>
    </w:p>
    <w:tbl>
      <w:tblPr>
        <w:tblW w:w="0" w:type="auto"/>
        <w:tblInd w:w="640" w:type="dxa"/>
        <w:tblLayout w:type="fixed"/>
        <w:tblCellMar>
          <w:left w:w="0" w:type="dxa"/>
          <w:right w:w="0" w:type="dxa"/>
        </w:tblCellMar>
        <w:tblLook w:val="04A0" w:firstRow="1" w:lastRow="0" w:firstColumn="1" w:lastColumn="0" w:noHBand="0" w:noVBand="1"/>
      </w:tblPr>
      <w:tblGrid>
        <w:gridCol w:w="20"/>
        <w:gridCol w:w="2940"/>
        <w:gridCol w:w="3680"/>
        <w:gridCol w:w="240"/>
        <w:gridCol w:w="220"/>
        <w:gridCol w:w="620"/>
        <w:gridCol w:w="120"/>
      </w:tblGrid>
      <w:tr w:rsidR="00D1587D" w14:paraId="4605D6A4" w14:textId="77777777">
        <w:trPr>
          <w:trHeight w:val="204"/>
        </w:trPr>
        <w:tc>
          <w:tcPr>
            <w:tcW w:w="2960" w:type="dxa"/>
            <w:gridSpan w:val="2"/>
            <w:vAlign w:val="bottom"/>
          </w:tcPr>
          <w:p w14:paraId="106C97BC" w14:textId="77777777" w:rsidR="00D1587D" w:rsidRDefault="00410D07">
            <w:pPr>
              <w:spacing w:line="204" w:lineRule="exact"/>
              <w:rPr>
                <w:sz w:val="20"/>
                <w:szCs w:val="20"/>
              </w:rPr>
            </w:pPr>
            <w:r>
              <w:rPr>
                <w:rFonts w:ascii="Arial" w:eastAsia="Arial" w:hAnsi="Arial" w:cs="Arial"/>
                <w:sz w:val="18"/>
                <w:szCs w:val="18"/>
              </w:rPr>
              <w:t>share of our common stock for every</w:t>
            </w:r>
          </w:p>
        </w:tc>
        <w:tc>
          <w:tcPr>
            <w:tcW w:w="4880" w:type="dxa"/>
            <w:gridSpan w:val="5"/>
            <w:vAlign w:val="bottom"/>
          </w:tcPr>
          <w:p w14:paraId="3105C93C" w14:textId="77777777" w:rsidR="00D1587D" w:rsidRDefault="00410D07">
            <w:pPr>
              <w:spacing w:line="204" w:lineRule="exact"/>
              <w:ind w:left="280"/>
              <w:rPr>
                <w:sz w:val="20"/>
                <w:szCs w:val="20"/>
              </w:rPr>
            </w:pPr>
            <w:r>
              <w:rPr>
                <w:rFonts w:ascii="Arial" w:eastAsia="Arial" w:hAnsi="Arial" w:cs="Arial"/>
                <w:w w:val="91"/>
                <w:sz w:val="18"/>
                <w:szCs w:val="18"/>
              </w:rPr>
              <w:t>shares of LB common stock. The following summarizes the pro</w:t>
            </w:r>
          </w:p>
        </w:tc>
      </w:tr>
      <w:tr w:rsidR="00D1587D" w14:paraId="38A60364" w14:textId="77777777">
        <w:trPr>
          <w:trHeight w:val="230"/>
        </w:trPr>
        <w:tc>
          <w:tcPr>
            <w:tcW w:w="6880" w:type="dxa"/>
            <w:gridSpan w:val="4"/>
            <w:vAlign w:val="bottom"/>
          </w:tcPr>
          <w:p w14:paraId="6908353B" w14:textId="77777777" w:rsidR="00D1587D" w:rsidRDefault="00410D07">
            <w:pPr>
              <w:rPr>
                <w:sz w:val="20"/>
                <w:szCs w:val="20"/>
              </w:rPr>
            </w:pPr>
            <w:r>
              <w:rPr>
                <w:rFonts w:ascii="Arial" w:eastAsia="Arial" w:hAnsi="Arial" w:cs="Arial"/>
                <w:sz w:val="18"/>
                <w:szCs w:val="18"/>
              </w:rPr>
              <w:t xml:space="preserve">forma </w:t>
            </w:r>
            <w:r>
              <w:rPr>
                <w:rFonts w:ascii="Arial" w:eastAsia="Arial" w:hAnsi="Arial" w:cs="Arial"/>
                <w:sz w:val="18"/>
                <w:szCs w:val="18"/>
              </w:rPr>
              <w:t>adjustment to additional paid-in capital:</w:t>
            </w:r>
          </w:p>
        </w:tc>
        <w:tc>
          <w:tcPr>
            <w:tcW w:w="220" w:type="dxa"/>
            <w:vAlign w:val="bottom"/>
          </w:tcPr>
          <w:p w14:paraId="7AEF0899" w14:textId="77777777" w:rsidR="00D1587D" w:rsidRDefault="00D1587D">
            <w:pPr>
              <w:rPr>
                <w:sz w:val="20"/>
                <w:szCs w:val="20"/>
              </w:rPr>
            </w:pPr>
          </w:p>
        </w:tc>
        <w:tc>
          <w:tcPr>
            <w:tcW w:w="620" w:type="dxa"/>
            <w:vAlign w:val="bottom"/>
          </w:tcPr>
          <w:p w14:paraId="3F29D290" w14:textId="77777777" w:rsidR="00D1587D" w:rsidRDefault="00D1587D">
            <w:pPr>
              <w:rPr>
                <w:sz w:val="20"/>
                <w:szCs w:val="20"/>
              </w:rPr>
            </w:pPr>
          </w:p>
        </w:tc>
        <w:tc>
          <w:tcPr>
            <w:tcW w:w="120" w:type="dxa"/>
            <w:vAlign w:val="bottom"/>
          </w:tcPr>
          <w:p w14:paraId="427FB741" w14:textId="77777777" w:rsidR="00D1587D" w:rsidRDefault="00D1587D">
            <w:pPr>
              <w:rPr>
                <w:sz w:val="20"/>
                <w:szCs w:val="20"/>
              </w:rPr>
            </w:pPr>
          </w:p>
        </w:tc>
      </w:tr>
      <w:tr w:rsidR="00D1587D" w14:paraId="06023688" w14:textId="77777777">
        <w:trPr>
          <w:trHeight w:val="382"/>
        </w:trPr>
        <w:tc>
          <w:tcPr>
            <w:tcW w:w="20" w:type="dxa"/>
            <w:vAlign w:val="bottom"/>
          </w:tcPr>
          <w:p w14:paraId="53DCF7CE" w14:textId="77777777" w:rsidR="00D1587D" w:rsidRDefault="00D1587D">
            <w:pPr>
              <w:rPr>
                <w:sz w:val="24"/>
                <w:szCs w:val="24"/>
              </w:rPr>
            </w:pPr>
          </w:p>
        </w:tc>
        <w:tc>
          <w:tcPr>
            <w:tcW w:w="2940" w:type="dxa"/>
            <w:vAlign w:val="bottom"/>
          </w:tcPr>
          <w:p w14:paraId="5F1B89ED" w14:textId="77777777" w:rsidR="00D1587D" w:rsidRDefault="00D1587D">
            <w:pPr>
              <w:rPr>
                <w:sz w:val="24"/>
                <w:szCs w:val="24"/>
              </w:rPr>
            </w:pPr>
          </w:p>
        </w:tc>
        <w:tc>
          <w:tcPr>
            <w:tcW w:w="3680" w:type="dxa"/>
            <w:vAlign w:val="bottom"/>
          </w:tcPr>
          <w:p w14:paraId="3E873F1C" w14:textId="77777777" w:rsidR="00D1587D" w:rsidRDefault="00D1587D">
            <w:pPr>
              <w:rPr>
                <w:sz w:val="24"/>
                <w:szCs w:val="24"/>
              </w:rPr>
            </w:pPr>
          </w:p>
        </w:tc>
        <w:tc>
          <w:tcPr>
            <w:tcW w:w="240" w:type="dxa"/>
            <w:vAlign w:val="bottom"/>
          </w:tcPr>
          <w:p w14:paraId="658CF23B" w14:textId="77777777" w:rsidR="00D1587D" w:rsidRDefault="00D1587D">
            <w:pPr>
              <w:rPr>
                <w:sz w:val="24"/>
                <w:szCs w:val="24"/>
              </w:rPr>
            </w:pPr>
          </w:p>
        </w:tc>
        <w:tc>
          <w:tcPr>
            <w:tcW w:w="960" w:type="dxa"/>
            <w:gridSpan w:val="3"/>
            <w:vAlign w:val="bottom"/>
          </w:tcPr>
          <w:p w14:paraId="6B35B233" w14:textId="77777777" w:rsidR="00D1587D" w:rsidRDefault="00410D07">
            <w:pPr>
              <w:ind w:right="180"/>
              <w:jc w:val="center"/>
              <w:rPr>
                <w:sz w:val="20"/>
                <w:szCs w:val="20"/>
              </w:rPr>
            </w:pPr>
            <w:r>
              <w:rPr>
                <w:rFonts w:ascii="Arial" w:eastAsia="Arial" w:hAnsi="Arial" w:cs="Arial"/>
                <w:b/>
                <w:bCs/>
                <w:w w:val="95"/>
                <w:sz w:val="14"/>
                <w:szCs w:val="14"/>
              </w:rPr>
              <w:t>As of May 1,</w:t>
            </w:r>
          </w:p>
        </w:tc>
      </w:tr>
      <w:tr w:rsidR="00D1587D" w14:paraId="6EB91F54" w14:textId="77777777">
        <w:trPr>
          <w:trHeight w:val="186"/>
        </w:trPr>
        <w:tc>
          <w:tcPr>
            <w:tcW w:w="20" w:type="dxa"/>
            <w:vAlign w:val="bottom"/>
          </w:tcPr>
          <w:p w14:paraId="1DF2B761" w14:textId="77777777" w:rsidR="00D1587D" w:rsidRDefault="00D1587D">
            <w:pPr>
              <w:rPr>
                <w:sz w:val="16"/>
                <w:szCs w:val="16"/>
              </w:rPr>
            </w:pPr>
          </w:p>
        </w:tc>
        <w:tc>
          <w:tcPr>
            <w:tcW w:w="2940" w:type="dxa"/>
            <w:vAlign w:val="bottom"/>
          </w:tcPr>
          <w:p w14:paraId="0371D205" w14:textId="77777777" w:rsidR="00D1587D" w:rsidRDefault="00D1587D">
            <w:pPr>
              <w:rPr>
                <w:sz w:val="16"/>
                <w:szCs w:val="16"/>
              </w:rPr>
            </w:pPr>
          </w:p>
        </w:tc>
        <w:tc>
          <w:tcPr>
            <w:tcW w:w="3680" w:type="dxa"/>
            <w:vAlign w:val="bottom"/>
          </w:tcPr>
          <w:p w14:paraId="4092ABC2" w14:textId="77777777" w:rsidR="00D1587D" w:rsidRDefault="00D1587D">
            <w:pPr>
              <w:rPr>
                <w:sz w:val="16"/>
                <w:szCs w:val="16"/>
              </w:rPr>
            </w:pPr>
          </w:p>
        </w:tc>
        <w:tc>
          <w:tcPr>
            <w:tcW w:w="240" w:type="dxa"/>
            <w:vAlign w:val="bottom"/>
          </w:tcPr>
          <w:p w14:paraId="55D4162E" w14:textId="77777777" w:rsidR="00D1587D" w:rsidRDefault="00D1587D">
            <w:pPr>
              <w:rPr>
                <w:sz w:val="16"/>
                <w:szCs w:val="16"/>
              </w:rPr>
            </w:pPr>
          </w:p>
        </w:tc>
        <w:tc>
          <w:tcPr>
            <w:tcW w:w="220" w:type="dxa"/>
            <w:vAlign w:val="bottom"/>
          </w:tcPr>
          <w:p w14:paraId="4463C158" w14:textId="77777777" w:rsidR="00D1587D" w:rsidRDefault="00D1587D">
            <w:pPr>
              <w:rPr>
                <w:sz w:val="16"/>
                <w:szCs w:val="16"/>
              </w:rPr>
            </w:pPr>
          </w:p>
        </w:tc>
        <w:tc>
          <w:tcPr>
            <w:tcW w:w="620" w:type="dxa"/>
            <w:vAlign w:val="bottom"/>
          </w:tcPr>
          <w:p w14:paraId="41FD369E" w14:textId="77777777" w:rsidR="00D1587D" w:rsidRDefault="00410D07">
            <w:pPr>
              <w:ind w:right="133"/>
              <w:jc w:val="center"/>
              <w:rPr>
                <w:sz w:val="20"/>
                <w:szCs w:val="20"/>
              </w:rPr>
            </w:pPr>
            <w:r>
              <w:rPr>
                <w:rFonts w:ascii="Arial" w:eastAsia="Arial" w:hAnsi="Arial" w:cs="Arial"/>
                <w:b/>
                <w:bCs/>
                <w:w w:val="89"/>
                <w:sz w:val="14"/>
                <w:szCs w:val="14"/>
              </w:rPr>
              <w:t>2021</w:t>
            </w:r>
          </w:p>
        </w:tc>
        <w:tc>
          <w:tcPr>
            <w:tcW w:w="120" w:type="dxa"/>
            <w:vAlign w:val="bottom"/>
          </w:tcPr>
          <w:p w14:paraId="2A252996" w14:textId="77777777" w:rsidR="00D1587D" w:rsidRDefault="00D1587D">
            <w:pPr>
              <w:rPr>
                <w:sz w:val="16"/>
                <w:szCs w:val="16"/>
              </w:rPr>
            </w:pPr>
          </w:p>
        </w:tc>
      </w:tr>
      <w:tr w:rsidR="00D1587D" w14:paraId="5E590543" w14:textId="77777777">
        <w:trPr>
          <w:trHeight w:val="53"/>
        </w:trPr>
        <w:tc>
          <w:tcPr>
            <w:tcW w:w="20" w:type="dxa"/>
            <w:vAlign w:val="bottom"/>
          </w:tcPr>
          <w:p w14:paraId="4EF3D06D" w14:textId="77777777" w:rsidR="00D1587D" w:rsidRDefault="00D1587D">
            <w:pPr>
              <w:rPr>
                <w:sz w:val="4"/>
                <w:szCs w:val="4"/>
              </w:rPr>
            </w:pPr>
          </w:p>
        </w:tc>
        <w:tc>
          <w:tcPr>
            <w:tcW w:w="2940" w:type="dxa"/>
            <w:vAlign w:val="bottom"/>
          </w:tcPr>
          <w:p w14:paraId="7A8FC9A0" w14:textId="77777777" w:rsidR="00D1587D" w:rsidRDefault="00D1587D">
            <w:pPr>
              <w:rPr>
                <w:sz w:val="4"/>
                <w:szCs w:val="4"/>
              </w:rPr>
            </w:pPr>
          </w:p>
        </w:tc>
        <w:tc>
          <w:tcPr>
            <w:tcW w:w="3680" w:type="dxa"/>
            <w:vAlign w:val="bottom"/>
          </w:tcPr>
          <w:p w14:paraId="7936EBC5" w14:textId="77777777" w:rsidR="00D1587D" w:rsidRDefault="00D1587D">
            <w:pPr>
              <w:rPr>
                <w:sz w:val="4"/>
                <w:szCs w:val="4"/>
              </w:rPr>
            </w:pPr>
          </w:p>
        </w:tc>
        <w:tc>
          <w:tcPr>
            <w:tcW w:w="240" w:type="dxa"/>
            <w:vAlign w:val="bottom"/>
          </w:tcPr>
          <w:p w14:paraId="4AFFCD17" w14:textId="77777777" w:rsidR="00D1587D" w:rsidRDefault="00D1587D">
            <w:pPr>
              <w:rPr>
                <w:sz w:val="4"/>
                <w:szCs w:val="4"/>
              </w:rPr>
            </w:pPr>
          </w:p>
        </w:tc>
        <w:tc>
          <w:tcPr>
            <w:tcW w:w="840" w:type="dxa"/>
            <w:gridSpan w:val="2"/>
            <w:tcBorders>
              <w:bottom w:val="single" w:sz="8" w:space="0" w:color="auto"/>
            </w:tcBorders>
            <w:vAlign w:val="bottom"/>
          </w:tcPr>
          <w:p w14:paraId="526BD42E" w14:textId="77777777" w:rsidR="00D1587D" w:rsidRDefault="00D1587D">
            <w:pPr>
              <w:rPr>
                <w:sz w:val="4"/>
                <w:szCs w:val="4"/>
              </w:rPr>
            </w:pPr>
          </w:p>
        </w:tc>
        <w:tc>
          <w:tcPr>
            <w:tcW w:w="120" w:type="dxa"/>
            <w:vAlign w:val="bottom"/>
          </w:tcPr>
          <w:p w14:paraId="0DB7C6F9" w14:textId="77777777" w:rsidR="00D1587D" w:rsidRDefault="00D1587D">
            <w:pPr>
              <w:rPr>
                <w:sz w:val="4"/>
                <w:szCs w:val="4"/>
              </w:rPr>
            </w:pPr>
          </w:p>
        </w:tc>
      </w:tr>
      <w:tr w:rsidR="00D1587D" w14:paraId="5729806F" w14:textId="77777777">
        <w:trPr>
          <w:trHeight w:val="224"/>
        </w:trPr>
        <w:tc>
          <w:tcPr>
            <w:tcW w:w="20" w:type="dxa"/>
            <w:vAlign w:val="bottom"/>
          </w:tcPr>
          <w:p w14:paraId="182BCE22" w14:textId="77777777" w:rsidR="00D1587D" w:rsidRDefault="00D1587D">
            <w:pPr>
              <w:rPr>
                <w:sz w:val="19"/>
                <w:szCs w:val="19"/>
              </w:rPr>
            </w:pPr>
          </w:p>
        </w:tc>
        <w:tc>
          <w:tcPr>
            <w:tcW w:w="2940" w:type="dxa"/>
            <w:vAlign w:val="bottom"/>
          </w:tcPr>
          <w:p w14:paraId="638FAC51" w14:textId="77777777" w:rsidR="00D1587D" w:rsidRDefault="00D1587D">
            <w:pPr>
              <w:rPr>
                <w:sz w:val="19"/>
                <w:szCs w:val="19"/>
              </w:rPr>
            </w:pPr>
          </w:p>
        </w:tc>
        <w:tc>
          <w:tcPr>
            <w:tcW w:w="3680" w:type="dxa"/>
            <w:vAlign w:val="bottom"/>
          </w:tcPr>
          <w:p w14:paraId="19D28196" w14:textId="77777777" w:rsidR="00D1587D" w:rsidRDefault="00D1587D">
            <w:pPr>
              <w:rPr>
                <w:sz w:val="19"/>
                <w:szCs w:val="19"/>
              </w:rPr>
            </w:pPr>
          </w:p>
        </w:tc>
        <w:tc>
          <w:tcPr>
            <w:tcW w:w="240" w:type="dxa"/>
            <w:vAlign w:val="bottom"/>
          </w:tcPr>
          <w:p w14:paraId="3BC20905" w14:textId="77777777" w:rsidR="00D1587D" w:rsidRDefault="00D1587D">
            <w:pPr>
              <w:rPr>
                <w:sz w:val="19"/>
                <w:szCs w:val="19"/>
              </w:rPr>
            </w:pPr>
          </w:p>
        </w:tc>
        <w:tc>
          <w:tcPr>
            <w:tcW w:w="960" w:type="dxa"/>
            <w:gridSpan w:val="3"/>
            <w:vAlign w:val="bottom"/>
          </w:tcPr>
          <w:p w14:paraId="1DE0E121" w14:textId="77777777" w:rsidR="00D1587D" w:rsidRDefault="00410D07">
            <w:pPr>
              <w:ind w:right="140"/>
              <w:jc w:val="center"/>
              <w:rPr>
                <w:sz w:val="20"/>
                <w:szCs w:val="20"/>
              </w:rPr>
            </w:pPr>
            <w:r>
              <w:rPr>
                <w:rFonts w:ascii="Arial" w:eastAsia="Arial" w:hAnsi="Arial" w:cs="Arial"/>
                <w:b/>
                <w:bCs/>
                <w:w w:val="94"/>
                <w:sz w:val="14"/>
                <w:szCs w:val="14"/>
              </w:rPr>
              <w:t>(in millions)</w:t>
            </w:r>
          </w:p>
        </w:tc>
      </w:tr>
      <w:tr w:rsidR="00D1587D" w14:paraId="62A352FB" w14:textId="77777777">
        <w:trPr>
          <w:trHeight w:val="53"/>
        </w:trPr>
        <w:tc>
          <w:tcPr>
            <w:tcW w:w="2960" w:type="dxa"/>
            <w:gridSpan w:val="2"/>
            <w:vAlign w:val="bottom"/>
          </w:tcPr>
          <w:p w14:paraId="6E310D2B" w14:textId="77777777" w:rsidR="00D1587D" w:rsidRDefault="00D1587D">
            <w:pPr>
              <w:rPr>
                <w:sz w:val="4"/>
                <w:szCs w:val="4"/>
              </w:rPr>
            </w:pPr>
          </w:p>
        </w:tc>
        <w:tc>
          <w:tcPr>
            <w:tcW w:w="3680" w:type="dxa"/>
            <w:vAlign w:val="bottom"/>
          </w:tcPr>
          <w:p w14:paraId="6AD32B92" w14:textId="77777777" w:rsidR="00D1587D" w:rsidRDefault="00D1587D">
            <w:pPr>
              <w:rPr>
                <w:sz w:val="4"/>
                <w:szCs w:val="4"/>
              </w:rPr>
            </w:pPr>
          </w:p>
        </w:tc>
        <w:tc>
          <w:tcPr>
            <w:tcW w:w="240" w:type="dxa"/>
            <w:vAlign w:val="bottom"/>
          </w:tcPr>
          <w:p w14:paraId="423B711B" w14:textId="77777777" w:rsidR="00D1587D" w:rsidRDefault="00D1587D">
            <w:pPr>
              <w:rPr>
                <w:sz w:val="4"/>
                <w:szCs w:val="4"/>
              </w:rPr>
            </w:pPr>
          </w:p>
        </w:tc>
        <w:tc>
          <w:tcPr>
            <w:tcW w:w="220" w:type="dxa"/>
            <w:vAlign w:val="bottom"/>
          </w:tcPr>
          <w:p w14:paraId="7D6EF664" w14:textId="77777777" w:rsidR="00D1587D" w:rsidRDefault="00D1587D">
            <w:pPr>
              <w:rPr>
                <w:sz w:val="4"/>
                <w:szCs w:val="4"/>
              </w:rPr>
            </w:pPr>
          </w:p>
        </w:tc>
        <w:tc>
          <w:tcPr>
            <w:tcW w:w="620" w:type="dxa"/>
            <w:vAlign w:val="bottom"/>
          </w:tcPr>
          <w:p w14:paraId="24EF5583" w14:textId="77777777" w:rsidR="00D1587D" w:rsidRDefault="00D1587D">
            <w:pPr>
              <w:rPr>
                <w:sz w:val="4"/>
                <w:szCs w:val="4"/>
              </w:rPr>
            </w:pPr>
          </w:p>
        </w:tc>
        <w:tc>
          <w:tcPr>
            <w:tcW w:w="120" w:type="dxa"/>
            <w:vAlign w:val="bottom"/>
          </w:tcPr>
          <w:p w14:paraId="0CB04DBF" w14:textId="77777777" w:rsidR="00D1587D" w:rsidRDefault="00D1587D">
            <w:pPr>
              <w:rPr>
                <w:sz w:val="4"/>
                <w:szCs w:val="4"/>
              </w:rPr>
            </w:pPr>
          </w:p>
        </w:tc>
      </w:tr>
      <w:tr w:rsidR="00D1587D" w14:paraId="60ED4380" w14:textId="77777777">
        <w:trPr>
          <w:trHeight w:val="318"/>
        </w:trPr>
        <w:tc>
          <w:tcPr>
            <w:tcW w:w="20" w:type="dxa"/>
            <w:vAlign w:val="bottom"/>
          </w:tcPr>
          <w:p w14:paraId="2EB342AC" w14:textId="77777777" w:rsidR="00D1587D" w:rsidRDefault="00D1587D">
            <w:pPr>
              <w:rPr>
                <w:sz w:val="24"/>
                <w:szCs w:val="24"/>
              </w:rPr>
            </w:pPr>
          </w:p>
        </w:tc>
        <w:tc>
          <w:tcPr>
            <w:tcW w:w="2940" w:type="dxa"/>
            <w:tcBorders>
              <w:bottom w:val="single" w:sz="8" w:space="0" w:color="CCEEFF"/>
            </w:tcBorders>
            <w:shd w:val="clear" w:color="auto" w:fill="CCEEFF"/>
            <w:vAlign w:val="bottom"/>
          </w:tcPr>
          <w:p w14:paraId="2E119202" w14:textId="77777777" w:rsidR="00D1587D" w:rsidRDefault="00410D07">
            <w:pPr>
              <w:rPr>
                <w:sz w:val="20"/>
                <w:szCs w:val="20"/>
              </w:rPr>
            </w:pPr>
            <w:r>
              <w:rPr>
                <w:rFonts w:ascii="Arial" w:eastAsia="Arial" w:hAnsi="Arial" w:cs="Arial"/>
                <w:sz w:val="18"/>
                <w:szCs w:val="18"/>
              </w:rPr>
              <w:t>Net Investment by LB</w:t>
            </w:r>
          </w:p>
        </w:tc>
        <w:tc>
          <w:tcPr>
            <w:tcW w:w="3680" w:type="dxa"/>
            <w:tcBorders>
              <w:bottom w:val="single" w:sz="8" w:space="0" w:color="CCEEFF"/>
            </w:tcBorders>
            <w:shd w:val="clear" w:color="auto" w:fill="CCEEFF"/>
            <w:vAlign w:val="bottom"/>
          </w:tcPr>
          <w:p w14:paraId="731B222D" w14:textId="77777777" w:rsidR="00D1587D" w:rsidRDefault="00D1587D">
            <w:pPr>
              <w:rPr>
                <w:sz w:val="24"/>
                <w:szCs w:val="24"/>
              </w:rPr>
            </w:pPr>
          </w:p>
        </w:tc>
        <w:tc>
          <w:tcPr>
            <w:tcW w:w="240" w:type="dxa"/>
            <w:tcBorders>
              <w:bottom w:val="single" w:sz="8" w:space="0" w:color="CCEEFF"/>
            </w:tcBorders>
            <w:shd w:val="clear" w:color="auto" w:fill="CCEEFF"/>
            <w:vAlign w:val="bottom"/>
          </w:tcPr>
          <w:p w14:paraId="72FB152D" w14:textId="77777777" w:rsidR="00D1587D" w:rsidRDefault="00D1587D">
            <w:pPr>
              <w:rPr>
                <w:sz w:val="24"/>
                <w:szCs w:val="24"/>
              </w:rPr>
            </w:pPr>
          </w:p>
        </w:tc>
        <w:tc>
          <w:tcPr>
            <w:tcW w:w="220" w:type="dxa"/>
            <w:tcBorders>
              <w:bottom w:val="single" w:sz="8" w:space="0" w:color="CCEEFF"/>
            </w:tcBorders>
            <w:shd w:val="clear" w:color="auto" w:fill="CCEEFF"/>
            <w:vAlign w:val="bottom"/>
          </w:tcPr>
          <w:p w14:paraId="256850DE" w14:textId="77777777" w:rsidR="00D1587D" w:rsidRDefault="00410D07">
            <w:pPr>
              <w:jc w:val="right"/>
              <w:rPr>
                <w:sz w:val="20"/>
                <w:szCs w:val="20"/>
              </w:rPr>
            </w:pPr>
            <w:r>
              <w:rPr>
                <w:rFonts w:ascii="Arial" w:eastAsia="Arial" w:hAnsi="Arial" w:cs="Arial"/>
                <w:sz w:val="18"/>
                <w:szCs w:val="18"/>
              </w:rPr>
              <w:t>$</w:t>
            </w:r>
          </w:p>
        </w:tc>
        <w:tc>
          <w:tcPr>
            <w:tcW w:w="620" w:type="dxa"/>
            <w:tcBorders>
              <w:bottom w:val="single" w:sz="8" w:space="0" w:color="CCEEFF"/>
            </w:tcBorders>
            <w:shd w:val="clear" w:color="auto" w:fill="CCEEFF"/>
            <w:vAlign w:val="bottom"/>
          </w:tcPr>
          <w:p w14:paraId="2DF30F52" w14:textId="77777777" w:rsidR="00D1587D" w:rsidRDefault="00410D07">
            <w:pPr>
              <w:ind w:right="33"/>
              <w:jc w:val="right"/>
              <w:rPr>
                <w:sz w:val="20"/>
                <w:szCs w:val="20"/>
              </w:rPr>
            </w:pPr>
            <w:r>
              <w:rPr>
                <w:rFonts w:ascii="Arial" w:eastAsia="Arial" w:hAnsi="Arial" w:cs="Arial"/>
                <w:sz w:val="18"/>
                <w:szCs w:val="18"/>
              </w:rPr>
              <w:t>1,000</w:t>
            </w:r>
          </w:p>
        </w:tc>
        <w:tc>
          <w:tcPr>
            <w:tcW w:w="120" w:type="dxa"/>
            <w:vAlign w:val="bottom"/>
          </w:tcPr>
          <w:p w14:paraId="609F78E1" w14:textId="77777777" w:rsidR="00D1587D" w:rsidRDefault="00D1587D">
            <w:pPr>
              <w:rPr>
                <w:sz w:val="24"/>
                <w:szCs w:val="24"/>
              </w:rPr>
            </w:pPr>
          </w:p>
        </w:tc>
      </w:tr>
      <w:tr w:rsidR="00D1587D" w14:paraId="75075A29" w14:textId="77777777">
        <w:trPr>
          <w:trHeight w:val="270"/>
        </w:trPr>
        <w:tc>
          <w:tcPr>
            <w:tcW w:w="2960" w:type="dxa"/>
            <w:gridSpan w:val="2"/>
            <w:vAlign w:val="bottom"/>
          </w:tcPr>
          <w:p w14:paraId="094377B2" w14:textId="77777777" w:rsidR="00D1587D" w:rsidRDefault="00410D07">
            <w:pPr>
              <w:ind w:left="20"/>
              <w:rPr>
                <w:sz w:val="20"/>
                <w:szCs w:val="20"/>
              </w:rPr>
            </w:pPr>
            <w:r>
              <w:rPr>
                <w:rFonts w:ascii="Arial" w:eastAsia="Arial" w:hAnsi="Arial" w:cs="Arial"/>
                <w:sz w:val="18"/>
                <w:szCs w:val="18"/>
              </w:rPr>
              <w:t>Cash Transfer to LB at Separation</w:t>
            </w:r>
          </w:p>
        </w:tc>
        <w:tc>
          <w:tcPr>
            <w:tcW w:w="3680" w:type="dxa"/>
            <w:vAlign w:val="bottom"/>
          </w:tcPr>
          <w:p w14:paraId="7C53943E" w14:textId="77777777" w:rsidR="00D1587D" w:rsidRDefault="00D1587D">
            <w:pPr>
              <w:rPr>
                <w:sz w:val="23"/>
                <w:szCs w:val="23"/>
              </w:rPr>
            </w:pPr>
          </w:p>
        </w:tc>
        <w:tc>
          <w:tcPr>
            <w:tcW w:w="240" w:type="dxa"/>
            <w:vAlign w:val="bottom"/>
          </w:tcPr>
          <w:p w14:paraId="2D6B11A6" w14:textId="77777777" w:rsidR="00D1587D" w:rsidRDefault="00D1587D">
            <w:pPr>
              <w:rPr>
                <w:sz w:val="23"/>
                <w:szCs w:val="23"/>
              </w:rPr>
            </w:pPr>
          </w:p>
        </w:tc>
        <w:tc>
          <w:tcPr>
            <w:tcW w:w="220" w:type="dxa"/>
            <w:vAlign w:val="bottom"/>
          </w:tcPr>
          <w:p w14:paraId="7F90E258" w14:textId="77777777" w:rsidR="00D1587D" w:rsidRDefault="00D1587D">
            <w:pPr>
              <w:rPr>
                <w:sz w:val="23"/>
                <w:szCs w:val="23"/>
              </w:rPr>
            </w:pPr>
          </w:p>
        </w:tc>
        <w:tc>
          <w:tcPr>
            <w:tcW w:w="620" w:type="dxa"/>
            <w:vAlign w:val="bottom"/>
          </w:tcPr>
          <w:p w14:paraId="74485063" w14:textId="77777777" w:rsidR="00D1587D" w:rsidRDefault="00410D07">
            <w:pPr>
              <w:jc w:val="right"/>
              <w:rPr>
                <w:sz w:val="20"/>
                <w:szCs w:val="20"/>
              </w:rPr>
            </w:pPr>
            <w:r>
              <w:rPr>
                <w:rFonts w:ascii="Arial" w:eastAsia="Arial" w:hAnsi="Arial" w:cs="Arial"/>
                <w:w w:val="94"/>
                <w:sz w:val="18"/>
                <w:szCs w:val="18"/>
              </w:rPr>
              <w:t>(1,057)</w:t>
            </w:r>
          </w:p>
        </w:tc>
        <w:tc>
          <w:tcPr>
            <w:tcW w:w="120" w:type="dxa"/>
            <w:vAlign w:val="bottom"/>
          </w:tcPr>
          <w:p w14:paraId="1540E113" w14:textId="77777777" w:rsidR="00D1587D" w:rsidRDefault="00D1587D">
            <w:pPr>
              <w:rPr>
                <w:sz w:val="23"/>
                <w:szCs w:val="23"/>
              </w:rPr>
            </w:pPr>
          </w:p>
        </w:tc>
      </w:tr>
      <w:tr w:rsidR="00D1587D" w14:paraId="2FF6D40E" w14:textId="77777777">
        <w:trPr>
          <w:trHeight w:val="54"/>
        </w:trPr>
        <w:tc>
          <w:tcPr>
            <w:tcW w:w="6640" w:type="dxa"/>
            <w:gridSpan w:val="3"/>
            <w:vAlign w:val="bottom"/>
          </w:tcPr>
          <w:p w14:paraId="361AC2F1" w14:textId="77777777" w:rsidR="00D1587D" w:rsidRDefault="00D1587D">
            <w:pPr>
              <w:rPr>
                <w:sz w:val="4"/>
                <w:szCs w:val="4"/>
              </w:rPr>
            </w:pPr>
          </w:p>
        </w:tc>
        <w:tc>
          <w:tcPr>
            <w:tcW w:w="240" w:type="dxa"/>
            <w:vAlign w:val="bottom"/>
          </w:tcPr>
          <w:p w14:paraId="3BB56EB1" w14:textId="77777777" w:rsidR="00D1587D" w:rsidRDefault="00D1587D">
            <w:pPr>
              <w:rPr>
                <w:sz w:val="4"/>
                <w:szCs w:val="4"/>
              </w:rPr>
            </w:pPr>
          </w:p>
        </w:tc>
        <w:tc>
          <w:tcPr>
            <w:tcW w:w="220" w:type="dxa"/>
            <w:vAlign w:val="bottom"/>
          </w:tcPr>
          <w:p w14:paraId="3A645FA8" w14:textId="77777777" w:rsidR="00D1587D" w:rsidRDefault="00D1587D">
            <w:pPr>
              <w:rPr>
                <w:sz w:val="4"/>
                <w:szCs w:val="4"/>
              </w:rPr>
            </w:pPr>
          </w:p>
        </w:tc>
        <w:tc>
          <w:tcPr>
            <w:tcW w:w="620" w:type="dxa"/>
            <w:vAlign w:val="bottom"/>
          </w:tcPr>
          <w:p w14:paraId="37B68454" w14:textId="77777777" w:rsidR="00D1587D" w:rsidRDefault="00D1587D">
            <w:pPr>
              <w:rPr>
                <w:sz w:val="4"/>
                <w:szCs w:val="4"/>
              </w:rPr>
            </w:pPr>
          </w:p>
        </w:tc>
        <w:tc>
          <w:tcPr>
            <w:tcW w:w="120" w:type="dxa"/>
            <w:vAlign w:val="bottom"/>
          </w:tcPr>
          <w:p w14:paraId="6FFF4B40" w14:textId="77777777" w:rsidR="00D1587D" w:rsidRDefault="00D1587D">
            <w:pPr>
              <w:rPr>
                <w:sz w:val="4"/>
                <w:szCs w:val="4"/>
              </w:rPr>
            </w:pPr>
          </w:p>
        </w:tc>
      </w:tr>
      <w:tr w:rsidR="00D1587D" w14:paraId="293E778A" w14:textId="77777777">
        <w:trPr>
          <w:trHeight w:val="304"/>
        </w:trPr>
        <w:tc>
          <w:tcPr>
            <w:tcW w:w="20" w:type="dxa"/>
            <w:vAlign w:val="bottom"/>
          </w:tcPr>
          <w:p w14:paraId="2B31F607" w14:textId="77777777" w:rsidR="00D1587D" w:rsidRDefault="00D1587D">
            <w:pPr>
              <w:rPr>
                <w:sz w:val="24"/>
                <w:szCs w:val="24"/>
              </w:rPr>
            </w:pPr>
          </w:p>
        </w:tc>
        <w:tc>
          <w:tcPr>
            <w:tcW w:w="6860" w:type="dxa"/>
            <w:gridSpan w:val="3"/>
            <w:tcBorders>
              <w:bottom w:val="single" w:sz="8" w:space="0" w:color="CCEEFF"/>
            </w:tcBorders>
            <w:shd w:val="clear" w:color="auto" w:fill="CCEEFF"/>
            <w:vAlign w:val="bottom"/>
          </w:tcPr>
          <w:p w14:paraId="36B83553" w14:textId="77777777" w:rsidR="00D1587D" w:rsidRDefault="00410D07">
            <w:pPr>
              <w:rPr>
                <w:sz w:val="20"/>
                <w:szCs w:val="20"/>
              </w:rPr>
            </w:pPr>
            <w:r>
              <w:rPr>
                <w:rFonts w:ascii="Arial" w:eastAsia="Arial" w:hAnsi="Arial" w:cs="Arial"/>
                <w:sz w:val="18"/>
                <w:szCs w:val="18"/>
              </w:rPr>
              <w:t xml:space="preserve">Long-Term Debt due Related to Party and </w:t>
            </w:r>
            <w:r>
              <w:rPr>
                <w:rFonts w:ascii="Arial" w:eastAsia="Arial" w:hAnsi="Arial" w:cs="Arial"/>
                <w:sz w:val="18"/>
                <w:szCs w:val="18"/>
              </w:rPr>
              <w:t>Associated Accrued Interest</w:t>
            </w:r>
          </w:p>
        </w:tc>
        <w:tc>
          <w:tcPr>
            <w:tcW w:w="220" w:type="dxa"/>
            <w:tcBorders>
              <w:bottom w:val="single" w:sz="8" w:space="0" w:color="CCEEFF"/>
            </w:tcBorders>
            <w:shd w:val="clear" w:color="auto" w:fill="CCEEFF"/>
            <w:vAlign w:val="bottom"/>
          </w:tcPr>
          <w:p w14:paraId="53E26F44" w14:textId="77777777" w:rsidR="00D1587D" w:rsidRDefault="00D1587D">
            <w:pPr>
              <w:rPr>
                <w:sz w:val="24"/>
                <w:szCs w:val="24"/>
              </w:rPr>
            </w:pPr>
          </w:p>
        </w:tc>
        <w:tc>
          <w:tcPr>
            <w:tcW w:w="620" w:type="dxa"/>
            <w:tcBorders>
              <w:bottom w:val="single" w:sz="8" w:space="0" w:color="CCEEFF"/>
            </w:tcBorders>
            <w:shd w:val="clear" w:color="auto" w:fill="CCEEFF"/>
            <w:vAlign w:val="bottom"/>
          </w:tcPr>
          <w:p w14:paraId="30D373CC" w14:textId="77777777" w:rsidR="00D1587D" w:rsidRDefault="00410D07">
            <w:pPr>
              <w:ind w:right="33"/>
              <w:jc w:val="right"/>
              <w:rPr>
                <w:sz w:val="20"/>
                <w:szCs w:val="20"/>
              </w:rPr>
            </w:pPr>
            <w:r>
              <w:rPr>
                <w:rFonts w:ascii="Arial" w:eastAsia="Arial" w:hAnsi="Arial" w:cs="Arial"/>
                <w:sz w:val="18"/>
                <w:szCs w:val="18"/>
              </w:rPr>
              <w:t>98</w:t>
            </w:r>
          </w:p>
        </w:tc>
        <w:tc>
          <w:tcPr>
            <w:tcW w:w="120" w:type="dxa"/>
            <w:vAlign w:val="bottom"/>
          </w:tcPr>
          <w:p w14:paraId="3B0E28C2" w14:textId="77777777" w:rsidR="00D1587D" w:rsidRDefault="00D1587D">
            <w:pPr>
              <w:rPr>
                <w:sz w:val="24"/>
                <w:szCs w:val="24"/>
              </w:rPr>
            </w:pPr>
          </w:p>
        </w:tc>
      </w:tr>
      <w:tr w:rsidR="00D1587D" w14:paraId="32D45CF9" w14:textId="77777777">
        <w:trPr>
          <w:trHeight w:val="270"/>
        </w:trPr>
        <w:tc>
          <w:tcPr>
            <w:tcW w:w="6880" w:type="dxa"/>
            <w:gridSpan w:val="4"/>
            <w:vAlign w:val="bottom"/>
          </w:tcPr>
          <w:p w14:paraId="5C7CB389" w14:textId="77777777" w:rsidR="00D1587D" w:rsidRDefault="00410D07">
            <w:pPr>
              <w:ind w:left="20"/>
              <w:rPr>
                <w:sz w:val="20"/>
                <w:szCs w:val="20"/>
              </w:rPr>
            </w:pPr>
            <w:r>
              <w:rPr>
                <w:rFonts w:ascii="Arial" w:eastAsia="Arial" w:hAnsi="Arial" w:cs="Arial"/>
                <w:sz w:val="18"/>
                <w:szCs w:val="18"/>
              </w:rPr>
              <w:t>Adjustment Related to Tax Assets and Liabilities, Net</w:t>
            </w:r>
          </w:p>
        </w:tc>
        <w:tc>
          <w:tcPr>
            <w:tcW w:w="220" w:type="dxa"/>
            <w:vAlign w:val="bottom"/>
          </w:tcPr>
          <w:p w14:paraId="370076C5" w14:textId="77777777" w:rsidR="00D1587D" w:rsidRDefault="00D1587D">
            <w:pPr>
              <w:rPr>
                <w:sz w:val="23"/>
                <w:szCs w:val="23"/>
              </w:rPr>
            </w:pPr>
          </w:p>
        </w:tc>
        <w:tc>
          <w:tcPr>
            <w:tcW w:w="620" w:type="dxa"/>
            <w:vAlign w:val="bottom"/>
          </w:tcPr>
          <w:p w14:paraId="27D941E7" w14:textId="77777777" w:rsidR="00D1587D" w:rsidRDefault="00410D07">
            <w:pPr>
              <w:ind w:right="33"/>
              <w:jc w:val="right"/>
              <w:rPr>
                <w:sz w:val="20"/>
                <w:szCs w:val="20"/>
              </w:rPr>
            </w:pPr>
            <w:r>
              <w:rPr>
                <w:rFonts w:ascii="Arial" w:eastAsia="Arial" w:hAnsi="Arial" w:cs="Arial"/>
                <w:sz w:val="18"/>
                <w:szCs w:val="18"/>
              </w:rPr>
              <w:t>54</w:t>
            </w:r>
          </w:p>
        </w:tc>
        <w:tc>
          <w:tcPr>
            <w:tcW w:w="120" w:type="dxa"/>
            <w:vAlign w:val="bottom"/>
          </w:tcPr>
          <w:p w14:paraId="54C208B1" w14:textId="77777777" w:rsidR="00D1587D" w:rsidRDefault="00D1587D">
            <w:pPr>
              <w:rPr>
                <w:sz w:val="23"/>
                <w:szCs w:val="23"/>
              </w:rPr>
            </w:pPr>
          </w:p>
        </w:tc>
      </w:tr>
      <w:tr w:rsidR="00D1587D" w14:paraId="7067FEB3" w14:textId="77777777">
        <w:trPr>
          <w:trHeight w:val="68"/>
        </w:trPr>
        <w:tc>
          <w:tcPr>
            <w:tcW w:w="6640" w:type="dxa"/>
            <w:gridSpan w:val="3"/>
            <w:vAlign w:val="bottom"/>
          </w:tcPr>
          <w:p w14:paraId="17FF7ACD" w14:textId="77777777" w:rsidR="00D1587D" w:rsidRDefault="00D1587D">
            <w:pPr>
              <w:rPr>
                <w:sz w:val="5"/>
                <w:szCs w:val="5"/>
              </w:rPr>
            </w:pPr>
          </w:p>
        </w:tc>
        <w:tc>
          <w:tcPr>
            <w:tcW w:w="240" w:type="dxa"/>
            <w:vAlign w:val="bottom"/>
          </w:tcPr>
          <w:p w14:paraId="3F16C2BF" w14:textId="77777777" w:rsidR="00D1587D" w:rsidRDefault="00D1587D">
            <w:pPr>
              <w:rPr>
                <w:sz w:val="5"/>
                <w:szCs w:val="5"/>
              </w:rPr>
            </w:pPr>
          </w:p>
        </w:tc>
        <w:tc>
          <w:tcPr>
            <w:tcW w:w="220" w:type="dxa"/>
            <w:vAlign w:val="bottom"/>
          </w:tcPr>
          <w:p w14:paraId="6739DCAC" w14:textId="77777777" w:rsidR="00D1587D" w:rsidRDefault="00D1587D">
            <w:pPr>
              <w:rPr>
                <w:sz w:val="5"/>
                <w:szCs w:val="5"/>
              </w:rPr>
            </w:pPr>
          </w:p>
        </w:tc>
        <w:tc>
          <w:tcPr>
            <w:tcW w:w="620" w:type="dxa"/>
            <w:vAlign w:val="bottom"/>
          </w:tcPr>
          <w:p w14:paraId="31D390AC" w14:textId="77777777" w:rsidR="00D1587D" w:rsidRDefault="00D1587D">
            <w:pPr>
              <w:rPr>
                <w:sz w:val="5"/>
                <w:szCs w:val="5"/>
              </w:rPr>
            </w:pPr>
          </w:p>
        </w:tc>
        <w:tc>
          <w:tcPr>
            <w:tcW w:w="120" w:type="dxa"/>
            <w:vAlign w:val="bottom"/>
          </w:tcPr>
          <w:p w14:paraId="1C61D653" w14:textId="77777777" w:rsidR="00D1587D" w:rsidRDefault="00D1587D">
            <w:pPr>
              <w:rPr>
                <w:sz w:val="5"/>
                <w:szCs w:val="5"/>
              </w:rPr>
            </w:pPr>
          </w:p>
        </w:tc>
      </w:tr>
      <w:tr w:rsidR="00D1587D" w14:paraId="2AA4CBA3" w14:textId="77777777">
        <w:trPr>
          <w:trHeight w:val="376"/>
        </w:trPr>
        <w:tc>
          <w:tcPr>
            <w:tcW w:w="20" w:type="dxa"/>
            <w:vAlign w:val="bottom"/>
          </w:tcPr>
          <w:p w14:paraId="60A2FCFB" w14:textId="77777777" w:rsidR="00D1587D" w:rsidRDefault="00D1587D">
            <w:pPr>
              <w:rPr>
                <w:sz w:val="24"/>
                <w:szCs w:val="24"/>
              </w:rPr>
            </w:pPr>
          </w:p>
        </w:tc>
        <w:tc>
          <w:tcPr>
            <w:tcW w:w="6860" w:type="dxa"/>
            <w:gridSpan w:val="3"/>
            <w:tcBorders>
              <w:top w:val="single" w:sz="8" w:space="0" w:color="CCEEFF"/>
              <w:bottom w:val="single" w:sz="8" w:space="0" w:color="CCEEFF"/>
            </w:tcBorders>
            <w:shd w:val="clear" w:color="auto" w:fill="CCEEFF"/>
            <w:vAlign w:val="bottom"/>
          </w:tcPr>
          <w:p w14:paraId="67D00F02" w14:textId="77777777" w:rsidR="00D1587D" w:rsidRDefault="00410D07">
            <w:pPr>
              <w:rPr>
                <w:sz w:val="20"/>
                <w:szCs w:val="20"/>
              </w:rPr>
            </w:pPr>
            <w:r>
              <w:rPr>
                <w:rFonts w:ascii="Arial" w:eastAsia="Arial" w:hAnsi="Arial" w:cs="Arial"/>
                <w:sz w:val="18"/>
                <w:szCs w:val="18"/>
              </w:rPr>
              <w:t>Total Pro Forma Adjustment to Additional Paid-In Capital</w:t>
            </w:r>
          </w:p>
        </w:tc>
        <w:tc>
          <w:tcPr>
            <w:tcW w:w="220" w:type="dxa"/>
            <w:tcBorders>
              <w:top w:val="single" w:sz="8" w:space="0" w:color="auto"/>
              <w:bottom w:val="single" w:sz="8" w:space="0" w:color="CCEEFF"/>
            </w:tcBorders>
            <w:shd w:val="clear" w:color="auto" w:fill="CCEEFF"/>
            <w:vAlign w:val="bottom"/>
          </w:tcPr>
          <w:p w14:paraId="33DCBA29" w14:textId="77777777" w:rsidR="00D1587D" w:rsidRDefault="00410D07">
            <w:pPr>
              <w:jc w:val="right"/>
              <w:rPr>
                <w:sz w:val="20"/>
                <w:szCs w:val="20"/>
              </w:rPr>
            </w:pPr>
            <w:r>
              <w:rPr>
                <w:rFonts w:ascii="Arial" w:eastAsia="Arial" w:hAnsi="Arial" w:cs="Arial"/>
                <w:sz w:val="18"/>
                <w:szCs w:val="18"/>
              </w:rPr>
              <w:t>$</w:t>
            </w:r>
          </w:p>
        </w:tc>
        <w:tc>
          <w:tcPr>
            <w:tcW w:w="620" w:type="dxa"/>
            <w:tcBorders>
              <w:top w:val="single" w:sz="8" w:space="0" w:color="auto"/>
              <w:bottom w:val="single" w:sz="8" w:space="0" w:color="CCEEFF"/>
            </w:tcBorders>
            <w:shd w:val="clear" w:color="auto" w:fill="CCEEFF"/>
            <w:vAlign w:val="bottom"/>
          </w:tcPr>
          <w:p w14:paraId="35DE8918" w14:textId="77777777" w:rsidR="00D1587D" w:rsidRDefault="00410D07">
            <w:pPr>
              <w:ind w:right="33"/>
              <w:jc w:val="right"/>
              <w:rPr>
                <w:sz w:val="20"/>
                <w:szCs w:val="20"/>
              </w:rPr>
            </w:pPr>
            <w:r>
              <w:rPr>
                <w:rFonts w:ascii="Arial" w:eastAsia="Arial" w:hAnsi="Arial" w:cs="Arial"/>
                <w:sz w:val="18"/>
                <w:szCs w:val="18"/>
              </w:rPr>
              <w:t>95</w:t>
            </w:r>
          </w:p>
        </w:tc>
        <w:tc>
          <w:tcPr>
            <w:tcW w:w="120" w:type="dxa"/>
            <w:vAlign w:val="bottom"/>
          </w:tcPr>
          <w:p w14:paraId="353E1B29" w14:textId="77777777" w:rsidR="00D1587D" w:rsidRDefault="00D1587D">
            <w:pPr>
              <w:rPr>
                <w:sz w:val="24"/>
                <w:szCs w:val="24"/>
              </w:rPr>
            </w:pPr>
          </w:p>
        </w:tc>
      </w:tr>
      <w:tr w:rsidR="00D1587D" w14:paraId="70C5F598" w14:textId="77777777">
        <w:trPr>
          <w:trHeight w:val="20"/>
        </w:trPr>
        <w:tc>
          <w:tcPr>
            <w:tcW w:w="20" w:type="dxa"/>
            <w:vAlign w:val="bottom"/>
          </w:tcPr>
          <w:p w14:paraId="0F24FA98" w14:textId="77777777" w:rsidR="00D1587D" w:rsidRDefault="00D1587D">
            <w:pPr>
              <w:spacing w:line="20" w:lineRule="exact"/>
              <w:rPr>
                <w:sz w:val="1"/>
                <w:szCs w:val="1"/>
              </w:rPr>
            </w:pPr>
          </w:p>
        </w:tc>
        <w:tc>
          <w:tcPr>
            <w:tcW w:w="2940" w:type="dxa"/>
            <w:tcBorders>
              <w:top w:val="single" w:sz="8" w:space="0" w:color="CCEEFF"/>
            </w:tcBorders>
            <w:vAlign w:val="bottom"/>
          </w:tcPr>
          <w:p w14:paraId="18AE4C8C" w14:textId="77777777" w:rsidR="00D1587D" w:rsidRDefault="00D1587D">
            <w:pPr>
              <w:spacing w:line="20" w:lineRule="exact"/>
              <w:rPr>
                <w:sz w:val="1"/>
                <w:szCs w:val="1"/>
              </w:rPr>
            </w:pPr>
          </w:p>
        </w:tc>
        <w:tc>
          <w:tcPr>
            <w:tcW w:w="3680" w:type="dxa"/>
            <w:tcBorders>
              <w:top w:val="single" w:sz="8" w:space="0" w:color="CCEEFF"/>
            </w:tcBorders>
            <w:vAlign w:val="bottom"/>
          </w:tcPr>
          <w:p w14:paraId="71BB5A98" w14:textId="77777777" w:rsidR="00D1587D" w:rsidRDefault="00D1587D">
            <w:pPr>
              <w:spacing w:line="20" w:lineRule="exact"/>
              <w:rPr>
                <w:sz w:val="1"/>
                <w:szCs w:val="1"/>
              </w:rPr>
            </w:pPr>
          </w:p>
        </w:tc>
        <w:tc>
          <w:tcPr>
            <w:tcW w:w="240" w:type="dxa"/>
            <w:tcBorders>
              <w:top w:val="single" w:sz="8" w:space="0" w:color="CCEEFF"/>
            </w:tcBorders>
            <w:vAlign w:val="bottom"/>
          </w:tcPr>
          <w:p w14:paraId="3B8F5ADA" w14:textId="77777777" w:rsidR="00D1587D" w:rsidRDefault="00D1587D">
            <w:pPr>
              <w:spacing w:line="20" w:lineRule="exact"/>
              <w:rPr>
                <w:sz w:val="1"/>
                <w:szCs w:val="1"/>
              </w:rPr>
            </w:pPr>
          </w:p>
        </w:tc>
        <w:tc>
          <w:tcPr>
            <w:tcW w:w="220" w:type="dxa"/>
            <w:tcBorders>
              <w:top w:val="single" w:sz="8" w:space="0" w:color="auto"/>
            </w:tcBorders>
            <w:shd w:val="clear" w:color="auto" w:fill="000000"/>
            <w:vAlign w:val="bottom"/>
          </w:tcPr>
          <w:p w14:paraId="059D2AC0" w14:textId="77777777" w:rsidR="00D1587D" w:rsidRDefault="00D1587D">
            <w:pPr>
              <w:spacing w:line="20" w:lineRule="exact"/>
              <w:rPr>
                <w:sz w:val="1"/>
                <w:szCs w:val="1"/>
              </w:rPr>
            </w:pPr>
          </w:p>
        </w:tc>
        <w:tc>
          <w:tcPr>
            <w:tcW w:w="620" w:type="dxa"/>
            <w:tcBorders>
              <w:top w:val="single" w:sz="8" w:space="0" w:color="auto"/>
            </w:tcBorders>
            <w:shd w:val="clear" w:color="auto" w:fill="000000"/>
            <w:vAlign w:val="bottom"/>
          </w:tcPr>
          <w:p w14:paraId="797DBB26" w14:textId="77777777" w:rsidR="00D1587D" w:rsidRDefault="00D1587D">
            <w:pPr>
              <w:spacing w:line="20" w:lineRule="exact"/>
              <w:rPr>
                <w:sz w:val="1"/>
                <w:szCs w:val="1"/>
              </w:rPr>
            </w:pPr>
          </w:p>
        </w:tc>
        <w:tc>
          <w:tcPr>
            <w:tcW w:w="120" w:type="dxa"/>
            <w:vAlign w:val="bottom"/>
          </w:tcPr>
          <w:p w14:paraId="678191DF" w14:textId="77777777" w:rsidR="00D1587D" w:rsidRDefault="00D1587D">
            <w:pPr>
              <w:spacing w:line="20" w:lineRule="exact"/>
              <w:rPr>
                <w:sz w:val="1"/>
                <w:szCs w:val="1"/>
              </w:rPr>
            </w:pPr>
          </w:p>
        </w:tc>
      </w:tr>
    </w:tbl>
    <w:p w14:paraId="756BC366" w14:textId="77777777" w:rsidR="00D1587D" w:rsidRDefault="00410D07">
      <w:pPr>
        <w:spacing w:line="20" w:lineRule="exact"/>
        <w:rPr>
          <w:sz w:val="20"/>
          <w:szCs w:val="20"/>
        </w:rPr>
      </w:pPr>
      <w:r>
        <w:rPr>
          <w:noProof/>
          <w:sz w:val="20"/>
          <w:szCs w:val="20"/>
        </w:rPr>
        <w:drawing>
          <wp:anchor distT="0" distB="0" distL="114300" distR="114300" simplePos="0" relativeHeight="251564032" behindDoc="1" locked="0" layoutInCell="0" allowOverlap="1" wp14:anchorId="2332BBEA" wp14:editId="6C5FCF34">
            <wp:simplePos x="0" y="0"/>
            <wp:positionH relativeFrom="column">
              <wp:posOffset>4617085</wp:posOffset>
            </wp:positionH>
            <wp:positionV relativeFrom="paragraph">
              <wp:posOffset>-256540</wp:posOffset>
            </wp:positionV>
            <wp:extent cx="163195" cy="825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2"/>
                    <a:srcRect/>
                    <a:stretch>
                      <a:fillRect/>
                    </a:stretch>
                  </pic:blipFill>
                  <pic:spPr bwMode="auto">
                    <a:xfrm>
                      <a:off x="0" y="0"/>
                      <a:ext cx="163195" cy="8255"/>
                    </a:xfrm>
                    <a:prstGeom prst="rect">
                      <a:avLst/>
                    </a:prstGeom>
                    <a:noFill/>
                  </pic:spPr>
                </pic:pic>
              </a:graphicData>
            </a:graphic>
          </wp:anchor>
        </w:drawing>
      </w:r>
    </w:p>
    <w:p w14:paraId="42341192" w14:textId="77777777" w:rsidR="00D1587D" w:rsidRDefault="00D1587D">
      <w:pPr>
        <w:spacing w:line="74" w:lineRule="exact"/>
        <w:rPr>
          <w:sz w:val="20"/>
          <w:szCs w:val="20"/>
        </w:rPr>
      </w:pPr>
    </w:p>
    <w:p w14:paraId="6292EF12" w14:textId="77777777" w:rsidR="00D1587D" w:rsidRDefault="00410D07" w:rsidP="00410D07">
      <w:pPr>
        <w:numPr>
          <w:ilvl w:val="0"/>
          <w:numId w:val="276"/>
        </w:numPr>
        <w:tabs>
          <w:tab w:val="left" w:pos="640"/>
        </w:tabs>
        <w:spacing w:line="296" w:lineRule="auto"/>
        <w:ind w:left="640" w:right="339" w:hanging="348"/>
        <w:rPr>
          <w:rFonts w:ascii="Arial" w:eastAsia="Arial" w:hAnsi="Arial" w:cs="Arial"/>
          <w:sz w:val="16"/>
          <w:szCs w:val="16"/>
        </w:rPr>
      </w:pPr>
      <w:r>
        <w:rPr>
          <w:rFonts w:ascii="Arial" w:eastAsia="Arial" w:hAnsi="Arial" w:cs="Arial"/>
          <w:sz w:val="16"/>
          <w:szCs w:val="16"/>
        </w:rPr>
        <w:t xml:space="preserve">Reflects the removal of $5 million for the thirteen weeks ended May 1, 2021 </w:t>
      </w:r>
      <w:r>
        <w:rPr>
          <w:rFonts w:ascii="Arial" w:eastAsia="Arial" w:hAnsi="Arial" w:cs="Arial"/>
          <w:sz w:val="16"/>
          <w:szCs w:val="16"/>
        </w:rPr>
        <w:t>and $4 million for the year ended January 30, 2021 from the unaudited pro forma combined statements of income (loss), related to transaction costs paid to advisors, attorneys and other third parties directly related to the Separation. Transaction costs hav</w:t>
      </w:r>
      <w:r>
        <w:rPr>
          <w:rFonts w:ascii="Arial" w:eastAsia="Arial" w:hAnsi="Arial" w:cs="Arial"/>
          <w:sz w:val="16"/>
          <w:szCs w:val="16"/>
        </w:rPr>
        <w:t>e been eliminated as these costs are directly attributable to the Separation and are not expected to have a continuing impact on our operating results following consummation of the Separation.</w:t>
      </w:r>
    </w:p>
    <w:p w14:paraId="39EA67FF" w14:textId="77777777" w:rsidR="00D1587D" w:rsidRDefault="00D1587D">
      <w:pPr>
        <w:spacing w:line="53" w:lineRule="exact"/>
        <w:rPr>
          <w:rFonts w:ascii="Arial" w:eastAsia="Arial" w:hAnsi="Arial" w:cs="Arial"/>
          <w:sz w:val="16"/>
          <w:szCs w:val="16"/>
        </w:rPr>
      </w:pPr>
    </w:p>
    <w:p w14:paraId="70A46F09" w14:textId="77777777" w:rsidR="00D1587D" w:rsidRDefault="00410D07" w:rsidP="00410D07">
      <w:pPr>
        <w:numPr>
          <w:ilvl w:val="0"/>
          <w:numId w:val="276"/>
        </w:numPr>
        <w:tabs>
          <w:tab w:val="left" w:pos="640"/>
        </w:tabs>
        <w:spacing w:line="271" w:lineRule="auto"/>
        <w:ind w:left="640" w:right="299" w:hanging="348"/>
        <w:rPr>
          <w:rFonts w:ascii="Arial" w:eastAsia="Arial" w:hAnsi="Arial" w:cs="Arial"/>
          <w:sz w:val="17"/>
          <w:szCs w:val="17"/>
        </w:rPr>
      </w:pPr>
      <w:r>
        <w:rPr>
          <w:rFonts w:ascii="Arial" w:eastAsia="Arial" w:hAnsi="Arial" w:cs="Arial"/>
          <w:sz w:val="17"/>
          <w:szCs w:val="17"/>
        </w:rPr>
        <w:t>The adjustments assume that we will incur debt consisting of s</w:t>
      </w:r>
      <w:r>
        <w:rPr>
          <w:rFonts w:ascii="Arial" w:eastAsia="Arial" w:hAnsi="Arial" w:cs="Arial"/>
          <w:sz w:val="17"/>
          <w:szCs w:val="17"/>
        </w:rPr>
        <w:t>enior notes and/or term loan facilities and a revolving facility. We expect to incur up to $1.0 billion of new debt from senior notes and/or term loan facilities, the proceeds of which we intend to use to make the LB Cash Payment and to pay related fees an</w:t>
      </w:r>
      <w:r>
        <w:rPr>
          <w:rFonts w:ascii="Arial" w:eastAsia="Arial" w:hAnsi="Arial" w:cs="Arial"/>
          <w:sz w:val="17"/>
          <w:szCs w:val="17"/>
        </w:rPr>
        <w:t>d expenses. We currently estimate the debt will have an estimated weighted average interest rate of approximately 4.50%. The terms of such indebtedness are being negotiated and will be finalized prior to the Separation, and the pro forma adjustments may ch</w:t>
      </w:r>
      <w:r>
        <w:rPr>
          <w:rFonts w:ascii="Arial" w:eastAsia="Arial" w:hAnsi="Arial" w:cs="Arial"/>
          <w:sz w:val="17"/>
          <w:szCs w:val="17"/>
        </w:rPr>
        <w:t>ange accordingly. The adjustments also assume that we will incur estimated debt issuance fees of $25 million. We also expect to enter into an asset-based revolving facility, but no amount is expected to be drawn or used to fund the LB Cash Payment.</w:t>
      </w:r>
    </w:p>
    <w:p w14:paraId="6F449E75" w14:textId="77777777" w:rsidR="00D1587D" w:rsidRDefault="00D1587D">
      <w:pPr>
        <w:sectPr w:rsidR="00D1587D">
          <w:pgSz w:w="11900" w:h="16838"/>
          <w:pgMar w:top="265" w:right="1440" w:bottom="1440" w:left="1440" w:header="0" w:footer="0" w:gutter="0"/>
          <w:cols w:space="720" w:equalWidth="0">
            <w:col w:w="9019"/>
          </w:cols>
        </w:sectPr>
      </w:pPr>
    </w:p>
    <w:p w14:paraId="367FE7D0" w14:textId="77777777" w:rsidR="00D1587D" w:rsidRDefault="00D1587D">
      <w:pPr>
        <w:spacing w:line="200" w:lineRule="exact"/>
        <w:rPr>
          <w:sz w:val="20"/>
          <w:szCs w:val="20"/>
        </w:rPr>
      </w:pPr>
    </w:p>
    <w:p w14:paraId="63ECF366" w14:textId="77777777" w:rsidR="00D1587D" w:rsidRDefault="00D1587D">
      <w:pPr>
        <w:spacing w:line="200" w:lineRule="exact"/>
        <w:rPr>
          <w:sz w:val="20"/>
          <w:szCs w:val="20"/>
        </w:rPr>
      </w:pPr>
    </w:p>
    <w:p w14:paraId="14426BEB" w14:textId="77777777" w:rsidR="00D1587D" w:rsidRDefault="00D1587D">
      <w:pPr>
        <w:spacing w:line="200" w:lineRule="exact"/>
        <w:rPr>
          <w:sz w:val="20"/>
          <w:szCs w:val="20"/>
        </w:rPr>
      </w:pPr>
    </w:p>
    <w:p w14:paraId="5332E45F" w14:textId="77777777" w:rsidR="00D1587D" w:rsidRDefault="00D1587D">
      <w:pPr>
        <w:spacing w:line="348" w:lineRule="exact"/>
        <w:rPr>
          <w:sz w:val="20"/>
          <w:szCs w:val="20"/>
        </w:rPr>
      </w:pPr>
    </w:p>
    <w:p w14:paraId="626FEDB9" w14:textId="77777777" w:rsidR="00D1587D" w:rsidRDefault="00410D07">
      <w:pPr>
        <w:spacing w:line="277" w:lineRule="auto"/>
        <w:ind w:left="840" w:hanging="179"/>
        <w:rPr>
          <w:sz w:val="20"/>
          <w:szCs w:val="20"/>
        </w:rPr>
      </w:pPr>
      <w:r>
        <w:rPr>
          <w:rFonts w:ascii="Arial" w:eastAsia="Arial" w:hAnsi="Arial" w:cs="Arial"/>
          <w:sz w:val="18"/>
          <w:szCs w:val="18"/>
        </w:rPr>
        <w:t>Interest Expense on Total Debt at Estimated Weighted Average Rate of Approximately 4.50%</w:t>
      </w:r>
    </w:p>
    <w:p w14:paraId="7AFFAA8B" w14:textId="77777777" w:rsidR="00D1587D" w:rsidRDefault="00410D07">
      <w:pPr>
        <w:spacing w:line="20" w:lineRule="exact"/>
        <w:rPr>
          <w:sz w:val="20"/>
          <w:szCs w:val="20"/>
        </w:rPr>
      </w:pPr>
      <w:r>
        <w:rPr>
          <w:noProof/>
          <w:sz w:val="20"/>
          <w:szCs w:val="20"/>
        </w:rPr>
        <w:drawing>
          <wp:anchor distT="0" distB="0" distL="114300" distR="114300" simplePos="0" relativeHeight="251565056" behindDoc="1" locked="0" layoutInCell="0" allowOverlap="1" wp14:anchorId="329CFDDF" wp14:editId="4BC410C7">
            <wp:simplePos x="0" y="0"/>
            <wp:positionH relativeFrom="column">
              <wp:posOffset>416560</wp:posOffset>
            </wp:positionH>
            <wp:positionV relativeFrom="paragraph">
              <wp:posOffset>-336550</wp:posOffset>
            </wp:positionV>
            <wp:extent cx="4886325" cy="351790"/>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3"/>
                    <a:srcRect/>
                    <a:stretch>
                      <a:fillRect/>
                    </a:stretch>
                  </pic:blipFill>
                  <pic:spPr bwMode="auto">
                    <a:xfrm>
                      <a:off x="0" y="0"/>
                      <a:ext cx="4886325" cy="351790"/>
                    </a:xfrm>
                    <a:prstGeom prst="rect">
                      <a:avLst/>
                    </a:prstGeom>
                    <a:noFill/>
                  </pic:spPr>
                </pic:pic>
              </a:graphicData>
            </a:graphic>
          </wp:anchor>
        </w:drawing>
      </w:r>
    </w:p>
    <w:p w14:paraId="3D3E9C9E" w14:textId="77777777" w:rsidR="00D1587D" w:rsidRDefault="00D1587D">
      <w:pPr>
        <w:spacing w:line="42" w:lineRule="exact"/>
        <w:rPr>
          <w:sz w:val="20"/>
          <w:szCs w:val="20"/>
        </w:rPr>
      </w:pPr>
    </w:p>
    <w:p w14:paraId="260B38A2" w14:textId="77777777" w:rsidR="00D1587D" w:rsidRDefault="00410D07">
      <w:pPr>
        <w:ind w:left="660"/>
        <w:rPr>
          <w:sz w:val="20"/>
          <w:szCs w:val="20"/>
        </w:rPr>
      </w:pPr>
      <w:r>
        <w:rPr>
          <w:rFonts w:ascii="Arial" w:eastAsia="Arial" w:hAnsi="Arial" w:cs="Arial"/>
          <w:sz w:val="18"/>
          <w:szCs w:val="18"/>
        </w:rPr>
        <w:t>Amortization of Debt Issuance Costs</w:t>
      </w:r>
    </w:p>
    <w:p w14:paraId="17887386" w14:textId="77777777" w:rsidR="00D1587D" w:rsidRDefault="00410D07">
      <w:pPr>
        <w:spacing w:line="20" w:lineRule="exact"/>
        <w:rPr>
          <w:sz w:val="20"/>
          <w:szCs w:val="20"/>
        </w:rPr>
      </w:pPr>
      <w:r>
        <w:rPr>
          <w:noProof/>
          <w:sz w:val="20"/>
          <w:szCs w:val="20"/>
        </w:rPr>
        <w:drawing>
          <wp:anchor distT="0" distB="0" distL="114300" distR="114300" simplePos="0" relativeHeight="251566080" behindDoc="1" locked="0" layoutInCell="0" allowOverlap="1" wp14:anchorId="3BC4880C" wp14:editId="7DA40175">
            <wp:simplePos x="0" y="0"/>
            <wp:positionH relativeFrom="column">
              <wp:posOffset>416560</wp:posOffset>
            </wp:positionH>
            <wp:positionV relativeFrom="paragraph">
              <wp:posOffset>57785</wp:posOffset>
            </wp:positionV>
            <wp:extent cx="4886325" cy="240030"/>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4"/>
                    <a:srcRect/>
                    <a:stretch>
                      <a:fillRect/>
                    </a:stretch>
                  </pic:blipFill>
                  <pic:spPr bwMode="auto">
                    <a:xfrm>
                      <a:off x="0" y="0"/>
                      <a:ext cx="4886325" cy="240030"/>
                    </a:xfrm>
                    <a:prstGeom prst="rect">
                      <a:avLst/>
                    </a:prstGeom>
                    <a:noFill/>
                  </pic:spPr>
                </pic:pic>
              </a:graphicData>
            </a:graphic>
          </wp:anchor>
        </w:drawing>
      </w:r>
    </w:p>
    <w:p w14:paraId="68C498E5" w14:textId="77777777" w:rsidR="00D1587D" w:rsidRDefault="00D1587D">
      <w:pPr>
        <w:spacing w:line="165" w:lineRule="exact"/>
        <w:rPr>
          <w:sz w:val="20"/>
          <w:szCs w:val="20"/>
        </w:rPr>
      </w:pPr>
    </w:p>
    <w:p w14:paraId="592A7264" w14:textId="77777777" w:rsidR="00D1587D" w:rsidRDefault="00410D07">
      <w:pPr>
        <w:ind w:left="660"/>
        <w:rPr>
          <w:sz w:val="20"/>
          <w:szCs w:val="20"/>
        </w:rPr>
      </w:pPr>
      <w:r>
        <w:rPr>
          <w:rFonts w:ascii="Arial" w:eastAsia="Arial" w:hAnsi="Arial" w:cs="Arial"/>
          <w:sz w:val="18"/>
          <w:szCs w:val="18"/>
        </w:rPr>
        <w:t>Total Interest Expense from Debt</w:t>
      </w:r>
    </w:p>
    <w:p w14:paraId="4C734111" w14:textId="77777777" w:rsidR="00D1587D" w:rsidRDefault="00410D07">
      <w:pPr>
        <w:spacing w:line="20" w:lineRule="exact"/>
        <w:rPr>
          <w:sz w:val="20"/>
          <w:szCs w:val="20"/>
        </w:rPr>
      </w:pPr>
      <w:r>
        <w:rPr>
          <w:sz w:val="20"/>
          <w:szCs w:val="20"/>
        </w:rPr>
        <w:br w:type="column"/>
      </w:r>
    </w:p>
    <w:p w14:paraId="7C9401BD" w14:textId="77777777" w:rsidR="00D1587D" w:rsidRDefault="00D1587D">
      <w:pPr>
        <w:spacing w:line="190" w:lineRule="exact"/>
        <w:rPr>
          <w:sz w:val="20"/>
          <w:szCs w:val="20"/>
        </w:rPr>
      </w:pPr>
    </w:p>
    <w:p w14:paraId="5513A453" w14:textId="77777777" w:rsidR="00D1587D" w:rsidRDefault="00410D07">
      <w:pPr>
        <w:tabs>
          <w:tab w:val="left" w:pos="1580"/>
        </w:tabs>
        <w:ind w:left="120"/>
        <w:rPr>
          <w:sz w:val="20"/>
          <w:szCs w:val="20"/>
        </w:rPr>
      </w:pPr>
      <w:r>
        <w:rPr>
          <w:rFonts w:ascii="Arial" w:eastAsia="Arial" w:hAnsi="Arial" w:cs="Arial"/>
          <w:b/>
          <w:bCs/>
          <w:sz w:val="14"/>
          <w:szCs w:val="14"/>
        </w:rPr>
        <w:t>Thirteen Weeks</w:t>
      </w:r>
      <w:r>
        <w:rPr>
          <w:sz w:val="20"/>
          <w:szCs w:val="20"/>
        </w:rPr>
        <w:tab/>
      </w:r>
      <w:r>
        <w:rPr>
          <w:rFonts w:ascii="Arial" w:eastAsia="Arial" w:hAnsi="Arial" w:cs="Arial"/>
          <w:b/>
          <w:bCs/>
          <w:sz w:val="13"/>
          <w:szCs w:val="13"/>
        </w:rPr>
        <w:t>Year Ended</w:t>
      </w:r>
    </w:p>
    <w:p w14:paraId="6D93D6F2" w14:textId="77777777" w:rsidR="00D1587D" w:rsidRDefault="00D1587D">
      <w:pPr>
        <w:spacing w:line="4" w:lineRule="exact"/>
        <w:rPr>
          <w:sz w:val="20"/>
          <w:szCs w:val="20"/>
        </w:rPr>
      </w:pPr>
    </w:p>
    <w:p w14:paraId="5BA9F71A" w14:textId="77777777" w:rsidR="00D1587D" w:rsidRDefault="00410D07">
      <w:pPr>
        <w:tabs>
          <w:tab w:val="left" w:pos="220"/>
        </w:tabs>
        <w:ind w:right="679"/>
        <w:jc w:val="center"/>
        <w:rPr>
          <w:sz w:val="20"/>
          <w:szCs w:val="20"/>
        </w:rPr>
      </w:pPr>
      <w:r>
        <w:rPr>
          <w:rFonts w:ascii="Arial" w:eastAsia="Arial" w:hAnsi="Arial" w:cs="Arial"/>
          <w:b/>
          <w:bCs/>
          <w:sz w:val="14"/>
          <w:szCs w:val="14"/>
        </w:rPr>
        <w:t>Ended May 1, 2021</w:t>
      </w:r>
      <w:r>
        <w:rPr>
          <w:sz w:val="20"/>
          <w:szCs w:val="20"/>
        </w:rPr>
        <w:tab/>
      </w:r>
      <w:r>
        <w:rPr>
          <w:rFonts w:ascii="Arial" w:eastAsia="Arial" w:hAnsi="Arial" w:cs="Arial"/>
          <w:b/>
          <w:bCs/>
          <w:sz w:val="13"/>
          <w:szCs w:val="13"/>
        </w:rPr>
        <w:t>January 30, 2021</w:t>
      </w:r>
    </w:p>
    <w:p w14:paraId="22797D95" w14:textId="77777777" w:rsidR="00D1587D" w:rsidRDefault="00410D07">
      <w:pPr>
        <w:spacing w:line="20" w:lineRule="exact"/>
        <w:rPr>
          <w:sz w:val="20"/>
          <w:szCs w:val="20"/>
        </w:rPr>
      </w:pPr>
      <w:r>
        <w:rPr>
          <w:noProof/>
          <w:sz w:val="20"/>
          <w:szCs w:val="20"/>
        </w:rPr>
        <w:drawing>
          <wp:anchor distT="0" distB="0" distL="114300" distR="114300" simplePos="0" relativeHeight="251567104" behindDoc="1" locked="0" layoutInCell="0" allowOverlap="1" wp14:anchorId="17D8E230" wp14:editId="766A0880">
            <wp:simplePos x="0" y="0"/>
            <wp:positionH relativeFrom="column">
              <wp:posOffset>-3175</wp:posOffset>
            </wp:positionH>
            <wp:positionV relativeFrom="paragraph">
              <wp:posOffset>39370</wp:posOffset>
            </wp:positionV>
            <wp:extent cx="1586230" cy="8255"/>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5"/>
                    <a:srcRect/>
                    <a:stretch>
                      <a:fillRect/>
                    </a:stretch>
                  </pic:blipFill>
                  <pic:spPr bwMode="auto">
                    <a:xfrm>
                      <a:off x="0" y="0"/>
                      <a:ext cx="1586230" cy="8255"/>
                    </a:xfrm>
                    <a:prstGeom prst="rect">
                      <a:avLst/>
                    </a:prstGeom>
                    <a:noFill/>
                  </pic:spPr>
                </pic:pic>
              </a:graphicData>
            </a:graphic>
          </wp:anchor>
        </w:drawing>
      </w:r>
    </w:p>
    <w:p w14:paraId="29D38E81" w14:textId="77777777" w:rsidR="00D1587D" w:rsidRDefault="00D1587D">
      <w:pPr>
        <w:spacing w:line="100" w:lineRule="exact"/>
        <w:rPr>
          <w:sz w:val="20"/>
          <w:szCs w:val="20"/>
        </w:rPr>
      </w:pPr>
    </w:p>
    <w:p w14:paraId="340EA861" w14:textId="77777777" w:rsidR="00D1587D" w:rsidRDefault="00410D07">
      <w:pPr>
        <w:ind w:right="679"/>
        <w:jc w:val="center"/>
        <w:rPr>
          <w:sz w:val="20"/>
          <w:szCs w:val="20"/>
        </w:rPr>
      </w:pPr>
      <w:r>
        <w:rPr>
          <w:rFonts w:ascii="Arial" w:eastAsia="Arial" w:hAnsi="Arial" w:cs="Arial"/>
          <w:b/>
          <w:bCs/>
          <w:sz w:val="14"/>
          <w:szCs w:val="14"/>
        </w:rPr>
        <w:t>(dollars in millions)</w:t>
      </w:r>
    </w:p>
    <w:p w14:paraId="315E6FF3" w14:textId="77777777" w:rsidR="00D1587D" w:rsidRDefault="00D1587D">
      <w:pPr>
        <w:spacing w:line="347" w:lineRule="exact"/>
        <w:rPr>
          <w:sz w:val="20"/>
          <w:szCs w:val="20"/>
        </w:rPr>
      </w:pPr>
    </w:p>
    <w:p w14:paraId="0EF98789" w14:textId="77777777" w:rsidR="00D1587D" w:rsidRDefault="00410D07">
      <w:pPr>
        <w:tabs>
          <w:tab w:val="left" w:pos="1780"/>
        </w:tabs>
        <w:ind w:left="440"/>
        <w:rPr>
          <w:sz w:val="20"/>
          <w:szCs w:val="20"/>
        </w:rPr>
      </w:pPr>
      <w:r>
        <w:rPr>
          <w:rFonts w:ascii="Arial" w:eastAsia="Arial" w:hAnsi="Arial" w:cs="Arial"/>
          <w:sz w:val="18"/>
          <w:szCs w:val="18"/>
        </w:rPr>
        <w:t>$(11)</w:t>
      </w:r>
      <w:r>
        <w:rPr>
          <w:sz w:val="20"/>
          <w:szCs w:val="20"/>
        </w:rPr>
        <w:tab/>
      </w:r>
      <w:r>
        <w:rPr>
          <w:rFonts w:ascii="Arial" w:eastAsia="Arial" w:hAnsi="Arial" w:cs="Arial"/>
          <w:sz w:val="16"/>
          <w:szCs w:val="16"/>
        </w:rPr>
        <w:t>$(45)</w:t>
      </w:r>
    </w:p>
    <w:p w14:paraId="15D14679" w14:textId="77777777" w:rsidR="00D1587D" w:rsidRDefault="00D1587D">
      <w:pPr>
        <w:spacing w:line="117" w:lineRule="exact"/>
        <w:rPr>
          <w:sz w:val="20"/>
          <w:szCs w:val="20"/>
        </w:rPr>
      </w:pPr>
    </w:p>
    <w:p w14:paraId="1889502C" w14:textId="77777777" w:rsidR="00D1587D" w:rsidRDefault="00410D07" w:rsidP="00410D07">
      <w:pPr>
        <w:numPr>
          <w:ilvl w:val="0"/>
          <w:numId w:val="277"/>
        </w:numPr>
        <w:tabs>
          <w:tab w:val="left" w:pos="1960"/>
        </w:tabs>
        <w:ind w:left="1960" w:hanging="1350"/>
        <w:rPr>
          <w:rFonts w:ascii="Arial" w:eastAsia="Arial" w:hAnsi="Arial" w:cs="Arial"/>
          <w:sz w:val="18"/>
          <w:szCs w:val="18"/>
        </w:rPr>
      </w:pPr>
      <w:r>
        <w:rPr>
          <w:rFonts w:ascii="Arial" w:eastAsia="Arial" w:hAnsi="Arial" w:cs="Arial"/>
          <w:sz w:val="18"/>
          <w:szCs w:val="18"/>
        </w:rPr>
        <w:t>(3)</w:t>
      </w:r>
    </w:p>
    <w:p w14:paraId="66D57502" w14:textId="77777777" w:rsidR="00D1587D" w:rsidRDefault="00D1587D">
      <w:pPr>
        <w:spacing w:line="157" w:lineRule="exact"/>
        <w:rPr>
          <w:rFonts w:ascii="Arial" w:eastAsia="Arial" w:hAnsi="Arial" w:cs="Arial"/>
          <w:sz w:val="18"/>
          <w:szCs w:val="18"/>
        </w:rPr>
      </w:pPr>
    </w:p>
    <w:p w14:paraId="25F6C371" w14:textId="77777777" w:rsidR="00D1587D" w:rsidRDefault="00410D07">
      <w:pPr>
        <w:ind w:left="440"/>
        <w:rPr>
          <w:rFonts w:ascii="Arial" w:eastAsia="Arial" w:hAnsi="Arial" w:cs="Arial"/>
          <w:sz w:val="18"/>
          <w:szCs w:val="18"/>
        </w:rPr>
      </w:pPr>
      <w:r>
        <w:rPr>
          <w:rFonts w:ascii="Arial" w:eastAsia="Arial" w:hAnsi="Arial" w:cs="Arial"/>
          <w:sz w:val="18"/>
          <w:szCs w:val="18"/>
        </w:rPr>
        <w:t>$(12)</w:t>
      </w:r>
      <w:r>
        <w:rPr>
          <w:rFonts w:ascii="Arial" w:eastAsia="Arial" w:hAnsi="Arial" w:cs="Arial"/>
          <w:sz w:val="16"/>
          <w:szCs w:val="16"/>
        </w:rPr>
        <w:t>$(48)</w:t>
      </w:r>
    </w:p>
    <w:p w14:paraId="06B4873E" w14:textId="77777777" w:rsidR="00D1587D" w:rsidRDefault="00410D07">
      <w:pPr>
        <w:spacing w:line="20" w:lineRule="exact"/>
        <w:rPr>
          <w:sz w:val="20"/>
          <w:szCs w:val="20"/>
        </w:rPr>
      </w:pPr>
      <w:r>
        <w:rPr>
          <w:noProof/>
          <w:sz w:val="20"/>
          <w:szCs w:val="20"/>
        </w:rPr>
        <w:drawing>
          <wp:anchor distT="0" distB="0" distL="114300" distR="114300" simplePos="0" relativeHeight="251568128" behindDoc="1" locked="0" layoutInCell="0" allowOverlap="1" wp14:anchorId="5CD51820" wp14:editId="760B66C1">
            <wp:simplePos x="0" y="0"/>
            <wp:positionH relativeFrom="column">
              <wp:posOffset>-71755</wp:posOffset>
            </wp:positionH>
            <wp:positionV relativeFrom="paragraph">
              <wp:posOffset>66040</wp:posOffset>
            </wp:positionV>
            <wp:extent cx="1654175" cy="17145"/>
            <wp:effectExtent l="0" t="0" r="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6"/>
                    <a:srcRect/>
                    <a:stretch>
                      <a:fillRect/>
                    </a:stretch>
                  </pic:blipFill>
                  <pic:spPr bwMode="auto">
                    <a:xfrm>
                      <a:off x="0" y="0"/>
                      <a:ext cx="1654175" cy="17145"/>
                    </a:xfrm>
                    <a:prstGeom prst="rect">
                      <a:avLst/>
                    </a:prstGeom>
                    <a:noFill/>
                  </pic:spPr>
                </pic:pic>
              </a:graphicData>
            </a:graphic>
          </wp:anchor>
        </w:drawing>
      </w:r>
    </w:p>
    <w:p w14:paraId="56B50A0C" w14:textId="77777777" w:rsidR="00D1587D" w:rsidRDefault="00D1587D">
      <w:pPr>
        <w:spacing w:line="225" w:lineRule="exact"/>
        <w:rPr>
          <w:sz w:val="20"/>
          <w:szCs w:val="20"/>
        </w:rPr>
      </w:pPr>
    </w:p>
    <w:p w14:paraId="7A4F54DC" w14:textId="77777777" w:rsidR="00D1587D" w:rsidRDefault="00D1587D">
      <w:pPr>
        <w:sectPr w:rsidR="00D1587D">
          <w:type w:val="continuous"/>
          <w:pgSz w:w="11900" w:h="16838"/>
          <w:pgMar w:top="265" w:right="1440" w:bottom="1440" w:left="1440" w:header="0" w:footer="0" w:gutter="0"/>
          <w:cols w:num="2" w:space="720" w:equalWidth="0">
            <w:col w:w="5560" w:space="300"/>
            <w:col w:w="3159"/>
          </w:cols>
        </w:sectPr>
      </w:pPr>
    </w:p>
    <w:p w14:paraId="50776858" w14:textId="77777777" w:rsidR="00D1587D" w:rsidRDefault="00410D07">
      <w:pPr>
        <w:spacing w:line="277" w:lineRule="auto"/>
        <w:ind w:left="640" w:right="519"/>
        <w:rPr>
          <w:sz w:val="20"/>
          <w:szCs w:val="20"/>
        </w:rPr>
      </w:pPr>
      <w:r>
        <w:rPr>
          <w:rFonts w:ascii="Arial" w:eastAsia="Arial" w:hAnsi="Arial" w:cs="Arial"/>
          <w:sz w:val="18"/>
          <w:szCs w:val="18"/>
        </w:rPr>
        <w:t>A 1/8% variance in the estimated weighted average interest rate on the debt would change the annual interest expense by approximately $1 million.</w:t>
      </w:r>
    </w:p>
    <w:p w14:paraId="0FEACB84" w14:textId="77777777" w:rsidR="00D1587D" w:rsidRDefault="00D1587D">
      <w:pPr>
        <w:spacing w:line="62" w:lineRule="exact"/>
        <w:rPr>
          <w:sz w:val="20"/>
          <w:szCs w:val="20"/>
        </w:rPr>
      </w:pPr>
    </w:p>
    <w:p w14:paraId="3D8E4EBC" w14:textId="77777777" w:rsidR="00D1587D" w:rsidRDefault="00410D07">
      <w:pPr>
        <w:tabs>
          <w:tab w:val="left" w:pos="620"/>
        </w:tabs>
        <w:spacing w:line="291" w:lineRule="auto"/>
        <w:ind w:left="640" w:right="399" w:hanging="339"/>
        <w:jc w:val="both"/>
        <w:rPr>
          <w:sz w:val="20"/>
          <w:szCs w:val="20"/>
        </w:rPr>
      </w:pPr>
      <w:r>
        <w:rPr>
          <w:rFonts w:ascii="Arial" w:eastAsia="Arial" w:hAnsi="Arial" w:cs="Arial"/>
          <w:sz w:val="16"/>
          <w:szCs w:val="16"/>
        </w:rPr>
        <w:t>(g)</w:t>
      </w:r>
      <w:r>
        <w:rPr>
          <w:rFonts w:ascii="Arial" w:eastAsia="Arial" w:hAnsi="Arial" w:cs="Arial"/>
          <w:sz w:val="16"/>
          <w:szCs w:val="16"/>
        </w:rPr>
        <w:tab/>
        <w:t xml:space="preserve">Pro forma basic </w:t>
      </w:r>
      <w:r>
        <w:rPr>
          <w:rFonts w:ascii="Arial" w:eastAsia="Arial" w:hAnsi="Arial" w:cs="Arial"/>
          <w:sz w:val="16"/>
          <w:szCs w:val="16"/>
        </w:rPr>
        <w:t>earnings per share (EPS) and pro forma basic weighted average number of shares outstanding are based on the number of LB basic weighted average shares outstanding for the thirteen weeks ended May 1,</w:t>
      </w:r>
    </w:p>
    <w:p w14:paraId="176F5C97" w14:textId="77777777" w:rsidR="00D1587D" w:rsidRDefault="00410D07">
      <w:pPr>
        <w:spacing w:line="260" w:lineRule="auto"/>
        <w:ind w:left="640" w:right="939"/>
        <w:rPr>
          <w:sz w:val="20"/>
          <w:szCs w:val="20"/>
        </w:rPr>
      </w:pPr>
      <w:r>
        <w:rPr>
          <w:rFonts w:ascii="Arial" w:eastAsia="Arial" w:hAnsi="Arial" w:cs="Arial"/>
          <w:sz w:val="18"/>
          <w:szCs w:val="18"/>
        </w:rPr>
        <w:t>2021, adjusted for a distribution ratio of one share of o</w:t>
      </w:r>
      <w:r>
        <w:rPr>
          <w:rFonts w:ascii="Arial" w:eastAsia="Arial" w:hAnsi="Arial" w:cs="Arial"/>
          <w:sz w:val="18"/>
          <w:szCs w:val="18"/>
        </w:rPr>
        <w:t>ur common stock for every shares of LB common stock.</w:t>
      </w:r>
    </w:p>
    <w:p w14:paraId="263FBB9D" w14:textId="77777777" w:rsidR="00D1587D" w:rsidRDefault="00D1587D">
      <w:pPr>
        <w:spacing w:line="77" w:lineRule="exact"/>
        <w:rPr>
          <w:sz w:val="20"/>
          <w:szCs w:val="20"/>
        </w:rPr>
      </w:pPr>
    </w:p>
    <w:p w14:paraId="760D36B2" w14:textId="77777777" w:rsidR="00D1587D" w:rsidRDefault="00410D07" w:rsidP="00410D07">
      <w:pPr>
        <w:numPr>
          <w:ilvl w:val="0"/>
          <w:numId w:val="278"/>
        </w:numPr>
        <w:tabs>
          <w:tab w:val="left" w:pos="640"/>
        </w:tabs>
        <w:spacing w:line="257" w:lineRule="auto"/>
        <w:ind w:left="640" w:right="459" w:hanging="348"/>
        <w:rPr>
          <w:rFonts w:ascii="Arial" w:eastAsia="Arial" w:hAnsi="Arial" w:cs="Arial"/>
          <w:sz w:val="18"/>
          <w:szCs w:val="18"/>
        </w:rPr>
      </w:pPr>
      <w:r>
        <w:rPr>
          <w:rFonts w:ascii="Arial" w:eastAsia="Arial" w:hAnsi="Arial" w:cs="Arial"/>
          <w:sz w:val="18"/>
          <w:szCs w:val="18"/>
        </w:rPr>
        <w:t xml:space="preserve">Pro forma diluted EPS and pro forma diluted weighted average number of shares outstanding are based on the number of basic shares of our common stock as described in Note (g) above. The actual </w:t>
      </w:r>
      <w:r>
        <w:rPr>
          <w:rFonts w:ascii="Arial" w:eastAsia="Arial" w:hAnsi="Arial" w:cs="Arial"/>
          <w:sz w:val="18"/>
          <w:szCs w:val="18"/>
        </w:rPr>
        <w:t>dilutive effect following the completion of the Separation will depend on various factors, including employees who may change employment between VS and LB and the impact of equity-based compensation arrangements. We cannot fully estimate the dilutive effec</w:t>
      </w:r>
      <w:r>
        <w:rPr>
          <w:rFonts w:ascii="Arial" w:eastAsia="Arial" w:hAnsi="Arial" w:cs="Arial"/>
          <w:sz w:val="18"/>
          <w:szCs w:val="18"/>
        </w:rPr>
        <w:t>ts at this time.</w:t>
      </w:r>
    </w:p>
    <w:p w14:paraId="73F8417F" w14:textId="77777777" w:rsidR="00D1587D" w:rsidRDefault="00D1587D">
      <w:pPr>
        <w:spacing w:line="188" w:lineRule="exact"/>
        <w:rPr>
          <w:sz w:val="20"/>
          <w:szCs w:val="20"/>
        </w:rPr>
      </w:pPr>
    </w:p>
    <w:p w14:paraId="15F5A8A4" w14:textId="77777777" w:rsidR="00D1587D" w:rsidRDefault="00410D07">
      <w:pPr>
        <w:jc w:val="center"/>
        <w:rPr>
          <w:sz w:val="20"/>
          <w:szCs w:val="20"/>
        </w:rPr>
      </w:pPr>
      <w:r>
        <w:rPr>
          <w:rFonts w:ascii="Arial" w:eastAsia="Arial" w:hAnsi="Arial" w:cs="Arial"/>
          <w:sz w:val="18"/>
          <w:szCs w:val="18"/>
        </w:rPr>
        <w:t>61</w:t>
      </w:r>
    </w:p>
    <w:p w14:paraId="0C5346AA" w14:textId="77777777" w:rsidR="00D1587D" w:rsidRDefault="00410D07">
      <w:pPr>
        <w:spacing w:line="20" w:lineRule="exact"/>
        <w:rPr>
          <w:sz w:val="20"/>
          <w:szCs w:val="20"/>
        </w:rPr>
      </w:pPr>
      <w:r>
        <w:rPr>
          <w:noProof/>
          <w:sz w:val="20"/>
          <w:szCs w:val="20"/>
        </w:rPr>
        <w:drawing>
          <wp:anchor distT="0" distB="0" distL="114300" distR="114300" simplePos="0" relativeHeight="251569152" behindDoc="1" locked="0" layoutInCell="0" allowOverlap="1" wp14:anchorId="2E71DFDE" wp14:editId="61A614E6">
            <wp:simplePos x="0" y="0"/>
            <wp:positionH relativeFrom="column">
              <wp:posOffset>-636905</wp:posOffset>
            </wp:positionH>
            <wp:positionV relativeFrom="paragraph">
              <wp:posOffset>126365</wp:posOffset>
            </wp:positionV>
            <wp:extent cx="6995160" cy="17145"/>
            <wp:effectExtent l="0" t="0" r="0" b="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1CAAC3D"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19" w:name="page320"/>
    <w:bookmarkEnd w:id="319"/>
    <w:p w14:paraId="073EA11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8B7A03E" w14:textId="77777777" w:rsidR="00D1587D" w:rsidRDefault="00D1587D">
      <w:pPr>
        <w:spacing w:line="127" w:lineRule="exact"/>
        <w:rPr>
          <w:sz w:val="20"/>
          <w:szCs w:val="20"/>
        </w:rPr>
      </w:pPr>
    </w:p>
    <w:p w14:paraId="078B21AD" w14:textId="77777777" w:rsidR="00D1587D" w:rsidRDefault="00410D07">
      <w:pPr>
        <w:jc w:val="center"/>
        <w:rPr>
          <w:sz w:val="20"/>
          <w:szCs w:val="20"/>
        </w:rPr>
      </w:pPr>
      <w:r>
        <w:rPr>
          <w:rFonts w:ascii="Arial" w:eastAsia="Arial" w:hAnsi="Arial" w:cs="Arial"/>
          <w:b/>
          <w:bCs/>
          <w:sz w:val="18"/>
          <w:szCs w:val="18"/>
        </w:rPr>
        <w:t>SELECTED HISTORICAL COMBINED FINANCIAL DATA</w:t>
      </w:r>
    </w:p>
    <w:p w14:paraId="7F979155" w14:textId="77777777" w:rsidR="00D1587D" w:rsidRDefault="00D1587D">
      <w:pPr>
        <w:spacing w:line="121" w:lineRule="exact"/>
        <w:rPr>
          <w:sz w:val="20"/>
          <w:szCs w:val="20"/>
        </w:rPr>
      </w:pPr>
    </w:p>
    <w:p w14:paraId="74AF5F83" w14:textId="77777777" w:rsidR="00D1587D" w:rsidRDefault="00410D07">
      <w:pPr>
        <w:spacing w:line="269" w:lineRule="auto"/>
        <w:ind w:left="300" w:right="339" w:firstLine="360"/>
        <w:rPr>
          <w:sz w:val="20"/>
          <w:szCs w:val="20"/>
        </w:rPr>
      </w:pPr>
      <w:r>
        <w:rPr>
          <w:rFonts w:ascii="Arial" w:eastAsia="Arial" w:hAnsi="Arial" w:cs="Arial"/>
          <w:sz w:val="17"/>
          <w:szCs w:val="17"/>
        </w:rPr>
        <w:t xml:space="preserve">The following table presents our selected historical combined financial data as of and for the thirteen weeks ended </w:t>
      </w:r>
      <w:r>
        <w:rPr>
          <w:rFonts w:ascii="Arial" w:eastAsia="Arial" w:hAnsi="Arial" w:cs="Arial"/>
          <w:sz w:val="17"/>
          <w:szCs w:val="17"/>
        </w:rPr>
        <w:t>May 1, 2021 and May 2, 2020 and for each of the years in the three-year period ended January 30, 2021. We derived the selected historical combined financial data as of January 30, 2021 and February 1, 2020, and for each of the years in the three-year perio</w:t>
      </w:r>
      <w:r>
        <w:rPr>
          <w:rFonts w:ascii="Arial" w:eastAsia="Arial" w:hAnsi="Arial" w:cs="Arial"/>
          <w:sz w:val="17"/>
          <w:szCs w:val="17"/>
        </w:rPr>
        <w:t>d ended January 30, 2021, from our audited combined financial statements included elsewhere in this information statement. We derived the selected historical combined financial data as of February 2, 2019 from our unaudited combined financial information t</w:t>
      </w:r>
      <w:r>
        <w:rPr>
          <w:rFonts w:ascii="Arial" w:eastAsia="Arial" w:hAnsi="Arial" w:cs="Arial"/>
          <w:sz w:val="17"/>
          <w:szCs w:val="17"/>
        </w:rPr>
        <w:t>hat is not included in this information statement. We derived the selected historical combined financial data as of and for the thirteen weeks May 1, 2021 and May 2, 2020 from our unaudited interim combined financial statements included elsewhere in this i</w:t>
      </w:r>
      <w:r>
        <w:rPr>
          <w:rFonts w:ascii="Arial" w:eastAsia="Arial" w:hAnsi="Arial" w:cs="Arial"/>
          <w:sz w:val="17"/>
          <w:szCs w:val="17"/>
        </w:rPr>
        <w:t xml:space="preserve">nformation statement. In management’s opinion, the unaudited combined financial information has been prepared on the same basis as our audited combined financial statements and includes all adjustments necessary for a fair statement of the information for </w:t>
      </w:r>
      <w:r>
        <w:rPr>
          <w:rFonts w:ascii="Arial" w:eastAsia="Arial" w:hAnsi="Arial" w:cs="Arial"/>
          <w:sz w:val="17"/>
          <w:szCs w:val="17"/>
        </w:rPr>
        <w:t>the periods presented.</w:t>
      </w:r>
    </w:p>
    <w:p w14:paraId="06F02BB0" w14:textId="77777777" w:rsidR="00D1587D" w:rsidRDefault="00D1587D">
      <w:pPr>
        <w:spacing w:line="74" w:lineRule="exact"/>
        <w:rPr>
          <w:sz w:val="20"/>
          <w:szCs w:val="20"/>
        </w:rPr>
      </w:pPr>
    </w:p>
    <w:p w14:paraId="46C8C598" w14:textId="77777777" w:rsidR="00D1587D" w:rsidRDefault="00410D07">
      <w:pPr>
        <w:spacing w:line="268" w:lineRule="auto"/>
        <w:ind w:left="300" w:right="319" w:firstLine="360"/>
        <w:rPr>
          <w:sz w:val="20"/>
          <w:szCs w:val="20"/>
        </w:rPr>
      </w:pPr>
      <w:r>
        <w:rPr>
          <w:rFonts w:ascii="Arial" w:eastAsia="Arial" w:hAnsi="Arial" w:cs="Arial"/>
          <w:sz w:val="17"/>
          <w:szCs w:val="17"/>
        </w:rPr>
        <w:t>Our historical audited combined financial statements and unaudited combined financial information include costs for certain functions, including information technology, human resources and store design and construction, that histori</w:t>
      </w:r>
      <w:r>
        <w:rPr>
          <w:rFonts w:ascii="Arial" w:eastAsia="Arial" w:hAnsi="Arial" w:cs="Arial"/>
          <w:sz w:val="17"/>
          <w:szCs w:val="17"/>
        </w:rPr>
        <w:t>cally were provided and administered on a centralized basis by LB. In fiscal year ended January 30, 2021, as part of the steps to prepare VS to operate as a separate standalone company, these functions were transitioned to the VS business and are now opera</w:t>
      </w:r>
      <w:r>
        <w:rPr>
          <w:rFonts w:ascii="Arial" w:eastAsia="Arial" w:hAnsi="Arial" w:cs="Arial"/>
          <w:sz w:val="17"/>
          <w:szCs w:val="17"/>
        </w:rPr>
        <w:t>ted and administered as part of VS. In addition, for purposes of preparing our audited combined financial statements and the unaudited combined financial information, we have allocated a portion of LB’s total corporate expenses, including the related benef</w:t>
      </w:r>
      <w:r>
        <w:rPr>
          <w:rFonts w:ascii="Arial" w:eastAsia="Arial" w:hAnsi="Arial" w:cs="Arial"/>
          <w:sz w:val="17"/>
          <w:szCs w:val="17"/>
        </w:rPr>
        <w:t>it costs associated with such functions such as share-based compensation, to such financial statements, with the allocations related primarily to the support provided by LB executive management and other corporate and governance functions, such as finance,</w:t>
      </w:r>
      <w:r>
        <w:rPr>
          <w:rFonts w:ascii="Arial" w:eastAsia="Arial" w:hAnsi="Arial" w:cs="Arial"/>
          <w:sz w:val="17"/>
          <w:szCs w:val="17"/>
        </w:rPr>
        <w:t xml:space="preserve"> internal audit, tax and treasury. These costs may not be representative of the future costs we will incur as an independent, publicly traded company. In addition, our historical financial information does not reflect changes that we expect to experience i</w:t>
      </w:r>
      <w:r>
        <w:rPr>
          <w:rFonts w:ascii="Arial" w:eastAsia="Arial" w:hAnsi="Arial" w:cs="Arial"/>
          <w:sz w:val="17"/>
          <w:szCs w:val="17"/>
        </w:rPr>
        <w:t>n the future as a result of the Separation, including changes in financing, operations, cost structure and personnel needs of our business. Consequently, the financial information included here may not necessarily reflect our financial position, results of</w:t>
      </w:r>
      <w:r>
        <w:rPr>
          <w:rFonts w:ascii="Arial" w:eastAsia="Arial" w:hAnsi="Arial" w:cs="Arial"/>
          <w:sz w:val="17"/>
          <w:szCs w:val="17"/>
        </w:rPr>
        <w:t xml:space="preserve"> operations and cash flows in the future or what our financial condition, results of operations and cash flows would have been had we been an independent, publicly traded company during the periods presented.</w:t>
      </w:r>
    </w:p>
    <w:p w14:paraId="1F513D13" w14:textId="77777777" w:rsidR="00D1587D" w:rsidRDefault="00D1587D">
      <w:pPr>
        <w:spacing w:line="72" w:lineRule="exact"/>
        <w:rPr>
          <w:sz w:val="20"/>
          <w:szCs w:val="20"/>
        </w:rPr>
      </w:pPr>
    </w:p>
    <w:p w14:paraId="0AA0C81D" w14:textId="77777777" w:rsidR="00D1587D" w:rsidRDefault="00410D07">
      <w:pPr>
        <w:spacing w:line="272" w:lineRule="auto"/>
        <w:ind w:left="300" w:right="399" w:firstLine="360"/>
        <w:rPr>
          <w:sz w:val="20"/>
          <w:szCs w:val="20"/>
        </w:rPr>
      </w:pPr>
      <w:r>
        <w:rPr>
          <w:rFonts w:ascii="Arial" w:eastAsia="Arial" w:hAnsi="Arial" w:cs="Arial"/>
          <w:sz w:val="17"/>
          <w:szCs w:val="17"/>
        </w:rPr>
        <w:t>Our historical results are not necessarily ind</w:t>
      </w:r>
      <w:r>
        <w:rPr>
          <w:rFonts w:ascii="Arial" w:eastAsia="Arial" w:hAnsi="Arial" w:cs="Arial"/>
          <w:sz w:val="17"/>
          <w:szCs w:val="17"/>
        </w:rPr>
        <w:t>icative of financial results to be achieved in future periods, and the historical results for the thirteen weeks ended May 1, 2021 are not necessarily indicative of the results that may be expected for the full year. The selected historical combined financ</w:t>
      </w:r>
      <w:r>
        <w:rPr>
          <w:rFonts w:ascii="Arial" w:eastAsia="Arial" w:hAnsi="Arial" w:cs="Arial"/>
          <w:sz w:val="17"/>
          <w:szCs w:val="17"/>
        </w:rPr>
        <w:t>ial data presented below should be read in conjunction with our audited combined financial statements and the related notes, our unaudited interim combined financial statements and the related notes, “Management’s Discussion and Analysis of Financial Condi</w:t>
      </w:r>
      <w:r>
        <w:rPr>
          <w:rFonts w:ascii="Arial" w:eastAsia="Arial" w:hAnsi="Arial" w:cs="Arial"/>
          <w:sz w:val="17"/>
          <w:szCs w:val="17"/>
        </w:rPr>
        <w:t>tion and Results of Operations” and the “Unaudited Pro Forma Condensed Combined Financial Statements” and accompanying notes included elsewhere in this information statement.</w:t>
      </w:r>
    </w:p>
    <w:p w14:paraId="5529BB94" w14:textId="77777777" w:rsidR="00D1587D" w:rsidRDefault="00D1587D">
      <w:pPr>
        <w:spacing w:line="14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440"/>
        <w:gridCol w:w="760"/>
        <w:gridCol w:w="700"/>
        <w:gridCol w:w="120"/>
        <w:gridCol w:w="800"/>
        <w:gridCol w:w="820"/>
        <w:gridCol w:w="780"/>
      </w:tblGrid>
      <w:tr w:rsidR="00D1587D" w14:paraId="5622726A" w14:textId="77777777">
        <w:trPr>
          <w:trHeight w:val="186"/>
        </w:trPr>
        <w:tc>
          <w:tcPr>
            <w:tcW w:w="4440" w:type="dxa"/>
            <w:vAlign w:val="bottom"/>
          </w:tcPr>
          <w:p w14:paraId="3D0DFBB3" w14:textId="77777777" w:rsidR="00D1587D" w:rsidRDefault="00D1587D">
            <w:pPr>
              <w:rPr>
                <w:sz w:val="16"/>
                <w:szCs w:val="16"/>
              </w:rPr>
            </w:pPr>
          </w:p>
        </w:tc>
        <w:tc>
          <w:tcPr>
            <w:tcW w:w="1580" w:type="dxa"/>
            <w:gridSpan w:val="3"/>
            <w:vAlign w:val="bottom"/>
          </w:tcPr>
          <w:p w14:paraId="5C7DE12F" w14:textId="77777777" w:rsidR="00D1587D" w:rsidRDefault="00410D07">
            <w:pPr>
              <w:ind w:right="140"/>
              <w:jc w:val="right"/>
              <w:rPr>
                <w:sz w:val="20"/>
                <w:szCs w:val="20"/>
              </w:rPr>
            </w:pPr>
            <w:r>
              <w:rPr>
                <w:rFonts w:ascii="Arial" w:eastAsia="Arial" w:hAnsi="Arial" w:cs="Arial"/>
                <w:b/>
                <w:bCs/>
                <w:w w:val="94"/>
                <w:sz w:val="14"/>
                <w:szCs w:val="14"/>
              </w:rPr>
              <w:t>Thirteen Weeks Ended</w:t>
            </w:r>
          </w:p>
        </w:tc>
        <w:tc>
          <w:tcPr>
            <w:tcW w:w="2400" w:type="dxa"/>
            <w:gridSpan w:val="3"/>
            <w:vAlign w:val="bottom"/>
          </w:tcPr>
          <w:p w14:paraId="6434BC23" w14:textId="77777777" w:rsidR="00D1587D" w:rsidRDefault="00410D07">
            <w:pPr>
              <w:jc w:val="center"/>
              <w:rPr>
                <w:sz w:val="20"/>
                <w:szCs w:val="20"/>
              </w:rPr>
            </w:pPr>
            <w:r>
              <w:rPr>
                <w:rFonts w:ascii="Arial" w:eastAsia="Arial" w:hAnsi="Arial" w:cs="Arial"/>
                <w:b/>
                <w:bCs/>
                <w:w w:val="92"/>
                <w:sz w:val="14"/>
                <w:szCs w:val="14"/>
              </w:rPr>
              <w:t>Fiscal Year Ended</w:t>
            </w:r>
          </w:p>
        </w:tc>
      </w:tr>
      <w:tr w:rsidR="00D1587D" w14:paraId="53E6289C" w14:textId="77777777">
        <w:trPr>
          <w:trHeight w:val="53"/>
        </w:trPr>
        <w:tc>
          <w:tcPr>
            <w:tcW w:w="4440" w:type="dxa"/>
            <w:vAlign w:val="bottom"/>
          </w:tcPr>
          <w:p w14:paraId="028C3556" w14:textId="77777777" w:rsidR="00D1587D" w:rsidRDefault="00D1587D">
            <w:pPr>
              <w:rPr>
                <w:sz w:val="4"/>
                <w:szCs w:val="4"/>
              </w:rPr>
            </w:pPr>
          </w:p>
        </w:tc>
        <w:tc>
          <w:tcPr>
            <w:tcW w:w="760" w:type="dxa"/>
            <w:tcBorders>
              <w:bottom w:val="single" w:sz="8" w:space="0" w:color="auto"/>
            </w:tcBorders>
            <w:vAlign w:val="bottom"/>
          </w:tcPr>
          <w:p w14:paraId="57E6DC23" w14:textId="77777777" w:rsidR="00D1587D" w:rsidRDefault="00D1587D">
            <w:pPr>
              <w:rPr>
                <w:sz w:val="4"/>
                <w:szCs w:val="4"/>
              </w:rPr>
            </w:pPr>
          </w:p>
        </w:tc>
        <w:tc>
          <w:tcPr>
            <w:tcW w:w="700" w:type="dxa"/>
            <w:tcBorders>
              <w:bottom w:val="single" w:sz="8" w:space="0" w:color="auto"/>
            </w:tcBorders>
            <w:vAlign w:val="bottom"/>
          </w:tcPr>
          <w:p w14:paraId="4E9817E3" w14:textId="77777777" w:rsidR="00D1587D" w:rsidRDefault="00D1587D">
            <w:pPr>
              <w:rPr>
                <w:sz w:val="4"/>
                <w:szCs w:val="4"/>
              </w:rPr>
            </w:pPr>
          </w:p>
        </w:tc>
        <w:tc>
          <w:tcPr>
            <w:tcW w:w="120" w:type="dxa"/>
            <w:vAlign w:val="bottom"/>
          </w:tcPr>
          <w:p w14:paraId="3BD942E5" w14:textId="77777777" w:rsidR="00D1587D" w:rsidRDefault="00D1587D">
            <w:pPr>
              <w:rPr>
                <w:sz w:val="4"/>
                <w:szCs w:val="4"/>
              </w:rPr>
            </w:pPr>
          </w:p>
        </w:tc>
        <w:tc>
          <w:tcPr>
            <w:tcW w:w="800" w:type="dxa"/>
            <w:tcBorders>
              <w:bottom w:val="single" w:sz="8" w:space="0" w:color="auto"/>
            </w:tcBorders>
            <w:vAlign w:val="bottom"/>
          </w:tcPr>
          <w:p w14:paraId="18E82675" w14:textId="77777777" w:rsidR="00D1587D" w:rsidRDefault="00D1587D">
            <w:pPr>
              <w:rPr>
                <w:sz w:val="4"/>
                <w:szCs w:val="4"/>
              </w:rPr>
            </w:pPr>
          </w:p>
        </w:tc>
        <w:tc>
          <w:tcPr>
            <w:tcW w:w="820" w:type="dxa"/>
            <w:tcBorders>
              <w:bottom w:val="single" w:sz="8" w:space="0" w:color="auto"/>
            </w:tcBorders>
            <w:vAlign w:val="bottom"/>
          </w:tcPr>
          <w:p w14:paraId="1D181320" w14:textId="77777777" w:rsidR="00D1587D" w:rsidRDefault="00D1587D">
            <w:pPr>
              <w:rPr>
                <w:sz w:val="4"/>
                <w:szCs w:val="4"/>
              </w:rPr>
            </w:pPr>
          </w:p>
        </w:tc>
        <w:tc>
          <w:tcPr>
            <w:tcW w:w="780" w:type="dxa"/>
            <w:tcBorders>
              <w:bottom w:val="single" w:sz="8" w:space="0" w:color="auto"/>
            </w:tcBorders>
            <w:vAlign w:val="bottom"/>
          </w:tcPr>
          <w:p w14:paraId="3FA26414" w14:textId="77777777" w:rsidR="00D1587D" w:rsidRDefault="00D1587D">
            <w:pPr>
              <w:rPr>
                <w:sz w:val="4"/>
                <w:szCs w:val="4"/>
              </w:rPr>
            </w:pPr>
          </w:p>
        </w:tc>
      </w:tr>
      <w:tr w:rsidR="00D1587D" w14:paraId="7AD7181F" w14:textId="77777777">
        <w:trPr>
          <w:trHeight w:val="187"/>
        </w:trPr>
        <w:tc>
          <w:tcPr>
            <w:tcW w:w="4440" w:type="dxa"/>
            <w:vAlign w:val="bottom"/>
          </w:tcPr>
          <w:p w14:paraId="3FB0BE3E" w14:textId="77777777" w:rsidR="00D1587D" w:rsidRDefault="00D1587D">
            <w:pPr>
              <w:rPr>
                <w:sz w:val="16"/>
                <w:szCs w:val="16"/>
              </w:rPr>
            </w:pPr>
          </w:p>
        </w:tc>
        <w:tc>
          <w:tcPr>
            <w:tcW w:w="760" w:type="dxa"/>
            <w:vAlign w:val="bottom"/>
          </w:tcPr>
          <w:p w14:paraId="7A7F14A1" w14:textId="77777777" w:rsidR="00D1587D" w:rsidRDefault="00410D07">
            <w:pPr>
              <w:ind w:right="157"/>
              <w:jc w:val="right"/>
              <w:rPr>
                <w:sz w:val="20"/>
                <w:szCs w:val="20"/>
              </w:rPr>
            </w:pPr>
            <w:r>
              <w:rPr>
                <w:rFonts w:ascii="Arial" w:eastAsia="Arial" w:hAnsi="Arial" w:cs="Arial"/>
                <w:b/>
                <w:bCs/>
                <w:sz w:val="14"/>
                <w:szCs w:val="14"/>
              </w:rPr>
              <w:t>May 1,</w:t>
            </w:r>
          </w:p>
        </w:tc>
        <w:tc>
          <w:tcPr>
            <w:tcW w:w="820" w:type="dxa"/>
            <w:gridSpan w:val="2"/>
            <w:vAlign w:val="bottom"/>
          </w:tcPr>
          <w:p w14:paraId="784768F5" w14:textId="77777777" w:rsidR="00D1587D" w:rsidRDefault="00410D07">
            <w:pPr>
              <w:ind w:right="280"/>
              <w:jc w:val="right"/>
              <w:rPr>
                <w:sz w:val="20"/>
                <w:szCs w:val="20"/>
              </w:rPr>
            </w:pPr>
            <w:r>
              <w:rPr>
                <w:rFonts w:ascii="Arial" w:eastAsia="Arial" w:hAnsi="Arial" w:cs="Arial"/>
                <w:b/>
                <w:bCs/>
                <w:sz w:val="14"/>
                <w:szCs w:val="14"/>
              </w:rPr>
              <w:t>May 2,</w:t>
            </w:r>
          </w:p>
        </w:tc>
        <w:tc>
          <w:tcPr>
            <w:tcW w:w="800" w:type="dxa"/>
            <w:vAlign w:val="bottom"/>
          </w:tcPr>
          <w:p w14:paraId="66928499" w14:textId="77777777" w:rsidR="00D1587D" w:rsidRDefault="00410D07">
            <w:pPr>
              <w:jc w:val="right"/>
              <w:rPr>
                <w:sz w:val="20"/>
                <w:szCs w:val="20"/>
              </w:rPr>
            </w:pPr>
            <w:r>
              <w:rPr>
                <w:rFonts w:ascii="Arial" w:eastAsia="Arial" w:hAnsi="Arial" w:cs="Arial"/>
                <w:b/>
                <w:bCs/>
                <w:w w:val="90"/>
                <w:sz w:val="14"/>
                <w:szCs w:val="14"/>
              </w:rPr>
              <w:t>January 30,</w:t>
            </w:r>
          </w:p>
        </w:tc>
        <w:tc>
          <w:tcPr>
            <w:tcW w:w="820" w:type="dxa"/>
            <w:vAlign w:val="bottom"/>
          </w:tcPr>
          <w:p w14:paraId="1DF5DCB1" w14:textId="77777777" w:rsidR="00D1587D" w:rsidRDefault="00410D07">
            <w:pPr>
              <w:jc w:val="center"/>
              <w:rPr>
                <w:sz w:val="20"/>
                <w:szCs w:val="20"/>
              </w:rPr>
            </w:pPr>
            <w:r>
              <w:rPr>
                <w:rFonts w:ascii="Arial" w:eastAsia="Arial" w:hAnsi="Arial" w:cs="Arial"/>
                <w:b/>
                <w:bCs/>
                <w:w w:val="95"/>
                <w:sz w:val="14"/>
                <w:szCs w:val="14"/>
              </w:rPr>
              <w:t>February 1,</w:t>
            </w:r>
          </w:p>
        </w:tc>
        <w:tc>
          <w:tcPr>
            <w:tcW w:w="780" w:type="dxa"/>
            <w:vAlign w:val="bottom"/>
          </w:tcPr>
          <w:p w14:paraId="7C20367B" w14:textId="77777777" w:rsidR="00D1587D" w:rsidRDefault="00410D07">
            <w:pPr>
              <w:jc w:val="right"/>
              <w:rPr>
                <w:sz w:val="20"/>
                <w:szCs w:val="20"/>
              </w:rPr>
            </w:pPr>
            <w:r>
              <w:rPr>
                <w:rFonts w:ascii="Arial" w:eastAsia="Arial" w:hAnsi="Arial" w:cs="Arial"/>
                <w:b/>
                <w:bCs/>
                <w:sz w:val="14"/>
                <w:szCs w:val="14"/>
              </w:rPr>
              <w:t>February 2,</w:t>
            </w:r>
          </w:p>
        </w:tc>
      </w:tr>
      <w:tr w:rsidR="00D1587D" w14:paraId="26A779F1" w14:textId="77777777">
        <w:trPr>
          <w:trHeight w:val="186"/>
        </w:trPr>
        <w:tc>
          <w:tcPr>
            <w:tcW w:w="4440" w:type="dxa"/>
            <w:vAlign w:val="bottom"/>
          </w:tcPr>
          <w:p w14:paraId="28C55ED1" w14:textId="77777777" w:rsidR="00D1587D" w:rsidRDefault="00D1587D">
            <w:pPr>
              <w:rPr>
                <w:sz w:val="16"/>
                <w:szCs w:val="16"/>
              </w:rPr>
            </w:pPr>
          </w:p>
        </w:tc>
        <w:tc>
          <w:tcPr>
            <w:tcW w:w="760" w:type="dxa"/>
            <w:vAlign w:val="bottom"/>
          </w:tcPr>
          <w:p w14:paraId="36D32DA6" w14:textId="77777777" w:rsidR="00D1587D" w:rsidRDefault="00410D07">
            <w:pPr>
              <w:ind w:right="217"/>
              <w:jc w:val="right"/>
              <w:rPr>
                <w:sz w:val="20"/>
                <w:szCs w:val="20"/>
              </w:rPr>
            </w:pPr>
            <w:r>
              <w:rPr>
                <w:rFonts w:ascii="Arial" w:eastAsia="Arial" w:hAnsi="Arial" w:cs="Arial"/>
                <w:b/>
                <w:bCs/>
                <w:sz w:val="14"/>
                <w:szCs w:val="14"/>
              </w:rPr>
              <w:t>2021</w:t>
            </w:r>
          </w:p>
        </w:tc>
        <w:tc>
          <w:tcPr>
            <w:tcW w:w="700" w:type="dxa"/>
            <w:vAlign w:val="bottom"/>
          </w:tcPr>
          <w:p w14:paraId="5E8B1C35" w14:textId="77777777" w:rsidR="00D1587D" w:rsidRDefault="00410D07">
            <w:pPr>
              <w:ind w:right="117"/>
              <w:jc w:val="right"/>
              <w:rPr>
                <w:sz w:val="20"/>
                <w:szCs w:val="20"/>
              </w:rPr>
            </w:pPr>
            <w:r>
              <w:rPr>
                <w:rFonts w:ascii="Arial" w:eastAsia="Arial" w:hAnsi="Arial" w:cs="Arial"/>
                <w:b/>
                <w:bCs/>
                <w:sz w:val="14"/>
                <w:szCs w:val="14"/>
              </w:rPr>
              <w:t>2020</w:t>
            </w:r>
          </w:p>
        </w:tc>
        <w:tc>
          <w:tcPr>
            <w:tcW w:w="120" w:type="dxa"/>
            <w:vAlign w:val="bottom"/>
          </w:tcPr>
          <w:p w14:paraId="19C61478" w14:textId="77777777" w:rsidR="00D1587D" w:rsidRDefault="00D1587D">
            <w:pPr>
              <w:rPr>
                <w:sz w:val="16"/>
                <w:szCs w:val="16"/>
              </w:rPr>
            </w:pPr>
          </w:p>
        </w:tc>
        <w:tc>
          <w:tcPr>
            <w:tcW w:w="800" w:type="dxa"/>
            <w:vAlign w:val="bottom"/>
          </w:tcPr>
          <w:p w14:paraId="5F0BF2B1" w14:textId="77777777" w:rsidR="00D1587D" w:rsidRDefault="00410D07">
            <w:pPr>
              <w:ind w:right="217"/>
              <w:jc w:val="right"/>
              <w:rPr>
                <w:sz w:val="20"/>
                <w:szCs w:val="20"/>
              </w:rPr>
            </w:pPr>
            <w:r>
              <w:rPr>
                <w:rFonts w:ascii="Arial" w:eastAsia="Arial" w:hAnsi="Arial" w:cs="Arial"/>
                <w:b/>
                <w:bCs/>
                <w:sz w:val="14"/>
                <w:szCs w:val="14"/>
              </w:rPr>
              <w:t>2021</w:t>
            </w:r>
          </w:p>
        </w:tc>
        <w:tc>
          <w:tcPr>
            <w:tcW w:w="820" w:type="dxa"/>
            <w:vAlign w:val="bottom"/>
          </w:tcPr>
          <w:p w14:paraId="686A6BDB" w14:textId="77777777" w:rsidR="00D1587D" w:rsidRDefault="00410D07">
            <w:pPr>
              <w:jc w:val="center"/>
              <w:rPr>
                <w:sz w:val="20"/>
                <w:szCs w:val="20"/>
              </w:rPr>
            </w:pPr>
            <w:r>
              <w:rPr>
                <w:rFonts w:ascii="Arial" w:eastAsia="Arial" w:hAnsi="Arial" w:cs="Arial"/>
                <w:b/>
                <w:bCs/>
                <w:w w:val="89"/>
                <w:sz w:val="14"/>
                <w:szCs w:val="14"/>
              </w:rPr>
              <w:t>2020</w:t>
            </w:r>
          </w:p>
        </w:tc>
        <w:tc>
          <w:tcPr>
            <w:tcW w:w="780" w:type="dxa"/>
            <w:vAlign w:val="bottom"/>
          </w:tcPr>
          <w:p w14:paraId="55B89E8D" w14:textId="77777777" w:rsidR="00D1587D" w:rsidRDefault="00410D07">
            <w:pPr>
              <w:ind w:right="136"/>
              <w:jc w:val="right"/>
              <w:rPr>
                <w:sz w:val="20"/>
                <w:szCs w:val="20"/>
              </w:rPr>
            </w:pPr>
            <w:r>
              <w:rPr>
                <w:rFonts w:ascii="Arial" w:eastAsia="Arial" w:hAnsi="Arial" w:cs="Arial"/>
                <w:b/>
                <w:bCs/>
                <w:sz w:val="14"/>
                <w:szCs w:val="14"/>
              </w:rPr>
              <w:t>2019</w:t>
            </w:r>
          </w:p>
        </w:tc>
      </w:tr>
      <w:tr w:rsidR="00D1587D" w14:paraId="4CD04DE9" w14:textId="77777777">
        <w:trPr>
          <w:trHeight w:val="53"/>
        </w:trPr>
        <w:tc>
          <w:tcPr>
            <w:tcW w:w="4440" w:type="dxa"/>
            <w:tcBorders>
              <w:bottom w:val="single" w:sz="8" w:space="0" w:color="CCEEFF"/>
            </w:tcBorders>
            <w:vAlign w:val="bottom"/>
          </w:tcPr>
          <w:p w14:paraId="01FDC98D" w14:textId="77777777" w:rsidR="00D1587D" w:rsidRDefault="00D1587D">
            <w:pPr>
              <w:rPr>
                <w:sz w:val="4"/>
                <w:szCs w:val="4"/>
              </w:rPr>
            </w:pPr>
          </w:p>
        </w:tc>
        <w:tc>
          <w:tcPr>
            <w:tcW w:w="760" w:type="dxa"/>
            <w:tcBorders>
              <w:bottom w:val="single" w:sz="8" w:space="0" w:color="auto"/>
            </w:tcBorders>
            <w:vAlign w:val="bottom"/>
          </w:tcPr>
          <w:p w14:paraId="0029E624" w14:textId="77777777" w:rsidR="00D1587D" w:rsidRDefault="00D1587D">
            <w:pPr>
              <w:rPr>
                <w:sz w:val="4"/>
                <w:szCs w:val="4"/>
              </w:rPr>
            </w:pPr>
          </w:p>
        </w:tc>
        <w:tc>
          <w:tcPr>
            <w:tcW w:w="700" w:type="dxa"/>
            <w:tcBorders>
              <w:bottom w:val="single" w:sz="8" w:space="0" w:color="auto"/>
            </w:tcBorders>
            <w:vAlign w:val="bottom"/>
          </w:tcPr>
          <w:p w14:paraId="626EA43B" w14:textId="77777777" w:rsidR="00D1587D" w:rsidRDefault="00D1587D">
            <w:pPr>
              <w:rPr>
                <w:sz w:val="4"/>
                <w:szCs w:val="4"/>
              </w:rPr>
            </w:pPr>
          </w:p>
        </w:tc>
        <w:tc>
          <w:tcPr>
            <w:tcW w:w="120" w:type="dxa"/>
            <w:tcBorders>
              <w:bottom w:val="single" w:sz="8" w:space="0" w:color="auto"/>
            </w:tcBorders>
            <w:vAlign w:val="bottom"/>
          </w:tcPr>
          <w:p w14:paraId="499F6244" w14:textId="77777777" w:rsidR="00D1587D" w:rsidRDefault="00D1587D">
            <w:pPr>
              <w:rPr>
                <w:sz w:val="4"/>
                <w:szCs w:val="4"/>
              </w:rPr>
            </w:pPr>
          </w:p>
        </w:tc>
        <w:tc>
          <w:tcPr>
            <w:tcW w:w="800" w:type="dxa"/>
            <w:tcBorders>
              <w:bottom w:val="single" w:sz="8" w:space="0" w:color="auto"/>
            </w:tcBorders>
            <w:vAlign w:val="bottom"/>
          </w:tcPr>
          <w:p w14:paraId="0289976F" w14:textId="77777777" w:rsidR="00D1587D" w:rsidRDefault="00D1587D">
            <w:pPr>
              <w:rPr>
                <w:sz w:val="4"/>
                <w:szCs w:val="4"/>
              </w:rPr>
            </w:pPr>
          </w:p>
        </w:tc>
        <w:tc>
          <w:tcPr>
            <w:tcW w:w="820" w:type="dxa"/>
            <w:tcBorders>
              <w:bottom w:val="single" w:sz="8" w:space="0" w:color="auto"/>
            </w:tcBorders>
            <w:vAlign w:val="bottom"/>
          </w:tcPr>
          <w:p w14:paraId="738330CC" w14:textId="77777777" w:rsidR="00D1587D" w:rsidRDefault="00D1587D">
            <w:pPr>
              <w:rPr>
                <w:sz w:val="4"/>
                <w:szCs w:val="4"/>
              </w:rPr>
            </w:pPr>
          </w:p>
        </w:tc>
        <w:tc>
          <w:tcPr>
            <w:tcW w:w="780" w:type="dxa"/>
            <w:tcBorders>
              <w:bottom w:val="single" w:sz="8" w:space="0" w:color="auto"/>
            </w:tcBorders>
            <w:vAlign w:val="bottom"/>
          </w:tcPr>
          <w:p w14:paraId="0AF3FA27" w14:textId="77777777" w:rsidR="00D1587D" w:rsidRDefault="00D1587D">
            <w:pPr>
              <w:rPr>
                <w:sz w:val="4"/>
                <w:szCs w:val="4"/>
              </w:rPr>
            </w:pPr>
          </w:p>
        </w:tc>
      </w:tr>
      <w:tr w:rsidR="00D1587D" w14:paraId="61A7A28E" w14:textId="77777777">
        <w:trPr>
          <w:trHeight w:val="270"/>
        </w:trPr>
        <w:tc>
          <w:tcPr>
            <w:tcW w:w="4440" w:type="dxa"/>
            <w:tcBorders>
              <w:bottom w:val="single" w:sz="8" w:space="0" w:color="CCEEFF"/>
            </w:tcBorders>
            <w:shd w:val="clear" w:color="auto" w:fill="CCEEFF"/>
            <w:vAlign w:val="bottom"/>
          </w:tcPr>
          <w:p w14:paraId="6E49AFC5" w14:textId="77777777" w:rsidR="00D1587D" w:rsidRDefault="00410D07">
            <w:pPr>
              <w:rPr>
                <w:sz w:val="20"/>
                <w:szCs w:val="20"/>
              </w:rPr>
            </w:pPr>
            <w:r>
              <w:rPr>
                <w:rFonts w:ascii="Arial" w:eastAsia="Arial" w:hAnsi="Arial" w:cs="Arial"/>
                <w:b/>
                <w:bCs/>
                <w:sz w:val="17"/>
                <w:szCs w:val="17"/>
              </w:rPr>
              <w:t>Summary of Operations</w:t>
            </w:r>
          </w:p>
        </w:tc>
        <w:tc>
          <w:tcPr>
            <w:tcW w:w="760" w:type="dxa"/>
            <w:tcBorders>
              <w:bottom w:val="single" w:sz="8" w:space="0" w:color="CCEEFF"/>
            </w:tcBorders>
            <w:shd w:val="clear" w:color="auto" w:fill="CCEEFF"/>
            <w:vAlign w:val="bottom"/>
          </w:tcPr>
          <w:p w14:paraId="1BE90763" w14:textId="77777777" w:rsidR="00D1587D" w:rsidRDefault="00D1587D">
            <w:pPr>
              <w:rPr>
                <w:sz w:val="23"/>
                <w:szCs w:val="23"/>
              </w:rPr>
            </w:pPr>
          </w:p>
        </w:tc>
        <w:tc>
          <w:tcPr>
            <w:tcW w:w="700" w:type="dxa"/>
            <w:tcBorders>
              <w:bottom w:val="single" w:sz="8" w:space="0" w:color="CCEEFF"/>
            </w:tcBorders>
            <w:shd w:val="clear" w:color="auto" w:fill="CCEEFF"/>
            <w:vAlign w:val="bottom"/>
          </w:tcPr>
          <w:p w14:paraId="55CD2D51" w14:textId="77777777" w:rsidR="00D1587D" w:rsidRDefault="00D1587D">
            <w:pPr>
              <w:rPr>
                <w:sz w:val="23"/>
                <w:szCs w:val="23"/>
              </w:rPr>
            </w:pPr>
          </w:p>
        </w:tc>
        <w:tc>
          <w:tcPr>
            <w:tcW w:w="120" w:type="dxa"/>
            <w:tcBorders>
              <w:bottom w:val="single" w:sz="8" w:space="0" w:color="CCEEFF"/>
            </w:tcBorders>
            <w:shd w:val="clear" w:color="auto" w:fill="CCEEFF"/>
            <w:vAlign w:val="bottom"/>
          </w:tcPr>
          <w:p w14:paraId="3B5059C9" w14:textId="77777777" w:rsidR="00D1587D" w:rsidRDefault="00D1587D">
            <w:pPr>
              <w:rPr>
                <w:sz w:val="23"/>
                <w:szCs w:val="23"/>
              </w:rPr>
            </w:pPr>
          </w:p>
        </w:tc>
        <w:tc>
          <w:tcPr>
            <w:tcW w:w="800" w:type="dxa"/>
            <w:tcBorders>
              <w:bottom w:val="single" w:sz="8" w:space="0" w:color="CCEEFF"/>
            </w:tcBorders>
            <w:shd w:val="clear" w:color="auto" w:fill="CCEEFF"/>
            <w:vAlign w:val="bottom"/>
          </w:tcPr>
          <w:p w14:paraId="14915A4D" w14:textId="77777777" w:rsidR="00D1587D" w:rsidRDefault="00410D07">
            <w:pPr>
              <w:jc w:val="right"/>
              <w:rPr>
                <w:sz w:val="20"/>
                <w:szCs w:val="20"/>
              </w:rPr>
            </w:pPr>
            <w:r>
              <w:rPr>
                <w:rFonts w:ascii="Arial" w:eastAsia="Arial" w:hAnsi="Arial" w:cs="Arial"/>
                <w:b/>
                <w:bCs/>
                <w:w w:val="96"/>
                <w:sz w:val="14"/>
                <w:szCs w:val="14"/>
              </w:rPr>
              <w:t>(in millions)</w:t>
            </w:r>
          </w:p>
        </w:tc>
        <w:tc>
          <w:tcPr>
            <w:tcW w:w="820" w:type="dxa"/>
            <w:tcBorders>
              <w:bottom w:val="single" w:sz="8" w:space="0" w:color="CCEEFF"/>
            </w:tcBorders>
            <w:shd w:val="clear" w:color="auto" w:fill="CCEEFF"/>
            <w:vAlign w:val="bottom"/>
          </w:tcPr>
          <w:p w14:paraId="2741ED21" w14:textId="77777777" w:rsidR="00D1587D" w:rsidRDefault="00D1587D">
            <w:pPr>
              <w:rPr>
                <w:sz w:val="23"/>
                <w:szCs w:val="23"/>
              </w:rPr>
            </w:pPr>
          </w:p>
        </w:tc>
        <w:tc>
          <w:tcPr>
            <w:tcW w:w="780" w:type="dxa"/>
            <w:tcBorders>
              <w:bottom w:val="single" w:sz="8" w:space="0" w:color="CCEEFF"/>
            </w:tcBorders>
            <w:shd w:val="clear" w:color="auto" w:fill="CCEEFF"/>
            <w:vAlign w:val="bottom"/>
          </w:tcPr>
          <w:p w14:paraId="2732C476" w14:textId="77777777" w:rsidR="00D1587D" w:rsidRDefault="00D1587D">
            <w:pPr>
              <w:rPr>
                <w:sz w:val="23"/>
                <w:szCs w:val="23"/>
              </w:rPr>
            </w:pPr>
          </w:p>
        </w:tc>
      </w:tr>
      <w:tr w:rsidR="00D1587D" w14:paraId="230FC518" w14:textId="77777777">
        <w:trPr>
          <w:trHeight w:val="239"/>
        </w:trPr>
        <w:tc>
          <w:tcPr>
            <w:tcW w:w="4440" w:type="dxa"/>
            <w:vAlign w:val="bottom"/>
          </w:tcPr>
          <w:p w14:paraId="77140A8F" w14:textId="77777777" w:rsidR="00D1587D" w:rsidRDefault="00410D07">
            <w:pPr>
              <w:rPr>
                <w:sz w:val="20"/>
                <w:szCs w:val="20"/>
              </w:rPr>
            </w:pPr>
            <w:r>
              <w:rPr>
                <w:rFonts w:ascii="Arial" w:eastAsia="Arial" w:hAnsi="Arial" w:cs="Arial"/>
                <w:sz w:val="17"/>
                <w:szCs w:val="17"/>
              </w:rPr>
              <w:t>Net Sales</w:t>
            </w:r>
          </w:p>
        </w:tc>
        <w:tc>
          <w:tcPr>
            <w:tcW w:w="760" w:type="dxa"/>
            <w:vAlign w:val="bottom"/>
          </w:tcPr>
          <w:p w14:paraId="56E5FC25" w14:textId="77777777" w:rsidR="00D1587D" w:rsidRDefault="00410D07">
            <w:pPr>
              <w:ind w:right="57"/>
              <w:jc w:val="right"/>
              <w:rPr>
                <w:sz w:val="20"/>
                <w:szCs w:val="20"/>
              </w:rPr>
            </w:pPr>
            <w:r>
              <w:rPr>
                <w:rFonts w:ascii="Arial" w:eastAsia="Arial" w:hAnsi="Arial" w:cs="Arial"/>
                <w:sz w:val="17"/>
                <w:szCs w:val="17"/>
              </w:rPr>
              <w:t>$1,554</w:t>
            </w:r>
          </w:p>
        </w:tc>
        <w:tc>
          <w:tcPr>
            <w:tcW w:w="820" w:type="dxa"/>
            <w:gridSpan w:val="2"/>
            <w:vAlign w:val="bottom"/>
          </w:tcPr>
          <w:p w14:paraId="5006FC5F" w14:textId="77777777" w:rsidR="00D1587D" w:rsidRDefault="00410D07">
            <w:pPr>
              <w:ind w:right="120"/>
              <w:jc w:val="right"/>
              <w:rPr>
                <w:sz w:val="20"/>
                <w:szCs w:val="20"/>
              </w:rPr>
            </w:pPr>
            <w:r>
              <w:rPr>
                <w:rFonts w:ascii="Arial" w:eastAsia="Arial" w:hAnsi="Arial" w:cs="Arial"/>
                <w:sz w:val="17"/>
                <w:szCs w:val="17"/>
              </w:rPr>
              <w:t>$894</w:t>
            </w:r>
          </w:p>
        </w:tc>
        <w:tc>
          <w:tcPr>
            <w:tcW w:w="800" w:type="dxa"/>
            <w:vAlign w:val="bottom"/>
          </w:tcPr>
          <w:p w14:paraId="370C95B0" w14:textId="77777777" w:rsidR="00D1587D" w:rsidRDefault="00410D07">
            <w:pPr>
              <w:jc w:val="right"/>
              <w:rPr>
                <w:sz w:val="20"/>
                <w:szCs w:val="20"/>
              </w:rPr>
            </w:pPr>
            <w:r>
              <w:rPr>
                <w:rFonts w:ascii="Arial" w:eastAsia="Arial" w:hAnsi="Arial" w:cs="Arial"/>
                <w:sz w:val="17"/>
                <w:szCs w:val="17"/>
              </w:rPr>
              <w:t>$5,413</w:t>
            </w:r>
          </w:p>
        </w:tc>
        <w:tc>
          <w:tcPr>
            <w:tcW w:w="820" w:type="dxa"/>
            <w:vAlign w:val="bottom"/>
          </w:tcPr>
          <w:p w14:paraId="78D75E38" w14:textId="77777777" w:rsidR="00D1587D" w:rsidRDefault="00410D07">
            <w:pPr>
              <w:jc w:val="right"/>
              <w:rPr>
                <w:sz w:val="20"/>
                <w:szCs w:val="20"/>
              </w:rPr>
            </w:pPr>
            <w:r>
              <w:rPr>
                <w:rFonts w:ascii="Arial" w:eastAsia="Arial" w:hAnsi="Arial" w:cs="Arial"/>
                <w:sz w:val="17"/>
                <w:szCs w:val="17"/>
              </w:rPr>
              <w:t>$7,509</w:t>
            </w:r>
          </w:p>
        </w:tc>
        <w:tc>
          <w:tcPr>
            <w:tcW w:w="780" w:type="dxa"/>
            <w:vAlign w:val="bottom"/>
          </w:tcPr>
          <w:p w14:paraId="79469003" w14:textId="77777777" w:rsidR="00D1587D" w:rsidRDefault="00410D07">
            <w:pPr>
              <w:jc w:val="right"/>
              <w:rPr>
                <w:sz w:val="20"/>
                <w:szCs w:val="20"/>
              </w:rPr>
            </w:pPr>
            <w:r>
              <w:rPr>
                <w:rFonts w:ascii="Arial" w:eastAsia="Arial" w:hAnsi="Arial" w:cs="Arial"/>
                <w:sz w:val="17"/>
                <w:szCs w:val="17"/>
              </w:rPr>
              <w:t>$8,103</w:t>
            </w:r>
          </w:p>
        </w:tc>
      </w:tr>
      <w:tr w:rsidR="00D1587D" w14:paraId="4A1B24DC" w14:textId="77777777">
        <w:trPr>
          <w:trHeight w:val="45"/>
        </w:trPr>
        <w:tc>
          <w:tcPr>
            <w:tcW w:w="4440" w:type="dxa"/>
            <w:vAlign w:val="bottom"/>
          </w:tcPr>
          <w:p w14:paraId="2F08E2E4" w14:textId="77777777" w:rsidR="00D1587D" w:rsidRDefault="00D1587D">
            <w:pPr>
              <w:rPr>
                <w:sz w:val="3"/>
                <w:szCs w:val="3"/>
              </w:rPr>
            </w:pPr>
          </w:p>
        </w:tc>
        <w:tc>
          <w:tcPr>
            <w:tcW w:w="760" w:type="dxa"/>
            <w:vAlign w:val="bottom"/>
          </w:tcPr>
          <w:p w14:paraId="02F50F03" w14:textId="77777777" w:rsidR="00D1587D" w:rsidRDefault="00D1587D">
            <w:pPr>
              <w:rPr>
                <w:sz w:val="3"/>
                <w:szCs w:val="3"/>
              </w:rPr>
            </w:pPr>
          </w:p>
        </w:tc>
        <w:tc>
          <w:tcPr>
            <w:tcW w:w="700" w:type="dxa"/>
            <w:vAlign w:val="bottom"/>
          </w:tcPr>
          <w:p w14:paraId="0E4D92D3" w14:textId="77777777" w:rsidR="00D1587D" w:rsidRDefault="00D1587D">
            <w:pPr>
              <w:rPr>
                <w:sz w:val="3"/>
                <w:szCs w:val="3"/>
              </w:rPr>
            </w:pPr>
          </w:p>
        </w:tc>
        <w:tc>
          <w:tcPr>
            <w:tcW w:w="120" w:type="dxa"/>
            <w:vAlign w:val="bottom"/>
          </w:tcPr>
          <w:p w14:paraId="51066CFD" w14:textId="77777777" w:rsidR="00D1587D" w:rsidRDefault="00D1587D">
            <w:pPr>
              <w:rPr>
                <w:sz w:val="3"/>
                <w:szCs w:val="3"/>
              </w:rPr>
            </w:pPr>
          </w:p>
        </w:tc>
        <w:tc>
          <w:tcPr>
            <w:tcW w:w="800" w:type="dxa"/>
            <w:vAlign w:val="bottom"/>
          </w:tcPr>
          <w:p w14:paraId="7E900990" w14:textId="77777777" w:rsidR="00D1587D" w:rsidRDefault="00D1587D">
            <w:pPr>
              <w:rPr>
                <w:sz w:val="3"/>
                <w:szCs w:val="3"/>
              </w:rPr>
            </w:pPr>
          </w:p>
        </w:tc>
        <w:tc>
          <w:tcPr>
            <w:tcW w:w="820" w:type="dxa"/>
            <w:vAlign w:val="bottom"/>
          </w:tcPr>
          <w:p w14:paraId="76CBC97A" w14:textId="77777777" w:rsidR="00D1587D" w:rsidRDefault="00D1587D">
            <w:pPr>
              <w:rPr>
                <w:sz w:val="3"/>
                <w:szCs w:val="3"/>
              </w:rPr>
            </w:pPr>
          </w:p>
        </w:tc>
        <w:tc>
          <w:tcPr>
            <w:tcW w:w="780" w:type="dxa"/>
            <w:vAlign w:val="bottom"/>
          </w:tcPr>
          <w:p w14:paraId="02FD4A61" w14:textId="77777777" w:rsidR="00D1587D" w:rsidRDefault="00D1587D">
            <w:pPr>
              <w:rPr>
                <w:sz w:val="3"/>
                <w:szCs w:val="3"/>
              </w:rPr>
            </w:pPr>
          </w:p>
        </w:tc>
      </w:tr>
      <w:tr w:rsidR="00D1587D" w14:paraId="54CBCB63" w14:textId="77777777">
        <w:trPr>
          <w:trHeight w:val="263"/>
        </w:trPr>
        <w:tc>
          <w:tcPr>
            <w:tcW w:w="4440" w:type="dxa"/>
            <w:tcBorders>
              <w:bottom w:val="single" w:sz="8" w:space="0" w:color="CCEEFF"/>
            </w:tcBorders>
            <w:shd w:val="clear" w:color="auto" w:fill="CCEEFF"/>
            <w:vAlign w:val="bottom"/>
          </w:tcPr>
          <w:p w14:paraId="0E61D98E" w14:textId="77777777" w:rsidR="00D1587D" w:rsidRDefault="00410D07">
            <w:pPr>
              <w:rPr>
                <w:sz w:val="20"/>
                <w:szCs w:val="20"/>
              </w:rPr>
            </w:pPr>
            <w:r>
              <w:rPr>
                <w:rFonts w:ascii="Arial" w:eastAsia="Arial" w:hAnsi="Arial" w:cs="Arial"/>
                <w:sz w:val="17"/>
                <w:szCs w:val="17"/>
              </w:rPr>
              <w:t>Gross Profit</w:t>
            </w:r>
          </w:p>
        </w:tc>
        <w:tc>
          <w:tcPr>
            <w:tcW w:w="760" w:type="dxa"/>
            <w:tcBorders>
              <w:bottom w:val="single" w:sz="8" w:space="0" w:color="CCEEFF"/>
            </w:tcBorders>
            <w:shd w:val="clear" w:color="auto" w:fill="CCEEFF"/>
            <w:vAlign w:val="bottom"/>
          </w:tcPr>
          <w:p w14:paraId="5AE3C798" w14:textId="77777777" w:rsidR="00D1587D" w:rsidRDefault="00410D07">
            <w:pPr>
              <w:ind w:right="57"/>
              <w:jc w:val="right"/>
              <w:rPr>
                <w:sz w:val="20"/>
                <w:szCs w:val="20"/>
              </w:rPr>
            </w:pPr>
            <w:r>
              <w:rPr>
                <w:rFonts w:ascii="Arial" w:eastAsia="Arial" w:hAnsi="Arial" w:cs="Arial"/>
                <w:sz w:val="17"/>
                <w:szCs w:val="17"/>
              </w:rPr>
              <w:t>672</w:t>
            </w:r>
          </w:p>
        </w:tc>
        <w:tc>
          <w:tcPr>
            <w:tcW w:w="820" w:type="dxa"/>
            <w:gridSpan w:val="2"/>
            <w:tcBorders>
              <w:bottom w:val="single" w:sz="8" w:space="0" w:color="CCEEFF"/>
            </w:tcBorders>
            <w:shd w:val="clear" w:color="auto" w:fill="CCEEFF"/>
            <w:vAlign w:val="bottom"/>
          </w:tcPr>
          <w:p w14:paraId="6F6CF618" w14:textId="77777777" w:rsidR="00D1587D" w:rsidRDefault="00410D07">
            <w:pPr>
              <w:ind w:right="120"/>
              <w:jc w:val="right"/>
              <w:rPr>
                <w:sz w:val="20"/>
                <w:szCs w:val="20"/>
              </w:rPr>
            </w:pPr>
            <w:r>
              <w:rPr>
                <w:rFonts w:ascii="Arial" w:eastAsia="Arial" w:hAnsi="Arial" w:cs="Arial"/>
                <w:sz w:val="17"/>
                <w:szCs w:val="17"/>
              </w:rPr>
              <w:t>21</w:t>
            </w:r>
          </w:p>
        </w:tc>
        <w:tc>
          <w:tcPr>
            <w:tcW w:w="800" w:type="dxa"/>
            <w:tcBorders>
              <w:bottom w:val="single" w:sz="8" w:space="0" w:color="CCEEFF"/>
            </w:tcBorders>
            <w:shd w:val="clear" w:color="auto" w:fill="CCEEFF"/>
            <w:vAlign w:val="bottom"/>
          </w:tcPr>
          <w:p w14:paraId="4229FBCB" w14:textId="77777777" w:rsidR="00D1587D" w:rsidRDefault="00410D07">
            <w:pPr>
              <w:jc w:val="right"/>
              <w:rPr>
                <w:sz w:val="20"/>
                <w:szCs w:val="20"/>
              </w:rPr>
            </w:pPr>
            <w:r>
              <w:rPr>
                <w:rFonts w:ascii="Arial" w:eastAsia="Arial" w:hAnsi="Arial" w:cs="Arial"/>
                <w:sz w:val="17"/>
                <w:szCs w:val="17"/>
              </w:rPr>
              <w:t>1,571</w:t>
            </w:r>
          </w:p>
        </w:tc>
        <w:tc>
          <w:tcPr>
            <w:tcW w:w="820" w:type="dxa"/>
            <w:tcBorders>
              <w:bottom w:val="single" w:sz="8" w:space="0" w:color="CCEEFF"/>
            </w:tcBorders>
            <w:shd w:val="clear" w:color="auto" w:fill="CCEEFF"/>
            <w:vAlign w:val="bottom"/>
          </w:tcPr>
          <w:p w14:paraId="5FAD6500" w14:textId="77777777" w:rsidR="00D1587D" w:rsidRDefault="00410D07">
            <w:pPr>
              <w:jc w:val="right"/>
              <w:rPr>
                <w:sz w:val="20"/>
                <w:szCs w:val="20"/>
              </w:rPr>
            </w:pPr>
            <w:r>
              <w:rPr>
                <w:rFonts w:ascii="Arial" w:eastAsia="Arial" w:hAnsi="Arial" w:cs="Arial"/>
                <w:sz w:val="17"/>
                <w:szCs w:val="17"/>
              </w:rPr>
              <w:t>2,063</w:t>
            </w:r>
          </w:p>
        </w:tc>
        <w:tc>
          <w:tcPr>
            <w:tcW w:w="780" w:type="dxa"/>
            <w:tcBorders>
              <w:bottom w:val="single" w:sz="8" w:space="0" w:color="CCEEFF"/>
            </w:tcBorders>
            <w:shd w:val="clear" w:color="auto" w:fill="CCEEFF"/>
            <w:vAlign w:val="bottom"/>
          </w:tcPr>
          <w:p w14:paraId="1A088B11" w14:textId="77777777" w:rsidR="00D1587D" w:rsidRDefault="00410D07">
            <w:pPr>
              <w:jc w:val="right"/>
              <w:rPr>
                <w:sz w:val="20"/>
                <w:szCs w:val="20"/>
              </w:rPr>
            </w:pPr>
            <w:r>
              <w:rPr>
                <w:rFonts w:ascii="Arial" w:eastAsia="Arial" w:hAnsi="Arial" w:cs="Arial"/>
                <w:sz w:val="17"/>
                <w:szCs w:val="17"/>
              </w:rPr>
              <w:t>2,689</w:t>
            </w:r>
          </w:p>
        </w:tc>
      </w:tr>
      <w:tr w:rsidR="00D1587D" w14:paraId="19652F09" w14:textId="77777777">
        <w:trPr>
          <w:trHeight w:val="283"/>
        </w:trPr>
        <w:tc>
          <w:tcPr>
            <w:tcW w:w="4440" w:type="dxa"/>
            <w:vAlign w:val="bottom"/>
          </w:tcPr>
          <w:p w14:paraId="2946885B" w14:textId="77777777" w:rsidR="00D1587D" w:rsidRDefault="00410D07">
            <w:pPr>
              <w:spacing w:line="284" w:lineRule="exact"/>
              <w:rPr>
                <w:sz w:val="20"/>
                <w:szCs w:val="20"/>
              </w:rPr>
            </w:pPr>
            <w:r>
              <w:rPr>
                <w:rFonts w:ascii="Arial" w:eastAsia="Arial" w:hAnsi="Arial" w:cs="Arial"/>
                <w:sz w:val="17"/>
                <w:szCs w:val="17"/>
              </w:rPr>
              <w:t>Operating Income (Loss)</w:t>
            </w:r>
            <w:r>
              <w:rPr>
                <w:rFonts w:ascii="Arial" w:eastAsia="Arial" w:hAnsi="Arial" w:cs="Arial"/>
                <w:sz w:val="28"/>
                <w:szCs w:val="28"/>
                <w:vertAlign w:val="superscript"/>
              </w:rPr>
              <w:t>(a)</w:t>
            </w:r>
          </w:p>
        </w:tc>
        <w:tc>
          <w:tcPr>
            <w:tcW w:w="760" w:type="dxa"/>
            <w:vAlign w:val="bottom"/>
          </w:tcPr>
          <w:p w14:paraId="11E9DA69" w14:textId="77777777" w:rsidR="00D1587D" w:rsidRDefault="00410D07">
            <w:pPr>
              <w:ind w:right="57"/>
              <w:jc w:val="right"/>
              <w:rPr>
                <w:sz w:val="20"/>
                <w:szCs w:val="20"/>
              </w:rPr>
            </w:pPr>
            <w:r>
              <w:rPr>
                <w:rFonts w:ascii="Arial" w:eastAsia="Arial" w:hAnsi="Arial" w:cs="Arial"/>
                <w:sz w:val="17"/>
                <w:szCs w:val="17"/>
              </w:rPr>
              <w:t>226</w:t>
            </w:r>
          </w:p>
        </w:tc>
        <w:tc>
          <w:tcPr>
            <w:tcW w:w="820" w:type="dxa"/>
            <w:gridSpan w:val="2"/>
            <w:vAlign w:val="bottom"/>
          </w:tcPr>
          <w:p w14:paraId="536CAF55" w14:textId="77777777" w:rsidR="00D1587D" w:rsidRDefault="00410D07">
            <w:pPr>
              <w:ind w:right="120"/>
              <w:jc w:val="right"/>
              <w:rPr>
                <w:sz w:val="20"/>
                <w:szCs w:val="20"/>
              </w:rPr>
            </w:pPr>
            <w:r>
              <w:rPr>
                <w:rFonts w:ascii="Arial" w:eastAsia="Arial" w:hAnsi="Arial" w:cs="Arial"/>
                <w:sz w:val="17"/>
                <w:szCs w:val="17"/>
              </w:rPr>
              <w:t>(373)</w:t>
            </w:r>
          </w:p>
        </w:tc>
        <w:tc>
          <w:tcPr>
            <w:tcW w:w="800" w:type="dxa"/>
            <w:vAlign w:val="bottom"/>
          </w:tcPr>
          <w:p w14:paraId="0B8F2AC5" w14:textId="77777777" w:rsidR="00D1587D" w:rsidRDefault="00410D07">
            <w:pPr>
              <w:jc w:val="right"/>
              <w:rPr>
                <w:sz w:val="20"/>
                <w:szCs w:val="20"/>
              </w:rPr>
            </w:pPr>
            <w:r>
              <w:rPr>
                <w:rFonts w:ascii="Arial" w:eastAsia="Arial" w:hAnsi="Arial" w:cs="Arial"/>
                <w:sz w:val="17"/>
                <w:szCs w:val="17"/>
              </w:rPr>
              <w:t>(101)</w:t>
            </w:r>
          </w:p>
        </w:tc>
        <w:tc>
          <w:tcPr>
            <w:tcW w:w="820" w:type="dxa"/>
            <w:vAlign w:val="bottom"/>
          </w:tcPr>
          <w:p w14:paraId="0E6887B5" w14:textId="77777777" w:rsidR="00D1587D" w:rsidRDefault="00410D07">
            <w:pPr>
              <w:jc w:val="right"/>
              <w:rPr>
                <w:sz w:val="20"/>
                <w:szCs w:val="20"/>
              </w:rPr>
            </w:pPr>
            <w:r>
              <w:rPr>
                <w:rFonts w:ascii="Arial" w:eastAsia="Arial" w:hAnsi="Arial" w:cs="Arial"/>
                <w:sz w:val="17"/>
                <w:szCs w:val="17"/>
              </w:rPr>
              <w:t>(892)</w:t>
            </w:r>
          </w:p>
        </w:tc>
        <w:tc>
          <w:tcPr>
            <w:tcW w:w="780" w:type="dxa"/>
            <w:vAlign w:val="bottom"/>
          </w:tcPr>
          <w:p w14:paraId="5B2AF0CF" w14:textId="77777777" w:rsidR="00D1587D" w:rsidRDefault="00410D07">
            <w:pPr>
              <w:jc w:val="right"/>
              <w:rPr>
                <w:sz w:val="20"/>
                <w:szCs w:val="20"/>
              </w:rPr>
            </w:pPr>
            <w:r>
              <w:rPr>
                <w:rFonts w:ascii="Arial" w:eastAsia="Arial" w:hAnsi="Arial" w:cs="Arial"/>
                <w:sz w:val="17"/>
                <w:szCs w:val="17"/>
              </w:rPr>
              <w:t>400</w:t>
            </w:r>
          </w:p>
        </w:tc>
      </w:tr>
      <w:tr w:rsidR="00D1587D" w14:paraId="7103ED63" w14:textId="77777777">
        <w:trPr>
          <w:trHeight w:val="284"/>
        </w:trPr>
        <w:tc>
          <w:tcPr>
            <w:tcW w:w="4440" w:type="dxa"/>
            <w:shd w:val="clear" w:color="auto" w:fill="CCEEFF"/>
            <w:vAlign w:val="bottom"/>
          </w:tcPr>
          <w:p w14:paraId="59CA2D15" w14:textId="77777777" w:rsidR="00D1587D" w:rsidRDefault="00410D07">
            <w:pPr>
              <w:spacing w:line="284" w:lineRule="exact"/>
              <w:rPr>
                <w:sz w:val="20"/>
                <w:szCs w:val="20"/>
              </w:rPr>
            </w:pPr>
            <w:r>
              <w:rPr>
                <w:rFonts w:ascii="Arial" w:eastAsia="Arial" w:hAnsi="Arial" w:cs="Arial"/>
                <w:sz w:val="17"/>
                <w:szCs w:val="17"/>
              </w:rPr>
              <w:t>Adjusted Operating Income (Loss)</w:t>
            </w:r>
            <w:r>
              <w:rPr>
                <w:rFonts w:ascii="Arial" w:eastAsia="Arial" w:hAnsi="Arial" w:cs="Arial"/>
                <w:sz w:val="28"/>
                <w:szCs w:val="28"/>
                <w:vertAlign w:val="superscript"/>
              </w:rPr>
              <w:t>(b)</w:t>
            </w:r>
          </w:p>
        </w:tc>
        <w:tc>
          <w:tcPr>
            <w:tcW w:w="760" w:type="dxa"/>
            <w:shd w:val="clear" w:color="auto" w:fill="CCEEFF"/>
            <w:vAlign w:val="bottom"/>
          </w:tcPr>
          <w:p w14:paraId="3C305D0A" w14:textId="77777777" w:rsidR="00D1587D" w:rsidRDefault="00410D07">
            <w:pPr>
              <w:ind w:right="57"/>
              <w:jc w:val="right"/>
              <w:rPr>
                <w:sz w:val="20"/>
                <w:szCs w:val="20"/>
              </w:rPr>
            </w:pPr>
            <w:r>
              <w:rPr>
                <w:rFonts w:ascii="Arial" w:eastAsia="Arial" w:hAnsi="Arial" w:cs="Arial"/>
                <w:sz w:val="17"/>
                <w:szCs w:val="17"/>
              </w:rPr>
              <w:t>226</w:t>
            </w:r>
          </w:p>
        </w:tc>
        <w:tc>
          <w:tcPr>
            <w:tcW w:w="820" w:type="dxa"/>
            <w:gridSpan w:val="2"/>
            <w:shd w:val="clear" w:color="auto" w:fill="CCEEFF"/>
            <w:vAlign w:val="bottom"/>
          </w:tcPr>
          <w:p w14:paraId="266E1D61" w14:textId="77777777" w:rsidR="00D1587D" w:rsidRDefault="00410D07">
            <w:pPr>
              <w:ind w:right="120"/>
              <w:jc w:val="right"/>
              <w:rPr>
                <w:sz w:val="20"/>
                <w:szCs w:val="20"/>
              </w:rPr>
            </w:pPr>
            <w:r>
              <w:rPr>
                <w:rFonts w:ascii="Arial" w:eastAsia="Arial" w:hAnsi="Arial" w:cs="Arial"/>
                <w:sz w:val="17"/>
                <w:szCs w:val="17"/>
              </w:rPr>
              <w:t>(276)</w:t>
            </w:r>
          </w:p>
        </w:tc>
        <w:tc>
          <w:tcPr>
            <w:tcW w:w="800" w:type="dxa"/>
            <w:shd w:val="clear" w:color="auto" w:fill="CCEEFF"/>
            <w:vAlign w:val="bottom"/>
          </w:tcPr>
          <w:p w14:paraId="6969D66C" w14:textId="77777777" w:rsidR="00D1587D" w:rsidRDefault="00410D07">
            <w:pPr>
              <w:jc w:val="right"/>
              <w:rPr>
                <w:sz w:val="20"/>
                <w:szCs w:val="20"/>
              </w:rPr>
            </w:pPr>
            <w:r>
              <w:rPr>
                <w:rFonts w:ascii="Arial" w:eastAsia="Arial" w:hAnsi="Arial" w:cs="Arial"/>
                <w:sz w:val="17"/>
                <w:szCs w:val="17"/>
              </w:rPr>
              <w:t>98</w:t>
            </w:r>
          </w:p>
        </w:tc>
        <w:tc>
          <w:tcPr>
            <w:tcW w:w="820" w:type="dxa"/>
            <w:shd w:val="clear" w:color="auto" w:fill="CCEEFF"/>
            <w:vAlign w:val="bottom"/>
          </w:tcPr>
          <w:p w14:paraId="1C53D251" w14:textId="77777777" w:rsidR="00D1587D" w:rsidRDefault="00410D07">
            <w:pPr>
              <w:jc w:val="right"/>
              <w:rPr>
                <w:sz w:val="20"/>
                <w:szCs w:val="20"/>
              </w:rPr>
            </w:pPr>
            <w:r>
              <w:rPr>
                <w:rFonts w:ascii="Arial" w:eastAsia="Arial" w:hAnsi="Arial" w:cs="Arial"/>
                <w:sz w:val="17"/>
                <w:szCs w:val="17"/>
              </w:rPr>
              <w:t>81</w:t>
            </w:r>
          </w:p>
        </w:tc>
        <w:tc>
          <w:tcPr>
            <w:tcW w:w="780" w:type="dxa"/>
            <w:shd w:val="clear" w:color="auto" w:fill="CCEEFF"/>
            <w:vAlign w:val="bottom"/>
          </w:tcPr>
          <w:p w14:paraId="56B8222D" w14:textId="77777777" w:rsidR="00D1587D" w:rsidRDefault="00410D07">
            <w:pPr>
              <w:jc w:val="right"/>
              <w:rPr>
                <w:sz w:val="20"/>
                <w:szCs w:val="20"/>
              </w:rPr>
            </w:pPr>
            <w:r>
              <w:rPr>
                <w:rFonts w:ascii="Arial" w:eastAsia="Arial" w:hAnsi="Arial" w:cs="Arial"/>
                <w:sz w:val="17"/>
                <w:szCs w:val="17"/>
              </w:rPr>
              <w:t>481</w:t>
            </w:r>
          </w:p>
        </w:tc>
      </w:tr>
      <w:tr w:rsidR="00D1587D" w14:paraId="6BE12613" w14:textId="77777777">
        <w:trPr>
          <w:trHeight w:val="239"/>
        </w:trPr>
        <w:tc>
          <w:tcPr>
            <w:tcW w:w="4440" w:type="dxa"/>
            <w:vAlign w:val="bottom"/>
          </w:tcPr>
          <w:p w14:paraId="3EB6F563" w14:textId="77777777" w:rsidR="00D1587D" w:rsidRDefault="00410D07">
            <w:pPr>
              <w:rPr>
                <w:sz w:val="20"/>
                <w:szCs w:val="20"/>
              </w:rPr>
            </w:pPr>
            <w:r>
              <w:rPr>
                <w:rFonts w:ascii="Arial" w:eastAsia="Arial" w:hAnsi="Arial" w:cs="Arial"/>
                <w:sz w:val="17"/>
                <w:szCs w:val="17"/>
              </w:rPr>
              <w:t>Net Income (Loss)</w:t>
            </w:r>
          </w:p>
        </w:tc>
        <w:tc>
          <w:tcPr>
            <w:tcW w:w="760" w:type="dxa"/>
            <w:vAlign w:val="bottom"/>
          </w:tcPr>
          <w:p w14:paraId="0BF0ABB6" w14:textId="77777777" w:rsidR="00D1587D" w:rsidRDefault="00410D07">
            <w:pPr>
              <w:ind w:right="57"/>
              <w:jc w:val="right"/>
              <w:rPr>
                <w:sz w:val="20"/>
                <w:szCs w:val="20"/>
              </w:rPr>
            </w:pPr>
            <w:r>
              <w:rPr>
                <w:rFonts w:ascii="Arial" w:eastAsia="Arial" w:hAnsi="Arial" w:cs="Arial"/>
                <w:sz w:val="17"/>
                <w:szCs w:val="17"/>
              </w:rPr>
              <w:t>174</w:t>
            </w:r>
          </w:p>
        </w:tc>
        <w:tc>
          <w:tcPr>
            <w:tcW w:w="820" w:type="dxa"/>
            <w:gridSpan w:val="2"/>
            <w:vAlign w:val="bottom"/>
          </w:tcPr>
          <w:p w14:paraId="2AF8294E" w14:textId="77777777" w:rsidR="00D1587D" w:rsidRDefault="00410D07">
            <w:pPr>
              <w:ind w:right="120"/>
              <w:jc w:val="right"/>
              <w:rPr>
                <w:sz w:val="20"/>
                <w:szCs w:val="20"/>
              </w:rPr>
            </w:pPr>
            <w:r>
              <w:rPr>
                <w:rFonts w:ascii="Arial" w:eastAsia="Arial" w:hAnsi="Arial" w:cs="Arial"/>
                <w:sz w:val="17"/>
                <w:szCs w:val="17"/>
              </w:rPr>
              <w:t>(299)</w:t>
            </w:r>
          </w:p>
        </w:tc>
        <w:tc>
          <w:tcPr>
            <w:tcW w:w="800" w:type="dxa"/>
            <w:vAlign w:val="bottom"/>
          </w:tcPr>
          <w:p w14:paraId="0D55540E" w14:textId="77777777" w:rsidR="00D1587D" w:rsidRDefault="00410D07">
            <w:pPr>
              <w:jc w:val="right"/>
              <w:rPr>
                <w:sz w:val="20"/>
                <w:szCs w:val="20"/>
              </w:rPr>
            </w:pPr>
            <w:r>
              <w:rPr>
                <w:rFonts w:ascii="Arial" w:eastAsia="Arial" w:hAnsi="Arial" w:cs="Arial"/>
                <w:sz w:val="17"/>
                <w:szCs w:val="17"/>
              </w:rPr>
              <w:t>(72)</w:t>
            </w:r>
          </w:p>
        </w:tc>
        <w:tc>
          <w:tcPr>
            <w:tcW w:w="820" w:type="dxa"/>
            <w:vAlign w:val="bottom"/>
          </w:tcPr>
          <w:p w14:paraId="1D8651D6" w14:textId="77777777" w:rsidR="00D1587D" w:rsidRDefault="00410D07">
            <w:pPr>
              <w:jc w:val="right"/>
              <w:rPr>
                <w:sz w:val="20"/>
                <w:szCs w:val="20"/>
              </w:rPr>
            </w:pPr>
            <w:r>
              <w:rPr>
                <w:rFonts w:ascii="Arial" w:eastAsia="Arial" w:hAnsi="Arial" w:cs="Arial"/>
                <w:sz w:val="17"/>
                <w:szCs w:val="17"/>
              </w:rPr>
              <w:t>(897)</w:t>
            </w:r>
          </w:p>
        </w:tc>
        <w:tc>
          <w:tcPr>
            <w:tcW w:w="780" w:type="dxa"/>
            <w:vAlign w:val="bottom"/>
          </w:tcPr>
          <w:p w14:paraId="44FE53C9" w14:textId="77777777" w:rsidR="00D1587D" w:rsidRDefault="00410D07">
            <w:pPr>
              <w:jc w:val="right"/>
              <w:rPr>
                <w:sz w:val="20"/>
                <w:szCs w:val="20"/>
              </w:rPr>
            </w:pPr>
            <w:r>
              <w:rPr>
                <w:rFonts w:ascii="Arial" w:eastAsia="Arial" w:hAnsi="Arial" w:cs="Arial"/>
                <w:sz w:val="17"/>
                <w:szCs w:val="17"/>
              </w:rPr>
              <w:t>251</w:t>
            </w:r>
          </w:p>
        </w:tc>
      </w:tr>
      <w:tr w:rsidR="00D1587D" w14:paraId="557CFF5C" w14:textId="77777777">
        <w:trPr>
          <w:trHeight w:val="45"/>
        </w:trPr>
        <w:tc>
          <w:tcPr>
            <w:tcW w:w="4440" w:type="dxa"/>
            <w:vAlign w:val="bottom"/>
          </w:tcPr>
          <w:p w14:paraId="377EA1DC" w14:textId="77777777" w:rsidR="00D1587D" w:rsidRDefault="00D1587D">
            <w:pPr>
              <w:rPr>
                <w:sz w:val="3"/>
                <w:szCs w:val="3"/>
              </w:rPr>
            </w:pPr>
          </w:p>
        </w:tc>
        <w:tc>
          <w:tcPr>
            <w:tcW w:w="760" w:type="dxa"/>
            <w:vAlign w:val="bottom"/>
          </w:tcPr>
          <w:p w14:paraId="1014519D" w14:textId="77777777" w:rsidR="00D1587D" w:rsidRDefault="00D1587D">
            <w:pPr>
              <w:rPr>
                <w:sz w:val="3"/>
                <w:szCs w:val="3"/>
              </w:rPr>
            </w:pPr>
          </w:p>
        </w:tc>
        <w:tc>
          <w:tcPr>
            <w:tcW w:w="700" w:type="dxa"/>
            <w:vAlign w:val="bottom"/>
          </w:tcPr>
          <w:p w14:paraId="768B9B98" w14:textId="77777777" w:rsidR="00D1587D" w:rsidRDefault="00D1587D">
            <w:pPr>
              <w:rPr>
                <w:sz w:val="3"/>
                <w:szCs w:val="3"/>
              </w:rPr>
            </w:pPr>
          </w:p>
        </w:tc>
        <w:tc>
          <w:tcPr>
            <w:tcW w:w="120" w:type="dxa"/>
            <w:vAlign w:val="bottom"/>
          </w:tcPr>
          <w:p w14:paraId="64DD12D3" w14:textId="77777777" w:rsidR="00D1587D" w:rsidRDefault="00D1587D">
            <w:pPr>
              <w:rPr>
                <w:sz w:val="3"/>
                <w:szCs w:val="3"/>
              </w:rPr>
            </w:pPr>
          </w:p>
        </w:tc>
        <w:tc>
          <w:tcPr>
            <w:tcW w:w="800" w:type="dxa"/>
            <w:vAlign w:val="bottom"/>
          </w:tcPr>
          <w:p w14:paraId="10280531" w14:textId="77777777" w:rsidR="00D1587D" w:rsidRDefault="00D1587D">
            <w:pPr>
              <w:rPr>
                <w:sz w:val="3"/>
                <w:szCs w:val="3"/>
              </w:rPr>
            </w:pPr>
          </w:p>
        </w:tc>
        <w:tc>
          <w:tcPr>
            <w:tcW w:w="820" w:type="dxa"/>
            <w:vAlign w:val="bottom"/>
          </w:tcPr>
          <w:p w14:paraId="6A5BE8CA" w14:textId="77777777" w:rsidR="00D1587D" w:rsidRDefault="00D1587D">
            <w:pPr>
              <w:rPr>
                <w:sz w:val="3"/>
                <w:szCs w:val="3"/>
              </w:rPr>
            </w:pPr>
          </w:p>
        </w:tc>
        <w:tc>
          <w:tcPr>
            <w:tcW w:w="780" w:type="dxa"/>
            <w:vAlign w:val="bottom"/>
          </w:tcPr>
          <w:p w14:paraId="62FE6BDE" w14:textId="77777777" w:rsidR="00D1587D" w:rsidRDefault="00D1587D">
            <w:pPr>
              <w:rPr>
                <w:sz w:val="3"/>
                <w:szCs w:val="3"/>
              </w:rPr>
            </w:pPr>
          </w:p>
        </w:tc>
      </w:tr>
      <w:tr w:rsidR="00D1587D" w14:paraId="07727A35" w14:textId="77777777">
        <w:trPr>
          <w:trHeight w:val="283"/>
        </w:trPr>
        <w:tc>
          <w:tcPr>
            <w:tcW w:w="4440" w:type="dxa"/>
            <w:shd w:val="clear" w:color="auto" w:fill="CCEEFF"/>
            <w:vAlign w:val="bottom"/>
          </w:tcPr>
          <w:p w14:paraId="375D52DA" w14:textId="77777777" w:rsidR="00D1587D" w:rsidRDefault="00410D07">
            <w:pPr>
              <w:spacing w:line="284" w:lineRule="exact"/>
              <w:rPr>
                <w:sz w:val="20"/>
                <w:szCs w:val="20"/>
              </w:rPr>
            </w:pPr>
            <w:r>
              <w:rPr>
                <w:rFonts w:ascii="Arial" w:eastAsia="Arial" w:hAnsi="Arial" w:cs="Arial"/>
                <w:sz w:val="17"/>
                <w:szCs w:val="17"/>
              </w:rPr>
              <w:t>Adjusted Net Income (Loss)</w:t>
            </w:r>
            <w:r>
              <w:rPr>
                <w:rFonts w:ascii="Arial" w:eastAsia="Arial" w:hAnsi="Arial" w:cs="Arial"/>
                <w:sz w:val="28"/>
                <w:szCs w:val="28"/>
                <w:vertAlign w:val="superscript"/>
              </w:rPr>
              <w:t>(b)</w:t>
            </w:r>
          </w:p>
        </w:tc>
        <w:tc>
          <w:tcPr>
            <w:tcW w:w="760" w:type="dxa"/>
            <w:shd w:val="clear" w:color="auto" w:fill="CCEEFF"/>
            <w:vAlign w:val="bottom"/>
          </w:tcPr>
          <w:p w14:paraId="1240344A" w14:textId="77777777" w:rsidR="00D1587D" w:rsidRDefault="00410D07">
            <w:pPr>
              <w:ind w:right="57"/>
              <w:jc w:val="right"/>
              <w:rPr>
                <w:sz w:val="20"/>
                <w:szCs w:val="20"/>
              </w:rPr>
            </w:pPr>
            <w:r>
              <w:rPr>
                <w:rFonts w:ascii="Arial" w:eastAsia="Arial" w:hAnsi="Arial" w:cs="Arial"/>
                <w:sz w:val="17"/>
                <w:szCs w:val="17"/>
              </w:rPr>
              <w:t>174</w:t>
            </w:r>
          </w:p>
        </w:tc>
        <w:tc>
          <w:tcPr>
            <w:tcW w:w="820" w:type="dxa"/>
            <w:gridSpan w:val="2"/>
            <w:shd w:val="clear" w:color="auto" w:fill="CCEEFF"/>
            <w:vAlign w:val="bottom"/>
          </w:tcPr>
          <w:p w14:paraId="4422AC1C" w14:textId="77777777" w:rsidR="00D1587D" w:rsidRDefault="00410D07">
            <w:pPr>
              <w:ind w:right="120"/>
              <w:jc w:val="right"/>
              <w:rPr>
                <w:sz w:val="20"/>
                <w:szCs w:val="20"/>
              </w:rPr>
            </w:pPr>
            <w:r>
              <w:rPr>
                <w:rFonts w:ascii="Arial" w:eastAsia="Arial" w:hAnsi="Arial" w:cs="Arial"/>
                <w:sz w:val="17"/>
                <w:szCs w:val="17"/>
              </w:rPr>
              <w:t>(227)</w:t>
            </w:r>
          </w:p>
        </w:tc>
        <w:tc>
          <w:tcPr>
            <w:tcW w:w="800" w:type="dxa"/>
            <w:shd w:val="clear" w:color="auto" w:fill="CCEEFF"/>
            <w:vAlign w:val="bottom"/>
          </w:tcPr>
          <w:p w14:paraId="013194FA" w14:textId="77777777" w:rsidR="00D1587D" w:rsidRDefault="00410D07">
            <w:pPr>
              <w:jc w:val="right"/>
              <w:rPr>
                <w:sz w:val="20"/>
                <w:szCs w:val="20"/>
              </w:rPr>
            </w:pPr>
            <w:r>
              <w:rPr>
                <w:rFonts w:ascii="Arial" w:eastAsia="Arial" w:hAnsi="Arial" w:cs="Arial"/>
                <w:sz w:val="17"/>
                <w:szCs w:val="17"/>
              </w:rPr>
              <w:t>87</w:t>
            </w:r>
          </w:p>
        </w:tc>
        <w:tc>
          <w:tcPr>
            <w:tcW w:w="820" w:type="dxa"/>
            <w:shd w:val="clear" w:color="auto" w:fill="CCEEFF"/>
            <w:vAlign w:val="bottom"/>
          </w:tcPr>
          <w:p w14:paraId="662CF663" w14:textId="77777777" w:rsidR="00D1587D" w:rsidRDefault="00410D07">
            <w:pPr>
              <w:jc w:val="right"/>
              <w:rPr>
                <w:sz w:val="20"/>
                <w:szCs w:val="20"/>
              </w:rPr>
            </w:pPr>
            <w:r>
              <w:rPr>
                <w:rFonts w:ascii="Arial" w:eastAsia="Arial" w:hAnsi="Arial" w:cs="Arial"/>
                <w:sz w:val="17"/>
                <w:szCs w:val="17"/>
              </w:rPr>
              <w:t>50</w:t>
            </w:r>
          </w:p>
        </w:tc>
        <w:tc>
          <w:tcPr>
            <w:tcW w:w="780" w:type="dxa"/>
            <w:shd w:val="clear" w:color="auto" w:fill="CCEEFF"/>
            <w:vAlign w:val="bottom"/>
          </w:tcPr>
          <w:p w14:paraId="65F51D50" w14:textId="77777777" w:rsidR="00D1587D" w:rsidRDefault="00410D07">
            <w:pPr>
              <w:jc w:val="right"/>
              <w:rPr>
                <w:sz w:val="20"/>
                <w:szCs w:val="20"/>
              </w:rPr>
            </w:pPr>
            <w:r>
              <w:rPr>
                <w:rFonts w:ascii="Arial" w:eastAsia="Arial" w:hAnsi="Arial" w:cs="Arial"/>
                <w:sz w:val="17"/>
                <w:szCs w:val="17"/>
              </w:rPr>
              <w:t>319</w:t>
            </w:r>
          </w:p>
        </w:tc>
      </w:tr>
      <w:tr w:rsidR="00D1587D" w14:paraId="1EE86C5E" w14:textId="77777777">
        <w:trPr>
          <w:trHeight w:val="284"/>
        </w:trPr>
        <w:tc>
          <w:tcPr>
            <w:tcW w:w="4440" w:type="dxa"/>
            <w:vAlign w:val="bottom"/>
          </w:tcPr>
          <w:p w14:paraId="4DC6E532" w14:textId="77777777" w:rsidR="00D1587D" w:rsidRDefault="00410D07">
            <w:pPr>
              <w:spacing w:line="284" w:lineRule="exact"/>
              <w:rPr>
                <w:sz w:val="20"/>
                <w:szCs w:val="20"/>
              </w:rPr>
            </w:pPr>
            <w:r>
              <w:rPr>
                <w:rFonts w:ascii="Arial" w:eastAsia="Arial" w:hAnsi="Arial" w:cs="Arial"/>
                <w:sz w:val="17"/>
                <w:szCs w:val="17"/>
              </w:rPr>
              <w:t>EBITDA</w:t>
            </w:r>
            <w:r>
              <w:rPr>
                <w:rFonts w:ascii="Arial" w:eastAsia="Arial" w:hAnsi="Arial" w:cs="Arial"/>
                <w:sz w:val="28"/>
                <w:szCs w:val="28"/>
                <w:vertAlign w:val="superscript"/>
              </w:rPr>
              <w:t>(b)</w:t>
            </w:r>
          </w:p>
        </w:tc>
        <w:tc>
          <w:tcPr>
            <w:tcW w:w="760" w:type="dxa"/>
            <w:vAlign w:val="bottom"/>
          </w:tcPr>
          <w:p w14:paraId="625393DE" w14:textId="77777777" w:rsidR="00D1587D" w:rsidRDefault="00410D07">
            <w:pPr>
              <w:ind w:right="57"/>
              <w:jc w:val="right"/>
              <w:rPr>
                <w:sz w:val="20"/>
                <w:szCs w:val="20"/>
              </w:rPr>
            </w:pPr>
            <w:r>
              <w:rPr>
                <w:rFonts w:ascii="Arial" w:eastAsia="Arial" w:hAnsi="Arial" w:cs="Arial"/>
                <w:sz w:val="17"/>
                <w:szCs w:val="17"/>
              </w:rPr>
              <w:t>306</w:t>
            </w:r>
          </w:p>
        </w:tc>
        <w:tc>
          <w:tcPr>
            <w:tcW w:w="820" w:type="dxa"/>
            <w:gridSpan w:val="2"/>
            <w:vAlign w:val="bottom"/>
          </w:tcPr>
          <w:p w14:paraId="3B5C8A49" w14:textId="77777777" w:rsidR="00D1587D" w:rsidRDefault="00410D07">
            <w:pPr>
              <w:ind w:right="120"/>
              <w:jc w:val="right"/>
              <w:rPr>
                <w:sz w:val="20"/>
                <w:szCs w:val="20"/>
              </w:rPr>
            </w:pPr>
            <w:r>
              <w:rPr>
                <w:rFonts w:ascii="Arial" w:eastAsia="Arial" w:hAnsi="Arial" w:cs="Arial"/>
                <w:sz w:val="17"/>
                <w:szCs w:val="17"/>
              </w:rPr>
              <w:t>(285)</w:t>
            </w:r>
          </w:p>
        </w:tc>
        <w:tc>
          <w:tcPr>
            <w:tcW w:w="800" w:type="dxa"/>
            <w:vAlign w:val="bottom"/>
          </w:tcPr>
          <w:p w14:paraId="6831D5CE" w14:textId="77777777" w:rsidR="00D1587D" w:rsidRDefault="00410D07">
            <w:pPr>
              <w:jc w:val="right"/>
              <w:rPr>
                <w:sz w:val="20"/>
                <w:szCs w:val="20"/>
              </w:rPr>
            </w:pPr>
            <w:r>
              <w:rPr>
                <w:rFonts w:ascii="Arial" w:eastAsia="Arial" w:hAnsi="Arial" w:cs="Arial"/>
                <w:sz w:val="17"/>
                <w:szCs w:val="17"/>
              </w:rPr>
              <w:t>226</w:t>
            </w:r>
          </w:p>
        </w:tc>
        <w:tc>
          <w:tcPr>
            <w:tcW w:w="820" w:type="dxa"/>
            <w:vAlign w:val="bottom"/>
          </w:tcPr>
          <w:p w14:paraId="5AE41E05" w14:textId="77777777" w:rsidR="00D1587D" w:rsidRDefault="00410D07">
            <w:pPr>
              <w:jc w:val="right"/>
              <w:rPr>
                <w:sz w:val="20"/>
                <w:szCs w:val="20"/>
              </w:rPr>
            </w:pPr>
            <w:r>
              <w:rPr>
                <w:rFonts w:ascii="Arial" w:eastAsia="Arial" w:hAnsi="Arial" w:cs="Arial"/>
                <w:sz w:val="17"/>
                <w:szCs w:val="17"/>
              </w:rPr>
              <w:t>(480)</w:t>
            </w:r>
          </w:p>
        </w:tc>
        <w:tc>
          <w:tcPr>
            <w:tcW w:w="780" w:type="dxa"/>
            <w:vAlign w:val="bottom"/>
          </w:tcPr>
          <w:p w14:paraId="7C608C04" w14:textId="77777777" w:rsidR="00D1587D" w:rsidRDefault="00410D07">
            <w:pPr>
              <w:jc w:val="right"/>
              <w:rPr>
                <w:sz w:val="20"/>
                <w:szCs w:val="20"/>
              </w:rPr>
            </w:pPr>
            <w:r>
              <w:rPr>
                <w:rFonts w:ascii="Arial" w:eastAsia="Arial" w:hAnsi="Arial" w:cs="Arial"/>
                <w:sz w:val="17"/>
                <w:szCs w:val="17"/>
              </w:rPr>
              <w:t>818</w:t>
            </w:r>
          </w:p>
        </w:tc>
      </w:tr>
      <w:tr w:rsidR="00D1587D" w14:paraId="7AD089BE" w14:textId="77777777">
        <w:trPr>
          <w:trHeight w:val="283"/>
        </w:trPr>
        <w:tc>
          <w:tcPr>
            <w:tcW w:w="4440" w:type="dxa"/>
            <w:shd w:val="clear" w:color="auto" w:fill="CCEEFF"/>
            <w:vAlign w:val="bottom"/>
          </w:tcPr>
          <w:p w14:paraId="55920FD0" w14:textId="77777777" w:rsidR="00D1587D" w:rsidRDefault="00410D07">
            <w:pPr>
              <w:spacing w:line="284" w:lineRule="exact"/>
              <w:rPr>
                <w:sz w:val="20"/>
                <w:szCs w:val="20"/>
              </w:rPr>
            </w:pPr>
            <w:r>
              <w:rPr>
                <w:rFonts w:ascii="Arial" w:eastAsia="Arial" w:hAnsi="Arial" w:cs="Arial"/>
                <w:sz w:val="17"/>
                <w:szCs w:val="17"/>
              </w:rPr>
              <w:t>Adjusted EBITDA</w:t>
            </w:r>
            <w:r>
              <w:rPr>
                <w:rFonts w:ascii="Arial" w:eastAsia="Arial" w:hAnsi="Arial" w:cs="Arial"/>
                <w:sz w:val="28"/>
                <w:szCs w:val="28"/>
                <w:vertAlign w:val="superscript"/>
              </w:rPr>
              <w:t>(b)</w:t>
            </w:r>
          </w:p>
        </w:tc>
        <w:tc>
          <w:tcPr>
            <w:tcW w:w="760" w:type="dxa"/>
            <w:shd w:val="clear" w:color="auto" w:fill="CCEEFF"/>
            <w:vAlign w:val="bottom"/>
          </w:tcPr>
          <w:p w14:paraId="5F758B35" w14:textId="77777777" w:rsidR="00D1587D" w:rsidRDefault="00410D07">
            <w:pPr>
              <w:ind w:right="57"/>
              <w:jc w:val="right"/>
              <w:rPr>
                <w:sz w:val="20"/>
                <w:szCs w:val="20"/>
              </w:rPr>
            </w:pPr>
            <w:r>
              <w:rPr>
                <w:rFonts w:ascii="Arial" w:eastAsia="Arial" w:hAnsi="Arial" w:cs="Arial"/>
                <w:sz w:val="17"/>
                <w:szCs w:val="17"/>
              </w:rPr>
              <w:t>306</w:t>
            </w:r>
          </w:p>
        </w:tc>
        <w:tc>
          <w:tcPr>
            <w:tcW w:w="820" w:type="dxa"/>
            <w:gridSpan w:val="2"/>
            <w:shd w:val="clear" w:color="auto" w:fill="CCEEFF"/>
            <w:vAlign w:val="bottom"/>
          </w:tcPr>
          <w:p w14:paraId="3B6A58A1" w14:textId="77777777" w:rsidR="00D1587D" w:rsidRDefault="00410D07">
            <w:pPr>
              <w:ind w:right="120"/>
              <w:jc w:val="right"/>
              <w:rPr>
                <w:sz w:val="20"/>
                <w:szCs w:val="20"/>
              </w:rPr>
            </w:pPr>
            <w:r>
              <w:rPr>
                <w:rFonts w:ascii="Arial" w:eastAsia="Arial" w:hAnsi="Arial" w:cs="Arial"/>
                <w:sz w:val="17"/>
                <w:szCs w:val="17"/>
              </w:rPr>
              <w:t>(188)</w:t>
            </w:r>
          </w:p>
        </w:tc>
        <w:tc>
          <w:tcPr>
            <w:tcW w:w="800" w:type="dxa"/>
            <w:shd w:val="clear" w:color="auto" w:fill="CCEEFF"/>
            <w:vAlign w:val="bottom"/>
          </w:tcPr>
          <w:p w14:paraId="79D6F34C" w14:textId="77777777" w:rsidR="00D1587D" w:rsidRDefault="00410D07">
            <w:pPr>
              <w:jc w:val="right"/>
              <w:rPr>
                <w:sz w:val="20"/>
                <w:szCs w:val="20"/>
              </w:rPr>
            </w:pPr>
            <w:r>
              <w:rPr>
                <w:rFonts w:ascii="Arial" w:eastAsia="Arial" w:hAnsi="Arial" w:cs="Arial"/>
                <w:sz w:val="17"/>
                <w:szCs w:val="17"/>
              </w:rPr>
              <w:t>425</w:t>
            </w:r>
          </w:p>
        </w:tc>
        <w:tc>
          <w:tcPr>
            <w:tcW w:w="820" w:type="dxa"/>
            <w:shd w:val="clear" w:color="auto" w:fill="CCEEFF"/>
            <w:vAlign w:val="bottom"/>
          </w:tcPr>
          <w:p w14:paraId="4640B082" w14:textId="77777777" w:rsidR="00D1587D" w:rsidRDefault="00410D07">
            <w:pPr>
              <w:jc w:val="right"/>
              <w:rPr>
                <w:sz w:val="20"/>
                <w:szCs w:val="20"/>
              </w:rPr>
            </w:pPr>
            <w:r>
              <w:rPr>
                <w:rFonts w:ascii="Arial" w:eastAsia="Arial" w:hAnsi="Arial" w:cs="Arial"/>
                <w:sz w:val="17"/>
                <w:szCs w:val="17"/>
              </w:rPr>
              <w:t>493</w:t>
            </w:r>
          </w:p>
        </w:tc>
        <w:tc>
          <w:tcPr>
            <w:tcW w:w="780" w:type="dxa"/>
            <w:shd w:val="clear" w:color="auto" w:fill="CCEEFF"/>
            <w:vAlign w:val="bottom"/>
          </w:tcPr>
          <w:p w14:paraId="3AC0357B" w14:textId="77777777" w:rsidR="00D1587D" w:rsidRDefault="00410D07">
            <w:pPr>
              <w:jc w:val="right"/>
              <w:rPr>
                <w:sz w:val="20"/>
                <w:szCs w:val="20"/>
              </w:rPr>
            </w:pPr>
            <w:r>
              <w:rPr>
                <w:rFonts w:ascii="Arial" w:eastAsia="Arial" w:hAnsi="Arial" w:cs="Arial"/>
                <w:sz w:val="17"/>
                <w:szCs w:val="17"/>
              </w:rPr>
              <w:t>899</w:t>
            </w:r>
          </w:p>
        </w:tc>
      </w:tr>
      <w:tr w:rsidR="00D1587D" w14:paraId="10FCC6FC" w14:textId="77777777">
        <w:trPr>
          <w:trHeight w:val="258"/>
        </w:trPr>
        <w:tc>
          <w:tcPr>
            <w:tcW w:w="4440" w:type="dxa"/>
            <w:vAlign w:val="bottom"/>
          </w:tcPr>
          <w:p w14:paraId="2D414AF7" w14:textId="77777777" w:rsidR="00D1587D" w:rsidRDefault="00D1587D"/>
        </w:tc>
        <w:tc>
          <w:tcPr>
            <w:tcW w:w="760" w:type="dxa"/>
            <w:vAlign w:val="bottom"/>
          </w:tcPr>
          <w:p w14:paraId="3CE5B2D5" w14:textId="77777777" w:rsidR="00D1587D" w:rsidRDefault="00D1587D"/>
        </w:tc>
        <w:tc>
          <w:tcPr>
            <w:tcW w:w="2440" w:type="dxa"/>
            <w:gridSpan w:val="4"/>
            <w:vAlign w:val="bottom"/>
          </w:tcPr>
          <w:p w14:paraId="530A6BB2" w14:textId="77777777" w:rsidR="00D1587D" w:rsidRDefault="00410D07">
            <w:pPr>
              <w:ind w:right="256"/>
              <w:jc w:val="right"/>
              <w:rPr>
                <w:sz w:val="20"/>
                <w:szCs w:val="20"/>
              </w:rPr>
            </w:pPr>
            <w:r>
              <w:rPr>
                <w:rFonts w:ascii="Arial" w:eastAsia="Arial" w:hAnsi="Arial" w:cs="Arial"/>
                <w:b/>
                <w:bCs/>
                <w:sz w:val="14"/>
                <w:szCs w:val="14"/>
              </w:rPr>
              <w:t xml:space="preserve">(as a </w:t>
            </w:r>
            <w:r>
              <w:rPr>
                <w:rFonts w:ascii="Arial" w:eastAsia="Arial" w:hAnsi="Arial" w:cs="Arial"/>
                <w:b/>
                <w:bCs/>
                <w:sz w:val="14"/>
                <w:szCs w:val="14"/>
              </w:rPr>
              <w:t>percentage of net sales)</w:t>
            </w:r>
          </w:p>
        </w:tc>
        <w:tc>
          <w:tcPr>
            <w:tcW w:w="780" w:type="dxa"/>
            <w:vAlign w:val="bottom"/>
          </w:tcPr>
          <w:p w14:paraId="51D26F18" w14:textId="77777777" w:rsidR="00D1587D" w:rsidRDefault="00D1587D"/>
        </w:tc>
      </w:tr>
      <w:tr w:rsidR="00D1587D" w14:paraId="38E859FF" w14:textId="77777777">
        <w:trPr>
          <w:trHeight w:val="25"/>
        </w:trPr>
        <w:tc>
          <w:tcPr>
            <w:tcW w:w="4440" w:type="dxa"/>
            <w:vAlign w:val="bottom"/>
          </w:tcPr>
          <w:p w14:paraId="4C6A6E2A" w14:textId="77777777" w:rsidR="00D1587D" w:rsidRDefault="00D1587D">
            <w:pPr>
              <w:rPr>
                <w:sz w:val="2"/>
                <w:szCs w:val="2"/>
              </w:rPr>
            </w:pPr>
          </w:p>
        </w:tc>
        <w:tc>
          <w:tcPr>
            <w:tcW w:w="760" w:type="dxa"/>
            <w:vAlign w:val="bottom"/>
          </w:tcPr>
          <w:p w14:paraId="2A111913" w14:textId="77777777" w:rsidR="00D1587D" w:rsidRDefault="00D1587D">
            <w:pPr>
              <w:rPr>
                <w:sz w:val="2"/>
                <w:szCs w:val="2"/>
              </w:rPr>
            </w:pPr>
          </w:p>
        </w:tc>
        <w:tc>
          <w:tcPr>
            <w:tcW w:w="700" w:type="dxa"/>
            <w:vAlign w:val="bottom"/>
          </w:tcPr>
          <w:p w14:paraId="6CFBC33E" w14:textId="77777777" w:rsidR="00D1587D" w:rsidRDefault="00D1587D">
            <w:pPr>
              <w:rPr>
                <w:sz w:val="2"/>
                <w:szCs w:val="2"/>
              </w:rPr>
            </w:pPr>
          </w:p>
        </w:tc>
        <w:tc>
          <w:tcPr>
            <w:tcW w:w="120" w:type="dxa"/>
            <w:vAlign w:val="bottom"/>
          </w:tcPr>
          <w:p w14:paraId="117E1D75" w14:textId="77777777" w:rsidR="00D1587D" w:rsidRDefault="00D1587D">
            <w:pPr>
              <w:rPr>
                <w:sz w:val="2"/>
                <w:szCs w:val="2"/>
              </w:rPr>
            </w:pPr>
          </w:p>
        </w:tc>
        <w:tc>
          <w:tcPr>
            <w:tcW w:w="800" w:type="dxa"/>
            <w:vAlign w:val="bottom"/>
          </w:tcPr>
          <w:p w14:paraId="2E3CD5C4" w14:textId="77777777" w:rsidR="00D1587D" w:rsidRDefault="00D1587D">
            <w:pPr>
              <w:rPr>
                <w:sz w:val="2"/>
                <w:szCs w:val="2"/>
              </w:rPr>
            </w:pPr>
          </w:p>
        </w:tc>
        <w:tc>
          <w:tcPr>
            <w:tcW w:w="820" w:type="dxa"/>
            <w:vAlign w:val="bottom"/>
          </w:tcPr>
          <w:p w14:paraId="6EE185E2" w14:textId="77777777" w:rsidR="00D1587D" w:rsidRDefault="00D1587D">
            <w:pPr>
              <w:rPr>
                <w:sz w:val="2"/>
                <w:szCs w:val="2"/>
              </w:rPr>
            </w:pPr>
          </w:p>
        </w:tc>
        <w:tc>
          <w:tcPr>
            <w:tcW w:w="780" w:type="dxa"/>
            <w:vAlign w:val="bottom"/>
          </w:tcPr>
          <w:p w14:paraId="5CDA2C75" w14:textId="77777777" w:rsidR="00D1587D" w:rsidRDefault="00D1587D">
            <w:pPr>
              <w:rPr>
                <w:sz w:val="2"/>
                <w:szCs w:val="2"/>
              </w:rPr>
            </w:pPr>
          </w:p>
        </w:tc>
      </w:tr>
      <w:tr w:rsidR="00D1587D" w14:paraId="7C8FE515" w14:textId="77777777">
        <w:trPr>
          <w:trHeight w:val="264"/>
        </w:trPr>
        <w:tc>
          <w:tcPr>
            <w:tcW w:w="4440" w:type="dxa"/>
            <w:tcBorders>
              <w:bottom w:val="single" w:sz="8" w:space="0" w:color="CCEEFF"/>
            </w:tcBorders>
            <w:shd w:val="clear" w:color="auto" w:fill="CCEEFF"/>
            <w:vAlign w:val="bottom"/>
          </w:tcPr>
          <w:p w14:paraId="44D16F24" w14:textId="77777777" w:rsidR="00D1587D" w:rsidRDefault="00410D07">
            <w:pPr>
              <w:rPr>
                <w:sz w:val="20"/>
                <w:szCs w:val="20"/>
              </w:rPr>
            </w:pPr>
            <w:r>
              <w:rPr>
                <w:rFonts w:ascii="Arial" w:eastAsia="Arial" w:hAnsi="Arial" w:cs="Arial"/>
                <w:sz w:val="17"/>
                <w:szCs w:val="17"/>
              </w:rPr>
              <w:t>Gross Profit</w:t>
            </w:r>
          </w:p>
        </w:tc>
        <w:tc>
          <w:tcPr>
            <w:tcW w:w="760" w:type="dxa"/>
            <w:tcBorders>
              <w:bottom w:val="single" w:sz="8" w:space="0" w:color="CCEEFF"/>
            </w:tcBorders>
            <w:shd w:val="clear" w:color="auto" w:fill="CCEEFF"/>
            <w:vAlign w:val="bottom"/>
          </w:tcPr>
          <w:p w14:paraId="31A19A4F" w14:textId="77777777" w:rsidR="00D1587D" w:rsidRDefault="00410D07">
            <w:pPr>
              <w:ind w:right="57"/>
              <w:jc w:val="right"/>
              <w:rPr>
                <w:sz w:val="20"/>
                <w:szCs w:val="20"/>
              </w:rPr>
            </w:pPr>
            <w:r>
              <w:rPr>
                <w:rFonts w:ascii="Arial" w:eastAsia="Arial" w:hAnsi="Arial" w:cs="Arial"/>
                <w:sz w:val="17"/>
                <w:szCs w:val="17"/>
              </w:rPr>
              <w:t>43.2%</w:t>
            </w:r>
          </w:p>
        </w:tc>
        <w:tc>
          <w:tcPr>
            <w:tcW w:w="820" w:type="dxa"/>
            <w:gridSpan w:val="2"/>
            <w:tcBorders>
              <w:bottom w:val="single" w:sz="8" w:space="0" w:color="CCEEFF"/>
            </w:tcBorders>
            <w:shd w:val="clear" w:color="auto" w:fill="CCEEFF"/>
            <w:vAlign w:val="bottom"/>
          </w:tcPr>
          <w:p w14:paraId="1FA9A790" w14:textId="77777777" w:rsidR="00D1587D" w:rsidRDefault="00410D07">
            <w:pPr>
              <w:ind w:right="120"/>
              <w:jc w:val="right"/>
              <w:rPr>
                <w:sz w:val="20"/>
                <w:szCs w:val="20"/>
              </w:rPr>
            </w:pPr>
            <w:r>
              <w:rPr>
                <w:rFonts w:ascii="Arial" w:eastAsia="Arial" w:hAnsi="Arial" w:cs="Arial"/>
                <w:sz w:val="17"/>
                <w:szCs w:val="17"/>
              </w:rPr>
              <w:t>2.3%</w:t>
            </w:r>
          </w:p>
        </w:tc>
        <w:tc>
          <w:tcPr>
            <w:tcW w:w="800" w:type="dxa"/>
            <w:tcBorders>
              <w:bottom w:val="single" w:sz="8" w:space="0" w:color="CCEEFF"/>
            </w:tcBorders>
            <w:shd w:val="clear" w:color="auto" w:fill="CCEEFF"/>
            <w:vAlign w:val="bottom"/>
          </w:tcPr>
          <w:p w14:paraId="4A8DF124" w14:textId="77777777" w:rsidR="00D1587D" w:rsidRDefault="00410D07">
            <w:pPr>
              <w:jc w:val="right"/>
              <w:rPr>
                <w:sz w:val="20"/>
                <w:szCs w:val="20"/>
              </w:rPr>
            </w:pPr>
            <w:r>
              <w:rPr>
                <w:rFonts w:ascii="Arial" w:eastAsia="Arial" w:hAnsi="Arial" w:cs="Arial"/>
                <w:sz w:val="17"/>
                <w:szCs w:val="17"/>
              </w:rPr>
              <w:t>29.0%</w:t>
            </w:r>
          </w:p>
        </w:tc>
        <w:tc>
          <w:tcPr>
            <w:tcW w:w="820" w:type="dxa"/>
            <w:tcBorders>
              <w:bottom w:val="single" w:sz="8" w:space="0" w:color="CCEEFF"/>
            </w:tcBorders>
            <w:shd w:val="clear" w:color="auto" w:fill="CCEEFF"/>
            <w:vAlign w:val="bottom"/>
          </w:tcPr>
          <w:p w14:paraId="4268C3E6" w14:textId="77777777" w:rsidR="00D1587D" w:rsidRDefault="00410D07">
            <w:pPr>
              <w:jc w:val="right"/>
              <w:rPr>
                <w:sz w:val="20"/>
                <w:szCs w:val="20"/>
              </w:rPr>
            </w:pPr>
            <w:r>
              <w:rPr>
                <w:rFonts w:ascii="Arial" w:eastAsia="Arial" w:hAnsi="Arial" w:cs="Arial"/>
                <w:sz w:val="17"/>
                <w:szCs w:val="17"/>
              </w:rPr>
              <w:t>27.5%</w:t>
            </w:r>
          </w:p>
        </w:tc>
        <w:tc>
          <w:tcPr>
            <w:tcW w:w="780" w:type="dxa"/>
            <w:tcBorders>
              <w:bottom w:val="single" w:sz="8" w:space="0" w:color="CCEEFF"/>
            </w:tcBorders>
            <w:shd w:val="clear" w:color="auto" w:fill="CCEEFF"/>
            <w:vAlign w:val="bottom"/>
          </w:tcPr>
          <w:p w14:paraId="483035E1" w14:textId="77777777" w:rsidR="00D1587D" w:rsidRDefault="00410D07">
            <w:pPr>
              <w:jc w:val="right"/>
              <w:rPr>
                <w:sz w:val="20"/>
                <w:szCs w:val="20"/>
              </w:rPr>
            </w:pPr>
            <w:r>
              <w:rPr>
                <w:rFonts w:ascii="Arial" w:eastAsia="Arial" w:hAnsi="Arial" w:cs="Arial"/>
                <w:sz w:val="17"/>
                <w:szCs w:val="17"/>
              </w:rPr>
              <w:t>33.2%</w:t>
            </w:r>
          </w:p>
        </w:tc>
      </w:tr>
      <w:tr w:rsidR="00D1587D" w14:paraId="2643FA34" w14:textId="77777777">
        <w:trPr>
          <w:trHeight w:val="239"/>
        </w:trPr>
        <w:tc>
          <w:tcPr>
            <w:tcW w:w="4440" w:type="dxa"/>
            <w:vAlign w:val="bottom"/>
          </w:tcPr>
          <w:p w14:paraId="3754497F" w14:textId="77777777" w:rsidR="00D1587D" w:rsidRDefault="00410D07">
            <w:pPr>
              <w:rPr>
                <w:sz w:val="20"/>
                <w:szCs w:val="20"/>
              </w:rPr>
            </w:pPr>
            <w:r>
              <w:rPr>
                <w:rFonts w:ascii="Arial" w:eastAsia="Arial" w:hAnsi="Arial" w:cs="Arial"/>
                <w:sz w:val="17"/>
                <w:szCs w:val="17"/>
              </w:rPr>
              <w:t>Operating Income (Loss)</w:t>
            </w:r>
          </w:p>
        </w:tc>
        <w:tc>
          <w:tcPr>
            <w:tcW w:w="760" w:type="dxa"/>
            <w:vAlign w:val="bottom"/>
          </w:tcPr>
          <w:p w14:paraId="37945226" w14:textId="77777777" w:rsidR="00D1587D" w:rsidRDefault="00410D07">
            <w:pPr>
              <w:ind w:right="57"/>
              <w:jc w:val="right"/>
              <w:rPr>
                <w:sz w:val="20"/>
                <w:szCs w:val="20"/>
              </w:rPr>
            </w:pPr>
            <w:r>
              <w:rPr>
                <w:rFonts w:ascii="Arial" w:eastAsia="Arial" w:hAnsi="Arial" w:cs="Arial"/>
                <w:sz w:val="17"/>
                <w:szCs w:val="17"/>
              </w:rPr>
              <w:t>14.5%</w:t>
            </w:r>
          </w:p>
        </w:tc>
        <w:tc>
          <w:tcPr>
            <w:tcW w:w="820" w:type="dxa"/>
            <w:gridSpan w:val="2"/>
            <w:vAlign w:val="bottom"/>
          </w:tcPr>
          <w:p w14:paraId="50203A72" w14:textId="77777777" w:rsidR="00D1587D" w:rsidRDefault="00410D07">
            <w:pPr>
              <w:ind w:right="120"/>
              <w:jc w:val="right"/>
              <w:rPr>
                <w:sz w:val="20"/>
                <w:szCs w:val="20"/>
              </w:rPr>
            </w:pPr>
            <w:r>
              <w:rPr>
                <w:rFonts w:ascii="Arial" w:eastAsia="Arial" w:hAnsi="Arial" w:cs="Arial"/>
                <w:sz w:val="17"/>
                <w:szCs w:val="17"/>
              </w:rPr>
              <w:t>(41.8)%</w:t>
            </w:r>
          </w:p>
        </w:tc>
        <w:tc>
          <w:tcPr>
            <w:tcW w:w="800" w:type="dxa"/>
            <w:vAlign w:val="bottom"/>
          </w:tcPr>
          <w:p w14:paraId="7F6EFB8E" w14:textId="77777777" w:rsidR="00D1587D" w:rsidRDefault="00410D07">
            <w:pPr>
              <w:jc w:val="right"/>
              <w:rPr>
                <w:sz w:val="20"/>
                <w:szCs w:val="20"/>
              </w:rPr>
            </w:pPr>
            <w:r>
              <w:rPr>
                <w:rFonts w:ascii="Arial" w:eastAsia="Arial" w:hAnsi="Arial" w:cs="Arial"/>
                <w:sz w:val="17"/>
                <w:szCs w:val="17"/>
              </w:rPr>
              <w:t>(1.9)%</w:t>
            </w:r>
          </w:p>
        </w:tc>
        <w:tc>
          <w:tcPr>
            <w:tcW w:w="820" w:type="dxa"/>
            <w:vAlign w:val="bottom"/>
          </w:tcPr>
          <w:p w14:paraId="5FB5761D" w14:textId="77777777" w:rsidR="00D1587D" w:rsidRDefault="00410D07">
            <w:pPr>
              <w:jc w:val="right"/>
              <w:rPr>
                <w:sz w:val="20"/>
                <w:szCs w:val="20"/>
              </w:rPr>
            </w:pPr>
            <w:r>
              <w:rPr>
                <w:rFonts w:ascii="Arial" w:eastAsia="Arial" w:hAnsi="Arial" w:cs="Arial"/>
                <w:sz w:val="17"/>
                <w:szCs w:val="17"/>
              </w:rPr>
              <w:t>(11.9)%</w:t>
            </w:r>
          </w:p>
        </w:tc>
        <w:tc>
          <w:tcPr>
            <w:tcW w:w="780" w:type="dxa"/>
            <w:vAlign w:val="bottom"/>
          </w:tcPr>
          <w:p w14:paraId="4F81165E" w14:textId="77777777" w:rsidR="00D1587D" w:rsidRDefault="00410D07">
            <w:pPr>
              <w:jc w:val="right"/>
              <w:rPr>
                <w:sz w:val="20"/>
                <w:szCs w:val="20"/>
              </w:rPr>
            </w:pPr>
            <w:r>
              <w:rPr>
                <w:rFonts w:ascii="Arial" w:eastAsia="Arial" w:hAnsi="Arial" w:cs="Arial"/>
                <w:sz w:val="17"/>
                <w:szCs w:val="17"/>
              </w:rPr>
              <w:t>4.9%</w:t>
            </w:r>
          </w:p>
        </w:tc>
      </w:tr>
      <w:tr w:rsidR="00D1587D" w14:paraId="32AC3996" w14:textId="77777777">
        <w:trPr>
          <w:trHeight w:val="44"/>
        </w:trPr>
        <w:tc>
          <w:tcPr>
            <w:tcW w:w="4440" w:type="dxa"/>
            <w:vAlign w:val="bottom"/>
          </w:tcPr>
          <w:p w14:paraId="18E25F81" w14:textId="77777777" w:rsidR="00D1587D" w:rsidRDefault="00D1587D">
            <w:pPr>
              <w:rPr>
                <w:sz w:val="3"/>
                <w:szCs w:val="3"/>
              </w:rPr>
            </w:pPr>
          </w:p>
        </w:tc>
        <w:tc>
          <w:tcPr>
            <w:tcW w:w="760" w:type="dxa"/>
            <w:vAlign w:val="bottom"/>
          </w:tcPr>
          <w:p w14:paraId="3F769DB2" w14:textId="77777777" w:rsidR="00D1587D" w:rsidRDefault="00D1587D">
            <w:pPr>
              <w:rPr>
                <w:sz w:val="3"/>
                <w:szCs w:val="3"/>
              </w:rPr>
            </w:pPr>
          </w:p>
        </w:tc>
        <w:tc>
          <w:tcPr>
            <w:tcW w:w="700" w:type="dxa"/>
            <w:vAlign w:val="bottom"/>
          </w:tcPr>
          <w:p w14:paraId="448C9A98" w14:textId="77777777" w:rsidR="00D1587D" w:rsidRDefault="00D1587D">
            <w:pPr>
              <w:rPr>
                <w:sz w:val="3"/>
                <w:szCs w:val="3"/>
              </w:rPr>
            </w:pPr>
          </w:p>
        </w:tc>
        <w:tc>
          <w:tcPr>
            <w:tcW w:w="120" w:type="dxa"/>
            <w:vAlign w:val="bottom"/>
          </w:tcPr>
          <w:p w14:paraId="61138665" w14:textId="77777777" w:rsidR="00D1587D" w:rsidRDefault="00D1587D">
            <w:pPr>
              <w:rPr>
                <w:sz w:val="3"/>
                <w:szCs w:val="3"/>
              </w:rPr>
            </w:pPr>
          </w:p>
        </w:tc>
        <w:tc>
          <w:tcPr>
            <w:tcW w:w="800" w:type="dxa"/>
            <w:vAlign w:val="bottom"/>
          </w:tcPr>
          <w:p w14:paraId="4517ADFA" w14:textId="77777777" w:rsidR="00D1587D" w:rsidRDefault="00D1587D">
            <w:pPr>
              <w:rPr>
                <w:sz w:val="3"/>
                <w:szCs w:val="3"/>
              </w:rPr>
            </w:pPr>
          </w:p>
        </w:tc>
        <w:tc>
          <w:tcPr>
            <w:tcW w:w="820" w:type="dxa"/>
            <w:vAlign w:val="bottom"/>
          </w:tcPr>
          <w:p w14:paraId="387A2F21" w14:textId="77777777" w:rsidR="00D1587D" w:rsidRDefault="00D1587D">
            <w:pPr>
              <w:rPr>
                <w:sz w:val="3"/>
                <w:szCs w:val="3"/>
              </w:rPr>
            </w:pPr>
          </w:p>
        </w:tc>
        <w:tc>
          <w:tcPr>
            <w:tcW w:w="780" w:type="dxa"/>
            <w:vAlign w:val="bottom"/>
          </w:tcPr>
          <w:p w14:paraId="426EE0A0" w14:textId="77777777" w:rsidR="00D1587D" w:rsidRDefault="00D1587D">
            <w:pPr>
              <w:rPr>
                <w:sz w:val="3"/>
                <w:szCs w:val="3"/>
              </w:rPr>
            </w:pPr>
          </w:p>
        </w:tc>
      </w:tr>
      <w:tr w:rsidR="00D1587D" w14:paraId="2E3152E7" w14:textId="77777777">
        <w:trPr>
          <w:trHeight w:val="284"/>
        </w:trPr>
        <w:tc>
          <w:tcPr>
            <w:tcW w:w="4440" w:type="dxa"/>
            <w:shd w:val="clear" w:color="auto" w:fill="CCEEFF"/>
            <w:vAlign w:val="bottom"/>
          </w:tcPr>
          <w:p w14:paraId="1429F2B5" w14:textId="77777777" w:rsidR="00D1587D" w:rsidRDefault="00410D07">
            <w:pPr>
              <w:spacing w:line="284" w:lineRule="exact"/>
              <w:rPr>
                <w:sz w:val="20"/>
                <w:szCs w:val="20"/>
              </w:rPr>
            </w:pPr>
            <w:r>
              <w:rPr>
                <w:rFonts w:ascii="Arial" w:eastAsia="Arial" w:hAnsi="Arial" w:cs="Arial"/>
                <w:sz w:val="17"/>
                <w:szCs w:val="17"/>
              </w:rPr>
              <w:t>Adjusted Operating Income (Loss)</w:t>
            </w:r>
            <w:r>
              <w:rPr>
                <w:rFonts w:ascii="Arial" w:eastAsia="Arial" w:hAnsi="Arial" w:cs="Arial"/>
                <w:sz w:val="28"/>
                <w:szCs w:val="28"/>
                <w:vertAlign w:val="superscript"/>
              </w:rPr>
              <w:t>(b)</w:t>
            </w:r>
          </w:p>
        </w:tc>
        <w:tc>
          <w:tcPr>
            <w:tcW w:w="760" w:type="dxa"/>
            <w:shd w:val="clear" w:color="auto" w:fill="CCEEFF"/>
            <w:vAlign w:val="bottom"/>
          </w:tcPr>
          <w:p w14:paraId="2850BA9C" w14:textId="77777777" w:rsidR="00D1587D" w:rsidRDefault="00410D07">
            <w:pPr>
              <w:ind w:right="57"/>
              <w:jc w:val="right"/>
              <w:rPr>
                <w:sz w:val="20"/>
                <w:szCs w:val="20"/>
              </w:rPr>
            </w:pPr>
            <w:r>
              <w:rPr>
                <w:rFonts w:ascii="Arial" w:eastAsia="Arial" w:hAnsi="Arial" w:cs="Arial"/>
                <w:sz w:val="17"/>
                <w:szCs w:val="17"/>
              </w:rPr>
              <w:t>14.5%</w:t>
            </w:r>
          </w:p>
        </w:tc>
        <w:tc>
          <w:tcPr>
            <w:tcW w:w="820" w:type="dxa"/>
            <w:gridSpan w:val="2"/>
            <w:shd w:val="clear" w:color="auto" w:fill="CCEEFF"/>
            <w:vAlign w:val="bottom"/>
          </w:tcPr>
          <w:p w14:paraId="3C13B6A2" w14:textId="77777777" w:rsidR="00D1587D" w:rsidRDefault="00410D07">
            <w:pPr>
              <w:ind w:right="120"/>
              <w:jc w:val="right"/>
              <w:rPr>
                <w:sz w:val="20"/>
                <w:szCs w:val="20"/>
              </w:rPr>
            </w:pPr>
            <w:r>
              <w:rPr>
                <w:rFonts w:ascii="Arial" w:eastAsia="Arial" w:hAnsi="Arial" w:cs="Arial"/>
                <w:sz w:val="17"/>
                <w:szCs w:val="17"/>
              </w:rPr>
              <w:t>(31.0)%</w:t>
            </w:r>
          </w:p>
        </w:tc>
        <w:tc>
          <w:tcPr>
            <w:tcW w:w="800" w:type="dxa"/>
            <w:shd w:val="clear" w:color="auto" w:fill="CCEEFF"/>
            <w:vAlign w:val="bottom"/>
          </w:tcPr>
          <w:p w14:paraId="5B523506" w14:textId="77777777" w:rsidR="00D1587D" w:rsidRDefault="00410D07">
            <w:pPr>
              <w:jc w:val="right"/>
              <w:rPr>
                <w:sz w:val="20"/>
                <w:szCs w:val="20"/>
              </w:rPr>
            </w:pPr>
            <w:r>
              <w:rPr>
                <w:rFonts w:ascii="Arial" w:eastAsia="Arial" w:hAnsi="Arial" w:cs="Arial"/>
                <w:sz w:val="17"/>
                <w:szCs w:val="17"/>
              </w:rPr>
              <w:t>1.8%</w:t>
            </w:r>
          </w:p>
        </w:tc>
        <w:tc>
          <w:tcPr>
            <w:tcW w:w="820" w:type="dxa"/>
            <w:shd w:val="clear" w:color="auto" w:fill="CCEEFF"/>
            <w:vAlign w:val="bottom"/>
          </w:tcPr>
          <w:p w14:paraId="7BC90EA7" w14:textId="77777777" w:rsidR="00D1587D" w:rsidRDefault="00410D07">
            <w:pPr>
              <w:jc w:val="right"/>
              <w:rPr>
                <w:sz w:val="20"/>
                <w:szCs w:val="20"/>
              </w:rPr>
            </w:pPr>
            <w:r>
              <w:rPr>
                <w:rFonts w:ascii="Arial" w:eastAsia="Arial" w:hAnsi="Arial" w:cs="Arial"/>
                <w:sz w:val="17"/>
                <w:szCs w:val="17"/>
              </w:rPr>
              <w:t>1.1%</w:t>
            </w:r>
          </w:p>
        </w:tc>
        <w:tc>
          <w:tcPr>
            <w:tcW w:w="780" w:type="dxa"/>
            <w:shd w:val="clear" w:color="auto" w:fill="CCEEFF"/>
            <w:vAlign w:val="bottom"/>
          </w:tcPr>
          <w:p w14:paraId="6B4416F3" w14:textId="77777777" w:rsidR="00D1587D" w:rsidRDefault="00410D07">
            <w:pPr>
              <w:jc w:val="right"/>
              <w:rPr>
                <w:sz w:val="20"/>
                <w:szCs w:val="20"/>
              </w:rPr>
            </w:pPr>
            <w:r>
              <w:rPr>
                <w:rFonts w:ascii="Arial" w:eastAsia="Arial" w:hAnsi="Arial" w:cs="Arial"/>
                <w:sz w:val="17"/>
                <w:szCs w:val="17"/>
              </w:rPr>
              <w:t>5.9%</w:t>
            </w:r>
          </w:p>
        </w:tc>
      </w:tr>
      <w:tr w:rsidR="00D1587D" w14:paraId="5D2DEACC" w14:textId="77777777">
        <w:trPr>
          <w:trHeight w:val="239"/>
        </w:trPr>
        <w:tc>
          <w:tcPr>
            <w:tcW w:w="4440" w:type="dxa"/>
            <w:vAlign w:val="bottom"/>
          </w:tcPr>
          <w:p w14:paraId="35462DAD" w14:textId="77777777" w:rsidR="00D1587D" w:rsidRDefault="00410D07">
            <w:pPr>
              <w:rPr>
                <w:sz w:val="20"/>
                <w:szCs w:val="20"/>
              </w:rPr>
            </w:pPr>
            <w:r>
              <w:rPr>
                <w:rFonts w:ascii="Arial" w:eastAsia="Arial" w:hAnsi="Arial" w:cs="Arial"/>
                <w:sz w:val="17"/>
                <w:szCs w:val="17"/>
              </w:rPr>
              <w:t>Net Income (Loss)</w:t>
            </w:r>
          </w:p>
        </w:tc>
        <w:tc>
          <w:tcPr>
            <w:tcW w:w="760" w:type="dxa"/>
            <w:vAlign w:val="bottom"/>
          </w:tcPr>
          <w:p w14:paraId="605323CE" w14:textId="77777777" w:rsidR="00D1587D" w:rsidRDefault="00410D07">
            <w:pPr>
              <w:ind w:right="57"/>
              <w:jc w:val="right"/>
              <w:rPr>
                <w:sz w:val="20"/>
                <w:szCs w:val="20"/>
              </w:rPr>
            </w:pPr>
            <w:r>
              <w:rPr>
                <w:rFonts w:ascii="Arial" w:eastAsia="Arial" w:hAnsi="Arial" w:cs="Arial"/>
                <w:sz w:val="17"/>
                <w:szCs w:val="17"/>
              </w:rPr>
              <w:t>11.2%</w:t>
            </w:r>
          </w:p>
        </w:tc>
        <w:tc>
          <w:tcPr>
            <w:tcW w:w="820" w:type="dxa"/>
            <w:gridSpan w:val="2"/>
            <w:vAlign w:val="bottom"/>
          </w:tcPr>
          <w:p w14:paraId="70918D7E" w14:textId="77777777" w:rsidR="00D1587D" w:rsidRDefault="00410D07">
            <w:pPr>
              <w:ind w:right="120"/>
              <w:jc w:val="right"/>
              <w:rPr>
                <w:sz w:val="20"/>
                <w:szCs w:val="20"/>
              </w:rPr>
            </w:pPr>
            <w:r>
              <w:rPr>
                <w:rFonts w:ascii="Arial" w:eastAsia="Arial" w:hAnsi="Arial" w:cs="Arial"/>
                <w:sz w:val="17"/>
                <w:szCs w:val="17"/>
              </w:rPr>
              <w:t>(33.4)%</w:t>
            </w:r>
          </w:p>
        </w:tc>
        <w:tc>
          <w:tcPr>
            <w:tcW w:w="800" w:type="dxa"/>
            <w:vAlign w:val="bottom"/>
          </w:tcPr>
          <w:p w14:paraId="1AEE1E0D" w14:textId="77777777" w:rsidR="00D1587D" w:rsidRDefault="00410D07">
            <w:pPr>
              <w:jc w:val="right"/>
              <w:rPr>
                <w:sz w:val="20"/>
                <w:szCs w:val="20"/>
              </w:rPr>
            </w:pPr>
            <w:r>
              <w:rPr>
                <w:rFonts w:ascii="Arial" w:eastAsia="Arial" w:hAnsi="Arial" w:cs="Arial"/>
                <w:sz w:val="17"/>
                <w:szCs w:val="17"/>
              </w:rPr>
              <w:t>(1.3)%</w:t>
            </w:r>
          </w:p>
        </w:tc>
        <w:tc>
          <w:tcPr>
            <w:tcW w:w="820" w:type="dxa"/>
            <w:vAlign w:val="bottom"/>
          </w:tcPr>
          <w:p w14:paraId="3C039531" w14:textId="77777777" w:rsidR="00D1587D" w:rsidRDefault="00410D07">
            <w:pPr>
              <w:jc w:val="right"/>
              <w:rPr>
                <w:sz w:val="20"/>
                <w:szCs w:val="20"/>
              </w:rPr>
            </w:pPr>
            <w:r>
              <w:rPr>
                <w:rFonts w:ascii="Arial" w:eastAsia="Arial" w:hAnsi="Arial" w:cs="Arial"/>
                <w:sz w:val="17"/>
                <w:szCs w:val="17"/>
              </w:rPr>
              <w:t>(11.9)%</w:t>
            </w:r>
          </w:p>
        </w:tc>
        <w:tc>
          <w:tcPr>
            <w:tcW w:w="780" w:type="dxa"/>
            <w:vAlign w:val="bottom"/>
          </w:tcPr>
          <w:p w14:paraId="707F42AD" w14:textId="77777777" w:rsidR="00D1587D" w:rsidRDefault="00410D07">
            <w:pPr>
              <w:jc w:val="right"/>
              <w:rPr>
                <w:sz w:val="20"/>
                <w:szCs w:val="20"/>
              </w:rPr>
            </w:pPr>
            <w:r>
              <w:rPr>
                <w:rFonts w:ascii="Arial" w:eastAsia="Arial" w:hAnsi="Arial" w:cs="Arial"/>
                <w:sz w:val="17"/>
                <w:szCs w:val="17"/>
              </w:rPr>
              <w:t>3.1%</w:t>
            </w:r>
          </w:p>
        </w:tc>
      </w:tr>
      <w:tr w:rsidR="00D1587D" w14:paraId="36959A6A" w14:textId="77777777">
        <w:trPr>
          <w:trHeight w:val="45"/>
        </w:trPr>
        <w:tc>
          <w:tcPr>
            <w:tcW w:w="4440" w:type="dxa"/>
            <w:vAlign w:val="bottom"/>
          </w:tcPr>
          <w:p w14:paraId="45956901" w14:textId="77777777" w:rsidR="00D1587D" w:rsidRDefault="00D1587D">
            <w:pPr>
              <w:rPr>
                <w:sz w:val="3"/>
                <w:szCs w:val="3"/>
              </w:rPr>
            </w:pPr>
          </w:p>
        </w:tc>
        <w:tc>
          <w:tcPr>
            <w:tcW w:w="760" w:type="dxa"/>
            <w:vAlign w:val="bottom"/>
          </w:tcPr>
          <w:p w14:paraId="0FEA1D7D" w14:textId="77777777" w:rsidR="00D1587D" w:rsidRDefault="00D1587D">
            <w:pPr>
              <w:rPr>
                <w:sz w:val="3"/>
                <w:szCs w:val="3"/>
              </w:rPr>
            </w:pPr>
          </w:p>
        </w:tc>
        <w:tc>
          <w:tcPr>
            <w:tcW w:w="700" w:type="dxa"/>
            <w:vAlign w:val="bottom"/>
          </w:tcPr>
          <w:p w14:paraId="2379FAE3" w14:textId="77777777" w:rsidR="00D1587D" w:rsidRDefault="00D1587D">
            <w:pPr>
              <w:rPr>
                <w:sz w:val="3"/>
                <w:szCs w:val="3"/>
              </w:rPr>
            </w:pPr>
          </w:p>
        </w:tc>
        <w:tc>
          <w:tcPr>
            <w:tcW w:w="120" w:type="dxa"/>
            <w:vAlign w:val="bottom"/>
          </w:tcPr>
          <w:p w14:paraId="199A8BF7" w14:textId="77777777" w:rsidR="00D1587D" w:rsidRDefault="00D1587D">
            <w:pPr>
              <w:rPr>
                <w:sz w:val="3"/>
                <w:szCs w:val="3"/>
              </w:rPr>
            </w:pPr>
          </w:p>
        </w:tc>
        <w:tc>
          <w:tcPr>
            <w:tcW w:w="800" w:type="dxa"/>
            <w:vAlign w:val="bottom"/>
          </w:tcPr>
          <w:p w14:paraId="58F850BB" w14:textId="77777777" w:rsidR="00D1587D" w:rsidRDefault="00D1587D">
            <w:pPr>
              <w:rPr>
                <w:sz w:val="3"/>
                <w:szCs w:val="3"/>
              </w:rPr>
            </w:pPr>
          </w:p>
        </w:tc>
        <w:tc>
          <w:tcPr>
            <w:tcW w:w="820" w:type="dxa"/>
            <w:vAlign w:val="bottom"/>
          </w:tcPr>
          <w:p w14:paraId="493DF325" w14:textId="77777777" w:rsidR="00D1587D" w:rsidRDefault="00D1587D">
            <w:pPr>
              <w:rPr>
                <w:sz w:val="3"/>
                <w:szCs w:val="3"/>
              </w:rPr>
            </w:pPr>
          </w:p>
        </w:tc>
        <w:tc>
          <w:tcPr>
            <w:tcW w:w="780" w:type="dxa"/>
            <w:vAlign w:val="bottom"/>
          </w:tcPr>
          <w:p w14:paraId="68A5AAC8" w14:textId="77777777" w:rsidR="00D1587D" w:rsidRDefault="00D1587D">
            <w:pPr>
              <w:rPr>
                <w:sz w:val="3"/>
                <w:szCs w:val="3"/>
              </w:rPr>
            </w:pPr>
          </w:p>
        </w:tc>
      </w:tr>
      <w:tr w:rsidR="00D1587D" w14:paraId="40AB39F4" w14:textId="77777777">
        <w:trPr>
          <w:trHeight w:val="283"/>
        </w:trPr>
        <w:tc>
          <w:tcPr>
            <w:tcW w:w="4440" w:type="dxa"/>
            <w:shd w:val="clear" w:color="auto" w:fill="CCEEFF"/>
            <w:vAlign w:val="bottom"/>
          </w:tcPr>
          <w:p w14:paraId="2451B398" w14:textId="77777777" w:rsidR="00D1587D" w:rsidRDefault="00410D07">
            <w:pPr>
              <w:spacing w:line="284" w:lineRule="exact"/>
              <w:rPr>
                <w:sz w:val="20"/>
                <w:szCs w:val="20"/>
              </w:rPr>
            </w:pPr>
            <w:r>
              <w:rPr>
                <w:rFonts w:ascii="Arial" w:eastAsia="Arial" w:hAnsi="Arial" w:cs="Arial"/>
                <w:sz w:val="17"/>
                <w:szCs w:val="17"/>
              </w:rPr>
              <w:t>Adjusted Net Income (Loss)</w:t>
            </w:r>
            <w:r>
              <w:rPr>
                <w:rFonts w:ascii="Arial" w:eastAsia="Arial" w:hAnsi="Arial" w:cs="Arial"/>
                <w:sz w:val="28"/>
                <w:szCs w:val="28"/>
                <w:vertAlign w:val="superscript"/>
              </w:rPr>
              <w:t>(b)</w:t>
            </w:r>
          </w:p>
        </w:tc>
        <w:tc>
          <w:tcPr>
            <w:tcW w:w="760" w:type="dxa"/>
            <w:shd w:val="clear" w:color="auto" w:fill="CCEEFF"/>
            <w:vAlign w:val="bottom"/>
          </w:tcPr>
          <w:p w14:paraId="6D6394F3" w14:textId="77777777" w:rsidR="00D1587D" w:rsidRDefault="00410D07">
            <w:pPr>
              <w:ind w:right="57"/>
              <w:jc w:val="right"/>
              <w:rPr>
                <w:sz w:val="20"/>
                <w:szCs w:val="20"/>
              </w:rPr>
            </w:pPr>
            <w:r>
              <w:rPr>
                <w:rFonts w:ascii="Arial" w:eastAsia="Arial" w:hAnsi="Arial" w:cs="Arial"/>
                <w:sz w:val="17"/>
                <w:szCs w:val="17"/>
              </w:rPr>
              <w:t>11.2%</w:t>
            </w:r>
          </w:p>
        </w:tc>
        <w:tc>
          <w:tcPr>
            <w:tcW w:w="820" w:type="dxa"/>
            <w:gridSpan w:val="2"/>
            <w:shd w:val="clear" w:color="auto" w:fill="CCEEFF"/>
            <w:vAlign w:val="bottom"/>
          </w:tcPr>
          <w:p w14:paraId="20561A1A" w14:textId="77777777" w:rsidR="00D1587D" w:rsidRDefault="00410D07">
            <w:pPr>
              <w:ind w:right="120"/>
              <w:jc w:val="right"/>
              <w:rPr>
                <w:sz w:val="20"/>
                <w:szCs w:val="20"/>
              </w:rPr>
            </w:pPr>
            <w:r>
              <w:rPr>
                <w:rFonts w:ascii="Arial" w:eastAsia="Arial" w:hAnsi="Arial" w:cs="Arial"/>
                <w:sz w:val="17"/>
                <w:szCs w:val="17"/>
              </w:rPr>
              <w:t>(25.4)%</w:t>
            </w:r>
          </w:p>
        </w:tc>
        <w:tc>
          <w:tcPr>
            <w:tcW w:w="800" w:type="dxa"/>
            <w:shd w:val="clear" w:color="auto" w:fill="CCEEFF"/>
            <w:vAlign w:val="bottom"/>
          </w:tcPr>
          <w:p w14:paraId="2234199C" w14:textId="77777777" w:rsidR="00D1587D" w:rsidRDefault="00410D07">
            <w:pPr>
              <w:jc w:val="right"/>
              <w:rPr>
                <w:sz w:val="20"/>
                <w:szCs w:val="20"/>
              </w:rPr>
            </w:pPr>
            <w:r>
              <w:rPr>
                <w:rFonts w:ascii="Arial" w:eastAsia="Arial" w:hAnsi="Arial" w:cs="Arial"/>
                <w:sz w:val="17"/>
                <w:szCs w:val="17"/>
              </w:rPr>
              <w:t>1.6%</w:t>
            </w:r>
          </w:p>
        </w:tc>
        <w:tc>
          <w:tcPr>
            <w:tcW w:w="820" w:type="dxa"/>
            <w:shd w:val="clear" w:color="auto" w:fill="CCEEFF"/>
            <w:vAlign w:val="bottom"/>
          </w:tcPr>
          <w:p w14:paraId="43C7380F" w14:textId="77777777" w:rsidR="00D1587D" w:rsidRDefault="00410D07">
            <w:pPr>
              <w:jc w:val="right"/>
              <w:rPr>
                <w:sz w:val="20"/>
                <w:szCs w:val="20"/>
              </w:rPr>
            </w:pPr>
            <w:r>
              <w:rPr>
                <w:rFonts w:ascii="Arial" w:eastAsia="Arial" w:hAnsi="Arial" w:cs="Arial"/>
                <w:sz w:val="17"/>
                <w:szCs w:val="17"/>
              </w:rPr>
              <w:t>0.7%</w:t>
            </w:r>
          </w:p>
        </w:tc>
        <w:tc>
          <w:tcPr>
            <w:tcW w:w="780" w:type="dxa"/>
            <w:shd w:val="clear" w:color="auto" w:fill="CCEEFF"/>
            <w:vAlign w:val="bottom"/>
          </w:tcPr>
          <w:p w14:paraId="4CBE6EBD" w14:textId="77777777" w:rsidR="00D1587D" w:rsidRDefault="00410D07">
            <w:pPr>
              <w:jc w:val="right"/>
              <w:rPr>
                <w:sz w:val="20"/>
                <w:szCs w:val="20"/>
              </w:rPr>
            </w:pPr>
            <w:r>
              <w:rPr>
                <w:rFonts w:ascii="Arial" w:eastAsia="Arial" w:hAnsi="Arial" w:cs="Arial"/>
                <w:sz w:val="17"/>
                <w:szCs w:val="17"/>
              </w:rPr>
              <w:t>3.9%</w:t>
            </w:r>
          </w:p>
        </w:tc>
      </w:tr>
      <w:tr w:rsidR="00D1587D" w14:paraId="7DCCCEB4" w14:textId="77777777">
        <w:trPr>
          <w:trHeight w:val="284"/>
        </w:trPr>
        <w:tc>
          <w:tcPr>
            <w:tcW w:w="4440" w:type="dxa"/>
            <w:vAlign w:val="bottom"/>
          </w:tcPr>
          <w:p w14:paraId="03DB11B2" w14:textId="77777777" w:rsidR="00D1587D" w:rsidRDefault="00410D07">
            <w:pPr>
              <w:spacing w:line="284" w:lineRule="exact"/>
              <w:rPr>
                <w:sz w:val="20"/>
                <w:szCs w:val="20"/>
              </w:rPr>
            </w:pPr>
            <w:r>
              <w:rPr>
                <w:rFonts w:ascii="Arial" w:eastAsia="Arial" w:hAnsi="Arial" w:cs="Arial"/>
                <w:sz w:val="17"/>
                <w:szCs w:val="17"/>
              </w:rPr>
              <w:t>EBITDA</w:t>
            </w:r>
            <w:r>
              <w:rPr>
                <w:rFonts w:ascii="Arial" w:eastAsia="Arial" w:hAnsi="Arial" w:cs="Arial"/>
                <w:sz w:val="28"/>
                <w:szCs w:val="28"/>
                <w:vertAlign w:val="superscript"/>
              </w:rPr>
              <w:t>(b)</w:t>
            </w:r>
          </w:p>
        </w:tc>
        <w:tc>
          <w:tcPr>
            <w:tcW w:w="760" w:type="dxa"/>
            <w:vAlign w:val="bottom"/>
          </w:tcPr>
          <w:p w14:paraId="06429B28" w14:textId="77777777" w:rsidR="00D1587D" w:rsidRDefault="00410D07">
            <w:pPr>
              <w:ind w:right="57"/>
              <w:jc w:val="right"/>
              <w:rPr>
                <w:sz w:val="20"/>
                <w:szCs w:val="20"/>
              </w:rPr>
            </w:pPr>
            <w:r>
              <w:rPr>
                <w:rFonts w:ascii="Arial" w:eastAsia="Arial" w:hAnsi="Arial" w:cs="Arial"/>
                <w:sz w:val="17"/>
                <w:szCs w:val="17"/>
              </w:rPr>
              <w:t>19.6%</w:t>
            </w:r>
          </w:p>
        </w:tc>
        <w:tc>
          <w:tcPr>
            <w:tcW w:w="820" w:type="dxa"/>
            <w:gridSpan w:val="2"/>
            <w:vAlign w:val="bottom"/>
          </w:tcPr>
          <w:p w14:paraId="4446F791" w14:textId="77777777" w:rsidR="00D1587D" w:rsidRDefault="00410D07">
            <w:pPr>
              <w:ind w:right="120"/>
              <w:jc w:val="right"/>
              <w:rPr>
                <w:sz w:val="20"/>
                <w:szCs w:val="20"/>
              </w:rPr>
            </w:pPr>
            <w:r>
              <w:rPr>
                <w:rFonts w:ascii="Arial" w:eastAsia="Arial" w:hAnsi="Arial" w:cs="Arial"/>
                <w:sz w:val="17"/>
                <w:szCs w:val="17"/>
              </w:rPr>
              <w:t>(31.9)%</w:t>
            </w:r>
          </w:p>
        </w:tc>
        <w:tc>
          <w:tcPr>
            <w:tcW w:w="800" w:type="dxa"/>
            <w:vAlign w:val="bottom"/>
          </w:tcPr>
          <w:p w14:paraId="71944BB1" w14:textId="77777777" w:rsidR="00D1587D" w:rsidRDefault="00410D07">
            <w:pPr>
              <w:jc w:val="right"/>
              <w:rPr>
                <w:sz w:val="20"/>
                <w:szCs w:val="20"/>
              </w:rPr>
            </w:pPr>
            <w:r>
              <w:rPr>
                <w:rFonts w:ascii="Arial" w:eastAsia="Arial" w:hAnsi="Arial" w:cs="Arial"/>
                <w:sz w:val="17"/>
                <w:szCs w:val="17"/>
              </w:rPr>
              <w:t>4.2%</w:t>
            </w:r>
          </w:p>
        </w:tc>
        <w:tc>
          <w:tcPr>
            <w:tcW w:w="820" w:type="dxa"/>
            <w:vAlign w:val="bottom"/>
          </w:tcPr>
          <w:p w14:paraId="6128B338" w14:textId="77777777" w:rsidR="00D1587D" w:rsidRDefault="00410D07">
            <w:pPr>
              <w:jc w:val="right"/>
              <w:rPr>
                <w:sz w:val="20"/>
                <w:szCs w:val="20"/>
              </w:rPr>
            </w:pPr>
            <w:r>
              <w:rPr>
                <w:rFonts w:ascii="Arial" w:eastAsia="Arial" w:hAnsi="Arial" w:cs="Arial"/>
                <w:sz w:val="17"/>
                <w:szCs w:val="17"/>
              </w:rPr>
              <w:t>(6.4)%</w:t>
            </w:r>
          </w:p>
        </w:tc>
        <w:tc>
          <w:tcPr>
            <w:tcW w:w="780" w:type="dxa"/>
            <w:vAlign w:val="bottom"/>
          </w:tcPr>
          <w:p w14:paraId="7170572A" w14:textId="77777777" w:rsidR="00D1587D" w:rsidRDefault="00410D07">
            <w:pPr>
              <w:jc w:val="right"/>
              <w:rPr>
                <w:sz w:val="20"/>
                <w:szCs w:val="20"/>
              </w:rPr>
            </w:pPr>
            <w:r>
              <w:rPr>
                <w:rFonts w:ascii="Arial" w:eastAsia="Arial" w:hAnsi="Arial" w:cs="Arial"/>
                <w:sz w:val="17"/>
                <w:szCs w:val="17"/>
              </w:rPr>
              <w:t>10.1%</w:t>
            </w:r>
          </w:p>
        </w:tc>
      </w:tr>
      <w:tr w:rsidR="00D1587D" w14:paraId="540421AD" w14:textId="77777777">
        <w:trPr>
          <w:trHeight w:val="297"/>
        </w:trPr>
        <w:tc>
          <w:tcPr>
            <w:tcW w:w="4440" w:type="dxa"/>
            <w:shd w:val="clear" w:color="auto" w:fill="CCEEFF"/>
            <w:vAlign w:val="bottom"/>
          </w:tcPr>
          <w:p w14:paraId="3522D7B0" w14:textId="77777777" w:rsidR="00D1587D" w:rsidRDefault="00410D07">
            <w:pPr>
              <w:spacing w:line="297" w:lineRule="exact"/>
              <w:rPr>
                <w:sz w:val="20"/>
                <w:szCs w:val="20"/>
              </w:rPr>
            </w:pPr>
            <w:r>
              <w:rPr>
                <w:rFonts w:ascii="Arial" w:eastAsia="Arial" w:hAnsi="Arial" w:cs="Arial"/>
                <w:sz w:val="17"/>
                <w:szCs w:val="17"/>
              </w:rPr>
              <w:t>Adjusted EBITDA</w:t>
            </w:r>
            <w:r>
              <w:rPr>
                <w:rFonts w:ascii="Arial" w:eastAsia="Arial" w:hAnsi="Arial" w:cs="Arial"/>
                <w:sz w:val="28"/>
                <w:szCs w:val="28"/>
                <w:vertAlign w:val="superscript"/>
              </w:rPr>
              <w:t>(b)</w:t>
            </w:r>
          </w:p>
        </w:tc>
        <w:tc>
          <w:tcPr>
            <w:tcW w:w="760" w:type="dxa"/>
            <w:shd w:val="clear" w:color="auto" w:fill="CCEEFF"/>
            <w:vAlign w:val="bottom"/>
          </w:tcPr>
          <w:p w14:paraId="14B93E00" w14:textId="77777777" w:rsidR="00D1587D" w:rsidRDefault="00410D07">
            <w:pPr>
              <w:ind w:right="57"/>
              <w:jc w:val="right"/>
              <w:rPr>
                <w:sz w:val="20"/>
                <w:szCs w:val="20"/>
              </w:rPr>
            </w:pPr>
            <w:r>
              <w:rPr>
                <w:rFonts w:ascii="Arial" w:eastAsia="Arial" w:hAnsi="Arial" w:cs="Arial"/>
                <w:sz w:val="17"/>
                <w:szCs w:val="17"/>
              </w:rPr>
              <w:t>19.6%</w:t>
            </w:r>
          </w:p>
        </w:tc>
        <w:tc>
          <w:tcPr>
            <w:tcW w:w="820" w:type="dxa"/>
            <w:gridSpan w:val="2"/>
            <w:shd w:val="clear" w:color="auto" w:fill="CCEEFF"/>
            <w:vAlign w:val="bottom"/>
          </w:tcPr>
          <w:p w14:paraId="218C4F48" w14:textId="77777777" w:rsidR="00D1587D" w:rsidRDefault="00410D07">
            <w:pPr>
              <w:ind w:right="120"/>
              <w:jc w:val="right"/>
              <w:rPr>
                <w:sz w:val="20"/>
                <w:szCs w:val="20"/>
              </w:rPr>
            </w:pPr>
            <w:r>
              <w:rPr>
                <w:rFonts w:ascii="Arial" w:eastAsia="Arial" w:hAnsi="Arial" w:cs="Arial"/>
                <w:sz w:val="17"/>
                <w:szCs w:val="17"/>
              </w:rPr>
              <w:t>(21.1)%</w:t>
            </w:r>
          </w:p>
        </w:tc>
        <w:tc>
          <w:tcPr>
            <w:tcW w:w="800" w:type="dxa"/>
            <w:shd w:val="clear" w:color="auto" w:fill="CCEEFF"/>
            <w:vAlign w:val="bottom"/>
          </w:tcPr>
          <w:p w14:paraId="1ECA495C" w14:textId="77777777" w:rsidR="00D1587D" w:rsidRDefault="00410D07">
            <w:pPr>
              <w:jc w:val="right"/>
              <w:rPr>
                <w:sz w:val="20"/>
                <w:szCs w:val="20"/>
              </w:rPr>
            </w:pPr>
            <w:r>
              <w:rPr>
                <w:rFonts w:ascii="Arial" w:eastAsia="Arial" w:hAnsi="Arial" w:cs="Arial"/>
                <w:sz w:val="17"/>
                <w:szCs w:val="17"/>
              </w:rPr>
              <w:t>7.9%</w:t>
            </w:r>
          </w:p>
        </w:tc>
        <w:tc>
          <w:tcPr>
            <w:tcW w:w="820" w:type="dxa"/>
            <w:shd w:val="clear" w:color="auto" w:fill="CCEEFF"/>
            <w:vAlign w:val="bottom"/>
          </w:tcPr>
          <w:p w14:paraId="516D1DD8" w14:textId="77777777" w:rsidR="00D1587D" w:rsidRDefault="00410D07">
            <w:pPr>
              <w:jc w:val="right"/>
              <w:rPr>
                <w:sz w:val="20"/>
                <w:szCs w:val="20"/>
              </w:rPr>
            </w:pPr>
            <w:r>
              <w:rPr>
                <w:rFonts w:ascii="Arial" w:eastAsia="Arial" w:hAnsi="Arial" w:cs="Arial"/>
                <w:sz w:val="17"/>
                <w:szCs w:val="17"/>
              </w:rPr>
              <w:t>6.6%</w:t>
            </w:r>
          </w:p>
        </w:tc>
        <w:tc>
          <w:tcPr>
            <w:tcW w:w="780" w:type="dxa"/>
            <w:shd w:val="clear" w:color="auto" w:fill="CCEEFF"/>
            <w:vAlign w:val="bottom"/>
          </w:tcPr>
          <w:p w14:paraId="621ED5FC" w14:textId="77777777" w:rsidR="00D1587D" w:rsidRDefault="00410D07">
            <w:pPr>
              <w:jc w:val="right"/>
              <w:rPr>
                <w:sz w:val="20"/>
                <w:szCs w:val="20"/>
              </w:rPr>
            </w:pPr>
            <w:r>
              <w:rPr>
                <w:rFonts w:ascii="Arial" w:eastAsia="Arial" w:hAnsi="Arial" w:cs="Arial"/>
                <w:sz w:val="17"/>
                <w:szCs w:val="17"/>
              </w:rPr>
              <w:t>11.1%</w:t>
            </w:r>
          </w:p>
        </w:tc>
      </w:tr>
    </w:tbl>
    <w:p w14:paraId="3D8CD0BA" w14:textId="77777777" w:rsidR="00D1587D" w:rsidRDefault="00410D07">
      <w:pPr>
        <w:spacing w:line="20" w:lineRule="exact"/>
        <w:rPr>
          <w:sz w:val="20"/>
          <w:szCs w:val="20"/>
        </w:rPr>
      </w:pPr>
      <w:r>
        <w:rPr>
          <w:noProof/>
          <w:sz w:val="20"/>
          <w:szCs w:val="20"/>
        </w:rPr>
        <w:drawing>
          <wp:anchor distT="0" distB="0" distL="114300" distR="114300" simplePos="0" relativeHeight="251570176" behindDoc="1" locked="0" layoutInCell="0" allowOverlap="1" wp14:anchorId="3B7C9FCF" wp14:editId="370BA363">
            <wp:simplePos x="0" y="0"/>
            <wp:positionH relativeFrom="column">
              <wp:posOffset>5003165</wp:posOffset>
            </wp:positionH>
            <wp:positionV relativeFrom="paragraph">
              <wp:posOffset>-3085465</wp:posOffset>
            </wp:positionV>
            <wp:extent cx="68580" cy="8890"/>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571200" behindDoc="1" locked="0" layoutInCell="0" allowOverlap="1" wp14:anchorId="5487E8FA" wp14:editId="7D019AC1">
            <wp:simplePos x="0" y="0"/>
            <wp:positionH relativeFrom="column">
              <wp:posOffset>4471670</wp:posOffset>
            </wp:positionH>
            <wp:positionV relativeFrom="paragraph">
              <wp:posOffset>-3085465</wp:posOffset>
            </wp:positionV>
            <wp:extent cx="68580" cy="8890"/>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572224" behindDoc="1" locked="0" layoutInCell="0" allowOverlap="1" wp14:anchorId="419AD972" wp14:editId="6C94C3A7">
            <wp:simplePos x="0" y="0"/>
            <wp:positionH relativeFrom="column">
              <wp:posOffset>3940175</wp:posOffset>
            </wp:positionH>
            <wp:positionV relativeFrom="paragraph">
              <wp:posOffset>-3085465</wp:posOffset>
            </wp:positionV>
            <wp:extent cx="68580" cy="8890"/>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573248" behindDoc="1" locked="0" layoutInCell="0" allowOverlap="1" wp14:anchorId="2222C452" wp14:editId="2AD251EF">
            <wp:simplePos x="0" y="0"/>
            <wp:positionH relativeFrom="column">
              <wp:posOffset>3408680</wp:posOffset>
            </wp:positionH>
            <wp:positionV relativeFrom="paragraph">
              <wp:posOffset>-3085465</wp:posOffset>
            </wp:positionV>
            <wp:extent cx="85725" cy="8890"/>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1574272" behindDoc="1" locked="0" layoutInCell="0" allowOverlap="1" wp14:anchorId="619E16FD" wp14:editId="08E4C799">
            <wp:simplePos x="0" y="0"/>
            <wp:positionH relativeFrom="column">
              <wp:posOffset>2971165</wp:posOffset>
            </wp:positionH>
            <wp:positionV relativeFrom="paragraph">
              <wp:posOffset>-3085465</wp:posOffset>
            </wp:positionV>
            <wp:extent cx="43180" cy="8890"/>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8"/>
                    <a:srcRect/>
                    <a:stretch>
                      <a:fillRect/>
                    </a:stretch>
                  </pic:blipFill>
                  <pic:spPr bwMode="auto">
                    <a:xfrm>
                      <a:off x="0" y="0"/>
                      <a:ext cx="43180" cy="8890"/>
                    </a:xfrm>
                    <a:prstGeom prst="rect">
                      <a:avLst/>
                    </a:prstGeom>
                    <a:noFill/>
                  </pic:spPr>
                </pic:pic>
              </a:graphicData>
            </a:graphic>
          </wp:anchor>
        </w:drawing>
      </w:r>
    </w:p>
    <w:p w14:paraId="5E30321B" w14:textId="77777777" w:rsidR="00D1587D" w:rsidRDefault="00D1587D">
      <w:pPr>
        <w:sectPr w:rsidR="00D1587D">
          <w:pgSz w:w="11900" w:h="16838"/>
          <w:pgMar w:top="265" w:right="1440" w:bottom="1440" w:left="1440" w:header="0" w:footer="0" w:gutter="0"/>
          <w:cols w:space="720" w:equalWidth="0">
            <w:col w:w="9019"/>
          </w:cols>
        </w:sectPr>
      </w:pPr>
    </w:p>
    <w:p w14:paraId="79FF1B09" w14:textId="77777777" w:rsidR="00D1587D" w:rsidRDefault="00D1587D">
      <w:pPr>
        <w:spacing w:line="202" w:lineRule="exact"/>
        <w:rPr>
          <w:sz w:val="20"/>
          <w:szCs w:val="20"/>
        </w:rPr>
      </w:pPr>
    </w:p>
    <w:p w14:paraId="4ABD1152" w14:textId="77777777" w:rsidR="00D1587D" w:rsidRDefault="00410D07">
      <w:pPr>
        <w:jc w:val="center"/>
        <w:rPr>
          <w:sz w:val="20"/>
          <w:szCs w:val="20"/>
        </w:rPr>
      </w:pPr>
      <w:r>
        <w:rPr>
          <w:rFonts w:ascii="Arial" w:eastAsia="Arial" w:hAnsi="Arial" w:cs="Arial"/>
          <w:sz w:val="16"/>
          <w:szCs w:val="16"/>
        </w:rPr>
        <w:t>62</w:t>
      </w:r>
    </w:p>
    <w:p w14:paraId="524E43BD" w14:textId="77777777" w:rsidR="00D1587D" w:rsidRDefault="00410D07">
      <w:pPr>
        <w:spacing w:line="20" w:lineRule="exact"/>
        <w:rPr>
          <w:sz w:val="20"/>
          <w:szCs w:val="20"/>
        </w:rPr>
      </w:pPr>
      <w:r>
        <w:rPr>
          <w:noProof/>
          <w:sz w:val="20"/>
          <w:szCs w:val="20"/>
        </w:rPr>
        <w:drawing>
          <wp:anchor distT="0" distB="0" distL="114300" distR="114300" simplePos="0" relativeHeight="251575296" behindDoc="1" locked="0" layoutInCell="0" allowOverlap="1" wp14:anchorId="4BC9EA56" wp14:editId="1C2FB019">
            <wp:simplePos x="0" y="0"/>
            <wp:positionH relativeFrom="column">
              <wp:posOffset>-636905</wp:posOffset>
            </wp:positionH>
            <wp:positionV relativeFrom="paragraph">
              <wp:posOffset>140970</wp:posOffset>
            </wp:positionV>
            <wp:extent cx="6995160" cy="17145"/>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F899868" w14:textId="77777777" w:rsidR="00D1587D" w:rsidRDefault="00D1587D">
      <w:pPr>
        <w:sectPr w:rsidR="00D1587D">
          <w:type w:val="continuous"/>
          <w:pgSz w:w="11900" w:h="16838"/>
          <w:pgMar w:top="265" w:right="1440" w:bottom="1440" w:left="1440" w:header="0" w:footer="0" w:gutter="0"/>
          <w:cols w:space="720" w:equalWidth="0">
            <w:col w:w="9019"/>
          </w:cols>
        </w:sectPr>
      </w:pPr>
    </w:p>
    <w:tbl>
      <w:tblPr>
        <w:tblW w:w="0" w:type="auto"/>
        <w:tblInd w:w="300" w:type="dxa"/>
        <w:tblLayout w:type="fixed"/>
        <w:tblCellMar>
          <w:left w:w="0" w:type="dxa"/>
          <w:right w:w="0" w:type="dxa"/>
        </w:tblCellMar>
        <w:tblLook w:val="04A0" w:firstRow="1" w:lastRow="0" w:firstColumn="1" w:lastColumn="0" w:noHBand="0" w:noVBand="1"/>
      </w:tblPr>
      <w:tblGrid>
        <w:gridCol w:w="1540"/>
        <w:gridCol w:w="2960"/>
        <w:gridCol w:w="880"/>
        <w:gridCol w:w="140"/>
        <w:gridCol w:w="880"/>
        <w:gridCol w:w="1160"/>
        <w:gridCol w:w="860"/>
        <w:gridCol w:w="20"/>
      </w:tblGrid>
      <w:tr w:rsidR="00D1587D" w14:paraId="0F38E999" w14:textId="77777777">
        <w:trPr>
          <w:trHeight w:val="161"/>
        </w:trPr>
        <w:tc>
          <w:tcPr>
            <w:tcW w:w="4500" w:type="dxa"/>
            <w:gridSpan w:val="2"/>
            <w:vAlign w:val="bottom"/>
          </w:tcPr>
          <w:bookmarkStart w:id="320" w:name="page321"/>
          <w:bookmarkEnd w:id="320"/>
          <w:p w14:paraId="7CA89316" w14:textId="77777777" w:rsidR="00D1587D" w:rsidRDefault="00410D07">
            <w:pPr>
              <w:rPr>
                <w:rFonts w:ascii="Arial" w:eastAsia="Arial" w:hAnsi="Arial" w:cs="Arial"/>
                <w:b/>
                <w:bCs/>
                <w:color w:val="0000EE"/>
                <w:sz w:val="14"/>
                <w:szCs w:val="14"/>
              </w:rPr>
            </w:pPr>
            <w:r>
              <w:fldChar w:fldCharType="begin"/>
            </w:r>
            <w:r>
              <w:instrText xml:space="preserve"> HYPERLINK \l "page256" \h </w:instrText>
            </w:r>
            <w:r>
              <w:fldChar w:fldCharType="separate"/>
            </w:r>
            <w:r>
              <w:rPr>
                <w:rFonts w:ascii="Arial" w:eastAsia="Arial" w:hAnsi="Arial" w:cs="Arial"/>
                <w:b/>
                <w:bCs/>
                <w:color w:val="0000EE"/>
                <w:sz w:val="14"/>
                <w:szCs w:val="14"/>
              </w:rPr>
              <w:t>TABLE OF CONTENTS</w:t>
            </w:r>
            <w:r>
              <w:rPr>
                <w:rFonts w:ascii="Arial" w:eastAsia="Arial" w:hAnsi="Arial" w:cs="Arial"/>
                <w:b/>
                <w:bCs/>
                <w:color w:val="0000EE"/>
                <w:sz w:val="14"/>
                <w:szCs w:val="14"/>
              </w:rPr>
              <w:fldChar w:fldCharType="end"/>
            </w:r>
          </w:p>
        </w:tc>
        <w:tc>
          <w:tcPr>
            <w:tcW w:w="880" w:type="dxa"/>
            <w:vAlign w:val="bottom"/>
          </w:tcPr>
          <w:p w14:paraId="6A1FB3DE" w14:textId="77777777" w:rsidR="00D1587D" w:rsidRDefault="00D1587D">
            <w:pPr>
              <w:rPr>
                <w:sz w:val="14"/>
                <w:szCs w:val="14"/>
              </w:rPr>
            </w:pPr>
          </w:p>
        </w:tc>
        <w:tc>
          <w:tcPr>
            <w:tcW w:w="140" w:type="dxa"/>
            <w:vAlign w:val="bottom"/>
          </w:tcPr>
          <w:p w14:paraId="5D4435AC" w14:textId="77777777" w:rsidR="00D1587D" w:rsidRDefault="00D1587D">
            <w:pPr>
              <w:rPr>
                <w:sz w:val="14"/>
                <w:szCs w:val="14"/>
              </w:rPr>
            </w:pPr>
          </w:p>
        </w:tc>
        <w:tc>
          <w:tcPr>
            <w:tcW w:w="880" w:type="dxa"/>
            <w:vAlign w:val="bottom"/>
          </w:tcPr>
          <w:p w14:paraId="1CCBE226" w14:textId="77777777" w:rsidR="00D1587D" w:rsidRDefault="00D1587D">
            <w:pPr>
              <w:rPr>
                <w:sz w:val="14"/>
                <w:szCs w:val="14"/>
              </w:rPr>
            </w:pPr>
          </w:p>
        </w:tc>
        <w:tc>
          <w:tcPr>
            <w:tcW w:w="1160" w:type="dxa"/>
            <w:vAlign w:val="bottom"/>
          </w:tcPr>
          <w:p w14:paraId="54AF9D67" w14:textId="77777777" w:rsidR="00D1587D" w:rsidRDefault="00D1587D">
            <w:pPr>
              <w:rPr>
                <w:sz w:val="14"/>
                <w:szCs w:val="14"/>
              </w:rPr>
            </w:pPr>
          </w:p>
        </w:tc>
        <w:tc>
          <w:tcPr>
            <w:tcW w:w="860" w:type="dxa"/>
            <w:vAlign w:val="bottom"/>
          </w:tcPr>
          <w:p w14:paraId="70364AD6" w14:textId="77777777" w:rsidR="00D1587D" w:rsidRDefault="00D1587D">
            <w:pPr>
              <w:rPr>
                <w:sz w:val="14"/>
                <w:szCs w:val="14"/>
              </w:rPr>
            </w:pPr>
          </w:p>
        </w:tc>
        <w:tc>
          <w:tcPr>
            <w:tcW w:w="0" w:type="dxa"/>
            <w:vAlign w:val="bottom"/>
          </w:tcPr>
          <w:p w14:paraId="6DE1EC73" w14:textId="77777777" w:rsidR="00D1587D" w:rsidRDefault="00D1587D">
            <w:pPr>
              <w:rPr>
                <w:sz w:val="1"/>
                <w:szCs w:val="1"/>
              </w:rPr>
            </w:pPr>
          </w:p>
        </w:tc>
      </w:tr>
      <w:tr w:rsidR="00D1587D" w14:paraId="32C0D505" w14:textId="77777777">
        <w:trPr>
          <w:trHeight w:val="362"/>
        </w:trPr>
        <w:tc>
          <w:tcPr>
            <w:tcW w:w="1540" w:type="dxa"/>
            <w:tcBorders>
              <w:top w:val="single" w:sz="8" w:space="0" w:color="0000EE"/>
            </w:tcBorders>
            <w:vAlign w:val="bottom"/>
          </w:tcPr>
          <w:p w14:paraId="156642C4" w14:textId="77777777" w:rsidR="00D1587D" w:rsidRDefault="00D1587D">
            <w:pPr>
              <w:rPr>
                <w:sz w:val="24"/>
                <w:szCs w:val="24"/>
              </w:rPr>
            </w:pPr>
          </w:p>
        </w:tc>
        <w:tc>
          <w:tcPr>
            <w:tcW w:w="2960" w:type="dxa"/>
            <w:vAlign w:val="bottom"/>
          </w:tcPr>
          <w:p w14:paraId="0F1C04D1" w14:textId="77777777" w:rsidR="00D1587D" w:rsidRDefault="00D1587D">
            <w:pPr>
              <w:rPr>
                <w:sz w:val="24"/>
                <w:szCs w:val="24"/>
              </w:rPr>
            </w:pPr>
          </w:p>
        </w:tc>
        <w:tc>
          <w:tcPr>
            <w:tcW w:w="1020" w:type="dxa"/>
            <w:gridSpan w:val="2"/>
            <w:vAlign w:val="bottom"/>
          </w:tcPr>
          <w:p w14:paraId="40F16E76" w14:textId="77777777" w:rsidR="00D1587D" w:rsidRDefault="00410D07">
            <w:pPr>
              <w:ind w:right="180"/>
              <w:jc w:val="center"/>
              <w:rPr>
                <w:sz w:val="20"/>
                <w:szCs w:val="20"/>
              </w:rPr>
            </w:pPr>
            <w:r>
              <w:rPr>
                <w:rFonts w:ascii="Arial" w:eastAsia="Arial" w:hAnsi="Arial" w:cs="Arial"/>
                <w:b/>
                <w:bCs/>
                <w:w w:val="94"/>
                <w:sz w:val="14"/>
                <w:szCs w:val="14"/>
              </w:rPr>
              <w:t>Thirteen</w:t>
            </w:r>
          </w:p>
        </w:tc>
        <w:tc>
          <w:tcPr>
            <w:tcW w:w="880" w:type="dxa"/>
            <w:vAlign w:val="bottom"/>
          </w:tcPr>
          <w:p w14:paraId="092788FA" w14:textId="77777777" w:rsidR="00D1587D" w:rsidRDefault="00D1587D">
            <w:pPr>
              <w:rPr>
                <w:sz w:val="24"/>
                <w:szCs w:val="24"/>
              </w:rPr>
            </w:pPr>
          </w:p>
        </w:tc>
        <w:tc>
          <w:tcPr>
            <w:tcW w:w="1160" w:type="dxa"/>
            <w:vMerge w:val="restart"/>
            <w:vAlign w:val="bottom"/>
          </w:tcPr>
          <w:p w14:paraId="4CBE85B5" w14:textId="77777777" w:rsidR="00D1587D" w:rsidRDefault="00410D07">
            <w:pPr>
              <w:jc w:val="center"/>
              <w:rPr>
                <w:sz w:val="20"/>
                <w:szCs w:val="20"/>
              </w:rPr>
            </w:pPr>
            <w:r>
              <w:rPr>
                <w:rFonts w:ascii="Arial" w:eastAsia="Arial" w:hAnsi="Arial" w:cs="Arial"/>
                <w:b/>
                <w:bCs/>
                <w:w w:val="92"/>
                <w:sz w:val="14"/>
                <w:szCs w:val="14"/>
              </w:rPr>
              <w:t>Fiscal Year Ended</w:t>
            </w:r>
          </w:p>
        </w:tc>
        <w:tc>
          <w:tcPr>
            <w:tcW w:w="860" w:type="dxa"/>
            <w:vAlign w:val="bottom"/>
          </w:tcPr>
          <w:p w14:paraId="441C5502" w14:textId="77777777" w:rsidR="00D1587D" w:rsidRDefault="00D1587D">
            <w:pPr>
              <w:rPr>
                <w:sz w:val="24"/>
                <w:szCs w:val="24"/>
              </w:rPr>
            </w:pPr>
          </w:p>
        </w:tc>
        <w:tc>
          <w:tcPr>
            <w:tcW w:w="0" w:type="dxa"/>
            <w:vAlign w:val="bottom"/>
          </w:tcPr>
          <w:p w14:paraId="0DF608EB" w14:textId="77777777" w:rsidR="00D1587D" w:rsidRDefault="00D1587D">
            <w:pPr>
              <w:rPr>
                <w:sz w:val="1"/>
                <w:szCs w:val="1"/>
              </w:rPr>
            </w:pPr>
          </w:p>
        </w:tc>
      </w:tr>
      <w:tr w:rsidR="00D1587D" w14:paraId="622D7F08" w14:textId="77777777">
        <w:trPr>
          <w:trHeight w:val="186"/>
        </w:trPr>
        <w:tc>
          <w:tcPr>
            <w:tcW w:w="1540" w:type="dxa"/>
            <w:vAlign w:val="bottom"/>
          </w:tcPr>
          <w:p w14:paraId="2AB8FCC1" w14:textId="77777777" w:rsidR="00D1587D" w:rsidRDefault="00D1587D">
            <w:pPr>
              <w:rPr>
                <w:sz w:val="16"/>
                <w:szCs w:val="16"/>
              </w:rPr>
            </w:pPr>
          </w:p>
        </w:tc>
        <w:tc>
          <w:tcPr>
            <w:tcW w:w="2960" w:type="dxa"/>
            <w:vAlign w:val="bottom"/>
          </w:tcPr>
          <w:p w14:paraId="15C54D16" w14:textId="77777777" w:rsidR="00D1587D" w:rsidRDefault="00D1587D">
            <w:pPr>
              <w:rPr>
                <w:sz w:val="16"/>
                <w:szCs w:val="16"/>
              </w:rPr>
            </w:pPr>
          </w:p>
        </w:tc>
        <w:tc>
          <w:tcPr>
            <w:tcW w:w="1020" w:type="dxa"/>
            <w:gridSpan w:val="2"/>
            <w:vAlign w:val="bottom"/>
          </w:tcPr>
          <w:p w14:paraId="4D2AF7B8" w14:textId="77777777" w:rsidR="00D1587D" w:rsidRDefault="00410D07">
            <w:pPr>
              <w:ind w:right="140"/>
              <w:jc w:val="center"/>
              <w:rPr>
                <w:sz w:val="20"/>
                <w:szCs w:val="20"/>
              </w:rPr>
            </w:pPr>
            <w:r>
              <w:rPr>
                <w:rFonts w:ascii="Arial" w:eastAsia="Arial" w:hAnsi="Arial" w:cs="Arial"/>
                <w:b/>
                <w:bCs/>
                <w:w w:val="92"/>
                <w:sz w:val="14"/>
                <w:szCs w:val="14"/>
              </w:rPr>
              <w:t>Weeks Ended</w:t>
            </w:r>
          </w:p>
        </w:tc>
        <w:tc>
          <w:tcPr>
            <w:tcW w:w="880" w:type="dxa"/>
            <w:vAlign w:val="bottom"/>
          </w:tcPr>
          <w:p w14:paraId="046E2690" w14:textId="77777777" w:rsidR="00D1587D" w:rsidRDefault="00D1587D">
            <w:pPr>
              <w:rPr>
                <w:sz w:val="16"/>
                <w:szCs w:val="16"/>
              </w:rPr>
            </w:pPr>
          </w:p>
        </w:tc>
        <w:tc>
          <w:tcPr>
            <w:tcW w:w="1160" w:type="dxa"/>
            <w:vMerge/>
            <w:vAlign w:val="bottom"/>
          </w:tcPr>
          <w:p w14:paraId="10CA1830" w14:textId="77777777" w:rsidR="00D1587D" w:rsidRDefault="00D1587D">
            <w:pPr>
              <w:rPr>
                <w:sz w:val="16"/>
                <w:szCs w:val="16"/>
              </w:rPr>
            </w:pPr>
          </w:p>
        </w:tc>
        <w:tc>
          <w:tcPr>
            <w:tcW w:w="860" w:type="dxa"/>
            <w:vAlign w:val="bottom"/>
          </w:tcPr>
          <w:p w14:paraId="340EB3EB" w14:textId="77777777" w:rsidR="00D1587D" w:rsidRDefault="00D1587D">
            <w:pPr>
              <w:rPr>
                <w:sz w:val="16"/>
                <w:szCs w:val="16"/>
              </w:rPr>
            </w:pPr>
          </w:p>
        </w:tc>
        <w:tc>
          <w:tcPr>
            <w:tcW w:w="0" w:type="dxa"/>
            <w:vAlign w:val="bottom"/>
          </w:tcPr>
          <w:p w14:paraId="331906FA" w14:textId="77777777" w:rsidR="00D1587D" w:rsidRDefault="00D1587D">
            <w:pPr>
              <w:rPr>
                <w:sz w:val="1"/>
                <w:szCs w:val="1"/>
              </w:rPr>
            </w:pPr>
          </w:p>
        </w:tc>
      </w:tr>
      <w:tr w:rsidR="00D1587D" w14:paraId="2E3DC67B" w14:textId="77777777">
        <w:trPr>
          <w:trHeight w:val="53"/>
        </w:trPr>
        <w:tc>
          <w:tcPr>
            <w:tcW w:w="1540" w:type="dxa"/>
            <w:vAlign w:val="bottom"/>
          </w:tcPr>
          <w:p w14:paraId="066F4A6C" w14:textId="77777777" w:rsidR="00D1587D" w:rsidRDefault="00D1587D">
            <w:pPr>
              <w:rPr>
                <w:sz w:val="4"/>
                <w:szCs w:val="4"/>
              </w:rPr>
            </w:pPr>
          </w:p>
        </w:tc>
        <w:tc>
          <w:tcPr>
            <w:tcW w:w="2960" w:type="dxa"/>
            <w:vAlign w:val="bottom"/>
          </w:tcPr>
          <w:p w14:paraId="7686D604" w14:textId="77777777" w:rsidR="00D1587D" w:rsidRDefault="00D1587D">
            <w:pPr>
              <w:rPr>
                <w:sz w:val="4"/>
                <w:szCs w:val="4"/>
              </w:rPr>
            </w:pPr>
          </w:p>
        </w:tc>
        <w:tc>
          <w:tcPr>
            <w:tcW w:w="880" w:type="dxa"/>
            <w:tcBorders>
              <w:bottom w:val="single" w:sz="8" w:space="0" w:color="auto"/>
            </w:tcBorders>
            <w:vAlign w:val="bottom"/>
          </w:tcPr>
          <w:p w14:paraId="2DCD4DEB" w14:textId="77777777" w:rsidR="00D1587D" w:rsidRDefault="00D1587D">
            <w:pPr>
              <w:rPr>
                <w:sz w:val="4"/>
                <w:szCs w:val="4"/>
              </w:rPr>
            </w:pPr>
          </w:p>
        </w:tc>
        <w:tc>
          <w:tcPr>
            <w:tcW w:w="140" w:type="dxa"/>
            <w:vAlign w:val="bottom"/>
          </w:tcPr>
          <w:p w14:paraId="3832EA97" w14:textId="77777777" w:rsidR="00D1587D" w:rsidRDefault="00D1587D">
            <w:pPr>
              <w:rPr>
                <w:sz w:val="4"/>
                <w:szCs w:val="4"/>
              </w:rPr>
            </w:pPr>
          </w:p>
        </w:tc>
        <w:tc>
          <w:tcPr>
            <w:tcW w:w="880" w:type="dxa"/>
            <w:tcBorders>
              <w:bottom w:val="single" w:sz="8" w:space="0" w:color="auto"/>
            </w:tcBorders>
            <w:vAlign w:val="bottom"/>
          </w:tcPr>
          <w:p w14:paraId="145E81DE" w14:textId="77777777" w:rsidR="00D1587D" w:rsidRDefault="00D1587D">
            <w:pPr>
              <w:rPr>
                <w:sz w:val="4"/>
                <w:szCs w:val="4"/>
              </w:rPr>
            </w:pPr>
          </w:p>
        </w:tc>
        <w:tc>
          <w:tcPr>
            <w:tcW w:w="1160" w:type="dxa"/>
            <w:tcBorders>
              <w:bottom w:val="single" w:sz="8" w:space="0" w:color="auto"/>
            </w:tcBorders>
            <w:vAlign w:val="bottom"/>
          </w:tcPr>
          <w:p w14:paraId="08A8E16B" w14:textId="77777777" w:rsidR="00D1587D" w:rsidRDefault="00D1587D">
            <w:pPr>
              <w:rPr>
                <w:sz w:val="4"/>
                <w:szCs w:val="4"/>
              </w:rPr>
            </w:pPr>
          </w:p>
        </w:tc>
        <w:tc>
          <w:tcPr>
            <w:tcW w:w="860" w:type="dxa"/>
            <w:tcBorders>
              <w:bottom w:val="single" w:sz="8" w:space="0" w:color="auto"/>
            </w:tcBorders>
            <w:vAlign w:val="bottom"/>
          </w:tcPr>
          <w:p w14:paraId="51DC6916" w14:textId="77777777" w:rsidR="00D1587D" w:rsidRDefault="00D1587D">
            <w:pPr>
              <w:rPr>
                <w:sz w:val="4"/>
                <w:szCs w:val="4"/>
              </w:rPr>
            </w:pPr>
          </w:p>
        </w:tc>
        <w:tc>
          <w:tcPr>
            <w:tcW w:w="0" w:type="dxa"/>
            <w:vAlign w:val="bottom"/>
          </w:tcPr>
          <w:p w14:paraId="0FB85912" w14:textId="77777777" w:rsidR="00D1587D" w:rsidRDefault="00D1587D">
            <w:pPr>
              <w:rPr>
                <w:sz w:val="1"/>
                <w:szCs w:val="1"/>
              </w:rPr>
            </w:pPr>
          </w:p>
        </w:tc>
      </w:tr>
      <w:tr w:rsidR="00D1587D" w14:paraId="16D882E7" w14:textId="77777777">
        <w:trPr>
          <w:trHeight w:val="187"/>
        </w:trPr>
        <w:tc>
          <w:tcPr>
            <w:tcW w:w="1540" w:type="dxa"/>
            <w:vAlign w:val="bottom"/>
          </w:tcPr>
          <w:p w14:paraId="12F42657" w14:textId="77777777" w:rsidR="00D1587D" w:rsidRDefault="00D1587D">
            <w:pPr>
              <w:rPr>
                <w:sz w:val="16"/>
                <w:szCs w:val="16"/>
              </w:rPr>
            </w:pPr>
          </w:p>
        </w:tc>
        <w:tc>
          <w:tcPr>
            <w:tcW w:w="2960" w:type="dxa"/>
            <w:vAlign w:val="bottom"/>
          </w:tcPr>
          <w:p w14:paraId="3B6FA049" w14:textId="77777777" w:rsidR="00D1587D" w:rsidRDefault="00D1587D">
            <w:pPr>
              <w:rPr>
                <w:sz w:val="16"/>
                <w:szCs w:val="16"/>
              </w:rPr>
            </w:pPr>
          </w:p>
        </w:tc>
        <w:tc>
          <w:tcPr>
            <w:tcW w:w="1020" w:type="dxa"/>
            <w:gridSpan w:val="2"/>
            <w:vAlign w:val="bottom"/>
          </w:tcPr>
          <w:p w14:paraId="4464F1B4" w14:textId="77777777" w:rsidR="00D1587D" w:rsidRDefault="00410D07">
            <w:pPr>
              <w:ind w:right="160"/>
              <w:jc w:val="center"/>
              <w:rPr>
                <w:sz w:val="20"/>
                <w:szCs w:val="20"/>
              </w:rPr>
            </w:pPr>
            <w:r>
              <w:rPr>
                <w:rFonts w:ascii="Arial" w:eastAsia="Arial" w:hAnsi="Arial" w:cs="Arial"/>
                <w:b/>
                <w:bCs/>
                <w:w w:val="98"/>
                <w:sz w:val="14"/>
                <w:szCs w:val="14"/>
              </w:rPr>
              <w:t>May 1,</w:t>
            </w:r>
          </w:p>
        </w:tc>
        <w:tc>
          <w:tcPr>
            <w:tcW w:w="880" w:type="dxa"/>
            <w:vAlign w:val="bottom"/>
          </w:tcPr>
          <w:p w14:paraId="6F99506B" w14:textId="77777777" w:rsidR="00D1587D" w:rsidRDefault="00410D07">
            <w:pPr>
              <w:ind w:right="13"/>
              <w:jc w:val="right"/>
              <w:rPr>
                <w:sz w:val="20"/>
                <w:szCs w:val="20"/>
              </w:rPr>
            </w:pPr>
            <w:r>
              <w:rPr>
                <w:rFonts w:ascii="Arial" w:eastAsia="Arial" w:hAnsi="Arial" w:cs="Arial"/>
                <w:b/>
                <w:bCs/>
                <w:w w:val="98"/>
                <w:sz w:val="14"/>
                <w:szCs w:val="14"/>
              </w:rPr>
              <w:t>January 30,</w:t>
            </w:r>
          </w:p>
        </w:tc>
        <w:tc>
          <w:tcPr>
            <w:tcW w:w="1160" w:type="dxa"/>
            <w:vAlign w:val="bottom"/>
          </w:tcPr>
          <w:p w14:paraId="67AF0464" w14:textId="77777777" w:rsidR="00D1587D" w:rsidRDefault="00410D07">
            <w:pPr>
              <w:jc w:val="center"/>
              <w:rPr>
                <w:sz w:val="20"/>
                <w:szCs w:val="20"/>
              </w:rPr>
            </w:pPr>
            <w:r>
              <w:rPr>
                <w:rFonts w:ascii="Arial" w:eastAsia="Arial" w:hAnsi="Arial" w:cs="Arial"/>
                <w:b/>
                <w:bCs/>
                <w:w w:val="97"/>
                <w:sz w:val="14"/>
                <w:szCs w:val="14"/>
              </w:rPr>
              <w:t>February 1,</w:t>
            </w:r>
          </w:p>
        </w:tc>
        <w:tc>
          <w:tcPr>
            <w:tcW w:w="860" w:type="dxa"/>
            <w:vAlign w:val="bottom"/>
          </w:tcPr>
          <w:p w14:paraId="40486358" w14:textId="77777777" w:rsidR="00D1587D" w:rsidRDefault="00410D07">
            <w:pPr>
              <w:ind w:right="12"/>
              <w:jc w:val="right"/>
              <w:rPr>
                <w:sz w:val="20"/>
                <w:szCs w:val="20"/>
              </w:rPr>
            </w:pPr>
            <w:r>
              <w:rPr>
                <w:rFonts w:ascii="Arial" w:eastAsia="Arial" w:hAnsi="Arial" w:cs="Arial"/>
                <w:b/>
                <w:bCs/>
                <w:w w:val="97"/>
                <w:sz w:val="14"/>
                <w:szCs w:val="14"/>
              </w:rPr>
              <w:t>February 2,</w:t>
            </w:r>
          </w:p>
        </w:tc>
        <w:tc>
          <w:tcPr>
            <w:tcW w:w="0" w:type="dxa"/>
            <w:vAlign w:val="bottom"/>
          </w:tcPr>
          <w:p w14:paraId="3417F9D7" w14:textId="77777777" w:rsidR="00D1587D" w:rsidRDefault="00D1587D">
            <w:pPr>
              <w:rPr>
                <w:sz w:val="1"/>
                <w:szCs w:val="1"/>
              </w:rPr>
            </w:pPr>
          </w:p>
        </w:tc>
      </w:tr>
      <w:tr w:rsidR="00D1587D" w14:paraId="27C73136" w14:textId="77777777">
        <w:trPr>
          <w:trHeight w:val="186"/>
        </w:trPr>
        <w:tc>
          <w:tcPr>
            <w:tcW w:w="1540" w:type="dxa"/>
            <w:vAlign w:val="bottom"/>
          </w:tcPr>
          <w:p w14:paraId="0B228A93" w14:textId="77777777" w:rsidR="00D1587D" w:rsidRDefault="00D1587D">
            <w:pPr>
              <w:rPr>
                <w:sz w:val="16"/>
                <w:szCs w:val="16"/>
              </w:rPr>
            </w:pPr>
          </w:p>
        </w:tc>
        <w:tc>
          <w:tcPr>
            <w:tcW w:w="2960" w:type="dxa"/>
            <w:vAlign w:val="bottom"/>
          </w:tcPr>
          <w:p w14:paraId="472AD4C9" w14:textId="77777777" w:rsidR="00D1587D" w:rsidRDefault="00D1587D">
            <w:pPr>
              <w:rPr>
                <w:sz w:val="16"/>
                <w:szCs w:val="16"/>
              </w:rPr>
            </w:pPr>
          </w:p>
        </w:tc>
        <w:tc>
          <w:tcPr>
            <w:tcW w:w="880" w:type="dxa"/>
            <w:vAlign w:val="bottom"/>
          </w:tcPr>
          <w:p w14:paraId="51320360" w14:textId="77777777" w:rsidR="00D1587D" w:rsidRDefault="00410D07">
            <w:pPr>
              <w:jc w:val="center"/>
              <w:rPr>
                <w:sz w:val="20"/>
                <w:szCs w:val="20"/>
              </w:rPr>
            </w:pPr>
            <w:r>
              <w:rPr>
                <w:rFonts w:ascii="Arial" w:eastAsia="Arial" w:hAnsi="Arial" w:cs="Arial"/>
                <w:b/>
                <w:bCs/>
                <w:w w:val="89"/>
                <w:sz w:val="14"/>
                <w:szCs w:val="14"/>
              </w:rPr>
              <w:t>2021</w:t>
            </w:r>
          </w:p>
        </w:tc>
        <w:tc>
          <w:tcPr>
            <w:tcW w:w="140" w:type="dxa"/>
            <w:vAlign w:val="bottom"/>
          </w:tcPr>
          <w:p w14:paraId="06B86A59" w14:textId="77777777" w:rsidR="00D1587D" w:rsidRDefault="00D1587D">
            <w:pPr>
              <w:rPr>
                <w:sz w:val="16"/>
                <w:szCs w:val="16"/>
              </w:rPr>
            </w:pPr>
          </w:p>
        </w:tc>
        <w:tc>
          <w:tcPr>
            <w:tcW w:w="880" w:type="dxa"/>
            <w:vAlign w:val="bottom"/>
          </w:tcPr>
          <w:p w14:paraId="6BD47E18" w14:textId="77777777" w:rsidR="00D1587D" w:rsidRDefault="00410D07">
            <w:pPr>
              <w:ind w:right="213"/>
              <w:jc w:val="right"/>
              <w:rPr>
                <w:sz w:val="20"/>
                <w:szCs w:val="20"/>
              </w:rPr>
            </w:pPr>
            <w:r>
              <w:rPr>
                <w:rFonts w:ascii="Arial" w:eastAsia="Arial" w:hAnsi="Arial" w:cs="Arial"/>
                <w:b/>
                <w:bCs/>
                <w:sz w:val="14"/>
                <w:szCs w:val="14"/>
              </w:rPr>
              <w:t>2021</w:t>
            </w:r>
          </w:p>
        </w:tc>
        <w:tc>
          <w:tcPr>
            <w:tcW w:w="1160" w:type="dxa"/>
            <w:vAlign w:val="bottom"/>
          </w:tcPr>
          <w:p w14:paraId="51F64D89" w14:textId="77777777" w:rsidR="00D1587D" w:rsidRDefault="00410D07">
            <w:pPr>
              <w:jc w:val="center"/>
              <w:rPr>
                <w:sz w:val="20"/>
                <w:szCs w:val="20"/>
              </w:rPr>
            </w:pPr>
            <w:r>
              <w:rPr>
                <w:rFonts w:ascii="Arial" w:eastAsia="Arial" w:hAnsi="Arial" w:cs="Arial"/>
                <w:b/>
                <w:bCs/>
                <w:w w:val="89"/>
                <w:sz w:val="14"/>
                <w:szCs w:val="14"/>
              </w:rPr>
              <w:t>2020</w:t>
            </w:r>
          </w:p>
        </w:tc>
        <w:tc>
          <w:tcPr>
            <w:tcW w:w="860" w:type="dxa"/>
            <w:vAlign w:val="bottom"/>
          </w:tcPr>
          <w:p w14:paraId="7109737B" w14:textId="77777777" w:rsidR="00D1587D" w:rsidRDefault="00410D07">
            <w:pPr>
              <w:ind w:right="212"/>
              <w:jc w:val="right"/>
              <w:rPr>
                <w:sz w:val="20"/>
                <w:szCs w:val="20"/>
              </w:rPr>
            </w:pPr>
            <w:r>
              <w:rPr>
                <w:rFonts w:ascii="Arial" w:eastAsia="Arial" w:hAnsi="Arial" w:cs="Arial"/>
                <w:b/>
                <w:bCs/>
                <w:sz w:val="14"/>
                <w:szCs w:val="14"/>
              </w:rPr>
              <w:t>2019</w:t>
            </w:r>
          </w:p>
        </w:tc>
        <w:tc>
          <w:tcPr>
            <w:tcW w:w="0" w:type="dxa"/>
            <w:vAlign w:val="bottom"/>
          </w:tcPr>
          <w:p w14:paraId="12A03969" w14:textId="77777777" w:rsidR="00D1587D" w:rsidRDefault="00D1587D">
            <w:pPr>
              <w:rPr>
                <w:sz w:val="1"/>
                <w:szCs w:val="1"/>
              </w:rPr>
            </w:pPr>
          </w:p>
        </w:tc>
      </w:tr>
      <w:tr w:rsidR="00D1587D" w14:paraId="75B912A8" w14:textId="77777777">
        <w:trPr>
          <w:trHeight w:val="53"/>
        </w:trPr>
        <w:tc>
          <w:tcPr>
            <w:tcW w:w="1540" w:type="dxa"/>
            <w:tcBorders>
              <w:bottom w:val="single" w:sz="8" w:space="0" w:color="CCEEFF"/>
            </w:tcBorders>
            <w:vAlign w:val="bottom"/>
          </w:tcPr>
          <w:p w14:paraId="1FB7A3B6" w14:textId="77777777" w:rsidR="00D1587D" w:rsidRDefault="00D1587D">
            <w:pPr>
              <w:rPr>
                <w:sz w:val="4"/>
                <w:szCs w:val="4"/>
              </w:rPr>
            </w:pPr>
          </w:p>
        </w:tc>
        <w:tc>
          <w:tcPr>
            <w:tcW w:w="2960" w:type="dxa"/>
            <w:tcBorders>
              <w:bottom w:val="single" w:sz="8" w:space="0" w:color="CCEEFF"/>
            </w:tcBorders>
            <w:vAlign w:val="bottom"/>
          </w:tcPr>
          <w:p w14:paraId="63102E58" w14:textId="77777777" w:rsidR="00D1587D" w:rsidRDefault="00D1587D">
            <w:pPr>
              <w:rPr>
                <w:sz w:val="4"/>
                <w:szCs w:val="4"/>
              </w:rPr>
            </w:pPr>
          </w:p>
        </w:tc>
        <w:tc>
          <w:tcPr>
            <w:tcW w:w="880" w:type="dxa"/>
            <w:tcBorders>
              <w:bottom w:val="single" w:sz="8" w:space="0" w:color="auto"/>
            </w:tcBorders>
            <w:vAlign w:val="bottom"/>
          </w:tcPr>
          <w:p w14:paraId="7ECECCC4" w14:textId="77777777" w:rsidR="00D1587D" w:rsidRDefault="00D1587D">
            <w:pPr>
              <w:rPr>
                <w:sz w:val="4"/>
                <w:szCs w:val="4"/>
              </w:rPr>
            </w:pPr>
          </w:p>
        </w:tc>
        <w:tc>
          <w:tcPr>
            <w:tcW w:w="140" w:type="dxa"/>
            <w:tcBorders>
              <w:bottom w:val="single" w:sz="8" w:space="0" w:color="auto"/>
            </w:tcBorders>
            <w:vAlign w:val="bottom"/>
          </w:tcPr>
          <w:p w14:paraId="5E92837F" w14:textId="77777777" w:rsidR="00D1587D" w:rsidRDefault="00D1587D">
            <w:pPr>
              <w:rPr>
                <w:sz w:val="4"/>
                <w:szCs w:val="4"/>
              </w:rPr>
            </w:pPr>
          </w:p>
        </w:tc>
        <w:tc>
          <w:tcPr>
            <w:tcW w:w="2040" w:type="dxa"/>
            <w:gridSpan w:val="2"/>
            <w:tcBorders>
              <w:bottom w:val="single" w:sz="8" w:space="0" w:color="auto"/>
            </w:tcBorders>
            <w:vAlign w:val="bottom"/>
          </w:tcPr>
          <w:p w14:paraId="35CB8890" w14:textId="77777777" w:rsidR="00D1587D" w:rsidRDefault="00D1587D">
            <w:pPr>
              <w:rPr>
                <w:sz w:val="4"/>
                <w:szCs w:val="4"/>
              </w:rPr>
            </w:pPr>
          </w:p>
        </w:tc>
        <w:tc>
          <w:tcPr>
            <w:tcW w:w="860" w:type="dxa"/>
            <w:tcBorders>
              <w:bottom w:val="single" w:sz="8" w:space="0" w:color="auto"/>
            </w:tcBorders>
            <w:vAlign w:val="bottom"/>
          </w:tcPr>
          <w:p w14:paraId="5C42C597" w14:textId="77777777" w:rsidR="00D1587D" w:rsidRDefault="00D1587D">
            <w:pPr>
              <w:rPr>
                <w:sz w:val="4"/>
                <w:szCs w:val="4"/>
              </w:rPr>
            </w:pPr>
          </w:p>
        </w:tc>
        <w:tc>
          <w:tcPr>
            <w:tcW w:w="0" w:type="dxa"/>
            <w:vAlign w:val="bottom"/>
          </w:tcPr>
          <w:p w14:paraId="08A3246D" w14:textId="77777777" w:rsidR="00D1587D" w:rsidRDefault="00D1587D">
            <w:pPr>
              <w:rPr>
                <w:sz w:val="1"/>
                <w:szCs w:val="1"/>
              </w:rPr>
            </w:pPr>
          </w:p>
        </w:tc>
      </w:tr>
      <w:tr w:rsidR="00D1587D" w14:paraId="3D7BCB8F" w14:textId="77777777">
        <w:trPr>
          <w:trHeight w:val="284"/>
        </w:trPr>
        <w:tc>
          <w:tcPr>
            <w:tcW w:w="4500" w:type="dxa"/>
            <w:gridSpan w:val="2"/>
            <w:tcBorders>
              <w:bottom w:val="single" w:sz="8" w:space="0" w:color="CCEEFF"/>
            </w:tcBorders>
            <w:shd w:val="clear" w:color="auto" w:fill="CCEEFF"/>
            <w:vAlign w:val="bottom"/>
          </w:tcPr>
          <w:p w14:paraId="580DA58D" w14:textId="77777777" w:rsidR="00D1587D" w:rsidRDefault="00410D07">
            <w:pPr>
              <w:rPr>
                <w:sz w:val="20"/>
                <w:szCs w:val="20"/>
              </w:rPr>
            </w:pPr>
            <w:r>
              <w:rPr>
                <w:rFonts w:ascii="Arial" w:eastAsia="Arial" w:hAnsi="Arial" w:cs="Arial"/>
                <w:b/>
                <w:bCs/>
                <w:sz w:val="18"/>
                <w:szCs w:val="18"/>
              </w:rPr>
              <w:t>Other Financial Information</w:t>
            </w:r>
          </w:p>
        </w:tc>
        <w:tc>
          <w:tcPr>
            <w:tcW w:w="880" w:type="dxa"/>
            <w:tcBorders>
              <w:bottom w:val="single" w:sz="8" w:space="0" w:color="CCEEFF"/>
            </w:tcBorders>
            <w:shd w:val="clear" w:color="auto" w:fill="CCEEFF"/>
            <w:vAlign w:val="bottom"/>
          </w:tcPr>
          <w:p w14:paraId="1E94E911" w14:textId="77777777" w:rsidR="00D1587D" w:rsidRDefault="00D1587D">
            <w:pPr>
              <w:rPr>
                <w:sz w:val="24"/>
                <w:szCs w:val="24"/>
              </w:rPr>
            </w:pPr>
          </w:p>
        </w:tc>
        <w:tc>
          <w:tcPr>
            <w:tcW w:w="140" w:type="dxa"/>
            <w:tcBorders>
              <w:bottom w:val="single" w:sz="8" w:space="0" w:color="CCEEFF"/>
            </w:tcBorders>
            <w:shd w:val="clear" w:color="auto" w:fill="CCEEFF"/>
            <w:vAlign w:val="bottom"/>
          </w:tcPr>
          <w:p w14:paraId="51BDF8A8" w14:textId="77777777" w:rsidR="00D1587D" w:rsidRDefault="00D1587D">
            <w:pPr>
              <w:rPr>
                <w:sz w:val="24"/>
                <w:szCs w:val="24"/>
              </w:rPr>
            </w:pPr>
          </w:p>
        </w:tc>
        <w:tc>
          <w:tcPr>
            <w:tcW w:w="2040" w:type="dxa"/>
            <w:gridSpan w:val="2"/>
            <w:tcBorders>
              <w:bottom w:val="single" w:sz="8" w:space="0" w:color="CCEEFF"/>
            </w:tcBorders>
            <w:shd w:val="clear" w:color="auto" w:fill="CCEEFF"/>
            <w:vAlign w:val="bottom"/>
          </w:tcPr>
          <w:p w14:paraId="7FF929CE" w14:textId="77777777" w:rsidR="00D1587D" w:rsidRDefault="00410D07">
            <w:pPr>
              <w:ind w:right="653"/>
              <w:jc w:val="right"/>
              <w:rPr>
                <w:sz w:val="20"/>
                <w:szCs w:val="20"/>
              </w:rPr>
            </w:pPr>
            <w:r>
              <w:rPr>
                <w:rFonts w:ascii="Arial" w:eastAsia="Arial" w:hAnsi="Arial" w:cs="Arial"/>
                <w:b/>
                <w:bCs/>
                <w:sz w:val="14"/>
                <w:szCs w:val="14"/>
              </w:rPr>
              <w:t>(in millions)</w:t>
            </w:r>
          </w:p>
        </w:tc>
        <w:tc>
          <w:tcPr>
            <w:tcW w:w="860" w:type="dxa"/>
            <w:tcBorders>
              <w:bottom w:val="single" w:sz="8" w:space="0" w:color="CCEEFF"/>
            </w:tcBorders>
            <w:shd w:val="clear" w:color="auto" w:fill="CCEEFF"/>
            <w:vAlign w:val="bottom"/>
          </w:tcPr>
          <w:p w14:paraId="14C5CFCE" w14:textId="77777777" w:rsidR="00D1587D" w:rsidRDefault="00D1587D">
            <w:pPr>
              <w:rPr>
                <w:sz w:val="24"/>
                <w:szCs w:val="24"/>
              </w:rPr>
            </w:pPr>
          </w:p>
        </w:tc>
        <w:tc>
          <w:tcPr>
            <w:tcW w:w="0" w:type="dxa"/>
            <w:vAlign w:val="bottom"/>
          </w:tcPr>
          <w:p w14:paraId="03C1D101" w14:textId="77777777" w:rsidR="00D1587D" w:rsidRDefault="00D1587D">
            <w:pPr>
              <w:rPr>
                <w:sz w:val="1"/>
                <w:szCs w:val="1"/>
              </w:rPr>
            </w:pPr>
          </w:p>
        </w:tc>
      </w:tr>
      <w:tr w:rsidR="00D1587D" w14:paraId="3143C6E7" w14:textId="77777777">
        <w:trPr>
          <w:trHeight w:val="257"/>
        </w:trPr>
        <w:tc>
          <w:tcPr>
            <w:tcW w:w="4500" w:type="dxa"/>
            <w:gridSpan w:val="2"/>
            <w:vAlign w:val="bottom"/>
          </w:tcPr>
          <w:p w14:paraId="513D0FA1" w14:textId="77777777" w:rsidR="00D1587D" w:rsidRDefault="00410D07">
            <w:pPr>
              <w:rPr>
                <w:sz w:val="20"/>
                <w:szCs w:val="20"/>
              </w:rPr>
            </w:pPr>
            <w:r>
              <w:rPr>
                <w:rFonts w:ascii="Arial" w:eastAsia="Arial" w:hAnsi="Arial" w:cs="Arial"/>
                <w:sz w:val="18"/>
                <w:szCs w:val="18"/>
              </w:rPr>
              <w:t xml:space="preserve">Cash and </w:t>
            </w:r>
            <w:r>
              <w:rPr>
                <w:rFonts w:ascii="Arial" w:eastAsia="Arial" w:hAnsi="Arial" w:cs="Arial"/>
                <w:sz w:val="18"/>
                <w:szCs w:val="18"/>
              </w:rPr>
              <w:t>Cash Equivalents</w:t>
            </w:r>
          </w:p>
        </w:tc>
        <w:tc>
          <w:tcPr>
            <w:tcW w:w="880" w:type="dxa"/>
            <w:vAlign w:val="bottom"/>
          </w:tcPr>
          <w:p w14:paraId="2E8D75CC" w14:textId="77777777" w:rsidR="00D1587D" w:rsidRDefault="00410D07">
            <w:pPr>
              <w:ind w:right="94"/>
              <w:jc w:val="right"/>
              <w:rPr>
                <w:sz w:val="20"/>
                <w:szCs w:val="20"/>
              </w:rPr>
            </w:pPr>
            <w:r>
              <w:rPr>
                <w:rFonts w:ascii="Arial" w:eastAsia="Arial" w:hAnsi="Arial" w:cs="Arial"/>
                <w:sz w:val="18"/>
                <w:szCs w:val="18"/>
              </w:rPr>
              <w:t>$   332</w:t>
            </w:r>
          </w:p>
        </w:tc>
        <w:tc>
          <w:tcPr>
            <w:tcW w:w="140" w:type="dxa"/>
            <w:vAlign w:val="bottom"/>
          </w:tcPr>
          <w:p w14:paraId="03ECD294" w14:textId="77777777" w:rsidR="00D1587D" w:rsidRDefault="00D1587D"/>
        </w:tc>
        <w:tc>
          <w:tcPr>
            <w:tcW w:w="880" w:type="dxa"/>
            <w:vAlign w:val="bottom"/>
          </w:tcPr>
          <w:p w14:paraId="2F572579" w14:textId="77777777" w:rsidR="00D1587D" w:rsidRDefault="00410D07">
            <w:pPr>
              <w:ind w:right="153"/>
              <w:jc w:val="right"/>
              <w:rPr>
                <w:sz w:val="20"/>
                <w:szCs w:val="20"/>
              </w:rPr>
            </w:pPr>
            <w:r>
              <w:rPr>
                <w:rFonts w:ascii="Arial" w:eastAsia="Arial" w:hAnsi="Arial" w:cs="Arial"/>
                <w:sz w:val="18"/>
                <w:szCs w:val="18"/>
              </w:rPr>
              <w:t>$   335</w:t>
            </w:r>
          </w:p>
        </w:tc>
        <w:tc>
          <w:tcPr>
            <w:tcW w:w="1160" w:type="dxa"/>
            <w:vAlign w:val="bottom"/>
          </w:tcPr>
          <w:p w14:paraId="3D456527" w14:textId="77777777" w:rsidR="00D1587D" w:rsidRDefault="00410D07">
            <w:pPr>
              <w:ind w:right="293"/>
              <w:jc w:val="right"/>
              <w:rPr>
                <w:sz w:val="20"/>
                <w:szCs w:val="20"/>
              </w:rPr>
            </w:pPr>
            <w:r>
              <w:rPr>
                <w:rFonts w:ascii="Arial" w:eastAsia="Arial" w:hAnsi="Arial" w:cs="Arial"/>
                <w:sz w:val="18"/>
                <w:szCs w:val="18"/>
              </w:rPr>
              <w:t>$   245</w:t>
            </w:r>
          </w:p>
        </w:tc>
        <w:tc>
          <w:tcPr>
            <w:tcW w:w="860" w:type="dxa"/>
            <w:vAlign w:val="bottom"/>
          </w:tcPr>
          <w:p w14:paraId="2A466CF9" w14:textId="77777777" w:rsidR="00D1587D" w:rsidRDefault="00410D07">
            <w:pPr>
              <w:ind w:right="132"/>
              <w:jc w:val="right"/>
              <w:rPr>
                <w:sz w:val="20"/>
                <w:szCs w:val="20"/>
              </w:rPr>
            </w:pPr>
            <w:r>
              <w:rPr>
                <w:rFonts w:ascii="Arial" w:eastAsia="Arial" w:hAnsi="Arial" w:cs="Arial"/>
                <w:sz w:val="18"/>
                <w:szCs w:val="18"/>
              </w:rPr>
              <w:t>$   369</w:t>
            </w:r>
          </w:p>
        </w:tc>
        <w:tc>
          <w:tcPr>
            <w:tcW w:w="0" w:type="dxa"/>
            <w:vAlign w:val="bottom"/>
          </w:tcPr>
          <w:p w14:paraId="6ACF6432" w14:textId="77777777" w:rsidR="00D1587D" w:rsidRDefault="00D1587D">
            <w:pPr>
              <w:rPr>
                <w:sz w:val="1"/>
                <w:szCs w:val="1"/>
              </w:rPr>
            </w:pPr>
          </w:p>
        </w:tc>
      </w:tr>
      <w:tr w:rsidR="00D1587D" w14:paraId="545DDDE9" w14:textId="77777777">
        <w:trPr>
          <w:trHeight w:val="41"/>
        </w:trPr>
        <w:tc>
          <w:tcPr>
            <w:tcW w:w="1540" w:type="dxa"/>
            <w:vAlign w:val="bottom"/>
          </w:tcPr>
          <w:p w14:paraId="103265C3" w14:textId="77777777" w:rsidR="00D1587D" w:rsidRDefault="00D1587D">
            <w:pPr>
              <w:rPr>
                <w:sz w:val="3"/>
                <w:szCs w:val="3"/>
              </w:rPr>
            </w:pPr>
          </w:p>
        </w:tc>
        <w:tc>
          <w:tcPr>
            <w:tcW w:w="2960" w:type="dxa"/>
            <w:vAlign w:val="bottom"/>
          </w:tcPr>
          <w:p w14:paraId="78769525" w14:textId="77777777" w:rsidR="00D1587D" w:rsidRDefault="00D1587D">
            <w:pPr>
              <w:rPr>
                <w:sz w:val="3"/>
                <w:szCs w:val="3"/>
              </w:rPr>
            </w:pPr>
          </w:p>
        </w:tc>
        <w:tc>
          <w:tcPr>
            <w:tcW w:w="880" w:type="dxa"/>
            <w:vAlign w:val="bottom"/>
          </w:tcPr>
          <w:p w14:paraId="7844AC31" w14:textId="77777777" w:rsidR="00D1587D" w:rsidRDefault="00D1587D">
            <w:pPr>
              <w:rPr>
                <w:sz w:val="3"/>
                <w:szCs w:val="3"/>
              </w:rPr>
            </w:pPr>
          </w:p>
        </w:tc>
        <w:tc>
          <w:tcPr>
            <w:tcW w:w="140" w:type="dxa"/>
            <w:vAlign w:val="bottom"/>
          </w:tcPr>
          <w:p w14:paraId="7D8EC876" w14:textId="77777777" w:rsidR="00D1587D" w:rsidRDefault="00D1587D">
            <w:pPr>
              <w:rPr>
                <w:sz w:val="3"/>
                <w:szCs w:val="3"/>
              </w:rPr>
            </w:pPr>
          </w:p>
        </w:tc>
        <w:tc>
          <w:tcPr>
            <w:tcW w:w="880" w:type="dxa"/>
            <w:vAlign w:val="bottom"/>
          </w:tcPr>
          <w:p w14:paraId="69AD5006" w14:textId="77777777" w:rsidR="00D1587D" w:rsidRDefault="00D1587D">
            <w:pPr>
              <w:rPr>
                <w:sz w:val="3"/>
                <w:szCs w:val="3"/>
              </w:rPr>
            </w:pPr>
          </w:p>
        </w:tc>
        <w:tc>
          <w:tcPr>
            <w:tcW w:w="1160" w:type="dxa"/>
            <w:vAlign w:val="bottom"/>
          </w:tcPr>
          <w:p w14:paraId="38E3EB71" w14:textId="77777777" w:rsidR="00D1587D" w:rsidRDefault="00D1587D">
            <w:pPr>
              <w:rPr>
                <w:sz w:val="3"/>
                <w:szCs w:val="3"/>
              </w:rPr>
            </w:pPr>
          </w:p>
        </w:tc>
        <w:tc>
          <w:tcPr>
            <w:tcW w:w="860" w:type="dxa"/>
            <w:vAlign w:val="bottom"/>
          </w:tcPr>
          <w:p w14:paraId="1ACC3228" w14:textId="77777777" w:rsidR="00D1587D" w:rsidRDefault="00D1587D">
            <w:pPr>
              <w:rPr>
                <w:sz w:val="3"/>
                <w:szCs w:val="3"/>
              </w:rPr>
            </w:pPr>
          </w:p>
        </w:tc>
        <w:tc>
          <w:tcPr>
            <w:tcW w:w="0" w:type="dxa"/>
            <w:vAlign w:val="bottom"/>
          </w:tcPr>
          <w:p w14:paraId="26ACF5C9" w14:textId="77777777" w:rsidR="00D1587D" w:rsidRDefault="00D1587D">
            <w:pPr>
              <w:rPr>
                <w:sz w:val="1"/>
                <w:szCs w:val="1"/>
              </w:rPr>
            </w:pPr>
          </w:p>
        </w:tc>
      </w:tr>
      <w:tr w:rsidR="00D1587D" w14:paraId="2D45607F" w14:textId="77777777">
        <w:trPr>
          <w:trHeight w:val="297"/>
        </w:trPr>
        <w:tc>
          <w:tcPr>
            <w:tcW w:w="4500" w:type="dxa"/>
            <w:gridSpan w:val="2"/>
            <w:shd w:val="clear" w:color="auto" w:fill="CCEEFF"/>
            <w:vAlign w:val="bottom"/>
          </w:tcPr>
          <w:p w14:paraId="30170ED5" w14:textId="77777777" w:rsidR="00D1587D" w:rsidRDefault="00410D07">
            <w:pPr>
              <w:spacing w:line="296" w:lineRule="exact"/>
              <w:rPr>
                <w:sz w:val="20"/>
                <w:szCs w:val="20"/>
              </w:rPr>
            </w:pPr>
            <w:r>
              <w:rPr>
                <w:rFonts w:ascii="Arial" w:eastAsia="Arial" w:hAnsi="Arial" w:cs="Arial"/>
                <w:sz w:val="18"/>
                <w:szCs w:val="18"/>
              </w:rPr>
              <w:t>Total Assets</w:t>
            </w:r>
            <w:r>
              <w:rPr>
                <w:rFonts w:ascii="Arial" w:eastAsia="Arial" w:hAnsi="Arial" w:cs="Arial"/>
                <w:sz w:val="29"/>
                <w:szCs w:val="29"/>
                <w:vertAlign w:val="superscript"/>
              </w:rPr>
              <w:t>(c)</w:t>
            </w:r>
          </w:p>
        </w:tc>
        <w:tc>
          <w:tcPr>
            <w:tcW w:w="880" w:type="dxa"/>
            <w:shd w:val="clear" w:color="auto" w:fill="CCEEFF"/>
            <w:vAlign w:val="bottom"/>
          </w:tcPr>
          <w:p w14:paraId="7FA0DD63" w14:textId="77777777" w:rsidR="00D1587D" w:rsidRDefault="00410D07">
            <w:pPr>
              <w:ind w:right="74"/>
              <w:jc w:val="right"/>
              <w:rPr>
                <w:sz w:val="20"/>
                <w:szCs w:val="20"/>
              </w:rPr>
            </w:pPr>
            <w:r>
              <w:rPr>
                <w:rFonts w:ascii="Arial" w:eastAsia="Arial" w:hAnsi="Arial" w:cs="Arial"/>
                <w:sz w:val="18"/>
                <w:szCs w:val="18"/>
              </w:rPr>
              <w:t>4,247</w:t>
            </w:r>
          </w:p>
        </w:tc>
        <w:tc>
          <w:tcPr>
            <w:tcW w:w="140" w:type="dxa"/>
            <w:shd w:val="clear" w:color="auto" w:fill="CCEEFF"/>
            <w:vAlign w:val="bottom"/>
          </w:tcPr>
          <w:p w14:paraId="595A2144" w14:textId="77777777" w:rsidR="00D1587D" w:rsidRDefault="00D1587D">
            <w:pPr>
              <w:rPr>
                <w:sz w:val="24"/>
                <w:szCs w:val="24"/>
              </w:rPr>
            </w:pPr>
          </w:p>
        </w:tc>
        <w:tc>
          <w:tcPr>
            <w:tcW w:w="880" w:type="dxa"/>
            <w:shd w:val="clear" w:color="auto" w:fill="CCEEFF"/>
            <w:vAlign w:val="bottom"/>
          </w:tcPr>
          <w:p w14:paraId="71BB02BE" w14:textId="77777777" w:rsidR="00D1587D" w:rsidRDefault="00410D07">
            <w:pPr>
              <w:ind w:right="133"/>
              <w:jc w:val="right"/>
              <w:rPr>
                <w:sz w:val="20"/>
                <w:szCs w:val="20"/>
              </w:rPr>
            </w:pPr>
            <w:r>
              <w:rPr>
                <w:rFonts w:ascii="Arial" w:eastAsia="Arial" w:hAnsi="Arial" w:cs="Arial"/>
                <w:sz w:val="18"/>
                <w:szCs w:val="18"/>
              </w:rPr>
              <w:t>4,229</w:t>
            </w:r>
          </w:p>
        </w:tc>
        <w:tc>
          <w:tcPr>
            <w:tcW w:w="1160" w:type="dxa"/>
            <w:shd w:val="clear" w:color="auto" w:fill="CCEEFF"/>
            <w:vAlign w:val="bottom"/>
          </w:tcPr>
          <w:p w14:paraId="2E653972" w14:textId="77777777" w:rsidR="00D1587D" w:rsidRDefault="00410D07">
            <w:pPr>
              <w:ind w:right="293"/>
              <w:jc w:val="right"/>
              <w:rPr>
                <w:sz w:val="20"/>
                <w:szCs w:val="20"/>
              </w:rPr>
            </w:pPr>
            <w:r>
              <w:rPr>
                <w:rFonts w:ascii="Arial" w:eastAsia="Arial" w:hAnsi="Arial" w:cs="Arial"/>
                <w:sz w:val="18"/>
                <w:szCs w:val="18"/>
              </w:rPr>
              <w:t>5,270</w:t>
            </w:r>
          </w:p>
        </w:tc>
        <w:tc>
          <w:tcPr>
            <w:tcW w:w="860" w:type="dxa"/>
            <w:shd w:val="clear" w:color="auto" w:fill="CCEEFF"/>
            <w:vAlign w:val="bottom"/>
          </w:tcPr>
          <w:p w14:paraId="7C599F28" w14:textId="77777777" w:rsidR="00D1587D" w:rsidRDefault="00410D07">
            <w:pPr>
              <w:ind w:right="132"/>
              <w:jc w:val="right"/>
              <w:rPr>
                <w:sz w:val="20"/>
                <w:szCs w:val="20"/>
              </w:rPr>
            </w:pPr>
            <w:r>
              <w:rPr>
                <w:rFonts w:ascii="Arial" w:eastAsia="Arial" w:hAnsi="Arial" w:cs="Arial"/>
                <w:sz w:val="18"/>
                <w:szCs w:val="18"/>
              </w:rPr>
              <w:t>4,447</w:t>
            </w:r>
          </w:p>
        </w:tc>
        <w:tc>
          <w:tcPr>
            <w:tcW w:w="0" w:type="dxa"/>
            <w:vAlign w:val="bottom"/>
          </w:tcPr>
          <w:p w14:paraId="153BAC15" w14:textId="77777777" w:rsidR="00D1587D" w:rsidRDefault="00D1587D">
            <w:pPr>
              <w:rPr>
                <w:sz w:val="1"/>
                <w:szCs w:val="1"/>
              </w:rPr>
            </w:pPr>
          </w:p>
        </w:tc>
      </w:tr>
      <w:tr w:rsidR="00D1587D" w14:paraId="38FF83AD" w14:textId="77777777">
        <w:trPr>
          <w:trHeight w:val="297"/>
        </w:trPr>
        <w:tc>
          <w:tcPr>
            <w:tcW w:w="4500" w:type="dxa"/>
            <w:gridSpan w:val="2"/>
            <w:vAlign w:val="bottom"/>
          </w:tcPr>
          <w:p w14:paraId="5993AAD2" w14:textId="77777777" w:rsidR="00D1587D" w:rsidRDefault="00410D07">
            <w:pPr>
              <w:spacing w:line="296" w:lineRule="exact"/>
              <w:rPr>
                <w:sz w:val="20"/>
                <w:szCs w:val="20"/>
              </w:rPr>
            </w:pPr>
            <w:r>
              <w:rPr>
                <w:rFonts w:ascii="Arial" w:eastAsia="Arial" w:hAnsi="Arial" w:cs="Arial"/>
                <w:sz w:val="18"/>
                <w:szCs w:val="18"/>
              </w:rPr>
              <w:t>Working Capital</w:t>
            </w:r>
            <w:r>
              <w:rPr>
                <w:rFonts w:ascii="Arial" w:eastAsia="Arial" w:hAnsi="Arial" w:cs="Arial"/>
                <w:sz w:val="29"/>
                <w:szCs w:val="29"/>
                <w:vertAlign w:val="superscript"/>
              </w:rPr>
              <w:t>(c)</w:t>
            </w:r>
          </w:p>
        </w:tc>
        <w:tc>
          <w:tcPr>
            <w:tcW w:w="880" w:type="dxa"/>
            <w:vAlign w:val="bottom"/>
          </w:tcPr>
          <w:p w14:paraId="110D2D75" w14:textId="77777777" w:rsidR="00D1587D" w:rsidRDefault="00410D07">
            <w:pPr>
              <w:ind w:right="34"/>
              <w:jc w:val="right"/>
              <w:rPr>
                <w:sz w:val="20"/>
                <w:szCs w:val="20"/>
              </w:rPr>
            </w:pPr>
            <w:r>
              <w:rPr>
                <w:rFonts w:ascii="Arial" w:eastAsia="Arial" w:hAnsi="Arial" w:cs="Arial"/>
                <w:sz w:val="18"/>
                <w:szCs w:val="18"/>
              </w:rPr>
              <w:t>(145)</w:t>
            </w:r>
          </w:p>
        </w:tc>
        <w:tc>
          <w:tcPr>
            <w:tcW w:w="140" w:type="dxa"/>
            <w:vAlign w:val="bottom"/>
          </w:tcPr>
          <w:p w14:paraId="41959BF3" w14:textId="77777777" w:rsidR="00D1587D" w:rsidRDefault="00D1587D">
            <w:pPr>
              <w:rPr>
                <w:sz w:val="24"/>
                <w:szCs w:val="24"/>
              </w:rPr>
            </w:pPr>
          </w:p>
        </w:tc>
        <w:tc>
          <w:tcPr>
            <w:tcW w:w="880" w:type="dxa"/>
            <w:vAlign w:val="bottom"/>
          </w:tcPr>
          <w:p w14:paraId="238C86D5" w14:textId="77777777" w:rsidR="00D1587D" w:rsidRDefault="00410D07">
            <w:pPr>
              <w:ind w:right="93"/>
              <w:jc w:val="right"/>
              <w:rPr>
                <w:sz w:val="20"/>
                <w:szCs w:val="20"/>
              </w:rPr>
            </w:pPr>
            <w:r>
              <w:rPr>
                <w:rFonts w:ascii="Arial" w:eastAsia="Arial" w:hAnsi="Arial" w:cs="Arial"/>
                <w:sz w:val="18"/>
                <w:szCs w:val="18"/>
              </w:rPr>
              <w:t>(317)</w:t>
            </w:r>
          </w:p>
        </w:tc>
        <w:tc>
          <w:tcPr>
            <w:tcW w:w="1160" w:type="dxa"/>
            <w:vAlign w:val="bottom"/>
          </w:tcPr>
          <w:p w14:paraId="611D4CC7" w14:textId="77777777" w:rsidR="00D1587D" w:rsidRDefault="00410D07">
            <w:pPr>
              <w:ind w:right="233"/>
              <w:jc w:val="right"/>
              <w:rPr>
                <w:sz w:val="20"/>
                <w:szCs w:val="20"/>
              </w:rPr>
            </w:pPr>
            <w:r>
              <w:rPr>
                <w:rFonts w:ascii="Arial" w:eastAsia="Arial" w:hAnsi="Arial" w:cs="Arial"/>
                <w:sz w:val="18"/>
                <w:szCs w:val="18"/>
              </w:rPr>
              <w:t>(82)</w:t>
            </w:r>
          </w:p>
        </w:tc>
        <w:tc>
          <w:tcPr>
            <w:tcW w:w="860" w:type="dxa"/>
            <w:vAlign w:val="bottom"/>
          </w:tcPr>
          <w:p w14:paraId="3C175F5C" w14:textId="77777777" w:rsidR="00D1587D" w:rsidRDefault="00410D07">
            <w:pPr>
              <w:ind w:right="132"/>
              <w:jc w:val="right"/>
              <w:rPr>
                <w:sz w:val="20"/>
                <w:szCs w:val="20"/>
              </w:rPr>
            </w:pPr>
            <w:r>
              <w:rPr>
                <w:rFonts w:ascii="Arial" w:eastAsia="Arial" w:hAnsi="Arial" w:cs="Arial"/>
                <w:sz w:val="18"/>
                <w:szCs w:val="18"/>
              </w:rPr>
              <w:t>303</w:t>
            </w:r>
          </w:p>
        </w:tc>
        <w:tc>
          <w:tcPr>
            <w:tcW w:w="0" w:type="dxa"/>
            <w:vAlign w:val="bottom"/>
          </w:tcPr>
          <w:p w14:paraId="67B229EE" w14:textId="77777777" w:rsidR="00D1587D" w:rsidRDefault="00D1587D">
            <w:pPr>
              <w:rPr>
                <w:sz w:val="1"/>
                <w:szCs w:val="1"/>
              </w:rPr>
            </w:pPr>
          </w:p>
        </w:tc>
      </w:tr>
      <w:tr w:rsidR="00D1587D" w14:paraId="39523EE4" w14:textId="77777777">
        <w:trPr>
          <w:trHeight w:val="277"/>
        </w:trPr>
        <w:tc>
          <w:tcPr>
            <w:tcW w:w="4500" w:type="dxa"/>
            <w:gridSpan w:val="2"/>
            <w:tcBorders>
              <w:bottom w:val="single" w:sz="8" w:space="0" w:color="CCEEFF"/>
            </w:tcBorders>
            <w:shd w:val="clear" w:color="auto" w:fill="CCEEFF"/>
            <w:vAlign w:val="bottom"/>
          </w:tcPr>
          <w:p w14:paraId="3D6B531F" w14:textId="77777777" w:rsidR="00D1587D" w:rsidRDefault="00410D07">
            <w:pPr>
              <w:rPr>
                <w:sz w:val="20"/>
                <w:szCs w:val="20"/>
              </w:rPr>
            </w:pPr>
            <w:r>
              <w:rPr>
                <w:rFonts w:ascii="Arial" w:eastAsia="Arial" w:hAnsi="Arial" w:cs="Arial"/>
                <w:sz w:val="18"/>
                <w:szCs w:val="18"/>
              </w:rPr>
              <w:t>Net Cash Provided by Operating Activities</w:t>
            </w:r>
          </w:p>
        </w:tc>
        <w:tc>
          <w:tcPr>
            <w:tcW w:w="880" w:type="dxa"/>
            <w:tcBorders>
              <w:bottom w:val="single" w:sz="8" w:space="0" w:color="CCEEFF"/>
            </w:tcBorders>
            <w:shd w:val="clear" w:color="auto" w:fill="CCEEFF"/>
            <w:vAlign w:val="bottom"/>
          </w:tcPr>
          <w:p w14:paraId="5960ACD8" w14:textId="77777777" w:rsidR="00D1587D" w:rsidRDefault="00410D07">
            <w:pPr>
              <w:ind w:right="74"/>
              <w:jc w:val="right"/>
              <w:rPr>
                <w:sz w:val="20"/>
                <w:szCs w:val="20"/>
              </w:rPr>
            </w:pPr>
            <w:r>
              <w:rPr>
                <w:rFonts w:ascii="Arial" w:eastAsia="Arial" w:hAnsi="Arial" w:cs="Arial"/>
                <w:sz w:val="18"/>
                <w:szCs w:val="18"/>
              </w:rPr>
              <w:t>102</w:t>
            </w:r>
          </w:p>
        </w:tc>
        <w:tc>
          <w:tcPr>
            <w:tcW w:w="140" w:type="dxa"/>
            <w:tcBorders>
              <w:bottom w:val="single" w:sz="8" w:space="0" w:color="CCEEFF"/>
            </w:tcBorders>
            <w:shd w:val="clear" w:color="auto" w:fill="CCEEFF"/>
            <w:vAlign w:val="bottom"/>
          </w:tcPr>
          <w:p w14:paraId="6CD3B97A" w14:textId="77777777" w:rsidR="00D1587D" w:rsidRDefault="00D1587D">
            <w:pPr>
              <w:rPr>
                <w:sz w:val="24"/>
                <w:szCs w:val="24"/>
              </w:rPr>
            </w:pPr>
          </w:p>
        </w:tc>
        <w:tc>
          <w:tcPr>
            <w:tcW w:w="880" w:type="dxa"/>
            <w:tcBorders>
              <w:bottom w:val="single" w:sz="8" w:space="0" w:color="CCEEFF"/>
            </w:tcBorders>
            <w:shd w:val="clear" w:color="auto" w:fill="CCEEFF"/>
            <w:vAlign w:val="bottom"/>
          </w:tcPr>
          <w:p w14:paraId="117F6373" w14:textId="77777777" w:rsidR="00D1587D" w:rsidRDefault="00410D07">
            <w:pPr>
              <w:ind w:right="133"/>
              <w:jc w:val="right"/>
              <w:rPr>
                <w:sz w:val="20"/>
                <w:szCs w:val="20"/>
              </w:rPr>
            </w:pPr>
            <w:r>
              <w:rPr>
                <w:rFonts w:ascii="Arial" w:eastAsia="Arial" w:hAnsi="Arial" w:cs="Arial"/>
                <w:sz w:val="18"/>
                <w:szCs w:val="18"/>
              </w:rPr>
              <w:t>674</w:t>
            </w:r>
          </w:p>
        </w:tc>
        <w:tc>
          <w:tcPr>
            <w:tcW w:w="1160" w:type="dxa"/>
            <w:tcBorders>
              <w:bottom w:val="single" w:sz="8" w:space="0" w:color="CCEEFF"/>
            </w:tcBorders>
            <w:shd w:val="clear" w:color="auto" w:fill="CCEEFF"/>
            <w:vAlign w:val="bottom"/>
          </w:tcPr>
          <w:p w14:paraId="5F16FC6E" w14:textId="77777777" w:rsidR="00D1587D" w:rsidRDefault="00410D07">
            <w:pPr>
              <w:ind w:right="293"/>
              <w:jc w:val="right"/>
              <w:rPr>
                <w:sz w:val="20"/>
                <w:szCs w:val="20"/>
              </w:rPr>
            </w:pPr>
            <w:r>
              <w:rPr>
                <w:rFonts w:ascii="Arial" w:eastAsia="Arial" w:hAnsi="Arial" w:cs="Arial"/>
                <w:sz w:val="18"/>
                <w:szCs w:val="18"/>
              </w:rPr>
              <w:t>315</w:t>
            </w:r>
          </w:p>
        </w:tc>
        <w:tc>
          <w:tcPr>
            <w:tcW w:w="860" w:type="dxa"/>
            <w:tcBorders>
              <w:bottom w:val="single" w:sz="8" w:space="0" w:color="CCEEFF"/>
            </w:tcBorders>
            <w:shd w:val="clear" w:color="auto" w:fill="CCEEFF"/>
            <w:vAlign w:val="bottom"/>
          </w:tcPr>
          <w:p w14:paraId="0FDEF702" w14:textId="77777777" w:rsidR="00D1587D" w:rsidRDefault="00410D07">
            <w:pPr>
              <w:ind w:right="132"/>
              <w:jc w:val="right"/>
              <w:rPr>
                <w:sz w:val="20"/>
                <w:szCs w:val="20"/>
              </w:rPr>
            </w:pPr>
            <w:r>
              <w:rPr>
                <w:rFonts w:ascii="Arial" w:eastAsia="Arial" w:hAnsi="Arial" w:cs="Arial"/>
                <w:sz w:val="18"/>
                <w:szCs w:val="18"/>
              </w:rPr>
              <w:t>698</w:t>
            </w:r>
          </w:p>
        </w:tc>
        <w:tc>
          <w:tcPr>
            <w:tcW w:w="0" w:type="dxa"/>
            <w:vAlign w:val="bottom"/>
          </w:tcPr>
          <w:p w14:paraId="77B6C28B" w14:textId="77777777" w:rsidR="00D1587D" w:rsidRDefault="00D1587D">
            <w:pPr>
              <w:rPr>
                <w:sz w:val="1"/>
                <w:szCs w:val="1"/>
              </w:rPr>
            </w:pPr>
          </w:p>
        </w:tc>
      </w:tr>
      <w:tr w:rsidR="00D1587D" w14:paraId="687FBB06" w14:textId="77777777">
        <w:trPr>
          <w:trHeight w:val="257"/>
        </w:trPr>
        <w:tc>
          <w:tcPr>
            <w:tcW w:w="4500" w:type="dxa"/>
            <w:gridSpan w:val="2"/>
            <w:vAlign w:val="bottom"/>
          </w:tcPr>
          <w:p w14:paraId="234375FD" w14:textId="77777777" w:rsidR="00D1587D" w:rsidRDefault="00410D07">
            <w:pPr>
              <w:rPr>
                <w:sz w:val="20"/>
                <w:szCs w:val="20"/>
              </w:rPr>
            </w:pPr>
            <w:r>
              <w:rPr>
                <w:rFonts w:ascii="Arial" w:eastAsia="Arial" w:hAnsi="Arial" w:cs="Arial"/>
                <w:sz w:val="18"/>
                <w:szCs w:val="18"/>
              </w:rPr>
              <w:t>Capital Expenditures</w:t>
            </w:r>
          </w:p>
        </w:tc>
        <w:tc>
          <w:tcPr>
            <w:tcW w:w="880" w:type="dxa"/>
            <w:vAlign w:val="bottom"/>
          </w:tcPr>
          <w:p w14:paraId="6E12377C" w14:textId="77777777" w:rsidR="00D1587D" w:rsidRDefault="00410D07">
            <w:pPr>
              <w:ind w:right="34"/>
              <w:jc w:val="right"/>
              <w:rPr>
                <w:sz w:val="20"/>
                <w:szCs w:val="20"/>
              </w:rPr>
            </w:pPr>
            <w:r>
              <w:rPr>
                <w:rFonts w:ascii="Arial" w:eastAsia="Arial" w:hAnsi="Arial" w:cs="Arial"/>
                <w:sz w:val="18"/>
                <w:szCs w:val="18"/>
              </w:rPr>
              <w:t>(19)</w:t>
            </w:r>
          </w:p>
        </w:tc>
        <w:tc>
          <w:tcPr>
            <w:tcW w:w="140" w:type="dxa"/>
            <w:vAlign w:val="bottom"/>
          </w:tcPr>
          <w:p w14:paraId="4BE78250" w14:textId="77777777" w:rsidR="00D1587D" w:rsidRDefault="00D1587D"/>
        </w:tc>
        <w:tc>
          <w:tcPr>
            <w:tcW w:w="880" w:type="dxa"/>
            <w:vAlign w:val="bottom"/>
          </w:tcPr>
          <w:p w14:paraId="0B7F110E" w14:textId="77777777" w:rsidR="00D1587D" w:rsidRDefault="00410D07">
            <w:pPr>
              <w:ind w:right="93"/>
              <w:jc w:val="right"/>
              <w:rPr>
                <w:sz w:val="20"/>
                <w:szCs w:val="20"/>
              </w:rPr>
            </w:pPr>
            <w:r>
              <w:rPr>
                <w:rFonts w:ascii="Arial" w:eastAsia="Arial" w:hAnsi="Arial" w:cs="Arial"/>
                <w:sz w:val="18"/>
                <w:szCs w:val="18"/>
              </w:rPr>
              <w:t>(127)</w:t>
            </w:r>
          </w:p>
        </w:tc>
        <w:tc>
          <w:tcPr>
            <w:tcW w:w="1160" w:type="dxa"/>
            <w:vAlign w:val="bottom"/>
          </w:tcPr>
          <w:p w14:paraId="24BDFF55" w14:textId="77777777" w:rsidR="00D1587D" w:rsidRDefault="00410D07">
            <w:pPr>
              <w:ind w:right="233"/>
              <w:jc w:val="right"/>
              <w:rPr>
                <w:sz w:val="20"/>
                <w:szCs w:val="20"/>
              </w:rPr>
            </w:pPr>
            <w:r>
              <w:rPr>
                <w:rFonts w:ascii="Arial" w:eastAsia="Arial" w:hAnsi="Arial" w:cs="Arial"/>
                <w:sz w:val="18"/>
                <w:szCs w:val="18"/>
              </w:rPr>
              <w:t>(225)</w:t>
            </w:r>
          </w:p>
        </w:tc>
        <w:tc>
          <w:tcPr>
            <w:tcW w:w="860" w:type="dxa"/>
            <w:vAlign w:val="bottom"/>
          </w:tcPr>
          <w:p w14:paraId="27F93107" w14:textId="77777777" w:rsidR="00D1587D" w:rsidRDefault="00410D07">
            <w:pPr>
              <w:ind w:right="92"/>
              <w:jc w:val="right"/>
              <w:rPr>
                <w:sz w:val="20"/>
                <w:szCs w:val="20"/>
              </w:rPr>
            </w:pPr>
            <w:r>
              <w:rPr>
                <w:rFonts w:ascii="Arial" w:eastAsia="Arial" w:hAnsi="Arial" w:cs="Arial"/>
                <w:sz w:val="18"/>
                <w:szCs w:val="18"/>
              </w:rPr>
              <w:t>(341)</w:t>
            </w:r>
          </w:p>
        </w:tc>
        <w:tc>
          <w:tcPr>
            <w:tcW w:w="0" w:type="dxa"/>
            <w:vAlign w:val="bottom"/>
          </w:tcPr>
          <w:p w14:paraId="1DDAA885" w14:textId="77777777" w:rsidR="00D1587D" w:rsidRDefault="00D1587D">
            <w:pPr>
              <w:rPr>
                <w:sz w:val="1"/>
                <w:szCs w:val="1"/>
              </w:rPr>
            </w:pPr>
          </w:p>
        </w:tc>
      </w:tr>
      <w:tr w:rsidR="00D1587D" w14:paraId="0FB77A25" w14:textId="77777777">
        <w:trPr>
          <w:trHeight w:val="40"/>
        </w:trPr>
        <w:tc>
          <w:tcPr>
            <w:tcW w:w="1540" w:type="dxa"/>
            <w:vAlign w:val="bottom"/>
          </w:tcPr>
          <w:p w14:paraId="0736C4AD" w14:textId="77777777" w:rsidR="00D1587D" w:rsidRDefault="00D1587D">
            <w:pPr>
              <w:rPr>
                <w:sz w:val="3"/>
                <w:szCs w:val="3"/>
              </w:rPr>
            </w:pPr>
          </w:p>
        </w:tc>
        <w:tc>
          <w:tcPr>
            <w:tcW w:w="2960" w:type="dxa"/>
            <w:vAlign w:val="bottom"/>
          </w:tcPr>
          <w:p w14:paraId="5B23DF1D" w14:textId="77777777" w:rsidR="00D1587D" w:rsidRDefault="00D1587D">
            <w:pPr>
              <w:rPr>
                <w:sz w:val="3"/>
                <w:szCs w:val="3"/>
              </w:rPr>
            </w:pPr>
          </w:p>
        </w:tc>
        <w:tc>
          <w:tcPr>
            <w:tcW w:w="880" w:type="dxa"/>
            <w:vAlign w:val="bottom"/>
          </w:tcPr>
          <w:p w14:paraId="0A333334" w14:textId="77777777" w:rsidR="00D1587D" w:rsidRDefault="00D1587D">
            <w:pPr>
              <w:rPr>
                <w:sz w:val="3"/>
                <w:szCs w:val="3"/>
              </w:rPr>
            </w:pPr>
          </w:p>
        </w:tc>
        <w:tc>
          <w:tcPr>
            <w:tcW w:w="140" w:type="dxa"/>
            <w:vAlign w:val="bottom"/>
          </w:tcPr>
          <w:p w14:paraId="6940194C" w14:textId="77777777" w:rsidR="00D1587D" w:rsidRDefault="00D1587D">
            <w:pPr>
              <w:rPr>
                <w:sz w:val="3"/>
                <w:szCs w:val="3"/>
              </w:rPr>
            </w:pPr>
          </w:p>
        </w:tc>
        <w:tc>
          <w:tcPr>
            <w:tcW w:w="880" w:type="dxa"/>
            <w:vAlign w:val="bottom"/>
          </w:tcPr>
          <w:p w14:paraId="5B17566B" w14:textId="77777777" w:rsidR="00D1587D" w:rsidRDefault="00D1587D">
            <w:pPr>
              <w:rPr>
                <w:sz w:val="3"/>
                <w:szCs w:val="3"/>
              </w:rPr>
            </w:pPr>
          </w:p>
        </w:tc>
        <w:tc>
          <w:tcPr>
            <w:tcW w:w="1160" w:type="dxa"/>
            <w:vAlign w:val="bottom"/>
          </w:tcPr>
          <w:p w14:paraId="295B3099" w14:textId="77777777" w:rsidR="00D1587D" w:rsidRDefault="00D1587D">
            <w:pPr>
              <w:rPr>
                <w:sz w:val="3"/>
                <w:szCs w:val="3"/>
              </w:rPr>
            </w:pPr>
          </w:p>
        </w:tc>
        <w:tc>
          <w:tcPr>
            <w:tcW w:w="860" w:type="dxa"/>
            <w:vAlign w:val="bottom"/>
          </w:tcPr>
          <w:p w14:paraId="2A641C60" w14:textId="77777777" w:rsidR="00D1587D" w:rsidRDefault="00D1587D">
            <w:pPr>
              <w:rPr>
                <w:sz w:val="3"/>
                <w:szCs w:val="3"/>
              </w:rPr>
            </w:pPr>
          </w:p>
        </w:tc>
        <w:tc>
          <w:tcPr>
            <w:tcW w:w="0" w:type="dxa"/>
            <w:vAlign w:val="bottom"/>
          </w:tcPr>
          <w:p w14:paraId="5DA14A97" w14:textId="77777777" w:rsidR="00D1587D" w:rsidRDefault="00D1587D">
            <w:pPr>
              <w:rPr>
                <w:sz w:val="1"/>
                <w:szCs w:val="1"/>
              </w:rPr>
            </w:pPr>
          </w:p>
        </w:tc>
      </w:tr>
      <w:tr w:rsidR="00D1587D" w14:paraId="3BB1DE49" w14:textId="77777777">
        <w:trPr>
          <w:trHeight w:val="297"/>
        </w:trPr>
        <w:tc>
          <w:tcPr>
            <w:tcW w:w="4500" w:type="dxa"/>
            <w:gridSpan w:val="2"/>
            <w:shd w:val="clear" w:color="auto" w:fill="CCEEFF"/>
            <w:vAlign w:val="bottom"/>
          </w:tcPr>
          <w:p w14:paraId="0CD59784" w14:textId="77777777" w:rsidR="00D1587D" w:rsidRDefault="00410D07">
            <w:pPr>
              <w:spacing w:line="296" w:lineRule="exact"/>
              <w:rPr>
                <w:sz w:val="20"/>
                <w:szCs w:val="20"/>
              </w:rPr>
            </w:pPr>
            <w:r>
              <w:rPr>
                <w:rFonts w:ascii="Arial" w:eastAsia="Arial" w:hAnsi="Arial" w:cs="Arial"/>
                <w:sz w:val="18"/>
                <w:szCs w:val="18"/>
              </w:rPr>
              <w:t>Other Long-term Liabilities</w:t>
            </w:r>
            <w:r>
              <w:rPr>
                <w:rFonts w:ascii="Arial" w:eastAsia="Arial" w:hAnsi="Arial" w:cs="Arial"/>
                <w:sz w:val="29"/>
                <w:szCs w:val="29"/>
                <w:vertAlign w:val="superscript"/>
              </w:rPr>
              <w:t>(c)</w:t>
            </w:r>
          </w:p>
        </w:tc>
        <w:tc>
          <w:tcPr>
            <w:tcW w:w="880" w:type="dxa"/>
            <w:shd w:val="clear" w:color="auto" w:fill="CCEEFF"/>
            <w:vAlign w:val="bottom"/>
          </w:tcPr>
          <w:p w14:paraId="79224DA9" w14:textId="77777777" w:rsidR="00D1587D" w:rsidRDefault="00410D07">
            <w:pPr>
              <w:ind w:right="94"/>
              <w:jc w:val="right"/>
              <w:rPr>
                <w:sz w:val="20"/>
                <w:szCs w:val="20"/>
              </w:rPr>
            </w:pPr>
            <w:r>
              <w:rPr>
                <w:rFonts w:ascii="Arial" w:eastAsia="Arial" w:hAnsi="Arial" w:cs="Arial"/>
                <w:sz w:val="18"/>
                <w:szCs w:val="18"/>
              </w:rPr>
              <w:t>113</w:t>
            </w:r>
          </w:p>
        </w:tc>
        <w:tc>
          <w:tcPr>
            <w:tcW w:w="140" w:type="dxa"/>
            <w:shd w:val="clear" w:color="auto" w:fill="CCEEFF"/>
            <w:vAlign w:val="bottom"/>
          </w:tcPr>
          <w:p w14:paraId="340A3AC4" w14:textId="77777777" w:rsidR="00D1587D" w:rsidRDefault="00D1587D">
            <w:pPr>
              <w:rPr>
                <w:sz w:val="24"/>
                <w:szCs w:val="24"/>
              </w:rPr>
            </w:pPr>
          </w:p>
        </w:tc>
        <w:tc>
          <w:tcPr>
            <w:tcW w:w="880" w:type="dxa"/>
            <w:shd w:val="clear" w:color="auto" w:fill="CCEEFF"/>
            <w:vAlign w:val="bottom"/>
          </w:tcPr>
          <w:p w14:paraId="077D3A1D" w14:textId="77777777" w:rsidR="00D1587D" w:rsidRDefault="00410D07">
            <w:pPr>
              <w:ind w:right="153"/>
              <w:jc w:val="right"/>
              <w:rPr>
                <w:sz w:val="20"/>
                <w:szCs w:val="20"/>
              </w:rPr>
            </w:pPr>
            <w:r>
              <w:rPr>
                <w:rFonts w:ascii="Arial" w:eastAsia="Arial" w:hAnsi="Arial" w:cs="Arial"/>
                <w:sz w:val="18"/>
                <w:szCs w:val="18"/>
              </w:rPr>
              <w:t>113</w:t>
            </w:r>
          </w:p>
        </w:tc>
        <w:tc>
          <w:tcPr>
            <w:tcW w:w="1160" w:type="dxa"/>
            <w:shd w:val="clear" w:color="auto" w:fill="CCEEFF"/>
            <w:vAlign w:val="bottom"/>
          </w:tcPr>
          <w:p w14:paraId="6A2B13E5" w14:textId="77777777" w:rsidR="00D1587D" w:rsidRDefault="00410D07">
            <w:pPr>
              <w:ind w:right="293"/>
              <w:jc w:val="right"/>
              <w:rPr>
                <w:sz w:val="20"/>
                <w:szCs w:val="20"/>
              </w:rPr>
            </w:pPr>
            <w:r>
              <w:rPr>
                <w:rFonts w:ascii="Arial" w:eastAsia="Arial" w:hAnsi="Arial" w:cs="Arial"/>
                <w:sz w:val="18"/>
                <w:szCs w:val="18"/>
              </w:rPr>
              <w:t>177</w:t>
            </w:r>
          </w:p>
        </w:tc>
        <w:tc>
          <w:tcPr>
            <w:tcW w:w="860" w:type="dxa"/>
            <w:shd w:val="clear" w:color="auto" w:fill="CCEEFF"/>
            <w:vAlign w:val="bottom"/>
          </w:tcPr>
          <w:p w14:paraId="11A71C39" w14:textId="77777777" w:rsidR="00D1587D" w:rsidRDefault="00410D07">
            <w:pPr>
              <w:ind w:right="132"/>
              <w:jc w:val="right"/>
              <w:rPr>
                <w:sz w:val="20"/>
                <w:szCs w:val="20"/>
              </w:rPr>
            </w:pPr>
            <w:r>
              <w:rPr>
                <w:rFonts w:ascii="Arial" w:eastAsia="Arial" w:hAnsi="Arial" w:cs="Arial"/>
                <w:sz w:val="18"/>
                <w:szCs w:val="18"/>
              </w:rPr>
              <w:t>604</w:t>
            </w:r>
          </w:p>
        </w:tc>
        <w:tc>
          <w:tcPr>
            <w:tcW w:w="0" w:type="dxa"/>
            <w:vAlign w:val="bottom"/>
          </w:tcPr>
          <w:p w14:paraId="52F27CFD" w14:textId="77777777" w:rsidR="00D1587D" w:rsidRDefault="00D1587D">
            <w:pPr>
              <w:rPr>
                <w:sz w:val="1"/>
                <w:szCs w:val="1"/>
              </w:rPr>
            </w:pPr>
          </w:p>
        </w:tc>
      </w:tr>
      <w:tr w:rsidR="00D1587D" w14:paraId="704E90F3" w14:textId="77777777">
        <w:trPr>
          <w:trHeight w:val="257"/>
        </w:trPr>
        <w:tc>
          <w:tcPr>
            <w:tcW w:w="4500" w:type="dxa"/>
            <w:gridSpan w:val="2"/>
            <w:vAlign w:val="bottom"/>
          </w:tcPr>
          <w:p w14:paraId="31A97155" w14:textId="77777777" w:rsidR="00D1587D" w:rsidRDefault="00410D07">
            <w:pPr>
              <w:rPr>
                <w:sz w:val="20"/>
                <w:szCs w:val="20"/>
              </w:rPr>
            </w:pPr>
            <w:r>
              <w:rPr>
                <w:rFonts w:ascii="Arial" w:eastAsia="Arial" w:hAnsi="Arial" w:cs="Arial"/>
                <w:sz w:val="18"/>
                <w:szCs w:val="18"/>
              </w:rPr>
              <w:t>Equity</w:t>
            </w:r>
          </w:p>
        </w:tc>
        <w:tc>
          <w:tcPr>
            <w:tcW w:w="880" w:type="dxa"/>
            <w:vAlign w:val="bottom"/>
          </w:tcPr>
          <w:p w14:paraId="4C6DA969" w14:textId="77777777" w:rsidR="00D1587D" w:rsidRDefault="00410D07">
            <w:pPr>
              <w:ind w:right="74"/>
              <w:jc w:val="right"/>
              <w:rPr>
                <w:sz w:val="20"/>
                <w:szCs w:val="20"/>
              </w:rPr>
            </w:pPr>
            <w:r>
              <w:rPr>
                <w:rFonts w:ascii="Arial" w:eastAsia="Arial" w:hAnsi="Arial" w:cs="Arial"/>
                <w:sz w:val="18"/>
                <w:szCs w:val="18"/>
              </w:rPr>
              <w:t>1,007</w:t>
            </w:r>
          </w:p>
        </w:tc>
        <w:tc>
          <w:tcPr>
            <w:tcW w:w="140" w:type="dxa"/>
            <w:vAlign w:val="bottom"/>
          </w:tcPr>
          <w:p w14:paraId="260911B0" w14:textId="77777777" w:rsidR="00D1587D" w:rsidRDefault="00D1587D"/>
        </w:tc>
        <w:tc>
          <w:tcPr>
            <w:tcW w:w="880" w:type="dxa"/>
            <w:vAlign w:val="bottom"/>
          </w:tcPr>
          <w:p w14:paraId="44F86008" w14:textId="77777777" w:rsidR="00D1587D" w:rsidRDefault="00410D07">
            <w:pPr>
              <w:ind w:right="133"/>
              <w:jc w:val="right"/>
              <w:rPr>
                <w:sz w:val="20"/>
                <w:szCs w:val="20"/>
              </w:rPr>
            </w:pPr>
            <w:r>
              <w:rPr>
                <w:rFonts w:ascii="Arial" w:eastAsia="Arial" w:hAnsi="Arial" w:cs="Arial"/>
                <w:sz w:val="18"/>
                <w:szCs w:val="18"/>
              </w:rPr>
              <w:t>891</w:t>
            </w:r>
          </w:p>
        </w:tc>
        <w:tc>
          <w:tcPr>
            <w:tcW w:w="1160" w:type="dxa"/>
            <w:vAlign w:val="bottom"/>
          </w:tcPr>
          <w:p w14:paraId="0788FD9C" w14:textId="77777777" w:rsidR="00D1587D" w:rsidRDefault="00410D07">
            <w:pPr>
              <w:ind w:right="293"/>
              <w:jc w:val="right"/>
              <w:rPr>
                <w:sz w:val="20"/>
                <w:szCs w:val="20"/>
              </w:rPr>
            </w:pPr>
            <w:r>
              <w:rPr>
                <w:rFonts w:ascii="Arial" w:eastAsia="Arial" w:hAnsi="Arial" w:cs="Arial"/>
                <w:sz w:val="18"/>
                <w:szCs w:val="18"/>
              </w:rPr>
              <w:t>1,314</w:t>
            </w:r>
          </w:p>
        </w:tc>
        <w:tc>
          <w:tcPr>
            <w:tcW w:w="860" w:type="dxa"/>
            <w:vAlign w:val="bottom"/>
          </w:tcPr>
          <w:p w14:paraId="2D75EFF6" w14:textId="77777777" w:rsidR="00D1587D" w:rsidRDefault="00410D07">
            <w:pPr>
              <w:ind w:right="132"/>
              <w:jc w:val="right"/>
              <w:rPr>
                <w:sz w:val="20"/>
                <w:szCs w:val="20"/>
              </w:rPr>
            </w:pPr>
            <w:r>
              <w:rPr>
                <w:rFonts w:ascii="Arial" w:eastAsia="Arial" w:hAnsi="Arial" w:cs="Arial"/>
                <w:sz w:val="18"/>
                <w:szCs w:val="18"/>
              </w:rPr>
              <w:t>2,380</w:t>
            </w:r>
          </w:p>
        </w:tc>
        <w:tc>
          <w:tcPr>
            <w:tcW w:w="0" w:type="dxa"/>
            <w:vAlign w:val="bottom"/>
          </w:tcPr>
          <w:p w14:paraId="2083833D" w14:textId="77777777" w:rsidR="00D1587D" w:rsidRDefault="00D1587D">
            <w:pPr>
              <w:rPr>
                <w:sz w:val="1"/>
                <w:szCs w:val="1"/>
              </w:rPr>
            </w:pPr>
          </w:p>
        </w:tc>
      </w:tr>
      <w:tr w:rsidR="00D1587D" w14:paraId="546479D1" w14:textId="77777777">
        <w:trPr>
          <w:trHeight w:val="40"/>
        </w:trPr>
        <w:tc>
          <w:tcPr>
            <w:tcW w:w="1540" w:type="dxa"/>
            <w:vAlign w:val="bottom"/>
          </w:tcPr>
          <w:p w14:paraId="111BB9A9" w14:textId="77777777" w:rsidR="00D1587D" w:rsidRDefault="00D1587D">
            <w:pPr>
              <w:rPr>
                <w:sz w:val="3"/>
                <w:szCs w:val="3"/>
              </w:rPr>
            </w:pPr>
          </w:p>
        </w:tc>
        <w:tc>
          <w:tcPr>
            <w:tcW w:w="2960" w:type="dxa"/>
            <w:vAlign w:val="bottom"/>
          </w:tcPr>
          <w:p w14:paraId="6FAE33C7" w14:textId="77777777" w:rsidR="00D1587D" w:rsidRDefault="00D1587D">
            <w:pPr>
              <w:rPr>
                <w:sz w:val="3"/>
                <w:szCs w:val="3"/>
              </w:rPr>
            </w:pPr>
          </w:p>
        </w:tc>
        <w:tc>
          <w:tcPr>
            <w:tcW w:w="880" w:type="dxa"/>
            <w:vAlign w:val="bottom"/>
          </w:tcPr>
          <w:p w14:paraId="090539A8" w14:textId="77777777" w:rsidR="00D1587D" w:rsidRDefault="00D1587D">
            <w:pPr>
              <w:rPr>
                <w:sz w:val="3"/>
                <w:szCs w:val="3"/>
              </w:rPr>
            </w:pPr>
          </w:p>
        </w:tc>
        <w:tc>
          <w:tcPr>
            <w:tcW w:w="140" w:type="dxa"/>
            <w:vAlign w:val="bottom"/>
          </w:tcPr>
          <w:p w14:paraId="288185EC" w14:textId="77777777" w:rsidR="00D1587D" w:rsidRDefault="00D1587D">
            <w:pPr>
              <w:rPr>
                <w:sz w:val="3"/>
                <w:szCs w:val="3"/>
              </w:rPr>
            </w:pPr>
          </w:p>
        </w:tc>
        <w:tc>
          <w:tcPr>
            <w:tcW w:w="880" w:type="dxa"/>
            <w:vAlign w:val="bottom"/>
          </w:tcPr>
          <w:p w14:paraId="0BFB88CD" w14:textId="77777777" w:rsidR="00D1587D" w:rsidRDefault="00D1587D">
            <w:pPr>
              <w:rPr>
                <w:sz w:val="3"/>
                <w:szCs w:val="3"/>
              </w:rPr>
            </w:pPr>
          </w:p>
        </w:tc>
        <w:tc>
          <w:tcPr>
            <w:tcW w:w="1160" w:type="dxa"/>
            <w:vAlign w:val="bottom"/>
          </w:tcPr>
          <w:p w14:paraId="4BBBE0B0" w14:textId="77777777" w:rsidR="00D1587D" w:rsidRDefault="00D1587D">
            <w:pPr>
              <w:rPr>
                <w:sz w:val="3"/>
                <w:szCs w:val="3"/>
              </w:rPr>
            </w:pPr>
          </w:p>
        </w:tc>
        <w:tc>
          <w:tcPr>
            <w:tcW w:w="860" w:type="dxa"/>
            <w:vAlign w:val="bottom"/>
          </w:tcPr>
          <w:p w14:paraId="01A78CF8" w14:textId="77777777" w:rsidR="00D1587D" w:rsidRDefault="00D1587D">
            <w:pPr>
              <w:rPr>
                <w:sz w:val="3"/>
                <w:szCs w:val="3"/>
              </w:rPr>
            </w:pPr>
          </w:p>
        </w:tc>
        <w:tc>
          <w:tcPr>
            <w:tcW w:w="0" w:type="dxa"/>
            <w:vAlign w:val="bottom"/>
          </w:tcPr>
          <w:p w14:paraId="13D7AF15" w14:textId="77777777" w:rsidR="00D1587D" w:rsidRDefault="00D1587D">
            <w:pPr>
              <w:rPr>
                <w:sz w:val="1"/>
                <w:szCs w:val="1"/>
              </w:rPr>
            </w:pPr>
          </w:p>
        </w:tc>
      </w:tr>
      <w:tr w:rsidR="00D1587D" w14:paraId="631AF149" w14:textId="77777777">
        <w:trPr>
          <w:trHeight w:val="297"/>
        </w:trPr>
        <w:tc>
          <w:tcPr>
            <w:tcW w:w="1540" w:type="dxa"/>
            <w:shd w:val="clear" w:color="auto" w:fill="CCEEFF"/>
            <w:vAlign w:val="bottom"/>
          </w:tcPr>
          <w:p w14:paraId="2DA22D51" w14:textId="77777777" w:rsidR="00D1587D" w:rsidRDefault="00D1587D">
            <w:pPr>
              <w:rPr>
                <w:sz w:val="24"/>
                <w:szCs w:val="24"/>
              </w:rPr>
            </w:pPr>
          </w:p>
        </w:tc>
        <w:tc>
          <w:tcPr>
            <w:tcW w:w="2960" w:type="dxa"/>
            <w:shd w:val="clear" w:color="auto" w:fill="CCEEFF"/>
            <w:vAlign w:val="bottom"/>
          </w:tcPr>
          <w:p w14:paraId="41B14B40" w14:textId="77777777" w:rsidR="00D1587D" w:rsidRDefault="00D1587D">
            <w:pPr>
              <w:rPr>
                <w:sz w:val="24"/>
                <w:szCs w:val="24"/>
              </w:rPr>
            </w:pPr>
          </w:p>
        </w:tc>
        <w:tc>
          <w:tcPr>
            <w:tcW w:w="880" w:type="dxa"/>
            <w:shd w:val="clear" w:color="auto" w:fill="CCEEFF"/>
            <w:vAlign w:val="bottom"/>
          </w:tcPr>
          <w:p w14:paraId="49A0B363" w14:textId="77777777" w:rsidR="00D1587D" w:rsidRDefault="00D1587D">
            <w:pPr>
              <w:rPr>
                <w:sz w:val="24"/>
                <w:szCs w:val="24"/>
              </w:rPr>
            </w:pPr>
          </w:p>
        </w:tc>
        <w:tc>
          <w:tcPr>
            <w:tcW w:w="140" w:type="dxa"/>
            <w:shd w:val="clear" w:color="auto" w:fill="CCEEFF"/>
            <w:vAlign w:val="bottom"/>
          </w:tcPr>
          <w:p w14:paraId="350EAE57" w14:textId="77777777" w:rsidR="00D1587D" w:rsidRDefault="00D1587D">
            <w:pPr>
              <w:rPr>
                <w:sz w:val="24"/>
                <w:szCs w:val="24"/>
              </w:rPr>
            </w:pPr>
          </w:p>
        </w:tc>
        <w:tc>
          <w:tcPr>
            <w:tcW w:w="880" w:type="dxa"/>
            <w:shd w:val="clear" w:color="auto" w:fill="CCEEFF"/>
            <w:vAlign w:val="bottom"/>
          </w:tcPr>
          <w:p w14:paraId="0F42FD20" w14:textId="77777777" w:rsidR="00D1587D" w:rsidRDefault="00D1587D">
            <w:pPr>
              <w:rPr>
                <w:sz w:val="24"/>
                <w:szCs w:val="24"/>
              </w:rPr>
            </w:pPr>
          </w:p>
        </w:tc>
        <w:tc>
          <w:tcPr>
            <w:tcW w:w="1160" w:type="dxa"/>
            <w:shd w:val="clear" w:color="auto" w:fill="CCEEFF"/>
            <w:vAlign w:val="bottom"/>
          </w:tcPr>
          <w:p w14:paraId="17F56CF9" w14:textId="77777777" w:rsidR="00D1587D" w:rsidRDefault="00D1587D">
            <w:pPr>
              <w:rPr>
                <w:sz w:val="24"/>
                <w:szCs w:val="24"/>
              </w:rPr>
            </w:pPr>
          </w:p>
        </w:tc>
        <w:tc>
          <w:tcPr>
            <w:tcW w:w="860" w:type="dxa"/>
            <w:shd w:val="clear" w:color="auto" w:fill="CCEEFF"/>
            <w:vAlign w:val="bottom"/>
          </w:tcPr>
          <w:p w14:paraId="3D6256B6" w14:textId="77777777" w:rsidR="00D1587D" w:rsidRDefault="00D1587D">
            <w:pPr>
              <w:rPr>
                <w:sz w:val="24"/>
                <w:szCs w:val="24"/>
              </w:rPr>
            </w:pPr>
          </w:p>
        </w:tc>
        <w:tc>
          <w:tcPr>
            <w:tcW w:w="0" w:type="dxa"/>
            <w:vAlign w:val="bottom"/>
          </w:tcPr>
          <w:p w14:paraId="00A55E2F" w14:textId="77777777" w:rsidR="00D1587D" w:rsidRDefault="00D1587D">
            <w:pPr>
              <w:rPr>
                <w:sz w:val="1"/>
                <w:szCs w:val="1"/>
              </w:rPr>
            </w:pPr>
          </w:p>
        </w:tc>
      </w:tr>
      <w:tr w:rsidR="00D1587D" w14:paraId="33D02997" w14:textId="77777777">
        <w:trPr>
          <w:trHeight w:val="297"/>
        </w:trPr>
        <w:tc>
          <w:tcPr>
            <w:tcW w:w="4500" w:type="dxa"/>
            <w:gridSpan w:val="2"/>
            <w:vAlign w:val="bottom"/>
          </w:tcPr>
          <w:p w14:paraId="1BA770EA" w14:textId="77777777" w:rsidR="00D1587D" w:rsidRDefault="00410D07">
            <w:pPr>
              <w:spacing w:line="296" w:lineRule="exact"/>
              <w:rPr>
                <w:sz w:val="20"/>
                <w:szCs w:val="20"/>
              </w:rPr>
            </w:pPr>
            <w:r>
              <w:rPr>
                <w:rFonts w:ascii="Arial" w:eastAsia="Arial" w:hAnsi="Arial" w:cs="Arial"/>
                <w:sz w:val="18"/>
                <w:szCs w:val="18"/>
              </w:rPr>
              <w:t>Comparable Sales Increase (Decrease)</w:t>
            </w:r>
            <w:r>
              <w:rPr>
                <w:rFonts w:ascii="Arial" w:eastAsia="Arial" w:hAnsi="Arial" w:cs="Arial"/>
                <w:sz w:val="29"/>
                <w:szCs w:val="29"/>
                <w:vertAlign w:val="superscript"/>
              </w:rPr>
              <w:t>(d)</w:t>
            </w:r>
          </w:p>
        </w:tc>
        <w:tc>
          <w:tcPr>
            <w:tcW w:w="880" w:type="dxa"/>
            <w:vAlign w:val="bottom"/>
          </w:tcPr>
          <w:p w14:paraId="01A37576" w14:textId="77777777" w:rsidR="00D1587D" w:rsidRDefault="00410D07">
            <w:pPr>
              <w:jc w:val="right"/>
              <w:rPr>
                <w:sz w:val="20"/>
                <w:szCs w:val="20"/>
              </w:rPr>
            </w:pPr>
            <w:r>
              <w:rPr>
                <w:rFonts w:ascii="Arial" w:eastAsia="Arial" w:hAnsi="Arial" w:cs="Arial"/>
                <w:sz w:val="18"/>
                <w:szCs w:val="18"/>
              </w:rPr>
              <w:t>25%</w:t>
            </w:r>
          </w:p>
        </w:tc>
        <w:tc>
          <w:tcPr>
            <w:tcW w:w="140" w:type="dxa"/>
            <w:vAlign w:val="bottom"/>
          </w:tcPr>
          <w:p w14:paraId="76DDE909" w14:textId="77777777" w:rsidR="00D1587D" w:rsidRDefault="00D1587D">
            <w:pPr>
              <w:rPr>
                <w:sz w:val="24"/>
                <w:szCs w:val="24"/>
              </w:rPr>
            </w:pPr>
          </w:p>
        </w:tc>
        <w:tc>
          <w:tcPr>
            <w:tcW w:w="880" w:type="dxa"/>
            <w:vAlign w:val="bottom"/>
          </w:tcPr>
          <w:p w14:paraId="3A41EED0" w14:textId="77777777" w:rsidR="00D1587D" w:rsidRDefault="00410D07">
            <w:pPr>
              <w:jc w:val="right"/>
              <w:rPr>
                <w:sz w:val="20"/>
                <w:szCs w:val="20"/>
              </w:rPr>
            </w:pPr>
            <w:r>
              <w:rPr>
                <w:rFonts w:ascii="Arial" w:eastAsia="Arial" w:hAnsi="Arial" w:cs="Arial"/>
                <w:sz w:val="18"/>
                <w:szCs w:val="18"/>
              </w:rPr>
              <w:t>1%</w:t>
            </w:r>
          </w:p>
        </w:tc>
        <w:tc>
          <w:tcPr>
            <w:tcW w:w="1160" w:type="dxa"/>
            <w:vAlign w:val="bottom"/>
          </w:tcPr>
          <w:p w14:paraId="0E738033" w14:textId="77777777" w:rsidR="00D1587D" w:rsidRDefault="00410D07">
            <w:pPr>
              <w:ind w:right="73"/>
              <w:jc w:val="right"/>
              <w:rPr>
                <w:sz w:val="20"/>
                <w:szCs w:val="20"/>
              </w:rPr>
            </w:pPr>
            <w:r>
              <w:rPr>
                <w:rFonts w:ascii="Arial" w:eastAsia="Arial" w:hAnsi="Arial" w:cs="Arial"/>
                <w:sz w:val="18"/>
                <w:szCs w:val="18"/>
              </w:rPr>
              <w:t>(8)%</w:t>
            </w:r>
          </w:p>
        </w:tc>
        <w:tc>
          <w:tcPr>
            <w:tcW w:w="860" w:type="dxa"/>
            <w:vAlign w:val="bottom"/>
          </w:tcPr>
          <w:p w14:paraId="0009E7D1" w14:textId="77777777" w:rsidR="00D1587D" w:rsidRDefault="00410D07">
            <w:pPr>
              <w:jc w:val="right"/>
              <w:rPr>
                <w:sz w:val="20"/>
                <w:szCs w:val="20"/>
              </w:rPr>
            </w:pPr>
            <w:r>
              <w:rPr>
                <w:rFonts w:ascii="Arial" w:eastAsia="Arial" w:hAnsi="Arial" w:cs="Arial"/>
                <w:sz w:val="18"/>
                <w:szCs w:val="18"/>
              </w:rPr>
              <w:t>(2)%</w:t>
            </w:r>
          </w:p>
        </w:tc>
        <w:tc>
          <w:tcPr>
            <w:tcW w:w="0" w:type="dxa"/>
            <w:vAlign w:val="bottom"/>
          </w:tcPr>
          <w:p w14:paraId="170EF4C0" w14:textId="77777777" w:rsidR="00D1587D" w:rsidRDefault="00D1587D">
            <w:pPr>
              <w:rPr>
                <w:sz w:val="1"/>
                <w:szCs w:val="1"/>
              </w:rPr>
            </w:pPr>
          </w:p>
        </w:tc>
      </w:tr>
      <w:tr w:rsidR="00D1587D" w14:paraId="327BA9F4" w14:textId="77777777">
        <w:trPr>
          <w:trHeight w:val="297"/>
        </w:trPr>
        <w:tc>
          <w:tcPr>
            <w:tcW w:w="4500" w:type="dxa"/>
            <w:gridSpan w:val="2"/>
            <w:shd w:val="clear" w:color="auto" w:fill="CCEEFF"/>
            <w:vAlign w:val="bottom"/>
          </w:tcPr>
          <w:p w14:paraId="53D8640F" w14:textId="77777777" w:rsidR="00D1587D" w:rsidRDefault="00410D07">
            <w:pPr>
              <w:spacing w:line="296" w:lineRule="exact"/>
              <w:rPr>
                <w:sz w:val="20"/>
                <w:szCs w:val="20"/>
              </w:rPr>
            </w:pPr>
            <w:r>
              <w:rPr>
                <w:rFonts w:ascii="Arial" w:eastAsia="Arial" w:hAnsi="Arial" w:cs="Arial"/>
                <w:sz w:val="18"/>
                <w:szCs w:val="18"/>
              </w:rPr>
              <w:t>Comparable Store Sales Increase (Decrease)</w:t>
            </w:r>
            <w:r>
              <w:rPr>
                <w:rFonts w:ascii="Arial" w:eastAsia="Arial" w:hAnsi="Arial" w:cs="Arial"/>
                <w:sz w:val="29"/>
                <w:szCs w:val="29"/>
                <w:vertAlign w:val="superscript"/>
              </w:rPr>
              <w:t>(d)</w:t>
            </w:r>
          </w:p>
        </w:tc>
        <w:tc>
          <w:tcPr>
            <w:tcW w:w="880" w:type="dxa"/>
            <w:shd w:val="clear" w:color="auto" w:fill="CCEEFF"/>
            <w:vAlign w:val="bottom"/>
          </w:tcPr>
          <w:p w14:paraId="2F8371C9" w14:textId="77777777" w:rsidR="00D1587D" w:rsidRDefault="00410D07">
            <w:pPr>
              <w:jc w:val="right"/>
              <w:rPr>
                <w:sz w:val="20"/>
                <w:szCs w:val="20"/>
              </w:rPr>
            </w:pPr>
            <w:r>
              <w:rPr>
                <w:rFonts w:ascii="Arial" w:eastAsia="Arial" w:hAnsi="Arial" w:cs="Arial"/>
                <w:sz w:val="18"/>
                <w:szCs w:val="18"/>
              </w:rPr>
              <w:t>3%</w:t>
            </w:r>
          </w:p>
        </w:tc>
        <w:tc>
          <w:tcPr>
            <w:tcW w:w="140" w:type="dxa"/>
            <w:shd w:val="clear" w:color="auto" w:fill="CCEEFF"/>
            <w:vAlign w:val="bottom"/>
          </w:tcPr>
          <w:p w14:paraId="60B0F9CB" w14:textId="77777777" w:rsidR="00D1587D" w:rsidRDefault="00D1587D">
            <w:pPr>
              <w:rPr>
                <w:sz w:val="24"/>
                <w:szCs w:val="24"/>
              </w:rPr>
            </w:pPr>
          </w:p>
        </w:tc>
        <w:tc>
          <w:tcPr>
            <w:tcW w:w="880" w:type="dxa"/>
            <w:shd w:val="clear" w:color="auto" w:fill="CCEEFF"/>
            <w:vAlign w:val="bottom"/>
          </w:tcPr>
          <w:p w14:paraId="006BCF6B" w14:textId="77777777" w:rsidR="00D1587D" w:rsidRDefault="00410D07">
            <w:pPr>
              <w:jc w:val="right"/>
              <w:rPr>
                <w:sz w:val="20"/>
                <w:szCs w:val="20"/>
              </w:rPr>
            </w:pPr>
            <w:r>
              <w:rPr>
                <w:rFonts w:ascii="Arial" w:eastAsia="Arial" w:hAnsi="Arial" w:cs="Arial"/>
                <w:sz w:val="18"/>
                <w:szCs w:val="18"/>
              </w:rPr>
              <w:t>(15)%</w:t>
            </w:r>
          </w:p>
        </w:tc>
        <w:tc>
          <w:tcPr>
            <w:tcW w:w="1160" w:type="dxa"/>
            <w:shd w:val="clear" w:color="auto" w:fill="CCEEFF"/>
            <w:vAlign w:val="bottom"/>
          </w:tcPr>
          <w:p w14:paraId="4300FA36" w14:textId="77777777" w:rsidR="00D1587D" w:rsidRDefault="00410D07">
            <w:pPr>
              <w:ind w:right="73"/>
              <w:jc w:val="right"/>
              <w:rPr>
                <w:sz w:val="20"/>
                <w:szCs w:val="20"/>
              </w:rPr>
            </w:pPr>
            <w:r>
              <w:rPr>
                <w:rFonts w:ascii="Arial" w:eastAsia="Arial" w:hAnsi="Arial" w:cs="Arial"/>
                <w:sz w:val="18"/>
                <w:szCs w:val="18"/>
              </w:rPr>
              <w:t>(9)%</w:t>
            </w:r>
          </w:p>
        </w:tc>
        <w:tc>
          <w:tcPr>
            <w:tcW w:w="860" w:type="dxa"/>
            <w:shd w:val="clear" w:color="auto" w:fill="CCEEFF"/>
            <w:vAlign w:val="bottom"/>
          </w:tcPr>
          <w:p w14:paraId="178BC841" w14:textId="77777777" w:rsidR="00D1587D" w:rsidRDefault="00410D07">
            <w:pPr>
              <w:jc w:val="right"/>
              <w:rPr>
                <w:sz w:val="20"/>
                <w:szCs w:val="20"/>
              </w:rPr>
            </w:pPr>
            <w:r>
              <w:rPr>
                <w:rFonts w:ascii="Arial" w:eastAsia="Arial" w:hAnsi="Arial" w:cs="Arial"/>
                <w:sz w:val="18"/>
                <w:szCs w:val="18"/>
              </w:rPr>
              <w:t>(6)%</w:t>
            </w:r>
          </w:p>
        </w:tc>
        <w:tc>
          <w:tcPr>
            <w:tcW w:w="0" w:type="dxa"/>
            <w:vAlign w:val="bottom"/>
          </w:tcPr>
          <w:p w14:paraId="688E345C" w14:textId="77777777" w:rsidR="00D1587D" w:rsidRDefault="00D1587D">
            <w:pPr>
              <w:rPr>
                <w:sz w:val="1"/>
                <w:szCs w:val="1"/>
              </w:rPr>
            </w:pPr>
          </w:p>
        </w:tc>
      </w:tr>
      <w:tr w:rsidR="00D1587D" w14:paraId="21C29A5D" w14:textId="77777777">
        <w:trPr>
          <w:trHeight w:val="297"/>
        </w:trPr>
        <w:tc>
          <w:tcPr>
            <w:tcW w:w="4500" w:type="dxa"/>
            <w:gridSpan w:val="2"/>
            <w:vAlign w:val="bottom"/>
          </w:tcPr>
          <w:p w14:paraId="4D33CB22" w14:textId="77777777" w:rsidR="00D1587D" w:rsidRDefault="00410D07">
            <w:pPr>
              <w:spacing w:line="296" w:lineRule="exact"/>
              <w:rPr>
                <w:sz w:val="20"/>
                <w:szCs w:val="20"/>
              </w:rPr>
            </w:pPr>
            <w:r>
              <w:rPr>
                <w:rFonts w:ascii="Arial" w:eastAsia="Arial" w:hAnsi="Arial" w:cs="Arial"/>
                <w:sz w:val="18"/>
                <w:szCs w:val="18"/>
              </w:rPr>
              <w:t>Return on Average Assets</w:t>
            </w:r>
            <w:r>
              <w:rPr>
                <w:rFonts w:ascii="Arial" w:eastAsia="Arial" w:hAnsi="Arial" w:cs="Arial"/>
                <w:sz w:val="29"/>
                <w:szCs w:val="29"/>
                <w:vertAlign w:val="superscript"/>
              </w:rPr>
              <w:t>(c)</w:t>
            </w:r>
          </w:p>
        </w:tc>
        <w:tc>
          <w:tcPr>
            <w:tcW w:w="880" w:type="dxa"/>
            <w:vAlign w:val="bottom"/>
          </w:tcPr>
          <w:p w14:paraId="5704BADB" w14:textId="77777777" w:rsidR="00D1587D" w:rsidRDefault="00410D07">
            <w:pPr>
              <w:jc w:val="right"/>
              <w:rPr>
                <w:sz w:val="20"/>
                <w:szCs w:val="20"/>
              </w:rPr>
            </w:pPr>
            <w:r>
              <w:rPr>
                <w:rFonts w:ascii="Arial" w:eastAsia="Arial" w:hAnsi="Arial" w:cs="Arial"/>
                <w:sz w:val="18"/>
                <w:szCs w:val="18"/>
              </w:rPr>
              <w:t>4%</w:t>
            </w:r>
          </w:p>
        </w:tc>
        <w:tc>
          <w:tcPr>
            <w:tcW w:w="140" w:type="dxa"/>
            <w:vAlign w:val="bottom"/>
          </w:tcPr>
          <w:p w14:paraId="6B8145CA" w14:textId="77777777" w:rsidR="00D1587D" w:rsidRDefault="00D1587D">
            <w:pPr>
              <w:rPr>
                <w:sz w:val="24"/>
                <w:szCs w:val="24"/>
              </w:rPr>
            </w:pPr>
          </w:p>
        </w:tc>
        <w:tc>
          <w:tcPr>
            <w:tcW w:w="880" w:type="dxa"/>
            <w:vAlign w:val="bottom"/>
          </w:tcPr>
          <w:p w14:paraId="595F353E" w14:textId="77777777" w:rsidR="00D1587D" w:rsidRDefault="00410D07">
            <w:pPr>
              <w:jc w:val="right"/>
              <w:rPr>
                <w:sz w:val="20"/>
                <w:szCs w:val="20"/>
              </w:rPr>
            </w:pPr>
            <w:r>
              <w:rPr>
                <w:rFonts w:ascii="Arial" w:eastAsia="Arial" w:hAnsi="Arial" w:cs="Arial"/>
                <w:sz w:val="18"/>
                <w:szCs w:val="18"/>
              </w:rPr>
              <w:t>(2)%</w:t>
            </w:r>
          </w:p>
        </w:tc>
        <w:tc>
          <w:tcPr>
            <w:tcW w:w="1160" w:type="dxa"/>
            <w:vAlign w:val="bottom"/>
          </w:tcPr>
          <w:p w14:paraId="348A63DD" w14:textId="77777777" w:rsidR="00D1587D" w:rsidRDefault="00410D07">
            <w:pPr>
              <w:ind w:right="73"/>
              <w:jc w:val="right"/>
              <w:rPr>
                <w:sz w:val="20"/>
                <w:szCs w:val="20"/>
              </w:rPr>
            </w:pPr>
            <w:r>
              <w:rPr>
                <w:rFonts w:ascii="Arial" w:eastAsia="Arial" w:hAnsi="Arial" w:cs="Arial"/>
                <w:sz w:val="18"/>
                <w:szCs w:val="18"/>
              </w:rPr>
              <w:t>(18)%</w:t>
            </w:r>
          </w:p>
        </w:tc>
        <w:tc>
          <w:tcPr>
            <w:tcW w:w="860" w:type="dxa"/>
            <w:vAlign w:val="bottom"/>
          </w:tcPr>
          <w:p w14:paraId="3C25F50B" w14:textId="77777777" w:rsidR="00D1587D" w:rsidRDefault="00410D07">
            <w:pPr>
              <w:jc w:val="right"/>
              <w:rPr>
                <w:sz w:val="20"/>
                <w:szCs w:val="20"/>
              </w:rPr>
            </w:pPr>
            <w:r>
              <w:rPr>
                <w:rFonts w:ascii="Arial" w:eastAsia="Arial" w:hAnsi="Arial" w:cs="Arial"/>
                <w:sz w:val="18"/>
                <w:szCs w:val="18"/>
              </w:rPr>
              <w:t>6%</w:t>
            </w:r>
          </w:p>
        </w:tc>
        <w:tc>
          <w:tcPr>
            <w:tcW w:w="0" w:type="dxa"/>
            <w:vAlign w:val="bottom"/>
          </w:tcPr>
          <w:p w14:paraId="17368615" w14:textId="77777777" w:rsidR="00D1587D" w:rsidRDefault="00D1587D">
            <w:pPr>
              <w:rPr>
                <w:sz w:val="1"/>
                <w:szCs w:val="1"/>
              </w:rPr>
            </w:pPr>
          </w:p>
        </w:tc>
      </w:tr>
      <w:tr w:rsidR="00D1587D" w14:paraId="04A70DD2" w14:textId="77777777">
        <w:trPr>
          <w:trHeight w:val="297"/>
        </w:trPr>
        <w:tc>
          <w:tcPr>
            <w:tcW w:w="4500" w:type="dxa"/>
            <w:gridSpan w:val="2"/>
            <w:shd w:val="clear" w:color="auto" w:fill="CCEEFF"/>
            <w:vAlign w:val="bottom"/>
          </w:tcPr>
          <w:p w14:paraId="41A8A73E" w14:textId="77777777" w:rsidR="00D1587D" w:rsidRDefault="00410D07">
            <w:pPr>
              <w:spacing w:line="296" w:lineRule="exact"/>
              <w:rPr>
                <w:sz w:val="20"/>
                <w:szCs w:val="20"/>
              </w:rPr>
            </w:pPr>
            <w:r>
              <w:rPr>
                <w:rFonts w:ascii="Arial" w:eastAsia="Arial" w:hAnsi="Arial" w:cs="Arial"/>
                <w:sz w:val="18"/>
                <w:szCs w:val="18"/>
              </w:rPr>
              <w:t>Current Ratio</w:t>
            </w:r>
            <w:r>
              <w:rPr>
                <w:rFonts w:ascii="Arial" w:eastAsia="Arial" w:hAnsi="Arial" w:cs="Arial"/>
                <w:sz w:val="29"/>
                <w:szCs w:val="29"/>
                <w:vertAlign w:val="superscript"/>
              </w:rPr>
              <w:t>(c)</w:t>
            </w:r>
          </w:p>
        </w:tc>
        <w:tc>
          <w:tcPr>
            <w:tcW w:w="880" w:type="dxa"/>
            <w:shd w:val="clear" w:color="auto" w:fill="CCEEFF"/>
            <w:vAlign w:val="bottom"/>
          </w:tcPr>
          <w:p w14:paraId="7E24DDF8" w14:textId="77777777" w:rsidR="00D1587D" w:rsidRDefault="00410D07">
            <w:pPr>
              <w:ind w:right="94"/>
              <w:jc w:val="right"/>
              <w:rPr>
                <w:sz w:val="20"/>
                <w:szCs w:val="20"/>
              </w:rPr>
            </w:pPr>
            <w:r>
              <w:rPr>
                <w:rFonts w:ascii="Arial" w:eastAsia="Arial" w:hAnsi="Arial" w:cs="Arial"/>
                <w:sz w:val="18"/>
                <w:szCs w:val="18"/>
              </w:rPr>
              <w:t>0.9</w:t>
            </w:r>
          </w:p>
        </w:tc>
        <w:tc>
          <w:tcPr>
            <w:tcW w:w="140" w:type="dxa"/>
            <w:shd w:val="clear" w:color="auto" w:fill="CCEEFF"/>
            <w:vAlign w:val="bottom"/>
          </w:tcPr>
          <w:p w14:paraId="67647B3D" w14:textId="77777777" w:rsidR="00D1587D" w:rsidRDefault="00D1587D">
            <w:pPr>
              <w:rPr>
                <w:sz w:val="24"/>
                <w:szCs w:val="24"/>
              </w:rPr>
            </w:pPr>
          </w:p>
        </w:tc>
        <w:tc>
          <w:tcPr>
            <w:tcW w:w="880" w:type="dxa"/>
            <w:shd w:val="clear" w:color="auto" w:fill="CCEEFF"/>
            <w:vAlign w:val="bottom"/>
          </w:tcPr>
          <w:p w14:paraId="14D8AEA7" w14:textId="77777777" w:rsidR="00D1587D" w:rsidRDefault="00410D07">
            <w:pPr>
              <w:ind w:right="153"/>
              <w:jc w:val="right"/>
              <w:rPr>
                <w:sz w:val="20"/>
                <w:szCs w:val="20"/>
              </w:rPr>
            </w:pPr>
            <w:r>
              <w:rPr>
                <w:rFonts w:ascii="Arial" w:eastAsia="Arial" w:hAnsi="Arial" w:cs="Arial"/>
                <w:sz w:val="18"/>
                <w:szCs w:val="18"/>
              </w:rPr>
              <w:t>0.8</w:t>
            </w:r>
          </w:p>
        </w:tc>
        <w:tc>
          <w:tcPr>
            <w:tcW w:w="1160" w:type="dxa"/>
            <w:shd w:val="clear" w:color="auto" w:fill="CCEEFF"/>
            <w:vAlign w:val="bottom"/>
          </w:tcPr>
          <w:p w14:paraId="57B0E7D3" w14:textId="77777777" w:rsidR="00D1587D" w:rsidRDefault="00410D07">
            <w:pPr>
              <w:ind w:right="293"/>
              <w:jc w:val="right"/>
              <w:rPr>
                <w:sz w:val="20"/>
                <w:szCs w:val="20"/>
              </w:rPr>
            </w:pPr>
            <w:r>
              <w:rPr>
                <w:rFonts w:ascii="Arial" w:eastAsia="Arial" w:hAnsi="Arial" w:cs="Arial"/>
                <w:sz w:val="18"/>
                <w:szCs w:val="18"/>
              </w:rPr>
              <w:t>0.9</w:t>
            </w:r>
          </w:p>
        </w:tc>
        <w:tc>
          <w:tcPr>
            <w:tcW w:w="860" w:type="dxa"/>
            <w:shd w:val="clear" w:color="auto" w:fill="CCEEFF"/>
            <w:vAlign w:val="bottom"/>
          </w:tcPr>
          <w:p w14:paraId="38BA7B78" w14:textId="77777777" w:rsidR="00D1587D" w:rsidRDefault="00410D07">
            <w:pPr>
              <w:ind w:right="132"/>
              <w:jc w:val="right"/>
              <w:rPr>
                <w:sz w:val="20"/>
                <w:szCs w:val="20"/>
              </w:rPr>
            </w:pPr>
            <w:r>
              <w:rPr>
                <w:rFonts w:ascii="Arial" w:eastAsia="Arial" w:hAnsi="Arial" w:cs="Arial"/>
                <w:sz w:val="18"/>
                <w:szCs w:val="18"/>
              </w:rPr>
              <w:t>1.2</w:t>
            </w:r>
          </w:p>
        </w:tc>
        <w:tc>
          <w:tcPr>
            <w:tcW w:w="0" w:type="dxa"/>
            <w:vAlign w:val="bottom"/>
          </w:tcPr>
          <w:p w14:paraId="651F810F" w14:textId="77777777" w:rsidR="00D1587D" w:rsidRDefault="00D1587D">
            <w:pPr>
              <w:rPr>
                <w:sz w:val="1"/>
                <w:szCs w:val="1"/>
              </w:rPr>
            </w:pPr>
          </w:p>
        </w:tc>
      </w:tr>
      <w:tr w:rsidR="00D1587D" w14:paraId="3285F57C" w14:textId="77777777">
        <w:trPr>
          <w:trHeight w:val="257"/>
        </w:trPr>
        <w:tc>
          <w:tcPr>
            <w:tcW w:w="4500" w:type="dxa"/>
            <w:gridSpan w:val="2"/>
            <w:vAlign w:val="bottom"/>
          </w:tcPr>
          <w:p w14:paraId="17C9DDF3" w14:textId="77777777" w:rsidR="00D1587D" w:rsidRDefault="00410D07">
            <w:pPr>
              <w:rPr>
                <w:sz w:val="20"/>
                <w:szCs w:val="20"/>
              </w:rPr>
            </w:pPr>
            <w:r>
              <w:rPr>
                <w:rFonts w:ascii="Arial" w:eastAsia="Arial" w:hAnsi="Arial" w:cs="Arial"/>
                <w:b/>
                <w:bCs/>
                <w:sz w:val="18"/>
                <w:szCs w:val="18"/>
              </w:rPr>
              <w:t>Stores and Associates of End of Period</w:t>
            </w:r>
          </w:p>
        </w:tc>
        <w:tc>
          <w:tcPr>
            <w:tcW w:w="880" w:type="dxa"/>
            <w:vAlign w:val="bottom"/>
          </w:tcPr>
          <w:p w14:paraId="365470A5" w14:textId="77777777" w:rsidR="00D1587D" w:rsidRDefault="00D1587D"/>
        </w:tc>
        <w:tc>
          <w:tcPr>
            <w:tcW w:w="140" w:type="dxa"/>
            <w:vAlign w:val="bottom"/>
          </w:tcPr>
          <w:p w14:paraId="60723AB6" w14:textId="77777777" w:rsidR="00D1587D" w:rsidRDefault="00D1587D"/>
        </w:tc>
        <w:tc>
          <w:tcPr>
            <w:tcW w:w="880" w:type="dxa"/>
            <w:vAlign w:val="bottom"/>
          </w:tcPr>
          <w:p w14:paraId="194350FB" w14:textId="77777777" w:rsidR="00D1587D" w:rsidRDefault="00D1587D"/>
        </w:tc>
        <w:tc>
          <w:tcPr>
            <w:tcW w:w="1160" w:type="dxa"/>
            <w:vAlign w:val="bottom"/>
          </w:tcPr>
          <w:p w14:paraId="46866022" w14:textId="77777777" w:rsidR="00D1587D" w:rsidRDefault="00D1587D"/>
        </w:tc>
        <w:tc>
          <w:tcPr>
            <w:tcW w:w="860" w:type="dxa"/>
            <w:vAlign w:val="bottom"/>
          </w:tcPr>
          <w:p w14:paraId="2C22E5F9" w14:textId="77777777" w:rsidR="00D1587D" w:rsidRDefault="00D1587D"/>
        </w:tc>
        <w:tc>
          <w:tcPr>
            <w:tcW w:w="0" w:type="dxa"/>
            <w:vAlign w:val="bottom"/>
          </w:tcPr>
          <w:p w14:paraId="51DD5154" w14:textId="77777777" w:rsidR="00D1587D" w:rsidRDefault="00D1587D">
            <w:pPr>
              <w:rPr>
                <w:sz w:val="1"/>
                <w:szCs w:val="1"/>
              </w:rPr>
            </w:pPr>
          </w:p>
        </w:tc>
      </w:tr>
      <w:tr w:rsidR="00D1587D" w14:paraId="50EEC97C" w14:textId="77777777">
        <w:trPr>
          <w:trHeight w:val="40"/>
        </w:trPr>
        <w:tc>
          <w:tcPr>
            <w:tcW w:w="1540" w:type="dxa"/>
            <w:vAlign w:val="bottom"/>
          </w:tcPr>
          <w:p w14:paraId="58275416" w14:textId="77777777" w:rsidR="00D1587D" w:rsidRDefault="00D1587D">
            <w:pPr>
              <w:rPr>
                <w:sz w:val="3"/>
                <w:szCs w:val="3"/>
              </w:rPr>
            </w:pPr>
          </w:p>
        </w:tc>
        <w:tc>
          <w:tcPr>
            <w:tcW w:w="2960" w:type="dxa"/>
            <w:vAlign w:val="bottom"/>
          </w:tcPr>
          <w:p w14:paraId="77D1B91D" w14:textId="77777777" w:rsidR="00D1587D" w:rsidRDefault="00D1587D">
            <w:pPr>
              <w:rPr>
                <w:sz w:val="3"/>
                <w:szCs w:val="3"/>
              </w:rPr>
            </w:pPr>
          </w:p>
        </w:tc>
        <w:tc>
          <w:tcPr>
            <w:tcW w:w="880" w:type="dxa"/>
            <w:vAlign w:val="bottom"/>
          </w:tcPr>
          <w:p w14:paraId="43B787AB" w14:textId="77777777" w:rsidR="00D1587D" w:rsidRDefault="00D1587D">
            <w:pPr>
              <w:rPr>
                <w:sz w:val="3"/>
                <w:szCs w:val="3"/>
              </w:rPr>
            </w:pPr>
          </w:p>
        </w:tc>
        <w:tc>
          <w:tcPr>
            <w:tcW w:w="140" w:type="dxa"/>
            <w:vAlign w:val="bottom"/>
          </w:tcPr>
          <w:p w14:paraId="72DC87F4" w14:textId="77777777" w:rsidR="00D1587D" w:rsidRDefault="00D1587D">
            <w:pPr>
              <w:rPr>
                <w:sz w:val="3"/>
                <w:szCs w:val="3"/>
              </w:rPr>
            </w:pPr>
          </w:p>
        </w:tc>
        <w:tc>
          <w:tcPr>
            <w:tcW w:w="880" w:type="dxa"/>
            <w:vAlign w:val="bottom"/>
          </w:tcPr>
          <w:p w14:paraId="11589DDF" w14:textId="77777777" w:rsidR="00D1587D" w:rsidRDefault="00D1587D">
            <w:pPr>
              <w:rPr>
                <w:sz w:val="3"/>
                <w:szCs w:val="3"/>
              </w:rPr>
            </w:pPr>
          </w:p>
        </w:tc>
        <w:tc>
          <w:tcPr>
            <w:tcW w:w="1160" w:type="dxa"/>
            <w:vAlign w:val="bottom"/>
          </w:tcPr>
          <w:p w14:paraId="0FAD1BCD" w14:textId="77777777" w:rsidR="00D1587D" w:rsidRDefault="00D1587D">
            <w:pPr>
              <w:rPr>
                <w:sz w:val="3"/>
                <w:szCs w:val="3"/>
              </w:rPr>
            </w:pPr>
          </w:p>
        </w:tc>
        <w:tc>
          <w:tcPr>
            <w:tcW w:w="860" w:type="dxa"/>
            <w:vAlign w:val="bottom"/>
          </w:tcPr>
          <w:p w14:paraId="7F104C41" w14:textId="77777777" w:rsidR="00D1587D" w:rsidRDefault="00D1587D">
            <w:pPr>
              <w:rPr>
                <w:sz w:val="3"/>
                <w:szCs w:val="3"/>
              </w:rPr>
            </w:pPr>
          </w:p>
        </w:tc>
        <w:tc>
          <w:tcPr>
            <w:tcW w:w="0" w:type="dxa"/>
            <w:vAlign w:val="bottom"/>
          </w:tcPr>
          <w:p w14:paraId="2F4A5014" w14:textId="77777777" w:rsidR="00D1587D" w:rsidRDefault="00D1587D">
            <w:pPr>
              <w:rPr>
                <w:sz w:val="1"/>
                <w:szCs w:val="1"/>
              </w:rPr>
            </w:pPr>
          </w:p>
        </w:tc>
      </w:tr>
      <w:tr w:rsidR="00D1587D" w14:paraId="5E4171FF" w14:textId="77777777">
        <w:trPr>
          <w:trHeight w:val="277"/>
        </w:trPr>
        <w:tc>
          <w:tcPr>
            <w:tcW w:w="4500" w:type="dxa"/>
            <w:gridSpan w:val="2"/>
            <w:tcBorders>
              <w:bottom w:val="single" w:sz="8" w:space="0" w:color="CCEEFF"/>
            </w:tcBorders>
            <w:shd w:val="clear" w:color="auto" w:fill="CCEEFF"/>
            <w:vAlign w:val="bottom"/>
          </w:tcPr>
          <w:p w14:paraId="73B4790E" w14:textId="77777777" w:rsidR="00D1587D" w:rsidRDefault="00410D07">
            <w:pPr>
              <w:rPr>
                <w:sz w:val="20"/>
                <w:szCs w:val="20"/>
              </w:rPr>
            </w:pPr>
            <w:r>
              <w:rPr>
                <w:rFonts w:ascii="Arial" w:eastAsia="Arial" w:hAnsi="Arial" w:cs="Arial"/>
                <w:sz w:val="18"/>
                <w:szCs w:val="18"/>
              </w:rPr>
              <w:t>Number of Company-Operated Stores</w:t>
            </w:r>
          </w:p>
        </w:tc>
        <w:tc>
          <w:tcPr>
            <w:tcW w:w="880" w:type="dxa"/>
            <w:tcBorders>
              <w:bottom w:val="single" w:sz="8" w:space="0" w:color="CCEEFF"/>
            </w:tcBorders>
            <w:shd w:val="clear" w:color="auto" w:fill="CCEEFF"/>
            <w:vAlign w:val="bottom"/>
          </w:tcPr>
          <w:p w14:paraId="6D94F436" w14:textId="77777777" w:rsidR="00D1587D" w:rsidRDefault="00410D07">
            <w:pPr>
              <w:ind w:right="74"/>
              <w:jc w:val="right"/>
              <w:rPr>
                <w:sz w:val="20"/>
                <w:szCs w:val="20"/>
              </w:rPr>
            </w:pPr>
            <w:r>
              <w:rPr>
                <w:rFonts w:ascii="Arial" w:eastAsia="Arial" w:hAnsi="Arial" w:cs="Arial"/>
                <w:sz w:val="18"/>
                <w:szCs w:val="18"/>
              </w:rPr>
              <w:t>929</w:t>
            </w:r>
          </w:p>
        </w:tc>
        <w:tc>
          <w:tcPr>
            <w:tcW w:w="140" w:type="dxa"/>
            <w:tcBorders>
              <w:bottom w:val="single" w:sz="8" w:space="0" w:color="CCEEFF"/>
            </w:tcBorders>
            <w:shd w:val="clear" w:color="auto" w:fill="CCEEFF"/>
            <w:vAlign w:val="bottom"/>
          </w:tcPr>
          <w:p w14:paraId="0669ABA4" w14:textId="77777777" w:rsidR="00D1587D" w:rsidRDefault="00D1587D">
            <w:pPr>
              <w:rPr>
                <w:sz w:val="24"/>
                <w:szCs w:val="24"/>
              </w:rPr>
            </w:pPr>
          </w:p>
        </w:tc>
        <w:tc>
          <w:tcPr>
            <w:tcW w:w="880" w:type="dxa"/>
            <w:tcBorders>
              <w:bottom w:val="single" w:sz="8" w:space="0" w:color="CCEEFF"/>
            </w:tcBorders>
            <w:shd w:val="clear" w:color="auto" w:fill="CCEEFF"/>
            <w:vAlign w:val="bottom"/>
          </w:tcPr>
          <w:p w14:paraId="1EEA54F9" w14:textId="77777777" w:rsidR="00D1587D" w:rsidRDefault="00410D07">
            <w:pPr>
              <w:ind w:right="133"/>
              <w:jc w:val="right"/>
              <w:rPr>
                <w:sz w:val="20"/>
                <w:szCs w:val="20"/>
              </w:rPr>
            </w:pPr>
            <w:r>
              <w:rPr>
                <w:rFonts w:ascii="Arial" w:eastAsia="Arial" w:hAnsi="Arial" w:cs="Arial"/>
                <w:sz w:val="18"/>
                <w:szCs w:val="18"/>
              </w:rPr>
              <w:t>933</w:t>
            </w:r>
          </w:p>
        </w:tc>
        <w:tc>
          <w:tcPr>
            <w:tcW w:w="1160" w:type="dxa"/>
            <w:tcBorders>
              <w:bottom w:val="single" w:sz="8" w:space="0" w:color="CCEEFF"/>
            </w:tcBorders>
            <w:shd w:val="clear" w:color="auto" w:fill="CCEEFF"/>
            <w:vAlign w:val="bottom"/>
          </w:tcPr>
          <w:p w14:paraId="1ECA963F" w14:textId="77777777" w:rsidR="00D1587D" w:rsidRDefault="00410D07">
            <w:pPr>
              <w:ind w:right="293"/>
              <w:jc w:val="right"/>
              <w:rPr>
                <w:sz w:val="20"/>
                <w:szCs w:val="20"/>
              </w:rPr>
            </w:pPr>
            <w:r>
              <w:rPr>
                <w:rFonts w:ascii="Arial" w:eastAsia="Arial" w:hAnsi="Arial" w:cs="Arial"/>
                <w:sz w:val="18"/>
                <w:szCs w:val="18"/>
              </w:rPr>
              <w:t>1,181</w:t>
            </w:r>
          </w:p>
        </w:tc>
        <w:tc>
          <w:tcPr>
            <w:tcW w:w="860" w:type="dxa"/>
            <w:tcBorders>
              <w:bottom w:val="single" w:sz="8" w:space="0" w:color="CCEEFF"/>
            </w:tcBorders>
            <w:shd w:val="clear" w:color="auto" w:fill="CCEEFF"/>
            <w:vAlign w:val="bottom"/>
          </w:tcPr>
          <w:p w14:paraId="5CF2B4CB" w14:textId="77777777" w:rsidR="00D1587D" w:rsidRDefault="00410D07">
            <w:pPr>
              <w:ind w:right="132"/>
              <w:jc w:val="right"/>
              <w:rPr>
                <w:sz w:val="20"/>
                <w:szCs w:val="20"/>
              </w:rPr>
            </w:pPr>
            <w:r>
              <w:rPr>
                <w:rFonts w:ascii="Arial" w:eastAsia="Arial" w:hAnsi="Arial" w:cs="Arial"/>
                <w:sz w:val="18"/>
                <w:szCs w:val="18"/>
              </w:rPr>
              <w:t>1,222</w:t>
            </w:r>
          </w:p>
        </w:tc>
        <w:tc>
          <w:tcPr>
            <w:tcW w:w="0" w:type="dxa"/>
            <w:vAlign w:val="bottom"/>
          </w:tcPr>
          <w:p w14:paraId="660EBBA4" w14:textId="77777777" w:rsidR="00D1587D" w:rsidRDefault="00D1587D">
            <w:pPr>
              <w:rPr>
                <w:sz w:val="1"/>
                <w:szCs w:val="1"/>
              </w:rPr>
            </w:pPr>
          </w:p>
        </w:tc>
      </w:tr>
      <w:tr w:rsidR="00D1587D" w14:paraId="59D5B17E" w14:textId="77777777">
        <w:trPr>
          <w:trHeight w:val="242"/>
        </w:trPr>
        <w:tc>
          <w:tcPr>
            <w:tcW w:w="4500" w:type="dxa"/>
            <w:gridSpan w:val="2"/>
            <w:vAlign w:val="bottom"/>
          </w:tcPr>
          <w:p w14:paraId="0FBF214D" w14:textId="77777777" w:rsidR="00D1587D" w:rsidRDefault="00410D07">
            <w:pPr>
              <w:rPr>
                <w:sz w:val="20"/>
                <w:szCs w:val="20"/>
              </w:rPr>
            </w:pPr>
            <w:r>
              <w:rPr>
                <w:rFonts w:ascii="Arial" w:eastAsia="Arial" w:hAnsi="Arial" w:cs="Arial"/>
                <w:sz w:val="18"/>
                <w:szCs w:val="18"/>
              </w:rPr>
              <w:t>Selling Square Feet of Company-Operated Stores</w:t>
            </w:r>
          </w:p>
        </w:tc>
        <w:tc>
          <w:tcPr>
            <w:tcW w:w="880" w:type="dxa"/>
            <w:vAlign w:val="bottom"/>
          </w:tcPr>
          <w:p w14:paraId="326D3C66" w14:textId="77777777" w:rsidR="00D1587D" w:rsidRDefault="00D1587D">
            <w:pPr>
              <w:rPr>
                <w:sz w:val="21"/>
                <w:szCs w:val="21"/>
              </w:rPr>
            </w:pPr>
          </w:p>
        </w:tc>
        <w:tc>
          <w:tcPr>
            <w:tcW w:w="140" w:type="dxa"/>
            <w:vAlign w:val="bottom"/>
          </w:tcPr>
          <w:p w14:paraId="23B2DC17" w14:textId="77777777" w:rsidR="00D1587D" w:rsidRDefault="00D1587D">
            <w:pPr>
              <w:rPr>
                <w:sz w:val="21"/>
                <w:szCs w:val="21"/>
              </w:rPr>
            </w:pPr>
          </w:p>
        </w:tc>
        <w:tc>
          <w:tcPr>
            <w:tcW w:w="880" w:type="dxa"/>
            <w:vAlign w:val="bottom"/>
          </w:tcPr>
          <w:p w14:paraId="1FB21954" w14:textId="77777777" w:rsidR="00D1587D" w:rsidRDefault="00D1587D">
            <w:pPr>
              <w:rPr>
                <w:sz w:val="21"/>
                <w:szCs w:val="21"/>
              </w:rPr>
            </w:pPr>
          </w:p>
        </w:tc>
        <w:tc>
          <w:tcPr>
            <w:tcW w:w="1160" w:type="dxa"/>
            <w:vAlign w:val="bottom"/>
          </w:tcPr>
          <w:p w14:paraId="0E825D1F" w14:textId="77777777" w:rsidR="00D1587D" w:rsidRDefault="00D1587D">
            <w:pPr>
              <w:rPr>
                <w:sz w:val="21"/>
                <w:szCs w:val="21"/>
              </w:rPr>
            </w:pPr>
          </w:p>
        </w:tc>
        <w:tc>
          <w:tcPr>
            <w:tcW w:w="860" w:type="dxa"/>
            <w:vAlign w:val="bottom"/>
          </w:tcPr>
          <w:p w14:paraId="3A3B2B2E" w14:textId="77777777" w:rsidR="00D1587D" w:rsidRDefault="00D1587D">
            <w:pPr>
              <w:rPr>
                <w:sz w:val="21"/>
                <w:szCs w:val="21"/>
              </w:rPr>
            </w:pPr>
          </w:p>
        </w:tc>
        <w:tc>
          <w:tcPr>
            <w:tcW w:w="0" w:type="dxa"/>
            <w:vAlign w:val="bottom"/>
          </w:tcPr>
          <w:p w14:paraId="0AF4510A" w14:textId="77777777" w:rsidR="00D1587D" w:rsidRDefault="00D1587D">
            <w:pPr>
              <w:rPr>
                <w:sz w:val="1"/>
                <w:szCs w:val="1"/>
              </w:rPr>
            </w:pPr>
          </w:p>
        </w:tc>
      </w:tr>
      <w:tr w:rsidR="00D1587D" w14:paraId="16CE9A0A" w14:textId="77777777">
        <w:trPr>
          <w:trHeight w:val="230"/>
        </w:trPr>
        <w:tc>
          <w:tcPr>
            <w:tcW w:w="4500" w:type="dxa"/>
            <w:gridSpan w:val="2"/>
            <w:vAlign w:val="bottom"/>
          </w:tcPr>
          <w:p w14:paraId="760705D6" w14:textId="77777777" w:rsidR="00D1587D" w:rsidRDefault="00410D07">
            <w:pPr>
              <w:ind w:left="180"/>
              <w:rPr>
                <w:sz w:val="20"/>
                <w:szCs w:val="20"/>
              </w:rPr>
            </w:pPr>
            <w:r>
              <w:rPr>
                <w:rFonts w:ascii="Arial" w:eastAsia="Arial" w:hAnsi="Arial" w:cs="Arial"/>
                <w:sz w:val="18"/>
                <w:szCs w:val="18"/>
              </w:rPr>
              <w:t xml:space="preserve">(in </w:t>
            </w:r>
            <w:r>
              <w:rPr>
                <w:rFonts w:ascii="Arial" w:eastAsia="Arial" w:hAnsi="Arial" w:cs="Arial"/>
                <w:sz w:val="18"/>
                <w:szCs w:val="18"/>
              </w:rPr>
              <w:t>thousands)</w:t>
            </w:r>
          </w:p>
        </w:tc>
        <w:tc>
          <w:tcPr>
            <w:tcW w:w="880" w:type="dxa"/>
            <w:vAlign w:val="bottom"/>
          </w:tcPr>
          <w:p w14:paraId="0677E57F" w14:textId="77777777" w:rsidR="00D1587D" w:rsidRDefault="00410D07">
            <w:pPr>
              <w:ind w:right="74"/>
              <w:jc w:val="right"/>
              <w:rPr>
                <w:sz w:val="20"/>
                <w:szCs w:val="20"/>
              </w:rPr>
            </w:pPr>
            <w:r>
              <w:rPr>
                <w:rFonts w:ascii="Arial" w:eastAsia="Arial" w:hAnsi="Arial" w:cs="Arial"/>
                <w:sz w:val="18"/>
                <w:szCs w:val="18"/>
              </w:rPr>
              <w:t>6,245</w:t>
            </w:r>
          </w:p>
        </w:tc>
        <w:tc>
          <w:tcPr>
            <w:tcW w:w="140" w:type="dxa"/>
            <w:vAlign w:val="bottom"/>
          </w:tcPr>
          <w:p w14:paraId="40ABEB44" w14:textId="77777777" w:rsidR="00D1587D" w:rsidRDefault="00D1587D">
            <w:pPr>
              <w:rPr>
                <w:sz w:val="20"/>
                <w:szCs w:val="20"/>
              </w:rPr>
            </w:pPr>
          </w:p>
        </w:tc>
        <w:tc>
          <w:tcPr>
            <w:tcW w:w="880" w:type="dxa"/>
            <w:vAlign w:val="bottom"/>
          </w:tcPr>
          <w:p w14:paraId="1E6D570A" w14:textId="77777777" w:rsidR="00D1587D" w:rsidRDefault="00410D07">
            <w:pPr>
              <w:ind w:right="133"/>
              <w:jc w:val="right"/>
              <w:rPr>
                <w:sz w:val="20"/>
                <w:szCs w:val="20"/>
              </w:rPr>
            </w:pPr>
            <w:r>
              <w:rPr>
                <w:rFonts w:ascii="Arial" w:eastAsia="Arial" w:hAnsi="Arial" w:cs="Arial"/>
                <w:sz w:val="18"/>
                <w:szCs w:val="18"/>
              </w:rPr>
              <w:t>6,313</w:t>
            </w:r>
          </w:p>
        </w:tc>
        <w:tc>
          <w:tcPr>
            <w:tcW w:w="1160" w:type="dxa"/>
            <w:vAlign w:val="bottom"/>
          </w:tcPr>
          <w:p w14:paraId="63B0CB1C" w14:textId="77777777" w:rsidR="00D1587D" w:rsidRDefault="00410D07">
            <w:pPr>
              <w:ind w:right="293"/>
              <w:jc w:val="right"/>
              <w:rPr>
                <w:sz w:val="20"/>
                <w:szCs w:val="20"/>
              </w:rPr>
            </w:pPr>
            <w:r>
              <w:rPr>
                <w:rFonts w:ascii="Arial" w:eastAsia="Arial" w:hAnsi="Arial" w:cs="Arial"/>
                <w:sz w:val="18"/>
                <w:szCs w:val="18"/>
              </w:rPr>
              <w:t>7,693</w:t>
            </w:r>
          </w:p>
        </w:tc>
        <w:tc>
          <w:tcPr>
            <w:tcW w:w="860" w:type="dxa"/>
            <w:vAlign w:val="bottom"/>
          </w:tcPr>
          <w:p w14:paraId="106CDF05" w14:textId="77777777" w:rsidR="00D1587D" w:rsidRDefault="00410D07">
            <w:pPr>
              <w:ind w:right="132"/>
              <w:jc w:val="right"/>
              <w:rPr>
                <w:sz w:val="20"/>
                <w:szCs w:val="20"/>
              </w:rPr>
            </w:pPr>
            <w:r>
              <w:rPr>
                <w:rFonts w:ascii="Arial" w:eastAsia="Arial" w:hAnsi="Arial" w:cs="Arial"/>
                <w:sz w:val="18"/>
                <w:szCs w:val="18"/>
              </w:rPr>
              <w:t>7,953</w:t>
            </w:r>
          </w:p>
        </w:tc>
        <w:tc>
          <w:tcPr>
            <w:tcW w:w="0" w:type="dxa"/>
            <w:vAlign w:val="bottom"/>
          </w:tcPr>
          <w:p w14:paraId="3BB4813B" w14:textId="77777777" w:rsidR="00D1587D" w:rsidRDefault="00D1587D">
            <w:pPr>
              <w:rPr>
                <w:sz w:val="1"/>
                <w:szCs w:val="1"/>
              </w:rPr>
            </w:pPr>
          </w:p>
        </w:tc>
      </w:tr>
      <w:tr w:rsidR="00D1587D" w14:paraId="5AC1C37E" w14:textId="77777777">
        <w:trPr>
          <w:trHeight w:val="40"/>
        </w:trPr>
        <w:tc>
          <w:tcPr>
            <w:tcW w:w="1540" w:type="dxa"/>
            <w:vAlign w:val="bottom"/>
          </w:tcPr>
          <w:p w14:paraId="0EF830CD" w14:textId="77777777" w:rsidR="00D1587D" w:rsidRDefault="00D1587D">
            <w:pPr>
              <w:rPr>
                <w:sz w:val="3"/>
                <w:szCs w:val="3"/>
              </w:rPr>
            </w:pPr>
          </w:p>
        </w:tc>
        <w:tc>
          <w:tcPr>
            <w:tcW w:w="2960" w:type="dxa"/>
            <w:vAlign w:val="bottom"/>
          </w:tcPr>
          <w:p w14:paraId="6274E0AB" w14:textId="77777777" w:rsidR="00D1587D" w:rsidRDefault="00D1587D">
            <w:pPr>
              <w:rPr>
                <w:sz w:val="3"/>
                <w:szCs w:val="3"/>
              </w:rPr>
            </w:pPr>
          </w:p>
        </w:tc>
        <w:tc>
          <w:tcPr>
            <w:tcW w:w="880" w:type="dxa"/>
            <w:vAlign w:val="bottom"/>
          </w:tcPr>
          <w:p w14:paraId="38DBE2CD" w14:textId="77777777" w:rsidR="00D1587D" w:rsidRDefault="00D1587D">
            <w:pPr>
              <w:rPr>
                <w:sz w:val="3"/>
                <w:szCs w:val="3"/>
              </w:rPr>
            </w:pPr>
          </w:p>
        </w:tc>
        <w:tc>
          <w:tcPr>
            <w:tcW w:w="140" w:type="dxa"/>
            <w:vAlign w:val="bottom"/>
          </w:tcPr>
          <w:p w14:paraId="6698B4C7" w14:textId="77777777" w:rsidR="00D1587D" w:rsidRDefault="00D1587D">
            <w:pPr>
              <w:rPr>
                <w:sz w:val="3"/>
                <w:szCs w:val="3"/>
              </w:rPr>
            </w:pPr>
          </w:p>
        </w:tc>
        <w:tc>
          <w:tcPr>
            <w:tcW w:w="880" w:type="dxa"/>
            <w:vAlign w:val="bottom"/>
          </w:tcPr>
          <w:p w14:paraId="0B5C1C20" w14:textId="77777777" w:rsidR="00D1587D" w:rsidRDefault="00D1587D">
            <w:pPr>
              <w:rPr>
                <w:sz w:val="3"/>
                <w:szCs w:val="3"/>
              </w:rPr>
            </w:pPr>
          </w:p>
        </w:tc>
        <w:tc>
          <w:tcPr>
            <w:tcW w:w="1160" w:type="dxa"/>
            <w:vAlign w:val="bottom"/>
          </w:tcPr>
          <w:p w14:paraId="67AFA554" w14:textId="77777777" w:rsidR="00D1587D" w:rsidRDefault="00D1587D">
            <w:pPr>
              <w:rPr>
                <w:sz w:val="3"/>
                <w:szCs w:val="3"/>
              </w:rPr>
            </w:pPr>
          </w:p>
        </w:tc>
        <w:tc>
          <w:tcPr>
            <w:tcW w:w="860" w:type="dxa"/>
            <w:vAlign w:val="bottom"/>
          </w:tcPr>
          <w:p w14:paraId="58668013" w14:textId="77777777" w:rsidR="00D1587D" w:rsidRDefault="00D1587D">
            <w:pPr>
              <w:rPr>
                <w:sz w:val="3"/>
                <w:szCs w:val="3"/>
              </w:rPr>
            </w:pPr>
          </w:p>
        </w:tc>
        <w:tc>
          <w:tcPr>
            <w:tcW w:w="0" w:type="dxa"/>
            <w:vAlign w:val="bottom"/>
          </w:tcPr>
          <w:p w14:paraId="6F4C3CB4" w14:textId="77777777" w:rsidR="00D1587D" w:rsidRDefault="00D1587D">
            <w:pPr>
              <w:rPr>
                <w:sz w:val="1"/>
                <w:szCs w:val="1"/>
              </w:rPr>
            </w:pPr>
          </w:p>
        </w:tc>
      </w:tr>
      <w:tr w:rsidR="00D1587D" w14:paraId="41FFAAF9" w14:textId="77777777">
        <w:trPr>
          <w:trHeight w:val="257"/>
        </w:trPr>
        <w:tc>
          <w:tcPr>
            <w:tcW w:w="4500" w:type="dxa"/>
            <w:gridSpan w:val="2"/>
            <w:shd w:val="clear" w:color="auto" w:fill="CCEEFF"/>
            <w:vAlign w:val="bottom"/>
          </w:tcPr>
          <w:p w14:paraId="5675AD96" w14:textId="77777777" w:rsidR="00D1587D" w:rsidRDefault="00410D07">
            <w:pPr>
              <w:rPr>
                <w:sz w:val="20"/>
                <w:szCs w:val="20"/>
              </w:rPr>
            </w:pPr>
            <w:r>
              <w:rPr>
                <w:rFonts w:ascii="Arial" w:eastAsia="Arial" w:hAnsi="Arial" w:cs="Arial"/>
                <w:sz w:val="18"/>
                <w:szCs w:val="18"/>
              </w:rPr>
              <w:t>Number of Associates</w:t>
            </w:r>
          </w:p>
        </w:tc>
        <w:tc>
          <w:tcPr>
            <w:tcW w:w="880" w:type="dxa"/>
            <w:shd w:val="clear" w:color="auto" w:fill="CCEEFF"/>
            <w:vAlign w:val="bottom"/>
          </w:tcPr>
          <w:p w14:paraId="7B913425" w14:textId="77777777" w:rsidR="00D1587D" w:rsidRDefault="00410D07">
            <w:pPr>
              <w:ind w:right="94"/>
              <w:jc w:val="right"/>
              <w:rPr>
                <w:sz w:val="20"/>
                <w:szCs w:val="20"/>
              </w:rPr>
            </w:pPr>
            <w:r>
              <w:rPr>
                <w:rFonts w:ascii="Arial" w:eastAsia="Arial" w:hAnsi="Arial" w:cs="Arial"/>
                <w:sz w:val="18"/>
                <w:szCs w:val="18"/>
              </w:rPr>
              <w:t>27,700</w:t>
            </w:r>
          </w:p>
        </w:tc>
        <w:tc>
          <w:tcPr>
            <w:tcW w:w="140" w:type="dxa"/>
            <w:shd w:val="clear" w:color="auto" w:fill="CCEEFF"/>
            <w:vAlign w:val="bottom"/>
          </w:tcPr>
          <w:p w14:paraId="0C8A7BC9" w14:textId="77777777" w:rsidR="00D1587D" w:rsidRDefault="00D1587D"/>
        </w:tc>
        <w:tc>
          <w:tcPr>
            <w:tcW w:w="880" w:type="dxa"/>
            <w:shd w:val="clear" w:color="auto" w:fill="CCEEFF"/>
            <w:vAlign w:val="bottom"/>
          </w:tcPr>
          <w:p w14:paraId="37BB89BD" w14:textId="77777777" w:rsidR="00D1587D" w:rsidRDefault="00410D07">
            <w:pPr>
              <w:ind w:right="153"/>
              <w:jc w:val="right"/>
              <w:rPr>
                <w:sz w:val="20"/>
                <w:szCs w:val="20"/>
              </w:rPr>
            </w:pPr>
            <w:r>
              <w:rPr>
                <w:rFonts w:ascii="Arial" w:eastAsia="Arial" w:hAnsi="Arial" w:cs="Arial"/>
                <w:sz w:val="18"/>
                <w:szCs w:val="18"/>
              </w:rPr>
              <w:t>27,900</w:t>
            </w:r>
          </w:p>
        </w:tc>
        <w:tc>
          <w:tcPr>
            <w:tcW w:w="1160" w:type="dxa"/>
            <w:shd w:val="clear" w:color="auto" w:fill="CCEEFF"/>
            <w:vAlign w:val="bottom"/>
          </w:tcPr>
          <w:p w14:paraId="309FE895" w14:textId="77777777" w:rsidR="00D1587D" w:rsidRDefault="00410D07">
            <w:pPr>
              <w:ind w:right="293"/>
              <w:jc w:val="right"/>
              <w:rPr>
                <w:sz w:val="20"/>
                <w:szCs w:val="20"/>
              </w:rPr>
            </w:pPr>
            <w:r>
              <w:rPr>
                <w:rFonts w:ascii="Arial" w:eastAsia="Arial" w:hAnsi="Arial" w:cs="Arial"/>
                <w:sz w:val="18"/>
                <w:szCs w:val="18"/>
              </w:rPr>
              <w:t>44,300</w:t>
            </w:r>
          </w:p>
        </w:tc>
        <w:tc>
          <w:tcPr>
            <w:tcW w:w="860" w:type="dxa"/>
            <w:shd w:val="clear" w:color="auto" w:fill="CCEEFF"/>
            <w:vAlign w:val="bottom"/>
          </w:tcPr>
          <w:p w14:paraId="01AA7C91" w14:textId="77777777" w:rsidR="00D1587D" w:rsidRDefault="00410D07">
            <w:pPr>
              <w:ind w:right="132"/>
              <w:jc w:val="right"/>
              <w:rPr>
                <w:sz w:val="20"/>
                <w:szCs w:val="20"/>
              </w:rPr>
            </w:pPr>
            <w:r>
              <w:rPr>
                <w:rFonts w:ascii="Arial" w:eastAsia="Arial" w:hAnsi="Arial" w:cs="Arial"/>
                <w:sz w:val="18"/>
                <w:szCs w:val="18"/>
              </w:rPr>
              <w:t>43,100</w:t>
            </w:r>
          </w:p>
        </w:tc>
        <w:tc>
          <w:tcPr>
            <w:tcW w:w="0" w:type="dxa"/>
            <w:vAlign w:val="bottom"/>
          </w:tcPr>
          <w:p w14:paraId="04797164" w14:textId="77777777" w:rsidR="00D1587D" w:rsidRDefault="00D1587D">
            <w:pPr>
              <w:rPr>
                <w:sz w:val="1"/>
                <w:szCs w:val="1"/>
              </w:rPr>
            </w:pPr>
          </w:p>
        </w:tc>
      </w:tr>
      <w:tr w:rsidR="00D1587D" w14:paraId="274FD27A" w14:textId="77777777">
        <w:trPr>
          <w:trHeight w:val="54"/>
        </w:trPr>
        <w:tc>
          <w:tcPr>
            <w:tcW w:w="1540" w:type="dxa"/>
            <w:shd w:val="clear" w:color="auto" w:fill="CCEEFF"/>
            <w:vAlign w:val="bottom"/>
          </w:tcPr>
          <w:p w14:paraId="084EF249" w14:textId="77777777" w:rsidR="00D1587D" w:rsidRDefault="00D1587D">
            <w:pPr>
              <w:rPr>
                <w:sz w:val="4"/>
                <w:szCs w:val="4"/>
              </w:rPr>
            </w:pPr>
          </w:p>
        </w:tc>
        <w:tc>
          <w:tcPr>
            <w:tcW w:w="2960" w:type="dxa"/>
            <w:shd w:val="clear" w:color="auto" w:fill="CCEEFF"/>
            <w:vAlign w:val="bottom"/>
          </w:tcPr>
          <w:p w14:paraId="57B18AEC" w14:textId="77777777" w:rsidR="00D1587D" w:rsidRDefault="00D1587D">
            <w:pPr>
              <w:rPr>
                <w:sz w:val="4"/>
                <w:szCs w:val="4"/>
              </w:rPr>
            </w:pPr>
          </w:p>
        </w:tc>
        <w:tc>
          <w:tcPr>
            <w:tcW w:w="880" w:type="dxa"/>
            <w:shd w:val="clear" w:color="auto" w:fill="CCEEFF"/>
            <w:vAlign w:val="bottom"/>
          </w:tcPr>
          <w:p w14:paraId="512B669C" w14:textId="77777777" w:rsidR="00D1587D" w:rsidRDefault="00D1587D">
            <w:pPr>
              <w:rPr>
                <w:sz w:val="4"/>
                <w:szCs w:val="4"/>
              </w:rPr>
            </w:pPr>
          </w:p>
        </w:tc>
        <w:tc>
          <w:tcPr>
            <w:tcW w:w="140" w:type="dxa"/>
            <w:shd w:val="clear" w:color="auto" w:fill="CCEEFF"/>
            <w:vAlign w:val="bottom"/>
          </w:tcPr>
          <w:p w14:paraId="090C5793" w14:textId="77777777" w:rsidR="00D1587D" w:rsidRDefault="00D1587D">
            <w:pPr>
              <w:rPr>
                <w:sz w:val="4"/>
                <w:szCs w:val="4"/>
              </w:rPr>
            </w:pPr>
          </w:p>
        </w:tc>
        <w:tc>
          <w:tcPr>
            <w:tcW w:w="880" w:type="dxa"/>
            <w:shd w:val="clear" w:color="auto" w:fill="CCEEFF"/>
            <w:vAlign w:val="bottom"/>
          </w:tcPr>
          <w:p w14:paraId="39886145" w14:textId="77777777" w:rsidR="00D1587D" w:rsidRDefault="00D1587D">
            <w:pPr>
              <w:rPr>
                <w:sz w:val="4"/>
                <w:szCs w:val="4"/>
              </w:rPr>
            </w:pPr>
          </w:p>
        </w:tc>
        <w:tc>
          <w:tcPr>
            <w:tcW w:w="1160" w:type="dxa"/>
            <w:shd w:val="clear" w:color="auto" w:fill="CCEEFF"/>
            <w:vAlign w:val="bottom"/>
          </w:tcPr>
          <w:p w14:paraId="400856C1" w14:textId="77777777" w:rsidR="00D1587D" w:rsidRDefault="00D1587D">
            <w:pPr>
              <w:rPr>
                <w:sz w:val="4"/>
                <w:szCs w:val="4"/>
              </w:rPr>
            </w:pPr>
          </w:p>
        </w:tc>
        <w:tc>
          <w:tcPr>
            <w:tcW w:w="860" w:type="dxa"/>
            <w:shd w:val="clear" w:color="auto" w:fill="CCEEFF"/>
            <w:vAlign w:val="bottom"/>
          </w:tcPr>
          <w:p w14:paraId="1AF4F6EB" w14:textId="77777777" w:rsidR="00D1587D" w:rsidRDefault="00D1587D">
            <w:pPr>
              <w:rPr>
                <w:sz w:val="4"/>
                <w:szCs w:val="4"/>
              </w:rPr>
            </w:pPr>
          </w:p>
        </w:tc>
        <w:tc>
          <w:tcPr>
            <w:tcW w:w="0" w:type="dxa"/>
            <w:vAlign w:val="bottom"/>
          </w:tcPr>
          <w:p w14:paraId="42B14FD1" w14:textId="77777777" w:rsidR="00D1587D" w:rsidRDefault="00D1587D">
            <w:pPr>
              <w:rPr>
                <w:sz w:val="1"/>
                <w:szCs w:val="1"/>
              </w:rPr>
            </w:pPr>
          </w:p>
        </w:tc>
      </w:tr>
    </w:tbl>
    <w:p w14:paraId="3C4A6C16" w14:textId="77777777" w:rsidR="00D1587D" w:rsidRDefault="00410D07">
      <w:pPr>
        <w:spacing w:line="20" w:lineRule="exact"/>
        <w:rPr>
          <w:sz w:val="20"/>
          <w:szCs w:val="20"/>
        </w:rPr>
      </w:pPr>
      <w:r>
        <w:rPr>
          <w:noProof/>
          <w:sz w:val="20"/>
          <w:szCs w:val="20"/>
        </w:rPr>
        <w:drawing>
          <wp:anchor distT="0" distB="0" distL="114300" distR="114300" simplePos="0" relativeHeight="251576320" behindDoc="1" locked="0" layoutInCell="0" allowOverlap="1" wp14:anchorId="6C83742A" wp14:editId="0A0C5B3C">
            <wp:simplePos x="0" y="0"/>
            <wp:positionH relativeFrom="column">
              <wp:posOffset>4891405</wp:posOffset>
            </wp:positionH>
            <wp:positionV relativeFrom="paragraph">
              <wp:posOffset>-3368040</wp:posOffset>
            </wp:positionV>
            <wp:extent cx="85725" cy="825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577344" behindDoc="1" locked="0" layoutInCell="0" allowOverlap="1" wp14:anchorId="1714B689" wp14:editId="10AB5FEB">
            <wp:simplePos x="0" y="0"/>
            <wp:positionH relativeFrom="column">
              <wp:posOffset>4248785</wp:posOffset>
            </wp:positionH>
            <wp:positionV relativeFrom="paragraph">
              <wp:posOffset>-3368040</wp:posOffset>
            </wp:positionV>
            <wp:extent cx="85725" cy="8255"/>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578368" behindDoc="1" locked="0" layoutInCell="0" allowOverlap="1" wp14:anchorId="198B6C0D" wp14:editId="14BCF29C">
            <wp:simplePos x="0" y="0"/>
            <wp:positionH relativeFrom="column">
              <wp:posOffset>3605530</wp:posOffset>
            </wp:positionH>
            <wp:positionV relativeFrom="paragraph">
              <wp:posOffset>-3368040</wp:posOffset>
            </wp:positionV>
            <wp:extent cx="85725" cy="8255"/>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579392" behindDoc="1" locked="0" layoutInCell="0" allowOverlap="1" wp14:anchorId="2FB413E1" wp14:editId="2A6B63F9">
            <wp:simplePos x="0" y="0"/>
            <wp:positionH relativeFrom="column">
              <wp:posOffset>3005455</wp:posOffset>
            </wp:positionH>
            <wp:positionV relativeFrom="paragraph">
              <wp:posOffset>-3368040</wp:posOffset>
            </wp:positionV>
            <wp:extent cx="43180" cy="8255"/>
            <wp:effectExtent l="0" t="0" r="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1580416" behindDoc="1" locked="0" layoutInCell="0" allowOverlap="1" wp14:anchorId="74E71B00" wp14:editId="6103BD25">
            <wp:simplePos x="0" y="0"/>
            <wp:positionH relativeFrom="column">
              <wp:posOffset>185420</wp:posOffset>
            </wp:positionH>
            <wp:positionV relativeFrom="paragraph">
              <wp:posOffset>180340</wp:posOffset>
            </wp:positionV>
            <wp:extent cx="822960" cy="8255"/>
            <wp:effectExtent l="0" t="0" r="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0E2152B3" w14:textId="77777777" w:rsidR="00D1587D" w:rsidRDefault="00D1587D">
      <w:pPr>
        <w:spacing w:line="312" w:lineRule="exact"/>
        <w:rPr>
          <w:sz w:val="20"/>
          <w:szCs w:val="20"/>
        </w:rPr>
      </w:pPr>
    </w:p>
    <w:p w14:paraId="2F6E542D" w14:textId="77777777" w:rsidR="00D1587D" w:rsidRDefault="00410D07" w:rsidP="00410D07">
      <w:pPr>
        <w:numPr>
          <w:ilvl w:val="0"/>
          <w:numId w:val="279"/>
        </w:numPr>
        <w:tabs>
          <w:tab w:val="left" w:pos="640"/>
        </w:tabs>
        <w:ind w:left="640" w:hanging="348"/>
        <w:rPr>
          <w:rFonts w:ascii="Arial" w:eastAsia="Arial" w:hAnsi="Arial" w:cs="Arial"/>
          <w:sz w:val="14"/>
          <w:szCs w:val="14"/>
        </w:rPr>
      </w:pPr>
      <w:r>
        <w:rPr>
          <w:rFonts w:ascii="Arial" w:eastAsia="Arial" w:hAnsi="Arial" w:cs="Arial"/>
          <w:sz w:val="14"/>
          <w:szCs w:val="14"/>
        </w:rPr>
        <w:t>Operating income (loss) includes the effect of the following special items:</w:t>
      </w:r>
    </w:p>
    <w:p w14:paraId="36A01033" w14:textId="77777777" w:rsidR="00D1587D" w:rsidRDefault="00D1587D">
      <w:pPr>
        <w:spacing w:line="41" w:lineRule="exact"/>
        <w:rPr>
          <w:rFonts w:ascii="Arial" w:eastAsia="Arial" w:hAnsi="Arial" w:cs="Arial"/>
          <w:sz w:val="14"/>
          <w:szCs w:val="14"/>
        </w:rPr>
      </w:pPr>
    </w:p>
    <w:p w14:paraId="359A43CD" w14:textId="77777777" w:rsidR="00D1587D" w:rsidRDefault="00410D07" w:rsidP="00410D07">
      <w:pPr>
        <w:numPr>
          <w:ilvl w:val="1"/>
          <w:numId w:val="279"/>
        </w:numPr>
        <w:tabs>
          <w:tab w:val="left" w:pos="1000"/>
        </w:tabs>
        <w:ind w:left="1000" w:hanging="348"/>
        <w:rPr>
          <w:rFonts w:ascii="Arial" w:eastAsia="Arial" w:hAnsi="Arial" w:cs="Arial"/>
          <w:sz w:val="14"/>
          <w:szCs w:val="14"/>
        </w:rPr>
      </w:pPr>
      <w:r>
        <w:rPr>
          <w:rFonts w:ascii="Arial" w:eastAsia="Arial" w:hAnsi="Arial" w:cs="Arial"/>
          <w:sz w:val="14"/>
          <w:szCs w:val="14"/>
        </w:rPr>
        <w:t xml:space="preserve">In the thirteen weeks ended May 2, 2020, a $97 million </w:t>
      </w:r>
      <w:r>
        <w:rPr>
          <w:rFonts w:ascii="Arial" w:eastAsia="Arial" w:hAnsi="Arial" w:cs="Arial"/>
          <w:sz w:val="14"/>
          <w:szCs w:val="14"/>
        </w:rPr>
        <w:t>charge related to the impairment of certain store assets.</w:t>
      </w:r>
    </w:p>
    <w:p w14:paraId="7A27F00D" w14:textId="77777777" w:rsidR="00D1587D" w:rsidRDefault="00D1587D">
      <w:pPr>
        <w:spacing w:line="41" w:lineRule="exact"/>
        <w:rPr>
          <w:rFonts w:ascii="Arial" w:eastAsia="Arial" w:hAnsi="Arial" w:cs="Arial"/>
          <w:sz w:val="14"/>
          <w:szCs w:val="14"/>
        </w:rPr>
      </w:pPr>
    </w:p>
    <w:p w14:paraId="69312818" w14:textId="77777777" w:rsidR="00D1587D" w:rsidRDefault="00410D07" w:rsidP="00410D07">
      <w:pPr>
        <w:numPr>
          <w:ilvl w:val="1"/>
          <w:numId w:val="279"/>
        </w:numPr>
        <w:tabs>
          <w:tab w:val="left" w:pos="1000"/>
        </w:tabs>
        <w:spacing w:line="264" w:lineRule="auto"/>
        <w:ind w:left="1000" w:right="319" w:hanging="348"/>
        <w:rPr>
          <w:rFonts w:ascii="Arial" w:eastAsia="Arial" w:hAnsi="Arial" w:cs="Arial"/>
          <w:sz w:val="13"/>
          <w:szCs w:val="13"/>
        </w:rPr>
      </w:pPr>
      <w:r>
        <w:rPr>
          <w:rFonts w:ascii="Arial" w:eastAsia="Arial" w:hAnsi="Arial" w:cs="Arial"/>
          <w:sz w:val="13"/>
          <w:szCs w:val="13"/>
        </w:rPr>
        <w:t>In 2020, a $254 million charge related to the impairment of certain store and lease assets, a $51 million charge related to restructuring actions, a $54 million net gain related to the establishmen</w:t>
      </w:r>
      <w:r>
        <w:rPr>
          <w:rFonts w:ascii="Arial" w:eastAsia="Arial" w:hAnsi="Arial" w:cs="Arial"/>
          <w:sz w:val="13"/>
          <w:szCs w:val="13"/>
        </w:rPr>
        <w:t>t of a joint venture for the U.K. and Ireland business and a $36 million net gain related to the closure and termination of our lease and the related liability for the Hong Kong flagship store.</w:t>
      </w:r>
    </w:p>
    <w:p w14:paraId="1DDC06D9" w14:textId="77777777" w:rsidR="00D1587D" w:rsidRDefault="00D1587D">
      <w:pPr>
        <w:spacing w:line="6" w:lineRule="exact"/>
        <w:rPr>
          <w:rFonts w:ascii="Arial" w:eastAsia="Arial" w:hAnsi="Arial" w:cs="Arial"/>
          <w:sz w:val="13"/>
          <w:szCs w:val="13"/>
        </w:rPr>
      </w:pPr>
    </w:p>
    <w:p w14:paraId="1CFF7C6A" w14:textId="77777777" w:rsidR="00D1587D" w:rsidRDefault="00410D07" w:rsidP="00410D07">
      <w:pPr>
        <w:numPr>
          <w:ilvl w:val="1"/>
          <w:numId w:val="279"/>
        </w:numPr>
        <w:tabs>
          <w:tab w:val="left" w:pos="1000"/>
        </w:tabs>
        <w:spacing w:line="253" w:lineRule="auto"/>
        <w:ind w:left="1000" w:right="499" w:hanging="348"/>
        <w:rPr>
          <w:rFonts w:ascii="Arial" w:eastAsia="Arial" w:hAnsi="Arial" w:cs="Arial"/>
          <w:sz w:val="14"/>
          <w:szCs w:val="14"/>
        </w:rPr>
      </w:pPr>
      <w:r>
        <w:rPr>
          <w:rFonts w:ascii="Arial" w:eastAsia="Arial" w:hAnsi="Arial" w:cs="Arial"/>
          <w:sz w:val="14"/>
          <w:szCs w:val="14"/>
        </w:rPr>
        <w:t>In 2019, a $720 million impairment charge related to goodwill</w:t>
      </w:r>
      <w:r>
        <w:rPr>
          <w:rFonts w:ascii="Arial" w:eastAsia="Arial" w:hAnsi="Arial" w:cs="Arial"/>
          <w:sz w:val="14"/>
          <w:szCs w:val="14"/>
        </w:rPr>
        <w:t xml:space="preserve"> and a $263 million charge related to the impairment of certain store and lease assets.</w:t>
      </w:r>
    </w:p>
    <w:p w14:paraId="1054B039" w14:textId="77777777" w:rsidR="00D1587D" w:rsidRDefault="00D1587D">
      <w:pPr>
        <w:spacing w:line="11" w:lineRule="exact"/>
        <w:rPr>
          <w:rFonts w:ascii="Arial" w:eastAsia="Arial" w:hAnsi="Arial" w:cs="Arial"/>
          <w:sz w:val="14"/>
          <w:szCs w:val="14"/>
        </w:rPr>
      </w:pPr>
    </w:p>
    <w:p w14:paraId="1BF939A6" w14:textId="77777777" w:rsidR="00D1587D" w:rsidRDefault="00410D07" w:rsidP="00410D07">
      <w:pPr>
        <w:numPr>
          <w:ilvl w:val="1"/>
          <w:numId w:val="279"/>
        </w:numPr>
        <w:tabs>
          <w:tab w:val="left" w:pos="1000"/>
        </w:tabs>
        <w:ind w:left="1000" w:hanging="348"/>
        <w:rPr>
          <w:rFonts w:ascii="Arial" w:eastAsia="Arial" w:hAnsi="Arial" w:cs="Arial"/>
          <w:sz w:val="14"/>
          <w:szCs w:val="14"/>
        </w:rPr>
      </w:pPr>
      <w:r>
        <w:rPr>
          <w:rFonts w:ascii="Arial" w:eastAsia="Arial" w:hAnsi="Arial" w:cs="Arial"/>
          <w:sz w:val="14"/>
          <w:szCs w:val="14"/>
        </w:rPr>
        <w:t>In 2018, a $101 million charge related to the impairment of certain store assets.</w:t>
      </w:r>
    </w:p>
    <w:p w14:paraId="43255EF6" w14:textId="77777777" w:rsidR="00D1587D" w:rsidRDefault="00D1587D">
      <w:pPr>
        <w:spacing w:line="41" w:lineRule="exact"/>
        <w:rPr>
          <w:rFonts w:ascii="Arial" w:eastAsia="Arial" w:hAnsi="Arial" w:cs="Arial"/>
          <w:sz w:val="14"/>
          <w:szCs w:val="14"/>
        </w:rPr>
      </w:pPr>
    </w:p>
    <w:p w14:paraId="0BB8CC0D" w14:textId="77777777" w:rsidR="00D1587D" w:rsidRDefault="00410D07" w:rsidP="00410D07">
      <w:pPr>
        <w:numPr>
          <w:ilvl w:val="0"/>
          <w:numId w:val="279"/>
        </w:numPr>
        <w:tabs>
          <w:tab w:val="left" w:pos="640"/>
        </w:tabs>
        <w:ind w:left="640" w:hanging="348"/>
        <w:rPr>
          <w:rFonts w:ascii="Arial" w:eastAsia="Arial" w:hAnsi="Arial" w:cs="Arial"/>
          <w:sz w:val="14"/>
          <w:szCs w:val="14"/>
        </w:rPr>
      </w:pPr>
      <w:r>
        <w:rPr>
          <w:rFonts w:ascii="Arial" w:eastAsia="Arial" w:hAnsi="Arial" w:cs="Arial"/>
          <w:sz w:val="14"/>
          <w:szCs w:val="14"/>
        </w:rPr>
        <w:t>See below “—Non-GAAP Financial Measures.”</w:t>
      </w:r>
    </w:p>
    <w:p w14:paraId="4B78C98A" w14:textId="77777777" w:rsidR="00D1587D" w:rsidRDefault="00D1587D">
      <w:pPr>
        <w:spacing w:line="41" w:lineRule="exact"/>
        <w:rPr>
          <w:rFonts w:ascii="Arial" w:eastAsia="Arial" w:hAnsi="Arial" w:cs="Arial"/>
          <w:sz w:val="14"/>
          <w:szCs w:val="14"/>
        </w:rPr>
      </w:pPr>
    </w:p>
    <w:p w14:paraId="73D8A386" w14:textId="77777777" w:rsidR="00D1587D" w:rsidRDefault="00410D07" w:rsidP="00410D07">
      <w:pPr>
        <w:numPr>
          <w:ilvl w:val="0"/>
          <w:numId w:val="279"/>
        </w:numPr>
        <w:tabs>
          <w:tab w:val="left" w:pos="640"/>
        </w:tabs>
        <w:spacing w:line="253" w:lineRule="auto"/>
        <w:ind w:left="640" w:right="459" w:hanging="348"/>
        <w:rPr>
          <w:rFonts w:ascii="Arial" w:eastAsia="Arial" w:hAnsi="Arial" w:cs="Arial"/>
          <w:sz w:val="14"/>
          <w:szCs w:val="14"/>
        </w:rPr>
      </w:pPr>
      <w:r>
        <w:rPr>
          <w:rFonts w:ascii="Arial" w:eastAsia="Arial" w:hAnsi="Arial" w:cs="Arial"/>
          <w:sz w:val="14"/>
          <w:szCs w:val="14"/>
        </w:rPr>
        <w:t>The first quarter of 2021 and fiscal year</w:t>
      </w:r>
      <w:r>
        <w:rPr>
          <w:rFonts w:ascii="Arial" w:eastAsia="Arial" w:hAnsi="Arial" w:cs="Arial"/>
          <w:sz w:val="14"/>
          <w:szCs w:val="14"/>
        </w:rPr>
        <w:t xml:space="preserve"> 2020 and 2019 amounts reflect our adoption of Accounting Standards Codification (“ASC”) 842, </w:t>
      </w:r>
      <w:r>
        <w:rPr>
          <w:rFonts w:ascii="Arial" w:eastAsia="Arial" w:hAnsi="Arial" w:cs="Arial"/>
          <w:i/>
          <w:iCs/>
          <w:sz w:val="14"/>
          <w:szCs w:val="14"/>
        </w:rPr>
        <w:t>Leases</w:t>
      </w:r>
      <w:r>
        <w:rPr>
          <w:rFonts w:ascii="Arial" w:eastAsia="Arial" w:hAnsi="Arial" w:cs="Arial"/>
          <w:sz w:val="14"/>
          <w:szCs w:val="14"/>
        </w:rPr>
        <w:t>, in 2019.</w:t>
      </w:r>
    </w:p>
    <w:p w14:paraId="59063733" w14:textId="77777777" w:rsidR="00D1587D" w:rsidRDefault="00D1587D">
      <w:pPr>
        <w:spacing w:line="11" w:lineRule="exact"/>
        <w:rPr>
          <w:rFonts w:ascii="Arial" w:eastAsia="Arial" w:hAnsi="Arial" w:cs="Arial"/>
          <w:sz w:val="14"/>
          <w:szCs w:val="14"/>
        </w:rPr>
      </w:pPr>
    </w:p>
    <w:p w14:paraId="5E80928A" w14:textId="77777777" w:rsidR="00D1587D" w:rsidRDefault="00410D07" w:rsidP="00410D07">
      <w:pPr>
        <w:numPr>
          <w:ilvl w:val="0"/>
          <w:numId w:val="279"/>
        </w:numPr>
        <w:tabs>
          <w:tab w:val="left" w:pos="640"/>
        </w:tabs>
        <w:spacing w:line="244" w:lineRule="auto"/>
        <w:ind w:left="640" w:right="359" w:hanging="348"/>
        <w:rPr>
          <w:rFonts w:ascii="Arial" w:eastAsia="Arial" w:hAnsi="Arial" w:cs="Arial"/>
          <w:sz w:val="13"/>
          <w:szCs w:val="13"/>
        </w:rPr>
      </w:pPr>
      <w:r>
        <w:rPr>
          <w:rFonts w:ascii="Arial" w:eastAsia="Arial" w:hAnsi="Arial" w:cs="Arial"/>
          <w:sz w:val="13"/>
          <w:szCs w:val="13"/>
        </w:rPr>
        <w:t xml:space="preserve">The percentage change in comparable sales represents direct and comparable store sales. The percentage change in comparable store sales </w:t>
      </w:r>
      <w:r>
        <w:rPr>
          <w:rFonts w:ascii="Arial" w:eastAsia="Arial" w:hAnsi="Arial" w:cs="Arial"/>
          <w:sz w:val="13"/>
          <w:szCs w:val="13"/>
        </w:rPr>
        <w:t>represents the change in sales at comparable stores only and excludes the change in sales from our direct channels. The change in comparable sales provides an indication of period over period growth (decline). A store is typically included in the calculati</w:t>
      </w:r>
      <w:r>
        <w:rPr>
          <w:rFonts w:ascii="Arial" w:eastAsia="Arial" w:hAnsi="Arial" w:cs="Arial"/>
          <w:sz w:val="13"/>
          <w:szCs w:val="13"/>
        </w:rPr>
        <w:t>on of comparable sales when it has been open 12 months or more and it has not had a change in selling square footage of 20% or more. Closed stores are excluded from the comparable sales calculation if they have been closed for four consecutive days or more</w:t>
      </w:r>
      <w:r>
        <w:rPr>
          <w:rFonts w:ascii="Arial" w:eastAsia="Arial" w:hAnsi="Arial" w:cs="Arial"/>
          <w:sz w:val="13"/>
          <w:szCs w:val="13"/>
        </w:rPr>
        <w:t>. Upon re-opening, the stores are included in the calculation. Therefore, comparable sales results for the first quarter of 2021 and 2020 exclude the closure period of stores that were closed for four consecutive days or more as a result of the COVID-19 pa</w:t>
      </w:r>
      <w:r>
        <w:rPr>
          <w:rFonts w:ascii="Arial" w:eastAsia="Arial" w:hAnsi="Arial" w:cs="Arial"/>
          <w:sz w:val="13"/>
          <w:szCs w:val="13"/>
        </w:rPr>
        <w:t>ndemic. Additionally, stores are excluded if total selling square footage in the mall changes by 20% or more through the opening or closing of a second store. The percentage change in comparable sales is calculated on a comparable calendar period as oppose</w:t>
      </w:r>
      <w:r>
        <w:rPr>
          <w:rFonts w:ascii="Arial" w:eastAsia="Arial" w:hAnsi="Arial" w:cs="Arial"/>
          <w:sz w:val="13"/>
          <w:szCs w:val="13"/>
        </w:rPr>
        <w:t>d to a fiscal basis. Comparable sales attributable to our international stores are calculated on a constant currency basis.</w:t>
      </w:r>
    </w:p>
    <w:p w14:paraId="0582B15F" w14:textId="77777777" w:rsidR="00D1587D" w:rsidRDefault="00D1587D">
      <w:pPr>
        <w:spacing w:line="276" w:lineRule="exact"/>
        <w:rPr>
          <w:sz w:val="20"/>
          <w:szCs w:val="20"/>
        </w:rPr>
      </w:pPr>
    </w:p>
    <w:p w14:paraId="01DB38F2" w14:textId="77777777" w:rsidR="00D1587D" w:rsidRDefault="00410D07">
      <w:pPr>
        <w:ind w:left="300"/>
        <w:rPr>
          <w:sz w:val="20"/>
          <w:szCs w:val="20"/>
        </w:rPr>
      </w:pPr>
      <w:r>
        <w:rPr>
          <w:rFonts w:ascii="Arial" w:eastAsia="Arial" w:hAnsi="Arial" w:cs="Arial"/>
          <w:b/>
          <w:bCs/>
          <w:sz w:val="18"/>
          <w:szCs w:val="18"/>
        </w:rPr>
        <w:t>Non-GAAP Financial Measures</w:t>
      </w:r>
    </w:p>
    <w:p w14:paraId="52244E91" w14:textId="77777777" w:rsidR="00D1587D" w:rsidRDefault="00D1587D">
      <w:pPr>
        <w:spacing w:line="121" w:lineRule="exact"/>
        <w:rPr>
          <w:sz w:val="20"/>
          <w:szCs w:val="20"/>
        </w:rPr>
      </w:pPr>
    </w:p>
    <w:p w14:paraId="55E6E26D" w14:textId="77777777" w:rsidR="00D1587D" w:rsidRDefault="00410D07">
      <w:pPr>
        <w:spacing w:line="287" w:lineRule="auto"/>
        <w:ind w:left="300" w:right="319" w:firstLine="360"/>
        <w:rPr>
          <w:sz w:val="20"/>
          <w:szCs w:val="20"/>
        </w:rPr>
      </w:pPr>
      <w:r>
        <w:rPr>
          <w:rFonts w:ascii="Arial" w:eastAsia="Arial" w:hAnsi="Arial" w:cs="Arial"/>
          <w:sz w:val="16"/>
          <w:szCs w:val="16"/>
        </w:rPr>
        <w:t xml:space="preserve">In addition to our results provided throughout this information statement that are in </w:t>
      </w:r>
      <w:r>
        <w:rPr>
          <w:rFonts w:ascii="Arial" w:eastAsia="Arial" w:hAnsi="Arial" w:cs="Arial"/>
          <w:sz w:val="16"/>
          <w:szCs w:val="16"/>
        </w:rPr>
        <w:t>accordance with accounting principles generally accepted in the United States (“GAAP’), provided below are non-GAAP financial measures which present operating income (loss) and net income (loss) for the thirteen weeks ended May 1, 2021 and May 2, 2020, and</w:t>
      </w:r>
      <w:r>
        <w:rPr>
          <w:rFonts w:ascii="Arial" w:eastAsia="Arial" w:hAnsi="Arial" w:cs="Arial"/>
          <w:sz w:val="16"/>
          <w:szCs w:val="16"/>
        </w:rPr>
        <w:t xml:space="preserve"> fiscal years 2020, 2019 and 2018 on an adjusted basis, which remove certain special items. In addition, we present EBITDA and adjusted EBITDA for the thirteen weeks ended May 1, 2021 and May 2, 2020, and fiscal years 2020, 2019 and 2018 which are non-GAAP</w:t>
      </w:r>
      <w:r>
        <w:rPr>
          <w:rFonts w:ascii="Arial" w:eastAsia="Arial" w:hAnsi="Arial" w:cs="Arial"/>
          <w:sz w:val="16"/>
          <w:szCs w:val="16"/>
        </w:rPr>
        <w:t xml:space="preserve"> financial measures. EBITDA is defined as earnings before interest expense, income tax expense and depreciation and amortization. Adjusted EBITDA is EBITDA adjusted to remove certain special items. We believe that these special items are not indicative of </w:t>
      </w:r>
      <w:r>
        <w:rPr>
          <w:rFonts w:ascii="Arial" w:eastAsia="Arial" w:hAnsi="Arial" w:cs="Arial"/>
          <w:sz w:val="16"/>
          <w:szCs w:val="16"/>
        </w:rPr>
        <w:t>our ongoing operations due to their size and nature. We use adjusted financial information as key performance measures of results of operations for the purpose of evaluating performance internally. These non-GAAP financial measures are not intended to repl</w:t>
      </w:r>
      <w:r>
        <w:rPr>
          <w:rFonts w:ascii="Arial" w:eastAsia="Arial" w:hAnsi="Arial" w:cs="Arial"/>
          <w:sz w:val="16"/>
          <w:szCs w:val="16"/>
        </w:rPr>
        <w:t>ace the presentation of our financial results in accordance</w:t>
      </w:r>
    </w:p>
    <w:p w14:paraId="15894099" w14:textId="77777777" w:rsidR="00D1587D" w:rsidRDefault="00D1587D">
      <w:pPr>
        <w:sectPr w:rsidR="00D1587D">
          <w:pgSz w:w="11900" w:h="16838"/>
          <w:pgMar w:top="262" w:right="1440" w:bottom="1440" w:left="1440" w:header="0" w:footer="0" w:gutter="0"/>
          <w:cols w:space="720" w:equalWidth="0">
            <w:col w:w="9019"/>
          </w:cols>
        </w:sectPr>
      </w:pPr>
    </w:p>
    <w:p w14:paraId="4D7FEE9F" w14:textId="77777777" w:rsidR="00D1587D" w:rsidRDefault="00D1587D">
      <w:pPr>
        <w:spacing w:line="172" w:lineRule="exact"/>
        <w:rPr>
          <w:sz w:val="20"/>
          <w:szCs w:val="20"/>
        </w:rPr>
      </w:pPr>
    </w:p>
    <w:p w14:paraId="3FF216B7" w14:textId="77777777" w:rsidR="00D1587D" w:rsidRDefault="00410D07">
      <w:pPr>
        <w:jc w:val="center"/>
        <w:rPr>
          <w:sz w:val="20"/>
          <w:szCs w:val="20"/>
        </w:rPr>
      </w:pPr>
      <w:r>
        <w:rPr>
          <w:rFonts w:ascii="Arial" w:eastAsia="Arial" w:hAnsi="Arial" w:cs="Arial"/>
          <w:sz w:val="16"/>
          <w:szCs w:val="16"/>
        </w:rPr>
        <w:t>63</w:t>
      </w:r>
    </w:p>
    <w:p w14:paraId="455E32DC" w14:textId="77777777" w:rsidR="00D1587D" w:rsidRDefault="00410D07">
      <w:pPr>
        <w:spacing w:line="20" w:lineRule="exact"/>
        <w:rPr>
          <w:sz w:val="20"/>
          <w:szCs w:val="20"/>
        </w:rPr>
      </w:pPr>
      <w:r>
        <w:rPr>
          <w:noProof/>
          <w:sz w:val="20"/>
          <w:szCs w:val="20"/>
        </w:rPr>
        <w:drawing>
          <wp:anchor distT="0" distB="0" distL="114300" distR="114300" simplePos="0" relativeHeight="251581440" behindDoc="1" locked="0" layoutInCell="0" allowOverlap="1" wp14:anchorId="677C0EE1" wp14:editId="1D53B0CC">
            <wp:simplePos x="0" y="0"/>
            <wp:positionH relativeFrom="column">
              <wp:posOffset>-636905</wp:posOffset>
            </wp:positionH>
            <wp:positionV relativeFrom="paragraph">
              <wp:posOffset>140970</wp:posOffset>
            </wp:positionV>
            <wp:extent cx="6995160" cy="17145"/>
            <wp:effectExtent l="0" t="0" r="0" b="0"/>
            <wp:wrapNone/>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9D20D98" w14:textId="77777777" w:rsidR="00D1587D" w:rsidRDefault="00D1587D">
      <w:pPr>
        <w:sectPr w:rsidR="00D1587D">
          <w:type w:val="continuous"/>
          <w:pgSz w:w="11900" w:h="16838"/>
          <w:pgMar w:top="262" w:right="1440" w:bottom="1440" w:left="1440" w:header="0" w:footer="0" w:gutter="0"/>
          <w:cols w:space="720" w:equalWidth="0">
            <w:col w:w="9019"/>
          </w:cols>
        </w:sectPr>
      </w:pPr>
    </w:p>
    <w:bookmarkStart w:id="321" w:name="page322"/>
    <w:bookmarkEnd w:id="321"/>
    <w:p w14:paraId="1A605ABC"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D85A1F4" w14:textId="77777777" w:rsidR="00D1587D" w:rsidRDefault="00D1587D">
      <w:pPr>
        <w:spacing w:line="131" w:lineRule="exact"/>
        <w:rPr>
          <w:sz w:val="20"/>
          <w:szCs w:val="20"/>
        </w:rPr>
      </w:pPr>
    </w:p>
    <w:p w14:paraId="0AA30EAC" w14:textId="77777777" w:rsidR="00D1587D" w:rsidRDefault="00410D07">
      <w:pPr>
        <w:spacing w:line="290" w:lineRule="auto"/>
        <w:ind w:left="300" w:right="339"/>
        <w:rPr>
          <w:sz w:val="20"/>
          <w:szCs w:val="20"/>
        </w:rPr>
      </w:pPr>
      <w:r>
        <w:rPr>
          <w:rFonts w:ascii="Arial" w:eastAsia="Arial" w:hAnsi="Arial" w:cs="Arial"/>
          <w:sz w:val="16"/>
          <w:szCs w:val="16"/>
        </w:rPr>
        <w:t xml:space="preserve">with GAAP. Instead, we believe that the presentation of adjusted financial information provides additional </w:t>
      </w:r>
      <w:r>
        <w:rPr>
          <w:rFonts w:ascii="Arial" w:eastAsia="Arial" w:hAnsi="Arial" w:cs="Arial"/>
          <w:sz w:val="16"/>
          <w:szCs w:val="16"/>
        </w:rPr>
        <w:t>information to investors to facilitate the comparison of past and present operations. In particular, EBITDA and Adjusted EBITDA are not an alternative to net income as a measure of operating performance or to cash flows from operating activities as a measu</w:t>
      </w:r>
      <w:r>
        <w:rPr>
          <w:rFonts w:ascii="Arial" w:eastAsia="Arial" w:hAnsi="Arial" w:cs="Arial"/>
          <w:sz w:val="16"/>
          <w:szCs w:val="16"/>
        </w:rPr>
        <w:t>re of liquidity. Additionally, they are not intended to be a measure of free cash flow for management’s discretionary use, as they do not consider certain cash requirements such as interest payments, tax payments and debt service requirements. Further, our</w:t>
      </w:r>
      <w:r>
        <w:rPr>
          <w:rFonts w:ascii="Arial" w:eastAsia="Arial" w:hAnsi="Arial" w:cs="Arial"/>
          <w:sz w:val="16"/>
          <w:szCs w:val="16"/>
        </w:rPr>
        <w:t xml:space="preserve"> definition of adjusted financial information may differ from similarly titled measures used by other companies and therefore may not be comparable among companies. The table below reconciles the GAAP financial measures to the non-GAAP financial measures.</w:t>
      </w:r>
    </w:p>
    <w:p w14:paraId="2C7687DF" w14:textId="77777777" w:rsidR="00D1587D" w:rsidRDefault="00D1587D">
      <w:pPr>
        <w:spacing w:line="57" w:lineRule="exact"/>
        <w:rPr>
          <w:sz w:val="20"/>
          <w:szCs w:val="20"/>
        </w:rPr>
      </w:pPr>
    </w:p>
    <w:p w14:paraId="5A473001" w14:textId="77777777" w:rsidR="00D1587D" w:rsidRDefault="00410D07">
      <w:pPr>
        <w:spacing w:line="257" w:lineRule="auto"/>
        <w:ind w:left="300" w:right="299" w:firstLine="360"/>
        <w:rPr>
          <w:sz w:val="20"/>
          <w:szCs w:val="20"/>
        </w:rPr>
      </w:pPr>
      <w:r>
        <w:rPr>
          <w:rFonts w:ascii="Arial" w:eastAsia="Arial" w:hAnsi="Arial" w:cs="Arial"/>
          <w:sz w:val="18"/>
          <w:szCs w:val="18"/>
        </w:rPr>
        <w:t>The non-GAAP financial measures presented below should be read in conjunction with our audited combined financial statements and the related notes, our unaudited interim combined financial statements and the related notes, “Management’s Discussion and Ana</w:t>
      </w:r>
      <w:r>
        <w:rPr>
          <w:rFonts w:ascii="Arial" w:eastAsia="Arial" w:hAnsi="Arial" w:cs="Arial"/>
          <w:sz w:val="18"/>
          <w:szCs w:val="18"/>
        </w:rPr>
        <w:t>lysis of Financial Condition and Results of Operations” and the “Unaudited Pro Forma Condensed Combined Financial Statements” and accompanying notes included elsewhere in this information statement.</w:t>
      </w:r>
    </w:p>
    <w:p w14:paraId="780986D4" w14:textId="77777777" w:rsidR="00D1587D" w:rsidRDefault="00D1587D">
      <w:pPr>
        <w:spacing w:line="14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280"/>
        <w:gridCol w:w="100"/>
        <w:gridCol w:w="480"/>
        <w:gridCol w:w="180"/>
        <w:gridCol w:w="500"/>
        <w:gridCol w:w="180"/>
        <w:gridCol w:w="280"/>
        <w:gridCol w:w="500"/>
        <w:gridCol w:w="180"/>
        <w:gridCol w:w="280"/>
        <w:gridCol w:w="500"/>
        <w:gridCol w:w="180"/>
        <w:gridCol w:w="780"/>
        <w:gridCol w:w="20"/>
      </w:tblGrid>
      <w:tr w:rsidR="00D1587D" w14:paraId="3FE5F562" w14:textId="77777777">
        <w:trPr>
          <w:trHeight w:val="161"/>
        </w:trPr>
        <w:tc>
          <w:tcPr>
            <w:tcW w:w="4280" w:type="dxa"/>
            <w:vAlign w:val="bottom"/>
          </w:tcPr>
          <w:p w14:paraId="20866582" w14:textId="77777777" w:rsidR="00D1587D" w:rsidRDefault="00D1587D">
            <w:pPr>
              <w:rPr>
                <w:sz w:val="14"/>
                <w:szCs w:val="14"/>
              </w:rPr>
            </w:pPr>
          </w:p>
        </w:tc>
        <w:tc>
          <w:tcPr>
            <w:tcW w:w="100" w:type="dxa"/>
            <w:vAlign w:val="bottom"/>
          </w:tcPr>
          <w:p w14:paraId="5EF0F4AE" w14:textId="77777777" w:rsidR="00D1587D" w:rsidRDefault="00D1587D">
            <w:pPr>
              <w:rPr>
                <w:sz w:val="14"/>
                <w:szCs w:val="14"/>
              </w:rPr>
            </w:pPr>
          </w:p>
        </w:tc>
        <w:tc>
          <w:tcPr>
            <w:tcW w:w="1340" w:type="dxa"/>
            <w:gridSpan w:val="4"/>
            <w:vAlign w:val="bottom"/>
          </w:tcPr>
          <w:p w14:paraId="5CE7A9DA" w14:textId="77777777" w:rsidR="00D1587D" w:rsidRDefault="00410D07">
            <w:pPr>
              <w:ind w:right="220"/>
              <w:jc w:val="center"/>
              <w:rPr>
                <w:sz w:val="20"/>
                <w:szCs w:val="20"/>
              </w:rPr>
            </w:pPr>
            <w:r>
              <w:rPr>
                <w:rFonts w:ascii="Arial" w:eastAsia="Arial" w:hAnsi="Arial" w:cs="Arial"/>
                <w:b/>
                <w:bCs/>
                <w:w w:val="92"/>
                <w:sz w:val="14"/>
                <w:szCs w:val="14"/>
              </w:rPr>
              <w:t>Thirteen Weeks</w:t>
            </w:r>
          </w:p>
        </w:tc>
        <w:tc>
          <w:tcPr>
            <w:tcW w:w="280" w:type="dxa"/>
            <w:vAlign w:val="bottom"/>
          </w:tcPr>
          <w:p w14:paraId="3E6BE697" w14:textId="77777777" w:rsidR="00D1587D" w:rsidRDefault="00D1587D">
            <w:pPr>
              <w:rPr>
                <w:sz w:val="14"/>
                <w:szCs w:val="14"/>
              </w:rPr>
            </w:pPr>
          </w:p>
        </w:tc>
        <w:tc>
          <w:tcPr>
            <w:tcW w:w="500" w:type="dxa"/>
            <w:vAlign w:val="bottom"/>
          </w:tcPr>
          <w:p w14:paraId="4C79F2E4" w14:textId="77777777" w:rsidR="00D1587D" w:rsidRDefault="00D1587D">
            <w:pPr>
              <w:rPr>
                <w:sz w:val="14"/>
                <w:szCs w:val="14"/>
              </w:rPr>
            </w:pPr>
          </w:p>
        </w:tc>
        <w:tc>
          <w:tcPr>
            <w:tcW w:w="1140" w:type="dxa"/>
            <w:gridSpan w:val="4"/>
            <w:vMerge w:val="restart"/>
            <w:vAlign w:val="bottom"/>
          </w:tcPr>
          <w:p w14:paraId="7D67EBF7" w14:textId="77777777" w:rsidR="00D1587D" w:rsidRDefault="00410D07">
            <w:pPr>
              <w:jc w:val="center"/>
              <w:rPr>
                <w:sz w:val="20"/>
                <w:szCs w:val="20"/>
              </w:rPr>
            </w:pPr>
            <w:r>
              <w:rPr>
                <w:rFonts w:ascii="Arial" w:eastAsia="Arial" w:hAnsi="Arial" w:cs="Arial"/>
                <w:b/>
                <w:bCs/>
                <w:w w:val="92"/>
                <w:sz w:val="14"/>
                <w:szCs w:val="14"/>
              </w:rPr>
              <w:t>Fiscal Year Ended</w:t>
            </w:r>
          </w:p>
        </w:tc>
        <w:tc>
          <w:tcPr>
            <w:tcW w:w="780" w:type="dxa"/>
            <w:vAlign w:val="bottom"/>
          </w:tcPr>
          <w:p w14:paraId="16D46C74" w14:textId="77777777" w:rsidR="00D1587D" w:rsidRDefault="00D1587D">
            <w:pPr>
              <w:rPr>
                <w:sz w:val="14"/>
                <w:szCs w:val="14"/>
              </w:rPr>
            </w:pPr>
          </w:p>
        </w:tc>
        <w:tc>
          <w:tcPr>
            <w:tcW w:w="0" w:type="dxa"/>
            <w:vAlign w:val="bottom"/>
          </w:tcPr>
          <w:p w14:paraId="6E514C38" w14:textId="77777777" w:rsidR="00D1587D" w:rsidRDefault="00D1587D">
            <w:pPr>
              <w:rPr>
                <w:sz w:val="1"/>
                <w:szCs w:val="1"/>
              </w:rPr>
            </w:pPr>
          </w:p>
        </w:tc>
      </w:tr>
      <w:tr w:rsidR="00D1587D" w14:paraId="5805524E" w14:textId="77777777">
        <w:trPr>
          <w:trHeight w:val="186"/>
        </w:trPr>
        <w:tc>
          <w:tcPr>
            <w:tcW w:w="4280" w:type="dxa"/>
            <w:vAlign w:val="bottom"/>
          </w:tcPr>
          <w:p w14:paraId="74037FF3" w14:textId="77777777" w:rsidR="00D1587D" w:rsidRDefault="00D1587D">
            <w:pPr>
              <w:rPr>
                <w:sz w:val="16"/>
                <w:szCs w:val="16"/>
              </w:rPr>
            </w:pPr>
          </w:p>
        </w:tc>
        <w:tc>
          <w:tcPr>
            <w:tcW w:w="100" w:type="dxa"/>
            <w:vAlign w:val="bottom"/>
          </w:tcPr>
          <w:p w14:paraId="455074D4" w14:textId="77777777" w:rsidR="00D1587D" w:rsidRDefault="00D1587D">
            <w:pPr>
              <w:rPr>
                <w:sz w:val="16"/>
                <w:szCs w:val="16"/>
              </w:rPr>
            </w:pPr>
          </w:p>
        </w:tc>
        <w:tc>
          <w:tcPr>
            <w:tcW w:w="1340" w:type="dxa"/>
            <w:gridSpan w:val="4"/>
            <w:vAlign w:val="bottom"/>
          </w:tcPr>
          <w:p w14:paraId="3A9EC40E" w14:textId="77777777" w:rsidR="00D1587D" w:rsidRDefault="00410D07">
            <w:pPr>
              <w:ind w:right="180"/>
              <w:jc w:val="center"/>
              <w:rPr>
                <w:sz w:val="20"/>
                <w:szCs w:val="20"/>
              </w:rPr>
            </w:pPr>
            <w:r>
              <w:rPr>
                <w:rFonts w:ascii="Arial" w:eastAsia="Arial" w:hAnsi="Arial" w:cs="Arial"/>
                <w:b/>
                <w:bCs/>
                <w:w w:val="93"/>
                <w:sz w:val="14"/>
                <w:szCs w:val="14"/>
              </w:rPr>
              <w:t>Ended</w:t>
            </w:r>
          </w:p>
        </w:tc>
        <w:tc>
          <w:tcPr>
            <w:tcW w:w="280" w:type="dxa"/>
            <w:vAlign w:val="bottom"/>
          </w:tcPr>
          <w:p w14:paraId="77D41B28" w14:textId="77777777" w:rsidR="00D1587D" w:rsidRDefault="00D1587D">
            <w:pPr>
              <w:rPr>
                <w:sz w:val="16"/>
                <w:szCs w:val="16"/>
              </w:rPr>
            </w:pPr>
          </w:p>
        </w:tc>
        <w:tc>
          <w:tcPr>
            <w:tcW w:w="500" w:type="dxa"/>
            <w:vAlign w:val="bottom"/>
          </w:tcPr>
          <w:p w14:paraId="1F22D813" w14:textId="77777777" w:rsidR="00D1587D" w:rsidRDefault="00D1587D">
            <w:pPr>
              <w:rPr>
                <w:sz w:val="16"/>
                <w:szCs w:val="16"/>
              </w:rPr>
            </w:pPr>
          </w:p>
        </w:tc>
        <w:tc>
          <w:tcPr>
            <w:tcW w:w="1140" w:type="dxa"/>
            <w:gridSpan w:val="4"/>
            <w:vMerge/>
            <w:vAlign w:val="bottom"/>
          </w:tcPr>
          <w:p w14:paraId="16C82533" w14:textId="77777777" w:rsidR="00D1587D" w:rsidRDefault="00D1587D">
            <w:pPr>
              <w:rPr>
                <w:sz w:val="16"/>
                <w:szCs w:val="16"/>
              </w:rPr>
            </w:pPr>
          </w:p>
        </w:tc>
        <w:tc>
          <w:tcPr>
            <w:tcW w:w="780" w:type="dxa"/>
            <w:vAlign w:val="bottom"/>
          </w:tcPr>
          <w:p w14:paraId="1747D645" w14:textId="77777777" w:rsidR="00D1587D" w:rsidRDefault="00D1587D">
            <w:pPr>
              <w:rPr>
                <w:sz w:val="16"/>
                <w:szCs w:val="16"/>
              </w:rPr>
            </w:pPr>
          </w:p>
        </w:tc>
        <w:tc>
          <w:tcPr>
            <w:tcW w:w="0" w:type="dxa"/>
            <w:vAlign w:val="bottom"/>
          </w:tcPr>
          <w:p w14:paraId="39F3C625" w14:textId="77777777" w:rsidR="00D1587D" w:rsidRDefault="00D1587D">
            <w:pPr>
              <w:rPr>
                <w:sz w:val="1"/>
                <w:szCs w:val="1"/>
              </w:rPr>
            </w:pPr>
          </w:p>
        </w:tc>
      </w:tr>
      <w:tr w:rsidR="00D1587D" w14:paraId="2C55A3D6" w14:textId="77777777">
        <w:trPr>
          <w:trHeight w:val="53"/>
        </w:trPr>
        <w:tc>
          <w:tcPr>
            <w:tcW w:w="4280" w:type="dxa"/>
            <w:vAlign w:val="bottom"/>
          </w:tcPr>
          <w:p w14:paraId="5F336482" w14:textId="77777777" w:rsidR="00D1587D" w:rsidRDefault="00D1587D">
            <w:pPr>
              <w:rPr>
                <w:sz w:val="4"/>
                <w:szCs w:val="4"/>
              </w:rPr>
            </w:pPr>
          </w:p>
        </w:tc>
        <w:tc>
          <w:tcPr>
            <w:tcW w:w="100" w:type="dxa"/>
            <w:vAlign w:val="bottom"/>
          </w:tcPr>
          <w:p w14:paraId="51A3B7D3" w14:textId="77777777" w:rsidR="00D1587D" w:rsidRDefault="00D1587D">
            <w:pPr>
              <w:rPr>
                <w:sz w:val="4"/>
                <w:szCs w:val="4"/>
              </w:rPr>
            </w:pPr>
          </w:p>
        </w:tc>
        <w:tc>
          <w:tcPr>
            <w:tcW w:w="660" w:type="dxa"/>
            <w:gridSpan w:val="2"/>
            <w:tcBorders>
              <w:bottom w:val="single" w:sz="8" w:space="0" w:color="auto"/>
            </w:tcBorders>
            <w:vAlign w:val="bottom"/>
          </w:tcPr>
          <w:p w14:paraId="10D00960" w14:textId="77777777" w:rsidR="00D1587D" w:rsidRDefault="00D1587D">
            <w:pPr>
              <w:rPr>
                <w:sz w:val="4"/>
                <w:szCs w:val="4"/>
              </w:rPr>
            </w:pPr>
          </w:p>
        </w:tc>
        <w:tc>
          <w:tcPr>
            <w:tcW w:w="500" w:type="dxa"/>
            <w:tcBorders>
              <w:bottom w:val="single" w:sz="8" w:space="0" w:color="auto"/>
            </w:tcBorders>
            <w:vAlign w:val="bottom"/>
          </w:tcPr>
          <w:p w14:paraId="180454AF" w14:textId="77777777" w:rsidR="00D1587D" w:rsidRDefault="00D1587D">
            <w:pPr>
              <w:rPr>
                <w:sz w:val="4"/>
                <w:szCs w:val="4"/>
              </w:rPr>
            </w:pPr>
          </w:p>
        </w:tc>
        <w:tc>
          <w:tcPr>
            <w:tcW w:w="180" w:type="dxa"/>
            <w:vAlign w:val="bottom"/>
          </w:tcPr>
          <w:p w14:paraId="793188E0" w14:textId="77777777" w:rsidR="00D1587D" w:rsidRDefault="00D1587D">
            <w:pPr>
              <w:rPr>
                <w:sz w:val="4"/>
                <w:szCs w:val="4"/>
              </w:rPr>
            </w:pPr>
          </w:p>
        </w:tc>
        <w:tc>
          <w:tcPr>
            <w:tcW w:w="780" w:type="dxa"/>
            <w:gridSpan w:val="2"/>
            <w:tcBorders>
              <w:bottom w:val="single" w:sz="8" w:space="0" w:color="auto"/>
            </w:tcBorders>
            <w:vAlign w:val="bottom"/>
          </w:tcPr>
          <w:p w14:paraId="7C5CE844" w14:textId="77777777" w:rsidR="00D1587D" w:rsidRDefault="00D1587D">
            <w:pPr>
              <w:rPr>
                <w:sz w:val="4"/>
                <w:szCs w:val="4"/>
              </w:rPr>
            </w:pPr>
          </w:p>
        </w:tc>
        <w:tc>
          <w:tcPr>
            <w:tcW w:w="180" w:type="dxa"/>
            <w:tcBorders>
              <w:bottom w:val="single" w:sz="8" w:space="0" w:color="auto"/>
            </w:tcBorders>
            <w:vAlign w:val="bottom"/>
          </w:tcPr>
          <w:p w14:paraId="13477251" w14:textId="77777777" w:rsidR="00D1587D" w:rsidRDefault="00D1587D">
            <w:pPr>
              <w:rPr>
                <w:sz w:val="4"/>
                <w:szCs w:val="4"/>
              </w:rPr>
            </w:pPr>
          </w:p>
        </w:tc>
        <w:tc>
          <w:tcPr>
            <w:tcW w:w="960" w:type="dxa"/>
            <w:gridSpan w:val="3"/>
            <w:tcBorders>
              <w:bottom w:val="single" w:sz="8" w:space="0" w:color="auto"/>
            </w:tcBorders>
            <w:vAlign w:val="bottom"/>
          </w:tcPr>
          <w:p w14:paraId="36F93969" w14:textId="77777777" w:rsidR="00D1587D" w:rsidRDefault="00D1587D">
            <w:pPr>
              <w:rPr>
                <w:sz w:val="4"/>
                <w:szCs w:val="4"/>
              </w:rPr>
            </w:pPr>
          </w:p>
        </w:tc>
        <w:tc>
          <w:tcPr>
            <w:tcW w:w="780" w:type="dxa"/>
            <w:tcBorders>
              <w:bottom w:val="single" w:sz="8" w:space="0" w:color="auto"/>
            </w:tcBorders>
            <w:vAlign w:val="bottom"/>
          </w:tcPr>
          <w:p w14:paraId="121C3C87" w14:textId="77777777" w:rsidR="00D1587D" w:rsidRDefault="00D1587D">
            <w:pPr>
              <w:rPr>
                <w:sz w:val="4"/>
                <w:szCs w:val="4"/>
              </w:rPr>
            </w:pPr>
          </w:p>
        </w:tc>
        <w:tc>
          <w:tcPr>
            <w:tcW w:w="0" w:type="dxa"/>
            <w:vAlign w:val="bottom"/>
          </w:tcPr>
          <w:p w14:paraId="604AB02D" w14:textId="77777777" w:rsidR="00D1587D" w:rsidRDefault="00D1587D">
            <w:pPr>
              <w:rPr>
                <w:sz w:val="1"/>
                <w:szCs w:val="1"/>
              </w:rPr>
            </w:pPr>
          </w:p>
        </w:tc>
      </w:tr>
      <w:tr w:rsidR="00D1587D" w14:paraId="6DE6C586" w14:textId="77777777">
        <w:trPr>
          <w:trHeight w:val="187"/>
        </w:trPr>
        <w:tc>
          <w:tcPr>
            <w:tcW w:w="4280" w:type="dxa"/>
            <w:vAlign w:val="bottom"/>
          </w:tcPr>
          <w:p w14:paraId="6C7B1B63" w14:textId="77777777" w:rsidR="00D1587D" w:rsidRDefault="00D1587D">
            <w:pPr>
              <w:rPr>
                <w:sz w:val="16"/>
                <w:szCs w:val="16"/>
              </w:rPr>
            </w:pPr>
          </w:p>
        </w:tc>
        <w:tc>
          <w:tcPr>
            <w:tcW w:w="100" w:type="dxa"/>
            <w:vAlign w:val="bottom"/>
          </w:tcPr>
          <w:p w14:paraId="49D68C37" w14:textId="77777777" w:rsidR="00D1587D" w:rsidRDefault="00D1587D">
            <w:pPr>
              <w:rPr>
                <w:sz w:val="16"/>
                <w:szCs w:val="16"/>
              </w:rPr>
            </w:pPr>
          </w:p>
        </w:tc>
        <w:tc>
          <w:tcPr>
            <w:tcW w:w="660" w:type="dxa"/>
            <w:gridSpan w:val="2"/>
            <w:vAlign w:val="bottom"/>
          </w:tcPr>
          <w:p w14:paraId="46CDFF82" w14:textId="77777777" w:rsidR="00D1587D" w:rsidRDefault="00410D07">
            <w:pPr>
              <w:rPr>
                <w:sz w:val="20"/>
                <w:szCs w:val="20"/>
              </w:rPr>
            </w:pPr>
            <w:r>
              <w:rPr>
                <w:rFonts w:ascii="Arial" w:eastAsia="Arial" w:hAnsi="Arial" w:cs="Arial"/>
                <w:b/>
                <w:bCs/>
                <w:sz w:val="14"/>
                <w:szCs w:val="14"/>
              </w:rPr>
              <w:t>May 1,</w:t>
            </w:r>
          </w:p>
        </w:tc>
        <w:tc>
          <w:tcPr>
            <w:tcW w:w="680" w:type="dxa"/>
            <w:gridSpan w:val="2"/>
            <w:vAlign w:val="bottom"/>
          </w:tcPr>
          <w:p w14:paraId="67CFFCC9" w14:textId="77777777" w:rsidR="00D1587D" w:rsidRDefault="00410D07">
            <w:pPr>
              <w:ind w:left="20"/>
              <w:rPr>
                <w:sz w:val="20"/>
                <w:szCs w:val="20"/>
              </w:rPr>
            </w:pPr>
            <w:r>
              <w:rPr>
                <w:rFonts w:ascii="Arial" w:eastAsia="Arial" w:hAnsi="Arial" w:cs="Arial"/>
                <w:b/>
                <w:bCs/>
                <w:sz w:val="14"/>
                <w:szCs w:val="14"/>
              </w:rPr>
              <w:t>May 2,</w:t>
            </w:r>
          </w:p>
        </w:tc>
        <w:tc>
          <w:tcPr>
            <w:tcW w:w="780" w:type="dxa"/>
            <w:gridSpan w:val="2"/>
            <w:vAlign w:val="bottom"/>
          </w:tcPr>
          <w:p w14:paraId="31218DB4" w14:textId="77777777" w:rsidR="00D1587D" w:rsidRDefault="00410D07">
            <w:pPr>
              <w:jc w:val="right"/>
              <w:rPr>
                <w:sz w:val="20"/>
                <w:szCs w:val="20"/>
              </w:rPr>
            </w:pPr>
            <w:r>
              <w:rPr>
                <w:rFonts w:ascii="Arial" w:eastAsia="Arial" w:hAnsi="Arial" w:cs="Arial"/>
                <w:b/>
                <w:bCs/>
                <w:w w:val="93"/>
                <w:sz w:val="14"/>
                <w:szCs w:val="14"/>
              </w:rPr>
              <w:t>January 30,</w:t>
            </w:r>
          </w:p>
        </w:tc>
        <w:tc>
          <w:tcPr>
            <w:tcW w:w="180" w:type="dxa"/>
            <w:vAlign w:val="bottom"/>
          </w:tcPr>
          <w:p w14:paraId="6F45EE55" w14:textId="77777777" w:rsidR="00D1587D" w:rsidRDefault="00D1587D">
            <w:pPr>
              <w:rPr>
                <w:sz w:val="16"/>
                <w:szCs w:val="16"/>
              </w:rPr>
            </w:pPr>
          </w:p>
        </w:tc>
        <w:tc>
          <w:tcPr>
            <w:tcW w:w="960" w:type="dxa"/>
            <w:gridSpan w:val="3"/>
            <w:vAlign w:val="bottom"/>
          </w:tcPr>
          <w:p w14:paraId="68D518B4" w14:textId="77777777" w:rsidR="00D1587D" w:rsidRDefault="00410D07">
            <w:pPr>
              <w:ind w:right="200"/>
              <w:jc w:val="center"/>
              <w:rPr>
                <w:sz w:val="20"/>
                <w:szCs w:val="20"/>
              </w:rPr>
            </w:pPr>
            <w:r>
              <w:rPr>
                <w:rFonts w:ascii="Arial" w:eastAsia="Arial" w:hAnsi="Arial" w:cs="Arial"/>
                <w:b/>
                <w:bCs/>
                <w:w w:val="95"/>
                <w:sz w:val="14"/>
                <w:szCs w:val="14"/>
              </w:rPr>
              <w:t>February 1,</w:t>
            </w:r>
          </w:p>
        </w:tc>
        <w:tc>
          <w:tcPr>
            <w:tcW w:w="780" w:type="dxa"/>
            <w:vAlign w:val="bottom"/>
          </w:tcPr>
          <w:p w14:paraId="5221ABE6" w14:textId="77777777" w:rsidR="00D1587D" w:rsidRDefault="00410D07">
            <w:pPr>
              <w:jc w:val="right"/>
              <w:rPr>
                <w:sz w:val="20"/>
                <w:szCs w:val="20"/>
              </w:rPr>
            </w:pPr>
            <w:r>
              <w:rPr>
                <w:rFonts w:ascii="Arial" w:eastAsia="Arial" w:hAnsi="Arial" w:cs="Arial"/>
                <w:b/>
                <w:bCs/>
                <w:w w:val="95"/>
                <w:sz w:val="14"/>
                <w:szCs w:val="14"/>
              </w:rPr>
              <w:t>February 2,</w:t>
            </w:r>
          </w:p>
        </w:tc>
        <w:tc>
          <w:tcPr>
            <w:tcW w:w="0" w:type="dxa"/>
            <w:vAlign w:val="bottom"/>
          </w:tcPr>
          <w:p w14:paraId="70CC6FB7" w14:textId="77777777" w:rsidR="00D1587D" w:rsidRDefault="00D1587D">
            <w:pPr>
              <w:rPr>
                <w:sz w:val="1"/>
                <w:szCs w:val="1"/>
              </w:rPr>
            </w:pPr>
          </w:p>
        </w:tc>
      </w:tr>
      <w:tr w:rsidR="00D1587D" w14:paraId="41554F0B" w14:textId="77777777">
        <w:trPr>
          <w:trHeight w:val="186"/>
        </w:trPr>
        <w:tc>
          <w:tcPr>
            <w:tcW w:w="4280" w:type="dxa"/>
            <w:vAlign w:val="bottom"/>
          </w:tcPr>
          <w:p w14:paraId="4934A43C" w14:textId="77777777" w:rsidR="00D1587D" w:rsidRDefault="00D1587D">
            <w:pPr>
              <w:rPr>
                <w:sz w:val="16"/>
                <w:szCs w:val="16"/>
              </w:rPr>
            </w:pPr>
          </w:p>
        </w:tc>
        <w:tc>
          <w:tcPr>
            <w:tcW w:w="100" w:type="dxa"/>
            <w:vAlign w:val="bottom"/>
          </w:tcPr>
          <w:p w14:paraId="038D63B3" w14:textId="77777777" w:rsidR="00D1587D" w:rsidRDefault="00D1587D">
            <w:pPr>
              <w:rPr>
                <w:sz w:val="16"/>
                <w:szCs w:val="16"/>
              </w:rPr>
            </w:pPr>
          </w:p>
        </w:tc>
        <w:tc>
          <w:tcPr>
            <w:tcW w:w="480" w:type="dxa"/>
            <w:vAlign w:val="bottom"/>
          </w:tcPr>
          <w:p w14:paraId="62366B98" w14:textId="77777777" w:rsidR="00D1587D" w:rsidRDefault="00410D07">
            <w:pPr>
              <w:ind w:right="13"/>
              <w:jc w:val="right"/>
              <w:rPr>
                <w:sz w:val="20"/>
                <w:szCs w:val="20"/>
              </w:rPr>
            </w:pPr>
            <w:r>
              <w:rPr>
                <w:rFonts w:ascii="Arial" w:eastAsia="Arial" w:hAnsi="Arial" w:cs="Arial"/>
                <w:b/>
                <w:bCs/>
                <w:sz w:val="14"/>
                <w:szCs w:val="14"/>
              </w:rPr>
              <w:t>2021</w:t>
            </w:r>
          </w:p>
        </w:tc>
        <w:tc>
          <w:tcPr>
            <w:tcW w:w="180" w:type="dxa"/>
            <w:vAlign w:val="bottom"/>
          </w:tcPr>
          <w:p w14:paraId="5CCA8E71" w14:textId="77777777" w:rsidR="00D1587D" w:rsidRDefault="00D1587D">
            <w:pPr>
              <w:rPr>
                <w:sz w:val="16"/>
                <w:szCs w:val="16"/>
              </w:rPr>
            </w:pPr>
          </w:p>
        </w:tc>
        <w:tc>
          <w:tcPr>
            <w:tcW w:w="500" w:type="dxa"/>
            <w:vAlign w:val="bottom"/>
          </w:tcPr>
          <w:p w14:paraId="61C7784A" w14:textId="77777777" w:rsidR="00D1587D" w:rsidRDefault="00410D07">
            <w:pPr>
              <w:ind w:right="12"/>
              <w:jc w:val="right"/>
              <w:rPr>
                <w:sz w:val="20"/>
                <w:szCs w:val="20"/>
              </w:rPr>
            </w:pPr>
            <w:r>
              <w:rPr>
                <w:rFonts w:ascii="Arial" w:eastAsia="Arial" w:hAnsi="Arial" w:cs="Arial"/>
                <w:b/>
                <w:bCs/>
                <w:sz w:val="14"/>
                <w:szCs w:val="14"/>
              </w:rPr>
              <w:t>2020</w:t>
            </w:r>
          </w:p>
        </w:tc>
        <w:tc>
          <w:tcPr>
            <w:tcW w:w="180" w:type="dxa"/>
            <w:vAlign w:val="bottom"/>
          </w:tcPr>
          <w:p w14:paraId="3C5E96A9" w14:textId="77777777" w:rsidR="00D1587D" w:rsidRDefault="00D1587D">
            <w:pPr>
              <w:rPr>
                <w:sz w:val="16"/>
                <w:szCs w:val="16"/>
              </w:rPr>
            </w:pPr>
          </w:p>
        </w:tc>
        <w:tc>
          <w:tcPr>
            <w:tcW w:w="780" w:type="dxa"/>
            <w:gridSpan w:val="2"/>
            <w:vAlign w:val="bottom"/>
          </w:tcPr>
          <w:p w14:paraId="13C69AD4" w14:textId="77777777" w:rsidR="00D1587D" w:rsidRDefault="00410D07">
            <w:pPr>
              <w:ind w:right="151"/>
              <w:jc w:val="right"/>
              <w:rPr>
                <w:sz w:val="20"/>
                <w:szCs w:val="20"/>
              </w:rPr>
            </w:pPr>
            <w:r>
              <w:rPr>
                <w:rFonts w:ascii="Arial" w:eastAsia="Arial" w:hAnsi="Arial" w:cs="Arial"/>
                <w:b/>
                <w:bCs/>
                <w:sz w:val="14"/>
                <w:szCs w:val="14"/>
              </w:rPr>
              <w:t>2021</w:t>
            </w:r>
          </w:p>
        </w:tc>
        <w:tc>
          <w:tcPr>
            <w:tcW w:w="960" w:type="dxa"/>
            <w:gridSpan w:val="3"/>
            <w:vAlign w:val="bottom"/>
          </w:tcPr>
          <w:p w14:paraId="452E6ACB" w14:textId="77777777" w:rsidR="00D1587D" w:rsidRDefault="00410D07">
            <w:pPr>
              <w:ind w:left="95"/>
              <w:jc w:val="center"/>
              <w:rPr>
                <w:sz w:val="20"/>
                <w:szCs w:val="20"/>
              </w:rPr>
            </w:pPr>
            <w:r>
              <w:rPr>
                <w:rFonts w:ascii="Arial" w:eastAsia="Arial" w:hAnsi="Arial" w:cs="Arial"/>
                <w:b/>
                <w:bCs/>
                <w:w w:val="96"/>
                <w:sz w:val="14"/>
                <w:szCs w:val="14"/>
              </w:rPr>
              <w:t>2020</w:t>
            </w:r>
          </w:p>
        </w:tc>
        <w:tc>
          <w:tcPr>
            <w:tcW w:w="180" w:type="dxa"/>
            <w:vAlign w:val="bottom"/>
          </w:tcPr>
          <w:p w14:paraId="20C3B4EE" w14:textId="77777777" w:rsidR="00D1587D" w:rsidRDefault="00D1587D">
            <w:pPr>
              <w:rPr>
                <w:sz w:val="16"/>
                <w:szCs w:val="16"/>
              </w:rPr>
            </w:pPr>
          </w:p>
        </w:tc>
        <w:tc>
          <w:tcPr>
            <w:tcW w:w="780" w:type="dxa"/>
            <w:vAlign w:val="bottom"/>
          </w:tcPr>
          <w:p w14:paraId="0F00D75F" w14:textId="77777777" w:rsidR="00D1587D" w:rsidRDefault="00410D07">
            <w:pPr>
              <w:ind w:right="152"/>
              <w:jc w:val="right"/>
              <w:rPr>
                <w:sz w:val="20"/>
                <w:szCs w:val="20"/>
              </w:rPr>
            </w:pPr>
            <w:r>
              <w:rPr>
                <w:rFonts w:ascii="Arial" w:eastAsia="Arial" w:hAnsi="Arial" w:cs="Arial"/>
                <w:b/>
                <w:bCs/>
                <w:sz w:val="14"/>
                <w:szCs w:val="14"/>
              </w:rPr>
              <w:t>2019</w:t>
            </w:r>
          </w:p>
        </w:tc>
        <w:tc>
          <w:tcPr>
            <w:tcW w:w="0" w:type="dxa"/>
            <w:vAlign w:val="bottom"/>
          </w:tcPr>
          <w:p w14:paraId="2E5300E0" w14:textId="77777777" w:rsidR="00D1587D" w:rsidRDefault="00D1587D">
            <w:pPr>
              <w:rPr>
                <w:sz w:val="1"/>
                <w:szCs w:val="1"/>
              </w:rPr>
            </w:pPr>
          </w:p>
        </w:tc>
      </w:tr>
      <w:tr w:rsidR="00D1587D" w14:paraId="3A53E50E" w14:textId="77777777">
        <w:trPr>
          <w:trHeight w:val="53"/>
        </w:trPr>
        <w:tc>
          <w:tcPr>
            <w:tcW w:w="4280" w:type="dxa"/>
            <w:vAlign w:val="bottom"/>
          </w:tcPr>
          <w:p w14:paraId="00C61F48" w14:textId="77777777" w:rsidR="00D1587D" w:rsidRDefault="00D1587D">
            <w:pPr>
              <w:rPr>
                <w:sz w:val="4"/>
                <w:szCs w:val="4"/>
              </w:rPr>
            </w:pPr>
          </w:p>
        </w:tc>
        <w:tc>
          <w:tcPr>
            <w:tcW w:w="100" w:type="dxa"/>
            <w:vAlign w:val="bottom"/>
          </w:tcPr>
          <w:p w14:paraId="4BAACF2B" w14:textId="77777777" w:rsidR="00D1587D" w:rsidRDefault="00D1587D">
            <w:pPr>
              <w:rPr>
                <w:sz w:val="4"/>
                <w:szCs w:val="4"/>
              </w:rPr>
            </w:pPr>
          </w:p>
        </w:tc>
        <w:tc>
          <w:tcPr>
            <w:tcW w:w="480" w:type="dxa"/>
            <w:tcBorders>
              <w:bottom w:val="single" w:sz="8" w:space="0" w:color="auto"/>
            </w:tcBorders>
            <w:vAlign w:val="bottom"/>
          </w:tcPr>
          <w:p w14:paraId="72DA7F6F" w14:textId="77777777" w:rsidR="00D1587D" w:rsidRDefault="00D1587D">
            <w:pPr>
              <w:rPr>
                <w:sz w:val="4"/>
                <w:szCs w:val="4"/>
              </w:rPr>
            </w:pPr>
          </w:p>
        </w:tc>
        <w:tc>
          <w:tcPr>
            <w:tcW w:w="180" w:type="dxa"/>
            <w:tcBorders>
              <w:bottom w:val="single" w:sz="8" w:space="0" w:color="auto"/>
            </w:tcBorders>
            <w:vAlign w:val="bottom"/>
          </w:tcPr>
          <w:p w14:paraId="4357B052" w14:textId="77777777" w:rsidR="00D1587D" w:rsidRDefault="00D1587D">
            <w:pPr>
              <w:rPr>
                <w:sz w:val="4"/>
                <w:szCs w:val="4"/>
              </w:rPr>
            </w:pPr>
          </w:p>
        </w:tc>
        <w:tc>
          <w:tcPr>
            <w:tcW w:w="500" w:type="dxa"/>
            <w:tcBorders>
              <w:bottom w:val="single" w:sz="8" w:space="0" w:color="auto"/>
            </w:tcBorders>
            <w:vAlign w:val="bottom"/>
          </w:tcPr>
          <w:p w14:paraId="16142251" w14:textId="77777777" w:rsidR="00D1587D" w:rsidRDefault="00D1587D">
            <w:pPr>
              <w:rPr>
                <w:sz w:val="4"/>
                <w:szCs w:val="4"/>
              </w:rPr>
            </w:pPr>
          </w:p>
        </w:tc>
        <w:tc>
          <w:tcPr>
            <w:tcW w:w="180" w:type="dxa"/>
            <w:tcBorders>
              <w:bottom w:val="single" w:sz="8" w:space="0" w:color="auto"/>
            </w:tcBorders>
            <w:vAlign w:val="bottom"/>
          </w:tcPr>
          <w:p w14:paraId="1D753FD1" w14:textId="77777777" w:rsidR="00D1587D" w:rsidRDefault="00D1587D">
            <w:pPr>
              <w:rPr>
                <w:sz w:val="4"/>
                <w:szCs w:val="4"/>
              </w:rPr>
            </w:pPr>
          </w:p>
        </w:tc>
        <w:tc>
          <w:tcPr>
            <w:tcW w:w="280" w:type="dxa"/>
            <w:tcBorders>
              <w:bottom w:val="single" w:sz="8" w:space="0" w:color="auto"/>
            </w:tcBorders>
            <w:vAlign w:val="bottom"/>
          </w:tcPr>
          <w:p w14:paraId="361DE5DB" w14:textId="77777777" w:rsidR="00D1587D" w:rsidRDefault="00D1587D">
            <w:pPr>
              <w:rPr>
                <w:sz w:val="4"/>
                <w:szCs w:val="4"/>
              </w:rPr>
            </w:pPr>
          </w:p>
        </w:tc>
        <w:tc>
          <w:tcPr>
            <w:tcW w:w="960" w:type="dxa"/>
            <w:gridSpan w:val="3"/>
            <w:tcBorders>
              <w:bottom w:val="single" w:sz="8" w:space="0" w:color="auto"/>
            </w:tcBorders>
            <w:vAlign w:val="bottom"/>
          </w:tcPr>
          <w:p w14:paraId="3407CD7D" w14:textId="77777777" w:rsidR="00D1587D" w:rsidRDefault="00D1587D">
            <w:pPr>
              <w:rPr>
                <w:sz w:val="4"/>
                <w:szCs w:val="4"/>
              </w:rPr>
            </w:pPr>
          </w:p>
        </w:tc>
        <w:tc>
          <w:tcPr>
            <w:tcW w:w="500" w:type="dxa"/>
            <w:tcBorders>
              <w:bottom w:val="single" w:sz="8" w:space="0" w:color="auto"/>
            </w:tcBorders>
            <w:vAlign w:val="bottom"/>
          </w:tcPr>
          <w:p w14:paraId="2A630077" w14:textId="77777777" w:rsidR="00D1587D" w:rsidRDefault="00D1587D">
            <w:pPr>
              <w:rPr>
                <w:sz w:val="4"/>
                <w:szCs w:val="4"/>
              </w:rPr>
            </w:pPr>
          </w:p>
        </w:tc>
        <w:tc>
          <w:tcPr>
            <w:tcW w:w="180" w:type="dxa"/>
            <w:tcBorders>
              <w:bottom w:val="single" w:sz="8" w:space="0" w:color="auto"/>
            </w:tcBorders>
            <w:vAlign w:val="bottom"/>
          </w:tcPr>
          <w:p w14:paraId="331596B8" w14:textId="77777777" w:rsidR="00D1587D" w:rsidRDefault="00D1587D">
            <w:pPr>
              <w:rPr>
                <w:sz w:val="4"/>
                <w:szCs w:val="4"/>
              </w:rPr>
            </w:pPr>
          </w:p>
        </w:tc>
        <w:tc>
          <w:tcPr>
            <w:tcW w:w="780" w:type="dxa"/>
            <w:tcBorders>
              <w:bottom w:val="single" w:sz="8" w:space="0" w:color="auto"/>
            </w:tcBorders>
            <w:vAlign w:val="bottom"/>
          </w:tcPr>
          <w:p w14:paraId="5E43E13E" w14:textId="77777777" w:rsidR="00D1587D" w:rsidRDefault="00D1587D">
            <w:pPr>
              <w:rPr>
                <w:sz w:val="4"/>
                <w:szCs w:val="4"/>
              </w:rPr>
            </w:pPr>
          </w:p>
        </w:tc>
        <w:tc>
          <w:tcPr>
            <w:tcW w:w="0" w:type="dxa"/>
            <w:vAlign w:val="bottom"/>
          </w:tcPr>
          <w:p w14:paraId="6D24DD8A" w14:textId="77777777" w:rsidR="00D1587D" w:rsidRDefault="00D1587D">
            <w:pPr>
              <w:rPr>
                <w:sz w:val="1"/>
                <w:szCs w:val="1"/>
              </w:rPr>
            </w:pPr>
          </w:p>
        </w:tc>
      </w:tr>
      <w:tr w:rsidR="00D1587D" w14:paraId="0FC8D6E7" w14:textId="77777777">
        <w:trPr>
          <w:trHeight w:val="224"/>
        </w:trPr>
        <w:tc>
          <w:tcPr>
            <w:tcW w:w="4280" w:type="dxa"/>
            <w:vAlign w:val="bottom"/>
          </w:tcPr>
          <w:p w14:paraId="3F870F8B" w14:textId="77777777" w:rsidR="00D1587D" w:rsidRDefault="00D1587D">
            <w:pPr>
              <w:rPr>
                <w:sz w:val="19"/>
                <w:szCs w:val="19"/>
              </w:rPr>
            </w:pPr>
          </w:p>
        </w:tc>
        <w:tc>
          <w:tcPr>
            <w:tcW w:w="100" w:type="dxa"/>
            <w:vAlign w:val="bottom"/>
          </w:tcPr>
          <w:p w14:paraId="3B6C2FF2" w14:textId="77777777" w:rsidR="00D1587D" w:rsidRDefault="00D1587D">
            <w:pPr>
              <w:rPr>
                <w:sz w:val="19"/>
                <w:szCs w:val="19"/>
              </w:rPr>
            </w:pPr>
          </w:p>
        </w:tc>
        <w:tc>
          <w:tcPr>
            <w:tcW w:w="480" w:type="dxa"/>
            <w:vAlign w:val="bottom"/>
          </w:tcPr>
          <w:p w14:paraId="407838B2" w14:textId="77777777" w:rsidR="00D1587D" w:rsidRDefault="00D1587D">
            <w:pPr>
              <w:rPr>
                <w:sz w:val="19"/>
                <w:szCs w:val="19"/>
              </w:rPr>
            </w:pPr>
          </w:p>
        </w:tc>
        <w:tc>
          <w:tcPr>
            <w:tcW w:w="180" w:type="dxa"/>
            <w:vAlign w:val="bottom"/>
          </w:tcPr>
          <w:p w14:paraId="5F23E013" w14:textId="77777777" w:rsidR="00D1587D" w:rsidRDefault="00D1587D">
            <w:pPr>
              <w:rPr>
                <w:sz w:val="19"/>
                <w:szCs w:val="19"/>
              </w:rPr>
            </w:pPr>
          </w:p>
        </w:tc>
        <w:tc>
          <w:tcPr>
            <w:tcW w:w="500" w:type="dxa"/>
            <w:vAlign w:val="bottom"/>
          </w:tcPr>
          <w:p w14:paraId="7E5829D1" w14:textId="77777777" w:rsidR="00D1587D" w:rsidRDefault="00D1587D">
            <w:pPr>
              <w:rPr>
                <w:sz w:val="19"/>
                <w:szCs w:val="19"/>
              </w:rPr>
            </w:pPr>
          </w:p>
        </w:tc>
        <w:tc>
          <w:tcPr>
            <w:tcW w:w="180" w:type="dxa"/>
            <w:vAlign w:val="bottom"/>
          </w:tcPr>
          <w:p w14:paraId="17492CDE" w14:textId="77777777" w:rsidR="00D1587D" w:rsidRDefault="00D1587D">
            <w:pPr>
              <w:rPr>
                <w:sz w:val="19"/>
                <w:szCs w:val="19"/>
              </w:rPr>
            </w:pPr>
          </w:p>
        </w:tc>
        <w:tc>
          <w:tcPr>
            <w:tcW w:w="280" w:type="dxa"/>
            <w:vAlign w:val="bottom"/>
          </w:tcPr>
          <w:p w14:paraId="6D4AF086" w14:textId="77777777" w:rsidR="00D1587D" w:rsidRDefault="00D1587D">
            <w:pPr>
              <w:rPr>
                <w:sz w:val="19"/>
                <w:szCs w:val="19"/>
              </w:rPr>
            </w:pPr>
          </w:p>
        </w:tc>
        <w:tc>
          <w:tcPr>
            <w:tcW w:w="960" w:type="dxa"/>
            <w:gridSpan w:val="3"/>
            <w:vAlign w:val="bottom"/>
          </w:tcPr>
          <w:p w14:paraId="6EFA4781" w14:textId="77777777" w:rsidR="00D1587D" w:rsidRDefault="00410D07">
            <w:pPr>
              <w:ind w:right="128"/>
              <w:jc w:val="right"/>
              <w:rPr>
                <w:sz w:val="20"/>
                <w:szCs w:val="20"/>
              </w:rPr>
            </w:pPr>
            <w:r>
              <w:rPr>
                <w:rFonts w:ascii="Arial" w:eastAsia="Arial" w:hAnsi="Arial" w:cs="Arial"/>
                <w:b/>
                <w:bCs/>
                <w:w w:val="94"/>
                <w:sz w:val="14"/>
                <w:szCs w:val="14"/>
              </w:rPr>
              <w:t>(in millions)</w:t>
            </w:r>
          </w:p>
        </w:tc>
        <w:tc>
          <w:tcPr>
            <w:tcW w:w="500" w:type="dxa"/>
            <w:vAlign w:val="bottom"/>
          </w:tcPr>
          <w:p w14:paraId="1295FF66" w14:textId="77777777" w:rsidR="00D1587D" w:rsidRDefault="00D1587D">
            <w:pPr>
              <w:rPr>
                <w:sz w:val="19"/>
                <w:szCs w:val="19"/>
              </w:rPr>
            </w:pPr>
          </w:p>
        </w:tc>
        <w:tc>
          <w:tcPr>
            <w:tcW w:w="180" w:type="dxa"/>
            <w:vAlign w:val="bottom"/>
          </w:tcPr>
          <w:p w14:paraId="1F73B650" w14:textId="77777777" w:rsidR="00D1587D" w:rsidRDefault="00D1587D">
            <w:pPr>
              <w:rPr>
                <w:sz w:val="19"/>
                <w:szCs w:val="19"/>
              </w:rPr>
            </w:pPr>
          </w:p>
        </w:tc>
        <w:tc>
          <w:tcPr>
            <w:tcW w:w="780" w:type="dxa"/>
            <w:vAlign w:val="bottom"/>
          </w:tcPr>
          <w:p w14:paraId="3525CEC4" w14:textId="77777777" w:rsidR="00D1587D" w:rsidRDefault="00D1587D">
            <w:pPr>
              <w:rPr>
                <w:sz w:val="19"/>
                <w:szCs w:val="19"/>
              </w:rPr>
            </w:pPr>
          </w:p>
        </w:tc>
        <w:tc>
          <w:tcPr>
            <w:tcW w:w="0" w:type="dxa"/>
            <w:vAlign w:val="bottom"/>
          </w:tcPr>
          <w:p w14:paraId="0679F56C" w14:textId="77777777" w:rsidR="00D1587D" w:rsidRDefault="00D1587D">
            <w:pPr>
              <w:rPr>
                <w:sz w:val="1"/>
                <w:szCs w:val="1"/>
              </w:rPr>
            </w:pPr>
          </w:p>
        </w:tc>
      </w:tr>
      <w:tr w:rsidR="00D1587D" w14:paraId="4ED130C8" w14:textId="77777777">
        <w:trPr>
          <w:trHeight w:val="53"/>
        </w:trPr>
        <w:tc>
          <w:tcPr>
            <w:tcW w:w="4280" w:type="dxa"/>
            <w:vAlign w:val="bottom"/>
          </w:tcPr>
          <w:p w14:paraId="26E904E8" w14:textId="77777777" w:rsidR="00D1587D" w:rsidRDefault="00D1587D">
            <w:pPr>
              <w:rPr>
                <w:sz w:val="4"/>
                <w:szCs w:val="4"/>
              </w:rPr>
            </w:pPr>
          </w:p>
        </w:tc>
        <w:tc>
          <w:tcPr>
            <w:tcW w:w="100" w:type="dxa"/>
            <w:vAlign w:val="bottom"/>
          </w:tcPr>
          <w:p w14:paraId="546DF978" w14:textId="77777777" w:rsidR="00D1587D" w:rsidRDefault="00D1587D">
            <w:pPr>
              <w:rPr>
                <w:sz w:val="4"/>
                <w:szCs w:val="4"/>
              </w:rPr>
            </w:pPr>
          </w:p>
        </w:tc>
        <w:tc>
          <w:tcPr>
            <w:tcW w:w="480" w:type="dxa"/>
            <w:vAlign w:val="bottom"/>
          </w:tcPr>
          <w:p w14:paraId="1A084B7C" w14:textId="77777777" w:rsidR="00D1587D" w:rsidRDefault="00D1587D">
            <w:pPr>
              <w:rPr>
                <w:sz w:val="4"/>
                <w:szCs w:val="4"/>
              </w:rPr>
            </w:pPr>
          </w:p>
        </w:tc>
        <w:tc>
          <w:tcPr>
            <w:tcW w:w="180" w:type="dxa"/>
            <w:vAlign w:val="bottom"/>
          </w:tcPr>
          <w:p w14:paraId="4B44942F" w14:textId="77777777" w:rsidR="00D1587D" w:rsidRDefault="00D1587D">
            <w:pPr>
              <w:rPr>
                <w:sz w:val="4"/>
                <w:szCs w:val="4"/>
              </w:rPr>
            </w:pPr>
          </w:p>
        </w:tc>
        <w:tc>
          <w:tcPr>
            <w:tcW w:w="500" w:type="dxa"/>
            <w:vAlign w:val="bottom"/>
          </w:tcPr>
          <w:p w14:paraId="20F5BB7F" w14:textId="77777777" w:rsidR="00D1587D" w:rsidRDefault="00D1587D">
            <w:pPr>
              <w:rPr>
                <w:sz w:val="4"/>
                <w:szCs w:val="4"/>
              </w:rPr>
            </w:pPr>
          </w:p>
        </w:tc>
        <w:tc>
          <w:tcPr>
            <w:tcW w:w="180" w:type="dxa"/>
            <w:vAlign w:val="bottom"/>
          </w:tcPr>
          <w:p w14:paraId="0E26CA9C" w14:textId="77777777" w:rsidR="00D1587D" w:rsidRDefault="00D1587D">
            <w:pPr>
              <w:rPr>
                <w:sz w:val="4"/>
                <w:szCs w:val="4"/>
              </w:rPr>
            </w:pPr>
          </w:p>
        </w:tc>
        <w:tc>
          <w:tcPr>
            <w:tcW w:w="280" w:type="dxa"/>
            <w:vAlign w:val="bottom"/>
          </w:tcPr>
          <w:p w14:paraId="0137837D" w14:textId="77777777" w:rsidR="00D1587D" w:rsidRDefault="00D1587D">
            <w:pPr>
              <w:rPr>
                <w:sz w:val="4"/>
                <w:szCs w:val="4"/>
              </w:rPr>
            </w:pPr>
          </w:p>
        </w:tc>
        <w:tc>
          <w:tcPr>
            <w:tcW w:w="500" w:type="dxa"/>
            <w:vAlign w:val="bottom"/>
          </w:tcPr>
          <w:p w14:paraId="49BC0A75" w14:textId="77777777" w:rsidR="00D1587D" w:rsidRDefault="00D1587D">
            <w:pPr>
              <w:rPr>
                <w:sz w:val="4"/>
                <w:szCs w:val="4"/>
              </w:rPr>
            </w:pPr>
          </w:p>
        </w:tc>
        <w:tc>
          <w:tcPr>
            <w:tcW w:w="180" w:type="dxa"/>
            <w:vAlign w:val="bottom"/>
          </w:tcPr>
          <w:p w14:paraId="4DE9FF40" w14:textId="77777777" w:rsidR="00D1587D" w:rsidRDefault="00D1587D">
            <w:pPr>
              <w:rPr>
                <w:sz w:val="4"/>
                <w:szCs w:val="4"/>
              </w:rPr>
            </w:pPr>
          </w:p>
        </w:tc>
        <w:tc>
          <w:tcPr>
            <w:tcW w:w="280" w:type="dxa"/>
            <w:vAlign w:val="bottom"/>
          </w:tcPr>
          <w:p w14:paraId="24F209E7" w14:textId="77777777" w:rsidR="00D1587D" w:rsidRDefault="00D1587D">
            <w:pPr>
              <w:rPr>
                <w:sz w:val="4"/>
                <w:szCs w:val="4"/>
              </w:rPr>
            </w:pPr>
          </w:p>
        </w:tc>
        <w:tc>
          <w:tcPr>
            <w:tcW w:w="500" w:type="dxa"/>
            <w:vAlign w:val="bottom"/>
          </w:tcPr>
          <w:p w14:paraId="7472999D" w14:textId="77777777" w:rsidR="00D1587D" w:rsidRDefault="00D1587D">
            <w:pPr>
              <w:rPr>
                <w:sz w:val="4"/>
                <w:szCs w:val="4"/>
              </w:rPr>
            </w:pPr>
          </w:p>
        </w:tc>
        <w:tc>
          <w:tcPr>
            <w:tcW w:w="180" w:type="dxa"/>
            <w:vAlign w:val="bottom"/>
          </w:tcPr>
          <w:p w14:paraId="6B7C0CCD" w14:textId="77777777" w:rsidR="00D1587D" w:rsidRDefault="00D1587D">
            <w:pPr>
              <w:rPr>
                <w:sz w:val="4"/>
                <w:szCs w:val="4"/>
              </w:rPr>
            </w:pPr>
          </w:p>
        </w:tc>
        <w:tc>
          <w:tcPr>
            <w:tcW w:w="780" w:type="dxa"/>
            <w:vAlign w:val="bottom"/>
          </w:tcPr>
          <w:p w14:paraId="1103FC8D" w14:textId="77777777" w:rsidR="00D1587D" w:rsidRDefault="00D1587D">
            <w:pPr>
              <w:rPr>
                <w:sz w:val="4"/>
                <w:szCs w:val="4"/>
              </w:rPr>
            </w:pPr>
          </w:p>
        </w:tc>
        <w:tc>
          <w:tcPr>
            <w:tcW w:w="0" w:type="dxa"/>
            <w:vAlign w:val="bottom"/>
          </w:tcPr>
          <w:p w14:paraId="60FC6C3C" w14:textId="77777777" w:rsidR="00D1587D" w:rsidRDefault="00D1587D">
            <w:pPr>
              <w:rPr>
                <w:sz w:val="1"/>
                <w:szCs w:val="1"/>
              </w:rPr>
            </w:pPr>
          </w:p>
        </w:tc>
      </w:tr>
      <w:tr w:rsidR="00D1587D" w14:paraId="52AB8A6A" w14:textId="77777777">
        <w:trPr>
          <w:trHeight w:val="265"/>
        </w:trPr>
        <w:tc>
          <w:tcPr>
            <w:tcW w:w="4380" w:type="dxa"/>
            <w:gridSpan w:val="2"/>
            <w:shd w:val="clear" w:color="auto" w:fill="CCEEFF"/>
            <w:vAlign w:val="bottom"/>
          </w:tcPr>
          <w:p w14:paraId="4A495394" w14:textId="77777777" w:rsidR="00D1587D" w:rsidRDefault="00410D07">
            <w:pPr>
              <w:rPr>
                <w:sz w:val="20"/>
                <w:szCs w:val="20"/>
              </w:rPr>
            </w:pPr>
            <w:r>
              <w:rPr>
                <w:rFonts w:ascii="Arial" w:eastAsia="Arial" w:hAnsi="Arial" w:cs="Arial"/>
                <w:b/>
                <w:bCs/>
                <w:w w:val="93"/>
                <w:sz w:val="18"/>
                <w:szCs w:val="18"/>
              </w:rPr>
              <w:t>Reconciliation of Operating Income (Loss) to Adjusted</w:t>
            </w:r>
          </w:p>
        </w:tc>
        <w:tc>
          <w:tcPr>
            <w:tcW w:w="480" w:type="dxa"/>
            <w:shd w:val="clear" w:color="auto" w:fill="CCEEFF"/>
            <w:vAlign w:val="bottom"/>
          </w:tcPr>
          <w:p w14:paraId="7A183652" w14:textId="77777777" w:rsidR="00D1587D" w:rsidRDefault="00D1587D">
            <w:pPr>
              <w:rPr>
                <w:sz w:val="23"/>
                <w:szCs w:val="23"/>
              </w:rPr>
            </w:pPr>
          </w:p>
        </w:tc>
        <w:tc>
          <w:tcPr>
            <w:tcW w:w="180" w:type="dxa"/>
            <w:shd w:val="clear" w:color="auto" w:fill="CCEEFF"/>
            <w:vAlign w:val="bottom"/>
          </w:tcPr>
          <w:p w14:paraId="0DE8D4AA" w14:textId="77777777" w:rsidR="00D1587D" w:rsidRDefault="00D1587D">
            <w:pPr>
              <w:rPr>
                <w:sz w:val="23"/>
                <w:szCs w:val="23"/>
              </w:rPr>
            </w:pPr>
          </w:p>
        </w:tc>
        <w:tc>
          <w:tcPr>
            <w:tcW w:w="500" w:type="dxa"/>
            <w:shd w:val="clear" w:color="auto" w:fill="CCEEFF"/>
            <w:vAlign w:val="bottom"/>
          </w:tcPr>
          <w:p w14:paraId="38332E63" w14:textId="77777777" w:rsidR="00D1587D" w:rsidRDefault="00D1587D">
            <w:pPr>
              <w:rPr>
                <w:sz w:val="23"/>
                <w:szCs w:val="23"/>
              </w:rPr>
            </w:pPr>
          </w:p>
        </w:tc>
        <w:tc>
          <w:tcPr>
            <w:tcW w:w="180" w:type="dxa"/>
            <w:shd w:val="clear" w:color="auto" w:fill="CCEEFF"/>
            <w:vAlign w:val="bottom"/>
          </w:tcPr>
          <w:p w14:paraId="1E876163" w14:textId="77777777" w:rsidR="00D1587D" w:rsidRDefault="00D1587D">
            <w:pPr>
              <w:rPr>
                <w:sz w:val="23"/>
                <w:szCs w:val="23"/>
              </w:rPr>
            </w:pPr>
          </w:p>
        </w:tc>
        <w:tc>
          <w:tcPr>
            <w:tcW w:w="280" w:type="dxa"/>
            <w:shd w:val="clear" w:color="auto" w:fill="CCEEFF"/>
            <w:vAlign w:val="bottom"/>
          </w:tcPr>
          <w:p w14:paraId="4AAFC923" w14:textId="77777777" w:rsidR="00D1587D" w:rsidRDefault="00D1587D">
            <w:pPr>
              <w:rPr>
                <w:sz w:val="23"/>
                <w:szCs w:val="23"/>
              </w:rPr>
            </w:pPr>
          </w:p>
        </w:tc>
        <w:tc>
          <w:tcPr>
            <w:tcW w:w="500" w:type="dxa"/>
            <w:shd w:val="clear" w:color="auto" w:fill="CCEEFF"/>
            <w:vAlign w:val="bottom"/>
          </w:tcPr>
          <w:p w14:paraId="54C42A11" w14:textId="77777777" w:rsidR="00D1587D" w:rsidRDefault="00D1587D">
            <w:pPr>
              <w:rPr>
                <w:sz w:val="23"/>
                <w:szCs w:val="23"/>
              </w:rPr>
            </w:pPr>
          </w:p>
        </w:tc>
        <w:tc>
          <w:tcPr>
            <w:tcW w:w="180" w:type="dxa"/>
            <w:shd w:val="clear" w:color="auto" w:fill="CCEEFF"/>
            <w:vAlign w:val="bottom"/>
          </w:tcPr>
          <w:p w14:paraId="048EACAA" w14:textId="77777777" w:rsidR="00D1587D" w:rsidRDefault="00D1587D">
            <w:pPr>
              <w:rPr>
                <w:sz w:val="23"/>
                <w:szCs w:val="23"/>
              </w:rPr>
            </w:pPr>
          </w:p>
        </w:tc>
        <w:tc>
          <w:tcPr>
            <w:tcW w:w="280" w:type="dxa"/>
            <w:shd w:val="clear" w:color="auto" w:fill="CCEEFF"/>
            <w:vAlign w:val="bottom"/>
          </w:tcPr>
          <w:p w14:paraId="7082AB1B" w14:textId="77777777" w:rsidR="00D1587D" w:rsidRDefault="00D1587D">
            <w:pPr>
              <w:rPr>
                <w:sz w:val="23"/>
                <w:szCs w:val="23"/>
              </w:rPr>
            </w:pPr>
          </w:p>
        </w:tc>
        <w:tc>
          <w:tcPr>
            <w:tcW w:w="500" w:type="dxa"/>
            <w:shd w:val="clear" w:color="auto" w:fill="CCEEFF"/>
            <w:vAlign w:val="bottom"/>
          </w:tcPr>
          <w:p w14:paraId="5FEB113C" w14:textId="77777777" w:rsidR="00D1587D" w:rsidRDefault="00D1587D">
            <w:pPr>
              <w:rPr>
                <w:sz w:val="23"/>
                <w:szCs w:val="23"/>
              </w:rPr>
            </w:pPr>
          </w:p>
        </w:tc>
        <w:tc>
          <w:tcPr>
            <w:tcW w:w="180" w:type="dxa"/>
            <w:shd w:val="clear" w:color="auto" w:fill="CCEEFF"/>
            <w:vAlign w:val="bottom"/>
          </w:tcPr>
          <w:p w14:paraId="58011053" w14:textId="77777777" w:rsidR="00D1587D" w:rsidRDefault="00D1587D">
            <w:pPr>
              <w:rPr>
                <w:sz w:val="23"/>
                <w:szCs w:val="23"/>
              </w:rPr>
            </w:pPr>
          </w:p>
        </w:tc>
        <w:tc>
          <w:tcPr>
            <w:tcW w:w="780" w:type="dxa"/>
            <w:shd w:val="clear" w:color="auto" w:fill="CCEEFF"/>
            <w:vAlign w:val="bottom"/>
          </w:tcPr>
          <w:p w14:paraId="3BDC1EB6" w14:textId="77777777" w:rsidR="00D1587D" w:rsidRDefault="00D1587D">
            <w:pPr>
              <w:rPr>
                <w:sz w:val="23"/>
                <w:szCs w:val="23"/>
              </w:rPr>
            </w:pPr>
          </w:p>
        </w:tc>
        <w:tc>
          <w:tcPr>
            <w:tcW w:w="0" w:type="dxa"/>
            <w:vAlign w:val="bottom"/>
          </w:tcPr>
          <w:p w14:paraId="06930ECD" w14:textId="77777777" w:rsidR="00D1587D" w:rsidRDefault="00D1587D">
            <w:pPr>
              <w:rPr>
                <w:sz w:val="1"/>
                <w:szCs w:val="1"/>
              </w:rPr>
            </w:pPr>
          </w:p>
        </w:tc>
      </w:tr>
      <w:tr w:rsidR="00D1587D" w14:paraId="7F5031BE" w14:textId="77777777">
        <w:trPr>
          <w:trHeight w:val="268"/>
        </w:trPr>
        <w:tc>
          <w:tcPr>
            <w:tcW w:w="4380" w:type="dxa"/>
            <w:gridSpan w:val="2"/>
            <w:tcBorders>
              <w:bottom w:val="single" w:sz="8" w:space="0" w:color="CCEEFF"/>
            </w:tcBorders>
            <w:shd w:val="clear" w:color="auto" w:fill="CCEEFF"/>
            <w:vAlign w:val="bottom"/>
          </w:tcPr>
          <w:p w14:paraId="19E9EA57" w14:textId="77777777" w:rsidR="00D1587D" w:rsidRDefault="00410D07">
            <w:pPr>
              <w:ind w:left="180"/>
              <w:rPr>
                <w:sz w:val="20"/>
                <w:szCs w:val="20"/>
              </w:rPr>
            </w:pPr>
            <w:r>
              <w:rPr>
                <w:rFonts w:ascii="Arial" w:eastAsia="Arial" w:hAnsi="Arial" w:cs="Arial"/>
                <w:b/>
                <w:bCs/>
                <w:sz w:val="18"/>
                <w:szCs w:val="18"/>
              </w:rPr>
              <w:t>Operating Income</w:t>
            </w:r>
          </w:p>
        </w:tc>
        <w:tc>
          <w:tcPr>
            <w:tcW w:w="480" w:type="dxa"/>
            <w:tcBorders>
              <w:bottom w:val="single" w:sz="8" w:space="0" w:color="CCEEFF"/>
            </w:tcBorders>
            <w:shd w:val="clear" w:color="auto" w:fill="CCEEFF"/>
            <w:vAlign w:val="bottom"/>
          </w:tcPr>
          <w:p w14:paraId="3DCFB950" w14:textId="77777777" w:rsidR="00D1587D" w:rsidRDefault="00D1587D">
            <w:pPr>
              <w:rPr>
                <w:sz w:val="23"/>
                <w:szCs w:val="23"/>
              </w:rPr>
            </w:pPr>
          </w:p>
        </w:tc>
        <w:tc>
          <w:tcPr>
            <w:tcW w:w="180" w:type="dxa"/>
            <w:tcBorders>
              <w:bottom w:val="single" w:sz="8" w:space="0" w:color="CCEEFF"/>
            </w:tcBorders>
            <w:shd w:val="clear" w:color="auto" w:fill="CCEEFF"/>
            <w:vAlign w:val="bottom"/>
          </w:tcPr>
          <w:p w14:paraId="65050442" w14:textId="77777777" w:rsidR="00D1587D" w:rsidRDefault="00D1587D">
            <w:pPr>
              <w:rPr>
                <w:sz w:val="23"/>
                <w:szCs w:val="23"/>
              </w:rPr>
            </w:pPr>
          </w:p>
        </w:tc>
        <w:tc>
          <w:tcPr>
            <w:tcW w:w="500" w:type="dxa"/>
            <w:tcBorders>
              <w:bottom w:val="single" w:sz="8" w:space="0" w:color="CCEEFF"/>
            </w:tcBorders>
            <w:shd w:val="clear" w:color="auto" w:fill="CCEEFF"/>
            <w:vAlign w:val="bottom"/>
          </w:tcPr>
          <w:p w14:paraId="0C813BC9" w14:textId="77777777" w:rsidR="00D1587D" w:rsidRDefault="00D1587D">
            <w:pPr>
              <w:rPr>
                <w:sz w:val="23"/>
                <w:szCs w:val="23"/>
              </w:rPr>
            </w:pPr>
          </w:p>
        </w:tc>
        <w:tc>
          <w:tcPr>
            <w:tcW w:w="180" w:type="dxa"/>
            <w:tcBorders>
              <w:bottom w:val="single" w:sz="8" w:space="0" w:color="CCEEFF"/>
            </w:tcBorders>
            <w:shd w:val="clear" w:color="auto" w:fill="CCEEFF"/>
            <w:vAlign w:val="bottom"/>
          </w:tcPr>
          <w:p w14:paraId="54DF3F65" w14:textId="77777777" w:rsidR="00D1587D" w:rsidRDefault="00D1587D">
            <w:pPr>
              <w:rPr>
                <w:sz w:val="23"/>
                <w:szCs w:val="23"/>
              </w:rPr>
            </w:pPr>
          </w:p>
        </w:tc>
        <w:tc>
          <w:tcPr>
            <w:tcW w:w="280" w:type="dxa"/>
            <w:tcBorders>
              <w:bottom w:val="single" w:sz="8" w:space="0" w:color="CCEEFF"/>
            </w:tcBorders>
            <w:shd w:val="clear" w:color="auto" w:fill="CCEEFF"/>
            <w:vAlign w:val="bottom"/>
          </w:tcPr>
          <w:p w14:paraId="138FFA6F" w14:textId="77777777" w:rsidR="00D1587D" w:rsidRDefault="00D1587D">
            <w:pPr>
              <w:rPr>
                <w:sz w:val="23"/>
                <w:szCs w:val="23"/>
              </w:rPr>
            </w:pPr>
          </w:p>
        </w:tc>
        <w:tc>
          <w:tcPr>
            <w:tcW w:w="500" w:type="dxa"/>
            <w:tcBorders>
              <w:bottom w:val="single" w:sz="8" w:space="0" w:color="CCEEFF"/>
            </w:tcBorders>
            <w:shd w:val="clear" w:color="auto" w:fill="CCEEFF"/>
            <w:vAlign w:val="bottom"/>
          </w:tcPr>
          <w:p w14:paraId="158727A7" w14:textId="77777777" w:rsidR="00D1587D" w:rsidRDefault="00D1587D">
            <w:pPr>
              <w:rPr>
                <w:sz w:val="23"/>
                <w:szCs w:val="23"/>
              </w:rPr>
            </w:pPr>
          </w:p>
        </w:tc>
        <w:tc>
          <w:tcPr>
            <w:tcW w:w="180" w:type="dxa"/>
            <w:tcBorders>
              <w:bottom w:val="single" w:sz="8" w:space="0" w:color="CCEEFF"/>
            </w:tcBorders>
            <w:shd w:val="clear" w:color="auto" w:fill="CCEEFF"/>
            <w:vAlign w:val="bottom"/>
          </w:tcPr>
          <w:p w14:paraId="7D08F566" w14:textId="77777777" w:rsidR="00D1587D" w:rsidRDefault="00D1587D">
            <w:pPr>
              <w:rPr>
                <w:sz w:val="23"/>
                <w:szCs w:val="23"/>
              </w:rPr>
            </w:pPr>
          </w:p>
        </w:tc>
        <w:tc>
          <w:tcPr>
            <w:tcW w:w="280" w:type="dxa"/>
            <w:tcBorders>
              <w:bottom w:val="single" w:sz="8" w:space="0" w:color="CCEEFF"/>
            </w:tcBorders>
            <w:shd w:val="clear" w:color="auto" w:fill="CCEEFF"/>
            <w:vAlign w:val="bottom"/>
          </w:tcPr>
          <w:p w14:paraId="5BBB520C" w14:textId="77777777" w:rsidR="00D1587D" w:rsidRDefault="00D1587D">
            <w:pPr>
              <w:rPr>
                <w:sz w:val="23"/>
                <w:szCs w:val="23"/>
              </w:rPr>
            </w:pPr>
          </w:p>
        </w:tc>
        <w:tc>
          <w:tcPr>
            <w:tcW w:w="500" w:type="dxa"/>
            <w:tcBorders>
              <w:bottom w:val="single" w:sz="8" w:space="0" w:color="CCEEFF"/>
            </w:tcBorders>
            <w:shd w:val="clear" w:color="auto" w:fill="CCEEFF"/>
            <w:vAlign w:val="bottom"/>
          </w:tcPr>
          <w:p w14:paraId="3C478A46" w14:textId="77777777" w:rsidR="00D1587D" w:rsidRDefault="00D1587D">
            <w:pPr>
              <w:rPr>
                <w:sz w:val="23"/>
                <w:szCs w:val="23"/>
              </w:rPr>
            </w:pPr>
          </w:p>
        </w:tc>
        <w:tc>
          <w:tcPr>
            <w:tcW w:w="180" w:type="dxa"/>
            <w:tcBorders>
              <w:bottom w:val="single" w:sz="8" w:space="0" w:color="CCEEFF"/>
            </w:tcBorders>
            <w:shd w:val="clear" w:color="auto" w:fill="CCEEFF"/>
            <w:vAlign w:val="bottom"/>
          </w:tcPr>
          <w:p w14:paraId="1F907932" w14:textId="77777777" w:rsidR="00D1587D" w:rsidRDefault="00D1587D">
            <w:pPr>
              <w:rPr>
                <w:sz w:val="23"/>
                <w:szCs w:val="23"/>
              </w:rPr>
            </w:pPr>
          </w:p>
        </w:tc>
        <w:tc>
          <w:tcPr>
            <w:tcW w:w="780" w:type="dxa"/>
            <w:tcBorders>
              <w:bottom w:val="single" w:sz="8" w:space="0" w:color="CCEEFF"/>
            </w:tcBorders>
            <w:shd w:val="clear" w:color="auto" w:fill="CCEEFF"/>
            <w:vAlign w:val="bottom"/>
          </w:tcPr>
          <w:p w14:paraId="04863DDF" w14:textId="77777777" w:rsidR="00D1587D" w:rsidRDefault="00D1587D">
            <w:pPr>
              <w:rPr>
                <w:sz w:val="23"/>
                <w:szCs w:val="23"/>
              </w:rPr>
            </w:pPr>
          </w:p>
        </w:tc>
        <w:tc>
          <w:tcPr>
            <w:tcW w:w="0" w:type="dxa"/>
            <w:vAlign w:val="bottom"/>
          </w:tcPr>
          <w:p w14:paraId="2D004B29" w14:textId="77777777" w:rsidR="00D1587D" w:rsidRDefault="00D1587D">
            <w:pPr>
              <w:rPr>
                <w:sz w:val="1"/>
                <w:szCs w:val="1"/>
              </w:rPr>
            </w:pPr>
          </w:p>
        </w:tc>
      </w:tr>
      <w:tr w:rsidR="00D1587D" w14:paraId="68C1B9C9" w14:textId="77777777">
        <w:trPr>
          <w:trHeight w:val="270"/>
        </w:trPr>
        <w:tc>
          <w:tcPr>
            <w:tcW w:w="4380" w:type="dxa"/>
            <w:gridSpan w:val="2"/>
            <w:vAlign w:val="bottom"/>
          </w:tcPr>
          <w:p w14:paraId="42913BA9" w14:textId="77777777" w:rsidR="00D1587D" w:rsidRDefault="00410D07">
            <w:pPr>
              <w:rPr>
                <w:sz w:val="20"/>
                <w:szCs w:val="20"/>
              </w:rPr>
            </w:pPr>
            <w:r>
              <w:rPr>
                <w:rFonts w:ascii="Arial" w:eastAsia="Arial" w:hAnsi="Arial" w:cs="Arial"/>
                <w:sz w:val="18"/>
                <w:szCs w:val="18"/>
              </w:rPr>
              <w:t>Operating Income (Loss)—GAAP</w:t>
            </w:r>
          </w:p>
        </w:tc>
        <w:tc>
          <w:tcPr>
            <w:tcW w:w="480" w:type="dxa"/>
            <w:vAlign w:val="bottom"/>
          </w:tcPr>
          <w:p w14:paraId="58AAA320" w14:textId="77777777" w:rsidR="00D1587D" w:rsidRDefault="00410D07">
            <w:pPr>
              <w:jc w:val="right"/>
              <w:rPr>
                <w:sz w:val="20"/>
                <w:szCs w:val="20"/>
              </w:rPr>
            </w:pPr>
            <w:r>
              <w:rPr>
                <w:rFonts w:ascii="Arial" w:eastAsia="Arial" w:hAnsi="Arial" w:cs="Arial"/>
                <w:w w:val="94"/>
                <w:sz w:val="18"/>
                <w:szCs w:val="18"/>
              </w:rPr>
              <w:t>$226</w:t>
            </w:r>
          </w:p>
        </w:tc>
        <w:tc>
          <w:tcPr>
            <w:tcW w:w="180" w:type="dxa"/>
            <w:vAlign w:val="bottom"/>
          </w:tcPr>
          <w:p w14:paraId="2540EF93" w14:textId="77777777" w:rsidR="00D1587D" w:rsidRDefault="00D1587D">
            <w:pPr>
              <w:rPr>
                <w:sz w:val="23"/>
                <w:szCs w:val="23"/>
              </w:rPr>
            </w:pPr>
          </w:p>
        </w:tc>
        <w:tc>
          <w:tcPr>
            <w:tcW w:w="500" w:type="dxa"/>
            <w:vAlign w:val="bottom"/>
          </w:tcPr>
          <w:p w14:paraId="473391ED" w14:textId="77777777" w:rsidR="00D1587D" w:rsidRDefault="00410D07">
            <w:pPr>
              <w:jc w:val="right"/>
              <w:rPr>
                <w:sz w:val="20"/>
                <w:szCs w:val="20"/>
              </w:rPr>
            </w:pPr>
            <w:r>
              <w:rPr>
                <w:rFonts w:ascii="Arial" w:eastAsia="Arial" w:hAnsi="Arial" w:cs="Arial"/>
                <w:w w:val="88"/>
                <w:sz w:val="18"/>
                <w:szCs w:val="18"/>
              </w:rPr>
              <w:t>$(373)</w:t>
            </w:r>
          </w:p>
        </w:tc>
        <w:tc>
          <w:tcPr>
            <w:tcW w:w="180" w:type="dxa"/>
            <w:vAlign w:val="bottom"/>
          </w:tcPr>
          <w:p w14:paraId="2071FB6E" w14:textId="77777777" w:rsidR="00D1587D" w:rsidRDefault="00D1587D">
            <w:pPr>
              <w:rPr>
                <w:sz w:val="23"/>
                <w:szCs w:val="23"/>
              </w:rPr>
            </w:pPr>
          </w:p>
        </w:tc>
        <w:tc>
          <w:tcPr>
            <w:tcW w:w="780" w:type="dxa"/>
            <w:gridSpan w:val="2"/>
            <w:vAlign w:val="bottom"/>
          </w:tcPr>
          <w:p w14:paraId="4FC765A1" w14:textId="77777777" w:rsidR="00D1587D" w:rsidRDefault="00410D07">
            <w:pPr>
              <w:ind w:right="51"/>
              <w:jc w:val="right"/>
              <w:rPr>
                <w:sz w:val="20"/>
                <w:szCs w:val="20"/>
              </w:rPr>
            </w:pPr>
            <w:r>
              <w:rPr>
                <w:rFonts w:ascii="Arial" w:eastAsia="Arial" w:hAnsi="Arial" w:cs="Arial"/>
                <w:sz w:val="18"/>
                <w:szCs w:val="18"/>
              </w:rPr>
              <w:t>$(101)</w:t>
            </w:r>
          </w:p>
        </w:tc>
        <w:tc>
          <w:tcPr>
            <w:tcW w:w="960" w:type="dxa"/>
            <w:gridSpan w:val="3"/>
            <w:vAlign w:val="bottom"/>
          </w:tcPr>
          <w:p w14:paraId="2F92B3F2" w14:textId="77777777" w:rsidR="00D1587D" w:rsidRDefault="00410D07">
            <w:pPr>
              <w:ind w:right="50"/>
              <w:jc w:val="right"/>
              <w:rPr>
                <w:sz w:val="20"/>
                <w:szCs w:val="20"/>
              </w:rPr>
            </w:pPr>
            <w:r>
              <w:rPr>
                <w:rFonts w:ascii="Arial" w:eastAsia="Arial" w:hAnsi="Arial" w:cs="Arial"/>
                <w:sz w:val="18"/>
                <w:szCs w:val="18"/>
              </w:rPr>
              <w:t>$(892)</w:t>
            </w:r>
          </w:p>
        </w:tc>
        <w:tc>
          <w:tcPr>
            <w:tcW w:w="180" w:type="dxa"/>
            <w:vAlign w:val="bottom"/>
          </w:tcPr>
          <w:p w14:paraId="2A0E1851" w14:textId="77777777" w:rsidR="00D1587D" w:rsidRDefault="00D1587D">
            <w:pPr>
              <w:rPr>
                <w:sz w:val="23"/>
                <w:szCs w:val="23"/>
              </w:rPr>
            </w:pPr>
          </w:p>
        </w:tc>
        <w:tc>
          <w:tcPr>
            <w:tcW w:w="780" w:type="dxa"/>
            <w:vAlign w:val="bottom"/>
          </w:tcPr>
          <w:p w14:paraId="79C7A740" w14:textId="77777777" w:rsidR="00D1587D" w:rsidRDefault="00410D07">
            <w:pPr>
              <w:ind w:right="132"/>
              <w:jc w:val="right"/>
              <w:rPr>
                <w:sz w:val="20"/>
                <w:szCs w:val="20"/>
              </w:rPr>
            </w:pPr>
            <w:r>
              <w:rPr>
                <w:rFonts w:ascii="Arial" w:eastAsia="Arial" w:hAnsi="Arial" w:cs="Arial"/>
                <w:sz w:val="18"/>
                <w:szCs w:val="18"/>
              </w:rPr>
              <w:t>$400</w:t>
            </w:r>
          </w:p>
        </w:tc>
        <w:tc>
          <w:tcPr>
            <w:tcW w:w="0" w:type="dxa"/>
            <w:vAlign w:val="bottom"/>
          </w:tcPr>
          <w:p w14:paraId="7B683B8E" w14:textId="77777777" w:rsidR="00D1587D" w:rsidRDefault="00D1587D">
            <w:pPr>
              <w:rPr>
                <w:sz w:val="1"/>
                <w:szCs w:val="1"/>
              </w:rPr>
            </w:pPr>
          </w:p>
        </w:tc>
      </w:tr>
      <w:tr w:rsidR="00D1587D" w14:paraId="37BB61BA" w14:textId="77777777">
        <w:trPr>
          <w:trHeight w:val="54"/>
        </w:trPr>
        <w:tc>
          <w:tcPr>
            <w:tcW w:w="4280" w:type="dxa"/>
            <w:vAlign w:val="bottom"/>
          </w:tcPr>
          <w:p w14:paraId="6B012FF4" w14:textId="77777777" w:rsidR="00D1587D" w:rsidRDefault="00D1587D">
            <w:pPr>
              <w:rPr>
                <w:sz w:val="4"/>
                <w:szCs w:val="4"/>
              </w:rPr>
            </w:pPr>
          </w:p>
        </w:tc>
        <w:tc>
          <w:tcPr>
            <w:tcW w:w="100" w:type="dxa"/>
            <w:vAlign w:val="bottom"/>
          </w:tcPr>
          <w:p w14:paraId="27999EF9" w14:textId="77777777" w:rsidR="00D1587D" w:rsidRDefault="00D1587D">
            <w:pPr>
              <w:rPr>
                <w:sz w:val="4"/>
                <w:szCs w:val="4"/>
              </w:rPr>
            </w:pPr>
          </w:p>
        </w:tc>
        <w:tc>
          <w:tcPr>
            <w:tcW w:w="480" w:type="dxa"/>
            <w:vAlign w:val="bottom"/>
          </w:tcPr>
          <w:p w14:paraId="4B748FB2" w14:textId="77777777" w:rsidR="00D1587D" w:rsidRDefault="00D1587D">
            <w:pPr>
              <w:rPr>
                <w:sz w:val="4"/>
                <w:szCs w:val="4"/>
              </w:rPr>
            </w:pPr>
          </w:p>
        </w:tc>
        <w:tc>
          <w:tcPr>
            <w:tcW w:w="180" w:type="dxa"/>
            <w:vAlign w:val="bottom"/>
          </w:tcPr>
          <w:p w14:paraId="51B98651" w14:textId="77777777" w:rsidR="00D1587D" w:rsidRDefault="00D1587D">
            <w:pPr>
              <w:rPr>
                <w:sz w:val="4"/>
                <w:szCs w:val="4"/>
              </w:rPr>
            </w:pPr>
          </w:p>
        </w:tc>
        <w:tc>
          <w:tcPr>
            <w:tcW w:w="500" w:type="dxa"/>
            <w:vAlign w:val="bottom"/>
          </w:tcPr>
          <w:p w14:paraId="5562A56B" w14:textId="77777777" w:rsidR="00D1587D" w:rsidRDefault="00D1587D">
            <w:pPr>
              <w:rPr>
                <w:sz w:val="4"/>
                <w:szCs w:val="4"/>
              </w:rPr>
            </w:pPr>
          </w:p>
        </w:tc>
        <w:tc>
          <w:tcPr>
            <w:tcW w:w="180" w:type="dxa"/>
            <w:vAlign w:val="bottom"/>
          </w:tcPr>
          <w:p w14:paraId="4470EB76" w14:textId="77777777" w:rsidR="00D1587D" w:rsidRDefault="00D1587D">
            <w:pPr>
              <w:rPr>
                <w:sz w:val="4"/>
                <w:szCs w:val="4"/>
              </w:rPr>
            </w:pPr>
          </w:p>
        </w:tc>
        <w:tc>
          <w:tcPr>
            <w:tcW w:w="280" w:type="dxa"/>
            <w:vAlign w:val="bottom"/>
          </w:tcPr>
          <w:p w14:paraId="3B05F5CB" w14:textId="77777777" w:rsidR="00D1587D" w:rsidRDefault="00D1587D">
            <w:pPr>
              <w:rPr>
                <w:sz w:val="4"/>
                <w:szCs w:val="4"/>
              </w:rPr>
            </w:pPr>
          </w:p>
        </w:tc>
        <w:tc>
          <w:tcPr>
            <w:tcW w:w="500" w:type="dxa"/>
            <w:vAlign w:val="bottom"/>
          </w:tcPr>
          <w:p w14:paraId="6EB3441C" w14:textId="77777777" w:rsidR="00D1587D" w:rsidRDefault="00D1587D">
            <w:pPr>
              <w:rPr>
                <w:sz w:val="4"/>
                <w:szCs w:val="4"/>
              </w:rPr>
            </w:pPr>
          </w:p>
        </w:tc>
        <w:tc>
          <w:tcPr>
            <w:tcW w:w="180" w:type="dxa"/>
            <w:vAlign w:val="bottom"/>
          </w:tcPr>
          <w:p w14:paraId="6E48DE6E" w14:textId="77777777" w:rsidR="00D1587D" w:rsidRDefault="00D1587D">
            <w:pPr>
              <w:rPr>
                <w:sz w:val="4"/>
                <w:szCs w:val="4"/>
              </w:rPr>
            </w:pPr>
          </w:p>
        </w:tc>
        <w:tc>
          <w:tcPr>
            <w:tcW w:w="280" w:type="dxa"/>
            <w:vAlign w:val="bottom"/>
          </w:tcPr>
          <w:p w14:paraId="7C8A1054" w14:textId="77777777" w:rsidR="00D1587D" w:rsidRDefault="00D1587D">
            <w:pPr>
              <w:rPr>
                <w:sz w:val="4"/>
                <w:szCs w:val="4"/>
              </w:rPr>
            </w:pPr>
          </w:p>
        </w:tc>
        <w:tc>
          <w:tcPr>
            <w:tcW w:w="500" w:type="dxa"/>
            <w:vAlign w:val="bottom"/>
          </w:tcPr>
          <w:p w14:paraId="57A155C8" w14:textId="77777777" w:rsidR="00D1587D" w:rsidRDefault="00D1587D">
            <w:pPr>
              <w:rPr>
                <w:sz w:val="4"/>
                <w:szCs w:val="4"/>
              </w:rPr>
            </w:pPr>
          </w:p>
        </w:tc>
        <w:tc>
          <w:tcPr>
            <w:tcW w:w="180" w:type="dxa"/>
            <w:vAlign w:val="bottom"/>
          </w:tcPr>
          <w:p w14:paraId="6364CFD1" w14:textId="77777777" w:rsidR="00D1587D" w:rsidRDefault="00D1587D">
            <w:pPr>
              <w:rPr>
                <w:sz w:val="4"/>
                <w:szCs w:val="4"/>
              </w:rPr>
            </w:pPr>
          </w:p>
        </w:tc>
        <w:tc>
          <w:tcPr>
            <w:tcW w:w="780" w:type="dxa"/>
            <w:vAlign w:val="bottom"/>
          </w:tcPr>
          <w:p w14:paraId="2D856FED" w14:textId="77777777" w:rsidR="00D1587D" w:rsidRDefault="00D1587D">
            <w:pPr>
              <w:rPr>
                <w:sz w:val="4"/>
                <w:szCs w:val="4"/>
              </w:rPr>
            </w:pPr>
          </w:p>
        </w:tc>
        <w:tc>
          <w:tcPr>
            <w:tcW w:w="0" w:type="dxa"/>
            <w:vAlign w:val="bottom"/>
          </w:tcPr>
          <w:p w14:paraId="73239942" w14:textId="77777777" w:rsidR="00D1587D" w:rsidRDefault="00D1587D">
            <w:pPr>
              <w:rPr>
                <w:sz w:val="1"/>
                <w:szCs w:val="1"/>
              </w:rPr>
            </w:pPr>
          </w:p>
        </w:tc>
      </w:tr>
      <w:tr w:rsidR="00D1587D" w14:paraId="6879B278" w14:textId="77777777">
        <w:trPr>
          <w:trHeight w:val="324"/>
        </w:trPr>
        <w:tc>
          <w:tcPr>
            <w:tcW w:w="4380" w:type="dxa"/>
            <w:gridSpan w:val="2"/>
            <w:shd w:val="clear" w:color="auto" w:fill="CCEEFF"/>
            <w:vAlign w:val="bottom"/>
          </w:tcPr>
          <w:p w14:paraId="2AA0F403" w14:textId="77777777" w:rsidR="00D1587D" w:rsidRDefault="00410D07">
            <w:pPr>
              <w:spacing w:line="324" w:lineRule="exact"/>
              <w:rPr>
                <w:sz w:val="20"/>
                <w:szCs w:val="20"/>
              </w:rPr>
            </w:pPr>
            <w:r>
              <w:rPr>
                <w:rFonts w:ascii="Arial" w:eastAsia="Arial" w:hAnsi="Arial" w:cs="Arial"/>
                <w:sz w:val="18"/>
                <w:szCs w:val="18"/>
              </w:rPr>
              <w:t>Asset Impairments</w:t>
            </w:r>
            <w:r>
              <w:rPr>
                <w:rFonts w:ascii="Arial" w:eastAsia="Arial" w:hAnsi="Arial" w:cs="Arial"/>
                <w:sz w:val="29"/>
                <w:szCs w:val="29"/>
                <w:vertAlign w:val="superscript"/>
              </w:rPr>
              <w:t>(a)</w:t>
            </w:r>
          </w:p>
        </w:tc>
        <w:tc>
          <w:tcPr>
            <w:tcW w:w="660" w:type="dxa"/>
            <w:gridSpan w:val="2"/>
            <w:shd w:val="clear" w:color="auto" w:fill="CCEEFF"/>
            <w:vAlign w:val="bottom"/>
          </w:tcPr>
          <w:p w14:paraId="7BBDEFF4" w14:textId="77777777" w:rsidR="00D1587D" w:rsidRDefault="00410D07">
            <w:pPr>
              <w:ind w:right="260"/>
              <w:jc w:val="right"/>
              <w:rPr>
                <w:sz w:val="20"/>
                <w:szCs w:val="20"/>
              </w:rPr>
            </w:pPr>
            <w:r>
              <w:rPr>
                <w:rFonts w:ascii="Arial" w:eastAsia="Arial" w:hAnsi="Arial" w:cs="Arial"/>
                <w:sz w:val="18"/>
                <w:szCs w:val="18"/>
              </w:rPr>
              <w:t>—</w:t>
            </w:r>
          </w:p>
        </w:tc>
        <w:tc>
          <w:tcPr>
            <w:tcW w:w="500" w:type="dxa"/>
            <w:shd w:val="clear" w:color="auto" w:fill="CCEEFF"/>
            <w:vAlign w:val="bottom"/>
          </w:tcPr>
          <w:p w14:paraId="40AB4DD0" w14:textId="77777777" w:rsidR="00D1587D" w:rsidRDefault="00410D07">
            <w:pPr>
              <w:jc w:val="right"/>
              <w:rPr>
                <w:sz w:val="20"/>
                <w:szCs w:val="20"/>
              </w:rPr>
            </w:pPr>
            <w:r>
              <w:rPr>
                <w:rFonts w:ascii="Arial" w:eastAsia="Arial" w:hAnsi="Arial" w:cs="Arial"/>
                <w:sz w:val="18"/>
                <w:szCs w:val="18"/>
              </w:rPr>
              <w:t>97</w:t>
            </w:r>
          </w:p>
        </w:tc>
        <w:tc>
          <w:tcPr>
            <w:tcW w:w="180" w:type="dxa"/>
            <w:shd w:val="clear" w:color="auto" w:fill="CCEEFF"/>
            <w:vAlign w:val="bottom"/>
          </w:tcPr>
          <w:p w14:paraId="06D50D3E" w14:textId="77777777" w:rsidR="00D1587D" w:rsidRDefault="00D1587D">
            <w:pPr>
              <w:rPr>
                <w:sz w:val="24"/>
                <w:szCs w:val="24"/>
              </w:rPr>
            </w:pPr>
          </w:p>
        </w:tc>
        <w:tc>
          <w:tcPr>
            <w:tcW w:w="280" w:type="dxa"/>
            <w:shd w:val="clear" w:color="auto" w:fill="CCEEFF"/>
            <w:vAlign w:val="bottom"/>
          </w:tcPr>
          <w:p w14:paraId="3669AD7C" w14:textId="77777777" w:rsidR="00D1587D" w:rsidRDefault="00D1587D">
            <w:pPr>
              <w:rPr>
                <w:sz w:val="24"/>
                <w:szCs w:val="24"/>
              </w:rPr>
            </w:pPr>
          </w:p>
        </w:tc>
        <w:tc>
          <w:tcPr>
            <w:tcW w:w="500" w:type="dxa"/>
            <w:shd w:val="clear" w:color="auto" w:fill="CCEEFF"/>
            <w:vAlign w:val="bottom"/>
          </w:tcPr>
          <w:p w14:paraId="0F313D19" w14:textId="77777777" w:rsidR="00D1587D" w:rsidRDefault="00410D07">
            <w:pPr>
              <w:ind w:right="111"/>
              <w:jc w:val="right"/>
              <w:rPr>
                <w:sz w:val="20"/>
                <w:szCs w:val="20"/>
              </w:rPr>
            </w:pPr>
            <w:r>
              <w:rPr>
                <w:rFonts w:ascii="Arial" w:eastAsia="Arial" w:hAnsi="Arial" w:cs="Arial"/>
                <w:w w:val="93"/>
                <w:sz w:val="18"/>
                <w:szCs w:val="18"/>
              </w:rPr>
              <w:t>214</w:t>
            </w:r>
          </w:p>
        </w:tc>
        <w:tc>
          <w:tcPr>
            <w:tcW w:w="180" w:type="dxa"/>
            <w:shd w:val="clear" w:color="auto" w:fill="CCEEFF"/>
            <w:vAlign w:val="bottom"/>
          </w:tcPr>
          <w:p w14:paraId="6F01B3C2" w14:textId="77777777" w:rsidR="00D1587D" w:rsidRDefault="00D1587D">
            <w:pPr>
              <w:rPr>
                <w:sz w:val="24"/>
                <w:szCs w:val="24"/>
              </w:rPr>
            </w:pPr>
          </w:p>
        </w:tc>
        <w:tc>
          <w:tcPr>
            <w:tcW w:w="280" w:type="dxa"/>
            <w:shd w:val="clear" w:color="auto" w:fill="CCEEFF"/>
            <w:vAlign w:val="bottom"/>
          </w:tcPr>
          <w:p w14:paraId="2F5A04DA" w14:textId="77777777" w:rsidR="00D1587D" w:rsidRDefault="00D1587D">
            <w:pPr>
              <w:rPr>
                <w:sz w:val="24"/>
                <w:szCs w:val="24"/>
              </w:rPr>
            </w:pPr>
          </w:p>
        </w:tc>
        <w:tc>
          <w:tcPr>
            <w:tcW w:w="500" w:type="dxa"/>
            <w:shd w:val="clear" w:color="auto" w:fill="CCEEFF"/>
            <w:vAlign w:val="bottom"/>
          </w:tcPr>
          <w:p w14:paraId="2B78DDE9" w14:textId="77777777" w:rsidR="00D1587D" w:rsidRDefault="00410D07">
            <w:pPr>
              <w:ind w:right="110"/>
              <w:jc w:val="right"/>
              <w:rPr>
                <w:sz w:val="20"/>
                <w:szCs w:val="20"/>
              </w:rPr>
            </w:pPr>
            <w:r>
              <w:rPr>
                <w:rFonts w:ascii="Arial" w:eastAsia="Arial" w:hAnsi="Arial" w:cs="Arial"/>
                <w:w w:val="93"/>
                <w:sz w:val="18"/>
                <w:szCs w:val="18"/>
              </w:rPr>
              <w:t>253</w:t>
            </w:r>
          </w:p>
        </w:tc>
        <w:tc>
          <w:tcPr>
            <w:tcW w:w="180" w:type="dxa"/>
            <w:shd w:val="clear" w:color="auto" w:fill="CCEEFF"/>
            <w:vAlign w:val="bottom"/>
          </w:tcPr>
          <w:p w14:paraId="56E60EC2" w14:textId="77777777" w:rsidR="00D1587D" w:rsidRDefault="00D1587D">
            <w:pPr>
              <w:rPr>
                <w:sz w:val="24"/>
                <w:szCs w:val="24"/>
              </w:rPr>
            </w:pPr>
          </w:p>
        </w:tc>
        <w:tc>
          <w:tcPr>
            <w:tcW w:w="780" w:type="dxa"/>
            <w:shd w:val="clear" w:color="auto" w:fill="CCEEFF"/>
            <w:vAlign w:val="bottom"/>
          </w:tcPr>
          <w:p w14:paraId="52D0FD85" w14:textId="77777777" w:rsidR="00D1587D" w:rsidRDefault="00410D07">
            <w:pPr>
              <w:ind w:right="132"/>
              <w:jc w:val="right"/>
              <w:rPr>
                <w:sz w:val="20"/>
                <w:szCs w:val="20"/>
              </w:rPr>
            </w:pPr>
            <w:r>
              <w:rPr>
                <w:rFonts w:ascii="Arial" w:eastAsia="Arial" w:hAnsi="Arial" w:cs="Arial"/>
                <w:sz w:val="18"/>
                <w:szCs w:val="18"/>
              </w:rPr>
              <w:t>81</w:t>
            </w:r>
          </w:p>
        </w:tc>
        <w:tc>
          <w:tcPr>
            <w:tcW w:w="0" w:type="dxa"/>
            <w:vAlign w:val="bottom"/>
          </w:tcPr>
          <w:p w14:paraId="369AB760" w14:textId="77777777" w:rsidR="00D1587D" w:rsidRDefault="00D1587D">
            <w:pPr>
              <w:rPr>
                <w:sz w:val="1"/>
                <w:szCs w:val="1"/>
              </w:rPr>
            </w:pPr>
          </w:p>
        </w:tc>
      </w:tr>
      <w:tr w:rsidR="00D1587D" w14:paraId="3D65F7D7" w14:textId="77777777">
        <w:trPr>
          <w:trHeight w:val="324"/>
        </w:trPr>
        <w:tc>
          <w:tcPr>
            <w:tcW w:w="4380" w:type="dxa"/>
            <w:gridSpan w:val="2"/>
            <w:vAlign w:val="bottom"/>
          </w:tcPr>
          <w:p w14:paraId="1FC08235" w14:textId="77777777" w:rsidR="00D1587D" w:rsidRDefault="00410D07">
            <w:pPr>
              <w:spacing w:line="324" w:lineRule="exact"/>
              <w:rPr>
                <w:sz w:val="20"/>
                <w:szCs w:val="20"/>
              </w:rPr>
            </w:pPr>
            <w:r>
              <w:rPr>
                <w:rFonts w:ascii="Arial" w:eastAsia="Arial" w:hAnsi="Arial" w:cs="Arial"/>
                <w:sz w:val="18"/>
                <w:szCs w:val="18"/>
              </w:rPr>
              <w:t>Restructuring Charges</w:t>
            </w:r>
            <w:r>
              <w:rPr>
                <w:rFonts w:ascii="Arial" w:eastAsia="Arial" w:hAnsi="Arial" w:cs="Arial"/>
                <w:sz w:val="29"/>
                <w:szCs w:val="29"/>
                <w:vertAlign w:val="superscript"/>
              </w:rPr>
              <w:t>(b)</w:t>
            </w:r>
          </w:p>
        </w:tc>
        <w:tc>
          <w:tcPr>
            <w:tcW w:w="660" w:type="dxa"/>
            <w:gridSpan w:val="2"/>
            <w:vAlign w:val="bottom"/>
          </w:tcPr>
          <w:p w14:paraId="374FF236"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vAlign w:val="bottom"/>
          </w:tcPr>
          <w:p w14:paraId="110BDBFC" w14:textId="77777777" w:rsidR="00D1587D" w:rsidRDefault="00410D07">
            <w:pPr>
              <w:ind w:right="260"/>
              <w:jc w:val="right"/>
              <w:rPr>
                <w:sz w:val="20"/>
                <w:szCs w:val="20"/>
              </w:rPr>
            </w:pPr>
            <w:r>
              <w:rPr>
                <w:rFonts w:ascii="Arial" w:eastAsia="Arial" w:hAnsi="Arial" w:cs="Arial"/>
                <w:sz w:val="18"/>
                <w:szCs w:val="18"/>
              </w:rPr>
              <w:t>—</w:t>
            </w:r>
          </w:p>
        </w:tc>
        <w:tc>
          <w:tcPr>
            <w:tcW w:w="280" w:type="dxa"/>
            <w:vAlign w:val="bottom"/>
          </w:tcPr>
          <w:p w14:paraId="0F030846" w14:textId="77777777" w:rsidR="00D1587D" w:rsidRDefault="00D1587D">
            <w:pPr>
              <w:rPr>
                <w:sz w:val="24"/>
                <w:szCs w:val="24"/>
              </w:rPr>
            </w:pPr>
          </w:p>
        </w:tc>
        <w:tc>
          <w:tcPr>
            <w:tcW w:w="500" w:type="dxa"/>
            <w:vAlign w:val="bottom"/>
          </w:tcPr>
          <w:p w14:paraId="026121FA" w14:textId="77777777" w:rsidR="00D1587D" w:rsidRDefault="00410D07">
            <w:pPr>
              <w:ind w:right="111"/>
              <w:jc w:val="right"/>
              <w:rPr>
                <w:sz w:val="20"/>
                <w:szCs w:val="20"/>
              </w:rPr>
            </w:pPr>
            <w:r>
              <w:rPr>
                <w:rFonts w:ascii="Arial" w:eastAsia="Arial" w:hAnsi="Arial" w:cs="Arial"/>
                <w:sz w:val="18"/>
                <w:szCs w:val="18"/>
              </w:rPr>
              <w:t>51</w:t>
            </w:r>
          </w:p>
        </w:tc>
        <w:tc>
          <w:tcPr>
            <w:tcW w:w="180" w:type="dxa"/>
            <w:vAlign w:val="bottom"/>
          </w:tcPr>
          <w:p w14:paraId="63611E4E" w14:textId="77777777" w:rsidR="00D1587D" w:rsidRDefault="00D1587D">
            <w:pPr>
              <w:rPr>
                <w:sz w:val="24"/>
                <w:szCs w:val="24"/>
              </w:rPr>
            </w:pPr>
          </w:p>
        </w:tc>
        <w:tc>
          <w:tcPr>
            <w:tcW w:w="280" w:type="dxa"/>
            <w:vAlign w:val="bottom"/>
          </w:tcPr>
          <w:p w14:paraId="1FD46FCE" w14:textId="77777777" w:rsidR="00D1587D" w:rsidRDefault="00D1587D">
            <w:pPr>
              <w:rPr>
                <w:sz w:val="24"/>
                <w:szCs w:val="24"/>
              </w:rPr>
            </w:pPr>
          </w:p>
        </w:tc>
        <w:tc>
          <w:tcPr>
            <w:tcW w:w="680" w:type="dxa"/>
            <w:gridSpan w:val="2"/>
            <w:vAlign w:val="bottom"/>
          </w:tcPr>
          <w:p w14:paraId="33D1F7AC" w14:textId="77777777" w:rsidR="00D1587D" w:rsidRDefault="00410D07">
            <w:pPr>
              <w:ind w:right="380"/>
              <w:jc w:val="right"/>
              <w:rPr>
                <w:sz w:val="20"/>
                <w:szCs w:val="20"/>
              </w:rPr>
            </w:pPr>
            <w:r>
              <w:rPr>
                <w:rFonts w:ascii="Arial" w:eastAsia="Arial" w:hAnsi="Arial" w:cs="Arial"/>
                <w:sz w:val="18"/>
                <w:szCs w:val="18"/>
              </w:rPr>
              <w:t>—</w:t>
            </w:r>
          </w:p>
        </w:tc>
        <w:tc>
          <w:tcPr>
            <w:tcW w:w="780" w:type="dxa"/>
            <w:vAlign w:val="bottom"/>
          </w:tcPr>
          <w:p w14:paraId="1917400D"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2C00FFE6" w14:textId="77777777" w:rsidR="00D1587D" w:rsidRDefault="00D1587D">
            <w:pPr>
              <w:rPr>
                <w:sz w:val="1"/>
                <w:szCs w:val="1"/>
              </w:rPr>
            </w:pPr>
          </w:p>
        </w:tc>
      </w:tr>
      <w:tr w:rsidR="00D1587D" w14:paraId="019EDBC0" w14:textId="77777777">
        <w:trPr>
          <w:trHeight w:val="324"/>
        </w:trPr>
        <w:tc>
          <w:tcPr>
            <w:tcW w:w="4380" w:type="dxa"/>
            <w:gridSpan w:val="2"/>
            <w:shd w:val="clear" w:color="auto" w:fill="CCEEFF"/>
            <w:vAlign w:val="bottom"/>
          </w:tcPr>
          <w:p w14:paraId="0BE1D26B" w14:textId="77777777" w:rsidR="00D1587D" w:rsidRDefault="00410D07">
            <w:pPr>
              <w:spacing w:line="324" w:lineRule="exact"/>
              <w:rPr>
                <w:sz w:val="20"/>
                <w:szCs w:val="20"/>
              </w:rPr>
            </w:pPr>
            <w:r>
              <w:rPr>
                <w:rFonts w:ascii="Arial" w:eastAsia="Arial" w:hAnsi="Arial" w:cs="Arial"/>
                <w:sz w:val="18"/>
                <w:szCs w:val="18"/>
              </w:rPr>
              <w:t>Hong Kong Store Closure and Lease Termination</w:t>
            </w:r>
            <w:r>
              <w:rPr>
                <w:rFonts w:ascii="Arial" w:eastAsia="Arial" w:hAnsi="Arial" w:cs="Arial"/>
                <w:sz w:val="29"/>
                <w:szCs w:val="29"/>
                <w:vertAlign w:val="superscript"/>
              </w:rPr>
              <w:t>(c)</w:t>
            </w:r>
          </w:p>
        </w:tc>
        <w:tc>
          <w:tcPr>
            <w:tcW w:w="660" w:type="dxa"/>
            <w:gridSpan w:val="2"/>
            <w:shd w:val="clear" w:color="auto" w:fill="CCEEFF"/>
            <w:vAlign w:val="bottom"/>
          </w:tcPr>
          <w:p w14:paraId="71520824"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shd w:val="clear" w:color="auto" w:fill="CCEEFF"/>
            <w:vAlign w:val="bottom"/>
          </w:tcPr>
          <w:p w14:paraId="730F52E6" w14:textId="77777777" w:rsidR="00D1587D" w:rsidRDefault="00410D07">
            <w:pPr>
              <w:ind w:right="260"/>
              <w:jc w:val="right"/>
              <w:rPr>
                <w:sz w:val="20"/>
                <w:szCs w:val="20"/>
              </w:rPr>
            </w:pPr>
            <w:r>
              <w:rPr>
                <w:rFonts w:ascii="Arial" w:eastAsia="Arial" w:hAnsi="Arial" w:cs="Arial"/>
                <w:sz w:val="18"/>
                <w:szCs w:val="18"/>
              </w:rPr>
              <w:t>—</w:t>
            </w:r>
          </w:p>
        </w:tc>
        <w:tc>
          <w:tcPr>
            <w:tcW w:w="280" w:type="dxa"/>
            <w:shd w:val="clear" w:color="auto" w:fill="CCEEFF"/>
            <w:vAlign w:val="bottom"/>
          </w:tcPr>
          <w:p w14:paraId="2DEC2B48" w14:textId="77777777" w:rsidR="00D1587D" w:rsidRDefault="00D1587D">
            <w:pPr>
              <w:rPr>
                <w:sz w:val="24"/>
                <w:szCs w:val="24"/>
              </w:rPr>
            </w:pPr>
          </w:p>
        </w:tc>
        <w:tc>
          <w:tcPr>
            <w:tcW w:w="500" w:type="dxa"/>
            <w:shd w:val="clear" w:color="auto" w:fill="CCEEFF"/>
            <w:vAlign w:val="bottom"/>
          </w:tcPr>
          <w:p w14:paraId="58452805" w14:textId="77777777" w:rsidR="00D1587D" w:rsidRDefault="00410D07">
            <w:pPr>
              <w:ind w:right="51"/>
              <w:jc w:val="right"/>
              <w:rPr>
                <w:sz w:val="20"/>
                <w:szCs w:val="20"/>
              </w:rPr>
            </w:pPr>
            <w:r>
              <w:rPr>
                <w:rFonts w:ascii="Arial" w:eastAsia="Arial" w:hAnsi="Arial" w:cs="Arial"/>
                <w:sz w:val="18"/>
                <w:szCs w:val="18"/>
              </w:rPr>
              <w:t>(36)</w:t>
            </w:r>
          </w:p>
        </w:tc>
        <w:tc>
          <w:tcPr>
            <w:tcW w:w="180" w:type="dxa"/>
            <w:shd w:val="clear" w:color="auto" w:fill="CCEEFF"/>
            <w:vAlign w:val="bottom"/>
          </w:tcPr>
          <w:p w14:paraId="701D30DD" w14:textId="77777777" w:rsidR="00D1587D" w:rsidRDefault="00D1587D">
            <w:pPr>
              <w:rPr>
                <w:sz w:val="24"/>
                <w:szCs w:val="24"/>
              </w:rPr>
            </w:pPr>
          </w:p>
        </w:tc>
        <w:tc>
          <w:tcPr>
            <w:tcW w:w="280" w:type="dxa"/>
            <w:shd w:val="clear" w:color="auto" w:fill="CCEEFF"/>
            <w:vAlign w:val="bottom"/>
          </w:tcPr>
          <w:p w14:paraId="2AE88174" w14:textId="77777777" w:rsidR="00D1587D" w:rsidRDefault="00D1587D">
            <w:pPr>
              <w:rPr>
                <w:sz w:val="24"/>
                <w:szCs w:val="24"/>
              </w:rPr>
            </w:pPr>
          </w:p>
        </w:tc>
        <w:tc>
          <w:tcPr>
            <w:tcW w:w="680" w:type="dxa"/>
            <w:gridSpan w:val="2"/>
            <w:shd w:val="clear" w:color="auto" w:fill="CCEEFF"/>
            <w:vAlign w:val="bottom"/>
          </w:tcPr>
          <w:p w14:paraId="34BAF9A9" w14:textId="77777777" w:rsidR="00D1587D" w:rsidRDefault="00410D07">
            <w:pPr>
              <w:ind w:right="380"/>
              <w:jc w:val="right"/>
              <w:rPr>
                <w:sz w:val="20"/>
                <w:szCs w:val="20"/>
              </w:rPr>
            </w:pPr>
            <w:r>
              <w:rPr>
                <w:rFonts w:ascii="Arial" w:eastAsia="Arial" w:hAnsi="Arial" w:cs="Arial"/>
                <w:sz w:val="18"/>
                <w:szCs w:val="18"/>
              </w:rPr>
              <w:t>—</w:t>
            </w:r>
          </w:p>
        </w:tc>
        <w:tc>
          <w:tcPr>
            <w:tcW w:w="780" w:type="dxa"/>
            <w:shd w:val="clear" w:color="auto" w:fill="CCEEFF"/>
            <w:vAlign w:val="bottom"/>
          </w:tcPr>
          <w:p w14:paraId="04089CEB"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597892A6" w14:textId="77777777" w:rsidR="00D1587D" w:rsidRDefault="00D1587D">
            <w:pPr>
              <w:rPr>
                <w:sz w:val="1"/>
                <w:szCs w:val="1"/>
              </w:rPr>
            </w:pPr>
          </w:p>
        </w:tc>
      </w:tr>
      <w:tr w:rsidR="00D1587D" w14:paraId="06300DE7" w14:textId="77777777">
        <w:trPr>
          <w:trHeight w:val="246"/>
        </w:trPr>
        <w:tc>
          <w:tcPr>
            <w:tcW w:w="4380" w:type="dxa"/>
            <w:gridSpan w:val="2"/>
            <w:vAlign w:val="bottom"/>
          </w:tcPr>
          <w:p w14:paraId="46610860" w14:textId="77777777" w:rsidR="00D1587D" w:rsidRDefault="00410D07">
            <w:pPr>
              <w:rPr>
                <w:sz w:val="20"/>
                <w:szCs w:val="20"/>
              </w:rPr>
            </w:pPr>
            <w:r>
              <w:rPr>
                <w:rFonts w:ascii="Arial" w:eastAsia="Arial" w:hAnsi="Arial" w:cs="Arial"/>
                <w:w w:val="97"/>
                <w:sz w:val="18"/>
                <w:szCs w:val="18"/>
              </w:rPr>
              <w:t>Establishment of Victoria’s Secret U.K. and Ireland Joint</w:t>
            </w:r>
          </w:p>
        </w:tc>
        <w:tc>
          <w:tcPr>
            <w:tcW w:w="480" w:type="dxa"/>
            <w:vAlign w:val="bottom"/>
          </w:tcPr>
          <w:p w14:paraId="138B2A7D" w14:textId="77777777" w:rsidR="00D1587D" w:rsidRDefault="00D1587D">
            <w:pPr>
              <w:rPr>
                <w:sz w:val="21"/>
                <w:szCs w:val="21"/>
              </w:rPr>
            </w:pPr>
          </w:p>
        </w:tc>
        <w:tc>
          <w:tcPr>
            <w:tcW w:w="180" w:type="dxa"/>
            <w:vAlign w:val="bottom"/>
          </w:tcPr>
          <w:p w14:paraId="5CE9B3A8" w14:textId="77777777" w:rsidR="00D1587D" w:rsidRDefault="00D1587D">
            <w:pPr>
              <w:rPr>
                <w:sz w:val="21"/>
                <w:szCs w:val="21"/>
              </w:rPr>
            </w:pPr>
          </w:p>
        </w:tc>
        <w:tc>
          <w:tcPr>
            <w:tcW w:w="500" w:type="dxa"/>
            <w:vAlign w:val="bottom"/>
          </w:tcPr>
          <w:p w14:paraId="0C9E215B" w14:textId="77777777" w:rsidR="00D1587D" w:rsidRDefault="00D1587D">
            <w:pPr>
              <w:rPr>
                <w:sz w:val="21"/>
                <w:szCs w:val="21"/>
              </w:rPr>
            </w:pPr>
          </w:p>
        </w:tc>
        <w:tc>
          <w:tcPr>
            <w:tcW w:w="180" w:type="dxa"/>
            <w:vAlign w:val="bottom"/>
          </w:tcPr>
          <w:p w14:paraId="2972540F" w14:textId="77777777" w:rsidR="00D1587D" w:rsidRDefault="00D1587D">
            <w:pPr>
              <w:rPr>
                <w:sz w:val="21"/>
                <w:szCs w:val="21"/>
              </w:rPr>
            </w:pPr>
          </w:p>
        </w:tc>
        <w:tc>
          <w:tcPr>
            <w:tcW w:w="280" w:type="dxa"/>
            <w:vAlign w:val="bottom"/>
          </w:tcPr>
          <w:p w14:paraId="220F9F8A" w14:textId="77777777" w:rsidR="00D1587D" w:rsidRDefault="00D1587D">
            <w:pPr>
              <w:rPr>
                <w:sz w:val="21"/>
                <w:szCs w:val="21"/>
              </w:rPr>
            </w:pPr>
          </w:p>
        </w:tc>
        <w:tc>
          <w:tcPr>
            <w:tcW w:w="500" w:type="dxa"/>
            <w:vAlign w:val="bottom"/>
          </w:tcPr>
          <w:p w14:paraId="4C682DAD" w14:textId="77777777" w:rsidR="00D1587D" w:rsidRDefault="00D1587D">
            <w:pPr>
              <w:rPr>
                <w:sz w:val="21"/>
                <w:szCs w:val="21"/>
              </w:rPr>
            </w:pPr>
          </w:p>
        </w:tc>
        <w:tc>
          <w:tcPr>
            <w:tcW w:w="180" w:type="dxa"/>
            <w:vAlign w:val="bottom"/>
          </w:tcPr>
          <w:p w14:paraId="53AD16B2" w14:textId="77777777" w:rsidR="00D1587D" w:rsidRDefault="00D1587D">
            <w:pPr>
              <w:rPr>
                <w:sz w:val="21"/>
                <w:szCs w:val="21"/>
              </w:rPr>
            </w:pPr>
          </w:p>
        </w:tc>
        <w:tc>
          <w:tcPr>
            <w:tcW w:w="280" w:type="dxa"/>
            <w:vAlign w:val="bottom"/>
          </w:tcPr>
          <w:p w14:paraId="324C8421" w14:textId="77777777" w:rsidR="00D1587D" w:rsidRDefault="00D1587D">
            <w:pPr>
              <w:rPr>
                <w:sz w:val="21"/>
                <w:szCs w:val="21"/>
              </w:rPr>
            </w:pPr>
          </w:p>
        </w:tc>
        <w:tc>
          <w:tcPr>
            <w:tcW w:w="500" w:type="dxa"/>
            <w:vAlign w:val="bottom"/>
          </w:tcPr>
          <w:p w14:paraId="3C75BB2F" w14:textId="77777777" w:rsidR="00D1587D" w:rsidRDefault="00D1587D">
            <w:pPr>
              <w:rPr>
                <w:sz w:val="21"/>
                <w:szCs w:val="21"/>
              </w:rPr>
            </w:pPr>
          </w:p>
        </w:tc>
        <w:tc>
          <w:tcPr>
            <w:tcW w:w="180" w:type="dxa"/>
            <w:vAlign w:val="bottom"/>
          </w:tcPr>
          <w:p w14:paraId="0B9AC1B6" w14:textId="77777777" w:rsidR="00D1587D" w:rsidRDefault="00D1587D">
            <w:pPr>
              <w:rPr>
                <w:sz w:val="21"/>
                <w:szCs w:val="21"/>
              </w:rPr>
            </w:pPr>
          </w:p>
        </w:tc>
        <w:tc>
          <w:tcPr>
            <w:tcW w:w="780" w:type="dxa"/>
            <w:vAlign w:val="bottom"/>
          </w:tcPr>
          <w:p w14:paraId="4B06091B" w14:textId="77777777" w:rsidR="00D1587D" w:rsidRDefault="00D1587D">
            <w:pPr>
              <w:rPr>
                <w:sz w:val="21"/>
                <w:szCs w:val="21"/>
              </w:rPr>
            </w:pPr>
          </w:p>
        </w:tc>
        <w:tc>
          <w:tcPr>
            <w:tcW w:w="0" w:type="dxa"/>
            <w:vAlign w:val="bottom"/>
          </w:tcPr>
          <w:p w14:paraId="41982E2B" w14:textId="77777777" w:rsidR="00D1587D" w:rsidRDefault="00D1587D">
            <w:pPr>
              <w:rPr>
                <w:sz w:val="1"/>
                <w:szCs w:val="1"/>
              </w:rPr>
            </w:pPr>
          </w:p>
        </w:tc>
      </w:tr>
      <w:tr w:rsidR="00D1587D" w14:paraId="4EAC730A" w14:textId="77777777">
        <w:trPr>
          <w:trHeight w:val="294"/>
        </w:trPr>
        <w:tc>
          <w:tcPr>
            <w:tcW w:w="4380" w:type="dxa"/>
            <w:gridSpan w:val="2"/>
            <w:vAlign w:val="bottom"/>
          </w:tcPr>
          <w:p w14:paraId="7C920811" w14:textId="77777777" w:rsidR="00D1587D" w:rsidRDefault="00410D07">
            <w:pPr>
              <w:spacing w:line="294" w:lineRule="exact"/>
              <w:ind w:left="180"/>
              <w:rPr>
                <w:sz w:val="20"/>
                <w:szCs w:val="20"/>
              </w:rPr>
            </w:pPr>
            <w:r>
              <w:rPr>
                <w:rFonts w:ascii="Arial" w:eastAsia="Arial" w:hAnsi="Arial" w:cs="Arial"/>
                <w:sz w:val="18"/>
                <w:szCs w:val="18"/>
              </w:rPr>
              <w:t>Venture</w:t>
            </w:r>
            <w:r>
              <w:rPr>
                <w:rFonts w:ascii="Arial" w:eastAsia="Arial" w:hAnsi="Arial" w:cs="Arial"/>
                <w:sz w:val="29"/>
                <w:szCs w:val="29"/>
                <w:vertAlign w:val="superscript"/>
              </w:rPr>
              <w:t>(d)</w:t>
            </w:r>
          </w:p>
        </w:tc>
        <w:tc>
          <w:tcPr>
            <w:tcW w:w="660" w:type="dxa"/>
            <w:gridSpan w:val="2"/>
            <w:vAlign w:val="bottom"/>
          </w:tcPr>
          <w:p w14:paraId="094C7A60"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vAlign w:val="bottom"/>
          </w:tcPr>
          <w:p w14:paraId="55FF74A3" w14:textId="77777777" w:rsidR="00D1587D" w:rsidRDefault="00410D07">
            <w:pPr>
              <w:ind w:right="260"/>
              <w:jc w:val="right"/>
              <w:rPr>
                <w:sz w:val="20"/>
                <w:szCs w:val="20"/>
              </w:rPr>
            </w:pPr>
            <w:r>
              <w:rPr>
                <w:rFonts w:ascii="Arial" w:eastAsia="Arial" w:hAnsi="Arial" w:cs="Arial"/>
                <w:sz w:val="18"/>
                <w:szCs w:val="18"/>
              </w:rPr>
              <w:t>—</w:t>
            </w:r>
          </w:p>
        </w:tc>
        <w:tc>
          <w:tcPr>
            <w:tcW w:w="280" w:type="dxa"/>
            <w:vAlign w:val="bottom"/>
          </w:tcPr>
          <w:p w14:paraId="442A8128" w14:textId="77777777" w:rsidR="00D1587D" w:rsidRDefault="00D1587D">
            <w:pPr>
              <w:rPr>
                <w:sz w:val="24"/>
                <w:szCs w:val="24"/>
              </w:rPr>
            </w:pPr>
          </w:p>
        </w:tc>
        <w:tc>
          <w:tcPr>
            <w:tcW w:w="500" w:type="dxa"/>
            <w:vAlign w:val="bottom"/>
          </w:tcPr>
          <w:p w14:paraId="2DA9C39C" w14:textId="77777777" w:rsidR="00D1587D" w:rsidRDefault="00410D07">
            <w:pPr>
              <w:ind w:right="51"/>
              <w:jc w:val="right"/>
              <w:rPr>
                <w:sz w:val="20"/>
                <w:szCs w:val="20"/>
              </w:rPr>
            </w:pPr>
            <w:r>
              <w:rPr>
                <w:rFonts w:ascii="Arial" w:eastAsia="Arial" w:hAnsi="Arial" w:cs="Arial"/>
                <w:sz w:val="18"/>
                <w:szCs w:val="18"/>
              </w:rPr>
              <w:t>(30)</w:t>
            </w:r>
          </w:p>
        </w:tc>
        <w:tc>
          <w:tcPr>
            <w:tcW w:w="180" w:type="dxa"/>
            <w:vAlign w:val="bottom"/>
          </w:tcPr>
          <w:p w14:paraId="64C1F69C" w14:textId="77777777" w:rsidR="00D1587D" w:rsidRDefault="00D1587D">
            <w:pPr>
              <w:rPr>
                <w:sz w:val="24"/>
                <w:szCs w:val="24"/>
              </w:rPr>
            </w:pPr>
          </w:p>
        </w:tc>
        <w:tc>
          <w:tcPr>
            <w:tcW w:w="280" w:type="dxa"/>
            <w:vAlign w:val="bottom"/>
          </w:tcPr>
          <w:p w14:paraId="001EAEB2" w14:textId="77777777" w:rsidR="00D1587D" w:rsidRDefault="00D1587D">
            <w:pPr>
              <w:rPr>
                <w:sz w:val="24"/>
                <w:szCs w:val="24"/>
              </w:rPr>
            </w:pPr>
          </w:p>
        </w:tc>
        <w:tc>
          <w:tcPr>
            <w:tcW w:w="680" w:type="dxa"/>
            <w:gridSpan w:val="2"/>
            <w:vAlign w:val="bottom"/>
          </w:tcPr>
          <w:p w14:paraId="342084FB" w14:textId="77777777" w:rsidR="00D1587D" w:rsidRDefault="00410D07">
            <w:pPr>
              <w:ind w:right="380"/>
              <w:jc w:val="right"/>
              <w:rPr>
                <w:sz w:val="20"/>
                <w:szCs w:val="20"/>
              </w:rPr>
            </w:pPr>
            <w:r>
              <w:rPr>
                <w:rFonts w:ascii="Arial" w:eastAsia="Arial" w:hAnsi="Arial" w:cs="Arial"/>
                <w:sz w:val="18"/>
                <w:szCs w:val="18"/>
              </w:rPr>
              <w:t>—</w:t>
            </w:r>
          </w:p>
        </w:tc>
        <w:tc>
          <w:tcPr>
            <w:tcW w:w="780" w:type="dxa"/>
            <w:vAlign w:val="bottom"/>
          </w:tcPr>
          <w:p w14:paraId="5E9A725E"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66225890" w14:textId="77777777" w:rsidR="00D1587D" w:rsidRDefault="00D1587D">
            <w:pPr>
              <w:rPr>
                <w:sz w:val="1"/>
                <w:szCs w:val="1"/>
              </w:rPr>
            </w:pPr>
          </w:p>
        </w:tc>
      </w:tr>
      <w:tr w:rsidR="00D1587D" w14:paraId="66416AC8" w14:textId="77777777">
        <w:trPr>
          <w:trHeight w:val="337"/>
        </w:trPr>
        <w:tc>
          <w:tcPr>
            <w:tcW w:w="4280" w:type="dxa"/>
            <w:shd w:val="clear" w:color="auto" w:fill="CCEEFF"/>
            <w:vAlign w:val="bottom"/>
          </w:tcPr>
          <w:p w14:paraId="48C62198" w14:textId="77777777" w:rsidR="00D1587D" w:rsidRDefault="00410D07">
            <w:pPr>
              <w:rPr>
                <w:sz w:val="20"/>
                <w:szCs w:val="20"/>
              </w:rPr>
            </w:pPr>
            <w:r>
              <w:rPr>
                <w:rFonts w:ascii="Arial" w:eastAsia="Arial" w:hAnsi="Arial" w:cs="Arial"/>
                <w:sz w:val="18"/>
                <w:szCs w:val="18"/>
              </w:rPr>
              <w:t>Impairment of Goodwill</w:t>
            </w:r>
            <w:r>
              <w:rPr>
                <w:rFonts w:ascii="Arial" w:eastAsia="Arial" w:hAnsi="Arial" w:cs="Arial"/>
                <w:sz w:val="29"/>
                <w:szCs w:val="29"/>
                <w:vertAlign w:val="superscript"/>
              </w:rPr>
              <w:t>(e)</w:t>
            </w:r>
          </w:p>
        </w:tc>
        <w:tc>
          <w:tcPr>
            <w:tcW w:w="100" w:type="dxa"/>
            <w:tcBorders>
              <w:bottom w:val="single" w:sz="8" w:space="0" w:color="CCEEFF"/>
            </w:tcBorders>
            <w:shd w:val="clear" w:color="auto" w:fill="CCEEFF"/>
            <w:vAlign w:val="bottom"/>
          </w:tcPr>
          <w:p w14:paraId="7403B1B0" w14:textId="77777777" w:rsidR="00D1587D" w:rsidRDefault="00D1587D">
            <w:pPr>
              <w:rPr>
                <w:sz w:val="24"/>
                <w:szCs w:val="24"/>
              </w:rPr>
            </w:pPr>
          </w:p>
        </w:tc>
        <w:tc>
          <w:tcPr>
            <w:tcW w:w="480" w:type="dxa"/>
            <w:tcBorders>
              <w:bottom w:val="single" w:sz="8" w:space="0" w:color="auto"/>
            </w:tcBorders>
            <w:shd w:val="clear" w:color="auto" w:fill="CCEEFF"/>
            <w:vAlign w:val="bottom"/>
          </w:tcPr>
          <w:p w14:paraId="4CC4953D" w14:textId="77777777" w:rsidR="00D1587D" w:rsidRDefault="00410D07">
            <w:pPr>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2C9E1902" w14:textId="77777777" w:rsidR="00D1587D" w:rsidRDefault="00D1587D">
            <w:pPr>
              <w:rPr>
                <w:sz w:val="24"/>
                <w:szCs w:val="24"/>
              </w:rPr>
            </w:pPr>
          </w:p>
        </w:tc>
        <w:tc>
          <w:tcPr>
            <w:tcW w:w="500" w:type="dxa"/>
            <w:tcBorders>
              <w:bottom w:val="single" w:sz="8" w:space="0" w:color="auto"/>
            </w:tcBorders>
            <w:shd w:val="clear" w:color="auto" w:fill="CCEEFF"/>
            <w:vAlign w:val="bottom"/>
          </w:tcPr>
          <w:p w14:paraId="48321F05" w14:textId="77777777" w:rsidR="00D1587D" w:rsidRDefault="00410D07">
            <w:pPr>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45DCCC9F" w14:textId="77777777" w:rsidR="00D1587D" w:rsidRDefault="00D1587D">
            <w:pPr>
              <w:rPr>
                <w:sz w:val="24"/>
                <w:szCs w:val="24"/>
              </w:rPr>
            </w:pPr>
          </w:p>
        </w:tc>
        <w:tc>
          <w:tcPr>
            <w:tcW w:w="280" w:type="dxa"/>
            <w:tcBorders>
              <w:bottom w:val="single" w:sz="8" w:space="0" w:color="auto"/>
            </w:tcBorders>
            <w:shd w:val="clear" w:color="auto" w:fill="CCEEFF"/>
            <w:vAlign w:val="bottom"/>
          </w:tcPr>
          <w:p w14:paraId="42A2C661" w14:textId="77777777" w:rsidR="00D1587D" w:rsidRDefault="00D1587D">
            <w:pPr>
              <w:rPr>
                <w:sz w:val="24"/>
                <w:szCs w:val="24"/>
              </w:rPr>
            </w:pPr>
          </w:p>
        </w:tc>
        <w:tc>
          <w:tcPr>
            <w:tcW w:w="500" w:type="dxa"/>
            <w:tcBorders>
              <w:bottom w:val="single" w:sz="8" w:space="0" w:color="auto"/>
            </w:tcBorders>
            <w:shd w:val="clear" w:color="auto" w:fill="CCEEFF"/>
            <w:vAlign w:val="bottom"/>
          </w:tcPr>
          <w:p w14:paraId="79A1502D" w14:textId="77777777" w:rsidR="00D1587D" w:rsidRDefault="00410D07">
            <w:pPr>
              <w:ind w:right="111"/>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3C8DBF7D" w14:textId="77777777" w:rsidR="00D1587D" w:rsidRDefault="00D1587D">
            <w:pPr>
              <w:rPr>
                <w:sz w:val="24"/>
                <w:szCs w:val="24"/>
              </w:rPr>
            </w:pPr>
          </w:p>
        </w:tc>
        <w:tc>
          <w:tcPr>
            <w:tcW w:w="280" w:type="dxa"/>
            <w:tcBorders>
              <w:bottom w:val="single" w:sz="8" w:space="0" w:color="auto"/>
            </w:tcBorders>
            <w:shd w:val="clear" w:color="auto" w:fill="CCEEFF"/>
            <w:vAlign w:val="bottom"/>
          </w:tcPr>
          <w:p w14:paraId="24F8030A" w14:textId="77777777" w:rsidR="00D1587D" w:rsidRDefault="00D1587D">
            <w:pPr>
              <w:rPr>
                <w:sz w:val="24"/>
                <w:szCs w:val="24"/>
              </w:rPr>
            </w:pPr>
          </w:p>
        </w:tc>
        <w:tc>
          <w:tcPr>
            <w:tcW w:w="500" w:type="dxa"/>
            <w:tcBorders>
              <w:bottom w:val="single" w:sz="8" w:space="0" w:color="auto"/>
            </w:tcBorders>
            <w:shd w:val="clear" w:color="auto" w:fill="CCEEFF"/>
            <w:vAlign w:val="bottom"/>
          </w:tcPr>
          <w:p w14:paraId="59996E4C" w14:textId="77777777" w:rsidR="00D1587D" w:rsidRDefault="00410D07">
            <w:pPr>
              <w:ind w:right="110"/>
              <w:jc w:val="right"/>
              <w:rPr>
                <w:sz w:val="20"/>
                <w:szCs w:val="20"/>
              </w:rPr>
            </w:pPr>
            <w:r>
              <w:rPr>
                <w:rFonts w:ascii="Arial" w:eastAsia="Arial" w:hAnsi="Arial" w:cs="Arial"/>
                <w:w w:val="93"/>
                <w:sz w:val="18"/>
                <w:szCs w:val="18"/>
              </w:rPr>
              <w:t>720</w:t>
            </w:r>
          </w:p>
        </w:tc>
        <w:tc>
          <w:tcPr>
            <w:tcW w:w="180" w:type="dxa"/>
            <w:tcBorders>
              <w:bottom w:val="single" w:sz="8" w:space="0" w:color="CCEEFF"/>
            </w:tcBorders>
            <w:shd w:val="clear" w:color="auto" w:fill="CCEEFF"/>
            <w:vAlign w:val="bottom"/>
          </w:tcPr>
          <w:p w14:paraId="6E294760" w14:textId="77777777" w:rsidR="00D1587D" w:rsidRDefault="00D1587D">
            <w:pPr>
              <w:rPr>
                <w:sz w:val="24"/>
                <w:szCs w:val="24"/>
              </w:rPr>
            </w:pPr>
          </w:p>
        </w:tc>
        <w:tc>
          <w:tcPr>
            <w:tcW w:w="780" w:type="dxa"/>
            <w:tcBorders>
              <w:bottom w:val="single" w:sz="8" w:space="0" w:color="auto"/>
            </w:tcBorders>
            <w:shd w:val="clear" w:color="auto" w:fill="CCEEFF"/>
            <w:vAlign w:val="bottom"/>
          </w:tcPr>
          <w:p w14:paraId="40A4320C"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7620E015" w14:textId="77777777" w:rsidR="00D1587D" w:rsidRDefault="00D1587D">
            <w:pPr>
              <w:rPr>
                <w:sz w:val="1"/>
                <w:szCs w:val="1"/>
              </w:rPr>
            </w:pPr>
          </w:p>
        </w:tc>
      </w:tr>
      <w:tr w:rsidR="00D1587D" w14:paraId="7A15EA50" w14:textId="77777777">
        <w:trPr>
          <w:trHeight w:val="304"/>
        </w:trPr>
        <w:tc>
          <w:tcPr>
            <w:tcW w:w="4380" w:type="dxa"/>
            <w:gridSpan w:val="2"/>
            <w:vAlign w:val="bottom"/>
          </w:tcPr>
          <w:p w14:paraId="76AA5CE2" w14:textId="77777777" w:rsidR="00D1587D" w:rsidRDefault="00410D07">
            <w:pPr>
              <w:rPr>
                <w:sz w:val="20"/>
                <w:szCs w:val="20"/>
              </w:rPr>
            </w:pPr>
            <w:r>
              <w:rPr>
                <w:rFonts w:ascii="Arial" w:eastAsia="Arial" w:hAnsi="Arial" w:cs="Arial"/>
                <w:sz w:val="18"/>
                <w:szCs w:val="18"/>
              </w:rPr>
              <w:t>Adjusted Operating Income (Loss)</w:t>
            </w:r>
          </w:p>
        </w:tc>
        <w:tc>
          <w:tcPr>
            <w:tcW w:w="480" w:type="dxa"/>
            <w:vAlign w:val="bottom"/>
          </w:tcPr>
          <w:p w14:paraId="00BA4F54" w14:textId="77777777" w:rsidR="00D1587D" w:rsidRDefault="00410D07">
            <w:pPr>
              <w:jc w:val="right"/>
              <w:rPr>
                <w:sz w:val="20"/>
                <w:szCs w:val="20"/>
              </w:rPr>
            </w:pPr>
            <w:r>
              <w:rPr>
                <w:rFonts w:ascii="Arial" w:eastAsia="Arial" w:hAnsi="Arial" w:cs="Arial"/>
                <w:w w:val="94"/>
                <w:sz w:val="18"/>
                <w:szCs w:val="18"/>
              </w:rPr>
              <w:t>$226</w:t>
            </w:r>
          </w:p>
        </w:tc>
        <w:tc>
          <w:tcPr>
            <w:tcW w:w="180" w:type="dxa"/>
            <w:vAlign w:val="bottom"/>
          </w:tcPr>
          <w:p w14:paraId="0681FB7F" w14:textId="77777777" w:rsidR="00D1587D" w:rsidRDefault="00D1587D">
            <w:pPr>
              <w:rPr>
                <w:sz w:val="24"/>
                <w:szCs w:val="24"/>
              </w:rPr>
            </w:pPr>
          </w:p>
        </w:tc>
        <w:tc>
          <w:tcPr>
            <w:tcW w:w="500" w:type="dxa"/>
            <w:vAlign w:val="bottom"/>
          </w:tcPr>
          <w:p w14:paraId="4399F088" w14:textId="77777777" w:rsidR="00D1587D" w:rsidRDefault="00410D07">
            <w:pPr>
              <w:jc w:val="right"/>
              <w:rPr>
                <w:sz w:val="20"/>
                <w:szCs w:val="20"/>
              </w:rPr>
            </w:pPr>
            <w:r>
              <w:rPr>
                <w:rFonts w:ascii="Arial" w:eastAsia="Arial" w:hAnsi="Arial" w:cs="Arial"/>
                <w:w w:val="88"/>
                <w:sz w:val="18"/>
                <w:szCs w:val="18"/>
              </w:rPr>
              <w:t>$(276)</w:t>
            </w:r>
          </w:p>
        </w:tc>
        <w:tc>
          <w:tcPr>
            <w:tcW w:w="180" w:type="dxa"/>
            <w:vAlign w:val="bottom"/>
          </w:tcPr>
          <w:p w14:paraId="03AD7BFE" w14:textId="77777777" w:rsidR="00D1587D" w:rsidRDefault="00D1587D">
            <w:pPr>
              <w:rPr>
                <w:sz w:val="24"/>
                <w:szCs w:val="24"/>
              </w:rPr>
            </w:pPr>
          </w:p>
        </w:tc>
        <w:tc>
          <w:tcPr>
            <w:tcW w:w="280" w:type="dxa"/>
            <w:vAlign w:val="bottom"/>
          </w:tcPr>
          <w:p w14:paraId="317A66B0" w14:textId="77777777" w:rsidR="00D1587D" w:rsidRDefault="00410D07">
            <w:pPr>
              <w:jc w:val="right"/>
              <w:rPr>
                <w:sz w:val="20"/>
                <w:szCs w:val="20"/>
              </w:rPr>
            </w:pPr>
            <w:r>
              <w:rPr>
                <w:rFonts w:ascii="Arial" w:eastAsia="Arial" w:hAnsi="Arial" w:cs="Arial"/>
                <w:sz w:val="18"/>
                <w:szCs w:val="18"/>
              </w:rPr>
              <w:t>$</w:t>
            </w:r>
          </w:p>
        </w:tc>
        <w:tc>
          <w:tcPr>
            <w:tcW w:w="500" w:type="dxa"/>
            <w:vAlign w:val="bottom"/>
          </w:tcPr>
          <w:p w14:paraId="3FC2363E" w14:textId="77777777" w:rsidR="00D1587D" w:rsidRDefault="00410D07">
            <w:pPr>
              <w:ind w:right="111"/>
              <w:jc w:val="right"/>
              <w:rPr>
                <w:sz w:val="20"/>
                <w:szCs w:val="20"/>
              </w:rPr>
            </w:pPr>
            <w:r>
              <w:rPr>
                <w:rFonts w:ascii="Arial" w:eastAsia="Arial" w:hAnsi="Arial" w:cs="Arial"/>
                <w:sz w:val="18"/>
                <w:szCs w:val="18"/>
              </w:rPr>
              <w:t>98</w:t>
            </w:r>
          </w:p>
        </w:tc>
        <w:tc>
          <w:tcPr>
            <w:tcW w:w="460" w:type="dxa"/>
            <w:gridSpan w:val="2"/>
            <w:vAlign w:val="bottom"/>
          </w:tcPr>
          <w:p w14:paraId="18A7CD3B" w14:textId="77777777" w:rsidR="00D1587D" w:rsidRDefault="00410D07">
            <w:pPr>
              <w:jc w:val="right"/>
              <w:rPr>
                <w:sz w:val="20"/>
                <w:szCs w:val="20"/>
              </w:rPr>
            </w:pPr>
            <w:r>
              <w:rPr>
                <w:rFonts w:ascii="Arial" w:eastAsia="Arial" w:hAnsi="Arial" w:cs="Arial"/>
                <w:sz w:val="18"/>
                <w:szCs w:val="18"/>
              </w:rPr>
              <w:t>$</w:t>
            </w:r>
          </w:p>
        </w:tc>
        <w:tc>
          <w:tcPr>
            <w:tcW w:w="500" w:type="dxa"/>
            <w:vAlign w:val="bottom"/>
          </w:tcPr>
          <w:p w14:paraId="787908B4" w14:textId="77777777" w:rsidR="00D1587D" w:rsidRDefault="00410D07">
            <w:pPr>
              <w:ind w:right="110"/>
              <w:jc w:val="right"/>
              <w:rPr>
                <w:sz w:val="20"/>
                <w:szCs w:val="20"/>
              </w:rPr>
            </w:pPr>
            <w:r>
              <w:rPr>
                <w:rFonts w:ascii="Arial" w:eastAsia="Arial" w:hAnsi="Arial" w:cs="Arial"/>
                <w:sz w:val="18"/>
                <w:szCs w:val="18"/>
              </w:rPr>
              <w:t>81</w:t>
            </w:r>
          </w:p>
        </w:tc>
        <w:tc>
          <w:tcPr>
            <w:tcW w:w="180" w:type="dxa"/>
            <w:vAlign w:val="bottom"/>
          </w:tcPr>
          <w:p w14:paraId="564FCB0A" w14:textId="77777777" w:rsidR="00D1587D" w:rsidRDefault="00D1587D">
            <w:pPr>
              <w:rPr>
                <w:sz w:val="24"/>
                <w:szCs w:val="24"/>
              </w:rPr>
            </w:pPr>
          </w:p>
        </w:tc>
        <w:tc>
          <w:tcPr>
            <w:tcW w:w="780" w:type="dxa"/>
            <w:vAlign w:val="bottom"/>
          </w:tcPr>
          <w:p w14:paraId="4E2D1CF8" w14:textId="77777777" w:rsidR="00D1587D" w:rsidRDefault="00410D07">
            <w:pPr>
              <w:ind w:right="132"/>
              <w:jc w:val="right"/>
              <w:rPr>
                <w:sz w:val="20"/>
                <w:szCs w:val="20"/>
              </w:rPr>
            </w:pPr>
            <w:r>
              <w:rPr>
                <w:rFonts w:ascii="Arial" w:eastAsia="Arial" w:hAnsi="Arial" w:cs="Arial"/>
                <w:sz w:val="18"/>
                <w:szCs w:val="18"/>
              </w:rPr>
              <w:t>$481</w:t>
            </w:r>
          </w:p>
        </w:tc>
        <w:tc>
          <w:tcPr>
            <w:tcW w:w="0" w:type="dxa"/>
            <w:vAlign w:val="bottom"/>
          </w:tcPr>
          <w:p w14:paraId="33BD23DF" w14:textId="77777777" w:rsidR="00D1587D" w:rsidRDefault="00D1587D">
            <w:pPr>
              <w:rPr>
                <w:sz w:val="1"/>
                <w:szCs w:val="1"/>
              </w:rPr>
            </w:pPr>
          </w:p>
        </w:tc>
      </w:tr>
      <w:tr w:rsidR="00D1587D" w14:paraId="73790210" w14:textId="77777777">
        <w:trPr>
          <w:trHeight w:val="68"/>
        </w:trPr>
        <w:tc>
          <w:tcPr>
            <w:tcW w:w="4280" w:type="dxa"/>
            <w:vAlign w:val="bottom"/>
          </w:tcPr>
          <w:p w14:paraId="35CB0A21" w14:textId="77777777" w:rsidR="00D1587D" w:rsidRDefault="00D1587D">
            <w:pPr>
              <w:rPr>
                <w:sz w:val="5"/>
                <w:szCs w:val="5"/>
              </w:rPr>
            </w:pPr>
          </w:p>
        </w:tc>
        <w:tc>
          <w:tcPr>
            <w:tcW w:w="100" w:type="dxa"/>
            <w:vAlign w:val="bottom"/>
          </w:tcPr>
          <w:p w14:paraId="4950729F" w14:textId="77777777" w:rsidR="00D1587D" w:rsidRDefault="00D1587D">
            <w:pPr>
              <w:rPr>
                <w:sz w:val="5"/>
                <w:szCs w:val="5"/>
              </w:rPr>
            </w:pPr>
          </w:p>
        </w:tc>
        <w:tc>
          <w:tcPr>
            <w:tcW w:w="480" w:type="dxa"/>
            <w:tcBorders>
              <w:bottom w:val="single" w:sz="8" w:space="0" w:color="auto"/>
            </w:tcBorders>
            <w:vAlign w:val="bottom"/>
          </w:tcPr>
          <w:p w14:paraId="2E4A2769" w14:textId="77777777" w:rsidR="00D1587D" w:rsidRDefault="00D1587D">
            <w:pPr>
              <w:rPr>
                <w:sz w:val="5"/>
                <w:szCs w:val="5"/>
              </w:rPr>
            </w:pPr>
          </w:p>
        </w:tc>
        <w:tc>
          <w:tcPr>
            <w:tcW w:w="180" w:type="dxa"/>
            <w:vAlign w:val="bottom"/>
          </w:tcPr>
          <w:p w14:paraId="6DD6C554" w14:textId="77777777" w:rsidR="00D1587D" w:rsidRDefault="00D1587D">
            <w:pPr>
              <w:rPr>
                <w:sz w:val="5"/>
                <w:szCs w:val="5"/>
              </w:rPr>
            </w:pPr>
          </w:p>
        </w:tc>
        <w:tc>
          <w:tcPr>
            <w:tcW w:w="500" w:type="dxa"/>
            <w:tcBorders>
              <w:bottom w:val="single" w:sz="8" w:space="0" w:color="auto"/>
            </w:tcBorders>
            <w:vAlign w:val="bottom"/>
          </w:tcPr>
          <w:p w14:paraId="635D0DB7" w14:textId="77777777" w:rsidR="00D1587D" w:rsidRDefault="00D1587D">
            <w:pPr>
              <w:rPr>
                <w:sz w:val="5"/>
                <w:szCs w:val="5"/>
              </w:rPr>
            </w:pPr>
          </w:p>
        </w:tc>
        <w:tc>
          <w:tcPr>
            <w:tcW w:w="180" w:type="dxa"/>
            <w:vAlign w:val="bottom"/>
          </w:tcPr>
          <w:p w14:paraId="03E41C65" w14:textId="77777777" w:rsidR="00D1587D" w:rsidRDefault="00D1587D">
            <w:pPr>
              <w:rPr>
                <w:sz w:val="5"/>
                <w:szCs w:val="5"/>
              </w:rPr>
            </w:pPr>
          </w:p>
        </w:tc>
        <w:tc>
          <w:tcPr>
            <w:tcW w:w="280" w:type="dxa"/>
            <w:tcBorders>
              <w:bottom w:val="single" w:sz="8" w:space="0" w:color="auto"/>
            </w:tcBorders>
            <w:vAlign w:val="bottom"/>
          </w:tcPr>
          <w:p w14:paraId="61220C48" w14:textId="77777777" w:rsidR="00D1587D" w:rsidRDefault="00D1587D">
            <w:pPr>
              <w:rPr>
                <w:sz w:val="5"/>
                <w:szCs w:val="5"/>
              </w:rPr>
            </w:pPr>
          </w:p>
        </w:tc>
        <w:tc>
          <w:tcPr>
            <w:tcW w:w="500" w:type="dxa"/>
            <w:tcBorders>
              <w:bottom w:val="single" w:sz="8" w:space="0" w:color="auto"/>
            </w:tcBorders>
            <w:vAlign w:val="bottom"/>
          </w:tcPr>
          <w:p w14:paraId="723E0BD5" w14:textId="77777777" w:rsidR="00D1587D" w:rsidRDefault="00D1587D">
            <w:pPr>
              <w:rPr>
                <w:sz w:val="5"/>
                <w:szCs w:val="5"/>
              </w:rPr>
            </w:pPr>
          </w:p>
        </w:tc>
        <w:tc>
          <w:tcPr>
            <w:tcW w:w="180" w:type="dxa"/>
            <w:vAlign w:val="bottom"/>
          </w:tcPr>
          <w:p w14:paraId="5158D6E0" w14:textId="77777777" w:rsidR="00D1587D" w:rsidRDefault="00D1587D">
            <w:pPr>
              <w:rPr>
                <w:sz w:val="5"/>
                <w:szCs w:val="5"/>
              </w:rPr>
            </w:pPr>
          </w:p>
        </w:tc>
        <w:tc>
          <w:tcPr>
            <w:tcW w:w="280" w:type="dxa"/>
            <w:tcBorders>
              <w:bottom w:val="single" w:sz="8" w:space="0" w:color="auto"/>
            </w:tcBorders>
            <w:vAlign w:val="bottom"/>
          </w:tcPr>
          <w:p w14:paraId="583829D0" w14:textId="77777777" w:rsidR="00D1587D" w:rsidRDefault="00D1587D">
            <w:pPr>
              <w:rPr>
                <w:sz w:val="5"/>
                <w:szCs w:val="5"/>
              </w:rPr>
            </w:pPr>
          </w:p>
        </w:tc>
        <w:tc>
          <w:tcPr>
            <w:tcW w:w="500" w:type="dxa"/>
            <w:tcBorders>
              <w:bottom w:val="single" w:sz="8" w:space="0" w:color="auto"/>
            </w:tcBorders>
            <w:vAlign w:val="bottom"/>
          </w:tcPr>
          <w:p w14:paraId="7DA8F39D" w14:textId="77777777" w:rsidR="00D1587D" w:rsidRDefault="00D1587D">
            <w:pPr>
              <w:rPr>
                <w:sz w:val="5"/>
                <w:szCs w:val="5"/>
              </w:rPr>
            </w:pPr>
          </w:p>
        </w:tc>
        <w:tc>
          <w:tcPr>
            <w:tcW w:w="180" w:type="dxa"/>
            <w:vAlign w:val="bottom"/>
          </w:tcPr>
          <w:p w14:paraId="5596D32F" w14:textId="77777777" w:rsidR="00D1587D" w:rsidRDefault="00D1587D">
            <w:pPr>
              <w:rPr>
                <w:sz w:val="5"/>
                <w:szCs w:val="5"/>
              </w:rPr>
            </w:pPr>
          </w:p>
        </w:tc>
        <w:tc>
          <w:tcPr>
            <w:tcW w:w="780" w:type="dxa"/>
            <w:tcBorders>
              <w:bottom w:val="single" w:sz="8" w:space="0" w:color="auto"/>
            </w:tcBorders>
            <w:vAlign w:val="bottom"/>
          </w:tcPr>
          <w:p w14:paraId="16308360" w14:textId="77777777" w:rsidR="00D1587D" w:rsidRDefault="00D1587D">
            <w:pPr>
              <w:rPr>
                <w:sz w:val="5"/>
                <w:szCs w:val="5"/>
              </w:rPr>
            </w:pPr>
          </w:p>
        </w:tc>
        <w:tc>
          <w:tcPr>
            <w:tcW w:w="0" w:type="dxa"/>
            <w:vAlign w:val="bottom"/>
          </w:tcPr>
          <w:p w14:paraId="5E2CB06C" w14:textId="77777777" w:rsidR="00D1587D" w:rsidRDefault="00D1587D">
            <w:pPr>
              <w:rPr>
                <w:sz w:val="1"/>
                <w:szCs w:val="1"/>
              </w:rPr>
            </w:pPr>
          </w:p>
        </w:tc>
      </w:tr>
      <w:tr w:rsidR="00D1587D" w14:paraId="705897A9" w14:textId="77777777">
        <w:trPr>
          <w:trHeight w:val="20"/>
        </w:trPr>
        <w:tc>
          <w:tcPr>
            <w:tcW w:w="4280" w:type="dxa"/>
            <w:tcBorders>
              <w:bottom w:val="single" w:sz="8" w:space="0" w:color="CCEEFF"/>
            </w:tcBorders>
            <w:vAlign w:val="bottom"/>
          </w:tcPr>
          <w:p w14:paraId="0451100F" w14:textId="77777777" w:rsidR="00D1587D" w:rsidRDefault="00D1587D">
            <w:pPr>
              <w:spacing w:line="20" w:lineRule="exact"/>
              <w:rPr>
                <w:sz w:val="1"/>
                <w:szCs w:val="1"/>
              </w:rPr>
            </w:pPr>
          </w:p>
        </w:tc>
        <w:tc>
          <w:tcPr>
            <w:tcW w:w="100" w:type="dxa"/>
            <w:tcBorders>
              <w:bottom w:val="single" w:sz="8" w:space="0" w:color="CCEEFF"/>
            </w:tcBorders>
            <w:vAlign w:val="bottom"/>
          </w:tcPr>
          <w:p w14:paraId="34E1C6D2" w14:textId="77777777" w:rsidR="00D1587D" w:rsidRDefault="00D1587D">
            <w:pPr>
              <w:spacing w:line="20" w:lineRule="exact"/>
              <w:rPr>
                <w:sz w:val="1"/>
                <w:szCs w:val="1"/>
              </w:rPr>
            </w:pPr>
          </w:p>
        </w:tc>
        <w:tc>
          <w:tcPr>
            <w:tcW w:w="480" w:type="dxa"/>
            <w:tcBorders>
              <w:bottom w:val="single" w:sz="8" w:space="0" w:color="auto"/>
            </w:tcBorders>
            <w:vAlign w:val="bottom"/>
          </w:tcPr>
          <w:p w14:paraId="5495490B" w14:textId="77777777" w:rsidR="00D1587D" w:rsidRDefault="00D1587D">
            <w:pPr>
              <w:spacing w:line="20" w:lineRule="exact"/>
              <w:rPr>
                <w:sz w:val="1"/>
                <w:szCs w:val="1"/>
              </w:rPr>
            </w:pPr>
          </w:p>
        </w:tc>
        <w:tc>
          <w:tcPr>
            <w:tcW w:w="180" w:type="dxa"/>
            <w:tcBorders>
              <w:bottom w:val="single" w:sz="8" w:space="0" w:color="CCEEFF"/>
            </w:tcBorders>
            <w:vAlign w:val="bottom"/>
          </w:tcPr>
          <w:p w14:paraId="7E201444" w14:textId="77777777" w:rsidR="00D1587D" w:rsidRDefault="00D1587D">
            <w:pPr>
              <w:spacing w:line="20" w:lineRule="exact"/>
              <w:rPr>
                <w:sz w:val="1"/>
                <w:szCs w:val="1"/>
              </w:rPr>
            </w:pPr>
          </w:p>
        </w:tc>
        <w:tc>
          <w:tcPr>
            <w:tcW w:w="500" w:type="dxa"/>
            <w:tcBorders>
              <w:bottom w:val="single" w:sz="8" w:space="0" w:color="auto"/>
            </w:tcBorders>
            <w:vAlign w:val="bottom"/>
          </w:tcPr>
          <w:p w14:paraId="2FB67CC6" w14:textId="77777777" w:rsidR="00D1587D" w:rsidRDefault="00D1587D">
            <w:pPr>
              <w:spacing w:line="20" w:lineRule="exact"/>
              <w:rPr>
                <w:sz w:val="1"/>
                <w:szCs w:val="1"/>
              </w:rPr>
            </w:pPr>
          </w:p>
        </w:tc>
        <w:tc>
          <w:tcPr>
            <w:tcW w:w="180" w:type="dxa"/>
            <w:tcBorders>
              <w:bottom w:val="single" w:sz="8" w:space="0" w:color="CCEEFF"/>
            </w:tcBorders>
            <w:vAlign w:val="bottom"/>
          </w:tcPr>
          <w:p w14:paraId="06DD8C61" w14:textId="77777777" w:rsidR="00D1587D" w:rsidRDefault="00D1587D">
            <w:pPr>
              <w:spacing w:line="20" w:lineRule="exact"/>
              <w:rPr>
                <w:sz w:val="1"/>
                <w:szCs w:val="1"/>
              </w:rPr>
            </w:pPr>
          </w:p>
        </w:tc>
        <w:tc>
          <w:tcPr>
            <w:tcW w:w="280" w:type="dxa"/>
            <w:tcBorders>
              <w:bottom w:val="single" w:sz="8" w:space="0" w:color="auto"/>
            </w:tcBorders>
            <w:vAlign w:val="bottom"/>
          </w:tcPr>
          <w:p w14:paraId="7C5F0D8C" w14:textId="77777777" w:rsidR="00D1587D" w:rsidRDefault="00D1587D">
            <w:pPr>
              <w:spacing w:line="20" w:lineRule="exact"/>
              <w:rPr>
                <w:sz w:val="1"/>
                <w:szCs w:val="1"/>
              </w:rPr>
            </w:pPr>
          </w:p>
        </w:tc>
        <w:tc>
          <w:tcPr>
            <w:tcW w:w="500" w:type="dxa"/>
            <w:tcBorders>
              <w:bottom w:val="single" w:sz="8" w:space="0" w:color="auto"/>
            </w:tcBorders>
            <w:vAlign w:val="bottom"/>
          </w:tcPr>
          <w:p w14:paraId="6597A96B" w14:textId="77777777" w:rsidR="00D1587D" w:rsidRDefault="00D1587D">
            <w:pPr>
              <w:spacing w:line="20" w:lineRule="exact"/>
              <w:rPr>
                <w:sz w:val="1"/>
                <w:szCs w:val="1"/>
              </w:rPr>
            </w:pPr>
          </w:p>
        </w:tc>
        <w:tc>
          <w:tcPr>
            <w:tcW w:w="180" w:type="dxa"/>
            <w:tcBorders>
              <w:bottom w:val="single" w:sz="8" w:space="0" w:color="CCEEFF"/>
            </w:tcBorders>
            <w:vAlign w:val="bottom"/>
          </w:tcPr>
          <w:p w14:paraId="064B6DED" w14:textId="77777777" w:rsidR="00D1587D" w:rsidRDefault="00D1587D">
            <w:pPr>
              <w:spacing w:line="20" w:lineRule="exact"/>
              <w:rPr>
                <w:sz w:val="1"/>
                <w:szCs w:val="1"/>
              </w:rPr>
            </w:pPr>
          </w:p>
        </w:tc>
        <w:tc>
          <w:tcPr>
            <w:tcW w:w="280" w:type="dxa"/>
            <w:tcBorders>
              <w:bottom w:val="single" w:sz="8" w:space="0" w:color="auto"/>
            </w:tcBorders>
            <w:vAlign w:val="bottom"/>
          </w:tcPr>
          <w:p w14:paraId="16C4E0D6" w14:textId="77777777" w:rsidR="00D1587D" w:rsidRDefault="00D1587D">
            <w:pPr>
              <w:spacing w:line="20" w:lineRule="exact"/>
              <w:rPr>
                <w:sz w:val="1"/>
                <w:szCs w:val="1"/>
              </w:rPr>
            </w:pPr>
          </w:p>
        </w:tc>
        <w:tc>
          <w:tcPr>
            <w:tcW w:w="500" w:type="dxa"/>
            <w:tcBorders>
              <w:bottom w:val="single" w:sz="8" w:space="0" w:color="auto"/>
            </w:tcBorders>
            <w:vAlign w:val="bottom"/>
          </w:tcPr>
          <w:p w14:paraId="19F22D03" w14:textId="77777777" w:rsidR="00D1587D" w:rsidRDefault="00D1587D">
            <w:pPr>
              <w:spacing w:line="20" w:lineRule="exact"/>
              <w:rPr>
                <w:sz w:val="1"/>
                <w:szCs w:val="1"/>
              </w:rPr>
            </w:pPr>
          </w:p>
        </w:tc>
        <w:tc>
          <w:tcPr>
            <w:tcW w:w="180" w:type="dxa"/>
            <w:tcBorders>
              <w:bottom w:val="single" w:sz="8" w:space="0" w:color="CCEEFF"/>
            </w:tcBorders>
            <w:vAlign w:val="bottom"/>
          </w:tcPr>
          <w:p w14:paraId="7AB59990" w14:textId="77777777" w:rsidR="00D1587D" w:rsidRDefault="00D1587D">
            <w:pPr>
              <w:spacing w:line="20" w:lineRule="exact"/>
              <w:rPr>
                <w:sz w:val="1"/>
                <w:szCs w:val="1"/>
              </w:rPr>
            </w:pPr>
          </w:p>
        </w:tc>
        <w:tc>
          <w:tcPr>
            <w:tcW w:w="780" w:type="dxa"/>
            <w:tcBorders>
              <w:bottom w:val="single" w:sz="8" w:space="0" w:color="auto"/>
            </w:tcBorders>
            <w:vAlign w:val="bottom"/>
          </w:tcPr>
          <w:p w14:paraId="23D12279" w14:textId="77777777" w:rsidR="00D1587D" w:rsidRDefault="00D1587D">
            <w:pPr>
              <w:spacing w:line="20" w:lineRule="exact"/>
              <w:rPr>
                <w:sz w:val="1"/>
                <w:szCs w:val="1"/>
              </w:rPr>
            </w:pPr>
          </w:p>
        </w:tc>
        <w:tc>
          <w:tcPr>
            <w:tcW w:w="0" w:type="dxa"/>
            <w:vAlign w:val="bottom"/>
          </w:tcPr>
          <w:p w14:paraId="29244ADC" w14:textId="77777777" w:rsidR="00D1587D" w:rsidRDefault="00D1587D">
            <w:pPr>
              <w:spacing w:line="20" w:lineRule="exact"/>
              <w:rPr>
                <w:sz w:val="1"/>
                <w:szCs w:val="1"/>
              </w:rPr>
            </w:pPr>
          </w:p>
        </w:tc>
      </w:tr>
      <w:tr w:rsidR="00D1587D" w14:paraId="48471609" w14:textId="77777777">
        <w:trPr>
          <w:trHeight w:val="259"/>
        </w:trPr>
        <w:tc>
          <w:tcPr>
            <w:tcW w:w="4380" w:type="dxa"/>
            <w:gridSpan w:val="2"/>
            <w:shd w:val="clear" w:color="auto" w:fill="CCEEFF"/>
            <w:vAlign w:val="bottom"/>
          </w:tcPr>
          <w:p w14:paraId="11BF2203" w14:textId="77777777" w:rsidR="00D1587D" w:rsidRDefault="00410D07">
            <w:pPr>
              <w:rPr>
                <w:sz w:val="20"/>
                <w:szCs w:val="20"/>
              </w:rPr>
            </w:pPr>
            <w:r>
              <w:rPr>
                <w:rFonts w:ascii="Arial" w:eastAsia="Arial" w:hAnsi="Arial" w:cs="Arial"/>
                <w:b/>
                <w:bCs/>
                <w:w w:val="98"/>
                <w:sz w:val="18"/>
                <w:szCs w:val="18"/>
              </w:rPr>
              <w:t>Reconciliation of Net Income (Loss) to Adjusted Net</w:t>
            </w:r>
          </w:p>
        </w:tc>
        <w:tc>
          <w:tcPr>
            <w:tcW w:w="480" w:type="dxa"/>
            <w:shd w:val="clear" w:color="auto" w:fill="CCEEFF"/>
            <w:vAlign w:val="bottom"/>
          </w:tcPr>
          <w:p w14:paraId="6C888B0E" w14:textId="77777777" w:rsidR="00D1587D" w:rsidRDefault="00D1587D"/>
        </w:tc>
        <w:tc>
          <w:tcPr>
            <w:tcW w:w="180" w:type="dxa"/>
            <w:shd w:val="clear" w:color="auto" w:fill="CCEEFF"/>
            <w:vAlign w:val="bottom"/>
          </w:tcPr>
          <w:p w14:paraId="4D4B7A3E" w14:textId="77777777" w:rsidR="00D1587D" w:rsidRDefault="00D1587D"/>
        </w:tc>
        <w:tc>
          <w:tcPr>
            <w:tcW w:w="500" w:type="dxa"/>
            <w:shd w:val="clear" w:color="auto" w:fill="CCEEFF"/>
            <w:vAlign w:val="bottom"/>
          </w:tcPr>
          <w:p w14:paraId="639D7490" w14:textId="77777777" w:rsidR="00D1587D" w:rsidRDefault="00D1587D"/>
        </w:tc>
        <w:tc>
          <w:tcPr>
            <w:tcW w:w="180" w:type="dxa"/>
            <w:shd w:val="clear" w:color="auto" w:fill="CCEEFF"/>
            <w:vAlign w:val="bottom"/>
          </w:tcPr>
          <w:p w14:paraId="2A8DA290" w14:textId="77777777" w:rsidR="00D1587D" w:rsidRDefault="00D1587D"/>
        </w:tc>
        <w:tc>
          <w:tcPr>
            <w:tcW w:w="280" w:type="dxa"/>
            <w:shd w:val="clear" w:color="auto" w:fill="CCEEFF"/>
            <w:vAlign w:val="bottom"/>
          </w:tcPr>
          <w:p w14:paraId="16A23785" w14:textId="77777777" w:rsidR="00D1587D" w:rsidRDefault="00D1587D"/>
        </w:tc>
        <w:tc>
          <w:tcPr>
            <w:tcW w:w="500" w:type="dxa"/>
            <w:shd w:val="clear" w:color="auto" w:fill="CCEEFF"/>
            <w:vAlign w:val="bottom"/>
          </w:tcPr>
          <w:p w14:paraId="6838AE8C" w14:textId="77777777" w:rsidR="00D1587D" w:rsidRDefault="00D1587D"/>
        </w:tc>
        <w:tc>
          <w:tcPr>
            <w:tcW w:w="180" w:type="dxa"/>
            <w:shd w:val="clear" w:color="auto" w:fill="CCEEFF"/>
            <w:vAlign w:val="bottom"/>
          </w:tcPr>
          <w:p w14:paraId="618D2AC4" w14:textId="77777777" w:rsidR="00D1587D" w:rsidRDefault="00D1587D"/>
        </w:tc>
        <w:tc>
          <w:tcPr>
            <w:tcW w:w="280" w:type="dxa"/>
            <w:shd w:val="clear" w:color="auto" w:fill="CCEEFF"/>
            <w:vAlign w:val="bottom"/>
          </w:tcPr>
          <w:p w14:paraId="7FAE8F58" w14:textId="77777777" w:rsidR="00D1587D" w:rsidRDefault="00D1587D"/>
        </w:tc>
        <w:tc>
          <w:tcPr>
            <w:tcW w:w="500" w:type="dxa"/>
            <w:shd w:val="clear" w:color="auto" w:fill="CCEEFF"/>
            <w:vAlign w:val="bottom"/>
          </w:tcPr>
          <w:p w14:paraId="66BE239E" w14:textId="77777777" w:rsidR="00D1587D" w:rsidRDefault="00D1587D"/>
        </w:tc>
        <w:tc>
          <w:tcPr>
            <w:tcW w:w="180" w:type="dxa"/>
            <w:shd w:val="clear" w:color="auto" w:fill="CCEEFF"/>
            <w:vAlign w:val="bottom"/>
          </w:tcPr>
          <w:p w14:paraId="27695FF5" w14:textId="77777777" w:rsidR="00D1587D" w:rsidRDefault="00D1587D"/>
        </w:tc>
        <w:tc>
          <w:tcPr>
            <w:tcW w:w="780" w:type="dxa"/>
            <w:shd w:val="clear" w:color="auto" w:fill="CCEEFF"/>
            <w:vAlign w:val="bottom"/>
          </w:tcPr>
          <w:p w14:paraId="109301A3" w14:textId="77777777" w:rsidR="00D1587D" w:rsidRDefault="00D1587D"/>
        </w:tc>
        <w:tc>
          <w:tcPr>
            <w:tcW w:w="0" w:type="dxa"/>
            <w:vAlign w:val="bottom"/>
          </w:tcPr>
          <w:p w14:paraId="72B29690" w14:textId="77777777" w:rsidR="00D1587D" w:rsidRDefault="00D1587D">
            <w:pPr>
              <w:rPr>
                <w:sz w:val="1"/>
                <w:szCs w:val="1"/>
              </w:rPr>
            </w:pPr>
          </w:p>
        </w:tc>
      </w:tr>
      <w:tr w:rsidR="00D1587D" w14:paraId="03A4C743" w14:textId="77777777">
        <w:trPr>
          <w:trHeight w:val="268"/>
        </w:trPr>
        <w:tc>
          <w:tcPr>
            <w:tcW w:w="4380" w:type="dxa"/>
            <w:gridSpan w:val="2"/>
            <w:tcBorders>
              <w:bottom w:val="single" w:sz="8" w:space="0" w:color="CCEEFF"/>
            </w:tcBorders>
            <w:shd w:val="clear" w:color="auto" w:fill="CCEEFF"/>
            <w:vAlign w:val="bottom"/>
          </w:tcPr>
          <w:p w14:paraId="6A253DB2" w14:textId="77777777" w:rsidR="00D1587D" w:rsidRDefault="00410D07">
            <w:pPr>
              <w:ind w:left="180"/>
              <w:rPr>
                <w:sz w:val="20"/>
                <w:szCs w:val="20"/>
              </w:rPr>
            </w:pPr>
            <w:r>
              <w:rPr>
                <w:rFonts w:ascii="Arial" w:eastAsia="Arial" w:hAnsi="Arial" w:cs="Arial"/>
                <w:b/>
                <w:bCs/>
                <w:sz w:val="18"/>
                <w:szCs w:val="18"/>
              </w:rPr>
              <w:t>Income</w:t>
            </w:r>
          </w:p>
        </w:tc>
        <w:tc>
          <w:tcPr>
            <w:tcW w:w="480" w:type="dxa"/>
            <w:tcBorders>
              <w:bottom w:val="single" w:sz="8" w:space="0" w:color="CCEEFF"/>
            </w:tcBorders>
            <w:shd w:val="clear" w:color="auto" w:fill="CCEEFF"/>
            <w:vAlign w:val="bottom"/>
          </w:tcPr>
          <w:p w14:paraId="31BCBB1E" w14:textId="77777777" w:rsidR="00D1587D" w:rsidRDefault="00D1587D">
            <w:pPr>
              <w:rPr>
                <w:sz w:val="23"/>
                <w:szCs w:val="23"/>
              </w:rPr>
            </w:pPr>
          </w:p>
        </w:tc>
        <w:tc>
          <w:tcPr>
            <w:tcW w:w="180" w:type="dxa"/>
            <w:tcBorders>
              <w:bottom w:val="single" w:sz="8" w:space="0" w:color="CCEEFF"/>
            </w:tcBorders>
            <w:shd w:val="clear" w:color="auto" w:fill="CCEEFF"/>
            <w:vAlign w:val="bottom"/>
          </w:tcPr>
          <w:p w14:paraId="3063457E" w14:textId="77777777" w:rsidR="00D1587D" w:rsidRDefault="00D1587D">
            <w:pPr>
              <w:rPr>
                <w:sz w:val="23"/>
                <w:szCs w:val="23"/>
              </w:rPr>
            </w:pPr>
          </w:p>
        </w:tc>
        <w:tc>
          <w:tcPr>
            <w:tcW w:w="500" w:type="dxa"/>
            <w:tcBorders>
              <w:bottom w:val="single" w:sz="8" w:space="0" w:color="CCEEFF"/>
            </w:tcBorders>
            <w:shd w:val="clear" w:color="auto" w:fill="CCEEFF"/>
            <w:vAlign w:val="bottom"/>
          </w:tcPr>
          <w:p w14:paraId="6B6DB336" w14:textId="77777777" w:rsidR="00D1587D" w:rsidRDefault="00D1587D">
            <w:pPr>
              <w:rPr>
                <w:sz w:val="23"/>
                <w:szCs w:val="23"/>
              </w:rPr>
            </w:pPr>
          </w:p>
        </w:tc>
        <w:tc>
          <w:tcPr>
            <w:tcW w:w="180" w:type="dxa"/>
            <w:tcBorders>
              <w:bottom w:val="single" w:sz="8" w:space="0" w:color="CCEEFF"/>
            </w:tcBorders>
            <w:shd w:val="clear" w:color="auto" w:fill="CCEEFF"/>
            <w:vAlign w:val="bottom"/>
          </w:tcPr>
          <w:p w14:paraId="6A81008C" w14:textId="77777777" w:rsidR="00D1587D" w:rsidRDefault="00D1587D">
            <w:pPr>
              <w:rPr>
                <w:sz w:val="23"/>
                <w:szCs w:val="23"/>
              </w:rPr>
            </w:pPr>
          </w:p>
        </w:tc>
        <w:tc>
          <w:tcPr>
            <w:tcW w:w="280" w:type="dxa"/>
            <w:tcBorders>
              <w:bottom w:val="single" w:sz="8" w:space="0" w:color="CCEEFF"/>
            </w:tcBorders>
            <w:shd w:val="clear" w:color="auto" w:fill="CCEEFF"/>
            <w:vAlign w:val="bottom"/>
          </w:tcPr>
          <w:p w14:paraId="71FEE448" w14:textId="77777777" w:rsidR="00D1587D" w:rsidRDefault="00D1587D">
            <w:pPr>
              <w:rPr>
                <w:sz w:val="23"/>
                <w:szCs w:val="23"/>
              </w:rPr>
            </w:pPr>
          </w:p>
        </w:tc>
        <w:tc>
          <w:tcPr>
            <w:tcW w:w="500" w:type="dxa"/>
            <w:tcBorders>
              <w:bottom w:val="single" w:sz="8" w:space="0" w:color="CCEEFF"/>
            </w:tcBorders>
            <w:shd w:val="clear" w:color="auto" w:fill="CCEEFF"/>
            <w:vAlign w:val="bottom"/>
          </w:tcPr>
          <w:p w14:paraId="5A888DCC" w14:textId="77777777" w:rsidR="00D1587D" w:rsidRDefault="00D1587D">
            <w:pPr>
              <w:rPr>
                <w:sz w:val="23"/>
                <w:szCs w:val="23"/>
              </w:rPr>
            </w:pPr>
          </w:p>
        </w:tc>
        <w:tc>
          <w:tcPr>
            <w:tcW w:w="180" w:type="dxa"/>
            <w:tcBorders>
              <w:bottom w:val="single" w:sz="8" w:space="0" w:color="CCEEFF"/>
            </w:tcBorders>
            <w:shd w:val="clear" w:color="auto" w:fill="CCEEFF"/>
            <w:vAlign w:val="bottom"/>
          </w:tcPr>
          <w:p w14:paraId="43B4BDD3" w14:textId="77777777" w:rsidR="00D1587D" w:rsidRDefault="00D1587D">
            <w:pPr>
              <w:rPr>
                <w:sz w:val="23"/>
                <w:szCs w:val="23"/>
              </w:rPr>
            </w:pPr>
          </w:p>
        </w:tc>
        <w:tc>
          <w:tcPr>
            <w:tcW w:w="280" w:type="dxa"/>
            <w:tcBorders>
              <w:bottom w:val="single" w:sz="8" w:space="0" w:color="CCEEFF"/>
            </w:tcBorders>
            <w:shd w:val="clear" w:color="auto" w:fill="CCEEFF"/>
            <w:vAlign w:val="bottom"/>
          </w:tcPr>
          <w:p w14:paraId="07E32504" w14:textId="77777777" w:rsidR="00D1587D" w:rsidRDefault="00D1587D">
            <w:pPr>
              <w:rPr>
                <w:sz w:val="23"/>
                <w:szCs w:val="23"/>
              </w:rPr>
            </w:pPr>
          </w:p>
        </w:tc>
        <w:tc>
          <w:tcPr>
            <w:tcW w:w="500" w:type="dxa"/>
            <w:tcBorders>
              <w:bottom w:val="single" w:sz="8" w:space="0" w:color="CCEEFF"/>
            </w:tcBorders>
            <w:shd w:val="clear" w:color="auto" w:fill="CCEEFF"/>
            <w:vAlign w:val="bottom"/>
          </w:tcPr>
          <w:p w14:paraId="300FCA5E" w14:textId="77777777" w:rsidR="00D1587D" w:rsidRDefault="00D1587D">
            <w:pPr>
              <w:rPr>
                <w:sz w:val="23"/>
                <w:szCs w:val="23"/>
              </w:rPr>
            </w:pPr>
          </w:p>
        </w:tc>
        <w:tc>
          <w:tcPr>
            <w:tcW w:w="180" w:type="dxa"/>
            <w:tcBorders>
              <w:bottom w:val="single" w:sz="8" w:space="0" w:color="CCEEFF"/>
            </w:tcBorders>
            <w:shd w:val="clear" w:color="auto" w:fill="CCEEFF"/>
            <w:vAlign w:val="bottom"/>
          </w:tcPr>
          <w:p w14:paraId="68D34FAA" w14:textId="77777777" w:rsidR="00D1587D" w:rsidRDefault="00D1587D">
            <w:pPr>
              <w:rPr>
                <w:sz w:val="23"/>
                <w:szCs w:val="23"/>
              </w:rPr>
            </w:pPr>
          </w:p>
        </w:tc>
        <w:tc>
          <w:tcPr>
            <w:tcW w:w="780" w:type="dxa"/>
            <w:tcBorders>
              <w:bottom w:val="single" w:sz="8" w:space="0" w:color="CCEEFF"/>
            </w:tcBorders>
            <w:shd w:val="clear" w:color="auto" w:fill="CCEEFF"/>
            <w:vAlign w:val="bottom"/>
          </w:tcPr>
          <w:p w14:paraId="0DA40C98" w14:textId="77777777" w:rsidR="00D1587D" w:rsidRDefault="00D1587D">
            <w:pPr>
              <w:rPr>
                <w:sz w:val="23"/>
                <w:szCs w:val="23"/>
              </w:rPr>
            </w:pPr>
          </w:p>
        </w:tc>
        <w:tc>
          <w:tcPr>
            <w:tcW w:w="0" w:type="dxa"/>
            <w:vAlign w:val="bottom"/>
          </w:tcPr>
          <w:p w14:paraId="6983E2E8" w14:textId="77777777" w:rsidR="00D1587D" w:rsidRDefault="00D1587D">
            <w:pPr>
              <w:rPr>
                <w:sz w:val="1"/>
                <w:szCs w:val="1"/>
              </w:rPr>
            </w:pPr>
          </w:p>
        </w:tc>
      </w:tr>
      <w:tr w:rsidR="00D1587D" w14:paraId="63E5DCB7" w14:textId="77777777">
        <w:trPr>
          <w:trHeight w:val="270"/>
        </w:trPr>
        <w:tc>
          <w:tcPr>
            <w:tcW w:w="4380" w:type="dxa"/>
            <w:gridSpan w:val="2"/>
            <w:vAlign w:val="bottom"/>
          </w:tcPr>
          <w:p w14:paraId="637CF4CF" w14:textId="77777777" w:rsidR="00D1587D" w:rsidRDefault="00410D07">
            <w:pPr>
              <w:rPr>
                <w:sz w:val="20"/>
                <w:szCs w:val="20"/>
              </w:rPr>
            </w:pPr>
            <w:r>
              <w:rPr>
                <w:rFonts w:ascii="Arial" w:eastAsia="Arial" w:hAnsi="Arial" w:cs="Arial"/>
                <w:sz w:val="18"/>
                <w:szCs w:val="18"/>
              </w:rPr>
              <w:t>Net Income (Loss)—GAAP</w:t>
            </w:r>
          </w:p>
        </w:tc>
        <w:tc>
          <w:tcPr>
            <w:tcW w:w="480" w:type="dxa"/>
            <w:vAlign w:val="bottom"/>
          </w:tcPr>
          <w:p w14:paraId="4BC88E21" w14:textId="77777777" w:rsidR="00D1587D" w:rsidRDefault="00410D07">
            <w:pPr>
              <w:jc w:val="right"/>
              <w:rPr>
                <w:sz w:val="20"/>
                <w:szCs w:val="20"/>
              </w:rPr>
            </w:pPr>
            <w:r>
              <w:rPr>
                <w:rFonts w:ascii="Arial" w:eastAsia="Arial" w:hAnsi="Arial" w:cs="Arial"/>
                <w:w w:val="94"/>
                <w:sz w:val="18"/>
                <w:szCs w:val="18"/>
              </w:rPr>
              <w:t>$174</w:t>
            </w:r>
          </w:p>
        </w:tc>
        <w:tc>
          <w:tcPr>
            <w:tcW w:w="180" w:type="dxa"/>
            <w:vAlign w:val="bottom"/>
          </w:tcPr>
          <w:p w14:paraId="6801552A" w14:textId="77777777" w:rsidR="00D1587D" w:rsidRDefault="00D1587D">
            <w:pPr>
              <w:rPr>
                <w:sz w:val="23"/>
                <w:szCs w:val="23"/>
              </w:rPr>
            </w:pPr>
          </w:p>
        </w:tc>
        <w:tc>
          <w:tcPr>
            <w:tcW w:w="500" w:type="dxa"/>
            <w:vAlign w:val="bottom"/>
          </w:tcPr>
          <w:p w14:paraId="162D098C" w14:textId="77777777" w:rsidR="00D1587D" w:rsidRDefault="00410D07">
            <w:pPr>
              <w:jc w:val="right"/>
              <w:rPr>
                <w:sz w:val="20"/>
                <w:szCs w:val="20"/>
              </w:rPr>
            </w:pPr>
            <w:r>
              <w:rPr>
                <w:rFonts w:ascii="Arial" w:eastAsia="Arial" w:hAnsi="Arial" w:cs="Arial"/>
                <w:w w:val="88"/>
                <w:sz w:val="18"/>
                <w:szCs w:val="18"/>
              </w:rPr>
              <w:t>$(299)</w:t>
            </w:r>
          </w:p>
        </w:tc>
        <w:tc>
          <w:tcPr>
            <w:tcW w:w="180" w:type="dxa"/>
            <w:vAlign w:val="bottom"/>
          </w:tcPr>
          <w:p w14:paraId="58D3F8CE" w14:textId="77777777" w:rsidR="00D1587D" w:rsidRDefault="00D1587D">
            <w:pPr>
              <w:rPr>
                <w:sz w:val="23"/>
                <w:szCs w:val="23"/>
              </w:rPr>
            </w:pPr>
          </w:p>
        </w:tc>
        <w:tc>
          <w:tcPr>
            <w:tcW w:w="280" w:type="dxa"/>
            <w:vAlign w:val="bottom"/>
          </w:tcPr>
          <w:p w14:paraId="56FCD279" w14:textId="77777777" w:rsidR="00D1587D" w:rsidRDefault="00410D07">
            <w:pPr>
              <w:jc w:val="right"/>
              <w:rPr>
                <w:sz w:val="20"/>
                <w:szCs w:val="20"/>
              </w:rPr>
            </w:pPr>
            <w:r>
              <w:rPr>
                <w:rFonts w:ascii="Arial" w:eastAsia="Arial" w:hAnsi="Arial" w:cs="Arial"/>
                <w:sz w:val="18"/>
                <w:szCs w:val="18"/>
              </w:rPr>
              <w:t>$</w:t>
            </w:r>
          </w:p>
        </w:tc>
        <w:tc>
          <w:tcPr>
            <w:tcW w:w="500" w:type="dxa"/>
            <w:vAlign w:val="bottom"/>
          </w:tcPr>
          <w:p w14:paraId="3C234B6B" w14:textId="77777777" w:rsidR="00D1587D" w:rsidRDefault="00410D07">
            <w:pPr>
              <w:ind w:right="51"/>
              <w:jc w:val="right"/>
              <w:rPr>
                <w:sz w:val="20"/>
                <w:szCs w:val="20"/>
              </w:rPr>
            </w:pPr>
            <w:r>
              <w:rPr>
                <w:rFonts w:ascii="Arial" w:eastAsia="Arial" w:hAnsi="Arial" w:cs="Arial"/>
                <w:sz w:val="18"/>
                <w:szCs w:val="18"/>
              </w:rPr>
              <w:t>(72)</w:t>
            </w:r>
          </w:p>
        </w:tc>
        <w:tc>
          <w:tcPr>
            <w:tcW w:w="960" w:type="dxa"/>
            <w:gridSpan w:val="3"/>
            <w:vAlign w:val="bottom"/>
          </w:tcPr>
          <w:p w14:paraId="31110B15" w14:textId="77777777" w:rsidR="00D1587D" w:rsidRDefault="00410D07">
            <w:pPr>
              <w:ind w:right="50"/>
              <w:jc w:val="right"/>
              <w:rPr>
                <w:sz w:val="20"/>
                <w:szCs w:val="20"/>
              </w:rPr>
            </w:pPr>
            <w:r>
              <w:rPr>
                <w:rFonts w:ascii="Arial" w:eastAsia="Arial" w:hAnsi="Arial" w:cs="Arial"/>
                <w:sz w:val="18"/>
                <w:szCs w:val="18"/>
              </w:rPr>
              <w:t>$(897)</w:t>
            </w:r>
          </w:p>
        </w:tc>
        <w:tc>
          <w:tcPr>
            <w:tcW w:w="180" w:type="dxa"/>
            <w:vAlign w:val="bottom"/>
          </w:tcPr>
          <w:p w14:paraId="75E2FBD8" w14:textId="77777777" w:rsidR="00D1587D" w:rsidRDefault="00D1587D">
            <w:pPr>
              <w:rPr>
                <w:sz w:val="23"/>
                <w:szCs w:val="23"/>
              </w:rPr>
            </w:pPr>
          </w:p>
        </w:tc>
        <w:tc>
          <w:tcPr>
            <w:tcW w:w="780" w:type="dxa"/>
            <w:vAlign w:val="bottom"/>
          </w:tcPr>
          <w:p w14:paraId="1FE477CB" w14:textId="77777777" w:rsidR="00D1587D" w:rsidRDefault="00410D07">
            <w:pPr>
              <w:ind w:right="132"/>
              <w:jc w:val="right"/>
              <w:rPr>
                <w:sz w:val="20"/>
                <w:szCs w:val="20"/>
              </w:rPr>
            </w:pPr>
            <w:r>
              <w:rPr>
                <w:rFonts w:ascii="Arial" w:eastAsia="Arial" w:hAnsi="Arial" w:cs="Arial"/>
                <w:sz w:val="18"/>
                <w:szCs w:val="18"/>
              </w:rPr>
              <w:t>$251</w:t>
            </w:r>
          </w:p>
        </w:tc>
        <w:tc>
          <w:tcPr>
            <w:tcW w:w="0" w:type="dxa"/>
            <w:vAlign w:val="bottom"/>
          </w:tcPr>
          <w:p w14:paraId="1AD476FF" w14:textId="77777777" w:rsidR="00D1587D" w:rsidRDefault="00D1587D">
            <w:pPr>
              <w:rPr>
                <w:sz w:val="1"/>
                <w:szCs w:val="1"/>
              </w:rPr>
            </w:pPr>
          </w:p>
        </w:tc>
      </w:tr>
      <w:tr w:rsidR="00D1587D" w14:paraId="2930702D" w14:textId="77777777">
        <w:trPr>
          <w:trHeight w:val="54"/>
        </w:trPr>
        <w:tc>
          <w:tcPr>
            <w:tcW w:w="4280" w:type="dxa"/>
            <w:vAlign w:val="bottom"/>
          </w:tcPr>
          <w:p w14:paraId="04514EA5" w14:textId="77777777" w:rsidR="00D1587D" w:rsidRDefault="00D1587D">
            <w:pPr>
              <w:rPr>
                <w:sz w:val="4"/>
                <w:szCs w:val="4"/>
              </w:rPr>
            </w:pPr>
          </w:p>
        </w:tc>
        <w:tc>
          <w:tcPr>
            <w:tcW w:w="100" w:type="dxa"/>
            <w:vAlign w:val="bottom"/>
          </w:tcPr>
          <w:p w14:paraId="3E42D493" w14:textId="77777777" w:rsidR="00D1587D" w:rsidRDefault="00D1587D">
            <w:pPr>
              <w:rPr>
                <w:sz w:val="4"/>
                <w:szCs w:val="4"/>
              </w:rPr>
            </w:pPr>
          </w:p>
        </w:tc>
        <w:tc>
          <w:tcPr>
            <w:tcW w:w="480" w:type="dxa"/>
            <w:vAlign w:val="bottom"/>
          </w:tcPr>
          <w:p w14:paraId="24E1F3EE" w14:textId="77777777" w:rsidR="00D1587D" w:rsidRDefault="00D1587D">
            <w:pPr>
              <w:rPr>
                <w:sz w:val="4"/>
                <w:szCs w:val="4"/>
              </w:rPr>
            </w:pPr>
          </w:p>
        </w:tc>
        <w:tc>
          <w:tcPr>
            <w:tcW w:w="180" w:type="dxa"/>
            <w:vAlign w:val="bottom"/>
          </w:tcPr>
          <w:p w14:paraId="0B57B3DA" w14:textId="77777777" w:rsidR="00D1587D" w:rsidRDefault="00D1587D">
            <w:pPr>
              <w:rPr>
                <w:sz w:val="4"/>
                <w:szCs w:val="4"/>
              </w:rPr>
            </w:pPr>
          </w:p>
        </w:tc>
        <w:tc>
          <w:tcPr>
            <w:tcW w:w="500" w:type="dxa"/>
            <w:vAlign w:val="bottom"/>
          </w:tcPr>
          <w:p w14:paraId="3E9B6320" w14:textId="77777777" w:rsidR="00D1587D" w:rsidRDefault="00D1587D">
            <w:pPr>
              <w:rPr>
                <w:sz w:val="4"/>
                <w:szCs w:val="4"/>
              </w:rPr>
            </w:pPr>
          </w:p>
        </w:tc>
        <w:tc>
          <w:tcPr>
            <w:tcW w:w="180" w:type="dxa"/>
            <w:vAlign w:val="bottom"/>
          </w:tcPr>
          <w:p w14:paraId="6A368D8D" w14:textId="77777777" w:rsidR="00D1587D" w:rsidRDefault="00D1587D">
            <w:pPr>
              <w:rPr>
                <w:sz w:val="4"/>
                <w:szCs w:val="4"/>
              </w:rPr>
            </w:pPr>
          </w:p>
        </w:tc>
        <w:tc>
          <w:tcPr>
            <w:tcW w:w="280" w:type="dxa"/>
            <w:vAlign w:val="bottom"/>
          </w:tcPr>
          <w:p w14:paraId="49E14CA3" w14:textId="77777777" w:rsidR="00D1587D" w:rsidRDefault="00D1587D">
            <w:pPr>
              <w:rPr>
                <w:sz w:val="4"/>
                <w:szCs w:val="4"/>
              </w:rPr>
            </w:pPr>
          </w:p>
        </w:tc>
        <w:tc>
          <w:tcPr>
            <w:tcW w:w="500" w:type="dxa"/>
            <w:vAlign w:val="bottom"/>
          </w:tcPr>
          <w:p w14:paraId="6345F110" w14:textId="77777777" w:rsidR="00D1587D" w:rsidRDefault="00D1587D">
            <w:pPr>
              <w:rPr>
                <w:sz w:val="4"/>
                <w:szCs w:val="4"/>
              </w:rPr>
            </w:pPr>
          </w:p>
        </w:tc>
        <w:tc>
          <w:tcPr>
            <w:tcW w:w="180" w:type="dxa"/>
            <w:vAlign w:val="bottom"/>
          </w:tcPr>
          <w:p w14:paraId="0D3DE994" w14:textId="77777777" w:rsidR="00D1587D" w:rsidRDefault="00D1587D">
            <w:pPr>
              <w:rPr>
                <w:sz w:val="4"/>
                <w:szCs w:val="4"/>
              </w:rPr>
            </w:pPr>
          </w:p>
        </w:tc>
        <w:tc>
          <w:tcPr>
            <w:tcW w:w="280" w:type="dxa"/>
            <w:vAlign w:val="bottom"/>
          </w:tcPr>
          <w:p w14:paraId="1B36826C" w14:textId="77777777" w:rsidR="00D1587D" w:rsidRDefault="00D1587D">
            <w:pPr>
              <w:rPr>
                <w:sz w:val="4"/>
                <w:szCs w:val="4"/>
              </w:rPr>
            </w:pPr>
          </w:p>
        </w:tc>
        <w:tc>
          <w:tcPr>
            <w:tcW w:w="500" w:type="dxa"/>
            <w:vAlign w:val="bottom"/>
          </w:tcPr>
          <w:p w14:paraId="153630CB" w14:textId="77777777" w:rsidR="00D1587D" w:rsidRDefault="00D1587D">
            <w:pPr>
              <w:rPr>
                <w:sz w:val="4"/>
                <w:szCs w:val="4"/>
              </w:rPr>
            </w:pPr>
          </w:p>
        </w:tc>
        <w:tc>
          <w:tcPr>
            <w:tcW w:w="180" w:type="dxa"/>
            <w:vAlign w:val="bottom"/>
          </w:tcPr>
          <w:p w14:paraId="5AFAA121" w14:textId="77777777" w:rsidR="00D1587D" w:rsidRDefault="00D1587D">
            <w:pPr>
              <w:rPr>
                <w:sz w:val="4"/>
                <w:szCs w:val="4"/>
              </w:rPr>
            </w:pPr>
          </w:p>
        </w:tc>
        <w:tc>
          <w:tcPr>
            <w:tcW w:w="780" w:type="dxa"/>
            <w:vAlign w:val="bottom"/>
          </w:tcPr>
          <w:p w14:paraId="5C045078" w14:textId="77777777" w:rsidR="00D1587D" w:rsidRDefault="00D1587D">
            <w:pPr>
              <w:rPr>
                <w:sz w:val="4"/>
                <w:szCs w:val="4"/>
              </w:rPr>
            </w:pPr>
          </w:p>
        </w:tc>
        <w:tc>
          <w:tcPr>
            <w:tcW w:w="0" w:type="dxa"/>
            <w:vAlign w:val="bottom"/>
          </w:tcPr>
          <w:p w14:paraId="2C8FF17F" w14:textId="77777777" w:rsidR="00D1587D" w:rsidRDefault="00D1587D">
            <w:pPr>
              <w:rPr>
                <w:sz w:val="1"/>
                <w:szCs w:val="1"/>
              </w:rPr>
            </w:pPr>
          </w:p>
        </w:tc>
      </w:tr>
      <w:tr w:rsidR="00D1587D" w14:paraId="2CE57F19" w14:textId="77777777">
        <w:trPr>
          <w:trHeight w:val="324"/>
        </w:trPr>
        <w:tc>
          <w:tcPr>
            <w:tcW w:w="4380" w:type="dxa"/>
            <w:gridSpan w:val="2"/>
            <w:shd w:val="clear" w:color="auto" w:fill="CCEEFF"/>
            <w:vAlign w:val="bottom"/>
          </w:tcPr>
          <w:p w14:paraId="424C3C6C" w14:textId="77777777" w:rsidR="00D1587D" w:rsidRDefault="00410D07">
            <w:pPr>
              <w:spacing w:line="324" w:lineRule="exact"/>
              <w:rPr>
                <w:sz w:val="20"/>
                <w:szCs w:val="20"/>
              </w:rPr>
            </w:pPr>
            <w:r>
              <w:rPr>
                <w:rFonts w:ascii="Arial" w:eastAsia="Arial" w:hAnsi="Arial" w:cs="Arial"/>
                <w:sz w:val="18"/>
                <w:szCs w:val="18"/>
              </w:rPr>
              <w:t>Asset Impairments</w:t>
            </w:r>
            <w:r>
              <w:rPr>
                <w:rFonts w:ascii="Arial" w:eastAsia="Arial" w:hAnsi="Arial" w:cs="Arial"/>
                <w:sz w:val="29"/>
                <w:szCs w:val="29"/>
                <w:vertAlign w:val="superscript"/>
              </w:rPr>
              <w:t>(a)</w:t>
            </w:r>
          </w:p>
        </w:tc>
        <w:tc>
          <w:tcPr>
            <w:tcW w:w="660" w:type="dxa"/>
            <w:gridSpan w:val="2"/>
            <w:shd w:val="clear" w:color="auto" w:fill="CCEEFF"/>
            <w:vAlign w:val="bottom"/>
          </w:tcPr>
          <w:p w14:paraId="01B6DF6B" w14:textId="77777777" w:rsidR="00D1587D" w:rsidRDefault="00410D07">
            <w:pPr>
              <w:ind w:right="260"/>
              <w:jc w:val="right"/>
              <w:rPr>
                <w:sz w:val="20"/>
                <w:szCs w:val="20"/>
              </w:rPr>
            </w:pPr>
            <w:r>
              <w:rPr>
                <w:rFonts w:ascii="Arial" w:eastAsia="Arial" w:hAnsi="Arial" w:cs="Arial"/>
                <w:sz w:val="18"/>
                <w:szCs w:val="18"/>
              </w:rPr>
              <w:t>—</w:t>
            </w:r>
          </w:p>
        </w:tc>
        <w:tc>
          <w:tcPr>
            <w:tcW w:w="500" w:type="dxa"/>
            <w:shd w:val="clear" w:color="auto" w:fill="CCEEFF"/>
            <w:vAlign w:val="bottom"/>
          </w:tcPr>
          <w:p w14:paraId="5FA5B9BA" w14:textId="77777777" w:rsidR="00D1587D" w:rsidRDefault="00410D07">
            <w:pPr>
              <w:jc w:val="right"/>
              <w:rPr>
                <w:sz w:val="20"/>
                <w:szCs w:val="20"/>
              </w:rPr>
            </w:pPr>
            <w:r>
              <w:rPr>
                <w:rFonts w:ascii="Arial" w:eastAsia="Arial" w:hAnsi="Arial" w:cs="Arial"/>
                <w:sz w:val="18"/>
                <w:szCs w:val="18"/>
              </w:rPr>
              <w:t>97</w:t>
            </w:r>
          </w:p>
        </w:tc>
        <w:tc>
          <w:tcPr>
            <w:tcW w:w="180" w:type="dxa"/>
            <w:shd w:val="clear" w:color="auto" w:fill="CCEEFF"/>
            <w:vAlign w:val="bottom"/>
          </w:tcPr>
          <w:p w14:paraId="73D2F4B4" w14:textId="77777777" w:rsidR="00D1587D" w:rsidRDefault="00D1587D">
            <w:pPr>
              <w:rPr>
                <w:sz w:val="24"/>
                <w:szCs w:val="24"/>
              </w:rPr>
            </w:pPr>
          </w:p>
        </w:tc>
        <w:tc>
          <w:tcPr>
            <w:tcW w:w="280" w:type="dxa"/>
            <w:shd w:val="clear" w:color="auto" w:fill="CCEEFF"/>
            <w:vAlign w:val="bottom"/>
          </w:tcPr>
          <w:p w14:paraId="7F028FF4" w14:textId="77777777" w:rsidR="00D1587D" w:rsidRDefault="00D1587D">
            <w:pPr>
              <w:rPr>
                <w:sz w:val="24"/>
                <w:szCs w:val="24"/>
              </w:rPr>
            </w:pPr>
          </w:p>
        </w:tc>
        <w:tc>
          <w:tcPr>
            <w:tcW w:w="500" w:type="dxa"/>
            <w:shd w:val="clear" w:color="auto" w:fill="CCEEFF"/>
            <w:vAlign w:val="bottom"/>
          </w:tcPr>
          <w:p w14:paraId="20597981" w14:textId="77777777" w:rsidR="00D1587D" w:rsidRDefault="00410D07">
            <w:pPr>
              <w:ind w:right="111"/>
              <w:jc w:val="right"/>
              <w:rPr>
                <w:sz w:val="20"/>
                <w:szCs w:val="20"/>
              </w:rPr>
            </w:pPr>
            <w:r>
              <w:rPr>
                <w:rFonts w:ascii="Arial" w:eastAsia="Arial" w:hAnsi="Arial" w:cs="Arial"/>
                <w:w w:val="93"/>
                <w:sz w:val="18"/>
                <w:szCs w:val="18"/>
              </w:rPr>
              <w:t>214</w:t>
            </w:r>
          </w:p>
        </w:tc>
        <w:tc>
          <w:tcPr>
            <w:tcW w:w="180" w:type="dxa"/>
            <w:shd w:val="clear" w:color="auto" w:fill="CCEEFF"/>
            <w:vAlign w:val="bottom"/>
          </w:tcPr>
          <w:p w14:paraId="23971911" w14:textId="77777777" w:rsidR="00D1587D" w:rsidRDefault="00D1587D">
            <w:pPr>
              <w:rPr>
                <w:sz w:val="24"/>
                <w:szCs w:val="24"/>
              </w:rPr>
            </w:pPr>
          </w:p>
        </w:tc>
        <w:tc>
          <w:tcPr>
            <w:tcW w:w="280" w:type="dxa"/>
            <w:shd w:val="clear" w:color="auto" w:fill="CCEEFF"/>
            <w:vAlign w:val="bottom"/>
          </w:tcPr>
          <w:p w14:paraId="76A9546C" w14:textId="77777777" w:rsidR="00D1587D" w:rsidRDefault="00D1587D">
            <w:pPr>
              <w:rPr>
                <w:sz w:val="24"/>
                <w:szCs w:val="24"/>
              </w:rPr>
            </w:pPr>
          </w:p>
        </w:tc>
        <w:tc>
          <w:tcPr>
            <w:tcW w:w="500" w:type="dxa"/>
            <w:shd w:val="clear" w:color="auto" w:fill="CCEEFF"/>
            <w:vAlign w:val="bottom"/>
          </w:tcPr>
          <w:p w14:paraId="5918BCBA" w14:textId="77777777" w:rsidR="00D1587D" w:rsidRDefault="00410D07">
            <w:pPr>
              <w:ind w:right="110"/>
              <w:jc w:val="right"/>
              <w:rPr>
                <w:sz w:val="20"/>
                <w:szCs w:val="20"/>
              </w:rPr>
            </w:pPr>
            <w:r>
              <w:rPr>
                <w:rFonts w:ascii="Arial" w:eastAsia="Arial" w:hAnsi="Arial" w:cs="Arial"/>
                <w:w w:val="93"/>
                <w:sz w:val="18"/>
                <w:szCs w:val="18"/>
              </w:rPr>
              <w:t>253</w:t>
            </w:r>
          </w:p>
        </w:tc>
        <w:tc>
          <w:tcPr>
            <w:tcW w:w="180" w:type="dxa"/>
            <w:shd w:val="clear" w:color="auto" w:fill="CCEEFF"/>
            <w:vAlign w:val="bottom"/>
          </w:tcPr>
          <w:p w14:paraId="250D1166" w14:textId="77777777" w:rsidR="00D1587D" w:rsidRDefault="00D1587D">
            <w:pPr>
              <w:rPr>
                <w:sz w:val="24"/>
                <w:szCs w:val="24"/>
              </w:rPr>
            </w:pPr>
          </w:p>
        </w:tc>
        <w:tc>
          <w:tcPr>
            <w:tcW w:w="780" w:type="dxa"/>
            <w:shd w:val="clear" w:color="auto" w:fill="CCEEFF"/>
            <w:vAlign w:val="bottom"/>
          </w:tcPr>
          <w:p w14:paraId="01614A21" w14:textId="77777777" w:rsidR="00D1587D" w:rsidRDefault="00410D07">
            <w:pPr>
              <w:ind w:right="132"/>
              <w:jc w:val="right"/>
              <w:rPr>
                <w:sz w:val="20"/>
                <w:szCs w:val="20"/>
              </w:rPr>
            </w:pPr>
            <w:r>
              <w:rPr>
                <w:rFonts w:ascii="Arial" w:eastAsia="Arial" w:hAnsi="Arial" w:cs="Arial"/>
                <w:sz w:val="18"/>
                <w:szCs w:val="18"/>
              </w:rPr>
              <w:t>81</w:t>
            </w:r>
          </w:p>
        </w:tc>
        <w:tc>
          <w:tcPr>
            <w:tcW w:w="0" w:type="dxa"/>
            <w:vAlign w:val="bottom"/>
          </w:tcPr>
          <w:p w14:paraId="0C657FD3" w14:textId="77777777" w:rsidR="00D1587D" w:rsidRDefault="00D1587D">
            <w:pPr>
              <w:rPr>
                <w:sz w:val="1"/>
                <w:szCs w:val="1"/>
              </w:rPr>
            </w:pPr>
          </w:p>
        </w:tc>
      </w:tr>
      <w:tr w:rsidR="00D1587D" w14:paraId="124430CF" w14:textId="77777777">
        <w:trPr>
          <w:trHeight w:val="324"/>
        </w:trPr>
        <w:tc>
          <w:tcPr>
            <w:tcW w:w="4380" w:type="dxa"/>
            <w:gridSpan w:val="2"/>
            <w:vAlign w:val="bottom"/>
          </w:tcPr>
          <w:p w14:paraId="7B499EF5" w14:textId="77777777" w:rsidR="00D1587D" w:rsidRDefault="00410D07">
            <w:pPr>
              <w:spacing w:line="324" w:lineRule="exact"/>
              <w:rPr>
                <w:sz w:val="20"/>
                <w:szCs w:val="20"/>
              </w:rPr>
            </w:pPr>
            <w:r>
              <w:rPr>
                <w:rFonts w:ascii="Arial" w:eastAsia="Arial" w:hAnsi="Arial" w:cs="Arial"/>
                <w:sz w:val="18"/>
                <w:szCs w:val="18"/>
              </w:rPr>
              <w:t>Restructuring Charges</w:t>
            </w:r>
            <w:r>
              <w:rPr>
                <w:rFonts w:ascii="Arial" w:eastAsia="Arial" w:hAnsi="Arial" w:cs="Arial"/>
                <w:sz w:val="29"/>
                <w:szCs w:val="29"/>
                <w:vertAlign w:val="superscript"/>
              </w:rPr>
              <w:t>(b)</w:t>
            </w:r>
          </w:p>
        </w:tc>
        <w:tc>
          <w:tcPr>
            <w:tcW w:w="660" w:type="dxa"/>
            <w:gridSpan w:val="2"/>
            <w:vAlign w:val="bottom"/>
          </w:tcPr>
          <w:p w14:paraId="52642064"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vAlign w:val="bottom"/>
          </w:tcPr>
          <w:p w14:paraId="663B7677" w14:textId="77777777" w:rsidR="00D1587D" w:rsidRDefault="00410D07">
            <w:pPr>
              <w:ind w:right="260"/>
              <w:jc w:val="right"/>
              <w:rPr>
                <w:sz w:val="20"/>
                <w:szCs w:val="20"/>
              </w:rPr>
            </w:pPr>
            <w:r>
              <w:rPr>
                <w:rFonts w:ascii="Arial" w:eastAsia="Arial" w:hAnsi="Arial" w:cs="Arial"/>
                <w:sz w:val="18"/>
                <w:szCs w:val="18"/>
              </w:rPr>
              <w:t>—</w:t>
            </w:r>
          </w:p>
        </w:tc>
        <w:tc>
          <w:tcPr>
            <w:tcW w:w="280" w:type="dxa"/>
            <w:vAlign w:val="bottom"/>
          </w:tcPr>
          <w:p w14:paraId="123CA0C7" w14:textId="77777777" w:rsidR="00D1587D" w:rsidRDefault="00D1587D">
            <w:pPr>
              <w:rPr>
                <w:sz w:val="24"/>
                <w:szCs w:val="24"/>
              </w:rPr>
            </w:pPr>
          </w:p>
        </w:tc>
        <w:tc>
          <w:tcPr>
            <w:tcW w:w="500" w:type="dxa"/>
            <w:vAlign w:val="bottom"/>
          </w:tcPr>
          <w:p w14:paraId="3AF0BB33" w14:textId="77777777" w:rsidR="00D1587D" w:rsidRDefault="00410D07">
            <w:pPr>
              <w:ind w:right="111"/>
              <w:jc w:val="right"/>
              <w:rPr>
                <w:sz w:val="20"/>
                <w:szCs w:val="20"/>
              </w:rPr>
            </w:pPr>
            <w:r>
              <w:rPr>
                <w:rFonts w:ascii="Arial" w:eastAsia="Arial" w:hAnsi="Arial" w:cs="Arial"/>
                <w:sz w:val="18"/>
                <w:szCs w:val="18"/>
              </w:rPr>
              <w:t>51</w:t>
            </w:r>
          </w:p>
        </w:tc>
        <w:tc>
          <w:tcPr>
            <w:tcW w:w="180" w:type="dxa"/>
            <w:vAlign w:val="bottom"/>
          </w:tcPr>
          <w:p w14:paraId="404A6340" w14:textId="77777777" w:rsidR="00D1587D" w:rsidRDefault="00D1587D">
            <w:pPr>
              <w:rPr>
                <w:sz w:val="24"/>
                <w:szCs w:val="24"/>
              </w:rPr>
            </w:pPr>
          </w:p>
        </w:tc>
        <w:tc>
          <w:tcPr>
            <w:tcW w:w="280" w:type="dxa"/>
            <w:vAlign w:val="bottom"/>
          </w:tcPr>
          <w:p w14:paraId="00CE7249" w14:textId="77777777" w:rsidR="00D1587D" w:rsidRDefault="00D1587D">
            <w:pPr>
              <w:rPr>
                <w:sz w:val="24"/>
                <w:szCs w:val="24"/>
              </w:rPr>
            </w:pPr>
          </w:p>
        </w:tc>
        <w:tc>
          <w:tcPr>
            <w:tcW w:w="680" w:type="dxa"/>
            <w:gridSpan w:val="2"/>
            <w:vAlign w:val="bottom"/>
          </w:tcPr>
          <w:p w14:paraId="0B02FA71" w14:textId="77777777" w:rsidR="00D1587D" w:rsidRDefault="00410D07">
            <w:pPr>
              <w:ind w:right="380"/>
              <w:jc w:val="right"/>
              <w:rPr>
                <w:sz w:val="20"/>
                <w:szCs w:val="20"/>
              </w:rPr>
            </w:pPr>
            <w:r>
              <w:rPr>
                <w:rFonts w:ascii="Arial" w:eastAsia="Arial" w:hAnsi="Arial" w:cs="Arial"/>
                <w:sz w:val="18"/>
                <w:szCs w:val="18"/>
              </w:rPr>
              <w:t>—</w:t>
            </w:r>
          </w:p>
        </w:tc>
        <w:tc>
          <w:tcPr>
            <w:tcW w:w="780" w:type="dxa"/>
            <w:vAlign w:val="bottom"/>
          </w:tcPr>
          <w:p w14:paraId="0C4E8311"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3B06E321" w14:textId="77777777" w:rsidR="00D1587D" w:rsidRDefault="00D1587D">
            <w:pPr>
              <w:rPr>
                <w:sz w:val="1"/>
                <w:szCs w:val="1"/>
              </w:rPr>
            </w:pPr>
          </w:p>
        </w:tc>
      </w:tr>
      <w:tr w:rsidR="00D1587D" w14:paraId="0B20B949" w14:textId="77777777">
        <w:trPr>
          <w:trHeight w:val="324"/>
        </w:trPr>
        <w:tc>
          <w:tcPr>
            <w:tcW w:w="4380" w:type="dxa"/>
            <w:gridSpan w:val="2"/>
            <w:shd w:val="clear" w:color="auto" w:fill="CCEEFF"/>
            <w:vAlign w:val="bottom"/>
          </w:tcPr>
          <w:p w14:paraId="5D113FD4" w14:textId="77777777" w:rsidR="00D1587D" w:rsidRDefault="00410D07">
            <w:pPr>
              <w:spacing w:line="324" w:lineRule="exact"/>
              <w:rPr>
                <w:sz w:val="20"/>
                <w:szCs w:val="20"/>
              </w:rPr>
            </w:pPr>
            <w:r>
              <w:rPr>
                <w:rFonts w:ascii="Arial" w:eastAsia="Arial" w:hAnsi="Arial" w:cs="Arial"/>
                <w:sz w:val="18"/>
                <w:szCs w:val="18"/>
              </w:rPr>
              <w:t xml:space="preserve">Hong </w:t>
            </w:r>
            <w:r>
              <w:rPr>
                <w:rFonts w:ascii="Arial" w:eastAsia="Arial" w:hAnsi="Arial" w:cs="Arial"/>
                <w:sz w:val="18"/>
                <w:szCs w:val="18"/>
              </w:rPr>
              <w:t>Kong Store Closure and Lease Termination</w:t>
            </w:r>
            <w:r>
              <w:rPr>
                <w:rFonts w:ascii="Arial" w:eastAsia="Arial" w:hAnsi="Arial" w:cs="Arial"/>
                <w:sz w:val="29"/>
                <w:szCs w:val="29"/>
                <w:vertAlign w:val="superscript"/>
              </w:rPr>
              <w:t>(c)</w:t>
            </w:r>
          </w:p>
        </w:tc>
        <w:tc>
          <w:tcPr>
            <w:tcW w:w="660" w:type="dxa"/>
            <w:gridSpan w:val="2"/>
            <w:shd w:val="clear" w:color="auto" w:fill="CCEEFF"/>
            <w:vAlign w:val="bottom"/>
          </w:tcPr>
          <w:p w14:paraId="79CA7E8E"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shd w:val="clear" w:color="auto" w:fill="CCEEFF"/>
            <w:vAlign w:val="bottom"/>
          </w:tcPr>
          <w:p w14:paraId="686605EB" w14:textId="77777777" w:rsidR="00D1587D" w:rsidRDefault="00410D07">
            <w:pPr>
              <w:ind w:right="260"/>
              <w:jc w:val="right"/>
              <w:rPr>
                <w:sz w:val="20"/>
                <w:szCs w:val="20"/>
              </w:rPr>
            </w:pPr>
            <w:r>
              <w:rPr>
                <w:rFonts w:ascii="Arial" w:eastAsia="Arial" w:hAnsi="Arial" w:cs="Arial"/>
                <w:sz w:val="18"/>
                <w:szCs w:val="18"/>
              </w:rPr>
              <w:t>—</w:t>
            </w:r>
          </w:p>
        </w:tc>
        <w:tc>
          <w:tcPr>
            <w:tcW w:w="280" w:type="dxa"/>
            <w:shd w:val="clear" w:color="auto" w:fill="CCEEFF"/>
            <w:vAlign w:val="bottom"/>
          </w:tcPr>
          <w:p w14:paraId="2CFDFDC9" w14:textId="77777777" w:rsidR="00D1587D" w:rsidRDefault="00D1587D">
            <w:pPr>
              <w:rPr>
                <w:sz w:val="24"/>
                <w:szCs w:val="24"/>
              </w:rPr>
            </w:pPr>
          </w:p>
        </w:tc>
        <w:tc>
          <w:tcPr>
            <w:tcW w:w="500" w:type="dxa"/>
            <w:shd w:val="clear" w:color="auto" w:fill="CCEEFF"/>
            <w:vAlign w:val="bottom"/>
          </w:tcPr>
          <w:p w14:paraId="26FDD3B3" w14:textId="77777777" w:rsidR="00D1587D" w:rsidRDefault="00410D07">
            <w:pPr>
              <w:ind w:right="51"/>
              <w:jc w:val="right"/>
              <w:rPr>
                <w:sz w:val="20"/>
                <w:szCs w:val="20"/>
              </w:rPr>
            </w:pPr>
            <w:r>
              <w:rPr>
                <w:rFonts w:ascii="Arial" w:eastAsia="Arial" w:hAnsi="Arial" w:cs="Arial"/>
                <w:sz w:val="18"/>
                <w:szCs w:val="18"/>
              </w:rPr>
              <w:t>(36)</w:t>
            </w:r>
          </w:p>
        </w:tc>
        <w:tc>
          <w:tcPr>
            <w:tcW w:w="180" w:type="dxa"/>
            <w:shd w:val="clear" w:color="auto" w:fill="CCEEFF"/>
            <w:vAlign w:val="bottom"/>
          </w:tcPr>
          <w:p w14:paraId="72AF3F09" w14:textId="77777777" w:rsidR="00D1587D" w:rsidRDefault="00D1587D">
            <w:pPr>
              <w:rPr>
                <w:sz w:val="24"/>
                <w:szCs w:val="24"/>
              </w:rPr>
            </w:pPr>
          </w:p>
        </w:tc>
        <w:tc>
          <w:tcPr>
            <w:tcW w:w="280" w:type="dxa"/>
            <w:shd w:val="clear" w:color="auto" w:fill="CCEEFF"/>
            <w:vAlign w:val="bottom"/>
          </w:tcPr>
          <w:p w14:paraId="48122146" w14:textId="77777777" w:rsidR="00D1587D" w:rsidRDefault="00D1587D">
            <w:pPr>
              <w:rPr>
                <w:sz w:val="24"/>
                <w:szCs w:val="24"/>
              </w:rPr>
            </w:pPr>
          </w:p>
        </w:tc>
        <w:tc>
          <w:tcPr>
            <w:tcW w:w="680" w:type="dxa"/>
            <w:gridSpan w:val="2"/>
            <w:shd w:val="clear" w:color="auto" w:fill="CCEEFF"/>
            <w:vAlign w:val="bottom"/>
          </w:tcPr>
          <w:p w14:paraId="7A934E92" w14:textId="77777777" w:rsidR="00D1587D" w:rsidRDefault="00410D07">
            <w:pPr>
              <w:ind w:right="380"/>
              <w:jc w:val="right"/>
              <w:rPr>
                <w:sz w:val="20"/>
                <w:szCs w:val="20"/>
              </w:rPr>
            </w:pPr>
            <w:r>
              <w:rPr>
                <w:rFonts w:ascii="Arial" w:eastAsia="Arial" w:hAnsi="Arial" w:cs="Arial"/>
                <w:sz w:val="18"/>
                <w:szCs w:val="18"/>
              </w:rPr>
              <w:t>—</w:t>
            </w:r>
          </w:p>
        </w:tc>
        <w:tc>
          <w:tcPr>
            <w:tcW w:w="780" w:type="dxa"/>
            <w:shd w:val="clear" w:color="auto" w:fill="CCEEFF"/>
            <w:vAlign w:val="bottom"/>
          </w:tcPr>
          <w:p w14:paraId="003A3692"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544C3882" w14:textId="77777777" w:rsidR="00D1587D" w:rsidRDefault="00D1587D">
            <w:pPr>
              <w:rPr>
                <w:sz w:val="1"/>
                <w:szCs w:val="1"/>
              </w:rPr>
            </w:pPr>
          </w:p>
        </w:tc>
      </w:tr>
      <w:tr w:rsidR="00D1587D" w14:paraId="246875DA" w14:textId="77777777">
        <w:trPr>
          <w:trHeight w:val="246"/>
        </w:trPr>
        <w:tc>
          <w:tcPr>
            <w:tcW w:w="4380" w:type="dxa"/>
            <w:gridSpan w:val="2"/>
            <w:vAlign w:val="bottom"/>
          </w:tcPr>
          <w:p w14:paraId="0170D028" w14:textId="77777777" w:rsidR="00D1587D" w:rsidRDefault="00410D07">
            <w:pPr>
              <w:rPr>
                <w:sz w:val="20"/>
                <w:szCs w:val="20"/>
              </w:rPr>
            </w:pPr>
            <w:r>
              <w:rPr>
                <w:rFonts w:ascii="Arial" w:eastAsia="Arial" w:hAnsi="Arial" w:cs="Arial"/>
                <w:w w:val="97"/>
                <w:sz w:val="18"/>
                <w:szCs w:val="18"/>
              </w:rPr>
              <w:t>Establishment of Victoria’s Secret U.K. and Ireland Joint</w:t>
            </w:r>
          </w:p>
        </w:tc>
        <w:tc>
          <w:tcPr>
            <w:tcW w:w="480" w:type="dxa"/>
            <w:vAlign w:val="bottom"/>
          </w:tcPr>
          <w:p w14:paraId="5FEE4F91" w14:textId="77777777" w:rsidR="00D1587D" w:rsidRDefault="00D1587D">
            <w:pPr>
              <w:rPr>
                <w:sz w:val="21"/>
                <w:szCs w:val="21"/>
              </w:rPr>
            </w:pPr>
          </w:p>
        </w:tc>
        <w:tc>
          <w:tcPr>
            <w:tcW w:w="180" w:type="dxa"/>
            <w:vAlign w:val="bottom"/>
          </w:tcPr>
          <w:p w14:paraId="546F60FE" w14:textId="77777777" w:rsidR="00D1587D" w:rsidRDefault="00D1587D">
            <w:pPr>
              <w:rPr>
                <w:sz w:val="21"/>
                <w:szCs w:val="21"/>
              </w:rPr>
            </w:pPr>
          </w:p>
        </w:tc>
        <w:tc>
          <w:tcPr>
            <w:tcW w:w="500" w:type="dxa"/>
            <w:vAlign w:val="bottom"/>
          </w:tcPr>
          <w:p w14:paraId="4FE8C41E" w14:textId="77777777" w:rsidR="00D1587D" w:rsidRDefault="00D1587D">
            <w:pPr>
              <w:rPr>
                <w:sz w:val="21"/>
                <w:szCs w:val="21"/>
              </w:rPr>
            </w:pPr>
          </w:p>
        </w:tc>
        <w:tc>
          <w:tcPr>
            <w:tcW w:w="180" w:type="dxa"/>
            <w:vAlign w:val="bottom"/>
          </w:tcPr>
          <w:p w14:paraId="2FB8968E" w14:textId="77777777" w:rsidR="00D1587D" w:rsidRDefault="00D1587D">
            <w:pPr>
              <w:rPr>
                <w:sz w:val="21"/>
                <w:szCs w:val="21"/>
              </w:rPr>
            </w:pPr>
          </w:p>
        </w:tc>
        <w:tc>
          <w:tcPr>
            <w:tcW w:w="280" w:type="dxa"/>
            <w:vAlign w:val="bottom"/>
          </w:tcPr>
          <w:p w14:paraId="57748F64" w14:textId="77777777" w:rsidR="00D1587D" w:rsidRDefault="00D1587D">
            <w:pPr>
              <w:rPr>
                <w:sz w:val="21"/>
                <w:szCs w:val="21"/>
              </w:rPr>
            </w:pPr>
          </w:p>
        </w:tc>
        <w:tc>
          <w:tcPr>
            <w:tcW w:w="500" w:type="dxa"/>
            <w:vAlign w:val="bottom"/>
          </w:tcPr>
          <w:p w14:paraId="2DADC5F2" w14:textId="77777777" w:rsidR="00D1587D" w:rsidRDefault="00D1587D">
            <w:pPr>
              <w:rPr>
                <w:sz w:val="21"/>
                <w:szCs w:val="21"/>
              </w:rPr>
            </w:pPr>
          </w:p>
        </w:tc>
        <w:tc>
          <w:tcPr>
            <w:tcW w:w="180" w:type="dxa"/>
            <w:vAlign w:val="bottom"/>
          </w:tcPr>
          <w:p w14:paraId="7E8FADDA" w14:textId="77777777" w:rsidR="00D1587D" w:rsidRDefault="00D1587D">
            <w:pPr>
              <w:rPr>
                <w:sz w:val="21"/>
                <w:szCs w:val="21"/>
              </w:rPr>
            </w:pPr>
          </w:p>
        </w:tc>
        <w:tc>
          <w:tcPr>
            <w:tcW w:w="280" w:type="dxa"/>
            <w:vAlign w:val="bottom"/>
          </w:tcPr>
          <w:p w14:paraId="690D7556" w14:textId="77777777" w:rsidR="00D1587D" w:rsidRDefault="00D1587D">
            <w:pPr>
              <w:rPr>
                <w:sz w:val="21"/>
                <w:szCs w:val="21"/>
              </w:rPr>
            </w:pPr>
          </w:p>
        </w:tc>
        <w:tc>
          <w:tcPr>
            <w:tcW w:w="500" w:type="dxa"/>
            <w:vAlign w:val="bottom"/>
          </w:tcPr>
          <w:p w14:paraId="445B48DF" w14:textId="77777777" w:rsidR="00D1587D" w:rsidRDefault="00D1587D">
            <w:pPr>
              <w:rPr>
                <w:sz w:val="21"/>
                <w:szCs w:val="21"/>
              </w:rPr>
            </w:pPr>
          </w:p>
        </w:tc>
        <w:tc>
          <w:tcPr>
            <w:tcW w:w="180" w:type="dxa"/>
            <w:vAlign w:val="bottom"/>
          </w:tcPr>
          <w:p w14:paraId="7D076AAD" w14:textId="77777777" w:rsidR="00D1587D" w:rsidRDefault="00D1587D">
            <w:pPr>
              <w:rPr>
                <w:sz w:val="21"/>
                <w:szCs w:val="21"/>
              </w:rPr>
            </w:pPr>
          </w:p>
        </w:tc>
        <w:tc>
          <w:tcPr>
            <w:tcW w:w="780" w:type="dxa"/>
            <w:vAlign w:val="bottom"/>
          </w:tcPr>
          <w:p w14:paraId="20945C9F" w14:textId="77777777" w:rsidR="00D1587D" w:rsidRDefault="00D1587D">
            <w:pPr>
              <w:rPr>
                <w:sz w:val="21"/>
                <w:szCs w:val="21"/>
              </w:rPr>
            </w:pPr>
          </w:p>
        </w:tc>
        <w:tc>
          <w:tcPr>
            <w:tcW w:w="0" w:type="dxa"/>
            <w:vAlign w:val="bottom"/>
          </w:tcPr>
          <w:p w14:paraId="76B1F748" w14:textId="77777777" w:rsidR="00D1587D" w:rsidRDefault="00D1587D">
            <w:pPr>
              <w:rPr>
                <w:sz w:val="1"/>
                <w:szCs w:val="1"/>
              </w:rPr>
            </w:pPr>
          </w:p>
        </w:tc>
      </w:tr>
      <w:tr w:rsidR="00D1587D" w14:paraId="46F5ACF9" w14:textId="77777777">
        <w:trPr>
          <w:trHeight w:val="294"/>
        </w:trPr>
        <w:tc>
          <w:tcPr>
            <w:tcW w:w="4380" w:type="dxa"/>
            <w:gridSpan w:val="2"/>
            <w:vAlign w:val="bottom"/>
          </w:tcPr>
          <w:p w14:paraId="567DE6DD" w14:textId="77777777" w:rsidR="00D1587D" w:rsidRDefault="00410D07">
            <w:pPr>
              <w:spacing w:line="294" w:lineRule="exact"/>
              <w:ind w:left="180"/>
              <w:rPr>
                <w:sz w:val="20"/>
                <w:szCs w:val="20"/>
              </w:rPr>
            </w:pPr>
            <w:r>
              <w:rPr>
                <w:rFonts w:ascii="Arial" w:eastAsia="Arial" w:hAnsi="Arial" w:cs="Arial"/>
                <w:sz w:val="18"/>
                <w:szCs w:val="18"/>
              </w:rPr>
              <w:t>Venture</w:t>
            </w:r>
            <w:r>
              <w:rPr>
                <w:rFonts w:ascii="Arial" w:eastAsia="Arial" w:hAnsi="Arial" w:cs="Arial"/>
                <w:sz w:val="29"/>
                <w:szCs w:val="29"/>
                <w:vertAlign w:val="superscript"/>
              </w:rPr>
              <w:t>(d)</w:t>
            </w:r>
          </w:p>
        </w:tc>
        <w:tc>
          <w:tcPr>
            <w:tcW w:w="660" w:type="dxa"/>
            <w:gridSpan w:val="2"/>
            <w:vAlign w:val="bottom"/>
          </w:tcPr>
          <w:p w14:paraId="370E8EBE"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vAlign w:val="bottom"/>
          </w:tcPr>
          <w:p w14:paraId="4486DC6D" w14:textId="77777777" w:rsidR="00D1587D" w:rsidRDefault="00410D07">
            <w:pPr>
              <w:ind w:right="260"/>
              <w:jc w:val="right"/>
              <w:rPr>
                <w:sz w:val="20"/>
                <w:szCs w:val="20"/>
              </w:rPr>
            </w:pPr>
            <w:r>
              <w:rPr>
                <w:rFonts w:ascii="Arial" w:eastAsia="Arial" w:hAnsi="Arial" w:cs="Arial"/>
                <w:sz w:val="18"/>
                <w:szCs w:val="18"/>
              </w:rPr>
              <w:t>—</w:t>
            </w:r>
          </w:p>
        </w:tc>
        <w:tc>
          <w:tcPr>
            <w:tcW w:w="280" w:type="dxa"/>
            <w:vAlign w:val="bottom"/>
          </w:tcPr>
          <w:p w14:paraId="04C30D6E" w14:textId="77777777" w:rsidR="00D1587D" w:rsidRDefault="00D1587D">
            <w:pPr>
              <w:rPr>
                <w:sz w:val="24"/>
                <w:szCs w:val="24"/>
              </w:rPr>
            </w:pPr>
          </w:p>
        </w:tc>
        <w:tc>
          <w:tcPr>
            <w:tcW w:w="500" w:type="dxa"/>
            <w:vAlign w:val="bottom"/>
          </w:tcPr>
          <w:p w14:paraId="49E6E18B" w14:textId="77777777" w:rsidR="00D1587D" w:rsidRDefault="00410D07">
            <w:pPr>
              <w:ind w:right="51"/>
              <w:jc w:val="right"/>
              <w:rPr>
                <w:sz w:val="20"/>
                <w:szCs w:val="20"/>
              </w:rPr>
            </w:pPr>
            <w:r>
              <w:rPr>
                <w:rFonts w:ascii="Arial" w:eastAsia="Arial" w:hAnsi="Arial" w:cs="Arial"/>
                <w:sz w:val="18"/>
                <w:szCs w:val="18"/>
              </w:rPr>
              <w:t>(30)</w:t>
            </w:r>
          </w:p>
        </w:tc>
        <w:tc>
          <w:tcPr>
            <w:tcW w:w="180" w:type="dxa"/>
            <w:vAlign w:val="bottom"/>
          </w:tcPr>
          <w:p w14:paraId="39676E42" w14:textId="77777777" w:rsidR="00D1587D" w:rsidRDefault="00D1587D">
            <w:pPr>
              <w:rPr>
                <w:sz w:val="24"/>
                <w:szCs w:val="24"/>
              </w:rPr>
            </w:pPr>
          </w:p>
        </w:tc>
        <w:tc>
          <w:tcPr>
            <w:tcW w:w="280" w:type="dxa"/>
            <w:vAlign w:val="bottom"/>
          </w:tcPr>
          <w:p w14:paraId="4FFDAEDF" w14:textId="77777777" w:rsidR="00D1587D" w:rsidRDefault="00D1587D">
            <w:pPr>
              <w:rPr>
                <w:sz w:val="24"/>
                <w:szCs w:val="24"/>
              </w:rPr>
            </w:pPr>
          </w:p>
        </w:tc>
        <w:tc>
          <w:tcPr>
            <w:tcW w:w="680" w:type="dxa"/>
            <w:gridSpan w:val="2"/>
            <w:vAlign w:val="bottom"/>
          </w:tcPr>
          <w:p w14:paraId="522A7322" w14:textId="77777777" w:rsidR="00D1587D" w:rsidRDefault="00410D07">
            <w:pPr>
              <w:ind w:right="380"/>
              <w:jc w:val="right"/>
              <w:rPr>
                <w:sz w:val="20"/>
                <w:szCs w:val="20"/>
              </w:rPr>
            </w:pPr>
            <w:r>
              <w:rPr>
                <w:rFonts w:ascii="Arial" w:eastAsia="Arial" w:hAnsi="Arial" w:cs="Arial"/>
                <w:sz w:val="18"/>
                <w:szCs w:val="18"/>
              </w:rPr>
              <w:t>—</w:t>
            </w:r>
          </w:p>
        </w:tc>
        <w:tc>
          <w:tcPr>
            <w:tcW w:w="780" w:type="dxa"/>
            <w:vAlign w:val="bottom"/>
          </w:tcPr>
          <w:p w14:paraId="418FBC30"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4233594D" w14:textId="77777777" w:rsidR="00D1587D" w:rsidRDefault="00D1587D">
            <w:pPr>
              <w:rPr>
                <w:sz w:val="1"/>
                <w:szCs w:val="1"/>
              </w:rPr>
            </w:pPr>
          </w:p>
        </w:tc>
      </w:tr>
      <w:tr w:rsidR="00D1587D" w14:paraId="29502B8F" w14:textId="77777777">
        <w:trPr>
          <w:trHeight w:val="324"/>
        </w:trPr>
        <w:tc>
          <w:tcPr>
            <w:tcW w:w="4380" w:type="dxa"/>
            <w:gridSpan w:val="2"/>
            <w:shd w:val="clear" w:color="auto" w:fill="CCEEFF"/>
            <w:vAlign w:val="bottom"/>
          </w:tcPr>
          <w:p w14:paraId="59F9A9AB" w14:textId="77777777" w:rsidR="00D1587D" w:rsidRDefault="00410D07">
            <w:pPr>
              <w:spacing w:line="324" w:lineRule="exact"/>
              <w:rPr>
                <w:sz w:val="20"/>
                <w:szCs w:val="20"/>
              </w:rPr>
            </w:pPr>
            <w:r>
              <w:rPr>
                <w:rFonts w:ascii="Arial" w:eastAsia="Arial" w:hAnsi="Arial" w:cs="Arial"/>
                <w:sz w:val="18"/>
                <w:szCs w:val="18"/>
              </w:rPr>
              <w:t>Impairment of Goodwill</w:t>
            </w:r>
            <w:r>
              <w:rPr>
                <w:rFonts w:ascii="Arial" w:eastAsia="Arial" w:hAnsi="Arial" w:cs="Arial"/>
                <w:sz w:val="29"/>
                <w:szCs w:val="29"/>
                <w:vertAlign w:val="superscript"/>
              </w:rPr>
              <w:t>(e)</w:t>
            </w:r>
          </w:p>
        </w:tc>
        <w:tc>
          <w:tcPr>
            <w:tcW w:w="660" w:type="dxa"/>
            <w:gridSpan w:val="2"/>
            <w:shd w:val="clear" w:color="auto" w:fill="CCEEFF"/>
            <w:vAlign w:val="bottom"/>
          </w:tcPr>
          <w:p w14:paraId="59EEDD76"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shd w:val="clear" w:color="auto" w:fill="CCEEFF"/>
            <w:vAlign w:val="bottom"/>
          </w:tcPr>
          <w:p w14:paraId="3BB2D7A0" w14:textId="77777777" w:rsidR="00D1587D" w:rsidRDefault="00410D07">
            <w:pPr>
              <w:ind w:right="260"/>
              <w:jc w:val="right"/>
              <w:rPr>
                <w:sz w:val="20"/>
                <w:szCs w:val="20"/>
              </w:rPr>
            </w:pPr>
            <w:r>
              <w:rPr>
                <w:rFonts w:ascii="Arial" w:eastAsia="Arial" w:hAnsi="Arial" w:cs="Arial"/>
                <w:sz w:val="18"/>
                <w:szCs w:val="18"/>
              </w:rPr>
              <w:t>—</w:t>
            </w:r>
          </w:p>
        </w:tc>
        <w:tc>
          <w:tcPr>
            <w:tcW w:w="280" w:type="dxa"/>
            <w:shd w:val="clear" w:color="auto" w:fill="CCEEFF"/>
            <w:vAlign w:val="bottom"/>
          </w:tcPr>
          <w:p w14:paraId="5706F435" w14:textId="77777777" w:rsidR="00D1587D" w:rsidRDefault="00D1587D">
            <w:pPr>
              <w:rPr>
                <w:sz w:val="24"/>
                <w:szCs w:val="24"/>
              </w:rPr>
            </w:pPr>
          </w:p>
        </w:tc>
        <w:tc>
          <w:tcPr>
            <w:tcW w:w="500" w:type="dxa"/>
            <w:shd w:val="clear" w:color="auto" w:fill="CCEEFF"/>
            <w:vAlign w:val="bottom"/>
          </w:tcPr>
          <w:p w14:paraId="40D3825A" w14:textId="77777777" w:rsidR="00D1587D" w:rsidRDefault="00410D07">
            <w:pPr>
              <w:ind w:right="111"/>
              <w:jc w:val="right"/>
              <w:rPr>
                <w:sz w:val="20"/>
                <w:szCs w:val="20"/>
              </w:rPr>
            </w:pPr>
            <w:r>
              <w:rPr>
                <w:rFonts w:ascii="Arial" w:eastAsia="Arial" w:hAnsi="Arial" w:cs="Arial"/>
                <w:sz w:val="18"/>
                <w:szCs w:val="18"/>
              </w:rPr>
              <w:t>—</w:t>
            </w:r>
          </w:p>
        </w:tc>
        <w:tc>
          <w:tcPr>
            <w:tcW w:w="180" w:type="dxa"/>
            <w:shd w:val="clear" w:color="auto" w:fill="CCEEFF"/>
            <w:vAlign w:val="bottom"/>
          </w:tcPr>
          <w:p w14:paraId="0D3C7C28" w14:textId="77777777" w:rsidR="00D1587D" w:rsidRDefault="00D1587D">
            <w:pPr>
              <w:rPr>
                <w:sz w:val="24"/>
                <w:szCs w:val="24"/>
              </w:rPr>
            </w:pPr>
          </w:p>
        </w:tc>
        <w:tc>
          <w:tcPr>
            <w:tcW w:w="280" w:type="dxa"/>
            <w:shd w:val="clear" w:color="auto" w:fill="CCEEFF"/>
            <w:vAlign w:val="bottom"/>
          </w:tcPr>
          <w:p w14:paraId="6473CC9E" w14:textId="77777777" w:rsidR="00D1587D" w:rsidRDefault="00D1587D">
            <w:pPr>
              <w:rPr>
                <w:sz w:val="24"/>
                <w:szCs w:val="24"/>
              </w:rPr>
            </w:pPr>
          </w:p>
        </w:tc>
        <w:tc>
          <w:tcPr>
            <w:tcW w:w="500" w:type="dxa"/>
            <w:shd w:val="clear" w:color="auto" w:fill="CCEEFF"/>
            <w:vAlign w:val="bottom"/>
          </w:tcPr>
          <w:p w14:paraId="497DAB2E" w14:textId="77777777" w:rsidR="00D1587D" w:rsidRDefault="00410D07">
            <w:pPr>
              <w:ind w:right="110"/>
              <w:jc w:val="right"/>
              <w:rPr>
                <w:sz w:val="20"/>
                <w:szCs w:val="20"/>
              </w:rPr>
            </w:pPr>
            <w:r>
              <w:rPr>
                <w:rFonts w:ascii="Arial" w:eastAsia="Arial" w:hAnsi="Arial" w:cs="Arial"/>
                <w:w w:val="93"/>
                <w:sz w:val="18"/>
                <w:szCs w:val="18"/>
              </w:rPr>
              <w:t>720</w:t>
            </w:r>
          </w:p>
        </w:tc>
        <w:tc>
          <w:tcPr>
            <w:tcW w:w="180" w:type="dxa"/>
            <w:shd w:val="clear" w:color="auto" w:fill="CCEEFF"/>
            <w:vAlign w:val="bottom"/>
          </w:tcPr>
          <w:p w14:paraId="751CDF1F" w14:textId="77777777" w:rsidR="00D1587D" w:rsidRDefault="00D1587D">
            <w:pPr>
              <w:rPr>
                <w:sz w:val="24"/>
                <w:szCs w:val="24"/>
              </w:rPr>
            </w:pPr>
          </w:p>
        </w:tc>
        <w:tc>
          <w:tcPr>
            <w:tcW w:w="780" w:type="dxa"/>
            <w:shd w:val="clear" w:color="auto" w:fill="CCEEFF"/>
            <w:vAlign w:val="bottom"/>
          </w:tcPr>
          <w:p w14:paraId="6FA8992D" w14:textId="77777777" w:rsidR="00D1587D" w:rsidRDefault="00410D07">
            <w:pPr>
              <w:ind w:right="132"/>
              <w:jc w:val="right"/>
              <w:rPr>
                <w:sz w:val="20"/>
                <w:szCs w:val="20"/>
              </w:rPr>
            </w:pPr>
            <w:r>
              <w:rPr>
                <w:rFonts w:ascii="Arial" w:eastAsia="Arial" w:hAnsi="Arial" w:cs="Arial"/>
                <w:sz w:val="18"/>
                <w:szCs w:val="18"/>
              </w:rPr>
              <w:t>—</w:t>
            </w:r>
          </w:p>
        </w:tc>
        <w:tc>
          <w:tcPr>
            <w:tcW w:w="0" w:type="dxa"/>
            <w:vAlign w:val="bottom"/>
          </w:tcPr>
          <w:p w14:paraId="3209495C" w14:textId="77777777" w:rsidR="00D1587D" w:rsidRDefault="00D1587D">
            <w:pPr>
              <w:rPr>
                <w:sz w:val="1"/>
                <w:szCs w:val="1"/>
              </w:rPr>
            </w:pPr>
          </w:p>
        </w:tc>
      </w:tr>
      <w:tr w:rsidR="00D1587D" w14:paraId="758E34E4" w14:textId="77777777">
        <w:trPr>
          <w:trHeight w:val="270"/>
        </w:trPr>
        <w:tc>
          <w:tcPr>
            <w:tcW w:w="4380" w:type="dxa"/>
            <w:gridSpan w:val="2"/>
            <w:vAlign w:val="bottom"/>
          </w:tcPr>
          <w:p w14:paraId="03A3DE53" w14:textId="77777777" w:rsidR="00D1587D" w:rsidRDefault="00410D07">
            <w:pPr>
              <w:rPr>
                <w:sz w:val="20"/>
                <w:szCs w:val="20"/>
              </w:rPr>
            </w:pPr>
            <w:r>
              <w:rPr>
                <w:rFonts w:ascii="Arial" w:eastAsia="Arial" w:hAnsi="Arial" w:cs="Arial"/>
                <w:sz w:val="18"/>
                <w:szCs w:val="18"/>
              </w:rPr>
              <w:t>Tax Effect</w:t>
            </w:r>
          </w:p>
        </w:tc>
        <w:tc>
          <w:tcPr>
            <w:tcW w:w="660" w:type="dxa"/>
            <w:gridSpan w:val="2"/>
            <w:vAlign w:val="bottom"/>
          </w:tcPr>
          <w:p w14:paraId="4094D3AB" w14:textId="77777777" w:rsidR="00D1587D" w:rsidRDefault="00410D07">
            <w:pPr>
              <w:ind w:right="260"/>
              <w:jc w:val="right"/>
              <w:rPr>
                <w:sz w:val="20"/>
                <w:szCs w:val="20"/>
              </w:rPr>
            </w:pPr>
            <w:r>
              <w:rPr>
                <w:rFonts w:ascii="Arial" w:eastAsia="Arial" w:hAnsi="Arial" w:cs="Arial"/>
                <w:sz w:val="18"/>
                <w:szCs w:val="18"/>
              </w:rPr>
              <w:t>—</w:t>
            </w:r>
          </w:p>
        </w:tc>
        <w:tc>
          <w:tcPr>
            <w:tcW w:w="500" w:type="dxa"/>
            <w:vAlign w:val="bottom"/>
          </w:tcPr>
          <w:p w14:paraId="288925D5" w14:textId="77777777" w:rsidR="00D1587D" w:rsidRDefault="00410D07">
            <w:pPr>
              <w:jc w:val="right"/>
              <w:rPr>
                <w:sz w:val="20"/>
                <w:szCs w:val="20"/>
              </w:rPr>
            </w:pPr>
            <w:r>
              <w:rPr>
                <w:rFonts w:ascii="Arial" w:eastAsia="Arial" w:hAnsi="Arial" w:cs="Arial"/>
                <w:sz w:val="18"/>
                <w:szCs w:val="18"/>
              </w:rPr>
              <w:t>(25)</w:t>
            </w:r>
          </w:p>
        </w:tc>
        <w:tc>
          <w:tcPr>
            <w:tcW w:w="180" w:type="dxa"/>
            <w:vAlign w:val="bottom"/>
          </w:tcPr>
          <w:p w14:paraId="307D26A2" w14:textId="77777777" w:rsidR="00D1587D" w:rsidRDefault="00D1587D">
            <w:pPr>
              <w:rPr>
                <w:sz w:val="23"/>
                <w:szCs w:val="23"/>
              </w:rPr>
            </w:pPr>
          </w:p>
        </w:tc>
        <w:tc>
          <w:tcPr>
            <w:tcW w:w="280" w:type="dxa"/>
            <w:vAlign w:val="bottom"/>
          </w:tcPr>
          <w:p w14:paraId="4C3FEEEA" w14:textId="77777777" w:rsidR="00D1587D" w:rsidRDefault="00D1587D">
            <w:pPr>
              <w:rPr>
                <w:sz w:val="23"/>
                <w:szCs w:val="23"/>
              </w:rPr>
            </w:pPr>
          </w:p>
        </w:tc>
        <w:tc>
          <w:tcPr>
            <w:tcW w:w="500" w:type="dxa"/>
            <w:vAlign w:val="bottom"/>
          </w:tcPr>
          <w:p w14:paraId="4BBD6D96" w14:textId="77777777" w:rsidR="00D1587D" w:rsidRDefault="00410D07">
            <w:pPr>
              <w:ind w:right="51"/>
              <w:jc w:val="right"/>
              <w:rPr>
                <w:sz w:val="20"/>
                <w:szCs w:val="20"/>
              </w:rPr>
            </w:pPr>
            <w:r>
              <w:rPr>
                <w:rFonts w:ascii="Arial" w:eastAsia="Arial" w:hAnsi="Arial" w:cs="Arial"/>
                <w:sz w:val="18"/>
                <w:szCs w:val="18"/>
              </w:rPr>
              <w:t>(40)</w:t>
            </w:r>
          </w:p>
        </w:tc>
        <w:tc>
          <w:tcPr>
            <w:tcW w:w="180" w:type="dxa"/>
            <w:vAlign w:val="bottom"/>
          </w:tcPr>
          <w:p w14:paraId="3D21E085" w14:textId="77777777" w:rsidR="00D1587D" w:rsidRDefault="00D1587D">
            <w:pPr>
              <w:rPr>
                <w:sz w:val="23"/>
                <w:szCs w:val="23"/>
              </w:rPr>
            </w:pPr>
          </w:p>
        </w:tc>
        <w:tc>
          <w:tcPr>
            <w:tcW w:w="280" w:type="dxa"/>
            <w:vAlign w:val="bottom"/>
          </w:tcPr>
          <w:p w14:paraId="57AF1DAA" w14:textId="77777777" w:rsidR="00D1587D" w:rsidRDefault="00D1587D">
            <w:pPr>
              <w:rPr>
                <w:sz w:val="23"/>
                <w:szCs w:val="23"/>
              </w:rPr>
            </w:pPr>
          </w:p>
        </w:tc>
        <w:tc>
          <w:tcPr>
            <w:tcW w:w="500" w:type="dxa"/>
            <w:vAlign w:val="bottom"/>
          </w:tcPr>
          <w:p w14:paraId="7411EA4E" w14:textId="77777777" w:rsidR="00D1587D" w:rsidRDefault="00410D07">
            <w:pPr>
              <w:ind w:right="50"/>
              <w:jc w:val="right"/>
              <w:rPr>
                <w:sz w:val="20"/>
                <w:szCs w:val="20"/>
              </w:rPr>
            </w:pPr>
            <w:r>
              <w:rPr>
                <w:rFonts w:ascii="Arial" w:eastAsia="Arial" w:hAnsi="Arial" w:cs="Arial"/>
                <w:sz w:val="18"/>
                <w:szCs w:val="18"/>
              </w:rPr>
              <w:t>(26)</w:t>
            </w:r>
          </w:p>
        </w:tc>
        <w:tc>
          <w:tcPr>
            <w:tcW w:w="180" w:type="dxa"/>
            <w:vAlign w:val="bottom"/>
          </w:tcPr>
          <w:p w14:paraId="6E56B396" w14:textId="77777777" w:rsidR="00D1587D" w:rsidRDefault="00D1587D">
            <w:pPr>
              <w:rPr>
                <w:sz w:val="23"/>
                <w:szCs w:val="23"/>
              </w:rPr>
            </w:pPr>
          </w:p>
        </w:tc>
        <w:tc>
          <w:tcPr>
            <w:tcW w:w="780" w:type="dxa"/>
            <w:vAlign w:val="bottom"/>
          </w:tcPr>
          <w:p w14:paraId="0F346813" w14:textId="77777777" w:rsidR="00D1587D" w:rsidRDefault="00410D07">
            <w:pPr>
              <w:ind w:right="92"/>
              <w:jc w:val="right"/>
              <w:rPr>
                <w:sz w:val="20"/>
                <w:szCs w:val="20"/>
              </w:rPr>
            </w:pPr>
            <w:r>
              <w:rPr>
                <w:rFonts w:ascii="Arial" w:eastAsia="Arial" w:hAnsi="Arial" w:cs="Arial"/>
                <w:sz w:val="18"/>
                <w:szCs w:val="18"/>
              </w:rPr>
              <w:t>(13)</w:t>
            </w:r>
          </w:p>
        </w:tc>
        <w:tc>
          <w:tcPr>
            <w:tcW w:w="0" w:type="dxa"/>
            <w:vAlign w:val="bottom"/>
          </w:tcPr>
          <w:p w14:paraId="688947A3" w14:textId="77777777" w:rsidR="00D1587D" w:rsidRDefault="00D1587D">
            <w:pPr>
              <w:rPr>
                <w:sz w:val="1"/>
                <w:szCs w:val="1"/>
              </w:rPr>
            </w:pPr>
          </w:p>
        </w:tc>
      </w:tr>
      <w:tr w:rsidR="00D1587D" w14:paraId="016808D6" w14:textId="77777777">
        <w:trPr>
          <w:trHeight w:val="67"/>
        </w:trPr>
        <w:tc>
          <w:tcPr>
            <w:tcW w:w="4280" w:type="dxa"/>
            <w:tcBorders>
              <w:bottom w:val="single" w:sz="8" w:space="0" w:color="CCEEFF"/>
            </w:tcBorders>
            <w:vAlign w:val="bottom"/>
          </w:tcPr>
          <w:p w14:paraId="6B90189E" w14:textId="77777777" w:rsidR="00D1587D" w:rsidRDefault="00D1587D">
            <w:pPr>
              <w:rPr>
                <w:sz w:val="5"/>
                <w:szCs w:val="5"/>
              </w:rPr>
            </w:pPr>
          </w:p>
        </w:tc>
        <w:tc>
          <w:tcPr>
            <w:tcW w:w="100" w:type="dxa"/>
            <w:tcBorders>
              <w:bottom w:val="single" w:sz="8" w:space="0" w:color="CCEEFF"/>
            </w:tcBorders>
            <w:vAlign w:val="bottom"/>
          </w:tcPr>
          <w:p w14:paraId="120D671A" w14:textId="77777777" w:rsidR="00D1587D" w:rsidRDefault="00D1587D">
            <w:pPr>
              <w:rPr>
                <w:sz w:val="5"/>
                <w:szCs w:val="5"/>
              </w:rPr>
            </w:pPr>
          </w:p>
        </w:tc>
        <w:tc>
          <w:tcPr>
            <w:tcW w:w="480" w:type="dxa"/>
            <w:tcBorders>
              <w:bottom w:val="single" w:sz="8" w:space="0" w:color="auto"/>
            </w:tcBorders>
            <w:vAlign w:val="bottom"/>
          </w:tcPr>
          <w:p w14:paraId="2739141B" w14:textId="77777777" w:rsidR="00D1587D" w:rsidRDefault="00D1587D">
            <w:pPr>
              <w:rPr>
                <w:sz w:val="5"/>
                <w:szCs w:val="5"/>
              </w:rPr>
            </w:pPr>
          </w:p>
        </w:tc>
        <w:tc>
          <w:tcPr>
            <w:tcW w:w="180" w:type="dxa"/>
            <w:tcBorders>
              <w:bottom w:val="single" w:sz="8" w:space="0" w:color="CCEEFF"/>
            </w:tcBorders>
            <w:vAlign w:val="bottom"/>
          </w:tcPr>
          <w:p w14:paraId="53C52A79" w14:textId="77777777" w:rsidR="00D1587D" w:rsidRDefault="00D1587D">
            <w:pPr>
              <w:rPr>
                <w:sz w:val="5"/>
                <w:szCs w:val="5"/>
              </w:rPr>
            </w:pPr>
          </w:p>
        </w:tc>
        <w:tc>
          <w:tcPr>
            <w:tcW w:w="500" w:type="dxa"/>
            <w:tcBorders>
              <w:bottom w:val="single" w:sz="8" w:space="0" w:color="auto"/>
            </w:tcBorders>
            <w:vAlign w:val="bottom"/>
          </w:tcPr>
          <w:p w14:paraId="4DFB358E" w14:textId="77777777" w:rsidR="00D1587D" w:rsidRDefault="00D1587D">
            <w:pPr>
              <w:rPr>
                <w:sz w:val="5"/>
                <w:szCs w:val="5"/>
              </w:rPr>
            </w:pPr>
          </w:p>
        </w:tc>
        <w:tc>
          <w:tcPr>
            <w:tcW w:w="180" w:type="dxa"/>
            <w:tcBorders>
              <w:bottom w:val="single" w:sz="8" w:space="0" w:color="CCEEFF"/>
            </w:tcBorders>
            <w:vAlign w:val="bottom"/>
          </w:tcPr>
          <w:p w14:paraId="39425B02" w14:textId="77777777" w:rsidR="00D1587D" w:rsidRDefault="00D1587D">
            <w:pPr>
              <w:rPr>
                <w:sz w:val="5"/>
                <w:szCs w:val="5"/>
              </w:rPr>
            </w:pPr>
          </w:p>
        </w:tc>
        <w:tc>
          <w:tcPr>
            <w:tcW w:w="280" w:type="dxa"/>
            <w:tcBorders>
              <w:bottom w:val="single" w:sz="8" w:space="0" w:color="auto"/>
            </w:tcBorders>
            <w:vAlign w:val="bottom"/>
          </w:tcPr>
          <w:p w14:paraId="41AA2E13" w14:textId="77777777" w:rsidR="00D1587D" w:rsidRDefault="00D1587D">
            <w:pPr>
              <w:rPr>
                <w:sz w:val="5"/>
                <w:szCs w:val="5"/>
              </w:rPr>
            </w:pPr>
          </w:p>
        </w:tc>
        <w:tc>
          <w:tcPr>
            <w:tcW w:w="500" w:type="dxa"/>
            <w:tcBorders>
              <w:bottom w:val="single" w:sz="8" w:space="0" w:color="auto"/>
            </w:tcBorders>
            <w:vAlign w:val="bottom"/>
          </w:tcPr>
          <w:p w14:paraId="38B65A48" w14:textId="77777777" w:rsidR="00D1587D" w:rsidRDefault="00D1587D">
            <w:pPr>
              <w:rPr>
                <w:sz w:val="5"/>
                <w:szCs w:val="5"/>
              </w:rPr>
            </w:pPr>
          </w:p>
        </w:tc>
        <w:tc>
          <w:tcPr>
            <w:tcW w:w="180" w:type="dxa"/>
            <w:tcBorders>
              <w:bottom w:val="single" w:sz="8" w:space="0" w:color="CCEEFF"/>
            </w:tcBorders>
            <w:vAlign w:val="bottom"/>
          </w:tcPr>
          <w:p w14:paraId="46B24BA8" w14:textId="77777777" w:rsidR="00D1587D" w:rsidRDefault="00D1587D">
            <w:pPr>
              <w:rPr>
                <w:sz w:val="5"/>
                <w:szCs w:val="5"/>
              </w:rPr>
            </w:pPr>
          </w:p>
        </w:tc>
        <w:tc>
          <w:tcPr>
            <w:tcW w:w="280" w:type="dxa"/>
            <w:tcBorders>
              <w:bottom w:val="single" w:sz="8" w:space="0" w:color="auto"/>
            </w:tcBorders>
            <w:vAlign w:val="bottom"/>
          </w:tcPr>
          <w:p w14:paraId="410D3B28" w14:textId="77777777" w:rsidR="00D1587D" w:rsidRDefault="00D1587D">
            <w:pPr>
              <w:rPr>
                <w:sz w:val="5"/>
                <w:szCs w:val="5"/>
              </w:rPr>
            </w:pPr>
          </w:p>
        </w:tc>
        <w:tc>
          <w:tcPr>
            <w:tcW w:w="500" w:type="dxa"/>
            <w:tcBorders>
              <w:bottom w:val="single" w:sz="8" w:space="0" w:color="auto"/>
            </w:tcBorders>
            <w:vAlign w:val="bottom"/>
          </w:tcPr>
          <w:p w14:paraId="33A3402E" w14:textId="77777777" w:rsidR="00D1587D" w:rsidRDefault="00D1587D">
            <w:pPr>
              <w:rPr>
                <w:sz w:val="5"/>
                <w:szCs w:val="5"/>
              </w:rPr>
            </w:pPr>
          </w:p>
        </w:tc>
        <w:tc>
          <w:tcPr>
            <w:tcW w:w="180" w:type="dxa"/>
            <w:tcBorders>
              <w:bottom w:val="single" w:sz="8" w:space="0" w:color="CCEEFF"/>
            </w:tcBorders>
            <w:vAlign w:val="bottom"/>
          </w:tcPr>
          <w:p w14:paraId="18E1E59A" w14:textId="77777777" w:rsidR="00D1587D" w:rsidRDefault="00D1587D">
            <w:pPr>
              <w:rPr>
                <w:sz w:val="5"/>
                <w:szCs w:val="5"/>
              </w:rPr>
            </w:pPr>
          </w:p>
        </w:tc>
        <w:tc>
          <w:tcPr>
            <w:tcW w:w="780" w:type="dxa"/>
            <w:tcBorders>
              <w:bottom w:val="single" w:sz="8" w:space="0" w:color="auto"/>
            </w:tcBorders>
            <w:vAlign w:val="bottom"/>
          </w:tcPr>
          <w:p w14:paraId="2D3203F6" w14:textId="77777777" w:rsidR="00D1587D" w:rsidRDefault="00D1587D">
            <w:pPr>
              <w:rPr>
                <w:sz w:val="5"/>
                <w:szCs w:val="5"/>
              </w:rPr>
            </w:pPr>
          </w:p>
        </w:tc>
        <w:tc>
          <w:tcPr>
            <w:tcW w:w="0" w:type="dxa"/>
            <w:vAlign w:val="bottom"/>
          </w:tcPr>
          <w:p w14:paraId="72CEC4FD" w14:textId="77777777" w:rsidR="00D1587D" w:rsidRDefault="00D1587D">
            <w:pPr>
              <w:rPr>
                <w:sz w:val="1"/>
                <w:szCs w:val="1"/>
              </w:rPr>
            </w:pPr>
          </w:p>
        </w:tc>
      </w:tr>
      <w:tr w:rsidR="00D1587D" w14:paraId="7F099FE1" w14:textId="77777777">
        <w:trPr>
          <w:trHeight w:val="304"/>
        </w:trPr>
        <w:tc>
          <w:tcPr>
            <w:tcW w:w="4380" w:type="dxa"/>
            <w:gridSpan w:val="2"/>
            <w:shd w:val="clear" w:color="auto" w:fill="CCEEFF"/>
            <w:vAlign w:val="bottom"/>
          </w:tcPr>
          <w:p w14:paraId="0F27B504" w14:textId="77777777" w:rsidR="00D1587D" w:rsidRDefault="00410D07">
            <w:pPr>
              <w:rPr>
                <w:sz w:val="20"/>
                <w:szCs w:val="20"/>
              </w:rPr>
            </w:pPr>
            <w:r>
              <w:rPr>
                <w:rFonts w:ascii="Arial" w:eastAsia="Arial" w:hAnsi="Arial" w:cs="Arial"/>
                <w:sz w:val="18"/>
                <w:szCs w:val="18"/>
              </w:rPr>
              <w:t>Adjusted Net Income (Loss)</w:t>
            </w:r>
          </w:p>
        </w:tc>
        <w:tc>
          <w:tcPr>
            <w:tcW w:w="480" w:type="dxa"/>
            <w:shd w:val="clear" w:color="auto" w:fill="CCEEFF"/>
            <w:vAlign w:val="bottom"/>
          </w:tcPr>
          <w:p w14:paraId="01580192" w14:textId="77777777" w:rsidR="00D1587D" w:rsidRDefault="00410D07">
            <w:pPr>
              <w:jc w:val="right"/>
              <w:rPr>
                <w:sz w:val="20"/>
                <w:szCs w:val="20"/>
              </w:rPr>
            </w:pPr>
            <w:r>
              <w:rPr>
                <w:rFonts w:ascii="Arial" w:eastAsia="Arial" w:hAnsi="Arial" w:cs="Arial"/>
                <w:w w:val="94"/>
                <w:sz w:val="18"/>
                <w:szCs w:val="18"/>
              </w:rPr>
              <w:t>$174</w:t>
            </w:r>
          </w:p>
        </w:tc>
        <w:tc>
          <w:tcPr>
            <w:tcW w:w="180" w:type="dxa"/>
            <w:shd w:val="clear" w:color="auto" w:fill="CCEEFF"/>
            <w:vAlign w:val="bottom"/>
          </w:tcPr>
          <w:p w14:paraId="2840F5FA" w14:textId="77777777" w:rsidR="00D1587D" w:rsidRDefault="00D1587D">
            <w:pPr>
              <w:rPr>
                <w:sz w:val="24"/>
                <w:szCs w:val="24"/>
              </w:rPr>
            </w:pPr>
          </w:p>
        </w:tc>
        <w:tc>
          <w:tcPr>
            <w:tcW w:w="500" w:type="dxa"/>
            <w:shd w:val="clear" w:color="auto" w:fill="CCEEFF"/>
            <w:vAlign w:val="bottom"/>
          </w:tcPr>
          <w:p w14:paraId="5F292EEE" w14:textId="77777777" w:rsidR="00D1587D" w:rsidRDefault="00410D07">
            <w:pPr>
              <w:jc w:val="right"/>
              <w:rPr>
                <w:sz w:val="20"/>
                <w:szCs w:val="20"/>
              </w:rPr>
            </w:pPr>
            <w:r>
              <w:rPr>
                <w:rFonts w:ascii="Arial" w:eastAsia="Arial" w:hAnsi="Arial" w:cs="Arial"/>
                <w:w w:val="88"/>
                <w:sz w:val="18"/>
                <w:szCs w:val="18"/>
              </w:rPr>
              <w:t>$(227)</w:t>
            </w:r>
          </w:p>
        </w:tc>
        <w:tc>
          <w:tcPr>
            <w:tcW w:w="180" w:type="dxa"/>
            <w:shd w:val="clear" w:color="auto" w:fill="CCEEFF"/>
            <w:vAlign w:val="bottom"/>
          </w:tcPr>
          <w:p w14:paraId="49FA4983" w14:textId="77777777" w:rsidR="00D1587D" w:rsidRDefault="00D1587D">
            <w:pPr>
              <w:rPr>
                <w:sz w:val="24"/>
                <w:szCs w:val="24"/>
              </w:rPr>
            </w:pPr>
          </w:p>
        </w:tc>
        <w:tc>
          <w:tcPr>
            <w:tcW w:w="280" w:type="dxa"/>
            <w:shd w:val="clear" w:color="auto" w:fill="CCEEFF"/>
            <w:vAlign w:val="bottom"/>
          </w:tcPr>
          <w:p w14:paraId="21E2F365" w14:textId="77777777" w:rsidR="00D1587D" w:rsidRDefault="00410D07">
            <w:pPr>
              <w:jc w:val="right"/>
              <w:rPr>
                <w:sz w:val="20"/>
                <w:szCs w:val="20"/>
              </w:rPr>
            </w:pPr>
            <w:r>
              <w:rPr>
                <w:rFonts w:ascii="Arial" w:eastAsia="Arial" w:hAnsi="Arial" w:cs="Arial"/>
                <w:sz w:val="18"/>
                <w:szCs w:val="18"/>
              </w:rPr>
              <w:t>$</w:t>
            </w:r>
          </w:p>
        </w:tc>
        <w:tc>
          <w:tcPr>
            <w:tcW w:w="500" w:type="dxa"/>
            <w:shd w:val="clear" w:color="auto" w:fill="CCEEFF"/>
            <w:vAlign w:val="bottom"/>
          </w:tcPr>
          <w:p w14:paraId="1AA02423" w14:textId="77777777" w:rsidR="00D1587D" w:rsidRDefault="00410D07">
            <w:pPr>
              <w:ind w:right="111"/>
              <w:jc w:val="right"/>
              <w:rPr>
                <w:sz w:val="20"/>
                <w:szCs w:val="20"/>
              </w:rPr>
            </w:pPr>
            <w:r>
              <w:rPr>
                <w:rFonts w:ascii="Arial" w:eastAsia="Arial" w:hAnsi="Arial" w:cs="Arial"/>
                <w:sz w:val="18"/>
                <w:szCs w:val="18"/>
              </w:rPr>
              <w:t>87</w:t>
            </w:r>
          </w:p>
        </w:tc>
        <w:tc>
          <w:tcPr>
            <w:tcW w:w="460" w:type="dxa"/>
            <w:gridSpan w:val="2"/>
            <w:shd w:val="clear" w:color="auto" w:fill="CCEEFF"/>
            <w:vAlign w:val="bottom"/>
          </w:tcPr>
          <w:p w14:paraId="0C972045" w14:textId="77777777" w:rsidR="00D1587D" w:rsidRDefault="00410D07">
            <w:pPr>
              <w:jc w:val="right"/>
              <w:rPr>
                <w:sz w:val="20"/>
                <w:szCs w:val="20"/>
              </w:rPr>
            </w:pPr>
            <w:r>
              <w:rPr>
                <w:rFonts w:ascii="Arial" w:eastAsia="Arial" w:hAnsi="Arial" w:cs="Arial"/>
                <w:sz w:val="18"/>
                <w:szCs w:val="18"/>
              </w:rPr>
              <w:t>$</w:t>
            </w:r>
          </w:p>
        </w:tc>
        <w:tc>
          <w:tcPr>
            <w:tcW w:w="500" w:type="dxa"/>
            <w:shd w:val="clear" w:color="auto" w:fill="CCEEFF"/>
            <w:vAlign w:val="bottom"/>
          </w:tcPr>
          <w:p w14:paraId="1CBDAA78" w14:textId="77777777" w:rsidR="00D1587D" w:rsidRDefault="00410D07">
            <w:pPr>
              <w:ind w:right="110"/>
              <w:jc w:val="right"/>
              <w:rPr>
                <w:sz w:val="20"/>
                <w:szCs w:val="20"/>
              </w:rPr>
            </w:pPr>
            <w:r>
              <w:rPr>
                <w:rFonts w:ascii="Arial" w:eastAsia="Arial" w:hAnsi="Arial" w:cs="Arial"/>
                <w:sz w:val="18"/>
                <w:szCs w:val="18"/>
              </w:rPr>
              <w:t>50</w:t>
            </w:r>
          </w:p>
        </w:tc>
        <w:tc>
          <w:tcPr>
            <w:tcW w:w="180" w:type="dxa"/>
            <w:shd w:val="clear" w:color="auto" w:fill="CCEEFF"/>
            <w:vAlign w:val="bottom"/>
          </w:tcPr>
          <w:p w14:paraId="3341884C" w14:textId="77777777" w:rsidR="00D1587D" w:rsidRDefault="00D1587D">
            <w:pPr>
              <w:rPr>
                <w:sz w:val="24"/>
                <w:szCs w:val="24"/>
              </w:rPr>
            </w:pPr>
          </w:p>
        </w:tc>
        <w:tc>
          <w:tcPr>
            <w:tcW w:w="780" w:type="dxa"/>
            <w:shd w:val="clear" w:color="auto" w:fill="CCEEFF"/>
            <w:vAlign w:val="bottom"/>
          </w:tcPr>
          <w:p w14:paraId="7416A91E" w14:textId="77777777" w:rsidR="00D1587D" w:rsidRDefault="00410D07">
            <w:pPr>
              <w:ind w:right="132"/>
              <w:jc w:val="right"/>
              <w:rPr>
                <w:sz w:val="20"/>
                <w:szCs w:val="20"/>
              </w:rPr>
            </w:pPr>
            <w:r>
              <w:rPr>
                <w:rFonts w:ascii="Arial" w:eastAsia="Arial" w:hAnsi="Arial" w:cs="Arial"/>
                <w:sz w:val="18"/>
                <w:szCs w:val="18"/>
              </w:rPr>
              <w:t>$319</w:t>
            </w:r>
          </w:p>
        </w:tc>
        <w:tc>
          <w:tcPr>
            <w:tcW w:w="0" w:type="dxa"/>
            <w:vAlign w:val="bottom"/>
          </w:tcPr>
          <w:p w14:paraId="2462D81D" w14:textId="77777777" w:rsidR="00D1587D" w:rsidRDefault="00D1587D">
            <w:pPr>
              <w:rPr>
                <w:sz w:val="1"/>
                <w:szCs w:val="1"/>
              </w:rPr>
            </w:pPr>
          </w:p>
        </w:tc>
      </w:tr>
      <w:tr w:rsidR="00D1587D" w14:paraId="0DA84CEF" w14:textId="77777777">
        <w:trPr>
          <w:trHeight w:val="128"/>
        </w:trPr>
        <w:tc>
          <w:tcPr>
            <w:tcW w:w="4280" w:type="dxa"/>
            <w:tcBorders>
              <w:bottom w:val="single" w:sz="8" w:space="0" w:color="CCEEFF"/>
            </w:tcBorders>
            <w:shd w:val="clear" w:color="auto" w:fill="CCEEFF"/>
            <w:vAlign w:val="bottom"/>
          </w:tcPr>
          <w:p w14:paraId="2F4788A7" w14:textId="77777777" w:rsidR="00D1587D" w:rsidRDefault="00D1587D">
            <w:pPr>
              <w:rPr>
                <w:sz w:val="11"/>
                <w:szCs w:val="11"/>
              </w:rPr>
            </w:pPr>
          </w:p>
        </w:tc>
        <w:tc>
          <w:tcPr>
            <w:tcW w:w="100" w:type="dxa"/>
            <w:tcBorders>
              <w:bottom w:val="single" w:sz="8" w:space="0" w:color="CCEEFF"/>
            </w:tcBorders>
            <w:shd w:val="clear" w:color="auto" w:fill="CCEEFF"/>
            <w:vAlign w:val="bottom"/>
          </w:tcPr>
          <w:p w14:paraId="665249B4" w14:textId="77777777" w:rsidR="00D1587D" w:rsidRDefault="00D1587D">
            <w:pPr>
              <w:rPr>
                <w:sz w:val="11"/>
                <w:szCs w:val="11"/>
              </w:rPr>
            </w:pPr>
          </w:p>
        </w:tc>
        <w:tc>
          <w:tcPr>
            <w:tcW w:w="480" w:type="dxa"/>
            <w:tcBorders>
              <w:bottom w:val="single" w:sz="8" w:space="0" w:color="auto"/>
            </w:tcBorders>
            <w:shd w:val="clear" w:color="auto" w:fill="CCEEFF"/>
            <w:vAlign w:val="bottom"/>
          </w:tcPr>
          <w:p w14:paraId="7DE272D3" w14:textId="77777777" w:rsidR="00D1587D" w:rsidRDefault="00D1587D">
            <w:pPr>
              <w:rPr>
                <w:sz w:val="11"/>
                <w:szCs w:val="11"/>
              </w:rPr>
            </w:pPr>
          </w:p>
        </w:tc>
        <w:tc>
          <w:tcPr>
            <w:tcW w:w="180" w:type="dxa"/>
            <w:tcBorders>
              <w:bottom w:val="single" w:sz="8" w:space="0" w:color="CCEEFF"/>
            </w:tcBorders>
            <w:shd w:val="clear" w:color="auto" w:fill="CCEEFF"/>
            <w:vAlign w:val="bottom"/>
          </w:tcPr>
          <w:p w14:paraId="735C1331" w14:textId="77777777" w:rsidR="00D1587D" w:rsidRDefault="00D1587D">
            <w:pPr>
              <w:rPr>
                <w:sz w:val="11"/>
                <w:szCs w:val="11"/>
              </w:rPr>
            </w:pPr>
          </w:p>
        </w:tc>
        <w:tc>
          <w:tcPr>
            <w:tcW w:w="500" w:type="dxa"/>
            <w:tcBorders>
              <w:bottom w:val="single" w:sz="8" w:space="0" w:color="auto"/>
            </w:tcBorders>
            <w:shd w:val="clear" w:color="auto" w:fill="CCEEFF"/>
            <w:vAlign w:val="bottom"/>
          </w:tcPr>
          <w:p w14:paraId="2E593976" w14:textId="77777777" w:rsidR="00D1587D" w:rsidRDefault="00D1587D">
            <w:pPr>
              <w:rPr>
                <w:sz w:val="11"/>
                <w:szCs w:val="11"/>
              </w:rPr>
            </w:pPr>
          </w:p>
        </w:tc>
        <w:tc>
          <w:tcPr>
            <w:tcW w:w="180" w:type="dxa"/>
            <w:tcBorders>
              <w:bottom w:val="single" w:sz="8" w:space="0" w:color="CCEEFF"/>
            </w:tcBorders>
            <w:shd w:val="clear" w:color="auto" w:fill="CCEEFF"/>
            <w:vAlign w:val="bottom"/>
          </w:tcPr>
          <w:p w14:paraId="2FFE24AE" w14:textId="77777777" w:rsidR="00D1587D" w:rsidRDefault="00D1587D">
            <w:pPr>
              <w:rPr>
                <w:sz w:val="11"/>
                <w:szCs w:val="11"/>
              </w:rPr>
            </w:pPr>
          </w:p>
        </w:tc>
        <w:tc>
          <w:tcPr>
            <w:tcW w:w="280" w:type="dxa"/>
            <w:tcBorders>
              <w:bottom w:val="single" w:sz="8" w:space="0" w:color="auto"/>
            </w:tcBorders>
            <w:shd w:val="clear" w:color="auto" w:fill="CCEEFF"/>
            <w:vAlign w:val="bottom"/>
          </w:tcPr>
          <w:p w14:paraId="43D2059F" w14:textId="77777777" w:rsidR="00D1587D" w:rsidRDefault="00D1587D">
            <w:pPr>
              <w:rPr>
                <w:sz w:val="11"/>
                <w:szCs w:val="11"/>
              </w:rPr>
            </w:pPr>
          </w:p>
        </w:tc>
        <w:tc>
          <w:tcPr>
            <w:tcW w:w="500" w:type="dxa"/>
            <w:tcBorders>
              <w:bottom w:val="single" w:sz="8" w:space="0" w:color="auto"/>
            </w:tcBorders>
            <w:shd w:val="clear" w:color="auto" w:fill="CCEEFF"/>
            <w:vAlign w:val="bottom"/>
          </w:tcPr>
          <w:p w14:paraId="6B2E7981" w14:textId="77777777" w:rsidR="00D1587D" w:rsidRDefault="00D1587D">
            <w:pPr>
              <w:rPr>
                <w:sz w:val="11"/>
                <w:szCs w:val="11"/>
              </w:rPr>
            </w:pPr>
          </w:p>
        </w:tc>
        <w:tc>
          <w:tcPr>
            <w:tcW w:w="180" w:type="dxa"/>
            <w:tcBorders>
              <w:bottom w:val="single" w:sz="8" w:space="0" w:color="CCEEFF"/>
            </w:tcBorders>
            <w:shd w:val="clear" w:color="auto" w:fill="CCEEFF"/>
            <w:vAlign w:val="bottom"/>
          </w:tcPr>
          <w:p w14:paraId="70F83469" w14:textId="77777777" w:rsidR="00D1587D" w:rsidRDefault="00D1587D">
            <w:pPr>
              <w:rPr>
                <w:sz w:val="11"/>
                <w:szCs w:val="11"/>
              </w:rPr>
            </w:pPr>
          </w:p>
        </w:tc>
        <w:tc>
          <w:tcPr>
            <w:tcW w:w="280" w:type="dxa"/>
            <w:tcBorders>
              <w:bottom w:val="single" w:sz="8" w:space="0" w:color="auto"/>
            </w:tcBorders>
            <w:shd w:val="clear" w:color="auto" w:fill="CCEEFF"/>
            <w:vAlign w:val="bottom"/>
          </w:tcPr>
          <w:p w14:paraId="7CFF855F" w14:textId="77777777" w:rsidR="00D1587D" w:rsidRDefault="00D1587D">
            <w:pPr>
              <w:rPr>
                <w:sz w:val="11"/>
                <w:szCs w:val="11"/>
              </w:rPr>
            </w:pPr>
          </w:p>
        </w:tc>
        <w:tc>
          <w:tcPr>
            <w:tcW w:w="500" w:type="dxa"/>
            <w:tcBorders>
              <w:bottom w:val="single" w:sz="8" w:space="0" w:color="auto"/>
            </w:tcBorders>
            <w:shd w:val="clear" w:color="auto" w:fill="CCEEFF"/>
            <w:vAlign w:val="bottom"/>
          </w:tcPr>
          <w:p w14:paraId="71AC76A2" w14:textId="77777777" w:rsidR="00D1587D" w:rsidRDefault="00D1587D">
            <w:pPr>
              <w:rPr>
                <w:sz w:val="11"/>
                <w:szCs w:val="11"/>
              </w:rPr>
            </w:pPr>
          </w:p>
        </w:tc>
        <w:tc>
          <w:tcPr>
            <w:tcW w:w="180" w:type="dxa"/>
            <w:tcBorders>
              <w:bottom w:val="single" w:sz="8" w:space="0" w:color="CCEEFF"/>
            </w:tcBorders>
            <w:shd w:val="clear" w:color="auto" w:fill="CCEEFF"/>
            <w:vAlign w:val="bottom"/>
          </w:tcPr>
          <w:p w14:paraId="00501F10" w14:textId="77777777" w:rsidR="00D1587D" w:rsidRDefault="00D1587D">
            <w:pPr>
              <w:rPr>
                <w:sz w:val="11"/>
                <w:szCs w:val="11"/>
              </w:rPr>
            </w:pPr>
          </w:p>
        </w:tc>
        <w:tc>
          <w:tcPr>
            <w:tcW w:w="780" w:type="dxa"/>
            <w:tcBorders>
              <w:bottom w:val="single" w:sz="8" w:space="0" w:color="auto"/>
            </w:tcBorders>
            <w:shd w:val="clear" w:color="auto" w:fill="CCEEFF"/>
            <w:vAlign w:val="bottom"/>
          </w:tcPr>
          <w:p w14:paraId="1CC4662E" w14:textId="77777777" w:rsidR="00D1587D" w:rsidRDefault="00D1587D">
            <w:pPr>
              <w:rPr>
                <w:sz w:val="11"/>
                <w:szCs w:val="11"/>
              </w:rPr>
            </w:pPr>
          </w:p>
        </w:tc>
        <w:tc>
          <w:tcPr>
            <w:tcW w:w="0" w:type="dxa"/>
            <w:vAlign w:val="bottom"/>
          </w:tcPr>
          <w:p w14:paraId="3590C37C" w14:textId="77777777" w:rsidR="00D1587D" w:rsidRDefault="00D1587D">
            <w:pPr>
              <w:rPr>
                <w:sz w:val="1"/>
                <w:szCs w:val="1"/>
              </w:rPr>
            </w:pPr>
          </w:p>
        </w:tc>
      </w:tr>
      <w:tr w:rsidR="00D1587D" w14:paraId="724F2A80" w14:textId="77777777">
        <w:trPr>
          <w:trHeight w:val="284"/>
        </w:trPr>
        <w:tc>
          <w:tcPr>
            <w:tcW w:w="4380" w:type="dxa"/>
            <w:gridSpan w:val="2"/>
            <w:vAlign w:val="bottom"/>
          </w:tcPr>
          <w:p w14:paraId="0C9C1AFC" w14:textId="77777777" w:rsidR="00D1587D" w:rsidRDefault="00410D07">
            <w:pPr>
              <w:rPr>
                <w:sz w:val="20"/>
                <w:szCs w:val="20"/>
              </w:rPr>
            </w:pPr>
            <w:r>
              <w:rPr>
                <w:rFonts w:ascii="Arial" w:eastAsia="Arial" w:hAnsi="Arial" w:cs="Arial"/>
                <w:b/>
                <w:bCs/>
                <w:sz w:val="18"/>
                <w:szCs w:val="18"/>
              </w:rPr>
              <w:t>Reconciliation of Net Income (Loss) to EBITDA</w:t>
            </w:r>
          </w:p>
        </w:tc>
        <w:tc>
          <w:tcPr>
            <w:tcW w:w="480" w:type="dxa"/>
            <w:vAlign w:val="bottom"/>
          </w:tcPr>
          <w:p w14:paraId="5BC3E4D3" w14:textId="77777777" w:rsidR="00D1587D" w:rsidRDefault="00D1587D">
            <w:pPr>
              <w:rPr>
                <w:sz w:val="24"/>
                <w:szCs w:val="24"/>
              </w:rPr>
            </w:pPr>
          </w:p>
        </w:tc>
        <w:tc>
          <w:tcPr>
            <w:tcW w:w="180" w:type="dxa"/>
            <w:vAlign w:val="bottom"/>
          </w:tcPr>
          <w:p w14:paraId="052E6419" w14:textId="77777777" w:rsidR="00D1587D" w:rsidRDefault="00D1587D">
            <w:pPr>
              <w:rPr>
                <w:sz w:val="24"/>
                <w:szCs w:val="24"/>
              </w:rPr>
            </w:pPr>
          </w:p>
        </w:tc>
        <w:tc>
          <w:tcPr>
            <w:tcW w:w="500" w:type="dxa"/>
            <w:vAlign w:val="bottom"/>
          </w:tcPr>
          <w:p w14:paraId="5FC2C6B5" w14:textId="77777777" w:rsidR="00D1587D" w:rsidRDefault="00D1587D">
            <w:pPr>
              <w:rPr>
                <w:sz w:val="24"/>
                <w:szCs w:val="24"/>
              </w:rPr>
            </w:pPr>
          </w:p>
        </w:tc>
        <w:tc>
          <w:tcPr>
            <w:tcW w:w="180" w:type="dxa"/>
            <w:vAlign w:val="bottom"/>
          </w:tcPr>
          <w:p w14:paraId="4E4DED5D" w14:textId="77777777" w:rsidR="00D1587D" w:rsidRDefault="00D1587D">
            <w:pPr>
              <w:rPr>
                <w:sz w:val="24"/>
                <w:szCs w:val="24"/>
              </w:rPr>
            </w:pPr>
          </w:p>
        </w:tc>
        <w:tc>
          <w:tcPr>
            <w:tcW w:w="280" w:type="dxa"/>
            <w:vAlign w:val="bottom"/>
          </w:tcPr>
          <w:p w14:paraId="1E97D9EF" w14:textId="77777777" w:rsidR="00D1587D" w:rsidRDefault="00D1587D">
            <w:pPr>
              <w:rPr>
                <w:sz w:val="24"/>
                <w:szCs w:val="24"/>
              </w:rPr>
            </w:pPr>
          </w:p>
        </w:tc>
        <w:tc>
          <w:tcPr>
            <w:tcW w:w="500" w:type="dxa"/>
            <w:vAlign w:val="bottom"/>
          </w:tcPr>
          <w:p w14:paraId="429074CC" w14:textId="77777777" w:rsidR="00D1587D" w:rsidRDefault="00D1587D">
            <w:pPr>
              <w:rPr>
                <w:sz w:val="24"/>
                <w:szCs w:val="24"/>
              </w:rPr>
            </w:pPr>
          </w:p>
        </w:tc>
        <w:tc>
          <w:tcPr>
            <w:tcW w:w="180" w:type="dxa"/>
            <w:vAlign w:val="bottom"/>
          </w:tcPr>
          <w:p w14:paraId="3ADDA12F" w14:textId="77777777" w:rsidR="00D1587D" w:rsidRDefault="00D1587D">
            <w:pPr>
              <w:rPr>
                <w:sz w:val="24"/>
                <w:szCs w:val="24"/>
              </w:rPr>
            </w:pPr>
          </w:p>
        </w:tc>
        <w:tc>
          <w:tcPr>
            <w:tcW w:w="280" w:type="dxa"/>
            <w:vAlign w:val="bottom"/>
          </w:tcPr>
          <w:p w14:paraId="637D5134" w14:textId="77777777" w:rsidR="00D1587D" w:rsidRDefault="00D1587D">
            <w:pPr>
              <w:rPr>
                <w:sz w:val="24"/>
                <w:szCs w:val="24"/>
              </w:rPr>
            </w:pPr>
          </w:p>
        </w:tc>
        <w:tc>
          <w:tcPr>
            <w:tcW w:w="500" w:type="dxa"/>
            <w:vAlign w:val="bottom"/>
          </w:tcPr>
          <w:p w14:paraId="59A11C85" w14:textId="77777777" w:rsidR="00D1587D" w:rsidRDefault="00D1587D">
            <w:pPr>
              <w:rPr>
                <w:sz w:val="24"/>
                <w:szCs w:val="24"/>
              </w:rPr>
            </w:pPr>
          </w:p>
        </w:tc>
        <w:tc>
          <w:tcPr>
            <w:tcW w:w="180" w:type="dxa"/>
            <w:vAlign w:val="bottom"/>
          </w:tcPr>
          <w:p w14:paraId="14CFF1FC" w14:textId="77777777" w:rsidR="00D1587D" w:rsidRDefault="00D1587D">
            <w:pPr>
              <w:rPr>
                <w:sz w:val="24"/>
                <w:szCs w:val="24"/>
              </w:rPr>
            </w:pPr>
          </w:p>
        </w:tc>
        <w:tc>
          <w:tcPr>
            <w:tcW w:w="780" w:type="dxa"/>
            <w:vAlign w:val="bottom"/>
          </w:tcPr>
          <w:p w14:paraId="088317F5" w14:textId="77777777" w:rsidR="00D1587D" w:rsidRDefault="00D1587D">
            <w:pPr>
              <w:rPr>
                <w:sz w:val="24"/>
                <w:szCs w:val="24"/>
              </w:rPr>
            </w:pPr>
          </w:p>
        </w:tc>
        <w:tc>
          <w:tcPr>
            <w:tcW w:w="0" w:type="dxa"/>
            <w:vAlign w:val="bottom"/>
          </w:tcPr>
          <w:p w14:paraId="283AC974" w14:textId="77777777" w:rsidR="00D1587D" w:rsidRDefault="00D1587D">
            <w:pPr>
              <w:rPr>
                <w:sz w:val="1"/>
                <w:szCs w:val="1"/>
              </w:rPr>
            </w:pPr>
          </w:p>
        </w:tc>
      </w:tr>
      <w:tr w:rsidR="00D1587D" w14:paraId="1D2B53AF" w14:textId="77777777">
        <w:trPr>
          <w:trHeight w:val="54"/>
        </w:trPr>
        <w:tc>
          <w:tcPr>
            <w:tcW w:w="4280" w:type="dxa"/>
            <w:vAlign w:val="bottom"/>
          </w:tcPr>
          <w:p w14:paraId="621E55A7" w14:textId="77777777" w:rsidR="00D1587D" w:rsidRDefault="00D1587D">
            <w:pPr>
              <w:rPr>
                <w:sz w:val="4"/>
                <w:szCs w:val="4"/>
              </w:rPr>
            </w:pPr>
          </w:p>
        </w:tc>
        <w:tc>
          <w:tcPr>
            <w:tcW w:w="100" w:type="dxa"/>
            <w:vAlign w:val="bottom"/>
          </w:tcPr>
          <w:p w14:paraId="40C8C9E6" w14:textId="77777777" w:rsidR="00D1587D" w:rsidRDefault="00D1587D">
            <w:pPr>
              <w:rPr>
                <w:sz w:val="4"/>
                <w:szCs w:val="4"/>
              </w:rPr>
            </w:pPr>
          </w:p>
        </w:tc>
        <w:tc>
          <w:tcPr>
            <w:tcW w:w="480" w:type="dxa"/>
            <w:vAlign w:val="bottom"/>
          </w:tcPr>
          <w:p w14:paraId="71F65B69" w14:textId="77777777" w:rsidR="00D1587D" w:rsidRDefault="00D1587D">
            <w:pPr>
              <w:rPr>
                <w:sz w:val="4"/>
                <w:szCs w:val="4"/>
              </w:rPr>
            </w:pPr>
          </w:p>
        </w:tc>
        <w:tc>
          <w:tcPr>
            <w:tcW w:w="180" w:type="dxa"/>
            <w:vAlign w:val="bottom"/>
          </w:tcPr>
          <w:p w14:paraId="131DC9B4" w14:textId="77777777" w:rsidR="00D1587D" w:rsidRDefault="00D1587D">
            <w:pPr>
              <w:rPr>
                <w:sz w:val="4"/>
                <w:szCs w:val="4"/>
              </w:rPr>
            </w:pPr>
          </w:p>
        </w:tc>
        <w:tc>
          <w:tcPr>
            <w:tcW w:w="500" w:type="dxa"/>
            <w:vAlign w:val="bottom"/>
          </w:tcPr>
          <w:p w14:paraId="78CFA9EC" w14:textId="77777777" w:rsidR="00D1587D" w:rsidRDefault="00D1587D">
            <w:pPr>
              <w:rPr>
                <w:sz w:val="4"/>
                <w:szCs w:val="4"/>
              </w:rPr>
            </w:pPr>
          </w:p>
        </w:tc>
        <w:tc>
          <w:tcPr>
            <w:tcW w:w="180" w:type="dxa"/>
            <w:vAlign w:val="bottom"/>
          </w:tcPr>
          <w:p w14:paraId="51B6B107" w14:textId="77777777" w:rsidR="00D1587D" w:rsidRDefault="00D1587D">
            <w:pPr>
              <w:rPr>
                <w:sz w:val="4"/>
                <w:szCs w:val="4"/>
              </w:rPr>
            </w:pPr>
          </w:p>
        </w:tc>
        <w:tc>
          <w:tcPr>
            <w:tcW w:w="280" w:type="dxa"/>
            <w:vAlign w:val="bottom"/>
          </w:tcPr>
          <w:p w14:paraId="68B241C4" w14:textId="77777777" w:rsidR="00D1587D" w:rsidRDefault="00D1587D">
            <w:pPr>
              <w:rPr>
                <w:sz w:val="4"/>
                <w:szCs w:val="4"/>
              </w:rPr>
            </w:pPr>
          </w:p>
        </w:tc>
        <w:tc>
          <w:tcPr>
            <w:tcW w:w="500" w:type="dxa"/>
            <w:vAlign w:val="bottom"/>
          </w:tcPr>
          <w:p w14:paraId="1991EF72" w14:textId="77777777" w:rsidR="00D1587D" w:rsidRDefault="00D1587D">
            <w:pPr>
              <w:rPr>
                <w:sz w:val="4"/>
                <w:szCs w:val="4"/>
              </w:rPr>
            </w:pPr>
          </w:p>
        </w:tc>
        <w:tc>
          <w:tcPr>
            <w:tcW w:w="180" w:type="dxa"/>
            <w:vAlign w:val="bottom"/>
          </w:tcPr>
          <w:p w14:paraId="0E9BA9D4" w14:textId="77777777" w:rsidR="00D1587D" w:rsidRDefault="00D1587D">
            <w:pPr>
              <w:rPr>
                <w:sz w:val="4"/>
                <w:szCs w:val="4"/>
              </w:rPr>
            </w:pPr>
          </w:p>
        </w:tc>
        <w:tc>
          <w:tcPr>
            <w:tcW w:w="780" w:type="dxa"/>
            <w:gridSpan w:val="2"/>
            <w:vAlign w:val="bottom"/>
          </w:tcPr>
          <w:p w14:paraId="04CEF373" w14:textId="77777777" w:rsidR="00D1587D" w:rsidRDefault="00D1587D">
            <w:pPr>
              <w:rPr>
                <w:sz w:val="4"/>
                <w:szCs w:val="4"/>
              </w:rPr>
            </w:pPr>
          </w:p>
        </w:tc>
        <w:tc>
          <w:tcPr>
            <w:tcW w:w="180" w:type="dxa"/>
            <w:vAlign w:val="bottom"/>
          </w:tcPr>
          <w:p w14:paraId="125E368E" w14:textId="77777777" w:rsidR="00D1587D" w:rsidRDefault="00D1587D">
            <w:pPr>
              <w:rPr>
                <w:sz w:val="4"/>
                <w:szCs w:val="4"/>
              </w:rPr>
            </w:pPr>
          </w:p>
        </w:tc>
        <w:tc>
          <w:tcPr>
            <w:tcW w:w="780" w:type="dxa"/>
            <w:vAlign w:val="bottom"/>
          </w:tcPr>
          <w:p w14:paraId="435FACC5" w14:textId="77777777" w:rsidR="00D1587D" w:rsidRDefault="00D1587D">
            <w:pPr>
              <w:rPr>
                <w:sz w:val="4"/>
                <w:szCs w:val="4"/>
              </w:rPr>
            </w:pPr>
          </w:p>
        </w:tc>
        <w:tc>
          <w:tcPr>
            <w:tcW w:w="0" w:type="dxa"/>
            <w:vAlign w:val="bottom"/>
          </w:tcPr>
          <w:p w14:paraId="4873CA79" w14:textId="77777777" w:rsidR="00D1587D" w:rsidRDefault="00D1587D">
            <w:pPr>
              <w:rPr>
                <w:sz w:val="1"/>
                <w:szCs w:val="1"/>
              </w:rPr>
            </w:pPr>
          </w:p>
        </w:tc>
      </w:tr>
      <w:tr w:rsidR="00D1587D" w14:paraId="08471362" w14:textId="77777777">
        <w:trPr>
          <w:trHeight w:val="304"/>
        </w:trPr>
        <w:tc>
          <w:tcPr>
            <w:tcW w:w="4380" w:type="dxa"/>
            <w:gridSpan w:val="2"/>
            <w:tcBorders>
              <w:bottom w:val="single" w:sz="8" w:space="0" w:color="CCEEFF"/>
            </w:tcBorders>
            <w:shd w:val="clear" w:color="auto" w:fill="CCEEFF"/>
            <w:vAlign w:val="bottom"/>
          </w:tcPr>
          <w:p w14:paraId="22361E3E" w14:textId="77777777" w:rsidR="00D1587D" w:rsidRDefault="00410D07">
            <w:pPr>
              <w:rPr>
                <w:sz w:val="20"/>
                <w:szCs w:val="20"/>
              </w:rPr>
            </w:pPr>
            <w:r>
              <w:rPr>
                <w:rFonts w:ascii="Arial" w:eastAsia="Arial" w:hAnsi="Arial" w:cs="Arial"/>
                <w:sz w:val="18"/>
                <w:szCs w:val="18"/>
              </w:rPr>
              <w:t>Net Income (Loss)—GAAP</w:t>
            </w:r>
          </w:p>
        </w:tc>
        <w:tc>
          <w:tcPr>
            <w:tcW w:w="480" w:type="dxa"/>
            <w:tcBorders>
              <w:bottom w:val="single" w:sz="8" w:space="0" w:color="CCEEFF"/>
            </w:tcBorders>
            <w:shd w:val="clear" w:color="auto" w:fill="CCEEFF"/>
            <w:vAlign w:val="bottom"/>
          </w:tcPr>
          <w:p w14:paraId="1132F6CF" w14:textId="77777777" w:rsidR="00D1587D" w:rsidRDefault="00410D07">
            <w:pPr>
              <w:jc w:val="right"/>
              <w:rPr>
                <w:sz w:val="20"/>
                <w:szCs w:val="20"/>
              </w:rPr>
            </w:pPr>
            <w:r>
              <w:rPr>
                <w:rFonts w:ascii="Arial" w:eastAsia="Arial" w:hAnsi="Arial" w:cs="Arial"/>
                <w:w w:val="94"/>
                <w:sz w:val="18"/>
                <w:szCs w:val="18"/>
              </w:rPr>
              <w:t>$174</w:t>
            </w:r>
          </w:p>
        </w:tc>
        <w:tc>
          <w:tcPr>
            <w:tcW w:w="180" w:type="dxa"/>
            <w:tcBorders>
              <w:bottom w:val="single" w:sz="8" w:space="0" w:color="CCEEFF"/>
            </w:tcBorders>
            <w:shd w:val="clear" w:color="auto" w:fill="CCEEFF"/>
            <w:vAlign w:val="bottom"/>
          </w:tcPr>
          <w:p w14:paraId="6B332535" w14:textId="77777777" w:rsidR="00D1587D" w:rsidRDefault="00D1587D">
            <w:pPr>
              <w:rPr>
                <w:sz w:val="24"/>
                <w:szCs w:val="24"/>
              </w:rPr>
            </w:pPr>
          </w:p>
        </w:tc>
        <w:tc>
          <w:tcPr>
            <w:tcW w:w="500" w:type="dxa"/>
            <w:tcBorders>
              <w:bottom w:val="single" w:sz="8" w:space="0" w:color="CCEEFF"/>
            </w:tcBorders>
            <w:shd w:val="clear" w:color="auto" w:fill="CCEEFF"/>
            <w:vAlign w:val="bottom"/>
          </w:tcPr>
          <w:p w14:paraId="2427636F" w14:textId="77777777" w:rsidR="00D1587D" w:rsidRDefault="00410D07">
            <w:pPr>
              <w:jc w:val="right"/>
              <w:rPr>
                <w:sz w:val="20"/>
                <w:szCs w:val="20"/>
              </w:rPr>
            </w:pPr>
            <w:r>
              <w:rPr>
                <w:rFonts w:ascii="Arial" w:eastAsia="Arial" w:hAnsi="Arial" w:cs="Arial"/>
                <w:w w:val="88"/>
                <w:sz w:val="18"/>
                <w:szCs w:val="18"/>
              </w:rPr>
              <w:t>$(299)</w:t>
            </w:r>
          </w:p>
        </w:tc>
        <w:tc>
          <w:tcPr>
            <w:tcW w:w="180" w:type="dxa"/>
            <w:tcBorders>
              <w:bottom w:val="single" w:sz="8" w:space="0" w:color="CCEEFF"/>
            </w:tcBorders>
            <w:shd w:val="clear" w:color="auto" w:fill="CCEEFF"/>
            <w:vAlign w:val="bottom"/>
          </w:tcPr>
          <w:p w14:paraId="161E527F" w14:textId="77777777" w:rsidR="00D1587D" w:rsidRDefault="00D1587D">
            <w:pPr>
              <w:rPr>
                <w:sz w:val="24"/>
                <w:szCs w:val="24"/>
              </w:rPr>
            </w:pPr>
          </w:p>
        </w:tc>
        <w:tc>
          <w:tcPr>
            <w:tcW w:w="280" w:type="dxa"/>
            <w:tcBorders>
              <w:bottom w:val="single" w:sz="8" w:space="0" w:color="CCEEFF"/>
            </w:tcBorders>
            <w:shd w:val="clear" w:color="auto" w:fill="CCEEFF"/>
            <w:vAlign w:val="bottom"/>
          </w:tcPr>
          <w:p w14:paraId="244F9C51" w14:textId="77777777" w:rsidR="00D1587D" w:rsidRDefault="00410D07">
            <w:pPr>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1D2CA286" w14:textId="77777777" w:rsidR="00D1587D" w:rsidRDefault="00410D07">
            <w:pPr>
              <w:ind w:right="51"/>
              <w:jc w:val="right"/>
              <w:rPr>
                <w:sz w:val="20"/>
                <w:szCs w:val="20"/>
              </w:rPr>
            </w:pPr>
            <w:r>
              <w:rPr>
                <w:rFonts w:ascii="Arial" w:eastAsia="Arial" w:hAnsi="Arial" w:cs="Arial"/>
                <w:sz w:val="18"/>
                <w:szCs w:val="18"/>
              </w:rPr>
              <w:t>(72)</w:t>
            </w:r>
          </w:p>
        </w:tc>
        <w:tc>
          <w:tcPr>
            <w:tcW w:w="960" w:type="dxa"/>
            <w:gridSpan w:val="3"/>
            <w:tcBorders>
              <w:bottom w:val="single" w:sz="8" w:space="0" w:color="CCEEFF"/>
            </w:tcBorders>
            <w:shd w:val="clear" w:color="auto" w:fill="CCEEFF"/>
            <w:vAlign w:val="bottom"/>
          </w:tcPr>
          <w:p w14:paraId="5463B303" w14:textId="77777777" w:rsidR="00D1587D" w:rsidRDefault="00410D07">
            <w:pPr>
              <w:ind w:right="50"/>
              <w:jc w:val="right"/>
              <w:rPr>
                <w:sz w:val="20"/>
                <w:szCs w:val="20"/>
              </w:rPr>
            </w:pPr>
            <w:r>
              <w:rPr>
                <w:rFonts w:ascii="Arial" w:eastAsia="Arial" w:hAnsi="Arial" w:cs="Arial"/>
                <w:sz w:val="18"/>
                <w:szCs w:val="18"/>
              </w:rPr>
              <w:t>$(897)</w:t>
            </w:r>
          </w:p>
        </w:tc>
        <w:tc>
          <w:tcPr>
            <w:tcW w:w="180" w:type="dxa"/>
            <w:tcBorders>
              <w:bottom w:val="single" w:sz="8" w:space="0" w:color="CCEEFF"/>
            </w:tcBorders>
            <w:shd w:val="clear" w:color="auto" w:fill="CCEEFF"/>
            <w:vAlign w:val="bottom"/>
          </w:tcPr>
          <w:p w14:paraId="0FD76D1C" w14:textId="77777777" w:rsidR="00D1587D" w:rsidRDefault="00D1587D">
            <w:pPr>
              <w:rPr>
                <w:sz w:val="24"/>
                <w:szCs w:val="24"/>
              </w:rPr>
            </w:pPr>
          </w:p>
        </w:tc>
        <w:tc>
          <w:tcPr>
            <w:tcW w:w="780" w:type="dxa"/>
            <w:tcBorders>
              <w:bottom w:val="single" w:sz="8" w:space="0" w:color="CCEEFF"/>
            </w:tcBorders>
            <w:shd w:val="clear" w:color="auto" w:fill="CCEEFF"/>
            <w:vAlign w:val="bottom"/>
          </w:tcPr>
          <w:p w14:paraId="568177AE" w14:textId="77777777" w:rsidR="00D1587D" w:rsidRDefault="00410D07">
            <w:pPr>
              <w:ind w:right="132"/>
              <w:jc w:val="right"/>
              <w:rPr>
                <w:sz w:val="20"/>
                <w:szCs w:val="20"/>
              </w:rPr>
            </w:pPr>
            <w:r>
              <w:rPr>
                <w:rFonts w:ascii="Arial" w:eastAsia="Arial" w:hAnsi="Arial" w:cs="Arial"/>
                <w:sz w:val="18"/>
                <w:szCs w:val="18"/>
              </w:rPr>
              <w:t>$251</w:t>
            </w:r>
          </w:p>
        </w:tc>
        <w:tc>
          <w:tcPr>
            <w:tcW w:w="0" w:type="dxa"/>
            <w:vAlign w:val="bottom"/>
          </w:tcPr>
          <w:p w14:paraId="3FD92401" w14:textId="77777777" w:rsidR="00D1587D" w:rsidRDefault="00D1587D">
            <w:pPr>
              <w:rPr>
                <w:sz w:val="1"/>
                <w:szCs w:val="1"/>
              </w:rPr>
            </w:pPr>
          </w:p>
        </w:tc>
      </w:tr>
      <w:tr w:rsidR="00D1587D" w14:paraId="0CDBB69D" w14:textId="77777777">
        <w:trPr>
          <w:trHeight w:val="270"/>
        </w:trPr>
        <w:tc>
          <w:tcPr>
            <w:tcW w:w="4380" w:type="dxa"/>
            <w:gridSpan w:val="2"/>
            <w:vAlign w:val="bottom"/>
          </w:tcPr>
          <w:p w14:paraId="29BF41FD" w14:textId="77777777" w:rsidR="00D1587D" w:rsidRDefault="00410D07">
            <w:pPr>
              <w:rPr>
                <w:sz w:val="20"/>
                <w:szCs w:val="20"/>
              </w:rPr>
            </w:pPr>
            <w:r>
              <w:rPr>
                <w:rFonts w:ascii="Arial" w:eastAsia="Arial" w:hAnsi="Arial" w:cs="Arial"/>
                <w:sz w:val="18"/>
                <w:szCs w:val="18"/>
              </w:rPr>
              <w:t>Interest Expense</w:t>
            </w:r>
          </w:p>
        </w:tc>
        <w:tc>
          <w:tcPr>
            <w:tcW w:w="480" w:type="dxa"/>
            <w:vAlign w:val="bottom"/>
          </w:tcPr>
          <w:p w14:paraId="295340E8" w14:textId="77777777" w:rsidR="00D1587D" w:rsidRDefault="00410D07">
            <w:pPr>
              <w:jc w:val="right"/>
              <w:rPr>
                <w:sz w:val="20"/>
                <w:szCs w:val="20"/>
              </w:rPr>
            </w:pPr>
            <w:r>
              <w:rPr>
                <w:rFonts w:ascii="Arial" w:eastAsia="Arial" w:hAnsi="Arial" w:cs="Arial"/>
                <w:sz w:val="18"/>
                <w:szCs w:val="18"/>
              </w:rPr>
              <w:t>1</w:t>
            </w:r>
          </w:p>
        </w:tc>
        <w:tc>
          <w:tcPr>
            <w:tcW w:w="180" w:type="dxa"/>
            <w:vAlign w:val="bottom"/>
          </w:tcPr>
          <w:p w14:paraId="79EDCE62" w14:textId="77777777" w:rsidR="00D1587D" w:rsidRDefault="00D1587D">
            <w:pPr>
              <w:rPr>
                <w:sz w:val="23"/>
                <w:szCs w:val="23"/>
              </w:rPr>
            </w:pPr>
          </w:p>
        </w:tc>
        <w:tc>
          <w:tcPr>
            <w:tcW w:w="500" w:type="dxa"/>
            <w:vAlign w:val="bottom"/>
          </w:tcPr>
          <w:p w14:paraId="33137818" w14:textId="77777777" w:rsidR="00D1587D" w:rsidRDefault="00410D07">
            <w:pPr>
              <w:jc w:val="right"/>
              <w:rPr>
                <w:sz w:val="20"/>
                <w:szCs w:val="20"/>
              </w:rPr>
            </w:pPr>
            <w:r>
              <w:rPr>
                <w:rFonts w:ascii="Arial" w:eastAsia="Arial" w:hAnsi="Arial" w:cs="Arial"/>
                <w:sz w:val="18"/>
                <w:szCs w:val="18"/>
              </w:rPr>
              <w:t>2</w:t>
            </w:r>
          </w:p>
        </w:tc>
        <w:tc>
          <w:tcPr>
            <w:tcW w:w="180" w:type="dxa"/>
            <w:vAlign w:val="bottom"/>
          </w:tcPr>
          <w:p w14:paraId="0CF2F92E" w14:textId="77777777" w:rsidR="00D1587D" w:rsidRDefault="00D1587D">
            <w:pPr>
              <w:rPr>
                <w:sz w:val="23"/>
                <w:szCs w:val="23"/>
              </w:rPr>
            </w:pPr>
          </w:p>
        </w:tc>
        <w:tc>
          <w:tcPr>
            <w:tcW w:w="280" w:type="dxa"/>
            <w:vAlign w:val="bottom"/>
          </w:tcPr>
          <w:p w14:paraId="604DFF9F" w14:textId="77777777" w:rsidR="00D1587D" w:rsidRDefault="00D1587D">
            <w:pPr>
              <w:rPr>
                <w:sz w:val="23"/>
                <w:szCs w:val="23"/>
              </w:rPr>
            </w:pPr>
          </w:p>
        </w:tc>
        <w:tc>
          <w:tcPr>
            <w:tcW w:w="500" w:type="dxa"/>
            <w:vAlign w:val="bottom"/>
          </w:tcPr>
          <w:p w14:paraId="2B547385" w14:textId="77777777" w:rsidR="00D1587D" w:rsidRDefault="00410D07">
            <w:pPr>
              <w:ind w:right="111"/>
              <w:jc w:val="right"/>
              <w:rPr>
                <w:sz w:val="20"/>
                <w:szCs w:val="20"/>
              </w:rPr>
            </w:pPr>
            <w:r>
              <w:rPr>
                <w:rFonts w:ascii="Arial" w:eastAsia="Arial" w:hAnsi="Arial" w:cs="Arial"/>
                <w:sz w:val="18"/>
                <w:szCs w:val="18"/>
              </w:rPr>
              <w:t>6</w:t>
            </w:r>
          </w:p>
        </w:tc>
        <w:tc>
          <w:tcPr>
            <w:tcW w:w="180" w:type="dxa"/>
            <w:vAlign w:val="bottom"/>
          </w:tcPr>
          <w:p w14:paraId="61E07959" w14:textId="77777777" w:rsidR="00D1587D" w:rsidRDefault="00D1587D">
            <w:pPr>
              <w:rPr>
                <w:sz w:val="23"/>
                <w:szCs w:val="23"/>
              </w:rPr>
            </w:pPr>
          </w:p>
        </w:tc>
        <w:tc>
          <w:tcPr>
            <w:tcW w:w="280" w:type="dxa"/>
            <w:vAlign w:val="bottom"/>
          </w:tcPr>
          <w:p w14:paraId="7B9C48D5" w14:textId="77777777" w:rsidR="00D1587D" w:rsidRDefault="00D1587D">
            <w:pPr>
              <w:rPr>
                <w:sz w:val="23"/>
                <w:szCs w:val="23"/>
              </w:rPr>
            </w:pPr>
          </w:p>
        </w:tc>
        <w:tc>
          <w:tcPr>
            <w:tcW w:w="500" w:type="dxa"/>
            <w:vAlign w:val="bottom"/>
          </w:tcPr>
          <w:p w14:paraId="35A31D19" w14:textId="77777777" w:rsidR="00D1587D" w:rsidRDefault="00410D07">
            <w:pPr>
              <w:ind w:right="110"/>
              <w:jc w:val="right"/>
              <w:rPr>
                <w:sz w:val="20"/>
                <w:szCs w:val="20"/>
              </w:rPr>
            </w:pPr>
            <w:r>
              <w:rPr>
                <w:rFonts w:ascii="Arial" w:eastAsia="Arial" w:hAnsi="Arial" w:cs="Arial"/>
                <w:sz w:val="18"/>
                <w:szCs w:val="18"/>
              </w:rPr>
              <w:t>8</w:t>
            </w:r>
          </w:p>
        </w:tc>
        <w:tc>
          <w:tcPr>
            <w:tcW w:w="180" w:type="dxa"/>
            <w:vAlign w:val="bottom"/>
          </w:tcPr>
          <w:p w14:paraId="4DA01C87" w14:textId="77777777" w:rsidR="00D1587D" w:rsidRDefault="00D1587D">
            <w:pPr>
              <w:rPr>
                <w:sz w:val="23"/>
                <w:szCs w:val="23"/>
              </w:rPr>
            </w:pPr>
          </w:p>
        </w:tc>
        <w:tc>
          <w:tcPr>
            <w:tcW w:w="780" w:type="dxa"/>
            <w:vAlign w:val="bottom"/>
          </w:tcPr>
          <w:p w14:paraId="127335B9" w14:textId="77777777" w:rsidR="00D1587D" w:rsidRDefault="00410D07">
            <w:pPr>
              <w:ind w:right="132"/>
              <w:jc w:val="right"/>
              <w:rPr>
                <w:sz w:val="20"/>
                <w:szCs w:val="20"/>
              </w:rPr>
            </w:pPr>
            <w:r>
              <w:rPr>
                <w:rFonts w:ascii="Arial" w:eastAsia="Arial" w:hAnsi="Arial" w:cs="Arial"/>
                <w:sz w:val="18"/>
                <w:szCs w:val="18"/>
              </w:rPr>
              <w:t>2</w:t>
            </w:r>
          </w:p>
        </w:tc>
        <w:tc>
          <w:tcPr>
            <w:tcW w:w="0" w:type="dxa"/>
            <w:vAlign w:val="bottom"/>
          </w:tcPr>
          <w:p w14:paraId="68E0A30A" w14:textId="77777777" w:rsidR="00D1587D" w:rsidRDefault="00D1587D">
            <w:pPr>
              <w:rPr>
                <w:sz w:val="1"/>
                <w:szCs w:val="1"/>
              </w:rPr>
            </w:pPr>
          </w:p>
        </w:tc>
      </w:tr>
      <w:tr w:rsidR="00D1587D" w14:paraId="67FD8F51" w14:textId="77777777">
        <w:trPr>
          <w:trHeight w:val="54"/>
        </w:trPr>
        <w:tc>
          <w:tcPr>
            <w:tcW w:w="4280" w:type="dxa"/>
            <w:vAlign w:val="bottom"/>
          </w:tcPr>
          <w:p w14:paraId="63F961CD" w14:textId="77777777" w:rsidR="00D1587D" w:rsidRDefault="00D1587D">
            <w:pPr>
              <w:rPr>
                <w:sz w:val="4"/>
                <w:szCs w:val="4"/>
              </w:rPr>
            </w:pPr>
          </w:p>
        </w:tc>
        <w:tc>
          <w:tcPr>
            <w:tcW w:w="100" w:type="dxa"/>
            <w:vAlign w:val="bottom"/>
          </w:tcPr>
          <w:p w14:paraId="7129DB39" w14:textId="77777777" w:rsidR="00D1587D" w:rsidRDefault="00D1587D">
            <w:pPr>
              <w:rPr>
                <w:sz w:val="4"/>
                <w:szCs w:val="4"/>
              </w:rPr>
            </w:pPr>
          </w:p>
        </w:tc>
        <w:tc>
          <w:tcPr>
            <w:tcW w:w="480" w:type="dxa"/>
            <w:vAlign w:val="bottom"/>
          </w:tcPr>
          <w:p w14:paraId="6DCC0D2B" w14:textId="77777777" w:rsidR="00D1587D" w:rsidRDefault="00D1587D">
            <w:pPr>
              <w:rPr>
                <w:sz w:val="4"/>
                <w:szCs w:val="4"/>
              </w:rPr>
            </w:pPr>
          </w:p>
        </w:tc>
        <w:tc>
          <w:tcPr>
            <w:tcW w:w="180" w:type="dxa"/>
            <w:vAlign w:val="bottom"/>
          </w:tcPr>
          <w:p w14:paraId="48222760" w14:textId="77777777" w:rsidR="00D1587D" w:rsidRDefault="00D1587D">
            <w:pPr>
              <w:rPr>
                <w:sz w:val="4"/>
                <w:szCs w:val="4"/>
              </w:rPr>
            </w:pPr>
          </w:p>
        </w:tc>
        <w:tc>
          <w:tcPr>
            <w:tcW w:w="500" w:type="dxa"/>
            <w:vAlign w:val="bottom"/>
          </w:tcPr>
          <w:p w14:paraId="614D7859" w14:textId="77777777" w:rsidR="00D1587D" w:rsidRDefault="00D1587D">
            <w:pPr>
              <w:rPr>
                <w:sz w:val="4"/>
                <w:szCs w:val="4"/>
              </w:rPr>
            </w:pPr>
          </w:p>
        </w:tc>
        <w:tc>
          <w:tcPr>
            <w:tcW w:w="180" w:type="dxa"/>
            <w:vAlign w:val="bottom"/>
          </w:tcPr>
          <w:p w14:paraId="740ECC70" w14:textId="77777777" w:rsidR="00D1587D" w:rsidRDefault="00D1587D">
            <w:pPr>
              <w:rPr>
                <w:sz w:val="4"/>
                <w:szCs w:val="4"/>
              </w:rPr>
            </w:pPr>
          </w:p>
        </w:tc>
        <w:tc>
          <w:tcPr>
            <w:tcW w:w="280" w:type="dxa"/>
            <w:vAlign w:val="bottom"/>
          </w:tcPr>
          <w:p w14:paraId="76C5EA48" w14:textId="77777777" w:rsidR="00D1587D" w:rsidRDefault="00D1587D">
            <w:pPr>
              <w:rPr>
                <w:sz w:val="4"/>
                <w:szCs w:val="4"/>
              </w:rPr>
            </w:pPr>
          </w:p>
        </w:tc>
        <w:tc>
          <w:tcPr>
            <w:tcW w:w="500" w:type="dxa"/>
            <w:vAlign w:val="bottom"/>
          </w:tcPr>
          <w:p w14:paraId="21B9C744" w14:textId="77777777" w:rsidR="00D1587D" w:rsidRDefault="00D1587D">
            <w:pPr>
              <w:rPr>
                <w:sz w:val="4"/>
                <w:szCs w:val="4"/>
              </w:rPr>
            </w:pPr>
          </w:p>
        </w:tc>
        <w:tc>
          <w:tcPr>
            <w:tcW w:w="180" w:type="dxa"/>
            <w:vAlign w:val="bottom"/>
          </w:tcPr>
          <w:p w14:paraId="6F1E3FF6" w14:textId="77777777" w:rsidR="00D1587D" w:rsidRDefault="00D1587D">
            <w:pPr>
              <w:rPr>
                <w:sz w:val="4"/>
                <w:szCs w:val="4"/>
              </w:rPr>
            </w:pPr>
          </w:p>
        </w:tc>
        <w:tc>
          <w:tcPr>
            <w:tcW w:w="280" w:type="dxa"/>
            <w:vAlign w:val="bottom"/>
          </w:tcPr>
          <w:p w14:paraId="7688AC69" w14:textId="77777777" w:rsidR="00D1587D" w:rsidRDefault="00D1587D">
            <w:pPr>
              <w:rPr>
                <w:sz w:val="4"/>
                <w:szCs w:val="4"/>
              </w:rPr>
            </w:pPr>
          </w:p>
        </w:tc>
        <w:tc>
          <w:tcPr>
            <w:tcW w:w="500" w:type="dxa"/>
            <w:vAlign w:val="bottom"/>
          </w:tcPr>
          <w:p w14:paraId="744B35A6" w14:textId="77777777" w:rsidR="00D1587D" w:rsidRDefault="00D1587D">
            <w:pPr>
              <w:rPr>
                <w:sz w:val="4"/>
                <w:szCs w:val="4"/>
              </w:rPr>
            </w:pPr>
          </w:p>
        </w:tc>
        <w:tc>
          <w:tcPr>
            <w:tcW w:w="180" w:type="dxa"/>
            <w:vAlign w:val="bottom"/>
          </w:tcPr>
          <w:p w14:paraId="045604BD" w14:textId="77777777" w:rsidR="00D1587D" w:rsidRDefault="00D1587D">
            <w:pPr>
              <w:rPr>
                <w:sz w:val="4"/>
                <w:szCs w:val="4"/>
              </w:rPr>
            </w:pPr>
          </w:p>
        </w:tc>
        <w:tc>
          <w:tcPr>
            <w:tcW w:w="780" w:type="dxa"/>
            <w:vAlign w:val="bottom"/>
          </w:tcPr>
          <w:p w14:paraId="73007BA2" w14:textId="77777777" w:rsidR="00D1587D" w:rsidRDefault="00D1587D">
            <w:pPr>
              <w:rPr>
                <w:sz w:val="4"/>
                <w:szCs w:val="4"/>
              </w:rPr>
            </w:pPr>
          </w:p>
        </w:tc>
        <w:tc>
          <w:tcPr>
            <w:tcW w:w="0" w:type="dxa"/>
            <w:vAlign w:val="bottom"/>
          </w:tcPr>
          <w:p w14:paraId="7493DFCC" w14:textId="77777777" w:rsidR="00D1587D" w:rsidRDefault="00D1587D">
            <w:pPr>
              <w:rPr>
                <w:sz w:val="1"/>
                <w:szCs w:val="1"/>
              </w:rPr>
            </w:pPr>
          </w:p>
        </w:tc>
      </w:tr>
      <w:tr w:rsidR="00D1587D" w14:paraId="1B205F9C" w14:textId="77777777">
        <w:trPr>
          <w:trHeight w:val="304"/>
        </w:trPr>
        <w:tc>
          <w:tcPr>
            <w:tcW w:w="4380" w:type="dxa"/>
            <w:gridSpan w:val="2"/>
            <w:tcBorders>
              <w:bottom w:val="single" w:sz="8" w:space="0" w:color="CCEEFF"/>
            </w:tcBorders>
            <w:shd w:val="clear" w:color="auto" w:fill="CCEEFF"/>
            <w:vAlign w:val="bottom"/>
          </w:tcPr>
          <w:p w14:paraId="056FFA29" w14:textId="77777777" w:rsidR="00D1587D" w:rsidRDefault="00410D07">
            <w:pPr>
              <w:rPr>
                <w:sz w:val="20"/>
                <w:szCs w:val="20"/>
              </w:rPr>
            </w:pPr>
            <w:r>
              <w:rPr>
                <w:rFonts w:ascii="Arial" w:eastAsia="Arial" w:hAnsi="Arial" w:cs="Arial"/>
                <w:sz w:val="18"/>
                <w:szCs w:val="18"/>
              </w:rPr>
              <w:t>Income Tax Expense (Benefit)</w:t>
            </w:r>
          </w:p>
        </w:tc>
        <w:tc>
          <w:tcPr>
            <w:tcW w:w="480" w:type="dxa"/>
            <w:tcBorders>
              <w:bottom w:val="single" w:sz="8" w:space="0" w:color="CCEEFF"/>
            </w:tcBorders>
            <w:shd w:val="clear" w:color="auto" w:fill="CCEEFF"/>
            <w:vAlign w:val="bottom"/>
          </w:tcPr>
          <w:p w14:paraId="33DCA14E" w14:textId="77777777" w:rsidR="00D1587D" w:rsidRDefault="00410D07">
            <w:pPr>
              <w:jc w:val="right"/>
              <w:rPr>
                <w:sz w:val="20"/>
                <w:szCs w:val="20"/>
              </w:rPr>
            </w:pPr>
            <w:r>
              <w:rPr>
                <w:rFonts w:ascii="Arial" w:eastAsia="Arial" w:hAnsi="Arial" w:cs="Arial"/>
                <w:sz w:val="18"/>
                <w:szCs w:val="18"/>
              </w:rPr>
              <w:t>51</w:t>
            </w:r>
          </w:p>
        </w:tc>
        <w:tc>
          <w:tcPr>
            <w:tcW w:w="180" w:type="dxa"/>
            <w:tcBorders>
              <w:bottom w:val="single" w:sz="8" w:space="0" w:color="CCEEFF"/>
            </w:tcBorders>
            <w:shd w:val="clear" w:color="auto" w:fill="CCEEFF"/>
            <w:vAlign w:val="bottom"/>
          </w:tcPr>
          <w:p w14:paraId="3224FFD5" w14:textId="77777777" w:rsidR="00D1587D" w:rsidRDefault="00D1587D">
            <w:pPr>
              <w:rPr>
                <w:sz w:val="24"/>
                <w:szCs w:val="24"/>
              </w:rPr>
            </w:pPr>
          </w:p>
        </w:tc>
        <w:tc>
          <w:tcPr>
            <w:tcW w:w="500" w:type="dxa"/>
            <w:tcBorders>
              <w:bottom w:val="single" w:sz="8" w:space="0" w:color="CCEEFF"/>
            </w:tcBorders>
            <w:shd w:val="clear" w:color="auto" w:fill="CCEEFF"/>
            <w:vAlign w:val="bottom"/>
          </w:tcPr>
          <w:p w14:paraId="507767B1" w14:textId="77777777" w:rsidR="00D1587D" w:rsidRDefault="00410D07">
            <w:pPr>
              <w:jc w:val="right"/>
              <w:rPr>
                <w:sz w:val="20"/>
                <w:szCs w:val="20"/>
              </w:rPr>
            </w:pPr>
            <w:r>
              <w:rPr>
                <w:rFonts w:ascii="Arial" w:eastAsia="Arial" w:hAnsi="Arial" w:cs="Arial"/>
                <w:sz w:val="18"/>
                <w:szCs w:val="18"/>
              </w:rPr>
              <w:t>(78)</w:t>
            </w:r>
          </w:p>
        </w:tc>
        <w:tc>
          <w:tcPr>
            <w:tcW w:w="180" w:type="dxa"/>
            <w:tcBorders>
              <w:bottom w:val="single" w:sz="8" w:space="0" w:color="CCEEFF"/>
            </w:tcBorders>
            <w:shd w:val="clear" w:color="auto" w:fill="CCEEFF"/>
            <w:vAlign w:val="bottom"/>
          </w:tcPr>
          <w:p w14:paraId="0FD1DEED" w14:textId="77777777" w:rsidR="00D1587D" w:rsidRDefault="00D1587D">
            <w:pPr>
              <w:rPr>
                <w:sz w:val="24"/>
                <w:szCs w:val="24"/>
              </w:rPr>
            </w:pPr>
          </w:p>
        </w:tc>
        <w:tc>
          <w:tcPr>
            <w:tcW w:w="280" w:type="dxa"/>
            <w:tcBorders>
              <w:bottom w:val="single" w:sz="8" w:space="0" w:color="CCEEFF"/>
            </w:tcBorders>
            <w:shd w:val="clear" w:color="auto" w:fill="CCEEFF"/>
            <w:vAlign w:val="bottom"/>
          </w:tcPr>
          <w:p w14:paraId="0161D39D" w14:textId="77777777" w:rsidR="00D1587D" w:rsidRDefault="00D1587D">
            <w:pPr>
              <w:rPr>
                <w:sz w:val="24"/>
                <w:szCs w:val="24"/>
              </w:rPr>
            </w:pPr>
          </w:p>
        </w:tc>
        <w:tc>
          <w:tcPr>
            <w:tcW w:w="500" w:type="dxa"/>
            <w:tcBorders>
              <w:bottom w:val="single" w:sz="8" w:space="0" w:color="CCEEFF"/>
            </w:tcBorders>
            <w:shd w:val="clear" w:color="auto" w:fill="CCEEFF"/>
            <w:vAlign w:val="bottom"/>
          </w:tcPr>
          <w:p w14:paraId="20FFD347" w14:textId="77777777" w:rsidR="00D1587D" w:rsidRDefault="00410D07">
            <w:pPr>
              <w:ind w:right="51"/>
              <w:jc w:val="right"/>
              <w:rPr>
                <w:sz w:val="20"/>
                <w:szCs w:val="20"/>
              </w:rPr>
            </w:pPr>
            <w:r>
              <w:rPr>
                <w:rFonts w:ascii="Arial" w:eastAsia="Arial" w:hAnsi="Arial" w:cs="Arial"/>
                <w:sz w:val="18"/>
                <w:szCs w:val="18"/>
              </w:rPr>
              <w:t>(34)</w:t>
            </w:r>
          </w:p>
        </w:tc>
        <w:tc>
          <w:tcPr>
            <w:tcW w:w="180" w:type="dxa"/>
            <w:tcBorders>
              <w:bottom w:val="single" w:sz="8" w:space="0" w:color="CCEEFF"/>
            </w:tcBorders>
            <w:shd w:val="clear" w:color="auto" w:fill="CCEEFF"/>
            <w:vAlign w:val="bottom"/>
          </w:tcPr>
          <w:p w14:paraId="115908D7" w14:textId="77777777" w:rsidR="00D1587D" w:rsidRDefault="00D1587D">
            <w:pPr>
              <w:rPr>
                <w:sz w:val="24"/>
                <w:szCs w:val="24"/>
              </w:rPr>
            </w:pPr>
          </w:p>
        </w:tc>
        <w:tc>
          <w:tcPr>
            <w:tcW w:w="280" w:type="dxa"/>
            <w:tcBorders>
              <w:bottom w:val="single" w:sz="8" w:space="0" w:color="CCEEFF"/>
            </w:tcBorders>
            <w:shd w:val="clear" w:color="auto" w:fill="CCEEFF"/>
            <w:vAlign w:val="bottom"/>
          </w:tcPr>
          <w:p w14:paraId="1FB4C802"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569B0C7" w14:textId="77777777" w:rsidR="00D1587D" w:rsidRDefault="00410D07">
            <w:pPr>
              <w:ind w:right="50"/>
              <w:jc w:val="right"/>
              <w:rPr>
                <w:sz w:val="20"/>
                <w:szCs w:val="20"/>
              </w:rPr>
            </w:pPr>
            <w:r>
              <w:rPr>
                <w:rFonts w:ascii="Arial" w:eastAsia="Arial" w:hAnsi="Arial" w:cs="Arial"/>
                <w:sz w:val="18"/>
                <w:szCs w:val="18"/>
              </w:rPr>
              <w:t>(2)</w:t>
            </w:r>
          </w:p>
        </w:tc>
        <w:tc>
          <w:tcPr>
            <w:tcW w:w="180" w:type="dxa"/>
            <w:tcBorders>
              <w:bottom w:val="single" w:sz="8" w:space="0" w:color="CCEEFF"/>
            </w:tcBorders>
            <w:shd w:val="clear" w:color="auto" w:fill="CCEEFF"/>
            <w:vAlign w:val="bottom"/>
          </w:tcPr>
          <w:p w14:paraId="72AFC5C0" w14:textId="77777777" w:rsidR="00D1587D" w:rsidRDefault="00D1587D">
            <w:pPr>
              <w:rPr>
                <w:sz w:val="24"/>
                <w:szCs w:val="24"/>
              </w:rPr>
            </w:pPr>
          </w:p>
        </w:tc>
        <w:tc>
          <w:tcPr>
            <w:tcW w:w="780" w:type="dxa"/>
            <w:tcBorders>
              <w:bottom w:val="single" w:sz="8" w:space="0" w:color="CCEEFF"/>
            </w:tcBorders>
            <w:shd w:val="clear" w:color="auto" w:fill="CCEEFF"/>
            <w:vAlign w:val="bottom"/>
          </w:tcPr>
          <w:p w14:paraId="5C425E4B" w14:textId="77777777" w:rsidR="00D1587D" w:rsidRDefault="00410D07">
            <w:pPr>
              <w:ind w:right="152"/>
              <w:jc w:val="right"/>
              <w:rPr>
                <w:sz w:val="20"/>
                <w:szCs w:val="20"/>
              </w:rPr>
            </w:pPr>
            <w:r>
              <w:rPr>
                <w:rFonts w:ascii="Arial" w:eastAsia="Arial" w:hAnsi="Arial" w:cs="Arial"/>
                <w:sz w:val="18"/>
                <w:szCs w:val="18"/>
              </w:rPr>
              <w:t>140</w:t>
            </w:r>
          </w:p>
        </w:tc>
        <w:tc>
          <w:tcPr>
            <w:tcW w:w="0" w:type="dxa"/>
            <w:vAlign w:val="bottom"/>
          </w:tcPr>
          <w:p w14:paraId="792853B6" w14:textId="77777777" w:rsidR="00D1587D" w:rsidRDefault="00D1587D">
            <w:pPr>
              <w:rPr>
                <w:sz w:val="1"/>
                <w:szCs w:val="1"/>
              </w:rPr>
            </w:pPr>
          </w:p>
        </w:tc>
      </w:tr>
      <w:tr w:rsidR="00D1587D" w14:paraId="0C831841" w14:textId="77777777">
        <w:trPr>
          <w:trHeight w:val="270"/>
        </w:trPr>
        <w:tc>
          <w:tcPr>
            <w:tcW w:w="4380" w:type="dxa"/>
            <w:gridSpan w:val="2"/>
            <w:vAlign w:val="bottom"/>
          </w:tcPr>
          <w:p w14:paraId="4400AC21" w14:textId="77777777" w:rsidR="00D1587D" w:rsidRDefault="00410D07">
            <w:pPr>
              <w:rPr>
                <w:sz w:val="20"/>
                <w:szCs w:val="20"/>
              </w:rPr>
            </w:pPr>
            <w:r>
              <w:rPr>
                <w:rFonts w:ascii="Arial" w:eastAsia="Arial" w:hAnsi="Arial" w:cs="Arial"/>
                <w:sz w:val="18"/>
                <w:szCs w:val="18"/>
              </w:rPr>
              <w:t>Deprecation and Amortization</w:t>
            </w:r>
          </w:p>
        </w:tc>
        <w:tc>
          <w:tcPr>
            <w:tcW w:w="480" w:type="dxa"/>
            <w:vAlign w:val="bottom"/>
          </w:tcPr>
          <w:p w14:paraId="68D83A43" w14:textId="77777777" w:rsidR="00D1587D" w:rsidRDefault="00410D07">
            <w:pPr>
              <w:jc w:val="right"/>
              <w:rPr>
                <w:sz w:val="20"/>
                <w:szCs w:val="20"/>
              </w:rPr>
            </w:pPr>
            <w:r>
              <w:rPr>
                <w:rFonts w:ascii="Arial" w:eastAsia="Arial" w:hAnsi="Arial" w:cs="Arial"/>
                <w:sz w:val="18"/>
                <w:szCs w:val="18"/>
              </w:rPr>
              <w:t>80</w:t>
            </w:r>
          </w:p>
        </w:tc>
        <w:tc>
          <w:tcPr>
            <w:tcW w:w="180" w:type="dxa"/>
            <w:vAlign w:val="bottom"/>
          </w:tcPr>
          <w:p w14:paraId="4A401918" w14:textId="77777777" w:rsidR="00D1587D" w:rsidRDefault="00D1587D">
            <w:pPr>
              <w:rPr>
                <w:sz w:val="23"/>
                <w:szCs w:val="23"/>
              </w:rPr>
            </w:pPr>
          </w:p>
        </w:tc>
        <w:tc>
          <w:tcPr>
            <w:tcW w:w="500" w:type="dxa"/>
            <w:vAlign w:val="bottom"/>
          </w:tcPr>
          <w:p w14:paraId="180F981F" w14:textId="77777777" w:rsidR="00D1587D" w:rsidRDefault="00410D07">
            <w:pPr>
              <w:jc w:val="right"/>
              <w:rPr>
                <w:sz w:val="20"/>
                <w:szCs w:val="20"/>
              </w:rPr>
            </w:pPr>
            <w:r>
              <w:rPr>
                <w:rFonts w:ascii="Arial" w:eastAsia="Arial" w:hAnsi="Arial" w:cs="Arial"/>
                <w:sz w:val="18"/>
                <w:szCs w:val="18"/>
              </w:rPr>
              <w:t>90</w:t>
            </w:r>
          </w:p>
        </w:tc>
        <w:tc>
          <w:tcPr>
            <w:tcW w:w="180" w:type="dxa"/>
            <w:vAlign w:val="bottom"/>
          </w:tcPr>
          <w:p w14:paraId="294B8E0B" w14:textId="77777777" w:rsidR="00D1587D" w:rsidRDefault="00D1587D">
            <w:pPr>
              <w:rPr>
                <w:sz w:val="23"/>
                <w:szCs w:val="23"/>
              </w:rPr>
            </w:pPr>
          </w:p>
        </w:tc>
        <w:tc>
          <w:tcPr>
            <w:tcW w:w="280" w:type="dxa"/>
            <w:vAlign w:val="bottom"/>
          </w:tcPr>
          <w:p w14:paraId="5294F8FD" w14:textId="77777777" w:rsidR="00D1587D" w:rsidRDefault="00D1587D">
            <w:pPr>
              <w:rPr>
                <w:sz w:val="23"/>
                <w:szCs w:val="23"/>
              </w:rPr>
            </w:pPr>
          </w:p>
        </w:tc>
        <w:tc>
          <w:tcPr>
            <w:tcW w:w="500" w:type="dxa"/>
            <w:vAlign w:val="bottom"/>
          </w:tcPr>
          <w:p w14:paraId="3820D635" w14:textId="77777777" w:rsidR="00D1587D" w:rsidRDefault="00410D07">
            <w:pPr>
              <w:ind w:right="111"/>
              <w:jc w:val="right"/>
              <w:rPr>
                <w:sz w:val="20"/>
                <w:szCs w:val="20"/>
              </w:rPr>
            </w:pPr>
            <w:r>
              <w:rPr>
                <w:rFonts w:ascii="Arial" w:eastAsia="Arial" w:hAnsi="Arial" w:cs="Arial"/>
                <w:w w:val="93"/>
                <w:sz w:val="18"/>
                <w:szCs w:val="18"/>
              </w:rPr>
              <w:t>326</w:t>
            </w:r>
          </w:p>
        </w:tc>
        <w:tc>
          <w:tcPr>
            <w:tcW w:w="180" w:type="dxa"/>
            <w:vAlign w:val="bottom"/>
          </w:tcPr>
          <w:p w14:paraId="5EC66FFE" w14:textId="77777777" w:rsidR="00D1587D" w:rsidRDefault="00D1587D">
            <w:pPr>
              <w:rPr>
                <w:sz w:val="23"/>
                <w:szCs w:val="23"/>
              </w:rPr>
            </w:pPr>
          </w:p>
        </w:tc>
        <w:tc>
          <w:tcPr>
            <w:tcW w:w="280" w:type="dxa"/>
            <w:vAlign w:val="bottom"/>
          </w:tcPr>
          <w:p w14:paraId="7DC33AB6" w14:textId="77777777" w:rsidR="00D1587D" w:rsidRDefault="00D1587D">
            <w:pPr>
              <w:rPr>
                <w:sz w:val="23"/>
                <w:szCs w:val="23"/>
              </w:rPr>
            </w:pPr>
          </w:p>
        </w:tc>
        <w:tc>
          <w:tcPr>
            <w:tcW w:w="500" w:type="dxa"/>
            <w:vAlign w:val="bottom"/>
          </w:tcPr>
          <w:p w14:paraId="45B05758" w14:textId="77777777" w:rsidR="00D1587D" w:rsidRDefault="00410D07">
            <w:pPr>
              <w:ind w:right="110"/>
              <w:jc w:val="right"/>
              <w:rPr>
                <w:sz w:val="20"/>
                <w:szCs w:val="20"/>
              </w:rPr>
            </w:pPr>
            <w:r>
              <w:rPr>
                <w:rFonts w:ascii="Arial" w:eastAsia="Arial" w:hAnsi="Arial" w:cs="Arial"/>
                <w:w w:val="93"/>
                <w:sz w:val="18"/>
                <w:szCs w:val="18"/>
              </w:rPr>
              <w:t>411</w:t>
            </w:r>
          </w:p>
        </w:tc>
        <w:tc>
          <w:tcPr>
            <w:tcW w:w="180" w:type="dxa"/>
            <w:vAlign w:val="bottom"/>
          </w:tcPr>
          <w:p w14:paraId="1913B54B" w14:textId="77777777" w:rsidR="00D1587D" w:rsidRDefault="00D1587D">
            <w:pPr>
              <w:rPr>
                <w:sz w:val="23"/>
                <w:szCs w:val="23"/>
              </w:rPr>
            </w:pPr>
          </w:p>
        </w:tc>
        <w:tc>
          <w:tcPr>
            <w:tcW w:w="780" w:type="dxa"/>
            <w:vAlign w:val="bottom"/>
          </w:tcPr>
          <w:p w14:paraId="241ECE6C" w14:textId="77777777" w:rsidR="00D1587D" w:rsidRDefault="00410D07">
            <w:pPr>
              <w:ind w:right="152"/>
              <w:jc w:val="right"/>
              <w:rPr>
                <w:sz w:val="20"/>
                <w:szCs w:val="20"/>
              </w:rPr>
            </w:pPr>
            <w:r>
              <w:rPr>
                <w:rFonts w:ascii="Arial" w:eastAsia="Arial" w:hAnsi="Arial" w:cs="Arial"/>
                <w:sz w:val="18"/>
                <w:szCs w:val="18"/>
              </w:rPr>
              <w:t>425</w:t>
            </w:r>
          </w:p>
        </w:tc>
        <w:tc>
          <w:tcPr>
            <w:tcW w:w="0" w:type="dxa"/>
            <w:vAlign w:val="bottom"/>
          </w:tcPr>
          <w:p w14:paraId="4CE1C659" w14:textId="77777777" w:rsidR="00D1587D" w:rsidRDefault="00D1587D">
            <w:pPr>
              <w:rPr>
                <w:sz w:val="1"/>
                <w:szCs w:val="1"/>
              </w:rPr>
            </w:pPr>
          </w:p>
        </w:tc>
      </w:tr>
      <w:tr w:rsidR="00D1587D" w14:paraId="3A5A12FE" w14:textId="77777777">
        <w:trPr>
          <w:trHeight w:val="68"/>
        </w:trPr>
        <w:tc>
          <w:tcPr>
            <w:tcW w:w="4280" w:type="dxa"/>
            <w:tcBorders>
              <w:bottom w:val="single" w:sz="8" w:space="0" w:color="CCEEFF"/>
            </w:tcBorders>
            <w:vAlign w:val="bottom"/>
          </w:tcPr>
          <w:p w14:paraId="1C4639E0" w14:textId="77777777" w:rsidR="00D1587D" w:rsidRDefault="00D1587D">
            <w:pPr>
              <w:rPr>
                <w:sz w:val="5"/>
                <w:szCs w:val="5"/>
              </w:rPr>
            </w:pPr>
          </w:p>
        </w:tc>
        <w:tc>
          <w:tcPr>
            <w:tcW w:w="100" w:type="dxa"/>
            <w:tcBorders>
              <w:bottom w:val="single" w:sz="8" w:space="0" w:color="CCEEFF"/>
            </w:tcBorders>
            <w:vAlign w:val="bottom"/>
          </w:tcPr>
          <w:p w14:paraId="4D270C0F" w14:textId="77777777" w:rsidR="00D1587D" w:rsidRDefault="00D1587D">
            <w:pPr>
              <w:rPr>
                <w:sz w:val="5"/>
                <w:szCs w:val="5"/>
              </w:rPr>
            </w:pPr>
          </w:p>
        </w:tc>
        <w:tc>
          <w:tcPr>
            <w:tcW w:w="480" w:type="dxa"/>
            <w:tcBorders>
              <w:bottom w:val="single" w:sz="8" w:space="0" w:color="auto"/>
            </w:tcBorders>
            <w:vAlign w:val="bottom"/>
          </w:tcPr>
          <w:p w14:paraId="6E067270" w14:textId="77777777" w:rsidR="00D1587D" w:rsidRDefault="00D1587D">
            <w:pPr>
              <w:rPr>
                <w:sz w:val="5"/>
                <w:szCs w:val="5"/>
              </w:rPr>
            </w:pPr>
          </w:p>
        </w:tc>
        <w:tc>
          <w:tcPr>
            <w:tcW w:w="180" w:type="dxa"/>
            <w:tcBorders>
              <w:bottom w:val="single" w:sz="8" w:space="0" w:color="CCEEFF"/>
            </w:tcBorders>
            <w:vAlign w:val="bottom"/>
          </w:tcPr>
          <w:p w14:paraId="08612E79" w14:textId="77777777" w:rsidR="00D1587D" w:rsidRDefault="00D1587D">
            <w:pPr>
              <w:rPr>
                <w:sz w:val="5"/>
                <w:szCs w:val="5"/>
              </w:rPr>
            </w:pPr>
          </w:p>
        </w:tc>
        <w:tc>
          <w:tcPr>
            <w:tcW w:w="500" w:type="dxa"/>
            <w:tcBorders>
              <w:bottom w:val="single" w:sz="8" w:space="0" w:color="auto"/>
            </w:tcBorders>
            <w:vAlign w:val="bottom"/>
          </w:tcPr>
          <w:p w14:paraId="13408E22" w14:textId="77777777" w:rsidR="00D1587D" w:rsidRDefault="00D1587D">
            <w:pPr>
              <w:rPr>
                <w:sz w:val="5"/>
                <w:szCs w:val="5"/>
              </w:rPr>
            </w:pPr>
          </w:p>
        </w:tc>
        <w:tc>
          <w:tcPr>
            <w:tcW w:w="180" w:type="dxa"/>
            <w:tcBorders>
              <w:bottom w:val="single" w:sz="8" w:space="0" w:color="CCEEFF"/>
            </w:tcBorders>
            <w:vAlign w:val="bottom"/>
          </w:tcPr>
          <w:p w14:paraId="2E996E57" w14:textId="77777777" w:rsidR="00D1587D" w:rsidRDefault="00D1587D">
            <w:pPr>
              <w:rPr>
                <w:sz w:val="5"/>
                <w:szCs w:val="5"/>
              </w:rPr>
            </w:pPr>
          </w:p>
        </w:tc>
        <w:tc>
          <w:tcPr>
            <w:tcW w:w="280" w:type="dxa"/>
            <w:tcBorders>
              <w:bottom w:val="single" w:sz="8" w:space="0" w:color="auto"/>
            </w:tcBorders>
            <w:vAlign w:val="bottom"/>
          </w:tcPr>
          <w:p w14:paraId="4F2ADE17" w14:textId="77777777" w:rsidR="00D1587D" w:rsidRDefault="00D1587D">
            <w:pPr>
              <w:rPr>
                <w:sz w:val="5"/>
                <w:szCs w:val="5"/>
              </w:rPr>
            </w:pPr>
          </w:p>
        </w:tc>
        <w:tc>
          <w:tcPr>
            <w:tcW w:w="500" w:type="dxa"/>
            <w:tcBorders>
              <w:bottom w:val="single" w:sz="8" w:space="0" w:color="auto"/>
            </w:tcBorders>
            <w:vAlign w:val="bottom"/>
          </w:tcPr>
          <w:p w14:paraId="3A96F411" w14:textId="77777777" w:rsidR="00D1587D" w:rsidRDefault="00D1587D">
            <w:pPr>
              <w:rPr>
                <w:sz w:val="5"/>
                <w:szCs w:val="5"/>
              </w:rPr>
            </w:pPr>
          </w:p>
        </w:tc>
        <w:tc>
          <w:tcPr>
            <w:tcW w:w="180" w:type="dxa"/>
            <w:tcBorders>
              <w:bottom w:val="single" w:sz="8" w:space="0" w:color="CCEEFF"/>
            </w:tcBorders>
            <w:vAlign w:val="bottom"/>
          </w:tcPr>
          <w:p w14:paraId="4C1E169A" w14:textId="77777777" w:rsidR="00D1587D" w:rsidRDefault="00D1587D">
            <w:pPr>
              <w:rPr>
                <w:sz w:val="5"/>
                <w:szCs w:val="5"/>
              </w:rPr>
            </w:pPr>
          </w:p>
        </w:tc>
        <w:tc>
          <w:tcPr>
            <w:tcW w:w="780" w:type="dxa"/>
            <w:gridSpan w:val="2"/>
            <w:tcBorders>
              <w:bottom w:val="single" w:sz="8" w:space="0" w:color="auto"/>
            </w:tcBorders>
            <w:vAlign w:val="bottom"/>
          </w:tcPr>
          <w:p w14:paraId="3955F766" w14:textId="77777777" w:rsidR="00D1587D" w:rsidRDefault="00D1587D">
            <w:pPr>
              <w:rPr>
                <w:sz w:val="5"/>
                <w:szCs w:val="5"/>
              </w:rPr>
            </w:pPr>
          </w:p>
        </w:tc>
        <w:tc>
          <w:tcPr>
            <w:tcW w:w="180" w:type="dxa"/>
            <w:tcBorders>
              <w:bottom w:val="single" w:sz="8" w:space="0" w:color="CCEEFF"/>
            </w:tcBorders>
            <w:vAlign w:val="bottom"/>
          </w:tcPr>
          <w:p w14:paraId="3200DBA6" w14:textId="77777777" w:rsidR="00D1587D" w:rsidRDefault="00D1587D">
            <w:pPr>
              <w:rPr>
                <w:sz w:val="5"/>
                <w:szCs w:val="5"/>
              </w:rPr>
            </w:pPr>
          </w:p>
        </w:tc>
        <w:tc>
          <w:tcPr>
            <w:tcW w:w="780" w:type="dxa"/>
            <w:tcBorders>
              <w:bottom w:val="single" w:sz="8" w:space="0" w:color="auto"/>
            </w:tcBorders>
            <w:vAlign w:val="bottom"/>
          </w:tcPr>
          <w:p w14:paraId="65F72FBE" w14:textId="77777777" w:rsidR="00D1587D" w:rsidRDefault="00D1587D">
            <w:pPr>
              <w:rPr>
                <w:sz w:val="5"/>
                <w:szCs w:val="5"/>
              </w:rPr>
            </w:pPr>
          </w:p>
        </w:tc>
        <w:tc>
          <w:tcPr>
            <w:tcW w:w="0" w:type="dxa"/>
            <w:vAlign w:val="bottom"/>
          </w:tcPr>
          <w:p w14:paraId="56EF6DF4" w14:textId="77777777" w:rsidR="00D1587D" w:rsidRDefault="00D1587D">
            <w:pPr>
              <w:rPr>
                <w:sz w:val="1"/>
                <w:szCs w:val="1"/>
              </w:rPr>
            </w:pPr>
          </w:p>
        </w:tc>
      </w:tr>
      <w:tr w:rsidR="00D1587D" w14:paraId="1A20B4FF" w14:textId="77777777">
        <w:trPr>
          <w:trHeight w:val="376"/>
        </w:trPr>
        <w:tc>
          <w:tcPr>
            <w:tcW w:w="4380" w:type="dxa"/>
            <w:gridSpan w:val="2"/>
            <w:tcBorders>
              <w:bottom w:val="single" w:sz="8" w:space="0" w:color="CCEEFF"/>
            </w:tcBorders>
            <w:shd w:val="clear" w:color="auto" w:fill="CCEEFF"/>
            <w:vAlign w:val="bottom"/>
          </w:tcPr>
          <w:p w14:paraId="2C975C96" w14:textId="77777777" w:rsidR="00D1587D" w:rsidRDefault="00410D07">
            <w:pPr>
              <w:rPr>
                <w:sz w:val="20"/>
                <w:szCs w:val="20"/>
              </w:rPr>
            </w:pPr>
            <w:r>
              <w:rPr>
                <w:rFonts w:ascii="Arial" w:eastAsia="Arial" w:hAnsi="Arial" w:cs="Arial"/>
                <w:sz w:val="18"/>
                <w:szCs w:val="18"/>
              </w:rPr>
              <w:t>EBITDA</w:t>
            </w:r>
          </w:p>
        </w:tc>
        <w:tc>
          <w:tcPr>
            <w:tcW w:w="480" w:type="dxa"/>
            <w:tcBorders>
              <w:bottom w:val="single" w:sz="8" w:space="0" w:color="CCEEFF"/>
            </w:tcBorders>
            <w:shd w:val="clear" w:color="auto" w:fill="CCEEFF"/>
            <w:vAlign w:val="bottom"/>
          </w:tcPr>
          <w:p w14:paraId="45C7B6D1" w14:textId="77777777" w:rsidR="00D1587D" w:rsidRDefault="00410D07">
            <w:pPr>
              <w:jc w:val="right"/>
              <w:rPr>
                <w:sz w:val="20"/>
                <w:szCs w:val="20"/>
              </w:rPr>
            </w:pPr>
            <w:r>
              <w:rPr>
                <w:rFonts w:ascii="Arial" w:eastAsia="Arial" w:hAnsi="Arial" w:cs="Arial"/>
                <w:w w:val="94"/>
                <w:sz w:val="18"/>
                <w:szCs w:val="18"/>
              </w:rPr>
              <w:t>$306</w:t>
            </w:r>
          </w:p>
        </w:tc>
        <w:tc>
          <w:tcPr>
            <w:tcW w:w="180" w:type="dxa"/>
            <w:tcBorders>
              <w:bottom w:val="single" w:sz="8" w:space="0" w:color="CCEEFF"/>
            </w:tcBorders>
            <w:shd w:val="clear" w:color="auto" w:fill="CCEEFF"/>
            <w:vAlign w:val="bottom"/>
          </w:tcPr>
          <w:p w14:paraId="19BD3EFA" w14:textId="77777777" w:rsidR="00D1587D" w:rsidRDefault="00D1587D">
            <w:pPr>
              <w:rPr>
                <w:sz w:val="24"/>
                <w:szCs w:val="24"/>
              </w:rPr>
            </w:pPr>
          </w:p>
        </w:tc>
        <w:tc>
          <w:tcPr>
            <w:tcW w:w="500" w:type="dxa"/>
            <w:tcBorders>
              <w:bottom w:val="single" w:sz="8" w:space="0" w:color="CCEEFF"/>
            </w:tcBorders>
            <w:shd w:val="clear" w:color="auto" w:fill="CCEEFF"/>
            <w:vAlign w:val="bottom"/>
          </w:tcPr>
          <w:p w14:paraId="0C25C880" w14:textId="77777777" w:rsidR="00D1587D" w:rsidRDefault="00410D07">
            <w:pPr>
              <w:jc w:val="right"/>
              <w:rPr>
                <w:sz w:val="20"/>
                <w:szCs w:val="20"/>
              </w:rPr>
            </w:pPr>
            <w:r>
              <w:rPr>
                <w:rFonts w:ascii="Arial" w:eastAsia="Arial" w:hAnsi="Arial" w:cs="Arial"/>
                <w:w w:val="88"/>
                <w:sz w:val="18"/>
                <w:szCs w:val="18"/>
              </w:rPr>
              <w:t>$(285)</w:t>
            </w:r>
          </w:p>
        </w:tc>
        <w:tc>
          <w:tcPr>
            <w:tcW w:w="180" w:type="dxa"/>
            <w:tcBorders>
              <w:bottom w:val="single" w:sz="8" w:space="0" w:color="CCEEFF"/>
            </w:tcBorders>
            <w:shd w:val="clear" w:color="auto" w:fill="CCEEFF"/>
            <w:vAlign w:val="bottom"/>
          </w:tcPr>
          <w:p w14:paraId="20899B83" w14:textId="77777777" w:rsidR="00D1587D" w:rsidRDefault="00D1587D">
            <w:pPr>
              <w:rPr>
                <w:sz w:val="24"/>
                <w:szCs w:val="24"/>
              </w:rPr>
            </w:pPr>
          </w:p>
        </w:tc>
        <w:tc>
          <w:tcPr>
            <w:tcW w:w="280" w:type="dxa"/>
            <w:tcBorders>
              <w:bottom w:val="single" w:sz="8" w:space="0" w:color="CCEEFF"/>
            </w:tcBorders>
            <w:shd w:val="clear" w:color="auto" w:fill="CCEEFF"/>
            <w:vAlign w:val="bottom"/>
          </w:tcPr>
          <w:p w14:paraId="5A1FAF3B" w14:textId="77777777" w:rsidR="00D1587D" w:rsidRDefault="00410D07">
            <w:pPr>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0C923E95" w14:textId="77777777" w:rsidR="00D1587D" w:rsidRDefault="00410D07">
            <w:pPr>
              <w:ind w:right="111"/>
              <w:jc w:val="right"/>
              <w:rPr>
                <w:sz w:val="20"/>
                <w:szCs w:val="20"/>
              </w:rPr>
            </w:pPr>
            <w:r>
              <w:rPr>
                <w:rFonts w:ascii="Arial" w:eastAsia="Arial" w:hAnsi="Arial" w:cs="Arial"/>
                <w:w w:val="93"/>
                <w:sz w:val="18"/>
                <w:szCs w:val="18"/>
              </w:rPr>
              <w:t>226</w:t>
            </w:r>
          </w:p>
        </w:tc>
        <w:tc>
          <w:tcPr>
            <w:tcW w:w="960" w:type="dxa"/>
            <w:gridSpan w:val="3"/>
            <w:tcBorders>
              <w:bottom w:val="single" w:sz="8" w:space="0" w:color="CCEEFF"/>
            </w:tcBorders>
            <w:shd w:val="clear" w:color="auto" w:fill="CCEEFF"/>
            <w:vAlign w:val="bottom"/>
          </w:tcPr>
          <w:p w14:paraId="61778CEE" w14:textId="77777777" w:rsidR="00D1587D" w:rsidRDefault="00410D07">
            <w:pPr>
              <w:ind w:right="50"/>
              <w:jc w:val="right"/>
              <w:rPr>
                <w:sz w:val="20"/>
                <w:szCs w:val="20"/>
              </w:rPr>
            </w:pPr>
            <w:r>
              <w:rPr>
                <w:rFonts w:ascii="Arial" w:eastAsia="Arial" w:hAnsi="Arial" w:cs="Arial"/>
                <w:sz w:val="18"/>
                <w:szCs w:val="18"/>
              </w:rPr>
              <w:t>$(480)</w:t>
            </w:r>
          </w:p>
        </w:tc>
        <w:tc>
          <w:tcPr>
            <w:tcW w:w="180" w:type="dxa"/>
            <w:tcBorders>
              <w:bottom w:val="single" w:sz="8" w:space="0" w:color="CCEEFF"/>
            </w:tcBorders>
            <w:shd w:val="clear" w:color="auto" w:fill="CCEEFF"/>
            <w:vAlign w:val="bottom"/>
          </w:tcPr>
          <w:p w14:paraId="42666625" w14:textId="77777777" w:rsidR="00D1587D" w:rsidRDefault="00D1587D">
            <w:pPr>
              <w:rPr>
                <w:sz w:val="24"/>
                <w:szCs w:val="24"/>
              </w:rPr>
            </w:pPr>
          </w:p>
        </w:tc>
        <w:tc>
          <w:tcPr>
            <w:tcW w:w="780" w:type="dxa"/>
            <w:tcBorders>
              <w:bottom w:val="single" w:sz="8" w:space="0" w:color="CCEEFF"/>
            </w:tcBorders>
            <w:shd w:val="clear" w:color="auto" w:fill="CCEEFF"/>
            <w:vAlign w:val="bottom"/>
          </w:tcPr>
          <w:p w14:paraId="6D69718E" w14:textId="77777777" w:rsidR="00D1587D" w:rsidRDefault="00410D07">
            <w:pPr>
              <w:ind w:right="132"/>
              <w:jc w:val="right"/>
              <w:rPr>
                <w:sz w:val="20"/>
                <w:szCs w:val="20"/>
              </w:rPr>
            </w:pPr>
            <w:r>
              <w:rPr>
                <w:rFonts w:ascii="Arial" w:eastAsia="Arial" w:hAnsi="Arial" w:cs="Arial"/>
                <w:sz w:val="18"/>
                <w:szCs w:val="18"/>
              </w:rPr>
              <w:t>$818</w:t>
            </w:r>
          </w:p>
        </w:tc>
        <w:tc>
          <w:tcPr>
            <w:tcW w:w="0" w:type="dxa"/>
            <w:vAlign w:val="bottom"/>
          </w:tcPr>
          <w:p w14:paraId="013645CF" w14:textId="77777777" w:rsidR="00D1587D" w:rsidRDefault="00D1587D">
            <w:pPr>
              <w:rPr>
                <w:sz w:val="1"/>
                <w:szCs w:val="1"/>
              </w:rPr>
            </w:pPr>
          </w:p>
        </w:tc>
      </w:tr>
      <w:tr w:rsidR="00D1587D" w14:paraId="06D02E12" w14:textId="77777777">
        <w:trPr>
          <w:trHeight w:val="20"/>
        </w:trPr>
        <w:tc>
          <w:tcPr>
            <w:tcW w:w="4280" w:type="dxa"/>
            <w:tcBorders>
              <w:top w:val="single" w:sz="8" w:space="0" w:color="CCEEFF"/>
            </w:tcBorders>
            <w:vAlign w:val="bottom"/>
          </w:tcPr>
          <w:p w14:paraId="73CC6736" w14:textId="77777777" w:rsidR="00D1587D" w:rsidRDefault="00D1587D">
            <w:pPr>
              <w:spacing w:line="20" w:lineRule="exact"/>
              <w:rPr>
                <w:sz w:val="1"/>
                <w:szCs w:val="1"/>
              </w:rPr>
            </w:pPr>
          </w:p>
        </w:tc>
        <w:tc>
          <w:tcPr>
            <w:tcW w:w="100" w:type="dxa"/>
            <w:tcBorders>
              <w:top w:val="single" w:sz="8" w:space="0" w:color="CCEEFF"/>
            </w:tcBorders>
            <w:vAlign w:val="bottom"/>
          </w:tcPr>
          <w:p w14:paraId="03A08063" w14:textId="77777777" w:rsidR="00D1587D" w:rsidRDefault="00D1587D">
            <w:pPr>
              <w:spacing w:line="20" w:lineRule="exact"/>
              <w:rPr>
                <w:sz w:val="1"/>
                <w:szCs w:val="1"/>
              </w:rPr>
            </w:pPr>
          </w:p>
        </w:tc>
        <w:tc>
          <w:tcPr>
            <w:tcW w:w="480" w:type="dxa"/>
            <w:tcBorders>
              <w:top w:val="single" w:sz="8" w:space="0" w:color="auto"/>
            </w:tcBorders>
            <w:shd w:val="clear" w:color="auto" w:fill="000000"/>
            <w:vAlign w:val="bottom"/>
          </w:tcPr>
          <w:p w14:paraId="3F6A1847" w14:textId="77777777" w:rsidR="00D1587D" w:rsidRDefault="00D1587D">
            <w:pPr>
              <w:spacing w:line="20" w:lineRule="exact"/>
              <w:rPr>
                <w:sz w:val="1"/>
                <w:szCs w:val="1"/>
              </w:rPr>
            </w:pPr>
          </w:p>
        </w:tc>
        <w:tc>
          <w:tcPr>
            <w:tcW w:w="180" w:type="dxa"/>
            <w:tcBorders>
              <w:top w:val="single" w:sz="8" w:space="0" w:color="CCEEFF"/>
            </w:tcBorders>
            <w:vAlign w:val="bottom"/>
          </w:tcPr>
          <w:p w14:paraId="64322C1D"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73D349F2" w14:textId="77777777" w:rsidR="00D1587D" w:rsidRDefault="00D1587D">
            <w:pPr>
              <w:spacing w:line="20" w:lineRule="exact"/>
              <w:rPr>
                <w:sz w:val="1"/>
                <w:szCs w:val="1"/>
              </w:rPr>
            </w:pPr>
          </w:p>
        </w:tc>
        <w:tc>
          <w:tcPr>
            <w:tcW w:w="180" w:type="dxa"/>
            <w:tcBorders>
              <w:top w:val="single" w:sz="8" w:space="0" w:color="CCEEFF"/>
            </w:tcBorders>
            <w:vAlign w:val="bottom"/>
          </w:tcPr>
          <w:p w14:paraId="0BC8BAF5" w14:textId="77777777" w:rsidR="00D1587D" w:rsidRDefault="00D1587D">
            <w:pPr>
              <w:spacing w:line="20" w:lineRule="exact"/>
              <w:rPr>
                <w:sz w:val="1"/>
                <w:szCs w:val="1"/>
              </w:rPr>
            </w:pPr>
          </w:p>
        </w:tc>
        <w:tc>
          <w:tcPr>
            <w:tcW w:w="280" w:type="dxa"/>
            <w:tcBorders>
              <w:top w:val="single" w:sz="8" w:space="0" w:color="auto"/>
            </w:tcBorders>
            <w:shd w:val="clear" w:color="auto" w:fill="000000"/>
            <w:vAlign w:val="bottom"/>
          </w:tcPr>
          <w:p w14:paraId="2EB90E2A"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0C612DD7" w14:textId="77777777" w:rsidR="00D1587D" w:rsidRDefault="00D1587D">
            <w:pPr>
              <w:spacing w:line="20" w:lineRule="exact"/>
              <w:rPr>
                <w:sz w:val="1"/>
                <w:szCs w:val="1"/>
              </w:rPr>
            </w:pPr>
          </w:p>
        </w:tc>
        <w:tc>
          <w:tcPr>
            <w:tcW w:w="180" w:type="dxa"/>
            <w:tcBorders>
              <w:top w:val="single" w:sz="8" w:space="0" w:color="CCEEFF"/>
            </w:tcBorders>
            <w:vAlign w:val="bottom"/>
          </w:tcPr>
          <w:p w14:paraId="072836A6" w14:textId="77777777" w:rsidR="00D1587D" w:rsidRDefault="00D1587D">
            <w:pPr>
              <w:spacing w:line="20" w:lineRule="exact"/>
              <w:rPr>
                <w:sz w:val="1"/>
                <w:szCs w:val="1"/>
              </w:rPr>
            </w:pPr>
          </w:p>
        </w:tc>
        <w:tc>
          <w:tcPr>
            <w:tcW w:w="280" w:type="dxa"/>
            <w:tcBorders>
              <w:top w:val="single" w:sz="8" w:space="0" w:color="auto"/>
            </w:tcBorders>
            <w:shd w:val="clear" w:color="auto" w:fill="000000"/>
            <w:vAlign w:val="bottom"/>
          </w:tcPr>
          <w:p w14:paraId="2CC531DB"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24167733" w14:textId="77777777" w:rsidR="00D1587D" w:rsidRDefault="00D1587D">
            <w:pPr>
              <w:spacing w:line="20" w:lineRule="exact"/>
              <w:rPr>
                <w:sz w:val="1"/>
                <w:szCs w:val="1"/>
              </w:rPr>
            </w:pPr>
          </w:p>
        </w:tc>
        <w:tc>
          <w:tcPr>
            <w:tcW w:w="180" w:type="dxa"/>
            <w:tcBorders>
              <w:top w:val="single" w:sz="8" w:space="0" w:color="CCEEFF"/>
            </w:tcBorders>
            <w:vAlign w:val="bottom"/>
          </w:tcPr>
          <w:p w14:paraId="0CE7B4CD" w14:textId="77777777" w:rsidR="00D1587D" w:rsidRDefault="00D1587D">
            <w:pPr>
              <w:spacing w:line="20" w:lineRule="exact"/>
              <w:rPr>
                <w:sz w:val="1"/>
                <w:szCs w:val="1"/>
              </w:rPr>
            </w:pPr>
          </w:p>
        </w:tc>
        <w:tc>
          <w:tcPr>
            <w:tcW w:w="780" w:type="dxa"/>
            <w:tcBorders>
              <w:top w:val="single" w:sz="8" w:space="0" w:color="auto"/>
            </w:tcBorders>
            <w:shd w:val="clear" w:color="auto" w:fill="000000"/>
            <w:vAlign w:val="bottom"/>
          </w:tcPr>
          <w:p w14:paraId="300FC4B6" w14:textId="77777777" w:rsidR="00D1587D" w:rsidRDefault="00D1587D">
            <w:pPr>
              <w:spacing w:line="20" w:lineRule="exact"/>
              <w:rPr>
                <w:sz w:val="1"/>
                <w:szCs w:val="1"/>
              </w:rPr>
            </w:pPr>
          </w:p>
        </w:tc>
        <w:tc>
          <w:tcPr>
            <w:tcW w:w="0" w:type="dxa"/>
            <w:vAlign w:val="bottom"/>
          </w:tcPr>
          <w:p w14:paraId="67FA4259" w14:textId="77777777" w:rsidR="00D1587D" w:rsidRDefault="00D1587D">
            <w:pPr>
              <w:spacing w:line="20" w:lineRule="exact"/>
              <w:rPr>
                <w:sz w:val="1"/>
                <w:szCs w:val="1"/>
              </w:rPr>
            </w:pPr>
          </w:p>
        </w:tc>
      </w:tr>
    </w:tbl>
    <w:p w14:paraId="7B8424EE" w14:textId="77777777" w:rsidR="00D1587D" w:rsidRDefault="00410D07">
      <w:pPr>
        <w:spacing w:line="20" w:lineRule="exact"/>
        <w:rPr>
          <w:sz w:val="20"/>
          <w:szCs w:val="20"/>
        </w:rPr>
      </w:pPr>
      <w:r>
        <w:rPr>
          <w:noProof/>
          <w:sz w:val="20"/>
          <w:szCs w:val="20"/>
        </w:rPr>
        <w:drawing>
          <wp:anchor distT="0" distB="0" distL="114300" distR="114300" simplePos="0" relativeHeight="251582464" behindDoc="1" locked="0" layoutInCell="0" allowOverlap="1" wp14:anchorId="2EB23A88" wp14:editId="067C44A2">
            <wp:simplePos x="0" y="0"/>
            <wp:positionH relativeFrom="column">
              <wp:posOffset>4925695</wp:posOffset>
            </wp:positionH>
            <wp:positionV relativeFrom="paragraph">
              <wp:posOffset>-256540</wp:posOffset>
            </wp:positionV>
            <wp:extent cx="120015" cy="8255"/>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83488" behindDoc="1" locked="0" layoutInCell="0" allowOverlap="1" wp14:anchorId="6861AA6E" wp14:editId="05D424EB">
            <wp:simplePos x="0" y="0"/>
            <wp:positionH relativeFrom="column">
              <wp:posOffset>4317365</wp:posOffset>
            </wp:positionH>
            <wp:positionV relativeFrom="paragraph">
              <wp:posOffset>-256540</wp:posOffset>
            </wp:positionV>
            <wp:extent cx="120015" cy="8255"/>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84512" behindDoc="1" locked="0" layoutInCell="0" allowOverlap="1" wp14:anchorId="3698EE83" wp14:editId="2402F8B3">
            <wp:simplePos x="0" y="0"/>
            <wp:positionH relativeFrom="column">
              <wp:posOffset>3708400</wp:posOffset>
            </wp:positionH>
            <wp:positionV relativeFrom="paragraph">
              <wp:posOffset>-256540</wp:posOffset>
            </wp:positionV>
            <wp:extent cx="120015" cy="8255"/>
            <wp:effectExtent l="0" t="0" r="0" b="0"/>
            <wp:wrapNone/>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85536" behindDoc="1" locked="0" layoutInCell="0" allowOverlap="1" wp14:anchorId="210BAE17" wp14:editId="582271A2">
            <wp:simplePos x="0" y="0"/>
            <wp:positionH relativeFrom="column">
              <wp:posOffset>3271520</wp:posOffset>
            </wp:positionH>
            <wp:positionV relativeFrom="paragraph">
              <wp:posOffset>-256540</wp:posOffset>
            </wp:positionV>
            <wp:extent cx="120015" cy="8255"/>
            <wp:effectExtent l="0" t="0" r="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86560" behindDoc="1" locked="0" layoutInCell="0" allowOverlap="1" wp14:anchorId="3C6E466B" wp14:editId="6D90464B">
            <wp:simplePos x="0" y="0"/>
            <wp:positionH relativeFrom="column">
              <wp:posOffset>2911475</wp:posOffset>
            </wp:positionH>
            <wp:positionV relativeFrom="paragraph">
              <wp:posOffset>-256540</wp:posOffset>
            </wp:positionV>
            <wp:extent cx="60325" cy="8255"/>
            <wp:effectExtent l="0" t="0" r="0" b="0"/>
            <wp:wrapNone/>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587584" behindDoc="1" locked="0" layoutInCell="0" allowOverlap="1" wp14:anchorId="52E599C4" wp14:editId="4D48CB0B">
            <wp:simplePos x="0" y="0"/>
            <wp:positionH relativeFrom="column">
              <wp:posOffset>4925695</wp:posOffset>
            </wp:positionH>
            <wp:positionV relativeFrom="paragraph">
              <wp:posOffset>-1602740</wp:posOffset>
            </wp:positionV>
            <wp:extent cx="120015" cy="8890"/>
            <wp:effectExtent l="0" t="0" r="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588608" behindDoc="1" locked="0" layoutInCell="0" allowOverlap="1" wp14:anchorId="7CA252D6" wp14:editId="7A50E6E1">
            <wp:simplePos x="0" y="0"/>
            <wp:positionH relativeFrom="column">
              <wp:posOffset>4317365</wp:posOffset>
            </wp:positionH>
            <wp:positionV relativeFrom="paragraph">
              <wp:posOffset>-1602740</wp:posOffset>
            </wp:positionV>
            <wp:extent cx="120015" cy="8890"/>
            <wp:effectExtent l="0" t="0" r="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589632" behindDoc="1" locked="0" layoutInCell="0" allowOverlap="1" wp14:anchorId="0CB651C8" wp14:editId="496C2BDD">
            <wp:simplePos x="0" y="0"/>
            <wp:positionH relativeFrom="column">
              <wp:posOffset>3708400</wp:posOffset>
            </wp:positionH>
            <wp:positionV relativeFrom="paragraph">
              <wp:posOffset>-1602740</wp:posOffset>
            </wp:positionV>
            <wp:extent cx="120015" cy="8890"/>
            <wp:effectExtent l="0" t="0" r="0" b="0"/>
            <wp:wrapNone/>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590656" behindDoc="1" locked="0" layoutInCell="0" allowOverlap="1" wp14:anchorId="55DB9EB1" wp14:editId="6563CB3C">
            <wp:simplePos x="0" y="0"/>
            <wp:positionH relativeFrom="column">
              <wp:posOffset>3271520</wp:posOffset>
            </wp:positionH>
            <wp:positionV relativeFrom="paragraph">
              <wp:posOffset>-1602740</wp:posOffset>
            </wp:positionV>
            <wp:extent cx="120015" cy="8890"/>
            <wp:effectExtent l="0" t="0" r="0"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591680" behindDoc="1" locked="0" layoutInCell="0" allowOverlap="1" wp14:anchorId="40789BF5" wp14:editId="6E03D3B4">
            <wp:simplePos x="0" y="0"/>
            <wp:positionH relativeFrom="column">
              <wp:posOffset>2911475</wp:posOffset>
            </wp:positionH>
            <wp:positionV relativeFrom="paragraph">
              <wp:posOffset>-1602740</wp:posOffset>
            </wp:positionV>
            <wp:extent cx="60325" cy="8890"/>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0"/>
                    <a:srcRect/>
                    <a:stretch>
                      <a:fillRect/>
                    </a:stretch>
                  </pic:blipFill>
                  <pic:spPr bwMode="auto">
                    <a:xfrm>
                      <a:off x="0" y="0"/>
                      <a:ext cx="60325" cy="8890"/>
                    </a:xfrm>
                    <a:prstGeom prst="rect">
                      <a:avLst/>
                    </a:prstGeom>
                    <a:noFill/>
                  </pic:spPr>
                </pic:pic>
              </a:graphicData>
            </a:graphic>
          </wp:anchor>
        </w:drawing>
      </w:r>
      <w:r>
        <w:rPr>
          <w:noProof/>
          <w:sz w:val="20"/>
          <w:szCs w:val="20"/>
        </w:rPr>
        <w:drawing>
          <wp:anchor distT="0" distB="0" distL="114300" distR="114300" simplePos="0" relativeHeight="251592704" behindDoc="1" locked="0" layoutInCell="0" allowOverlap="1" wp14:anchorId="23DD8818" wp14:editId="04BAC32F">
            <wp:simplePos x="0" y="0"/>
            <wp:positionH relativeFrom="column">
              <wp:posOffset>4925695</wp:posOffset>
            </wp:positionH>
            <wp:positionV relativeFrom="paragraph">
              <wp:posOffset>-3556635</wp:posOffset>
            </wp:positionV>
            <wp:extent cx="120015" cy="8255"/>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93728" behindDoc="1" locked="0" layoutInCell="0" allowOverlap="1" wp14:anchorId="0BDE99F9" wp14:editId="75C5AC43">
            <wp:simplePos x="0" y="0"/>
            <wp:positionH relativeFrom="column">
              <wp:posOffset>4317365</wp:posOffset>
            </wp:positionH>
            <wp:positionV relativeFrom="paragraph">
              <wp:posOffset>-3556635</wp:posOffset>
            </wp:positionV>
            <wp:extent cx="120015" cy="8255"/>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94752" behindDoc="1" locked="0" layoutInCell="0" allowOverlap="1" wp14:anchorId="3B6E7921" wp14:editId="1829CB52">
            <wp:simplePos x="0" y="0"/>
            <wp:positionH relativeFrom="column">
              <wp:posOffset>3708400</wp:posOffset>
            </wp:positionH>
            <wp:positionV relativeFrom="paragraph">
              <wp:posOffset>-3556635</wp:posOffset>
            </wp:positionV>
            <wp:extent cx="120015" cy="8255"/>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95776" behindDoc="1" locked="0" layoutInCell="0" allowOverlap="1" wp14:anchorId="1669C496" wp14:editId="72A76004">
            <wp:simplePos x="0" y="0"/>
            <wp:positionH relativeFrom="column">
              <wp:posOffset>3271520</wp:posOffset>
            </wp:positionH>
            <wp:positionV relativeFrom="paragraph">
              <wp:posOffset>-3556635</wp:posOffset>
            </wp:positionV>
            <wp:extent cx="120015" cy="8255"/>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96800" behindDoc="1" locked="0" layoutInCell="0" allowOverlap="1" wp14:anchorId="1A1B7C21" wp14:editId="2B75CF70">
            <wp:simplePos x="0" y="0"/>
            <wp:positionH relativeFrom="column">
              <wp:posOffset>2911475</wp:posOffset>
            </wp:positionH>
            <wp:positionV relativeFrom="paragraph">
              <wp:posOffset>-3556635</wp:posOffset>
            </wp:positionV>
            <wp:extent cx="60325" cy="8255"/>
            <wp:effectExtent l="0" t="0" r="0" b="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597824" behindDoc="1" locked="0" layoutInCell="0" allowOverlap="1" wp14:anchorId="61A3C02C" wp14:editId="62103292">
            <wp:simplePos x="0" y="0"/>
            <wp:positionH relativeFrom="column">
              <wp:posOffset>4925695</wp:posOffset>
            </wp:positionH>
            <wp:positionV relativeFrom="paragraph">
              <wp:posOffset>-5742940</wp:posOffset>
            </wp:positionV>
            <wp:extent cx="120015" cy="8255"/>
            <wp:effectExtent l="0" t="0" r="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98848" behindDoc="1" locked="0" layoutInCell="0" allowOverlap="1" wp14:anchorId="2270FC08" wp14:editId="63819572">
            <wp:simplePos x="0" y="0"/>
            <wp:positionH relativeFrom="column">
              <wp:posOffset>4317365</wp:posOffset>
            </wp:positionH>
            <wp:positionV relativeFrom="paragraph">
              <wp:posOffset>-5742940</wp:posOffset>
            </wp:positionV>
            <wp:extent cx="120015" cy="8255"/>
            <wp:effectExtent l="0" t="0" r="0"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599872" behindDoc="1" locked="0" layoutInCell="0" allowOverlap="1" wp14:anchorId="7D4F2EBF" wp14:editId="61C14AA6">
            <wp:simplePos x="0" y="0"/>
            <wp:positionH relativeFrom="column">
              <wp:posOffset>3708400</wp:posOffset>
            </wp:positionH>
            <wp:positionV relativeFrom="paragraph">
              <wp:posOffset>-5742940</wp:posOffset>
            </wp:positionV>
            <wp:extent cx="120015" cy="8255"/>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00896" behindDoc="1" locked="0" layoutInCell="0" allowOverlap="1" wp14:anchorId="4F59A67C" wp14:editId="3D54B744">
            <wp:simplePos x="0" y="0"/>
            <wp:positionH relativeFrom="column">
              <wp:posOffset>3271520</wp:posOffset>
            </wp:positionH>
            <wp:positionV relativeFrom="paragraph">
              <wp:posOffset>-5742940</wp:posOffset>
            </wp:positionV>
            <wp:extent cx="120015" cy="8255"/>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p>
    <w:p w14:paraId="1789A7BD" w14:textId="77777777" w:rsidR="00D1587D" w:rsidRDefault="00D1587D">
      <w:pPr>
        <w:sectPr w:rsidR="00D1587D">
          <w:pgSz w:w="11900" w:h="16838"/>
          <w:pgMar w:top="265" w:right="1440" w:bottom="1440" w:left="1440" w:header="0" w:footer="0" w:gutter="0"/>
          <w:cols w:space="720" w:equalWidth="0">
            <w:col w:w="9019"/>
          </w:cols>
        </w:sectPr>
      </w:pPr>
    </w:p>
    <w:p w14:paraId="16F4B915" w14:textId="77777777" w:rsidR="00D1587D" w:rsidRDefault="00D1587D">
      <w:pPr>
        <w:spacing w:line="202" w:lineRule="exact"/>
        <w:rPr>
          <w:sz w:val="20"/>
          <w:szCs w:val="20"/>
        </w:rPr>
      </w:pPr>
    </w:p>
    <w:p w14:paraId="456D0FAE" w14:textId="77777777" w:rsidR="00D1587D" w:rsidRDefault="00410D07">
      <w:pPr>
        <w:jc w:val="center"/>
        <w:rPr>
          <w:sz w:val="20"/>
          <w:szCs w:val="20"/>
        </w:rPr>
      </w:pPr>
      <w:r>
        <w:rPr>
          <w:rFonts w:ascii="Arial" w:eastAsia="Arial" w:hAnsi="Arial" w:cs="Arial"/>
          <w:sz w:val="16"/>
          <w:szCs w:val="16"/>
        </w:rPr>
        <w:t>64</w:t>
      </w:r>
    </w:p>
    <w:p w14:paraId="03FF50C5" w14:textId="77777777" w:rsidR="00D1587D" w:rsidRDefault="00410D07">
      <w:pPr>
        <w:spacing w:line="20" w:lineRule="exact"/>
        <w:rPr>
          <w:sz w:val="20"/>
          <w:szCs w:val="20"/>
        </w:rPr>
      </w:pPr>
      <w:r>
        <w:rPr>
          <w:noProof/>
          <w:sz w:val="20"/>
          <w:szCs w:val="20"/>
        </w:rPr>
        <w:drawing>
          <wp:anchor distT="0" distB="0" distL="114300" distR="114300" simplePos="0" relativeHeight="251601920" behindDoc="1" locked="0" layoutInCell="0" allowOverlap="1" wp14:anchorId="76078BD5" wp14:editId="1A8C6C4F">
            <wp:simplePos x="0" y="0"/>
            <wp:positionH relativeFrom="column">
              <wp:posOffset>-636905</wp:posOffset>
            </wp:positionH>
            <wp:positionV relativeFrom="paragraph">
              <wp:posOffset>140970</wp:posOffset>
            </wp:positionV>
            <wp:extent cx="6995160" cy="17145"/>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4CA3EC6" w14:textId="77777777" w:rsidR="00D1587D" w:rsidRDefault="00D1587D">
      <w:pPr>
        <w:sectPr w:rsidR="00D1587D">
          <w:type w:val="continuous"/>
          <w:pgSz w:w="11900" w:h="16838"/>
          <w:pgMar w:top="265" w:right="1440" w:bottom="1440" w:left="1440" w:header="0" w:footer="0" w:gutter="0"/>
          <w:cols w:space="720" w:equalWidth="0">
            <w:col w:w="9019"/>
          </w:cols>
        </w:sectPr>
      </w:pPr>
    </w:p>
    <w:tbl>
      <w:tblPr>
        <w:tblW w:w="0" w:type="auto"/>
        <w:tblInd w:w="300" w:type="dxa"/>
        <w:tblLayout w:type="fixed"/>
        <w:tblCellMar>
          <w:left w:w="0" w:type="dxa"/>
          <w:right w:w="0" w:type="dxa"/>
        </w:tblCellMar>
        <w:tblLook w:val="04A0" w:firstRow="1" w:lastRow="0" w:firstColumn="1" w:lastColumn="0" w:noHBand="0" w:noVBand="1"/>
      </w:tblPr>
      <w:tblGrid>
        <w:gridCol w:w="1540"/>
        <w:gridCol w:w="2740"/>
        <w:gridCol w:w="100"/>
        <w:gridCol w:w="480"/>
        <w:gridCol w:w="180"/>
        <w:gridCol w:w="500"/>
        <w:gridCol w:w="180"/>
        <w:gridCol w:w="780"/>
        <w:gridCol w:w="180"/>
        <w:gridCol w:w="780"/>
        <w:gridCol w:w="180"/>
        <w:gridCol w:w="780"/>
        <w:gridCol w:w="20"/>
      </w:tblGrid>
      <w:tr w:rsidR="00D1587D" w14:paraId="66E5EFB7" w14:textId="77777777">
        <w:trPr>
          <w:trHeight w:val="161"/>
        </w:trPr>
        <w:tc>
          <w:tcPr>
            <w:tcW w:w="4380" w:type="dxa"/>
            <w:gridSpan w:val="3"/>
            <w:vAlign w:val="bottom"/>
          </w:tcPr>
          <w:bookmarkStart w:id="322" w:name="page323"/>
          <w:bookmarkEnd w:id="322"/>
          <w:p w14:paraId="0DD72E64" w14:textId="77777777" w:rsidR="00D1587D" w:rsidRDefault="00410D07">
            <w:pPr>
              <w:rPr>
                <w:rFonts w:ascii="Arial" w:eastAsia="Arial" w:hAnsi="Arial" w:cs="Arial"/>
                <w:b/>
                <w:bCs/>
                <w:color w:val="0000EE"/>
                <w:sz w:val="14"/>
                <w:szCs w:val="14"/>
              </w:rPr>
            </w:pPr>
            <w:r>
              <w:fldChar w:fldCharType="begin"/>
            </w:r>
            <w:r>
              <w:instrText xml:space="preserve"> HYPERLINK \l "page256" \h </w:instrText>
            </w:r>
            <w:r>
              <w:fldChar w:fldCharType="separate"/>
            </w:r>
            <w:r>
              <w:rPr>
                <w:rFonts w:ascii="Arial" w:eastAsia="Arial" w:hAnsi="Arial" w:cs="Arial"/>
                <w:b/>
                <w:bCs/>
                <w:color w:val="0000EE"/>
                <w:sz w:val="14"/>
                <w:szCs w:val="14"/>
              </w:rPr>
              <w:t>TABLE OF CONTENTS</w:t>
            </w:r>
            <w:r>
              <w:rPr>
                <w:rFonts w:ascii="Arial" w:eastAsia="Arial" w:hAnsi="Arial" w:cs="Arial"/>
                <w:b/>
                <w:bCs/>
                <w:color w:val="0000EE"/>
                <w:sz w:val="14"/>
                <w:szCs w:val="14"/>
              </w:rPr>
              <w:fldChar w:fldCharType="end"/>
            </w:r>
          </w:p>
        </w:tc>
        <w:tc>
          <w:tcPr>
            <w:tcW w:w="480" w:type="dxa"/>
            <w:vAlign w:val="bottom"/>
          </w:tcPr>
          <w:p w14:paraId="131B5A91" w14:textId="77777777" w:rsidR="00D1587D" w:rsidRDefault="00D1587D">
            <w:pPr>
              <w:rPr>
                <w:sz w:val="14"/>
                <w:szCs w:val="14"/>
              </w:rPr>
            </w:pPr>
          </w:p>
        </w:tc>
        <w:tc>
          <w:tcPr>
            <w:tcW w:w="180" w:type="dxa"/>
            <w:vAlign w:val="bottom"/>
          </w:tcPr>
          <w:p w14:paraId="1B6E34E9" w14:textId="77777777" w:rsidR="00D1587D" w:rsidRDefault="00D1587D">
            <w:pPr>
              <w:rPr>
                <w:sz w:val="14"/>
                <w:szCs w:val="14"/>
              </w:rPr>
            </w:pPr>
          </w:p>
        </w:tc>
        <w:tc>
          <w:tcPr>
            <w:tcW w:w="500" w:type="dxa"/>
            <w:vAlign w:val="bottom"/>
          </w:tcPr>
          <w:p w14:paraId="6DF08604" w14:textId="77777777" w:rsidR="00D1587D" w:rsidRDefault="00D1587D">
            <w:pPr>
              <w:rPr>
                <w:sz w:val="14"/>
                <w:szCs w:val="14"/>
              </w:rPr>
            </w:pPr>
          </w:p>
        </w:tc>
        <w:tc>
          <w:tcPr>
            <w:tcW w:w="180" w:type="dxa"/>
            <w:vAlign w:val="bottom"/>
          </w:tcPr>
          <w:p w14:paraId="3F522A36" w14:textId="77777777" w:rsidR="00D1587D" w:rsidRDefault="00D1587D">
            <w:pPr>
              <w:rPr>
                <w:sz w:val="14"/>
                <w:szCs w:val="14"/>
              </w:rPr>
            </w:pPr>
          </w:p>
        </w:tc>
        <w:tc>
          <w:tcPr>
            <w:tcW w:w="780" w:type="dxa"/>
            <w:vAlign w:val="bottom"/>
          </w:tcPr>
          <w:p w14:paraId="4E2A1CAD" w14:textId="77777777" w:rsidR="00D1587D" w:rsidRDefault="00D1587D">
            <w:pPr>
              <w:rPr>
                <w:sz w:val="14"/>
                <w:szCs w:val="14"/>
              </w:rPr>
            </w:pPr>
          </w:p>
        </w:tc>
        <w:tc>
          <w:tcPr>
            <w:tcW w:w="180" w:type="dxa"/>
            <w:vAlign w:val="bottom"/>
          </w:tcPr>
          <w:p w14:paraId="409B087E" w14:textId="77777777" w:rsidR="00D1587D" w:rsidRDefault="00D1587D">
            <w:pPr>
              <w:rPr>
                <w:sz w:val="14"/>
                <w:szCs w:val="14"/>
              </w:rPr>
            </w:pPr>
          </w:p>
        </w:tc>
        <w:tc>
          <w:tcPr>
            <w:tcW w:w="780" w:type="dxa"/>
            <w:vAlign w:val="bottom"/>
          </w:tcPr>
          <w:p w14:paraId="16A195FA" w14:textId="77777777" w:rsidR="00D1587D" w:rsidRDefault="00D1587D">
            <w:pPr>
              <w:rPr>
                <w:sz w:val="14"/>
                <w:szCs w:val="14"/>
              </w:rPr>
            </w:pPr>
          </w:p>
        </w:tc>
        <w:tc>
          <w:tcPr>
            <w:tcW w:w="180" w:type="dxa"/>
            <w:vAlign w:val="bottom"/>
          </w:tcPr>
          <w:p w14:paraId="5003673E" w14:textId="77777777" w:rsidR="00D1587D" w:rsidRDefault="00D1587D">
            <w:pPr>
              <w:rPr>
                <w:sz w:val="14"/>
                <w:szCs w:val="14"/>
              </w:rPr>
            </w:pPr>
          </w:p>
        </w:tc>
        <w:tc>
          <w:tcPr>
            <w:tcW w:w="780" w:type="dxa"/>
            <w:vAlign w:val="bottom"/>
          </w:tcPr>
          <w:p w14:paraId="2D9CA40B" w14:textId="77777777" w:rsidR="00D1587D" w:rsidRDefault="00D1587D">
            <w:pPr>
              <w:rPr>
                <w:sz w:val="14"/>
                <w:szCs w:val="14"/>
              </w:rPr>
            </w:pPr>
          </w:p>
        </w:tc>
        <w:tc>
          <w:tcPr>
            <w:tcW w:w="0" w:type="dxa"/>
            <w:vAlign w:val="bottom"/>
          </w:tcPr>
          <w:p w14:paraId="6D4E10C3" w14:textId="77777777" w:rsidR="00D1587D" w:rsidRDefault="00D1587D">
            <w:pPr>
              <w:rPr>
                <w:sz w:val="1"/>
                <w:szCs w:val="1"/>
              </w:rPr>
            </w:pPr>
          </w:p>
        </w:tc>
      </w:tr>
      <w:tr w:rsidR="00D1587D" w14:paraId="60B1344E" w14:textId="77777777">
        <w:trPr>
          <w:trHeight w:val="362"/>
        </w:trPr>
        <w:tc>
          <w:tcPr>
            <w:tcW w:w="1540" w:type="dxa"/>
            <w:tcBorders>
              <w:top w:val="single" w:sz="8" w:space="0" w:color="0000EE"/>
            </w:tcBorders>
            <w:vAlign w:val="bottom"/>
          </w:tcPr>
          <w:p w14:paraId="1E2A2875" w14:textId="77777777" w:rsidR="00D1587D" w:rsidRDefault="00D1587D">
            <w:pPr>
              <w:rPr>
                <w:sz w:val="24"/>
                <w:szCs w:val="24"/>
              </w:rPr>
            </w:pPr>
          </w:p>
        </w:tc>
        <w:tc>
          <w:tcPr>
            <w:tcW w:w="2740" w:type="dxa"/>
            <w:vAlign w:val="bottom"/>
          </w:tcPr>
          <w:p w14:paraId="525ED656" w14:textId="77777777" w:rsidR="00D1587D" w:rsidRDefault="00D1587D">
            <w:pPr>
              <w:rPr>
                <w:sz w:val="24"/>
                <w:szCs w:val="24"/>
              </w:rPr>
            </w:pPr>
          </w:p>
        </w:tc>
        <w:tc>
          <w:tcPr>
            <w:tcW w:w="100" w:type="dxa"/>
            <w:vAlign w:val="bottom"/>
          </w:tcPr>
          <w:p w14:paraId="1B51862C" w14:textId="77777777" w:rsidR="00D1587D" w:rsidRDefault="00D1587D">
            <w:pPr>
              <w:rPr>
                <w:sz w:val="24"/>
                <w:szCs w:val="24"/>
              </w:rPr>
            </w:pPr>
          </w:p>
        </w:tc>
        <w:tc>
          <w:tcPr>
            <w:tcW w:w="1340" w:type="dxa"/>
            <w:gridSpan w:val="4"/>
            <w:vAlign w:val="bottom"/>
          </w:tcPr>
          <w:p w14:paraId="2195132A" w14:textId="77777777" w:rsidR="00D1587D" w:rsidRDefault="00410D07">
            <w:pPr>
              <w:ind w:right="220"/>
              <w:jc w:val="center"/>
              <w:rPr>
                <w:sz w:val="20"/>
                <w:szCs w:val="20"/>
              </w:rPr>
            </w:pPr>
            <w:r>
              <w:rPr>
                <w:rFonts w:ascii="Arial" w:eastAsia="Arial" w:hAnsi="Arial" w:cs="Arial"/>
                <w:b/>
                <w:bCs/>
                <w:w w:val="92"/>
                <w:sz w:val="14"/>
                <w:szCs w:val="14"/>
              </w:rPr>
              <w:t>Thirteen Weeks</w:t>
            </w:r>
          </w:p>
        </w:tc>
        <w:tc>
          <w:tcPr>
            <w:tcW w:w="780" w:type="dxa"/>
            <w:vAlign w:val="bottom"/>
          </w:tcPr>
          <w:p w14:paraId="6F0CE92D" w14:textId="77777777" w:rsidR="00D1587D" w:rsidRDefault="00D1587D">
            <w:pPr>
              <w:rPr>
                <w:sz w:val="24"/>
                <w:szCs w:val="24"/>
              </w:rPr>
            </w:pPr>
          </w:p>
        </w:tc>
        <w:tc>
          <w:tcPr>
            <w:tcW w:w="1140" w:type="dxa"/>
            <w:gridSpan w:val="3"/>
            <w:vMerge w:val="restart"/>
            <w:vAlign w:val="bottom"/>
          </w:tcPr>
          <w:p w14:paraId="5D5A6905" w14:textId="77777777" w:rsidR="00D1587D" w:rsidRDefault="00410D07">
            <w:pPr>
              <w:jc w:val="center"/>
              <w:rPr>
                <w:sz w:val="20"/>
                <w:szCs w:val="20"/>
              </w:rPr>
            </w:pPr>
            <w:r>
              <w:rPr>
                <w:rFonts w:ascii="Arial" w:eastAsia="Arial" w:hAnsi="Arial" w:cs="Arial"/>
                <w:b/>
                <w:bCs/>
                <w:w w:val="92"/>
                <w:sz w:val="14"/>
                <w:szCs w:val="14"/>
              </w:rPr>
              <w:t>Fiscal Year Ended</w:t>
            </w:r>
          </w:p>
        </w:tc>
        <w:tc>
          <w:tcPr>
            <w:tcW w:w="780" w:type="dxa"/>
            <w:vAlign w:val="bottom"/>
          </w:tcPr>
          <w:p w14:paraId="707BC073" w14:textId="77777777" w:rsidR="00D1587D" w:rsidRDefault="00D1587D">
            <w:pPr>
              <w:rPr>
                <w:sz w:val="24"/>
                <w:szCs w:val="24"/>
              </w:rPr>
            </w:pPr>
          </w:p>
        </w:tc>
        <w:tc>
          <w:tcPr>
            <w:tcW w:w="0" w:type="dxa"/>
            <w:vAlign w:val="bottom"/>
          </w:tcPr>
          <w:p w14:paraId="56930199" w14:textId="77777777" w:rsidR="00D1587D" w:rsidRDefault="00D1587D">
            <w:pPr>
              <w:rPr>
                <w:sz w:val="1"/>
                <w:szCs w:val="1"/>
              </w:rPr>
            </w:pPr>
          </w:p>
        </w:tc>
      </w:tr>
      <w:tr w:rsidR="00D1587D" w14:paraId="388A4970" w14:textId="77777777">
        <w:trPr>
          <w:trHeight w:val="186"/>
        </w:trPr>
        <w:tc>
          <w:tcPr>
            <w:tcW w:w="1540" w:type="dxa"/>
            <w:vAlign w:val="bottom"/>
          </w:tcPr>
          <w:p w14:paraId="0930797E" w14:textId="77777777" w:rsidR="00D1587D" w:rsidRDefault="00D1587D">
            <w:pPr>
              <w:rPr>
                <w:sz w:val="16"/>
                <w:szCs w:val="16"/>
              </w:rPr>
            </w:pPr>
          </w:p>
        </w:tc>
        <w:tc>
          <w:tcPr>
            <w:tcW w:w="2740" w:type="dxa"/>
            <w:vAlign w:val="bottom"/>
          </w:tcPr>
          <w:p w14:paraId="23B1927E" w14:textId="77777777" w:rsidR="00D1587D" w:rsidRDefault="00D1587D">
            <w:pPr>
              <w:rPr>
                <w:sz w:val="16"/>
                <w:szCs w:val="16"/>
              </w:rPr>
            </w:pPr>
          </w:p>
        </w:tc>
        <w:tc>
          <w:tcPr>
            <w:tcW w:w="100" w:type="dxa"/>
            <w:vAlign w:val="bottom"/>
          </w:tcPr>
          <w:p w14:paraId="6E4DBCB2" w14:textId="77777777" w:rsidR="00D1587D" w:rsidRDefault="00D1587D">
            <w:pPr>
              <w:rPr>
                <w:sz w:val="16"/>
                <w:szCs w:val="16"/>
              </w:rPr>
            </w:pPr>
          </w:p>
        </w:tc>
        <w:tc>
          <w:tcPr>
            <w:tcW w:w="1340" w:type="dxa"/>
            <w:gridSpan w:val="4"/>
            <w:vAlign w:val="bottom"/>
          </w:tcPr>
          <w:p w14:paraId="374CD919" w14:textId="77777777" w:rsidR="00D1587D" w:rsidRDefault="00410D07">
            <w:pPr>
              <w:ind w:right="180"/>
              <w:jc w:val="center"/>
              <w:rPr>
                <w:sz w:val="20"/>
                <w:szCs w:val="20"/>
              </w:rPr>
            </w:pPr>
            <w:r>
              <w:rPr>
                <w:rFonts w:ascii="Arial" w:eastAsia="Arial" w:hAnsi="Arial" w:cs="Arial"/>
                <w:b/>
                <w:bCs/>
                <w:w w:val="93"/>
                <w:sz w:val="14"/>
                <w:szCs w:val="14"/>
              </w:rPr>
              <w:t>Ended</w:t>
            </w:r>
          </w:p>
        </w:tc>
        <w:tc>
          <w:tcPr>
            <w:tcW w:w="780" w:type="dxa"/>
            <w:vAlign w:val="bottom"/>
          </w:tcPr>
          <w:p w14:paraId="1A31653B" w14:textId="77777777" w:rsidR="00D1587D" w:rsidRDefault="00D1587D">
            <w:pPr>
              <w:rPr>
                <w:sz w:val="16"/>
                <w:szCs w:val="16"/>
              </w:rPr>
            </w:pPr>
          </w:p>
        </w:tc>
        <w:tc>
          <w:tcPr>
            <w:tcW w:w="1140" w:type="dxa"/>
            <w:gridSpan w:val="3"/>
            <w:vMerge/>
            <w:vAlign w:val="bottom"/>
          </w:tcPr>
          <w:p w14:paraId="74055768" w14:textId="77777777" w:rsidR="00D1587D" w:rsidRDefault="00D1587D">
            <w:pPr>
              <w:rPr>
                <w:sz w:val="16"/>
                <w:szCs w:val="16"/>
              </w:rPr>
            </w:pPr>
          </w:p>
        </w:tc>
        <w:tc>
          <w:tcPr>
            <w:tcW w:w="780" w:type="dxa"/>
            <w:vAlign w:val="bottom"/>
          </w:tcPr>
          <w:p w14:paraId="0BF71BDB" w14:textId="77777777" w:rsidR="00D1587D" w:rsidRDefault="00D1587D">
            <w:pPr>
              <w:rPr>
                <w:sz w:val="16"/>
                <w:szCs w:val="16"/>
              </w:rPr>
            </w:pPr>
          </w:p>
        </w:tc>
        <w:tc>
          <w:tcPr>
            <w:tcW w:w="0" w:type="dxa"/>
            <w:vAlign w:val="bottom"/>
          </w:tcPr>
          <w:p w14:paraId="21F469C4" w14:textId="77777777" w:rsidR="00D1587D" w:rsidRDefault="00D1587D">
            <w:pPr>
              <w:rPr>
                <w:sz w:val="1"/>
                <w:szCs w:val="1"/>
              </w:rPr>
            </w:pPr>
          </w:p>
        </w:tc>
      </w:tr>
      <w:tr w:rsidR="00D1587D" w14:paraId="40173007" w14:textId="77777777">
        <w:trPr>
          <w:trHeight w:val="53"/>
        </w:trPr>
        <w:tc>
          <w:tcPr>
            <w:tcW w:w="1540" w:type="dxa"/>
            <w:vAlign w:val="bottom"/>
          </w:tcPr>
          <w:p w14:paraId="2C30213C" w14:textId="77777777" w:rsidR="00D1587D" w:rsidRDefault="00D1587D">
            <w:pPr>
              <w:rPr>
                <w:sz w:val="4"/>
                <w:szCs w:val="4"/>
              </w:rPr>
            </w:pPr>
          </w:p>
        </w:tc>
        <w:tc>
          <w:tcPr>
            <w:tcW w:w="2740" w:type="dxa"/>
            <w:vAlign w:val="bottom"/>
          </w:tcPr>
          <w:p w14:paraId="4D77C294" w14:textId="77777777" w:rsidR="00D1587D" w:rsidRDefault="00D1587D">
            <w:pPr>
              <w:rPr>
                <w:sz w:val="4"/>
                <w:szCs w:val="4"/>
              </w:rPr>
            </w:pPr>
          </w:p>
        </w:tc>
        <w:tc>
          <w:tcPr>
            <w:tcW w:w="100" w:type="dxa"/>
            <w:vAlign w:val="bottom"/>
          </w:tcPr>
          <w:p w14:paraId="0670820F" w14:textId="77777777" w:rsidR="00D1587D" w:rsidRDefault="00D1587D">
            <w:pPr>
              <w:rPr>
                <w:sz w:val="4"/>
                <w:szCs w:val="4"/>
              </w:rPr>
            </w:pPr>
          </w:p>
        </w:tc>
        <w:tc>
          <w:tcPr>
            <w:tcW w:w="660" w:type="dxa"/>
            <w:gridSpan w:val="2"/>
            <w:tcBorders>
              <w:bottom w:val="single" w:sz="8" w:space="0" w:color="auto"/>
            </w:tcBorders>
            <w:vAlign w:val="bottom"/>
          </w:tcPr>
          <w:p w14:paraId="253A2835" w14:textId="77777777" w:rsidR="00D1587D" w:rsidRDefault="00D1587D">
            <w:pPr>
              <w:rPr>
                <w:sz w:val="4"/>
                <w:szCs w:val="4"/>
              </w:rPr>
            </w:pPr>
          </w:p>
        </w:tc>
        <w:tc>
          <w:tcPr>
            <w:tcW w:w="500" w:type="dxa"/>
            <w:tcBorders>
              <w:bottom w:val="single" w:sz="8" w:space="0" w:color="auto"/>
            </w:tcBorders>
            <w:vAlign w:val="bottom"/>
          </w:tcPr>
          <w:p w14:paraId="432539EB" w14:textId="77777777" w:rsidR="00D1587D" w:rsidRDefault="00D1587D">
            <w:pPr>
              <w:rPr>
                <w:sz w:val="4"/>
                <w:szCs w:val="4"/>
              </w:rPr>
            </w:pPr>
          </w:p>
        </w:tc>
        <w:tc>
          <w:tcPr>
            <w:tcW w:w="180" w:type="dxa"/>
            <w:vAlign w:val="bottom"/>
          </w:tcPr>
          <w:p w14:paraId="062BBCD9" w14:textId="77777777" w:rsidR="00D1587D" w:rsidRDefault="00D1587D">
            <w:pPr>
              <w:rPr>
                <w:sz w:val="4"/>
                <w:szCs w:val="4"/>
              </w:rPr>
            </w:pPr>
          </w:p>
        </w:tc>
        <w:tc>
          <w:tcPr>
            <w:tcW w:w="780" w:type="dxa"/>
            <w:tcBorders>
              <w:bottom w:val="single" w:sz="8" w:space="0" w:color="auto"/>
            </w:tcBorders>
            <w:vAlign w:val="bottom"/>
          </w:tcPr>
          <w:p w14:paraId="56F88774" w14:textId="77777777" w:rsidR="00D1587D" w:rsidRDefault="00D1587D">
            <w:pPr>
              <w:rPr>
                <w:sz w:val="4"/>
                <w:szCs w:val="4"/>
              </w:rPr>
            </w:pPr>
          </w:p>
        </w:tc>
        <w:tc>
          <w:tcPr>
            <w:tcW w:w="180" w:type="dxa"/>
            <w:tcBorders>
              <w:bottom w:val="single" w:sz="8" w:space="0" w:color="auto"/>
            </w:tcBorders>
            <w:vAlign w:val="bottom"/>
          </w:tcPr>
          <w:p w14:paraId="177156F1" w14:textId="77777777" w:rsidR="00D1587D" w:rsidRDefault="00D1587D">
            <w:pPr>
              <w:rPr>
                <w:sz w:val="4"/>
                <w:szCs w:val="4"/>
              </w:rPr>
            </w:pPr>
          </w:p>
        </w:tc>
        <w:tc>
          <w:tcPr>
            <w:tcW w:w="960" w:type="dxa"/>
            <w:gridSpan w:val="2"/>
            <w:tcBorders>
              <w:bottom w:val="single" w:sz="8" w:space="0" w:color="auto"/>
            </w:tcBorders>
            <w:vAlign w:val="bottom"/>
          </w:tcPr>
          <w:p w14:paraId="7221214E" w14:textId="77777777" w:rsidR="00D1587D" w:rsidRDefault="00D1587D">
            <w:pPr>
              <w:rPr>
                <w:sz w:val="4"/>
                <w:szCs w:val="4"/>
              </w:rPr>
            </w:pPr>
          </w:p>
        </w:tc>
        <w:tc>
          <w:tcPr>
            <w:tcW w:w="780" w:type="dxa"/>
            <w:tcBorders>
              <w:bottom w:val="single" w:sz="8" w:space="0" w:color="auto"/>
            </w:tcBorders>
            <w:vAlign w:val="bottom"/>
          </w:tcPr>
          <w:p w14:paraId="7C07B1A8" w14:textId="77777777" w:rsidR="00D1587D" w:rsidRDefault="00D1587D">
            <w:pPr>
              <w:rPr>
                <w:sz w:val="4"/>
                <w:szCs w:val="4"/>
              </w:rPr>
            </w:pPr>
          </w:p>
        </w:tc>
        <w:tc>
          <w:tcPr>
            <w:tcW w:w="0" w:type="dxa"/>
            <w:vAlign w:val="bottom"/>
          </w:tcPr>
          <w:p w14:paraId="4E3771D7" w14:textId="77777777" w:rsidR="00D1587D" w:rsidRDefault="00D1587D">
            <w:pPr>
              <w:rPr>
                <w:sz w:val="1"/>
                <w:szCs w:val="1"/>
              </w:rPr>
            </w:pPr>
          </w:p>
        </w:tc>
      </w:tr>
      <w:tr w:rsidR="00D1587D" w14:paraId="28DD4ED2" w14:textId="77777777">
        <w:trPr>
          <w:trHeight w:val="187"/>
        </w:trPr>
        <w:tc>
          <w:tcPr>
            <w:tcW w:w="1540" w:type="dxa"/>
            <w:vAlign w:val="bottom"/>
          </w:tcPr>
          <w:p w14:paraId="549A5E19" w14:textId="77777777" w:rsidR="00D1587D" w:rsidRDefault="00D1587D">
            <w:pPr>
              <w:rPr>
                <w:sz w:val="16"/>
                <w:szCs w:val="16"/>
              </w:rPr>
            </w:pPr>
          </w:p>
        </w:tc>
        <w:tc>
          <w:tcPr>
            <w:tcW w:w="2740" w:type="dxa"/>
            <w:vAlign w:val="bottom"/>
          </w:tcPr>
          <w:p w14:paraId="4118D1F4" w14:textId="77777777" w:rsidR="00D1587D" w:rsidRDefault="00D1587D">
            <w:pPr>
              <w:rPr>
                <w:sz w:val="16"/>
                <w:szCs w:val="16"/>
              </w:rPr>
            </w:pPr>
          </w:p>
        </w:tc>
        <w:tc>
          <w:tcPr>
            <w:tcW w:w="100" w:type="dxa"/>
            <w:vAlign w:val="bottom"/>
          </w:tcPr>
          <w:p w14:paraId="703B548E" w14:textId="77777777" w:rsidR="00D1587D" w:rsidRDefault="00D1587D">
            <w:pPr>
              <w:rPr>
                <w:sz w:val="16"/>
                <w:szCs w:val="16"/>
              </w:rPr>
            </w:pPr>
          </w:p>
        </w:tc>
        <w:tc>
          <w:tcPr>
            <w:tcW w:w="660" w:type="dxa"/>
            <w:gridSpan w:val="2"/>
            <w:vAlign w:val="bottom"/>
          </w:tcPr>
          <w:p w14:paraId="2F27C067" w14:textId="77777777" w:rsidR="00D1587D" w:rsidRDefault="00410D07">
            <w:pPr>
              <w:rPr>
                <w:sz w:val="20"/>
                <w:szCs w:val="20"/>
              </w:rPr>
            </w:pPr>
            <w:r>
              <w:rPr>
                <w:rFonts w:ascii="Arial" w:eastAsia="Arial" w:hAnsi="Arial" w:cs="Arial"/>
                <w:b/>
                <w:bCs/>
                <w:sz w:val="14"/>
                <w:szCs w:val="14"/>
              </w:rPr>
              <w:t>May 1,</w:t>
            </w:r>
          </w:p>
        </w:tc>
        <w:tc>
          <w:tcPr>
            <w:tcW w:w="680" w:type="dxa"/>
            <w:gridSpan w:val="2"/>
            <w:vAlign w:val="bottom"/>
          </w:tcPr>
          <w:p w14:paraId="230CE9CA" w14:textId="77777777" w:rsidR="00D1587D" w:rsidRDefault="00410D07">
            <w:pPr>
              <w:ind w:left="20"/>
              <w:rPr>
                <w:sz w:val="20"/>
                <w:szCs w:val="20"/>
              </w:rPr>
            </w:pPr>
            <w:r>
              <w:rPr>
                <w:rFonts w:ascii="Arial" w:eastAsia="Arial" w:hAnsi="Arial" w:cs="Arial"/>
                <w:b/>
                <w:bCs/>
                <w:sz w:val="14"/>
                <w:szCs w:val="14"/>
              </w:rPr>
              <w:t>May 2,</w:t>
            </w:r>
          </w:p>
        </w:tc>
        <w:tc>
          <w:tcPr>
            <w:tcW w:w="780" w:type="dxa"/>
            <w:vAlign w:val="bottom"/>
          </w:tcPr>
          <w:p w14:paraId="4171B0F7" w14:textId="77777777" w:rsidR="00D1587D" w:rsidRDefault="00410D07">
            <w:pPr>
              <w:jc w:val="right"/>
              <w:rPr>
                <w:sz w:val="20"/>
                <w:szCs w:val="20"/>
              </w:rPr>
            </w:pPr>
            <w:r>
              <w:rPr>
                <w:rFonts w:ascii="Arial" w:eastAsia="Arial" w:hAnsi="Arial" w:cs="Arial"/>
                <w:b/>
                <w:bCs/>
                <w:w w:val="93"/>
                <w:sz w:val="14"/>
                <w:szCs w:val="14"/>
              </w:rPr>
              <w:t>January 30,</w:t>
            </w:r>
          </w:p>
        </w:tc>
        <w:tc>
          <w:tcPr>
            <w:tcW w:w="180" w:type="dxa"/>
            <w:vAlign w:val="bottom"/>
          </w:tcPr>
          <w:p w14:paraId="419ED19E" w14:textId="77777777" w:rsidR="00D1587D" w:rsidRDefault="00D1587D">
            <w:pPr>
              <w:rPr>
                <w:sz w:val="16"/>
                <w:szCs w:val="16"/>
              </w:rPr>
            </w:pPr>
          </w:p>
        </w:tc>
        <w:tc>
          <w:tcPr>
            <w:tcW w:w="960" w:type="dxa"/>
            <w:gridSpan w:val="2"/>
            <w:vAlign w:val="bottom"/>
          </w:tcPr>
          <w:p w14:paraId="04DC64BB" w14:textId="77777777" w:rsidR="00D1587D" w:rsidRDefault="00410D07">
            <w:pPr>
              <w:ind w:right="200"/>
              <w:jc w:val="center"/>
              <w:rPr>
                <w:sz w:val="20"/>
                <w:szCs w:val="20"/>
              </w:rPr>
            </w:pPr>
            <w:r>
              <w:rPr>
                <w:rFonts w:ascii="Arial" w:eastAsia="Arial" w:hAnsi="Arial" w:cs="Arial"/>
                <w:b/>
                <w:bCs/>
                <w:w w:val="95"/>
                <w:sz w:val="14"/>
                <w:szCs w:val="14"/>
              </w:rPr>
              <w:t>February 1,</w:t>
            </w:r>
          </w:p>
        </w:tc>
        <w:tc>
          <w:tcPr>
            <w:tcW w:w="780" w:type="dxa"/>
            <w:vAlign w:val="bottom"/>
          </w:tcPr>
          <w:p w14:paraId="1611149B" w14:textId="77777777" w:rsidR="00D1587D" w:rsidRDefault="00410D07">
            <w:pPr>
              <w:jc w:val="right"/>
              <w:rPr>
                <w:sz w:val="20"/>
                <w:szCs w:val="20"/>
              </w:rPr>
            </w:pPr>
            <w:r>
              <w:rPr>
                <w:rFonts w:ascii="Arial" w:eastAsia="Arial" w:hAnsi="Arial" w:cs="Arial"/>
                <w:b/>
                <w:bCs/>
                <w:w w:val="95"/>
                <w:sz w:val="14"/>
                <w:szCs w:val="14"/>
              </w:rPr>
              <w:t>February 2,</w:t>
            </w:r>
          </w:p>
        </w:tc>
        <w:tc>
          <w:tcPr>
            <w:tcW w:w="0" w:type="dxa"/>
            <w:vAlign w:val="bottom"/>
          </w:tcPr>
          <w:p w14:paraId="28503A67" w14:textId="77777777" w:rsidR="00D1587D" w:rsidRDefault="00D1587D">
            <w:pPr>
              <w:rPr>
                <w:sz w:val="1"/>
                <w:szCs w:val="1"/>
              </w:rPr>
            </w:pPr>
          </w:p>
        </w:tc>
      </w:tr>
      <w:tr w:rsidR="00D1587D" w14:paraId="0BDD9E7B" w14:textId="77777777">
        <w:trPr>
          <w:trHeight w:val="186"/>
        </w:trPr>
        <w:tc>
          <w:tcPr>
            <w:tcW w:w="1540" w:type="dxa"/>
            <w:vAlign w:val="bottom"/>
          </w:tcPr>
          <w:p w14:paraId="4D259A1E" w14:textId="77777777" w:rsidR="00D1587D" w:rsidRDefault="00D1587D">
            <w:pPr>
              <w:rPr>
                <w:sz w:val="16"/>
                <w:szCs w:val="16"/>
              </w:rPr>
            </w:pPr>
          </w:p>
        </w:tc>
        <w:tc>
          <w:tcPr>
            <w:tcW w:w="2740" w:type="dxa"/>
            <w:vAlign w:val="bottom"/>
          </w:tcPr>
          <w:p w14:paraId="369643D8" w14:textId="77777777" w:rsidR="00D1587D" w:rsidRDefault="00D1587D">
            <w:pPr>
              <w:rPr>
                <w:sz w:val="16"/>
                <w:szCs w:val="16"/>
              </w:rPr>
            </w:pPr>
          </w:p>
        </w:tc>
        <w:tc>
          <w:tcPr>
            <w:tcW w:w="100" w:type="dxa"/>
            <w:vAlign w:val="bottom"/>
          </w:tcPr>
          <w:p w14:paraId="3DB5923B" w14:textId="77777777" w:rsidR="00D1587D" w:rsidRDefault="00D1587D">
            <w:pPr>
              <w:rPr>
                <w:sz w:val="16"/>
                <w:szCs w:val="16"/>
              </w:rPr>
            </w:pPr>
          </w:p>
        </w:tc>
        <w:tc>
          <w:tcPr>
            <w:tcW w:w="480" w:type="dxa"/>
            <w:vAlign w:val="bottom"/>
          </w:tcPr>
          <w:p w14:paraId="79B7B653" w14:textId="77777777" w:rsidR="00D1587D" w:rsidRDefault="00410D07">
            <w:pPr>
              <w:ind w:right="17"/>
              <w:jc w:val="right"/>
              <w:rPr>
                <w:sz w:val="20"/>
                <w:szCs w:val="20"/>
              </w:rPr>
            </w:pPr>
            <w:r>
              <w:rPr>
                <w:rFonts w:ascii="Arial" w:eastAsia="Arial" w:hAnsi="Arial" w:cs="Arial"/>
                <w:b/>
                <w:bCs/>
                <w:sz w:val="14"/>
                <w:szCs w:val="14"/>
              </w:rPr>
              <w:t>2021</w:t>
            </w:r>
          </w:p>
        </w:tc>
        <w:tc>
          <w:tcPr>
            <w:tcW w:w="180" w:type="dxa"/>
            <w:vAlign w:val="bottom"/>
          </w:tcPr>
          <w:p w14:paraId="17DA86A4" w14:textId="77777777" w:rsidR="00D1587D" w:rsidRDefault="00D1587D">
            <w:pPr>
              <w:rPr>
                <w:sz w:val="16"/>
                <w:szCs w:val="16"/>
              </w:rPr>
            </w:pPr>
          </w:p>
        </w:tc>
        <w:tc>
          <w:tcPr>
            <w:tcW w:w="500" w:type="dxa"/>
            <w:vAlign w:val="bottom"/>
          </w:tcPr>
          <w:p w14:paraId="356BF80D" w14:textId="77777777" w:rsidR="00D1587D" w:rsidRDefault="00410D07">
            <w:pPr>
              <w:ind w:right="14"/>
              <w:jc w:val="right"/>
              <w:rPr>
                <w:sz w:val="20"/>
                <w:szCs w:val="20"/>
              </w:rPr>
            </w:pPr>
            <w:r>
              <w:rPr>
                <w:rFonts w:ascii="Arial" w:eastAsia="Arial" w:hAnsi="Arial" w:cs="Arial"/>
                <w:b/>
                <w:bCs/>
                <w:sz w:val="14"/>
                <w:szCs w:val="14"/>
              </w:rPr>
              <w:t>2020</w:t>
            </w:r>
          </w:p>
        </w:tc>
        <w:tc>
          <w:tcPr>
            <w:tcW w:w="180" w:type="dxa"/>
            <w:vAlign w:val="bottom"/>
          </w:tcPr>
          <w:p w14:paraId="0A17E697" w14:textId="77777777" w:rsidR="00D1587D" w:rsidRDefault="00D1587D">
            <w:pPr>
              <w:rPr>
                <w:sz w:val="16"/>
                <w:szCs w:val="16"/>
              </w:rPr>
            </w:pPr>
          </w:p>
        </w:tc>
        <w:tc>
          <w:tcPr>
            <w:tcW w:w="780" w:type="dxa"/>
            <w:vAlign w:val="bottom"/>
          </w:tcPr>
          <w:p w14:paraId="51F5D67E" w14:textId="77777777" w:rsidR="00D1587D" w:rsidRDefault="00410D07">
            <w:pPr>
              <w:ind w:right="155"/>
              <w:jc w:val="right"/>
              <w:rPr>
                <w:sz w:val="20"/>
                <w:szCs w:val="20"/>
              </w:rPr>
            </w:pPr>
            <w:r>
              <w:rPr>
                <w:rFonts w:ascii="Arial" w:eastAsia="Arial" w:hAnsi="Arial" w:cs="Arial"/>
                <w:b/>
                <w:bCs/>
                <w:sz w:val="14"/>
                <w:szCs w:val="14"/>
              </w:rPr>
              <w:t>2021</w:t>
            </w:r>
          </w:p>
        </w:tc>
        <w:tc>
          <w:tcPr>
            <w:tcW w:w="960" w:type="dxa"/>
            <w:gridSpan w:val="2"/>
            <w:vAlign w:val="bottom"/>
          </w:tcPr>
          <w:p w14:paraId="5F327CFC" w14:textId="77777777" w:rsidR="00D1587D" w:rsidRDefault="00410D07">
            <w:pPr>
              <w:ind w:left="97"/>
              <w:jc w:val="center"/>
              <w:rPr>
                <w:sz w:val="20"/>
                <w:szCs w:val="20"/>
              </w:rPr>
            </w:pPr>
            <w:r>
              <w:rPr>
                <w:rFonts w:ascii="Arial" w:eastAsia="Arial" w:hAnsi="Arial" w:cs="Arial"/>
                <w:b/>
                <w:bCs/>
                <w:w w:val="96"/>
                <w:sz w:val="14"/>
                <w:szCs w:val="14"/>
              </w:rPr>
              <w:t>2020</w:t>
            </w:r>
          </w:p>
        </w:tc>
        <w:tc>
          <w:tcPr>
            <w:tcW w:w="180" w:type="dxa"/>
            <w:vAlign w:val="bottom"/>
          </w:tcPr>
          <w:p w14:paraId="2EF1A7E4" w14:textId="77777777" w:rsidR="00D1587D" w:rsidRDefault="00D1587D">
            <w:pPr>
              <w:rPr>
                <w:sz w:val="16"/>
                <w:szCs w:val="16"/>
              </w:rPr>
            </w:pPr>
          </w:p>
        </w:tc>
        <w:tc>
          <w:tcPr>
            <w:tcW w:w="780" w:type="dxa"/>
            <w:vAlign w:val="bottom"/>
          </w:tcPr>
          <w:p w14:paraId="07C28F3A" w14:textId="77777777" w:rsidR="00D1587D" w:rsidRDefault="00410D07">
            <w:pPr>
              <w:ind w:right="154"/>
              <w:jc w:val="right"/>
              <w:rPr>
                <w:sz w:val="20"/>
                <w:szCs w:val="20"/>
              </w:rPr>
            </w:pPr>
            <w:r>
              <w:rPr>
                <w:rFonts w:ascii="Arial" w:eastAsia="Arial" w:hAnsi="Arial" w:cs="Arial"/>
                <w:b/>
                <w:bCs/>
                <w:sz w:val="14"/>
                <w:szCs w:val="14"/>
              </w:rPr>
              <w:t>2019</w:t>
            </w:r>
          </w:p>
        </w:tc>
        <w:tc>
          <w:tcPr>
            <w:tcW w:w="0" w:type="dxa"/>
            <w:vAlign w:val="bottom"/>
          </w:tcPr>
          <w:p w14:paraId="4DFD5CCA" w14:textId="77777777" w:rsidR="00D1587D" w:rsidRDefault="00D1587D">
            <w:pPr>
              <w:rPr>
                <w:sz w:val="1"/>
                <w:szCs w:val="1"/>
              </w:rPr>
            </w:pPr>
          </w:p>
        </w:tc>
      </w:tr>
      <w:tr w:rsidR="00D1587D" w14:paraId="5598DA09" w14:textId="77777777">
        <w:trPr>
          <w:trHeight w:val="53"/>
        </w:trPr>
        <w:tc>
          <w:tcPr>
            <w:tcW w:w="1540" w:type="dxa"/>
            <w:vAlign w:val="bottom"/>
          </w:tcPr>
          <w:p w14:paraId="50159A24" w14:textId="77777777" w:rsidR="00D1587D" w:rsidRDefault="00D1587D">
            <w:pPr>
              <w:rPr>
                <w:sz w:val="4"/>
                <w:szCs w:val="4"/>
              </w:rPr>
            </w:pPr>
          </w:p>
        </w:tc>
        <w:tc>
          <w:tcPr>
            <w:tcW w:w="2740" w:type="dxa"/>
            <w:vAlign w:val="bottom"/>
          </w:tcPr>
          <w:p w14:paraId="67C73F87" w14:textId="77777777" w:rsidR="00D1587D" w:rsidRDefault="00D1587D">
            <w:pPr>
              <w:rPr>
                <w:sz w:val="4"/>
                <w:szCs w:val="4"/>
              </w:rPr>
            </w:pPr>
          </w:p>
        </w:tc>
        <w:tc>
          <w:tcPr>
            <w:tcW w:w="100" w:type="dxa"/>
            <w:vAlign w:val="bottom"/>
          </w:tcPr>
          <w:p w14:paraId="61DCFFD3" w14:textId="77777777" w:rsidR="00D1587D" w:rsidRDefault="00D1587D">
            <w:pPr>
              <w:rPr>
                <w:sz w:val="4"/>
                <w:szCs w:val="4"/>
              </w:rPr>
            </w:pPr>
          </w:p>
        </w:tc>
        <w:tc>
          <w:tcPr>
            <w:tcW w:w="480" w:type="dxa"/>
            <w:tcBorders>
              <w:bottom w:val="single" w:sz="8" w:space="0" w:color="auto"/>
            </w:tcBorders>
            <w:vAlign w:val="bottom"/>
          </w:tcPr>
          <w:p w14:paraId="764F1D10" w14:textId="77777777" w:rsidR="00D1587D" w:rsidRDefault="00D1587D">
            <w:pPr>
              <w:rPr>
                <w:sz w:val="4"/>
                <w:szCs w:val="4"/>
              </w:rPr>
            </w:pPr>
          </w:p>
        </w:tc>
        <w:tc>
          <w:tcPr>
            <w:tcW w:w="180" w:type="dxa"/>
            <w:tcBorders>
              <w:bottom w:val="single" w:sz="8" w:space="0" w:color="auto"/>
            </w:tcBorders>
            <w:vAlign w:val="bottom"/>
          </w:tcPr>
          <w:p w14:paraId="541ADFBB" w14:textId="77777777" w:rsidR="00D1587D" w:rsidRDefault="00D1587D">
            <w:pPr>
              <w:rPr>
                <w:sz w:val="4"/>
                <w:szCs w:val="4"/>
              </w:rPr>
            </w:pPr>
          </w:p>
        </w:tc>
        <w:tc>
          <w:tcPr>
            <w:tcW w:w="500" w:type="dxa"/>
            <w:tcBorders>
              <w:bottom w:val="single" w:sz="8" w:space="0" w:color="auto"/>
            </w:tcBorders>
            <w:vAlign w:val="bottom"/>
          </w:tcPr>
          <w:p w14:paraId="2605D896" w14:textId="77777777" w:rsidR="00D1587D" w:rsidRDefault="00D1587D">
            <w:pPr>
              <w:rPr>
                <w:sz w:val="4"/>
                <w:szCs w:val="4"/>
              </w:rPr>
            </w:pPr>
          </w:p>
        </w:tc>
        <w:tc>
          <w:tcPr>
            <w:tcW w:w="180" w:type="dxa"/>
            <w:tcBorders>
              <w:bottom w:val="single" w:sz="8" w:space="0" w:color="auto"/>
            </w:tcBorders>
            <w:vAlign w:val="bottom"/>
          </w:tcPr>
          <w:p w14:paraId="4952A931" w14:textId="77777777" w:rsidR="00D1587D" w:rsidRDefault="00D1587D">
            <w:pPr>
              <w:rPr>
                <w:sz w:val="4"/>
                <w:szCs w:val="4"/>
              </w:rPr>
            </w:pPr>
          </w:p>
        </w:tc>
        <w:tc>
          <w:tcPr>
            <w:tcW w:w="1920" w:type="dxa"/>
            <w:gridSpan w:val="4"/>
            <w:tcBorders>
              <w:bottom w:val="single" w:sz="8" w:space="0" w:color="auto"/>
            </w:tcBorders>
            <w:vAlign w:val="bottom"/>
          </w:tcPr>
          <w:p w14:paraId="03318735" w14:textId="77777777" w:rsidR="00D1587D" w:rsidRDefault="00D1587D">
            <w:pPr>
              <w:rPr>
                <w:sz w:val="4"/>
                <w:szCs w:val="4"/>
              </w:rPr>
            </w:pPr>
          </w:p>
        </w:tc>
        <w:tc>
          <w:tcPr>
            <w:tcW w:w="780" w:type="dxa"/>
            <w:tcBorders>
              <w:bottom w:val="single" w:sz="8" w:space="0" w:color="auto"/>
            </w:tcBorders>
            <w:vAlign w:val="bottom"/>
          </w:tcPr>
          <w:p w14:paraId="1E1CBDE5" w14:textId="77777777" w:rsidR="00D1587D" w:rsidRDefault="00D1587D">
            <w:pPr>
              <w:rPr>
                <w:sz w:val="4"/>
                <w:szCs w:val="4"/>
              </w:rPr>
            </w:pPr>
          </w:p>
        </w:tc>
        <w:tc>
          <w:tcPr>
            <w:tcW w:w="0" w:type="dxa"/>
            <w:vAlign w:val="bottom"/>
          </w:tcPr>
          <w:p w14:paraId="4FADB22A" w14:textId="77777777" w:rsidR="00D1587D" w:rsidRDefault="00D1587D">
            <w:pPr>
              <w:rPr>
                <w:sz w:val="1"/>
                <w:szCs w:val="1"/>
              </w:rPr>
            </w:pPr>
          </w:p>
        </w:tc>
      </w:tr>
      <w:tr w:rsidR="00D1587D" w14:paraId="14BCED5D" w14:textId="77777777">
        <w:trPr>
          <w:trHeight w:val="224"/>
        </w:trPr>
        <w:tc>
          <w:tcPr>
            <w:tcW w:w="1540" w:type="dxa"/>
            <w:vAlign w:val="bottom"/>
          </w:tcPr>
          <w:p w14:paraId="63F170DF" w14:textId="77777777" w:rsidR="00D1587D" w:rsidRDefault="00D1587D">
            <w:pPr>
              <w:rPr>
                <w:sz w:val="19"/>
                <w:szCs w:val="19"/>
              </w:rPr>
            </w:pPr>
          </w:p>
        </w:tc>
        <w:tc>
          <w:tcPr>
            <w:tcW w:w="2740" w:type="dxa"/>
            <w:vAlign w:val="bottom"/>
          </w:tcPr>
          <w:p w14:paraId="4084008A" w14:textId="77777777" w:rsidR="00D1587D" w:rsidRDefault="00D1587D">
            <w:pPr>
              <w:rPr>
                <w:sz w:val="19"/>
                <w:szCs w:val="19"/>
              </w:rPr>
            </w:pPr>
          </w:p>
        </w:tc>
        <w:tc>
          <w:tcPr>
            <w:tcW w:w="100" w:type="dxa"/>
            <w:vAlign w:val="bottom"/>
          </w:tcPr>
          <w:p w14:paraId="23158CB2" w14:textId="77777777" w:rsidR="00D1587D" w:rsidRDefault="00D1587D">
            <w:pPr>
              <w:rPr>
                <w:sz w:val="19"/>
                <w:szCs w:val="19"/>
              </w:rPr>
            </w:pPr>
          </w:p>
        </w:tc>
        <w:tc>
          <w:tcPr>
            <w:tcW w:w="480" w:type="dxa"/>
            <w:vAlign w:val="bottom"/>
          </w:tcPr>
          <w:p w14:paraId="0CC344FC" w14:textId="77777777" w:rsidR="00D1587D" w:rsidRDefault="00D1587D">
            <w:pPr>
              <w:rPr>
                <w:sz w:val="19"/>
                <w:szCs w:val="19"/>
              </w:rPr>
            </w:pPr>
          </w:p>
        </w:tc>
        <w:tc>
          <w:tcPr>
            <w:tcW w:w="180" w:type="dxa"/>
            <w:vAlign w:val="bottom"/>
          </w:tcPr>
          <w:p w14:paraId="3A3A337D" w14:textId="77777777" w:rsidR="00D1587D" w:rsidRDefault="00D1587D">
            <w:pPr>
              <w:rPr>
                <w:sz w:val="19"/>
                <w:szCs w:val="19"/>
              </w:rPr>
            </w:pPr>
          </w:p>
        </w:tc>
        <w:tc>
          <w:tcPr>
            <w:tcW w:w="500" w:type="dxa"/>
            <w:vAlign w:val="bottom"/>
          </w:tcPr>
          <w:p w14:paraId="65D6283C" w14:textId="77777777" w:rsidR="00D1587D" w:rsidRDefault="00D1587D">
            <w:pPr>
              <w:rPr>
                <w:sz w:val="19"/>
                <w:szCs w:val="19"/>
              </w:rPr>
            </w:pPr>
          </w:p>
        </w:tc>
        <w:tc>
          <w:tcPr>
            <w:tcW w:w="180" w:type="dxa"/>
            <w:vAlign w:val="bottom"/>
          </w:tcPr>
          <w:p w14:paraId="63D2803A" w14:textId="77777777" w:rsidR="00D1587D" w:rsidRDefault="00D1587D">
            <w:pPr>
              <w:rPr>
                <w:sz w:val="19"/>
                <w:szCs w:val="19"/>
              </w:rPr>
            </w:pPr>
          </w:p>
        </w:tc>
        <w:tc>
          <w:tcPr>
            <w:tcW w:w="1920" w:type="dxa"/>
            <w:gridSpan w:val="4"/>
            <w:vAlign w:val="bottom"/>
          </w:tcPr>
          <w:p w14:paraId="1D8E29A2" w14:textId="77777777" w:rsidR="00D1587D" w:rsidRDefault="00410D07">
            <w:pPr>
              <w:ind w:left="300"/>
              <w:rPr>
                <w:sz w:val="20"/>
                <w:szCs w:val="20"/>
              </w:rPr>
            </w:pPr>
            <w:r>
              <w:rPr>
                <w:rFonts w:ascii="Arial" w:eastAsia="Arial" w:hAnsi="Arial" w:cs="Arial"/>
                <w:b/>
                <w:bCs/>
                <w:sz w:val="14"/>
                <w:szCs w:val="14"/>
              </w:rPr>
              <w:t>(in millions)</w:t>
            </w:r>
          </w:p>
        </w:tc>
        <w:tc>
          <w:tcPr>
            <w:tcW w:w="780" w:type="dxa"/>
            <w:vAlign w:val="bottom"/>
          </w:tcPr>
          <w:p w14:paraId="71DFE94A" w14:textId="77777777" w:rsidR="00D1587D" w:rsidRDefault="00D1587D">
            <w:pPr>
              <w:rPr>
                <w:sz w:val="19"/>
                <w:szCs w:val="19"/>
              </w:rPr>
            </w:pPr>
          </w:p>
        </w:tc>
        <w:tc>
          <w:tcPr>
            <w:tcW w:w="0" w:type="dxa"/>
            <w:vAlign w:val="bottom"/>
          </w:tcPr>
          <w:p w14:paraId="3605B9FD" w14:textId="77777777" w:rsidR="00D1587D" w:rsidRDefault="00D1587D">
            <w:pPr>
              <w:rPr>
                <w:sz w:val="1"/>
                <w:szCs w:val="1"/>
              </w:rPr>
            </w:pPr>
          </w:p>
        </w:tc>
      </w:tr>
      <w:tr w:rsidR="00D1587D" w14:paraId="23ECEADB" w14:textId="77777777">
        <w:trPr>
          <w:trHeight w:val="53"/>
        </w:trPr>
        <w:tc>
          <w:tcPr>
            <w:tcW w:w="1540" w:type="dxa"/>
            <w:vAlign w:val="bottom"/>
          </w:tcPr>
          <w:p w14:paraId="2EEAC315" w14:textId="77777777" w:rsidR="00D1587D" w:rsidRDefault="00D1587D">
            <w:pPr>
              <w:rPr>
                <w:sz w:val="4"/>
                <w:szCs w:val="4"/>
              </w:rPr>
            </w:pPr>
          </w:p>
        </w:tc>
        <w:tc>
          <w:tcPr>
            <w:tcW w:w="2740" w:type="dxa"/>
            <w:vAlign w:val="bottom"/>
          </w:tcPr>
          <w:p w14:paraId="7F4ABC3D" w14:textId="77777777" w:rsidR="00D1587D" w:rsidRDefault="00D1587D">
            <w:pPr>
              <w:rPr>
                <w:sz w:val="4"/>
                <w:szCs w:val="4"/>
              </w:rPr>
            </w:pPr>
          </w:p>
        </w:tc>
        <w:tc>
          <w:tcPr>
            <w:tcW w:w="100" w:type="dxa"/>
            <w:vAlign w:val="bottom"/>
          </w:tcPr>
          <w:p w14:paraId="71247887" w14:textId="77777777" w:rsidR="00D1587D" w:rsidRDefault="00D1587D">
            <w:pPr>
              <w:rPr>
                <w:sz w:val="4"/>
                <w:szCs w:val="4"/>
              </w:rPr>
            </w:pPr>
          </w:p>
        </w:tc>
        <w:tc>
          <w:tcPr>
            <w:tcW w:w="480" w:type="dxa"/>
            <w:vAlign w:val="bottom"/>
          </w:tcPr>
          <w:p w14:paraId="1F30C35D" w14:textId="77777777" w:rsidR="00D1587D" w:rsidRDefault="00D1587D">
            <w:pPr>
              <w:rPr>
                <w:sz w:val="4"/>
                <w:szCs w:val="4"/>
              </w:rPr>
            </w:pPr>
          </w:p>
        </w:tc>
        <w:tc>
          <w:tcPr>
            <w:tcW w:w="180" w:type="dxa"/>
            <w:vAlign w:val="bottom"/>
          </w:tcPr>
          <w:p w14:paraId="2CC3850D" w14:textId="77777777" w:rsidR="00D1587D" w:rsidRDefault="00D1587D">
            <w:pPr>
              <w:rPr>
                <w:sz w:val="4"/>
                <w:szCs w:val="4"/>
              </w:rPr>
            </w:pPr>
          </w:p>
        </w:tc>
        <w:tc>
          <w:tcPr>
            <w:tcW w:w="500" w:type="dxa"/>
            <w:vAlign w:val="bottom"/>
          </w:tcPr>
          <w:p w14:paraId="63D41B63" w14:textId="77777777" w:rsidR="00D1587D" w:rsidRDefault="00D1587D">
            <w:pPr>
              <w:rPr>
                <w:sz w:val="4"/>
                <w:szCs w:val="4"/>
              </w:rPr>
            </w:pPr>
          </w:p>
        </w:tc>
        <w:tc>
          <w:tcPr>
            <w:tcW w:w="180" w:type="dxa"/>
            <w:vAlign w:val="bottom"/>
          </w:tcPr>
          <w:p w14:paraId="5B2B92BC" w14:textId="77777777" w:rsidR="00D1587D" w:rsidRDefault="00D1587D">
            <w:pPr>
              <w:rPr>
                <w:sz w:val="4"/>
                <w:szCs w:val="4"/>
              </w:rPr>
            </w:pPr>
          </w:p>
        </w:tc>
        <w:tc>
          <w:tcPr>
            <w:tcW w:w="780" w:type="dxa"/>
            <w:vAlign w:val="bottom"/>
          </w:tcPr>
          <w:p w14:paraId="31A9141C" w14:textId="77777777" w:rsidR="00D1587D" w:rsidRDefault="00D1587D">
            <w:pPr>
              <w:rPr>
                <w:sz w:val="4"/>
                <w:szCs w:val="4"/>
              </w:rPr>
            </w:pPr>
          </w:p>
        </w:tc>
        <w:tc>
          <w:tcPr>
            <w:tcW w:w="180" w:type="dxa"/>
            <w:vAlign w:val="bottom"/>
          </w:tcPr>
          <w:p w14:paraId="3E753988" w14:textId="77777777" w:rsidR="00D1587D" w:rsidRDefault="00D1587D">
            <w:pPr>
              <w:rPr>
                <w:sz w:val="4"/>
                <w:szCs w:val="4"/>
              </w:rPr>
            </w:pPr>
          </w:p>
        </w:tc>
        <w:tc>
          <w:tcPr>
            <w:tcW w:w="780" w:type="dxa"/>
            <w:vAlign w:val="bottom"/>
          </w:tcPr>
          <w:p w14:paraId="322CFB90" w14:textId="77777777" w:rsidR="00D1587D" w:rsidRDefault="00D1587D">
            <w:pPr>
              <w:rPr>
                <w:sz w:val="4"/>
                <w:szCs w:val="4"/>
              </w:rPr>
            </w:pPr>
          </w:p>
        </w:tc>
        <w:tc>
          <w:tcPr>
            <w:tcW w:w="180" w:type="dxa"/>
            <w:vAlign w:val="bottom"/>
          </w:tcPr>
          <w:p w14:paraId="02BB7F09" w14:textId="77777777" w:rsidR="00D1587D" w:rsidRDefault="00D1587D">
            <w:pPr>
              <w:rPr>
                <w:sz w:val="4"/>
                <w:szCs w:val="4"/>
              </w:rPr>
            </w:pPr>
          </w:p>
        </w:tc>
        <w:tc>
          <w:tcPr>
            <w:tcW w:w="780" w:type="dxa"/>
            <w:vAlign w:val="bottom"/>
          </w:tcPr>
          <w:p w14:paraId="6E0526D4" w14:textId="77777777" w:rsidR="00D1587D" w:rsidRDefault="00D1587D">
            <w:pPr>
              <w:rPr>
                <w:sz w:val="4"/>
                <w:szCs w:val="4"/>
              </w:rPr>
            </w:pPr>
          </w:p>
        </w:tc>
        <w:tc>
          <w:tcPr>
            <w:tcW w:w="0" w:type="dxa"/>
            <w:vAlign w:val="bottom"/>
          </w:tcPr>
          <w:p w14:paraId="56AF7373" w14:textId="77777777" w:rsidR="00D1587D" w:rsidRDefault="00D1587D">
            <w:pPr>
              <w:rPr>
                <w:sz w:val="1"/>
                <w:szCs w:val="1"/>
              </w:rPr>
            </w:pPr>
          </w:p>
        </w:tc>
      </w:tr>
      <w:tr w:rsidR="00D1587D" w14:paraId="18AD17CB" w14:textId="77777777">
        <w:trPr>
          <w:trHeight w:val="318"/>
        </w:trPr>
        <w:tc>
          <w:tcPr>
            <w:tcW w:w="4380" w:type="dxa"/>
            <w:gridSpan w:val="3"/>
            <w:tcBorders>
              <w:bottom w:val="single" w:sz="8" w:space="0" w:color="CCEEFF"/>
            </w:tcBorders>
            <w:shd w:val="clear" w:color="auto" w:fill="CCEEFF"/>
            <w:vAlign w:val="bottom"/>
          </w:tcPr>
          <w:p w14:paraId="52FA927F" w14:textId="77777777" w:rsidR="00D1587D" w:rsidRDefault="00410D07">
            <w:pPr>
              <w:rPr>
                <w:sz w:val="20"/>
                <w:szCs w:val="20"/>
              </w:rPr>
            </w:pPr>
            <w:r>
              <w:rPr>
                <w:rFonts w:ascii="Arial" w:eastAsia="Arial" w:hAnsi="Arial" w:cs="Arial"/>
                <w:b/>
                <w:bCs/>
                <w:sz w:val="18"/>
                <w:szCs w:val="18"/>
              </w:rPr>
              <w:t>Reconciliation of EBITDA to Adjusted EBITDA</w:t>
            </w:r>
          </w:p>
        </w:tc>
        <w:tc>
          <w:tcPr>
            <w:tcW w:w="480" w:type="dxa"/>
            <w:tcBorders>
              <w:bottom w:val="single" w:sz="8" w:space="0" w:color="CCEEFF"/>
            </w:tcBorders>
            <w:shd w:val="clear" w:color="auto" w:fill="CCEEFF"/>
            <w:vAlign w:val="bottom"/>
          </w:tcPr>
          <w:p w14:paraId="71D30227" w14:textId="77777777" w:rsidR="00D1587D" w:rsidRDefault="00D1587D">
            <w:pPr>
              <w:rPr>
                <w:sz w:val="24"/>
                <w:szCs w:val="24"/>
              </w:rPr>
            </w:pPr>
          </w:p>
        </w:tc>
        <w:tc>
          <w:tcPr>
            <w:tcW w:w="180" w:type="dxa"/>
            <w:tcBorders>
              <w:bottom w:val="single" w:sz="8" w:space="0" w:color="CCEEFF"/>
            </w:tcBorders>
            <w:shd w:val="clear" w:color="auto" w:fill="CCEEFF"/>
            <w:vAlign w:val="bottom"/>
          </w:tcPr>
          <w:p w14:paraId="47068136" w14:textId="77777777" w:rsidR="00D1587D" w:rsidRDefault="00D1587D">
            <w:pPr>
              <w:rPr>
                <w:sz w:val="24"/>
                <w:szCs w:val="24"/>
              </w:rPr>
            </w:pPr>
          </w:p>
        </w:tc>
        <w:tc>
          <w:tcPr>
            <w:tcW w:w="500" w:type="dxa"/>
            <w:tcBorders>
              <w:bottom w:val="single" w:sz="8" w:space="0" w:color="CCEEFF"/>
            </w:tcBorders>
            <w:shd w:val="clear" w:color="auto" w:fill="CCEEFF"/>
            <w:vAlign w:val="bottom"/>
          </w:tcPr>
          <w:p w14:paraId="5F97D5F3" w14:textId="77777777" w:rsidR="00D1587D" w:rsidRDefault="00D1587D">
            <w:pPr>
              <w:rPr>
                <w:sz w:val="24"/>
                <w:szCs w:val="24"/>
              </w:rPr>
            </w:pPr>
          </w:p>
        </w:tc>
        <w:tc>
          <w:tcPr>
            <w:tcW w:w="180" w:type="dxa"/>
            <w:tcBorders>
              <w:bottom w:val="single" w:sz="8" w:space="0" w:color="CCEEFF"/>
            </w:tcBorders>
            <w:shd w:val="clear" w:color="auto" w:fill="CCEEFF"/>
            <w:vAlign w:val="bottom"/>
          </w:tcPr>
          <w:p w14:paraId="5EF7A33E" w14:textId="77777777" w:rsidR="00D1587D" w:rsidRDefault="00D1587D">
            <w:pPr>
              <w:rPr>
                <w:sz w:val="24"/>
                <w:szCs w:val="24"/>
              </w:rPr>
            </w:pPr>
          </w:p>
        </w:tc>
        <w:tc>
          <w:tcPr>
            <w:tcW w:w="780" w:type="dxa"/>
            <w:tcBorders>
              <w:bottom w:val="single" w:sz="8" w:space="0" w:color="CCEEFF"/>
            </w:tcBorders>
            <w:shd w:val="clear" w:color="auto" w:fill="CCEEFF"/>
            <w:vAlign w:val="bottom"/>
          </w:tcPr>
          <w:p w14:paraId="5D3E64CD" w14:textId="77777777" w:rsidR="00D1587D" w:rsidRDefault="00D1587D">
            <w:pPr>
              <w:rPr>
                <w:sz w:val="24"/>
                <w:szCs w:val="24"/>
              </w:rPr>
            </w:pPr>
          </w:p>
        </w:tc>
        <w:tc>
          <w:tcPr>
            <w:tcW w:w="180" w:type="dxa"/>
            <w:tcBorders>
              <w:bottom w:val="single" w:sz="8" w:space="0" w:color="CCEEFF"/>
            </w:tcBorders>
            <w:shd w:val="clear" w:color="auto" w:fill="CCEEFF"/>
            <w:vAlign w:val="bottom"/>
          </w:tcPr>
          <w:p w14:paraId="3DAE002A" w14:textId="77777777" w:rsidR="00D1587D" w:rsidRDefault="00D1587D">
            <w:pPr>
              <w:rPr>
                <w:sz w:val="24"/>
                <w:szCs w:val="24"/>
              </w:rPr>
            </w:pPr>
          </w:p>
        </w:tc>
        <w:tc>
          <w:tcPr>
            <w:tcW w:w="780" w:type="dxa"/>
            <w:tcBorders>
              <w:bottom w:val="single" w:sz="8" w:space="0" w:color="CCEEFF"/>
            </w:tcBorders>
            <w:shd w:val="clear" w:color="auto" w:fill="CCEEFF"/>
            <w:vAlign w:val="bottom"/>
          </w:tcPr>
          <w:p w14:paraId="5749101E" w14:textId="77777777" w:rsidR="00D1587D" w:rsidRDefault="00D1587D">
            <w:pPr>
              <w:rPr>
                <w:sz w:val="24"/>
                <w:szCs w:val="24"/>
              </w:rPr>
            </w:pPr>
          </w:p>
        </w:tc>
        <w:tc>
          <w:tcPr>
            <w:tcW w:w="180" w:type="dxa"/>
            <w:tcBorders>
              <w:bottom w:val="single" w:sz="8" w:space="0" w:color="CCEEFF"/>
            </w:tcBorders>
            <w:shd w:val="clear" w:color="auto" w:fill="CCEEFF"/>
            <w:vAlign w:val="bottom"/>
          </w:tcPr>
          <w:p w14:paraId="28FC25F8" w14:textId="77777777" w:rsidR="00D1587D" w:rsidRDefault="00D1587D">
            <w:pPr>
              <w:rPr>
                <w:sz w:val="24"/>
                <w:szCs w:val="24"/>
              </w:rPr>
            </w:pPr>
          </w:p>
        </w:tc>
        <w:tc>
          <w:tcPr>
            <w:tcW w:w="780" w:type="dxa"/>
            <w:tcBorders>
              <w:bottom w:val="single" w:sz="8" w:space="0" w:color="CCEEFF"/>
            </w:tcBorders>
            <w:shd w:val="clear" w:color="auto" w:fill="CCEEFF"/>
            <w:vAlign w:val="bottom"/>
          </w:tcPr>
          <w:p w14:paraId="6C49511D" w14:textId="77777777" w:rsidR="00D1587D" w:rsidRDefault="00D1587D">
            <w:pPr>
              <w:rPr>
                <w:sz w:val="24"/>
                <w:szCs w:val="24"/>
              </w:rPr>
            </w:pPr>
          </w:p>
        </w:tc>
        <w:tc>
          <w:tcPr>
            <w:tcW w:w="0" w:type="dxa"/>
            <w:vAlign w:val="bottom"/>
          </w:tcPr>
          <w:p w14:paraId="53B9C450" w14:textId="77777777" w:rsidR="00D1587D" w:rsidRDefault="00D1587D">
            <w:pPr>
              <w:rPr>
                <w:sz w:val="1"/>
                <w:szCs w:val="1"/>
              </w:rPr>
            </w:pPr>
          </w:p>
        </w:tc>
      </w:tr>
      <w:tr w:rsidR="00D1587D" w14:paraId="21BA95AE" w14:textId="77777777">
        <w:trPr>
          <w:trHeight w:val="270"/>
        </w:trPr>
        <w:tc>
          <w:tcPr>
            <w:tcW w:w="4380" w:type="dxa"/>
            <w:gridSpan w:val="3"/>
            <w:vAlign w:val="bottom"/>
          </w:tcPr>
          <w:p w14:paraId="43767B59" w14:textId="77777777" w:rsidR="00D1587D" w:rsidRDefault="00410D07">
            <w:pPr>
              <w:rPr>
                <w:sz w:val="20"/>
                <w:szCs w:val="20"/>
              </w:rPr>
            </w:pPr>
            <w:r>
              <w:rPr>
                <w:rFonts w:ascii="Arial" w:eastAsia="Arial" w:hAnsi="Arial" w:cs="Arial"/>
                <w:sz w:val="18"/>
                <w:szCs w:val="18"/>
              </w:rPr>
              <w:t>EBITDA</w:t>
            </w:r>
          </w:p>
        </w:tc>
        <w:tc>
          <w:tcPr>
            <w:tcW w:w="480" w:type="dxa"/>
            <w:vAlign w:val="bottom"/>
          </w:tcPr>
          <w:p w14:paraId="3366CC71" w14:textId="77777777" w:rsidR="00D1587D" w:rsidRDefault="00410D07">
            <w:pPr>
              <w:ind w:right="17"/>
              <w:jc w:val="right"/>
              <w:rPr>
                <w:sz w:val="20"/>
                <w:szCs w:val="20"/>
              </w:rPr>
            </w:pPr>
            <w:r>
              <w:rPr>
                <w:rFonts w:ascii="Arial" w:eastAsia="Arial" w:hAnsi="Arial" w:cs="Arial"/>
                <w:sz w:val="18"/>
                <w:szCs w:val="18"/>
              </w:rPr>
              <w:t>306</w:t>
            </w:r>
          </w:p>
        </w:tc>
        <w:tc>
          <w:tcPr>
            <w:tcW w:w="180" w:type="dxa"/>
            <w:vAlign w:val="bottom"/>
          </w:tcPr>
          <w:p w14:paraId="09BDCCFE" w14:textId="77777777" w:rsidR="00D1587D" w:rsidRDefault="00D1587D">
            <w:pPr>
              <w:rPr>
                <w:sz w:val="23"/>
                <w:szCs w:val="23"/>
              </w:rPr>
            </w:pPr>
          </w:p>
        </w:tc>
        <w:tc>
          <w:tcPr>
            <w:tcW w:w="500" w:type="dxa"/>
            <w:vAlign w:val="bottom"/>
          </w:tcPr>
          <w:p w14:paraId="516DD9C1" w14:textId="77777777" w:rsidR="00D1587D" w:rsidRDefault="00410D07">
            <w:pPr>
              <w:jc w:val="right"/>
              <w:rPr>
                <w:sz w:val="20"/>
                <w:szCs w:val="20"/>
              </w:rPr>
            </w:pPr>
            <w:r>
              <w:rPr>
                <w:rFonts w:ascii="Arial" w:eastAsia="Arial" w:hAnsi="Arial" w:cs="Arial"/>
                <w:sz w:val="18"/>
                <w:szCs w:val="18"/>
              </w:rPr>
              <w:t>(285)</w:t>
            </w:r>
          </w:p>
        </w:tc>
        <w:tc>
          <w:tcPr>
            <w:tcW w:w="180" w:type="dxa"/>
            <w:vAlign w:val="bottom"/>
          </w:tcPr>
          <w:p w14:paraId="7E47A4C4" w14:textId="77777777" w:rsidR="00D1587D" w:rsidRDefault="00D1587D">
            <w:pPr>
              <w:rPr>
                <w:sz w:val="23"/>
                <w:szCs w:val="23"/>
              </w:rPr>
            </w:pPr>
          </w:p>
        </w:tc>
        <w:tc>
          <w:tcPr>
            <w:tcW w:w="780" w:type="dxa"/>
            <w:vAlign w:val="bottom"/>
          </w:tcPr>
          <w:p w14:paraId="1D88E360" w14:textId="77777777" w:rsidR="00D1587D" w:rsidRDefault="00410D07">
            <w:pPr>
              <w:ind w:right="135"/>
              <w:jc w:val="right"/>
              <w:rPr>
                <w:sz w:val="20"/>
                <w:szCs w:val="20"/>
              </w:rPr>
            </w:pPr>
            <w:r>
              <w:rPr>
                <w:rFonts w:ascii="Arial" w:eastAsia="Arial" w:hAnsi="Arial" w:cs="Arial"/>
                <w:sz w:val="18"/>
                <w:szCs w:val="18"/>
              </w:rPr>
              <w:t>226</w:t>
            </w:r>
          </w:p>
        </w:tc>
        <w:tc>
          <w:tcPr>
            <w:tcW w:w="960" w:type="dxa"/>
            <w:gridSpan w:val="2"/>
            <w:vAlign w:val="bottom"/>
          </w:tcPr>
          <w:p w14:paraId="27878A35" w14:textId="77777777" w:rsidR="00D1587D" w:rsidRDefault="00410D07">
            <w:pPr>
              <w:ind w:right="54"/>
              <w:jc w:val="right"/>
              <w:rPr>
                <w:sz w:val="20"/>
                <w:szCs w:val="20"/>
              </w:rPr>
            </w:pPr>
            <w:r>
              <w:rPr>
                <w:rFonts w:ascii="Arial" w:eastAsia="Arial" w:hAnsi="Arial" w:cs="Arial"/>
                <w:sz w:val="18"/>
                <w:szCs w:val="18"/>
              </w:rPr>
              <w:t>(480)</w:t>
            </w:r>
          </w:p>
        </w:tc>
        <w:tc>
          <w:tcPr>
            <w:tcW w:w="180" w:type="dxa"/>
            <w:vAlign w:val="bottom"/>
          </w:tcPr>
          <w:p w14:paraId="15CDCCCD" w14:textId="77777777" w:rsidR="00D1587D" w:rsidRDefault="00D1587D">
            <w:pPr>
              <w:rPr>
                <w:sz w:val="23"/>
                <w:szCs w:val="23"/>
              </w:rPr>
            </w:pPr>
          </w:p>
        </w:tc>
        <w:tc>
          <w:tcPr>
            <w:tcW w:w="780" w:type="dxa"/>
            <w:vAlign w:val="bottom"/>
          </w:tcPr>
          <w:p w14:paraId="13369B22" w14:textId="77777777" w:rsidR="00D1587D" w:rsidRDefault="00410D07">
            <w:pPr>
              <w:ind w:right="154"/>
              <w:jc w:val="right"/>
              <w:rPr>
                <w:sz w:val="20"/>
                <w:szCs w:val="20"/>
              </w:rPr>
            </w:pPr>
            <w:r>
              <w:rPr>
                <w:rFonts w:ascii="Arial" w:eastAsia="Arial" w:hAnsi="Arial" w:cs="Arial"/>
                <w:sz w:val="18"/>
                <w:szCs w:val="18"/>
              </w:rPr>
              <w:t>818</w:t>
            </w:r>
          </w:p>
        </w:tc>
        <w:tc>
          <w:tcPr>
            <w:tcW w:w="0" w:type="dxa"/>
            <w:vAlign w:val="bottom"/>
          </w:tcPr>
          <w:p w14:paraId="30EA25D8" w14:textId="77777777" w:rsidR="00D1587D" w:rsidRDefault="00D1587D">
            <w:pPr>
              <w:rPr>
                <w:sz w:val="1"/>
                <w:szCs w:val="1"/>
              </w:rPr>
            </w:pPr>
          </w:p>
        </w:tc>
      </w:tr>
      <w:tr w:rsidR="00D1587D" w14:paraId="61C7F6BF" w14:textId="77777777">
        <w:trPr>
          <w:trHeight w:val="54"/>
        </w:trPr>
        <w:tc>
          <w:tcPr>
            <w:tcW w:w="1540" w:type="dxa"/>
            <w:vAlign w:val="bottom"/>
          </w:tcPr>
          <w:p w14:paraId="0E0CEF42" w14:textId="77777777" w:rsidR="00D1587D" w:rsidRDefault="00D1587D">
            <w:pPr>
              <w:rPr>
                <w:sz w:val="4"/>
                <w:szCs w:val="4"/>
              </w:rPr>
            </w:pPr>
          </w:p>
        </w:tc>
        <w:tc>
          <w:tcPr>
            <w:tcW w:w="2740" w:type="dxa"/>
            <w:vAlign w:val="bottom"/>
          </w:tcPr>
          <w:p w14:paraId="21436F8D" w14:textId="77777777" w:rsidR="00D1587D" w:rsidRDefault="00D1587D">
            <w:pPr>
              <w:rPr>
                <w:sz w:val="4"/>
                <w:szCs w:val="4"/>
              </w:rPr>
            </w:pPr>
          </w:p>
        </w:tc>
        <w:tc>
          <w:tcPr>
            <w:tcW w:w="100" w:type="dxa"/>
            <w:vAlign w:val="bottom"/>
          </w:tcPr>
          <w:p w14:paraId="331B2D05" w14:textId="77777777" w:rsidR="00D1587D" w:rsidRDefault="00D1587D">
            <w:pPr>
              <w:rPr>
                <w:sz w:val="4"/>
                <w:szCs w:val="4"/>
              </w:rPr>
            </w:pPr>
          </w:p>
        </w:tc>
        <w:tc>
          <w:tcPr>
            <w:tcW w:w="480" w:type="dxa"/>
            <w:vAlign w:val="bottom"/>
          </w:tcPr>
          <w:p w14:paraId="349AE685" w14:textId="77777777" w:rsidR="00D1587D" w:rsidRDefault="00D1587D">
            <w:pPr>
              <w:rPr>
                <w:sz w:val="4"/>
                <w:szCs w:val="4"/>
              </w:rPr>
            </w:pPr>
          </w:p>
        </w:tc>
        <w:tc>
          <w:tcPr>
            <w:tcW w:w="180" w:type="dxa"/>
            <w:vAlign w:val="bottom"/>
          </w:tcPr>
          <w:p w14:paraId="358A3DA8" w14:textId="77777777" w:rsidR="00D1587D" w:rsidRDefault="00D1587D">
            <w:pPr>
              <w:rPr>
                <w:sz w:val="4"/>
                <w:szCs w:val="4"/>
              </w:rPr>
            </w:pPr>
          </w:p>
        </w:tc>
        <w:tc>
          <w:tcPr>
            <w:tcW w:w="500" w:type="dxa"/>
            <w:vAlign w:val="bottom"/>
          </w:tcPr>
          <w:p w14:paraId="136C187F" w14:textId="77777777" w:rsidR="00D1587D" w:rsidRDefault="00D1587D">
            <w:pPr>
              <w:rPr>
                <w:sz w:val="4"/>
                <w:szCs w:val="4"/>
              </w:rPr>
            </w:pPr>
          </w:p>
        </w:tc>
        <w:tc>
          <w:tcPr>
            <w:tcW w:w="180" w:type="dxa"/>
            <w:vAlign w:val="bottom"/>
          </w:tcPr>
          <w:p w14:paraId="34F47809" w14:textId="77777777" w:rsidR="00D1587D" w:rsidRDefault="00D1587D">
            <w:pPr>
              <w:rPr>
                <w:sz w:val="4"/>
                <w:szCs w:val="4"/>
              </w:rPr>
            </w:pPr>
          </w:p>
        </w:tc>
        <w:tc>
          <w:tcPr>
            <w:tcW w:w="780" w:type="dxa"/>
            <w:vAlign w:val="bottom"/>
          </w:tcPr>
          <w:p w14:paraId="21ADB814" w14:textId="77777777" w:rsidR="00D1587D" w:rsidRDefault="00D1587D">
            <w:pPr>
              <w:rPr>
                <w:sz w:val="4"/>
                <w:szCs w:val="4"/>
              </w:rPr>
            </w:pPr>
          </w:p>
        </w:tc>
        <w:tc>
          <w:tcPr>
            <w:tcW w:w="180" w:type="dxa"/>
            <w:vAlign w:val="bottom"/>
          </w:tcPr>
          <w:p w14:paraId="207BA3B2" w14:textId="77777777" w:rsidR="00D1587D" w:rsidRDefault="00D1587D">
            <w:pPr>
              <w:rPr>
                <w:sz w:val="4"/>
                <w:szCs w:val="4"/>
              </w:rPr>
            </w:pPr>
          </w:p>
        </w:tc>
        <w:tc>
          <w:tcPr>
            <w:tcW w:w="780" w:type="dxa"/>
            <w:vAlign w:val="bottom"/>
          </w:tcPr>
          <w:p w14:paraId="4243A1A1" w14:textId="77777777" w:rsidR="00D1587D" w:rsidRDefault="00D1587D">
            <w:pPr>
              <w:rPr>
                <w:sz w:val="4"/>
                <w:szCs w:val="4"/>
              </w:rPr>
            </w:pPr>
          </w:p>
        </w:tc>
        <w:tc>
          <w:tcPr>
            <w:tcW w:w="180" w:type="dxa"/>
            <w:vAlign w:val="bottom"/>
          </w:tcPr>
          <w:p w14:paraId="379C7FA5" w14:textId="77777777" w:rsidR="00D1587D" w:rsidRDefault="00D1587D">
            <w:pPr>
              <w:rPr>
                <w:sz w:val="4"/>
                <w:szCs w:val="4"/>
              </w:rPr>
            </w:pPr>
          </w:p>
        </w:tc>
        <w:tc>
          <w:tcPr>
            <w:tcW w:w="780" w:type="dxa"/>
            <w:vAlign w:val="bottom"/>
          </w:tcPr>
          <w:p w14:paraId="09D9B4D6" w14:textId="77777777" w:rsidR="00D1587D" w:rsidRDefault="00D1587D">
            <w:pPr>
              <w:rPr>
                <w:sz w:val="4"/>
                <w:szCs w:val="4"/>
              </w:rPr>
            </w:pPr>
          </w:p>
        </w:tc>
        <w:tc>
          <w:tcPr>
            <w:tcW w:w="0" w:type="dxa"/>
            <w:vAlign w:val="bottom"/>
          </w:tcPr>
          <w:p w14:paraId="7FFB2BB0" w14:textId="77777777" w:rsidR="00D1587D" w:rsidRDefault="00D1587D">
            <w:pPr>
              <w:rPr>
                <w:sz w:val="1"/>
                <w:szCs w:val="1"/>
              </w:rPr>
            </w:pPr>
          </w:p>
        </w:tc>
      </w:tr>
      <w:tr w:rsidR="00D1587D" w14:paraId="059EF865" w14:textId="77777777">
        <w:trPr>
          <w:trHeight w:val="324"/>
        </w:trPr>
        <w:tc>
          <w:tcPr>
            <w:tcW w:w="4380" w:type="dxa"/>
            <w:gridSpan w:val="3"/>
            <w:shd w:val="clear" w:color="auto" w:fill="CCEEFF"/>
            <w:vAlign w:val="bottom"/>
          </w:tcPr>
          <w:p w14:paraId="4F51E84F" w14:textId="77777777" w:rsidR="00D1587D" w:rsidRDefault="00410D07">
            <w:pPr>
              <w:spacing w:line="324" w:lineRule="exact"/>
              <w:rPr>
                <w:sz w:val="20"/>
                <w:szCs w:val="20"/>
              </w:rPr>
            </w:pPr>
            <w:r>
              <w:rPr>
                <w:rFonts w:ascii="Arial" w:eastAsia="Arial" w:hAnsi="Arial" w:cs="Arial"/>
                <w:sz w:val="18"/>
                <w:szCs w:val="18"/>
              </w:rPr>
              <w:t>Asset Impairments</w:t>
            </w:r>
            <w:r>
              <w:rPr>
                <w:rFonts w:ascii="Arial" w:eastAsia="Arial" w:hAnsi="Arial" w:cs="Arial"/>
                <w:sz w:val="29"/>
                <w:szCs w:val="29"/>
                <w:vertAlign w:val="superscript"/>
              </w:rPr>
              <w:t>(a)</w:t>
            </w:r>
          </w:p>
        </w:tc>
        <w:tc>
          <w:tcPr>
            <w:tcW w:w="660" w:type="dxa"/>
            <w:gridSpan w:val="2"/>
            <w:shd w:val="clear" w:color="auto" w:fill="CCEEFF"/>
            <w:vAlign w:val="bottom"/>
          </w:tcPr>
          <w:p w14:paraId="144A0042" w14:textId="77777777" w:rsidR="00D1587D" w:rsidRDefault="00410D07">
            <w:pPr>
              <w:ind w:right="260"/>
              <w:jc w:val="right"/>
              <w:rPr>
                <w:sz w:val="20"/>
                <w:szCs w:val="20"/>
              </w:rPr>
            </w:pPr>
            <w:r>
              <w:rPr>
                <w:rFonts w:ascii="Arial" w:eastAsia="Arial" w:hAnsi="Arial" w:cs="Arial"/>
                <w:sz w:val="18"/>
                <w:szCs w:val="18"/>
              </w:rPr>
              <w:t>—</w:t>
            </w:r>
          </w:p>
        </w:tc>
        <w:tc>
          <w:tcPr>
            <w:tcW w:w="500" w:type="dxa"/>
            <w:shd w:val="clear" w:color="auto" w:fill="CCEEFF"/>
            <w:vAlign w:val="bottom"/>
          </w:tcPr>
          <w:p w14:paraId="75F8AA7B" w14:textId="77777777" w:rsidR="00D1587D" w:rsidRDefault="00410D07">
            <w:pPr>
              <w:jc w:val="right"/>
              <w:rPr>
                <w:sz w:val="20"/>
                <w:szCs w:val="20"/>
              </w:rPr>
            </w:pPr>
            <w:r>
              <w:rPr>
                <w:rFonts w:ascii="Arial" w:eastAsia="Arial" w:hAnsi="Arial" w:cs="Arial"/>
                <w:sz w:val="18"/>
                <w:szCs w:val="18"/>
              </w:rPr>
              <w:t>97</w:t>
            </w:r>
          </w:p>
        </w:tc>
        <w:tc>
          <w:tcPr>
            <w:tcW w:w="180" w:type="dxa"/>
            <w:shd w:val="clear" w:color="auto" w:fill="CCEEFF"/>
            <w:vAlign w:val="bottom"/>
          </w:tcPr>
          <w:p w14:paraId="5FB12DF6" w14:textId="77777777" w:rsidR="00D1587D" w:rsidRDefault="00D1587D">
            <w:pPr>
              <w:rPr>
                <w:sz w:val="24"/>
                <w:szCs w:val="24"/>
              </w:rPr>
            </w:pPr>
          </w:p>
        </w:tc>
        <w:tc>
          <w:tcPr>
            <w:tcW w:w="780" w:type="dxa"/>
            <w:shd w:val="clear" w:color="auto" w:fill="CCEEFF"/>
            <w:vAlign w:val="bottom"/>
          </w:tcPr>
          <w:p w14:paraId="2B3D2B2F" w14:textId="77777777" w:rsidR="00D1587D" w:rsidRDefault="00410D07">
            <w:pPr>
              <w:ind w:right="135"/>
              <w:jc w:val="right"/>
              <w:rPr>
                <w:sz w:val="20"/>
                <w:szCs w:val="20"/>
              </w:rPr>
            </w:pPr>
            <w:r>
              <w:rPr>
                <w:rFonts w:ascii="Arial" w:eastAsia="Arial" w:hAnsi="Arial" w:cs="Arial"/>
                <w:sz w:val="18"/>
                <w:szCs w:val="18"/>
              </w:rPr>
              <w:t>214</w:t>
            </w:r>
          </w:p>
        </w:tc>
        <w:tc>
          <w:tcPr>
            <w:tcW w:w="960" w:type="dxa"/>
            <w:gridSpan w:val="2"/>
            <w:shd w:val="clear" w:color="auto" w:fill="CCEEFF"/>
            <w:vAlign w:val="bottom"/>
          </w:tcPr>
          <w:p w14:paraId="64AE645E" w14:textId="77777777" w:rsidR="00D1587D" w:rsidRDefault="00410D07">
            <w:pPr>
              <w:ind w:right="114"/>
              <w:jc w:val="right"/>
              <w:rPr>
                <w:sz w:val="20"/>
                <w:szCs w:val="20"/>
              </w:rPr>
            </w:pPr>
            <w:r>
              <w:rPr>
                <w:rFonts w:ascii="Arial" w:eastAsia="Arial" w:hAnsi="Arial" w:cs="Arial"/>
                <w:sz w:val="18"/>
                <w:szCs w:val="18"/>
              </w:rPr>
              <w:t>253</w:t>
            </w:r>
          </w:p>
        </w:tc>
        <w:tc>
          <w:tcPr>
            <w:tcW w:w="180" w:type="dxa"/>
            <w:shd w:val="clear" w:color="auto" w:fill="CCEEFF"/>
            <w:vAlign w:val="bottom"/>
          </w:tcPr>
          <w:p w14:paraId="114D5021" w14:textId="77777777" w:rsidR="00D1587D" w:rsidRDefault="00D1587D">
            <w:pPr>
              <w:rPr>
                <w:sz w:val="24"/>
                <w:szCs w:val="24"/>
              </w:rPr>
            </w:pPr>
          </w:p>
        </w:tc>
        <w:tc>
          <w:tcPr>
            <w:tcW w:w="780" w:type="dxa"/>
            <w:shd w:val="clear" w:color="auto" w:fill="CCEEFF"/>
            <w:vAlign w:val="bottom"/>
          </w:tcPr>
          <w:p w14:paraId="5E07BDA1" w14:textId="77777777" w:rsidR="00D1587D" w:rsidRDefault="00410D07">
            <w:pPr>
              <w:ind w:right="134"/>
              <w:jc w:val="right"/>
              <w:rPr>
                <w:sz w:val="20"/>
                <w:szCs w:val="20"/>
              </w:rPr>
            </w:pPr>
            <w:r>
              <w:rPr>
                <w:rFonts w:ascii="Arial" w:eastAsia="Arial" w:hAnsi="Arial" w:cs="Arial"/>
                <w:sz w:val="18"/>
                <w:szCs w:val="18"/>
              </w:rPr>
              <w:t>81</w:t>
            </w:r>
          </w:p>
        </w:tc>
        <w:tc>
          <w:tcPr>
            <w:tcW w:w="0" w:type="dxa"/>
            <w:vAlign w:val="bottom"/>
          </w:tcPr>
          <w:p w14:paraId="6A02B9CE" w14:textId="77777777" w:rsidR="00D1587D" w:rsidRDefault="00D1587D">
            <w:pPr>
              <w:rPr>
                <w:sz w:val="1"/>
                <w:szCs w:val="1"/>
              </w:rPr>
            </w:pPr>
          </w:p>
        </w:tc>
      </w:tr>
      <w:tr w:rsidR="00D1587D" w14:paraId="5C11E0BD" w14:textId="77777777">
        <w:trPr>
          <w:trHeight w:val="324"/>
        </w:trPr>
        <w:tc>
          <w:tcPr>
            <w:tcW w:w="4380" w:type="dxa"/>
            <w:gridSpan w:val="3"/>
            <w:vAlign w:val="bottom"/>
          </w:tcPr>
          <w:p w14:paraId="3EABE507" w14:textId="77777777" w:rsidR="00D1587D" w:rsidRDefault="00410D07">
            <w:pPr>
              <w:spacing w:line="324" w:lineRule="exact"/>
              <w:rPr>
                <w:sz w:val="20"/>
                <w:szCs w:val="20"/>
              </w:rPr>
            </w:pPr>
            <w:r>
              <w:rPr>
                <w:rFonts w:ascii="Arial" w:eastAsia="Arial" w:hAnsi="Arial" w:cs="Arial"/>
                <w:sz w:val="18"/>
                <w:szCs w:val="18"/>
              </w:rPr>
              <w:t>Restructuring Charges</w:t>
            </w:r>
            <w:r>
              <w:rPr>
                <w:rFonts w:ascii="Arial" w:eastAsia="Arial" w:hAnsi="Arial" w:cs="Arial"/>
                <w:sz w:val="29"/>
                <w:szCs w:val="29"/>
                <w:vertAlign w:val="superscript"/>
              </w:rPr>
              <w:t>(b)</w:t>
            </w:r>
          </w:p>
        </w:tc>
        <w:tc>
          <w:tcPr>
            <w:tcW w:w="660" w:type="dxa"/>
            <w:gridSpan w:val="2"/>
            <w:vAlign w:val="bottom"/>
          </w:tcPr>
          <w:p w14:paraId="637E0912"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vAlign w:val="bottom"/>
          </w:tcPr>
          <w:p w14:paraId="752ED4F9" w14:textId="77777777" w:rsidR="00D1587D" w:rsidRDefault="00410D07">
            <w:pPr>
              <w:ind w:right="260"/>
              <w:jc w:val="right"/>
              <w:rPr>
                <w:sz w:val="20"/>
                <w:szCs w:val="20"/>
              </w:rPr>
            </w:pPr>
            <w:r>
              <w:rPr>
                <w:rFonts w:ascii="Arial" w:eastAsia="Arial" w:hAnsi="Arial" w:cs="Arial"/>
                <w:sz w:val="18"/>
                <w:szCs w:val="18"/>
              </w:rPr>
              <w:t>—</w:t>
            </w:r>
          </w:p>
        </w:tc>
        <w:tc>
          <w:tcPr>
            <w:tcW w:w="780" w:type="dxa"/>
            <w:vAlign w:val="bottom"/>
          </w:tcPr>
          <w:p w14:paraId="20AD41B4" w14:textId="77777777" w:rsidR="00D1587D" w:rsidRDefault="00410D07">
            <w:pPr>
              <w:ind w:right="135"/>
              <w:jc w:val="right"/>
              <w:rPr>
                <w:sz w:val="20"/>
                <w:szCs w:val="20"/>
              </w:rPr>
            </w:pPr>
            <w:r>
              <w:rPr>
                <w:rFonts w:ascii="Arial" w:eastAsia="Arial" w:hAnsi="Arial" w:cs="Arial"/>
                <w:sz w:val="18"/>
                <w:szCs w:val="18"/>
              </w:rPr>
              <w:t>51</w:t>
            </w:r>
          </w:p>
        </w:tc>
        <w:tc>
          <w:tcPr>
            <w:tcW w:w="180" w:type="dxa"/>
            <w:vAlign w:val="bottom"/>
          </w:tcPr>
          <w:p w14:paraId="31BE69F0" w14:textId="77777777" w:rsidR="00D1587D" w:rsidRDefault="00D1587D">
            <w:pPr>
              <w:rPr>
                <w:sz w:val="24"/>
                <w:szCs w:val="24"/>
              </w:rPr>
            </w:pPr>
          </w:p>
        </w:tc>
        <w:tc>
          <w:tcPr>
            <w:tcW w:w="960" w:type="dxa"/>
            <w:gridSpan w:val="2"/>
            <w:vAlign w:val="bottom"/>
          </w:tcPr>
          <w:p w14:paraId="70F2E3F7" w14:textId="77777777" w:rsidR="00D1587D" w:rsidRDefault="00410D07">
            <w:pPr>
              <w:ind w:right="380"/>
              <w:jc w:val="right"/>
              <w:rPr>
                <w:sz w:val="20"/>
                <w:szCs w:val="20"/>
              </w:rPr>
            </w:pPr>
            <w:r>
              <w:rPr>
                <w:rFonts w:ascii="Arial" w:eastAsia="Arial" w:hAnsi="Arial" w:cs="Arial"/>
                <w:sz w:val="18"/>
                <w:szCs w:val="18"/>
              </w:rPr>
              <w:t>—</w:t>
            </w:r>
          </w:p>
        </w:tc>
        <w:tc>
          <w:tcPr>
            <w:tcW w:w="780" w:type="dxa"/>
            <w:vAlign w:val="bottom"/>
          </w:tcPr>
          <w:p w14:paraId="31207B62" w14:textId="77777777" w:rsidR="00D1587D" w:rsidRDefault="00410D07">
            <w:pPr>
              <w:ind w:right="134"/>
              <w:jc w:val="right"/>
              <w:rPr>
                <w:sz w:val="20"/>
                <w:szCs w:val="20"/>
              </w:rPr>
            </w:pPr>
            <w:r>
              <w:rPr>
                <w:rFonts w:ascii="Arial" w:eastAsia="Arial" w:hAnsi="Arial" w:cs="Arial"/>
                <w:sz w:val="18"/>
                <w:szCs w:val="18"/>
              </w:rPr>
              <w:t>—</w:t>
            </w:r>
          </w:p>
        </w:tc>
        <w:tc>
          <w:tcPr>
            <w:tcW w:w="0" w:type="dxa"/>
            <w:vAlign w:val="bottom"/>
          </w:tcPr>
          <w:p w14:paraId="462A33CC" w14:textId="77777777" w:rsidR="00D1587D" w:rsidRDefault="00D1587D">
            <w:pPr>
              <w:rPr>
                <w:sz w:val="1"/>
                <w:szCs w:val="1"/>
              </w:rPr>
            </w:pPr>
          </w:p>
        </w:tc>
      </w:tr>
      <w:tr w:rsidR="00D1587D" w14:paraId="033025CF" w14:textId="77777777">
        <w:trPr>
          <w:trHeight w:val="324"/>
        </w:trPr>
        <w:tc>
          <w:tcPr>
            <w:tcW w:w="4380" w:type="dxa"/>
            <w:gridSpan w:val="3"/>
            <w:shd w:val="clear" w:color="auto" w:fill="CCEEFF"/>
            <w:vAlign w:val="bottom"/>
          </w:tcPr>
          <w:p w14:paraId="34E7A560" w14:textId="77777777" w:rsidR="00D1587D" w:rsidRDefault="00410D07">
            <w:pPr>
              <w:spacing w:line="324" w:lineRule="exact"/>
              <w:rPr>
                <w:sz w:val="20"/>
                <w:szCs w:val="20"/>
              </w:rPr>
            </w:pPr>
            <w:r>
              <w:rPr>
                <w:rFonts w:ascii="Arial" w:eastAsia="Arial" w:hAnsi="Arial" w:cs="Arial"/>
                <w:sz w:val="18"/>
                <w:szCs w:val="18"/>
              </w:rPr>
              <w:t>Hong Kong Store Closure and Lease Termination</w:t>
            </w:r>
            <w:r>
              <w:rPr>
                <w:rFonts w:ascii="Arial" w:eastAsia="Arial" w:hAnsi="Arial" w:cs="Arial"/>
                <w:sz w:val="29"/>
                <w:szCs w:val="29"/>
                <w:vertAlign w:val="superscript"/>
              </w:rPr>
              <w:t>(c)</w:t>
            </w:r>
          </w:p>
        </w:tc>
        <w:tc>
          <w:tcPr>
            <w:tcW w:w="660" w:type="dxa"/>
            <w:gridSpan w:val="2"/>
            <w:shd w:val="clear" w:color="auto" w:fill="CCEEFF"/>
            <w:vAlign w:val="bottom"/>
          </w:tcPr>
          <w:p w14:paraId="35C0313D"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shd w:val="clear" w:color="auto" w:fill="CCEEFF"/>
            <w:vAlign w:val="bottom"/>
          </w:tcPr>
          <w:p w14:paraId="292DB113" w14:textId="77777777" w:rsidR="00D1587D" w:rsidRDefault="00410D07">
            <w:pPr>
              <w:ind w:right="260"/>
              <w:jc w:val="right"/>
              <w:rPr>
                <w:sz w:val="20"/>
                <w:szCs w:val="20"/>
              </w:rPr>
            </w:pPr>
            <w:r>
              <w:rPr>
                <w:rFonts w:ascii="Arial" w:eastAsia="Arial" w:hAnsi="Arial" w:cs="Arial"/>
                <w:sz w:val="18"/>
                <w:szCs w:val="18"/>
              </w:rPr>
              <w:t>—</w:t>
            </w:r>
          </w:p>
        </w:tc>
        <w:tc>
          <w:tcPr>
            <w:tcW w:w="780" w:type="dxa"/>
            <w:shd w:val="clear" w:color="auto" w:fill="CCEEFF"/>
            <w:vAlign w:val="bottom"/>
          </w:tcPr>
          <w:p w14:paraId="58EEFD6B" w14:textId="77777777" w:rsidR="00D1587D" w:rsidRDefault="00410D07">
            <w:pPr>
              <w:ind w:right="95"/>
              <w:jc w:val="right"/>
              <w:rPr>
                <w:sz w:val="20"/>
                <w:szCs w:val="20"/>
              </w:rPr>
            </w:pPr>
            <w:r>
              <w:rPr>
                <w:rFonts w:ascii="Arial" w:eastAsia="Arial" w:hAnsi="Arial" w:cs="Arial"/>
                <w:sz w:val="18"/>
                <w:szCs w:val="18"/>
              </w:rPr>
              <w:t>(36)</w:t>
            </w:r>
          </w:p>
        </w:tc>
        <w:tc>
          <w:tcPr>
            <w:tcW w:w="180" w:type="dxa"/>
            <w:shd w:val="clear" w:color="auto" w:fill="CCEEFF"/>
            <w:vAlign w:val="bottom"/>
          </w:tcPr>
          <w:p w14:paraId="637CD1B4" w14:textId="77777777" w:rsidR="00D1587D" w:rsidRDefault="00D1587D">
            <w:pPr>
              <w:rPr>
                <w:sz w:val="24"/>
                <w:szCs w:val="24"/>
              </w:rPr>
            </w:pPr>
          </w:p>
        </w:tc>
        <w:tc>
          <w:tcPr>
            <w:tcW w:w="960" w:type="dxa"/>
            <w:gridSpan w:val="2"/>
            <w:shd w:val="clear" w:color="auto" w:fill="CCEEFF"/>
            <w:vAlign w:val="bottom"/>
          </w:tcPr>
          <w:p w14:paraId="4685CC71" w14:textId="77777777" w:rsidR="00D1587D" w:rsidRDefault="00410D07">
            <w:pPr>
              <w:ind w:right="380"/>
              <w:jc w:val="right"/>
              <w:rPr>
                <w:sz w:val="20"/>
                <w:szCs w:val="20"/>
              </w:rPr>
            </w:pPr>
            <w:r>
              <w:rPr>
                <w:rFonts w:ascii="Arial" w:eastAsia="Arial" w:hAnsi="Arial" w:cs="Arial"/>
                <w:sz w:val="18"/>
                <w:szCs w:val="18"/>
              </w:rPr>
              <w:t>—</w:t>
            </w:r>
          </w:p>
        </w:tc>
        <w:tc>
          <w:tcPr>
            <w:tcW w:w="780" w:type="dxa"/>
            <w:shd w:val="clear" w:color="auto" w:fill="CCEEFF"/>
            <w:vAlign w:val="bottom"/>
          </w:tcPr>
          <w:p w14:paraId="1600F407" w14:textId="77777777" w:rsidR="00D1587D" w:rsidRDefault="00410D07">
            <w:pPr>
              <w:ind w:right="134"/>
              <w:jc w:val="right"/>
              <w:rPr>
                <w:sz w:val="20"/>
                <w:szCs w:val="20"/>
              </w:rPr>
            </w:pPr>
            <w:r>
              <w:rPr>
                <w:rFonts w:ascii="Arial" w:eastAsia="Arial" w:hAnsi="Arial" w:cs="Arial"/>
                <w:sz w:val="18"/>
                <w:szCs w:val="18"/>
              </w:rPr>
              <w:t>—</w:t>
            </w:r>
          </w:p>
        </w:tc>
        <w:tc>
          <w:tcPr>
            <w:tcW w:w="0" w:type="dxa"/>
            <w:vAlign w:val="bottom"/>
          </w:tcPr>
          <w:p w14:paraId="3D9E7660" w14:textId="77777777" w:rsidR="00D1587D" w:rsidRDefault="00D1587D">
            <w:pPr>
              <w:rPr>
                <w:sz w:val="1"/>
                <w:szCs w:val="1"/>
              </w:rPr>
            </w:pPr>
          </w:p>
        </w:tc>
      </w:tr>
      <w:tr w:rsidR="00D1587D" w14:paraId="585B8188" w14:textId="77777777">
        <w:trPr>
          <w:trHeight w:val="246"/>
        </w:trPr>
        <w:tc>
          <w:tcPr>
            <w:tcW w:w="4380" w:type="dxa"/>
            <w:gridSpan w:val="3"/>
            <w:vAlign w:val="bottom"/>
          </w:tcPr>
          <w:p w14:paraId="69271D03" w14:textId="77777777" w:rsidR="00D1587D" w:rsidRDefault="00410D07">
            <w:pPr>
              <w:rPr>
                <w:sz w:val="20"/>
                <w:szCs w:val="20"/>
              </w:rPr>
            </w:pPr>
            <w:r>
              <w:rPr>
                <w:rFonts w:ascii="Arial" w:eastAsia="Arial" w:hAnsi="Arial" w:cs="Arial"/>
                <w:w w:val="97"/>
                <w:sz w:val="18"/>
                <w:szCs w:val="18"/>
              </w:rPr>
              <w:t>Establishment of Victoria’s Secret U.K. and Ireland Joint</w:t>
            </w:r>
          </w:p>
        </w:tc>
        <w:tc>
          <w:tcPr>
            <w:tcW w:w="480" w:type="dxa"/>
            <w:vAlign w:val="bottom"/>
          </w:tcPr>
          <w:p w14:paraId="1C90D961" w14:textId="77777777" w:rsidR="00D1587D" w:rsidRDefault="00D1587D">
            <w:pPr>
              <w:rPr>
                <w:sz w:val="21"/>
                <w:szCs w:val="21"/>
              </w:rPr>
            </w:pPr>
          </w:p>
        </w:tc>
        <w:tc>
          <w:tcPr>
            <w:tcW w:w="180" w:type="dxa"/>
            <w:vAlign w:val="bottom"/>
          </w:tcPr>
          <w:p w14:paraId="7BF02E2F" w14:textId="77777777" w:rsidR="00D1587D" w:rsidRDefault="00D1587D">
            <w:pPr>
              <w:rPr>
                <w:sz w:val="21"/>
                <w:szCs w:val="21"/>
              </w:rPr>
            </w:pPr>
          </w:p>
        </w:tc>
        <w:tc>
          <w:tcPr>
            <w:tcW w:w="500" w:type="dxa"/>
            <w:vAlign w:val="bottom"/>
          </w:tcPr>
          <w:p w14:paraId="4828BA02" w14:textId="77777777" w:rsidR="00D1587D" w:rsidRDefault="00D1587D">
            <w:pPr>
              <w:rPr>
                <w:sz w:val="21"/>
                <w:szCs w:val="21"/>
              </w:rPr>
            </w:pPr>
          </w:p>
        </w:tc>
        <w:tc>
          <w:tcPr>
            <w:tcW w:w="180" w:type="dxa"/>
            <w:vAlign w:val="bottom"/>
          </w:tcPr>
          <w:p w14:paraId="5D74BF28" w14:textId="77777777" w:rsidR="00D1587D" w:rsidRDefault="00D1587D">
            <w:pPr>
              <w:rPr>
                <w:sz w:val="21"/>
                <w:szCs w:val="21"/>
              </w:rPr>
            </w:pPr>
          </w:p>
        </w:tc>
        <w:tc>
          <w:tcPr>
            <w:tcW w:w="780" w:type="dxa"/>
            <w:vAlign w:val="bottom"/>
          </w:tcPr>
          <w:p w14:paraId="62D658F7" w14:textId="77777777" w:rsidR="00D1587D" w:rsidRDefault="00D1587D">
            <w:pPr>
              <w:rPr>
                <w:sz w:val="21"/>
                <w:szCs w:val="21"/>
              </w:rPr>
            </w:pPr>
          </w:p>
        </w:tc>
        <w:tc>
          <w:tcPr>
            <w:tcW w:w="180" w:type="dxa"/>
            <w:vAlign w:val="bottom"/>
          </w:tcPr>
          <w:p w14:paraId="541FEA19" w14:textId="77777777" w:rsidR="00D1587D" w:rsidRDefault="00D1587D">
            <w:pPr>
              <w:rPr>
                <w:sz w:val="21"/>
                <w:szCs w:val="21"/>
              </w:rPr>
            </w:pPr>
          </w:p>
        </w:tc>
        <w:tc>
          <w:tcPr>
            <w:tcW w:w="780" w:type="dxa"/>
            <w:vAlign w:val="bottom"/>
          </w:tcPr>
          <w:p w14:paraId="6764B046" w14:textId="77777777" w:rsidR="00D1587D" w:rsidRDefault="00D1587D">
            <w:pPr>
              <w:rPr>
                <w:sz w:val="21"/>
                <w:szCs w:val="21"/>
              </w:rPr>
            </w:pPr>
          </w:p>
        </w:tc>
        <w:tc>
          <w:tcPr>
            <w:tcW w:w="180" w:type="dxa"/>
            <w:vAlign w:val="bottom"/>
          </w:tcPr>
          <w:p w14:paraId="1CCB5C8D" w14:textId="77777777" w:rsidR="00D1587D" w:rsidRDefault="00D1587D">
            <w:pPr>
              <w:rPr>
                <w:sz w:val="21"/>
                <w:szCs w:val="21"/>
              </w:rPr>
            </w:pPr>
          </w:p>
        </w:tc>
        <w:tc>
          <w:tcPr>
            <w:tcW w:w="780" w:type="dxa"/>
            <w:vAlign w:val="bottom"/>
          </w:tcPr>
          <w:p w14:paraId="40AA4F03" w14:textId="77777777" w:rsidR="00D1587D" w:rsidRDefault="00D1587D">
            <w:pPr>
              <w:rPr>
                <w:sz w:val="21"/>
                <w:szCs w:val="21"/>
              </w:rPr>
            </w:pPr>
          </w:p>
        </w:tc>
        <w:tc>
          <w:tcPr>
            <w:tcW w:w="0" w:type="dxa"/>
            <w:vAlign w:val="bottom"/>
          </w:tcPr>
          <w:p w14:paraId="60A5EBFF" w14:textId="77777777" w:rsidR="00D1587D" w:rsidRDefault="00D1587D">
            <w:pPr>
              <w:rPr>
                <w:sz w:val="1"/>
                <w:szCs w:val="1"/>
              </w:rPr>
            </w:pPr>
          </w:p>
        </w:tc>
      </w:tr>
      <w:tr w:rsidR="00D1587D" w14:paraId="6E9DB1D1" w14:textId="77777777">
        <w:trPr>
          <w:trHeight w:val="294"/>
        </w:trPr>
        <w:tc>
          <w:tcPr>
            <w:tcW w:w="4380" w:type="dxa"/>
            <w:gridSpan w:val="3"/>
            <w:vAlign w:val="bottom"/>
          </w:tcPr>
          <w:p w14:paraId="49852DD3" w14:textId="77777777" w:rsidR="00D1587D" w:rsidRDefault="00410D07">
            <w:pPr>
              <w:spacing w:line="294" w:lineRule="exact"/>
              <w:ind w:left="180"/>
              <w:rPr>
                <w:sz w:val="20"/>
                <w:szCs w:val="20"/>
              </w:rPr>
            </w:pPr>
            <w:r>
              <w:rPr>
                <w:rFonts w:ascii="Arial" w:eastAsia="Arial" w:hAnsi="Arial" w:cs="Arial"/>
                <w:sz w:val="18"/>
                <w:szCs w:val="18"/>
              </w:rPr>
              <w:t>Venture</w:t>
            </w:r>
            <w:r>
              <w:rPr>
                <w:rFonts w:ascii="Arial" w:eastAsia="Arial" w:hAnsi="Arial" w:cs="Arial"/>
                <w:sz w:val="29"/>
                <w:szCs w:val="29"/>
                <w:vertAlign w:val="superscript"/>
              </w:rPr>
              <w:t>(d)</w:t>
            </w:r>
          </w:p>
        </w:tc>
        <w:tc>
          <w:tcPr>
            <w:tcW w:w="660" w:type="dxa"/>
            <w:gridSpan w:val="2"/>
            <w:vAlign w:val="bottom"/>
          </w:tcPr>
          <w:p w14:paraId="153BD551" w14:textId="77777777" w:rsidR="00D1587D" w:rsidRDefault="00410D07">
            <w:pPr>
              <w:ind w:right="260"/>
              <w:jc w:val="right"/>
              <w:rPr>
                <w:sz w:val="20"/>
                <w:szCs w:val="20"/>
              </w:rPr>
            </w:pPr>
            <w:r>
              <w:rPr>
                <w:rFonts w:ascii="Arial" w:eastAsia="Arial" w:hAnsi="Arial" w:cs="Arial"/>
                <w:sz w:val="18"/>
                <w:szCs w:val="18"/>
              </w:rPr>
              <w:t>—</w:t>
            </w:r>
          </w:p>
        </w:tc>
        <w:tc>
          <w:tcPr>
            <w:tcW w:w="680" w:type="dxa"/>
            <w:gridSpan w:val="2"/>
            <w:vAlign w:val="bottom"/>
          </w:tcPr>
          <w:p w14:paraId="337339DA" w14:textId="77777777" w:rsidR="00D1587D" w:rsidRDefault="00410D07">
            <w:pPr>
              <w:ind w:right="260"/>
              <w:jc w:val="right"/>
              <w:rPr>
                <w:sz w:val="20"/>
                <w:szCs w:val="20"/>
              </w:rPr>
            </w:pPr>
            <w:r>
              <w:rPr>
                <w:rFonts w:ascii="Arial" w:eastAsia="Arial" w:hAnsi="Arial" w:cs="Arial"/>
                <w:sz w:val="18"/>
                <w:szCs w:val="18"/>
              </w:rPr>
              <w:t>—</w:t>
            </w:r>
          </w:p>
        </w:tc>
        <w:tc>
          <w:tcPr>
            <w:tcW w:w="780" w:type="dxa"/>
            <w:vAlign w:val="bottom"/>
          </w:tcPr>
          <w:p w14:paraId="667F273A" w14:textId="77777777" w:rsidR="00D1587D" w:rsidRDefault="00410D07">
            <w:pPr>
              <w:ind w:right="95"/>
              <w:jc w:val="right"/>
              <w:rPr>
                <w:sz w:val="20"/>
                <w:szCs w:val="20"/>
              </w:rPr>
            </w:pPr>
            <w:r>
              <w:rPr>
                <w:rFonts w:ascii="Arial" w:eastAsia="Arial" w:hAnsi="Arial" w:cs="Arial"/>
                <w:sz w:val="18"/>
                <w:szCs w:val="18"/>
              </w:rPr>
              <w:t>(30)</w:t>
            </w:r>
          </w:p>
        </w:tc>
        <w:tc>
          <w:tcPr>
            <w:tcW w:w="180" w:type="dxa"/>
            <w:vAlign w:val="bottom"/>
          </w:tcPr>
          <w:p w14:paraId="3710BD67" w14:textId="77777777" w:rsidR="00D1587D" w:rsidRDefault="00D1587D">
            <w:pPr>
              <w:rPr>
                <w:sz w:val="24"/>
                <w:szCs w:val="24"/>
              </w:rPr>
            </w:pPr>
          </w:p>
        </w:tc>
        <w:tc>
          <w:tcPr>
            <w:tcW w:w="960" w:type="dxa"/>
            <w:gridSpan w:val="2"/>
            <w:vAlign w:val="bottom"/>
          </w:tcPr>
          <w:p w14:paraId="183EF063" w14:textId="77777777" w:rsidR="00D1587D" w:rsidRDefault="00410D07">
            <w:pPr>
              <w:ind w:right="380"/>
              <w:jc w:val="right"/>
              <w:rPr>
                <w:sz w:val="20"/>
                <w:szCs w:val="20"/>
              </w:rPr>
            </w:pPr>
            <w:r>
              <w:rPr>
                <w:rFonts w:ascii="Arial" w:eastAsia="Arial" w:hAnsi="Arial" w:cs="Arial"/>
                <w:sz w:val="18"/>
                <w:szCs w:val="18"/>
              </w:rPr>
              <w:t>—</w:t>
            </w:r>
          </w:p>
        </w:tc>
        <w:tc>
          <w:tcPr>
            <w:tcW w:w="780" w:type="dxa"/>
            <w:vAlign w:val="bottom"/>
          </w:tcPr>
          <w:p w14:paraId="4198C2E2" w14:textId="77777777" w:rsidR="00D1587D" w:rsidRDefault="00410D07">
            <w:pPr>
              <w:ind w:right="134"/>
              <w:jc w:val="right"/>
              <w:rPr>
                <w:sz w:val="20"/>
                <w:szCs w:val="20"/>
              </w:rPr>
            </w:pPr>
            <w:r>
              <w:rPr>
                <w:rFonts w:ascii="Arial" w:eastAsia="Arial" w:hAnsi="Arial" w:cs="Arial"/>
                <w:sz w:val="18"/>
                <w:szCs w:val="18"/>
              </w:rPr>
              <w:t>—</w:t>
            </w:r>
          </w:p>
        </w:tc>
        <w:tc>
          <w:tcPr>
            <w:tcW w:w="0" w:type="dxa"/>
            <w:vAlign w:val="bottom"/>
          </w:tcPr>
          <w:p w14:paraId="1C79256E" w14:textId="77777777" w:rsidR="00D1587D" w:rsidRDefault="00D1587D">
            <w:pPr>
              <w:rPr>
                <w:sz w:val="1"/>
                <w:szCs w:val="1"/>
              </w:rPr>
            </w:pPr>
          </w:p>
        </w:tc>
      </w:tr>
      <w:tr w:rsidR="00D1587D" w14:paraId="1A61DE18" w14:textId="77777777">
        <w:trPr>
          <w:trHeight w:val="338"/>
        </w:trPr>
        <w:tc>
          <w:tcPr>
            <w:tcW w:w="4280" w:type="dxa"/>
            <w:gridSpan w:val="2"/>
            <w:shd w:val="clear" w:color="auto" w:fill="CCEEFF"/>
            <w:vAlign w:val="bottom"/>
          </w:tcPr>
          <w:p w14:paraId="32BB9C5B" w14:textId="77777777" w:rsidR="00D1587D" w:rsidRDefault="00410D07">
            <w:pPr>
              <w:rPr>
                <w:sz w:val="20"/>
                <w:szCs w:val="20"/>
              </w:rPr>
            </w:pPr>
            <w:r>
              <w:rPr>
                <w:rFonts w:ascii="Arial" w:eastAsia="Arial" w:hAnsi="Arial" w:cs="Arial"/>
                <w:sz w:val="18"/>
                <w:szCs w:val="18"/>
              </w:rPr>
              <w:t>Impairment of Goodwill</w:t>
            </w:r>
            <w:r>
              <w:rPr>
                <w:rFonts w:ascii="Arial" w:eastAsia="Arial" w:hAnsi="Arial" w:cs="Arial"/>
                <w:sz w:val="29"/>
                <w:szCs w:val="29"/>
                <w:vertAlign w:val="superscript"/>
              </w:rPr>
              <w:t>(e)</w:t>
            </w:r>
          </w:p>
        </w:tc>
        <w:tc>
          <w:tcPr>
            <w:tcW w:w="100" w:type="dxa"/>
            <w:tcBorders>
              <w:bottom w:val="single" w:sz="8" w:space="0" w:color="CCEEFF"/>
            </w:tcBorders>
            <w:shd w:val="clear" w:color="auto" w:fill="CCEEFF"/>
            <w:vAlign w:val="bottom"/>
          </w:tcPr>
          <w:p w14:paraId="626A2B98" w14:textId="77777777" w:rsidR="00D1587D" w:rsidRDefault="00D1587D">
            <w:pPr>
              <w:rPr>
                <w:sz w:val="24"/>
                <w:szCs w:val="24"/>
              </w:rPr>
            </w:pPr>
          </w:p>
        </w:tc>
        <w:tc>
          <w:tcPr>
            <w:tcW w:w="480" w:type="dxa"/>
            <w:tcBorders>
              <w:bottom w:val="single" w:sz="8" w:space="0" w:color="auto"/>
            </w:tcBorders>
            <w:shd w:val="clear" w:color="auto" w:fill="CCEEFF"/>
            <w:vAlign w:val="bottom"/>
          </w:tcPr>
          <w:p w14:paraId="1E174C93" w14:textId="77777777" w:rsidR="00D1587D" w:rsidRDefault="00410D07">
            <w:pPr>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7EE15B85" w14:textId="77777777" w:rsidR="00D1587D" w:rsidRDefault="00D1587D">
            <w:pPr>
              <w:rPr>
                <w:sz w:val="24"/>
                <w:szCs w:val="24"/>
              </w:rPr>
            </w:pPr>
          </w:p>
        </w:tc>
        <w:tc>
          <w:tcPr>
            <w:tcW w:w="500" w:type="dxa"/>
            <w:tcBorders>
              <w:bottom w:val="single" w:sz="8" w:space="0" w:color="auto"/>
            </w:tcBorders>
            <w:shd w:val="clear" w:color="auto" w:fill="CCEEFF"/>
            <w:vAlign w:val="bottom"/>
          </w:tcPr>
          <w:p w14:paraId="2680FF65" w14:textId="77777777" w:rsidR="00D1587D" w:rsidRDefault="00410D07">
            <w:pPr>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3DD285C1" w14:textId="77777777" w:rsidR="00D1587D" w:rsidRDefault="00D1587D">
            <w:pPr>
              <w:rPr>
                <w:sz w:val="24"/>
                <w:szCs w:val="24"/>
              </w:rPr>
            </w:pPr>
          </w:p>
        </w:tc>
        <w:tc>
          <w:tcPr>
            <w:tcW w:w="780" w:type="dxa"/>
            <w:tcBorders>
              <w:bottom w:val="single" w:sz="8" w:space="0" w:color="auto"/>
            </w:tcBorders>
            <w:shd w:val="clear" w:color="auto" w:fill="CCEEFF"/>
            <w:vAlign w:val="bottom"/>
          </w:tcPr>
          <w:p w14:paraId="50622291" w14:textId="77777777" w:rsidR="00D1587D" w:rsidRDefault="00410D07">
            <w:pPr>
              <w:ind w:right="135"/>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5FD4EC44" w14:textId="77777777" w:rsidR="00D1587D" w:rsidRDefault="00D1587D">
            <w:pPr>
              <w:rPr>
                <w:sz w:val="24"/>
                <w:szCs w:val="24"/>
              </w:rPr>
            </w:pPr>
          </w:p>
        </w:tc>
        <w:tc>
          <w:tcPr>
            <w:tcW w:w="780" w:type="dxa"/>
            <w:tcBorders>
              <w:bottom w:val="single" w:sz="8" w:space="0" w:color="auto"/>
            </w:tcBorders>
            <w:shd w:val="clear" w:color="auto" w:fill="CCEEFF"/>
            <w:vAlign w:val="bottom"/>
          </w:tcPr>
          <w:p w14:paraId="0678D382" w14:textId="77777777" w:rsidR="00D1587D" w:rsidRDefault="00410D07">
            <w:pPr>
              <w:ind w:right="114"/>
              <w:jc w:val="right"/>
              <w:rPr>
                <w:sz w:val="20"/>
                <w:szCs w:val="20"/>
              </w:rPr>
            </w:pPr>
            <w:r>
              <w:rPr>
                <w:rFonts w:ascii="Arial" w:eastAsia="Arial" w:hAnsi="Arial" w:cs="Arial"/>
                <w:sz w:val="18"/>
                <w:szCs w:val="18"/>
              </w:rPr>
              <w:t>720</w:t>
            </w:r>
          </w:p>
        </w:tc>
        <w:tc>
          <w:tcPr>
            <w:tcW w:w="180" w:type="dxa"/>
            <w:tcBorders>
              <w:bottom w:val="single" w:sz="8" w:space="0" w:color="CCEEFF"/>
            </w:tcBorders>
            <w:shd w:val="clear" w:color="auto" w:fill="CCEEFF"/>
            <w:vAlign w:val="bottom"/>
          </w:tcPr>
          <w:p w14:paraId="6456DDCB" w14:textId="77777777" w:rsidR="00D1587D" w:rsidRDefault="00D1587D">
            <w:pPr>
              <w:rPr>
                <w:sz w:val="24"/>
                <w:szCs w:val="24"/>
              </w:rPr>
            </w:pPr>
          </w:p>
        </w:tc>
        <w:tc>
          <w:tcPr>
            <w:tcW w:w="780" w:type="dxa"/>
            <w:tcBorders>
              <w:bottom w:val="single" w:sz="8" w:space="0" w:color="auto"/>
            </w:tcBorders>
            <w:shd w:val="clear" w:color="auto" w:fill="CCEEFF"/>
            <w:vAlign w:val="bottom"/>
          </w:tcPr>
          <w:p w14:paraId="73879E18" w14:textId="77777777" w:rsidR="00D1587D" w:rsidRDefault="00410D07">
            <w:pPr>
              <w:ind w:right="134"/>
              <w:jc w:val="right"/>
              <w:rPr>
                <w:sz w:val="20"/>
                <w:szCs w:val="20"/>
              </w:rPr>
            </w:pPr>
            <w:r>
              <w:rPr>
                <w:rFonts w:ascii="Arial" w:eastAsia="Arial" w:hAnsi="Arial" w:cs="Arial"/>
                <w:sz w:val="18"/>
                <w:szCs w:val="18"/>
              </w:rPr>
              <w:t>—</w:t>
            </w:r>
          </w:p>
        </w:tc>
        <w:tc>
          <w:tcPr>
            <w:tcW w:w="0" w:type="dxa"/>
            <w:vAlign w:val="bottom"/>
          </w:tcPr>
          <w:p w14:paraId="34C8E765" w14:textId="77777777" w:rsidR="00D1587D" w:rsidRDefault="00D1587D">
            <w:pPr>
              <w:rPr>
                <w:sz w:val="1"/>
                <w:szCs w:val="1"/>
              </w:rPr>
            </w:pPr>
          </w:p>
        </w:tc>
      </w:tr>
      <w:tr w:rsidR="00D1587D" w14:paraId="0B5024C6" w14:textId="77777777">
        <w:trPr>
          <w:trHeight w:val="304"/>
        </w:trPr>
        <w:tc>
          <w:tcPr>
            <w:tcW w:w="4380" w:type="dxa"/>
            <w:gridSpan w:val="3"/>
            <w:vAlign w:val="bottom"/>
          </w:tcPr>
          <w:p w14:paraId="3791EE60" w14:textId="77777777" w:rsidR="00D1587D" w:rsidRDefault="00410D07">
            <w:pPr>
              <w:rPr>
                <w:sz w:val="20"/>
                <w:szCs w:val="20"/>
              </w:rPr>
            </w:pPr>
            <w:r>
              <w:rPr>
                <w:rFonts w:ascii="Arial" w:eastAsia="Arial" w:hAnsi="Arial" w:cs="Arial"/>
                <w:sz w:val="18"/>
                <w:szCs w:val="18"/>
              </w:rPr>
              <w:t>Adjusted EBITDA</w:t>
            </w:r>
          </w:p>
        </w:tc>
        <w:tc>
          <w:tcPr>
            <w:tcW w:w="480" w:type="dxa"/>
            <w:vAlign w:val="bottom"/>
          </w:tcPr>
          <w:p w14:paraId="7472A06E" w14:textId="77777777" w:rsidR="00D1587D" w:rsidRDefault="00410D07">
            <w:pPr>
              <w:jc w:val="right"/>
              <w:rPr>
                <w:sz w:val="20"/>
                <w:szCs w:val="20"/>
              </w:rPr>
            </w:pPr>
            <w:r>
              <w:rPr>
                <w:rFonts w:ascii="Arial" w:eastAsia="Arial" w:hAnsi="Arial" w:cs="Arial"/>
                <w:w w:val="94"/>
                <w:sz w:val="18"/>
                <w:szCs w:val="18"/>
              </w:rPr>
              <w:t>$306</w:t>
            </w:r>
          </w:p>
        </w:tc>
        <w:tc>
          <w:tcPr>
            <w:tcW w:w="180" w:type="dxa"/>
            <w:vAlign w:val="bottom"/>
          </w:tcPr>
          <w:p w14:paraId="6C8187B5" w14:textId="77777777" w:rsidR="00D1587D" w:rsidRDefault="00D1587D">
            <w:pPr>
              <w:rPr>
                <w:sz w:val="24"/>
                <w:szCs w:val="24"/>
              </w:rPr>
            </w:pPr>
          </w:p>
        </w:tc>
        <w:tc>
          <w:tcPr>
            <w:tcW w:w="500" w:type="dxa"/>
            <w:vAlign w:val="bottom"/>
          </w:tcPr>
          <w:p w14:paraId="40400C63" w14:textId="77777777" w:rsidR="00D1587D" w:rsidRDefault="00410D07">
            <w:pPr>
              <w:jc w:val="right"/>
              <w:rPr>
                <w:sz w:val="20"/>
                <w:szCs w:val="20"/>
              </w:rPr>
            </w:pPr>
            <w:r>
              <w:rPr>
                <w:rFonts w:ascii="Arial" w:eastAsia="Arial" w:hAnsi="Arial" w:cs="Arial"/>
                <w:w w:val="88"/>
                <w:sz w:val="18"/>
                <w:szCs w:val="18"/>
              </w:rPr>
              <w:t>$(188)</w:t>
            </w:r>
          </w:p>
        </w:tc>
        <w:tc>
          <w:tcPr>
            <w:tcW w:w="180" w:type="dxa"/>
            <w:vAlign w:val="bottom"/>
          </w:tcPr>
          <w:p w14:paraId="7427FF83" w14:textId="77777777" w:rsidR="00D1587D" w:rsidRDefault="00D1587D">
            <w:pPr>
              <w:rPr>
                <w:sz w:val="24"/>
                <w:szCs w:val="24"/>
              </w:rPr>
            </w:pPr>
          </w:p>
        </w:tc>
        <w:tc>
          <w:tcPr>
            <w:tcW w:w="780" w:type="dxa"/>
            <w:vAlign w:val="bottom"/>
          </w:tcPr>
          <w:p w14:paraId="3D8244B8" w14:textId="77777777" w:rsidR="00D1587D" w:rsidRDefault="00410D07">
            <w:pPr>
              <w:ind w:right="135"/>
              <w:jc w:val="right"/>
              <w:rPr>
                <w:sz w:val="20"/>
                <w:szCs w:val="20"/>
              </w:rPr>
            </w:pPr>
            <w:r>
              <w:rPr>
                <w:rFonts w:ascii="Arial" w:eastAsia="Arial" w:hAnsi="Arial" w:cs="Arial"/>
                <w:sz w:val="18"/>
                <w:szCs w:val="18"/>
              </w:rPr>
              <w:t>$425</w:t>
            </w:r>
          </w:p>
        </w:tc>
        <w:tc>
          <w:tcPr>
            <w:tcW w:w="960" w:type="dxa"/>
            <w:gridSpan w:val="2"/>
            <w:vAlign w:val="bottom"/>
          </w:tcPr>
          <w:p w14:paraId="499311B2" w14:textId="77777777" w:rsidR="00D1587D" w:rsidRDefault="00410D07">
            <w:pPr>
              <w:ind w:right="114"/>
              <w:jc w:val="right"/>
              <w:rPr>
                <w:sz w:val="20"/>
                <w:szCs w:val="20"/>
              </w:rPr>
            </w:pPr>
            <w:r>
              <w:rPr>
                <w:rFonts w:ascii="Arial" w:eastAsia="Arial" w:hAnsi="Arial" w:cs="Arial"/>
                <w:sz w:val="18"/>
                <w:szCs w:val="18"/>
              </w:rPr>
              <w:t>$ 493</w:t>
            </w:r>
          </w:p>
        </w:tc>
        <w:tc>
          <w:tcPr>
            <w:tcW w:w="180" w:type="dxa"/>
            <w:vAlign w:val="bottom"/>
          </w:tcPr>
          <w:p w14:paraId="2A1AC51D" w14:textId="77777777" w:rsidR="00D1587D" w:rsidRDefault="00D1587D">
            <w:pPr>
              <w:rPr>
                <w:sz w:val="24"/>
                <w:szCs w:val="24"/>
              </w:rPr>
            </w:pPr>
          </w:p>
        </w:tc>
        <w:tc>
          <w:tcPr>
            <w:tcW w:w="780" w:type="dxa"/>
            <w:vAlign w:val="bottom"/>
          </w:tcPr>
          <w:p w14:paraId="6008AF24" w14:textId="77777777" w:rsidR="00D1587D" w:rsidRDefault="00410D07">
            <w:pPr>
              <w:ind w:right="134"/>
              <w:jc w:val="right"/>
              <w:rPr>
                <w:sz w:val="20"/>
                <w:szCs w:val="20"/>
              </w:rPr>
            </w:pPr>
            <w:r>
              <w:rPr>
                <w:rFonts w:ascii="Arial" w:eastAsia="Arial" w:hAnsi="Arial" w:cs="Arial"/>
                <w:sz w:val="18"/>
                <w:szCs w:val="18"/>
              </w:rPr>
              <w:t>$899</w:t>
            </w:r>
          </w:p>
        </w:tc>
        <w:tc>
          <w:tcPr>
            <w:tcW w:w="0" w:type="dxa"/>
            <w:vAlign w:val="bottom"/>
          </w:tcPr>
          <w:p w14:paraId="4833EE77" w14:textId="77777777" w:rsidR="00D1587D" w:rsidRDefault="00D1587D">
            <w:pPr>
              <w:rPr>
                <w:sz w:val="1"/>
                <w:szCs w:val="1"/>
              </w:rPr>
            </w:pPr>
          </w:p>
        </w:tc>
      </w:tr>
      <w:tr w:rsidR="00D1587D" w14:paraId="14807E60" w14:textId="77777777">
        <w:trPr>
          <w:trHeight w:val="27"/>
        </w:trPr>
        <w:tc>
          <w:tcPr>
            <w:tcW w:w="1540" w:type="dxa"/>
            <w:vAlign w:val="bottom"/>
          </w:tcPr>
          <w:p w14:paraId="1C9F75BB" w14:textId="77777777" w:rsidR="00D1587D" w:rsidRDefault="00D1587D">
            <w:pPr>
              <w:rPr>
                <w:sz w:val="2"/>
                <w:szCs w:val="2"/>
              </w:rPr>
            </w:pPr>
          </w:p>
        </w:tc>
        <w:tc>
          <w:tcPr>
            <w:tcW w:w="2740" w:type="dxa"/>
            <w:vAlign w:val="bottom"/>
          </w:tcPr>
          <w:p w14:paraId="2C744A72" w14:textId="77777777" w:rsidR="00D1587D" w:rsidRDefault="00D1587D">
            <w:pPr>
              <w:rPr>
                <w:sz w:val="2"/>
                <w:szCs w:val="2"/>
              </w:rPr>
            </w:pPr>
          </w:p>
        </w:tc>
        <w:tc>
          <w:tcPr>
            <w:tcW w:w="100" w:type="dxa"/>
            <w:vAlign w:val="bottom"/>
          </w:tcPr>
          <w:p w14:paraId="0458C425" w14:textId="77777777" w:rsidR="00D1587D" w:rsidRDefault="00D1587D">
            <w:pPr>
              <w:rPr>
                <w:sz w:val="2"/>
                <w:szCs w:val="2"/>
              </w:rPr>
            </w:pPr>
          </w:p>
        </w:tc>
        <w:tc>
          <w:tcPr>
            <w:tcW w:w="480" w:type="dxa"/>
            <w:tcBorders>
              <w:bottom w:val="single" w:sz="8" w:space="0" w:color="auto"/>
            </w:tcBorders>
            <w:vAlign w:val="bottom"/>
          </w:tcPr>
          <w:p w14:paraId="5C6972EA" w14:textId="77777777" w:rsidR="00D1587D" w:rsidRDefault="00D1587D">
            <w:pPr>
              <w:rPr>
                <w:sz w:val="2"/>
                <w:szCs w:val="2"/>
              </w:rPr>
            </w:pPr>
          </w:p>
        </w:tc>
        <w:tc>
          <w:tcPr>
            <w:tcW w:w="180" w:type="dxa"/>
            <w:vAlign w:val="bottom"/>
          </w:tcPr>
          <w:p w14:paraId="546A730B" w14:textId="77777777" w:rsidR="00D1587D" w:rsidRDefault="00D1587D">
            <w:pPr>
              <w:rPr>
                <w:sz w:val="2"/>
                <w:szCs w:val="2"/>
              </w:rPr>
            </w:pPr>
          </w:p>
        </w:tc>
        <w:tc>
          <w:tcPr>
            <w:tcW w:w="500" w:type="dxa"/>
            <w:tcBorders>
              <w:bottom w:val="single" w:sz="8" w:space="0" w:color="auto"/>
            </w:tcBorders>
            <w:vAlign w:val="bottom"/>
          </w:tcPr>
          <w:p w14:paraId="12CC4663" w14:textId="77777777" w:rsidR="00D1587D" w:rsidRDefault="00D1587D">
            <w:pPr>
              <w:rPr>
                <w:sz w:val="2"/>
                <w:szCs w:val="2"/>
              </w:rPr>
            </w:pPr>
          </w:p>
        </w:tc>
        <w:tc>
          <w:tcPr>
            <w:tcW w:w="180" w:type="dxa"/>
            <w:vAlign w:val="bottom"/>
          </w:tcPr>
          <w:p w14:paraId="41B51231" w14:textId="77777777" w:rsidR="00D1587D" w:rsidRDefault="00D1587D">
            <w:pPr>
              <w:rPr>
                <w:sz w:val="2"/>
                <w:szCs w:val="2"/>
              </w:rPr>
            </w:pPr>
          </w:p>
        </w:tc>
        <w:tc>
          <w:tcPr>
            <w:tcW w:w="780" w:type="dxa"/>
            <w:tcBorders>
              <w:bottom w:val="single" w:sz="8" w:space="0" w:color="auto"/>
            </w:tcBorders>
            <w:vAlign w:val="bottom"/>
          </w:tcPr>
          <w:p w14:paraId="5A87AD8D" w14:textId="77777777" w:rsidR="00D1587D" w:rsidRDefault="00D1587D">
            <w:pPr>
              <w:rPr>
                <w:sz w:val="2"/>
                <w:szCs w:val="2"/>
              </w:rPr>
            </w:pPr>
          </w:p>
        </w:tc>
        <w:tc>
          <w:tcPr>
            <w:tcW w:w="180" w:type="dxa"/>
            <w:vAlign w:val="bottom"/>
          </w:tcPr>
          <w:p w14:paraId="2219EC91" w14:textId="77777777" w:rsidR="00D1587D" w:rsidRDefault="00D1587D">
            <w:pPr>
              <w:rPr>
                <w:sz w:val="2"/>
                <w:szCs w:val="2"/>
              </w:rPr>
            </w:pPr>
          </w:p>
        </w:tc>
        <w:tc>
          <w:tcPr>
            <w:tcW w:w="780" w:type="dxa"/>
            <w:tcBorders>
              <w:bottom w:val="single" w:sz="8" w:space="0" w:color="auto"/>
            </w:tcBorders>
            <w:vAlign w:val="bottom"/>
          </w:tcPr>
          <w:p w14:paraId="57953132" w14:textId="77777777" w:rsidR="00D1587D" w:rsidRDefault="00D1587D">
            <w:pPr>
              <w:rPr>
                <w:sz w:val="2"/>
                <w:szCs w:val="2"/>
              </w:rPr>
            </w:pPr>
          </w:p>
        </w:tc>
        <w:tc>
          <w:tcPr>
            <w:tcW w:w="180" w:type="dxa"/>
            <w:vAlign w:val="bottom"/>
          </w:tcPr>
          <w:p w14:paraId="118D1FB0" w14:textId="77777777" w:rsidR="00D1587D" w:rsidRDefault="00D1587D">
            <w:pPr>
              <w:rPr>
                <w:sz w:val="2"/>
                <w:szCs w:val="2"/>
              </w:rPr>
            </w:pPr>
          </w:p>
        </w:tc>
        <w:tc>
          <w:tcPr>
            <w:tcW w:w="780" w:type="dxa"/>
            <w:tcBorders>
              <w:bottom w:val="single" w:sz="8" w:space="0" w:color="auto"/>
            </w:tcBorders>
            <w:vAlign w:val="bottom"/>
          </w:tcPr>
          <w:p w14:paraId="6E055237" w14:textId="77777777" w:rsidR="00D1587D" w:rsidRDefault="00D1587D">
            <w:pPr>
              <w:rPr>
                <w:sz w:val="2"/>
                <w:szCs w:val="2"/>
              </w:rPr>
            </w:pPr>
          </w:p>
        </w:tc>
        <w:tc>
          <w:tcPr>
            <w:tcW w:w="0" w:type="dxa"/>
            <w:vAlign w:val="bottom"/>
          </w:tcPr>
          <w:p w14:paraId="5D2FF96C" w14:textId="77777777" w:rsidR="00D1587D" w:rsidRDefault="00D1587D">
            <w:pPr>
              <w:rPr>
                <w:sz w:val="1"/>
                <w:szCs w:val="1"/>
              </w:rPr>
            </w:pPr>
          </w:p>
        </w:tc>
      </w:tr>
      <w:tr w:rsidR="00D1587D" w14:paraId="14307551" w14:textId="77777777">
        <w:trPr>
          <w:trHeight w:val="21"/>
        </w:trPr>
        <w:tc>
          <w:tcPr>
            <w:tcW w:w="1540" w:type="dxa"/>
            <w:vAlign w:val="bottom"/>
          </w:tcPr>
          <w:p w14:paraId="207CF00F" w14:textId="77777777" w:rsidR="00D1587D" w:rsidRDefault="00D1587D">
            <w:pPr>
              <w:spacing w:line="20" w:lineRule="exact"/>
              <w:rPr>
                <w:sz w:val="1"/>
                <w:szCs w:val="1"/>
              </w:rPr>
            </w:pPr>
          </w:p>
        </w:tc>
        <w:tc>
          <w:tcPr>
            <w:tcW w:w="2740" w:type="dxa"/>
            <w:vAlign w:val="bottom"/>
          </w:tcPr>
          <w:p w14:paraId="7412385A" w14:textId="77777777" w:rsidR="00D1587D" w:rsidRDefault="00D1587D">
            <w:pPr>
              <w:spacing w:line="20" w:lineRule="exact"/>
              <w:rPr>
                <w:sz w:val="1"/>
                <w:szCs w:val="1"/>
              </w:rPr>
            </w:pPr>
          </w:p>
        </w:tc>
        <w:tc>
          <w:tcPr>
            <w:tcW w:w="100" w:type="dxa"/>
            <w:vAlign w:val="bottom"/>
          </w:tcPr>
          <w:p w14:paraId="7A08CAC7" w14:textId="77777777" w:rsidR="00D1587D" w:rsidRDefault="00D1587D">
            <w:pPr>
              <w:spacing w:line="20" w:lineRule="exact"/>
              <w:rPr>
                <w:sz w:val="1"/>
                <w:szCs w:val="1"/>
              </w:rPr>
            </w:pPr>
          </w:p>
        </w:tc>
        <w:tc>
          <w:tcPr>
            <w:tcW w:w="480" w:type="dxa"/>
            <w:tcBorders>
              <w:bottom w:val="single" w:sz="8" w:space="0" w:color="auto"/>
            </w:tcBorders>
            <w:vAlign w:val="bottom"/>
          </w:tcPr>
          <w:p w14:paraId="3E583EB0" w14:textId="77777777" w:rsidR="00D1587D" w:rsidRDefault="00D1587D">
            <w:pPr>
              <w:spacing w:line="20" w:lineRule="exact"/>
              <w:rPr>
                <w:sz w:val="1"/>
                <w:szCs w:val="1"/>
              </w:rPr>
            </w:pPr>
          </w:p>
        </w:tc>
        <w:tc>
          <w:tcPr>
            <w:tcW w:w="180" w:type="dxa"/>
            <w:vAlign w:val="bottom"/>
          </w:tcPr>
          <w:p w14:paraId="5A69AC4B" w14:textId="77777777" w:rsidR="00D1587D" w:rsidRDefault="00D1587D">
            <w:pPr>
              <w:spacing w:line="20" w:lineRule="exact"/>
              <w:rPr>
                <w:sz w:val="1"/>
                <w:szCs w:val="1"/>
              </w:rPr>
            </w:pPr>
          </w:p>
        </w:tc>
        <w:tc>
          <w:tcPr>
            <w:tcW w:w="500" w:type="dxa"/>
            <w:tcBorders>
              <w:bottom w:val="single" w:sz="8" w:space="0" w:color="auto"/>
            </w:tcBorders>
            <w:vAlign w:val="bottom"/>
          </w:tcPr>
          <w:p w14:paraId="2303A897" w14:textId="77777777" w:rsidR="00D1587D" w:rsidRDefault="00D1587D">
            <w:pPr>
              <w:spacing w:line="20" w:lineRule="exact"/>
              <w:rPr>
                <w:sz w:val="1"/>
                <w:szCs w:val="1"/>
              </w:rPr>
            </w:pPr>
          </w:p>
        </w:tc>
        <w:tc>
          <w:tcPr>
            <w:tcW w:w="180" w:type="dxa"/>
            <w:vAlign w:val="bottom"/>
          </w:tcPr>
          <w:p w14:paraId="5E677F8C" w14:textId="77777777" w:rsidR="00D1587D" w:rsidRDefault="00D1587D">
            <w:pPr>
              <w:spacing w:line="20" w:lineRule="exact"/>
              <w:rPr>
                <w:sz w:val="1"/>
                <w:szCs w:val="1"/>
              </w:rPr>
            </w:pPr>
          </w:p>
        </w:tc>
        <w:tc>
          <w:tcPr>
            <w:tcW w:w="780" w:type="dxa"/>
            <w:tcBorders>
              <w:bottom w:val="single" w:sz="8" w:space="0" w:color="auto"/>
            </w:tcBorders>
            <w:vAlign w:val="bottom"/>
          </w:tcPr>
          <w:p w14:paraId="4394FDC5" w14:textId="77777777" w:rsidR="00D1587D" w:rsidRDefault="00D1587D">
            <w:pPr>
              <w:spacing w:line="20" w:lineRule="exact"/>
              <w:rPr>
                <w:sz w:val="1"/>
                <w:szCs w:val="1"/>
              </w:rPr>
            </w:pPr>
          </w:p>
        </w:tc>
        <w:tc>
          <w:tcPr>
            <w:tcW w:w="180" w:type="dxa"/>
            <w:vAlign w:val="bottom"/>
          </w:tcPr>
          <w:p w14:paraId="45D83539" w14:textId="77777777" w:rsidR="00D1587D" w:rsidRDefault="00D1587D">
            <w:pPr>
              <w:spacing w:line="20" w:lineRule="exact"/>
              <w:rPr>
                <w:sz w:val="1"/>
                <w:szCs w:val="1"/>
              </w:rPr>
            </w:pPr>
          </w:p>
        </w:tc>
        <w:tc>
          <w:tcPr>
            <w:tcW w:w="780" w:type="dxa"/>
            <w:tcBorders>
              <w:bottom w:val="single" w:sz="8" w:space="0" w:color="auto"/>
            </w:tcBorders>
            <w:vAlign w:val="bottom"/>
          </w:tcPr>
          <w:p w14:paraId="127EB090" w14:textId="77777777" w:rsidR="00D1587D" w:rsidRDefault="00D1587D">
            <w:pPr>
              <w:spacing w:line="20" w:lineRule="exact"/>
              <w:rPr>
                <w:sz w:val="1"/>
                <w:szCs w:val="1"/>
              </w:rPr>
            </w:pPr>
          </w:p>
        </w:tc>
        <w:tc>
          <w:tcPr>
            <w:tcW w:w="180" w:type="dxa"/>
            <w:vAlign w:val="bottom"/>
          </w:tcPr>
          <w:p w14:paraId="21484A86" w14:textId="77777777" w:rsidR="00D1587D" w:rsidRDefault="00D1587D">
            <w:pPr>
              <w:spacing w:line="20" w:lineRule="exact"/>
              <w:rPr>
                <w:sz w:val="1"/>
                <w:szCs w:val="1"/>
              </w:rPr>
            </w:pPr>
          </w:p>
        </w:tc>
        <w:tc>
          <w:tcPr>
            <w:tcW w:w="780" w:type="dxa"/>
            <w:tcBorders>
              <w:bottom w:val="single" w:sz="8" w:space="0" w:color="auto"/>
            </w:tcBorders>
            <w:vAlign w:val="bottom"/>
          </w:tcPr>
          <w:p w14:paraId="6D5FB1B9" w14:textId="77777777" w:rsidR="00D1587D" w:rsidRDefault="00D1587D">
            <w:pPr>
              <w:spacing w:line="20" w:lineRule="exact"/>
              <w:rPr>
                <w:sz w:val="1"/>
                <w:szCs w:val="1"/>
              </w:rPr>
            </w:pPr>
          </w:p>
        </w:tc>
        <w:tc>
          <w:tcPr>
            <w:tcW w:w="0" w:type="dxa"/>
            <w:vAlign w:val="bottom"/>
          </w:tcPr>
          <w:p w14:paraId="0B31E525" w14:textId="77777777" w:rsidR="00D1587D" w:rsidRDefault="00D1587D">
            <w:pPr>
              <w:rPr>
                <w:sz w:val="1"/>
                <w:szCs w:val="1"/>
              </w:rPr>
            </w:pPr>
          </w:p>
        </w:tc>
      </w:tr>
    </w:tbl>
    <w:p w14:paraId="221152BC" w14:textId="77777777" w:rsidR="00D1587D" w:rsidRDefault="00410D07">
      <w:pPr>
        <w:spacing w:line="20" w:lineRule="exact"/>
        <w:rPr>
          <w:sz w:val="20"/>
          <w:szCs w:val="20"/>
        </w:rPr>
      </w:pPr>
      <w:r>
        <w:rPr>
          <w:noProof/>
          <w:sz w:val="20"/>
          <w:szCs w:val="20"/>
        </w:rPr>
        <w:drawing>
          <wp:anchor distT="0" distB="0" distL="114300" distR="114300" simplePos="0" relativeHeight="251602944" behindDoc="1" locked="0" layoutInCell="0" allowOverlap="1" wp14:anchorId="1823C4FB" wp14:editId="2F488017">
            <wp:simplePos x="0" y="0"/>
            <wp:positionH relativeFrom="column">
              <wp:posOffset>4925695</wp:posOffset>
            </wp:positionH>
            <wp:positionV relativeFrom="paragraph">
              <wp:posOffset>-2039620</wp:posOffset>
            </wp:positionV>
            <wp:extent cx="120015" cy="8255"/>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03968" behindDoc="1" locked="0" layoutInCell="0" allowOverlap="1" wp14:anchorId="0B66C0F5" wp14:editId="00053F3D">
            <wp:simplePos x="0" y="0"/>
            <wp:positionH relativeFrom="column">
              <wp:posOffset>4317365</wp:posOffset>
            </wp:positionH>
            <wp:positionV relativeFrom="paragraph">
              <wp:posOffset>-2039620</wp:posOffset>
            </wp:positionV>
            <wp:extent cx="120015" cy="8255"/>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04992" behindDoc="1" locked="0" layoutInCell="0" allowOverlap="1" wp14:anchorId="6457BE88" wp14:editId="15354A2B">
            <wp:simplePos x="0" y="0"/>
            <wp:positionH relativeFrom="column">
              <wp:posOffset>3708400</wp:posOffset>
            </wp:positionH>
            <wp:positionV relativeFrom="paragraph">
              <wp:posOffset>-2039620</wp:posOffset>
            </wp:positionV>
            <wp:extent cx="120015" cy="8255"/>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06016" behindDoc="1" locked="0" layoutInCell="0" allowOverlap="1" wp14:anchorId="386AFE08" wp14:editId="7BA04B66">
            <wp:simplePos x="0" y="0"/>
            <wp:positionH relativeFrom="column">
              <wp:posOffset>3271520</wp:posOffset>
            </wp:positionH>
            <wp:positionV relativeFrom="paragraph">
              <wp:posOffset>-2039620</wp:posOffset>
            </wp:positionV>
            <wp:extent cx="120015" cy="8255"/>
            <wp:effectExtent l="0" t="0" r="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07040" behindDoc="1" locked="0" layoutInCell="0" allowOverlap="1" wp14:anchorId="4F7987BB" wp14:editId="0458FE8F">
            <wp:simplePos x="0" y="0"/>
            <wp:positionH relativeFrom="column">
              <wp:posOffset>185420</wp:posOffset>
            </wp:positionH>
            <wp:positionV relativeFrom="paragraph">
              <wp:posOffset>240030</wp:posOffset>
            </wp:positionV>
            <wp:extent cx="822960" cy="8890"/>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0D9FB384" w14:textId="77777777" w:rsidR="00D1587D" w:rsidRDefault="00D1587D">
      <w:pPr>
        <w:spacing w:line="200" w:lineRule="exact"/>
        <w:rPr>
          <w:sz w:val="20"/>
          <w:szCs w:val="20"/>
        </w:rPr>
      </w:pPr>
    </w:p>
    <w:p w14:paraId="42B691CA" w14:textId="77777777" w:rsidR="00D1587D" w:rsidRDefault="00D1587D">
      <w:pPr>
        <w:spacing w:line="207" w:lineRule="exact"/>
        <w:rPr>
          <w:sz w:val="20"/>
          <w:szCs w:val="20"/>
        </w:rPr>
      </w:pPr>
    </w:p>
    <w:p w14:paraId="7103CD1E" w14:textId="77777777" w:rsidR="00D1587D" w:rsidRDefault="00410D07" w:rsidP="00410D07">
      <w:pPr>
        <w:numPr>
          <w:ilvl w:val="0"/>
          <w:numId w:val="280"/>
        </w:numPr>
        <w:tabs>
          <w:tab w:val="left" w:pos="640"/>
        </w:tabs>
        <w:spacing w:line="231" w:lineRule="auto"/>
        <w:ind w:left="640" w:right="419" w:hanging="348"/>
        <w:rPr>
          <w:rFonts w:ascii="Arial" w:eastAsia="Arial" w:hAnsi="Arial" w:cs="Arial"/>
          <w:sz w:val="14"/>
          <w:szCs w:val="14"/>
        </w:rPr>
      </w:pPr>
      <w:r>
        <w:rPr>
          <w:rFonts w:ascii="Arial" w:eastAsia="Arial" w:hAnsi="Arial" w:cs="Arial"/>
          <w:sz w:val="14"/>
          <w:szCs w:val="14"/>
        </w:rPr>
        <w:t xml:space="preserve">We recognized pre-tax </w:t>
      </w:r>
      <w:r>
        <w:rPr>
          <w:rFonts w:ascii="Arial" w:eastAsia="Arial" w:hAnsi="Arial" w:cs="Arial"/>
          <w:sz w:val="14"/>
          <w:szCs w:val="14"/>
        </w:rPr>
        <w:t>impairment charges of $97 million ($72 million after tax) and $117 million ($99 million after tax) related to certain store and lease assets in the first and second quarter of 2020, respectively. We recognized pre-tax impairment charges of $218 million ($2</w:t>
      </w:r>
      <w:r>
        <w:rPr>
          <w:rFonts w:ascii="Arial" w:eastAsia="Arial" w:hAnsi="Arial" w:cs="Arial"/>
          <w:sz w:val="14"/>
          <w:szCs w:val="14"/>
        </w:rPr>
        <w:t>00 million after-tax) and $35 million ($30 million after-tax) related to certain store and lease assets in the third and fourth quarter of 2019, respectively. In the third quarter of 2018, we recognized an $81 million pre-tax impairment charge ($68 million</w:t>
      </w:r>
      <w:r>
        <w:rPr>
          <w:rFonts w:ascii="Arial" w:eastAsia="Arial" w:hAnsi="Arial" w:cs="Arial"/>
          <w:sz w:val="14"/>
          <w:szCs w:val="14"/>
        </w:rPr>
        <w:t xml:space="preserve"> after-tax) related to certain store assets.</w:t>
      </w:r>
    </w:p>
    <w:p w14:paraId="39E0F6D4" w14:textId="77777777" w:rsidR="00D1587D" w:rsidRDefault="00D1587D">
      <w:pPr>
        <w:spacing w:line="21" w:lineRule="exact"/>
        <w:rPr>
          <w:rFonts w:ascii="Arial" w:eastAsia="Arial" w:hAnsi="Arial" w:cs="Arial"/>
          <w:sz w:val="14"/>
          <w:szCs w:val="14"/>
        </w:rPr>
      </w:pPr>
    </w:p>
    <w:p w14:paraId="0669F178" w14:textId="77777777" w:rsidR="00D1587D" w:rsidRDefault="00410D07" w:rsidP="00410D07">
      <w:pPr>
        <w:numPr>
          <w:ilvl w:val="0"/>
          <w:numId w:val="280"/>
        </w:numPr>
        <w:tabs>
          <w:tab w:val="left" w:pos="640"/>
        </w:tabs>
        <w:spacing w:line="253" w:lineRule="auto"/>
        <w:ind w:left="640" w:right="739" w:hanging="348"/>
        <w:rPr>
          <w:rFonts w:ascii="Arial" w:eastAsia="Arial" w:hAnsi="Arial" w:cs="Arial"/>
          <w:sz w:val="14"/>
          <w:szCs w:val="14"/>
        </w:rPr>
      </w:pPr>
      <w:r>
        <w:rPr>
          <w:rFonts w:ascii="Arial" w:eastAsia="Arial" w:hAnsi="Arial" w:cs="Arial"/>
          <w:sz w:val="14"/>
          <w:szCs w:val="14"/>
        </w:rPr>
        <w:t>In the second quarter of 2020, we recognized pre-tax severance charges of $51 million ($40 million after tax) related to restructuring activities.</w:t>
      </w:r>
    </w:p>
    <w:p w14:paraId="296142E4" w14:textId="77777777" w:rsidR="00D1587D" w:rsidRDefault="00D1587D">
      <w:pPr>
        <w:spacing w:line="11" w:lineRule="exact"/>
        <w:rPr>
          <w:rFonts w:ascii="Arial" w:eastAsia="Arial" w:hAnsi="Arial" w:cs="Arial"/>
          <w:sz w:val="14"/>
          <w:szCs w:val="14"/>
        </w:rPr>
      </w:pPr>
    </w:p>
    <w:p w14:paraId="134FE472" w14:textId="77777777" w:rsidR="00D1587D" w:rsidRDefault="00410D07" w:rsidP="00410D07">
      <w:pPr>
        <w:numPr>
          <w:ilvl w:val="0"/>
          <w:numId w:val="280"/>
        </w:numPr>
        <w:tabs>
          <w:tab w:val="left" w:pos="640"/>
        </w:tabs>
        <w:spacing w:line="253" w:lineRule="auto"/>
        <w:ind w:left="640" w:right="399" w:hanging="348"/>
        <w:rPr>
          <w:rFonts w:ascii="Arial" w:eastAsia="Arial" w:hAnsi="Arial" w:cs="Arial"/>
          <w:sz w:val="14"/>
          <w:szCs w:val="14"/>
        </w:rPr>
      </w:pPr>
      <w:r>
        <w:rPr>
          <w:rFonts w:ascii="Arial" w:eastAsia="Arial" w:hAnsi="Arial" w:cs="Arial"/>
          <w:sz w:val="14"/>
          <w:szCs w:val="14"/>
        </w:rPr>
        <w:t xml:space="preserve">In the second quarter of 2020, we recognized a net </w:t>
      </w:r>
      <w:r>
        <w:rPr>
          <w:rFonts w:ascii="Arial" w:eastAsia="Arial" w:hAnsi="Arial" w:cs="Arial"/>
          <w:sz w:val="14"/>
          <w:szCs w:val="14"/>
        </w:rPr>
        <w:t>pre-tax gain of $36 million ($25 million after tax) related to the closure and termination of our lease for the Hong Kong flagship store.</w:t>
      </w:r>
    </w:p>
    <w:p w14:paraId="7AFBA50E" w14:textId="77777777" w:rsidR="00D1587D" w:rsidRDefault="00D1587D">
      <w:pPr>
        <w:spacing w:line="11" w:lineRule="exact"/>
        <w:rPr>
          <w:rFonts w:ascii="Arial" w:eastAsia="Arial" w:hAnsi="Arial" w:cs="Arial"/>
          <w:sz w:val="14"/>
          <w:szCs w:val="14"/>
        </w:rPr>
      </w:pPr>
    </w:p>
    <w:p w14:paraId="22F7FA68" w14:textId="77777777" w:rsidR="00D1587D" w:rsidRDefault="00410D07" w:rsidP="00410D07">
      <w:pPr>
        <w:numPr>
          <w:ilvl w:val="0"/>
          <w:numId w:val="280"/>
        </w:numPr>
        <w:tabs>
          <w:tab w:val="left" w:pos="640"/>
        </w:tabs>
        <w:spacing w:line="253" w:lineRule="auto"/>
        <w:ind w:left="640" w:right="739" w:hanging="348"/>
        <w:rPr>
          <w:rFonts w:ascii="Arial" w:eastAsia="Arial" w:hAnsi="Arial" w:cs="Arial"/>
          <w:sz w:val="14"/>
          <w:szCs w:val="14"/>
        </w:rPr>
      </w:pPr>
      <w:r>
        <w:rPr>
          <w:rFonts w:ascii="Arial" w:eastAsia="Arial" w:hAnsi="Arial" w:cs="Arial"/>
          <w:sz w:val="14"/>
          <w:szCs w:val="14"/>
        </w:rPr>
        <w:t>In the third quarter of 2020, we recognized a pre-tax gain of $30 million ($27 million after tax) related to the esta</w:t>
      </w:r>
      <w:r>
        <w:rPr>
          <w:rFonts w:ascii="Arial" w:eastAsia="Arial" w:hAnsi="Arial" w:cs="Arial"/>
          <w:sz w:val="14"/>
          <w:szCs w:val="14"/>
        </w:rPr>
        <w:t>blishment of a joint venture for the U.K. and Ireland business with Next PLC.</w:t>
      </w:r>
    </w:p>
    <w:p w14:paraId="1E4E260D" w14:textId="77777777" w:rsidR="00D1587D" w:rsidRDefault="00D1587D">
      <w:pPr>
        <w:spacing w:line="11" w:lineRule="exact"/>
        <w:rPr>
          <w:rFonts w:ascii="Arial" w:eastAsia="Arial" w:hAnsi="Arial" w:cs="Arial"/>
          <w:sz w:val="14"/>
          <w:szCs w:val="14"/>
        </w:rPr>
      </w:pPr>
    </w:p>
    <w:p w14:paraId="37167207" w14:textId="77777777" w:rsidR="00D1587D" w:rsidRDefault="00410D07" w:rsidP="00410D07">
      <w:pPr>
        <w:numPr>
          <w:ilvl w:val="0"/>
          <w:numId w:val="280"/>
        </w:numPr>
        <w:tabs>
          <w:tab w:val="left" w:pos="640"/>
        </w:tabs>
        <w:spacing w:line="238" w:lineRule="auto"/>
        <w:ind w:left="640" w:right="339" w:hanging="348"/>
        <w:rPr>
          <w:rFonts w:ascii="Arial" w:eastAsia="Arial" w:hAnsi="Arial" w:cs="Arial"/>
          <w:sz w:val="14"/>
          <w:szCs w:val="14"/>
        </w:rPr>
      </w:pPr>
      <w:r>
        <w:rPr>
          <w:rFonts w:ascii="Arial" w:eastAsia="Arial" w:hAnsi="Arial" w:cs="Arial"/>
          <w:sz w:val="14"/>
          <w:szCs w:val="14"/>
        </w:rPr>
        <w:t>In the fourth quarter of 2019, we recognized a $690 million pre-tax goodwill impairment charge ($687 million after-tax) related to the North America reporting unit. In the third</w:t>
      </w:r>
      <w:r>
        <w:rPr>
          <w:rFonts w:ascii="Arial" w:eastAsia="Arial" w:hAnsi="Arial" w:cs="Arial"/>
          <w:sz w:val="14"/>
          <w:szCs w:val="14"/>
        </w:rPr>
        <w:t xml:space="preserve"> quarter of 2019, we recognized a $30 million goodwill impairment charge (no tax impact) related to the Greater China reporting unit.</w:t>
      </w:r>
    </w:p>
    <w:p w14:paraId="73213DF2" w14:textId="77777777" w:rsidR="00D1587D" w:rsidRDefault="00D1587D">
      <w:pPr>
        <w:spacing w:line="187" w:lineRule="exact"/>
        <w:rPr>
          <w:sz w:val="20"/>
          <w:szCs w:val="20"/>
        </w:rPr>
      </w:pPr>
    </w:p>
    <w:p w14:paraId="5D527116" w14:textId="77777777" w:rsidR="00D1587D" w:rsidRDefault="00410D07">
      <w:pPr>
        <w:jc w:val="center"/>
        <w:rPr>
          <w:sz w:val="20"/>
          <w:szCs w:val="20"/>
        </w:rPr>
      </w:pPr>
      <w:r>
        <w:rPr>
          <w:rFonts w:ascii="Arial" w:eastAsia="Arial" w:hAnsi="Arial" w:cs="Arial"/>
          <w:sz w:val="18"/>
          <w:szCs w:val="18"/>
        </w:rPr>
        <w:t>65</w:t>
      </w:r>
    </w:p>
    <w:p w14:paraId="3EC942B7" w14:textId="77777777" w:rsidR="00D1587D" w:rsidRDefault="00410D07">
      <w:pPr>
        <w:spacing w:line="20" w:lineRule="exact"/>
        <w:rPr>
          <w:sz w:val="20"/>
          <w:szCs w:val="20"/>
        </w:rPr>
      </w:pPr>
      <w:r>
        <w:rPr>
          <w:noProof/>
          <w:sz w:val="20"/>
          <w:szCs w:val="20"/>
        </w:rPr>
        <w:drawing>
          <wp:anchor distT="0" distB="0" distL="114300" distR="114300" simplePos="0" relativeHeight="251608064" behindDoc="1" locked="0" layoutInCell="0" allowOverlap="1" wp14:anchorId="652A5D75" wp14:editId="25504379">
            <wp:simplePos x="0" y="0"/>
            <wp:positionH relativeFrom="column">
              <wp:posOffset>-636905</wp:posOffset>
            </wp:positionH>
            <wp:positionV relativeFrom="paragraph">
              <wp:posOffset>126365</wp:posOffset>
            </wp:positionV>
            <wp:extent cx="6995160" cy="17145"/>
            <wp:effectExtent l="0" t="0" r="0" b="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A114BA2" w14:textId="77777777" w:rsidR="00D1587D" w:rsidRDefault="00D1587D">
      <w:pPr>
        <w:sectPr w:rsidR="00D1587D">
          <w:pgSz w:w="11900" w:h="16838"/>
          <w:pgMar w:top="262" w:right="1440" w:bottom="1440" w:left="1440" w:header="0" w:footer="0" w:gutter="0"/>
          <w:cols w:space="720" w:equalWidth="0">
            <w:col w:w="9019"/>
          </w:cols>
        </w:sectPr>
      </w:pPr>
    </w:p>
    <w:bookmarkStart w:id="323" w:name="page324"/>
    <w:bookmarkEnd w:id="323"/>
    <w:p w14:paraId="148F67F0"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C930CBF" w14:textId="77777777" w:rsidR="00D1587D" w:rsidRDefault="00D1587D">
      <w:pPr>
        <w:spacing w:line="127" w:lineRule="exact"/>
        <w:rPr>
          <w:sz w:val="20"/>
          <w:szCs w:val="20"/>
        </w:rPr>
      </w:pPr>
    </w:p>
    <w:p w14:paraId="105CDBD3" w14:textId="77777777" w:rsidR="00D1587D" w:rsidRDefault="00410D07">
      <w:pPr>
        <w:spacing w:line="282" w:lineRule="auto"/>
        <w:ind w:left="300" w:right="319"/>
        <w:jc w:val="center"/>
        <w:rPr>
          <w:sz w:val="20"/>
          <w:szCs w:val="20"/>
        </w:rPr>
      </w:pPr>
      <w:r>
        <w:rPr>
          <w:rFonts w:ascii="Arial" w:eastAsia="Arial" w:hAnsi="Arial" w:cs="Arial"/>
          <w:b/>
          <w:bCs/>
          <w:sz w:val="18"/>
          <w:szCs w:val="18"/>
        </w:rPr>
        <w:t>MANAGEMENT’S DISCUSSION AND ANALYSIS OF FINANCIAL C</w:t>
      </w:r>
      <w:r>
        <w:rPr>
          <w:rFonts w:ascii="Arial" w:eastAsia="Arial" w:hAnsi="Arial" w:cs="Arial"/>
          <w:b/>
          <w:bCs/>
          <w:sz w:val="18"/>
          <w:szCs w:val="18"/>
        </w:rPr>
        <w:t>ONDITION AND RESULTS OF OPERATIONS</w:t>
      </w:r>
    </w:p>
    <w:p w14:paraId="5569D85C" w14:textId="77777777" w:rsidR="00D1587D" w:rsidRDefault="00D1587D">
      <w:pPr>
        <w:spacing w:line="58" w:lineRule="exact"/>
        <w:rPr>
          <w:sz w:val="20"/>
          <w:szCs w:val="20"/>
        </w:rPr>
      </w:pPr>
    </w:p>
    <w:p w14:paraId="589E2FCA" w14:textId="77777777" w:rsidR="00D1587D" w:rsidRDefault="00410D07">
      <w:pPr>
        <w:spacing w:line="253" w:lineRule="auto"/>
        <w:ind w:left="300" w:right="339" w:firstLine="360"/>
        <w:rPr>
          <w:sz w:val="20"/>
          <w:szCs w:val="20"/>
        </w:rPr>
      </w:pPr>
      <w:r>
        <w:rPr>
          <w:rFonts w:ascii="Arial" w:eastAsia="Arial" w:hAnsi="Arial" w:cs="Arial"/>
          <w:i/>
          <w:iCs/>
          <w:sz w:val="18"/>
          <w:szCs w:val="18"/>
        </w:rPr>
        <w:t xml:space="preserve">The following discussion of our financial condition and results of operations for the quarters ended May 1, 2021 and May 2, 2020 and the three years ended January 30, 2021 should be read in conjunction with our </w:t>
      </w:r>
      <w:r>
        <w:rPr>
          <w:rFonts w:ascii="Arial" w:eastAsia="Arial" w:hAnsi="Arial" w:cs="Arial"/>
          <w:i/>
          <w:iCs/>
          <w:sz w:val="18"/>
          <w:szCs w:val="18"/>
        </w:rPr>
        <w:t>audited combined financial statements and the notes thereto, included elsewhere in this information statement, as well as the information presented under “Unaudited Pro Forma Combined Financial Statements,” “Selected Historical Combined Financial Data” and</w:t>
      </w:r>
      <w:r>
        <w:rPr>
          <w:rFonts w:ascii="Arial" w:eastAsia="Arial" w:hAnsi="Arial" w:cs="Arial"/>
          <w:i/>
          <w:iCs/>
          <w:sz w:val="18"/>
          <w:szCs w:val="18"/>
        </w:rPr>
        <w:t xml:space="preserve"> “Business.” The following discussion and analysis includes forward-looking statements. These forward-looking statements are subject to risks, uncertainties and other factors that could cause our actual results to differ materially from those expressed or </w:t>
      </w:r>
      <w:r>
        <w:rPr>
          <w:rFonts w:ascii="Arial" w:eastAsia="Arial" w:hAnsi="Arial" w:cs="Arial"/>
          <w:i/>
          <w:iCs/>
          <w:sz w:val="18"/>
          <w:szCs w:val="18"/>
        </w:rPr>
        <w:t>implied by the forward-looking statements. Factors that could cause or contribute to these differences include, but are not limited to, those discussed elsewhere in this information statement. See in particular “Special Note Regarding Forward-Looking State</w:t>
      </w:r>
      <w:r>
        <w:rPr>
          <w:rFonts w:ascii="Arial" w:eastAsia="Arial" w:hAnsi="Arial" w:cs="Arial"/>
          <w:i/>
          <w:iCs/>
          <w:sz w:val="18"/>
          <w:szCs w:val="18"/>
        </w:rPr>
        <w:t>ments” and “Risk Factors.”</w:t>
      </w:r>
    </w:p>
    <w:p w14:paraId="479C4794" w14:textId="77777777" w:rsidR="00D1587D" w:rsidRDefault="00D1587D">
      <w:pPr>
        <w:spacing w:line="86" w:lineRule="exact"/>
        <w:rPr>
          <w:sz w:val="20"/>
          <w:szCs w:val="20"/>
        </w:rPr>
      </w:pPr>
    </w:p>
    <w:p w14:paraId="5172C185" w14:textId="77777777" w:rsidR="00D1587D" w:rsidRDefault="00410D07">
      <w:pPr>
        <w:spacing w:line="291" w:lineRule="auto"/>
        <w:ind w:left="300" w:right="339" w:firstLine="360"/>
        <w:rPr>
          <w:sz w:val="20"/>
          <w:szCs w:val="20"/>
        </w:rPr>
      </w:pPr>
      <w:r>
        <w:rPr>
          <w:rFonts w:ascii="Arial" w:eastAsia="Arial" w:hAnsi="Arial" w:cs="Arial"/>
          <w:i/>
          <w:iCs/>
          <w:sz w:val="16"/>
          <w:szCs w:val="16"/>
        </w:rPr>
        <w:t xml:space="preserve">Our operating results are generally impacted by economic changes and, therefore, we monitor the retail environment using, among other things, certain key industry performance indicators including competitor performance and mall </w:t>
      </w:r>
      <w:r>
        <w:rPr>
          <w:rFonts w:ascii="Arial" w:eastAsia="Arial" w:hAnsi="Arial" w:cs="Arial"/>
          <w:i/>
          <w:iCs/>
          <w:sz w:val="16"/>
          <w:szCs w:val="16"/>
        </w:rPr>
        <w:t>traffic data. These can provide insight into consumer spending patterns and shopping behavior in the current retail environment and assist us in assessing our performance as well as the potential impact of industry trends on our future operating results. A</w:t>
      </w:r>
      <w:r>
        <w:rPr>
          <w:rFonts w:ascii="Arial" w:eastAsia="Arial" w:hAnsi="Arial" w:cs="Arial"/>
          <w:i/>
          <w:iCs/>
          <w:sz w:val="16"/>
          <w:szCs w:val="16"/>
        </w:rPr>
        <w:t>dditionally, we evaluate a number of key performance indicators including comparable sales, gross profit, operating income and other performance metrics such as sales per average selling square foot and inventory per selling square foot in assessing our pe</w:t>
      </w:r>
      <w:r>
        <w:rPr>
          <w:rFonts w:ascii="Arial" w:eastAsia="Arial" w:hAnsi="Arial" w:cs="Arial"/>
          <w:i/>
          <w:iCs/>
          <w:sz w:val="16"/>
          <w:szCs w:val="16"/>
        </w:rPr>
        <w:t>rformance.</w:t>
      </w:r>
    </w:p>
    <w:p w14:paraId="3A76F378" w14:textId="77777777" w:rsidR="00D1587D" w:rsidRDefault="00D1587D">
      <w:pPr>
        <w:spacing w:line="311" w:lineRule="exact"/>
        <w:rPr>
          <w:sz w:val="20"/>
          <w:szCs w:val="20"/>
        </w:rPr>
      </w:pPr>
    </w:p>
    <w:p w14:paraId="00670882" w14:textId="77777777" w:rsidR="00D1587D" w:rsidRDefault="00410D07">
      <w:pPr>
        <w:ind w:left="300"/>
        <w:rPr>
          <w:sz w:val="20"/>
          <w:szCs w:val="20"/>
        </w:rPr>
      </w:pPr>
      <w:r>
        <w:rPr>
          <w:rFonts w:ascii="Arial" w:eastAsia="Arial" w:hAnsi="Arial" w:cs="Arial"/>
          <w:b/>
          <w:bCs/>
          <w:sz w:val="18"/>
          <w:szCs w:val="18"/>
        </w:rPr>
        <w:t>Overview</w:t>
      </w:r>
    </w:p>
    <w:p w14:paraId="0BBE0266" w14:textId="77777777" w:rsidR="00D1587D" w:rsidRDefault="00D1587D">
      <w:pPr>
        <w:spacing w:line="121" w:lineRule="exact"/>
        <w:rPr>
          <w:sz w:val="20"/>
          <w:szCs w:val="20"/>
        </w:rPr>
      </w:pPr>
    </w:p>
    <w:p w14:paraId="136ECC1D" w14:textId="77777777" w:rsidR="00D1587D" w:rsidRDefault="00410D07">
      <w:pPr>
        <w:spacing w:line="273" w:lineRule="auto"/>
        <w:ind w:left="300" w:right="299" w:firstLine="360"/>
        <w:rPr>
          <w:sz w:val="20"/>
          <w:szCs w:val="20"/>
        </w:rPr>
      </w:pPr>
      <w:r>
        <w:rPr>
          <w:rFonts w:ascii="Arial" w:eastAsia="Arial" w:hAnsi="Arial" w:cs="Arial"/>
          <w:sz w:val="17"/>
          <w:szCs w:val="17"/>
        </w:rPr>
        <w:t xml:space="preserve">Victoria’s Secret is an iconic global brand of women’s intimate and other apparel, personal care and beauty products. We sell our products through two brands, Victoria’s Secret and PINK. Victoria’s Secret is a </w:t>
      </w:r>
      <w:r>
        <w:rPr>
          <w:rFonts w:ascii="Arial" w:eastAsia="Arial" w:hAnsi="Arial" w:cs="Arial"/>
          <w:sz w:val="17"/>
          <w:szCs w:val="17"/>
        </w:rPr>
        <w:t>category-defining global lingerie brand with a leading market position and a rich, 40-year history of serving women across the globe. PINK is a lifestyle brand for the college-oriented customer, built around a strong intimates core. We also sell beauty pro</w:t>
      </w:r>
      <w:r>
        <w:rPr>
          <w:rFonts w:ascii="Arial" w:eastAsia="Arial" w:hAnsi="Arial" w:cs="Arial"/>
          <w:sz w:val="17"/>
          <w:szCs w:val="17"/>
        </w:rPr>
        <w:t>ducts under both the Victoria’s Secret and PINK brands. Together, Victoria’s Secret, PINK and Victoria’s Secret Beauty support, inspire and celebrate women through every phase of their life.</w:t>
      </w:r>
    </w:p>
    <w:p w14:paraId="1C993A36" w14:textId="77777777" w:rsidR="00D1587D" w:rsidRDefault="00D1587D">
      <w:pPr>
        <w:spacing w:line="70" w:lineRule="exact"/>
        <w:rPr>
          <w:sz w:val="20"/>
          <w:szCs w:val="20"/>
        </w:rPr>
      </w:pPr>
    </w:p>
    <w:p w14:paraId="3D5AF15D" w14:textId="77777777" w:rsidR="00D1587D" w:rsidRDefault="00410D07">
      <w:pPr>
        <w:spacing w:line="255" w:lineRule="auto"/>
        <w:ind w:left="300" w:right="359" w:firstLine="360"/>
        <w:rPr>
          <w:sz w:val="20"/>
          <w:szCs w:val="20"/>
        </w:rPr>
      </w:pPr>
      <w:r>
        <w:rPr>
          <w:rFonts w:ascii="Arial" w:eastAsia="Arial" w:hAnsi="Arial" w:cs="Arial"/>
          <w:sz w:val="18"/>
          <w:szCs w:val="18"/>
        </w:rPr>
        <w:t>Victoria’s Secret and PINK merchandise is sold online through ou</w:t>
      </w:r>
      <w:r>
        <w:rPr>
          <w:rFonts w:ascii="Arial" w:eastAsia="Arial" w:hAnsi="Arial" w:cs="Arial"/>
          <w:sz w:val="18"/>
          <w:szCs w:val="18"/>
        </w:rPr>
        <w:t>r e-commerce platform, through company-operated retail stores located in the U.S., Canada and Greater China, and through international stores and websites operated by partners under franchise, license, wholesale and joint venture arrangements. We have a pr</w:t>
      </w:r>
      <w:r>
        <w:rPr>
          <w:rFonts w:ascii="Arial" w:eastAsia="Arial" w:hAnsi="Arial" w:cs="Arial"/>
          <w:sz w:val="18"/>
          <w:szCs w:val="18"/>
        </w:rPr>
        <w:t>esence in over 70 countries and generated approximately $5.4 billion in global sales in 2020 across all channels. We believe we benefit from global brand awareness, a wide and compelling product assortment and a powerful, deep connection with our customers</w:t>
      </w:r>
      <w:r>
        <w:rPr>
          <w:rFonts w:ascii="Arial" w:eastAsia="Arial" w:hAnsi="Arial" w:cs="Arial"/>
          <w:sz w:val="18"/>
          <w:szCs w:val="18"/>
        </w:rPr>
        <w:t>.</w:t>
      </w:r>
    </w:p>
    <w:p w14:paraId="64EA4068" w14:textId="77777777" w:rsidR="00D1587D" w:rsidRDefault="00D1587D">
      <w:pPr>
        <w:spacing w:line="84" w:lineRule="exact"/>
        <w:rPr>
          <w:sz w:val="20"/>
          <w:szCs w:val="20"/>
        </w:rPr>
      </w:pPr>
    </w:p>
    <w:p w14:paraId="09B5C02F" w14:textId="77777777" w:rsidR="00D1587D" w:rsidRDefault="00410D07">
      <w:pPr>
        <w:spacing w:line="288" w:lineRule="auto"/>
        <w:ind w:left="300" w:right="339" w:firstLine="360"/>
        <w:rPr>
          <w:sz w:val="20"/>
          <w:szCs w:val="20"/>
        </w:rPr>
      </w:pPr>
      <w:r>
        <w:rPr>
          <w:rFonts w:ascii="Arial" w:eastAsia="Arial" w:hAnsi="Arial" w:cs="Arial"/>
          <w:sz w:val="16"/>
          <w:szCs w:val="16"/>
        </w:rPr>
        <w:t>Our 867 North American stores as of May 1, 2021 represent the majority of our business and, despite the impact of the global COVID-19 pandemic, our North American stores business generated approximately 50% of our revenue in 2020. In addition to our phy</w:t>
      </w:r>
      <w:r>
        <w:rPr>
          <w:rFonts w:ascii="Arial" w:eastAsia="Arial" w:hAnsi="Arial" w:cs="Arial"/>
          <w:sz w:val="16"/>
          <w:szCs w:val="16"/>
        </w:rPr>
        <w:t>sical stores, our customer-centric digital platform – including our social media following, our websites and our mobile applications – allows us to connect to our customers and communicate with them anytime and anywhere. Sales in our direct channel increas</w:t>
      </w:r>
      <w:r>
        <w:rPr>
          <w:rFonts w:ascii="Arial" w:eastAsia="Arial" w:hAnsi="Arial" w:cs="Arial"/>
          <w:sz w:val="16"/>
          <w:szCs w:val="16"/>
        </w:rPr>
        <w:t>ed 31% to $2.2 billion in 2020 from $1.7 billion in 2019. We and our partners operated 520 stores outside of North America as of May 1, 2021, including 62 company-operated stores in Greater China and 458 stores internationally outside of China, which are o</w:t>
      </w:r>
      <w:r>
        <w:rPr>
          <w:rFonts w:ascii="Arial" w:eastAsia="Arial" w:hAnsi="Arial" w:cs="Arial"/>
          <w:sz w:val="16"/>
          <w:szCs w:val="16"/>
        </w:rPr>
        <w:t>perated by partners under franchise, license, wholesale and joint venture arrangements. Our international stores consist of full assortment stores as well as Victoria’s Secret Beauty and Accessories stores. Victoria’s Secret Beauty and Accessories stores r</w:t>
      </w:r>
      <w:r>
        <w:rPr>
          <w:rFonts w:ascii="Arial" w:eastAsia="Arial" w:hAnsi="Arial" w:cs="Arial"/>
          <w:sz w:val="16"/>
          <w:szCs w:val="16"/>
        </w:rPr>
        <w:t>epresent smaller footprint stores including stores in airports and other travel retail locations.</w:t>
      </w:r>
    </w:p>
    <w:p w14:paraId="1C9A7BDB" w14:textId="77777777" w:rsidR="00D1587D" w:rsidRDefault="00D1587D">
      <w:pPr>
        <w:spacing w:line="60" w:lineRule="exact"/>
        <w:rPr>
          <w:sz w:val="20"/>
          <w:szCs w:val="20"/>
        </w:rPr>
      </w:pPr>
    </w:p>
    <w:p w14:paraId="6D8E3D8C" w14:textId="77777777" w:rsidR="00D1587D" w:rsidRDefault="00410D07">
      <w:pPr>
        <w:spacing w:line="277" w:lineRule="auto"/>
        <w:ind w:left="300" w:right="499" w:firstLine="360"/>
        <w:rPr>
          <w:sz w:val="20"/>
          <w:szCs w:val="20"/>
        </w:rPr>
      </w:pPr>
      <w:r>
        <w:rPr>
          <w:rFonts w:ascii="Arial" w:eastAsia="Arial" w:hAnsi="Arial" w:cs="Arial"/>
          <w:sz w:val="18"/>
          <w:szCs w:val="18"/>
        </w:rPr>
        <w:t>During 2020, we took a number of important steps to improve performance and in preparation to operate as a separate standalone company, including:</w:t>
      </w:r>
    </w:p>
    <w:p w14:paraId="04DC1E85" w14:textId="77777777" w:rsidR="00D1587D" w:rsidRDefault="00D1587D">
      <w:pPr>
        <w:spacing w:line="76" w:lineRule="exact"/>
        <w:rPr>
          <w:sz w:val="20"/>
          <w:szCs w:val="20"/>
        </w:rPr>
      </w:pPr>
    </w:p>
    <w:p w14:paraId="0B8B9522" w14:textId="77777777" w:rsidR="00D1587D" w:rsidRDefault="00410D07" w:rsidP="00410D07">
      <w:pPr>
        <w:numPr>
          <w:ilvl w:val="0"/>
          <w:numId w:val="281"/>
        </w:numPr>
        <w:tabs>
          <w:tab w:val="left" w:pos="1000"/>
        </w:tabs>
        <w:spacing w:line="263" w:lineRule="auto"/>
        <w:ind w:left="1000" w:right="459" w:hanging="348"/>
        <w:rPr>
          <w:rFonts w:ascii="Arial" w:eastAsia="Arial" w:hAnsi="Arial" w:cs="Arial"/>
          <w:sz w:val="18"/>
          <w:szCs w:val="18"/>
        </w:rPr>
      </w:pPr>
      <w:r>
        <w:rPr>
          <w:rFonts w:ascii="Arial" w:eastAsia="Arial" w:hAnsi="Arial" w:cs="Arial"/>
          <w:sz w:val="18"/>
          <w:szCs w:val="18"/>
        </w:rPr>
        <w:t>Completing a comprehensive review of our home office organization in order to achieve meaningful reductions in overhead expenses and decentralize significant shared functions and services to support the creation of standalone companies;</w:t>
      </w:r>
    </w:p>
    <w:p w14:paraId="04E4F167" w14:textId="77777777" w:rsidR="00D1587D" w:rsidRDefault="00D1587D">
      <w:pPr>
        <w:spacing w:line="102" w:lineRule="exact"/>
        <w:rPr>
          <w:rFonts w:ascii="Arial" w:eastAsia="Arial" w:hAnsi="Arial" w:cs="Arial"/>
          <w:sz w:val="18"/>
          <w:szCs w:val="18"/>
        </w:rPr>
      </w:pPr>
    </w:p>
    <w:p w14:paraId="5E0DAACC" w14:textId="77777777" w:rsidR="00D1587D" w:rsidRDefault="00410D07" w:rsidP="00410D07">
      <w:pPr>
        <w:numPr>
          <w:ilvl w:val="0"/>
          <w:numId w:val="281"/>
        </w:numPr>
        <w:tabs>
          <w:tab w:val="left" w:pos="1000"/>
        </w:tabs>
        <w:ind w:left="1000" w:hanging="348"/>
        <w:rPr>
          <w:rFonts w:ascii="Arial" w:eastAsia="Arial" w:hAnsi="Arial" w:cs="Arial"/>
          <w:sz w:val="18"/>
          <w:szCs w:val="18"/>
        </w:rPr>
      </w:pPr>
      <w:r>
        <w:rPr>
          <w:rFonts w:ascii="Arial" w:eastAsia="Arial" w:hAnsi="Arial" w:cs="Arial"/>
          <w:sz w:val="18"/>
          <w:szCs w:val="18"/>
        </w:rPr>
        <w:t>Permanently closin</w:t>
      </w:r>
      <w:r>
        <w:rPr>
          <w:rFonts w:ascii="Arial" w:eastAsia="Arial" w:hAnsi="Arial" w:cs="Arial"/>
          <w:sz w:val="18"/>
          <w:szCs w:val="18"/>
        </w:rPr>
        <w:t>g 241 stores in North America;</w:t>
      </w:r>
    </w:p>
    <w:p w14:paraId="4D5E3EA8" w14:textId="77777777" w:rsidR="00D1587D" w:rsidRDefault="00D1587D">
      <w:pPr>
        <w:spacing w:line="225" w:lineRule="exact"/>
        <w:rPr>
          <w:sz w:val="20"/>
          <w:szCs w:val="20"/>
        </w:rPr>
      </w:pPr>
    </w:p>
    <w:p w14:paraId="3396981C" w14:textId="77777777" w:rsidR="00D1587D" w:rsidRDefault="00410D07">
      <w:pPr>
        <w:jc w:val="center"/>
        <w:rPr>
          <w:sz w:val="20"/>
          <w:szCs w:val="20"/>
        </w:rPr>
      </w:pPr>
      <w:r>
        <w:rPr>
          <w:rFonts w:ascii="Arial" w:eastAsia="Arial" w:hAnsi="Arial" w:cs="Arial"/>
          <w:sz w:val="18"/>
          <w:szCs w:val="18"/>
        </w:rPr>
        <w:t>66</w:t>
      </w:r>
    </w:p>
    <w:p w14:paraId="33564549" w14:textId="77777777" w:rsidR="00D1587D" w:rsidRDefault="00410D07">
      <w:pPr>
        <w:spacing w:line="20" w:lineRule="exact"/>
        <w:rPr>
          <w:sz w:val="20"/>
          <w:szCs w:val="20"/>
        </w:rPr>
      </w:pPr>
      <w:r>
        <w:rPr>
          <w:noProof/>
          <w:sz w:val="20"/>
          <w:szCs w:val="20"/>
        </w:rPr>
        <w:drawing>
          <wp:anchor distT="0" distB="0" distL="114300" distR="114300" simplePos="0" relativeHeight="251609088" behindDoc="1" locked="0" layoutInCell="0" allowOverlap="1" wp14:anchorId="13393700" wp14:editId="14FFBDC4">
            <wp:simplePos x="0" y="0"/>
            <wp:positionH relativeFrom="column">
              <wp:posOffset>-636905</wp:posOffset>
            </wp:positionH>
            <wp:positionV relativeFrom="paragraph">
              <wp:posOffset>126365</wp:posOffset>
            </wp:positionV>
            <wp:extent cx="6995160" cy="17145"/>
            <wp:effectExtent l="0" t="0" r="0" b="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FACD691" w14:textId="77777777" w:rsidR="00D1587D" w:rsidRDefault="00D1587D">
      <w:pPr>
        <w:sectPr w:rsidR="00D1587D">
          <w:pgSz w:w="11900" w:h="16838"/>
          <w:pgMar w:top="265" w:right="1440" w:bottom="1440" w:left="1440" w:header="0" w:footer="0" w:gutter="0"/>
          <w:cols w:space="720" w:equalWidth="0">
            <w:col w:w="9019"/>
          </w:cols>
        </w:sectPr>
      </w:pPr>
    </w:p>
    <w:bookmarkStart w:id="324" w:name="page325"/>
    <w:bookmarkEnd w:id="324"/>
    <w:p w14:paraId="74B0325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6893B1C" w14:textId="77777777" w:rsidR="00D1587D" w:rsidRDefault="00D1587D">
      <w:pPr>
        <w:spacing w:line="131" w:lineRule="exact"/>
        <w:rPr>
          <w:sz w:val="20"/>
          <w:szCs w:val="20"/>
        </w:rPr>
      </w:pPr>
    </w:p>
    <w:p w14:paraId="79AD577E" w14:textId="77777777" w:rsidR="00D1587D" w:rsidRDefault="00410D07" w:rsidP="00410D07">
      <w:pPr>
        <w:numPr>
          <w:ilvl w:val="0"/>
          <w:numId w:val="282"/>
        </w:numPr>
        <w:tabs>
          <w:tab w:val="left" w:pos="1000"/>
        </w:tabs>
        <w:spacing w:line="308" w:lineRule="auto"/>
        <w:ind w:left="1000" w:right="499" w:hanging="348"/>
        <w:rPr>
          <w:rFonts w:ascii="Arial" w:eastAsia="Arial" w:hAnsi="Arial" w:cs="Arial"/>
          <w:sz w:val="17"/>
          <w:szCs w:val="17"/>
        </w:rPr>
      </w:pPr>
      <w:r>
        <w:rPr>
          <w:rFonts w:ascii="Arial" w:eastAsia="Arial" w:hAnsi="Arial" w:cs="Arial"/>
          <w:sz w:val="17"/>
          <w:szCs w:val="17"/>
        </w:rPr>
        <w:t xml:space="preserve">Closing the unprofitable Hong Kong flagship store, restructuring lease terms on the two mainland China flagship stores and implementing a </w:t>
      </w:r>
      <w:r>
        <w:rPr>
          <w:rFonts w:ascii="Arial" w:eastAsia="Arial" w:hAnsi="Arial" w:cs="Arial"/>
          <w:sz w:val="17"/>
          <w:szCs w:val="17"/>
        </w:rPr>
        <w:t>significant overhead expense reduction plan; and</w:t>
      </w:r>
    </w:p>
    <w:p w14:paraId="0A027111" w14:textId="77777777" w:rsidR="00D1587D" w:rsidRDefault="00D1587D">
      <w:pPr>
        <w:spacing w:line="65" w:lineRule="exact"/>
        <w:rPr>
          <w:rFonts w:ascii="Arial" w:eastAsia="Arial" w:hAnsi="Arial" w:cs="Arial"/>
          <w:sz w:val="17"/>
          <w:szCs w:val="17"/>
        </w:rPr>
      </w:pPr>
    </w:p>
    <w:p w14:paraId="1AB8490F" w14:textId="77777777" w:rsidR="00D1587D" w:rsidRDefault="00410D07" w:rsidP="00410D07">
      <w:pPr>
        <w:numPr>
          <w:ilvl w:val="0"/>
          <w:numId w:val="282"/>
        </w:numPr>
        <w:tabs>
          <w:tab w:val="left" w:pos="1000"/>
        </w:tabs>
        <w:spacing w:line="277" w:lineRule="auto"/>
        <w:ind w:left="1000" w:right="359" w:hanging="348"/>
        <w:rPr>
          <w:rFonts w:ascii="Arial" w:eastAsia="Arial" w:hAnsi="Arial" w:cs="Arial"/>
          <w:sz w:val="18"/>
          <w:szCs w:val="18"/>
        </w:rPr>
      </w:pPr>
      <w:r>
        <w:rPr>
          <w:rFonts w:ascii="Arial" w:eastAsia="Arial" w:hAnsi="Arial" w:cs="Arial"/>
          <w:sz w:val="18"/>
          <w:szCs w:val="18"/>
        </w:rPr>
        <w:t>Managing inventories with discipline, including working with suppliers to identify opportunities to reduce merchandise costs in order to increase merchandise margin rates.</w:t>
      </w:r>
    </w:p>
    <w:p w14:paraId="2AD77A8D" w14:textId="77777777" w:rsidR="00D1587D" w:rsidRDefault="00D1587D">
      <w:pPr>
        <w:spacing w:line="62" w:lineRule="exact"/>
        <w:rPr>
          <w:sz w:val="20"/>
          <w:szCs w:val="20"/>
        </w:rPr>
      </w:pPr>
    </w:p>
    <w:p w14:paraId="27852C3F" w14:textId="77777777" w:rsidR="00D1587D" w:rsidRDefault="00410D07">
      <w:pPr>
        <w:spacing w:line="275" w:lineRule="auto"/>
        <w:ind w:left="300" w:right="319" w:firstLine="360"/>
        <w:rPr>
          <w:sz w:val="20"/>
          <w:szCs w:val="20"/>
        </w:rPr>
      </w:pPr>
      <w:r>
        <w:rPr>
          <w:rFonts w:ascii="Arial" w:eastAsia="Arial" w:hAnsi="Arial" w:cs="Arial"/>
          <w:sz w:val="17"/>
          <w:szCs w:val="17"/>
        </w:rPr>
        <w:t xml:space="preserve">In addition, due to </w:t>
      </w:r>
      <w:r>
        <w:rPr>
          <w:rFonts w:ascii="Arial" w:eastAsia="Arial" w:hAnsi="Arial" w:cs="Arial"/>
          <w:sz w:val="17"/>
          <w:szCs w:val="17"/>
        </w:rPr>
        <w:t>challenging business results for our business in the U.K., we entered into Administration in June 2020 to restructure store lease agreements and reduce operating losses in the Victoria’s Secret U.K. business. In October 2020, we entered into a joint ventur</w:t>
      </w:r>
      <w:r>
        <w:rPr>
          <w:rFonts w:ascii="Arial" w:eastAsia="Arial" w:hAnsi="Arial" w:cs="Arial"/>
          <w:sz w:val="17"/>
          <w:szCs w:val="17"/>
        </w:rPr>
        <w:t>e with Next PLC for the business in the U.K. and Ireland. Under this arrangement, we own 49% of the joint venture, and Next owns 51% and is responsible for operations. We account for our investment in the joint venture under the equity method of accounting</w:t>
      </w:r>
      <w:r>
        <w:rPr>
          <w:rFonts w:ascii="Arial" w:eastAsia="Arial" w:hAnsi="Arial" w:cs="Arial"/>
          <w:sz w:val="17"/>
          <w:szCs w:val="17"/>
        </w:rPr>
        <w:t>.</w:t>
      </w:r>
    </w:p>
    <w:p w14:paraId="3AFF2921" w14:textId="77777777" w:rsidR="00D1587D" w:rsidRDefault="00D1587D">
      <w:pPr>
        <w:spacing w:line="68" w:lineRule="exact"/>
        <w:rPr>
          <w:sz w:val="20"/>
          <w:szCs w:val="20"/>
        </w:rPr>
      </w:pPr>
    </w:p>
    <w:p w14:paraId="69D9B253" w14:textId="77777777" w:rsidR="00D1587D" w:rsidRDefault="00410D07">
      <w:pPr>
        <w:spacing w:line="275" w:lineRule="auto"/>
        <w:ind w:left="300" w:right="379" w:firstLine="360"/>
        <w:rPr>
          <w:sz w:val="20"/>
          <w:szCs w:val="20"/>
        </w:rPr>
      </w:pPr>
      <w:r>
        <w:rPr>
          <w:rFonts w:ascii="Arial" w:eastAsia="Arial" w:hAnsi="Arial" w:cs="Arial"/>
          <w:sz w:val="17"/>
          <w:szCs w:val="17"/>
        </w:rPr>
        <w:t>During 2020, COVID-19 had a profound impact on the retail industry and our business. In response, we placed an emphasis on safety. Accordingly, we adopted a new operating model in our stores focused on providing a safe environment, while also delivering</w:t>
      </w:r>
      <w:r>
        <w:rPr>
          <w:rFonts w:ascii="Arial" w:eastAsia="Arial" w:hAnsi="Arial" w:cs="Arial"/>
          <w:sz w:val="17"/>
          <w:szCs w:val="17"/>
        </w:rPr>
        <w:t xml:space="preserve"> an engaging shopping experience. Additionally, we remain focused on the safe operations of our distribution, fulfillment and call centers while maximizing our direct channel. For further information related to the impact of COVID-19, see “Impacts of COVID</w:t>
      </w:r>
      <w:r>
        <w:rPr>
          <w:rFonts w:ascii="Arial" w:eastAsia="Arial" w:hAnsi="Arial" w:cs="Arial"/>
          <w:sz w:val="17"/>
          <w:szCs w:val="17"/>
        </w:rPr>
        <w:t>-19.”</w:t>
      </w:r>
    </w:p>
    <w:p w14:paraId="5F9B0419" w14:textId="77777777" w:rsidR="00D1587D" w:rsidRDefault="00D1587D">
      <w:pPr>
        <w:spacing w:line="68" w:lineRule="exact"/>
        <w:rPr>
          <w:sz w:val="20"/>
          <w:szCs w:val="20"/>
        </w:rPr>
      </w:pPr>
    </w:p>
    <w:p w14:paraId="58F92D24" w14:textId="77777777" w:rsidR="00D1587D" w:rsidRDefault="00410D07">
      <w:pPr>
        <w:ind w:left="660"/>
        <w:rPr>
          <w:sz w:val="20"/>
          <w:szCs w:val="20"/>
        </w:rPr>
      </w:pPr>
      <w:r>
        <w:rPr>
          <w:rFonts w:ascii="Arial" w:eastAsia="Arial" w:hAnsi="Arial" w:cs="Arial"/>
          <w:sz w:val="17"/>
          <w:szCs w:val="17"/>
        </w:rPr>
        <w:t>Despite operating in the COVID-19 environment, we were able to improve performance, driven primarily by</w:t>
      </w:r>
    </w:p>
    <w:p w14:paraId="6A4593CB" w14:textId="77777777" w:rsidR="00D1587D" w:rsidRDefault="00D1587D">
      <w:pPr>
        <w:spacing w:line="35" w:lineRule="exact"/>
        <w:rPr>
          <w:sz w:val="20"/>
          <w:szCs w:val="20"/>
        </w:rPr>
      </w:pPr>
    </w:p>
    <w:p w14:paraId="0A43CB29" w14:textId="77777777" w:rsidR="00D1587D" w:rsidRDefault="00410D07">
      <w:pPr>
        <w:ind w:left="300"/>
        <w:rPr>
          <w:sz w:val="20"/>
          <w:szCs w:val="20"/>
        </w:rPr>
      </w:pPr>
      <w:r>
        <w:rPr>
          <w:rFonts w:ascii="Arial" w:eastAsia="Arial" w:hAnsi="Arial" w:cs="Arial"/>
          <w:sz w:val="17"/>
          <w:szCs w:val="17"/>
        </w:rPr>
        <w:t>strong growth in our direct channel. Net sales in 2020 declined by 28%, or $2.096 billion, compared to $7.509</w:t>
      </w:r>
    </w:p>
    <w:p w14:paraId="65D59366" w14:textId="77777777" w:rsidR="00D1587D" w:rsidRDefault="00D1587D">
      <w:pPr>
        <w:spacing w:line="21" w:lineRule="exact"/>
        <w:rPr>
          <w:sz w:val="20"/>
          <w:szCs w:val="20"/>
        </w:rPr>
      </w:pPr>
    </w:p>
    <w:p w14:paraId="4D84900A" w14:textId="77777777" w:rsidR="00D1587D" w:rsidRDefault="00410D07">
      <w:pPr>
        <w:ind w:left="300"/>
        <w:rPr>
          <w:sz w:val="20"/>
          <w:szCs w:val="20"/>
        </w:rPr>
      </w:pPr>
      <w:r>
        <w:rPr>
          <w:rFonts w:ascii="Arial" w:eastAsia="Arial" w:hAnsi="Arial" w:cs="Arial"/>
          <w:sz w:val="16"/>
          <w:szCs w:val="16"/>
        </w:rPr>
        <w:t>billion in 2019. Store comparable</w:t>
      </w:r>
      <w:r>
        <w:rPr>
          <w:rFonts w:ascii="Arial" w:eastAsia="Arial" w:hAnsi="Arial" w:cs="Arial"/>
          <w:sz w:val="16"/>
          <w:szCs w:val="16"/>
        </w:rPr>
        <w:t xml:space="preserve"> sales declined 15% and our direct channel grew sales by 31%, each compared to</w:t>
      </w:r>
    </w:p>
    <w:p w14:paraId="71969D41" w14:textId="77777777" w:rsidR="00D1587D" w:rsidRDefault="00D1587D">
      <w:pPr>
        <w:spacing w:line="32" w:lineRule="exact"/>
        <w:rPr>
          <w:sz w:val="20"/>
          <w:szCs w:val="20"/>
        </w:rPr>
      </w:pPr>
    </w:p>
    <w:p w14:paraId="3A1BCDB6" w14:textId="77777777" w:rsidR="00D1587D" w:rsidRDefault="00410D07">
      <w:pPr>
        <w:ind w:left="300"/>
        <w:rPr>
          <w:sz w:val="20"/>
          <w:szCs w:val="20"/>
        </w:rPr>
      </w:pPr>
      <w:r>
        <w:rPr>
          <w:rFonts w:ascii="Arial" w:eastAsia="Arial" w:hAnsi="Arial" w:cs="Arial"/>
          <w:sz w:val="17"/>
          <w:szCs w:val="17"/>
        </w:rPr>
        <w:t>2019. Our North America store sales declined by 45%, or $2.317 billion, compared to 2019. Store sales were</w:t>
      </w:r>
    </w:p>
    <w:p w14:paraId="57AF85C6" w14:textId="77777777" w:rsidR="00D1587D" w:rsidRDefault="00D1587D">
      <w:pPr>
        <w:spacing w:line="21" w:lineRule="exact"/>
        <w:rPr>
          <w:sz w:val="20"/>
          <w:szCs w:val="20"/>
        </w:rPr>
      </w:pPr>
    </w:p>
    <w:p w14:paraId="03ABE1CA" w14:textId="77777777" w:rsidR="00D1587D" w:rsidRDefault="00410D07">
      <w:pPr>
        <w:ind w:left="300"/>
        <w:rPr>
          <w:sz w:val="20"/>
          <w:szCs w:val="20"/>
        </w:rPr>
      </w:pPr>
      <w:r>
        <w:rPr>
          <w:rFonts w:ascii="Arial" w:eastAsia="Arial" w:hAnsi="Arial" w:cs="Arial"/>
          <w:sz w:val="16"/>
          <w:szCs w:val="16"/>
        </w:rPr>
        <w:t xml:space="preserve">negatively impacted by the temporary COVID-19-related closures, the </w:t>
      </w:r>
      <w:r>
        <w:rPr>
          <w:rFonts w:ascii="Arial" w:eastAsia="Arial" w:hAnsi="Arial" w:cs="Arial"/>
          <w:sz w:val="16"/>
          <w:szCs w:val="16"/>
        </w:rPr>
        <w:t>permanent closure of 241 North American</w:t>
      </w:r>
    </w:p>
    <w:p w14:paraId="7401A239" w14:textId="77777777" w:rsidR="00D1587D" w:rsidRDefault="00D1587D">
      <w:pPr>
        <w:spacing w:line="32" w:lineRule="exact"/>
        <w:rPr>
          <w:sz w:val="20"/>
          <w:szCs w:val="20"/>
        </w:rPr>
      </w:pPr>
    </w:p>
    <w:p w14:paraId="7DB96C79" w14:textId="77777777" w:rsidR="00D1587D" w:rsidRDefault="00410D07">
      <w:pPr>
        <w:ind w:left="300"/>
        <w:rPr>
          <w:sz w:val="20"/>
          <w:szCs w:val="20"/>
        </w:rPr>
      </w:pPr>
      <w:r>
        <w:rPr>
          <w:rFonts w:ascii="Arial" w:eastAsia="Arial" w:hAnsi="Arial" w:cs="Arial"/>
          <w:sz w:val="16"/>
          <w:szCs w:val="16"/>
        </w:rPr>
        <w:t>stores, occupancy restrictions and declines in store traffic. Sales in the direct channel were $2.223 billion, up 31%</w:t>
      </w:r>
    </w:p>
    <w:p w14:paraId="4D836341" w14:textId="77777777" w:rsidR="00D1587D" w:rsidRDefault="00D1587D">
      <w:pPr>
        <w:spacing w:line="32" w:lineRule="exact"/>
        <w:rPr>
          <w:sz w:val="20"/>
          <w:szCs w:val="20"/>
        </w:rPr>
      </w:pPr>
    </w:p>
    <w:p w14:paraId="448393D9" w14:textId="77777777" w:rsidR="00D1587D" w:rsidRDefault="00410D07">
      <w:pPr>
        <w:ind w:left="300"/>
        <w:rPr>
          <w:sz w:val="20"/>
          <w:szCs w:val="20"/>
        </w:rPr>
      </w:pPr>
      <w:r>
        <w:rPr>
          <w:rFonts w:ascii="Arial" w:eastAsia="Arial" w:hAnsi="Arial" w:cs="Arial"/>
          <w:sz w:val="16"/>
          <w:szCs w:val="16"/>
        </w:rPr>
        <w:t>compared to 2019 despite a temporary suspension of operations in March 2020. We are unable to pr</w:t>
      </w:r>
      <w:r>
        <w:rPr>
          <w:rFonts w:ascii="Arial" w:eastAsia="Arial" w:hAnsi="Arial" w:cs="Arial"/>
          <w:sz w:val="16"/>
          <w:szCs w:val="16"/>
        </w:rPr>
        <w:t>edict how much</w:t>
      </w:r>
    </w:p>
    <w:p w14:paraId="06CBC081" w14:textId="77777777" w:rsidR="00D1587D" w:rsidRDefault="00D1587D">
      <w:pPr>
        <w:spacing w:line="32" w:lineRule="exact"/>
        <w:rPr>
          <w:sz w:val="20"/>
          <w:szCs w:val="20"/>
        </w:rPr>
      </w:pPr>
    </w:p>
    <w:p w14:paraId="51A4D214" w14:textId="77777777" w:rsidR="00D1587D" w:rsidRDefault="00410D07">
      <w:pPr>
        <w:ind w:left="300"/>
        <w:rPr>
          <w:sz w:val="20"/>
          <w:szCs w:val="20"/>
        </w:rPr>
      </w:pPr>
      <w:r>
        <w:rPr>
          <w:rFonts w:ascii="Arial" w:eastAsia="Arial" w:hAnsi="Arial" w:cs="Arial"/>
          <w:sz w:val="16"/>
          <w:szCs w:val="16"/>
        </w:rPr>
        <w:t>of this increase was a shift due to store closures as opposed to a permanent channel shift to on-line selling, as well as</w:t>
      </w:r>
    </w:p>
    <w:p w14:paraId="3B1C3277" w14:textId="77777777" w:rsidR="00D1587D" w:rsidRDefault="00D1587D">
      <w:pPr>
        <w:spacing w:line="32" w:lineRule="exact"/>
        <w:rPr>
          <w:sz w:val="20"/>
          <w:szCs w:val="20"/>
        </w:rPr>
      </w:pPr>
    </w:p>
    <w:p w14:paraId="43C8D9F8" w14:textId="77777777" w:rsidR="00D1587D" w:rsidRDefault="00410D07">
      <w:pPr>
        <w:ind w:left="300"/>
        <w:rPr>
          <w:sz w:val="20"/>
          <w:szCs w:val="20"/>
        </w:rPr>
      </w:pPr>
      <w:r>
        <w:rPr>
          <w:rFonts w:ascii="Arial" w:eastAsia="Arial" w:hAnsi="Arial" w:cs="Arial"/>
          <w:sz w:val="17"/>
          <w:szCs w:val="17"/>
        </w:rPr>
        <w:t>how the consumer will engage with our channels in the future and whether the growth in the direct channel will</w:t>
      </w:r>
    </w:p>
    <w:p w14:paraId="0B5ED7AA" w14:textId="77777777" w:rsidR="00D1587D" w:rsidRDefault="00D1587D">
      <w:pPr>
        <w:spacing w:line="21" w:lineRule="exact"/>
        <w:rPr>
          <w:sz w:val="20"/>
          <w:szCs w:val="20"/>
        </w:rPr>
      </w:pPr>
    </w:p>
    <w:p w14:paraId="50843CB2" w14:textId="77777777" w:rsidR="00D1587D" w:rsidRDefault="00410D07">
      <w:pPr>
        <w:ind w:left="300"/>
        <w:rPr>
          <w:sz w:val="20"/>
          <w:szCs w:val="20"/>
        </w:rPr>
      </w:pPr>
      <w:r>
        <w:rPr>
          <w:rFonts w:ascii="Arial" w:eastAsia="Arial" w:hAnsi="Arial" w:cs="Arial"/>
          <w:sz w:val="16"/>
          <w:szCs w:val="16"/>
        </w:rPr>
        <w:t>continue after the COVID-19 pandemic subsides. International revenue declined by 44%, or $309 million, compared</w:t>
      </w:r>
    </w:p>
    <w:p w14:paraId="7C194B62" w14:textId="77777777" w:rsidR="00D1587D" w:rsidRDefault="00D1587D">
      <w:pPr>
        <w:spacing w:line="32" w:lineRule="exact"/>
        <w:rPr>
          <w:sz w:val="20"/>
          <w:szCs w:val="20"/>
        </w:rPr>
      </w:pPr>
    </w:p>
    <w:p w14:paraId="716DDCD2" w14:textId="77777777" w:rsidR="00D1587D" w:rsidRDefault="00410D07">
      <w:pPr>
        <w:ind w:left="300"/>
        <w:rPr>
          <w:sz w:val="20"/>
          <w:szCs w:val="20"/>
        </w:rPr>
      </w:pPr>
      <w:r>
        <w:rPr>
          <w:rFonts w:ascii="Arial" w:eastAsia="Arial" w:hAnsi="Arial" w:cs="Arial"/>
          <w:sz w:val="16"/>
          <w:szCs w:val="16"/>
        </w:rPr>
        <w:t>to 2019, driven by pandemic related store closures and the exclusion of U.K. retail sales due to the establishment of</w:t>
      </w:r>
    </w:p>
    <w:p w14:paraId="1EBD45A0" w14:textId="77777777" w:rsidR="00D1587D" w:rsidRDefault="00D1587D">
      <w:pPr>
        <w:spacing w:line="32" w:lineRule="exact"/>
        <w:rPr>
          <w:sz w:val="20"/>
          <w:szCs w:val="20"/>
        </w:rPr>
      </w:pPr>
    </w:p>
    <w:p w14:paraId="5E24BCCD" w14:textId="77777777" w:rsidR="00D1587D" w:rsidRDefault="00410D07">
      <w:pPr>
        <w:ind w:left="300"/>
        <w:rPr>
          <w:sz w:val="20"/>
          <w:szCs w:val="20"/>
        </w:rPr>
      </w:pPr>
      <w:r>
        <w:rPr>
          <w:rFonts w:ascii="Arial" w:eastAsia="Arial" w:hAnsi="Arial" w:cs="Arial"/>
          <w:sz w:val="16"/>
          <w:szCs w:val="16"/>
        </w:rPr>
        <w:t>the joint venture with N</w:t>
      </w:r>
      <w:r>
        <w:rPr>
          <w:rFonts w:ascii="Arial" w:eastAsia="Arial" w:hAnsi="Arial" w:cs="Arial"/>
          <w:sz w:val="16"/>
          <w:szCs w:val="16"/>
        </w:rPr>
        <w:t>ext. Our operating loss in 2020, which includes allocated corporate expenses for purposes of</w:t>
      </w:r>
    </w:p>
    <w:p w14:paraId="426BEEB9" w14:textId="77777777" w:rsidR="00D1587D" w:rsidRDefault="00D1587D">
      <w:pPr>
        <w:spacing w:line="32" w:lineRule="exact"/>
        <w:rPr>
          <w:sz w:val="20"/>
          <w:szCs w:val="20"/>
        </w:rPr>
      </w:pPr>
    </w:p>
    <w:p w14:paraId="41B1F86A" w14:textId="77777777" w:rsidR="00D1587D" w:rsidRDefault="00410D07">
      <w:pPr>
        <w:ind w:left="300"/>
        <w:rPr>
          <w:sz w:val="20"/>
          <w:szCs w:val="20"/>
        </w:rPr>
      </w:pPr>
      <w:r>
        <w:rPr>
          <w:rFonts w:ascii="Arial" w:eastAsia="Arial" w:hAnsi="Arial" w:cs="Arial"/>
          <w:sz w:val="17"/>
          <w:szCs w:val="17"/>
        </w:rPr>
        <w:t>the “carve-out” financial statements of $77 million in 2020, decreased by $791 million to an operating loss of</w:t>
      </w:r>
    </w:p>
    <w:p w14:paraId="6393BFBD" w14:textId="77777777" w:rsidR="00D1587D" w:rsidRDefault="00D1587D">
      <w:pPr>
        <w:spacing w:line="21" w:lineRule="exact"/>
        <w:rPr>
          <w:sz w:val="20"/>
          <w:szCs w:val="20"/>
        </w:rPr>
      </w:pPr>
    </w:p>
    <w:p w14:paraId="362FAF92" w14:textId="77777777" w:rsidR="00D1587D" w:rsidRDefault="00410D07">
      <w:pPr>
        <w:ind w:left="300"/>
        <w:rPr>
          <w:sz w:val="20"/>
          <w:szCs w:val="20"/>
        </w:rPr>
      </w:pPr>
      <w:r>
        <w:rPr>
          <w:rFonts w:ascii="Arial" w:eastAsia="Arial" w:hAnsi="Arial" w:cs="Arial"/>
          <w:sz w:val="17"/>
          <w:szCs w:val="17"/>
        </w:rPr>
        <w:t>$101 million in 2020, primarily driven by the bene</w:t>
      </w:r>
      <w:r>
        <w:rPr>
          <w:rFonts w:ascii="Arial" w:eastAsia="Arial" w:hAnsi="Arial" w:cs="Arial"/>
          <w:sz w:val="17"/>
          <w:szCs w:val="17"/>
        </w:rPr>
        <w:t>fits of our profit improvement plan and by goodwill impairment</w:t>
      </w:r>
    </w:p>
    <w:p w14:paraId="5E6F3BD2" w14:textId="77777777" w:rsidR="00D1587D" w:rsidRDefault="00D1587D">
      <w:pPr>
        <w:spacing w:line="21" w:lineRule="exact"/>
        <w:rPr>
          <w:sz w:val="20"/>
          <w:szCs w:val="20"/>
        </w:rPr>
      </w:pPr>
    </w:p>
    <w:p w14:paraId="6C56C193" w14:textId="77777777" w:rsidR="00D1587D" w:rsidRDefault="00410D07">
      <w:pPr>
        <w:ind w:left="300"/>
        <w:rPr>
          <w:sz w:val="20"/>
          <w:szCs w:val="20"/>
        </w:rPr>
      </w:pPr>
      <w:r>
        <w:rPr>
          <w:rFonts w:ascii="Arial" w:eastAsia="Arial" w:hAnsi="Arial" w:cs="Arial"/>
          <w:sz w:val="16"/>
          <w:szCs w:val="16"/>
        </w:rPr>
        <w:t>charges of $720 million recorded in 2019, partially offset by the impact of store closures as a result of the pandemic</w:t>
      </w:r>
    </w:p>
    <w:p w14:paraId="574D1FE2" w14:textId="77777777" w:rsidR="00D1587D" w:rsidRDefault="00D1587D">
      <w:pPr>
        <w:spacing w:line="32" w:lineRule="exact"/>
        <w:rPr>
          <w:sz w:val="20"/>
          <w:szCs w:val="20"/>
        </w:rPr>
      </w:pPr>
    </w:p>
    <w:p w14:paraId="44CD0821" w14:textId="77777777" w:rsidR="00D1587D" w:rsidRDefault="00410D07">
      <w:pPr>
        <w:ind w:left="300"/>
        <w:rPr>
          <w:sz w:val="20"/>
          <w:szCs w:val="20"/>
        </w:rPr>
      </w:pPr>
      <w:r>
        <w:rPr>
          <w:rFonts w:ascii="Arial" w:eastAsia="Arial" w:hAnsi="Arial" w:cs="Arial"/>
          <w:sz w:val="17"/>
          <w:szCs w:val="17"/>
        </w:rPr>
        <w:t>in the first half of the year. For additional information related to our</w:t>
      </w:r>
      <w:r>
        <w:rPr>
          <w:rFonts w:ascii="Arial" w:eastAsia="Arial" w:hAnsi="Arial" w:cs="Arial"/>
          <w:sz w:val="17"/>
          <w:szCs w:val="17"/>
        </w:rPr>
        <w:t xml:space="preserve"> 2020 financial performance, see “Results of</w:t>
      </w:r>
    </w:p>
    <w:p w14:paraId="08BDAA77" w14:textId="77777777" w:rsidR="00D1587D" w:rsidRDefault="00D1587D">
      <w:pPr>
        <w:spacing w:line="21" w:lineRule="exact"/>
        <w:rPr>
          <w:sz w:val="20"/>
          <w:szCs w:val="20"/>
        </w:rPr>
      </w:pPr>
    </w:p>
    <w:p w14:paraId="6F414DDA" w14:textId="77777777" w:rsidR="00D1587D" w:rsidRDefault="00410D07">
      <w:pPr>
        <w:ind w:left="300"/>
        <w:rPr>
          <w:sz w:val="20"/>
          <w:szCs w:val="20"/>
        </w:rPr>
      </w:pPr>
      <w:r>
        <w:rPr>
          <w:rFonts w:ascii="Arial" w:eastAsia="Arial" w:hAnsi="Arial" w:cs="Arial"/>
          <w:sz w:val="18"/>
          <w:szCs w:val="18"/>
        </w:rPr>
        <w:t>Operations – 2020 Compared to 2019.”</w:t>
      </w:r>
    </w:p>
    <w:p w14:paraId="37548DFF" w14:textId="77777777" w:rsidR="00D1587D" w:rsidRDefault="00D1587D">
      <w:pPr>
        <w:spacing w:line="103" w:lineRule="exact"/>
        <w:rPr>
          <w:sz w:val="20"/>
          <w:szCs w:val="20"/>
        </w:rPr>
      </w:pPr>
    </w:p>
    <w:p w14:paraId="41D83565" w14:textId="77777777" w:rsidR="00D1587D" w:rsidRDefault="00410D07">
      <w:pPr>
        <w:ind w:left="660"/>
        <w:rPr>
          <w:sz w:val="20"/>
          <w:szCs w:val="20"/>
        </w:rPr>
      </w:pPr>
      <w:r>
        <w:rPr>
          <w:rFonts w:ascii="Arial" w:eastAsia="Arial" w:hAnsi="Arial" w:cs="Arial"/>
          <w:sz w:val="17"/>
          <w:szCs w:val="17"/>
        </w:rPr>
        <w:t>During the first quarter of 2021, net sales increased 74%, or $660 million, to $1.554 billion compared to</w:t>
      </w:r>
    </w:p>
    <w:p w14:paraId="1E8541A7" w14:textId="77777777" w:rsidR="00D1587D" w:rsidRDefault="00D1587D">
      <w:pPr>
        <w:spacing w:line="35" w:lineRule="exact"/>
        <w:rPr>
          <w:sz w:val="20"/>
          <w:szCs w:val="20"/>
        </w:rPr>
      </w:pPr>
    </w:p>
    <w:p w14:paraId="793474F6" w14:textId="77777777" w:rsidR="00D1587D" w:rsidRDefault="00410D07">
      <w:pPr>
        <w:ind w:left="300"/>
        <w:rPr>
          <w:sz w:val="20"/>
          <w:szCs w:val="20"/>
        </w:rPr>
      </w:pPr>
      <w:r>
        <w:rPr>
          <w:rFonts w:ascii="Arial" w:eastAsia="Arial" w:hAnsi="Arial" w:cs="Arial"/>
          <w:sz w:val="17"/>
          <w:szCs w:val="17"/>
        </w:rPr>
        <w:t>$894 million in the first quarter of 2020. Our direct channel gre</w:t>
      </w:r>
      <w:r>
        <w:rPr>
          <w:rFonts w:ascii="Arial" w:eastAsia="Arial" w:hAnsi="Arial" w:cs="Arial"/>
          <w:sz w:val="17"/>
          <w:szCs w:val="17"/>
        </w:rPr>
        <w:t>w sales by 69%, or $213 million, to $521 million</w:t>
      </w:r>
    </w:p>
    <w:p w14:paraId="6C7804A4" w14:textId="77777777" w:rsidR="00D1587D" w:rsidRDefault="00D1587D">
      <w:pPr>
        <w:spacing w:line="21" w:lineRule="exact"/>
        <w:rPr>
          <w:sz w:val="20"/>
          <w:szCs w:val="20"/>
        </w:rPr>
      </w:pPr>
    </w:p>
    <w:p w14:paraId="5356EA68" w14:textId="77777777" w:rsidR="00D1587D" w:rsidRDefault="00410D07">
      <w:pPr>
        <w:ind w:left="300"/>
        <w:rPr>
          <w:sz w:val="20"/>
          <w:szCs w:val="20"/>
        </w:rPr>
      </w:pPr>
      <w:r>
        <w:rPr>
          <w:rFonts w:ascii="Arial" w:eastAsia="Arial" w:hAnsi="Arial" w:cs="Arial"/>
          <w:sz w:val="17"/>
          <w:szCs w:val="17"/>
        </w:rPr>
        <w:t>compared to $308 million in the first quarter of 2020. The increase in direct channel sales was due to improved</w:t>
      </w:r>
    </w:p>
    <w:p w14:paraId="486B8819" w14:textId="77777777" w:rsidR="00D1587D" w:rsidRDefault="00D1587D">
      <w:pPr>
        <w:spacing w:line="21" w:lineRule="exact"/>
        <w:rPr>
          <w:sz w:val="20"/>
          <w:szCs w:val="20"/>
        </w:rPr>
      </w:pPr>
    </w:p>
    <w:p w14:paraId="60510BA2" w14:textId="77777777" w:rsidR="00D1587D" w:rsidRDefault="00410D07">
      <w:pPr>
        <w:ind w:left="300"/>
        <w:rPr>
          <w:sz w:val="20"/>
          <w:szCs w:val="20"/>
        </w:rPr>
      </w:pPr>
      <w:r>
        <w:rPr>
          <w:rFonts w:ascii="Arial" w:eastAsia="Arial" w:hAnsi="Arial" w:cs="Arial"/>
          <w:sz w:val="18"/>
          <w:szCs w:val="18"/>
        </w:rPr>
        <w:t>customer response to our merchandise assortment as well as the temporary suspension of operat</w:t>
      </w:r>
      <w:r>
        <w:rPr>
          <w:rFonts w:ascii="Arial" w:eastAsia="Arial" w:hAnsi="Arial" w:cs="Arial"/>
          <w:sz w:val="18"/>
          <w:szCs w:val="18"/>
        </w:rPr>
        <w:t>ions for</w:t>
      </w:r>
    </w:p>
    <w:p w14:paraId="20383CEA" w14:textId="77777777" w:rsidR="00D1587D" w:rsidRDefault="00D1587D">
      <w:pPr>
        <w:spacing w:line="9" w:lineRule="exact"/>
        <w:rPr>
          <w:sz w:val="20"/>
          <w:szCs w:val="20"/>
        </w:rPr>
      </w:pPr>
    </w:p>
    <w:p w14:paraId="2885A88A" w14:textId="77777777" w:rsidR="00D1587D" w:rsidRDefault="00410D07">
      <w:pPr>
        <w:ind w:left="300"/>
        <w:rPr>
          <w:sz w:val="20"/>
          <w:szCs w:val="20"/>
        </w:rPr>
      </w:pPr>
      <w:r>
        <w:rPr>
          <w:rFonts w:ascii="Arial" w:eastAsia="Arial" w:hAnsi="Arial" w:cs="Arial"/>
          <w:sz w:val="17"/>
          <w:szCs w:val="17"/>
        </w:rPr>
        <w:t>approximately one week in March 2020. Our North American store sales increased 82%, or $419 million, to</w:t>
      </w:r>
    </w:p>
    <w:p w14:paraId="2A9F6D35" w14:textId="77777777" w:rsidR="00D1587D" w:rsidRDefault="00D1587D">
      <w:pPr>
        <w:spacing w:line="21" w:lineRule="exact"/>
        <w:rPr>
          <w:sz w:val="20"/>
          <w:szCs w:val="20"/>
        </w:rPr>
      </w:pPr>
    </w:p>
    <w:p w14:paraId="412D5123" w14:textId="77777777" w:rsidR="00D1587D" w:rsidRDefault="00410D07">
      <w:pPr>
        <w:ind w:left="300"/>
        <w:rPr>
          <w:sz w:val="20"/>
          <w:szCs w:val="20"/>
        </w:rPr>
      </w:pPr>
      <w:r>
        <w:rPr>
          <w:rFonts w:ascii="Arial" w:eastAsia="Arial" w:hAnsi="Arial" w:cs="Arial"/>
          <w:sz w:val="16"/>
          <w:szCs w:val="16"/>
        </w:rPr>
        <w:t>$933 million compared to $514 million in the first quarter of 2020. The increase in store sales was primarily due to</w:t>
      </w:r>
    </w:p>
    <w:p w14:paraId="028E7F1D" w14:textId="77777777" w:rsidR="00D1587D" w:rsidRDefault="00D1587D">
      <w:pPr>
        <w:spacing w:line="32" w:lineRule="exact"/>
        <w:rPr>
          <w:sz w:val="20"/>
          <w:szCs w:val="20"/>
        </w:rPr>
      </w:pPr>
    </w:p>
    <w:p w14:paraId="2FAF3562" w14:textId="77777777" w:rsidR="00D1587D" w:rsidRDefault="00410D07">
      <w:pPr>
        <w:ind w:left="300"/>
        <w:rPr>
          <w:sz w:val="20"/>
          <w:szCs w:val="20"/>
        </w:rPr>
      </w:pPr>
      <w:r>
        <w:rPr>
          <w:rFonts w:ascii="Arial" w:eastAsia="Arial" w:hAnsi="Arial" w:cs="Arial"/>
          <w:sz w:val="17"/>
          <w:szCs w:val="17"/>
        </w:rPr>
        <w:t xml:space="preserve">comparisons to the </w:t>
      </w:r>
      <w:r>
        <w:rPr>
          <w:rFonts w:ascii="Arial" w:eastAsia="Arial" w:hAnsi="Arial" w:cs="Arial"/>
          <w:sz w:val="17"/>
          <w:szCs w:val="17"/>
        </w:rPr>
        <w:t>COVID-19-related store closures in the first quarter of 2020. Additionally, we believe our</w:t>
      </w:r>
    </w:p>
    <w:p w14:paraId="6F9FACC5" w14:textId="77777777" w:rsidR="00D1587D" w:rsidRDefault="00D1587D">
      <w:pPr>
        <w:spacing w:line="21" w:lineRule="exact"/>
        <w:rPr>
          <w:sz w:val="20"/>
          <w:szCs w:val="20"/>
        </w:rPr>
      </w:pPr>
    </w:p>
    <w:p w14:paraId="5BB3ECF0" w14:textId="77777777" w:rsidR="00D1587D" w:rsidRDefault="00410D07">
      <w:pPr>
        <w:ind w:left="300"/>
        <w:rPr>
          <w:sz w:val="20"/>
          <w:szCs w:val="20"/>
        </w:rPr>
      </w:pPr>
      <w:r>
        <w:rPr>
          <w:rFonts w:ascii="Arial" w:eastAsia="Arial" w:hAnsi="Arial" w:cs="Arial"/>
          <w:sz w:val="16"/>
          <w:szCs w:val="16"/>
        </w:rPr>
        <w:t>performance benefitted from improved assortments and selling execution. Our operating income in the first quarter</w:t>
      </w:r>
    </w:p>
    <w:p w14:paraId="20959845" w14:textId="77777777" w:rsidR="00D1587D" w:rsidRDefault="00D1587D">
      <w:pPr>
        <w:spacing w:line="32" w:lineRule="exact"/>
        <w:rPr>
          <w:sz w:val="20"/>
          <w:szCs w:val="20"/>
        </w:rPr>
      </w:pPr>
    </w:p>
    <w:p w14:paraId="25FF43D1" w14:textId="77777777" w:rsidR="00D1587D" w:rsidRDefault="00410D07">
      <w:pPr>
        <w:spacing w:line="253" w:lineRule="auto"/>
        <w:ind w:left="300" w:right="439"/>
        <w:rPr>
          <w:sz w:val="20"/>
          <w:szCs w:val="20"/>
        </w:rPr>
      </w:pPr>
      <w:r>
        <w:rPr>
          <w:rFonts w:ascii="Arial" w:eastAsia="Arial" w:hAnsi="Arial" w:cs="Arial"/>
          <w:sz w:val="18"/>
          <w:szCs w:val="18"/>
        </w:rPr>
        <w:t>of 2021, which includes allocated corporate expen</w:t>
      </w:r>
      <w:r>
        <w:rPr>
          <w:rFonts w:ascii="Arial" w:eastAsia="Arial" w:hAnsi="Arial" w:cs="Arial"/>
          <w:sz w:val="18"/>
          <w:szCs w:val="18"/>
        </w:rPr>
        <w:t>ses for purposes of the “carve-out” financial statements of $19 million, increased to $226 million compared to a loss of $373 million in the first quarter of 2020, due to improved sales and margin rates, as well as $97 million of store asset impairments re</w:t>
      </w:r>
      <w:r>
        <w:rPr>
          <w:rFonts w:ascii="Arial" w:eastAsia="Arial" w:hAnsi="Arial" w:cs="Arial"/>
          <w:sz w:val="18"/>
          <w:szCs w:val="18"/>
        </w:rPr>
        <w:t>cognized in the first quarter of 2020.</w:t>
      </w:r>
    </w:p>
    <w:p w14:paraId="4CD97DF8" w14:textId="77777777" w:rsidR="00D1587D" w:rsidRDefault="00D1587D">
      <w:pPr>
        <w:spacing w:line="85" w:lineRule="exact"/>
        <w:rPr>
          <w:sz w:val="20"/>
          <w:szCs w:val="20"/>
        </w:rPr>
      </w:pPr>
    </w:p>
    <w:p w14:paraId="4EC27327" w14:textId="77777777" w:rsidR="00D1587D" w:rsidRDefault="00410D07">
      <w:pPr>
        <w:spacing w:line="277" w:lineRule="auto"/>
        <w:ind w:left="300" w:right="739" w:firstLine="360"/>
        <w:rPr>
          <w:sz w:val="20"/>
          <w:szCs w:val="20"/>
        </w:rPr>
      </w:pPr>
      <w:r>
        <w:rPr>
          <w:rFonts w:ascii="Arial" w:eastAsia="Arial" w:hAnsi="Arial" w:cs="Arial"/>
          <w:sz w:val="18"/>
          <w:szCs w:val="18"/>
        </w:rPr>
        <w:t>We continue to focus on opportunities for improved performance, driven by the brand repositioning work, improved assortments and more disciplined inventory management.</w:t>
      </w:r>
    </w:p>
    <w:p w14:paraId="14C873C4" w14:textId="77777777" w:rsidR="00D1587D" w:rsidRDefault="00D1587D">
      <w:pPr>
        <w:spacing w:line="288" w:lineRule="exact"/>
        <w:rPr>
          <w:sz w:val="20"/>
          <w:szCs w:val="20"/>
        </w:rPr>
      </w:pPr>
    </w:p>
    <w:p w14:paraId="690DDC73" w14:textId="77777777" w:rsidR="00D1587D" w:rsidRDefault="00410D07">
      <w:pPr>
        <w:ind w:left="300"/>
        <w:rPr>
          <w:sz w:val="20"/>
          <w:szCs w:val="20"/>
        </w:rPr>
      </w:pPr>
      <w:r>
        <w:rPr>
          <w:rFonts w:ascii="Arial" w:eastAsia="Arial" w:hAnsi="Arial" w:cs="Arial"/>
          <w:b/>
          <w:bCs/>
          <w:sz w:val="18"/>
          <w:szCs w:val="18"/>
        </w:rPr>
        <w:t>Impacts of COVID-19</w:t>
      </w:r>
    </w:p>
    <w:p w14:paraId="53CF1519" w14:textId="77777777" w:rsidR="00D1587D" w:rsidRDefault="00D1587D">
      <w:pPr>
        <w:spacing w:line="121" w:lineRule="exact"/>
        <w:rPr>
          <w:sz w:val="20"/>
          <w:szCs w:val="20"/>
        </w:rPr>
      </w:pPr>
    </w:p>
    <w:p w14:paraId="4A693A72" w14:textId="77777777" w:rsidR="00D1587D" w:rsidRDefault="00410D07">
      <w:pPr>
        <w:spacing w:line="296" w:lineRule="auto"/>
        <w:ind w:left="300" w:right="459" w:firstLine="360"/>
        <w:rPr>
          <w:sz w:val="20"/>
          <w:szCs w:val="20"/>
        </w:rPr>
      </w:pPr>
      <w:r>
        <w:rPr>
          <w:rFonts w:ascii="Arial" w:eastAsia="Arial" w:hAnsi="Arial" w:cs="Arial"/>
          <w:sz w:val="16"/>
          <w:szCs w:val="16"/>
        </w:rPr>
        <w:t xml:space="preserve">In March 2020, the spread </w:t>
      </w:r>
      <w:r>
        <w:rPr>
          <w:rFonts w:ascii="Arial" w:eastAsia="Arial" w:hAnsi="Arial" w:cs="Arial"/>
          <w:sz w:val="16"/>
          <w:szCs w:val="16"/>
        </w:rPr>
        <w:t>of COVID-19 was declared a global pandemic by the World Health Organization. This pandemic has negatively affected the U.S. and global economies, disrupted global supply chains and financial markets, and led to significant travel and transportation restric</w:t>
      </w:r>
      <w:r>
        <w:rPr>
          <w:rFonts w:ascii="Arial" w:eastAsia="Arial" w:hAnsi="Arial" w:cs="Arial"/>
          <w:sz w:val="16"/>
          <w:szCs w:val="16"/>
        </w:rPr>
        <w:t>tions, including mandatory closures and orders to “shelter-in-place.” The actions that governments around the world have taken to contain the spread of COVID-19 have resulted in a period of disruption, including closure of our stores, limited store operati</w:t>
      </w:r>
      <w:r>
        <w:rPr>
          <w:rFonts w:ascii="Arial" w:eastAsia="Arial" w:hAnsi="Arial" w:cs="Arial"/>
          <w:sz w:val="16"/>
          <w:szCs w:val="16"/>
        </w:rPr>
        <w:t>ng hours,</w:t>
      </w:r>
    </w:p>
    <w:p w14:paraId="41F40380" w14:textId="77777777" w:rsidR="00D1587D" w:rsidRDefault="00D1587D">
      <w:pPr>
        <w:spacing w:line="161" w:lineRule="exact"/>
        <w:rPr>
          <w:sz w:val="20"/>
          <w:szCs w:val="20"/>
        </w:rPr>
      </w:pPr>
    </w:p>
    <w:p w14:paraId="49372868" w14:textId="77777777" w:rsidR="00D1587D" w:rsidRDefault="00410D07">
      <w:pPr>
        <w:jc w:val="center"/>
        <w:rPr>
          <w:sz w:val="20"/>
          <w:szCs w:val="20"/>
        </w:rPr>
      </w:pPr>
      <w:r>
        <w:rPr>
          <w:rFonts w:ascii="Arial" w:eastAsia="Arial" w:hAnsi="Arial" w:cs="Arial"/>
          <w:sz w:val="18"/>
          <w:szCs w:val="18"/>
        </w:rPr>
        <w:t>67</w:t>
      </w:r>
    </w:p>
    <w:p w14:paraId="6415EEA1" w14:textId="77777777" w:rsidR="00D1587D" w:rsidRDefault="00410D07">
      <w:pPr>
        <w:spacing w:line="20" w:lineRule="exact"/>
        <w:rPr>
          <w:sz w:val="20"/>
          <w:szCs w:val="20"/>
        </w:rPr>
      </w:pPr>
      <w:r>
        <w:rPr>
          <w:noProof/>
          <w:sz w:val="20"/>
          <w:szCs w:val="20"/>
        </w:rPr>
        <w:drawing>
          <wp:anchor distT="0" distB="0" distL="114300" distR="114300" simplePos="0" relativeHeight="251610112" behindDoc="1" locked="0" layoutInCell="0" allowOverlap="1" wp14:anchorId="321FB59C" wp14:editId="0586FE5D">
            <wp:simplePos x="0" y="0"/>
            <wp:positionH relativeFrom="column">
              <wp:posOffset>-636905</wp:posOffset>
            </wp:positionH>
            <wp:positionV relativeFrom="paragraph">
              <wp:posOffset>126365</wp:posOffset>
            </wp:positionV>
            <wp:extent cx="6995160" cy="17145"/>
            <wp:effectExtent l="0" t="0" r="0" b="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8706FF4" w14:textId="77777777" w:rsidR="00D1587D" w:rsidRDefault="00D1587D">
      <w:pPr>
        <w:sectPr w:rsidR="00D1587D">
          <w:pgSz w:w="11900" w:h="16838"/>
          <w:pgMar w:top="265" w:right="1440" w:bottom="1440" w:left="1440" w:header="0" w:footer="0" w:gutter="0"/>
          <w:cols w:space="720" w:equalWidth="0">
            <w:col w:w="9019"/>
          </w:cols>
        </w:sectPr>
      </w:pPr>
    </w:p>
    <w:bookmarkStart w:id="325" w:name="page326"/>
    <w:bookmarkEnd w:id="325"/>
    <w:p w14:paraId="4C83B8D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456B15F" w14:textId="77777777" w:rsidR="00D1587D" w:rsidRDefault="00D1587D">
      <w:pPr>
        <w:spacing w:line="131" w:lineRule="exact"/>
        <w:rPr>
          <w:sz w:val="20"/>
          <w:szCs w:val="20"/>
        </w:rPr>
      </w:pPr>
    </w:p>
    <w:p w14:paraId="3CDF7C3A" w14:textId="77777777" w:rsidR="00D1587D" w:rsidRDefault="00410D07">
      <w:pPr>
        <w:spacing w:line="296" w:lineRule="auto"/>
        <w:ind w:left="300" w:right="699"/>
        <w:rPr>
          <w:sz w:val="20"/>
          <w:szCs w:val="20"/>
        </w:rPr>
      </w:pPr>
      <w:r>
        <w:rPr>
          <w:rFonts w:ascii="Arial" w:eastAsia="Arial" w:hAnsi="Arial" w:cs="Arial"/>
          <w:sz w:val="16"/>
          <w:szCs w:val="16"/>
        </w:rPr>
        <w:t xml:space="preserve">reduced customer traffic and consumer spending and delays in manufacturing and shipping of products and raw materials. During this period, we are focused on </w:t>
      </w:r>
      <w:r>
        <w:rPr>
          <w:rFonts w:ascii="Arial" w:eastAsia="Arial" w:hAnsi="Arial" w:cs="Arial"/>
          <w:sz w:val="16"/>
          <w:szCs w:val="16"/>
        </w:rPr>
        <w:t>protecting the health and safety of our customers, employees, contractors, suppliers and other business partners. We are also working with our suppliers to minimize potential disruptions, while managing our business in response to a changing dynamic. There</w:t>
      </w:r>
      <w:r>
        <w:rPr>
          <w:rFonts w:ascii="Arial" w:eastAsia="Arial" w:hAnsi="Arial" w:cs="Arial"/>
          <w:sz w:val="16"/>
          <w:szCs w:val="16"/>
        </w:rPr>
        <w:t xml:space="preserve"> remains a high level of uncertainty around the pandemic and the potential for further restrictions.</w:t>
      </w:r>
    </w:p>
    <w:p w14:paraId="64AD9A81" w14:textId="77777777" w:rsidR="00D1587D" w:rsidRDefault="00D1587D">
      <w:pPr>
        <w:spacing w:line="53" w:lineRule="exact"/>
        <w:rPr>
          <w:sz w:val="20"/>
          <w:szCs w:val="20"/>
        </w:rPr>
      </w:pPr>
    </w:p>
    <w:p w14:paraId="730D341B" w14:textId="77777777" w:rsidR="00D1587D" w:rsidRDefault="00410D07">
      <w:pPr>
        <w:spacing w:line="253" w:lineRule="auto"/>
        <w:ind w:left="300" w:right="379" w:firstLine="360"/>
        <w:rPr>
          <w:sz w:val="20"/>
          <w:szCs w:val="20"/>
        </w:rPr>
      </w:pPr>
      <w:r>
        <w:rPr>
          <w:rFonts w:ascii="Arial" w:eastAsia="Arial" w:hAnsi="Arial" w:cs="Arial"/>
          <w:sz w:val="18"/>
          <w:szCs w:val="18"/>
        </w:rPr>
        <w:t>Our business operations and financial performance for 2020 were materially impacted by the COVID-19 pandemic as net sales declined by 28% compared to 2019</w:t>
      </w:r>
      <w:r>
        <w:rPr>
          <w:rFonts w:ascii="Arial" w:eastAsia="Arial" w:hAnsi="Arial" w:cs="Arial"/>
          <w:sz w:val="18"/>
          <w:szCs w:val="18"/>
        </w:rPr>
        <w:t>. During the COVID-19 pandemic, our first priority was and continues to be the safety of our associates and customers. All of our stores in North America were closed on March 17, 2020, but we were able to re-open the majority of our stores as of the beginn</w:t>
      </w:r>
      <w:r>
        <w:rPr>
          <w:rFonts w:ascii="Arial" w:eastAsia="Arial" w:hAnsi="Arial" w:cs="Arial"/>
          <w:sz w:val="18"/>
          <w:szCs w:val="18"/>
        </w:rPr>
        <w:t>ing of the third quarter of 2020. Store comparable sales in 2020 declined 15% compared to 2019 and our North America store sales in 2020 declined by 45% compared to 2019. Store sales were negatively impacted by the temporary COVID-19-related closures, occu</w:t>
      </w:r>
      <w:r>
        <w:rPr>
          <w:rFonts w:ascii="Arial" w:eastAsia="Arial" w:hAnsi="Arial" w:cs="Arial"/>
          <w:sz w:val="18"/>
          <w:szCs w:val="18"/>
        </w:rPr>
        <w:t>pancy restrictions and declines in store traffic, as well as the permanent closure of 241 North American stores. International revenue also declined by 44% in 2020 compared to 2019, driven in part by pandemic related store closures.</w:t>
      </w:r>
    </w:p>
    <w:p w14:paraId="5C94E991" w14:textId="77777777" w:rsidR="00D1587D" w:rsidRDefault="00D1587D">
      <w:pPr>
        <w:spacing w:line="88" w:lineRule="exact"/>
        <w:rPr>
          <w:sz w:val="20"/>
          <w:szCs w:val="20"/>
        </w:rPr>
      </w:pPr>
    </w:p>
    <w:p w14:paraId="57D13FF5" w14:textId="77777777" w:rsidR="00D1587D" w:rsidRDefault="00410D07">
      <w:pPr>
        <w:spacing w:line="255" w:lineRule="auto"/>
        <w:ind w:left="300" w:right="359" w:firstLine="360"/>
        <w:rPr>
          <w:sz w:val="20"/>
          <w:szCs w:val="20"/>
        </w:rPr>
      </w:pPr>
      <w:r>
        <w:rPr>
          <w:rFonts w:ascii="Arial" w:eastAsia="Arial" w:hAnsi="Arial" w:cs="Arial"/>
          <w:sz w:val="18"/>
          <w:szCs w:val="18"/>
        </w:rPr>
        <w:t>Upon reopening, we ado</w:t>
      </w:r>
      <w:r>
        <w:rPr>
          <w:rFonts w:ascii="Arial" w:eastAsia="Arial" w:hAnsi="Arial" w:cs="Arial"/>
          <w:sz w:val="18"/>
          <w:szCs w:val="18"/>
        </w:rPr>
        <w:t>pted new operating models in our stores that focused on providing a safe environment for our customers and associates, while also delivering an engaging shopping experience. We followed capacity limitations that ranged from 25% to 50% of normal, reduced st</w:t>
      </w:r>
      <w:r>
        <w:rPr>
          <w:rFonts w:ascii="Arial" w:eastAsia="Arial" w:hAnsi="Arial" w:cs="Arial"/>
          <w:sz w:val="18"/>
          <w:szCs w:val="18"/>
        </w:rPr>
        <w:t>ore operating hours, closed fitting rooms, added registers to promote social distancing and invested in increased labor to accommodate capacity restrictions and new cleaning protocols and in personal protective equipment for our employees. We will continue</w:t>
      </w:r>
      <w:r>
        <w:rPr>
          <w:rFonts w:ascii="Arial" w:eastAsia="Arial" w:hAnsi="Arial" w:cs="Arial"/>
          <w:sz w:val="18"/>
          <w:szCs w:val="18"/>
        </w:rPr>
        <w:t xml:space="preserve"> to follow local laws to ensure a safe environment.</w:t>
      </w:r>
    </w:p>
    <w:p w14:paraId="118F8382" w14:textId="77777777" w:rsidR="00D1587D" w:rsidRDefault="00D1587D">
      <w:pPr>
        <w:spacing w:line="84" w:lineRule="exact"/>
        <w:rPr>
          <w:sz w:val="20"/>
          <w:szCs w:val="20"/>
        </w:rPr>
      </w:pPr>
    </w:p>
    <w:p w14:paraId="49B4BC1C" w14:textId="77777777" w:rsidR="00D1587D" w:rsidRDefault="00410D07">
      <w:pPr>
        <w:spacing w:line="270" w:lineRule="auto"/>
        <w:ind w:left="300" w:right="539" w:firstLine="360"/>
        <w:rPr>
          <w:sz w:val="20"/>
          <w:szCs w:val="20"/>
        </w:rPr>
      </w:pPr>
      <w:r>
        <w:rPr>
          <w:rFonts w:ascii="Arial" w:eastAsia="Arial" w:hAnsi="Arial" w:cs="Arial"/>
          <w:sz w:val="17"/>
          <w:szCs w:val="17"/>
        </w:rPr>
        <w:t>We are also engaged in maximizing our direct business while focusing on distribution, fulfillment and call center safety during the pandemic. Although operations for our direct channel were temporarily s</w:t>
      </w:r>
      <w:r>
        <w:rPr>
          <w:rFonts w:ascii="Arial" w:eastAsia="Arial" w:hAnsi="Arial" w:cs="Arial"/>
          <w:sz w:val="17"/>
          <w:szCs w:val="17"/>
        </w:rPr>
        <w:t>uspended for approximately one week in late March 2020, sales in our direct channel grew 31% in fiscal 2020 to $2.223 billion compared to $1.693 billion in fiscal 2019. We are unable to predict how much of this increase was a shift due to store closures as</w:t>
      </w:r>
      <w:r>
        <w:rPr>
          <w:rFonts w:ascii="Arial" w:eastAsia="Arial" w:hAnsi="Arial" w:cs="Arial"/>
          <w:sz w:val="17"/>
          <w:szCs w:val="17"/>
        </w:rPr>
        <w:t xml:space="preserve"> opposed to a permanent channel shift to online selling, as well as how the consumer will engage with our channels in the future and whether the growth in the direct channel will continue after the COVID-19 pandemic subsides. We have dedicated resources to</w:t>
      </w:r>
      <w:r>
        <w:rPr>
          <w:rFonts w:ascii="Arial" w:eastAsia="Arial" w:hAnsi="Arial" w:cs="Arial"/>
          <w:sz w:val="17"/>
          <w:szCs w:val="17"/>
        </w:rPr>
        <w:t xml:space="preserve"> maximize our fulfillment capacity to meet the significant increase in digital demand, and, as a result, are achieving high productivity while maintaining standard delivery times, despite fulfillment and shipping capacity constraints.</w:t>
      </w:r>
    </w:p>
    <w:p w14:paraId="35A16C9E" w14:textId="77777777" w:rsidR="00D1587D" w:rsidRDefault="00D1587D">
      <w:pPr>
        <w:spacing w:line="73" w:lineRule="exact"/>
        <w:rPr>
          <w:sz w:val="20"/>
          <w:szCs w:val="20"/>
        </w:rPr>
      </w:pPr>
    </w:p>
    <w:p w14:paraId="0CD0B933" w14:textId="77777777" w:rsidR="00D1587D" w:rsidRDefault="00410D07">
      <w:pPr>
        <w:spacing w:line="277" w:lineRule="auto"/>
        <w:ind w:left="300" w:right="619" w:firstLine="360"/>
        <w:rPr>
          <w:sz w:val="20"/>
          <w:szCs w:val="20"/>
        </w:rPr>
      </w:pPr>
      <w:r>
        <w:rPr>
          <w:rFonts w:ascii="Arial" w:eastAsia="Arial" w:hAnsi="Arial" w:cs="Arial"/>
          <w:sz w:val="18"/>
          <w:szCs w:val="18"/>
        </w:rPr>
        <w:t>In response to the g</w:t>
      </w:r>
      <w:r>
        <w:rPr>
          <w:rFonts w:ascii="Arial" w:eastAsia="Arial" w:hAnsi="Arial" w:cs="Arial"/>
          <w:sz w:val="18"/>
          <w:szCs w:val="18"/>
        </w:rPr>
        <w:t>lobal COVID-19 crisis, during 2020 we took prudent actions to manage expenses and to preserve cash, including:</w:t>
      </w:r>
    </w:p>
    <w:p w14:paraId="3E5D9E29" w14:textId="77777777" w:rsidR="00D1587D" w:rsidRDefault="00D1587D">
      <w:pPr>
        <w:spacing w:line="62" w:lineRule="exact"/>
        <w:rPr>
          <w:sz w:val="20"/>
          <w:szCs w:val="20"/>
        </w:rPr>
      </w:pPr>
    </w:p>
    <w:p w14:paraId="2889736C" w14:textId="77777777" w:rsidR="00D1587D" w:rsidRDefault="00410D07" w:rsidP="00410D07">
      <w:pPr>
        <w:numPr>
          <w:ilvl w:val="0"/>
          <w:numId w:val="283"/>
        </w:numPr>
        <w:tabs>
          <w:tab w:val="left" w:pos="1000"/>
        </w:tabs>
        <w:spacing w:line="308" w:lineRule="auto"/>
        <w:ind w:left="1000" w:right="339" w:hanging="348"/>
        <w:rPr>
          <w:rFonts w:ascii="Arial" w:eastAsia="Arial" w:hAnsi="Arial" w:cs="Arial"/>
          <w:sz w:val="17"/>
          <w:szCs w:val="17"/>
        </w:rPr>
      </w:pPr>
      <w:r>
        <w:rPr>
          <w:rFonts w:ascii="Arial" w:eastAsia="Arial" w:hAnsi="Arial" w:cs="Arial"/>
          <w:sz w:val="17"/>
          <w:szCs w:val="17"/>
        </w:rPr>
        <w:t xml:space="preserve">Furloughed most store associates as of April 5, 2020 during the temporary store closures, while continuing to provide healthcare </w:t>
      </w:r>
      <w:r>
        <w:rPr>
          <w:rFonts w:ascii="Arial" w:eastAsia="Arial" w:hAnsi="Arial" w:cs="Arial"/>
          <w:sz w:val="17"/>
          <w:szCs w:val="17"/>
        </w:rPr>
        <w:t>benefits for eligible associates, saving an estimated $150 million;</w:t>
      </w:r>
    </w:p>
    <w:p w14:paraId="3C1DB89F" w14:textId="77777777" w:rsidR="00D1587D" w:rsidRDefault="00D1587D">
      <w:pPr>
        <w:spacing w:line="38" w:lineRule="exact"/>
        <w:rPr>
          <w:rFonts w:ascii="Arial" w:eastAsia="Arial" w:hAnsi="Arial" w:cs="Arial"/>
          <w:sz w:val="17"/>
          <w:szCs w:val="17"/>
        </w:rPr>
      </w:pPr>
    </w:p>
    <w:p w14:paraId="5B40830D" w14:textId="77777777" w:rsidR="00D1587D" w:rsidRDefault="00410D07" w:rsidP="00410D07">
      <w:pPr>
        <w:numPr>
          <w:ilvl w:val="0"/>
          <w:numId w:val="283"/>
        </w:numPr>
        <w:tabs>
          <w:tab w:val="left" w:pos="1000"/>
        </w:tabs>
        <w:spacing w:line="277" w:lineRule="auto"/>
        <w:ind w:left="1000" w:right="379" w:hanging="348"/>
        <w:rPr>
          <w:rFonts w:ascii="Arial" w:eastAsia="Arial" w:hAnsi="Arial" w:cs="Arial"/>
          <w:sz w:val="18"/>
          <w:szCs w:val="18"/>
        </w:rPr>
      </w:pPr>
      <w:r>
        <w:rPr>
          <w:rFonts w:ascii="Arial" w:eastAsia="Arial" w:hAnsi="Arial" w:cs="Arial"/>
          <w:sz w:val="18"/>
          <w:szCs w:val="18"/>
        </w:rPr>
        <w:t>Suspended associate merit increases and temporarily reduced salaries for senior vice presidents and above by 20% in 2020;</w:t>
      </w:r>
    </w:p>
    <w:p w14:paraId="54F07B03" w14:textId="77777777" w:rsidR="00D1587D" w:rsidRDefault="00D1587D">
      <w:pPr>
        <w:spacing w:line="62" w:lineRule="exact"/>
        <w:rPr>
          <w:rFonts w:ascii="Arial" w:eastAsia="Arial" w:hAnsi="Arial" w:cs="Arial"/>
          <w:sz w:val="18"/>
          <w:szCs w:val="18"/>
        </w:rPr>
      </w:pPr>
    </w:p>
    <w:p w14:paraId="28AC1482" w14:textId="77777777" w:rsidR="00D1587D" w:rsidRDefault="00410D07" w:rsidP="00410D07">
      <w:pPr>
        <w:numPr>
          <w:ilvl w:val="0"/>
          <w:numId w:val="283"/>
        </w:numPr>
        <w:tabs>
          <w:tab w:val="left" w:pos="1000"/>
        </w:tabs>
        <w:ind w:left="1000" w:hanging="348"/>
        <w:rPr>
          <w:rFonts w:ascii="Arial" w:eastAsia="Arial" w:hAnsi="Arial" w:cs="Arial"/>
          <w:sz w:val="18"/>
          <w:szCs w:val="18"/>
        </w:rPr>
      </w:pPr>
      <w:r>
        <w:rPr>
          <w:rFonts w:ascii="Arial" w:eastAsia="Arial" w:hAnsi="Arial" w:cs="Arial"/>
          <w:sz w:val="18"/>
          <w:szCs w:val="18"/>
        </w:rPr>
        <w:t>Reduced 2020 capital expenditures from $225 million in 2019 to $</w:t>
      </w:r>
      <w:r>
        <w:rPr>
          <w:rFonts w:ascii="Arial" w:eastAsia="Arial" w:hAnsi="Arial" w:cs="Arial"/>
          <w:sz w:val="18"/>
          <w:szCs w:val="18"/>
        </w:rPr>
        <w:t>127 million;</w:t>
      </w:r>
    </w:p>
    <w:p w14:paraId="6C9B80B6" w14:textId="77777777" w:rsidR="00D1587D" w:rsidRDefault="00D1587D">
      <w:pPr>
        <w:spacing w:line="117" w:lineRule="exact"/>
        <w:rPr>
          <w:rFonts w:ascii="Arial" w:eastAsia="Arial" w:hAnsi="Arial" w:cs="Arial"/>
          <w:sz w:val="18"/>
          <w:szCs w:val="18"/>
        </w:rPr>
      </w:pPr>
    </w:p>
    <w:p w14:paraId="24A5BCE1" w14:textId="77777777" w:rsidR="00D1587D" w:rsidRDefault="00410D07" w:rsidP="00410D07">
      <w:pPr>
        <w:numPr>
          <w:ilvl w:val="0"/>
          <w:numId w:val="283"/>
        </w:numPr>
        <w:tabs>
          <w:tab w:val="left" w:pos="1000"/>
        </w:tabs>
        <w:ind w:left="1000" w:hanging="348"/>
        <w:rPr>
          <w:rFonts w:ascii="Arial" w:eastAsia="Arial" w:hAnsi="Arial" w:cs="Arial"/>
          <w:sz w:val="18"/>
          <w:szCs w:val="18"/>
        </w:rPr>
      </w:pPr>
      <w:r>
        <w:rPr>
          <w:rFonts w:ascii="Arial" w:eastAsia="Arial" w:hAnsi="Arial" w:cs="Arial"/>
          <w:sz w:val="18"/>
          <w:szCs w:val="18"/>
        </w:rPr>
        <w:t>Actively managed inventory to adjust for the impact of channel shifts to meet customer demand;</w:t>
      </w:r>
    </w:p>
    <w:p w14:paraId="054BD9D6" w14:textId="77777777" w:rsidR="00D1587D" w:rsidRDefault="00D1587D">
      <w:pPr>
        <w:spacing w:line="117" w:lineRule="exact"/>
        <w:rPr>
          <w:rFonts w:ascii="Arial" w:eastAsia="Arial" w:hAnsi="Arial" w:cs="Arial"/>
          <w:sz w:val="18"/>
          <w:szCs w:val="18"/>
        </w:rPr>
      </w:pPr>
    </w:p>
    <w:p w14:paraId="49F08EE7" w14:textId="77777777" w:rsidR="00D1587D" w:rsidRDefault="00410D07" w:rsidP="00410D07">
      <w:pPr>
        <w:numPr>
          <w:ilvl w:val="0"/>
          <w:numId w:val="283"/>
        </w:numPr>
        <w:tabs>
          <w:tab w:val="left" w:pos="1000"/>
        </w:tabs>
        <w:spacing w:line="257" w:lineRule="auto"/>
        <w:ind w:left="1000" w:right="539" w:hanging="348"/>
        <w:rPr>
          <w:rFonts w:ascii="Arial" w:eastAsia="Arial" w:hAnsi="Arial" w:cs="Arial"/>
          <w:sz w:val="18"/>
          <w:szCs w:val="18"/>
        </w:rPr>
      </w:pPr>
      <w:r>
        <w:rPr>
          <w:rFonts w:ascii="Arial" w:eastAsia="Arial" w:hAnsi="Arial" w:cs="Arial"/>
          <w:sz w:val="18"/>
          <w:szCs w:val="18"/>
        </w:rPr>
        <w:t>Suspended many store and select office rent payments during the temporary closures. The Company completed negotiations with the majority of landlo</w:t>
      </w:r>
      <w:r>
        <w:rPr>
          <w:rFonts w:ascii="Arial" w:eastAsia="Arial" w:hAnsi="Arial" w:cs="Arial"/>
          <w:sz w:val="18"/>
          <w:szCs w:val="18"/>
        </w:rPr>
        <w:t>rds, leading to a combination of rent waivers or abatements relating to closure periods, rent relief relating to the post-reopening “recovery” period given traffic declines, and rent deferrals, leading to a one-time total reduction in 2020 occupancy expens</w:t>
      </w:r>
      <w:r>
        <w:rPr>
          <w:rFonts w:ascii="Arial" w:eastAsia="Arial" w:hAnsi="Arial" w:cs="Arial"/>
          <w:sz w:val="18"/>
          <w:szCs w:val="18"/>
        </w:rPr>
        <w:t>es of $90 million; and</w:t>
      </w:r>
    </w:p>
    <w:p w14:paraId="2CA71B8C" w14:textId="77777777" w:rsidR="00D1587D" w:rsidRDefault="00D1587D">
      <w:pPr>
        <w:spacing w:line="79" w:lineRule="exact"/>
        <w:rPr>
          <w:rFonts w:ascii="Arial" w:eastAsia="Arial" w:hAnsi="Arial" w:cs="Arial"/>
          <w:sz w:val="18"/>
          <w:szCs w:val="18"/>
        </w:rPr>
      </w:pPr>
    </w:p>
    <w:p w14:paraId="21D8855B" w14:textId="77777777" w:rsidR="00D1587D" w:rsidRDefault="00410D07" w:rsidP="00410D07">
      <w:pPr>
        <w:numPr>
          <w:ilvl w:val="0"/>
          <w:numId w:val="283"/>
        </w:numPr>
        <w:tabs>
          <w:tab w:val="left" w:pos="1000"/>
        </w:tabs>
        <w:ind w:left="1000" w:hanging="348"/>
        <w:rPr>
          <w:rFonts w:ascii="Arial" w:eastAsia="Arial" w:hAnsi="Arial" w:cs="Arial"/>
          <w:sz w:val="18"/>
          <w:szCs w:val="18"/>
        </w:rPr>
      </w:pPr>
      <w:r>
        <w:rPr>
          <w:rFonts w:ascii="Arial" w:eastAsia="Arial" w:hAnsi="Arial" w:cs="Arial"/>
          <w:sz w:val="18"/>
          <w:szCs w:val="18"/>
        </w:rPr>
        <w:t>Extended payment terms to vendors.</w:t>
      </w:r>
    </w:p>
    <w:p w14:paraId="0A80B014" w14:textId="77777777" w:rsidR="00D1587D" w:rsidRDefault="00D1587D">
      <w:pPr>
        <w:spacing w:line="117" w:lineRule="exact"/>
        <w:rPr>
          <w:sz w:val="20"/>
          <w:szCs w:val="20"/>
        </w:rPr>
      </w:pPr>
    </w:p>
    <w:p w14:paraId="05EFB5B4" w14:textId="77777777" w:rsidR="00D1587D" w:rsidRDefault="00410D07">
      <w:pPr>
        <w:spacing w:line="259" w:lineRule="auto"/>
        <w:ind w:left="300" w:right="439" w:firstLine="360"/>
        <w:rPr>
          <w:sz w:val="20"/>
          <w:szCs w:val="20"/>
        </w:rPr>
      </w:pPr>
      <w:r>
        <w:rPr>
          <w:rFonts w:ascii="Arial" w:eastAsia="Arial" w:hAnsi="Arial" w:cs="Arial"/>
          <w:sz w:val="18"/>
          <w:szCs w:val="18"/>
        </w:rPr>
        <w:t>On March 27, 2020, the U.S. government enacted the Coronavirus Aid, Relief, and Economic Security Act which, among other things, provided employer payroll tax credits for wages paid to employees w</w:t>
      </w:r>
      <w:r>
        <w:rPr>
          <w:rFonts w:ascii="Arial" w:eastAsia="Arial" w:hAnsi="Arial" w:cs="Arial"/>
          <w:sz w:val="18"/>
          <w:szCs w:val="18"/>
        </w:rPr>
        <w:t>ho were unable to work during the COVID-19 pandemic and options to defer payroll tax payments. During 2020, we recognized $28 million of qualified payroll tax credits.</w:t>
      </w:r>
    </w:p>
    <w:p w14:paraId="581A63FA" w14:textId="77777777" w:rsidR="00D1587D" w:rsidRDefault="00D1587D">
      <w:pPr>
        <w:spacing w:line="79" w:lineRule="exact"/>
        <w:rPr>
          <w:sz w:val="20"/>
          <w:szCs w:val="20"/>
        </w:rPr>
      </w:pPr>
    </w:p>
    <w:p w14:paraId="077A4065" w14:textId="77777777" w:rsidR="00D1587D" w:rsidRDefault="00410D07">
      <w:pPr>
        <w:spacing w:line="342" w:lineRule="auto"/>
        <w:ind w:left="300" w:right="579" w:firstLine="360"/>
        <w:rPr>
          <w:sz w:val="20"/>
          <w:szCs w:val="20"/>
        </w:rPr>
      </w:pPr>
      <w:r>
        <w:rPr>
          <w:rFonts w:ascii="Arial" w:eastAsia="Arial" w:hAnsi="Arial" w:cs="Arial"/>
          <w:sz w:val="16"/>
          <w:szCs w:val="16"/>
        </w:rPr>
        <w:t xml:space="preserve">We began to see improvement during the third and fourth quarters of 2020, </w:t>
      </w:r>
      <w:r>
        <w:rPr>
          <w:rFonts w:ascii="Arial" w:eastAsia="Arial" w:hAnsi="Arial" w:cs="Arial"/>
          <w:sz w:val="16"/>
          <w:szCs w:val="16"/>
        </w:rPr>
        <w:t>reflecting positive trends in our direct channel as consumer spending continued to shift towards digital shopping experiences due to the impact of</w:t>
      </w:r>
    </w:p>
    <w:p w14:paraId="78051C9C" w14:textId="77777777" w:rsidR="00D1587D" w:rsidRDefault="00D1587D">
      <w:pPr>
        <w:spacing w:line="124" w:lineRule="exact"/>
        <w:rPr>
          <w:sz w:val="20"/>
          <w:szCs w:val="20"/>
        </w:rPr>
      </w:pPr>
    </w:p>
    <w:p w14:paraId="7727762B" w14:textId="77777777" w:rsidR="00D1587D" w:rsidRDefault="00410D07">
      <w:pPr>
        <w:ind w:right="19"/>
        <w:jc w:val="center"/>
        <w:rPr>
          <w:sz w:val="20"/>
          <w:szCs w:val="20"/>
        </w:rPr>
      </w:pPr>
      <w:r>
        <w:rPr>
          <w:rFonts w:ascii="Arial" w:eastAsia="Arial" w:hAnsi="Arial" w:cs="Arial"/>
          <w:sz w:val="18"/>
          <w:szCs w:val="18"/>
        </w:rPr>
        <w:t>68</w:t>
      </w:r>
    </w:p>
    <w:p w14:paraId="3FED463C" w14:textId="77777777" w:rsidR="00D1587D" w:rsidRDefault="00410D07">
      <w:pPr>
        <w:spacing w:line="20" w:lineRule="exact"/>
        <w:rPr>
          <w:sz w:val="20"/>
          <w:szCs w:val="20"/>
        </w:rPr>
      </w:pPr>
      <w:r>
        <w:rPr>
          <w:noProof/>
          <w:sz w:val="20"/>
          <w:szCs w:val="20"/>
        </w:rPr>
        <w:drawing>
          <wp:anchor distT="0" distB="0" distL="114300" distR="114300" simplePos="0" relativeHeight="251611136" behindDoc="1" locked="0" layoutInCell="0" allowOverlap="1" wp14:anchorId="26D8DD59" wp14:editId="68B07593">
            <wp:simplePos x="0" y="0"/>
            <wp:positionH relativeFrom="column">
              <wp:posOffset>-636905</wp:posOffset>
            </wp:positionH>
            <wp:positionV relativeFrom="paragraph">
              <wp:posOffset>134620</wp:posOffset>
            </wp:positionV>
            <wp:extent cx="6995160" cy="17145"/>
            <wp:effectExtent l="0" t="0" r="0" b="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CAC33F5" w14:textId="77777777" w:rsidR="00D1587D" w:rsidRDefault="00D1587D">
      <w:pPr>
        <w:sectPr w:rsidR="00D1587D">
          <w:pgSz w:w="11900" w:h="16838"/>
          <w:pgMar w:top="265" w:right="1440" w:bottom="1440" w:left="1440" w:header="0" w:footer="0" w:gutter="0"/>
          <w:cols w:space="720" w:equalWidth="0">
            <w:col w:w="9019"/>
          </w:cols>
        </w:sectPr>
      </w:pPr>
    </w:p>
    <w:bookmarkStart w:id="326" w:name="page327"/>
    <w:bookmarkEnd w:id="326"/>
    <w:p w14:paraId="4551EE6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333F2A8" w14:textId="77777777" w:rsidR="00D1587D" w:rsidRDefault="00D1587D">
      <w:pPr>
        <w:spacing w:line="131" w:lineRule="exact"/>
        <w:rPr>
          <w:sz w:val="20"/>
          <w:szCs w:val="20"/>
        </w:rPr>
      </w:pPr>
    </w:p>
    <w:p w14:paraId="2AF0FFEF" w14:textId="77777777" w:rsidR="00D1587D" w:rsidRDefault="00410D07">
      <w:pPr>
        <w:spacing w:line="293" w:lineRule="auto"/>
        <w:ind w:left="300" w:right="319"/>
        <w:rPr>
          <w:sz w:val="20"/>
          <w:szCs w:val="20"/>
        </w:rPr>
      </w:pPr>
      <w:r>
        <w:rPr>
          <w:rFonts w:ascii="Arial" w:eastAsia="Arial" w:hAnsi="Arial" w:cs="Arial"/>
          <w:sz w:val="16"/>
          <w:szCs w:val="16"/>
        </w:rPr>
        <w:t xml:space="preserve">COVID-19. We also saw positive trends </w:t>
      </w:r>
      <w:r>
        <w:rPr>
          <w:rFonts w:ascii="Arial" w:eastAsia="Arial" w:hAnsi="Arial" w:cs="Arial"/>
          <w:sz w:val="16"/>
          <w:szCs w:val="16"/>
        </w:rPr>
        <w:t>in our stores channel in most markets resulting from fewer store closures as a result of COVID-19 in the second half of 2020 due to the relaxation of pandemic-related restrictions and government stimulus payments. These positive trends continued into the f</w:t>
      </w:r>
      <w:r>
        <w:rPr>
          <w:rFonts w:ascii="Arial" w:eastAsia="Arial" w:hAnsi="Arial" w:cs="Arial"/>
          <w:sz w:val="16"/>
          <w:szCs w:val="16"/>
        </w:rPr>
        <w:t>irst quarter of 2021. We remain focused on the safe operations of our stores, distribution, fulfillment and call center facilities. Our direct operations were only temporarily suspended for approximately one week in March 2020 and have resumed since. Altho</w:t>
      </w:r>
      <w:r>
        <w:rPr>
          <w:rFonts w:ascii="Arial" w:eastAsia="Arial" w:hAnsi="Arial" w:cs="Arial"/>
          <w:sz w:val="16"/>
          <w:szCs w:val="16"/>
        </w:rPr>
        <w:t>ugh we have not experienced significant service disruptions to customers, we continue to work to minimize any impact.</w:t>
      </w:r>
    </w:p>
    <w:p w14:paraId="7A9732B0" w14:textId="77777777" w:rsidR="00D1587D" w:rsidRDefault="00D1587D">
      <w:pPr>
        <w:spacing w:line="56" w:lineRule="exact"/>
        <w:rPr>
          <w:sz w:val="20"/>
          <w:szCs w:val="20"/>
        </w:rPr>
      </w:pPr>
    </w:p>
    <w:p w14:paraId="158072FD" w14:textId="77777777" w:rsidR="00D1587D" w:rsidRDefault="00410D07">
      <w:pPr>
        <w:spacing w:line="287" w:lineRule="auto"/>
        <w:ind w:left="300" w:right="319" w:firstLine="360"/>
        <w:rPr>
          <w:sz w:val="20"/>
          <w:szCs w:val="20"/>
        </w:rPr>
      </w:pPr>
      <w:r>
        <w:rPr>
          <w:rFonts w:ascii="Arial" w:eastAsia="Arial" w:hAnsi="Arial" w:cs="Arial"/>
          <w:sz w:val="16"/>
          <w:szCs w:val="16"/>
        </w:rPr>
        <w:t>The extent to which the COVID-19 pandemic affects our business will depend on future developments in the United States and around the wor</w:t>
      </w:r>
      <w:r>
        <w:rPr>
          <w:rFonts w:ascii="Arial" w:eastAsia="Arial" w:hAnsi="Arial" w:cs="Arial"/>
          <w:sz w:val="16"/>
          <w:szCs w:val="16"/>
        </w:rPr>
        <w:t>ld, which are highly uncertain and cannot be predicted, including new information which may emerge concerning the severity of COVID-19 and the actions required to contain and treat it, among others. As the timing and availability of vaccines will be differ</w:t>
      </w:r>
      <w:r>
        <w:rPr>
          <w:rFonts w:ascii="Arial" w:eastAsia="Arial" w:hAnsi="Arial" w:cs="Arial"/>
          <w:sz w:val="16"/>
          <w:szCs w:val="16"/>
        </w:rPr>
        <w:t>ent around the world, we believe the pace of the recovery will vary by geography depending on both vaccine distribution and other macroeconomic factors. Future waves of the pandemic could require us to close stores again if certain restrictions are reinsta</w:t>
      </w:r>
      <w:r>
        <w:rPr>
          <w:rFonts w:ascii="Arial" w:eastAsia="Arial" w:hAnsi="Arial" w:cs="Arial"/>
          <w:sz w:val="16"/>
          <w:szCs w:val="16"/>
        </w:rPr>
        <w:t>ted by state and local authorities. The Company anticipates, and continues to take necessary, proactive steps to accommodate a prolonged COVID-19 operating environment. Although the ultimate impact of the COVID-19 pandemic on our business and financial res</w:t>
      </w:r>
      <w:r>
        <w:rPr>
          <w:rFonts w:ascii="Arial" w:eastAsia="Arial" w:hAnsi="Arial" w:cs="Arial"/>
          <w:sz w:val="16"/>
          <w:szCs w:val="16"/>
        </w:rPr>
        <w:t>ults remains uncertain, a continued and prolonged public health crisis such as the COVID-19 pandemic could have a material negative impact on our business, operating results and financial condition. See “Risk Factors —Risks Relating to Our Business— The CO</w:t>
      </w:r>
      <w:r>
        <w:rPr>
          <w:rFonts w:ascii="Arial" w:eastAsia="Arial" w:hAnsi="Arial" w:cs="Arial"/>
          <w:sz w:val="16"/>
          <w:szCs w:val="16"/>
        </w:rPr>
        <w:t>VID-19 global pandemic has had and is expected to continue to have an adverse effect on our business and results of operations” for additional information.</w:t>
      </w:r>
    </w:p>
    <w:p w14:paraId="7BC820DC" w14:textId="77777777" w:rsidR="00D1587D" w:rsidRDefault="00D1587D">
      <w:pPr>
        <w:spacing w:line="312" w:lineRule="exact"/>
        <w:rPr>
          <w:sz w:val="20"/>
          <w:szCs w:val="20"/>
        </w:rPr>
      </w:pPr>
    </w:p>
    <w:p w14:paraId="47A186AA" w14:textId="77777777" w:rsidR="00D1587D" w:rsidRDefault="00410D07">
      <w:pPr>
        <w:ind w:left="300"/>
        <w:rPr>
          <w:sz w:val="20"/>
          <w:szCs w:val="20"/>
        </w:rPr>
      </w:pPr>
      <w:r>
        <w:rPr>
          <w:rFonts w:ascii="Arial" w:eastAsia="Arial" w:hAnsi="Arial" w:cs="Arial"/>
          <w:b/>
          <w:bCs/>
          <w:sz w:val="18"/>
          <w:szCs w:val="18"/>
        </w:rPr>
        <w:t>Key Factors Affecting Our Business</w:t>
      </w:r>
    </w:p>
    <w:p w14:paraId="1AB81395" w14:textId="77777777" w:rsidR="00D1587D" w:rsidRDefault="00D1587D">
      <w:pPr>
        <w:spacing w:line="121" w:lineRule="exact"/>
        <w:rPr>
          <w:sz w:val="20"/>
          <w:szCs w:val="20"/>
        </w:rPr>
      </w:pPr>
    </w:p>
    <w:p w14:paraId="22D3FD38" w14:textId="77777777" w:rsidR="00D1587D" w:rsidRDefault="00410D07">
      <w:pPr>
        <w:ind w:left="660"/>
        <w:rPr>
          <w:sz w:val="20"/>
          <w:szCs w:val="20"/>
        </w:rPr>
      </w:pPr>
      <w:r>
        <w:rPr>
          <w:rFonts w:ascii="Arial" w:eastAsia="Arial" w:hAnsi="Arial" w:cs="Arial"/>
          <w:sz w:val="16"/>
          <w:szCs w:val="16"/>
        </w:rPr>
        <w:t xml:space="preserve">We believe the key business and marketplace factors, </w:t>
      </w:r>
      <w:r>
        <w:rPr>
          <w:rFonts w:ascii="Arial" w:eastAsia="Arial" w:hAnsi="Arial" w:cs="Arial"/>
          <w:sz w:val="16"/>
          <w:szCs w:val="16"/>
        </w:rPr>
        <w:t>independent of the health and economic impact of the</w:t>
      </w:r>
    </w:p>
    <w:p w14:paraId="39A608C3" w14:textId="77777777" w:rsidR="00D1587D" w:rsidRDefault="00D1587D">
      <w:pPr>
        <w:spacing w:line="46" w:lineRule="exact"/>
        <w:rPr>
          <w:sz w:val="20"/>
          <w:szCs w:val="20"/>
        </w:rPr>
      </w:pPr>
    </w:p>
    <w:p w14:paraId="31AAFC41" w14:textId="77777777" w:rsidR="00D1587D" w:rsidRDefault="00410D07">
      <w:pPr>
        <w:ind w:left="300"/>
        <w:rPr>
          <w:sz w:val="20"/>
          <w:szCs w:val="20"/>
        </w:rPr>
      </w:pPr>
      <w:r>
        <w:rPr>
          <w:rFonts w:ascii="Arial" w:eastAsia="Arial" w:hAnsi="Arial" w:cs="Arial"/>
          <w:sz w:val="18"/>
          <w:szCs w:val="18"/>
        </w:rPr>
        <w:t>COVID-19 pandemic, that are impacting our business include the following:</w:t>
      </w:r>
    </w:p>
    <w:p w14:paraId="079C142C" w14:textId="77777777" w:rsidR="00D1587D" w:rsidRDefault="00D1587D">
      <w:pPr>
        <w:spacing w:line="103" w:lineRule="exact"/>
        <w:rPr>
          <w:sz w:val="20"/>
          <w:szCs w:val="20"/>
        </w:rPr>
      </w:pPr>
    </w:p>
    <w:p w14:paraId="09BE8533" w14:textId="77777777" w:rsidR="00D1587D" w:rsidRDefault="00410D07" w:rsidP="00410D07">
      <w:pPr>
        <w:numPr>
          <w:ilvl w:val="0"/>
          <w:numId w:val="284"/>
        </w:numPr>
        <w:tabs>
          <w:tab w:val="left" w:pos="1000"/>
        </w:tabs>
        <w:spacing w:line="293" w:lineRule="auto"/>
        <w:ind w:left="1000" w:right="339" w:hanging="348"/>
        <w:rPr>
          <w:rFonts w:ascii="Arial" w:eastAsia="Arial" w:hAnsi="Arial" w:cs="Arial"/>
          <w:sz w:val="16"/>
          <w:szCs w:val="16"/>
        </w:rPr>
      </w:pPr>
      <w:r>
        <w:rPr>
          <w:rFonts w:ascii="Arial" w:eastAsia="Arial" w:hAnsi="Arial" w:cs="Arial"/>
          <w:b/>
          <w:bCs/>
          <w:i/>
          <w:iCs/>
          <w:sz w:val="16"/>
          <w:szCs w:val="16"/>
        </w:rPr>
        <w:t>Expanding Existing Products and Adding New Products</w:t>
      </w:r>
      <w:r>
        <w:rPr>
          <w:rFonts w:ascii="Arial" w:eastAsia="Arial" w:hAnsi="Arial" w:cs="Arial"/>
          <w:sz w:val="16"/>
          <w:szCs w:val="16"/>
        </w:rPr>
        <w:t>. Our success has been enabled by the breadth of</w:t>
      </w:r>
      <w:r>
        <w:rPr>
          <w:rFonts w:ascii="Arial" w:eastAsia="Arial" w:hAnsi="Arial" w:cs="Arial"/>
          <w:b/>
          <w:bCs/>
          <w:i/>
          <w:iCs/>
          <w:sz w:val="16"/>
          <w:szCs w:val="16"/>
        </w:rPr>
        <w:t xml:space="preserve"> </w:t>
      </w:r>
      <w:r>
        <w:rPr>
          <w:rFonts w:ascii="Arial" w:eastAsia="Arial" w:hAnsi="Arial" w:cs="Arial"/>
          <w:sz w:val="16"/>
          <w:szCs w:val="16"/>
        </w:rPr>
        <w:t xml:space="preserve">our product </w:t>
      </w:r>
      <w:r>
        <w:rPr>
          <w:rFonts w:ascii="Arial" w:eastAsia="Arial" w:hAnsi="Arial" w:cs="Arial"/>
          <w:sz w:val="16"/>
          <w:szCs w:val="16"/>
        </w:rPr>
        <w:t>offering, our consumer-insight driven approach and our leading innovation capabilities. We intend to increase our market share in our existing categories and continue investing in the development and introduction of new products and categories, which we ex</w:t>
      </w:r>
      <w:r>
        <w:rPr>
          <w:rFonts w:ascii="Arial" w:eastAsia="Arial" w:hAnsi="Arial" w:cs="Arial"/>
          <w:sz w:val="16"/>
          <w:szCs w:val="16"/>
        </w:rPr>
        <w:t>pect will increase our share of our customers’ spend and support future growth. We believe we have opportunities for continued improved performance, driven by improved assortments and more disciplined inventory management.</w:t>
      </w:r>
    </w:p>
    <w:p w14:paraId="6D08A541" w14:textId="77777777" w:rsidR="00D1587D" w:rsidRDefault="00D1587D">
      <w:pPr>
        <w:spacing w:line="56" w:lineRule="exact"/>
        <w:rPr>
          <w:rFonts w:ascii="Arial" w:eastAsia="Arial" w:hAnsi="Arial" w:cs="Arial"/>
          <w:sz w:val="16"/>
          <w:szCs w:val="16"/>
        </w:rPr>
      </w:pPr>
    </w:p>
    <w:p w14:paraId="7FB8A37F" w14:textId="77777777" w:rsidR="00D1587D" w:rsidRDefault="00410D07" w:rsidP="00410D07">
      <w:pPr>
        <w:numPr>
          <w:ilvl w:val="0"/>
          <w:numId w:val="284"/>
        </w:numPr>
        <w:tabs>
          <w:tab w:val="left" w:pos="1000"/>
        </w:tabs>
        <w:spacing w:line="255" w:lineRule="auto"/>
        <w:ind w:left="1000" w:right="339" w:hanging="348"/>
        <w:rPr>
          <w:rFonts w:ascii="Arial" w:eastAsia="Arial" w:hAnsi="Arial" w:cs="Arial"/>
          <w:sz w:val="18"/>
          <w:szCs w:val="18"/>
        </w:rPr>
      </w:pPr>
      <w:r>
        <w:rPr>
          <w:rFonts w:ascii="Arial" w:eastAsia="Arial" w:hAnsi="Arial" w:cs="Arial"/>
          <w:b/>
          <w:bCs/>
          <w:i/>
          <w:iCs/>
          <w:sz w:val="18"/>
          <w:szCs w:val="18"/>
        </w:rPr>
        <w:t>Challenging Retail Environment</w:t>
      </w:r>
      <w:r>
        <w:rPr>
          <w:rFonts w:ascii="Arial" w:eastAsia="Arial" w:hAnsi="Arial" w:cs="Arial"/>
          <w:sz w:val="18"/>
          <w:szCs w:val="18"/>
        </w:rPr>
        <w:t xml:space="preserve">. </w:t>
      </w:r>
      <w:r>
        <w:rPr>
          <w:rFonts w:ascii="Arial" w:eastAsia="Arial" w:hAnsi="Arial" w:cs="Arial"/>
          <w:sz w:val="18"/>
          <w:szCs w:val="18"/>
        </w:rPr>
        <w:t>We are currently operating in a complex, unpredictable and challenging</w:t>
      </w:r>
      <w:r>
        <w:rPr>
          <w:rFonts w:ascii="Arial" w:eastAsia="Arial" w:hAnsi="Arial" w:cs="Arial"/>
          <w:b/>
          <w:bCs/>
          <w:i/>
          <w:iCs/>
          <w:sz w:val="18"/>
          <w:szCs w:val="18"/>
        </w:rPr>
        <w:t xml:space="preserve"> </w:t>
      </w:r>
      <w:r>
        <w:rPr>
          <w:rFonts w:ascii="Arial" w:eastAsia="Arial" w:hAnsi="Arial" w:cs="Arial"/>
          <w:sz w:val="18"/>
          <w:szCs w:val="18"/>
        </w:rPr>
        <w:t>retail environment with rapidly changing traffic, shopping and promotional patterns. The mix between mall-based retailing and online shopping continues to shift. In developed economies,</w:t>
      </w:r>
      <w:r>
        <w:rPr>
          <w:rFonts w:ascii="Arial" w:eastAsia="Arial" w:hAnsi="Arial" w:cs="Arial"/>
          <w:sz w:val="18"/>
          <w:szCs w:val="18"/>
        </w:rPr>
        <w:t xml:space="preserve"> mixed real wage growth and shifts in consumer spending also continue to pressure global discretionary spending. Consumers continue to focus on value pricing and convenience with increased expectations for real-time delivery.</w:t>
      </w:r>
    </w:p>
    <w:p w14:paraId="69654D20" w14:textId="77777777" w:rsidR="00D1587D" w:rsidRDefault="00D1587D">
      <w:pPr>
        <w:spacing w:line="84" w:lineRule="exact"/>
        <w:rPr>
          <w:rFonts w:ascii="Arial" w:eastAsia="Arial" w:hAnsi="Arial" w:cs="Arial"/>
          <w:sz w:val="18"/>
          <w:szCs w:val="18"/>
        </w:rPr>
      </w:pPr>
    </w:p>
    <w:p w14:paraId="6E4CA68E" w14:textId="77777777" w:rsidR="00D1587D" w:rsidRDefault="00410D07" w:rsidP="00410D07">
      <w:pPr>
        <w:numPr>
          <w:ilvl w:val="0"/>
          <w:numId w:val="284"/>
        </w:numPr>
        <w:tabs>
          <w:tab w:val="left" w:pos="1000"/>
        </w:tabs>
        <w:spacing w:line="270" w:lineRule="auto"/>
        <w:ind w:left="1000" w:right="439" w:hanging="348"/>
        <w:rPr>
          <w:rFonts w:ascii="Arial" w:eastAsia="Arial" w:hAnsi="Arial" w:cs="Arial"/>
          <w:sz w:val="17"/>
          <w:szCs w:val="17"/>
        </w:rPr>
      </w:pPr>
      <w:r>
        <w:rPr>
          <w:rFonts w:ascii="Arial" w:eastAsia="Arial" w:hAnsi="Arial" w:cs="Arial"/>
          <w:b/>
          <w:bCs/>
          <w:i/>
          <w:iCs/>
          <w:sz w:val="17"/>
          <w:szCs w:val="17"/>
        </w:rPr>
        <w:t>Macroeconomic Trends</w:t>
      </w:r>
      <w:r>
        <w:rPr>
          <w:rFonts w:ascii="Arial" w:eastAsia="Arial" w:hAnsi="Arial" w:cs="Arial"/>
          <w:sz w:val="17"/>
          <w:szCs w:val="17"/>
        </w:rPr>
        <w:t>. Macroec</w:t>
      </w:r>
      <w:r>
        <w:rPr>
          <w:rFonts w:ascii="Arial" w:eastAsia="Arial" w:hAnsi="Arial" w:cs="Arial"/>
          <w:sz w:val="17"/>
          <w:szCs w:val="17"/>
        </w:rPr>
        <w:t>onomic factors may affect consumer spending patterns and thereby our</w:t>
      </w:r>
      <w:r>
        <w:rPr>
          <w:rFonts w:ascii="Arial" w:eastAsia="Arial" w:hAnsi="Arial" w:cs="Arial"/>
          <w:b/>
          <w:bCs/>
          <w:i/>
          <w:iCs/>
          <w:sz w:val="17"/>
          <w:szCs w:val="17"/>
        </w:rPr>
        <w:t xml:space="preserve"> </w:t>
      </w:r>
      <w:r>
        <w:rPr>
          <w:rFonts w:ascii="Arial" w:eastAsia="Arial" w:hAnsi="Arial" w:cs="Arial"/>
          <w:sz w:val="17"/>
          <w:szCs w:val="17"/>
        </w:rPr>
        <w:t>results of operations. These factors include general economic conditions, inflation, consumer confidence, employment rates, business conditions, changes in the housing market, the availab</w:t>
      </w:r>
      <w:r>
        <w:rPr>
          <w:rFonts w:ascii="Arial" w:eastAsia="Arial" w:hAnsi="Arial" w:cs="Arial"/>
          <w:sz w:val="17"/>
          <w:szCs w:val="17"/>
        </w:rPr>
        <w:t>ility of credit, interest rates, tax rates and fuel and energy costs. Factors that impact consumer discretionary spending, which remains volatile globally, continue to create a complex and challenging retail environment for us and our distribution partners</w:t>
      </w:r>
      <w:r>
        <w:rPr>
          <w:rFonts w:ascii="Arial" w:eastAsia="Arial" w:hAnsi="Arial" w:cs="Arial"/>
          <w:sz w:val="17"/>
          <w:szCs w:val="17"/>
        </w:rPr>
        <w:t xml:space="preserve">. We intend to continue to evaluate and adjust our operating strategies, foreign currency and cost management opportunities to help mitigate any impacts on our results of operations resulting from broader macroeconomic conditions and policy changes, while </w:t>
      </w:r>
      <w:r>
        <w:rPr>
          <w:rFonts w:ascii="Arial" w:eastAsia="Arial" w:hAnsi="Arial" w:cs="Arial"/>
          <w:sz w:val="17"/>
          <w:szCs w:val="17"/>
        </w:rPr>
        <w:t>remaining focused on the long-term growth of our business.</w:t>
      </w:r>
    </w:p>
    <w:p w14:paraId="0D9E7EF0" w14:textId="77777777" w:rsidR="00D1587D" w:rsidRDefault="00D1587D">
      <w:pPr>
        <w:spacing w:line="72" w:lineRule="exact"/>
        <w:rPr>
          <w:rFonts w:ascii="Arial" w:eastAsia="Arial" w:hAnsi="Arial" w:cs="Arial"/>
          <w:sz w:val="17"/>
          <w:szCs w:val="17"/>
        </w:rPr>
      </w:pPr>
    </w:p>
    <w:p w14:paraId="14787FA7" w14:textId="77777777" w:rsidR="00D1587D" w:rsidRDefault="00410D07" w:rsidP="00410D07">
      <w:pPr>
        <w:numPr>
          <w:ilvl w:val="0"/>
          <w:numId w:val="284"/>
        </w:numPr>
        <w:tabs>
          <w:tab w:val="left" w:pos="1000"/>
        </w:tabs>
        <w:spacing w:line="259" w:lineRule="auto"/>
        <w:ind w:left="1000" w:right="639" w:hanging="348"/>
        <w:rPr>
          <w:rFonts w:ascii="Arial" w:eastAsia="Arial" w:hAnsi="Arial" w:cs="Arial"/>
          <w:sz w:val="18"/>
          <w:szCs w:val="18"/>
        </w:rPr>
      </w:pPr>
      <w:r>
        <w:rPr>
          <w:rFonts w:ascii="Arial" w:eastAsia="Arial" w:hAnsi="Arial" w:cs="Arial"/>
          <w:b/>
          <w:bCs/>
          <w:i/>
          <w:iCs/>
          <w:sz w:val="18"/>
          <w:szCs w:val="18"/>
        </w:rPr>
        <w:t>Increased Competition</w:t>
      </w:r>
      <w:r>
        <w:rPr>
          <w:rFonts w:ascii="Arial" w:eastAsia="Arial" w:hAnsi="Arial" w:cs="Arial"/>
          <w:sz w:val="18"/>
          <w:szCs w:val="18"/>
        </w:rPr>
        <w:t>. More competitors are seeking growth in our categories, thereby increasing</w:t>
      </w:r>
      <w:r>
        <w:rPr>
          <w:rFonts w:ascii="Arial" w:eastAsia="Arial" w:hAnsi="Arial" w:cs="Arial"/>
          <w:b/>
          <w:bCs/>
          <w:i/>
          <w:iCs/>
          <w:sz w:val="18"/>
          <w:szCs w:val="18"/>
        </w:rPr>
        <w:t xml:space="preserve"> </w:t>
      </w:r>
      <w:r>
        <w:rPr>
          <w:rFonts w:ascii="Arial" w:eastAsia="Arial" w:hAnsi="Arial" w:cs="Arial"/>
          <w:sz w:val="18"/>
          <w:szCs w:val="18"/>
        </w:rPr>
        <w:t xml:space="preserve">competition globally. Some of these competitors are entering markets where we already have a </w:t>
      </w:r>
      <w:r>
        <w:rPr>
          <w:rFonts w:ascii="Arial" w:eastAsia="Arial" w:hAnsi="Arial" w:cs="Arial"/>
          <w:sz w:val="18"/>
          <w:szCs w:val="18"/>
        </w:rPr>
        <w:t>mature business, and may provide consumers discretionary purchase alternatives or lower-priced product offerings.</w:t>
      </w:r>
    </w:p>
    <w:p w14:paraId="6DC5E190" w14:textId="77777777" w:rsidR="00D1587D" w:rsidRDefault="00D1587D">
      <w:pPr>
        <w:spacing w:line="78" w:lineRule="exact"/>
        <w:rPr>
          <w:rFonts w:ascii="Arial" w:eastAsia="Arial" w:hAnsi="Arial" w:cs="Arial"/>
          <w:sz w:val="18"/>
          <w:szCs w:val="18"/>
        </w:rPr>
      </w:pPr>
    </w:p>
    <w:p w14:paraId="5B6B3E7B" w14:textId="77777777" w:rsidR="00D1587D" w:rsidRDefault="00410D07" w:rsidP="00410D07">
      <w:pPr>
        <w:numPr>
          <w:ilvl w:val="0"/>
          <w:numId w:val="284"/>
        </w:numPr>
        <w:tabs>
          <w:tab w:val="left" w:pos="1000"/>
        </w:tabs>
        <w:spacing w:line="311" w:lineRule="auto"/>
        <w:ind w:left="1000" w:right="439" w:hanging="348"/>
        <w:rPr>
          <w:rFonts w:ascii="Arial" w:eastAsia="Arial" w:hAnsi="Arial" w:cs="Arial"/>
          <w:sz w:val="16"/>
          <w:szCs w:val="16"/>
        </w:rPr>
      </w:pPr>
      <w:r>
        <w:rPr>
          <w:rFonts w:ascii="Arial" w:eastAsia="Arial" w:hAnsi="Arial" w:cs="Arial"/>
          <w:b/>
          <w:bCs/>
          <w:i/>
          <w:iCs/>
          <w:sz w:val="16"/>
          <w:szCs w:val="16"/>
        </w:rPr>
        <w:t>Sourcing and Supply Chain Management</w:t>
      </w:r>
      <w:r>
        <w:rPr>
          <w:rFonts w:ascii="Arial" w:eastAsia="Arial" w:hAnsi="Arial" w:cs="Arial"/>
          <w:sz w:val="16"/>
          <w:szCs w:val="16"/>
        </w:rPr>
        <w:t>. For our business to be successful, our suppliers must provide</w:t>
      </w:r>
      <w:r>
        <w:rPr>
          <w:rFonts w:ascii="Arial" w:eastAsia="Arial" w:hAnsi="Arial" w:cs="Arial"/>
          <w:b/>
          <w:bCs/>
          <w:i/>
          <w:iCs/>
          <w:sz w:val="16"/>
          <w:szCs w:val="16"/>
        </w:rPr>
        <w:t xml:space="preserve"> </w:t>
      </w:r>
      <w:r>
        <w:rPr>
          <w:rFonts w:ascii="Arial" w:eastAsia="Arial" w:hAnsi="Arial" w:cs="Arial"/>
          <w:sz w:val="16"/>
          <w:szCs w:val="16"/>
        </w:rPr>
        <w:t>us with quality products in substantial q</w:t>
      </w:r>
      <w:r>
        <w:rPr>
          <w:rFonts w:ascii="Arial" w:eastAsia="Arial" w:hAnsi="Arial" w:cs="Arial"/>
          <w:sz w:val="16"/>
          <w:szCs w:val="16"/>
        </w:rPr>
        <w:t>uantities, in compliance with regulatory requirements, at acceptable costs and on a timely basis. Competition for resources throughout the supply chain, such</w:t>
      </w:r>
    </w:p>
    <w:p w14:paraId="3C48E78D" w14:textId="77777777" w:rsidR="00D1587D" w:rsidRDefault="00D1587D">
      <w:pPr>
        <w:spacing w:line="149" w:lineRule="exact"/>
        <w:rPr>
          <w:sz w:val="20"/>
          <w:szCs w:val="20"/>
        </w:rPr>
      </w:pPr>
    </w:p>
    <w:p w14:paraId="53E7D128" w14:textId="77777777" w:rsidR="00D1587D" w:rsidRDefault="00410D07">
      <w:pPr>
        <w:jc w:val="center"/>
        <w:rPr>
          <w:sz w:val="20"/>
          <w:szCs w:val="20"/>
        </w:rPr>
      </w:pPr>
      <w:r>
        <w:rPr>
          <w:rFonts w:ascii="Arial" w:eastAsia="Arial" w:hAnsi="Arial" w:cs="Arial"/>
          <w:sz w:val="18"/>
          <w:szCs w:val="18"/>
        </w:rPr>
        <w:t>69</w:t>
      </w:r>
    </w:p>
    <w:p w14:paraId="7F4FC990" w14:textId="77777777" w:rsidR="00D1587D" w:rsidRDefault="00410D07">
      <w:pPr>
        <w:spacing w:line="20" w:lineRule="exact"/>
        <w:rPr>
          <w:sz w:val="20"/>
          <w:szCs w:val="20"/>
        </w:rPr>
      </w:pPr>
      <w:r>
        <w:rPr>
          <w:noProof/>
          <w:sz w:val="20"/>
          <w:szCs w:val="20"/>
        </w:rPr>
        <w:drawing>
          <wp:anchor distT="0" distB="0" distL="114300" distR="114300" simplePos="0" relativeHeight="251612160" behindDoc="1" locked="0" layoutInCell="0" allowOverlap="1" wp14:anchorId="549B64DD" wp14:editId="687951AB">
            <wp:simplePos x="0" y="0"/>
            <wp:positionH relativeFrom="column">
              <wp:posOffset>-636905</wp:posOffset>
            </wp:positionH>
            <wp:positionV relativeFrom="paragraph">
              <wp:posOffset>126365</wp:posOffset>
            </wp:positionV>
            <wp:extent cx="6995160" cy="17145"/>
            <wp:effectExtent l="0" t="0" r="0" b="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2F497F1" w14:textId="77777777" w:rsidR="00D1587D" w:rsidRDefault="00D1587D">
      <w:pPr>
        <w:sectPr w:rsidR="00D1587D">
          <w:pgSz w:w="11900" w:h="16838"/>
          <w:pgMar w:top="265" w:right="1440" w:bottom="1440" w:left="1440" w:header="0" w:footer="0" w:gutter="0"/>
          <w:cols w:space="720" w:equalWidth="0">
            <w:col w:w="9019"/>
          </w:cols>
        </w:sectPr>
      </w:pPr>
    </w:p>
    <w:bookmarkStart w:id="327" w:name="page328"/>
    <w:bookmarkEnd w:id="327"/>
    <w:p w14:paraId="6C75D17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EF2998C" w14:textId="77777777" w:rsidR="00D1587D" w:rsidRDefault="00D1587D">
      <w:pPr>
        <w:spacing w:line="131" w:lineRule="exact"/>
        <w:rPr>
          <w:sz w:val="20"/>
          <w:szCs w:val="20"/>
        </w:rPr>
      </w:pPr>
    </w:p>
    <w:p w14:paraId="3BF99ADA" w14:textId="77777777" w:rsidR="00D1587D" w:rsidRDefault="00410D07">
      <w:pPr>
        <w:spacing w:line="259" w:lineRule="auto"/>
        <w:ind w:left="1020" w:right="459"/>
        <w:rPr>
          <w:sz w:val="20"/>
          <w:szCs w:val="20"/>
        </w:rPr>
      </w:pPr>
      <w:r>
        <w:rPr>
          <w:rFonts w:ascii="Arial" w:eastAsia="Arial" w:hAnsi="Arial" w:cs="Arial"/>
          <w:sz w:val="18"/>
          <w:szCs w:val="18"/>
        </w:rPr>
        <w:t xml:space="preserve">as production and </w:t>
      </w:r>
      <w:r>
        <w:rPr>
          <w:rFonts w:ascii="Arial" w:eastAsia="Arial" w:hAnsi="Arial" w:cs="Arial"/>
          <w:sz w:val="18"/>
          <w:szCs w:val="18"/>
        </w:rPr>
        <w:t>transportation capacities, has increased. Trends affecting the supply chain include the impact of fluctuating prices of labor and raw materials as well as limitations on shipping capacity. In addition, the announcement or imposition of any new or increased</w:t>
      </w:r>
      <w:r>
        <w:rPr>
          <w:rFonts w:ascii="Arial" w:eastAsia="Arial" w:hAnsi="Arial" w:cs="Arial"/>
          <w:sz w:val="18"/>
          <w:szCs w:val="18"/>
        </w:rPr>
        <w:t xml:space="preserve"> tariffs, duties or taxes could adversely affect our supply chain.</w:t>
      </w:r>
    </w:p>
    <w:p w14:paraId="71B674EF" w14:textId="77777777" w:rsidR="00D1587D" w:rsidRDefault="00D1587D">
      <w:pPr>
        <w:spacing w:line="79" w:lineRule="exact"/>
        <w:rPr>
          <w:sz w:val="20"/>
          <w:szCs w:val="20"/>
        </w:rPr>
      </w:pPr>
    </w:p>
    <w:p w14:paraId="7FB0E98F" w14:textId="77777777" w:rsidR="00D1587D" w:rsidRDefault="00410D07" w:rsidP="00410D07">
      <w:pPr>
        <w:numPr>
          <w:ilvl w:val="0"/>
          <w:numId w:val="285"/>
        </w:numPr>
        <w:tabs>
          <w:tab w:val="left" w:pos="1000"/>
        </w:tabs>
        <w:spacing w:line="275" w:lineRule="auto"/>
        <w:ind w:left="1000" w:right="439" w:hanging="348"/>
        <w:rPr>
          <w:rFonts w:ascii="Arial" w:eastAsia="Arial" w:hAnsi="Arial" w:cs="Arial"/>
          <w:sz w:val="17"/>
          <w:szCs w:val="17"/>
        </w:rPr>
      </w:pPr>
      <w:r>
        <w:rPr>
          <w:rFonts w:ascii="Arial" w:eastAsia="Arial" w:hAnsi="Arial" w:cs="Arial"/>
          <w:b/>
          <w:bCs/>
          <w:i/>
          <w:iCs/>
          <w:sz w:val="17"/>
          <w:szCs w:val="17"/>
        </w:rPr>
        <w:t>Foreign Currencies</w:t>
      </w:r>
      <w:r>
        <w:rPr>
          <w:rFonts w:ascii="Arial" w:eastAsia="Arial" w:hAnsi="Arial" w:cs="Arial"/>
          <w:sz w:val="17"/>
          <w:szCs w:val="17"/>
        </w:rPr>
        <w:t>. Although our revenue and expenses have been predominantly denominated in</w:t>
      </w:r>
      <w:r>
        <w:rPr>
          <w:rFonts w:ascii="Arial" w:eastAsia="Arial" w:hAnsi="Arial" w:cs="Arial"/>
          <w:b/>
          <w:bCs/>
          <w:i/>
          <w:iCs/>
          <w:sz w:val="17"/>
          <w:szCs w:val="17"/>
        </w:rPr>
        <w:t xml:space="preserve"> </w:t>
      </w:r>
      <w:r>
        <w:rPr>
          <w:rFonts w:ascii="Arial" w:eastAsia="Arial" w:hAnsi="Arial" w:cs="Arial"/>
          <w:sz w:val="17"/>
          <w:szCs w:val="17"/>
        </w:rPr>
        <w:t>U.S. dollars, we earn revenues, pay expenses, hold assets and incur liabilities in currencies o</w:t>
      </w:r>
      <w:r>
        <w:rPr>
          <w:rFonts w:ascii="Arial" w:eastAsia="Arial" w:hAnsi="Arial" w:cs="Arial"/>
          <w:sz w:val="17"/>
          <w:szCs w:val="17"/>
        </w:rPr>
        <w:t>ther than the U.S. dollar. Foreign currencies continue to be volatile. Significant fluctuations of the U.S. dollar against various foreign currencies, including the Euro, British Pound and Chinese Yuan may impact our financial results, affecting translatio</w:t>
      </w:r>
      <w:r>
        <w:rPr>
          <w:rFonts w:ascii="Arial" w:eastAsia="Arial" w:hAnsi="Arial" w:cs="Arial"/>
          <w:sz w:val="17"/>
          <w:szCs w:val="17"/>
        </w:rPr>
        <w:t>n, and revenue, operating margins and net income.</w:t>
      </w:r>
    </w:p>
    <w:p w14:paraId="40FD1327" w14:textId="77777777" w:rsidR="00D1587D" w:rsidRDefault="00D1587D">
      <w:pPr>
        <w:spacing w:line="68" w:lineRule="exact"/>
        <w:rPr>
          <w:rFonts w:ascii="Arial" w:eastAsia="Arial" w:hAnsi="Arial" w:cs="Arial"/>
          <w:sz w:val="17"/>
          <w:szCs w:val="17"/>
        </w:rPr>
      </w:pPr>
    </w:p>
    <w:p w14:paraId="47D490EA" w14:textId="77777777" w:rsidR="00D1587D" w:rsidRDefault="00410D07" w:rsidP="00410D07">
      <w:pPr>
        <w:numPr>
          <w:ilvl w:val="0"/>
          <w:numId w:val="285"/>
        </w:numPr>
        <w:tabs>
          <w:tab w:val="left" w:pos="1000"/>
        </w:tabs>
        <w:spacing w:line="275" w:lineRule="auto"/>
        <w:ind w:left="1000" w:right="359" w:hanging="348"/>
        <w:rPr>
          <w:rFonts w:ascii="Arial" w:eastAsia="Arial" w:hAnsi="Arial" w:cs="Arial"/>
          <w:sz w:val="17"/>
          <w:szCs w:val="17"/>
        </w:rPr>
      </w:pPr>
      <w:r>
        <w:rPr>
          <w:rFonts w:ascii="Arial" w:eastAsia="Arial" w:hAnsi="Arial" w:cs="Arial"/>
          <w:b/>
          <w:bCs/>
          <w:i/>
          <w:iCs/>
          <w:sz w:val="17"/>
          <w:szCs w:val="17"/>
        </w:rPr>
        <w:t>Regulations</w:t>
      </w:r>
      <w:r>
        <w:rPr>
          <w:rFonts w:ascii="Arial" w:eastAsia="Arial" w:hAnsi="Arial" w:cs="Arial"/>
          <w:sz w:val="17"/>
          <w:szCs w:val="17"/>
        </w:rPr>
        <w:t>. The current environment has introduced greater uncertainty with respect to potential tax and</w:t>
      </w:r>
      <w:r>
        <w:rPr>
          <w:rFonts w:ascii="Arial" w:eastAsia="Arial" w:hAnsi="Arial" w:cs="Arial"/>
          <w:b/>
          <w:bCs/>
          <w:i/>
          <w:iCs/>
          <w:sz w:val="17"/>
          <w:szCs w:val="17"/>
        </w:rPr>
        <w:t xml:space="preserve"> </w:t>
      </w:r>
      <w:r>
        <w:rPr>
          <w:rFonts w:ascii="Arial" w:eastAsia="Arial" w:hAnsi="Arial" w:cs="Arial"/>
          <w:sz w:val="17"/>
          <w:szCs w:val="17"/>
        </w:rPr>
        <w:t>trade regulations. The current domestic and international political environment, including potentia</w:t>
      </w:r>
      <w:r>
        <w:rPr>
          <w:rFonts w:ascii="Arial" w:eastAsia="Arial" w:hAnsi="Arial" w:cs="Arial"/>
          <w:sz w:val="17"/>
          <w:szCs w:val="17"/>
        </w:rPr>
        <w:t>l changes related to global trade, tariffs and taxation, have resulted in uncertainty Such changes may require us to modify our current sourcing practices, which may impact our product costs and, if not mitigated, could have a material adverse effect on ou</w:t>
      </w:r>
      <w:r>
        <w:rPr>
          <w:rFonts w:ascii="Arial" w:eastAsia="Arial" w:hAnsi="Arial" w:cs="Arial"/>
          <w:sz w:val="17"/>
          <w:szCs w:val="17"/>
        </w:rPr>
        <w:t>r business and results of operations.</w:t>
      </w:r>
    </w:p>
    <w:p w14:paraId="40C8415E" w14:textId="77777777" w:rsidR="00D1587D" w:rsidRDefault="00D1587D">
      <w:pPr>
        <w:spacing w:line="68" w:lineRule="exact"/>
        <w:rPr>
          <w:rFonts w:ascii="Arial" w:eastAsia="Arial" w:hAnsi="Arial" w:cs="Arial"/>
          <w:sz w:val="17"/>
          <w:szCs w:val="17"/>
        </w:rPr>
      </w:pPr>
    </w:p>
    <w:p w14:paraId="5D807D40" w14:textId="77777777" w:rsidR="00D1587D" w:rsidRDefault="00410D07" w:rsidP="00410D07">
      <w:pPr>
        <w:numPr>
          <w:ilvl w:val="0"/>
          <w:numId w:val="285"/>
        </w:numPr>
        <w:tabs>
          <w:tab w:val="left" w:pos="1000"/>
        </w:tabs>
        <w:spacing w:line="263" w:lineRule="auto"/>
        <w:ind w:left="1000" w:right="359" w:hanging="348"/>
        <w:rPr>
          <w:rFonts w:ascii="Arial" w:eastAsia="Arial" w:hAnsi="Arial" w:cs="Arial"/>
          <w:sz w:val="18"/>
          <w:szCs w:val="18"/>
        </w:rPr>
      </w:pPr>
      <w:r>
        <w:rPr>
          <w:rFonts w:ascii="Arial" w:eastAsia="Arial" w:hAnsi="Arial" w:cs="Arial"/>
          <w:b/>
          <w:bCs/>
          <w:i/>
          <w:iCs/>
          <w:sz w:val="18"/>
          <w:szCs w:val="18"/>
        </w:rPr>
        <w:t>Public Company Costs</w:t>
      </w:r>
      <w:r>
        <w:rPr>
          <w:rFonts w:ascii="Arial" w:eastAsia="Arial" w:hAnsi="Arial" w:cs="Arial"/>
          <w:sz w:val="18"/>
          <w:szCs w:val="18"/>
        </w:rPr>
        <w:t>. As a result of the Separation and costs associated with running an independent,</w:t>
      </w:r>
      <w:r>
        <w:rPr>
          <w:rFonts w:ascii="Arial" w:eastAsia="Arial" w:hAnsi="Arial" w:cs="Arial"/>
          <w:b/>
          <w:bCs/>
          <w:i/>
          <w:iCs/>
          <w:sz w:val="18"/>
          <w:szCs w:val="18"/>
        </w:rPr>
        <w:t xml:space="preserve"> </w:t>
      </w:r>
      <w:r>
        <w:rPr>
          <w:rFonts w:ascii="Arial" w:eastAsia="Arial" w:hAnsi="Arial" w:cs="Arial"/>
          <w:sz w:val="18"/>
          <w:szCs w:val="18"/>
        </w:rPr>
        <w:t>publicly traded company, we expect to incur expenditures that are higher than historical allocations, which may hav</w:t>
      </w:r>
      <w:r>
        <w:rPr>
          <w:rFonts w:ascii="Arial" w:eastAsia="Arial" w:hAnsi="Arial" w:cs="Arial"/>
          <w:sz w:val="18"/>
          <w:szCs w:val="18"/>
        </w:rPr>
        <w:t>e an impact on our profitability and operating cash flows.</w:t>
      </w:r>
    </w:p>
    <w:p w14:paraId="2551F2BE" w14:textId="77777777" w:rsidR="00D1587D" w:rsidRDefault="00D1587D">
      <w:pPr>
        <w:spacing w:line="76" w:lineRule="exact"/>
        <w:rPr>
          <w:sz w:val="20"/>
          <w:szCs w:val="20"/>
        </w:rPr>
      </w:pPr>
    </w:p>
    <w:p w14:paraId="53DA2B7A" w14:textId="77777777" w:rsidR="00D1587D" w:rsidRDefault="00410D07">
      <w:pPr>
        <w:spacing w:line="301" w:lineRule="auto"/>
        <w:ind w:left="300" w:right="519" w:firstLine="360"/>
        <w:rPr>
          <w:sz w:val="20"/>
          <w:szCs w:val="20"/>
        </w:rPr>
      </w:pPr>
      <w:r>
        <w:rPr>
          <w:rFonts w:ascii="Arial" w:eastAsia="Arial" w:hAnsi="Arial" w:cs="Arial"/>
          <w:sz w:val="16"/>
          <w:szCs w:val="16"/>
        </w:rPr>
        <w:t xml:space="preserve">These factors contribute to a global market environment of intense competition, constant product innovation and continuing cost pressure, and combine with the continuing global economic </w:t>
      </w:r>
      <w:r>
        <w:rPr>
          <w:rFonts w:ascii="Arial" w:eastAsia="Arial" w:hAnsi="Arial" w:cs="Arial"/>
          <w:sz w:val="16"/>
          <w:szCs w:val="16"/>
        </w:rPr>
        <w:t>conditions to create a challenging commercial and economic environment. We evaluate these factors as we develop and execute our strategies. For more information on the risk factors affecting our business, see “Risk Factors” in this information statement.</w:t>
      </w:r>
    </w:p>
    <w:p w14:paraId="73C2D9F5" w14:textId="77777777" w:rsidR="00D1587D" w:rsidRDefault="00D1587D">
      <w:pPr>
        <w:spacing w:line="207" w:lineRule="exact"/>
        <w:rPr>
          <w:sz w:val="20"/>
          <w:szCs w:val="20"/>
        </w:rPr>
      </w:pPr>
    </w:p>
    <w:p w14:paraId="153088C3" w14:textId="77777777" w:rsidR="00D1587D" w:rsidRDefault="00410D07">
      <w:pPr>
        <w:ind w:left="300"/>
        <w:rPr>
          <w:sz w:val="20"/>
          <w:szCs w:val="20"/>
        </w:rPr>
      </w:pPr>
      <w:r>
        <w:rPr>
          <w:rFonts w:ascii="Arial" w:eastAsia="Arial" w:hAnsi="Arial" w:cs="Arial"/>
          <w:b/>
          <w:bCs/>
          <w:sz w:val="18"/>
          <w:szCs w:val="18"/>
        </w:rPr>
        <w:t>Background</w:t>
      </w:r>
    </w:p>
    <w:p w14:paraId="01FB64F4" w14:textId="77777777" w:rsidR="00D1587D" w:rsidRDefault="00D1587D">
      <w:pPr>
        <w:spacing w:line="121" w:lineRule="exact"/>
        <w:rPr>
          <w:sz w:val="20"/>
          <w:szCs w:val="20"/>
        </w:rPr>
      </w:pPr>
    </w:p>
    <w:p w14:paraId="245C9C64" w14:textId="77777777" w:rsidR="00D1587D" w:rsidRDefault="00410D07">
      <w:pPr>
        <w:spacing w:line="287" w:lineRule="auto"/>
        <w:ind w:left="300" w:right="579" w:firstLine="360"/>
        <w:rPr>
          <w:sz w:val="20"/>
          <w:szCs w:val="20"/>
        </w:rPr>
      </w:pPr>
      <w:r>
        <w:rPr>
          <w:rFonts w:ascii="Arial" w:eastAsia="Arial" w:hAnsi="Arial" w:cs="Arial"/>
          <w:sz w:val="16"/>
          <w:szCs w:val="16"/>
        </w:rPr>
        <w:t xml:space="preserve">On May 11, 2021, LB announced the repositioning of LB through the spinoff of the VS Business from its remaining business to create an independent, publicly traded company. Directly or indirectly through our subsidiaries, we will hold </w:t>
      </w:r>
      <w:r>
        <w:rPr>
          <w:rFonts w:ascii="Arial" w:eastAsia="Arial" w:hAnsi="Arial" w:cs="Arial"/>
          <w:sz w:val="16"/>
          <w:szCs w:val="16"/>
        </w:rPr>
        <w:t>certain assets and liabilities of the VS Business after the Separation. Each holder of LB</w:t>
      </w:r>
    </w:p>
    <w:p w14:paraId="0FE86134" w14:textId="77777777" w:rsidR="00D1587D" w:rsidRDefault="00D1587D">
      <w:pPr>
        <w:spacing w:line="2" w:lineRule="exact"/>
        <w:rPr>
          <w:sz w:val="20"/>
          <w:szCs w:val="20"/>
        </w:rPr>
      </w:pPr>
    </w:p>
    <w:p w14:paraId="60E5CD33" w14:textId="77777777" w:rsidR="00D1587D" w:rsidRDefault="00410D07">
      <w:pPr>
        <w:spacing w:line="253" w:lineRule="auto"/>
        <w:ind w:left="300" w:right="339"/>
        <w:rPr>
          <w:sz w:val="20"/>
          <w:szCs w:val="20"/>
        </w:rPr>
      </w:pPr>
      <w:r>
        <w:rPr>
          <w:rFonts w:ascii="Arial" w:eastAsia="Arial" w:hAnsi="Arial" w:cs="Arial"/>
          <w:sz w:val="18"/>
          <w:szCs w:val="18"/>
        </w:rPr>
        <w:t>common stock will receive one share of common stock of VS for every shares of LB common stock held as of the close of business on the record date for the Distributio</w:t>
      </w:r>
      <w:r>
        <w:rPr>
          <w:rFonts w:ascii="Arial" w:eastAsia="Arial" w:hAnsi="Arial" w:cs="Arial"/>
          <w:sz w:val="18"/>
          <w:szCs w:val="18"/>
        </w:rPr>
        <w:t>n. Following the Separation, we will be an independent, publicly traded company, and LB will retain no ownership interest in us. For additional information, see “The Separation.”</w:t>
      </w:r>
    </w:p>
    <w:p w14:paraId="6AFDF80A" w14:textId="77777777" w:rsidR="00D1587D" w:rsidRDefault="00D1587D">
      <w:pPr>
        <w:spacing w:line="229" w:lineRule="exact"/>
        <w:rPr>
          <w:sz w:val="20"/>
          <w:szCs w:val="20"/>
        </w:rPr>
      </w:pPr>
    </w:p>
    <w:p w14:paraId="2C2181A8" w14:textId="77777777" w:rsidR="00D1587D" w:rsidRDefault="00410D07">
      <w:pPr>
        <w:ind w:left="300"/>
        <w:rPr>
          <w:sz w:val="20"/>
          <w:szCs w:val="20"/>
        </w:rPr>
      </w:pPr>
      <w:r>
        <w:rPr>
          <w:rFonts w:ascii="Arial" w:eastAsia="Arial" w:hAnsi="Arial" w:cs="Arial"/>
          <w:b/>
          <w:bCs/>
          <w:sz w:val="18"/>
          <w:szCs w:val="18"/>
        </w:rPr>
        <w:t>Basis of Presentation</w:t>
      </w:r>
    </w:p>
    <w:p w14:paraId="1C77E4C6" w14:textId="77777777" w:rsidR="00D1587D" w:rsidRDefault="00D1587D">
      <w:pPr>
        <w:spacing w:line="121" w:lineRule="exact"/>
        <w:rPr>
          <w:sz w:val="20"/>
          <w:szCs w:val="20"/>
        </w:rPr>
      </w:pPr>
    </w:p>
    <w:p w14:paraId="3E903222" w14:textId="77777777" w:rsidR="00D1587D" w:rsidRDefault="00410D07">
      <w:pPr>
        <w:spacing w:line="269" w:lineRule="auto"/>
        <w:ind w:left="300" w:right="299" w:firstLine="360"/>
        <w:rPr>
          <w:sz w:val="20"/>
          <w:szCs w:val="20"/>
        </w:rPr>
      </w:pPr>
      <w:r>
        <w:rPr>
          <w:rFonts w:ascii="Arial" w:eastAsia="Arial" w:hAnsi="Arial" w:cs="Arial"/>
          <w:sz w:val="17"/>
          <w:szCs w:val="17"/>
        </w:rPr>
        <w:t>We have historically operated as part of LB and not a</w:t>
      </w:r>
      <w:r>
        <w:rPr>
          <w:rFonts w:ascii="Arial" w:eastAsia="Arial" w:hAnsi="Arial" w:cs="Arial"/>
          <w:sz w:val="17"/>
          <w:szCs w:val="17"/>
        </w:rPr>
        <w:t>s a standalone company. The accompanying audited combined financial statements and unaudited interim combined financial statements included in this information statement were prepared in connection with the Separation and were derived from the consolidated</w:t>
      </w:r>
      <w:r>
        <w:rPr>
          <w:rFonts w:ascii="Arial" w:eastAsia="Arial" w:hAnsi="Arial" w:cs="Arial"/>
          <w:sz w:val="17"/>
          <w:szCs w:val="17"/>
        </w:rPr>
        <w:t xml:space="preserve"> financial statements and accounting records of LB. These combined financial statements reflect our combined historical financial position, results of operations, and cash flows as they were historically managed in accordance with GAAP. The combined financ</w:t>
      </w:r>
      <w:r>
        <w:rPr>
          <w:rFonts w:ascii="Arial" w:eastAsia="Arial" w:hAnsi="Arial" w:cs="Arial"/>
          <w:sz w:val="17"/>
          <w:szCs w:val="17"/>
        </w:rPr>
        <w:t>ial statements may not be indicative of our future performance and do not necessarily reflect what the financial position, results of operations, and cash flows would have been had we operated as an independent, publicly traded company during the periods p</w:t>
      </w:r>
      <w:r>
        <w:rPr>
          <w:rFonts w:ascii="Arial" w:eastAsia="Arial" w:hAnsi="Arial" w:cs="Arial"/>
          <w:sz w:val="17"/>
          <w:szCs w:val="17"/>
        </w:rPr>
        <w:t>resented, particularly because of changes we expect to experience in the future as a result of the Separation, including changes in the financing, cash management, operations, cost structure and personnel needs of our business.</w:t>
      </w:r>
    </w:p>
    <w:p w14:paraId="3CE010A7" w14:textId="77777777" w:rsidR="00D1587D" w:rsidRDefault="00D1587D">
      <w:pPr>
        <w:spacing w:line="77" w:lineRule="exact"/>
        <w:rPr>
          <w:sz w:val="20"/>
          <w:szCs w:val="20"/>
        </w:rPr>
      </w:pPr>
    </w:p>
    <w:p w14:paraId="7AEBA963" w14:textId="77777777" w:rsidR="00D1587D" w:rsidRDefault="00410D07">
      <w:pPr>
        <w:spacing w:line="254" w:lineRule="auto"/>
        <w:ind w:left="300" w:right="419" w:firstLine="360"/>
        <w:rPr>
          <w:sz w:val="20"/>
          <w:szCs w:val="20"/>
        </w:rPr>
      </w:pPr>
      <w:r>
        <w:rPr>
          <w:rFonts w:ascii="Arial" w:eastAsia="Arial" w:hAnsi="Arial" w:cs="Arial"/>
          <w:sz w:val="18"/>
          <w:szCs w:val="18"/>
        </w:rPr>
        <w:t>The combined financial stat</w:t>
      </w:r>
      <w:r>
        <w:rPr>
          <w:rFonts w:ascii="Arial" w:eastAsia="Arial" w:hAnsi="Arial" w:cs="Arial"/>
          <w:sz w:val="18"/>
          <w:szCs w:val="18"/>
        </w:rPr>
        <w:t>ements include certain LB assets and liabilities that are specifically identifiable or otherwise attributable to us. Our combined statements of income (loss) also include costs for certain functions, including information technology, human resources and st</w:t>
      </w:r>
      <w:r>
        <w:rPr>
          <w:rFonts w:ascii="Arial" w:eastAsia="Arial" w:hAnsi="Arial" w:cs="Arial"/>
          <w:sz w:val="18"/>
          <w:szCs w:val="18"/>
        </w:rPr>
        <w:t>ore design and construction, that historically were provided and administered on a centralized basis by LB. In 2020, as part of the steps to prepare VS to operate as a separate standalone company, these functions were transitioned to the VS business and ar</w:t>
      </w:r>
      <w:r>
        <w:rPr>
          <w:rFonts w:ascii="Arial" w:eastAsia="Arial" w:hAnsi="Arial" w:cs="Arial"/>
          <w:sz w:val="18"/>
          <w:szCs w:val="18"/>
        </w:rPr>
        <w:t>e now operated and administered as part of VS. Prior to the transition of these functions in 2020, these costs were directly charged to us by LB.</w:t>
      </w:r>
    </w:p>
    <w:p w14:paraId="3DCE292F" w14:textId="77777777" w:rsidR="00D1587D" w:rsidRDefault="00D1587D">
      <w:pPr>
        <w:spacing w:line="87" w:lineRule="exact"/>
        <w:rPr>
          <w:sz w:val="20"/>
          <w:szCs w:val="20"/>
        </w:rPr>
      </w:pPr>
    </w:p>
    <w:p w14:paraId="290ED168" w14:textId="77777777" w:rsidR="00D1587D" w:rsidRDefault="00410D07">
      <w:pPr>
        <w:spacing w:line="342" w:lineRule="auto"/>
        <w:ind w:left="300" w:right="599" w:firstLine="360"/>
        <w:rPr>
          <w:sz w:val="20"/>
          <w:szCs w:val="20"/>
        </w:rPr>
      </w:pPr>
      <w:r>
        <w:rPr>
          <w:rFonts w:ascii="Arial" w:eastAsia="Arial" w:hAnsi="Arial" w:cs="Arial"/>
          <w:sz w:val="16"/>
          <w:szCs w:val="16"/>
        </w:rPr>
        <w:t xml:space="preserve">In addition, for purposes of preparing the combined financial statements on a “carve-out” basis, a </w:t>
      </w:r>
      <w:r>
        <w:rPr>
          <w:rFonts w:ascii="Arial" w:eastAsia="Arial" w:hAnsi="Arial" w:cs="Arial"/>
          <w:sz w:val="16"/>
          <w:szCs w:val="16"/>
        </w:rPr>
        <w:t>portion of LB’s corporate expenses have been allocated to us. These expense allocations include the cost of corporate</w:t>
      </w:r>
    </w:p>
    <w:p w14:paraId="38845ABF" w14:textId="77777777" w:rsidR="00D1587D" w:rsidRDefault="00D1587D">
      <w:pPr>
        <w:spacing w:line="124" w:lineRule="exact"/>
        <w:rPr>
          <w:sz w:val="20"/>
          <w:szCs w:val="20"/>
        </w:rPr>
      </w:pPr>
    </w:p>
    <w:p w14:paraId="489A34AB" w14:textId="77777777" w:rsidR="00D1587D" w:rsidRDefault="00410D07">
      <w:pPr>
        <w:jc w:val="center"/>
        <w:rPr>
          <w:sz w:val="20"/>
          <w:szCs w:val="20"/>
        </w:rPr>
      </w:pPr>
      <w:r>
        <w:rPr>
          <w:rFonts w:ascii="Arial" w:eastAsia="Arial" w:hAnsi="Arial" w:cs="Arial"/>
          <w:sz w:val="18"/>
          <w:szCs w:val="18"/>
        </w:rPr>
        <w:t>70</w:t>
      </w:r>
    </w:p>
    <w:p w14:paraId="5EE35172" w14:textId="77777777" w:rsidR="00D1587D" w:rsidRDefault="00410D07">
      <w:pPr>
        <w:spacing w:line="20" w:lineRule="exact"/>
        <w:rPr>
          <w:sz w:val="20"/>
          <w:szCs w:val="20"/>
        </w:rPr>
      </w:pPr>
      <w:r>
        <w:rPr>
          <w:noProof/>
          <w:sz w:val="20"/>
          <w:szCs w:val="20"/>
        </w:rPr>
        <w:drawing>
          <wp:anchor distT="0" distB="0" distL="114300" distR="114300" simplePos="0" relativeHeight="251613184" behindDoc="1" locked="0" layoutInCell="0" allowOverlap="1" wp14:anchorId="113EEFBB" wp14:editId="367F8DE9">
            <wp:simplePos x="0" y="0"/>
            <wp:positionH relativeFrom="column">
              <wp:posOffset>-636905</wp:posOffset>
            </wp:positionH>
            <wp:positionV relativeFrom="paragraph">
              <wp:posOffset>126365</wp:posOffset>
            </wp:positionV>
            <wp:extent cx="6995160" cy="17145"/>
            <wp:effectExtent l="0" t="0" r="0" b="0"/>
            <wp:wrapNone/>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1B86DA3" w14:textId="77777777" w:rsidR="00D1587D" w:rsidRDefault="00D1587D">
      <w:pPr>
        <w:sectPr w:rsidR="00D1587D">
          <w:pgSz w:w="11900" w:h="16838"/>
          <w:pgMar w:top="265" w:right="1440" w:bottom="1440" w:left="1440" w:header="0" w:footer="0" w:gutter="0"/>
          <w:cols w:space="720" w:equalWidth="0">
            <w:col w:w="9019"/>
          </w:cols>
        </w:sectPr>
      </w:pPr>
    </w:p>
    <w:bookmarkStart w:id="328" w:name="page329"/>
    <w:bookmarkEnd w:id="328"/>
    <w:p w14:paraId="2B52DD4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4FFEF8B" w14:textId="77777777" w:rsidR="00D1587D" w:rsidRDefault="00D1587D">
      <w:pPr>
        <w:spacing w:line="131" w:lineRule="exact"/>
        <w:rPr>
          <w:sz w:val="20"/>
          <w:szCs w:val="20"/>
        </w:rPr>
      </w:pPr>
    </w:p>
    <w:p w14:paraId="09957FEA" w14:textId="77777777" w:rsidR="00D1587D" w:rsidRDefault="00410D07">
      <w:pPr>
        <w:spacing w:line="272" w:lineRule="auto"/>
        <w:ind w:left="300" w:right="499"/>
        <w:rPr>
          <w:sz w:val="20"/>
          <w:szCs w:val="20"/>
        </w:rPr>
      </w:pPr>
      <w:r>
        <w:rPr>
          <w:rFonts w:ascii="Arial" w:eastAsia="Arial" w:hAnsi="Arial" w:cs="Arial"/>
          <w:sz w:val="17"/>
          <w:szCs w:val="17"/>
        </w:rPr>
        <w:t>functions and resources that continued to be provided by or adminis</w:t>
      </w:r>
      <w:r>
        <w:rPr>
          <w:rFonts w:ascii="Arial" w:eastAsia="Arial" w:hAnsi="Arial" w:cs="Arial"/>
          <w:sz w:val="17"/>
          <w:szCs w:val="17"/>
        </w:rPr>
        <w:t>tered by LB including, but not limited to, executive management and other corporate and governance functions, such as finance, internal audit, tax and treasury. The related employee payroll and benefit costs associated with such functions, such as share-ba</w:t>
      </w:r>
      <w:r>
        <w:rPr>
          <w:rFonts w:ascii="Arial" w:eastAsia="Arial" w:hAnsi="Arial" w:cs="Arial"/>
          <w:sz w:val="17"/>
          <w:szCs w:val="17"/>
        </w:rPr>
        <w:t>sed compensation, are included in the expense allocations. Corporate expenses of $77 million in 2020, $110 million in 2019 and $118 million in 2018 were allocated and are included in our combined statements of income (loss). Corporate expenses of $19 milli</w:t>
      </w:r>
      <w:r>
        <w:rPr>
          <w:rFonts w:ascii="Arial" w:eastAsia="Arial" w:hAnsi="Arial" w:cs="Arial"/>
          <w:sz w:val="17"/>
          <w:szCs w:val="17"/>
        </w:rPr>
        <w:t>on in the first quarter of 2021 and $20 million in the first quarter of 2020 were allocated and are included in our interim combined statements of income (loss).</w:t>
      </w:r>
    </w:p>
    <w:p w14:paraId="4758F45F" w14:textId="77777777" w:rsidR="00D1587D" w:rsidRDefault="00D1587D">
      <w:pPr>
        <w:spacing w:line="69" w:lineRule="exact"/>
        <w:rPr>
          <w:sz w:val="20"/>
          <w:szCs w:val="20"/>
        </w:rPr>
      </w:pPr>
    </w:p>
    <w:p w14:paraId="3AA3BB7A" w14:textId="77777777" w:rsidR="00D1587D" w:rsidRDefault="00410D07">
      <w:pPr>
        <w:spacing w:line="287" w:lineRule="auto"/>
        <w:ind w:left="300" w:right="319" w:firstLine="360"/>
        <w:rPr>
          <w:sz w:val="20"/>
          <w:szCs w:val="20"/>
        </w:rPr>
      </w:pPr>
      <w:r>
        <w:rPr>
          <w:rFonts w:ascii="Arial" w:eastAsia="Arial" w:hAnsi="Arial" w:cs="Arial"/>
          <w:sz w:val="16"/>
          <w:szCs w:val="16"/>
        </w:rPr>
        <w:t>Costs were allocated to us based on direct usage when identifiable or, when not directly iden</w:t>
      </w:r>
      <w:r>
        <w:rPr>
          <w:rFonts w:ascii="Arial" w:eastAsia="Arial" w:hAnsi="Arial" w:cs="Arial"/>
          <w:sz w:val="16"/>
          <w:szCs w:val="16"/>
        </w:rPr>
        <w:t xml:space="preserve">tifiable, on the basis of proportional net sales. Management considers the basis on which the expenses have been allocated to reasonably reflect the utilization of services provided to, or the benefit received by, us during the periods presented. However, </w:t>
      </w:r>
      <w:r>
        <w:rPr>
          <w:rFonts w:ascii="Arial" w:eastAsia="Arial" w:hAnsi="Arial" w:cs="Arial"/>
          <w:sz w:val="16"/>
          <w:szCs w:val="16"/>
        </w:rPr>
        <w:t>the allocations may not reflect the expenses we would have incurred if we had been a standalone company for the periods presented. Actual costs that may have been incurred if we had been a standalone company would depend on a number of factors, including t</w:t>
      </w:r>
      <w:r>
        <w:rPr>
          <w:rFonts w:ascii="Arial" w:eastAsia="Arial" w:hAnsi="Arial" w:cs="Arial"/>
          <w:sz w:val="16"/>
          <w:szCs w:val="16"/>
        </w:rPr>
        <w:t>he organizational structure, whether functions were outsourced or performed by employees, and strategic and capital decisions. Going forward, we may perform these functions using our own resources or outsourced services. For a period following the Separati</w:t>
      </w:r>
      <w:r>
        <w:rPr>
          <w:rFonts w:ascii="Arial" w:eastAsia="Arial" w:hAnsi="Arial" w:cs="Arial"/>
          <w:sz w:val="16"/>
          <w:szCs w:val="16"/>
        </w:rPr>
        <w:t xml:space="preserve">on, however, some of these functions will continue to be provided to us by LB under a L Brands to VS Transition Services Agreement. Additionally, we will temporarily provide some services to LB under a VS to L Brands Transition Services Agreement. We also </w:t>
      </w:r>
      <w:r>
        <w:rPr>
          <w:rFonts w:ascii="Arial" w:eastAsia="Arial" w:hAnsi="Arial" w:cs="Arial"/>
          <w:sz w:val="16"/>
          <w:szCs w:val="16"/>
        </w:rPr>
        <w:t>will enter into certain commercial arrangements with LB in connection with the Separation.</w:t>
      </w:r>
    </w:p>
    <w:p w14:paraId="365BFE6E" w14:textId="77777777" w:rsidR="00D1587D" w:rsidRDefault="00D1587D">
      <w:pPr>
        <w:spacing w:line="64" w:lineRule="exact"/>
        <w:rPr>
          <w:sz w:val="20"/>
          <w:szCs w:val="20"/>
        </w:rPr>
      </w:pPr>
    </w:p>
    <w:p w14:paraId="023C83E7" w14:textId="77777777" w:rsidR="00D1587D" w:rsidRDefault="00410D07">
      <w:pPr>
        <w:spacing w:line="272" w:lineRule="auto"/>
        <w:ind w:left="300" w:right="379" w:firstLine="360"/>
        <w:rPr>
          <w:sz w:val="20"/>
          <w:szCs w:val="20"/>
        </w:rPr>
      </w:pPr>
      <w:r>
        <w:rPr>
          <w:rFonts w:ascii="Arial" w:eastAsia="Arial" w:hAnsi="Arial" w:cs="Arial"/>
          <w:sz w:val="17"/>
          <w:szCs w:val="17"/>
        </w:rPr>
        <w:t>Subsequent to the completion of the Separation, we expect to incur expenditures to establish certain standalone functions and information technology systems, and ot</w:t>
      </w:r>
      <w:r>
        <w:rPr>
          <w:rFonts w:ascii="Arial" w:eastAsia="Arial" w:hAnsi="Arial" w:cs="Arial"/>
          <w:sz w:val="17"/>
          <w:szCs w:val="17"/>
        </w:rPr>
        <w:t>her one-time costs. Recurring standalone costs include accounting, tax, regulatory compliance, corporate governance, treasury, legal, internal audit and investor relations functions, as well as the annual expenses associated with running an independent, pu</w:t>
      </w:r>
      <w:r>
        <w:rPr>
          <w:rFonts w:ascii="Arial" w:eastAsia="Arial" w:hAnsi="Arial" w:cs="Arial"/>
          <w:sz w:val="17"/>
          <w:szCs w:val="17"/>
        </w:rPr>
        <w:t>blicly traded company including listing fees, board of director fees and external audit costs. We expect recurring standalone costs to be higher than historical allocations, which may have an impact on profitability and operating cash flows. See “Unaudited</w:t>
      </w:r>
      <w:r>
        <w:rPr>
          <w:rFonts w:ascii="Arial" w:eastAsia="Arial" w:hAnsi="Arial" w:cs="Arial"/>
          <w:sz w:val="17"/>
          <w:szCs w:val="17"/>
        </w:rPr>
        <w:t xml:space="preserve"> Pro Forma Combined Financial Statements” for more information.</w:t>
      </w:r>
    </w:p>
    <w:p w14:paraId="669CE266" w14:textId="77777777" w:rsidR="00D1587D" w:rsidRDefault="00D1587D">
      <w:pPr>
        <w:spacing w:line="69" w:lineRule="exact"/>
        <w:rPr>
          <w:sz w:val="20"/>
          <w:szCs w:val="20"/>
        </w:rPr>
      </w:pPr>
    </w:p>
    <w:p w14:paraId="2BA646B7" w14:textId="77777777" w:rsidR="00D1587D" w:rsidRDefault="00410D07">
      <w:pPr>
        <w:spacing w:line="255" w:lineRule="auto"/>
        <w:ind w:left="300" w:right="339" w:firstLine="360"/>
        <w:rPr>
          <w:sz w:val="20"/>
          <w:szCs w:val="20"/>
        </w:rPr>
      </w:pPr>
      <w:r>
        <w:rPr>
          <w:rFonts w:ascii="Arial" w:eastAsia="Arial" w:hAnsi="Arial" w:cs="Arial"/>
          <w:sz w:val="18"/>
          <w:szCs w:val="18"/>
        </w:rPr>
        <w:t>We manage and evaluate business activities based on geography and, as a result, determined that the Victoria’s Secret North America and Victoria’s Secret International businesses are our oper</w:t>
      </w:r>
      <w:r>
        <w:rPr>
          <w:rFonts w:ascii="Arial" w:eastAsia="Arial" w:hAnsi="Arial" w:cs="Arial"/>
          <w:sz w:val="18"/>
          <w:szCs w:val="18"/>
        </w:rPr>
        <w:t>ating segments. The North America and International operating segments both sell women’s intimate and other apparel and beauty products under the Victoria’s Secret and PINK brand names and serve customers through stores and online channels. The operating s</w:t>
      </w:r>
      <w:r>
        <w:rPr>
          <w:rFonts w:ascii="Arial" w:eastAsia="Arial" w:hAnsi="Arial" w:cs="Arial"/>
          <w:sz w:val="18"/>
          <w:szCs w:val="18"/>
        </w:rPr>
        <w:t>egments share similar economic and other qualitative characteristics and, therefore, the results are aggregated into one reportable segment.</w:t>
      </w:r>
    </w:p>
    <w:p w14:paraId="24F394ED" w14:textId="77777777" w:rsidR="00D1587D" w:rsidRDefault="00D1587D">
      <w:pPr>
        <w:spacing w:line="84" w:lineRule="exact"/>
        <w:rPr>
          <w:sz w:val="20"/>
          <w:szCs w:val="20"/>
        </w:rPr>
      </w:pPr>
    </w:p>
    <w:p w14:paraId="2FA515A6" w14:textId="77777777" w:rsidR="00D1587D" w:rsidRDefault="00410D07">
      <w:pPr>
        <w:spacing w:line="259" w:lineRule="auto"/>
        <w:ind w:left="300" w:right="359" w:firstLine="360"/>
        <w:rPr>
          <w:sz w:val="20"/>
          <w:szCs w:val="20"/>
        </w:rPr>
      </w:pPr>
      <w:r>
        <w:rPr>
          <w:rFonts w:ascii="Arial" w:eastAsia="Arial" w:hAnsi="Arial" w:cs="Arial"/>
          <w:sz w:val="18"/>
          <w:szCs w:val="18"/>
        </w:rPr>
        <w:t xml:space="preserve">Our fiscal year ends on the Saturday nearest to January 31. As used herein, “2020,” “2019” and “2018” refer to </w:t>
      </w:r>
      <w:r>
        <w:rPr>
          <w:rFonts w:ascii="Arial" w:eastAsia="Arial" w:hAnsi="Arial" w:cs="Arial"/>
          <w:sz w:val="18"/>
          <w:szCs w:val="18"/>
        </w:rPr>
        <w:t>the 52-week periods ended January 30, 2021, February 1, 2020 and February 2, 2019, respectively. As used herein, “first quarter of 2021” and “first quarter of 2020” refer to the thirteen weeks ended May 1, 2021 and May 2, 2020, respectively.</w:t>
      </w:r>
    </w:p>
    <w:p w14:paraId="6B3C5B11" w14:textId="77777777" w:rsidR="00D1587D" w:rsidRDefault="00D1587D">
      <w:pPr>
        <w:spacing w:line="291" w:lineRule="exact"/>
        <w:rPr>
          <w:sz w:val="20"/>
          <w:szCs w:val="20"/>
        </w:rPr>
      </w:pPr>
    </w:p>
    <w:p w14:paraId="057E8C3F" w14:textId="77777777" w:rsidR="00D1587D" w:rsidRDefault="00410D07">
      <w:pPr>
        <w:ind w:left="300"/>
        <w:rPr>
          <w:sz w:val="20"/>
          <w:szCs w:val="20"/>
        </w:rPr>
      </w:pPr>
      <w:r>
        <w:rPr>
          <w:rFonts w:ascii="Arial" w:eastAsia="Arial" w:hAnsi="Arial" w:cs="Arial"/>
          <w:b/>
          <w:bCs/>
          <w:sz w:val="18"/>
          <w:szCs w:val="18"/>
        </w:rPr>
        <w:t>Components of</w:t>
      </w:r>
      <w:r>
        <w:rPr>
          <w:rFonts w:ascii="Arial" w:eastAsia="Arial" w:hAnsi="Arial" w:cs="Arial"/>
          <w:b/>
          <w:bCs/>
          <w:sz w:val="18"/>
          <w:szCs w:val="18"/>
        </w:rPr>
        <w:t xml:space="preserve"> Results of Operations</w:t>
      </w:r>
    </w:p>
    <w:p w14:paraId="62D7041B" w14:textId="77777777" w:rsidR="00D1587D" w:rsidRDefault="00D1587D">
      <w:pPr>
        <w:spacing w:line="148" w:lineRule="exact"/>
        <w:rPr>
          <w:sz w:val="20"/>
          <w:szCs w:val="20"/>
        </w:rPr>
      </w:pPr>
    </w:p>
    <w:p w14:paraId="6DC57AFD" w14:textId="77777777" w:rsidR="00D1587D" w:rsidRDefault="00410D07">
      <w:pPr>
        <w:ind w:left="660"/>
        <w:rPr>
          <w:sz w:val="20"/>
          <w:szCs w:val="20"/>
        </w:rPr>
      </w:pPr>
      <w:r>
        <w:rPr>
          <w:rFonts w:ascii="Arial" w:eastAsia="Arial" w:hAnsi="Arial" w:cs="Arial"/>
          <w:b/>
          <w:bCs/>
          <w:i/>
          <w:iCs/>
          <w:sz w:val="18"/>
          <w:szCs w:val="18"/>
        </w:rPr>
        <w:t>Net Sales</w:t>
      </w:r>
    </w:p>
    <w:p w14:paraId="4C0C2D6D" w14:textId="77777777" w:rsidR="00D1587D" w:rsidRDefault="00D1587D">
      <w:pPr>
        <w:spacing w:line="117" w:lineRule="exact"/>
        <w:rPr>
          <w:sz w:val="20"/>
          <w:szCs w:val="20"/>
        </w:rPr>
      </w:pPr>
    </w:p>
    <w:p w14:paraId="0A378FA2" w14:textId="77777777" w:rsidR="00D1587D" w:rsidRDefault="00410D07">
      <w:pPr>
        <w:spacing w:line="293" w:lineRule="auto"/>
        <w:ind w:left="300" w:right="319" w:firstLine="360"/>
        <w:rPr>
          <w:sz w:val="20"/>
          <w:szCs w:val="20"/>
        </w:rPr>
      </w:pPr>
      <w:r>
        <w:rPr>
          <w:rFonts w:ascii="Arial" w:eastAsia="Arial" w:hAnsi="Arial" w:cs="Arial"/>
          <w:sz w:val="16"/>
          <w:szCs w:val="16"/>
        </w:rPr>
        <w:t xml:space="preserve">Net sales are comprised of sales to our customers in our company-operated stores in the U.S., Canada, Greater China and the U.K. (prior to the joint venture in the third quarter of 2020); sales to our customers </w:t>
      </w:r>
      <w:r>
        <w:rPr>
          <w:rFonts w:ascii="Arial" w:eastAsia="Arial" w:hAnsi="Arial" w:cs="Arial"/>
          <w:sz w:val="16"/>
          <w:szCs w:val="16"/>
        </w:rPr>
        <w:t>through our direct channel; royalties associated with franchise stores; and wholesale and sourcing sales related to partner-operated stores. Our net sales reflect certain adjustments and other items including gift card breakage revenue, revenue earned in c</w:t>
      </w:r>
      <w:r>
        <w:rPr>
          <w:rFonts w:ascii="Arial" w:eastAsia="Arial" w:hAnsi="Arial" w:cs="Arial"/>
          <w:sz w:val="16"/>
          <w:szCs w:val="16"/>
        </w:rPr>
        <w:t>onnection with our private label credit card arrangement, revenue associated with certain loyalty programs that allow customers to earn points based on purchasing activity and a reserve for projected merchandise returns.</w:t>
      </w:r>
    </w:p>
    <w:p w14:paraId="108DF5F3" w14:textId="77777777" w:rsidR="00D1587D" w:rsidRDefault="00D1587D">
      <w:pPr>
        <w:spacing w:line="272" w:lineRule="exact"/>
        <w:rPr>
          <w:sz w:val="20"/>
          <w:szCs w:val="20"/>
        </w:rPr>
      </w:pPr>
    </w:p>
    <w:p w14:paraId="31211251" w14:textId="77777777" w:rsidR="00D1587D" w:rsidRDefault="00410D07">
      <w:pPr>
        <w:ind w:left="660"/>
        <w:rPr>
          <w:sz w:val="20"/>
          <w:szCs w:val="20"/>
        </w:rPr>
      </w:pPr>
      <w:r>
        <w:rPr>
          <w:rFonts w:ascii="Arial" w:eastAsia="Arial" w:hAnsi="Arial" w:cs="Arial"/>
          <w:b/>
          <w:bCs/>
          <w:i/>
          <w:iCs/>
          <w:sz w:val="18"/>
          <w:szCs w:val="18"/>
        </w:rPr>
        <w:t>Cost of Goods Sold, Buying and Occ</w:t>
      </w:r>
      <w:r>
        <w:rPr>
          <w:rFonts w:ascii="Arial" w:eastAsia="Arial" w:hAnsi="Arial" w:cs="Arial"/>
          <w:b/>
          <w:bCs/>
          <w:i/>
          <w:iCs/>
          <w:sz w:val="18"/>
          <w:szCs w:val="18"/>
        </w:rPr>
        <w:t>upancy</w:t>
      </w:r>
    </w:p>
    <w:p w14:paraId="5CC87940" w14:textId="77777777" w:rsidR="00D1587D" w:rsidRDefault="00D1587D">
      <w:pPr>
        <w:spacing w:line="117" w:lineRule="exact"/>
        <w:rPr>
          <w:sz w:val="20"/>
          <w:szCs w:val="20"/>
        </w:rPr>
      </w:pPr>
    </w:p>
    <w:p w14:paraId="11E08590" w14:textId="77777777" w:rsidR="00D1587D" w:rsidRDefault="00410D07">
      <w:pPr>
        <w:spacing w:line="301" w:lineRule="auto"/>
        <w:ind w:left="300" w:right="499" w:firstLine="360"/>
        <w:rPr>
          <w:sz w:val="20"/>
          <w:szCs w:val="20"/>
        </w:rPr>
      </w:pPr>
      <w:r>
        <w:rPr>
          <w:rFonts w:ascii="Arial" w:eastAsia="Arial" w:hAnsi="Arial" w:cs="Arial"/>
          <w:sz w:val="16"/>
          <w:szCs w:val="16"/>
        </w:rPr>
        <w:t>Costs of goods sold include merchandise costs, net of discounts and allowances, freight and inventory shrinkage. Buying and occupancy expenses primarily include payroll, benefit costs and operating expenses for our buying departments and distributi</w:t>
      </w:r>
      <w:r>
        <w:rPr>
          <w:rFonts w:ascii="Arial" w:eastAsia="Arial" w:hAnsi="Arial" w:cs="Arial"/>
          <w:sz w:val="16"/>
          <w:szCs w:val="16"/>
        </w:rPr>
        <w:t>on network; and rent, common area maintenance, real estate taxes, utilities, maintenance, fulfillment expenses and depreciation for our stores, warehouse facilities and equipment.</w:t>
      </w:r>
    </w:p>
    <w:p w14:paraId="6D709BB5" w14:textId="77777777" w:rsidR="00D1587D" w:rsidRDefault="00D1587D">
      <w:pPr>
        <w:spacing w:line="157" w:lineRule="exact"/>
        <w:rPr>
          <w:sz w:val="20"/>
          <w:szCs w:val="20"/>
        </w:rPr>
      </w:pPr>
    </w:p>
    <w:p w14:paraId="14126A04" w14:textId="77777777" w:rsidR="00D1587D" w:rsidRDefault="00410D07">
      <w:pPr>
        <w:ind w:right="19"/>
        <w:jc w:val="center"/>
        <w:rPr>
          <w:sz w:val="20"/>
          <w:szCs w:val="20"/>
        </w:rPr>
      </w:pPr>
      <w:r>
        <w:rPr>
          <w:rFonts w:ascii="Arial" w:eastAsia="Arial" w:hAnsi="Arial" w:cs="Arial"/>
          <w:sz w:val="18"/>
          <w:szCs w:val="18"/>
        </w:rPr>
        <w:t>71</w:t>
      </w:r>
    </w:p>
    <w:p w14:paraId="2179C74A" w14:textId="77777777" w:rsidR="00D1587D" w:rsidRDefault="00410D07">
      <w:pPr>
        <w:spacing w:line="20" w:lineRule="exact"/>
        <w:rPr>
          <w:sz w:val="20"/>
          <w:szCs w:val="20"/>
        </w:rPr>
      </w:pPr>
      <w:r>
        <w:rPr>
          <w:noProof/>
          <w:sz w:val="20"/>
          <w:szCs w:val="20"/>
        </w:rPr>
        <w:drawing>
          <wp:anchor distT="0" distB="0" distL="114300" distR="114300" simplePos="0" relativeHeight="251614208" behindDoc="1" locked="0" layoutInCell="0" allowOverlap="1" wp14:anchorId="5673E73B" wp14:editId="377A9621">
            <wp:simplePos x="0" y="0"/>
            <wp:positionH relativeFrom="column">
              <wp:posOffset>-636905</wp:posOffset>
            </wp:positionH>
            <wp:positionV relativeFrom="paragraph">
              <wp:posOffset>126365</wp:posOffset>
            </wp:positionV>
            <wp:extent cx="6995160" cy="17145"/>
            <wp:effectExtent l="0" t="0" r="0" b="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7DF1F53" w14:textId="77777777" w:rsidR="00D1587D" w:rsidRDefault="00D1587D">
      <w:pPr>
        <w:sectPr w:rsidR="00D1587D">
          <w:pgSz w:w="11900" w:h="16838"/>
          <w:pgMar w:top="265" w:right="1440" w:bottom="1440" w:left="1440" w:header="0" w:footer="0" w:gutter="0"/>
          <w:cols w:space="720" w:equalWidth="0">
            <w:col w:w="9019"/>
          </w:cols>
        </w:sectPr>
      </w:pPr>
    </w:p>
    <w:bookmarkStart w:id="329" w:name="page330"/>
    <w:bookmarkEnd w:id="329"/>
    <w:p w14:paraId="25C18AE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CFA4192" w14:textId="77777777" w:rsidR="00D1587D" w:rsidRDefault="00D1587D">
      <w:pPr>
        <w:spacing w:line="131" w:lineRule="exact"/>
        <w:rPr>
          <w:sz w:val="20"/>
          <w:szCs w:val="20"/>
        </w:rPr>
      </w:pPr>
    </w:p>
    <w:p w14:paraId="77B2315D" w14:textId="77777777" w:rsidR="00D1587D" w:rsidRDefault="00410D07">
      <w:pPr>
        <w:ind w:left="660"/>
        <w:rPr>
          <w:sz w:val="20"/>
          <w:szCs w:val="20"/>
        </w:rPr>
      </w:pPr>
      <w:r>
        <w:rPr>
          <w:rFonts w:ascii="Arial" w:eastAsia="Arial" w:hAnsi="Arial" w:cs="Arial"/>
          <w:b/>
          <w:bCs/>
          <w:i/>
          <w:iCs/>
          <w:sz w:val="18"/>
          <w:szCs w:val="18"/>
        </w:rPr>
        <w:t>General, Administrative and Store Operating Expenses</w:t>
      </w:r>
    </w:p>
    <w:p w14:paraId="0A1CA6E3" w14:textId="77777777" w:rsidR="00D1587D" w:rsidRDefault="00D1587D">
      <w:pPr>
        <w:spacing w:line="117" w:lineRule="exact"/>
        <w:rPr>
          <w:sz w:val="20"/>
          <w:szCs w:val="20"/>
        </w:rPr>
      </w:pPr>
    </w:p>
    <w:p w14:paraId="083B0DBD" w14:textId="77777777" w:rsidR="00D1587D" w:rsidRDefault="00410D07">
      <w:pPr>
        <w:spacing w:line="286" w:lineRule="auto"/>
        <w:ind w:left="300" w:right="459" w:firstLine="360"/>
        <w:jc w:val="both"/>
        <w:rPr>
          <w:sz w:val="20"/>
          <w:szCs w:val="20"/>
        </w:rPr>
      </w:pPr>
      <w:r>
        <w:rPr>
          <w:rFonts w:ascii="Arial" w:eastAsia="Arial" w:hAnsi="Arial" w:cs="Arial"/>
          <w:sz w:val="17"/>
          <w:szCs w:val="17"/>
        </w:rPr>
        <w:t>General, administrative and store operating expenses primarily include payroll and benefit costs for our store-selling and administrative departments (including corporate functions), marketing, advertis</w:t>
      </w:r>
      <w:r>
        <w:rPr>
          <w:rFonts w:ascii="Arial" w:eastAsia="Arial" w:hAnsi="Arial" w:cs="Arial"/>
          <w:sz w:val="17"/>
          <w:szCs w:val="17"/>
        </w:rPr>
        <w:t>ing and other operating expenses not specifically categorized elsewhere in the combined statements of income (loss).</w:t>
      </w:r>
    </w:p>
    <w:p w14:paraId="5C8AB2C5" w14:textId="77777777" w:rsidR="00D1587D" w:rsidRDefault="00D1587D">
      <w:pPr>
        <w:spacing w:line="57" w:lineRule="exact"/>
        <w:rPr>
          <w:sz w:val="20"/>
          <w:szCs w:val="20"/>
        </w:rPr>
      </w:pPr>
    </w:p>
    <w:p w14:paraId="4FF928BA" w14:textId="77777777" w:rsidR="00D1587D" w:rsidRDefault="00410D07">
      <w:pPr>
        <w:spacing w:line="271" w:lineRule="auto"/>
        <w:ind w:left="300" w:right="359" w:firstLine="360"/>
        <w:rPr>
          <w:sz w:val="20"/>
          <w:szCs w:val="20"/>
        </w:rPr>
      </w:pPr>
      <w:r>
        <w:rPr>
          <w:rFonts w:ascii="Arial" w:eastAsia="Arial" w:hAnsi="Arial" w:cs="Arial"/>
          <w:sz w:val="17"/>
          <w:szCs w:val="17"/>
        </w:rPr>
        <w:t xml:space="preserve">General, administrative and store operating expenses include allocations of costs for certain centralized functions and programs provided </w:t>
      </w:r>
      <w:r>
        <w:rPr>
          <w:rFonts w:ascii="Arial" w:eastAsia="Arial" w:hAnsi="Arial" w:cs="Arial"/>
          <w:sz w:val="17"/>
          <w:szCs w:val="17"/>
        </w:rPr>
        <w:t>and administered by LB. See “—Basis of Presentation” above and Note 1 to our audited combined financial statements and unaudited interim combined financial statements for further details on our methodology for allocating these costs. Allocations of expense</w:t>
      </w:r>
      <w:r>
        <w:rPr>
          <w:rFonts w:ascii="Arial" w:eastAsia="Arial" w:hAnsi="Arial" w:cs="Arial"/>
          <w:sz w:val="17"/>
          <w:szCs w:val="17"/>
        </w:rPr>
        <w:t xml:space="preserve">s from LB are not necessarily indicative of future expenses and do not necessarily reflect results that would have been achieved as an independent, publicly traded company for the periods presented. Recurring standalone costs may be higher than historical </w:t>
      </w:r>
      <w:r>
        <w:rPr>
          <w:rFonts w:ascii="Arial" w:eastAsia="Arial" w:hAnsi="Arial" w:cs="Arial"/>
          <w:sz w:val="17"/>
          <w:szCs w:val="17"/>
        </w:rPr>
        <w:t>allocations, which may have an impact on profitability and operating cash flows. See “Unaudited Pro Forma Combined Financial Statements” for more information.</w:t>
      </w:r>
    </w:p>
    <w:p w14:paraId="249C3666" w14:textId="77777777" w:rsidR="00D1587D" w:rsidRDefault="00D1587D">
      <w:pPr>
        <w:spacing w:line="340" w:lineRule="exact"/>
        <w:rPr>
          <w:sz w:val="20"/>
          <w:szCs w:val="20"/>
        </w:rPr>
      </w:pPr>
    </w:p>
    <w:p w14:paraId="17DF9DD4" w14:textId="77777777" w:rsidR="00D1587D" w:rsidRDefault="00410D07">
      <w:pPr>
        <w:ind w:left="660"/>
        <w:rPr>
          <w:sz w:val="20"/>
          <w:szCs w:val="20"/>
        </w:rPr>
      </w:pPr>
      <w:r>
        <w:rPr>
          <w:rFonts w:ascii="Arial" w:eastAsia="Arial" w:hAnsi="Arial" w:cs="Arial"/>
          <w:b/>
          <w:bCs/>
          <w:i/>
          <w:iCs/>
          <w:sz w:val="18"/>
          <w:szCs w:val="18"/>
        </w:rPr>
        <w:t>Impairment of Goodwill</w:t>
      </w:r>
    </w:p>
    <w:p w14:paraId="78B69F62" w14:textId="77777777" w:rsidR="00D1587D" w:rsidRDefault="00D1587D">
      <w:pPr>
        <w:spacing w:line="117" w:lineRule="exact"/>
        <w:rPr>
          <w:sz w:val="20"/>
          <w:szCs w:val="20"/>
        </w:rPr>
      </w:pPr>
    </w:p>
    <w:p w14:paraId="110D7CD9" w14:textId="77777777" w:rsidR="00D1587D" w:rsidRDefault="00410D07">
      <w:pPr>
        <w:spacing w:line="263" w:lineRule="auto"/>
        <w:ind w:left="300" w:right="499" w:firstLine="360"/>
        <w:jc w:val="both"/>
        <w:rPr>
          <w:sz w:val="20"/>
          <w:szCs w:val="20"/>
        </w:rPr>
      </w:pPr>
      <w:r>
        <w:rPr>
          <w:rFonts w:ascii="Arial" w:eastAsia="Arial" w:hAnsi="Arial" w:cs="Arial"/>
          <w:sz w:val="18"/>
          <w:szCs w:val="18"/>
        </w:rPr>
        <w:t>In 2019, our goodwill impairment assessments concluded that the carrying</w:t>
      </w:r>
      <w:r>
        <w:rPr>
          <w:rFonts w:ascii="Arial" w:eastAsia="Arial" w:hAnsi="Arial" w:cs="Arial"/>
          <w:sz w:val="18"/>
          <w:szCs w:val="18"/>
        </w:rPr>
        <w:t xml:space="preserve"> values of our North America and Greater China reporting units exceeded their fair values. Accordingly, we recognized pre-tax goodwill impairment charges of $720 million in 2019.</w:t>
      </w:r>
    </w:p>
    <w:p w14:paraId="4D7B4941" w14:textId="77777777" w:rsidR="00D1587D" w:rsidRDefault="00D1587D">
      <w:pPr>
        <w:spacing w:line="332" w:lineRule="exact"/>
        <w:rPr>
          <w:sz w:val="20"/>
          <w:szCs w:val="20"/>
        </w:rPr>
      </w:pPr>
    </w:p>
    <w:p w14:paraId="0DB613D7" w14:textId="77777777" w:rsidR="00D1587D" w:rsidRDefault="00410D07">
      <w:pPr>
        <w:ind w:left="660"/>
        <w:rPr>
          <w:sz w:val="20"/>
          <w:szCs w:val="20"/>
        </w:rPr>
      </w:pPr>
      <w:r>
        <w:rPr>
          <w:rFonts w:ascii="Arial" w:eastAsia="Arial" w:hAnsi="Arial" w:cs="Arial"/>
          <w:b/>
          <w:bCs/>
          <w:i/>
          <w:iCs/>
          <w:sz w:val="18"/>
          <w:szCs w:val="18"/>
        </w:rPr>
        <w:t>Interest Expense</w:t>
      </w:r>
    </w:p>
    <w:p w14:paraId="1D23CEB0" w14:textId="77777777" w:rsidR="00D1587D" w:rsidRDefault="00D1587D">
      <w:pPr>
        <w:spacing w:line="117" w:lineRule="exact"/>
        <w:rPr>
          <w:sz w:val="20"/>
          <w:szCs w:val="20"/>
        </w:rPr>
      </w:pPr>
    </w:p>
    <w:p w14:paraId="01BCF688" w14:textId="77777777" w:rsidR="00D1587D" w:rsidRDefault="00410D07">
      <w:pPr>
        <w:spacing w:line="277" w:lineRule="auto"/>
        <w:ind w:left="300" w:right="319" w:firstLine="360"/>
        <w:rPr>
          <w:sz w:val="20"/>
          <w:szCs w:val="20"/>
        </w:rPr>
      </w:pPr>
      <w:r>
        <w:rPr>
          <w:rFonts w:ascii="Arial" w:eastAsia="Arial" w:hAnsi="Arial" w:cs="Arial"/>
          <w:sz w:val="18"/>
          <w:szCs w:val="18"/>
        </w:rPr>
        <w:t>Interest expense relates to borrowings specifically attrib</w:t>
      </w:r>
      <w:r>
        <w:rPr>
          <w:rFonts w:ascii="Arial" w:eastAsia="Arial" w:hAnsi="Arial" w:cs="Arial"/>
          <w:sz w:val="18"/>
          <w:szCs w:val="18"/>
        </w:rPr>
        <w:t>utable to us and our legal obligations. Our future capital structure may result in a substantial increase in interest expense.</w:t>
      </w:r>
    </w:p>
    <w:p w14:paraId="494A628C" w14:textId="77777777" w:rsidR="00D1587D" w:rsidRDefault="00D1587D">
      <w:pPr>
        <w:spacing w:line="319" w:lineRule="exact"/>
        <w:rPr>
          <w:sz w:val="20"/>
          <w:szCs w:val="20"/>
        </w:rPr>
      </w:pPr>
    </w:p>
    <w:p w14:paraId="45B375F8" w14:textId="77777777" w:rsidR="00D1587D" w:rsidRDefault="00410D07">
      <w:pPr>
        <w:ind w:left="660"/>
        <w:rPr>
          <w:sz w:val="20"/>
          <w:szCs w:val="20"/>
        </w:rPr>
      </w:pPr>
      <w:r>
        <w:rPr>
          <w:rFonts w:ascii="Arial" w:eastAsia="Arial" w:hAnsi="Arial" w:cs="Arial"/>
          <w:b/>
          <w:bCs/>
          <w:i/>
          <w:iCs/>
          <w:sz w:val="18"/>
          <w:szCs w:val="18"/>
        </w:rPr>
        <w:t>Other Income (Loss)</w:t>
      </w:r>
    </w:p>
    <w:p w14:paraId="10C18529" w14:textId="77777777" w:rsidR="00D1587D" w:rsidRDefault="00D1587D">
      <w:pPr>
        <w:spacing w:line="117" w:lineRule="exact"/>
        <w:rPr>
          <w:sz w:val="20"/>
          <w:szCs w:val="20"/>
        </w:rPr>
      </w:pPr>
    </w:p>
    <w:p w14:paraId="6B1E361B" w14:textId="77777777" w:rsidR="00D1587D" w:rsidRDefault="00410D07">
      <w:pPr>
        <w:spacing w:line="277" w:lineRule="auto"/>
        <w:ind w:left="300" w:right="619" w:firstLine="360"/>
        <w:rPr>
          <w:sz w:val="20"/>
          <w:szCs w:val="20"/>
        </w:rPr>
      </w:pPr>
      <w:r>
        <w:rPr>
          <w:rFonts w:ascii="Arial" w:eastAsia="Arial" w:hAnsi="Arial" w:cs="Arial"/>
          <w:sz w:val="18"/>
          <w:szCs w:val="18"/>
        </w:rPr>
        <w:t xml:space="preserve">Other Income (loss) primarily consists of non-operating foreign currency activity and interest earned on </w:t>
      </w:r>
      <w:r>
        <w:rPr>
          <w:rFonts w:ascii="Arial" w:eastAsia="Arial" w:hAnsi="Arial" w:cs="Arial"/>
          <w:sz w:val="18"/>
          <w:szCs w:val="18"/>
        </w:rPr>
        <w:t>our cash and cash equivalents balances.</w:t>
      </w:r>
    </w:p>
    <w:p w14:paraId="010E9D34" w14:textId="77777777" w:rsidR="00D1587D" w:rsidRDefault="00D1587D">
      <w:pPr>
        <w:spacing w:line="328" w:lineRule="exact"/>
        <w:rPr>
          <w:sz w:val="20"/>
          <w:szCs w:val="20"/>
        </w:rPr>
      </w:pPr>
    </w:p>
    <w:p w14:paraId="28B17CE1" w14:textId="77777777" w:rsidR="00D1587D" w:rsidRDefault="00410D07">
      <w:pPr>
        <w:ind w:left="300"/>
        <w:rPr>
          <w:sz w:val="20"/>
          <w:szCs w:val="20"/>
        </w:rPr>
      </w:pPr>
      <w:r>
        <w:rPr>
          <w:rFonts w:ascii="Arial" w:eastAsia="Arial" w:hAnsi="Arial" w:cs="Arial"/>
          <w:b/>
          <w:bCs/>
          <w:sz w:val="18"/>
          <w:szCs w:val="18"/>
        </w:rPr>
        <w:t>Company-Operated Store Data</w:t>
      </w:r>
    </w:p>
    <w:p w14:paraId="3C1084ED" w14:textId="77777777" w:rsidR="00D1587D" w:rsidRDefault="00D1587D">
      <w:pPr>
        <w:spacing w:line="121" w:lineRule="exact"/>
        <w:rPr>
          <w:sz w:val="20"/>
          <w:szCs w:val="20"/>
        </w:rPr>
      </w:pPr>
    </w:p>
    <w:p w14:paraId="60C85E7C" w14:textId="77777777" w:rsidR="00D1587D" w:rsidRDefault="00410D07">
      <w:pPr>
        <w:spacing w:line="277" w:lineRule="auto"/>
        <w:ind w:left="300" w:right="439" w:firstLine="360"/>
        <w:rPr>
          <w:sz w:val="20"/>
          <w:szCs w:val="20"/>
        </w:rPr>
      </w:pPr>
      <w:r>
        <w:rPr>
          <w:rFonts w:ascii="Arial" w:eastAsia="Arial" w:hAnsi="Arial" w:cs="Arial"/>
          <w:sz w:val="18"/>
          <w:szCs w:val="18"/>
        </w:rPr>
        <w:t>The following table compares the first quarter of 2021 U.S. company-operated store data to the first quarter of 2020:</w:t>
      </w:r>
    </w:p>
    <w:p w14:paraId="01DDB03D" w14:textId="77777777" w:rsidR="00D1587D" w:rsidRDefault="00D1587D">
      <w:pPr>
        <w:spacing w:line="121"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440"/>
        <w:gridCol w:w="1480"/>
        <w:gridCol w:w="400"/>
        <w:gridCol w:w="520"/>
        <w:gridCol w:w="400"/>
        <w:gridCol w:w="520"/>
        <w:gridCol w:w="660"/>
      </w:tblGrid>
      <w:tr w:rsidR="00D1587D" w14:paraId="1278290B" w14:textId="77777777">
        <w:trPr>
          <w:trHeight w:val="186"/>
        </w:trPr>
        <w:tc>
          <w:tcPr>
            <w:tcW w:w="4440" w:type="dxa"/>
            <w:vAlign w:val="bottom"/>
          </w:tcPr>
          <w:p w14:paraId="30BECAEF" w14:textId="77777777" w:rsidR="00D1587D" w:rsidRDefault="00D1587D">
            <w:pPr>
              <w:rPr>
                <w:sz w:val="16"/>
                <w:szCs w:val="16"/>
              </w:rPr>
            </w:pPr>
          </w:p>
        </w:tc>
        <w:tc>
          <w:tcPr>
            <w:tcW w:w="1480" w:type="dxa"/>
            <w:vAlign w:val="bottom"/>
          </w:tcPr>
          <w:p w14:paraId="227C0433" w14:textId="77777777" w:rsidR="00D1587D" w:rsidRDefault="00D1587D">
            <w:pPr>
              <w:rPr>
                <w:sz w:val="16"/>
                <w:szCs w:val="16"/>
              </w:rPr>
            </w:pPr>
          </w:p>
        </w:tc>
        <w:tc>
          <w:tcPr>
            <w:tcW w:w="400" w:type="dxa"/>
            <w:vAlign w:val="bottom"/>
          </w:tcPr>
          <w:p w14:paraId="0AB9ED0D" w14:textId="77777777" w:rsidR="00D1587D" w:rsidRDefault="00D1587D">
            <w:pPr>
              <w:rPr>
                <w:sz w:val="16"/>
                <w:szCs w:val="16"/>
              </w:rPr>
            </w:pPr>
          </w:p>
        </w:tc>
        <w:tc>
          <w:tcPr>
            <w:tcW w:w="1440" w:type="dxa"/>
            <w:gridSpan w:val="3"/>
            <w:vAlign w:val="bottom"/>
          </w:tcPr>
          <w:p w14:paraId="19C7BB01" w14:textId="77777777" w:rsidR="00D1587D" w:rsidRDefault="00410D07">
            <w:pPr>
              <w:ind w:left="420"/>
              <w:rPr>
                <w:sz w:val="20"/>
                <w:szCs w:val="20"/>
              </w:rPr>
            </w:pPr>
            <w:r>
              <w:rPr>
                <w:rFonts w:ascii="Arial" w:eastAsia="Arial" w:hAnsi="Arial" w:cs="Arial"/>
                <w:b/>
                <w:bCs/>
                <w:sz w:val="14"/>
                <w:szCs w:val="14"/>
              </w:rPr>
              <w:t>First Quarter</w:t>
            </w:r>
          </w:p>
        </w:tc>
        <w:tc>
          <w:tcPr>
            <w:tcW w:w="660" w:type="dxa"/>
            <w:vAlign w:val="bottom"/>
          </w:tcPr>
          <w:p w14:paraId="1E5DE072" w14:textId="77777777" w:rsidR="00D1587D" w:rsidRDefault="00D1587D">
            <w:pPr>
              <w:rPr>
                <w:sz w:val="16"/>
                <w:szCs w:val="16"/>
              </w:rPr>
            </w:pPr>
          </w:p>
        </w:tc>
      </w:tr>
      <w:tr w:rsidR="00D1587D" w14:paraId="6CCFA7D8" w14:textId="77777777">
        <w:trPr>
          <w:trHeight w:val="53"/>
        </w:trPr>
        <w:tc>
          <w:tcPr>
            <w:tcW w:w="4440" w:type="dxa"/>
            <w:vAlign w:val="bottom"/>
          </w:tcPr>
          <w:p w14:paraId="26CB443E" w14:textId="77777777" w:rsidR="00D1587D" w:rsidRDefault="00D1587D">
            <w:pPr>
              <w:rPr>
                <w:sz w:val="4"/>
                <w:szCs w:val="4"/>
              </w:rPr>
            </w:pPr>
          </w:p>
        </w:tc>
        <w:tc>
          <w:tcPr>
            <w:tcW w:w="1480" w:type="dxa"/>
            <w:vAlign w:val="bottom"/>
          </w:tcPr>
          <w:p w14:paraId="5F05CFAB" w14:textId="77777777" w:rsidR="00D1587D" w:rsidRDefault="00D1587D">
            <w:pPr>
              <w:rPr>
                <w:sz w:val="4"/>
                <w:szCs w:val="4"/>
              </w:rPr>
            </w:pPr>
          </w:p>
        </w:tc>
        <w:tc>
          <w:tcPr>
            <w:tcW w:w="400" w:type="dxa"/>
            <w:tcBorders>
              <w:bottom w:val="single" w:sz="8" w:space="0" w:color="auto"/>
            </w:tcBorders>
            <w:vAlign w:val="bottom"/>
          </w:tcPr>
          <w:p w14:paraId="7CFCC875" w14:textId="77777777" w:rsidR="00D1587D" w:rsidRDefault="00D1587D">
            <w:pPr>
              <w:rPr>
                <w:sz w:val="4"/>
                <w:szCs w:val="4"/>
              </w:rPr>
            </w:pPr>
          </w:p>
        </w:tc>
        <w:tc>
          <w:tcPr>
            <w:tcW w:w="920" w:type="dxa"/>
            <w:gridSpan w:val="2"/>
            <w:tcBorders>
              <w:bottom w:val="single" w:sz="8" w:space="0" w:color="auto"/>
            </w:tcBorders>
            <w:vAlign w:val="bottom"/>
          </w:tcPr>
          <w:p w14:paraId="08A31B95" w14:textId="77777777" w:rsidR="00D1587D" w:rsidRDefault="00D1587D">
            <w:pPr>
              <w:rPr>
                <w:sz w:val="4"/>
                <w:szCs w:val="4"/>
              </w:rPr>
            </w:pPr>
          </w:p>
        </w:tc>
        <w:tc>
          <w:tcPr>
            <w:tcW w:w="520" w:type="dxa"/>
            <w:tcBorders>
              <w:bottom w:val="single" w:sz="8" w:space="0" w:color="auto"/>
            </w:tcBorders>
            <w:vAlign w:val="bottom"/>
          </w:tcPr>
          <w:p w14:paraId="7465C5F8" w14:textId="77777777" w:rsidR="00D1587D" w:rsidRDefault="00D1587D">
            <w:pPr>
              <w:rPr>
                <w:sz w:val="4"/>
                <w:szCs w:val="4"/>
              </w:rPr>
            </w:pPr>
          </w:p>
        </w:tc>
        <w:tc>
          <w:tcPr>
            <w:tcW w:w="660" w:type="dxa"/>
            <w:tcBorders>
              <w:bottom w:val="single" w:sz="8" w:space="0" w:color="auto"/>
            </w:tcBorders>
            <w:vAlign w:val="bottom"/>
          </w:tcPr>
          <w:p w14:paraId="7F68A6B0" w14:textId="77777777" w:rsidR="00D1587D" w:rsidRDefault="00D1587D">
            <w:pPr>
              <w:rPr>
                <w:sz w:val="4"/>
                <w:szCs w:val="4"/>
              </w:rPr>
            </w:pPr>
          </w:p>
        </w:tc>
      </w:tr>
      <w:tr w:rsidR="00D1587D" w14:paraId="21D0A745" w14:textId="77777777">
        <w:trPr>
          <w:trHeight w:val="225"/>
        </w:trPr>
        <w:tc>
          <w:tcPr>
            <w:tcW w:w="4440" w:type="dxa"/>
            <w:vAlign w:val="bottom"/>
          </w:tcPr>
          <w:p w14:paraId="7566F7AF" w14:textId="77777777" w:rsidR="00D1587D" w:rsidRDefault="00D1587D">
            <w:pPr>
              <w:rPr>
                <w:sz w:val="19"/>
                <w:szCs w:val="19"/>
              </w:rPr>
            </w:pPr>
          </w:p>
        </w:tc>
        <w:tc>
          <w:tcPr>
            <w:tcW w:w="1880" w:type="dxa"/>
            <w:gridSpan w:val="2"/>
            <w:vAlign w:val="bottom"/>
          </w:tcPr>
          <w:p w14:paraId="0A38FC46" w14:textId="77777777" w:rsidR="00D1587D" w:rsidRDefault="00410D07">
            <w:pPr>
              <w:ind w:right="60"/>
              <w:jc w:val="right"/>
              <w:rPr>
                <w:sz w:val="20"/>
                <w:szCs w:val="20"/>
              </w:rPr>
            </w:pPr>
            <w:r>
              <w:rPr>
                <w:rFonts w:ascii="Arial" w:eastAsia="Arial" w:hAnsi="Arial" w:cs="Arial"/>
                <w:b/>
                <w:bCs/>
                <w:sz w:val="14"/>
                <w:szCs w:val="14"/>
              </w:rPr>
              <w:t>2021</w:t>
            </w:r>
          </w:p>
        </w:tc>
        <w:tc>
          <w:tcPr>
            <w:tcW w:w="920" w:type="dxa"/>
            <w:gridSpan w:val="2"/>
            <w:vAlign w:val="bottom"/>
          </w:tcPr>
          <w:p w14:paraId="4732BB1B" w14:textId="77777777" w:rsidR="00D1587D" w:rsidRDefault="00410D07">
            <w:pPr>
              <w:ind w:right="60"/>
              <w:jc w:val="right"/>
              <w:rPr>
                <w:sz w:val="20"/>
                <w:szCs w:val="20"/>
              </w:rPr>
            </w:pPr>
            <w:r>
              <w:rPr>
                <w:rFonts w:ascii="Arial" w:eastAsia="Arial" w:hAnsi="Arial" w:cs="Arial"/>
                <w:b/>
                <w:bCs/>
                <w:sz w:val="14"/>
                <w:szCs w:val="14"/>
              </w:rPr>
              <w:t>2020</w:t>
            </w:r>
          </w:p>
        </w:tc>
        <w:tc>
          <w:tcPr>
            <w:tcW w:w="520" w:type="dxa"/>
            <w:vAlign w:val="bottom"/>
          </w:tcPr>
          <w:p w14:paraId="0040E510" w14:textId="77777777" w:rsidR="00D1587D" w:rsidRDefault="00D1587D">
            <w:pPr>
              <w:rPr>
                <w:sz w:val="19"/>
                <w:szCs w:val="19"/>
              </w:rPr>
            </w:pPr>
          </w:p>
        </w:tc>
        <w:tc>
          <w:tcPr>
            <w:tcW w:w="660" w:type="dxa"/>
            <w:vAlign w:val="bottom"/>
          </w:tcPr>
          <w:p w14:paraId="54A039A7" w14:textId="77777777" w:rsidR="00D1587D" w:rsidRDefault="00410D07">
            <w:pPr>
              <w:jc w:val="right"/>
              <w:rPr>
                <w:sz w:val="20"/>
                <w:szCs w:val="20"/>
              </w:rPr>
            </w:pPr>
            <w:r>
              <w:rPr>
                <w:rFonts w:ascii="Arial" w:eastAsia="Arial" w:hAnsi="Arial" w:cs="Arial"/>
                <w:b/>
                <w:bCs/>
                <w:w w:val="94"/>
                <w:sz w:val="14"/>
                <w:szCs w:val="14"/>
              </w:rPr>
              <w:t>% Change</w:t>
            </w:r>
          </w:p>
        </w:tc>
      </w:tr>
      <w:tr w:rsidR="00D1587D" w14:paraId="4258AA52" w14:textId="77777777">
        <w:trPr>
          <w:trHeight w:val="53"/>
        </w:trPr>
        <w:tc>
          <w:tcPr>
            <w:tcW w:w="4440" w:type="dxa"/>
            <w:tcBorders>
              <w:bottom w:val="single" w:sz="8" w:space="0" w:color="CCEEFF"/>
            </w:tcBorders>
            <w:vAlign w:val="bottom"/>
          </w:tcPr>
          <w:p w14:paraId="5CADBDA2" w14:textId="77777777" w:rsidR="00D1587D" w:rsidRDefault="00D1587D">
            <w:pPr>
              <w:rPr>
                <w:sz w:val="4"/>
                <w:szCs w:val="4"/>
              </w:rPr>
            </w:pPr>
          </w:p>
        </w:tc>
        <w:tc>
          <w:tcPr>
            <w:tcW w:w="1480" w:type="dxa"/>
            <w:tcBorders>
              <w:bottom w:val="single" w:sz="8" w:space="0" w:color="CCEEFF"/>
            </w:tcBorders>
            <w:vAlign w:val="bottom"/>
          </w:tcPr>
          <w:p w14:paraId="1050D934" w14:textId="77777777" w:rsidR="00D1587D" w:rsidRDefault="00D1587D">
            <w:pPr>
              <w:rPr>
                <w:sz w:val="4"/>
                <w:szCs w:val="4"/>
              </w:rPr>
            </w:pPr>
          </w:p>
        </w:tc>
        <w:tc>
          <w:tcPr>
            <w:tcW w:w="400" w:type="dxa"/>
            <w:tcBorders>
              <w:bottom w:val="single" w:sz="8" w:space="0" w:color="auto"/>
            </w:tcBorders>
            <w:vAlign w:val="bottom"/>
          </w:tcPr>
          <w:p w14:paraId="08A96235" w14:textId="77777777" w:rsidR="00D1587D" w:rsidRDefault="00D1587D">
            <w:pPr>
              <w:rPr>
                <w:sz w:val="4"/>
                <w:szCs w:val="4"/>
              </w:rPr>
            </w:pPr>
          </w:p>
        </w:tc>
        <w:tc>
          <w:tcPr>
            <w:tcW w:w="520" w:type="dxa"/>
            <w:tcBorders>
              <w:bottom w:val="single" w:sz="8" w:space="0" w:color="CCEEFF"/>
            </w:tcBorders>
            <w:vAlign w:val="bottom"/>
          </w:tcPr>
          <w:p w14:paraId="65293536" w14:textId="77777777" w:rsidR="00D1587D" w:rsidRDefault="00D1587D">
            <w:pPr>
              <w:rPr>
                <w:sz w:val="4"/>
                <w:szCs w:val="4"/>
              </w:rPr>
            </w:pPr>
          </w:p>
        </w:tc>
        <w:tc>
          <w:tcPr>
            <w:tcW w:w="400" w:type="dxa"/>
            <w:tcBorders>
              <w:bottom w:val="single" w:sz="8" w:space="0" w:color="auto"/>
            </w:tcBorders>
            <w:vAlign w:val="bottom"/>
          </w:tcPr>
          <w:p w14:paraId="78EB4E07" w14:textId="77777777" w:rsidR="00D1587D" w:rsidRDefault="00D1587D">
            <w:pPr>
              <w:rPr>
                <w:sz w:val="4"/>
                <w:szCs w:val="4"/>
              </w:rPr>
            </w:pPr>
          </w:p>
        </w:tc>
        <w:tc>
          <w:tcPr>
            <w:tcW w:w="520" w:type="dxa"/>
            <w:tcBorders>
              <w:bottom w:val="single" w:sz="8" w:space="0" w:color="CCEEFF"/>
            </w:tcBorders>
            <w:vAlign w:val="bottom"/>
          </w:tcPr>
          <w:p w14:paraId="761D5495" w14:textId="77777777" w:rsidR="00D1587D" w:rsidRDefault="00D1587D">
            <w:pPr>
              <w:rPr>
                <w:sz w:val="4"/>
                <w:szCs w:val="4"/>
              </w:rPr>
            </w:pPr>
          </w:p>
        </w:tc>
        <w:tc>
          <w:tcPr>
            <w:tcW w:w="660" w:type="dxa"/>
            <w:tcBorders>
              <w:bottom w:val="single" w:sz="8" w:space="0" w:color="auto"/>
            </w:tcBorders>
            <w:vAlign w:val="bottom"/>
          </w:tcPr>
          <w:p w14:paraId="5E42C3A6" w14:textId="77777777" w:rsidR="00D1587D" w:rsidRDefault="00D1587D">
            <w:pPr>
              <w:rPr>
                <w:sz w:val="4"/>
                <w:szCs w:val="4"/>
              </w:rPr>
            </w:pPr>
          </w:p>
        </w:tc>
      </w:tr>
      <w:tr w:rsidR="00D1587D" w14:paraId="0BDC78C3" w14:textId="77777777">
        <w:trPr>
          <w:trHeight w:val="311"/>
        </w:trPr>
        <w:tc>
          <w:tcPr>
            <w:tcW w:w="4440" w:type="dxa"/>
            <w:tcBorders>
              <w:bottom w:val="single" w:sz="8" w:space="0" w:color="CCEEFF"/>
            </w:tcBorders>
            <w:shd w:val="clear" w:color="auto" w:fill="CCEEFF"/>
            <w:vAlign w:val="bottom"/>
          </w:tcPr>
          <w:p w14:paraId="5E8ADEA9" w14:textId="77777777" w:rsidR="00D1587D" w:rsidRDefault="00410D07">
            <w:pPr>
              <w:rPr>
                <w:sz w:val="20"/>
                <w:szCs w:val="20"/>
              </w:rPr>
            </w:pPr>
            <w:r>
              <w:rPr>
                <w:rFonts w:ascii="Arial" w:eastAsia="Arial" w:hAnsi="Arial" w:cs="Arial"/>
                <w:sz w:val="18"/>
                <w:szCs w:val="18"/>
              </w:rPr>
              <w:t xml:space="preserve">Sales </w:t>
            </w:r>
            <w:r>
              <w:rPr>
                <w:rFonts w:ascii="Arial" w:eastAsia="Arial" w:hAnsi="Arial" w:cs="Arial"/>
                <w:sz w:val="18"/>
                <w:szCs w:val="18"/>
              </w:rPr>
              <w:t>per Average Selling Square Foot(a)</w:t>
            </w:r>
          </w:p>
        </w:tc>
        <w:tc>
          <w:tcPr>
            <w:tcW w:w="1880" w:type="dxa"/>
            <w:gridSpan w:val="2"/>
            <w:tcBorders>
              <w:bottom w:val="single" w:sz="8" w:space="0" w:color="CCEEFF"/>
            </w:tcBorders>
            <w:shd w:val="clear" w:color="auto" w:fill="CCEEFF"/>
            <w:vAlign w:val="bottom"/>
          </w:tcPr>
          <w:p w14:paraId="108CCF31" w14:textId="77777777" w:rsidR="00D1587D" w:rsidRDefault="00410D07">
            <w:pPr>
              <w:jc w:val="right"/>
              <w:rPr>
                <w:sz w:val="20"/>
                <w:szCs w:val="20"/>
              </w:rPr>
            </w:pPr>
            <w:r>
              <w:rPr>
                <w:rFonts w:ascii="Arial" w:eastAsia="Arial" w:hAnsi="Arial" w:cs="Arial"/>
                <w:sz w:val="18"/>
                <w:szCs w:val="18"/>
              </w:rPr>
              <w:t>154</w:t>
            </w:r>
          </w:p>
        </w:tc>
        <w:tc>
          <w:tcPr>
            <w:tcW w:w="920" w:type="dxa"/>
            <w:gridSpan w:val="2"/>
            <w:tcBorders>
              <w:bottom w:val="single" w:sz="8" w:space="0" w:color="CCEEFF"/>
            </w:tcBorders>
            <w:shd w:val="clear" w:color="auto" w:fill="CCEEFF"/>
            <w:vAlign w:val="bottom"/>
          </w:tcPr>
          <w:p w14:paraId="04F53D75" w14:textId="77777777" w:rsidR="00D1587D" w:rsidRDefault="00410D07">
            <w:pPr>
              <w:jc w:val="right"/>
              <w:rPr>
                <w:sz w:val="20"/>
                <w:szCs w:val="20"/>
              </w:rPr>
            </w:pPr>
            <w:r>
              <w:rPr>
                <w:rFonts w:ascii="Arial" w:eastAsia="Arial" w:hAnsi="Arial" w:cs="Arial"/>
                <w:sz w:val="18"/>
                <w:szCs w:val="18"/>
              </w:rPr>
              <w:t>71</w:t>
            </w:r>
          </w:p>
        </w:tc>
        <w:tc>
          <w:tcPr>
            <w:tcW w:w="520" w:type="dxa"/>
            <w:tcBorders>
              <w:bottom w:val="single" w:sz="8" w:space="0" w:color="CCEEFF"/>
            </w:tcBorders>
            <w:shd w:val="clear" w:color="auto" w:fill="CCEEFF"/>
            <w:vAlign w:val="bottom"/>
          </w:tcPr>
          <w:p w14:paraId="4F435CE3" w14:textId="77777777" w:rsidR="00D1587D" w:rsidRDefault="00D1587D">
            <w:pPr>
              <w:rPr>
                <w:sz w:val="24"/>
                <w:szCs w:val="24"/>
              </w:rPr>
            </w:pPr>
          </w:p>
        </w:tc>
        <w:tc>
          <w:tcPr>
            <w:tcW w:w="660" w:type="dxa"/>
            <w:tcBorders>
              <w:bottom w:val="single" w:sz="8" w:space="0" w:color="CCEEFF"/>
            </w:tcBorders>
            <w:shd w:val="clear" w:color="auto" w:fill="CCEEFF"/>
            <w:vAlign w:val="bottom"/>
          </w:tcPr>
          <w:p w14:paraId="664F50D2" w14:textId="77777777" w:rsidR="00D1587D" w:rsidRDefault="00410D07">
            <w:pPr>
              <w:jc w:val="right"/>
              <w:rPr>
                <w:sz w:val="20"/>
                <w:szCs w:val="20"/>
              </w:rPr>
            </w:pPr>
            <w:r>
              <w:rPr>
                <w:rFonts w:ascii="Arial" w:eastAsia="Arial" w:hAnsi="Arial" w:cs="Arial"/>
                <w:sz w:val="18"/>
                <w:szCs w:val="18"/>
              </w:rPr>
              <w:t>117%</w:t>
            </w:r>
          </w:p>
        </w:tc>
      </w:tr>
      <w:tr w:rsidR="00D1587D" w14:paraId="5DB31C1D" w14:textId="77777777">
        <w:trPr>
          <w:trHeight w:val="270"/>
        </w:trPr>
        <w:tc>
          <w:tcPr>
            <w:tcW w:w="4440" w:type="dxa"/>
            <w:vAlign w:val="bottom"/>
          </w:tcPr>
          <w:p w14:paraId="2411769B" w14:textId="77777777" w:rsidR="00D1587D" w:rsidRDefault="00410D07">
            <w:pPr>
              <w:rPr>
                <w:sz w:val="20"/>
                <w:szCs w:val="20"/>
              </w:rPr>
            </w:pPr>
            <w:r>
              <w:rPr>
                <w:rFonts w:ascii="Arial" w:eastAsia="Arial" w:hAnsi="Arial" w:cs="Arial"/>
                <w:sz w:val="18"/>
                <w:szCs w:val="18"/>
              </w:rPr>
              <w:t>Sales per Average Store (in thousands)(a)</w:t>
            </w:r>
          </w:p>
        </w:tc>
        <w:tc>
          <w:tcPr>
            <w:tcW w:w="1880" w:type="dxa"/>
            <w:gridSpan w:val="2"/>
            <w:vAlign w:val="bottom"/>
          </w:tcPr>
          <w:p w14:paraId="4CFFE0C4" w14:textId="77777777" w:rsidR="00D1587D" w:rsidRDefault="00410D07">
            <w:pPr>
              <w:jc w:val="right"/>
              <w:rPr>
                <w:sz w:val="20"/>
                <w:szCs w:val="20"/>
              </w:rPr>
            </w:pPr>
            <w:r>
              <w:rPr>
                <w:rFonts w:ascii="Arial" w:eastAsia="Arial" w:hAnsi="Arial" w:cs="Arial"/>
                <w:sz w:val="18"/>
                <w:szCs w:val="18"/>
              </w:rPr>
              <w:t>1,064</w:t>
            </w:r>
          </w:p>
        </w:tc>
        <w:tc>
          <w:tcPr>
            <w:tcW w:w="920" w:type="dxa"/>
            <w:gridSpan w:val="2"/>
            <w:vAlign w:val="bottom"/>
          </w:tcPr>
          <w:p w14:paraId="0F5E8B7C" w14:textId="77777777" w:rsidR="00D1587D" w:rsidRDefault="00410D07">
            <w:pPr>
              <w:jc w:val="right"/>
              <w:rPr>
                <w:sz w:val="20"/>
                <w:szCs w:val="20"/>
              </w:rPr>
            </w:pPr>
            <w:r>
              <w:rPr>
                <w:rFonts w:ascii="Arial" w:eastAsia="Arial" w:hAnsi="Arial" w:cs="Arial"/>
                <w:sz w:val="18"/>
                <w:szCs w:val="18"/>
              </w:rPr>
              <w:t>464</w:t>
            </w:r>
          </w:p>
        </w:tc>
        <w:tc>
          <w:tcPr>
            <w:tcW w:w="520" w:type="dxa"/>
            <w:vAlign w:val="bottom"/>
          </w:tcPr>
          <w:p w14:paraId="3919C414" w14:textId="77777777" w:rsidR="00D1587D" w:rsidRDefault="00D1587D">
            <w:pPr>
              <w:rPr>
                <w:sz w:val="23"/>
                <w:szCs w:val="23"/>
              </w:rPr>
            </w:pPr>
          </w:p>
        </w:tc>
        <w:tc>
          <w:tcPr>
            <w:tcW w:w="660" w:type="dxa"/>
            <w:vAlign w:val="bottom"/>
          </w:tcPr>
          <w:p w14:paraId="2C83F74D" w14:textId="77777777" w:rsidR="00D1587D" w:rsidRDefault="00410D07">
            <w:pPr>
              <w:jc w:val="right"/>
              <w:rPr>
                <w:sz w:val="20"/>
                <w:szCs w:val="20"/>
              </w:rPr>
            </w:pPr>
            <w:r>
              <w:rPr>
                <w:rFonts w:ascii="Arial" w:eastAsia="Arial" w:hAnsi="Arial" w:cs="Arial"/>
                <w:sz w:val="18"/>
                <w:szCs w:val="18"/>
              </w:rPr>
              <w:t>129%</w:t>
            </w:r>
          </w:p>
        </w:tc>
      </w:tr>
      <w:tr w:rsidR="00D1587D" w14:paraId="76F05483" w14:textId="77777777">
        <w:trPr>
          <w:trHeight w:val="54"/>
        </w:trPr>
        <w:tc>
          <w:tcPr>
            <w:tcW w:w="4440" w:type="dxa"/>
            <w:vAlign w:val="bottom"/>
          </w:tcPr>
          <w:p w14:paraId="3B4A67E4" w14:textId="77777777" w:rsidR="00D1587D" w:rsidRDefault="00D1587D">
            <w:pPr>
              <w:rPr>
                <w:sz w:val="4"/>
                <w:szCs w:val="4"/>
              </w:rPr>
            </w:pPr>
          </w:p>
        </w:tc>
        <w:tc>
          <w:tcPr>
            <w:tcW w:w="1480" w:type="dxa"/>
            <w:vAlign w:val="bottom"/>
          </w:tcPr>
          <w:p w14:paraId="30806A20" w14:textId="77777777" w:rsidR="00D1587D" w:rsidRDefault="00D1587D">
            <w:pPr>
              <w:rPr>
                <w:sz w:val="4"/>
                <w:szCs w:val="4"/>
              </w:rPr>
            </w:pPr>
          </w:p>
        </w:tc>
        <w:tc>
          <w:tcPr>
            <w:tcW w:w="400" w:type="dxa"/>
            <w:vAlign w:val="bottom"/>
          </w:tcPr>
          <w:p w14:paraId="49740E5D" w14:textId="77777777" w:rsidR="00D1587D" w:rsidRDefault="00D1587D">
            <w:pPr>
              <w:rPr>
                <w:sz w:val="4"/>
                <w:szCs w:val="4"/>
              </w:rPr>
            </w:pPr>
          </w:p>
        </w:tc>
        <w:tc>
          <w:tcPr>
            <w:tcW w:w="520" w:type="dxa"/>
            <w:vAlign w:val="bottom"/>
          </w:tcPr>
          <w:p w14:paraId="0457DD3B" w14:textId="77777777" w:rsidR="00D1587D" w:rsidRDefault="00D1587D">
            <w:pPr>
              <w:rPr>
                <w:sz w:val="4"/>
                <w:szCs w:val="4"/>
              </w:rPr>
            </w:pPr>
          </w:p>
        </w:tc>
        <w:tc>
          <w:tcPr>
            <w:tcW w:w="400" w:type="dxa"/>
            <w:vAlign w:val="bottom"/>
          </w:tcPr>
          <w:p w14:paraId="39CED2F0" w14:textId="77777777" w:rsidR="00D1587D" w:rsidRDefault="00D1587D">
            <w:pPr>
              <w:rPr>
                <w:sz w:val="4"/>
                <w:szCs w:val="4"/>
              </w:rPr>
            </w:pPr>
          </w:p>
        </w:tc>
        <w:tc>
          <w:tcPr>
            <w:tcW w:w="520" w:type="dxa"/>
            <w:vAlign w:val="bottom"/>
          </w:tcPr>
          <w:p w14:paraId="4E7F04FF" w14:textId="77777777" w:rsidR="00D1587D" w:rsidRDefault="00D1587D">
            <w:pPr>
              <w:rPr>
                <w:sz w:val="4"/>
                <w:szCs w:val="4"/>
              </w:rPr>
            </w:pPr>
          </w:p>
        </w:tc>
        <w:tc>
          <w:tcPr>
            <w:tcW w:w="660" w:type="dxa"/>
            <w:vAlign w:val="bottom"/>
          </w:tcPr>
          <w:p w14:paraId="79EF933C" w14:textId="77777777" w:rsidR="00D1587D" w:rsidRDefault="00D1587D">
            <w:pPr>
              <w:rPr>
                <w:sz w:val="4"/>
                <w:szCs w:val="4"/>
              </w:rPr>
            </w:pPr>
          </w:p>
        </w:tc>
      </w:tr>
      <w:tr w:rsidR="00D1587D" w14:paraId="20DB2DBF" w14:textId="77777777">
        <w:trPr>
          <w:trHeight w:val="304"/>
        </w:trPr>
        <w:tc>
          <w:tcPr>
            <w:tcW w:w="4440" w:type="dxa"/>
            <w:tcBorders>
              <w:bottom w:val="single" w:sz="8" w:space="0" w:color="CCEEFF"/>
            </w:tcBorders>
            <w:shd w:val="clear" w:color="auto" w:fill="CCEEFF"/>
            <w:vAlign w:val="bottom"/>
          </w:tcPr>
          <w:p w14:paraId="7CE71F32" w14:textId="77777777" w:rsidR="00D1587D" w:rsidRDefault="00410D07">
            <w:pPr>
              <w:rPr>
                <w:sz w:val="20"/>
                <w:szCs w:val="20"/>
              </w:rPr>
            </w:pPr>
            <w:r>
              <w:rPr>
                <w:rFonts w:ascii="Arial" w:eastAsia="Arial" w:hAnsi="Arial" w:cs="Arial"/>
                <w:sz w:val="18"/>
                <w:szCs w:val="18"/>
              </w:rPr>
              <w:t>Average Store Size (selling square feet)</w:t>
            </w:r>
          </w:p>
        </w:tc>
        <w:tc>
          <w:tcPr>
            <w:tcW w:w="1880" w:type="dxa"/>
            <w:gridSpan w:val="2"/>
            <w:tcBorders>
              <w:bottom w:val="single" w:sz="8" w:space="0" w:color="CCEEFF"/>
            </w:tcBorders>
            <w:shd w:val="clear" w:color="auto" w:fill="CCEEFF"/>
            <w:vAlign w:val="bottom"/>
          </w:tcPr>
          <w:p w14:paraId="49A4B9E0" w14:textId="77777777" w:rsidR="00D1587D" w:rsidRDefault="00410D07">
            <w:pPr>
              <w:jc w:val="right"/>
              <w:rPr>
                <w:sz w:val="20"/>
                <w:szCs w:val="20"/>
              </w:rPr>
            </w:pPr>
            <w:r>
              <w:rPr>
                <w:rFonts w:ascii="Arial" w:eastAsia="Arial" w:hAnsi="Arial" w:cs="Arial"/>
                <w:sz w:val="18"/>
                <w:szCs w:val="18"/>
              </w:rPr>
              <w:t>6,885</w:t>
            </w:r>
          </w:p>
        </w:tc>
        <w:tc>
          <w:tcPr>
            <w:tcW w:w="920" w:type="dxa"/>
            <w:gridSpan w:val="2"/>
            <w:tcBorders>
              <w:bottom w:val="single" w:sz="8" w:space="0" w:color="CCEEFF"/>
            </w:tcBorders>
            <w:shd w:val="clear" w:color="auto" w:fill="CCEEFF"/>
            <w:vAlign w:val="bottom"/>
          </w:tcPr>
          <w:p w14:paraId="4F7B91D4" w14:textId="77777777" w:rsidR="00D1587D" w:rsidRDefault="00410D07">
            <w:pPr>
              <w:jc w:val="right"/>
              <w:rPr>
                <w:sz w:val="20"/>
                <w:szCs w:val="20"/>
              </w:rPr>
            </w:pPr>
            <w:r>
              <w:rPr>
                <w:rFonts w:ascii="Arial" w:eastAsia="Arial" w:hAnsi="Arial" w:cs="Arial"/>
                <w:sz w:val="18"/>
                <w:szCs w:val="18"/>
              </w:rPr>
              <w:t>6,587</w:t>
            </w:r>
          </w:p>
        </w:tc>
        <w:tc>
          <w:tcPr>
            <w:tcW w:w="520" w:type="dxa"/>
            <w:tcBorders>
              <w:bottom w:val="single" w:sz="8" w:space="0" w:color="CCEEFF"/>
            </w:tcBorders>
            <w:shd w:val="clear" w:color="auto" w:fill="CCEEFF"/>
            <w:vAlign w:val="bottom"/>
          </w:tcPr>
          <w:p w14:paraId="5296487B" w14:textId="77777777" w:rsidR="00D1587D" w:rsidRDefault="00D1587D">
            <w:pPr>
              <w:rPr>
                <w:sz w:val="24"/>
                <w:szCs w:val="24"/>
              </w:rPr>
            </w:pPr>
          </w:p>
        </w:tc>
        <w:tc>
          <w:tcPr>
            <w:tcW w:w="660" w:type="dxa"/>
            <w:tcBorders>
              <w:bottom w:val="single" w:sz="8" w:space="0" w:color="CCEEFF"/>
            </w:tcBorders>
            <w:shd w:val="clear" w:color="auto" w:fill="CCEEFF"/>
            <w:vAlign w:val="bottom"/>
          </w:tcPr>
          <w:p w14:paraId="6A67880C" w14:textId="77777777" w:rsidR="00D1587D" w:rsidRDefault="00410D07">
            <w:pPr>
              <w:jc w:val="right"/>
              <w:rPr>
                <w:sz w:val="20"/>
                <w:szCs w:val="20"/>
              </w:rPr>
            </w:pPr>
            <w:r>
              <w:rPr>
                <w:rFonts w:ascii="Arial" w:eastAsia="Arial" w:hAnsi="Arial" w:cs="Arial"/>
                <w:sz w:val="18"/>
                <w:szCs w:val="18"/>
              </w:rPr>
              <w:t>5%</w:t>
            </w:r>
          </w:p>
        </w:tc>
      </w:tr>
      <w:tr w:rsidR="00D1587D" w14:paraId="4A5FDC41" w14:textId="77777777">
        <w:trPr>
          <w:trHeight w:val="270"/>
        </w:trPr>
        <w:tc>
          <w:tcPr>
            <w:tcW w:w="4440" w:type="dxa"/>
            <w:vAlign w:val="bottom"/>
          </w:tcPr>
          <w:p w14:paraId="1376B5C2" w14:textId="77777777" w:rsidR="00D1587D" w:rsidRDefault="00410D07">
            <w:pPr>
              <w:rPr>
                <w:sz w:val="20"/>
                <w:szCs w:val="20"/>
              </w:rPr>
            </w:pPr>
            <w:r>
              <w:rPr>
                <w:rFonts w:ascii="Arial" w:eastAsia="Arial" w:hAnsi="Arial" w:cs="Arial"/>
                <w:sz w:val="18"/>
                <w:szCs w:val="18"/>
              </w:rPr>
              <w:t>Total Selling Square Feet (in thousands)</w:t>
            </w:r>
          </w:p>
        </w:tc>
        <w:tc>
          <w:tcPr>
            <w:tcW w:w="1880" w:type="dxa"/>
            <w:gridSpan w:val="2"/>
            <w:vAlign w:val="bottom"/>
          </w:tcPr>
          <w:p w14:paraId="4C277DE3" w14:textId="77777777" w:rsidR="00D1587D" w:rsidRDefault="00410D07">
            <w:pPr>
              <w:jc w:val="right"/>
              <w:rPr>
                <w:sz w:val="20"/>
                <w:szCs w:val="20"/>
              </w:rPr>
            </w:pPr>
            <w:r>
              <w:rPr>
                <w:rFonts w:ascii="Arial" w:eastAsia="Arial" w:hAnsi="Arial" w:cs="Arial"/>
                <w:sz w:val="18"/>
                <w:szCs w:val="18"/>
              </w:rPr>
              <w:t>5,790</w:t>
            </w:r>
          </w:p>
        </w:tc>
        <w:tc>
          <w:tcPr>
            <w:tcW w:w="920" w:type="dxa"/>
            <w:gridSpan w:val="2"/>
            <w:vAlign w:val="bottom"/>
          </w:tcPr>
          <w:p w14:paraId="22153FF7" w14:textId="77777777" w:rsidR="00D1587D" w:rsidRDefault="00410D07">
            <w:pPr>
              <w:jc w:val="right"/>
              <w:rPr>
                <w:sz w:val="20"/>
                <w:szCs w:val="20"/>
              </w:rPr>
            </w:pPr>
            <w:r>
              <w:rPr>
                <w:rFonts w:ascii="Arial" w:eastAsia="Arial" w:hAnsi="Arial" w:cs="Arial"/>
                <w:sz w:val="18"/>
                <w:szCs w:val="18"/>
              </w:rPr>
              <w:t>6,804</w:t>
            </w:r>
          </w:p>
        </w:tc>
        <w:tc>
          <w:tcPr>
            <w:tcW w:w="520" w:type="dxa"/>
            <w:vAlign w:val="bottom"/>
          </w:tcPr>
          <w:p w14:paraId="244399AF" w14:textId="77777777" w:rsidR="00D1587D" w:rsidRDefault="00D1587D">
            <w:pPr>
              <w:rPr>
                <w:sz w:val="23"/>
                <w:szCs w:val="23"/>
              </w:rPr>
            </w:pPr>
          </w:p>
        </w:tc>
        <w:tc>
          <w:tcPr>
            <w:tcW w:w="660" w:type="dxa"/>
            <w:vAlign w:val="bottom"/>
          </w:tcPr>
          <w:p w14:paraId="506B95D5" w14:textId="77777777" w:rsidR="00D1587D" w:rsidRDefault="00410D07">
            <w:pPr>
              <w:jc w:val="right"/>
              <w:rPr>
                <w:sz w:val="20"/>
                <w:szCs w:val="20"/>
              </w:rPr>
            </w:pPr>
            <w:r>
              <w:rPr>
                <w:rFonts w:ascii="Arial" w:eastAsia="Arial" w:hAnsi="Arial" w:cs="Arial"/>
                <w:sz w:val="18"/>
                <w:szCs w:val="18"/>
              </w:rPr>
              <w:t>(15)%</w:t>
            </w:r>
          </w:p>
        </w:tc>
      </w:tr>
    </w:tbl>
    <w:p w14:paraId="5A917537" w14:textId="77777777" w:rsidR="00D1587D" w:rsidRDefault="00410D07">
      <w:pPr>
        <w:spacing w:line="20" w:lineRule="exact"/>
        <w:rPr>
          <w:sz w:val="20"/>
          <w:szCs w:val="20"/>
        </w:rPr>
      </w:pPr>
      <w:r>
        <w:rPr>
          <w:noProof/>
          <w:sz w:val="20"/>
          <w:szCs w:val="20"/>
        </w:rPr>
        <w:drawing>
          <wp:anchor distT="0" distB="0" distL="114300" distR="114300" simplePos="0" relativeHeight="251615232" behindDoc="1" locked="0" layoutInCell="0" allowOverlap="1" wp14:anchorId="74DE45B4" wp14:editId="0E2502CE">
            <wp:simplePos x="0" y="0"/>
            <wp:positionH relativeFrom="column">
              <wp:posOffset>4788535</wp:posOffset>
            </wp:positionH>
            <wp:positionV relativeFrom="paragraph">
              <wp:posOffset>-805180</wp:posOffset>
            </wp:positionV>
            <wp:extent cx="325755" cy="8255"/>
            <wp:effectExtent l="0" t="0" r="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49"/>
                    <a:srcRect/>
                    <a:stretch>
                      <a:fillRect/>
                    </a:stretch>
                  </pic:blipFill>
                  <pic:spPr bwMode="auto">
                    <a:xfrm>
                      <a:off x="0" y="0"/>
                      <a:ext cx="325755" cy="8255"/>
                    </a:xfrm>
                    <a:prstGeom prst="rect">
                      <a:avLst/>
                    </a:prstGeom>
                    <a:noFill/>
                  </pic:spPr>
                </pic:pic>
              </a:graphicData>
            </a:graphic>
          </wp:anchor>
        </w:drawing>
      </w:r>
      <w:r>
        <w:rPr>
          <w:noProof/>
          <w:sz w:val="20"/>
          <w:szCs w:val="20"/>
        </w:rPr>
        <w:drawing>
          <wp:anchor distT="0" distB="0" distL="114300" distR="114300" simplePos="0" relativeHeight="251616256" behindDoc="1" locked="0" layoutInCell="0" allowOverlap="1" wp14:anchorId="3CE9486A" wp14:editId="5C8BF175">
            <wp:simplePos x="0" y="0"/>
            <wp:positionH relativeFrom="column">
              <wp:posOffset>4205605</wp:posOffset>
            </wp:positionH>
            <wp:positionV relativeFrom="paragraph">
              <wp:posOffset>-805180</wp:posOffset>
            </wp:positionV>
            <wp:extent cx="325755" cy="8255"/>
            <wp:effectExtent l="0" t="0" r="0"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49"/>
                    <a:srcRect/>
                    <a:stretch>
                      <a:fillRect/>
                    </a:stretch>
                  </pic:blipFill>
                  <pic:spPr bwMode="auto">
                    <a:xfrm>
                      <a:off x="0" y="0"/>
                      <a:ext cx="325755" cy="8255"/>
                    </a:xfrm>
                    <a:prstGeom prst="rect">
                      <a:avLst/>
                    </a:prstGeom>
                    <a:noFill/>
                  </pic:spPr>
                </pic:pic>
              </a:graphicData>
            </a:graphic>
          </wp:anchor>
        </w:drawing>
      </w:r>
      <w:r>
        <w:rPr>
          <w:noProof/>
          <w:sz w:val="20"/>
          <w:szCs w:val="20"/>
        </w:rPr>
        <w:drawing>
          <wp:anchor distT="0" distB="0" distL="114300" distR="114300" simplePos="0" relativeHeight="251617280" behindDoc="1" locked="0" layoutInCell="0" allowOverlap="1" wp14:anchorId="7FBB055E" wp14:editId="44C9EE9E">
            <wp:simplePos x="0" y="0"/>
            <wp:positionH relativeFrom="column">
              <wp:posOffset>3785870</wp:posOffset>
            </wp:positionH>
            <wp:positionV relativeFrom="paragraph">
              <wp:posOffset>-805180</wp:posOffset>
            </wp:positionV>
            <wp:extent cx="163195" cy="8255"/>
            <wp:effectExtent l="0" t="0" r="0" b="0"/>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42"/>
                    <a:srcRect/>
                    <a:stretch>
                      <a:fillRect/>
                    </a:stretch>
                  </pic:blipFill>
                  <pic:spPr bwMode="auto">
                    <a:xfrm>
                      <a:off x="0" y="0"/>
                      <a:ext cx="163195" cy="8255"/>
                    </a:xfrm>
                    <a:prstGeom prst="rect">
                      <a:avLst/>
                    </a:prstGeom>
                    <a:noFill/>
                  </pic:spPr>
                </pic:pic>
              </a:graphicData>
            </a:graphic>
          </wp:anchor>
        </w:drawing>
      </w:r>
      <w:r>
        <w:rPr>
          <w:noProof/>
          <w:sz w:val="20"/>
          <w:szCs w:val="20"/>
        </w:rPr>
        <w:drawing>
          <wp:anchor distT="0" distB="0" distL="114300" distR="114300" simplePos="0" relativeHeight="251618304" behindDoc="1" locked="0" layoutInCell="0" allowOverlap="1" wp14:anchorId="11D40CD3" wp14:editId="0EFCC3EF">
            <wp:simplePos x="0" y="0"/>
            <wp:positionH relativeFrom="column">
              <wp:posOffset>185420</wp:posOffset>
            </wp:positionH>
            <wp:positionV relativeFrom="paragraph">
              <wp:posOffset>188595</wp:posOffset>
            </wp:positionV>
            <wp:extent cx="822960" cy="8255"/>
            <wp:effectExtent l="0" t="0" r="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194AA363" w14:textId="77777777" w:rsidR="00D1587D" w:rsidRDefault="00D1587D">
      <w:pPr>
        <w:spacing w:line="326" w:lineRule="exact"/>
        <w:rPr>
          <w:sz w:val="20"/>
          <w:szCs w:val="20"/>
        </w:rPr>
      </w:pPr>
    </w:p>
    <w:p w14:paraId="5F6ACFB9" w14:textId="77777777" w:rsidR="00D1587D" w:rsidRDefault="00410D07" w:rsidP="00410D07">
      <w:pPr>
        <w:numPr>
          <w:ilvl w:val="0"/>
          <w:numId w:val="286"/>
        </w:numPr>
        <w:tabs>
          <w:tab w:val="left" w:pos="640"/>
        </w:tabs>
        <w:spacing w:line="231" w:lineRule="auto"/>
        <w:ind w:left="640" w:right="359" w:hanging="348"/>
        <w:rPr>
          <w:rFonts w:ascii="Arial" w:eastAsia="Arial" w:hAnsi="Arial" w:cs="Arial"/>
          <w:sz w:val="14"/>
          <w:szCs w:val="14"/>
        </w:rPr>
      </w:pPr>
      <w:r>
        <w:rPr>
          <w:rFonts w:ascii="Arial" w:eastAsia="Arial" w:hAnsi="Arial" w:cs="Arial"/>
          <w:sz w:val="14"/>
          <w:szCs w:val="14"/>
        </w:rPr>
        <w:t xml:space="preserve">Sales per </w:t>
      </w:r>
      <w:r>
        <w:rPr>
          <w:rFonts w:ascii="Arial" w:eastAsia="Arial" w:hAnsi="Arial" w:cs="Arial"/>
          <w:sz w:val="14"/>
          <w:szCs w:val="14"/>
        </w:rPr>
        <w:t>average selling square foot and sales per average store, which are indicators of store productivity, are calculated based on store sales for the period divided by the average, including the beginning and end of period, of total square footage and store cou</w:t>
      </w:r>
      <w:r>
        <w:rPr>
          <w:rFonts w:ascii="Arial" w:eastAsia="Arial" w:hAnsi="Arial" w:cs="Arial"/>
          <w:sz w:val="14"/>
          <w:szCs w:val="14"/>
        </w:rPr>
        <w:t xml:space="preserve">nt, respectively. As a result of the COVID-19 pandemic, all our stores in the U.S. were closed on March 17, 2020 and nearly all stores remained closed throughout the remainder of the first quarter of 2020. As a result, comparisons of year-over-year trends </w:t>
      </w:r>
      <w:r>
        <w:rPr>
          <w:rFonts w:ascii="Arial" w:eastAsia="Arial" w:hAnsi="Arial" w:cs="Arial"/>
          <w:sz w:val="14"/>
          <w:szCs w:val="14"/>
        </w:rPr>
        <w:t>are not a meaningful way to discuss our operating results this quarter.</w:t>
      </w:r>
    </w:p>
    <w:p w14:paraId="1FAFE658" w14:textId="77777777" w:rsidR="00D1587D" w:rsidRDefault="00D1587D">
      <w:pPr>
        <w:spacing w:line="188" w:lineRule="exact"/>
        <w:rPr>
          <w:sz w:val="20"/>
          <w:szCs w:val="20"/>
        </w:rPr>
      </w:pPr>
    </w:p>
    <w:p w14:paraId="3A24744B" w14:textId="77777777" w:rsidR="00D1587D" w:rsidRDefault="00410D07">
      <w:pPr>
        <w:jc w:val="center"/>
        <w:rPr>
          <w:sz w:val="20"/>
          <w:szCs w:val="20"/>
        </w:rPr>
      </w:pPr>
      <w:r>
        <w:rPr>
          <w:rFonts w:ascii="Arial" w:eastAsia="Arial" w:hAnsi="Arial" w:cs="Arial"/>
          <w:sz w:val="18"/>
          <w:szCs w:val="18"/>
        </w:rPr>
        <w:t>72</w:t>
      </w:r>
    </w:p>
    <w:p w14:paraId="238E2F2C" w14:textId="77777777" w:rsidR="00D1587D" w:rsidRDefault="00410D07">
      <w:pPr>
        <w:spacing w:line="20" w:lineRule="exact"/>
        <w:rPr>
          <w:sz w:val="20"/>
          <w:szCs w:val="20"/>
        </w:rPr>
      </w:pPr>
      <w:r>
        <w:rPr>
          <w:noProof/>
          <w:sz w:val="20"/>
          <w:szCs w:val="20"/>
        </w:rPr>
        <w:drawing>
          <wp:anchor distT="0" distB="0" distL="114300" distR="114300" simplePos="0" relativeHeight="251619328" behindDoc="1" locked="0" layoutInCell="0" allowOverlap="1" wp14:anchorId="11F57408" wp14:editId="1070FFF8">
            <wp:simplePos x="0" y="0"/>
            <wp:positionH relativeFrom="column">
              <wp:posOffset>-636905</wp:posOffset>
            </wp:positionH>
            <wp:positionV relativeFrom="paragraph">
              <wp:posOffset>126365</wp:posOffset>
            </wp:positionV>
            <wp:extent cx="6995160" cy="17145"/>
            <wp:effectExtent l="0" t="0" r="0" b="0"/>
            <wp:wrapNone/>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0B4813B" w14:textId="77777777" w:rsidR="00D1587D" w:rsidRDefault="00D1587D">
      <w:pPr>
        <w:sectPr w:rsidR="00D1587D">
          <w:pgSz w:w="11900" w:h="16838"/>
          <w:pgMar w:top="265" w:right="1440" w:bottom="1440" w:left="1440" w:header="0" w:footer="0" w:gutter="0"/>
          <w:cols w:space="720" w:equalWidth="0">
            <w:col w:w="9019"/>
          </w:cols>
        </w:sectPr>
      </w:pPr>
    </w:p>
    <w:bookmarkStart w:id="330" w:name="page331"/>
    <w:bookmarkEnd w:id="330"/>
    <w:p w14:paraId="47CE6A8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4D9C2CA" w14:textId="77777777" w:rsidR="00D1587D" w:rsidRDefault="00D1587D">
      <w:pPr>
        <w:spacing w:line="131" w:lineRule="exact"/>
        <w:rPr>
          <w:sz w:val="20"/>
          <w:szCs w:val="20"/>
        </w:rPr>
      </w:pPr>
    </w:p>
    <w:p w14:paraId="4112A1FD" w14:textId="77777777" w:rsidR="00D1587D" w:rsidRDefault="00410D07">
      <w:pPr>
        <w:spacing w:line="277" w:lineRule="auto"/>
        <w:ind w:left="300" w:right="439" w:firstLine="360"/>
        <w:rPr>
          <w:sz w:val="20"/>
          <w:szCs w:val="20"/>
        </w:rPr>
      </w:pPr>
      <w:r>
        <w:rPr>
          <w:rFonts w:ascii="Arial" w:eastAsia="Arial" w:hAnsi="Arial" w:cs="Arial"/>
          <w:sz w:val="18"/>
          <w:szCs w:val="18"/>
        </w:rPr>
        <w:t>The following table compares 2020 U.S. company-operated store data to the comparable periods for 2019 and 2018:</w:t>
      </w:r>
    </w:p>
    <w:p w14:paraId="02DD4240"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600"/>
        <w:gridCol w:w="420"/>
        <w:gridCol w:w="200"/>
        <w:gridCol w:w="400"/>
        <w:gridCol w:w="180"/>
        <w:gridCol w:w="420"/>
        <w:gridCol w:w="180"/>
        <w:gridCol w:w="460"/>
        <w:gridCol w:w="200"/>
        <w:gridCol w:w="360"/>
      </w:tblGrid>
      <w:tr w:rsidR="00D1587D" w14:paraId="7533AB8D" w14:textId="77777777">
        <w:trPr>
          <w:trHeight w:val="186"/>
        </w:trPr>
        <w:tc>
          <w:tcPr>
            <w:tcW w:w="5600" w:type="dxa"/>
            <w:vAlign w:val="bottom"/>
          </w:tcPr>
          <w:p w14:paraId="7D4354D5" w14:textId="77777777" w:rsidR="00D1587D" w:rsidRDefault="00D1587D">
            <w:pPr>
              <w:rPr>
                <w:sz w:val="16"/>
                <w:szCs w:val="16"/>
              </w:rPr>
            </w:pPr>
          </w:p>
        </w:tc>
        <w:tc>
          <w:tcPr>
            <w:tcW w:w="420" w:type="dxa"/>
            <w:vAlign w:val="bottom"/>
          </w:tcPr>
          <w:p w14:paraId="1B1A6971" w14:textId="77777777" w:rsidR="00D1587D" w:rsidRDefault="00D1587D">
            <w:pPr>
              <w:rPr>
                <w:sz w:val="16"/>
                <w:szCs w:val="16"/>
              </w:rPr>
            </w:pPr>
          </w:p>
        </w:tc>
        <w:tc>
          <w:tcPr>
            <w:tcW w:w="200" w:type="dxa"/>
            <w:vAlign w:val="bottom"/>
          </w:tcPr>
          <w:p w14:paraId="5F4BDA68" w14:textId="77777777" w:rsidR="00D1587D" w:rsidRDefault="00D1587D">
            <w:pPr>
              <w:rPr>
                <w:sz w:val="16"/>
                <w:szCs w:val="16"/>
              </w:rPr>
            </w:pPr>
          </w:p>
        </w:tc>
        <w:tc>
          <w:tcPr>
            <w:tcW w:w="400" w:type="dxa"/>
            <w:vAlign w:val="bottom"/>
          </w:tcPr>
          <w:p w14:paraId="7C06B71F" w14:textId="77777777" w:rsidR="00D1587D" w:rsidRDefault="00D1587D">
            <w:pPr>
              <w:rPr>
                <w:sz w:val="16"/>
                <w:szCs w:val="16"/>
              </w:rPr>
            </w:pPr>
          </w:p>
        </w:tc>
        <w:tc>
          <w:tcPr>
            <w:tcW w:w="180" w:type="dxa"/>
            <w:vAlign w:val="bottom"/>
          </w:tcPr>
          <w:p w14:paraId="28AC1D52" w14:textId="77777777" w:rsidR="00D1587D" w:rsidRDefault="00D1587D">
            <w:pPr>
              <w:rPr>
                <w:sz w:val="16"/>
                <w:szCs w:val="16"/>
              </w:rPr>
            </w:pPr>
          </w:p>
        </w:tc>
        <w:tc>
          <w:tcPr>
            <w:tcW w:w="420" w:type="dxa"/>
            <w:vAlign w:val="bottom"/>
          </w:tcPr>
          <w:p w14:paraId="6DED8C68" w14:textId="77777777" w:rsidR="00D1587D" w:rsidRDefault="00D1587D">
            <w:pPr>
              <w:rPr>
                <w:sz w:val="16"/>
                <w:szCs w:val="16"/>
              </w:rPr>
            </w:pPr>
          </w:p>
        </w:tc>
        <w:tc>
          <w:tcPr>
            <w:tcW w:w="180" w:type="dxa"/>
            <w:vAlign w:val="bottom"/>
          </w:tcPr>
          <w:p w14:paraId="4D3065C5" w14:textId="77777777" w:rsidR="00D1587D" w:rsidRDefault="00D1587D">
            <w:pPr>
              <w:rPr>
                <w:sz w:val="16"/>
                <w:szCs w:val="16"/>
              </w:rPr>
            </w:pPr>
          </w:p>
        </w:tc>
        <w:tc>
          <w:tcPr>
            <w:tcW w:w="1020" w:type="dxa"/>
            <w:gridSpan w:val="3"/>
            <w:vAlign w:val="bottom"/>
          </w:tcPr>
          <w:p w14:paraId="54BD174C" w14:textId="77777777" w:rsidR="00D1587D" w:rsidRDefault="00410D07">
            <w:pPr>
              <w:ind w:right="94"/>
              <w:jc w:val="right"/>
              <w:rPr>
                <w:sz w:val="20"/>
                <w:szCs w:val="20"/>
              </w:rPr>
            </w:pPr>
            <w:r>
              <w:rPr>
                <w:rFonts w:ascii="Arial" w:eastAsia="Arial" w:hAnsi="Arial" w:cs="Arial"/>
                <w:b/>
                <w:bCs/>
                <w:sz w:val="14"/>
                <w:szCs w:val="14"/>
              </w:rPr>
              <w:t>% Change</w:t>
            </w:r>
          </w:p>
        </w:tc>
      </w:tr>
      <w:tr w:rsidR="00D1587D" w14:paraId="0C057DFD" w14:textId="77777777">
        <w:trPr>
          <w:trHeight w:val="53"/>
        </w:trPr>
        <w:tc>
          <w:tcPr>
            <w:tcW w:w="5600" w:type="dxa"/>
            <w:vAlign w:val="bottom"/>
          </w:tcPr>
          <w:p w14:paraId="5A494478" w14:textId="77777777" w:rsidR="00D1587D" w:rsidRDefault="00D1587D">
            <w:pPr>
              <w:rPr>
                <w:sz w:val="4"/>
                <w:szCs w:val="4"/>
              </w:rPr>
            </w:pPr>
          </w:p>
        </w:tc>
        <w:tc>
          <w:tcPr>
            <w:tcW w:w="420" w:type="dxa"/>
            <w:vAlign w:val="bottom"/>
          </w:tcPr>
          <w:p w14:paraId="47D4A05C" w14:textId="77777777" w:rsidR="00D1587D" w:rsidRDefault="00D1587D">
            <w:pPr>
              <w:rPr>
                <w:sz w:val="4"/>
                <w:szCs w:val="4"/>
              </w:rPr>
            </w:pPr>
          </w:p>
        </w:tc>
        <w:tc>
          <w:tcPr>
            <w:tcW w:w="600" w:type="dxa"/>
            <w:gridSpan w:val="2"/>
            <w:vAlign w:val="bottom"/>
          </w:tcPr>
          <w:p w14:paraId="4318D16C" w14:textId="77777777" w:rsidR="00D1587D" w:rsidRDefault="00D1587D">
            <w:pPr>
              <w:rPr>
                <w:sz w:val="4"/>
                <w:szCs w:val="4"/>
              </w:rPr>
            </w:pPr>
          </w:p>
        </w:tc>
        <w:tc>
          <w:tcPr>
            <w:tcW w:w="600" w:type="dxa"/>
            <w:gridSpan w:val="2"/>
            <w:vAlign w:val="bottom"/>
          </w:tcPr>
          <w:p w14:paraId="2A26FA92" w14:textId="77777777" w:rsidR="00D1587D" w:rsidRDefault="00D1587D">
            <w:pPr>
              <w:rPr>
                <w:sz w:val="4"/>
                <w:szCs w:val="4"/>
              </w:rPr>
            </w:pPr>
          </w:p>
        </w:tc>
        <w:tc>
          <w:tcPr>
            <w:tcW w:w="180" w:type="dxa"/>
            <w:vAlign w:val="bottom"/>
          </w:tcPr>
          <w:p w14:paraId="346780D1" w14:textId="77777777" w:rsidR="00D1587D" w:rsidRDefault="00D1587D">
            <w:pPr>
              <w:rPr>
                <w:sz w:val="4"/>
                <w:szCs w:val="4"/>
              </w:rPr>
            </w:pPr>
          </w:p>
        </w:tc>
        <w:tc>
          <w:tcPr>
            <w:tcW w:w="460" w:type="dxa"/>
            <w:tcBorders>
              <w:bottom w:val="single" w:sz="8" w:space="0" w:color="auto"/>
            </w:tcBorders>
            <w:vAlign w:val="bottom"/>
          </w:tcPr>
          <w:p w14:paraId="01C59A3C" w14:textId="77777777" w:rsidR="00D1587D" w:rsidRDefault="00D1587D">
            <w:pPr>
              <w:rPr>
                <w:sz w:val="4"/>
                <w:szCs w:val="4"/>
              </w:rPr>
            </w:pPr>
          </w:p>
        </w:tc>
        <w:tc>
          <w:tcPr>
            <w:tcW w:w="200" w:type="dxa"/>
            <w:tcBorders>
              <w:bottom w:val="single" w:sz="8" w:space="0" w:color="auto"/>
            </w:tcBorders>
            <w:vAlign w:val="bottom"/>
          </w:tcPr>
          <w:p w14:paraId="14BAAE24" w14:textId="77777777" w:rsidR="00D1587D" w:rsidRDefault="00D1587D">
            <w:pPr>
              <w:rPr>
                <w:sz w:val="4"/>
                <w:szCs w:val="4"/>
              </w:rPr>
            </w:pPr>
          </w:p>
        </w:tc>
        <w:tc>
          <w:tcPr>
            <w:tcW w:w="360" w:type="dxa"/>
            <w:tcBorders>
              <w:bottom w:val="single" w:sz="8" w:space="0" w:color="auto"/>
            </w:tcBorders>
            <w:vAlign w:val="bottom"/>
          </w:tcPr>
          <w:p w14:paraId="58B7535A" w14:textId="77777777" w:rsidR="00D1587D" w:rsidRDefault="00D1587D">
            <w:pPr>
              <w:rPr>
                <w:sz w:val="4"/>
                <w:szCs w:val="4"/>
              </w:rPr>
            </w:pPr>
          </w:p>
        </w:tc>
      </w:tr>
      <w:tr w:rsidR="00D1587D" w14:paraId="331FC380" w14:textId="77777777">
        <w:trPr>
          <w:trHeight w:val="224"/>
        </w:trPr>
        <w:tc>
          <w:tcPr>
            <w:tcW w:w="5600" w:type="dxa"/>
            <w:vAlign w:val="bottom"/>
          </w:tcPr>
          <w:p w14:paraId="49BF01AA" w14:textId="77777777" w:rsidR="00D1587D" w:rsidRDefault="00D1587D">
            <w:pPr>
              <w:rPr>
                <w:sz w:val="19"/>
                <w:szCs w:val="19"/>
              </w:rPr>
            </w:pPr>
          </w:p>
        </w:tc>
        <w:tc>
          <w:tcPr>
            <w:tcW w:w="420" w:type="dxa"/>
            <w:vAlign w:val="bottom"/>
          </w:tcPr>
          <w:p w14:paraId="3FAFBDC9" w14:textId="77777777" w:rsidR="00D1587D" w:rsidRDefault="00410D07">
            <w:pPr>
              <w:jc w:val="right"/>
              <w:rPr>
                <w:sz w:val="20"/>
                <w:szCs w:val="20"/>
              </w:rPr>
            </w:pPr>
            <w:r>
              <w:rPr>
                <w:rFonts w:ascii="Arial" w:eastAsia="Arial" w:hAnsi="Arial" w:cs="Arial"/>
                <w:b/>
                <w:bCs/>
                <w:sz w:val="14"/>
                <w:szCs w:val="14"/>
              </w:rPr>
              <w:t>2020</w:t>
            </w:r>
          </w:p>
        </w:tc>
        <w:tc>
          <w:tcPr>
            <w:tcW w:w="600" w:type="dxa"/>
            <w:gridSpan w:val="2"/>
            <w:vAlign w:val="bottom"/>
          </w:tcPr>
          <w:p w14:paraId="5410987E" w14:textId="77777777" w:rsidR="00D1587D" w:rsidRDefault="00410D07">
            <w:pPr>
              <w:ind w:right="60"/>
              <w:jc w:val="right"/>
              <w:rPr>
                <w:sz w:val="20"/>
                <w:szCs w:val="20"/>
              </w:rPr>
            </w:pPr>
            <w:r>
              <w:rPr>
                <w:rFonts w:ascii="Arial" w:eastAsia="Arial" w:hAnsi="Arial" w:cs="Arial"/>
                <w:b/>
                <w:bCs/>
                <w:sz w:val="14"/>
                <w:szCs w:val="14"/>
              </w:rPr>
              <w:t>2019</w:t>
            </w:r>
          </w:p>
        </w:tc>
        <w:tc>
          <w:tcPr>
            <w:tcW w:w="600" w:type="dxa"/>
            <w:gridSpan w:val="2"/>
            <w:vAlign w:val="bottom"/>
          </w:tcPr>
          <w:p w14:paraId="1BB6F6C3" w14:textId="77777777" w:rsidR="00D1587D" w:rsidRDefault="00410D07">
            <w:pPr>
              <w:ind w:right="60"/>
              <w:jc w:val="right"/>
              <w:rPr>
                <w:sz w:val="20"/>
                <w:szCs w:val="20"/>
              </w:rPr>
            </w:pPr>
            <w:r>
              <w:rPr>
                <w:rFonts w:ascii="Arial" w:eastAsia="Arial" w:hAnsi="Arial" w:cs="Arial"/>
                <w:b/>
                <w:bCs/>
                <w:sz w:val="14"/>
                <w:szCs w:val="14"/>
              </w:rPr>
              <w:t>2018</w:t>
            </w:r>
          </w:p>
        </w:tc>
        <w:tc>
          <w:tcPr>
            <w:tcW w:w="180" w:type="dxa"/>
            <w:vAlign w:val="bottom"/>
          </w:tcPr>
          <w:p w14:paraId="55255A46" w14:textId="77777777" w:rsidR="00D1587D" w:rsidRDefault="00D1587D">
            <w:pPr>
              <w:rPr>
                <w:sz w:val="19"/>
                <w:szCs w:val="19"/>
              </w:rPr>
            </w:pPr>
          </w:p>
        </w:tc>
        <w:tc>
          <w:tcPr>
            <w:tcW w:w="460" w:type="dxa"/>
            <w:vAlign w:val="bottom"/>
          </w:tcPr>
          <w:p w14:paraId="15051B8E" w14:textId="77777777" w:rsidR="00D1587D" w:rsidRDefault="00410D07">
            <w:pPr>
              <w:jc w:val="right"/>
              <w:rPr>
                <w:sz w:val="20"/>
                <w:szCs w:val="20"/>
              </w:rPr>
            </w:pPr>
            <w:r>
              <w:rPr>
                <w:rFonts w:ascii="Arial" w:eastAsia="Arial" w:hAnsi="Arial" w:cs="Arial"/>
                <w:b/>
                <w:bCs/>
                <w:sz w:val="14"/>
                <w:szCs w:val="14"/>
              </w:rPr>
              <w:t>2020</w:t>
            </w:r>
          </w:p>
        </w:tc>
        <w:tc>
          <w:tcPr>
            <w:tcW w:w="200" w:type="dxa"/>
            <w:vAlign w:val="bottom"/>
          </w:tcPr>
          <w:p w14:paraId="7FFECE2E" w14:textId="77777777" w:rsidR="00D1587D" w:rsidRDefault="00D1587D">
            <w:pPr>
              <w:rPr>
                <w:sz w:val="19"/>
                <w:szCs w:val="19"/>
              </w:rPr>
            </w:pPr>
          </w:p>
        </w:tc>
        <w:tc>
          <w:tcPr>
            <w:tcW w:w="360" w:type="dxa"/>
            <w:vAlign w:val="bottom"/>
          </w:tcPr>
          <w:p w14:paraId="6D38B25E" w14:textId="77777777" w:rsidR="00D1587D" w:rsidRDefault="00410D07">
            <w:pPr>
              <w:jc w:val="right"/>
              <w:rPr>
                <w:sz w:val="20"/>
                <w:szCs w:val="20"/>
              </w:rPr>
            </w:pPr>
            <w:r>
              <w:rPr>
                <w:rFonts w:ascii="Arial" w:eastAsia="Arial" w:hAnsi="Arial" w:cs="Arial"/>
                <w:b/>
                <w:bCs/>
                <w:w w:val="96"/>
                <w:sz w:val="14"/>
                <w:szCs w:val="14"/>
              </w:rPr>
              <w:t>2019</w:t>
            </w:r>
          </w:p>
        </w:tc>
      </w:tr>
      <w:tr w:rsidR="00D1587D" w14:paraId="4392C0DF" w14:textId="77777777">
        <w:trPr>
          <w:trHeight w:val="53"/>
        </w:trPr>
        <w:tc>
          <w:tcPr>
            <w:tcW w:w="5600" w:type="dxa"/>
            <w:tcBorders>
              <w:bottom w:val="single" w:sz="8" w:space="0" w:color="CCEEFF"/>
            </w:tcBorders>
            <w:vAlign w:val="bottom"/>
          </w:tcPr>
          <w:p w14:paraId="649BC902" w14:textId="77777777" w:rsidR="00D1587D" w:rsidRDefault="00D1587D">
            <w:pPr>
              <w:rPr>
                <w:sz w:val="4"/>
                <w:szCs w:val="4"/>
              </w:rPr>
            </w:pPr>
          </w:p>
        </w:tc>
        <w:tc>
          <w:tcPr>
            <w:tcW w:w="420" w:type="dxa"/>
            <w:tcBorders>
              <w:bottom w:val="single" w:sz="8" w:space="0" w:color="auto"/>
            </w:tcBorders>
            <w:vAlign w:val="bottom"/>
          </w:tcPr>
          <w:p w14:paraId="477B44D1" w14:textId="77777777" w:rsidR="00D1587D" w:rsidRDefault="00D1587D">
            <w:pPr>
              <w:rPr>
                <w:sz w:val="4"/>
                <w:szCs w:val="4"/>
              </w:rPr>
            </w:pPr>
          </w:p>
        </w:tc>
        <w:tc>
          <w:tcPr>
            <w:tcW w:w="200" w:type="dxa"/>
            <w:tcBorders>
              <w:bottom w:val="single" w:sz="8" w:space="0" w:color="CCEEFF"/>
            </w:tcBorders>
            <w:vAlign w:val="bottom"/>
          </w:tcPr>
          <w:p w14:paraId="5F0BDFC3" w14:textId="77777777" w:rsidR="00D1587D" w:rsidRDefault="00D1587D">
            <w:pPr>
              <w:rPr>
                <w:sz w:val="4"/>
                <w:szCs w:val="4"/>
              </w:rPr>
            </w:pPr>
          </w:p>
        </w:tc>
        <w:tc>
          <w:tcPr>
            <w:tcW w:w="400" w:type="dxa"/>
            <w:tcBorders>
              <w:bottom w:val="single" w:sz="8" w:space="0" w:color="auto"/>
            </w:tcBorders>
            <w:vAlign w:val="bottom"/>
          </w:tcPr>
          <w:p w14:paraId="659433DF" w14:textId="77777777" w:rsidR="00D1587D" w:rsidRDefault="00D1587D">
            <w:pPr>
              <w:rPr>
                <w:sz w:val="4"/>
                <w:szCs w:val="4"/>
              </w:rPr>
            </w:pPr>
          </w:p>
        </w:tc>
        <w:tc>
          <w:tcPr>
            <w:tcW w:w="180" w:type="dxa"/>
            <w:tcBorders>
              <w:bottom w:val="single" w:sz="8" w:space="0" w:color="CCEEFF"/>
            </w:tcBorders>
            <w:vAlign w:val="bottom"/>
          </w:tcPr>
          <w:p w14:paraId="0196F1C5" w14:textId="77777777" w:rsidR="00D1587D" w:rsidRDefault="00D1587D">
            <w:pPr>
              <w:rPr>
                <w:sz w:val="4"/>
                <w:szCs w:val="4"/>
              </w:rPr>
            </w:pPr>
          </w:p>
        </w:tc>
        <w:tc>
          <w:tcPr>
            <w:tcW w:w="420" w:type="dxa"/>
            <w:tcBorders>
              <w:bottom w:val="single" w:sz="8" w:space="0" w:color="auto"/>
            </w:tcBorders>
            <w:vAlign w:val="bottom"/>
          </w:tcPr>
          <w:p w14:paraId="16C5BA6E" w14:textId="77777777" w:rsidR="00D1587D" w:rsidRDefault="00D1587D">
            <w:pPr>
              <w:rPr>
                <w:sz w:val="4"/>
                <w:szCs w:val="4"/>
              </w:rPr>
            </w:pPr>
          </w:p>
        </w:tc>
        <w:tc>
          <w:tcPr>
            <w:tcW w:w="180" w:type="dxa"/>
            <w:tcBorders>
              <w:bottom w:val="single" w:sz="8" w:space="0" w:color="CCEEFF"/>
            </w:tcBorders>
            <w:vAlign w:val="bottom"/>
          </w:tcPr>
          <w:p w14:paraId="3A8DD9B7" w14:textId="77777777" w:rsidR="00D1587D" w:rsidRDefault="00D1587D">
            <w:pPr>
              <w:rPr>
                <w:sz w:val="4"/>
                <w:szCs w:val="4"/>
              </w:rPr>
            </w:pPr>
          </w:p>
        </w:tc>
        <w:tc>
          <w:tcPr>
            <w:tcW w:w="460" w:type="dxa"/>
            <w:tcBorders>
              <w:bottom w:val="single" w:sz="8" w:space="0" w:color="auto"/>
            </w:tcBorders>
            <w:vAlign w:val="bottom"/>
          </w:tcPr>
          <w:p w14:paraId="6EE618F5" w14:textId="77777777" w:rsidR="00D1587D" w:rsidRDefault="00D1587D">
            <w:pPr>
              <w:rPr>
                <w:sz w:val="4"/>
                <w:szCs w:val="4"/>
              </w:rPr>
            </w:pPr>
          </w:p>
        </w:tc>
        <w:tc>
          <w:tcPr>
            <w:tcW w:w="200" w:type="dxa"/>
            <w:tcBorders>
              <w:bottom w:val="single" w:sz="8" w:space="0" w:color="CCEEFF"/>
            </w:tcBorders>
            <w:vAlign w:val="bottom"/>
          </w:tcPr>
          <w:p w14:paraId="0C585E80" w14:textId="77777777" w:rsidR="00D1587D" w:rsidRDefault="00D1587D">
            <w:pPr>
              <w:rPr>
                <w:sz w:val="4"/>
                <w:szCs w:val="4"/>
              </w:rPr>
            </w:pPr>
          </w:p>
        </w:tc>
        <w:tc>
          <w:tcPr>
            <w:tcW w:w="360" w:type="dxa"/>
            <w:tcBorders>
              <w:bottom w:val="single" w:sz="8" w:space="0" w:color="auto"/>
            </w:tcBorders>
            <w:vAlign w:val="bottom"/>
          </w:tcPr>
          <w:p w14:paraId="352E12C4" w14:textId="77777777" w:rsidR="00D1587D" w:rsidRDefault="00D1587D">
            <w:pPr>
              <w:rPr>
                <w:sz w:val="4"/>
                <w:szCs w:val="4"/>
              </w:rPr>
            </w:pPr>
          </w:p>
        </w:tc>
      </w:tr>
      <w:tr w:rsidR="00D1587D" w14:paraId="29D68593" w14:textId="77777777">
        <w:trPr>
          <w:trHeight w:val="331"/>
        </w:trPr>
        <w:tc>
          <w:tcPr>
            <w:tcW w:w="5600" w:type="dxa"/>
            <w:shd w:val="clear" w:color="auto" w:fill="CCEEFF"/>
            <w:vAlign w:val="bottom"/>
          </w:tcPr>
          <w:p w14:paraId="6FFDF26A" w14:textId="77777777" w:rsidR="00D1587D" w:rsidRDefault="00410D07">
            <w:pPr>
              <w:spacing w:line="331" w:lineRule="exact"/>
              <w:rPr>
                <w:sz w:val="20"/>
                <w:szCs w:val="20"/>
              </w:rPr>
            </w:pPr>
            <w:r>
              <w:rPr>
                <w:rFonts w:ascii="Arial" w:eastAsia="Arial" w:hAnsi="Arial" w:cs="Arial"/>
                <w:sz w:val="18"/>
                <w:szCs w:val="18"/>
              </w:rPr>
              <w:t>Sales per Average Selling Square Foot</w:t>
            </w:r>
            <w:r>
              <w:rPr>
                <w:rFonts w:ascii="Arial" w:eastAsia="Arial" w:hAnsi="Arial" w:cs="Arial"/>
                <w:sz w:val="29"/>
                <w:szCs w:val="29"/>
                <w:vertAlign w:val="superscript"/>
              </w:rPr>
              <w:t>(a)</w:t>
            </w:r>
          </w:p>
        </w:tc>
        <w:tc>
          <w:tcPr>
            <w:tcW w:w="420" w:type="dxa"/>
            <w:shd w:val="clear" w:color="auto" w:fill="CCEEFF"/>
            <w:vAlign w:val="bottom"/>
          </w:tcPr>
          <w:p w14:paraId="7C49D0AE" w14:textId="77777777" w:rsidR="00D1587D" w:rsidRDefault="00410D07">
            <w:pPr>
              <w:jc w:val="right"/>
              <w:rPr>
                <w:sz w:val="20"/>
                <w:szCs w:val="20"/>
              </w:rPr>
            </w:pPr>
            <w:r>
              <w:rPr>
                <w:rFonts w:ascii="Arial" w:eastAsia="Arial" w:hAnsi="Arial" w:cs="Arial"/>
                <w:sz w:val="18"/>
                <w:szCs w:val="18"/>
              </w:rPr>
              <w:t>415</w:t>
            </w:r>
          </w:p>
        </w:tc>
        <w:tc>
          <w:tcPr>
            <w:tcW w:w="600" w:type="dxa"/>
            <w:gridSpan w:val="2"/>
            <w:shd w:val="clear" w:color="auto" w:fill="CCEEFF"/>
            <w:vAlign w:val="bottom"/>
          </w:tcPr>
          <w:p w14:paraId="36D78CF0" w14:textId="77777777" w:rsidR="00D1587D" w:rsidRDefault="00410D07">
            <w:pPr>
              <w:jc w:val="right"/>
              <w:rPr>
                <w:sz w:val="20"/>
                <w:szCs w:val="20"/>
              </w:rPr>
            </w:pPr>
            <w:r>
              <w:rPr>
                <w:rFonts w:ascii="Arial" w:eastAsia="Arial" w:hAnsi="Arial" w:cs="Arial"/>
                <w:sz w:val="18"/>
                <w:szCs w:val="18"/>
              </w:rPr>
              <w:t>684</w:t>
            </w:r>
          </w:p>
        </w:tc>
        <w:tc>
          <w:tcPr>
            <w:tcW w:w="600" w:type="dxa"/>
            <w:gridSpan w:val="2"/>
            <w:shd w:val="clear" w:color="auto" w:fill="CCEEFF"/>
            <w:vAlign w:val="bottom"/>
          </w:tcPr>
          <w:p w14:paraId="0646920E" w14:textId="77777777" w:rsidR="00D1587D" w:rsidRDefault="00410D07">
            <w:pPr>
              <w:jc w:val="right"/>
              <w:rPr>
                <w:sz w:val="20"/>
                <w:szCs w:val="20"/>
              </w:rPr>
            </w:pPr>
            <w:r>
              <w:rPr>
                <w:rFonts w:ascii="Arial" w:eastAsia="Arial" w:hAnsi="Arial" w:cs="Arial"/>
                <w:sz w:val="18"/>
                <w:szCs w:val="18"/>
              </w:rPr>
              <w:t>739</w:t>
            </w:r>
          </w:p>
        </w:tc>
        <w:tc>
          <w:tcPr>
            <w:tcW w:w="180" w:type="dxa"/>
            <w:shd w:val="clear" w:color="auto" w:fill="CCEEFF"/>
            <w:vAlign w:val="bottom"/>
          </w:tcPr>
          <w:p w14:paraId="5C5DE5C5" w14:textId="77777777" w:rsidR="00D1587D" w:rsidRDefault="00D1587D">
            <w:pPr>
              <w:rPr>
                <w:sz w:val="24"/>
                <w:szCs w:val="24"/>
              </w:rPr>
            </w:pPr>
          </w:p>
        </w:tc>
        <w:tc>
          <w:tcPr>
            <w:tcW w:w="660" w:type="dxa"/>
            <w:gridSpan w:val="2"/>
            <w:shd w:val="clear" w:color="auto" w:fill="CCEEFF"/>
            <w:vAlign w:val="bottom"/>
          </w:tcPr>
          <w:p w14:paraId="1944A9BC" w14:textId="77777777" w:rsidR="00D1587D" w:rsidRDefault="00410D07">
            <w:pPr>
              <w:ind w:right="200"/>
              <w:jc w:val="right"/>
              <w:rPr>
                <w:sz w:val="20"/>
                <w:szCs w:val="20"/>
              </w:rPr>
            </w:pPr>
            <w:r>
              <w:rPr>
                <w:rFonts w:ascii="Arial" w:eastAsia="Arial" w:hAnsi="Arial" w:cs="Arial"/>
                <w:w w:val="91"/>
                <w:sz w:val="18"/>
                <w:szCs w:val="18"/>
              </w:rPr>
              <w:t>(39)%</w:t>
            </w:r>
          </w:p>
        </w:tc>
        <w:tc>
          <w:tcPr>
            <w:tcW w:w="360" w:type="dxa"/>
            <w:shd w:val="clear" w:color="auto" w:fill="CCEEFF"/>
            <w:vAlign w:val="bottom"/>
          </w:tcPr>
          <w:p w14:paraId="7A304BBD" w14:textId="77777777" w:rsidR="00D1587D" w:rsidRDefault="00410D07">
            <w:pPr>
              <w:jc w:val="right"/>
              <w:rPr>
                <w:sz w:val="20"/>
                <w:szCs w:val="20"/>
              </w:rPr>
            </w:pPr>
            <w:r>
              <w:rPr>
                <w:rFonts w:ascii="Arial" w:eastAsia="Arial" w:hAnsi="Arial" w:cs="Arial"/>
                <w:w w:val="89"/>
                <w:sz w:val="18"/>
                <w:szCs w:val="18"/>
              </w:rPr>
              <w:t>(7)%</w:t>
            </w:r>
          </w:p>
        </w:tc>
      </w:tr>
      <w:tr w:rsidR="00D1587D" w14:paraId="71706E90" w14:textId="77777777">
        <w:trPr>
          <w:trHeight w:val="324"/>
        </w:trPr>
        <w:tc>
          <w:tcPr>
            <w:tcW w:w="5600" w:type="dxa"/>
            <w:vAlign w:val="bottom"/>
          </w:tcPr>
          <w:p w14:paraId="25CF323E" w14:textId="77777777" w:rsidR="00D1587D" w:rsidRDefault="00410D07">
            <w:pPr>
              <w:spacing w:line="324" w:lineRule="exact"/>
              <w:rPr>
                <w:sz w:val="20"/>
                <w:szCs w:val="20"/>
              </w:rPr>
            </w:pPr>
            <w:r>
              <w:rPr>
                <w:rFonts w:ascii="Arial" w:eastAsia="Arial" w:hAnsi="Arial" w:cs="Arial"/>
                <w:sz w:val="18"/>
                <w:szCs w:val="18"/>
              </w:rPr>
              <w:t>Sales per Average Store (in thousands)</w:t>
            </w:r>
            <w:r>
              <w:rPr>
                <w:rFonts w:ascii="Arial" w:eastAsia="Arial" w:hAnsi="Arial" w:cs="Arial"/>
                <w:sz w:val="29"/>
                <w:szCs w:val="29"/>
                <w:vertAlign w:val="superscript"/>
              </w:rPr>
              <w:t>(a)</w:t>
            </w:r>
          </w:p>
        </w:tc>
        <w:tc>
          <w:tcPr>
            <w:tcW w:w="420" w:type="dxa"/>
            <w:vAlign w:val="bottom"/>
          </w:tcPr>
          <w:p w14:paraId="18C74633" w14:textId="77777777" w:rsidR="00D1587D" w:rsidRDefault="00410D07">
            <w:pPr>
              <w:jc w:val="right"/>
              <w:rPr>
                <w:sz w:val="20"/>
                <w:szCs w:val="20"/>
              </w:rPr>
            </w:pPr>
            <w:r>
              <w:rPr>
                <w:rFonts w:ascii="Arial" w:eastAsia="Arial" w:hAnsi="Arial" w:cs="Arial"/>
                <w:w w:val="88"/>
                <w:sz w:val="18"/>
                <w:szCs w:val="18"/>
              </w:rPr>
              <w:t>2,789</w:t>
            </w:r>
          </w:p>
        </w:tc>
        <w:tc>
          <w:tcPr>
            <w:tcW w:w="600" w:type="dxa"/>
            <w:gridSpan w:val="2"/>
            <w:vAlign w:val="bottom"/>
          </w:tcPr>
          <w:p w14:paraId="2FDCC58E" w14:textId="77777777" w:rsidR="00D1587D" w:rsidRDefault="00410D07">
            <w:pPr>
              <w:jc w:val="right"/>
              <w:rPr>
                <w:sz w:val="20"/>
                <w:szCs w:val="20"/>
              </w:rPr>
            </w:pPr>
            <w:r>
              <w:rPr>
                <w:rFonts w:ascii="Arial" w:eastAsia="Arial" w:hAnsi="Arial" w:cs="Arial"/>
                <w:sz w:val="18"/>
                <w:szCs w:val="18"/>
              </w:rPr>
              <w:t>4,455</w:t>
            </w:r>
          </w:p>
        </w:tc>
        <w:tc>
          <w:tcPr>
            <w:tcW w:w="600" w:type="dxa"/>
            <w:gridSpan w:val="2"/>
            <w:vAlign w:val="bottom"/>
          </w:tcPr>
          <w:p w14:paraId="4393A6D0" w14:textId="77777777" w:rsidR="00D1587D" w:rsidRDefault="00410D07">
            <w:pPr>
              <w:jc w:val="right"/>
              <w:rPr>
                <w:sz w:val="20"/>
                <w:szCs w:val="20"/>
              </w:rPr>
            </w:pPr>
            <w:r>
              <w:rPr>
                <w:rFonts w:ascii="Arial" w:eastAsia="Arial" w:hAnsi="Arial" w:cs="Arial"/>
                <w:sz w:val="18"/>
                <w:szCs w:val="18"/>
              </w:rPr>
              <w:t>4,763</w:t>
            </w:r>
          </w:p>
        </w:tc>
        <w:tc>
          <w:tcPr>
            <w:tcW w:w="180" w:type="dxa"/>
            <w:vAlign w:val="bottom"/>
          </w:tcPr>
          <w:p w14:paraId="12734551" w14:textId="77777777" w:rsidR="00D1587D" w:rsidRDefault="00D1587D">
            <w:pPr>
              <w:rPr>
                <w:sz w:val="24"/>
                <w:szCs w:val="24"/>
              </w:rPr>
            </w:pPr>
          </w:p>
        </w:tc>
        <w:tc>
          <w:tcPr>
            <w:tcW w:w="660" w:type="dxa"/>
            <w:gridSpan w:val="2"/>
            <w:vAlign w:val="bottom"/>
          </w:tcPr>
          <w:p w14:paraId="6B370067" w14:textId="77777777" w:rsidR="00D1587D" w:rsidRDefault="00410D07">
            <w:pPr>
              <w:ind w:right="200"/>
              <w:jc w:val="right"/>
              <w:rPr>
                <w:sz w:val="20"/>
                <w:szCs w:val="20"/>
              </w:rPr>
            </w:pPr>
            <w:r>
              <w:rPr>
                <w:rFonts w:ascii="Arial" w:eastAsia="Arial" w:hAnsi="Arial" w:cs="Arial"/>
                <w:w w:val="91"/>
                <w:sz w:val="18"/>
                <w:szCs w:val="18"/>
              </w:rPr>
              <w:t>(37)%</w:t>
            </w:r>
          </w:p>
        </w:tc>
        <w:tc>
          <w:tcPr>
            <w:tcW w:w="360" w:type="dxa"/>
            <w:vAlign w:val="bottom"/>
          </w:tcPr>
          <w:p w14:paraId="3817504D" w14:textId="77777777" w:rsidR="00D1587D" w:rsidRDefault="00410D07">
            <w:pPr>
              <w:jc w:val="right"/>
              <w:rPr>
                <w:sz w:val="20"/>
                <w:szCs w:val="20"/>
              </w:rPr>
            </w:pPr>
            <w:r>
              <w:rPr>
                <w:rFonts w:ascii="Arial" w:eastAsia="Arial" w:hAnsi="Arial" w:cs="Arial"/>
                <w:w w:val="89"/>
                <w:sz w:val="18"/>
                <w:szCs w:val="18"/>
              </w:rPr>
              <w:t>(6)%</w:t>
            </w:r>
          </w:p>
        </w:tc>
      </w:tr>
      <w:tr w:rsidR="00D1587D" w14:paraId="6784FBD8" w14:textId="77777777">
        <w:trPr>
          <w:trHeight w:val="304"/>
        </w:trPr>
        <w:tc>
          <w:tcPr>
            <w:tcW w:w="5600" w:type="dxa"/>
            <w:tcBorders>
              <w:bottom w:val="single" w:sz="8" w:space="0" w:color="CCEEFF"/>
            </w:tcBorders>
            <w:shd w:val="clear" w:color="auto" w:fill="CCEEFF"/>
            <w:vAlign w:val="bottom"/>
          </w:tcPr>
          <w:p w14:paraId="014E8D4B" w14:textId="77777777" w:rsidR="00D1587D" w:rsidRDefault="00410D07">
            <w:pPr>
              <w:rPr>
                <w:sz w:val="20"/>
                <w:szCs w:val="20"/>
              </w:rPr>
            </w:pPr>
            <w:r>
              <w:rPr>
                <w:rFonts w:ascii="Arial" w:eastAsia="Arial" w:hAnsi="Arial" w:cs="Arial"/>
                <w:sz w:val="18"/>
                <w:szCs w:val="18"/>
              </w:rPr>
              <w:t>Average Store Size (selling square feet)</w:t>
            </w:r>
          </w:p>
        </w:tc>
        <w:tc>
          <w:tcPr>
            <w:tcW w:w="420" w:type="dxa"/>
            <w:tcBorders>
              <w:bottom w:val="single" w:sz="8" w:space="0" w:color="CCEEFF"/>
            </w:tcBorders>
            <w:shd w:val="clear" w:color="auto" w:fill="CCEEFF"/>
            <w:vAlign w:val="bottom"/>
          </w:tcPr>
          <w:p w14:paraId="3D8F16D7" w14:textId="77777777" w:rsidR="00D1587D" w:rsidRDefault="00410D07">
            <w:pPr>
              <w:jc w:val="right"/>
              <w:rPr>
                <w:sz w:val="20"/>
                <w:szCs w:val="20"/>
              </w:rPr>
            </w:pPr>
            <w:r>
              <w:rPr>
                <w:rFonts w:ascii="Arial" w:eastAsia="Arial" w:hAnsi="Arial" w:cs="Arial"/>
                <w:w w:val="88"/>
                <w:sz w:val="18"/>
                <w:szCs w:val="18"/>
              </w:rPr>
              <w:t>6,928</w:t>
            </w:r>
          </w:p>
        </w:tc>
        <w:tc>
          <w:tcPr>
            <w:tcW w:w="600" w:type="dxa"/>
            <w:gridSpan w:val="2"/>
            <w:tcBorders>
              <w:bottom w:val="single" w:sz="8" w:space="0" w:color="CCEEFF"/>
            </w:tcBorders>
            <w:shd w:val="clear" w:color="auto" w:fill="CCEEFF"/>
            <w:vAlign w:val="bottom"/>
          </w:tcPr>
          <w:p w14:paraId="356C1079" w14:textId="77777777" w:rsidR="00D1587D" w:rsidRDefault="00410D07">
            <w:pPr>
              <w:jc w:val="right"/>
              <w:rPr>
                <w:sz w:val="20"/>
                <w:szCs w:val="20"/>
              </w:rPr>
            </w:pPr>
            <w:r>
              <w:rPr>
                <w:rFonts w:ascii="Arial" w:eastAsia="Arial" w:hAnsi="Arial" w:cs="Arial"/>
                <w:sz w:val="18"/>
                <w:szCs w:val="18"/>
              </w:rPr>
              <w:t>6,551</w:t>
            </w:r>
          </w:p>
        </w:tc>
        <w:tc>
          <w:tcPr>
            <w:tcW w:w="600" w:type="dxa"/>
            <w:gridSpan w:val="2"/>
            <w:tcBorders>
              <w:bottom w:val="single" w:sz="8" w:space="0" w:color="CCEEFF"/>
            </w:tcBorders>
            <w:shd w:val="clear" w:color="auto" w:fill="CCEEFF"/>
            <w:vAlign w:val="bottom"/>
          </w:tcPr>
          <w:p w14:paraId="0DC0B326" w14:textId="77777777" w:rsidR="00D1587D" w:rsidRDefault="00410D07">
            <w:pPr>
              <w:jc w:val="right"/>
              <w:rPr>
                <w:sz w:val="20"/>
                <w:szCs w:val="20"/>
              </w:rPr>
            </w:pPr>
            <w:r>
              <w:rPr>
                <w:rFonts w:ascii="Arial" w:eastAsia="Arial" w:hAnsi="Arial" w:cs="Arial"/>
                <w:sz w:val="18"/>
                <w:szCs w:val="18"/>
              </w:rPr>
              <w:t>6,484</w:t>
            </w:r>
          </w:p>
        </w:tc>
        <w:tc>
          <w:tcPr>
            <w:tcW w:w="180" w:type="dxa"/>
            <w:tcBorders>
              <w:bottom w:val="single" w:sz="8" w:space="0" w:color="CCEEFF"/>
            </w:tcBorders>
            <w:shd w:val="clear" w:color="auto" w:fill="CCEEFF"/>
            <w:vAlign w:val="bottom"/>
          </w:tcPr>
          <w:p w14:paraId="34A56D55" w14:textId="77777777" w:rsidR="00D1587D" w:rsidRDefault="00D1587D">
            <w:pPr>
              <w:rPr>
                <w:sz w:val="24"/>
                <w:szCs w:val="24"/>
              </w:rPr>
            </w:pPr>
          </w:p>
        </w:tc>
        <w:tc>
          <w:tcPr>
            <w:tcW w:w="660" w:type="dxa"/>
            <w:gridSpan w:val="2"/>
            <w:tcBorders>
              <w:bottom w:val="single" w:sz="8" w:space="0" w:color="CCEEFF"/>
            </w:tcBorders>
            <w:shd w:val="clear" w:color="auto" w:fill="CCEEFF"/>
            <w:vAlign w:val="bottom"/>
          </w:tcPr>
          <w:p w14:paraId="49601604" w14:textId="77777777" w:rsidR="00D1587D" w:rsidRDefault="00410D07">
            <w:pPr>
              <w:ind w:right="200"/>
              <w:jc w:val="right"/>
              <w:rPr>
                <w:sz w:val="20"/>
                <w:szCs w:val="20"/>
              </w:rPr>
            </w:pPr>
            <w:r>
              <w:rPr>
                <w:rFonts w:ascii="Arial" w:eastAsia="Arial" w:hAnsi="Arial" w:cs="Arial"/>
                <w:sz w:val="18"/>
                <w:szCs w:val="18"/>
              </w:rPr>
              <w:t>6%</w:t>
            </w:r>
          </w:p>
        </w:tc>
        <w:tc>
          <w:tcPr>
            <w:tcW w:w="360" w:type="dxa"/>
            <w:tcBorders>
              <w:bottom w:val="single" w:sz="8" w:space="0" w:color="CCEEFF"/>
            </w:tcBorders>
            <w:shd w:val="clear" w:color="auto" w:fill="CCEEFF"/>
            <w:vAlign w:val="bottom"/>
          </w:tcPr>
          <w:p w14:paraId="063983E1" w14:textId="77777777" w:rsidR="00D1587D" w:rsidRDefault="00410D07">
            <w:pPr>
              <w:jc w:val="right"/>
              <w:rPr>
                <w:sz w:val="20"/>
                <w:szCs w:val="20"/>
              </w:rPr>
            </w:pPr>
            <w:r>
              <w:rPr>
                <w:rFonts w:ascii="Arial" w:eastAsia="Arial" w:hAnsi="Arial" w:cs="Arial"/>
                <w:sz w:val="18"/>
                <w:szCs w:val="18"/>
              </w:rPr>
              <w:t>1%</w:t>
            </w:r>
          </w:p>
        </w:tc>
      </w:tr>
      <w:tr w:rsidR="00D1587D" w14:paraId="7D03EF58" w14:textId="77777777">
        <w:trPr>
          <w:trHeight w:val="270"/>
        </w:trPr>
        <w:tc>
          <w:tcPr>
            <w:tcW w:w="5600" w:type="dxa"/>
            <w:vAlign w:val="bottom"/>
          </w:tcPr>
          <w:p w14:paraId="73BE74A4" w14:textId="77777777" w:rsidR="00D1587D" w:rsidRDefault="00410D07">
            <w:pPr>
              <w:rPr>
                <w:sz w:val="20"/>
                <w:szCs w:val="20"/>
              </w:rPr>
            </w:pPr>
            <w:r>
              <w:rPr>
                <w:rFonts w:ascii="Arial" w:eastAsia="Arial" w:hAnsi="Arial" w:cs="Arial"/>
                <w:sz w:val="18"/>
                <w:szCs w:val="18"/>
              </w:rPr>
              <w:t>Total Selling Square Feet (in thousands)</w:t>
            </w:r>
          </w:p>
        </w:tc>
        <w:tc>
          <w:tcPr>
            <w:tcW w:w="420" w:type="dxa"/>
            <w:vAlign w:val="bottom"/>
          </w:tcPr>
          <w:p w14:paraId="6C8DBC59" w14:textId="77777777" w:rsidR="00D1587D" w:rsidRDefault="00410D07">
            <w:pPr>
              <w:jc w:val="right"/>
              <w:rPr>
                <w:sz w:val="20"/>
                <w:szCs w:val="20"/>
              </w:rPr>
            </w:pPr>
            <w:r>
              <w:rPr>
                <w:rFonts w:ascii="Arial" w:eastAsia="Arial" w:hAnsi="Arial" w:cs="Arial"/>
                <w:w w:val="88"/>
                <w:sz w:val="18"/>
                <w:szCs w:val="18"/>
              </w:rPr>
              <w:t>5,861</w:t>
            </w:r>
          </w:p>
        </w:tc>
        <w:tc>
          <w:tcPr>
            <w:tcW w:w="600" w:type="dxa"/>
            <w:gridSpan w:val="2"/>
            <w:vAlign w:val="bottom"/>
          </w:tcPr>
          <w:p w14:paraId="147F9D71" w14:textId="77777777" w:rsidR="00D1587D" w:rsidRDefault="00410D07">
            <w:pPr>
              <w:jc w:val="right"/>
              <w:rPr>
                <w:sz w:val="20"/>
                <w:szCs w:val="20"/>
              </w:rPr>
            </w:pPr>
            <w:r>
              <w:rPr>
                <w:rFonts w:ascii="Arial" w:eastAsia="Arial" w:hAnsi="Arial" w:cs="Arial"/>
                <w:sz w:val="18"/>
                <w:szCs w:val="18"/>
              </w:rPr>
              <w:t>6,898</w:t>
            </w:r>
          </w:p>
        </w:tc>
        <w:tc>
          <w:tcPr>
            <w:tcW w:w="600" w:type="dxa"/>
            <w:gridSpan w:val="2"/>
            <w:vAlign w:val="bottom"/>
          </w:tcPr>
          <w:p w14:paraId="7EC7BC4F" w14:textId="77777777" w:rsidR="00D1587D" w:rsidRDefault="00410D07">
            <w:pPr>
              <w:ind w:right="20"/>
              <w:jc w:val="right"/>
              <w:rPr>
                <w:sz w:val="20"/>
                <w:szCs w:val="20"/>
              </w:rPr>
            </w:pPr>
            <w:r>
              <w:rPr>
                <w:rFonts w:ascii="Arial" w:eastAsia="Arial" w:hAnsi="Arial" w:cs="Arial"/>
                <w:sz w:val="18"/>
                <w:szCs w:val="18"/>
              </w:rPr>
              <w:t>7,119</w:t>
            </w:r>
          </w:p>
        </w:tc>
        <w:tc>
          <w:tcPr>
            <w:tcW w:w="180" w:type="dxa"/>
            <w:vAlign w:val="bottom"/>
          </w:tcPr>
          <w:p w14:paraId="4F900EBF" w14:textId="77777777" w:rsidR="00D1587D" w:rsidRDefault="00D1587D">
            <w:pPr>
              <w:rPr>
                <w:sz w:val="23"/>
                <w:szCs w:val="23"/>
              </w:rPr>
            </w:pPr>
          </w:p>
        </w:tc>
        <w:tc>
          <w:tcPr>
            <w:tcW w:w="660" w:type="dxa"/>
            <w:gridSpan w:val="2"/>
            <w:vAlign w:val="bottom"/>
          </w:tcPr>
          <w:p w14:paraId="64928C87" w14:textId="77777777" w:rsidR="00D1587D" w:rsidRDefault="00410D07">
            <w:pPr>
              <w:ind w:right="200"/>
              <w:jc w:val="right"/>
              <w:rPr>
                <w:sz w:val="20"/>
                <w:szCs w:val="20"/>
              </w:rPr>
            </w:pPr>
            <w:r>
              <w:rPr>
                <w:rFonts w:ascii="Arial" w:eastAsia="Arial" w:hAnsi="Arial" w:cs="Arial"/>
                <w:w w:val="91"/>
                <w:sz w:val="18"/>
                <w:szCs w:val="18"/>
              </w:rPr>
              <w:t>(15)%</w:t>
            </w:r>
          </w:p>
        </w:tc>
        <w:tc>
          <w:tcPr>
            <w:tcW w:w="360" w:type="dxa"/>
            <w:vAlign w:val="bottom"/>
          </w:tcPr>
          <w:p w14:paraId="6525FA65" w14:textId="77777777" w:rsidR="00D1587D" w:rsidRDefault="00410D07">
            <w:pPr>
              <w:jc w:val="right"/>
              <w:rPr>
                <w:sz w:val="20"/>
                <w:szCs w:val="20"/>
              </w:rPr>
            </w:pPr>
            <w:r>
              <w:rPr>
                <w:rFonts w:ascii="Arial" w:eastAsia="Arial" w:hAnsi="Arial" w:cs="Arial"/>
                <w:w w:val="89"/>
                <w:sz w:val="18"/>
                <w:szCs w:val="18"/>
              </w:rPr>
              <w:t>(3)%</w:t>
            </w:r>
          </w:p>
        </w:tc>
      </w:tr>
    </w:tbl>
    <w:p w14:paraId="1B021070" w14:textId="77777777" w:rsidR="00D1587D" w:rsidRDefault="00410D07">
      <w:pPr>
        <w:spacing w:line="20" w:lineRule="exact"/>
        <w:rPr>
          <w:sz w:val="20"/>
          <w:szCs w:val="20"/>
        </w:rPr>
      </w:pPr>
      <w:r>
        <w:rPr>
          <w:noProof/>
          <w:sz w:val="20"/>
          <w:szCs w:val="20"/>
        </w:rPr>
        <w:drawing>
          <wp:anchor distT="0" distB="0" distL="114300" distR="114300" simplePos="0" relativeHeight="251620352" behindDoc="1" locked="0" layoutInCell="0" allowOverlap="1" wp14:anchorId="5A189540" wp14:editId="7C228F03">
            <wp:simplePos x="0" y="0"/>
            <wp:positionH relativeFrom="column">
              <wp:posOffset>5182870</wp:posOffset>
            </wp:positionH>
            <wp:positionV relativeFrom="paragraph">
              <wp:posOffset>-805180</wp:posOffset>
            </wp:positionV>
            <wp:extent cx="120015" cy="8255"/>
            <wp:effectExtent l="0" t="0" r="0" b="0"/>
            <wp:wrapNone/>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21376" behindDoc="1" locked="0" layoutInCell="0" allowOverlap="1" wp14:anchorId="54D57354" wp14:editId="1BB6467E">
            <wp:simplePos x="0" y="0"/>
            <wp:positionH relativeFrom="column">
              <wp:posOffset>4771390</wp:posOffset>
            </wp:positionH>
            <wp:positionV relativeFrom="paragraph">
              <wp:posOffset>-805180</wp:posOffset>
            </wp:positionV>
            <wp:extent cx="120015" cy="8255"/>
            <wp:effectExtent l="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22400" behindDoc="1" locked="0" layoutInCell="0" allowOverlap="1" wp14:anchorId="3ABB159B" wp14:editId="3638C03D">
            <wp:simplePos x="0" y="0"/>
            <wp:positionH relativeFrom="column">
              <wp:posOffset>4394200</wp:posOffset>
            </wp:positionH>
            <wp:positionV relativeFrom="paragraph">
              <wp:posOffset>-805180</wp:posOffset>
            </wp:positionV>
            <wp:extent cx="120015" cy="8255"/>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23424" behindDoc="1" locked="0" layoutInCell="0" allowOverlap="1" wp14:anchorId="3A33B156" wp14:editId="6C270D87">
            <wp:simplePos x="0" y="0"/>
            <wp:positionH relativeFrom="column">
              <wp:posOffset>4017010</wp:posOffset>
            </wp:positionH>
            <wp:positionV relativeFrom="paragraph">
              <wp:posOffset>-805180</wp:posOffset>
            </wp:positionV>
            <wp:extent cx="120015" cy="8255"/>
            <wp:effectExtent l="0" t="0" r="0" b="0"/>
            <wp:wrapNone/>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24448" behindDoc="1" locked="0" layoutInCell="0" allowOverlap="1" wp14:anchorId="313ED35A" wp14:editId="523EFF55">
            <wp:simplePos x="0" y="0"/>
            <wp:positionH relativeFrom="column">
              <wp:posOffset>3683000</wp:posOffset>
            </wp:positionH>
            <wp:positionV relativeFrom="paragraph">
              <wp:posOffset>-805180</wp:posOffset>
            </wp:positionV>
            <wp:extent cx="68580" cy="8255"/>
            <wp:effectExtent l="0" t="0" r="0" b="0"/>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25472" behindDoc="1" locked="0" layoutInCell="0" allowOverlap="1" wp14:anchorId="55D63F56" wp14:editId="1748AFD2">
            <wp:simplePos x="0" y="0"/>
            <wp:positionH relativeFrom="column">
              <wp:posOffset>185420</wp:posOffset>
            </wp:positionH>
            <wp:positionV relativeFrom="paragraph">
              <wp:posOffset>188595</wp:posOffset>
            </wp:positionV>
            <wp:extent cx="822960" cy="8255"/>
            <wp:effectExtent l="0" t="0" r="0" b="0"/>
            <wp:wrapNone/>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393D49C4" w14:textId="77777777" w:rsidR="00D1587D" w:rsidRDefault="00D1587D">
      <w:pPr>
        <w:spacing w:line="326" w:lineRule="exact"/>
        <w:rPr>
          <w:sz w:val="20"/>
          <w:szCs w:val="20"/>
        </w:rPr>
      </w:pPr>
    </w:p>
    <w:p w14:paraId="7F43BD11" w14:textId="77777777" w:rsidR="00D1587D" w:rsidRDefault="00410D07" w:rsidP="00410D07">
      <w:pPr>
        <w:numPr>
          <w:ilvl w:val="0"/>
          <w:numId w:val="287"/>
        </w:numPr>
        <w:tabs>
          <w:tab w:val="left" w:pos="640"/>
        </w:tabs>
        <w:spacing w:line="231" w:lineRule="auto"/>
        <w:ind w:left="640" w:right="379" w:hanging="348"/>
        <w:rPr>
          <w:rFonts w:ascii="Arial" w:eastAsia="Arial" w:hAnsi="Arial" w:cs="Arial"/>
          <w:sz w:val="14"/>
          <w:szCs w:val="14"/>
        </w:rPr>
      </w:pPr>
      <w:r>
        <w:rPr>
          <w:rFonts w:ascii="Arial" w:eastAsia="Arial" w:hAnsi="Arial" w:cs="Arial"/>
          <w:sz w:val="14"/>
          <w:szCs w:val="14"/>
        </w:rPr>
        <w:t xml:space="preserve">Sales per average selling square foot and sales per average store, which are indicators of store productivity, are calculated based on store sales for </w:t>
      </w:r>
      <w:r>
        <w:rPr>
          <w:rFonts w:ascii="Arial" w:eastAsia="Arial" w:hAnsi="Arial" w:cs="Arial"/>
          <w:sz w:val="14"/>
          <w:szCs w:val="14"/>
        </w:rPr>
        <w:t>the period divided by the average, including the beginning and end of period, of total square footage and store count, respectively. As a result of the COVID-19 pandemic, all our stores in the U.S. were closed on March 17, 2020 with the majority having bee</w:t>
      </w:r>
      <w:r>
        <w:rPr>
          <w:rFonts w:ascii="Arial" w:eastAsia="Arial" w:hAnsi="Arial" w:cs="Arial"/>
          <w:sz w:val="14"/>
          <w:szCs w:val="14"/>
        </w:rPr>
        <w:t>n re-opened as of the beginning of the third quarter. As a result, comparisons of 2020 trends to prior years is not a meaningful way to discuss our operating results.</w:t>
      </w:r>
    </w:p>
    <w:p w14:paraId="64B91F59" w14:textId="77777777" w:rsidR="00D1587D" w:rsidRDefault="00D1587D">
      <w:pPr>
        <w:spacing w:line="107" w:lineRule="exact"/>
        <w:rPr>
          <w:sz w:val="20"/>
          <w:szCs w:val="20"/>
        </w:rPr>
      </w:pPr>
    </w:p>
    <w:p w14:paraId="2CF48202" w14:textId="77777777" w:rsidR="00D1587D" w:rsidRDefault="00410D07">
      <w:pPr>
        <w:ind w:left="660"/>
        <w:rPr>
          <w:sz w:val="20"/>
          <w:szCs w:val="20"/>
        </w:rPr>
      </w:pPr>
      <w:r>
        <w:rPr>
          <w:rFonts w:ascii="Arial" w:eastAsia="Arial" w:hAnsi="Arial" w:cs="Arial"/>
          <w:sz w:val="18"/>
          <w:szCs w:val="18"/>
        </w:rPr>
        <w:t xml:space="preserve">The following table represents company-operated store data for the first quarter of </w:t>
      </w:r>
      <w:r>
        <w:rPr>
          <w:rFonts w:ascii="Arial" w:eastAsia="Arial" w:hAnsi="Arial" w:cs="Arial"/>
          <w:sz w:val="18"/>
          <w:szCs w:val="18"/>
        </w:rPr>
        <w:t>2021:</w:t>
      </w:r>
    </w:p>
    <w:p w14:paraId="3B2C570D" w14:textId="77777777" w:rsidR="00D1587D" w:rsidRDefault="00D1587D">
      <w:pPr>
        <w:spacing w:line="123"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860"/>
        <w:gridCol w:w="640"/>
        <w:gridCol w:w="80"/>
        <w:gridCol w:w="20"/>
        <w:gridCol w:w="80"/>
        <w:gridCol w:w="500"/>
        <w:gridCol w:w="100"/>
        <w:gridCol w:w="80"/>
        <w:gridCol w:w="200"/>
        <w:gridCol w:w="160"/>
        <w:gridCol w:w="120"/>
        <w:gridCol w:w="220"/>
        <w:gridCol w:w="200"/>
        <w:gridCol w:w="320"/>
        <w:gridCol w:w="100"/>
        <w:gridCol w:w="200"/>
        <w:gridCol w:w="540"/>
        <w:gridCol w:w="20"/>
      </w:tblGrid>
      <w:tr w:rsidR="00D1587D" w14:paraId="22F4CADD" w14:textId="77777777">
        <w:trPr>
          <w:trHeight w:val="161"/>
        </w:trPr>
        <w:tc>
          <w:tcPr>
            <w:tcW w:w="4860" w:type="dxa"/>
            <w:vAlign w:val="bottom"/>
          </w:tcPr>
          <w:p w14:paraId="2F145CC6" w14:textId="77777777" w:rsidR="00D1587D" w:rsidRDefault="00D1587D">
            <w:pPr>
              <w:rPr>
                <w:sz w:val="14"/>
                <w:szCs w:val="14"/>
              </w:rPr>
            </w:pPr>
          </w:p>
        </w:tc>
        <w:tc>
          <w:tcPr>
            <w:tcW w:w="640" w:type="dxa"/>
            <w:vAlign w:val="bottom"/>
          </w:tcPr>
          <w:p w14:paraId="3B37E39C" w14:textId="77777777" w:rsidR="00D1587D" w:rsidRDefault="00D1587D">
            <w:pPr>
              <w:rPr>
                <w:sz w:val="14"/>
                <w:szCs w:val="14"/>
              </w:rPr>
            </w:pPr>
          </w:p>
        </w:tc>
        <w:tc>
          <w:tcPr>
            <w:tcW w:w="80" w:type="dxa"/>
            <w:vAlign w:val="bottom"/>
          </w:tcPr>
          <w:p w14:paraId="6A239CAE" w14:textId="77777777" w:rsidR="00D1587D" w:rsidRDefault="00D1587D">
            <w:pPr>
              <w:rPr>
                <w:sz w:val="14"/>
                <w:szCs w:val="14"/>
              </w:rPr>
            </w:pPr>
          </w:p>
        </w:tc>
        <w:tc>
          <w:tcPr>
            <w:tcW w:w="20" w:type="dxa"/>
            <w:vAlign w:val="bottom"/>
          </w:tcPr>
          <w:p w14:paraId="733EA436" w14:textId="77777777" w:rsidR="00D1587D" w:rsidRDefault="00D1587D">
            <w:pPr>
              <w:rPr>
                <w:sz w:val="14"/>
                <w:szCs w:val="14"/>
              </w:rPr>
            </w:pPr>
          </w:p>
        </w:tc>
        <w:tc>
          <w:tcPr>
            <w:tcW w:w="80" w:type="dxa"/>
            <w:vAlign w:val="bottom"/>
          </w:tcPr>
          <w:p w14:paraId="452EA620" w14:textId="77777777" w:rsidR="00D1587D" w:rsidRDefault="00D1587D">
            <w:pPr>
              <w:rPr>
                <w:sz w:val="14"/>
                <w:szCs w:val="14"/>
              </w:rPr>
            </w:pPr>
          </w:p>
        </w:tc>
        <w:tc>
          <w:tcPr>
            <w:tcW w:w="600" w:type="dxa"/>
            <w:gridSpan w:val="2"/>
            <w:vAlign w:val="bottom"/>
          </w:tcPr>
          <w:p w14:paraId="29A7F2DE" w14:textId="77777777" w:rsidR="00D1587D" w:rsidRDefault="00410D07">
            <w:pPr>
              <w:jc w:val="center"/>
              <w:rPr>
                <w:sz w:val="20"/>
                <w:szCs w:val="20"/>
              </w:rPr>
            </w:pPr>
            <w:r>
              <w:rPr>
                <w:rFonts w:ascii="Arial" w:eastAsia="Arial" w:hAnsi="Arial" w:cs="Arial"/>
                <w:b/>
                <w:bCs/>
                <w:w w:val="86"/>
                <w:sz w:val="14"/>
                <w:szCs w:val="14"/>
              </w:rPr>
              <w:t>Stores at</w:t>
            </w:r>
          </w:p>
        </w:tc>
        <w:tc>
          <w:tcPr>
            <w:tcW w:w="80" w:type="dxa"/>
            <w:vAlign w:val="bottom"/>
          </w:tcPr>
          <w:p w14:paraId="2B1CEEF0" w14:textId="77777777" w:rsidR="00D1587D" w:rsidRDefault="00D1587D">
            <w:pPr>
              <w:rPr>
                <w:sz w:val="14"/>
                <w:szCs w:val="14"/>
              </w:rPr>
            </w:pPr>
          </w:p>
        </w:tc>
        <w:tc>
          <w:tcPr>
            <w:tcW w:w="200" w:type="dxa"/>
            <w:vAlign w:val="bottom"/>
          </w:tcPr>
          <w:p w14:paraId="1007412F" w14:textId="77777777" w:rsidR="00D1587D" w:rsidRDefault="00D1587D">
            <w:pPr>
              <w:rPr>
                <w:sz w:val="14"/>
                <w:szCs w:val="14"/>
              </w:rPr>
            </w:pPr>
          </w:p>
        </w:tc>
        <w:tc>
          <w:tcPr>
            <w:tcW w:w="160" w:type="dxa"/>
            <w:vAlign w:val="bottom"/>
          </w:tcPr>
          <w:p w14:paraId="015C734E" w14:textId="77777777" w:rsidR="00D1587D" w:rsidRDefault="00D1587D">
            <w:pPr>
              <w:rPr>
                <w:sz w:val="14"/>
                <w:szCs w:val="14"/>
              </w:rPr>
            </w:pPr>
          </w:p>
        </w:tc>
        <w:tc>
          <w:tcPr>
            <w:tcW w:w="120" w:type="dxa"/>
            <w:vAlign w:val="bottom"/>
          </w:tcPr>
          <w:p w14:paraId="52C038E6" w14:textId="77777777" w:rsidR="00D1587D" w:rsidRDefault="00D1587D">
            <w:pPr>
              <w:rPr>
                <w:sz w:val="14"/>
                <w:szCs w:val="14"/>
              </w:rPr>
            </w:pPr>
          </w:p>
        </w:tc>
        <w:tc>
          <w:tcPr>
            <w:tcW w:w="220" w:type="dxa"/>
            <w:vAlign w:val="bottom"/>
          </w:tcPr>
          <w:p w14:paraId="3353A6EC" w14:textId="77777777" w:rsidR="00D1587D" w:rsidRDefault="00D1587D">
            <w:pPr>
              <w:rPr>
                <w:sz w:val="14"/>
                <w:szCs w:val="14"/>
              </w:rPr>
            </w:pPr>
          </w:p>
        </w:tc>
        <w:tc>
          <w:tcPr>
            <w:tcW w:w="200" w:type="dxa"/>
            <w:vAlign w:val="bottom"/>
          </w:tcPr>
          <w:p w14:paraId="2B378919" w14:textId="77777777" w:rsidR="00D1587D" w:rsidRDefault="00D1587D">
            <w:pPr>
              <w:rPr>
                <w:sz w:val="14"/>
                <w:szCs w:val="14"/>
              </w:rPr>
            </w:pPr>
          </w:p>
        </w:tc>
        <w:tc>
          <w:tcPr>
            <w:tcW w:w="320" w:type="dxa"/>
            <w:vAlign w:val="bottom"/>
          </w:tcPr>
          <w:p w14:paraId="0C934400" w14:textId="77777777" w:rsidR="00D1587D" w:rsidRDefault="00D1587D">
            <w:pPr>
              <w:rPr>
                <w:sz w:val="14"/>
                <w:szCs w:val="14"/>
              </w:rPr>
            </w:pPr>
          </w:p>
        </w:tc>
        <w:tc>
          <w:tcPr>
            <w:tcW w:w="100" w:type="dxa"/>
            <w:vAlign w:val="bottom"/>
          </w:tcPr>
          <w:p w14:paraId="08A46528" w14:textId="77777777" w:rsidR="00D1587D" w:rsidRDefault="00D1587D">
            <w:pPr>
              <w:rPr>
                <w:sz w:val="14"/>
                <w:szCs w:val="14"/>
              </w:rPr>
            </w:pPr>
          </w:p>
        </w:tc>
        <w:tc>
          <w:tcPr>
            <w:tcW w:w="200" w:type="dxa"/>
            <w:vAlign w:val="bottom"/>
          </w:tcPr>
          <w:p w14:paraId="25C96901" w14:textId="77777777" w:rsidR="00D1587D" w:rsidRDefault="00D1587D">
            <w:pPr>
              <w:rPr>
                <w:sz w:val="14"/>
                <w:szCs w:val="14"/>
              </w:rPr>
            </w:pPr>
          </w:p>
        </w:tc>
        <w:tc>
          <w:tcPr>
            <w:tcW w:w="540" w:type="dxa"/>
            <w:vAlign w:val="bottom"/>
          </w:tcPr>
          <w:p w14:paraId="3ACE0B0E" w14:textId="77777777" w:rsidR="00D1587D" w:rsidRDefault="00410D07">
            <w:pPr>
              <w:jc w:val="right"/>
              <w:rPr>
                <w:sz w:val="20"/>
                <w:szCs w:val="20"/>
              </w:rPr>
            </w:pPr>
            <w:r>
              <w:rPr>
                <w:rFonts w:ascii="Arial" w:eastAsia="Arial" w:hAnsi="Arial" w:cs="Arial"/>
                <w:b/>
                <w:bCs/>
                <w:w w:val="86"/>
                <w:sz w:val="14"/>
                <w:szCs w:val="14"/>
              </w:rPr>
              <w:t>Stores at</w:t>
            </w:r>
          </w:p>
        </w:tc>
        <w:tc>
          <w:tcPr>
            <w:tcW w:w="0" w:type="dxa"/>
            <w:vAlign w:val="bottom"/>
          </w:tcPr>
          <w:p w14:paraId="0D8ADAB3" w14:textId="77777777" w:rsidR="00D1587D" w:rsidRDefault="00D1587D">
            <w:pPr>
              <w:rPr>
                <w:sz w:val="1"/>
                <w:szCs w:val="1"/>
              </w:rPr>
            </w:pPr>
          </w:p>
        </w:tc>
      </w:tr>
      <w:tr w:rsidR="00D1587D" w14:paraId="7AC3F398" w14:textId="77777777">
        <w:trPr>
          <w:trHeight w:val="148"/>
        </w:trPr>
        <w:tc>
          <w:tcPr>
            <w:tcW w:w="4860" w:type="dxa"/>
            <w:vAlign w:val="bottom"/>
          </w:tcPr>
          <w:p w14:paraId="24173EDA" w14:textId="77777777" w:rsidR="00D1587D" w:rsidRDefault="00D1587D">
            <w:pPr>
              <w:rPr>
                <w:sz w:val="12"/>
                <w:szCs w:val="12"/>
              </w:rPr>
            </w:pPr>
          </w:p>
        </w:tc>
        <w:tc>
          <w:tcPr>
            <w:tcW w:w="640" w:type="dxa"/>
            <w:vAlign w:val="bottom"/>
          </w:tcPr>
          <w:p w14:paraId="2AD2FE60" w14:textId="77777777" w:rsidR="00D1587D" w:rsidRDefault="00D1587D">
            <w:pPr>
              <w:rPr>
                <w:sz w:val="12"/>
                <w:szCs w:val="12"/>
              </w:rPr>
            </w:pPr>
          </w:p>
        </w:tc>
        <w:tc>
          <w:tcPr>
            <w:tcW w:w="80" w:type="dxa"/>
            <w:vAlign w:val="bottom"/>
          </w:tcPr>
          <w:p w14:paraId="7B755FCB" w14:textId="77777777" w:rsidR="00D1587D" w:rsidRDefault="00D1587D">
            <w:pPr>
              <w:rPr>
                <w:sz w:val="12"/>
                <w:szCs w:val="12"/>
              </w:rPr>
            </w:pPr>
          </w:p>
        </w:tc>
        <w:tc>
          <w:tcPr>
            <w:tcW w:w="20" w:type="dxa"/>
            <w:vAlign w:val="bottom"/>
          </w:tcPr>
          <w:p w14:paraId="60E8F46B" w14:textId="77777777" w:rsidR="00D1587D" w:rsidRDefault="00D1587D">
            <w:pPr>
              <w:rPr>
                <w:sz w:val="12"/>
                <w:szCs w:val="12"/>
              </w:rPr>
            </w:pPr>
          </w:p>
        </w:tc>
        <w:tc>
          <w:tcPr>
            <w:tcW w:w="1460" w:type="dxa"/>
            <w:gridSpan w:val="8"/>
            <w:vAlign w:val="bottom"/>
          </w:tcPr>
          <w:p w14:paraId="63F58882" w14:textId="77777777" w:rsidR="00D1587D" w:rsidRDefault="00410D07">
            <w:pPr>
              <w:spacing w:line="149" w:lineRule="exact"/>
              <w:ind w:right="628"/>
              <w:jc w:val="center"/>
              <w:rPr>
                <w:sz w:val="20"/>
                <w:szCs w:val="20"/>
              </w:rPr>
            </w:pPr>
            <w:r>
              <w:rPr>
                <w:rFonts w:ascii="Arial" w:eastAsia="Arial" w:hAnsi="Arial" w:cs="Arial"/>
                <w:b/>
                <w:bCs/>
                <w:w w:val="93"/>
                <w:sz w:val="14"/>
                <w:szCs w:val="14"/>
              </w:rPr>
              <w:t>January 30,</w:t>
            </w:r>
          </w:p>
        </w:tc>
        <w:tc>
          <w:tcPr>
            <w:tcW w:w="200" w:type="dxa"/>
            <w:vAlign w:val="bottom"/>
          </w:tcPr>
          <w:p w14:paraId="5D82C2AF" w14:textId="77777777" w:rsidR="00D1587D" w:rsidRDefault="00D1587D">
            <w:pPr>
              <w:rPr>
                <w:sz w:val="12"/>
                <w:szCs w:val="12"/>
              </w:rPr>
            </w:pPr>
          </w:p>
        </w:tc>
        <w:tc>
          <w:tcPr>
            <w:tcW w:w="420" w:type="dxa"/>
            <w:gridSpan w:val="2"/>
            <w:vMerge w:val="restart"/>
            <w:vAlign w:val="bottom"/>
          </w:tcPr>
          <w:p w14:paraId="7C739D25" w14:textId="77777777" w:rsidR="00D1587D" w:rsidRDefault="00410D07">
            <w:pPr>
              <w:jc w:val="center"/>
              <w:rPr>
                <w:sz w:val="20"/>
                <w:szCs w:val="20"/>
              </w:rPr>
            </w:pPr>
            <w:r>
              <w:rPr>
                <w:rFonts w:ascii="Arial" w:eastAsia="Arial" w:hAnsi="Arial" w:cs="Arial"/>
                <w:b/>
                <w:bCs/>
                <w:w w:val="85"/>
                <w:sz w:val="14"/>
                <w:szCs w:val="14"/>
              </w:rPr>
              <w:t>Closed</w:t>
            </w:r>
          </w:p>
        </w:tc>
        <w:tc>
          <w:tcPr>
            <w:tcW w:w="200" w:type="dxa"/>
            <w:vAlign w:val="bottom"/>
          </w:tcPr>
          <w:p w14:paraId="7A609205" w14:textId="77777777" w:rsidR="00D1587D" w:rsidRDefault="00D1587D">
            <w:pPr>
              <w:rPr>
                <w:sz w:val="12"/>
                <w:szCs w:val="12"/>
              </w:rPr>
            </w:pPr>
          </w:p>
        </w:tc>
        <w:tc>
          <w:tcPr>
            <w:tcW w:w="540" w:type="dxa"/>
            <w:vAlign w:val="bottom"/>
          </w:tcPr>
          <w:p w14:paraId="65CEB423" w14:textId="77777777" w:rsidR="00D1587D" w:rsidRDefault="00410D07">
            <w:pPr>
              <w:spacing w:line="149" w:lineRule="exact"/>
              <w:ind w:right="4"/>
              <w:jc w:val="right"/>
              <w:rPr>
                <w:sz w:val="20"/>
                <w:szCs w:val="20"/>
              </w:rPr>
            </w:pPr>
            <w:r>
              <w:rPr>
                <w:rFonts w:ascii="Arial" w:eastAsia="Arial" w:hAnsi="Arial" w:cs="Arial"/>
                <w:b/>
                <w:bCs/>
                <w:sz w:val="14"/>
                <w:szCs w:val="14"/>
              </w:rPr>
              <w:t>May 1,</w:t>
            </w:r>
          </w:p>
        </w:tc>
        <w:tc>
          <w:tcPr>
            <w:tcW w:w="0" w:type="dxa"/>
            <w:vAlign w:val="bottom"/>
          </w:tcPr>
          <w:p w14:paraId="45E19954" w14:textId="77777777" w:rsidR="00D1587D" w:rsidRDefault="00D1587D">
            <w:pPr>
              <w:rPr>
                <w:sz w:val="1"/>
                <w:szCs w:val="1"/>
              </w:rPr>
            </w:pPr>
          </w:p>
        </w:tc>
      </w:tr>
      <w:tr w:rsidR="00D1587D" w14:paraId="6F83C10D" w14:textId="77777777">
        <w:trPr>
          <w:trHeight w:val="186"/>
        </w:trPr>
        <w:tc>
          <w:tcPr>
            <w:tcW w:w="4860" w:type="dxa"/>
            <w:vAlign w:val="bottom"/>
          </w:tcPr>
          <w:p w14:paraId="4A650461" w14:textId="77777777" w:rsidR="00D1587D" w:rsidRDefault="00D1587D">
            <w:pPr>
              <w:rPr>
                <w:sz w:val="16"/>
                <w:szCs w:val="16"/>
              </w:rPr>
            </w:pPr>
          </w:p>
        </w:tc>
        <w:tc>
          <w:tcPr>
            <w:tcW w:w="640" w:type="dxa"/>
            <w:vAlign w:val="bottom"/>
          </w:tcPr>
          <w:p w14:paraId="2065E850" w14:textId="77777777" w:rsidR="00D1587D" w:rsidRDefault="00D1587D">
            <w:pPr>
              <w:rPr>
                <w:sz w:val="16"/>
                <w:szCs w:val="16"/>
              </w:rPr>
            </w:pPr>
          </w:p>
        </w:tc>
        <w:tc>
          <w:tcPr>
            <w:tcW w:w="80" w:type="dxa"/>
            <w:vAlign w:val="bottom"/>
          </w:tcPr>
          <w:p w14:paraId="008E0E32" w14:textId="77777777" w:rsidR="00D1587D" w:rsidRDefault="00D1587D">
            <w:pPr>
              <w:rPr>
                <w:sz w:val="16"/>
                <w:szCs w:val="16"/>
              </w:rPr>
            </w:pPr>
          </w:p>
        </w:tc>
        <w:tc>
          <w:tcPr>
            <w:tcW w:w="20" w:type="dxa"/>
            <w:vAlign w:val="bottom"/>
          </w:tcPr>
          <w:p w14:paraId="64C3526D" w14:textId="77777777" w:rsidR="00D1587D" w:rsidRDefault="00D1587D">
            <w:pPr>
              <w:rPr>
                <w:sz w:val="16"/>
                <w:szCs w:val="16"/>
              </w:rPr>
            </w:pPr>
          </w:p>
        </w:tc>
        <w:tc>
          <w:tcPr>
            <w:tcW w:w="580" w:type="dxa"/>
            <w:gridSpan w:val="2"/>
            <w:vAlign w:val="bottom"/>
          </w:tcPr>
          <w:p w14:paraId="343E1DA1" w14:textId="77777777" w:rsidR="00D1587D" w:rsidRDefault="00410D07">
            <w:pPr>
              <w:ind w:left="240"/>
              <w:rPr>
                <w:sz w:val="20"/>
                <w:szCs w:val="20"/>
              </w:rPr>
            </w:pPr>
            <w:r>
              <w:rPr>
                <w:rFonts w:ascii="Arial" w:eastAsia="Arial" w:hAnsi="Arial" w:cs="Arial"/>
                <w:b/>
                <w:bCs/>
                <w:sz w:val="14"/>
                <w:szCs w:val="14"/>
              </w:rPr>
              <w:t>2021</w:t>
            </w:r>
          </w:p>
        </w:tc>
        <w:tc>
          <w:tcPr>
            <w:tcW w:w="100" w:type="dxa"/>
            <w:vAlign w:val="bottom"/>
          </w:tcPr>
          <w:p w14:paraId="4E037C5C" w14:textId="77777777" w:rsidR="00D1587D" w:rsidRDefault="00D1587D">
            <w:pPr>
              <w:rPr>
                <w:sz w:val="16"/>
                <w:szCs w:val="16"/>
              </w:rPr>
            </w:pPr>
          </w:p>
        </w:tc>
        <w:tc>
          <w:tcPr>
            <w:tcW w:w="80" w:type="dxa"/>
            <w:vAlign w:val="bottom"/>
          </w:tcPr>
          <w:p w14:paraId="76C6AB36" w14:textId="77777777" w:rsidR="00D1587D" w:rsidRDefault="00D1587D">
            <w:pPr>
              <w:rPr>
                <w:sz w:val="16"/>
                <w:szCs w:val="16"/>
              </w:rPr>
            </w:pPr>
          </w:p>
        </w:tc>
        <w:tc>
          <w:tcPr>
            <w:tcW w:w="200" w:type="dxa"/>
            <w:vAlign w:val="bottom"/>
          </w:tcPr>
          <w:p w14:paraId="3EA335FF" w14:textId="77777777" w:rsidR="00D1587D" w:rsidRDefault="00D1587D">
            <w:pPr>
              <w:rPr>
                <w:sz w:val="16"/>
                <w:szCs w:val="16"/>
              </w:rPr>
            </w:pPr>
          </w:p>
        </w:tc>
        <w:tc>
          <w:tcPr>
            <w:tcW w:w="500" w:type="dxa"/>
            <w:gridSpan w:val="3"/>
            <w:vAlign w:val="bottom"/>
          </w:tcPr>
          <w:p w14:paraId="165B4963" w14:textId="77777777" w:rsidR="00D1587D" w:rsidRDefault="00410D07">
            <w:pPr>
              <w:jc w:val="right"/>
              <w:rPr>
                <w:sz w:val="20"/>
                <w:szCs w:val="20"/>
              </w:rPr>
            </w:pPr>
            <w:r>
              <w:rPr>
                <w:rFonts w:ascii="Arial" w:eastAsia="Arial" w:hAnsi="Arial" w:cs="Arial"/>
                <w:b/>
                <w:bCs/>
                <w:w w:val="91"/>
                <w:sz w:val="14"/>
                <w:szCs w:val="14"/>
              </w:rPr>
              <w:t>Opened</w:t>
            </w:r>
          </w:p>
        </w:tc>
        <w:tc>
          <w:tcPr>
            <w:tcW w:w="200" w:type="dxa"/>
            <w:vAlign w:val="bottom"/>
          </w:tcPr>
          <w:p w14:paraId="471B14F6" w14:textId="77777777" w:rsidR="00D1587D" w:rsidRDefault="00D1587D">
            <w:pPr>
              <w:rPr>
                <w:sz w:val="16"/>
                <w:szCs w:val="16"/>
              </w:rPr>
            </w:pPr>
          </w:p>
        </w:tc>
        <w:tc>
          <w:tcPr>
            <w:tcW w:w="420" w:type="dxa"/>
            <w:gridSpan w:val="2"/>
            <w:vMerge/>
            <w:vAlign w:val="bottom"/>
          </w:tcPr>
          <w:p w14:paraId="74FFEB78" w14:textId="77777777" w:rsidR="00D1587D" w:rsidRDefault="00D1587D">
            <w:pPr>
              <w:rPr>
                <w:sz w:val="16"/>
                <w:szCs w:val="16"/>
              </w:rPr>
            </w:pPr>
          </w:p>
        </w:tc>
        <w:tc>
          <w:tcPr>
            <w:tcW w:w="740" w:type="dxa"/>
            <w:gridSpan w:val="2"/>
            <w:vAlign w:val="bottom"/>
          </w:tcPr>
          <w:p w14:paraId="18F94D16" w14:textId="77777777" w:rsidR="00D1587D" w:rsidRDefault="00410D07">
            <w:pPr>
              <w:ind w:left="320"/>
              <w:rPr>
                <w:sz w:val="20"/>
                <w:szCs w:val="20"/>
              </w:rPr>
            </w:pPr>
            <w:r>
              <w:rPr>
                <w:rFonts w:ascii="Arial" w:eastAsia="Arial" w:hAnsi="Arial" w:cs="Arial"/>
                <w:b/>
                <w:bCs/>
                <w:sz w:val="14"/>
                <w:szCs w:val="14"/>
              </w:rPr>
              <w:t>2021</w:t>
            </w:r>
          </w:p>
        </w:tc>
        <w:tc>
          <w:tcPr>
            <w:tcW w:w="0" w:type="dxa"/>
            <w:vAlign w:val="bottom"/>
          </w:tcPr>
          <w:p w14:paraId="2F0F0D73" w14:textId="77777777" w:rsidR="00D1587D" w:rsidRDefault="00D1587D">
            <w:pPr>
              <w:rPr>
                <w:sz w:val="1"/>
                <w:szCs w:val="1"/>
              </w:rPr>
            </w:pPr>
          </w:p>
        </w:tc>
      </w:tr>
      <w:tr w:rsidR="00D1587D" w14:paraId="2CFFA358" w14:textId="77777777">
        <w:trPr>
          <w:trHeight w:val="53"/>
        </w:trPr>
        <w:tc>
          <w:tcPr>
            <w:tcW w:w="4860" w:type="dxa"/>
            <w:tcBorders>
              <w:bottom w:val="single" w:sz="8" w:space="0" w:color="CCEEFF"/>
            </w:tcBorders>
            <w:vAlign w:val="bottom"/>
          </w:tcPr>
          <w:p w14:paraId="2C920C7B" w14:textId="77777777" w:rsidR="00D1587D" w:rsidRDefault="00D1587D">
            <w:pPr>
              <w:rPr>
                <w:sz w:val="4"/>
                <w:szCs w:val="4"/>
              </w:rPr>
            </w:pPr>
          </w:p>
        </w:tc>
        <w:tc>
          <w:tcPr>
            <w:tcW w:w="640" w:type="dxa"/>
            <w:tcBorders>
              <w:bottom w:val="single" w:sz="8" w:space="0" w:color="CCEEFF"/>
            </w:tcBorders>
            <w:vAlign w:val="bottom"/>
          </w:tcPr>
          <w:p w14:paraId="79F58ECA" w14:textId="77777777" w:rsidR="00D1587D" w:rsidRDefault="00D1587D">
            <w:pPr>
              <w:rPr>
                <w:sz w:val="4"/>
                <w:szCs w:val="4"/>
              </w:rPr>
            </w:pPr>
          </w:p>
        </w:tc>
        <w:tc>
          <w:tcPr>
            <w:tcW w:w="80" w:type="dxa"/>
            <w:tcBorders>
              <w:bottom w:val="single" w:sz="8" w:space="0" w:color="CCEEFF"/>
            </w:tcBorders>
            <w:vAlign w:val="bottom"/>
          </w:tcPr>
          <w:p w14:paraId="5C73DFDB" w14:textId="77777777" w:rsidR="00D1587D" w:rsidRDefault="00D1587D">
            <w:pPr>
              <w:rPr>
                <w:sz w:val="4"/>
                <w:szCs w:val="4"/>
              </w:rPr>
            </w:pPr>
          </w:p>
        </w:tc>
        <w:tc>
          <w:tcPr>
            <w:tcW w:w="20" w:type="dxa"/>
            <w:tcBorders>
              <w:bottom w:val="single" w:sz="8" w:space="0" w:color="CCEEFF"/>
            </w:tcBorders>
            <w:vAlign w:val="bottom"/>
          </w:tcPr>
          <w:p w14:paraId="645FB3CA" w14:textId="77777777" w:rsidR="00D1587D" w:rsidRDefault="00D1587D">
            <w:pPr>
              <w:rPr>
                <w:sz w:val="4"/>
                <w:szCs w:val="4"/>
              </w:rPr>
            </w:pPr>
          </w:p>
        </w:tc>
        <w:tc>
          <w:tcPr>
            <w:tcW w:w="80" w:type="dxa"/>
            <w:tcBorders>
              <w:bottom w:val="single" w:sz="8" w:space="0" w:color="auto"/>
            </w:tcBorders>
            <w:vAlign w:val="bottom"/>
          </w:tcPr>
          <w:p w14:paraId="4681476A" w14:textId="77777777" w:rsidR="00D1587D" w:rsidRDefault="00D1587D">
            <w:pPr>
              <w:rPr>
                <w:sz w:val="4"/>
                <w:szCs w:val="4"/>
              </w:rPr>
            </w:pPr>
          </w:p>
        </w:tc>
        <w:tc>
          <w:tcPr>
            <w:tcW w:w="500" w:type="dxa"/>
            <w:tcBorders>
              <w:bottom w:val="single" w:sz="8" w:space="0" w:color="auto"/>
            </w:tcBorders>
            <w:vAlign w:val="bottom"/>
          </w:tcPr>
          <w:p w14:paraId="689D9116" w14:textId="77777777" w:rsidR="00D1587D" w:rsidRDefault="00D1587D">
            <w:pPr>
              <w:rPr>
                <w:sz w:val="4"/>
                <w:szCs w:val="4"/>
              </w:rPr>
            </w:pPr>
          </w:p>
        </w:tc>
        <w:tc>
          <w:tcPr>
            <w:tcW w:w="100" w:type="dxa"/>
            <w:tcBorders>
              <w:bottom w:val="single" w:sz="8" w:space="0" w:color="auto"/>
            </w:tcBorders>
            <w:vAlign w:val="bottom"/>
          </w:tcPr>
          <w:p w14:paraId="7FD3E230" w14:textId="77777777" w:rsidR="00D1587D" w:rsidRDefault="00D1587D">
            <w:pPr>
              <w:rPr>
                <w:sz w:val="4"/>
                <w:szCs w:val="4"/>
              </w:rPr>
            </w:pPr>
          </w:p>
        </w:tc>
        <w:tc>
          <w:tcPr>
            <w:tcW w:w="80" w:type="dxa"/>
            <w:tcBorders>
              <w:bottom w:val="single" w:sz="8" w:space="0" w:color="auto"/>
            </w:tcBorders>
            <w:vAlign w:val="bottom"/>
          </w:tcPr>
          <w:p w14:paraId="7E994C89" w14:textId="77777777" w:rsidR="00D1587D" w:rsidRDefault="00D1587D">
            <w:pPr>
              <w:rPr>
                <w:sz w:val="4"/>
                <w:szCs w:val="4"/>
              </w:rPr>
            </w:pPr>
          </w:p>
        </w:tc>
        <w:tc>
          <w:tcPr>
            <w:tcW w:w="200" w:type="dxa"/>
            <w:tcBorders>
              <w:bottom w:val="single" w:sz="8" w:space="0" w:color="CCEEFF"/>
            </w:tcBorders>
            <w:vAlign w:val="bottom"/>
          </w:tcPr>
          <w:p w14:paraId="5A1A22C6" w14:textId="77777777" w:rsidR="00D1587D" w:rsidRDefault="00D1587D">
            <w:pPr>
              <w:rPr>
                <w:sz w:val="4"/>
                <w:szCs w:val="4"/>
              </w:rPr>
            </w:pPr>
          </w:p>
        </w:tc>
        <w:tc>
          <w:tcPr>
            <w:tcW w:w="160" w:type="dxa"/>
            <w:tcBorders>
              <w:bottom w:val="single" w:sz="8" w:space="0" w:color="auto"/>
            </w:tcBorders>
            <w:vAlign w:val="bottom"/>
          </w:tcPr>
          <w:p w14:paraId="37B4DB46" w14:textId="77777777" w:rsidR="00D1587D" w:rsidRDefault="00D1587D">
            <w:pPr>
              <w:rPr>
                <w:sz w:val="4"/>
                <w:szCs w:val="4"/>
              </w:rPr>
            </w:pPr>
          </w:p>
        </w:tc>
        <w:tc>
          <w:tcPr>
            <w:tcW w:w="120" w:type="dxa"/>
            <w:tcBorders>
              <w:bottom w:val="single" w:sz="8" w:space="0" w:color="auto"/>
            </w:tcBorders>
            <w:vAlign w:val="bottom"/>
          </w:tcPr>
          <w:p w14:paraId="304CE200" w14:textId="77777777" w:rsidR="00D1587D" w:rsidRDefault="00D1587D">
            <w:pPr>
              <w:rPr>
                <w:sz w:val="4"/>
                <w:szCs w:val="4"/>
              </w:rPr>
            </w:pPr>
          </w:p>
        </w:tc>
        <w:tc>
          <w:tcPr>
            <w:tcW w:w="220" w:type="dxa"/>
            <w:tcBorders>
              <w:bottom w:val="single" w:sz="8" w:space="0" w:color="auto"/>
            </w:tcBorders>
            <w:vAlign w:val="bottom"/>
          </w:tcPr>
          <w:p w14:paraId="1086DE1D" w14:textId="77777777" w:rsidR="00D1587D" w:rsidRDefault="00D1587D">
            <w:pPr>
              <w:rPr>
                <w:sz w:val="4"/>
                <w:szCs w:val="4"/>
              </w:rPr>
            </w:pPr>
          </w:p>
        </w:tc>
        <w:tc>
          <w:tcPr>
            <w:tcW w:w="200" w:type="dxa"/>
            <w:tcBorders>
              <w:bottom w:val="single" w:sz="8" w:space="0" w:color="CCEEFF"/>
            </w:tcBorders>
            <w:vAlign w:val="bottom"/>
          </w:tcPr>
          <w:p w14:paraId="2103B649" w14:textId="77777777" w:rsidR="00D1587D" w:rsidRDefault="00D1587D">
            <w:pPr>
              <w:rPr>
                <w:sz w:val="4"/>
                <w:szCs w:val="4"/>
              </w:rPr>
            </w:pPr>
          </w:p>
        </w:tc>
        <w:tc>
          <w:tcPr>
            <w:tcW w:w="320" w:type="dxa"/>
            <w:tcBorders>
              <w:bottom w:val="single" w:sz="8" w:space="0" w:color="auto"/>
            </w:tcBorders>
            <w:vAlign w:val="bottom"/>
          </w:tcPr>
          <w:p w14:paraId="2674C764" w14:textId="77777777" w:rsidR="00D1587D" w:rsidRDefault="00D1587D">
            <w:pPr>
              <w:rPr>
                <w:sz w:val="4"/>
                <w:szCs w:val="4"/>
              </w:rPr>
            </w:pPr>
          </w:p>
        </w:tc>
        <w:tc>
          <w:tcPr>
            <w:tcW w:w="100" w:type="dxa"/>
            <w:tcBorders>
              <w:bottom w:val="single" w:sz="8" w:space="0" w:color="auto"/>
            </w:tcBorders>
            <w:vAlign w:val="bottom"/>
          </w:tcPr>
          <w:p w14:paraId="69121BFF" w14:textId="77777777" w:rsidR="00D1587D" w:rsidRDefault="00D1587D">
            <w:pPr>
              <w:rPr>
                <w:sz w:val="4"/>
                <w:szCs w:val="4"/>
              </w:rPr>
            </w:pPr>
          </w:p>
        </w:tc>
        <w:tc>
          <w:tcPr>
            <w:tcW w:w="200" w:type="dxa"/>
            <w:tcBorders>
              <w:bottom w:val="single" w:sz="8" w:space="0" w:color="CCEEFF"/>
            </w:tcBorders>
            <w:vAlign w:val="bottom"/>
          </w:tcPr>
          <w:p w14:paraId="76C8E937" w14:textId="77777777" w:rsidR="00D1587D" w:rsidRDefault="00D1587D">
            <w:pPr>
              <w:rPr>
                <w:sz w:val="4"/>
                <w:szCs w:val="4"/>
              </w:rPr>
            </w:pPr>
          </w:p>
        </w:tc>
        <w:tc>
          <w:tcPr>
            <w:tcW w:w="540" w:type="dxa"/>
            <w:tcBorders>
              <w:bottom w:val="single" w:sz="8" w:space="0" w:color="auto"/>
            </w:tcBorders>
            <w:vAlign w:val="bottom"/>
          </w:tcPr>
          <w:p w14:paraId="14A7CC2F" w14:textId="77777777" w:rsidR="00D1587D" w:rsidRDefault="00D1587D">
            <w:pPr>
              <w:rPr>
                <w:sz w:val="4"/>
                <w:szCs w:val="4"/>
              </w:rPr>
            </w:pPr>
          </w:p>
        </w:tc>
        <w:tc>
          <w:tcPr>
            <w:tcW w:w="0" w:type="dxa"/>
            <w:vAlign w:val="bottom"/>
          </w:tcPr>
          <w:p w14:paraId="0450DB74" w14:textId="77777777" w:rsidR="00D1587D" w:rsidRDefault="00D1587D">
            <w:pPr>
              <w:rPr>
                <w:sz w:val="1"/>
                <w:szCs w:val="1"/>
              </w:rPr>
            </w:pPr>
          </w:p>
        </w:tc>
      </w:tr>
      <w:tr w:rsidR="00D1587D" w14:paraId="00203E21" w14:textId="77777777">
        <w:trPr>
          <w:trHeight w:val="311"/>
        </w:trPr>
        <w:tc>
          <w:tcPr>
            <w:tcW w:w="4860" w:type="dxa"/>
            <w:tcBorders>
              <w:bottom w:val="single" w:sz="8" w:space="0" w:color="CCEEFF"/>
            </w:tcBorders>
            <w:shd w:val="clear" w:color="auto" w:fill="CCEEFF"/>
            <w:vAlign w:val="bottom"/>
          </w:tcPr>
          <w:p w14:paraId="662A3544" w14:textId="77777777" w:rsidR="00D1587D" w:rsidRDefault="00410D07">
            <w:pPr>
              <w:rPr>
                <w:sz w:val="20"/>
                <w:szCs w:val="20"/>
              </w:rPr>
            </w:pPr>
            <w:r>
              <w:rPr>
                <w:rFonts w:ascii="Arial" w:eastAsia="Arial" w:hAnsi="Arial" w:cs="Arial"/>
                <w:sz w:val="18"/>
                <w:szCs w:val="18"/>
              </w:rPr>
              <w:t>U.S.</w:t>
            </w:r>
          </w:p>
        </w:tc>
        <w:tc>
          <w:tcPr>
            <w:tcW w:w="640" w:type="dxa"/>
            <w:tcBorders>
              <w:bottom w:val="single" w:sz="8" w:space="0" w:color="CCEEFF"/>
            </w:tcBorders>
            <w:shd w:val="clear" w:color="auto" w:fill="CCEEFF"/>
            <w:vAlign w:val="bottom"/>
          </w:tcPr>
          <w:p w14:paraId="7C4A6AC9" w14:textId="77777777" w:rsidR="00D1587D" w:rsidRDefault="00D1587D">
            <w:pPr>
              <w:rPr>
                <w:sz w:val="24"/>
                <w:szCs w:val="24"/>
              </w:rPr>
            </w:pPr>
          </w:p>
        </w:tc>
        <w:tc>
          <w:tcPr>
            <w:tcW w:w="80" w:type="dxa"/>
            <w:tcBorders>
              <w:bottom w:val="single" w:sz="8" w:space="0" w:color="CCEEFF"/>
            </w:tcBorders>
            <w:shd w:val="clear" w:color="auto" w:fill="CCEEFF"/>
            <w:vAlign w:val="bottom"/>
          </w:tcPr>
          <w:p w14:paraId="4DEF8F3D" w14:textId="77777777" w:rsidR="00D1587D" w:rsidRDefault="00D1587D">
            <w:pPr>
              <w:rPr>
                <w:sz w:val="24"/>
                <w:szCs w:val="24"/>
              </w:rPr>
            </w:pPr>
          </w:p>
        </w:tc>
        <w:tc>
          <w:tcPr>
            <w:tcW w:w="20" w:type="dxa"/>
            <w:tcBorders>
              <w:bottom w:val="single" w:sz="8" w:space="0" w:color="CCEEFF"/>
            </w:tcBorders>
            <w:shd w:val="clear" w:color="auto" w:fill="CCEEFF"/>
            <w:vAlign w:val="bottom"/>
          </w:tcPr>
          <w:p w14:paraId="7A56F87D"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7587D1BC" w14:textId="77777777" w:rsidR="00D1587D" w:rsidRDefault="00410D07">
            <w:pPr>
              <w:ind w:left="240"/>
              <w:rPr>
                <w:sz w:val="20"/>
                <w:szCs w:val="20"/>
              </w:rPr>
            </w:pPr>
            <w:r>
              <w:rPr>
                <w:rFonts w:ascii="Arial" w:eastAsia="Arial" w:hAnsi="Arial" w:cs="Arial"/>
                <w:sz w:val="18"/>
                <w:szCs w:val="18"/>
              </w:rPr>
              <w:t>846</w:t>
            </w:r>
          </w:p>
        </w:tc>
        <w:tc>
          <w:tcPr>
            <w:tcW w:w="100" w:type="dxa"/>
            <w:tcBorders>
              <w:bottom w:val="single" w:sz="8" w:space="0" w:color="CCEEFF"/>
            </w:tcBorders>
            <w:shd w:val="clear" w:color="auto" w:fill="CCEEFF"/>
            <w:vAlign w:val="bottom"/>
          </w:tcPr>
          <w:p w14:paraId="76862316" w14:textId="77777777" w:rsidR="00D1587D" w:rsidRDefault="00D1587D">
            <w:pPr>
              <w:rPr>
                <w:sz w:val="24"/>
                <w:szCs w:val="24"/>
              </w:rPr>
            </w:pPr>
          </w:p>
        </w:tc>
        <w:tc>
          <w:tcPr>
            <w:tcW w:w="80" w:type="dxa"/>
            <w:tcBorders>
              <w:bottom w:val="single" w:sz="8" w:space="0" w:color="CCEEFF"/>
            </w:tcBorders>
            <w:shd w:val="clear" w:color="auto" w:fill="CCEEFF"/>
            <w:vAlign w:val="bottom"/>
          </w:tcPr>
          <w:p w14:paraId="12FD04B2" w14:textId="77777777" w:rsidR="00D1587D" w:rsidRDefault="00D1587D">
            <w:pPr>
              <w:rPr>
                <w:sz w:val="24"/>
                <w:szCs w:val="24"/>
              </w:rPr>
            </w:pPr>
          </w:p>
        </w:tc>
        <w:tc>
          <w:tcPr>
            <w:tcW w:w="200" w:type="dxa"/>
            <w:tcBorders>
              <w:bottom w:val="single" w:sz="8" w:space="0" w:color="CCEEFF"/>
            </w:tcBorders>
            <w:shd w:val="clear" w:color="auto" w:fill="CCEEFF"/>
            <w:vAlign w:val="bottom"/>
          </w:tcPr>
          <w:p w14:paraId="0FA9E454" w14:textId="77777777" w:rsidR="00D1587D" w:rsidRDefault="00D1587D">
            <w:pPr>
              <w:rPr>
                <w:sz w:val="24"/>
                <w:szCs w:val="24"/>
              </w:rPr>
            </w:pPr>
          </w:p>
        </w:tc>
        <w:tc>
          <w:tcPr>
            <w:tcW w:w="500" w:type="dxa"/>
            <w:gridSpan w:val="3"/>
            <w:tcBorders>
              <w:bottom w:val="single" w:sz="8" w:space="0" w:color="CCEEFF"/>
            </w:tcBorders>
            <w:shd w:val="clear" w:color="auto" w:fill="CCEEFF"/>
            <w:vAlign w:val="bottom"/>
          </w:tcPr>
          <w:p w14:paraId="03A91ED2" w14:textId="77777777" w:rsidR="00D1587D" w:rsidRDefault="00410D07">
            <w:pPr>
              <w:ind w:right="88"/>
              <w:jc w:val="right"/>
              <w:rPr>
                <w:sz w:val="20"/>
                <w:szCs w:val="20"/>
              </w:rPr>
            </w:pPr>
            <w:r>
              <w:rPr>
                <w:rFonts w:ascii="Arial" w:eastAsia="Arial" w:hAnsi="Arial" w:cs="Arial"/>
                <w:sz w:val="18"/>
                <w:szCs w:val="18"/>
              </w:rPr>
              <w:t>—</w:t>
            </w:r>
          </w:p>
        </w:tc>
        <w:tc>
          <w:tcPr>
            <w:tcW w:w="620" w:type="dxa"/>
            <w:gridSpan w:val="3"/>
            <w:tcBorders>
              <w:bottom w:val="single" w:sz="8" w:space="0" w:color="CCEEFF"/>
            </w:tcBorders>
            <w:shd w:val="clear" w:color="auto" w:fill="CCEEFF"/>
            <w:vAlign w:val="bottom"/>
          </w:tcPr>
          <w:p w14:paraId="0A100987" w14:textId="77777777" w:rsidR="00D1587D" w:rsidRDefault="00410D07">
            <w:pPr>
              <w:ind w:left="360"/>
              <w:rPr>
                <w:sz w:val="20"/>
                <w:szCs w:val="20"/>
              </w:rPr>
            </w:pPr>
            <w:r>
              <w:rPr>
                <w:rFonts w:ascii="Arial" w:eastAsia="Arial" w:hAnsi="Arial" w:cs="Arial"/>
                <w:sz w:val="18"/>
                <w:szCs w:val="18"/>
              </w:rPr>
              <w:t>(5)</w:t>
            </w:r>
          </w:p>
        </w:tc>
        <w:tc>
          <w:tcPr>
            <w:tcW w:w="740" w:type="dxa"/>
            <w:gridSpan w:val="2"/>
            <w:tcBorders>
              <w:bottom w:val="single" w:sz="8" w:space="0" w:color="CCEEFF"/>
            </w:tcBorders>
            <w:shd w:val="clear" w:color="auto" w:fill="CCEEFF"/>
            <w:vAlign w:val="bottom"/>
          </w:tcPr>
          <w:p w14:paraId="244A2C1A" w14:textId="77777777" w:rsidR="00D1587D" w:rsidRDefault="00410D07">
            <w:pPr>
              <w:ind w:left="114"/>
              <w:jc w:val="center"/>
              <w:rPr>
                <w:sz w:val="20"/>
                <w:szCs w:val="20"/>
              </w:rPr>
            </w:pPr>
            <w:r>
              <w:rPr>
                <w:rFonts w:ascii="Arial" w:eastAsia="Arial" w:hAnsi="Arial" w:cs="Arial"/>
                <w:w w:val="86"/>
                <w:sz w:val="18"/>
                <w:szCs w:val="18"/>
              </w:rPr>
              <w:t>841</w:t>
            </w:r>
          </w:p>
        </w:tc>
        <w:tc>
          <w:tcPr>
            <w:tcW w:w="0" w:type="dxa"/>
            <w:vAlign w:val="bottom"/>
          </w:tcPr>
          <w:p w14:paraId="4C8AB3CB" w14:textId="77777777" w:rsidR="00D1587D" w:rsidRDefault="00D1587D">
            <w:pPr>
              <w:rPr>
                <w:sz w:val="1"/>
                <w:szCs w:val="1"/>
              </w:rPr>
            </w:pPr>
          </w:p>
        </w:tc>
      </w:tr>
      <w:tr w:rsidR="00D1587D" w14:paraId="7EC43158" w14:textId="77777777">
        <w:trPr>
          <w:trHeight w:val="270"/>
        </w:trPr>
        <w:tc>
          <w:tcPr>
            <w:tcW w:w="4860" w:type="dxa"/>
            <w:vAlign w:val="bottom"/>
          </w:tcPr>
          <w:p w14:paraId="6FFC211F" w14:textId="77777777" w:rsidR="00D1587D" w:rsidRDefault="00410D07">
            <w:pPr>
              <w:rPr>
                <w:sz w:val="20"/>
                <w:szCs w:val="20"/>
              </w:rPr>
            </w:pPr>
            <w:r>
              <w:rPr>
                <w:rFonts w:ascii="Arial" w:eastAsia="Arial" w:hAnsi="Arial" w:cs="Arial"/>
                <w:sz w:val="18"/>
                <w:szCs w:val="18"/>
              </w:rPr>
              <w:t>Canada</w:t>
            </w:r>
          </w:p>
        </w:tc>
        <w:tc>
          <w:tcPr>
            <w:tcW w:w="640" w:type="dxa"/>
            <w:vAlign w:val="bottom"/>
          </w:tcPr>
          <w:p w14:paraId="368F97C0" w14:textId="77777777" w:rsidR="00D1587D" w:rsidRDefault="00D1587D">
            <w:pPr>
              <w:rPr>
                <w:sz w:val="23"/>
                <w:szCs w:val="23"/>
              </w:rPr>
            </w:pPr>
          </w:p>
        </w:tc>
        <w:tc>
          <w:tcPr>
            <w:tcW w:w="80" w:type="dxa"/>
            <w:vAlign w:val="bottom"/>
          </w:tcPr>
          <w:p w14:paraId="3DBD81C8" w14:textId="77777777" w:rsidR="00D1587D" w:rsidRDefault="00D1587D">
            <w:pPr>
              <w:rPr>
                <w:sz w:val="23"/>
                <w:szCs w:val="23"/>
              </w:rPr>
            </w:pPr>
          </w:p>
        </w:tc>
        <w:tc>
          <w:tcPr>
            <w:tcW w:w="20" w:type="dxa"/>
            <w:vAlign w:val="bottom"/>
          </w:tcPr>
          <w:p w14:paraId="2A28B81D" w14:textId="77777777" w:rsidR="00D1587D" w:rsidRDefault="00D1587D">
            <w:pPr>
              <w:rPr>
                <w:sz w:val="23"/>
                <w:szCs w:val="23"/>
              </w:rPr>
            </w:pPr>
          </w:p>
        </w:tc>
        <w:tc>
          <w:tcPr>
            <w:tcW w:w="580" w:type="dxa"/>
            <w:gridSpan w:val="2"/>
            <w:vAlign w:val="bottom"/>
          </w:tcPr>
          <w:p w14:paraId="772BFDEF" w14:textId="77777777" w:rsidR="00D1587D" w:rsidRDefault="00410D07">
            <w:pPr>
              <w:ind w:left="320"/>
              <w:rPr>
                <w:sz w:val="20"/>
                <w:szCs w:val="20"/>
              </w:rPr>
            </w:pPr>
            <w:r>
              <w:rPr>
                <w:rFonts w:ascii="Arial" w:eastAsia="Arial" w:hAnsi="Arial" w:cs="Arial"/>
                <w:sz w:val="18"/>
                <w:szCs w:val="18"/>
              </w:rPr>
              <w:t>25</w:t>
            </w:r>
          </w:p>
        </w:tc>
        <w:tc>
          <w:tcPr>
            <w:tcW w:w="100" w:type="dxa"/>
            <w:vAlign w:val="bottom"/>
          </w:tcPr>
          <w:p w14:paraId="6DB9AC03" w14:textId="77777777" w:rsidR="00D1587D" w:rsidRDefault="00D1587D">
            <w:pPr>
              <w:rPr>
                <w:sz w:val="23"/>
                <w:szCs w:val="23"/>
              </w:rPr>
            </w:pPr>
          </w:p>
        </w:tc>
        <w:tc>
          <w:tcPr>
            <w:tcW w:w="780" w:type="dxa"/>
            <w:gridSpan w:val="5"/>
            <w:vAlign w:val="bottom"/>
          </w:tcPr>
          <w:p w14:paraId="0708E867" w14:textId="77777777" w:rsidR="00D1587D" w:rsidRDefault="00410D07">
            <w:pPr>
              <w:ind w:right="108"/>
              <w:jc w:val="right"/>
              <w:rPr>
                <w:sz w:val="20"/>
                <w:szCs w:val="20"/>
              </w:rPr>
            </w:pPr>
            <w:r>
              <w:rPr>
                <w:rFonts w:ascii="Arial" w:eastAsia="Arial" w:hAnsi="Arial" w:cs="Arial"/>
                <w:sz w:val="18"/>
                <w:szCs w:val="18"/>
              </w:rPr>
              <w:t>1</w:t>
            </w:r>
          </w:p>
        </w:tc>
        <w:tc>
          <w:tcPr>
            <w:tcW w:w="200" w:type="dxa"/>
            <w:vAlign w:val="bottom"/>
          </w:tcPr>
          <w:p w14:paraId="7BC86DE3" w14:textId="77777777" w:rsidR="00D1587D" w:rsidRDefault="00D1587D">
            <w:pPr>
              <w:rPr>
                <w:sz w:val="23"/>
                <w:szCs w:val="23"/>
              </w:rPr>
            </w:pPr>
          </w:p>
        </w:tc>
        <w:tc>
          <w:tcPr>
            <w:tcW w:w="420" w:type="dxa"/>
            <w:gridSpan w:val="2"/>
            <w:vAlign w:val="bottom"/>
          </w:tcPr>
          <w:p w14:paraId="532C9FB0" w14:textId="77777777" w:rsidR="00D1587D" w:rsidRDefault="00410D07">
            <w:pPr>
              <w:jc w:val="center"/>
              <w:rPr>
                <w:sz w:val="20"/>
                <w:szCs w:val="20"/>
              </w:rPr>
            </w:pPr>
            <w:r>
              <w:rPr>
                <w:rFonts w:ascii="Arial" w:eastAsia="Arial" w:hAnsi="Arial" w:cs="Arial"/>
                <w:w w:val="99"/>
                <w:sz w:val="18"/>
                <w:szCs w:val="18"/>
              </w:rPr>
              <w:t>—</w:t>
            </w:r>
          </w:p>
        </w:tc>
        <w:tc>
          <w:tcPr>
            <w:tcW w:w="740" w:type="dxa"/>
            <w:gridSpan w:val="2"/>
            <w:vAlign w:val="bottom"/>
          </w:tcPr>
          <w:p w14:paraId="71F71773" w14:textId="77777777" w:rsidR="00D1587D" w:rsidRDefault="00410D07">
            <w:pPr>
              <w:ind w:right="64"/>
              <w:jc w:val="right"/>
              <w:rPr>
                <w:sz w:val="20"/>
                <w:szCs w:val="20"/>
              </w:rPr>
            </w:pPr>
            <w:r>
              <w:rPr>
                <w:rFonts w:ascii="Arial" w:eastAsia="Arial" w:hAnsi="Arial" w:cs="Arial"/>
                <w:sz w:val="18"/>
                <w:szCs w:val="18"/>
              </w:rPr>
              <w:t>26</w:t>
            </w:r>
          </w:p>
        </w:tc>
        <w:tc>
          <w:tcPr>
            <w:tcW w:w="0" w:type="dxa"/>
            <w:vAlign w:val="bottom"/>
          </w:tcPr>
          <w:p w14:paraId="2F4B81ED" w14:textId="77777777" w:rsidR="00D1587D" w:rsidRDefault="00D1587D">
            <w:pPr>
              <w:rPr>
                <w:sz w:val="1"/>
                <w:szCs w:val="1"/>
              </w:rPr>
            </w:pPr>
          </w:p>
        </w:tc>
      </w:tr>
      <w:tr w:rsidR="00D1587D" w14:paraId="1E9D543E" w14:textId="77777777">
        <w:trPr>
          <w:trHeight w:val="54"/>
        </w:trPr>
        <w:tc>
          <w:tcPr>
            <w:tcW w:w="4860" w:type="dxa"/>
            <w:vAlign w:val="bottom"/>
          </w:tcPr>
          <w:p w14:paraId="47A5EB6A" w14:textId="77777777" w:rsidR="00D1587D" w:rsidRDefault="00D1587D">
            <w:pPr>
              <w:rPr>
                <w:sz w:val="4"/>
                <w:szCs w:val="4"/>
              </w:rPr>
            </w:pPr>
          </w:p>
        </w:tc>
        <w:tc>
          <w:tcPr>
            <w:tcW w:w="640" w:type="dxa"/>
            <w:vAlign w:val="bottom"/>
          </w:tcPr>
          <w:p w14:paraId="43451175" w14:textId="77777777" w:rsidR="00D1587D" w:rsidRDefault="00D1587D">
            <w:pPr>
              <w:rPr>
                <w:sz w:val="4"/>
                <w:szCs w:val="4"/>
              </w:rPr>
            </w:pPr>
          </w:p>
        </w:tc>
        <w:tc>
          <w:tcPr>
            <w:tcW w:w="80" w:type="dxa"/>
            <w:vAlign w:val="bottom"/>
          </w:tcPr>
          <w:p w14:paraId="4BBB8813" w14:textId="77777777" w:rsidR="00D1587D" w:rsidRDefault="00D1587D">
            <w:pPr>
              <w:rPr>
                <w:sz w:val="4"/>
                <w:szCs w:val="4"/>
              </w:rPr>
            </w:pPr>
          </w:p>
        </w:tc>
        <w:tc>
          <w:tcPr>
            <w:tcW w:w="20" w:type="dxa"/>
            <w:vAlign w:val="bottom"/>
          </w:tcPr>
          <w:p w14:paraId="7460212F" w14:textId="77777777" w:rsidR="00D1587D" w:rsidRDefault="00D1587D">
            <w:pPr>
              <w:rPr>
                <w:sz w:val="4"/>
                <w:szCs w:val="4"/>
              </w:rPr>
            </w:pPr>
          </w:p>
        </w:tc>
        <w:tc>
          <w:tcPr>
            <w:tcW w:w="80" w:type="dxa"/>
            <w:vAlign w:val="bottom"/>
          </w:tcPr>
          <w:p w14:paraId="26E5F193" w14:textId="77777777" w:rsidR="00D1587D" w:rsidRDefault="00D1587D">
            <w:pPr>
              <w:rPr>
                <w:sz w:val="4"/>
                <w:szCs w:val="4"/>
              </w:rPr>
            </w:pPr>
          </w:p>
        </w:tc>
        <w:tc>
          <w:tcPr>
            <w:tcW w:w="500" w:type="dxa"/>
            <w:vAlign w:val="bottom"/>
          </w:tcPr>
          <w:p w14:paraId="5E7164A6" w14:textId="77777777" w:rsidR="00D1587D" w:rsidRDefault="00D1587D">
            <w:pPr>
              <w:rPr>
                <w:sz w:val="4"/>
                <w:szCs w:val="4"/>
              </w:rPr>
            </w:pPr>
          </w:p>
        </w:tc>
        <w:tc>
          <w:tcPr>
            <w:tcW w:w="100" w:type="dxa"/>
            <w:vAlign w:val="bottom"/>
          </w:tcPr>
          <w:p w14:paraId="3F2F22C0" w14:textId="77777777" w:rsidR="00D1587D" w:rsidRDefault="00D1587D">
            <w:pPr>
              <w:rPr>
                <w:sz w:val="4"/>
                <w:szCs w:val="4"/>
              </w:rPr>
            </w:pPr>
          </w:p>
        </w:tc>
        <w:tc>
          <w:tcPr>
            <w:tcW w:w="80" w:type="dxa"/>
            <w:vAlign w:val="bottom"/>
          </w:tcPr>
          <w:p w14:paraId="0E54EF8D" w14:textId="77777777" w:rsidR="00D1587D" w:rsidRDefault="00D1587D">
            <w:pPr>
              <w:rPr>
                <w:sz w:val="4"/>
                <w:szCs w:val="4"/>
              </w:rPr>
            </w:pPr>
          </w:p>
        </w:tc>
        <w:tc>
          <w:tcPr>
            <w:tcW w:w="200" w:type="dxa"/>
            <w:vAlign w:val="bottom"/>
          </w:tcPr>
          <w:p w14:paraId="6B76B8DB" w14:textId="77777777" w:rsidR="00D1587D" w:rsidRDefault="00D1587D">
            <w:pPr>
              <w:rPr>
                <w:sz w:val="4"/>
                <w:szCs w:val="4"/>
              </w:rPr>
            </w:pPr>
          </w:p>
        </w:tc>
        <w:tc>
          <w:tcPr>
            <w:tcW w:w="160" w:type="dxa"/>
            <w:vAlign w:val="bottom"/>
          </w:tcPr>
          <w:p w14:paraId="449E9215" w14:textId="77777777" w:rsidR="00D1587D" w:rsidRDefault="00D1587D">
            <w:pPr>
              <w:rPr>
                <w:sz w:val="4"/>
                <w:szCs w:val="4"/>
              </w:rPr>
            </w:pPr>
          </w:p>
        </w:tc>
        <w:tc>
          <w:tcPr>
            <w:tcW w:w="120" w:type="dxa"/>
            <w:vAlign w:val="bottom"/>
          </w:tcPr>
          <w:p w14:paraId="12571875" w14:textId="77777777" w:rsidR="00D1587D" w:rsidRDefault="00D1587D">
            <w:pPr>
              <w:rPr>
                <w:sz w:val="4"/>
                <w:szCs w:val="4"/>
              </w:rPr>
            </w:pPr>
          </w:p>
        </w:tc>
        <w:tc>
          <w:tcPr>
            <w:tcW w:w="220" w:type="dxa"/>
            <w:vAlign w:val="bottom"/>
          </w:tcPr>
          <w:p w14:paraId="3251F867" w14:textId="77777777" w:rsidR="00D1587D" w:rsidRDefault="00D1587D">
            <w:pPr>
              <w:rPr>
                <w:sz w:val="4"/>
                <w:szCs w:val="4"/>
              </w:rPr>
            </w:pPr>
          </w:p>
        </w:tc>
        <w:tc>
          <w:tcPr>
            <w:tcW w:w="200" w:type="dxa"/>
            <w:vAlign w:val="bottom"/>
          </w:tcPr>
          <w:p w14:paraId="0DB34E3B" w14:textId="77777777" w:rsidR="00D1587D" w:rsidRDefault="00D1587D">
            <w:pPr>
              <w:rPr>
                <w:sz w:val="4"/>
                <w:szCs w:val="4"/>
              </w:rPr>
            </w:pPr>
          </w:p>
        </w:tc>
        <w:tc>
          <w:tcPr>
            <w:tcW w:w="320" w:type="dxa"/>
            <w:vAlign w:val="bottom"/>
          </w:tcPr>
          <w:p w14:paraId="32CCD380" w14:textId="77777777" w:rsidR="00D1587D" w:rsidRDefault="00D1587D">
            <w:pPr>
              <w:rPr>
                <w:sz w:val="4"/>
                <w:szCs w:val="4"/>
              </w:rPr>
            </w:pPr>
          </w:p>
        </w:tc>
        <w:tc>
          <w:tcPr>
            <w:tcW w:w="100" w:type="dxa"/>
            <w:vAlign w:val="bottom"/>
          </w:tcPr>
          <w:p w14:paraId="76DA9376" w14:textId="77777777" w:rsidR="00D1587D" w:rsidRDefault="00D1587D">
            <w:pPr>
              <w:rPr>
                <w:sz w:val="4"/>
                <w:szCs w:val="4"/>
              </w:rPr>
            </w:pPr>
          </w:p>
        </w:tc>
        <w:tc>
          <w:tcPr>
            <w:tcW w:w="200" w:type="dxa"/>
            <w:vAlign w:val="bottom"/>
          </w:tcPr>
          <w:p w14:paraId="3A581E63" w14:textId="77777777" w:rsidR="00D1587D" w:rsidRDefault="00D1587D">
            <w:pPr>
              <w:rPr>
                <w:sz w:val="4"/>
                <w:szCs w:val="4"/>
              </w:rPr>
            </w:pPr>
          </w:p>
        </w:tc>
        <w:tc>
          <w:tcPr>
            <w:tcW w:w="540" w:type="dxa"/>
            <w:vAlign w:val="bottom"/>
          </w:tcPr>
          <w:p w14:paraId="61929401" w14:textId="77777777" w:rsidR="00D1587D" w:rsidRDefault="00D1587D">
            <w:pPr>
              <w:rPr>
                <w:sz w:val="4"/>
                <w:szCs w:val="4"/>
              </w:rPr>
            </w:pPr>
          </w:p>
        </w:tc>
        <w:tc>
          <w:tcPr>
            <w:tcW w:w="0" w:type="dxa"/>
            <w:vAlign w:val="bottom"/>
          </w:tcPr>
          <w:p w14:paraId="4F44D49C" w14:textId="77777777" w:rsidR="00D1587D" w:rsidRDefault="00D1587D">
            <w:pPr>
              <w:rPr>
                <w:sz w:val="1"/>
                <w:szCs w:val="1"/>
              </w:rPr>
            </w:pPr>
          </w:p>
        </w:tc>
      </w:tr>
      <w:tr w:rsidR="00D1587D" w14:paraId="26A5DAAA" w14:textId="77777777">
        <w:trPr>
          <w:trHeight w:val="304"/>
        </w:trPr>
        <w:tc>
          <w:tcPr>
            <w:tcW w:w="4860" w:type="dxa"/>
            <w:tcBorders>
              <w:bottom w:val="single" w:sz="8" w:space="0" w:color="CCEEFF"/>
            </w:tcBorders>
            <w:shd w:val="clear" w:color="auto" w:fill="CCEEFF"/>
            <w:vAlign w:val="bottom"/>
          </w:tcPr>
          <w:p w14:paraId="14B593C3" w14:textId="77777777" w:rsidR="00D1587D" w:rsidRDefault="00410D07">
            <w:pPr>
              <w:rPr>
                <w:sz w:val="20"/>
                <w:szCs w:val="20"/>
              </w:rPr>
            </w:pPr>
            <w:r>
              <w:rPr>
                <w:rFonts w:ascii="Arial" w:eastAsia="Arial" w:hAnsi="Arial" w:cs="Arial"/>
                <w:sz w:val="18"/>
                <w:szCs w:val="18"/>
              </w:rPr>
              <w:t>Greater China — Beauty and Accessories</w:t>
            </w:r>
          </w:p>
        </w:tc>
        <w:tc>
          <w:tcPr>
            <w:tcW w:w="640" w:type="dxa"/>
            <w:tcBorders>
              <w:bottom w:val="single" w:sz="8" w:space="0" w:color="CCEEFF"/>
            </w:tcBorders>
            <w:shd w:val="clear" w:color="auto" w:fill="CCEEFF"/>
            <w:vAlign w:val="bottom"/>
          </w:tcPr>
          <w:p w14:paraId="14F24D06" w14:textId="77777777" w:rsidR="00D1587D" w:rsidRDefault="00D1587D">
            <w:pPr>
              <w:rPr>
                <w:sz w:val="24"/>
                <w:szCs w:val="24"/>
              </w:rPr>
            </w:pPr>
          </w:p>
        </w:tc>
        <w:tc>
          <w:tcPr>
            <w:tcW w:w="80" w:type="dxa"/>
            <w:tcBorders>
              <w:bottom w:val="single" w:sz="8" w:space="0" w:color="CCEEFF"/>
            </w:tcBorders>
            <w:shd w:val="clear" w:color="auto" w:fill="CCEEFF"/>
            <w:vAlign w:val="bottom"/>
          </w:tcPr>
          <w:p w14:paraId="2E81A6F6" w14:textId="77777777" w:rsidR="00D1587D" w:rsidRDefault="00D1587D">
            <w:pPr>
              <w:rPr>
                <w:sz w:val="24"/>
                <w:szCs w:val="24"/>
              </w:rPr>
            </w:pPr>
          </w:p>
        </w:tc>
        <w:tc>
          <w:tcPr>
            <w:tcW w:w="20" w:type="dxa"/>
            <w:tcBorders>
              <w:bottom w:val="single" w:sz="8" w:space="0" w:color="CCEEFF"/>
            </w:tcBorders>
            <w:shd w:val="clear" w:color="auto" w:fill="CCEEFF"/>
            <w:vAlign w:val="bottom"/>
          </w:tcPr>
          <w:p w14:paraId="3EEF05A8"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72B8D326" w14:textId="77777777" w:rsidR="00D1587D" w:rsidRDefault="00410D07">
            <w:pPr>
              <w:ind w:left="320"/>
              <w:rPr>
                <w:sz w:val="20"/>
                <w:szCs w:val="20"/>
              </w:rPr>
            </w:pPr>
            <w:r>
              <w:rPr>
                <w:rFonts w:ascii="Arial" w:eastAsia="Arial" w:hAnsi="Arial" w:cs="Arial"/>
                <w:sz w:val="18"/>
                <w:szCs w:val="18"/>
              </w:rPr>
              <w:t>36</w:t>
            </w:r>
          </w:p>
        </w:tc>
        <w:tc>
          <w:tcPr>
            <w:tcW w:w="100" w:type="dxa"/>
            <w:tcBorders>
              <w:bottom w:val="single" w:sz="8" w:space="0" w:color="CCEEFF"/>
            </w:tcBorders>
            <w:shd w:val="clear" w:color="auto" w:fill="CCEEFF"/>
            <w:vAlign w:val="bottom"/>
          </w:tcPr>
          <w:p w14:paraId="37893FD5" w14:textId="77777777" w:rsidR="00D1587D" w:rsidRDefault="00D1587D">
            <w:pPr>
              <w:rPr>
                <w:sz w:val="24"/>
                <w:szCs w:val="24"/>
              </w:rPr>
            </w:pPr>
          </w:p>
        </w:tc>
        <w:tc>
          <w:tcPr>
            <w:tcW w:w="780" w:type="dxa"/>
            <w:gridSpan w:val="5"/>
            <w:tcBorders>
              <w:bottom w:val="single" w:sz="8" w:space="0" w:color="CCEEFF"/>
            </w:tcBorders>
            <w:shd w:val="clear" w:color="auto" w:fill="CCEEFF"/>
            <w:vAlign w:val="bottom"/>
          </w:tcPr>
          <w:p w14:paraId="27629EEE" w14:textId="77777777" w:rsidR="00D1587D" w:rsidRDefault="00410D07">
            <w:pPr>
              <w:ind w:right="108"/>
              <w:jc w:val="right"/>
              <w:rPr>
                <w:sz w:val="20"/>
                <w:szCs w:val="20"/>
              </w:rPr>
            </w:pPr>
            <w:r>
              <w:rPr>
                <w:rFonts w:ascii="Arial" w:eastAsia="Arial" w:hAnsi="Arial" w:cs="Arial"/>
                <w:sz w:val="18"/>
                <w:szCs w:val="18"/>
              </w:rPr>
              <w:t>1</w:t>
            </w:r>
          </w:p>
        </w:tc>
        <w:tc>
          <w:tcPr>
            <w:tcW w:w="620" w:type="dxa"/>
            <w:gridSpan w:val="3"/>
            <w:tcBorders>
              <w:bottom w:val="single" w:sz="8" w:space="0" w:color="CCEEFF"/>
            </w:tcBorders>
            <w:shd w:val="clear" w:color="auto" w:fill="CCEEFF"/>
            <w:vAlign w:val="bottom"/>
          </w:tcPr>
          <w:p w14:paraId="0D77CE0E" w14:textId="77777777" w:rsidR="00D1587D" w:rsidRDefault="00410D07">
            <w:pPr>
              <w:ind w:left="360"/>
              <w:rPr>
                <w:sz w:val="20"/>
                <w:szCs w:val="20"/>
              </w:rPr>
            </w:pPr>
            <w:r>
              <w:rPr>
                <w:rFonts w:ascii="Arial" w:eastAsia="Arial" w:hAnsi="Arial" w:cs="Arial"/>
                <w:sz w:val="18"/>
                <w:szCs w:val="18"/>
              </w:rPr>
              <w:t>(1)</w:t>
            </w:r>
          </w:p>
        </w:tc>
        <w:tc>
          <w:tcPr>
            <w:tcW w:w="740" w:type="dxa"/>
            <w:gridSpan w:val="2"/>
            <w:tcBorders>
              <w:bottom w:val="single" w:sz="8" w:space="0" w:color="CCEEFF"/>
            </w:tcBorders>
            <w:shd w:val="clear" w:color="auto" w:fill="CCEEFF"/>
            <w:vAlign w:val="bottom"/>
          </w:tcPr>
          <w:p w14:paraId="4828AE66" w14:textId="77777777" w:rsidR="00D1587D" w:rsidRDefault="00410D07">
            <w:pPr>
              <w:ind w:right="64"/>
              <w:jc w:val="right"/>
              <w:rPr>
                <w:sz w:val="20"/>
                <w:szCs w:val="20"/>
              </w:rPr>
            </w:pPr>
            <w:r>
              <w:rPr>
                <w:rFonts w:ascii="Arial" w:eastAsia="Arial" w:hAnsi="Arial" w:cs="Arial"/>
                <w:sz w:val="18"/>
                <w:szCs w:val="18"/>
              </w:rPr>
              <w:t>36</w:t>
            </w:r>
          </w:p>
        </w:tc>
        <w:tc>
          <w:tcPr>
            <w:tcW w:w="0" w:type="dxa"/>
            <w:vAlign w:val="bottom"/>
          </w:tcPr>
          <w:p w14:paraId="5BB76B8D" w14:textId="77777777" w:rsidR="00D1587D" w:rsidRDefault="00D1587D">
            <w:pPr>
              <w:rPr>
                <w:sz w:val="1"/>
                <w:szCs w:val="1"/>
              </w:rPr>
            </w:pPr>
          </w:p>
        </w:tc>
      </w:tr>
      <w:tr w:rsidR="00D1587D" w14:paraId="7CA95B6C" w14:textId="77777777">
        <w:trPr>
          <w:trHeight w:val="270"/>
        </w:trPr>
        <w:tc>
          <w:tcPr>
            <w:tcW w:w="4860" w:type="dxa"/>
            <w:vAlign w:val="bottom"/>
          </w:tcPr>
          <w:p w14:paraId="43C26873" w14:textId="77777777" w:rsidR="00D1587D" w:rsidRDefault="00410D07">
            <w:pPr>
              <w:rPr>
                <w:sz w:val="20"/>
                <w:szCs w:val="20"/>
              </w:rPr>
            </w:pPr>
            <w:r>
              <w:rPr>
                <w:rFonts w:ascii="Arial" w:eastAsia="Arial" w:hAnsi="Arial" w:cs="Arial"/>
                <w:sz w:val="18"/>
                <w:szCs w:val="18"/>
              </w:rPr>
              <w:t>Greater China — Full Assortment</w:t>
            </w:r>
          </w:p>
        </w:tc>
        <w:tc>
          <w:tcPr>
            <w:tcW w:w="640" w:type="dxa"/>
            <w:vAlign w:val="bottom"/>
          </w:tcPr>
          <w:p w14:paraId="142DE291" w14:textId="77777777" w:rsidR="00D1587D" w:rsidRDefault="00D1587D">
            <w:pPr>
              <w:rPr>
                <w:sz w:val="23"/>
                <w:szCs w:val="23"/>
              </w:rPr>
            </w:pPr>
          </w:p>
        </w:tc>
        <w:tc>
          <w:tcPr>
            <w:tcW w:w="80" w:type="dxa"/>
            <w:vAlign w:val="bottom"/>
          </w:tcPr>
          <w:p w14:paraId="3F597F89" w14:textId="77777777" w:rsidR="00D1587D" w:rsidRDefault="00D1587D">
            <w:pPr>
              <w:rPr>
                <w:sz w:val="23"/>
                <w:szCs w:val="23"/>
              </w:rPr>
            </w:pPr>
          </w:p>
        </w:tc>
        <w:tc>
          <w:tcPr>
            <w:tcW w:w="20" w:type="dxa"/>
            <w:vAlign w:val="bottom"/>
          </w:tcPr>
          <w:p w14:paraId="677E80B6" w14:textId="77777777" w:rsidR="00D1587D" w:rsidRDefault="00D1587D">
            <w:pPr>
              <w:rPr>
                <w:sz w:val="23"/>
                <w:szCs w:val="23"/>
              </w:rPr>
            </w:pPr>
          </w:p>
        </w:tc>
        <w:tc>
          <w:tcPr>
            <w:tcW w:w="580" w:type="dxa"/>
            <w:gridSpan w:val="2"/>
            <w:vAlign w:val="bottom"/>
          </w:tcPr>
          <w:p w14:paraId="7B1CAD11" w14:textId="77777777" w:rsidR="00D1587D" w:rsidRDefault="00410D07">
            <w:pPr>
              <w:ind w:left="320"/>
              <w:rPr>
                <w:sz w:val="20"/>
                <w:szCs w:val="20"/>
              </w:rPr>
            </w:pPr>
            <w:r>
              <w:rPr>
                <w:rFonts w:ascii="Arial" w:eastAsia="Arial" w:hAnsi="Arial" w:cs="Arial"/>
                <w:sz w:val="18"/>
                <w:szCs w:val="18"/>
              </w:rPr>
              <w:t>26</w:t>
            </w:r>
          </w:p>
        </w:tc>
        <w:tc>
          <w:tcPr>
            <w:tcW w:w="100" w:type="dxa"/>
            <w:vAlign w:val="bottom"/>
          </w:tcPr>
          <w:p w14:paraId="1628550C" w14:textId="77777777" w:rsidR="00D1587D" w:rsidRDefault="00D1587D">
            <w:pPr>
              <w:rPr>
                <w:sz w:val="23"/>
                <w:szCs w:val="23"/>
              </w:rPr>
            </w:pPr>
          </w:p>
        </w:tc>
        <w:tc>
          <w:tcPr>
            <w:tcW w:w="80" w:type="dxa"/>
            <w:vAlign w:val="bottom"/>
          </w:tcPr>
          <w:p w14:paraId="2453682E" w14:textId="77777777" w:rsidR="00D1587D" w:rsidRDefault="00D1587D">
            <w:pPr>
              <w:rPr>
                <w:sz w:val="23"/>
                <w:szCs w:val="23"/>
              </w:rPr>
            </w:pPr>
          </w:p>
        </w:tc>
        <w:tc>
          <w:tcPr>
            <w:tcW w:w="200" w:type="dxa"/>
            <w:vAlign w:val="bottom"/>
          </w:tcPr>
          <w:p w14:paraId="2ED076BE" w14:textId="77777777" w:rsidR="00D1587D" w:rsidRDefault="00D1587D">
            <w:pPr>
              <w:rPr>
                <w:sz w:val="23"/>
                <w:szCs w:val="23"/>
              </w:rPr>
            </w:pPr>
          </w:p>
        </w:tc>
        <w:tc>
          <w:tcPr>
            <w:tcW w:w="500" w:type="dxa"/>
            <w:gridSpan w:val="3"/>
            <w:vAlign w:val="bottom"/>
          </w:tcPr>
          <w:p w14:paraId="0E681C30" w14:textId="77777777" w:rsidR="00D1587D" w:rsidRDefault="00410D07">
            <w:pPr>
              <w:ind w:right="88"/>
              <w:jc w:val="right"/>
              <w:rPr>
                <w:sz w:val="20"/>
                <w:szCs w:val="20"/>
              </w:rPr>
            </w:pPr>
            <w:r>
              <w:rPr>
                <w:rFonts w:ascii="Arial" w:eastAsia="Arial" w:hAnsi="Arial" w:cs="Arial"/>
                <w:sz w:val="18"/>
                <w:szCs w:val="18"/>
              </w:rPr>
              <w:t>—</w:t>
            </w:r>
          </w:p>
        </w:tc>
        <w:tc>
          <w:tcPr>
            <w:tcW w:w="200" w:type="dxa"/>
            <w:vAlign w:val="bottom"/>
          </w:tcPr>
          <w:p w14:paraId="4B0E03A7" w14:textId="77777777" w:rsidR="00D1587D" w:rsidRDefault="00D1587D">
            <w:pPr>
              <w:rPr>
                <w:sz w:val="23"/>
                <w:szCs w:val="23"/>
              </w:rPr>
            </w:pPr>
          </w:p>
        </w:tc>
        <w:tc>
          <w:tcPr>
            <w:tcW w:w="420" w:type="dxa"/>
            <w:gridSpan w:val="2"/>
            <w:vAlign w:val="bottom"/>
          </w:tcPr>
          <w:p w14:paraId="73AEE991" w14:textId="77777777" w:rsidR="00D1587D" w:rsidRDefault="00410D07">
            <w:pPr>
              <w:jc w:val="center"/>
              <w:rPr>
                <w:sz w:val="20"/>
                <w:szCs w:val="20"/>
              </w:rPr>
            </w:pPr>
            <w:r>
              <w:rPr>
                <w:rFonts w:ascii="Arial" w:eastAsia="Arial" w:hAnsi="Arial" w:cs="Arial"/>
                <w:w w:val="99"/>
                <w:sz w:val="18"/>
                <w:szCs w:val="18"/>
              </w:rPr>
              <w:t>—</w:t>
            </w:r>
          </w:p>
        </w:tc>
        <w:tc>
          <w:tcPr>
            <w:tcW w:w="740" w:type="dxa"/>
            <w:gridSpan w:val="2"/>
            <w:vAlign w:val="bottom"/>
          </w:tcPr>
          <w:p w14:paraId="18435FF5" w14:textId="77777777" w:rsidR="00D1587D" w:rsidRDefault="00410D07">
            <w:pPr>
              <w:ind w:right="64"/>
              <w:jc w:val="right"/>
              <w:rPr>
                <w:sz w:val="20"/>
                <w:szCs w:val="20"/>
              </w:rPr>
            </w:pPr>
            <w:r>
              <w:rPr>
                <w:rFonts w:ascii="Arial" w:eastAsia="Arial" w:hAnsi="Arial" w:cs="Arial"/>
                <w:sz w:val="18"/>
                <w:szCs w:val="18"/>
              </w:rPr>
              <w:t>26</w:t>
            </w:r>
          </w:p>
        </w:tc>
        <w:tc>
          <w:tcPr>
            <w:tcW w:w="0" w:type="dxa"/>
            <w:vAlign w:val="bottom"/>
          </w:tcPr>
          <w:p w14:paraId="6BC4EC47" w14:textId="77777777" w:rsidR="00D1587D" w:rsidRDefault="00D1587D">
            <w:pPr>
              <w:rPr>
                <w:sz w:val="1"/>
                <w:szCs w:val="1"/>
              </w:rPr>
            </w:pPr>
          </w:p>
        </w:tc>
      </w:tr>
      <w:tr w:rsidR="00D1587D" w14:paraId="6F9B6E36" w14:textId="77777777">
        <w:trPr>
          <w:trHeight w:val="67"/>
        </w:trPr>
        <w:tc>
          <w:tcPr>
            <w:tcW w:w="4860" w:type="dxa"/>
            <w:tcBorders>
              <w:bottom w:val="single" w:sz="8" w:space="0" w:color="CCEEFF"/>
            </w:tcBorders>
            <w:vAlign w:val="bottom"/>
          </w:tcPr>
          <w:p w14:paraId="0825335A" w14:textId="77777777" w:rsidR="00D1587D" w:rsidRDefault="00D1587D">
            <w:pPr>
              <w:rPr>
                <w:sz w:val="5"/>
                <w:szCs w:val="5"/>
              </w:rPr>
            </w:pPr>
          </w:p>
        </w:tc>
        <w:tc>
          <w:tcPr>
            <w:tcW w:w="640" w:type="dxa"/>
            <w:tcBorders>
              <w:bottom w:val="single" w:sz="8" w:space="0" w:color="CCEEFF"/>
            </w:tcBorders>
            <w:vAlign w:val="bottom"/>
          </w:tcPr>
          <w:p w14:paraId="162FB394" w14:textId="77777777" w:rsidR="00D1587D" w:rsidRDefault="00D1587D">
            <w:pPr>
              <w:rPr>
                <w:sz w:val="5"/>
                <w:szCs w:val="5"/>
              </w:rPr>
            </w:pPr>
          </w:p>
        </w:tc>
        <w:tc>
          <w:tcPr>
            <w:tcW w:w="80" w:type="dxa"/>
            <w:tcBorders>
              <w:bottom w:val="single" w:sz="8" w:space="0" w:color="CCEEFF"/>
            </w:tcBorders>
            <w:vAlign w:val="bottom"/>
          </w:tcPr>
          <w:p w14:paraId="3F08EADD" w14:textId="77777777" w:rsidR="00D1587D" w:rsidRDefault="00D1587D">
            <w:pPr>
              <w:rPr>
                <w:sz w:val="5"/>
                <w:szCs w:val="5"/>
              </w:rPr>
            </w:pPr>
          </w:p>
        </w:tc>
        <w:tc>
          <w:tcPr>
            <w:tcW w:w="20" w:type="dxa"/>
            <w:tcBorders>
              <w:bottom w:val="single" w:sz="8" w:space="0" w:color="CCEEFF"/>
            </w:tcBorders>
            <w:vAlign w:val="bottom"/>
          </w:tcPr>
          <w:p w14:paraId="5426FFAB" w14:textId="77777777" w:rsidR="00D1587D" w:rsidRDefault="00D1587D">
            <w:pPr>
              <w:rPr>
                <w:sz w:val="5"/>
                <w:szCs w:val="5"/>
              </w:rPr>
            </w:pPr>
          </w:p>
        </w:tc>
        <w:tc>
          <w:tcPr>
            <w:tcW w:w="80" w:type="dxa"/>
            <w:tcBorders>
              <w:bottom w:val="single" w:sz="8" w:space="0" w:color="auto"/>
            </w:tcBorders>
            <w:vAlign w:val="bottom"/>
          </w:tcPr>
          <w:p w14:paraId="772B25B9" w14:textId="77777777" w:rsidR="00D1587D" w:rsidRDefault="00D1587D">
            <w:pPr>
              <w:rPr>
                <w:sz w:val="5"/>
                <w:szCs w:val="5"/>
              </w:rPr>
            </w:pPr>
          </w:p>
        </w:tc>
        <w:tc>
          <w:tcPr>
            <w:tcW w:w="500" w:type="dxa"/>
            <w:tcBorders>
              <w:bottom w:val="single" w:sz="8" w:space="0" w:color="auto"/>
            </w:tcBorders>
            <w:vAlign w:val="bottom"/>
          </w:tcPr>
          <w:p w14:paraId="4D532BE8" w14:textId="77777777" w:rsidR="00D1587D" w:rsidRDefault="00D1587D">
            <w:pPr>
              <w:rPr>
                <w:sz w:val="5"/>
                <w:szCs w:val="5"/>
              </w:rPr>
            </w:pPr>
          </w:p>
        </w:tc>
        <w:tc>
          <w:tcPr>
            <w:tcW w:w="100" w:type="dxa"/>
            <w:tcBorders>
              <w:bottom w:val="single" w:sz="8" w:space="0" w:color="auto"/>
            </w:tcBorders>
            <w:vAlign w:val="bottom"/>
          </w:tcPr>
          <w:p w14:paraId="0AC84D4F" w14:textId="77777777" w:rsidR="00D1587D" w:rsidRDefault="00D1587D">
            <w:pPr>
              <w:rPr>
                <w:sz w:val="5"/>
                <w:szCs w:val="5"/>
              </w:rPr>
            </w:pPr>
          </w:p>
        </w:tc>
        <w:tc>
          <w:tcPr>
            <w:tcW w:w="80" w:type="dxa"/>
            <w:tcBorders>
              <w:bottom w:val="single" w:sz="8" w:space="0" w:color="auto"/>
            </w:tcBorders>
            <w:vAlign w:val="bottom"/>
          </w:tcPr>
          <w:p w14:paraId="414A8400" w14:textId="77777777" w:rsidR="00D1587D" w:rsidRDefault="00D1587D">
            <w:pPr>
              <w:rPr>
                <w:sz w:val="5"/>
                <w:szCs w:val="5"/>
              </w:rPr>
            </w:pPr>
          </w:p>
        </w:tc>
        <w:tc>
          <w:tcPr>
            <w:tcW w:w="200" w:type="dxa"/>
            <w:tcBorders>
              <w:bottom w:val="single" w:sz="8" w:space="0" w:color="CCEEFF"/>
            </w:tcBorders>
            <w:vAlign w:val="bottom"/>
          </w:tcPr>
          <w:p w14:paraId="62B6C598" w14:textId="77777777" w:rsidR="00D1587D" w:rsidRDefault="00D1587D">
            <w:pPr>
              <w:rPr>
                <w:sz w:val="5"/>
                <w:szCs w:val="5"/>
              </w:rPr>
            </w:pPr>
          </w:p>
        </w:tc>
        <w:tc>
          <w:tcPr>
            <w:tcW w:w="160" w:type="dxa"/>
            <w:tcBorders>
              <w:bottom w:val="single" w:sz="8" w:space="0" w:color="auto"/>
            </w:tcBorders>
            <w:vAlign w:val="bottom"/>
          </w:tcPr>
          <w:p w14:paraId="18C75102" w14:textId="77777777" w:rsidR="00D1587D" w:rsidRDefault="00D1587D">
            <w:pPr>
              <w:rPr>
                <w:sz w:val="5"/>
                <w:szCs w:val="5"/>
              </w:rPr>
            </w:pPr>
          </w:p>
        </w:tc>
        <w:tc>
          <w:tcPr>
            <w:tcW w:w="120" w:type="dxa"/>
            <w:tcBorders>
              <w:bottom w:val="single" w:sz="8" w:space="0" w:color="auto"/>
            </w:tcBorders>
            <w:vAlign w:val="bottom"/>
          </w:tcPr>
          <w:p w14:paraId="317B65B6" w14:textId="77777777" w:rsidR="00D1587D" w:rsidRDefault="00D1587D">
            <w:pPr>
              <w:rPr>
                <w:sz w:val="5"/>
                <w:szCs w:val="5"/>
              </w:rPr>
            </w:pPr>
          </w:p>
        </w:tc>
        <w:tc>
          <w:tcPr>
            <w:tcW w:w="220" w:type="dxa"/>
            <w:tcBorders>
              <w:bottom w:val="single" w:sz="8" w:space="0" w:color="auto"/>
            </w:tcBorders>
            <w:vAlign w:val="bottom"/>
          </w:tcPr>
          <w:p w14:paraId="65F9C27E" w14:textId="77777777" w:rsidR="00D1587D" w:rsidRDefault="00D1587D">
            <w:pPr>
              <w:rPr>
                <w:sz w:val="5"/>
                <w:szCs w:val="5"/>
              </w:rPr>
            </w:pPr>
          </w:p>
        </w:tc>
        <w:tc>
          <w:tcPr>
            <w:tcW w:w="200" w:type="dxa"/>
            <w:tcBorders>
              <w:bottom w:val="single" w:sz="8" w:space="0" w:color="CCEEFF"/>
            </w:tcBorders>
            <w:vAlign w:val="bottom"/>
          </w:tcPr>
          <w:p w14:paraId="39A751A3" w14:textId="77777777" w:rsidR="00D1587D" w:rsidRDefault="00D1587D">
            <w:pPr>
              <w:rPr>
                <w:sz w:val="5"/>
                <w:szCs w:val="5"/>
              </w:rPr>
            </w:pPr>
          </w:p>
        </w:tc>
        <w:tc>
          <w:tcPr>
            <w:tcW w:w="320" w:type="dxa"/>
            <w:tcBorders>
              <w:bottom w:val="single" w:sz="8" w:space="0" w:color="auto"/>
            </w:tcBorders>
            <w:vAlign w:val="bottom"/>
          </w:tcPr>
          <w:p w14:paraId="62F3A956" w14:textId="77777777" w:rsidR="00D1587D" w:rsidRDefault="00D1587D">
            <w:pPr>
              <w:rPr>
                <w:sz w:val="5"/>
                <w:szCs w:val="5"/>
              </w:rPr>
            </w:pPr>
          </w:p>
        </w:tc>
        <w:tc>
          <w:tcPr>
            <w:tcW w:w="100" w:type="dxa"/>
            <w:tcBorders>
              <w:bottom w:val="single" w:sz="8" w:space="0" w:color="auto"/>
            </w:tcBorders>
            <w:vAlign w:val="bottom"/>
          </w:tcPr>
          <w:p w14:paraId="38B44141" w14:textId="77777777" w:rsidR="00D1587D" w:rsidRDefault="00D1587D">
            <w:pPr>
              <w:rPr>
                <w:sz w:val="5"/>
                <w:szCs w:val="5"/>
              </w:rPr>
            </w:pPr>
          </w:p>
        </w:tc>
        <w:tc>
          <w:tcPr>
            <w:tcW w:w="200" w:type="dxa"/>
            <w:tcBorders>
              <w:bottom w:val="single" w:sz="8" w:space="0" w:color="CCEEFF"/>
            </w:tcBorders>
            <w:vAlign w:val="bottom"/>
          </w:tcPr>
          <w:p w14:paraId="76381B80" w14:textId="77777777" w:rsidR="00D1587D" w:rsidRDefault="00D1587D">
            <w:pPr>
              <w:rPr>
                <w:sz w:val="5"/>
                <w:szCs w:val="5"/>
              </w:rPr>
            </w:pPr>
          </w:p>
        </w:tc>
        <w:tc>
          <w:tcPr>
            <w:tcW w:w="540" w:type="dxa"/>
            <w:tcBorders>
              <w:bottom w:val="single" w:sz="8" w:space="0" w:color="auto"/>
            </w:tcBorders>
            <w:vAlign w:val="bottom"/>
          </w:tcPr>
          <w:p w14:paraId="6183E2E0" w14:textId="77777777" w:rsidR="00D1587D" w:rsidRDefault="00D1587D">
            <w:pPr>
              <w:rPr>
                <w:sz w:val="5"/>
                <w:szCs w:val="5"/>
              </w:rPr>
            </w:pPr>
          </w:p>
        </w:tc>
        <w:tc>
          <w:tcPr>
            <w:tcW w:w="0" w:type="dxa"/>
            <w:vAlign w:val="bottom"/>
          </w:tcPr>
          <w:p w14:paraId="1BA3A270" w14:textId="77777777" w:rsidR="00D1587D" w:rsidRDefault="00D1587D">
            <w:pPr>
              <w:rPr>
                <w:sz w:val="1"/>
                <w:szCs w:val="1"/>
              </w:rPr>
            </w:pPr>
          </w:p>
        </w:tc>
      </w:tr>
      <w:tr w:rsidR="00D1587D" w14:paraId="28E888E5" w14:textId="77777777">
        <w:trPr>
          <w:trHeight w:val="376"/>
        </w:trPr>
        <w:tc>
          <w:tcPr>
            <w:tcW w:w="4860" w:type="dxa"/>
            <w:tcBorders>
              <w:bottom w:val="single" w:sz="8" w:space="0" w:color="CCEEFF"/>
            </w:tcBorders>
            <w:shd w:val="clear" w:color="auto" w:fill="CCEEFF"/>
            <w:vAlign w:val="bottom"/>
          </w:tcPr>
          <w:p w14:paraId="38E0116B" w14:textId="77777777" w:rsidR="00D1587D" w:rsidRDefault="00410D07">
            <w:pPr>
              <w:ind w:left="180"/>
              <w:rPr>
                <w:sz w:val="20"/>
                <w:szCs w:val="20"/>
              </w:rPr>
            </w:pPr>
            <w:r>
              <w:rPr>
                <w:rFonts w:ascii="Arial" w:eastAsia="Arial" w:hAnsi="Arial" w:cs="Arial"/>
                <w:b/>
                <w:bCs/>
                <w:sz w:val="18"/>
                <w:szCs w:val="18"/>
              </w:rPr>
              <w:t>Total</w:t>
            </w:r>
          </w:p>
        </w:tc>
        <w:tc>
          <w:tcPr>
            <w:tcW w:w="640" w:type="dxa"/>
            <w:tcBorders>
              <w:bottom w:val="single" w:sz="8" w:space="0" w:color="CCEEFF"/>
            </w:tcBorders>
            <w:shd w:val="clear" w:color="auto" w:fill="CCEEFF"/>
            <w:vAlign w:val="bottom"/>
          </w:tcPr>
          <w:p w14:paraId="0708FCD5" w14:textId="77777777" w:rsidR="00D1587D" w:rsidRDefault="00D1587D">
            <w:pPr>
              <w:rPr>
                <w:sz w:val="24"/>
                <w:szCs w:val="24"/>
              </w:rPr>
            </w:pPr>
          </w:p>
        </w:tc>
        <w:tc>
          <w:tcPr>
            <w:tcW w:w="80" w:type="dxa"/>
            <w:tcBorders>
              <w:bottom w:val="single" w:sz="8" w:space="0" w:color="CCEEFF"/>
            </w:tcBorders>
            <w:shd w:val="clear" w:color="auto" w:fill="CCEEFF"/>
            <w:vAlign w:val="bottom"/>
          </w:tcPr>
          <w:p w14:paraId="7ED82B60" w14:textId="77777777" w:rsidR="00D1587D" w:rsidRDefault="00D1587D">
            <w:pPr>
              <w:rPr>
                <w:sz w:val="24"/>
                <w:szCs w:val="24"/>
              </w:rPr>
            </w:pPr>
          </w:p>
        </w:tc>
        <w:tc>
          <w:tcPr>
            <w:tcW w:w="20" w:type="dxa"/>
            <w:tcBorders>
              <w:bottom w:val="single" w:sz="8" w:space="0" w:color="CCEEFF"/>
            </w:tcBorders>
            <w:shd w:val="clear" w:color="auto" w:fill="CCEEFF"/>
            <w:vAlign w:val="bottom"/>
          </w:tcPr>
          <w:p w14:paraId="46050453"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4983C722" w14:textId="77777777" w:rsidR="00D1587D" w:rsidRDefault="00410D07">
            <w:pPr>
              <w:ind w:left="240"/>
              <w:rPr>
                <w:sz w:val="20"/>
                <w:szCs w:val="20"/>
              </w:rPr>
            </w:pPr>
            <w:r>
              <w:rPr>
                <w:rFonts w:ascii="Arial" w:eastAsia="Arial" w:hAnsi="Arial" w:cs="Arial"/>
                <w:b/>
                <w:bCs/>
                <w:sz w:val="18"/>
                <w:szCs w:val="18"/>
              </w:rPr>
              <w:t>933</w:t>
            </w:r>
          </w:p>
        </w:tc>
        <w:tc>
          <w:tcPr>
            <w:tcW w:w="100" w:type="dxa"/>
            <w:tcBorders>
              <w:bottom w:val="single" w:sz="8" w:space="0" w:color="CCEEFF"/>
            </w:tcBorders>
            <w:shd w:val="clear" w:color="auto" w:fill="CCEEFF"/>
            <w:vAlign w:val="bottom"/>
          </w:tcPr>
          <w:p w14:paraId="5F7B3B2A" w14:textId="77777777" w:rsidR="00D1587D" w:rsidRDefault="00D1587D">
            <w:pPr>
              <w:rPr>
                <w:sz w:val="24"/>
                <w:szCs w:val="24"/>
              </w:rPr>
            </w:pPr>
          </w:p>
        </w:tc>
        <w:tc>
          <w:tcPr>
            <w:tcW w:w="780" w:type="dxa"/>
            <w:gridSpan w:val="5"/>
            <w:tcBorders>
              <w:bottom w:val="single" w:sz="8" w:space="0" w:color="CCEEFF"/>
            </w:tcBorders>
            <w:shd w:val="clear" w:color="auto" w:fill="CCEEFF"/>
            <w:vAlign w:val="bottom"/>
          </w:tcPr>
          <w:p w14:paraId="1599B5F8" w14:textId="77777777" w:rsidR="00D1587D" w:rsidRDefault="00410D07">
            <w:pPr>
              <w:ind w:right="108"/>
              <w:jc w:val="right"/>
              <w:rPr>
                <w:sz w:val="20"/>
                <w:szCs w:val="20"/>
              </w:rPr>
            </w:pPr>
            <w:r>
              <w:rPr>
                <w:rFonts w:ascii="Arial" w:eastAsia="Arial" w:hAnsi="Arial" w:cs="Arial"/>
                <w:b/>
                <w:bCs/>
                <w:sz w:val="18"/>
                <w:szCs w:val="18"/>
              </w:rPr>
              <w:t>2</w:t>
            </w:r>
          </w:p>
        </w:tc>
        <w:tc>
          <w:tcPr>
            <w:tcW w:w="620" w:type="dxa"/>
            <w:gridSpan w:val="3"/>
            <w:tcBorders>
              <w:bottom w:val="single" w:sz="8" w:space="0" w:color="CCEEFF"/>
            </w:tcBorders>
            <w:shd w:val="clear" w:color="auto" w:fill="CCEEFF"/>
            <w:vAlign w:val="bottom"/>
          </w:tcPr>
          <w:p w14:paraId="44E69A4C" w14:textId="77777777" w:rsidR="00D1587D" w:rsidRDefault="00410D07">
            <w:pPr>
              <w:ind w:left="360"/>
              <w:rPr>
                <w:sz w:val="20"/>
                <w:szCs w:val="20"/>
              </w:rPr>
            </w:pPr>
            <w:r>
              <w:rPr>
                <w:rFonts w:ascii="Arial" w:eastAsia="Arial" w:hAnsi="Arial" w:cs="Arial"/>
                <w:b/>
                <w:bCs/>
                <w:sz w:val="18"/>
                <w:szCs w:val="18"/>
              </w:rPr>
              <w:t>(6)</w:t>
            </w:r>
          </w:p>
        </w:tc>
        <w:tc>
          <w:tcPr>
            <w:tcW w:w="740" w:type="dxa"/>
            <w:gridSpan w:val="2"/>
            <w:tcBorders>
              <w:bottom w:val="single" w:sz="8" w:space="0" w:color="CCEEFF"/>
            </w:tcBorders>
            <w:shd w:val="clear" w:color="auto" w:fill="CCEEFF"/>
            <w:vAlign w:val="bottom"/>
          </w:tcPr>
          <w:p w14:paraId="5DBA4015" w14:textId="77777777" w:rsidR="00D1587D" w:rsidRDefault="00410D07">
            <w:pPr>
              <w:ind w:left="114"/>
              <w:jc w:val="center"/>
              <w:rPr>
                <w:sz w:val="20"/>
                <w:szCs w:val="20"/>
              </w:rPr>
            </w:pPr>
            <w:r>
              <w:rPr>
                <w:rFonts w:ascii="Arial" w:eastAsia="Arial" w:hAnsi="Arial" w:cs="Arial"/>
                <w:b/>
                <w:bCs/>
                <w:w w:val="86"/>
                <w:sz w:val="18"/>
                <w:szCs w:val="18"/>
              </w:rPr>
              <w:t>929</w:t>
            </w:r>
          </w:p>
        </w:tc>
        <w:tc>
          <w:tcPr>
            <w:tcW w:w="0" w:type="dxa"/>
            <w:vAlign w:val="bottom"/>
          </w:tcPr>
          <w:p w14:paraId="4D3943BD" w14:textId="77777777" w:rsidR="00D1587D" w:rsidRDefault="00D1587D">
            <w:pPr>
              <w:rPr>
                <w:sz w:val="1"/>
                <w:szCs w:val="1"/>
              </w:rPr>
            </w:pPr>
          </w:p>
        </w:tc>
      </w:tr>
      <w:tr w:rsidR="00D1587D" w14:paraId="62B069F3" w14:textId="77777777">
        <w:trPr>
          <w:trHeight w:val="20"/>
        </w:trPr>
        <w:tc>
          <w:tcPr>
            <w:tcW w:w="5500" w:type="dxa"/>
            <w:gridSpan w:val="2"/>
            <w:tcBorders>
              <w:top w:val="single" w:sz="8" w:space="0" w:color="CCEEFF"/>
            </w:tcBorders>
            <w:vAlign w:val="bottom"/>
          </w:tcPr>
          <w:p w14:paraId="7BD88DDB" w14:textId="77777777" w:rsidR="00D1587D" w:rsidRDefault="00D1587D">
            <w:pPr>
              <w:spacing w:line="20" w:lineRule="exact"/>
              <w:rPr>
                <w:sz w:val="1"/>
                <w:szCs w:val="1"/>
              </w:rPr>
            </w:pPr>
          </w:p>
        </w:tc>
        <w:tc>
          <w:tcPr>
            <w:tcW w:w="80" w:type="dxa"/>
            <w:tcBorders>
              <w:top w:val="single" w:sz="8" w:space="0" w:color="CCEEFF"/>
            </w:tcBorders>
            <w:vAlign w:val="bottom"/>
          </w:tcPr>
          <w:p w14:paraId="3DC71481" w14:textId="77777777" w:rsidR="00D1587D" w:rsidRDefault="00D1587D">
            <w:pPr>
              <w:spacing w:line="20" w:lineRule="exact"/>
              <w:rPr>
                <w:sz w:val="1"/>
                <w:szCs w:val="1"/>
              </w:rPr>
            </w:pPr>
          </w:p>
        </w:tc>
        <w:tc>
          <w:tcPr>
            <w:tcW w:w="20" w:type="dxa"/>
            <w:tcBorders>
              <w:top w:val="single" w:sz="8" w:space="0" w:color="CCEEFF"/>
            </w:tcBorders>
            <w:vAlign w:val="bottom"/>
          </w:tcPr>
          <w:p w14:paraId="196A5BC7" w14:textId="77777777" w:rsidR="00D1587D" w:rsidRDefault="00D1587D">
            <w:pPr>
              <w:spacing w:line="20" w:lineRule="exact"/>
              <w:rPr>
                <w:sz w:val="1"/>
                <w:szCs w:val="1"/>
              </w:rPr>
            </w:pPr>
          </w:p>
        </w:tc>
        <w:tc>
          <w:tcPr>
            <w:tcW w:w="80" w:type="dxa"/>
            <w:tcBorders>
              <w:top w:val="single" w:sz="8" w:space="0" w:color="auto"/>
            </w:tcBorders>
            <w:shd w:val="clear" w:color="auto" w:fill="000000"/>
            <w:vAlign w:val="bottom"/>
          </w:tcPr>
          <w:p w14:paraId="204F9CA3"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2938EDA9" w14:textId="77777777" w:rsidR="00D1587D" w:rsidRDefault="00D1587D">
            <w:pPr>
              <w:spacing w:line="20" w:lineRule="exact"/>
              <w:rPr>
                <w:sz w:val="1"/>
                <w:szCs w:val="1"/>
              </w:rPr>
            </w:pPr>
          </w:p>
        </w:tc>
        <w:tc>
          <w:tcPr>
            <w:tcW w:w="180" w:type="dxa"/>
            <w:gridSpan w:val="2"/>
            <w:tcBorders>
              <w:top w:val="single" w:sz="8" w:space="0" w:color="auto"/>
            </w:tcBorders>
            <w:shd w:val="clear" w:color="auto" w:fill="000000"/>
            <w:vAlign w:val="bottom"/>
          </w:tcPr>
          <w:p w14:paraId="08023B13" w14:textId="77777777" w:rsidR="00D1587D" w:rsidRDefault="00D1587D">
            <w:pPr>
              <w:spacing w:line="20" w:lineRule="exact"/>
              <w:rPr>
                <w:sz w:val="1"/>
                <w:szCs w:val="1"/>
              </w:rPr>
            </w:pPr>
          </w:p>
        </w:tc>
        <w:tc>
          <w:tcPr>
            <w:tcW w:w="200" w:type="dxa"/>
            <w:tcBorders>
              <w:top w:val="single" w:sz="8" w:space="0" w:color="CCEEFF"/>
            </w:tcBorders>
            <w:vAlign w:val="bottom"/>
          </w:tcPr>
          <w:p w14:paraId="58A0F0BD" w14:textId="77777777" w:rsidR="00D1587D" w:rsidRDefault="00D1587D">
            <w:pPr>
              <w:spacing w:line="20" w:lineRule="exact"/>
              <w:rPr>
                <w:sz w:val="1"/>
                <w:szCs w:val="1"/>
              </w:rPr>
            </w:pPr>
          </w:p>
        </w:tc>
        <w:tc>
          <w:tcPr>
            <w:tcW w:w="160" w:type="dxa"/>
            <w:tcBorders>
              <w:top w:val="single" w:sz="8" w:space="0" w:color="auto"/>
            </w:tcBorders>
            <w:shd w:val="clear" w:color="auto" w:fill="000000"/>
            <w:vAlign w:val="bottom"/>
          </w:tcPr>
          <w:p w14:paraId="31405C47" w14:textId="77777777" w:rsidR="00D1587D" w:rsidRDefault="00D1587D">
            <w:pPr>
              <w:spacing w:line="20" w:lineRule="exact"/>
              <w:rPr>
                <w:sz w:val="1"/>
                <w:szCs w:val="1"/>
              </w:rPr>
            </w:pPr>
          </w:p>
        </w:tc>
        <w:tc>
          <w:tcPr>
            <w:tcW w:w="120" w:type="dxa"/>
            <w:tcBorders>
              <w:top w:val="single" w:sz="8" w:space="0" w:color="auto"/>
            </w:tcBorders>
            <w:shd w:val="clear" w:color="auto" w:fill="000000"/>
            <w:vAlign w:val="bottom"/>
          </w:tcPr>
          <w:p w14:paraId="0D20CC90" w14:textId="77777777" w:rsidR="00D1587D" w:rsidRDefault="00D1587D">
            <w:pPr>
              <w:spacing w:line="20" w:lineRule="exact"/>
              <w:rPr>
                <w:sz w:val="1"/>
                <w:szCs w:val="1"/>
              </w:rPr>
            </w:pPr>
          </w:p>
        </w:tc>
        <w:tc>
          <w:tcPr>
            <w:tcW w:w="220" w:type="dxa"/>
            <w:tcBorders>
              <w:top w:val="single" w:sz="8" w:space="0" w:color="auto"/>
            </w:tcBorders>
            <w:shd w:val="clear" w:color="auto" w:fill="000000"/>
            <w:vAlign w:val="bottom"/>
          </w:tcPr>
          <w:p w14:paraId="3E546FB4" w14:textId="77777777" w:rsidR="00D1587D" w:rsidRDefault="00D1587D">
            <w:pPr>
              <w:spacing w:line="20" w:lineRule="exact"/>
              <w:rPr>
                <w:sz w:val="1"/>
                <w:szCs w:val="1"/>
              </w:rPr>
            </w:pPr>
          </w:p>
        </w:tc>
        <w:tc>
          <w:tcPr>
            <w:tcW w:w="200" w:type="dxa"/>
            <w:tcBorders>
              <w:top w:val="single" w:sz="8" w:space="0" w:color="CCEEFF"/>
            </w:tcBorders>
            <w:vAlign w:val="bottom"/>
          </w:tcPr>
          <w:p w14:paraId="484E197E" w14:textId="77777777" w:rsidR="00D1587D" w:rsidRDefault="00D1587D">
            <w:pPr>
              <w:spacing w:line="20" w:lineRule="exact"/>
              <w:rPr>
                <w:sz w:val="1"/>
                <w:szCs w:val="1"/>
              </w:rPr>
            </w:pPr>
          </w:p>
        </w:tc>
        <w:tc>
          <w:tcPr>
            <w:tcW w:w="320" w:type="dxa"/>
            <w:tcBorders>
              <w:top w:val="single" w:sz="8" w:space="0" w:color="auto"/>
            </w:tcBorders>
            <w:shd w:val="clear" w:color="auto" w:fill="000000"/>
            <w:vAlign w:val="bottom"/>
          </w:tcPr>
          <w:p w14:paraId="7734CD16" w14:textId="77777777" w:rsidR="00D1587D" w:rsidRDefault="00D1587D">
            <w:pPr>
              <w:spacing w:line="20" w:lineRule="exact"/>
              <w:rPr>
                <w:sz w:val="1"/>
                <w:szCs w:val="1"/>
              </w:rPr>
            </w:pPr>
          </w:p>
        </w:tc>
        <w:tc>
          <w:tcPr>
            <w:tcW w:w="100" w:type="dxa"/>
            <w:tcBorders>
              <w:top w:val="single" w:sz="8" w:space="0" w:color="auto"/>
            </w:tcBorders>
            <w:shd w:val="clear" w:color="auto" w:fill="000000"/>
            <w:vAlign w:val="bottom"/>
          </w:tcPr>
          <w:p w14:paraId="3FACCEC9" w14:textId="77777777" w:rsidR="00D1587D" w:rsidRDefault="00D1587D">
            <w:pPr>
              <w:spacing w:line="20" w:lineRule="exact"/>
              <w:rPr>
                <w:sz w:val="1"/>
                <w:szCs w:val="1"/>
              </w:rPr>
            </w:pPr>
          </w:p>
        </w:tc>
        <w:tc>
          <w:tcPr>
            <w:tcW w:w="200" w:type="dxa"/>
            <w:tcBorders>
              <w:top w:val="single" w:sz="8" w:space="0" w:color="CCEEFF"/>
            </w:tcBorders>
            <w:vAlign w:val="bottom"/>
          </w:tcPr>
          <w:p w14:paraId="6385D05B" w14:textId="77777777" w:rsidR="00D1587D" w:rsidRDefault="00D1587D">
            <w:pPr>
              <w:spacing w:line="20" w:lineRule="exact"/>
              <w:rPr>
                <w:sz w:val="1"/>
                <w:szCs w:val="1"/>
              </w:rPr>
            </w:pPr>
          </w:p>
        </w:tc>
        <w:tc>
          <w:tcPr>
            <w:tcW w:w="540" w:type="dxa"/>
            <w:tcBorders>
              <w:top w:val="single" w:sz="8" w:space="0" w:color="auto"/>
            </w:tcBorders>
            <w:shd w:val="clear" w:color="auto" w:fill="000000"/>
            <w:vAlign w:val="bottom"/>
          </w:tcPr>
          <w:p w14:paraId="1F971D02" w14:textId="77777777" w:rsidR="00D1587D" w:rsidRDefault="00D1587D">
            <w:pPr>
              <w:spacing w:line="20" w:lineRule="exact"/>
              <w:rPr>
                <w:sz w:val="1"/>
                <w:szCs w:val="1"/>
              </w:rPr>
            </w:pPr>
          </w:p>
        </w:tc>
        <w:tc>
          <w:tcPr>
            <w:tcW w:w="0" w:type="dxa"/>
            <w:vAlign w:val="bottom"/>
          </w:tcPr>
          <w:p w14:paraId="0340A96D" w14:textId="77777777" w:rsidR="00D1587D" w:rsidRDefault="00D1587D">
            <w:pPr>
              <w:spacing w:line="20" w:lineRule="exact"/>
              <w:rPr>
                <w:sz w:val="1"/>
                <w:szCs w:val="1"/>
              </w:rPr>
            </w:pPr>
          </w:p>
        </w:tc>
      </w:tr>
      <w:tr w:rsidR="00D1587D" w14:paraId="4B6816E9" w14:textId="77777777">
        <w:trPr>
          <w:trHeight w:val="312"/>
        </w:trPr>
        <w:tc>
          <w:tcPr>
            <w:tcW w:w="7060" w:type="dxa"/>
            <w:gridSpan w:val="12"/>
            <w:vAlign w:val="bottom"/>
          </w:tcPr>
          <w:p w14:paraId="24DD87B1" w14:textId="77777777" w:rsidR="00D1587D" w:rsidRDefault="00410D07">
            <w:pPr>
              <w:ind w:left="360"/>
              <w:rPr>
                <w:sz w:val="20"/>
                <w:szCs w:val="20"/>
              </w:rPr>
            </w:pPr>
            <w:r>
              <w:rPr>
                <w:rFonts w:ascii="Arial" w:eastAsia="Arial" w:hAnsi="Arial" w:cs="Arial"/>
                <w:w w:val="95"/>
                <w:sz w:val="18"/>
                <w:szCs w:val="18"/>
              </w:rPr>
              <w:t>The following table represents company-operated store data for the first quarter of 2020:</w:t>
            </w:r>
          </w:p>
        </w:tc>
        <w:tc>
          <w:tcPr>
            <w:tcW w:w="200" w:type="dxa"/>
            <w:vAlign w:val="bottom"/>
          </w:tcPr>
          <w:p w14:paraId="61AB57CE" w14:textId="77777777" w:rsidR="00D1587D" w:rsidRDefault="00D1587D">
            <w:pPr>
              <w:rPr>
                <w:sz w:val="24"/>
                <w:szCs w:val="24"/>
              </w:rPr>
            </w:pPr>
          </w:p>
        </w:tc>
        <w:tc>
          <w:tcPr>
            <w:tcW w:w="320" w:type="dxa"/>
            <w:vAlign w:val="bottom"/>
          </w:tcPr>
          <w:p w14:paraId="0554771F" w14:textId="77777777" w:rsidR="00D1587D" w:rsidRDefault="00D1587D">
            <w:pPr>
              <w:rPr>
                <w:sz w:val="24"/>
                <w:szCs w:val="24"/>
              </w:rPr>
            </w:pPr>
          </w:p>
        </w:tc>
        <w:tc>
          <w:tcPr>
            <w:tcW w:w="100" w:type="dxa"/>
            <w:vAlign w:val="bottom"/>
          </w:tcPr>
          <w:p w14:paraId="146A885A" w14:textId="77777777" w:rsidR="00D1587D" w:rsidRDefault="00D1587D">
            <w:pPr>
              <w:rPr>
                <w:sz w:val="24"/>
                <w:szCs w:val="24"/>
              </w:rPr>
            </w:pPr>
          </w:p>
        </w:tc>
        <w:tc>
          <w:tcPr>
            <w:tcW w:w="200" w:type="dxa"/>
            <w:vAlign w:val="bottom"/>
          </w:tcPr>
          <w:p w14:paraId="55FD9EFD" w14:textId="77777777" w:rsidR="00D1587D" w:rsidRDefault="00D1587D">
            <w:pPr>
              <w:rPr>
                <w:sz w:val="24"/>
                <w:szCs w:val="24"/>
              </w:rPr>
            </w:pPr>
          </w:p>
        </w:tc>
        <w:tc>
          <w:tcPr>
            <w:tcW w:w="540" w:type="dxa"/>
            <w:vAlign w:val="bottom"/>
          </w:tcPr>
          <w:p w14:paraId="7DC935E2" w14:textId="77777777" w:rsidR="00D1587D" w:rsidRDefault="00D1587D">
            <w:pPr>
              <w:rPr>
                <w:sz w:val="24"/>
                <w:szCs w:val="24"/>
              </w:rPr>
            </w:pPr>
          </w:p>
        </w:tc>
        <w:tc>
          <w:tcPr>
            <w:tcW w:w="0" w:type="dxa"/>
            <w:vAlign w:val="bottom"/>
          </w:tcPr>
          <w:p w14:paraId="2B252779" w14:textId="77777777" w:rsidR="00D1587D" w:rsidRDefault="00D1587D">
            <w:pPr>
              <w:rPr>
                <w:sz w:val="1"/>
                <w:szCs w:val="1"/>
              </w:rPr>
            </w:pPr>
          </w:p>
        </w:tc>
      </w:tr>
      <w:tr w:rsidR="00D1587D" w14:paraId="5FDF749B" w14:textId="77777777">
        <w:trPr>
          <w:trHeight w:val="274"/>
        </w:trPr>
        <w:tc>
          <w:tcPr>
            <w:tcW w:w="4860" w:type="dxa"/>
            <w:vAlign w:val="bottom"/>
          </w:tcPr>
          <w:p w14:paraId="7343CD32" w14:textId="77777777" w:rsidR="00D1587D" w:rsidRDefault="00D1587D">
            <w:pPr>
              <w:rPr>
                <w:sz w:val="23"/>
                <w:szCs w:val="23"/>
              </w:rPr>
            </w:pPr>
          </w:p>
        </w:tc>
        <w:tc>
          <w:tcPr>
            <w:tcW w:w="640" w:type="dxa"/>
            <w:vAlign w:val="bottom"/>
          </w:tcPr>
          <w:p w14:paraId="0B23EE3B" w14:textId="77777777" w:rsidR="00D1587D" w:rsidRDefault="00D1587D">
            <w:pPr>
              <w:rPr>
                <w:sz w:val="23"/>
                <w:szCs w:val="23"/>
              </w:rPr>
            </w:pPr>
          </w:p>
        </w:tc>
        <w:tc>
          <w:tcPr>
            <w:tcW w:w="80" w:type="dxa"/>
            <w:vAlign w:val="bottom"/>
          </w:tcPr>
          <w:p w14:paraId="7C76F2AB" w14:textId="77777777" w:rsidR="00D1587D" w:rsidRDefault="00D1587D">
            <w:pPr>
              <w:rPr>
                <w:sz w:val="23"/>
                <w:szCs w:val="23"/>
              </w:rPr>
            </w:pPr>
          </w:p>
        </w:tc>
        <w:tc>
          <w:tcPr>
            <w:tcW w:w="20" w:type="dxa"/>
            <w:vAlign w:val="bottom"/>
          </w:tcPr>
          <w:p w14:paraId="7A4894E3" w14:textId="77777777" w:rsidR="00D1587D" w:rsidRDefault="00D1587D">
            <w:pPr>
              <w:rPr>
                <w:sz w:val="23"/>
                <w:szCs w:val="23"/>
              </w:rPr>
            </w:pPr>
          </w:p>
        </w:tc>
        <w:tc>
          <w:tcPr>
            <w:tcW w:w="80" w:type="dxa"/>
            <w:vAlign w:val="bottom"/>
          </w:tcPr>
          <w:p w14:paraId="4D84B197" w14:textId="77777777" w:rsidR="00D1587D" w:rsidRDefault="00D1587D">
            <w:pPr>
              <w:rPr>
                <w:sz w:val="23"/>
                <w:szCs w:val="23"/>
              </w:rPr>
            </w:pPr>
          </w:p>
        </w:tc>
        <w:tc>
          <w:tcPr>
            <w:tcW w:w="600" w:type="dxa"/>
            <w:gridSpan w:val="2"/>
            <w:vAlign w:val="bottom"/>
          </w:tcPr>
          <w:p w14:paraId="769DC1B2" w14:textId="77777777" w:rsidR="00D1587D" w:rsidRDefault="00410D07">
            <w:pPr>
              <w:jc w:val="center"/>
              <w:rPr>
                <w:sz w:val="20"/>
                <w:szCs w:val="20"/>
              </w:rPr>
            </w:pPr>
            <w:r>
              <w:rPr>
                <w:rFonts w:ascii="Arial" w:eastAsia="Arial" w:hAnsi="Arial" w:cs="Arial"/>
                <w:b/>
                <w:bCs/>
                <w:w w:val="86"/>
                <w:sz w:val="14"/>
                <w:szCs w:val="14"/>
              </w:rPr>
              <w:t>Stores at</w:t>
            </w:r>
          </w:p>
        </w:tc>
        <w:tc>
          <w:tcPr>
            <w:tcW w:w="80" w:type="dxa"/>
            <w:vAlign w:val="bottom"/>
          </w:tcPr>
          <w:p w14:paraId="1D1CD3AF" w14:textId="77777777" w:rsidR="00D1587D" w:rsidRDefault="00D1587D">
            <w:pPr>
              <w:rPr>
                <w:sz w:val="23"/>
                <w:szCs w:val="23"/>
              </w:rPr>
            </w:pPr>
          </w:p>
        </w:tc>
        <w:tc>
          <w:tcPr>
            <w:tcW w:w="200" w:type="dxa"/>
            <w:vAlign w:val="bottom"/>
          </w:tcPr>
          <w:p w14:paraId="75F1AA87" w14:textId="77777777" w:rsidR="00D1587D" w:rsidRDefault="00D1587D">
            <w:pPr>
              <w:rPr>
                <w:sz w:val="23"/>
                <w:szCs w:val="23"/>
              </w:rPr>
            </w:pPr>
          </w:p>
        </w:tc>
        <w:tc>
          <w:tcPr>
            <w:tcW w:w="160" w:type="dxa"/>
            <w:vAlign w:val="bottom"/>
          </w:tcPr>
          <w:p w14:paraId="5327E199" w14:textId="77777777" w:rsidR="00D1587D" w:rsidRDefault="00D1587D">
            <w:pPr>
              <w:rPr>
                <w:sz w:val="23"/>
                <w:szCs w:val="23"/>
              </w:rPr>
            </w:pPr>
          </w:p>
        </w:tc>
        <w:tc>
          <w:tcPr>
            <w:tcW w:w="120" w:type="dxa"/>
            <w:vAlign w:val="bottom"/>
          </w:tcPr>
          <w:p w14:paraId="3C067B6E" w14:textId="77777777" w:rsidR="00D1587D" w:rsidRDefault="00D1587D">
            <w:pPr>
              <w:rPr>
                <w:sz w:val="23"/>
                <w:szCs w:val="23"/>
              </w:rPr>
            </w:pPr>
          </w:p>
        </w:tc>
        <w:tc>
          <w:tcPr>
            <w:tcW w:w="220" w:type="dxa"/>
            <w:vAlign w:val="bottom"/>
          </w:tcPr>
          <w:p w14:paraId="5FBA046C" w14:textId="77777777" w:rsidR="00D1587D" w:rsidRDefault="00D1587D">
            <w:pPr>
              <w:rPr>
                <w:sz w:val="23"/>
                <w:szCs w:val="23"/>
              </w:rPr>
            </w:pPr>
          </w:p>
        </w:tc>
        <w:tc>
          <w:tcPr>
            <w:tcW w:w="200" w:type="dxa"/>
            <w:vAlign w:val="bottom"/>
          </w:tcPr>
          <w:p w14:paraId="7E489ECA" w14:textId="77777777" w:rsidR="00D1587D" w:rsidRDefault="00D1587D">
            <w:pPr>
              <w:rPr>
                <w:sz w:val="23"/>
                <w:szCs w:val="23"/>
              </w:rPr>
            </w:pPr>
          </w:p>
        </w:tc>
        <w:tc>
          <w:tcPr>
            <w:tcW w:w="320" w:type="dxa"/>
            <w:vAlign w:val="bottom"/>
          </w:tcPr>
          <w:p w14:paraId="43009961" w14:textId="77777777" w:rsidR="00D1587D" w:rsidRDefault="00D1587D">
            <w:pPr>
              <w:rPr>
                <w:sz w:val="23"/>
                <w:szCs w:val="23"/>
              </w:rPr>
            </w:pPr>
          </w:p>
        </w:tc>
        <w:tc>
          <w:tcPr>
            <w:tcW w:w="100" w:type="dxa"/>
            <w:vAlign w:val="bottom"/>
          </w:tcPr>
          <w:p w14:paraId="0908EA98" w14:textId="77777777" w:rsidR="00D1587D" w:rsidRDefault="00D1587D">
            <w:pPr>
              <w:rPr>
                <w:sz w:val="23"/>
                <w:szCs w:val="23"/>
              </w:rPr>
            </w:pPr>
          </w:p>
        </w:tc>
        <w:tc>
          <w:tcPr>
            <w:tcW w:w="200" w:type="dxa"/>
            <w:vAlign w:val="bottom"/>
          </w:tcPr>
          <w:p w14:paraId="361C8038" w14:textId="77777777" w:rsidR="00D1587D" w:rsidRDefault="00D1587D">
            <w:pPr>
              <w:rPr>
                <w:sz w:val="23"/>
                <w:szCs w:val="23"/>
              </w:rPr>
            </w:pPr>
          </w:p>
        </w:tc>
        <w:tc>
          <w:tcPr>
            <w:tcW w:w="540" w:type="dxa"/>
            <w:vAlign w:val="bottom"/>
          </w:tcPr>
          <w:p w14:paraId="7E6FA441" w14:textId="77777777" w:rsidR="00D1587D" w:rsidRDefault="00410D07">
            <w:pPr>
              <w:jc w:val="right"/>
              <w:rPr>
                <w:sz w:val="20"/>
                <w:szCs w:val="20"/>
              </w:rPr>
            </w:pPr>
            <w:r>
              <w:rPr>
                <w:rFonts w:ascii="Arial" w:eastAsia="Arial" w:hAnsi="Arial" w:cs="Arial"/>
                <w:b/>
                <w:bCs/>
                <w:w w:val="86"/>
                <w:sz w:val="14"/>
                <w:szCs w:val="14"/>
              </w:rPr>
              <w:t>Stores at</w:t>
            </w:r>
          </w:p>
        </w:tc>
        <w:tc>
          <w:tcPr>
            <w:tcW w:w="0" w:type="dxa"/>
            <w:vAlign w:val="bottom"/>
          </w:tcPr>
          <w:p w14:paraId="1BFD4F7F" w14:textId="77777777" w:rsidR="00D1587D" w:rsidRDefault="00D1587D">
            <w:pPr>
              <w:rPr>
                <w:sz w:val="1"/>
                <w:szCs w:val="1"/>
              </w:rPr>
            </w:pPr>
          </w:p>
        </w:tc>
      </w:tr>
      <w:tr w:rsidR="00D1587D" w14:paraId="7579106C" w14:textId="77777777">
        <w:trPr>
          <w:trHeight w:val="149"/>
        </w:trPr>
        <w:tc>
          <w:tcPr>
            <w:tcW w:w="4860" w:type="dxa"/>
            <w:vAlign w:val="bottom"/>
          </w:tcPr>
          <w:p w14:paraId="1A89445D" w14:textId="77777777" w:rsidR="00D1587D" w:rsidRDefault="00D1587D">
            <w:pPr>
              <w:rPr>
                <w:sz w:val="12"/>
                <w:szCs w:val="12"/>
              </w:rPr>
            </w:pPr>
          </w:p>
        </w:tc>
        <w:tc>
          <w:tcPr>
            <w:tcW w:w="640" w:type="dxa"/>
            <w:vAlign w:val="bottom"/>
          </w:tcPr>
          <w:p w14:paraId="1F106666" w14:textId="77777777" w:rsidR="00D1587D" w:rsidRDefault="00D1587D">
            <w:pPr>
              <w:rPr>
                <w:sz w:val="12"/>
                <w:szCs w:val="12"/>
              </w:rPr>
            </w:pPr>
          </w:p>
        </w:tc>
        <w:tc>
          <w:tcPr>
            <w:tcW w:w="80" w:type="dxa"/>
            <w:vAlign w:val="bottom"/>
          </w:tcPr>
          <w:p w14:paraId="53351CE3" w14:textId="77777777" w:rsidR="00D1587D" w:rsidRDefault="00D1587D">
            <w:pPr>
              <w:rPr>
                <w:sz w:val="12"/>
                <w:szCs w:val="12"/>
              </w:rPr>
            </w:pPr>
          </w:p>
        </w:tc>
        <w:tc>
          <w:tcPr>
            <w:tcW w:w="20" w:type="dxa"/>
            <w:vAlign w:val="bottom"/>
          </w:tcPr>
          <w:p w14:paraId="37A21565" w14:textId="77777777" w:rsidR="00D1587D" w:rsidRDefault="00D1587D">
            <w:pPr>
              <w:rPr>
                <w:sz w:val="12"/>
                <w:szCs w:val="12"/>
              </w:rPr>
            </w:pPr>
          </w:p>
        </w:tc>
        <w:tc>
          <w:tcPr>
            <w:tcW w:w="1460" w:type="dxa"/>
            <w:gridSpan w:val="8"/>
            <w:vAlign w:val="bottom"/>
          </w:tcPr>
          <w:p w14:paraId="601B90DE" w14:textId="77777777" w:rsidR="00D1587D" w:rsidRDefault="00410D07">
            <w:pPr>
              <w:spacing w:line="149" w:lineRule="exact"/>
              <w:ind w:right="628"/>
              <w:jc w:val="center"/>
              <w:rPr>
                <w:sz w:val="20"/>
                <w:szCs w:val="20"/>
              </w:rPr>
            </w:pPr>
            <w:r>
              <w:rPr>
                <w:rFonts w:ascii="Arial" w:eastAsia="Arial" w:hAnsi="Arial" w:cs="Arial"/>
                <w:b/>
                <w:bCs/>
                <w:w w:val="95"/>
                <w:sz w:val="14"/>
                <w:szCs w:val="14"/>
              </w:rPr>
              <w:t>February 1,</w:t>
            </w:r>
          </w:p>
        </w:tc>
        <w:tc>
          <w:tcPr>
            <w:tcW w:w="200" w:type="dxa"/>
            <w:vAlign w:val="bottom"/>
          </w:tcPr>
          <w:p w14:paraId="1C9171F0" w14:textId="77777777" w:rsidR="00D1587D" w:rsidRDefault="00D1587D">
            <w:pPr>
              <w:rPr>
                <w:sz w:val="12"/>
                <w:szCs w:val="12"/>
              </w:rPr>
            </w:pPr>
          </w:p>
        </w:tc>
        <w:tc>
          <w:tcPr>
            <w:tcW w:w="420" w:type="dxa"/>
            <w:gridSpan w:val="2"/>
            <w:vMerge w:val="restart"/>
            <w:vAlign w:val="bottom"/>
          </w:tcPr>
          <w:p w14:paraId="12CCBD23" w14:textId="77777777" w:rsidR="00D1587D" w:rsidRDefault="00410D07">
            <w:pPr>
              <w:jc w:val="center"/>
              <w:rPr>
                <w:sz w:val="20"/>
                <w:szCs w:val="20"/>
              </w:rPr>
            </w:pPr>
            <w:r>
              <w:rPr>
                <w:rFonts w:ascii="Arial" w:eastAsia="Arial" w:hAnsi="Arial" w:cs="Arial"/>
                <w:b/>
                <w:bCs/>
                <w:w w:val="85"/>
                <w:sz w:val="14"/>
                <w:szCs w:val="14"/>
              </w:rPr>
              <w:t>Closed</w:t>
            </w:r>
          </w:p>
        </w:tc>
        <w:tc>
          <w:tcPr>
            <w:tcW w:w="200" w:type="dxa"/>
            <w:vAlign w:val="bottom"/>
          </w:tcPr>
          <w:p w14:paraId="53809CFD" w14:textId="77777777" w:rsidR="00D1587D" w:rsidRDefault="00D1587D">
            <w:pPr>
              <w:rPr>
                <w:sz w:val="12"/>
                <w:szCs w:val="12"/>
              </w:rPr>
            </w:pPr>
          </w:p>
        </w:tc>
        <w:tc>
          <w:tcPr>
            <w:tcW w:w="540" w:type="dxa"/>
            <w:vAlign w:val="bottom"/>
          </w:tcPr>
          <w:p w14:paraId="0813755F" w14:textId="77777777" w:rsidR="00D1587D" w:rsidRDefault="00410D07">
            <w:pPr>
              <w:spacing w:line="149" w:lineRule="exact"/>
              <w:ind w:right="4"/>
              <w:jc w:val="right"/>
              <w:rPr>
                <w:sz w:val="20"/>
                <w:szCs w:val="20"/>
              </w:rPr>
            </w:pPr>
            <w:r>
              <w:rPr>
                <w:rFonts w:ascii="Arial" w:eastAsia="Arial" w:hAnsi="Arial" w:cs="Arial"/>
                <w:b/>
                <w:bCs/>
                <w:sz w:val="14"/>
                <w:szCs w:val="14"/>
              </w:rPr>
              <w:t>May 2,</w:t>
            </w:r>
          </w:p>
        </w:tc>
        <w:tc>
          <w:tcPr>
            <w:tcW w:w="0" w:type="dxa"/>
            <w:vAlign w:val="bottom"/>
          </w:tcPr>
          <w:p w14:paraId="6D8A80B8" w14:textId="77777777" w:rsidR="00D1587D" w:rsidRDefault="00D1587D">
            <w:pPr>
              <w:rPr>
                <w:sz w:val="1"/>
                <w:szCs w:val="1"/>
              </w:rPr>
            </w:pPr>
          </w:p>
        </w:tc>
      </w:tr>
      <w:tr w:rsidR="00D1587D" w14:paraId="6589DBBE" w14:textId="77777777">
        <w:trPr>
          <w:trHeight w:val="186"/>
        </w:trPr>
        <w:tc>
          <w:tcPr>
            <w:tcW w:w="4860" w:type="dxa"/>
            <w:vAlign w:val="bottom"/>
          </w:tcPr>
          <w:p w14:paraId="4077E98F" w14:textId="77777777" w:rsidR="00D1587D" w:rsidRDefault="00D1587D">
            <w:pPr>
              <w:rPr>
                <w:sz w:val="16"/>
                <w:szCs w:val="16"/>
              </w:rPr>
            </w:pPr>
          </w:p>
        </w:tc>
        <w:tc>
          <w:tcPr>
            <w:tcW w:w="640" w:type="dxa"/>
            <w:vAlign w:val="bottom"/>
          </w:tcPr>
          <w:p w14:paraId="5347E332" w14:textId="77777777" w:rsidR="00D1587D" w:rsidRDefault="00D1587D">
            <w:pPr>
              <w:rPr>
                <w:sz w:val="16"/>
                <w:szCs w:val="16"/>
              </w:rPr>
            </w:pPr>
          </w:p>
        </w:tc>
        <w:tc>
          <w:tcPr>
            <w:tcW w:w="80" w:type="dxa"/>
            <w:vAlign w:val="bottom"/>
          </w:tcPr>
          <w:p w14:paraId="07E3E39D" w14:textId="77777777" w:rsidR="00D1587D" w:rsidRDefault="00D1587D">
            <w:pPr>
              <w:rPr>
                <w:sz w:val="16"/>
                <w:szCs w:val="16"/>
              </w:rPr>
            </w:pPr>
          </w:p>
        </w:tc>
        <w:tc>
          <w:tcPr>
            <w:tcW w:w="20" w:type="dxa"/>
            <w:vAlign w:val="bottom"/>
          </w:tcPr>
          <w:p w14:paraId="4C9FA778" w14:textId="77777777" w:rsidR="00D1587D" w:rsidRDefault="00D1587D">
            <w:pPr>
              <w:rPr>
                <w:sz w:val="16"/>
                <w:szCs w:val="16"/>
              </w:rPr>
            </w:pPr>
          </w:p>
        </w:tc>
        <w:tc>
          <w:tcPr>
            <w:tcW w:w="580" w:type="dxa"/>
            <w:gridSpan w:val="2"/>
            <w:vAlign w:val="bottom"/>
          </w:tcPr>
          <w:p w14:paraId="23E89198" w14:textId="77777777" w:rsidR="00D1587D" w:rsidRDefault="00410D07">
            <w:pPr>
              <w:ind w:left="240"/>
              <w:rPr>
                <w:sz w:val="20"/>
                <w:szCs w:val="20"/>
              </w:rPr>
            </w:pPr>
            <w:r>
              <w:rPr>
                <w:rFonts w:ascii="Arial" w:eastAsia="Arial" w:hAnsi="Arial" w:cs="Arial"/>
                <w:b/>
                <w:bCs/>
                <w:sz w:val="14"/>
                <w:szCs w:val="14"/>
              </w:rPr>
              <w:t>2020</w:t>
            </w:r>
          </w:p>
        </w:tc>
        <w:tc>
          <w:tcPr>
            <w:tcW w:w="100" w:type="dxa"/>
            <w:vAlign w:val="bottom"/>
          </w:tcPr>
          <w:p w14:paraId="2C263662" w14:textId="77777777" w:rsidR="00D1587D" w:rsidRDefault="00D1587D">
            <w:pPr>
              <w:rPr>
                <w:sz w:val="16"/>
                <w:szCs w:val="16"/>
              </w:rPr>
            </w:pPr>
          </w:p>
        </w:tc>
        <w:tc>
          <w:tcPr>
            <w:tcW w:w="80" w:type="dxa"/>
            <w:vAlign w:val="bottom"/>
          </w:tcPr>
          <w:p w14:paraId="51010FFD" w14:textId="77777777" w:rsidR="00D1587D" w:rsidRDefault="00D1587D">
            <w:pPr>
              <w:rPr>
                <w:sz w:val="16"/>
                <w:szCs w:val="16"/>
              </w:rPr>
            </w:pPr>
          </w:p>
        </w:tc>
        <w:tc>
          <w:tcPr>
            <w:tcW w:w="200" w:type="dxa"/>
            <w:vAlign w:val="bottom"/>
          </w:tcPr>
          <w:p w14:paraId="30CF3434" w14:textId="77777777" w:rsidR="00D1587D" w:rsidRDefault="00D1587D">
            <w:pPr>
              <w:rPr>
                <w:sz w:val="16"/>
                <w:szCs w:val="16"/>
              </w:rPr>
            </w:pPr>
          </w:p>
        </w:tc>
        <w:tc>
          <w:tcPr>
            <w:tcW w:w="500" w:type="dxa"/>
            <w:gridSpan w:val="3"/>
            <w:vAlign w:val="bottom"/>
          </w:tcPr>
          <w:p w14:paraId="181279D2" w14:textId="77777777" w:rsidR="00D1587D" w:rsidRDefault="00410D07">
            <w:pPr>
              <w:jc w:val="right"/>
              <w:rPr>
                <w:sz w:val="20"/>
                <w:szCs w:val="20"/>
              </w:rPr>
            </w:pPr>
            <w:r>
              <w:rPr>
                <w:rFonts w:ascii="Arial" w:eastAsia="Arial" w:hAnsi="Arial" w:cs="Arial"/>
                <w:b/>
                <w:bCs/>
                <w:w w:val="91"/>
                <w:sz w:val="14"/>
                <w:szCs w:val="14"/>
              </w:rPr>
              <w:t>Opened</w:t>
            </w:r>
          </w:p>
        </w:tc>
        <w:tc>
          <w:tcPr>
            <w:tcW w:w="200" w:type="dxa"/>
            <w:vAlign w:val="bottom"/>
          </w:tcPr>
          <w:p w14:paraId="17D83958" w14:textId="77777777" w:rsidR="00D1587D" w:rsidRDefault="00D1587D">
            <w:pPr>
              <w:rPr>
                <w:sz w:val="16"/>
                <w:szCs w:val="16"/>
              </w:rPr>
            </w:pPr>
          </w:p>
        </w:tc>
        <w:tc>
          <w:tcPr>
            <w:tcW w:w="420" w:type="dxa"/>
            <w:gridSpan w:val="2"/>
            <w:vMerge/>
            <w:vAlign w:val="bottom"/>
          </w:tcPr>
          <w:p w14:paraId="5D1CA674" w14:textId="77777777" w:rsidR="00D1587D" w:rsidRDefault="00D1587D">
            <w:pPr>
              <w:rPr>
                <w:sz w:val="16"/>
                <w:szCs w:val="16"/>
              </w:rPr>
            </w:pPr>
          </w:p>
        </w:tc>
        <w:tc>
          <w:tcPr>
            <w:tcW w:w="740" w:type="dxa"/>
            <w:gridSpan w:val="2"/>
            <w:vAlign w:val="bottom"/>
          </w:tcPr>
          <w:p w14:paraId="2F2AA6E7" w14:textId="77777777" w:rsidR="00D1587D" w:rsidRDefault="00410D07">
            <w:pPr>
              <w:ind w:left="320"/>
              <w:rPr>
                <w:sz w:val="20"/>
                <w:szCs w:val="20"/>
              </w:rPr>
            </w:pPr>
            <w:r>
              <w:rPr>
                <w:rFonts w:ascii="Arial" w:eastAsia="Arial" w:hAnsi="Arial" w:cs="Arial"/>
                <w:b/>
                <w:bCs/>
                <w:sz w:val="14"/>
                <w:szCs w:val="14"/>
              </w:rPr>
              <w:t>2020</w:t>
            </w:r>
          </w:p>
        </w:tc>
        <w:tc>
          <w:tcPr>
            <w:tcW w:w="0" w:type="dxa"/>
            <w:vAlign w:val="bottom"/>
          </w:tcPr>
          <w:p w14:paraId="1251C1F0" w14:textId="77777777" w:rsidR="00D1587D" w:rsidRDefault="00D1587D">
            <w:pPr>
              <w:rPr>
                <w:sz w:val="1"/>
                <w:szCs w:val="1"/>
              </w:rPr>
            </w:pPr>
          </w:p>
        </w:tc>
      </w:tr>
      <w:tr w:rsidR="00D1587D" w14:paraId="1D1FA746" w14:textId="77777777">
        <w:trPr>
          <w:trHeight w:val="53"/>
        </w:trPr>
        <w:tc>
          <w:tcPr>
            <w:tcW w:w="4860" w:type="dxa"/>
            <w:tcBorders>
              <w:bottom w:val="single" w:sz="8" w:space="0" w:color="CCEEFF"/>
            </w:tcBorders>
            <w:vAlign w:val="bottom"/>
          </w:tcPr>
          <w:p w14:paraId="74BFF3C4" w14:textId="77777777" w:rsidR="00D1587D" w:rsidRDefault="00D1587D">
            <w:pPr>
              <w:rPr>
                <w:sz w:val="4"/>
                <w:szCs w:val="4"/>
              </w:rPr>
            </w:pPr>
          </w:p>
        </w:tc>
        <w:tc>
          <w:tcPr>
            <w:tcW w:w="640" w:type="dxa"/>
            <w:tcBorders>
              <w:bottom w:val="single" w:sz="8" w:space="0" w:color="CCEEFF"/>
            </w:tcBorders>
            <w:vAlign w:val="bottom"/>
          </w:tcPr>
          <w:p w14:paraId="02F7AE0D" w14:textId="77777777" w:rsidR="00D1587D" w:rsidRDefault="00D1587D">
            <w:pPr>
              <w:rPr>
                <w:sz w:val="4"/>
                <w:szCs w:val="4"/>
              </w:rPr>
            </w:pPr>
          </w:p>
        </w:tc>
        <w:tc>
          <w:tcPr>
            <w:tcW w:w="80" w:type="dxa"/>
            <w:tcBorders>
              <w:bottom w:val="single" w:sz="8" w:space="0" w:color="CCEEFF"/>
            </w:tcBorders>
            <w:vAlign w:val="bottom"/>
          </w:tcPr>
          <w:p w14:paraId="72DCE856" w14:textId="77777777" w:rsidR="00D1587D" w:rsidRDefault="00D1587D">
            <w:pPr>
              <w:rPr>
                <w:sz w:val="4"/>
                <w:szCs w:val="4"/>
              </w:rPr>
            </w:pPr>
          </w:p>
        </w:tc>
        <w:tc>
          <w:tcPr>
            <w:tcW w:w="20" w:type="dxa"/>
            <w:tcBorders>
              <w:bottom w:val="single" w:sz="8" w:space="0" w:color="CCEEFF"/>
            </w:tcBorders>
            <w:vAlign w:val="bottom"/>
          </w:tcPr>
          <w:p w14:paraId="1FCA0D41" w14:textId="77777777" w:rsidR="00D1587D" w:rsidRDefault="00D1587D">
            <w:pPr>
              <w:rPr>
                <w:sz w:val="4"/>
                <w:szCs w:val="4"/>
              </w:rPr>
            </w:pPr>
          </w:p>
        </w:tc>
        <w:tc>
          <w:tcPr>
            <w:tcW w:w="80" w:type="dxa"/>
            <w:tcBorders>
              <w:bottom w:val="single" w:sz="8" w:space="0" w:color="auto"/>
            </w:tcBorders>
            <w:vAlign w:val="bottom"/>
          </w:tcPr>
          <w:p w14:paraId="256B3149" w14:textId="77777777" w:rsidR="00D1587D" w:rsidRDefault="00D1587D">
            <w:pPr>
              <w:rPr>
                <w:sz w:val="4"/>
                <w:szCs w:val="4"/>
              </w:rPr>
            </w:pPr>
          </w:p>
        </w:tc>
        <w:tc>
          <w:tcPr>
            <w:tcW w:w="500" w:type="dxa"/>
            <w:tcBorders>
              <w:bottom w:val="single" w:sz="8" w:space="0" w:color="auto"/>
            </w:tcBorders>
            <w:vAlign w:val="bottom"/>
          </w:tcPr>
          <w:p w14:paraId="1C4E799D" w14:textId="77777777" w:rsidR="00D1587D" w:rsidRDefault="00D1587D">
            <w:pPr>
              <w:rPr>
                <w:sz w:val="4"/>
                <w:szCs w:val="4"/>
              </w:rPr>
            </w:pPr>
          </w:p>
        </w:tc>
        <w:tc>
          <w:tcPr>
            <w:tcW w:w="100" w:type="dxa"/>
            <w:tcBorders>
              <w:bottom w:val="single" w:sz="8" w:space="0" w:color="auto"/>
            </w:tcBorders>
            <w:vAlign w:val="bottom"/>
          </w:tcPr>
          <w:p w14:paraId="099C4971" w14:textId="77777777" w:rsidR="00D1587D" w:rsidRDefault="00D1587D">
            <w:pPr>
              <w:rPr>
                <w:sz w:val="4"/>
                <w:szCs w:val="4"/>
              </w:rPr>
            </w:pPr>
          </w:p>
        </w:tc>
        <w:tc>
          <w:tcPr>
            <w:tcW w:w="80" w:type="dxa"/>
            <w:tcBorders>
              <w:bottom w:val="single" w:sz="8" w:space="0" w:color="auto"/>
            </w:tcBorders>
            <w:vAlign w:val="bottom"/>
          </w:tcPr>
          <w:p w14:paraId="4BBA1984" w14:textId="77777777" w:rsidR="00D1587D" w:rsidRDefault="00D1587D">
            <w:pPr>
              <w:rPr>
                <w:sz w:val="4"/>
                <w:szCs w:val="4"/>
              </w:rPr>
            </w:pPr>
          </w:p>
        </w:tc>
        <w:tc>
          <w:tcPr>
            <w:tcW w:w="200" w:type="dxa"/>
            <w:tcBorders>
              <w:bottom w:val="single" w:sz="8" w:space="0" w:color="CCEEFF"/>
            </w:tcBorders>
            <w:vAlign w:val="bottom"/>
          </w:tcPr>
          <w:p w14:paraId="3D71AFE6" w14:textId="77777777" w:rsidR="00D1587D" w:rsidRDefault="00D1587D">
            <w:pPr>
              <w:rPr>
                <w:sz w:val="4"/>
                <w:szCs w:val="4"/>
              </w:rPr>
            </w:pPr>
          </w:p>
        </w:tc>
        <w:tc>
          <w:tcPr>
            <w:tcW w:w="160" w:type="dxa"/>
            <w:tcBorders>
              <w:bottom w:val="single" w:sz="8" w:space="0" w:color="auto"/>
            </w:tcBorders>
            <w:vAlign w:val="bottom"/>
          </w:tcPr>
          <w:p w14:paraId="4D75E751" w14:textId="77777777" w:rsidR="00D1587D" w:rsidRDefault="00D1587D">
            <w:pPr>
              <w:rPr>
                <w:sz w:val="4"/>
                <w:szCs w:val="4"/>
              </w:rPr>
            </w:pPr>
          </w:p>
        </w:tc>
        <w:tc>
          <w:tcPr>
            <w:tcW w:w="120" w:type="dxa"/>
            <w:tcBorders>
              <w:bottom w:val="single" w:sz="8" w:space="0" w:color="auto"/>
            </w:tcBorders>
            <w:vAlign w:val="bottom"/>
          </w:tcPr>
          <w:p w14:paraId="3F37E352" w14:textId="77777777" w:rsidR="00D1587D" w:rsidRDefault="00D1587D">
            <w:pPr>
              <w:rPr>
                <w:sz w:val="4"/>
                <w:szCs w:val="4"/>
              </w:rPr>
            </w:pPr>
          </w:p>
        </w:tc>
        <w:tc>
          <w:tcPr>
            <w:tcW w:w="220" w:type="dxa"/>
            <w:tcBorders>
              <w:bottom w:val="single" w:sz="8" w:space="0" w:color="auto"/>
            </w:tcBorders>
            <w:vAlign w:val="bottom"/>
          </w:tcPr>
          <w:p w14:paraId="5E1892E9" w14:textId="77777777" w:rsidR="00D1587D" w:rsidRDefault="00D1587D">
            <w:pPr>
              <w:rPr>
                <w:sz w:val="4"/>
                <w:szCs w:val="4"/>
              </w:rPr>
            </w:pPr>
          </w:p>
        </w:tc>
        <w:tc>
          <w:tcPr>
            <w:tcW w:w="200" w:type="dxa"/>
            <w:tcBorders>
              <w:bottom w:val="single" w:sz="8" w:space="0" w:color="CCEEFF"/>
            </w:tcBorders>
            <w:vAlign w:val="bottom"/>
          </w:tcPr>
          <w:p w14:paraId="6FC8D17A" w14:textId="77777777" w:rsidR="00D1587D" w:rsidRDefault="00D1587D">
            <w:pPr>
              <w:rPr>
                <w:sz w:val="4"/>
                <w:szCs w:val="4"/>
              </w:rPr>
            </w:pPr>
          </w:p>
        </w:tc>
        <w:tc>
          <w:tcPr>
            <w:tcW w:w="320" w:type="dxa"/>
            <w:tcBorders>
              <w:bottom w:val="single" w:sz="8" w:space="0" w:color="auto"/>
            </w:tcBorders>
            <w:vAlign w:val="bottom"/>
          </w:tcPr>
          <w:p w14:paraId="0619378D" w14:textId="77777777" w:rsidR="00D1587D" w:rsidRDefault="00D1587D">
            <w:pPr>
              <w:rPr>
                <w:sz w:val="4"/>
                <w:szCs w:val="4"/>
              </w:rPr>
            </w:pPr>
          </w:p>
        </w:tc>
        <w:tc>
          <w:tcPr>
            <w:tcW w:w="100" w:type="dxa"/>
            <w:tcBorders>
              <w:bottom w:val="single" w:sz="8" w:space="0" w:color="auto"/>
            </w:tcBorders>
            <w:vAlign w:val="bottom"/>
          </w:tcPr>
          <w:p w14:paraId="1074C403" w14:textId="77777777" w:rsidR="00D1587D" w:rsidRDefault="00D1587D">
            <w:pPr>
              <w:rPr>
                <w:sz w:val="4"/>
                <w:szCs w:val="4"/>
              </w:rPr>
            </w:pPr>
          </w:p>
        </w:tc>
        <w:tc>
          <w:tcPr>
            <w:tcW w:w="200" w:type="dxa"/>
            <w:tcBorders>
              <w:bottom w:val="single" w:sz="8" w:space="0" w:color="CCEEFF"/>
            </w:tcBorders>
            <w:vAlign w:val="bottom"/>
          </w:tcPr>
          <w:p w14:paraId="6A906BDF" w14:textId="77777777" w:rsidR="00D1587D" w:rsidRDefault="00D1587D">
            <w:pPr>
              <w:rPr>
                <w:sz w:val="4"/>
                <w:szCs w:val="4"/>
              </w:rPr>
            </w:pPr>
          </w:p>
        </w:tc>
        <w:tc>
          <w:tcPr>
            <w:tcW w:w="540" w:type="dxa"/>
            <w:tcBorders>
              <w:bottom w:val="single" w:sz="8" w:space="0" w:color="auto"/>
            </w:tcBorders>
            <w:vAlign w:val="bottom"/>
          </w:tcPr>
          <w:p w14:paraId="41874079" w14:textId="77777777" w:rsidR="00D1587D" w:rsidRDefault="00D1587D">
            <w:pPr>
              <w:rPr>
                <w:sz w:val="4"/>
                <w:szCs w:val="4"/>
              </w:rPr>
            </w:pPr>
          </w:p>
        </w:tc>
        <w:tc>
          <w:tcPr>
            <w:tcW w:w="0" w:type="dxa"/>
            <w:vAlign w:val="bottom"/>
          </w:tcPr>
          <w:p w14:paraId="7CC14276" w14:textId="77777777" w:rsidR="00D1587D" w:rsidRDefault="00D1587D">
            <w:pPr>
              <w:rPr>
                <w:sz w:val="1"/>
                <w:szCs w:val="1"/>
              </w:rPr>
            </w:pPr>
          </w:p>
        </w:tc>
      </w:tr>
      <w:tr w:rsidR="00D1587D" w14:paraId="13D72DA0" w14:textId="77777777">
        <w:trPr>
          <w:trHeight w:val="311"/>
        </w:trPr>
        <w:tc>
          <w:tcPr>
            <w:tcW w:w="4860" w:type="dxa"/>
            <w:tcBorders>
              <w:bottom w:val="single" w:sz="8" w:space="0" w:color="CCEEFF"/>
            </w:tcBorders>
            <w:shd w:val="clear" w:color="auto" w:fill="CCEEFF"/>
            <w:vAlign w:val="bottom"/>
          </w:tcPr>
          <w:p w14:paraId="6260EC63" w14:textId="77777777" w:rsidR="00D1587D" w:rsidRDefault="00410D07">
            <w:pPr>
              <w:rPr>
                <w:sz w:val="20"/>
                <w:szCs w:val="20"/>
              </w:rPr>
            </w:pPr>
            <w:r>
              <w:rPr>
                <w:rFonts w:ascii="Arial" w:eastAsia="Arial" w:hAnsi="Arial" w:cs="Arial"/>
                <w:sz w:val="18"/>
                <w:szCs w:val="18"/>
              </w:rPr>
              <w:t>U.S.</w:t>
            </w:r>
          </w:p>
        </w:tc>
        <w:tc>
          <w:tcPr>
            <w:tcW w:w="640" w:type="dxa"/>
            <w:tcBorders>
              <w:bottom w:val="single" w:sz="8" w:space="0" w:color="CCEEFF"/>
            </w:tcBorders>
            <w:shd w:val="clear" w:color="auto" w:fill="CCEEFF"/>
            <w:vAlign w:val="bottom"/>
          </w:tcPr>
          <w:p w14:paraId="3B598881" w14:textId="77777777" w:rsidR="00D1587D" w:rsidRDefault="00D1587D">
            <w:pPr>
              <w:rPr>
                <w:sz w:val="24"/>
                <w:szCs w:val="24"/>
              </w:rPr>
            </w:pPr>
          </w:p>
        </w:tc>
        <w:tc>
          <w:tcPr>
            <w:tcW w:w="80" w:type="dxa"/>
            <w:tcBorders>
              <w:bottom w:val="single" w:sz="8" w:space="0" w:color="CCEEFF"/>
            </w:tcBorders>
            <w:shd w:val="clear" w:color="auto" w:fill="CCEEFF"/>
            <w:vAlign w:val="bottom"/>
          </w:tcPr>
          <w:p w14:paraId="74D67DF9" w14:textId="77777777" w:rsidR="00D1587D" w:rsidRDefault="00D1587D">
            <w:pPr>
              <w:rPr>
                <w:sz w:val="24"/>
                <w:szCs w:val="24"/>
              </w:rPr>
            </w:pPr>
          </w:p>
        </w:tc>
        <w:tc>
          <w:tcPr>
            <w:tcW w:w="20" w:type="dxa"/>
            <w:tcBorders>
              <w:bottom w:val="single" w:sz="8" w:space="0" w:color="CCEEFF"/>
            </w:tcBorders>
            <w:shd w:val="clear" w:color="auto" w:fill="CCEEFF"/>
            <w:vAlign w:val="bottom"/>
          </w:tcPr>
          <w:p w14:paraId="63ABB3BD" w14:textId="77777777" w:rsidR="00D1587D" w:rsidRDefault="00D1587D">
            <w:pPr>
              <w:rPr>
                <w:sz w:val="24"/>
                <w:szCs w:val="24"/>
              </w:rPr>
            </w:pPr>
          </w:p>
        </w:tc>
        <w:tc>
          <w:tcPr>
            <w:tcW w:w="680" w:type="dxa"/>
            <w:gridSpan w:val="3"/>
            <w:tcBorders>
              <w:bottom w:val="single" w:sz="8" w:space="0" w:color="CCEEFF"/>
            </w:tcBorders>
            <w:shd w:val="clear" w:color="auto" w:fill="CCEEFF"/>
            <w:vAlign w:val="bottom"/>
          </w:tcPr>
          <w:p w14:paraId="4D1B4448" w14:textId="77777777" w:rsidR="00D1587D" w:rsidRDefault="00410D07">
            <w:pPr>
              <w:ind w:right="100"/>
              <w:jc w:val="right"/>
              <w:rPr>
                <w:sz w:val="20"/>
                <w:szCs w:val="20"/>
              </w:rPr>
            </w:pPr>
            <w:r>
              <w:rPr>
                <w:rFonts w:ascii="Arial" w:eastAsia="Arial" w:hAnsi="Arial" w:cs="Arial"/>
                <w:sz w:val="18"/>
                <w:szCs w:val="18"/>
              </w:rPr>
              <w:t>1,053</w:t>
            </w:r>
          </w:p>
        </w:tc>
        <w:tc>
          <w:tcPr>
            <w:tcW w:w="780" w:type="dxa"/>
            <w:gridSpan w:val="5"/>
            <w:tcBorders>
              <w:bottom w:val="single" w:sz="8" w:space="0" w:color="CCEEFF"/>
            </w:tcBorders>
            <w:shd w:val="clear" w:color="auto" w:fill="CCEEFF"/>
            <w:vAlign w:val="bottom"/>
          </w:tcPr>
          <w:p w14:paraId="2A176A34" w14:textId="77777777" w:rsidR="00D1587D" w:rsidRDefault="00410D07">
            <w:pPr>
              <w:ind w:right="108"/>
              <w:jc w:val="right"/>
              <w:rPr>
                <w:sz w:val="20"/>
                <w:szCs w:val="20"/>
              </w:rPr>
            </w:pPr>
            <w:r>
              <w:rPr>
                <w:rFonts w:ascii="Arial" w:eastAsia="Arial" w:hAnsi="Arial" w:cs="Arial"/>
                <w:sz w:val="18"/>
                <w:szCs w:val="18"/>
              </w:rPr>
              <w:t>1</w:t>
            </w:r>
          </w:p>
        </w:tc>
        <w:tc>
          <w:tcPr>
            <w:tcW w:w="620" w:type="dxa"/>
            <w:gridSpan w:val="3"/>
            <w:tcBorders>
              <w:bottom w:val="single" w:sz="8" w:space="0" w:color="CCEEFF"/>
            </w:tcBorders>
            <w:shd w:val="clear" w:color="auto" w:fill="CCEEFF"/>
            <w:vAlign w:val="bottom"/>
          </w:tcPr>
          <w:p w14:paraId="5F5223E1" w14:textId="77777777" w:rsidR="00D1587D" w:rsidRDefault="00410D07">
            <w:pPr>
              <w:ind w:right="20"/>
              <w:jc w:val="right"/>
              <w:rPr>
                <w:sz w:val="20"/>
                <w:szCs w:val="20"/>
              </w:rPr>
            </w:pPr>
            <w:r>
              <w:rPr>
                <w:rFonts w:ascii="Arial" w:eastAsia="Arial" w:hAnsi="Arial" w:cs="Arial"/>
                <w:sz w:val="18"/>
                <w:szCs w:val="18"/>
              </w:rPr>
              <w:t>(21)</w:t>
            </w:r>
          </w:p>
        </w:tc>
        <w:tc>
          <w:tcPr>
            <w:tcW w:w="740" w:type="dxa"/>
            <w:gridSpan w:val="2"/>
            <w:tcBorders>
              <w:bottom w:val="single" w:sz="8" w:space="0" w:color="CCEEFF"/>
            </w:tcBorders>
            <w:shd w:val="clear" w:color="auto" w:fill="CCEEFF"/>
            <w:vAlign w:val="bottom"/>
          </w:tcPr>
          <w:p w14:paraId="6D376A84" w14:textId="77777777" w:rsidR="00D1587D" w:rsidRDefault="00410D07">
            <w:pPr>
              <w:ind w:left="114"/>
              <w:jc w:val="center"/>
              <w:rPr>
                <w:sz w:val="20"/>
                <w:szCs w:val="20"/>
              </w:rPr>
            </w:pPr>
            <w:r>
              <w:rPr>
                <w:rFonts w:ascii="Arial" w:eastAsia="Arial" w:hAnsi="Arial" w:cs="Arial"/>
                <w:w w:val="93"/>
                <w:sz w:val="18"/>
                <w:szCs w:val="18"/>
              </w:rPr>
              <w:t>1,033</w:t>
            </w:r>
          </w:p>
        </w:tc>
        <w:tc>
          <w:tcPr>
            <w:tcW w:w="0" w:type="dxa"/>
            <w:vAlign w:val="bottom"/>
          </w:tcPr>
          <w:p w14:paraId="01FE4CDB" w14:textId="77777777" w:rsidR="00D1587D" w:rsidRDefault="00D1587D">
            <w:pPr>
              <w:rPr>
                <w:sz w:val="1"/>
                <w:szCs w:val="1"/>
              </w:rPr>
            </w:pPr>
          </w:p>
        </w:tc>
      </w:tr>
      <w:tr w:rsidR="00D1587D" w14:paraId="1687BCEA" w14:textId="77777777">
        <w:trPr>
          <w:trHeight w:val="270"/>
        </w:trPr>
        <w:tc>
          <w:tcPr>
            <w:tcW w:w="4860" w:type="dxa"/>
            <w:vAlign w:val="bottom"/>
          </w:tcPr>
          <w:p w14:paraId="40FE1238" w14:textId="77777777" w:rsidR="00D1587D" w:rsidRDefault="00410D07">
            <w:pPr>
              <w:rPr>
                <w:sz w:val="20"/>
                <w:szCs w:val="20"/>
              </w:rPr>
            </w:pPr>
            <w:r>
              <w:rPr>
                <w:rFonts w:ascii="Arial" w:eastAsia="Arial" w:hAnsi="Arial" w:cs="Arial"/>
                <w:sz w:val="18"/>
                <w:szCs w:val="18"/>
              </w:rPr>
              <w:t>Canada</w:t>
            </w:r>
          </w:p>
        </w:tc>
        <w:tc>
          <w:tcPr>
            <w:tcW w:w="640" w:type="dxa"/>
            <w:vAlign w:val="bottom"/>
          </w:tcPr>
          <w:p w14:paraId="6E0DB692" w14:textId="77777777" w:rsidR="00D1587D" w:rsidRDefault="00D1587D">
            <w:pPr>
              <w:rPr>
                <w:sz w:val="23"/>
                <w:szCs w:val="23"/>
              </w:rPr>
            </w:pPr>
          </w:p>
        </w:tc>
        <w:tc>
          <w:tcPr>
            <w:tcW w:w="80" w:type="dxa"/>
            <w:vAlign w:val="bottom"/>
          </w:tcPr>
          <w:p w14:paraId="1F220324" w14:textId="77777777" w:rsidR="00D1587D" w:rsidRDefault="00D1587D">
            <w:pPr>
              <w:rPr>
                <w:sz w:val="23"/>
                <w:szCs w:val="23"/>
              </w:rPr>
            </w:pPr>
          </w:p>
        </w:tc>
        <w:tc>
          <w:tcPr>
            <w:tcW w:w="20" w:type="dxa"/>
            <w:vAlign w:val="bottom"/>
          </w:tcPr>
          <w:p w14:paraId="76DF388B" w14:textId="77777777" w:rsidR="00D1587D" w:rsidRDefault="00D1587D">
            <w:pPr>
              <w:rPr>
                <w:sz w:val="23"/>
                <w:szCs w:val="23"/>
              </w:rPr>
            </w:pPr>
          </w:p>
        </w:tc>
        <w:tc>
          <w:tcPr>
            <w:tcW w:w="580" w:type="dxa"/>
            <w:gridSpan w:val="2"/>
            <w:vAlign w:val="bottom"/>
          </w:tcPr>
          <w:p w14:paraId="6C891CBC" w14:textId="77777777" w:rsidR="00D1587D" w:rsidRDefault="00410D07">
            <w:pPr>
              <w:jc w:val="right"/>
              <w:rPr>
                <w:sz w:val="20"/>
                <w:szCs w:val="20"/>
              </w:rPr>
            </w:pPr>
            <w:r>
              <w:rPr>
                <w:rFonts w:ascii="Arial" w:eastAsia="Arial" w:hAnsi="Arial" w:cs="Arial"/>
                <w:sz w:val="18"/>
                <w:szCs w:val="18"/>
              </w:rPr>
              <w:t>38</w:t>
            </w:r>
          </w:p>
        </w:tc>
        <w:tc>
          <w:tcPr>
            <w:tcW w:w="100" w:type="dxa"/>
            <w:vAlign w:val="bottom"/>
          </w:tcPr>
          <w:p w14:paraId="63205C65" w14:textId="77777777" w:rsidR="00D1587D" w:rsidRDefault="00D1587D">
            <w:pPr>
              <w:rPr>
                <w:sz w:val="23"/>
                <w:szCs w:val="23"/>
              </w:rPr>
            </w:pPr>
          </w:p>
        </w:tc>
        <w:tc>
          <w:tcPr>
            <w:tcW w:w="80" w:type="dxa"/>
            <w:vAlign w:val="bottom"/>
          </w:tcPr>
          <w:p w14:paraId="6B857185" w14:textId="77777777" w:rsidR="00D1587D" w:rsidRDefault="00D1587D">
            <w:pPr>
              <w:rPr>
                <w:sz w:val="23"/>
                <w:szCs w:val="23"/>
              </w:rPr>
            </w:pPr>
          </w:p>
        </w:tc>
        <w:tc>
          <w:tcPr>
            <w:tcW w:w="200" w:type="dxa"/>
            <w:vAlign w:val="bottom"/>
          </w:tcPr>
          <w:p w14:paraId="7960EB8E" w14:textId="77777777" w:rsidR="00D1587D" w:rsidRDefault="00D1587D">
            <w:pPr>
              <w:rPr>
                <w:sz w:val="23"/>
                <w:szCs w:val="23"/>
              </w:rPr>
            </w:pPr>
          </w:p>
        </w:tc>
        <w:tc>
          <w:tcPr>
            <w:tcW w:w="160" w:type="dxa"/>
            <w:vAlign w:val="bottom"/>
          </w:tcPr>
          <w:p w14:paraId="1639AAB0" w14:textId="77777777" w:rsidR="00D1587D" w:rsidRDefault="00D1587D">
            <w:pPr>
              <w:rPr>
                <w:sz w:val="23"/>
                <w:szCs w:val="23"/>
              </w:rPr>
            </w:pPr>
          </w:p>
        </w:tc>
        <w:tc>
          <w:tcPr>
            <w:tcW w:w="120" w:type="dxa"/>
            <w:vAlign w:val="bottom"/>
          </w:tcPr>
          <w:p w14:paraId="3D55DE68" w14:textId="77777777" w:rsidR="00D1587D" w:rsidRDefault="00D1587D">
            <w:pPr>
              <w:rPr>
                <w:sz w:val="23"/>
                <w:szCs w:val="23"/>
              </w:rPr>
            </w:pPr>
          </w:p>
        </w:tc>
        <w:tc>
          <w:tcPr>
            <w:tcW w:w="220" w:type="dxa"/>
            <w:vAlign w:val="bottom"/>
          </w:tcPr>
          <w:p w14:paraId="224205AA" w14:textId="77777777" w:rsidR="00D1587D" w:rsidRDefault="00D1587D">
            <w:pPr>
              <w:rPr>
                <w:sz w:val="23"/>
                <w:szCs w:val="23"/>
              </w:rPr>
            </w:pPr>
          </w:p>
        </w:tc>
        <w:tc>
          <w:tcPr>
            <w:tcW w:w="620" w:type="dxa"/>
            <w:gridSpan w:val="3"/>
            <w:vAlign w:val="bottom"/>
          </w:tcPr>
          <w:p w14:paraId="59E001FB" w14:textId="77777777" w:rsidR="00D1587D" w:rsidRDefault="00410D07">
            <w:pPr>
              <w:ind w:right="40"/>
              <w:jc w:val="right"/>
              <w:rPr>
                <w:sz w:val="20"/>
                <w:szCs w:val="20"/>
              </w:rPr>
            </w:pPr>
            <w:r>
              <w:rPr>
                <w:rFonts w:ascii="Arial" w:eastAsia="Arial" w:hAnsi="Arial" w:cs="Arial"/>
                <w:sz w:val="18"/>
                <w:szCs w:val="18"/>
              </w:rPr>
              <w:t>(1)</w:t>
            </w:r>
          </w:p>
        </w:tc>
        <w:tc>
          <w:tcPr>
            <w:tcW w:w="740" w:type="dxa"/>
            <w:gridSpan w:val="2"/>
            <w:vAlign w:val="bottom"/>
          </w:tcPr>
          <w:p w14:paraId="01B8CF02" w14:textId="77777777" w:rsidR="00D1587D" w:rsidRDefault="00410D07">
            <w:pPr>
              <w:ind w:right="4"/>
              <w:jc w:val="right"/>
              <w:rPr>
                <w:sz w:val="20"/>
                <w:szCs w:val="20"/>
              </w:rPr>
            </w:pPr>
            <w:r>
              <w:rPr>
                <w:rFonts w:ascii="Arial" w:eastAsia="Arial" w:hAnsi="Arial" w:cs="Arial"/>
                <w:sz w:val="18"/>
                <w:szCs w:val="18"/>
              </w:rPr>
              <w:t>37</w:t>
            </w:r>
          </w:p>
        </w:tc>
        <w:tc>
          <w:tcPr>
            <w:tcW w:w="0" w:type="dxa"/>
            <w:vAlign w:val="bottom"/>
          </w:tcPr>
          <w:p w14:paraId="29EA2485" w14:textId="77777777" w:rsidR="00D1587D" w:rsidRDefault="00D1587D">
            <w:pPr>
              <w:rPr>
                <w:sz w:val="1"/>
                <w:szCs w:val="1"/>
              </w:rPr>
            </w:pPr>
          </w:p>
        </w:tc>
      </w:tr>
      <w:tr w:rsidR="00D1587D" w14:paraId="0C8DBFD0" w14:textId="77777777">
        <w:trPr>
          <w:trHeight w:val="54"/>
        </w:trPr>
        <w:tc>
          <w:tcPr>
            <w:tcW w:w="4860" w:type="dxa"/>
            <w:vAlign w:val="bottom"/>
          </w:tcPr>
          <w:p w14:paraId="70672922" w14:textId="77777777" w:rsidR="00D1587D" w:rsidRDefault="00D1587D">
            <w:pPr>
              <w:rPr>
                <w:sz w:val="4"/>
                <w:szCs w:val="4"/>
              </w:rPr>
            </w:pPr>
          </w:p>
        </w:tc>
        <w:tc>
          <w:tcPr>
            <w:tcW w:w="640" w:type="dxa"/>
            <w:vAlign w:val="bottom"/>
          </w:tcPr>
          <w:p w14:paraId="40A1EC2C" w14:textId="77777777" w:rsidR="00D1587D" w:rsidRDefault="00D1587D">
            <w:pPr>
              <w:rPr>
                <w:sz w:val="4"/>
                <w:szCs w:val="4"/>
              </w:rPr>
            </w:pPr>
          </w:p>
        </w:tc>
        <w:tc>
          <w:tcPr>
            <w:tcW w:w="80" w:type="dxa"/>
            <w:vAlign w:val="bottom"/>
          </w:tcPr>
          <w:p w14:paraId="1EEE2057" w14:textId="77777777" w:rsidR="00D1587D" w:rsidRDefault="00D1587D">
            <w:pPr>
              <w:rPr>
                <w:sz w:val="4"/>
                <w:szCs w:val="4"/>
              </w:rPr>
            </w:pPr>
          </w:p>
        </w:tc>
        <w:tc>
          <w:tcPr>
            <w:tcW w:w="20" w:type="dxa"/>
            <w:vAlign w:val="bottom"/>
          </w:tcPr>
          <w:p w14:paraId="305B609B" w14:textId="77777777" w:rsidR="00D1587D" w:rsidRDefault="00D1587D">
            <w:pPr>
              <w:rPr>
                <w:sz w:val="4"/>
                <w:szCs w:val="4"/>
              </w:rPr>
            </w:pPr>
          </w:p>
        </w:tc>
        <w:tc>
          <w:tcPr>
            <w:tcW w:w="80" w:type="dxa"/>
            <w:vAlign w:val="bottom"/>
          </w:tcPr>
          <w:p w14:paraId="3C95DA39" w14:textId="77777777" w:rsidR="00D1587D" w:rsidRDefault="00D1587D">
            <w:pPr>
              <w:rPr>
                <w:sz w:val="4"/>
                <w:szCs w:val="4"/>
              </w:rPr>
            </w:pPr>
          </w:p>
        </w:tc>
        <w:tc>
          <w:tcPr>
            <w:tcW w:w="500" w:type="dxa"/>
            <w:vAlign w:val="bottom"/>
          </w:tcPr>
          <w:p w14:paraId="5BE19439" w14:textId="77777777" w:rsidR="00D1587D" w:rsidRDefault="00D1587D">
            <w:pPr>
              <w:rPr>
                <w:sz w:val="4"/>
                <w:szCs w:val="4"/>
              </w:rPr>
            </w:pPr>
          </w:p>
        </w:tc>
        <w:tc>
          <w:tcPr>
            <w:tcW w:w="100" w:type="dxa"/>
            <w:vAlign w:val="bottom"/>
          </w:tcPr>
          <w:p w14:paraId="78002E8A" w14:textId="77777777" w:rsidR="00D1587D" w:rsidRDefault="00D1587D">
            <w:pPr>
              <w:rPr>
                <w:sz w:val="4"/>
                <w:szCs w:val="4"/>
              </w:rPr>
            </w:pPr>
          </w:p>
        </w:tc>
        <w:tc>
          <w:tcPr>
            <w:tcW w:w="80" w:type="dxa"/>
            <w:vAlign w:val="bottom"/>
          </w:tcPr>
          <w:p w14:paraId="3A064A30" w14:textId="77777777" w:rsidR="00D1587D" w:rsidRDefault="00D1587D">
            <w:pPr>
              <w:rPr>
                <w:sz w:val="4"/>
                <w:szCs w:val="4"/>
              </w:rPr>
            </w:pPr>
          </w:p>
        </w:tc>
        <w:tc>
          <w:tcPr>
            <w:tcW w:w="200" w:type="dxa"/>
            <w:vAlign w:val="bottom"/>
          </w:tcPr>
          <w:p w14:paraId="1E58D633" w14:textId="77777777" w:rsidR="00D1587D" w:rsidRDefault="00D1587D">
            <w:pPr>
              <w:rPr>
                <w:sz w:val="4"/>
                <w:szCs w:val="4"/>
              </w:rPr>
            </w:pPr>
          </w:p>
        </w:tc>
        <w:tc>
          <w:tcPr>
            <w:tcW w:w="160" w:type="dxa"/>
            <w:vAlign w:val="bottom"/>
          </w:tcPr>
          <w:p w14:paraId="511E364C" w14:textId="77777777" w:rsidR="00D1587D" w:rsidRDefault="00D1587D">
            <w:pPr>
              <w:rPr>
                <w:sz w:val="4"/>
                <w:szCs w:val="4"/>
              </w:rPr>
            </w:pPr>
          </w:p>
        </w:tc>
        <w:tc>
          <w:tcPr>
            <w:tcW w:w="120" w:type="dxa"/>
            <w:vAlign w:val="bottom"/>
          </w:tcPr>
          <w:p w14:paraId="0F15DE4D" w14:textId="77777777" w:rsidR="00D1587D" w:rsidRDefault="00D1587D">
            <w:pPr>
              <w:rPr>
                <w:sz w:val="4"/>
                <w:szCs w:val="4"/>
              </w:rPr>
            </w:pPr>
          </w:p>
        </w:tc>
        <w:tc>
          <w:tcPr>
            <w:tcW w:w="220" w:type="dxa"/>
            <w:vAlign w:val="bottom"/>
          </w:tcPr>
          <w:p w14:paraId="54FDD789" w14:textId="77777777" w:rsidR="00D1587D" w:rsidRDefault="00D1587D">
            <w:pPr>
              <w:rPr>
                <w:sz w:val="4"/>
                <w:szCs w:val="4"/>
              </w:rPr>
            </w:pPr>
          </w:p>
        </w:tc>
        <w:tc>
          <w:tcPr>
            <w:tcW w:w="200" w:type="dxa"/>
            <w:vAlign w:val="bottom"/>
          </w:tcPr>
          <w:p w14:paraId="29427904" w14:textId="77777777" w:rsidR="00D1587D" w:rsidRDefault="00D1587D">
            <w:pPr>
              <w:rPr>
                <w:sz w:val="4"/>
                <w:szCs w:val="4"/>
              </w:rPr>
            </w:pPr>
          </w:p>
        </w:tc>
        <w:tc>
          <w:tcPr>
            <w:tcW w:w="320" w:type="dxa"/>
            <w:vAlign w:val="bottom"/>
          </w:tcPr>
          <w:p w14:paraId="7629448C" w14:textId="77777777" w:rsidR="00D1587D" w:rsidRDefault="00D1587D">
            <w:pPr>
              <w:rPr>
                <w:sz w:val="4"/>
                <w:szCs w:val="4"/>
              </w:rPr>
            </w:pPr>
          </w:p>
        </w:tc>
        <w:tc>
          <w:tcPr>
            <w:tcW w:w="100" w:type="dxa"/>
            <w:vAlign w:val="bottom"/>
          </w:tcPr>
          <w:p w14:paraId="2837B49C" w14:textId="77777777" w:rsidR="00D1587D" w:rsidRDefault="00D1587D">
            <w:pPr>
              <w:rPr>
                <w:sz w:val="4"/>
                <w:szCs w:val="4"/>
              </w:rPr>
            </w:pPr>
          </w:p>
        </w:tc>
        <w:tc>
          <w:tcPr>
            <w:tcW w:w="740" w:type="dxa"/>
            <w:gridSpan w:val="2"/>
            <w:vAlign w:val="bottom"/>
          </w:tcPr>
          <w:p w14:paraId="7C1880FC" w14:textId="77777777" w:rsidR="00D1587D" w:rsidRDefault="00D1587D">
            <w:pPr>
              <w:rPr>
                <w:sz w:val="4"/>
                <w:szCs w:val="4"/>
              </w:rPr>
            </w:pPr>
          </w:p>
        </w:tc>
        <w:tc>
          <w:tcPr>
            <w:tcW w:w="0" w:type="dxa"/>
            <w:vAlign w:val="bottom"/>
          </w:tcPr>
          <w:p w14:paraId="53194C37" w14:textId="77777777" w:rsidR="00D1587D" w:rsidRDefault="00D1587D">
            <w:pPr>
              <w:rPr>
                <w:sz w:val="1"/>
                <w:szCs w:val="1"/>
              </w:rPr>
            </w:pPr>
          </w:p>
        </w:tc>
      </w:tr>
      <w:tr w:rsidR="00D1587D" w14:paraId="790CFC31" w14:textId="77777777">
        <w:trPr>
          <w:trHeight w:val="304"/>
        </w:trPr>
        <w:tc>
          <w:tcPr>
            <w:tcW w:w="4860" w:type="dxa"/>
            <w:tcBorders>
              <w:bottom w:val="single" w:sz="8" w:space="0" w:color="CCEEFF"/>
            </w:tcBorders>
            <w:shd w:val="clear" w:color="auto" w:fill="CCEEFF"/>
            <w:vAlign w:val="bottom"/>
          </w:tcPr>
          <w:p w14:paraId="35043C45" w14:textId="77777777" w:rsidR="00D1587D" w:rsidRDefault="00410D07">
            <w:pPr>
              <w:rPr>
                <w:sz w:val="20"/>
                <w:szCs w:val="20"/>
              </w:rPr>
            </w:pPr>
            <w:r>
              <w:rPr>
                <w:rFonts w:ascii="Arial" w:eastAsia="Arial" w:hAnsi="Arial" w:cs="Arial"/>
                <w:sz w:val="18"/>
                <w:szCs w:val="18"/>
              </w:rPr>
              <w:t>U.K. / Ireland</w:t>
            </w:r>
          </w:p>
        </w:tc>
        <w:tc>
          <w:tcPr>
            <w:tcW w:w="640" w:type="dxa"/>
            <w:tcBorders>
              <w:bottom w:val="single" w:sz="8" w:space="0" w:color="CCEEFF"/>
            </w:tcBorders>
            <w:shd w:val="clear" w:color="auto" w:fill="CCEEFF"/>
            <w:vAlign w:val="bottom"/>
          </w:tcPr>
          <w:p w14:paraId="7E88F542" w14:textId="77777777" w:rsidR="00D1587D" w:rsidRDefault="00D1587D">
            <w:pPr>
              <w:rPr>
                <w:sz w:val="24"/>
                <w:szCs w:val="24"/>
              </w:rPr>
            </w:pPr>
          </w:p>
        </w:tc>
        <w:tc>
          <w:tcPr>
            <w:tcW w:w="80" w:type="dxa"/>
            <w:tcBorders>
              <w:bottom w:val="single" w:sz="8" w:space="0" w:color="CCEEFF"/>
            </w:tcBorders>
            <w:shd w:val="clear" w:color="auto" w:fill="CCEEFF"/>
            <w:vAlign w:val="bottom"/>
          </w:tcPr>
          <w:p w14:paraId="6735EF24" w14:textId="77777777" w:rsidR="00D1587D" w:rsidRDefault="00D1587D">
            <w:pPr>
              <w:rPr>
                <w:sz w:val="24"/>
                <w:szCs w:val="24"/>
              </w:rPr>
            </w:pPr>
          </w:p>
        </w:tc>
        <w:tc>
          <w:tcPr>
            <w:tcW w:w="20" w:type="dxa"/>
            <w:tcBorders>
              <w:bottom w:val="single" w:sz="8" w:space="0" w:color="CCEEFF"/>
            </w:tcBorders>
            <w:shd w:val="clear" w:color="auto" w:fill="CCEEFF"/>
            <w:vAlign w:val="bottom"/>
          </w:tcPr>
          <w:p w14:paraId="1B24362F"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573F7773" w14:textId="77777777" w:rsidR="00D1587D" w:rsidRDefault="00410D07">
            <w:pPr>
              <w:jc w:val="right"/>
              <w:rPr>
                <w:sz w:val="20"/>
                <w:szCs w:val="20"/>
              </w:rPr>
            </w:pPr>
            <w:r>
              <w:rPr>
                <w:rFonts w:ascii="Arial" w:eastAsia="Arial" w:hAnsi="Arial" w:cs="Arial"/>
                <w:sz w:val="18"/>
                <w:szCs w:val="18"/>
              </w:rPr>
              <w:t>26</w:t>
            </w:r>
          </w:p>
        </w:tc>
        <w:tc>
          <w:tcPr>
            <w:tcW w:w="100" w:type="dxa"/>
            <w:tcBorders>
              <w:bottom w:val="single" w:sz="8" w:space="0" w:color="CCEEFF"/>
            </w:tcBorders>
            <w:shd w:val="clear" w:color="auto" w:fill="CCEEFF"/>
            <w:vAlign w:val="bottom"/>
          </w:tcPr>
          <w:p w14:paraId="38D65078" w14:textId="77777777" w:rsidR="00D1587D" w:rsidRDefault="00D1587D">
            <w:pPr>
              <w:rPr>
                <w:sz w:val="24"/>
                <w:szCs w:val="24"/>
              </w:rPr>
            </w:pPr>
          </w:p>
        </w:tc>
        <w:tc>
          <w:tcPr>
            <w:tcW w:w="80" w:type="dxa"/>
            <w:tcBorders>
              <w:bottom w:val="single" w:sz="8" w:space="0" w:color="CCEEFF"/>
            </w:tcBorders>
            <w:shd w:val="clear" w:color="auto" w:fill="CCEEFF"/>
            <w:vAlign w:val="bottom"/>
          </w:tcPr>
          <w:p w14:paraId="10D9CF55" w14:textId="77777777" w:rsidR="00D1587D" w:rsidRDefault="00D1587D">
            <w:pPr>
              <w:rPr>
                <w:sz w:val="24"/>
                <w:szCs w:val="24"/>
              </w:rPr>
            </w:pPr>
          </w:p>
        </w:tc>
        <w:tc>
          <w:tcPr>
            <w:tcW w:w="200" w:type="dxa"/>
            <w:tcBorders>
              <w:bottom w:val="single" w:sz="8" w:space="0" w:color="CCEEFF"/>
            </w:tcBorders>
            <w:shd w:val="clear" w:color="auto" w:fill="CCEEFF"/>
            <w:vAlign w:val="bottom"/>
          </w:tcPr>
          <w:p w14:paraId="0EF3AB27" w14:textId="77777777" w:rsidR="00D1587D" w:rsidRDefault="00D1587D">
            <w:pPr>
              <w:rPr>
                <w:sz w:val="24"/>
                <w:szCs w:val="24"/>
              </w:rPr>
            </w:pPr>
          </w:p>
        </w:tc>
        <w:tc>
          <w:tcPr>
            <w:tcW w:w="500" w:type="dxa"/>
            <w:gridSpan w:val="3"/>
            <w:tcBorders>
              <w:bottom w:val="single" w:sz="8" w:space="0" w:color="CCEEFF"/>
            </w:tcBorders>
            <w:shd w:val="clear" w:color="auto" w:fill="CCEEFF"/>
            <w:vAlign w:val="bottom"/>
          </w:tcPr>
          <w:p w14:paraId="34F99E48" w14:textId="77777777" w:rsidR="00D1587D" w:rsidRDefault="00410D07">
            <w:pPr>
              <w:ind w:right="88"/>
              <w:jc w:val="right"/>
              <w:rPr>
                <w:sz w:val="20"/>
                <w:szCs w:val="20"/>
              </w:rPr>
            </w:pPr>
            <w:r>
              <w:rPr>
                <w:rFonts w:ascii="Arial" w:eastAsia="Arial" w:hAnsi="Arial" w:cs="Arial"/>
                <w:sz w:val="18"/>
                <w:szCs w:val="18"/>
              </w:rPr>
              <w:t>—</w:t>
            </w:r>
          </w:p>
        </w:tc>
        <w:tc>
          <w:tcPr>
            <w:tcW w:w="200" w:type="dxa"/>
            <w:tcBorders>
              <w:bottom w:val="single" w:sz="8" w:space="0" w:color="CCEEFF"/>
            </w:tcBorders>
            <w:shd w:val="clear" w:color="auto" w:fill="CCEEFF"/>
            <w:vAlign w:val="bottom"/>
          </w:tcPr>
          <w:p w14:paraId="673A02F3" w14:textId="77777777" w:rsidR="00D1587D" w:rsidRDefault="00D1587D">
            <w:pPr>
              <w:rPr>
                <w:sz w:val="24"/>
                <w:szCs w:val="24"/>
              </w:rPr>
            </w:pPr>
          </w:p>
        </w:tc>
        <w:tc>
          <w:tcPr>
            <w:tcW w:w="420" w:type="dxa"/>
            <w:gridSpan w:val="2"/>
            <w:tcBorders>
              <w:bottom w:val="single" w:sz="8" w:space="0" w:color="CCEEFF"/>
            </w:tcBorders>
            <w:shd w:val="clear" w:color="auto" w:fill="CCEEFF"/>
            <w:vAlign w:val="bottom"/>
          </w:tcPr>
          <w:p w14:paraId="37901977" w14:textId="77777777" w:rsidR="00D1587D" w:rsidRDefault="00410D07">
            <w:pPr>
              <w:ind w:left="160"/>
              <w:rPr>
                <w:sz w:val="20"/>
                <w:szCs w:val="20"/>
              </w:rPr>
            </w:pPr>
            <w:r>
              <w:rPr>
                <w:rFonts w:ascii="Arial" w:eastAsia="Arial" w:hAnsi="Arial" w:cs="Arial"/>
                <w:sz w:val="18"/>
                <w:szCs w:val="18"/>
              </w:rPr>
              <w:t>—</w:t>
            </w:r>
          </w:p>
        </w:tc>
        <w:tc>
          <w:tcPr>
            <w:tcW w:w="740" w:type="dxa"/>
            <w:gridSpan w:val="2"/>
            <w:tcBorders>
              <w:bottom w:val="single" w:sz="8" w:space="0" w:color="CCEEFF"/>
            </w:tcBorders>
            <w:shd w:val="clear" w:color="auto" w:fill="CCEEFF"/>
            <w:vAlign w:val="bottom"/>
          </w:tcPr>
          <w:p w14:paraId="2E2DC75E" w14:textId="77777777" w:rsidR="00D1587D" w:rsidRDefault="00410D07">
            <w:pPr>
              <w:ind w:right="4"/>
              <w:jc w:val="right"/>
              <w:rPr>
                <w:sz w:val="20"/>
                <w:szCs w:val="20"/>
              </w:rPr>
            </w:pPr>
            <w:r>
              <w:rPr>
                <w:rFonts w:ascii="Arial" w:eastAsia="Arial" w:hAnsi="Arial" w:cs="Arial"/>
                <w:sz w:val="18"/>
                <w:szCs w:val="18"/>
              </w:rPr>
              <w:t>26</w:t>
            </w:r>
          </w:p>
        </w:tc>
        <w:tc>
          <w:tcPr>
            <w:tcW w:w="0" w:type="dxa"/>
            <w:vAlign w:val="bottom"/>
          </w:tcPr>
          <w:p w14:paraId="2D463286" w14:textId="77777777" w:rsidR="00D1587D" w:rsidRDefault="00D1587D">
            <w:pPr>
              <w:rPr>
                <w:sz w:val="1"/>
                <w:szCs w:val="1"/>
              </w:rPr>
            </w:pPr>
          </w:p>
        </w:tc>
      </w:tr>
      <w:tr w:rsidR="00D1587D" w14:paraId="4A68DE86" w14:textId="77777777">
        <w:trPr>
          <w:trHeight w:val="270"/>
        </w:trPr>
        <w:tc>
          <w:tcPr>
            <w:tcW w:w="4860" w:type="dxa"/>
            <w:vAlign w:val="bottom"/>
          </w:tcPr>
          <w:p w14:paraId="0233E8E1" w14:textId="77777777" w:rsidR="00D1587D" w:rsidRDefault="00410D07">
            <w:pPr>
              <w:rPr>
                <w:sz w:val="20"/>
                <w:szCs w:val="20"/>
              </w:rPr>
            </w:pPr>
            <w:r>
              <w:rPr>
                <w:rFonts w:ascii="Arial" w:eastAsia="Arial" w:hAnsi="Arial" w:cs="Arial"/>
                <w:sz w:val="18"/>
                <w:szCs w:val="18"/>
              </w:rPr>
              <w:t>Greater China — Beauty and Accessories</w:t>
            </w:r>
          </w:p>
        </w:tc>
        <w:tc>
          <w:tcPr>
            <w:tcW w:w="640" w:type="dxa"/>
            <w:vAlign w:val="bottom"/>
          </w:tcPr>
          <w:p w14:paraId="1C79A3A2" w14:textId="77777777" w:rsidR="00D1587D" w:rsidRDefault="00D1587D">
            <w:pPr>
              <w:rPr>
                <w:sz w:val="23"/>
                <w:szCs w:val="23"/>
              </w:rPr>
            </w:pPr>
          </w:p>
        </w:tc>
        <w:tc>
          <w:tcPr>
            <w:tcW w:w="80" w:type="dxa"/>
            <w:vAlign w:val="bottom"/>
          </w:tcPr>
          <w:p w14:paraId="0187318F" w14:textId="77777777" w:rsidR="00D1587D" w:rsidRDefault="00D1587D">
            <w:pPr>
              <w:rPr>
                <w:sz w:val="23"/>
                <w:szCs w:val="23"/>
              </w:rPr>
            </w:pPr>
          </w:p>
        </w:tc>
        <w:tc>
          <w:tcPr>
            <w:tcW w:w="20" w:type="dxa"/>
            <w:vAlign w:val="bottom"/>
          </w:tcPr>
          <w:p w14:paraId="3A84EBCE" w14:textId="77777777" w:rsidR="00D1587D" w:rsidRDefault="00D1587D">
            <w:pPr>
              <w:rPr>
                <w:sz w:val="23"/>
                <w:szCs w:val="23"/>
              </w:rPr>
            </w:pPr>
          </w:p>
        </w:tc>
        <w:tc>
          <w:tcPr>
            <w:tcW w:w="580" w:type="dxa"/>
            <w:gridSpan w:val="2"/>
            <w:vAlign w:val="bottom"/>
          </w:tcPr>
          <w:p w14:paraId="185701CD" w14:textId="77777777" w:rsidR="00D1587D" w:rsidRDefault="00410D07">
            <w:pPr>
              <w:jc w:val="right"/>
              <w:rPr>
                <w:sz w:val="20"/>
                <w:szCs w:val="20"/>
              </w:rPr>
            </w:pPr>
            <w:r>
              <w:rPr>
                <w:rFonts w:ascii="Arial" w:eastAsia="Arial" w:hAnsi="Arial" w:cs="Arial"/>
                <w:sz w:val="18"/>
                <w:szCs w:val="18"/>
              </w:rPr>
              <w:t>41</w:t>
            </w:r>
          </w:p>
        </w:tc>
        <w:tc>
          <w:tcPr>
            <w:tcW w:w="100" w:type="dxa"/>
            <w:vAlign w:val="bottom"/>
          </w:tcPr>
          <w:p w14:paraId="5CECCABF" w14:textId="77777777" w:rsidR="00D1587D" w:rsidRDefault="00D1587D">
            <w:pPr>
              <w:rPr>
                <w:sz w:val="23"/>
                <w:szCs w:val="23"/>
              </w:rPr>
            </w:pPr>
          </w:p>
        </w:tc>
        <w:tc>
          <w:tcPr>
            <w:tcW w:w="80" w:type="dxa"/>
            <w:vAlign w:val="bottom"/>
          </w:tcPr>
          <w:p w14:paraId="032AE0D9" w14:textId="77777777" w:rsidR="00D1587D" w:rsidRDefault="00D1587D">
            <w:pPr>
              <w:rPr>
                <w:sz w:val="23"/>
                <w:szCs w:val="23"/>
              </w:rPr>
            </w:pPr>
          </w:p>
        </w:tc>
        <w:tc>
          <w:tcPr>
            <w:tcW w:w="200" w:type="dxa"/>
            <w:vAlign w:val="bottom"/>
          </w:tcPr>
          <w:p w14:paraId="1F00A80C" w14:textId="77777777" w:rsidR="00D1587D" w:rsidRDefault="00D1587D">
            <w:pPr>
              <w:rPr>
                <w:sz w:val="23"/>
                <w:szCs w:val="23"/>
              </w:rPr>
            </w:pPr>
          </w:p>
        </w:tc>
        <w:tc>
          <w:tcPr>
            <w:tcW w:w="500" w:type="dxa"/>
            <w:gridSpan w:val="3"/>
            <w:vAlign w:val="bottom"/>
          </w:tcPr>
          <w:p w14:paraId="773B8536" w14:textId="77777777" w:rsidR="00D1587D" w:rsidRDefault="00410D07">
            <w:pPr>
              <w:ind w:right="88"/>
              <w:jc w:val="right"/>
              <w:rPr>
                <w:sz w:val="20"/>
                <w:szCs w:val="20"/>
              </w:rPr>
            </w:pPr>
            <w:r>
              <w:rPr>
                <w:rFonts w:ascii="Arial" w:eastAsia="Arial" w:hAnsi="Arial" w:cs="Arial"/>
                <w:sz w:val="18"/>
                <w:szCs w:val="18"/>
              </w:rPr>
              <w:t>—</w:t>
            </w:r>
          </w:p>
        </w:tc>
        <w:tc>
          <w:tcPr>
            <w:tcW w:w="620" w:type="dxa"/>
            <w:gridSpan w:val="3"/>
            <w:vAlign w:val="bottom"/>
          </w:tcPr>
          <w:p w14:paraId="417269F2" w14:textId="77777777" w:rsidR="00D1587D" w:rsidRDefault="00410D07">
            <w:pPr>
              <w:ind w:right="40"/>
              <w:jc w:val="right"/>
              <w:rPr>
                <w:sz w:val="20"/>
                <w:szCs w:val="20"/>
              </w:rPr>
            </w:pPr>
            <w:r>
              <w:rPr>
                <w:rFonts w:ascii="Arial" w:eastAsia="Arial" w:hAnsi="Arial" w:cs="Arial"/>
                <w:sz w:val="18"/>
                <w:szCs w:val="18"/>
              </w:rPr>
              <w:t>(1)</w:t>
            </w:r>
          </w:p>
        </w:tc>
        <w:tc>
          <w:tcPr>
            <w:tcW w:w="740" w:type="dxa"/>
            <w:gridSpan w:val="2"/>
            <w:vAlign w:val="bottom"/>
          </w:tcPr>
          <w:p w14:paraId="5D57302B" w14:textId="77777777" w:rsidR="00D1587D" w:rsidRDefault="00410D07">
            <w:pPr>
              <w:ind w:right="4"/>
              <w:jc w:val="right"/>
              <w:rPr>
                <w:sz w:val="20"/>
                <w:szCs w:val="20"/>
              </w:rPr>
            </w:pPr>
            <w:r>
              <w:rPr>
                <w:rFonts w:ascii="Arial" w:eastAsia="Arial" w:hAnsi="Arial" w:cs="Arial"/>
                <w:sz w:val="18"/>
                <w:szCs w:val="18"/>
              </w:rPr>
              <w:t>40</w:t>
            </w:r>
          </w:p>
        </w:tc>
        <w:tc>
          <w:tcPr>
            <w:tcW w:w="0" w:type="dxa"/>
            <w:vAlign w:val="bottom"/>
          </w:tcPr>
          <w:p w14:paraId="74DFD7DB" w14:textId="77777777" w:rsidR="00D1587D" w:rsidRDefault="00D1587D">
            <w:pPr>
              <w:rPr>
                <w:sz w:val="1"/>
                <w:szCs w:val="1"/>
              </w:rPr>
            </w:pPr>
          </w:p>
        </w:tc>
      </w:tr>
      <w:tr w:rsidR="00D1587D" w14:paraId="3160D319" w14:textId="77777777">
        <w:trPr>
          <w:trHeight w:val="54"/>
        </w:trPr>
        <w:tc>
          <w:tcPr>
            <w:tcW w:w="4860" w:type="dxa"/>
            <w:vAlign w:val="bottom"/>
          </w:tcPr>
          <w:p w14:paraId="342D9F29" w14:textId="77777777" w:rsidR="00D1587D" w:rsidRDefault="00D1587D">
            <w:pPr>
              <w:rPr>
                <w:sz w:val="4"/>
                <w:szCs w:val="4"/>
              </w:rPr>
            </w:pPr>
          </w:p>
        </w:tc>
        <w:tc>
          <w:tcPr>
            <w:tcW w:w="640" w:type="dxa"/>
            <w:vAlign w:val="bottom"/>
          </w:tcPr>
          <w:p w14:paraId="553FB19F" w14:textId="77777777" w:rsidR="00D1587D" w:rsidRDefault="00D1587D">
            <w:pPr>
              <w:rPr>
                <w:sz w:val="4"/>
                <w:szCs w:val="4"/>
              </w:rPr>
            </w:pPr>
          </w:p>
        </w:tc>
        <w:tc>
          <w:tcPr>
            <w:tcW w:w="80" w:type="dxa"/>
            <w:vAlign w:val="bottom"/>
          </w:tcPr>
          <w:p w14:paraId="078E16C7" w14:textId="77777777" w:rsidR="00D1587D" w:rsidRDefault="00D1587D">
            <w:pPr>
              <w:rPr>
                <w:sz w:val="4"/>
                <w:szCs w:val="4"/>
              </w:rPr>
            </w:pPr>
          </w:p>
        </w:tc>
        <w:tc>
          <w:tcPr>
            <w:tcW w:w="20" w:type="dxa"/>
            <w:vAlign w:val="bottom"/>
          </w:tcPr>
          <w:p w14:paraId="710C86FD" w14:textId="77777777" w:rsidR="00D1587D" w:rsidRDefault="00D1587D">
            <w:pPr>
              <w:rPr>
                <w:sz w:val="4"/>
                <w:szCs w:val="4"/>
              </w:rPr>
            </w:pPr>
          </w:p>
        </w:tc>
        <w:tc>
          <w:tcPr>
            <w:tcW w:w="80" w:type="dxa"/>
            <w:vAlign w:val="bottom"/>
          </w:tcPr>
          <w:p w14:paraId="08A388AE" w14:textId="77777777" w:rsidR="00D1587D" w:rsidRDefault="00D1587D">
            <w:pPr>
              <w:rPr>
                <w:sz w:val="4"/>
                <w:szCs w:val="4"/>
              </w:rPr>
            </w:pPr>
          </w:p>
        </w:tc>
        <w:tc>
          <w:tcPr>
            <w:tcW w:w="500" w:type="dxa"/>
            <w:vAlign w:val="bottom"/>
          </w:tcPr>
          <w:p w14:paraId="04BF3CED" w14:textId="77777777" w:rsidR="00D1587D" w:rsidRDefault="00D1587D">
            <w:pPr>
              <w:rPr>
                <w:sz w:val="4"/>
                <w:szCs w:val="4"/>
              </w:rPr>
            </w:pPr>
          </w:p>
        </w:tc>
        <w:tc>
          <w:tcPr>
            <w:tcW w:w="100" w:type="dxa"/>
            <w:vAlign w:val="bottom"/>
          </w:tcPr>
          <w:p w14:paraId="37910F0A" w14:textId="77777777" w:rsidR="00D1587D" w:rsidRDefault="00D1587D">
            <w:pPr>
              <w:rPr>
                <w:sz w:val="4"/>
                <w:szCs w:val="4"/>
              </w:rPr>
            </w:pPr>
          </w:p>
        </w:tc>
        <w:tc>
          <w:tcPr>
            <w:tcW w:w="440" w:type="dxa"/>
            <w:gridSpan w:val="3"/>
            <w:vAlign w:val="bottom"/>
          </w:tcPr>
          <w:p w14:paraId="52FABC49" w14:textId="77777777" w:rsidR="00D1587D" w:rsidRDefault="00D1587D">
            <w:pPr>
              <w:rPr>
                <w:sz w:val="4"/>
                <w:szCs w:val="4"/>
              </w:rPr>
            </w:pPr>
          </w:p>
        </w:tc>
        <w:tc>
          <w:tcPr>
            <w:tcW w:w="120" w:type="dxa"/>
            <w:vAlign w:val="bottom"/>
          </w:tcPr>
          <w:p w14:paraId="78162B8F" w14:textId="77777777" w:rsidR="00D1587D" w:rsidRDefault="00D1587D">
            <w:pPr>
              <w:rPr>
                <w:sz w:val="4"/>
                <w:szCs w:val="4"/>
              </w:rPr>
            </w:pPr>
          </w:p>
        </w:tc>
        <w:tc>
          <w:tcPr>
            <w:tcW w:w="220" w:type="dxa"/>
            <w:vAlign w:val="bottom"/>
          </w:tcPr>
          <w:p w14:paraId="05921480" w14:textId="77777777" w:rsidR="00D1587D" w:rsidRDefault="00D1587D">
            <w:pPr>
              <w:rPr>
                <w:sz w:val="4"/>
                <w:szCs w:val="4"/>
              </w:rPr>
            </w:pPr>
          </w:p>
        </w:tc>
        <w:tc>
          <w:tcPr>
            <w:tcW w:w="200" w:type="dxa"/>
            <w:vAlign w:val="bottom"/>
          </w:tcPr>
          <w:p w14:paraId="5029163D" w14:textId="77777777" w:rsidR="00D1587D" w:rsidRDefault="00D1587D">
            <w:pPr>
              <w:rPr>
                <w:sz w:val="4"/>
                <w:szCs w:val="4"/>
              </w:rPr>
            </w:pPr>
          </w:p>
        </w:tc>
        <w:tc>
          <w:tcPr>
            <w:tcW w:w="320" w:type="dxa"/>
            <w:vAlign w:val="bottom"/>
          </w:tcPr>
          <w:p w14:paraId="534714A6" w14:textId="77777777" w:rsidR="00D1587D" w:rsidRDefault="00D1587D">
            <w:pPr>
              <w:rPr>
                <w:sz w:val="4"/>
                <w:szCs w:val="4"/>
              </w:rPr>
            </w:pPr>
          </w:p>
        </w:tc>
        <w:tc>
          <w:tcPr>
            <w:tcW w:w="100" w:type="dxa"/>
            <w:vAlign w:val="bottom"/>
          </w:tcPr>
          <w:p w14:paraId="68F0131F" w14:textId="77777777" w:rsidR="00D1587D" w:rsidRDefault="00D1587D">
            <w:pPr>
              <w:rPr>
                <w:sz w:val="4"/>
                <w:szCs w:val="4"/>
              </w:rPr>
            </w:pPr>
          </w:p>
        </w:tc>
        <w:tc>
          <w:tcPr>
            <w:tcW w:w="740" w:type="dxa"/>
            <w:gridSpan w:val="2"/>
            <w:vAlign w:val="bottom"/>
          </w:tcPr>
          <w:p w14:paraId="5D1A7EE7" w14:textId="77777777" w:rsidR="00D1587D" w:rsidRDefault="00D1587D">
            <w:pPr>
              <w:rPr>
                <w:sz w:val="4"/>
                <w:szCs w:val="4"/>
              </w:rPr>
            </w:pPr>
          </w:p>
        </w:tc>
        <w:tc>
          <w:tcPr>
            <w:tcW w:w="0" w:type="dxa"/>
            <w:vAlign w:val="bottom"/>
          </w:tcPr>
          <w:p w14:paraId="5C833A4F" w14:textId="77777777" w:rsidR="00D1587D" w:rsidRDefault="00D1587D">
            <w:pPr>
              <w:rPr>
                <w:sz w:val="1"/>
                <w:szCs w:val="1"/>
              </w:rPr>
            </w:pPr>
          </w:p>
        </w:tc>
      </w:tr>
      <w:tr w:rsidR="00D1587D" w14:paraId="01064C49" w14:textId="77777777">
        <w:trPr>
          <w:trHeight w:val="270"/>
        </w:trPr>
        <w:tc>
          <w:tcPr>
            <w:tcW w:w="4860" w:type="dxa"/>
            <w:shd w:val="clear" w:color="auto" w:fill="CCEEFF"/>
            <w:vAlign w:val="bottom"/>
          </w:tcPr>
          <w:p w14:paraId="6A8F3D39" w14:textId="77777777" w:rsidR="00D1587D" w:rsidRDefault="00410D07">
            <w:pPr>
              <w:rPr>
                <w:sz w:val="20"/>
                <w:szCs w:val="20"/>
              </w:rPr>
            </w:pPr>
            <w:r>
              <w:rPr>
                <w:rFonts w:ascii="Arial" w:eastAsia="Arial" w:hAnsi="Arial" w:cs="Arial"/>
                <w:sz w:val="18"/>
                <w:szCs w:val="18"/>
              </w:rPr>
              <w:t>Greater China — Full Assortment</w:t>
            </w:r>
          </w:p>
        </w:tc>
        <w:tc>
          <w:tcPr>
            <w:tcW w:w="640" w:type="dxa"/>
            <w:shd w:val="clear" w:color="auto" w:fill="CCEEFF"/>
            <w:vAlign w:val="bottom"/>
          </w:tcPr>
          <w:p w14:paraId="142C9711" w14:textId="77777777" w:rsidR="00D1587D" w:rsidRDefault="00D1587D">
            <w:pPr>
              <w:rPr>
                <w:sz w:val="23"/>
                <w:szCs w:val="23"/>
              </w:rPr>
            </w:pPr>
          </w:p>
        </w:tc>
        <w:tc>
          <w:tcPr>
            <w:tcW w:w="80" w:type="dxa"/>
            <w:shd w:val="clear" w:color="auto" w:fill="CCEEFF"/>
            <w:vAlign w:val="bottom"/>
          </w:tcPr>
          <w:p w14:paraId="0DAC151C" w14:textId="77777777" w:rsidR="00D1587D" w:rsidRDefault="00D1587D">
            <w:pPr>
              <w:rPr>
                <w:sz w:val="23"/>
                <w:szCs w:val="23"/>
              </w:rPr>
            </w:pPr>
          </w:p>
        </w:tc>
        <w:tc>
          <w:tcPr>
            <w:tcW w:w="20" w:type="dxa"/>
            <w:shd w:val="clear" w:color="auto" w:fill="CCEEFF"/>
            <w:vAlign w:val="bottom"/>
          </w:tcPr>
          <w:p w14:paraId="1DB293EA" w14:textId="77777777" w:rsidR="00D1587D" w:rsidRDefault="00D1587D">
            <w:pPr>
              <w:rPr>
                <w:sz w:val="23"/>
                <w:szCs w:val="23"/>
              </w:rPr>
            </w:pPr>
          </w:p>
        </w:tc>
        <w:tc>
          <w:tcPr>
            <w:tcW w:w="580" w:type="dxa"/>
            <w:gridSpan w:val="2"/>
            <w:shd w:val="clear" w:color="auto" w:fill="CCEEFF"/>
            <w:vAlign w:val="bottom"/>
          </w:tcPr>
          <w:p w14:paraId="66E12915" w14:textId="77777777" w:rsidR="00D1587D" w:rsidRDefault="00410D07">
            <w:pPr>
              <w:jc w:val="right"/>
              <w:rPr>
                <w:sz w:val="20"/>
                <w:szCs w:val="20"/>
              </w:rPr>
            </w:pPr>
            <w:r>
              <w:rPr>
                <w:rFonts w:ascii="Arial" w:eastAsia="Arial" w:hAnsi="Arial" w:cs="Arial"/>
                <w:sz w:val="18"/>
                <w:szCs w:val="18"/>
              </w:rPr>
              <w:t>23</w:t>
            </w:r>
          </w:p>
        </w:tc>
        <w:tc>
          <w:tcPr>
            <w:tcW w:w="100" w:type="dxa"/>
            <w:shd w:val="clear" w:color="auto" w:fill="CCEEFF"/>
            <w:vAlign w:val="bottom"/>
          </w:tcPr>
          <w:p w14:paraId="66F209DB" w14:textId="77777777" w:rsidR="00D1587D" w:rsidRDefault="00D1587D">
            <w:pPr>
              <w:rPr>
                <w:sz w:val="23"/>
                <w:szCs w:val="23"/>
              </w:rPr>
            </w:pPr>
          </w:p>
        </w:tc>
        <w:tc>
          <w:tcPr>
            <w:tcW w:w="780" w:type="dxa"/>
            <w:gridSpan w:val="5"/>
            <w:shd w:val="clear" w:color="auto" w:fill="CCEEFF"/>
            <w:vAlign w:val="bottom"/>
          </w:tcPr>
          <w:p w14:paraId="6E7100BB" w14:textId="77777777" w:rsidR="00D1587D" w:rsidRDefault="00410D07">
            <w:pPr>
              <w:ind w:right="108"/>
              <w:jc w:val="right"/>
              <w:rPr>
                <w:sz w:val="20"/>
                <w:szCs w:val="20"/>
              </w:rPr>
            </w:pPr>
            <w:r>
              <w:rPr>
                <w:rFonts w:ascii="Arial" w:eastAsia="Arial" w:hAnsi="Arial" w:cs="Arial"/>
                <w:sz w:val="18"/>
                <w:szCs w:val="18"/>
              </w:rPr>
              <w:t>1</w:t>
            </w:r>
          </w:p>
        </w:tc>
        <w:tc>
          <w:tcPr>
            <w:tcW w:w="200" w:type="dxa"/>
            <w:shd w:val="clear" w:color="auto" w:fill="CCEEFF"/>
            <w:vAlign w:val="bottom"/>
          </w:tcPr>
          <w:p w14:paraId="0035EE8A" w14:textId="77777777" w:rsidR="00D1587D" w:rsidRDefault="00D1587D">
            <w:pPr>
              <w:rPr>
                <w:sz w:val="23"/>
                <w:szCs w:val="23"/>
              </w:rPr>
            </w:pPr>
          </w:p>
        </w:tc>
        <w:tc>
          <w:tcPr>
            <w:tcW w:w="420" w:type="dxa"/>
            <w:gridSpan w:val="2"/>
            <w:shd w:val="clear" w:color="auto" w:fill="CCEEFF"/>
            <w:vAlign w:val="bottom"/>
          </w:tcPr>
          <w:p w14:paraId="300CC720" w14:textId="77777777" w:rsidR="00D1587D" w:rsidRDefault="00410D07">
            <w:pPr>
              <w:ind w:left="160"/>
              <w:rPr>
                <w:sz w:val="20"/>
                <w:szCs w:val="20"/>
              </w:rPr>
            </w:pPr>
            <w:r>
              <w:rPr>
                <w:rFonts w:ascii="Arial" w:eastAsia="Arial" w:hAnsi="Arial" w:cs="Arial"/>
                <w:sz w:val="18"/>
                <w:szCs w:val="18"/>
              </w:rPr>
              <w:t>—</w:t>
            </w:r>
          </w:p>
        </w:tc>
        <w:tc>
          <w:tcPr>
            <w:tcW w:w="740" w:type="dxa"/>
            <w:gridSpan w:val="2"/>
            <w:shd w:val="clear" w:color="auto" w:fill="CCEEFF"/>
            <w:vAlign w:val="bottom"/>
          </w:tcPr>
          <w:p w14:paraId="753FE9CB" w14:textId="77777777" w:rsidR="00D1587D" w:rsidRDefault="00410D07">
            <w:pPr>
              <w:ind w:right="4"/>
              <w:jc w:val="right"/>
              <w:rPr>
                <w:sz w:val="20"/>
                <w:szCs w:val="20"/>
              </w:rPr>
            </w:pPr>
            <w:r>
              <w:rPr>
                <w:rFonts w:ascii="Arial" w:eastAsia="Arial" w:hAnsi="Arial" w:cs="Arial"/>
                <w:sz w:val="18"/>
                <w:szCs w:val="18"/>
              </w:rPr>
              <w:t>24</w:t>
            </w:r>
          </w:p>
        </w:tc>
        <w:tc>
          <w:tcPr>
            <w:tcW w:w="0" w:type="dxa"/>
            <w:vAlign w:val="bottom"/>
          </w:tcPr>
          <w:p w14:paraId="2FF910CD" w14:textId="77777777" w:rsidR="00D1587D" w:rsidRDefault="00D1587D">
            <w:pPr>
              <w:rPr>
                <w:sz w:val="1"/>
                <w:szCs w:val="1"/>
              </w:rPr>
            </w:pPr>
          </w:p>
        </w:tc>
      </w:tr>
      <w:tr w:rsidR="00D1587D" w14:paraId="5ACDB7C9" w14:textId="77777777">
        <w:trPr>
          <w:trHeight w:val="67"/>
        </w:trPr>
        <w:tc>
          <w:tcPr>
            <w:tcW w:w="4860" w:type="dxa"/>
            <w:shd w:val="clear" w:color="auto" w:fill="CCEEFF"/>
            <w:vAlign w:val="bottom"/>
          </w:tcPr>
          <w:p w14:paraId="69A94EC1" w14:textId="77777777" w:rsidR="00D1587D" w:rsidRDefault="00D1587D">
            <w:pPr>
              <w:rPr>
                <w:sz w:val="5"/>
                <w:szCs w:val="5"/>
              </w:rPr>
            </w:pPr>
          </w:p>
        </w:tc>
        <w:tc>
          <w:tcPr>
            <w:tcW w:w="640" w:type="dxa"/>
            <w:shd w:val="clear" w:color="auto" w:fill="CCEEFF"/>
            <w:vAlign w:val="bottom"/>
          </w:tcPr>
          <w:p w14:paraId="1F3F31D6" w14:textId="77777777" w:rsidR="00D1587D" w:rsidRDefault="00D1587D">
            <w:pPr>
              <w:rPr>
                <w:sz w:val="5"/>
                <w:szCs w:val="5"/>
              </w:rPr>
            </w:pPr>
          </w:p>
        </w:tc>
        <w:tc>
          <w:tcPr>
            <w:tcW w:w="80" w:type="dxa"/>
            <w:tcBorders>
              <w:bottom w:val="single" w:sz="8" w:space="0" w:color="CCEEFF"/>
            </w:tcBorders>
            <w:shd w:val="clear" w:color="auto" w:fill="CCEEFF"/>
            <w:vAlign w:val="bottom"/>
          </w:tcPr>
          <w:p w14:paraId="56679703" w14:textId="77777777" w:rsidR="00D1587D" w:rsidRDefault="00D1587D">
            <w:pPr>
              <w:rPr>
                <w:sz w:val="5"/>
                <w:szCs w:val="5"/>
              </w:rPr>
            </w:pPr>
          </w:p>
        </w:tc>
        <w:tc>
          <w:tcPr>
            <w:tcW w:w="20" w:type="dxa"/>
            <w:tcBorders>
              <w:bottom w:val="single" w:sz="8" w:space="0" w:color="CCEEFF"/>
            </w:tcBorders>
            <w:shd w:val="clear" w:color="auto" w:fill="CCEEFF"/>
            <w:vAlign w:val="bottom"/>
          </w:tcPr>
          <w:p w14:paraId="5F1937BD" w14:textId="77777777" w:rsidR="00D1587D" w:rsidRDefault="00D1587D">
            <w:pPr>
              <w:rPr>
                <w:sz w:val="5"/>
                <w:szCs w:val="5"/>
              </w:rPr>
            </w:pPr>
          </w:p>
        </w:tc>
        <w:tc>
          <w:tcPr>
            <w:tcW w:w="80" w:type="dxa"/>
            <w:tcBorders>
              <w:bottom w:val="single" w:sz="8" w:space="0" w:color="auto"/>
            </w:tcBorders>
            <w:shd w:val="clear" w:color="auto" w:fill="CCEEFF"/>
            <w:vAlign w:val="bottom"/>
          </w:tcPr>
          <w:p w14:paraId="657C2BD8" w14:textId="77777777" w:rsidR="00D1587D" w:rsidRDefault="00D1587D">
            <w:pPr>
              <w:rPr>
                <w:sz w:val="5"/>
                <w:szCs w:val="5"/>
              </w:rPr>
            </w:pPr>
          </w:p>
        </w:tc>
        <w:tc>
          <w:tcPr>
            <w:tcW w:w="500" w:type="dxa"/>
            <w:tcBorders>
              <w:bottom w:val="single" w:sz="8" w:space="0" w:color="auto"/>
            </w:tcBorders>
            <w:shd w:val="clear" w:color="auto" w:fill="CCEEFF"/>
            <w:vAlign w:val="bottom"/>
          </w:tcPr>
          <w:p w14:paraId="67AAE3AB" w14:textId="77777777" w:rsidR="00D1587D" w:rsidRDefault="00D1587D">
            <w:pPr>
              <w:rPr>
                <w:sz w:val="5"/>
                <w:szCs w:val="5"/>
              </w:rPr>
            </w:pPr>
          </w:p>
        </w:tc>
        <w:tc>
          <w:tcPr>
            <w:tcW w:w="100" w:type="dxa"/>
            <w:tcBorders>
              <w:bottom w:val="single" w:sz="8" w:space="0" w:color="auto"/>
            </w:tcBorders>
            <w:shd w:val="clear" w:color="auto" w:fill="CCEEFF"/>
            <w:vAlign w:val="bottom"/>
          </w:tcPr>
          <w:p w14:paraId="21ED0E09" w14:textId="77777777" w:rsidR="00D1587D" w:rsidRDefault="00D1587D">
            <w:pPr>
              <w:rPr>
                <w:sz w:val="5"/>
                <w:szCs w:val="5"/>
              </w:rPr>
            </w:pPr>
          </w:p>
        </w:tc>
        <w:tc>
          <w:tcPr>
            <w:tcW w:w="80" w:type="dxa"/>
            <w:tcBorders>
              <w:bottom w:val="single" w:sz="8" w:space="0" w:color="auto"/>
            </w:tcBorders>
            <w:shd w:val="clear" w:color="auto" w:fill="CCEEFF"/>
            <w:vAlign w:val="bottom"/>
          </w:tcPr>
          <w:p w14:paraId="1E402CDD" w14:textId="77777777" w:rsidR="00D1587D" w:rsidRDefault="00D1587D">
            <w:pPr>
              <w:rPr>
                <w:sz w:val="5"/>
                <w:szCs w:val="5"/>
              </w:rPr>
            </w:pPr>
          </w:p>
        </w:tc>
        <w:tc>
          <w:tcPr>
            <w:tcW w:w="200" w:type="dxa"/>
            <w:tcBorders>
              <w:bottom w:val="single" w:sz="8" w:space="0" w:color="CCEEFF"/>
            </w:tcBorders>
            <w:shd w:val="clear" w:color="auto" w:fill="CCEEFF"/>
            <w:vAlign w:val="bottom"/>
          </w:tcPr>
          <w:p w14:paraId="1F05D99A" w14:textId="77777777" w:rsidR="00D1587D" w:rsidRDefault="00D1587D">
            <w:pPr>
              <w:rPr>
                <w:sz w:val="5"/>
                <w:szCs w:val="5"/>
              </w:rPr>
            </w:pPr>
          </w:p>
        </w:tc>
        <w:tc>
          <w:tcPr>
            <w:tcW w:w="160" w:type="dxa"/>
            <w:tcBorders>
              <w:bottom w:val="single" w:sz="8" w:space="0" w:color="auto"/>
            </w:tcBorders>
            <w:shd w:val="clear" w:color="auto" w:fill="CCEEFF"/>
            <w:vAlign w:val="bottom"/>
          </w:tcPr>
          <w:p w14:paraId="3E79AF14" w14:textId="77777777" w:rsidR="00D1587D" w:rsidRDefault="00D1587D">
            <w:pPr>
              <w:rPr>
                <w:sz w:val="5"/>
                <w:szCs w:val="5"/>
              </w:rPr>
            </w:pPr>
          </w:p>
        </w:tc>
        <w:tc>
          <w:tcPr>
            <w:tcW w:w="120" w:type="dxa"/>
            <w:tcBorders>
              <w:bottom w:val="single" w:sz="8" w:space="0" w:color="auto"/>
            </w:tcBorders>
            <w:shd w:val="clear" w:color="auto" w:fill="CCEEFF"/>
            <w:vAlign w:val="bottom"/>
          </w:tcPr>
          <w:p w14:paraId="5D3E6CB4" w14:textId="77777777" w:rsidR="00D1587D" w:rsidRDefault="00D1587D">
            <w:pPr>
              <w:rPr>
                <w:sz w:val="5"/>
                <w:szCs w:val="5"/>
              </w:rPr>
            </w:pPr>
          </w:p>
        </w:tc>
        <w:tc>
          <w:tcPr>
            <w:tcW w:w="220" w:type="dxa"/>
            <w:tcBorders>
              <w:bottom w:val="single" w:sz="8" w:space="0" w:color="auto"/>
            </w:tcBorders>
            <w:shd w:val="clear" w:color="auto" w:fill="CCEEFF"/>
            <w:vAlign w:val="bottom"/>
          </w:tcPr>
          <w:p w14:paraId="3EDD1872" w14:textId="77777777" w:rsidR="00D1587D" w:rsidRDefault="00D1587D">
            <w:pPr>
              <w:rPr>
                <w:sz w:val="5"/>
                <w:szCs w:val="5"/>
              </w:rPr>
            </w:pPr>
          </w:p>
        </w:tc>
        <w:tc>
          <w:tcPr>
            <w:tcW w:w="200" w:type="dxa"/>
            <w:tcBorders>
              <w:bottom w:val="single" w:sz="8" w:space="0" w:color="CCEEFF"/>
            </w:tcBorders>
            <w:shd w:val="clear" w:color="auto" w:fill="CCEEFF"/>
            <w:vAlign w:val="bottom"/>
          </w:tcPr>
          <w:p w14:paraId="42FFAC33" w14:textId="77777777" w:rsidR="00D1587D" w:rsidRDefault="00D1587D">
            <w:pPr>
              <w:rPr>
                <w:sz w:val="5"/>
                <w:szCs w:val="5"/>
              </w:rPr>
            </w:pPr>
          </w:p>
        </w:tc>
        <w:tc>
          <w:tcPr>
            <w:tcW w:w="320" w:type="dxa"/>
            <w:tcBorders>
              <w:bottom w:val="single" w:sz="8" w:space="0" w:color="auto"/>
            </w:tcBorders>
            <w:shd w:val="clear" w:color="auto" w:fill="CCEEFF"/>
            <w:vAlign w:val="bottom"/>
          </w:tcPr>
          <w:p w14:paraId="657DF1BF" w14:textId="77777777" w:rsidR="00D1587D" w:rsidRDefault="00D1587D">
            <w:pPr>
              <w:rPr>
                <w:sz w:val="5"/>
                <w:szCs w:val="5"/>
              </w:rPr>
            </w:pPr>
          </w:p>
        </w:tc>
        <w:tc>
          <w:tcPr>
            <w:tcW w:w="100" w:type="dxa"/>
            <w:tcBorders>
              <w:bottom w:val="single" w:sz="8" w:space="0" w:color="auto"/>
            </w:tcBorders>
            <w:shd w:val="clear" w:color="auto" w:fill="CCEEFF"/>
            <w:vAlign w:val="bottom"/>
          </w:tcPr>
          <w:p w14:paraId="2BB028B2" w14:textId="77777777" w:rsidR="00D1587D" w:rsidRDefault="00D1587D">
            <w:pPr>
              <w:rPr>
                <w:sz w:val="5"/>
                <w:szCs w:val="5"/>
              </w:rPr>
            </w:pPr>
          </w:p>
        </w:tc>
        <w:tc>
          <w:tcPr>
            <w:tcW w:w="200" w:type="dxa"/>
            <w:tcBorders>
              <w:bottom w:val="single" w:sz="8" w:space="0" w:color="CCEEFF"/>
            </w:tcBorders>
            <w:shd w:val="clear" w:color="auto" w:fill="CCEEFF"/>
            <w:vAlign w:val="bottom"/>
          </w:tcPr>
          <w:p w14:paraId="2015F541" w14:textId="77777777" w:rsidR="00D1587D" w:rsidRDefault="00D1587D">
            <w:pPr>
              <w:rPr>
                <w:sz w:val="5"/>
                <w:szCs w:val="5"/>
              </w:rPr>
            </w:pPr>
          </w:p>
        </w:tc>
        <w:tc>
          <w:tcPr>
            <w:tcW w:w="540" w:type="dxa"/>
            <w:tcBorders>
              <w:bottom w:val="single" w:sz="8" w:space="0" w:color="auto"/>
            </w:tcBorders>
            <w:shd w:val="clear" w:color="auto" w:fill="CCEEFF"/>
            <w:vAlign w:val="bottom"/>
          </w:tcPr>
          <w:p w14:paraId="056E881F" w14:textId="77777777" w:rsidR="00D1587D" w:rsidRDefault="00D1587D">
            <w:pPr>
              <w:rPr>
                <w:sz w:val="5"/>
                <w:szCs w:val="5"/>
              </w:rPr>
            </w:pPr>
          </w:p>
        </w:tc>
        <w:tc>
          <w:tcPr>
            <w:tcW w:w="0" w:type="dxa"/>
            <w:vAlign w:val="bottom"/>
          </w:tcPr>
          <w:p w14:paraId="7C68C801" w14:textId="77777777" w:rsidR="00D1587D" w:rsidRDefault="00D1587D">
            <w:pPr>
              <w:rPr>
                <w:sz w:val="1"/>
                <w:szCs w:val="1"/>
              </w:rPr>
            </w:pPr>
          </w:p>
        </w:tc>
      </w:tr>
      <w:tr w:rsidR="00D1587D" w14:paraId="5A1AC1FE" w14:textId="77777777">
        <w:trPr>
          <w:trHeight w:val="304"/>
        </w:trPr>
        <w:tc>
          <w:tcPr>
            <w:tcW w:w="4860" w:type="dxa"/>
            <w:vAlign w:val="bottom"/>
          </w:tcPr>
          <w:p w14:paraId="211089BD" w14:textId="77777777" w:rsidR="00D1587D" w:rsidRDefault="00410D07">
            <w:pPr>
              <w:ind w:left="180"/>
              <w:rPr>
                <w:sz w:val="20"/>
                <w:szCs w:val="20"/>
              </w:rPr>
            </w:pPr>
            <w:r>
              <w:rPr>
                <w:rFonts w:ascii="Arial" w:eastAsia="Arial" w:hAnsi="Arial" w:cs="Arial"/>
                <w:b/>
                <w:bCs/>
                <w:sz w:val="18"/>
                <w:szCs w:val="18"/>
              </w:rPr>
              <w:t>Total</w:t>
            </w:r>
          </w:p>
        </w:tc>
        <w:tc>
          <w:tcPr>
            <w:tcW w:w="640" w:type="dxa"/>
            <w:vAlign w:val="bottom"/>
          </w:tcPr>
          <w:p w14:paraId="1280EAD5" w14:textId="77777777" w:rsidR="00D1587D" w:rsidRDefault="00D1587D">
            <w:pPr>
              <w:rPr>
                <w:sz w:val="24"/>
                <w:szCs w:val="24"/>
              </w:rPr>
            </w:pPr>
          </w:p>
        </w:tc>
        <w:tc>
          <w:tcPr>
            <w:tcW w:w="80" w:type="dxa"/>
            <w:vAlign w:val="bottom"/>
          </w:tcPr>
          <w:p w14:paraId="76BDB8AE" w14:textId="77777777" w:rsidR="00D1587D" w:rsidRDefault="00D1587D">
            <w:pPr>
              <w:rPr>
                <w:sz w:val="24"/>
                <w:szCs w:val="24"/>
              </w:rPr>
            </w:pPr>
          </w:p>
        </w:tc>
        <w:tc>
          <w:tcPr>
            <w:tcW w:w="20" w:type="dxa"/>
            <w:vAlign w:val="bottom"/>
          </w:tcPr>
          <w:p w14:paraId="6762DA1A" w14:textId="77777777" w:rsidR="00D1587D" w:rsidRDefault="00D1587D">
            <w:pPr>
              <w:rPr>
                <w:sz w:val="24"/>
                <w:szCs w:val="24"/>
              </w:rPr>
            </w:pPr>
          </w:p>
        </w:tc>
        <w:tc>
          <w:tcPr>
            <w:tcW w:w="680" w:type="dxa"/>
            <w:gridSpan w:val="3"/>
            <w:vAlign w:val="bottom"/>
          </w:tcPr>
          <w:p w14:paraId="5656110E" w14:textId="77777777" w:rsidR="00D1587D" w:rsidRDefault="00410D07">
            <w:pPr>
              <w:ind w:right="100"/>
              <w:jc w:val="right"/>
              <w:rPr>
                <w:sz w:val="20"/>
                <w:szCs w:val="20"/>
              </w:rPr>
            </w:pPr>
            <w:r>
              <w:rPr>
                <w:rFonts w:ascii="Arial" w:eastAsia="Arial" w:hAnsi="Arial" w:cs="Arial"/>
                <w:b/>
                <w:bCs/>
                <w:sz w:val="18"/>
                <w:szCs w:val="18"/>
              </w:rPr>
              <w:t>1,181</w:t>
            </w:r>
          </w:p>
        </w:tc>
        <w:tc>
          <w:tcPr>
            <w:tcW w:w="780" w:type="dxa"/>
            <w:gridSpan w:val="5"/>
            <w:vAlign w:val="bottom"/>
          </w:tcPr>
          <w:p w14:paraId="3ED9185C" w14:textId="77777777" w:rsidR="00D1587D" w:rsidRDefault="00410D07">
            <w:pPr>
              <w:ind w:right="108"/>
              <w:jc w:val="right"/>
              <w:rPr>
                <w:sz w:val="20"/>
                <w:szCs w:val="20"/>
              </w:rPr>
            </w:pPr>
            <w:r>
              <w:rPr>
                <w:rFonts w:ascii="Arial" w:eastAsia="Arial" w:hAnsi="Arial" w:cs="Arial"/>
                <w:b/>
                <w:bCs/>
                <w:sz w:val="18"/>
                <w:szCs w:val="18"/>
              </w:rPr>
              <w:t>2</w:t>
            </w:r>
          </w:p>
        </w:tc>
        <w:tc>
          <w:tcPr>
            <w:tcW w:w="620" w:type="dxa"/>
            <w:gridSpan w:val="3"/>
            <w:vAlign w:val="bottom"/>
          </w:tcPr>
          <w:p w14:paraId="298845D5" w14:textId="77777777" w:rsidR="00D1587D" w:rsidRDefault="00410D07">
            <w:pPr>
              <w:ind w:right="20"/>
              <w:jc w:val="right"/>
              <w:rPr>
                <w:sz w:val="20"/>
                <w:szCs w:val="20"/>
              </w:rPr>
            </w:pPr>
            <w:r>
              <w:rPr>
                <w:rFonts w:ascii="Arial" w:eastAsia="Arial" w:hAnsi="Arial" w:cs="Arial"/>
                <w:b/>
                <w:bCs/>
                <w:sz w:val="18"/>
                <w:szCs w:val="18"/>
              </w:rPr>
              <w:t>(23)</w:t>
            </w:r>
          </w:p>
        </w:tc>
        <w:tc>
          <w:tcPr>
            <w:tcW w:w="740" w:type="dxa"/>
            <w:gridSpan w:val="2"/>
            <w:vAlign w:val="bottom"/>
          </w:tcPr>
          <w:p w14:paraId="6BEBCFFF" w14:textId="77777777" w:rsidR="00D1587D" w:rsidRDefault="00410D07">
            <w:pPr>
              <w:ind w:left="114"/>
              <w:jc w:val="center"/>
              <w:rPr>
                <w:sz w:val="20"/>
                <w:szCs w:val="20"/>
              </w:rPr>
            </w:pPr>
            <w:r>
              <w:rPr>
                <w:rFonts w:ascii="Arial" w:eastAsia="Arial" w:hAnsi="Arial" w:cs="Arial"/>
                <w:b/>
                <w:bCs/>
                <w:w w:val="93"/>
                <w:sz w:val="18"/>
                <w:szCs w:val="18"/>
              </w:rPr>
              <w:t>1,160</w:t>
            </w:r>
          </w:p>
        </w:tc>
        <w:tc>
          <w:tcPr>
            <w:tcW w:w="0" w:type="dxa"/>
            <w:vAlign w:val="bottom"/>
          </w:tcPr>
          <w:p w14:paraId="50975EC0" w14:textId="77777777" w:rsidR="00D1587D" w:rsidRDefault="00D1587D">
            <w:pPr>
              <w:rPr>
                <w:sz w:val="1"/>
                <w:szCs w:val="1"/>
              </w:rPr>
            </w:pPr>
          </w:p>
        </w:tc>
      </w:tr>
      <w:tr w:rsidR="00D1587D" w14:paraId="4239B5A0" w14:textId="77777777">
        <w:trPr>
          <w:trHeight w:val="27"/>
        </w:trPr>
        <w:tc>
          <w:tcPr>
            <w:tcW w:w="5600" w:type="dxa"/>
            <w:gridSpan w:val="4"/>
            <w:vMerge w:val="restart"/>
            <w:vAlign w:val="bottom"/>
          </w:tcPr>
          <w:p w14:paraId="4F9109BC" w14:textId="77777777" w:rsidR="00D1587D" w:rsidRDefault="00410D07">
            <w:pPr>
              <w:ind w:left="360"/>
              <w:rPr>
                <w:sz w:val="20"/>
                <w:szCs w:val="20"/>
              </w:rPr>
            </w:pPr>
            <w:r>
              <w:rPr>
                <w:rFonts w:ascii="Arial" w:eastAsia="Arial" w:hAnsi="Arial" w:cs="Arial"/>
                <w:w w:val="93"/>
                <w:sz w:val="18"/>
                <w:szCs w:val="18"/>
              </w:rPr>
              <w:t>The following table represents company-operated store data for 2020:</w:t>
            </w:r>
          </w:p>
        </w:tc>
        <w:tc>
          <w:tcPr>
            <w:tcW w:w="80" w:type="dxa"/>
            <w:tcBorders>
              <w:bottom w:val="single" w:sz="8" w:space="0" w:color="auto"/>
            </w:tcBorders>
            <w:vAlign w:val="bottom"/>
          </w:tcPr>
          <w:p w14:paraId="0A2F50AF" w14:textId="77777777" w:rsidR="00D1587D" w:rsidRDefault="00D1587D">
            <w:pPr>
              <w:rPr>
                <w:sz w:val="2"/>
                <w:szCs w:val="2"/>
              </w:rPr>
            </w:pPr>
          </w:p>
        </w:tc>
        <w:tc>
          <w:tcPr>
            <w:tcW w:w="500" w:type="dxa"/>
            <w:tcBorders>
              <w:bottom w:val="single" w:sz="8" w:space="0" w:color="auto"/>
            </w:tcBorders>
            <w:vAlign w:val="bottom"/>
          </w:tcPr>
          <w:p w14:paraId="543705D1" w14:textId="77777777" w:rsidR="00D1587D" w:rsidRDefault="00D1587D">
            <w:pPr>
              <w:rPr>
                <w:sz w:val="2"/>
                <w:szCs w:val="2"/>
              </w:rPr>
            </w:pPr>
          </w:p>
        </w:tc>
        <w:tc>
          <w:tcPr>
            <w:tcW w:w="100" w:type="dxa"/>
            <w:tcBorders>
              <w:bottom w:val="single" w:sz="8" w:space="0" w:color="auto"/>
            </w:tcBorders>
            <w:vAlign w:val="bottom"/>
          </w:tcPr>
          <w:p w14:paraId="5DE6FE43" w14:textId="77777777" w:rsidR="00D1587D" w:rsidRDefault="00D1587D">
            <w:pPr>
              <w:rPr>
                <w:sz w:val="2"/>
                <w:szCs w:val="2"/>
              </w:rPr>
            </w:pPr>
          </w:p>
        </w:tc>
        <w:tc>
          <w:tcPr>
            <w:tcW w:w="80" w:type="dxa"/>
            <w:tcBorders>
              <w:bottom w:val="single" w:sz="8" w:space="0" w:color="auto"/>
            </w:tcBorders>
            <w:vAlign w:val="bottom"/>
          </w:tcPr>
          <w:p w14:paraId="01B53A4B" w14:textId="77777777" w:rsidR="00D1587D" w:rsidRDefault="00D1587D">
            <w:pPr>
              <w:rPr>
                <w:sz w:val="2"/>
                <w:szCs w:val="2"/>
              </w:rPr>
            </w:pPr>
          </w:p>
        </w:tc>
        <w:tc>
          <w:tcPr>
            <w:tcW w:w="200" w:type="dxa"/>
            <w:vAlign w:val="bottom"/>
          </w:tcPr>
          <w:p w14:paraId="2089FC94" w14:textId="77777777" w:rsidR="00D1587D" w:rsidRDefault="00D1587D">
            <w:pPr>
              <w:rPr>
                <w:sz w:val="2"/>
                <w:szCs w:val="2"/>
              </w:rPr>
            </w:pPr>
          </w:p>
        </w:tc>
        <w:tc>
          <w:tcPr>
            <w:tcW w:w="160" w:type="dxa"/>
            <w:tcBorders>
              <w:bottom w:val="single" w:sz="8" w:space="0" w:color="auto"/>
            </w:tcBorders>
            <w:vAlign w:val="bottom"/>
          </w:tcPr>
          <w:p w14:paraId="68AB8F7C" w14:textId="77777777" w:rsidR="00D1587D" w:rsidRDefault="00D1587D">
            <w:pPr>
              <w:rPr>
                <w:sz w:val="2"/>
                <w:szCs w:val="2"/>
              </w:rPr>
            </w:pPr>
          </w:p>
        </w:tc>
        <w:tc>
          <w:tcPr>
            <w:tcW w:w="120" w:type="dxa"/>
            <w:tcBorders>
              <w:bottom w:val="single" w:sz="8" w:space="0" w:color="auto"/>
            </w:tcBorders>
            <w:vAlign w:val="bottom"/>
          </w:tcPr>
          <w:p w14:paraId="18AC7119" w14:textId="77777777" w:rsidR="00D1587D" w:rsidRDefault="00D1587D">
            <w:pPr>
              <w:rPr>
                <w:sz w:val="2"/>
                <w:szCs w:val="2"/>
              </w:rPr>
            </w:pPr>
          </w:p>
        </w:tc>
        <w:tc>
          <w:tcPr>
            <w:tcW w:w="220" w:type="dxa"/>
            <w:tcBorders>
              <w:bottom w:val="single" w:sz="8" w:space="0" w:color="auto"/>
            </w:tcBorders>
            <w:vAlign w:val="bottom"/>
          </w:tcPr>
          <w:p w14:paraId="2A7B98E3" w14:textId="77777777" w:rsidR="00D1587D" w:rsidRDefault="00D1587D">
            <w:pPr>
              <w:rPr>
                <w:sz w:val="2"/>
                <w:szCs w:val="2"/>
              </w:rPr>
            </w:pPr>
          </w:p>
        </w:tc>
        <w:tc>
          <w:tcPr>
            <w:tcW w:w="200" w:type="dxa"/>
            <w:vAlign w:val="bottom"/>
          </w:tcPr>
          <w:p w14:paraId="62A4F6E8" w14:textId="77777777" w:rsidR="00D1587D" w:rsidRDefault="00D1587D">
            <w:pPr>
              <w:rPr>
                <w:sz w:val="2"/>
                <w:szCs w:val="2"/>
              </w:rPr>
            </w:pPr>
          </w:p>
        </w:tc>
        <w:tc>
          <w:tcPr>
            <w:tcW w:w="320" w:type="dxa"/>
            <w:tcBorders>
              <w:bottom w:val="single" w:sz="8" w:space="0" w:color="auto"/>
            </w:tcBorders>
            <w:vAlign w:val="bottom"/>
          </w:tcPr>
          <w:p w14:paraId="6DA11631" w14:textId="77777777" w:rsidR="00D1587D" w:rsidRDefault="00D1587D">
            <w:pPr>
              <w:rPr>
                <w:sz w:val="2"/>
                <w:szCs w:val="2"/>
              </w:rPr>
            </w:pPr>
          </w:p>
        </w:tc>
        <w:tc>
          <w:tcPr>
            <w:tcW w:w="100" w:type="dxa"/>
            <w:tcBorders>
              <w:bottom w:val="single" w:sz="8" w:space="0" w:color="auto"/>
            </w:tcBorders>
            <w:vAlign w:val="bottom"/>
          </w:tcPr>
          <w:p w14:paraId="57DD55ED" w14:textId="77777777" w:rsidR="00D1587D" w:rsidRDefault="00D1587D">
            <w:pPr>
              <w:rPr>
                <w:sz w:val="2"/>
                <w:szCs w:val="2"/>
              </w:rPr>
            </w:pPr>
          </w:p>
        </w:tc>
        <w:tc>
          <w:tcPr>
            <w:tcW w:w="200" w:type="dxa"/>
            <w:vAlign w:val="bottom"/>
          </w:tcPr>
          <w:p w14:paraId="61365650" w14:textId="77777777" w:rsidR="00D1587D" w:rsidRDefault="00D1587D">
            <w:pPr>
              <w:rPr>
                <w:sz w:val="2"/>
                <w:szCs w:val="2"/>
              </w:rPr>
            </w:pPr>
          </w:p>
        </w:tc>
        <w:tc>
          <w:tcPr>
            <w:tcW w:w="540" w:type="dxa"/>
            <w:tcBorders>
              <w:bottom w:val="single" w:sz="8" w:space="0" w:color="auto"/>
            </w:tcBorders>
            <w:vAlign w:val="bottom"/>
          </w:tcPr>
          <w:p w14:paraId="7C9A2682" w14:textId="77777777" w:rsidR="00D1587D" w:rsidRDefault="00D1587D">
            <w:pPr>
              <w:rPr>
                <w:sz w:val="2"/>
                <w:szCs w:val="2"/>
              </w:rPr>
            </w:pPr>
          </w:p>
        </w:tc>
        <w:tc>
          <w:tcPr>
            <w:tcW w:w="0" w:type="dxa"/>
            <w:vAlign w:val="bottom"/>
          </w:tcPr>
          <w:p w14:paraId="40C43533" w14:textId="77777777" w:rsidR="00D1587D" w:rsidRDefault="00D1587D">
            <w:pPr>
              <w:rPr>
                <w:sz w:val="1"/>
                <w:szCs w:val="1"/>
              </w:rPr>
            </w:pPr>
          </w:p>
        </w:tc>
      </w:tr>
      <w:tr w:rsidR="00D1587D" w14:paraId="29D67F75" w14:textId="77777777">
        <w:trPr>
          <w:trHeight w:val="21"/>
        </w:trPr>
        <w:tc>
          <w:tcPr>
            <w:tcW w:w="5600" w:type="dxa"/>
            <w:gridSpan w:val="4"/>
            <w:vMerge/>
            <w:vAlign w:val="bottom"/>
          </w:tcPr>
          <w:p w14:paraId="3AF99BA2" w14:textId="77777777" w:rsidR="00D1587D" w:rsidRDefault="00D1587D">
            <w:pPr>
              <w:spacing w:line="20" w:lineRule="exact"/>
              <w:rPr>
                <w:sz w:val="1"/>
                <w:szCs w:val="1"/>
              </w:rPr>
            </w:pPr>
          </w:p>
        </w:tc>
        <w:tc>
          <w:tcPr>
            <w:tcW w:w="80" w:type="dxa"/>
            <w:tcBorders>
              <w:bottom w:val="single" w:sz="8" w:space="0" w:color="auto"/>
            </w:tcBorders>
            <w:vAlign w:val="bottom"/>
          </w:tcPr>
          <w:p w14:paraId="14D46DE5" w14:textId="77777777" w:rsidR="00D1587D" w:rsidRDefault="00D1587D">
            <w:pPr>
              <w:spacing w:line="20" w:lineRule="exact"/>
              <w:rPr>
                <w:sz w:val="1"/>
                <w:szCs w:val="1"/>
              </w:rPr>
            </w:pPr>
          </w:p>
        </w:tc>
        <w:tc>
          <w:tcPr>
            <w:tcW w:w="500" w:type="dxa"/>
            <w:tcBorders>
              <w:bottom w:val="single" w:sz="8" w:space="0" w:color="auto"/>
            </w:tcBorders>
            <w:vAlign w:val="bottom"/>
          </w:tcPr>
          <w:p w14:paraId="3488AE14" w14:textId="77777777" w:rsidR="00D1587D" w:rsidRDefault="00D1587D">
            <w:pPr>
              <w:spacing w:line="20" w:lineRule="exact"/>
              <w:rPr>
                <w:sz w:val="1"/>
                <w:szCs w:val="1"/>
              </w:rPr>
            </w:pPr>
          </w:p>
        </w:tc>
        <w:tc>
          <w:tcPr>
            <w:tcW w:w="100" w:type="dxa"/>
            <w:tcBorders>
              <w:bottom w:val="single" w:sz="8" w:space="0" w:color="auto"/>
            </w:tcBorders>
            <w:vAlign w:val="bottom"/>
          </w:tcPr>
          <w:p w14:paraId="7A8AFE78" w14:textId="77777777" w:rsidR="00D1587D" w:rsidRDefault="00D1587D">
            <w:pPr>
              <w:spacing w:line="20" w:lineRule="exact"/>
              <w:rPr>
                <w:sz w:val="1"/>
                <w:szCs w:val="1"/>
              </w:rPr>
            </w:pPr>
          </w:p>
        </w:tc>
        <w:tc>
          <w:tcPr>
            <w:tcW w:w="80" w:type="dxa"/>
            <w:tcBorders>
              <w:bottom w:val="single" w:sz="8" w:space="0" w:color="auto"/>
            </w:tcBorders>
            <w:vAlign w:val="bottom"/>
          </w:tcPr>
          <w:p w14:paraId="41512D31" w14:textId="77777777" w:rsidR="00D1587D" w:rsidRDefault="00D1587D">
            <w:pPr>
              <w:spacing w:line="20" w:lineRule="exact"/>
              <w:rPr>
                <w:sz w:val="1"/>
                <w:szCs w:val="1"/>
              </w:rPr>
            </w:pPr>
          </w:p>
        </w:tc>
        <w:tc>
          <w:tcPr>
            <w:tcW w:w="200" w:type="dxa"/>
            <w:vAlign w:val="bottom"/>
          </w:tcPr>
          <w:p w14:paraId="623F8458" w14:textId="77777777" w:rsidR="00D1587D" w:rsidRDefault="00D1587D">
            <w:pPr>
              <w:spacing w:line="20" w:lineRule="exact"/>
              <w:rPr>
                <w:sz w:val="1"/>
                <w:szCs w:val="1"/>
              </w:rPr>
            </w:pPr>
          </w:p>
        </w:tc>
        <w:tc>
          <w:tcPr>
            <w:tcW w:w="160" w:type="dxa"/>
            <w:tcBorders>
              <w:bottom w:val="single" w:sz="8" w:space="0" w:color="auto"/>
            </w:tcBorders>
            <w:vAlign w:val="bottom"/>
          </w:tcPr>
          <w:p w14:paraId="39C5121D" w14:textId="77777777" w:rsidR="00D1587D" w:rsidRDefault="00D1587D">
            <w:pPr>
              <w:spacing w:line="20" w:lineRule="exact"/>
              <w:rPr>
                <w:sz w:val="1"/>
                <w:szCs w:val="1"/>
              </w:rPr>
            </w:pPr>
          </w:p>
        </w:tc>
        <w:tc>
          <w:tcPr>
            <w:tcW w:w="120" w:type="dxa"/>
            <w:tcBorders>
              <w:bottom w:val="single" w:sz="8" w:space="0" w:color="auto"/>
            </w:tcBorders>
            <w:vAlign w:val="bottom"/>
          </w:tcPr>
          <w:p w14:paraId="5854BCD3" w14:textId="77777777" w:rsidR="00D1587D" w:rsidRDefault="00D1587D">
            <w:pPr>
              <w:spacing w:line="20" w:lineRule="exact"/>
              <w:rPr>
                <w:sz w:val="1"/>
                <w:szCs w:val="1"/>
              </w:rPr>
            </w:pPr>
          </w:p>
        </w:tc>
        <w:tc>
          <w:tcPr>
            <w:tcW w:w="220" w:type="dxa"/>
            <w:tcBorders>
              <w:bottom w:val="single" w:sz="8" w:space="0" w:color="auto"/>
            </w:tcBorders>
            <w:vAlign w:val="bottom"/>
          </w:tcPr>
          <w:p w14:paraId="45DCBFC5" w14:textId="77777777" w:rsidR="00D1587D" w:rsidRDefault="00D1587D">
            <w:pPr>
              <w:spacing w:line="20" w:lineRule="exact"/>
              <w:rPr>
                <w:sz w:val="1"/>
                <w:szCs w:val="1"/>
              </w:rPr>
            </w:pPr>
          </w:p>
        </w:tc>
        <w:tc>
          <w:tcPr>
            <w:tcW w:w="200" w:type="dxa"/>
            <w:vAlign w:val="bottom"/>
          </w:tcPr>
          <w:p w14:paraId="40B5CF98" w14:textId="77777777" w:rsidR="00D1587D" w:rsidRDefault="00D1587D">
            <w:pPr>
              <w:spacing w:line="20" w:lineRule="exact"/>
              <w:rPr>
                <w:sz w:val="1"/>
                <w:szCs w:val="1"/>
              </w:rPr>
            </w:pPr>
          </w:p>
        </w:tc>
        <w:tc>
          <w:tcPr>
            <w:tcW w:w="320" w:type="dxa"/>
            <w:tcBorders>
              <w:bottom w:val="single" w:sz="8" w:space="0" w:color="auto"/>
            </w:tcBorders>
            <w:vAlign w:val="bottom"/>
          </w:tcPr>
          <w:p w14:paraId="19E9CAB2" w14:textId="77777777" w:rsidR="00D1587D" w:rsidRDefault="00D1587D">
            <w:pPr>
              <w:spacing w:line="20" w:lineRule="exact"/>
              <w:rPr>
                <w:sz w:val="1"/>
                <w:szCs w:val="1"/>
              </w:rPr>
            </w:pPr>
          </w:p>
        </w:tc>
        <w:tc>
          <w:tcPr>
            <w:tcW w:w="100" w:type="dxa"/>
            <w:tcBorders>
              <w:bottom w:val="single" w:sz="8" w:space="0" w:color="auto"/>
            </w:tcBorders>
            <w:vAlign w:val="bottom"/>
          </w:tcPr>
          <w:p w14:paraId="3911C54A" w14:textId="77777777" w:rsidR="00D1587D" w:rsidRDefault="00D1587D">
            <w:pPr>
              <w:spacing w:line="20" w:lineRule="exact"/>
              <w:rPr>
                <w:sz w:val="1"/>
                <w:szCs w:val="1"/>
              </w:rPr>
            </w:pPr>
          </w:p>
        </w:tc>
        <w:tc>
          <w:tcPr>
            <w:tcW w:w="200" w:type="dxa"/>
            <w:vAlign w:val="bottom"/>
          </w:tcPr>
          <w:p w14:paraId="79CA6B51" w14:textId="77777777" w:rsidR="00D1587D" w:rsidRDefault="00D1587D">
            <w:pPr>
              <w:spacing w:line="20" w:lineRule="exact"/>
              <w:rPr>
                <w:sz w:val="1"/>
                <w:szCs w:val="1"/>
              </w:rPr>
            </w:pPr>
          </w:p>
        </w:tc>
        <w:tc>
          <w:tcPr>
            <w:tcW w:w="540" w:type="dxa"/>
            <w:tcBorders>
              <w:bottom w:val="single" w:sz="8" w:space="0" w:color="auto"/>
            </w:tcBorders>
            <w:vAlign w:val="bottom"/>
          </w:tcPr>
          <w:p w14:paraId="6583EE8C" w14:textId="77777777" w:rsidR="00D1587D" w:rsidRDefault="00D1587D">
            <w:pPr>
              <w:spacing w:line="20" w:lineRule="exact"/>
              <w:rPr>
                <w:sz w:val="1"/>
                <w:szCs w:val="1"/>
              </w:rPr>
            </w:pPr>
          </w:p>
        </w:tc>
        <w:tc>
          <w:tcPr>
            <w:tcW w:w="0" w:type="dxa"/>
            <w:vAlign w:val="bottom"/>
          </w:tcPr>
          <w:p w14:paraId="11634EE6" w14:textId="77777777" w:rsidR="00D1587D" w:rsidRDefault="00D1587D">
            <w:pPr>
              <w:rPr>
                <w:sz w:val="1"/>
                <w:szCs w:val="1"/>
              </w:rPr>
            </w:pPr>
          </w:p>
        </w:tc>
      </w:tr>
      <w:tr w:rsidR="00D1587D" w14:paraId="56515A34" w14:textId="77777777">
        <w:trPr>
          <w:trHeight w:val="318"/>
        </w:trPr>
        <w:tc>
          <w:tcPr>
            <w:tcW w:w="5600" w:type="dxa"/>
            <w:gridSpan w:val="4"/>
            <w:vMerge/>
            <w:vAlign w:val="bottom"/>
          </w:tcPr>
          <w:p w14:paraId="24E4844C" w14:textId="77777777" w:rsidR="00D1587D" w:rsidRDefault="00D1587D">
            <w:pPr>
              <w:rPr>
                <w:sz w:val="24"/>
                <w:szCs w:val="24"/>
              </w:rPr>
            </w:pPr>
          </w:p>
        </w:tc>
        <w:tc>
          <w:tcPr>
            <w:tcW w:w="80" w:type="dxa"/>
            <w:vAlign w:val="bottom"/>
          </w:tcPr>
          <w:p w14:paraId="6DB41473" w14:textId="77777777" w:rsidR="00D1587D" w:rsidRDefault="00D1587D">
            <w:pPr>
              <w:rPr>
                <w:sz w:val="24"/>
                <w:szCs w:val="24"/>
              </w:rPr>
            </w:pPr>
          </w:p>
        </w:tc>
        <w:tc>
          <w:tcPr>
            <w:tcW w:w="500" w:type="dxa"/>
            <w:vAlign w:val="bottom"/>
          </w:tcPr>
          <w:p w14:paraId="30816C80" w14:textId="77777777" w:rsidR="00D1587D" w:rsidRDefault="00D1587D">
            <w:pPr>
              <w:rPr>
                <w:sz w:val="24"/>
                <w:szCs w:val="24"/>
              </w:rPr>
            </w:pPr>
          </w:p>
        </w:tc>
        <w:tc>
          <w:tcPr>
            <w:tcW w:w="100" w:type="dxa"/>
            <w:vAlign w:val="bottom"/>
          </w:tcPr>
          <w:p w14:paraId="702C338D" w14:textId="77777777" w:rsidR="00D1587D" w:rsidRDefault="00D1587D">
            <w:pPr>
              <w:rPr>
                <w:sz w:val="24"/>
                <w:szCs w:val="24"/>
              </w:rPr>
            </w:pPr>
          </w:p>
        </w:tc>
        <w:tc>
          <w:tcPr>
            <w:tcW w:w="80" w:type="dxa"/>
            <w:vAlign w:val="bottom"/>
          </w:tcPr>
          <w:p w14:paraId="6AC2AC3E" w14:textId="77777777" w:rsidR="00D1587D" w:rsidRDefault="00D1587D">
            <w:pPr>
              <w:rPr>
                <w:sz w:val="24"/>
                <w:szCs w:val="24"/>
              </w:rPr>
            </w:pPr>
          </w:p>
        </w:tc>
        <w:tc>
          <w:tcPr>
            <w:tcW w:w="200" w:type="dxa"/>
            <w:vAlign w:val="bottom"/>
          </w:tcPr>
          <w:p w14:paraId="4956C8D3" w14:textId="77777777" w:rsidR="00D1587D" w:rsidRDefault="00D1587D">
            <w:pPr>
              <w:rPr>
                <w:sz w:val="24"/>
                <w:szCs w:val="24"/>
              </w:rPr>
            </w:pPr>
          </w:p>
        </w:tc>
        <w:tc>
          <w:tcPr>
            <w:tcW w:w="160" w:type="dxa"/>
            <w:vAlign w:val="bottom"/>
          </w:tcPr>
          <w:p w14:paraId="21631BA0" w14:textId="77777777" w:rsidR="00D1587D" w:rsidRDefault="00D1587D">
            <w:pPr>
              <w:rPr>
                <w:sz w:val="24"/>
                <w:szCs w:val="24"/>
              </w:rPr>
            </w:pPr>
          </w:p>
        </w:tc>
        <w:tc>
          <w:tcPr>
            <w:tcW w:w="120" w:type="dxa"/>
            <w:vAlign w:val="bottom"/>
          </w:tcPr>
          <w:p w14:paraId="72277BD9" w14:textId="77777777" w:rsidR="00D1587D" w:rsidRDefault="00D1587D">
            <w:pPr>
              <w:rPr>
                <w:sz w:val="24"/>
                <w:szCs w:val="24"/>
              </w:rPr>
            </w:pPr>
          </w:p>
        </w:tc>
        <w:tc>
          <w:tcPr>
            <w:tcW w:w="220" w:type="dxa"/>
            <w:vAlign w:val="bottom"/>
          </w:tcPr>
          <w:p w14:paraId="6FC732E8" w14:textId="77777777" w:rsidR="00D1587D" w:rsidRDefault="00D1587D">
            <w:pPr>
              <w:rPr>
                <w:sz w:val="24"/>
                <w:szCs w:val="24"/>
              </w:rPr>
            </w:pPr>
          </w:p>
        </w:tc>
        <w:tc>
          <w:tcPr>
            <w:tcW w:w="200" w:type="dxa"/>
            <w:vAlign w:val="bottom"/>
          </w:tcPr>
          <w:p w14:paraId="47F8F0E2" w14:textId="77777777" w:rsidR="00D1587D" w:rsidRDefault="00D1587D">
            <w:pPr>
              <w:rPr>
                <w:sz w:val="24"/>
                <w:szCs w:val="24"/>
              </w:rPr>
            </w:pPr>
          </w:p>
        </w:tc>
        <w:tc>
          <w:tcPr>
            <w:tcW w:w="320" w:type="dxa"/>
            <w:vAlign w:val="bottom"/>
          </w:tcPr>
          <w:p w14:paraId="343DD8A8" w14:textId="77777777" w:rsidR="00D1587D" w:rsidRDefault="00D1587D">
            <w:pPr>
              <w:rPr>
                <w:sz w:val="24"/>
                <w:szCs w:val="24"/>
              </w:rPr>
            </w:pPr>
          </w:p>
        </w:tc>
        <w:tc>
          <w:tcPr>
            <w:tcW w:w="100" w:type="dxa"/>
            <w:vAlign w:val="bottom"/>
          </w:tcPr>
          <w:p w14:paraId="43AD749B" w14:textId="77777777" w:rsidR="00D1587D" w:rsidRDefault="00D1587D">
            <w:pPr>
              <w:rPr>
                <w:sz w:val="24"/>
                <w:szCs w:val="24"/>
              </w:rPr>
            </w:pPr>
          </w:p>
        </w:tc>
        <w:tc>
          <w:tcPr>
            <w:tcW w:w="200" w:type="dxa"/>
            <w:vAlign w:val="bottom"/>
          </w:tcPr>
          <w:p w14:paraId="705F3466" w14:textId="77777777" w:rsidR="00D1587D" w:rsidRDefault="00D1587D">
            <w:pPr>
              <w:rPr>
                <w:sz w:val="24"/>
                <w:szCs w:val="24"/>
              </w:rPr>
            </w:pPr>
          </w:p>
        </w:tc>
        <w:tc>
          <w:tcPr>
            <w:tcW w:w="540" w:type="dxa"/>
            <w:vAlign w:val="bottom"/>
          </w:tcPr>
          <w:p w14:paraId="0F6A21F2" w14:textId="77777777" w:rsidR="00D1587D" w:rsidRDefault="00D1587D">
            <w:pPr>
              <w:rPr>
                <w:sz w:val="24"/>
                <w:szCs w:val="24"/>
              </w:rPr>
            </w:pPr>
          </w:p>
        </w:tc>
        <w:tc>
          <w:tcPr>
            <w:tcW w:w="0" w:type="dxa"/>
            <w:vAlign w:val="bottom"/>
          </w:tcPr>
          <w:p w14:paraId="75A5022C" w14:textId="77777777" w:rsidR="00D1587D" w:rsidRDefault="00D1587D">
            <w:pPr>
              <w:rPr>
                <w:sz w:val="1"/>
                <w:szCs w:val="1"/>
              </w:rPr>
            </w:pPr>
          </w:p>
        </w:tc>
      </w:tr>
      <w:tr w:rsidR="00D1587D" w14:paraId="0982A3D9" w14:textId="77777777">
        <w:trPr>
          <w:trHeight w:val="315"/>
        </w:trPr>
        <w:tc>
          <w:tcPr>
            <w:tcW w:w="4860" w:type="dxa"/>
            <w:vAlign w:val="bottom"/>
          </w:tcPr>
          <w:p w14:paraId="09FE5F6D" w14:textId="77777777" w:rsidR="00D1587D" w:rsidRDefault="00D1587D">
            <w:pPr>
              <w:rPr>
                <w:sz w:val="24"/>
                <w:szCs w:val="24"/>
              </w:rPr>
            </w:pPr>
          </w:p>
        </w:tc>
        <w:tc>
          <w:tcPr>
            <w:tcW w:w="740" w:type="dxa"/>
            <w:gridSpan w:val="3"/>
            <w:vMerge w:val="restart"/>
            <w:vAlign w:val="bottom"/>
          </w:tcPr>
          <w:p w14:paraId="7E9F869A" w14:textId="77777777" w:rsidR="00D1587D" w:rsidRDefault="00410D07">
            <w:pPr>
              <w:ind w:right="60"/>
              <w:jc w:val="center"/>
              <w:rPr>
                <w:sz w:val="20"/>
                <w:szCs w:val="20"/>
              </w:rPr>
            </w:pPr>
            <w:r>
              <w:rPr>
                <w:rFonts w:ascii="Arial" w:eastAsia="Arial" w:hAnsi="Arial" w:cs="Arial"/>
                <w:b/>
                <w:bCs/>
                <w:w w:val="86"/>
                <w:sz w:val="14"/>
                <w:szCs w:val="14"/>
              </w:rPr>
              <w:t>Stores at</w:t>
            </w:r>
          </w:p>
        </w:tc>
        <w:tc>
          <w:tcPr>
            <w:tcW w:w="80" w:type="dxa"/>
            <w:vAlign w:val="bottom"/>
          </w:tcPr>
          <w:p w14:paraId="48FBB004" w14:textId="77777777" w:rsidR="00D1587D" w:rsidRDefault="00D1587D">
            <w:pPr>
              <w:rPr>
                <w:sz w:val="24"/>
                <w:szCs w:val="24"/>
              </w:rPr>
            </w:pPr>
          </w:p>
        </w:tc>
        <w:tc>
          <w:tcPr>
            <w:tcW w:w="500" w:type="dxa"/>
            <w:vAlign w:val="bottom"/>
          </w:tcPr>
          <w:p w14:paraId="7A9C5CD8" w14:textId="77777777" w:rsidR="00D1587D" w:rsidRDefault="00D1587D">
            <w:pPr>
              <w:rPr>
                <w:sz w:val="24"/>
                <w:szCs w:val="24"/>
              </w:rPr>
            </w:pPr>
          </w:p>
        </w:tc>
        <w:tc>
          <w:tcPr>
            <w:tcW w:w="100" w:type="dxa"/>
            <w:vAlign w:val="bottom"/>
          </w:tcPr>
          <w:p w14:paraId="5BA2D10A" w14:textId="77777777" w:rsidR="00D1587D" w:rsidRDefault="00D1587D">
            <w:pPr>
              <w:rPr>
                <w:sz w:val="24"/>
                <w:szCs w:val="24"/>
              </w:rPr>
            </w:pPr>
          </w:p>
        </w:tc>
        <w:tc>
          <w:tcPr>
            <w:tcW w:w="80" w:type="dxa"/>
            <w:vAlign w:val="bottom"/>
          </w:tcPr>
          <w:p w14:paraId="103A4F2B" w14:textId="77777777" w:rsidR="00D1587D" w:rsidRDefault="00D1587D">
            <w:pPr>
              <w:rPr>
                <w:sz w:val="24"/>
                <w:szCs w:val="24"/>
              </w:rPr>
            </w:pPr>
          </w:p>
        </w:tc>
        <w:tc>
          <w:tcPr>
            <w:tcW w:w="200" w:type="dxa"/>
            <w:vAlign w:val="bottom"/>
          </w:tcPr>
          <w:p w14:paraId="27FBD2A1" w14:textId="77777777" w:rsidR="00D1587D" w:rsidRDefault="00D1587D">
            <w:pPr>
              <w:rPr>
                <w:sz w:val="24"/>
                <w:szCs w:val="24"/>
              </w:rPr>
            </w:pPr>
          </w:p>
        </w:tc>
        <w:tc>
          <w:tcPr>
            <w:tcW w:w="160" w:type="dxa"/>
            <w:vAlign w:val="bottom"/>
          </w:tcPr>
          <w:p w14:paraId="02CC3233" w14:textId="77777777" w:rsidR="00D1587D" w:rsidRDefault="00D1587D">
            <w:pPr>
              <w:rPr>
                <w:sz w:val="24"/>
                <w:szCs w:val="24"/>
              </w:rPr>
            </w:pPr>
          </w:p>
        </w:tc>
        <w:tc>
          <w:tcPr>
            <w:tcW w:w="120" w:type="dxa"/>
            <w:vAlign w:val="bottom"/>
          </w:tcPr>
          <w:p w14:paraId="6EAE7B7B" w14:textId="77777777" w:rsidR="00D1587D" w:rsidRDefault="00D1587D">
            <w:pPr>
              <w:rPr>
                <w:sz w:val="24"/>
                <w:szCs w:val="24"/>
              </w:rPr>
            </w:pPr>
          </w:p>
        </w:tc>
        <w:tc>
          <w:tcPr>
            <w:tcW w:w="840" w:type="dxa"/>
            <w:gridSpan w:val="4"/>
            <w:vAlign w:val="bottom"/>
          </w:tcPr>
          <w:p w14:paraId="36C41D4A" w14:textId="77777777" w:rsidR="00D1587D" w:rsidRDefault="00410D07">
            <w:pPr>
              <w:ind w:right="100"/>
              <w:jc w:val="center"/>
              <w:rPr>
                <w:sz w:val="20"/>
                <w:szCs w:val="20"/>
              </w:rPr>
            </w:pPr>
            <w:r>
              <w:rPr>
                <w:rFonts w:ascii="Arial" w:eastAsia="Arial" w:hAnsi="Arial" w:cs="Arial"/>
                <w:b/>
                <w:bCs/>
                <w:w w:val="95"/>
                <w:sz w:val="14"/>
                <w:szCs w:val="14"/>
              </w:rPr>
              <w:t>Transferred</w:t>
            </w:r>
          </w:p>
        </w:tc>
        <w:tc>
          <w:tcPr>
            <w:tcW w:w="740" w:type="dxa"/>
            <w:gridSpan w:val="2"/>
            <w:vMerge w:val="restart"/>
            <w:vAlign w:val="bottom"/>
          </w:tcPr>
          <w:p w14:paraId="1CA4772D" w14:textId="77777777" w:rsidR="00D1587D" w:rsidRDefault="00410D07">
            <w:pPr>
              <w:ind w:right="44"/>
              <w:jc w:val="right"/>
              <w:rPr>
                <w:sz w:val="20"/>
                <w:szCs w:val="20"/>
              </w:rPr>
            </w:pPr>
            <w:r>
              <w:rPr>
                <w:rFonts w:ascii="Arial" w:eastAsia="Arial" w:hAnsi="Arial" w:cs="Arial"/>
                <w:b/>
                <w:bCs/>
                <w:sz w:val="14"/>
                <w:szCs w:val="14"/>
              </w:rPr>
              <w:t>Stores at</w:t>
            </w:r>
          </w:p>
        </w:tc>
        <w:tc>
          <w:tcPr>
            <w:tcW w:w="0" w:type="dxa"/>
            <w:vAlign w:val="bottom"/>
          </w:tcPr>
          <w:p w14:paraId="6C7CC446" w14:textId="77777777" w:rsidR="00D1587D" w:rsidRDefault="00D1587D">
            <w:pPr>
              <w:rPr>
                <w:sz w:val="1"/>
                <w:szCs w:val="1"/>
              </w:rPr>
            </w:pPr>
          </w:p>
        </w:tc>
      </w:tr>
      <w:tr w:rsidR="00D1587D" w14:paraId="4ABA01C1" w14:textId="77777777">
        <w:trPr>
          <w:trHeight w:val="149"/>
        </w:trPr>
        <w:tc>
          <w:tcPr>
            <w:tcW w:w="4860" w:type="dxa"/>
            <w:vAlign w:val="bottom"/>
          </w:tcPr>
          <w:p w14:paraId="73D47D64" w14:textId="77777777" w:rsidR="00D1587D" w:rsidRDefault="00D1587D">
            <w:pPr>
              <w:rPr>
                <w:sz w:val="12"/>
                <w:szCs w:val="12"/>
              </w:rPr>
            </w:pPr>
          </w:p>
        </w:tc>
        <w:tc>
          <w:tcPr>
            <w:tcW w:w="740" w:type="dxa"/>
            <w:gridSpan w:val="3"/>
            <w:vMerge/>
            <w:vAlign w:val="bottom"/>
          </w:tcPr>
          <w:p w14:paraId="39DB630F" w14:textId="77777777" w:rsidR="00D1587D" w:rsidRDefault="00D1587D">
            <w:pPr>
              <w:rPr>
                <w:sz w:val="12"/>
                <w:szCs w:val="12"/>
              </w:rPr>
            </w:pPr>
          </w:p>
        </w:tc>
        <w:tc>
          <w:tcPr>
            <w:tcW w:w="80" w:type="dxa"/>
            <w:vAlign w:val="bottom"/>
          </w:tcPr>
          <w:p w14:paraId="3074087F" w14:textId="77777777" w:rsidR="00D1587D" w:rsidRDefault="00D1587D">
            <w:pPr>
              <w:rPr>
                <w:sz w:val="12"/>
                <w:szCs w:val="12"/>
              </w:rPr>
            </w:pPr>
          </w:p>
        </w:tc>
        <w:tc>
          <w:tcPr>
            <w:tcW w:w="500" w:type="dxa"/>
            <w:vAlign w:val="bottom"/>
          </w:tcPr>
          <w:p w14:paraId="6E76C601" w14:textId="77777777" w:rsidR="00D1587D" w:rsidRDefault="00D1587D">
            <w:pPr>
              <w:rPr>
                <w:sz w:val="12"/>
                <w:szCs w:val="12"/>
              </w:rPr>
            </w:pPr>
          </w:p>
        </w:tc>
        <w:tc>
          <w:tcPr>
            <w:tcW w:w="100" w:type="dxa"/>
            <w:vAlign w:val="bottom"/>
          </w:tcPr>
          <w:p w14:paraId="5D96F458" w14:textId="77777777" w:rsidR="00D1587D" w:rsidRDefault="00D1587D">
            <w:pPr>
              <w:rPr>
                <w:sz w:val="12"/>
                <w:szCs w:val="12"/>
              </w:rPr>
            </w:pPr>
          </w:p>
        </w:tc>
        <w:tc>
          <w:tcPr>
            <w:tcW w:w="80" w:type="dxa"/>
            <w:vAlign w:val="bottom"/>
          </w:tcPr>
          <w:p w14:paraId="0328C809" w14:textId="77777777" w:rsidR="00D1587D" w:rsidRDefault="00D1587D">
            <w:pPr>
              <w:rPr>
                <w:sz w:val="12"/>
                <w:szCs w:val="12"/>
              </w:rPr>
            </w:pPr>
          </w:p>
        </w:tc>
        <w:tc>
          <w:tcPr>
            <w:tcW w:w="200" w:type="dxa"/>
            <w:vAlign w:val="bottom"/>
          </w:tcPr>
          <w:p w14:paraId="4E8EC29B" w14:textId="77777777" w:rsidR="00D1587D" w:rsidRDefault="00D1587D">
            <w:pPr>
              <w:rPr>
                <w:sz w:val="12"/>
                <w:szCs w:val="12"/>
              </w:rPr>
            </w:pPr>
          </w:p>
        </w:tc>
        <w:tc>
          <w:tcPr>
            <w:tcW w:w="160" w:type="dxa"/>
            <w:vAlign w:val="bottom"/>
          </w:tcPr>
          <w:p w14:paraId="55CC9D22" w14:textId="77777777" w:rsidR="00D1587D" w:rsidRDefault="00D1587D">
            <w:pPr>
              <w:rPr>
                <w:sz w:val="12"/>
                <w:szCs w:val="12"/>
              </w:rPr>
            </w:pPr>
          </w:p>
        </w:tc>
        <w:tc>
          <w:tcPr>
            <w:tcW w:w="120" w:type="dxa"/>
            <w:vAlign w:val="bottom"/>
          </w:tcPr>
          <w:p w14:paraId="25B5169E" w14:textId="77777777" w:rsidR="00D1587D" w:rsidRDefault="00D1587D">
            <w:pPr>
              <w:rPr>
                <w:sz w:val="12"/>
                <w:szCs w:val="12"/>
              </w:rPr>
            </w:pPr>
          </w:p>
        </w:tc>
        <w:tc>
          <w:tcPr>
            <w:tcW w:w="840" w:type="dxa"/>
            <w:gridSpan w:val="4"/>
            <w:vAlign w:val="bottom"/>
          </w:tcPr>
          <w:p w14:paraId="2F316924" w14:textId="77777777" w:rsidR="00D1587D" w:rsidRDefault="00410D07">
            <w:pPr>
              <w:spacing w:line="149" w:lineRule="exact"/>
              <w:ind w:right="140"/>
              <w:jc w:val="center"/>
              <w:rPr>
                <w:sz w:val="20"/>
                <w:szCs w:val="20"/>
              </w:rPr>
            </w:pPr>
            <w:r>
              <w:rPr>
                <w:rFonts w:ascii="Arial" w:eastAsia="Arial" w:hAnsi="Arial" w:cs="Arial"/>
                <w:b/>
                <w:bCs/>
                <w:sz w:val="14"/>
                <w:szCs w:val="14"/>
              </w:rPr>
              <w:t>to U.K.</w:t>
            </w:r>
          </w:p>
        </w:tc>
        <w:tc>
          <w:tcPr>
            <w:tcW w:w="740" w:type="dxa"/>
            <w:gridSpan w:val="2"/>
            <w:vMerge/>
            <w:vAlign w:val="bottom"/>
          </w:tcPr>
          <w:p w14:paraId="159B5755" w14:textId="77777777" w:rsidR="00D1587D" w:rsidRDefault="00D1587D">
            <w:pPr>
              <w:rPr>
                <w:sz w:val="12"/>
                <w:szCs w:val="12"/>
              </w:rPr>
            </w:pPr>
          </w:p>
        </w:tc>
        <w:tc>
          <w:tcPr>
            <w:tcW w:w="0" w:type="dxa"/>
            <w:vAlign w:val="bottom"/>
          </w:tcPr>
          <w:p w14:paraId="037215C6" w14:textId="77777777" w:rsidR="00D1587D" w:rsidRDefault="00D1587D">
            <w:pPr>
              <w:rPr>
                <w:sz w:val="1"/>
                <w:szCs w:val="1"/>
              </w:rPr>
            </w:pPr>
          </w:p>
        </w:tc>
      </w:tr>
      <w:tr w:rsidR="00D1587D" w14:paraId="1D5432D2" w14:textId="77777777">
        <w:trPr>
          <w:trHeight w:val="148"/>
        </w:trPr>
        <w:tc>
          <w:tcPr>
            <w:tcW w:w="4860" w:type="dxa"/>
            <w:vAlign w:val="bottom"/>
          </w:tcPr>
          <w:p w14:paraId="5CE22520" w14:textId="77777777" w:rsidR="00D1587D" w:rsidRDefault="00D1587D">
            <w:pPr>
              <w:rPr>
                <w:sz w:val="12"/>
                <w:szCs w:val="12"/>
              </w:rPr>
            </w:pPr>
          </w:p>
        </w:tc>
        <w:tc>
          <w:tcPr>
            <w:tcW w:w="740" w:type="dxa"/>
            <w:gridSpan w:val="3"/>
            <w:vAlign w:val="bottom"/>
          </w:tcPr>
          <w:p w14:paraId="6AB7188F" w14:textId="77777777" w:rsidR="00D1587D" w:rsidRDefault="00410D07">
            <w:pPr>
              <w:spacing w:line="149" w:lineRule="exact"/>
              <w:ind w:right="20"/>
              <w:jc w:val="center"/>
              <w:rPr>
                <w:sz w:val="20"/>
                <w:szCs w:val="20"/>
              </w:rPr>
            </w:pPr>
            <w:r>
              <w:rPr>
                <w:rFonts w:ascii="Arial" w:eastAsia="Arial" w:hAnsi="Arial" w:cs="Arial"/>
                <w:b/>
                <w:bCs/>
                <w:w w:val="95"/>
                <w:sz w:val="14"/>
                <w:szCs w:val="14"/>
              </w:rPr>
              <w:t>February 1,</w:t>
            </w:r>
          </w:p>
        </w:tc>
        <w:tc>
          <w:tcPr>
            <w:tcW w:w="80" w:type="dxa"/>
            <w:vAlign w:val="bottom"/>
          </w:tcPr>
          <w:p w14:paraId="0D362149" w14:textId="77777777" w:rsidR="00D1587D" w:rsidRDefault="00D1587D">
            <w:pPr>
              <w:rPr>
                <w:sz w:val="12"/>
                <w:szCs w:val="12"/>
              </w:rPr>
            </w:pPr>
          </w:p>
        </w:tc>
        <w:tc>
          <w:tcPr>
            <w:tcW w:w="600" w:type="dxa"/>
            <w:gridSpan w:val="2"/>
            <w:vMerge w:val="restart"/>
            <w:vAlign w:val="bottom"/>
          </w:tcPr>
          <w:p w14:paraId="70A7A03E" w14:textId="77777777" w:rsidR="00D1587D" w:rsidRDefault="00410D07">
            <w:pPr>
              <w:ind w:left="20"/>
              <w:rPr>
                <w:sz w:val="20"/>
                <w:szCs w:val="20"/>
              </w:rPr>
            </w:pPr>
            <w:r>
              <w:rPr>
                <w:rFonts w:ascii="Arial" w:eastAsia="Arial" w:hAnsi="Arial" w:cs="Arial"/>
                <w:b/>
                <w:bCs/>
                <w:sz w:val="14"/>
                <w:szCs w:val="14"/>
              </w:rPr>
              <w:t>Opened</w:t>
            </w:r>
          </w:p>
        </w:tc>
        <w:tc>
          <w:tcPr>
            <w:tcW w:w="80" w:type="dxa"/>
            <w:vAlign w:val="bottom"/>
          </w:tcPr>
          <w:p w14:paraId="69BB6999" w14:textId="77777777" w:rsidR="00D1587D" w:rsidRDefault="00D1587D">
            <w:pPr>
              <w:rPr>
                <w:sz w:val="12"/>
                <w:szCs w:val="12"/>
              </w:rPr>
            </w:pPr>
          </w:p>
        </w:tc>
        <w:tc>
          <w:tcPr>
            <w:tcW w:w="200" w:type="dxa"/>
            <w:vAlign w:val="bottom"/>
          </w:tcPr>
          <w:p w14:paraId="55CF152E" w14:textId="77777777" w:rsidR="00D1587D" w:rsidRDefault="00D1587D">
            <w:pPr>
              <w:rPr>
                <w:sz w:val="12"/>
                <w:szCs w:val="12"/>
              </w:rPr>
            </w:pPr>
          </w:p>
        </w:tc>
        <w:tc>
          <w:tcPr>
            <w:tcW w:w="160" w:type="dxa"/>
            <w:vAlign w:val="bottom"/>
          </w:tcPr>
          <w:p w14:paraId="046C768F" w14:textId="77777777" w:rsidR="00D1587D" w:rsidRDefault="00D1587D">
            <w:pPr>
              <w:rPr>
                <w:sz w:val="12"/>
                <w:szCs w:val="12"/>
              </w:rPr>
            </w:pPr>
          </w:p>
        </w:tc>
        <w:tc>
          <w:tcPr>
            <w:tcW w:w="120" w:type="dxa"/>
            <w:vAlign w:val="bottom"/>
          </w:tcPr>
          <w:p w14:paraId="500CEE31" w14:textId="77777777" w:rsidR="00D1587D" w:rsidRDefault="00D1587D">
            <w:pPr>
              <w:rPr>
                <w:sz w:val="12"/>
                <w:szCs w:val="12"/>
              </w:rPr>
            </w:pPr>
          </w:p>
        </w:tc>
        <w:tc>
          <w:tcPr>
            <w:tcW w:w="840" w:type="dxa"/>
            <w:gridSpan w:val="4"/>
            <w:vAlign w:val="bottom"/>
          </w:tcPr>
          <w:p w14:paraId="1B1AA804" w14:textId="77777777" w:rsidR="00D1587D" w:rsidRDefault="00410D07">
            <w:pPr>
              <w:spacing w:line="149" w:lineRule="exact"/>
              <w:ind w:right="140"/>
              <w:jc w:val="center"/>
              <w:rPr>
                <w:sz w:val="20"/>
                <w:szCs w:val="20"/>
              </w:rPr>
            </w:pPr>
            <w:r>
              <w:rPr>
                <w:rFonts w:ascii="Arial" w:eastAsia="Arial" w:hAnsi="Arial" w:cs="Arial"/>
                <w:b/>
                <w:bCs/>
                <w:w w:val="89"/>
                <w:sz w:val="14"/>
                <w:szCs w:val="14"/>
              </w:rPr>
              <w:t>Joint</w:t>
            </w:r>
          </w:p>
        </w:tc>
        <w:tc>
          <w:tcPr>
            <w:tcW w:w="740" w:type="dxa"/>
            <w:gridSpan w:val="2"/>
            <w:vAlign w:val="bottom"/>
          </w:tcPr>
          <w:p w14:paraId="68AC6F9A" w14:textId="77777777" w:rsidR="00D1587D" w:rsidRDefault="00410D07">
            <w:pPr>
              <w:spacing w:line="149" w:lineRule="exact"/>
              <w:jc w:val="right"/>
              <w:rPr>
                <w:sz w:val="20"/>
                <w:szCs w:val="20"/>
              </w:rPr>
            </w:pPr>
            <w:r>
              <w:rPr>
                <w:rFonts w:ascii="Arial" w:eastAsia="Arial" w:hAnsi="Arial" w:cs="Arial"/>
                <w:b/>
                <w:bCs/>
                <w:w w:val="93"/>
                <w:sz w:val="14"/>
                <w:szCs w:val="14"/>
              </w:rPr>
              <w:t>January 30,</w:t>
            </w:r>
          </w:p>
        </w:tc>
        <w:tc>
          <w:tcPr>
            <w:tcW w:w="0" w:type="dxa"/>
            <w:vAlign w:val="bottom"/>
          </w:tcPr>
          <w:p w14:paraId="3A425218" w14:textId="77777777" w:rsidR="00D1587D" w:rsidRDefault="00D1587D">
            <w:pPr>
              <w:rPr>
                <w:sz w:val="1"/>
                <w:szCs w:val="1"/>
              </w:rPr>
            </w:pPr>
          </w:p>
        </w:tc>
      </w:tr>
      <w:tr w:rsidR="00D1587D" w14:paraId="1F80ABB1" w14:textId="77777777">
        <w:trPr>
          <w:trHeight w:val="186"/>
        </w:trPr>
        <w:tc>
          <w:tcPr>
            <w:tcW w:w="4860" w:type="dxa"/>
            <w:vAlign w:val="bottom"/>
          </w:tcPr>
          <w:p w14:paraId="422E5C6F" w14:textId="77777777" w:rsidR="00D1587D" w:rsidRDefault="00D1587D">
            <w:pPr>
              <w:rPr>
                <w:sz w:val="16"/>
                <w:szCs w:val="16"/>
              </w:rPr>
            </w:pPr>
          </w:p>
        </w:tc>
        <w:tc>
          <w:tcPr>
            <w:tcW w:w="640" w:type="dxa"/>
            <w:vAlign w:val="bottom"/>
          </w:tcPr>
          <w:p w14:paraId="079CE65E" w14:textId="77777777" w:rsidR="00D1587D" w:rsidRDefault="00410D07">
            <w:pPr>
              <w:jc w:val="center"/>
              <w:rPr>
                <w:sz w:val="20"/>
                <w:szCs w:val="20"/>
              </w:rPr>
            </w:pPr>
            <w:r>
              <w:rPr>
                <w:rFonts w:ascii="Arial" w:eastAsia="Arial" w:hAnsi="Arial" w:cs="Arial"/>
                <w:b/>
                <w:bCs/>
                <w:w w:val="89"/>
                <w:sz w:val="14"/>
                <w:szCs w:val="14"/>
              </w:rPr>
              <w:t>2020</w:t>
            </w:r>
          </w:p>
        </w:tc>
        <w:tc>
          <w:tcPr>
            <w:tcW w:w="80" w:type="dxa"/>
            <w:vAlign w:val="bottom"/>
          </w:tcPr>
          <w:p w14:paraId="293E6809" w14:textId="77777777" w:rsidR="00D1587D" w:rsidRDefault="00D1587D">
            <w:pPr>
              <w:rPr>
                <w:sz w:val="16"/>
                <w:szCs w:val="16"/>
              </w:rPr>
            </w:pPr>
          </w:p>
        </w:tc>
        <w:tc>
          <w:tcPr>
            <w:tcW w:w="20" w:type="dxa"/>
            <w:vAlign w:val="bottom"/>
          </w:tcPr>
          <w:p w14:paraId="5A29EA79" w14:textId="77777777" w:rsidR="00D1587D" w:rsidRDefault="00D1587D">
            <w:pPr>
              <w:rPr>
                <w:sz w:val="16"/>
                <w:szCs w:val="16"/>
              </w:rPr>
            </w:pPr>
          </w:p>
        </w:tc>
        <w:tc>
          <w:tcPr>
            <w:tcW w:w="80" w:type="dxa"/>
            <w:vAlign w:val="bottom"/>
          </w:tcPr>
          <w:p w14:paraId="15150F8F" w14:textId="77777777" w:rsidR="00D1587D" w:rsidRDefault="00D1587D">
            <w:pPr>
              <w:rPr>
                <w:sz w:val="16"/>
                <w:szCs w:val="16"/>
              </w:rPr>
            </w:pPr>
          </w:p>
        </w:tc>
        <w:tc>
          <w:tcPr>
            <w:tcW w:w="600" w:type="dxa"/>
            <w:gridSpan w:val="2"/>
            <w:vMerge/>
            <w:vAlign w:val="bottom"/>
          </w:tcPr>
          <w:p w14:paraId="64028E21" w14:textId="77777777" w:rsidR="00D1587D" w:rsidRDefault="00D1587D">
            <w:pPr>
              <w:rPr>
                <w:sz w:val="16"/>
                <w:szCs w:val="16"/>
              </w:rPr>
            </w:pPr>
          </w:p>
        </w:tc>
        <w:tc>
          <w:tcPr>
            <w:tcW w:w="1400" w:type="dxa"/>
            <w:gridSpan w:val="8"/>
            <w:vAlign w:val="bottom"/>
          </w:tcPr>
          <w:p w14:paraId="51137622" w14:textId="77777777" w:rsidR="00D1587D" w:rsidRDefault="00410D07">
            <w:pPr>
              <w:ind w:right="220"/>
              <w:jc w:val="right"/>
              <w:rPr>
                <w:sz w:val="20"/>
                <w:szCs w:val="20"/>
              </w:rPr>
            </w:pPr>
            <w:r>
              <w:rPr>
                <w:rFonts w:ascii="Arial" w:eastAsia="Arial" w:hAnsi="Arial" w:cs="Arial"/>
                <w:b/>
                <w:bCs/>
                <w:sz w:val="14"/>
                <w:szCs w:val="14"/>
              </w:rPr>
              <w:t>Closed   Venture</w:t>
            </w:r>
          </w:p>
        </w:tc>
        <w:tc>
          <w:tcPr>
            <w:tcW w:w="740" w:type="dxa"/>
            <w:gridSpan w:val="2"/>
            <w:vAlign w:val="bottom"/>
          </w:tcPr>
          <w:p w14:paraId="72A7D0A3" w14:textId="77777777" w:rsidR="00D1587D" w:rsidRDefault="00410D07">
            <w:pPr>
              <w:ind w:right="144"/>
              <w:jc w:val="right"/>
              <w:rPr>
                <w:sz w:val="20"/>
                <w:szCs w:val="20"/>
              </w:rPr>
            </w:pPr>
            <w:r>
              <w:rPr>
                <w:rFonts w:ascii="Arial" w:eastAsia="Arial" w:hAnsi="Arial" w:cs="Arial"/>
                <w:b/>
                <w:bCs/>
                <w:sz w:val="14"/>
                <w:szCs w:val="14"/>
              </w:rPr>
              <w:t>2021</w:t>
            </w:r>
          </w:p>
        </w:tc>
        <w:tc>
          <w:tcPr>
            <w:tcW w:w="0" w:type="dxa"/>
            <w:vAlign w:val="bottom"/>
          </w:tcPr>
          <w:p w14:paraId="2AFBF8B3" w14:textId="77777777" w:rsidR="00D1587D" w:rsidRDefault="00D1587D">
            <w:pPr>
              <w:rPr>
                <w:sz w:val="1"/>
                <w:szCs w:val="1"/>
              </w:rPr>
            </w:pPr>
          </w:p>
        </w:tc>
      </w:tr>
      <w:tr w:rsidR="00D1587D" w14:paraId="1E5B2B70" w14:textId="77777777">
        <w:trPr>
          <w:trHeight w:val="53"/>
        </w:trPr>
        <w:tc>
          <w:tcPr>
            <w:tcW w:w="4860" w:type="dxa"/>
            <w:tcBorders>
              <w:bottom w:val="single" w:sz="8" w:space="0" w:color="CCEEFF"/>
            </w:tcBorders>
            <w:vAlign w:val="bottom"/>
          </w:tcPr>
          <w:p w14:paraId="264775C7" w14:textId="77777777" w:rsidR="00D1587D" w:rsidRDefault="00D1587D">
            <w:pPr>
              <w:rPr>
                <w:sz w:val="4"/>
                <w:szCs w:val="4"/>
              </w:rPr>
            </w:pPr>
          </w:p>
        </w:tc>
        <w:tc>
          <w:tcPr>
            <w:tcW w:w="640" w:type="dxa"/>
            <w:tcBorders>
              <w:bottom w:val="single" w:sz="8" w:space="0" w:color="auto"/>
            </w:tcBorders>
            <w:vAlign w:val="bottom"/>
          </w:tcPr>
          <w:p w14:paraId="1E7E09EB" w14:textId="77777777" w:rsidR="00D1587D" w:rsidRDefault="00D1587D">
            <w:pPr>
              <w:rPr>
                <w:sz w:val="4"/>
                <w:szCs w:val="4"/>
              </w:rPr>
            </w:pPr>
          </w:p>
        </w:tc>
        <w:tc>
          <w:tcPr>
            <w:tcW w:w="80" w:type="dxa"/>
            <w:tcBorders>
              <w:bottom w:val="single" w:sz="8" w:space="0" w:color="auto"/>
            </w:tcBorders>
            <w:vAlign w:val="bottom"/>
          </w:tcPr>
          <w:p w14:paraId="644F3FCE" w14:textId="77777777" w:rsidR="00D1587D" w:rsidRDefault="00D1587D">
            <w:pPr>
              <w:rPr>
                <w:sz w:val="4"/>
                <w:szCs w:val="4"/>
              </w:rPr>
            </w:pPr>
          </w:p>
        </w:tc>
        <w:tc>
          <w:tcPr>
            <w:tcW w:w="20" w:type="dxa"/>
            <w:tcBorders>
              <w:bottom w:val="single" w:sz="8" w:space="0" w:color="CCEEFF"/>
            </w:tcBorders>
            <w:vAlign w:val="bottom"/>
          </w:tcPr>
          <w:p w14:paraId="4F4FADF5" w14:textId="77777777" w:rsidR="00D1587D" w:rsidRDefault="00D1587D">
            <w:pPr>
              <w:rPr>
                <w:sz w:val="4"/>
                <w:szCs w:val="4"/>
              </w:rPr>
            </w:pPr>
          </w:p>
        </w:tc>
        <w:tc>
          <w:tcPr>
            <w:tcW w:w="80" w:type="dxa"/>
            <w:tcBorders>
              <w:bottom w:val="single" w:sz="8" w:space="0" w:color="CCEEFF"/>
            </w:tcBorders>
            <w:vAlign w:val="bottom"/>
          </w:tcPr>
          <w:p w14:paraId="3ED16DF7" w14:textId="77777777" w:rsidR="00D1587D" w:rsidRDefault="00D1587D">
            <w:pPr>
              <w:rPr>
                <w:sz w:val="4"/>
                <w:szCs w:val="4"/>
              </w:rPr>
            </w:pPr>
          </w:p>
        </w:tc>
        <w:tc>
          <w:tcPr>
            <w:tcW w:w="500" w:type="dxa"/>
            <w:tcBorders>
              <w:bottom w:val="single" w:sz="8" w:space="0" w:color="auto"/>
            </w:tcBorders>
            <w:vAlign w:val="bottom"/>
          </w:tcPr>
          <w:p w14:paraId="03746E08" w14:textId="77777777" w:rsidR="00D1587D" w:rsidRDefault="00D1587D">
            <w:pPr>
              <w:rPr>
                <w:sz w:val="4"/>
                <w:szCs w:val="4"/>
              </w:rPr>
            </w:pPr>
          </w:p>
        </w:tc>
        <w:tc>
          <w:tcPr>
            <w:tcW w:w="100" w:type="dxa"/>
            <w:tcBorders>
              <w:bottom w:val="single" w:sz="8" w:space="0" w:color="CCEEFF"/>
            </w:tcBorders>
            <w:vAlign w:val="bottom"/>
          </w:tcPr>
          <w:p w14:paraId="24ADDF75" w14:textId="77777777" w:rsidR="00D1587D" w:rsidRDefault="00D1587D">
            <w:pPr>
              <w:rPr>
                <w:sz w:val="4"/>
                <w:szCs w:val="4"/>
              </w:rPr>
            </w:pPr>
          </w:p>
        </w:tc>
        <w:tc>
          <w:tcPr>
            <w:tcW w:w="440" w:type="dxa"/>
            <w:gridSpan w:val="3"/>
            <w:tcBorders>
              <w:bottom w:val="single" w:sz="8" w:space="0" w:color="auto"/>
            </w:tcBorders>
            <w:vAlign w:val="bottom"/>
          </w:tcPr>
          <w:p w14:paraId="3D6247F9" w14:textId="77777777" w:rsidR="00D1587D" w:rsidRDefault="00D1587D">
            <w:pPr>
              <w:rPr>
                <w:sz w:val="4"/>
                <w:szCs w:val="4"/>
              </w:rPr>
            </w:pPr>
          </w:p>
        </w:tc>
        <w:tc>
          <w:tcPr>
            <w:tcW w:w="120" w:type="dxa"/>
            <w:tcBorders>
              <w:bottom w:val="single" w:sz="8" w:space="0" w:color="CCEEFF"/>
            </w:tcBorders>
            <w:vAlign w:val="bottom"/>
          </w:tcPr>
          <w:p w14:paraId="7E6FE555" w14:textId="77777777" w:rsidR="00D1587D" w:rsidRDefault="00D1587D">
            <w:pPr>
              <w:rPr>
                <w:sz w:val="4"/>
                <w:szCs w:val="4"/>
              </w:rPr>
            </w:pPr>
          </w:p>
        </w:tc>
        <w:tc>
          <w:tcPr>
            <w:tcW w:w="220" w:type="dxa"/>
            <w:tcBorders>
              <w:bottom w:val="single" w:sz="8" w:space="0" w:color="auto"/>
            </w:tcBorders>
            <w:vAlign w:val="bottom"/>
          </w:tcPr>
          <w:p w14:paraId="25BDF1D4" w14:textId="77777777" w:rsidR="00D1587D" w:rsidRDefault="00D1587D">
            <w:pPr>
              <w:rPr>
                <w:sz w:val="4"/>
                <w:szCs w:val="4"/>
              </w:rPr>
            </w:pPr>
          </w:p>
        </w:tc>
        <w:tc>
          <w:tcPr>
            <w:tcW w:w="520" w:type="dxa"/>
            <w:gridSpan w:val="2"/>
            <w:tcBorders>
              <w:bottom w:val="single" w:sz="8" w:space="0" w:color="auto"/>
            </w:tcBorders>
            <w:vAlign w:val="bottom"/>
          </w:tcPr>
          <w:p w14:paraId="02F326EA" w14:textId="77777777" w:rsidR="00D1587D" w:rsidRDefault="00D1587D">
            <w:pPr>
              <w:rPr>
                <w:sz w:val="4"/>
                <w:szCs w:val="4"/>
              </w:rPr>
            </w:pPr>
          </w:p>
        </w:tc>
        <w:tc>
          <w:tcPr>
            <w:tcW w:w="100" w:type="dxa"/>
            <w:tcBorders>
              <w:bottom w:val="single" w:sz="8" w:space="0" w:color="CCEEFF"/>
            </w:tcBorders>
            <w:vAlign w:val="bottom"/>
          </w:tcPr>
          <w:p w14:paraId="45288AC4" w14:textId="77777777" w:rsidR="00D1587D" w:rsidRDefault="00D1587D">
            <w:pPr>
              <w:rPr>
                <w:sz w:val="4"/>
                <w:szCs w:val="4"/>
              </w:rPr>
            </w:pPr>
          </w:p>
        </w:tc>
        <w:tc>
          <w:tcPr>
            <w:tcW w:w="740" w:type="dxa"/>
            <w:gridSpan w:val="2"/>
            <w:tcBorders>
              <w:bottom w:val="single" w:sz="8" w:space="0" w:color="auto"/>
            </w:tcBorders>
            <w:vAlign w:val="bottom"/>
          </w:tcPr>
          <w:p w14:paraId="3F605E0B" w14:textId="77777777" w:rsidR="00D1587D" w:rsidRDefault="00D1587D">
            <w:pPr>
              <w:rPr>
                <w:sz w:val="4"/>
                <w:szCs w:val="4"/>
              </w:rPr>
            </w:pPr>
          </w:p>
        </w:tc>
        <w:tc>
          <w:tcPr>
            <w:tcW w:w="0" w:type="dxa"/>
            <w:vAlign w:val="bottom"/>
          </w:tcPr>
          <w:p w14:paraId="6F04987F" w14:textId="77777777" w:rsidR="00D1587D" w:rsidRDefault="00D1587D">
            <w:pPr>
              <w:rPr>
                <w:sz w:val="1"/>
                <w:szCs w:val="1"/>
              </w:rPr>
            </w:pPr>
          </w:p>
        </w:tc>
      </w:tr>
      <w:tr w:rsidR="00D1587D" w14:paraId="2C9DCC28" w14:textId="77777777">
        <w:trPr>
          <w:trHeight w:val="311"/>
        </w:trPr>
        <w:tc>
          <w:tcPr>
            <w:tcW w:w="4860" w:type="dxa"/>
            <w:tcBorders>
              <w:bottom w:val="single" w:sz="8" w:space="0" w:color="CCEEFF"/>
            </w:tcBorders>
            <w:shd w:val="clear" w:color="auto" w:fill="CCEEFF"/>
            <w:vAlign w:val="bottom"/>
          </w:tcPr>
          <w:p w14:paraId="2A9E1F5C" w14:textId="77777777" w:rsidR="00D1587D" w:rsidRDefault="00410D07">
            <w:pPr>
              <w:rPr>
                <w:sz w:val="20"/>
                <w:szCs w:val="20"/>
              </w:rPr>
            </w:pPr>
            <w:r>
              <w:rPr>
                <w:rFonts w:ascii="Arial" w:eastAsia="Arial" w:hAnsi="Arial" w:cs="Arial"/>
                <w:sz w:val="18"/>
                <w:szCs w:val="18"/>
              </w:rPr>
              <w:t>U.S.</w:t>
            </w:r>
          </w:p>
        </w:tc>
        <w:tc>
          <w:tcPr>
            <w:tcW w:w="640" w:type="dxa"/>
            <w:tcBorders>
              <w:bottom w:val="single" w:sz="8" w:space="0" w:color="CCEEFF"/>
            </w:tcBorders>
            <w:shd w:val="clear" w:color="auto" w:fill="CCEEFF"/>
            <w:vAlign w:val="bottom"/>
          </w:tcPr>
          <w:p w14:paraId="0F25E4B1" w14:textId="77777777" w:rsidR="00D1587D" w:rsidRDefault="00410D07">
            <w:pPr>
              <w:jc w:val="right"/>
              <w:rPr>
                <w:sz w:val="20"/>
                <w:szCs w:val="20"/>
              </w:rPr>
            </w:pPr>
            <w:r>
              <w:rPr>
                <w:rFonts w:ascii="Arial" w:eastAsia="Arial" w:hAnsi="Arial" w:cs="Arial"/>
                <w:sz w:val="18"/>
                <w:szCs w:val="18"/>
              </w:rPr>
              <w:t>1,053</w:t>
            </w:r>
          </w:p>
        </w:tc>
        <w:tc>
          <w:tcPr>
            <w:tcW w:w="80" w:type="dxa"/>
            <w:tcBorders>
              <w:bottom w:val="single" w:sz="8" w:space="0" w:color="CCEEFF"/>
            </w:tcBorders>
            <w:shd w:val="clear" w:color="auto" w:fill="CCEEFF"/>
            <w:vAlign w:val="bottom"/>
          </w:tcPr>
          <w:p w14:paraId="3BC30CBA" w14:textId="77777777" w:rsidR="00D1587D" w:rsidRDefault="00D1587D">
            <w:pPr>
              <w:rPr>
                <w:sz w:val="24"/>
                <w:szCs w:val="24"/>
              </w:rPr>
            </w:pPr>
          </w:p>
        </w:tc>
        <w:tc>
          <w:tcPr>
            <w:tcW w:w="20" w:type="dxa"/>
            <w:tcBorders>
              <w:bottom w:val="single" w:sz="8" w:space="0" w:color="CCEEFF"/>
            </w:tcBorders>
            <w:shd w:val="clear" w:color="auto" w:fill="CCEEFF"/>
            <w:vAlign w:val="bottom"/>
          </w:tcPr>
          <w:p w14:paraId="44CC1EC7"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65C57EA6" w14:textId="77777777" w:rsidR="00D1587D" w:rsidRDefault="00410D07">
            <w:pPr>
              <w:ind w:left="240"/>
              <w:rPr>
                <w:sz w:val="20"/>
                <w:szCs w:val="20"/>
              </w:rPr>
            </w:pPr>
            <w:r>
              <w:rPr>
                <w:rFonts w:ascii="Arial" w:eastAsia="Arial" w:hAnsi="Arial" w:cs="Arial"/>
                <w:sz w:val="18"/>
                <w:szCs w:val="18"/>
              </w:rPr>
              <w:t>21</w:t>
            </w:r>
          </w:p>
        </w:tc>
        <w:tc>
          <w:tcPr>
            <w:tcW w:w="100" w:type="dxa"/>
            <w:tcBorders>
              <w:bottom w:val="single" w:sz="8" w:space="0" w:color="CCEEFF"/>
            </w:tcBorders>
            <w:shd w:val="clear" w:color="auto" w:fill="CCEEFF"/>
            <w:vAlign w:val="bottom"/>
          </w:tcPr>
          <w:p w14:paraId="649895A5" w14:textId="77777777" w:rsidR="00D1587D" w:rsidRDefault="00D1587D">
            <w:pPr>
              <w:rPr>
                <w:sz w:val="24"/>
                <w:szCs w:val="24"/>
              </w:rPr>
            </w:pPr>
          </w:p>
        </w:tc>
        <w:tc>
          <w:tcPr>
            <w:tcW w:w="440" w:type="dxa"/>
            <w:gridSpan w:val="3"/>
            <w:tcBorders>
              <w:bottom w:val="single" w:sz="8" w:space="0" w:color="CCEEFF"/>
            </w:tcBorders>
            <w:shd w:val="clear" w:color="auto" w:fill="CCEEFF"/>
            <w:vAlign w:val="bottom"/>
          </w:tcPr>
          <w:p w14:paraId="4CB1D7FF" w14:textId="77777777" w:rsidR="00D1587D" w:rsidRDefault="00410D07">
            <w:pPr>
              <w:jc w:val="right"/>
              <w:rPr>
                <w:sz w:val="20"/>
                <w:szCs w:val="20"/>
              </w:rPr>
            </w:pPr>
            <w:r>
              <w:rPr>
                <w:rFonts w:ascii="Arial" w:eastAsia="Arial" w:hAnsi="Arial" w:cs="Arial"/>
                <w:w w:val="99"/>
                <w:sz w:val="18"/>
                <w:szCs w:val="18"/>
              </w:rPr>
              <w:t>(228)</w:t>
            </w:r>
          </w:p>
        </w:tc>
        <w:tc>
          <w:tcPr>
            <w:tcW w:w="120" w:type="dxa"/>
            <w:tcBorders>
              <w:bottom w:val="single" w:sz="8" w:space="0" w:color="CCEEFF"/>
            </w:tcBorders>
            <w:shd w:val="clear" w:color="auto" w:fill="CCEEFF"/>
            <w:vAlign w:val="bottom"/>
          </w:tcPr>
          <w:p w14:paraId="5DB8318B" w14:textId="77777777" w:rsidR="00D1587D" w:rsidRDefault="00D1587D">
            <w:pPr>
              <w:rPr>
                <w:sz w:val="24"/>
                <w:szCs w:val="24"/>
              </w:rPr>
            </w:pPr>
          </w:p>
        </w:tc>
        <w:tc>
          <w:tcPr>
            <w:tcW w:w="220" w:type="dxa"/>
            <w:tcBorders>
              <w:bottom w:val="single" w:sz="8" w:space="0" w:color="CCEEFF"/>
            </w:tcBorders>
            <w:shd w:val="clear" w:color="auto" w:fill="CCEEFF"/>
            <w:vAlign w:val="bottom"/>
          </w:tcPr>
          <w:p w14:paraId="7E518E83" w14:textId="77777777" w:rsidR="00D1587D" w:rsidRDefault="00D1587D">
            <w:pPr>
              <w:rPr>
                <w:sz w:val="24"/>
                <w:szCs w:val="24"/>
              </w:rPr>
            </w:pPr>
          </w:p>
        </w:tc>
        <w:tc>
          <w:tcPr>
            <w:tcW w:w="620" w:type="dxa"/>
            <w:gridSpan w:val="3"/>
            <w:tcBorders>
              <w:bottom w:val="single" w:sz="8" w:space="0" w:color="CCEEFF"/>
            </w:tcBorders>
            <w:shd w:val="clear" w:color="auto" w:fill="CCEEFF"/>
            <w:vAlign w:val="bottom"/>
          </w:tcPr>
          <w:p w14:paraId="19D542CF" w14:textId="77777777" w:rsidR="00D1587D" w:rsidRDefault="00410D07">
            <w:pPr>
              <w:ind w:right="360"/>
              <w:jc w:val="right"/>
              <w:rPr>
                <w:sz w:val="20"/>
                <w:szCs w:val="20"/>
              </w:rPr>
            </w:pPr>
            <w:r>
              <w:rPr>
                <w:rFonts w:ascii="Arial" w:eastAsia="Arial" w:hAnsi="Arial" w:cs="Arial"/>
                <w:sz w:val="18"/>
                <w:szCs w:val="18"/>
              </w:rPr>
              <w:t>—</w:t>
            </w:r>
          </w:p>
        </w:tc>
        <w:tc>
          <w:tcPr>
            <w:tcW w:w="740" w:type="dxa"/>
            <w:gridSpan w:val="2"/>
            <w:tcBorders>
              <w:bottom w:val="single" w:sz="8" w:space="0" w:color="CCEEFF"/>
            </w:tcBorders>
            <w:shd w:val="clear" w:color="auto" w:fill="CCEEFF"/>
            <w:vAlign w:val="bottom"/>
          </w:tcPr>
          <w:p w14:paraId="2570C58F" w14:textId="77777777" w:rsidR="00D1587D" w:rsidRDefault="00410D07">
            <w:pPr>
              <w:ind w:right="144"/>
              <w:jc w:val="right"/>
              <w:rPr>
                <w:sz w:val="20"/>
                <w:szCs w:val="20"/>
              </w:rPr>
            </w:pPr>
            <w:r>
              <w:rPr>
                <w:rFonts w:ascii="Arial" w:eastAsia="Arial" w:hAnsi="Arial" w:cs="Arial"/>
                <w:sz w:val="18"/>
                <w:szCs w:val="18"/>
              </w:rPr>
              <w:t>846</w:t>
            </w:r>
          </w:p>
        </w:tc>
        <w:tc>
          <w:tcPr>
            <w:tcW w:w="0" w:type="dxa"/>
            <w:vAlign w:val="bottom"/>
          </w:tcPr>
          <w:p w14:paraId="7257C7ED" w14:textId="77777777" w:rsidR="00D1587D" w:rsidRDefault="00D1587D">
            <w:pPr>
              <w:rPr>
                <w:sz w:val="1"/>
                <w:szCs w:val="1"/>
              </w:rPr>
            </w:pPr>
          </w:p>
        </w:tc>
      </w:tr>
      <w:tr w:rsidR="00D1587D" w14:paraId="26536D67" w14:textId="77777777">
        <w:trPr>
          <w:trHeight w:val="270"/>
        </w:trPr>
        <w:tc>
          <w:tcPr>
            <w:tcW w:w="4860" w:type="dxa"/>
            <w:vAlign w:val="bottom"/>
          </w:tcPr>
          <w:p w14:paraId="3CADD427" w14:textId="77777777" w:rsidR="00D1587D" w:rsidRDefault="00410D07">
            <w:pPr>
              <w:rPr>
                <w:sz w:val="20"/>
                <w:szCs w:val="20"/>
              </w:rPr>
            </w:pPr>
            <w:r>
              <w:rPr>
                <w:rFonts w:ascii="Arial" w:eastAsia="Arial" w:hAnsi="Arial" w:cs="Arial"/>
                <w:sz w:val="18"/>
                <w:szCs w:val="18"/>
              </w:rPr>
              <w:t>Canada</w:t>
            </w:r>
          </w:p>
        </w:tc>
        <w:tc>
          <w:tcPr>
            <w:tcW w:w="640" w:type="dxa"/>
            <w:vAlign w:val="bottom"/>
          </w:tcPr>
          <w:p w14:paraId="73B0A9CA" w14:textId="77777777" w:rsidR="00D1587D" w:rsidRDefault="00410D07">
            <w:pPr>
              <w:jc w:val="right"/>
              <w:rPr>
                <w:sz w:val="20"/>
                <w:szCs w:val="20"/>
              </w:rPr>
            </w:pPr>
            <w:r>
              <w:rPr>
                <w:rFonts w:ascii="Arial" w:eastAsia="Arial" w:hAnsi="Arial" w:cs="Arial"/>
                <w:sz w:val="18"/>
                <w:szCs w:val="18"/>
              </w:rPr>
              <w:t>38</w:t>
            </w:r>
          </w:p>
        </w:tc>
        <w:tc>
          <w:tcPr>
            <w:tcW w:w="80" w:type="dxa"/>
            <w:vAlign w:val="bottom"/>
          </w:tcPr>
          <w:p w14:paraId="5B6EB17A" w14:textId="77777777" w:rsidR="00D1587D" w:rsidRDefault="00D1587D">
            <w:pPr>
              <w:rPr>
                <w:sz w:val="23"/>
                <w:szCs w:val="23"/>
              </w:rPr>
            </w:pPr>
          </w:p>
        </w:tc>
        <w:tc>
          <w:tcPr>
            <w:tcW w:w="20" w:type="dxa"/>
            <w:vAlign w:val="bottom"/>
          </w:tcPr>
          <w:p w14:paraId="409B8257" w14:textId="77777777" w:rsidR="00D1587D" w:rsidRDefault="00D1587D">
            <w:pPr>
              <w:rPr>
                <w:sz w:val="23"/>
                <w:szCs w:val="23"/>
              </w:rPr>
            </w:pPr>
          </w:p>
        </w:tc>
        <w:tc>
          <w:tcPr>
            <w:tcW w:w="80" w:type="dxa"/>
            <w:vAlign w:val="bottom"/>
          </w:tcPr>
          <w:p w14:paraId="28E42876" w14:textId="77777777" w:rsidR="00D1587D" w:rsidRDefault="00D1587D">
            <w:pPr>
              <w:rPr>
                <w:sz w:val="23"/>
                <w:szCs w:val="23"/>
              </w:rPr>
            </w:pPr>
          </w:p>
        </w:tc>
        <w:tc>
          <w:tcPr>
            <w:tcW w:w="600" w:type="dxa"/>
            <w:gridSpan w:val="2"/>
            <w:vAlign w:val="bottom"/>
          </w:tcPr>
          <w:p w14:paraId="53F0FD13" w14:textId="77777777" w:rsidR="00D1587D" w:rsidRDefault="00410D07">
            <w:pPr>
              <w:ind w:left="160"/>
              <w:rPr>
                <w:sz w:val="20"/>
                <w:szCs w:val="20"/>
              </w:rPr>
            </w:pPr>
            <w:r>
              <w:rPr>
                <w:rFonts w:ascii="Arial" w:eastAsia="Arial" w:hAnsi="Arial" w:cs="Arial"/>
                <w:sz w:val="18"/>
                <w:szCs w:val="18"/>
              </w:rPr>
              <w:t>—</w:t>
            </w:r>
          </w:p>
        </w:tc>
        <w:tc>
          <w:tcPr>
            <w:tcW w:w="440" w:type="dxa"/>
            <w:gridSpan w:val="3"/>
            <w:vAlign w:val="bottom"/>
          </w:tcPr>
          <w:p w14:paraId="5F29A34F" w14:textId="77777777" w:rsidR="00D1587D" w:rsidRDefault="00410D07">
            <w:pPr>
              <w:jc w:val="right"/>
              <w:rPr>
                <w:sz w:val="20"/>
                <w:szCs w:val="20"/>
              </w:rPr>
            </w:pPr>
            <w:r>
              <w:rPr>
                <w:rFonts w:ascii="Arial" w:eastAsia="Arial" w:hAnsi="Arial" w:cs="Arial"/>
                <w:sz w:val="18"/>
                <w:szCs w:val="18"/>
              </w:rPr>
              <w:t>(13)</w:t>
            </w:r>
          </w:p>
        </w:tc>
        <w:tc>
          <w:tcPr>
            <w:tcW w:w="120" w:type="dxa"/>
            <w:vAlign w:val="bottom"/>
          </w:tcPr>
          <w:p w14:paraId="5B6AECA2" w14:textId="77777777" w:rsidR="00D1587D" w:rsidRDefault="00D1587D">
            <w:pPr>
              <w:rPr>
                <w:sz w:val="23"/>
                <w:szCs w:val="23"/>
              </w:rPr>
            </w:pPr>
          </w:p>
        </w:tc>
        <w:tc>
          <w:tcPr>
            <w:tcW w:w="220" w:type="dxa"/>
            <w:vAlign w:val="bottom"/>
          </w:tcPr>
          <w:p w14:paraId="3004E203" w14:textId="77777777" w:rsidR="00D1587D" w:rsidRDefault="00D1587D">
            <w:pPr>
              <w:rPr>
                <w:sz w:val="23"/>
                <w:szCs w:val="23"/>
              </w:rPr>
            </w:pPr>
          </w:p>
        </w:tc>
        <w:tc>
          <w:tcPr>
            <w:tcW w:w="620" w:type="dxa"/>
            <w:gridSpan w:val="3"/>
            <w:vAlign w:val="bottom"/>
          </w:tcPr>
          <w:p w14:paraId="465F5ACA" w14:textId="77777777" w:rsidR="00D1587D" w:rsidRDefault="00410D07">
            <w:pPr>
              <w:ind w:right="360"/>
              <w:jc w:val="right"/>
              <w:rPr>
                <w:sz w:val="20"/>
                <w:szCs w:val="20"/>
              </w:rPr>
            </w:pPr>
            <w:r>
              <w:rPr>
                <w:rFonts w:ascii="Arial" w:eastAsia="Arial" w:hAnsi="Arial" w:cs="Arial"/>
                <w:sz w:val="18"/>
                <w:szCs w:val="18"/>
              </w:rPr>
              <w:t>—</w:t>
            </w:r>
          </w:p>
        </w:tc>
        <w:tc>
          <w:tcPr>
            <w:tcW w:w="740" w:type="dxa"/>
            <w:gridSpan w:val="2"/>
            <w:vAlign w:val="bottom"/>
          </w:tcPr>
          <w:p w14:paraId="532ADF15" w14:textId="77777777" w:rsidR="00D1587D" w:rsidRDefault="00410D07">
            <w:pPr>
              <w:ind w:left="320"/>
              <w:rPr>
                <w:sz w:val="20"/>
                <w:szCs w:val="20"/>
              </w:rPr>
            </w:pPr>
            <w:r>
              <w:rPr>
                <w:rFonts w:ascii="Arial" w:eastAsia="Arial" w:hAnsi="Arial" w:cs="Arial"/>
                <w:sz w:val="18"/>
                <w:szCs w:val="18"/>
              </w:rPr>
              <w:t>25</w:t>
            </w:r>
          </w:p>
        </w:tc>
        <w:tc>
          <w:tcPr>
            <w:tcW w:w="0" w:type="dxa"/>
            <w:vAlign w:val="bottom"/>
          </w:tcPr>
          <w:p w14:paraId="2EBD1174" w14:textId="77777777" w:rsidR="00D1587D" w:rsidRDefault="00D1587D">
            <w:pPr>
              <w:rPr>
                <w:sz w:val="1"/>
                <w:szCs w:val="1"/>
              </w:rPr>
            </w:pPr>
          </w:p>
        </w:tc>
      </w:tr>
      <w:tr w:rsidR="00D1587D" w14:paraId="6CF78CF3" w14:textId="77777777">
        <w:trPr>
          <w:trHeight w:val="54"/>
        </w:trPr>
        <w:tc>
          <w:tcPr>
            <w:tcW w:w="4860" w:type="dxa"/>
            <w:vAlign w:val="bottom"/>
          </w:tcPr>
          <w:p w14:paraId="6998CF39" w14:textId="77777777" w:rsidR="00D1587D" w:rsidRDefault="00D1587D">
            <w:pPr>
              <w:rPr>
                <w:sz w:val="4"/>
                <w:szCs w:val="4"/>
              </w:rPr>
            </w:pPr>
          </w:p>
        </w:tc>
        <w:tc>
          <w:tcPr>
            <w:tcW w:w="640" w:type="dxa"/>
            <w:vAlign w:val="bottom"/>
          </w:tcPr>
          <w:p w14:paraId="2652B080" w14:textId="77777777" w:rsidR="00D1587D" w:rsidRDefault="00D1587D">
            <w:pPr>
              <w:rPr>
                <w:sz w:val="4"/>
                <w:szCs w:val="4"/>
              </w:rPr>
            </w:pPr>
          </w:p>
        </w:tc>
        <w:tc>
          <w:tcPr>
            <w:tcW w:w="80" w:type="dxa"/>
            <w:vAlign w:val="bottom"/>
          </w:tcPr>
          <w:p w14:paraId="4D49DC77" w14:textId="77777777" w:rsidR="00D1587D" w:rsidRDefault="00D1587D">
            <w:pPr>
              <w:rPr>
                <w:sz w:val="4"/>
                <w:szCs w:val="4"/>
              </w:rPr>
            </w:pPr>
          </w:p>
        </w:tc>
        <w:tc>
          <w:tcPr>
            <w:tcW w:w="20" w:type="dxa"/>
            <w:vAlign w:val="bottom"/>
          </w:tcPr>
          <w:p w14:paraId="259BA363" w14:textId="77777777" w:rsidR="00D1587D" w:rsidRDefault="00D1587D">
            <w:pPr>
              <w:rPr>
                <w:sz w:val="4"/>
                <w:szCs w:val="4"/>
              </w:rPr>
            </w:pPr>
          </w:p>
        </w:tc>
        <w:tc>
          <w:tcPr>
            <w:tcW w:w="80" w:type="dxa"/>
            <w:vAlign w:val="bottom"/>
          </w:tcPr>
          <w:p w14:paraId="5ED7E4DB" w14:textId="77777777" w:rsidR="00D1587D" w:rsidRDefault="00D1587D">
            <w:pPr>
              <w:rPr>
                <w:sz w:val="4"/>
                <w:szCs w:val="4"/>
              </w:rPr>
            </w:pPr>
          </w:p>
        </w:tc>
        <w:tc>
          <w:tcPr>
            <w:tcW w:w="500" w:type="dxa"/>
            <w:vAlign w:val="bottom"/>
          </w:tcPr>
          <w:p w14:paraId="1B7381DF" w14:textId="77777777" w:rsidR="00D1587D" w:rsidRDefault="00D1587D">
            <w:pPr>
              <w:rPr>
                <w:sz w:val="4"/>
                <w:szCs w:val="4"/>
              </w:rPr>
            </w:pPr>
          </w:p>
        </w:tc>
        <w:tc>
          <w:tcPr>
            <w:tcW w:w="100" w:type="dxa"/>
            <w:vAlign w:val="bottom"/>
          </w:tcPr>
          <w:p w14:paraId="394A1976" w14:textId="77777777" w:rsidR="00D1587D" w:rsidRDefault="00D1587D">
            <w:pPr>
              <w:rPr>
                <w:sz w:val="4"/>
                <w:szCs w:val="4"/>
              </w:rPr>
            </w:pPr>
          </w:p>
        </w:tc>
        <w:tc>
          <w:tcPr>
            <w:tcW w:w="80" w:type="dxa"/>
            <w:vAlign w:val="bottom"/>
          </w:tcPr>
          <w:p w14:paraId="6ABF8859" w14:textId="77777777" w:rsidR="00D1587D" w:rsidRDefault="00D1587D">
            <w:pPr>
              <w:rPr>
                <w:sz w:val="4"/>
                <w:szCs w:val="4"/>
              </w:rPr>
            </w:pPr>
          </w:p>
        </w:tc>
        <w:tc>
          <w:tcPr>
            <w:tcW w:w="360" w:type="dxa"/>
            <w:gridSpan w:val="2"/>
            <w:vAlign w:val="bottom"/>
          </w:tcPr>
          <w:p w14:paraId="50DEBF48" w14:textId="77777777" w:rsidR="00D1587D" w:rsidRDefault="00D1587D">
            <w:pPr>
              <w:rPr>
                <w:sz w:val="4"/>
                <w:szCs w:val="4"/>
              </w:rPr>
            </w:pPr>
          </w:p>
        </w:tc>
        <w:tc>
          <w:tcPr>
            <w:tcW w:w="120" w:type="dxa"/>
            <w:vAlign w:val="bottom"/>
          </w:tcPr>
          <w:p w14:paraId="0C5D1E27" w14:textId="77777777" w:rsidR="00D1587D" w:rsidRDefault="00D1587D">
            <w:pPr>
              <w:rPr>
                <w:sz w:val="4"/>
                <w:szCs w:val="4"/>
              </w:rPr>
            </w:pPr>
          </w:p>
        </w:tc>
        <w:tc>
          <w:tcPr>
            <w:tcW w:w="220" w:type="dxa"/>
            <w:vAlign w:val="bottom"/>
          </w:tcPr>
          <w:p w14:paraId="6B5A6E58" w14:textId="77777777" w:rsidR="00D1587D" w:rsidRDefault="00D1587D">
            <w:pPr>
              <w:rPr>
                <w:sz w:val="4"/>
                <w:szCs w:val="4"/>
              </w:rPr>
            </w:pPr>
          </w:p>
        </w:tc>
        <w:tc>
          <w:tcPr>
            <w:tcW w:w="520" w:type="dxa"/>
            <w:gridSpan w:val="2"/>
            <w:vAlign w:val="bottom"/>
          </w:tcPr>
          <w:p w14:paraId="07481E4F" w14:textId="77777777" w:rsidR="00D1587D" w:rsidRDefault="00D1587D">
            <w:pPr>
              <w:rPr>
                <w:sz w:val="4"/>
                <w:szCs w:val="4"/>
              </w:rPr>
            </w:pPr>
          </w:p>
        </w:tc>
        <w:tc>
          <w:tcPr>
            <w:tcW w:w="100" w:type="dxa"/>
            <w:vAlign w:val="bottom"/>
          </w:tcPr>
          <w:p w14:paraId="74BF6562" w14:textId="77777777" w:rsidR="00D1587D" w:rsidRDefault="00D1587D">
            <w:pPr>
              <w:rPr>
                <w:sz w:val="4"/>
                <w:szCs w:val="4"/>
              </w:rPr>
            </w:pPr>
          </w:p>
        </w:tc>
        <w:tc>
          <w:tcPr>
            <w:tcW w:w="200" w:type="dxa"/>
            <w:vAlign w:val="bottom"/>
          </w:tcPr>
          <w:p w14:paraId="6DA152A4" w14:textId="77777777" w:rsidR="00D1587D" w:rsidRDefault="00D1587D">
            <w:pPr>
              <w:rPr>
                <w:sz w:val="4"/>
                <w:szCs w:val="4"/>
              </w:rPr>
            </w:pPr>
          </w:p>
        </w:tc>
        <w:tc>
          <w:tcPr>
            <w:tcW w:w="540" w:type="dxa"/>
            <w:vAlign w:val="bottom"/>
          </w:tcPr>
          <w:p w14:paraId="60EC4919" w14:textId="77777777" w:rsidR="00D1587D" w:rsidRDefault="00D1587D">
            <w:pPr>
              <w:rPr>
                <w:sz w:val="4"/>
                <w:szCs w:val="4"/>
              </w:rPr>
            </w:pPr>
          </w:p>
        </w:tc>
        <w:tc>
          <w:tcPr>
            <w:tcW w:w="0" w:type="dxa"/>
            <w:vAlign w:val="bottom"/>
          </w:tcPr>
          <w:p w14:paraId="63BD3718" w14:textId="77777777" w:rsidR="00D1587D" w:rsidRDefault="00D1587D">
            <w:pPr>
              <w:rPr>
                <w:sz w:val="1"/>
                <w:szCs w:val="1"/>
              </w:rPr>
            </w:pPr>
          </w:p>
        </w:tc>
      </w:tr>
      <w:tr w:rsidR="00D1587D" w14:paraId="789D6A2D" w14:textId="77777777">
        <w:trPr>
          <w:trHeight w:val="304"/>
        </w:trPr>
        <w:tc>
          <w:tcPr>
            <w:tcW w:w="4860" w:type="dxa"/>
            <w:tcBorders>
              <w:bottom w:val="single" w:sz="8" w:space="0" w:color="CCEEFF"/>
            </w:tcBorders>
            <w:shd w:val="clear" w:color="auto" w:fill="CCEEFF"/>
            <w:vAlign w:val="bottom"/>
          </w:tcPr>
          <w:p w14:paraId="6FE7426E" w14:textId="77777777" w:rsidR="00D1587D" w:rsidRDefault="00410D07">
            <w:pPr>
              <w:rPr>
                <w:sz w:val="20"/>
                <w:szCs w:val="20"/>
              </w:rPr>
            </w:pPr>
            <w:r>
              <w:rPr>
                <w:rFonts w:ascii="Arial" w:eastAsia="Arial" w:hAnsi="Arial" w:cs="Arial"/>
                <w:sz w:val="18"/>
                <w:szCs w:val="18"/>
              </w:rPr>
              <w:t>U.K. / Ireland</w:t>
            </w:r>
          </w:p>
        </w:tc>
        <w:tc>
          <w:tcPr>
            <w:tcW w:w="640" w:type="dxa"/>
            <w:tcBorders>
              <w:bottom w:val="single" w:sz="8" w:space="0" w:color="CCEEFF"/>
            </w:tcBorders>
            <w:shd w:val="clear" w:color="auto" w:fill="CCEEFF"/>
            <w:vAlign w:val="bottom"/>
          </w:tcPr>
          <w:p w14:paraId="15EC756B" w14:textId="77777777" w:rsidR="00D1587D" w:rsidRDefault="00410D07">
            <w:pPr>
              <w:jc w:val="right"/>
              <w:rPr>
                <w:sz w:val="20"/>
                <w:szCs w:val="20"/>
              </w:rPr>
            </w:pPr>
            <w:r>
              <w:rPr>
                <w:rFonts w:ascii="Arial" w:eastAsia="Arial" w:hAnsi="Arial" w:cs="Arial"/>
                <w:sz w:val="18"/>
                <w:szCs w:val="18"/>
              </w:rPr>
              <w:t>26</w:t>
            </w:r>
          </w:p>
        </w:tc>
        <w:tc>
          <w:tcPr>
            <w:tcW w:w="80" w:type="dxa"/>
            <w:tcBorders>
              <w:bottom w:val="single" w:sz="8" w:space="0" w:color="CCEEFF"/>
            </w:tcBorders>
            <w:shd w:val="clear" w:color="auto" w:fill="CCEEFF"/>
            <w:vAlign w:val="bottom"/>
          </w:tcPr>
          <w:p w14:paraId="2B613C4D" w14:textId="77777777" w:rsidR="00D1587D" w:rsidRDefault="00D1587D">
            <w:pPr>
              <w:rPr>
                <w:sz w:val="24"/>
                <w:szCs w:val="24"/>
              </w:rPr>
            </w:pPr>
          </w:p>
        </w:tc>
        <w:tc>
          <w:tcPr>
            <w:tcW w:w="20" w:type="dxa"/>
            <w:tcBorders>
              <w:bottom w:val="single" w:sz="8" w:space="0" w:color="CCEEFF"/>
            </w:tcBorders>
            <w:shd w:val="clear" w:color="auto" w:fill="CCEEFF"/>
            <w:vAlign w:val="bottom"/>
          </w:tcPr>
          <w:p w14:paraId="4C5312D0" w14:textId="77777777" w:rsidR="00D1587D" w:rsidRDefault="00D1587D">
            <w:pPr>
              <w:rPr>
                <w:sz w:val="24"/>
                <w:szCs w:val="24"/>
              </w:rPr>
            </w:pPr>
          </w:p>
        </w:tc>
        <w:tc>
          <w:tcPr>
            <w:tcW w:w="80" w:type="dxa"/>
            <w:tcBorders>
              <w:bottom w:val="single" w:sz="8" w:space="0" w:color="CCEEFF"/>
            </w:tcBorders>
            <w:shd w:val="clear" w:color="auto" w:fill="CCEEFF"/>
            <w:vAlign w:val="bottom"/>
          </w:tcPr>
          <w:p w14:paraId="2A05A249" w14:textId="77777777" w:rsidR="00D1587D" w:rsidRDefault="00D1587D">
            <w:pPr>
              <w:rPr>
                <w:sz w:val="24"/>
                <w:szCs w:val="24"/>
              </w:rPr>
            </w:pPr>
          </w:p>
        </w:tc>
        <w:tc>
          <w:tcPr>
            <w:tcW w:w="600" w:type="dxa"/>
            <w:gridSpan w:val="2"/>
            <w:tcBorders>
              <w:bottom w:val="single" w:sz="8" w:space="0" w:color="CCEEFF"/>
            </w:tcBorders>
            <w:shd w:val="clear" w:color="auto" w:fill="CCEEFF"/>
            <w:vAlign w:val="bottom"/>
          </w:tcPr>
          <w:p w14:paraId="352F9380" w14:textId="77777777" w:rsidR="00D1587D" w:rsidRDefault="00410D07">
            <w:pPr>
              <w:ind w:left="160"/>
              <w:rPr>
                <w:sz w:val="20"/>
                <w:szCs w:val="20"/>
              </w:rPr>
            </w:pPr>
            <w:r>
              <w:rPr>
                <w:rFonts w:ascii="Arial" w:eastAsia="Arial" w:hAnsi="Arial" w:cs="Arial"/>
                <w:sz w:val="18"/>
                <w:szCs w:val="18"/>
              </w:rPr>
              <w:t>—</w:t>
            </w:r>
          </w:p>
        </w:tc>
        <w:tc>
          <w:tcPr>
            <w:tcW w:w="80" w:type="dxa"/>
            <w:tcBorders>
              <w:bottom w:val="single" w:sz="8" w:space="0" w:color="CCEEFF"/>
            </w:tcBorders>
            <w:shd w:val="clear" w:color="auto" w:fill="CCEEFF"/>
            <w:vAlign w:val="bottom"/>
          </w:tcPr>
          <w:p w14:paraId="7D3A6C30" w14:textId="77777777" w:rsidR="00D1587D" w:rsidRDefault="00D1587D">
            <w:pPr>
              <w:rPr>
                <w:sz w:val="24"/>
                <w:szCs w:val="24"/>
              </w:rPr>
            </w:pPr>
          </w:p>
        </w:tc>
        <w:tc>
          <w:tcPr>
            <w:tcW w:w="700" w:type="dxa"/>
            <w:gridSpan w:val="4"/>
            <w:tcBorders>
              <w:bottom w:val="single" w:sz="8" w:space="0" w:color="CCEEFF"/>
            </w:tcBorders>
            <w:shd w:val="clear" w:color="auto" w:fill="CCEEFF"/>
            <w:vAlign w:val="bottom"/>
          </w:tcPr>
          <w:p w14:paraId="455573B6" w14:textId="77777777" w:rsidR="00D1587D" w:rsidRDefault="00410D07">
            <w:pPr>
              <w:ind w:right="328"/>
              <w:jc w:val="right"/>
              <w:rPr>
                <w:sz w:val="20"/>
                <w:szCs w:val="20"/>
              </w:rPr>
            </w:pPr>
            <w:r>
              <w:rPr>
                <w:rFonts w:ascii="Arial" w:eastAsia="Arial" w:hAnsi="Arial" w:cs="Arial"/>
                <w:sz w:val="18"/>
                <w:szCs w:val="18"/>
              </w:rPr>
              <w:t>—</w:t>
            </w:r>
          </w:p>
        </w:tc>
        <w:tc>
          <w:tcPr>
            <w:tcW w:w="520" w:type="dxa"/>
            <w:gridSpan w:val="2"/>
            <w:tcBorders>
              <w:bottom w:val="single" w:sz="8" w:space="0" w:color="CCEEFF"/>
            </w:tcBorders>
            <w:shd w:val="clear" w:color="auto" w:fill="CCEEFF"/>
            <w:vAlign w:val="bottom"/>
          </w:tcPr>
          <w:p w14:paraId="7A44D3C5" w14:textId="77777777" w:rsidR="00D1587D" w:rsidRDefault="00410D07">
            <w:pPr>
              <w:ind w:right="116"/>
              <w:jc w:val="right"/>
              <w:rPr>
                <w:sz w:val="20"/>
                <w:szCs w:val="20"/>
              </w:rPr>
            </w:pPr>
            <w:r>
              <w:rPr>
                <w:rFonts w:ascii="Arial" w:eastAsia="Arial" w:hAnsi="Arial" w:cs="Arial"/>
                <w:w w:val="93"/>
                <w:sz w:val="18"/>
                <w:szCs w:val="18"/>
              </w:rPr>
              <w:t>(26)</w:t>
            </w:r>
          </w:p>
        </w:tc>
        <w:tc>
          <w:tcPr>
            <w:tcW w:w="100" w:type="dxa"/>
            <w:tcBorders>
              <w:bottom w:val="single" w:sz="8" w:space="0" w:color="CCEEFF"/>
            </w:tcBorders>
            <w:shd w:val="clear" w:color="auto" w:fill="CCEEFF"/>
            <w:vAlign w:val="bottom"/>
          </w:tcPr>
          <w:p w14:paraId="3D7D37C9" w14:textId="77777777" w:rsidR="00D1587D" w:rsidRDefault="00D1587D">
            <w:pPr>
              <w:rPr>
                <w:sz w:val="24"/>
                <w:szCs w:val="24"/>
              </w:rPr>
            </w:pPr>
          </w:p>
        </w:tc>
        <w:tc>
          <w:tcPr>
            <w:tcW w:w="200" w:type="dxa"/>
            <w:tcBorders>
              <w:bottom w:val="single" w:sz="8" w:space="0" w:color="CCEEFF"/>
            </w:tcBorders>
            <w:shd w:val="clear" w:color="auto" w:fill="CCEEFF"/>
            <w:vAlign w:val="bottom"/>
          </w:tcPr>
          <w:p w14:paraId="07D1E062" w14:textId="77777777" w:rsidR="00D1587D" w:rsidRDefault="00D1587D">
            <w:pPr>
              <w:rPr>
                <w:sz w:val="24"/>
                <w:szCs w:val="24"/>
              </w:rPr>
            </w:pPr>
          </w:p>
        </w:tc>
        <w:tc>
          <w:tcPr>
            <w:tcW w:w="540" w:type="dxa"/>
            <w:tcBorders>
              <w:bottom w:val="single" w:sz="8" w:space="0" w:color="CCEEFF"/>
            </w:tcBorders>
            <w:shd w:val="clear" w:color="auto" w:fill="CCEEFF"/>
            <w:vAlign w:val="bottom"/>
          </w:tcPr>
          <w:p w14:paraId="1999B239" w14:textId="77777777" w:rsidR="00D1587D" w:rsidRDefault="00410D07">
            <w:pPr>
              <w:ind w:left="120"/>
              <w:rPr>
                <w:sz w:val="20"/>
                <w:szCs w:val="20"/>
              </w:rPr>
            </w:pPr>
            <w:r>
              <w:rPr>
                <w:rFonts w:ascii="Arial" w:eastAsia="Arial" w:hAnsi="Arial" w:cs="Arial"/>
                <w:sz w:val="18"/>
                <w:szCs w:val="18"/>
              </w:rPr>
              <w:t>—</w:t>
            </w:r>
          </w:p>
        </w:tc>
        <w:tc>
          <w:tcPr>
            <w:tcW w:w="0" w:type="dxa"/>
            <w:vAlign w:val="bottom"/>
          </w:tcPr>
          <w:p w14:paraId="3856E509" w14:textId="77777777" w:rsidR="00D1587D" w:rsidRDefault="00D1587D">
            <w:pPr>
              <w:rPr>
                <w:sz w:val="1"/>
                <w:szCs w:val="1"/>
              </w:rPr>
            </w:pPr>
          </w:p>
        </w:tc>
      </w:tr>
      <w:tr w:rsidR="00D1587D" w14:paraId="354E59E0" w14:textId="77777777">
        <w:trPr>
          <w:trHeight w:val="270"/>
        </w:trPr>
        <w:tc>
          <w:tcPr>
            <w:tcW w:w="4860" w:type="dxa"/>
            <w:vAlign w:val="bottom"/>
          </w:tcPr>
          <w:p w14:paraId="49FF2D5E" w14:textId="77777777" w:rsidR="00D1587D" w:rsidRDefault="00410D07">
            <w:pPr>
              <w:rPr>
                <w:sz w:val="20"/>
                <w:szCs w:val="20"/>
              </w:rPr>
            </w:pPr>
            <w:r>
              <w:rPr>
                <w:rFonts w:ascii="Arial" w:eastAsia="Arial" w:hAnsi="Arial" w:cs="Arial"/>
                <w:sz w:val="18"/>
                <w:szCs w:val="18"/>
              </w:rPr>
              <w:t>Greater China – Beauty and Accessories</w:t>
            </w:r>
          </w:p>
        </w:tc>
        <w:tc>
          <w:tcPr>
            <w:tcW w:w="640" w:type="dxa"/>
            <w:vAlign w:val="bottom"/>
          </w:tcPr>
          <w:p w14:paraId="5D7C5413" w14:textId="77777777" w:rsidR="00D1587D" w:rsidRDefault="00410D07">
            <w:pPr>
              <w:jc w:val="right"/>
              <w:rPr>
                <w:sz w:val="20"/>
                <w:szCs w:val="20"/>
              </w:rPr>
            </w:pPr>
            <w:r>
              <w:rPr>
                <w:rFonts w:ascii="Arial" w:eastAsia="Arial" w:hAnsi="Arial" w:cs="Arial"/>
                <w:sz w:val="18"/>
                <w:szCs w:val="18"/>
              </w:rPr>
              <w:t>41</w:t>
            </w:r>
          </w:p>
        </w:tc>
        <w:tc>
          <w:tcPr>
            <w:tcW w:w="80" w:type="dxa"/>
            <w:vAlign w:val="bottom"/>
          </w:tcPr>
          <w:p w14:paraId="05B25072" w14:textId="77777777" w:rsidR="00D1587D" w:rsidRDefault="00D1587D">
            <w:pPr>
              <w:rPr>
                <w:sz w:val="23"/>
                <w:szCs w:val="23"/>
              </w:rPr>
            </w:pPr>
          </w:p>
        </w:tc>
        <w:tc>
          <w:tcPr>
            <w:tcW w:w="20" w:type="dxa"/>
            <w:vAlign w:val="bottom"/>
          </w:tcPr>
          <w:p w14:paraId="24C4DC57" w14:textId="77777777" w:rsidR="00D1587D" w:rsidRDefault="00D1587D">
            <w:pPr>
              <w:rPr>
                <w:sz w:val="23"/>
                <w:szCs w:val="23"/>
              </w:rPr>
            </w:pPr>
          </w:p>
        </w:tc>
        <w:tc>
          <w:tcPr>
            <w:tcW w:w="580" w:type="dxa"/>
            <w:gridSpan w:val="2"/>
            <w:vAlign w:val="bottom"/>
          </w:tcPr>
          <w:p w14:paraId="2F45AE8D" w14:textId="77777777" w:rsidR="00D1587D" w:rsidRDefault="00410D07">
            <w:pPr>
              <w:ind w:left="320"/>
              <w:rPr>
                <w:sz w:val="20"/>
                <w:szCs w:val="20"/>
              </w:rPr>
            </w:pPr>
            <w:r>
              <w:rPr>
                <w:rFonts w:ascii="Arial" w:eastAsia="Arial" w:hAnsi="Arial" w:cs="Arial"/>
                <w:sz w:val="18"/>
                <w:szCs w:val="18"/>
              </w:rPr>
              <w:t>1</w:t>
            </w:r>
          </w:p>
        </w:tc>
        <w:tc>
          <w:tcPr>
            <w:tcW w:w="100" w:type="dxa"/>
            <w:vAlign w:val="bottom"/>
          </w:tcPr>
          <w:p w14:paraId="1F4632DD" w14:textId="77777777" w:rsidR="00D1587D" w:rsidRDefault="00D1587D">
            <w:pPr>
              <w:rPr>
                <w:sz w:val="23"/>
                <w:szCs w:val="23"/>
              </w:rPr>
            </w:pPr>
          </w:p>
        </w:tc>
        <w:tc>
          <w:tcPr>
            <w:tcW w:w="440" w:type="dxa"/>
            <w:gridSpan w:val="3"/>
            <w:vAlign w:val="bottom"/>
          </w:tcPr>
          <w:p w14:paraId="631A0161" w14:textId="77777777" w:rsidR="00D1587D" w:rsidRDefault="00410D07">
            <w:pPr>
              <w:jc w:val="right"/>
              <w:rPr>
                <w:sz w:val="20"/>
                <w:szCs w:val="20"/>
              </w:rPr>
            </w:pPr>
            <w:r>
              <w:rPr>
                <w:rFonts w:ascii="Arial" w:eastAsia="Arial" w:hAnsi="Arial" w:cs="Arial"/>
                <w:sz w:val="18"/>
                <w:szCs w:val="18"/>
              </w:rPr>
              <w:t>(6)</w:t>
            </w:r>
          </w:p>
        </w:tc>
        <w:tc>
          <w:tcPr>
            <w:tcW w:w="120" w:type="dxa"/>
            <w:vAlign w:val="bottom"/>
          </w:tcPr>
          <w:p w14:paraId="77B3CFCF" w14:textId="77777777" w:rsidR="00D1587D" w:rsidRDefault="00D1587D">
            <w:pPr>
              <w:rPr>
                <w:sz w:val="23"/>
                <w:szCs w:val="23"/>
              </w:rPr>
            </w:pPr>
          </w:p>
        </w:tc>
        <w:tc>
          <w:tcPr>
            <w:tcW w:w="220" w:type="dxa"/>
            <w:vAlign w:val="bottom"/>
          </w:tcPr>
          <w:p w14:paraId="483835C7" w14:textId="77777777" w:rsidR="00D1587D" w:rsidRDefault="00D1587D">
            <w:pPr>
              <w:rPr>
                <w:sz w:val="23"/>
                <w:szCs w:val="23"/>
              </w:rPr>
            </w:pPr>
          </w:p>
        </w:tc>
        <w:tc>
          <w:tcPr>
            <w:tcW w:w="620" w:type="dxa"/>
            <w:gridSpan w:val="3"/>
            <w:vAlign w:val="bottom"/>
          </w:tcPr>
          <w:p w14:paraId="2F73FD9E" w14:textId="77777777" w:rsidR="00D1587D" w:rsidRDefault="00410D07">
            <w:pPr>
              <w:ind w:right="360"/>
              <w:jc w:val="right"/>
              <w:rPr>
                <w:sz w:val="20"/>
                <w:szCs w:val="20"/>
              </w:rPr>
            </w:pPr>
            <w:r>
              <w:rPr>
                <w:rFonts w:ascii="Arial" w:eastAsia="Arial" w:hAnsi="Arial" w:cs="Arial"/>
                <w:sz w:val="18"/>
                <w:szCs w:val="18"/>
              </w:rPr>
              <w:t>—</w:t>
            </w:r>
          </w:p>
        </w:tc>
        <w:tc>
          <w:tcPr>
            <w:tcW w:w="740" w:type="dxa"/>
            <w:gridSpan w:val="2"/>
            <w:vAlign w:val="bottom"/>
          </w:tcPr>
          <w:p w14:paraId="0FD56693" w14:textId="77777777" w:rsidR="00D1587D" w:rsidRDefault="00410D07">
            <w:pPr>
              <w:ind w:left="320"/>
              <w:rPr>
                <w:sz w:val="20"/>
                <w:szCs w:val="20"/>
              </w:rPr>
            </w:pPr>
            <w:r>
              <w:rPr>
                <w:rFonts w:ascii="Arial" w:eastAsia="Arial" w:hAnsi="Arial" w:cs="Arial"/>
                <w:sz w:val="18"/>
                <w:szCs w:val="18"/>
              </w:rPr>
              <w:t>36</w:t>
            </w:r>
          </w:p>
        </w:tc>
        <w:tc>
          <w:tcPr>
            <w:tcW w:w="0" w:type="dxa"/>
            <w:vAlign w:val="bottom"/>
          </w:tcPr>
          <w:p w14:paraId="08CCD685" w14:textId="77777777" w:rsidR="00D1587D" w:rsidRDefault="00D1587D">
            <w:pPr>
              <w:rPr>
                <w:sz w:val="1"/>
                <w:szCs w:val="1"/>
              </w:rPr>
            </w:pPr>
          </w:p>
        </w:tc>
      </w:tr>
      <w:tr w:rsidR="00D1587D" w14:paraId="012BEFF9" w14:textId="77777777">
        <w:trPr>
          <w:trHeight w:val="54"/>
        </w:trPr>
        <w:tc>
          <w:tcPr>
            <w:tcW w:w="4860" w:type="dxa"/>
            <w:vAlign w:val="bottom"/>
          </w:tcPr>
          <w:p w14:paraId="19DAAAA3" w14:textId="77777777" w:rsidR="00D1587D" w:rsidRDefault="00D1587D">
            <w:pPr>
              <w:rPr>
                <w:sz w:val="4"/>
                <w:szCs w:val="4"/>
              </w:rPr>
            </w:pPr>
          </w:p>
        </w:tc>
        <w:tc>
          <w:tcPr>
            <w:tcW w:w="640" w:type="dxa"/>
            <w:vAlign w:val="bottom"/>
          </w:tcPr>
          <w:p w14:paraId="74D0F4E5" w14:textId="77777777" w:rsidR="00D1587D" w:rsidRDefault="00D1587D">
            <w:pPr>
              <w:rPr>
                <w:sz w:val="4"/>
                <w:szCs w:val="4"/>
              </w:rPr>
            </w:pPr>
          </w:p>
        </w:tc>
        <w:tc>
          <w:tcPr>
            <w:tcW w:w="80" w:type="dxa"/>
            <w:vAlign w:val="bottom"/>
          </w:tcPr>
          <w:p w14:paraId="0F4FF28D" w14:textId="77777777" w:rsidR="00D1587D" w:rsidRDefault="00D1587D">
            <w:pPr>
              <w:rPr>
                <w:sz w:val="4"/>
                <w:szCs w:val="4"/>
              </w:rPr>
            </w:pPr>
          </w:p>
        </w:tc>
        <w:tc>
          <w:tcPr>
            <w:tcW w:w="20" w:type="dxa"/>
            <w:vAlign w:val="bottom"/>
          </w:tcPr>
          <w:p w14:paraId="0918BA5B" w14:textId="77777777" w:rsidR="00D1587D" w:rsidRDefault="00D1587D">
            <w:pPr>
              <w:rPr>
                <w:sz w:val="4"/>
                <w:szCs w:val="4"/>
              </w:rPr>
            </w:pPr>
          </w:p>
        </w:tc>
        <w:tc>
          <w:tcPr>
            <w:tcW w:w="80" w:type="dxa"/>
            <w:vAlign w:val="bottom"/>
          </w:tcPr>
          <w:p w14:paraId="14B1F234" w14:textId="77777777" w:rsidR="00D1587D" w:rsidRDefault="00D1587D">
            <w:pPr>
              <w:rPr>
                <w:sz w:val="4"/>
                <w:szCs w:val="4"/>
              </w:rPr>
            </w:pPr>
          </w:p>
        </w:tc>
        <w:tc>
          <w:tcPr>
            <w:tcW w:w="500" w:type="dxa"/>
            <w:vAlign w:val="bottom"/>
          </w:tcPr>
          <w:p w14:paraId="09A570C3" w14:textId="77777777" w:rsidR="00D1587D" w:rsidRDefault="00D1587D">
            <w:pPr>
              <w:rPr>
                <w:sz w:val="4"/>
                <w:szCs w:val="4"/>
              </w:rPr>
            </w:pPr>
          </w:p>
        </w:tc>
        <w:tc>
          <w:tcPr>
            <w:tcW w:w="100" w:type="dxa"/>
            <w:vAlign w:val="bottom"/>
          </w:tcPr>
          <w:p w14:paraId="2AE3A156" w14:textId="77777777" w:rsidR="00D1587D" w:rsidRDefault="00D1587D">
            <w:pPr>
              <w:rPr>
                <w:sz w:val="4"/>
                <w:szCs w:val="4"/>
              </w:rPr>
            </w:pPr>
          </w:p>
        </w:tc>
        <w:tc>
          <w:tcPr>
            <w:tcW w:w="440" w:type="dxa"/>
            <w:gridSpan w:val="3"/>
            <w:vAlign w:val="bottom"/>
          </w:tcPr>
          <w:p w14:paraId="79B1386E" w14:textId="77777777" w:rsidR="00D1587D" w:rsidRDefault="00D1587D">
            <w:pPr>
              <w:rPr>
                <w:sz w:val="4"/>
                <w:szCs w:val="4"/>
              </w:rPr>
            </w:pPr>
          </w:p>
        </w:tc>
        <w:tc>
          <w:tcPr>
            <w:tcW w:w="120" w:type="dxa"/>
            <w:vAlign w:val="bottom"/>
          </w:tcPr>
          <w:p w14:paraId="1ECECC26" w14:textId="77777777" w:rsidR="00D1587D" w:rsidRDefault="00D1587D">
            <w:pPr>
              <w:rPr>
                <w:sz w:val="4"/>
                <w:szCs w:val="4"/>
              </w:rPr>
            </w:pPr>
          </w:p>
        </w:tc>
        <w:tc>
          <w:tcPr>
            <w:tcW w:w="220" w:type="dxa"/>
            <w:vAlign w:val="bottom"/>
          </w:tcPr>
          <w:p w14:paraId="7E7A8EC4" w14:textId="77777777" w:rsidR="00D1587D" w:rsidRDefault="00D1587D">
            <w:pPr>
              <w:rPr>
                <w:sz w:val="4"/>
                <w:szCs w:val="4"/>
              </w:rPr>
            </w:pPr>
          </w:p>
        </w:tc>
        <w:tc>
          <w:tcPr>
            <w:tcW w:w="520" w:type="dxa"/>
            <w:gridSpan w:val="2"/>
            <w:vAlign w:val="bottom"/>
          </w:tcPr>
          <w:p w14:paraId="3EC3E18D" w14:textId="77777777" w:rsidR="00D1587D" w:rsidRDefault="00D1587D">
            <w:pPr>
              <w:rPr>
                <w:sz w:val="4"/>
                <w:szCs w:val="4"/>
              </w:rPr>
            </w:pPr>
          </w:p>
        </w:tc>
        <w:tc>
          <w:tcPr>
            <w:tcW w:w="100" w:type="dxa"/>
            <w:vAlign w:val="bottom"/>
          </w:tcPr>
          <w:p w14:paraId="7BB0AADF" w14:textId="77777777" w:rsidR="00D1587D" w:rsidRDefault="00D1587D">
            <w:pPr>
              <w:rPr>
                <w:sz w:val="4"/>
                <w:szCs w:val="4"/>
              </w:rPr>
            </w:pPr>
          </w:p>
        </w:tc>
        <w:tc>
          <w:tcPr>
            <w:tcW w:w="740" w:type="dxa"/>
            <w:gridSpan w:val="2"/>
            <w:vAlign w:val="bottom"/>
          </w:tcPr>
          <w:p w14:paraId="4398263F" w14:textId="77777777" w:rsidR="00D1587D" w:rsidRDefault="00D1587D">
            <w:pPr>
              <w:rPr>
                <w:sz w:val="4"/>
                <w:szCs w:val="4"/>
              </w:rPr>
            </w:pPr>
          </w:p>
        </w:tc>
        <w:tc>
          <w:tcPr>
            <w:tcW w:w="0" w:type="dxa"/>
            <w:vAlign w:val="bottom"/>
          </w:tcPr>
          <w:p w14:paraId="3F0014D4" w14:textId="77777777" w:rsidR="00D1587D" w:rsidRDefault="00D1587D">
            <w:pPr>
              <w:rPr>
                <w:sz w:val="1"/>
                <w:szCs w:val="1"/>
              </w:rPr>
            </w:pPr>
          </w:p>
        </w:tc>
      </w:tr>
      <w:tr w:rsidR="00D1587D" w14:paraId="65B6D27E" w14:textId="77777777">
        <w:trPr>
          <w:trHeight w:val="270"/>
        </w:trPr>
        <w:tc>
          <w:tcPr>
            <w:tcW w:w="4860" w:type="dxa"/>
            <w:shd w:val="clear" w:color="auto" w:fill="CCEEFF"/>
            <w:vAlign w:val="bottom"/>
          </w:tcPr>
          <w:p w14:paraId="0DA1C69A" w14:textId="77777777" w:rsidR="00D1587D" w:rsidRDefault="00410D07">
            <w:pPr>
              <w:rPr>
                <w:sz w:val="20"/>
                <w:szCs w:val="20"/>
              </w:rPr>
            </w:pPr>
            <w:r>
              <w:rPr>
                <w:rFonts w:ascii="Arial" w:eastAsia="Arial" w:hAnsi="Arial" w:cs="Arial"/>
                <w:sz w:val="18"/>
                <w:szCs w:val="18"/>
              </w:rPr>
              <w:t xml:space="preserve">Greater China – Full </w:t>
            </w:r>
            <w:r>
              <w:rPr>
                <w:rFonts w:ascii="Arial" w:eastAsia="Arial" w:hAnsi="Arial" w:cs="Arial"/>
                <w:sz w:val="18"/>
                <w:szCs w:val="18"/>
              </w:rPr>
              <w:t>Assortment</w:t>
            </w:r>
          </w:p>
        </w:tc>
        <w:tc>
          <w:tcPr>
            <w:tcW w:w="640" w:type="dxa"/>
            <w:shd w:val="clear" w:color="auto" w:fill="CCEEFF"/>
            <w:vAlign w:val="bottom"/>
          </w:tcPr>
          <w:p w14:paraId="124CBCB2" w14:textId="77777777" w:rsidR="00D1587D" w:rsidRDefault="00410D07">
            <w:pPr>
              <w:jc w:val="right"/>
              <w:rPr>
                <w:sz w:val="20"/>
                <w:szCs w:val="20"/>
              </w:rPr>
            </w:pPr>
            <w:r>
              <w:rPr>
                <w:rFonts w:ascii="Arial" w:eastAsia="Arial" w:hAnsi="Arial" w:cs="Arial"/>
                <w:sz w:val="18"/>
                <w:szCs w:val="18"/>
              </w:rPr>
              <w:t>23</w:t>
            </w:r>
          </w:p>
        </w:tc>
        <w:tc>
          <w:tcPr>
            <w:tcW w:w="80" w:type="dxa"/>
            <w:shd w:val="clear" w:color="auto" w:fill="CCEEFF"/>
            <w:vAlign w:val="bottom"/>
          </w:tcPr>
          <w:p w14:paraId="24EFA0DD" w14:textId="77777777" w:rsidR="00D1587D" w:rsidRDefault="00D1587D">
            <w:pPr>
              <w:rPr>
                <w:sz w:val="23"/>
                <w:szCs w:val="23"/>
              </w:rPr>
            </w:pPr>
          </w:p>
        </w:tc>
        <w:tc>
          <w:tcPr>
            <w:tcW w:w="20" w:type="dxa"/>
            <w:shd w:val="clear" w:color="auto" w:fill="CCEEFF"/>
            <w:vAlign w:val="bottom"/>
          </w:tcPr>
          <w:p w14:paraId="17FB1637" w14:textId="77777777" w:rsidR="00D1587D" w:rsidRDefault="00D1587D">
            <w:pPr>
              <w:rPr>
                <w:sz w:val="23"/>
                <w:szCs w:val="23"/>
              </w:rPr>
            </w:pPr>
          </w:p>
        </w:tc>
        <w:tc>
          <w:tcPr>
            <w:tcW w:w="580" w:type="dxa"/>
            <w:gridSpan w:val="2"/>
            <w:shd w:val="clear" w:color="auto" w:fill="CCEEFF"/>
            <w:vAlign w:val="bottom"/>
          </w:tcPr>
          <w:p w14:paraId="16900899" w14:textId="77777777" w:rsidR="00D1587D" w:rsidRDefault="00410D07">
            <w:pPr>
              <w:ind w:left="320"/>
              <w:rPr>
                <w:sz w:val="20"/>
                <w:szCs w:val="20"/>
              </w:rPr>
            </w:pPr>
            <w:r>
              <w:rPr>
                <w:rFonts w:ascii="Arial" w:eastAsia="Arial" w:hAnsi="Arial" w:cs="Arial"/>
                <w:sz w:val="18"/>
                <w:szCs w:val="18"/>
              </w:rPr>
              <w:t>4</w:t>
            </w:r>
          </w:p>
        </w:tc>
        <w:tc>
          <w:tcPr>
            <w:tcW w:w="100" w:type="dxa"/>
            <w:shd w:val="clear" w:color="auto" w:fill="CCEEFF"/>
            <w:vAlign w:val="bottom"/>
          </w:tcPr>
          <w:p w14:paraId="2EA691CA" w14:textId="77777777" w:rsidR="00D1587D" w:rsidRDefault="00D1587D">
            <w:pPr>
              <w:rPr>
                <w:sz w:val="23"/>
                <w:szCs w:val="23"/>
              </w:rPr>
            </w:pPr>
          </w:p>
        </w:tc>
        <w:tc>
          <w:tcPr>
            <w:tcW w:w="440" w:type="dxa"/>
            <w:gridSpan w:val="3"/>
            <w:shd w:val="clear" w:color="auto" w:fill="CCEEFF"/>
            <w:vAlign w:val="bottom"/>
          </w:tcPr>
          <w:p w14:paraId="4733B70E" w14:textId="77777777" w:rsidR="00D1587D" w:rsidRDefault="00410D07">
            <w:pPr>
              <w:jc w:val="right"/>
              <w:rPr>
                <w:sz w:val="20"/>
                <w:szCs w:val="20"/>
              </w:rPr>
            </w:pPr>
            <w:r>
              <w:rPr>
                <w:rFonts w:ascii="Arial" w:eastAsia="Arial" w:hAnsi="Arial" w:cs="Arial"/>
                <w:sz w:val="18"/>
                <w:szCs w:val="18"/>
              </w:rPr>
              <w:t>(1)</w:t>
            </w:r>
          </w:p>
        </w:tc>
        <w:tc>
          <w:tcPr>
            <w:tcW w:w="120" w:type="dxa"/>
            <w:shd w:val="clear" w:color="auto" w:fill="CCEEFF"/>
            <w:vAlign w:val="bottom"/>
          </w:tcPr>
          <w:p w14:paraId="26026CEA" w14:textId="77777777" w:rsidR="00D1587D" w:rsidRDefault="00D1587D">
            <w:pPr>
              <w:rPr>
                <w:sz w:val="23"/>
                <w:szCs w:val="23"/>
              </w:rPr>
            </w:pPr>
          </w:p>
        </w:tc>
        <w:tc>
          <w:tcPr>
            <w:tcW w:w="220" w:type="dxa"/>
            <w:shd w:val="clear" w:color="auto" w:fill="CCEEFF"/>
            <w:vAlign w:val="bottom"/>
          </w:tcPr>
          <w:p w14:paraId="4619207A" w14:textId="77777777" w:rsidR="00D1587D" w:rsidRDefault="00D1587D">
            <w:pPr>
              <w:rPr>
                <w:sz w:val="23"/>
                <w:szCs w:val="23"/>
              </w:rPr>
            </w:pPr>
          </w:p>
        </w:tc>
        <w:tc>
          <w:tcPr>
            <w:tcW w:w="620" w:type="dxa"/>
            <w:gridSpan w:val="3"/>
            <w:shd w:val="clear" w:color="auto" w:fill="CCEEFF"/>
            <w:vAlign w:val="bottom"/>
          </w:tcPr>
          <w:p w14:paraId="4CFFCF7F" w14:textId="77777777" w:rsidR="00D1587D" w:rsidRDefault="00410D07">
            <w:pPr>
              <w:ind w:right="360"/>
              <w:jc w:val="right"/>
              <w:rPr>
                <w:sz w:val="20"/>
                <w:szCs w:val="20"/>
              </w:rPr>
            </w:pPr>
            <w:r>
              <w:rPr>
                <w:rFonts w:ascii="Arial" w:eastAsia="Arial" w:hAnsi="Arial" w:cs="Arial"/>
                <w:sz w:val="18"/>
                <w:szCs w:val="18"/>
              </w:rPr>
              <w:t>—</w:t>
            </w:r>
          </w:p>
        </w:tc>
        <w:tc>
          <w:tcPr>
            <w:tcW w:w="740" w:type="dxa"/>
            <w:gridSpan w:val="2"/>
            <w:shd w:val="clear" w:color="auto" w:fill="CCEEFF"/>
            <w:vAlign w:val="bottom"/>
          </w:tcPr>
          <w:p w14:paraId="0CC8198D" w14:textId="77777777" w:rsidR="00D1587D" w:rsidRDefault="00410D07">
            <w:pPr>
              <w:ind w:left="320"/>
              <w:rPr>
                <w:sz w:val="20"/>
                <w:szCs w:val="20"/>
              </w:rPr>
            </w:pPr>
            <w:r>
              <w:rPr>
                <w:rFonts w:ascii="Arial" w:eastAsia="Arial" w:hAnsi="Arial" w:cs="Arial"/>
                <w:sz w:val="18"/>
                <w:szCs w:val="18"/>
              </w:rPr>
              <w:t>26</w:t>
            </w:r>
          </w:p>
        </w:tc>
        <w:tc>
          <w:tcPr>
            <w:tcW w:w="0" w:type="dxa"/>
            <w:vAlign w:val="bottom"/>
          </w:tcPr>
          <w:p w14:paraId="7388E49A" w14:textId="77777777" w:rsidR="00D1587D" w:rsidRDefault="00D1587D">
            <w:pPr>
              <w:rPr>
                <w:sz w:val="1"/>
                <w:szCs w:val="1"/>
              </w:rPr>
            </w:pPr>
          </w:p>
        </w:tc>
      </w:tr>
      <w:tr w:rsidR="00D1587D" w14:paraId="18CEDF8F" w14:textId="77777777">
        <w:trPr>
          <w:trHeight w:val="68"/>
        </w:trPr>
        <w:tc>
          <w:tcPr>
            <w:tcW w:w="4860" w:type="dxa"/>
            <w:shd w:val="clear" w:color="auto" w:fill="CCEEFF"/>
            <w:vAlign w:val="bottom"/>
          </w:tcPr>
          <w:p w14:paraId="31B61101" w14:textId="77777777" w:rsidR="00D1587D" w:rsidRDefault="00D1587D">
            <w:pPr>
              <w:rPr>
                <w:sz w:val="5"/>
                <w:szCs w:val="5"/>
              </w:rPr>
            </w:pPr>
          </w:p>
        </w:tc>
        <w:tc>
          <w:tcPr>
            <w:tcW w:w="640" w:type="dxa"/>
            <w:tcBorders>
              <w:bottom w:val="single" w:sz="8" w:space="0" w:color="auto"/>
            </w:tcBorders>
            <w:shd w:val="clear" w:color="auto" w:fill="CCEEFF"/>
            <w:vAlign w:val="bottom"/>
          </w:tcPr>
          <w:p w14:paraId="30B7160D" w14:textId="77777777" w:rsidR="00D1587D" w:rsidRDefault="00D1587D">
            <w:pPr>
              <w:rPr>
                <w:sz w:val="5"/>
                <w:szCs w:val="5"/>
              </w:rPr>
            </w:pPr>
          </w:p>
        </w:tc>
        <w:tc>
          <w:tcPr>
            <w:tcW w:w="80" w:type="dxa"/>
            <w:tcBorders>
              <w:bottom w:val="single" w:sz="8" w:space="0" w:color="auto"/>
            </w:tcBorders>
            <w:shd w:val="clear" w:color="auto" w:fill="CCEEFF"/>
            <w:vAlign w:val="bottom"/>
          </w:tcPr>
          <w:p w14:paraId="7AD5BD85" w14:textId="77777777" w:rsidR="00D1587D" w:rsidRDefault="00D1587D">
            <w:pPr>
              <w:rPr>
                <w:sz w:val="5"/>
                <w:szCs w:val="5"/>
              </w:rPr>
            </w:pPr>
          </w:p>
        </w:tc>
        <w:tc>
          <w:tcPr>
            <w:tcW w:w="20" w:type="dxa"/>
            <w:tcBorders>
              <w:bottom w:val="single" w:sz="8" w:space="0" w:color="CCEEFF"/>
            </w:tcBorders>
            <w:shd w:val="clear" w:color="auto" w:fill="CCEEFF"/>
            <w:vAlign w:val="bottom"/>
          </w:tcPr>
          <w:p w14:paraId="74D49E7C" w14:textId="77777777" w:rsidR="00D1587D" w:rsidRDefault="00D1587D">
            <w:pPr>
              <w:rPr>
                <w:sz w:val="5"/>
                <w:szCs w:val="5"/>
              </w:rPr>
            </w:pPr>
          </w:p>
        </w:tc>
        <w:tc>
          <w:tcPr>
            <w:tcW w:w="80" w:type="dxa"/>
            <w:tcBorders>
              <w:bottom w:val="single" w:sz="8" w:space="0" w:color="CCEEFF"/>
            </w:tcBorders>
            <w:shd w:val="clear" w:color="auto" w:fill="CCEEFF"/>
            <w:vAlign w:val="bottom"/>
          </w:tcPr>
          <w:p w14:paraId="1BD0EEF7" w14:textId="77777777" w:rsidR="00D1587D" w:rsidRDefault="00D1587D">
            <w:pPr>
              <w:rPr>
                <w:sz w:val="5"/>
                <w:szCs w:val="5"/>
              </w:rPr>
            </w:pPr>
          </w:p>
        </w:tc>
        <w:tc>
          <w:tcPr>
            <w:tcW w:w="500" w:type="dxa"/>
            <w:tcBorders>
              <w:bottom w:val="single" w:sz="8" w:space="0" w:color="auto"/>
            </w:tcBorders>
            <w:shd w:val="clear" w:color="auto" w:fill="CCEEFF"/>
            <w:vAlign w:val="bottom"/>
          </w:tcPr>
          <w:p w14:paraId="396C2D35" w14:textId="77777777" w:rsidR="00D1587D" w:rsidRDefault="00D1587D">
            <w:pPr>
              <w:rPr>
                <w:sz w:val="5"/>
                <w:szCs w:val="5"/>
              </w:rPr>
            </w:pPr>
          </w:p>
        </w:tc>
        <w:tc>
          <w:tcPr>
            <w:tcW w:w="100" w:type="dxa"/>
            <w:tcBorders>
              <w:bottom w:val="single" w:sz="8" w:space="0" w:color="CCEEFF"/>
            </w:tcBorders>
            <w:shd w:val="clear" w:color="auto" w:fill="CCEEFF"/>
            <w:vAlign w:val="bottom"/>
          </w:tcPr>
          <w:p w14:paraId="060F1BEE" w14:textId="77777777" w:rsidR="00D1587D" w:rsidRDefault="00D1587D">
            <w:pPr>
              <w:rPr>
                <w:sz w:val="5"/>
                <w:szCs w:val="5"/>
              </w:rPr>
            </w:pPr>
          </w:p>
        </w:tc>
        <w:tc>
          <w:tcPr>
            <w:tcW w:w="440" w:type="dxa"/>
            <w:gridSpan w:val="3"/>
            <w:tcBorders>
              <w:bottom w:val="single" w:sz="8" w:space="0" w:color="auto"/>
            </w:tcBorders>
            <w:shd w:val="clear" w:color="auto" w:fill="CCEEFF"/>
            <w:vAlign w:val="bottom"/>
          </w:tcPr>
          <w:p w14:paraId="0CAF2C7E" w14:textId="77777777" w:rsidR="00D1587D" w:rsidRDefault="00D1587D">
            <w:pPr>
              <w:rPr>
                <w:sz w:val="5"/>
                <w:szCs w:val="5"/>
              </w:rPr>
            </w:pPr>
          </w:p>
        </w:tc>
        <w:tc>
          <w:tcPr>
            <w:tcW w:w="120" w:type="dxa"/>
            <w:tcBorders>
              <w:bottom w:val="single" w:sz="8" w:space="0" w:color="CCEEFF"/>
            </w:tcBorders>
            <w:shd w:val="clear" w:color="auto" w:fill="CCEEFF"/>
            <w:vAlign w:val="bottom"/>
          </w:tcPr>
          <w:p w14:paraId="374A85A3" w14:textId="77777777" w:rsidR="00D1587D" w:rsidRDefault="00D1587D">
            <w:pPr>
              <w:rPr>
                <w:sz w:val="5"/>
                <w:szCs w:val="5"/>
              </w:rPr>
            </w:pPr>
          </w:p>
        </w:tc>
        <w:tc>
          <w:tcPr>
            <w:tcW w:w="220" w:type="dxa"/>
            <w:tcBorders>
              <w:bottom w:val="single" w:sz="8" w:space="0" w:color="auto"/>
            </w:tcBorders>
            <w:shd w:val="clear" w:color="auto" w:fill="CCEEFF"/>
            <w:vAlign w:val="bottom"/>
          </w:tcPr>
          <w:p w14:paraId="40F589F8" w14:textId="77777777" w:rsidR="00D1587D" w:rsidRDefault="00D1587D">
            <w:pPr>
              <w:rPr>
                <w:sz w:val="5"/>
                <w:szCs w:val="5"/>
              </w:rPr>
            </w:pPr>
          </w:p>
        </w:tc>
        <w:tc>
          <w:tcPr>
            <w:tcW w:w="520" w:type="dxa"/>
            <w:gridSpan w:val="2"/>
            <w:tcBorders>
              <w:bottom w:val="single" w:sz="8" w:space="0" w:color="auto"/>
            </w:tcBorders>
            <w:shd w:val="clear" w:color="auto" w:fill="CCEEFF"/>
            <w:vAlign w:val="bottom"/>
          </w:tcPr>
          <w:p w14:paraId="26BABB13" w14:textId="77777777" w:rsidR="00D1587D" w:rsidRDefault="00D1587D">
            <w:pPr>
              <w:rPr>
                <w:sz w:val="5"/>
                <w:szCs w:val="5"/>
              </w:rPr>
            </w:pPr>
          </w:p>
        </w:tc>
        <w:tc>
          <w:tcPr>
            <w:tcW w:w="100" w:type="dxa"/>
            <w:tcBorders>
              <w:bottom w:val="single" w:sz="8" w:space="0" w:color="CCEEFF"/>
            </w:tcBorders>
            <w:shd w:val="clear" w:color="auto" w:fill="CCEEFF"/>
            <w:vAlign w:val="bottom"/>
          </w:tcPr>
          <w:p w14:paraId="64A7826B" w14:textId="77777777" w:rsidR="00D1587D" w:rsidRDefault="00D1587D">
            <w:pPr>
              <w:rPr>
                <w:sz w:val="5"/>
                <w:szCs w:val="5"/>
              </w:rPr>
            </w:pPr>
          </w:p>
        </w:tc>
        <w:tc>
          <w:tcPr>
            <w:tcW w:w="740" w:type="dxa"/>
            <w:gridSpan w:val="2"/>
            <w:tcBorders>
              <w:bottom w:val="single" w:sz="8" w:space="0" w:color="auto"/>
            </w:tcBorders>
            <w:shd w:val="clear" w:color="auto" w:fill="CCEEFF"/>
            <w:vAlign w:val="bottom"/>
          </w:tcPr>
          <w:p w14:paraId="09433DC2" w14:textId="77777777" w:rsidR="00D1587D" w:rsidRDefault="00D1587D">
            <w:pPr>
              <w:rPr>
                <w:sz w:val="5"/>
                <w:szCs w:val="5"/>
              </w:rPr>
            </w:pPr>
          </w:p>
        </w:tc>
        <w:tc>
          <w:tcPr>
            <w:tcW w:w="0" w:type="dxa"/>
            <w:vAlign w:val="bottom"/>
          </w:tcPr>
          <w:p w14:paraId="73A4EAC1" w14:textId="77777777" w:rsidR="00D1587D" w:rsidRDefault="00D1587D">
            <w:pPr>
              <w:rPr>
                <w:sz w:val="1"/>
                <w:szCs w:val="1"/>
              </w:rPr>
            </w:pPr>
          </w:p>
        </w:tc>
      </w:tr>
      <w:tr w:rsidR="00D1587D" w14:paraId="7E42DC11" w14:textId="77777777">
        <w:trPr>
          <w:trHeight w:val="304"/>
        </w:trPr>
        <w:tc>
          <w:tcPr>
            <w:tcW w:w="4860" w:type="dxa"/>
            <w:vAlign w:val="bottom"/>
          </w:tcPr>
          <w:p w14:paraId="536324B9" w14:textId="77777777" w:rsidR="00D1587D" w:rsidRDefault="00410D07">
            <w:pPr>
              <w:rPr>
                <w:sz w:val="20"/>
                <w:szCs w:val="20"/>
              </w:rPr>
            </w:pPr>
            <w:r>
              <w:rPr>
                <w:rFonts w:ascii="Arial" w:eastAsia="Arial" w:hAnsi="Arial" w:cs="Arial"/>
                <w:b/>
                <w:bCs/>
                <w:sz w:val="18"/>
                <w:szCs w:val="18"/>
              </w:rPr>
              <w:t>Total</w:t>
            </w:r>
          </w:p>
        </w:tc>
        <w:tc>
          <w:tcPr>
            <w:tcW w:w="640" w:type="dxa"/>
            <w:vAlign w:val="bottom"/>
          </w:tcPr>
          <w:p w14:paraId="1D84BAC1" w14:textId="77777777" w:rsidR="00D1587D" w:rsidRDefault="00410D07">
            <w:pPr>
              <w:jc w:val="right"/>
              <w:rPr>
                <w:sz w:val="20"/>
                <w:szCs w:val="20"/>
              </w:rPr>
            </w:pPr>
            <w:r>
              <w:rPr>
                <w:rFonts w:ascii="Arial" w:eastAsia="Arial" w:hAnsi="Arial" w:cs="Arial"/>
                <w:b/>
                <w:bCs/>
                <w:sz w:val="18"/>
                <w:szCs w:val="18"/>
              </w:rPr>
              <w:t>1,181</w:t>
            </w:r>
          </w:p>
        </w:tc>
        <w:tc>
          <w:tcPr>
            <w:tcW w:w="80" w:type="dxa"/>
            <w:vAlign w:val="bottom"/>
          </w:tcPr>
          <w:p w14:paraId="07FD4706" w14:textId="77777777" w:rsidR="00D1587D" w:rsidRDefault="00D1587D">
            <w:pPr>
              <w:rPr>
                <w:sz w:val="24"/>
                <w:szCs w:val="24"/>
              </w:rPr>
            </w:pPr>
          </w:p>
        </w:tc>
        <w:tc>
          <w:tcPr>
            <w:tcW w:w="20" w:type="dxa"/>
            <w:vAlign w:val="bottom"/>
          </w:tcPr>
          <w:p w14:paraId="1A9A5A8B" w14:textId="77777777" w:rsidR="00D1587D" w:rsidRDefault="00D1587D">
            <w:pPr>
              <w:rPr>
                <w:sz w:val="24"/>
                <w:szCs w:val="24"/>
              </w:rPr>
            </w:pPr>
          </w:p>
        </w:tc>
        <w:tc>
          <w:tcPr>
            <w:tcW w:w="580" w:type="dxa"/>
            <w:gridSpan w:val="2"/>
            <w:vAlign w:val="bottom"/>
          </w:tcPr>
          <w:p w14:paraId="2E90442A" w14:textId="77777777" w:rsidR="00D1587D" w:rsidRDefault="00410D07">
            <w:pPr>
              <w:ind w:left="240"/>
              <w:rPr>
                <w:sz w:val="20"/>
                <w:szCs w:val="20"/>
              </w:rPr>
            </w:pPr>
            <w:r>
              <w:rPr>
                <w:rFonts w:ascii="Arial" w:eastAsia="Arial" w:hAnsi="Arial" w:cs="Arial"/>
                <w:b/>
                <w:bCs/>
                <w:sz w:val="18"/>
                <w:szCs w:val="18"/>
              </w:rPr>
              <w:t>26</w:t>
            </w:r>
          </w:p>
        </w:tc>
        <w:tc>
          <w:tcPr>
            <w:tcW w:w="100" w:type="dxa"/>
            <w:vAlign w:val="bottom"/>
          </w:tcPr>
          <w:p w14:paraId="6F93C58A" w14:textId="77777777" w:rsidR="00D1587D" w:rsidRDefault="00D1587D">
            <w:pPr>
              <w:rPr>
                <w:sz w:val="24"/>
                <w:szCs w:val="24"/>
              </w:rPr>
            </w:pPr>
          </w:p>
        </w:tc>
        <w:tc>
          <w:tcPr>
            <w:tcW w:w="440" w:type="dxa"/>
            <w:gridSpan w:val="3"/>
            <w:vAlign w:val="bottom"/>
          </w:tcPr>
          <w:p w14:paraId="130E2783" w14:textId="77777777" w:rsidR="00D1587D" w:rsidRDefault="00410D07">
            <w:pPr>
              <w:jc w:val="right"/>
              <w:rPr>
                <w:sz w:val="20"/>
                <w:szCs w:val="20"/>
              </w:rPr>
            </w:pPr>
            <w:r>
              <w:rPr>
                <w:rFonts w:ascii="Arial" w:eastAsia="Arial" w:hAnsi="Arial" w:cs="Arial"/>
                <w:b/>
                <w:bCs/>
                <w:w w:val="99"/>
                <w:sz w:val="18"/>
                <w:szCs w:val="18"/>
              </w:rPr>
              <w:t>(248)</w:t>
            </w:r>
          </w:p>
        </w:tc>
        <w:tc>
          <w:tcPr>
            <w:tcW w:w="120" w:type="dxa"/>
            <w:vAlign w:val="bottom"/>
          </w:tcPr>
          <w:p w14:paraId="210E811E" w14:textId="77777777" w:rsidR="00D1587D" w:rsidRDefault="00D1587D">
            <w:pPr>
              <w:rPr>
                <w:sz w:val="24"/>
                <w:szCs w:val="24"/>
              </w:rPr>
            </w:pPr>
          </w:p>
        </w:tc>
        <w:tc>
          <w:tcPr>
            <w:tcW w:w="220" w:type="dxa"/>
            <w:vAlign w:val="bottom"/>
          </w:tcPr>
          <w:p w14:paraId="447C1C0A" w14:textId="77777777" w:rsidR="00D1587D" w:rsidRDefault="00D1587D">
            <w:pPr>
              <w:rPr>
                <w:sz w:val="24"/>
                <w:szCs w:val="24"/>
              </w:rPr>
            </w:pPr>
          </w:p>
        </w:tc>
        <w:tc>
          <w:tcPr>
            <w:tcW w:w="520" w:type="dxa"/>
            <w:gridSpan w:val="2"/>
            <w:vAlign w:val="bottom"/>
          </w:tcPr>
          <w:p w14:paraId="684C71B0" w14:textId="77777777" w:rsidR="00D1587D" w:rsidRDefault="00410D07">
            <w:pPr>
              <w:ind w:right="116"/>
              <w:jc w:val="right"/>
              <w:rPr>
                <w:sz w:val="20"/>
                <w:szCs w:val="20"/>
              </w:rPr>
            </w:pPr>
            <w:r>
              <w:rPr>
                <w:rFonts w:ascii="Arial" w:eastAsia="Arial" w:hAnsi="Arial" w:cs="Arial"/>
                <w:b/>
                <w:bCs/>
                <w:w w:val="93"/>
                <w:sz w:val="18"/>
                <w:szCs w:val="18"/>
              </w:rPr>
              <w:t>(26)</w:t>
            </w:r>
          </w:p>
        </w:tc>
        <w:tc>
          <w:tcPr>
            <w:tcW w:w="100" w:type="dxa"/>
            <w:vAlign w:val="bottom"/>
          </w:tcPr>
          <w:p w14:paraId="57B266C5" w14:textId="77777777" w:rsidR="00D1587D" w:rsidRDefault="00D1587D">
            <w:pPr>
              <w:rPr>
                <w:sz w:val="24"/>
                <w:szCs w:val="24"/>
              </w:rPr>
            </w:pPr>
          </w:p>
        </w:tc>
        <w:tc>
          <w:tcPr>
            <w:tcW w:w="740" w:type="dxa"/>
            <w:gridSpan w:val="2"/>
            <w:vAlign w:val="bottom"/>
          </w:tcPr>
          <w:p w14:paraId="721D7ABD" w14:textId="77777777" w:rsidR="00D1587D" w:rsidRDefault="00410D07">
            <w:pPr>
              <w:ind w:right="144"/>
              <w:jc w:val="right"/>
              <w:rPr>
                <w:sz w:val="20"/>
                <w:szCs w:val="20"/>
              </w:rPr>
            </w:pPr>
            <w:r>
              <w:rPr>
                <w:rFonts w:ascii="Arial" w:eastAsia="Arial" w:hAnsi="Arial" w:cs="Arial"/>
                <w:b/>
                <w:bCs/>
                <w:sz w:val="18"/>
                <w:szCs w:val="18"/>
              </w:rPr>
              <w:t>933</w:t>
            </w:r>
          </w:p>
        </w:tc>
        <w:tc>
          <w:tcPr>
            <w:tcW w:w="0" w:type="dxa"/>
            <w:vAlign w:val="bottom"/>
          </w:tcPr>
          <w:p w14:paraId="6FFAA96E" w14:textId="77777777" w:rsidR="00D1587D" w:rsidRDefault="00D1587D">
            <w:pPr>
              <w:rPr>
                <w:sz w:val="1"/>
                <w:szCs w:val="1"/>
              </w:rPr>
            </w:pPr>
          </w:p>
        </w:tc>
      </w:tr>
      <w:tr w:rsidR="00D1587D" w14:paraId="356CE3A9" w14:textId="77777777">
        <w:trPr>
          <w:trHeight w:val="27"/>
        </w:trPr>
        <w:tc>
          <w:tcPr>
            <w:tcW w:w="4860" w:type="dxa"/>
            <w:vAlign w:val="bottom"/>
          </w:tcPr>
          <w:p w14:paraId="660162CC" w14:textId="77777777" w:rsidR="00D1587D" w:rsidRDefault="00D1587D">
            <w:pPr>
              <w:rPr>
                <w:sz w:val="2"/>
                <w:szCs w:val="2"/>
              </w:rPr>
            </w:pPr>
          </w:p>
        </w:tc>
        <w:tc>
          <w:tcPr>
            <w:tcW w:w="640" w:type="dxa"/>
            <w:tcBorders>
              <w:bottom w:val="single" w:sz="8" w:space="0" w:color="auto"/>
            </w:tcBorders>
            <w:vAlign w:val="bottom"/>
          </w:tcPr>
          <w:p w14:paraId="5E38183B" w14:textId="77777777" w:rsidR="00D1587D" w:rsidRDefault="00D1587D">
            <w:pPr>
              <w:rPr>
                <w:sz w:val="2"/>
                <w:szCs w:val="2"/>
              </w:rPr>
            </w:pPr>
          </w:p>
        </w:tc>
        <w:tc>
          <w:tcPr>
            <w:tcW w:w="80" w:type="dxa"/>
            <w:tcBorders>
              <w:bottom w:val="single" w:sz="8" w:space="0" w:color="auto"/>
            </w:tcBorders>
            <w:vAlign w:val="bottom"/>
          </w:tcPr>
          <w:p w14:paraId="29066D65" w14:textId="77777777" w:rsidR="00D1587D" w:rsidRDefault="00D1587D">
            <w:pPr>
              <w:rPr>
                <w:sz w:val="2"/>
                <w:szCs w:val="2"/>
              </w:rPr>
            </w:pPr>
          </w:p>
        </w:tc>
        <w:tc>
          <w:tcPr>
            <w:tcW w:w="20" w:type="dxa"/>
            <w:vAlign w:val="bottom"/>
          </w:tcPr>
          <w:p w14:paraId="769F8CFC" w14:textId="77777777" w:rsidR="00D1587D" w:rsidRDefault="00D1587D">
            <w:pPr>
              <w:rPr>
                <w:sz w:val="2"/>
                <w:szCs w:val="2"/>
              </w:rPr>
            </w:pPr>
          </w:p>
        </w:tc>
        <w:tc>
          <w:tcPr>
            <w:tcW w:w="80" w:type="dxa"/>
            <w:vAlign w:val="bottom"/>
          </w:tcPr>
          <w:p w14:paraId="61F0A2D2" w14:textId="77777777" w:rsidR="00D1587D" w:rsidRDefault="00D1587D">
            <w:pPr>
              <w:rPr>
                <w:sz w:val="2"/>
                <w:szCs w:val="2"/>
              </w:rPr>
            </w:pPr>
          </w:p>
        </w:tc>
        <w:tc>
          <w:tcPr>
            <w:tcW w:w="500" w:type="dxa"/>
            <w:tcBorders>
              <w:bottom w:val="single" w:sz="8" w:space="0" w:color="auto"/>
            </w:tcBorders>
            <w:vAlign w:val="bottom"/>
          </w:tcPr>
          <w:p w14:paraId="67A3351E" w14:textId="77777777" w:rsidR="00D1587D" w:rsidRDefault="00D1587D">
            <w:pPr>
              <w:rPr>
                <w:sz w:val="2"/>
                <w:szCs w:val="2"/>
              </w:rPr>
            </w:pPr>
          </w:p>
        </w:tc>
        <w:tc>
          <w:tcPr>
            <w:tcW w:w="100" w:type="dxa"/>
            <w:vAlign w:val="bottom"/>
          </w:tcPr>
          <w:p w14:paraId="7B39B023" w14:textId="77777777" w:rsidR="00D1587D" w:rsidRDefault="00D1587D">
            <w:pPr>
              <w:rPr>
                <w:sz w:val="2"/>
                <w:szCs w:val="2"/>
              </w:rPr>
            </w:pPr>
          </w:p>
        </w:tc>
        <w:tc>
          <w:tcPr>
            <w:tcW w:w="80" w:type="dxa"/>
            <w:tcBorders>
              <w:bottom w:val="single" w:sz="8" w:space="0" w:color="auto"/>
            </w:tcBorders>
            <w:vAlign w:val="bottom"/>
          </w:tcPr>
          <w:p w14:paraId="6F2732A9" w14:textId="77777777" w:rsidR="00D1587D" w:rsidRDefault="00D1587D">
            <w:pPr>
              <w:rPr>
                <w:sz w:val="2"/>
                <w:szCs w:val="2"/>
              </w:rPr>
            </w:pPr>
          </w:p>
        </w:tc>
        <w:tc>
          <w:tcPr>
            <w:tcW w:w="200" w:type="dxa"/>
            <w:tcBorders>
              <w:bottom w:val="single" w:sz="8" w:space="0" w:color="auto"/>
            </w:tcBorders>
            <w:vAlign w:val="bottom"/>
          </w:tcPr>
          <w:p w14:paraId="4DCF78A7" w14:textId="77777777" w:rsidR="00D1587D" w:rsidRDefault="00D1587D">
            <w:pPr>
              <w:rPr>
                <w:sz w:val="2"/>
                <w:szCs w:val="2"/>
              </w:rPr>
            </w:pPr>
          </w:p>
        </w:tc>
        <w:tc>
          <w:tcPr>
            <w:tcW w:w="160" w:type="dxa"/>
            <w:tcBorders>
              <w:bottom w:val="single" w:sz="8" w:space="0" w:color="auto"/>
            </w:tcBorders>
            <w:vAlign w:val="bottom"/>
          </w:tcPr>
          <w:p w14:paraId="2B5470DE" w14:textId="77777777" w:rsidR="00D1587D" w:rsidRDefault="00D1587D">
            <w:pPr>
              <w:rPr>
                <w:sz w:val="2"/>
                <w:szCs w:val="2"/>
              </w:rPr>
            </w:pPr>
          </w:p>
        </w:tc>
        <w:tc>
          <w:tcPr>
            <w:tcW w:w="120" w:type="dxa"/>
            <w:vAlign w:val="bottom"/>
          </w:tcPr>
          <w:p w14:paraId="617AB217" w14:textId="77777777" w:rsidR="00D1587D" w:rsidRDefault="00D1587D">
            <w:pPr>
              <w:rPr>
                <w:sz w:val="2"/>
                <w:szCs w:val="2"/>
              </w:rPr>
            </w:pPr>
          </w:p>
        </w:tc>
        <w:tc>
          <w:tcPr>
            <w:tcW w:w="220" w:type="dxa"/>
            <w:tcBorders>
              <w:bottom w:val="single" w:sz="8" w:space="0" w:color="auto"/>
            </w:tcBorders>
            <w:vAlign w:val="bottom"/>
          </w:tcPr>
          <w:p w14:paraId="3B0EF419" w14:textId="77777777" w:rsidR="00D1587D" w:rsidRDefault="00D1587D">
            <w:pPr>
              <w:rPr>
                <w:sz w:val="2"/>
                <w:szCs w:val="2"/>
              </w:rPr>
            </w:pPr>
          </w:p>
        </w:tc>
        <w:tc>
          <w:tcPr>
            <w:tcW w:w="200" w:type="dxa"/>
            <w:tcBorders>
              <w:bottom w:val="single" w:sz="8" w:space="0" w:color="auto"/>
            </w:tcBorders>
            <w:vAlign w:val="bottom"/>
          </w:tcPr>
          <w:p w14:paraId="47B73175" w14:textId="77777777" w:rsidR="00D1587D" w:rsidRDefault="00D1587D">
            <w:pPr>
              <w:rPr>
                <w:sz w:val="2"/>
                <w:szCs w:val="2"/>
              </w:rPr>
            </w:pPr>
          </w:p>
        </w:tc>
        <w:tc>
          <w:tcPr>
            <w:tcW w:w="320" w:type="dxa"/>
            <w:tcBorders>
              <w:bottom w:val="single" w:sz="8" w:space="0" w:color="auto"/>
            </w:tcBorders>
            <w:vAlign w:val="bottom"/>
          </w:tcPr>
          <w:p w14:paraId="59F12F31" w14:textId="77777777" w:rsidR="00D1587D" w:rsidRDefault="00D1587D">
            <w:pPr>
              <w:rPr>
                <w:sz w:val="2"/>
                <w:szCs w:val="2"/>
              </w:rPr>
            </w:pPr>
          </w:p>
        </w:tc>
        <w:tc>
          <w:tcPr>
            <w:tcW w:w="100" w:type="dxa"/>
            <w:vAlign w:val="bottom"/>
          </w:tcPr>
          <w:p w14:paraId="14AC54E7" w14:textId="77777777" w:rsidR="00D1587D" w:rsidRDefault="00D1587D">
            <w:pPr>
              <w:rPr>
                <w:sz w:val="2"/>
                <w:szCs w:val="2"/>
              </w:rPr>
            </w:pPr>
          </w:p>
        </w:tc>
        <w:tc>
          <w:tcPr>
            <w:tcW w:w="200" w:type="dxa"/>
            <w:tcBorders>
              <w:bottom w:val="single" w:sz="8" w:space="0" w:color="auto"/>
            </w:tcBorders>
            <w:vAlign w:val="bottom"/>
          </w:tcPr>
          <w:p w14:paraId="3241DD30" w14:textId="77777777" w:rsidR="00D1587D" w:rsidRDefault="00D1587D">
            <w:pPr>
              <w:rPr>
                <w:sz w:val="2"/>
                <w:szCs w:val="2"/>
              </w:rPr>
            </w:pPr>
          </w:p>
        </w:tc>
        <w:tc>
          <w:tcPr>
            <w:tcW w:w="540" w:type="dxa"/>
            <w:tcBorders>
              <w:bottom w:val="single" w:sz="8" w:space="0" w:color="auto"/>
            </w:tcBorders>
            <w:vAlign w:val="bottom"/>
          </w:tcPr>
          <w:p w14:paraId="23CF47EA" w14:textId="77777777" w:rsidR="00D1587D" w:rsidRDefault="00D1587D">
            <w:pPr>
              <w:rPr>
                <w:sz w:val="2"/>
                <w:szCs w:val="2"/>
              </w:rPr>
            </w:pPr>
          </w:p>
        </w:tc>
        <w:tc>
          <w:tcPr>
            <w:tcW w:w="0" w:type="dxa"/>
            <w:vAlign w:val="bottom"/>
          </w:tcPr>
          <w:p w14:paraId="6206AECD" w14:textId="77777777" w:rsidR="00D1587D" w:rsidRDefault="00D1587D">
            <w:pPr>
              <w:rPr>
                <w:sz w:val="1"/>
                <w:szCs w:val="1"/>
              </w:rPr>
            </w:pPr>
          </w:p>
        </w:tc>
      </w:tr>
      <w:tr w:rsidR="00D1587D" w14:paraId="2757AF24" w14:textId="77777777">
        <w:trPr>
          <w:trHeight w:val="20"/>
        </w:trPr>
        <w:tc>
          <w:tcPr>
            <w:tcW w:w="4860" w:type="dxa"/>
            <w:vAlign w:val="bottom"/>
          </w:tcPr>
          <w:p w14:paraId="2D66A788" w14:textId="77777777" w:rsidR="00D1587D" w:rsidRDefault="00D1587D">
            <w:pPr>
              <w:spacing w:line="20" w:lineRule="exact"/>
              <w:rPr>
                <w:sz w:val="1"/>
                <w:szCs w:val="1"/>
              </w:rPr>
            </w:pPr>
          </w:p>
        </w:tc>
        <w:tc>
          <w:tcPr>
            <w:tcW w:w="640" w:type="dxa"/>
            <w:tcBorders>
              <w:bottom w:val="single" w:sz="8" w:space="0" w:color="auto"/>
            </w:tcBorders>
            <w:vAlign w:val="bottom"/>
          </w:tcPr>
          <w:p w14:paraId="5635DDC7" w14:textId="77777777" w:rsidR="00D1587D" w:rsidRDefault="00D1587D">
            <w:pPr>
              <w:spacing w:line="20" w:lineRule="exact"/>
              <w:rPr>
                <w:sz w:val="1"/>
                <w:szCs w:val="1"/>
              </w:rPr>
            </w:pPr>
          </w:p>
        </w:tc>
        <w:tc>
          <w:tcPr>
            <w:tcW w:w="80" w:type="dxa"/>
            <w:tcBorders>
              <w:bottom w:val="single" w:sz="8" w:space="0" w:color="auto"/>
            </w:tcBorders>
            <w:vAlign w:val="bottom"/>
          </w:tcPr>
          <w:p w14:paraId="6B89FF2C" w14:textId="77777777" w:rsidR="00D1587D" w:rsidRDefault="00D1587D">
            <w:pPr>
              <w:spacing w:line="20" w:lineRule="exact"/>
              <w:rPr>
                <w:sz w:val="1"/>
                <w:szCs w:val="1"/>
              </w:rPr>
            </w:pPr>
          </w:p>
        </w:tc>
        <w:tc>
          <w:tcPr>
            <w:tcW w:w="20" w:type="dxa"/>
            <w:vAlign w:val="bottom"/>
          </w:tcPr>
          <w:p w14:paraId="280F19B2" w14:textId="77777777" w:rsidR="00D1587D" w:rsidRDefault="00D1587D">
            <w:pPr>
              <w:spacing w:line="20" w:lineRule="exact"/>
              <w:rPr>
                <w:sz w:val="1"/>
                <w:szCs w:val="1"/>
              </w:rPr>
            </w:pPr>
          </w:p>
        </w:tc>
        <w:tc>
          <w:tcPr>
            <w:tcW w:w="80" w:type="dxa"/>
            <w:vAlign w:val="bottom"/>
          </w:tcPr>
          <w:p w14:paraId="66598BEA" w14:textId="77777777" w:rsidR="00D1587D" w:rsidRDefault="00D1587D">
            <w:pPr>
              <w:spacing w:line="20" w:lineRule="exact"/>
              <w:rPr>
                <w:sz w:val="1"/>
                <w:szCs w:val="1"/>
              </w:rPr>
            </w:pPr>
          </w:p>
        </w:tc>
        <w:tc>
          <w:tcPr>
            <w:tcW w:w="500" w:type="dxa"/>
            <w:tcBorders>
              <w:bottom w:val="single" w:sz="8" w:space="0" w:color="auto"/>
            </w:tcBorders>
            <w:vAlign w:val="bottom"/>
          </w:tcPr>
          <w:p w14:paraId="14599070" w14:textId="77777777" w:rsidR="00D1587D" w:rsidRDefault="00D1587D">
            <w:pPr>
              <w:spacing w:line="20" w:lineRule="exact"/>
              <w:rPr>
                <w:sz w:val="1"/>
                <w:szCs w:val="1"/>
              </w:rPr>
            </w:pPr>
          </w:p>
        </w:tc>
        <w:tc>
          <w:tcPr>
            <w:tcW w:w="100" w:type="dxa"/>
            <w:vAlign w:val="bottom"/>
          </w:tcPr>
          <w:p w14:paraId="4B06D8E7" w14:textId="77777777" w:rsidR="00D1587D" w:rsidRDefault="00D1587D">
            <w:pPr>
              <w:spacing w:line="20" w:lineRule="exact"/>
              <w:rPr>
                <w:sz w:val="1"/>
                <w:szCs w:val="1"/>
              </w:rPr>
            </w:pPr>
          </w:p>
        </w:tc>
        <w:tc>
          <w:tcPr>
            <w:tcW w:w="80" w:type="dxa"/>
            <w:tcBorders>
              <w:bottom w:val="single" w:sz="8" w:space="0" w:color="auto"/>
            </w:tcBorders>
            <w:vAlign w:val="bottom"/>
          </w:tcPr>
          <w:p w14:paraId="60BBE2F1" w14:textId="77777777" w:rsidR="00D1587D" w:rsidRDefault="00D1587D">
            <w:pPr>
              <w:spacing w:line="20" w:lineRule="exact"/>
              <w:rPr>
                <w:sz w:val="1"/>
                <w:szCs w:val="1"/>
              </w:rPr>
            </w:pPr>
          </w:p>
        </w:tc>
        <w:tc>
          <w:tcPr>
            <w:tcW w:w="200" w:type="dxa"/>
            <w:tcBorders>
              <w:bottom w:val="single" w:sz="8" w:space="0" w:color="auto"/>
            </w:tcBorders>
            <w:vAlign w:val="bottom"/>
          </w:tcPr>
          <w:p w14:paraId="22FE2D44" w14:textId="77777777" w:rsidR="00D1587D" w:rsidRDefault="00D1587D">
            <w:pPr>
              <w:spacing w:line="20" w:lineRule="exact"/>
              <w:rPr>
                <w:sz w:val="1"/>
                <w:szCs w:val="1"/>
              </w:rPr>
            </w:pPr>
          </w:p>
        </w:tc>
        <w:tc>
          <w:tcPr>
            <w:tcW w:w="160" w:type="dxa"/>
            <w:tcBorders>
              <w:bottom w:val="single" w:sz="8" w:space="0" w:color="auto"/>
            </w:tcBorders>
            <w:vAlign w:val="bottom"/>
          </w:tcPr>
          <w:p w14:paraId="0C1B4AE5" w14:textId="77777777" w:rsidR="00D1587D" w:rsidRDefault="00D1587D">
            <w:pPr>
              <w:spacing w:line="20" w:lineRule="exact"/>
              <w:rPr>
                <w:sz w:val="1"/>
                <w:szCs w:val="1"/>
              </w:rPr>
            </w:pPr>
          </w:p>
        </w:tc>
        <w:tc>
          <w:tcPr>
            <w:tcW w:w="120" w:type="dxa"/>
            <w:vAlign w:val="bottom"/>
          </w:tcPr>
          <w:p w14:paraId="0E14E7B8" w14:textId="77777777" w:rsidR="00D1587D" w:rsidRDefault="00D1587D">
            <w:pPr>
              <w:spacing w:line="20" w:lineRule="exact"/>
              <w:rPr>
                <w:sz w:val="1"/>
                <w:szCs w:val="1"/>
              </w:rPr>
            </w:pPr>
          </w:p>
        </w:tc>
        <w:tc>
          <w:tcPr>
            <w:tcW w:w="220" w:type="dxa"/>
            <w:tcBorders>
              <w:bottom w:val="single" w:sz="8" w:space="0" w:color="auto"/>
            </w:tcBorders>
            <w:vAlign w:val="bottom"/>
          </w:tcPr>
          <w:p w14:paraId="530A3DFB" w14:textId="77777777" w:rsidR="00D1587D" w:rsidRDefault="00D1587D">
            <w:pPr>
              <w:spacing w:line="20" w:lineRule="exact"/>
              <w:rPr>
                <w:sz w:val="1"/>
                <w:szCs w:val="1"/>
              </w:rPr>
            </w:pPr>
          </w:p>
        </w:tc>
        <w:tc>
          <w:tcPr>
            <w:tcW w:w="200" w:type="dxa"/>
            <w:tcBorders>
              <w:bottom w:val="single" w:sz="8" w:space="0" w:color="auto"/>
            </w:tcBorders>
            <w:vAlign w:val="bottom"/>
          </w:tcPr>
          <w:p w14:paraId="4AF8B29B" w14:textId="77777777" w:rsidR="00D1587D" w:rsidRDefault="00D1587D">
            <w:pPr>
              <w:spacing w:line="20" w:lineRule="exact"/>
              <w:rPr>
                <w:sz w:val="1"/>
                <w:szCs w:val="1"/>
              </w:rPr>
            </w:pPr>
          </w:p>
        </w:tc>
        <w:tc>
          <w:tcPr>
            <w:tcW w:w="320" w:type="dxa"/>
            <w:tcBorders>
              <w:bottom w:val="single" w:sz="8" w:space="0" w:color="auto"/>
            </w:tcBorders>
            <w:vAlign w:val="bottom"/>
          </w:tcPr>
          <w:p w14:paraId="41E8B7C7" w14:textId="77777777" w:rsidR="00D1587D" w:rsidRDefault="00D1587D">
            <w:pPr>
              <w:spacing w:line="20" w:lineRule="exact"/>
              <w:rPr>
                <w:sz w:val="1"/>
                <w:szCs w:val="1"/>
              </w:rPr>
            </w:pPr>
          </w:p>
        </w:tc>
        <w:tc>
          <w:tcPr>
            <w:tcW w:w="100" w:type="dxa"/>
            <w:vAlign w:val="bottom"/>
          </w:tcPr>
          <w:p w14:paraId="17DF3479" w14:textId="77777777" w:rsidR="00D1587D" w:rsidRDefault="00D1587D">
            <w:pPr>
              <w:spacing w:line="20" w:lineRule="exact"/>
              <w:rPr>
                <w:sz w:val="1"/>
                <w:szCs w:val="1"/>
              </w:rPr>
            </w:pPr>
          </w:p>
        </w:tc>
        <w:tc>
          <w:tcPr>
            <w:tcW w:w="200" w:type="dxa"/>
            <w:tcBorders>
              <w:bottom w:val="single" w:sz="8" w:space="0" w:color="auto"/>
            </w:tcBorders>
            <w:vAlign w:val="bottom"/>
          </w:tcPr>
          <w:p w14:paraId="68ECBE00" w14:textId="77777777" w:rsidR="00D1587D" w:rsidRDefault="00D1587D">
            <w:pPr>
              <w:spacing w:line="20" w:lineRule="exact"/>
              <w:rPr>
                <w:sz w:val="1"/>
                <w:szCs w:val="1"/>
              </w:rPr>
            </w:pPr>
          </w:p>
        </w:tc>
        <w:tc>
          <w:tcPr>
            <w:tcW w:w="540" w:type="dxa"/>
            <w:tcBorders>
              <w:bottom w:val="single" w:sz="8" w:space="0" w:color="auto"/>
            </w:tcBorders>
            <w:vAlign w:val="bottom"/>
          </w:tcPr>
          <w:p w14:paraId="5D42011B" w14:textId="77777777" w:rsidR="00D1587D" w:rsidRDefault="00D1587D">
            <w:pPr>
              <w:spacing w:line="20" w:lineRule="exact"/>
              <w:rPr>
                <w:sz w:val="1"/>
                <w:szCs w:val="1"/>
              </w:rPr>
            </w:pPr>
          </w:p>
        </w:tc>
        <w:tc>
          <w:tcPr>
            <w:tcW w:w="0" w:type="dxa"/>
            <w:vAlign w:val="bottom"/>
          </w:tcPr>
          <w:p w14:paraId="4831535B" w14:textId="77777777" w:rsidR="00D1587D" w:rsidRDefault="00D1587D">
            <w:pPr>
              <w:rPr>
                <w:sz w:val="1"/>
                <w:szCs w:val="1"/>
              </w:rPr>
            </w:pPr>
          </w:p>
        </w:tc>
      </w:tr>
    </w:tbl>
    <w:p w14:paraId="69E6ACD3" w14:textId="77777777" w:rsidR="00D1587D" w:rsidRDefault="00410D07">
      <w:pPr>
        <w:spacing w:line="20" w:lineRule="exact"/>
        <w:rPr>
          <w:sz w:val="20"/>
          <w:szCs w:val="20"/>
        </w:rPr>
      </w:pPr>
      <w:r>
        <w:rPr>
          <w:noProof/>
          <w:sz w:val="20"/>
          <w:szCs w:val="20"/>
        </w:rPr>
        <w:drawing>
          <wp:anchor distT="0" distB="0" distL="114300" distR="114300" simplePos="0" relativeHeight="251626496" behindDoc="1" locked="0" layoutInCell="0" allowOverlap="1" wp14:anchorId="5A8DBC24" wp14:editId="0A779B68">
            <wp:simplePos x="0" y="0"/>
            <wp:positionH relativeFrom="column">
              <wp:posOffset>5071745</wp:posOffset>
            </wp:positionH>
            <wp:positionV relativeFrom="paragraph">
              <wp:posOffset>-4259580</wp:posOffset>
            </wp:positionV>
            <wp:extent cx="120015" cy="8890"/>
            <wp:effectExtent l="0" t="0" r="0" b="0"/>
            <wp:wrapNone/>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627520" behindDoc="1" locked="0" layoutInCell="0" allowOverlap="1" wp14:anchorId="29918E98" wp14:editId="50181E55">
            <wp:simplePos x="0" y="0"/>
            <wp:positionH relativeFrom="column">
              <wp:posOffset>4677410</wp:posOffset>
            </wp:positionH>
            <wp:positionV relativeFrom="paragraph">
              <wp:posOffset>-4259580</wp:posOffset>
            </wp:positionV>
            <wp:extent cx="128905" cy="8890"/>
            <wp:effectExtent l="0" t="0" r="0"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50"/>
                    <a:srcRect/>
                    <a:stretch>
                      <a:fillRect/>
                    </a:stretch>
                  </pic:blipFill>
                  <pic:spPr bwMode="auto">
                    <a:xfrm>
                      <a:off x="0" y="0"/>
                      <a:ext cx="128905" cy="8890"/>
                    </a:xfrm>
                    <a:prstGeom prst="rect">
                      <a:avLst/>
                    </a:prstGeom>
                    <a:noFill/>
                  </pic:spPr>
                </pic:pic>
              </a:graphicData>
            </a:graphic>
          </wp:anchor>
        </w:drawing>
      </w:r>
      <w:r>
        <w:rPr>
          <w:noProof/>
          <w:sz w:val="20"/>
          <w:szCs w:val="20"/>
        </w:rPr>
        <w:drawing>
          <wp:anchor distT="0" distB="0" distL="114300" distR="114300" simplePos="0" relativeHeight="251628544" behindDoc="1" locked="0" layoutInCell="0" allowOverlap="1" wp14:anchorId="485076CC" wp14:editId="51EA5ABB">
            <wp:simplePos x="0" y="0"/>
            <wp:positionH relativeFrom="column">
              <wp:posOffset>4222750</wp:posOffset>
            </wp:positionH>
            <wp:positionV relativeFrom="paragraph">
              <wp:posOffset>-4259580</wp:posOffset>
            </wp:positionV>
            <wp:extent cx="137160" cy="8890"/>
            <wp:effectExtent l="0" t="0" r="0" b="0"/>
            <wp:wrapNone/>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1629568" behindDoc="1" locked="0" layoutInCell="0" allowOverlap="1" wp14:anchorId="26A7A3FB" wp14:editId="084AAB2E">
            <wp:simplePos x="0" y="0"/>
            <wp:positionH relativeFrom="column">
              <wp:posOffset>3683000</wp:posOffset>
            </wp:positionH>
            <wp:positionV relativeFrom="paragraph">
              <wp:posOffset>-4259580</wp:posOffset>
            </wp:positionV>
            <wp:extent cx="68580" cy="8890"/>
            <wp:effectExtent l="0" t="0" r="0" b="0"/>
            <wp:wrapNone/>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30592" behindDoc="1" locked="0" layoutInCell="0" allowOverlap="1" wp14:anchorId="3395B2C4" wp14:editId="10F7E5BE">
            <wp:simplePos x="0" y="0"/>
            <wp:positionH relativeFrom="column">
              <wp:posOffset>5071745</wp:posOffset>
            </wp:positionH>
            <wp:positionV relativeFrom="paragraph">
              <wp:posOffset>-5108575</wp:posOffset>
            </wp:positionV>
            <wp:extent cx="120015" cy="8255"/>
            <wp:effectExtent l="0" t="0" r="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31616" behindDoc="1" locked="0" layoutInCell="0" allowOverlap="1" wp14:anchorId="11356A04" wp14:editId="4930D393">
            <wp:simplePos x="0" y="0"/>
            <wp:positionH relativeFrom="column">
              <wp:posOffset>4677410</wp:posOffset>
            </wp:positionH>
            <wp:positionV relativeFrom="paragraph">
              <wp:posOffset>-5108575</wp:posOffset>
            </wp:positionV>
            <wp:extent cx="128905" cy="8255"/>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50"/>
                    <a:srcRect/>
                    <a:stretch>
                      <a:fillRect/>
                    </a:stretch>
                  </pic:blipFill>
                  <pic:spPr bwMode="auto">
                    <a:xfrm>
                      <a:off x="0" y="0"/>
                      <a:ext cx="128905" cy="8255"/>
                    </a:xfrm>
                    <a:prstGeom prst="rect">
                      <a:avLst/>
                    </a:prstGeom>
                    <a:noFill/>
                  </pic:spPr>
                </pic:pic>
              </a:graphicData>
            </a:graphic>
          </wp:anchor>
        </w:drawing>
      </w:r>
      <w:r>
        <w:rPr>
          <w:noProof/>
          <w:sz w:val="20"/>
          <w:szCs w:val="20"/>
        </w:rPr>
        <w:drawing>
          <wp:anchor distT="0" distB="0" distL="114300" distR="114300" simplePos="0" relativeHeight="251632640" behindDoc="1" locked="0" layoutInCell="0" allowOverlap="1" wp14:anchorId="71318A1D" wp14:editId="148C60F7">
            <wp:simplePos x="0" y="0"/>
            <wp:positionH relativeFrom="column">
              <wp:posOffset>4222750</wp:posOffset>
            </wp:positionH>
            <wp:positionV relativeFrom="paragraph">
              <wp:posOffset>-5108575</wp:posOffset>
            </wp:positionV>
            <wp:extent cx="137160" cy="825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1633664" behindDoc="1" locked="0" layoutInCell="0" allowOverlap="1" wp14:anchorId="6870A2E5" wp14:editId="442609C0">
            <wp:simplePos x="0" y="0"/>
            <wp:positionH relativeFrom="column">
              <wp:posOffset>3683000</wp:posOffset>
            </wp:positionH>
            <wp:positionV relativeFrom="paragraph">
              <wp:posOffset>-5108575</wp:posOffset>
            </wp:positionV>
            <wp:extent cx="68580" cy="8255"/>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34688" behindDoc="1" locked="0" layoutInCell="0" allowOverlap="1" wp14:anchorId="0250ED6F" wp14:editId="75B17744">
            <wp:simplePos x="0" y="0"/>
            <wp:positionH relativeFrom="column">
              <wp:posOffset>5071745</wp:posOffset>
            </wp:positionH>
            <wp:positionV relativeFrom="paragraph">
              <wp:posOffset>-3368040</wp:posOffset>
            </wp:positionV>
            <wp:extent cx="120015" cy="8890"/>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635712" behindDoc="1" locked="0" layoutInCell="0" allowOverlap="1" wp14:anchorId="34395189" wp14:editId="15F9B97B">
            <wp:simplePos x="0" y="0"/>
            <wp:positionH relativeFrom="column">
              <wp:posOffset>4677410</wp:posOffset>
            </wp:positionH>
            <wp:positionV relativeFrom="paragraph">
              <wp:posOffset>-3368040</wp:posOffset>
            </wp:positionV>
            <wp:extent cx="128905" cy="8890"/>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50"/>
                    <a:srcRect/>
                    <a:stretch>
                      <a:fillRect/>
                    </a:stretch>
                  </pic:blipFill>
                  <pic:spPr bwMode="auto">
                    <a:xfrm>
                      <a:off x="0" y="0"/>
                      <a:ext cx="128905" cy="8890"/>
                    </a:xfrm>
                    <a:prstGeom prst="rect">
                      <a:avLst/>
                    </a:prstGeom>
                    <a:noFill/>
                  </pic:spPr>
                </pic:pic>
              </a:graphicData>
            </a:graphic>
          </wp:anchor>
        </w:drawing>
      </w:r>
      <w:r>
        <w:rPr>
          <w:noProof/>
          <w:sz w:val="20"/>
          <w:szCs w:val="20"/>
        </w:rPr>
        <w:drawing>
          <wp:anchor distT="0" distB="0" distL="114300" distR="114300" simplePos="0" relativeHeight="251636736" behindDoc="1" locked="0" layoutInCell="0" allowOverlap="1" wp14:anchorId="284D6CD1" wp14:editId="3D544C31">
            <wp:simplePos x="0" y="0"/>
            <wp:positionH relativeFrom="column">
              <wp:posOffset>4222750</wp:posOffset>
            </wp:positionH>
            <wp:positionV relativeFrom="paragraph">
              <wp:posOffset>-3368040</wp:posOffset>
            </wp:positionV>
            <wp:extent cx="137160" cy="8890"/>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1637760" behindDoc="1" locked="0" layoutInCell="0" allowOverlap="1" wp14:anchorId="65FBCB77" wp14:editId="07B98201">
            <wp:simplePos x="0" y="0"/>
            <wp:positionH relativeFrom="column">
              <wp:posOffset>3683000</wp:posOffset>
            </wp:positionH>
            <wp:positionV relativeFrom="paragraph">
              <wp:posOffset>-3368040</wp:posOffset>
            </wp:positionV>
            <wp:extent cx="68580" cy="8890"/>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38784" behindDoc="1" locked="0" layoutInCell="0" allowOverlap="1" wp14:anchorId="72BD17CF" wp14:editId="5B4749EC">
            <wp:simplePos x="0" y="0"/>
            <wp:positionH relativeFrom="column">
              <wp:posOffset>3237230</wp:posOffset>
            </wp:positionH>
            <wp:positionV relativeFrom="paragraph">
              <wp:posOffset>-256540</wp:posOffset>
            </wp:positionV>
            <wp:extent cx="34290" cy="8890"/>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5"/>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639808" behindDoc="1" locked="0" layoutInCell="0" allowOverlap="1" wp14:anchorId="58EBC7F6" wp14:editId="6863116A">
            <wp:simplePos x="0" y="0"/>
            <wp:positionH relativeFrom="column">
              <wp:posOffset>5003165</wp:posOffset>
            </wp:positionH>
            <wp:positionV relativeFrom="paragraph">
              <wp:posOffset>-1310640</wp:posOffset>
            </wp:positionV>
            <wp:extent cx="68580" cy="825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40832" behindDoc="1" locked="0" layoutInCell="0" allowOverlap="1" wp14:anchorId="3BA002AC" wp14:editId="0493614C">
            <wp:simplePos x="0" y="0"/>
            <wp:positionH relativeFrom="column">
              <wp:posOffset>4462780</wp:posOffset>
            </wp:positionH>
            <wp:positionV relativeFrom="paragraph">
              <wp:posOffset>-1310640</wp:posOffset>
            </wp:positionV>
            <wp:extent cx="68580" cy="8255"/>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41856" behindDoc="1" locked="0" layoutInCell="0" allowOverlap="1" wp14:anchorId="250847CD" wp14:editId="49B736E0">
            <wp:simplePos x="0" y="0"/>
            <wp:positionH relativeFrom="column">
              <wp:posOffset>4111625</wp:posOffset>
            </wp:positionH>
            <wp:positionV relativeFrom="paragraph">
              <wp:posOffset>-1310640</wp:posOffset>
            </wp:positionV>
            <wp:extent cx="68580" cy="8255"/>
            <wp:effectExtent l="0" t="0" r="0" b="0"/>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42880" behindDoc="1" locked="0" layoutInCell="0" allowOverlap="1" wp14:anchorId="14C0FA15" wp14:editId="4A46AEC7">
            <wp:simplePos x="0" y="0"/>
            <wp:positionH relativeFrom="column">
              <wp:posOffset>3734435</wp:posOffset>
            </wp:positionH>
            <wp:positionV relativeFrom="paragraph">
              <wp:posOffset>-1310640</wp:posOffset>
            </wp:positionV>
            <wp:extent cx="68580" cy="8255"/>
            <wp:effectExtent l="0" t="0" r="0"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43904" behindDoc="1" locked="0" layoutInCell="0" allowOverlap="1" wp14:anchorId="14ABD625" wp14:editId="1F4318B8">
            <wp:simplePos x="0" y="0"/>
            <wp:positionH relativeFrom="column">
              <wp:posOffset>3237230</wp:posOffset>
            </wp:positionH>
            <wp:positionV relativeFrom="paragraph">
              <wp:posOffset>-1310640</wp:posOffset>
            </wp:positionV>
            <wp:extent cx="34290" cy="8255"/>
            <wp:effectExtent l="0" t="0" r="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p>
    <w:p w14:paraId="5181160F" w14:textId="77777777" w:rsidR="00D1587D" w:rsidRDefault="00D1587D">
      <w:pPr>
        <w:sectPr w:rsidR="00D1587D">
          <w:pgSz w:w="11900" w:h="16838"/>
          <w:pgMar w:top="265" w:right="1440" w:bottom="1440" w:left="1440" w:header="0" w:footer="0" w:gutter="0"/>
          <w:cols w:space="720" w:equalWidth="0">
            <w:col w:w="9019"/>
          </w:cols>
        </w:sectPr>
      </w:pPr>
    </w:p>
    <w:p w14:paraId="60381D81" w14:textId="77777777" w:rsidR="00D1587D" w:rsidRDefault="00D1587D">
      <w:pPr>
        <w:spacing w:line="202" w:lineRule="exact"/>
        <w:rPr>
          <w:sz w:val="20"/>
          <w:szCs w:val="20"/>
        </w:rPr>
      </w:pPr>
    </w:p>
    <w:p w14:paraId="63D0D8D2" w14:textId="77777777" w:rsidR="00D1587D" w:rsidRDefault="00410D07">
      <w:pPr>
        <w:jc w:val="center"/>
        <w:rPr>
          <w:sz w:val="20"/>
          <w:szCs w:val="20"/>
        </w:rPr>
      </w:pPr>
      <w:r>
        <w:rPr>
          <w:rFonts w:ascii="Arial" w:eastAsia="Arial" w:hAnsi="Arial" w:cs="Arial"/>
          <w:sz w:val="16"/>
          <w:szCs w:val="16"/>
        </w:rPr>
        <w:t>73</w:t>
      </w:r>
    </w:p>
    <w:p w14:paraId="5E1ACCE6" w14:textId="77777777" w:rsidR="00D1587D" w:rsidRDefault="00410D07">
      <w:pPr>
        <w:spacing w:line="20" w:lineRule="exact"/>
        <w:rPr>
          <w:sz w:val="20"/>
          <w:szCs w:val="20"/>
        </w:rPr>
      </w:pPr>
      <w:r>
        <w:rPr>
          <w:noProof/>
          <w:sz w:val="20"/>
          <w:szCs w:val="20"/>
        </w:rPr>
        <w:drawing>
          <wp:anchor distT="0" distB="0" distL="114300" distR="114300" simplePos="0" relativeHeight="251644928" behindDoc="1" locked="0" layoutInCell="0" allowOverlap="1" wp14:anchorId="6C180510" wp14:editId="708715D2">
            <wp:simplePos x="0" y="0"/>
            <wp:positionH relativeFrom="column">
              <wp:posOffset>-636905</wp:posOffset>
            </wp:positionH>
            <wp:positionV relativeFrom="paragraph">
              <wp:posOffset>140970</wp:posOffset>
            </wp:positionV>
            <wp:extent cx="6995160" cy="17145"/>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53380E0"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31" w:name="page332"/>
    <w:bookmarkEnd w:id="331"/>
    <w:p w14:paraId="63E3EBB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9D78DBF" w14:textId="77777777" w:rsidR="00D1587D" w:rsidRDefault="00D1587D">
      <w:pPr>
        <w:spacing w:line="131" w:lineRule="exact"/>
        <w:rPr>
          <w:sz w:val="20"/>
          <w:szCs w:val="20"/>
        </w:rPr>
      </w:pPr>
    </w:p>
    <w:p w14:paraId="1D65BB4B" w14:textId="77777777" w:rsidR="00D1587D" w:rsidRDefault="00410D07">
      <w:pPr>
        <w:ind w:left="660"/>
        <w:rPr>
          <w:sz w:val="20"/>
          <w:szCs w:val="20"/>
        </w:rPr>
      </w:pPr>
      <w:r>
        <w:rPr>
          <w:rFonts w:ascii="Arial" w:eastAsia="Arial" w:hAnsi="Arial" w:cs="Arial"/>
          <w:sz w:val="18"/>
          <w:szCs w:val="18"/>
        </w:rPr>
        <w:t xml:space="preserve">The following table </w:t>
      </w:r>
      <w:r>
        <w:rPr>
          <w:rFonts w:ascii="Arial" w:eastAsia="Arial" w:hAnsi="Arial" w:cs="Arial"/>
          <w:sz w:val="18"/>
          <w:szCs w:val="18"/>
        </w:rPr>
        <w:t>represents company-operated store data for 2019:</w:t>
      </w:r>
    </w:p>
    <w:p w14:paraId="62CEFD18" w14:textId="77777777" w:rsidR="00D1587D" w:rsidRDefault="00D1587D">
      <w:pPr>
        <w:spacing w:line="177"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520"/>
        <w:gridCol w:w="80"/>
        <w:gridCol w:w="740"/>
        <w:gridCol w:w="140"/>
        <w:gridCol w:w="480"/>
        <w:gridCol w:w="140"/>
        <w:gridCol w:w="420"/>
        <w:gridCol w:w="120"/>
        <w:gridCol w:w="780"/>
        <w:gridCol w:w="20"/>
      </w:tblGrid>
      <w:tr w:rsidR="00D1587D" w14:paraId="5372AA94" w14:textId="77777777">
        <w:trPr>
          <w:trHeight w:val="161"/>
        </w:trPr>
        <w:tc>
          <w:tcPr>
            <w:tcW w:w="5520" w:type="dxa"/>
            <w:vAlign w:val="bottom"/>
          </w:tcPr>
          <w:p w14:paraId="39D05B2F" w14:textId="77777777" w:rsidR="00D1587D" w:rsidRDefault="00D1587D">
            <w:pPr>
              <w:rPr>
                <w:sz w:val="14"/>
                <w:szCs w:val="14"/>
              </w:rPr>
            </w:pPr>
          </w:p>
        </w:tc>
        <w:tc>
          <w:tcPr>
            <w:tcW w:w="80" w:type="dxa"/>
            <w:vAlign w:val="bottom"/>
          </w:tcPr>
          <w:p w14:paraId="0946EF45" w14:textId="77777777" w:rsidR="00D1587D" w:rsidRDefault="00D1587D">
            <w:pPr>
              <w:rPr>
                <w:sz w:val="14"/>
                <w:szCs w:val="14"/>
              </w:rPr>
            </w:pPr>
          </w:p>
        </w:tc>
        <w:tc>
          <w:tcPr>
            <w:tcW w:w="880" w:type="dxa"/>
            <w:gridSpan w:val="2"/>
            <w:vAlign w:val="bottom"/>
          </w:tcPr>
          <w:p w14:paraId="0155F1B4" w14:textId="77777777" w:rsidR="00D1587D" w:rsidRDefault="00410D07">
            <w:pPr>
              <w:ind w:right="180"/>
              <w:jc w:val="center"/>
              <w:rPr>
                <w:sz w:val="20"/>
                <w:szCs w:val="20"/>
              </w:rPr>
            </w:pPr>
            <w:r>
              <w:rPr>
                <w:rFonts w:ascii="Arial" w:eastAsia="Arial" w:hAnsi="Arial" w:cs="Arial"/>
                <w:b/>
                <w:bCs/>
                <w:w w:val="90"/>
                <w:sz w:val="14"/>
                <w:szCs w:val="14"/>
              </w:rPr>
              <w:t>Stores at</w:t>
            </w:r>
          </w:p>
        </w:tc>
        <w:tc>
          <w:tcPr>
            <w:tcW w:w="480" w:type="dxa"/>
            <w:vAlign w:val="bottom"/>
          </w:tcPr>
          <w:p w14:paraId="59262C61" w14:textId="77777777" w:rsidR="00D1587D" w:rsidRDefault="00D1587D">
            <w:pPr>
              <w:rPr>
                <w:sz w:val="14"/>
                <w:szCs w:val="14"/>
              </w:rPr>
            </w:pPr>
          </w:p>
        </w:tc>
        <w:tc>
          <w:tcPr>
            <w:tcW w:w="140" w:type="dxa"/>
            <w:vAlign w:val="bottom"/>
          </w:tcPr>
          <w:p w14:paraId="2881629A" w14:textId="77777777" w:rsidR="00D1587D" w:rsidRDefault="00D1587D">
            <w:pPr>
              <w:rPr>
                <w:sz w:val="14"/>
                <w:szCs w:val="14"/>
              </w:rPr>
            </w:pPr>
          </w:p>
        </w:tc>
        <w:tc>
          <w:tcPr>
            <w:tcW w:w="420" w:type="dxa"/>
            <w:vAlign w:val="bottom"/>
          </w:tcPr>
          <w:p w14:paraId="06B07954" w14:textId="77777777" w:rsidR="00D1587D" w:rsidRDefault="00D1587D">
            <w:pPr>
              <w:rPr>
                <w:sz w:val="14"/>
                <w:szCs w:val="14"/>
              </w:rPr>
            </w:pPr>
          </w:p>
        </w:tc>
        <w:tc>
          <w:tcPr>
            <w:tcW w:w="120" w:type="dxa"/>
            <w:vAlign w:val="bottom"/>
          </w:tcPr>
          <w:p w14:paraId="3B2B34A7" w14:textId="77777777" w:rsidR="00D1587D" w:rsidRDefault="00D1587D">
            <w:pPr>
              <w:rPr>
                <w:sz w:val="14"/>
                <w:szCs w:val="14"/>
              </w:rPr>
            </w:pPr>
          </w:p>
        </w:tc>
        <w:tc>
          <w:tcPr>
            <w:tcW w:w="780" w:type="dxa"/>
            <w:vAlign w:val="bottom"/>
          </w:tcPr>
          <w:p w14:paraId="038FB9CC" w14:textId="77777777" w:rsidR="00D1587D" w:rsidRDefault="00410D07">
            <w:pPr>
              <w:jc w:val="center"/>
              <w:rPr>
                <w:sz w:val="20"/>
                <w:szCs w:val="20"/>
              </w:rPr>
            </w:pPr>
            <w:r>
              <w:rPr>
                <w:rFonts w:ascii="Arial" w:eastAsia="Arial" w:hAnsi="Arial" w:cs="Arial"/>
                <w:b/>
                <w:bCs/>
                <w:w w:val="90"/>
                <w:sz w:val="14"/>
                <w:szCs w:val="14"/>
              </w:rPr>
              <w:t>Stores at</w:t>
            </w:r>
          </w:p>
        </w:tc>
        <w:tc>
          <w:tcPr>
            <w:tcW w:w="0" w:type="dxa"/>
            <w:vAlign w:val="bottom"/>
          </w:tcPr>
          <w:p w14:paraId="3BD77365" w14:textId="77777777" w:rsidR="00D1587D" w:rsidRDefault="00D1587D">
            <w:pPr>
              <w:rPr>
                <w:sz w:val="1"/>
                <w:szCs w:val="1"/>
              </w:rPr>
            </w:pPr>
          </w:p>
        </w:tc>
      </w:tr>
      <w:tr w:rsidR="00D1587D" w14:paraId="7FA3925A" w14:textId="77777777">
        <w:trPr>
          <w:trHeight w:val="149"/>
        </w:trPr>
        <w:tc>
          <w:tcPr>
            <w:tcW w:w="5520" w:type="dxa"/>
            <w:vAlign w:val="bottom"/>
          </w:tcPr>
          <w:p w14:paraId="7106D524" w14:textId="77777777" w:rsidR="00D1587D" w:rsidRDefault="00D1587D">
            <w:pPr>
              <w:rPr>
                <w:sz w:val="12"/>
                <w:szCs w:val="12"/>
              </w:rPr>
            </w:pPr>
          </w:p>
        </w:tc>
        <w:tc>
          <w:tcPr>
            <w:tcW w:w="80" w:type="dxa"/>
            <w:vAlign w:val="bottom"/>
          </w:tcPr>
          <w:p w14:paraId="2E2BBD11" w14:textId="77777777" w:rsidR="00D1587D" w:rsidRDefault="00D1587D">
            <w:pPr>
              <w:rPr>
                <w:sz w:val="12"/>
                <w:szCs w:val="12"/>
              </w:rPr>
            </w:pPr>
          </w:p>
        </w:tc>
        <w:tc>
          <w:tcPr>
            <w:tcW w:w="880" w:type="dxa"/>
            <w:gridSpan w:val="2"/>
            <w:vAlign w:val="bottom"/>
          </w:tcPr>
          <w:p w14:paraId="5F00F9BC" w14:textId="77777777" w:rsidR="00D1587D" w:rsidRDefault="00410D07">
            <w:pPr>
              <w:spacing w:line="149" w:lineRule="exact"/>
              <w:ind w:right="160"/>
              <w:jc w:val="center"/>
              <w:rPr>
                <w:sz w:val="20"/>
                <w:szCs w:val="20"/>
              </w:rPr>
            </w:pPr>
            <w:r>
              <w:rPr>
                <w:rFonts w:ascii="Arial" w:eastAsia="Arial" w:hAnsi="Arial" w:cs="Arial"/>
                <w:b/>
                <w:bCs/>
                <w:w w:val="95"/>
                <w:sz w:val="14"/>
                <w:szCs w:val="14"/>
              </w:rPr>
              <w:t>February 2,</w:t>
            </w:r>
          </w:p>
        </w:tc>
        <w:tc>
          <w:tcPr>
            <w:tcW w:w="620" w:type="dxa"/>
            <w:gridSpan w:val="2"/>
            <w:vMerge w:val="restart"/>
            <w:vAlign w:val="bottom"/>
          </w:tcPr>
          <w:p w14:paraId="437982DB" w14:textId="77777777" w:rsidR="00D1587D" w:rsidRDefault="00410D07">
            <w:pPr>
              <w:rPr>
                <w:sz w:val="20"/>
                <w:szCs w:val="20"/>
              </w:rPr>
            </w:pPr>
            <w:r>
              <w:rPr>
                <w:rFonts w:ascii="Arial" w:eastAsia="Arial" w:hAnsi="Arial" w:cs="Arial"/>
                <w:b/>
                <w:bCs/>
                <w:sz w:val="14"/>
                <w:szCs w:val="14"/>
              </w:rPr>
              <w:t>Opened</w:t>
            </w:r>
          </w:p>
        </w:tc>
        <w:tc>
          <w:tcPr>
            <w:tcW w:w="540" w:type="dxa"/>
            <w:gridSpan w:val="2"/>
            <w:vMerge w:val="restart"/>
            <w:vAlign w:val="bottom"/>
          </w:tcPr>
          <w:p w14:paraId="279DD211" w14:textId="77777777" w:rsidR="00D1587D" w:rsidRDefault="00410D07">
            <w:pPr>
              <w:rPr>
                <w:sz w:val="20"/>
                <w:szCs w:val="20"/>
              </w:rPr>
            </w:pPr>
            <w:r>
              <w:rPr>
                <w:rFonts w:ascii="Arial" w:eastAsia="Arial" w:hAnsi="Arial" w:cs="Arial"/>
                <w:b/>
                <w:bCs/>
                <w:sz w:val="14"/>
                <w:szCs w:val="14"/>
              </w:rPr>
              <w:t>Closed</w:t>
            </w:r>
          </w:p>
        </w:tc>
        <w:tc>
          <w:tcPr>
            <w:tcW w:w="780" w:type="dxa"/>
            <w:vAlign w:val="bottom"/>
          </w:tcPr>
          <w:p w14:paraId="6C90AD17" w14:textId="77777777" w:rsidR="00D1587D" w:rsidRDefault="00410D07">
            <w:pPr>
              <w:spacing w:line="149" w:lineRule="exact"/>
              <w:jc w:val="center"/>
              <w:rPr>
                <w:sz w:val="20"/>
                <w:szCs w:val="20"/>
              </w:rPr>
            </w:pPr>
            <w:r>
              <w:rPr>
                <w:rFonts w:ascii="Arial" w:eastAsia="Arial" w:hAnsi="Arial" w:cs="Arial"/>
                <w:b/>
                <w:bCs/>
                <w:w w:val="97"/>
                <w:sz w:val="14"/>
                <w:szCs w:val="14"/>
              </w:rPr>
              <w:t>February 1,</w:t>
            </w:r>
          </w:p>
        </w:tc>
        <w:tc>
          <w:tcPr>
            <w:tcW w:w="0" w:type="dxa"/>
            <w:vAlign w:val="bottom"/>
          </w:tcPr>
          <w:p w14:paraId="054D402C" w14:textId="77777777" w:rsidR="00D1587D" w:rsidRDefault="00D1587D">
            <w:pPr>
              <w:rPr>
                <w:sz w:val="1"/>
                <w:szCs w:val="1"/>
              </w:rPr>
            </w:pPr>
          </w:p>
        </w:tc>
      </w:tr>
      <w:tr w:rsidR="00D1587D" w14:paraId="5FBCBCEA" w14:textId="77777777">
        <w:trPr>
          <w:trHeight w:val="186"/>
        </w:trPr>
        <w:tc>
          <w:tcPr>
            <w:tcW w:w="5520" w:type="dxa"/>
            <w:vAlign w:val="bottom"/>
          </w:tcPr>
          <w:p w14:paraId="413273A4" w14:textId="77777777" w:rsidR="00D1587D" w:rsidRDefault="00D1587D">
            <w:pPr>
              <w:rPr>
                <w:sz w:val="16"/>
                <w:szCs w:val="16"/>
              </w:rPr>
            </w:pPr>
          </w:p>
        </w:tc>
        <w:tc>
          <w:tcPr>
            <w:tcW w:w="80" w:type="dxa"/>
            <w:vAlign w:val="bottom"/>
          </w:tcPr>
          <w:p w14:paraId="478B389D" w14:textId="77777777" w:rsidR="00D1587D" w:rsidRDefault="00D1587D">
            <w:pPr>
              <w:rPr>
                <w:sz w:val="16"/>
                <w:szCs w:val="16"/>
              </w:rPr>
            </w:pPr>
          </w:p>
        </w:tc>
        <w:tc>
          <w:tcPr>
            <w:tcW w:w="740" w:type="dxa"/>
            <w:vAlign w:val="bottom"/>
          </w:tcPr>
          <w:p w14:paraId="4307B74D" w14:textId="77777777" w:rsidR="00D1587D" w:rsidRDefault="00410D07">
            <w:pPr>
              <w:jc w:val="center"/>
              <w:rPr>
                <w:sz w:val="20"/>
                <w:szCs w:val="20"/>
              </w:rPr>
            </w:pPr>
            <w:r>
              <w:rPr>
                <w:rFonts w:ascii="Arial" w:eastAsia="Arial" w:hAnsi="Arial" w:cs="Arial"/>
                <w:b/>
                <w:bCs/>
                <w:w w:val="89"/>
                <w:sz w:val="14"/>
                <w:szCs w:val="14"/>
              </w:rPr>
              <w:t>2019</w:t>
            </w:r>
          </w:p>
        </w:tc>
        <w:tc>
          <w:tcPr>
            <w:tcW w:w="140" w:type="dxa"/>
            <w:vAlign w:val="bottom"/>
          </w:tcPr>
          <w:p w14:paraId="1A0FDDC4" w14:textId="77777777" w:rsidR="00D1587D" w:rsidRDefault="00D1587D">
            <w:pPr>
              <w:rPr>
                <w:sz w:val="16"/>
                <w:szCs w:val="16"/>
              </w:rPr>
            </w:pPr>
          </w:p>
        </w:tc>
        <w:tc>
          <w:tcPr>
            <w:tcW w:w="620" w:type="dxa"/>
            <w:gridSpan w:val="2"/>
            <w:vMerge/>
            <w:vAlign w:val="bottom"/>
          </w:tcPr>
          <w:p w14:paraId="6DBB650B" w14:textId="77777777" w:rsidR="00D1587D" w:rsidRDefault="00D1587D">
            <w:pPr>
              <w:rPr>
                <w:sz w:val="16"/>
                <w:szCs w:val="16"/>
              </w:rPr>
            </w:pPr>
          </w:p>
        </w:tc>
        <w:tc>
          <w:tcPr>
            <w:tcW w:w="540" w:type="dxa"/>
            <w:gridSpan w:val="2"/>
            <w:vMerge/>
            <w:vAlign w:val="bottom"/>
          </w:tcPr>
          <w:p w14:paraId="492043B8" w14:textId="77777777" w:rsidR="00D1587D" w:rsidRDefault="00D1587D">
            <w:pPr>
              <w:rPr>
                <w:sz w:val="16"/>
                <w:szCs w:val="16"/>
              </w:rPr>
            </w:pPr>
          </w:p>
        </w:tc>
        <w:tc>
          <w:tcPr>
            <w:tcW w:w="780" w:type="dxa"/>
            <w:vAlign w:val="bottom"/>
          </w:tcPr>
          <w:p w14:paraId="75D2B2E5" w14:textId="77777777" w:rsidR="00D1587D" w:rsidRDefault="00410D07">
            <w:pPr>
              <w:jc w:val="center"/>
              <w:rPr>
                <w:sz w:val="20"/>
                <w:szCs w:val="20"/>
              </w:rPr>
            </w:pPr>
            <w:r>
              <w:rPr>
                <w:rFonts w:ascii="Arial" w:eastAsia="Arial" w:hAnsi="Arial" w:cs="Arial"/>
                <w:b/>
                <w:bCs/>
                <w:w w:val="96"/>
                <w:sz w:val="14"/>
                <w:szCs w:val="14"/>
              </w:rPr>
              <w:t>2020</w:t>
            </w:r>
          </w:p>
        </w:tc>
        <w:tc>
          <w:tcPr>
            <w:tcW w:w="0" w:type="dxa"/>
            <w:vAlign w:val="bottom"/>
          </w:tcPr>
          <w:p w14:paraId="2F25FF37" w14:textId="77777777" w:rsidR="00D1587D" w:rsidRDefault="00D1587D">
            <w:pPr>
              <w:rPr>
                <w:sz w:val="1"/>
                <w:szCs w:val="1"/>
              </w:rPr>
            </w:pPr>
          </w:p>
        </w:tc>
      </w:tr>
      <w:tr w:rsidR="00D1587D" w14:paraId="4637EE54" w14:textId="77777777">
        <w:trPr>
          <w:trHeight w:val="53"/>
        </w:trPr>
        <w:tc>
          <w:tcPr>
            <w:tcW w:w="5520" w:type="dxa"/>
            <w:tcBorders>
              <w:bottom w:val="single" w:sz="8" w:space="0" w:color="CCEEFF"/>
            </w:tcBorders>
            <w:vAlign w:val="bottom"/>
          </w:tcPr>
          <w:p w14:paraId="66A85856" w14:textId="77777777" w:rsidR="00D1587D" w:rsidRDefault="00D1587D">
            <w:pPr>
              <w:rPr>
                <w:sz w:val="4"/>
                <w:szCs w:val="4"/>
              </w:rPr>
            </w:pPr>
          </w:p>
        </w:tc>
        <w:tc>
          <w:tcPr>
            <w:tcW w:w="80" w:type="dxa"/>
            <w:tcBorders>
              <w:bottom w:val="single" w:sz="8" w:space="0" w:color="CCEEFF"/>
            </w:tcBorders>
            <w:vAlign w:val="bottom"/>
          </w:tcPr>
          <w:p w14:paraId="6351DAB2" w14:textId="77777777" w:rsidR="00D1587D" w:rsidRDefault="00D1587D">
            <w:pPr>
              <w:rPr>
                <w:sz w:val="4"/>
                <w:szCs w:val="4"/>
              </w:rPr>
            </w:pPr>
          </w:p>
        </w:tc>
        <w:tc>
          <w:tcPr>
            <w:tcW w:w="740" w:type="dxa"/>
            <w:tcBorders>
              <w:bottom w:val="single" w:sz="8" w:space="0" w:color="auto"/>
            </w:tcBorders>
            <w:vAlign w:val="bottom"/>
          </w:tcPr>
          <w:p w14:paraId="563FB761" w14:textId="77777777" w:rsidR="00D1587D" w:rsidRDefault="00D1587D">
            <w:pPr>
              <w:rPr>
                <w:sz w:val="4"/>
                <w:szCs w:val="4"/>
              </w:rPr>
            </w:pPr>
          </w:p>
        </w:tc>
        <w:tc>
          <w:tcPr>
            <w:tcW w:w="140" w:type="dxa"/>
            <w:tcBorders>
              <w:bottom w:val="single" w:sz="8" w:space="0" w:color="CCEEFF"/>
            </w:tcBorders>
            <w:vAlign w:val="bottom"/>
          </w:tcPr>
          <w:p w14:paraId="656AE079" w14:textId="77777777" w:rsidR="00D1587D" w:rsidRDefault="00D1587D">
            <w:pPr>
              <w:rPr>
                <w:sz w:val="4"/>
                <w:szCs w:val="4"/>
              </w:rPr>
            </w:pPr>
          </w:p>
        </w:tc>
        <w:tc>
          <w:tcPr>
            <w:tcW w:w="480" w:type="dxa"/>
            <w:tcBorders>
              <w:bottom w:val="single" w:sz="8" w:space="0" w:color="auto"/>
            </w:tcBorders>
            <w:vAlign w:val="bottom"/>
          </w:tcPr>
          <w:p w14:paraId="503272CC" w14:textId="77777777" w:rsidR="00D1587D" w:rsidRDefault="00D1587D">
            <w:pPr>
              <w:rPr>
                <w:sz w:val="4"/>
                <w:szCs w:val="4"/>
              </w:rPr>
            </w:pPr>
          </w:p>
        </w:tc>
        <w:tc>
          <w:tcPr>
            <w:tcW w:w="140" w:type="dxa"/>
            <w:tcBorders>
              <w:bottom w:val="single" w:sz="8" w:space="0" w:color="CCEEFF"/>
            </w:tcBorders>
            <w:vAlign w:val="bottom"/>
          </w:tcPr>
          <w:p w14:paraId="3A6AEB14" w14:textId="77777777" w:rsidR="00D1587D" w:rsidRDefault="00D1587D">
            <w:pPr>
              <w:rPr>
                <w:sz w:val="4"/>
                <w:szCs w:val="4"/>
              </w:rPr>
            </w:pPr>
          </w:p>
        </w:tc>
        <w:tc>
          <w:tcPr>
            <w:tcW w:w="420" w:type="dxa"/>
            <w:tcBorders>
              <w:bottom w:val="single" w:sz="8" w:space="0" w:color="auto"/>
            </w:tcBorders>
            <w:vAlign w:val="bottom"/>
          </w:tcPr>
          <w:p w14:paraId="32C9387B" w14:textId="77777777" w:rsidR="00D1587D" w:rsidRDefault="00D1587D">
            <w:pPr>
              <w:rPr>
                <w:sz w:val="4"/>
                <w:szCs w:val="4"/>
              </w:rPr>
            </w:pPr>
          </w:p>
        </w:tc>
        <w:tc>
          <w:tcPr>
            <w:tcW w:w="120" w:type="dxa"/>
            <w:tcBorders>
              <w:bottom w:val="single" w:sz="8" w:space="0" w:color="CCEEFF"/>
            </w:tcBorders>
            <w:vAlign w:val="bottom"/>
          </w:tcPr>
          <w:p w14:paraId="6C8894D5" w14:textId="77777777" w:rsidR="00D1587D" w:rsidRDefault="00D1587D">
            <w:pPr>
              <w:rPr>
                <w:sz w:val="4"/>
                <w:szCs w:val="4"/>
              </w:rPr>
            </w:pPr>
          </w:p>
        </w:tc>
        <w:tc>
          <w:tcPr>
            <w:tcW w:w="780" w:type="dxa"/>
            <w:tcBorders>
              <w:bottom w:val="single" w:sz="8" w:space="0" w:color="auto"/>
            </w:tcBorders>
            <w:vAlign w:val="bottom"/>
          </w:tcPr>
          <w:p w14:paraId="4EC29A87" w14:textId="77777777" w:rsidR="00D1587D" w:rsidRDefault="00D1587D">
            <w:pPr>
              <w:rPr>
                <w:sz w:val="4"/>
                <w:szCs w:val="4"/>
              </w:rPr>
            </w:pPr>
          </w:p>
        </w:tc>
        <w:tc>
          <w:tcPr>
            <w:tcW w:w="0" w:type="dxa"/>
            <w:vAlign w:val="bottom"/>
          </w:tcPr>
          <w:p w14:paraId="1AAEFD4B" w14:textId="77777777" w:rsidR="00D1587D" w:rsidRDefault="00D1587D">
            <w:pPr>
              <w:rPr>
                <w:sz w:val="1"/>
                <w:szCs w:val="1"/>
              </w:rPr>
            </w:pPr>
          </w:p>
        </w:tc>
      </w:tr>
      <w:tr w:rsidR="00D1587D" w14:paraId="411BF58F" w14:textId="77777777">
        <w:trPr>
          <w:trHeight w:val="298"/>
        </w:trPr>
        <w:tc>
          <w:tcPr>
            <w:tcW w:w="5600" w:type="dxa"/>
            <w:gridSpan w:val="2"/>
            <w:tcBorders>
              <w:bottom w:val="single" w:sz="8" w:space="0" w:color="CCEEFF"/>
            </w:tcBorders>
            <w:shd w:val="clear" w:color="auto" w:fill="CCEEFF"/>
            <w:vAlign w:val="bottom"/>
          </w:tcPr>
          <w:p w14:paraId="6ABEDC50" w14:textId="77777777" w:rsidR="00D1587D" w:rsidRDefault="00410D07">
            <w:pPr>
              <w:rPr>
                <w:sz w:val="20"/>
                <w:szCs w:val="20"/>
              </w:rPr>
            </w:pPr>
            <w:r>
              <w:rPr>
                <w:rFonts w:ascii="Arial" w:eastAsia="Arial" w:hAnsi="Arial" w:cs="Arial"/>
                <w:sz w:val="18"/>
                <w:szCs w:val="18"/>
              </w:rPr>
              <w:t>U.S.</w:t>
            </w:r>
          </w:p>
        </w:tc>
        <w:tc>
          <w:tcPr>
            <w:tcW w:w="740" w:type="dxa"/>
            <w:tcBorders>
              <w:bottom w:val="single" w:sz="8" w:space="0" w:color="CCEEFF"/>
            </w:tcBorders>
            <w:shd w:val="clear" w:color="auto" w:fill="CCEEFF"/>
            <w:vAlign w:val="bottom"/>
          </w:tcPr>
          <w:p w14:paraId="3716D410" w14:textId="77777777" w:rsidR="00D1587D" w:rsidRDefault="00410D07">
            <w:pPr>
              <w:ind w:right="96"/>
              <w:jc w:val="right"/>
              <w:rPr>
                <w:sz w:val="20"/>
                <w:szCs w:val="20"/>
              </w:rPr>
            </w:pPr>
            <w:r>
              <w:rPr>
                <w:rFonts w:ascii="Arial" w:eastAsia="Arial" w:hAnsi="Arial" w:cs="Arial"/>
                <w:sz w:val="18"/>
                <w:szCs w:val="18"/>
              </w:rPr>
              <w:t>1,098</w:t>
            </w:r>
          </w:p>
        </w:tc>
        <w:tc>
          <w:tcPr>
            <w:tcW w:w="140" w:type="dxa"/>
            <w:tcBorders>
              <w:bottom w:val="single" w:sz="8" w:space="0" w:color="CCEEFF"/>
            </w:tcBorders>
            <w:shd w:val="clear" w:color="auto" w:fill="CCEEFF"/>
            <w:vAlign w:val="bottom"/>
          </w:tcPr>
          <w:p w14:paraId="01D22BFA" w14:textId="77777777" w:rsidR="00D1587D" w:rsidRDefault="00D1587D">
            <w:pPr>
              <w:rPr>
                <w:sz w:val="24"/>
                <w:szCs w:val="24"/>
              </w:rPr>
            </w:pPr>
          </w:p>
        </w:tc>
        <w:tc>
          <w:tcPr>
            <w:tcW w:w="480" w:type="dxa"/>
            <w:tcBorders>
              <w:bottom w:val="single" w:sz="8" w:space="0" w:color="CCEEFF"/>
            </w:tcBorders>
            <w:shd w:val="clear" w:color="auto" w:fill="CCEEFF"/>
            <w:vAlign w:val="bottom"/>
          </w:tcPr>
          <w:p w14:paraId="76EDD834" w14:textId="77777777" w:rsidR="00D1587D" w:rsidRDefault="00410D07">
            <w:pPr>
              <w:ind w:right="73"/>
              <w:jc w:val="right"/>
              <w:rPr>
                <w:sz w:val="20"/>
                <w:szCs w:val="20"/>
              </w:rPr>
            </w:pPr>
            <w:r>
              <w:rPr>
                <w:rFonts w:ascii="Arial" w:eastAsia="Arial" w:hAnsi="Arial" w:cs="Arial"/>
                <w:sz w:val="18"/>
                <w:szCs w:val="18"/>
              </w:rPr>
              <w:t>7</w:t>
            </w:r>
          </w:p>
        </w:tc>
        <w:tc>
          <w:tcPr>
            <w:tcW w:w="140" w:type="dxa"/>
            <w:tcBorders>
              <w:bottom w:val="single" w:sz="8" w:space="0" w:color="CCEEFF"/>
            </w:tcBorders>
            <w:shd w:val="clear" w:color="auto" w:fill="CCEEFF"/>
            <w:vAlign w:val="bottom"/>
          </w:tcPr>
          <w:p w14:paraId="1D8C408D" w14:textId="77777777" w:rsidR="00D1587D" w:rsidRDefault="00D1587D">
            <w:pPr>
              <w:rPr>
                <w:sz w:val="24"/>
                <w:szCs w:val="24"/>
              </w:rPr>
            </w:pPr>
          </w:p>
        </w:tc>
        <w:tc>
          <w:tcPr>
            <w:tcW w:w="420" w:type="dxa"/>
            <w:tcBorders>
              <w:bottom w:val="single" w:sz="8" w:space="0" w:color="CCEEFF"/>
            </w:tcBorders>
            <w:shd w:val="clear" w:color="auto" w:fill="CCEEFF"/>
            <w:vAlign w:val="bottom"/>
          </w:tcPr>
          <w:p w14:paraId="28951CCB" w14:textId="77777777" w:rsidR="00D1587D" w:rsidRDefault="00410D07">
            <w:pPr>
              <w:jc w:val="right"/>
              <w:rPr>
                <w:sz w:val="20"/>
                <w:szCs w:val="20"/>
              </w:rPr>
            </w:pPr>
            <w:r>
              <w:rPr>
                <w:rFonts w:ascii="Arial" w:eastAsia="Arial" w:hAnsi="Arial" w:cs="Arial"/>
                <w:sz w:val="18"/>
                <w:szCs w:val="18"/>
              </w:rPr>
              <w:t>(52)</w:t>
            </w:r>
          </w:p>
        </w:tc>
        <w:tc>
          <w:tcPr>
            <w:tcW w:w="120" w:type="dxa"/>
            <w:tcBorders>
              <w:bottom w:val="single" w:sz="8" w:space="0" w:color="CCEEFF"/>
            </w:tcBorders>
            <w:shd w:val="clear" w:color="auto" w:fill="CCEEFF"/>
            <w:vAlign w:val="bottom"/>
          </w:tcPr>
          <w:p w14:paraId="7B7E5ABB" w14:textId="77777777" w:rsidR="00D1587D" w:rsidRDefault="00D1587D">
            <w:pPr>
              <w:rPr>
                <w:sz w:val="24"/>
                <w:szCs w:val="24"/>
              </w:rPr>
            </w:pPr>
          </w:p>
        </w:tc>
        <w:tc>
          <w:tcPr>
            <w:tcW w:w="780" w:type="dxa"/>
            <w:tcBorders>
              <w:bottom w:val="single" w:sz="8" w:space="0" w:color="CCEEFF"/>
            </w:tcBorders>
            <w:shd w:val="clear" w:color="auto" w:fill="CCEEFF"/>
            <w:vAlign w:val="bottom"/>
          </w:tcPr>
          <w:p w14:paraId="396BA09C" w14:textId="77777777" w:rsidR="00D1587D" w:rsidRDefault="00410D07">
            <w:pPr>
              <w:ind w:right="116"/>
              <w:jc w:val="right"/>
              <w:rPr>
                <w:sz w:val="20"/>
                <w:szCs w:val="20"/>
              </w:rPr>
            </w:pPr>
            <w:r>
              <w:rPr>
                <w:rFonts w:ascii="Arial" w:eastAsia="Arial" w:hAnsi="Arial" w:cs="Arial"/>
                <w:sz w:val="18"/>
                <w:szCs w:val="18"/>
              </w:rPr>
              <w:t>1,053</w:t>
            </w:r>
          </w:p>
        </w:tc>
        <w:tc>
          <w:tcPr>
            <w:tcW w:w="0" w:type="dxa"/>
            <w:vAlign w:val="bottom"/>
          </w:tcPr>
          <w:p w14:paraId="70FD5111" w14:textId="77777777" w:rsidR="00D1587D" w:rsidRDefault="00D1587D">
            <w:pPr>
              <w:rPr>
                <w:sz w:val="1"/>
                <w:szCs w:val="1"/>
              </w:rPr>
            </w:pPr>
          </w:p>
        </w:tc>
      </w:tr>
      <w:tr w:rsidR="00D1587D" w14:paraId="48F9F4CB" w14:textId="77777777">
        <w:trPr>
          <w:trHeight w:val="257"/>
        </w:trPr>
        <w:tc>
          <w:tcPr>
            <w:tcW w:w="5600" w:type="dxa"/>
            <w:gridSpan w:val="2"/>
            <w:vAlign w:val="bottom"/>
          </w:tcPr>
          <w:p w14:paraId="68A83681" w14:textId="77777777" w:rsidR="00D1587D" w:rsidRDefault="00410D07">
            <w:pPr>
              <w:rPr>
                <w:sz w:val="20"/>
                <w:szCs w:val="20"/>
              </w:rPr>
            </w:pPr>
            <w:r>
              <w:rPr>
                <w:rFonts w:ascii="Arial" w:eastAsia="Arial" w:hAnsi="Arial" w:cs="Arial"/>
                <w:sz w:val="18"/>
                <w:szCs w:val="18"/>
              </w:rPr>
              <w:t>Canada</w:t>
            </w:r>
          </w:p>
        </w:tc>
        <w:tc>
          <w:tcPr>
            <w:tcW w:w="740" w:type="dxa"/>
            <w:vAlign w:val="bottom"/>
          </w:tcPr>
          <w:p w14:paraId="183FDE9D" w14:textId="77777777" w:rsidR="00D1587D" w:rsidRDefault="00410D07">
            <w:pPr>
              <w:ind w:right="96"/>
              <w:jc w:val="right"/>
              <w:rPr>
                <w:sz w:val="20"/>
                <w:szCs w:val="20"/>
              </w:rPr>
            </w:pPr>
            <w:r>
              <w:rPr>
                <w:rFonts w:ascii="Arial" w:eastAsia="Arial" w:hAnsi="Arial" w:cs="Arial"/>
                <w:sz w:val="18"/>
                <w:szCs w:val="18"/>
              </w:rPr>
              <w:t>45</w:t>
            </w:r>
          </w:p>
        </w:tc>
        <w:tc>
          <w:tcPr>
            <w:tcW w:w="140" w:type="dxa"/>
            <w:vAlign w:val="bottom"/>
          </w:tcPr>
          <w:p w14:paraId="654BE827" w14:textId="77777777" w:rsidR="00D1587D" w:rsidRDefault="00D1587D"/>
        </w:tc>
        <w:tc>
          <w:tcPr>
            <w:tcW w:w="620" w:type="dxa"/>
            <w:gridSpan w:val="2"/>
            <w:vAlign w:val="bottom"/>
          </w:tcPr>
          <w:p w14:paraId="2C160612" w14:textId="77777777" w:rsidR="00D1587D" w:rsidRDefault="00410D07">
            <w:pPr>
              <w:ind w:right="300"/>
              <w:jc w:val="right"/>
              <w:rPr>
                <w:sz w:val="20"/>
                <w:szCs w:val="20"/>
              </w:rPr>
            </w:pPr>
            <w:r>
              <w:rPr>
                <w:rFonts w:ascii="Arial" w:eastAsia="Arial" w:hAnsi="Arial" w:cs="Arial"/>
                <w:sz w:val="18"/>
                <w:szCs w:val="18"/>
              </w:rPr>
              <w:t>—</w:t>
            </w:r>
          </w:p>
        </w:tc>
        <w:tc>
          <w:tcPr>
            <w:tcW w:w="420" w:type="dxa"/>
            <w:vAlign w:val="bottom"/>
          </w:tcPr>
          <w:p w14:paraId="63F3BB93" w14:textId="77777777" w:rsidR="00D1587D" w:rsidRDefault="00410D07">
            <w:pPr>
              <w:jc w:val="right"/>
              <w:rPr>
                <w:sz w:val="20"/>
                <w:szCs w:val="20"/>
              </w:rPr>
            </w:pPr>
            <w:r>
              <w:rPr>
                <w:rFonts w:ascii="Arial" w:eastAsia="Arial" w:hAnsi="Arial" w:cs="Arial"/>
                <w:sz w:val="18"/>
                <w:szCs w:val="18"/>
              </w:rPr>
              <w:t>(7)</w:t>
            </w:r>
          </w:p>
        </w:tc>
        <w:tc>
          <w:tcPr>
            <w:tcW w:w="120" w:type="dxa"/>
            <w:vAlign w:val="bottom"/>
          </w:tcPr>
          <w:p w14:paraId="186FEAD8" w14:textId="77777777" w:rsidR="00D1587D" w:rsidRDefault="00D1587D"/>
        </w:tc>
        <w:tc>
          <w:tcPr>
            <w:tcW w:w="780" w:type="dxa"/>
            <w:vAlign w:val="bottom"/>
          </w:tcPr>
          <w:p w14:paraId="18911E4A" w14:textId="77777777" w:rsidR="00D1587D" w:rsidRDefault="00410D07">
            <w:pPr>
              <w:ind w:right="136"/>
              <w:jc w:val="right"/>
              <w:rPr>
                <w:sz w:val="20"/>
                <w:szCs w:val="20"/>
              </w:rPr>
            </w:pPr>
            <w:r>
              <w:rPr>
                <w:rFonts w:ascii="Arial" w:eastAsia="Arial" w:hAnsi="Arial" w:cs="Arial"/>
                <w:sz w:val="18"/>
                <w:szCs w:val="18"/>
              </w:rPr>
              <w:t>38</w:t>
            </w:r>
          </w:p>
        </w:tc>
        <w:tc>
          <w:tcPr>
            <w:tcW w:w="0" w:type="dxa"/>
            <w:vAlign w:val="bottom"/>
          </w:tcPr>
          <w:p w14:paraId="1243AABE" w14:textId="77777777" w:rsidR="00D1587D" w:rsidRDefault="00D1587D">
            <w:pPr>
              <w:rPr>
                <w:sz w:val="1"/>
                <w:szCs w:val="1"/>
              </w:rPr>
            </w:pPr>
          </w:p>
        </w:tc>
      </w:tr>
      <w:tr w:rsidR="00D1587D" w14:paraId="3FBB0159" w14:textId="77777777">
        <w:trPr>
          <w:trHeight w:val="40"/>
        </w:trPr>
        <w:tc>
          <w:tcPr>
            <w:tcW w:w="5520" w:type="dxa"/>
            <w:vAlign w:val="bottom"/>
          </w:tcPr>
          <w:p w14:paraId="3830EB4F" w14:textId="77777777" w:rsidR="00D1587D" w:rsidRDefault="00D1587D">
            <w:pPr>
              <w:rPr>
                <w:sz w:val="3"/>
                <w:szCs w:val="3"/>
              </w:rPr>
            </w:pPr>
          </w:p>
        </w:tc>
        <w:tc>
          <w:tcPr>
            <w:tcW w:w="80" w:type="dxa"/>
            <w:vAlign w:val="bottom"/>
          </w:tcPr>
          <w:p w14:paraId="47C00E30" w14:textId="77777777" w:rsidR="00D1587D" w:rsidRDefault="00D1587D">
            <w:pPr>
              <w:rPr>
                <w:sz w:val="3"/>
                <w:szCs w:val="3"/>
              </w:rPr>
            </w:pPr>
          </w:p>
        </w:tc>
        <w:tc>
          <w:tcPr>
            <w:tcW w:w="740" w:type="dxa"/>
            <w:vAlign w:val="bottom"/>
          </w:tcPr>
          <w:p w14:paraId="2DED3522" w14:textId="77777777" w:rsidR="00D1587D" w:rsidRDefault="00D1587D">
            <w:pPr>
              <w:rPr>
                <w:sz w:val="3"/>
                <w:szCs w:val="3"/>
              </w:rPr>
            </w:pPr>
          </w:p>
        </w:tc>
        <w:tc>
          <w:tcPr>
            <w:tcW w:w="140" w:type="dxa"/>
            <w:vAlign w:val="bottom"/>
          </w:tcPr>
          <w:p w14:paraId="001C3033" w14:textId="77777777" w:rsidR="00D1587D" w:rsidRDefault="00D1587D">
            <w:pPr>
              <w:rPr>
                <w:sz w:val="3"/>
                <w:szCs w:val="3"/>
              </w:rPr>
            </w:pPr>
          </w:p>
        </w:tc>
        <w:tc>
          <w:tcPr>
            <w:tcW w:w="480" w:type="dxa"/>
            <w:vAlign w:val="bottom"/>
          </w:tcPr>
          <w:p w14:paraId="5471B5A5" w14:textId="77777777" w:rsidR="00D1587D" w:rsidRDefault="00D1587D">
            <w:pPr>
              <w:rPr>
                <w:sz w:val="3"/>
                <w:szCs w:val="3"/>
              </w:rPr>
            </w:pPr>
          </w:p>
        </w:tc>
        <w:tc>
          <w:tcPr>
            <w:tcW w:w="140" w:type="dxa"/>
            <w:vAlign w:val="bottom"/>
          </w:tcPr>
          <w:p w14:paraId="29525FB9" w14:textId="77777777" w:rsidR="00D1587D" w:rsidRDefault="00D1587D">
            <w:pPr>
              <w:rPr>
                <w:sz w:val="3"/>
                <w:szCs w:val="3"/>
              </w:rPr>
            </w:pPr>
          </w:p>
        </w:tc>
        <w:tc>
          <w:tcPr>
            <w:tcW w:w="420" w:type="dxa"/>
            <w:vAlign w:val="bottom"/>
          </w:tcPr>
          <w:p w14:paraId="582F09D5" w14:textId="77777777" w:rsidR="00D1587D" w:rsidRDefault="00D1587D">
            <w:pPr>
              <w:rPr>
                <w:sz w:val="3"/>
                <w:szCs w:val="3"/>
              </w:rPr>
            </w:pPr>
          </w:p>
        </w:tc>
        <w:tc>
          <w:tcPr>
            <w:tcW w:w="120" w:type="dxa"/>
            <w:vAlign w:val="bottom"/>
          </w:tcPr>
          <w:p w14:paraId="1F99111D" w14:textId="77777777" w:rsidR="00D1587D" w:rsidRDefault="00D1587D">
            <w:pPr>
              <w:rPr>
                <w:sz w:val="3"/>
                <w:szCs w:val="3"/>
              </w:rPr>
            </w:pPr>
          </w:p>
        </w:tc>
        <w:tc>
          <w:tcPr>
            <w:tcW w:w="780" w:type="dxa"/>
            <w:vAlign w:val="bottom"/>
          </w:tcPr>
          <w:p w14:paraId="4E324C1E" w14:textId="77777777" w:rsidR="00D1587D" w:rsidRDefault="00D1587D">
            <w:pPr>
              <w:rPr>
                <w:sz w:val="3"/>
                <w:szCs w:val="3"/>
              </w:rPr>
            </w:pPr>
          </w:p>
        </w:tc>
        <w:tc>
          <w:tcPr>
            <w:tcW w:w="0" w:type="dxa"/>
            <w:vAlign w:val="bottom"/>
          </w:tcPr>
          <w:p w14:paraId="7A9EF8C8" w14:textId="77777777" w:rsidR="00D1587D" w:rsidRDefault="00D1587D">
            <w:pPr>
              <w:rPr>
                <w:sz w:val="1"/>
                <w:szCs w:val="1"/>
              </w:rPr>
            </w:pPr>
          </w:p>
        </w:tc>
      </w:tr>
      <w:tr w:rsidR="00D1587D" w14:paraId="26482EB6" w14:textId="77777777">
        <w:trPr>
          <w:trHeight w:val="277"/>
        </w:trPr>
        <w:tc>
          <w:tcPr>
            <w:tcW w:w="5600" w:type="dxa"/>
            <w:gridSpan w:val="2"/>
            <w:tcBorders>
              <w:bottom w:val="single" w:sz="8" w:space="0" w:color="CCEEFF"/>
            </w:tcBorders>
            <w:shd w:val="clear" w:color="auto" w:fill="CCEEFF"/>
            <w:vAlign w:val="bottom"/>
          </w:tcPr>
          <w:p w14:paraId="042F945E" w14:textId="77777777" w:rsidR="00D1587D" w:rsidRDefault="00410D07">
            <w:pPr>
              <w:rPr>
                <w:sz w:val="20"/>
                <w:szCs w:val="20"/>
              </w:rPr>
            </w:pPr>
            <w:r>
              <w:rPr>
                <w:rFonts w:ascii="Arial" w:eastAsia="Arial" w:hAnsi="Arial" w:cs="Arial"/>
                <w:sz w:val="18"/>
                <w:szCs w:val="18"/>
              </w:rPr>
              <w:t>U.K. / Ireland</w:t>
            </w:r>
          </w:p>
        </w:tc>
        <w:tc>
          <w:tcPr>
            <w:tcW w:w="740" w:type="dxa"/>
            <w:tcBorders>
              <w:bottom w:val="single" w:sz="8" w:space="0" w:color="CCEEFF"/>
            </w:tcBorders>
            <w:shd w:val="clear" w:color="auto" w:fill="CCEEFF"/>
            <w:vAlign w:val="bottom"/>
          </w:tcPr>
          <w:p w14:paraId="305B963E" w14:textId="77777777" w:rsidR="00D1587D" w:rsidRDefault="00410D07">
            <w:pPr>
              <w:ind w:right="96"/>
              <w:jc w:val="right"/>
              <w:rPr>
                <w:sz w:val="20"/>
                <w:szCs w:val="20"/>
              </w:rPr>
            </w:pPr>
            <w:r>
              <w:rPr>
                <w:rFonts w:ascii="Arial" w:eastAsia="Arial" w:hAnsi="Arial" w:cs="Arial"/>
                <w:sz w:val="18"/>
                <w:szCs w:val="18"/>
              </w:rPr>
              <w:t>26</w:t>
            </w:r>
          </w:p>
        </w:tc>
        <w:tc>
          <w:tcPr>
            <w:tcW w:w="140" w:type="dxa"/>
            <w:tcBorders>
              <w:bottom w:val="single" w:sz="8" w:space="0" w:color="CCEEFF"/>
            </w:tcBorders>
            <w:shd w:val="clear" w:color="auto" w:fill="CCEEFF"/>
            <w:vAlign w:val="bottom"/>
          </w:tcPr>
          <w:p w14:paraId="449F95ED"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394770ED" w14:textId="77777777" w:rsidR="00D1587D" w:rsidRDefault="00410D07">
            <w:pPr>
              <w:ind w:right="300"/>
              <w:jc w:val="right"/>
              <w:rPr>
                <w:sz w:val="20"/>
                <w:szCs w:val="20"/>
              </w:rPr>
            </w:pPr>
            <w:r>
              <w:rPr>
                <w:rFonts w:ascii="Arial" w:eastAsia="Arial" w:hAnsi="Arial" w:cs="Arial"/>
                <w:sz w:val="18"/>
                <w:szCs w:val="18"/>
              </w:rPr>
              <w:t>—</w:t>
            </w:r>
          </w:p>
        </w:tc>
        <w:tc>
          <w:tcPr>
            <w:tcW w:w="540" w:type="dxa"/>
            <w:gridSpan w:val="2"/>
            <w:tcBorders>
              <w:bottom w:val="single" w:sz="8" w:space="0" w:color="CCEEFF"/>
            </w:tcBorders>
            <w:shd w:val="clear" w:color="auto" w:fill="CCEEFF"/>
            <w:vAlign w:val="bottom"/>
          </w:tcPr>
          <w:p w14:paraId="04C4070C" w14:textId="77777777" w:rsidR="00D1587D" w:rsidRDefault="00410D07">
            <w:pPr>
              <w:ind w:right="220"/>
              <w:jc w:val="right"/>
              <w:rPr>
                <w:sz w:val="20"/>
                <w:szCs w:val="20"/>
              </w:rPr>
            </w:pPr>
            <w:r>
              <w:rPr>
                <w:rFonts w:ascii="Arial" w:eastAsia="Arial" w:hAnsi="Arial" w:cs="Arial"/>
                <w:sz w:val="18"/>
                <w:szCs w:val="18"/>
              </w:rPr>
              <w:t>—</w:t>
            </w:r>
          </w:p>
        </w:tc>
        <w:tc>
          <w:tcPr>
            <w:tcW w:w="780" w:type="dxa"/>
            <w:tcBorders>
              <w:bottom w:val="single" w:sz="8" w:space="0" w:color="CCEEFF"/>
            </w:tcBorders>
            <w:shd w:val="clear" w:color="auto" w:fill="CCEEFF"/>
            <w:vAlign w:val="bottom"/>
          </w:tcPr>
          <w:p w14:paraId="6F4F0DC1" w14:textId="77777777" w:rsidR="00D1587D" w:rsidRDefault="00410D07">
            <w:pPr>
              <w:ind w:right="136"/>
              <w:jc w:val="right"/>
              <w:rPr>
                <w:sz w:val="20"/>
                <w:szCs w:val="20"/>
              </w:rPr>
            </w:pPr>
            <w:r>
              <w:rPr>
                <w:rFonts w:ascii="Arial" w:eastAsia="Arial" w:hAnsi="Arial" w:cs="Arial"/>
                <w:sz w:val="18"/>
                <w:szCs w:val="18"/>
              </w:rPr>
              <w:t>26</w:t>
            </w:r>
          </w:p>
        </w:tc>
        <w:tc>
          <w:tcPr>
            <w:tcW w:w="0" w:type="dxa"/>
            <w:vAlign w:val="bottom"/>
          </w:tcPr>
          <w:p w14:paraId="46CFA05F" w14:textId="77777777" w:rsidR="00D1587D" w:rsidRDefault="00D1587D">
            <w:pPr>
              <w:rPr>
                <w:sz w:val="1"/>
                <w:szCs w:val="1"/>
              </w:rPr>
            </w:pPr>
          </w:p>
        </w:tc>
      </w:tr>
      <w:tr w:rsidR="00D1587D" w14:paraId="756340C6" w14:textId="77777777">
        <w:trPr>
          <w:trHeight w:val="257"/>
        </w:trPr>
        <w:tc>
          <w:tcPr>
            <w:tcW w:w="5600" w:type="dxa"/>
            <w:gridSpan w:val="2"/>
            <w:vAlign w:val="bottom"/>
          </w:tcPr>
          <w:p w14:paraId="3A34B98F" w14:textId="77777777" w:rsidR="00D1587D" w:rsidRDefault="00410D07">
            <w:pPr>
              <w:rPr>
                <w:sz w:val="20"/>
                <w:szCs w:val="20"/>
              </w:rPr>
            </w:pPr>
            <w:r>
              <w:rPr>
                <w:rFonts w:ascii="Arial" w:eastAsia="Arial" w:hAnsi="Arial" w:cs="Arial"/>
                <w:sz w:val="18"/>
                <w:szCs w:val="18"/>
              </w:rPr>
              <w:t xml:space="preserve">Greater </w:t>
            </w:r>
            <w:r>
              <w:rPr>
                <w:rFonts w:ascii="Arial" w:eastAsia="Arial" w:hAnsi="Arial" w:cs="Arial"/>
                <w:sz w:val="18"/>
                <w:szCs w:val="18"/>
              </w:rPr>
              <w:t>China – Beauty and Accessories</w:t>
            </w:r>
          </w:p>
        </w:tc>
        <w:tc>
          <w:tcPr>
            <w:tcW w:w="740" w:type="dxa"/>
            <w:vAlign w:val="bottom"/>
          </w:tcPr>
          <w:p w14:paraId="13BF7AB1" w14:textId="77777777" w:rsidR="00D1587D" w:rsidRDefault="00410D07">
            <w:pPr>
              <w:ind w:right="96"/>
              <w:jc w:val="right"/>
              <w:rPr>
                <w:sz w:val="20"/>
                <w:szCs w:val="20"/>
              </w:rPr>
            </w:pPr>
            <w:r>
              <w:rPr>
                <w:rFonts w:ascii="Arial" w:eastAsia="Arial" w:hAnsi="Arial" w:cs="Arial"/>
                <w:sz w:val="18"/>
                <w:szCs w:val="18"/>
              </w:rPr>
              <w:t>38</w:t>
            </w:r>
          </w:p>
        </w:tc>
        <w:tc>
          <w:tcPr>
            <w:tcW w:w="140" w:type="dxa"/>
            <w:vAlign w:val="bottom"/>
          </w:tcPr>
          <w:p w14:paraId="33D2A6AD" w14:textId="77777777" w:rsidR="00D1587D" w:rsidRDefault="00D1587D"/>
        </w:tc>
        <w:tc>
          <w:tcPr>
            <w:tcW w:w="480" w:type="dxa"/>
            <w:vAlign w:val="bottom"/>
          </w:tcPr>
          <w:p w14:paraId="3351148A" w14:textId="77777777" w:rsidR="00D1587D" w:rsidRDefault="00410D07">
            <w:pPr>
              <w:ind w:right="73"/>
              <w:jc w:val="right"/>
              <w:rPr>
                <w:sz w:val="20"/>
                <w:szCs w:val="20"/>
              </w:rPr>
            </w:pPr>
            <w:r>
              <w:rPr>
                <w:rFonts w:ascii="Arial" w:eastAsia="Arial" w:hAnsi="Arial" w:cs="Arial"/>
                <w:sz w:val="18"/>
                <w:szCs w:val="18"/>
              </w:rPr>
              <w:t>10</w:t>
            </w:r>
          </w:p>
        </w:tc>
        <w:tc>
          <w:tcPr>
            <w:tcW w:w="140" w:type="dxa"/>
            <w:vAlign w:val="bottom"/>
          </w:tcPr>
          <w:p w14:paraId="488DB5DE" w14:textId="77777777" w:rsidR="00D1587D" w:rsidRDefault="00D1587D"/>
        </w:tc>
        <w:tc>
          <w:tcPr>
            <w:tcW w:w="420" w:type="dxa"/>
            <w:vAlign w:val="bottom"/>
          </w:tcPr>
          <w:p w14:paraId="7F86E747" w14:textId="77777777" w:rsidR="00D1587D" w:rsidRDefault="00410D07">
            <w:pPr>
              <w:jc w:val="right"/>
              <w:rPr>
                <w:sz w:val="20"/>
                <w:szCs w:val="20"/>
              </w:rPr>
            </w:pPr>
            <w:r>
              <w:rPr>
                <w:rFonts w:ascii="Arial" w:eastAsia="Arial" w:hAnsi="Arial" w:cs="Arial"/>
                <w:sz w:val="18"/>
                <w:szCs w:val="18"/>
              </w:rPr>
              <w:t>(7)</w:t>
            </w:r>
          </w:p>
        </w:tc>
        <w:tc>
          <w:tcPr>
            <w:tcW w:w="120" w:type="dxa"/>
            <w:vAlign w:val="bottom"/>
          </w:tcPr>
          <w:p w14:paraId="756382A1" w14:textId="77777777" w:rsidR="00D1587D" w:rsidRDefault="00D1587D"/>
        </w:tc>
        <w:tc>
          <w:tcPr>
            <w:tcW w:w="780" w:type="dxa"/>
            <w:vAlign w:val="bottom"/>
          </w:tcPr>
          <w:p w14:paraId="059753CD" w14:textId="77777777" w:rsidR="00D1587D" w:rsidRDefault="00410D07">
            <w:pPr>
              <w:ind w:right="136"/>
              <w:jc w:val="right"/>
              <w:rPr>
                <w:sz w:val="20"/>
                <w:szCs w:val="20"/>
              </w:rPr>
            </w:pPr>
            <w:r>
              <w:rPr>
                <w:rFonts w:ascii="Arial" w:eastAsia="Arial" w:hAnsi="Arial" w:cs="Arial"/>
                <w:sz w:val="18"/>
                <w:szCs w:val="18"/>
              </w:rPr>
              <w:t>41</w:t>
            </w:r>
          </w:p>
        </w:tc>
        <w:tc>
          <w:tcPr>
            <w:tcW w:w="0" w:type="dxa"/>
            <w:vAlign w:val="bottom"/>
          </w:tcPr>
          <w:p w14:paraId="197695F3" w14:textId="77777777" w:rsidR="00D1587D" w:rsidRDefault="00D1587D">
            <w:pPr>
              <w:rPr>
                <w:sz w:val="1"/>
                <w:szCs w:val="1"/>
              </w:rPr>
            </w:pPr>
          </w:p>
        </w:tc>
      </w:tr>
      <w:tr w:rsidR="00D1587D" w14:paraId="7B67DB14" w14:textId="77777777">
        <w:trPr>
          <w:trHeight w:val="40"/>
        </w:trPr>
        <w:tc>
          <w:tcPr>
            <w:tcW w:w="5520" w:type="dxa"/>
            <w:vAlign w:val="bottom"/>
          </w:tcPr>
          <w:p w14:paraId="7BB8E04A" w14:textId="77777777" w:rsidR="00D1587D" w:rsidRDefault="00D1587D">
            <w:pPr>
              <w:rPr>
                <w:sz w:val="3"/>
                <w:szCs w:val="3"/>
              </w:rPr>
            </w:pPr>
          </w:p>
        </w:tc>
        <w:tc>
          <w:tcPr>
            <w:tcW w:w="80" w:type="dxa"/>
            <w:vAlign w:val="bottom"/>
          </w:tcPr>
          <w:p w14:paraId="7E817A87" w14:textId="77777777" w:rsidR="00D1587D" w:rsidRDefault="00D1587D">
            <w:pPr>
              <w:rPr>
                <w:sz w:val="3"/>
                <w:szCs w:val="3"/>
              </w:rPr>
            </w:pPr>
          </w:p>
        </w:tc>
        <w:tc>
          <w:tcPr>
            <w:tcW w:w="740" w:type="dxa"/>
            <w:vAlign w:val="bottom"/>
          </w:tcPr>
          <w:p w14:paraId="484692CA" w14:textId="77777777" w:rsidR="00D1587D" w:rsidRDefault="00D1587D">
            <w:pPr>
              <w:rPr>
                <w:sz w:val="3"/>
                <w:szCs w:val="3"/>
              </w:rPr>
            </w:pPr>
          </w:p>
        </w:tc>
        <w:tc>
          <w:tcPr>
            <w:tcW w:w="140" w:type="dxa"/>
            <w:vAlign w:val="bottom"/>
          </w:tcPr>
          <w:p w14:paraId="567A3210" w14:textId="77777777" w:rsidR="00D1587D" w:rsidRDefault="00D1587D">
            <w:pPr>
              <w:rPr>
                <w:sz w:val="3"/>
                <w:szCs w:val="3"/>
              </w:rPr>
            </w:pPr>
          </w:p>
        </w:tc>
        <w:tc>
          <w:tcPr>
            <w:tcW w:w="480" w:type="dxa"/>
            <w:vAlign w:val="bottom"/>
          </w:tcPr>
          <w:p w14:paraId="28DF721F" w14:textId="77777777" w:rsidR="00D1587D" w:rsidRDefault="00D1587D">
            <w:pPr>
              <w:rPr>
                <w:sz w:val="3"/>
                <w:szCs w:val="3"/>
              </w:rPr>
            </w:pPr>
          </w:p>
        </w:tc>
        <w:tc>
          <w:tcPr>
            <w:tcW w:w="140" w:type="dxa"/>
            <w:vAlign w:val="bottom"/>
          </w:tcPr>
          <w:p w14:paraId="1F29CEBA" w14:textId="77777777" w:rsidR="00D1587D" w:rsidRDefault="00D1587D">
            <w:pPr>
              <w:rPr>
                <w:sz w:val="3"/>
                <w:szCs w:val="3"/>
              </w:rPr>
            </w:pPr>
          </w:p>
        </w:tc>
        <w:tc>
          <w:tcPr>
            <w:tcW w:w="420" w:type="dxa"/>
            <w:vAlign w:val="bottom"/>
          </w:tcPr>
          <w:p w14:paraId="21EC89A4" w14:textId="77777777" w:rsidR="00D1587D" w:rsidRDefault="00D1587D">
            <w:pPr>
              <w:rPr>
                <w:sz w:val="3"/>
                <w:szCs w:val="3"/>
              </w:rPr>
            </w:pPr>
          </w:p>
        </w:tc>
        <w:tc>
          <w:tcPr>
            <w:tcW w:w="120" w:type="dxa"/>
            <w:vAlign w:val="bottom"/>
          </w:tcPr>
          <w:p w14:paraId="0A692AC7" w14:textId="77777777" w:rsidR="00D1587D" w:rsidRDefault="00D1587D">
            <w:pPr>
              <w:rPr>
                <w:sz w:val="3"/>
                <w:szCs w:val="3"/>
              </w:rPr>
            </w:pPr>
          </w:p>
        </w:tc>
        <w:tc>
          <w:tcPr>
            <w:tcW w:w="780" w:type="dxa"/>
            <w:vAlign w:val="bottom"/>
          </w:tcPr>
          <w:p w14:paraId="7F9AD1BB" w14:textId="77777777" w:rsidR="00D1587D" w:rsidRDefault="00D1587D">
            <w:pPr>
              <w:rPr>
                <w:sz w:val="3"/>
                <w:szCs w:val="3"/>
              </w:rPr>
            </w:pPr>
          </w:p>
        </w:tc>
        <w:tc>
          <w:tcPr>
            <w:tcW w:w="0" w:type="dxa"/>
            <w:vAlign w:val="bottom"/>
          </w:tcPr>
          <w:p w14:paraId="716CF109" w14:textId="77777777" w:rsidR="00D1587D" w:rsidRDefault="00D1587D">
            <w:pPr>
              <w:rPr>
                <w:sz w:val="1"/>
                <w:szCs w:val="1"/>
              </w:rPr>
            </w:pPr>
          </w:p>
        </w:tc>
      </w:tr>
      <w:tr w:rsidR="00D1587D" w14:paraId="6C8FE037" w14:textId="77777777">
        <w:trPr>
          <w:trHeight w:val="257"/>
        </w:trPr>
        <w:tc>
          <w:tcPr>
            <w:tcW w:w="5600" w:type="dxa"/>
            <w:gridSpan w:val="2"/>
            <w:shd w:val="clear" w:color="auto" w:fill="CCEEFF"/>
            <w:vAlign w:val="bottom"/>
          </w:tcPr>
          <w:p w14:paraId="5A4C955C" w14:textId="77777777" w:rsidR="00D1587D" w:rsidRDefault="00410D07">
            <w:pPr>
              <w:rPr>
                <w:sz w:val="20"/>
                <w:szCs w:val="20"/>
              </w:rPr>
            </w:pPr>
            <w:r>
              <w:rPr>
                <w:rFonts w:ascii="Arial" w:eastAsia="Arial" w:hAnsi="Arial" w:cs="Arial"/>
                <w:sz w:val="18"/>
                <w:szCs w:val="18"/>
              </w:rPr>
              <w:t>Greater China – Full Assortment</w:t>
            </w:r>
          </w:p>
        </w:tc>
        <w:tc>
          <w:tcPr>
            <w:tcW w:w="740" w:type="dxa"/>
            <w:shd w:val="clear" w:color="auto" w:fill="CCEEFF"/>
            <w:vAlign w:val="bottom"/>
          </w:tcPr>
          <w:p w14:paraId="470AD771" w14:textId="77777777" w:rsidR="00D1587D" w:rsidRDefault="00410D07">
            <w:pPr>
              <w:ind w:right="96"/>
              <w:jc w:val="right"/>
              <w:rPr>
                <w:sz w:val="20"/>
                <w:szCs w:val="20"/>
              </w:rPr>
            </w:pPr>
            <w:r>
              <w:rPr>
                <w:rFonts w:ascii="Arial" w:eastAsia="Arial" w:hAnsi="Arial" w:cs="Arial"/>
                <w:sz w:val="18"/>
                <w:szCs w:val="18"/>
              </w:rPr>
              <w:t>15</w:t>
            </w:r>
          </w:p>
        </w:tc>
        <w:tc>
          <w:tcPr>
            <w:tcW w:w="140" w:type="dxa"/>
            <w:shd w:val="clear" w:color="auto" w:fill="CCEEFF"/>
            <w:vAlign w:val="bottom"/>
          </w:tcPr>
          <w:p w14:paraId="05F7EEE8" w14:textId="77777777" w:rsidR="00D1587D" w:rsidRDefault="00D1587D"/>
        </w:tc>
        <w:tc>
          <w:tcPr>
            <w:tcW w:w="480" w:type="dxa"/>
            <w:shd w:val="clear" w:color="auto" w:fill="CCEEFF"/>
            <w:vAlign w:val="bottom"/>
          </w:tcPr>
          <w:p w14:paraId="1395007E" w14:textId="77777777" w:rsidR="00D1587D" w:rsidRDefault="00410D07">
            <w:pPr>
              <w:ind w:right="73"/>
              <w:jc w:val="right"/>
              <w:rPr>
                <w:sz w:val="20"/>
                <w:szCs w:val="20"/>
              </w:rPr>
            </w:pPr>
            <w:r>
              <w:rPr>
                <w:rFonts w:ascii="Arial" w:eastAsia="Arial" w:hAnsi="Arial" w:cs="Arial"/>
                <w:sz w:val="18"/>
                <w:szCs w:val="18"/>
              </w:rPr>
              <w:t>8</w:t>
            </w:r>
          </w:p>
        </w:tc>
        <w:tc>
          <w:tcPr>
            <w:tcW w:w="140" w:type="dxa"/>
            <w:shd w:val="clear" w:color="auto" w:fill="CCEEFF"/>
            <w:vAlign w:val="bottom"/>
          </w:tcPr>
          <w:p w14:paraId="56409CD1" w14:textId="77777777" w:rsidR="00D1587D" w:rsidRDefault="00D1587D"/>
        </w:tc>
        <w:tc>
          <w:tcPr>
            <w:tcW w:w="540" w:type="dxa"/>
            <w:gridSpan w:val="2"/>
            <w:shd w:val="clear" w:color="auto" w:fill="CCEEFF"/>
            <w:vAlign w:val="bottom"/>
          </w:tcPr>
          <w:p w14:paraId="07CCDCDD" w14:textId="77777777" w:rsidR="00D1587D" w:rsidRDefault="00410D07">
            <w:pPr>
              <w:ind w:right="220"/>
              <w:jc w:val="right"/>
              <w:rPr>
                <w:sz w:val="20"/>
                <w:szCs w:val="20"/>
              </w:rPr>
            </w:pPr>
            <w:r>
              <w:rPr>
                <w:rFonts w:ascii="Arial" w:eastAsia="Arial" w:hAnsi="Arial" w:cs="Arial"/>
                <w:sz w:val="18"/>
                <w:szCs w:val="18"/>
              </w:rPr>
              <w:t>—</w:t>
            </w:r>
          </w:p>
        </w:tc>
        <w:tc>
          <w:tcPr>
            <w:tcW w:w="780" w:type="dxa"/>
            <w:shd w:val="clear" w:color="auto" w:fill="CCEEFF"/>
            <w:vAlign w:val="bottom"/>
          </w:tcPr>
          <w:p w14:paraId="5941C314" w14:textId="77777777" w:rsidR="00D1587D" w:rsidRDefault="00410D07">
            <w:pPr>
              <w:ind w:right="136"/>
              <w:jc w:val="right"/>
              <w:rPr>
                <w:sz w:val="20"/>
                <w:szCs w:val="20"/>
              </w:rPr>
            </w:pPr>
            <w:r>
              <w:rPr>
                <w:rFonts w:ascii="Arial" w:eastAsia="Arial" w:hAnsi="Arial" w:cs="Arial"/>
                <w:sz w:val="18"/>
                <w:szCs w:val="18"/>
              </w:rPr>
              <w:t>23</w:t>
            </w:r>
          </w:p>
        </w:tc>
        <w:tc>
          <w:tcPr>
            <w:tcW w:w="0" w:type="dxa"/>
            <w:vAlign w:val="bottom"/>
          </w:tcPr>
          <w:p w14:paraId="4AE5CA54" w14:textId="77777777" w:rsidR="00D1587D" w:rsidRDefault="00D1587D">
            <w:pPr>
              <w:rPr>
                <w:sz w:val="1"/>
                <w:szCs w:val="1"/>
              </w:rPr>
            </w:pPr>
          </w:p>
        </w:tc>
      </w:tr>
      <w:tr w:rsidR="00D1587D" w14:paraId="13418591" w14:textId="77777777">
        <w:trPr>
          <w:trHeight w:val="68"/>
        </w:trPr>
        <w:tc>
          <w:tcPr>
            <w:tcW w:w="5520" w:type="dxa"/>
            <w:shd w:val="clear" w:color="auto" w:fill="CCEEFF"/>
            <w:vAlign w:val="bottom"/>
          </w:tcPr>
          <w:p w14:paraId="669986CE" w14:textId="77777777" w:rsidR="00D1587D" w:rsidRDefault="00D1587D">
            <w:pPr>
              <w:rPr>
                <w:sz w:val="5"/>
                <w:szCs w:val="5"/>
              </w:rPr>
            </w:pPr>
          </w:p>
        </w:tc>
        <w:tc>
          <w:tcPr>
            <w:tcW w:w="80" w:type="dxa"/>
            <w:tcBorders>
              <w:bottom w:val="single" w:sz="8" w:space="0" w:color="CCEEFF"/>
            </w:tcBorders>
            <w:shd w:val="clear" w:color="auto" w:fill="CCEEFF"/>
            <w:vAlign w:val="bottom"/>
          </w:tcPr>
          <w:p w14:paraId="2AD56B2C" w14:textId="77777777" w:rsidR="00D1587D" w:rsidRDefault="00D1587D">
            <w:pPr>
              <w:rPr>
                <w:sz w:val="5"/>
                <w:szCs w:val="5"/>
              </w:rPr>
            </w:pPr>
          </w:p>
        </w:tc>
        <w:tc>
          <w:tcPr>
            <w:tcW w:w="740" w:type="dxa"/>
            <w:tcBorders>
              <w:bottom w:val="single" w:sz="8" w:space="0" w:color="auto"/>
            </w:tcBorders>
            <w:shd w:val="clear" w:color="auto" w:fill="CCEEFF"/>
            <w:vAlign w:val="bottom"/>
          </w:tcPr>
          <w:p w14:paraId="587D44C2" w14:textId="77777777" w:rsidR="00D1587D" w:rsidRDefault="00D1587D">
            <w:pPr>
              <w:rPr>
                <w:sz w:val="5"/>
                <w:szCs w:val="5"/>
              </w:rPr>
            </w:pPr>
          </w:p>
        </w:tc>
        <w:tc>
          <w:tcPr>
            <w:tcW w:w="140" w:type="dxa"/>
            <w:tcBorders>
              <w:bottom w:val="single" w:sz="8" w:space="0" w:color="CCEEFF"/>
            </w:tcBorders>
            <w:shd w:val="clear" w:color="auto" w:fill="CCEEFF"/>
            <w:vAlign w:val="bottom"/>
          </w:tcPr>
          <w:p w14:paraId="58C3B525" w14:textId="77777777" w:rsidR="00D1587D" w:rsidRDefault="00D1587D">
            <w:pPr>
              <w:rPr>
                <w:sz w:val="5"/>
                <w:szCs w:val="5"/>
              </w:rPr>
            </w:pPr>
          </w:p>
        </w:tc>
        <w:tc>
          <w:tcPr>
            <w:tcW w:w="480" w:type="dxa"/>
            <w:tcBorders>
              <w:bottom w:val="single" w:sz="8" w:space="0" w:color="auto"/>
            </w:tcBorders>
            <w:shd w:val="clear" w:color="auto" w:fill="CCEEFF"/>
            <w:vAlign w:val="bottom"/>
          </w:tcPr>
          <w:p w14:paraId="67093125" w14:textId="77777777" w:rsidR="00D1587D" w:rsidRDefault="00D1587D">
            <w:pPr>
              <w:rPr>
                <w:sz w:val="5"/>
                <w:szCs w:val="5"/>
              </w:rPr>
            </w:pPr>
          </w:p>
        </w:tc>
        <w:tc>
          <w:tcPr>
            <w:tcW w:w="140" w:type="dxa"/>
            <w:tcBorders>
              <w:bottom w:val="single" w:sz="8" w:space="0" w:color="CCEEFF"/>
            </w:tcBorders>
            <w:shd w:val="clear" w:color="auto" w:fill="CCEEFF"/>
            <w:vAlign w:val="bottom"/>
          </w:tcPr>
          <w:p w14:paraId="66AF3713" w14:textId="77777777" w:rsidR="00D1587D" w:rsidRDefault="00D1587D">
            <w:pPr>
              <w:rPr>
                <w:sz w:val="5"/>
                <w:szCs w:val="5"/>
              </w:rPr>
            </w:pPr>
          </w:p>
        </w:tc>
        <w:tc>
          <w:tcPr>
            <w:tcW w:w="420" w:type="dxa"/>
            <w:tcBorders>
              <w:bottom w:val="single" w:sz="8" w:space="0" w:color="auto"/>
            </w:tcBorders>
            <w:shd w:val="clear" w:color="auto" w:fill="CCEEFF"/>
            <w:vAlign w:val="bottom"/>
          </w:tcPr>
          <w:p w14:paraId="6AE0BD8D" w14:textId="77777777" w:rsidR="00D1587D" w:rsidRDefault="00D1587D">
            <w:pPr>
              <w:rPr>
                <w:sz w:val="5"/>
                <w:szCs w:val="5"/>
              </w:rPr>
            </w:pPr>
          </w:p>
        </w:tc>
        <w:tc>
          <w:tcPr>
            <w:tcW w:w="120" w:type="dxa"/>
            <w:tcBorders>
              <w:bottom w:val="single" w:sz="8" w:space="0" w:color="CCEEFF"/>
            </w:tcBorders>
            <w:shd w:val="clear" w:color="auto" w:fill="CCEEFF"/>
            <w:vAlign w:val="bottom"/>
          </w:tcPr>
          <w:p w14:paraId="4AD4A868" w14:textId="77777777" w:rsidR="00D1587D" w:rsidRDefault="00D1587D">
            <w:pPr>
              <w:rPr>
                <w:sz w:val="5"/>
                <w:szCs w:val="5"/>
              </w:rPr>
            </w:pPr>
          </w:p>
        </w:tc>
        <w:tc>
          <w:tcPr>
            <w:tcW w:w="780" w:type="dxa"/>
            <w:tcBorders>
              <w:bottom w:val="single" w:sz="8" w:space="0" w:color="auto"/>
            </w:tcBorders>
            <w:shd w:val="clear" w:color="auto" w:fill="CCEEFF"/>
            <w:vAlign w:val="bottom"/>
          </w:tcPr>
          <w:p w14:paraId="5B4D840F" w14:textId="77777777" w:rsidR="00D1587D" w:rsidRDefault="00D1587D">
            <w:pPr>
              <w:rPr>
                <w:sz w:val="5"/>
                <w:szCs w:val="5"/>
              </w:rPr>
            </w:pPr>
          </w:p>
        </w:tc>
        <w:tc>
          <w:tcPr>
            <w:tcW w:w="0" w:type="dxa"/>
            <w:vAlign w:val="bottom"/>
          </w:tcPr>
          <w:p w14:paraId="47D00AF7" w14:textId="77777777" w:rsidR="00D1587D" w:rsidRDefault="00D1587D">
            <w:pPr>
              <w:rPr>
                <w:sz w:val="1"/>
                <w:szCs w:val="1"/>
              </w:rPr>
            </w:pPr>
          </w:p>
        </w:tc>
      </w:tr>
      <w:tr w:rsidR="00D1587D" w14:paraId="4B54045C" w14:textId="77777777">
        <w:trPr>
          <w:trHeight w:val="304"/>
        </w:trPr>
        <w:tc>
          <w:tcPr>
            <w:tcW w:w="5600" w:type="dxa"/>
            <w:gridSpan w:val="2"/>
            <w:vAlign w:val="bottom"/>
          </w:tcPr>
          <w:p w14:paraId="53ADCB5D" w14:textId="77777777" w:rsidR="00D1587D" w:rsidRDefault="00410D07">
            <w:pPr>
              <w:rPr>
                <w:sz w:val="20"/>
                <w:szCs w:val="20"/>
              </w:rPr>
            </w:pPr>
            <w:r>
              <w:rPr>
                <w:rFonts w:ascii="Arial" w:eastAsia="Arial" w:hAnsi="Arial" w:cs="Arial"/>
                <w:b/>
                <w:bCs/>
                <w:sz w:val="18"/>
                <w:szCs w:val="18"/>
              </w:rPr>
              <w:t>Total</w:t>
            </w:r>
          </w:p>
        </w:tc>
        <w:tc>
          <w:tcPr>
            <w:tcW w:w="740" w:type="dxa"/>
            <w:vAlign w:val="bottom"/>
          </w:tcPr>
          <w:p w14:paraId="4D5F97C2" w14:textId="77777777" w:rsidR="00D1587D" w:rsidRDefault="00410D07">
            <w:pPr>
              <w:ind w:right="96"/>
              <w:jc w:val="right"/>
              <w:rPr>
                <w:sz w:val="20"/>
                <w:szCs w:val="20"/>
              </w:rPr>
            </w:pPr>
            <w:r>
              <w:rPr>
                <w:rFonts w:ascii="Arial" w:eastAsia="Arial" w:hAnsi="Arial" w:cs="Arial"/>
                <w:b/>
                <w:bCs/>
                <w:sz w:val="18"/>
                <w:szCs w:val="18"/>
              </w:rPr>
              <w:t>1,222</w:t>
            </w:r>
          </w:p>
        </w:tc>
        <w:tc>
          <w:tcPr>
            <w:tcW w:w="140" w:type="dxa"/>
            <w:vAlign w:val="bottom"/>
          </w:tcPr>
          <w:p w14:paraId="674DD9AC" w14:textId="77777777" w:rsidR="00D1587D" w:rsidRDefault="00D1587D">
            <w:pPr>
              <w:rPr>
                <w:sz w:val="24"/>
                <w:szCs w:val="24"/>
              </w:rPr>
            </w:pPr>
          </w:p>
        </w:tc>
        <w:tc>
          <w:tcPr>
            <w:tcW w:w="480" w:type="dxa"/>
            <w:vAlign w:val="bottom"/>
          </w:tcPr>
          <w:p w14:paraId="30A4806A" w14:textId="77777777" w:rsidR="00D1587D" w:rsidRDefault="00410D07">
            <w:pPr>
              <w:ind w:right="73"/>
              <w:jc w:val="right"/>
              <w:rPr>
                <w:sz w:val="20"/>
                <w:szCs w:val="20"/>
              </w:rPr>
            </w:pPr>
            <w:r>
              <w:rPr>
                <w:rFonts w:ascii="Arial" w:eastAsia="Arial" w:hAnsi="Arial" w:cs="Arial"/>
                <w:b/>
                <w:bCs/>
                <w:sz w:val="18"/>
                <w:szCs w:val="18"/>
              </w:rPr>
              <w:t>25</w:t>
            </w:r>
          </w:p>
        </w:tc>
        <w:tc>
          <w:tcPr>
            <w:tcW w:w="140" w:type="dxa"/>
            <w:vAlign w:val="bottom"/>
          </w:tcPr>
          <w:p w14:paraId="31DF2FAF" w14:textId="77777777" w:rsidR="00D1587D" w:rsidRDefault="00D1587D">
            <w:pPr>
              <w:rPr>
                <w:sz w:val="24"/>
                <w:szCs w:val="24"/>
              </w:rPr>
            </w:pPr>
          </w:p>
        </w:tc>
        <w:tc>
          <w:tcPr>
            <w:tcW w:w="420" w:type="dxa"/>
            <w:vAlign w:val="bottom"/>
          </w:tcPr>
          <w:p w14:paraId="5A3529DC" w14:textId="77777777" w:rsidR="00D1587D" w:rsidRDefault="00410D07">
            <w:pPr>
              <w:jc w:val="right"/>
              <w:rPr>
                <w:sz w:val="20"/>
                <w:szCs w:val="20"/>
              </w:rPr>
            </w:pPr>
            <w:r>
              <w:rPr>
                <w:rFonts w:ascii="Arial" w:eastAsia="Arial" w:hAnsi="Arial" w:cs="Arial"/>
                <w:b/>
                <w:bCs/>
                <w:sz w:val="18"/>
                <w:szCs w:val="18"/>
              </w:rPr>
              <w:t>(66)</w:t>
            </w:r>
          </w:p>
        </w:tc>
        <w:tc>
          <w:tcPr>
            <w:tcW w:w="120" w:type="dxa"/>
            <w:vAlign w:val="bottom"/>
          </w:tcPr>
          <w:p w14:paraId="4493BC3B" w14:textId="77777777" w:rsidR="00D1587D" w:rsidRDefault="00D1587D">
            <w:pPr>
              <w:rPr>
                <w:sz w:val="24"/>
                <w:szCs w:val="24"/>
              </w:rPr>
            </w:pPr>
          </w:p>
        </w:tc>
        <w:tc>
          <w:tcPr>
            <w:tcW w:w="780" w:type="dxa"/>
            <w:vAlign w:val="bottom"/>
          </w:tcPr>
          <w:p w14:paraId="72A8FF11" w14:textId="77777777" w:rsidR="00D1587D" w:rsidRDefault="00410D07">
            <w:pPr>
              <w:ind w:right="116"/>
              <w:jc w:val="right"/>
              <w:rPr>
                <w:sz w:val="20"/>
                <w:szCs w:val="20"/>
              </w:rPr>
            </w:pPr>
            <w:r>
              <w:rPr>
                <w:rFonts w:ascii="Arial" w:eastAsia="Arial" w:hAnsi="Arial" w:cs="Arial"/>
                <w:b/>
                <w:bCs/>
                <w:sz w:val="18"/>
                <w:szCs w:val="18"/>
              </w:rPr>
              <w:t>1,181</w:t>
            </w:r>
          </w:p>
        </w:tc>
        <w:tc>
          <w:tcPr>
            <w:tcW w:w="0" w:type="dxa"/>
            <w:vAlign w:val="bottom"/>
          </w:tcPr>
          <w:p w14:paraId="584E34FF" w14:textId="77777777" w:rsidR="00D1587D" w:rsidRDefault="00D1587D">
            <w:pPr>
              <w:rPr>
                <w:sz w:val="1"/>
                <w:szCs w:val="1"/>
              </w:rPr>
            </w:pPr>
          </w:p>
        </w:tc>
      </w:tr>
      <w:tr w:rsidR="00D1587D" w14:paraId="1327C11B" w14:textId="77777777">
        <w:trPr>
          <w:trHeight w:val="27"/>
        </w:trPr>
        <w:tc>
          <w:tcPr>
            <w:tcW w:w="5600" w:type="dxa"/>
            <w:gridSpan w:val="2"/>
            <w:vMerge w:val="restart"/>
            <w:vAlign w:val="bottom"/>
          </w:tcPr>
          <w:p w14:paraId="71382293" w14:textId="77777777" w:rsidR="00D1587D" w:rsidRDefault="00410D07">
            <w:pPr>
              <w:ind w:left="360"/>
              <w:rPr>
                <w:sz w:val="20"/>
                <w:szCs w:val="20"/>
              </w:rPr>
            </w:pPr>
            <w:r>
              <w:rPr>
                <w:rFonts w:ascii="Arial" w:eastAsia="Arial" w:hAnsi="Arial" w:cs="Arial"/>
                <w:w w:val="93"/>
                <w:sz w:val="18"/>
                <w:szCs w:val="18"/>
              </w:rPr>
              <w:t>The following table represents company-operated store data for 2018:</w:t>
            </w:r>
          </w:p>
        </w:tc>
        <w:tc>
          <w:tcPr>
            <w:tcW w:w="740" w:type="dxa"/>
            <w:tcBorders>
              <w:bottom w:val="single" w:sz="8" w:space="0" w:color="auto"/>
            </w:tcBorders>
            <w:vAlign w:val="bottom"/>
          </w:tcPr>
          <w:p w14:paraId="1193437D" w14:textId="77777777" w:rsidR="00D1587D" w:rsidRDefault="00D1587D">
            <w:pPr>
              <w:rPr>
                <w:sz w:val="2"/>
                <w:szCs w:val="2"/>
              </w:rPr>
            </w:pPr>
          </w:p>
        </w:tc>
        <w:tc>
          <w:tcPr>
            <w:tcW w:w="140" w:type="dxa"/>
            <w:vAlign w:val="bottom"/>
          </w:tcPr>
          <w:p w14:paraId="5990BD0B" w14:textId="77777777" w:rsidR="00D1587D" w:rsidRDefault="00D1587D">
            <w:pPr>
              <w:rPr>
                <w:sz w:val="2"/>
                <w:szCs w:val="2"/>
              </w:rPr>
            </w:pPr>
          </w:p>
        </w:tc>
        <w:tc>
          <w:tcPr>
            <w:tcW w:w="480" w:type="dxa"/>
            <w:tcBorders>
              <w:bottom w:val="single" w:sz="8" w:space="0" w:color="auto"/>
            </w:tcBorders>
            <w:vAlign w:val="bottom"/>
          </w:tcPr>
          <w:p w14:paraId="20B13666" w14:textId="77777777" w:rsidR="00D1587D" w:rsidRDefault="00D1587D">
            <w:pPr>
              <w:rPr>
                <w:sz w:val="2"/>
                <w:szCs w:val="2"/>
              </w:rPr>
            </w:pPr>
          </w:p>
        </w:tc>
        <w:tc>
          <w:tcPr>
            <w:tcW w:w="140" w:type="dxa"/>
            <w:vAlign w:val="bottom"/>
          </w:tcPr>
          <w:p w14:paraId="4980B401" w14:textId="77777777" w:rsidR="00D1587D" w:rsidRDefault="00D1587D">
            <w:pPr>
              <w:rPr>
                <w:sz w:val="2"/>
                <w:szCs w:val="2"/>
              </w:rPr>
            </w:pPr>
          </w:p>
        </w:tc>
        <w:tc>
          <w:tcPr>
            <w:tcW w:w="420" w:type="dxa"/>
            <w:tcBorders>
              <w:bottom w:val="single" w:sz="8" w:space="0" w:color="auto"/>
            </w:tcBorders>
            <w:vAlign w:val="bottom"/>
          </w:tcPr>
          <w:p w14:paraId="6986791B" w14:textId="77777777" w:rsidR="00D1587D" w:rsidRDefault="00D1587D">
            <w:pPr>
              <w:rPr>
                <w:sz w:val="2"/>
                <w:szCs w:val="2"/>
              </w:rPr>
            </w:pPr>
          </w:p>
        </w:tc>
        <w:tc>
          <w:tcPr>
            <w:tcW w:w="120" w:type="dxa"/>
            <w:vAlign w:val="bottom"/>
          </w:tcPr>
          <w:p w14:paraId="66E0EC7A" w14:textId="77777777" w:rsidR="00D1587D" w:rsidRDefault="00D1587D">
            <w:pPr>
              <w:rPr>
                <w:sz w:val="2"/>
                <w:szCs w:val="2"/>
              </w:rPr>
            </w:pPr>
          </w:p>
        </w:tc>
        <w:tc>
          <w:tcPr>
            <w:tcW w:w="780" w:type="dxa"/>
            <w:tcBorders>
              <w:bottom w:val="single" w:sz="8" w:space="0" w:color="auto"/>
            </w:tcBorders>
            <w:vAlign w:val="bottom"/>
          </w:tcPr>
          <w:p w14:paraId="5DDD0532" w14:textId="77777777" w:rsidR="00D1587D" w:rsidRDefault="00D1587D">
            <w:pPr>
              <w:rPr>
                <w:sz w:val="2"/>
                <w:szCs w:val="2"/>
              </w:rPr>
            </w:pPr>
          </w:p>
        </w:tc>
        <w:tc>
          <w:tcPr>
            <w:tcW w:w="0" w:type="dxa"/>
            <w:vAlign w:val="bottom"/>
          </w:tcPr>
          <w:p w14:paraId="031D3931" w14:textId="77777777" w:rsidR="00D1587D" w:rsidRDefault="00D1587D">
            <w:pPr>
              <w:rPr>
                <w:sz w:val="1"/>
                <w:szCs w:val="1"/>
              </w:rPr>
            </w:pPr>
          </w:p>
        </w:tc>
      </w:tr>
      <w:tr w:rsidR="00D1587D" w14:paraId="2F7FAF2A" w14:textId="77777777">
        <w:trPr>
          <w:trHeight w:val="21"/>
        </w:trPr>
        <w:tc>
          <w:tcPr>
            <w:tcW w:w="5600" w:type="dxa"/>
            <w:gridSpan w:val="2"/>
            <w:vMerge/>
            <w:vAlign w:val="bottom"/>
          </w:tcPr>
          <w:p w14:paraId="7727D40B" w14:textId="77777777" w:rsidR="00D1587D" w:rsidRDefault="00D1587D">
            <w:pPr>
              <w:spacing w:line="20" w:lineRule="exact"/>
              <w:rPr>
                <w:sz w:val="1"/>
                <w:szCs w:val="1"/>
              </w:rPr>
            </w:pPr>
          </w:p>
        </w:tc>
        <w:tc>
          <w:tcPr>
            <w:tcW w:w="740" w:type="dxa"/>
            <w:tcBorders>
              <w:bottom w:val="single" w:sz="8" w:space="0" w:color="auto"/>
            </w:tcBorders>
            <w:vAlign w:val="bottom"/>
          </w:tcPr>
          <w:p w14:paraId="4DFE936B" w14:textId="77777777" w:rsidR="00D1587D" w:rsidRDefault="00D1587D">
            <w:pPr>
              <w:spacing w:line="20" w:lineRule="exact"/>
              <w:rPr>
                <w:sz w:val="1"/>
                <w:szCs w:val="1"/>
              </w:rPr>
            </w:pPr>
          </w:p>
        </w:tc>
        <w:tc>
          <w:tcPr>
            <w:tcW w:w="140" w:type="dxa"/>
            <w:vAlign w:val="bottom"/>
          </w:tcPr>
          <w:p w14:paraId="3A6A5F97" w14:textId="77777777" w:rsidR="00D1587D" w:rsidRDefault="00D1587D">
            <w:pPr>
              <w:spacing w:line="20" w:lineRule="exact"/>
              <w:rPr>
                <w:sz w:val="1"/>
                <w:szCs w:val="1"/>
              </w:rPr>
            </w:pPr>
          </w:p>
        </w:tc>
        <w:tc>
          <w:tcPr>
            <w:tcW w:w="480" w:type="dxa"/>
            <w:tcBorders>
              <w:bottom w:val="single" w:sz="8" w:space="0" w:color="auto"/>
            </w:tcBorders>
            <w:vAlign w:val="bottom"/>
          </w:tcPr>
          <w:p w14:paraId="1DE1F707" w14:textId="77777777" w:rsidR="00D1587D" w:rsidRDefault="00D1587D">
            <w:pPr>
              <w:spacing w:line="20" w:lineRule="exact"/>
              <w:rPr>
                <w:sz w:val="1"/>
                <w:szCs w:val="1"/>
              </w:rPr>
            </w:pPr>
          </w:p>
        </w:tc>
        <w:tc>
          <w:tcPr>
            <w:tcW w:w="140" w:type="dxa"/>
            <w:vAlign w:val="bottom"/>
          </w:tcPr>
          <w:p w14:paraId="00CE92DA" w14:textId="77777777" w:rsidR="00D1587D" w:rsidRDefault="00D1587D">
            <w:pPr>
              <w:spacing w:line="20" w:lineRule="exact"/>
              <w:rPr>
                <w:sz w:val="1"/>
                <w:szCs w:val="1"/>
              </w:rPr>
            </w:pPr>
          </w:p>
        </w:tc>
        <w:tc>
          <w:tcPr>
            <w:tcW w:w="420" w:type="dxa"/>
            <w:tcBorders>
              <w:bottom w:val="single" w:sz="8" w:space="0" w:color="auto"/>
            </w:tcBorders>
            <w:vAlign w:val="bottom"/>
          </w:tcPr>
          <w:p w14:paraId="0FE4575E" w14:textId="77777777" w:rsidR="00D1587D" w:rsidRDefault="00D1587D">
            <w:pPr>
              <w:spacing w:line="20" w:lineRule="exact"/>
              <w:rPr>
                <w:sz w:val="1"/>
                <w:szCs w:val="1"/>
              </w:rPr>
            </w:pPr>
          </w:p>
        </w:tc>
        <w:tc>
          <w:tcPr>
            <w:tcW w:w="120" w:type="dxa"/>
            <w:vAlign w:val="bottom"/>
          </w:tcPr>
          <w:p w14:paraId="45F85E08" w14:textId="77777777" w:rsidR="00D1587D" w:rsidRDefault="00D1587D">
            <w:pPr>
              <w:spacing w:line="20" w:lineRule="exact"/>
              <w:rPr>
                <w:sz w:val="1"/>
                <w:szCs w:val="1"/>
              </w:rPr>
            </w:pPr>
          </w:p>
        </w:tc>
        <w:tc>
          <w:tcPr>
            <w:tcW w:w="780" w:type="dxa"/>
            <w:tcBorders>
              <w:bottom w:val="single" w:sz="8" w:space="0" w:color="auto"/>
            </w:tcBorders>
            <w:vAlign w:val="bottom"/>
          </w:tcPr>
          <w:p w14:paraId="643C36AD" w14:textId="77777777" w:rsidR="00D1587D" w:rsidRDefault="00D1587D">
            <w:pPr>
              <w:spacing w:line="20" w:lineRule="exact"/>
              <w:rPr>
                <w:sz w:val="1"/>
                <w:szCs w:val="1"/>
              </w:rPr>
            </w:pPr>
          </w:p>
        </w:tc>
        <w:tc>
          <w:tcPr>
            <w:tcW w:w="0" w:type="dxa"/>
            <w:vAlign w:val="bottom"/>
          </w:tcPr>
          <w:p w14:paraId="750A843B" w14:textId="77777777" w:rsidR="00D1587D" w:rsidRDefault="00D1587D">
            <w:pPr>
              <w:rPr>
                <w:sz w:val="1"/>
                <w:szCs w:val="1"/>
              </w:rPr>
            </w:pPr>
          </w:p>
        </w:tc>
      </w:tr>
      <w:tr w:rsidR="00D1587D" w14:paraId="07C537D6" w14:textId="77777777">
        <w:trPr>
          <w:trHeight w:val="318"/>
        </w:trPr>
        <w:tc>
          <w:tcPr>
            <w:tcW w:w="5600" w:type="dxa"/>
            <w:gridSpan w:val="2"/>
            <w:vMerge/>
            <w:vAlign w:val="bottom"/>
          </w:tcPr>
          <w:p w14:paraId="506FAF1B" w14:textId="77777777" w:rsidR="00D1587D" w:rsidRDefault="00D1587D">
            <w:pPr>
              <w:rPr>
                <w:sz w:val="24"/>
                <w:szCs w:val="24"/>
              </w:rPr>
            </w:pPr>
          </w:p>
        </w:tc>
        <w:tc>
          <w:tcPr>
            <w:tcW w:w="740" w:type="dxa"/>
            <w:vAlign w:val="bottom"/>
          </w:tcPr>
          <w:p w14:paraId="679D7845" w14:textId="77777777" w:rsidR="00D1587D" w:rsidRDefault="00D1587D">
            <w:pPr>
              <w:rPr>
                <w:sz w:val="24"/>
                <w:szCs w:val="24"/>
              </w:rPr>
            </w:pPr>
          </w:p>
        </w:tc>
        <w:tc>
          <w:tcPr>
            <w:tcW w:w="140" w:type="dxa"/>
            <w:vAlign w:val="bottom"/>
          </w:tcPr>
          <w:p w14:paraId="1F1BEAA0" w14:textId="77777777" w:rsidR="00D1587D" w:rsidRDefault="00D1587D">
            <w:pPr>
              <w:rPr>
                <w:sz w:val="24"/>
                <w:szCs w:val="24"/>
              </w:rPr>
            </w:pPr>
          </w:p>
        </w:tc>
        <w:tc>
          <w:tcPr>
            <w:tcW w:w="480" w:type="dxa"/>
            <w:vAlign w:val="bottom"/>
          </w:tcPr>
          <w:p w14:paraId="0D04C3C3" w14:textId="77777777" w:rsidR="00D1587D" w:rsidRDefault="00D1587D">
            <w:pPr>
              <w:rPr>
                <w:sz w:val="24"/>
                <w:szCs w:val="24"/>
              </w:rPr>
            </w:pPr>
          </w:p>
        </w:tc>
        <w:tc>
          <w:tcPr>
            <w:tcW w:w="140" w:type="dxa"/>
            <w:vAlign w:val="bottom"/>
          </w:tcPr>
          <w:p w14:paraId="0AD6B5D5" w14:textId="77777777" w:rsidR="00D1587D" w:rsidRDefault="00D1587D">
            <w:pPr>
              <w:rPr>
                <w:sz w:val="24"/>
                <w:szCs w:val="24"/>
              </w:rPr>
            </w:pPr>
          </w:p>
        </w:tc>
        <w:tc>
          <w:tcPr>
            <w:tcW w:w="420" w:type="dxa"/>
            <w:vAlign w:val="bottom"/>
          </w:tcPr>
          <w:p w14:paraId="6A0A6360" w14:textId="77777777" w:rsidR="00D1587D" w:rsidRDefault="00D1587D">
            <w:pPr>
              <w:rPr>
                <w:sz w:val="24"/>
                <w:szCs w:val="24"/>
              </w:rPr>
            </w:pPr>
          </w:p>
        </w:tc>
        <w:tc>
          <w:tcPr>
            <w:tcW w:w="120" w:type="dxa"/>
            <w:vAlign w:val="bottom"/>
          </w:tcPr>
          <w:p w14:paraId="2B934027" w14:textId="77777777" w:rsidR="00D1587D" w:rsidRDefault="00D1587D">
            <w:pPr>
              <w:rPr>
                <w:sz w:val="24"/>
                <w:szCs w:val="24"/>
              </w:rPr>
            </w:pPr>
          </w:p>
        </w:tc>
        <w:tc>
          <w:tcPr>
            <w:tcW w:w="780" w:type="dxa"/>
            <w:vAlign w:val="bottom"/>
          </w:tcPr>
          <w:p w14:paraId="4B10EFAF" w14:textId="77777777" w:rsidR="00D1587D" w:rsidRDefault="00D1587D">
            <w:pPr>
              <w:rPr>
                <w:sz w:val="24"/>
                <w:szCs w:val="24"/>
              </w:rPr>
            </w:pPr>
          </w:p>
        </w:tc>
        <w:tc>
          <w:tcPr>
            <w:tcW w:w="0" w:type="dxa"/>
            <w:vAlign w:val="bottom"/>
          </w:tcPr>
          <w:p w14:paraId="63C7EC68" w14:textId="77777777" w:rsidR="00D1587D" w:rsidRDefault="00D1587D">
            <w:pPr>
              <w:rPr>
                <w:sz w:val="1"/>
                <w:szCs w:val="1"/>
              </w:rPr>
            </w:pPr>
          </w:p>
        </w:tc>
      </w:tr>
      <w:tr w:rsidR="00D1587D" w14:paraId="3A03C80E" w14:textId="77777777">
        <w:trPr>
          <w:trHeight w:val="315"/>
        </w:trPr>
        <w:tc>
          <w:tcPr>
            <w:tcW w:w="5520" w:type="dxa"/>
            <w:vAlign w:val="bottom"/>
          </w:tcPr>
          <w:p w14:paraId="33FBCF5B" w14:textId="77777777" w:rsidR="00D1587D" w:rsidRDefault="00D1587D">
            <w:pPr>
              <w:rPr>
                <w:sz w:val="24"/>
                <w:szCs w:val="24"/>
              </w:rPr>
            </w:pPr>
          </w:p>
        </w:tc>
        <w:tc>
          <w:tcPr>
            <w:tcW w:w="80" w:type="dxa"/>
            <w:vAlign w:val="bottom"/>
          </w:tcPr>
          <w:p w14:paraId="5E4E9BE4" w14:textId="77777777" w:rsidR="00D1587D" w:rsidRDefault="00D1587D">
            <w:pPr>
              <w:rPr>
                <w:sz w:val="24"/>
                <w:szCs w:val="24"/>
              </w:rPr>
            </w:pPr>
          </w:p>
        </w:tc>
        <w:tc>
          <w:tcPr>
            <w:tcW w:w="880" w:type="dxa"/>
            <w:gridSpan w:val="2"/>
            <w:vAlign w:val="bottom"/>
          </w:tcPr>
          <w:p w14:paraId="08BF5EC3" w14:textId="77777777" w:rsidR="00D1587D" w:rsidRDefault="00410D07">
            <w:pPr>
              <w:ind w:right="180"/>
              <w:jc w:val="center"/>
              <w:rPr>
                <w:sz w:val="20"/>
                <w:szCs w:val="20"/>
              </w:rPr>
            </w:pPr>
            <w:r>
              <w:rPr>
                <w:rFonts w:ascii="Arial" w:eastAsia="Arial" w:hAnsi="Arial" w:cs="Arial"/>
                <w:b/>
                <w:bCs/>
                <w:w w:val="90"/>
                <w:sz w:val="14"/>
                <w:szCs w:val="14"/>
              </w:rPr>
              <w:t>Stores at</w:t>
            </w:r>
          </w:p>
        </w:tc>
        <w:tc>
          <w:tcPr>
            <w:tcW w:w="480" w:type="dxa"/>
            <w:vAlign w:val="bottom"/>
          </w:tcPr>
          <w:p w14:paraId="30A305A7" w14:textId="77777777" w:rsidR="00D1587D" w:rsidRDefault="00D1587D">
            <w:pPr>
              <w:rPr>
                <w:sz w:val="24"/>
                <w:szCs w:val="24"/>
              </w:rPr>
            </w:pPr>
          </w:p>
        </w:tc>
        <w:tc>
          <w:tcPr>
            <w:tcW w:w="140" w:type="dxa"/>
            <w:vAlign w:val="bottom"/>
          </w:tcPr>
          <w:p w14:paraId="791CB4F3" w14:textId="77777777" w:rsidR="00D1587D" w:rsidRDefault="00D1587D">
            <w:pPr>
              <w:rPr>
                <w:sz w:val="24"/>
                <w:szCs w:val="24"/>
              </w:rPr>
            </w:pPr>
          </w:p>
        </w:tc>
        <w:tc>
          <w:tcPr>
            <w:tcW w:w="420" w:type="dxa"/>
            <w:vAlign w:val="bottom"/>
          </w:tcPr>
          <w:p w14:paraId="5D56D3F3" w14:textId="77777777" w:rsidR="00D1587D" w:rsidRDefault="00D1587D">
            <w:pPr>
              <w:rPr>
                <w:sz w:val="24"/>
                <w:szCs w:val="24"/>
              </w:rPr>
            </w:pPr>
          </w:p>
        </w:tc>
        <w:tc>
          <w:tcPr>
            <w:tcW w:w="120" w:type="dxa"/>
            <w:vAlign w:val="bottom"/>
          </w:tcPr>
          <w:p w14:paraId="670DECEA" w14:textId="77777777" w:rsidR="00D1587D" w:rsidRDefault="00D1587D">
            <w:pPr>
              <w:rPr>
                <w:sz w:val="24"/>
                <w:szCs w:val="24"/>
              </w:rPr>
            </w:pPr>
          </w:p>
        </w:tc>
        <w:tc>
          <w:tcPr>
            <w:tcW w:w="780" w:type="dxa"/>
            <w:vAlign w:val="bottom"/>
          </w:tcPr>
          <w:p w14:paraId="1C46AC78" w14:textId="77777777" w:rsidR="00D1587D" w:rsidRDefault="00410D07">
            <w:pPr>
              <w:jc w:val="center"/>
              <w:rPr>
                <w:sz w:val="20"/>
                <w:szCs w:val="20"/>
              </w:rPr>
            </w:pPr>
            <w:r>
              <w:rPr>
                <w:rFonts w:ascii="Arial" w:eastAsia="Arial" w:hAnsi="Arial" w:cs="Arial"/>
                <w:b/>
                <w:bCs/>
                <w:w w:val="90"/>
                <w:sz w:val="14"/>
                <w:szCs w:val="14"/>
              </w:rPr>
              <w:t>Stores at</w:t>
            </w:r>
          </w:p>
        </w:tc>
        <w:tc>
          <w:tcPr>
            <w:tcW w:w="0" w:type="dxa"/>
            <w:vAlign w:val="bottom"/>
          </w:tcPr>
          <w:p w14:paraId="5E533ACE" w14:textId="77777777" w:rsidR="00D1587D" w:rsidRDefault="00D1587D">
            <w:pPr>
              <w:rPr>
                <w:sz w:val="1"/>
                <w:szCs w:val="1"/>
              </w:rPr>
            </w:pPr>
          </w:p>
        </w:tc>
      </w:tr>
      <w:tr w:rsidR="00D1587D" w14:paraId="3408AF79" w14:textId="77777777">
        <w:trPr>
          <w:trHeight w:val="149"/>
        </w:trPr>
        <w:tc>
          <w:tcPr>
            <w:tcW w:w="5520" w:type="dxa"/>
            <w:vAlign w:val="bottom"/>
          </w:tcPr>
          <w:p w14:paraId="3E1E850C" w14:textId="77777777" w:rsidR="00D1587D" w:rsidRDefault="00D1587D">
            <w:pPr>
              <w:rPr>
                <w:sz w:val="12"/>
                <w:szCs w:val="12"/>
              </w:rPr>
            </w:pPr>
          </w:p>
        </w:tc>
        <w:tc>
          <w:tcPr>
            <w:tcW w:w="80" w:type="dxa"/>
            <w:vAlign w:val="bottom"/>
          </w:tcPr>
          <w:p w14:paraId="33E2ED89" w14:textId="77777777" w:rsidR="00D1587D" w:rsidRDefault="00D1587D">
            <w:pPr>
              <w:rPr>
                <w:sz w:val="12"/>
                <w:szCs w:val="12"/>
              </w:rPr>
            </w:pPr>
          </w:p>
        </w:tc>
        <w:tc>
          <w:tcPr>
            <w:tcW w:w="880" w:type="dxa"/>
            <w:gridSpan w:val="2"/>
            <w:vAlign w:val="bottom"/>
          </w:tcPr>
          <w:p w14:paraId="23BF61E2" w14:textId="77777777" w:rsidR="00D1587D" w:rsidRDefault="00410D07">
            <w:pPr>
              <w:spacing w:line="149" w:lineRule="exact"/>
              <w:ind w:right="160"/>
              <w:jc w:val="center"/>
              <w:rPr>
                <w:sz w:val="20"/>
                <w:szCs w:val="20"/>
              </w:rPr>
            </w:pPr>
            <w:r>
              <w:rPr>
                <w:rFonts w:ascii="Arial" w:eastAsia="Arial" w:hAnsi="Arial" w:cs="Arial"/>
                <w:b/>
                <w:bCs/>
                <w:w w:val="95"/>
                <w:sz w:val="14"/>
                <w:szCs w:val="14"/>
              </w:rPr>
              <w:t>February 3,</w:t>
            </w:r>
          </w:p>
        </w:tc>
        <w:tc>
          <w:tcPr>
            <w:tcW w:w="620" w:type="dxa"/>
            <w:gridSpan w:val="2"/>
            <w:vMerge w:val="restart"/>
            <w:vAlign w:val="bottom"/>
          </w:tcPr>
          <w:p w14:paraId="001AEF07" w14:textId="77777777" w:rsidR="00D1587D" w:rsidRDefault="00410D07">
            <w:pPr>
              <w:rPr>
                <w:sz w:val="20"/>
                <w:szCs w:val="20"/>
              </w:rPr>
            </w:pPr>
            <w:r>
              <w:rPr>
                <w:rFonts w:ascii="Arial" w:eastAsia="Arial" w:hAnsi="Arial" w:cs="Arial"/>
                <w:b/>
                <w:bCs/>
                <w:sz w:val="14"/>
                <w:szCs w:val="14"/>
              </w:rPr>
              <w:t>Opened</w:t>
            </w:r>
          </w:p>
        </w:tc>
        <w:tc>
          <w:tcPr>
            <w:tcW w:w="540" w:type="dxa"/>
            <w:gridSpan w:val="2"/>
            <w:vMerge w:val="restart"/>
            <w:vAlign w:val="bottom"/>
          </w:tcPr>
          <w:p w14:paraId="24507D71" w14:textId="77777777" w:rsidR="00D1587D" w:rsidRDefault="00410D07">
            <w:pPr>
              <w:rPr>
                <w:sz w:val="20"/>
                <w:szCs w:val="20"/>
              </w:rPr>
            </w:pPr>
            <w:r>
              <w:rPr>
                <w:rFonts w:ascii="Arial" w:eastAsia="Arial" w:hAnsi="Arial" w:cs="Arial"/>
                <w:b/>
                <w:bCs/>
                <w:sz w:val="14"/>
                <w:szCs w:val="14"/>
              </w:rPr>
              <w:t>Closed</w:t>
            </w:r>
          </w:p>
        </w:tc>
        <w:tc>
          <w:tcPr>
            <w:tcW w:w="780" w:type="dxa"/>
            <w:vAlign w:val="bottom"/>
          </w:tcPr>
          <w:p w14:paraId="3EE91DBC" w14:textId="77777777" w:rsidR="00D1587D" w:rsidRDefault="00410D07">
            <w:pPr>
              <w:spacing w:line="149" w:lineRule="exact"/>
              <w:jc w:val="center"/>
              <w:rPr>
                <w:sz w:val="20"/>
                <w:szCs w:val="20"/>
              </w:rPr>
            </w:pPr>
            <w:r>
              <w:rPr>
                <w:rFonts w:ascii="Arial" w:eastAsia="Arial" w:hAnsi="Arial" w:cs="Arial"/>
                <w:b/>
                <w:bCs/>
                <w:w w:val="97"/>
                <w:sz w:val="14"/>
                <w:szCs w:val="14"/>
              </w:rPr>
              <w:t>February 2,</w:t>
            </w:r>
          </w:p>
        </w:tc>
        <w:tc>
          <w:tcPr>
            <w:tcW w:w="0" w:type="dxa"/>
            <w:vAlign w:val="bottom"/>
          </w:tcPr>
          <w:p w14:paraId="10269AAE" w14:textId="77777777" w:rsidR="00D1587D" w:rsidRDefault="00D1587D">
            <w:pPr>
              <w:rPr>
                <w:sz w:val="1"/>
                <w:szCs w:val="1"/>
              </w:rPr>
            </w:pPr>
          </w:p>
        </w:tc>
      </w:tr>
      <w:tr w:rsidR="00D1587D" w14:paraId="2CFDC424" w14:textId="77777777">
        <w:trPr>
          <w:trHeight w:val="186"/>
        </w:trPr>
        <w:tc>
          <w:tcPr>
            <w:tcW w:w="5520" w:type="dxa"/>
            <w:vAlign w:val="bottom"/>
          </w:tcPr>
          <w:p w14:paraId="4C407984" w14:textId="77777777" w:rsidR="00D1587D" w:rsidRDefault="00D1587D">
            <w:pPr>
              <w:rPr>
                <w:sz w:val="16"/>
                <w:szCs w:val="16"/>
              </w:rPr>
            </w:pPr>
          </w:p>
        </w:tc>
        <w:tc>
          <w:tcPr>
            <w:tcW w:w="80" w:type="dxa"/>
            <w:vAlign w:val="bottom"/>
          </w:tcPr>
          <w:p w14:paraId="60829E82" w14:textId="77777777" w:rsidR="00D1587D" w:rsidRDefault="00D1587D">
            <w:pPr>
              <w:rPr>
                <w:sz w:val="16"/>
                <w:szCs w:val="16"/>
              </w:rPr>
            </w:pPr>
          </w:p>
        </w:tc>
        <w:tc>
          <w:tcPr>
            <w:tcW w:w="740" w:type="dxa"/>
            <w:vAlign w:val="bottom"/>
          </w:tcPr>
          <w:p w14:paraId="0E07CE1A" w14:textId="77777777" w:rsidR="00D1587D" w:rsidRDefault="00410D07">
            <w:pPr>
              <w:jc w:val="center"/>
              <w:rPr>
                <w:sz w:val="20"/>
                <w:szCs w:val="20"/>
              </w:rPr>
            </w:pPr>
            <w:r>
              <w:rPr>
                <w:rFonts w:ascii="Arial" w:eastAsia="Arial" w:hAnsi="Arial" w:cs="Arial"/>
                <w:b/>
                <w:bCs/>
                <w:w w:val="89"/>
                <w:sz w:val="14"/>
                <w:szCs w:val="14"/>
              </w:rPr>
              <w:t>2018</w:t>
            </w:r>
          </w:p>
        </w:tc>
        <w:tc>
          <w:tcPr>
            <w:tcW w:w="140" w:type="dxa"/>
            <w:vAlign w:val="bottom"/>
          </w:tcPr>
          <w:p w14:paraId="5C7A6BFF" w14:textId="77777777" w:rsidR="00D1587D" w:rsidRDefault="00D1587D">
            <w:pPr>
              <w:rPr>
                <w:sz w:val="16"/>
                <w:szCs w:val="16"/>
              </w:rPr>
            </w:pPr>
          </w:p>
        </w:tc>
        <w:tc>
          <w:tcPr>
            <w:tcW w:w="620" w:type="dxa"/>
            <w:gridSpan w:val="2"/>
            <w:vMerge/>
            <w:vAlign w:val="bottom"/>
          </w:tcPr>
          <w:p w14:paraId="5F8E0A73" w14:textId="77777777" w:rsidR="00D1587D" w:rsidRDefault="00D1587D">
            <w:pPr>
              <w:rPr>
                <w:sz w:val="16"/>
                <w:szCs w:val="16"/>
              </w:rPr>
            </w:pPr>
          </w:p>
        </w:tc>
        <w:tc>
          <w:tcPr>
            <w:tcW w:w="540" w:type="dxa"/>
            <w:gridSpan w:val="2"/>
            <w:vMerge/>
            <w:vAlign w:val="bottom"/>
          </w:tcPr>
          <w:p w14:paraId="6733BE6F" w14:textId="77777777" w:rsidR="00D1587D" w:rsidRDefault="00D1587D">
            <w:pPr>
              <w:rPr>
                <w:sz w:val="16"/>
                <w:szCs w:val="16"/>
              </w:rPr>
            </w:pPr>
          </w:p>
        </w:tc>
        <w:tc>
          <w:tcPr>
            <w:tcW w:w="780" w:type="dxa"/>
            <w:vAlign w:val="bottom"/>
          </w:tcPr>
          <w:p w14:paraId="471D8E4D" w14:textId="77777777" w:rsidR="00D1587D" w:rsidRDefault="00410D07">
            <w:pPr>
              <w:jc w:val="center"/>
              <w:rPr>
                <w:sz w:val="20"/>
                <w:szCs w:val="20"/>
              </w:rPr>
            </w:pPr>
            <w:r>
              <w:rPr>
                <w:rFonts w:ascii="Arial" w:eastAsia="Arial" w:hAnsi="Arial" w:cs="Arial"/>
                <w:b/>
                <w:bCs/>
                <w:w w:val="96"/>
                <w:sz w:val="14"/>
                <w:szCs w:val="14"/>
              </w:rPr>
              <w:t>2019</w:t>
            </w:r>
          </w:p>
        </w:tc>
        <w:tc>
          <w:tcPr>
            <w:tcW w:w="0" w:type="dxa"/>
            <w:vAlign w:val="bottom"/>
          </w:tcPr>
          <w:p w14:paraId="53E901FA" w14:textId="77777777" w:rsidR="00D1587D" w:rsidRDefault="00D1587D">
            <w:pPr>
              <w:rPr>
                <w:sz w:val="1"/>
                <w:szCs w:val="1"/>
              </w:rPr>
            </w:pPr>
          </w:p>
        </w:tc>
      </w:tr>
      <w:tr w:rsidR="00D1587D" w14:paraId="780B3DFE" w14:textId="77777777">
        <w:trPr>
          <w:trHeight w:val="53"/>
        </w:trPr>
        <w:tc>
          <w:tcPr>
            <w:tcW w:w="5600" w:type="dxa"/>
            <w:gridSpan w:val="2"/>
            <w:tcBorders>
              <w:bottom w:val="single" w:sz="8" w:space="0" w:color="CCEEFF"/>
            </w:tcBorders>
            <w:vAlign w:val="bottom"/>
          </w:tcPr>
          <w:p w14:paraId="1E5A5745" w14:textId="77777777" w:rsidR="00D1587D" w:rsidRDefault="00D1587D">
            <w:pPr>
              <w:rPr>
                <w:sz w:val="4"/>
                <w:szCs w:val="4"/>
              </w:rPr>
            </w:pPr>
          </w:p>
        </w:tc>
        <w:tc>
          <w:tcPr>
            <w:tcW w:w="740" w:type="dxa"/>
            <w:tcBorders>
              <w:bottom w:val="single" w:sz="8" w:space="0" w:color="auto"/>
            </w:tcBorders>
            <w:vAlign w:val="bottom"/>
          </w:tcPr>
          <w:p w14:paraId="0AD2C2C5" w14:textId="77777777" w:rsidR="00D1587D" w:rsidRDefault="00D1587D">
            <w:pPr>
              <w:rPr>
                <w:sz w:val="4"/>
                <w:szCs w:val="4"/>
              </w:rPr>
            </w:pPr>
          </w:p>
        </w:tc>
        <w:tc>
          <w:tcPr>
            <w:tcW w:w="140" w:type="dxa"/>
            <w:tcBorders>
              <w:bottom w:val="single" w:sz="8" w:space="0" w:color="CCEEFF"/>
            </w:tcBorders>
            <w:vAlign w:val="bottom"/>
          </w:tcPr>
          <w:p w14:paraId="5286A4BB" w14:textId="77777777" w:rsidR="00D1587D" w:rsidRDefault="00D1587D">
            <w:pPr>
              <w:rPr>
                <w:sz w:val="4"/>
                <w:szCs w:val="4"/>
              </w:rPr>
            </w:pPr>
          </w:p>
        </w:tc>
        <w:tc>
          <w:tcPr>
            <w:tcW w:w="480" w:type="dxa"/>
            <w:tcBorders>
              <w:bottom w:val="single" w:sz="8" w:space="0" w:color="auto"/>
            </w:tcBorders>
            <w:vAlign w:val="bottom"/>
          </w:tcPr>
          <w:p w14:paraId="126A775F" w14:textId="77777777" w:rsidR="00D1587D" w:rsidRDefault="00D1587D">
            <w:pPr>
              <w:rPr>
                <w:sz w:val="4"/>
                <w:szCs w:val="4"/>
              </w:rPr>
            </w:pPr>
          </w:p>
        </w:tc>
        <w:tc>
          <w:tcPr>
            <w:tcW w:w="140" w:type="dxa"/>
            <w:tcBorders>
              <w:bottom w:val="single" w:sz="8" w:space="0" w:color="CCEEFF"/>
            </w:tcBorders>
            <w:vAlign w:val="bottom"/>
          </w:tcPr>
          <w:p w14:paraId="19723E66" w14:textId="77777777" w:rsidR="00D1587D" w:rsidRDefault="00D1587D">
            <w:pPr>
              <w:rPr>
                <w:sz w:val="4"/>
                <w:szCs w:val="4"/>
              </w:rPr>
            </w:pPr>
          </w:p>
        </w:tc>
        <w:tc>
          <w:tcPr>
            <w:tcW w:w="420" w:type="dxa"/>
            <w:tcBorders>
              <w:bottom w:val="single" w:sz="8" w:space="0" w:color="auto"/>
            </w:tcBorders>
            <w:vAlign w:val="bottom"/>
          </w:tcPr>
          <w:p w14:paraId="4ED07C16" w14:textId="77777777" w:rsidR="00D1587D" w:rsidRDefault="00D1587D">
            <w:pPr>
              <w:rPr>
                <w:sz w:val="4"/>
                <w:szCs w:val="4"/>
              </w:rPr>
            </w:pPr>
          </w:p>
        </w:tc>
        <w:tc>
          <w:tcPr>
            <w:tcW w:w="120" w:type="dxa"/>
            <w:tcBorders>
              <w:bottom w:val="single" w:sz="8" w:space="0" w:color="CCEEFF"/>
            </w:tcBorders>
            <w:vAlign w:val="bottom"/>
          </w:tcPr>
          <w:p w14:paraId="2F353834" w14:textId="77777777" w:rsidR="00D1587D" w:rsidRDefault="00D1587D">
            <w:pPr>
              <w:rPr>
                <w:sz w:val="4"/>
                <w:szCs w:val="4"/>
              </w:rPr>
            </w:pPr>
          </w:p>
        </w:tc>
        <w:tc>
          <w:tcPr>
            <w:tcW w:w="780" w:type="dxa"/>
            <w:tcBorders>
              <w:bottom w:val="single" w:sz="8" w:space="0" w:color="auto"/>
            </w:tcBorders>
            <w:vAlign w:val="bottom"/>
          </w:tcPr>
          <w:p w14:paraId="27B9DF0F" w14:textId="77777777" w:rsidR="00D1587D" w:rsidRDefault="00D1587D">
            <w:pPr>
              <w:rPr>
                <w:sz w:val="4"/>
                <w:szCs w:val="4"/>
              </w:rPr>
            </w:pPr>
          </w:p>
        </w:tc>
        <w:tc>
          <w:tcPr>
            <w:tcW w:w="0" w:type="dxa"/>
            <w:vAlign w:val="bottom"/>
          </w:tcPr>
          <w:p w14:paraId="20AF16D2" w14:textId="77777777" w:rsidR="00D1587D" w:rsidRDefault="00D1587D">
            <w:pPr>
              <w:rPr>
                <w:sz w:val="1"/>
                <w:szCs w:val="1"/>
              </w:rPr>
            </w:pPr>
          </w:p>
        </w:tc>
      </w:tr>
      <w:tr w:rsidR="00D1587D" w14:paraId="3ACA9ACB" w14:textId="77777777">
        <w:trPr>
          <w:trHeight w:val="298"/>
        </w:trPr>
        <w:tc>
          <w:tcPr>
            <w:tcW w:w="5600" w:type="dxa"/>
            <w:gridSpan w:val="2"/>
            <w:tcBorders>
              <w:bottom w:val="single" w:sz="8" w:space="0" w:color="CCEEFF"/>
            </w:tcBorders>
            <w:shd w:val="clear" w:color="auto" w:fill="CCEEFF"/>
            <w:vAlign w:val="bottom"/>
          </w:tcPr>
          <w:p w14:paraId="625632F5" w14:textId="77777777" w:rsidR="00D1587D" w:rsidRDefault="00410D07">
            <w:pPr>
              <w:rPr>
                <w:sz w:val="20"/>
                <w:szCs w:val="20"/>
              </w:rPr>
            </w:pPr>
            <w:r>
              <w:rPr>
                <w:rFonts w:ascii="Arial" w:eastAsia="Arial" w:hAnsi="Arial" w:cs="Arial"/>
                <w:sz w:val="18"/>
                <w:szCs w:val="18"/>
              </w:rPr>
              <w:t>U.S.</w:t>
            </w:r>
          </w:p>
        </w:tc>
        <w:tc>
          <w:tcPr>
            <w:tcW w:w="740" w:type="dxa"/>
            <w:tcBorders>
              <w:bottom w:val="single" w:sz="8" w:space="0" w:color="CCEEFF"/>
            </w:tcBorders>
            <w:shd w:val="clear" w:color="auto" w:fill="CCEEFF"/>
            <w:vAlign w:val="bottom"/>
          </w:tcPr>
          <w:p w14:paraId="1FEDBA3F" w14:textId="77777777" w:rsidR="00D1587D" w:rsidRDefault="00410D07">
            <w:pPr>
              <w:ind w:right="96"/>
              <w:jc w:val="right"/>
              <w:rPr>
                <w:sz w:val="20"/>
                <w:szCs w:val="20"/>
              </w:rPr>
            </w:pPr>
            <w:r>
              <w:rPr>
                <w:rFonts w:ascii="Arial" w:eastAsia="Arial" w:hAnsi="Arial" w:cs="Arial"/>
                <w:sz w:val="18"/>
                <w:szCs w:val="18"/>
              </w:rPr>
              <w:t>1,124</w:t>
            </w:r>
          </w:p>
        </w:tc>
        <w:tc>
          <w:tcPr>
            <w:tcW w:w="140" w:type="dxa"/>
            <w:tcBorders>
              <w:bottom w:val="single" w:sz="8" w:space="0" w:color="CCEEFF"/>
            </w:tcBorders>
            <w:shd w:val="clear" w:color="auto" w:fill="CCEEFF"/>
            <w:vAlign w:val="bottom"/>
          </w:tcPr>
          <w:p w14:paraId="7E0EC32C" w14:textId="77777777" w:rsidR="00D1587D" w:rsidRDefault="00D1587D">
            <w:pPr>
              <w:rPr>
                <w:sz w:val="24"/>
                <w:szCs w:val="24"/>
              </w:rPr>
            </w:pPr>
          </w:p>
        </w:tc>
        <w:tc>
          <w:tcPr>
            <w:tcW w:w="480" w:type="dxa"/>
            <w:tcBorders>
              <w:bottom w:val="single" w:sz="8" w:space="0" w:color="CCEEFF"/>
            </w:tcBorders>
            <w:shd w:val="clear" w:color="auto" w:fill="CCEEFF"/>
            <w:vAlign w:val="bottom"/>
          </w:tcPr>
          <w:p w14:paraId="17626958" w14:textId="77777777" w:rsidR="00D1587D" w:rsidRDefault="00410D07">
            <w:pPr>
              <w:ind w:right="73"/>
              <w:jc w:val="right"/>
              <w:rPr>
                <w:sz w:val="20"/>
                <w:szCs w:val="20"/>
              </w:rPr>
            </w:pPr>
            <w:r>
              <w:rPr>
                <w:rFonts w:ascii="Arial" w:eastAsia="Arial" w:hAnsi="Arial" w:cs="Arial"/>
                <w:sz w:val="18"/>
                <w:szCs w:val="18"/>
              </w:rPr>
              <w:t>3</w:t>
            </w:r>
          </w:p>
        </w:tc>
        <w:tc>
          <w:tcPr>
            <w:tcW w:w="140" w:type="dxa"/>
            <w:tcBorders>
              <w:bottom w:val="single" w:sz="8" w:space="0" w:color="CCEEFF"/>
            </w:tcBorders>
            <w:shd w:val="clear" w:color="auto" w:fill="CCEEFF"/>
            <w:vAlign w:val="bottom"/>
          </w:tcPr>
          <w:p w14:paraId="35702046" w14:textId="77777777" w:rsidR="00D1587D" w:rsidRDefault="00D1587D">
            <w:pPr>
              <w:rPr>
                <w:sz w:val="24"/>
                <w:szCs w:val="24"/>
              </w:rPr>
            </w:pPr>
          </w:p>
        </w:tc>
        <w:tc>
          <w:tcPr>
            <w:tcW w:w="420" w:type="dxa"/>
            <w:tcBorders>
              <w:bottom w:val="single" w:sz="8" w:space="0" w:color="CCEEFF"/>
            </w:tcBorders>
            <w:shd w:val="clear" w:color="auto" w:fill="CCEEFF"/>
            <w:vAlign w:val="bottom"/>
          </w:tcPr>
          <w:p w14:paraId="2992E5F6" w14:textId="77777777" w:rsidR="00D1587D" w:rsidRDefault="00410D07">
            <w:pPr>
              <w:jc w:val="right"/>
              <w:rPr>
                <w:sz w:val="20"/>
                <w:szCs w:val="20"/>
              </w:rPr>
            </w:pPr>
            <w:r>
              <w:rPr>
                <w:rFonts w:ascii="Arial" w:eastAsia="Arial" w:hAnsi="Arial" w:cs="Arial"/>
                <w:sz w:val="18"/>
                <w:szCs w:val="18"/>
              </w:rPr>
              <w:t>(29)</w:t>
            </w:r>
          </w:p>
        </w:tc>
        <w:tc>
          <w:tcPr>
            <w:tcW w:w="120" w:type="dxa"/>
            <w:tcBorders>
              <w:bottom w:val="single" w:sz="8" w:space="0" w:color="CCEEFF"/>
            </w:tcBorders>
            <w:shd w:val="clear" w:color="auto" w:fill="CCEEFF"/>
            <w:vAlign w:val="bottom"/>
          </w:tcPr>
          <w:p w14:paraId="038CE19E" w14:textId="77777777" w:rsidR="00D1587D" w:rsidRDefault="00D1587D">
            <w:pPr>
              <w:rPr>
                <w:sz w:val="24"/>
                <w:szCs w:val="24"/>
              </w:rPr>
            </w:pPr>
          </w:p>
        </w:tc>
        <w:tc>
          <w:tcPr>
            <w:tcW w:w="780" w:type="dxa"/>
            <w:tcBorders>
              <w:bottom w:val="single" w:sz="8" w:space="0" w:color="CCEEFF"/>
            </w:tcBorders>
            <w:shd w:val="clear" w:color="auto" w:fill="CCEEFF"/>
            <w:vAlign w:val="bottom"/>
          </w:tcPr>
          <w:p w14:paraId="4EB8164E" w14:textId="77777777" w:rsidR="00D1587D" w:rsidRDefault="00410D07">
            <w:pPr>
              <w:ind w:right="116"/>
              <w:jc w:val="right"/>
              <w:rPr>
                <w:sz w:val="20"/>
                <w:szCs w:val="20"/>
              </w:rPr>
            </w:pPr>
            <w:r>
              <w:rPr>
                <w:rFonts w:ascii="Arial" w:eastAsia="Arial" w:hAnsi="Arial" w:cs="Arial"/>
                <w:sz w:val="18"/>
                <w:szCs w:val="18"/>
              </w:rPr>
              <w:t>1,098</w:t>
            </w:r>
          </w:p>
        </w:tc>
        <w:tc>
          <w:tcPr>
            <w:tcW w:w="0" w:type="dxa"/>
            <w:vAlign w:val="bottom"/>
          </w:tcPr>
          <w:p w14:paraId="073C991D" w14:textId="77777777" w:rsidR="00D1587D" w:rsidRDefault="00D1587D">
            <w:pPr>
              <w:rPr>
                <w:sz w:val="1"/>
                <w:szCs w:val="1"/>
              </w:rPr>
            </w:pPr>
          </w:p>
        </w:tc>
      </w:tr>
      <w:tr w:rsidR="00D1587D" w14:paraId="6AC66FAE" w14:textId="77777777">
        <w:trPr>
          <w:trHeight w:val="257"/>
        </w:trPr>
        <w:tc>
          <w:tcPr>
            <w:tcW w:w="5600" w:type="dxa"/>
            <w:gridSpan w:val="2"/>
            <w:vAlign w:val="bottom"/>
          </w:tcPr>
          <w:p w14:paraId="09A12C80" w14:textId="77777777" w:rsidR="00D1587D" w:rsidRDefault="00410D07">
            <w:pPr>
              <w:rPr>
                <w:sz w:val="20"/>
                <w:szCs w:val="20"/>
              </w:rPr>
            </w:pPr>
            <w:r>
              <w:rPr>
                <w:rFonts w:ascii="Arial" w:eastAsia="Arial" w:hAnsi="Arial" w:cs="Arial"/>
                <w:sz w:val="18"/>
                <w:szCs w:val="18"/>
              </w:rPr>
              <w:t>Canada</w:t>
            </w:r>
          </w:p>
        </w:tc>
        <w:tc>
          <w:tcPr>
            <w:tcW w:w="740" w:type="dxa"/>
            <w:vAlign w:val="bottom"/>
          </w:tcPr>
          <w:p w14:paraId="0734DA4F" w14:textId="77777777" w:rsidR="00D1587D" w:rsidRDefault="00410D07">
            <w:pPr>
              <w:ind w:right="96"/>
              <w:jc w:val="right"/>
              <w:rPr>
                <w:sz w:val="20"/>
                <w:szCs w:val="20"/>
              </w:rPr>
            </w:pPr>
            <w:r>
              <w:rPr>
                <w:rFonts w:ascii="Arial" w:eastAsia="Arial" w:hAnsi="Arial" w:cs="Arial"/>
                <w:sz w:val="18"/>
                <w:szCs w:val="18"/>
              </w:rPr>
              <w:t>46</w:t>
            </w:r>
          </w:p>
        </w:tc>
        <w:tc>
          <w:tcPr>
            <w:tcW w:w="140" w:type="dxa"/>
            <w:vAlign w:val="bottom"/>
          </w:tcPr>
          <w:p w14:paraId="11A7B7D5" w14:textId="77777777" w:rsidR="00D1587D" w:rsidRDefault="00D1587D"/>
        </w:tc>
        <w:tc>
          <w:tcPr>
            <w:tcW w:w="620" w:type="dxa"/>
            <w:gridSpan w:val="2"/>
            <w:vAlign w:val="bottom"/>
          </w:tcPr>
          <w:p w14:paraId="6A442385" w14:textId="77777777" w:rsidR="00D1587D" w:rsidRDefault="00410D07">
            <w:pPr>
              <w:ind w:right="300"/>
              <w:jc w:val="right"/>
              <w:rPr>
                <w:sz w:val="20"/>
                <w:szCs w:val="20"/>
              </w:rPr>
            </w:pPr>
            <w:r>
              <w:rPr>
                <w:rFonts w:ascii="Arial" w:eastAsia="Arial" w:hAnsi="Arial" w:cs="Arial"/>
                <w:sz w:val="18"/>
                <w:szCs w:val="18"/>
              </w:rPr>
              <w:t>—</w:t>
            </w:r>
          </w:p>
        </w:tc>
        <w:tc>
          <w:tcPr>
            <w:tcW w:w="420" w:type="dxa"/>
            <w:vAlign w:val="bottom"/>
          </w:tcPr>
          <w:p w14:paraId="5313878C" w14:textId="77777777" w:rsidR="00D1587D" w:rsidRDefault="00410D07">
            <w:pPr>
              <w:jc w:val="right"/>
              <w:rPr>
                <w:sz w:val="20"/>
                <w:szCs w:val="20"/>
              </w:rPr>
            </w:pPr>
            <w:r>
              <w:rPr>
                <w:rFonts w:ascii="Arial" w:eastAsia="Arial" w:hAnsi="Arial" w:cs="Arial"/>
                <w:sz w:val="18"/>
                <w:szCs w:val="18"/>
              </w:rPr>
              <w:t>(1)</w:t>
            </w:r>
          </w:p>
        </w:tc>
        <w:tc>
          <w:tcPr>
            <w:tcW w:w="120" w:type="dxa"/>
            <w:vAlign w:val="bottom"/>
          </w:tcPr>
          <w:p w14:paraId="2F43E4B8" w14:textId="77777777" w:rsidR="00D1587D" w:rsidRDefault="00D1587D"/>
        </w:tc>
        <w:tc>
          <w:tcPr>
            <w:tcW w:w="780" w:type="dxa"/>
            <w:vAlign w:val="bottom"/>
          </w:tcPr>
          <w:p w14:paraId="5AAA3F08" w14:textId="77777777" w:rsidR="00D1587D" w:rsidRDefault="00410D07">
            <w:pPr>
              <w:ind w:right="136"/>
              <w:jc w:val="right"/>
              <w:rPr>
                <w:sz w:val="20"/>
                <w:szCs w:val="20"/>
              </w:rPr>
            </w:pPr>
            <w:r>
              <w:rPr>
                <w:rFonts w:ascii="Arial" w:eastAsia="Arial" w:hAnsi="Arial" w:cs="Arial"/>
                <w:sz w:val="18"/>
                <w:szCs w:val="18"/>
              </w:rPr>
              <w:t>45</w:t>
            </w:r>
          </w:p>
        </w:tc>
        <w:tc>
          <w:tcPr>
            <w:tcW w:w="0" w:type="dxa"/>
            <w:vAlign w:val="bottom"/>
          </w:tcPr>
          <w:p w14:paraId="50410E17" w14:textId="77777777" w:rsidR="00D1587D" w:rsidRDefault="00D1587D">
            <w:pPr>
              <w:rPr>
                <w:sz w:val="1"/>
                <w:szCs w:val="1"/>
              </w:rPr>
            </w:pPr>
          </w:p>
        </w:tc>
      </w:tr>
      <w:tr w:rsidR="00D1587D" w14:paraId="59006294" w14:textId="77777777">
        <w:trPr>
          <w:trHeight w:val="40"/>
        </w:trPr>
        <w:tc>
          <w:tcPr>
            <w:tcW w:w="5600" w:type="dxa"/>
            <w:gridSpan w:val="2"/>
            <w:vAlign w:val="bottom"/>
          </w:tcPr>
          <w:p w14:paraId="59B7528E" w14:textId="77777777" w:rsidR="00D1587D" w:rsidRDefault="00D1587D">
            <w:pPr>
              <w:rPr>
                <w:sz w:val="3"/>
                <w:szCs w:val="3"/>
              </w:rPr>
            </w:pPr>
          </w:p>
        </w:tc>
        <w:tc>
          <w:tcPr>
            <w:tcW w:w="740" w:type="dxa"/>
            <w:vAlign w:val="bottom"/>
          </w:tcPr>
          <w:p w14:paraId="68E70499" w14:textId="77777777" w:rsidR="00D1587D" w:rsidRDefault="00D1587D">
            <w:pPr>
              <w:rPr>
                <w:sz w:val="3"/>
                <w:szCs w:val="3"/>
              </w:rPr>
            </w:pPr>
          </w:p>
        </w:tc>
        <w:tc>
          <w:tcPr>
            <w:tcW w:w="140" w:type="dxa"/>
            <w:vAlign w:val="bottom"/>
          </w:tcPr>
          <w:p w14:paraId="01A85AD2" w14:textId="77777777" w:rsidR="00D1587D" w:rsidRDefault="00D1587D">
            <w:pPr>
              <w:rPr>
                <w:sz w:val="3"/>
                <w:szCs w:val="3"/>
              </w:rPr>
            </w:pPr>
          </w:p>
        </w:tc>
        <w:tc>
          <w:tcPr>
            <w:tcW w:w="480" w:type="dxa"/>
            <w:vAlign w:val="bottom"/>
          </w:tcPr>
          <w:p w14:paraId="32B0D9B8" w14:textId="77777777" w:rsidR="00D1587D" w:rsidRDefault="00D1587D">
            <w:pPr>
              <w:rPr>
                <w:sz w:val="3"/>
                <w:szCs w:val="3"/>
              </w:rPr>
            </w:pPr>
          </w:p>
        </w:tc>
        <w:tc>
          <w:tcPr>
            <w:tcW w:w="140" w:type="dxa"/>
            <w:vAlign w:val="bottom"/>
          </w:tcPr>
          <w:p w14:paraId="459D40DC" w14:textId="77777777" w:rsidR="00D1587D" w:rsidRDefault="00D1587D">
            <w:pPr>
              <w:rPr>
                <w:sz w:val="3"/>
                <w:szCs w:val="3"/>
              </w:rPr>
            </w:pPr>
          </w:p>
        </w:tc>
        <w:tc>
          <w:tcPr>
            <w:tcW w:w="540" w:type="dxa"/>
            <w:gridSpan w:val="2"/>
            <w:vAlign w:val="bottom"/>
          </w:tcPr>
          <w:p w14:paraId="3CCE152C" w14:textId="77777777" w:rsidR="00D1587D" w:rsidRDefault="00D1587D">
            <w:pPr>
              <w:rPr>
                <w:sz w:val="3"/>
                <w:szCs w:val="3"/>
              </w:rPr>
            </w:pPr>
          </w:p>
        </w:tc>
        <w:tc>
          <w:tcPr>
            <w:tcW w:w="780" w:type="dxa"/>
            <w:vAlign w:val="bottom"/>
          </w:tcPr>
          <w:p w14:paraId="490F01AA" w14:textId="77777777" w:rsidR="00D1587D" w:rsidRDefault="00D1587D">
            <w:pPr>
              <w:rPr>
                <w:sz w:val="3"/>
                <w:szCs w:val="3"/>
              </w:rPr>
            </w:pPr>
          </w:p>
        </w:tc>
        <w:tc>
          <w:tcPr>
            <w:tcW w:w="0" w:type="dxa"/>
            <w:vAlign w:val="bottom"/>
          </w:tcPr>
          <w:p w14:paraId="5FBFB7F0" w14:textId="77777777" w:rsidR="00D1587D" w:rsidRDefault="00D1587D">
            <w:pPr>
              <w:rPr>
                <w:sz w:val="1"/>
                <w:szCs w:val="1"/>
              </w:rPr>
            </w:pPr>
          </w:p>
        </w:tc>
      </w:tr>
      <w:tr w:rsidR="00D1587D" w14:paraId="7F3A344B" w14:textId="77777777">
        <w:trPr>
          <w:trHeight w:val="277"/>
        </w:trPr>
        <w:tc>
          <w:tcPr>
            <w:tcW w:w="5600" w:type="dxa"/>
            <w:gridSpan w:val="2"/>
            <w:tcBorders>
              <w:bottom w:val="single" w:sz="8" w:space="0" w:color="CCEEFF"/>
            </w:tcBorders>
            <w:shd w:val="clear" w:color="auto" w:fill="CCEEFF"/>
            <w:vAlign w:val="bottom"/>
          </w:tcPr>
          <w:p w14:paraId="7ED2B349" w14:textId="77777777" w:rsidR="00D1587D" w:rsidRDefault="00410D07">
            <w:pPr>
              <w:rPr>
                <w:sz w:val="20"/>
                <w:szCs w:val="20"/>
              </w:rPr>
            </w:pPr>
            <w:r>
              <w:rPr>
                <w:rFonts w:ascii="Arial" w:eastAsia="Arial" w:hAnsi="Arial" w:cs="Arial"/>
                <w:sz w:val="18"/>
                <w:szCs w:val="18"/>
              </w:rPr>
              <w:t>U.K. / Ireland</w:t>
            </w:r>
          </w:p>
        </w:tc>
        <w:tc>
          <w:tcPr>
            <w:tcW w:w="740" w:type="dxa"/>
            <w:tcBorders>
              <w:bottom w:val="single" w:sz="8" w:space="0" w:color="CCEEFF"/>
            </w:tcBorders>
            <w:shd w:val="clear" w:color="auto" w:fill="CCEEFF"/>
            <w:vAlign w:val="bottom"/>
          </w:tcPr>
          <w:p w14:paraId="7434EA75" w14:textId="77777777" w:rsidR="00D1587D" w:rsidRDefault="00410D07">
            <w:pPr>
              <w:ind w:right="96"/>
              <w:jc w:val="right"/>
              <w:rPr>
                <w:sz w:val="20"/>
                <w:szCs w:val="20"/>
              </w:rPr>
            </w:pPr>
            <w:r>
              <w:rPr>
                <w:rFonts w:ascii="Arial" w:eastAsia="Arial" w:hAnsi="Arial" w:cs="Arial"/>
                <w:sz w:val="18"/>
                <w:szCs w:val="18"/>
              </w:rPr>
              <w:t>24</w:t>
            </w:r>
          </w:p>
        </w:tc>
        <w:tc>
          <w:tcPr>
            <w:tcW w:w="140" w:type="dxa"/>
            <w:tcBorders>
              <w:bottom w:val="single" w:sz="8" w:space="0" w:color="CCEEFF"/>
            </w:tcBorders>
            <w:shd w:val="clear" w:color="auto" w:fill="CCEEFF"/>
            <w:vAlign w:val="bottom"/>
          </w:tcPr>
          <w:p w14:paraId="2D137CEC" w14:textId="77777777" w:rsidR="00D1587D" w:rsidRDefault="00D1587D">
            <w:pPr>
              <w:rPr>
                <w:sz w:val="24"/>
                <w:szCs w:val="24"/>
              </w:rPr>
            </w:pPr>
          </w:p>
        </w:tc>
        <w:tc>
          <w:tcPr>
            <w:tcW w:w="480" w:type="dxa"/>
            <w:tcBorders>
              <w:bottom w:val="single" w:sz="8" w:space="0" w:color="CCEEFF"/>
            </w:tcBorders>
            <w:shd w:val="clear" w:color="auto" w:fill="CCEEFF"/>
            <w:vAlign w:val="bottom"/>
          </w:tcPr>
          <w:p w14:paraId="5FAC2B4C" w14:textId="77777777" w:rsidR="00D1587D" w:rsidRDefault="00410D07">
            <w:pPr>
              <w:ind w:right="73"/>
              <w:jc w:val="right"/>
              <w:rPr>
                <w:sz w:val="20"/>
                <w:szCs w:val="20"/>
              </w:rPr>
            </w:pPr>
            <w:r>
              <w:rPr>
                <w:rFonts w:ascii="Arial" w:eastAsia="Arial" w:hAnsi="Arial" w:cs="Arial"/>
                <w:sz w:val="18"/>
                <w:szCs w:val="18"/>
              </w:rPr>
              <w:t>2</w:t>
            </w:r>
          </w:p>
        </w:tc>
        <w:tc>
          <w:tcPr>
            <w:tcW w:w="140" w:type="dxa"/>
            <w:tcBorders>
              <w:bottom w:val="single" w:sz="8" w:space="0" w:color="CCEEFF"/>
            </w:tcBorders>
            <w:shd w:val="clear" w:color="auto" w:fill="CCEEFF"/>
            <w:vAlign w:val="bottom"/>
          </w:tcPr>
          <w:p w14:paraId="6B05D9F9" w14:textId="77777777" w:rsidR="00D1587D" w:rsidRDefault="00D1587D">
            <w:pPr>
              <w:rPr>
                <w:sz w:val="24"/>
                <w:szCs w:val="24"/>
              </w:rPr>
            </w:pPr>
          </w:p>
        </w:tc>
        <w:tc>
          <w:tcPr>
            <w:tcW w:w="540" w:type="dxa"/>
            <w:gridSpan w:val="2"/>
            <w:tcBorders>
              <w:bottom w:val="single" w:sz="8" w:space="0" w:color="CCEEFF"/>
            </w:tcBorders>
            <w:shd w:val="clear" w:color="auto" w:fill="CCEEFF"/>
            <w:vAlign w:val="bottom"/>
          </w:tcPr>
          <w:p w14:paraId="5A881DB7" w14:textId="77777777" w:rsidR="00D1587D" w:rsidRDefault="00410D07">
            <w:pPr>
              <w:ind w:right="220"/>
              <w:jc w:val="right"/>
              <w:rPr>
                <w:sz w:val="20"/>
                <w:szCs w:val="20"/>
              </w:rPr>
            </w:pPr>
            <w:r>
              <w:rPr>
                <w:rFonts w:ascii="Arial" w:eastAsia="Arial" w:hAnsi="Arial" w:cs="Arial"/>
                <w:sz w:val="18"/>
                <w:szCs w:val="18"/>
              </w:rPr>
              <w:t>—</w:t>
            </w:r>
          </w:p>
        </w:tc>
        <w:tc>
          <w:tcPr>
            <w:tcW w:w="780" w:type="dxa"/>
            <w:tcBorders>
              <w:bottom w:val="single" w:sz="8" w:space="0" w:color="CCEEFF"/>
            </w:tcBorders>
            <w:shd w:val="clear" w:color="auto" w:fill="CCEEFF"/>
            <w:vAlign w:val="bottom"/>
          </w:tcPr>
          <w:p w14:paraId="32E8E3DA" w14:textId="77777777" w:rsidR="00D1587D" w:rsidRDefault="00410D07">
            <w:pPr>
              <w:ind w:right="136"/>
              <w:jc w:val="right"/>
              <w:rPr>
                <w:sz w:val="20"/>
                <w:szCs w:val="20"/>
              </w:rPr>
            </w:pPr>
            <w:r>
              <w:rPr>
                <w:rFonts w:ascii="Arial" w:eastAsia="Arial" w:hAnsi="Arial" w:cs="Arial"/>
                <w:sz w:val="18"/>
                <w:szCs w:val="18"/>
              </w:rPr>
              <w:t>26</w:t>
            </w:r>
          </w:p>
        </w:tc>
        <w:tc>
          <w:tcPr>
            <w:tcW w:w="0" w:type="dxa"/>
            <w:vAlign w:val="bottom"/>
          </w:tcPr>
          <w:p w14:paraId="2B79EB07" w14:textId="77777777" w:rsidR="00D1587D" w:rsidRDefault="00D1587D">
            <w:pPr>
              <w:rPr>
                <w:sz w:val="1"/>
                <w:szCs w:val="1"/>
              </w:rPr>
            </w:pPr>
          </w:p>
        </w:tc>
      </w:tr>
      <w:tr w:rsidR="00D1587D" w14:paraId="379120B9" w14:textId="77777777">
        <w:trPr>
          <w:trHeight w:val="257"/>
        </w:trPr>
        <w:tc>
          <w:tcPr>
            <w:tcW w:w="5600" w:type="dxa"/>
            <w:gridSpan w:val="2"/>
            <w:vAlign w:val="bottom"/>
          </w:tcPr>
          <w:p w14:paraId="76F52FC2" w14:textId="77777777" w:rsidR="00D1587D" w:rsidRDefault="00410D07">
            <w:pPr>
              <w:rPr>
                <w:sz w:val="20"/>
                <w:szCs w:val="20"/>
              </w:rPr>
            </w:pPr>
            <w:r>
              <w:rPr>
                <w:rFonts w:ascii="Arial" w:eastAsia="Arial" w:hAnsi="Arial" w:cs="Arial"/>
                <w:sz w:val="18"/>
                <w:szCs w:val="18"/>
              </w:rPr>
              <w:t>Greater China – Beauty and Accessories</w:t>
            </w:r>
          </w:p>
        </w:tc>
        <w:tc>
          <w:tcPr>
            <w:tcW w:w="740" w:type="dxa"/>
            <w:vAlign w:val="bottom"/>
          </w:tcPr>
          <w:p w14:paraId="373611E6" w14:textId="77777777" w:rsidR="00D1587D" w:rsidRDefault="00410D07">
            <w:pPr>
              <w:ind w:right="96"/>
              <w:jc w:val="right"/>
              <w:rPr>
                <w:sz w:val="20"/>
                <w:szCs w:val="20"/>
              </w:rPr>
            </w:pPr>
            <w:r>
              <w:rPr>
                <w:rFonts w:ascii="Arial" w:eastAsia="Arial" w:hAnsi="Arial" w:cs="Arial"/>
                <w:sz w:val="18"/>
                <w:szCs w:val="18"/>
              </w:rPr>
              <w:t>29</w:t>
            </w:r>
          </w:p>
        </w:tc>
        <w:tc>
          <w:tcPr>
            <w:tcW w:w="140" w:type="dxa"/>
            <w:vAlign w:val="bottom"/>
          </w:tcPr>
          <w:p w14:paraId="3059781A" w14:textId="77777777" w:rsidR="00D1587D" w:rsidRDefault="00D1587D"/>
        </w:tc>
        <w:tc>
          <w:tcPr>
            <w:tcW w:w="480" w:type="dxa"/>
            <w:vAlign w:val="bottom"/>
          </w:tcPr>
          <w:p w14:paraId="73614539" w14:textId="77777777" w:rsidR="00D1587D" w:rsidRDefault="00410D07">
            <w:pPr>
              <w:ind w:right="73"/>
              <w:jc w:val="right"/>
              <w:rPr>
                <w:sz w:val="20"/>
                <w:szCs w:val="20"/>
              </w:rPr>
            </w:pPr>
            <w:r>
              <w:rPr>
                <w:rFonts w:ascii="Arial" w:eastAsia="Arial" w:hAnsi="Arial" w:cs="Arial"/>
                <w:sz w:val="18"/>
                <w:szCs w:val="18"/>
              </w:rPr>
              <w:t>13</w:t>
            </w:r>
          </w:p>
        </w:tc>
        <w:tc>
          <w:tcPr>
            <w:tcW w:w="140" w:type="dxa"/>
            <w:vAlign w:val="bottom"/>
          </w:tcPr>
          <w:p w14:paraId="75A99C5B" w14:textId="77777777" w:rsidR="00D1587D" w:rsidRDefault="00D1587D"/>
        </w:tc>
        <w:tc>
          <w:tcPr>
            <w:tcW w:w="420" w:type="dxa"/>
            <w:vAlign w:val="bottom"/>
          </w:tcPr>
          <w:p w14:paraId="06E04A9F" w14:textId="77777777" w:rsidR="00D1587D" w:rsidRDefault="00410D07">
            <w:pPr>
              <w:jc w:val="right"/>
              <w:rPr>
                <w:sz w:val="20"/>
                <w:szCs w:val="20"/>
              </w:rPr>
            </w:pPr>
            <w:r>
              <w:rPr>
                <w:rFonts w:ascii="Arial" w:eastAsia="Arial" w:hAnsi="Arial" w:cs="Arial"/>
                <w:sz w:val="18"/>
                <w:szCs w:val="18"/>
              </w:rPr>
              <w:t>(4)</w:t>
            </w:r>
          </w:p>
        </w:tc>
        <w:tc>
          <w:tcPr>
            <w:tcW w:w="120" w:type="dxa"/>
            <w:vAlign w:val="bottom"/>
          </w:tcPr>
          <w:p w14:paraId="659B571A" w14:textId="77777777" w:rsidR="00D1587D" w:rsidRDefault="00D1587D"/>
        </w:tc>
        <w:tc>
          <w:tcPr>
            <w:tcW w:w="780" w:type="dxa"/>
            <w:vAlign w:val="bottom"/>
          </w:tcPr>
          <w:p w14:paraId="13697A22" w14:textId="77777777" w:rsidR="00D1587D" w:rsidRDefault="00410D07">
            <w:pPr>
              <w:ind w:right="136"/>
              <w:jc w:val="right"/>
              <w:rPr>
                <w:sz w:val="20"/>
                <w:szCs w:val="20"/>
              </w:rPr>
            </w:pPr>
            <w:r>
              <w:rPr>
                <w:rFonts w:ascii="Arial" w:eastAsia="Arial" w:hAnsi="Arial" w:cs="Arial"/>
                <w:sz w:val="18"/>
                <w:szCs w:val="18"/>
              </w:rPr>
              <w:t>38</w:t>
            </w:r>
          </w:p>
        </w:tc>
        <w:tc>
          <w:tcPr>
            <w:tcW w:w="0" w:type="dxa"/>
            <w:vAlign w:val="bottom"/>
          </w:tcPr>
          <w:p w14:paraId="507F1D3A" w14:textId="77777777" w:rsidR="00D1587D" w:rsidRDefault="00D1587D">
            <w:pPr>
              <w:rPr>
                <w:sz w:val="1"/>
                <w:szCs w:val="1"/>
              </w:rPr>
            </w:pPr>
          </w:p>
        </w:tc>
      </w:tr>
      <w:tr w:rsidR="00D1587D" w14:paraId="125BFABE" w14:textId="77777777">
        <w:trPr>
          <w:trHeight w:val="40"/>
        </w:trPr>
        <w:tc>
          <w:tcPr>
            <w:tcW w:w="5600" w:type="dxa"/>
            <w:gridSpan w:val="2"/>
            <w:vAlign w:val="bottom"/>
          </w:tcPr>
          <w:p w14:paraId="55A12D33" w14:textId="77777777" w:rsidR="00D1587D" w:rsidRDefault="00D1587D">
            <w:pPr>
              <w:rPr>
                <w:sz w:val="3"/>
                <w:szCs w:val="3"/>
              </w:rPr>
            </w:pPr>
          </w:p>
        </w:tc>
        <w:tc>
          <w:tcPr>
            <w:tcW w:w="740" w:type="dxa"/>
            <w:vAlign w:val="bottom"/>
          </w:tcPr>
          <w:p w14:paraId="234FEF1F" w14:textId="77777777" w:rsidR="00D1587D" w:rsidRDefault="00D1587D">
            <w:pPr>
              <w:rPr>
                <w:sz w:val="3"/>
                <w:szCs w:val="3"/>
              </w:rPr>
            </w:pPr>
          </w:p>
        </w:tc>
        <w:tc>
          <w:tcPr>
            <w:tcW w:w="140" w:type="dxa"/>
            <w:vAlign w:val="bottom"/>
          </w:tcPr>
          <w:p w14:paraId="4C9539D3" w14:textId="77777777" w:rsidR="00D1587D" w:rsidRDefault="00D1587D">
            <w:pPr>
              <w:rPr>
                <w:sz w:val="3"/>
                <w:szCs w:val="3"/>
              </w:rPr>
            </w:pPr>
          </w:p>
        </w:tc>
        <w:tc>
          <w:tcPr>
            <w:tcW w:w="480" w:type="dxa"/>
            <w:vAlign w:val="bottom"/>
          </w:tcPr>
          <w:p w14:paraId="13D82B06" w14:textId="77777777" w:rsidR="00D1587D" w:rsidRDefault="00D1587D">
            <w:pPr>
              <w:rPr>
                <w:sz w:val="3"/>
                <w:szCs w:val="3"/>
              </w:rPr>
            </w:pPr>
          </w:p>
        </w:tc>
        <w:tc>
          <w:tcPr>
            <w:tcW w:w="140" w:type="dxa"/>
            <w:vAlign w:val="bottom"/>
          </w:tcPr>
          <w:p w14:paraId="66F730B6" w14:textId="77777777" w:rsidR="00D1587D" w:rsidRDefault="00D1587D">
            <w:pPr>
              <w:rPr>
                <w:sz w:val="3"/>
                <w:szCs w:val="3"/>
              </w:rPr>
            </w:pPr>
          </w:p>
        </w:tc>
        <w:tc>
          <w:tcPr>
            <w:tcW w:w="540" w:type="dxa"/>
            <w:gridSpan w:val="2"/>
            <w:vAlign w:val="bottom"/>
          </w:tcPr>
          <w:p w14:paraId="3414A46A" w14:textId="77777777" w:rsidR="00D1587D" w:rsidRDefault="00D1587D">
            <w:pPr>
              <w:rPr>
                <w:sz w:val="3"/>
                <w:szCs w:val="3"/>
              </w:rPr>
            </w:pPr>
          </w:p>
        </w:tc>
        <w:tc>
          <w:tcPr>
            <w:tcW w:w="780" w:type="dxa"/>
            <w:vAlign w:val="bottom"/>
          </w:tcPr>
          <w:p w14:paraId="16F4385F" w14:textId="77777777" w:rsidR="00D1587D" w:rsidRDefault="00D1587D">
            <w:pPr>
              <w:rPr>
                <w:sz w:val="3"/>
                <w:szCs w:val="3"/>
              </w:rPr>
            </w:pPr>
          </w:p>
        </w:tc>
        <w:tc>
          <w:tcPr>
            <w:tcW w:w="0" w:type="dxa"/>
            <w:vAlign w:val="bottom"/>
          </w:tcPr>
          <w:p w14:paraId="32236164" w14:textId="77777777" w:rsidR="00D1587D" w:rsidRDefault="00D1587D">
            <w:pPr>
              <w:rPr>
                <w:sz w:val="1"/>
                <w:szCs w:val="1"/>
              </w:rPr>
            </w:pPr>
          </w:p>
        </w:tc>
      </w:tr>
      <w:tr w:rsidR="00D1587D" w14:paraId="3022D8C0" w14:textId="77777777">
        <w:trPr>
          <w:trHeight w:val="257"/>
        </w:trPr>
        <w:tc>
          <w:tcPr>
            <w:tcW w:w="5600" w:type="dxa"/>
            <w:gridSpan w:val="2"/>
            <w:shd w:val="clear" w:color="auto" w:fill="CCEEFF"/>
            <w:vAlign w:val="bottom"/>
          </w:tcPr>
          <w:p w14:paraId="6DAF1473" w14:textId="77777777" w:rsidR="00D1587D" w:rsidRDefault="00410D07">
            <w:pPr>
              <w:rPr>
                <w:sz w:val="20"/>
                <w:szCs w:val="20"/>
              </w:rPr>
            </w:pPr>
            <w:r>
              <w:rPr>
                <w:rFonts w:ascii="Arial" w:eastAsia="Arial" w:hAnsi="Arial" w:cs="Arial"/>
                <w:sz w:val="18"/>
                <w:szCs w:val="18"/>
              </w:rPr>
              <w:t>Greater China – Full Assortment</w:t>
            </w:r>
          </w:p>
        </w:tc>
        <w:tc>
          <w:tcPr>
            <w:tcW w:w="740" w:type="dxa"/>
            <w:shd w:val="clear" w:color="auto" w:fill="CCEEFF"/>
            <w:vAlign w:val="bottom"/>
          </w:tcPr>
          <w:p w14:paraId="70B08047" w14:textId="77777777" w:rsidR="00D1587D" w:rsidRDefault="00410D07">
            <w:pPr>
              <w:ind w:right="96"/>
              <w:jc w:val="right"/>
              <w:rPr>
                <w:sz w:val="20"/>
                <w:szCs w:val="20"/>
              </w:rPr>
            </w:pPr>
            <w:r>
              <w:rPr>
                <w:rFonts w:ascii="Arial" w:eastAsia="Arial" w:hAnsi="Arial" w:cs="Arial"/>
                <w:sz w:val="18"/>
                <w:szCs w:val="18"/>
              </w:rPr>
              <w:t>7</w:t>
            </w:r>
          </w:p>
        </w:tc>
        <w:tc>
          <w:tcPr>
            <w:tcW w:w="140" w:type="dxa"/>
            <w:shd w:val="clear" w:color="auto" w:fill="CCEEFF"/>
            <w:vAlign w:val="bottom"/>
          </w:tcPr>
          <w:p w14:paraId="3E36116A" w14:textId="77777777" w:rsidR="00D1587D" w:rsidRDefault="00D1587D"/>
        </w:tc>
        <w:tc>
          <w:tcPr>
            <w:tcW w:w="480" w:type="dxa"/>
            <w:shd w:val="clear" w:color="auto" w:fill="CCEEFF"/>
            <w:vAlign w:val="bottom"/>
          </w:tcPr>
          <w:p w14:paraId="3B46DF75" w14:textId="77777777" w:rsidR="00D1587D" w:rsidRDefault="00410D07">
            <w:pPr>
              <w:ind w:right="73"/>
              <w:jc w:val="right"/>
              <w:rPr>
                <w:sz w:val="20"/>
                <w:szCs w:val="20"/>
              </w:rPr>
            </w:pPr>
            <w:r>
              <w:rPr>
                <w:rFonts w:ascii="Arial" w:eastAsia="Arial" w:hAnsi="Arial" w:cs="Arial"/>
                <w:sz w:val="18"/>
                <w:szCs w:val="18"/>
              </w:rPr>
              <w:t>8</w:t>
            </w:r>
          </w:p>
        </w:tc>
        <w:tc>
          <w:tcPr>
            <w:tcW w:w="140" w:type="dxa"/>
            <w:shd w:val="clear" w:color="auto" w:fill="CCEEFF"/>
            <w:vAlign w:val="bottom"/>
          </w:tcPr>
          <w:p w14:paraId="28F75E14" w14:textId="77777777" w:rsidR="00D1587D" w:rsidRDefault="00D1587D"/>
        </w:tc>
        <w:tc>
          <w:tcPr>
            <w:tcW w:w="540" w:type="dxa"/>
            <w:gridSpan w:val="2"/>
            <w:shd w:val="clear" w:color="auto" w:fill="CCEEFF"/>
            <w:vAlign w:val="bottom"/>
          </w:tcPr>
          <w:p w14:paraId="34E0DF30" w14:textId="77777777" w:rsidR="00D1587D" w:rsidRDefault="00410D07">
            <w:pPr>
              <w:ind w:right="220"/>
              <w:jc w:val="right"/>
              <w:rPr>
                <w:sz w:val="20"/>
                <w:szCs w:val="20"/>
              </w:rPr>
            </w:pPr>
            <w:r>
              <w:rPr>
                <w:rFonts w:ascii="Arial" w:eastAsia="Arial" w:hAnsi="Arial" w:cs="Arial"/>
                <w:sz w:val="18"/>
                <w:szCs w:val="18"/>
              </w:rPr>
              <w:t>—</w:t>
            </w:r>
          </w:p>
        </w:tc>
        <w:tc>
          <w:tcPr>
            <w:tcW w:w="780" w:type="dxa"/>
            <w:shd w:val="clear" w:color="auto" w:fill="CCEEFF"/>
            <w:vAlign w:val="bottom"/>
          </w:tcPr>
          <w:p w14:paraId="31DEF793" w14:textId="77777777" w:rsidR="00D1587D" w:rsidRDefault="00410D07">
            <w:pPr>
              <w:ind w:right="136"/>
              <w:jc w:val="right"/>
              <w:rPr>
                <w:sz w:val="20"/>
                <w:szCs w:val="20"/>
              </w:rPr>
            </w:pPr>
            <w:r>
              <w:rPr>
                <w:rFonts w:ascii="Arial" w:eastAsia="Arial" w:hAnsi="Arial" w:cs="Arial"/>
                <w:sz w:val="18"/>
                <w:szCs w:val="18"/>
              </w:rPr>
              <w:t>15</w:t>
            </w:r>
          </w:p>
        </w:tc>
        <w:tc>
          <w:tcPr>
            <w:tcW w:w="0" w:type="dxa"/>
            <w:vAlign w:val="bottom"/>
          </w:tcPr>
          <w:p w14:paraId="51CC92A6" w14:textId="77777777" w:rsidR="00D1587D" w:rsidRDefault="00D1587D">
            <w:pPr>
              <w:rPr>
                <w:sz w:val="1"/>
                <w:szCs w:val="1"/>
              </w:rPr>
            </w:pPr>
          </w:p>
        </w:tc>
      </w:tr>
      <w:tr w:rsidR="00D1587D" w14:paraId="3E8AB5F3" w14:textId="77777777">
        <w:trPr>
          <w:trHeight w:val="68"/>
        </w:trPr>
        <w:tc>
          <w:tcPr>
            <w:tcW w:w="5520" w:type="dxa"/>
            <w:shd w:val="clear" w:color="auto" w:fill="CCEEFF"/>
            <w:vAlign w:val="bottom"/>
          </w:tcPr>
          <w:p w14:paraId="43E20D8C" w14:textId="77777777" w:rsidR="00D1587D" w:rsidRDefault="00D1587D">
            <w:pPr>
              <w:rPr>
                <w:sz w:val="5"/>
                <w:szCs w:val="5"/>
              </w:rPr>
            </w:pPr>
          </w:p>
        </w:tc>
        <w:tc>
          <w:tcPr>
            <w:tcW w:w="80" w:type="dxa"/>
            <w:tcBorders>
              <w:bottom w:val="single" w:sz="8" w:space="0" w:color="CCEEFF"/>
            </w:tcBorders>
            <w:shd w:val="clear" w:color="auto" w:fill="CCEEFF"/>
            <w:vAlign w:val="bottom"/>
          </w:tcPr>
          <w:p w14:paraId="522E9EDB" w14:textId="77777777" w:rsidR="00D1587D" w:rsidRDefault="00D1587D">
            <w:pPr>
              <w:rPr>
                <w:sz w:val="5"/>
                <w:szCs w:val="5"/>
              </w:rPr>
            </w:pPr>
          </w:p>
        </w:tc>
        <w:tc>
          <w:tcPr>
            <w:tcW w:w="740" w:type="dxa"/>
            <w:tcBorders>
              <w:bottom w:val="single" w:sz="8" w:space="0" w:color="auto"/>
            </w:tcBorders>
            <w:shd w:val="clear" w:color="auto" w:fill="CCEEFF"/>
            <w:vAlign w:val="bottom"/>
          </w:tcPr>
          <w:p w14:paraId="61912015" w14:textId="77777777" w:rsidR="00D1587D" w:rsidRDefault="00D1587D">
            <w:pPr>
              <w:rPr>
                <w:sz w:val="5"/>
                <w:szCs w:val="5"/>
              </w:rPr>
            </w:pPr>
          </w:p>
        </w:tc>
        <w:tc>
          <w:tcPr>
            <w:tcW w:w="140" w:type="dxa"/>
            <w:tcBorders>
              <w:bottom w:val="single" w:sz="8" w:space="0" w:color="CCEEFF"/>
            </w:tcBorders>
            <w:shd w:val="clear" w:color="auto" w:fill="CCEEFF"/>
            <w:vAlign w:val="bottom"/>
          </w:tcPr>
          <w:p w14:paraId="1788AE62" w14:textId="77777777" w:rsidR="00D1587D" w:rsidRDefault="00D1587D">
            <w:pPr>
              <w:rPr>
                <w:sz w:val="5"/>
                <w:szCs w:val="5"/>
              </w:rPr>
            </w:pPr>
          </w:p>
        </w:tc>
        <w:tc>
          <w:tcPr>
            <w:tcW w:w="480" w:type="dxa"/>
            <w:tcBorders>
              <w:bottom w:val="single" w:sz="8" w:space="0" w:color="auto"/>
            </w:tcBorders>
            <w:shd w:val="clear" w:color="auto" w:fill="CCEEFF"/>
            <w:vAlign w:val="bottom"/>
          </w:tcPr>
          <w:p w14:paraId="71969687" w14:textId="77777777" w:rsidR="00D1587D" w:rsidRDefault="00D1587D">
            <w:pPr>
              <w:rPr>
                <w:sz w:val="5"/>
                <w:szCs w:val="5"/>
              </w:rPr>
            </w:pPr>
          </w:p>
        </w:tc>
        <w:tc>
          <w:tcPr>
            <w:tcW w:w="140" w:type="dxa"/>
            <w:tcBorders>
              <w:bottom w:val="single" w:sz="8" w:space="0" w:color="CCEEFF"/>
            </w:tcBorders>
            <w:shd w:val="clear" w:color="auto" w:fill="CCEEFF"/>
            <w:vAlign w:val="bottom"/>
          </w:tcPr>
          <w:p w14:paraId="3919AA56" w14:textId="77777777" w:rsidR="00D1587D" w:rsidRDefault="00D1587D">
            <w:pPr>
              <w:rPr>
                <w:sz w:val="5"/>
                <w:szCs w:val="5"/>
              </w:rPr>
            </w:pPr>
          </w:p>
        </w:tc>
        <w:tc>
          <w:tcPr>
            <w:tcW w:w="420" w:type="dxa"/>
            <w:tcBorders>
              <w:bottom w:val="single" w:sz="8" w:space="0" w:color="auto"/>
            </w:tcBorders>
            <w:shd w:val="clear" w:color="auto" w:fill="CCEEFF"/>
            <w:vAlign w:val="bottom"/>
          </w:tcPr>
          <w:p w14:paraId="28A8714C" w14:textId="77777777" w:rsidR="00D1587D" w:rsidRDefault="00D1587D">
            <w:pPr>
              <w:rPr>
                <w:sz w:val="5"/>
                <w:szCs w:val="5"/>
              </w:rPr>
            </w:pPr>
          </w:p>
        </w:tc>
        <w:tc>
          <w:tcPr>
            <w:tcW w:w="120" w:type="dxa"/>
            <w:tcBorders>
              <w:bottom w:val="single" w:sz="8" w:space="0" w:color="CCEEFF"/>
            </w:tcBorders>
            <w:shd w:val="clear" w:color="auto" w:fill="CCEEFF"/>
            <w:vAlign w:val="bottom"/>
          </w:tcPr>
          <w:p w14:paraId="610F3218" w14:textId="77777777" w:rsidR="00D1587D" w:rsidRDefault="00D1587D">
            <w:pPr>
              <w:rPr>
                <w:sz w:val="5"/>
                <w:szCs w:val="5"/>
              </w:rPr>
            </w:pPr>
          </w:p>
        </w:tc>
        <w:tc>
          <w:tcPr>
            <w:tcW w:w="780" w:type="dxa"/>
            <w:tcBorders>
              <w:bottom w:val="single" w:sz="8" w:space="0" w:color="auto"/>
            </w:tcBorders>
            <w:shd w:val="clear" w:color="auto" w:fill="CCEEFF"/>
            <w:vAlign w:val="bottom"/>
          </w:tcPr>
          <w:p w14:paraId="1F01B97C" w14:textId="77777777" w:rsidR="00D1587D" w:rsidRDefault="00D1587D">
            <w:pPr>
              <w:rPr>
                <w:sz w:val="5"/>
                <w:szCs w:val="5"/>
              </w:rPr>
            </w:pPr>
          </w:p>
        </w:tc>
        <w:tc>
          <w:tcPr>
            <w:tcW w:w="0" w:type="dxa"/>
            <w:vAlign w:val="bottom"/>
          </w:tcPr>
          <w:p w14:paraId="203579B4" w14:textId="77777777" w:rsidR="00D1587D" w:rsidRDefault="00D1587D">
            <w:pPr>
              <w:rPr>
                <w:sz w:val="1"/>
                <w:szCs w:val="1"/>
              </w:rPr>
            </w:pPr>
          </w:p>
        </w:tc>
      </w:tr>
      <w:tr w:rsidR="00D1587D" w14:paraId="72B69689" w14:textId="77777777">
        <w:trPr>
          <w:trHeight w:val="304"/>
        </w:trPr>
        <w:tc>
          <w:tcPr>
            <w:tcW w:w="5600" w:type="dxa"/>
            <w:gridSpan w:val="2"/>
            <w:vAlign w:val="bottom"/>
          </w:tcPr>
          <w:p w14:paraId="6A72F0A9" w14:textId="77777777" w:rsidR="00D1587D" w:rsidRDefault="00410D07">
            <w:pPr>
              <w:rPr>
                <w:sz w:val="20"/>
                <w:szCs w:val="20"/>
              </w:rPr>
            </w:pPr>
            <w:r>
              <w:rPr>
                <w:rFonts w:ascii="Arial" w:eastAsia="Arial" w:hAnsi="Arial" w:cs="Arial"/>
                <w:b/>
                <w:bCs/>
                <w:sz w:val="18"/>
                <w:szCs w:val="18"/>
              </w:rPr>
              <w:t>Total</w:t>
            </w:r>
          </w:p>
        </w:tc>
        <w:tc>
          <w:tcPr>
            <w:tcW w:w="740" w:type="dxa"/>
            <w:vAlign w:val="bottom"/>
          </w:tcPr>
          <w:p w14:paraId="568764E0" w14:textId="77777777" w:rsidR="00D1587D" w:rsidRDefault="00410D07">
            <w:pPr>
              <w:ind w:right="96"/>
              <w:jc w:val="right"/>
              <w:rPr>
                <w:sz w:val="20"/>
                <w:szCs w:val="20"/>
              </w:rPr>
            </w:pPr>
            <w:r>
              <w:rPr>
                <w:rFonts w:ascii="Arial" w:eastAsia="Arial" w:hAnsi="Arial" w:cs="Arial"/>
                <w:b/>
                <w:bCs/>
                <w:sz w:val="18"/>
                <w:szCs w:val="18"/>
              </w:rPr>
              <w:t>1,230</w:t>
            </w:r>
          </w:p>
        </w:tc>
        <w:tc>
          <w:tcPr>
            <w:tcW w:w="140" w:type="dxa"/>
            <w:vAlign w:val="bottom"/>
          </w:tcPr>
          <w:p w14:paraId="2335CB48" w14:textId="77777777" w:rsidR="00D1587D" w:rsidRDefault="00D1587D">
            <w:pPr>
              <w:rPr>
                <w:sz w:val="24"/>
                <w:szCs w:val="24"/>
              </w:rPr>
            </w:pPr>
          </w:p>
        </w:tc>
        <w:tc>
          <w:tcPr>
            <w:tcW w:w="480" w:type="dxa"/>
            <w:vAlign w:val="bottom"/>
          </w:tcPr>
          <w:p w14:paraId="61C43DD4" w14:textId="77777777" w:rsidR="00D1587D" w:rsidRDefault="00410D07">
            <w:pPr>
              <w:ind w:right="73"/>
              <w:jc w:val="right"/>
              <w:rPr>
                <w:sz w:val="20"/>
                <w:szCs w:val="20"/>
              </w:rPr>
            </w:pPr>
            <w:r>
              <w:rPr>
                <w:rFonts w:ascii="Arial" w:eastAsia="Arial" w:hAnsi="Arial" w:cs="Arial"/>
                <w:b/>
                <w:bCs/>
                <w:sz w:val="18"/>
                <w:szCs w:val="18"/>
              </w:rPr>
              <w:t>26</w:t>
            </w:r>
          </w:p>
        </w:tc>
        <w:tc>
          <w:tcPr>
            <w:tcW w:w="140" w:type="dxa"/>
            <w:vAlign w:val="bottom"/>
          </w:tcPr>
          <w:p w14:paraId="4084E274" w14:textId="77777777" w:rsidR="00D1587D" w:rsidRDefault="00D1587D">
            <w:pPr>
              <w:rPr>
                <w:sz w:val="24"/>
                <w:szCs w:val="24"/>
              </w:rPr>
            </w:pPr>
          </w:p>
        </w:tc>
        <w:tc>
          <w:tcPr>
            <w:tcW w:w="420" w:type="dxa"/>
            <w:vAlign w:val="bottom"/>
          </w:tcPr>
          <w:p w14:paraId="44F06052" w14:textId="77777777" w:rsidR="00D1587D" w:rsidRDefault="00410D07">
            <w:pPr>
              <w:jc w:val="right"/>
              <w:rPr>
                <w:sz w:val="20"/>
                <w:szCs w:val="20"/>
              </w:rPr>
            </w:pPr>
            <w:r>
              <w:rPr>
                <w:rFonts w:ascii="Arial" w:eastAsia="Arial" w:hAnsi="Arial" w:cs="Arial"/>
                <w:b/>
                <w:bCs/>
                <w:sz w:val="18"/>
                <w:szCs w:val="18"/>
              </w:rPr>
              <w:t>(34)</w:t>
            </w:r>
          </w:p>
        </w:tc>
        <w:tc>
          <w:tcPr>
            <w:tcW w:w="120" w:type="dxa"/>
            <w:vAlign w:val="bottom"/>
          </w:tcPr>
          <w:p w14:paraId="54ABFE02" w14:textId="77777777" w:rsidR="00D1587D" w:rsidRDefault="00D1587D">
            <w:pPr>
              <w:rPr>
                <w:sz w:val="24"/>
                <w:szCs w:val="24"/>
              </w:rPr>
            </w:pPr>
          </w:p>
        </w:tc>
        <w:tc>
          <w:tcPr>
            <w:tcW w:w="780" w:type="dxa"/>
            <w:vAlign w:val="bottom"/>
          </w:tcPr>
          <w:p w14:paraId="653C72DC" w14:textId="77777777" w:rsidR="00D1587D" w:rsidRDefault="00410D07">
            <w:pPr>
              <w:ind w:right="116"/>
              <w:jc w:val="right"/>
              <w:rPr>
                <w:sz w:val="20"/>
                <w:szCs w:val="20"/>
              </w:rPr>
            </w:pPr>
            <w:r>
              <w:rPr>
                <w:rFonts w:ascii="Arial" w:eastAsia="Arial" w:hAnsi="Arial" w:cs="Arial"/>
                <w:b/>
                <w:bCs/>
                <w:sz w:val="18"/>
                <w:szCs w:val="18"/>
              </w:rPr>
              <w:t>1,222</w:t>
            </w:r>
          </w:p>
        </w:tc>
        <w:tc>
          <w:tcPr>
            <w:tcW w:w="0" w:type="dxa"/>
            <w:vAlign w:val="bottom"/>
          </w:tcPr>
          <w:p w14:paraId="5B0F3D7C" w14:textId="77777777" w:rsidR="00D1587D" w:rsidRDefault="00D1587D">
            <w:pPr>
              <w:rPr>
                <w:sz w:val="1"/>
                <w:szCs w:val="1"/>
              </w:rPr>
            </w:pPr>
          </w:p>
        </w:tc>
      </w:tr>
      <w:tr w:rsidR="00D1587D" w14:paraId="44890FD2" w14:textId="77777777">
        <w:trPr>
          <w:trHeight w:val="27"/>
        </w:trPr>
        <w:tc>
          <w:tcPr>
            <w:tcW w:w="5520" w:type="dxa"/>
            <w:vAlign w:val="bottom"/>
          </w:tcPr>
          <w:p w14:paraId="61B9F376" w14:textId="77777777" w:rsidR="00D1587D" w:rsidRDefault="00D1587D">
            <w:pPr>
              <w:rPr>
                <w:sz w:val="2"/>
                <w:szCs w:val="2"/>
              </w:rPr>
            </w:pPr>
          </w:p>
        </w:tc>
        <w:tc>
          <w:tcPr>
            <w:tcW w:w="80" w:type="dxa"/>
            <w:vAlign w:val="bottom"/>
          </w:tcPr>
          <w:p w14:paraId="35BDF313" w14:textId="77777777" w:rsidR="00D1587D" w:rsidRDefault="00D1587D">
            <w:pPr>
              <w:rPr>
                <w:sz w:val="2"/>
                <w:szCs w:val="2"/>
              </w:rPr>
            </w:pPr>
          </w:p>
        </w:tc>
        <w:tc>
          <w:tcPr>
            <w:tcW w:w="740" w:type="dxa"/>
            <w:tcBorders>
              <w:bottom w:val="single" w:sz="8" w:space="0" w:color="auto"/>
            </w:tcBorders>
            <w:vAlign w:val="bottom"/>
          </w:tcPr>
          <w:p w14:paraId="5322E762" w14:textId="77777777" w:rsidR="00D1587D" w:rsidRDefault="00D1587D">
            <w:pPr>
              <w:rPr>
                <w:sz w:val="2"/>
                <w:szCs w:val="2"/>
              </w:rPr>
            </w:pPr>
          </w:p>
        </w:tc>
        <w:tc>
          <w:tcPr>
            <w:tcW w:w="140" w:type="dxa"/>
            <w:vAlign w:val="bottom"/>
          </w:tcPr>
          <w:p w14:paraId="7D137F60" w14:textId="77777777" w:rsidR="00D1587D" w:rsidRDefault="00D1587D">
            <w:pPr>
              <w:rPr>
                <w:sz w:val="2"/>
                <w:szCs w:val="2"/>
              </w:rPr>
            </w:pPr>
          </w:p>
        </w:tc>
        <w:tc>
          <w:tcPr>
            <w:tcW w:w="480" w:type="dxa"/>
            <w:tcBorders>
              <w:bottom w:val="single" w:sz="8" w:space="0" w:color="auto"/>
            </w:tcBorders>
            <w:vAlign w:val="bottom"/>
          </w:tcPr>
          <w:p w14:paraId="700A91D7" w14:textId="77777777" w:rsidR="00D1587D" w:rsidRDefault="00D1587D">
            <w:pPr>
              <w:rPr>
                <w:sz w:val="2"/>
                <w:szCs w:val="2"/>
              </w:rPr>
            </w:pPr>
          </w:p>
        </w:tc>
        <w:tc>
          <w:tcPr>
            <w:tcW w:w="140" w:type="dxa"/>
            <w:vAlign w:val="bottom"/>
          </w:tcPr>
          <w:p w14:paraId="6089CAA2" w14:textId="77777777" w:rsidR="00D1587D" w:rsidRDefault="00D1587D">
            <w:pPr>
              <w:rPr>
                <w:sz w:val="2"/>
                <w:szCs w:val="2"/>
              </w:rPr>
            </w:pPr>
          </w:p>
        </w:tc>
        <w:tc>
          <w:tcPr>
            <w:tcW w:w="420" w:type="dxa"/>
            <w:tcBorders>
              <w:bottom w:val="single" w:sz="8" w:space="0" w:color="auto"/>
            </w:tcBorders>
            <w:vAlign w:val="bottom"/>
          </w:tcPr>
          <w:p w14:paraId="212F877D" w14:textId="77777777" w:rsidR="00D1587D" w:rsidRDefault="00D1587D">
            <w:pPr>
              <w:rPr>
                <w:sz w:val="2"/>
                <w:szCs w:val="2"/>
              </w:rPr>
            </w:pPr>
          </w:p>
        </w:tc>
        <w:tc>
          <w:tcPr>
            <w:tcW w:w="120" w:type="dxa"/>
            <w:vAlign w:val="bottom"/>
          </w:tcPr>
          <w:p w14:paraId="376D89B2" w14:textId="77777777" w:rsidR="00D1587D" w:rsidRDefault="00D1587D">
            <w:pPr>
              <w:rPr>
                <w:sz w:val="2"/>
                <w:szCs w:val="2"/>
              </w:rPr>
            </w:pPr>
          </w:p>
        </w:tc>
        <w:tc>
          <w:tcPr>
            <w:tcW w:w="780" w:type="dxa"/>
            <w:tcBorders>
              <w:bottom w:val="single" w:sz="8" w:space="0" w:color="auto"/>
            </w:tcBorders>
            <w:vAlign w:val="bottom"/>
          </w:tcPr>
          <w:p w14:paraId="00484FDA" w14:textId="77777777" w:rsidR="00D1587D" w:rsidRDefault="00D1587D">
            <w:pPr>
              <w:rPr>
                <w:sz w:val="2"/>
                <w:szCs w:val="2"/>
              </w:rPr>
            </w:pPr>
          </w:p>
        </w:tc>
        <w:tc>
          <w:tcPr>
            <w:tcW w:w="0" w:type="dxa"/>
            <w:vAlign w:val="bottom"/>
          </w:tcPr>
          <w:p w14:paraId="712C1E08" w14:textId="77777777" w:rsidR="00D1587D" w:rsidRDefault="00D1587D">
            <w:pPr>
              <w:rPr>
                <w:sz w:val="1"/>
                <w:szCs w:val="1"/>
              </w:rPr>
            </w:pPr>
          </w:p>
        </w:tc>
      </w:tr>
      <w:tr w:rsidR="00D1587D" w14:paraId="32727F3E" w14:textId="77777777">
        <w:trPr>
          <w:trHeight w:val="20"/>
        </w:trPr>
        <w:tc>
          <w:tcPr>
            <w:tcW w:w="5520" w:type="dxa"/>
            <w:vAlign w:val="bottom"/>
          </w:tcPr>
          <w:p w14:paraId="5930B757" w14:textId="77777777" w:rsidR="00D1587D" w:rsidRDefault="00D1587D">
            <w:pPr>
              <w:spacing w:line="20" w:lineRule="exact"/>
              <w:rPr>
                <w:sz w:val="1"/>
                <w:szCs w:val="1"/>
              </w:rPr>
            </w:pPr>
          </w:p>
        </w:tc>
        <w:tc>
          <w:tcPr>
            <w:tcW w:w="80" w:type="dxa"/>
            <w:vAlign w:val="bottom"/>
          </w:tcPr>
          <w:p w14:paraId="3CF66C75" w14:textId="77777777" w:rsidR="00D1587D" w:rsidRDefault="00D1587D">
            <w:pPr>
              <w:spacing w:line="20" w:lineRule="exact"/>
              <w:rPr>
                <w:sz w:val="1"/>
                <w:szCs w:val="1"/>
              </w:rPr>
            </w:pPr>
          </w:p>
        </w:tc>
        <w:tc>
          <w:tcPr>
            <w:tcW w:w="740" w:type="dxa"/>
            <w:tcBorders>
              <w:bottom w:val="single" w:sz="8" w:space="0" w:color="auto"/>
            </w:tcBorders>
            <w:vAlign w:val="bottom"/>
          </w:tcPr>
          <w:p w14:paraId="54AB94E7" w14:textId="77777777" w:rsidR="00D1587D" w:rsidRDefault="00D1587D">
            <w:pPr>
              <w:spacing w:line="20" w:lineRule="exact"/>
              <w:rPr>
                <w:sz w:val="1"/>
                <w:szCs w:val="1"/>
              </w:rPr>
            </w:pPr>
          </w:p>
        </w:tc>
        <w:tc>
          <w:tcPr>
            <w:tcW w:w="140" w:type="dxa"/>
            <w:vAlign w:val="bottom"/>
          </w:tcPr>
          <w:p w14:paraId="557C37EF" w14:textId="77777777" w:rsidR="00D1587D" w:rsidRDefault="00D1587D">
            <w:pPr>
              <w:spacing w:line="20" w:lineRule="exact"/>
              <w:rPr>
                <w:sz w:val="1"/>
                <w:szCs w:val="1"/>
              </w:rPr>
            </w:pPr>
          </w:p>
        </w:tc>
        <w:tc>
          <w:tcPr>
            <w:tcW w:w="480" w:type="dxa"/>
            <w:tcBorders>
              <w:bottom w:val="single" w:sz="8" w:space="0" w:color="auto"/>
            </w:tcBorders>
            <w:vAlign w:val="bottom"/>
          </w:tcPr>
          <w:p w14:paraId="197AB9BF" w14:textId="77777777" w:rsidR="00D1587D" w:rsidRDefault="00D1587D">
            <w:pPr>
              <w:spacing w:line="20" w:lineRule="exact"/>
              <w:rPr>
                <w:sz w:val="1"/>
                <w:szCs w:val="1"/>
              </w:rPr>
            </w:pPr>
          </w:p>
        </w:tc>
        <w:tc>
          <w:tcPr>
            <w:tcW w:w="140" w:type="dxa"/>
            <w:vAlign w:val="bottom"/>
          </w:tcPr>
          <w:p w14:paraId="143499C6" w14:textId="77777777" w:rsidR="00D1587D" w:rsidRDefault="00D1587D">
            <w:pPr>
              <w:spacing w:line="20" w:lineRule="exact"/>
              <w:rPr>
                <w:sz w:val="1"/>
                <w:szCs w:val="1"/>
              </w:rPr>
            </w:pPr>
          </w:p>
        </w:tc>
        <w:tc>
          <w:tcPr>
            <w:tcW w:w="420" w:type="dxa"/>
            <w:tcBorders>
              <w:bottom w:val="single" w:sz="8" w:space="0" w:color="auto"/>
            </w:tcBorders>
            <w:vAlign w:val="bottom"/>
          </w:tcPr>
          <w:p w14:paraId="40FBFC0C" w14:textId="77777777" w:rsidR="00D1587D" w:rsidRDefault="00D1587D">
            <w:pPr>
              <w:spacing w:line="20" w:lineRule="exact"/>
              <w:rPr>
                <w:sz w:val="1"/>
                <w:szCs w:val="1"/>
              </w:rPr>
            </w:pPr>
          </w:p>
        </w:tc>
        <w:tc>
          <w:tcPr>
            <w:tcW w:w="120" w:type="dxa"/>
            <w:vAlign w:val="bottom"/>
          </w:tcPr>
          <w:p w14:paraId="1E013E44" w14:textId="77777777" w:rsidR="00D1587D" w:rsidRDefault="00D1587D">
            <w:pPr>
              <w:spacing w:line="20" w:lineRule="exact"/>
              <w:rPr>
                <w:sz w:val="1"/>
                <w:szCs w:val="1"/>
              </w:rPr>
            </w:pPr>
          </w:p>
        </w:tc>
        <w:tc>
          <w:tcPr>
            <w:tcW w:w="780" w:type="dxa"/>
            <w:tcBorders>
              <w:bottom w:val="single" w:sz="8" w:space="0" w:color="auto"/>
            </w:tcBorders>
            <w:vAlign w:val="bottom"/>
          </w:tcPr>
          <w:p w14:paraId="30BE6B61" w14:textId="77777777" w:rsidR="00D1587D" w:rsidRDefault="00D1587D">
            <w:pPr>
              <w:spacing w:line="20" w:lineRule="exact"/>
              <w:rPr>
                <w:sz w:val="1"/>
                <w:szCs w:val="1"/>
              </w:rPr>
            </w:pPr>
          </w:p>
        </w:tc>
        <w:tc>
          <w:tcPr>
            <w:tcW w:w="0" w:type="dxa"/>
            <w:vAlign w:val="bottom"/>
          </w:tcPr>
          <w:p w14:paraId="142A3651" w14:textId="77777777" w:rsidR="00D1587D" w:rsidRDefault="00D1587D">
            <w:pPr>
              <w:rPr>
                <w:sz w:val="1"/>
                <w:szCs w:val="1"/>
              </w:rPr>
            </w:pPr>
          </w:p>
        </w:tc>
      </w:tr>
    </w:tbl>
    <w:p w14:paraId="6D8841BE" w14:textId="77777777" w:rsidR="00D1587D" w:rsidRDefault="00410D07">
      <w:pPr>
        <w:spacing w:line="20" w:lineRule="exact"/>
        <w:rPr>
          <w:sz w:val="20"/>
          <w:szCs w:val="20"/>
        </w:rPr>
      </w:pPr>
      <w:r>
        <w:rPr>
          <w:noProof/>
          <w:sz w:val="20"/>
          <w:szCs w:val="20"/>
        </w:rPr>
        <w:drawing>
          <wp:anchor distT="0" distB="0" distL="114300" distR="114300" simplePos="0" relativeHeight="251645952" behindDoc="1" locked="0" layoutInCell="0" allowOverlap="1" wp14:anchorId="095CFF6C" wp14:editId="4FBF7586">
            <wp:simplePos x="0" y="0"/>
            <wp:positionH relativeFrom="column">
              <wp:posOffset>4959985</wp:posOffset>
            </wp:positionH>
            <wp:positionV relativeFrom="paragraph">
              <wp:posOffset>-3136900</wp:posOffset>
            </wp:positionV>
            <wp:extent cx="85725" cy="8255"/>
            <wp:effectExtent l="0" t="0" r="0" b="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46976" behindDoc="1" locked="0" layoutInCell="0" allowOverlap="1" wp14:anchorId="7F0C84B8" wp14:editId="1E4C8E64">
            <wp:simplePos x="0" y="0"/>
            <wp:positionH relativeFrom="column">
              <wp:posOffset>4608830</wp:posOffset>
            </wp:positionH>
            <wp:positionV relativeFrom="paragraph">
              <wp:posOffset>-3136900</wp:posOffset>
            </wp:positionV>
            <wp:extent cx="85725" cy="8255"/>
            <wp:effectExtent l="0" t="0" r="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48000" behindDoc="1" locked="0" layoutInCell="0" allowOverlap="1" wp14:anchorId="79FF5C6E" wp14:editId="5489DA73">
            <wp:simplePos x="0" y="0"/>
            <wp:positionH relativeFrom="column">
              <wp:posOffset>4214495</wp:posOffset>
            </wp:positionH>
            <wp:positionV relativeFrom="paragraph">
              <wp:posOffset>-3136900</wp:posOffset>
            </wp:positionV>
            <wp:extent cx="85725" cy="8255"/>
            <wp:effectExtent l="0" t="0" r="0" b="0"/>
            <wp:wrapNone/>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49024" behindDoc="1" locked="0" layoutInCell="0" allowOverlap="1" wp14:anchorId="478E5C99" wp14:editId="3B8325DC">
            <wp:simplePos x="0" y="0"/>
            <wp:positionH relativeFrom="column">
              <wp:posOffset>3700145</wp:posOffset>
            </wp:positionH>
            <wp:positionV relativeFrom="paragraph">
              <wp:posOffset>-3136900</wp:posOffset>
            </wp:positionV>
            <wp:extent cx="43180" cy="8255"/>
            <wp:effectExtent l="0" t="0" r="0" b="0"/>
            <wp:wrapNone/>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1650048" behindDoc="1" locked="0" layoutInCell="0" allowOverlap="1" wp14:anchorId="31503F51" wp14:editId="6E99CA75">
            <wp:simplePos x="0" y="0"/>
            <wp:positionH relativeFrom="column">
              <wp:posOffset>4959985</wp:posOffset>
            </wp:positionH>
            <wp:positionV relativeFrom="paragraph">
              <wp:posOffset>-1242695</wp:posOffset>
            </wp:positionV>
            <wp:extent cx="85725" cy="8255"/>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14:anchorId="1CF8E803" wp14:editId="13E97829">
            <wp:simplePos x="0" y="0"/>
            <wp:positionH relativeFrom="column">
              <wp:posOffset>4608830</wp:posOffset>
            </wp:positionH>
            <wp:positionV relativeFrom="paragraph">
              <wp:posOffset>-1242695</wp:posOffset>
            </wp:positionV>
            <wp:extent cx="85725" cy="8255"/>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52096" behindDoc="1" locked="0" layoutInCell="0" allowOverlap="1" wp14:anchorId="7EB371CA" wp14:editId="45215BBA">
            <wp:simplePos x="0" y="0"/>
            <wp:positionH relativeFrom="column">
              <wp:posOffset>4214495</wp:posOffset>
            </wp:positionH>
            <wp:positionV relativeFrom="paragraph">
              <wp:posOffset>-1242695</wp:posOffset>
            </wp:positionV>
            <wp:extent cx="85725" cy="8255"/>
            <wp:effectExtent l="0" t="0" r="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14:anchorId="2BC8C676" wp14:editId="5072792E">
            <wp:simplePos x="0" y="0"/>
            <wp:positionH relativeFrom="column">
              <wp:posOffset>3700145</wp:posOffset>
            </wp:positionH>
            <wp:positionV relativeFrom="paragraph">
              <wp:posOffset>-1242695</wp:posOffset>
            </wp:positionV>
            <wp:extent cx="43180" cy="8255"/>
            <wp:effectExtent l="0" t="0" r="0"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p>
    <w:p w14:paraId="1F4EF629" w14:textId="77777777" w:rsidR="00D1587D" w:rsidRDefault="00D1587D">
      <w:pPr>
        <w:spacing w:line="286" w:lineRule="exact"/>
        <w:rPr>
          <w:sz w:val="20"/>
          <w:szCs w:val="20"/>
        </w:rPr>
      </w:pPr>
    </w:p>
    <w:p w14:paraId="3346382B" w14:textId="77777777" w:rsidR="00D1587D" w:rsidRDefault="00410D07">
      <w:pPr>
        <w:ind w:left="300"/>
        <w:rPr>
          <w:sz w:val="20"/>
          <w:szCs w:val="20"/>
        </w:rPr>
      </w:pPr>
      <w:r>
        <w:rPr>
          <w:rFonts w:ascii="Arial" w:eastAsia="Arial" w:hAnsi="Arial" w:cs="Arial"/>
          <w:b/>
          <w:bCs/>
          <w:sz w:val="18"/>
          <w:szCs w:val="18"/>
        </w:rPr>
        <w:t>Partner-Operated Store Data</w:t>
      </w:r>
    </w:p>
    <w:p w14:paraId="27E5A915" w14:textId="77777777" w:rsidR="00D1587D" w:rsidRDefault="00D1587D">
      <w:pPr>
        <w:spacing w:line="148" w:lineRule="exact"/>
        <w:rPr>
          <w:sz w:val="20"/>
          <w:szCs w:val="20"/>
        </w:rPr>
      </w:pPr>
    </w:p>
    <w:p w14:paraId="30944DD7" w14:textId="77777777" w:rsidR="00D1587D" w:rsidRDefault="00410D07">
      <w:pPr>
        <w:ind w:left="660"/>
        <w:rPr>
          <w:sz w:val="20"/>
          <w:szCs w:val="20"/>
        </w:rPr>
      </w:pPr>
      <w:r>
        <w:rPr>
          <w:rFonts w:ascii="Arial" w:eastAsia="Arial" w:hAnsi="Arial" w:cs="Arial"/>
          <w:sz w:val="18"/>
          <w:szCs w:val="18"/>
        </w:rPr>
        <w:t>The following table represents partner-operated store data for the first quarter of 2021:</w:t>
      </w:r>
    </w:p>
    <w:p w14:paraId="447B0852" w14:textId="77777777" w:rsidR="00D1587D" w:rsidRDefault="00D1587D">
      <w:pPr>
        <w:spacing w:line="177"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860"/>
        <w:gridCol w:w="640"/>
        <w:gridCol w:w="100"/>
        <w:gridCol w:w="20"/>
        <w:gridCol w:w="80"/>
        <w:gridCol w:w="480"/>
        <w:gridCol w:w="180"/>
        <w:gridCol w:w="200"/>
        <w:gridCol w:w="160"/>
        <w:gridCol w:w="100"/>
        <w:gridCol w:w="240"/>
        <w:gridCol w:w="200"/>
        <w:gridCol w:w="300"/>
        <w:gridCol w:w="140"/>
        <w:gridCol w:w="180"/>
        <w:gridCol w:w="540"/>
        <w:gridCol w:w="20"/>
      </w:tblGrid>
      <w:tr w:rsidR="00D1587D" w14:paraId="5A66A138" w14:textId="77777777">
        <w:trPr>
          <w:trHeight w:val="161"/>
        </w:trPr>
        <w:tc>
          <w:tcPr>
            <w:tcW w:w="4860" w:type="dxa"/>
            <w:vAlign w:val="bottom"/>
          </w:tcPr>
          <w:p w14:paraId="3EFB1C1D" w14:textId="77777777" w:rsidR="00D1587D" w:rsidRDefault="00D1587D">
            <w:pPr>
              <w:rPr>
                <w:sz w:val="14"/>
                <w:szCs w:val="14"/>
              </w:rPr>
            </w:pPr>
          </w:p>
        </w:tc>
        <w:tc>
          <w:tcPr>
            <w:tcW w:w="640" w:type="dxa"/>
            <w:vAlign w:val="bottom"/>
          </w:tcPr>
          <w:p w14:paraId="427254B5" w14:textId="77777777" w:rsidR="00D1587D" w:rsidRDefault="00D1587D">
            <w:pPr>
              <w:rPr>
                <w:sz w:val="14"/>
                <w:szCs w:val="14"/>
              </w:rPr>
            </w:pPr>
          </w:p>
        </w:tc>
        <w:tc>
          <w:tcPr>
            <w:tcW w:w="100" w:type="dxa"/>
            <w:vAlign w:val="bottom"/>
          </w:tcPr>
          <w:p w14:paraId="37288B3B" w14:textId="77777777" w:rsidR="00D1587D" w:rsidRDefault="00D1587D">
            <w:pPr>
              <w:rPr>
                <w:sz w:val="14"/>
                <w:szCs w:val="14"/>
              </w:rPr>
            </w:pPr>
          </w:p>
        </w:tc>
        <w:tc>
          <w:tcPr>
            <w:tcW w:w="20" w:type="dxa"/>
            <w:vAlign w:val="bottom"/>
          </w:tcPr>
          <w:p w14:paraId="29722A5B" w14:textId="77777777" w:rsidR="00D1587D" w:rsidRDefault="00D1587D">
            <w:pPr>
              <w:rPr>
                <w:sz w:val="14"/>
                <w:szCs w:val="14"/>
              </w:rPr>
            </w:pPr>
          </w:p>
        </w:tc>
        <w:tc>
          <w:tcPr>
            <w:tcW w:w="740" w:type="dxa"/>
            <w:gridSpan w:val="3"/>
            <w:vAlign w:val="bottom"/>
          </w:tcPr>
          <w:p w14:paraId="1BCFA952" w14:textId="77777777" w:rsidR="00D1587D" w:rsidRDefault="00410D07">
            <w:pPr>
              <w:ind w:right="60"/>
              <w:jc w:val="center"/>
              <w:rPr>
                <w:sz w:val="20"/>
                <w:szCs w:val="20"/>
              </w:rPr>
            </w:pPr>
            <w:r>
              <w:rPr>
                <w:rFonts w:ascii="Arial" w:eastAsia="Arial" w:hAnsi="Arial" w:cs="Arial"/>
                <w:b/>
                <w:bCs/>
                <w:w w:val="86"/>
                <w:sz w:val="14"/>
                <w:szCs w:val="14"/>
              </w:rPr>
              <w:t>Stores at</w:t>
            </w:r>
          </w:p>
        </w:tc>
        <w:tc>
          <w:tcPr>
            <w:tcW w:w="200" w:type="dxa"/>
            <w:vAlign w:val="bottom"/>
          </w:tcPr>
          <w:p w14:paraId="089F747A" w14:textId="77777777" w:rsidR="00D1587D" w:rsidRDefault="00D1587D">
            <w:pPr>
              <w:rPr>
                <w:sz w:val="14"/>
                <w:szCs w:val="14"/>
              </w:rPr>
            </w:pPr>
          </w:p>
        </w:tc>
        <w:tc>
          <w:tcPr>
            <w:tcW w:w="160" w:type="dxa"/>
            <w:vAlign w:val="bottom"/>
          </w:tcPr>
          <w:p w14:paraId="68441CF2" w14:textId="77777777" w:rsidR="00D1587D" w:rsidRDefault="00D1587D">
            <w:pPr>
              <w:rPr>
                <w:sz w:val="14"/>
                <w:szCs w:val="14"/>
              </w:rPr>
            </w:pPr>
          </w:p>
        </w:tc>
        <w:tc>
          <w:tcPr>
            <w:tcW w:w="100" w:type="dxa"/>
            <w:vAlign w:val="bottom"/>
          </w:tcPr>
          <w:p w14:paraId="18176BB3" w14:textId="77777777" w:rsidR="00D1587D" w:rsidRDefault="00D1587D">
            <w:pPr>
              <w:rPr>
                <w:sz w:val="14"/>
                <w:szCs w:val="14"/>
              </w:rPr>
            </w:pPr>
          </w:p>
        </w:tc>
        <w:tc>
          <w:tcPr>
            <w:tcW w:w="240" w:type="dxa"/>
            <w:vAlign w:val="bottom"/>
          </w:tcPr>
          <w:p w14:paraId="558B6833" w14:textId="77777777" w:rsidR="00D1587D" w:rsidRDefault="00D1587D">
            <w:pPr>
              <w:rPr>
                <w:sz w:val="14"/>
                <w:szCs w:val="14"/>
              </w:rPr>
            </w:pPr>
          </w:p>
        </w:tc>
        <w:tc>
          <w:tcPr>
            <w:tcW w:w="200" w:type="dxa"/>
            <w:vAlign w:val="bottom"/>
          </w:tcPr>
          <w:p w14:paraId="602952E1" w14:textId="77777777" w:rsidR="00D1587D" w:rsidRDefault="00D1587D">
            <w:pPr>
              <w:rPr>
                <w:sz w:val="14"/>
                <w:szCs w:val="14"/>
              </w:rPr>
            </w:pPr>
          </w:p>
        </w:tc>
        <w:tc>
          <w:tcPr>
            <w:tcW w:w="300" w:type="dxa"/>
            <w:vAlign w:val="bottom"/>
          </w:tcPr>
          <w:p w14:paraId="2C5D6039" w14:textId="77777777" w:rsidR="00D1587D" w:rsidRDefault="00D1587D">
            <w:pPr>
              <w:rPr>
                <w:sz w:val="14"/>
                <w:szCs w:val="14"/>
              </w:rPr>
            </w:pPr>
          </w:p>
        </w:tc>
        <w:tc>
          <w:tcPr>
            <w:tcW w:w="140" w:type="dxa"/>
            <w:vAlign w:val="bottom"/>
          </w:tcPr>
          <w:p w14:paraId="1541466C" w14:textId="77777777" w:rsidR="00D1587D" w:rsidRDefault="00D1587D">
            <w:pPr>
              <w:rPr>
                <w:sz w:val="14"/>
                <w:szCs w:val="14"/>
              </w:rPr>
            </w:pPr>
          </w:p>
        </w:tc>
        <w:tc>
          <w:tcPr>
            <w:tcW w:w="180" w:type="dxa"/>
            <w:vAlign w:val="bottom"/>
          </w:tcPr>
          <w:p w14:paraId="04375D4D" w14:textId="77777777" w:rsidR="00D1587D" w:rsidRDefault="00D1587D">
            <w:pPr>
              <w:rPr>
                <w:sz w:val="14"/>
                <w:szCs w:val="14"/>
              </w:rPr>
            </w:pPr>
          </w:p>
        </w:tc>
        <w:tc>
          <w:tcPr>
            <w:tcW w:w="540" w:type="dxa"/>
            <w:vAlign w:val="bottom"/>
          </w:tcPr>
          <w:p w14:paraId="5B031210" w14:textId="77777777" w:rsidR="00D1587D" w:rsidRDefault="00410D07">
            <w:pPr>
              <w:jc w:val="center"/>
              <w:rPr>
                <w:sz w:val="20"/>
                <w:szCs w:val="20"/>
              </w:rPr>
            </w:pPr>
            <w:r>
              <w:rPr>
                <w:rFonts w:ascii="Arial" w:eastAsia="Arial" w:hAnsi="Arial" w:cs="Arial"/>
                <w:b/>
                <w:bCs/>
                <w:w w:val="90"/>
                <w:sz w:val="14"/>
                <w:szCs w:val="14"/>
              </w:rPr>
              <w:t>Stores at</w:t>
            </w:r>
          </w:p>
        </w:tc>
        <w:tc>
          <w:tcPr>
            <w:tcW w:w="0" w:type="dxa"/>
            <w:vAlign w:val="bottom"/>
          </w:tcPr>
          <w:p w14:paraId="1FD8C768" w14:textId="77777777" w:rsidR="00D1587D" w:rsidRDefault="00D1587D">
            <w:pPr>
              <w:rPr>
                <w:sz w:val="1"/>
                <w:szCs w:val="1"/>
              </w:rPr>
            </w:pPr>
          </w:p>
        </w:tc>
      </w:tr>
      <w:tr w:rsidR="00D1587D" w14:paraId="32B9E7B4" w14:textId="77777777">
        <w:trPr>
          <w:trHeight w:val="149"/>
        </w:trPr>
        <w:tc>
          <w:tcPr>
            <w:tcW w:w="4860" w:type="dxa"/>
            <w:vAlign w:val="bottom"/>
          </w:tcPr>
          <w:p w14:paraId="2E43C347" w14:textId="77777777" w:rsidR="00D1587D" w:rsidRDefault="00D1587D">
            <w:pPr>
              <w:rPr>
                <w:sz w:val="12"/>
                <w:szCs w:val="12"/>
              </w:rPr>
            </w:pPr>
          </w:p>
        </w:tc>
        <w:tc>
          <w:tcPr>
            <w:tcW w:w="640" w:type="dxa"/>
            <w:vAlign w:val="bottom"/>
          </w:tcPr>
          <w:p w14:paraId="78A73DC7" w14:textId="77777777" w:rsidR="00D1587D" w:rsidRDefault="00D1587D">
            <w:pPr>
              <w:rPr>
                <w:sz w:val="12"/>
                <w:szCs w:val="12"/>
              </w:rPr>
            </w:pPr>
          </w:p>
        </w:tc>
        <w:tc>
          <w:tcPr>
            <w:tcW w:w="100" w:type="dxa"/>
            <w:vAlign w:val="bottom"/>
          </w:tcPr>
          <w:p w14:paraId="42F9E3F8" w14:textId="77777777" w:rsidR="00D1587D" w:rsidRDefault="00D1587D">
            <w:pPr>
              <w:rPr>
                <w:sz w:val="12"/>
                <w:szCs w:val="12"/>
              </w:rPr>
            </w:pPr>
          </w:p>
        </w:tc>
        <w:tc>
          <w:tcPr>
            <w:tcW w:w="20" w:type="dxa"/>
            <w:vAlign w:val="bottom"/>
          </w:tcPr>
          <w:p w14:paraId="07AB717F" w14:textId="77777777" w:rsidR="00D1587D" w:rsidRDefault="00D1587D">
            <w:pPr>
              <w:rPr>
                <w:sz w:val="12"/>
                <w:szCs w:val="12"/>
              </w:rPr>
            </w:pPr>
          </w:p>
        </w:tc>
        <w:tc>
          <w:tcPr>
            <w:tcW w:w="1440" w:type="dxa"/>
            <w:gridSpan w:val="7"/>
            <w:vAlign w:val="bottom"/>
          </w:tcPr>
          <w:p w14:paraId="572DC4CA" w14:textId="77777777" w:rsidR="00D1587D" w:rsidRDefault="00410D07">
            <w:pPr>
              <w:spacing w:line="149" w:lineRule="exact"/>
              <w:ind w:right="648"/>
              <w:jc w:val="center"/>
              <w:rPr>
                <w:sz w:val="20"/>
                <w:szCs w:val="20"/>
              </w:rPr>
            </w:pPr>
            <w:r>
              <w:rPr>
                <w:rFonts w:ascii="Arial" w:eastAsia="Arial" w:hAnsi="Arial" w:cs="Arial"/>
                <w:b/>
                <w:bCs/>
                <w:w w:val="93"/>
                <w:sz w:val="14"/>
                <w:szCs w:val="14"/>
              </w:rPr>
              <w:t>January 30,</w:t>
            </w:r>
          </w:p>
        </w:tc>
        <w:tc>
          <w:tcPr>
            <w:tcW w:w="200" w:type="dxa"/>
            <w:vAlign w:val="bottom"/>
          </w:tcPr>
          <w:p w14:paraId="11E3674E" w14:textId="77777777" w:rsidR="00D1587D" w:rsidRDefault="00D1587D">
            <w:pPr>
              <w:rPr>
                <w:sz w:val="12"/>
                <w:szCs w:val="12"/>
              </w:rPr>
            </w:pPr>
          </w:p>
        </w:tc>
        <w:tc>
          <w:tcPr>
            <w:tcW w:w="440" w:type="dxa"/>
            <w:gridSpan w:val="2"/>
            <w:vMerge w:val="restart"/>
            <w:vAlign w:val="bottom"/>
          </w:tcPr>
          <w:p w14:paraId="5BFEE0B8" w14:textId="77777777" w:rsidR="00D1587D" w:rsidRDefault="00410D07">
            <w:pPr>
              <w:ind w:right="20"/>
              <w:jc w:val="right"/>
              <w:rPr>
                <w:sz w:val="20"/>
                <w:szCs w:val="20"/>
              </w:rPr>
            </w:pPr>
            <w:r>
              <w:rPr>
                <w:rFonts w:ascii="Arial" w:eastAsia="Arial" w:hAnsi="Arial" w:cs="Arial"/>
                <w:b/>
                <w:bCs/>
                <w:w w:val="85"/>
                <w:sz w:val="14"/>
                <w:szCs w:val="14"/>
              </w:rPr>
              <w:t>Closed</w:t>
            </w:r>
          </w:p>
        </w:tc>
        <w:tc>
          <w:tcPr>
            <w:tcW w:w="180" w:type="dxa"/>
            <w:vAlign w:val="bottom"/>
          </w:tcPr>
          <w:p w14:paraId="5BFFD453" w14:textId="77777777" w:rsidR="00D1587D" w:rsidRDefault="00D1587D">
            <w:pPr>
              <w:rPr>
                <w:sz w:val="12"/>
                <w:szCs w:val="12"/>
              </w:rPr>
            </w:pPr>
          </w:p>
        </w:tc>
        <w:tc>
          <w:tcPr>
            <w:tcW w:w="540" w:type="dxa"/>
            <w:vAlign w:val="bottom"/>
          </w:tcPr>
          <w:p w14:paraId="00815A0F" w14:textId="77777777" w:rsidR="00D1587D" w:rsidRDefault="00410D07">
            <w:pPr>
              <w:spacing w:line="149" w:lineRule="exact"/>
              <w:jc w:val="center"/>
              <w:rPr>
                <w:sz w:val="20"/>
                <w:szCs w:val="20"/>
              </w:rPr>
            </w:pPr>
            <w:r>
              <w:rPr>
                <w:rFonts w:ascii="Arial" w:eastAsia="Arial" w:hAnsi="Arial" w:cs="Arial"/>
                <w:b/>
                <w:bCs/>
                <w:w w:val="98"/>
                <w:sz w:val="14"/>
                <w:szCs w:val="14"/>
              </w:rPr>
              <w:t>May 1,</w:t>
            </w:r>
          </w:p>
        </w:tc>
        <w:tc>
          <w:tcPr>
            <w:tcW w:w="0" w:type="dxa"/>
            <w:vAlign w:val="bottom"/>
          </w:tcPr>
          <w:p w14:paraId="7D68A61F" w14:textId="77777777" w:rsidR="00D1587D" w:rsidRDefault="00D1587D">
            <w:pPr>
              <w:rPr>
                <w:sz w:val="1"/>
                <w:szCs w:val="1"/>
              </w:rPr>
            </w:pPr>
          </w:p>
        </w:tc>
      </w:tr>
      <w:tr w:rsidR="00D1587D" w14:paraId="339E2EB3" w14:textId="77777777">
        <w:trPr>
          <w:trHeight w:val="186"/>
        </w:trPr>
        <w:tc>
          <w:tcPr>
            <w:tcW w:w="4860" w:type="dxa"/>
            <w:vAlign w:val="bottom"/>
          </w:tcPr>
          <w:p w14:paraId="20FAADBF" w14:textId="77777777" w:rsidR="00D1587D" w:rsidRDefault="00D1587D">
            <w:pPr>
              <w:rPr>
                <w:sz w:val="16"/>
                <w:szCs w:val="16"/>
              </w:rPr>
            </w:pPr>
          </w:p>
        </w:tc>
        <w:tc>
          <w:tcPr>
            <w:tcW w:w="640" w:type="dxa"/>
            <w:vAlign w:val="bottom"/>
          </w:tcPr>
          <w:p w14:paraId="4BE84B8F" w14:textId="77777777" w:rsidR="00D1587D" w:rsidRDefault="00D1587D">
            <w:pPr>
              <w:rPr>
                <w:sz w:val="16"/>
                <w:szCs w:val="16"/>
              </w:rPr>
            </w:pPr>
          </w:p>
        </w:tc>
        <w:tc>
          <w:tcPr>
            <w:tcW w:w="100" w:type="dxa"/>
            <w:vAlign w:val="bottom"/>
          </w:tcPr>
          <w:p w14:paraId="29A77841" w14:textId="77777777" w:rsidR="00D1587D" w:rsidRDefault="00D1587D">
            <w:pPr>
              <w:rPr>
                <w:sz w:val="16"/>
                <w:szCs w:val="16"/>
              </w:rPr>
            </w:pPr>
          </w:p>
        </w:tc>
        <w:tc>
          <w:tcPr>
            <w:tcW w:w="20" w:type="dxa"/>
            <w:vAlign w:val="bottom"/>
          </w:tcPr>
          <w:p w14:paraId="18BD1E26" w14:textId="77777777" w:rsidR="00D1587D" w:rsidRDefault="00D1587D">
            <w:pPr>
              <w:rPr>
                <w:sz w:val="16"/>
                <w:szCs w:val="16"/>
              </w:rPr>
            </w:pPr>
          </w:p>
        </w:tc>
        <w:tc>
          <w:tcPr>
            <w:tcW w:w="560" w:type="dxa"/>
            <w:gridSpan w:val="2"/>
            <w:vAlign w:val="bottom"/>
          </w:tcPr>
          <w:p w14:paraId="2A3A44B0" w14:textId="77777777" w:rsidR="00D1587D" w:rsidRDefault="00410D07">
            <w:pPr>
              <w:ind w:left="77"/>
              <w:jc w:val="center"/>
              <w:rPr>
                <w:sz w:val="20"/>
                <w:szCs w:val="20"/>
              </w:rPr>
            </w:pPr>
            <w:r>
              <w:rPr>
                <w:rFonts w:ascii="Arial" w:eastAsia="Arial" w:hAnsi="Arial" w:cs="Arial"/>
                <w:b/>
                <w:bCs/>
                <w:w w:val="89"/>
                <w:sz w:val="14"/>
                <w:szCs w:val="14"/>
              </w:rPr>
              <w:t>2021</w:t>
            </w:r>
          </w:p>
        </w:tc>
        <w:tc>
          <w:tcPr>
            <w:tcW w:w="180" w:type="dxa"/>
            <w:vAlign w:val="bottom"/>
          </w:tcPr>
          <w:p w14:paraId="1869E636" w14:textId="77777777" w:rsidR="00D1587D" w:rsidRDefault="00D1587D">
            <w:pPr>
              <w:rPr>
                <w:sz w:val="16"/>
                <w:szCs w:val="16"/>
              </w:rPr>
            </w:pPr>
          </w:p>
        </w:tc>
        <w:tc>
          <w:tcPr>
            <w:tcW w:w="200" w:type="dxa"/>
            <w:vAlign w:val="bottom"/>
          </w:tcPr>
          <w:p w14:paraId="31B16A07" w14:textId="77777777" w:rsidR="00D1587D" w:rsidRDefault="00D1587D">
            <w:pPr>
              <w:rPr>
                <w:sz w:val="16"/>
                <w:szCs w:val="16"/>
              </w:rPr>
            </w:pPr>
          </w:p>
        </w:tc>
        <w:tc>
          <w:tcPr>
            <w:tcW w:w="500" w:type="dxa"/>
            <w:gridSpan w:val="3"/>
            <w:vAlign w:val="bottom"/>
          </w:tcPr>
          <w:p w14:paraId="7E3D6229" w14:textId="77777777" w:rsidR="00D1587D" w:rsidRDefault="00410D07">
            <w:pPr>
              <w:jc w:val="right"/>
              <w:rPr>
                <w:sz w:val="20"/>
                <w:szCs w:val="20"/>
              </w:rPr>
            </w:pPr>
            <w:r>
              <w:rPr>
                <w:rFonts w:ascii="Arial" w:eastAsia="Arial" w:hAnsi="Arial" w:cs="Arial"/>
                <w:b/>
                <w:bCs/>
                <w:w w:val="91"/>
                <w:sz w:val="14"/>
                <w:szCs w:val="14"/>
              </w:rPr>
              <w:t>Opened</w:t>
            </w:r>
          </w:p>
        </w:tc>
        <w:tc>
          <w:tcPr>
            <w:tcW w:w="200" w:type="dxa"/>
            <w:vAlign w:val="bottom"/>
          </w:tcPr>
          <w:p w14:paraId="13EBB403" w14:textId="77777777" w:rsidR="00D1587D" w:rsidRDefault="00D1587D">
            <w:pPr>
              <w:rPr>
                <w:sz w:val="16"/>
                <w:szCs w:val="16"/>
              </w:rPr>
            </w:pPr>
          </w:p>
        </w:tc>
        <w:tc>
          <w:tcPr>
            <w:tcW w:w="440" w:type="dxa"/>
            <w:gridSpan w:val="2"/>
            <w:vMerge/>
            <w:vAlign w:val="bottom"/>
          </w:tcPr>
          <w:p w14:paraId="546586F8" w14:textId="77777777" w:rsidR="00D1587D" w:rsidRDefault="00D1587D">
            <w:pPr>
              <w:rPr>
                <w:sz w:val="16"/>
                <w:szCs w:val="16"/>
              </w:rPr>
            </w:pPr>
          </w:p>
        </w:tc>
        <w:tc>
          <w:tcPr>
            <w:tcW w:w="720" w:type="dxa"/>
            <w:gridSpan w:val="2"/>
            <w:vAlign w:val="bottom"/>
          </w:tcPr>
          <w:p w14:paraId="55F7B48E" w14:textId="77777777" w:rsidR="00D1587D" w:rsidRDefault="00410D07">
            <w:pPr>
              <w:ind w:right="68"/>
              <w:jc w:val="right"/>
              <w:rPr>
                <w:sz w:val="20"/>
                <w:szCs w:val="20"/>
              </w:rPr>
            </w:pPr>
            <w:r>
              <w:rPr>
                <w:rFonts w:ascii="Arial" w:eastAsia="Arial" w:hAnsi="Arial" w:cs="Arial"/>
                <w:b/>
                <w:bCs/>
                <w:sz w:val="14"/>
                <w:szCs w:val="14"/>
              </w:rPr>
              <w:t>2021</w:t>
            </w:r>
          </w:p>
        </w:tc>
        <w:tc>
          <w:tcPr>
            <w:tcW w:w="0" w:type="dxa"/>
            <w:vAlign w:val="bottom"/>
          </w:tcPr>
          <w:p w14:paraId="1AD68AF9" w14:textId="77777777" w:rsidR="00D1587D" w:rsidRDefault="00D1587D">
            <w:pPr>
              <w:rPr>
                <w:sz w:val="1"/>
                <w:szCs w:val="1"/>
              </w:rPr>
            </w:pPr>
          </w:p>
        </w:tc>
      </w:tr>
      <w:tr w:rsidR="00D1587D" w14:paraId="65B82153" w14:textId="77777777">
        <w:trPr>
          <w:trHeight w:val="53"/>
        </w:trPr>
        <w:tc>
          <w:tcPr>
            <w:tcW w:w="4860" w:type="dxa"/>
            <w:tcBorders>
              <w:bottom w:val="single" w:sz="8" w:space="0" w:color="CCEEFF"/>
            </w:tcBorders>
            <w:vAlign w:val="bottom"/>
          </w:tcPr>
          <w:p w14:paraId="5672645D" w14:textId="77777777" w:rsidR="00D1587D" w:rsidRDefault="00D1587D">
            <w:pPr>
              <w:rPr>
                <w:sz w:val="4"/>
                <w:szCs w:val="4"/>
              </w:rPr>
            </w:pPr>
          </w:p>
        </w:tc>
        <w:tc>
          <w:tcPr>
            <w:tcW w:w="640" w:type="dxa"/>
            <w:tcBorders>
              <w:bottom w:val="single" w:sz="8" w:space="0" w:color="CCEEFF"/>
            </w:tcBorders>
            <w:vAlign w:val="bottom"/>
          </w:tcPr>
          <w:p w14:paraId="7D812DBB" w14:textId="77777777" w:rsidR="00D1587D" w:rsidRDefault="00D1587D">
            <w:pPr>
              <w:rPr>
                <w:sz w:val="4"/>
                <w:szCs w:val="4"/>
              </w:rPr>
            </w:pPr>
          </w:p>
        </w:tc>
        <w:tc>
          <w:tcPr>
            <w:tcW w:w="100" w:type="dxa"/>
            <w:tcBorders>
              <w:bottom w:val="single" w:sz="8" w:space="0" w:color="CCEEFF"/>
            </w:tcBorders>
            <w:vAlign w:val="bottom"/>
          </w:tcPr>
          <w:p w14:paraId="5FC458FD" w14:textId="77777777" w:rsidR="00D1587D" w:rsidRDefault="00D1587D">
            <w:pPr>
              <w:rPr>
                <w:sz w:val="4"/>
                <w:szCs w:val="4"/>
              </w:rPr>
            </w:pPr>
          </w:p>
        </w:tc>
        <w:tc>
          <w:tcPr>
            <w:tcW w:w="20" w:type="dxa"/>
            <w:tcBorders>
              <w:bottom w:val="single" w:sz="8" w:space="0" w:color="CCEEFF"/>
            </w:tcBorders>
            <w:vAlign w:val="bottom"/>
          </w:tcPr>
          <w:p w14:paraId="0A96DE12" w14:textId="77777777" w:rsidR="00D1587D" w:rsidRDefault="00D1587D">
            <w:pPr>
              <w:rPr>
                <w:sz w:val="4"/>
                <w:szCs w:val="4"/>
              </w:rPr>
            </w:pPr>
          </w:p>
        </w:tc>
        <w:tc>
          <w:tcPr>
            <w:tcW w:w="80" w:type="dxa"/>
            <w:tcBorders>
              <w:bottom w:val="single" w:sz="8" w:space="0" w:color="auto"/>
            </w:tcBorders>
            <w:vAlign w:val="bottom"/>
          </w:tcPr>
          <w:p w14:paraId="58D20B30" w14:textId="77777777" w:rsidR="00D1587D" w:rsidRDefault="00D1587D">
            <w:pPr>
              <w:rPr>
                <w:sz w:val="4"/>
                <w:szCs w:val="4"/>
              </w:rPr>
            </w:pPr>
          </w:p>
        </w:tc>
        <w:tc>
          <w:tcPr>
            <w:tcW w:w="480" w:type="dxa"/>
            <w:tcBorders>
              <w:bottom w:val="single" w:sz="8" w:space="0" w:color="auto"/>
            </w:tcBorders>
            <w:vAlign w:val="bottom"/>
          </w:tcPr>
          <w:p w14:paraId="0D04288D" w14:textId="77777777" w:rsidR="00D1587D" w:rsidRDefault="00D1587D">
            <w:pPr>
              <w:rPr>
                <w:sz w:val="4"/>
                <w:szCs w:val="4"/>
              </w:rPr>
            </w:pPr>
          </w:p>
        </w:tc>
        <w:tc>
          <w:tcPr>
            <w:tcW w:w="180" w:type="dxa"/>
            <w:tcBorders>
              <w:bottom w:val="single" w:sz="8" w:space="0" w:color="auto"/>
            </w:tcBorders>
            <w:vAlign w:val="bottom"/>
          </w:tcPr>
          <w:p w14:paraId="73946337" w14:textId="77777777" w:rsidR="00D1587D" w:rsidRDefault="00D1587D">
            <w:pPr>
              <w:rPr>
                <w:sz w:val="4"/>
                <w:szCs w:val="4"/>
              </w:rPr>
            </w:pPr>
          </w:p>
        </w:tc>
        <w:tc>
          <w:tcPr>
            <w:tcW w:w="200" w:type="dxa"/>
            <w:tcBorders>
              <w:bottom w:val="single" w:sz="8" w:space="0" w:color="CCEEFF"/>
            </w:tcBorders>
            <w:vAlign w:val="bottom"/>
          </w:tcPr>
          <w:p w14:paraId="1EAF2573" w14:textId="77777777" w:rsidR="00D1587D" w:rsidRDefault="00D1587D">
            <w:pPr>
              <w:rPr>
                <w:sz w:val="4"/>
                <w:szCs w:val="4"/>
              </w:rPr>
            </w:pPr>
          </w:p>
        </w:tc>
        <w:tc>
          <w:tcPr>
            <w:tcW w:w="160" w:type="dxa"/>
            <w:tcBorders>
              <w:bottom w:val="single" w:sz="8" w:space="0" w:color="auto"/>
            </w:tcBorders>
            <w:vAlign w:val="bottom"/>
          </w:tcPr>
          <w:p w14:paraId="403C78FB" w14:textId="77777777" w:rsidR="00D1587D" w:rsidRDefault="00D1587D">
            <w:pPr>
              <w:rPr>
                <w:sz w:val="4"/>
                <w:szCs w:val="4"/>
              </w:rPr>
            </w:pPr>
          </w:p>
        </w:tc>
        <w:tc>
          <w:tcPr>
            <w:tcW w:w="100" w:type="dxa"/>
            <w:tcBorders>
              <w:bottom w:val="single" w:sz="8" w:space="0" w:color="auto"/>
            </w:tcBorders>
            <w:vAlign w:val="bottom"/>
          </w:tcPr>
          <w:p w14:paraId="6AFA049B" w14:textId="77777777" w:rsidR="00D1587D" w:rsidRDefault="00D1587D">
            <w:pPr>
              <w:rPr>
                <w:sz w:val="4"/>
                <w:szCs w:val="4"/>
              </w:rPr>
            </w:pPr>
          </w:p>
        </w:tc>
        <w:tc>
          <w:tcPr>
            <w:tcW w:w="240" w:type="dxa"/>
            <w:tcBorders>
              <w:bottom w:val="single" w:sz="8" w:space="0" w:color="auto"/>
            </w:tcBorders>
            <w:vAlign w:val="bottom"/>
          </w:tcPr>
          <w:p w14:paraId="148F9CD5" w14:textId="77777777" w:rsidR="00D1587D" w:rsidRDefault="00D1587D">
            <w:pPr>
              <w:rPr>
                <w:sz w:val="4"/>
                <w:szCs w:val="4"/>
              </w:rPr>
            </w:pPr>
          </w:p>
        </w:tc>
        <w:tc>
          <w:tcPr>
            <w:tcW w:w="200" w:type="dxa"/>
            <w:tcBorders>
              <w:bottom w:val="single" w:sz="8" w:space="0" w:color="CCEEFF"/>
            </w:tcBorders>
            <w:vAlign w:val="bottom"/>
          </w:tcPr>
          <w:p w14:paraId="648047DB" w14:textId="77777777" w:rsidR="00D1587D" w:rsidRDefault="00D1587D">
            <w:pPr>
              <w:rPr>
                <w:sz w:val="4"/>
                <w:szCs w:val="4"/>
              </w:rPr>
            </w:pPr>
          </w:p>
        </w:tc>
        <w:tc>
          <w:tcPr>
            <w:tcW w:w="300" w:type="dxa"/>
            <w:tcBorders>
              <w:bottom w:val="single" w:sz="8" w:space="0" w:color="auto"/>
            </w:tcBorders>
            <w:vAlign w:val="bottom"/>
          </w:tcPr>
          <w:p w14:paraId="28518A68" w14:textId="77777777" w:rsidR="00D1587D" w:rsidRDefault="00D1587D">
            <w:pPr>
              <w:rPr>
                <w:sz w:val="4"/>
                <w:szCs w:val="4"/>
              </w:rPr>
            </w:pPr>
          </w:p>
        </w:tc>
        <w:tc>
          <w:tcPr>
            <w:tcW w:w="140" w:type="dxa"/>
            <w:tcBorders>
              <w:bottom w:val="single" w:sz="8" w:space="0" w:color="auto"/>
            </w:tcBorders>
            <w:vAlign w:val="bottom"/>
          </w:tcPr>
          <w:p w14:paraId="5B377632" w14:textId="77777777" w:rsidR="00D1587D" w:rsidRDefault="00D1587D">
            <w:pPr>
              <w:rPr>
                <w:sz w:val="4"/>
                <w:szCs w:val="4"/>
              </w:rPr>
            </w:pPr>
          </w:p>
        </w:tc>
        <w:tc>
          <w:tcPr>
            <w:tcW w:w="180" w:type="dxa"/>
            <w:tcBorders>
              <w:bottom w:val="single" w:sz="8" w:space="0" w:color="CCEEFF"/>
            </w:tcBorders>
            <w:vAlign w:val="bottom"/>
          </w:tcPr>
          <w:p w14:paraId="79BE41C3" w14:textId="77777777" w:rsidR="00D1587D" w:rsidRDefault="00D1587D">
            <w:pPr>
              <w:rPr>
                <w:sz w:val="4"/>
                <w:szCs w:val="4"/>
              </w:rPr>
            </w:pPr>
          </w:p>
        </w:tc>
        <w:tc>
          <w:tcPr>
            <w:tcW w:w="540" w:type="dxa"/>
            <w:tcBorders>
              <w:bottom w:val="single" w:sz="8" w:space="0" w:color="auto"/>
            </w:tcBorders>
            <w:vAlign w:val="bottom"/>
          </w:tcPr>
          <w:p w14:paraId="12EDE1BC" w14:textId="77777777" w:rsidR="00D1587D" w:rsidRDefault="00D1587D">
            <w:pPr>
              <w:rPr>
                <w:sz w:val="4"/>
                <w:szCs w:val="4"/>
              </w:rPr>
            </w:pPr>
          </w:p>
        </w:tc>
        <w:tc>
          <w:tcPr>
            <w:tcW w:w="0" w:type="dxa"/>
            <w:vAlign w:val="bottom"/>
          </w:tcPr>
          <w:p w14:paraId="4AF9A191" w14:textId="77777777" w:rsidR="00D1587D" w:rsidRDefault="00D1587D">
            <w:pPr>
              <w:rPr>
                <w:sz w:val="1"/>
                <w:szCs w:val="1"/>
              </w:rPr>
            </w:pPr>
          </w:p>
        </w:tc>
      </w:tr>
      <w:tr w:rsidR="00D1587D" w14:paraId="21DA2DAF" w14:textId="77777777">
        <w:trPr>
          <w:trHeight w:val="298"/>
        </w:trPr>
        <w:tc>
          <w:tcPr>
            <w:tcW w:w="4860" w:type="dxa"/>
            <w:tcBorders>
              <w:bottom w:val="single" w:sz="8" w:space="0" w:color="CCEEFF"/>
            </w:tcBorders>
            <w:shd w:val="clear" w:color="auto" w:fill="CCEEFF"/>
            <w:vAlign w:val="bottom"/>
          </w:tcPr>
          <w:p w14:paraId="63E34B56" w14:textId="77777777" w:rsidR="00D1587D" w:rsidRDefault="00410D07">
            <w:pPr>
              <w:rPr>
                <w:sz w:val="20"/>
                <w:szCs w:val="20"/>
              </w:rPr>
            </w:pPr>
            <w:r>
              <w:rPr>
                <w:rFonts w:ascii="Arial" w:eastAsia="Arial" w:hAnsi="Arial" w:cs="Arial"/>
                <w:sz w:val="18"/>
                <w:szCs w:val="18"/>
              </w:rPr>
              <w:t>Beauty and Accessories</w:t>
            </w:r>
          </w:p>
        </w:tc>
        <w:tc>
          <w:tcPr>
            <w:tcW w:w="640" w:type="dxa"/>
            <w:tcBorders>
              <w:bottom w:val="single" w:sz="8" w:space="0" w:color="CCEEFF"/>
            </w:tcBorders>
            <w:shd w:val="clear" w:color="auto" w:fill="CCEEFF"/>
            <w:vAlign w:val="bottom"/>
          </w:tcPr>
          <w:p w14:paraId="21CE0872" w14:textId="77777777" w:rsidR="00D1587D" w:rsidRDefault="00D1587D">
            <w:pPr>
              <w:rPr>
                <w:sz w:val="24"/>
                <w:szCs w:val="24"/>
              </w:rPr>
            </w:pPr>
          </w:p>
        </w:tc>
        <w:tc>
          <w:tcPr>
            <w:tcW w:w="100" w:type="dxa"/>
            <w:tcBorders>
              <w:bottom w:val="single" w:sz="8" w:space="0" w:color="CCEEFF"/>
            </w:tcBorders>
            <w:shd w:val="clear" w:color="auto" w:fill="CCEEFF"/>
            <w:vAlign w:val="bottom"/>
          </w:tcPr>
          <w:p w14:paraId="7826CDF5" w14:textId="77777777" w:rsidR="00D1587D" w:rsidRDefault="00D1587D">
            <w:pPr>
              <w:rPr>
                <w:sz w:val="24"/>
                <w:szCs w:val="24"/>
              </w:rPr>
            </w:pPr>
          </w:p>
        </w:tc>
        <w:tc>
          <w:tcPr>
            <w:tcW w:w="20" w:type="dxa"/>
            <w:tcBorders>
              <w:bottom w:val="single" w:sz="8" w:space="0" w:color="CCEEFF"/>
            </w:tcBorders>
            <w:shd w:val="clear" w:color="auto" w:fill="CCEEFF"/>
            <w:vAlign w:val="bottom"/>
          </w:tcPr>
          <w:p w14:paraId="03B83A53"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4DA2419E" w14:textId="77777777" w:rsidR="00D1587D" w:rsidRDefault="00410D07">
            <w:pPr>
              <w:ind w:left="77"/>
              <w:jc w:val="center"/>
              <w:rPr>
                <w:sz w:val="20"/>
                <w:szCs w:val="20"/>
              </w:rPr>
            </w:pPr>
            <w:r>
              <w:rPr>
                <w:rFonts w:ascii="Arial" w:eastAsia="Arial" w:hAnsi="Arial" w:cs="Arial"/>
                <w:w w:val="93"/>
                <w:sz w:val="18"/>
                <w:szCs w:val="18"/>
              </w:rPr>
              <w:t>338</w:t>
            </w:r>
          </w:p>
        </w:tc>
        <w:tc>
          <w:tcPr>
            <w:tcW w:w="180" w:type="dxa"/>
            <w:tcBorders>
              <w:bottom w:val="single" w:sz="8" w:space="0" w:color="CCEEFF"/>
              <w:right w:val="single" w:sz="8" w:space="0" w:color="CCEEFF"/>
            </w:tcBorders>
            <w:shd w:val="clear" w:color="auto" w:fill="CCEEFF"/>
            <w:vAlign w:val="bottom"/>
          </w:tcPr>
          <w:p w14:paraId="64BC1E77" w14:textId="77777777" w:rsidR="00D1587D" w:rsidRDefault="00D1587D">
            <w:pPr>
              <w:rPr>
                <w:sz w:val="24"/>
                <w:szCs w:val="24"/>
              </w:rPr>
            </w:pPr>
          </w:p>
        </w:tc>
        <w:tc>
          <w:tcPr>
            <w:tcW w:w="700" w:type="dxa"/>
            <w:gridSpan w:val="4"/>
            <w:tcBorders>
              <w:bottom w:val="single" w:sz="8" w:space="0" w:color="CCEEFF"/>
            </w:tcBorders>
            <w:shd w:val="clear" w:color="auto" w:fill="CCEEFF"/>
            <w:vAlign w:val="bottom"/>
          </w:tcPr>
          <w:p w14:paraId="1FE9B3CB" w14:textId="77777777" w:rsidR="00D1587D" w:rsidRDefault="00410D07">
            <w:pPr>
              <w:ind w:left="112"/>
              <w:jc w:val="center"/>
              <w:rPr>
                <w:sz w:val="20"/>
                <w:szCs w:val="20"/>
              </w:rPr>
            </w:pPr>
            <w:r>
              <w:rPr>
                <w:rFonts w:ascii="Arial" w:eastAsia="Arial" w:hAnsi="Arial" w:cs="Arial"/>
                <w:w w:val="99"/>
                <w:sz w:val="18"/>
                <w:szCs w:val="18"/>
              </w:rPr>
              <w:t>2</w:t>
            </w:r>
          </w:p>
        </w:tc>
        <w:tc>
          <w:tcPr>
            <w:tcW w:w="640" w:type="dxa"/>
            <w:gridSpan w:val="3"/>
            <w:tcBorders>
              <w:bottom w:val="single" w:sz="8" w:space="0" w:color="CCEEFF"/>
              <w:right w:val="single" w:sz="8" w:space="0" w:color="CCEEFF"/>
            </w:tcBorders>
            <w:shd w:val="clear" w:color="auto" w:fill="CCEEFF"/>
            <w:vAlign w:val="bottom"/>
          </w:tcPr>
          <w:p w14:paraId="63A3302F" w14:textId="77777777" w:rsidR="00D1587D" w:rsidRDefault="00410D07">
            <w:pPr>
              <w:ind w:right="80"/>
              <w:jc w:val="right"/>
              <w:rPr>
                <w:sz w:val="20"/>
                <w:szCs w:val="20"/>
              </w:rPr>
            </w:pPr>
            <w:r>
              <w:rPr>
                <w:rFonts w:ascii="Arial" w:eastAsia="Arial" w:hAnsi="Arial" w:cs="Arial"/>
                <w:sz w:val="18"/>
                <w:szCs w:val="18"/>
              </w:rPr>
              <w:t>(3)</w:t>
            </w:r>
          </w:p>
        </w:tc>
        <w:tc>
          <w:tcPr>
            <w:tcW w:w="720" w:type="dxa"/>
            <w:gridSpan w:val="2"/>
            <w:tcBorders>
              <w:bottom w:val="single" w:sz="8" w:space="0" w:color="CCEEFF"/>
            </w:tcBorders>
            <w:shd w:val="clear" w:color="auto" w:fill="CCEEFF"/>
            <w:vAlign w:val="bottom"/>
          </w:tcPr>
          <w:p w14:paraId="067C792F" w14:textId="77777777" w:rsidR="00D1587D" w:rsidRDefault="00410D07">
            <w:pPr>
              <w:ind w:right="68"/>
              <w:jc w:val="right"/>
              <w:rPr>
                <w:sz w:val="20"/>
                <w:szCs w:val="20"/>
              </w:rPr>
            </w:pPr>
            <w:r>
              <w:rPr>
                <w:rFonts w:ascii="Arial" w:eastAsia="Arial" w:hAnsi="Arial" w:cs="Arial"/>
                <w:sz w:val="18"/>
                <w:szCs w:val="18"/>
              </w:rPr>
              <w:t>337</w:t>
            </w:r>
          </w:p>
        </w:tc>
        <w:tc>
          <w:tcPr>
            <w:tcW w:w="0" w:type="dxa"/>
            <w:vAlign w:val="bottom"/>
          </w:tcPr>
          <w:p w14:paraId="7041A815" w14:textId="77777777" w:rsidR="00D1587D" w:rsidRDefault="00D1587D">
            <w:pPr>
              <w:rPr>
                <w:sz w:val="1"/>
                <w:szCs w:val="1"/>
              </w:rPr>
            </w:pPr>
          </w:p>
        </w:tc>
      </w:tr>
      <w:tr w:rsidR="00D1587D" w14:paraId="0ABEBF32" w14:textId="77777777">
        <w:trPr>
          <w:trHeight w:val="257"/>
        </w:trPr>
        <w:tc>
          <w:tcPr>
            <w:tcW w:w="4860" w:type="dxa"/>
            <w:vAlign w:val="bottom"/>
          </w:tcPr>
          <w:p w14:paraId="4A175662" w14:textId="77777777" w:rsidR="00D1587D" w:rsidRDefault="00410D07">
            <w:pPr>
              <w:rPr>
                <w:sz w:val="20"/>
                <w:szCs w:val="20"/>
              </w:rPr>
            </w:pPr>
            <w:r>
              <w:rPr>
                <w:rFonts w:ascii="Arial" w:eastAsia="Arial" w:hAnsi="Arial" w:cs="Arial"/>
                <w:sz w:val="18"/>
                <w:szCs w:val="18"/>
              </w:rPr>
              <w:t>Full Assortment</w:t>
            </w:r>
          </w:p>
        </w:tc>
        <w:tc>
          <w:tcPr>
            <w:tcW w:w="640" w:type="dxa"/>
            <w:vAlign w:val="bottom"/>
          </w:tcPr>
          <w:p w14:paraId="7C59D633" w14:textId="77777777" w:rsidR="00D1587D" w:rsidRDefault="00D1587D"/>
        </w:tc>
        <w:tc>
          <w:tcPr>
            <w:tcW w:w="100" w:type="dxa"/>
            <w:vAlign w:val="bottom"/>
          </w:tcPr>
          <w:p w14:paraId="1D7B523F" w14:textId="77777777" w:rsidR="00D1587D" w:rsidRDefault="00D1587D"/>
        </w:tc>
        <w:tc>
          <w:tcPr>
            <w:tcW w:w="20" w:type="dxa"/>
            <w:vAlign w:val="bottom"/>
          </w:tcPr>
          <w:p w14:paraId="1F0F0E22" w14:textId="77777777" w:rsidR="00D1587D" w:rsidRDefault="00D1587D"/>
        </w:tc>
        <w:tc>
          <w:tcPr>
            <w:tcW w:w="560" w:type="dxa"/>
            <w:gridSpan w:val="2"/>
            <w:vAlign w:val="bottom"/>
          </w:tcPr>
          <w:p w14:paraId="1F9E00A0" w14:textId="77777777" w:rsidR="00D1587D" w:rsidRDefault="00410D07">
            <w:pPr>
              <w:ind w:left="77"/>
              <w:jc w:val="center"/>
              <w:rPr>
                <w:sz w:val="20"/>
                <w:szCs w:val="20"/>
              </w:rPr>
            </w:pPr>
            <w:r>
              <w:rPr>
                <w:rFonts w:ascii="Arial" w:eastAsia="Arial" w:hAnsi="Arial" w:cs="Arial"/>
                <w:w w:val="93"/>
                <w:sz w:val="18"/>
                <w:szCs w:val="18"/>
              </w:rPr>
              <w:t>120</w:t>
            </w:r>
          </w:p>
        </w:tc>
        <w:tc>
          <w:tcPr>
            <w:tcW w:w="180" w:type="dxa"/>
            <w:vAlign w:val="bottom"/>
          </w:tcPr>
          <w:p w14:paraId="0B8ABE8A" w14:textId="77777777" w:rsidR="00D1587D" w:rsidRDefault="00D1587D"/>
        </w:tc>
        <w:tc>
          <w:tcPr>
            <w:tcW w:w="700" w:type="dxa"/>
            <w:gridSpan w:val="4"/>
            <w:vAlign w:val="bottom"/>
          </w:tcPr>
          <w:p w14:paraId="64BC6163" w14:textId="77777777" w:rsidR="00D1587D" w:rsidRDefault="00410D07">
            <w:pPr>
              <w:ind w:left="112"/>
              <w:jc w:val="center"/>
              <w:rPr>
                <w:sz w:val="20"/>
                <w:szCs w:val="20"/>
              </w:rPr>
            </w:pPr>
            <w:r>
              <w:rPr>
                <w:rFonts w:ascii="Arial" w:eastAsia="Arial" w:hAnsi="Arial" w:cs="Arial"/>
                <w:w w:val="99"/>
                <w:sz w:val="18"/>
                <w:szCs w:val="18"/>
              </w:rPr>
              <w:t>1</w:t>
            </w:r>
          </w:p>
        </w:tc>
        <w:tc>
          <w:tcPr>
            <w:tcW w:w="200" w:type="dxa"/>
            <w:vAlign w:val="bottom"/>
          </w:tcPr>
          <w:p w14:paraId="29F10814" w14:textId="77777777" w:rsidR="00D1587D" w:rsidRDefault="00D1587D"/>
        </w:tc>
        <w:tc>
          <w:tcPr>
            <w:tcW w:w="440" w:type="dxa"/>
            <w:gridSpan w:val="2"/>
            <w:vAlign w:val="bottom"/>
          </w:tcPr>
          <w:p w14:paraId="1ECFBD6F" w14:textId="77777777" w:rsidR="00D1587D" w:rsidRDefault="00410D07">
            <w:pPr>
              <w:ind w:right="140"/>
              <w:jc w:val="right"/>
              <w:rPr>
                <w:sz w:val="20"/>
                <w:szCs w:val="20"/>
              </w:rPr>
            </w:pPr>
            <w:r>
              <w:rPr>
                <w:rFonts w:ascii="Arial" w:eastAsia="Arial" w:hAnsi="Arial" w:cs="Arial"/>
                <w:sz w:val="18"/>
                <w:szCs w:val="18"/>
              </w:rPr>
              <w:t>—</w:t>
            </w:r>
          </w:p>
        </w:tc>
        <w:tc>
          <w:tcPr>
            <w:tcW w:w="720" w:type="dxa"/>
            <w:gridSpan w:val="2"/>
            <w:vAlign w:val="bottom"/>
          </w:tcPr>
          <w:p w14:paraId="22A320D2" w14:textId="77777777" w:rsidR="00D1587D" w:rsidRDefault="00410D07">
            <w:pPr>
              <w:ind w:right="68"/>
              <w:jc w:val="right"/>
              <w:rPr>
                <w:sz w:val="20"/>
                <w:szCs w:val="20"/>
              </w:rPr>
            </w:pPr>
            <w:r>
              <w:rPr>
                <w:rFonts w:ascii="Arial" w:eastAsia="Arial" w:hAnsi="Arial" w:cs="Arial"/>
                <w:sz w:val="18"/>
                <w:szCs w:val="18"/>
              </w:rPr>
              <w:t>121</w:t>
            </w:r>
          </w:p>
        </w:tc>
        <w:tc>
          <w:tcPr>
            <w:tcW w:w="0" w:type="dxa"/>
            <w:vAlign w:val="bottom"/>
          </w:tcPr>
          <w:p w14:paraId="672ED56E" w14:textId="77777777" w:rsidR="00D1587D" w:rsidRDefault="00D1587D">
            <w:pPr>
              <w:rPr>
                <w:sz w:val="1"/>
                <w:szCs w:val="1"/>
              </w:rPr>
            </w:pPr>
          </w:p>
        </w:tc>
      </w:tr>
      <w:tr w:rsidR="00D1587D" w14:paraId="69666D6F" w14:textId="77777777">
        <w:trPr>
          <w:trHeight w:val="68"/>
        </w:trPr>
        <w:tc>
          <w:tcPr>
            <w:tcW w:w="4860" w:type="dxa"/>
            <w:tcBorders>
              <w:bottom w:val="single" w:sz="8" w:space="0" w:color="CCEEFF"/>
            </w:tcBorders>
            <w:vAlign w:val="bottom"/>
          </w:tcPr>
          <w:p w14:paraId="52B999A9" w14:textId="77777777" w:rsidR="00D1587D" w:rsidRDefault="00D1587D">
            <w:pPr>
              <w:rPr>
                <w:sz w:val="5"/>
                <w:szCs w:val="5"/>
              </w:rPr>
            </w:pPr>
          </w:p>
        </w:tc>
        <w:tc>
          <w:tcPr>
            <w:tcW w:w="640" w:type="dxa"/>
            <w:tcBorders>
              <w:bottom w:val="single" w:sz="8" w:space="0" w:color="CCEEFF"/>
            </w:tcBorders>
            <w:vAlign w:val="bottom"/>
          </w:tcPr>
          <w:p w14:paraId="3548C096" w14:textId="77777777" w:rsidR="00D1587D" w:rsidRDefault="00D1587D">
            <w:pPr>
              <w:rPr>
                <w:sz w:val="5"/>
                <w:szCs w:val="5"/>
              </w:rPr>
            </w:pPr>
          </w:p>
        </w:tc>
        <w:tc>
          <w:tcPr>
            <w:tcW w:w="100" w:type="dxa"/>
            <w:tcBorders>
              <w:bottom w:val="single" w:sz="8" w:space="0" w:color="CCEEFF"/>
            </w:tcBorders>
            <w:vAlign w:val="bottom"/>
          </w:tcPr>
          <w:p w14:paraId="43110C50" w14:textId="77777777" w:rsidR="00D1587D" w:rsidRDefault="00D1587D">
            <w:pPr>
              <w:rPr>
                <w:sz w:val="5"/>
                <w:szCs w:val="5"/>
              </w:rPr>
            </w:pPr>
          </w:p>
        </w:tc>
        <w:tc>
          <w:tcPr>
            <w:tcW w:w="20" w:type="dxa"/>
            <w:tcBorders>
              <w:bottom w:val="single" w:sz="8" w:space="0" w:color="CCEEFF"/>
            </w:tcBorders>
            <w:vAlign w:val="bottom"/>
          </w:tcPr>
          <w:p w14:paraId="00124065" w14:textId="77777777" w:rsidR="00D1587D" w:rsidRDefault="00D1587D">
            <w:pPr>
              <w:rPr>
                <w:sz w:val="5"/>
                <w:szCs w:val="5"/>
              </w:rPr>
            </w:pPr>
          </w:p>
        </w:tc>
        <w:tc>
          <w:tcPr>
            <w:tcW w:w="80" w:type="dxa"/>
            <w:tcBorders>
              <w:bottom w:val="single" w:sz="8" w:space="0" w:color="auto"/>
            </w:tcBorders>
            <w:vAlign w:val="bottom"/>
          </w:tcPr>
          <w:p w14:paraId="573D024F" w14:textId="77777777" w:rsidR="00D1587D" w:rsidRDefault="00D1587D">
            <w:pPr>
              <w:rPr>
                <w:sz w:val="5"/>
                <w:szCs w:val="5"/>
              </w:rPr>
            </w:pPr>
          </w:p>
        </w:tc>
        <w:tc>
          <w:tcPr>
            <w:tcW w:w="480" w:type="dxa"/>
            <w:tcBorders>
              <w:bottom w:val="single" w:sz="8" w:space="0" w:color="auto"/>
            </w:tcBorders>
            <w:vAlign w:val="bottom"/>
          </w:tcPr>
          <w:p w14:paraId="5A8E8390" w14:textId="77777777" w:rsidR="00D1587D" w:rsidRDefault="00D1587D">
            <w:pPr>
              <w:rPr>
                <w:sz w:val="5"/>
                <w:szCs w:val="5"/>
              </w:rPr>
            </w:pPr>
          </w:p>
        </w:tc>
        <w:tc>
          <w:tcPr>
            <w:tcW w:w="180" w:type="dxa"/>
            <w:tcBorders>
              <w:bottom w:val="single" w:sz="8" w:space="0" w:color="auto"/>
            </w:tcBorders>
            <w:vAlign w:val="bottom"/>
          </w:tcPr>
          <w:p w14:paraId="285A2440" w14:textId="77777777" w:rsidR="00D1587D" w:rsidRDefault="00D1587D">
            <w:pPr>
              <w:rPr>
                <w:sz w:val="5"/>
                <w:szCs w:val="5"/>
              </w:rPr>
            </w:pPr>
          </w:p>
        </w:tc>
        <w:tc>
          <w:tcPr>
            <w:tcW w:w="200" w:type="dxa"/>
            <w:tcBorders>
              <w:bottom w:val="single" w:sz="8" w:space="0" w:color="CCEEFF"/>
            </w:tcBorders>
            <w:vAlign w:val="bottom"/>
          </w:tcPr>
          <w:p w14:paraId="252D652C" w14:textId="77777777" w:rsidR="00D1587D" w:rsidRDefault="00D1587D">
            <w:pPr>
              <w:rPr>
                <w:sz w:val="5"/>
                <w:szCs w:val="5"/>
              </w:rPr>
            </w:pPr>
          </w:p>
        </w:tc>
        <w:tc>
          <w:tcPr>
            <w:tcW w:w="160" w:type="dxa"/>
            <w:tcBorders>
              <w:bottom w:val="single" w:sz="8" w:space="0" w:color="auto"/>
            </w:tcBorders>
            <w:vAlign w:val="bottom"/>
          </w:tcPr>
          <w:p w14:paraId="598F0C1E" w14:textId="77777777" w:rsidR="00D1587D" w:rsidRDefault="00D1587D">
            <w:pPr>
              <w:rPr>
                <w:sz w:val="5"/>
                <w:szCs w:val="5"/>
              </w:rPr>
            </w:pPr>
          </w:p>
        </w:tc>
        <w:tc>
          <w:tcPr>
            <w:tcW w:w="100" w:type="dxa"/>
            <w:tcBorders>
              <w:bottom w:val="single" w:sz="8" w:space="0" w:color="auto"/>
            </w:tcBorders>
            <w:vAlign w:val="bottom"/>
          </w:tcPr>
          <w:p w14:paraId="5FD0D182" w14:textId="77777777" w:rsidR="00D1587D" w:rsidRDefault="00D1587D">
            <w:pPr>
              <w:rPr>
                <w:sz w:val="5"/>
                <w:szCs w:val="5"/>
              </w:rPr>
            </w:pPr>
          </w:p>
        </w:tc>
        <w:tc>
          <w:tcPr>
            <w:tcW w:w="240" w:type="dxa"/>
            <w:tcBorders>
              <w:bottom w:val="single" w:sz="8" w:space="0" w:color="auto"/>
            </w:tcBorders>
            <w:vAlign w:val="bottom"/>
          </w:tcPr>
          <w:p w14:paraId="690256AB" w14:textId="77777777" w:rsidR="00D1587D" w:rsidRDefault="00D1587D">
            <w:pPr>
              <w:rPr>
                <w:sz w:val="5"/>
                <w:szCs w:val="5"/>
              </w:rPr>
            </w:pPr>
          </w:p>
        </w:tc>
        <w:tc>
          <w:tcPr>
            <w:tcW w:w="200" w:type="dxa"/>
            <w:tcBorders>
              <w:bottom w:val="single" w:sz="8" w:space="0" w:color="CCEEFF"/>
            </w:tcBorders>
            <w:vAlign w:val="bottom"/>
          </w:tcPr>
          <w:p w14:paraId="19C3D449" w14:textId="77777777" w:rsidR="00D1587D" w:rsidRDefault="00D1587D">
            <w:pPr>
              <w:rPr>
                <w:sz w:val="5"/>
                <w:szCs w:val="5"/>
              </w:rPr>
            </w:pPr>
          </w:p>
        </w:tc>
        <w:tc>
          <w:tcPr>
            <w:tcW w:w="300" w:type="dxa"/>
            <w:tcBorders>
              <w:bottom w:val="single" w:sz="8" w:space="0" w:color="auto"/>
            </w:tcBorders>
            <w:vAlign w:val="bottom"/>
          </w:tcPr>
          <w:p w14:paraId="08B3B928" w14:textId="77777777" w:rsidR="00D1587D" w:rsidRDefault="00D1587D">
            <w:pPr>
              <w:rPr>
                <w:sz w:val="5"/>
                <w:szCs w:val="5"/>
              </w:rPr>
            </w:pPr>
          </w:p>
        </w:tc>
        <w:tc>
          <w:tcPr>
            <w:tcW w:w="140" w:type="dxa"/>
            <w:tcBorders>
              <w:bottom w:val="single" w:sz="8" w:space="0" w:color="auto"/>
            </w:tcBorders>
            <w:vAlign w:val="bottom"/>
          </w:tcPr>
          <w:p w14:paraId="71D2F5B1" w14:textId="77777777" w:rsidR="00D1587D" w:rsidRDefault="00D1587D">
            <w:pPr>
              <w:rPr>
                <w:sz w:val="5"/>
                <w:szCs w:val="5"/>
              </w:rPr>
            </w:pPr>
          </w:p>
        </w:tc>
        <w:tc>
          <w:tcPr>
            <w:tcW w:w="180" w:type="dxa"/>
            <w:tcBorders>
              <w:bottom w:val="single" w:sz="8" w:space="0" w:color="CCEEFF"/>
            </w:tcBorders>
            <w:vAlign w:val="bottom"/>
          </w:tcPr>
          <w:p w14:paraId="4528700D" w14:textId="77777777" w:rsidR="00D1587D" w:rsidRDefault="00D1587D">
            <w:pPr>
              <w:rPr>
                <w:sz w:val="5"/>
                <w:szCs w:val="5"/>
              </w:rPr>
            </w:pPr>
          </w:p>
        </w:tc>
        <w:tc>
          <w:tcPr>
            <w:tcW w:w="540" w:type="dxa"/>
            <w:tcBorders>
              <w:bottom w:val="single" w:sz="8" w:space="0" w:color="auto"/>
            </w:tcBorders>
            <w:vAlign w:val="bottom"/>
          </w:tcPr>
          <w:p w14:paraId="3B5F7A2A" w14:textId="77777777" w:rsidR="00D1587D" w:rsidRDefault="00D1587D">
            <w:pPr>
              <w:rPr>
                <w:sz w:val="5"/>
                <w:szCs w:val="5"/>
              </w:rPr>
            </w:pPr>
          </w:p>
        </w:tc>
        <w:tc>
          <w:tcPr>
            <w:tcW w:w="0" w:type="dxa"/>
            <w:vAlign w:val="bottom"/>
          </w:tcPr>
          <w:p w14:paraId="58DE761F" w14:textId="77777777" w:rsidR="00D1587D" w:rsidRDefault="00D1587D">
            <w:pPr>
              <w:rPr>
                <w:sz w:val="1"/>
                <w:szCs w:val="1"/>
              </w:rPr>
            </w:pPr>
          </w:p>
        </w:tc>
      </w:tr>
      <w:tr w:rsidR="00D1587D" w14:paraId="1B1F5547" w14:textId="77777777">
        <w:trPr>
          <w:trHeight w:val="376"/>
        </w:trPr>
        <w:tc>
          <w:tcPr>
            <w:tcW w:w="4860" w:type="dxa"/>
            <w:tcBorders>
              <w:bottom w:val="single" w:sz="8" w:space="0" w:color="CCEEFF"/>
            </w:tcBorders>
            <w:shd w:val="clear" w:color="auto" w:fill="CCEEFF"/>
            <w:vAlign w:val="bottom"/>
          </w:tcPr>
          <w:p w14:paraId="198123ED" w14:textId="77777777" w:rsidR="00D1587D" w:rsidRDefault="00410D07">
            <w:pPr>
              <w:ind w:left="180"/>
              <w:rPr>
                <w:sz w:val="20"/>
                <w:szCs w:val="20"/>
              </w:rPr>
            </w:pPr>
            <w:r>
              <w:rPr>
                <w:rFonts w:ascii="Arial" w:eastAsia="Arial" w:hAnsi="Arial" w:cs="Arial"/>
                <w:b/>
                <w:bCs/>
                <w:sz w:val="18"/>
                <w:szCs w:val="18"/>
              </w:rPr>
              <w:t>Total</w:t>
            </w:r>
          </w:p>
        </w:tc>
        <w:tc>
          <w:tcPr>
            <w:tcW w:w="640" w:type="dxa"/>
            <w:tcBorders>
              <w:bottom w:val="single" w:sz="8" w:space="0" w:color="CCEEFF"/>
            </w:tcBorders>
            <w:shd w:val="clear" w:color="auto" w:fill="CCEEFF"/>
            <w:vAlign w:val="bottom"/>
          </w:tcPr>
          <w:p w14:paraId="0A4C0475" w14:textId="77777777" w:rsidR="00D1587D" w:rsidRDefault="00D1587D">
            <w:pPr>
              <w:rPr>
                <w:sz w:val="24"/>
                <w:szCs w:val="24"/>
              </w:rPr>
            </w:pPr>
          </w:p>
        </w:tc>
        <w:tc>
          <w:tcPr>
            <w:tcW w:w="100" w:type="dxa"/>
            <w:tcBorders>
              <w:bottom w:val="single" w:sz="8" w:space="0" w:color="CCEEFF"/>
            </w:tcBorders>
            <w:shd w:val="clear" w:color="auto" w:fill="CCEEFF"/>
            <w:vAlign w:val="bottom"/>
          </w:tcPr>
          <w:p w14:paraId="2153A950" w14:textId="77777777" w:rsidR="00D1587D" w:rsidRDefault="00D1587D">
            <w:pPr>
              <w:rPr>
                <w:sz w:val="24"/>
                <w:szCs w:val="24"/>
              </w:rPr>
            </w:pPr>
          </w:p>
        </w:tc>
        <w:tc>
          <w:tcPr>
            <w:tcW w:w="20" w:type="dxa"/>
            <w:tcBorders>
              <w:bottom w:val="single" w:sz="8" w:space="0" w:color="CCEEFF"/>
            </w:tcBorders>
            <w:shd w:val="clear" w:color="auto" w:fill="CCEEFF"/>
            <w:vAlign w:val="bottom"/>
          </w:tcPr>
          <w:p w14:paraId="21932D5E"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264037AE" w14:textId="77777777" w:rsidR="00D1587D" w:rsidRDefault="00410D07">
            <w:pPr>
              <w:ind w:left="77"/>
              <w:jc w:val="center"/>
              <w:rPr>
                <w:sz w:val="20"/>
                <w:szCs w:val="20"/>
              </w:rPr>
            </w:pPr>
            <w:r>
              <w:rPr>
                <w:rFonts w:ascii="Arial" w:eastAsia="Arial" w:hAnsi="Arial" w:cs="Arial"/>
                <w:b/>
                <w:bCs/>
                <w:w w:val="93"/>
                <w:sz w:val="18"/>
                <w:szCs w:val="18"/>
              </w:rPr>
              <w:t>458</w:t>
            </w:r>
          </w:p>
        </w:tc>
        <w:tc>
          <w:tcPr>
            <w:tcW w:w="180" w:type="dxa"/>
            <w:tcBorders>
              <w:bottom w:val="single" w:sz="8" w:space="0" w:color="CCEEFF"/>
              <w:right w:val="single" w:sz="8" w:space="0" w:color="CCEEFF"/>
            </w:tcBorders>
            <w:shd w:val="clear" w:color="auto" w:fill="CCEEFF"/>
            <w:vAlign w:val="bottom"/>
          </w:tcPr>
          <w:p w14:paraId="08A4E176" w14:textId="77777777" w:rsidR="00D1587D" w:rsidRDefault="00D1587D">
            <w:pPr>
              <w:rPr>
                <w:sz w:val="24"/>
                <w:szCs w:val="24"/>
              </w:rPr>
            </w:pPr>
          </w:p>
        </w:tc>
        <w:tc>
          <w:tcPr>
            <w:tcW w:w="700" w:type="dxa"/>
            <w:gridSpan w:val="4"/>
            <w:tcBorders>
              <w:bottom w:val="single" w:sz="8" w:space="0" w:color="CCEEFF"/>
            </w:tcBorders>
            <w:shd w:val="clear" w:color="auto" w:fill="CCEEFF"/>
            <w:vAlign w:val="bottom"/>
          </w:tcPr>
          <w:p w14:paraId="386A17C7" w14:textId="77777777" w:rsidR="00D1587D" w:rsidRDefault="00410D07">
            <w:pPr>
              <w:ind w:left="112"/>
              <w:jc w:val="center"/>
              <w:rPr>
                <w:sz w:val="20"/>
                <w:szCs w:val="20"/>
              </w:rPr>
            </w:pPr>
            <w:r>
              <w:rPr>
                <w:rFonts w:ascii="Arial" w:eastAsia="Arial" w:hAnsi="Arial" w:cs="Arial"/>
                <w:b/>
                <w:bCs/>
                <w:w w:val="99"/>
                <w:sz w:val="18"/>
                <w:szCs w:val="18"/>
              </w:rPr>
              <w:t>3</w:t>
            </w:r>
          </w:p>
        </w:tc>
        <w:tc>
          <w:tcPr>
            <w:tcW w:w="640" w:type="dxa"/>
            <w:gridSpan w:val="3"/>
            <w:tcBorders>
              <w:bottom w:val="single" w:sz="8" w:space="0" w:color="CCEEFF"/>
              <w:right w:val="single" w:sz="8" w:space="0" w:color="CCEEFF"/>
            </w:tcBorders>
            <w:shd w:val="clear" w:color="auto" w:fill="CCEEFF"/>
            <w:vAlign w:val="bottom"/>
          </w:tcPr>
          <w:p w14:paraId="591EF1B4" w14:textId="77777777" w:rsidR="00D1587D" w:rsidRDefault="00410D07">
            <w:pPr>
              <w:ind w:right="80"/>
              <w:jc w:val="right"/>
              <w:rPr>
                <w:sz w:val="20"/>
                <w:szCs w:val="20"/>
              </w:rPr>
            </w:pPr>
            <w:r>
              <w:rPr>
                <w:rFonts w:ascii="Arial" w:eastAsia="Arial" w:hAnsi="Arial" w:cs="Arial"/>
                <w:b/>
                <w:bCs/>
                <w:sz w:val="18"/>
                <w:szCs w:val="18"/>
              </w:rPr>
              <w:t>(3)</w:t>
            </w:r>
          </w:p>
        </w:tc>
        <w:tc>
          <w:tcPr>
            <w:tcW w:w="720" w:type="dxa"/>
            <w:gridSpan w:val="2"/>
            <w:tcBorders>
              <w:bottom w:val="single" w:sz="8" w:space="0" w:color="CCEEFF"/>
            </w:tcBorders>
            <w:shd w:val="clear" w:color="auto" w:fill="CCEEFF"/>
            <w:vAlign w:val="bottom"/>
          </w:tcPr>
          <w:p w14:paraId="132B5A03" w14:textId="77777777" w:rsidR="00D1587D" w:rsidRDefault="00410D07">
            <w:pPr>
              <w:ind w:right="68"/>
              <w:jc w:val="right"/>
              <w:rPr>
                <w:sz w:val="20"/>
                <w:szCs w:val="20"/>
              </w:rPr>
            </w:pPr>
            <w:r>
              <w:rPr>
                <w:rFonts w:ascii="Arial" w:eastAsia="Arial" w:hAnsi="Arial" w:cs="Arial"/>
                <w:b/>
                <w:bCs/>
                <w:sz w:val="18"/>
                <w:szCs w:val="18"/>
              </w:rPr>
              <w:t>458</w:t>
            </w:r>
          </w:p>
        </w:tc>
        <w:tc>
          <w:tcPr>
            <w:tcW w:w="0" w:type="dxa"/>
            <w:vAlign w:val="bottom"/>
          </w:tcPr>
          <w:p w14:paraId="0128F3D8" w14:textId="77777777" w:rsidR="00D1587D" w:rsidRDefault="00D1587D">
            <w:pPr>
              <w:rPr>
                <w:sz w:val="1"/>
                <w:szCs w:val="1"/>
              </w:rPr>
            </w:pPr>
          </w:p>
        </w:tc>
      </w:tr>
      <w:tr w:rsidR="00D1587D" w14:paraId="61F60D8D" w14:textId="77777777">
        <w:trPr>
          <w:trHeight w:val="20"/>
        </w:trPr>
        <w:tc>
          <w:tcPr>
            <w:tcW w:w="5500" w:type="dxa"/>
            <w:gridSpan w:val="2"/>
            <w:tcBorders>
              <w:top w:val="single" w:sz="8" w:space="0" w:color="CCEEFF"/>
            </w:tcBorders>
            <w:vAlign w:val="bottom"/>
          </w:tcPr>
          <w:p w14:paraId="1C1733ED" w14:textId="77777777" w:rsidR="00D1587D" w:rsidRDefault="00D1587D">
            <w:pPr>
              <w:spacing w:line="20" w:lineRule="exact"/>
              <w:rPr>
                <w:sz w:val="1"/>
                <w:szCs w:val="1"/>
              </w:rPr>
            </w:pPr>
          </w:p>
        </w:tc>
        <w:tc>
          <w:tcPr>
            <w:tcW w:w="100" w:type="dxa"/>
            <w:tcBorders>
              <w:top w:val="single" w:sz="8" w:space="0" w:color="CCEEFF"/>
            </w:tcBorders>
            <w:vAlign w:val="bottom"/>
          </w:tcPr>
          <w:p w14:paraId="412FD3BE" w14:textId="77777777" w:rsidR="00D1587D" w:rsidRDefault="00D1587D">
            <w:pPr>
              <w:spacing w:line="20" w:lineRule="exact"/>
              <w:rPr>
                <w:sz w:val="1"/>
                <w:szCs w:val="1"/>
              </w:rPr>
            </w:pPr>
          </w:p>
        </w:tc>
        <w:tc>
          <w:tcPr>
            <w:tcW w:w="20" w:type="dxa"/>
            <w:tcBorders>
              <w:top w:val="single" w:sz="8" w:space="0" w:color="CCEEFF"/>
            </w:tcBorders>
            <w:vAlign w:val="bottom"/>
          </w:tcPr>
          <w:p w14:paraId="62DAEA8A" w14:textId="77777777" w:rsidR="00D1587D" w:rsidRDefault="00D1587D">
            <w:pPr>
              <w:spacing w:line="20" w:lineRule="exact"/>
              <w:rPr>
                <w:sz w:val="1"/>
                <w:szCs w:val="1"/>
              </w:rPr>
            </w:pPr>
          </w:p>
        </w:tc>
        <w:tc>
          <w:tcPr>
            <w:tcW w:w="80" w:type="dxa"/>
            <w:tcBorders>
              <w:top w:val="single" w:sz="8" w:space="0" w:color="auto"/>
            </w:tcBorders>
            <w:shd w:val="clear" w:color="auto" w:fill="000000"/>
            <w:vAlign w:val="bottom"/>
          </w:tcPr>
          <w:p w14:paraId="03648F72" w14:textId="77777777" w:rsidR="00D1587D" w:rsidRDefault="00D1587D">
            <w:pPr>
              <w:spacing w:line="20" w:lineRule="exact"/>
              <w:rPr>
                <w:sz w:val="1"/>
                <w:szCs w:val="1"/>
              </w:rPr>
            </w:pPr>
          </w:p>
        </w:tc>
        <w:tc>
          <w:tcPr>
            <w:tcW w:w="480" w:type="dxa"/>
            <w:tcBorders>
              <w:top w:val="single" w:sz="8" w:space="0" w:color="auto"/>
            </w:tcBorders>
            <w:shd w:val="clear" w:color="auto" w:fill="000000"/>
            <w:vAlign w:val="bottom"/>
          </w:tcPr>
          <w:p w14:paraId="43DFBDB0" w14:textId="77777777" w:rsidR="00D1587D" w:rsidRDefault="00D1587D">
            <w:pPr>
              <w:spacing w:line="20" w:lineRule="exact"/>
              <w:rPr>
                <w:sz w:val="1"/>
                <w:szCs w:val="1"/>
              </w:rPr>
            </w:pPr>
          </w:p>
        </w:tc>
        <w:tc>
          <w:tcPr>
            <w:tcW w:w="180" w:type="dxa"/>
            <w:tcBorders>
              <w:top w:val="single" w:sz="8" w:space="0" w:color="auto"/>
              <w:right w:val="single" w:sz="8" w:space="0" w:color="auto"/>
            </w:tcBorders>
            <w:shd w:val="clear" w:color="auto" w:fill="000000"/>
            <w:vAlign w:val="bottom"/>
          </w:tcPr>
          <w:p w14:paraId="797CE865" w14:textId="77777777" w:rsidR="00D1587D" w:rsidRDefault="00D1587D">
            <w:pPr>
              <w:spacing w:line="20" w:lineRule="exact"/>
              <w:rPr>
                <w:sz w:val="1"/>
                <w:szCs w:val="1"/>
              </w:rPr>
            </w:pPr>
          </w:p>
        </w:tc>
        <w:tc>
          <w:tcPr>
            <w:tcW w:w="200" w:type="dxa"/>
            <w:tcBorders>
              <w:top w:val="single" w:sz="8" w:space="0" w:color="CCEEFF"/>
            </w:tcBorders>
            <w:vAlign w:val="bottom"/>
          </w:tcPr>
          <w:p w14:paraId="47EC5444" w14:textId="77777777" w:rsidR="00D1587D" w:rsidRDefault="00D1587D">
            <w:pPr>
              <w:spacing w:line="20" w:lineRule="exact"/>
              <w:rPr>
                <w:sz w:val="1"/>
                <w:szCs w:val="1"/>
              </w:rPr>
            </w:pPr>
          </w:p>
        </w:tc>
        <w:tc>
          <w:tcPr>
            <w:tcW w:w="160" w:type="dxa"/>
            <w:tcBorders>
              <w:top w:val="single" w:sz="8" w:space="0" w:color="auto"/>
            </w:tcBorders>
            <w:shd w:val="clear" w:color="auto" w:fill="000000"/>
            <w:vAlign w:val="bottom"/>
          </w:tcPr>
          <w:p w14:paraId="50698BFE" w14:textId="77777777" w:rsidR="00D1587D" w:rsidRDefault="00D1587D">
            <w:pPr>
              <w:spacing w:line="20" w:lineRule="exact"/>
              <w:rPr>
                <w:sz w:val="1"/>
                <w:szCs w:val="1"/>
              </w:rPr>
            </w:pPr>
          </w:p>
        </w:tc>
        <w:tc>
          <w:tcPr>
            <w:tcW w:w="100" w:type="dxa"/>
            <w:tcBorders>
              <w:top w:val="single" w:sz="8" w:space="0" w:color="auto"/>
            </w:tcBorders>
            <w:shd w:val="clear" w:color="auto" w:fill="000000"/>
            <w:vAlign w:val="bottom"/>
          </w:tcPr>
          <w:p w14:paraId="7C2C8090" w14:textId="77777777" w:rsidR="00D1587D" w:rsidRDefault="00D1587D">
            <w:pPr>
              <w:spacing w:line="20" w:lineRule="exact"/>
              <w:rPr>
                <w:sz w:val="1"/>
                <w:szCs w:val="1"/>
              </w:rPr>
            </w:pPr>
          </w:p>
        </w:tc>
        <w:tc>
          <w:tcPr>
            <w:tcW w:w="240" w:type="dxa"/>
            <w:tcBorders>
              <w:top w:val="single" w:sz="8" w:space="0" w:color="auto"/>
            </w:tcBorders>
            <w:shd w:val="clear" w:color="auto" w:fill="000000"/>
            <w:vAlign w:val="bottom"/>
          </w:tcPr>
          <w:p w14:paraId="524D06BA" w14:textId="77777777" w:rsidR="00D1587D" w:rsidRDefault="00D1587D">
            <w:pPr>
              <w:spacing w:line="20" w:lineRule="exact"/>
              <w:rPr>
                <w:sz w:val="1"/>
                <w:szCs w:val="1"/>
              </w:rPr>
            </w:pPr>
          </w:p>
        </w:tc>
        <w:tc>
          <w:tcPr>
            <w:tcW w:w="200" w:type="dxa"/>
            <w:tcBorders>
              <w:top w:val="single" w:sz="8" w:space="0" w:color="CCEEFF"/>
            </w:tcBorders>
            <w:vAlign w:val="bottom"/>
          </w:tcPr>
          <w:p w14:paraId="7007F57E" w14:textId="77777777" w:rsidR="00D1587D" w:rsidRDefault="00D1587D">
            <w:pPr>
              <w:spacing w:line="20" w:lineRule="exact"/>
              <w:rPr>
                <w:sz w:val="1"/>
                <w:szCs w:val="1"/>
              </w:rPr>
            </w:pPr>
          </w:p>
        </w:tc>
        <w:tc>
          <w:tcPr>
            <w:tcW w:w="300" w:type="dxa"/>
            <w:tcBorders>
              <w:top w:val="single" w:sz="8" w:space="0" w:color="auto"/>
            </w:tcBorders>
            <w:shd w:val="clear" w:color="auto" w:fill="000000"/>
            <w:vAlign w:val="bottom"/>
          </w:tcPr>
          <w:p w14:paraId="7C61E080" w14:textId="77777777" w:rsidR="00D1587D" w:rsidRDefault="00D1587D">
            <w:pPr>
              <w:spacing w:line="20" w:lineRule="exact"/>
              <w:rPr>
                <w:sz w:val="1"/>
                <w:szCs w:val="1"/>
              </w:rPr>
            </w:pPr>
          </w:p>
        </w:tc>
        <w:tc>
          <w:tcPr>
            <w:tcW w:w="140" w:type="dxa"/>
            <w:tcBorders>
              <w:top w:val="single" w:sz="8" w:space="0" w:color="auto"/>
              <w:right w:val="single" w:sz="8" w:space="0" w:color="auto"/>
            </w:tcBorders>
            <w:shd w:val="clear" w:color="auto" w:fill="000000"/>
            <w:vAlign w:val="bottom"/>
          </w:tcPr>
          <w:p w14:paraId="51EE86E9" w14:textId="77777777" w:rsidR="00D1587D" w:rsidRDefault="00D1587D">
            <w:pPr>
              <w:spacing w:line="20" w:lineRule="exact"/>
              <w:rPr>
                <w:sz w:val="1"/>
                <w:szCs w:val="1"/>
              </w:rPr>
            </w:pPr>
          </w:p>
        </w:tc>
        <w:tc>
          <w:tcPr>
            <w:tcW w:w="180" w:type="dxa"/>
            <w:tcBorders>
              <w:top w:val="single" w:sz="8" w:space="0" w:color="CCEEFF"/>
            </w:tcBorders>
            <w:vAlign w:val="bottom"/>
          </w:tcPr>
          <w:p w14:paraId="46BA6E96" w14:textId="77777777" w:rsidR="00D1587D" w:rsidRDefault="00D1587D">
            <w:pPr>
              <w:spacing w:line="20" w:lineRule="exact"/>
              <w:rPr>
                <w:sz w:val="1"/>
                <w:szCs w:val="1"/>
              </w:rPr>
            </w:pPr>
          </w:p>
        </w:tc>
        <w:tc>
          <w:tcPr>
            <w:tcW w:w="540" w:type="dxa"/>
            <w:tcBorders>
              <w:top w:val="single" w:sz="8" w:space="0" w:color="auto"/>
            </w:tcBorders>
            <w:shd w:val="clear" w:color="auto" w:fill="000000"/>
            <w:vAlign w:val="bottom"/>
          </w:tcPr>
          <w:p w14:paraId="79315771" w14:textId="77777777" w:rsidR="00D1587D" w:rsidRDefault="00D1587D">
            <w:pPr>
              <w:spacing w:line="20" w:lineRule="exact"/>
              <w:rPr>
                <w:sz w:val="1"/>
                <w:szCs w:val="1"/>
              </w:rPr>
            </w:pPr>
          </w:p>
        </w:tc>
        <w:tc>
          <w:tcPr>
            <w:tcW w:w="0" w:type="dxa"/>
            <w:vAlign w:val="bottom"/>
          </w:tcPr>
          <w:p w14:paraId="74F479EA" w14:textId="77777777" w:rsidR="00D1587D" w:rsidRDefault="00D1587D">
            <w:pPr>
              <w:spacing w:line="20" w:lineRule="exact"/>
              <w:rPr>
                <w:sz w:val="1"/>
                <w:szCs w:val="1"/>
              </w:rPr>
            </w:pPr>
          </w:p>
        </w:tc>
      </w:tr>
      <w:tr w:rsidR="00D1587D" w14:paraId="7067E17E" w14:textId="77777777">
        <w:trPr>
          <w:trHeight w:val="298"/>
        </w:trPr>
        <w:tc>
          <w:tcPr>
            <w:tcW w:w="7060" w:type="dxa"/>
            <w:gridSpan w:val="11"/>
            <w:vAlign w:val="bottom"/>
          </w:tcPr>
          <w:p w14:paraId="3772CAB1" w14:textId="77777777" w:rsidR="00D1587D" w:rsidRDefault="00410D07">
            <w:pPr>
              <w:ind w:left="360"/>
              <w:rPr>
                <w:sz w:val="20"/>
                <w:szCs w:val="20"/>
              </w:rPr>
            </w:pPr>
            <w:r>
              <w:rPr>
                <w:rFonts w:ascii="Arial" w:eastAsia="Arial" w:hAnsi="Arial" w:cs="Arial"/>
                <w:w w:val="97"/>
                <w:sz w:val="18"/>
                <w:szCs w:val="18"/>
              </w:rPr>
              <w:t>The follo</w:t>
            </w:r>
            <w:r>
              <w:rPr>
                <w:rFonts w:ascii="Arial" w:eastAsia="Arial" w:hAnsi="Arial" w:cs="Arial"/>
                <w:w w:val="97"/>
                <w:sz w:val="18"/>
                <w:szCs w:val="18"/>
              </w:rPr>
              <w:t>wing table represents partner-operated store data for the first quarter of 2020:</w:t>
            </w:r>
          </w:p>
        </w:tc>
        <w:tc>
          <w:tcPr>
            <w:tcW w:w="200" w:type="dxa"/>
            <w:vAlign w:val="bottom"/>
          </w:tcPr>
          <w:p w14:paraId="49D6B46D" w14:textId="77777777" w:rsidR="00D1587D" w:rsidRDefault="00D1587D">
            <w:pPr>
              <w:rPr>
                <w:sz w:val="24"/>
                <w:szCs w:val="24"/>
              </w:rPr>
            </w:pPr>
          </w:p>
        </w:tc>
        <w:tc>
          <w:tcPr>
            <w:tcW w:w="300" w:type="dxa"/>
            <w:vAlign w:val="bottom"/>
          </w:tcPr>
          <w:p w14:paraId="4CD4A86B" w14:textId="77777777" w:rsidR="00D1587D" w:rsidRDefault="00D1587D">
            <w:pPr>
              <w:rPr>
                <w:sz w:val="24"/>
                <w:szCs w:val="24"/>
              </w:rPr>
            </w:pPr>
          </w:p>
        </w:tc>
        <w:tc>
          <w:tcPr>
            <w:tcW w:w="140" w:type="dxa"/>
            <w:vAlign w:val="bottom"/>
          </w:tcPr>
          <w:p w14:paraId="154DDD27" w14:textId="77777777" w:rsidR="00D1587D" w:rsidRDefault="00D1587D">
            <w:pPr>
              <w:rPr>
                <w:sz w:val="24"/>
                <w:szCs w:val="24"/>
              </w:rPr>
            </w:pPr>
          </w:p>
        </w:tc>
        <w:tc>
          <w:tcPr>
            <w:tcW w:w="180" w:type="dxa"/>
            <w:vAlign w:val="bottom"/>
          </w:tcPr>
          <w:p w14:paraId="6729D132" w14:textId="77777777" w:rsidR="00D1587D" w:rsidRDefault="00D1587D">
            <w:pPr>
              <w:rPr>
                <w:sz w:val="24"/>
                <w:szCs w:val="24"/>
              </w:rPr>
            </w:pPr>
          </w:p>
        </w:tc>
        <w:tc>
          <w:tcPr>
            <w:tcW w:w="540" w:type="dxa"/>
            <w:vAlign w:val="bottom"/>
          </w:tcPr>
          <w:p w14:paraId="4A4B5590" w14:textId="77777777" w:rsidR="00D1587D" w:rsidRDefault="00D1587D">
            <w:pPr>
              <w:rPr>
                <w:sz w:val="24"/>
                <w:szCs w:val="24"/>
              </w:rPr>
            </w:pPr>
          </w:p>
        </w:tc>
        <w:tc>
          <w:tcPr>
            <w:tcW w:w="0" w:type="dxa"/>
            <w:vAlign w:val="bottom"/>
          </w:tcPr>
          <w:p w14:paraId="471E4C74" w14:textId="77777777" w:rsidR="00D1587D" w:rsidRDefault="00D1587D">
            <w:pPr>
              <w:rPr>
                <w:sz w:val="1"/>
                <w:szCs w:val="1"/>
              </w:rPr>
            </w:pPr>
          </w:p>
        </w:tc>
      </w:tr>
      <w:tr w:rsidR="00D1587D" w14:paraId="0900457B" w14:textId="77777777">
        <w:trPr>
          <w:trHeight w:val="315"/>
        </w:trPr>
        <w:tc>
          <w:tcPr>
            <w:tcW w:w="4860" w:type="dxa"/>
            <w:vAlign w:val="bottom"/>
          </w:tcPr>
          <w:p w14:paraId="5C42996E" w14:textId="77777777" w:rsidR="00D1587D" w:rsidRDefault="00D1587D">
            <w:pPr>
              <w:rPr>
                <w:sz w:val="24"/>
                <w:szCs w:val="24"/>
              </w:rPr>
            </w:pPr>
          </w:p>
        </w:tc>
        <w:tc>
          <w:tcPr>
            <w:tcW w:w="640" w:type="dxa"/>
            <w:vAlign w:val="bottom"/>
          </w:tcPr>
          <w:p w14:paraId="0204F824" w14:textId="77777777" w:rsidR="00D1587D" w:rsidRDefault="00D1587D">
            <w:pPr>
              <w:rPr>
                <w:sz w:val="24"/>
                <w:szCs w:val="24"/>
              </w:rPr>
            </w:pPr>
          </w:p>
        </w:tc>
        <w:tc>
          <w:tcPr>
            <w:tcW w:w="100" w:type="dxa"/>
            <w:vAlign w:val="bottom"/>
          </w:tcPr>
          <w:p w14:paraId="13B03521" w14:textId="77777777" w:rsidR="00D1587D" w:rsidRDefault="00D1587D">
            <w:pPr>
              <w:rPr>
                <w:sz w:val="24"/>
                <w:szCs w:val="24"/>
              </w:rPr>
            </w:pPr>
          </w:p>
        </w:tc>
        <w:tc>
          <w:tcPr>
            <w:tcW w:w="20" w:type="dxa"/>
            <w:vAlign w:val="bottom"/>
          </w:tcPr>
          <w:p w14:paraId="69F2E15E" w14:textId="77777777" w:rsidR="00D1587D" w:rsidRDefault="00D1587D">
            <w:pPr>
              <w:rPr>
                <w:sz w:val="24"/>
                <w:szCs w:val="24"/>
              </w:rPr>
            </w:pPr>
          </w:p>
        </w:tc>
        <w:tc>
          <w:tcPr>
            <w:tcW w:w="740" w:type="dxa"/>
            <w:gridSpan w:val="3"/>
            <w:vAlign w:val="bottom"/>
          </w:tcPr>
          <w:p w14:paraId="25BCD4B4" w14:textId="77777777" w:rsidR="00D1587D" w:rsidRDefault="00410D07">
            <w:pPr>
              <w:ind w:right="60"/>
              <w:jc w:val="center"/>
              <w:rPr>
                <w:sz w:val="20"/>
                <w:szCs w:val="20"/>
              </w:rPr>
            </w:pPr>
            <w:r>
              <w:rPr>
                <w:rFonts w:ascii="Arial" w:eastAsia="Arial" w:hAnsi="Arial" w:cs="Arial"/>
                <w:b/>
                <w:bCs/>
                <w:w w:val="86"/>
                <w:sz w:val="14"/>
                <w:szCs w:val="14"/>
              </w:rPr>
              <w:t>Stores at</w:t>
            </w:r>
          </w:p>
        </w:tc>
        <w:tc>
          <w:tcPr>
            <w:tcW w:w="200" w:type="dxa"/>
            <w:vAlign w:val="bottom"/>
          </w:tcPr>
          <w:p w14:paraId="5838B30A" w14:textId="77777777" w:rsidR="00D1587D" w:rsidRDefault="00D1587D">
            <w:pPr>
              <w:rPr>
                <w:sz w:val="24"/>
                <w:szCs w:val="24"/>
              </w:rPr>
            </w:pPr>
          </w:p>
        </w:tc>
        <w:tc>
          <w:tcPr>
            <w:tcW w:w="160" w:type="dxa"/>
            <w:vAlign w:val="bottom"/>
          </w:tcPr>
          <w:p w14:paraId="12396293" w14:textId="77777777" w:rsidR="00D1587D" w:rsidRDefault="00D1587D">
            <w:pPr>
              <w:rPr>
                <w:sz w:val="24"/>
                <w:szCs w:val="24"/>
              </w:rPr>
            </w:pPr>
          </w:p>
        </w:tc>
        <w:tc>
          <w:tcPr>
            <w:tcW w:w="100" w:type="dxa"/>
            <w:vAlign w:val="bottom"/>
          </w:tcPr>
          <w:p w14:paraId="3E875002" w14:textId="77777777" w:rsidR="00D1587D" w:rsidRDefault="00D1587D">
            <w:pPr>
              <w:rPr>
                <w:sz w:val="24"/>
                <w:szCs w:val="24"/>
              </w:rPr>
            </w:pPr>
          </w:p>
        </w:tc>
        <w:tc>
          <w:tcPr>
            <w:tcW w:w="240" w:type="dxa"/>
            <w:vAlign w:val="bottom"/>
          </w:tcPr>
          <w:p w14:paraId="681535D0" w14:textId="77777777" w:rsidR="00D1587D" w:rsidRDefault="00D1587D">
            <w:pPr>
              <w:rPr>
                <w:sz w:val="24"/>
                <w:szCs w:val="24"/>
              </w:rPr>
            </w:pPr>
          </w:p>
        </w:tc>
        <w:tc>
          <w:tcPr>
            <w:tcW w:w="200" w:type="dxa"/>
            <w:vAlign w:val="bottom"/>
          </w:tcPr>
          <w:p w14:paraId="10BE6BA5" w14:textId="77777777" w:rsidR="00D1587D" w:rsidRDefault="00D1587D">
            <w:pPr>
              <w:rPr>
                <w:sz w:val="24"/>
                <w:szCs w:val="24"/>
              </w:rPr>
            </w:pPr>
          </w:p>
        </w:tc>
        <w:tc>
          <w:tcPr>
            <w:tcW w:w="300" w:type="dxa"/>
            <w:vAlign w:val="bottom"/>
          </w:tcPr>
          <w:p w14:paraId="74344ED0" w14:textId="77777777" w:rsidR="00D1587D" w:rsidRDefault="00D1587D">
            <w:pPr>
              <w:rPr>
                <w:sz w:val="24"/>
                <w:szCs w:val="24"/>
              </w:rPr>
            </w:pPr>
          </w:p>
        </w:tc>
        <w:tc>
          <w:tcPr>
            <w:tcW w:w="140" w:type="dxa"/>
            <w:vAlign w:val="bottom"/>
          </w:tcPr>
          <w:p w14:paraId="15C07268" w14:textId="77777777" w:rsidR="00D1587D" w:rsidRDefault="00D1587D">
            <w:pPr>
              <w:rPr>
                <w:sz w:val="24"/>
                <w:szCs w:val="24"/>
              </w:rPr>
            </w:pPr>
          </w:p>
        </w:tc>
        <w:tc>
          <w:tcPr>
            <w:tcW w:w="180" w:type="dxa"/>
            <w:vAlign w:val="bottom"/>
          </w:tcPr>
          <w:p w14:paraId="12F1C88A" w14:textId="77777777" w:rsidR="00D1587D" w:rsidRDefault="00D1587D">
            <w:pPr>
              <w:rPr>
                <w:sz w:val="24"/>
                <w:szCs w:val="24"/>
              </w:rPr>
            </w:pPr>
          </w:p>
        </w:tc>
        <w:tc>
          <w:tcPr>
            <w:tcW w:w="540" w:type="dxa"/>
            <w:vAlign w:val="bottom"/>
          </w:tcPr>
          <w:p w14:paraId="60A717EB" w14:textId="77777777" w:rsidR="00D1587D" w:rsidRDefault="00410D07">
            <w:pPr>
              <w:jc w:val="center"/>
              <w:rPr>
                <w:sz w:val="20"/>
                <w:szCs w:val="20"/>
              </w:rPr>
            </w:pPr>
            <w:r>
              <w:rPr>
                <w:rFonts w:ascii="Arial" w:eastAsia="Arial" w:hAnsi="Arial" w:cs="Arial"/>
                <w:b/>
                <w:bCs/>
                <w:w w:val="90"/>
                <w:sz w:val="14"/>
                <w:szCs w:val="14"/>
              </w:rPr>
              <w:t>Stores at</w:t>
            </w:r>
          </w:p>
        </w:tc>
        <w:tc>
          <w:tcPr>
            <w:tcW w:w="0" w:type="dxa"/>
            <w:vAlign w:val="bottom"/>
          </w:tcPr>
          <w:p w14:paraId="054D7EA5" w14:textId="77777777" w:rsidR="00D1587D" w:rsidRDefault="00D1587D">
            <w:pPr>
              <w:rPr>
                <w:sz w:val="1"/>
                <w:szCs w:val="1"/>
              </w:rPr>
            </w:pPr>
          </w:p>
        </w:tc>
      </w:tr>
      <w:tr w:rsidR="00D1587D" w14:paraId="647E932F" w14:textId="77777777">
        <w:trPr>
          <w:trHeight w:val="148"/>
        </w:trPr>
        <w:tc>
          <w:tcPr>
            <w:tcW w:w="4860" w:type="dxa"/>
            <w:vAlign w:val="bottom"/>
          </w:tcPr>
          <w:p w14:paraId="6A762260" w14:textId="77777777" w:rsidR="00D1587D" w:rsidRDefault="00D1587D">
            <w:pPr>
              <w:rPr>
                <w:sz w:val="12"/>
                <w:szCs w:val="12"/>
              </w:rPr>
            </w:pPr>
          </w:p>
        </w:tc>
        <w:tc>
          <w:tcPr>
            <w:tcW w:w="640" w:type="dxa"/>
            <w:vAlign w:val="bottom"/>
          </w:tcPr>
          <w:p w14:paraId="51119A89" w14:textId="77777777" w:rsidR="00D1587D" w:rsidRDefault="00D1587D">
            <w:pPr>
              <w:rPr>
                <w:sz w:val="12"/>
                <w:szCs w:val="12"/>
              </w:rPr>
            </w:pPr>
          </w:p>
        </w:tc>
        <w:tc>
          <w:tcPr>
            <w:tcW w:w="100" w:type="dxa"/>
            <w:vAlign w:val="bottom"/>
          </w:tcPr>
          <w:p w14:paraId="2B62558F" w14:textId="77777777" w:rsidR="00D1587D" w:rsidRDefault="00D1587D">
            <w:pPr>
              <w:rPr>
                <w:sz w:val="12"/>
                <w:szCs w:val="12"/>
              </w:rPr>
            </w:pPr>
          </w:p>
        </w:tc>
        <w:tc>
          <w:tcPr>
            <w:tcW w:w="20" w:type="dxa"/>
            <w:vAlign w:val="bottom"/>
          </w:tcPr>
          <w:p w14:paraId="767915FA" w14:textId="77777777" w:rsidR="00D1587D" w:rsidRDefault="00D1587D">
            <w:pPr>
              <w:rPr>
                <w:sz w:val="12"/>
                <w:szCs w:val="12"/>
              </w:rPr>
            </w:pPr>
          </w:p>
        </w:tc>
        <w:tc>
          <w:tcPr>
            <w:tcW w:w="1440" w:type="dxa"/>
            <w:gridSpan w:val="7"/>
            <w:vAlign w:val="bottom"/>
          </w:tcPr>
          <w:p w14:paraId="1E4D1F85" w14:textId="77777777" w:rsidR="00D1587D" w:rsidRDefault="00410D07">
            <w:pPr>
              <w:spacing w:line="149" w:lineRule="exact"/>
              <w:ind w:right="648"/>
              <w:jc w:val="center"/>
              <w:rPr>
                <w:sz w:val="20"/>
                <w:szCs w:val="20"/>
              </w:rPr>
            </w:pPr>
            <w:r>
              <w:rPr>
                <w:rFonts w:ascii="Arial" w:eastAsia="Arial" w:hAnsi="Arial" w:cs="Arial"/>
                <w:b/>
                <w:bCs/>
                <w:w w:val="95"/>
                <w:sz w:val="14"/>
                <w:szCs w:val="14"/>
              </w:rPr>
              <w:t>February 1,</w:t>
            </w:r>
          </w:p>
        </w:tc>
        <w:tc>
          <w:tcPr>
            <w:tcW w:w="200" w:type="dxa"/>
            <w:vAlign w:val="bottom"/>
          </w:tcPr>
          <w:p w14:paraId="0FBEE2FF" w14:textId="77777777" w:rsidR="00D1587D" w:rsidRDefault="00D1587D">
            <w:pPr>
              <w:rPr>
                <w:sz w:val="12"/>
                <w:szCs w:val="12"/>
              </w:rPr>
            </w:pPr>
          </w:p>
        </w:tc>
        <w:tc>
          <w:tcPr>
            <w:tcW w:w="440" w:type="dxa"/>
            <w:gridSpan w:val="2"/>
            <w:vMerge w:val="restart"/>
            <w:vAlign w:val="bottom"/>
          </w:tcPr>
          <w:p w14:paraId="29171486" w14:textId="77777777" w:rsidR="00D1587D" w:rsidRDefault="00410D07">
            <w:pPr>
              <w:ind w:right="20"/>
              <w:jc w:val="right"/>
              <w:rPr>
                <w:sz w:val="20"/>
                <w:szCs w:val="20"/>
              </w:rPr>
            </w:pPr>
            <w:r>
              <w:rPr>
                <w:rFonts w:ascii="Arial" w:eastAsia="Arial" w:hAnsi="Arial" w:cs="Arial"/>
                <w:b/>
                <w:bCs/>
                <w:w w:val="85"/>
                <w:sz w:val="14"/>
                <w:szCs w:val="14"/>
              </w:rPr>
              <w:t>Closed</w:t>
            </w:r>
          </w:p>
        </w:tc>
        <w:tc>
          <w:tcPr>
            <w:tcW w:w="180" w:type="dxa"/>
            <w:vAlign w:val="bottom"/>
          </w:tcPr>
          <w:p w14:paraId="757B21E2" w14:textId="77777777" w:rsidR="00D1587D" w:rsidRDefault="00D1587D">
            <w:pPr>
              <w:rPr>
                <w:sz w:val="12"/>
                <w:szCs w:val="12"/>
              </w:rPr>
            </w:pPr>
          </w:p>
        </w:tc>
        <w:tc>
          <w:tcPr>
            <w:tcW w:w="540" w:type="dxa"/>
            <w:vAlign w:val="bottom"/>
          </w:tcPr>
          <w:p w14:paraId="0FCFC6B4" w14:textId="77777777" w:rsidR="00D1587D" w:rsidRDefault="00410D07">
            <w:pPr>
              <w:spacing w:line="149" w:lineRule="exact"/>
              <w:jc w:val="center"/>
              <w:rPr>
                <w:sz w:val="20"/>
                <w:szCs w:val="20"/>
              </w:rPr>
            </w:pPr>
            <w:r>
              <w:rPr>
                <w:rFonts w:ascii="Arial" w:eastAsia="Arial" w:hAnsi="Arial" w:cs="Arial"/>
                <w:b/>
                <w:bCs/>
                <w:w w:val="98"/>
                <w:sz w:val="14"/>
                <w:szCs w:val="14"/>
              </w:rPr>
              <w:t>May 2,</w:t>
            </w:r>
          </w:p>
        </w:tc>
        <w:tc>
          <w:tcPr>
            <w:tcW w:w="0" w:type="dxa"/>
            <w:vAlign w:val="bottom"/>
          </w:tcPr>
          <w:p w14:paraId="31069493" w14:textId="77777777" w:rsidR="00D1587D" w:rsidRDefault="00D1587D">
            <w:pPr>
              <w:rPr>
                <w:sz w:val="1"/>
                <w:szCs w:val="1"/>
              </w:rPr>
            </w:pPr>
          </w:p>
        </w:tc>
      </w:tr>
      <w:tr w:rsidR="00D1587D" w14:paraId="1EF5C6D0" w14:textId="77777777">
        <w:trPr>
          <w:trHeight w:val="186"/>
        </w:trPr>
        <w:tc>
          <w:tcPr>
            <w:tcW w:w="4860" w:type="dxa"/>
            <w:vAlign w:val="bottom"/>
          </w:tcPr>
          <w:p w14:paraId="66E14C5C" w14:textId="77777777" w:rsidR="00D1587D" w:rsidRDefault="00D1587D">
            <w:pPr>
              <w:rPr>
                <w:sz w:val="16"/>
                <w:szCs w:val="16"/>
              </w:rPr>
            </w:pPr>
          </w:p>
        </w:tc>
        <w:tc>
          <w:tcPr>
            <w:tcW w:w="640" w:type="dxa"/>
            <w:vAlign w:val="bottom"/>
          </w:tcPr>
          <w:p w14:paraId="6C3B60E7" w14:textId="77777777" w:rsidR="00D1587D" w:rsidRDefault="00D1587D">
            <w:pPr>
              <w:rPr>
                <w:sz w:val="16"/>
                <w:szCs w:val="16"/>
              </w:rPr>
            </w:pPr>
          </w:p>
        </w:tc>
        <w:tc>
          <w:tcPr>
            <w:tcW w:w="100" w:type="dxa"/>
            <w:vAlign w:val="bottom"/>
          </w:tcPr>
          <w:p w14:paraId="3D0164F2" w14:textId="77777777" w:rsidR="00D1587D" w:rsidRDefault="00D1587D">
            <w:pPr>
              <w:rPr>
                <w:sz w:val="16"/>
                <w:szCs w:val="16"/>
              </w:rPr>
            </w:pPr>
          </w:p>
        </w:tc>
        <w:tc>
          <w:tcPr>
            <w:tcW w:w="20" w:type="dxa"/>
            <w:vAlign w:val="bottom"/>
          </w:tcPr>
          <w:p w14:paraId="798A6875" w14:textId="77777777" w:rsidR="00D1587D" w:rsidRDefault="00D1587D">
            <w:pPr>
              <w:rPr>
                <w:sz w:val="16"/>
                <w:szCs w:val="16"/>
              </w:rPr>
            </w:pPr>
          </w:p>
        </w:tc>
        <w:tc>
          <w:tcPr>
            <w:tcW w:w="560" w:type="dxa"/>
            <w:gridSpan w:val="2"/>
            <w:vAlign w:val="bottom"/>
          </w:tcPr>
          <w:p w14:paraId="4DD65AD2" w14:textId="77777777" w:rsidR="00D1587D" w:rsidRDefault="00410D07">
            <w:pPr>
              <w:ind w:left="77"/>
              <w:jc w:val="center"/>
              <w:rPr>
                <w:sz w:val="20"/>
                <w:szCs w:val="20"/>
              </w:rPr>
            </w:pPr>
            <w:r>
              <w:rPr>
                <w:rFonts w:ascii="Arial" w:eastAsia="Arial" w:hAnsi="Arial" w:cs="Arial"/>
                <w:b/>
                <w:bCs/>
                <w:w w:val="89"/>
                <w:sz w:val="14"/>
                <w:szCs w:val="14"/>
              </w:rPr>
              <w:t>2020</w:t>
            </w:r>
          </w:p>
        </w:tc>
        <w:tc>
          <w:tcPr>
            <w:tcW w:w="180" w:type="dxa"/>
            <w:vAlign w:val="bottom"/>
          </w:tcPr>
          <w:p w14:paraId="3367101E" w14:textId="77777777" w:rsidR="00D1587D" w:rsidRDefault="00D1587D">
            <w:pPr>
              <w:rPr>
                <w:sz w:val="16"/>
                <w:szCs w:val="16"/>
              </w:rPr>
            </w:pPr>
          </w:p>
        </w:tc>
        <w:tc>
          <w:tcPr>
            <w:tcW w:w="200" w:type="dxa"/>
            <w:vAlign w:val="bottom"/>
          </w:tcPr>
          <w:p w14:paraId="13E222F9" w14:textId="77777777" w:rsidR="00D1587D" w:rsidRDefault="00D1587D">
            <w:pPr>
              <w:rPr>
                <w:sz w:val="16"/>
                <w:szCs w:val="16"/>
              </w:rPr>
            </w:pPr>
          </w:p>
        </w:tc>
        <w:tc>
          <w:tcPr>
            <w:tcW w:w="500" w:type="dxa"/>
            <w:gridSpan w:val="3"/>
            <w:vAlign w:val="bottom"/>
          </w:tcPr>
          <w:p w14:paraId="6564564A" w14:textId="77777777" w:rsidR="00D1587D" w:rsidRDefault="00410D07">
            <w:pPr>
              <w:jc w:val="right"/>
              <w:rPr>
                <w:sz w:val="20"/>
                <w:szCs w:val="20"/>
              </w:rPr>
            </w:pPr>
            <w:r>
              <w:rPr>
                <w:rFonts w:ascii="Arial" w:eastAsia="Arial" w:hAnsi="Arial" w:cs="Arial"/>
                <w:b/>
                <w:bCs/>
                <w:w w:val="91"/>
                <w:sz w:val="14"/>
                <w:szCs w:val="14"/>
              </w:rPr>
              <w:t>Opened</w:t>
            </w:r>
          </w:p>
        </w:tc>
        <w:tc>
          <w:tcPr>
            <w:tcW w:w="200" w:type="dxa"/>
            <w:vAlign w:val="bottom"/>
          </w:tcPr>
          <w:p w14:paraId="554F38B0" w14:textId="77777777" w:rsidR="00D1587D" w:rsidRDefault="00D1587D">
            <w:pPr>
              <w:rPr>
                <w:sz w:val="16"/>
                <w:szCs w:val="16"/>
              </w:rPr>
            </w:pPr>
          </w:p>
        </w:tc>
        <w:tc>
          <w:tcPr>
            <w:tcW w:w="440" w:type="dxa"/>
            <w:gridSpan w:val="2"/>
            <w:vMerge/>
            <w:vAlign w:val="bottom"/>
          </w:tcPr>
          <w:p w14:paraId="5B3E8FAD" w14:textId="77777777" w:rsidR="00D1587D" w:rsidRDefault="00D1587D">
            <w:pPr>
              <w:rPr>
                <w:sz w:val="16"/>
                <w:szCs w:val="16"/>
              </w:rPr>
            </w:pPr>
          </w:p>
        </w:tc>
        <w:tc>
          <w:tcPr>
            <w:tcW w:w="720" w:type="dxa"/>
            <w:gridSpan w:val="2"/>
            <w:vAlign w:val="bottom"/>
          </w:tcPr>
          <w:p w14:paraId="0A1AD497" w14:textId="77777777" w:rsidR="00D1587D" w:rsidRDefault="00410D07">
            <w:pPr>
              <w:ind w:right="68"/>
              <w:jc w:val="right"/>
              <w:rPr>
                <w:sz w:val="20"/>
                <w:szCs w:val="20"/>
              </w:rPr>
            </w:pPr>
            <w:r>
              <w:rPr>
                <w:rFonts w:ascii="Arial" w:eastAsia="Arial" w:hAnsi="Arial" w:cs="Arial"/>
                <w:b/>
                <w:bCs/>
                <w:sz w:val="14"/>
                <w:szCs w:val="14"/>
              </w:rPr>
              <w:t>2020</w:t>
            </w:r>
          </w:p>
        </w:tc>
        <w:tc>
          <w:tcPr>
            <w:tcW w:w="0" w:type="dxa"/>
            <w:vAlign w:val="bottom"/>
          </w:tcPr>
          <w:p w14:paraId="425A582E" w14:textId="77777777" w:rsidR="00D1587D" w:rsidRDefault="00D1587D">
            <w:pPr>
              <w:rPr>
                <w:sz w:val="1"/>
                <w:szCs w:val="1"/>
              </w:rPr>
            </w:pPr>
          </w:p>
        </w:tc>
      </w:tr>
      <w:tr w:rsidR="00D1587D" w14:paraId="06F34D1B" w14:textId="77777777">
        <w:trPr>
          <w:trHeight w:val="53"/>
        </w:trPr>
        <w:tc>
          <w:tcPr>
            <w:tcW w:w="4860" w:type="dxa"/>
            <w:tcBorders>
              <w:bottom w:val="single" w:sz="8" w:space="0" w:color="CCEEFF"/>
            </w:tcBorders>
            <w:vAlign w:val="bottom"/>
          </w:tcPr>
          <w:p w14:paraId="55D8D4D4" w14:textId="77777777" w:rsidR="00D1587D" w:rsidRDefault="00D1587D">
            <w:pPr>
              <w:rPr>
                <w:sz w:val="4"/>
                <w:szCs w:val="4"/>
              </w:rPr>
            </w:pPr>
          </w:p>
        </w:tc>
        <w:tc>
          <w:tcPr>
            <w:tcW w:w="640" w:type="dxa"/>
            <w:tcBorders>
              <w:bottom w:val="single" w:sz="8" w:space="0" w:color="CCEEFF"/>
            </w:tcBorders>
            <w:vAlign w:val="bottom"/>
          </w:tcPr>
          <w:p w14:paraId="7A69BCDA" w14:textId="77777777" w:rsidR="00D1587D" w:rsidRDefault="00D1587D">
            <w:pPr>
              <w:rPr>
                <w:sz w:val="4"/>
                <w:szCs w:val="4"/>
              </w:rPr>
            </w:pPr>
          </w:p>
        </w:tc>
        <w:tc>
          <w:tcPr>
            <w:tcW w:w="100" w:type="dxa"/>
            <w:tcBorders>
              <w:bottom w:val="single" w:sz="8" w:space="0" w:color="CCEEFF"/>
            </w:tcBorders>
            <w:vAlign w:val="bottom"/>
          </w:tcPr>
          <w:p w14:paraId="457EF05B" w14:textId="77777777" w:rsidR="00D1587D" w:rsidRDefault="00D1587D">
            <w:pPr>
              <w:rPr>
                <w:sz w:val="4"/>
                <w:szCs w:val="4"/>
              </w:rPr>
            </w:pPr>
          </w:p>
        </w:tc>
        <w:tc>
          <w:tcPr>
            <w:tcW w:w="20" w:type="dxa"/>
            <w:tcBorders>
              <w:bottom w:val="single" w:sz="8" w:space="0" w:color="CCEEFF"/>
            </w:tcBorders>
            <w:vAlign w:val="bottom"/>
          </w:tcPr>
          <w:p w14:paraId="31D7A1F6" w14:textId="77777777" w:rsidR="00D1587D" w:rsidRDefault="00D1587D">
            <w:pPr>
              <w:rPr>
                <w:sz w:val="4"/>
                <w:szCs w:val="4"/>
              </w:rPr>
            </w:pPr>
          </w:p>
        </w:tc>
        <w:tc>
          <w:tcPr>
            <w:tcW w:w="80" w:type="dxa"/>
            <w:tcBorders>
              <w:bottom w:val="single" w:sz="8" w:space="0" w:color="auto"/>
            </w:tcBorders>
            <w:vAlign w:val="bottom"/>
          </w:tcPr>
          <w:p w14:paraId="386D181C" w14:textId="77777777" w:rsidR="00D1587D" w:rsidRDefault="00D1587D">
            <w:pPr>
              <w:rPr>
                <w:sz w:val="4"/>
                <w:szCs w:val="4"/>
              </w:rPr>
            </w:pPr>
          </w:p>
        </w:tc>
        <w:tc>
          <w:tcPr>
            <w:tcW w:w="480" w:type="dxa"/>
            <w:tcBorders>
              <w:bottom w:val="single" w:sz="8" w:space="0" w:color="auto"/>
            </w:tcBorders>
            <w:vAlign w:val="bottom"/>
          </w:tcPr>
          <w:p w14:paraId="4C42B76C" w14:textId="77777777" w:rsidR="00D1587D" w:rsidRDefault="00D1587D">
            <w:pPr>
              <w:rPr>
                <w:sz w:val="4"/>
                <w:szCs w:val="4"/>
              </w:rPr>
            </w:pPr>
          </w:p>
        </w:tc>
        <w:tc>
          <w:tcPr>
            <w:tcW w:w="180" w:type="dxa"/>
            <w:tcBorders>
              <w:bottom w:val="single" w:sz="8" w:space="0" w:color="auto"/>
            </w:tcBorders>
            <w:vAlign w:val="bottom"/>
          </w:tcPr>
          <w:p w14:paraId="36838E7D" w14:textId="77777777" w:rsidR="00D1587D" w:rsidRDefault="00D1587D">
            <w:pPr>
              <w:rPr>
                <w:sz w:val="4"/>
                <w:szCs w:val="4"/>
              </w:rPr>
            </w:pPr>
          </w:p>
        </w:tc>
        <w:tc>
          <w:tcPr>
            <w:tcW w:w="200" w:type="dxa"/>
            <w:tcBorders>
              <w:bottom w:val="single" w:sz="8" w:space="0" w:color="CCEEFF"/>
            </w:tcBorders>
            <w:vAlign w:val="bottom"/>
          </w:tcPr>
          <w:p w14:paraId="6FFE2C98" w14:textId="77777777" w:rsidR="00D1587D" w:rsidRDefault="00D1587D">
            <w:pPr>
              <w:rPr>
                <w:sz w:val="4"/>
                <w:szCs w:val="4"/>
              </w:rPr>
            </w:pPr>
          </w:p>
        </w:tc>
        <w:tc>
          <w:tcPr>
            <w:tcW w:w="160" w:type="dxa"/>
            <w:tcBorders>
              <w:bottom w:val="single" w:sz="8" w:space="0" w:color="auto"/>
            </w:tcBorders>
            <w:vAlign w:val="bottom"/>
          </w:tcPr>
          <w:p w14:paraId="0501C599" w14:textId="77777777" w:rsidR="00D1587D" w:rsidRDefault="00D1587D">
            <w:pPr>
              <w:rPr>
                <w:sz w:val="4"/>
                <w:szCs w:val="4"/>
              </w:rPr>
            </w:pPr>
          </w:p>
        </w:tc>
        <w:tc>
          <w:tcPr>
            <w:tcW w:w="100" w:type="dxa"/>
            <w:tcBorders>
              <w:bottom w:val="single" w:sz="8" w:space="0" w:color="auto"/>
            </w:tcBorders>
            <w:vAlign w:val="bottom"/>
          </w:tcPr>
          <w:p w14:paraId="30063428" w14:textId="77777777" w:rsidR="00D1587D" w:rsidRDefault="00D1587D">
            <w:pPr>
              <w:rPr>
                <w:sz w:val="4"/>
                <w:szCs w:val="4"/>
              </w:rPr>
            </w:pPr>
          </w:p>
        </w:tc>
        <w:tc>
          <w:tcPr>
            <w:tcW w:w="240" w:type="dxa"/>
            <w:tcBorders>
              <w:bottom w:val="single" w:sz="8" w:space="0" w:color="auto"/>
            </w:tcBorders>
            <w:vAlign w:val="bottom"/>
          </w:tcPr>
          <w:p w14:paraId="790BB77F" w14:textId="77777777" w:rsidR="00D1587D" w:rsidRDefault="00D1587D">
            <w:pPr>
              <w:rPr>
                <w:sz w:val="4"/>
                <w:szCs w:val="4"/>
              </w:rPr>
            </w:pPr>
          </w:p>
        </w:tc>
        <w:tc>
          <w:tcPr>
            <w:tcW w:w="200" w:type="dxa"/>
            <w:tcBorders>
              <w:bottom w:val="single" w:sz="8" w:space="0" w:color="CCEEFF"/>
            </w:tcBorders>
            <w:vAlign w:val="bottom"/>
          </w:tcPr>
          <w:p w14:paraId="518B8297" w14:textId="77777777" w:rsidR="00D1587D" w:rsidRDefault="00D1587D">
            <w:pPr>
              <w:rPr>
                <w:sz w:val="4"/>
                <w:szCs w:val="4"/>
              </w:rPr>
            </w:pPr>
          </w:p>
        </w:tc>
        <w:tc>
          <w:tcPr>
            <w:tcW w:w="300" w:type="dxa"/>
            <w:tcBorders>
              <w:bottom w:val="single" w:sz="8" w:space="0" w:color="auto"/>
            </w:tcBorders>
            <w:vAlign w:val="bottom"/>
          </w:tcPr>
          <w:p w14:paraId="701DB3A5" w14:textId="77777777" w:rsidR="00D1587D" w:rsidRDefault="00D1587D">
            <w:pPr>
              <w:rPr>
                <w:sz w:val="4"/>
                <w:szCs w:val="4"/>
              </w:rPr>
            </w:pPr>
          </w:p>
        </w:tc>
        <w:tc>
          <w:tcPr>
            <w:tcW w:w="140" w:type="dxa"/>
            <w:tcBorders>
              <w:bottom w:val="single" w:sz="8" w:space="0" w:color="auto"/>
            </w:tcBorders>
            <w:vAlign w:val="bottom"/>
          </w:tcPr>
          <w:p w14:paraId="3E81A426" w14:textId="77777777" w:rsidR="00D1587D" w:rsidRDefault="00D1587D">
            <w:pPr>
              <w:rPr>
                <w:sz w:val="4"/>
                <w:szCs w:val="4"/>
              </w:rPr>
            </w:pPr>
          </w:p>
        </w:tc>
        <w:tc>
          <w:tcPr>
            <w:tcW w:w="180" w:type="dxa"/>
            <w:tcBorders>
              <w:bottom w:val="single" w:sz="8" w:space="0" w:color="CCEEFF"/>
            </w:tcBorders>
            <w:vAlign w:val="bottom"/>
          </w:tcPr>
          <w:p w14:paraId="0E830C2A" w14:textId="77777777" w:rsidR="00D1587D" w:rsidRDefault="00D1587D">
            <w:pPr>
              <w:rPr>
                <w:sz w:val="4"/>
                <w:szCs w:val="4"/>
              </w:rPr>
            </w:pPr>
          </w:p>
        </w:tc>
        <w:tc>
          <w:tcPr>
            <w:tcW w:w="540" w:type="dxa"/>
            <w:tcBorders>
              <w:bottom w:val="single" w:sz="8" w:space="0" w:color="auto"/>
            </w:tcBorders>
            <w:vAlign w:val="bottom"/>
          </w:tcPr>
          <w:p w14:paraId="5476703D" w14:textId="77777777" w:rsidR="00D1587D" w:rsidRDefault="00D1587D">
            <w:pPr>
              <w:rPr>
                <w:sz w:val="4"/>
                <w:szCs w:val="4"/>
              </w:rPr>
            </w:pPr>
          </w:p>
        </w:tc>
        <w:tc>
          <w:tcPr>
            <w:tcW w:w="0" w:type="dxa"/>
            <w:vAlign w:val="bottom"/>
          </w:tcPr>
          <w:p w14:paraId="5EBCAADA" w14:textId="77777777" w:rsidR="00D1587D" w:rsidRDefault="00D1587D">
            <w:pPr>
              <w:rPr>
                <w:sz w:val="1"/>
                <w:szCs w:val="1"/>
              </w:rPr>
            </w:pPr>
          </w:p>
        </w:tc>
      </w:tr>
      <w:tr w:rsidR="00D1587D" w14:paraId="022D3322" w14:textId="77777777">
        <w:trPr>
          <w:trHeight w:val="298"/>
        </w:trPr>
        <w:tc>
          <w:tcPr>
            <w:tcW w:w="4860" w:type="dxa"/>
            <w:tcBorders>
              <w:bottom w:val="single" w:sz="8" w:space="0" w:color="CCEEFF"/>
            </w:tcBorders>
            <w:shd w:val="clear" w:color="auto" w:fill="CCEEFF"/>
            <w:vAlign w:val="bottom"/>
          </w:tcPr>
          <w:p w14:paraId="3EE1CB77" w14:textId="77777777" w:rsidR="00D1587D" w:rsidRDefault="00410D07">
            <w:pPr>
              <w:rPr>
                <w:sz w:val="20"/>
                <w:szCs w:val="20"/>
              </w:rPr>
            </w:pPr>
            <w:r>
              <w:rPr>
                <w:rFonts w:ascii="Arial" w:eastAsia="Arial" w:hAnsi="Arial" w:cs="Arial"/>
                <w:sz w:val="18"/>
                <w:szCs w:val="18"/>
              </w:rPr>
              <w:t>Beauty and Accessories</w:t>
            </w:r>
          </w:p>
        </w:tc>
        <w:tc>
          <w:tcPr>
            <w:tcW w:w="640" w:type="dxa"/>
            <w:tcBorders>
              <w:bottom w:val="single" w:sz="8" w:space="0" w:color="CCEEFF"/>
            </w:tcBorders>
            <w:shd w:val="clear" w:color="auto" w:fill="CCEEFF"/>
            <w:vAlign w:val="bottom"/>
          </w:tcPr>
          <w:p w14:paraId="77477915"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BFD0734" w14:textId="77777777" w:rsidR="00D1587D" w:rsidRDefault="00D1587D">
            <w:pPr>
              <w:rPr>
                <w:sz w:val="24"/>
                <w:szCs w:val="24"/>
              </w:rPr>
            </w:pPr>
          </w:p>
        </w:tc>
        <w:tc>
          <w:tcPr>
            <w:tcW w:w="20" w:type="dxa"/>
            <w:tcBorders>
              <w:bottom w:val="single" w:sz="8" w:space="0" w:color="CCEEFF"/>
            </w:tcBorders>
            <w:shd w:val="clear" w:color="auto" w:fill="CCEEFF"/>
            <w:vAlign w:val="bottom"/>
          </w:tcPr>
          <w:p w14:paraId="050A1103"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6E3B5FA0" w14:textId="77777777" w:rsidR="00D1587D" w:rsidRDefault="00410D07">
            <w:pPr>
              <w:ind w:left="77"/>
              <w:jc w:val="center"/>
              <w:rPr>
                <w:sz w:val="20"/>
                <w:szCs w:val="20"/>
              </w:rPr>
            </w:pPr>
            <w:r>
              <w:rPr>
                <w:rFonts w:ascii="Arial" w:eastAsia="Arial" w:hAnsi="Arial" w:cs="Arial"/>
                <w:w w:val="93"/>
                <w:sz w:val="18"/>
                <w:szCs w:val="18"/>
              </w:rPr>
              <w:t>360</w:t>
            </w:r>
          </w:p>
        </w:tc>
        <w:tc>
          <w:tcPr>
            <w:tcW w:w="180" w:type="dxa"/>
            <w:tcBorders>
              <w:bottom w:val="single" w:sz="8" w:space="0" w:color="CCEEFF"/>
              <w:right w:val="single" w:sz="8" w:space="0" w:color="CCEEFF"/>
            </w:tcBorders>
            <w:shd w:val="clear" w:color="auto" w:fill="CCEEFF"/>
            <w:vAlign w:val="bottom"/>
          </w:tcPr>
          <w:p w14:paraId="76D07E86" w14:textId="77777777" w:rsidR="00D1587D" w:rsidRDefault="00D1587D">
            <w:pPr>
              <w:rPr>
                <w:sz w:val="24"/>
                <w:szCs w:val="24"/>
              </w:rPr>
            </w:pPr>
          </w:p>
        </w:tc>
        <w:tc>
          <w:tcPr>
            <w:tcW w:w="200" w:type="dxa"/>
            <w:tcBorders>
              <w:bottom w:val="single" w:sz="8" w:space="0" w:color="CCEEFF"/>
            </w:tcBorders>
            <w:shd w:val="clear" w:color="auto" w:fill="CCEEFF"/>
            <w:vAlign w:val="bottom"/>
          </w:tcPr>
          <w:p w14:paraId="3792CF32" w14:textId="77777777" w:rsidR="00D1587D" w:rsidRDefault="00D1587D">
            <w:pPr>
              <w:rPr>
                <w:sz w:val="24"/>
                <w:szCs w:val="24"/>
              </w:rPr>
            </w:pPr>
          </w:p>
        </w:tc>
        <w:tc>
          <w:tcPr>
            <w:tcW w:w="160" w:type="dxa"/>
            <w:tcBorders>
              <w:bottom w:val="single" w:sz="8" w:space="0" w:color="CCEEFF"/>
            </w:tcBorders>
            <w:shd w:val="clear" w:color="auto" w:fill="CCEEFF"/>
            <w:vAlign w:val="bottom"/>
          </w:tcPr>
          <w:p w14:paraId="16237607" w14:textId="77777777" w:rsidR="00D1587D" w:rsidRDefault="00D1587D">
            <w:pPr>
              <w:rPr>
                <w:sz w:val="24"/>
                <w:szCs w:val="24"/>
              </w:rPr>
            </w:pPr>
          </w:p>
        </w:tc>
        <w:tc>
          <w:tcPr>
            <w:tcW w:w="340" w:type="dxa"/>
            <w:gridSpan w:val="2"/>
            <w:tcBorders>
              <w:bottom w:val="single" w:sz="8" w:space="0" w:color="CCEEFF"/>
            </w:tcBorders>
            <w:shd w:val="clear" w:color="auto" w:fill="CCEEFF"/>
            <w:vAlign w:val="bottom"/>
          </w:tcPr>
          <w:p w14:paraId="69739B3F" w14:textId="77777777" w:rsidR="00D1587D" w:rsidRDefault="00410D07">
            <w:pPr>
              <w:ind w:right="88"/>
              <w:jc w:val="center"/>
              <w:rPr>
                <w:sz w:val="20"/>
                <w:szCs w:val="20"/>
              </w:rPr>
            </w:pPr>
            <w:r>
              <w:rPr>
                <w:rFonts w:ascii="Arial" w:eastAsia="Arial" w:hAnsi="Arial" w:cs="Arial"/>
                <w:w w:val="99"/>
                <w:sz w:val="18"/>
                <w:szCs w:val="18"/>
              </w:rPr>
              <w:t>—</w:t>
            </w:r>
          </w:p>
        </w:tc>
        <w:tc>
          <w:tcPr>
            <w:tcW w:w="640" w:type="dxa"/>
            <w:gridSpan w:val="3"/>
            <w:tcBorders>
              <w:bottom w:val="single" w:sz="8" w:space="0" w:color="CCEEFF"/>
              <w:right w:val="single" w:sz="8" w:space="0" w:color="CCEEFF"/>
            </w:tcBorders>
            <w:shd w:val="clear" w:color="auto" w:fill="CCEEFF"/>
            <w:vAlign w:val="bottom"/>
          </w:tcPr>
          <w:p w14:paraId="13179C47" w14:textId="77777777" w:rsidR="00D1587D" w:rsidRDefault="00410D07">
            <w:pPr>
              <w:ind w:right="80"/>
              <w:jc w:val="right"/>
              <w:rPr>
                <w:sz w:val="20"/>
                <w:szCs w:val="20"/>
              </w:rPr>
            </w:pPr>
            <w:r>
              <w:rPr>
                <w:rFonts w:ascii="Arial" w:eastAsia="Arial" w:hAnsi="Arial" w:cs="Arial"/>
                <w:sz w:val="18"/>
                <w:szCs w:val="18"/>
              </w:rPr>
              <w:t>(7)</w:t>
            </w:r>
          </w:p>
        </w:tc>
        <w:tc>
          <w:tcPr>
            <w:tcW w:w="720" w:type="dxa"/>
            <w:gridSpan w:val="2"/>
            <w:tcBorders>
              <w:bottom w:val="single" w:sz="8" w:space="0" w:color="CCEEFF"/>
            </w:tcBorders>
            <w:shd w:val="clear" w:color="auto" w:fill="CCEEFF"/>
            <w:vAlign w:val="bottom"/>
          </w:tcPr>
          <w:p w14:paraId="0BD301D9" w14:textId="77777777" w:rsidR="00D1587D" w:rsidRDefault="00410D07">
            <w:pPr>
              <w:ind w:right="68"/>
              <w:jc w:val="right"/>
              <w:rPr>
                <w:sz w:val="20"/>
                <w:szCs w:val="20"/>
              </w:rPr>
            </w:pPr>
            <w:r>
              <w:rPr>
                <w:rFonts w:ascii="Arial" w:eastAsia="Arial" w:hAnsi="Arial" w:cs="Arial"/>
                <w:sz w:val="18"/>
                <w:szCs w:val="18"/>
              </w:rPr>
              <w:t>353</w:t>
            </w:r>
          </w:p>
        </w:tc>
        <w:tc>
          <w:tcPr>
            <w:tcW w:w="0" w:type="dxa"/>
            <w:vAlign w:val="bottom"/>
          </w:tcPr>
          <w:p w14:paraId="38FAA232" w14:textId="77777777" w:rsidR="00D1587D" w:rsidRDefault="00D1587D">
            <w:pPr>
              <w:rPr>
                <w:sz w:val="1"/>
                <w:szCs w:val="1"/>
              </w:rPr>
            </w:pPr>
          </w:p>
        </w:tc>
      </w:tr>
      <w:tr w:rsidR="00D1587D" w14:paraId="7994E4D3" w14:textId="77777777">
        <w:trPr>
          <w:trHeight w:val="257"/>
        </w:trPr>
        <w:tc>
          <w:tcPr>
            <w:tcW w:w="4860" w:type="dxa"/>
            <w:vAlign w:val="bottom"/>
          </w:tcPr>
          <w:p w14:paraId="1B0F4019" w14:textId="77777777" w:rsidR="00D1587D" w:rsidRDefault="00410D07">
            <w:pPr>
              <w:rPr>
                <w:sz w:val="20"/>
                <w:szCs w:val="20"/>
              </w:rPr>
            </w:pPr>
            <w:r>
              <w:rPr>
                <w:rFonts w:ascii="Arial" w:eastAsia="Arial" w:hAnsi="Arial" w:cs="Arial"/>
                <w:sz w:val="18"/>
                <w:szCs w:val="18"/>
              </w:rPr>
              <w:t xml:space="preserve">Full </w:t>
            </w:r>
            <w:r>
              <w:rPr>
                <w:rFonts w:ascii="Arial" w:eastAsia="Arial" w:hAnsi="Arial" w:cs="Arial"/>
                <w:sz w:val="18"/>
                <w:szCs w:val="18"/>
              </w:rPr>
              <w:t>Assortment</w:t>
            </w:r>
          </w:p>
        </w:tc>
        <w:tc>
          <w:tcPr>
            <w:tcW w:w="640" w:type="dxa"/>
            <w:vAlign w:val="bottom"/>
          </w:tcPr>
          <w:p w14:paraId="331AC106" w14:textId="77777777" w:rsidR="00D1587D" w:rsidRDefault="00D1587D"/>
        </w:tc>
        <w:tc>
          <w:tcPr>
            <w:tcW w:w="100" w:type="dxa"/>
            <w:vAlign w:val="bottom"/>
          </w:tcPr>
          <w:p w14:paraId="246BC7AB" w14:textId="77777777" w:rsidR="00D1587D" w:rsidRDefault="00D1587D"/>
        </w:tc>
        <w:tc>
          <w:tcPr>
            <w:tcW w:w="20" w:type="dxa"/>
            <w:vAlign w:val="bottom"/>
          </w:tcPr>
          <w:p w14:paraId="55D79F58" w14:textId="77777777" w:rsidR="00D1587D" w:rsidRDefault="00D1587D"/>
        </w:tc>
        <w:tc>
          <w:tcPr>
            <w:tcW w:w="560" w:type="dxa"/>
            <w:gridSpan w:val="2"/>
            <w:vAlign w:val="bottom"/>
          </w:tcPr>
          <w:p w14:paraId="4C08E3F6" w14:textId="77777777" w:rsidR="00D1587D" w:rsidRDefault="00410D07">
            <w:pPr>
              <w:ind w:right="8"/>
              <w:jc w:val="right"/>
              <w:rPr>
                <w:sz w:val="20"/>
                <w:szCs w:val="20"/>
              </w:rPr>
            </w:pPr>
            <w:r>
              <w:rPr>
                <w:rFonts w:ascii="Arial" w:eastAsia="Arial" w:hAnsi="Arial" w:cs="Arial"/>
                <w:sz w:val="18"/>
                <w:szCs w:val="18"/>
              </w:rPr>
              <w:t>84</w:t>
            </w:r>
          </w:p>
        </w:tc>
        <w:tc>
          <w:tcPr>
            <w:tcW w:w="180" w:type="dxa"/>
            <w:vAlign w:val="bottom"/>
          </w:tcPr>
          <w:p w14:paraId="0C1E2AEA" w14:textId="77777777" w:rsidR="00D1587D" w:rsidRDefault="00D1587D"/>
        </w:tc>
        <w:tc>
          <w:tcPr>
            <w:tcW w:w="700" w:type="dxa"/>
            <w:gridSpan w:val="4"/>
            <w:vAlign w:val="bottom"/>
          </w:tcPr>
          <w:p w14:paraId="7C60FE9D" w14:textId="77777777" w:rsidR="00D1587D" w:rsidRDefault="00410D07">
            <w:pPr>
              <w:ind w:right="108"/>
              <w:jc w:val="right"/>
              <w:rPr>
                <w:sz w:val="20"/>
                <w:szCs w:val="20"/>
              </w:rPr>
            </w:pPr>
            <w:r>
              <w:rPr>
                <w:rFonts w:ascii="Arial" w:eastAsia="Arial" w:hAnsi="Arial" w:cs="Arial"/>
                <w:sz w:val="18"/>
                <w:szCs w:val="18"/>
              </w:rPr>
              <w:t>2</w:t>
            </w:r>
          </w:p>
        </w:tc>
        <w:tc>
          <w:tcPr>
            <w:tcW w:w="200" w:type="dxa"/>
            <w:vAlign w:val="bottom"/>
          </w:tcPr>
          <w:p w14:paraId="3014C24D" w14:textId="77777777" w:rsidR="00D1587D" w:rsidRDefault="00D1587D"/>
        </w:tc>
        <w:tc>
          <w:tcPr>
            <w:tcW w:w="440" w:type="dxa"/>
            <w:gridSpan w:val="2"/>
            <w:vAlign w:val="bottom"/>
          </w:tcPr>
          <w:p w14:paraId="276EC1CA" w14:textId="77777777" w:rsidR="00D1587D" w:rsidRDefault="00410D07">
            <w:pPr>
              <w:ind w:right="140"/>
              <w:jc w:val="right"/>
              <w:rPr>
                <w:sz w:val="20"/>
                <w:szCs w:val="20"/>
              </w:rPr>
            </w:pPr>
            <w:r>
              <w:rPr>
                <w:rFonts w:ascii="Arial" w:eastAsia="Arial" w:hAnsi="Arial" w:cs="Arial"/>
                <w:sz w:val="18"/>
                <w:szCs w:val="18"/>
              </w:rPr>
              <w:t>—</w:t>
            </w:r>
          </w:p>
        </w:tc>
        <w:tc>
          <w:tcPr>
            <w:tcW w:w="720" w:type="dxa"/>
            <w:gridSpan w:val="2"/>
            <w:vAlign w:val="bottom"/>
          </w:tcPr>
          <w:p w14:paraId="5F0D369A" w14:textId="77777777" w:rsidR="00D1587D" w:rsidRDefault="00410D07">
            <w:pPr>
              <w:ind w:right="68"/>
              <w:jc w:val="right"/>
              <w:rPr>
                <w:sz w:val="20"/>
                <w:szCs w:val="20"/>
              </w:rPr>
            </w:pPr>
            <w:r>
              <w:rPr>
                <w:rFonts w:ascii="Arial" w:eastAsia="Arial" w:hAnsi="Arial" w:cs="Arial"/>
                <w:sz w:val="18"/>
                <w:szCs w:val="18"/>
              </w:rPr>
              <w:t>86</w:t>
            </w:r>
          </w:p>
        </w:tc>
        <w:tc>
          <w:tcPr>
            <w:tcW w:w="0" w:type="dxa"/>
            <w:vAlign w:val="bottom"/>
          </w:tcPr>
          <w:p w14:paraId="18F49215" w14:textId="77777777" w:rsidR="00D1587D" w:rsidRDefault="00D1587D">
            <w:pPr>
              <w:rPr>
                <w:sz w:val="1"/>
                <w:szCs w:val="1"/>
              </w:rPr>
            </w:pPr>
          </w:p>
        </w:tc>
      </w:tr>
      <w:tr w:rsidR="00D1587D" w14:paraId="3F8FAF94" w14:textId="77777777">
        <w:trPr>
          <w:trHeight w:val="67"/>
        </w:trPr>
        <w:tc>
          <w:tcPr>
            <w:tcW w:w="4860" w:type="dxa"/>
            <w:tcBorders>
              <w:bottom w:val="single" w:sz="8" w:space="0" w:color="CCEEFF"/>
            </w:tcBorders>
            <w:vAlign w:val="bottom"/>
          </w:tcPr>
          <w:p w14:paraId="601B7181" w14:textId="77777777" w:rsidR="00D1587D" w:rsidRDefault="00D1587D">
            <w:pPr>
              <w:rPr>
                <w:sz w:val="5"/>
                <w:szCs w:val="5"/>
              </w:rPr>
            </w:pPr>
          </w:p>
        </w:tc>
        <w:tc>
          <w:tcPr>
            <w:tcW w:w="640" w:type="dxa"/>
            <w:tcBorders>
              <w:bottom w:val="single" w:sz="8" w:space="0" w:color="CCEEFF"/>
            </w:tcBorders>
            <w:vAlign w:val="bottom"/>
          </w:tcPr>
          <w:p w14:paraId="17DE4FA3" w14:textId="77777777" w:rsidR="00D1587D" w:rsidRDefault="00D1587D">
            <w:pPr>
              <w:rPr>
                <w:sz w:val="5"/>
                <w:szCs w:val="5"/>
              </w:rPr>
            </w:pPr>
          </w:p>
        </w:tc>
        <w:tc>
          <w:tcPr>
            <w:tcW w:w="100" w:type="dxa"/>
            <w:tcBorders>
              <w:bottom w:val="single" w:sz="8" w:space="0" w:color="CCEEFF"/>
            </w:tcBorders>
            <w:vAlign w:val="bottom"/>
          </w:tcPr>
          <w:p w14:paraId="46A1D7A9" w14:textId="77777777" w:rsidR="00D1587D" w:rsidRDefault="00D1587D">
            <w:pPr>
              <w:rPr>
                <w:sz w:val="5"/>
                <w:szCs w:val="5"/>
              </w:rPr>
            </w:pPr>
          </w:p>
        </w:tc>
        <w:tc>
          <w:tcPr>
            <w:tcW w:w="20" w:type="dxa"/>
            <w:tcBorders>
              <w:bottom w:val="single" w:sz="8" w:space="0" w:color="CCEEFF"/>
            </w:tcBorders>
            <w:vAlign w:val="bottom"/>
          </w:tcPr>
          <w:p w14:paraId="49DB581E" w14:textId="77777777" w:rsidR="00D1587D" w:rsidRDefault="00D1587D">
            <w:pPr>
              <w:rPr>
                <w:sz w:val="5"/>
                <w:szCs w:val="5"/>
              </w:rPr>
            </w:pPr>
          </w:p>
        </w:tc>
        <w:tc>
          <w:tcPr>
            <w:tcW w:w="80" w:type="dxa"/>
            <w:tcBorders>
              <w:bottom w:val="single" w:sz="8" w:space="0" w:color="auto"/>
            </w:tcBorders>
            <w:vAlign w:val="bottom"/>
          </w:tcPr>
          <w:p w14:paraId="7ED05C0C" w14:textId="77777777" w:rsidR="00D1587D" w:rsidRDefault="00D1587D">
            <w:pPr>
              <w:rPr>
                <w:sz w:val="5"/>
                <w:szCs w:val="5"/>
              </w:rPr>
            </w:pPr>
          </w:p>
        </w:tc>
        <w:tc>
          <w:tcPr>
            <w:tcW w:w="480" w:type="dxa"/>
            <w:tcBorders>
              <w:bottom w:val="single" w:sz="8" w:space="0" w:color="auto"/>
            </w:tcBorders>
            <w:vAlign w:val="bottom"/>
          </w:tcPr>
          <w:p w14:paraId="1A6840CE" w14:textId="77777777" w:rsidR="00D1587D" w:rsidRDefault="00D1587D">
            <w:pPr>
              <w:rPr>
                <w:sz w:val="5"/>
                <w:szCs w:val="5"/>
              </w:rPr>
            </w:pPr>
          </w:p>
        </w:tc>
        <w:tc>
          <w:tcPr>
            <w:tcW w:w="180" w:type="dxa"/>
            <w:tcBorders>
              <w:bottom w:val="single" w:sz="8" w:space="0" w:color="auto"/>
            </w:tcBorders>
            <w:vAlign w:val="bottom"/>
          </w:tcPr>
          <w:p w14:paraId="2C8AEFD6" w14:textId="77777777" w:rsidR="00D1587D" w:rsidRDefault="00D1587D">
            <w:pPr>
              <w:rPr>
                <w:sz w:val="5"/>
                <w:szCs w:val="5"/>
              </w:rPr>
            </w:pPr>
          </w:p>
        </w:tc>
        <w:tc>
          <w:tcPr>
            <w:tcW w:w="200" w:type="dxa"/>
            <w:tcBorders>
              <w:bottom w:val="single" w:sz="8" w:space="0" w:color="CCEEFF"/>
            </w:tcBorders>
            <w:vAlign w:val="bottom"/>
          </w:tcPr>
          <w:p w14:paraId="691FA5C7" w14:textId="77777777" w:rsidR="00D1587D" w:rsidRDefault="00D1587D">
            <w:pPr>
              <w:rPr>
                <w:sz w:val="5"/>
                <w:szCs w:val="5"/>
              </w:rPr>
            </w:pPr>
          </w:p>
        </w:tc>
        <w:tc>
          <w:tcPr>
            <w:tcW w:w="160" w:type="dxa"/>
            <w:tcBorders>
              <w:bottom w:val="single" w:sz="8" w:space="0" w:color="auto"/>
            </w:tcBorders>
            <w:vAlign w:val="bottom"/>
          </w:tcPr>
          <w:p w14:paraId="7E27B69B" w14:textId="77777777" w:rsidR="00D1587D" w:rsidRDefault="00D1587D">
            <w:pPr>
              <w:rPr>
                <w:sz w:val="5"/>
                <w:szCs w:val="5"/>
              </w:rPr>
            </w:pPr>
          </w:p>
        </w:tc>
        <w:tc>
          <w:tcPr>
            <w:tcW w:w="100" w:type="dxa"/>
            <w:tcBorders>
              <w:bottom w:val="single" w:sz="8" w:space="0" w:color="auto"/>
            </w:tcBorders>
            <w:vAlign w:val="bottom"/>
          </w:tcPr>
          <w:p w14:paraId="5495470D" w14:textId="77777777" w:rsidR="00D1587D" w:rsidRDefault="00D1587D">
            <w:pPr>
              <w:rPr>
                <w:sz w:val="5"/>
                <w:szCs w:val="5"/>
              </w:rPr>
            </w:pPr>
          </w:p>
        </w:tc>
        <w:tc>
          <w:tcPr>
            <w:tcW w:w="240" w:type="dxa"/>
            <w:tcBorders>
              <w:bottom w:val="single" w:sz="8" w:space="0" w:color="auto"/>
            </w:tcBorders>
            <w:vAlign w:val="bottom"/>
          </w:tcPr>
          <w:p w14:paraId="7DD3A98B" w14:textId="77777777" w:rsidR="00D1587D" w:rsidRDefault="00D1587D">
            <w:pPr>
              <w:rPr>
                <w:sz w:val="5"/>
                <w:szCs w:val="5"/>
              </w:rPr>
            </w:pPr>
          </w:p>
        </w:tc>
        <w:tc>
          <w:tcPr>
            <w:tcW w:w="200" w:type="dxa"/>
            <w:tcBorders>
              <w:bottom w:val="single" w:sz="8" w:space="0" w:color="CCEEFF"/>
            </w:tcBorders>
            <w:vAlign w:val="bottom"/>
          </w:tcPr>
          <w:p w14:paraId="3C1C21F2" w14:textId="77777777" w:rsidR="00D1587D" w:rsidRDefault="00D1587D">
            <w:pPr>
              <w:rPr>
                <w:sz w:val="5"/>
                <w:szCs w:val="5"/>
              </w:rPr>
            </w:pPr>
          </w:p>
        </w:tc>
        <w:tc>
          <w:tcPr>
            <w:tcW w:w="300" w:type="dxa"/>
            <w:tcBorders>
              <w:bottom w:val="single" w:sz="8" w:space="0" w:color="auto"/>
            </w:tcBorders>
            <w:vAlign w:val="bottom"/>
          </w:tcPr>
          <w:p w14:paraId="1E4F22D9" w14:textId="77777777" w:rsidR="00D1587D" w:rsidRDefault="00D1587D">
            <w:pPr>
              <w:rPr>
                <w:sz w:val="5"/>
                <w:szCs w:val="5"/>
              </w:rPr>
            </w:pPr>
          </w:p>
        </w:tc>
        <w:tc>
          <w:tcPr>
            <w:tcW w:w="140" w:type="dxa"/>
            <w:tcBorders>
              <w:bottom w:val="single" w:sz="8" w:space="0" w:color="auto"/>
            </w:tcBorders>
            <w:vAlign w:val="bottom"/>
          </w:tcPr>
          <w:p w14:paraId="5CF8A1D1" w14:textId="77777777" w:rsidR="00D1587D" w:rsidRDefault="00D1587D">
            <w:pPr>
              <w:rPr>
                <w:sz w:val="5"/>
                <w:szCs w:val="5"/>
              </w:rPr>
            </w:pPr>
          </w:p>
        </w:tc>
        <w:tc>
          <w:tcPr>
            <w:tcW w:w="180" w:type="dxa"/>
            <w:tcBorders>
              <w:bottom w:val="single" w:sz="8" w:space="0" w:color="CCEEFF"/>
            </w:tcBorders>
            <w:vAlign w:val="bottom"/>
          </w:tcPr>
          <w:p w14:paraId="4964B79A" w14:textId="77777777" w:rsidR="00D1587D" w:rsidRDefault="00D1587D">
            <w:pPr>
              <w:rPr>
                <w:sz w:val="5"/>
                <w:szCs w:val="5"/>
              </w:rPr>
            </w:pPr>
          </w:p>
        </w:tc>
        <w:tc>
          <w:tcPr>
            <w:tcW w:w="540" w:type="dxa"/>
            <w:tcBorders>
              <w:bottom w:val="single" w:sz="8" w:space="0" w:color="auto"/>
            </w:tcBorders>
            <w:vAlign w:val="bottom"/>
          </w:tcPr>
          <w:p w14:paraId="37E45F45" w14:textId="77777777" w:rsidR="00D1587D" w:rsidRDefault="00D1587D">
            <w:pPr>
              <w:rPr>
                <w:sz w:val="5"/>
                <w:szCs w:val="5"/>
              </w:rPr>
            </w:pPr>
          </w:p>
        </w:tc>
        <w:tc>
          <w:tcPr>
            <w:tcW w:w="0" w:type="dxa"/>
            <w:vAlign w:val="bottom"/>
          </w:tcPr>
          <w:p w14:paraId="4F27A91D" w14:textId="77777777" w:rsidR="00D1587D" w:rsidRDefault="00D1587D">
            <w:pPr>
              <w:rPr>
                <w:sz w:val="1"/>
                <w:szCs w:val="1"/>
              </w:rPr>
            </w:pPr>
          </w:p>
        </w:tc>
      </w:tr>
      <w:tr w:rsidR="00D1587D" w14:paraId="0D9C7DE9" w14:textId="77777777">
        <w:trPr>
          <w:trHeight w:val="396"/>
        </w:trPr>
        <w:tc>
          <w:tcPr>
            <w:tcW w:w="4860" w:type="dxa"/>
            <w:tcBorders>
              <w:bottom w:val="single" w:sz="8" w:space="0" w:color="CCEEFF"/>
            </w:tcBorders>
            <w:shd w:val="clear" w:color="auto" w:fill="CCEEFF"/>
            <w:vAlign w:val="bottom"/>
          </w:tcPr>
          <w:p w14:paraId="064F85C7" w14:textId="77777777" w:rsidR="00D1587D" w:rsidRDefault="00410D07">
            <w:pPr>
              <w:ind w:left="180"/>
              <w:rPr>
                <w:sz w:val="20"/>
                <w:szCs w:val="20"/>
              </w:rPr>
            </w:pPr>
            <w:r>
              <w:rPr>
                <w:rFonts w:ascii="Arial" w:eastAsia="Arial" w:hAnsi="Arial" w:cs="Arial"/>
                <w:b/>
                <w:bCs/>
                <w:sz w:val="18"/>
                <w:szCs w:val="18"/>
              </w:rPr>
              <w:t>Total</w:t>
            </w:r>
          </w:p>
        </w:tc>
        <w:tc>
          <w:tcPr>
            <w:tcW w:w="640" w:type="dxa"/>
            <w:tcBorders>
              <w:bottom w:val="single" w:sz="8" w:space="0" w:color="CCEEFF"/>
            </w:tcBorders>
            <w:shd w:val="clear" w:color="auto" w:fill="CCEEFF"/>
            <w:vAlign w:val="bottom"/>
          </w:tcPr>
          <w:p w14:paraId="33CBE1EF" w14:textId="77777777" w:rsidR="00D1587D" w:rsidRDefault="00D1587D">
            <w:pPr>
              <w:rPr>
                <w:sz w:val="24"/>
                <w:szCs w:val="24"/>
              </w:rPr>
            </w:pPr>
          </w:p>
        </w:tc>
        <w:tc>
          <w:tcPr>
            <w:tcW w:w="100" w:type="dxa"/>
            <w:tcBorders>
              <w:bottom w:val="single" w:sz="8" w:space="0" w:color="CCEEFF"/>
            </w:tcBorders>
            <w:shd w:val="clear" w:color="auto" w:fill="CCEEFF"/>
            <w:vAlign w:val="bottom"/>
          </w:tcPr>
          <w:p w14:paraId="2FA761F8" w14:textId="77777777" w:rsidR="00D1587D" w:rsidRDefault="00D1587D">
            <w:pPr>
              <w:rPr>
                <w:sz w:val="24"/>
                <w:szCs w:val="24"/>
              </w:rPr>
            </w:pPr>
          </w:p>
        </w:tc>
        <w:tc>
          <w:tcPr>
            <w:tcW w:w="20" w:type="dxa"/>
            <w:tcBorders>
              <w:bottom w:val="single" w:sz="8" w:space="0" w:color="CCEEFF"/>
            </w:tcBorders>
            <w:shd w:val="clear" w:color="auto" w:fill="CCEEFF"/>
            <w:vAlign w:val="bottom"/>
          </w:tcPr>
          <w:p w14:paraId="43664042"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44BC03A9" w14:textId="77777777" w:rsidR="00D1587D" w:rsidRDefault="00410D07">
            <w:pPr>
              <w:ind w:left="77"/>
              <w:jc w:val="center"/>
              <w:rPr>
                <w:sz w:val="20"/>
                <w:szCs w:val="20"/>
              </w:rPr>
            </w:pPr>
            <w:r>
              <w:rPr>
                <w:rFonts w:ascii="Arial" w:eastAsia="Arial" w:hAnsi="Arial" w:cs="Arial"/>
                <w:b/>
                <w:bCs/>
                <w:w w:val="93"/>
                <w:sz w:val="18"/>
                <w:szCs w:val="18"/>
              </w:rPr>
              <w:t>444</w:t>
            </w:r>
          </w:p>
        </w:tc>
        <w:tc>
          <w:tcPr>
            <w:tcW w:w="180" w:type="dxa"/>
            <w:tcBorders>
              <w:bottom w:val="single" w:sz="8" w:space="0" w:color="CCEEFF"/>
              <w:right w:val="single" w:sz="8" w:space="0" w:color="CCEEFF"/>
            </w:tcBorders>
            <w:shd w:val="clear" w:color="auto" w:fill="CCEEFF"/>
            <w:vAlign w:val="bottom"/>
          </w:tcPr>
          <w:p w14:paraId="7BE54282" w14:textId="77777777" w:rsidR="00D1587D" w:rsidRDefault="00D1587D">
            <w:pPr>
              <w:rPr>
                <w:sz w:val="24"/>
                <w:szCs w:val="24"/>
              </w:rPr>
            </w:pPr>
          </w:p>
        </w:tc>
        <w:tc>
          <w:tcPr>
            <w:tcW w:w="700" w:type="dxa"/>
            <w:gridSpan w:val="4"/>
            <w:tcBorders>
              <w:bottom w:val="single" w:sz="8" w:space="0" w:color="CCEEFF"/>
            </w:tcBorders>
            <w:shd w:val="clear" w:color="auto" w:fill="CCEEFF"/>
            <w:vAlign w:val="bottom"/>
          </w:tcPr>
          <w:p w14:paraId="25356672" w14:textId="77777777" w:rsidR="00D1587D" w:rsidRDefault="00410D07">
            <w:pPr>
              <w:ind w:right="108"/>
              <w:jc w:val="right"/>
              <w:rPr>
                <w:sz w:val="20"/>
                <w:szCs w:val="20"/>
              </w:rPr>
            </w:pPr>
            <w:r>
              <w:rPr>
                <w:rFonts w:ascii="Arial" w:eastAsia="Arial" w:hAnsi="Arial" w:cs="Arial"/>
                <w:b/>
                <w:bCs/>
                <w:sz w:val="18"/>
                <w:szCs w:val="18"/>
              </w:rPr>
              <w:t>2</w:t>
            </w:r>
          </w:p>
        </w:tc>
        <w:tc>
          <w:tcPr>
            <w:tcW w:w="640" w:type="dxa"/>
            <w:gridSpan w:val="3"/>
            <w:tcBorders>
              <w:bottom w:val="single" w:sz="8" w:space="0" w:color="CCEEFF"/>
              <w:right w:val="single" w:sz="8" w:space="0" w:color="CCEEFF"/>
            </w:tcBorders>
            <w:shd w:val="clear" w:color="auto" w:fill="CCEEFF"/>
            <w:vAlign w:val="bottom"/>
          </w:tcPr>
          <w:p w14:paraId="0CA7E894" w14:textId="77777777" w:rsidR="00D1587D" w:rsidRDefault="00410D07">
            <w:pPr>
              <w:ind w:right="80"/>
              <w:jc w:val="right"/>
              <w:rPr>
                <w:sz w:val="20"/>
                <w:szCs w:val="20"/>
              </w:rPr>
            </w:pPr>
            <w:r>
              <w:rPr>
                <w:rFonts w:ascii="Arial" w:eastAsia="Arial" w:hAnsi="Arial" w:cs="Arial"/>
                <w:b/>
                <w:bCs/>
                <w:sz w:val="18"/>
                <w:szCs w:val="18"/>
              </w:rPr>
              <w:t>(7)</w:t>
            </w:r>
          </w:p>
        </w:tc>
        <w:tc>
          <w:tcPr>
            <w:tcW w:w="720" w:type="dxa"/>
            <w:gridSpan w:val="2"/>
            <w:tcBorders>
              <w:bottom w:val="single" w:sz="8" w:space="0" w:color="CCEEFF"/>
            </w:tcBorders>
            <w:shd w:val="clear" w:color="auto" w:fill="CCEEFF"/>
            <w:vAlign w:val="bottom"/>
          </w:tcPr>
          <w:p w14:paraId="20921BFB" w14:textId="77777777" w:rsidR="00D1587D" w:rsidRDefault="00410D07">
            <w:pPr>
              <w:ind w:right="68"/>
              <w:jc w:val="right"/>
              <w:rPr>
                <w:sz w:val="20"/>
                <w:szCs w:val="20"/>
              </w:rPr>
            </w:pPr>
            <w:r>
              <w:rPr>
                <w:rFonts w:ascii="Arial" w:eastAsia="Arial" w:hAnsi="Arial" w:cs="Arial"/>
                <w:b/>
                <w:bCs/>
                <w:sz w:val="18"/>
                <w:szCs w:val="18"/>
              </w:rPr>
              <w:t>439</w:t>
            </w:r>
          </w:p>
        </w:tc>
        <w:tc>
          <w:tcPr>
            <w:tcW w:w="0" w:type="dxa"/>
            <w:vAlign w:val="bottom"/>
          </w:tcPr>
          <w:p w14:paraId="20483817" w14:textId="77777777" w:rsidR="00D1587D" w:rsidRDefault="00D1587D">
            <w:pPr>
              <w:rPr>
                <w:sz w:val="1"/>
                <w:szCs w:val="1"/>
              </w:rPr>
            </w:pPr>
          </w:p>
        </w:tc>
      </w:tr>
      <w:tr w:rsidR="00D1587D" w14:paraId="19FB11E6" w14:textId="77777777">
        <w:trPr>
          <w:trHeight w:val="298"/>
        </w:trPr>
        <w:tc>
          <w:tcPr>
            <w:tcW w:w="5620" w:type="dxa"/>
            <w:gridSpan w:val="4"/>
            <w:tcBorders>
              <w:top w:val="single" w:sz="8" w:space="0" w:color="CCEEFF"/>
            </w:tcBorders>
            <w:vAlign w:val="bottom"/>
          </w:tcPr>
          <w:p w14:paraId="479705EC" w14:textId="77777777" w:rsidR="00D1587D" w:rsidRDefault="00410D07">
            <w:pPr>
              <w:ind w:left="360"/>
              <w:rPr>
                <w:sz w:val="20"/>
                <w:szCs w:val="20"/>
              </w:rPr>
            </w:pPr>
            <w:r>
              <w:rPr>
                <w:rFonts w:ascii="Arial" w:eastAsia="Arial" w:hAnsi="Arial" w:cs="Arial"/>
                <w:w w:val="96"/>
                <w:sz w:val="18"/>
                <w:szCs w:val="18"/>
              </w:rPr>
              <w:t>The following table represents partner-operated store data for 2020:</w:t>
            </w:r>
          </w:p>
        </w:tc>
        <w:tc>
          <w:tcPr>
            <w:tcW w:w="80" w:type="dxa"/>
            <w:tcBorders>
              <w:top w:val="single" w:sz="8" w:space="0" w:color="auto"/>
            </w:tcBorders>
            <w:vAlign w:val="bottom"/>
          </w:tcPr>
          <w:p w14:paraId="07CB0402" w14:textId="77777777" w:rsidR="00D1587D" w:rsidRDefault="00D1587D">
            <w:pPr>
              <w:rPr>
                <w:sz w:val="24"/>
                <w:szCs w:val="24"/>
              </w:rPr>
            </w:pPr>
          </w:p>
        </w:tc>
        <w:tc>
          <w:tcPr>
            <w:tcW w:w="480" w:type="dxa"/>
            <w:tcBorders>
              <w:top w:val="single" w:sz="8" w:space="0" w:color="auto"/>
            </w:tcBorders>
            <w:vAlign w:val="bottom"/>
          </w:tcPr>
          <w:p w14:paraId="126568F7" w14:textId="77777777" w:rsidR="00D1587D" w:rsidRDefault="00D1587D">
            <w:pPr>
              <w:rPr>
                <w:sz w:val="24"/>
                <w:szCs w:val="24"/>
              </w:rPr>
            </w:pPr>
          </w:p>
        </w:tc>
        <w:tc>
          <w:tcPr>
            <w:tcW w:w="180" w:type="dxa"/>
            <w:tcBorders>
              <w:top w:val="single" w:sz="8" w:space="0" w:color="auto"/>
            </w:tcBorders>
            <w:vAlign w:val="bottom"/>
          </w:tcPr>
          <w:p w14:paraId="577893F6" w14:textId="77777777" w:rsidR="00D1587D" w:rsidRDefault="00D1587D">
            <w:pPr>
              <w:rPr>
                <w:sz w:val="24"/>
                <w:szCs w:val="24"/>
              </w:rPr>
            </w:pPr>
          </w:p>
        </w:tc>
        <w:tc>
          <w:tcPr>
            <w:tcW w:w="200" w:type="dxa"/>
            <w:tcBorders>
              <w:top w:val="single" w:sz="8" w:space="0" w:color="CCEEFF"/>
            </w:tcBorders>
            <w:vAlign w:val="bottom"/>
          </w:tcPr>
          <w:p w14:paraId="47D1221A" w14:textId="77777777" w:rsidR="00D1587D" w:rsidRDefault="00D1587D">
            <w:pPr>
              <w:rPr>
                <w:sz w:val="24"/>
                <w:szCs w:val="24"/>
              </w:rPr>
            </w:pPr>
          </w:p>
        </w:tc>
        <w:tc>
          <w:tcPr>
            <w:tcW w:w="160" w:type="dxa"/>
            <w:tcBorders>
              <w:top w:val="single" w:sz="8" w:space="0" w:color="auto"/>
            </w:tcBorders>
            <w:vAlign w:val="bottom"/>
          </w:tcPr>
          <w:p w14:paraId="3D162234" w14:textId="77777777" w:rsidR="00D1587D" w:rsidRDefault="00D1587D">
            <w:pPr>
              <w:rPr>
                <w:sz w:val="24"/>
                <w:szCs w:val="24"/>
              </w:rPr>
            </w:pPr>
          </w:p>
        </w:tc>
        <w:tc>
          <w:tcPr>
            <w:tcW w:w="100" w:type="dxa"/>
            <w:tcBorders>
              <w:top w:val="single" w:sz="8" w:space="0" w:color="auto"/>
            </w:tcBorders>
            <w:vAlign w:val="bottom"/>
          </w:tcPr>
          <w:p w14:paraId="152AE7CE" w14:textId="77777777" w:rsidR="00D1587D" w:rsidRDefault="00D1587D">
            <w:pPr>
              <w:rPr>
                <w:sz w:val="24"/>
                <w:szCs w:val="24"/>
              </w:rPr>
            </w:pPr>
          </w:p>
        </w:tc>
        <w:tc>
          <w:tcPr>
            <w:tcW w:w="240" w:type="dxa"/>
            <w:tcBorders>
              <w:top w:val="single" w:sz="8" w:space="0" w:color="auto"/>
            </w:tcBorders>
            <w:vAlign w:val="bottom"/>
          </w:tcPr>
          <w:p w14:paraId="2A0B852E" w14:textId="77777777" w:rsidR="00D1587D" w:rsidRDefault="00D1587D">
            <w:pPr>
              <w:rPr>
                <w:sz w:val="24"/>
                <w:szCs w:val="24"/>
              </w:rPr>
            </w:pPr>
          </w:p>
        </w:tc>
        <w:tc>
          <w:tcPr>
            <w:tcW w:w="200" w:type="dxa"/>
            <w:tcBorders>
              <w:top w:val="single" w:sz="8" w:space="0" w:color="CCEEFF"/>
            </w:tcBorders>
            <w:vAlign w:val="bottom"/>
          </w:tcPr>
          <w:p w14:paraId="17010A28" w14:textId="77777777" w:rsidR="00D1587D" w:rsidRDefault="00D1587D">
            <w:pPr>
              <w:rPr>
                <w:sz w:val="24"/>
                <w:szCs w:val="24"/>
              </w:rPr>
            </w:pPr>
          </w:p>
        </w:tc>
        <w:tc>
          <w:tcPr>
            <w:tcW w:w="300" w:type="dxa"/>
            <w:tcBorders>
              <w:top w:val="single" w:sz="8" w:space="0" w:color="auto"/>
            </w:tcBorders>
            <w:vAlign w:val="bottom"/>
          </w:tcPr>
          <w:p w14:paraId="1DEF6F35" w14:textId="77777777" w:rsidR="00D1587D" w:rsidRDefault="00D1587D">
            <w:pPr>
              <w:rPr>
                <w:sz w:val="24"/>
                <w:szCs w:val="24"/>
              </w:rPr>
            </w:pPr>
          </w:p>
        </w:tc>
        <w:tc>
          <w:tcPr>
            <w:tcW w:w="140" w:type="dxa"/>
            <w:tcBorders>
              <w:top w:val="single" w:sz="8" w:space="0" w:color="auto"/>
            </w:tcBorders>
            <w:vAlign w:val="bottom"/>
          </w:tcPr>
          <w:p w14:paraId="058A1375" w14:textId="77777777" w:rsidR="00D1587D" w:rsidRDefault="00D1587D">
            <w:pPr>
              <w:rPr>
                <w:sz w:val="24"/>
                <w:szCs w:val="24"/>
              </w:rPr>
            </w:pPr>
          </w:p>
        </w:tc>
        <w:tc>
          <w:tcPr>
            <w:tcW w:w="180" w:type="dxa"/>
            <w:tcBorders>
              <w:top w:val="single" w:sz="8" w:space="0" w:color="CCEEFF"/>
            </w:tcBorders>
            <w:vAlign w:val="bottom"/>
          </w:tcPr>
          <w:p w14:paraId="1D1922C2" w14:textId="77777777" w:rsidR="00D1587D" w:rsidRDefault="00D1587D">
            <w:pPr>
              <w:rPr>
                <w:sz w:val="24"/>
                <w:szCs w:val="24"/>
              </w:rPr>
            </w:pPr>
          </w:p>
        </w:tc>
        <w:tc>
          <w:tcPr>
            <w:tcW w:w="540" w:type="dxa"/>
            <w:tcBorders>
              <w:top w:val="single" w:sz="8" w:space="0" w:color="auto"/>
            </w:tcBorders>
            <w:vAlign w:val="bottom"/>
          </w:tcPr>
          <w:p w14:paraId="6857293E" w14:textId="77777777" w:rsidR="00D1587D" w:rsidRDefault="00D1587D">
            <w:pPr>
              <w:rPr>
                <w:sz w:val="24"/>
                <w:szCs w:val="24"/>
              </w:rPr>
            </w:pPr>
          </w:p>
        </w:tc>
        <w:tc>
          <w:tcPr>
            <w:tcW w:w="0" w:type="dxa"/>
            <w:vAlign w:val="bottom"/>
          </w:tcPr>
          <w:p w14:paraId="72D61546" w14:textId="77777777" w:rsidR="00D1587D" w:rsidRDefault="00D1587D">
            <w:pPr>
              <w:rPr>
                <w:sz w:val="1"/>
                <w:szCs w:val="1"/>
              </w:rPr>
            </w:pPr>
          </w:p>
        </w:tc>
      </w:tr>
      <w:tr w:rsidR="00D1587D" w14:paraId="197E6DB7" w14:textId="77777777">
        <w:trPr>
          <w:trHeight w:val="315"/>
        </w:trPr>
        <w:tc>
          <w:tcPr>
            <w:tcW w:w="4860" w:type="dxa"/>
            <w:vAlign w:val="bottom"/>
          </w:tcPr>
          <w:p w14:paraId="4FEA5495" w14:textId="77777777" w:rsidR="00D1587D" w:rsidRDefault="00D1587D">
            <w:pPr>
              <w:rPr>
                <w:sz w:val="24"/>
                <w:szCs w:val="24"/>
              </w:rPr>
            </w:pPr>
          </w:p>
        </w:tc>
        <w:tc>
          <w:tcPr>
            <w:tcW w:w="760" w:type="dxa"/>
            <w:gridSpan w:val="3"/>
            <w:vMerge w:val="restart"/>
            <w:vAlign w:val="bottom"/>
          </w:tcPr>
          <w:p w14:paraId="6BBBC286" w14:textId="77777777" w:rsidR="00D1587D" w:rsidRDefault="00410D07">
            <w:pPr>
              <w:ind w:right="60"/>
              <w:jc w:val="center"/>
              <w:rPr>
                <w:sz w:val="20"/>
                <w:szCs w:val="20"/>
              </w:rPr>
            </w:pPr>
            <w:r>
              <w:rPr>
                <w:rFonts w:ascii="Arial" w:eastAsia="Arial" w:hAnsi="Arial" w:cs="Arial"/>
                <w:b/>
                <w:bCs/>
                <w:w w:val="90"/>
                <w:sz w:val="14"/>
                <w:szCs w:val="14"/>
              </w:rPr>
              <w:t>Stores at</w:t>
            </w:r>
          </w:p>
        </w:tc>
        <w:tc>
          <w:tcPr>
            <w:tcW w:w="80" w:type="dxa"/>
            <w:vAlign w:val="bottom"/>
          </w:tcPr>
          <w:p w14:paraId="1D228C30" w14:textId="77777777" w:rsidR="00D1587D" w:rsidRDefault="00D1587D">
            <w:pPr>
              <w:rPr>
                <w:sz w:val="24"/>
                <w:szCs w:val="24"/>
              </w:rPr>
            </w:pPr>
          </w:p>
        </w:tc>
        <w:tc>
          <w:tcPr>
            <w:tcW w:w="480" w:type="dxa"/>
            <w:vAlign w:val="bottom"/>
          </w:tcPr>
          <w:p w14:paraId="5168CA81" w14:textId="77777777" w:rsidR="00D1587D" w:rsidRDefault="00D1587D">
            <w:pPr>
              <w:rPr>
                <w:sz w:val="24"/>
                <w:szCs w:val="24"/>
              </w:rPr>
            </w:pPr>
          </w:p>
        </w:tc>
        <w:tc>
          <w:tcPr>
            <w:tcW w:w="180" w:type="dxa"/>
            <w:vAlign w:val="bottom"/>
          </w:tcPr>
          <w:p w14:paraId="3C2D9220" w14:textId="77777777" w:rsidR="00D1587D" w:rsidRDefault="00D1587D">
            <w:pPr>
              <w:rPr>
                <w:sz w:val="24"/>
                <w:szCs w:val="24"/>
              </w:rPr>
            </w:pPr>
          </w:p>
        </w:tc>
        <w:tc>
          <w:tcPr>
            <w:tcW w:w="200" w:type="dxa"/>
            <w:vAlign w:val="bottom"/>
          </w:tcPr>
          <w:p w14:paraId="3B4BB89B" w14:textId="77777777" w:rsidR="00D1587D" w:rsidRDefault="00D1587D">
            <w:pPr>
              <w:rPr>
                <w:sz w:val="24"/>
                <w:szCs w:val="24"/>
              </w:rPr>
            </w:pPr>
          </w:p>
        </w:tc>
        <w:tc>
          <w:tcPr>
            <w:tcW w:w="160" w:type="dxa"/>
            <w:vAlign w:val="bottom"/>
          </w:tcPr>
          <w:p w14:paraId="62F5EA1F" w14:textId="77777777" w:rsidR="00D1587D" w:rsidRDefault="00D1587D">
            <w:pPr>
              <w:rPr>
                <w:sz w:val="24"/>
                <w:szCs w:val="24"/>
              </w:rPr>
            </w:pPr>
          </w:p>
        </w:tc>
        <w:tc>
          <w:tcPr>
            <w:tcW w:w="100" w:type="dxa"/>
            <w:vAlign w:val="bottom"/>
          </w:tcPr>
          <w:p w14:paraId="0F23A2F9" w14:textId="77777777" w:rsidR="00D1587D" w:rsidRDefault="00D1587D">
            <w:pPr>
              <w:rPr>
                <w:sz w:val="24"/>
                <w:szCs w:val="24"/>
              </w:rPr>
            </w:pPr>
          </w:p>
        </w:tc>
        <w:tc>
          <w:tcPr>
            <w:tcW w:w="880" w:type="dxa"/>
            <w:gridSpan w:val="4"/>
            <w:vAlign w:val="bottom"/>
          </w:tcPr>
          <w:p w14:paraId="652FD9A9" w14:textId="77777777" w:rsidR="00D1587D" w:rsidRDefault="00410D07">
            <w:pPr>
              <w:ind w:right="140"/>
              <w:jc w:val="center"/>
              <w:rPr>
                <w:sz w:val="20"/>
                <w:szCs w:val="20"/>
              </w:rPr>
            </w:pPr>
            <w:r>
              <w:rPr>
                <w:rFonts w:ascii="Arial" w:eastAsia="Arial" w:hAnsi="Arial" w:cs="Arial"/>
                <w:b/>
                <w:bCs/>
                <w:w w:val="95"/>
                <w:sz w:val="14"/>
                <w:szCs w:val="14"/>
              </w:rPr>
              <w:t>Transferred</w:t>
            </w:r>
          </w:p>
        </w:tc>
        <w:tc>
          <w:tcPr>
            <w:tcW w:w="720" w:type="dxa"/>
            <w:gridSpan w:val="2"/>
            <w:vMerge w:val="restart"/>
            <w:vAlign w:val="bottom"/>
          </w:tcPr>
          <w:p w14:paraId="77BE12DD" w14:textId="77777777" w:rsidR="00D1587D" w:rsidRDefault="00410D07">
            <w:pPr>
              <w:ind w:right="48"/>
              <w:jc w:val="right"/>
              <w:rPr>
                <w:sz w:val="20"/>
                <w:szCs w:val="20"/>
              </w:rPr>
            </w:pPr>
            <w:r>
              <w:rPr>
                <w:rFonts w:ascii="Arial" w:eastAsia="Arial" w:hAnsi="Arial" w:cs="Arial"/>
                <w:b/>
                <w:bCs/>
                <w:w w:val="96"/>
                <w:sz w:val="14"/>
                <w:szCs w:val="14"/>
              </w:rPr>
              <w:t>Stores at</w:t>
            </w:r>
          </w:p>
        </w:tc>
        <w:tc>
          <w:tcPr>
            <w:tcW w:w="0" w:type="dxa"/>
            <w:vAlign w:val="bottom"/>
          </w:tcPr>
          <w:p w14:paraId="51E6ACC2" w14:textId="77777777" w:rsidR="00D1587D" w:rsidRDefault="00D1587D">
            <w:pPr>
              <w:rPr>
                <w:sz w:val="1"/>
                <w:szCs w:val="1"/>
              </w:rPr>
            </w:pPr>
          </w:p>
        </w:tc>
      </w:tr>
      <w:tr w:rsidR="00D1587D" w14:paraId="653AC32D" w14:textId="77777777">
        <w:trPr>
          <w:trHeight w:val="149"/>
        </w:trPr>
        <w:tc>
          <w:tcPr>
            <w:tcW w:w="4860" w:type="dxa"/>
            <w:vAlign w:val="bottom"/>
          </w:tcPr>
          <w:p w14:paraId="2243B3CA" w14:textId="77777777" w:rsidR="00D1587D" w:rsidRDefault="00D1587D">
            <w:pPr>
              <w:rPr>
                <w:sz w:val="12"/>
                <w:szCs w:val="12"/>
              </w:rPr>
            </w:pPr>
          </w:p>
        </w:tc>
        <w:tc>
          <w:tcPr>
            <w:tcW w:w="760" w:type="dxa"/>
            <w:gridSpan w:val="3"/>
            <w:vMerge/>
            <w:vAlign w:val="bottom"/>
          </w:tcPr>
          <w:p w14:paraId="1A55099A" w14:textId="77777777" w:rsidR="00D1587D" w:rsidRDefault="00D1587D">
            <w:pPr>
              <w:rPr>
                <w:sz w:val="12"/>
                <w:szCs w:val="12"/>
              </w:rPr>
            </w:pPr>
          </w:p>
        </w:tc>
        <w:tc>
          <w:tcPr>
            <w:tcW w:w="80" w:type="dxa"/>
            <w:vAlign w:val="bottom"/>
          </w:tcPr>
          <w:p w14:paraId="4B5E1BC8" w14:textId="77777777" w:rsidR="00D1587D" w:rsidRDefault="00D1587D">
            <w:pPr>
              <w:rPr>
                <w:sz w:val="12"/>
                <w:szCs w:val="12"/>
              </w:rPr>
            </w:pPr>
          </w:p>
        </w:tc>
        <w:tc>
          <w:tcPr>
            <w:tcW w:w="480" w:type="dxa"/>
            <w:vAlign w:val="bottom"/>
          </w:tcPr>
          <w:p w14:paraId="745CA264" w14:textId="77777777" w:rsidR="00D1587D" w:rsidRDefault="00D1587D">
            <w:pPr>
              <w:rPr>
                <w:sz w:val="12"/>
                <w:szCs w:val="12"/>
              </w:rPr>
            </w:pPr>
          </w:p>
        </w:tc>
        <w:tc>
          <w:tcPr>
            <w:tcW w:w="180" w:type="dxa"/>
            <w:vAlign w:val="bottom"/>
          </w:tcPr>
          <w:p w14:paraId="20CED542" w14:textId="77777777" w:rsidR="00D1587D" w:rsidRDefault="00D1587D">
            <w:pPr>
              <w:rPr>
                <w:sz w:val="12"/>
                <w:szCs w:val="12"/>
              </w:rPr>
            </w:pPr>
          </w:p>
        </w:tc>
        <w:tc>
          <w:tcPr>
            <w:tcW w:w="200" w:type="dxa"/>
            <w:vAlign w:val="bottom"/>
          </w:tcPr>
          <w:p w14:paraId="39D8136D" w14:textId="77777777" w:rsidR="00D1587D" w:rsidRDefault="00D1587D">
            <w:pPr>
              <w:rPr>
                <w:sz w:val="12"/>
                <w:szCs w:val="12"/>
              </w:rPr>
            </w:pPr>
          </w:p>
        </w:tc>
        <w:tc>
          <w:tcPr>
            <w:tcW w:w="160" w:type="dxa"/>
            <w:vAlign w:val="bottom"/>
          </w:tcPr>
          <w:p w14:paraId="316E1D42" w14:textId="77777777" w:rsidR="00D1587D" w:rsidRDefault="00D1587D">
            <w:pPr>
              <w:rPr>
                <w:sz w:val="12"/>
                <w:szCs w:val="12"/>
              </w:rPr>
            </w:pPr>
          </w:p>
        </w:tc>
        <w:tc>
          <w:tcPr>
            <w:tcW w:w="100" w:type="dxa"/>
            <w:vAlign w:val="bottom"/>
          </w:tcPr>
          <w:p w14:paraId="68652C97" w14:textId="77777777" w:rsidR="00D1587D" w:rsidRDefault="00D1587D">
            <w:pPr>
              <w:rPr>
                <w:sz w:val="12"/>
                <w:szCs w:val="12"/>
              </w:rPr>
            </w:pPr>
          </w:p>
        </w:tc>
        <w:tc>
          <w:tcPr>
            <w:tcW w:w="880" w:type="dxa"/>
            <w:gridSpan w:val="4"/>
            <w:vAlign w:val="bottom"/>
          </w:tcPr>
          <w:p w14:paraId="0C6C7EDD" w14:textId="77777777" w:rsidR="00D1587D" w:rsidRDefault="00410D07">
            <w:pPr>
              <w:spacing w:line="149" w:lineRule="exact"/>
              <w:ind w:right="160"/>
              <w:jc w:val="center"/>
              <w:rPr>
                <w:sz w:val="20"/>
                <w:szCs w:val="20"/>
              </w:rPr>
            </w:pPr>
            <w:r>
              <w:rPr>
                <w:rFonts w:ascii="Arial" w:eastAsia="Arial" w:hAnsi="Arial" w:cs="Arial"/>
                <w:b/>
                <w:bCs/>
                <w:w w:val="97"/>
                <w:sz w:val="14"/>
                <w:szCs w:val="14"/>
              </w:rPr>
              <w:t>to U.K.</w:t>
            </w:r>
          </w:p>
        </w:tc>
        <w:tc>
          <w:tcPr>
            <w:tcW w:w="720" w:type="dxa"/>
            <w:gridSpan w:val="2"/>
            <w:vMerge/>
            <w:vAlign w:val="bottom"/>
          </w:tcPr>
          <w:p w14:paraId="394BAE3D" w14:textId="77777777" w:rsidR="00D1587D" w:rsidRDefault="00D1587D">
            <w:pPr>
              <w:rPr>
                <w:sz w:val="12"/>
                <w:szCs w:val="12"/>
              </w:rPr>
            </w:pPr>
          </w:p>
        </w:tc>
        <w:tc>
          <w:tcPr>
            <w:tcW w:w="0" w:type="dxa"/>
            <w:vAlign w:val="bottom"/>
          </w:tcPr>
          <w:p w14:paraId="27683EB7" w14:textId="77777777" w:rsidR="00D1587D" w:rsidRDefault="00D1587D">
            <w:pPr>
              <w:rPr>
                <w:sz w:val="1"/>
                <w:szCs w:val="1"/>
              </w:rPr>
            </w:pPr>
          </w:p>
        </w:tc>
      </w:tr>
      <w:tr w:rsidR="00D1587D" w14:paraId="47E0D0A6" w14:textId="77777777">
        <w:trPr>
          <w:trHeight w:val="148"/>
        </w:trPr>
        <w:tc>
          <w:tcPr>
            <w:tcW w:w="4860" w:type="dxa"/>
            <w:vAlign w:val="bottom"/>
          </w:tcPr>
          <w:p w14:paraId="1A5E873E" w14:textId="77777777" w:rsidR="00D1587D" w:rsidRDefault="00D1587D">
            <w:pPr>
              <w:rPr>
                <w:sz w:val="12"/>
                <w:szCs w:val="12"/>
              </w:rPr>
            </w:pPr>
          </w:p>
        </w:tc>
        <w:tc>
          <w:tcPr>
            <w:tcW w:w="760" w:type="dxa"/>
            <w:gridSpan w:val="3"/>
            <w:vAlign w:val="bottom"/>
          </w:tcPr>
          <w:p w14:paraId="37770C99" w14:textId="77777777" w:rsidR="00D1587D" w:rsidRDefault="00410D07">
            <w:pPr>
              <w:spacing w:line="149" w:lineRule="exact"/>
              <w:ind w:right="20"/>
              <w:jc w:val="center"/>
              <w:rPr>
                <w:sz w:val="20"/>
                <w:szCs w:val="20"/>
              </w:rPr>
            </w:pPr>
            <w:r>
              <w:rPr>
                <w:rFonts w:ascii="Arial" w:eastAsia="Arial" w:hAnsi="Arial" w:cs="Arial"/>
                <w:b/>
                <w:bCs/>
                <w:w w:val="97"/>
                <w:sz w:val="14"/>
                <w:szCs w:val="14"/>
              </w:rPr>
              <w:t>February 1,</w:t>
            </w:r>
          </w:p>
        </w:tc>
        <w:tc>
          <w:tcPr>
            <w:tcW w:w="80" w:type="dxa"/>
            <w:vAlign w:val="bottom"/>
          </w:tcPr>
          <w:p w14:paraId="6D2B1076" w14:textId="77777777" w:rsidR="00D1587D" w:rsidRDefault="00D1587D">
            <w:pPr>
              <w:rPr>
                <w:sz w:val="12"/>
                <w:szCs w:val="12"/>
              </w:rPr>
            </w:pPr>
          </w:p>
        </w:tc>
        <w:tc>
          <w:tcPr>
            <w:tcW w:w="660" w:type="dxa"/>
            <w:gridSpan w:val="2"/>
            <w:vMerge w:val="restart"/>
            <w:vAlign w:val="bottom"/>
          </w:tcPr>
          <w:p w14:paraId="282378A1" w14:textId="77777777" w:rsidR="00D1587D" w:rsidRDefault="00410D07">
            <w:pPr>
              <w:ind w:right="180"/>
              <w:jc w:val="center"/>
              <w:rPr>
                <w:sz w:val="20"/>
                <w:szCs w:val="20"/>
              </w:rPr>
            </w:pPr>
            <w:r>
              <w:rPr>
                <w:rFonts w:ascii="Arial" w:eastAsia="Arial" w:hAnsi="Arial" w:cs="Arial"/>
                <w:b/>
                <w:bCs/>
                <w:w w:val="91"/>
                <w:sz w:val="14"/>
                <w:szCs w:val="14"/>
              </w:rPr>
              <w:t>Opened</w:t>
            </w:r>
          </w:p>
        </w:tc>
        <w:tc>
          <w:tcPr>
            <w:tcW w:w="200" w:type="dxa"/>
            <w:vAlign w:val="bottom"/>
          </w:tcPr>
          <w:p w14:paraId="73D77268" w14:textId="77777777" w:rsidR="00D1587D" w:rsidRDefault="00D1587D">
            <w:pPr>
              <w:rPr>
                <w:sz w:val="12"/>
                <w:szCs w:val="12"/>
              </w:rPr>
            </w:pPr>
          </w:p>
        </w:tc>
        <w:tc>
          <w:tcPr>
            <w:tcW w:w="160" w:type="dxa"/>
            <w:vAlign w:val="bottom"/>
          </w:tcPr>
          <w:p w14:paraId="2B4CE948" w14:textId="77777777" w:rsidR="00D1587D" w:rsidRDefault="00D1587D">
            <w:pPr>
              <w:rPr>
                <w:sz w:val="12"/>
                <w:szCs w:val="12"/>
              </w:rPr>
            </w:pPr>
          </w:p>
        </w:tc>
        <w:tc>
          <w:tcPr>
            <w:tcW w:w="100" w:type="dxa"/>
            <w:vAlign w:val="bottom"/>
          </w:tcPr>
          <w:p w14:paraId="409E3F68" w14:textId="77777777" w:rsidR="00D1587D" w:rsidRDefault="00D1587D">
            <w:pPr>
              <w:rPr>
                <w:sz w:val="12"/>
                <w:szCs w:val="12"/>
              </w:rPr>
            </w:pPr>
          </w:p>
        </w:tc>
        <w:tc>
          <w:tcPr>
            <w:tcW w:w="880" w:type="dxa"/>
            <w:gridSpan w:val="4"/>
            <w:vAlign w:val="bottom"/>
          </w:tcPr>
          <w:p w14:paraId="11F340DE" w14:textId="77777777" w:rsidR="00D1587D" w:rsidRDefault="00410D07">
            <w:pPr>
              <w:spacing w:line="149" w:lineRule="exact"/>
              <w:ind w:right="160"/>
              <w:jc w:val="center"/>
              <w:rPr>
                <w:sz w:val="20"/>
                <w:szCs w:val="20"/>
              </w:rPr>
            </w:pPr>
            <w:r>
              <w:rPr>
                <w:rFonts w:ascii="Arial" w:eastAsia="Arial" w:hAnsi="Arial" w:cs="Arial"/>
                <w:b/>
                <w:bCs/>
                <w:w w:val="95"/>
                <w:sz w:val="14"/>
                <w:szCs w:val="14"/>
              </w:rPr>
              <w:t>Joint</w:t>
            </w:r>
          </w:p>
        </w:tc>
        <w:tc>
          <w:tcPr>
            <w:tcW w:w="720" w:type="dxa"/>
            <w:gridSpan w:val="2"/>
            <w:vAlign w:val="bottom"/>
          </w:tcPr>
          <w:p w14:paraId="3C0C2E16" w14:textId="77777777" w:rsidR="00D1587D" w:rsidRDefault="00410D07">
            <w:pPr>
              <w:spacing w:line="149" w:lineRule="exact"/>
              <w:jc w:val="right"/>
              <w:rPr>
                <w:sz w:val="20"/>
                <w:szCs w:val="20"/>
              </w:rPr>
            </w:pPr>
            <w:r>
              <w:rPr>
                <w:rFonts w:ascii="Arial" w:eastAsia="Arial" w:hAnsi="Arial" w:cs="Arial"/>
                <w:b/>
                <w:bCs/>
                <w:w w:val="88"/>
                <w:sz w:val="14"/>
                <w:szCs w:val="14"/>
              </w:rPr>
              <w:t>January 30,</w:t>
            </w:r>
          </w:p>
        </w:tc>
        <w:tc>
          <w:tcPr>
            <w:tcW w:w="0" w:type="dxa"/>
            <w:vAlign w:val="bottom"/>
          </w:tcPr>
          <w:p w14:paraId="3A50C6A1" w14:textId="77777777" w:rsidR="00D1587D" w:rsidRDefault="00D1587D">
            <w:pPr>
              <w:rPr>
                <w:sz w:val="1"/>
                <w:szCs w:val="1"/>
              </w:rPr>
            </w:pPr>
          </w:p>
        </w:tc>
      </w:tr>
      <w:tr w:rsidR="00D1587D" w14:paraId="7234C38D" w14:textId="77777777">
        <w:trPr>
          <w:trHeight w:val="186"/>
        </w:trPr>
        <w:tc>
          <w:tcPr>
            <w:tcW w:w="4860" w:type="dxa"/>
            <w:vAlign w:val="bottom"/>
          </w:tcPr>
          <w:p w14:paraId="16B1590F" w14:textId="77777777" w:rsidR="00D1587D" w:rsidRDefault="00D1587D">
            <w:pPr>
              <w:rPr>
                <w:sz w:val="16"/>
                <w:szCs w:val="16"/>
              </w:rPr>
            </w:pPr>
          </w:p>
        </w:tc>
        <w:tc>
          <w:tcPr>
            <w:tcW w:w="640" w:type="dxa"/>
            <w:vAlign w:val="bottom"/>
          </w:tcPr>
          <w:p w14:paraId="2CB24561" w14:textId="77777777" w:rsidR="00D1587D" w:rsidRDefault="00410D07">
            <w:pPr>
              <w:ind w:right="39"/>
              <w:jc w:val="right"/>
              <w:rPr>
                <w:sz w:val="20"/>
                <w:szCs w:val="20"/>
              </w:rPr>
            </w:pPr>
            <w:r>
              <w:rPr>
                <w:rFonts w:ascii="Arial" w:eastAsia="Arial" w:hAnsi="Arial" w:cs="Arial"/>
                <w:b/>
                <w:bCs/>
                <w:sz w:val="14"/>
                <w:szCs w:val="14"/>
              </w:rPr>
              <w:t>2020</w:t>
            </w:r>
          </w:p>
        </w:tc>
        <w:tc>
          <w:tcPr>
            <w:tcW w:w="100" w:type="dxa"/>
            <w:vAlign w:val="bottom"/>
          </w:tcPr>
          <w:p w14:paraId="4E1C652B" w14:textId="77777777" w:rsidR="00D1587D" w:rsidRDefault="00D1587D">
            <w:pPr>
              <w:rPr>
                <w:sz w:val="16"/>
                <w:szCs w:val="16"/>
              </w:rPr>
            </w:pPr>
          </w:p>
        </w:tc>
        <w:tc>
          <w:tcPr>
            <w:tcW w:w="20" w:type="dxa"/>
            <w:vAlign w:val="bottom"/>
          </w:tcPr>
          <w:p w14:paraId="3261EEAD" w14:textId="77777777" w:rsidR="00D1587D" w:rsidRDefault="00D1587D">
            <w:pPr>
              <w:rPr>
                <w:sz w:val="16"/>
                <w:szCs w:val="16"/>
              </w:rPr>
            </w:pPr>
          </w:p>
        </w:tc>
        <w:tc>
          <w:tcPr>
            <w:tcW w:w="80" w:type="dxa"/>
            <w:vAlign w:val="bottom"/>
          </w:tcPr>
          <w:p w14:paraId="720E2455" w14:textId="77777777" w:rsidR="00D1587D" w:rsidRDefault="00D1587D">
            <w:pPr>
              <w:rPr>
                <w:sz w:val="16"/>
                <w:szCs w:val="16"/>
              </w:rPr>
            </w:pPr>
          </w:p>
        </w:tc>
        <w:tc>
          <w:tcPr>
            <w:tcW w:w="660" w:type="dxa"/>
            <w:gridSpan w:val="2"/>
            <w:vMerge/>
            <w:vAlign w:val="bottom"/>
          </w:tcPr>
          <w:p w14:paraId="2394C7A4" w14:textId="77777777" w:rsidR="00D1587D" w:rsidRDefault="00D1587D">
            <w:pPr>
              <w:rPr>
                <w:sz w:val="16"/>
                <w:szCs w:val="16"/>
              </w:rPr>
            </w:pPr>
          </w:p>
        </w:tc>
        <w:tc>
          <w:tcPr>
            <w:tcW w:w="1340" w:type="dxa"/>
            <w:gridSpan w:val="7"/>
            <w:vAlign w:val="bottom"/>
          </w:tcPr>
          <w:p w14:paraId="1DBBB4AC" w14:textId="77777777" w:rsidR="00D1587D" w:rsidRDefault="00410D07">
            <w:pPr>
              <w:ind w:right="260"/>
              <w:jc w:val="right"/>
              <w:rPr>
                <w:sz w:val="20"/>
                <w:szCs w:val="20"/>
              </w:rPr>
            </w:pPr>
            <w:r>
              <w:rPr>
                <w:rFonts w:ascii="Arial" w:eastAsia="Arial" w:hAnsi="Arial" w:cs="Arial"/>
                <w:b/>
                <w:bCs/>
                <w:w w:val="95"/>
                <w:sz w:val="14"/>
                <w:szCs w:val="14"/>
              </w:rPr>
              <w:t>Closed   Venture</w:t>
            </w:r>
          </w:p>
        </w:tc>
        <w:tc>
          <w:tcPr>
            <w:tcW w:w="720" w:type="dxa"/>
            <w:gridSpan w:val="2"/>
            <w:vAlign w:val="bottom"/>
          </w:tcPr>
          <w:p w14:paraId="450EF902" w14:textId="77777777" w:rsidR="00D1587D" w:rsidRDefault="00410D07">
            <w:pPr>
              <w:jc w:val="center"/>
              <w:rPr>
                <w:sz w:val="20"/>
                <w:szCs w:val="20"/>
              </w:rPr>
            </w:pPr>
            <w:r>
              <w:rPr>
                <w:rFonts w:ascii="Arial" w:eastAsia="Arial" w:hAnsi="Arial" w:cs="Arial"/>
                <w:b/>
                <w:bCs/>
                <w:w w:val="89"/>
                <w:sz w:val="14"/>
                <w:szCs w:val="14"/>
              </w:rPr>
              <w:t>2021</w:t>
            </w:r>
          </w:p>
        </w:tc>
        <w:tc>
          <w:tcPr>
            <w:tcW w:w="0" w:type="dxa"/>
            <w:vAlign w:val="bottom"/>
          </w:tcPr>
          <w:p w14:paraId="6A73A95A" w14:textId="77777777" w:rsidR="00D1587D" w:rsidRDefault="00D1587D">
            <w:pPr>
              <w:rPr>
                <w:sz w:val="1"/>
                <w:szCs w:val="1"/>
              </w:rPr>
            </w:pPr>
          </w:p>
        </w:tc>
      </w:tr>
      <w:tr w:rsidR="00D1587D" w14:paraId="27E5E958" w14:textId="77777777">
        <w:trPr>
          <w:trHeight w:val="53"/>
        </w:trPr>
        <w:tc>
          <w:tcPr>
            <w:tcW w:w="4860" w:type="dxa"/>
            <w:tcBorders>
              <w:bottom w:val="single" w:sz="8" w:space="0" w:color="CCEEFF"/>
            </w:tcBorders>
            <w:vAlign w:val="bottom"/>
          </w:tcPr>
          <w:p w14:paraId="6D3EDA9A" w14:textId="77777777" w:rsidR="00D1587D" w:rsidRDefault="00D1587D">
            <w:pPr>
              <w:rPr>
                <w:sz w:val="4"/>
                <w:szCs w:val="4"/>
              </w:rPr>
            </w:pPr>
          </w:p>
        </w:tc>
        <w:tc>
          <w:tcPr>
            <w:tcW w:w="640" w:type="dxa"/>
            <w:tcBorders>
              <w:bottom w:val="single" w:sz="8" w:space="0" w:color="auto"/>
            </w:tcBorders>
            <w:vAlign w:val="bottom"/>
          </w:tcPr>
          <w:p w14:paraId="1F5532D2" w14:textId="77777777" w:rsidR="00D1587D" w:rsidRDefault="00D1587D">
            <w:pPr>
              <w:rPr>
                <w:sz w:val="4"/>
                <w:szCs w:val="4"/>
              </w:rPr>
            </w:pPr>
          </w:p>
        </w:tc>
        <w:tc>
          <w:tcPr>
            <w:tcW w:w="100" w:type="dxa"/>
            <w:tcBorders>
              <w:bottom w:val="single" w:sz="8" w:space="0" w:color="auto"/>
            </w:tcBorders>
            <w:vAlign w:val="bottom"/>
          </w:tcPr>
          <w:p w14:paraId="228B52EB" w14:textId="77777777" w:rsidR="00D1587D" w:rsidRDefault="00D1587D">
            <w:pPr>
              <w:rPr>
                <w:sz w:val="4"/>
                <w:szCs w:val="4"/>
              </w:rPr>
            </w:pPr>
          </w:p>
        </w:tc>
        <w:tc>
          <w:tcPr>
            <w:tcW w:w="20" w:type="dxa"/>
            <w:tcBorders>
              <w:bottom w:val="single" w:sz="8" w:space="0" w:color="CCEEFF"/>
            </w:tcBorders>
            <w:vAlign w:val="bottom"/>
          </w:tcPr>
          <w:p w14:paraId="55F8D6CA" w14:textId="77777777" w:rsidR="00D1587D" w:rsidRDefault="00D1587D">
            <w:pPr>
              <w:rPr>
                <w:sz w:val="4"/>
                <w:szCs w:val="4"/>
              </w:rPr>
            </w:pPr>
          </w:p>
        </w:tc>
        <w:tc>
          <w:tcPr>
            <w:tcW w:w="80" w:type="dxa"/>
            <w:tcBorders>
              <w:bottom w:val="single" w:sz="8" w:space="0" w:color="CCEEFF"/>
            </w:tcBorders>
            <w:vAlign w:val="bottom"/>
          </w:tcPr>
          <w:p w14:paraId="4654DFEB" w14:textId="77777777" w:rsidR="00D1587D" w:rsidRDefault="00D1587D">
            <w:pPr>
              <w:rPr>
                <w:sz w:val="4"/>
                <w:szCs w:val="4"/>
              </w:rPr>
            </w:pPr>
          </w:p>
        </w:tc>
        <w:tc>
          <w:tcPr>
            <w:tcW w:w="480" w:type="dxa"/>
            <w:tcBorders>
              <w:bottom w:val="single" w:sz="8" w:space="0" w:color="auto"/>
            </w:tcBorders>
            <w:vAlign w:val="bottom"/>
          </w:tcPr>
          <w:p w14:paraId="411F20B9" w14:textId="77777777" w:rsidR="00D1587D" w:rsidRDefault="00D1587D">
            <w:pPr>
              <w:rPr>
                <w:sz w:val="4"/>
                <w:szCs w:val="4"/>
              </w:rPr>
            </w:pPr>
          </w:p>
        </w:tc>
        <w:tc>
          <w:tcPr>
            <w:tcW w:w="180" w:type="dxa"/>
            <w:tcBorders>
              <w:bottom w:val="single" w:sz="8" w:space="0" w:color="CCEEFF"/>
            </w:tcBorders>
            <w:vAlign w:val="bottom"/>
          </w:tcPr>
          <w:p w14:paraId="623737B1" w14:textId="77777777" w:rsidR="00D1587D" w:rsidRDefault="00D1587D">
            <w:pPr>
              <w:rPr>
                <w:sz w:val="4"/>
                <w:szCs w:val="4"/>
              </w:rPr>
            </w:pPr>
          </w:p>
        </w:tc>
        <w:tc>
          <w:tcPr>
            <w:tcW w:w="360" w:type="dxa"/>
            <w:gridSpan w:val="2"/>
            <w:tcBorders>
              <w:bottom w:val="single" w:sz="8" w:space="0" w:color="auto"/>
            </w:tcBorders>
            <w:vAlign w:val="bottom"/>
          </w:tcPr>
          <w:p w14:paraId="7B605D02" w14:textId="77777777" w:rsidR="00D1587D" w:rsidRDefault="00D1587D">
            <w:pPr>
              <w:rPr>
                <w:sz w:val="4"/>
                <w:szCs w:val="4"/>
              </w:rPr>
            </w:pPr>
          </w:p>
        </w:tc>
        <w:tc>
          <w:tcPr>
            <w:tcW w:w="100" w:type="dxa"/>
            <w:tcBorders>
              <w:bottom w:val="single" w:sz="8" w:space="0" w:color="CCEEFF"/>
            </w:tcBorders>
            <w:vAlign w:val="bottom"/>
          </w:tcPr>
          <w:p w14:paraId="3ADD2284" w14:textId="77777777" w:rsidR="00D1587D" w:rsidRDefault="00D1587D">
            <w:pPr>
              <w:rPr>
                <w:sz w:val="4"/>
                <w:szCs w:val="4"/>
              </w:rPr>
            </w:pPr>
          </w:p>
        </w:tc>
        <w:tc>
          <w:tcPr>
            <w:tcW w:w="240" w:type="dxa"/>
            <w:tcBorders>
              <w:bottom w:val="single" w:sz="8" w:space="0" w:color="auto"/>
            </w:tcBorders>
            <w:vAlign w:val="bottom"/>
          </w:tcPr>
          <w:p w14:paraId="5082077B" w14:textId="77777777" w:rsidR="00D1587D" w:rsidRDefault="00D1587D">
            <w:pPr>
              <w:rPr>
                <w:sz w:val="4"/>
                <w:szCs w:val="4"/>
              </w:rPr>
            </w:pPr>
          </w:p>
        </w:tc>
        <w:tc>
          <w:tcPr>
            <w:tcW w:w="500" w:type="dxa"/>
            <w:gridSpan w:val="2"/>
            <w:tcBorders>
              <w:bottom w:val="single" w:sz="8" w:space="0" w:color="auto"/>
            </w:tcBorders>
            <w:vAlign w:val="bottom"/>
          </w:tcPr>
          <w:p w14:paraId="2765D83F" w14:textId="77777777" w:rsidR="00D1587D" w:rsidRDefault="00D1587D">
            <w:pPr>
              <w:rPr>
                <w:sz w:val="4"/>
                <w:szCs w:val="4"/>
              </w:rPr>
            </w:pPr>
          </w:p>
        </w:tc>
        <w:tc>
          <w:tcPr>
            <w:tcW w:w="140" w:type="dxa"/>
            <w:tcBorders>
              <w:bottom w:val="single" w:sz="8" w:space="0" w:color="CCEEFF"/>
            </w:tcBorders>
            <w:vAlign w:val="bottom"/>
          </w:tcPr>
          <w:p w14:paraId="0925A535" w14:textId="77777777" w:rsidR="00D1587D" w:rsidRDefault="00D1587D">
            <w:pPr>
              <w:rPr>
                <w:sz w:val="4"/>
                <w:szCs w:val="4"/>
              </w:rPr>
            </w:pPr>
          </w:p>
        </w:tc>
        <w:tc>
          <w:tcPr>
            <w:tcW w:w="720" w:type="dxa"/>
            <w:gridSpan w:val="2"/>
            <w:tcBorders>
              <w:bottom w:val="single" w:sz="8" w:space="0" w:color="auto"/>
            </w:tcBorders>
            <w:vAlign w:val="bottom"/>
          </w:tcPr>
          <w:p w14:paraId="043F9E33" w14:textId="77777777" w:rsidR="00D1587D" w:rsidRDefault="00D1587D">
            <w:pPr>
              <w:rPr>
                <w:sz w:val="4"/>
                <w:szCs w:val="4"/>
              </w:rPr>
            </w:pPr>
          </w:p>
        </w:tc>
        <w:tc>
          <w:tcPr>
            <w:tcW w:w="0" w:type="dxa"/>
            <w:vAlign w:val="bottom"/>
          </w:tcPr>
          <w:p w14:paraId="17A4C9FF" w14:textId="77777777" w:rsidR="00D1587D" w:rsidRDefault="00D1587D">
            <w:pPr>
              <w:rPr>
                <w:sz w:val="1"/>
                <w:szCs w:val="1"/>
              </w:rPr>
            </w:pPr>
          </w:p>
        </w:tc>
      </w:tr>
      <w:tr w:rsidR="00D1587D" w14:paraId="7689B128" w14:textId="77777777">
        <w:trPr>
          <w:trHeight w:val="298"/>
        </w:trPr>
        <w:tc>
          <w:tcPr>
            <w:tcW w:w="4860" w:type="dxa"/>
            <w:tcBorders>
              <w:bottom w:val="single" w:sz="8" w:space="0" w:color="CCEEFF"/>
            </w:tcBorders>
            <w:shd w:val="clear" w:color="auto" w:fill="CCEEFF"/>
            <w:vAlign w:val="bottom"/>
          </w:tcPr>
          <w:p w14:paraId="3A35A72A" w14:textId="77777777" w:rsidR="00D1587D" w:rsidRDefault="00410D07">
            <w:pPr>
              <w:rPr>
                <w:sz w:val="20"/>
                <w:szCs w:val="20"/>
              </w:rPr>
            </w:pPr>
            <w:r>
              <w:rPr>
                <w:rFonts w:ascii="Arial" w:eastAsia="Arial" w:hAnsi="Arial" w:cs="Arial"/>
                <w:sz w:val="18"/>
                <w:szCs w:val="18"/>
              </w:rPr>
              <w:t>Beauty and Accessories</w:t>
            </w:r>
          </w:p>
        </w:tc>
        <w:tc>
          <w:tcPr>
            <w:tcW w:w="640" w:type="dxa"/>
            <w:tcBorders>
              <w:bottom w:val="single" w:sz="8" w:space="0" w:color="CCEEFF"/>
            </w:tcBorders>
            <w:shd w:val="clear" w:color="auto" w:fill="CCEEFF"/>
            <w:vAlign w:val="bottom"/>
          </w:tcPr>
          <w:p w14:paraId="375ADA10" w14:textId="77777777" w:rsidR="00D1587D" w:rsidRDefault="00410D07">
            <w:pPr>
              <w:ind w:right="39"/>
              <w:jc w:val="right"/>
              <w:rPr>
                <w:sz w:val="20"/>
                <w:szCs w:val="20"/>
              </w:rPr>
            </w:pPr>
            <w:r>
              <w:rPr>
                <w:rFonts w:ascii="Arial" w:eastAsia="Arial" w:hAnsi="Arial" w:cs="Arial"/>
                <w:sz w:val="18"/>
                <w:szCs w:val="18"/>
              </w:rPr>
              <w:t>360</w:t>
            </w:r>
          </w:p>
        </w:tc>
        <w:tc>
          <w:tcPr>
            <w:tcW w:w="100" w:type="dxa"/>
            <w:tcBorders>
              <w:bottom w:val="single" w:sz="8" w:space="0" w:color="CCEEFF"/>
            </w:tcBorders>
            <w:shd w:val="clear" w:color="auto" w:fill="CCEEFF"/>
            <w:vAlign w:val="bottom"/>
          </w:tcPr>
          <w:p w14:paraId="336C6F8E" w14:textId="77777777" w:rsidR="00D1587D" w:rsidRDefault="00D1587D">
            <w:pPr>
              <w:rPr>
                <w:sz w:val="24"/>
                <w:szCs w:val="24"/>
              </w:rPr>
            </w:pPr>
          </w:p>
        </w:tc>
        <w:tc>
          <w:tcPr>
            <w:tcW w:w="20" w:type="dxa"/>
            <w:tcBorders>
              <w:bottom w:val="single" w:sz="8" w:space="0" w:color="CCEEFF"/>
            </w:tcBorders>
            <w:shd w:val="clear" w:color="auto" w:fill="CCEEFF"/>
            <w:vAlign w:val="bottom"/>
          </w:tcPr>
          <w:p w14:paraId="620068F6"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44C77F0E" w14:textId="77777777" w:rsidR="00D1587D" w:rsidRDefault="00410D07">
            <w:pPr>
              <w:ind w:left="77"/>
              <w:jc w:val="center"/>
              <w:rPr>
                <w:sz w:val="20"/>
                <w:szCs w:val="20"/>
              </w:rPr>
            </w:pPr>
            <w:r>
              <w:rPr>
                <w:rFonts w:ascii="Arial" w:eastAsia="Arial" w:hAnsi="Arial" w:cs="Arial"/>
                <w:w w:val="79"/>
                <w:sz w:val="18"/>
                <w:szCs w:val="18"/>
              </w:rPr>
              <w:t>8</w:t>
            </w:r>
          </w:p>
        </w:tc>
        <w:tc>
          <w:tcPr>
            <w:tcW w:w="180" w:type="dxa"/>
            <w:tcBorders>
              <w:bottom w:val="single" w:sz="8" w:space="0" w:color="CCEEFF"/>
              <w:right w:val="single" w:sz="8" w:space="0" w:color="CCEEFF"/>
            </w:tcBorders>
            <w:shd w:val="clear" w:color="auto" w:fill="CCEEFF"/>
            <w:vAlign w:val="bottom"/>
          </w:tcPr>
          <w:p w14:paraId="3462262F" w14:textId="77777777" w:rsidR="00D1587D" w:rsidRDefault="00D1587D">
            <w:pPr>
              <w:rPr>
                <w:sz w:val="24"/>
                <w:szCs w:val="24"/>
              </w:rPr>
            </w:pPr>
          </w:p>
        </w:tc>
        <w:tc>
          <w:tcPr>
            <w:tcW w:w="360" w:type="dxa"/>
            <w:gridSpan w:val="2"/>
            <w:tcBorders>
              <w:bottom w:val="single" w:sz="8" w:space="0" w:color="CCEEFF"/>
            </w:tcBorders>
            <w:shd w:val="clear" w:color="auto" w:fill="CCEEFF"/>
            <w:vAlign w:val="bottom"/>
          </w:tcPr>
          <w:p w14:paraId="345FBAB5" w14:textId="77777777" w:rsidR="00D1587D" w:rsidRDefault="00410D07">
            <w:pPr>
              <w:jc w:val="right"/>
              <w:rPr>
                <w:sz w:val="20"/>
                <w:szCs w:val="20"/>
              </w:rPr>
            </w:pPr>
            <w:r>
              <w:rPr>
                <w:rFonts w:ascii="Arial" w:eastAsia="Arial" w:hAnsi="Arial" w:cs="Arial"/>
                <w:w w:val="93"/>
                <w:sz w:val="18"/>
                <w:szCs w:val="18"/>
              </w:rPr>
              <w:t>(30)</w:t>
            </w:r>
          </w:p>
        </w:tc>
        <w:tc>
          <w:tcPr>
            <w:tcW w:w="100" w:type="dxa"/>
            <w:tcBorders>
              <w:bottom w:val="single" w:sz="8" w:space="0" w:color="CCEEFF"/>
            </w:tcBorders>
            <w:shd w:val="clear" w:color="auto" w:fill="CCEEFF"/>
            <w:vAlign w:val="bottom"/>
          </w:tcPr>
          <w:p w14:paraId="578A7F3B" w14:textId="77777777" w:rsidR="00D1587D" w:rsidRDefault="00D1587D">
            <w:pPr>
              <w:rPr>
                <w:sz w:val="24"/>
                <w:szCs w:val="24"/>
              </w:rPr>
            </w:pPr>
          </w:p>
        </w:tc>
        <w:tc>
          <w:tcPr>
            <w:tcW w:w="240" w:type="dxa"/>
            <w:tcBorders>
              <w:bottom w:val="single" w:sz="8" w:space="0" w:color="CCEEFF"/>
            </w:tcBorders>
            <w:shd w:val="clear" w:color="auto" w:fill="CCEEFF"/>
            <w:vAlign w:val="bottom"/>
          </w:tcPr>
          <w:p w14:paraId="773FCD3A" w14:textId="77777777" w:rsidR="00D1587D" w:rsidRDefault="00D1587D">
            <w:pPr>
              <w:rPr>
                <w:sz w:val="24"/>
                <w:szCs w:val="24"/>
              </w:rPr>
            </w:pPr>
          </w:p>
        </w:tc>
        <w:tc>
          <w:tcPr>
            <w:tcW w:w="640" w:type="dxa"/>
            <w:gridSpan w:val="3"/>
            <w:tcBorders>
              <w:bottom w:val="single" w:sz="8" w:space="0" w:color="CCEEFF"/>
              <w:right w:val="single" w:sz="8" w:space="0" w:color="CCEEFF"/>
            </w:tcBorders>
            <w:shd w:val="clear" w:color="auto" w:fill="CCEEFF"/>
            <w:vAlign w:val="bottom"/>
          </w:tcPr>
          <w:p w14:paraId="65B11F42" w14:textId="77777777" w:rsidR="00D1587D" w:rsidRDefault="00410D07">
            <w:pPr>
              <w:ind w:right="380"/>
              <w:jc w:val="center"/>
              <w:rPr>
                <w:sz w:val="20"/>
                <w:szCs w:val="20"/>
              </w:rPr>
            </w:pPr>
            <w:r>
              <w:rPr>
                <w:rFonts w:ascii="Arial" w:eastAsia="Arial" w:hAnsi="Arial" w:cs="Arial"/>
                <w:w w:val="99"/>
                <w:sz w:val="18"/>
                <w:szCs w:val="18"/>
              </w:rPr>
              <w:t>—</w:t>
            </w:r>
          </w:p>
        </w:tc>
        <w:tc>
          <w:tcPr>
            <w:tcW w:w="720" w:type="dxa"/>
            <w:gridSpan w:val="2"/>
            <w:tcBorders>
              <w:bottom w:val="single" w:sz="8" w:space="0" w:color="CCEEFF"/>
            </w:tcBorders>
            <w:shd w:val="clear" w:color="auto" w:fill="CCEEFF"/>
            <w:vAlign w:val="bottom"/>
          </w:tcPr>
          <w:p w14:paraId="5709041D" w14:textId="77777777" w:rsidR="00D1587D" w:rsidRDefault="00410D07">
            <w:pPr>
              <w:jc w:val="center"/>
              <w:rPr>
                <w:sz w:val="20"/>
                <w:szCs w:val="20"/>
              </w:rPr>
            </w:pPr>
            <w:r>
              <w:rPr>
                <w:rFonts w:ascii="Arial" w:eastAsia="Arial" w:hAnsi="Arial" w:cs="Arial"/>
                <w:w w:val="93"/>
                <w:sz w:val="18"/>
                <w:szCs w:val="18"/>
              </w:rPr>
              <w:t>338</w:t>
            </w:r>
          </w:p>
        </w:tc>
        <w:tc>
          <w:tcPr>
            <w:tcW w:w="0" w:type="dxa"/>
            <w:vAlign w:val="bottom"/>
          </w:tcPr>
          <w:p w14:paraId="0FEF9DE9" w14:textId="77777777" w:rsidR="00D1587D" w:rsidRDefault="00D1587D">
            <w:pPr>
              <w:rPr>
                <w:sz w:val="1"/>
                <w:szCs w:val="1"/>
              </w:rPr>
            </w:pPr>
          </w:p>
        </w:tc>
      </w:tr>
      <w:tr w:rsidR="00D1587D" w14:paraId="1BCA0C25" w14:textId="77777777">
        <w:trPr>
          <w:trHeight w:val="256"/>
        </w:trPr>
        <w:tc>
          <w:tcPr>
            <w:tcW w:w="4860" w:type="dxa"/>
            <w:vAlign w:val="bottom"/>
          </w:tcPr>
          <w:p w14:paraId="1B5E509B" w14:textId="77777777" w:rsidR="00D1587D" w:rsidRDefault="00410D07">
            <w:pPr>
              <w:rPr>
                <w:sz w:val="20"/>
                <w:szCs w:val="20"/>
              </w:rPr>
            </w:pPr>
            <w:r>
              <w:rPr>
                <w:rFonts w:ascii="Arial" w:eastAsia="Arial" w:hAnsi="Arial" w:cs="Arial"/>
                <w:sz w:val="18"/>
                <w:szCs w:val="18"/>
              </w:rPr>
              <w:t>Full Assortment</w:t>
            </w:r>
          </w:p>
        </w:tc>
        <w:tc>
          <w:tcPr>
            <w:tcW w:w="640" w:type="dxa"/>
            <w:vAlign w:val="bottom"/>
          </w:tcPr>
          <w:p w14:paraId="0C471491" w14:textId="77777777" w:rsidR="00D1587D" w:rsidRDefault="00410D07">
            <w:pPr>
              <w:ind w:right="59"/>
              <w:jc w:val="right"/>
              <w:rPr>
                <w:sz w:val="20"/>
                <w:szCs w:val="20"/>
              </w:rPr>
            </w:pPr>
            <w:r>
              <w:rPr>
                <w:rFonts w:ascii="Arial" w:eastAsia="Arial" w:hAnsi="Arial" w:cs="Arial"/>
                <w:sz w:val="18"/>
                <w:szCs w:val="18"/>
              </w:rPr>
              <w:t>84</w:t>
            </w:r>
          </w:p>
        </w:tc>
        <w:tc>
          <w:tcPr>
            <w:tcW w:w="100" w:type="dxa"/>
            <w:vAlign w:val="bottom"/>
          </w:tcPr>
          <w:p w14:paraId="1DECB261" w14:textId="77777777" w:rsidR="00D1587D" w:rsidRDefault="00D1587D"/>
        </w:tc>
        <w:tc>
          <w:tcPr>
            <w:tcW w:w="20" w:type="dxa"/>
            <w:vAlign w:val="bottom"/>
          </w:tcPr>
          <w:p w14:paraId="1C83F374" w14:textId="77777777" w:rsidR="00D1587D" w:rsidRDefault="00D1587D"/>
        </w:tc>
        <w:tc>
          <w:tcPr>
            <w:tcW w:w="560" w:type="dxa"/>
            <w:gridSpan w:val="2"/>
            <w:vAlign w:val="bottom"/>
          </w:tcPr>
          <w:p w14:paraId="0D1F762C" w14:textId="77777777" w:rsidR="00D1587D" w:rsidRDefault="00410D07">
            <w:pPr>
              <w:ind w:left="17"/>
              <w:jc w:val="center"/>
              <w:rPr>
                <w:sz w:val="20"/>
                <w:szCs w:val="20"/>
              </w:rPr>
            </w:pPr>
            <w:r>
              <w:rPr>
                <w:rFonts w:ascii="Arial" w:eastAsia="Arial" w:hAnsi="Arial" w:cs="Arial"/>
                <w:w w:val="89"/>
                <w:sz w:val="18"/>
                <w:szCs w:val="18"/>
              </w:rPr>
              <w:t>12</w:t>
            </w:r>
          </w:p>
        </w:tc>
        <w:tc>
          <w:tcPr>
            <w:tcW w:w="180" w:type="dxa"/>
            <w:vAlign w:val="bottom"/>
          </w:tcPr>
          <w:p w14:paraId="0B051EF9" w14:textId="77777777" w:rsidR="00D1587D" w:rsidRDefault="00D1587D"/>
        </w:tc>
        <w:tc>
          <w:tcPr>
            <w:tcW w:w="360" w:type="dxa"/>
            <w:gridSpan w:val="2"/>
            <w:vAlign w:val="bottom"/>
          </w:tcPr>
          <w:p w14:paraId="5E81F7A5" w14:textId="77777777" w:rsidR="00D1587D" w:rsidRDefault="00410D07">
            <w:pPr>
              <w:jc w:val="right"/>
              <w:rPr>
                <w:sz w:val="20"/>
                <w:szCs w:val="20"/>
              </w:rPr>
            </w:pPr>
            <w:r>
              <w:rPr>
                <w:rFonts w:ascii="Arial" w:eastAsia="Arial" w:hAnsi="Arial" w:cs="Arial"/>
                <w:sz w:val="18"/>
                <w:szCs w:val="18"/>
              </w:rPr>
              <w:t>(2)</w:t>
            </w:r>
          </w:p>
        </w:tc>
        <w:tc>
          <w:tcPr>
            <w:tcW w:w="100" w:type="dxa"/>
            <w:vAlign w:val="bottom"/>
          </w:tcPr>
          <w:p w14:paraId="3B064FD4" w14:textId="77777777" w:rsidR="00D1587D" w:rsidRDefault="00D1587D"/>
        </w:tc>
        <w:tc>
          <w:tcPr>
            <w:tcW w:w="240" w:type="dxa"/>
            <w:vAlign w:val="bottom"/>
          </w:tcPr>
          <w:p w14:paraId="7C315E84" w14:textId="77777777" w:rsidR="00D1587D" w:rsidRDefault="00D1587D"/>
        </w:tc>
        <w:tc>
          <w:tcPr>
            <w:tcW w:w="500" w:type="dxa"/>
            <w:gridSpan w:val="2"/>
            <w:vAlign w:val="bottom"/>
          </w:tcPr>
          <w:p w14:paraId="0D03DA61" w14:textId="77777777" w:rsidR="00D1587D" w:rsidRDefault="00410D07">
            <w:pPr>
              <w:ind w:right="159"/>
              <w:jc w:val="center"/>
              <w:rPr>
                <w:sz w:val="20"/>
                <w:szCs w:val="20"/>
              </w:rPr>
            </w:pPr>
            <w:r>
              <w:rPr>
                <w:rFonts w:ascii="Arial" w:eastAsia="Arial" w:hAnsi="Arial" w:cs="Arial"/>
                <w:w w:val="89"/>
                <w:sz w:val="18"/>
                <w:szCs w:val="18"/>
              </w:rPr>
              <w:t>26</w:t>
            </w:r>
          </w:p>
        </w:tc>
        <w:tc>
          <w:tcPr>
            <w:tcW w:w="140" w:type="dxa"/>
            <w:vAlign w:val="bottom"/>
          </w:tcPr>
          <w:p w14:paraId="67DD686B" w14:textId="77777777" w:rsidR="00D1587D" w:rsidRDefault="00D1587D"/>
        </w:tc>
        <w:tc>
          <w:tcPr>
            <w:tcW w:w="720" w:type="dxa"/>
            <w:gridSpan w:val="2"/>
            <w:vAlign w:val="bottom"/>
          </w:tcPr>
          <w:p w14:paraId="33FBBF04" w14:textId="77777777" w:rsidR="00D1587D" w:rsidRDefault="00410D07">
            <w:pPr>
              <w:jc w:val="center"/>
              <w:rPr>
                <w:sz w:val="20"/>
                <w:szCs w:val="20"/>
              </w:rPr>
            </w:pPr>
            <w:r>
              <w:rPr>
                <w:rFonts w:ascii="Arial" w:eastAsia="Arial" w:hAnsi="Arial" w:cs="Arial"/>
                <w:w w:val="93"/>
                <w:sz w:val="18"/>
                <w:szCs w:val="18"/>
              </w:rPr>
              <w:t>120</w:t>
            </w:r>
          </w:p>
        </w:tc>
        <w:tc>
          <w:tcPr>
            <w:tcW w:w="0" w:type="dxa"/>
            <w:vAlign w:val="bottom"/>
          </w:tcPr>
          <w:p w14:paraId="5BDBD6BE" w14:textId="77777777" w:rsidR="00D1587D" w:rsidRDefault="00D1587D">
            <w:pPr>
              <w:rPr>
                <w:sz w:val="1"/>
                <w:szCs w:val="1"/>
              </w:rPr>
            </w:pPr>
          </w:p>
        </w:tc>
      </w:tr>
      <w:tr w:rsidR="00D1587D" w14:paraId="28638EA2" w14:textId="77777777">
        <w:trPr>
          <w:trHeight w:val="68"/>
        </w:trPr>
        <w:tc>
          <w:tcPr>
            <w:tcW w:w="4860" w:type="dxa"/>
            <w:tcBorders>
              <w:bottom w:val="single" w:sz="8" w:space="0" w:color="CCEEFF"/>
            </w:tcBorders>
            <w:vAlign w:val="bottom"/>
          </w:tcPr>
          <w:p w14:paraId="3140A81B" w14:textId="77777777" w:rsidR="00D1587D" w:rsidRDefault="00D1587D">
            <w:pPr>
              <w:rPr>
                <w:sz w:val="5"/>
                <w:szCs w:val="5"/>
              </w:rPr>
            </w:pPr>
          </w:p>
        </w:tc>
        <w:tc>
          <w:tcPr>
            <w:tcW w:w="640" w:type="dxa"/>
            <w:tcBorders>
              <w:bottom w:val="single" w:sz="8" w:space="0" w:color="auto"/>
            </w:tcBorders>
            <w:vAlign w:val="bottom"/>
          </w:tcPr>
          <w:p w14:paraId="187DE449" w14:textId="77777777" w:rsidR="00D1587D" w:rsidRDefault="00D1587D">
            <w:pPr>
              <w:rPr>
                <w:sz w:val="5"/>
                <w:szCs w:val="5"/>
              </w:rPr>
            </w:pPr>
          </w:p>
        </w:tc>
        <w:tc>
          <w:tcPr>
            <w:tcW w:w="100" w:type="dxa"/>
            <w:tcBorders>
              <w:bottom w:val="single" w:sz="8" w:space="0" w:color="auto"/>
            </w:tcBorders>
            <w:vAlign w:val="bottom"/>
          </w:tcPr>
          <w:p w14:paraId="30AB7B25" w14:textId="77777777" w:rsidR="00D1587D" w:rsidRDefault="00D1587D">
            <w:pPr>
              <w:rPr>
                <w:sz w:val="5"/>
                <w:szCs w:val="5"/>
              </w:rPr>
            </w:pPr>
          </w:p>
        </w:tc>
        <w:tc>
          <w:tcPr>
            <w:tcW w:w="20" w:type="dxa"/>
            <w:tcBorders>
              <w:bottom w:val="single" w:sz="8" w:space="0" w:color="CCEEFF"/>
            </w:tcBorders>
            <w:vAlign w:val="bottom"/>
          </w:tcPr>
          <w:p w14:paraId="3D9FFDE1" w14:textId="77777777" w:rsidR="00D1587D" w:rsidRDefault="00D1587D">
            <w:pPr>
              <w:rPr>
                <w:sz w:val="5"/>
                <w:szCs w:val="5"/>
              </w:rPr>
            </w:pPr>
          </w:p>
        </w:tc>
        <w:tc>
          <w:tcPr>
            <w:tcW w:w="80" w:type="dxa"/>
            <w:tcBorders>
              <w:bottom w:val="single" w:sz="8" w:space="0" w:color="CCEEFF"/>
            </w:tcBorders>
            <w:vAlign w:val="bottom"/>
          </w:tcPr>
          <w:p w14:paraId="3DDB667F" w14:textId="77777777" w:rsidR="00D1587D" w:rsidRDefault="00D1587D">
            <w:pPr>
              <w:rPr>
                <w:sz w:val="5"/>
                <w:szCs w:val="5"/>
              </w:rPr>
            </w:pPr>
          </w:p>
        </w:tc>
        <w:tc>
          <w:tcPr>
            <w:tcW w:w="480" w:type="dxa"/>
            <w:tcBorders>
              <w:bottom w:val="single" w:sz="8" w:space="0" w:color="auto"/>
            </w:tcBorders>
            <w:vAlign w:val="bottom"/>
          </w:tcPr>
          <w:p w14:paraId="24F7F419" w14:textId="77777777" w:rsidR="00D1587D" w:rsidRDefault="00D1587D">
            <w:pPr>
              <w:rPr>
                <w:sz w:val="5"/>
                <w:szCs w:val="5"/>
              </w:rPr>
            </w:pPr>
          </w:p>
        </w:tc>
        <w:tc>
          <w:tcPr>
            <w:tcW w:w="180" w:type="dxa"/>
            <w:tcBorders>
              <w:bottom w:val="single" w:sz="8" w:space="0" w:color="CCEEFF"/>
            </w:tcBorders>
            <w:vAlign w:val="bottom"/>
          </w:tcPr>
          <w:p w14:paraId="575C3461" w14:textId="77777777" w:rsidR="00D1587D" w:rsidRDefault="00D1587D">
            <w:pPr>
              <w:rPr>
                <w:sz w:val="5"/>
                <w:szCs w:val="5"/>
              </w:rPr>
            </w:pPr>
          </w:p>
        </w:tc>
        <w:tc>
          <w:tcPr>
            <w:tcW w:w="360" w:type="dxa"/>
            <w:gridSpan w:val="2"/>
            <w:tcBorders>
              <w:bottom w:val="single" w:sz="8" w:space="0" w:color="auto"/>
            </w:tcBorders>
            <w:vAlign w:val="bottom"/>
          </w:tcPr>
          <w:p w14:paraId="07524A27" w14:textId="77777777" w:rsidR="00D1587D" w:rsidRDefault="00D1587D">
            <w:pPr>
              <w:rPr>
                <w:sz w:val="5"/>
                <w:szCs w:val="5"/>
              </w:rPr>
            </w:pPr>
          </w:p>
        </w:tc>
        <w:tc>
          <w:tcPr>
            <w:tcW w:w="100" w:type="dxa"/>
            <w:tcBorders>
              <w:bottom w:val="single" w:sz="8" w:space="0" w:color="CCEEFF"/>
            </w:tcBorders>
            <w:vAlign w:val="bottom"/>
          </w:tcPr>
          <w:p w14:paraId="7AF376A2" w14:textId="77777777" w:rsidR="00D1587D" w:rsidRDefault="00D1587D">
            <w:pPr>
              <w:rPr>
                <w:sz w:val="5"/>
                <w:szCs w:val="5"/>
              </w:rPr>
            </w:pPr>
          </w:p>
        </w:tc>
        <w:tc>
          <w:tcPr>
            <w:tcW w:w="240" w:type="dxa"/>
            <w:tcBorders>
              <w:bottom w:val="single" w:sz="8" w:space="0" w:color="auto"/>
            </w:tcBorders>
            <w:vAlign w:val="bottom"/>
          </w:tcPr>
          <w:p w14:paraId="691B1518" w14:textId="77777777" w:rsidR="00D1587D" w:rsidRDefault="00D1587D">
            <w:pPr>
              <w:rPr>
                <w:sz w:val="5"/>
                <w:szCs w:val="5"/>
              </w:rPr>
            </w:pPr>
          </w:p>
        </w:tc>
        <w:tc>
          <w:tcPr>
            <w:tcW w:w="500" w:type="dxa"/>
            <w:gridSpan w:val="2"/>
            <w:tcBorders>
              <w:bottom w:val="single" w:sz="8" w:space="0" w:color="auto"/>
            </w:tcBorders>
            <w:vAlign w:val="bottom"/>
          </w:tcPr>
          <w:p w14:paraId="4F051774" w14:textId="77777777" w:rsidR="00D1587D" w:rsidRDefault="00D1587D">
            <w:pPr>
              <w:rPr>
                <w:sz w:val="5"/>
                <w:szCs w:val="5"/>
              </w:rPr>
            </w:pPr>
          </w:p>
        </w:tc>
        <w:tc>
          <w:tcPr>
            <w:tcW w:w="140" w:type="dxa"/>
            <w:tcBorders>
              <w:bottom w:val="single" w:sz="8" w:space="0" w:color="CCEEFF"/>
            </w:tcBorders>
            <w:vAlign w:val="bottom"/>
          </w:tcPr>
          <w:p w14:paraId="11619FE6" w14:textId="77777777" w:rsidR="00D1587D" w:rsidRDefault="00D1587D">
            <w:pPr>
              <w:rPr>
                <w:sz w:val="5"/>
                <w:szCs w:val="5"/>
              </w:rPr>
            </w:pPr>
          </w:p>
        </w:tc>
        <w:tc>
          <w:tcPr>
            <w:tcW w:w="720" w:type="dxa"/>
            <w:gridSpan w:val="2"/>
            <w:tcBorders>
              <w:bottom w:val="single" w:sz="8" w:space="0" w:color="auto"/>
            </w:tcBorders>
            <w:vAlign w:val="bottom"/>
          </w:tcPr>
          <w:p w14:paraId="693FFD77" w14:textId="77777777" w:rsidR="00D1587D" w:rsidRDefault="00D1587D">
            <w:pPr>
              <w:rPr>
                <w:sz w:val="5"/>
                <w:szCs w:val="5"/>
              </w:rPr>
            </w:pPr>
          </w:p>
        </w:tc>
        <w:tc>
          <w:tcPr>
            <w:tcW w:w="0" w:type="dxa"/>
            <w:vAlign w:val="bottom"/>
          </w:tcPr>
          <w:p w14:paraId="56EB9FF0" w14:textId="77777777" w:rsidR="00D1587D" w:rsidRDefault="00D1587D">
            <w:pPr>
              <w:rPr>
                <w:sz w:val="1"/>
                <w:szCs w:val="1"/>
              </w:rPr>
            </w:pPr>
          </w:p>
        </w:tc>
      </w:tr>
      <w:tr w:rsidR="00D1587D" w14:paraId="52889F57" w14:textId="77777777">
        <w:trPr>
          <w:trHeight w:val="376"/>
        </w:trPr>
        <w:tc>
          <w:tcPr>
            <w:tcW w:w="4860" w:type="dxa"/>
            <w:tcBorders>
              <w:bottom w:val="single" w:sz="8" w:space="0" w:color="CCEEFF"/>
            </w:tcBorders>
            <w:shd w:val="clear" w:color="auto" w:fill="CCEEFF"/>
            <w:vAlign w:val="bottom"/>
          </w:tcPr>
          <w:p w14:paraId="0E63AB88" w14:textId="77777777" w:rsidR="00D1587D" w:rsidRDefault="00410D07">
            <w:pPr>
              <w:rPr>
                <w:sz w:val="20"/>
                <w:szCs w:val="20"/>
              </w:rPr>
            </w:pPr>
            <w:r>
              <w:rPr>
                <w:rFonts w:ascii="Arial" w:eastAsia="Arial" w:hAnsi="Arial" w:cs="Arial"/>
                <w:b/>
                <w:bCs/>
                <w:sz w:val="18"/>
                <w:szCs w:val="18"/>
              </w:rPr>
              <w:t>Total</w:t>
            </w:r>
          </w:p>
        </w:tc>
        <w:tc>
          <w:tcPr>
            <w:tcW w:w="640" w:type="dxa"/>
            <w:tcBorders>
              <w:bottom w:val="single" w:sz="8" w:space="0" w:color="CCEEFF"/>
            </w:tcBorders>
            <w:shd w:val="clear" w:color="auto" w:fill="CCEEFF"/>
            <w:vAlign w:val="bottom"/>
          </w:tcPr>
          <w:p w14:paraId="20B8293F" w14:textId="77777777" w:rsidR="00D1587D" w:rsidRDefault="00410D07">
            <w:pPr>
              <w:ind w:right="39"/>
              <w:jc w:val="right"/>
              <w:rPr>
                <w:sz w:val="20"/>
                <w:szCs w:val="20"/>
              </w:rPr>
            </w:pPr>
            <w:r>
              <w:rPr>
                <w:rFonts w:ascii="Arial" w:eastAsia="Arial" w:hAnsi="Arial" w:cs="Arial"/>
                <w:b/>
                <w:bCs/>
                <w:sz w:val="18"/>
                <w:szCs w:val="18"/>
              </w:rPr>
              <w:t>444</w:t>
            </w:r>
          </w:p>
        </w:tc>
        <w:tc>
          <w:tcPr>
            <w:tcW w:w="100" w:type="dxa"/>
            <w:tcBorders>
              <w:bottom w:val="single" w:sz="8" w:space="0" w:color="CCEEFF"/>
            </w:tcBorders>
            <w:shd w:val="clear" w:color="auto" w:fill="CCEEFF"/>
            <w:vAlign w:val="bottom"/>
          </w:tcPr>
          <w:p w14:paraId="54130923" w14:textId="77777777" w:rsidR="00D1587D" w:rsidRDefault="00D1587D">
            <w:pPr>
              <w:rPr>
                <w:sz w:val="24"/>
                <w:szCs w:val="24"/>
              </w:rPr>
            </w:pPr>
          </w:p>
        </w:tc>
        <w:tc>
          <w:tcPr>
            <w:tcW w:w="20" w:type="dxa"/>
            <w:tcBorders>
              <w:bottom w:val="single" w:sz="8" w:space="0" w:color="CCEEFF"/>
            </w:tcBorders>
            <w:shd w:val="clear" w:color="auto" w:fill="CCEEFF"/>
            <w:vAlign w:val="bottom"/>
          </w:tcPr>
          <w:p w14:paraId="795266D8"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69405238" w14:textId="77777777" w:rsidR="00D1587D" w:rsidRDefault="00410D07">
            <w:pPr>
              <w:ind w:left="17"/>
              <w:jc w:val="center"/>
              <w:rPr>
                <w:sz w:val="20"/>
                <w:szCs w:val="20"/>
              </w:rPr>
            </w:pPr>
            <w:r>
              <w:rPr>
                <w:rFonts w:ascii="Arial" w:eastAsia="Arial" w:hAnsi="Arial" w:cs="Arial"/>
                <w:b/>
                <w:bCs/>
                <w:w w:val="89"/>
                <w:sz w:val="18"/>
                <w:szCs w:val="18"/>
              </w:rPr>
              <w:t>20</w:t>
            </w:r>
          </w:p>
        </w:tc>
        <w:tc>
          <w:tcPr>
            <w:tcW w:w="180" w:type="dxa"/>
            <w:tcBorders>
              <w:bottom w:val="single" w:sz="8" w:space="0" w:color="CCEEFF"/>
              <w:right w:val="single" w:sz="8" w:space="0" w:color="CCEEFF"/>
            </w:tcBorders>
            <w:shd w:val="clear" w:color="auto" w:fill="CCEEFF"/>
            <w:vAlign w:val="bottom"/>
          </w:tcPr>
          <w:p w14:paraId="639F21F5" w14:textId="77777777" w:rsidR="00D1587D" w:rsidRDefault="00D1587D">
            <w:pPr>
              <w:rPr>
                <w:sz w:val="24"/>
                <w:szCs w:val="24"/>
              </w:rPr>
            </w:pPr>
          </w:p>
        </w:tc>
        <w:tc>
          <w:tcPr>
            <w:tcW w:w="360" w:type="dxa"/>
            <w:gridSpan w:val="2"/>
            <w:tcBorders>
              <w:bottom w:val="single" w:sz="8" w:space="0" w:color="CCEEFF"/>
            </w:tcBorders>
            <w:shd w:val="clear" w:color="auto" w:fill="CCEEFF"/>
            <w:vAlign w:val="bottom"/>
          </w:tcPr>
          <w:p w14:paraId="6AE69841" w14:textId="77777777" w:rsidR="00D1587D" w:rsidRDefault="00410D07">
            <w:pPr>
              <w:jc w:val="right"/>
              <w:rPr>
                <w:sz w:val="20"/>
                <w:szCs w:val="20"/>
              </w:rPr>
            </w:pPr>
            <w:r>
              <w:rPr>
                <w:rFonts w:ascii="Arial" w:eastAsia="Arial" w:hAnsi="Arial" w:cs="Arial"/>
                <w:b/>
                <w:bCs/>
                <w:w w:val="93"/>
                <w:sz w:val="18"/>
                <w:szCs w:val="18"/>
              </w:rPr>
              <w:t>(32)</w:t>
            </w:r>
          </w:p>
        </w:tc>
        <w:tc>
          <w:tcPr>
            <w:tcW w:w="100" w:type="dxa"/>
            <w:tcBorders>
              <w:bottom w:val="single" w:sz="8" w:space="0" w:color="CCEEFF"/>
            </w:tcBorders>
            <w:shd w:val="clear" w:color="auto" w:fill="CCEEFF"/>
            <w:vAlign w:val="bottom"/>
          </w:tcPr>
          <w:p w14:paraId="2B6BF72A" w14:textId="77777777" w:rsidR="00D1587D" w:rsidRDefault="00D1587D">
            <w:pPr>
              <w:rPr>
                <w:sz w:val="24"/>
                <w:szCs w:val="24"/>
              </w:rPr>
            </w:pPr>
          </w:p>
        </w:tc>
        <w:tc>
          <w:tcPr>
            <w:tcW w:w="240" w:type="dxa"/>
            <w:tcBorders>
              <w:bottom w:val="single" w:sz="8" w:space="0" w:color="CCEEFF"/>
            </w:tcBorders>
            <w:shd w:val="clear" w:color="auto" w:fill="CCEEFF"/>
            <w:vAlign w:val="bottom"/>
          </w:tcPr>
          <w:p w14:paraId="67F5E258" w14:textId="77777777" w:rsidR="00D1587D" w:rsidRDefault="00D1587D">
            <w:pPr>
              <w:rPr>
                <w:sz w:val="24"/>
                <w:szCs w:val="24"/>
              </w:rPr>
            </w:pPr>
          </w:p>
        </w:tc>
        <w:tc>
          <w:tcPr>
            <w:tcW w:w="500" w:type="dxa"/>
            <w:gridSpan w:val="2"/>
            <w:tcBorders>
              <w:bottom w:val="single" w:sz="8" w:space="0" w:color="CCEEFF"/>
            </w:tcBorders>
            <w:shd w:val="clear" w:color="auto" w:fill="CCEEFF"/>
            <w:vAlign w:val="bottom"/>
          </w:tcPr>
          <w:p w14:paraId="5EF92CDF" w14:textId="77777777" w:rsidR="00D1587D" w:rsidRDefault="00410D07">
            <w:pPr>
              <w:ind w:right="159"/>
              <w:jc w:val="center"/>
              <w:rPr>
                <w:sz w:val="20"/>
                <w:szCs w:val="20"/>
              </w:rPr>
            </w:pPr>
            <w:r>
              <w:rPr>
                <w:rFonts w:ascii="Arial" w:eastAsia="Arial" w:hAnsi="Arial" w:cs="Arial"/>
                <w:b/>
                <w:bCs/>
                <w:w w:val="89"/>
                <w:sz w:val="18"/>
                <w:szCs w:val="18"/>
              </w:rPr>
              <w:t>26</w:t>
            </w:r>
          </w:p>
        </w:tc>
        <w:tc>
          <w:tcPr>
            <w:tcW w:w="140" w:type="dxa"/>
            <w:tcBorders>
              <w:bottom w:val="single" w:sz="8" w:space="0" w:color="CCEEFF"/>
              <w:right w:val="single" w:sz="8" w:space="0" w:color="CCEEFF"/>
            </w:tcBorders>
            <w:shd w:val="clear" w:color="auto" w:fill="CCEEFF"/>
            <w:vAlign w:val="bottom"/>
          </w:tcPr>
          <w:p w14:paraId="183B5E3A" w14:textId="77777777" w:rsidR="00D1587D" w:rsidRDefault="00D1587D">
            <w:pPr>
              <w:rPr>
                <w:sz w:val="24"/>
                <w:szCs w:val="24"/>
              </w:rPr>
            </w:pPr>
          </w:p>
        </w:tc>
        <w:tc>
          <w:tcPr>
            <w:tcW w:w="720" w:type="dxa"/>
            <w:gridSpan w:val="2"/>
            <w:tcBorders>
              <w:bottom w:val="single" w:sz="8" w:space="0" w:color="CCEEFF"/>
            </w:tcBorders>
            <w:shd w:val="clear" w:color="auto" w:fill="CCEEFF"/>
            <w:vAlign w:val="bottom"/>
          </w:tcPr>
          <w:p w14:paraId="389A8A2C" w14:textId="77777777" w:rsidR="00D1587D" w:rsidRDefault="00410D07">
            <w:pPr>
              <w:jc w:val="center"/>
              <w:rPr>
                <w:sz w:val="20"/>
                <w:szCs w:val="20"/>
              </w:rPr>
            </w:pPr>
            <w:r>
              <w:rPr>
                <w:rFonts w:ascii="Arial" w:eastAsia="Arial" w:hAnsi="Arial" w:cs="Arial"/>
                <w:b/>
                <w:bCs/>
                <w:w w:val="93"/>
                <w:sz w:val="18"/>
                <w:szCs w:val="18"/>
              </w:rPr>
              <w:t>458</w:t>
            </w:r>
          </w:p>
        </w:tc>
        <w:tc>
          <w:tcPr>
            <w:tcW w:w="0" w:type="dxa"/>
            <w:vAlign w:val="bottom"/>
          </w:tcPr>
          <w:p w14:paraId="1BB38F2E" w14:textId="77777777" w:rsidR="00D1587D" w:rsidRDefault="00D1587D">
            <w:pPr>
              <w:rPr>
                <w:sz w:val="1"/>
                <w:szCs w:val="1"/>
              </w:rPr>
            </w:pPr>
          </w:p>
        </w:tc>
      </w:tr>
      <w:tr w:rsidR="00D1587D" w14:paraId="7805AAA5" w14:textId="77777777">
        <w:trPr>
          <w:trHeight w:val="20"/>
        </w:trPr>
        <w:tc>
          <w:tcPr>
            <w:tcW w:w="4860" w:type="dxa"/>
            <w:tcBorders>
              <w:top w:val="single" w:sz="8" w:space="0" w:color="CCEEFF"/>
            </w:tcBorders>
            <w:vAlign w:val="bottom"/>
          </w:tcPr>
          <w:p w14:paraId="5E55BF52" w14:textId="77777777" w:rsidR="00D1587D" w:rsidRDefault="00D1587D">
            <w:pPr>
              <w:spacing w:line="20" w:lineRule="exact"/>
              <w:rPr>
                <w:sz w:val="1"/>
                <w:szCs w:val="1"/>
              </w:rPr>
            </w:pPr>
          </w:p>
        </w:tc>
        <w:tc>
          <w:tcPr>
            <w:tcW w:w="640" w:type="dxa"/>
            <w:tcBorders>
              <w:top w:val="single" w:sz="8" w:space="0" w:color="auto"/>
            </w:tcBorders>
            <w:shd w:val="clear" w:color="auto" w:fill="000000"/>
            <w:vAlign w:val="bottom"/>
          </w:tcPr>
          <w:p w14:paraId="1A998A27" w14:textId="77777777" w:rsidR="00D1587D" w:rsidRDefault="00D1587D">
            <w:pPr>
              <w:spacing w:line="20" w:lineRule="exact"/>
              <w:rPr>
                <w:sz w:val="1"/>
                <w:szCs w:val="1"/>
              </w:rPr>
            </w:pPr>
          </w:p>
        </w:tc>
        <w:tc>
          <w:tcPr>
            <w:tcW w:w="100" w:type="dxa"/>
            <w:tcBorders>
              <w:top w:val="single" w:sz="8" w:space="0" w:color="auto"/>
            </w:tcBorders>
            <w:shd w:val="clear" w:color="auto" w:fill="000000"/>
            <w:vAlign w:val="bottom"/>
          </w:tcPr>
          <w:p w14:paraId="0F55BA16" w14:textId="77777777" w:rsidR="00D1587D" w:rsidRDefault="00D1587D">
            <w:pPr>
              <w:spacing w:line="20" w:lineRule="exact"/>
              <w:rPr>
                <w:sz w:val="1"/>
                <w:szCs w:val="1"/>
              </w:rPr>
            </w:pPr>
          </w:p>
        </w:tc>
        <w:tc>
          <w:tcPr>
            <w:tcW w:w="20" w:type="dxa"/>
            <w:tcBorders>
              <w:top w:val="single" w:sz="8" w:space="0" w:color="CCEEFF"/>
            </w:tcBorders>
            <w:vAlign w:val="bottom"/>
          </w:tcPr>
          <w:p w14:paraId="66D08F25" w14:textId="77777777" w:rsidR="00D1587D" w:rsidRDefault="00D1587D">
            <w:pPr>
              <w:spacing w:line="20" w:lineRule="exact"/>
              <w:rPr>
                <w:sz w:val="1"/>
                <w:szCs w:val="1"/>
              </w:rPr>
            </w:pPr>
          </w:p>
        </w:tc>
        <w:tc>
          <w:tcPr>
            <w:tcW w:w="80" w:type="dxa"/>
            <w:tcBorders>
              <w:top w:val="single" w:sz="8" w:space="0" w:color="CCEEFF"/>
            </w:tcBorders>
            <w:vAlign w:val="bottom"/>
          </w:tcPr>
          <w:p w14:paraId="6A105E46" w14:textId="77777777" w:rsidR="00D1587D" w:rsidRDefault="00D1587D">
            <w:pPr>
              <w:spacing w:line="20" w:lineRule="exact"/>
              <w:rPr>
                <w:sz w:val="1"/>
                <w:szCs w:val="1"/>
              </w:rPr>
            </w:pPr>
          </w:p>
        </w:tc>
        <w:tc>
          <w:tcPr>
            <w:tcW w:w="480" w:type="dxa"/>
            <w:tcBorders>
              <w:top w:val="single" w:sz="8" w:space="0" w:color="auto"/>
            </w:tcBorders>
            <w:shd w:val="clear" w:color="auto" w:fill="000000"/>
            <w:vAlign w:val="bottom"/>
          </w:tcPr>
          <w:p w14:paraId="10FD897C" w14:textId="77777777" w:rsidR="00D1587D" w:rsidRDefault="00D1587D">
            <w:pPr>
              <w:spacing w:line="20" w:lineRule="exact"/>
              <w:rPr>
                <w:sz w:val="1"/>
                <w:szCs w:val="1"/>
              </w:rPr>
            </w:pPr>
          </w:p>
        </w:tc>
        <w:tc>
          <w:tcPr>
            <w:tcW w:w="180" w:type="dxa"/>
            <w:tcBorders>
              <w:top w:val="single" w:sz="8" w:space="0" w:color="CCEEFF"/>
              <w:right w:val="single" w:sz="8" w:space="0" w:color="auto"/>
            </w:tcBorders>
            <w:vAlign w:val="bottom"/>
          </w:tcPr>
          <w:p w14:paraId="69901CA8" w14:textId="77777777" w:rsidR="00D1587D" w:rsidRDefault="00D1587D">
            <w:pPr>
              <w:spacing w:line="20" w:lineRule="exact"/>
              <w:rPr>
                <w:sz w:val="1"/>
                <w:szCs w:val="1"/>
              </w:rPr>
            </w:pPr>
          </w:p>
        </w:tc>
        <w:tc>
          <w:tcPr>
            <w:tcW w:w="200" w:type="dxa"/>
            <w:tcBorders>
              <w:top w:val="single" w:sz="8" w:space="0" w:color="auto"/>
            </w:tcBorders>
            <w:shd w:val="clear" w:color="auto" w:fill="000000"/>
            <w:vAlign w:val="bottom"/>
          </w:tcPr>
          <w:p w14:paraId="58A8453A" w14:textId="77777777" w:rsidR="00D1587D" w:rsidRDefault="00D1587D">
            <w:pPr>
              <w:spacing w:line="20" w:lineRule="exact"/>
              <w:rPr>
                <w:sz w:val="1"/>
                <w:szCs w:val="1"/>
              </w:rPr>
            </w:pPr>
          </w:p>
        </w:tc>
        <w:tc>
          <w:tcPr>
            <w:tcW w:w="160" w:type="dxa"/>
            <w:tcBorders>
              <w:top w:val="single" w:sz="8" w:space="0" w:color="auto"/>
            </w:tcBorders>
            <w:shd w:val="clear" w:color="auto" w:fill="000000"/>
            <w:vAlign w:val="bottom"/>
          </w:tcPr>
          <w:p w14:paraId="4A74A700" w14:textId="77777777" w:rsidR="00D1587D" w:rsidRDefault="00D1587D">
            <w:pPr>
              <w:spacing w:line="20" w:lineRule="exact"/>
              <w:rPr>
                <w:sz w:val="1"/>
                <w:szCs w:val="1"/>
              </w:rPr>
            </w:pPr>
          </w:p>
        </w:tc>
        <w:tc>
          <w:tcPr>
            <w:tcW w:w="100" w:type="dxa"/>
            <w:tcBorders>
              <w:top w:val="single" w:sz="8" w:space="0" w:color="CCEEFF"/>
            </w:tcBorders>
            <w:vAlign w:val="bottom"/>
          </w:tcPr>
          <w:p w14:paraId="7837782C" w14:textId="77777777" w:rsidR="00D1587D" w:rsidRDefault="00D1587D">
            <w:pPr>
              <w:spacing w:line="20" w:lineRule="exact"/>
              <w:rPr>
                <w:sz w:val="1"/>
                <w:szCs w:val="1"/>
              </w:rPr>
            </w:pPr>
          </w:p>
        </w:tc>
        <w:tc>
          <w:tcPr>
            <w:tcW w:w="240" w:type="dxa"/>
            <w:tcBorders>
              <w:top w:val="single" w:sz="8" w:space="0" w:color="auto"/>
            </w:tcBorders>
            <w:shd w:val="clear" w:color="auto" w:fill="000000"/>
            <w:vAlign w:val="bottom"/>
          </w:tcPr>
          <w:p w14:paraId="030A33A3" w14:textId="77777777" w:rsidR="00D1587D" w:rsidRDefault="00D1587D">
            <w:pPr>
              <w:spacing w:line="20" w:lineRule="exact"/>
              <w:rPr>
                <w:sz w:val="1"/>
                <w:szCs w:val="1"/>
              </w:rPr>
            </w:pPr>
          </w:p>
        </w:tc>
        <w:tc>
          <w:tcPr>
            <w:tcW w:w="200" w:type="dxa"/>
            <w:tcBorders>
              <w:top w:val="single" w:sz="8" w:space="0" w:color="auto"/>
            </w:tcBorders>
            <w:shd w:val="clear" w:color="auto" w:fill="000000"/>
            <w:vAlign w:val="bottom"/>
          </w:tcPr>
          <w:p w14:paraId="396BAD3C" w14:textId="77777777" w:rsidR="00D1587D" w:rsidRDefault="00D1587D">
            <w:pPr>
              <w:spacing w:line="20" w:lineRule="exact"/>
              <w:rPr>
                <w:sz w:val="1"/>
                <w:szCs w:val="1"/>
              </w:rPr>
            </w:pPr>
          </w:p>
        </w:tc>
        <w:tc>
          <w:tcPr>
            <w:tcW w:w="300" w:type="dxa"/>
            <w:tcBorders>
              <w:top w:val="single" w:sz="8" w:space="0" w:color="auto"/>
            </w:tcBorders>
            <w:shd w:val="clear" w:color="auto" w:fill="000000"/>
            <w:vAlign w:val="bottom"/>
          </w:tcPr>
          <w:p w14:paraId="72E1B967" w14:textId="77777777" w:rsidR="00D1587D" w:rsidRDefault="00D1587D">
            <w:pPr>
              <w:spacing w:line="20" w:lineRule="exact"/>
              <w:rPr>
                <w:sz w:val="1"/>
                <w:szCs w:val="1"/>
              </w:rPr>
            </w:pPr>
          </w:p>
        </w:tc>
        <w:tc>
          <w:tcPr>
            <w:tcW w:w="140" w:type="dxa"/>
            <w:tcBorders>
              <w:top w:val="single" w:sz="8" w:space="0" w:color="CCEEFF"/>
              <w:right w:val="single" w:sz="8" w:space="0" w:color="auto"/>
            </w:tcBorders>
            <w:vAlign w:val="bottom"/>
          </w:tcPr>
          <w:p w14:paraId="589296C2" w14:textId="77777777" w:rsidR="00D1587D" w:rsidRDefault="00D1587D">
            <w:pPr>
              <w:spacing w:line="20" w:lineRule="exact"/>
              <w:rPr>
                <w:sz w:val="1"/>
                <w:szCs w:val="1"/>
              </w:rPr>
            </w:pPr>
          </w:p>
        </w:tc>
        <w:tc>
          <w:tcPr>
            <w:tcW w:w="180" w:type="dxa"/>
            <w:tcBorders>
              <w:top w:val="single" w:sz="8" w:space="0" w:color="auto"/>
            </w:tcBorders>
            <w:shd w:val="clear" w:color="auto" w:fill="000000"/>
            <w:vAlign w:val="bottom"/>
          </w:tcPr>
          <w:p w14:paraId="0AAE7183" w14:textId="77777777" w:rsidR="00D1587D" w:rsidRDefault="00D1587D">
            <w:pPr>
              <w:spacing w:line="20" w:lineRule="exact"/>
              <w:rPr>
                <w:sz w:val="1"/>
                <w:szCs w:val="1"/>
              </w:rPr>
            </w:pPr>
          </w:p>
        </w:tc>
        <w:tc>
          <w:tcPr>
            <w:tcW w:w="540" w:type="dxa"/>
            <w:tcBorders>
              <w:top w:val="single" w:sz="8" w:space="0" w:color="auto"/>
            </w:tcBorders>
            <w:shd w:val="clear" w:color="auto" w:fill="000000"/>
            <w:vAlign w:val="bottom"/>
          </w:tcPr>
          <w:p w14:paraId="61456AAE" w14:textId="77777777" w:rsidR="00D1587D" w:rsidRDefault="00D1587D">
            <w:pPr>
              <w:spacing w:line="20" w:lineRule="exact"/>
              <w:rPr>
                <w:sz w:val="1"/>
                <w:szCs w:val="1"/>
              </w:rPr>
            </w:pPr>
          </w:p>
        </w:tc>
        <w:tc>
          <w:tcPr>
            <w:tcW w:w="0" w:type="dxa"/>
            <w:vAlign w:val="bottom"/>
          </w:tcPr>
          <w:p w14:paraId="3F1A88FA" w14:textId="77777777" w:rsidR="00D1587D" w:rsidRDefault="00D1587D">
            <w:pPr>
              <w:spacing w:line="20" w:lineRule="exact"/>
              <w:rPr>
                <w:sz w:val="1"/>
                <w:szCs w:val="1"/>
              </w:rPr>
            </w:pPr>
          </w:p>
        </w:tc>
      </w:tr>
    </w:tbl>
    <w:p w14:paraId="0C707541" w14:textId="77777777" w:rsidR="00D1587D" w:rsidRDefault="00410D07">
      <w:pPr>
        <w:spacing w:line="20" w:lineRule="exact"/>
        <w:rPr>
          <w:sz w:val="20"/>
          <w:szCs w:val="20"/>
        </w:rPr>
      </w:pPr>
      <w:r>
        <w:rPr>
          <w:noProof/>
          <w:sz w:val="20"/>
          <w:szCs w:val="20"/>
        </w:rPr>
        <w:drawing>
          <wp:anchor distT="0" distB="0" distL="114300" distR="114300" simplePos="0" relativeHeight="251654144" behindDoc="1" locked="0" layoutInCell="0" allowOverlap="1" wp14:anchorId="529FAB28" wp14:editId="52760861">
            <wp:simplePos x="0" y="0"/>
            <wp:positionH relativeFrom="column">
              <wp:posOffset>5071745</wp:posOffset>
            </wp:positionH>
            <wp:positionV relativeFrom="paragraph">
              <wp:posOffset>-3007995</wp:posOffset>
            </wp:positionV>
            <wp:extent cx="120015" cy="8255"/>
            <wp:effectExtent l="0" t="0" r="0" b="0"/>
            <wp:wrapNone/>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55168" behindDoc="1" locked="0" layoutInCell="0" allowOverlap="1" wp14:anchorId="152C4BD4" wp14:editId="5F65CEA5">
            <wp:simplePos x="0" y="0"/>
            <wp:positionH relativeFrom="column">
              <wp:posOffset>4677410</wp:posOffset>
            </wp:positionH>
            <wp:positionV relativeFrom="paragraph">
              <wp:posOffset>-3007995</wp:posOffset>
            </wp:positionV>
            <wp:extent cx="128905" cy="8255"/>
            <wp:effectExtent l="0" t="0" r="0" b="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50"/>
                    <a:srcRect/>
                    <a:stretch>
                      <a:fillRect/>
                    </a:stretch>
                  </pic:blipFill>
                  <pic:spPr bwMode="auto">
                    <a:xfrm>
                      <a:off x="0" y="0"/>
                      <a:ext cx="128905" cy="8255"/>
                    </a:xfrm>
                    <a:prstGeom prst="rect">
                      <a:avLst/>
                    </a:prstGeom>
                    <a:noFill/>
                  </pic:spPr>
                </pic:pic>
              </a:graphicData>
            </a:graphic>
          </wp:anchor>
        </w:drawing>
      </w:r>
      <w:r>
        <w:rPr>
          <w:noProof/>
          <w:sz w:val="20"/>
          <w:szCs w:val="20"/>
        </w:rPr>
        <w:drawing>
          <wp:anchor distT="0" distB="0" distL="114300" distR="114300" simplePos="0" relativeHeight="251656192" behindDoc="1" locked="0" layoutInCell="0" allowOverlap="1" wp14:anchorId="5FB5667B" wp14:editId="4D297505">
            <wp:simplePos x="0" y="0"/>
            <wp:positionH relativeFrom="column">
              <wp:posOffset>4222750</wp:posOffset>
            </wp:positionH>
            <wp:positionV relativeFrom="paragraph">
              <wp:posOffset>-3007995</wp:posOffset>
            </wp:positionV>
            <wp:extent cx="137160" cy="8255"/>
            <wp:effectExtent l="0" t="0" r="0"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1657216" behindDoc="1" locked="0" layoutInCell="0" allowOverlap="1" wp14:anchorId="4A7B0FB7" wp14:editId="6E16C395">
            <wp:simplePos x="0" y="0"/>
            <wp:positionH relativeFrom="column">
              <wp:posOffset>3683000</wp:posOffset>
            </wp:positionH>
            <wp:positionV relativeFrom="paragraph">
              <wp:posOffset>-3007995</wp:posOffset>
            </wp:positionV>
            <wp:extent cx="68580" cy="8255"/>
            <wp:effectExtent l="0" t="0" r="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14:anchorId="7A5A1EBD" wp14:editId="6E5A435A">
            <wp:simplePos x="0" y="0"/>
            <wp:positionH relativeFrom="column">
              <wp:posOffset>5071745</wp:posOffset>
            </wp:positionH>
            <wp:positionV relativeFrom="paragraph">
              <wp:posOffset>-3428365</wp:posOffset>
            </wp:positionV>
            <wp:extent cx="120015" cy="8890"/>
            <wp:effectExtent l="0" t="0" r="0" b="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659264" behindDoc="1" locked="0" layoutInCell="0" allowOverlap="1" wp14:anchorId="17D6B5EE" wp14:editId="230E2409">
            <wp:simplePos x="0" y="0"/>
            <wp:positionH relativeFrom="column">
              <wp:posOffset>4677410</wp:posOffset>
            </wp:positionH>
            <wp:positionV relativeFrom="paragraph">
              <wp:posOffset>-3428365</wp:posOffset>
            </wp:positionV>
            <wp:extent cx="128905" cy="8890"/>
            <wp:effectExtent l="0" t="0" r="0"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50"/>
                    <a:srcRect/>
                    <a:stretch>
                      <a:fillRect/>
                    </a:stretch>
                  </pic:blipFill>
                  <pic:spPr bwMode="auto">
                    <a:xfrm>
                      <a:off x="0" y="0"/>
                      <a:ext cx="128905" cy="889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14:anchorId="70892610" wp14:editId="588627E0">
            <wp:simplePos x="0" y="0"/>
            <wp:positionH relativeFrom="column">
              <wp:posOffset>4222750</wp:posOffset>
            </wp:positionH>
            <wp:positionV relativeFrom="paragraph">
              <wp:posOffset>-3428365</wp:posOffset>
            </wp:positionV>
            <wp:extent cx="137160" cy="8890"/>
            <wp:effectExtent l="0" t="0" r="0" b="0"/>
            <wp:wrapNone/>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14:anchorId="2DB4A427" wp14:editId="060A359A">
            <wp:simplePos x="0" y="0"/>
            <wp:positionH relativeFrom="column">
              <wp:posOffset>3683000</wp:posOffset>
            </wp:positionH>
            <wp:positionV relativeFrom="paragraph">
              <wp:posOffset>-3428365</wp:posOffset>
            </wp:positionV>
            <wp:extent cx="68580" cy="8890"/>
            <wp:effectExtent l="0" t="0" r="0"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62336" behindDoc="1" locked="0" layoutInCell="0" allowOverlap="1" wp14:anchorId="50B708B8" wp14:editId="18D66864">
            <wp:simplePos x="0" y="0"/>
            <wp:positionH relativeFrom="column">
              <wp:posOffset>5071745</wp:posOffset>
            </wp:positionH>
            <wp:positionV relativeFrom="paragraph">
              <wp:posOffset>-1679575</wp:posOffset>
            </wp:positionV>
            <wp:extent cx="120015" cy="8890"/>
            <wp:effectExtent l="0" t="0" r="0" b="0"/>
            <wp:wrapNone/>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14:anchorId="746F8D3B" wp14:editId="768A0684">
            <wp:simplePos x="0" y="0"/>
            <wp:positionH relativeFrom="column">
              <wp:posOffset>4677410</wp:posOffset>
            </wp:positionH>
            <wp:positionV relativeFrom="paragraph">
              <wp:posOffset>-1679575</wp:posOffset>
            </wp:positionV>
            <wp:extent cx="128905" cy="8890"/>
            <wp:effectExtent l="0" t="0" r="0" b="0"/>
            <wp:wrapNone/>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50"/>
                    <a:srcRect/>
                    <a:stretch>
                      <a:fillRect/>
                    </a:stretch>
                  </pic:blipFill>
                  <pic:spPr bwMode="auto">
                    <a:xfrm>
                      <a:off x="0" y="0"/>
                      <a:ext cx="128905" cy="8890"/>
                    </a:xfrm>
                    <a:prstGeom prst="rect">
                      <a:avLst/>
                    </a:prstGeom>
                    <a:noFill/>
                  </pic:spPr>
                </pic:pic>
              </a:graphicData>
            </a:graphic>
          </wp:anchor>
        </w:drawing>
      </w:r>
      <w:r>
        <w:rPr>
          <w:noProof/>
          <w:sz w:val="20"/>
          <w:szCs w:val="20"/>
        </w:rPr>
        <w:drawing>
          <wp:anchor distT="0" distB="0" distL="114300" distR="114300" simplePos="0" relativeHeight="251664384" behindDoc="1" locked="0" layoutInCell="0" allowOverlap="1" wp14:anchorId="28290059" wp14:editId="47FF1CB1">
            <wp:simplePos x="0" y="0"/>
            <wp:positionH relativeFrom="column">
              <wp:posOffset>4222750</wp:posOffset>
            </wp:positionH>
            <wp:positionV relativeFrom="paragraph">
              <wp:posOffset>-1679575</wp:posOffset>
            </wp:positionV>
            <wp:extent cx="137160" cy="8890"/>
            <wp:effectExtent l="0" t="0" r="0" b="0"/>
            <wp:wrapNone/>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1665408" behindDoc="1" locked="0" layoutInCell="0" allowOverlap="1" wp14:anchorId="20FC7B48" wp14:editId="11124FDA">
            <wp:simplePos x="0" y="0"/>
            <wp:positionH relativeFrom="column">
              <wp:posOffset>3683000</wp:posOffset>
            </wp:positionH>
            <wp:positionV relativeFrom="paragraph">
              <wp:posOffset>-1679575</wp:posOffset>
            </wp:positionV>
            <wp:extent cx="68580" cy="8890"/>
            <wp:effectExtent l="0" t="0" r="0"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14:anchorId="068E17BE" wp14:editId="14319AAF">
            <wp:simplePos x="0" y="0"/>
            <wp:positionH relativeFrom="column">
              <wp:posOffset>5071745</wp:posOffset>
            </wp:positionH>
            <wp:positionV relativeFrom="paragraph">
              <wp:posOffset>-2099310</wp:posOffset>
            </wp:positionV>
            <wp:extent cx="120015" cy="8255"/>
            <wp:effectExtent l="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14:anchorId="4E07EA10" wp14:editId="20AB5463">
            <wp:simplePos x="0" y="0"/>
            <wp:positionH relativeFrom="column">
              <wp:posOffset>4677410</wp:posOffset>
            </wp:positionH>
            <wp:positionV relativeFrom="paragraph">
              <wp:posOffset>-2099310</wp:posOffset>
            </wp:positionV>
            <wp:extent cx="128905" cy="8255"/>
            <wp:effectExtent l="0" t="0" r="0" b="0"/>
            <wp:wrapNone/>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50"/>
                    <a:srcRect/>
                    <a:stretch>
                      <a:fillRect/>
                    </a:stretch>
                  </pic:blipFill>
                  <pic:spPr bwMode="auto">
                    <a:xfrm>
                      <a:off x="0" y="0"/>
                      <a:ext cx="128905" cy="8255"/>
                    </a:xfrm>
                    <a:prstGeom prst="rect">
                      <a:avLst/>
                    </a:prstGeom>
                    <a:noFill/>
                  </pic:spPr>
                </pic:pic>
              </a:graphicData>
            </a:graphic>
          </wp:anchor>
        </w:drawing>
      </w:r>
      <w:r>
        <w:rPr>
          <w:noProof/>
          <w:sz w:val="20"/>
          <w:szCs w:val="20"/>
        </w:rPr>
        <w:drawing>
          <wp:anchor distT="0" distB="0" distL="114300" distR="114300" simplePos="0" relativeHeight="251668480" behindDoc="1" locked="0" layoutInCell="0" allowOverlap="1" wp14:anchorId="67D11502" wp14:editId="5B1FCCA9">
            <wp:simplePos x="0" y="0"/>
            <wp:positionH relativeFrom="column">
              <wp:posOffset>4222750</wp:posOffset>
            </wp:positionH>
            <wp:positionV relativeFrom="paragraph">
              <wp:posOffset>-2099310</wp:posOffset>
            </wp:positionV>
            <wp:extent cx="137160" cy="8255"/>
            <wp:effectExtent l="0" t="0" r="0" b="0"/>
            <wp:wrapNone/>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14:anchorId="6DFB4E8D" wp14:editId="5D016B49">
            <wp:simplePos x="0" y="0"/>
            <wp:positionH relativeFrom="column">
              <wp:posOffset>3683000</wp:posOffset>
            </wp:positionH>
            <wp:positionV relativeFrom="paragraph">
              <wp:posOffset>-2099310</wp:posOffset>
            </wp:positionV>
            <wp:extent cx="68580" cy="8255"/>
            <wp:effectExtent l="0" t="0" r="0" b="0"/>
            <wp:wrapNone/>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70528" behindDoc="1" locked="0" layoutInCell="0" allowOverlap="1" wp14:anchorId="1A7DB74C" wp14:editId="63EDA80A">
            <wp:simplePos x="0" y="0"/>
            <wp:positionH relativeFrom="column">
              <wp:posOffset>3245485</wp:posOffset>
            </wp:positionH>
            <wp:positionV relativeFrom="paragraph">
              <wp:posOffset>-16510</wp:posOffset>
            </wp:positionV>
            <wp:extent cx="34290" cy="8890"/>
            <wp:effectExtent l="0" t="0" r="0" b="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5"/>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671552" behindDoc="1" locked="0" layoutInCell="0" allowOverlap="1" wp14:anchorId="2F5461C6" wp14:editId="5337B01C">
            <wp:simplePos x="0" y="0"/>
            <wp:positionH relativeFrom="column">
              <wp:posOffset>4994275</wp:posOffset>
            </wp:positionH>
            <wp:positionV relativeFrom="paragraph">
              <wp:posOffset>-256540</wp:posOffset>
            </wp:positionV>
            <wp:extent cx="68580" cy="8255"/>
            <wp:effectExtent l="0" t="0" r="0" b="0"/>
            <wp:wrapNone/>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72576" behindDoc="1" locked="0" layoutInCell="0" allowOverlap="1" wp14:anchorId="1A6C1171" wp14:editId="3EE5EBC6">
            <wp:simplePos x="0" y="0"/>
            <wp:positionH relativeFrom="column">
              <wp:posOffset>4454525</wp:posOffset>
            </wp:positionH>
            <wp:positionV relativeFrom="paragraph">
              <wp:posOffset>-256540</wp:posOffset>
            </wp:positionV>
            <wp:extent cx="68580" cy="8255"/>
            <wp:effectExtent l="0" t="0" r="0"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73600" behindDoc="1" locked="0" layoutInCell="0" allowOverlap="1" wp14:anchorId="1592EEF6" wp14:editId="40E619A6">
            <wp:simplePos x="0" y="0"/>
            <wp:positionH relativeFrom="column">
              <wp:posOffset>4119880</wp:posOffset>
            </wp:positionH>
            <wp:positionV relativeFrom="paragraph">
              <wp:posOffset>-256540</wp:posOffset>
            </wp:positionV>
            <wp:extent cx="68580" cy="8255"/>
            <wp:effectExtent l="0" t="0" r="0" b="0"/>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74624" behindDoc="1" locked="0" layoutInCell="0" allowOverlap="1" wp14:anchorId="5672DDAE" wp14:editId="0FAF3707">
            <wp:simplePos x="0" y="0"/>
            <wp:positionH relativeFrom="column">
              <wp:posOffset>3742690</wp:posOffset>
            </wp:positionH>
            <wp:positionV relativeFrom="paragraph">
              <wp:posOffset>-256540</wp:posOffset>
            </wp:positionV>
            <wp:extent cx="68580" cy="8255"/>
            <wp:effectExtent l="0" t="0" r="0" b="0"/>
            <wp:wrapNone/>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675648" behindDoc="1" locked="0" layoutInCell="0" allowOverlap="1" wp14:anchorId="4FDEC0B6" wp14:editId="2F93F6A9">
            <wp:simplePos x="0" y="0"/>
            <wp:positionH relativeFrom="column">
              <wp:posOffset>3245485</wp:posOffset>
            </wp:positionH>
            <wp:positionV relativeFrom="paragraph">
              <wp:posOffset>-256540</wp:posOffset>
            </wp:positionV>
            <wp:extent cx="34290" cy="8255"/>
            <wp:effectExtent l="0" t="0" r="0" b="0"/>
            <wp:wrapNone/>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676672" behindDoc="1" locked="0" layoutInCell="0" allowOverlap="1" wp14:anchorId="5A6A847D" wp14:editId="43699A1C">
            <wp:simplePos x="0" y="0"/>
            <wp:positionH relativeFrom="column">
              <wp:posOffset>4994275</wp:posOffset>
            </wp:positionH>
            <wp:positionV relativeFrom="paragraph">
              <wp:posOffset>-676275</wp:posOffset>
            </wp:positionV>
            <wp:extent cx="68580" cy="8890"/>
            <wp:effectExtent l="0" t="0" r="0" b="0"/>
            <wp:wrapNone/>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77696" behindDoc="1" locked="0" layoutInCell="0" allowOverlap="1" wp14:anchorId="4549F0D3" wp14:editId="40A8A186">
            <wp:simplePos x="0" y="0"/>
            <wp:positionH relativeFrom="column">
              <wp:posOffset>4454525</wp:posOffset>
            </wp:positionH>
            <wp:positionV relativeFrom="paragraph">
              <wp:posOffset>-676275</wp:posOffset>
            </wp:positionV>
            <wp:extent cx="68580" cy="8890"/>
            <wp:effectExtent l="0" t="0" r="0" b="0"/>
            <wp:wrapNone/>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78720" behindDoc="1" locked="0" layoutInCell="0" allowOverlap="1" wp14:anchorId="2049677A" wp14:editId="3B1365F9">
            <wp:simplePos x="0" y="0"/>
            <wp:positionH relativeFrom="column">
              <wp:posOffset>4119880</wp:posOffset>
            </wp:positionH>
            <wp:positionV relativeFrom="paragraph">
              <wp:posOffset>-676275</wp:posOffset>
            </wp:positionV>
            <wp:extent cx="68580" cy="8890"/>
            <wp:effectExtent l="0" t="0" r="0" b="0"/>
            <wp:wrapNone/>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14:anchorId="723BD333" wp14:editId="7C22523F">
            <wp:simplePos x="0" y="0"/>
            <wp:positionH relativeFrom="column">
              <wp:posOffset>3742690</wp:posOffset>
            </wp:positionH>
            <wp:positionV relativeFrom="paragraph">
              <wp:posOffset>-676275</wp:posOffset>
            </wp:positionV>
            <wp:extent cx="68580" cy="8890"/>
            <wp:effectExtent l="0" t="0" r="0" b="0"/>
            <wp:wrapNone/>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680768" behindDoc="1" locked="0" layoutInCell="0" allowOverlap="1" wp14:anchorId="4BBA2B81" wp14:editId="4023CE01">
            <wp:simplePos x="0" y="0"/>
            <wp:positionH relativeFrom="column">
              <wp:posOffset>3245485</wp:posOffset>
            </wp:positionH>
            <wp:positionV relativeFrom="paragraph">
              <wp:posOffset>-676275</wp:posOffset>
            </wp:positionV>
            <wp:extent cx="34290" cy="8890"/>
            <wp:effectExtent l="0" t="0" r="0" b="0"/>
            <wp:wrapNone/>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p>
    <w:p w14:paraId="514EF516" w14:textId="77777777" w:rsidR="00D1587D" w:rsidRDefault="00D1587D">
      <w:pPr>
        <w:sectPr w:rsidR="00D1587D">
          <w:pgSz w:w="11900" w:h="16838"/>
          <w:pgMar w:top="265" w:right="1440" w:bottom="1440" w:left="1440" w:header="0" w:footer="0" w:gutter="0"/>
          <w:cols w:space="720" w:equalWidth="0">
            <w:col w:w="9019"/>
          </w:cols>
        </w:sectPr>
      </w:pPr>
    </w:p>
    <w:p w14:paraId="5D1D28DA" w14:textId="77777777" w:rsidR="00D1587D" w:rsidRDefault="00D1587D">
      <w:pPr>
        <w:spacing w:line="202" w:lineRule="exact"/>
        <w:rPr>
          <w:sz w:val="20"/>
          <w:szCs w:val="20"/>
        </w:rPr>
      </w:pPr>
    </w:p>
    <w:p w14:paraId="42B5278F" w14:textId="77777777" w:rsidR="00D1587D" w:rsidRDefault="00410D07">
      <w:pPr>
        <w:jc w:val="center"/>
        <w:rPr>
          <w:sz w:val="20"/>
          <w:szCs w:val="20"/>
        </w:rPr>
      </w:pPr>
      <w:r>
        <w:rPr>
          <w:rFonts w:ascii="Arial" w:eastAsia="Arial" w:hAnsi="Arial" w:cs="Arial"/>
          <w:sz w:val="16"/>
          <w:szCs w:val="16"/>
        </w:rPr>
        <w:t>74</w:t>
      </w:r>
    </w:p>
    <w:p w14:paraId="3ABB7629" w14:textId="77777777" w:rsidR="00D1587D" w:rsidRDefault="00410D07">
      <w:pPr>
        <w:spacing w:line="20" w:lineRule="exact"/>
        <w:rPr>
          <w:sz w:val="20"/>
          <w:szCs w:val="20"/>
        </w:rPr>
      </w:pPr>
      <w:r>
        <w:rPr>
          <w:noProof/>
          <w:sz w:val="20"/>
          <w:szCs w:val="20"/>
        </w:rPr>
        <w:drawing>
          <wp:anchor distT="0" distB="0" distL="114300" distR="114300" simplePos="0" relativeHeight="251681792" behindDoc="1" locked="0" layoutInCell="0" allowOverlap="1" wp14:anchorId="38A2C38C" wp14:editId="57349AC3">
            <wp:simplePos x="0" y="0"/>
            <wp:positionH relativeFrom="column">
              <wp:posOffset>-636905</wp:posOffset>
            </wp:positionH>
            <wp:positionV relativeFrom="paragraph">
              <wp:posOffset>140970</wp:posOffset>
            </wp:positionV>
            <wp:extent cx="6995160" cy="17145"/>
            <wp:effectExtent l="0" t="0" r="0" b="0"/>
            <wp:wrapNone/>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4B0DB3C"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32" w:name="page333"/>
    <w:bookmarkEnd w:id="332"/>
    <w:p w14:paraId="4FD76C8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66C62AC" w14:textId="77777777" w:rsidR="00D1587D" w:rsidRDefault="00D1587D">
      <w:pPr>
        <w:spacing w:line="131" w:lineRule="exact"/>
        <w:rPr>
          <w:sz w:val="20"/>
          <w:szCs w:val="20"/>
        </w:rPr>
      </w:pPr>
    </w:p>
    <w:p w14:paraId="57122737" w14:textId="77777777" w:rsidR="00D1587D" w:rsidRDefault="00410D07">
      <w:pPr>
        <w:ind w:left="660"/>
        <w:rPr>
          <w:sz w:val="20"/>
          <w:szCs w:val="20"/>
        </w:rPr>
      </w:pPr>
      <w:r>
        <w:rPr>
          <w:rFonts w:ascii="Arial" w:eastAsia="Arial" w:hAnsi="Arial" w:cs="Arial"/>
          <w:sz w:val="16"/>
          <w:szCs w:val="16"/>
        </w:rPr>
        <w:t>The following table represents partner-operated store data for 2019:</w:t>
      </w:r>
    </w:p>
    <w:p w14:paraId="6E7754CD" w14:textId="77777777" w:rsidR="00D1587D" w:rsidRDefault="00410D07">
      <w:pPr>
        <w:spacing w:line="20" w:lineRule="exact"/>
        <w:rPr>
          <w:sz w:val="20"/>
          <w:szCs w:val="20"/>
        </w:rPr>
      </w:pPr>
      <w:r>
        <w:rPr>
          <w:noProof/>
          <w:sz w:val="20"/>
          <w:szCs w:val="20"/>
        </w:rPr>
        <w:drawing>
          <wp:anchor distT="0" distB="0" distL="114300" distR="114300" simplePos="0" relativeHeight="251682816" behindDoc="1" locked="0" layoutInCell="0" allowOverlap="1" wp14:anchorId="182220EE" wp14:editId="70560820">
            <wp:simplePos x="0" y="0"/>
            <wp:positionH relativeFrom="column">
              <wp:posOffset>185420</wp:posOffset>
            </wp:positionH>
            <wp:positionV relativeFrom="paragraph">
              <wp:posOffset>474980</wp:posOffset>
            </wp:positionV>
            <wp:extent cx="5349240" cy="214630"/>
            <wp:effectExtent l="0" t="0" r="0" b="0"/>
            <wp:wrapNone/>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52"/>
                    <a:srcRect/>
                    <a:stretch>
                      <a:fillRect/>
                    </a:stretch>
                  </pic:blipFill>
                  <pic:spPr bwMode="auto">
                    <a:xfrm>
                      <a:off x="0" y="0"/>
                      <a:ext cx="5349240" cy="214630"/>
                    </a:xfrm>
                    <a:prstGeom prst="rect">
                      <a:avLst/>
                    </a:prstGeom>
                    <a:noFill/>
                  </pic:spPr>
                </pic:pic>
              </a:graphicData>
            </a:graphic>
          </wp:anchor>
        </w:drawing>
      </w:r>
    </w:p>
    <w:p w14:paraId="72FD24EC" w14:textId="77777777" w:rsidR="00D1587D" w:rsidRDefault="00D1587D">
      <w:pPr>
        <w:spacing w:line="200" w:lineRule="exact"/>
        <w:rPr>
          <w:sz w:val="20"/>
          <w:szCs w:val="20"/>
        </w:rPr>
      </w:pPr>
    </w:p>
    <w:p w14:paraId="747E53AA" w14:textId="77777777" w:rsidR="00D1587D" w:rsidRDefault="00D1587D">
      <w:pPr>
        <w:spacing w:line="200" w:lineRule="exact"/>
        <w:rPr>
          <w:sz w:val="20"/>
          <w:szCs w:val="20"/>
        </w:rPr>
      </w:pPr>
    </w:p>
    <w:p w14:paraId="2D5C8A2F" w14:textId="77777777" w:rsidR="00D1587D" w:rsidRDefault="00D1587D">
      <w:pPr>
        <w:spacing w:line="395" w:lineRule="exact"/>
        <w:rPr>
          <w:sz w:val="20"/>
          <w:szCs w:val="20"/>
        </w:rPr>
      </w:pPr>
    </w:p>
    <w:p w14:paraId="522DF66E" w14:textId="77777777" w:rsidR="00D1587D" w:rsidRDefault="00410D07">
      <w:pPr>
        <w:ind w:left="300"/>
        <w:rPr>
          <w:sz w:val="20"/>
          <w:szCs w:val="20"/>
        </w:rPr>
      </w:pPr>
      <w:r>
        <w:rPr>
          <w:rFonts w:ascii="Arial" w:eastAsia="Arial" w:hAnsi="Arial" w:cs="Arial"/>
          <w:sz w:val="18"/>
          <w:szCs w:val="18"/>
        </w:rPr>
        <w:t>Beauty and Accessories</w:t>
      </w:r>
    </w:p>
    <w:p w14:paraId="4853AD22" w14:textId="77777777" w:rsidR="00D1587D" w:rsidRDefault="00D1587D">
      <w:pPr>
        <w:spacing w:line="90" w:lineRule="exact"/>
        <w:rPr>
          <w:sz w:val="20"/>
          <w:szCs w:val="20"/>
        </w:rPr>
      </w:pPr>
    </w:p>
    <w:p w14:paraId="4D25BCA7" w14:textId="77777777" w:rsidR="00D1587D" w:rsidRDefault="00410D07">
      <w:pPr>
        <w:ind w:left="300"/>
        <w:rPr>
          <w:sz w:val="20"/>
          <w:szCs w:val="20"/>
        </w:rPr>
      </w:pPr>
      <w:r>
        <w:rPr>
          <w:rFonts w:ascii="Arial" w:eastAsia="Arial" w:hAnsi="Arial" w:cs="Arial"/>
          <w:sz w:val="18"/>
          <w:szCs w:val="18"/>
        </w:rPr>
        <w:t>Full Assortment</w:t>
      </w:r>
    </w:p>
    <w:p w14:paraId="3BC34190" w14:textId="77777777" w:rsidR="00D1587D" w:rsidRDefault="00410D07">
      <w:pPr>
        <w:spacing w:line="20" w:lineRule="exact"/>
        <w:rPr>
          <w:sz w:val="20"/>
          <w:szCs w:val="20"/>
        </w:rPr>
      </w:pPr>
      <w:r>
        <w:rPr>
          <w:noProof/>
          <w:sz w:val="20"/>
          <w:szCs w:val="20"/>
        </w:rPr>
        <w:drawing>
          <wp:anchor distT="0" distB="0" distL="114300" distR="114300" simplePos="0" relativeHeight="251683840" behindDoc="1" locked="0" layoutInCell="0" allowOverlap="1" wp14:anchorId="2F82A046" wp14:editId="414B5F97">
            <wp:simplePos x="0" y="0"/>
            <wp:positionH relativeFrom="column">
              <wp:posOffset>185420</wp:posOffset>
            </wp:positionH>
            <wp:positionV relativeFrom="paragraph">
              <wp:posOffset>57785</wp:posOffset>
            </wp:positionV>
            <wp:extent cx="5349240" cy="240030"/>
            <wp:effectExtent l="0" t="0" r="0" b="0"/>
            <wp:wrapNone/>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53"/>
                    <a:srcRect/>
                    <a:stretch>
                      <a:fillRect/>
                    </a:stretch>
                  </pic:blipFill>
                  <pic:spPr bwMode="auto">
                    <a:xfrm>
                      <a:off x="0" y="0"/>
                      <a:ext cx="5349240" cy="240030"/>
                    </a:xfrm>
                    <a:prstGeom prst="rect">
                      <a:avLst/>
                    </a:prstGeom>
                    <a:noFill/>
                  </pic:spPr>
                </pic:pic>
              </a:graphicData>
            </a:graphic>
          </wp:anchor>
        </w:drawing>
      </w:r>
    </w:p>
    <w:p w14:paraId="4CB7048F" w14:textId="77777777" w:rsidR="00D1587D" w:rsidRDefault="00D1587D">
      <w:pPr>
        <w:spacing w:line="161" w:lineRule="exact"/>
        <w:rPr>
          <w:sz w:val="20"/>
          <w:szCs w:val="20"/>
        </w:rPr>
      </w:pPr>
    </w:p>
    <w:p w14:paraId="2436B439" w14:textId="77777777" w:rsidR="00D1587D" w:rsidRDefault="00410D07">
      <w:pPr>
        <w:ind w:left="300"/>
        <w:rPr>
          <w:sz w:val="20"/>
          <w:szCs w:val="20"/>
        </w:rPr>
      </w:pPr>
      <w:r>
        <w:rPr>
          <w:rFonts w:ascii="Arial" w:eastAsia="Arial" w:hAnsi="Arial" w:cs="Arial"/>
          <w:b/>
          <w:bCs/>
          <w:sz w:val="18"/>
          <w:szCs w:val="18"/>
        </w:rPr>
        <w:t>Total</w:t>
      </w:r>
    </w:p>
    <w:p w14:paraId="61ACB31D" w14:textId="77777777" w:rsidR="00D1587D" w:rsidRDefault="00D1587D">
      <w:pPr>
        <w:spacing w:line="202" w:lineRule="exact"/>
        <w:rPr>
          <w:sz w:val="20"/>
          <w:szCs w:val="20"/>
        </w:rPr>
      </w:pPr>
    </w:p>
    <w:p w14:paraId="39605985" w14:textId="77777777" w:rsidR="00D1587D" w:rsidRDefault="00410D07">
      <w:pPr>
        <w:ind w:left="660"/>
        <w:rPr>
          <w:sz w:val="20"/>
          <w:szCs w:val="20"/>
        </w:rPr>
      </w:pPr>
      <w:r>
        <w:rPr>
          <w:rFonts w:ascii="Arial" w:eastAsia="Arial" w:hAnsi="Arial" w:cs="Arial"/>
          <w:sz w:val="16"/>
          <w:szCs w:val="16"/>
        </w:rPr>
        <w:t>The following table represents partner-operated store data for 2018:</w:t>
      </w:r>
    </w:p>
    <w:p w14:paraId="40571211" w14:textId="77777777" w:rsidR="00D1587D" w:rsidRDefault="00410D07">
      <w:pPr>
        <w:spacing w:line="20" w:lineRule="exact"/>
        <w:rPr>
          <w:sz w:val="20"/>
          <w:szCs w:val="20"/>
        </w:rPr>
      </w:pPr>
      <w:r>
        <w:rPr>
          <w:sz w:val="20"/>
          <w:szCs w:val="20"/>
        </w:rPr>
        <w:br w:type="column"/>
      </w:r>
    </w:p>
    <w:p w14:paraId="675CEC57" w14:textId="77777777" w:rsidR="00D1587D" w:rsidRDefault="00D1587D">
      <w:pPr>
        <w:spacing w:line="200" w:lineRule="exact"/>
        <w:rPr>
          <w:sz w:val="20"/>
          <w:szCs w:val="20"/>
        </w:rPr>
      </w:pPr>
    </w:p>
    <w:p w14:paraId="72E3C176" w14:textId="77777777" w:rsidR="00D1587D" w:rsidRDefault="00D1587D">
      <w:pPr>
        <w:spacing w:line="200" w:lineRule="exact"/>
        <w:rPr>
          <w:sz w:val="20"/>
          <w:szCs w:val="20"/>
        </w:rPr>
      </w:pPr>
    </w:p>
    <w:p w14:paraId="2681AF60" w14:textId="77777777" w:rsidR="00D1587D" w:rsidRDefault="00D1587D">
      <w:pPr>
        <w:spacing w:line="256" w:lineRule="exact"/>
        <w:rPr>
          <w:sz w:val="20"/>
          <w:szCs w:val="20"/>
        </w:rPr>
      </w:pPr>
    </w:p>
    <w:p w14:paraId="5831B1BE" w14:textId="77777777" w:rsidR="00D1587D" w:rsidRDefault="00D1587D">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800"/>
        <w:gridCol w:w="1180"/>
        <w:gridCol w:w="800"/>
        <w:gridCol w:w="20"/>
      </w:tblGrid>
      <w:tr w:rsidR="00D1587D" w14:paraId="1D9D1AD9" w14:textId="77777777">
        <w:trPr>
          <w:trHeight w:val="161"/>
        </w:trPr>
        <w:tc>
          <w:tcPr>
            <w:tcW w:w="800" w:type="dxa"/>
            <w:vAlign w:val="bottom"/>
          </w:tcPr>
          <w:p w14:paraId="057CA4E3" w14:textId="77777777" w:rsidR="00D1587D" w:rsidRDefault="00410D07">
            <w:pPr>
              <w:ind w:right="28"/>
              <w:jc w:val="center"/>
              <w:rPr>
                <w:sz w:val="20"/>
                <w:szCs w:val="20"/>
              </w:rPr>
            </w:pPr>
            <w:r>
              <w:rPr>
                <w:rFonts w:ascii="Arial" w:eastAsia="Arial" w:hAnsi="Arial" w:cs="Arial"/>
                <w:b/>
                <w:bCs/>
                <w:w w:val="90"/>
                <w:sz w:val="14"/>
                <w:szCs w:val="14"/>
              </w:rPr>
              <w:t>Stores at</w:t>
            </w:r>
          </w:p>
        </w:tc>
        <w:tc>
          <w:tcPr>
            <w:tcW w:w="1180" w:type="dxa"/>
            <w:vAlign w:val="bottom"/>
          </w:tcPr>
          <w:p w14:paraId="19CE4A4B" w14:textId="77777777" w:rsidR="00D1587D" w:rsidRDefault="00D1587D">
            <w:pPr>
              <w:rPr>
                <w:sz w:val="14"/>
                <w:szCs w:val="14"/>
              </w:rPr>
            </w:pPr>
          </w:p>
        </w:tc>
        <w:tc>
          <w:tcPr>
            <w:tcW w:w="800" w:type="dxa"/>
            <w:vAlign w:val="bottom"/>
          </w:tcPr>
          <w:p w14:paraId="1A04F112" w14:textId="77777777" w:rsidR="00D1587D" w:rsidRDefault="00410D07">
            <w:pPr>
              <w:jc w:val="center"/>
              <w:rPr>
                <w:sz w:val="20"/>
                <w:szCs w:val="20"/>
              </w:rPr>
            </w:pPr>
            <w:r>
              <w:rPr>
                <w:rFonts w:ascii="Arial" w:eastAsia="Arial" w:hAnsi="Arial" w:cs="Arial"/>
                <w:b/>
                <w:bCs/>
                <w:w w:val="90"/>
                <w:sz w:val="14"/>
                <w:szCs w:val="14"/>
              </w:rPr>
              <w:t>Stores at</w:t>
            </w:r>
          </w:p>
        </w:tc>
        <w:tc>
          <w:tcPr>
            <w:tcW w:w="0" w:type="dxa"/>
            <w:vAlign w:val="bottom"/>
          </w:tcPr>
          <w:p w14:paraId="4AA10080" w14:textId="77777777" w:rsidR="00D1587D" w:rsidRDefault="00D1587D">
            <w:pPr>
              <w:rPr>
                <w:sz w:val="1"/>
                <w:szCs w:val="1"/>
              </w:rPr>
            </w:pPr>
          </w:p>
        </w:tc>
      </w:tr>
      <w:tr w:rsidR="00D1587D" w14:paraId="36A91F70" w14:textId="77777777">
        <w:trPr>
          <w:trHeight w:val="149"/>
        </w:trPr>
        <w:tc>
          <w:tcPr>
            <w:tcW w:w="800" w:type="dxa"/>
            <w:vAlign w:val="bottom"/>
          </w:tcPr>
          <w:p w14:paraId="2F1BC356" w14:textId="77777777" w:rsidR="00D1587D" w:rsidRDefault="00410D07">
            <w:pPr>
              <w:spacing w:line="149" w:lineRule="exact"/>
              <w:ind w:right="8"/>
              <w:jc w:val="center"/>
              <w:rPr>
                <w:sz w:val="20"/>
                <w:szCs w:val="20"/>
              </w:rPr>
            </w:pPr>
            <w:r>
              <w:rPr>
                <w:rFonts w:ascii="Arial" w:eastAsia="Arial" w:hAnsi="Arial" w:cs="Arial"/>
                <w:b/>
                <w:bCs/>
                <w:w w:val="95"/>
                <w:sz w:val="14"/>
                <w:szCs w:val="14"/>
              </w:rPr>
              <w:t>February 2,</w:t>
            </w:r>
          </w:p>
        </w:tc>
        <w:tc>
          <w:tcPr>
            <w:tcW w:w="1180" w:type="dxa"/>
            <w:vMerge w:val="restart"/>
            <w:vAlign w:val="bottom"/>
          </w:tcPr>
          <w:p w14:paraId="57217F2D" w14:textId="77777777" w:rsidR="00D1587D" w:rsidRDefault="00410D07">
            <w:pPr>
              <w:ind w:left="80"/>
              <w:rPr>
                <w:sz w:val="20"/>
                <w:szCs w:val="20"/>
              </w:rPr>
            </w:pPr>
            <w:r>
              <w:rPr>
                <w:rFonts w:ascii="Arial" w:eastAsia="Arial" w:hAnsi="Arial" w:cs="Arial"/>
                <w:b/>
                <w:bCs/>
                <w:sz w:val="14"/>
                <w:szCs w:val="14"/>
              </w:rPr>
              <w:t>Opened  Closed</w:t>
            </w:r>
          </w:p>
        </w:tc>
        <w:tc>
          <w:tcPr>
            <w:tcW w:w="800" w:type="dxa"/>
            <w:vAlign w:val="bottom"/>
          </w:tcPr>
          <w:p w14:paraId="3B18BF62" w14:textId="77777777" w:rsidR="00D1587D" w:rsidRDefault="00410D07">
            <w:pPr>
              <w:spacing w:line="149" w:lineRule="exact"/>
              <w:jc w:val="center"/>
              <w:rPr>
                <w:sz w:val="20"/>
                <w:szCs w:val="20"/>
              </w:rPr>
            </w:pPr>
            <w:r>
              <w:rPr>
                <w:rFonts w:ascii="Arial" w:eastAsia="Arial" w:hAnsi="Arial" w:cs="Arial"/>
                <w:b/>
                <w:bCs/>
                <w:w w:val="97"/>
                <w:sz w:val="14"/>
                <w:szCs w:val="14"/>
              </w:rPr>
              <w:t>February 1,</w:t>
            </w:r>
          </w:p>
        </w:tc>
        <w:tc>
          <w:tcPr>
            <w:tcW w:w="0" w:type="dxa"/>
            <w:vAlign w:val="bottom"/>
          </w:tcPr>
          <w:p w14:paraId="3F72EADE" w14:textId="77777777" w:rsidR="00D1587D" w:rsidRDefault="00D1587D">
            <w:pPr>
              <w:rPr>
                <w:sz w:val="1"/>
                <w:szCs w:val="1"/>
              </w:rPr>
            </w:pPr>
          </w:p>
        </w:tc>
      </w:tr>
      <w:tr w:rsidR="00D1587D" w14:paraId="08292C1E" w14:textId="77777777">
        <w:trPr>
          <w:trHeight w:val="186"/>
        </w:trPr>
        <w:tc>
          <w:tcPr>
            <w:tcW w:w="800" w:type="dxa"/>
            <w:vAlign w:val="bottom"/>
          </w:tcPr>
          <w:p w14:paraId="1127EEE5" w14:textId="77777777" w:rsidR="00D1587D" w:rsidRDefault="00410D07">
            <w:pPr>
              <w:ind w:right="8"/>
              <w:jc w:val="center"/>
              <w:rPr>
                <w:sz w:val="20"/>
                <w:szCs w:val="20"/>
              </w:rPr>
            </w:pPr>
            <w:r>
              <w:rPr>
                <w:rFonts w:ascii="Arial" w:eastAsia="Arial" w:hAnsi="Arial" w:cs="Arial"/>
                <w:b/>
                <w:bCs/>
                <w:w w:val="89"/>
                <w:sz w:val="14"/>
                <w:szCs w:val="14"/>
              </w:rPr>
              <w:t>2019</w:t>
            </w:r>
          </w:p>
        </w:tc>
        <w:tc>
          <w:tcPr>
            <w:tcW w:w="1180" w:type="dxa"/>
            <w:vMerge/>
            <w:vAlign w:val="bottom"/>
          </w:tcPr>
          <w:p w14:paraId="44048D8D" w14:textId="77777777" w:rsidR="00D1587D" w:rsidRDefault="00D1587D">
            <w:pPr>
              <w:rPr>
                <w:sz w:val="16"/>
                <w:szCs w:val="16"/>
              </w:rPr>
            </w:pPr>
          </w:p>
        </w:tc>
        <w:tc>
          <w:tcPr>
            <w:tcW w:w="800" w:type="dxa"/>
            <w:vAlign w:val="bottom"/>
          </w:tcPr>
          <w:p w14:paraId="7DB72333" w14:textId="77777777" w:rsidR="00D1587D" w:rsidRDefault="00410D07">
            <w:pPr>
              <w:ind w:left="28"/>
              <w:jc w:val="center"/>
              <w:rPr>
                <w:sz w:val="20"/>
                <w:szCs w:val="20"/>
              </w:rPr>
            </w:pPr>
            <w:r>
              <w:rPr>
                <w:rFonts w:ascii="Arial" w:eastAsia="Arial" w:hAnsi="Arial" w:cs="Arial"/>
                <w:b/>
                <w:bCs/>
                <w:w w:val="96"/>
                <w:sz w:val="14"/>
                <w:szCs w:val="14"/>
              </w:rPr>
              <w:t>2020</w:t>
            </w:r>
          </w:p>
        </w:tc>
        <w:tc>
          <w:tcPr>
            <w:tcW w:w="0" w:type="dxa"/>
            <w:vAlign w:val="bottom"/>
          </w:tcPr>
          <w:p w14:paraId="75CE5894" w14:textId="77777777" w:rsidR="00D1587D" w:rsidRDefault="00D1587D">
            <w:pPr>
              <w:rPr>
                <w:sz w:val="1"/>
                <w:szCs w:val="1"/>
              </w:rPr>
            </w:pPr>
          </w:p>
        </w:tc>
      </w:tr>
    </w:tbl>
    <w:p w14:paraId="2E8E223D" w14:textId="77777777" w:rsidR="00D1587D" w:rsidRDefault="00D1587D">
      <w:pPr>
        <w:spacing w:line="11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40"/>
        <w:gridCol w:w="140"/>
        <w:gridCol w:w="480"/>
        <w:gridCol w:w="140"/>
        <w:gridCol w:w="420"/>
        <w:gridCol w:w="120"/>
        <w:gridCol w:w="780"/>
        <w:gridCol w:w="20"/>
      </w:tblGrid>
      <w:tr w:rsidR="00D1587D" w14:paraId="50C04BC6" w14:textId="77777777">
        <w:trPr>
          <w:trHeight w:val="230"/>
        </w:trPr>
        <w:tc>
          <w:tcPr>
            <w:tcW w:w="740" w:type="dxa"/>
            <w:vAlign w:val="bottom"/>
          </w:tcPr>
          <w:p w14:paraId="1DC43F80" w14:textId="77777777" w:rsidR="00D1587D" w:rsidRDefault="00410D07">
            <w:pPr>
              <w:jc w:val="center"/>
              <w:rPr>
                <w:sz w:val="20"/>
                <w:szCs w:val="20"/>
              </w:rPr>
            </w:pPr>
            <w:r>
              <w:rPr>
                <w:rFonts w:ascii="Arial" w:eastAsia="Arial" w:hAnsi="Arial" w:cs="Arial"/>
                <w:w w:val="93"/>
                <w:sz w:val="18"/>
                <w:szCs w:val="18"/>
              </w:rPr>
              <w:t>383</w:t>
            </w:r>
          </w:p>
        </w:tc>
        <w:tc>
          <w:tcPr>
            <w:tcW w:w="140" w:type="dxa"/>
            <w:vAlign w:val="bottom"/>
          </w:tcPr>
          <w:p w14:paraId="0CC4D3F7" w14:textId="77777777" w:rsidR="00D1587D" w:rsidRDefault="00D1587D">
            <w:pPr>
              <w:rPr>
                <w:sz w:val="20"/>
                <w:szCs w:val="20"/>
              </w:rPr>
            </w:pPr>
          </w:p>
        </w:tc>
        <w:tc>
          <w:tcPr>
            <w:tcW w:w="480" w:type="dxa"/>
            <w:vAlign w:val="bottom"/>
          </w:tcPr>
          <w:p w14:paraId="760462A0" w14:textId="77777777" w:rsidR="00D1587D" w:rsidRDefault="00410D07">
            <w:pPr>
              <w:jc w:val="center"/>
              <w:rPr>
                <w:sz w:val="20"/>
                <w:szCs w:val="20"/>
              </w:rPr>
            </w:pPr>
            <w:r>
              <w:rPr>
                <w:rFonts w:ascii="Arial" w:eastAsia="Arial" w:hAnsi="Arial" w:cs="Arial"/>
                <w:w w:val="89"/>
                <w:sz w:val="18"/>
                <w:szCs w:val="18"/>
              </w:rPr>
              <w:t>24</w:t>
            </w:r>
          </w:p>
        </w:tc>
        <w:tc>
          <w:tcPr>
            <w:tcW w:w="140" w:type="dxa"/>
            <w:vAlign w:val="bottom"/>
          </w:tcPr>
          <w:p w14:paraId="2148814C" w14:textId="77777777" w:rsidR="00D1587D" w:rsidRDefault="00D1587D">
            <w:pPr>
              <w:rPr>
                <w:sz w:val="20"/>
                <w:szCs w:val="20"/>
              </w:rPr>
            </w:pPr>
          </w:p>
        </w:tc>
        <w:tc>
          <w:tcPr>
            <w:tcW w:w="420" w:type="dxa"/>
            <w:vAlign w:val="bottom"/>
          </w:tcPr>
          <w:p w14:paraId="75950D1C" w14:textId="77777777" w:rsidR="00D1587D" w:rsidRDefault="00410D07">
            <w:pPr>
              <w:jc w:val="right"/>
              <w:rPr>
                <w:sz w:val="20"/>
                <w:szCs w:val="20"/>
              </w:rPr>
            </w:pPr>
            <w:r>
              <w:rPr>
                <w:rFonts w:ascii="Arial" w:eastAsia="Arial" w:hAnsi="Arial" w:cs="Arial"/>
                <w:sz w:val="18"/>
                <w:szCs w:val="18"/>
              </w:rPr>
              <w:t>(47)</w:t>
            </w:r>
          </w:p>
        </w:tc>
        <w:tc>
          <w:tcPr>
            <w:tcW w:w="120" w:type="dxa"/>
            <w:vAlign w:val="bottom"/>
          </w:tcPr>
          <w:p w14:paraId="7224D677" w14:textId="77777777" w:rsidR="00D1587D" w:rsidRDefault="00D1587D">
            <w:pPr>
              <w:rPr>
                <w:sz w:val="20"/>
                <w:szCs w:val="20"/>
              </w:rPr>
            </w:pPr>
          </w:p>
        </w:tc>
        <w:tc>
          <w:tcPr>
            <w:tcW w:w="780" w:type="dxa"/>
            <w:vAlign w:val="bottom"/>
          </w:tcPr>
          <w:p w14:paraId="0A4497A2" w14:textId="77777777" w:rsidR="00D1587D" w:rsidRDefault="00410D07">
            <w:pPr>
              <w:ind w:left="240"/>
              <w:rPr>
                <w:sz w:val="20"/>
                <w:szCs w:val="20"/>
              </w:rPr>
            </w:pPr>
            <w:r>
              <w:rPr>
                <w:rFonts w:ascii="Arial" w:eastAsia="Arial" w:hAnsi="Arial" w:cs="Arial"/>
                <w:sz w:val="18"/>
                <w:szCs w:val="18"/>
              </w:rPr>
              <w:t>360</w:t>
            </w:r>
          </w:p>
        </w:tc>
        <w:tc>
          <w:tcPr>
            <w:tcW w:w="0" w:type="dxa"/>
            <w:vAlign w:val="bottom"/>
          </w:tcPr>
          <w:p w14:paraId="0479D3D5" w14:textId="77777777" w:rsidR="00D1587D" w:rsidRDefault="00D1587D">
            <w:pPr>
              <w:rPr>
                <w:sz w:val="1"/>
                <w:szCs w:val="1"/>
              </w:rPr>
            </w:pPr>
          </w:p>
        </w:tc>
      </w:tr>
      <w:tr w:rsidR="00D1587D" w14:paraId="4B4E0597" w14:textId="77777777">
        <w:trPr>
          <w:trHeight w:val="297"/>
        </w:trPr>
        <w:tc>
          <w:tcPr>
            <w:tcW w:w="740" w:type="dxa"/>
            <w:vAlign w:val="bottom"/>
          </w:tcPr>
          <w:p w14:paraId="7C27CA03" w14:textId="77777777" w:rsidR="00D1587D" w:rsidRDefault="00410D07">
            <w:pPr>
              <w:ind w:right="159"/>
              <w:jc w:val="right"/>
              <w:rPr>
                <w:sz w:val="20"/>
                <w:szCs w:val="20"/>
              </w:rPr>
            </w:pPr>
            <w:r>
              <w:rPr>
                <w:rFonts w:ascii="Arial" w:eastAsia="Arial" w:hAnsi="Arial" w:cs="Arial"/>
                <w:sz w:val="18"/>
                <w:szCs w:val="18"/>
              </w:rPr>
              <w:t>56</w:t>
            </w:r>
          </w:p>
        </w:tc>
        <w:tc>
          <w:tcPr>
            <w:tcW w:w="140" w:type="dxa"/>
            <w:vAlign w:val="bottom"/>
          </w:tcPr>
          <w:p w14:paraId="1D7DC230" w14:textId="77777777" w:rsidR="00D1587D" w:rsidRDefault="00D1587D">
            <w:pPr>
              <w:rPr>
                <w:sz w:val="24"/>
                <w:szCs w:val="24"/>
              </w:rPr>
            </w:pPr>
          </w:p>
        </w:tc>
        <w:tc>
          <w:tcPr>
            <w:tcW w:w="480" w:type="dxa"/>
            <w:vAlign w:val="bottom"/>
          </w:tcPr>
          <w:p w14:paraId="7C8F70E5" w14:textId="77777777" w:rsidR="00D1587D" w:rsidRDefault="00410D07">
            <w:pPr>
              <w:jc w:val="center"/>
              <w:rPr>
                <w:sz w:val="20"/>
                <w:szCs w:val="20"/>
              </w:rPr>
            </w:pPr>
            <w:r>
              <w:rPr>
                <w:rFonts w:ascii="Arial" w:eastAsia="Arial" w:hAnsi="Arial" w:cs="Arial"/>
                <w:w w:val="89"/>
                <w:sz w:val="18"/>
                <w:szCs w:val="18"/>
              </w:rPr>
              <w:t>28</w:t>
            </w:r>
          </w:p>
        </w:tc>
        <w:tc>
          <w:tcPr>
            <w:tcW w:w="140" w:type="dxa"/>
            <w:vAlign w:val="bottom"/>
          </w:tcPr>
          <w:p w14:paraId="25EAE9A5" w14:textId="77777777" w:rsidR="00D1587D" w:rsidRDefault="00D1587D">
            <w:pPr>
              <w:rPr>
                <w:sz w:val="24"/>
                <w:szCs w:val="24"/>
              </w:rPr>
            </w:pPr>
          </w:p>
        </w:tc>
        <w:tc>
          <w:tcPr>
            <w:tcW w:w="540" w:type="dxa"/>
            <w:gridSpan w:val="2"/>
            <w:vAlign w:val="bottom"/>
          </w:tcPr>
          <w:p w14:paraId="40121A82" w14:textId="77777777" w:rsidR="00D1587D" w:rsidRDefault="00410D07">
            <w:pPr>
              <w:ind w:right="220"/>
              <w:jc w:val="right"/>
              <w:rPr>
                <w:sz w:val="20"/>
                <w:szCs w:val="20"/>
              </w:rPr>
            </w:pPr>
            <w:r>
              <w:rPr>
                <w:rFonts w:ascii="Arial" w:eastAsia="Arial" w:hAnsi="Arial" w:cs="Arial"/>
                <w:sz w:val="18"/>
                <w:szCs w:val="18"/>
              </w:rPr>
              <w:t>—</w:t>
            </w:r>
          </w:p>
        </w:tc>
        <w:tc>
          <w:tcPr>
            <w:tcW w:w="780" w:type="dxa"/>
            <w:vAlign w:val="bottom"/>
          </w:tcPr>
          <w:p w14:paraId="118FD694" w14:textId="77777777" w:rsidR="00D1587D" w:rsidRDefault="00410D07">
            <w:pPr>
              <w:ind w:right="199"/>
              <w:jc w:val="right"/>
              <w:rPr>
                <w:sz w:val="20"/>
                <w:szCs w:val="20"/>
              </w:rPr>
            </w:pPr>
            <w:r>
              <w:rPr>
                <w:rFonts w:ascii="Arial" w:eastAsia="Arial" w:hAnsi="Arial" w:cs="Arial"/>
                <w:sz w:val="18"/>
                <w:szCs w:val="18"/>
              </w:rPr>
              <w:t>84</w:t>
            </w:r>
          </w:p>
        </w:tc>
        <w:tc>
          <w:tcPr>
            <w:tcW w:w="0" w:type="dxa"/>
            <w:vAlign w:val="bottom"/>
          </w:tcPr>
          <w:p w14:paraId="5627AE13" w14:textId="77777777" w:rsidR="00D1587D" w:rsidRDefault="00D1587D">
            <w:pPr>
              <w:rPr>
                <w:sz w:val="1"/>
                <w:szCs w:val="1"/>
              </w:rPr>
            </w:pPr>
          </w:p>
        </w:tc>
      </w:tr>
      <w:tr w:rsidR="00D1587D" w14:paraId="7F924C7B" w14:textId="77777777">
        <w:trPr>
          <w:trHeight w:val="68"/>
        </w:trPr>
        <w:tc>
          <w:tcPr>
            <w:tcW w:w="740" w:type="dxa"/>
            <w:tcBorders>
              <w:bottom w:val="single" w:sz="8" w:space="0" w:color="auto"/>
            </w:tcBorders>
            <w:vAlign w:val="bottom"/>
          </w:tcPr>
          <w:p w14:paraId="0B3940E9" w14:textId="77777777" w:rsidR="00D1587D" w:rsidRDefault="00D1587D">
            <w:pPr>
              <w:rPr>
                <w:sz w:val="5"/>
                <w:szCs w:val="5"/>
              </w:rPr>
            </w:pPr>
          </w:p>
        </w:tc>
        <w:tc>
          <w:tcPr>
            <w:tcW w:w="140" w:type="dxa"/>
            <w:vAlign w:val="bottom"/>
          </w:tcPr>
          <w:p w14:paraId="2E7BCFF6" w14:textId="77777777" w:rsidR="00D1587D" w:rsidRDefault="00D1587D">
            <w:pPr>
              <w:rPr>
                <w:sz w:val="5"/>
                <w:szCs w:val="5"/>
              </w:rPr>
            </w:pPr>
          </w:p>
        </w:tc>
        <w:tc>
          <w:tcPr>
            <w:tcW w:w="480" w:type="dxa"/>
            <w:tcBorders>
              <w:bottom w:val="single" w:sz="8" w:space="0" w:color="auto"/>
            </w:tcBorders>
            <w:vAlign w:val="bottom"/>
          </w:tcPr>
          <w:p w14:paraId="5EE5D560" w14:textId="77777777" w:rsidR="00D1587D" w:rsidRDefault="00D1587D">
            <w:pPr>
              <w:rPr>
                <w:sz w:val="5"/>
                <w:szCs w:val="5"/>
              </w:rPr>
            </w:pPr>
          </w:p>
        </w:tc>
        <w:tc>
          <w:tcPr>
            <w:tcW w:w="140" w:type="dxa"/>
            <w:vAlign w:val="bottom"/>
          </w:tcPr>
          <w:p w14:paraId="3237A8E1" w14:textId="77777777" w:rsidR="00D1587D" w:rsidRDefault="00D1587D">
            <w:pPr>
              <w:rPr>
                <w:sz w:val="5"/>
                <w:szCs w:val="5"/>
              </w:rPr>
            </w:pPr>
          </w:p>
        </w:tc>
        <w:tc>
          <w:tcPr>
            <w:tcW w:w="420" w:type="dxa"/>
            <w:tcBorders>
              <w:bottom w:val="single" w:sz="8" w:space="0" w:color="auto"/>
            </w:tcBorders>
            <w:vAlign w:val="bottom"/>
          </w:tcPr>
          <w:p w14:paraId="1C5693E3" w14:textId="77777777" w:rsidR="00D1587D" w:rsidRDefault="00D1587D">
            <w:pPr>
              <w:rPr>
                <w:sz w:val="5"/>
                <w:szCs w:val="5"/>
              </w:rPr>
            </w:pPr>
          </w:p>
        </w:tc>
        <w:tc>
          <w:tcPr>
            <w:tcW w:w="120" w:type="dxa"/>
            <w:vAlign w:val="bottom"/>
          </w:tcPr>
          <w:p w14:paraId="40741E44" w14:textId="77777777" w:rsidR="00D1587D" w:rsidRDefault="00D1587D">
            <w:pPr>
              <w:rPr>
                <w:sz w:val="5"/>
                <w:szCs w:val="5"/>
              </w:rPr>
            </w:pPr>
          </w:p>
        </w:tc>
        <w:tc>
          <w:tcPr>
            <w:tcW w:w="780" w:type="dxa"/>
            <w:tcBorders>
              <w:bottom w:val="single" w:sz="8" w:space="0" w:color="auto"/>
            </w:tcBorders>
            <w:vAlign w:val="bottom"/>
          </w:tcPr>
          <w:p w14:paraId="41B9F663" w14:textId="77777777" w:rsidR="00D1587D" w:rsidRDefault="00D1587D">
            <w:pPr>
              <w:rPr>
                <w:sz w:val="5"/>
                <w:szCs w:val="5"/>
              </w:rPr>
            </w:pPr>
          </w:p>
        </w:tc>
        <w:tc>
          <w:tcPr>
            <w:tcW w:w="0" w:type="dxa"/>
            <w:vAlign w:val="bottom"/>
          </w:tcPr>
          <w:p w14:paraId="162E0C15" w14:textId="77777777" w:rsidR="00D1587D" w:rsidRDefault="00D1587D">
            <w:pPr>
              <w:rPr>
                <w:sz w:val="1"/>
                <w:szCs w:val="1"/>
              </w:rPr>
            </w:pPr>
          </w:p>
        </w:tc>
      </w:tr>
      <w:tr w:rsidR="00D1587D" w14:paraId="42405ED9" w14:textId="77777777">
        <w:trPr>
          <w:trHeight w:val="277"/>
        </w:trPr>
        <w:tc>
          <w:tcPr>
            <w:tcW w:w="740" w:type="dxa"/>
            <w:vAlign w:val="bottom"/>
          </w:tcPr>
          <w:p w14:paraId="2A8CF622" w14:textId="77777777" w:rsidR="00D1587D" w:rsidRDefault="00410D07">
            <w:pPr>
              <w:jc w:val="center"/>
              <w:rPr>
                <w:sz w:val="20"/>
                <w:szCs w:val="20"/>
              </w:rPr>
            </w:pPr>
            <w:r>
              <w:rPr>
                <w:rFonts w:ascii="Arial" w:eastAsia="Arial" w:hAnsi="Arial" w:cs="Arial"/>
                <w:b/>
                <w:bCs/>
                <w:w w:val="93"/>
                <w:sz w:val="18"/>
                <w:szCs w:val="18"/>
              </w:rPr>
              <w:t>439</w:t>
            </w:r>
          </w:p>
        </w:tc>
        <w:tc>
          <w:tcPr>
            <w:tcW w:w="140" w:type="dxa"/>
            <w:vAlign w:val="bottom"/>
          </w:tcPr>
          <w:p w14:paraId="7CCB3C1B" w14:textId="77777777" w:rsidR="00D1587D" w:rsidRDefault="00D1587D">
            <w:pPr>
              <w:rPr>
                <w:sz w:val="24"/>
                <w:szCs w:val="24"/>
              </w:rPr>
            </w:pPr>
          </w:p>
        </w:tc>
        <w:tc>
          <w:tcPr>
            <w:tcW w:w="480" w:type="dxa"/>
            <w:vAlign w:val="bottom"/>
          </w:tcPr>
          <w:p w14:paraId="1BCDDC22" w14:textId="77777777" w:rsidR="00D1587D" w:rsidRDefault="00410D07">
            <w:pPr>
              <w:jc w:val="center"/>
              <w:rPr>
                <w:sz w:val="20"/>
                <w:szCs w:val="20"/>
              </w:rPr>
            </w:pPr>
            <w:r>
              <w:rPr>
                <w:rFonts w:ascii="Arial" w:eastAsia="Arial" w:hAnsi="Arial" w:cs="Arial"/>
                <w:b/>
                <w:bCs/>
                <w:w w:val="89"/>
                <w:sz w:val="18"/>
                <w:szCs w:val="18"/>
              </w:rPr>
              <w:t>52</w:t>
            </w:r>
          </w:p>
        </w:tc>
        <w:tc>
          <w:tcPr>
            <w:tcW w:w="140" w:type="dxa"/>
            <w:vAlign w:val="bottom"/>
          </w:tcPr>
          <w:p w14:paraId="4382D5CC" w14:textId="77777777" w:rsidR="00D1587D" w:rsidRDefault="00D1587D">
            <w:pPr>
              <w:rPr>
                <w:sz w:val="24"/>
                <w:szCs w:val="24"/>
              </w:rPr>
            </w:pPr>
          </w:p>
        </w:tc>
        <w:tc>
          <w:tcPr>
            <w:tcW w:w="420" w:type="dxa"/>
            <w:vAlign w:val="bottom"/>
          </w:tcPr>
          <w:p w14:paraId="0D50DDF6" w14:textId="77777777" w:rsidR="00D1587D" w:rsidRDefault="00410D07">
            <w:pPr>
              <w:jc w:val="right"/>
              <w:rPr>
                <w:sz w:val="20"/>
                <w:szCs w:val="20"/>
              </w:rPr>
            </w:pPr>
            <w:r>
              <w:rPr>
                <w:rFonts w:ascii="Arial" w:eastAsia="Arial" w:hAnsi="Arial" w:cs="Arial"/>
                <w:b/>
                <w:bCs/>
                <w:sz w:val="18"/>
                <w:szCs w:val="18"/>
              </w:rPr>
              <w:t>(47)</w:t>
            </w:r>
          </w:p>
        </w:tc>
        <w:tc>
          <w:tcPr>
            <w:tcW w:w="120" w:type="dxa"/>
            <w:vAlign w:val="bottom"/>
          </w:tcPr>
          <w:p w14:paraId="725FDA97" w14:textId="77777777" w:rsidR="00D1587D" w:rsidRDefault="00D1587D">
            <w:pPr>
              <w:rPr>
                <w:sz w:val="24"/>
                <w:szCs w:val="24"/>
              </w:rPr>
            </w:pPr>
          </w:p>
        </w:tc>
        <w:tc>
          <w:tcPr>
            <w:tcW w:w="780" w:type="dxa"/>
            <w:vAlign w:val="bottom"/>
          </w:tcPr>
          <w:p w14:paraId="6251C3D8" w14:textId="77777777" w:rsidR="00D1587D" w:rsidRDefault="00410D07">
            <w:pPr>
              <w:ind w:left="240"/>
              <w:rPr>
                <w:sz w:val="20"/>
                <w:szCs w:val="20"/>
              </w:rPr>
            </w:pPr>
            <w:r>
              <w:rPr>
                <w:rFonts w:ascii="Arial" w:eastAsia="Arial" w:hAnsi="Arial" w:cs="Arial"/>
                <w:b/>
                <w:bCs/>
                <w:sz w:val="18"/>
                <w:szCs w:val="18"/>
              </w:rPr>
              <w:t>444</w:t>
            </w:r>
          </w:p>
        </w:tc>
        <w:tc>
          <w:tcPr>
            <w:tcW w:w="0" w:type="dxa"/>
            <w:vAlign w:val="bottom"/>
          </w:tcPr>
          <w:p w14:paraId="75D3325F" w14:textId="77777777" w:rsidR="00D1587D" w:rsidRDefault="00D1587D">
            <w:pPr>
              <w:rPr>
                <w:sz w:val="1"/>
                <w:szCs w:val="1"/>
              </w:rPr>
            </w:pPr>
          </w:p>
        </w:tc>
      </w:tr>
      <w:tr w:rsidR="00D1587D" w14:paraId="723D11B5" w14:textId="77777777">
        <w:trPr>
          <w:trHeight w:val="54"/>
        </w:trPr>
        <w:tc>
          <w:tcPr>
            <w:tcW w:w="740" w:type="dxa"/>
            <w:tcBorders>
              <w:bottom w:val="single" w:sz="8" w:space="0" w:color="auto"/>
            </w:tcBorders>
            <w:vAlign w:val="bottom"/>
          </w:tcPr>
          <w:p w14:paraId="3A8379E2" w14:textId="77777777" w:rsidR="00D1587D" w:rsidRDefault="00D1587D">
            <w:pPr>
              <w:rPr>
                <w:sz w:val="4"/>
                <w:szCs w:val="4"/>
              </w:rPr>
            </w:pPr>
          </w:p>
        </w:tc>
        <w:tc>
          <w:tcPr>
            <w:tcW w:w="140" w:type="dxa"/>
            <w:vAlign w:val="bottom"/>
          </w:tcPr>
          <w:p w14:paraId="60E79EC7" w14:textId="77777777" w:rsidR="00D1587D" w:rsidRDefault="00D1587D">
            <w:pPr>
              <w:rPr>
                <w:sz w:val="4"/>
                <w:szCs w:val="4"/>
              </w:rPr>
            </w:pPr>
          </w:p>
        </w:tc>
        <w:tc>
          <w:tcPr>
            <w:tcW w:w="480" w:type="dxa"/>
            <w:tcBorders>
              <w:bottom w:val="single" w:sz="8" w:space="0" w:color="auto"/>
            </w:tcBorders>
            <w:vAlign w:val="bottom"/>
          </w:tcPr>
          <w:p w14:paraId="30C323AB" w14:textId="77777777" w:rsidR="00D1587D" w:rsidRDefault="00D1587D">
            <w:pPr>
              <w:rPr>
                <w:sz w:val="4"/>
                <w:szCs w:val="4"/>
              </w:rPr>
            </w:pPr>
          </w:p>
        </w:tc>
        <w:tc>
          <w:tcPr>
            <w:tcW w:w="140" w:type="dxa"/>
            <w:vAlign w:val="bottom"/>
          </w:tcPr>
          <w:p w14:paraId="493C15C3" w14:textId="77777777" w:rsidR="00D1587D" w:rsidRDefault="00D1587D">
            <w:pPr>
              <w:rPr>
                <w:sz w:val="4"/>
                <w:szCs w:val="4"/>
              </w:rPr>
            </w:pPr>
          </w:p>
        </w:tc>
        <w:tc>
          <w:tcPr>
            <w:tcW w:w="420" w:type="dxa"/>
            <w:tcBorders>
              <w:bottom w:val="single" w:sz="8" w:space="0" w:color="auto"/>
            </w:tcBorders>
            <w:vAlign w:val="bottom"/>
          </w:tcPr>
          <w:p w14:paraId="211BADFD" w14:textId="77777777" w:rsidR="00D1587D" w:rsidRDefault="00D1587D">
            <w:pPr>
              <w:rPr>
                <w:sz w:val="4"/>
                <w:szCs w:val="4"/>
              </w:rPr>
            </w:pPr>
          </w:p>
        </w:tc>
        <w:tc>
          <w:tcPr>
            <w:tcW w:w="120" w:type="dxa"/>
            <w:vAlign w:val="bottom"/>
          </w:tcPr>
          <w:p w14:paraId="3DEE75B6" w14:textId="77777777" w:rsidR="00D1587D" w:rsidRDefault="00D1587D">
            <w:pPr>
              <w:rPr>
                <w:sz w:val="4"/>
                <w:szCs w:val="4"/>
              </w:rPr>
            </w:pPr>
          </w:p>
        </w:tc>
        <w:tc>
          <w:tcPr>
            <w:tcW w:w="780" w:type="dxa"/>
            <w:tcBorders>
              <w:bottom w:val="single" w:sz="8" w:space="0" w:color="auto"/>
            </w:tcBorders>
            <w:vAlign w:val="bottom"/>
          </w:tcPr>
          <w:p w14:paraId="0026A6CE" w14:textId="77777777" w:rsidR="00D1587D" w:rsidRDefault="00D1587D">
            <w:pPr>
              <w:rPr>
                <w:sz w:val="4"/>
                <w:szCs w:val="4"/>
              </w:rPr>
            </w:pPr>
          </w:p>
        </w:tc>
        <w:tc>
          <w:tcPr>
            <w:tcW w:w="0" w:type="dxa"/>
            <w:vAlign w:val="bottom"/>
          </w:tcPr>
          <w:p w14:paraId="65D9DE96" w14:textId="77777777" w:rsidR="00D1587D" w:rsidRDefault="00D1587D">
            <w:pPr>
              <w:rPr>
                <w:sz w:val="1"/>
                <w:szCs w:val="1"/>
              </w:rPr>
            </w:pPr>
          </w:p>
        </w:tc>
      </w:tr>
      <w:tr w:rsidR="00D1587D" w14:paraId="289AEF8A" w14:textId="77777777">
        <w:trPr>
          <w:trHeight w:val="20"/>
        </w:trPr>
        <w:tc>
          <w:tcPr>
            <w:tcW w:w="740" w:type="dxa"/>
            <w:tcBorders>
              <w:bottom w:val="single" w:sz="8" w:space="0" w:color="auto"/>
            </w:tcBorders>
            <w:vAlign w:val="bottom"/>
          </w:tcPr>
          <w:p w14:paraId="2BDD4697" w14:textId="77777777" w:rsidR="00D1587D" w:rsidRDefault="00D1587D">
            <w:pPr>
              <w:spacing w:line="20" w:lineRule="exact"/>
              <w:rPr>
                <w:sz w:val="1"/>
                <w:szCs w:val="1"/>
              </w:rPr>
            </w:pPr>
          </w:p>
        </w:tc>
        <w:tc>
          <w:tcPr>
            <w:tcW w:w="140" w:type="dxa"/>
            <w:tcBorders>
              <w:bottom w:val="single" w:sz="8" w:space="0" w:color="CCEEFF"/>
            </w:tcBorders>
            <w:vAlign w:val="bottom"/>
          </w:tcPr>
          <w:p w14:paraId="62E9CFD1" w14:textId="77777777" w:rsidR="00D1587D" w:rsidRDefault="00D1587D">
            <w:pPr>
              <w:spacing w:line="20" w:lineRule="exact"/>
              <w:rPr>
                <w:sz w:val="1"/>
                <w:szCs w:val="1"/>
              </w:rPr>
            </w:pPr>
          </w:p>
        </w:tc>
        <w:tc>
          <w:tcPr>
            <w:tcW w:w="480" w:type="dxa"/>
            <w:tcBorders>
              <w:bottom w:val="single" w:sz="8" w:space="0" w:color="auto"/>
            </w:tcBorders>
            <w:vAlign w:val="bottom"/>
          </w:tcPr>
          <w:p w14:paraId="3ED67146" w14:textId="77777777" w:rsidR="00D1587D" w:rsidRDefault="00D1587D">
            <w:pPr>
              <w:spacing w:line="20" w:lineRule="exact"/>
              <w:rPr>
                <w:sz w:val="1"/>
                <w:szCs w:val="1"/>
              </w:rPr>
            </w:pPr>
          </w:p>
        </w:tc>
        <w:tc>
          <w:tcPr>
            <w:tcW w:w="140" w:type="dxa"/>
            <w:tcBorders>
              <w:bottom w:val="single" w:sz="8" w:space="0" w:color="CCEEFF"/>
            </w:tcBorders>
            <w:vAlign w:val="bottom"/>
          </w:tcPr>
          <w:p w14:paraId="43C456EE" w14:textId="77777777" w:rsidR="00D1587D" w:rsidRDefault="00D1587D">
            <w:pPr>
              <w:spacing w:line="20" w:lineRule="exact"/>
              <w:rPr>
                <w:sz w:val="1"/>
                <w:szCs w:val="1"/>
              </w:rPr>
            </w:pPr>
          </w:p>
        </w:tc>
        <w:tc>
          <w:tcPr>
            <w:tcW w:w="420" w:type="dxa"/>
            <w:tcBorders>
              <w:bottom w:val="single" w:sz="8" w:space="0" w:color="auto"/>
            </w:tcBorders>
            <w:vAlign w:val="bottom"/>
          </w:tcPr>
          <w:p w14:paraId="5E47D3C2" w14:textId="77777777" w:rsidR="00D1587D" w:rsidRDefault="00D1587D">
            <w:pPr>
              <w:spacing w:line="20" w:lineRule="exact"/>
              <w:rPr>
                <w:sz w:val="1"/>
                <w:szCs w:val="1"/>
              </w:rPr>
            </w:pPr>
          </w:p>
        </w:tc>
        <w:tc>
          <w:tcPr>
            <w:tcW w:w="120" w:type="dxa"/>
            <w:tcBorders>
              <w:bottom w:val="single" w:sz="8" w:space="0" w:color="CCEEFF"/>
            </w:tcBorders>
            <w:vAlign w:val="bottom"/>
          </w:tcPr>
          <w:p w14:paraId="04939784" w14:textId="77777777" w:rsidR="00D1587D" w:rsidRDefault="00D1587D">
            <w:pPr>
              <w:spacing w:line="20" w:lineRule="exact"/>
              <w:rPr>
                <w:sz w:val="1"/>
                <w:szCs w:val="1"/>
              </w:rPr>
            </w:pPr>
          </w:p>
        </w:tc>
        <w:tc>
          <w:tcPr>
            <w:tcW w:w="780" w:type="dxa"/>
            <w:tcBorders>
              <w:bottom w:val="single" w:sz="8" w:space="0" w:color="auto"/>
            </w:tcBorders>
            <w:vAlign w:val="bottom"/>
          </w:tcPr>
          <w:p w14:paraId="2D2854DB" w14:textId="77777777" w:rsidR="00D1587D" w:rsidRDefault="00D1587D">
            <w:pPr>
              <w:spacing w:line="20" w:lineRule="exact"/>
              <w:rPr>
                <w:sz w:val="1"/>
                <w:szCs w:val="1"/>
              </w:rPr>
            </w:pPr>
          </w:p>
        </w:tc>
        <w:tc>
          <w:tcPr>
            <w:tcW w:w="0" w:type="dxa"/>
            <w:vAlign w:val="bottom"/>
          </w:tcPr>
          <w:p w14:paraId="7F4C2E58" w14:textId="77777777" w:rsidR="00D1587D" w:rsidRDefault="00D1587D">
            <w:pPr>
              <w:spacing w:line="20" w:lineRule="exact"/>
              <w:rPr>
                <w:sz w:val="1"/>
                <w:szCs w:val="1"/>
              </w:rPr>
            </w:pPr>
          </w:p>
        </w:tc>
      </w:tr>
      <w:tr w:rsidR="00D1587D" w14:paraId="63131756" w14:textId="77777777">
        <w:trPr>
          <w:trHeight w:val="633"/>
        </w:trPr>
        <w:tc>
          <w:tcPr>
            <w:tcW w:w="880" w:type="dxa"/>
            <w:gridSpan w:val="2"/>
            <w:vAlign w:val="bottom"/>
          </w:tcPr>
          <w:p w14:paraId="5AE4477D" w14:textId="77777777" w:rsidR="00D1587D" w:rsidRDefault="00410D07">
            <w:pPr>
              <w:ind w:right="180"/>
              <w:jc w:val="center"/>
              <w:rPr>
                <w:sz w:val="20"/>
                <w:szCs w:val="20"/>
              </w:rPr>
            </w:pPr>
            <w:r>
              <w:rPr>
                <w:rFonts w:ascii="Arial" w:eastAsia="Arial" w:hAnsi="Arial" w:cs="Arial"/>
                <w:b/>
                <w:bCs/>
                <w:w w:val="90"/>
                <w:sz w:val="14"/>
                <w:szCs w:val="14"/>
              </w:rPr>
              <w:t>Stores at</w:t>
            </w:r>
          </w:p>
        </w:tc>
        <w:tc>
          <w:tcPr>
            <w:tcW w:w="480" w:type="dxa"/>
            <w:vAlign w:val="bottom"/>
          </w:tcPr>
          <w:p w14:paraId="029775C2" w14:textId="77777777" w:rsidR="00D1587D" w:rsidRDefault="00D1587D">
            <w:pPr>
              <w:rPr>
                <w:sz w:val="24"/>
                <w:szCs w:val="24"/>
              </w:rPr>
            </w:pPr>
          </w:p>
        </w:tc>
        <w:tc>
          <w:tcPr>
            <w:tcW w:w="140" w:type="dxa"/>
            <w:vAlign w:val="bottom"/>
          </w:tcPr>
          <w:p w14:paraId="078D43CF" w14:textId="77777777" w:rsidR="00D1587D" w:rsidRDefault="00D1587D">
            <w:pPr>
              <w:rPr>
                <w:sz w:val="24"/>
                <w:szCs w:val="24"/>
              </w:rPr>
            </w:pPr>
          </w:p>
        </w:tc>
        <w:tc>
          <w:tcPr>
            <w:tcW w:w="420" w:type="dxa"/>
            <w:vAlign w:val="bottom"/>
          </w:tcPr>
          <w:p w14:paraId="516F15BF" w14:textId="77777777" w:rsidR="00D1587D" w:rsidRDefault="00D1587D">
            <w:pPr>
              <w:rPr>
                <w:sz w:val="24"/>
                <w:szCs w:val="24"/>
              </w:rPr>
            </w:pPr>
          </w:p>
        </w:tc>
        <w:tc>
          <w:tcPr>
            <w:tcW w:w="120" w:type="dxa"/>
            <w:vAlign w:val="bottom"/>
          </w:tcPr>
          <w:p w14:paraId="2DA21E0A" w14:textId="77777777" w:rsidR="00D1587D" w:rsidRDefault="00D1587D">
            <w:pPr>
              <w:rPr>
                <w:sz w:val="24"/>
                <w:szCs w:val="24"/>
              </w:rPr>
            </w:pPr>
          </w:p>
        </w:tc>
        <w:tc>
          <w:tcPr>
            <w:tcW w:w="780" w:type="dxa"/>
            <w:vAlign w:val="bottom"/>
          </w:tcPr>
          <w:p w14:paraId="3F673223" w14:textId="77777777" w:rsidR="00D1587D" w:rsidRDefault="00410D07">
            <w:pPr>
              <w:jc w:val="center"/>
              <w:rPr>
                <w:sz w:val="20"/>
                <w:szCs w:val="20"/>
              </w:rPr>
            </w:pPr>
            <w:r>
              <w:rPr>
                <w:rFonts w:ascii="Arial" w:eastAsia="Arial" w:hAnsi="Arial" w:cs="Arial"/>
                <w:b/>
                <w:bCs/>
                <w:w w:val="90"/>
                <w:sz w:val="14"/>
                <w:szCs w:val="14"/>
              </w:rPr>
              <w:t>Stores at</w:t>
            </w:r>
          </w:p>
        </w:tc>
        <w:tc>
          <w:tcPr>
            <w:tcW w:w="0" w:type="dxa"/>
            <w:vAlign w:val="bottom"/>
          </w:tcPr>
          <w:p w14:paraId="74FB2DA5" w14:textId="77777777" w:rsidR="00D1587D" w:rsidRDefault="00D1587D">
            <w:pPr>
              <w:rPr>
                <w:sz w:val="1"/>
                <w:szCs w:val="1"/>
              </w:rPr>
            </w:pPr>
          </w:p>
        </w:tc>
      </w:tr>
      <w:tr w:rsidR="00D1587D" w14:paraId="01FFE2D3" w14:textId="77777777">
        <w:trPr>
          <w:trHeight w:val="148"/>
        </w:trPr>
        <w:tc>
          <w:tcPr>
            <w:tcW w:w="880" w:type="dxa"/>
            <w:gridSpan w:val="2"/>
            <w:vAlign w:val="bottom"/>
          </w:tcPr>
          <w:p w14:paraId="6E733CF2" w14:textId="77777777" w:rsidR="00D1587D" w:rsidRDefault="00410D07">
            <w:pPr>
              <w:spacing w:line="149" w:lineRule="exact"/>
              <w:ind w:right="160"/>
              <w:jc w:val="center"/>
              <w:rPr>
                <w:sz w:val="20"/>
                <w:szCs w:val="20"/>
              </w:rPr>
            </w:pPr>
            <w:r>
              <w:rPr>
                <w:rFonts w:ascii="Arial" w:eastAsia="Arial" w:hAnsi="Arial" w:cs="Arial"/>
                <w:b/>
                <w:bCs/>
                <w:w w:val="95"/>
                <w:sz w:val="14"/>
                <w:szCs w:val="14"/>
              </w:rPr>
              <w:t>February 3,</w:t>
            </w:r>
          </w:p>
        </w:tc>
        <w:tc>
          <w:tcPr>
            <w:tcW w:w="620" w:type="dxa"/>
            <w:gridSpan w:val="2"/>
            <w:vMerge w:val="restart"/>
            <w:vAlign w:val="bottom"/>
          </w:tcPr>
          <w:p w14:paraId="55F5EFAC" w14:textId="77777777" w:rsidR="00D1587D" w:rsidRDefault="00410D07">
            <w:pPr>
              <w:ind w:right="140"/>
              <w:jc w:val="center"/>
              <w:rPr>
                <w:sz w:val="20"/>
                <w:szCs w:val="20"/>
              </w:rPr>
            </w:pPr>
            <w:r>
              <w:rPr>
                <w:rFonts w:ascii="Arial" w:eastAsia="Arial" w:hAnsi="Arial" w:cs="Arial"/>
                <w:b/>
                <w:bCs/>
                <w:w w:val="91"/>
                <w:sz w:val="14"/>
                <w:szCs w:val="14"/>
              </w:rPr>
              <w:t>Opened</w:t>
            </w:r>
          </w:p>
        </w:tc>
        <w:tc>
          <w:tcPr>
            <w:tcW w:w="540" w:type="dxa"/>
            <w:gridSpan w:val="2"/>
            <w:vMerge w:val="restart"/>
            <w:vAlign w:val="bottom"/>
          </w:tcPr>
          <w:p w14:paraId="56F878B8" w14:textId="77777777" w:rsidR="00D1587D" w:rsidRDefault="00410D07">
            <w:pPr>
              <w:rPr>
                <w:sz w:val="20"/>
                <w:szCs w:val="20"/>
              </w:rPr>
            </w:pPr>
            <w:r>
              <w:rPr>
                <w:rFonts w:ascii="Arial" w:eastAsia="Arial" w:hAnsi="Arial" w:cs="Arial"/>
                <w:b/>
                <w:bCs/>
                <w:sz w:val="14"/>
                <w:szCs w:val="14"/>
              </w:rPr>
              <w:t>Closed</w:t>
            </w:r>
          </w:p>
        </w:tc>
        <w:tc>
          <w:tcPr>
            <w:tcW w:w="780" w:type="dxa"/>
            <w:vAlign w:val="bottom"/>
          </w:tcPr>
          <w:p w14:paraId="153BFF84" w14:textId="77777777" w:rsidR="00D1587D" w:rsidRDefault="00410D07">
            <w:pPr>
              <w:spacing w:line="149" w:lineRule="exact"/>
              <w:jc w:val="center"/>
              <w:rPr>
                <w:sz w:val="20"/>
                <w:szCs w:val="20"/>
              </w:rPr>
            </w:pPr>
            <w:r>
              <w:rPr>
                <w:rFonts w:ascii="Arial" w:eastAsia="Arial" w:hAnsi="Arial" w:cs="Arial"/>
                <w:b/>
                <w:bCs/>
                <w:w w:val="97"/>
                <w:sz w:val="14"/>
                <w:szCs w:val="14"/>
              </w:rPr>
              <w:t>February 2,</w:t>
            </w:r>
          </w:p>
        </w:tc>
        <w:tc>
          <w:tcPr>
            <w:tcW w:w="0" w:type="dxa"/>
            <w:vAlign w:val="bottom"/>
          </w:tcPr>
          <w:p w14:paraId="39C6282C" w14:textId="77777777" w:rsidR="00D1587D" w:rsidRDefault="00D1587D">
            <w:pPr>
              <w:rPr>
                <w:sz w:val="1"/>
                <w:szCs w:val="1"/>
              </w:rPr>
            </w:pPr>
          </w:p>
        </w:tc>
      </w:tr>
      <w:tr w:rsidR="00D1587D" w14:paraId="259DAFAE" w14:textId="77777777">
        <w:trPr>
          <w:trHeight w:val="186"/>
        </w:trPr>
        <w:tc>
          <w:tcPr>
            <w:tcW w:w="740" w:type="dxa"/>
            <w:vAlign w:val="bottom"/>
          </w:tcPr>
          <w:p w14:paraId="50AD6D07" w14:textId="77777777" w:rsidR="00D1587D" w:rsidRDefault="00410D07">
            <w:pPr>
              <w:jc w:val="center"/>
              <w:rPr>
                <w:sz w:val="20"/>
                <w:szCs w:val="20"/>
              </w:rPr>
            </w:pPr>
            <w:r>
              <w:rPr>
                <w:rFonts w:ascii="Arial" w:eastAsia="Arial" w:hAnsi="Arial" w:cs="Arial"/>
                <w:b/>
                <w:bCs/>
                <w:w w:val="89"/>
                <w:sz w:val="14"/>
                <w:szCs w:val="14"/>
              </w:rPr>
              <w:t>2018</w:t>
            </w:r>
          </w:p>
        </w:tc>
        <w:tc>
          <w:tcPr>
            <w:tcW w:w="140" w:type="dxa"/>
            <w:vAlign w:val="bottom"/>
          </w:tcPr>
          <w:p w14:paraId="283C7E1D" w14:textId="77777777" w:rsidR="00D1587D" w:rsidRDefault="00D1587D">
            <w:pPr>
              <w:rPr>
                <w:sz w:val="16"/>
                <w:szCs w:val="16"/>
              </w:rPr>
            </w:pPr>
          </w:p>
        </w:tc>
        <w:tc>
          <w:tcPr>
            <w:tcW w:w="620" w:type="dxa"/>
            <w:gridSpan w:val="2"/>
            <w:vMerge/>
            <w:vAlign w:val="bottom"/>
          </w:tcPr>
          <w:p w14:paraId="33BEDD7A" w14:textId="77777777" w:rsidR="00D1587D" w:rsidRDefault="00D1587D">
            <w:pPr>
              <w:rPr>
                <w:sz w:val="16"/>
                <w:szCs w:val="16"/>
              </w:rPr>
            </w:pPr>
          </w:p>
        </w:tc>
        <w:tc>
          <w:tcPr>
            <w:tcW w:w="540" w:type="dxa"/>
            <w:gridSpan w:val="2"/>
            <w:vMerge/>
            <w:vAlign w:val="bottom"/>
          </w:tcPr>
          <w:p w14:paraId="3C435AFA" w14:textId="77777777" w:rsidR="00D1587D" w:rsidRDefault="00D1587D">
            <w:pPr>
              <w:rPr>
                <w:sz w:val="16"/>
                <w:szCs w:val="16"/>
              </w:rPr>
            </w:pPr>
          </w:p>
        </w:tc>
        <w:tc>
          <w:tcPr>
            <w:tcW w:w="780" w:type="dxa"/>
            <w:vAlign w:val="bottom"/>
          </w:tcPr>
          <w:p w14:paraId="7F05F17F" w14:textId="77777777" w:rsidR="00D1587D" w:rsidRDefault="00410D07">
            <w:pPr>
              <w:ind w:left="240"/>
              <w:rPr>
                <w:sz w:val="20"/>
                <w:szCs w:val="20"/>
              </w:rPr>
            </w:pPr>
            <w:r>
              <w:rPr>
                <w:rFonts w:ascii="Arial" w:eastAsia="Arial" w:hAnsi="Arial" w:cs="Arial"/>
                <w:b/>
                <w:bCs/>
                <w:sz w:val="14"/>
                <w:szCs w:val="14"/>
              </w:rPr>
              <w:t>2019</w:t>
            </w:r>
          </w:p>
        </w:tc>
        <w:tc>
          <w:tcPr>
            <w:tcW w:w="0" w:type="dxa"/>
            <w:vAlign w:val="bottom"/>
          </w:tcPr>
          <w:p w14:paraId="220E9CAF" w14:textId="77777777" w:rsidR="00D1587D" w:rsidRDefault="00D1587D">
            <w:pPr>
              <w:rPr>
                <w:sz w:val="1"/>
                <w:szCs w:val="1"/>
              </w:rPr>
            </w:pPr>
          </w:p>
        </w:tc>
      </w:tr>
    </w:tbl>
    <w:p w14:paraId="2D697257" w14:textId="77777777" w:rsidR="00D1587D" w:rsidRDefault="00410D07">
      <w:pPr>
        <w:spacing w:line="20" w:lineRule="exact"/>
        <w:rPr>
          <w:sz w:val="20"/>
          <w:szCs w:val="20"/>
        </w:rPr>
      </w:pPr>
      <w:r>
        <w:rPr>
          <w:noProof/>
          <w:sz w:val="20"/>
          <w:szCs w:val="20"/>
        </w:rPr>
        <w:drawing>
          <wp:anchor distT="0" distB="0" distL="114300" distR="114300" simplePos="0" relativeHeight="251684864" behindDoc="1" locked="0" layoutInCell="0" allowOverlap="1" wp14:anchorId="039F0C9C" wp14:editId="07B36D9B">
            <wp:simplePos x="0" y="0"/>
            <wp:positionH relativeFrom="column">
              <wp:posOffset>-45720</wp:posOffset>
            </wp:positionH>
            <wp:positionV relativeFrom="paragraph">
              <wp:posOffset>-634365</wp:posOffset>
            </wp:positionV>
            <wp:extent cx="43180" cy="8255"/>
            <wp:effectExtent l="0" t="0" r="0" b="0"/>
            <wp:wrapNone/>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54"/>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1685888" behindDoc="1" locked="0" layoutInCell="0" allowOverlap="1" wp14:anchorId="098077E1" wp14:editId="2083986E">
            <wp:simplePos x="0" y="0"/>
            <wp:positionH relativeFrom="column">
              <wp:posOffset>1213485</wp:posOffset>
            </wp:positionH>
            <wp:positionV relativeFrom="paragraph">
              <wp:posOffset>33655</wp:posOffset>
            </wp:positionV>
            <wp:extent cx="85725" cy="8255"/>
            <wp:effectExtent l="0" t="0" r="0" b="0"/>
            <wp:wrapNone/>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86912" behindDoc="1" locked="0" layoutInCell="0" allowOverlap="1" wp14:anchorId="737B7572" wp14:editId="62558D2C">
            <wp:simplePos x="0" y="0"/>
            <wp:positionH relativeFrom="column">
              <wp:posOffset>862330</wp:posOffset>
            </wp:positionH>
            <wp:positionV relativeFrom="paragraph">
              <wp:posOffset>33655</wp:posOffset>
            </wp:positionV>
            <wp:extent cx="85725" cy="8255"/>
            <wp:effectExtent l="0" t="0" r="0" b="0"/>
            <wp:wrapNone/>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87936" behindDoc="1" locked="0" layoutInCell="0" allowOverlap="1" wp14:anchorId="0715CD72" wp14:editId="6A773693">
            <wp:simplePos x="0" y="0"/>
            <wp:positionH relativeFrom="column">
              <wp:posOffset>467995</wp:posOffset>
            </wp:positionH>
            <wp:positionV relativeFrom="paragraph">
              <wp:posOffset>33655</wp:posOffset>
            </wp:positionV>
            <wp:extent cx="85725" cy="8255"/>
            <wp:effectExtent l="0" t="0" r="0" b="0"/>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88960" behindDoc="1" locked="0" layoutInCell="0" allowOverlap="1" wp14:anchorId="7A758D06" wp14:editId="0AB02767">
            <wp:simplePos x="0" y="0"/>
            <wp:positionH relativeFrom="column">
              <wp:posOffset>-45720</wp:posOffset>
            </wp:positionH>
            <wp:positionV relativeFrom="paragraph">
              <wp:posOffset>33655</wp:posOffset>
            </wp:positionV>
            <wp:extent cx="43180" cy="8255"/>
            <wp:effectExtent l="0" t="0" r="0" b="0"/>
            <wp:wrapNone/>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p>
    <w:p w14:paraId="41543C10" w14:textId="77777777" w:rsidR="00D1587D" w:rsidRDefault="00D1587D">
      <w:pPr>
        <w:spacing w:line="33" w:lineRule="exact"/>
        <w:rPr>
          <w:sz w:val="20"/>
          <w:szCs w:val="20"/>
        </w:rPr>
      </w:pPr>
    </w:p>
    <w:p w14:paraId="5790FE17" w14:textId="77777777" w:rsidR="00D1587D" w:rsidRDefault="00D1587D">
      <w:pPr>
        <w:sectPr w:rsidR="00D1587D">
          <w:pgSz w:w="11900" w:h="16838"/>
          <w:pgMar w:top="265" w:right="1440" w:bottom="1440" w:left="1440" w:header="0" w:footer="0" w:gutter="0"/>
          <w:cols w:num="2" w:space="720" w:equalWidth="0">
            <w:col w:w="5520" w:space="380"/>
            <w:col w:w="3119"/>
          </w:cols>
        </w:sectPr>
      </w:pPr>
    </w:p>
    <w:tbl>
      <w:tblPr>
        <w:tblW w:w="0" w:type="auto"/>
        <w:tblInd w:w="300" w:type="dxa"/>
        <w:tblLayout w:type="fixed"/>
        <w:tblCellMar>
          <w:left w:w="0" w:type="dxa"/>
          <w:right w:w="0" w:type="dxa"/>
        </w:tblCellMar>
        <w:tblLook w:val="04A0" w:firstRow="1" w:lastRow="0" w:firstColumn="1" w:lastColumn="0" w:noHBand="0" w:noVBand="1"/>
      </w:tblPr>
      <w:tblGrid>
        <w:gridCol w:w="5520"/>
        <w:gridCol w:w="80"/>
        <w:gridCol w:w="740"/>
        <w:gridCol w:w="140"/>
        <w:gridCol w:w="480"/>
        <w:gridCol w:w="140"/>
        <w:gridCol w:w="420"/>
        <w:gridCol w:w="120"/>
        <w:gridCol w:w="780"/>
      </w:tblGrid>
      <w:tr w:rsidR="00D1587D" w14:paraId="2E2349E9" w14:textId="77777777">
        <w:trPr>
          <w:trHeight w:val="331"/>
        </w:trPr>
        <w:tc>
          <w:tcPr>
            <w:tcW w:w="5600" w:type="dxa"/>
            <w:gridSpan w:val="2"/>
            <w:tcBorders>
              <w:top w:val="single" w:sz="8" w:space="0" w:color="CCEEFF"/>
              <w:bottom w:val="single" w:sz="8" w:space="0" w:color="CCEEFF"/>
            </w:tcBorders>
            <w:shd w:val="clear" w:color="auto" w:fill="CCEEFF"/>
            <w:vAlign w:val="bottom"/>
          </w:tcPr>
          <w:p w14:paraId="70708EBF" w14:textId="77777777" w:rsidR="00D1587D" w:rsidRDefault="00410D07">
            <w:pPr>
              <w:rPr>
                <w:sz w:val="20"/>
                <w:szCs w:val="20"/>
              </w:rPr>
            </w:pPr>
            <w:r>
              <w:rPr>
                <w:rFonts w:ascii="Arial" w:eastAsia="Arial" w:hAnsi="Arial" w:cs="Arial"/>
                <w:sz w:val="18"/>
                <w:szCs w:val="18"/>
              </w:rPr>
              <w:t>Beauty and Accessories</w:t>
            </w:r>
          </w:p>
        </w:tc>
        <w:tc>
          <w:tcPr>
            <w:tcW w:w="740" w:type="dxa"/>
            <w:tcBorders>
              <w:top w:val="single" w:sz="8" w:space="0" w:color="auto"/>
              <w:bottom w:val="single" w:sz="8" w:space="0" w:color="CCEEFF"/>
            </w:tcBorders>
            <w:shd w:val="clear" w:color="auto" w:fill="CCEEFF"/>
            <w:vAlign w:val="bottom"/>
          </w:tcPr>
          <w:p w14:paraId="29211FC9" w14:textId="77777777" w:rsidR="00D1587D" w:rsidRDefault="00410D07">
            <w:pPr>
              <w:ind w:right="150"/>
              <w:jc w:val="right"/>
              <w:rPr>
                <w:sz w:val="20"/>
                <w:szCs w:val="20"/>
              </w:rPr>
            </w:pPr>
            <w:r>
              <w:rPr>
                <w:rFonts w:ascii="Arial" w:eastAsia="Arial" w:hAnsi="Arial" w:cs="Arial"/>
                <w:sz w:val="18"/>
                <w:szCs w:val="18"/>
              </w:rPr>
              <w:t>397</w:t>
            </w:r>
          </w:p>
        </w:tc>
        <w:tc>
          <w:tcPr>
            <w:tcW w:w="140" w:type="dxa"/>
            <w:tcBorders>
              <w:top w:val="single" w:sz="8" w:space="0" w:color="CCEEFF"/>
              <w:bottom w:val="single" w:sz="8" w:space="0" w:color="CCEEFF"/>
            </w:tcBorders>
            <w:shd w:val="clear" w:color="auto" w:fill="CCEEFF"/>
            <w:vAlign w:val="bottom"/>
          </w:tcPr>
          <w:p w14:paraId="76CD3928" w14:textId="77777777" w:rsidR="00D1587D" w:rsidRDefault="00D1587D">
            <w:pPr>
              <w:rPr>
                <w:sz w:val="24"/>
                <w:szCs w:val="24"/>
              </w:rPr>
            </w:pPr>
          </w:p>
        </w:tc>
        <w:tc>
          <w:tcPr>
            <w:tcW w:w="480" w:type="dxa"/>
            <w:tcBorders>
              <w:top w:val="single" w:sz="8" w:space="0" w:color="auto"/>
              <w:bottom w:val="single" w:sz="8" w:space="0" w:color="CCEEFF"/>
            </w:tcBorders>
            <w:shd w:val="clear" w:color="auto" w:fill="CCEEFF"/>
            <w:vAlign w:val="bottom"/>
          </w:tcPr>
          <w:p w14:paraId="3A16BD40" w14:textId="77777777" w:rsidR="00D1587D" w:rsidRDefault="00410D07">
            <w:pPr>
              <w:ind w:right="70"/>
              <w:jc w:val="right"/>
              <w:rPr>
                <w:sz w:val="20"/>
                <w:szCs w:val="20"/>
              </w:rPr>
            </w:pPr>
            <w:r>
              <w:rPr>
                <w:rFonts w:ascii="Arial" w:eastAsia="Arial" w:hAnsi="Arial" w:cs="Arial"/>
                <w:sz w:val="18"/>
                <w:szCs w:val="18"/>
              </w:rPr>
              <w:t>32</w:t>
            </w:r>
          </w:p>
        </w:tc>
        <w:tc>
          <w:tcPr>
            <w:tcW w:w="140" w:type="dxa"/>
            <w:tcBorders>
              <w:top w:val="single" w:sz="8" w:space="0" w:color="CCEEFF"/>
              <w:bottom w:val="single" w:sz="8" w:space="0" w:color="CCEEFF"/>
            </w:tcBorders>
            <w:shd w:val="clear" w:color="auto" w:fill="CCEEFF"/>
            <w:vAlign w:val="bottom"/>
          </w:tcPr>
          <w:p w14:paraId="156714B2" w14:textId="77777777" w:rsidR="00D1587D" w:rsidRDefault="00D1587D">
            <w:pPr>
              <w:rPr>
                <w:sz w:val="24"/>
                <w:szCs w:val="24"/>
              </w:rPr>
            </w:pPr>
          </w:p>
        </w:tc>
        <w:tc>
          <w:tcPr>
            <w:tcW w:w="420" w:type="dxa"/>
            <w:tcBorders>
              <w:top w:val="single" w:sz="8" w:space="0" w:color="auto"/>
              <w:bottom w:val="single" w:sz="8" w:space="0" w:color="CCEEFF"/>
            </w:tcBorders>
            <w:shd w:val="clear" w:color="auto" w:fill="CCEEFF"/>
            <w:vAlign w:val="bottom"/>
          </w:tcPr>
          <w:p w14:paraId="2E91BF57" w14:textId="77777777" w:rsidR="00D1587D" w:rsidRDefault="00410D07">
            <w:pPr>
              <w:jc w:val="right"/>
              <w:rPr>
                <w:sz w:val="20"/>
                <w:szCs w:val="20"/>
              </w:rPr>
            </w:pPr>
            <w:r>
              <w:rPr>
                <w:rFonts w:ascii="Arial" w:eastAsia="Arial" w:hAnsi="Arial" w:cs="Arial"/>
                <w:sz w:val="18"/>
                <w:szCs w:val="18"/>
              </w:rPr>
              <w:t>(46)</w:t>
            </w:r>
          </w:p>
        </w:tc>
        <w:tc>
          <w:tcPr>
            <w:tcW w:w="120" w:type="dxa"/>
            <w:tcBorders>
              <w:top w:val="single" w:sz="8" w:space="0" w:color="CCEEFF"/>
              <w:bottom w:val="single" w:sz="8" w:space="0" w:color="CCEEFF"/>
            </w:tcBorders>
            <w:shd w:val="clear" w:color="auto" w:fill="CCEEFF"/>
            <w:vAlign w:val="bottom"/>
          </w:tcPr>
          <w:p w14:paraId="28663BCE" w14:textId="77777777" w:rsidR="00D1587D" w:rsidRDefault="00D1587D">
            <w:pPr>
              <w:rPr>
                <w:sz w:val="24"/>
                <w:szCs w:val="24"/>
              </w:rPr>
            </w:pPr>
          </w:p>
        </w:tc>
        <w:tc>
          <w:tcPr>
            <w:tcW w:w="780" w:type="dxa"/>
            <w:tcBorders>
              <w:top w:val="single" w:sz="8" w:space="0" w:color="auto"/>
              <w:bottom w:val="single" w:sz="8" w:space="0" w:color="CCEEFF"/>
            </w:tcBorders>
            <w:shd w:val="clear" w:color="auto" w:fill="CCEEFF"/>
            <w:vAlign w:val="bottom"/>
          </w:tcPr>
          <w:p w14:paraId="75112772" w14:textId="77777777" w:rsidR="00D1587D" w:rsidRDefault="00410D07">
            <w:pPr>
              <w:ind w:right="170"/>
              <w:jc w:val="right"/>
              <w:rPr>
                <w:sz w:val="20"/>
                <w:szCs w:val="20"/>
              </w:rPr>
            </w:pPr>
            <w:r>
              <w:rPr>
                <w:rFonts w:ascii="Arial" w:eastAsia="Arial" w:hAnsi="Arial" w:cs="Arial"/>
                <w:sz w:val="18"/>
                <w:szCs w:val="18"/>
              </w:rPr>
              <w:t>383</w:t>
            </w:r>
          </w:p>
        </w:tc>
      </w:tr>
      <w:tr w:rsidR="00D1587D" w14:paraId="61B8B3A5" w14:textId="77777777">
        <w:trPr>
          <w:trHeight w:val="270"/>
        </w:trPr>
        <w:tc>
          <w:tcPr>
            <w:tcW w:w="5600" w:type="dxa"/>
            <w:gridSpan w:val="2"/>
            <w:vAlign w:val="bottom"/>
          </w:tcPr>
          <w:p w14:paraId="1AD72F1D" w14:textId="77777777" w:rsidR="00D1587D" w:rsidRDefault="00410D07">
            <w:pPr>
              <w:rPr>
                <w:sz w:val="20"/>
                <w:szCs w:val="20"/>
              </w:rPr>
            </w:pPr>
            <w:r>
              <w:rPr>
                <w:rFonts w:ascii="Arial" w:eastAsia="Arial" w:hAnsi="Arial" w:cs="Arial"/>
                <w:sz w:val="18"/>
                <w:szCs w:val="18"/>
              </w:rPr>
              <w:t>Full Assortment</w:t>
            </w:r>
          </w:p>
        </w:tc>
        <w:tc>
          <w:tcPr>
            <w:tcW w:w="740" w:type="dxa"/>
            <w:vAlign w:val="bottom"/>
          </w:tcPr>
          <w:p w14:paraId="4C37193E" w14:textId="77777777" w:rsidR="00D1587D" w:rsidRDefault="00410D07">
            <w:pPr>
              <w:ind w:right="150"/>
              <w:jc w:val="right"/>
              <w:rPr>
                <w:sz w:val="20"/>
                <w:szCs w:val="20"/>
              </w:rPr>
            </w:pPr>
            <w:r>
              <w:rPr>
                <w:rFonts w:ascii="Arial" w:eastAsia="Arial" w:hAnsi="Arial" w:cs="Arial"/>
                <w:sz w:val="18"/>
                <w:szCs w:val="18"/>
              </w:rPr>
              <w:t>37</w:t>
            </w:r>
          </w:p>
        </w:tc>
        <w:tc>
          <w:tcPr>
            <w:tcW w:w="140" w:type="dxa"/>
            <w:vAlign w:val="bottom"/>
          </w:tcPr>
          <w:p w14:paraId="78D031B7" w14:textId="77777777" w:rsidR="00D1587D" w:rsidRDefault="00D1587D">
            <w:pPr>
              <w:rPr>
                <w:sz w:val="23"/>
                <w:szCs w:val="23"/>
              </w:rPr>
            </w:pPr>
          </w:p>
        </w:tc>
        <w:tc>
          <w:tcPr>
            <w:tcW w:w="480" w:type="dxa"/>
            <w:vAlign w:val="bottom"/>
          </w:tcPr>
          <w:p w14:paraId="661043A5" w14:textId="77777777" w:rsidR="00D1587D" w:rsidRDefault="00410D07">
            <w:pPr>
              <w:ind w:right="70"/>
              <w:jc w:val="right"/>
              <w:rPr>
                <w:sz w:val="20"/>
                <w:szCs w:val="20"/>
              </w:rPr>
            </w:pPr>
            <w:r>
              <w:rPr>
                <w:rFonts w:ascii="Arial" w:eastAsia="Arial" w:hAnsi="Arial" w:cs="Arial"/>
                <w:sz w:val="18"/>
                <w:szCs w:val="18"/>
              </w:rPr>
              <w:t>19</w:t>
            </w:r>
          </w:p>
        </w:tc>
        <w:tc>
          <w:tcPr>
            <w:tcW w:w="140" w:type="dxa"/>
            <w:vAlign w:val="bottom"/>
          </w:tcPr>
          <w:p w14:paraId="19000F0C" w14:textId="77777777" w:rsidR="00D1587D" w:rsidRDefault="00D1587D">
            <w:pPr>
              <w:rPr>
                <w:sz w:val="23"/>
                <w:szCs w:val="23"/>
              </w:rPr>
            </w:pPr>
          </w:p>
        </w:tc>
        <w:tc>
          <w:tcPr>
            <w:tcW w:w="540" w:type="dxa"/>
            <w:gridSpan w:val="2"/>
            <w:vAlign w:val="bottom"/>
          </w:tcPr>
          <w:p w14:paraId="324E0DBC" w14:textId="77777777" w:rsidR="00D1587D" w:rsidRDefault="00410D07">
            <w:pPr>
              <w:ind w:right="220"/>
              <w:jc w:val="right"/>
              <w:rPr>
                <w:sz w:val="20"/>
                <w:szCs w:val="20"/>
              </w:rPr>
            </w:pPr>
            <w:r>
              <w:rPr>
                <w:rFonts w:ascii="Arial" w:eastAsia="Arial" w:hAnsi="Arial" w:cs="Arial"/>
                <w:sz w:val="18"/>
                <w:szCs w:val="18"/>
              </w:rPr>
              <w:t>—</w:t>
            </w:r>
          </w:p>
        </w:tc>
        <w:tc>
          <w:tcPr>
            <w:tcW w:w="780" w:type="dxa"/>
            <w:vAlign w:val="bottom"/>
          </w:tcPr>
          <w:p w14:paraId="7771BEFC" w14:textId="77777777" w:rsidR="00D1587D" w:rsidRDefault="00410D07">
            <w:pPr>
              <w:ind w:right="190"/>
              <w:jc w:val="right"/>
              <w:rPr>
                <w:sz w:val="20"/>
                <w:szCs w:val="20"/>
              </w:rPr>
            </w:pPr>
            <w:r>
              <w:rPr>
                <w:rFonts w:ascii="Arial" w:eastAsia="Arial" w:hAnsi="Arial" w:cs="Arial"/>
                <w:sz w:val="18"/>
                <w:szCs w:val="18"/>
              </w:rPr>
              <w:t>56</w:t>
            </w:r>
          </w:p>
        </w:tc>
      </w:tr>
      <w:tr w:rsidR="00D1587D" w14:paraId="3D5C5A2E" w14:textId="77777777">
        <w:trPr>
          <w:trHeight w:val="68"/>
        </w:trPr>
        <w:tc>
          <w:tcPr>
            <w:tcW w:w="5520" w:type="dxa"/>
            <w:tcBorders>
              <w:bottom w:val="single" w:sz="8" w:space="0" w:color="CCEEFF"/>
            </w:tcBorders>
            <w:vAlign w:val="bottom"/>
          </w:tcPr>
          <w:p w14:paraId="05D0A294" w14:textId="77777777" w:rsidR="00D1587D" w:rsidRDefault="00D1587D">
            <w:pPr>
              <w:rPr>
                <w:sz w:val="5"/>
                <w:szCs w:val="5"/>
              </w:rPr>
            </w:pPr>
          </w:p>
        </w:tc>
        <w:tc>
          <w:tcPr>
            <w:tcW w:w="80" w:type="dxa"/>
            <w:tcBorders>
              <w:bottom w:val="single" w:sz="8" w:space="0" w:color="CCEEFF"/>
            </w:tcBorders>
            <w:vAlign w:val="bottom"/>
          </w:tcPr>
          <w:p w14:paraId="2FF9AEE1" w14:textId="77777777" w:rsidR="00D1587D" w:rsidRDefault="00D1587D">
            <w:pPr>
              <w:rPr>
                <w:sz w:val="5"/>
                <w:szCs w:val="5"/>
              </w:rPr>
            </w:pPr>
          </w:p>
        </w:tc>
        <w:tc>
          <w:tcPr>
            <w:tcW w:w="740" w:type="dxa"/>
            <w:tcBorders>
              <w:bottom w:val="single" w:sz="8" w:space="0" w:color="auto"/>
            </w:tcBorders>
            <w:vAlign w:val="bottom"/>
          </w:tcPr>
          <w:p w14:paraId="18B6C089" w14:textId="77777777" w:rsidR="00D1587D" w:rsidRDefault="00D1587D">
            <w:pPr>
              <w:rPr>
                <w:sz w:val="5"/>
                <w:szCs w:val="5"/>
              </w:rPr>
            </w:pPr>
          </w:p>
        </w:tc>
        <w:tc>
          <w:tcPr>
            <w:tcW w:w="140" w:type="dxa"/>
            <w:tcBorders>
              <w:bottom w:val="single" w:sz="8" w:space="0" w:color="CCEEFF"/>
            </w:tcBorders>
            <w:vAlign w:val="bottom"/>
          </w:tcPr>
          <w:p w14:paraId="36051698" w14:textId="77777777" w:rsidR="00D1587D" w:rsidRDefault="00D1587D">
            <w:pPr>
              <w:rPr>
                <w:sz w:val="5"/>
                <w:szCs w:val="5"/>
              </w:rPr>
            </w:pPr>
          </w:p>
        </w:tc>
        <w:tc>
          <w:tcPr>
            <w:tcW w:w="480" w:type="dxa"/>
            <w:tcBorders>
              <w:bottom w:val="single" w:sz="8" w:space="0" w:color="auto"/>
            </w:tcBorders>
            <w:vAlign w:val="bottom"/>
          </w:tcPr>
          <w:p w14:paraId="7C40A25A" w14:textId="77777777" w:rsidR="00D1587D" w:rsidRDefault="00D1587D">
            <w:pPr>
              <w:rPr>
                <w:sz w:val="5"/>
                <w:szCs w:val="5"/>
              </w:rPr>
            </w:pPr>
          </w:p>
        </w:tc>
        <w:tc>
          <w:tcPr>
            <w:tcW w:w="140" w:type="dxa"/>
            <w:tcBorders>
              <w:bottom w:val="single" w:sz="8" w:space="0" w:color="CCEEFF"/>
            </w:tcBorders>
            <w:vAlign w:val="bottom"/>
          </w:tcPr>
          <w:p w14:paraId="56A14E6E" w14:textId="77777777" w:rsidR="00D1587D" w:rsidRDefault="00D1587D">
            <w:pPr>
              <w:rPr>
                <w:sz w:val="5"/>
                <w:szCs w:val="5"/>
              </w:rPr>
            </w:pPr>
          </w:p>
        </w:tc>
        <w:tc>
          <w:tcPr>
            <w:tcW w:w="420" w:type="dxa"/>
            <w:tcBorders>
              <w:bottom w:val="single" w:sz="8" w:space="0" w:color="auto"/>
            </w:tcBorders>
            <w:vAlign w:val="bottom"/>
          </w:tcPr>
          <w:p w14:paraId="054AB5FE" w14:textId="77777777" w:rsidR="00D1587D" w:rsidRDefault="00D1587D">
            <w:pPr>
              <w:rPr>
                <w:sz w:val="5"/>
                <w:szCs w:val="5"/>
              </w:rPr>
            </w:pPr>
          </w:p>
        </w:tc>
        <w:tc>
          <w:tcPr>
            <w:tcW w:w="120" w:type="dxa"/>
            <w:tcBorders>
              <w:bottom w:val="single" w:sz="8" w:space="0" w:color="CCEEFF"/>
            </w:tcBorders>
            <w:vAlign w:val="bottom"/>
          </w:tcPr>
          <w:p w14:paraId="1E34978F" w14:textId="77777777" w:rsidR="00D1587D" w:rsidRDefault="00D1587D">
            <w:pPr>
              <w:rPr>
                <w:sz w:val="5"/>
                <w:szCs w:val="5"/>
              </w:rPr>
            </w:pPr>
          </w:p>
        </w:tc>
        <w:tc>
          <w:tcPr>
            <w:tcW w:w="780" w:type="dxa"/>
            <w:tcBorders>
              <w:bottom w:val="single" w:sz="8" w:space="0" w:color="auto"/>
            </w:tcBorders>
            <w:vAlign w:val="bottom"/>
          </w:tcPr>
          <w:p w14:paraId="62A70AF6" w14:textId="77777777" w:rsidR="00D1587D" w:rsidRDefault="00D1587D">
            <w:pPr>
              <w:rPr>
                <w:sz w:val="5"/>
                <w:szCs w:val="5"/>
              </w:rPr>
            </w:pPr>
          </w:p>
        </w:tc>
      </w:tr>
      <w:tr w:rsidR="00D1587D" w14:paraId="58AA0DF0" w14:textId="77777777">
        <w:trPr>
          <w:trHeight w:val="376"/>
        </w:trPr>
        <w:tc>
          <w:tcPr>
            <w:tcW w:w="5600" w:type="dxa"/>
            <w:gridSpan w:val="2"/>
            <w:tcBorders>
              <w:bottom w:val="single" w:sz="8" w:space="0" w:color="CCEEFF"/>
            </w:tcBorders>
            <w:shd w:val="clear" w:color="auto" w:fill="CCEEFF"/>
            <w:vAlign w:val="bottom"/>
          </w:tcPr>
          <w:p w14:paraId="1AFC763F" w14:textId="77777777" w:rsidR="00D1587D" w:rsidRDefault="00410D07">
            <w:pPr>
              <w:rPr>
                <w:sz w:val="20"/>
                <w:szCs w:val="20"/>
              </w:rPr>
            </w:pPr>
            <w:r>
              <w:rPr>
                <w:rFonts w:ascii="Arial" w:eastAsia="Arial" w:hAnsi="Arial" w:cs="Arial"/>
                <w:b/>
                <w:bCs/>
                <w:sz w:val="18"/>
                <w:szCs w:val="18"/>
              </w:rPr>
              <w:t>Total</w:t>
            </w:r>
          </w:p>
        </w:tc>
        <w:tc>
          <w:tcPr>
            <w:tcW w:w="740" w:type="dxa"/>
            <w:tcBorders>
              <w:bottom w:val="single" w:sz="8" w:space="0" w:color="CCEEFF"/>
            </w:tcBorders>
            <w:shd w:val="clear" w:color="auto" w:fill="CCEEFF"/>
            <w:vAlign w:val="bottom"/>
          </w:tcPr>
          <w:p w14:paraId="62511910" w14:textId="77777777" w:rsidR="00D1587D" w:rsidRDefault="00410D07">
            <w:pPr>
              <w:ind w:right="150"/>
              <w:jc w:val="right"/>
              <w:rPr>
                <w:sz w:val="20"/>
                <w:szCs w:val="20"/>
              </w:rPr>
            </w:pPr>
            <w:r>
              <w:rPr>
                <w:rFonts w:ascii="Arial" w:eastAsia="Arial" w:hAnsi="Arial" w:cs="Arial"/>
                <w:b/>
                <w:bCs/>
                <w:sz w:val="18"/>
                <w:szCs w:val="18"/>
              </w:rPr>
              <w:t>434</w:t>
            </w:r>
          </w:p>
        </w:tc>
        <w:tc>
          <w:tcPr>
            <w:tcW w:w="140" w:type="dxa"/>
            <w:tcBorders>
              <w:bottom w:val="single" w:sz="8" w:space="0" w:color="CCEEFF"/>
            </w:tcBorders>
            <w:shd w:val="clear" w:color="auto" w:fill="CCEEFF"/>
            <w:vAlign w:val="bottom"/>
          </w:tcPr>
          <w:p w14:paraId="5C3B7445" w14:textId="77777777" w:rsidR="00D1587D" w:rsidRDefault="00D1587D">
            <w:pPr>
              <w:rPr>
                <w:sz w:val="24"/>
                <w:szCs w:val="24"/>
              </w:rPr>
            </w:pPr>
          </w:p>
        </w:tc>
        <w:tc>
          <w:tcPr>
            <w:tcW w:w="480" w:type="dxa"/>
            <w:tcBorders>
              <w:bottom w:val="single" w:sz="8" w:space="0" w:color="CCEEFF"/>
            </w:tcBorders>
            <w:shd w:val="clear" w:color="auto" w:fill="CCEEFF"/>
            <w:vAlign w:val="bottom"/>
          </w:tcPr>
          <w:p w14:paraId="6FE865C3" w14:textId="77777777" w:rsidR="00D1587D" w:rsidRDefault="00410D07">
            <w:pPr>
              <w:ind w:right="70"/>
              <w:jc w:val="right"/>
              <w:rPr>
                <w:sz w:val="20"/>
                <w:szCs w:val="20"/>
              </w:rPr>
            </w:pPr>
            <w:r>
              <w:rPr>
                <w:rFonts w:ascii="Arial" w:eastAsia="Arial" w:hAnsi="Arial" w:cs="Arial"/>
                <w:b/>
                <w:bCs/>
                <w:sz w:val="18"/>
                <w:szCs w:val="18"/>
              </w:rPr>
              <w:t>51</w:t>
            </w:r>
          </w:p>
        </w:tc>
        <w:tc>
          <w:tcPr>
            <w:tcW w:w="140" w:type="dxa"/>
            <w:tcBorders>
              <w:bottom w:val="single" w:sz="8" w:space="0" w:color="CCEEFF"/>
            </w:tcBorders>
            <w:shd w:val="clear" w:color="auto" w:fill="CCEEFF"/>
            <w:vAlign w:val="bottom"/>
          </w:tcPr>
          <w:p w14:paraId="4194DCDB" w14:textId="77777777" w:rsidR="00D1587D" w:rsidRDefault="00D1587D">
            <w:pPr>
              <w:rPr>
                <w:sz w:val="24"/>
                <w:szCs w:val="24"/>
              </w:rPr>
            </w:pPr>
          </w:p>
        </w:tc>
        <w:tc>
          <w:tcPr>
            <w:tcW w:w="420" w:type="dxa"/>
            <w:tcBorders>
              <w:bottom w:val="single" w:sz="8" w:space="0" w:color="CCEEFF"/>
            </w:tcBorders>
            <w:shd w:val="clear" w:color="auto" w:fill="CCEEFF"/>
            <w:vAlign w:val="bottom"/>
          </w:tcPr>
          <w:p w14:paraId="06E99082" w14:textId="77777777" w:rsidR="00D1587D" w:rsidRDefault="00410D07">
            <w:pPr>
              <w:jc w:val="right"/>
              <w:rPr>
                <w:sz w:val="20"/>
                <w:szCs w:val="20"/>
              </w:rPr>
            </w:pPr>
            <w:r>
              <w:rPr>
                <w:rFonts w:ascii="Arial" w:eastAsia="Arial" w:hAnsi="Arial" w:cs="Arial"/>
                <w:b/>
                <w:bCs/>
                <w:sz w:val="18"/>
                <w:szCs w:val="18"/>
              </w:rPr>
              <w:t>(46)</w:t>
            </w:r>
          </w:p>
        </w:tc>
        <w:tc>
          <w:tcPr>
            <w:tcW w:w="120" w:type="dxa"/>
            <w:tcBorders>
              <w:bottom w:val="single" w:sz="8" w:space="0" w:color="CCEEFF"/>
            </w:tcBorders>
            <w:shd w:val="clear" w:color="auto" w:fill="CCEEFF"/>
            <w:vAlign w:val="bottom"/>
          </w:tcPr>
          <w:p w14:paraId="495981A0" w14:textId="77777777" w:rsidR="00D1587D" w:rsidRDefault="00D1587D">
            <w:pPr>
              <w:rPr>
                <w:sz w:val="24"/>
                <w:szCs w:val="24"/>
              </w:rPr>
            </w:pPr>
          </w:p>
        </w:tc>
        <w:tc>
          <w:tcPr>
            <w:tcW w:w="780" w:type="dxa"/>
            <w:tcBorders>
              <w:bottom w:val="single" w:sz="8" w:space="0" w:color="CCEEFF"/>
            </w:tcBorders>
            <w:shd w:val="clear" w:color="auto" w:fill="CCEEFF"/>
            <w:vAlign w:val="bottom"/>
          </w:tcPr>
          <w:p w14:paraId="09CEAC06" w14:textId="77777777" w:rsidR="00D1587D" w:rsidRDefault="00410D07">
            <w:pPr>
              <w:ind w:right="170"/>
              <w:jc w:val="right"/>
              <w:rPr>
                <w:sz w:val="20"/>
                <w:szCs w:val="20"/>
              </w:rPr>
            </w:pPr>
            <w:r>
              <w:rPr>
                <w:rFonts w:ascii="Arial" w:eastAsia="Arial" w:hAnsi="Arial" w:cs="Arial"/>
                <w:b/>
                <w:bCs/>
                <w:sz w:val="18"/>
                <w:szCs w:val="18"/>
              </w:rPr>
              <w:t>439</w:t>
            </w:r>
          </w:p>
        </w:tc>
      </w:tr>
      <w:tr w:rsidR="00D1587D" w14:paraId="5B0BD51C" w14:textId="77777777">
        <w:trPr>
          <w:trHeight w:val="20"/>
        </w:trPr>
        <w:tc>
          <w:tcPr>
            <w:tcW w:w="5520" w:type="dxa"/>
            <w:tcBorders>
              <w:top w:val="single" w:sz="8" w:space="0" w:color="CCEEFF"/>
            </w:tcBorders>
            <w:vAlign w:val="bottom"/>
          </w:tcPr>
          <w:p w14:paraId="0EE58D07" w14:textId="77777777" w:rsidR="00D1587D" w:rsidRDefault="00D1587D">
            <w:pPr>
              <w:spacing w:line="20" w:lineRule="exact"/>
              <w:rPr>
                <w:sz w:val="1"/>
                <w:szCs w:val="1"/>
              </w:rPr>
            </w:pPr>
          </w:p>
        </w:tc>
        <w:tc>
          <w:tcPr>
            <w:tcW w:w="80" w:type="dxa"/>
            <w:tcBorders>
              <w:top w:val="single" w:sz="8" w:space="0" w:color="CCEEFF"/>
            </w:tcBorders>
            <w:vAlign w:val="bottom"/>
          </w:tcPr>
          <w:p w14:paraId="175FFB0B" w14:textId="77777777" w:rsidR="00D1587D" w:rsidRDefault="00D1587D">
            <w:pPr>
              <w:spacing w:line="20" w:lineRule="exact"/>
              <w:rPr>
                <w:sz w:val="1"/>
                <w:szCs w:val="1"/>
              </w:rPr>
            </w:pPr>
          </w:p>
        </w:tc>
        <w:tc>
          <w:tcPr>
            <w:tcW w:w="740" w:type="dxa"/>
            <w:tcBorders>
              <w:top w:val="single" w:sz="8" w:space="0" w:color="auto"/>
            </w:tcBorders>
            <w:shd w:val="clear" w:color="auto" w:fill="000000"/>
            <w:vAlign w:val="bottom"/>
          </w:tcPr>
          <w:p w14:paraId="582EA2FF" w14:textId="77777777" w:rsidR="00D1587D" w:rsidRDefault="00D1587D">
            <w:pPr>
              <w:spacing w:line="20" w:lineRule="exact"/>
              <w:rPr>
                <w:sz w:val="1"/>
                <w:szCs w:val="1"/>
              </w:rPr>
            </w:pPr>
          </w:p>
        </w:tc>
        <w:tc>
          <w:tcPr>
            <w:tcW w:w="140" w:type="dxa"/>
            <w:tcBorders>
              <w:top w:val="single" w:sz="8" w:space="0" w:color="CCEEFF"/>
            </w:tcBorders>
            <w:vAlign w:val="bottom"/>
          </w:tcPr>
          <w:p w14:paraId="102FEDDA" w14:textId="77777777" w:rsidR="00D1587D" w:rsidRDefault="00D1587D">
            <w:pPr>
              <w:spacing w:line="20" w:lineRule="exact"/>
              <w:rPr>
                <w:sz w:val="1"/>
                <w:szCs w:val="1"/>
              </w:rPr>
            </w:pPr>
          </w:p>
        </w:tc>
        <w:tc>
          <w:tcPr>
            <w:tcW w:w="480" w:type="dxa"/>
            <w:tcBorders>
              <w:top w:val="single" w:sz="8" w:space="0" w:color="auto"/>
            </w:tcBorders>
            <w:shd w:val="clear" w:color="auto" w:fill="000000"/>
            <w:vAlign w:val="bottom"/>
          </w:tcPr>
          <w:p w14:paraId="19C4762D" w14:textId="77777777" w:rsidR="00D1587D" w:rsidRDefault="00D1587D">
            <w:pPr>
              <w:spacing w:line="20" w:lineRule="exact"/>
              <w:rPr>
                <w:sz w:val="1"/>
                <w:szCs w:val="1"/>
              </w:rPr>
            </w:pPr>
          </w:p>
        </w:tc>
        <w:tc>
          <w:tcPr>
            <w:tcW w:w="140" w:type="dxa"/>
            <w:tcBorders>
              <w:top w:val="single" w:sz="8" w:space="0" w:color="CCEEFF"/>
            </w:tcBorders>
            <w:vAlign w:val="bottom"/>
          </w:tcPr>
          <w:p w14:paraId="20F655BF" w14:textId="77777777" w:rsidR="00D1587D" w:rsidRDefault="00D1587D">
            <w:pPr>
              <w:spacing w:line="20" w:lineRule="exact"/>
              <w:rPr>
                <w:sz w:val="1"/>
                <w:szCs w:val="1"/>
              </w:rPr>
            </w:pPr>
          </w:p>
        </w:tc>
        <w:tc>
          <w:tcPr>
            <w:tcW w:w="420" w:type="dxa"/>
            <w:tcBorders>
              <w:top w:val="single" w:sz="8" w:space="0" w:color="auto"/>
            </w:tcBorders>
            <w:shd w:val="clear" w:color="auto" w:fill="000000"/>
            <w:vAlign w:val="bottom"/>
          </w:tcPr>
          <w:p w14:paraId="2544391C" w14:textId="77777777" w:rsidR="00D1587D" w:rsidRDefault="00D1587D">
            <w:pPr>
              <w:spacing w:line="20" w:lineRule="exact"/>
              <w:rPr>
                <w:sz w:val="1"/>
                <w:szCs w:val="1"/>
              </w:rPr>
            </w:pPr>
          </w:p>
        </w:tc>
        <w:tc>
          <w:tcPr>
            <w:tcW w:w="120" w:type="dxa"/>
            <w:tcBorders>
              <w:top w:val="single" w:sz="8" w:space="0" w:color="CCEEFF"/>
            </w:tcBorders>
            <w:vAlign w:val="bottom"/>
          </w:tcPr>
          <w:p w14:paraId="454FADE7" w14:textId="77777777" w:rsidR="00D1587D" w:rsidRDefault="00D1587D">
            <w:pPr>
              <w:spacing w:line="20" w:lineRule="exact"/>
              <w:rPr>
                <w:sz w:val="1"/>
                <w:szCs w:val="1"/>
              </w:rPr>
            </w:pPr>
          </w:p>
        </w:tc>
        <w:tc>
          <w:tcPr>
            <w:tcW w:w="780" w:type="dxa"/>
            <w:tcBorders>
              <w:top w:val="single" w:sz="8" w:space="0" w:color="auto"/>
            </w:tcBorders>
            <w:shd w:val="clear" w:color="auto" w:fill="000000"/>
            <w:vAlign w:val="bottom"/>
          </w:tcPr>
          <w:p w14:paraId="1CCF62BE" w14:textId="77777777" w:rsidR="00D1587D" w:rsidRDefault="00D1587D">
            <w:pPr>
              <w:spacing w:line="20" w:lineRule="exact"/>
              <w:rPr>
                <w:sz w:val="1"/>
                <w:szCs w:val="1"/>
              </w:rPr>
            </w:pPr>
          </w:p>
        </w:tc>
      </w:tr>
    </w:tbl>
    <w:p w14:paraId="6FFB74F3" w14:textId="77777777" w:rsidR="00D1587D" w:rsidRDefault="00410D07">
      <w:pPr>
        <w:spacing w:line="20" w:lineRule="exact"/>
        <w:rPr>
          <w:sz w:val="20"/>
          <w:szCs w:val="20"/>
        </w:rPr>
      </w:pPr>
      <w:r>
        <w:rPr>
          <w:noProof/>
          <w:sz w:val="20"/>
          <w:szCs w:val="20"/>
        </w:rPr>
        <w:drawing>
          <wp:anchor distT="0" distB="0" distL="114300" distR="114300" simplePos="0" relativeHeight="251689984" behindDoc="1" locked="0" layoutInCell="0" allowOverlap="1" wp14:anchorId="22E45696" wp14:editId="2CDA8CDD">
            <wp:simplePos x="0" y="0"/>
            <wp:positionH relativeFrom="column">
              <wp:posOffset>4959985</wp:posOffset>
            </wp:positionH>
            <wp:positionV relativeFrom="paragraph">
              <wp:posOffset>-256540</wp:posOffset>
            </wp:positionV>
            <wp:extent cx="85725" cy="8255"/>
            <wp:effectExtent l="0" t="0" r="0" b="0"/>
            <wp:wrapNone/>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91008" behindDoc="1" locked="0" layoutInCell="0" allowOverlap="1" wp14:anchorId="575AC1FE" wp14:editId="4FD10098">
            <wp:simplePos x="0" y="0"/>
            <wp:positionH relativeFrom="column">
              <wp:posOffset>4608830</wp:posOffset>
            </wp:positionH>
            <wp:positionV relativeFrom="paragraph">
              <wp:posOffset>-256540</wp:posOffset>
            </wp:positionV>
            <wp:extent cx="85725" cy="8255"/>
            <wp:effectExtent l="0" t="0" r="0" b="0"/>
            <wp:wrapNone/>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92032" behindDoc="1" locked="0" layoutInCell="0" allowOverlap="1" wp14:anchorId="2010A076" wp14:editId="38E88F28">
            <wp:simplePos x="0" y="0"/>
            <wp:positionH relativeFrom="column">
              <wp:posOffset>4214495</wp:posOffset>
            </wp:positionH>
            <wp:positionV relativeFrom="paragraph">
              <wp:posOffset>-256540</wp:posOffset>
            </wp:positionV>
            <wp:extent cx="85725" cy="8255"/>
            <wp:effectExtent l="0" t="0" r="0" b="0"/>
            <wp:wrapNone/>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693056" behindDoc="1" locked="0" layoutInCell="0" allowOverlap="1" wp14:anchorId="4CC8C587" wp14:editId="4D4E9745">
            <wp:simplePos x="0" y="0"/>
            <wp:positionH relativeFrom="column">
              <wp:posOffset>3700145</wp:posOffset>
            </wp:positionH>
            <wp:positionV relativeFrom="paragraph">
              <wp:posOffset>-256540</wp:posOffset>
            </wp:positionV>
            <wp:extent cx="43180" cy="8255"/>
            <wp:effectExtent l="0" t="0" r="0" b="0"/>
            <wp:wrapNone/>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p>
    <w:p w14:paraId="1CC2900E" w14:textId="77777777" w:rsidR="00D1587D" w:rsidRDefault="00D1587D">
      <w:pPr>
        <w:spacing w:line="286" w:lineRule="exact"/>
        <w:rPr>
          <w:sz w:val="20"/>
          <w:szCs w:val="20"/>
        </w:rPr>
      </w:pPr>
    </w:p>
    <w:p w14:paraId="6F1D33A3" w14:textId="77777777" w:rsidR="00D1587D" w:rsidRDefault="00410D07">
      <w:pPr>
        <w:ind w:left="300"/>
        <w:rPr>
          <w:sz w:val="20"/>
          <w:szCs w:val="20"/>
        </w:rPr>
      </w:pPr>
      <w:r>
        <w:rPr>
          <w:rFonts w:ascii="Arial" w:eastAsia="Arial" w:hAnsi="Arial" w:cs="Arial"/>
          <w:b/>
          <w:bCs/>
          <w:sz w:val="18"/>
          <w:szCs w:val="18"/>
        </w:rPr>
        <w:t>Results of Operations</w:t>
      </w:r>
    </w:p>
    <w:p w14:paraId="4E52EA27" w14:textId="77777777" w:rsidR="00D1587D" w:rsidRDefault="00D1587D">
      <w:pPr>
        <w:spacing w:line="148" w:lineRule="exact"/>
        <w:rPr>
          <w:sz w:val="20"/>
          <w:szCs w:val="20"/>
        </w:rPr>
      </w:pPr>
    </w:p>
    <w:p w14:paraId="5DEDB069" w14:textId="77777777" w:rsidR="00D1587D" w:rsidRDefault="00410D07">
      <w:pPr>
        <w:ind w:left="300"/>
        <w:rPr>
          <w:sz w:val="20"/>
          <w:szCs w:val="20"/>
        </w:rPr>
      </w:pPr>
      <w:r>
        <w:rPr>
          <w:rFonts w:ascii="Arial" w:eastAsia="Arial" w:hAnsi="Arial" w:cs="Arial"/>
          <w:i/>
          <w:iCs/>
          <w:sz w:val="18"/>
          <w:szCs w:val="18"/>
        </w:rPr>
        <w:t xml:space="preserve">First </w:t>
      </w:r>
      <w:r>
        <w:rPr>
          <w:rFonts w:ascii="Arial" w:eastAsia="Arial" w:hAnsi="Arial" w:cs="Arial"/>
          <w:i/>
          <w:iCs/>
          <w:sz w:val="18"/>
          <w:szCs w:val="18"/>
        </w:rPr>
        <w:t>Quarter of 2021 Compared to First Quarter of 2020</w:t>
      </w:r>
    </w:p>
    <w:p w14:paraId="0295889C" w14:textId="77777777" w:rsidR="00D1587D" w:rsidRDefault="00D1587D">
      <w:pPr>
        <w:spacing w:line="144" w:lineRule="exact"/>
        <w:rPr>
          <w:sz w:val="20"/>
          <w:szCs w:val="20"/>
        </w:rPr>
      </w:pPr>
    </w:p>
    <w:p w14:paraId="3DA681B1" w14:textId="77777777" w:rsidR="00D1587D" w:rsidRDefault="00410D07">
      <w:pPr>
        <w:ind w:left="660"/>
        <w:rPr>
          <w:sz w:val="20"/>
          <w:szCs w:val="20"/>
        </w:rPr>
      </w:pPr>
      <w:r>
        <w:rPr>
          <w:rFonts w:ascii="Arial" w:eastAsia="Arial" w:hAnsi="Arial" w:cs="Arial"/>
          <w:sz w:val="18"/>
          <w:szCs w:val="18"/>
        </w:rPr>
        <w:t>The following table summarizes our results of operations for the periods presented:</w:t>
      </w:r>
    </w:p>
    <w:p w14:paraId="37CA45E9" w14:textId="77777777" w:rsidR="00D1587D" w:rsidRDefault="00D1587D">
      <w:pPr>
        <w:spacing w:line="19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960"/>
        <w:gridCol w:w="200"/>
        <w:gridCol w:w="540"/>
        <w:gridCol w:w="80"/>
        <w:gridCol w:w="220"/>
        <w:gridCol w:w="580"/>
        <w:gridCol w:w="840"/>
      </w:tblGrid>
      <w:tr w:rsidR="00D1587D" w14:paraId="6B96FDCD" w14:textId="77777777">
        <w:trPr>
          <w:trHeight w:val="186"/>
        </w:trPr>
        <w:tc>
          <w:tcPr>
            <w:tcW w:w="5960" w:type="dxa"/>
            <w:vAlign w:val="bottom"/>
          </w:tcPr>
          <w:p w14:paraId="65E8C79F" w14:textId="77777777" w:rsidR="00D1587D" w:rsidRDefault="00D1587D">
            <w:pPr>
              <w:rPr>
                <w:sz w:val="16"/>
                <w:szCs w:val="16"/>
              </w:rPr>
            </w:pPr>
          </w:p>
        </w:tc>
        <w:tc>
          <w:tcPr>
            <w:tcW w:w="200" w:type="dxa"/>
            <w:vAlign w:val="bottom"/>
          </w:tcPr>
          <w:p w14:paraId="2E3EFFA5" w14:textId="77777777" w:rsidR="00D1587D" w:rsidRDefault="00D1587D">
            <w:pPr>
              <w:rPr>
                <w:sz w:val="16"/>
                <w:szCs w:val="16"/>
              </w:rPr>
            </w:pPr>
          </w:p>
        </w:tc>
        <w:tc>
          <w:tcPr>
            <w:tcW w:w="540" w:type="dxa"/>
            <w:vAlign w:val="bottom"/>
          </w:tcPr>
          <w:p w14:paraId="41E23176" w14:textId="77777777" w:rsidR="00D1587D" w:rsidRDefault="00410D07">
            <w:pPr>
              <w:ind w:right="132"/>
              <w:jc w:val="right"/>
              <w:rPr>
                <w:sz w:val="20"/>
                <w:szCs w:val="20"/>
              </w:rPr>
            </w:pPr>
            <w:r>
              <w:rPr>
                <w:rFonts w:ascii="Arial" w:eastAsia="Arial" w:hAnsi="Arial" w:cs="Arial"/>
                <w:b/>
                <w:bCs/>
                <w:w w:val="96"/>
                <w:sz w:val="14"/>
                <w:szCs w:val="14"/>
              </w:rPr>
              <w:t>2021</w:t>
            </w:r>
          </w:p>
        </w:tc>
        <w:tc>
          <w:tcPr>
            <w:tcW w:w="80" w:type="dxa"/>
            <w:vAlign w:val="bottom"/>
          </w:tcPr>
          <w:p w14:paraId="1D905183" w14:textId="77777777" w:rsidR="00D1587D" w:rsidRDefault="00D1587D">
            <w:pPr>
              <w:rPr>
                <w:sz w:val="16"/>
                <w:szCs w:val="16"/>
              </w:rPr>
            </w:pPr>
          </w:p>
        </w:tc>
        <w:tc>
          <w:tcPr>
            <w:tcW w:w="220" w:type="dxa"/>
            <w:vAlign w:val="bottom"/>
          </w:tcPr>
          <w:p w14:paraId="4493D9AB" w14:textId="77777777" w:rsidR="00D1587D" w:rsidRDefault="00D1587D">
            <w:pPr>
              <w:rPr>
                <w:sz w:val="16"/>
                <w:szCs w:val="16"/>
              </w:rPr>
            </w:pPr>
          </w:p>
        </w:tc>
        <w:tc>
          <w:tcPr>
            <w:tcW w:w="580" w:type="dxa"/>
            <w:vAlign w:val="bottom"/>
          </w:tcPr>
          <w:p w14:paraId="77124F1B" w14:textId="77777777" w:rsidR="00D1587D" w:rsidRDefault="00410D07">
            <w:pPr>
              <w:ind w:right="172"/>
              <w:jc w:val="right"/>
              <w:rPr>
                <w:sz w:val="20"/>
                <w:szCs w:val="20"/>
              </w:rPr>
            </w:pPr>
            <w:r>
              <w:rPr>
                <w:rFonts w:ascii="Arial" w:eastAsia="Arial" w:hAnsi="Arial" w:cs="Arial"/>
                <w:b/>
                <w:bCs/>
                <w:w w:val="96"/>
                <w:sz w:val="14"/>
                <w:szCs w:val="14"/>
              </w:rPr>
              <w:t>2020</w:t>
            </w:r>
          </w:p>
        </w:tc>
        <w:tc>
          <w:tcPr>
            <w:tcW w:w="840" w:type="dxa"/>
            <w:vAlign w:val="bottom"/>
          </w:tcPr>
          <w:p w14:paraId="1471C4C9" w14:textId="77777777" w:rsidR="00D1587D" w:rsidRDefault="00410D07">
            <w:pPr>
              <w:jc w:val="right"/>
              <w:rPr>
                <w:sz w:val="20"/>
                <w:szCs w:val="20"/>
              </w:rPr>
            </w:pPr>
            <w:r>
              <w:rPr>
                <w:rFonts w:ascii="Arial" w:eastAsia="Arial" w:hAnsi="Arial" w:cs="Arial"/>
                <w:b/>
                <w:bCs/>
                <w:sz w:val="14"/>
                <w:szCs w:val="14"/>
              </w:rPr>
              <w:t>% Change</w:t>
            </w:r>
          </w:p>
        </w:tc>
      </w:tr>
      <w:tr w:rsidR="00D1587D" w14:paraId="6C87118E" w14:textId="77777777">
        <w:trPr>
          <w:trHeight w:val="53"/>
        </w:trPr>
        <w:tc>
          <w:tcPr>
            <w:tcW w:w="5960" w:type="dxa"/>
            <w:vAlign w:val="bottom"/>
          </w:tcPr>
          <w:p w14:paraId="1A9396D0" w14:textId="77777777" w:rsidR="00D1587D" w:rsidRDefault="00D1587D">
            <w:pPr>
              <w:rPr>
                <w:sz w:val="4"/>
                <w:szCs w:val="4"/>
              </w:rPr>
            </w:pPr>
          </w:p>
        </w:tc>
        <w:tc>
          <w:tcPr>
            <w:tcW w:w="200" w:type="dxa"/>
            <w:tcBorders>
              <w:bottom w:val="single" w:sz="8" w:space="0" w:color="auto"/>
            </w:tcBorders>
            <w:vAlign w:val="bottom"/>
          </w:tcPr>
          <w:p w14:paraId="2B0D6E6C" w14:textId="77777777" w:rsidR="00D1587D" w:rsidRDefault="00D1587D">
            <w:pPr>
              <w:rPr>
                <w:sz w:val="4"/>
                <w:szCs w:val="4"/>
              </w:rPr>
            </w:pPr>
          </w:p>
        </w:tc>
        <w:tc>
          <w:tcPr>
            <w:tcW w:w="540" w:type="dxa"/>
            <w:tcBorders>
              <w:bottom w:val="single" w:sz="8" w:space="0" w:color="auto"/>
            </w:tcBorders>
            <w:vAlign w:val="bottom"/>
          </w:tcPr>
          <w:p w14:paraId="3D51FC4D" w14:textId="77777777" w:rsidR="00D1587D" w:rsidRDefault="00D1587D">
            <w:pPr>
              <w:rPr>
                <w:sz w:val="4"/>
                <w:szCs w:val="4"/>
              </w:rPr>
            </w:pPr>
          </w:p>
        </w:tc>
        <w:tc>
          <w:tcPr>
            <w:tcW w:w="80" w:type="dxa"/>
            <w:tcBorders>
              <w:bottom w:val="single" w:sz="8" w:space="0" w:color="auto"/>
            </w:tcBorders>
            <w:vAlign w:val="bottom"/>
          </w:tcPr>
          <w:p w14:paraId="0D48F25D" w14:textId="77777777" w:rsidR="00D1587D" w:rsidRDefault="00D1587D">
            <w:pPr>
              <w:rPr>
                <w:sz w:val="4"/>
                <w:szCs w:val="4"/>
              </w:rPr>
            </w:pPr>
          </w:p>
        </w:tc>
        <w:tc>
          <w:tcPr>
            <w:tcW w:w="800" w:type="dxa"/>
            <w:gridSpan w:val="2"/>
            <w:tcBorders>
              <w:bottom w:val="single" w:sz="8" w:space="0" w:color="auto"/>
            </w:tcBorders>
            <w:vAlign w:val="bottom"/>
          </w:tcPr>
          <w:p w14:paraId="42868BD6" w14:textId="77777777" w:rsidR="00D1587D" w:rsidRDefault="00D1587D">
            <w:pPr>
              <w:rPr>
                <w:sz w:val="4"/>
                <w:szCs w:val="4"/>
              </w:rPr>
            </w:pPr>
          </w:p>
        </w:tc>
        <w:tc>
          <w:tcPr>
            <w:tcW w:w="840" w:type="dxa"/>
            <w:tcBorders>
              <w:bottom w:val="single" w:sz="8" w:space="0" w:color="auto"/>
            </w:tcBorders>
            <w:vAlign w:val="bottom"/>
          </w:tcPr>
          <w:p w14:paraId="3EAF7778" w14:textId="77777777" w:rsidR="00D1587D" w:rsidRDefault="00D1587D">
            <w:pPr>
              <w:rPr>
                <w:sz w:val="4"/>
                <w:szCs w:val="4"/>
              </w:rPr>
            </w:pPr>
          </w:p>
        </w:tc>
      </w:tr>
      <w:tr w:rsidR="00D1587D" w14:paraId="1BE82C44" w14:textId="77777777">
        <w:trPr>
          <w:trHeight w:val="224"/>
        </w:trPr>
        <w:tc>
          <w:tcPr>
            <w:tcW w:w="5960" w:type="dxa"/>
            <w:vAlign w:val="bottom"/>
          </w:tcPr>
          <w:p w14:paraId="14B9620F" w14:textId="77777777" w:rsidR="00D1587D" w:rsidRDefault="00410D07">
            <w:pPr>
              <w:rPr>
                <w:sz w:val="20"/>
                <w:szCs w:val="20"/>
              </w:rPr>
            </w:pPr>
            <w:r>
              <w:rPr>
                <w:rFonts w:ascii="Arial" w:eastAsia="Arial" w:hAnsi="Arial" w:cs="Arial"/>
                <w:b/>
                <w:bCs/>
                <w:sz w:val="14"/>
                <w:szCs w:val="14"/>
              </w:rPr>
              <w:t>First Quarter</w:t>
            </w:r>
          </w:p>
        </w:tc>
        <w:tc>
          <w:tcPr>
            <w:tcW w:w="200" w:type="dxa"/>
            <w:vAlign w:val="bottom"/>
          </w:tcPr>
          <w:p w14:paraId="26F39B77" w14:textId="77777777" w:rsidR="00D1587D" w:rsidRDefault="00D1587D">
            <w:pPr>
              <w:rPr>
                <w:sz w:val="19"/>
                <w:szCs w:val="19"/>
              </w:rPr>
            </w:pPr>
          </w:p>
        </w:tc>
        <w:tc>
          <w:tcPr>
            <w:tcW w:w="540" w:type="dxa"/>
            <w:vAlign w:val="bottom"/>
          </w:tcPr>
          <w:p w14:paraId="6A9FD8AE" w14:textId="77777777" w:rsidR="00D1587D" w:rsidRDefault="00D1587D">
            <w:pPr>
              <w:rPr>
                <w:sz w:val="19"/>
                <w:szCs w:val="19"/>
              </w:rPr>
            </w:pPr>
          </w:p>
        </w:tc>
        <w:tc>
          <w:tcPr>
            <w:tcW w:w="80" w:type="dxa"/>
            <w:vAlign w:val="bottom"/>
          </w:tcPr>
          <w:p w14:paraId="11486ABF" w14:textId="77777777" w:rsidR="00D1587D" w:rsidRDefault="00D1587D">
            <w:pPr>
              <w:rPr>
                <w:sz w:val="19"/>
                <w:szCs w:val="19"/>
              </w:rPr>
            </w:pPr>
          </w:p>
        </w:tc>
        <w:tc>
          <w:tcPr>
            <w:tcW w:w="800" w:type="dxa"/>
            <w:gridSpan w:val="2"/>
            <w:vAlign w:val="bottom"/>
          </w:tcPr>
          <w:p w14:paraId="2233EB91" w14:textId="77777777" w:rsidR="00D1587D" w:rsidRDefault="00410D07">
            <w:pPr>
              <w:jc w:val="right"/>
              <w:rPr>
                <w:sz w:val="20"/>
                <w:szCs w:val="20"/>
              </w:rPr>
            </w:pPr>
            <w:r>
              <w:rPr>
                <w:rFonts w:ascii="Arial" w:eastAsia="Arial" w:hAnsi="Arial" w:cs="Arial"/>
                <w:b/>
                <w:bCs/>
                <w:w w:val="96"/>
                <w:sz w:val="14"/>
                <w:szCs w:val="14"/>
              </w:rPr>
              <w:t>(in millions)</w:t>
            </w:r>
          </w:p>
        </w:tc>
        <w:tc>
          <w:tcPr>
            <w:tcW w:w="840" w:type="dxa"/>
            <w:vAlign w:val="bottom"/>
          </w:tcPr>
          <w:p w14:paraId="3CE0ECC6" w14:textId="77777777" w:rsidR="00D1587D" w:rsidRDefault="00D1587D">
            <w:pPr>
              <w:rPr>
                <w:sz w:val="19"/>
                <w:szCs w:val="19"/>
              </w:rPr>
            </w:pPr>
          </w:p>
        </w:tc>
      </w:tr>
      <w:tr w:rsidR="00D1587D" w14:paraId="57A78B74" w14:textId="77777777">
        <w:trPr>
          <w:trHeight w:val="53"/>
        </w:trPr>
        <w:tc>
          <w:tcPr>
            <w:tcW w:w="5960" w:type="dxa"/>
            <w:vAlign w:val="bottom"/>
          </w:tcPr>
          <w:p w14:paraId="34F6F95B" w14:textId="77777777" w:rsidR="00D1587D" w:rsidRDefault="00D1587D">
            <w:pPr>
              <w:rPr>
                <w:sz w:val="4"/>
                <w:szCs w:val="4"/>
              </w:rPr>
            </w:pPr>
          </w:p>
        </w:tc>
        <w:tc>
          <w:tcPr>
            <w:tcW w:w="740" w:type="dxa"/>
            <w:gridSpan w:val="2"/>
            <w:vAlign w:val="bottom"/>
          </w:tcPr>
          <w:p w14:paraId="01C8EAEF" w14:textId="77777777" w:rsidR="00D1587D" w:rsidRDefault="00D1587D">
            <w:pPr>
              <w:rPr>
                <w:sz w:val="4"/>
                <w:szCs w:val="4"/>
              </w:rPr>
            </w:pPr>
          </w:p>
        </w:tc>
        <w:tc>
          <w:tcPr>
            <w:tcW w:w="80" w:type="dxa"/>
            <w:vAlign w:val="bottom"/>
          </w:tcPr>
          <w:p w14:paraId="13E98242" w14:textId="77777777" w:rsidR="00D1587D" w:rsidRDefault="00D1587D">
            <w:pPr>
              <w:rPr>
                <w:sz w:val="4"/>
                <w:szCs w:val="4"/>
              </w:rPr>
            </w:pPr>
          </w:p>
        </w:tc>
        <w:tc>
          <w:tcPr>
            <w:tcW w:w="220" w:type="dxa"/>
            <w:vAlign w:val="bottom"/>
          </w:tcPr>
          <w:p w14:paraId="0036D0A2" w14:textId="77777777" w:rsidR="00D1587D" w:rsidRDefault="00D1587D">
            <w:pPr>
              <w:rPr>
                <w:sz w:val="4"/>
                <w:szCs w:val="4"/>
              </w:rPr>
            </w:pPr>
          </w:p>
        </w:tc>
        <w:tc>
          <w:tcPr>
            <w:tcW w:w="580" w:type="dxa"/>
            <w:vAlign w:val="bottom"/>
          </w:tcPr>
          <w:p w14:paraId="51EE993D" w14:textId="77777777" w:rsidR="00D1587D" w:rsidRDefault="00D1587D">
            <w:pPr>
              <w:rPr>
                <w:sz w:val="4"/>
                <w:szCs w:val="4"/>
              </w:rPr>
            </w:pPr>
          </w:p>
        </w:tc>
        <w:tc>
          <w:tcPr>
            <w:tcW w:w="840" w:type="dxa"/>
            <w:vAlign w:val="bottom"/>
          </w:tcPr>
          <w:p w14:paraId="49799074" w14:textId="77777777" w:rsidR="00D1587D" w:rsidRDefault="00D1587D">
            <w:pPr>
              <w:rPr>
                <w:sz w:val="4"/>
                <w:szCs w:val="4"/>
              </w:rPr>
            </w:pPr>
          </w:p>
        </w:tc>
      </w:tr>
      <w:tr w:rsidR="00D1587D" w14:paraId="61F6437A" w14:textId="77777777">
        <w:trPr>
          <w:trHeight w:val="318"/>
        </w:trPr>
        <w:tc>
          <w:tcPr>
            <w:tcW w:w="5960" w:type="dxa"/>
            <w:tcBorders>
              <w:bottom w:val="single" w:sz="8" w:space="0" w:color="CCEEFF"/>
            </w:tcBorders>
            <w:shd w:val="clear" w:color="auto" w:fill="CCEEFF"/>
            <w:vAlign w:val="bottom"/>
          </w:tcPr>
          <w:p w14:paraId="519DCEC3" w14:textId="77777777" w:rsidR="00D1587D" w:rsidRDefault="00410D07">
            <w:pPr>
              <w:rPr>
                <w:sz w:val="20"/>
                <w:szCs w:val="20"/>
              </w:rPr>
            </w:pPr>
            <w:r>
              <w:rPr>
                <w:rFonts w:ascii="Arial" w:eastAsia="Arial" w:hAnsi="Arial" w:cs="Arial"/>
                <w:sz w:val="18"/>
                <w:szCs w:val="18"/>
              </w:rPr>
              <w:t>Net Sales</w:t>
            </w:r>
          </w:p>
        </w:tc>
        <w:tc>
          <w:tcPr>
            <w:tcW w:w="740" w:type="dxa"/>
            <w:gridSpan w:val="2"/>
            <w:tcBorders>
              <w:bottom w:val="single" w:sz="8" w:space="0" w:color="CCEEFF"/>
            </w:tcBorders>
            <w:shd w:val="clear" w:color="auto" w:fill="CCEEFF"/>
            <w:vAlign w:val="bottom"/>
          </w:tcPr>
          <w:p w14:paraId="2E11DEB7" w14:textId="77777777" w:rsidR="00D1587D" w:rsidRDefault="00410D07">
            <w:pPr>
              <w:ind w:right="72"/>
              <w:jc w:val="right"/>
              <w:rPr>
                <w:sz w:val="20"/>
                <w:szCs w:val="20"/>
              </w:rPr>
            </w:pPr>
            <w:r>
              <w:rPr>
                <w:rFonts w:ascii="Arial" w:eastAsia="Arial" w:hAnsi="Arial" w:cs="Arial"/>
                <w:sz w:val="18"/>
                <w:szCs w:val="18"/>
              </w:rPr>
              <w:t>$1,554</w:t>
            </w:r>
          </w:p>
        </w:tc>
        <w:tc>
          <w:tcPr>
            <w:tcW w:w="80" w:type="dxa"/>
            <w:tcBorders>
              <w:bottom w:val="single" w:sz="8" w:space="0" w:color="CCEEFF"/>
            </w:tcBorders>
            <w:shd w:val="clear" w:color="auto" w:fill="CCEEFF"/>
            <w:vAlign w:val="bottom"/>
          </w:tcPr>
          <w:p w14:paraId="7E99DE14" w14:textId="77777777" w:rsidR="00D1587D" w:rsidRDefault="00D1587D">
            <w:pPr>
              <w:rPr>
                <w:sz w:val="24"/>
                <w:szCs w:val="24"/>
              </w:rPr>
            </w:pPr>
          </w:p>
        </w:tc>
        <w:tc>
          <w:tcPr>
            <w:tcW w:w="220" w:type="dxa"/>
            <w:tcBorders>
              <w:bottom w:val="single" w:sz="8" w:space="0" w:color="CCEEFF"/>
            </w:tcBorders>
            <w:shd w:val="clear" w:color="auto" w:fill="CCEEFF"/>
            <w:vAlign w:val="bottom"/>
          </w:tcPr>
          <w:p w14:paraId="6FE9B008" w14:textId="77777777" w:rsidR="00D1587D" w:rsidRDefault="00410D07">
            <w:pPr>
              <w:jc w:val="right"/>
              <w:rPr>
                <w:sz w:val="20"/>
                <w:szCs w:val="20"/>
              </w:rPr>
            </w:pPr>
            <w:r>
              <w:rPr>
                <w:rFonts w:ascii="Arial" w:eastAsia="Arial" w:hAnsi="Arial" w:cs="Arial"/>
                <w:sz w:val="18"/>
                <w:szCs w:val="18"/>
              </w:rPr>
              <w:t>$</w:t>
            </w:r>
          </w:p>
        </w:tc>
        <w:tc>
          <w:tcPr>
            <w:tcW w:w="580" w:type="dxa"/>
            <w:tcBorders>
              <w:bottom w:val="single" w:sz="8" w:space="0" w:color="CCEEFF"/>
            </w:tcBorders>
            <w:shd w:val="clear" w:color="auto" w:fill="CCEEFF"/>
            <w:vAlign w:val="bottom"/>
          </w:tcPr>
          <w:p w14:paraId="73130C07" w14:textId="77777777" w:rsidR="00D1587D" w:rsidRDefault="00410D07">
            <w:pPr>
              <w:ind w:right="152"/>
              <w:jc w:val="right"/>
              <w:rPr>
                <w:sz w:val="20"/>
                <w:szCs w:val="20"/>
              </w:rPr>
            </w:pPr>
            <w:r>
              <w:rPr>
                <w:rFonts w:ascii="Arial" w:eastAsia="Arial" w:hAnsi="Arial" w:cs="Arial"/>
                <w:sz w:val="18"/>
                <w:szCs w:val="18"/>
              </w:rPr>
              <w:t>894</w:t>
            </w:r>
          </w:p>
        </w:tc>
        <w:tc>
          <w:tcPr>
            <w:tcW w:w="840" w:type="dxa"/>
            <w:tcBorders>
              <w:bottom w:val="single" w:sz="8" w:space="0" w:color="CCEEFF"/>
            </w:tcBorders>
            <w:shd w:val="clear" w:color="auto" w:fill="CCEEFF"/>
            <w:vAlign w:val="bottom"/>
          </w:tcPr>
          <w:p w14:paraId="3CC162C0" w14:textId="77777777" w:rsidR="00D1587D" w:rsidRDefault="00410D07">
            <w:pPr>
              <w:jc w:val="right"/>
              <w:rPr>
                <w:sz w:val="20"/>
                <w:szCs w:val="20"/>
              </w:rPr>
            </w:pPr>
            <w:r>
              <w:rPr>
                <w:rFonts w:ascii="Arial" w:eastAsia="Arial" w:hAnsi="Arial" w:cs="Arial"/>
                <w:sz w:val="18"/>
                <w:szCs w:val="18"/>
              </w:rPr>
              <w:t>74%</w:t>
            </w:r>
          </w:p>
        </w:tc>
      </w:tr>
      <w:tr w:rsidR="00D1587D" w14:paraId="28E1E1B5" w14:textId="77777777">
        <w:trPr>
          <w:trHeight w:val="270"/>
        </w:trPr>
        <w:tc>
          <w:tcPr>
            <w:tcW w:w="5960" w:type="dxa"/>
            <w:vAlign w:val="bottom"/>
          </w:tcPr>
          <w:p w14:paraId="3F879675" w14:textId="77777777" w:rsidR="00D1587D" w:rsidRDefault="00410D07">
            <w:pPr>
              <w:rPr>
                <w:sz w:val="20"/>
                <w:szCs w:val="20"/>
              </w:rPr>
            </w:pPr>
            <w:r>
              <w:rPr>
                <w:rFonts w:ascii="Arial" w:eastAsia="Arial" w:hAnsi="Arial" w:cs="Arial"/>
                <w:sz w:val="18"/>
                <w:szCs w:val="18"/>
              </w:rPr>
              <w:t xml:space="preserve">Costs of Goods </w:t>
            </w:r>
            <w:r>
              <w:rPr>
                <w:rFonts w:ascii="Arial" w:eastAsia="Arial" w:hAnsi="Arial" w:cs="Arial"/>
                <w:sz w:val="18"/>
                <w:szCs w:val="18"/>
              </w:rPr>
              <w:t>Sold, Buying and Occupancy</w:t>
            </w:r>
          </w:p>
        </w:tc>
        <w:tc>
          <w:tcPr>
            <w:tcW w:w="200" w:type="dxa"/>
            <w:vAlign w:val="bottom"/>
          </w:tcPr>
          <w:p w14:paraId="4FA3D900" w14:textId="77777777" w:rsidR="00D1587D" w:rsidRDefault="00D1587D">
            <w:pPr>
              <w:rPr>
                <w:sz w:val="23"/>
                <w:szCs w:val="23"/>
              </w:rPr>
            </w:pPr>
          </w:p>
        </w:tc>
        <w:tc>
          <w:tcPr>
            <w:tcW w:w="540" w:type="dxa"/>
            <w:vAlign w:val="bottom"/>
          </w:tcPr>
          <w:p w14:paraId="5BC8AE50" w14:textId="77777777" w:rsidR="00D1587D" w:rsidRDefault="00410D07">
            <w:pPr>
              <w:ind w:right="12"/>
              <w:jc w:val="right"/>
              <w:rPr>
                <w:sz w:val="20"/>
                <w:szCs w:val="20"/>
              </w:rPr>
            </w:pPr>
            <w:r>
              <w:rPr>
                <w:rFonts w:ascii="Arial" w:eastAsia="Arial" w:hAnsi="Arial" w:cs="Arial"/>
                <w:w w:val="99"/>
                <w:sz w:val="18"/>
                <w:szCs w:val="18"/>
              </w:rPr>
              <w:t>(882)</w:t>
            </w:r>
          </w:p>
        </w:tc>
        <w:tc>
          <w:tcPr>
            <w:tcW w:w="80" w:type="dxa"/>
            <w:vAlign w:val="bottom"/>
          </w:tcPr>
          <w:p w14:paraId="3CD420AF" w14:textId="77777777" w:rsidR="00D1587D" w:rsidRDefault="00D1587D">
            <w:pPr>
              <w:rPr>
                <w:sz w:val="23"/>
                <w:szCs w:val="23"/>
              </w:rPr>
            </w:pPr>
          </w:p>
        </w:tc>
        <w:tc>
          <w:tcPr>
            <w:tcW w:w="220" w:type="dxa"/>
            <w:vAlign w:val="bottom"/>
          </w:tcPr>
          <w:p w14:paraId="30F6A973" w14:textId="77777777" w:rsidR="00D1587D" w:rsidRDefault="00D1587D">
            <w:pPr>
              <w:rPr>
                <w:sz w:val="23"/>
                <w:szCs w:val="23"/>
              </w:rPr>
            </w:pPr>
          </w:p>
        </w:tc>
        <w:tc>
          <w:tcPr>
            <w:tcW w:w="580" w:type="dxa"/>
            <w:vAlign w:val="bottom"/>
          </w:tcPr>
          <w:p w14:paraId="01CF6C62" w14:textId="77777777" w:rsidR="00D1587D" w:rsidRDefault="00410D07">
            <w:pPr>
              <w:ind w:right="72"/>
              <w:jc w:val="right"/>
              <w:rPr>
                <w:sz w:val="20"/>
                <w:szCs w:val="20"/>
              </w:rPr>
            </w:pPr>
            <w:r>
              <w:rPr>
                <w:rFonts w:ascii="Arial" w:eastAsia="Arial" w:hAnsi="Arial" w:cs="Arial"/>
                <w:w w:val="95"/>
                <w:sz w:val="18"/>
                <w:szCs w:val="18"/>
              </w:rPr>
              <w:t>(873)</w:t>
            </w:r>
          </w:p>
        </w:tc>
        <w:tc>
          <w:tcPr>
            <w:tcW w:w="840" w:type="dxa"/>
            <w:vAlign w:val="bottom"/>
          </w:tcPr>
          <w:p w14:paraId="0D7DA9A5" w14:textId="77777777" w:rsidR="00D1587D" w:rsidRDefault="00410D07">
            <w:pPr>
              <w:jc w:val="right"/>
              <w:rPr>
                <w:sz w:val="20"/>
                <w:szCs w:val="20"/>
              </w:rPr>
            </w:pPr>
            <w:r>
              <w:rPr>
                <w:rFonts w:ascii="Arial" w:eastAsia="Arial" w:hAnsi="Arial" w:cs="Arial"/>
                <w:sz w:val="18"/>
                <w:szCs w:val="18"/>
              </w:rPr>
              <w:t>1%</w:t>
            </w:r>
          </w:p>
        </w:tc>
      </w:tr>
      <w:tr w:rsidR="00D1587D" w14:paraId="37A0DFDE" w14:textId="77777777">
        <w:trPr>
          <w:trHeight w:val="68"/>
        </w:trPr>
        <w:tc>
          <w:tcPr>
            <w:tcW w:w="5960" w:type="dxa"/>
            <w:tcBorders>
              <w:bottom w:val="single" w:sz="8" w:space="0" w:color="CCEEFF"/>
            </w:tcBorders>
            <w:vAlign w:val="bottom"/>
          </w:tcPr>
          <w:p w14:paraId="7C9CA129" w14:textId="77777777" w:rsidR="00D1587D" w:rsidRDefault="00D1587D">
            <w:pPr>
              <w:rPr>
                <w:sz w:val="5"/>
                <w:szCs w:val="5"/>
              </w:rPr>
            </w:pPr>
          </w:p>
        </w:tc>
        <w:tc>
          <w:tcPr>
            <w:tcW w:w="200" w:type="dxa"/>
            <w:tcBorders>
              <w:bottom w:val="single" w:sz="8" w:space="0" w:color="auto"/>
            </w:tcBorders>
            <w:vAlign w:val="bottom"/>
          </w:tcPr>
          <w:p w14:paraId="1FDF9BE1" w14:textId="77777777" w:rsidR="00D1587D" w:rsidRDefault="00D1587D">
            <w:pPr>
              <w:rPr>
                <w:sz w:val="5"/>
                <w:szCs w:val="5"/>
              </w:rPr>
            </w:pPr>
          </w:p>
        </w:tc>
        <w:tc>
          <w:tcPr>
            <w:tcW w:w="540" w:type="dxa"/>
            <w:tcBorders>
              <w:bottom w:val="single" w:sz="8" w:space="0" w:color="auto"/>
            </w:tcBorders>
            <w:vAlign w:val="bottom"/>
          </w:tcPr>
          <w:p w14:paraId="606BD57C" w14:textId="77777777" w:rsidR="00D1587D" w:rsidRDefault="00D1587D">
            <w:pPr>
              <w:rPr>
                <w:sz w:val="5"/>
                <w:szCs w:val="5"/>
              </w:rPr>
            </w:pPr>
          </w:p>
        </w:tc>
        <w:tc>
          <w:tcPr>
            <w:tcW w:w="80" w:type="dxa"/>
            <w:tcBorders>
              <w:bottom w:val="single" w:sz="8" w:space="0" w:color="CCEEFF"/>
            </w:tcBorders>
            <w:vAlign w:val="bottom"/>
          </w:tcPr>
          <w:p w14:paraId="23E9F294" w14:textId="77777777" w:rsidR="00D1587D" w:rsidRDefault="00D1587D">
            <w:pPr>
              <w:rPr>
                <w:sz w:val="5"/>
                <w:szCs w:val="5"/>
              </w:rPr>
            </w:pPr>
          </w:p>
        </w:tc>
        <w:tc>
          <w:tcPr>
            <w:tcW w:w="220" w:type="dxa"/>
            <w:tcBorders>
              <w:bottom w:val="single" w:sz="8" w:space="0" w:color="auto"/>
            </w:tcBorders>
            <w:vAlign w:val="bottom"/>
          </w:tcPr>
          <w:p w14:paraId="610BED42" w14:textId="77777777" w:rsidR="00D1587D" w:rsidRDefault="00D1587D">
            <w:pPr>
              <w:rPr>
                <w:sz w:val="5"/>
                <w:szCs w:val="5"/>
              </w:rPr>
            </w:pPr>
          </w:p>
        </w:tc>
        <w:tc>
          <w:tcPr>
            <w:tcW w:w="580" w:type="dxa"/>
            <w:tcBorders>
              <w:bottom w:val="single" w:sz="8" w:space="0" w:color="auto"/>
            </w:tcBorders>
            <w:vAlign w:val="bottom"/>
          </w:tcPr>
          <w:p w14:paraId="2199E07C" w14:textId="77777777" w:rsidR="00D1587D" w:rsidRDefault="00D1587D">
            <w:pPr>
              <w:rPr>
                <w:sz w:val="5"/>
                <w:szCs w:val="5"/>
              </w:rPr>
            </w:pPr>
          </w:p>
        </w:tc>
        <w:tc>
          <w:tcPr>
            <w:tcW w:w="840" w:type="dxa"/>
            <w:tcBorders>
              <w:bottom w:val="single" w:sz="8" w:space="0" w:color="CCEEFF"/>
            </w:tcBorders>
            <w:vAlign w:val="bottom"/>
          </w:tcPr>
          <w:p w14:paraId="2745B0EB" w14:textId="77777777" w:rsidR="00D1587D" w:rsidRDefault="00D1587D">
            <w:pPr>
              <w:rPr>
                <w:sz w:val="5"/>
                <w:szCs w:val="5"/>
              </w:rPr>
            </w:pPr>
          </w:p>
        </w:tc>
      </w:tr>
      <w:tr w:rsidR="00D1587D" w14:paraId="7ED3B1A1" w14:textId="77777777">
        <w:trPr>
          <w:trHeight w:val="311"/>
        </w:trPr>
        <w:tc>
          <w:tcPr>
            <w:tcW w:w="5960" w:type="dxa"/>
            <w:tcBorders>
              <w:bottom w:val="single" w:sz="8" w:space="0" w:color="CCEEFF"/>
            </w:tcBorders>
            <w:shd w:val="clear" w:color="auto" w:fill="CCEEFF"/>
            <w:vAlign w:val="bottom"/>
          </w:tcPr>
          <w:p w14:paraId="31B91FD7" w14:textId="77777777" w:rsidR="00D1587D" w:rsidRDefault="00410D07">
            <w:pPr>
              <w:rPr>
                <w:sz w:val="20"/>
                <w:szCs w:val="20"/>
              </w:rPr>
            </w:pPr>
            <w:r>
              <w:rPr>
                <w:rFonts w:ascii="Arial" w:eastAsia="Arial" w:hAnsi="Arial" w:cs="Arial"/>
                <w:sz w:val="18"/>
                <w:szCs w:val="18"/>
              </w:rPr>
              <w:t>Gross Profit</w:t>
            </w:r>
          </w:p>
        </w:tc>
        <w:tc>
          <w:tcPr>
            <w:tcW w:w="200" w:type="dxa"/>
            <w:tcBorders>
              <w:bottom w:val="single" w:sz="8" w:space="0" w:color="CCEEFF"/>
            </w:tcBorders>
            <w:shd w:val="clear" w:color="auto" w:fill="CCEEFF"/>
            <w:vAlign w:val="bottom"/>
          </w:tcPr>
          <w:p w14:paraId="26074CEE" w14:textId="77777777" w:rsidR="00D1587D" w:rsidRDefault="00D1587D">
            <w:pPr>
              <w:rPr>
                <w:sz w:val="24"/>
                <w:szCs w:val="24"/>
              </w:rPr>
            </w:pPr>
          </w:p>
        </w:tc>
        <w:tc>
          <w:tcPr>
            <w:tcW w:w="540" w:type="dxa"/>
            <w:tcBorders>
              <w:bottom w:val="single" w:sz="8" w:space="0" w:color="CCEEFF"/>
            </w:tcBorders>
            <w:shd w:val="clear" w:color="auto" w:fill="CCEEFF"/>
            <w:vAlign w:val="bottom"/>
          </w:tcPr>
          <w:p w14:paraId="011F076E" w14:textId="77777777" w:rsidR="00D1587D" w:rsidRDefault="00410D07">
            <w:pPr>
              <w:ind w:right="72"/>
              <w:jc w:val="right"/>
              <w:rPr>
                <w:sz w:val="20"/>
                <w:szCs w:val="20"/>
              </w:rPr>
            </w:pPr>
            <w:r>
              <w:rPr>
                <w:rFonts w:ascii="Arial" w:eastAsia="Arial" w:hAnsi="Arial" w:cs="Arial"/>
                <w:sz w:val="18"/>
                <w:szCs w:val="18"/>
              </w:rPr>
              <w:t>672</w:t>
            </w:r>
          </w:p>
        </w:tc>
        <w:tc>
          <w:tcPr>
            <w:tcW w:w="80" w:type="dxa"/>
            <w:tcBorders>
              <w:bottom w:val="single" w:sz="8" w:space="0" w:color="CCEEFF"/>
            </w:tcBorders>
            <w:shd w:val="clear" w:color="auto" w:fill="CCEEFF"/>
            <w:vAlign w:val="bottom"/>
          </w:tcPr>
          <w:p w14:paraId="1E6CA695" w14:textId="77777777" w:rsidR="00D1587D" w:rsidRDefault="00D1587D">
            <w:pPr>
              <w:rPr>
                <w:sz w:val="24"/>
                <w:szCs w:val="24"/>
              </w:rPr>
            </w:pPr>
          </w:p>
        </w:tc>
        <w:tc>
          <w:tcPr>
            <w:tcW w:w="220" w:type="dxa"/>
            <w:tcBorders>
              <w:bottom w:val="single" w:sz="8" w:space="0" w:color="CCEEFF"/>
            </w:tcBorders>
            <w:shd w:val="clear" w:color="auto" w:fill="CCEEFF"/>
            <w:vAlign w:val="bottom"/>
          </w:tcPr>
          <w:p w14:paraId="493F6EA2" w14:textId="77777777" w:rsidR="00D1587D" w:rsidRDefault="00D1587D">
            <w:pPr>
              <w:rPr>
                <w:sz w:val="24"/>
                <w:szCs w:val="24"/>
              </w:rPr>
            </w:pPr>
          </w:p>
        </w:tc>
        <w:tc>
          <w:tcPr>
            <w:tcW w:w="580" w:type="dxa"/>
            <w:tcBorders>
              <w:bottom w:val="single" w:sz="8" w:space="0" w:color="CCEEFF"/>
            </w:tcBorders>
            <w:shd w:val="clear" w:color="auto" w:fill="CCEEFF"/>
            <w:vAlign w:val="bottom"/>
          </w:tcPr>
          <w:p w14:paraId="21840D4A" w14:textId="77777777" w:rsidR="00D1587D" w:rsidRDefault="00410D07">
            <w:pPr>
              <w:ind w:right="132"/>
              <w:jc w:val="right"/>
              <w:rPr>
                <w:sz w:val="20"/>
                <w:szCs w:val="20"/>
              </w:rPr>
            </w:pPr>
            <w:r>
              <w:rPr>
                <w:rFonts w:ascii="Arial" w:eastAsia="Arial" w:hAnsi="Arial" w:cs="Arial"/>
                <w:sz w:val="18"/>
                <w:szCs w:val="18"/>
              </w:rPr>
              <w:t>21</w:t>
            </w:r>
          </w:p>
        </w:tc>
        <w:tc>
          <w:tcPr>
            <w:tcW w:w="840" w:type="dxa"/>
            <w:tcBorders>
              <w:bottom w:val="single" w:sz="8" w:space="0" w:color="CCEEFF"/>
            </w:tcBorders>
            <w:shd w:val="clear" w:color="auto" w:fill="CCEEFF"/>
            <w:vAlign w:val="bottom"/>
          </w:tcPr>
          <w:p w14:paraId="61FE962A" w14:textId="77777777" w:rsidR="00D1587D" w:rsidRDefault="00410D07">
            <w:pPr>
              <w:jc w:val="right"/>
              <w:rPr>
                <w:sz w:val="20"/>
                <w:szCs w:val="20"/>
              </w:rPr>
            </w:pPr>
            <w:r>
              <w:rPr>
                <w:rFonts w:ascii="Arial" w:eastAsia="Arial" w:hAnsi="Arial" w:cs="Arial"/>
                <w:sz w:val="18"/>
                <w:szCs w:val="18"/>
              </w:rPr>
              <w:t>3,100%</w:t>
            </w:r>
          </w:p>
        </w:tc>
      </w:tr>
      <w:tr w:rsidR="00D1587D" w14:paraId="73D89413" w14:textId="77777777">
        <w:trPr>
          <w:trHeight w:val="270"/>
        </w:trPr>
        <w:tc>
          <w:tcPr>
            <w:tcW w:w="5960" w:type="dxa"/>
            <w:vAlign w:val="bottom"/>
          </w:tcPr>
          <w:p w14:paraId="1A526EAB" w14:textId="77777777" w:rsidR="00D1587D" w:rsidRDefault="00410D07">
            <w:pPr>
              <w:rPr>
                <w:sz w:val="20"/>
                <w:szCs w:val="20"/>
              </w:rPr>
            </w:pPr>
            <w:r>
              <w:rPr>
                <w:rFonts w:ascii="Arial" w:eastAsia="Arial" w:hAnsi="Arial" w:cs="Arial"/>
                <w:sz w:val="18"/>
                <w:szCs w:val="18"/>
              </w:rPr>
              <w:t>General, Administrative and Store Operating Expenses</w:t>
            </w:r>
          </w:p>
        </w:tc>
        <w:tc>
          <w:tcPr>
            <w:tcW w:w="200" w:type="dxa"/>
            <w:vAlign w:val="bottom"/>
          </w:tcPr>
          <w:p w14:paraId="676C4F4A" w14:textId="77777777" w:rsidR="00D1587D" w:rsidRDefault="00D1587D">
            <w:pPr>
              <w:rPr>
                <w:sz w:val="23"/>
                <w:szCs w:val="23"/>
              </w:rPr>
            </w:pPr>
          </w:p>
        </w:tc>
        <w:tc>
          <w:tcPr>
            <w:tcW w:w="540" w:type="dxa"/>
            <w:vAlign w:val="bottom"/>
          </w:tcPr>
          <w:p w14:paraId="412ABA6D" w14:textId="77777777" w:rsidR="00D1587D" w:rsidRDefault="00410D07">
            <w:pPr>
              <w:ind w:right="12"/>
              <w:jc w:val="right"/>
              <w:rPr>
                <w:sz w:val="20"/>
                <w:szCs w:val="20"/>
              </w:rPr>
            </w:pPr>
            <w:r>
              <w:rPr>
                <w:rFonts w:ascii="Arial" w:eastAsia="Arial" w:hAnsi="Arial" w:cs="Arial"/>
                <w:w w:val="99"/>
                <w:sz w:val="18"/>
                <w:szCs w:val="18"/>
              </w:rPr>
              <w:t>(446)</w:t>
            </w:r>
          </w:p>
        </w:tc>
        <w:tc>
          <w:tcPr>
            <w:tcW w:w="80" w:type="dxa"/>
            <w:vAlign w:val="bottom"/>
          </w:tcPr>
          <w:p w14:paraId="1F3EBAB2" w14:textId="77777777" w:rsidR="00D1587D" w:rsidRDefault="00D1587D">
            <w:pPr>
              <w:rPr>
                <w:sz w:val="23"/>
                <w:szCs w:val="23"/>
              </w:rPr>
            </w:pPr>
          </w:p>
        </w:tc>
        <w:tc>
          <w:tcPr>
            <w:tcW w:w="220" w:type="dxa"/>
            <w:vAlign w:val="bottom"/>
          </w:tcPr>
          <w:p w14:paraId="448D0300" w14:textId="77777777" w:rsidR="00D1587D" w:rsidRDefault="00D1587D">
            <w:pPr>
              <w:rPr>
                <w:sz w:val="23"/>
                <w:szCs w:val="23"/>
              </w:rPr>
            </w:pPr>
          </w:p>
        </w:tc>
        <w:tc>
          <w:tcPr>
            <w:tcW w:w="580" w:type="dxa"/>
            <w:vAlign w:val="bottom"/>
          </w:tcPr>
          <w:p w14:paraId="70B8E3A6" w14:textId="77777777" w:rsidR="00D1587D" w:rsidRDefault="00410D07">
            <w:pPr>
              <w:ind w:right="72"/>
              <w:jc w:val="right"/>
              <w:rPr>
                <w:sz w:val="20"/>
                <w:szCs w:val="20"/>
              </w:rPr>
            </w:pPr>
            <w:r>
              <w:rPr>
                <w:rFonts w:ascii="Arial" w:eastAsia="Arial" w:hAnsi="Arial" w:cs="Arial"/>
                <w:w w:val="95"/>
                <w:sz w:val="18"/>
                <w:szCs w:val="18"/>
              </w:rPr>
              <w:t>(394)</w:t>
            </w:r>
          </w:p>
        </w:tc>
        <w:tc>
          <w:tcPr>
            <w:tcW w:w="840" w:type="dxa"/>
            <w:vAlign w:val="bottom"/>
          </w:tcPr>
          <w:p w14:paraId="0002508B" w14:textId="77777777" w:rsidR="00D1587D" w:rsidRDefault="00410D07">
            <w:pPr>
              <w:jc w:val="right"/>
              <w:rPr>
                <w:sz w:val="20"/>
                <w:szCs w:val="20"/>
              </w:rPr>
            </w:pPr>
            <w:r>
              <w:rPr>
                <w:rFonts w:ascii="Arial" w:eastAsia="Arial" w:hAnsi="Arial" w:cs="Arial"/>
                <w:sz w:val="18"/>
                <w:szCs w:val="18"/>
              </w:rPr>
              <w:t>13%</w:t>
            </w:r>
          </w:p>
        </w:tc>
      </w:tr>
      <w:tr w:rsidR="00D1587D" w14:paraId="00425F45" w14:textId="77777777">
        <w:trPr>
          <w:trHeight w:val="67"/>
        </w:trPr>
        <w:tc>
          <w:tcPr>
            <w:tcW w:w="5960" w:type="dxa"/>
            <w:tcBorders>
              <w:bottom w:val="single" w:sz="8" w:space="0" w:color="CCEEFF"/>
            </w:tcBorders>
            <w:vAlign w:val="bottom"/>
          </w:tcPr>
          <w:p w14:paraId="56B583DB" w14:textId="77777777" w:rsidR="00D1587D" w:rsidRDefault="00D1587D">
            <w:pPr>
              <w:rPr>
                <w:sz w:val="5"/>
                <w:szCs w:val="5"/>
              </w:rPr>
            </w:pPr>
          </w:p>
        </w:tc>
        <w:tc>
          <w:tcPr>
            <w:tcW w:w="200" w:type="dxa"/>
            <w:tcBorders>
              <w:bottom w:val="single" w:sz="8" w:space="0" w:color="auto"/>
            </w:tcBorders>
            <w:vAlign w:val="bottom"/>
          </w:tcPr>
          <w:p w14:paraId="0C904001" w14:textId="77777777" w:rsidR="00D1587D" w:rsidRDefault="00D1587D">
            <w:pPr>
              <w:rPr>
                <w:sz w:val="5"/>
                <w:szCs w:val="5"/>
              </w:rPr>
            </w:pPr>
          </w:p>
        </w:tc>
        <w:tc>
          <w:tcPr>
            <w:tcW w:w="540" w:type="dxa"/>
            <w:tcBorders>
              <w:bottom w:val="single" w:sz="8" w:space="0" w:color="auto"/>
            </w:tcBorders>
            <w:vAlign w:val="bottom"/>
          </w:tcPr>
          <w:p w14:paraId="14F418DE" w14:textId="77777777" w:rsidR="00D1587D" w:rsidRDefault="00D1587D">
            <w:pPr>
              <w:rPr>
                <w:sz w:val="5"/>
                <w:szCs w:val="5"/>
              </w:rPr>
            </w:pPr>
          </w:p>
        </w:tc>
        <w:tc>
          <w:tcPr>
            <w:tcW w:w="80" w:type="dxa"/>
            <w:tcBorders>
              <w:bottom w:val="single" w:sz="8" w:space="0" w:color="CCEEFF"/>
            </w:tcBorders>
            <w:vAlign w:val="bottom"/>
          </w:tcPr>
          <w:p w14:paraId="736AC075" w14:textId="77777777" w:rsidR="00D1587D" w:rsidRDefault="00D1587D">
            <w:pPr>
              <w:rPr>
                <w:sz w:val="5"/>
                <w:szCs w:val="5"/>
              </w:rPr>
            </w:pPr>
          </w:p>
        </w:tc>
        <w:tc>
          <w:tcPr>
            <w:tcW w:w="220" w:type="dxa"/>
            <w:tcBorders>
              <w:bottom w:val="single" w:sz="8" w:space="0" w:color="auto"/>
            </w:tcBorders>
            <w:vAlign w:val="bottom"/>
          </w:tcPr>
          <w:p w14:paraId="6166311A" w14:textId="77777777" w:rsidR="00D1587D" w:rsidRDefault="00D1587D">
            <w:pPr>
              <w:rPr>
                <w:sz w:val="5"/>
                <w:szCs w:val="5"/>
              </w:rPr>
            </w:pPr>
          </w:p>
        </w:tc>
        <w:tc>
          <w:tcPr>
            <w:tcW w:w="580" w:type="dxa"/>
            <w:tcBorders>
              <w:bottom w:val="single" w:sz="8" w:space="0" w:color="auto"/>
            </w:tcBorders>
            <w:vAlign w:val="bottom"/>
          </w:tcPr>
          <w:p w14:paraId="2876A22A" w14:textId="77777777" w:rsidR="00D1587D" w:rsidRDefault="00D1587D">
            <w:pPr>
              <w:rPr>
                <w:sz w:val="5"/>
                <w:szCs w:val="5"/>
              </w:rPr>
            </w:pPr>
          </w:p>
        </w:tc>
        <w:tc>
          <w:tcPr>
            <w:tcW w:w="840" w:type="dxa"/>
            <w:tcBorders>
              <w:bottom w:val="single" w:sz="8" w:space="0" w:color="CCEEFF"/>
            </w:tcBorders>
            <w:vAlign w:val="bottom"/>
          </w:tcPr>
          <w:p w14:paraId="6A37F86D" w14:textId="77777777" w:rsidR="00D1587D" w:rsidRDefault="00D1587D">
            <w:pPr>
              <w:rPr>
                <w:sz w:val="5"/>
                <w:szCs w:val="5"/>
              </w:rPr>
            </w:pPr>
          </w:p>
        </w:tc>
      </w:tr>
      <w:tr w:rsidR="00D1587D" w14:paraId="3BC06938" w14:textId="77777777">
        <w:trPr>
          <w:trHeight w:val="311"/>
        </w:trPr>
        <w:tc>
          <w:tcPr>
            <w:tcW w:w="5960" w:type="dxa"/>
            <w:tcBorders>
              <w:bottom w:val="single" w:sz="8" w:space="0" w:color="CCEEFF"/>
            </w:tcBorders>
            <w:shd w:val="clear" w:color="auto" w:fill="CCEEFF"/>
            <w:vAlign w:val="bottom"/>
          </w:tcPr>
          <w:p w14:paraId="0D4D7C3D" w14:textId="77777777" w:rsidR="00D1587D" w:rsidRDefault="00410D07">
            <w:pPr>
              <w:rPr>
                <w:sz w:val="20"/>
                <w:szCs w:val="20"/>
              </w:rPr>
            </w:pPr>
            <w:r>
              <w:rPr>
                <w:rFonts w:ascii="Arial" w:eastAsia="Arial" w:hAnsi="Arial" w:cs="Arial"/>
                <w:sz w:val="18"/>
                <w:szCs w:val="18"/>
              </w:rPr>
              <w:t>Operating Income (Loss)</w:t>
            </w:r>
          </w:p>
        </w:tc>
        <w:tc>
          <w:tcPr>
            <w:tcW w:w="200" w:type="dxa"/>
            <w:tcBorders>
              <w:bottom w:val="single" w:sz="8" w:space="0" w:color="CCEEFF"/>
            </w:tcBorders>
            <w:shd w:val="clear" w:color="auto" w:fill="CCEEFF"/>
            <w:vAlign w:val="bottom"/>
          </w:tcPr>
          <w:p w14:paraId="70A3DD0B" w14:textId="77777777" w:rsidR="00D1587D" w:rsidRDefault="00D1587D">
            <w:pPr>
              <w:rPr>
                <w:sz w:val="24"/>
                <w:szCs w:val="24"/>
              </w:rPr>
            </w:pPr>
          </w:p>
        </w:tc>
        <w:tc>
          <w:tcPr>
            <w:tcW w:w="540" w:type="dxa"/>
            <w:tcBorders>
              <w:bottom w:val="single" w:sz="8" w:space="0" w:color="CCEEFF"/>
            </w:tcBorders>
            <w:shd w:val="clear" w:color="auto" w:fill="CCEEFF"/>
            <w:vAlign w:val="bottom"/>
          </w:tcPr>
          <w:p w14:paraId="5963CFA5" w14:textId="77777777" w:rsidR="00D1587D" w:rsidRDefault="00410D07">
            <w:pPr>
              <w:ind w:right="72"/>
              <w:jc w:val="right"/>
              <w:rPr>
                <w:sz w:val="20"/>
                <w:szCs w:val="20"/>
              </w:rPr>
            </w:pPr>
            <w:r>
              <w:rPr>
                <w:rFonts w:ascii="Arial" w:eastAsia="Arial" w:hAnsi="Arial" w:cs="Arial"/>
                <w:sz w:val="18"/>
                <w:szCs w:val="18"/>
              </w:rPr>
              <w:t>226</w:t>
            </w:r>
          </w:p>
        </w:tc>
        <w:tc>
          <w:tcPr>
            <w:tcW w:w="80" w:type="dxa"/>
            <w:tcBorders>
              <w:bottom w:val="single" w:sz="8" w:space="0" w:color="CCEEFF"/>
            </w:tcBorders>
            <w:shd w:val="clear" w:color="auto" w:fill="CCEEFF"/>
            <w:vAlign w:val="bottom"/>
          </w:tcPr>
          <w:p w14:paraId="6521C3C8" w14:textId="77777777" w:rsidR="00D1587D" w:rsidRDefault="00D1587D">
            <w:pPr>
              <w:rPr>
                <w:sz w:val="24"/>
                <w:szCs w:val="24"/>
              </w:rPr>
            </w:pPr>
          </w:p>
        </w:tc>
        <w:tc>
          <w:tcPr>
            <w:tcW w:w="220" w:type="dxa"/>
            <w:tcBorders>
              <w:bottom w:val="single" w:sz="8" w:space="0" w:color="CCEEFF"/>
            </w:tcBorders>
            <w:shd w:val="clear" w:color="auto" w:fill="CCEEFF"/>
            <w:vAlign w:val="bottom"/>
          </w:tcPr>
          <w:p w14:paraId="5B60BD80" w14:textId="77777777" w:rsidR="00D1587D" w:rsidRDefault="00D1587D">
            <w:pPr>
              <w:rPr>
                <w:sz w:val="24"/>
                <w:szCs w:val="24"/>
              </w:rPr>
            </w:pPr>
          </w:p>
        </w:tc>
        <w:tc>
          <w:tcPr>
            <w:tcW w:w="580" w:type="dxa"/>
            <w:tcBorders>
              <w:bottom w:val="single" w:sz="8" w:space="0" w:color="CCEEFF"/>
            </w:tcBorders>
            <w:shd w:val="clear" w:color="auto" w:fill="CCEEFF"/>
            <w:vAlign w:val="bottom"/>
          </w:tcPr>
          <w:p w14:paraId="2952BC48" w14:textId="77777777" w:rsidR="00D1587D" w:rsidRDefault="00410D07">
            <w:pPr>
              <w:ind w:right="72"/>
              <w:jc w:val="right"/>
              <w:rPr>
                <w:sz w:val="20"/>
                <w:szCs w:val="20"/>
              </w:rPr>
            </w:pPr>
            <w:r>
              <w:rPr>
                <w:rFonts w:ascii="Arial" w:eastAsia="Arial" w:hAnsi="Arial" w:cs="Arial"/>
                <w:w w:val="95"/>
                <w:sz w:val="18"/>
                <w:szCs w:val="18"/>
              </w:rPr>
              <w:t>(373)</w:t>
            </w:r>
          </w:p>
        </w:tc>
        <w:tc>
          <w:tcPr>
            <w:tcW w:w="840" w:type="dxa"/>
            <w:tcBorders>
              <w:bottom w:val="single" w:sz="8" w:space="0" w:color="CCEEFF"/>
            </w:tcBorders>
            <w:shd w:val="clear" w:color="auto" w:fill="CCEEFF"/>
            <w:vAlign w:val="bottom"/>
          </w:tcPr>
          <w:p w14:paraId="660DD565" w14:textId="77777777" w:rsidR="00D1587D" w:rsidRDefault="00410D07">
            <w:pPr>
              <w:jc w:val="right"/>
              <w:rPr>
                <w:sz w:val="20"/>
                <w:szCs w:val="20"/>
              </w:rPr>
            </w:pPr>
            <w:r>
              <w:rPr>
                <w:rFonts w:ascii="Arial" w:eastAsia="Arial" w:hAnsi="Arial" w:cs="Arial"/>
                <w:sz w:val="18"/>
                <w:szCs w:val="18"/>
              </w:rPr>
              <w:t>161%</w:t>
            </w:r>
          </w:p>
        </w:tc>
      </w:tr>
      <w:tr w:rsidR="00D1587D" w14:paraId="25D45F6B" w14:textId="77777777">
        <w:trPr>
          <w:trHeight w:val="270"/>
        </w:trPr>
        <w:tc>
          <w:tcPr>
            <w:tcW w:w="5960" w:type="dxa"/>
            <w:vAlign w:val="bottom"/>
          </w:tcPr>
          <w:p w14:paraId="5F9167E7" w14:textId="77777777" w:rsidR="00D1587D" w:rsidRDefault="00410D07">
            <w:pPr>
              <w:rPr>
                <w:sz w:val="20"/>
                <w:szCs w:val="20"/>
              </w:rPr>
            </w:pPr>
            <w:r>
              <w:rPr>
                <w:rFonts w:ascii="Arial" w:eastAsia="Arial" w:hAnsi="Arial" w:cs="Arial"/>
                <w:sz w:val="18"/>
                <w:szCs w:val="18"/>
              </w:rPr>
              <w:t>Interest Expense</w:t>
            </w:r>
          </w:p>
        </w:tc>
        <w:tc>
          <w:tcPr>
            <w:tcW w:w="200" w:type="dxa"/>
            <w:vAlign w:val="bottom"/>
          </w:tcPr>
          <w:p w14:paraId="684BEB99" w14:textId="77777777" w:rsidR="00D1587D" w:rsidRDefault="00D1587D">
            <w:pPr>
              <w:rPr>
                <w:sz w:val="23"/>
                <w:szCs w:val="23"/>
              </w:rPr>
            </w:pPr>
          </w:p>
        </w:tc>
        <w:tc>
          <w:tcPr>
            <w:tcW w:w="540" w:type="dxa"/>
            <w:vAlign w:val="bottom"/>
          </w:tcPr>
          <w:p w14:paraId="439A2EE3" w14:textId="77777777" w:rsidR="00D1587D" w:rsidRDefault="00410D07">
            <w:pPr>
              <w:ind w:right="12"/>
              <w:jc w:val="right"/>
              <w:rPr>
                <w:sz w:val="20"/>
                <w:szCs w:val="20"/>
              </w:rPr>
            </w:pPr>
            <w:r>
              <w:rPr>
                <w:rFonts w:ascii="Arial" w:eastAsia="Arial" w:hAnsi="Arial" w:cs="Arial"/>
                <w:sz w:val="18"/>
                <w:szCs w:val="18"/>
              </w:rPr>
              <w:t>(1)</w:t>
            </w:r>
          </w:p>
        </w:tc>
        <w:tc>
          <w:tcPr>
            <w:tcW w:w="80" w:type="dxa"/>
            <w:vAlign w:val="bottom"/>
          </w:tcPr>
          <w:p w14:paraId="0D05A04C" w14:textId="77777777" w:rsidR="00D1587D" w:rsidRDefault="00D1587D">
            <w:pPr>
              <w:rPr>
                <w:sz w:val="23"/>
                <w:szCs w:val="23"/>
              </w:rPr>
            </w:pPr>
          </w:p>
        </w:tc>
        <w:tc>
          <w:tcPr>
            <w:tcW w:w="220" w:type="dxa"/>
            <w:vAlign w:val="bottom"/>
          </w:tcPr>
          <w:p w14:paraId="2BE33151" w14:textId="77777777" w:rsidR="00D1587D" w:rsidRDefault="00D1587D">
            <w:pPr>
              <w:rPr>
                <w:sz w:val="23"/>
                <w:szCs w:val="23"/>
              </w:rPr>
            </w:pPr>
          </w:p>
        </w:tc>
        <w:tc>
          <w:tcPr>
            <w:tcW w:w="580" w:type="dxa"/>
            <w:vAlign w:val="bottom"/>
          </w:tcPr>
          <w:p w14:paraId="45E7C29F" w14:textId="77777777" w:rsidR="00D1587D" w:rsidRDefault="00410D07">
            <w:pPr>
              <w:ind w:right="72"/>
              <w:jc w:val="right"/>
              <w:rPr>
                <w:sz w:val="20"/>
                <w:szCs w:val="20"/>
              </w:rPr>
            </w:pPr>
            <w:r>
              <w:rPr>
                <w:rFonts w:ascii="Arial" w:eastAsia="Arial" w:hAnsi="Arial" w:cs="Arial"/>
                <w:sz w:val="18"/>
                <w:szCs w:val="18"/>
              </w:rPr>
              <w:t>(2)</w:t>
            </w:r>
          </w:p>
        </w:tc>
        <w:tc>
          <w:tcPr>
            <w:tcW w:w="840" w:type="dxa"/>
            <w:vAlign w:val="bottom"/>
          </w:tcPr>
          <w:p w14:paraId="67223190" w14:textId="77777777" w:rsidR="00D1587D" w:rsidRDefault="00410D07">
            <w:pPr>
              <w:jc w:val="right"/>
              <w:rPr>
                <w:sz w:val="20"/>
                <w:szCs w:val="20"/>
              </w:rPr>
            </w:pPr>
            <w:r>
              <w:rPr>
                <w:rFonts w:ascii="Arial" w:eastAsia="Arial" w:hAnsi="Arial" w:cs="Arial"/>
                <w:sz w:val="18"/>
                <w:szCs w:val="18"/>
              </w:rPr>
              <w:t>(50)%</w:t>
            </w:r>
          </w:p>
        </w:tc>
      </w:tr>
      <w:tr w:rsidR="00D1587D" w14:paraId="239E561A" w14:textId="77777777">
        <w:trPr>
          <w:trHeight w:val="54"/>
        </w:trPr>
        <w:tc>
          <w:tcPr>
            <w:tcW w:w="5960" w:type="dxa"/>
            <w:vAlign w:val="bottom"/>
          </w:tcPr>
          <w:p w14:paraId="5F5D5A3F" w14:textId="77777777" w:rsidR="00D1587D" w:rsidRDefault="00D1587D">
            <w:pPr>
              <w:rPr>
                <w:sz w:val="4"/>
                <w:szCs w:val="4"/>
              </w:rPr>
            </w:pPr>
          </w:p>
        </w:tc>
        <w:tc>
          <w:tcPr>
            <w:tcW w:w="200" w:type="dxa"/>
            <w:vAlign w:val="bottom"/>
          </w:tcPr>
          <w:p w14:paraId="1B5BFC94" w14:textId="77777777" w:rsidR="00D1587D" w:rsidRDefault="00D1587D">
            <w:pPr>
              <w:rPr>
                <w:sz w:val="4"/>
                <w:szCs w:val="4"/>
              </w:rPr>
            </w:pPr>
          </w:p>
        </w:tc>
        <w:tc>
          <w:tcPr>
            <w:tcW w:w="540" w:type="dxa"/>
            <w:vAlign w:val="bottom"/>
          </w:tcPr>
          <w:p w14:paraId="32F57D80" w14:textId="77777777" w:rsidR="00D1587D" w:rsidRDefault="00D1587D">
            <w:pPr>
              <w:rPr>
                <w:sz w:val="4"/>
                <w:szCs w:val="4"/>
              </w:rPr>
            </w:pPr>
          </w:p>
        </w:tc>
        <w:tc>
          <w:tcPr>
            <w:tcW w:w="80" w:type="dxa"/>
            <w:vAlign w:val="bottom"/>
          </w:tcPr>
          <w:p w14:paraId="0EDC7923" w14:textId="77777777" w:rsidR="00D1587D" w:rsidRDefault="00D1587D">
            <w:pPr>
              <w:rPr>
                <w:sz w:val="4"/>
                <w:szCs w:val="4"/>
              </w:rPr>
            </w:pPr>
          </w:p>
        </w:tc>
        <w:tc>
          <w:tcPr>
            <w:tcW w:w="220" w:type="dxa"/>
            <w:vAlign w:val="bottom"/>
          </w:tcPr>
          <w:p w14:paraId="3B1FDAD4" w14:textId="77777777" w:rsidR="00D1587D" w:rsidRDefault="00D1587D">
            <w:pPr>
              <w:rPr>
                <w:sz w:val="4"/>
                <w:szCs w:val="4"/>
              </w:rPr>
            </w:pPr>
          </w:p>
        </w:tc>
        <w:tc>
          <w:tcPr>
            <w:tcW w:w="580" w:type="dxa"/>
            <w:vAlign w:val="bottom"/>
          </w:tcPr>
          <w:p w14:paraId="501AC9D0" w14:textId="77777777" w:rsidR="00D1587D" w:rsidRDefault="00D1587D">
            <w:pPr>
              <w:rPr>
                <w:sz w:val="4"/>
                <w:szCs w:val="4"/>
              </w:rPr>
            </w:pPr>
          </w:p>
        </w:tc>
        <w:tc>
          <w:tcPr>
            <w:tcW w:w="840" w:type="dxa"/>
            <w:vAlign w:val="bottom"/>
          </w:tcPr>
          <w:p w14:paraId="2EBCFF63" w14:textId="77777777" w:rsidR="00D1587D" w:rsidRDefault="00D1587D">
            <w:pPr>
              <w:rPr>
                <w:sz w:val="4"/>
                <w:szCs w:val="4"/>
              </w:rPr>
            </w:pPr>
          </w:p>
        </w:tc>
      </w:tr>
      <w:tr w:rsidR="00D1587D" w14:paraId="6D2C42EB" w14:textId="77777777">
        <w:trPr>
          <w:trHeight w:val="270"/>
        </w:trPr>
        <w:tc>
          <w:tcPr>
            <w:tcW w:w="5960" w:type="dxa"/>
            <w:shd w:val="clear" w:color="auto" w:fill="CCEEFF"/>
            <w:vAlign w:val="bottom"/>
          </w:tcPr>
          <w:p w14:paraId="0C59F4D2" w14:textId="77777777" w:rsidR="00D1587D" w:rsidRDefault="00410D07">
            <w:pPr>
              <w:rPr>
                <w:sz w:val="20"/>
                <w:szCs w:val="20"/>
              </w:rPr>
            </w:pPr>
            <w:r>
              <w:rPr>
                <w:rFonts w:ascii="Arial" w:eastAsia="Arial" w:hAnsi="Arial" w:cs="Arial"/>
                <w:sz w:val="18"/>
                <w:szCs w:val="18"/>
              </w:rPr>
              <w:t>Other Income (Loss)</w:t>
            </w:r>
          </w:p>
        </w:tc>
        <w:tc>
          <w:tcPr>
            <w:tcW w:w="200" w:type="dxa"/>
            <w:shd w:val="clear" w:color="auto" w:fill="CCEEFF"/>
            <w:vAlign w:val="bottom"/>
          </w:tcPr>
          <w:p w14:paraId="7211D9CD" w14:textId="77777777" w:rsidR="00D1587D" w:rsidRDefault="00D1587D">
            <w:pPr>
              <w:rPr>
                <w:sz w:val="23"/>
                <w:szCs w:val="23"/>
              </w:rPr>
            </w:pPr>
          </w:p>
        </w:tc>
        <w:tc>
          <w:tcPr>
            <w:tcW w:w="620" w:type="dxa"/>
            <w:gridSpan w:val="2"/>
            <w:shd w:val="clear" w:color="auto" w:fill="CCEEFF"/>
            <w:vAlign w:val="bottom"/>
          </w:tcPr>
          <w:p w14:paraId="31DD928C" w14:textId="77777777" w:rsidR="00D1587D" w:rsidRDefault="00410D07">
            <w:pPr>
              <w:ind w:right="240"/>
              <w:jc w:val="right"/>
              <w:rPr>
                <w:sz w:val="20"/>
                <w:szCs w:val="20"/>
              </w:rPr>
            </w:pPr>
            <w:r>
              <w:rPr>
                <w:rFonts w:ascii="Arial" w:eastAsia="Arial" w:hAnsi="Arial" w:cs="Arial"/>
                <w:sz w:val="18"/>
                <w:szCs w:val="18"/>
              </w:rPr>
              <w:t>—</w:t>
            </w:r>
          </w:p>
        </w:tc>
        <w:tc>
          <w:tcPr>
            <w:tcW w:w="220" w:type="dxa"/>
            <w:shd w:val="clear" w:color="auto" w:fill="CCEEFF"/>
            <w:vAlign w:val="bottom"/>
          </w:tcPr>
          <w:p w14:paraId="1C4BCF1E" w14:textId="77777777" w:rsidR="00D1587D" w:rsidRDefault="00D1587D">
            <w:pPr>
              <w:rPr>
                <w:sz w:val="23"/>
                <w:szCs w:val="23"/>
              </w:rPr>
            </w:pPr>
          </w:p>
        </w:tc>
        <w:tc>
          <w:tcPr>
            <w:tcW w:w="580" w:type="dxa"/>
            <w:shd w:val="clear" w:color="auto" w:fill="CCEEFF"/>
            <w:vAlign w:val="bottom"/>
          </w:tcPr>
          <w:p w14:paraId="2355659A" w14:textId="77777777" w:rsidR="00D1587D" w:rsidRDefault="00410D07">
            <w:pPr>
              <w:ind w:right="72"/>
              <w:jc w:val="right"/>
              <w:rPr>
                <w:sz w:val="20"/>
                <w:szCs w:val="20"/>
              </w:rPr>
            </w:pPr>
            <w:r>
              <w:rPr>
                <w:rFonts w:ascii="Arial" w:eastAsia="Arial" w:hAnsi="Arial" w:cs="Arial"/>
                <w:sz w:val="18"/>
                <w:szCs w:val="18"/>
              </w:rPr>
              <w:t>(2)</w:t>
            </w:r>
          </w:p>
        </w:tc>
        <w:tc>
          <w:tcPr>
            <w:tcW w:w="840" w:type="dxa"/>
            <w:shd w:val="clear" w:color="auto" w:fill="CCEEFF"/>
            <w:vAlign w:val="bottom"/>
          </w:tcPr>
          <w:p w14:paraId="1E278529" w14:textId="77777777" w:rsidR="00D1587D" w:rsidRDefault="00410D07">
            <w:pPr>
              <w:jc w:val="right"/>
              <w:rPr>
                <w:sz w:val="20"/>
                <w:szCs w:val="20"/>
              </w:rPr>
            </w:pPr>
            <w:r>
              <w:rPr>
                <w:rFonts w:ascii="Arial" w:eastAsia="Arial" w:hAnsi="Arial" w:cs="Arial"/>
                <w:sz w:val="18"/>
                <w:szCs w:val="18"/>
              </w:rPr>
              <w:t>100%</w:t>
            </w:r>
          </w:p>
        </w:tc>
      </w:tr>
      <w:tr w:rsidR="00D1587D" w14:paraId="2B92CA63" w14:textId="77777777">
        <w:trPr>
          <w:trHeight w:val="68"/>
        </w:trPr>
        <w:tc>
          <w:tcPr>
            <w:tcW w:w="5960" w:type="dxa"/>
            <w:shd w:val="clear" w:color="auto" w:fill="CCEEFF"/>
            <w:vAlign w:val="bottom"/>
          </w:tcPr>
          <w:p w14:paraId="56102715" w14:textId="77777777" w:rsidR="00D1587D" w:rsidRDefault="00D1587D">
            <w:pPr>
              <w:rPr>
                <w:sz w:val="5"/>
                <w:szCs w:val="5"/>
              </w:rPr>
            </w:pPr>
          </w:p>
        </w:tc>
        <w:tc>
          <w:tcPr>
            <w:tcW w:w="200" w:type="dxa"/>
            <w:tcBorders>
              <w:bottom w:val="single" w:sz="8" w:space="0" w:color="auto"/>
            </w:tcBorders>
            <w:shd w:val="clear" w:color="auto" w:fill="CCEEFF"/>
            <w:vAlign w:val="bottom"/>
          </w:tcPr>
          <w:p w14:paraId="44B83841" w14:textId="77777777" w:rsidR="00D1587D" w:rsidRDefault="00D1587D">
            <w:pPr>
              <w:rPr>
                <w:sz w:val="5"/>
                <w:szCs w:val="5"/>
              </w:rPr>
            </w:pPr>
          </w:p>
        </w:tc>
        <w:tc>
          <w:tcPr>
            <w:tcW w:w="540" w:type="dxa"/>
            <w:tcBorders>
              <w:bottom w:val="single" w:sz="8" w:space="0" w:color="auto"/>
            </w:tcBorders>
            <w:shd w:val="clear" w:color="auto" w:fill="CCEEFF"/>
            <w:vAlign w:val="bottom"/>
          </w:tcPr>
          <w:p w14:paraId="6A52F778" w14:textId="77777777" w:rsidR="00D1587D" w:rsidRDefault="00D1587D">
            <w:pPr>
              <w:rPr>
                <w:sz w:val="5"/>
                <w:szCs w:val="5"/>
              </w:rPr>
            </w:pPr>
          </w:p>
        </w:tc>
        <w:tc>
          <w:tcPr>
            <w:tcW w:w="80" w:type="dxa"/>
            <w:tcBorders>
              <w:bottom w:val="single" w:sz="8" w:space="0" w:color="CCEEFF"/>
            </w:tcBorders>
            <w:shd w:val="clear" w:color="auto" w:fill="CCEEFF"/>
            <w:vAlign w:val="bottom"/>
          </w:tcPr>
          <w:p w14:paraId="0BEC98FA" w14:textId="77777777" w:rsidR="00D1587D" w:rsidRDefault="00D1587D">
            <w:pPr>
              <w:rPr>
                <w:sz w:val="5"/>
                <w:szCs w:val="5"/>
              </w:rPr>
            </w:pPr>
          </w:p>
        </w:tc>
        <w:tc>
          <w:tcPr>
            <w:tcW w:w="220" w:type="dxa"/>
            <w:tcBorders>
              <w:bottom w:val="single" w:sz="8" w:space="0" w:color="auto"/>
            </w:tcBorders>
            <w:shd w:val="clear" w:color="auto" w:fill="CCEEFF"/>
            <w:vAlign w:val="bottom"/>
          </w:tcPr>
          <w:p w14:paraId="0EB57542" w14:textId="77777777" w:rsidR="00D1587D" w:rsidRDefault="00D1587D">
            <w:pPr>
              <w:rPr>
                <w:sz w:val="5"/>
                <w:szCs w:val="5"/>
              </w:rPr>
            </w:pPr>
          </w:p>
        </w:tc>
        <w:tc>
          <w:tcPr>
            <w:tcW w:w="580" w:type="dxa"/>
            <w:tcBorders>
              <w:bottom w:val="single" w:sz="8" w:space="0" w:color="auto"/>
            </w:tcBorders>
            <w:shd w:val="clear" w:color="auto" w:fill="CCEEFF"/>
            <w:vAlign w:val="bottom"/>
          </w:tcPr>
          <w:p w14:paraId="62600E8F" w14:textId="77777777" w:rsidR="00D1587D" w:rsidRDefault="00D1587D">
            <w:pPr>
              <w:rPr>
                <w:sz w:val="5"/>
                <w:szCs w:val="5"/>
              </w:rPr>
            </w:pPr>
          </w:p>
        </w:tc>
        <w:tc>
          <w:tcPr>
            <w:tcW w:w="840" w:type="dxa"/>
            <w:shd w:val="clear" w:color="auto" w:fill="CCEEFF"/>
            <w:vAlign w:val="bottom"/>
          </w:tcPr>
          <w:p w14:paraId="1A1B7CE3" w14:textId="77777777" w:rsidR="00D1587D" w:rsidRDefault="00D1587D">
            <w:pPr>
              <w:rPr>
                <w:sz w:val="5"/>
                <w:szCs w:val="5"/>
              </w:rPr>
            </w:pPr>
          </w:p>
        </w:tc>
      </w:tr>
      <w:tr w:rsidR="00D1587D" w14:paraId="27A9899B" w14:textId="77777777">
        <w:trPr>
          <w:trHeight w:val="277"/>
        </w:trPr>
        <w:tc>
          <w:tcPr>
            <w:tcW w:w="5960" w:type="dxa"/>
            <w:vAlign w:val="bottom"/>
          </w:tcPr>
          <w:p w14:paraId="396AFB1A" w14:textId="77777777" w:rsidR="00D1587D" w:rsidRDefault="00410D07">
            <w:pPr>
              <w:rPr>
                <w:sz w:val="20"/>
                <w:szCs w:val="20"/>
              </w:rPr>
            </w:pPr>
            <w:r>
              <w:rPr>
                <w:rFonts w:ascii="Arial" w:eastAsia="Arial" w:hAnsi="Arial" w:cs="Arial"/>
                <w:sz w:val="18"/>
                <w:szCs w:val="18"/>
              </w:rPr>
              <w:t>Income (Loss) Before Income Taxes</w:t>
            </w:r>
          </w:p>
        </w:tc>
        <w:tc>
          <w:tcPr>
            <w:tcW w:w="200" w:type="dxa"/>
            <w:vAlign w:val="bottom"/>
          </w:tcPr>
          <w:p w14:paraId="582FE4B1" w14:textId="77777777" w:rsidR="00D1587D" w:rsidRDefault="00D1587D">
            <w:pPr>
              <w:rPr>
                <w:sz w:val="24"/>
                <w:szCs w:val="24"/>
              </w:rPr>
            </w:pPr>
          </w:p>
        </w:tc>
        <w:tc>
          <w:tcPr>
            <w:tcW w:w="540" w:type="dxa"/>
            <w:vAlign w:val="bottom"/>
          </w:tcPr>
          <w:p w14:paraId="406548BF" w14:textId="77777777" w:rsidR="00D1587D" w:rsidRDefault="00410D07">
            <w:pPr>
              <w:ind w:right="72"/>
              <w:jc w:val="right"/>
              <w:rPr>
                <w:sz w:val="20"/>
                <w:szCs w:val="20"/>
              </w:rPr>
            </w:pPr>
            <w:r>
              <w:rPr>
                <w:rFonts w:ascii="Arial" w:eastAsia="Arial" w:hAnsi="Arial" w:cs="Arial"/>
                <w:sz w:val="18"/>
                <w:szCs w:val="18"/>
              </w:rPr>
              <w:t>225</w:t>
            </w:r>
          </w:p>
        </w:tc>
        <w:tc>
          <w:tcPr>
            <w:tcW w:w="80" w:type="dxa"/>
            <w:vAlign w:val="bottom"/>
          </w:tcPr>
          <w:p w14:paraId="08A49730" w14:textId="77777777" w:rsidR="00D1587D" w:rsidRDefault="00D1587D">
            <w:pPr>
              <w:rPr>
                <w:sz w:val="24"/>
                <w:szCs w:val="24"/>
              </w:rPr>
            </w:pPr>
          </w:p>
        </w:tc>
        <w:tc>
          <w:tcPr>
            <w:tcW w:w="220" w:type="dxa"/>
            <w:vAlign w:val="bottom"/>
          </w:tcPr>
          <w:p w14:paraId="2D48D113" w14:textId="77777777" w:rsidR="00D1587D" w:rsidRDefault="00D1587D">
            <w:pPr>
              <w:rPr>
                <w:sz w:val="24"/>
                <w:szCs w:val="24"/>
              </w:rPr>
            </w:pPr>
          </w:p>
        </w:tc>
        <w:tc>
          <w:tcPr>
            <w:tcW w:w="580" w:type="dxa"/>
            <w:vAlign w:val="bottom"/>
          </w:tcPr>
          <w:p w14:paraId="5D898810" w14:textId="77777777" w:rsidR="00D1587D" w:rsidRDefault="00410D07">
            <w:pPr>
              <w:ind w:right="72"/>
              <w:jc w:val="right"/>
              <w:rPr>
                <w:sz w:val="20"/>
                <w:szCs w:val="20"/>
              </w:rPr>
            </w:pPr>
            <w:r>
              <w:rPr>
                <w:rFonts w:ascii="Arial" w:eastAsia="Arial" w:hAnsi="Arial" w:cs="Arial"/>
                <w:w w:val="95"/>
                <w:sz w:val="18"/>
                <w:szCs w:val="18"/>
              </w:rPr>
              <w:t>(377)</w:t>
            </w:r>
          </w:p>
        </w:tc>
        <w:tc>
          <w:tcPr>
            <w:tcW w:w="840" w:type="dxa"/>
            <w:vAlign w:val="bottom"/>
          </w:tcPr>
          <w:p w14:paraId="0035B691" w14:textId="77777777" w:rsidR="00D1587D" w:rsidRDefault="00410D07">
            <w:pPr>
              <w:jc w:val="right"/>
              <w:rPr>
                <w:sz w:val="20"/>
                <w:szCs w:val="20"/>
              </w:rPr>
            </w:pPr>
            <w:r>
              <w:rPr>
                <w:rFonts w:ascii="Arial" w:eastAsia="Arial" w:hAnsi="Arial" w:cs="Arial"/>
                <w:sz w:val="18"/>
                <w:szCs w:val="18"/>
              </w:rPr>
              <w:t>160%</w:t>
            </w:r>
          </w:p>
        </w:tc>
      </w:tr>
      <w:tr w:rsidR="00D1587D" w14:paraId="7701B9AE" w14:textId="77777777">
        <w:trPr>
          <w:trHeight w:val="54"/>
        </w:trPr>
        <w:tc>
          <w:tcPr>
            <w:tcW w:w="5960" w:type="dxa"/>
            <w:vAlign w:val="bottom"/>
          </w:tcPr>
          <w:p w14:paraId="2E10CA3D" w14:textId="77777777" w:rsidR="00D1587D" w:rsidRDefault="00D1587D">
            <w:pPr>
              <w:rPr>
                <w:sz w:val="4"/>
                <w:szCs w:val="4"/>
              </w:rPr>
            </w:pPr>
          </w:p>
        </w:tc>
        <w:tc>
          <w:tcPr>
            <w:tcW w:w="200" w:type="dxa"/>
            <w:vAlign w:val="bottom"/>
          </w:tcPr>
          <w:p w14:paraId="552B6099" w14:textId="77777777" w:rsidR="00D1587D" w:rsidRDefault="00D1587D">
            <w:pPr>
              <w:rPr>
                <w:sz w:val="4"/>
                <w:szCs w:val="4"/>
              </w:rPr>
            </w:pPr>
          </w:p>
        </w:tc>
        <w:tc>
          <w:tcPr>
            <w:tcW w:w="540" w:type="dxa"/>
            <w:vAlign w:val="bottom"/>
          </w:tcPr>
          <w:p w14:paraId="7C25B0A2" w14:textId="77777777" w:rsidR="00D1587D" w:rsidRDefault="00D1587D">
            <w:pPr>
              <w:rPr>
                <w:sz w:val="4"/>
                <w:szCs w:val="4"/>
              </w:rPr>
            </w:pPr>
          </w:p>
        </w:tc>
        <w:tc>
          <w:tcPr>
            <w:tcW w:w="80" w:type="dxa"/>
            <w:vAlign w:val="bottom"/>
          </w:tcPr>
          <w:p w14:paraId="4CF63C00" w14:textId="77777777" w:rsidR="00D1587D" w:rsidRDefault="00D1587D">
            <w:pPr>
              <w:rPr>
                <w:sz w:val="4"/>
                <w:szCs w:val="4"/>
              </w:rPr>
            </w:pPr>
          </w:p>
        </w:tc>
        <w:tc>
          <w:tcPr>
            <w:tcW w:w="220" w:type="dxa"/>
            <w:vAlign w:val="bottom"/>
          </w:tcPr>
          <w:p w14:paraId="1D689D4D" w14:textId="77777777" w:rsidR="00D1587D" w:rsidRDefault="00D1587D">
            <w:pPr>
              <w:rPr>
                <w:sz w:val="4"/>
                <w:szCs w:val="4"/>
              </w:rPr>
            </w:pPr>
          </w:p>
        </w:tc>
        <w:tc>
          <w:tcPr>
            <w:tcW w:w="580" w:type="dxa"/>
            <w:vAlign w:val="bottom"/>
          </w:tcPr>
          <w:p w14:paraId="51674985" w14:textId="77777777" w:rsidR="00D1587D" w:rsidRDefault="00D1587D">
            <w:pPr>
              <w:rPr>
                <w:sz w:val="4"/>
                <w:szCs w:val="4"/>
              </w:rPr>
            </w:pPr>
          </w:p>
        </w:tc>
        <w:tc>
          <w:tcPr>
            <w:tcW w:w="840" w:type="dxa"/>
            <w:vAlign w:val="bottom"/>
          </w:tcPr>
          <w:p w14:paraId="027C5627" w14:textId="77777777" w:rsidR="00D1587D" w:rsidRDefault="00D1587D">
            <w:pPr>
              <w:rPr>
                <w:sz w:val="4"/>
                <w:szCs w:val="4"/>
              </w:rPr>
            </w:pPr>
          </w:p>
        </w:tc>
      </w:tr>
      <w:tr w:rsidR="00D1587D" w14:paraId="26C637ED" w14:textId="77777777">
        <w:trPr>
          <w:trHeight w:val="270"/>
        </w:trPr>
        <w:tc>
          <w:tcPr>
            <w:tcW w:w="5960" w:type="dxa"/>
            <w:shd w:val="clear" w:color="auto" w:fill="CCEEFF"/>
            <w:vAlign w:val="bottom"/>
          </w:tcPr>
          <w:p w14:paraId="183D4C2A" w14:textId="77777777" w:rsidR="00D1587D" w:rsidRDefault="00410D07">
            <w:pPr>
              <w:rPr>
                <w:sz w:val="20"/>
                <w:szCs w:val="20"/>
              </w:rPr>
            </w:pPr>
            <w:r>
              <w:rPr>
                <w:rFonts w:ascii="Arial" w:eastAsia="Arial" w:hAnsi="Arial" w:cs="Arial"/>
                <w:sz w:val="18"/>
                <w:szCs w:val="18"/>
              </w:rPr>
              <w:t>Provision (Benefit) for Income Taxes</w:t>
            </w:r>
          </w:p>
        </w:tc>
        <w:tc>
          <w:tcPr>
            <w:tcW w:w="200" w:type="dxa"/>
            <w:shd w:val="clear" w:color="auto" w:fill="CCEEFF"/>
            <w:vAlign w:val="bottom"/>
          </w:tcPr>
          <w:p w14:paraId="029FACB8" w14:textId="77777777" w:rsidR="00D1587D" w:rsidRDefault="00D1587D">
            <w:pPr>
              <w:rPr>
                <w:sz w:val="23"/>
                <w:szCs w:val="23"/>
              </w:rPr>
            </w:pPr>
          </w:p>
        </w:tc>
        <w:tc>
          <w:tcPr>
            <w:tcW w:w="540" w:type="dxa"/>
            <w:shd w:val="clear" w:color="auto" w:fill="CCEEFF"/>
            <w:vAlign w:val="bottom"/>
          </w:tcPr>
          <w:p w14:paraId="42B1D0EE" w14:textId="77777777" w:rsidR="00D1587D" w:rsidRDefault="00410D07">
            <w:pPr>
              <w:ind w:right="72"/>
              <w:jc w:val="right"/>
              <w:rPr>
                <w:sz w:val="20"/>
                <w:szCs w:val="20"/>
              </w:rPr>
            </w:pPr>
            <w:r>
              <w:rPr>
                <w:rFonts w:ascii="Arial" w:eastAsia="Arial" w:hAnsi="Arial" w:cs="Arial"/>
                <w:sz w:val="18"/>
                <w:szCs w:val="18"/>
              </w:rPr>
              <w:t>51</w:t>
            </w:r>
          </w:p>
        </w:tc>
        <w:tc>
          <w:tcPr>
            <w:tcW w:w="80" w:type="dxa"/>
            <w:shd w:val="clear" w:color="auto" w:fill="CCEEFF"/>
            <w:vAlign w:val="bottom"/>
          </w:tcPr>
          <w:p w14:paraId="3AA91C3F" w14:textId="77777777" w:rsidR="00D1587D" w:rsidRDefault="00D1587D">
            <w:pPr>
              <w:rPr>
                <w:sz w:val="23"/>
                <w:szCs w:val="23"/>
              </w:rPr>
            </w:pPr>
          </w:p>
        </w:tc>
        <w:tc>
          <w:tcPr>
            <w:tcW w:w="220" w:type="dxa"/>
            <w:shd w:val="clear" w:color="auto" w:fill="CCEEFF"/>
            <w:vAlign w:val="bottom"/>
          </w:tcPr>
          <w:p w14:paraId="04AD68F1" w14:textId="77777777" w:rsidR="00D1587D" w:rsidRDefault="00D1587D">
            <w:pPr>
              <w:rPr>
                <w:sz w:val="23"/>
                <w:szCs w:val="23"/>
              </w:rPr>
            </w:pPr>
          </w:p>
        </w:tc>
        <w:tc>
          <w:tcPr>
            <w:tcW w:w="580" w:type="dxa"/>
            <w:shd w:val="clear" w:color="auto" w:fill="CCEEFF"/>
            <w:vAlign w:val="bottom"/>
          </w:tcPr>
          <w:p w14:paraId="0B9FA70B" w14:textId="77777777" w:rsidR="00D1587D" w:rsidRDefault="00410D07">
            <w:pPr>
              <w:ind w:right="92"/>
              <w:jc w:val="right"/>
              <w:rPr>
                <w:sz w:val="20"/>
                <w:szCs w:val="20"/>
              </w:rPr>
            </w:pPr>
            <w:r>
              <w:rPr>
                <w:rFonts w:ascii="Arial" w:eastAsia="Arial" w:hAnsi="Arial" w:cs="Arial"/>
                <w:sz w:val="18"/>
                <w:szCs w:val="18"/>
              </w:rPr>
              <w:t>(78)</w:t>
            </w:r>
          </w:p>
        </w:tc>
        <w:tc>
          <w:tcPr>
            <w:tcW w:w="840" w:type="dxa"/>
            <w:shd w:val="clear" w:color="auto" w:fill="CCEEFF"/>
            <w:vAlign w:val="bottom"/>
          </w:tcPr>
          <w:p w14:paraId="06D7FB09" w14:textId="77777777" w:rsidR="00D1587D" w:rsidRDefault="00410D07">
            <w:pPr>
              <w:jc w:val="right"/>
              <w:rPr>
                <w:sz w:val="20"/>
                <w:szCs w:val="20"/>
              </w:rPr>
            </w:pPr>
            <w:r>
              <w:rPr>
                <w:rFonts w:ascii="Arial" w:eastAsia="Arial" w:hAnsi="Arial" w:cs="Arial"/>
                <w:sz w:val="18"/>
                <w:szCs w:val="18"/>
              </w:rPr>
              <w:t>165%</w:t>
            </w:r>
          </w:p>
        </w:tc>
      </w:tr>
      <w:tr w:rsidR="00D1587D" w14:paraId="7C014262" w14:textId="77777777">
        <w:trPr>
          <w:trHeight w:val="67"/>
        </w:trPr>
        <w:tc>
          <w:tcPr>
            <w:tcW w:w="5960" w:type="dxa"/>
            <w:shd w:val="clear" w:color="auto" w:fill="CCEEFF"/>
            <w:vAlign w:val="bottom"/>
          </w:tcPr>
          <w:p w14:paraId="1D5C46A8" w14:textId="77777777" w:rsidR="00D1587D" w:rsidRDefault="00D1587D">
            <w:pPr>
              <w:rPr>
                <w:sz w:val="5"/>
                <w:szCs w:val="5"/>
              </w:rPr>
            </w:pPr>
          </w:p>
        </w:tc>
        <w:tc>
          <w:tcPr>
            <w:tcW w:w="200" w:type="dxa"/>
            <w:tcBorders>
              <w:bottom w:val="single" w:sz="8" w:space="0" w:color="auto"/>
            </w:tcBorders>
            <w:shd w:val="clear" w:color="auto" w:fill="CCEEFF"/>
            <w:vAlign w:val="bottom"/>
          </w:tcPr>
          <w:p w14:paraId="780F6069" w14:textId="77777777" w:rsidR="00D1587D" w:rsidRDefault="00D1587D">
            <w:pPr>
              <w:rPr>
                <w:sz w:val="5"/>
                <w:szCs w:val="5"/>
              </w:rPr>
            </w:pPr>
          </w:p>
        </w:tc>
        <w:tc>
          <w:tcPr>
            <w:tcW w:w="540" w:type="dxa"/>
            <w:tcBorders>
              <w:bottom w:val="single" w:sz="8" w:space="0" w:color="auto"/>
            </w:tcBorders>
            <w:shd w:val="clear" w:color="auto" w:fill="CCEEFF"/>
            <w:vAlign w:val="bottom"/>
          </w:tcPr>
          <w:p w14:paraId="00F2A3FE" w14:textId="77777777" w:rsidR="00D1587D" w:rsidRDefault="00D1587D">
            <w:pPr>
              <w:rPr>
                <w:sz w:val="5"/>
                <w:szCs w:val="5"/>
              </w:rPr>
            </w:pPr>
          </w:p>
        </w:tc>
        <w:tc>
          <w:tcPr>
            <w:tcW w:w="80" w:type="dxa"/>
            <w:tcBorders>
              <w:bottom w:val="single" w:sz="8" w:space="0" w:color="CCEEFF"/>
            </w:tcBorders>
            <w:shd w:val="clear" w:color="auto" w:fill="CCEEFF"/>
            <w:vAlign w:val="bottom"/>
          </w:tcPr>
          <w:p w14:paraId="778A06E2" w14:textId="77777777" w:rsidR="00D1587D" w:rsidRDefault="00D1587D">
            <w:pPr>
              <w:rPr>
                <w:sz w:val="5"/>
                <w:szCs w:val="5"/>
              </w:rPr>
            </w:pPr>
          </w:p>
        </w:tc>
        <w:tc>
          <w:tcPr>
            <w:tcW w:w="220" w:type="dxa"/>
            <w:tcBorders>
              <w:bottom w:val="single" w:sz="8" w:space="0" w:color="auto"/>
            </w:tcBorders>
            <w:shd w:val="clear" w:color="auto" w:fill="CCEEFF"/>
            <w:vAlign w:val="bottom"/>
          </w:tcPr>
          <w:p w14:paraId="0537147A" w14:textId="77777777" w:rsidR="00D1587D" w:rsidRDefault="00D1587D">
            <w:pPr>
              <w:rPr>
                <w:sz w:val="5"/>
                <w:szCs w:val="5"/>
              </w:rPr>
            </w:pPr>
          </w:p>
        </w:tc>
        <w:tc>
          <w:tcPr>
            <w:tcW w:w="580" w:type="dxa"/>
            <w:tcBorders>
              <w:bottom w:val="single" w:sz="8" w:space="0" w:color="auto"/>
            </w:tcBorders>
            <w:shd w:val="clear" w:color="auto" w:fill="CCEEFF"/>
            <w:vAlign w:val="bottom"/>
          </w:tcPr>
          <w:p w14:paraId="2D193B74" w14:textId="77777777" w:rsidR="00D1587D" w:rsidRDefault="00D1587D">
            <w:pPr>
              <w:rPr>
                <w:sz w:val="5"/>
                <w:szCs w:val="5"/>
              </w:rPr>
            </w:pPr>
          </w:p>
        </w:tc>
        <w:tc>
          <w:tcPr>
            <w:tcW w:w="840" w:type="dxa"/>
            <w:shd w:val="clear" w:color="auto" w:fill="CCEEFF"/>
            <w:vAlign w:val="bottom"/>
          </w:tcPr>
          <w:p w14:paraId="3C0A8E48" w14:textId="77777777" w:rsidR="00D1587D" w:rsidRDefault="00D1587D">
            <w:pPr>
              <w:rPr>
                <w:sz w:val="5"/>
                <w:szCs w:val="5"/>
              </w:rPr>
            </w:pPr>
          </w:p>
        </w:tc>
      </w:tr>
      <w:tr w:rsidR="00D1587D" w14:paraId="1D374F56" w14:textId="77777777">
        <w:trPr>
          <w:trHeight w:val="304"/>
        </w:trPr>
        <w:tc>
          <w:tcPr>
            <w:tcW w:w="5960" w:type="dxa"/>
            <w:vAlign w:val="bottom"/>
          </w:tcPr>
          <w:p w14:paraId="575CAED3" w14:textId="77777777" w:rsidR="00D1587D" w:rsidRDefault="00410D07">
            <w:pPr>
              <w:rPr>
                <w:sz w:val="20"/>
                <w:szCs w:val="20"/>
              </w:rPr>
            </w:pPr>
            <w:r>
              <w:rPr>
                <w:rFonts w:ascii="Arial" w:eastAsia="Arial" w:hAnsi="Arial" w:cs="Arial"/>
                <w:sz w:val="18"/>
                <w:szCs w:val="18"/>
              </w:rPr>
              <w:t>Net Income (Loss)</w:t>
            </w:r>
          </w:p>
        </w:tc>
        <w:tc>
          <w:tcPr>
            <w:tcW w:w="200" w:type="dxa"/>
            <w:vAlign w:val="bottom"/>
          </w:tcPr>
          <w:p w14:paraId="19ABACFF" w14:textId="77777777" w:rsidR="00D1587D" w:rsidRDefault="00410D07">
            <w:pPr>
              <w:jc w:val="right"/>
              <w:rPr>
                <w:sz w:val="20"/>
                <w:szCs w:val="20"/>
              </w:rPr>
            </w:pPr>
            <w:r>
              <w:rPr>
                <w:rFonts w:ascii="Arial" w:eastAsia="Arial" w:hAnsi="Arial" w:cs="Arial"/>
                <w:sz w:val="18"/>
                <w:szCs w:val="18"/>
              </w:rPr>
              <w:t>$</w:t>
            </w:r>
          </w:p>
        </w:tc>
        <w:tc>
          <w:tcPr>
            <w:tcW w:w="540" w:type="dxa"/>
            <w:vAlign w:val="bottom"/>
          </w:tcPr>
          <w:p w14:paraId="6A186C08" w14:textId="77777777" w:rsidR="00D1587D" w:rsidRDefault="00410D07">
            <w:pPr>
              <w:ind w:right="72"/>
              <w:jc w:val="right"/>
              <w:rPr>
                <w:sz w:val="20"/>
                <w:szCs w:val="20"/>
              </w:rPr>
            </w:pPr>
            <w:r>
              <w:rPr>
                <w:rFonts w:ascii="Arial" w:eastAsia="Arial" w:hAnsi="Arial" w:cs="Arial"/>
                <w:sz w:val="18"/>
                <w:szCs w:val="18"/>
              </w:rPr>
              <w:t>174</w:t>
            </w:r>
          </w:p>
        </w:tc>
        <w:tc>
          <w:tcPr>
            <w:tcW w:w="80" w:type="dxa"/>
            <w:vAlign w:val="bottom"/>
          </w:tcPr>
          <w:p w14:paraId="45F54DFD" w14:textId="77777777" w:rsidR="00D1587D" w:rsidRDefault="00D1587D">
            <w:pPr>
              <w:rPr>
                <w:sz w:val="24"/>
                <w:szCs w:val="24"/>
              </w:rPr>
            </w:pPr>
          </w:p>
        </w:tc>
        <w:tc>
          <w:tcPr>
            <w:tcW w:w="220" w:type="dxa"/>
            <w:vAlign w:val="bottom"/>
          </w:tcPr>
          <w:p w14:paraId="6EBDD001" w14:textId="77777777" w:rsidR="00D1587D" w:rsidRDefault="00410D07">
            <w:pPr>
              <w:jc w:val="right"/>
              <w:rPr>
                <w:sz w:val="20"/>
                <w:szCs w:val="20"/>
              </w:rPr>
            </w:pPr>
            <w:r>
              <w:rPr>
                <w:rFonts w:ascii="Arial" w:eastAsia="Arial" w:hAnsi="Arial" w:cs="Arial"/>
                <w:sz w:val="18"/>
                <w:szCs w:val="18"/>
              </w:rPr>
              <w:t>$</w:t>
            </w:r>
          </w:p>
        </w:tc>
        <w:tc>
          <w:tcPr>
            <w:tcW w:w="580" w:type="dxa"/>
            <w:vAlign w:val="bottom"/>
          </w:tcPr>
          <w:p w14:paraId="02E1A230" w14:textId="77777777" w:rsidR="00D1587D" w:rsidRDefault="00410D07">
            <w:pPr>
              <w:ind w:right="72"/>
              <w:jc w:val="right"/>
              <w:rPr>
                <w:sz w:val="20"/>
                <w:szCs w:val="20"/>
              </w:rPr>
            </w:pPr>
            <w:r>
              <w:rPr>
                <w:rFonts w:ascii="Arial" w:eastAsia="Arial" w:hAnsi="Arial" w:cs="Arial"/>
                <w:w w:val="95"/>
                <w:sz w:val="18"/>
                <w:szCs w:val="18"/>
              </w:rPr>
              <w:t>(299)</w:t>
            </w:r>
          </w:p>
        </w:tc>
        <w:tc>
          <w:tcPr>
            <w:tcW w:w="840" w:type="dxa"/>
            <w:vAlign w:val="bottom"/>
          </w:tcPr>
          <w:p w14:paraId="2517CD9A" w14:textId="77777777" w:rsidR="00D1587D" w:rsidRDefault="00410D07">
            <w:pPr>
              <w:jc w:val="right"/>
              <w:rPr>
                <w:sz w:val="20"/>
                <w:szCs w:val="20"/>
              </w:rPr>
            </w:pPr>
            <w:r>
              <w:rPr>
                <w:rFonts w:ascii="Arial" w:eastAsia="Arial" w:hAnsi="Arial" w:cs="Arial"/>
                <w:sz w:val="18"/>
                <w:szCs w:val="18"/>
              </w:rPr>
              <w:t>158%</w:t>
            </w:r>
          </w:p>
        </w:tc>
      </w:tr>
      <w:tr w:rsidR="00D1587D" w14:paraId="28BB83C9" w14:textId="77777777">
        <w:trPr>
          <w:trHeight w:val="68"/>
        </w:trPr>
        <w:tc>
          <w:tcPr>
            <w:tcW w:w="5960" w:type="dxa"/>
            <w:vAlign w:val="bottom"/>
          </w:tcPr>
          <w:p w14:paraId="6DEB5E2C" w14:textId="77777777" w:rsidR="00D1587D" w:rsidRDefault="00D1587D">
            <w:pPr>
              <w:rPr>
                <w:sz w:val="5"/>
                <w:szCs w:val="5"/>
              </w:rPr>
            </w:pPr>
          </w:p>
        </w:tc>
        <w:tc>
          <w:tcPr>
            <w:tcW w:w="200" w:type="dxa"/>
            <w:tcBorders>
              <w:bottom w:val="single" w:sz="8" w:space="0" w:color="auto"/>
            </w:tcBorders>
            <w:vAlign w:val="bottom"/>
          </w:tcPr>
          <w:p w14:paraId="7988A635" w14:textId="77777777" w:rsidR="00D1587D" w:rsidRDefault="00D1587D">
            <w:pPr>
              <w:rPr>
                <w:sz w:val="5"/>
                <w:szCs w:val="5"/>
              </w:rPr>
            </w:pPr>
          </w:p>
        </w:tc>
        <w:tc>
          <w:tcPr>
            <w:tcW w:w="540" w:type="dxa"/>
            <w:tcBorders>
              <w:bottom w:val="single" w:sz="8" w:space="0" w:color="auto"/>
            </w:tcBorders>
            <w:vAlign w:val="bottom"/>
          </w:tcPr>
          <w:p w14:paraId="0A5D3292" w14:textId="77777777" w:rsidR="00D1587D" w:rsidRDefault="00D1587D">
            <w:pPr>
              <w:rPr>
                <w:sz w:val="5"/>
                <w:szCs w:val="5"/>
              </w:rPr>
            </w:pPr>
          </w:p>
        </w:tc>
        <w:tc>
          <w:tcPr>
            <w:tcW w:w="80" w:type="dxa"/>
            <w:vAlign w:val="bottom"/>
          </w:tcPr>
          <w:p w14:paraId="3469D37F" w14:textId="77777777" w:rsidR="00D1587D" w:rsidRDefault="00D1587D">
            <w:pPr>
              <w:rPr>
                <w:sz w:val="5"/>
                <w:szCs w:val="5"/>
              </w:rPr>
            </w:pPr>
          </w:p>
        </w:tc>
        <w:tc>
          <w:tcPr>
            <w:tcW w:w="220" w:type="dxa"/>
            <w:tcBorders>
              <w:bottom w:val="single" w:sz="8" w:space="0" w:color="auto"/>
            </w:tcBorders>
            <w:vAlign w:val="bottom"/>
          </w:tcPr>
          <w:p w14:paraId="5AE37B6A" w14:textId="77777777" w:rsidR="00D1587D" w:rsidRDefault="00D1587D">
            <w:pPr>
              <w:rPr>
                <w:sz w:val="5"/>
                <w:szCs w:val="5"/>
              </w:rPr>
            </w:pPr>
          </w:p>
        </w:tc>
        <w:tc>
          <w:tcPr>
            <w:tcW w:w="580" w:type="dxa"/>
            <w:tcBorders>
              <w:bottom w:val="single" w:sz="8" w:space="0" w:color="auto"/>
            </w:tcBorders>
            <w:vAlign w:val="bottom"/>
          </w:tcPr>
          <w:p w14:paraId="640267E6" w14:textId="77777777" w:rsidR="00D1587D" w:rsidRDefault="00D1587D">
            <w:pPr>
              <w:rPr>
                <w:sz w:val="5"/>
                <w:szCs w:val="5"/>
              </w:rPr>
            </w:pPr>
          </w:p>
        </w:tc>
        <w:tc>
          <w:tcPr>
            <w:tcW w:w="840" w:type="dxa"/>
            <w:vAlign w:val="bottom"/>
          </w:tcPr>
          <w:p w14:paraId="4B58CCF4" w14:textId="77777777" w:rsidR="00D1587D" w:rsidRDefault="00D1587D">
            <w:pPr>
              <w:rPr>
                <w:sz w:val="5"/>
                <w:szCs w:val="5"/>
              </w:rPr>
            </w:pPr>
          </w:p>
        </w:tc>
      </w:tr>
      <w:tr w:rsidR="00D1587D" w14:paraId="5AB1A2D7" w14:textId="77777777">
        <w:trPr>
          <w:trHeight w:val="20"/>
        </w:trPr>
        <w:tc>
          <w:tcPr>
            <w:tcW w:w="5960" w:type="dxa"/>
            <w:tcBorders>
              <w:bottom w:val="single" w:sz="8" w:space="0" w:color="CCEEFF"/>
            </w:tcBorders>
            <w:vAlign w:val="bottom"/>
          </w:tcPr>
          <w:p w14:paraId="3CBB7303" w14:textId="77777777" w:rsidR="00D1587D" w:rsidRDefault="00D1587D">
            <w:pPr>
              <w:spacing w:line="20" w:lineRule="exact"/>
              <w:rPr>
                <w:sz w:val="1"/>
                <w:szCs w:val="1"/>
              </w:rPr>
            </w:pPr>
          </w:p>
        </w:tc>
        <w:tc>
          <w:tcPr>
            <w:tcW w:w="200" w:type="dxa"/>
            <w:tcBorders>
              <w:bottom w:val="single" w:sz="8" w:space="0" w:color="auto"/>
            </w:tcBorders>
            <w:vAlign w:val="bottom"/>
          </w:tcPr>
          <w:p w14:paraId="7E380E61" w14:textId="77777777" w:rsidR="00D1587D" w:rsidRDefault="00D1587D">
            <w:pPr>
              <w:spacing w:line="20" w:lineRule="exact"/>
              <w:rPr>
                <w:sz w:val="1"/>
                <w:szCs w:val="1"/>
              </w:rPr>
            </w:pPr>
          </w:p>
        </w:tc>
        <w:tc>
          <w:tcPr>
            <w:tcW w:w="540" w:type="dxa"/>
            <w:tcBorders>
              <w:bottom w:val="single" w:sz="8" w:space="0" w:color="auto"/>
            </w:tcBorders>
            <w:vAlign w:val="bottom"/>
          </w:tcPr>
          <w:p w14:paraId="478CACB4" w14:textId="77777777" w:rsidR="00D1587D" w:rsidRDefault="00D1587D">
            <w:pPr>
              <w:spacing w:line="20" w:lineRule="exact"/>
              <w:rPr>
                <w:sz w:val="1"/>
                <w:szCs w:val="1"/>
              </w:rPr>
            </w:pPr>
          </w:p>
        </w:tc>
        <w:tc>
          <w:tcPr>
            <w:tcW w:w="80" w:type="dxa"/>
            <w:tcBorders>
              <w:bottom w:val="single" w:sz="8" w:space="0" w:color="CCEEFF"/>
            </w:tcBorders>
            <w:vAlign w:val="bottom"/>
          </w:tcPr>
          <w:p w14:paraId="7ACA4CD4" w14:textId="77777777" w:rsidR="00D1587D" w:rsidRDefault="00D1587D">
            <w:pPr>
              <w:spacing w:line="20" w:lineRule="exact"/>
              <w:rPr>
                <w:sz w:val="1"/>
                <w:szCs w:val="1"/>
              </w:rPr>
            </w:pPr>
          </w:p>
        </w:tc>
        <w:tc>
          <w:tcPr>
            <w:tcW w:w="220" w:type="dxa"/>
            <w:tcBorders>
              <w:bottom w:val="single" w:sz="8" w:space="0" w:color="auto"/>
            </w:tcBorders>
            <w:vAlign w:val="bottom"/>
          </w:tcPr>
          <w:p w14:paraId="3DF2603F" w14:textId="77777777" w:rsidR="00D1587D" w:rsidRDefault="00D1587D">
            <w:pPr>
              <w:spacing w:line="20" w:lineRule="exact"/>
              <w:rPr>
                <w:sz w:val="1"/>
                <w:szCs w:val="1"/>
              </w:rPr>
            </w:pPr>
          </w:p>
        </w:tc>
        <w:tc>
          <w:tcPr>
            <w:tcW w:w="580" w:type="dxa"/>
            <w:tcBorders>
              <w:bottom w:val="single" w:sz="8" w:space="0" w:color="auto"/>
            </w:tcBorders>
            <w:vAlign w:val="bottom"/>
          </w:tcPr>
          <w:p w14:paraId="166314D9" w14:textId="77777777" w:rsidR="00D1587D" w:rsidRDefault="00D1587D">
            <w:pPr>
              <w:spacing w:line="20" w:lineRule="exact"/>
              <w:rPr>
                <w:sz w:val="1"/>
                <w:szCs w:val="1"/>
              </w:rPr>
            </w:pPr>
          </w:p>
        </w:tc>
        <w:tc>
          <w:tcPr>
            <w:tcW w:w="840" w:type="dxa"/>
            <w:tcBorders>
              <w:bottom w:val="single" w:sz="8" w:space="0" w:color="CCEEFF"/>
            </w:tcBorders>
            <w:vAlign w:val="bottom"/>
          </w:tcPr>
          <w:p w14:paraId="72239901" w14:textId="77777777" w:rsidR="00D1587D" w:rsidRDefault="00D1587D">
            <w:pPr>
              <w:spacing w:line="20" w:lineRule="exact"/>
              <w:rPr>
                <w:sz w:val="1"/>
                <w:szCs w:val="1"/>
              </w:rPr>
            </w:pPr>
          </w:p>
        </w:tc>
      </w:tr>
      <w:tr w:rsidR="00D1587D" w14:paraId="0412F026" w14:textId="77777777">
        <w:trPr>
          <w:trHeight w:val="338"/>
        </w:trPr>
        <w:tc>
          <w:tcPr>
            <w:tcW w:w="5960" w:type="dxa"/>
            <w:tcBorders>
              <w:bottom w:val="single" w:sz="8" w:space="0" w:color="CCEEFF"/>
            </w:tcBorders>
            <w:shd w:val="clear" w:color="auto" w:fill="CCEEFF"/>
            <w:vAlign w:val="bottom"/>
          </w:tcPr>
          <w:p w14:paraId="6BC0E619" w14:textId="77777777" w:rsidR="00D1587D" w:rsidRDefault="00410D07">
            <w:pPr>
              <w:rPr>
                <w:sz w:val="20"/>
                <w:szCs w:val="20"/>
              </w:rPr>
            </w:pPr>
            <w:r>
              <w:rPr>
                <w:rFonts w:ascii="Arial" w:eastAsia="Arial" w:hAnsi="Arial" w:cs="Arial"/>
                <w:sz w:val="18"/>
                <w:szCs w:val="18"/>
              </w:rPr>
              <w:t>Gross Profit</w:t>
            </w:r>
          </w:p>
        </w:tc>
        <w:tc>
          <w:tcPr>
            <w:tcW w:w="200" w:type="dxa"/>
            <w:tcBorders>
              <w:bottom w:val="single" w:sz="8" w:space="0" w:color="CCEEFF"/>
            </w:tcBorders>
            <w:shd w:val="clear" w:color="auto" w:fill="CCEEFF"/>
            <w:vAlign w:val="bottom"/>
          </w:tcPr>
          <w:p w14:paraId="62483EAC" w14:textId="77777777" w:rsidR="00D1587D" w:rsidRDefault="00D1587D">
            <w:pPr>
              <w:rPr>
                <w:sz w:val="24"/>
                <w:szCs w:val="24"/>
              </w:rPr>
            </w:pPr>
          </w:p>
        </w:tc>
        <w:tc>
          <w:tcPr>
            <w:tcW w:w="540" w:type="dxa"/>
            <w:tcBorders>
              <w:bottom w:val="single" w:sz="8" w:space="0" w:color="CCEEFF"/>
            </w:tcBorders>
            <w:shd w:val="clear" w:color="auto" w:fill="CCEEFF"/>
            <w:vAlign w:val="bottom"/>
          </w:tcPr>
          <w:p w14:paraId="0899346A" w14:textId="77777777" w:rsidR="00D1587D" w:rsidRDefault="00410D07">
            <w:pPr>
              <w:jc w:val="right"/>
              <w:rPr>
                <w:sz w:val="20"/>
                <w:szCs w:val="20"/>
              </w:rPr>
            </w:pPr>
            <w:r>
              <w:rPr>
                <w:rFonts w:ascii="Arial" w:eastAsia="Arial" w:hAnsi="Arial" w:cs="Arial"/>
                <w:sz w:val="18"/>
                <w:szCs w:val="18"/>
              </w:rPr>
              <w:t>43.2%</w:t>
            </w:r>
          </w:p>
        </w:tc>
        <w:tc>
          <w:tcPr>
            <w:tcW w:w="80" w:type="dxa"/>
            <w:tcBorders>
              <w:bottom w:val="single" w:sz="8" w:space="0" w:color="CCEEFF"/>
            </w:tcBorders>
            <w:shd w:val="clear" w:color="auto" w:fill="CCEEFF"/>
            <w:vAlign w:val="bottom"/>
          </w:tcPr>
          <w:p w14:paraId="787C7782" w14:textId="77777777" w:rsidR="00D1587D" w:rsidRDefault="00D1587D">
            <w:pPr>
              <w:rPr>
                <w:sz w:val="24"/>
                <w:szCs w:val="24"/>
              </w:rPr>
            </w:pPr>
          </w:p>
        </w:tc>
        <w:tc>
          <w:tcPr>
            <w:tcW w:w="220" w:type="dxa"/>
            <w:tcBorders>
              <w:bottom w:val="single" w:sz="8" w:space="0" w:color="CCEEFF"/>
            </w:tcBorders>
            <w:shd w:val="clear" w:color="auto" w:fill="CCEEFF"/>
            <w:vAlign w:val="bottom"/>
          </w:tcPr>
          <w:p w14:paraId="5A01AE7C" w14:textId="77777777" w:rsidR="00D1587D" w:rsidRDefault="00D1587D">
            <w:pPr>
              <w:rPr>
                <w:sz w:val="24"/>
                <w:szCs w:val="24"/>
              </w:rPr>
            </w:pPr>
          </w:p>
        </w:tc>
        <w:tc>
          <w:tcPr>
            <w:tcW w:w="580" w:type="dxa"/>
            <w:tcBorders>
              <w:bottom w:val="single" w:sz="8" w:space="0" w:color="CCEEFF"/>
            </w:tcBorders>
            <w:shd w:val="clear" w:color="auto" w:fill="CCEEFF"/>
            <w:vAlign w:val="bottom"/>
          </w:tcPr>
          <w:p w14:paraId="0D8FB96B" w14:textId="77777777" w:rsidR="00D1587D" w:rsidRDefault="00410D07">
            <w:pPr>
              <w:jc w:val="right"/>
              <w:rPr>
                <w:sz w:val="20"/>
                <w:szCs w:val="20"/>
              </w:rPr>
            </w:pPr>
            <w:r>
              <w:rPr>
                <w:rFonts w:ascii="Arial" w:eastAsia="Arial" w:hAnsi="Arial" w:cs="Arial"/>
                <w:sz w:val="18"/>
                <w:szCs w:val="18"/>
              </w:rPr>
              <w:t>2.3%</w:t>
            </w:r>
          </w:p>
        </w:tc>
        <w:tc>
          <w:tcPr>
            <w:tcW w:w="840" w:type="dxa"/>
            <w:tcBorders>
              <w:bottom w:val="single" w:sz="8" w:space="0" w:color="CCEEFF"/>
            </w:tcBorders>
            <w:shd w:val="clear" w:color="auto" w:fill="CCEEFF"/>
            <w:vAlign w:val="bottom"/>
          </w:tcPr>
          <w:p w14:paraId="5DC906B3" w14:textId="77777777" w:rsidR="00D1587D" w:rsidRDefault="00D1587D">
            <w:pPr>
              <w:rPr>
                <w:sz w:val="24"/>
                <w:szCs w:val="24"/>
              </w:rPr>
            </w:pPr>
          </w:p>
        </w:tc>
      </w:tr>
      <w:tr w:rsidR="00D1587D" w14:paraId="43703998" w14:textId="77777777">
        <w:trPr>
          <w:trHeight w:val="270"/>
        </w:trPr>
        <w:tc>
          <w:tcPr>
            <w:tcW w:w="5960" w:type="dxa"/>
            <w:vAlign w:val="bottom"/>
          </w:tcPr>
          <w:p w14:paraId="6593A397" w14:textId="77777777" w:rsidR="00D1587D" w:rsidRDefault="00410D07">
            <w:pPr>
              <w:rPr>
                <w:sz w:val="20"/>
                <w:szCs w:val="20"/>
              </w:rPr>
            </w:pPr>
            <w:r>
              <w:rPr>
                <w:rFonts w:ascii="Arial" w:eastAsia="Arial" w:hAnsi="Arial" w:cs="Arial"/>
                <w:sz w:val="18"/>
                <w:szCs w:val="18"/>
              </w:rPr>
              <w:t>Operating Profit (Loss)</w:t>
            </w:r>
          </w:p>
        </w:tc>
        <w:tc>
          <w:tcPr>
            <w:tcW w:w="200" w:type="dxa"/>
            <w:vAlign w:val="bottom"/>
          </w:tcPr>
          <w:p w14:paraId="6BF7C420" w14:textId="77777777" w:rsidR="00D1587D" w:rsidRDefault="00D1587D">
            <w:pPr>
              <w:rPr>
                <w:sz w:val="23"/>
                <w:szCs w:val="23"/>
              </w:rPr>
            </w:pPr>
          </w:p>
        </w:tc>
        <w:tc>
          <w:tcPr>
            <w:tcW w:w="540" w:type="dxa"/>
            <w:vAlign w:val="bottom"/>
          </w:tcPr>
          <w:p w14:paraId="1B2BEB86" w14:textId="77777777" w:rsidR="00D1587D" w:rsidRDefault="00410D07">
            <w:pPr>
              <w:jc w:val="right"/>
              <w:rPr>
                <w:sz w:val="20"/>
                <w:szCs w:val="20"/>
              </w:rPr>
            </w:pPr>
            <w:r>
              <w:rPr>
                <w:rFonts w:ascii="Arial" w:eastAsia="Arial" w:hAnsi="Arial" w:cs="Arial"/>
                <w:sz w:val="18"/>
                <w:szCs w:val="18"/>
              </w:rPr>
              <w:t>14.5%</w:t>
            </w:r>
          </w:p>
        </w:tc>
        <w:tc>
          <w:tcPr>
            <w:tcW w:w="80" w:type="dxa"/>
            <w:vAlign w:val="bottom"/>
          </w:tcPr>
          <w:p w14:paraId="7EF73CBB" w14:textId="77777777" w:rsidR="00D1587D" w:rsidRDefault="00D1587D">
            <w:pPr>
              <w:rPr>
                <w:sz w:val="23"/>
                <w:szCs w:val="23"/>
              </w:rPr>
            </w:pPr>
          </w:p>
        </w:tc>
        <w:tc>
          <w:tcPr>
            <w:tcW w:w="800" w:type="dxa"/>
            <w:gridSpan w:val="2"/>
            <w:vAlign w:val="bottom"/>
          </w:tcPr>
          <w:p w14:paraId="6DE1D5F4" w14:textId="77777777" w:rsidR="00D1587D" w:rsidRDefault="00410D07">
            <w:pPr>
              <w:jc w:val="right"/>
              <w:rPr>
                <w:sz w:val="20"/>
                <w:szCs w:val="20"/>
              </w:rPr>
            </w:pPr>
            <w:r>
              <w:rPr>
                <w:rFonts w:ascii="Arial" w:eastAsia="Arial" w:hAnsi="Arial" w:cs="Arial"/>
                <w:sz w:val="18"/>
                <w:szCs w:val="18"/>
              </w:rPr>
              <w:t>(41.8)%</w:t>
            </w:r>
          </w:p>
        </w:tc>
        <w:tc>
          <w:tcPr>
            <w:tcW w:w="840" w:type="dxa"/>
            <w:vAlign w:val="bottom"/>
          </w:tcPr>
          <w:p w14:paraId="0BD9F3F2" w14:textId="77777777" w:rsidR="00D1587D" w:rsidRDefault="00D1587D">
            <w:pPr>
              <w:rPr>
                <w:sz w:val="23"/>
                <w:szCs w:val="23"/>
              </w:rPr>
            </w:pPr>
          </w:p>
        </w:tc>
      </w:tr>
    </w:tbl>
    <w:p w14:paraId="435E5C47" w14:textId="77777777" w:rsidR="00D1587D" w:rsidRDefault="00410D07">
      <w:pPr>
        <w:spacing w:line="20" w:lineRule="exact"/>
        <w:rPr>
          <w:sz w:val="20"/>
          <w:szCs w:val="20"/>
        </w:rPr>
      </w:pPr>
      <w:r>
        <w:rPr>
          <w:noProof/>
          <w:sz w:val="20"/>
          <w:szCs w:val="20"/>
        </w:rPr>
        <w:drawing>
          <wp:anchor distT="0" distB="0" distL="114300" distR="114300" simplePos="0" relativeHeight="251694080" behindDoc="1" locked="0" layoutInCell="0" allowOverlap="1" wp14:anchorId="5B0E19FE" wp14:editId="4707FCA4">
            <wp:simplePos x="0" y="0"/>
            <wp:positionH relativeFrom="column">
              <wp:posOffset>5003165</wp:posOffset>
            </wp:positionH>
            <wp:positionV relativeFrom="paragraph">
              <wp:posOffset>-419100</wp:posOffset>
            </wp:positionV>
            <wp:extent cx="25400" cy="8255"/>
            <wp:effectExtent l="0" t="0" r="0" b="0"/>
            <wp:wrapNone/>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55"/>
                    <a:srcRect/>
                    <a:stretch>
                      <a:fillRect/>
                    </a:stretch>
                  </pic:blipFill>
                  <pic:spPr bwMode="auto">
                    <a:xfrm>
                      <a:off x="0" y="0"/>
                      <a:ext cx="25400" cy="8255"/>
                    </a:xfrm>
                    <a:prstGeom prst="rect">
                      <a:avLst/>
                    </a:prstGeom>
                    <a:noFill/>
                  </pic:spPr>
                </pic:pic>
              </a:graphicData>
            </a:graphic>
          </wp:anchor>
        </w:drawing>
      </w:r>
      <w:r>
        <w:rPr>
          <w:noProof/>
          <w:sz w:val="20"/>
          <w:szCs w:val="20"/>
        </w:rPr>
        <w:drawing>
          <wp:anchor distT="0" distB="0" distL="114300" distR="114300" simplePos="0" relativeHeight="251695104" behindDoc="1" locked="0" layoutInCell="0" allowOverlap="1" wp14:anchorId="1873F17A" wp14:editId="33039D41">
            <wp:simplePos x="0" y="0"/>
            <wp:positionH relativeFrom="column">
              <wp:posOffset>4445635</wp:posOffset>
            </wp:positionH>
            <wp:positionV relativeFrom="paragraph">
              <wp:posOffset>-419100</wp:posOffset>
            </wp:positionV>
            <wp:extent cx="51435" cy="8255"/>
            <wp:effectExtent l="0" t="0" r="0" b="0"/>
            <wp:wrapNone/>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696128" behindDoc="1" locked="0" layoutInCell="0" allowOverlap="1" wp14:anchorId="2CB4887A" wp14:editId="24E47D33">
            <wp:simplePos x="0" y="0"/>
            <wp:positionH relativeFrom="column">
              <wp:posOffset>3948430</wp:posOffset>
            </wp:positionH>
            <wp:positionV relativeFrom="paragraph">
              <wp:posOffset>-419100</wp:posOffset>
            </wp:positionV>
            <wp:extent cx="25400" cy="8255"/>
            <wp:effectExtent l="0" t="0" r="0" b="0"/>
            <wp:wrapNone/>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55"/>
                    <a:srcRect/>
                    <a:stretch>
                      <a:fillRect/>
                    </a:stretch>
                  </pic:blipFill>
                  <pic:spPr bwMode="auto">
                    <a:xfrm>
                      <a:off x="0" y="0"/>
                      <a:ext cx="25400" cy="8255"/>
                    </a:xfrm>
                    <a:prstGeom prst="rect">
                      <a:avLst/>
                    </a:prstGeom>
                    <a:noFill/>
                  </pic:spPr>
                </pic:pic>
              </a:graphicData>
            </a:graphic>
          </wp:anchor>
        </w:drawing>
      </w:r>
      <w:r>
        <w:rPr>
          <w:noProof/>
          <w:sz w:val="20"/>
          <w:szCs w:val="20"/>
        </w:rPr>
        <w:drawing>
          <wp:anchor distT="0" distB="0" distL="114300" distR="114300" simplePos="0" relativeHeight="251697152" behindDoc="1" locked="0" layoutInCell="0" allowOverlap="1" wp14:anchorId="6CA3CEF0" wp14:editId="6346BCFB">
            <wp:simplePos x="0" y="0"/>
            <wp:positionH relativeFrom="column">
              <wp:posOffset>5003165</wp:posOffset>
            </wp:positionH>
            <wp:positionV relativeFrom="paragraph">
              <wp:posOffset>-685165</wp:posOffset>
            </wp:positionV>
            <wp:extent cx="25400" cy="8890"/>
            <wp:effectExtent l="0" t="0" r="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56"/>
                    <a:srcRect/>
                    <a:stretch>
                      <a:fillRect/>
                    </a:stretch>
                  </pic:blipFill>
                  <pic:spPr bwMode="auto">
                    <a:xfrm>
                      <a:off x="0" y="0"/>
                      <a:ext cx="25400" cy="8890"/>
                    </a:xfrm>
                    <a:prstGeom prst="rect">
                      <a:avLst/>
                    </a:prstGeom>
                    <a:noFill/>
                  </pic:spPr>
                </pic:pic>
              </a:graphicData>
            </a:graphic>
          </wp:anchor>
        </w:drawing>
      </w:r>
      <w:r>
        <w:rPr>
          <w:noProof/>
          <w:sz w:val="20"/>
          <w:szCs w:val="20"/>
        </w:rPr>
        <w:drawing>
          <wp:anchor distT="0" distB="0" distL="114300" distR="114300" simplePos="0" relativeHeight="251698176" behindDoc="1" locked="0" layoutInCell="0" allowOverlap="1" wp14:anchorId="2BCCC353" wp14:editId="696E0E55">
            <wp:simplePos x="0" y="0"/>
            <wp:positionH relativeFrom="column">
              <wp:posOffset>3948430</wp:posOffset>
            </wp:positionH>
            <wp:positionV relativeFrom="paragraph">
              <wp:posOffset>-685165</wp:posOffset>
            </wp:positionV>
            <wp:extent cx="25400" cy="8890"/>
            <wp:effectExtent l="0" t="0" r="0" b="0"/>
            <wp:wrapNone/>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56"/>
                    <a:srcRect/>
                    <a:stretch>
                      <a:fillRect/>
                    </a:stretch>
                  </pic:blipFill>
                  <pic:spPr bwMode="auto">
                    <a:xfrm>
                      <a:off x="0" y="0"/>
                      <a:ext cx="25400" cy="8890"/>
                    </a:xfrm>
                    <a:prstGeom prst="rect">
                      <a:avLst/>
                    </a:prstGeom>
                    <a:noFill/>
                  </pic:spPr>
                </pic:pic>
              </a:graphicData>
            </a:graphic>
          </wp:anchor>
        </w:drawing>
      </w:r>
      <w:r>
        <w:rPr>
          <w:noProof/>
          <w:sz w:val="20"/>
          <w:szCs w:val="20"/>
        </w:rPr>
        <w:drawing>
          <wp:anchor distT="0" distB="0" distL="114300" distR="114300" simplePos="0" relativeHeight="251699200" behindDoc="1" locked="0" layoutInCell="0" allowOverlap="1" wp14:anchorId="3E28C226" wp14:editId="3CACFB87">
            <wp:simplePos x="0" y="0"/>
            <wp:positionH relativeFrom="column">
              <wp:posOffset>5003165</wp:posOffset>
            </wp:positionH>
            <wp:positionV relativeFrom="paragraph">
              <wp:posOffset>-1122045</wp:posOffset>
            </wp:positionV>
            <wp:extent cx="25400" cy="8255"/>
            <wp:effectExtent l="0" t="0" r="0" b="0"/>
            <wp:wrapNone/>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56"/>
                    <a:srcRect/>
                    <a:stretch>
                      <a:fillRect/>
                    </a:stretch>
                  </pic:blipFill>
                  <pic:spPr bwMode="auto">
                    <a:xfrm>
                      <a:off x="0" y="0"/>
                      <a:ext cx="25400" cy="8255"/>
                    </a:xfrm>
                    <a:prstGeom prst="rect">
                      <a:avLst/>
                    </a:prstGeom>
                    <a:noFill/>
                  </pic:spPr>
                </pic:pic>
              </a:graphicData>
            </a:graphic>
          </wp:anchor>
        </w:drawing>
      </w:r>
      <w:r>
        <w:rPr>
          <w:noProof/>
          <w:sz w:val="20"/>
          <w:szCs w:val="20"/>
        </w:rPr>
        <w:drawing>
          <wp:anchor distT="0" distB="0" distL="114300" distR="114300" simplePos="0" relativeHeight="251700224" behindDoc="1" locked="0" layoutInCell="0" allowOverlap="1" wp14:anchorId="533A4E12" wp14:editId="7ED1F52E">
            <wp:simplePos x="0" y="0"/>
            <wp:positionH relativeFrom="column">
              <wp:posOffset>3948430</wp:posOffset>
            </wp:positionH>
            <wp:positionV relativeFrom="paragraph">
              <wp:posOffset>-1122045</wp:posOffset>
            </wp:positionV>
            <wp:extent cx="25400" cy="8255"/>
            <wp:effectExtent l="0" t="0" r="0" b="0"/>
            <wp:wrapNone/>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56"/>
                    <a:srcRect/>
                    <a:stretch>
                      <a:fillRect/>
                    </a:stretch>
                  </pic:blipFill>
                  <pic:spPr bwMode="auto">
                    <a:xfrm>
                      <a:off x="0" y="0"/>
                      <a:ext cx="25400" cy="8255"/>
                    </a:xfrm>
                    <a:prstGeom prst="rect">
                      <a:avLst/>
                    </a:prstGeom>
                    <a:noFill/>
                  </pic:spPr>
                </pic:pic>
              </a:graphicData>
            </a:graphic>
          </wp:anchor>
        </w:drawing>
      </w:r>
      <w:r>
        <w:rPr>
          <w:noProof/>
          <w:sz w:val="20"/>
          <w:szCs w:val="20"/>
        </w:rPr>
        <w:drawing>
          <wp:anchor distT="0" distB="0" distL="114300" distR="114300" simplePos="0" relativeHeight="251701248" behindDoc="1" locked="0" layoutInCell="0" allowOverlap="1" wp14:anchorId="57B7F473" wp14:editId="4729BAAA">
            <wp:simplePos x="0" y="0"/>
            <wp:positionH relativeFrom="column">
              <wp:posOffset>5003165</wp:posOffset>
            </wp:positionH>
            <wp:positionV relativeFrom="paragraph">
              <wp:posOffset>-1765300</wp:posOffset>
            </wp:positionV>
            <wp:extent cx="25400" cy="8890"/>
            <wp:effectExtent l="0" t="0" r="0" b="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55"/>
                    <a:srcRect/>
                    <a:stretch>
                      <a:fillRect/>
                    </a:stretch>
                  </pic:blipFill>
                  <pic:spPr bwMode="auto">
                    <a:xfrm>
                      <a:off x="0" y="0"/>
                      <a:ext cx="25400" cy="8890"/>
                    </a:xfrm>
                    <a:prstGeom prst="rect">
                      <a:avLst/>
                    </a:prstGeom>
                    <a:noFill/>
                  </pic:spPr>
                </pic:pic>
              </a:graphicData>
            </a:graphic>
          </wp:anchor>
        </w:drawing>
      </w:r>
      <w:r>
        <w:rPr>
          <w:noProof/>
          <w:sz w:val="20"/>
          <w:szCs w:val="20"/>
        </w:rPr>
        <w:drawing>
          <wp:anchor distT="0" distB="0" distL="114300" distR="114300" simplePos="0" relativeHeight="251702272" behindDoc="1" locked="0" layoutInCell="0" allowOverlap="1" wp14:anchorId="26EAF243" wp14:editId="1E5CBA66">
            <wp:simplePos x="0" y="0"/>
            <wp:positionH relativeFrom="column">
              <wp:posOffset>4445635</wp:posOffset>
            </wp:positionH>
            <wp:positionV relativeFrom="paragraph">
              <wp:posOffset>-1765300</wp:posOffset>
            </wp:positionV>
            <wp:extent cx="51435" cy="8890"/>
            <wp:effectExtent l="0" t="0" r="0" b="0"/>
            <wp:wrapNone/>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703296" behindDoc="1" locked="0" layoutInCell="0" allowOverlap="1" wp14:anchorId="6667AE86" wp14:editId="329F31DB">
            <wp:simplePos x="0" y="0"/>
            <wp:positionH relativeFrom="column">
              <wp:posOffset>3948430</wp:posOffset>
            </wp:positionH>
            <wp:positionV relativeFrom="paragraph">
              <wp:posOffset>-1765300</wp:posOffset>
            </wp:positionV>
            <wp:extent cx="25400" cy="8890"/>
            <wp:effectExtent l="0" t="0" r="0" b="0"/>
            <wp:wrapNone/>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55"/>
                    <a:srcRect/>
                    <a:stretch>
                      <a:fillRect/>
                    </a:stretch>
                  </pic:blipFill>
                  <pic:spPr bwMode="auto">
                    <a:xfrm>
                      <a:off x="0" y="0"/>
                      <a:ext cx="25400" cy="8890"/>
                    </a:xfrm>
                    <a:prstGeom prst="rect">
                      <a:avLst/>
                    </a:prstGeom>
                    <a:noFill/>
                  </pic:spPr>
                </pic:pic>
              </a:graphicData>
            </a:graphic>
          </wp:anchor>
        </w:drawing>
      </w:r>
      <w:r>
        <w:rPr>
          <w:noProof/>
          <w:sz w:val="20"/>
          <w:szCs w:val="20"/>
        </w:rPr>
        <w:drawing>
          <wp:anchor distT="0" distB="0" distL="114300" distR="114300" simplePos="0" relativeHeight="251704320" behindDoc="1" locked="0" layoutInCell="0" allowOverlap="1" wp14:anchorId="20487CF8" wp14:editId="17EF0AD7">
            <wp:simplePos x="0" y="0"/>
            <wp:positionH relativeFrom="column">
              <wp:posOffset>5003165</wp:posOffset>
            </wp:positionH>
            <wp:positionV relativeFrom="paragraph">
              <wp:posOffset>-2202180</wp:posOffset>
            </wp:positionV>
            <wp:extent cx="25400" cy="8255"/>
            <wp:effectExtent l="0" t="0" r="0" b="0"/>
            <wp:wrapNone/>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55"/>
                    <a:srcRect/>
                    <a:stretch>
                      <a:fillRect/>
                    </a:stretch>
                  </pic:blipFill>
                  <pic:spPr bwMode="auto">
                    <a:xfrm>
                      <a:off x="0" y="0"/>
                      <a:ext cx="25400" cy="8255"/>
                    </a:xfrm>
                    <a:prstGeom prst="rect">
                      <a:avLst/>
                    </a:prstGeom>
                    <a:noFill/>
                  </pic:spPr>
                </pic:pic>
              </a:graphicData>
            </a:graphic>
          </wp:anchor>
        </w:drawing>
      </w:r>
      <w:r>
        <w:rPr>
          <w:noProof/>
          <w:sz w:val="20"/>
          <w:szCs w:val="20"/>
        </w:rPr>
        <w:drawing>
          <wp:anchor distT="0" distB="0" distL="114300" distR="114300" simplePos="0" relativeHeight="251705344" behindDoc="1" locked="0" layoutInCell="0" allowOverlap="1" wp14:anchorId="487F9E4A" wp14:editId="62E861F6">
            <wp:simplePos x="0" y="0"/>
            <wp:positionH relativeFrom="column">
              <wp:posOffset>4445635</wp:posOffset>
            </wp:positionH>
            <wp:positionV relativeFrom="paragraph">
              <wp:posOffset>-2202180</wp:posOffset>
            </wp:positionV>
            <wp:extent cx="51435" cy="8255"/>
            <wp:effectExtent l="0" t="0" r="0" b="0"/>
            <wp:wrapNone/>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706368" behindDoc="1" locked="0" layoutInCell="0" allowOverlap="1" wp14:anchorId="0802F57C" wp14:editId="749044B9">
            <wp:simplePos x="0" y="0"/>
            <wp:positionH relativeFrom="column">
              <wp:posOffset>3948430</wp:posOffset>
            </wp:positionH>
            <wp:positionV relativeFrom="paragraph">
              <wp:posOffset>-2202180</wp:posOffset>
            </wp:positionV>
            <wp:extent cx="25400" cy="8255"/>
            <wp:effectExtent l="0" t="0" r="0" b="0"/>
            <wp:wrapNone/>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55"/>
                    <a:srcRect/>
                    <a:stretch>
                      <a:fillRect/>
                    </a:stretch>
                  </pic:blipFill>
                  <pic:spPr bwMode="auto">
                    <a:xfrm>
                      <a:off x="0" y="0"/>
                      <a:ext cx="25400" cy="8255"/>
                    </a:xfrm>
                    <a:prstGeom prst="rect">
                      <a:avLst/>
                    </a:prstGeom>
                    <a:noFill/>
                  </pic:spPr>
                </pic:pic>
              </a:graphicData>
            </a:graphic>
          </wp:anchor>
        </w:drawing>
      </w:r>
      <w:r>
        <w:rPr>
          <w:noProof/>
          <w:sz w:val="20"/>
          <w:szCs w:val="20"/>
        </w:rPr>
        <w:drawing>
          <wp:anchor distT="0" distB="0" distL="114300" distR="114300" simplePos="0" relativeHeight="251707392" behindDoc="1" locked="0" layoutInCell="0" allowOverlap="1" wp14:anchorId="5DA973A0" wp14:editId="48C5BC3B">
            <wp:simplePos x="0" y="0"/>
            <wp:positionH relativeFrom="column">
              <wp:posOffset>5003165</wp:posOffset>
            </wp:positionH>
            <wp:positionV relativeFrom="paragraph">
              <wp:posOffset>-2819400</wp:posOffset>
            </wp:positionV>
            <wp:extent cx="51435" cy="8255"/>
            <wp:effectExtent l="0" t="0" r="0" b="0"/>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708416" behindDoc="1" locked="0" layoutInCell="0" allowOverlap="1" wp14:anchorId="64D30DFB" wp14:editId="0FCC3B44">
            <wp:simplePos x="0" y="0"/>
            <wp:positionH relativeFrom="column">
              <wp:posOffset>4445635</wp:posOffset>
            </wp:positionH>
            <wp:positionV relativeFrom="paragraph">
              <wp:posOffset>-2819400</wp:posOffset>
            </wp:positionV>
            <wp:extent cx="51435" cy="8255"/>
            <wp:effectExtent l="0" t="0" r="0" b="0"/>
            <wp:wrapNone/>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p>
    <w:p w14:paraId="1606E464" w14:textId="77777777" w:rsidR="00D1587D" w:rsidRDefault="00D1587D">
      <w:pPr>
        <w:spacing w:line="344" w:lineRule="exact"/>
        <w:rPr>
          <w:sz w:val="20"/>
          <w:szCs w:val="20"/>
        </w:rPr>
      </w:pPr>
    </w:p>
    <w:p w14:paraId="21748694" w14:textId="77777777" w:rsidR="00D1587D" w:rsidRDefault="00410D07">
      <w:pPr>
        <w:ind w:left="300"/>
        <w:rPr>
          <w:sz w:val="20"/>
          <w:szCs w:val="20"/>
        </w:rPr>
      </w:pPr>
      <w:r>
        <w:rPr>
          <w:rFonts w:ascii="Arial" w:eastAsia="Arial" w:hAnsi="Arial" w:cs="Arial"/>
          <w:b/>
          <w:bCs/>
          <w:i/>
          <w:iCs/>
          <w:sz w:val="18"/>
          <w:szCs w:val="18"/>
        </w:rPr>
        <w:t>Results of Operations—First Quarter of 2021 Compared to First Quarter of 2020</w:t>
      </w:r>
    </w:p>
    <w:p w14:paraId="0E5BA2BA" w14:textId="77777777" w:rsidR="00D1587D" w:rsidRDefault="00D1587D">
      <w:pPr>
        <w:spacing w:line="117" w:lineRule="exact"/>
        <w:rPr>
          <w:sz w:val="20"/>
          <w:szCs w:val="20"/>
        </w:rPr>
      </w:pPr>
    </w:p>
    <w:p w14:paraId="6C7E6D91" w14:textId="77777777" w:rsidR="00D1587D" w:rsidRDefault="00410D07">
      <w:pPr>
        <w:spacing w:line="301" w:lineRule="auto"/>
        <w:ind w:left="300" w:right="319" w:firstLine="360"/>
        <w:jc w:val="both"/>
        <w:rPr>
          <w:sz w:val="20"/>
          <w:szCs w:val="20"/>
        </w:rPr>
      </w:pPr>
      <w:r>
        <w:rPr>
          <w:rFonts w:ascii="Arial" w:eastAsia="Arial" w:hAnsi="Arial" w:cs="Arial"/>
          <w:sz w:val="16"/>
          <w:szCs w:val="16"/>
        </w:rPr>
        <w:t xml:space="preserve">For the first quarter of 2021, our operating income, which includes allocated corporate expenses for purposes of </w:t>
      </w:r>
      <w:r>
        <w:rPr>
          <w:rFonts w:ascii="Arial" w:eastAsia="Arial" w:hAnsi="Arial" w:cs="Arial"/>
          <w:sz w:val="16"/>
          <w:szCs w:val="16"/>
        </w:rPr>
        <w:t>the “carve-out” financial statements of $19 million, increased to $226 million compared to a loss of $373 million in the first quarter of 2020, and the operating income rate improved to 14.5% from (41.8)%. The following information summarizes our results o</w:t>
      </w:r>
      <w:r>
        <w:rPr>
          <w:rFonts w:ascii="Arial" w:eastAsia="Arial" w:hAnsi="Arial" w:cs="Arial"/>
          <w:sz w:val="16"/>
          <w:szCs w:val="16"/>
        </w:rPr>
        <w:t>f operations for the first quarter of 2021 compared to the first quarter of 2020.</w:t>
      </w:r>
    </w:p>
    <w:p w14:paraId="493E5620" w14:textId="77777777" w:rsidR="00D1587D" w:rsidRDefault="00D1587D">
      <w:pPr>
        <w:spacing w:line="157" w:lineRule="exact"/>
        <w:rPr>
          <w:sz w:val="20"/>
          <w:szCs w:val="20"/>
        </w:rPr>
      </w:pPr>
    </w:p>
    <w:p w14:paraId="777AEC9A" w14:textId="77777777" w:rsidR="00D1587D" w:rsidRDefault="00410D07">
      <w:pPr>
        <w:jc w:val="center"/>
        <w:rPr>
          <w:sz w:val="20"/>
          <w:szCs w:val="20"/>
        </w:rPr>
      </w:pPr>
      <w:r>
        <w:rPr>
          <w:rFonts w:ascii="Arial" w:eastAsia="Arial" w:hAnsi="Arial" w:cs="Arial"/>
          <w:sz w:val="18"/>
          <w:szCs w:val="18"/>
        </w:rPr>
        <w:t>75</w:t>
      </w:r>
    </w:p>
    <w:p w14:paraId="41D3CE20" w14:textId="77777777" w:rsidR="00D1587D" w:rsidRDefault="00410D07">
      <w:pPr>
        <w:spacing w:line="20" w:lineRule="exact"/>
        <w:rPr>
          <w:sz w:val="20"/>
          <w:szCs w:val="20"/>
        </w:rPr>
      </w:pPr>
      <w:r>
        <w:rPr>
          <w:noProof/>
          <w:sz w:val="20"/>
          <w:szCs w:val="20"/>
        </w:rPr>
        <w:drawing>
          <wp:anchor distT="0" distB="0" distL="114300" distR="114300" simplePos="0" relativeHeight="251709440" behindDoc="1" locked="0" layoutInCell="0" allowOverlap="1" wp14:anchorId="290A5474" wp14:editId="0C56BB30">
            <wp:simplePos x="0" y="0"/>
            <wp:positionH relativeFrom="column">
              <wp:posOffset>-636905</wp:posOffset>
            </wp:positionH>
            <wp:positionV relativeFrom="paragraph">
              <wp:posOffset>134620</wp:posOffset>
            </wp:positionV>
            <wp:extent cx="6995160" cy="17145"/>
            <wp:effectExtent l="0" t="0" r="0" b="0"/>
            <wp:wrapNone/>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59776F7"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33" w:name="page334"/>
    <w:bookmarkEnd w:id="333"/>
    <w:p w14:paraId="4EBBDDA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8338705" w14:textId="77777777" w:rsidR="00D1587D" w:rsidRDefault="00D1587D">
      <w:pPr>
        <w:spacing w:line="131" w:lineRule="exact"/>
        <w:rPr>
          <w:sz w:val="20"/>
          <w:szCs w:val="20"/>
        </w:rPr>
      </w:pPr>
    </w:p>
    <w:p w14:paraId="0BCF9081" w14:textId="77777777" w:rsidR="00D1587D" w:rsidRDefault="00410D07">
      <w:pPr>
        <w:ind w:left="300"/>
        <w:rPr>
          <w:sz w:val="20"/>
          <w:szCs w:val="20"/>
        </w:rPr>
      </w:pPr>
      <w:r>
        <w:rPr>
          <w:rFonts w:ascii="Arial" w:eastAsia="Arial" w:hAnsi="Arial" w:cs="Arial"/>
          <w:b/>
          <w:bCs/>
          <w:i/>
          <w:iCs/>
          <w:sz w:val="18"/>
          <w:szCs w:val="18"/>
        </w:rPr>
        <w:t>Net Sales</w:t>
      </w:r>
    </w:p>
    <w:p w14:paraId="34E7557E" w14:textId="77777777" w:rsidR="00D1587D" w:rsidRDefault="00D1587D">
      <w:pPr>
        <w:spacing w:line="117" w:lineRule="exact"/>
        <w:rPr>
          <w:sz w:val="20"/>
          <w:szCs w:val="20"/>
        </w:rPr>
      </w:pPr>
    </w:p>
    <w:p w14:paraId="29C79832" w14:textId="77777777" w:rsidR="00D1587D" w:rsidRDefault="00410D07">
      <w:pPr>
        <w:ind w:left="660"/>
        <w:rPr>
          <w:sz w:val="20"/>
          <w:szCs w:val="20"/>
        </w:rPr>
      </w:pPr>
      <w:r>
        <w:rPr>
          <w:rFonts w:ascii="Arial" w:eastAsia="Arial" w:hAnsi="Arial" w:cs="Arial"/>
          <w:sz w:val="17"/>
          <w:szCs w:val="17"/>
        </w:rPr>
        <w:t xml:space="preserve">The following table provides net sales for the first quarter of 2021 in </w:t>
      </w:r>
      <w:r>
        <w:rPr>
          <w:rFonts w:ascii="Arial" w:eastAsia="Arial" w:hAnsi="Arial" w:cs="Arial"/>
          <w:sz w:val="17"/>
          <w:szCs w:val="17"/>
        </w:rPr>
        <w:t>comparison to the first quarter of 2020:</w:t>
      </w:r>
    </w:p>
    <w:p w14:paraId="69266C56" w14:textId="77777777" w:rsidR="00D1587D" w:rsidRDefault="00D1587D">
      <w:pPr>
        <w:spacing w:line="201"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200"/>
        <w:gridCol w:w="200"/>
        <w:gridCol w:w="480"/>
        <w:gridCol w:w="80"/>
        <w:gridCol w:w="680"/>
        <w:gridCol w:w="80"/>
        <w:gridCol w:w="700"/>
      </w:tblGrid>
      <w:tr w:rsidR="00D1587D" w14:paraId="6D68F356" w14:textId="77777777">
        <w:trPr>
          <w:trHeight w:val="186"/>
        </w:trPr>
        <w:tc>
          <w:tcPr>
            <w:tcW w:w="6200" w:type="dxa"/>
            <w:vAlign w:val="bottom"/>
          </w:tcPr>
          <w:p w14:paraId="02170599" w14:textId="77777777" w:rsidR="00D1587D" w:rsidRDefault="00D1587D">
            <w:pPr>
              <w:rPr>
                <w:sz w:val="16"/>
                <w:szCs w:val="16"/>
              </w:rPr>
            </w:pPr>
          </w:p>
        </w:tc>
        <w:tc>
          <w:tcPr>
            <w:tcW w:w="200" w:type="dxa"/>
            <w:vAlign w:val="bottom"/>
          </w:tcPr>
          <w:p w14:paraId="483E76B4" w14:textId="77777777" w:rsidR="00D1587D" w:rsidRDefault="00D1587D">
            <w:pPr>
              <w:rPr>
                <w:sz w:val="16"/>
                <w:szCs w:val="16"/>
              </w:rPr>
            </w:pPr>
          </w:p>
        </w:tc>
        <w:tc>
          <w:tcPr>
            <w:tcW w:w="480" w:type="dxa"/>
            <w:vAlign w:val="bottom"/>
          </w:tcPr>
          <w:p w14:paraId="1F5CB31C" w14:textId="77777777" w:rsidR="00D1587D" w:rsidRDefault="00410D07">
            <w:pPr>
              <w:ind w:right="114"/>
              <w:jc w:val="right"/>
              <w:rPr>
                <w:sz w:val="20"/>
                <w:szCs w:val="20"/>
              </w:rPr>
            </w:pPr>
            <w:r>
              <w:rPr>
                <w:rFonts w:ascii="Arial" w:eastAsia="Arial" w:hAnsi="Arial" w:cs="Arial"/>
                <w:b/>
                <w:bCs/>
                <w:w w:val="83"/>
                <w:sz w:val="14"/>
                <w:szCs w:val="14"/>
              </w:rPr>
              <w:t>2021</w:t>
            </w:r>
          </w:p>
        </w:tc>
        <w:tc>
          <w:tcPr>
            <w:tcW w:w="760" w:type="dxa"/>
            <w:gridSpan w:val="2"/>
            <w:vAlign w:val="bottom"/>
          </w:tcPr>
          <w:p w14:paraId="424FE9E0" w14:textId="77777777" w:rsidR="00D1587D" w:rsidRDefault="00410D07">
            <w:pPr>
              <w:jc w:val="center"/>
              <w:rPr>
                <w:sz w:val="20"/>
                <w:szCs w:val="20"/>
              </w:rPr>
            </w:pPr>
            <w:r>
              <w:rPr>
                <w:rFonts w:ascii="Arial" w:eastAsia="Arial" w:hAnsi="Arial" w:cs="Arial"/>
                <w:b/>
                <w:bCs/>
                <w:w w:val="89"/>
                <w:sz w:val="14"/>
                <w:szCs w:val="14"/>
              </w:rPr>
              <w:t>2020</w:t>
            </w:r>
          </w:p>
        </w:tc>
        <w:tc>
          <w:tcPr>
            <w:tcW w:w="80" w:type="dxa"/>
            <w:vAlign w:val="bottom"/>
          </w:tcPr>
          <w:p w14:paraId="0ECC12C4" w14:textId="77777777" w:rsidR="00D1587D" w:rsidRDefault="00D1587D">
            <w:pPr>
              <w:rPr>
                <w:sz w:val="16"/>
                <w:szCs w:val="16"/>
              </w:rPr>
            </w:pPr>
          </w:p>
        </w:tc>
        <w:tc>
          <w:tcPr>
            <w:tcW w:w="700" w:type="dxa"/>
            <w:vAlign w:val="bottom"/>
          </w:tcPr>
          <w:p w14:paraId="45F89B41" w14:textId="77777777" w:rsidR="00D1587D" w:rsidRDefault="00410D07">
            <w:pPr>
              <w:ind w:left="20"/>
              <w:rPr>
                <w:sz w:val="20"/>
                <w:szCs w:val="20"/>
              </w:rPr>
            </w:pPr>
            <w:r>
              <w:rPr>
                <w:rFonts w:ascii="Arial" w:eastAsia="Arial" w:hAnsi="Arial" w:cs="Arial"/>
                <w:b/>
                <w:bCs/>
                <w:w w:val="97"/>
                <w:sz w:val="14"/>
                <w:szCs w:val="14"/>
              </w:rPr>
              <w:t>% Change</w:t>
            </w:r>
          </w:p>
        </w:tc>
      </w:tr>
      <w:tr w:rsidR="00D1587D" w14:paraId="71594CF8" w14:textId="77777777">
        <w:trPr>
          <w:trHeight w:val="53"/>
        </w:trPr>
        <w:tc>
          <w:tcPr>
            <w:tcW w:w="6200" w:type="dxa"/>
            <w:vAlign w:val="bottom"/>
          </w:tcPr>
          <w:p w14:paraId="6E4C2B91" w14:textId="77777777" w:rsidR="00D1587D" w:rsidRDefault="00D1587D">
            <w:pPr>
              <w:rPr>
                <w:sz w:val="4"/>
                <w:szCs w:val="4"/>
              </w:rPr>
            </w:pPr>
          </w:p>
        </w:tc>
        <w:tc>
          <w:tcPr>
            <w:tcW w:w="200" w:type="dxa"/>
            <w:tcBorders>
              <w:bottom w:val="single" w:sz="8" w:space="0" w:color="auto"/>
            </w:tcBorders>
            <w:vAlign w:val="bottom"/>
          </w:tcPr>
          <w:p w14:paraId="7B30474B" w14:textId="77777777" w:rsidR="00D1587D" w:rsidRDefault="00D1587D">
            <w:pPr>
              <w:rPr>
                <w:sz w:val="4"/>
                <w:szCs w:val="4"/>
              </w:rPr>
            </w:pPr>
          </w:p>
        </w:tc>
        <w:tc>
          <w:tcPr>
            <w:tcW w:w="480" w:type="dxa"/>
            <w:tcBorders>
              <w:bottom w:val="single" w:sz="8" w:space="0" w:color="auto"/>
            </w:tcBorders>
            <w:vAlign w:val="bottom"/>
          </w:tcPr>
          <w:p w14:paraId="062BFE90" w14:textId="77777777" w:rsidR="00D1587D" w:rsidRDefault="00D1587D">
            <w:pPr>
              <w:rPr>
                <w:sz w:val="4"/>
                <w:szCs w:val="4"/>
              </w:rPr>
            </w:pPr>
          </w:p>
        </w:tc>
        <w:tc>
          <w:tcPr>
            <w:tcW w:w="840" w:type="dxa"/>
            <w:gridSpan w:val="3"/>
            <w:tcBorders>
              <w:bottom w:val="single" w:sz="8" w:space="0" w:color="auto"/>
            </w:tcBorders>
            <w:vAlign w:val="bottom"/>
          </w:tcPr>
          <w:p w14:paraId="60D18698" w14:textId="77777777" w:rsidR="00D1587D" w:rsidRDefault="00D1587D">
            <w:pPr>
              <w:rPr>
                <w:sz w:val="4"/>
                <w:szCs w:val="4"/>
              </w:rPr>
            </w:pPr>
          </w:p>
        </w:tc>
        <w:tc>
          <w:tcPr>
            <w:tcW w:w="700" w:type="dxa"/>
            <w:tcBorders>
              <w:bottom w:val="single" w:sz="8" w:space="0" w:color="auto"/>
            </w:tcBorders>
            <w:vAlign w:val="bottom"/>
          </w:tcPr>
          <w:p w14:paraId="61255C78" w14:textId="77777777" w:rsidR="00D1587D" w:rsidRDefault="00D1587D">
            <w:pPr>
              <w:rPr>
                <w:sz w:val="4"/>
                <w:szCs w:val="4"/>
              </w:rPr>
            </w:pPr>
          </w:p>
        </w:tc>
      </w:tr>
      <w:tr w:rsidR="00D1587D" w14:paraId="3FDB33DF" w14:textId="77777777">
        <w:trPr>
          <w:trHeight w:val="224"/>
        </w:trPr>
        <w:tc>
          <w:tcPr>
            <w:tcW w:w="6200" w:type="dxa"/>
            <w:vAlign w:val="bottom"/>
          </w:tcPr>
          <w:p w14:paraId="09EABD15" w14:textId="77777777" w:rsidR="00D1587D" w:rsidRDefault="00410D07">
            <w:pPr>
              <w:rPr>
                <w:sz w:val="20"/>
                <w:szCs w:val="20"/>
              </w:rPr>
            </w:pPr>
            <w:r>
              <w:rPr>
                <w:rFonts w:ascii="Arial" w:eastAsia="Arial" w:hAnsi="Arial" w:cs="Arial"/>
                <w:b/>
                <w:bCs/>
                <w:sz w:val="14"/>
                <w:szCs w:val="14"/>
              </w:rPr>
              <w:t>First Quarter</w:t>
            </w:r>
          </w:p>
        </w:tc>
        <w:tc>
          <w:tcPr>
            <w:tcW w:w="200" w:type="dxa"/>
            <w:vAlign w:val="bottom"/>
          </w:tcPr>
          <w:p w14:paraId="0D649331" w14:textId="77777777" w:rsidR="00D1587D" w:rsidRDefault="00D1587D">
            <w:pPr>
              <w:rPr>
                <w:sz w:val="19"/>
                <w:szCs w:val="19"/>
              </w:rPr>
            </w:pPr>
          </w:p>
        </w:tc>
        <w:tc>
          <w:tcPr>
            <w:tcW w:w="480" w:type="dxa"/>
            <w:vAlign w:val="bottom"/>
          </w:tcPr>
          <w:p w14:paraId="666F79FE" w14:textId="77777777" w:rsidR="00D1587D" w:rsidRDefault="00D1587D">
            <w:pPr>
              <w:rPr>
                <w:sz w:val="19"/>
                <w:szCs w:val="19"/>
              </w:rPr>
            </w:pPr>
          </w:p>
        </w:tc>
        <w:tc>
          <w:tcPr>
            <w:tcW w:w="840" w:type="dxa"/>
            <w:gridSpan w:val="3"/>
            <w:vAlign w:val="bottom"/>
          </w:tcPr>
          <w:p w14:paraId="5DA7F225" w14:textId="77777777" w:rsidR="00D1587D" w:rsidRDefault="00410D07">
            <w:pPr>
              <w:jc w:val="center"/>
              <w:rPr>
                <w:sz w:val="20"/>
                <w:szCs w:val="20"/>
              </w:rPr>
            </w:pPr>
            <w:r>
              <w:rPr>
                <w:rFonts w:ascii="Arial" w:eastAsia="Arial" w:hAnsi="Arial" w:cs="Arial"/>
                <w:b/>
                <w:bCs/>
                <w:w w:val="94"/>
                <w:sz w:val="14"/>
                <w:szCs w:val="14"/>
              </w:rPr>
              <w:t>(in millions)</w:t>
            </w:r>
          </w:p>
        </w:tc>
        <w:tc>
          <w:tcPr>
            <w:tcW w:w="700" w:type="dxa"/>
            <w:vAlign w:val="bottom"/>
          </w:tcPr>
          <w:p w14:paraId="0F014C5D" w14:textId="77777777" w:rsidR="00D1587D" w:rsidRDefault="00D1587D">
            <w:pPr>
              <w:rPr>
                <w:sz w:val="19"/>
                <w:szCs w:val="19"/>
              </w:rPr>
            </w:pPr>
          </w:p>
        </w:tc>
      </w:tr>
      <w:tr w:rsidR="00D1587D" w14:paraId="3870A44B" w14:textId="77777777">
        <w:trPr>
          <w:trHeight w:val="53"/>
        </w:trPr>
        <w:tc>
          <w:tcPr>
            <w:tcW w:w="6200" w:type="dxa"/>
            <w:vAlign w:val="bottom"/>
          </w:tcPr>
          <w:p w14:paraId="5761D2AB" w14:textId="77777777" w:rsidR="00D1587D" w:rsidRDefault="00D1587D">
            <w:pPr>
              <w:rPr>
                <w:sz w:val="4"/>
                <w:szCs w:val="4"/>
              </w:rPr>
            </w:pPr>
          </w:p>
        </w:tc>
        <w:tc>
          <w:tcPr>
            <w:tcW w:w="200" w:type="dxa"/>
            <w:vAlign w:val="bottom"/>
          </w:tcPr>
          <w:p w14:paraId="5EDBD019" w14:textId="77777777" w:rsidR="00D1587D" w:rsidRDefault="00D1587D">
            <w:pPr>
              <w:rPr>
                <w:sz w:val="4"/>
                <w:szCs w:val="4"/>
              </w:rPr>
            </w:pPr>
          </w:p>
        </w:tc>
        <w:tc>
          <w:tcPr>
            <w:tcW w:w="480" w:type="dxa"/>
            <w:vAlign w:val="bottom"/>
          </w:tcPr>
          <w:p w14:paraId="31CB3117" w14:textId="77777777" w:rsidR="00D1587D" w:rsidRDefault="00D1587D">
            <w:pPr>
              <w:rPr>
                <w:sz w:val="4"/>
                <w:szCs w:val="4"/>
              </w:rPr>
            </w:pPr>
          </w:p>
        </w:tc>
        <w:tc>
          <w:tcPr>
            <w:tcW w:w="80" w:type="dxa"/>
            <w:vAlign w:val="bottom"/>
          </w:tcPr>
          <w:p w14:paraId="5B27094F" w14:textId="77777777" w:rsidR="00D1587D" w:rsidRDefault="00D1587D">
            <w:pPr>
              <w:rPr>
                <w:sz w:val="4"/>
                <w:szCs w:val="4"/>
              </w:rPr>
            </w:pPr>
          </w:p>
        </w:tc>
        <w:tc>
          <w:tcPr>
            <w:tcW w:w="680" w:type="dxa"/>
            <w:vAlign w:val="bottom"/>
          </w:tcPr>
          <w:p w14:paraId="039D0042" w14:textId="77777777" w:rsidR="00D1587D" w:rsidRDefault="00D1587D">
            <w:pPr>
              <w:rPr>
                <w:sz w:val="4"/>
                <w:szCs w:val="4"/>
              </w:rPr>
            </w:pPr>
          </w:p>
        </w:tc>
        <w:tc>
          <w:tcPr>
            <w:tcW w:w="80" w:type="dxa"/>
            <w:vAlign w:val="bottom"/>
          </w:tcPr>
          <w:p w14:paraId="391F8E50" w14:textId="77777777" w:rsidR="00D1587D" w:rsidRDefault="00D1587D">
            <w:pPr>
              <w:rPr>
                <w:sz w:val="4"/>
                <w:szCs w:val="4"/>
              </w:rPr>
            </w:pPr>
          </w:p>
        </w:tc>
        <w:tc>
          <w:tcPr>
            <w:tcW w:w="700" w:type="dxa"/>
            <w:vAlign w:val="bottom"/>
          </w:tcPr>
          <w:p w14:paraId="0AA35E98" w14:textId="77777777" w:rsidR="00D1587D" w:rsidRDefault="00D1587D">
            <w:pPr>
              <w:rPr>
                <w:sz w:val="4"/>
                <w:szCs w:val="4"/>
              </w:rPr>
            </w:pPr>
          </w:p>
        </w:tc>
      </w:tr>
      <w:tr w:rsidR="00D1587D" w14:paraId="2AB4B651" w14:textId="77777777">
        <w:trPr>
          <w:trHeight w:val="318"/>
        </w:trPr>
        <w:tc>
          <w:tcPr>
            <w:tcW w:w="6200" w:type="dxa"/>
            <w:tcBorders>
              <w:bottom w:val="single" w:sz="8" w:space="0" w:color="CCEEFF"/>
            </w:tcBorders>
            <w:shd w:val="clear" w:color="auto" w:fill="CCEEFF"/>
            <w:vAlign w:val="bottom"/>
          </w:tcPr>
          <w:p w14:paraId="545B9821" w14:textId="77777777" w:rsidR="00D1587D" w:rsidRDefault="00410D07">
            <w:pPr>
              <w:rPr>
                <w:sz w:val="20"/>
                <w:szCs w:val="20"/>
              </w:rPr>
            </w:pPr>
            <w:r>
              <w:rPr>
                <w:rFonts w:ascii="Arial" w:eastAsia="Arial" w:hAnsi="Arial" w:cs="Arial"/>
                <w:sz w:val="18"/>
                <w:szCs w:val="18"/>
              </w:rPr>
              <w:t>Stores - North America</w:t>
            </w:r>
          </w:p>
        </w:tc>
        <w:tc>
          <w:tcPr>
            <w:tcW w:w="200" w:type="dxa"/>
            <w:tcBorders>
              <w:bottom w:val="single" w:sz="8" w:space="0" w:color="CCEEFF"/>
            </w:tcBorders>
            <w:shd w:val="clear" w:color="auto" w:fill="CCEEFF"/>
            <w:vAlign w:val="bottom"/>
          </w:tcPr>
          <w:p w14:paraId="58E7FD62" w14:textId="77777777" w:rsidR="00D1587D" w:rsidRDefault="00410D07">
            <w:pPr>
              <w:jc w:val="right"/>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56F078CF" w14:textId="77777777" w:rsidR="00D1587D" w:rsidRDefault="00410D07">
            <w:pPr>
              <w:jc w:val="center"/>
              <w:rPr>
                <w:sz w:val="20"/>
                <w:szCs w:val="20"/>
              </w:rPr>
            </w:pPr>
            <w:r>
              <w:rPr>
                <w:rFonts w:ascii="Arial" w:eastAsia="Arial" w:hAnsi="Arial" w:cs="Arial"/>
                <w:w w:val="93"/>
                <w:sz w:val="18"/>
                <w:szCs w:val="18"/>
              </w:rPr>
              <w:t>933</w:t>
            </w:r>
          </w:p>
        </w:tc>
        <w:tc>
          <w:tcPr>
            <w:tcW w:w="760" w:type="dxa"/>
            <w:gridSpan w:val="2"/>
            <w:tcBorders>
              <w:bottom w:val="single" w:sz="8" w:space="0" w:color="CCEEFF"/>
            </w:tcBorders>
            <w:shd w:val="clear" w:color="auto" w:fill="CCEEFF"/>
            <w:vAlign w:val="bottom"/>
          </w:tcPr>
          <w:p w14:paraId="62577FBA" w14:textId="77777777" w:rsidR="00D1587D" w:rsidRDefault="00410D07">
            <w:pPr>
              <w:ind w:left="36"/>
              <w:jc w:val="center"/>
              <w:rPr>
                <w:sz w:val="20"/>
                <w:szCs w:val="20"/>
              </w:rPr>
            </w:pPr>
            <w:r>
              <w:rPr>
                <w:rFonts w:ascii="Arial" w:eastAsia="Arial" w:hAnsi="Arial" w:cs="Arial"/>
                <w:w w:val="88"/>
                <w:sz w:val="18"/>
                <w:szCs w:val="18"/>
              </w:rPr>
              <w:t>$ 514</w:t>
            </w:r>
          </w:p>
        </w:tc>
        <w:tc>
          <w:tcPr>
            <w:tcW w:w="80" w:type="dxa"/>
            <w:tcBorders>
              <w:bottom w:val="single" w:sz="8" w:space="0" w:color="CCEEFF"/>
            </w:tcBorders>
            <w:shd w:val="clear" w:color="auto" w:fill="CCEEFF"/>
            <w:vAlign w:val="bottom"/>
          </w:tcPr>
          <w:p w14:paraId="51CBFD4D" w14:textId="77777777" w:rsidR="00D1587D" w:rsidRDefault="00D1587D">
            <w:pPr>
              <w:rPr>
                <w:sz w:val="24"/>
                <w:szCs w:val="24"/>
              </w:rPr>
            </w:pPr>
          </w:p>
        </w:tc>
        <w:tc>
          <w:tcPr>
            <w:tcW w:w="700" w:type="dxa"/>
            <w:tcBorders>
              <w:bottom w:val="single" w:sz="8" w:space="0" w:color="CCEEFF"/>
            </w:tcBorders>
            <w:shd w:val="clear" w:color="auto" w:fill="CCEEFF"/>
            <w:vAlign w:val="bottom"/>
          </w:tcPr>
          <w:p w14:paraId="19C1610C" w14:textId="77777777" w:rsidR="00D1587D" w:rsidRDefault="00410D07">
            <w:pPr>
              <w:ind w:left="260"/>
              <w:rPr>
                <w:sz w:val="20"/>
                <w:szCs w:val="20"/>
              </w:rPr>
            </w:pPr>
            <w:r>
              <w:rPr>
                <w:rFonts w:ascii="Arial" w:eastAsia="Arial" w:hAnsi="Arial" w:cs="Arial"/>
                <w:sz w:val="18"/>
                <w:szCs w:val="18"/>
              </w:rPr>
              <w:t>82%</w:t>
            </w:r>
          </w:p>
        </w:tc>
      </w:tr>
      <w:tr w:rsidR="00D1587D" w14:paraId="3984732C" w14:textId="77777777">
        <w:trPr>
          <w:trHeight w:val="270"/>
        </w:trPr>
        <w:tc>
          <w:tcPr>
            <w:tcW w:w="6200" w:type="dxa"/>
            <w:vAlign w:val="bottom"/>
          </w:tcPr>
          <w:p w14:paraId="71C31AAA" w14:textId="77777777" w:rsidR="00D1587D" w:rsidRDefault="00410D07">
            <w:pPr>
              <w:rPr>
                <w:sz w:val="20"/>
                <w:szCs w:val="20"/>
              </w:rPr>
            </w:pPr>
            <w:r>
              <w:rPr>
                <w:rFonts w:ascii="Arial" w:eastAsia="Arial" w:hAnsi="Arial" w:cs="Arial"/>
                <w:sz w:val="18"/>
                <w:szCs w:val="18"/>
              </w:rPr>
              <w:t>Direct</w:t>
            </w:r>
          </w:p>
        </w:tc>
        <w:tc>
          <w:tcPr>
            <w:tcW w:w="200" w:type="dxa"/>
            <w:vAlign w:val="bottom"/>
          </w:tcPr>
          <w:p w14:paraId="64E2D268" w14:textId="77777777" w:rsidR="00D1587D" w:rsidRDefault="00D1587D">
            <w:pPr>
              <w:rPr>
                <w:sz w:val="23"/>
                <w:szCs w:val="23"/>
              </w:rPr>
            </w:pPr>
          </w:p>
        </w:tc>
        <w:tc>
          <w:tcPr>
            <w:tcW w:w="480" w:type="dxa"/>
            <w:vAlign w:val="bottom"/>
          </w:tcPr>
          <w:p w14:paraId="6CAEDA49" w14:textId="77777777" w:rsidR="00D1587D" w:rsidRDefault="00410D07">
            <w:pPr>
              <w:jc w:val="center"/>
              <w:rPr>
                <w:sz w:val="20"/>
                <w:szCs w:val="20"/>
              </w:rPr>
            </w:pPr>
            <w:r>
              <w:rPr>
                <w:rFonts w:ascii="Arial" w:eastAsia="Arial" w:hAnsi="Arial" w:cs="Arial"/>
                <w:w w:val="86"/>
                <w:sz w:val="18"/>
                <w:szCs w:val="18"/>
              </w:rPr>
              <w:t>521</w:t>
            </w:r>
          </w:p>
        </w:tc>
        <w:tc>
          <w:tcPr>
            <w:tcW w:w="760" w:type="dxa"/>
            <w:gridSpan w:val="2"/>
            <w:vAlign w:val="bottom"/>
          </w:tcPr>
          <w:p w14:paraId="0AF9220D" w14:textId="77777777" w:rsidR="00D1587D" w:rsidRDefault="00410D07">
            <w:pPr>
              <w:ind w:right="160"/>
              <w:jc w:val="right"/>
              <w:rPr>
                <w:sz w:val="20"/>
                <w:szCs w:val="20"/>
              </w:rPr>
            </w:pPr>
            <w:r>
              <w:rPr>
                <w:rFonts w:ascii="Arial" w:eastAsia="Arial" w:hAnsi="Arial" w:cs="Arial"/>
                <w:sz w:val="18"/>
                <w:szCs w:val="18"/>
              </w:rPr>
              <w:t>308</w:t>
            </w:r>
          </w:p>
        </w:tc>
        <w:tc>
          <w:tcPr>
            <w:tcW w:w="80" w:type="dxa"/>
            <w:vAlign w:val="bottom"/>
          </w:tcPr>
          <w:p w14:paraId="129C0632" w14:textId="77777777" w:rsidR="00D1587D" w:rsidRDefault="00D1587D">
            <w:pPr>
              <w:rPr>
                <w:sz w:val="23"/>
                <w:szCs w:val="23"/>
              </w:rPr>
            </w:pPr>
          </w:p>
        </w:tc>
        <w:tc>
          <w:tcPr>
            <w:tcW w:w="700" w:type="dxa"/>
            <w:vAlign w:val="bottom"/>
          </w:tcPr>
          <w:p w14:paraId="06A66BDB" w14:textId="77777777" w:rsidR="00D1587D" w:rsidRDefault="00410D07">
            <w:pPr>
              <w:ind w:left="260"/>
              <w:rPr>
                <w:sz w:val="20"/>
                <w:szCs w:val="20"/>
              </w:rPr>
            </w:pPr>
            <w:r>
              <w:rPr>
                <w:rFonts w:ascii="Arial" w:eastAsia="Arial" w:hAnsi="Arial" w:cs="Arial"/>
                <w:sz w:val="18"/>
                <w:szCs w:val="18"/>
              </w:rPr>
              <w:t>69%</w:t>
            </w:r>
          </w:p>
        </w:tc>
      </w:tr>
      <w:tr w:rsidR="00D1587D" w14:paraId="6623993E" w14:textId="77777777">
        <w:trPr>
          <w:trHeight w:val="54"/>
        </w:trPr>
        <w:tc>
          <w:tcPr>
            <w:tcW w:w="6200" w:type="dxa"/>
            <w:vAlign w:val="bottom"/>
          </w:tcPr>
          <w:p w14:paraId="294324D2" w14:textId="77777777" w:rsidR="00D1587D" w:rsidRDefault="00D1587D">
            <w:pPr>
              <w:rPr>
                <w:sz w:val="4"/>
                <w:szCs w:val="4"/>
              </w:rPr>
            </w:pPr>
          </w:p>
        </w:tc>
        <w:tc>
          <w:tcPr>
            <w:tcW w:w="200" w:type="dxa"/>
            <w:vAlign w:val="bottom"/>
          </w:tcPr>
          <w:p w14:paraId="0FE84ADC" w14:textId="77777777" w:rsidR="00D1587D" w:rsidRDefault="00D1587D">
            <w:pPr>
              <w:rPr>
                <w:sz w:val="4"/>
                <w:szCs w:val="4"/>
              </w:rPr>
            </w:pPr>
          </w:p>
        </w:tc>
        <w:tc>
          <w:tcPr>
            <w:tcW w:w="480" w:type="dxa"/>
            <w:vAlign w:val="bottom"/>
          </w:tcPr>
          <w:p w14:paraId="5D8C80BC" w14:textId="77777777" w:rsidR="00D1587D" w:rsidRDefault="00D1587D">
            <w:pPr>
              <w:rPr>
                <w:sz w:val="4"/>
                <w:szCs w:val="4"/>
              </w:rPr>
            </w:pPr>
          </w:p>
        </w:tc>
        <w:tc>
          <w:tcPr>
            <w:tcW w:w="80" w:type="dxa"/>
            <w:vAlign w:val="bottom"/>
          </w:tcPr>
          <w:p w14:paraId="72338994" w14:textId="77777777" w:rsidR="00D1587D" w:rsidRDefault="00D1587D">
            <w:pPr>
              <w:rPr>
                <w:sz w:val="4"/>
                <w:szCs w:val="4"/>
              </w:rPr>
            </w:pPr>
          </w:p>
        </w:tc>
        <w:tc>
          <w:tcPr>
            <w:tcW w:w="680" w:type="dxa"/>
            <w:vAlign w:val="bottom"/>
          </w:tcPr>
          <w:p w14:paraId="3E31F870" w14:textId="77777777" w:rsidR="00D1587D" w:rsidRDefault="00D1587D">
            <w:pPr>
              <w:rPr>
                <w:sz w:val="4"/>
                <w:szCs w:val="4"/>
              </w:rPr>
            </w:pPr>
          </w:p>
        </w:tc>
        <w:tc>
          <w:tcPr>
            <w:tcW w:w="80" w:type="dxa"/>
            <w:vAlign w:val="bottom"/>
          </w:tcPr>
          <w:p w14:paraId="1E14BC54" w14:textId="77777777" w:rsidR="00D1587D" w:rsidRDefault="00D1587D">
            <w:pPr>
              <w:rPr>
                <w:sz w:val="4"/>
                <w:szCs w:val="4"/>
              </w:rPr>
            </w:pPr>
          </w:p>
        </w:tc>
        <w:tc>
          <w:tcPr>
            <w:tcW w:w="700" w:type="dxa"/>
            <w:vAlign w:val="bottom"/>
          </w:tcPr>
          <w:p w14:paraId="1C899B9D" w14:textId="77777777" w:rsidR="00D1587D" w:rsidRDefault="00D1587D">
            <w:pPr>
              <w:rPr>
                <w:sz w:val="4"/>
                <w:szCs w:val="4"/>
              </w:rPr>
            </w:pPr>
          </w:p>
        </w:tc>
      </w:tr>
      <w:tr w:rsidR="00D1587D" w14:paraId="0849733F" w14:textId="77777777">
        <w:trPr>
          <w:trHeight w:val="270"/>
        </w:trPr>
        <w:tc>
          <w:tcPr>
            <w:tcW w:w="6200" w:type="dxa"/>
            <w:shd w:val="clear" w:color="auto" w:fill="CCEEFF"/>
            <w:vAlign w:val="bottom"/>
          </w:tcPr>
          <w:p w14:paraId="7EBADD1A" w14:textId="77777777" w:rsidR="00D1587D" w:rsidRDefault="00410D07">
            <w:pPr>
              <w:rPr>
                <w:sz w:val="20"/>
                <w:szCs w:val="20"/>
              </w:rPr>
            </w:pPr>
            <w:r>
              <w:rPr>
                <w:rFonts w:ascii="Arial" w:eastAsia="Arial" w:hAnsi="Arial" w:cs="Arial"/>
                <w:sz w:val="18"/>
                <w:szCs w:val="18"/>
              </w:rPr>
              <w:t>International(a)</w:t>
            </w:r>
          </w:p>
        </w:tc>
        <w:tc>
          <w:tcPr>
            <w:tcW w:w="200" w:type="dxa"/>
            <w:shd w:val="clear" w:color="auto" w:fill="CCEEFF"/>
            <w:vAlign w:val="bottom"/>
          </w:tcPr>
          <w:p w14:paraId="61C118C4" w14:textId="77777777" w:rsidR="00D1587D" w:rsidRDefault="00D1587D">
            <w:pPr>
              <w:rPr>
                <w:sz w:val="23"/>
                <w:szCs w:val="23"/>
              </w:rPr>
            </w:pPr>
          </w:p>
        </w:tc>
        <w:tc>
          <w:tcPr>
            <w:tcW w:w="480" w:type="dxa"/>
            <w:shd w:val="clear" w:color="auto" w:fill="CCEEFF"/>
            <w:vAlign w:val="bottom"/>
          </w:tcPr>
          <w:p w14:paraId="47E00DD0" w14:textId="77777777" w:rsidR="00D1587D" w:rsidRDefault="00410D07">
            <w:pPr>
              <w:jc w:val="center"/>
              <w:rPr>
                <w:sz w:val="20"/>
                <w:szCs w:val="20"/>
              </w:rPr>
            </w:pPr>
            <w:r>
              <w:rPr>
                <w:rFonts w:ascii="Arial" w:eastAsia="Arial" w:hAnsi="Arial" w:cs="Arial"/>
                <w:w w:val="86"/>
                <w:sz w:val="18"/>
                <w:szCs w:val="18"/>
              </w:rPr>
              <w:t>100</w:t>
            </w:r>
          </w:p>
        </w:tc>
        <w:tc>
          <w:tcPr>
            <w:tcW w:w="760" w:type="dxa"/>
            <w:gridSpan w:val="2"/>
            <w:shd w:val="clear" w:color="auto" w:fill="CCEEFF"/>
            <w:vAlign w:val="bottom"/>
          </w:tcPr>
          <w:p w14:paraId="797ED301" w14:textId="77777777" w:rsidR="00D1587D" w:rsidRDefault="00410D07">
            <w:pPr>
              <w:ind w:right="160"/>
              <w:jc w:val="right"/>
              <w:rPr>
                <w:sz w:val="20"/>
                <w:szCs w:val="20"/>
              </w:rPr>
            </w:pPr>
            <w:r>
              <w:rPr>
                <w:rFonts w:ascii="Arial" w:eastAsia="Arial" w:hAnsi="Arial" w:cs="Arial"/>
                <w:sz w:val="18"/>
                <w:szCs w:val="18"/>
              </w:rPr>
              <w:t>72</w:t>
            </w:r>
          </w:p>
        </w:tc>
        <w:tc>
          <w:tcPr>
            <w:tcW w:w="80" w:type="dxa"/>
            <w:shd w:val="clear" w:color="auto" w:fill="CCEEFF"/>
            <w:vAlign w:val="bottom"/>
          </w:tcPr>
          <w:p w14:paraId="1171C387" w14:textId="77777777" w:rsidR="00D1587D" w:rsidRDefault="00D1587D">
            <w:pPr>
              <w:rPr>
                <w:sz w:val="23"/>
                <w:szCs w:val="23"/>
              </w:rPr>
            </w:pPr>
          </w:p>
        </w:tc>
        <w:tc>
          <w:tcPr>
            <w:tcW w:w="700" w:type="dxa"/>
            <w:shd w:val="clear" w:color="auto" w:fill="CCEEFF"/>
            <w:vAlign w:val="bottom"/>
          </w:tcPr>
          <w:p w14:paraId="5466D6C0" w14:textId="77777777" w:rsidR="00D1587D" w:rsidRDefault="00410D07">
            <w:pPr>
              <w:ind w:left="260"/>
              <w:rPr>
                <w:sz w:val="20"/>
                <w:szCs w:val="20"/>
              </w:rPr>
            </w:pPr>
            <w:r>
              <w:rPr>
                <w:rFonts w:ascii="Arial" w:eastAsia="Arial" w:hAnsi="Arial" w:cs="Arial"/>
                <w:sz w:val="18"/>
                <w:szCs w:val="18"/>
              </w:rPr>
              <w:t>39%</w:t>
            </w:r>
          </w:p>
        </w:tc>
      </w:tr>
      <w:tr w:rsidR="00D1587D" w14:paraId="5E847409" w14:textId="77777777">
        <w:trPr>
          <w:trHeight w:val="67"/>
        </w:trPr>
        <w:tc>
          <w:tcPr>
            <w:tcW w:w="6200" w:type="dxa"/>
            <w:shd w:val="clear" w:color="auto" w:fill="CCEEFF"/>
            <w:vAlign w:val="bottom"/>
          </w:tcPr>
          <w:p w14:paraId="04D6F628" w14:textId="77777777" w:rsidR="00D1587D" w:rsidRDefault="00D1587D">
            <w:pPr>
              <w:rPr>
                <w:sz w:val="5"/>
                <w:szCs w:val="5"/>
              </w:rPr>
            </w:pPr>
          </w:p>
        </w:tc>
        <w:tc>
          <w:tcPr>
            <w:tcW w:w="200" w:type="dxa"/>
            <w:tcBorders>
              <w:bottom w:val="single" w:sz="8" w:space="0" w:color="auto"/>
            </w:tcBorders>
            <w:shd w:val="clear" w:color="auto" w:fill="CCEEFF"/>
            <w:vAlign w:val="bottom"/>
          </w:tcPr>
          <w:p w14:paraId="45AE0DD6" w14:textId="77777777" w:rsidR="00D1587D" w:rsidRDefault="00D1587D">
            <w:pPr>
              <w:rPr>
                <w:sz w:val="5"/>
                <w:szCs w:val="5"/>
              </w:rPr>
            </w:pPr>
          </w:p>
        </w:tc>
        <w:tc>
          <w:tcPr>
            <w:tcW w:w="480" w:type="dxa"/>
            <w:tcBorders>
              <w:bottom w:val="single" w:sz="8" w:space="0" w:color="auto"/>
            </w:tcBorders>
            <w:shd w:val="clear" w:color="auto" w:fill="CCEEFF"/>
            <w:vAlign w:val="bottom"/>
          </w:tcPr>
          <w:p w14:paraId="41559226" w14:textId="77777777" w:rsidR="00D1587D" w:rsidRDefault="00D1587D">
            <w:pPr>
              <w:rPr>
                <w:sz w:val="5"/>
                <w:szCs w:val="5"/>
              </w:rPr>
            </w:pPr>
          </w:p>
        </w:tc>
        <w:tc>
          <w:tcPr>
            <w:tcW w:w="80" w:type="dxa"/>
            <w:tcBorders>
              <w:bottom w:val="single" w:sz="8" w:space="0" w:color="CCEEFF"/>
            </w:tcBorders>
            <w:shd w:val="clear" w:color="auto" w:fill="CCEEFF"/>
            <w:vAlign w:val="bottom"/>
          </w:tcPr>
          <w:p w14:paraId="0AD4999E" w14:textId="77777777" w:rsidR="00D1587D" w:rsidRDefault="00D1587D">
            <w:pPr>
              <w:rPr>
                <w:sz w:val="5"/>
                <w:szCs w:val="5"/>
              </w:rPr>
            </w:pPr>
          </w:p>
        </w:tc>
        <w:tc>
          <w:tcPr>
            <w:tcW w:w="680" w:type="dxa"/>
            <w:tcBorders>
              <w:bottom w:val="single" w:sz="8" w:space="0" w:color="auto"/>
            </w:tcBorders>
            <w:shd w:val="clear" w:color="auto" w:fill="CCEEFF"/>
            <w:vAlign w:val="bottom"/>
          </w:tcPr>
          <w:p w14:paraId="191605C3" w14:textId="77777777" w:rsidR="00D1587D" w:rsidRDefault="00D1587D">
            <w:pPr>
              <w:rPr>
                <w:sz w:val="5"/>
                <w:szCs w:val="5"/>
              </w:rPr>
            </w:pPr>
          </w:p>
        </w:tc>
        <w:tc>
          <w:tcPr>
            <w:tcW w:w="80" w:type="dxa"/>
            <w:tcBorders>
              <w:bottom w:val="single" w:sz="8" w:space="0" w:color="CCEEFF"/>
            </w:tcBorders>
            <w:shd w:val="clear" w:color="auto" w:fill="CCEEFF"/>
            <w:vAlign w:val="bottom"/>
          </w:tcPr>
          <w:p w14:paraId="7CE7C8A0" w14:textId="77777777" w:rsidR="00D1587D" w:rsidRDefault="00D1587D">
            <w:pPr>
              <w:rPr>
                <w:sz w:val="5"/>
                <w:szCs w:val="5"/>
              </w:rPr>
            </w:pPr>
          </w:p>
        </w:tc>
        <w:tc>
          <w:tcPr>
            <w:tcW w:w="700" w:type="dxa"/>
            <w:tcBorders>
              <w:bottom w:val="single" w:sz="8" w:space="0" w:color="auto"/>
            </w:tcBorders>
            <w:shd w:val="clear" w:color="auto" w:fill="CCEEFF"/>
            <w:vAlign w:val="bottom"/>
          </w:tcPr>
          <w:p w14:paraId="6308AA91" w14:textId="77777777" w:rsidR="00D1587D" w:rsidRDefault="00D1587D">
            <w:pPr>
              <w:rPr>
                <w:sz w:val="5"/>
                <w:szCs w:val="5"/>
              </w:rPr>
            </w:pPr>
          </w:p>
        </w:tc>
      </w:tr>
      <w:tr w:rsidR="00D1587D" w14:paraId="5D9E25EF" w14:textId="77777777">
        <w:trPr>
          <w:trHeight w:val="304"/>
        </w:trPr>
        <w:tc>
          <w:tcPr>
            <w:tcW w:w="6200" w:type="dxa"/>
            <w:vAlign w:val="bottom"/>
          </w:tcPr>
          <w:p w14:paraId="1A6464AC" w14:textId="77777777" w:rsidR="00D1587D" w:rsidRDefault="00410D07">
            <w:pPr>
              <w:ind w:left="180"/>
              <w:rPr>
                <w:sz w:val="20"/>
                <w:szCs w:val="20"/>
              </w:rPr>
            </w:pPr>
            <w:r>
              <w:rPr>
                <w:rFonts w:ascii="Arial" w:eastAsia="Arial" w:hAnsi="Arial" w:cs="Arial"/>
                <w:b/>
                <w:bCs/>
                <w:sz w:val="18"/>
                <w:szCs w:val="18"/>
              </w:rPr>
              <w:t>Total</w:t>
            </w:r>
          </w:p>
        </w:tc>
        <w:tc>
          <w:tcPr>
            <w:tcW w:w="200" w:type="dxa"/>
            <w:vAlign w:val="bottom"/>
          </w:tcPr>
          <w:p w14:paraId="1876E770" w14:textId="77777777" w:rsidR="00D1587D" w:rsidRDefault="00410D07">
            <w:pPr>
              <w:jc w:val="right"/>
              <w:rPr>
                <w:sz w:val="20"/>
                <w:szCs w:val="20"/>
              </w:rPr>
            </w:pPr>
            <w:r>
              <w:rPr>
                <w:rFonts w:ascii="Arial" w:eastAsia="Arial" w:hAnsi="Arial" w:cs="Arial"/>
                <w:b/>
                <w:bCs/>
                <w:sz w:val="18"/>
                <w:szCs w:val="18"/>
              </w:rPr>
              <w:t>$</w:t>
            </w:r>
          </w:p>
        </w:tc>
        <w:tc>
          <w:tcPr>
            <w:tcW w:w="480" w:type="dxa"/>
            <w:vAlign w:val="bottom"/>
          </w:tcPr>
          <w:p w14:paraId="24997C12" w14:textId="77777777" w:rsidR="00D1587D" w:rsidRDefault="00410D07">
            <w:pPr>
              <w:jc w:val="center"/>
              <w:rPr>
                <w:sz w:val="20"/>
                <w:szCs w:val="20"/>
              </w:rPr>
            </w:pPr>
            <w:r>
              <w:rPr>
                <w:rFonts w:ascii="Arial" w:eastAsia="Arial" w:hAnsi="Arial" w:cs="Arial"/>
                <w:b/>
                <w:bCs/>
                <w:w w:val="88"/>
                <w:sz w:val="18"/>
                <w:szCs w:val="18"/>
              </w:rPr>
              <w:t>1,554</w:t>
            </w:r>
          </w:p>
        </w:tc>
        <w:tc>
          <w:tcPr>
            <w:tcW w:w="760" w:type="dxa"/>
            <w:gridSpan w:val="2"/>
            <w:vAlign w:val="bottom"/>
          </w:tcPr>
          <w:p w14:paraId="2F3983D9" w14:textId="77777777" w:rsidR="00D1587D" w:rsidRDefault="00410D07">
            <w:pPr>
              <w:ind w:left="36"/>
              <w:jc w:val="center"/>
              <w:rPr>
                <w:sz w:val="20"/>
                <w:szCs w:val="20"/>
              </w:rPr>
            </w:pPr>
            <w:r>
              <w:rPr>
                <w:rFonts w:ascii="Arial" w:eastAsia="Arial" w:hAnsi="Arial" w:cs="Arial"/>
                <w:b/>
                <w:bCs/>
                <w:w w:val="88"/>
                <w:sz w:val="18"/>
                <w:szCs w:val="18"/>
              </w:rPr>
              <w:t>$ 894</w:t>
            </w:r>
          </w:p>
        </w:tc>
        <w:tc>
          <w:tcPr>
            <w:tcW w:w="80" w:type="dxa"/>
            <w:vAlign w:val="bottom"/>
          </w:tcPr>
          <w:p w14:paraId="4C83F658" w14:textId="77777777" w:rsidR="00D1587D" w:rsidRDefault="00D1587D">
            <w:pPr>
              <w:rPr>
                <w:sz w:val="24"/>
                <w:szCs w:val="24"/>
              </w:rPr>
            </w:pPr>
          </w:p>
        </w:tc>
        <w:tc>
          <w:tcPr>
            <w:tcW w:w="700" w:type="dxa"/>
            <w:vAlign w:val="bottom"/>
          </w:tcPr>
          <w:p w14:paraId="7D8E77FD" w14:textId="77777777" w:rsidR="00D1587D" w:rsidRDefault="00410D07">
            <w:pPr>
              <w:ind w:left="260"/>
              <w:rPr>
                <w:sz w:val="20"/>
                <w:szCs w:val="20"/>
              </w:rPr>
            </w:pPr>
            <w:r>
              <w:rPr>
                <w:rFonts w:ascii="Arial" w:eastAsia="Arial" w:hAnsi="Arial" w:cs="Arial"/>
                <w:b/>
                <w:bCs/>
                <w:sz w:val="18"/>
                <w:szCs w:val="18"/>
              </w:rPr>
              <w:t>74%</w:t>
            </w:r>
          </w:p>
        </w:tc>
      </w:tr>
      <w:tr w:rsidR="00D1587D" w14:paraId="4A088D07" w14:textId="77777777">
        <w:trPr>
          <w:trHeight w:val="27"/>
        </w:trPr>
        <w:tc>
          <w:tcPr>
            <w:tcW w:w="6200" w:type="dxa"/>
            <w:vAlign w:val="bottom"/>
          </w:tcPr>
          <w:p w14:paraId="172239F0" w14:textId="77777777" w:rsidR="00D1587D" w:rsidRDefault="00D1587D">
            <w:pPr>
              <w:rPr>
                <w:sz w:val="2"/>
                <w:szCs w:val="2"/>
              </w:rPr>
            </w:pPr>
          </w:p>
        </w:tc>
        <w:tc>
          <w:tcPr>
            <w:tcW w:w="200" w:type="dxa"/>
            <w:tcBorders>
              <w:bottom w:val="single" w:sz="8" w:space="0" w:color="auto"/>
            </w:tcBorders>
            <w:vAlign w:val="bottom"/>
          </w:tcPr>
          <w:p w14:paraId="1715662F" w14:textId="77777777" w:rsidR="00D1587D" w:rsidRDefault="00D1587D">
            <w:pPr>
              <w:rPr>
                <w:sz w:val="2"/>
                <w:szCs w:val="2"/>
              </w:rPr>
            </w:pPr>
          </w:p>
        </w:tc>
        <w:tc>
          <w:tcPr>
            <w:tcW w:w="480" w:type="dxa"/>
            <w:tcBorders>
              <w:bottom w:val="single" w:sz="8" w:space="0" w:color="auto"/>
            </w:tcBorders>
            <w:vAlign w:val="bottom"/>
          </w:tcPr>
          <w:p w14:paraId="2AFDE32E" w14:textId="77777777" w:rsidR="00D1587D" w:rsidRDefault="00D1587D">
            <w:pPr>
              <w:rPr>
                <w:sz w:val="2"/>
                <w:szCs w:val="2"/>
              </w:rPr>
            </w:pPr>
          </w:p>
        </w:tc>
        <w:tc>
          <w:tcPr>
            <w:tcW w:w="80" w:type="dxa"/>
            <w:vAlign w:val="bottom"/>
          </w:tcPr>
          <w:p w14:paraId="690127D6" w14:textId="77777777" w:rsidR="00D1587D" w:rsidRDefault="00D1587D">
            <w:pPr>
              <w:rPr>
                <w:sz w:val="2"/>
                <w:szCs w:val="2"/>
              </w:rPr>
            </w:pPr>
          </w:p>
        </w:tc>
        <w:tc>
          <w:tcPr>
            <w:tcW w:w="680" w:type="dxa"/>
            <w:tcBorders>
              <w:bottom w:val="single" w:sz="8" w:space="0" w:color="auto"/>
            </w:tcBorders>
            <w:vAlign w:val="bottom"/>
          </w:tcPr>
          <w:p w14:paraId="6C622B8F" w14:textId="77777777" w:rsidR="00D1587D" w:rsidRDefault="00D1587D">
            <w:pPr>
              <w:rPr>
                <w:sz w:val="2"/>
                <w:szCs w:val="2"/>
              </w:rPr>
            </w:pPr>
          </w:p>
        </w:tc>
        <w:tc>
          <w:tcPr>
            <w:tcW w:w="80" w:type="dxa"/>
            <w:vAlign w:val="bottom"/>
          </w:tcPr>
          <w:p w14:paraId="0D2DFF98" w14:textId="77777777" w:rsidR="00D1587D" w:rsidRDefault="00D1587D">
            <w:pPr>
              <w:rPr>
                <w:sz w:val="2"/>
                <w:szCs w:val="2"/>
              </w:rPr>
            </w:pPr>
          </w:p>
        </w:tc>
        <w:tc>
          <w:tcPr>
            <w:tcW w:w="700" w:type="dxa"/>
            <w:tcBorders>
              <w:bottom w:val="single" w:sz="8" w:space="0" w:color="auto"/>
            </w:tcBorders>
            <w:vAlign w:val="bottom"/>
          </w:tcPr>
          <w:p w14:paraId="38B31A66" w14:textId="77777777" w:rsidR="00D1587D" w:rsidRDefault="00D1587D">
            <w:pPr>
              <w:rPr>
                <w:sz w:val="2"/>
                <w:szCs w:val="2"/>
              </w:rPr>
            </w:pPr>
          </w:p>
        </w:tc>
      </w:tr>
      <w:tr w:rsidR="00D1587D" w14:paraId="3B945FAC" w14:textId="77777777">
        <w:trPr>
          <w:trHeight w:val="20"/>
        </w:trPr>
        <w:tc>
          <w:tcPr>
            <w:tcW w:w="6200" w:type="dxa"/>
            <w:vAlign w:val="bottom"/>
          </w:tcPr>
          <w:p w14:paraId="45171471" w14:textId="77777777" w:rsidR="00D1587D" w:rsidRDefault="00D1587D">
            <w:pPr>
              <w:spacing w:line="20" w:lineRule="exact"/>
              <w:rPr>
                <w:sz w:val="1"/>
                <w:szCs w:val="1"/>
              </w:rPr>
            </w:pPr>
          </w:p>
        </w:tc>
        <w:tc>
          <w:tcPr>
            <w:tcW w:w="200" w:type="dxa"/>
            <w:tcBorders>
              <w:bottom w:val="single" w:sz="8" w:space="0" w:color="auto"/>
            </w:tcBorders>
            <w:vAlign w:val="bottom"/>
          </w:tcPr>
          <w:p w14:paraId="21781728" w14:textId="77777777" w:rsidR="00D1587D" w:rsidRDefault="00D1587D">
            <w:pPr>
              <w:spacing w:line="20" w:lineRule="exact"/>
              <w:rPr>
                <w:sz w:val="1"/>
                <w:szCs w:val="1"/>
              </w:rPr>
            </w:pPr>
          </w:p>
        </w:tc>
        <w:tc>
          <w:tcPr>
            <w:tcW w:w="480" w:type="dxa"/>
            <w:tcBorders>
              <w:bottom w:val="single" w:sz="8" w:space="0" w:color="auto"/>
            </w:tcBorders>
            <w:vAlign w:val="bottom"/>
          </w:tcPr>
          <w:p w14:paraId="171D26C9" w14:textId="77777777" w:rsidR="00D1587D" w:rsidRDefault="00D1587D">
            <w:pPr>
              <w:spacing w:line="20" w:lineRule="exact"/>
              <w:rPr>
                <w:sz w:val="1"/>
                <w:szCs w:val="1"/>
              </w:rPr>
            </w:pPr>
          </w:p>
        </w:tc>
        <w:tc>
          <w:tcPr>
            <w:tcW w:w="80" w:type="dxa"/>
            <w:vAlign w:val="bottom"/>
          </w:tcPr>
          <w:p w14:paraId="5465AAE9" w14:textId="77777777" w:rsidR="00D1587D" w:rsidRDefault="00D1587D">
            <w:pPr>
              <w:spacing w:line="20" w:lineRule="exact"/>
              <w:rPr>
                <w:sz w:val="1"/>
                <w:szCs w:val="1"/>
              </w:rPr>
            </w:pPr>
          </w:p>
        </w:tc>
        <w:tc>
          <w:tcPr>
            <w:tcW w:w="680" w:type="dxa"/>
            <w:tcBorders>
              <w:bottom w:val="single" w:sz="8" w:space="0" w:color="auto"/>
            </w:tcBorders>
            <w:vAlign w:val="bottom"/>
          </w:tcPr>
          <w:p w14:paraId="5B5A87D5" w14:textId="77777777" w:rsidR="00D1587D" w:rsidRDefault="00D1587D">
            <w:pPr>
              <w:spacing w:line="20" w:lineRule="exact"/>
              <w:rPr>
                <w:sz w:val="1"/>
                <w:szCs w:val="1"/>
              </w:rPr>
            </w:pPr>
          </w:p>
        </w:tc>
        <w:tc>
          <w:tcPr>
            <w:tcW w:w="80" w:type="dxa"/>
            <w:vAlign w:val="bottom"/>
          </w:tcPr>
          <w:p w14:paraId="3B19D264" w14:textId="77777777" w:rsidR="00D1587D" w:rsidRDefault="00D1587D">
            <w:pPr>
              <w:spacing w:line="20" w:lineRule="exact"/>
              <w:rPr>
                <w:sz w:val="1"/>
                <w:szCs w:val="1"/>
              </w:rPr>
            </w:pPr>
          </w:p>
        </w:tc>
        <w:tc>
          <w:tcPr>
            <w:tcW w:w="700" w:type="dxa"/>
            <w:tcBorders>
              <w:bottom w:val="single" w:sz="8" w:space="0" w:color="auto"/>
            </w:tcBorders>
            <w:vAlign w:val="bottom"/>
          </w:tcPr>
          <w:p w14:paraId="68A92243" w14:textId="77777777" w:rsidR="00D1587D" w:rsidRDefault="00D1587D">
            <w:pPr>
              <w:spacing w:line="20" w:lineRule="exact"/>
              <w:rPr>
                <w:sz w:val="1"/>
                <w:szCs w:val="1"/>
              </w:rPr>
            </w:pPr>
          </w:p>
        </w:tc>
      </w:tr>
    </w:tbl>
    <w:p w14:paraId="46272293" w14:textId="77777777" w:rsidR="00D1587D" w:rsidRDefault="00410D07">
      <w:pPr>
        <w:spacing w:line="20" w:lineRule="exact"/>
        <w:rPr>
          <w:sz w:val="20"/>
          <w:szCs w:val="20"/>
        </w:rPr>
      </w:pPr>
      <w:r>
        <w:rPr>
          <w:noProof/>
          <w:sz w:val="20"/>
          <w:szCs w:val="20"/>
        </w:rPr>
        <w:drawing>
          <wp:anchor distT="0" distB="0" distL="114300" distR="114300" simplePos="0" relativeHeight="251710464" behindDoc="1" locked="0" layoutInCell="0" allowOverlap="1" wp14:anchorId="7657DA21" wp14:editId="23581EF3">
            <wp:simplePos x="0" y="0"/>
            <wp:positionH relativeFrom="column">
              <wp:posOffset>4102735</wp:posOffset>
            </wp:positionH>
            <wp:positionV relativeFrom="paragraph">
              <wp:posOffset>-256540</wp:posOffset>
            </wp:positionV>
            <wp:extent cx="25400" cy="8890"/>
            <wp:effectExtent l="0" t="0" r="0" b="0"/>
            <wp:wrapNone/>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56"/>
                    <a:srcRect/>
                    <a:stretch>
                      <a:fillRect/>
                    </a:stretch>
                  </pic:blipFill>
                  <pic:spPr bwMode="auto">
                    <a:xfrm>
                      <a:off x="0" y="0"/>
                      <a:ext cx="25400" cy="8890"/>
                    </a:xfrm>
                    <a:prstGeom prst="rect">
                      <a:avLst/>
                    </a:prstGeom>
                    <a:noFill/>
                  </pic:spPr>
                </pic:pic>
              </a:graphicData>
            </a:graphic>
          </wp:anchor>
        </w:drawing>
      </w:r>
      <w:r>
        <w:rPr>
          <w:noProof/>
          <w:sz w:val="20"/>
          <w:szCs w:val="20"/>
        </w:rPr>
        <w:drawing>
          <wp:anchor distT="0" distB="0" distL="114300" distR="114300" simplePos="0" relativeHeight="251711488" behindDoc="1" locked="0" layoutInCell="0" allowOverlap="1" wp14:anchorId="06A8069B" wp14:editId="77120FDE">
            <wp:simplePos x="0" y="0"/>
            <wp:positionH relativeFrom="column">
              <wp:posOffset>5045710</wp:posOffset>
            </wp:positionH>
            <wp:positionV relativeFrom="paragraph">
              <wp:posOffset>-1079500</wp:posOffset>
            </wp:positionV>
            <wp:extent cx="51435" cy="8890"/>
            <wp:effectExtent l="0" t="0" r="0" b="0"/>
            <wp:wrapNone/>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712512" behindDoc="1" locked="0" layoutInCell="0" allowOverlap="1" wp14:anchorId="0AF7B442" wp14:editId="5BCAFE26">
            <wp:simplePos x="0" y="0"/>
            <wp:positionH relativeFrom="column">
              <wp:posOffset>4557395</wp:posOffset>
            </wp:positionH>
            <wp:positionV relativeFrom="paragraph">
              <wp:posOffset>-1079500</wp:posOffset>
            </wp:positionV>
            <wp:extent cx="51435" cy="8890"/>
            <wp:effectExtent l="0" t="0" r="0" b="0"/>
            <wp:wrapNone/>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713536" behindDoc="1" locked="0" layoutInCell="0" allowOverlap="1" wp14:anchorId="1584DE29" wp14:editId="254B8305">
            <wp:simplePos x="0" y="0"/>
            <wp:positionH relativeFrom="column">
              <wp:posOffset>185420</wp:posOffset>
            </wp:positionH>
            <wp:positionV relativeFrom="paragraph">
              <wp:posOffset>154305</wp:posOffset>
            </wp:positionV>
            <wp:extent cx="822960" cy="8255"/>
            <wp:effectExtent l="0" t="0" r="0" b="0"/>
            <wp:wrapNone/>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66663A1E" w14:textId="77777777" w:rsidR="00D1587D" w:rsidRDefault="00D1587D">
      <w:pPr>
        <w:spacing w:line="272" w:lineRule="exact"/>
        <w:rPr>
          <w:sz w:val="20"/>
          <w:szCs w:val="20"/>
        </w:rPr>
      </w:pPr>
    </w:p>
    <w:p w14:paraId="7AD06D22" w14:textId="77777777" w:rsidR="00D1587D" w:rsidRDefault="00410D07" w:rsidP="00410D07">
      <w:pPr>
        <w:numPr>
          <w:ilvl w:val="0"/>
          <w:numId w:val="288"/>
        </w:numPr>
        <w:tabs>
          <w:tab w:val="left" w:pos="640"/>
        </w:tabs>
        <w:spacing w:line="253" w:lineRule="auto"/>
        <w:ind w:left="640" w:right="419" w:hanging="348"/>
        <w:rPr>
          <w:rFonts w:ascii="Arial" w:eastAsia="Arial" w:hAnsi="Arial" w:cs="Arial"/>
          <w:sz w:val="14"/>
          <w:szCs w:val="14"/>
        </w:rPr>
      </w:pPr>
      <w:r>
        <w:rPr>
          <w:rFonts w:ascii="Arial" w:eastAsia="Arial" w:hAnsi="Arial" w:cs="Arial"/>
          <w:sz w:val="14"/>
          <w:szCs w:val="14"/>
        </w:rPr>
        <w:t>Results include company-operated stores in the U.K. (before our joint venture with Next) and Greater China, and royalties associated with franchised stores and wholesale sales.</w:t>
      </w:r>
    </w:p>
    <w:p w14:paraId="28F7A232" w14:textId="77777777" w:rsidR="00D1587D" w:rsidRDefault="00D1587D">
      <w:pPr>
        <w:spacing w:line="70" w:lineRule="exact"/>
        <w:rPr>
          <w:sz w:val="20"/>
          <w:szCs w:val="20"/>
        </w:rPr>
      </w:pPr>
    </w:p>
    <w:p w14:paraId="3F1620EB" w14:textId="77777777" w:rsidR="00D1587D" w:rsidRDefault="00410D07">
      <w:pPr>
        <w:spacing w:line="277" w:lineRule="auto"/>
        <w:ind w:left="300" w:right="399" w:firstLine="360"/>
        <w:rPr>
          <w:sz w:val="20"/>
          <w:szCs w:val="20"/>
        </w:rPr>
      </w:pPr>
      <w:r>
        <w:rPr>
          <w:rFonts w:ascii="Arial" w:eastAsia="Arial" w:hAnsi="Arial" w:cs="Arial"/>
          <w:sz w:val="18"/>
          <w:szCs w:val="18"/>
        </w:rPr>
        <w:t xml:space="preserve">The following table provides a reconciliation of net sales </w:t>
      </w:r>
      <w:r>
        <w:rPr>
          <w:rFonts w:ascii="Arial" w:eastAsia="Arial" w:hAnsi="Arial" w:cs="Arial"/>
          <w:sz w:val="18"/>
          <w:szCs w:val="18"/>
        </w:rPr>
        <w:t>for the first quarter of 2021 in comparison to the first quarter of 2020:</w:t>
      </w:r>
    </w:p>
    <w:p w14:paraId="4EF9BF85" w14:textId="77777777" w:rsidR="00D1587D" w:rsidRDefault="00D1587D">
      <w:pPr>
        <w:spacing w:line="18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520"/>
        <w:gridCol w:w="160"/>
        <w:gridCol w:w="240"/>
        <w:gridCol w:w="500"/>
      </w:tblGrid>
      <w:tr w:rsidR="00D1587D" w14:paraId="00F1B863" w14:textId="77777777">
        <w:trPr>
          <w:trHeight w:val="186"/>
        </w:trPr>
        <w:tc>
          <w:tcPr>
            <w:tcW w:w="7680" w:type="dxa"/>
            <w:gridSpan w:val="2"/>
            <w:vAlign w:val="bottom"/>
          </w:tcPr>
          <w:p w14:paraId="5E353D96" w14:textId="77777777" w:rsidR="00D1587D" w:rsidRDefault="00410D07">
            <w:pPr>
              <w:rPr>
                <w:sz w:val="20"/>
                <w:szCs w:val="20"/>
              </w:rPr>
            </w:pPr>
            <w:r>
              <w:rPr>
                <w:rFonts w:ascii="Arial" w:eastAsia="Arial" w:hAnsi="Arial" w:cs="Arial"/>
                <w:b/>
                <w:bCs/>
                <w:sz w:val="14"/>
                <w:szCs w:val="14"/>
              </w:rPr>
              <w:t>First Quarter</w:t>
            </w:r>
          </w:p>
        </w:tc>
        <w:tc>
          <w:tcPr>
            <w:tcW w:w="740" w:type="dxa"/>
            <w:gridSpan w:val="2"/>
            <w:vAlign w:val="bottom"/>
          </w:tcPr>
          <w:p w14:paraId="3B888F64" w14:textId="77777777" w:rsidR="00D1587D" w:rsidRDefault="00410D07">
            <w:pPr>
              <w:jc w:val="right"/>
              <w:rPr>
                <w:sz w:val="20"/>
                <w:szCs w:val="20"/>
              </w:rPr>
            </w:pPr>
            <w:r>
              <w:rPr>
                <w:rFonts w:ascii="Arial" w:eastAsia="Arial" w:hAnsi="Arial" w:cs="Arial"/>
                <w:b/>
                <w:bCs/>
                <w:w w:val="91"/>
                <w:sz w:val="14"/>
                <w:szCs w:val="14"/>
              </w:rPr>
              <w:t>(in millions)</w:t>
            </w:r>
          </w:p>
        </w:tc>
      </w:tr>
      <w:tr w:rsidR="00D1587D" w14:paraId="01C3840C" w14:textId="77777777">
        <w:trPr>
          <w:trHeight w:val="53"/>
        </w:trPr>
        <w:tc>
          <w:tcPr>
            <w:tcW w:w="7520" w:type="dxa"/>
            <w:vAlign w:val="bottom"/>
          </w:tcPr>
          <w:p w14:paraId="543B6543" w14:textId="77777777" w:rsidR="00D1587D" w:rsidRDefault="00D1587D">
            <w:pPr>
              <w:rPr>
                <w:sz w:val="4"/>
                <w:szCs w:val="4"/>
              </w:rPr>
            </w:pPr>
          </w:p>
        </w:tc>
        <w:tc>
          <w:tcPr>
            <w:tcW w:w="160" w:type="dxa"/>
            <w:vAlign w:val="bottom"/>
          </w:tcPr>
          <w:p w14:paraId="05A89722" w14:textId="77777777" w:rsidR="00D1587D" w:rsidRDefault="00D1587D">
            <w:pPr>
              <w:rPr>
                <w:sz w:val="4"/>
                <w:szCs w:val="4"/>
              </w:rPr>
            </w:pPr>
          </w:p>
        </w:tc>
        <w:tc>
          <w:tcPr>
            <w:tcW w:w="240" w:type="dxa"/>
            <w:vAlign w:val="bottom"/>
          </w:tcPr>
          <w:p w14:paraId="2FBA9F7C" w14:textId="77777777" w:rsidR="00D1587D" w:rsidRDefault="00D1587D">
            <w:pPr>
              <w:rPr>
                <w:sz w:val="4"/>
                <w:szCs w:val="4"/>
              </w:rPr>
            </w:pPr>
          </w:p>
        </w:tc>
        <w:tc>
          <w:tcPr>
            <w:tcW w:w="500" w:type="dxa"/>
            <w:vAlign w:val="bottom"/>
          </w:tcPr>
          <w:p w14:paraId="2585315D" w14:textId="77777777" w:rsidR="00D1587D" w:rsidRDefault="00D1587D">
            <w:pPr>
              <w:rPr>
                <w:sz w:val="4"/>
                <w:szCs w:val="4"/>
              </w:rPr>
            </w:pPr>
          </w:p>
        </w:tc>
      </w:tr>
      <w:tr w:rsidR="00D1587D" w14:paraId="7E3E7C1B" w14:textId="77777777">
        <w:trPr>
          <w:trHeight w:val="318"/>
        </w:trPr>
        <w:tc>
          <w:tcPr>
            <w:tcW w:w="7680" w:type="dxa"/>
            <w:gridSpan w:val="2"/>
            <w:tcBorders>
              <w:bottom w:val="single" w:sz="8" w:space="0" w:color="CCEEFF"/>
            </w:tcBorders>
            <w:shd w:val="clear" w:color="auto" w:fill="CCEEFF"/>
            <w:vAlign w:val="bottom"/>
          </w:tcPr>
          <w:p w14:paraId="44AD69DF" w14:textId="77777777" w:rsidR="00D1587D" w:rsidRDefault="00410D07">
            <w:pPr>
              <w:rPr>
                <w:sz w:val="20"/>
                <w:szCs w:val="20"/>
              </w:rPr>
            </w:pPr>
            <w:r>
              <w:rPr>
                <w:rFonts w:ascii="Arial" w:eastAsia="Arial" w:hAnsi="Arial" w:cs="Arial"/>
                <w:sz w:val="18"/>
                <w:szCs w:val="18"/>
              </w:rPr>
              <w:t>2020 Net Sales</w:t>
            </w:r>
          </w:p>
        </w:tc>
        <w:tc>
          <w:tcPr>
            <w:tcW w:w="240" w:type="dxa"/>
            <w:tcBorders>
              <w:bottom w:val="single" w:sz="8" w:space="0" w:color="CCEEFF"/>
            </w:tcBorders>
            <w:shd w:val="clear" w:color="auto" w:fill="CCEEFF"/>
            <w:vAlign w:val="bottom"/>
          </w:tcPr>
          <w:p w14:paraId="4BC35B9E" w14:textId="77777777" w:rsidR="00D1587D" w:rsidRDefault="00410D07">
            <w:pPr>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209E9172" w14:textId="77777777" w:rsidR="00D1587D" w:rsidRDefault="00410D07">
            <w:pPr>
              <w:ind w:right="30"/>
              <w:jc w:val="right"/>
              <w:rPr>
                <w:sz w:val="20"/>
                <w:szCs w:val="20"/>
              </w:rPr>
            </w:pPr>
            <w:r>
              <w:rPr>
                <w:rFonts w:ascii="Arial" w:eastAsia="Arial" w:hAnsi="Arial" w:cs="Arial"/>
                <w:sz w:val="18"/>
                <w:szCs w:val="18"/>
              </w:rPr>
              <w:t>894</w:t>
            </w:r>
          </w:p>
        </w:tc>
      </w:tr>
      <w:tr w:rsidR="00D1587D" w14:paraId="75AD875A" w14:textId="77777777">
        <w:trPr>
          <w:trHeight w:val="270"/>
        </w:trPr>
        <w:tc>
          <w:tcPr>
            <w:tcW w:w="7680" w:type="dxa"/>
            <w:gridSpan w:val="2"/>
            <w:vAlign w:val="bottom"/>
          </w:tcPr>
          <w:p w14:paraId="3E2C12C4" w14:textId="77777777" w:rsidR="00D1587D" w:rsidRDefault="00410D07">
            <w:pPr>
              <w:ind w:left="180"/>
              <w:rPr>
                <w:sz w:val="20"/>
                <w:szCs w:val="20"/>
              </w:rPr>
            </w:pPr>
            <w:r>
              <w:rPr>
                <w:rFonts w:ascii="Arial" w:eastAsia="Arial" w:hAnsi="Arial" w:cs="Arial"/>
                <w:sz w:val="18"/>
                <w:szCs w:val="18"/>
              </w:rPr>
              <w:t>Comparable Store Sales</w:t>
            </w:r>
          </w:p>
        </w:tc>
        <w:tc>
          <w:tcPr>
            <w:tcW w:w="240" w:type="dxa"/>
            <w:vAlign w:val="bottom"/>
          </w:tcPr>
          <w:p w14:paraId="3BD8C5E4" w14:textId="77777777" w:rsidR="00D1587D" w:rsidRDefault="00D1587D">
            <w:pPr>
              <w:rPr>
                <w:sz w:val="23"/>
                <w:szCs w:val="23"/>
              </w:rPr>
            </w:pPr>
          </w:p>
        </w:tc>
        <w:tc>
          <w:tcPr>
            <w:tcW w:w="500" w:type="dxa"/>
            <w:vAlign w:val="bottom"/>
          </w:tcPr>
          <w:p w14:paraId="062C89C2" w14:textId="77777777" w:rsidR="00D1587D" w:rsidRDefault="00410D07">
            <w:pPr>
              <w:ind w:right="30"/>
              <w:jc w:val="right"/>
              <w:rPr>
                <w:sz w:val="20"/>
                <w:szCs w:val="20"/>
              </w:rPr>
            </w:pPr>
            <w:r>
              <w:rPr>
                <w:rFonts w:ascii="Arial" w:eastAsia="Arial" w:hAnsi="Arial" w:cs="Arial"/>
                <w:sz w:val="18"/>
                <w:szCs w:val="18"/>
              </w:rPr>
              <w:t>12</w:t>
            </w:r>
          </w:p>
        </w:tc>
      </w:tr>
      <w:tr w:rsidR="00D1587D" w14:paraId="1A54DDCB" w14:textId="77777777">
        <w:trPr>
          <w:trHeight w:val="54"/>
        </w:trPr>
        <w:tc>
          <w:tcPr>
            <w:tcW w:w="7520" w:type="dxa"/>
            <w:vAlign w:val="bottom"/>
          </w:tcPr>
          <w:p w14:paraId="1D2E8A86" w14:textId="77777777" w:rsidR="00D1587D" w:rsidRDefault="00D1587D">
            <w:pPr>
              <w:rPr>
                <w:sz w:val="4"/>
                <w:szCs w:val="4"/>
              </w:rPr>
            </w:pPr>
          </w:p>
        </w:tc>
        <w:tc>
          <w:tcPr>
            <w:tcW w:w="160" w:type="dxa"/>
            <w:vAlign w:val="bottom"/>
          </w:tcPr>
          <w:p w14:paraId="1D84EFDA" w14:textId="77777777" w:rsidR="00D1587D" w:rsidRDefault="00D1587D">
            <w:pPr>
              <w:rPr>
                <w:sz w:val="4"/>
                <w:szCs w:val="4"/>
              </w:rPr>
            </w:pPr>
          </w:p>
        </w:tc>
        <w:tc>
          <w:tcPr>
            <w:tcW w:w="240" w:type="dxa"/>
            <w:vAlign w:val="bottom"/>
          </w:tcPr>
          <w:p w14:paraId="0FF24861" w14:textId="77777777" w:rsidR="00D1587D" w:rsidRDefault="00D1587D">
            <w:pPr>
              <w:rPr>
                <w:sz w:val="4"/>
                <w:szCs w:val="4"/>
              </w:rPr>
            </w:pPr>
          </w:p>
        </w:tc>
        <w:tc>
          <w:tcPr>
            <w:tcW w:w="500" w:type="dxa"/>
            <w:vAlign w:val="bottom"/>
          </w:tcPr>
          <w:p w14:paraId="5CCF5DF8" w14:textId="77777777" w:rsidR="00D1587D" w:rsidRDefault="00D1587D">
            <w:pPr>
              <w:rPr>
                <w:sz w:val="4"/>
                <w:szCs w:val="4"/>
              </w:rPr>
            </w:pPr>
          </w:p>
        </w:tc>
      </w:tr>
      <w:tr w:rsidR="00D1587D" w14:paraId="0EC110D9" w14:textId="77777777">
        <w:trPr>
          <w:trHeight w:val="304"/>
        </w:trPr>
        <w:tc>
          <w:tcPr>
            <w:tcW w:w="7680" w:type="dxa"/>
            <w:gridSpan w:val="2"/>
            <w:tcBorders>
              <w:bottom w:val="single" w:sz="8" w:space="0" w:color="CCEEFF"/>
            </w:tcBorders>
            <w:shd w:val="clear" w:color="auto" w:fill="CCEEFF"/>
            <w:vAlign w:val="bottom"/>
          </w:tcPr>
          <w:p w14:paraId="44CD8166" w14:textId="77777777" w:rsidR="00D1587D" w:rsidRDefault="00410D07">
            <w:pPr>
              <w:ind w:left="180"/>
              <w:rPr>
                <w:sz w:val="20"/>
                <w:szCs w:val="20"/>
              </w:rPr>
            </w:pPr>
            <w:r>
              <w:rPr>
                <w:rFonts w:ascii="Arial" w:eastAsia="Arial" w:hAnsi="Arial" w:cs="Arial"/>
                <w:sz w:val="18"/>
                <w:szCs w:val="18"/>
              </w:rPr>
              <w:t>Sales Associated with New, Closed and Non-comparable Stores, Net(a)</w:t>
            </w:r>
          </w:p>
        </w:tc>
        <w:tc>
          <w:tcPr>
            <w:tcW w:w="240" w:type="dxa"/>
            <w:tcBorders>
              <w:bottom w:val="single" w:sz="8" w:space="0" w:color="CCEEFF"/>
            </w:tcBorders>
            <w:shd w:val="clear" w:color="auto" w:fill="CCEEFF"/>
            <w:vAlign w:val="bottom"/>
          </w:tcPr>
          <w:p w14:paraId="1AE9F8EE" w14:textId="77777777" w:rsidR="00D1587D" w:rsidRDefault="00D1587D">
            <w:pPr>
              <w:rPr>
                <w:sz w:val="24"/>
                <w:szCs w:val="24"/>
              </w:rPr>
            </w:pPr>
          </w:p>
        </w:tc>
        <w:tc>
          <w:tcPr>
            <w:tcW w:w="500" w:type="dxa"/>
            <w:tcBorders>
              <w:bottom w:val="single" w:sz="8" w:space="0" w:color="CCEEFF"/>
            </w:tcBorders>
            <w:shd w:val="clear" w:color="auto" w:fill="CCEEFF"/>
            <w:vAlign w:val="bottom"/>
          </w:tcPr>
          <w:p w14:paraId="1CFF71E5" w14:textId="77777777" w:rsidR="00D1587D" w:rsidRDefault="00410D07">
            <w:pPr>
              <w:ind w:right="50"/>
              <w:jc w:val="right"/>
              <w:rPr>
                <w:sz w:val="20"/>
                <w:szCs w:val="20"/>
              </w:rPr>
            </w:pPr>
            <w:r>
              <w:rPr>
                <w:rFonts w:ascii="Arial" w:eastAsia="Arial" w:hAnsi="Arial" w:cs="Arial"/>
                <w:sz w:val="18"/>
                <w:szCs w:val="18"/>
              </w:rPr>
              <w:t>401</w:t>
            </w:r>
          </w:p>
        </w:tc>
      </w:tr>
      <w:tr w:rsidR="00D1587D" w14:paraId="2406473F" w14:textId="77777777">
        <w:trPr>
          <w:trHeight w:val="270"/>
        </w:trPr>
        <w:tc>
          <w:tcPr>
            <w:tcW w:w="7680" w:type="dxa"/>
            <w:gridSpan w:val="2"/>
            <w:vAlign w:val="bottom"/>
          </w:tcPr>
          <w:p w14:paraId="1FB00038" w14:textId="77777777" w:rsidR="00D1587D" w:rsidRDefault="00410D07">
            <w:pPr>
              <w:ind w:left="180"/>
              <w:rPr>
                <w:sz w:val="20"/>
                <w:szCs w:val="20"/>
              </w:rPr>
            </w:pPr>
            <w:r>
              <w:rPr>
                <w:rFonts w:ascii="Arial" w:eastAsia="Arial" w:hAnsi="Arial" w:cs="Arial"/>
                <w:sz w:val="18"/>
                <w:szCs w:val="18"/>
              </w:rPr>
              <w:t xml:space="preserve">Direct </w:t>
            </w:r>
            <w:r>
              <w:rPr>
                <w:rFonts w:ascii="Arial" w:eastAsia="Arial" w:hAnsi="Arial" w:cs="Arial"/>
                <w:sz w:val="18"/>
                <w:szCs w:val="18"/>
              </w:rPr>
              <w:t>Channel</w:t>
            </w:r>
          </w:p>
        </w:tc>
        <w:tc>
          <w:tcPr>
            <w:tcW w:w="240" w:type="dxa"/>
            <w:vAlign w:val="bottom"/>
          </w:tcPr>
          <w:p w14:paraId="3E051E57" w14:textId="77777777" w:rsidR="00D1587D" w:rsidRDefault="00D1587D">
            <w:pPr>
              <w:rPr>
                <w:sz w:val="23"/>
                <w:szCs w:val="23"/>
              </w:rPr>
            </w:pPr>
          </w:p>
        </w:tc>
        <w:tc>
          <w:tcPr>
            <w:tcW w:w="500" w:type="dxa"/>
            <w:vAlign w:val="bottom"/>
          </w:tcPr>
          <w:p w14:paraId="6569B9B5" w14:textId="77777777" w:rsidR="00D1587D" w:rsidRDefault="00410D07">
            <w:pPr>
              <w:ind w:right="50"/>
              <w:jc w:val="right"/>
              <w:rPr>
                <w:sz w:val="20"/>
                <w:szCs w:val="20"/>
              </w:rPr>
            </w:pPr>
            <w:r>
              <w:rPr>
                <w:rFonts w:ascii="Arial" w:eastAsia="Arial" w:hAnsi="Arial" w:cs="Arial"/>
                <w:sz w:val="18"/>
                <w:szCs w:val="18"/>
              </w:rPr>
              <w:t>212</w:t>
            </w:r>
          </w:p>
        </w:tc>
      </w:tr>
      <w:tr w:rsidR="00D1587D" w14:paraId="1008B3F2" w14:textId="77777777">
        <w:trPr>
          <w:trHeight w:val="54"/>
        </w:trPr>
        <w:tc>
          <w:tcPr>
            <w:tcW w:w="7520" w:type="dxa"/>
            <w:vAlign w:val="bottom"/>
          </w:tcPr>
          <w:p w14:paraId="1FE80458" w14:textId="77777777" w:rsidR="00D1587D" w:rsidRDefault="00D1587D">
            <w:pPr>
              <w:rPr>
                <w:sz w:val="4"/>
                <w:szCs w:val="4"/>
              </w:rPr>
            </w:pPr>
          </w:p>
        </w:tc>
        <w:tc>
          <w:tcPr>
            <w:tcW w:w="160" w:type="dxa"/>
            <w:vAlign w:val="bottom"/>
          </w:tcPr>
          <w:p w14:paraId="22FB703F" w14:textId="77777777" w:rsidR="00D1587D" w:rsidRDefault="00D1587D">
            <w:pPr>
              <w:rPr>
                <w:sz w:val="4"/>
                <w:szCs w:val="4"/>
              </w:rPr>
            </w:pPr>
          </w:p>
        </w:tc>
        <w:tc>
          <w:tcPr>
            <w:tcW w:w="240" w:type="dxa"/>
            <w:vAlign w:val="bottom"/>
          </w:tcPr>
          <w:p w14:paraId="230DF748" w14:textId="77777777" w:rsidR="00D1587D" w:rsidRDefault="00D1587D">
            <w:pPr>
              <w:rPr>
                <w:sz w:val="4"/>
                <w:szCs w:val="4"/>
              </w:rPr>
            </w:pPr>
          </w:p>
        </w:tc>
        <w:tc>
          <w:tcPr>
            <w:tcW w:w="500" w:type="dxa"/>
            <w:vAlign w:val="bottom"/>
          </w:tcPr>
          <w:p w14:paraId="69D44930" w14:textId="77777777" w:rsidR="00D1587D" w:rsidRDefault="00D1587D">
            <w:pPr>
              <w:rPr>
                <w:sz w:val="4"/>
                <w:szCs w:val="4"/>
              </w:rPr>
            </w:pPr>
          </w:p>
        </w:tc>
      </w:tr>
      <w:tr w:rsidR="00D1587D" w14:paraId="50CF1D4E" w14:textId="77777777">
        <w:trPr>
          <w:trHeight w:val="304"/>
        </w:trPr>
        <w:tc>
          <w:tcPr>
            <w:tcW w:w="7680" w:type="dxa"/>
            <w:gridSpan w:val="2"/>
            <w:tcBorders>
              <w:bottom w:val="single" w:sz="8" w:space="0" w:color="CCEEFF"/>
            </w:tcBorders>
            <w:shd w:val="clear" w:color="auto" w:fill="CCEEFF"/>
            <w:vAlign w:val="bottom"/>
          </w:tcPr>
          <w:p w14:paraId="38EC07E8" w14:textId="77777777" w:rsidR="00D1587D" w:rsidRDefault="00410D07">
            <w:pPr>
              <w:ind w:left="180"/>
              <w:rPr>
                <w:sz w:val="20"/>
                <w:szCs w:val="20"/>
              </w:rPr>
            </w:pPr>
            <w:r>
              <w:rPr>
                <w:rFonts w:ascii="Arial" w:eastAsia="Arial" w:hAnsi="Arial" w:cs="Arial"/>
                <w:sz w:val="18"/>
                <w:szCs w:val="18"/>
              </w:rPr>
              <w:t>Private Label Credit Card</w:t>
            </w:r>
          </w:p>
        </w:tc>
        <w:tc>
          <w:tcPr>
            <w:tcW w:w="240" w:type="dxa"/>
            <w:tcBorders>
              <w:bottom w:val="single" w:sz="8" w:space="0" w:color="CCEEFF"/>
            </w:tcBorders>
            <w:shd w:val="clear" w:color="auto" w:fill="CCEEFF"/>
            <w:vAlign w:val="bottom"/>
          </w:tcPr>
          <w:p w14:paraId="51F82393" w14:textId="77777777" w:rsidR="00D1587D" w:rsidRDefault="00D1587D">
            <w:pPr>
              <w:rPr>
                <w:sz w:val="24"/>
                <w:szCs w:val="24"/>
              </w:rPr>
            </w:pPr>
          </w:p>
        </w:tc>
        <w:tc>
          <w:tcPr>
            <w:tcW w:w="500" w:type="dxa"/>
            <w:tcBorders>
              <w:bottom w:val="single" w:sz="8" w:space="0" w:color="CCEEFF"/>
            </w:tcBorders>
            <w:shd w:val="clear" w:color="auto" w:fill="CCEEFF"/>
            <w:vAlign w:val="bottom"/>
          </w:tcPr>
          <w:p w14:paraId="3779A581" w14:textId="77777777" w:rsidR="00D1587D" w:rsidRDefault="00410D07">
            <w:pPr>
              <w:ind w:right="30"/>
              <w:jc w:val="right"/>
              <w:rPr>
                <w:sz w:val="20"/>
                <w:szCs w:val="20"/>
              </w:rPr>
            </w:pPr>
            <w:r>
              <w:rPr>
                <w:rFonts w:ascii="Arial" w:eastAsia="Arial" w:hAnsi="Arial" w:cs="Arial"/>
                <w:sz w:val="18"/>
                <w:szCs w:val="18"/>
              </w:rPr>
              <w:t>3</w:t>
            </w:r>
          </w:p>
        </w:tc>
      </w:tr>
      <w:tr w:rsidR="00D1587D" w14:paraId="4B93B0D8" w14:textId="77777777">
        <w:trPr>
          <w:trHeight w:val="270"/>
        </w:trPr>
        <w:tc>
          <w:tcPr>
            <w:tcW w:w="7680" w:type="dxa"/>
            <w:gridSpan w:val="2"/>
            <w:vAlign w:val="bottom"/>
          </w:tcPr>
          <w:p w14:paraId="34A41234" w14:textId="77777777" w:rsidR="00D1587D" w:rsidRDefault="00410D07">
            <w:pPr>
              <w:ind w:left="180"/>
              <w:rPr>
                <w:sz w:val="20"/>
                <w:szCs w:val="20"/>
              </w:rPr>
            </w:pPr>
            <w:r>
              <w:rPr>
                <w:rFonts w:ascii="Arial" w:eastAsia="Arial" w:hAnsi="Arial" w:cs="Arial"/>
                <w:sz w:val="18"/>
                <w:szCs w:val="18"/>
              </w:rPr>
              <w:t>International Wholesale, Royalty and Other</w:t>
            </w:r>
          </w:p>
        </w:tc>
        <w:tc>
          <w:tcPr>
            <w:tcW w:w="240" w:type="dxa"/>
            <w:vAlign w:val="bottom"/>
          </w:tcPr>
          <w:p w14:paraId="155B18B4" w14:textId="77777777" w:rsidR="00D1587D" w:rsidRDefault="00D1587D">
            <w:pPr>
              <w:rPr>
                <w:sz w:val="23"/>
                <w:szCs w:val="23"/>
              </w:rPr>
            </w:pPr>
          </w:p>
        </w:tc>
        <w:tc>
          <w:tcPr>
            <w:tcW w:w="500" w:type="dxa"/>
            <w:vAlign w:val="bottom"/>
          </w:tcPr>
          <w:p w14:paraId="62CF73A0" w14:textId="77777777" w:rsidR="00D1587D" w:rsidRDefault="00410D07">
            <w:pPr>
              <w:ind w:right="30"/>
              <w:jc w:val="right"/>
              <w:rPr>
                <w:sz w:val="20"/>
                <w:szCs w:val="20"/>
              </w:rPr>
            </w:pPr>
            <w:r>
              <w:rPr>
                <w:rFonts w:ascii="Arial" w:eastAsia="Arial" w:hAnsi="Arial" w:cs="Arial"/>
                <w:sz w:val="18"/>
                <w:szCs w:val="18"/>
              </w:rPr>
              <w:t>29</w:t>
            </w:r>
          </w:p>
        </w:tc>
      </w:tr>
      <w:tr w:rsidR="00D1587D" w14:paraId="489C8A3E" w14:textId="77777777">
        <w:trPr>
          <w:trHeight w:val="54"/>
        </w:trPr>
        <w:tc>
          <w:tcPr>
            <w:tcW w:w="7520" w:type="dxa"/>
            <w:vAlign w:val="bottom"/>
          </w:tcPr>
          <w:p w14:paraId="7BF421A3" w14:textId="77777777" w:rsidR="00D1587D" w:rsidRDefault="00D1587D">
            <w:pPr>
              <w:rPr>
                <w:sz w:val="4"/>
                <w:szCs w:val="4"/>
              </w:rPr>
            </w:pPr>
          </w:p>
        </w:tc>
        <w:tc>
          <w:tcPr>
            <w:tcW w:w="160" w:type="dxa"/>
            <w:vAlign w:val="bottom"/>
          </w:tcPr>
          <w:p w14:paraId="5FBB5BE1" w14:textId="77777777" w:rsidR="00D1587D" w:rsidRDefault="00D1587D">
            <w:pPr>
              <w:rPr>
                <w:sz w:val="4"/>
                <w:szCs w:val="4"/>
              </w:rPr>
            </w:pPr>
          </w:p>
        </w:tc>
        <w:tc>
          <w:tcPr>
            <w:tcW w:w="240" w:type="dxa"/>
            <w:vAlign w:val="bottom"/>
          </w:tcPr>
          <w:p w14:paraId="31C0B5B5" w14:textId="77777777" w:rsidR="00D1587D" w:rsidRDefault="00D1587D">
            <w:pPr>
              <w:rPr>
                <w:sz w:val="4"/>
                <w:szCs w:val="4"/>
              </w:rPr>
            </w:pPr>
          </w:p>
        </w:tc>
        <w:tc>
          <w:tcPr>
            <w:tcW w:w="500" w:type="dxa"/>
            <w:vAlign w:val="bottom"/>
          </w:tcPr>
          <w:p w14:paraId="4907BAF8" w14:textId="77777777" w:rsidR="00D1587D" w:rsidRDefault="00D1587D">
            <w:pPr>
              <w:rPr>
                <w:sz w:val="4"/>
                <w:szCs w:val="4"/>
              </w:rPr>
            </w:pPr>
          </w:p>
        </w:tc>
      </w:tr>
      <w:tr w:rsidR="00D1587D" w14:paraId="7BDAA241" w14:textId="77777777">
        <w:trPr>
          <w:trHeight w:val="270"/>
        </w:trPr>
        <w:tc>
          <w:tcPr>
            <w:tcW w:w="7680" w:type="dxa"/>
            <w:gridSpan w:val="2"/>
            <w:shd w:val="clear" w:color="auto" w:fill="CCEEFF"/>
            <w:vAlign w:val="bottom"/>
          </w:tcPr>
          <w:p w14:paraId="387057AC" w14:textId="77777777" w:rsidR="00D1587D" w:rsidRDefault="00410D07">
            <w:pPr>
              <w:ind w:left="180"/>
              <w:rPr>
                <w:sz w:val="20"/>
                <w:szCs w:val="20"/>
              </w:rPr>
            </w:pPr>
            <w:r>
              <w:rPr>
                <w:rFonts w:ascii="Arial" w:eastAsia="Arial" w:hAnsi="Arial" w:cs="Arial"/>
                <w:sz w:val="18"/>
                <w:szCs w:val="18"/>
              </w:rPr>
              <w:t>Foreign Currency Translation</w:t>
            </w:r>
          </w:p>
        </w:tc>
        <w:tc>
          <w:tcPr>
            <w:tcW w:w="240" w:type="dxa"/>
            <w:shd w:val="clear" w:color="auto" w:fill="CCEEFF"/>
            <w:vAlign w:val="bottom"/>
          </w:tcPr>
          <w:p w14:paraId="48E03195" w14:textId="77777777" w:rsidR="00D1587D" w:rsidRDefault="00D1587D">
            <w:pPr>
              <w:rPr>
                <w:sz w:val="23"/>
                <w:szCs w:val="23"/>
              </w:rPr>
            </w:pPr>
          </w:p>
        </w:tc>
        <w:tc>
          <w:tcPr>
            <w:tcW w:w="500" w:type="dxa"/>
            <w:shd w:val="clear" w:color="auto" w:fill="CCEEFF"/>
            <w:vAlign w:val="bottom"/>
          </w:tcPr>
          <w:p w14:paraId="5BDB01A3" w14:textId="77777777" w:rsidR="00D1587D" w:rsidRDefault="00410D07">
            <w:pPr>
              <w:ind w:right="30"/>
              <w:jc w:val="right"/>
              <w:rPr>
                <w:sz w:val="20"/>
                <w:szCs w:val="20"/>
              </w:rPr>
            </w:pPr>
            <w:r>
              <w:rPr>
                <w:rFonts w:ascii="Arial" w:eastAsia="Arial" w:hAnsi="Arial" w:cs="Arial"/>
                <w:sz w:val="18"/>
                <w:szCs w:val="18"/>
              </w:rPr>
              <w:t>3</w:t>
            </w:r>
          </w:p>
        </w:tc>
      </w:tr>
      <w:tr w:rsidR="00D1587D" w14:paraId="63C6789D" w14:textId="77777777">
        <w:trPr>
          <w:trHeight w:val="68"/>
        </w:trPr>
        <w:tc>
          <w:tcPr>
            <w:tcW w:w="7520" w:type="dxa"/>
            <w:shd w:val="clear" w:color="auto" w:fill="CCEEFF"/>
            <w:vAlign w:val="bottom"/>
          </w:tcPr>
          <w:p w14:paraId="0D8F81DD" w14:textId="77777777" w:rsidR="00D1587D" w:rsidRDefault="00D1587D">
            <w:pPr>
              <w:rPr>
                <w:sz w:val="5"/>
                <w:szCs w:val="5"/>
              </w:rPr>
            </w:pPr>
          </w:p>
        </w:tc>
        <w:tc>
          <w:tcPr>
            <w:tcW w:w="160" w:type="dxa"/>
            <w:tcBorders>
              <w:bottom w:val="single" w:sz="8" w:space="0" w:color="CCEEFF"/>
            </w:tcBorders>
            <w:shd w:val="clear" w:color="auto" w:fill="CCEEFF"/>
            <w:vAlign w:val="bottom"/>
          </w:tcPr>
          <w:p w14:paraId="5575C4A4" w14:textId="77777777" w:rsidR="00D1587D" w:rsidRDefault="00D1587D">
            <w:pPr>
              <w:rPr>
                <w:sz w:val="5"/>
                <w:szCs w:val="5"/>
              </w:rPr>
            </w:pPr>
          </w:p>
        </w:tc>
        <w:tc>
          <w:tcPr>
            <w:tcW w:w="240" w:type="dxa"/>
            <w:tcBorders>
              <w:bottom w:val="single" w:sz="8" w:space="0" w:color="auto"/>
            </w:tcBorders>
            <w:shd w:val="clear" w:color="auto" w:fill="CCEEFF"/>
            <w:vAlign w:val="bottom"/>
          </w:tcPr>
          <w:p w14:paraId="22059AC0" w14:textId="77777777" w:rsidR="00D1587D" w:rsidRDefault="00D1587D">
            <w:pPr>
              <w:rPr>
                <w:sz w:val="5"/>
                <w:szCs w:val="5"/>
              </w:rPr>
            </w:pPr>
          </w:p>
        </w:tc>
        <w:tc>
          <w:tcPr>
            <w:tcW w:w="500" w:type="dxa"/>
            <w:tcBorders>
              <w:bottom w:val="single" w:sz="8" w:space="0" w:color="auto"/>
            </w:tcBorders>
            <w:shd w:val="clear" w:color="auto" w:fill="CCEEFF"/>
            <w:vAlign w:val="bottom"/>
          </w:tcPr>
          <w:p w14:paraId="4C0E830D" w14:textId="77777777" w:rsidR="00D1587D" w:rsidRDefault="00D1587D">
            <w:pPr>
              <w:rPr>
                <w:sz w:val="5"/>
                <w:szCs w:val="5"/>
              </w:rPr>
            </w:pPr>
          </w:p>
        </w:tc>
      </w:tr>
      <w:tr w:rsidR="00D1587D" w14:paraId="67E6EDF2" w14:textId="77777777">
        <w:trPr>
          <w:trHeight w:val="304"/>
        </w:trPr>
        <w:tc>
          <w:tcPr>
            <w:tcW w:w="7680" w:type="dxa"/>
            <w:gridSpan w:val="2"/>
            <w:vAlign w:val="bottom"/>
          </w:tcPr>
          <w:p w14:paraId="500E18A5" w14:textId="77777777" w:rsidR="00D1587D" w:rsidRDefault="00410D07">
            <w:pPr>
              <w:rPr>
                <w:sz w:val="20"/>
                <w:szCs w:val="20"/>
              </w:rPr>
            </w:pPr>
            <w:r>
              <w:rPr>
                <w:rFonts w:ascii="Arial" w:eastAsia="Arial" w:hAnsi="Arial" w:cs="Arial"/>
                <w:sz w:val="18"/>
                <w:szCs w:val="18"/>
              </w:rPr>
              <w:t>2021 Net Sales</w:t>
            </w:r>
          </w:p>
        </w:tc>
        <w:tc>
          <w:tcPr>
            <w:tcW w:w="240" w:type="dxa"/>
            <w:vAlign w:val="bottom"/>
          </w:tcPr>
          <w:p w14:paraId="47D44436" w14:textId="77777777" w:rsidR="00D1587D" w:rsidRDefault="00410D07">
            <w:pPr>
              <w:jc w:val="right"/>
              <w:rPr>
                <w:sz w:val="20"/>
                <w:szCs w:val="20"/>
              </w:rPr>
            </w:pPr>
            <w:r>
              <w:rPr>
                <w:rFonts w:ascii="Arial" w:eastAsia="Arial" w:hAnsi="Arial" w:cs="Arial"/>
                <w:sz w:val="18"/>
                <w:szCs w:val="18"/>
              </w:rPr>
              <w:t>$</w:t>
            </w:r>
          </w:p>
        </w:tc>
        <w:tc>
          <w:tcPr>
            <w:tcW w:w="500" w:type="dxa"/>
            <w:vAlign w:val="bottom"/>
          </w:tcPr>
          <w:p w14:paraId="3549B664" w14:textId="77777777" w:rsidR="00D1587D" w:rsidRDefault="00410D07">
            <w:pPr>
              <w:jc w:val="right"/>
              <w:rPr>
                <w:sz w:val="20"/>
                <w:szCs w:val="20"/>
              </w:rPr>
            </w:pPr>
            <w:r>
              <w:rPr>
                <w:rFonts w:ascii="Arial" w:eastAsia="Arial" w:hAnsi="Arial" w:cs="Arial"/>
                <w:w w:val="88"/>
                <w:sz w:val="18"/>
                <w:szCs w:val="18"/>
              </w:rPr>
              <w:t>1,554</w:t>
            </w:r>
          </w:p>
        </w:tc>
      </w:tr>
      <w:tr w:rsidR="00D1587D" w14:paraId="108DE395" w14:textId="77777777">
        <w:trPr>
          <w:trHeight w:val="27"/>
        </w:trPr>
        <w:tc>
          <w:tcPr>
            <w:tcW w:w="7520" w:type="dxa"/>
            <w:vAlign w:val="bottom"/>
          </w:tcPr>
          <w:p w14:paraId="21435207" w14:textId="77777777" w:rsidR="00D1587D" w:rsidRDefault="00D1587D">
            <w:pPr>
              <w:rPr>
                <w:sz w:val="2"/>
                <w:szCs w:val="2"/>
              </w:rPr>
            </w:pPr>
          </w:p>
        </w:tc>
        <w:tc>
          <w:tcPr>
            <w:tcW w:w="160" w:type="dxa"/>
            <w:vAlign w:val="bottom"/>
          </w:tcPr>
          <w:p w14:paraId="2EAEACB6" w14:textId="77777777" w:rsidR="00D1587D" w:rsidRDefault="00D1587D">
            <w:pPr>
              <w:rPr>
                <w:sz w:val="2"/>
                <w:szCs w:val="2"/>
              </w:rPr>
            </w:pPr>
          </w:p>
        </w:tc>
        <w:tc>
          <w:tcPr>
            <w:tcW w:w="240" w:type="dxa"/>
            <w:tcBorders>
              <w:bottom w:val="single" w:sz="8" w:space="0" w:color="auto"/>
            </w:tcBorders>
            <w:vAlign w:val="bottom"/>
          </w:tcPr>
          <w:p w14:paraId="7E24979B" w14:textId="77777777" w:rsidR="00D1587D" w:rsidRDefault="00D1587D">
            <w:pPr>
              <w:rPr>
                <w:sz w:val="2"/>
                <w:szCs w:val="2"/>
              </w:rPr>
            </w:pPr>
          </w:p>
        </w:tc>
        <w:tc>
          <w:tcPr>
            <w:tcW w:w="500" w:type="dxa"/>
            <w:tcBorders>
              <w:bottom w:val="single" w:sz="8" w:space="0" w:color="auto"/>
            </w:tcBorders>
            <w:vAlign w:val="bottom"/>
          </w:tcPr>
          <w:p w14:paraId="5CD91F2D" w14:textId="77777777" w:rsidR="00D1587D" w:rsidRDefault="00D1587D">
            <w:pPr>
              <w:rPr>
                <w:sz w:val="2"/>
                <w:szCs w:val="2"/>
              </w:rPr>
            </w:pPr>
          </w:p>
        </w:tc>
      </w:tr>
      <w:tr w:rsidR="00D1587D" w14:paraId="350465F7" w14:textId="77777777">
        <w:trPr>
          <w:trHeight w:val="20"/>
        </w:trPr>
        <w:tc>
          <w:tcPr>
            <w:tcW w:w="7520" w:type="dxa"/>
            <w:vAlign w:val="bottom"/>
          </w:tcPr>
          <w:p w14:paraId="2E6083A0" w14:textId="77777777" w:rsidR="00D1587D" w:rsidRDefault="00D1587D">
            <w:pPr>
              <w:spacing w:line="20" w:lineRule="exact"/>
              <w:rPr>
                <w:sz w:val="1"/>
                <w:szCs w:val="1"/>
              </w:rPr>
            </w:pPr>
          </w:p>
        </w:tc>
        <w:tc>
          <w:tcPr>
            <w:tcW w:w="160" w:type="dxa"/>
            <w:vAlign w:val="bottom"/>
          </w:tcPr>
          <w:p w14:paraId="47A66951" w14:textId="77777777" w:rsidR="00D1587D" w:rsidRDefault="00D1587D">
            <w:pPr>
              <w:spacing w:line="20" w:lineRule="exact"/>
              <w:rPr>
                <w:sz w:val="1"/>
                <w:szCs w:val="1"/>
              </w:rPr>
            </w:pPr>
          </w:p>
        </w:tc>
        <w:tc>
          <w:tcPr>
            <w:tcW w:w="240" w:type="dxa"/>
            <w:tcBorders>
              <w:bottom w:val="single" w:sz="8" w:space="0" w:color="auto"/>
            </w:tcBorders>
            <w:vAlign w:val="bottom"/>
          </w:tcPr>
          <w:p w14:paraId="56231A3F" w14:textId="77777777" w:rsidR="00D1587D" w:rsidRDefault="00D1587D">
            <w:pPr>
              <w:spacing w:line="20" w:lineRule="exact"/>
              <w:rPr>
                <w:sz w:val="1"/>
                <w:szCs w:val="1"/>
              </w:rPr>
            </w:pPr>
          </w:p>
        </w:tc>
        <w:tc>
          <w:tcPr>
            <w:tcW w:w="500" w:type="dxa"/>
            <w:tcBorders>
              <w:bottom w:val="single" w:sz="8" w:space="0" w:color="auto"/>
            </w:tcBorders>
            <w:vAlign w:val="bottom"/>
          </w:tcPr>
          <w:p w14:paraId="1BB2CA37" w14:textId="77777777" w:rsidR="00D1587D" w:rsidRDefault="00D1587D">
            <w:pPr>
              <w:spacing w:line="20" w:lineRule="exact"/>
              <w:rPr>
                <w:sz w:val="1"/>
                <w:szCs w:val="1"/>
              </w:rPr>
            </w:pPr>
          </w:p>
        </w:tc>
      </w:tr>
    </w:tbl>
    <w:p w14:paraId="04C8813C" w14:textId="77777777" w:rsidR="00D1587D" w:rsidRDefault="00410D07">
      <w:pPr>
        <w:spacing w:line="20" w:lineRule="exact"/>
        <w:rPr>
          <w:sz w:val="20"/>
          <w:szCs w:val="20"/>
        </w:rPr>
      </w:pPr>
      <w:r>
        <w:rPr>
          <w:noProof/>
          <w:sz w:val="20"/>
          <w:szCs w:val="20"/>
        </w:rPr>
        <w:drawing>
          <wp:anchor distT="0" distB="0" distL="114300" distR="114300" simplePos="0" relativeHeight="251714560" behindDoc="1" locked="0" layoutInCell="0" allowOverlap="1" wp14:anchorId="5CEE0C2A" wp14:editId="33558DB0">
            <wp:simplePos x="0" y="0"/>
            <wp:positionH relativeFrom="column">
              <wp:posOffset>185420</wp:posOffset>
            </wp:positionH>
            <wp:positionV relativeFrom="paragraph">
              <wp:posOffset>154305</wp:posOffset>
            </wp:positionV>
            <wp:extent cx="822960" cy="8255"/>
            <wp:effectExtent l="0" t="0" r="0" b="0"/>
            <wp:wrapNone/>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1B129FBC" w14:textId="77777777" w:rsidR="00D1587D" w:rsidRDefault="00D1587D">
      <w:pPr>
        <w:spacing w:line="272" w:lineRule="exact"/>
        <w:rPr>
          <w:sz w:val="20"/>
          <w:szCs w:val="20"/>
        </w:rPr>
      </w:pPr>
    </w:p>
    <w:p w14:paraId="3486A6F8" w14:textId="77777777" w:rsidR="00D1587D" w:rsidRDefault="00410D07" w:rsidP="00410D07">
      <w:pPr>
        <w:numPr>
          <w:ilvl w:val="0"/>
          <w:numId w:val="289"/>
        </w:numPr>
        <w:tabs>
          <w:tab w:val="left" w:pos="640"/>
        </w:tabs>
        <w:ind w:left="640" w:hanging="348"/>
        <w:rPr>
          <w:rFonts w:ascii="Arial" w:eastAsia="Arial" w:hAnsi="Arial" w:cs="Arial"/>
          <w:sz w:val="14"/>
          <w:szCs w:val="14"/>
        </w:rPr>
      </w:pPr>
      <w:r>
        <w:rPr>
          <w:rFonts w:ascii="Arial" w:eastAsia="Arial" w:hAnsi="Arial" w:cs="Arial"/>
          <w:sz w:val="14"/>
          <w:szCs w:val="14"/>
        </w:rPr>
        <w:t xml:space="preserve">Includes the increased sales from period over period due to the 2020 </w:t>
      </w:r>
      <w:r>
        <w:rPr>
          <w:rFonts w:ascii="Arial" w:eastAsia="Arial" w:hAnsi="Arial" w:cs="Arial"/>
          <w:sz w:val="14"/>
          <w:szCs w:val="14"/>
        </w:rPr>
        <w:t>COVID-19-related stores closures.</w:t>
      </w:r>
    </w:p>
    <w:p w14:paraId="2CC0505C" w14:textId="77777777" w:rsidR="00D1587D" w:rsidRDefault="00D1587D">
      <w:pPr>
        <w:spacing w:line="100" w:lineRule="exact"/>
        <w:rPr>
          <w:sz w:val="20"/>
          <w:szCs w:val="20"/>
        </w:rPr>
      </w:pPr>
    </w:p>
    <w:p w14:paraId="68D7B236" w14:textId="77777777" w:rsidR="00D1587D" w:rsidRDefault="00410D07">
      <w:pPr>
        <w:spacing w:line="277" w:lineRule="auto"/>
        <w:ind w:left="300" w:right="319" w:firstLine="360"/>
        <w:rPr>
          <w:sz w:val="20"/>
          <w:szCs w:val="20"/>
        </w:rPr>
      </w:pPr>
      <w:r>
        <w:rPr>
          <w:rFonts w:ascii="Arial" w:eastAsia="Arial" w:hAnsi="Arial" w:cs="Arial"/>
          <w:sz w:val="18"/>
          <w:szCs w:val="18"/>
        </w:rPr>
        <w:t>The following table compares comparable sales for the first quarter of 2021 in comparison to the first quarter of 2020:</w:t>
      </w:r>
    </w:p>
    <w:p w14:paraId="35DCA4D3"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260"/>
        <w:gridCol w:w="340"/>
        <w:gridCol w:w="340"/>
        <w:gridCol w:w="480"/>
      </w:tblGrid>
      <w:tr w:rsidR="00D1587D" w14:paraId="51C34B8E" w14:textId="77777777">
        <w:trPr>
          <w:trHeight w:val="186"/>
        </w:trPr>
        <w:tc>
          <w:tcPr>
            <w:tcW w:w="7260" w:type="dxa"/>
            <w:vAlign w:val="bottom"/>
          </w:tcPr>
          <w:p w14:paraId="6CABF902" w14:textId="77777777" w:rsidR="00D1587D" w:rsidRDefault="00410D07">
            <w:pPr>
              <w:rPr>
                <w:sz w:val="20"/>
                <w:szCs w:val="20"/>
              </w:rPr>
            </w:pPr>
            <w:r>
              <w:rPr>
                <w:rFonts w:ascii="Arial" w:eastAsia="Arial" w:hAnsi="Arial" w:cs="Arial"/>
                <w:b/>
                <w:bCs/>
                <w:sz w:val="14"/>
                <w:szCs w:val="14"/>
              </w:rPr>
              <w:t>First Quarter</w:t>
            </w:r>
          </w:p>
        </w:tc>
        <w:tc>
          <w:tcPr>
            <w:tcW w:w="340" w:type="dxa"/>
            <w:vAlign w:val="bottom"/>
          </w:tcPr>
          <w:p w14:paraId="1C7CB113" w14:textId="77777777" w:rsidR="00D1587D" w:rsidRDefault="00410D07">
            <w:pPr>
              <w:jc w:val="right"/>
              <w:rPr>
                <w:sz w:val="20"/>
                <w:szCs w:val="20"/>
              </w:rPr>
            </w:pPr>
            <w:r>
              <w:rPr>
                <w:rFonts w:ascii="Arial" w:eastAsia="Arial" w:hAnsi="Arial" w:cs="Arial"/>
                <w:b/>
                <w:bCs/>
                <w:w w:val="89"/>
                <w:sz w:val="14"/>
                <w:szCs w:val="14"/>
              </w:rPr>
              <w:t>2021</w:t>
            </w:r>
          </w:p>
        </w:tc>
        <w:tc>
          <w:tcPr>
            <w:tcW w:w="340" w:type="dxa"/>
            <w:vAlign w:val="bottom"/>
          </w:tcPr>
          <w:p w14:paraId="76A1D661" w14:textId="77777777" w:rsidR="00D1587D" w:rsidRDefault="00D1587D">
            <w:pPr>
              <w:rPr>
                <w:sz w:val="16"/>
                <w:szCs w:val="16"/>
              </w:rPr>
            </w:pPr>
          </w:p>
        </w:tc>
        <w:tc>
          <w:tcPr>
            <w:tcW w:w="480" w:type="dxa"/>
            <w:vAlign w:val="bottom"/>
          </w:tcPr>
          <w:p w14:paraId="39AA3515" w14:textId="77777777" w:rsidR="00D1587D" w:rsidRDefault="00410D07">
            <w:pPr>
              <w:jc w:val="center"/>
              <w:rPr>
                <w:sz w:val="20"/>
                <w:szCs w:val="20"/>
              </w:rPr>
            </w:pPr>
            <w:r>
              <w:rPr>
                <w:rFonts w:ascii="Arial" w:eastAsia="Arial" w:hAnsi="Arial" w:cs="Arial"/>
                <w:b/>
                <w:bCs/>
                <w:w w:val="89"/>
                <w:sz w:val="14"/>
                <w:szCs w:val="14"/>
              </w:rPr>
              <w:t>2020</w:t>
            </w:r>
          </w:p>
        </w:tc>
      </w:tr>
      <w:tr w:rsidR="00D1587D" w14:paraId="17257241" w14:textId="77777777">
        <w:trPr>
          <w:trHeight w:val="53"/>
        </w:trPr>
        <w:tc>
          <w:tcPr>
            <w:tcW w:w="7260" w:type="dxa"/>
            <w:tcBorders>
              <w:bottom w:val="single" w:sz="8" w:space="0" w:color="CCEEFF"/>
            </w:tcBorders>
            <w:vAlign w:val="bottom"/>
          </w:tcPr>
          <w:p w14:paraId="4C367A20" w14:textId="77777777" w:rsidR="00D1587D" w:rsidRDefault="00D1587D">
            <w:pPr>
              <w:rPr>
                <w:sz w:val="4"/>
                <w:szCs w:val="4"/>
              </w:rPr>
            </w:pPr>
          </w:p>
        </w:tc>
        <w:tc>
          <w:tcPr>
            <w:tcW w:w="340" w:type="dxa"/>
            <w:tcBorders>
              <w:bottom w:val="single" w:sz="8" w:space="0" w:color="auto"/>
            </w:tcBorders>
            <w:vAlign w:val="bottom"/>
          </w:tcPr>
          <w:p w14:paraId="60F7FAE9" w14:textId="77777777" w:rsidR="00D1587D" w:rsidRDefault="00D1587D">
            <w:pPr>
              <w:rPr>
                <w:sz w:val="4"/>
                <w:szCs w:val="4"/>
              </w:rPr>
            </w:pPr>
          </w:p>
        </w:tc>
        <w:tc>
          <w:tcPr>
            <w:tcW w:w="340" w:type="dxa"/>
            <w:tcBorders>
              <w:bottom w:val="single" w:sz="8" w:space="0" w:color="CCEEFF"/>
            </w:tcBorders>
            <w:vAlign w:val="bottom"/>
          </w:tcPr>
          <w:p w14:paraId="24619BF5" w14:textId="77777777" w:rsidR="00D1587D" w:rsidRDefault="00D1587D">
            <w:pPr>
              <w:rPr>
                <w:sz w:val="4"/>
                <w:szCs w:val="4"/>
              </w:rPr>
            </w:pPr>
          </w:p>
        </w:tc>
        <w:tc>
          <w:tcPr>
            <w:tcW w:w="480" w:type="dxa"/>
            <w:tcBorders>
              <w:bottom w:val="single" w:sz="8" w:space="0" w:color="auto"/>
            </w:tcBorders>
            <w:vAlign w:val="bottom"/>
          </w:tcPr>
          <w:p w14:paraId="4FA8BB47" w14:textId="77777777" w:rsidR="00D1587D" w:rsidRDefault="00D1587D">
            <w:pPr>
              <w:rPr>
                <w:sz w:val="4"/>
                <w:szCs w:val="4"/>
              </w:rPr>
            </w:pPr>
          </w:p>
        </w:tc>
      </w:tr>
      <w:tr w:rsidR="00D1587D" w14:paraId="1AF645A2" w14:textId="77777777">
        <w:trPr>
          <w:trHeight w:val="311"/>
        </w:trPr>
        <w:tc>
          <w:tcPr>
            <w:tcW w:w="7260" w:type="dxa"/>
            <w:tcBorders>
              <w:bottom w:val="single" w:sz="8" w:space="0" w:color="CCEEFF"/>
            </w:tcBorders>
            <w:shd w:val="clear" w:color="auto" w:fill="CCEEFF"/>
            <w:vAlign w:val="bottom"/>
          </w:tcPr>
          <w:p w14:paraId="129CEAD4" w14:textId="77777777" w:rsidR="00D1587D" w:rsidRDefault="00410D07">
            <w:pPr>
              <w:rPr>
                <w:sz w:val="20"/>
                <w:szCs w:val="20"/>
              </w:rPr>
            </w:pPr>
            <w:r>
              <w:rPr>
                <w:rFonts w:ascii="Arial" w:eastAsia="Arial" w:hAnsi="Arial" w:cs="Arial"/>
                <w:sz w:val="18"/>
                <w:szCs w:val="18"/>
              </w:rPr>
              <w:t>Comparable Sales (Stores and Direct)(a)</w:t>
            </w:r>
          </w:p>
        </w:tc>
        <w:tc>
          <w:tcPr>
            <w:tcW w:w="680" w:type="dxa"/>
            <w:gridSpan w:val="2"/>
            <w:tcBorders>
              <w:bottom w:val="single" w:sz="8" w:space="0" w:color="CCEEFF"/>
            </w:tcBorders>
            <w:shd w:val="clear" w:color="auto" w:fill="CCEEFF"/>
            <w:vAlign w:val="bottom"/>
          </w:tcPr>
          <w:p w14:paraId="28E977DF" w14:textId="77777777" w:rsidR="00D1587D" w:rsidRDefault="00410D07">
            <w:pPr>
              <w:ind w:right="340"/>
              <w:jc w:val="right"/>
              <w:rPr>
                <w:sz w:val="20"/>
                <w:szCs w:val="20"/>
              </w:rPr>
            </w:pPr>
            <w:r>
              <w:rPr>
                <w:rFonts w:ascii="Arial" w:eastAsia="Arial" w:hAnsi="Arial" w:cs="Arial"/>
                <w:w w:val="88"/>
                <w:sz w:val="18"/>
                <w:szCs w:val="18"/>
              </w:rPr>
              <w:t>25%</w:t>
            </w:r>
          </w:p>
        </w:tc>
        <w:tc>
          <w:tcPr>
            <w:tcW w:w="480" w:type="dxa"/>
            <w:tcBorders>
              <w:bottom w:val="single" w:sz="8" w:space="0" w:color="CCEEFF"/>
            </w:tcBorders>
            <w:shd w:val="clear" w:color="auto" w:fill="CCEEFF"/>
            <w:vAlign w:val="bottom"/>
          </w:tcPr>
          <w:p w14:paraId="1FA869F9" w14:textId="77777777" w:rsidR="00D1587D" w:rsidRDefault="00410D07">
            <w:pPr>
              <w:jc w:val="center"/>
              <w:rPr>
                <w:sz w:val="20"/>
                <w:szCs w:val="20"/>
              </w:rPr>
            </w:pPr>
            <w:r>
              <w:rPr>
                <w:rFonts w:ascii="Arial" w:eastAsia="Arial" w:hAnsi="Arial" w:cs="Arial"/>
                <w:w w:val="95"/>
                <w:sz w:val="18"/>
                <w:szCs w:val="18"/>
              </w:rPr>
              <w:t>(15)%</w:t>
            </w:r>
          </w:p>
        </w:tc>
      </w:tr>
      <w:tr w:rsidR="00D1587D" w14:paraId="15C61939" w14:textId="77777777">
        <w:trPr>
          <w:trHeight w:val="270"/>
        </w:trPr>
        <w:tc>
          <w:tcPr>
            <w:tcW w:w="7260" w:type="dxa"/>
            <w:vAlign w:val="bottom"/>
          </w:tcPr>
          <w:p w14:paraId="74DA18F6" w14:textId="77777777" w:rsidR="00D1587D" w:rsidRDefault="00410D07">
            <w:pPr>
              <w:rPr>
                <w:sz w:val="20"/>
                <w:szCs w:val="20"/>
              </w:rPr>
            </w:pPr>
            <w:r>
              <w:rPr>
                <w:rFonts w:ascii="Arial" w:eastAsia="Arial" w:hAnsi="Arial" w:cs="Arial"/>
                <w:sz w:val="18"/>
                <w:szCs w:val="18"/>
              </w:rPr>
              <w:t>Comparable Store Sales(a)</w:t>
            </w:r>
          </w:p>
        </w:tc>
        <w:tc>
          <w:tcPr>
            <w:tcW w:w="680" w:type="dxa"/>
            <w:gridSpan w:val="2"/>
            <w:vAlign w:val="bottom"/>
          </w:tcPr>
          <w:p w14:paraId="6DFC8FA6" w14:textId="77777777" w:rsidR="00D1587D" w:rsidRDefault="00410D07">
            <w:pPr>
              <w:ind w:right="340"/>
              <w:jc w:val="right"/>
              <w:rPr>
                <w:sz w:val="20"/>
                <w:szCs w:val="20"/>
              </w:rPr>
            </w:pPr>
            <w:r>
              <w:rPr>
                <w:rFonts w:ascii="Arial" w:eastAsia="Arial" w:hAnsi="Arial" w:cs="Arial"/>
                <w:sz w:val="18"/>
                <w:szCs w:val="18"/>
              </w:rPr>
              <w:t>3%</w:t>
            </w:r>
          </w:p>
        </w:tc>
        <w:tc>
          <w:tcPr>
            <w:tcW w:w="480" w:type="dxa"/>
            <w:vAlign w:val="bottom"/>
          </w:tcPr>
          <w:p w14:paraId="0D1FBDEE" w14:textId="77777777" w:rsidR="00D1587D" w:rsidRDefault="00410D07">
            <w:pPr>
              <w:jc w:val="center"/>
              <w:rPr>
                <w:sz w:val="20"/>
                <w:szCs w:val="20"/>
              </w:rPr>
            </w:pPr>
            <w:r>
              <w:rPr>
                <w:rFonts w:ascii="Arial" w:eastAsia="Arial" w:hAnsi="Arial" w:cs="Arial"/>
                <w:w w:val="95"/>
                <w:sz w:val="18"/>
                <w:szCs w:val="18"/>
              </w:rPr>
              <w:t>(18)%</w:t>
            </w:r>
          </w:p>
        </w:tc>
      </w:tr>
    </w:tbl>
    <w:p w14:paraId="6BC2574D" w14:textId="77777777" w:rsidR="00D1587D" w:rsidRDefault="00410D07">
      <w:pPr>
        <w:spacing w:line="20" w:lineRule="exact"/>
        <w:rPr>
          <w:sz w:val="20"/>
          <w:szCs w:val="20"/>
        </w:rPr>
      </w:pPr>
      <w:r>
        <w:rPr>
          <w:noProof/>
          <w:sz w:val="20"/>
          <w:szCs w:val="20"/>
        </w:rPr>
        <w:drawing>
          <wp:anchor distT="0" distB="0" distL="114300" distR="114300" simplePos="0" relativeHeight="251715584" behindDoc="1" locked="0" layoutInCell="0" allowOverlap="1" wp14:anchorId="74295806" wp14:editId="7122DC22">
            <wp:simplePos x="0" y="0"/>
            <wp:positionH relativeFrom="column">
              <wp:posOffset>5011420</wp:posOffset>
            </wp:positionH>
            <wp:positionV relativeFrom="paragraph">
              <wp:posOffset>-393700</wp:posOffset>
            </wp:positionV>
            <wp:extent cx="222885" cy="8255"/>
            <wp:effectExtent l="0" t="0" r="0" b="0"/>
            <wp:wrapNone/>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57"/>
                    <a:srcRect/>
                    <a:stretch>
                      <a:fillRect/>
                    </a:stretch>
                  </pic:blipFill>
                  <pic:spPr bwMode="auto">
                    <a:xfrm>
                      <a:off x="0" y="0"/>
                      <a:ext cx="222885" cy="8255"/>
                    </a:xfrm>
                    <a:prstGeom prst="rect">
                      <a:avLst/>
                    </a:prstGeom>
                    <a:noFill/>
                  </pic:spPr>
                </pic:pic>
              </a:graphicData>
            </a:graphic>
          </wp:anchor>
        </w:drawing>
      </w:r>
      <w:r>
        <w:rPr>
          <w:noProof/>
          <w:sz w:val="20"/>
          <w:szCs w:val="20"/>
        </w:rPr>
        <w:drawing>
          <wp:anchor distT="0" distB="0" distL="114300" distR="114300" simplePos="0" relativeHeight="251716608" behindDoc="1" locked="0" layoutInCell="0" allowOverlap="1" wp14:anchorId="6163EB3A" wp14:editId="5143F90B">
            <wp:simplePos x="0" y="0"/>
            <wp:positionH relativeFrom="column">
              <wp:posOffset>4685665</wp:posOffset>
            </wp:positionH>
            <wp:positionV relativeFrom="paragraph">
              <wp:posOffset>-393700</wp:posOffset>
            </wp:positionV>
            <wp:extent cx="111125" cy="8255"/>
            <wp:effectExtent l="0" t="0" r="0" b="0"/>
            <wp:wrapNone/>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8"/>
                    <a:srcRect/>
                    <a:stretch>
                      <a:fillRect/>
                    </a:stretch>
                  </pic:blipFill>
                  <pic:spPr bwMode="auto">
                    <a:xfrm>
                      <a:off x="0" y="0"/>
                      <a:ext cx="111125" cy="8255"/>
                    </a:xfrm>
                    <a:prstGeom prst="rect">
                      <a:avLst/>
                    </a:prstGeom>
                    <a:noFill/>
                  </pic:spPr>
                </pic:pic>
              </a:graphicData>
            </a:graphic>
          </wp:anchor>
        </w:drawing>
      </w:r>
      <w:r>
        <w:rPr>
          <w:noProof/>
          <w:sz w:val="20"/>
          <w:szCs w:val="20"/>
        </w:rPr>
        <w:drawing>
          <wp:anchor distT="0" distB="0" distL="114300" distR="114300" simplePos="0" relativeHeight="251717632" behindDoc="1" locked="0" layoutInCell="0" allowOverlap="1" wp14:anchorId="37B60732" wp14:editId="5D3EC7BA">
            <wp:simplePos x="0" y="0"/>
            <wp:positionH relativeFrom="column">
              <wp:posOffset>185420</wp:posOffset>
            </wp:positionH>
            <wp:positionV relativeFrom="paragraph">
              <wp:posOffset>188595</wp:posOffset>
            </wp:positionV>
            <wp:extent cx="822960" cy="8255"/>
            <wp:effectExtent l="0" t="0" r="0" b="0"/>
            <wp:wrapNone/>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199C1CA3" w14:textId="77777777" w:rsidR="00D1587D" w:rsidRDefault="00D1587D">
      <w:pPr>
        <w:spacing w:line="326" w:lineRule="exact"/>
        <w:rPr>
          <w:sz w:val="20"/>
          <w:szCs w:val="20"/>
        </w:rPr>
      </w:pPr>
    </w:p>
    <w:p w14:paraId="15034FD7" w14:textId="77777777" w:rsidR="00D1587D" w:rsidRDefault="00410D07" w:rsidP="00410D07">
      <w:pPr>
        <w:numPr>
          <w:ilvl w:val="0"/>
          <w:numId w:val="290"/>
        </w:numPr>
        <w:tabs>
          <w:tab w:val="left" w:pos="640"/>
        </w:tabs>
        <w:spacing w:line="244" w:lineRule="auto"/>
        <w:ind w:left="640" w:right="359" w:hanging="348"/>
        <w:rPr>
          <w:rFonts w:ascii="Arial" w:eastAsia="Arial" w:hAnsi="Arial" w:cs="Arial"/>
          <w:sz w:val="13"/>
          <w:szCs w:val="13"/>
        </w:rPr>
      </w:pPr>
      <w:r>
        <w:rPr>
          <w:rFonts w:ascii="Arial" w:eastAsia="Arial" w:hAnsi="Arial" w:cs="Arial"/>
          <w:sz w:val="13"/>
          <w:szCs w:val="13"/>
        </w:rPr>
        <w:t xml:space="preserve">The percentage change in comparable sales represents direct and comparable store sales. The percentage change in comparable store sales represents the change in sales at comparable stores only and excludes the </w:t>
      </w:r>
      <w:r>
        <w:rPr>
          <w:rFonts w:ascii="Arial" w:eastAsia="Arial" w:hAnsi="Arial" w:cs="Arial"/>
          <w:sz w:val="13"/>
          <w:szCs w:val="13"/>
        </w:rPr>
        <w:t>change in sales from our direct channel. The change in comparable sales provides an indication of period over period growth (decline). A store is typically included in the calculation of comparable sales when it has been open 12 months or more and it has n</w:t>
      </w:r>
      <w:r>
        <w:rPr>
          <w:rFonts w:ascii="Arial" w:eastAsia="Arial" w:hAnsi="Arial" w:cs="Arial"/>
          <w:sz w:val="13"/>
          <w:szCs w:val="13"/>
        </w:rPr>
        <w:t>ot had a change in selling square footage of 20% or more. Closed stores are excluded from the comparable sales calculation if they have been closed for four consecutive days or more. Upon re-opening, the stores are included in the calculation. Therefore, c</w:t>
      </w:r>
      <w:r>
        <w:rPr>
          <w:rFonts w:ascii="Arial" w:eastAsia="Arial" w:hAnsi="Arial" w:cs="Arial"/>
          <w:sz w:val="13"/>
          <w:szCs w:val="13"/>
        </w:rPr>
        <w:t>omparable sales results for the first quarter of 2021 and 2020 exclude the closure period of stores that were closed for four consecutive days or more as a result of the COVID-19 pandemic. Additionally, stores are excluded if total selling square footage i</w:t>
      </w:r>
      <w:r>
        <w:rPr>
          <w:rFonts w:ascii="Arial" w:eastAsia="Arial" w:hAnsi="Arial" w:cs="Arial"/>
          <w:sz w:val="13"/>
          <w:szCs w:val="13"/>
        </w:rPr>
        <w:t>n the mall changes by 20% or more through the opening or closing of a second store. The percentage change in comparable sales is calculated on a comparable calendar period as opposed to a fiscal basis. Comparable sales attributable to our international sto</w:t>
      </w:r>
      <w:r>
        <w:rPr>
          <w:rFonts w:ascii="Arial" w:eastAsia="Arial" w:hAnsi="Arial" w:cs="Arial"/>
          <w:sz w:val="13"/>
          <w:szCs w:val="13"/>
        </w:rPr>
        <w:t>res are calculated on a constant currency basis.</w:t>
      </w:r>
    </w:p>
    <w:p w14:paraId="3B1AAE8B" w14:textId="77777777" w:rsidR="00D1587D" w:rsidRDefault="00D1587D">
      <w:pPr>
        <w:spacing w:line="78" w:lineRule="exact"/>
        <w:rPr>
          <w:sz w:val="20"/>
          <w:szCs w:val="20"/>
        </w:rPr>
      </w:pPr>
    </w:p>
    <w:p w14:paraId="09A6D042" w14:textId="77777777" w:rsidR="00D1587D" w:rsidRDefault="00410D07">
      <w:pPr>
        <w:spacing w:line="272" w:lineRule="auto"/>
        <w:ind w:left="300" w:right="299" w:firstLine="360"/>
        <w:rPr>
          <w:sz w:val="20"/>
          <w:szCs w:val="20"/>
        </w:rPr>
      </w:pPr>
      <w:r>
        <w:rPr>
          <w:rFonts w:ascii="Arial" w:eastAsia="Arial" w:hAnsi="Arial" w:cs="Arial"/>
          <w:sz w:val="17"/>
          <w:szCs w:val="17"/>
        </w:rPr>
        <w:t>In the stores channel in the first quarter of 2021, our North America net sales increased $419 million, or 82% compared to the first quarter of 2020, to $933 million. Store sales improved compared to the pr</w:t>
      </w:r>
      <w:r>
        <w:rPr>
          <w:rFonts w:ascii="Arial" w:eastAsia="Arial" w:hAnsi="Arial" w:cs="Arial"/>
          <w:sz w:val="17"/>
          <w:szCs w:val="17"/>
        </w:rPr>
        <w:t xml:space="preserve">ior year period due to the COVID-19-related store closures in the first quarter of 2020, partially offset by the impact of the permanent closure of 241 stores in North America in 2020. As a result of the COVID-19 pandemic, all stores in North America were </w:t>
      </w:r>
      <w:r>
        <w:rPr>
          <w:rFonts w:ascii="Arial" w:eastAsia="Arial" w:hAnsi="Arial" w:cs="Arial"/>
          <w:sz w:val="17"/>
          <w:szCs w:val="17"/>
        </w:rPr>
        <w:t>closed on March 17, 2020, and nearly all remained closed throughout the remainder of the first quarter of 2020. The increase in comparable store sales was driven by a significant increase in conversion (which we define as the percentage of customers who vi</w:t>
      </w:r>
      <w:r>
        <w:rPr>
          <w:rFonts w:ascii="Arial" w:eastAsia="Arial" w:hAnsi="Arial" w:cs="Arial"/>
          <w:sz w:val="17"/>
          <w:szCs w:val="17"/>
        </w:rPr>
        <w:t>sit our stores who make a purchase) and</w:t>
      </w:r>
    </w:p>
    <w:p w14:paraId="5F902B92" w14:textId="77777777" w:rsidR="00D1587D" w:rsidRDefault="00D1587D">
      <w:pPr>
        <w:spacing w:line="177" w:lineRule="exact"/>
        <w:rPr>
          <w:sz w:val="20"/>
          <w:szCs w:val="20"/>
        </w:rPr>
      </w:pPr>
    </w:p>
    <w:p w14:paraId="38E477B3" w14:textId="77777777" w:rsidR="00D1587D" w:rsidRDefault="00410D07">
      <w:pPr>
        <w:jc w:val="center"/>
        <w:rPr>
          <w:sz w:val="20"/>
          <w:szCs w:val="20"/>
        </w:rPr>
      </w:pPr>
      <w:r>
        <w:rPr>
          <w:rFonts w:ascii="Arial" w:eastAsia="Arial" w:hAnsi="Arial" w:cs="Arial"/>
          <w:sz w:val="18"/>
          <w:szCs w:val="18"/>
        </w:rPr>
        <w:t>76</w:t>
      </w:r>
    </w:p>
    <w:p w14:paraId="2FD0EAF1" w14:textId="77777777" w:rsidR="00D1587D" w:rsidRDefault="00410D07">
      <w:pPr>
        <w:spacing w:line="20" w:lineRule="exact"/>
        <w:rPr>
          <w:sz w:val="20"/>
          <w:szCs w:val="20"/>
        </w:rPr>
      </w:pPr>
      <w:r>
        <w:rPr>
          <w:noProof/>
          <w:sz w:val="20"/>
          <w:szCs w:val="20"/>
        </w:rPr>
        <w:drawing>
          <wp:anchor distT="0" distB="0" distL="114300" distR="114300" simplePos="0" relativeHeight="251718656" behindDoc="1" locked="0" layoutInCell="0" allowOverlap="1" wp14:anchorId="4C811E1C" wp14:editId="106CF576">
            <wp:simplePos x="0" y="0"/>
            <wp:positionH relativeFrom="column">
              <wp:posOffset>-636905</wp:posOffset>
            </wp:positionH>
            <wp:positionV relativeFrom="paragraph">
              <wp:posOffset>126365</wp:posOffset>
            </wp:positionV>
            <wp:extent cx="6995160" cy="17145"/>
            <wp:effectExtent l="0" t="0" r="0" b="0"/>
            <wp:wrapNone/>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CD1DC04" w14:textId="77777777" w:rsidR="00D1587D" w:rsidRDefault="00D1587D">
      <w:pPr>
        <w:sectPr w:rsidR="00D1587D">
          <w:pgSz w:w="11900" w:h="16838"/>
          <w:pgMar w:top="265" w:right="1440" w:bottom="1440" w:left="1440" w:header="0" w:footer="0" w:gutter="0"/>
          <w:cols w:space="720" w:equalWidth="0">
            <w:col w:w="9019"/>
          </w:cols>
        </w:sectPr>
      </w:pPr>
    </w:p>
    <w:bookmarkStart w:id="334" w:name="page335"/>
    <w:bookmarkEnd w:id="334"/>
    <w:p w14:paraId="19F275B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59A0B67" w14:textId="77777777" w:rsidR="00D1587D" w:rsidRDefault="00D1587D">
      <w:pPr>
        <w:spacing w:line="131" w:lineRule="exact"/>
        <w:rPr>
          <w:sz w:val="20"/>
          <w:szCs w:val="20"/>
        </w:rPr>
      </w:pPr>
    </w:p>
    <w:p w14:paraId="01B42AD0" w14:textId="77777777" w:rsidR="00D1587D" w:rsidRDefault="00410D07">
      <w:pPr>
        <w:spacing w:line="311" w:lineRule="auto"/>
        <w:ind w:left="300" w:right="519"/>
        <w:jc w:val="both"/>
        <w:rPr>
          <w:sz w:val="20"/>
          <w:szCs w:val="20"/>
        </w:rPr>
      </w:pPr>
      <w:r>
        <w:rPr>
          <w:rFonts w:ascii="Arial" w:eastAsia="Arial" w:hAnsi="Arial" w:cs="Arial"/>
          <w:sz w:val="16"/>
          <w:szCs w:val="16"/>
        </w:rPr>
        <w:t xml:space="preserve">average unit retail (which we define as the average price per unit purchased), partially offset by a decline in store traffic of </w:t>
      </w:r>
      <w:r>
        <w:rPr>
          <w:rFonts w:ascii="Arial" w:eastAsia="Arial" w:hAnsi="Arial" w:cs="Arial"/>
          <w:sz w:val="16"/>
          <w:szCs w:val="16"/>
        </w:rPr>
        <w:t>approximately 40%. Sales related to our partner-operated stores outside of North America also increased compared to the first quarter of 2020 as a result of the COVID-19-related store closures in the prior year.</w:t>
      </w:r>
    </w:p>
    <w:p w14:paraId="77DB3078" w14:textId="77777777" w:rsidR="00D1587D" w:rsidRDefault="00D1587D">
      <w:pPr>
        <w:spacing w:line="41" w:lineRule="exact"/>
        <w:rPr>
          <w:sz w:val="20"/>
          <w:szCs w:val="20"/>
        </w:rPr>
      </w:pPr>
    </w:p>
    <w:p w14:paraId="2EDF73AB" w14:textId="77777777" w:rsidR="00D1587D" w:rsidRDefault="00410D07">
      <w:pPr>
        <w:spacing w:line="263" w:lineRule="auto"/>
        <w:ind w:left="300" w:right="379" w:firstLine="360"/>
        <w:rPr>
          <w:sz w:val="20"/>
          <w:szCs w:val="20"/>
        </w:rPr>
      </w:pPr>
      <w:r>
        <w:rPr>
          <w:rFonts w:ascii="Arial" w:eastAsia="Arial" w:hAnsi="Arial" w:cs="Arial"/>
          <w:sz w:val="18"/>
          <w:szCs w:val="18"/>
        </w:rPr>
        <w:t xml:space="preserve">In the direct channel, net sales increased </w:t>
      </w:r>
      <w:r>
        <w:rPr>
          <w:rFonts w:ascii="Arial" w:eastAsia="Arial" w:hAnsi="Arial" w:cs="Arial"/>
          <w:sz w:val="18"/>
          <w:szCs w:val="18"/>
        </w:rPr>
        <w:t>$213 million, or 69%, to $521 million despite a temporary suspension of operations in March 2020. The increase was primarily driven by a double-digit increase in website traffic and average unit retail.</w:t>
      </w:r>
    </w:p>
    <w:p w14:paraId="4D652C48" w14:textId="77777777" w:rsidR="00D1587D" w:rsidRDefault="00D1587D">
      <w:pPr>
        <w:spacing w:line="346" w:lineRule="exact"/>
        <w:rPr>
          <w:sz w:val="20"/>
          <w:szCs w:val="20"/>
        </w:rPr>
      </w:pPr>
    </w:p>
    <w:p w14:paraId="3D6092BC" w14:textId="77777777" w:rsidR="00D1587D" w:rsidRDefault="00410D07">
      <w:pPr>
        <w:ind w:left="300"/>
        <w:rPr>
          <w:sz w:val="20"/>
          <w:szCs w:val="20"/>
        </w:rPr>
      </w:pPr>
      <w:r>
        <w:rPr>
          <w:rFonts w:ascii="Arial" w:eastAsia="Arial" w:hAnsi="Arial" w:cs="Arial"/>
          <w:b/>
          <w:bCs/>
          <w:i/>
          <w:iCs/>
          <w:sz w:val="18"/>
          <w:szCs w:val="18"/>
        </w:rPr>
        <w:t>Gross Profit</w:t>
      </w:r>
    </w:p>
    <w:p w14:paraId="3CEA0233" w14:textId="77777777" w:rsidR="00D1587D" w:rsidRDefault="00D1587D">
      <w:pPr>
        <w:spacing w:line="117" w:lineRule="exact"/>
        <w:rPr>
          <w:sz w:val="20"/>
          <w:szCs w:val="20"/>
        </w:rPr>
      </w:pPr>
    </w:p>
    <w:p w14:paraId="78633870" w14:textId="77777777" w:rsidR="00D1587D" w:rsidRDefault="00410D07">
      <w:pPr>
        <w:spacing w:line="290" w:lineRule="auto"/>
        <w:ind w:left="300" w:right="319" w:firstLine="360"/>
        <w:rPr>
          <w:sz w:val="20"/>
          <w:szCs w:val="20"/>
        </w:rPr>
      </w:pPr>
      <w:r>
        <w:rPr>
          <w:rFonts w:ascii="Arial" w:eastAsia="Arial" w:hAnsi="Arial" w:cs="Arial"/>
          <w:sz w:val="16"/>
          <w:szCs w:val="16"/>
        </w:rPr>
        <w:t>For the first quarter of 2021, our gro</w:t>
      </w:r>
      <w:r>
        <w:rPr>
          <w:rFonts w:ascii="Arial" w:eastAsia="Arial" w:hAnsi="Arial" w:cs="Arial"/>
          <w:sz w:val="16"/>
          <w:szCs w:val="16"/>
        </w:rPr>
        <w:t>ss profit increased $651 million compared to the first quarter of 2020 to $672 million, and our gross profit rate (expressed as a percentage of net sales) increased to 43.2% from 2.3% in the first quarter of 2020. The gross profit increase was due to highe</w:t>
      </w:r>
      <w:r>
        <w:rPr>
          <w:rFonts w:ascii="Arial" w:eastAsia="Arial" w:hAnsi="Arial" w:cs="Arial"/>
          <w:sz w:val="16"/>
          <w:szCs w:val="16"/>
        </w:rPr>
        <w:t>r merchandise margin dollars related to the increase in net sales compared to the prior year period primarily due to the COVID-19-related store closures in the first quarter of 2020 and increase in the merchandise margin rate driven by improved response to</w:t>
      </w:r>
      <w:r>
        <w:rPr>
          <w:rFonts w:ascii="Arial" w:eastAsia="Arial" w:hAnsi="Arial" w:cs="Arial"/>
          <w:sz w:val="16"/>
          <w:szCs w:val="16"/>
        </w:rPr>
        <w:t xml:space="preserve"> our merchandise assortments, the disciplined management of inventory, as well as strong selling execution in stores and online, which enabled us to reduce promotional activity during the quarter. Occupancy expenses were lower driven by store asset impairm</w:t>
      </w:r>
      <w:r>
        <w:rPr>
          <w:rFonts w:ascii="Arial" w:eastAsia="Arial" w:hAnsi="Arial" w:cs="Arial"/>
          <w:sz w:val="16"/>
          <w:szCs w:val="16"/>
        </w:rPr>
        <w:t>ent charges of $97 million in the prior year and permanent store closures.</w:t>
      </w:r>
    </w:p>
    <w:p w14:paraId="11791FB2" w14:textId="77777777" w:rsidR="00D1587D" w:rsidRDefault="00D1587D">
      <w:pPr>
        <w:spacing w:line="57" w:lineRule="exact"/>
        <w:rPr>
          <w:sz w:val="20"/>
          <w:szCs w:val="20"/>
        </w:rPr>
      </w:pPr>
    </w:p>
    <w:p w14:paraId="6EC19EA4" w14:textId="77777777" w:rsidR="00D1587D" w:rsidRDefault="00410D07">
      <w:pPr>
        <w:spacing w:line="263" w:lineRule="auto"/>
        <w:ind w:left="300" w:right="379" w:firstLine="360"/>
        <w:jc w:val="both"/>
        <w:rPr>
          <w:sz w:val="20"/>
          <w:szCs w:val="20"/>
        </w:rPr>
      </w:pPr>
      <w:r>
        <w:rPr>
          <w:rFonts w:ascii="Arial" w:eastAsia="Arial" w:hAnsi="Arial" w:cs="Arial"/>
          <w:sz w:val="18"/>
          <w:szCs w:val="18"/>
        </w:rPr>
        <w:t>The gross profit rate increase was driven by buying and occupancy leverage on higher net sales, an increase in the merchandise margin rate reflecting a meaningful pullback in promo</w:t>
      </w:r>
      <w:r>
        <w:rPr>
          <w:rFonts w:ascii="Arial" w:eastAsia="Arial" w:hAnsi="Arial" w:cs="Arial"/>
          <w:sz w:val="18"/>
          <w:szCs w:val="18"/>
        </w:rPr>
        <w:t>tional activity and the store asset impairment charges in the prior year.</w:t>
      </w:r>
    </w:p>
    <w:p w14:paraId="14EFF583" w14:textId="77777777" w:rsidR="00D1587D" w:rsidRDefault="00D1587D">
      <w:pPr>
        <w:spacing w:line="332" w:lineRule="exact"/>
        <w:rPr>
          <w:sz w:val="20"/>
          <w:szCs w:val="20"/>
        </w:rPr>
      </w:pPr>
    </w:p>
    <w:p w14:paraId="54AA66D9" w14:textId="77777777" w:rsidR="00D1587D" w:rsidRDefault="00410D07">
      <w:pPr>
        <w:ind w:left="300"/>
        <w:rPr>
          <w:sz w:val="20"/>
          <w:szCs w:val="20"/>
        </w:rPr>
      </w:pPr>
      <w:r>
        <w:rPr>
          <w:rFonts w:ascii="Arial" w:eastAsia="Arial" w:hAnsi="Arial" w:cs="Arial"/>
          <w:b/>
          <w:bCs/>
          <w:i/>
          <w:iCs/>
          <w:sz w:val="18"/>
          <w:szCs w:val="18"/>
        </w:rPr>
        <w:t>General, Administrative and Store Operating Expenses</w:t>
      </w:r>
    </w:p>
    <w:p w14:paraId="28387EE1" w14:textId="77777777" w:rsidR="00D1587D" w:rsidRDefault="00D1587D">
      <w:pPr>
        <w:spacing w:line="117" w:lineRule="exact"/>
        <w:rPr>
          <w:sz w:val="20"/>
          <w:szCs w:val="20"/>
        </w:rPr>
      </w:pPr>
    </w:p>
    <w:p w14:paraId="1A6854BC" w14:textId="77777777" w:rsidR="00D1587D" w:rsidRDefault="00410D07">
      <w:pPr>
        <w:spacing w:line="293" w:lineRule="auto"/>
        <w:ind w:left="300" w:right="379" w:firstLine="360"/>
        <w:rPr>
          <w:sz w:val="20"/>
          <w:szCs w:val="20"/>
        </w:rPr>
      </w:pPr>
      <w:r>
        <w:rPr>
          <w:rFonts w:ascii="Arial" w:eastAsia="Arial" w:hAnsi="Arial" w:cs="Arial"/>
          <w:sz w:val="16"/>
          <w:szCs w:val="16"/>
        </w:rPr>
        <w:t>For the first quarter of 2021, our general, administrative and store operating expenses increased $52 million, or 13%, compared</w:t>
      </w:r>
      <w:r>
        <w:rPr>
          <w:rFonts w:ascii="Arial" w:eastAsia="Arial" w:hAnsi="Arial" w:cs="Arial"/>
          <w:sz w:val="16"/>
          <w:szCs w:val="16"/>
        </w:rPr>
        <w:t xml:space="preserve"> to the first quarter of 2020, driven primarily by an increase of $43 million in marketing investments compared to the prior year period primarily due to the COVID-19-related store closures in the first quarter of 2020, an increase of $12 million in incent</w:t>
      </w:r>
      <w:r>
        <w:rPr>
          <w:rFonts w:ascii="Arial" w:eastAsia="Arial" w:hAnsi="Arial" w:cs="Arial"/>
          <w:sz w:val="16"/>
          <w:szCs w:val="16"/>
        </w:rPr>
        <w:t xml:space="preserve">ive compensation compared to the first quarter of 2020 given company performance and a $10 million charitable contribution in the first quarter of 2021 to support philanthropic funds. These increases were partially offset by cost reductions and the impact </w:t>
      </w:r>
      <w:r>
        <w:rPr>
          <w:rFonts w:ascii="Arial" w:eastAsia="Arial" w:hAnsi="Arial" w:cs="Arial"/>
          <w:sz w:val="16"/>
          <w:szCs w:val="16"/>
        </w:rPr>
        <w:t>of the permanent store closures.</w:t>
      </w:r>
    </w:p>
    <w:p w14:paraId="2F875F5A" w14:textId="77777777" w:rsidR="00D1587D" w:rsidRDefault="00D1587D">
      <w:pPr>
        <w:spacing w:line="56" w:lineRule="exact"/>
        <w:rPr>
          <w:sz w:val="20"/>
          <w:szCs w:val="20"/>
        </w:rPr>
      </w:pPr>
    </w:p>
    <w:p w14:paraId="7761DC3B" w14:textId="77777777" w:rsidR="00D1587D" w:rsidRDefault="00410D07">
      <w:pPr>
        <w:spacing w:line="279" w:lineRule="auto"/>
        <w:ind w:left="300" w:right="559" w:firstLine="360"/>
        <w:jc w:val="both"/>
        <w:rPr>
          <w:sz w:val="20"/>
          <w:szCs w:val="20"/>
        </w:rPr>
      </w:pPr>
      <w:r>
        <w:rPr>
          <w:rFonts w:ascii="Arial" w:eastAsia="Arial" w:hAnsi="Arial" w:cs="Arial"/>
          <w:sz w:val="17"/>
          <w:szCs w:val="17"/>
        </w:rPr>
        <w:t xml:space="preserve">For purposes of preparing the combined financial statements on a “carve-out” basis, the Company has been allocated a portion of LB’s total corporate expenses. These allocations are included in general, </w:t>
      </w:r>
      <w:r>
        <w:rPr>
          <w:rFonts w:ascii="Arial" w:eastAsia="Arial" w:hAnsi="Arial" w:cs="Arial"/>
          <w:sz w:val="17"/>
          <w:szCs w:val="17"/>
        </w:rPr>
        <w:t>administrative and store operating expenses. Corporate allocated expenses decreased $1 million to $19 million in the first quarter of 2021 from $20 million in the first quarter of 2020.</w:t>
      </w:r>
    </w:p>
    <w:p w14:paraId="004AA9CA" w14:textId="77777777" w:rsidR="00D1587D" w:rsidRDefault="00D1587D">
      <w:pPr>
        <w:spacing w:line="63" w:lineRule="exact"/>
        <w:rPr>
          <w:sz w:val="20"/>
          <w:szCs w:val="20"/>
        </w:rPr>
      </w:pPr>
    </w:p>
    <w:p w14:paraId="4B6062A7" w14:textId="77777777" w:rsidR="00D1587D" w:rsidRDefault="00410D07">
      <w:pPr>
        <w:spacing w:line="342" w:lineRule="auto"/>
        <w:ind w:left="300" w:right="379" w:firstLine="360"/>
        <w:rPr>
          <w:sz w:val="20"/>
          <w:szCs w:val="20"/>
        </w:rPr>
      </w:pPr>
      <w:r>
        <w:rPr>
          <w:rFonts w:ascii="Arial" w:eastAsia="Arial" w:hAnsi="Arial" w:cs="Arial"/>
          <w:sz w:val="16"/>
          <w:szCs w:val="16"/>
        </w:rPr>
        <w:t>The general, administrative and store operating expense rate (express</w:t>
      </w:r>
      <w:r>
        <w:rPr>
          <w:rFonts w:ascii="Arial" w:eastAsia="Arial" w:hAnsi="Arial" w:cs="Arial"/>
          <w:sz w:val="16"/>
          <w:szCs w:val="16"/>
        </w:rPr>
        <w:t>ed as a percentage of net sales) in the first quarter of 2021 decreased to 28.7% from 44.1% in the first quarter of 2020 due to leverage on higher net sales.</w:t>
      </w:r>
    </w:p>
    <w:p w14:paraId="4BB58A51" w14:textId="77777777" w:rsidR="00D1587D" w:rsidRDefault="00D1587D">
      <w:pPr>
        <w:spacing w:line="272" w:lineRule="exact"/>
        <w:rPr>
          <w:sz w:val="20"/>
          <w:szCs w:val="20"/>
        </w:rPr>
      </w:pPr>
    </w:p>
    <w:p w14:paraId="0E883200" w14:textId="77777777" w:rsidR="00D1587D" w:rsidRDefault="00410D07">
      <w:pPr>
        <w:ind w:left="300"/>
        <w:rPr>
          <w:sz w:val="20"/>
          <w:szCs w:val="20"/>
        </w:rPr>
      </w:pPr>
      <w:r>
        <w:rPr>
          <w:rFonts w:ascii="Arial" w:eastAsia="Arial" w:hAnsi="Arial" w:cs="Arial"/>
          <w:b/>
          <w:bCs/>
          <w:i/>
          <w:iCs/>
          <w:sz w:val="18"/>
          <w:szCs w:val="18"/>
        </w:rPr>
        <w:t>Provision (benefit) for Income Taxes</w:t>
      </w:r>
    </w:p>
    <w:p w14:paraId="19F2E50C" w14:textId="77777777" w:rsidR="00D1587D" w:rsidRDefault="00D1587D">
      <w:pPr>
        <w:spacing w:line="117" w:lineRule="exact"/>
        <w:rPr>
          <w:sz w:val="20"/>
          <w:szCs w:val="20"/>
        </w:rPr>
      </w:pPr>
    </w:p>
    <w:p w14:paraId="1649B5EF" w14:textId="77777777" w:rsidR="00D1587D" w:rsidRDefault="00410D07">
      <w:pPr>
        <w:spacing w:line="254" w:lineRule="auto"/>
        <w:ind w:left="300" w:right="399" w:firstLine="360"/>
        <w:rPr>
          <w:sz w:val="20"/>
          <w:szCs w:val="20"/>
        </w:rPr>
      </w:pPr>
      <w:r>
        <w:rPr>
          <w:rFonts w:ascii="Arial" w:eastAsia="Arial" w:hAnsi="Arial" w:cs="Arial"/>
          <w:sz w:val="18"/>
          <w:szCs w:val="18"/>
        </w:rPr>
        <w:t>For the first quarter of 2021, our effective tax rate was 2</w:t>
      </w:r>
      <w:r>
        <w:rPr>
          <w:rFonts w:ascii="Arial" w:eastAsia="Arial" w:hAnsi="Arial" w:cs="Arial"/>
          <w:sz w:val="18"/>
          <w:szCs w:val="18"/>
        </w:rPr>
        <w:t>2.5% compared to 20.8% in the first quarter of 2020. The first quarter of 2021 rate varied from our combined estimated federal and state statutory rate primarily due to the recognition of excess tax benefits recorded through the income statement on share-b</w:t>
      </w:r>
      <w:r>
        <w:rPr>
          <w:rFonts w:ascii="Arial" w:eastAsia="Arial" w:hAnsi="Arial" w:cs="Arial"/>
          <w:sz w:val="18"/>
          <w:szCs w:val="18"/>
        </w:rPr>
        <w:t>ased awards that vested in the quarter. In the first quarter of 2020, we recognized a benefit for income taxes of $78 million on a loss before income taxes of $377 million. The first quarter of 2020 rate was lower than the Company's combined estimated fede</w:t>
      </w:r>
      <w:r>
        <w:rPr>
          <w:rFonts w:ascii="Arial" w:eastAsia="Arial" w:hAnsi="Arial" w:cs="Arial"/>
          <w:sz w:val="18"/>
          <w:szCs w:val="18"/>
        </w:rPr>
        <w:t>ral and state statutory rate primarily due to losses related to certain foreign subsidiaries, which generated no tax benefit.</w:t>
      </w:r>
    </w:p>
    <w:p w14:paraId="24D54A9F" w14:textId="77777777" w:rsidR="00D1587D" w:rsidRDefault="00D1587D">
      <w:pPr>
        <w:spacing w:line="195" w:lineRule="exact"/>
        <w:rPr>
          <w:sz w:val="20"/>
          <w:szCs w:val="20"/>
        </w:rPr>
      </w:pPr>
    </w:p>
    <w:p w14:paraId="259C8377" w14:textId="77777777" w:rsidR="00D1587D" w:rsidRDefault="00410D07">
      <w:pPr>
        <w:ind w:right="19"/>
        <w:jc w:val="center"/>
        <w:rPr>
          <w:sz w:val="20"/>
          <w:szCs w:val="20"/>
        </w:rPr>
      </w:pPr>
      <w:r>
        <w:rPr>
          <w:rFonts w:ascii="Arial" w:eastAsia="Arial" w:hAnsi="Arial" w:cs="Arial"/>
          <w:sz w:val="18"/>
          <w:szCs w:val="18"/>
        </w:rPr>
        <w:t>77</w:t>
      </w:r>
    </w:p>
    <w:p w14:paraId="006C2D92" w14:textId="77777777" w:rsidR="00D1587D" w:rsidRDefault="00410D07">
      <w:pPr>
        <w:spacing w:line="20" w:lineRule="exact"/>
        <w:rPr>
          <w:sz w:val="20"/>
          <w:szCs w:val="20"/>
        </w:rPr>
      </w:pPr>
      <w:r>
        <w:rPr>
          <w:noProof/>
          <w:sz w:val="20"/>
          <w:szCs w:val="20"/>
        </w:rPr>
        <w:drawing>
          <wp:anchor distT="0" distB="0" distL="114300" distR="114300" simplePos="0" relativeHeight="251719680" behindDoc="1" locked="0" layoutInCell="0" allowOverlap="1" wp14:anchorId="3F1168D0" wp14:editId="19EECF34">
            <wp:simplePos x="0" y="0"/>
            <wp:positionH relativeFrom="column">
              <wp:posOffset>-636905</wp:posOffset>
            </wp:positionH>
            <wp:positionV relativeFrom="paragraph">
              <wp:posOffset>134620</wp:posOffset>
            </wp:positionV>
            <wp:extent cx="6995160" cy="17145"/>
            <wp:effectExtent l="0" t="0" r="0"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11CFC80" w14:textId="77777777" w:rsidR="00D1587D" w:rsidRDefault="00D1587D">
      <w:pPr>
        <w:sectPr w:rsidR="00D1587D">
          <w:pgSz w:w="11900" w:h="16838"/>
          <w:pgMar w:top="265" w:right="1440" w:bottom="1440" w:left="1440" w:header="0" w:footer="0" w:gutter="0"/>
          <w:cols w:space="720" w:equalWidth="0">
            <w:col w:w="9019"/>
          </w:cols>
        </w:sectPr>
      </w:pPr>
    </w:p>
    <w:bookmarkStart w:id="335" w:name="page336"/>
    <w:bookmarkEnd w:id="335"/>
    <w:p w14:paraId="600F98C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164431C" w14:textId="77777777" w:rsidR="00D1587D" w:rsidRDefault="00D1587D">
      <w:pPr>
        <w:spacing w:line="131" w:lineRule="exact"/>
        <w:rPr>
          <w:sz w:val="20"/>
          <w:szCs w:val="20"/>
        </w:rPr>
      </w:pPr>
    </w:p>
    <w:p w14:paraId="0E6F73F3" w14:textId="77777777" w:rsidR="00D1587D" w:rsidRDefault="00410D07">
      <w:pPr>
        <w:ind w:left="300"/>
        <w:rPr>
          <w:sz w:val="20"/>
          <w:szCs w:val="20"/>
        </w:rPr>
      </w:pPr>
      <w:r>
        <w:rPr>
          <w:rFonts w:ascii="Arial" w:eastAsia="Arial" w:hAnsi="Arial" w:cs="Arial"/>
          <w:b/>
          <w:bCs/>
          <w:i/>
          <w:iCs/>
          <w:sz w:val="18"/>
          <w:szCs w:val="18"/>
        </w:rPr>
        <w:t>Comparison of Years Ended 2020, 2019 and 2018</w:t>
      </w:r>
    </w:p>
    <w:p w14:paraId="64BFDE88" w14:textId="77777777" w:rsidR="00D1587D" w:rsidRDefault="00D1587D">
      <w:pPr>
        <w:spacing w:line="144" w:lineRule="exact"/>
        <w:rPr>
          <w:sz w:val="20"/>
          <w:szCs w:val="20"/>
        </w:rPr>
      </w:pPr>
    </w:p>
    <w:p w14:paraId="2FC8FC85" w14:textId="77777777" w:rsidR="00D1587D" w:rsidRDefault="00410D07">
      <w:pPr>
        <w:ind w:left="660"/>
        <w:rPr>
          <w:sz w:val="20"/>
          <w:szCs w:val="20"/>
        </w:rPr>
      </w:pPr>
      <w:r>
        <w:rPr>
          <w:rFonts w:ascii="Arial" w:eastAsia="Arial" w:hAnsi="Arial" w:cs="Arial"/>
          <w:sz w:val="18"/>
          <w:szCs w:val="18"/>
        </w:rPr>
        <w:t xml:space="preserve">The </w:t>
      </w:r>
      <w:r>
        <w:rPr>
          <w:rFonts w:ascii="Arial" w:eastAsia="Arial" w:hAnsi="Arial" w:cs="Arial"/>
          <w:sz w:val="18"/>
          <w:szCs w:val="18"/>
        </w:rPr>
        <w:t>following table summarizes our results of operations for the periods presented:</w:t>
      </w:r>
    </w:p>
    <w:p w14:paraId="4C8C507C" w14:textId="77777777" w:rsidR="00D1587D" w:rsidRDefault="00D1587D">
      <w:pPr>
        <w:spacing w:line="176"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340"/>
        <w:gridCol w:w="120"/>
        <w:gridCol w:w="100"/>
        <w:gridCol w:w="520"/>
        <w:gridCol w:w="100"/>
        <w:gridCol w:w="140"/>
        <w:gridCol w:w="140"/>
        <w:gridCol w:w="500"/>
        <w:gridCol w:w="240"/>
        <w:gridCol w:w="120"/>
        <w:gridCol w:w="500"/>
        <w:gridCol w:w="120"/>
        <w:gridCol w:w="120"/>
        <w:gridCol w:w="580"/>
        <w:gridCol w:w="240"/>
        <w:gridCol w:w="540"/>
      </w:tblGrid>
      <w:tr w:rsidR="00D1587D" w14:paraId="5330048C" w14:textId="77777777">
        <w:trPr>
          <w:trHeight w:val="186"/>
        </w:trPr>
        <w:tc>
          <w:tcPr>
            <w:tcW w:w="4340" w:type="dxa"/>
            <w:vAlign w:val="bottom"/>
          </w:tcPr>
          <w:p w14:paraId="3DF87A8A" w14:textId="77777777" w:rsidR="00D1587D" w:rsidRDefault="00D1587D">
            <w:pPr>
              <w:rPr>
                <w:sz w:val="16"/>
                <w:szCs w:val="16"/>
              </w:rPr>
            </w:pPr>
          </w:p>
        </w:tc>
        <w:tc>
          <w:tcPr>
            <w:tcW w:w="120" w:type="dxa"/>
            <w:vAlign w:val="bottom"/>
          </w:tcPr>
          <w:p w14:paraId="0081E3A4" w14:textId="77777777" w:rsidR="00D1587D" w:rsidRDefault="00D1587D">
            <w:pPr>
              <w:rPr>
                <w:sz w:val="16"/>
                <w:szCs w:val="16"/>
              </w:rPr>
            </w:pPr>
          </w:p>
        </w:tc>
        <w:tc>
          <w:tcPr>
            <w:tcW w:w="100" w:type="dxa"/>
            <w:vAlign w:val="bottom"/>
          </w:tcPr>
          <w:p w14:paraId="1206C673" w14:textId="77777777" w:rsidR="00D1587D" w:rsidRDefault="00D1587D">
            <w:pPr>
              <w:rPr>
                <w:sz w:val="16"/>
                <w:szCs w:val="16"/>
              </w:rPr>
            </w:pPr>
          </w:p>
        </w:tc>
        <w:tc>
          <w:tcPr>
            <w:tcW w:w="520" w:type="dxa"/>
            <w:vAlign w:val="bottom"/>
          </w:tcPr>
          <w:p w14:paraId="28F7E247" w14:textId="77777777" w:rsidR="00D1587D" w:rsidRDefault="00D1587D">
            <w:pPr>
              <w:rPr>
                <w:sz w:val="16"/>
                <w:szCs w:val="16"/>
              </w:rPr>
            </w:pPr>
          </w:p>
        </w:tc>
        <w:tc>
          <w:tcPr>
            <w:tcW w:w="100" w:type="dxa"/>
            <w:vAlign w:val="bottom"/>
          </w:tcPr>
          <w:p w14:paraId="48B07B1F" w14:textId="77777777" w:rsidR="00D1587D" w:rsidRDefault="00D1587D">
            <w:pPr>
              <w:rPr>
                <w:sz w:val="16"/>
                <w:szCs w:val="16"/>
              </w:rPr>
            </w:pPr>
          </w:p>
        </w:tc>
        <w:tc>
          <w:tcPr>
            <w:tcW w:w="140" w:type="dxa"/>
            <w:vAlign w:val="bottom"/>
          </w:tcPr>
          <w:p w14:paraId="357034BC" w14:textId="77777777" w:rsidR="00D1587D" w:rsidRDefault="00D1587D">
            <w:pPr>
              <w:rPr>
                <w:sz w:val="16"/>
                <w:szCs w:val="16"/>
              </w:rPr>
            </w:pPr>
          </w:p>
        </w:tc>
        <w:tc>
          <w:tcPr>
            <w:tcW w:w="140" w:type="dxa"/>
            <w:vAlign w:val="bottom"/>
          </w:tcPr>
          <w:p w14:paraId="2CA3D1A3" w14:textId="77777777" w:rsidR="00D1587D" w:rsidRDefault="00D1587D">
            <w:pPr>
              <w:rPr>
                <w:sz w:val="16"/>
                <w:szCs w:val="16"/>
              </w:rPr>
            </w:pPr>
          </w:p>
        </w:tc>
        <w:tc>
          <w:tcPr>
            <w:tcW w:w="500" w:type="dxa"/>
            <w:vAlign w:val="bottom"/>
          </w:tcPr>
          <w:p w14:paraId="23AE1CAE" w14:textId="77777777" w:rsidR="00D1587D" w:rsidRDefault="00D1587D">
            <w:pPr>
              <w:rPr>
                <w:sz w:val="16"/>
                <w:szCs w:val="16"/>
              </w:rPr>
            </w:pPr>
          </w:p>
        </w:tc>
        <w:tc>
          <w:tcPr>
            <w:tcW w:w="240" w:type="dxa"/>
            <w:vAlign w:val="bottom"/>
          </w:tcPr>
          <w:p w14:paraId="698EF71B" w14:textId="77777777" w:rsidR="00D1587D" w:rsidRDefault="00D1587D">
            <w:pPr>
              <w:rPr>
                <w:sz w:val="16"/>
                <w:szCs w:val="16"/>
              </w:rPr>
            </w:pPr>
          </w:p>
        </w:tc>
        <w:tc>
          <w:tcPr>
            <w:tcW w:w="120" w:type="dxa"/>
            <w:vAlign w:val="bottom"/>
          </w:tcPr>
          <w:p w14:paraId="2CAAB3FB" w14:textId="77777777" w:rsidR="00D1587D" w:rsidRDefault="00D1587D">
            <w:pPr>
              <w:rPr>
                <w:sz w:val="16"/>
                <w:szCs w:val="16"/>
              </w:rPr>
            </w:pPr>
          </w:p>
        </w:tc>
        <w:tc>
          <w:tcPr>
            <w:tcW w:w="500" w:type="dxa"/>
            <w:vAlign w:val="bottom"/>
          </w:tcPr>
          <w:p w14:paraId="2BC7709D" w14:textId="77777777" w:rsidR="00D1587D" w:rsidRDefault="00D1587D">
            <w:pPr>
              <w:rPr>
                <w:sz w:val="16"/>
                <w:szCs w:val="16"/>
              </w:rPr>
            </w:pPr>
          </w:p>
        </w:tc>
        <w:tc>
          <w:tcPr>
            <w:tcW w:w="120" w:type="dxa"/>
            <w:vAlign w:val="bottom"/>
          </w:tcPr>
          <w:p w14:paraId="1D37F501" w14:textId="77777777" w:rsidR="00D1587D" w:rsidRDefault="00D1587D">
            <w:pPr>
              <w:rPr>
                <w:sz w:val="16"/>
                <w:szCs w:val="16"/>
              </w:rPr>
            </w:pPr>
          </w:p>
        </w:tc>
        <w:tc>
          <w:tcPr>
            <w:tcW w:w="120" w:type="dxa"/>
            <w:vAlign w:val="bottom"/>
          </w:tcPr>
          <w:p w14:paraId="06BEE329" w14:textId="77777777" w:rsidR="00D1587D" w:rsidRDefault="00D1587D">
            <w:pPr>
              <w:rPr>
                <w:sz w:val="16"/>
                <w:szCs w:val="16"/>
              </w:rPr>
            </w:pPr>
          </w:p>
        </w:tc>
        <w:tc>
          <w:tcPr>
            <w:tcW w:w="1360" w:type="dxa"/>
            <w:gridSpan w:val="3"/>
            <w:vAlign w:val="bottom"/>
          </w:tcPr>
          <w:p w14:paraId="641D4D6C" w14:textId="77777777" w:rsidR="00D1587D" w:rsidRDefault="00410D07">
            <w:pPr>
              <w:ind w:right="272"/>
              <w:jc w:val="right"/>
              <w:rPr>
                <w:sz w:val="20"/>
                <w:szCs w:val="20"/>
              </w:rPr>
            </w:pPr>
            <w:r>
              <w:rPr>
                <w:rFonts w:ascii="Arial" w:eastAsia="Arial" w:hAnsi="Arial" w:cs="Arial"/>
                <w:b/>
                <w:bCs/>
                <w:sz w:val="14"/>
                <w:szCs w:val="14"/>
              </w:rPr>
              <w:t>% Change</w:t>
            </w:r>
          </w:p>
        </w:tc>
      </w:tr>
      <w:tr w:rsidR="00D1587D" w14:paraId="770D2F0A" w14:textId="77777777">
        <w:trPr>
          <w:trHeight w:val="53"/>
        </w:trPr>
        <w:tc>
          <w:tcPr>
            <w:tcW w:w="4340" w:type="dxa"/>
            <w:vAlign w:val="bottom"/>
          </w:tcPr>
          <w:p w14:paraId="742B404E" w14:textId="77777777" w:rsidR="00D1587D" w:rsidRDefault="00D1587D">
            <w:pPr>
              <w:rPr>
                <w:sz w:val="4"/>
                <w:szCs w:val="4"/>
              </w:rPr>
            </w:pPr>
          </w:p>
        </w:tc>
        <w:tc>
          <w:tcPr>
            <w:tcW w:w="120" w:type="dxa"/>
            <w:vAlign w:val="bottom"/>
          </w:tcPr>
          <w:p w14:paraId="3A4EDB2F" w14:textId="77777777" w:rsidR="00D1587D" w:rsidRDefault="00D1587D">
            <w:pPr>
              <w:rPr>
                <w:sz w:val="4"/>
                <w:szCs w:val="4"/>
              </w:rPr>
            </w:pPr>
          </w:p>
        </w:tc>
        <w:tc>
          <w:tcPr>
            <w:tcW w:w="100" w:type="dxa"/>
            <w:vAlign w:val="bottom"/>
          </w:tcPr>
          <w:p w14:paraId="7E3B74CF" w14:textId="77777777" w:rsidR="00D1587D" w:rsidRDefault="00D1587D">
            <w:pPr>
              <w:rPr>
                <w:sz w:val="4"/>
                <w:szCs w:val="4"/>
              </w:rPr>
            </w:pPr>
          </w:p>
        </w:tc>
        <w:tc>
          <w:tcPr>
            <w:tcW w:w="520" w:type="dxa"/>
            <w:vAlign w:val="bottom"/>
          </w:tcPr>
          <w:p w14:paraId="49FD2821" w14:textId="77777777" w:rsidR="00D1587D" w:rsidRDefault="00D1587D">
            <w:pPr>
              <w:rPr>
                <w:sz w:val="4"/>
                <w:szCs w:val="4"/>
              </w:rPr>
            </w:pPr>
          </w:p>
        </w:tc>
        <w:tc>
          <w:tcPr>
            <w:tcW w:w="100" w:type="dxa"/>
            <w:vAlign w:val="bottom"/>
          </w:tcPr>
          <w:p w14:paraId="0FF94871" w14:textId="77777777" w:rsidR="00D1587D" w:rsidRDefault="00D1587D">
            <w:pPr>
              <w:rPr>
                <w:sz w:val="4"/>
                <w:szCs w:val="4"/>
              </w:rPr>
            </w:pPr>
          </w:p>
        </w:tc>
        <w:tc>
          <w:tcPr>
            <w:tcW w:w="140" w:type="dxa"/>
            <w:vAlign w:val="bottom"/>
          </w:tcPr>
          <w:p w14:paraId="695CD158" w14:textId="77777777" w:rsidR="00D1587D" w:rsidRDefault="00D1587D">
            <w:pPr>
              <w:rPr>
                <w:sz w:val="4"/>
                <w:szCs w:val="4"/>
              </w:rPr>
            </w:pPr>
          </w:p>
        </w:tc>
        <w:tc>
          <w:tcPr>
            <w:tcW w:w="140" w:type="dxa"/>
            <w:vAlign w:val="bottom"/>
          </w:tcPr>
          <w:p w14:paraId="28D802F3" w14:textId="77777777" w:rsidR="00D1587D" w:rsidRDefault="00D1587D">
            <w:pPr>
              <w:rPr>
                <w:sz w:val="4"/>
                <w:szCs w:val="4"/>
              </w:rPr>
            </w:pPr>
          </w:p>
        </w:tc>
        <w:tc>
          <w:tcPr>
            <w:tcW w:w="500" w:type="dxa"/>
            <w:vAlign w:val="bottom"/>
          </w:tcPr>
          <w:p w14:paraId="01F5DFED" w14:textId="77777777" w:rsidR="00D1587D" w:rsidRDefault="00D1587D">
            <w:pPr>
              <w:rPr>
                <w:sz w:val="4"/>
                <w:szCs w:val="4"/>
              </w:rPr>
            </w:pPr>
          </w:p>
        </w:tc>
        <w:tc>
          <w:tcPr>
            <w:tcW w:w="240" w:type="dxa"/>
            <w:vAlign w:val="bottom"/>
          </w:tcPr>
          <w:p w14:paraId="509C2AB0" w14:textId="77777777" w:rsidR="00D1587D" w:rsidRDefault="00D1587D">
            <w:pPr>
              <w:rPr>
                <w:sz w:val="4"/>
                <w:szCs w:val="4"/>
              </w:rPr>
            </w:pPr>
          </w:p>
        </w:tc>
        <w:tc>
          <w:tcPr>
            <w:tcW w:w="120" w:type="dxa"/>
            <w:vAlign w:val="bottom"/>
          </w:tcPr>
          <w:p w14:paraId="121E867F" w14:textId="77777777" w:rsidR="00D1587D" w:rsidRDefault="00D1587D">
            <w:pPr>
              <w:rPr>
                <w:sz w:val="4"/>
                <w:szCs w:val="4"/>
              </w:rPr>
            </w:pPr>
          </w:p>
        </w:tc>
        <w:tc>
          <w:tcPr>
            <w:tcW w:w="500" w:type="dxa"/>
            <w:vAlign w:val="bottom"/>
          </w:tcPr>
          <w:p w14:paraId="381A777A" w14:textId="77777777" w:rsidR="00D1587D" w:rsidRDefault="00D1587D">
            <w:pPr>
              <w:rPr>
                <w:sz w:val="4"/>
                <w:szCs w:val="4"/>
              </w:rPr>
            </w:pPr>
          </w:p>
        </w:tc>
        <w:tc>
          <w:tcPr>
            <w:tcW w:w="120" w:type="dxa"/>
            <w:vAlign w:val="bottom"/>
          </w:tcPr>
          <w:p w14:paraId="6A6645C8" w14:textId="77777777" w:rsidR="00D1587D" w:rsidRDefault="00D1587D">
            <w:pPr>
              <w:rPr>
                <w:sz w:val="4"/>
                <w:szCs w:val="4"/>
              </w:rPr>
            </w:pPr>
          </w:p>
        </w:tc>
        <w:tc>
          <w:tcPr>
            <w:tcW w:w="120" w:type="dxa"/>
            <w:vAlign w:val="bottom"/>
          </w:tcPr>
          <w:p w14:paraId="708FE7EA" w14:textId="77777777" w:rsidR="00D1587D" w:rsidRDefault="00D1587D">
            <w:pPr>
              <w:rPr>
                <w:sz w:val="4"/>
                <w:szCs w:val="4"/>
              </w:rPr>
            </w:pPr>
          </w:p>
        </w:tc>
        <w:tc>
          <w:tcPr>
            <w:tcW w:w="580" w:type="dxa"/>
            <w:tcBorders>
              <w:bottom w:val="single" w:sz="8" w:space="0" w:color="auto"/>
            </w:tcBorders>
            <w:vAlign w:val="bottom"/>
          </w:tcPr>
          <w:p w14:paraId="5BC0E92D" w14:textId="77777777" w:rsidR="00D1587D" w:rsidRDefault="00D1587D">
            <w:pPr>
              <w:rPr>
                <w:sz w:val="4"/>
                <w:szCs w:val="4"/>
              </w:rPr>
            </w:pPr>
          </w:p>
        </w:tc>
        <w:tc>
          <w:tcPr>
            <w:tcW w:w="240" w:type="dxa"/>
            <w:tcBorders>
              <w:bottom w:val="single" w:sz="8" w:space="0" w:color="auto"/>
            </w:tcBorders>
            <w:vAlign w:val="bottom"/>
          </w:tcPr>
          <w:p w14:paraId="12BE5637" w14:textId="77777777" w:rsidR="00D1587D" w:rsidRDefault="00D1587D">
            <w:pPr>
              <w:rPr>
                <w:sz w:val="4"/>
                <w:szCs w:val="4"/>
              </w:rPr>
            </w:pPr>
          </w:p>
        </w:tc>
        <w:tc>
          <w:tcPr>
            <w:tcW w:w="540" w:type="dxa"/>
            <w:tcBorders>
              <w:bottom w:val="single" w:sz="8" w:space="0" w:color="auto"/>
            </w:tcBorders>
            <w:vAlign w:val="bottom"/>
          </w:tcPr>
          <w:p w14:paraId="2AFE40EB" w14:textId="77777777" w:rsidR="00D1587D" w:rsidRDefault="00D1587D">
            <w:pPr>
              <w:rPr>
                <w:sz w:val="4"/>
                <w:szCs w:val="4"/>
              </w:rPr>
            </w:pPr>
          </w:p>
        </w:tc>
      </w:tr>
      <w:tr w:rsidR="00D1587D" w14:paraId="4325C0A4" w14:textId="77777777">
        <w:trPr>
          <w:trHeight w:val="224"/>
        </w:trPr>
        <w:tc>
          <w:tcPr>
            <w:tcW w:w="4340" w:type="dxa"/>
            <w:vAlign w:val="bottom"/>
          </w:tcPr>
          <w:p w14:paraId="4FD29143" w14:textId="77777777" w:rsidR="00D1587D" w:rsidRDefault="00D1587D">
            <w:pPr>
              <w:rPr>
                <w:sz w:val="19"/>
                <w:szCs w:val="19"/>
              </w:rPr>
            </w:pPr>
          </w:p>
        </w:tc>
        <w:tc>
          <w:tcPr>
            <w:tcW w:w="120" w:type="dxa"/>
            <w:vAlign w:val="bottom"/>
          </w:tcPr>
          <w:p w14:paraId="5C1B9047" w14:textId="77777777" w:rsidR="00D1587D" w:rsidRDefault="00D1587D">
            <w:pPr>
              <w:rPr>
                <w:sz w:val="19"/>
                <w:szCs w:val="19"/>
              </w:rPr>
            </w:pPr>
          </w:p>
        </w:tc>
        <w:tc>
          <w:tcPr>
            <w:tcW w:w="100" w:type="dxa"/>
            <w:vAlign w:val="bottom"/>
          </w:tcPr>
          <w:p w14:paraId="287AE4F0" w14:textId="77777777" w:rsidR="00D1587D" w:rsidRDefault="00D1587D">
            <w:pPr>
              <w:rPr>
                <w:sz w:val="19"/>
                <w:szCs w:val="19"/>
              </w:rPr>
            </w:pPr>
          </w:p>
        </w:tc>
        <w:tc>
          <w:tcPr>
            <w:tcW w:w="520" w:type="dxa"/>
            <w:vAlign w:val="bottom"/>
          </w:tcPr>
          <w:p w14:paraId="0DAD894E" w14:textId="77777777" w:rsidR="00D1587D" w:rsidRDefault="00410D07">
            <w:pPr>
              <w:ind w:right="72"/>
              <w:jc w:val="right"/>
              <w:rPr>
                <w:sz w:val="20"/>
                <w:szCs w:val="20"/>
              </w:rPr>
            </w:pPr>
            <w:r>
              <w:rPr>
                <w:rFonts w:ascii="Arial" w:eastAsia="Arial" w:hAnsi="Arial" w:cs="Arial"/>
                <w:b/>
                <w:bCs/>
                <w:sz w:val="14"/>
                <w:szCs w:val="14"/>
              </w:rPr>
              <w:t>2020</w:t>
            </w:r>
          </w:p>
        </w:tc>
        <w:tc>
          <w:tcPr>
            <w:tcW w:w="100" w:type="dxa"/>
            <w:vAlign w:val="bottom"/>
          </w:tcPr>
          <w:p w14:paraId="55793F10" w14:textId="77777777" w:rsidR="00D1587D" w:rsidRDefault="00D1587D">
            <w:pPr>
              <w:rPr>
                <w:sz w:val="19"/>
                <w:szCs w:val="19"/>
              </w:rPr>
            </w:pPr>
          </w:p>
        </w:tc>
        <w:tc>
          <w:tcPr>
            <w:tcW w:w="140" w:type="dxa"/>
            <w:vAlign w:val="bottom"/>
          </w:tcPr>
          <w:p w14:paraId="27753ED4" w14:textId="77777777" w:rsidR="00D1587D" w:rsidRDefault="00D1587D">
            <w:pPr>
              <w:rPr>
                <w:sz w:val="19"/>
                <w:szCs w:val="19"/>
              </w:rPr>
            </w:pPr>
          </w:p>
        </w:tc>
        <w:tc>
          <w:tcPr>
            <w:tcW w:w="140" w:type="dxa"/>
            <w:vAlign w:val="bottom"/>
          </w:tcPr>
          <w:p w14:paraId="57F801B6" w14:textId="77777777" w:rsidR="00D1587D" w:rsidRDefault="00D1587D">
            <w:pPr>
              <w:rPr>
                <w:sz w:val="19"/>
                <w:szCs w:val="19"/>
              </w:rPr>
            </w:pPr>
          </w:p>
        </w:tc>
        <w:tc>
          <w:tcPr>
            <w:tcW w:w="500" w:type="dxa"/>
            <w:vAlign w:val="bottom"/>
          </w:tcPr>
          <w:p w14:paraId="606693E2" w14:textId="77777777" w:rsidR="00D1587D" w:rsidRDefault="00410D07">
            <w:pPr>
              <w:ind w:right="92"/>
              <w:jc w:val="right"/>
              <w:rPr>
                <w:sz w:val="20"/>
                <w:szCs w:val="20"/>
              </w:rPr>
            </w:pPr>
            <w:r>
              <w:rPr>
                <w:rFonts w:ascii="Arial" w:eastAsia="Arial" w:hAnsi="Arial" w:cs="Arial"/>
                <w:b/>
                <w:bCs/>
                <w:w w:val="96"/>
                <w:sz w:val="14"/>
                <w:szCs w:val="14"/>
              </w:rPr>
              <w:t>2019</w:t>
            </w:r>
          </w:p>
        </w:tc>
        <w:tc>
          <w:tcPr>
            <w:tcW w:w="240" w:type="dxa"/>
            <w:vAlign w:val="bottom"/>
          </w:tcPr>
          <w:p w14:paraId="5A442D1A" w14:textId="77777777" w:rsidR="00D1587D" w:rsidRDefault="00D1587D">
            <w:pPr>
              <w:rPr>
                <w:sz w:val="19"/>
                <w:szCs w:val="19"/>
              </w:rPr>
            </w:pPr>
          </w:p>
        </w:tc>
        <w:tc>
          <w:tcPr>
            <w:tcW w:w="120" w:type="dxa"/>
            <w:vAlign w:val="bottom"/>
          </w:tcPr>
          <w:p w14:paraId="04831CC9" w14:textId="77777777" w:rsidR="00D1587D" w:rsidRDefault="00D1587D">
            <w:pPr>
              <w:rPr>
                <w:sz w:val="19"/>
                <w:szCs w:val="19"/>
              </w:rPr>
            </w:pPr>
          </w:p>
        </w:tc>
        <w:tc>
          <w:tcPr>
            <w:tcW w:w="500" w:type="dxa"/>
            <w:vAlign w:val="bottom"/>
          </w:tcPr>
          <w:p w14:paraId="34F3F26F" w14:textId="77777777" w:rsidR="00D1587D" w:rsidRDefault="00410D07">
            <w:pPr>
              <w:ind w:right="72"/>
              <w:jc w:val="right"/>
              <w:rPr>
                <w:sz w:val="20"/>
                <w:szCs w:val="20"/>
              </w:rPr>
            </w:pPr>
            <w:r>
              <w:rPr>
                <w:rFonts w:ascii="Arial" w:eastAsia="Arial" w:hAnsi="Arial" w:cs="Arial"/>
                <w:b/>
                <w:bCs/>
                <w:sz w:val="14"/>
                <w:szCs w:val="14"/>
              </w:rPr>
              <w:t>2018</w:t>
            </w:r>
          </w:p>
        </w:tc>
        <w:tc>
          <w:tcPr>
            <w:tcW w:w="120" w:type="dxa"/>
            <w:vAlign w:val="bottom"/>
          </w:tcPr>
          <w:p w14:paraId="0DA854A2" w14:textId="77777777" w:rsidR="00D1587D" w:rsidRDefault="00D1587D">
            <w:pPr>
              <w:rPr>
                <w:sz w:val="19"/>
                <w:szCs w:val="19"/>
              </w:rPr>
            </w:pPr>
          </w:p>
        </w:tc>
        <w:tc>
          <w:tcPr>
            <w:tcW w:w="700" w:type="dxa"/>
            <w:gridSpan w:val="2"/>
            <w:vAlign w:val="bottom"/>
          </w:tcPr>
          <w:p w14:paraId="0DC38932" w14:textId="77777777" w:rsidR="00D1587D" w:rsidRDefault="00410D07">
            <w:pPr>
              <w:ind w:right="68"/>
              <w:jc w:val="right"/>
              <w:rPr>
                <w:sz w:val="20"/>
                <w:szCs w:val="20"/>
              </w:rPr>
            </w:pPr>
            <w:r>
              <w:rPr>
                <w:rFonts w:ascii="Arial" w:eastAsia="Arial" w:hAnsi="Arial" w:cs="Arial"/>
                <w:b/>
                <w:bCs/>
                <w:sz w:val="14"/>
                <w:szCs w:val="14"/>
              </w:rPr>
              <w:t>2020</w:t>
            </w:r>
          </w:p>
        </w:tc>
        <w:tc>
          <w:tcPr>
            <w:tcW w:w="240" w:type="dxa"/>
            <w:vAlign w:val="bottom"/>
          </w:tcPr>
          <w:p w14:paraId="2172FB70" w14:textId="77777777" w:rsidR="00D1587D" w:rsidRDefault="00D1587D">
            <w:pPr>
              <w:rPr>
                <w:sz w:val="19"/>
                <w:szCs w:val="19"/>
              </w:rPr>
            </w:pPr>
          </w:p>
        </w:tc>
        <w:tc>
          <w:tcPr>
            <w:tcW w:w="540" w:type="dxa"/>
            <w:vAlign w:val="bottom"/>
          </w:tcPr>
          <w:p w14:paraId="5324BAF9" w14:textId="77777777" w:rsidR="00D1587D" w:rsidRDefault="00410D07">
            <w:pPr>
              <w:ind w:right="52"/>
              <w:jc w:val="right"/>
              <w:rPr>
                <w:sz w:val="20"/>
                <w:szCs w:val="20"/>
              </w:rPr>
            </w:pPr>
            <w:r>
              <w:rPr>
                <w:rFonts w:ascii="Arial" w:eastAsia="Arial" w:hAnsi="Arial" w:cs="Arial"/>
                <w:b/>
                <w:bCs/>
                <w:sz w:val="14"/>
                <w:szCs w:val="14"/>
              </w:rPr>
              <w:t>2019</w:t>
            </w:r>
          </w:p>
        </w:tc>
      </w:tr>
      <w:tr w:rsidR="00D1587D" w14:paraId="62DC7FDF" w14:textId="77777777">
        <w:trPr>
          <w:trHeight w:val="53"/>
        </w:trPr>
        <w:tc>
          <w:tcPr>
            <w:tcW w:w="4340" w:type="dxa"/>
            <w:vAlign w:val="bottom"/>
          </w:tcPr>
          <w:p w14:paraId="1A5C39C8" w14:textId="77777777" w:rsidR="00D1587D" w:rsidRDefault="00D1587D">
            <w:pPr>
              <w:rPr>
                <w:sz w:val="4"/>
                <w:szCs w:val="4"/>
              </w:rPr>
            </w:pPr>
          </w:p>
        </w:tc>
        <w:tc>
          <w:tcPr>
            <w:tcW w:w="120" w:type="dxa"/>
            <w:vAlign w:val="bottom"/>
          </w:tcPr>
          <w:p w14:paraId="5F217E34" w14:textId="77777777" w:rsidR="00D1587D" w:rsidRDefault="00D1587D">
            <w:pPr>
              <w:rPr>
                <w:sz w:val="4"/>
                <w:szCs w:val="4"/>
              </w:rPr>
            </w:pPr>
          </w:p>
        </w:tc>
        <w:tc>
          <w:tcPr>
            <w:tcW w:w="100" w:type="dxa"/>
            <w:tcBorders>
              <w:bottom w:val="single" w:sz="8" w:space="0" w:color="auto"/>
            </w:tcBorders>
            <w:vAlign w:val="bottom"/>
          </w:tcPr>
          <w:p w14:paraId="22F374D9" w14:textId="77777777" w:rsidR="00D1587D" w:rsidRDefault="00D1587D">
            <w:pPr>
              <w:rPr>
                <w:sz w:val="4"/>
                <w:szCs w:val="4"/>
              </w:rPr>
            </w:pPr>
          </w:p>
        </w:tc>
        <w:tc>
          <w:tcPr>
            <w:tcW w:w="520" w:type="dxa"/>
            <w:tcBorders>
              <w:bottom w:val="single" w:sz="8" w:space="0" w:color="auto"/>
            </w:tcBorders>
            <w:vAlign w:val="bottom"/>
          </w:tcPr>
          <w:p w14:paraId="70D66825" w14:textId="77777777" w:rsidR="00D1587D" w:rsidRDefault="00D1587D">
            <w:pPr>
              <w:rPr>
                <w:sz w:val="4"/>
                <w:szCs w:val="4"/>
              </w:rPr>
            </w:pPr>
          </w:p>
        </w:tc>
        <w:tc>
          <w:tcPr>
            <w:tcW w:w="100" w:type="dxa"/>
            <w:tcBorders>
              <w:bottom w:val="single" w:sz="8" w:space="0" w:color="auto"/>
            </w:tcBorders>
            <w:vAlign w:val="bottom"/>
          </w:tcPr>
          <w:p w14:paraId="6C663FEF" w14:textId="77777777" w:rsidR="00D1587D" w:rsidRDefault="00D1587D">
            <w:pPr>
              <w:rPr>
                <w:sz w:val="4"/>
                <w:szCs w:val="4"/>
              </w:rPr>
            </w:pPr>
          </w:p>
        </w:tc>
        <w:tc>
          <w:tcPr>
            <w:tcW w:w="1020" w:type="dxa"/>
            <w:gridSpan w:val="4"/>
            <w:tcBorders>
              <w:bottom w:val="single" w:sz="8" w:space="0" w:color="auto"/>
            </w:tcBorders>
            <w:vAlign w:val="bottom"/>
          </w:tcPr>
          <w:p w14:paraId="29AFB4A1" w14:textId="77777777" w:rsidR="00D1587D" w:rsidRDefault="00D1587D">
            <w:pPr>
              <w:rPr>
                <w:sz w:val="4"/>
                <w:szCs w:val="4"/>
              </w:rPr>
            </w:pPr>
          </w:p>
        </w:tc>
        <w:tc>
          <w:tcPr>
            <w:tcW w:w="120" w:type="dxa"/>
            <w:tcBorders>
              <w:bottom w:val="single" w:sz="8" w:space="0" w:color="auto"/>
            </w:tcBorders>
            <w:vAlign w:val="bottom"/>
          </w:tcPr>
          <w:p w14:paraId="54B14141" w14:textId="77777777" w:rsidR="00D1587D" w:rsidRDefault="00D1587D">
            <w:pPr>
              <w:rPr>
                <w:sz w:val="4"/>
                <w:szCs w:val="4"/>
              </w:rPr>
            </w:pPr>
          </w:p>
        </w:tc>
        <w:tc>
          <w:tcPr>
            <w:tcW w:w="500" w:type="dxa"/>
            <w:tcBorders>
              <w:bottom w:val="single" w:sz="8" w:space="0" w:color="auto"/>
            </w:tcBorders>
            <w:vAlign w:val="bottom"/>
          </w:tcPr>
          <w:p w14:paraId="2F21405E" w14:textId="77777777" w:rsidR="00D1587D" w:rsidRDefault="00D1587D">
            <w:pPr>
              <w:rPr>
                <w:sz w:val="4"/>
                <w:szCs w:val="4"/>
              </w:rPr>
            </w:pPr>
          </w:p>
        </w:tc>
        <w:tc>
          <w:tcPr>
            <w:tcW w:w="120" w:type="dxa"/>
            <w:vAlign w:val="bottom"/>
          </w:tcPr>
          <w:p w14:paraId="29AF2340" w14:textId="77777777" w:rsidR="00D1587D" w:rsidRDefault="00D1587D">
            <w:pPr>
              <w:rPr>
                <w:sz w:val="4"/>
                <w:szCs w:val="4"/>
              </w:rPr>
            </w:pPr>
          </w:p>
        </w:tc>
        <w:tc>
          <w:tcPr>
            <w:tcW w:w="120" w:type="dxa"/>
            <w:vAlign w:val="bottom"/>
          </w:tcPr>
          <w:p w14:paraId="3EE82491" w14:textId="77777777" w:rsidR="00D1587D" w:rsidRDefault="00D1587D">
            <w:pPr>
              <w:rPr>
                <w:sz w:val="4"/>
                <w:szCs w:val="4"/>
              </w:rPr>
            </w:pPr>
          </w:p>
        </w:tc>
        <w:tc>
          <w:tcPr>
            <w:tcW w:w="580" w:type="dxa"/>
            <w:tcBorders>
              <w:bottom w:val="single" w:sz="8" w:space="0" w:color="auto"/>
            </w:tcBorders>
            <w:vAlign w:val="bottom"/>
          </w:tcPr>
          <w:p w14:paraId="6ACFB21A" w14:textId="77777777" w:rsidR="00D1587D" w:rsidRDefault="00D1587D">
            <w:pPr>
              <w:rPr>
                <w:sz w:val="4"/>
                <w:szCs w:val="4"/>
              </w:rPr>
            </w:pPr>
          </w:p>
        </w:tc>
        <w:tc>
          <w:tcPr>
            <w:tcW w:w="240" w:type="dxa"/>
            <w:vAlign w:val="bottom"/>
          </w:tcPr>
          <w:p w14:paraId="3CF09112" w14:textId="77777777" w:rsidR="00D1587D" w:rsidRDefault="00D1587D">
            <w:pPr>
              <w:rPr>
                <w:sz w:val="4"/>
                <w:szCs w:val="4"/>
              </w:rPr>
            </w:pPr>
          </w:p>
        </w:tc>
        <w:tc>
          <w:tcPr>
            <w:tcW w:w="540" w:type="dxa"/>
            <w:tcBorders>
              <w:bottom w:val="single" w:sz="8" w:space="0" w:color="auto"/>
            </w:tcBorders>
            <w:vAlign w:val="bottom"/>
          </w:tcPr>
          <w:p w14:paraId="73FA42AB" w14:textId="77777777" w:rsidR="00D1587D" w:rsidRDefault="00D1587D">
            <w:pPr>
              <w:rPr>
                <w:sz w:val="4"/>
                <w:szCs w:val="4"/>
              </w:rPr>
            </w:pPr>
          </w:p>
        </w:tc>
      </w:tr>
      <w:tr w:rsidR="00D1587D" w14:paraId="5911AF0C" w14:textId="77777777">
        <w:trPr>
          <w:trHeight w:val="224"/>
        </w:trPr>
        <w:tc>
          <w:tcPr>
            <w:tcW w:w="4340" w:type="dxa"/>
            <w:vAlign w:val="bottom"/>
          </w:tcPr>
          <w:p w14:paraId="402281A0" w14:textId="77777777" w:rsidR="00D1587D" w:rsidRDefault="00D1587D">
            <w:pPr>
              <w:rPr>
                <w:sz w:val="19"/>
                <w:szCs w:val="19"/>
              </w:rPr>
            </w:pPr>
          </w:p>
        </w:tc>
        <w:tc>
          <w:tcPr>
            <w:tcW w:w="120" w:type="dxa"/>
            <w:vAlign w:val="bottom"/>
          </w:tcPr>
          <w:p w14:paraId="06D3BB62" w14:textId="77777777" w:rsidR="00D1587D" w:rsidRDefault="00D1587D">
            <w:pPr>
              <w:rPr>
                <w:sz w:val="19"/>
                <w:szCs w:val="19"/>
              </w:rPr>
            </w:pPr>
          </w:p>
        </w:tc>
        <w:tc>
          <w:tcPr>
            <w:tcW w:w="100" w:type="dxa"/>
            <w:vAlign w:val="bottom"/>
          </w:tcPr>
          <w:p w14:paraId="03C8536E" w14:textId="77777777" w:rsidR="00D1587D" w:rsidRDefault="00D1587D">
            <w:pPr>
              <w:rPr>
                <w:sz w:val="19"/>
                <w:szCs w:val="19"/>
              </w:rPr>
            </w:pPr>
          </w:p>
        </w:tc>
        <w:tc>
          <w:tcPr>
            <w:tcW w:w="520" w:type="dxa"/>
            <w:vAlign w:val="bottom"/>
          </w:tcPr>
          <w:p w14:paraId="3735589C" w14:textId="77777777" w:rsidR="00D1587D" w:rsidRDefault="00D1587D">
            <w:pPr>
              <w:rPr>
                <w:sz w:val="19"/>
                <w:szCs w:val="19"/>
              </w:rPr>
            </w:pPr>
          </w:p>
        </w:tc>
        <w:tc>
          <w:tcPr>
            <w:tcW w:w="100" w:type="dxa"/>
            <w:vAlign w:val="bottom"/>
          </w:tcPr>
          <w:p w14:paraId="1495349D" w14:textId="77777777" w:rsidR="00D1587D" w:rsidRDefault="00D1587D">
            <w:pPr>
              <w:rPr>
                <w:sz w:val="19"/>
                <w:szCs w:val="19"/>
              </w:rPr>
            </w:pPr>
          </w:p>
        </w:tc>
        <w:tc>
          <w:tcPr>
            <w:tcW w:w="1020" w:type="dxa"/>
            <w:gridSpan w:val="4"/>
            <w:vAlign w:val="bottom"/>
          </w:tcPr>
          <w:p w14:paraId="3B1019A4" w14:textId="77777777" w:rsidR="00D1587D" w:rsidRDefault="00410D07">
            <w:pPr>
              <w:ind w:left="100"/>
              <w:rPr>
                <w:sz w:val="20"/>
                <w:szCs w:val="20"/>
              </w:rPr>
            </w:pPr>
            <w:r>
              <w:rPr>
                <w:rFonts w:ascii="Arial" w:eastAsia="Arial" w:hAnsi="Arial" w:cs="Arial"/>
                <w:b/>
                <w:bCs/>
                <w:sz w:val="14"/>
                <w:szCs w:val="14"/>
              </w:rPr>
              <w:t>(in millions)</w:t>
            </w:r>
          </w:p>
        </w:tc>
        <w:tc>
          <w:tcPr>
            <w:tcW w:w="120" w:type="dxa"/>
            <w:vAlign w:val="bottom"/>
          </w:tcPr>
          <w:p w14:paraId="73B481AA" w14:textId="77777777" w:rsidR="00D1587D" w:rsidRDefault="00D1587D">
            <w:pPr>
              <w:rPr>
                <w:sz w:val="19"/>
                <w:szCs w:val="19"/>
              </w:rPr>
            </w:pPr>
          </w:p>
        </w:tc>
        <w:tc>
          <w:tcPr>
            <w:tcW w:w="500" w:type="dxa"/>
            <w:vAlign w:val="bottom"/>
          </w:tcPr>
          <w:p w14:paraId="6EDF55D5" w14:textId="77777777" w:rsidR="00D1587D" w:rsidRDefault="00D1587D">
            <w:pPr>
              <w:rPr>
                <w:sz w:val="19"/>
                <w:szCs w:val="19"/>
              </w:rPr>
            </w:pPr>
          </w:p>
        </w:tc>
        <w:tc>
          <w:tcPr>
            <w:tcW w:w="120" w:type="dxa"/>
            <w:vAlign w:val="bottom"/>
          </w:tcPr>
          <w:p w14:paraId="08ECCEFC" w14:textId="77777777" w:rsidR="00D1587D" w:rsidRDefault="00D1587D">
            <w:pPr>
              <w:rPr>
                <w:sz w:val="19"/>
                <w:szCs w:val="19"/>
              </w:rPr>
            </w:pPr>
          </w:p>
        </w:tc>
        <w:tc>
          <w:tcPr>
            <w:tcW w:w="120" w:type="dxa"/>
            <w:vAlign w:val="bottom"/>
          </w:tcPr>
          <w:p w14:paraId="7FCD3DBC" w14:textId="77777777" w:rsidR="00D1587D" w:rsidRDefault="00D1587D">
            <w:pPr>
              <w:rPr>
                <w:sz w:val="19"/>
                <w:szCs w:val="19"/>
              </w:rPr>
            </w:pPr>
          </w:p>
        </w:tc>
        <w:tc>
          <w:tcPr>
            <w:tcW w:w="580" w:type="dxa"/>
            <w:vAlign w:val="bottom"/>
          </w:tcPr>
          <w:p w14:paraId="7FC64B3B" w14:textId="77777777" w:rsidR="00D1587D" w:rsidRDefault="00D1587D">
            <w:pPr>
              <w:rPr>
                <w:sz w:val="19"/>
                <w:szCs w:val="19"/>
              </w:rPr>
            </w:pPr>
          </w:p>
        </w:tc>
        <w:tc>
          <w:tcPr>
            <w:tcW w:w="240" w:type="dxa"/>
            <w:vAlign w:val="bottom"/>
          </w:tcPr>
          <w:p w14:paraId="75411309" w14:textId="77777777" w:rsidR="00D1587D" w:rsidRDefault="00D1587D">
            <w:pPr>
              <w:rPr>
                <w:sz w:val="19"/>
                <w:szCs w:val="19"/>
              </w:rPr>
            </w:pPr>
          </w:p>
        </w:tc>
        <w:tc>
          <w:tcPr>
            <w:tcW w:w="540" w:type="dxa"/>
            <w:vAlign w:val="bottom"/>
          </w:tcPr>
          <w:p w14:paraId="5C84432B" w14:textId="77777777" w:rsidR="00D1587D" w:rsidRDefault="00D1587D">
            <w:pPr>
              <w:rPr>
                <w:sz w:val="19"/>
                <w:szCs w:val="19"/>
              </w:rPr>
            </w:pPr>
          </w:p>
        </w:tc>
      </w:tr>
      <w:tr w:rsidR="00D1587D" w14:paraId="66DAE1DF" w14:textId="77777777">
        <w:trPr>
          <w:trHeight w:val="53"/>
        </w:trPr>
        <w:tc>
          <w:tcPr>
            <w:tcW w:w="4340" w:type="dxa"/>
            <w:vAlign w:val="bottom"/>
          </w:tcPr>
          <w:p w14:paraId="167544D1" w14:textId="77777777" w:rsidR="00D1587D" w:rsidRDefault="00D1587D">
            <w:pPr>
              <w:rPr>
                <w:sz w:val="4"/>
                <w:szCs w:val="4"/>
              </w:rPr>
            </w:pPr>
          </w:p>
        </w:tc>
        <w:tc>
          <w:tcPr>
            <w:tcW w:w="120" w:type="dxa"/>
            <w:vAlign w:val="bottom"/>
          </w:tcPr>
          <w:p w14:paraId="2BDDB728" w14:textId="77777777" w:rsidR="00D1587D" w:rsidRDefault="00D1587D">
            <w:pPr>
              <w:rPr>
                <w:sz w:val="4"/>
                <w:szCs w:val="4"/>
              </w:rPr>
            </w:pPr>
          </w:p>
        </w:tc>
        <w:tc>
          <w:tcPr>
            <w:tcW w:w="100" w:type="dxa"/>
            <w:vAlign w:val="bottom"/>
          </w:tcPr>
          <w:p w14:paraId="73C839F7" w14:textId="77777777" w:rsidR="00D1587D" w:rsidRDefault="00D1587D">
            <w:pPr>
              <w:rPr>
                <w:sz w:val="4"/>
                <w:szCs w:val="4"/>
              </w:rPr>
            </w:pPr>
          </w:p>
        </w:tc>
        <w:tc>
          <w:tcPr>
            <w:tcW w:w="520" w:type="dxa"/>
            <w:vAlign w:val="bottom"/>
          </w:tcPr>
          <w:p w14:paraId="6364C106" w14:textId="77777777" w:rsidR="00D1587D" w:rsidRDefault="00D1587D">
            <w:pPr>
              <w:rPr>
                <w:sz w:val="4"/>
                <w:szCs w:val="4"/>
              </w:rPr>
            </w:pPr>
          </w:p>
        </w:tc>
        <w:tc>
          <w:tcPr>
            <w:tcW w:w="100" w:type="dxa"/>
            <w:vAlign w:val="bottom"/>
          </w:tcPr>
          <w:p w14:paraId="2B4DEC9B" w14:textId="77777777" w:rsidR="00D1587D" w:rsidRDefault="00D1587D">
            <w:pPr>
              <w:rPr>
                <w:sz w:val="4"/>
                <w:szCs w:val="4"/>
              </w:rPr>
            </w:pPr>
          </w:p>
        </w:tc>
        <w:tc>
          <w:tcPr>
            <w:tcW w:w="140" w:type="dxa"/>
            <w:vAlign w:val="bottom"/>
          </w:tcPr>
          <w:p w14:paraId="677ABF96" w14:textId="77777777" w:rsidR="00D1587D" w:rsidRDefault="00D1587D">
            <w:pPr>
              <w:rPr>
                <w:sz w:val="4"/>
                <w:szCs w:val="4"/>
              </w:rPr>
            </w:pPr>
          </w:p>
        </w:tc>
        <w:tc>
          <w:tcPr>
            <w:tcW w:w="140" w:type="dxa"/>
            <w:vAlign w:val="bottom"/>
          </w:tcPr>
          <w:p w14:paraId="6B14D00E" w14:textId="77777777" w:rsidR="00D1587D" w:rsidRDefault="00D1587D">
            <w:pPr>
              <w:rPr>
                <w:sz w:val="4"/>
                <w:szCs w:val="4"/>
              </w:rPr>
            </w:pPr>
          </w:p>
        </w:tc>
        <w:tc>
          <w:tcPr>
            <w:tcW w:w="500" w:type="dxa"/>
            <w:vAlign w:val="bottom"/>
          </w:tcPr>
          <w:p w14:paraId="187E9EE0" w14:textId="77777777" w:rsidR="00D1587D" w:rsidRDefault="00D1587D">
            <w:pPr>
              <w:rPr>
                <w:sz w:val="4"/>
                <w:szCs w:val="4"/>
              </w:rPr>
            </w:pPr>
          </w:p>
        </w:tc>
        <w:tc>
          <w:tcPr>
            <w:tcW w:w="240" w:type="dxa"/>
            <w:vAlign w:val="bottom"/>
          </w:tcPr>
          <w:p w14:paraId="4CA1BF88" w14:textId="77777777" w:rsidR="00D1587D" w:rsidRDefault="00D1587D">
            <w:pPr>
              <w:rPr>
                <w:sz w:val="4"/>
                <w:szCs w:val="4"/>
              </w:rPr>
            </w:pPr>
          </w:p>
        </w:tc>
        <w:tc>
          <w:tcPr>
            <w:tcW w:w="120" w:type="dxa"/>
            <w:vAlign w:val="bottom"/>
          </w:tcPr>
          <w:p w14:paraId="743D9B2C" w14:textId="77777777" w:rsidR="00D1587D" w:rsidRDefault="00D1587D">
            <w:pPr>
              <w:rPr>
                <w:sz w:val="4"/>
                <w:szCs w:val="4"/>
              </w:rPr>
            </w:pPr>
          </w:p>
        </w:tc>
        <w:tc>
          <w:tcPr>
            <w:tcW w:w="500" w:type="dxa"/>
            <w:vAlign w:val="bottom"/>
          </w:tcPr>
          <w:p w14:paraId="7A76CDDC" w14:textId="77777777" w:rsidR="00D1587D" w:rsidRDefault="00D1587D">
            <w:pPr>
              <w:rPr>
                <w:sz w:val="4"/>
                <w:szCs w:val="4"/>
              </w:rPr>
            </w:pPr>
          </w:p>
        </w:tc>
        <w:tc>
          <w:tcPr>
            <w:tcW w:w="120" w:type="dxa"/>
            <w:vAlign w:val="bottom"/>
          </w:tcPr>
          <w:p w14:paraId="3AC459E6" w14:textId="77777777" w:rsidR="00D1587D" w:rsidRDefault="00D1587D">
            <w:pPr>
              <w:rPr>
                <w:sz w:val="4"/>
                <w:szCs w:val="4"/>
              </w:rPr>
            </w:pPr>
          </w:p>
        </w:tc>
        <w:tc>
          <w:tcPr>
            <w:tcW w:w="120" w:type="dxa"/>
            <w:vAlign w:val="bottom"/>
          </w:tcPr>
          <w:p w14:paraId="19B99277" w14:textId="77777777" w:rsidR="00D1587D" w:rsidRDefault="00D1587D">
            <w:pPr>
              <w:rPr>
                <w:sz w:val="4"/>
                <w:szCs w:val="4"/>
              </w:rPr>
            </w:pPr>
          </w:p>
        </w:tc>
        <w:tc>
          <w:tcPr>
            <w:tcW w:w="580" w:type="dxa"/>
            <w:vAlign w:val="bottom"/>
          </w:tcPr>
          <w:p w14:paraId="7F34A4C3" w14:textId="77777777" w:rsidR="00D1587D" w:rsidRDefault="00D1587D">
            <w:pPr>
              <w:rPr>
                <w:sz w:val="4"/>
                <w:szCs w:val="4"/>
              </w:rPr>
            </w:pPr>
          </w:p>
        </w:tc>
        <w:tc>
          <w:tcPr>
            <w:tcW w:w="240" w:type="dxa"/>
            <w:vAlign w:val="bottom"/>
          </w:tcPr>
          <w:p w14:paraId="21A1BC43" w14:textId="77777777" w:rsidR="00D1587D" w:rsidRDefault="00D1587D">
            <w:pPr>
              <w:rPr>
                <w:sz w:val="4"/>
                <w:szCs w:val="4"/>
              </w:rPr>
            </w:pPr>
          </w:p>
        </w:tc>
        <w:tc>
          <w:tcPr>
            <w:tcW w:w="540" w:type="dxa"/>
            <w:vAlign w:val="bottom"/>
          </w:tcPr>
          <w:p w14:paraId="54C00DB6" w14:textId="77777777" w:rsidR="00D1587D" w:rsidRDefault="00D1587D">
            <w:pPr>
              <w:rPr>
                <w:sz w:val="4"/>
                <w:szCs w:val="4"/>
              </w:rPr>
            </w:pPr>
          </w:p>
        </w:tc>
      </w:tr>
      <w:tr w:rsidR="00D1587D" w14:paraId="4EC8D0A5" w14:textId="77777777">
        <w:trPr>
          <w:trHeight w:val="304"/>
        </w:trPr>
        <w:tc>
          <w:tcPr>
            <w:tcW w:w="4340" w:type="dxa"/>
            <w:tcBorders>
              <w:bottom w:val="single" w:sz="8" w:space="0" w:color="CCEEFF"/>
            </w:tcBorders>
            <w:shd w:val="clear" w:color="auto" w:fill="CCEEFF"/>
            <w:vAlign w:val="bottom"/>
          </w:tcPr>
          <w:p w14:paraId="76181148" w14:textId="77777777" w:rsidR="00D1587D" w:rsidRDefault="00410D07">
            <w:pPr>
              <w:rPr>
                <w:sz w:val="20"/>
                <w:szCs w:val="20"/>
              </w:rPr>
            </w:pPr>
            <w:r>
              <w:rPr>
                <w:rFonts w:ascii="Arial" w:eastAsia="Arial" w:hAnsi="Arial" w:cs="Arial"/>
                <w:sz w:val="18"/>
                <w:szCs w:val="18"/>
              </w:rPr>
              <w:t>Net Sales</w:t>
            </w:r>
          </w:p>
        </w:tc>
        <w:tc>
          <w:tcPr>
            <w:tcW w:w="220" w:type="dxa"/>
            <w:gridSpan w:val="2"/>
            <w:tcBorders>
              <w:bottom w:val="single" w:sz="8" w:space="0" w:color="CCEEFF"/>
            </w:tcBorders>
            <w:shd w:val="clear" w:color="auto" w:fill="CCEEFF"/>
            <w:vAlign w:val="bottom"/>
          </w:tcPr>
          <w:p w14:paraId="145BFF3B" w14:textId="77777777" w:rsidR="00D1587D" w:rsidRDefault="00410D07">
            <w:pPr>
              <w:jc w:val="right"/>
              <w:rPr>
                <w:sz w:val="20"/>
                <w:szCs w:val="20"/>
              </w:rPr>
            </w:pPr>
            <w:r>
              <w:rPr>
                <w:rFonts w:ascii="Arial" w:eastAsia="Arial" w:hAnsi="Arial" w:cs="Arial"/>
                <w:sz w:val="18"/>
                <w:szCs w:val="18"/>
              </w:rPr>
              <w:t>$</w:t>
            </w:r>
          </w:p>
        </w:tc>
        <w:tc>
          <w:tcPr>
            <w:tcW w:w="520" w:type="dxa"/>
            <w:tcBorders>
              <w:bottom w:val="single" w:sz="8" w:space="0" w:color="CCEEFF"/>
            </w:tcBorders>
            <w:shd w:val="clear" w:color="auto" w:fill="CCEEFF"/>
            <w:vAlign w:val="bottom"/>
          </w:tcPr>
          <w:p w14:paraId="285B2884" w14:textId="77777777" w:rsidR="00D1587D" w:rsidRDefault="00410D07">
            <w:pPr>
              <w:jc w:val="right"/>
              <w:rPr>
                <w:sz w:val="20"/>
                <w:szCs w:val="20"/>
              </w:rPr>
            </w:pPr>
            <w:r>
              <w:rPr>
                <w:rFonts w:ascii="Arial" w:eastAsia="Arial" w:hAnsi="Arial" w:cs="Arial"/>
                <w:w w:val="93"/>
                <w:sz w:val="18"/>
                <w:szCs w:val="18"/>
              </w:rPr>
              <w:t>5,413</w:t>
            </w:r>
          </w:p>
        </w:tc>
        <w:tc>
          <w:tcPr>
            <w:tcW w:w="100" w:type="dxa"/>
            <w:tcBorders>
              <w:bottom w:val="single" w:sz="8" w:space="0" w:color="CCEEFF"/>
            </w:tcBorders>
            <w:shd w:val="clear" w:color="auto" w:fill="CCEEFF"/>
            <w:vAlign w:val="bottom"/>
          </w:tcPr>
          <w:p w14:paraId="4C2E1EA1" w14:textId="77777777" w:rsidR="00D1587D" w:rsidRDefault="00D1587D">
            <w:pPr>
              <w:rPr>
                <w:sz w:val="24"/>
                <w:szCs w:val="24"/>
              </w:rPr>
            </w:pPr>
          </w:p>
        </w:tc>
        <w:tc>
          <w:tcPr>
            <w:tcW w:w="280" w:type="dxa"/>
            <w:gridSpan w:val="2"/>
            <w:tcBorders>
              <w:bottom w:val="single" w:sz="8" w:space="0" w:color="CCEEFF"/>
            </w:tcBorders>
            <w:shd w:val="clear" w:color="auto" w:fill="CCEEFF"/>
            <w:vAlign w:val="bottom"/>
          </w:tcPr>
          <w:p w14:paraId="2059D5B1" w14:textId="77777777" w:rsidR="00D1587D" w:rsidRDefault="00410D07">
            <w:pPr>
              <w:ind w:right="40"/>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31679A8E" w14:textId="77777777" w:rsidR="00D1587D" w:rsidRDefault="00410D07">
            <w:pPr>
              <w:jc w:val="right"/>
              <w:rPr>
                <w:sz w:val="20"/>
                <w:szCs w:val="20"/>
              </w:rPr>
            </w:pPr>
            <w:r>
              <w:rPr>
                <w:rFonts w:ascii="Arial" w:eastAsia="Arial" w:hAnsi="Arial" w:cs="Arial"/>
                <w:w w:val="88"/>
                <w:sz w:val="18"/>
                <w:szCs w:val="18"/>
              </w:rPr>
              <w:t>7,509</w:t>
            </w:r>
          </w:p>
        </w:tc>
        <w:tc>
          <w:tcPr>
            <w:tcW w:w="240" w:type="dxa"/>
            <w:tcBorders>
              <w:bottom w:val="single" w:sz="8" w:space="0" w:color="CCEEFF"/>
            </w:tcBorders>
            <w:shd w:val="clear" w:color="auto" w:fill="CCEEFF"/>
            <w:vAlign w:val="bottom"/>
          </w:tcPr>
          <w:p w14:paraId="6EA0F65A" w14:textId="77777777" w:rsidR="00D1587D" w:rsidRDefault="00D1587D">
            <w:pPr>
              <w:rPr>
                <w:sz w:val="24"/>
                <w:szCs w:val="24"/>
              </w:rPr>
            </w:pPr>
          </w:p>
        </w:tc>
        <w:tc>
          <w:tcPr>
            <w:tcW w:w="120" w:type="dxa"/>
            <w:tcBorders>
              <w:bottom w:val="single" w:sz="8" w:space="0" w:color="CCEEFF"/>
            </w:tcBorders>
            <w:shd w:val="clear" w:color="auto" w:fill="CCEEFF"/>
            <w:vAlign w:val="bottom"/>
          </w:tcPr>
          <w:p w14:paraId="3017C073" w14:textId="77777777" w:rsidR="00D1587D" w:rsidRDefault="00410D07">
            <w:pPr>
              <w:jc w:val="right"/>
              <w:rPr>
                <w:sz w:val="20"/>
                <w:szCs w:val="20"/>
              </w:rPr>
            </w:pPr>
            <w:r>
              <w:rPr>
                <w:rFonts w:ascii="Arial" w:eastAsia="Arial" w:hAnsi="Arial" w:cs="Arial"/>
                <w:w w:val="79"/>
                <w:sz w:val="18"/>
                <w:szCs w:val="18"/>
              </w:rPr>
              <w:t>$</w:t>
            </w:r>
          </w:p>
        </w:tc>
        <w:tc>
          <w:tcPr>
            <w:tcW w:w="500" w:type="dxa"/>
            <w:tcBorders>
              <w:bottom w:val="single" w:sz="8" w:space="0" w:color="CCEEFF"/>
            </w:tcBorders>
            <w:shd w:val="clear" w:color="auto" w:fill="CCEEFF"/>
            <w:vAlign w:val="bottom"/>
          </w:tcPr>
          <w:p w14:paraId="1A3EC908" w14:textId="77777777" w:rsidR="00D1587D" w:rsidRDefault="00410D07">
            <w:pPr>
              <w:jc w:val="right"/>
              <w:rPr>
                <w:sz w:val="20"/>
                <w:szCs w:val="20"/>
              </w:rPr>
            </w:pPr>
            <w:r>
              <w:rPr>
                <w:rFonts w:ascii="Arial" w:eastAsia="Arial" w:hAnsi="Arial" w:cs="Arial"/>
                <w:w w:val="93"/>
                <w:sz w:val="18"/>
                <w:szCs w:val="18"/>
              </w:rPr>
              <w:t>8,103</w:t>
            </w:r>
          </w:p>
        </w:tc>
        <w:tc>
          <w:tcPr>
            <w:tcW w:w="120" w:type="dxa"/>
            <w:tcBorders>
              <w:bottom w:val="single" w:sz="8" w:space="0" w:color="CCEEFF"/>
            </w:tcBorders>
            <w:shd w:val="clear" w:color="auto" w:fill="CCEEFF"/>
            <w:vAlign w:val="bottom"/>
          </w:tcPr>
          <w:p w14:paraId="75B2F5CB" w14:textId="77777777" w:rsidR="00D1587D" w:rsidRDefault="00D1587D">
            <w:pPr>
              <w:rPr>
                <w:sz w:val="24"/>
                <w:szCs w:val="24"/>
              </w:rPr>
            </w:pPr>
          </w:p>
        </w:tc>
        <w:tc>
          <w:tcPr>
            <w:tcW w:w="940" w:type="dxa"/>
            <w:gridSpan w:val="3"/>
            <w:tcBorders>
              <w:bottom w:val="single" w:sz="8" w:space="0" w:color="CCEEFF"/>
            </w:tcBorders>
            <w:shd w:val="clear" w:color="auto" w:fill="CCEEFF"/>
            <w:vAlign w:val="bottom"/>
          </w:tcPr>
          <w:p w14:paraId="6D8C6E4B" w14:textId="77777777" w:rsidR="00D1587D" w:rsidRDefault="00410D07">
            <w:pPr>
              <w:ind w:right="240"/>
              <w:jc w:val="right"/>
              <w:rPr>
                <w:sz w:val="20"/>
                <w:szCs w:val="20"/>
              </w:rPr>
            </w:pPr>
            <w:r>
              <w:rPr>
                <w:rFonts w:ascii="Arial" w:eastAsia="Arial" w:hAnsi="Arial" w:cs="Arial"/>
                <w:sz w:val="18"/>
                <w:szCs w:val="18"/>
              </w:rPr>
              <w:t>(28)%</w:t>
            </w:r>
          </w:p>
        </w:tc>
        <w:tc>
          <w:tcPr>
            <w:tcW w:w="540" w:type="dxa"/>
            <w:tcBorders>
              <w:bottom w:val="single" w:sz="8" w:space="0" w:color="CCEEFF"/>
            </w:tcBorders>
            <w:shd w:val="clear" w:color="auto" w:fill="CCEEFF"/>
            <w:vAlign w:val="bottom"/>
          </w:tcPr>
          <w:p w14:paraId="3F7035B2" w14:textId="77777777" w:rsidR="00D1587D" w:rsidRDefault="00410D07">
            <w:pPr>
              <w:jc w:val="right"/>
              <w:rPr>
                <w:sz w:val="20"/>
                <w:szCs w:val="20"/>
              </w:rPr>
            </w:pPr>
            <w:r>
              <w:rPr>
                <w:rFonts w:ascii="Arial" w:eastAsia="Arial" w:hAnsi="Arial" w:cs="Arial"/>
                <w:sz w:val="18"/>
                <w:szCs w:val="18"/>
              </w:rPr>
              <w:t>(7)%</w:t>
            </w:r>
          </w:p>
        </w:tc>
      </w:tr>
      <w:tr w:rsidR="00D1587D" w14:paraId="1C6FDC72" w14:textId="77777777">
        <w:trPr>
          <w:trHeight w:val="257"/>
        </w:trPr>
        <w:tc>
          <w:tcPr>
            <w:tcW w:w="4340" w:type="dxa"/>
            <w:vAlign w:val="bottom"/>
          </w:tcPr>
          <w:p w14:paraId="08F921C3" w14:textId="77777777" w:rsidR="00D1587D" w:rsidRDefault="00410D07">
            <w:pPr>
              <w:rPr>
                <w:sz w:val="20"/>
                <w:szCs w:val="20"/>
              </w:rPr>
            </w:pPr>
            <w:r>
              <w:rPr>
                <w:rFonts w:ascii="Arial" w:eastAsia="Arial" w:hAnsi="Arial" w:cs="Arial"/>
                <w:sz w:val="18"/>
                <w:szCs w:val="18"/>
              </w:rPr>
              <w:t>Costs of Goods Sold, Buying and Occupancy</w:t>
            </w:r>
          </w:p>
        </w:tc>
        <w:tc>
          <w:tcPr>
            <w:tcW w:w="740" w:type="dxa"/>
            <w:gridSpan w:val="3"/>
            <w:vAlign w:val="bottom"/>
          </w:tcPr>
          <w:p w14:paraId="5890E4D2" w14:textId="77777777" w:rsidR="00D1587D" w:rsidRDefault="00410D07">
            <w:pPr>
              <w:jc w:val="right"/>
              <w:rPr>
                <w:sz w:val="20"/>
                <w:szCs w:val="20"/>
              </w:rPr>
            </w:pPr>
            <w:r>
              <w:rPr>
                <w:rFonts w:ascii="Arial" w:eastAsia="Arial" w:hAnsi="Arial" w:cs="Arial"/>
                <w:sz w:val="18"/>
                <w:szCs w:val="18"/>
              </w:rPr>
              <w:t>(3,842)</w:t>
            </w:r>
          </w:p>
        </w:tc>
        <w:tc>
          <w:tcPr>
            <w:tcW w:w="100" w:type="dxa"/>
            <w:vAlign w:val="bottom"/>
          </w:tcPr>
          <w:p w14:paraId="49A721DB" w14:textId="77777777" w:rsidR="00D1587D" w:rsidRDefault="00D1587D"/>
        </w:tc>
        <w:tc>
          <w:tcPr>
            <w:tcW w:w="780" w:type="dxa"/>
            <w:gridSpan w:val="3"/>
            <w:vAlign w:val="bottom"/>
          </w:tcPr>
          <w:p w14:paraId="2BCAB909" w14:textId="77777777" w:rsidR="00D1587D" w:rsidRDefault="00410D07">
            <w:pPr>
              <w:jc w:val="right"/>
              <w:rPr>
                <w:sz w:val="20"/>
                <w:szCs w:val="20"/>
              </w:rPr>
            </w:pPr>
            <w:r>
              <w:rPr>
                <w:rFonts w:ascii="Arial" w:eastAsia="Arial" w:hAnsi="Arial" w:cs="Arial"/>
                <w:sz w:val="18"/>
                <w:szCs w:val="18"/>
              </w:rPr>
              <w:t>(5,446)</w:t>
            </w:r>
          </w:p>
        </w:tc>
        <w:tc>
          <w:tcPr>
            <w:tcW w:w="240" w:type="dxa"/>
            <w:vAlign w:val="bottom"/>
          </w:tcPr>
          <w:p w14:paraId="1B294605" w14:textId="77777777" w:rsidR="00D1587D" w:rsidRDefault="00D1587D"/>
        </w:tc>
        <w:tc>
          <w:tcPr>
            <w:tcW w:w="620" w:type="dxa"/>
            <w:gridSpan w:val="2"/>
            <w:vAlign w:val="bottom"/>
          </w:tcPr>
          <w:p w14:paraId="196FE6B1" w14:textId="77777777" w:rsidR="00D1587D" w:rsidRDefault="00410D07">
            <w:pPr>
              <w:jc w:val="right"/>
              <w:rPr>
                <w:sz w:val="20"/>
                <w:szCs w:val="20"/>
              </w:rPr>
            </w:pPr>
            <w:r>
              <w:rPr>
                <w:rFonts w:ascii="Arial" w:eastAsia="Arial" w:hAnsi="Arial" w:cs="Arial"/>
                <w:sz w:val="18"/>
                <w:szCs w:val="18"/>
              </w:rPr>
              <w:t>(5,414)</w:t>
            </w:r>
          </w:p>
        </w:tc>
        <w:tc>
          <w:tcPr>
            <w:tcW w:w="120" w:type="dxa"/>
            <w:vAlign w:val="bottom"/>
          </w:tcPr>
          <w:p w14:paraId="74F1C29B" w14:textId="77777777" w:rsidR="00D1587D" w:rsidRDefault="00D1587D"/>
        </w:tc>
        <w:tc>
          <w:tcPr>
            <w:tcW w:w="940" w:type="dxa"/>
            <w:gridSpan w:val="3"/>
            <w:vAlign w:val="bottom"/>
          </w:tcPr>
          <w:p w14:paraId="79C397E3" w14:textId="77777777" w:rsidR="00D1587D" w:rsidRDefault="00410D07">
            <w:pPr>
              <w:ind w:right="240"/>
              <w:jc w:val="right"/>
              <w:rPr>
                <w:sz w:val="20"/>
                <w:szCs w:val="20"/>
              </w:rPr>
            </w:pPr>
            <w:r>
              <w:rPr>
                <w:rFonts w:ascii="Arial" w:eastAsia="Arial" w:hAnsi="Arial" w:cs="Arial"/>
                <w:sz w:val="18"/>
                <w:szCs w:val="18"/>
              </w:rPr>
              <w:t>(29)%</w:t>
            </w:r>
          </w:p>
        </w:tc>
        <w:tc>
          <w:tcPr>
            <w:tcW w:w="540" w:type="dxa"/>
            <w:vAlign w:val="bottom"/>
          </w:tcPr>
          <w:p w14:paraId="5FA6C8BD" w14:textId="77777777" w:rsidR="00D1587D" w:rsidRDefault="00410D07">
            <w:pPr>
              <w:jc w:val="right"/>
              <w:rPr>
                <w:sz w:val="20"/>
                <w:szCs w:val="20"/>
              </w:rPr>
            </w:pPr>
            <w:r>
              <w:rPr>
                <w:rFonts w:ascii="Arial" w:eastAsia="Arial" w:hAnsi="Arial" w:cs="Arial"/>
                <w:sz w:val="18"/>
                <w:szCs w:val="18"/>
              </w:rPr>
              <w:t>1%</w:t>
            </w:r>
          </w:p>
        </w:tc>
      </w:tr>
      <w:tr w:rsidR="00D1587D" w14:paraId="5525FFDF" w14:textId="77777777">
        <w:trPr>
          <w:trHeight w:val="68"/>
        </w:trPr>
        <w:tc>
          <w:tcPr>
            <w:tcW w:w="4340" w:type="dxa"/>
            <w:tcBorders>
              <w:bottom w:val="single" w:sz="8" w:space="0" w:color="CCEEFF"/>
            </w:tcBorders>
            <w:vAlign w:val="bottom"/>
          </w:tcPr>
          <w:p w14:paraId="0A68B678" w14:textId="77777777" w:rsidR="00D1587D" w:rsidRDefault="00D1587D">
            <w:pPr>
              <w:rPr>
                <w:sz w:val="5"/>
                <w:szCs w:val="5"/>
              </w:rPr>
            </w:pPr>
          </w:p>
        </w:tc>
        <w:tc>
          <w:tcPr>
            <w:tcW w:w="120" w:type="dxa"/>
            <w:tcBorders>
              <w:bottom w:val="single" w:sz="8" w:space="0" w:color="CCEEFF"/>
            </w:tcBorders>
            <w:vAlign w:val="bottom"/>
          </w:tcPr>
          <w:p w14:paraId="6E2CBDC8" w14:textId="77777777" w:rsidR="00D1587D" w:rsidRDefault="00D1587D">
            <w:pPr>
              <w:rPr>
                <w:sz w:val="5"/>
                <w:szCs w:val="5"/>
              </w:rPr>
            </w:pPr>
          </w:p>
        </w:tc>
        <w:tc>
          <w:tcPr>
            <w:tcW w:w="100" w:type="dxa"/>
            <w:tcBorders>
              <w:bottom w:val="single" w:sz="8" w:space="0" w:color="auto"/>
            </w:tcBorders>
            <w:vAlign w:val="bottom"/>
          </w:tcPr>
          <w:p w14:paraId="45799798" w14:textId="77777777" w:rsidR="00D1587D" w:rsidRDefault="00D1587D">
            <w:pPr>
              <w:rPr>
                <w:sz w:val="5"/>
                <w:szCs w:val="5"/>
              </w:rPr>
            </w:pPr>
          </w:p>
        </w:tc>
        <w:tc>
          <w:tcPr>
            <w:tcW w:w="520" w:type="dxa"/>
            <w:tcBorders>
              <w:bottom w:val="single" w:sz="8" w:space="0" w:color="auto"/>
            </w:tcBorders>
            <w:vAlign w:val="bottom"/>
          </w:tcPr>
          <w:p w14:paraId="64B97876" w14:textId="77777777" w:rsidR="00D1587D" w:rsidRDefault="00D1587D">
            <w:pPr>
              <w:rPr>
                <w:sz w:val="5"/>
                <w:szCs w:val="5"/>
              </w:rPr>
            </w:pPr>
          </w:p>
        </w:tc>
        <w:tc>
          <w:tcPr>
            <w:tcW w:w="100" w:type="dxa"/>
            <w:tcBorders>
              <w:bottom w:val="single" w:sz="8" w:space="0" w:color="CCEEFF"/>
            </w:tcBorders>
            <w:vAlign w:val="bottom"/>
          </w:tcPr>
          <w:p w14:paraId="3A4F2354" w14:textId="77777777" w:rsidR="00D1587D" w:rsidRDefault="00D1587D">
            <w:pPr>
              <w:rPr>
                <w:sz w:val="5"/>
                <w:szCs w:val="5"/>
              </w:rPr>
            </w:pPr>
          </w:p>
        </w:tc>
        <w:tc>
          <w:tcPr>
            <w:tcW w:w="140" w:type="dxa"/>
            <w:tcBorders>
              <w:bottom w:val="single" w:sz="8" w:space="0" w:color="CCEEFF"/>
            </w:tcBorders>
            <w:vAlign w:val="bottom"/>
          </w:tcPr>
          <w:p w14:paraId="090B2CE7" w14:textId="77777777" w:rsidR="00D1587D" w:rsidRDefault="00D1587D">
            <w:pPr>
              <w:rPr>
                <w:sz w:val="5"/>
                <w:szCs w:val="5"/>
              </w:rPr>
            </w:pPr>
          </w:p>
        </w:tc>
        <w:tc>
          <w:tcPr>
            <w:tcW w:w="140" w:type="dxa"/>
            <w:tcBorders>
              <w:bottom w:val="single" w:sz="8" w:space="0" w:color="auto"/>
            </w:tcBorders>
            <w:vAlign w:val="bottom"/>
          </w:tcPr>
          <w:p w14:paraId="0CC6562A" w14:textId="77777777" w:rsidR="00D1587D" w:rsidRDefault="00D1587D">
            <w:pPr>
              <w:rPr>
                <w:sz w:val="5"/>
                <w:szCs w:val="5"/>
              </w:rPr>
            </w:pPr>
          </w:p>
        </w:tc>
        <w:tc>
          <w:tcPr>
            <w:tcW w:w="500" w:type="dxa"/>
            <w:tcBorders>
              <w:bottom w:val="single" w:sz="8" w:space="0" w:color="auto"/>
            </w:tcBorders>
            <w:vAlign w:val="bottom"/>
          </w:tcPr>
          <w:p w14:paraId="2FE43E3C" w14:textId="77777777" w:rsidR="00D1587D" w:rsidRDefault="00D1587D">
            <w:pPr>
              <w:rPr>
                <w:sz w:val="5"/>
                <w:szCs w:val="5"/>
              </w:rPr>
            </w:pPr>
          </w:p>
        </w:tc>
        <w:tc>
          <w:tcPr>
            <w:tcW w:w="240" w:type="dxa"/>
            <w:tcBorders>
              <w:bottom w:val="single" w:sz="8" w:space="0" w:color="CCEEFF"/>
            </w:tcBorders>
            <w:vAlign w:val="bottom"/>
          </w:tcPr>
          <w:p w14:paraId="62344761" w14:textId="77777777" w:rsidR="00D1587D" w:rsidRDefault="00D1587D">
            <w:pPr>
              <w:rPr>
                <w:sz w:val="5"/>
                <w:szCs w:val="5"/>
              </w:rPr>
            </w:pPr>
          </w:p>
        </w:tc>
        <w:tc>
          <w:tcPr>
            <w:tcW w:w="120" w:type="dxa"/>
            <w:tcBorders>
              <w:bottom w:val="single" w:sz="8" w:space="0" w:color="auto"/>
            </w:tcBorders>
            <w:vAlign w:val="bottom"/>
          </w:tcPr>
          <w:p w14:paraId="0AA34E4D" w14:textId="77777777" w:rsidR="00D1587D" w:rsidRDefault="00D1587D">
            <w:pPr>
              <w:rPr>
                <w:sz w:val="5"/>
                <w:szCs w:val="5"/>
              </w:rPr>
            </w:pPr>
          </w:p>
        </w:tc>
        <w:tc>
          <w:tcPr>
            <w:tcW w:w="500" w:type="dxa"/>
            <w:tcBorders>
              <w:bottom w:val="single" w:sz="8" w:space="0" w:color="auto"/>
            </w:tcBorders>
            <w:vAlign w:val="bottom"/>
          </w:tcPr>
          <w:p w14:paraId="35FF8F54" w14:textId="77777777" w:rsidR="00D1587D" w:rsidRDefault="00D1587D">
            <w:pPr>
              <w:rPr>
                <w:sz w:val="5"/>
                <w:szCs w:val="5"/>
              </w:rPr>
            </w:pPr>
          </w:p>
        </w:tc>
        <w:tc>
          <w:tcPr>
            <w:tcW w:w="120" w:type="dxa"/>
            <w:tcBorders>
              <w:bottom w:val="single" w:sz="8" w:space="0" w:color="CCEEFF"/>
            </w:tcBorders>
            <w:vAlign w:val="bottom"/>
          </w:tcPr>
          <w:p w14:paraId="282A5B90" w14:textId="77777777" w:rsidR="00D1587D" w:rsidRDefault="00D1587D">
            <w:pPr>
              <w:rPr>
                <w:sz w:val="5"/>
                <w:szCs w:val="5"/>
              </w:rPr>
            </w:pPr>
          </w:p>
        </w:tc>
        <w:tc>
          <w:tcPr>
            <w:tcW w:w="120" w:type="dxa"/>
            <w:tcBorders>
              <w:bottom w:val="single" w:sz="8" w:space="0" w:color="CCEEFF"/>
            </w:tcBorders>
            <w:vAlign w:val="bottom"/>
          </w:tcPr>
          <w:p w14:paraId="7C07792D" w14:textId="77777777" w:rsidR="00D1587D" w:rsidRDefault="00D1587D">
            <w:pPr>
              <w:rPr>
                <w:sz w:val="5"/>
                <w:szCs w:val="5"/>
              </w:rPr>
            </w:pPr>
          </w:p>
        </w:tc>
        <w:tc>
          <w:tcPr>
            <w:tcW w:w="580" w:type="dxa"/>
            <w:tcBorders>
              <w:bottom w:val="single" w:sz="8" w:space="0" w:color="CCEEFF"/>
            </w:tcBorders>
            <w:vAlign w:val="bottom"/>
          </w:tcPr>
          <w:p w14:paraId="45C0B9B2" w14:textId="77777777" w:rsidR="00D1587D" w:rsidRDefault="00D1587D">
            <w:pPr>
              <w:rPr>
                <w:sz w:val="5"/>
                <w:szCs w:val="5"/>
              </w:rPr>
            </w:pPr>
          </w:p>
        </w:tc>
        <w:tc>
          <w:tcPr>
            <w:tcW w:w="240" w:type="dxa"/>
            <w:tcBorders>
              <w:bottom w:val="single" w:sz="8" w:space="0" w:color="CCEEFF"/>
            </w:tcBorders>
            <w:vAlign w:val="bottom"/>
          </w:tcPr>
          <w:p w14:paraId="0DA0AF5E" w14:textId="77777777" w:rsidR="00D1587D" w:rsidRDefault="00D1587D">
            <w:pPr>
              <w:rPr>
                <w:sz w:val="5"/>
                <w:szCs w:val="5"/>
              </w:rPr>
            </w:pPr>
          </w:p>
        </w:tc>
        <w:tc>
          <w:tcPr>
            <w:tcW w:w="540" w:type="dxa"/>
            <w:tcBorders>
              <w:bottom w:val="single" w:sz="8" w:space="0" w:color="CCEEFF"/>
            </w:tcBorders>
            <w:vAlign w:val="bottom"/>
          </w:tcPr>
          <w:p w14:paraId="68746A7C" w14:textId="77777777" w:rsidR="00D1587D" w:rsidRDefault="00D1587D">
            <w:pPr>
              <w:rPr>
                <w:sz w:val="5"/>
                <w:szCs w:val="5"/>
              </w:rPr>
            </w:pPr>
          </w:p>
        </w:tc>
      </w:tr>
      <w:tr w:rsidR="00D1587D" w14:paraId="4011DA36" w14:textId="77777777">
        <w:trPr>
          <w:trHeight w:val="298"/>
        </w:trPr>
        <w:tc>
          <w:tcPr>
            <w:tcW w:w="4340" w:type="dxa"/>
            <w:tcBorders>
              <w:bottom w:val="single" w:sz="8" w:space="0" w:color="CCEEFF"/>
            </w:tcBorders>
            <w:shd w:val="clear" w:color="auto" w:fill="CCEEFF"/>
            <w:vAlign w:val="bottom"/>
          </w:tcPr>
          <w:p w14:paraId="2DD5EC46" w14:textId="77777777" w:rsidR="00D1587D" w:rsidRDefault="00410D07">
            <w:pPr>
              <w:rPr>
                <w:sz w:val="20"/>
                <w:szCs w:val="20"/>
              </w:rPr>
            </w:pPr>
            <w:r>
              <w:rPr>
                <w:rFonts w:ascii="Arial" w:eastAsia="Arial" w:hAnsi="Arial" w:cs="Arial"/>
                <w:sz w:val="18"/>
                <w:szCs w:val="18"/>
              </w:rPr>
              <w:t>Gross Profit</w:t>
            </w:r>
          </w:p>
        </w:tc>
        <w:tc>
          <w:tcPr>
            <w:tcW w:w="120" w:type="dxa"/>
            <w:tcBorders>
              <w:bottom w:val="single" w:sz="8" w:space="0" w:color="CCEEFF"/>
            </w:tcBorders>
            <w:shd w:val="clear" w:color="auto" w:fill="CCEEFF"/>
            <w:vAlign w:val="bottom"/>
          </w:tcPr>
          <w:p w14:paraId="02D6003E"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6D3F096" w14:textId="77777777" w:rsidR="00D1587D" w:rsidRDefault="00D1587D">
            <w:pPr>
              <w:rPr>
                <w:sz w:val="24"/>
                <w:szCs w:val="24"/>
              </w:rPr>
            </w:pPr>
          </w:p>
        </w:tc>
        <w:tc>
          <w:tcPr>
            <w:tcW w:w="520" w:type="dxa"/>
            <w:tcBorders>
              <w:bottom w:val="single" w:sz="8" w:space="0" w:color="CCEEFF"/>
            </w:tcBorders>
            <w:shd w:val="clear" w:color="auto" w:fill="CCEEFF"/>
            <w:vAlign w:val="bottom"/>
          </w:tcPr>
          <w:p w14:paraId="6BC18ED2" w14:textId="77777777" w:rsidR="00D1587D" w:rsidRDefault="00410D07">
            <w:pPr>
              <w:jc w:val="right"/>
              <w:rPr>
                <w:sz w:val="20"/>
                <w:szCs w:val="20"/>
              </w:rPr>
            </w:pPr>
            <w:r>
              <w:rPr>
                <w:rFonts w:ascii="Arial" w:eastAsia="Arial" w:hAnsi="Arial" w:cs="Arial"/>
                <w:w w:val="97"/>
                <w:sz w:val="18"/>
                <w:szCs w:val="18"/>
              </w:rPr>
              <w:t>1,571</w:t>
            </w:r>
          </w:p>
        </w:tc>
        <w:tc>
          <w:tcPr>
            <w:tcW w:w="100" w:type="dxa"/>
            <w:tcBorders>
              <w:bottom w:val="single" w:sz="8" w:space="0" w:color="CCEEFF"/>
            </w:tcBorders>
            <w:shd w:val="clear" w:color="auto" w:fill="CCEEFF"/>
            <w:vAlign w:val="bottom"/>
          </w:tcPr>
          <w:p w14:paraId="7B910772" w14:textId="77777777" w:rsidR="00D1587D" w:rsidRDefault="00D1587D">
            <w:pPr>
              <w:rPr>
                <w:sz w:val="24"/>
                <w:szCs w:val="24"/>
              </w:rPr>
            </w:pPr>
          </w:p>
        </w:tc>
        <w:tc>
          <w:tcPr>
            <w:tcW w:w="140" w:type="dxa"/>
            <w:tcBorders>
              <w:bottom w:val="single" w:sz="8" w:space="0" w:color="CCEEFF"/>
            </w:tcBorders>
            <w:shd w:val="clear" w:color="auto" w:fill="CCEEFF"/>
            <w:vAlign w:val="bottom"/>
          </w:tcPr>
          <w:p w14:paraId="05D795AE" w14:textId="77777777" w:rsidR="00D1587D" w:rsidRDefault="00D1587D">
            <w:pPr>
              <w:rPr>
                <w:sz w:val="24"/>
                <w:szCs w:val="24"/>
              </w:rPr>
            </w:pPr>
          </w:p>
        </w:tc>
        <w:tc>
          <w:tcPr>
            <w:tcW w:w="140" w:type="dxa"/>
            <w:tcBorders>
              <w:bottom w:val="single" w:sz="8" w:space="0" w:color="CCEEFF"/>
            </w:tcBorders>
            <w:shd w:val="clear" w:color="auto" w:fill="CCEEFF"/>
            <w:vAlign w:val="bottom"/>
          </w:tcPr>
          <w:p w14:paraId="3A95F207" w14:textId="77777777" w:rsidR="00D1587D" w:rsidRDefault="00D1587D">
            <w:pPr>
              <w:rPr>
                <w:sz w:val="24"/>
                <w:szCs w:val="24"/>
              </w:rPr>
            </w:pPr>
          </w:p>
        </w:tc>
        <w:tc>
          <w:tcPr>
            <w:tcW w:w="500" w:type="dxa"/>
            <w:tcBorders>
              <w:bottom w:val="single" w:sz="8" w:space="0" w:color="CCEEFF"/>
            </w:tcBorders>
            <w:shd w:val="clear" w:color="auto" w:fill="CCEEFF"/>
            <w:vAlign w:val="bottom"/>
          </w:tcPr>
          <w:p w14:paraId="2572CAC4" w14:textId="77777777" w:rsidR="00D1587D" w:rsidRDefault="00410D07">
            <w:pPr>
              <w:jc w:val="right"/>
              <w:rPr>
                <w:sz w:val="20"/>
                <w:szCs w:val="20"/>
              </w:rPr>
            </w:pPr>
            <w:r>
              <w:rPr>
                <w:rFonts w:ascii="Arial" w:eastAsia="Arial" w:hAnsi="Arial" w:cs="Arial"/>
                <w:w w:val="88"/>
                <w:sz w:val="18"/>
                <w:szCs w:val="18"/>
              </w:rPr>
              <w:t>2,063</w:t>
            </w:r>
          </w:p>
        </w:tc>
        <w:tc>
          <w:tcPr>
            <w:tcW w:w="240" w:type="dxa"/>
            <w:tcBorders>
              <w:bottom w:val="single" w:sz="8" w:space="0" w:color="CCEEFF"/>
            </w:tcBorders>
            <w:shd w:val="clear" w:color="auto" w:fill="CCEEFF"/>
            <w:vAlign w:val="bottom"/>
          </w:tcPr>
          <w:p w14:paraId="3FD97AF9" w14:textId="77777777" w:rsidR="00D1587D" w:rsidRDefault="00D1587D">
            <w:pPr>
              <w:rPr>
                <w:sz w:val="24"/>
                <w:szCs w:val="24"/>
              </w:rPr>
            </w:pPr>
          </w:p>
        </w:tc>
        <w:tc>
          <w:tcPr>
            <w:tcW w:w="120" w:type="dxa"/>
            <w:tcBorders>
              <w:bottom w:val="single" w:sz="8" w:space="0" w:color="CCEEFF"/>
            </w:tcBorders>
            <w:shd w:val="clear" w:color="auto" w:fill="CCEEFF"/>
            <w:vAlign w:val="bottom"/>
          </w:tcPr>
          <w:p w14:paraId="154F7E06" w14:textId="77777777" w:rsidR="00D1587D" w:rsidRDefault="00D1587D">
            <w:pPr>
              <w:rPr>
                <w:sz w:val="24"/>
                <w:szCs w:val="24"/>
              </w:rPr>
            </w:pPr>
          </w:p>
        </w:tc>
        <w:tc>
          <w:tcPr>
            <w:tcW w:w="500" w:type="dxa"/>
            <w:tcBorders>
              <w:bottom w:val="single" w:sz="8" w:space="0" w:color="CCEEFF"/>
            </w:tcBorders>
            <w:shd w:val="clear" w:color="auto" w:fill="CCEEFF"/>
            <w:vAlign w:val="bottom"/>
          </w:tcPr>
          <w:p w14:paraId="25A25E4F" w14:textId="77777777" w:rsidR="00D1587D" w:rsidRDefault="00410D07">
            <w:pPr>
              <w:jc w:val="right"/>
              <w:rPr>
                <w:sz w:val="20"/>
                <w:szCs w:val="20"/>
              </w:rPr>
            </w:pPr>
            <w:r>
              <w:rPr>
                <w:rFonts w:ascii="Arial" w:eastAsia="Arial" w:hAnsi="Arial" w:cs="Arial"/>
                <w:w w:val="93"/>
                <w:sz w:val="18"/>
                <w:szCs w:val="18"/>
              </w:rPr>
              <w:t>2,689</w:t>
            </w:r>
          </w:p>
        </w:tc>
        <w:tc>
          <w:tcPr>
            <w:tcW w:w="120" w:type="dxa"/>
            <w:tcBorders>
              <w:bottom w:val="single" w:sz="8" w:space="0" w:color="CCEEFF"/>
            </w:tcBorders>
            <w:shd w:val="clear" w:color="auto" w:fill="CCEEFF"/>
            <w:vAlign w:val="bottom"/>
          </w:tcPr>
          <w:p w14:paraId="6108C407" w14:textId="77777777" w:rsidR="00D1587D" w:rsidRDefault="00D1587D">
            <w:pPr>
              <w:rPr>
                <w:sz w:val="24"/>
                <w:szCs w:val="24"/>
              </w:rPr>
            </w:pPr>
          </w:p>
        </w:tc>
        <w:tc>
          <w:tcPr>
            <w:tcW w:w="940" w:type="dxa"/>
            <w:gridSpan w:val="3"/>
            <w:tcBorders>
              <w:bottom w:val="single" w:sz="8" w:space="0" w:color="CCEEFF"/>
            </w:tcBorders>
            <w:shd w:val="clear" w:color="auto" w:fill="CCEEFF"/>
            <w:vAlign w:val="bottom"/>
          </w:tcPr>
          <w:p w14:paraId="28553DC0" w14:textId="77777777" w:rsidR="00D1587D" w:rsidRDefault="00410D07">
            <w:pPr>
              <w:ind w:right="240"/>
              <w:jc w:val="right"/>
              <w:rPr>
                <w:sz w:val="20"/>
                <w:szCs w:val="20"/>
              </w:rPr>
            </w:pPr>
            <w:r>
              <w:rPr>
                <w:rFonts w:ascii="Arial" w:eastAsia="Arial" w:hAnsi="Arial" w:cs="Arial"/>
                <w:sz w:val="18"/>
                <w:szCs w:val="18"/>
              </w:rPr>
              <w:t>(24)%</w:t>
            </w:r>
          </w:p>
        </w:tc>
        <w:tc>
          <w:tcPr>
            <w:tcW w:w="540" w:type="dxa"/>
            <w:tcBorders>
              <w:bottom w:val="single" w:sz="8" w:space="0" w:color="CCEEFF"/>
            </w:tcBorders>
            <w:shd w:val="clear" w:color="auto" w:fill="CCEEFF"/>
            <w:vAlign w:val="bottom"/>
          </w:tcPr>
          <w:p w14:paraId="692EB63B" w14:textId="77777777" w:rsidR="00D1587D" w:rsidRDefault="00410D07">
            <w:pPr>
              <w:jc w:val="right"/>
              <w:rPr>
                <w:sz w:val="20"/>
                <w:szCs w:val="20"/>
              </w:rPr>
            </w:pPr>
            <w:r>
              <w:rPr>
                <w:rFonts w:ascii="Arial" w:eastAsia="Arial" w:hAnsi="Arial" w:cs="Arial"/>
                <w:sz w:val="18"/>
                <w:szCs w:val="18"/>
              </w:rPr>
              <w:t>(23)%</w:t>
            </w:r>
          </w:p>
        </w:tc>
      </w:tr>
      <w:tr w:rsidR="00D1587D" w14:paraId="7F4B1244" w14:textId="77777777">
        <w:trPr>
          <w:trHeight w:val="257"/>
        </w:trPr>
        <w:tc>
          <w:tcPr>
            <w:tcW w:w="4340" w:type="dxa"/>
            <w:vAlign w:val="bottom"/>
          </w:tcPr>
          <w:p w14:paraId="07ED2F39" w14:textId="77777777" w:rsidR="00D1587D" w:rsidRDefault="00410D07">
            <w:pPr>
              <w:rPr>
                <w:sz w:val="20"/>
                <w:szCs w:val="20"/>
              </w:rPr>
            </w:pPr>
            <w:r>
              <w:rPr>
                <w:rFonts w:ascii="Arial" w:eastAsia="Arial" w:hAnsi="Arial" w:cs="Arial"/>
                <w:w w:val="98"/>
                <w:sz w:val="18"/>
                <w:szCs w:val="18"/>
              </w:rPr>
              <w:t>General, Administrative and Store Operating Expenses</w:t>
            </w:r>
          </w:p>
        </w:tc>
        <w:tc>
          <w:tcPr>
            <w:tcW w:w="740" w:type="dxa"/>
            <w:gridSpan w:val="3"/>
            <w:vAlign w:val="bottom"/>
          </w:tcPr>
          <w:p w14:paraId="31395CDF" w14:textId="77777777" w:rsidR="00D1587D" w:rsidRDefault="00410D07">
            <w:pPr>
              <w:jc w:val="right"/>
              <w:rPr>
                <w:sz w:val="20"/>
                <w:szCs w:val="20"/>
              </w:rPr>
            </w:pPr>
            <w:r>
              <w:rPr>
                <w:rFonts w:ascii="Arial" w:eastAsia="Arial" w:hAnsi="Arial" w:cs="Arial"/>
                <w:sz w:val="18"/>
                <w:szCs w:val="18"/>
              </w:rPr>
              <w:t>(1,672)</w:t>
            </w:r>
          </w:p>
        </w:tc>
        <w:tc>
          <w:tcPr>
            <w:tcW w:w="100" w:type="dxa"/>
            <w:vAlign w:val="bottom"/>
          </w:tcPr>
          <w:p w14:paraId="00ACB593" w14:textId="77777777" w:rsidR="00D1587D" w:rsidRDefault="00D1587D"/>
        </w:tc>
        <w:tc>
          <w:tcPr>
            <w:tcW w:w="780" w:type="dxa"/>
            <w:gridSpan w:val="3"/>
            <w:vAlign w:val="bottom"/>
          </w:tcPr>
          <w:p w14:paraId="7CBE84B7" w14:textId="77777777" w:rsidR="00D1587D" w:rsidRDefault="00410D07">
            <w:pPr>
              <w:jc w:val="right"/>
              <w:rPr>
                <w:sz w:val="20"/>
                <w:szCs w:val="20"/>
              </w:rPr>
            </w:pPr>
            <w:r>
              <w:rPr>
                <w:rFonts w:ascii="Arial" w:eastAsia="Arial" w:hAnsi="Arial" w:cs="Arial"/>
                <w:sz w:val="18"/>
                <w:szCs w:val="18"/>
              </w:rPr>
              <w:t>(2,235)</w:t>
            </w:r>
          </w:p>
        </w:tc>
        <w:tc>
          <w:tcPr>
            <w:tcW w:w="240" w:type="dxa"/>
            <w:vAlign w:val="bottom"/>
          </w:tcPr>
          <w:p w14:paraId="33F66927" w14:textId="77777777" w:rsidR="00D1587D" w:rsidRDefault="00D1587D"/>
        </w:tc>
        <w:tc>
          <w:tcPr>
            <w:tcW w:w="620" w:type="dxa"/>
            <w:gridSpan w:val="2"/>
            <w:vAlign w:val="bottom"/>
          </w:tcPr>
          <w:p w14:paraId="0F2CC82D" w14:textId="77777777" w:rsidR="00D1587D" w:rsidRDefault="00410D07">
            <w:pPr>
              <w:jc w:val="right"/>
              <w:rPr>
                <w:sz w:val="20"/>
                <w:szCs w:val="20"/>
              </w:rPr>
            </w:pPr>
            <w:r>
              <w:rPr>
                <w:rFonts w:ascii="Arial" w:eastAsia="Arial" w:hAnsi="Arial" w:cs="Arial"/>
                <w:sz w:val="18"/>
                <w:szCs w:val="18"/>
              </w:rPr>
              <w:t>(2,289)</w:t>
            </w:r>
          </w:p>
        </w:tc>
        <w:tc>
          <w:tcPr>
            <w:tcW w:w="120" w:type="dxa"/>
            <w:vAlign w:val="bottom"/>
          </w:tcPr>
          <w:p w14:paraId="44081301" w14:textId="77777777" w:rsidR="00D1587D" w:rsidRDefault="00D1587D"/>
        </w:tc>
        <w:tc>
          <w:tcPr>
            <w:tcW w:w="940" w:type="dxa"/>
            <w:gridSpan w:val="3"/>
            <w:vAlign w:val="bottom"/>
          </w:tcPr>
          <w:p w14:paraId="04CDF119" w14:textId="77777777" w:rsidR="00D1587D" w:rsidRDefault="00410D07">
            <w:pPr>
              <w:ind w:right="240"/>
              <w:jc w:val="right"/>
              <w:rPr>
                <w:sz w:val="20"/>
                <w:szCs w:val="20"/>
              </w:rPr>
            </w:pPr>
            <w:r>
              <w:rPr>
                <w:rFonts w:ascii="Arial" w:eastAsia="Arial" w:hAnsi="Arial" w:cs="Arial"/>
                <w:sz w:val="18"/>
                <w:szCs w:val="18"/>
              </w:rPr>
              <w:t>(25)%</w:t>
            </w:r>
          </w:p>
        </w:tc>
        <w:tc>
          <w:tcPr>
            <w:tcW w:w="540" w:type="dxa"/>
            <w:vAlign w:val="bottom"/>
          </w:tcPr>
          <w:p w14:paraId="6BA6F67D" w14:textId="77777777" w:rsidR="00D1587D" w:rsidRDefault="00410D07">
            <w:pPr>
              <w:jc w:val="right"/>
              <w:rPr>
                <w:sz w:val="20"/>
                <w:szCs w:val="20"/>
              </w:rPr>
            </w:pPr>
            <w:r>
              <w:rPr>
                <w:rFonts w:ascii="Arial" w:eastAsia="Arial" w:hAnsi="Arial" w:cs="Arial"/>
                <w:sz w:val="18"/>
                <w:szCs w:val="18"/>
              </w:rPr>
              <w:t>(2)%</w:t>
            </w:r>
          </w:p>
        </w:tc>
      </w:tr>
      <w:tr w:rsidR="00D1587D" w14:paraId="761FD63F" w14:textId="77777777">
        <w:trPr>
          <w:trHeight w:val="40"/>
        </w:trPr>
        <w:tc>
          <w:tcPr>
            <w:tcW w:w="4340" w:type="dxa"/>
            <w:vAlign w:val="bottom"/>
          </w:tcPr>
          <w:p w14:paraId="7E08BA74" w14:textId="77777777" w:rsidR="00D1587D" w:rsidRDefault="00D1587D">
            <w:pPr>
              <w:rPr>
                <w:sz w:val="3"/>
                <w:szCs w:val="3"/>
              </w:rPr>
            </w:pPr>
          </w:p>
        </w:tc>
        <w:tc>
          <w:tcPr>
            <w:tcW w:w="120" w:type="dxa"/>
            <w:vAlign w:val="bottom"/>
          </w:tcPr>
          <w:p w14:paraId="2FE5E8CE" w14:textId="77777777" w:rsidR="00D1587D" w:rsidRDefault="00D1587D">
            <w:pPr>
              <w:rPr>
                <w:sz w:val="3"/>
                <w:szCs w:val="3"/>
              </w:rPr>
            </w:pPr>
          </w:p>
        </w:tc>
        <w:tc>
          <w:tcPr>
            <w:tcW w:w="100" w:type="dxa"/>
            <w:vAlign w:val="bottom"/>
          </w:tcPr>
          <w:p w14:paraId="2220F9A2" w14:textId="77777777" w:rsidR="00D1587D" w:rsidRDefault="00D1587D">
            <w:pPr>
              <w:rPr>
                <w:sz w:val="3"/>
                <w:szCs w:val="3"/>
              </w:rPr>
            </w:pPr>
          </w:p>
        </w:tc>
        <w:tc>
          <w:tcPr>
            <w:tcW w:w="520" w:type="dxa"/>
            <w:vAlign w:val="bottom"/>
          </w:tcPr>
          <w:p w14:paraId="66158AAD" w14:textId="77777777" w:rsidR="00D1587D" w:rsidRDefault="00D1587D">
            <w:pPr>
              <w:rPr>
                <w:sz w:val="3"/>
                <w:szCs w:val="3"/>
              </w:rPr>
            </w:pPr>
          </w:p>
        </w:tc>
        <w:tc>
          <w:tcPr>
            <w:tcW w:w="100" w:type="dxa"/>
            <w:vAlign w:val="bottom"/>
          </w:tcPr>
          <w:p w14:paraId="6375EBFB" w14:textId="77777777" w:rsidR="00D1587D" w:rsidRDefault="00D1587D">
            <w:pPr>
              <w:rPr>
                <w:sz w:val="3"/>
                <w:szCs w:val="3"/>
              </w:rPr>
            </w:pPr>
          </w:p>
        </w:tc>
        <w:tc>
          <w:tcPr>
            <w:tcW w:w="140" w:type="dxa"/>
            <w:vAlign w:val="bottom"/>
          </w:tcPr>
          <w:p w14:paraId="3DEAF3EB" w14:textId="77777777" w:rsidR="00D1587D" w:rsidRDefault="00D1587D">
            <w:pPr>
              <w:rPr>
                <w:sz w:val="3"/>
                <w:szCs w:val="3"/>
              </w:rPr>
            </w:pPr>
          </w:p>
        </w:tc>
        <w:tc>
          <w:tcPr>
            <w:tcW w:w="140" w:type="dxa"/>
            <w:vAlign w:val="bottom"/>
          </w:tcPr>
          <w:p w14:paraId="799C623F" w14:textId="77777777" w:rsidR="00D1587D" w:rsidRDefault="00D1587D">
            <w:pPr>
              <w:rPr>
                <w:sz w:val="3"/>
                <w:szCs w:val="3"/>
              </w:rPr>
            </w:pPr>
          </w:p>
        </w:tc>
        <w:tc>
          <w:tcPr>
            <w:tcW w:w="500" w:type="dxa"/>
            <w:vAlign w:val="bottom"/>
          </w:tcPr>
          <w:p w14:paraId="7F720FF5" w14:textId="77777777" w:rsidR="00D1587D" w:rsidRDefault="00D1587D">
            <w:pPr>
              <w:rPr>
                <w:sz w:val="3"/>
                <w:szCs w:val="3"/>
              </w:rPr>
            </w:pPr>
          </w:p>
        </w:tc>
        <w:tc>
          <w:tcPr>
            <w:tcW w:w="240" w:type="dxa"/>
            <w:vAlign w:val="bottom"/>
          </w:tcPr>
          <w:p w14:paraId="55DB1A9F" w14:textId="77777777" w:rsidR="00D1587D" w:rsidRDefault="00D1587D">
            <w:pPr>
              <w:rPr>
                <w:sz w:val="3"/>
                <w:szCs w:val="3"/>
              </w:rPr>
            </w:pPr>
          </w:p>
        </w:tc>
        <w:tc>
          <w:tcPr>
            <w:tcW w:w="120" w:type="dxa"/>
            <w:vAlign w:val="bottom"/>
          </w:tcPr>
          <w:p w14:paraId="51991FE6" w14:textId="77777777" w:rsidR="00D1587D" w:rsidRDefault="00D1587D">
            <w:pPr>
              <w:rPr>
                <w:sz w:val="3"/>
                <w:szCs w:val="3"/>
              </w:rPr>
            </w:pPr>
          </w:p>
        </w:tc>
        <w:tc>
          <w:tcPr>
            <w:tcW w:w="500" w:type="dxa"/>
            <w:vAlign w:val="bottom"/>
          </w:tcPr>
          <w:p w14:paraId="7A69A819" w14:textId="77777777" w:rsidR="00D1587D" w:rsidRDefault="00D1587D">
            <w:pPr>
              <w:rPr>
                <w:sz w:val="3"/>
                <w:szCs w:val="3"/>
              </w:rPr>
            </w:pPr>
          </w:p>
        </w:tc>
        <w:tc>
          <w:tcPr>
            <w:tcW w:w="120" w:type="dxa"/>
            <w:vAlign w:val="bottom"/>
          </w:tcPr>
          <w:p w14:paraId="4262B65A" w14:textId="77777777" w:rsidR="00D1587D" w:rsidRDefault="00D1587D">
            <w:pPr>
              <w:rPr>
                <w:sz w:val="3"/>
                <w:szCs w:val="3"/>
              </w:rPr>
            </w:pPr>
          </w:p>
        </w:tc>
        <w:tc>
          <w:tcPr>
            <w:tcW w:w="120" w:type="dxa"/>
            <w:vAlign w:val="bottom"/>
          </w:tcPr>
          <w:p w14:paraId="5FFA6A7E" w14:textId="77777777" w:rsidR="00D1587D" w:rsidRDefault="00D1587D">
            <w:pPr>
              <w:rPr>
                <w:sz w:val="3"/>
                <w:szCs w:val="3"/>
              </w:rPr>
            </w:pPr>
          </w:p>
        </w:tc>
        <w:tc>
          <w:tcPr>
            <w:tcW w:w="580" w:type="dxa"/>
            <w:vAlign w:val="bottom"/>
          </w:tcPr>
          <w:p w14:paraId="24D44EC6" w14:textId="77777777" w:rsidR="00D1587D" w:rsidRDefault="00D1587D">
            <w:pPr>
              <w:rPr>
                <w:sz w:val="3"/>
                <w:szCs w:val="3"/>
              </w:rPr>
            </w:pPr>
          </w:p>
        </w:tc>
        <w:tc>
          <w:tcPr>
            <w:tcW w:w="240" w:type="dxa"/>
            <w:vAlign w:val="bottom"/>
          </w:tcPr>
          <w:p w14:paraId="7FDEC416" w14:textId="77777777" w:rsidR="00D1587D" w:rsidRDefault="00D1587D">
            <w:pPr>
              <w:rPr>
                <w:sz w:val="3"/>
                <w:szCs w:val="3"/>
              </w:rPr>
            </w:pPr>
          </w:p>
        </w:tc>
        <w:tc>
          <w:tcPr>
            <w:tcW w:w="540" w:type="dxa"/>
            <w:vAlign w:val="bottom"/>
          </w:tcPr>
          <w:p w14:paraId="20158F1C" w14:textId="77777777" w:rsidR="00D1587D" w:rsidRDefault="00D1587D">
            <w:pPr>
              <w:rPr>
                <w:sz w:val="3"/>
                <w:szCs w:val="3"/>
              </w:rPr>
            </w:pPr>
          </w:p>
        </w:tc>
      </w:tr>
      <w:tr w:rsidR="00D1587D" w14:paraId="49CBA106" w14:textId="77777777">
        <w:trPr>
          <w:trHeight w:val="257"/>
        </w:trPr>
        <w:tc>
          <w:tcPr>
            <w:tcW w:w="4340" w:type="dxa"/>
            <w:shd w:val="clear" w:color="auto" w:fill="CCEEFF"/>
            <w:vAlign w:val="bottom"/>
          </w:tcPr>
          <w:p w14:paraId="3E6B2E1E" w14:textId="77777777" w:rsidR="00D1587D" w:rsidRDefault="00410D07">
            <w:pPr>
              <w:rPr>
                <w:sz w:val="20"/>
                <w:szCs w:val="20"/>
              </w:rPr>
            </w:pPr>
            <w:r>
              <w:rPr>
                <w:rFonts w:ascii="Arial" w:eastAsia="Arial" w:hAnsi="Arial" w:cs="Arial"/>
                <w:sz w:val="18"/>
                <w:szCs w:val="18"/>
              </w:rPr>
              <w:t>Impairment of Goodwill</w:t>
            </w:r>
          </w:p>
        </w:tc>
        <w:tc>
          <w:tcPr>
            <w:tcW w:w="120" w:type="dxa"/>
            <w:shd w:val="clear" w:color="auto" w:fill="CCEEFF"/>
            <w:vAlign w:val="bottom"/>
          </w:tcPr>
          <w:p w14:paraId="30D4F8DC" w14:textId="77777777" w:rsidR="00D1587D" w:rsidRDefault="00D1587D"/>
        </w:tc>
        <w:tc>
          <w:tcPr>
            <w:tcW w:w="100" w:type="dxa"/>
            <w:shd w:val="clear" w:color="auto" w:fill="CCEEFF"/>
            <w:vAlign w:val="bottom"/>
          </w:tcPr>
          <w:p w14:paraId="755BE018" w14:textId="77777777" w:rsidR="00D1587D" w:rsidRDefault="00D1587D"/>
        </w:tc>
        <w:tc>
          <w:tcPr>
            <w:tcW w:w="620" w:type="dxa"/>
            <w:gridSpan w:val="2"/>
            <w:shd w:val="clear" w:color="auto" w:fill="CCEEFF"/>
            <w:vAlign w:val="bottom"/>
          </w:tcPr>
          <w:p w14:paraId="60B0E031" w14:textId="77777777" w:rsidR="00D1587D" w:rsidRDefault="00410D07">
            <w:pPr>
              <w:ind w:right="180"/>
              <w:jc w:val="right"/>
              <w:rPr>
                <w:sz w:val="20"/>
                <w:szCs w:val="20"/>
              </w:rPr>
            </w:pPr>
            <w:r>
              <w:rPr>
                <w:rFonts w:ascii="Arial" w:eastAsia="Arial" w:hAnsi="Arial" w:cs="Arial"/>
                <w:sz w:val="18"/>
                <w:szCs w:val="18"/>
              </w:rPr>
              <w:t>—</w:t>
            </w:r>
          </w:p>
        </w:tc>
        <w:tc>
          <w:tcPr>
            <w:tcW w:w="140" w:type="dxa"/>
            <w:shd w:val="clear" w:color="auto" w:fill="CCEEFF"/>
            <w:vAlign w:val="bottom"/>
          </w:tcPr>
          <w:p w14:paraId="7C95B228" w14:textId="77777777" w:rsidR="00D1587D" w:rsidRDefault="00D1587D"/>
        </w:tc>
        <w:tc>
          <w:tcPr>
            <w:tcW w:w="140" w:type="dxa"/>
            <w:shd w:val="clear" w:color="auto" w:fill="CCEEFF"/>
            <w:vAlign w:val="bottom"/>
          </w:tcPr>
          <w:p w14:paraId="15E09A20" w14:textId="77777777" w:rsidR="00D1587D" w:rsidRDefault="00D1587D"/>
        </w:tc>
        <w:tc>
          <w:tcPr>
            <w:tcW w:w="500" w:type="dxa"/>
            <w:shd w:val="clear" w:color="auto" w:fill="CCEEFF"/>
            <w:vAlign w:val="bottom"/>
          </w:tcPr>
          <w:p w14:paraId="64857F2F" w14:textId="77777777" w:rsidR="00D1587D" w:rsidRDefault="00410D07">
            <w:pPr>
              <w:jc w:val="right"/>
              <w:rPr>
                <w:sz w:val="20"/>
                <w:szCs w:val="20"/>
              </w:rPr>
            </w:pPr>
            <w:r>
              <w:rPr>
                <w:rFonts w:ascii="Arial" w:eastAsia="Arial" w:hAnsi="Arial" w:cs="Arial"/>
                <w:sz w:val="18"/>
                <w:szCs w:val="18"/>
              </w:rPr>
              <w:t>(720)</w:t>
            </w:r>
          </w:p>
        </w:tc>
        <w:tc>
          <w:tcPr>
            <w:tcW w:w="240" w:type="dxa"/>
            <w:shd w:val="clear" w:color="auto" w:fill="CCEEFF"/>
            <w:vAlign w:val="bottom"/>
          </w:tcPr>
          <w:p w14:paraId="706D2BCD" w14:textId="77777777" w:rsidR="00D1587D" w:rsidRDefault="00D1587D"/>
        </w:tc>
        <w:tc>
          <w:tcPr>
            <w:tcW w:w="120" w:type="dxa"/>
            <w:shd w:val="clear" w:color="auto" w:fill="CCEEFF"/>
            <w:vAlign w:val="bottom"/>
          </w:tcPr>
          <w:p w14:paraId="27364FBC" w14:textId="77777777" w:rsidR="00D1587D" w:rsidRDefault="00D1587D"/>
        </w:tc>
        <w:tc>
          <w:tcPr>
            <w:tcW w:w="620" w:type="dxa"/>
            <w:gridSpan w:val="2"/>
            <w:shd w:val="clear" w:color="auto" w:fill="CCEEFF"/>
            <w:vAlign w:val="bottom"/>
          </w:tcPr>
          <w:p w14:paraId="699DA74D" w14:textId="77777777" w:rsidR="00D1587D" w:rsidRDefault="00410D07">
            <w:pPr>
              <w:ind w:right="200"/>
              <w:jc w:val="right"/>
              <w:rPr>
                <w:sz w:val="20"/>
                <w:szCs w:val="20"/>
              </w:rPr>
            </w:pPr>
            <w:r>
              <w:rPr>
                <w:rFonts w:ascii="Arial" w:eastAsia="Arial" w:hAnsi="Arial" w:cs="Arial"/>
                <w:sz w:val="18"/>
                <w:szCs w:val="18"/>
              </w:rPr>
              <w:t>—</w:t>
            </w:r>
          </w:p>
        </w:tc>
        <w:tc>
          <w:tcPr>
            <w:tcW w:w="940" w:type="dxa"/>
            <w:gridSpan w:val="3"/>
            <w:shd w:val="clear" w:color="auto" w:fill="CCEEFF"/>
            <w:vAlign w:val="bottom"/>
          </w:tcPr>
          <w:p w14:paraId="6028242A" w14:textId="77777777" w:rsidR="00D1587D" w:rsidRDefault="00410D07">
            <w:pPr>
              <w:ind w:right="240"/>
              <w:jc w:val="right"/>
              <w:rPr>
                <w:sz w:val="20"/>
                <w:szCs w:val="20"/>
              </w:rPr>
            </w:pPr>
            <w:r>
              <w:rPr>
                <w:rFonts w:ascii="Arial" w:eastAsia="Arial" w:hAnsi="Arial" w:cs="Arial"/>
                <w:sz w:val="18"/>
                <w:szCs w:val="18"/>
              </w:rPr>
              <w:t>(100)%</w:t>
            </w:r>
          </w:p>
        </w:tc>
        <w:tc>
          <w:tcPr>
            <w:tcW w:w="540" w:type="dxa"/>
            <w:shd w:val="clear" w:color="auto" w:fill="CCEEFF"/>
            <w:vAlign w:val="bottom"/>
          </w:tcPr>
          <w:p w14:paraId="7F004E5F" w14:textId="77777777" w:rsidR="00D1587D" w:rsidRDefault="00410D07">
            <w:pPr>
              <w:jc w:val="right"/>
              <w:rPr>
                <w:sz w:val="20"/>
                <w:szCs w:val="20"/>
              </w:rPr>
            </w:pPr>
            <w:r>
              <w:rPr>
                <w:rFonts w:ascii="Arial" w:eastAsia="Arial" w:hAnsi="Arial" w:cs="Arial"/>
                <w:sz w:val="18"/>
                <w:szCs w:val="18"/>
              </w:rPr>
              <w:t>0%</w:t>
            </w:r>
          </w:p>
        </w:tc>
      </w:tr>
      <w:tr w:rsidR="00D1587D" w14:paraId="003CC70F" w14:textId="77777777">
        <w:trPr>
          <w:trHeight w:val="68"/>
        </w:trPr>
        <w:tc>
          <w:tcPr>
            <w:tcW w:w="4340" w:type="dxa"/>
            <w:shd w:val="clear" w:color="auto" w:fill="CCEEFF"/>
            <w:vAlign w:val="bottom"/>
          </w:tcPr>
          <w:p w14:paraId="23ED4F9A" w14:textId="77777777" w:rsidR="00D1587D" w:rsidRDefault="00D1587D">
            <w:pPr>
              <w:rPr>
                <w:sz w:val="5"/>
                <w:szCs w:val="5"/>
              </w:rPr>
            </w:pPr>
          </w:p>
        </w:tc>
        <w:tc>
          <w:tcPr>
            <w:tcW w:w="120" w:type="dxa"/>
            <w:tcBorders>
              <w:bottom w:val="single" w:sz="8" w:space="0" w:color="CCEEFF"/>
            </w:tcBorders>
            <w:shd w:val="clear" w:color="auto" w:fill="CCEEFF"/>
            <w:vAlign w:val="bottom"/>
          </w:tcPr>
          <w:p w14:paraId="62139A6A" w14:textId="77777777" w:rsidR="00D1587D" w:rsidRDefault="00D1587D">
            <w:pPr>
              <w:rPr>
                <w:sz w:val="5"/>
                <w:szCs w:val="5"/>
              </w:rPr>
            </w:pPr>
          </w:p>
        </w:tc>
        <w:tc>
          <w:tcPr>
            <w:tcW w:w="100" w:type="dxa"/>
            <w:tcBorders>
              <w:bottom w:val="single" w:sz="8" w:space="0" w:color="auto"/>
            </w:tcBorders>
            <w:shd w:val="clear" w:color="auto" w:fill="CCEEFF"/>
            <w:vAlign w:val="bottom"/>
          </w:tcPr>
          <w:p w14:paraId="2517BBB0" w14:textId="77777777" w:rsidR="00D1587D" w:rsidRDefault="00D1587D">
            <w:pPr>
              <w:rPr>
                <w:sz w:val="5"/>
                <w:szCs w:val="5"/>
              </w:rPr>
            </w:pPr>
          </w:p>
        </w:tc>
        <w:tc>
          <w:tcPr>
            <w:tcW w:w="520" w:type="dxa"/>
            <w:tcBorders>
              <w:bottom w:val="single" w:sz="8" w:space="0" w:color="auto"/>
            </w:tcBorders>
            <w:shd w:val="clear" w:color="auto" w:fill="CCEEFF"/>
            <w:vAlign w:val="bottom"/>
          </w:tcPr>
          <w:p w14:paraId="1A8806FD" w14:textId="77777777" w:rsidR="00D1587D" w:rsidRDefault="00D1587D">
            <w:pPr>
              <w:rPr>
                <w:sz w:val="5"/>
                <w:szCs w:val="5"/>
              </w:rPr>
            </w:pPr>
          </w:p>
        </w:tc>
        <w:tc>
          <w:tcPr>
            <w:tcW w:w="100" w:type="dxa"/>
            <w:tcBorders>
              <w:bottom w:val="single" w:sz="8" w:space="0" w:color="CCEEFF"/>
            </w:tcBorders>
            <w:shd w:val="clear" w:color="auto" w:fill="CCEEFF"/>
            <w:vAlign w:val="bottom"/>
          </w:tcPr>
          <w:p w14:paraId="6F80C64A" w14:textId="77777777" w:rsidR="00D1587D" w:rsidRDefault="00D1587D">
            <w:pPr>
              <w:rPr>
                <w:sz w:val="5"/>
                <w:szCs w:val="5"/>
              </w:rPr>
            </w:pPr>
          </w:p>
        </w:tc>
        <w:tc>
          <w:tcPr>
            <w:tcW w:w="140" w:type="dxa"/>
            <w:tcBorders>
              <w:bottom w:val="single" w:sz="8" w:space="0" w:color="CCEEFF"/>
            </w:tcBorders>
            <w:shd w:val="clear" w:color="auto" w:fill="CCEEFF"/>
            <w:vAlign w:val="bottom"/>
          </w:tcPr>
          <w:p w14:paraId="3A43EF6E" w14:textId="77777777" w:rsidR="00D1587D" w:rsidRDefault="00D1587D">
            <w:pPr>
              <w:rPr>
                <w:sz w:val="5"/>
                <w:szCs w:val="5"/>
              </w:rPr>
            </w:pPr>
          </w:p>
        </w:tc>
        <w:tc>
          <w:tcPr>
            <w:tcW w:w="140" w:type="dxa"/>
            <w:tcBorders>
              <w:bottom w:val="single" w:sz="8" w:space="0" w:color="auto"/>
            </w:tcBorders>
            <w:shd w:val="clear" w:color="auto" w:fill="CCEEFF"/>
            <w:vAlign w:val="bottom"/>
          </w:tcPr>
          <w:p w14:paraId="5B453430" w14:textId="77777777" w:rsidR="00D1587D" w:rsidRDefault="00D1587D">
            <w:pPr>
              <w:rPr>
                <w:sz w:val="5"/>
                <w:szCs w:val="5"/>
              </w:rPr>
            </w:pPr>
          </w:p>
        </w:tc>
        <w:tc>
          <w:tcPr>
            <w:tcW w:w="500" w:type="dxa"/>
            <w:tcBorders>
              <w:bottom w:val="single" w:sz="8" w:space="0" w:color="auto"/>
            </w:tcBorders>
            <w:shd w:val="clear" w:color="auto" w:fill="CCEEFF"/>
            <w:vAlign w:val="bottom"/>
          </w:tcPr>
          <w:p w14:paraId="08EFFE7E" w14:textId="77777777" w:rsidR="00D1587D" w:rsidRDefault="00D1587D">
            <w:pPr>
              <w:rPr>
                <w:sz w:val="5"/>
                <w:szCs w:val="5"/>
              </w:rPr>
            </w:pPr>
          </w:p>
        </w:tc>
        <w:tc>
          <w:tcPr>
            <w:tcW w:w="240" w:type="dxa"/>
            <w:tcBorders>
              <w:bottom w:val="single" w:sz="8" w:space="0" w:color="CCEEFF"/>
            </w:tcBorders>
            <w:shd w:val="clear" w:color="auto" w:fill="CCEEFF"/>
            <w:vAlign w:val="bottom"/>
          </w:tcPr>
          <w:p w14:paraId="7A02CE35" w14:textId="77777777" w:rsidR="00D1587D" w:rsidRDefault="00D1587D">
            <w:pPr>
              <w:rPr>
                <w:sz w:val="5"/>
                <w:szCs w:val="5"/>
              </w:rPr>
            </w:pPr>
          </w:p>
        </w:tc>
        <w:tc>
          <w:tcPr>
            <w:tcW w:w="120" w:type="dxa"/>
            <w:tcBorders>
              <w:bottom w:val="single" w:sz="8" w:space="0" w:color="auto"/>
            </w:tcBorders>
            <w:shd w:val="clear" w:color="auto" w:fill="CCEEFF"/>
            <w:vAlign w:val="bottom"/>
          </w:tcPr>
          <w:p w14:paraId="58ADCE6C" w14:textId="77777777" w:rsidR="00D1587D" w:rsidRDefault="00D1587D">
            <w:pPr>
              <w:rPr>
                <w:sz w:val="5"/>
                <w:szCs w:val="5"/>
              </w:rPr>
            </w:pPr>
          </w:p>
        </w:tc>
        <w:tc>
          <w:tcPr>
            <w:tcW w:w="500" w:type="dxa"/>
            <w:tcBorders>
              <w:bottom w:val="single" w:sz="8" w:space="0" w:color="auto"/>
            </w:tcBorders>
            <w:shd w:val="clear" w:color="auto" w:fill="CCEEFF"/>
            <w:vAlign w:val="bottom"/>
          </w:tcPr>
          <w:p w14:paraId="1ED4F927" w14:textId="77777777" w:rsidR="00D1587D" w:rsidRDefault="00D1587D">
            <w:pPr>
              <w:rPr>
                <w:sz w:val="5"/>
                <w:szCs w:val="5"/>
              </w:rPr>
            </w:pPr>
          </w:p>
        </w:tc>
        <w:tc>
          <w:tcPr>
            <w:tcW w:w="120" w:type="dxa"/>
            <w:tcBorders>
              <w:bottom w:val="single" w:sz="8" w:space="0" w:color="CCEEFF"/>
            </w:tcBorders>
            <w:shd w:val="clear" w:color="auto" w:fill="CCEEFF"/>
            <w:vAlign w:val="bottom"/>
          </w:tcPr>
          <w:p w14:paraId="6B670091" w14:textId="77777777" w:rsidR="00D1587D" w:rsidRDefault="00D1587D">
            <w:pPr>
              <w:rPr>
                <w:sz w:val="5"/>
                <w:szCs w:val="5"/>
              </w:rPr>
            </w:pPr>
          </w:p>
        </w:tc>
        <w:tc>
          <w:tcPr>
            <w:tcW w:w="120" w:type="dxa"/>
            <w:shd w:val="clear" w:color="auto" w:fill="CCEEFF"/>
            <w:vAlign w:val="bottom"/>
          </w:tcPr>
          <w:p w14:paraId="698DABBE" w14:textId="77777777" w:rsidR="00D1587D" w:rsidRDefault="00D1587D">
            <w:pPr>
              <w:rPr>
                <w:sz w:val="5"/>
                <w:szCs w:val="5"/>
              </w:rPr>
            </w:pPr>
          </w:p>
        </w:tc>
        <w:tc>
          <w:tcPr>
            <w:tcW w:w="580" w:type="dxa"/>
            <w:shd w:val="clear" w:color="auto" w:fill="CCEEFF"/>
            <w:vAlign w:val="bottom"/>
          </w:tcPr>
          <w:p w14:paraId="7B02759B" w14:textId="77777777" w:rsidR="00D1587D" w:rsidRDefault="00D1587D">
            <w:pPr>
              <w:rPr>
                <w:sz w:val="5"/>
                <w:szCs w:val="5"/>
              </w:rPr>
            </w:pPr>
          </w:p>
        </w:tc>
        <w:tc>
          <w:tcPr>
            <w:tcW w:w="240" w:type="dxa"/>
            <w:shd w:val="clear" w:color="auto" w:fill="CCEEFF"/>
            <w:vAlign w:val="bottom"/>
          </w:tcPr>
          <w:p w14:paraId="2866B67E" w14:textId="77777777" w:rsidR="00D1587D" w:rsidRDefault="00D1587D">
            <w:pPr>
              <w:rPr>
                <w:sz w:val="5"/>
                <w:szCs w:val="5"/>
              </w:rPr>
            </w:pPr>
          </w:p>
        </w:tc>
        <w:tc>
          <w:tcPr>
            <w:tcW w:w="540" w:type="dxa"/>
            <w:shd w:val="clear" w:color="auto" w:fill="CCEEFF"/>
            <w:vAlign w:val="bottom"/>
          </w:tcPr>
          <w:p w14:paraId="0773CAEE" w14:textId="77777777" w:rsidR="00D1587D" w:rsidRDefault="00D1587D">
            <w:pPr>
              <w:rPr>
                <w:sz w:val="5"/>
                <w:szCs w:val="5"/>
              </w:rPr>
            </w:pPr>
          </w:p>
        </w:tc>
      </w:tr>
      <w:tr w:rsidR="00D1587D" w14:paraId="34DBBFB3" w14:textId="77777777">
        <w:trPr>
          <w:trHeight w:val="277"/>
        </w:trPr>
        <w:tc>
          <w:tcPr>
            <w:tcW w:w="4340" w:type="dxa"/>
            <w:vAlign w:val="bottom"/>
          </w:tcPr>
          <w:p w14:paraId="36AD3F93" w14:textId="77777777" w:rsidR="00D1587D" w:rsidRDefault="00410D07">
            <w:pPr>
              <w:rPr>
                <w:sz w:val="20"/>
                <w:szCs w:val="20"/>
              </w:rPr>
            </w:pPr>
            <w:r>
              <w:rPr>
                <w:rFonts w:ascii="Arial" w:eastAsia="Arial" w:hAnsi="Arial" w:cs="Arial"/>
                <w:sz w:val="18"/>
                <w:szCs w:val="18"/>
              </w:rPr>
              <w:t>Operating Income (Loss)</w:t>
            </w:r>
          </w:p>
        </w:tc>
        <w:tc>
          <w:tcPr>
            <w:tcW w:w="120" w:type="dxa"/>
            <w:vAlign w:val="bottom"/>
          </w:tcPr>
          <w:p w14:paraId="2F6CBBED" w14:textId="77777777" w:rsidR="00D1587D" w:rsidRDefault="00D1587D">
            <w:pPr>
              <w:rPr>
                <w:sz w:val="24"/>
                <w:szCs w:val="24"/>
              </w:rPr>
            </w:pPr>
          </w:p>
        </w:tc>
        <w:tc>
          <w:tcPr>
            <w:tcW w:w="100" w:type="dxa"/>
            <w:vAlign w:val="bottom"/>
          </w:tcPr>
          <w:p w14:paraId="79724CEF" w14:textId="77777777" w:rsidR="00D1587D" w:rsidRDefault="00D1587D">
            <w:pPr>
              <w:rPr>
                <w:sz w:val="24"/>
                <w:szCs w:val="24"/>
              </w:rPr>
            </w:pPr>
          </w:p>
        </w:tc>
        <w:tc>
          <w:tcPr>
            <w:tcW w:w="520" w:type="dxa"/>
            <w:vAlign w:val="bottom"/>
          </w:tcPr>
          <w:p w14:paraId="30FE64DC" w14:textId="77777777" w:rsidR="00D1587D" w:rsidRDefault="00410D07">
            <w:pPr>
              <w:jc w:val="right"/>
              <w:rPr>
                <w:sz w:val="20"/>
                <w:szCs w:val="20"/>
              </w:rPr>
            </w:pPr>
            <w:r>
              <w:rPr>
                <w:rFonts w:ascii="Arial" w:eastAsia="Arial" w:hAnsi="Arial" w:cs="Arial"/>
                <w:sz w:val="18"/>
                <w:szCs w:val="18"/>
              </w:rPr>
              <w:t>(101)</w:t>
            </w:r>
          </w:p>
        </w:tc>
        <w:tc>
          <w:tcPr>
            <w:tcW w:w="100" w:type="dxa"/>
            <w:vAlign w:val="bottom"/>
          </w:tcPr>
          <w:p w14:paraId="2A702576" w14:textId="77777777" w:rsidR="00D1587D" w:rsidRDefault="00D1587D">
            <w:pPr>
              <w:rPr>
                <w:sz w:val="24"/>
                <w:szCs w:val="24"/>
              </w:rPr>
            </w:pPr>
          </w:p>
        </w:tc>
        <w:tc>
          <w:tcPr>
            <w:tcW w:w="140" w:type="dxa"/>
            <w:vAlign w:val="bottom"/>
          </w:tcPr>
          <w:p w14:paraId="2B59FC08" w14:textId="77777777" w:rsidR="00D1587D" w:rsidRDefault="00D1587D">
            <w:pPr>
              <w:rPr>
                <w:sz w:val="24"/>
                <w:szCs w:val="24"/>
              </w:rPr>
            </w:pPr>
          </w:p>
        </w:tc>
        <w:tc>
          <w:tcPr>
            <w:tcW w:w="140" w:type="dxa"/>
            <w:vAlign w:val="bottom"/>
          </w:tcPr>
          <w:p w14:paraId="3626826B" w14:textId="77777777" w:rsidR="00D1587D" w:rsidRDefault="00D1587D">
            <w:pPr>
              <w:rPr>
                <w:sz w:val="24"/>
                <w:szCs w:val="24"/>
              </w:rPr>
            </w:pPr>
          </w:p>
        </w:tc>
        <w:tc>
          <w:tcPr>
            <w:tcW w:w="500" w:type="dxa"/>
            <w:vAlign w:val="bottom"/>
          </w:tcPr>
          <w:p w14:paraId="7E660F98" w14:textId="77777777" w:rsidR="00D1587D" w:rsidRDefault="00410D07">
            <w:pPr>
              <w:jc w:val="right"/>
              <w:rPr>
                <w:sz w:val="20"/>
                <w:szCs w:val="20"/>
              </w:rPr>
            </w:pPr>
            <w:r>
              <w:rPr>
                <w:rFonts w:ascii="Arial" w:eastAsia="Arial" w:hAnsi="Arial" w:cs="Arial"/>
                <w:sz w:val="18"/>
                <w:szCs w:val="18"/>
              </w:rPr>
              <w:t>(892)</w:t>
            </w:r>
          </w:p>
        </w:tc>
        <w:tc>
          <w:tcPr>
            <w:tcW w:w="240" w:type="dxa"/>
            <w:vAlign w:val="bottom"/>
          </w:tcPr>
          <w:p w14:paraId="2C713A6C" w14:textId="77777777" w:rsidR="00D1587D" w:rsidRDefault="00D1587D">
            <w:pPr>
              <w:rPr>
                <w:sz w:val="24"/>
                <w:szCs w:val="24"/>
              </w:rPr>
            </w:pPr>
          </w:p>
        </w:tc>
        <w:tc>
          <w:tcPr>
            <w:tcW w:w="120" w:type="dxa"/>
            <w:vAlign w:val="bottom"/>
          </w:tcPr>
          <w:p w14:paraId="0EDB12FC" w14:textId="77777777" w:rsidR="00D1587D" w:rsidRDefault="00D1587D">
            <w:pPr>
              <w:rPr>
                <w:sz w:val="24"/>
                <w:szCs w:val="24"/>
              </w:rPr>
            </w:pPr>
          </w:p>
        </w:tc>
        <w:tc>
          <w:tcPr>
            <w:tcW w:w="500" w:type="dxa"/>
            <w:vAlign w:val="bottom"/>
          </w:tcPr>
          <w:p w14:paraId="0574078C" w14:textId="77777777" w:rsidR="00D1587D" w:rsidRDefault="00410D07">
            <w:pPr>
              <w:jc w:val="right"/>
              <w:rPr>
                <w:sz w:val="20"/>
                <w:szCs w:val="20"/>
              </w:rPr>
            </w:pPr>
            <w:r>
              <w:rPr>
                <w:rFonts w:ascii="Arial" w:eastAsia="Arial" w:hAnsi="Arial" w:cs="Arial"/>
                <w:sz w:val="18"/>
                <w:szCs w:val="18"/>
              </w:rPr>
              <w:t>400</w:t>
            </w:r>
          </w:p>
        </w:tc>
        <w:tc>
          <w:tcPr>
            <w:tcW w:w="120" w:type="dxa"/>
            <w:vAlign w:val="bottom"/>
          </w:tcPr>
          <w:p w14:paraId="4F522999" w14:textId="77777777" w:rsidR="00D1587D" w:rsidRDefault="00D1587D">
            <w:pPr>
              <w:rPr>
                <w:sz w:val="24"/>
                <w:szCs w:val="24"/>
              </w:rPr>
            </w:pPr>
          </w:p>
        </w:tc>
        <w:tc>
          <w:tcPr>
            <w:tcW w:w="940" w:type="dxa"/>
            <w:gridSpan w:val="3"/>
            <w:vAlign w:val="bottom"/>
          </w:tcPr>
          <w:p w14:paraId="1E12C513" w14:textId="77777777" w:rsidR="00D1587D" w:rsidRDefault="00410D07">
            <w:pPr>
              <w:ind w:right="240"/>
              <w:jc w:val="right"/>
              <w:rPr>
                <w:sz w:val="20"/>
                <w:szCs w:val="20"/>
              </w:rPr>
            </w:pPr>
            <w:r>
              <w:rPr>
                <w:rFonts w:ascii="Arial" w:eastAsia="Arial" w:hAnsi="Arial" w:cs="Arial"/>
                <w:sz w:val="18"/>
                <w:szCs w:val="18"/>
              </w:rPr>
              <w:t>89%</w:t>
            </w:r>
          </w:p>
        </w:tc>
        <w:tc>
          <w:tcPr>
            <w:tcW w:w="540" w:type="dxa"/>
            <w:vAlign w:val="bottom"/>
          </w:tcPr>
          <w:p w14:paraId="511F325B" w14:textId="77777777" w:rsidR="00D1587D" w:rsidRDefault="00410D07">
            <w:pPr>
              <w:jc w:val="right"/>
              <w:rPr>
                <w:sz w:val="20"/>
                <w:szCs w:val="20"/>
              </w:rPr>
            </w:pPr>
            <w:r>
              <w:rPr>
                <w:rFonts w:ascii="Arial" w:eastAsia="Arial" w:hAnsi="Arial" w:cs="Arial"/>
                <w:w w:val="89"/>
                <w:sz w:val="18"/>
                <w:szCs w:val="18"/>
              </w:rPr>
              <w:t>(323)%</w:t>
            </w:r>
          </w:p>
        </w:tc>
      </w:tr>
      <w:tr w:rsidR="00D1587D" w14:paraId="0CF1FD75" w14:textId="77777777">
        <w:trPr>
          <w:trHeight w:val="40"/>
        </w:trPr>
        <w:tc>
          <w:tcPr>
            <w:tcW w:w="4340" w:type="dxa"/>
            <w:vAlign w:val="bottom"/>
          </w:tcPr>
          <w:p w14:paraId="6D560C6B" w14:textId="77777777" w:rsidR="00D1587D" w:rsidRDefault="00D1587D">
            <w:pPr>
              <w:rPr>
                <w:sz w:val="3"/>
                <w:szCs w:val="3"/>
              </w:rPr>
            </w:pPr>
          </w:p>
        </w:tc>
        <w:tc>
          <w:tcPr>
            <w:tcW w:w="120" w:type="dxa"/>
            <w:vAlign w:val="bottom"/>
          </w:tcPr>
          <w:p w14:paraId="19274F46" w14:textId="77777777" w:rsidR="00D1587D" w:rsidRDefault="00D1587D">
            <w:pPr>
              <w:rPr>
                <w:sz w:val="3"/>
                <w:szCs w:val="3"/>
              </w:rPr>
            </w:pPr>
          </w:p>
        </w:tc>
        <w:tc>
          <w:tcPr>
            <w:tcW w:w="100" w:type="dxa"/>
            <w:vAlign w:val="bottom"/>
          </w:tcPr>
          <w:p w14:paraId="1418E136" w14:textId="77777777" w:rsidR="00D1587D" w:rsidRDefault="00D1587D">
            <w:pPr>
              <w:rPr>
                <w:sz w:val="3"/>
                <w:szCs w:val="3"/>
              </w:rPr>
            </w:pPr>
          </w:p>
        </w:tc>
        <w:tc>
          <w:tcPr>
            <w:tcW w:w="520" w:type="dxa"/>
            <w:vAlign w:val="bottom"/>
          </w:tcPr>
          <w:p w14:paraId="1984919D" w14:textId="77777777" w:rsidR="00D1587D" w:rsidRDefault="00D1587D">
            <w:pPr>
              <w:rPr>
                <w:sz w:val="3"/>
                <w:szCs w:val="3"/>
              </w:rPr>
            </w:pPr>
          </w:p>
        </w:tc>
        <w:tc>
          <w:tcPr>
            <w:tcW w:w="100" w:type="dxa"/>
            <w:vAlign w:val="bottom"/>
          </w:tcPr>
          <w:p w14:paraId="0DD2E1F8" w14:textId="77777777" w:rsidR="00D1587D" w:rsidRDefault="00D1587D">
            <w:pPr>
              <w:rPr>
                <w:sz w:val="3"/>
                <w:szCs w:val="3"/>
              </w:rPr>
            </w:pPr>
          </w:p>
        </w:tc>
        <w:tc>
          <w:tcPr>
            <w:tcW w:w="140" w:type="dxa"/>
            <w:vAlign w:val="bottom"/>
          </w:tcPr>
          <w:p w14:paraId="6E33A7D4" w14:textId="77777777" w:rsidR="00D1587D" w:rsidRDefault="00D1587D">
            <w:pPr>
              <w:rPr>
                <w:sz w:val="3"/>
                <w:szCs w:val="3"/>
              </w:rPr>
            </w:pPr>
          </w:p>
        </w:tc>
        <w:tc>
          <w:tcPr>
            <w:tcW w:w="140" w:type="dxa"/>
            <w:vAlign w:val="bottom"/>
          </w:tcPr>
          <w:p w14:paraId="4EBA6DD2" w14:textId="77777777" w:rsidR="00D1587D" w:rsidRDefault="00D1587D">
            <w:pPr>
              <w:rPr>
                <w:sz w:val="3"/>
                <w:szCs w:val="3"/>
              </w:rPr>
            </w:pPr>
          </w:p>
        </w:tc>
        <w:tc>
          <w:tcPr>
            <w:tcW w:w="500" w:type="dxa"/>
            <w:vAlign w:val="bottom"/>
          </w:tcPr>
          <w:p w14:paraId="6113EA3A" w14:textId="77777777" w:rsidR="00D1587D" w:rsidRDefault="00D1587D">
            <w:pPr>
              <w:rPr>
                <w:sz w:val="3"/>
                <w:szCs w:val="3"/>
              </w:rPr>
            </w:pPr>
          </w:p>
        </w:tc>
        <w:tc>
          <w:tcPr>
            <w:tcW w:w="240" w:type="dxa"/>
            <w:vAlign w:val="bottom"/>
          </w:tcPr>
          <w:p w14:paraId="540DA436" w14:textId="77777777" w:rsidR="00D1587D" w:rsidRDefault="00D1587D">
            <w:pPr>
              <w:rPr>
                <w:sz w:val="3"/>
                <w:szCs w:val="3"/>
              </w:rPr>
            </w:pPr>
          </w:p>
        </w:tc>
        <w:tc>
          <w:tcPr>
            <w:tcW w:w="120" w:type="dxa"/>
            <w:vAlign w:val="bottom"/>
          </w:tcPr>
          <w:p w14:paraId="2A619019" w14:textId="77777777" w:rsidR="00D1587D" w:rsidRDefault="00D1587D">
            <w:pPr>
              <w:rPr>
                <w:sz w:val="3"/>
                <w:szCs w:val="3"/>
              </w:rPr>
            </w:pPr>
          </w:p>
        </w:tc>
        <w:tc>
          <w:tcPr>
            <w:tcW w:w="500" w:type="dxa"/>
            <w:vAlign w:val="bottom"/>
          </w:tcPr>
          <w:p w14:paraId="7BE1D8CF" w14:textId="77777777" w:rsidR="00D1587D" w:rsidRDefault="00D1587D">
            <w:pPr>
              <w:rPr>
                <w:sz w:val="3"/>
                <w:szCs w:val="3"/>
              </w:rPr>
            </w:pPr>
          </w:p>
        </w:tc>
        <w:tc>
          <w:tcPr>
            <w:tcW w:w="120" w:type="dxa"/>
            <w:vAlign w:val="bottom"/>
          </w:tcPr>
          <w:p w14:paraId="22477337" w14:textId="77777777" w:rsidR="00D1587D" w:rsidRDefault="00D1587D">
            <w:pPr>
              <w:rPr>
                <w:sz w:val="3"/>
                <w:szCs w:val="3"/>
              </w:rPr>
            </w:pPr>
          </w:p>
        </w:tc>
        <w:tc>
          <w:tcPr>
            <w:tcW w:w="120" w:type="dxa"/>
            <w:vAlign w:val="bottom"/>
          </w:tcPr>
          <w:p w14:paraId="2A1BBBC1" w14:textId="77777777" w:rsidR="00D1587D" w:rsidRDefault="00D1587D">
            <w:pPr>
              <w:rPr>
                <w:sz w:val="3"/>
                <w:szCs w:val="3"/>
              </w:rPr>
            </w:pPr>
          </w:p>
        </w:tc>
        <w:tc>
          <w:tcPr>
            <w:tcW w:w="580" w:type="dxa"/>
            <w:vAlign w:val="bottom"/>
          </w:tcPr>
          <w:p w14:paraId="04FEAC7D" w14:textId="77777777" w:rsidR="00D1587D" w:rsidRDefault="00D1587D">
            <w:pPr>
              <w:rPr>
                <w:sz w:val="3"/>
                <w:szCs w:val="3"/>
              </w:rPr>
            </w:pPr>
          </w:p>
        </w:tc>
        <w:tc>
          <w:tcPr>
            <w:tcW w:w="240" w:type="dxa"/>
            <w:vAlign w:val="bottom"/>
          </w:tcPr>
          <w:p w14:paraId="392BF4ED" w14:textId="77777777" w:rsidR="00D1587D" w:rsidRDefault="00D1587D">
            <w:pPr>
              <w:rPr>
                <w:sz w:val="3"/>
                <w:szCs w:val="3"/>
              </w:rPr>
            </w:pPr>
          </w:p>
        </w:tc>
        <w:tc>
          <w:tcPr>
            <w:tcW w:w="540" w:type="dxa"/>
            <w:vAlign w:val="bottom"/>
          </w:tcPr>
          <w:p w14:paraId="666006CE" w14:textId="77777777" w:rsidR="00D1587D" w:rsidRDefault="00D1587D">
            <w:pPr>
              <w:rPr>
                <w:sz w:val="3"/>
                <w:szCs w:val="3"/>
              </w:rPr>
            </w:pPr>
          </w:p>
        </w:tc>
      </w:tr>
      <w:tr w:rsidR="00D1587D" w14:paraId="22604231" w14:textId="77777777">
        <w:trPr>
          <w:trHeight w:val="277"/>
        </w:trPr>
        <w:tc>
          <w:tcPr>
            <w:tcW w:w="4340" w:type="dxa"/>
            <w:tcBorders>
              <w:bottom w:val="single" w:sz="8" w:space="0" w:color="CCEEFF"/>
            </w:tcBorders>
            <w:shd w:val="clear" w:color="auto" w:fill="CCEEFF"/>
            <w:vAlign w:val="bottom"/>
          </w:tcPr>
          <w:p w14:paraId="3A952535" w14:textId="77777777" w:rsidR="00D1587D" w:rsidRDefault="00410D07">
            <w:pPr>
              <w:rPr>
                <w:sz w:val="20"/>
                <w:szCs w:val="20"/>
              </w:rPr>
            </w:pPr>
            <w:r>
              <w:rPr>
                <w:rFonts w:ascii="Arial" w:eastAsia="Arial" w:hAnsi="Arial" w:cs="Arial"/>
                <w:sz w:val="18"/>
                <w:szCs w:val="18"/>
              </w:rPr>
              <w:t>Interest Expense</w:t>
            </w:r>
          </w:p>
        </w:tc>
        <w:tc>
          <w:tcPr>
            <w:tcW w:w="120" w:type="dxa"/>
            <w:tcBorders>
              <w:bottom w:val="single" w:sz="8" w:space="0" w:color="CCEEFF"/>
            </w:tcBorders>
            <w:shd w:val="clear" w:color="auto" w:fill="CCEEFF"/>
            <w:vAlign w:val="bottom"/>
          </w:tcPr>
          <w:p w14:paraId="06C12279"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A54229F" w14:textId="77777777" w:rsidR="00D1587D" w:rsidRDefault="00D1587D">
            <w:pPr>
              <w:rPr>
                <w:sz w:val="24"/>
                <w:szCs w:val="24"/>
              </w:rPr>
            </w:pPr>
          </w:p>
        </w:tc>
        <w:tc>
          <w:tcPr>
            <w:tcW w:w="520" w:type="dxa"/>
            <w:tcBorders>
              <w:bottom w:val="single" w:sz="8" w:space="0" w:color="CCEEFF"/>
            </w:tcBorders>
            <w:shd w:val="clear" w:color="auto" w:fill="CCEEFF"/>
            <w:vAlign w:val="bottom"/>
          </w:tcPr>
          <w:p w14:paraId="48C0FD1C" w14:textId="77777777" w:rsidR="00D1587D" w:rsidRDefault="00410D07">
            <w:pPr>
              <w:jc w:val="right"/>
              <w:rPr>
                <w:sz w:val="20"/>
                <w:szCs w:val="20"/>
              </w:rPr>
            </w:pPr>
            <w:r>
              <w:rPr>
                <w:rFonts w:ascii="Arial" w:eastAsia="Arial" w:hAnsi="Arial" w:cs="Arial"/>
                <w:sz w:val="18"/>
                <w:szCs w:val="18"/>
              </w:rPr>
              <w:t>(6)</w:t>
            </w:r>
          </w:p>
        </w:tc>
        <w:tc>
          <w:tcPr>
            <w:tcW w:w="100" w:type="dxa"/>
            <w:tcBorders>
              <w:bottom w:val="single" w:sz="8" w:space="0" w:color="CCEEFF"/>
            </w:tcBorders>
            <w:shd w:val="clear" w:color="auto" w:fill="CCEEFF"/>
            <w:vAlign w:val="bottom"/>
          </w:tcPr>
          <w:p w14:paraId="2EBB02B9" w14:textId="77777777" w:rsidR="00D1587D" w:rsidRDefault="00D1587D">
            <w:pPr>
              <w:rPr>
                <w:sz w:val="24"/>
                <w:szCs w:val="24"/>
              </w:rPr>
            </w:pPr>
          </w:p>
        </w:tc>
        <w:tc>
          <w:tcPr>
            <w:tcW w:w="140" w:type="dxa"/>
            <w:tcBorders>
              <w:bottom w:val="single" w:sz="8" w:space="0" w:color="CCEEFF"/>
            </w:tcBorders>
            <w:shd w:val="clear" w:color="auto" w:fill="CCEEFF"/>
            <w:vAlign w:val="bottom"/>
          </w:tcPr>
          <w:p w14:paraId="57644E18" w14:textId="77777777" w:rsidR="00D1587D" w:rsidRDefault="00D1587D">
            <w:pPr>
              <w:rPr>
                <w:sz w:val="24"/>
                <w:szCs w:val="24"/>
              </w:rPr>
            </w:pPr>
          </w:p>
        </w:tc>
        <w:tc>
          <w:tcPr>
            <w:tcW w:w="140" w:type="dxa"/>
            <w:tcBorders>
              <w:bottom w:val="single" w:sz="8" w:space="0" w:color="CCEEFF"/>
            </w:tcBorders>
            <w:shd w:val="clear" w:color="auto" w:fill="CCEEFF"/>
            <w:vAlign w:val="bottom"/>
          </w:tcPr>
          <w:p w14:paraId="3E14D539"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044B1C4" w14:textId="77777777" w:rsidR="00D1587D" w:rsidRDefault="00410D07">
            <w:pPr>
              <w:jc w:val="right"/>
              <w:rPr>
                <w:sz w:val="20"/>
                <w:szCs w:val="20"/>
              </w:rPr>
            </w:pPr>
            <w:r>
              <w:rPr>
                <w:rFonts w:ascii="Arial" w:eastAsia="Arial" w:hAnsi="Arial" w:cs="Arial"/>
                <w:sz w:val="18"/>
                <w:szCs w:val="18"/>
              </w:rPr>
              <w:t>(8)</w:t>
            </w:r>
          </w:p>
        </w:tc>
        <w:tc>
          <w:tcPr>
            <w:tcW w:w="240" w:type="dxa"/>
            <w:tcBorders>
              <w:bottom w:val="single" w:sz="8" w:space="0" w:color="CCEEFF"/>
            </w:tcBorders>
            <w:shd w:val="clear" w:color="auto" w:fill="CCEEFF"/>
            <w:vAlign w:val="bottom"/>
          </w:tcPr>
          <w:p w14:paraId="26647FAD" w14:textId="77777777" w:rsidR="00D1587D" w:rsidRDefault="00D1587D">
            <w:pPr>
              <w:rPr>
                <w:sz w:val="24"/>
                <w:szCs w:val="24"/>
              </w:rPr>
            </w:pPr>
          </w:p>
        </w:tc>
        <w:tc>
          <w:tcPr>
            <w:tcW w:w="120" w:type="dxa"/>
            <w:tcBorders>
              <w:bottom w:val="single" w:sz="8" w:space="0" w:color="CCEEFF"/>
            </w:tcBorders>
            <w:shd w:val="clear" w:color="auto" w:fill="CCEEFF"/>
            <w:vAlign w:val="bottom"/>
          </w:tcPr>
          <w:p w14:paraId="7882D0A8"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D8BC1CE" w14:textId="77777777" w:rsidR="00D1587D" w:rsidRDefault="00410D07">
            <w:pPr>
              <w:jc w:val="right"/>
              <w:rPr>
                <w:sz w:val="20"/>
                <w:szCs w:val="20"/>
              </w:rPr>
            </w:pPr>
            <w:r>
              <w:rPr>
                <w:rFonts w:ascii="Arial" w:eastAsia="Arial" w:hAnsi="Arial" w:cs="Arial"/>
                <w:sz w:val="18"/>
                <w:szCs w:val="18"/>
              </w:rPr>
              <w:t>(2)</w:t>
            </w:r>
          </w:p>
        </w:tc>
        <w:tc>
          <w:tcPr>
            <w:tcW w:w="120" w:type="dxa"/>
            <w:tcBorders>
              <w:bottom w:val="single" w:sz="8" w:space="0" w:color="CCEEFF"/>
            </w:tcBorders>
            <w:shd w:val="clear" w:color="auto" w:fill="CCEEFF"/>
            <w:vAlign w:val="bottom"/>
          </w:tcPr>
          <w:p w14:paraId="0596D095" w14:textId="77777777" w:rsidR="00D1587D" w:rsidRDefault="00D1587D">
            <w:pPr>
              <w:rPr>
                <w:sz w:val="24"/>
                <w:szCs w:val="24"/>
              </w:rPr>
            </w:pPr>
          </w:p>
        </w:tc>
        <w:tc>
          <w:tcPr>
            <w:tcW w:w="940" w:type="dxa"/>
            <w:gridSpan w:val="3"/>
            <w:tcBorders>
              <w:bottom w:val="single" w:sz="8" w:space="0" w:color="CCEEFF"/>
            </w:tcBorders>
            <w:shd w:val="clear" w:color="auto" w:fill="CCEEFF"/>
            <w:vAlign w:val="bottom"/>
          </w:tcPr>
          <w:p w14:paraId="05CCA851" w14:textId="77777777" w:rsidR="00D1587D" w:rsidRDefault="00410D07">
            <w:pPr>
              <w:ind w:right="240"/>
              <w:jc w:val="right"/>
              <w:rPr>
                <w:sz w:val="20"/>
                <w:szCs w:val="20"/>
              </w:rPr>
            </w:pPr>
            <w:r>
              <w:rPr>
                <w:rFonts w:ascii="Arial" w:eastAsia="Arial" w:hAnsi="Arial" w:cs="Arial"/>
                <w:sz w:val="18"/>
                <w:szCs w:val="18"/>
              </w:rPr>
              <w:t>(25)%</w:t>
            </w:r>
          </w:p>
        </w:tc>
        <w:tc>
          <w:tcPr>
            <w:tcW w:w="540" w:type="dxa"/>
            <w:tcBorders>
              <w:bottom w:val="single" w:sz="8" w:space="0" w:color="CCEEFF"/>
            </w:tcBorders>
            <w:shd w:val="clear" w:color="auto" w:fill="CCEEFF"/>
            <w:vAlign w:val="bottom"/>
          </w:tcPr>
          <w:p w14:paraId="1761EA25" w14:textId="77777777" w:rsidR="00D1587D" w:rsidRDefault="00410D07">
            <w:pPr>
              <w:jc w:val="right"/>
              <w:rPr>
                <w:sz w:val="20"/>
                <w:szCs w:val="20"/>
              </w:rPr>
            </w:pPr>
            <w:r>
              <w:rPr>
                <w:rFonts w:ascii="Arial" w:eastAsia="Arial" w:hAnsi="Arial" w:cs="Arial"/>
                <w:sz w:val="18"/>
                <w:szCs w:val="18"/>
              </w:rPr>
              <w:t>300%</w:t>
            </w:r>
          </w:p>
        </w:tc>
      </w:tr>
      <w:tr w:rsidR="00D1587D" w14:paraId="2D017EB8" w14:textId="77777777">
        <w:trPr>
          <w:trHeight w:val="257"/>
        </w:trPr>
        <w:tc>
          <w:tcPr>
            <w:tcW w:w="4340" w:type="dxa"/>
            <w:vAlign w:val="bottom"/>
          </w:tcPr>
          <w:p w14:paraId="61D826D8" w14:textId="77777777" w:rsidR="00D1587D" w:rsidRDefault="00410D07">
            <w:pPr>
              <w:rPr>
                <w:sz w:val="20"/>
                <w:szCs w:val="20"/>
              </w:rPr>
            </w:pPr>
            <w:r>
              <w:rPr>
                <w:rFonts w:ascii="Arial" w:eastAsia="Arial" w:hAnsi="Arial" w:cs="Arial"/>
                <w:sz w:val="18"/>
                <w:szCs w:val="18"/>
              </w:rPr>
              <w:t>Other Income (Loss)</w:t>
            </w:r>
          </w:p>
        </w:tc>
        <w:tc>
          <w:tcPr>
            <w:tcW w:w="120" w:type="dxa"/>
            <w:vAlign w:val="bottom"/>
          </w:tcPr>
          <w:p w14:paraId="3C570C87" w14:textId="77777777" w:rsidR="00D1587D" w:rsidRDefault="00D1587D"/>
        </w:tc>
        <w:tc>
          <w:tcPr>
            <w:tcW w:w="100" w:type="dxa"/>
            <w:vAlign w:val="bottom"/>
          </w:tcPr>
          <w:p w14:paraId="72886BA2" w14:textId="77777777" w:rsidR="00D1587D" w:rsidRDefault="00D1587D"/>
        </w:tc>
        <w:tc>
          <w:tcPr>
            <w:tcW w:w="520" w:type="dxa"/>
            <w:vAlign w:val="bottom"/>
          </w:tcPr>
          <w:p w14:paraId="769628D3" w14:textId="77777777" w:rsidR="00D1587D" w:rsidRDefault="00410D07">
            <w:pPr>
              <w:jc w:val="right"/>
              <w:rPr>
                <w:sz w:val="20"/>
                <w:szCs w:val="20"/>
              </w:rPr>
            </w:pPr>
            <w:r>
              <w:rPr>
                <w:rFonts w:ascii="Arial" w:eastAsia="Arial" w:hAnsi="Arial" w:cs="Arial"/>
                <w:sz w:val="18"/>
                <w:szCs w:val="18"/>
              </w:rPr>
              <w:t>1</w:t>
            </w:r>
          </w:p>
        </w:tc>
        <w:tc>
          <w:tcPr>
            <w:tcW w:w="100" w:type="dxa"/>
            <w:vAlign w:val="bottom"/>
          </w:tcPr>
          <w:p w14:paraId="79A913F8" w14:textId="77777777" w:rsidR="00D1587D" w:rsidRDefault="00D1587D"/>
        </w:tc>
        <w:tc>
          <w:tcPr>
            <w:tcW w:w="140" w:type="dxa"/>
            <w:vAlign w:val="bottom"/>
          </w:tcPr>
          <w:p w14:paraId="667011E5" w14:textId="77777777" w:rsidR="00D1587D" w:rsidRDefault="00D1587D"/>
        </w:tc>
        <w:tc>
          <w:tcPr>
            <w:tcW w:w="140" w:type="dxa"/>
            <w:vAlign w:val="bottom"/>
          </w:tcPr>
          <w:p w14:paraId="746B6152" w14:textId="77777777" w:rsidR="00D1587D" w:rsidRDefault="00D1587D"/>
        </w:tc>
        <w:tc>
          <w:tcPr>
            <w:tcW w:w="500" w:type="dxa"/>
            <w:vAlign w:val="bottom"/>
          </w:tcPr>
          <w:p w14:paraId="56816C8A" w14:textId="77777777" w:rsidR="00D1587D" w:rsidRDefault="00410D07">
            <w:pPr>
              <w:jc w:val="right"/>
              <w:rPr>
                <w:sz w:val="20"/>
                <w:szCs w:val="20"/>
              </w:rPr>
            </w:pPr>
            <w:r>
              <w:rPr>
                <w:rFonts w:ascii="Arial" w:eastAsia="Arial" w:hAnsi="Arial" w:cs="Arial"/>
                <w:sz w:val="18"/>
                <w:szCs w:val="18"/>
              </w:rPr>
              <w:t>1</w:t>
            </w:r>
          </w:p>
        </w:tc>
        <w:tc>
          <w:tcPr>
            <w:tcW w:w="240" w:type="dxa"/>
            <w:vAlign w:val="bottom"/>
          </w:tcPr>
          <w:p w14:paraId="3E2DDDBF" w14:textId="77777777" w:rsidR="00D1587D" w:rsidRDefault="00D1587D"/>
        </w:tc>
        <w:tc>
          <w:tcPr>
            <w:tcW w:w="120" w:type="dxa"/>
            <w:vAlign w:val="bottom"/>
          </w:tcPr>
          <w:p w14:paraId="00A0CCA5" w14:textId="77777777" w:rsidR="00D1587D" w:rsidRDefault="00D1587D"/>
        </w:tc>
        <w:tc>
          <w:tcPr>
            <w:tcW w:w="500" w:type="dxa"/>
            <w:vAlign w:val="bottom"/>
          </w:tcPr>
          <w:p w14:paraId="33D78AC4" w14:textId="77777777" w:rsidR="00D1587D" w:rsidRDefault="00410D07">
            <w:pPr>
              <w:jc w:val="right"/>
              <w:rPr>
                <w:sz w:val="20"/>
                <w:szCs w:val="20"/>
              </w:rPr>
            </w:pPr>
            <w:r>
              <w:rPr>
                <w:rFonts w:ascii="Arial" w:eastAsia="Arial" w:hAnsi="Arial" w:cs="Arial"/>
                <w:sz w:val="18"/>
                <w:szCs w:val="18"/>
              </w:rPr>
              <w:t>(7)</w:t>
            </w:r>
          </w:p>
        </w:tc>
        <w:tc>
          <w:tcPr>
            <w:tcW w:w="120" w:type="dxa"/>
            <w:vAlign w:val="bottom"/>
          </w:tcPr>
          <w:p w14:paraId="6EF35D37" w14:textId="77777777" w:rsidR="00D1587D" w:rsidRDefault="00D1587D"/>
        </w:tc>
        <w:tc>
          <w:tcPr>
            <w:tcW w:w="940" w:type="dxa"/>
            <w:gridSpan w:val="3"/>
            <w:vAlign w:val="bottom"/>
          </w:tcPr>
          <w:p w14:paraId="094BEE6C" w14:textId="77777777" w:rsidR="00D1587D" w:rsidRDefault="00410D07">
            <w:pPr>
              <w:ind w:right="240"/>
              <w:jc w:val="right"/>
              <w:rPr>
                <w:sz w:val="20"/>
                <w:szCs w:val="20"/>
              </w:rPr>
            </w:pPr>
            <w:r>
              <w:rPr>
                <w:rFonts w:ascii="Arial" w:eastAsia="Arial" w:hAnsi="Arial" w:cs="Arial"/>
                <w:sz w:val="18"/>
                <w:szCs w:val="18"/>
              </w:rPr>
              <w:t>0%</w:t>
            </w:r>
          </w:p>
        </w:tc>
        <w:tc>
          <w:tcPr>
            <w:tcW w:w="540" w:type="dxa"/>
            <w:vAlign w:val="bottom"/>
          </w:tcPr>
          <w:p w14:paraId="4106629A" w14:textId="77777777" w:rsidR="00D1587D" w:rsidRDefault="00410D07">
            <w:pPr>
              <w:jc w:val="right"/>
              <w:rPr>
                <w:sz w:val="20"/>
                <w:szCs w:val="20"/>
              </w:rPr>
            </w:pPr>
            <w:r>
              <w:rPr>
                <w:rFonts w:ascii="Arial" w:eastAsia="Arial" w:hAnsi="Arial" w:cs="Arial"/>
                <w:sz w:val="18"/>
                <w:szCs w:val="18"/>
              </w:rPr>
              <w:t>114%</w:t>
            </w:r>
          </w:p>
        </w:tc>
      </w:tr>
      <w:tr w:rsidR="00D1587D" w14:paraId="17382238" w14:textId="77777777">
        <w:trPr>
          <w:trHeight w:val="68"/>
        </w:trPr>
        <w:tc>
          <w:tcPr>
            <w:tcW w:w="4340" w:type="dxa"/>
            <w:tcBorders>
              <w:bottom w:val="single" w:sz="8" w:space="0" w:color="CCEEFF"/>
            </w:tcBorders>
            <w:vAlign w:val="bottom"/>
          </w:tcPr>
          <w:p w14:paraId="2D672B57" w14:textId="77777777" w:rsidR="00D1587D" w:rsidRDefault="00D1587D">
            <w:pPr>
              <w:rPr>
                <w:sz w:val="5"/>
                <w:szCs w:val="5"/>
              </w:rPr>
            </w:pPr>
          </w:p>
        </w:tc>
        <w:tc>
          <w:tcPr>
            <w:tcW w:w="120" w:type="dxa"/>
            <w:tcBorders>
              <w:bottom w:val="single" w:sz="8" w:space="0" w:color="CCEEFF"/>
            </w:tcBorders>
            <w:vAlign w:val="bottom"/>
          </w:tcPr>
          <w:p w14:paraId="69F681EB" w14:textId="77777777" w:rsidR="00D1587D" w:rsidRDefault="00D1587D">
            <w:pPr>
              <w:rPr>
                <w:sz w:val="5"/>
                <w:szCs w:val="5"/>
              </w:rPr>
            </w:pPr>
          </w:p>
        </w:tc>
        <w:tc>
          <w:tcPr>
            <w:tcW w:w="100" w:type="dxa"/>
            <w:tcBorders>
              <w:bottom w:val="single" w:sz="8" w:space="0" w:color="auto"/>
            </w:tcBorders>
            <w:vAlign w:val="bottom"/>
          </w:tcPr>
          <w:p w14:paraId="30E301FE" w14:textId="77777777" w:rsidR="00D1587D" w:rsidRDefault="00D1587D">
            <w:pPr>
              <w:rPr>
                <w:sz w:val="5"/>
                <w:szCs w:val="5"/>
              </w:rPr>
            </w:pPr>
          </w:p>
        </w:tc>
        <w:tc>
          <w:tcPr>
            <w:tcW w:w="520" w:type="dxa"/>
            <w:tcBorders>
              <w:bottom w:val="single" w:sz="8" w:space="0" w:color="auto"/>
            </w:tcBorders>
            <w:vAlign w:val="bottom"/>
          </w:tcPr>
          <w:p w14:paraId="0FD03D26" w14:textId="77777777" w:rsidR="00D1587D" w:rsidRDefault="00D1587D">
            <w:pPr>
              <w:rPr>
                <w:sz w:val="5"/>
                <w:szCs w:val="5"/>
              </w:rPr>
            </w:pPr>
          </w:p>
        </w:tc>
        <w:tc>
          <w:tcPr>
            <w:tcW w:w="100" w:type="dxa"/>
            <w:tcBorders>
              <w:bottom w:val="single" w:sz="8" w:space="0" w:color="CCEEFF"/>
            </w:tcBorders>
            <w:vAlign w:val="bottom"/>
          </w:tcPr>
          <w:p w14:paraId="42C6A668" w14:textId="77777777" w:rsidR="00D1587D" w:rsidRDefault="00D1587D">
            <w:pPr>
              <w:rPr>
                <w:sz w:val="5"/>
                <w:szCs w:val="5"/>
              </w:rPr>
            </w:pPr>
          </w:p>
        </w:tc>
        <w:tc>
          <w:tcPr>
            <w:tcW w:w="140" w:type="dxa"/>
            <w:tcBorders>
              <w:bottom w:val="single" w:sz="8" w:space="0" w:color="CCEEFF"/>
            </w:tcBorders>
            <w:vAlign w:val="bottom"/>
          </w:tcPr>
          <w:p w14:paraId="59EAC82F" w14:textId="77777777" w:rsidR="00D1587D" w:rsidRDefault="00D1587D">
            <w:pPr>
              <w:rPr>
                <w:sz w:val="5"/>
                <w:szCs w:val="5"/>
              </w:rPr>
            </w:pPr>
          </w:p>
        </w:tc>
        <w:tc>
          <w:tcPr>
            <w:tcW w:w="140" w:type="dxa"/>
            <w:tcBorders>
              <w:bottom w:val="single" w:sz="8" w:space="0" w:color="auto"/>
            </w:tcBorders>
            <w:vAlign w:val="bottom"/>
          </w:tcPr>
          <w:p w14:paraId="1F0E9C33" w14:textId="77777777" w:rsidR="00D1587D" w:rsidRDefault="00D1587D">
            <w:pPr>
              <w:rPr>
                <w:sz w:val="5"/>
                <w:szCs w:val="5"/>
              </w:rPr>
            </w:pPr>
          </w:p>
        </w:tc>
        <w:tc>
          <w:tcPr>
            <w:tcW w:w="500" w:type="dxa"/>
            <w:tcBorders>
              <w:bottom w:val="single" w:sz="8" w:space="0" w:color="auto"/>
            </w:tcBorders>
            <w:vAlign w:val="bottom"/>
          </w:tcPr>
          <w:p w14:paraId="0E8B244D" w14:textId="77777777" w:rsidR="00D1587D" w:rsidRDefault="00D1587D">
            <w:pPr>
              <w:rPr>
                <w:sz w:val="5"/>
                <w:szCs w:val="5"/>
              </w:rPr>
            </w:pPr>
          </w:p>
        </w:tc>
        <w:tc>
          <w:tcPr>
            <w:tcW w:w="240" w:type="dxa"/>
            <w:tcBorders>
              <w:bottom w:val="single" w:sz="8" w:space="0" w:color="CCEEFF"/>
            </w:tcBorders>
            <w:vAlign w:val="bottom"/>
          </w:tcPr>
          <w:p w14:paraId="0AFC544D" w14:textId="77777777" w:rsidR="00D1587D" w:rsidRDefault="00D1587D">
            <w:pPr>
              <w:rPr>
                <w:sz w:val="5"/>
                <w:szCs w:val="5"/>
              </w:rPr>
            </w:pPr>
          </w:p>
        </w:tc>
        <w:tc>
          <w:tcPr>
            <w:tcW w:w="120" w:type="dxa"/>
            <w:tcBorders>
              <w:bottom w:val="single" w:sz="8" w:space="0" w:color="auto"/>
            </w:tcBorders>
            <w:vAlign w:val="bottom"/>
          </w:tcPr>
          <w:p w14:paraId="0D3AB58A" w14:textId="77777777" w:rsidR="00D1587D" w:rsidRDefault="00D1587D">
            <w:pPr>
              <w:rPr>
                <w:sz w:val="5"/>
                <w:szCs w:val="5"/>
              </w:rPr>
            </w:pPr>
          </w:p>
        </w:tc>
        <w:tc>
          <w:tcPr>
            <w:tcW w:w="500" w:type="dxa"/>
            <w:tcBorders>
              <w:bottom w:val="single" w:sz="8" w:space="0" w:color="auto"/>
            </w:tcBorders>
            <w:vAlign w:val="bottom"/>
          </w:tcPr>
          <w:p w14:paraId="20531F04" w14:textId="77777777" w:rsidR="00D1587D" w:rsidRDefault="00D1587D">
            <w:pPr>
              <w:rPr>
                <w:sz w:val="5"/>
                <w:szCs w:val="5"/>
              </w:rPr>
            </w:pPr>
          </w:p>
        </w:tc>
        <w:tc>
          <w:tcPr>
            <w:tcW w:w="120" w:type="dxa"/>
            <w:tcBorders>
              <w:bottom w:val="single" w:sz="8" w:space="0" w:color="CCEEFF"/>
            </w:tcBorders>
            <w:vAlign w:val="bottom"/>
          </w:tcPr>
          <w:p w14:paraId="2FD9928D" w14:textId="77777777" w:rsidR="00D1587D" w:rsidRDefault="00D1587D">
            <w:pPr>
              <w:rPr>
                <w:sz w:val="5"/>
                <w:szCs w:val="5"/>
              </w:rPr>
            </w:pPr>
          </w:p>
        </w:tc>
        <w:tc>
          <w:tcPr>
            <w:tcW w:w="120" w:type="dxa"/>
            <w:tcBorders>
              <w:bottom w:val="single" w:sz="8" w:space="0" w:color="CCEEFF"/>
            </w:tcBorders>
            <w:vAlign w:val="bottom"/>
          </w:tcPr>
          <w:p w14:paraId="48D80A9B" w14:textId="77777777" w:rsidR="00D1587D" w:rsidRDefault="00D1587D">
            <w:pPr>
              <w:rPr>
                <w:sz w:val="5"/>
                <w:szCs w:val="5"/>
              </w:rPr>
            </w:pPr>
          </w:p>
        </w:tc>
        <w:tc>
          <w:tcPr>
            <w:tcW w:w="580" w:type="dxa"/>
            <w:tcBorders>
              <w:bottom w:val="single" w:sz="8" w:space="0" w:color="CCEEFF"/>
            </w:tcBorders>
            <w:vAlign w:val="bottom"/>
          </w:tcPr>
          <w:p w14:paraId="231BBEEB" w14:textId="77777777" w:rsidR="00D1587D" w:rsidRDefault="00D1587D">
            <w:pPr>
              <w:rPr>
                <w:sz w:val="5"/>
                <w:szCs w:val="5"/>
              </w:rPr>
            </w:pPr>
          </w:p>
        </w:tc>
        <w:tc>
          <w:tcPr>
            <w:tcW w:w="240" w:type="dxa"/>
            <w:tcBorders>
              <w:bottom w:val="single" w:sz="8" w:space="0" w:color="CCEEFF"/>
            </w:tcBorders>
            <w:vAlign w:val="bottom"/>
          </w:tcPr>
          <w:p w14:paraId="7A77F258" w14:textId="77777777" w:rsidR="00D1587D" w:rsidRDefault="00D1587D">
            <w:pPr>
              <w:rPr>
                <w:sz w:val="5"/>
                <w:szCs w:val="5"/>
              </w:rPr>
            </w:pPr>
          </w:p>
        </w:tc>
        <w:tc>
          <w:tcPr>
            <w:tcW w:w="540" w:type="dxa"/>
            <w:tcBorders>
              <w:bottom w:val="single" w:sz="8" w:space="0" w:color="CCEEFF"/>
            </w:tcBorders>
            <w:vAlign w:val="bottom"/>
          </w:tcPr>
          <w:p w14:paraId="669903EA" w14:textId="77777777" w:rsidR="00D1587D" w:rsidRDefault="00D1587D">
            <w:pPr>
              <w:rPr>
                <w:sz w:val="5"/>
                <w:szCs w:val="5"/>
              </w:rPr>
            </w:pPr>
          </w:p>
        </w:tc>
      </w:tr>
      <w:tr w:rsidR="00D1587D" w14:paraId="2E6AC181" w14:textId="77777777">
        <w:trPr>
          <w:trHeight w:val="298"/>
        </w:trPr>
        <w:tc>
          <w:tcPr>
            <w:tcW w:w="4340" w:type="dxa"/>
            <w:tcBorders>
              <w:bottom w:val="single" w:sz="8" w:space="0" w:color="CCEEFF"/>
            </w:tcBorders>
            <w:shd w:val="clear" w:color="auto" w:fill="CCEEFF"/>
            <w:vAlign w:val="bottom"/>
          </w:tcPr>
          <w:p w14:paraId="5F857BA2" w14:textId="77777777" w:rsidR="00D1587D" w:rsidRDefault="00410D07">
            <w:pPr>
              <w:rPr>
                <w:sz w:val="20"/>
                <w:szCs w:val="20"/>
              </w:rPr>
            </w:pPr>
            <w:r>
              <w:rPr>
                <w:rFonts w:ascii="Arial" w:eastAsia="Arial" w:hAnsi="Arial" w:cs="Arial"/>
                <w:sz w:val="18"/>
                <w:szCs w:val="18"/>
              </w:rPr>
              <w:t>Income (Loss) Before Income Taxes</w:t>
            </w:r>
          </w:p>
        </w:tc>
        <w:tc>
          <w:tcPr>
            <w:tcW w:w="120" w:type="dxa"/>
            <w:tcBorders>
              <w:bottom w:val="single" w:sz="8" w:space="0" w:color="CCEEFF"/>
            </w:tcBorders>
            <w:shd w:val="clear" w:color="auto" w:fill="CCEEFF"/>
            <w:vAlign w:val="bottom"/>
          </w:tcPr>
          <w:p w14:paraId="1EE4E606" w14:textId="77777777" w:rsidR="00D1587D" w:rsidRDefault="00D1587D">
            <w:pPr>
              <w:rPr>
                <w:sz w:val="24"/>
                <w:szCs w:val="24"/>
              </w:rPr>
            </w:pPr>
          </w:p>
        </w:tc>
        <w:tc>
          <w:tcPr>
            <w:tcW w:w="100" w:type="dxa"/>
            <w:tcBorders>
              <w:bottom w:val="single" w:sz="8" w:space="0" w:color="CCEEFF"/>
            </w:tcBorders>
            <w:shd w:val="clear" w:color="auto" w:fill="CCEEFF"/>
            <w:vAlign w:val="bottom"/>
          </w:tcPr>
          <w:p w14:paraId="4E59246F" w14:textId="77777777" w:rsidR="00D1587D" w:rsidRDefault="00D1587D">
            <w:pPr>
              <w:rPr>
                <w:sz w:val="24"/>
                <w:szCs w:val="24"/>
              </w:rPr>
            </w:pPr>
          </w:p>
        </w:tc>
        <w:tc>
          <w:tcPr>
            <w:tcW w:w="520" w:type="dxa"/>
            <w:tcBorders>
              <w:bottom w:val="single" w:sz="8" w:space="0" w:color="CCEEFF"/>
            </w:tcBorders>
            <w:shd w:val="clear" w:color="auto" w:fill="CCEEFF"/>
            <w:vAlign w:val="bottom"/>
          </w:tcPr>
          <w:p w14:paraId="4CD78F43" w14:textId="77777777" w:rsidR="00D1587D" w:rsidRDefault="00410D07">
            <w:pPr>
              <w:jc w:val="right"/>
              <w:rPr>
                <w:sz w:val="20"/>
                <w:szCs w:val="20"/>
              </w:rPr>
            </w:pPr>
            <w:r>
              <w:rPr>
                <w:rFonts w:ascii="Arial" w:eastAsia="Arial" w:hAnsi="Arial" w:cs="Arial"/>
                <w:sz w:val="18"/>
                <w:szCs w:val="18"/>
              </w:rPr>
              <w:t>(106)</w:t>
            </w:r>
          </w:p>
        </w:tc>
        <w:tc>
          <w:tcPr>
            <w:tcW w:w="100" w:type="dxa"/>
            <w:tcBorders>
              <w:bottom w:val="single" w:sz="8" w:space="0" w:color="CCEEFF"/>
            </w:tcBorders>
            <w:shd w:val="clear" w:color="auto" w:fill="CCEEFF"/>
            <w:vAlign w:val="bottom"/>
          </w:tcPr>
          <w:p w14:paraId="049FEE7C" w14:textId="77777777" w:rsidR="00D1587D" w:rsidRDefault="00D1587D">
            <w:pPr>
              <w:rPr>
                <w:sz w:val="24"/>
                <w:szCs w:val="24"/>
              </w:rPr>
            </w:pPr>
          </w:p>
        </w:tc>
        <w:tc>
          <w:tcPr>
            <w:tcW w:w="140" w:type="dxa"/>
            <w:tcBorders>
              <w:bottom w:val="single" w:sz="8" w:space="0" w:color="CCEEFF"/>
            </w:tcBorders>
            <w:shd w:val="clear" w:color="auto" w:fill="CCEEFF"/>
            <w:vAlign w:val="bottom"/>
          </w:tcPr>
          <w:p w14:paraId="068CC92B" w14:textId="77777777" w:rsidR="00D1587D" w:rsidRDefault="00D1587D">
            <w:pPr>
              <w:rPr>
                <w:sz w:val="24"/>
                <w:szCs w:val="24"/>
              </w:rPr>
            </w:pPr>
          </w:p>
        </w:tc>
        <w:tc>
          <w:tcPr>
            <w:tcW w:w="140" w:type="dxa"/>
            <w:tcBorders>
              <w:bottom w:val="single" w:sz="8" w:space="0" w:color="CCEEFF"/>
            </w:tcBorders>
            <w:shd w:val="clear" w:color="auto" w:fill="CCEEFF"/>
            <w:vAlign w:val="bottom"/>
          </w:tcPr>
          <w:p w14:paraId="620E19FC" w14:textId="77777777" w:rsidR="00D1587D" w:rsidRDefault="00D1587D">
            <w:pPr>
              <w:rPr>
                <w:sz w:val="24"/>
                <w:szCs w:val="24"/>
              </w:rPr>
            </w:pPr>
          </w:p>
        </w:tc>
        <w:tc>
          <w:tcPr>
            <w:tcW w:w="500" w:type="dxa"/>
            <w:tcBorders>
              <w:bottom w:val="single" w:sz="8" w:space="0" w:color="CCEEFF"/>
            </w:tcBorders>
            <w:shd w:val="clear" w:color="auto" w:fill="CCEEFF"/>
            <w:vAlign w:val="bottom"/>
          </w:tcPr>
          <w:p w14:paraId="5207CE8F" w14:textId="77777777" w:rsidR="00D1587D" w:rsidRDefault="00410D07">
            <w:pPr>
              <w:jc w:val="right"/>
              <w:rPr>
                <w:sz w:val="20"/>
                <w:szCs w:val="20"/>
              </w:rPr>
            </w:pPr>
            <w:r>
              <w:rPr>
                <w:rFonts w:ascii="Arial" w:eastAsia="Arial" w:hAnsi="Arial" w:cs="Arial"/>
                <w:sz w:val="18"/>
                <w:szCs w:val="18"/>
              </w:rPr>
              <w:t>(899)</w:t>
            </w:r>
          </w:p>
        </w:tc>
        <w:tc>
          <w:tcPr>
            <w:tcW w:w="240" w:type="dxa"/>
            <w:tcBorders>
              <w:bottom w:val="single" w:sz="8" w:space="0" w:color="CCEEFF"/>
            </w:tcBorders>
            <w:shd w:val="clear" w:color="auto" w:fill="CCEEFF"/>
            <w:vAlign w:val="bottom"/>
          </w:tcPr>
          <w:p w14:paraId="108C2103" w14:textId="77777777" w:rsidR="00D1587D" w:rsidRDefault="00D1587D">
            <w:pPr>
              <w:rPr>
                <w:sz w:val="24"/>
                <w:szCs w:val="24"/>
              </w:rPr>
            </w:pPr>
          </w:p>
        </w:tc>
        <w:tc>
          <w:tcPr>
            <w:tcW w:w="120" w:type="dxa"/>
            <w:tcBorders>
              <w:bottom w:val="single" w:sz="8" w:space="0" w:color="CCEEFF"/>
            </w:tcBorders>
            <w:shd w:val="clear" w:color="auto" w:fill="CCEEFF"/>
            <w:vAlign w:val="bottom"/>
          </w:tcPr>
          <w:p w14:paraId="6ADB3A7E"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75FDBC5" w14:textId="77777777" w:rsidR="00D1587D" w:rsidRDefault="00410D07">
            <w:pPr>
              <w:jc w:val="right"/>
              <w:rPr>
                <w:sz w:val="20"/>
                <w:szCs w:val="20"/>
              </w:rPr>
            </w:pPr>
            <w:r>
              <w:rPr>
                <w:rFonts w:ascii="Arial" w:eastAsia="Arial" w:hAnsi="Arial" w:cs="Arial"/>
                <w:sz w:val="18"/>
                <w:szCs w:val="18"/>
              </w:rPr>
              <w:t>391</w:t>
            </w:r>
          </w:p>
        </w:tc>
        <w:tc>
          <w:tcPr>
            <w:tcW w:w="120" w:type="dxa"/>
            <w:tcBorders>
              <w:bottom w:val="single" w:sz="8" w:space="0" w:color="CCEEFF"/>
            </w:tcBorders>
            <w:shd w:val="clear" w:color="auto" w:fill="CCEEFF"/>
            <w:vAlign w:val="bottom"/>
          </w:tcPr>
          <w:p w14:paraId="337F1944" w14:textId="77777777" w:rsidR="00D1587D" w:rsidRDefault="00D1587D">
            <w:pPr>
              <w:rPr>
                <w:sz w:val="24"/>
                <w:szCs w:val="24"/>
              </w:rPr>
            </w:pPr>
          </w:p>
        </w:tc>
        <w:tc>
          <w:tcPr>
            <w:tcW w:w="940" w:type="dxa"/>
            <w:gridSpan w:val="3"/>
            <w:tcBorders>
              <w:bottom w:val="single" w:sz="8" w:space="0" w:color="CCEEFF"/>
            </w:tcBorders>
            <w:shd w:val="clear" w:color="auto" w:fill="CCEEFF"/>
            <w:vAlign w:val="bottom"/>
          </w:tcPr>
          <w:p w14:paraId="2DF9138E" w14:textId="77777777" w:rsidR="00D1587D" w:rsidRDefault="00410D07">
            <w:pPr>
              <w:ind w:right="240"/>
              <w:jc w:val="right"/>
              <w:rPr>
                <w:sz w:val="20"/>
                <w:szCs w:val="20"/>
              </w:rPr>
            </w:pPr>
            <w:r>
              <w:rPr>
                <w:rFonts w:ascii="Arial" w:eastAsia="Arial" w:hAnsi="Arial" w:cs="Arial"/>
                <w:sz w:val="18"/>
                <w:szCs w:val="18"/>
              </w:rPr>
              <w:t>88%</w:t>
            </w:r>
          </w:p>
        </w:tc>
        <w:tc>
          <w:tcPr>
            <w:tcW w:w="540" w:type="dxa"/>
            <w:tcBorders>
              <w:bottom w:val="single" w:sz="8" w:space="0" w:color="CCEEFF"/>
            </w:tcBorders>
            <w:shd w:val="clear" w:color="auto" w:fill="CCEEFF"/>
            <w:vAlign w:val="bottom"/>
          </w:tcPr>
          <w:p w14:paraId="476FFDDC" w14:textId="77777777" w:rsidR="00D1587D" w:rsidRDefault="00410D07">
            <w:pPr>
              <w:jc w:val="right"/>
              <w:rPr>
                <w:sz w:val="20"/>
                <w:szCs w:val="20"/>
              </w:rPr>
            </w:pPr>
            <w:r>
              <w:rPr>
                <w:rFonts w:ascii="Arial" w:eastAsia="Arial" w:hAnsi="Arial" w:cs="Arial"/>
                <w:w w:val="89"/>
                <w:sz w:val="18"/>
                <w:szCs w:val="18"/>
              </w:rPr>
              <w:t>(330)%</w:t>
            </w:r>
          </w:p>
        </w:tc>
      </w:tr>
      <w:tr w:rsidR="00D1587D" w14:paraId="0B66A680" w14:textId="77777777">
        <w:trPr>
          <w:trHeight w:val="257"/>
        </w:trPr>
        <w:tc>
          <w:tcPr>
            <w:tcW w:w="4340" w:type="dxa"/>
            <w:vAlign w:val="bottom"/>
          </w:tcPr>
          <w:p w14:paraId="508E50DF" w14:textId="77777777" w:rsidR="00D1587D" w:rsidRDefault="00410D07">
            <w:pPr>
              <w:rPr>
                <w:sz w:val="20"/>
                <w:szCs w:val="20"/>
              </w:rPr>
            </w:pPr>
            <w:r>
              <w:rPr>
                <w:rFonts w:ascii="Arial" w:eastAsia="Arial" w:hAnsi="Arial" w:cs="Arial"/>
                <w:sz w:val="18"/>
                <w:szCs w:val="18"/>
              </w:rPr>
              <w:t>Provision (Benefit) for Income Taxes</w:t>
            </w:r>
          </w:p>
        </w:tc>
        <w:tc>
          <w:tcPr>
            <w:tcW w:w="120" w:type="dxa"/>
            <w:vAlign w:val="bottom"/>
          </w:tcPr>
          <w:p w14:paraId="7EC16123" w14:textId="77777777" w:rsidR="00D1587D" w:rsidRDefault="00D1587D"/>
        </w:tc>
        <w:tc>
          <w:tcPr>
            <w:tcW w:w="100" w:type="dxa"/>
            <w:vAlign w:val="bottom"/>
          </w:tcPr>
          <w:p w14:paraId="5BB86BA8" w14:textId="77777777" w:rsidR="00D1587D" w:rsidRDefault="00D1587D"/>
        </w:tc>
        <w:tc>
          <w:tcPr>
            <w:tcW w:w="520" w:type="dxa"/>
            <w:vAlign w:val="bottom"/>
          </w:tcPr>
          <w:p w14:paraId="4D06F442" w14:textId="77777777" w:rsidR="00D1587D" w:rsidRDefault="00410D07">
            <w:pPr>
              <w:jc w:val="right"/>
              <w:rPr>
                <w:sz w:val="20"/>
                <w:szCs w:val="20"/>
              </w:rPr>
            </w:pPr>
            <w:r>
              <w:rPr>
                <w:rFonts w:ascii="Arial" w:eastAsia="Arial" w:hAnsi="Arial" w:cs="Arial"/>
                <w:sz w:val="18"/>
                <w:szCs w:val="18"/>
              </w:rPr>
              <w:t>(34)</w:t>
            </w:r>
          </w:p>
        </w:tc>
        <w:tc>
          <w:tcPr>
            <w:tcW w:w="100" w:type="dxa"/>
            <w:vAlign w:val="bottom"/>
          </w:tcPr>
          <w:p w14:paraId="1ED554DB" w14:textId="77777777" w:rsidR="00D1587D" w:rsidRDefault="00D1587D"/>
        </w:tc>
        <w:tc>
          <w:tcPr>
            <w:tcW w:w="140" w:type="dxa"/>
            <w:vAlign w:val="bottom"/>
          </w:tcPr>
          <w:p w14:paraId="792516F8" w14:textId="77777777" w:rsidR="00D1587D" w:rsidRDefault="00D1587D"/>
        </w:tc>
        <w:tc>
          <w:tcPr>
            <w:tcW w:w="140" w:type="dxa"/>
            <w:vAlign w:val="bottom"/>
          </w:tcPr>
          <w:p w14:paraId="1EEF17E4" w14:textId="77777777" w:rsidR="00D1587D" w:rsidRDefault="00D1587D"/>
        </w:tc>
        <w:tc>
          <w:tcPr>
            <w:tcW w:w="500" w:type="dxa"/>
            <w:vAlign w:val="bottom"/>
          </w:tcPr>
          <w:p w14:paraId="5574399A" w14:textId="77777777" w:rsidR="00D1587D" w:rsidRDefault="00410D07">
            <w:pPr>
              <w:jc w:val="right"/>
              <w:rPr>
                <w:sz w:val="20"/>
                <w:szCs w:val="20"/>
              </w:rPr>
            </w:pPr>
            <w:r>
              <w:rPr>
                <w:rFonts w:ascii="Arial" w:eastAsia="Arial" w:hAnsi="Arial" w:cs="Arial"/>
                <w:sz w:val="18"/>
                <w:szCs w:val="18"/>
              </w:rPr>
              <w:t>(2)</w:t>
            </w:r>
          </w:p>
        </w:tc>
        <w:tc>
          <w:tcPr>
            <w:tcW w:w="240" w:type="dxa"/>
            <w:vAlign w:val="bottom"/>
          </w:tcPr>
          <w:p w14:paraId="66D2B67D" w14:textId="77777777" w:rsidR="00D1587D" w:rsidRDefault="00D1587D"/>
        </w:tc>
        <w:tc>
          <w:tcPr>
            <w:tcW w:w="120" w:type="dxa"/>
            <w:vAlign w:val="bottom"/>
          </w:tcPr>
          <w:p w14:paraId="3CAFC8AE" w14:textId="77777777" w:rsidR="00D1587D" w:rsidRDefault="00D1587D"/>
        </w:tc>
        <w:tc>
          <w:tcPr>
            <w:tcW w:w="500" w:type="dxa"/>
            <w:vAlign w:val="bottom"/>
          </w:tcPr>
          <w:p w14:paraId="3EB28AEF" w14:textId="77777777" w:rsidR="00D1587D" w:rsidRDefault="00410D07">
            <w:pPr>
              <w:jc w:val="right"/>
              <w:rPr>
                <w:sz w:val="20"/>
                <w:szCs w:val="20"/>
              </w:rPr>
            </w:pPr>
            <w:r>
              <w:rPr>
                <w:rFonts w:ascii="Arial" w:eastAsia="Arial" w:hAnsi="Arial" w:cs="Arial"/>
                <w:sz w:val="18"/>
                <w:szCs w:val="18"/>
              </w:rPr>
              <w:t>140</w:t>
            </w:r>
          </w:p>
        </w:tc>
        <w:tc>
          <w:tcPr>
            <w:tcW w:w="120" w:type="dxa"/>
            <w:vAlign w:val="bottom"/>
          </w:tcPr>
          <w:p w14:paraId="6288D6DA" w14:textId="77777777" w:rsidR="00D1587D" w:rsidRDefault="00D1587D"/>
        </w:tc>
        <w:tc>
          <w:tcPr>
            <w:tcW w:w="940" w:type="dxa"/>
            <w:gridSpan w:val="3"/>
            <w:vAlign w:val="bottom"/>
          </w:tcPr>
          <w:p w14:paraId="36A755D8" w14:textId="77777777" w:rsidR="00D1587D" w:rsidRDefault="00410D07">
            <w:pPr>
              <w:ind w:right="240"/>
              <w:jc w:val="right"/>
              <w:rPr>
                <w:sz w:val="20"/>
                <w:szCs w:val="20"/>
              </w:rPr>
            </w:pPr>
            <w:r>
              <w:rPr>
                <w:rFonts w:ascii="Arial" w:eastAsia="Arial" w:hAnsi="Arial" w:cs="Arial"/>
                <w:sz w:val="18"/>
                <w:szCs w:val="18"/>
              </w:rPr>
              <w:t>1,600%</w:t>
            </w:r>
          </w:p>
        </w:tc>
        <w:tc>
          <w:tcPr>
            <w:tcW w:w="540" w:type="dxa"/>
            <w:vAlign w:val="bottom"/>
          </w:tcPr>
          <w:p w14:paraId="4C95017B" w14:textId="77777777" w:rsidR="00D1587D" w:rsidRDefault="00410D07">
            <w:pPr>
              <w:jc w:val="right"/>
              <w:rPr>
                <w:sz w:val="20"/>
                <w:szCs w:val="20"/>
              </w:rPr>
            </w:pPr>
            <w:r>
              <w:rPr>
                <w:rFonts w:ascii="Arial" w:eastAsia="Arial" w:hAnsi="Arial" w:cs="Arial"/>
                <w:w w:val="89"/>
                <w:sz w:val="18"/>
                <w:szCs w:val="18"/>
              </w:rPr>
              <w:t>(101)%</w:t>
            </w:r>
          </w:p>
        </w:tc>
      </w:tr>
      <w:tr w:rsidR="00D1587D" w14:paraId="5F2760B7" w14:textId="77777777">
        <w:trPr>
          <w:trHeight w:val="68"/>
        </w:trPr>
        <w:tc>
          <w:tcPr>
            <w:tcW w:w="4340" w:type="dxa"/>
            <w:tcBorders>
              <w:bottom w:val="single" w:sz="8" w:space="0" w:color="CCEEFF"/>
            </w:tcBorders>
            <w:vAlign w:val="bottom"/>
          </w:tcPr>
          <w:p w14:paraId="7C0E35AB" w14:textId="77777777" w:rsidR="00D1587D" w:rsidRDefault="00D1587D">
            <w:pPr>
              <w:rPr>
                <w:sz w:val="5"/>
                <w:szCs w:val="5"/>
              </w:rPr>
            </w:pPr>
          </w:p>
        </w:tc>
        <w:tc>
          <w:tcPr>
            <w:tcW w:w="120" w:type="dxa"/>
            <w:tcBorders>
              <w:bottom w:val="single" w:sz="8" w:space="0" w:color="CCEEFF"/>
            </w:tcBorders>
            <w:vAlign w:val="bottom"/>
          </w:tcPr>
          <w:p w14:paraId="482DD1AA" w14:textId="77777777" w:rsidR="00D1587D" w:rsidRDefault="00D1587D">
            <w:pPr>
              <w:rPr>
                <w:sz w:val="5"/>
                <w:szCs w:val="5"/>
              </w:rPr>
            </w:pPr>
          </w:p>
        </w:tc>
        <w:tc>
          <w:tcPr>
            <w:tcW w:w="100" w:type="dxa"/>
            <w:tcBorders>
              <w:bottom w:val="single" w:sz="8" w:space="0" w:color="auto"/>
            </w:tcBorders>
            <w:vAlign w:val="bottom"/>
          </w:tcPr>
          <w:p w14:paraId="20D13A01" w14:textId="77777777" w:rsidR="00D1587D" w:rsidRDefault="00D1587D">
            <w:pPr>
              <w:rPr>
                <w:sz w:val="5"/>
                <w:szCs w:val="5"/>
              </w:rPr>
            </w:pPr>
          </w:p>
        </w:tc>
        <w:tc>
          <w:tcPr>
            <w:tcW w:w="520" w:type="dxa"/>
            <w:tcBorders>
              <w:bottom w:val="single" w:sz="8" w:space="0" w:color="auto"/>
            </w:tcBorders>
            <w:vAlign w:val="bottom"/>
          </w:tcPr>
          <w:p w14:paraId="15AB0AA3" w14:textId="77777777" w:rsidR="00D1587D" w:rsidRDefault="00D1587D">
            <w:pPr>
              <w:rPr>
                <w:sz w:val="5"/>
                <w:szCs w:val="5"/>
              </w:rPr>
            </w:pPr>
          </w:p>
        </w:tc>
        <w:tc>
          <w:tcPr>
            <w:tcW w:w="100" w:type="dxa"/>
            <w:tcBorders>
              <w:bottom w:val="single" w:sz="8" w:space="0" w:color="CCEEFF"/>
            </w:tcBorders>
            <w:vAlign w:val="bottom"/>
          </w:tcPr>
          <w:p w14:paraId="5DC3D39F" w14:textId="77777777" w:rsidR="00D1587D" w:rsidRDefault="00D1587D">
            <w:pPr>
              <w:rPr>
                <w:sz w:val="5"/>
                <w:szCs w:val="5"/>
              </w:rPr>
            </w:pPr>
          </w:p>
        </w:tc>
        <w:tc>
          <w:tcPr>
            <w:tcW w:w="140" w:type="dxa"/>
            <w:tcBorders>
              <w:bottom w:val="single" w:sz="8" w:space="0" w:color="CCEEFF"/>
            </w:tcBorders>
            <w:vAlign w:val="bottom"/>
          </w:tcPr>
          <w:p w14:paraId="3C9A74BF" w14:textId="77777777" w:rsidR="00D1587D" w:rsidRDefault="00D1587D">
            <w:pPr>
              <w:rPr>
                <w:sz w:val="5"/>
                <w:szCs w:val="5"/>
              </w:rPr>
            </w:pPr>
          </w:p>
        </w:tc>
        <w:tc>
          <w:tcPr>
            <w:tcW w:w="140" w:type="dxa"/>
            <w:tcBorders>
              <w:bottom w:val="single" w:sz="8" w:space="0" w:color="auto"/>
            </w:tcBorders>
            <w:vAlign w:val="bottom"/>
          </w:tcPr>
          <w:p w14:paraId="0C7D9224" w14:textId="77777777" w:rsidR="00D1587D" w:rsidRDefault="00D1587D">
            <w:pPr>
              <w:rPr>
                <w:sz w:val="5"/>
                <w:szCs w:val="5"/>
              </w:rPr>
            </w:pPr>
          </w:p>
        </w:tc>
        <w:tc>
          <w:tcPr>
            <w:tcW w:w="500" w:type="dxa"/>
            <w:tcBorders>
              <w:bottom w:val="single" w:sz="8" w:space="0" w:color="auto"/>
            </w:tcBorders>
            <w:vAlign w:val="bottom"/>
          </w:tcPr>
          <w:p w14:paraId="485C1EE2" w14:textId="77777777" w:rsidR="00D1587D" w:rsidRDefault="00D1587D">
            <w:pPr>
              <w:rPr>
                <w:sz w:val="5"/>
                <w:szCs w:val="5"/>
              </w:rPr>
            </w:pPr>
          </w:p>
        </w:tc>
        <w:tc>
          <w:tcPr>
            <w:tcW w:w="240" w:type="dxa"/>
            <w:tcBorders>
              <w:bottom w:val="single" w:sz="8" w:space="0" w:color="CCEEFF"/>
            </w:tcBorders>
            <w:vAlign w:val="bottom"/>
          </w:tcPr>
          <w:p w14:paraId="11199999" w14:textId="77777777" w:rsidR="00D1587D" w:rsidRDefault="00D1587D">
            <w:pPr>
              <w:rPr>
                <w:sz w:val="5"/>
                <w:szCs w:val="5"/>
              </w:rPr>
            </w:pPr>
          </w:p>
        </w:tc>
        <w:tc>
          <w:tcPr>
            <w:tcW w:w="120" w:type="dxa"/>
            <w:tcBorders>
              <w:bottom w:val="single" w:sz="8" w:space="0" w:color="auto"/>
            </w:tcBorders>
            <w:vAlign w:val="bottom"/>
          </w:tcPr>
          <w:p w14:paraId="1E263FBA" w14:textId="77777777" w:rsidR="00D1587D" w:rsidRDefault="00D1587D">
            <w:pPr>
              <w:rPr>
                <w:sz w:val="5"/>
                <w:szCs w:val="5"/>
              </w:rPr>
            </w:pPr>
          </w:p>
        </w:tc>
        <w:tc>
          <w:tcPr>
            <w:tcW w:w="500" w:type="dxa"/>
            <w:tcBorders>
              <w:bottom w:val="single" w:sz="8" w:space="0" w:color="auto"/>
            </w:tcBorders>
            <w:vAlign w:val="bottom"/>
          </w:tcPr>
          <w:p w14:paraId="3C677E70" w14:textId="77777777" w:rsidR="00D1587D" w:rsidRDefault="00D1587D">
            <w:pPr>
              <w:rPr>
                <w:sz w:val="5"/>
                <w:szCs w:val="5"/>
              </w:rPr>
            </w:pPr>
          </w:p>
        </w:tc>
        <w:tc>
          <w:tcPr>
            <w:tcW w:w="120" w:type="dxa"/>
            <w:tcBorders>
              <w:bottom w:val="single" w:sz="8" w:space="0" w:color="CCEEFF"/>
            </w:tcBorders>
            <w:vAlign w:val="bottom"/>
          </w:tcPr>
          <w:p w14:paraId="696A6D8B" w14:textId="77777777" w:rsidR="00D1587D" w:rsidRDefault="00D1587D">
            <w:pPr>
              <w:rPr>
                <w:sz w:val="5"/>
                <w:szCs w:val="5"/>
              </w:rPr>
            </w:pPr>
          </w:p>
        </w:tc>
        <w:tc>
          <w:tcPr>
            <w:tcW w:w="120" w:type="dxa"/>
            <w:tcBorders>
              <w:bottom w:val="single" w:sz="8" w:space="0" w:color="CCEEFF"/>
            </w:tcBorders>
            <w:vAlign w:val="bottom"/>
          </w:tcPr>
          <w:p w14:paraId="32F96C0D" w14:textId="77777777" w:rsidR="00D1587D" w:rsidRDefault="00D1587D">
            <w:pPr>
              <w:rPr>
                <w:sz w:val="5"/>
                <w:szCs w:val="5"/>
              </w:rPr>
            </w:pPr>
          </w:p>
        </w:tc>
        <w:tc>
          <w:tcPr>
            <w:tcW w:w="580" w:type="dxa"/>
            <w:tcBorders>
              <w:bottom w:val="single" w:sz="8" w:space="0" w:color="CCEEFF"/>
            </w:tcBorders>
            <w:vAlign w:val="bottom"/>
          </w:tcPr>
          <w:p w14:paraId="25B3008C" w14:textId="77777777" w:rsidR="00D1587D" w:rsidRDefault="00D1587D">
            <w:pPr>
              <w:rPr>
                <w:sz w:val="5"/>
                <w:szCs w:val="5"/>
              </w:rPr>
            </w:pPr>
          </w:p>
        </w:tc>
        <w:tc>
          <w:tcPr>
            <w:tcW w:w="240" w:type="dxa"/>
            <w:tcBorders>
              <w:bottom w:val="single" w:sz="8" w:space="0" w:color="CCEEFF"/>
            </w:tcBorders>
            <w:vAlign w:val="bottom"/>
          </w:tcPr>
          <w:p w14:paraId="5F28BBD2" w14:textId="77777777" w:rsidR="00D1587D" w:rsidRDefault="00D1587D">
            <w:pPr>
              <w:rPr>
                <w:sz w:val="5"/>
                <w:szCs w:val="5"/>
              </w:rPr>
            </w:pPr>
          </w:p>
        </w:tc>
        <w:tc>
          <w:tcPr>
            <w:tcW w:w="540" w:type="dxa"/>
            <w:tcBorders>
              <w:bottom w:val="single" w:sz="8" w:space="0" w:color="CCEEFF"/>
            </w:tcBorders>
            <w:vAlign w:val="bottom"/>
          </w:tcPr>
          <w:p w14:paraId="38BA53A3" w14:textId="77777777" w:rsidR="00D1587D" w:rsidRDefault="00D1587D">
            <w:pPr>
              <w:rPr>
                <w:sz w:val="5"/>
                <w:szCs w:val="5"/>
              </w:rPr>
            </w:pPr>
          </w:p>
        </w:tc>
      </w:tr>
      <w:tr w:rsidR="00D1587D" w14:paraId="698FC7CD" w14:textId="77777777">
        <w:trPr>
          <w:trHeight w:val="403"/>
        </w:trPr>
        <w:tc>
          <w:tcPr>
            <w:tcW w:w="4340" w:type="dxa"/>
            <w:tcBorders>
              <w:bottom w:val="single" w:sz="8" w:space="0" w:color="CCEEFF"/>
            </w:tcBorders>
            <w:shd w:val="clear" w:color="auto" w:fill="CCEEFF"/>
            <w:vAlign w:val="bottom"/>
          </w:tcPr>
          <w:p w14:paraId="04B637C8" w14:textId="77777777" w:rsidR="00D1587D" w:rsidRDefault="00410D07">
            <w:pPr>
              <w:rPr>
                <w:sz w:val="20"/>
                <w:szCs w:val="20"/>
              </w:rPr>
            </w:pPr>
            <w:r>
              <w:rPr>
                <w:rFonts w:ascii="Arial" w:eastAsia="Arial" w:hAnsi="Arial" w:cs="Arial"/>
                <w:sz w:val="18"/>
                <w:szCs w:val="18"/>
              </w:rPr>
              <w:t>Net Income (Loss)</w:t>
            </w:r>
          </w:p>
        </w:tc>
        <w:tc>
          <w:tcPr>
            <w:tcW w:w="120" w:type="dxa"/>
            <w:tcBorders>
              <w:bottom w:val="single" w:sz="8" w:space="0" w:color="CCEEFF"/>
            </w:tcBorders>
            <w:shd w:val="clear" w:color="auto" w:fill="CCEEFF"/>
            <w:vAlign w:val="bottom"/>
          </w:tcPr>
          <w:p w14:paraId="5D86AB54"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2678DC9" w14:textId="77777777" w:rsidR="00D1587D" w:rsidRDefault="00410D07">
            <w:pPr>
              <w:jc w:val="right"/>
              <w:rPr>
                <w:sz w:val="20"/>
                <w:szCs w:val="20"/>
              </w:rPr>
            </w:pPr>
            <w:r>
              <w:rPr>
                <w:rFonts w:ascii="Arial" w:eastAsia="Arial" w:hAnsi="Arial" w:cs="Arial"/>
                <w:w w:val="79"/>
                <w:sz w:val="18"/>
                <w:szCs w:val="18"/>
              </w:rPr>
              <w:t>$</w:t>
            </w:r>
          </w:p>
        </w:tc>
        <w:tc>
          <w:tcPr>
            <w:tcW w:w="520" w:type="dxa"/>
            <w:tcBorders>
              <w:bottom w:val="single" w:sz="8" w:space="0" w:color="CCEEFF"/>
            </w:tcBorders>
            <w:shd w:val="clear" w:color="auto" w:fill="CCEEFF"/>
            <w:vAlign w:val="bottom"/>
          </w:tcPr>
          <w:p w14:paraId="29B70A73" w14:textId="77777777" w:rsidR="00D1587D" w:rsidRDefault="00410D07">
            <w:pPr>
              <w:jc w:val="right"/>
              <w:rPr>
                <w:sz w:val="20"/>
                <w:szCs w:val="20"/>
              </w:rPr>
            </w:pPr>
            <w:r>
              <w:rPr>
                <w:rFonts w:ascii="Arial" w:eastAsia="Arial" w:hAnsi="Arial" w:cs="Arial"/>
                <w:sz w:val="18"/>
                <w:szCs w:val="18"/>
              </w:rPr>
              <w:t>(72)</w:t>
            </w:r>
          </w:p>
        </w:tc>
        <w:tc>
          <w:tcPr>
            <w:tcW w:w="100" w:type="dxa"/>
            <w:tcBorders>
              <w:bottom w:val="single" w:sz="8" w:space="0" w:color="CCEEFF"/>
            </w:tcBorders>
            <w:shd w:val="clear" w:color="auto" w:fill="CCEEFF"/>
            <w:vAlign w:val="bottom"/>
          </w:tcPr>
          <w:p w14:paraId="6E189A9E" w14:textId="77777777" w:rsidR="00D1587D" w:rsidRDefault="00D1587D">
            <w:pPr>
              <w:rPr>
                <w:sz w:val="24"/>
                <w:szCs w:val="24"/>
              </w:rPr>
            </w:pPr>
          </w:p>
        </w:tc>
        <w:tc>
          <w:tcPr>
            <w:tcW w:w="280" w:type="dxa"/>
            <w:gridSpan w:val="2"/>
            <w:tcBorders>
              <w:bottom w:val="single" w:sz="8" w:space="0" w:color="CCEEFF"/>
            </w:tcBorders>
            <w:shd w:val="clear" w:color="auto" w:fill="CCEEFF"/>
            <w:vAlign w:val="bottom"/>
          </w:tcPr>
          <w:p w14:paraId="40F08C1F" w14:textId="77777777" w:rsidR="00D1587D" w:rsidRDefault="00410D07">
            <w:pPr>
              <w:ind w:right="40"/>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673C4A51" w14:textId="77777777" w:rsidR="00D1587D" w:rsidRDefault="00410D07">
            <w:pPr>
              <w:jc w:val="right"/>
              <w:rPr>
                <w:sz w:val="20"/>
                <w:szCs w:val="20"/>
              </w:rPr>
            </w:pPr>
            <w:r>
              <w:rPr>
                <w:rFonts w:ascii="Arial" w:eastAsia="Arial" w:hAnsi="Arial" w:cs="Arial"/>
                <w:sz w:val="18"/>
                <w:szCs w:val="18"/>
              </w:rPr>
              <w:t>(897)</w:t>
            </w:r>
          </w:p>
        </w:tc>
        <w:tc>
          <w:tcPr>
            <w:tcW w:w="240" w:type="dxa"/>
            <w:tcBorders>
              <w:bottom w:val="single" w:sz="8" w:space="0" w:color="CCEEFF"/>
            </w:tcBorders>
            <w:shd w:val="clear" w:color="auto" w:fill="CCEEFF"/>
            <w:vAlign w:val="bottom"/>
          </w:tcPr>
          <w:p w14:paraId="0EFBE317" w14:textId="77777777" w:rsidR="00D1587D" w:rsidRDefault="00D1587D">
            <w:pPr>
              <w:rPr>
                <w:sz w:val="24"/>
                <w:szCs w:val="24"/>
              </w:rPr>
            </w:pPr>
          </w:p>
        </w:tc>
        <w:tc>
          <w:tcPr>
            <w:tcW w:w="120" w:type="dxa"/>
            <w:tcBorders>
              <w:bottom w:val="single" w:sz="8" w:space="0" w:color="CCEEFF"/>
            </w:tcBorders>
            <w:shd w:val="clear" w:color="auto" w:fill="CCEEFF"/>
            <w:vAlign w:val="bottom"/>
          </w:tcPr>
          <w:p w14:paraId="70439EC7" w14:textId="77777777" w:rsidR="00D1587D" w:rsidRDefault="00410D07">
            <w:pPr>
              <w:jc w:val="right"/>
              <w:rPr>
                <w:sz w:val="20"/>
                <w:szCs w:val="20"/>
              </w:rPr>
            </w:pPr>
            <w:r>
              <w:rPr>
                <w:rFonts w:ascii="Arial" w:eastAsia="Arial" w:hAnsi="Arial" w:cs="Arial"/>
                <w:w w:val="79"/>
                <w:sz w:val="18"/>
                <w:szCs w:val="18"/>
              </w:rPr>
              <w:t>$</w:t>
            </w:r>
          </w:p>
        </w:tc>
        <w:tc>
          <w:tcPr>
            <w:tcW w:w="500" w:type="dxa"/>
            <w:tcBorders>
              <w:bottom w:val="single" w:sz="8" w:space="0" w:color="CCEEFF"/>
            </w:tcBorders>
            <w:shd w:val="clear" w:color="auto" w:fill="CCEEFF"/>
            <w:vAlign w:val="bottom"/>
          </w:tcPr>
          <w:p w14:paraId="6D2F25B0" w14:textId="77777777" w:rsidR="00D1587D" w:rsidRDefault="00410D07">
            <w:pPr>
              <w:jc w:val="right"/>
              <w:rPr>
                <w:sz w:val="20"/>
                <w:szCs w:val="20"/>
              </w:rPr>
            </w:pPr>
            <w:r>
              <w:rPr>
                <w:rFonts w:ascii="Arial" w:eastAsia="Arial" w:hAnsi="Arial" w:cs="Arial"/>
                <w:sz w:val="18"/>
                <w:szCs w:val="18"/>
              </w:rPr>
              <w:t>251</w:t>
            </w:r>
          </w:p>
        </w:tc>
        <w:tc>
          <w:tcPr>
            <w:tcW w:w="120" w:type="dxa"/>
            <w:tcBorders>
              <w:bottom w:val="single" w:sz="8" w:space="0" w:color="CCEEFF"/>
            </w:tcBorders>
            <w:shd w:val="clear" w:color="auto" w:fill="CCEEFF"/>
            <w:vAlign w:val="bottom"/>
          </w:tcPr>
          <w:p w14:paraId="44C5B245" w14:textId="77777777" w:rsidR="00D1587D" w:rsidRDefault="00D1587D">
            <w:pPr>
              <w:rPr>
                <w:sz w:val="24"/>
                <w:szCs w:val="24"/>
              </w:rPr>
            </w:pPr>
          </w:p>
        </w:tc>
        <w:tc>
          <w:tcPr>
            <w:tcW w:w="940" w:type="dxa"/>
            <w:gridSpan w:val="3"/>
            <w:tcBorders>
              <w:bottom w:val="single" w:sz="8" w:space="0" w:color="CCEEFF"/>
            </w:tcBorders>
            <w:shd w:val="clear" w:color="auto" w:fill="CCEEFF"/>
            <w:vAlign w:val="bottom"/>
          </w:tcPr>
          <w:p w14:paraId="6F54D91B" w14:textId="77777777" w:rsidR="00D1587D" w:rsidRDefault="00410D07">
            <w:pPr>
              <w:ind w:right="240"/>
              <w:jc w:val="right"/>
              <w:rPr>
                <w:sz w:val="20"/>
                <w:szCs w:val="20"/>
              </w:rPr>
            </w:pPr>
            <w:r>
              <w:rPr>
                <w:rFonts w:ascii="Arial" w:eastAsia="Arial" w:hAnsi="Arial" w:cs="Arial"/>
                <w:sz w:val="18"/>
                <w:szCs w:val="18"/>
              </w:rPr>
              <w:t>92%</w:t>
            </w:r>
          </w:p>
        </w:tc>
        <w:tc>
          <w:tcPr>
            <w:tcW w:w="540" w:type="dxa"/>
            <w:tcBorders>
              <w:bottom w:val="single" w:sz="8" w:space="0" w:color="CCEEFF"/>
            </w:tcBorders>
            <w:shd w:val="clear" w:color="auto" w:fill="CCEEFF"/>
            <w:vAlign w:val="bottom"/>
          </w:tcPr>
          <w:p w14:paraId="2519CB0F" w14:textId="77777777" w:rsidR="00D1587D" w:rsidRDefault="00410D07">
            <w:pPr>
              <w:jc w:val="right"/>
              <w:rPr>
                <w:sz w:val="20"/>
                <w:szCs w:val="20"/>
              </w:rPr>
            </w:pPr>
            <w:r>
              <w:rPr>
                <w:rFonts w:ascii="Arial" w:eastAsia="Arial" w:hAnsi="Arial" w:cs="Arial"/>
                <w:w w:val="89"/>
                <w:sz w:val="18"/>
                <w:szCs w:val="18"/>
              </w:rPr>
              <w:t>(457)%</w:t>
            </w:r>
          </w:p>
        </w:tc>
      </w:tr>
      <w:tr w:rsidR="00D1587D" w14:paraId="5FAC412C" w14:textId="77777777">
        <w:trPr>
          <w:trHeight w:val="20"/>
        </w:trPr>
        <w:tc>
          <w:tcPr>
            <w:tcW w:w="4340" w:type="dxa"/>
            <w:tcBorders>
              <w:top w:val="single" w:sz="8" w:space="0" w:color="CCEEFF"/>
            </w:tcBorders>
            <w:vAlign w:val="bottom"/>
          </w:tcPr>
          <w:p w14:paraId="4BF0FD02" w14:textId="77777777" w:rsidR="00D1587D" w:rsidRDefault="00D1587D">
            <w:pPr>
              <w:spacing w:line="20" w:lineRule="exact"/>
              <w:rPr>
                <w:sz w:val="1"/>
                <w:szCs w:val="1"/>
              </w:rPr>
            </w:pPr>
          </w:p>
        </w:tc>
        <w:tc>
          <w:tcPr>
            <w:tcW w:w="120" w:type="dxa"/>
            <w:tcBorders>
              <w:top w:val="single" w:sz="8" w:space="0" w:color="CCEEFF"/>
            </w:tcBorders>
            <w:vAlign w:val="bottom"/>
          </w:tcPr>
          <w:p w14:paraId="77270107" w14:textId="77777777" w:rsidR="00D1587D" w:rsidRDefault="00D1587D">
            <w:pPr>
              <w:spacing w:line="20" w:lineRule="exact"/>
              <w:rPr>
                <w:sz w:val="1"/>
                <w:szCs w:val="1"/>
              </w:rPr>
            </w:pPr>
          </w:p>
        </w:tc>
        <w:tc>
          <w:tcPr>
            <w:tcW w:w="100" w:type="dxa"/>
            <w:tcBorders>
              <w:top w:val="single" w:sz="8" w:space="0" w:color="auto"/>
            </w:tcBorders>
            <w:shd w:val="clear" w:color="auto" w:fill="000000"/>
            <w:vAlign w:val="bottom"/>
          </w:tcPr>
          <w:p w14:paraId="2E5F5870" w14:textId="77777777" w:rsidR="00D1587D" w:rsidRDefault="00D1587D">
            <w:pPr>
              <w:spacing w:line="20" w:lineRule="exact"/>
              <w:rPr>
                <w:sz w:val="1"/>
                <w:szCs w:val="1"/>
              </w:rPr>
            </w:pPr>
          </w:p>
        </w:tc>
        <w:tc>
          <w:tcPr>
            <w:tcW w:w="520" w:type="dxa"/>
            <w:tcBorders>
              <w:top w:val="single" w:sz="8" w:space="0" w:color="auto"/>
            </w:tcBorders>
            <w:shd w:val="clear" w:color="auto" w:fill="000000"/>
            <w:vAlign w:val="bottom"/>
          </w:tcPr>
          <w:p w14:paraId="1AD093EF" w14:textId="77777777" w:rsidR="00D1587D" w:rsidRDefault="00D1587D">
            <w:pPr>
              <w:spacing w:line="20" w:lineRule="exact"/>
              <w:rPr>
                <w:sz w:val="1"/>
                <w:szCs w:val="1"/>
              </w:rPr>
            </w:pPr>
          </w:p>
        </w:tc>
        <w:tc>
          <w:tcPr>
            <w:tcW w:w="100" w:type="dxa"/>
            <w:tcBorders>
              <w:top w:val="single" w:sz="8" w:space="0" w:color="CCEEFF"/>
            </w:tcBorders>
            <w:vAlign w:val="bottom"/>
          </w:tcPr>
          <w:p w14:paraId="4EC80A18" w14:textId="77777777" w:rsidR="00D1587D" w:rsidRDefault="00D1587D">
            <w:pPr>
              <w:spacing w:line="20" w:lineRule="exact"/>
              <w:rPr>
                <w:sz w:val="1"/>
                <w:szCs w:val="1"/>
              </w:rPr>
            </w:pPr>
          </w:p>
        </w:tc>
        <w:tc>
          <w:tcPr>
            <w:tcW w:w="140" w:type="dxa"/>
            <w:tcBorders>
              <w:top w:val="single" w:sz="8" w:space="0" w:color="CCEEFF"/>
            </w:tcBorders>
            <w:vAlign w:val="bottom"/>
          </w:tcPr>
          <w:p w14:paraId="6B38257D" w14:textId="77777777" w:rsidR="00D1587D" w:rsidRDefault="00D1587D">
            <w:pPr>
              <w:spacing w:line="20" w:lineRule="exact"/>
              <w:rPr>
                <w:sz w:val="1"/>
                <w:szCs w:val="1"/>
              </w:rPr>
            </w:pPr>
          </w:p>
        </w:tc>
        <w:tc>
          <w:tcPr>
            <w:tcW w:w="140" w:type="dxa"/>
            <w:tcBorders>
              <w:top w:val="single" w:sz="8" w:space="0" w:color="auto"/>
            </w:tcBorders>
            <w:shd w:val="clear" w:color="auto" w:fill="000000"/>
            <w:vAlign w:val="bottom"/>
          </w:tcPr>
          <w:p w14:paraId="64032664"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67E4BF70" w14:textId="77777777" w:rsidR="00D1587D" w:rsidRDefault="00D1587D">
            <w:pPr>
              <w:spacing w:line="20" w:lineRule="exact"/>
              <w:rPr>
                <w:sz w:val="1"/>
                <w:szCs w:val="1"/>
              </w:rPr>
            </w:pPr>
          </w:p>
        </w:tc>
        <w:tc>
          <w:tcPr>
            <w:tcW w:w="240" w:type="dxa"/>
            <w:tcBorders>
              <w:top w:val="single" w:sz="8" w:space="0" w:color="CCEEFF"/>
            </w:tcBorders>
            <w:vAlign w:val="bottom"/>
          </w:tcPr>
          <w:p w14:paraId="4D912838" w14:textId="77777777" w:rsidR="00D1587D" w:rsidRDefault="00D1587D">
            <w:pPr>
              <w:spacing w:line="20" w:lineRule="exact"/>
              <w:rPr>
                <w:sz w:val="1"/>
                <w:szCs w:val="1"/>
              </w:rPr>
            </w:pPr>
          </w:p>
        </w:tc>
        <w:tc>
          <w:tcPr>
            <w:tcW w:w="120" w:type="dxa"/>
            <w:tcBorders>
              <w:top w:val="single" w:sz="8" w:space="0" w:color="auto"/>
            </w:tcBorders>
            <w:shd w:val="clear" w:color="auto" w:fill="000000"/>
            <w:vAlign w:val="bottom"/>
          </w:tcPr>
          <w:p w14:paraId="54C0C1D6"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01D91240" w14:textId="77777777" w:rsidR="00D1587D" w:rsidRDefault="00D1587D">
            <w:pPr>
              <w:spacing w:line="20" w:lineRule="exact"/>
              <w:rPr>
                <w:sz w:val="1"/>
                <w:szCs w:val="1"/>
              </w:rPr>
            </w:pPr>
          </w:p>
        </w:tc>
        <w:tc>
          <w:tcPr>
            <w:tcW w:w="120" w:type="dxa"/>
            <w:tcBorders>
              <w:top w:val="single" w:sz="8" w:space="0" w:color="CCEEFF"/>
            </w:tcBorders>
            <w:vAlign w:val="bottom"/>
          </w:tcPr>
          <w:p w14:paraId="7F9DDD1D" w14:textId="77777777" w:rsidR="00D1587D" w:rsidRDefault="00D1587D">
            <w:pPr>
              <w:spacing w:line="20" w:lineRule="exact"/>
              <w:rPr>
                <w:sz w:val="1"/>
                <w:szCs w:val="1"/>
              </w:rPr>
            </w:pPr>
          </w:p>
        </w:tc>
        <w:tc>
          <w:tcPr>
            <w:tcW w:w="120" w:type="dxa"/>
            <w:tcBorders>
              <w:top w:val="single" w:sz="8" w:space="0" w:color="CCEEFF"/>
            </w:tcBorders>
            <w:vAlign w:val="bottom"/>
          </w:tcPr>
          <w:p w14:paraId="6638A6C2" w14:textId="77777777" w:rsidR="00D1587D" w:rsidRDefault="00D1587D">
            <w:pPr>
              <w:spacing w:line="20" w:lineRule="exact"/>
              <w:rPr>
                <w:sz w:val="1"/>
                <w:szCs w:val="1"/>
              </w:rPr>
            </w:pPr>
          </w:p>
        </w:tc>
        <w:tc>
          <w:tcPr>
            <w:tcW w:w="580" w:type="dxa"/>
            <w:tcBorders>
              <w:top w:val="single" w:sz="8" w:space="0" w:color="CCEEFF"/>
            </w:tcBorders>
            <w:vAlign w:val="bottom"/>
          </w:tcPr>
          <w:p w14:paraId="26624FBF" w14:textId="77777777" w:rsidR="00D1587D" w:rsidRDefault="00D1587D">
            <w:pPr>
              <w:spacing w:line="20" w:lineRule="exact"/>
              <w:rPr>
                <w:sz w:val="1"/>
                <w:szCs w:val="1"/>
              </w:rPr>
            </w:pPr>
          </w:p>
        </w:tc>
        <w:tc>
          <w:tcPr>
            <w:tcW w:w="240" w:type="dxa"/>
            <w:tcBorders>
              <w:top w:val="single" w:sz="8" w:space="0" w:color="CCEEFF"/>
            </w:tcBorders>
            <w:vAlign w:val="bottom"/>
          </w:tcPr>
          <w:p w14:paraId="249A221D" w14:textId="77777777" w:rsidR="00D1587D" w:rsidRDefault="00D1587D">
            <w:pPr>
              <w:spacing w:line="20" w:lineRule="exact"/>
              <w:rPr>
                <w:sz w:val="1"/>
                <w:szCs w:val="1"/>
              </w:rPr>
            </w:pPr>
          </w:p>
        </w:tc>
        <w:tc>
          <w:tcPr>
            <w:tcW w:w="540" w:type="dxa"/>
            <w:tcBorders>
              <w:top w:val="single" w:sz="8" w:space="0" w:color="CCEEFF"/>
            </w:tcBorders>
            <w:vAlign w:val="bottom"/>
          </w:tcPr>
          <w:p w14:paraId="481B7033" w14:textId="77777777" w:rsidR="00D1587D" w:rsidRDefault="00D1587D">
            <w:pPr>
              <w:spacing w:line="20" w:lineRule="exact"/>
              <w:rPr>
                <w:sz w:val="1"/>
                <w:szCs w:val="1"/>
              </w:rPr>
            </w:pPr>
          </w:p>
        </w:tc>
      </w:tr>
      <w:tr w:rsidR="00D1587D" w14:paraId="6B80E805" w14:textId="77777777">
        <w:trPr>
          <w:trHeight w:val="271"/>
        </w:trPr>
        <w:tc>
          <w:tcPr>
            <w:tcW w:w="4340" w:type="dxa"/>
            <w:vAlign w:val="bottom"/>
          </w:tcPr>
          <w:p w14:paraId="6E4D1D5B" w14:textId="77777777" w:rsidR="00D1587D" w:rsidRDefault="00410D07">
            <w:pPr>
              <w:rPr>
                <w:sz w:val="20"/>
                <w:szCs w:val="20"/>
              </w:rPr>
            </w:pPr>
            <w:r>
              <w:rPr>
                <w:rFonts w:ascii="Arial" w:eastAsia="Arial" w:hAnsi="Arial" w:cs="Arial"/>
                <w:sz w:val="18"/>
                <w:szCs w:val="18"/>
              </w:rPr>
              <w:t xml:space="preserve">Gross </w:t>
            </w:r>
            <w:r>
              <w:rPr>
                <w:rFonts w:ascii="Arial" w:eastAsia="Arial" w:hAnsi="Arial" w:cs="Arial"/>
                <w:sz w:val="18"/>
                <w:szCs w:val="18"/>
              </w:rPr>
              <w:t>Profit</w:t>
            </w:r>
          </w:p>
        </w:tc>
        <w:tc>
          <w:tcPr>
            <w:tcW w:w="120" w:type="dxa"/>
            <w:vAlign w:val="bottom"/>
          </w:tcPr>
          <w:p w14:paraId="1F6C2D3D" w14:textId="77777777" w:rsidR="00D1587D" w:rsidRDefault="00D1587D">
            <w:pPr>
              <w:rPr>
                <w:sz w:val="23"/>
                <w:szCs w:val="23"/>
              </w:rPr>
            </w:pPr>
          </w:p>
        </w:tc>
        <w:tc>
          <w:tcPr>
            <w:tcW w:w="100" w:type="dxa"/>
            <w:vAlign w:val="bottom"/>
          </w:tcPr>
          <w:p w14:paraId="14103655" w14:textId="77777777" w:rsidR="00D1587D" w:rsidRDefault="00D1587D">
            <w:pPr>
              <w:rPr>
                <w:sz w:val="23"/>
                <w:szCs w:val="23"/>
              </w:rPr>
            </w:pPr>
          </w:p>
        </w:tc>
        <w:tc>
          <w:tcPr>
            <w:tcW w:w="620" w:type="dxa"/>
            <w:gridSpan w:val="2"/>
            <w:vAlign w:val="bottom"/>
          </w:tcPr>
          <w:p w14:paraId="4D01250F" w14:textId="77777777" w:rsidR="00D1587D" w:rsidRDefault="00410D07">
            <w:pPr>
              <w:ind w:right="100"/>
              <w:jc w:val="right"/>
              <w:rPr>
                <w:sz w:val="20"/>
                <w:szCs w:val="20"/>
              </w:rPr>
            </w:pPr>
            <w:r>
              <w:rPr>
                <w:rFonts w:ascii="Arial" w:eastAsia="Arial" w:hAnsi="Arial" w:cs="Arial"/>
                <w:w w:val="97"/>
                <w:sz w:val="18"/>
                <w:szCs w:val="18"/>
              </w:rPr>
              <w:t>29.0%</w:t>
            </w:r>
          </w:p>
        </w:tc>
        <w:tc>
          <w:tcPr>
            <w:tcW w:w="140" w:type="dxa"/>
            <w:vAlign w:val="bottom"/>
          </w:tcPr>
          <w:p w14:paraId="3FF7838C" w14:textId="77777777" w:rsidR="00D1587D" w:rsidRDefault="00D1587D">
            <w:pPr>
              <w:rPr>
                <w:sz w:val="23"/>
                <w:szCs w:val="23"/>
              </w:rPr>
            </w:pPr>
          </w:p>
        </w:tc>
        <w:tc>
          <w:tcPr>
            <w:tcW w:w="140" w:type="dxa"/>
            <w:vAlign w:val="bottom"/>
          </w:tcPr>
          <w:p w14:paraId="157E5632" w14:textId="77777777" w:rsidR="00D1587D" w:rsidRDefault="00D1587D">
            <w:pPr>
              <w:rPr>
                <w:sz w:val="23"/>
                <w:szCs w:val="23"/>
              </w:rPr>
            </w:pPr>
          </w:p>
        </w:tc>
        <w:tc>
          <w:tcPr>
            <w:tcW w:w="740" w:type="dxa"/>
            <w:gridSpan w:val="2"/>
            <w:vAlign w:val="bottom"/>
          </w:tcPr>
          <w:p w14:paraId="2ABD88D1" w14:textId="77777777" w:rsidR="00D1587D" w:rsidRDefault="00410D07">
            <w:pPr>
              <w:ind w:right="240"/>
              <w:jc w:val="right"/>
              <w:rPr>
                <w:sz w:val="20"/>
                <w:szCs w:val="20"/>
              </w:rPr>
            </w:pPr>
            <w:r>
              <w:rPr>
                <w:rFonts w:ascii="Arial" w:eastAsia="Arial" w:hAnsi="Arial" w:cs="Arial"/>
                <w:w w:val="93"/>
                <w:sz w:val="18"/>
                <w:szCs w:val="18"/>
              </w:rPr>
              <w:t>27.5%</w:t>
            </w:r>
          </w:p>
        </w:tc>
        <w:tc>
          <w:tcPr>
            <w:tcW w:w="120" w:type="dxa"/>
            <w:vAlign w:val="bottom"/>
          </w:tcPr>
          <w:p w14:paraId="44368CCC" w14:textId="77777777" w:rsidR="00D1587D" w:rsidRDefault="00D1587D">
            <w:pPr>
              <w:rPr>
                <w:sz w:val="23"/>
                <w:szCs w:val="23"/>
              </w:rPr>
            </w:pPr>
          </w:p>
        </w:tc>
        <w:tc>
          <w:tcPr>
            <w:tcW w:w="620" w:type="dxa"/>
            <w:gridSpan w:val="2"/>
            <w:vAlign w:val="bottom"/>
          </w:tcPr>
          <w:p w14:paraId="7BC443E6" w14:textId="77777777" w:rsidR="00D1587D" w:rsidRDefault="00410D07">
            <w:pPr>
              <w:ind w:right="120"/>
              <w:jc w:val="right"/>
              <w:rPr>
                <w:sz w:val="20"/>
                <w:szCs w:val="20"/>
              </w:rPr>
            </w:pPr>
            <w:r>
              <w:rPr>
                <w:rFonts w:ascii="Arial" w:eastAsia="Arial" w:hAnsi="Arial" w:cs="Arial"/>
                <w:w w:val="93"/>
                <w:sz w:val="18"/>
                <w:szCs w:val="18"/>
              </w:rPr>
              <w:t>33.2%</w:t>
            </w:r>
          </w:p>
        </w:tc>
        <w:tc>
          <w:tcPr>
            <w:tcW w:w="120" w:type="dxa"/>
            <w:vAlign w:val="bottom"/>
          </w:tcPr>
          <w:p w14:paraId="336DCDEF" w14:textId="77777777" w:rsidR="00D1587D" w:rsidRDefault="00D1587D">
            <w:pPr>
              <w:rPr>
                <w:sz w:val="23"/>
                <w:szCs w:val="23"/>
              </w:rPr>
            </w:pPr>
          </w:p>
        </w:tc>
        <w:tc>
          <w:tcPr>
            <w:tcW w:w="580" w:type="dxa"/>
            <w:vAlign w:val="bottom"/>
          </w:tcPr>
          <w:p w14:paraId="16821B93" w14:textId="77777777" w:rsidR="00D1587D" w:rsidRDefault="00D1587D">
            <w:pPr>
              <w:rPr>
                <w:sz w:val="23"/>
                <w:szCs w:val="23"/>
              </w:rPr>
            </w:pPr>
          </w:p>
        </w:tc>
        <w:tc>
          <w:tcPr>
            <w:tcW w:w="240" w:type="dxa"/>
            <w:vAlign w:val="bottom"/>
          </w:tcPr>
          <w:p w14:paraId="18689066" w14:textId="77777777" w:rsidR="00D1587D" w:rsidRDefault="00D1587D">
            <w:pPr>
              <w:rPr>
                <w:sz w:val="23"/>
                <w:szCs w:val="23"/>
              </w:rPr>
            </w:pPr>
          </w:p>
        </w:tc>
        <w:tc>
          <w:tcPr>
            <w:tcW w:w="540" w:type="dxa"/>
            <w:vAlign w:val="bottom"/>
          </w:tcPr>
          <w:p w14:paraId="7E786328" w14:textId="77777777" w:rsidR="00D1587D" w:rsidRDefault="00D1587D">
            <w:pPr>
              <w:rPr>
                <w:sz w:val="23"/>
                <w:szCs w:val="23"/>
              </w:rPr>
            </w:pPr>
          </w:p>
        </w:tc>
      </w:tr>
      <w:tr w:rsidR="00D1587D" w14:paraId="235B56C4" w14:textId="77777777">
        <w:trPr>
          <w:trHeight w:val="40"/>
        </w:trPr>
        <w:tc>
          <w:tcPr>
            <w:tcW w:w="4340" w:type="dxa"/>
            <w:vAlign w:val="bottom"/>
          </w:tcPr>
          <w:p w14:paraId="4B51F6A3" w14:textId="77777777" w:rsidR="00D1587D" w:rsidRDefault="00D1587D">
            <w:pPr>
              <w:rPr>
                <w:sz w:val="3"/>
                <w:szCs w:val="3"/>
              </w:rPr>
            </w:pPr>
          </w:p>
        </w:tc>
        <w:tc>
          <w:tcPr>
            <w:tcW w:w="120" w:type="dxa"/>
            <w:vAlign w:val="bottom"/>
          </w:tcPr>
          <w:p w14:paraId="226F9792" w14:textId="77777777" w:rsidR="00D1587D" w:rsidRDefault="00D1587D">
            <w:pPr>
              <w:rPr>
                <w:sz w:val="3"/>
                <w:szCs w:val="3"/>
              </w:rPr>
            </w:pPr>
          </w:p>
        </w:tc>
        <w:tc>
          <w:tcPr>
            <w:tcW w:w="100" w:type="dxa"/>
            <w:vAlign w:val="bottom"/>
          </w:tcPr>
          <w:p w14:paraId="2E16730A" w14:textId="77777777" w:rsidR="00D1587D" w:rsidRDefault="00D1587D">
            <w:pPr>
              <w:rPr>
                <w:sz w:val="3"/>
                <w:szCs w:val="3"/>
              </w:rPr>
            </w:pPr>
          </w:p>
        </w:tc>
        <w:tc>
          <w:tcPr>
            <w:tcW w:w="520" w:type="dxa"/>
            <w:vAlign w:val="bottom"/>
          </w:tcPr>
          <w:p w14:paraId="2E48068C" w14:textId="77777777" w:rsidR="00D1587D" w:rsidRDefault="00D1587D">
            <w:pPr>
              <w:rPr>
                <w:sz w:val="3"/>
                <w:szCs w:val="3"/>
              </w:rPr>
            </w:pPr>
          </w:p>
        </w:tc>
        <w:tc>
          <w:tcPr>
            <w:tcW w:w="100" w:type="dxa"/>
            <w:vAlign w:val="bottom"/>
          </w:tcPr>
          <w:p w14:paraId="1C300061" w14:textId="77777777" w:rsidR="00D1587D" w:rsidRDefault="00D1587D">
            <w:pPr>
              <w:rPr>
                <w:sz w:val="3"/>
                <w:szCs w:val="3"/>
              </w:rPr>
            </w:pPr>
          </w:p>
        </w:tc>
        <w:tc>
          <w:tcPr>
            <w:tcW w:w="140" w:type="dxa"/>
            <w:vAlign w:val="bottom"/>
          </w:tcPr>
          <w:p w14:paraId="788B42B5" w14:textId="77777777" w:rsidR="00D1587D" w:rsidRDefault="00D1587D">
            <w:pPr>
              <w:rPr>
                <w:sz w:val="3"/>
                <w:szCs w:val="3"/>
              </w:rPr>
            </w:pPr>
          </w:p>
        </w:tc>
        <w:tc>
          <w:tcPr>
            <w:tcW w:w="640" w:type="dxa"/>
            <w:gridSpan w:val="2"/>
            <w:vAlign w:val="bottom"/>
          </w:tcPr>
          <w:p w14:paraId="118AFFCF" w14:textId="77777777" w:rsidR="00D1587D" w:rsidRDefault="00D1587D">
            <w:pPr>
              <w:rPr>
                <w:sz w:val="3"/>
                <w:szCs w:val="3"/>
              </w:rPr>
            </w:pPr>
          </w:p>
        </w:tc>
        <w:tc>
          <w:tcPr>
            <w:tcW w:w="240" w:type="dxa"/>
            <w:vAlign w:val="bottom"/>
          </w:tcPr>
          <w:p w14:paraId="1C846AF6" w14:textId="77777777" w:rsidR="00D1587D" w:rsidRDefault="00D1587D">
            <w:pPr>
              <w:rPr>
                <w:sz w:val="3"/>
                <w:szCs w:val="3"/>
              </w:rPr>
            </w:pPr>
          </w:p>
        </w:tc>
        <w:tc>
          <w:tcPr>
            <w:tcW w:w="120" w:type="dxa"/>
            <w:vAlign w:val="bottom"/>
          </w:tcPr>
          <w:p w14:paraId="1F083324" w14:textId="77777777" w:rsidR="00D1587D" w:rsidRDefault="00D1587D">
            <w:pPr>
              <w:rPr>
                <w:sz w:val="3"/>
                <w:szCs w:val="3"/>
              </w:rPr>
            </w:pPr>
          </w:p>
        </w:tc>
        <w:tc>
          <w:tcPr>
            <w:tcW w:w="500" w:type="dxa"/>
            <w:vAlign w:val="bottom"/>
          </w:tcPr>
          <w:p w14:paraId="189EA267" w14:textId="77777777" w:rsidR="00D1587D" w:rsidRDefault="00D1587D">
            <w:pPr>
              <w:rPr>
                <w:sz w:val="3"/>
                <w:szCs w:val="3"/>
              </w:rPr>
            </w:pPr>
          </w:p>
        </w:tc>
        <w:tc>
          <w:tcPr>
            <w:tcW w:w="120" w:type="dxa"/>
            <w:vAlign w:val="bottom"/>
          </w:tcPr>
          <w:p w14:paraId="18C91759" w14:textId="77777777" w:rsidR="00D1587D" w:rsidRDefault="00D1587D">
            <w:pPr>
              <w:rPr>
                <w:sz w:val="3"/>
                <w:szCs w:val="3"/>
              </w:rPr>
            </w:pPr>
          </w:p>
        </w:tc>
        <w:tc>
          <w:tcPr>
            <w:tcW w:w="120" w:type="dxa"/>
            <w:vAlign w:val="bottom"/>
          </w:tcPr>
          <w:p w14:paraId="75916135" w14:textId="77777777" w:rsidR="00D1587D" w:rsidRDefault="00D1587D">
            <w:pPr>
              <w:rPr>
                <w:sz w:val="3"/>
                <w:szCs w:val="3"/>
              </w:rPr>
            </w:pPr>
          </w:p>
        </w:tc>
        <w:tc>
          <w:tcPr>
            <w:tcW w:w="580" w:type="dxa"/>
            <w:vAlign w:val="bottom"/>
          </w:tcPr>
          <w:p w14:paraId="654B3114" w14:textId="77777777" w:rsidR="00D1587D" w:rsidRDefault="00D1587D">
            <w:pPr>
              <w:rPr>
                <w:sz w:val="3"/>
                <w:szCs w:val="3"/>
              </w:rPr>
            </w:pPr>
          </w:p>
        </w:tc>
        <w:tc>
          <w:tcPr>
            <w:tcW w:w="240" w:type="dxa"/>
            <w:vAlign w:val="bottom"/>
          </w:tcPr>
          <w:p w14:paraId="10A6ABCD" w14:textId="77777777" w:rsidR="00D1587D" w:rsidRDefault="00D1587D">
            <w:pPr>
              <w:rPr>
                <w:sz w:val="3"/>
                <w:szCs w:val="3"/>
              </w:rPr>
            </w:pPr>
          </w:p>
        </w:tc>
        <w:tc>
          <w:tcPr>
            <w:tcW w:w="540" w:type="dxa"/>
            <w:vAlign w:val="bottom"/>
          </w:tcPr>
          <w:p w14:paraId="6519A1A6" w14:textId="77777777" w:rsidR="00D1587D" w:rsidRDefault="00D1587D">
            <w:pPr>
              <w:rPr>
                <w:sz w:val="3"/>
                <w:szCs w:val="3"/>
              </w:rPr>
            </w:pPr>
          </w:p>
        </w:tc>
      </w:tr>
      <w:tr w:rsidR="00D1587D" w14:paraId="570A2A5A" w14:textId="77777777">
        <w:trPr>
          <w:trHeight w:val="257"/>
        </w:trPr>
        <w:tc>
          <w:tcPr>
            <w:tcW w:w="4340" w:type="dxa"/>
            <w:shd w:val="clear" w:color="auto" w:fill="CCEEFF"/>
            <w:vAlign w:val="bottom"/>
          </w:tcPr>
          <w:p w14:paraId="021C618B" w14:textId="77777777" w:rsidR="00D1587D" w:rsidRDefault="00410D07">
            <w:pPr>
              <w:rPr>
                <w:sz w:val="20"/>
                <w:szCs w:val="20"/>
              </w:rPr>
            </w:pPr>
            <w:r>
              <w:rPr>
                <w:rFonts w:ascii="Arial" w:eastAsia="Arial" w:hAnsi="Arial" w:cs="Arial"/>
                <w:sz w:val="18"/>
                <w:szCs w:val="18"/>
              </w:rPr>
              <w:t>Operating Profit (Loss)</w:t>
            </w:r>
          </w:p>
        </w:tc>
        <w:tc>
          <w:tcPr>
            <w:tcW w:w="120" w:type="dxa"/>
            <w:shd w:val="clear" w:color="auto" w:fill="CCEEFF"/>
            <w:vAlign w:val="bottom"/>
          </w:tcPr>
          <w:p w14:paraId="15D6B7CA" w14:textId="77777777" w:rsidR="00D1587D" w:rsidRDefault="00D1587D"/>
        </w:tc>
        <w:tc>
          <w:tcPr>
            <w:tcW w:w="100" w:type="dxa"/>
            <w:shd w:val="clear" w:color="auto" w:fill="CCEEFF"/>
            <w:vAlign w:val="bottom"/>
          </w:tcPr>
          <w:p w14:paraId="69556CE4" w14:textId="77777777" w:rsidR="00D1587D" w:rsidRDefault="00D1587D"/>
        </w:tc>
        <w:tc>
          <w:tcPr>
            <w:tcW w:w="620" w:type="dxa"/>
            <w:gridSpan w:val="2"/>
            <w:shd w:val="clear" w:color="auto" w:fill="CCEEFF"/>
            <w:vAlign w:val="bottom"/>
          </w:tcPr>
          <w:p w14:paraId="0D3F53A1" w14:textId="77777777" w:rsidR="00D1587D" w:rsidRDefault="00410D07">
            <w:pPr>
              <w:ind w:right="100"/>
              <w:jc w:val="right"/>
              <w:rPr>
                <w:sz w:val="20"/>
                <w:szCs w:val="20"/>
              </w:rPr>
            </w:pPr>
            <w:r>
              <w:rPr>
                <w:rFonts w:ascii="Arial" w:eastAsia="Arial" w:hAnsi="Arial" w:cs="Arial"/>
                <w:w w:val="94"/>
                <w:sz w:val="18"/>
                <w:szCs w:val="18"/>
              </w:rPr>
              <w:t>(1.9)%</w:t>
            </w:r>
          </w:p>
        </w:tc>
        <w:tc>
          <w:tcPr>
            <w:tcW w:w="1020" w:type="dxa"/>
            <w:gridSpan w:val="4"/>
            <w:shd w:val="clear" w:color="auto" w:fill="CCEEFF"/>
            <w:vAlign w:val="bottom"/>
          </w:tcPr>
          <w:p w14:paraId="5177F113" w14:textId="77777777" w:rsidR="00D1587D" w:rsidRDefault="00410D07">
            <w:pPr>
              <w:ind w:right="240"/>
              <w:jc w:val="right"/>
              <w:rPr>
                <w:sz w:val="20"/>
                <w:szCs w:val="20"/>
              </w:rPr>
            </w:pPr>
            <w:r>
              <w:rPr>
                <w:rFonts w:ascii="Arial" w:eastAsia="Arial" w:hAnsi="Arial" w:cs="Arial"/>
                <w:sz w:val="18"/>
                <w:szCs w:val="18"/>
              </w:rPr>
              <w:t>(11.9)%</w:t>
            </w:r>
          </w:p>
        </w:tc>
        <w:tc>
          <w:tcPr>
            <w:tcW w:w="120" w:type="dxa"/>
            <w:shd w:val="clear" w:color="auto" w:fill="CCEEFF"/>
            <w:vAlign w:val="bottom"/>
          </w:tcPr>
          <w:p w14:paraId="0168387A" w14:textId="77777777" w:rsidR="00D1587D" w:rsidRDefault="00D1587D"/>
        </w:tc>
        <w:tc>
          <w:tcPr>
            <w:tcW w:w="620" w:type="dxa"/>
            <w:gridSpan w:val="2"/>
            <w:shd w:val="clear" w:color="auto" w:fill="CCEEFF"/>
            <w:vAlign w:val="bottom"/>
          </w:tcPr>
          <w:p w14:paraId="164B5A3E" w14:textId="77777777" w:rsidR="00D1587D" w:rsidRDefault="00410D07">
            <w:pPr>
              <w:ind w:right="120"/>
              <w:jc w:val="right"/>
              <w:rPr>
                <w:sz w:val="20"/>
                <w:szCs w:val="20"/>
              </w:rPr>
            </w:pPr>
            <w:r>
              <w:rPr>
                <w:rFonts w:ascii="Arial" w:eastAsia="Arial" w:hAnsi="Arial" w:cs="Arial"/>
                <w:sz w:val="18"/>
                <w:szCs w:val="18"/>
              </w:rPr>
              <w:t>4.9%</w:t>
            </w:r>
          </w:p>
        </w:tc>
        <w:tc>
          <w:tcPr>
            <w:tcW w:w="120" w:type="dxa"/>
            <w:shd w:val="clear" w:color="auto" w:fill="CCEEFF"/>
            <w:vAlign w:val="bottom"/>
          </w:tcPr>
          <w:p w14:paraId="63D1BFA9" w14:textId="77777777" w:rsidR="00D1587D" w:rsidRDefault="00D1587D"/>
        </w:tc>
        <w:tc>
          <w:tcPr>
            <w:tcW w:w="580" w:type="dxa"/>
            <w:shd w:val="clear" w:color="auto" w:fill="CCEEFF"/>
            <w:vAlign w:val="bottom"/>
          </w:tcPr>
          <w:p w14:paraId="00B29226" w14:textId="77777777" w:rsidR="00D1587D" w:rsidRDefault="00D1587D"/>
        </w:tc>
        <w:tc>
          <w:tcPr>
            <w:tcW w:w="240" w:type="dxa"/>
            <w:shd w:val="clear" w:color="auto" w:fill="CCEEFF"/>
            <w:vAlign w:val="bottom"/>
          </w:tcPr>
          <w:p w14:paraId="5D9D6C35" w14:textId="77777777" w:rsidR="00D1587D" w:rsidRDefault="00D1587D"/>
        </w:tc>
        <w:tc>
          <w:tcPr>
            <w:tcW w:w="540" w:type="dxa"/>
            <w:shd w:val="clear" w:color="auto" w:fill="CCEEFF"/>
            <w:vAlign w:val="bottom"/>
          </w:tcPr>
          <w:p w14:paraId="7B4D1421" w14:textId="77777777" w:rsidR="00D1587D" w:rsidRDefault="00D1587D"/>
        </w:tc>
      </w:tr>
      <w:tr w:rsidR="00D1587D" w14:paraId="5EA84F80" w14:textId="77777777">
        <w:trPr>
          <w:trHeight w:val="54"/>
        </w:trPr>
        <w:tc>
          <w:tcPr>
            <w:tcW w:w="4340" w:type="dxa"/>
            <w:shd w:val="clear" w:color="auto" w:fill="CCEEFF"/>
            <w:vAlign w:val="bottom"/>
          </w:tcPr>
          <w:p w14:paraId="3C079BFB" w14:textId="77777777" w:rsidR="00D1587D" w:rsidRDefault="00D1587D">
            <w:pPr>
              <w:rPr>
                <w:sz w:val="4"/>
                <w:szCs w:val="4"/>
              </w:rPr>
            </w:pPr>
          </w:p>
        </w:tc>
        <w:tc>
          <w:tcPr>
            <w:tcW w:w="120" w:type="dxa"/>
            <w:shd w:val="clear" w:color="auto" w:fill="CCEEFF"/>
            <w:vAlign w:val="bottom"/>
          </w:tcPr>
          <w:p w14:paraId="0AF7CB7F" w14:textId="77777777" w:rsidR="00D1587D" w:rsidRDefault="00D1587D">
            <w:pPr>
              <w:rPr>
                <w:sz w:val="4"/>
                <w:szCs w:val="4"/>
              </w:rPr>
            </w:pPr>
          </w:p>
        </w:tc>
        <w:tc>
          <w:tcPr>
            <w:tcW w:w="100" w:type="dxa"/>
            <w:shd w:val="clear" w:color="auto" w:fill="CCEEFF"/>
            <w:vAlign w:val="bottom"/>
          </w:tcPr>
          <w:p w14:paraId="5F467C69" w14:textId="77777777" w:rsidR="00D1587D" w:rsidRDefault="00D1587D">
            <w:pPr>
              <w:rPr>
                <w:sz w:val="4"/>
                <w:szCs w:val="4"/>
              </w:rPr>
            </w:pPr>
          </w:p>
        </w:tc>
        <w:tc>
          <w:tcPr>
            <w:tcW w:w="520" w:type="dxa"/>
            <w:shd w:val="clear" w:color="auto" w:fill="CCEEFF"/>
            <w:vAlign w:val="bottom"/>
          </w:tcPr>
          <w:p w14:paraId="2E1FA79B" w14:textId="77777777" w:rsidR="00D1587D" w:rsidRDefault="00D1587D">
            <w:pPr>
              <w:rPr>
                <w:sz w:val="4"/>
                <w:szCs w:val="4"/>
              </w:rPr>
            </w:pPr>
          </w:p>
        </w:tc>
        <w:tc>
          <w:tcPr>
            <w:tcW w:w="100" w:type="dxa"/>
            <w:shd w:val="clear" w:color="auto" w:fill="CCEEFF"/>
            <w:vAlign w:val="bottom"/>
          </w:tcPr>
          <w:p w14:paraId="0F6DA886" w14:textId="77777777" w:rsidR="00D1587D" w:rsidRDefault="00D1587D">
            <w:pPr>
              <w:rPr>
                <w:sz w:val="4"/>
                <w:szCs w:val="4"/>
              </w:rPr>
            </w:pPr>
          </w:p>
        </w:tc>
        <w:tc>
          <w:tcPr>
            <w:tcW w:w="140" w:type="dxa"/>
            <w:shd w:val="clear" w:color="auto" w:fill="CCEEFF"/>
            <w:vAlign w:val="bottom"/>
          </w:tcPr>
          <w:p w14:paraId="7CE6CD88" w14:textId="77777777" w:rsidR="00D1587D" w:rsidRDefault="00D1587D">
            <w:pPr>
              <w:rPr>
                <w:sz w:val="4"/>
                <w:szCs w:val="4"/>
              </w:rPr>
            </w:pPr>
          </w:p>
        </w:tc>
        <w:tc>
          <w:tcPr>
            <w:tcW w:w="140" w:type="dxa"/>
            <w:shd w:val="clear" w:color="auto" w:fill="CCEEFF"/>
            <w:vAlign w:val="bottom"/>
          </w:tcPr>
          <w:p w14:paraId="3D67C4BB" w14:textId="77777777" w:rsidR="00D1587D" w:rsidRDefault="00D1587D">
            <w:pPr>
              <w:rPr>
                <w:sz w:val="4"/>
                <w:szCs w:val="4"/>
              </w:rPr>
            </w:pPr>
          </w:p>
        </w:tc>
        <w:tc>
          <w:tcPr>
            <w:tcW w:w="500" w:type="dxa"/>
            <w:shd w:val="clear" w:color="auto" w:fill="CCEEFF"/>
            <w:vAlign w:val="bottom"/>
          </w:tcPr>
          <w:p w14:paraId="50F30A2E" w14:textId="77777777" w:rsidR="00D1587D" w:rsidRDefault="00D1587D">
            <w:pPr>
              <w:rPr>
                <w:sz w:val="4"/>
                <w:szCs w:val="4"/>
              </w:rPr>
            </w:pPr>
          </w:p>
        </w:tc>
        <w:tc>
          <w:tcPr>
            <w:tcW w:w="240" w:type="dxa"/>
            <w:shd w:val="clear" w:color="auto" w:fill="CCEEFF"/>
            <w:vAlign w:val="bottom"/>
          </w:tcPr>
          <w:p w14:paraId="16DA7528" w14:textId="77777777" w:rsidR="00D1587D" w:rsidRDefault="00D1587D">
            <w:pPr>
              <w:rPr>
                <w:sz w:val="4"/>
                <w:szCs w:val="4"/>
              </w:rPr>
            </w:pPr>
          </w:p>
        </w:tc>
        <w:tc>
          <w:tcPr>
            <w:tcW w:w="120" w:type="dxa"/>
            <w:shd w:val="clear" w:color="auto" w:fill="CCEEFF"/>
            <w:vAlign w:val="bottom"/>
          </w:tcPr>
          <w:p w14:paraId="55CD4F54" w14:textId="77777777" w:rsidR="00D1587D" w:rsidRDefault="00D1587D">
            <w:pPr>
              <w:rPr>
                <w:sz w:val="4"/>
                <w:szCs w:val="4"/>
              </w:rPr>
            </w:pPr>
          </w:p>
        </w:tc>
        <w:tc>
          <w:tcPr>
            <w:tcW w:w="500" w:type="dxa"/>
            <w:shd w:val="clear" w:color="auto" w:fill="CCEEFF"/>
            <w:vAlign w:val="bottom"/>
          </w:tcPr>
          <w:p w14:paraId="40693483" w14:textId="77777777" w:rsidR="00D1587D" w:rsidRDefault="00D1587D">
            <w:pPr>
              <w:rPr>
                <w:sz w:val="4"/>
                <w:szCs w:val="4"/>
              </w:rPr>
            </w:pPr>
          </w:p>
        </w:tc>
        <w:tc>
          <w:tcPr>
            <w:tcW w:w="120" w:type="dxa"/>
            <w:shd w:val="clear" w:color="auto" w:fill="CCEEFF"/>
            <w:vAlign w:val="bottom"/>
          </w:tcPr>
          <w:p w14:paraId="1F106E1E" w14:textId="77777777" w:rsidR="00D1587D" w:rsidRDefault="00D1587D">
            <w:pPr>
              <w:rPr>
                <w:sz w:val="4"/>
                <w:szCs w:val="4"/>
              </w:rPr>
            </w:pPr>
          </w:p>
        </w:tc>
        <w:tc>
          <w:tcPr>
            <w:tcW w:w="120" w:type="dxa"/>
            <w:shd w:val="clear" w:color="auto" w:fill="CCEEFF"/>
            <w:vAlign w:val="bottom"/>
          </w:tcPr>
          <w:p w14:paraId="545D3749" w14:textId="77777777" w:rsidR="00D1587D" w:rsidRDefault="00D1587D">
            <w:pPr>
              <w:rPr>
                <w:sz w:val="4"/>
                <w:szCs w:val="4"/>
              </w:rPr>
            </w:pPr>
          </w:p>
        </w:tc>
        <w:tc>
          <w:tcPr>
            <w:tcW w:w="580" w:type="dxa"/>
            <w:shd w:val="clear" w:color="auto" w:fill="CCEEFF"/>
            <w:vAlign w:val="bottom"/>
          </w:tcPr>
          <w:p w14:paraId="171EC2D0" w14:textId="77777777" w:rsidR="00D1587D" w:rsidRDefault="00D1587D">
            <w:pPr>
              <w:rPr>
                <w:sz w:val="4"/>
                <w:szCs w:val="4"/>
              </w:rPr>
            </w:pPr>
          </w:p>
        </w:tc>
        <w:tc>
          <w:tcPr>
            <w:tcW w:w="240" w:type="dxa"/>
            <w:shd w:val="clear" w:color="auto" w:fill="CCEEFF"/>
            <w:vAlign w:val="bottom"/>
          </w:tcPr>
          <w:p w14:paraId="1224707E" w14:textId="77777777" w:rsidR="00D1587D" w:rsidRDefault="00D1587D">
            <w:pPr>
              <w:rPr>
                <w:sz w:val="4"/>
                <w:szCs w:val="4"/>
              </w:rPr>
            </w:pPr>
          </w:p>
        </w:tc>
        <w:tc>
          <w:tcPr>
            <w:tcW w:w="540" w:type="dxa"/>
            <w:shd w:val="clear" w:color="auto" w:fill="CCEEFF"/>
            <w:vAlign w:val="bottom"/>
          </w:tcPr>
          <w:p w14:paraId="1AFC5DD4" w14:textId="77777777" w:rsidR="00D1587D" w:rsidRDefault="00D1587D">
            <w:pPr>
              <w:rPr>
                <w:sz w:val="4"/>
                <w:szCs w:val="4"/>
              </w:rPr>
            </w:pPr>
          </w:p>
        </w:tc>
      </w:tr>
    </w:tbl>
    <w:p w14:paraId="79FED842" w14:textId="77777777" w:rsidR="00D1587D" w:rsidRDefault="00410D07">
      <w:pPr>
        <w:spacing w:line="20" w:lineRule="exact"/>
        <w:rPr>
          <w:sz w:val="20"/>
          <w:szCs w:val="20"/>
        </w:rPr>
      </w:pPr>
      <w:r>
        <w:rPr>
          <w:noProof/>
          <w:sz w:val="20"/>
          <w:szCs w:val="20"/>
        </w:rPr>
        <w:drawing>
          <wp:anchor distT="0" distB="0" distL="114300" distR="114300" simplePos="0" relativeHeight="251720704" behindDoc="1" locked="0" layoutInCell="0" allowOverlap="1" wp14:anchorId="798FB6FC" wp14:editId="196BCB20">
            <wp:simplePos x="0" y="0"/>
            <wp:positionH relativeFrom="column">
              <wp:posOffset>4523105</wp:posOffset>
            </wp:positionH>
            <wp:positionV relativeFrom="paragraph">
              <wp:posOffset>-685165</wp:posOffset>
            </wp:positionV>
            <wp:extent cx="76835" cy="8255"/>
            <wp:effectExtent l="0" t="0" r="0" b="0"/>
            <wp:wrapNone/>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58"/>
                    <a:srcRect/>
                    <a:stretch>
                      <a:fillRect/>
                    </a:stretch>
                  </pic:blipFill>
                  <pic:spPr bwMode="auto">
                    <a:xfrm>
                      <a:off x="0" y="0"/>
                      <a:ext cx="76835" cy="8255"/>
                    </a:xfrm>
                    <a:prstGeom prst="rect">
                      <a:avLst/>
                    </a:prstGeom>
                    <a:noFill/>
                  </pic:spPr>
                </pic:pic>
              </a:graphicData>
            </a:graphic>
          </wp:anchor>
        </w:drawing>
      </w:r>
      <w:r>
        <w:rPr>
          <w:noProof/>
          <w:sz w:val="20"/>
          <w:szCs w:val="20"/>
        </w:rPr>
        <w:drawing>
          <wp:anchor distT="0" distB="0" distL="114300" distR="114300" simplePos="0" relativeHeight="251721728" behindDoc="1" locked="0" layoutInCell="0" allowOverlap="1" wp14:anchorId="575C3B8D" wp14:editId="08658185">
            <wp:simplePos x="0" y="0"/>
            <wp:positionH relativeFrom="column">
              <wp:posOffset>3974465</wp:posOffset>
            </wp:positionH>
            <wp:positionV relativeFrom="paragraph">
              <wp:posOffset>-685165</wp:posOffset>
            </wp:positionV>
            <wp:extent cx="154305" cy="8255"/>
            <wp:effectExtent l="0" t="0" r="0" b="0"/>
            <wp:wrapNone/>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22752" behindDoc="1" locked="0" layoutInCell="0" allowOverlap="1" wp14:anchorId="39267102" wp14:editId="12CA1B38">
            <wp:simplePos x="0" y="0"/>
            <wp:positionH relativeFrom="column">
              <wp:posOffset>3416935</wp:posOffset>
            </wp:positionH>
            <wp:positionV relativeFrom="paragraph">
              <wp:posOffset>-685165</wp:posOffset>
            </wp:positionV>
            <wp:extent cx="154305" cy="8255"/>
            <wp:effectExtent l="0" t="0" r="0" b="0"/>
            <wp:wrapNone/>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23776" behindDoc="1" locked="0" layoutInCell="0" allowOverlap="1" wp14:anchorId="6E82DD60" wp14:editId="2D73A842">
            <wp:simplePos x="0" y="0"/>
            <wp:positionH relativeFrom="column">
              <wp:posOffset>2945765</wp:posOffset>
            </wp:positionH>
            <wp:positionV relativeFrom="paragraph">
              <wp:posOffset>-685165</wp:posOffset>
            </wp:positionV>
            <wp:extent cx="77470" cy="8255"/>
            <wp:effectExtent l="0" t="0" r="0" b="0"/>
            <wp:wrapNone/>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58"/>
                    <a:srcRect/>
                    <a:stretch>
                      <a:fillRect/>
                    </a:stretch>
                  </pic:blipFill>
                  <pic:spPr bwMode="auto">
                    <a:xfrm>
                      <a:off x="0" y="0"/>
                      <a:ext cx="77470" cy="8255"/>
                    </a:xfrm>
                    <a:prstGeom prst="rect">
                      <a:avLst/>
                    </a:prstGeom>
                    <a:noFill/>
                  </pic:spPr>
                </pic:pic>
              </a:graphicData>
            </a:graphic>
          </wp:anchor>
        </w:drawing>
      </w:r>
      <w:r>
        <w:rPr>
          <w:noProof/>
          <w:sz w:val="20"/>
          <w:szCs w:val="20"/>
        </w:rPr>
        <w:drawing>
          <wp:anchor distT="0" distB="0" distL="114300" distR="114300" simplePos="0" relativeHeight="251724800" behindDoc="1" locked="0" layoutInCell="0" allowOverlap="1" wp14:anchorId="490AB388" wp14:editId="3A965427">
            <wp:simplePos x="0" y="0"/>
            <wp:positionH relativeFrom="column">
              <wp:posOffset>4523105</wp:posOffset>
            </wp:positionH>
            <wp:positionV relativeFrom="paragraph">
              <wp:posOffset>-1105535</wp:posOffset>
            </wp:positionV>
            <wp:extent cx="76835" cy="8255"/>
            <wp:effectExtent l="0" t="0" r="0" b="0"/>
            <wp:wrapNone/>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58"/>
                    <a:srcRect/>
                    <a:stretch>
                      <a:fillRect/>
                    </a:stretch>
                  </pic:blipFill>
                  <pic:spPr bwMode="auto">
                    <a:xfrm>
                      <a:off x="0" y="0"/>
                      <a:ext cx="76835" cy="8255"/>
                    </a:xfrm>
                    <a:prstGeom prst="rect">
                      <a:avLst/>
                    </a:prstGeom>
                    <a:noFill/>
                  </pic:spPr>
                </pic:pic>
              </a:graphicData>
            </a:graphic>
          </wp:anchor>
        </w:drawing>
      </w:r>
      <w:r>
        <w:rPr>
          <w:noProof/>
          <w:sz w:val="20"/>
          <w:szCs w:val="20"/>
        </w:rPr>
        <w:drawing>
          <wp:anchor distT="0" distB="0" distL="114300" distR="114300" simplePos="0" relativeHeight="251725824" behindDoc="1" locked="0" layoutInCell="0" allowOverlap="1" wp14:anchorId="34273DA7" wp14:editId="6074EF35">
            <wp:simplePos x="0" y="0"/>
            <wp:positionH relativeFrom="column">
              <wp:posOffset>3974465</wp:posOffset>
            </wp:positionH>
            <wp:positionV relativeFrom="paragraph">
              <wp:posOffset>-1105535</wp:posOffset>
            </wp:positionV>
            <wp:extent cx="154305" cy="8255"/>
            <wp:effectExtent l="0" t="0" r="0"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26848" behindDoc="1" locked="0" layoutInCell="0" allowOverlap="1" wp14:anchorId="01099F4C" wp14:editId="6930CE52">
            <wp:simplePos x="0" y="0"/>
            <wp:positionH relativeFrom="column">
              <wp:posOffset>3416935</wp:posOffset>
            </wp:positionH>
            <wp:positionV relativeFrom="paragraph">
              <wp:posOffset>-1105535</wp:posOffset>
            </wp:positionV>
            <wp:extent cx="154305" cy="8255"/>
            <wp:effectExtent l="0" t="0" r="0" b="0"/>
            <wp:wrapNone/>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27872" behindDoc="1" locked="0" layoutInCell="0" allowOverlap="1" wp14:anchorId="106803F9" wp14:editId="016D20C8">
            <wp:simplePos x="0" y="0"/>
            <wp:positionH relativeFrom="column">
              <wp:posOffset>2945765</wp:posOffset>
            </wp:positionH>
            <wp:positionV relativeFrom="paragraph">
              <wp:posOffset>-1105535</wp:posOffset>
            </wp:positionV>
            <wp:extent cx="77470" cy="8255"/>
            <wp:effectExtent l="0" t="0" r="0" b="0"/>
            <wp:wrapNone/>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58"/>
                    <a:srcRect/>
                    <a:stretch>
                      <a:fillRect/>
                    </a:stretch>
                  </pic:blipFill>
                  <pic:spPr bwMode="auto">
                    <a:xfrm>
                      <a:off x="0" y="0"/>
                      <a:ext cx="77470" cy="8255"/>
                    </a:xfrm>
                    <a:prstGeom prst="rect">
                      <a:avLst/>
                    </a:prstGeom>
                    <a:noFill/>
                  </pic:spPr>
                </pic:pic>
              </a:graphicData>
            </a:graphic>
          </wp:anchor>
        </w:drawing>
      </w:r>
      <w:r>
        <w:rPr>
          <w:noProof/>
          <w:sz w:val="20"/>
          <w:szCs w:val="20"/>
        </w:rPr>
        <w:drawing>
          <wp:anchor distT="0" distB="0" distL="114300" distR="114300" simplePos="0" relativeHeight="251728896" behindDoc="1" locked="0" layoutInCell="0" allowOverlap="1" wp14:anchorId="528F4A68" wp14:editId="5E2668FF">
            <wp:simplePos x="0" y="0"/>
            <wp:positionH relativeFrom="column">
              <wp:posOffset>4523105</wp:posOffset>
            </wp:positionH>
            <wp:positionV relativeFrom="paragraph">
              <wp:posOffset>-2322195</wp:posOffset>
            </wp:positionV>
            <wp:extent cx="76835" cy="8255"/>
            <wp:effectExtent l="0" t="0" r="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58"/>
                    <a:srcRect/>
                    <a:stretch>
                      <a:fillRect/>
                    </a:stretch>
                  </pic:blipFill>
                  <pic:spPr bwMode="auto">
                    <a:xfrm>
                      <a:off x="0" y="0"/>
                      <a:ext cx="76835" cy="8255"/>
                    </a:xfrm>
                    <a:prstGeom prst="rect">
                      <a:avLst/>
                    </a:prstGeom>
                    <a:noFill/>
                  </pic:spPr>
                </pic:pic>
              </a:graphicData>
            </a:graphic>
          </wp:anchor>
        </w:drawing>
      </w:r>
      <w:r>
        <w:rPr>
          <w:noProof/>
          <w:sz w:val="20"/>
          <w:szCs w:val="20"/>
        </w:rPr>
        <w:drawing>
          <wp:anchor distT="0" distB="0" distL="114300" distR="114300" simplePos="0" relativeHeight="251729920" behindDoc="1" locked="0" layoutInCell="0" allowOverlap="1" wp14:anchorId="0296F58D" wp14:editId="7456DFD0">
            <wp:simplePos x="0" y="0"/>
            <wp:positionH relativeFrom="column">
              <wp:posOffset>3974465</wp:posOffset>
            </wp:positionH>
            <wp:positionV relativeFrom="paragraph">
              <wp:posOffset>-2322195</wp:posOffset>
            </wp:positionV>
            <wp:extent cx="154305" cy="8255"/>
            <wp:effectExtent l="0" t="0" r="0" b="0"/>
            <wp:wrapNone/>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30944" behindDoc="1" locked="0" layoutInCell="0" allowOverlap="1" wp14:anchorId="43D5143E" wp14:editId="60766BA8">
            <wp:simplePos x="0" y="0"/>
            <wp:positionH relativeFrom="column">
              <wp:posOffset>3416935</wp:posOffset>
            </wp:positionH>
            <wp:positionV relativeFrom="paragraph">
              <wp:posOffset>-2322195</wp:posOffset>
            </wp:positionV>
            <wp:extent cx="154305" cy="8255"/>
            <wp:effectExtent l="0" t="0" r="0" b="0"/>
            <wp:wrapNone/>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31968" behindDoc="1" locked="0" layoutInCell="0" allowOverlap="1" wp14:anchorId="3A0D03C4" wp14:editId="20565A16">
            <wp:simplePos x="0" y="0"/>
            <wp:positionH relativeFrom="column">
              <wp:posOffset>2945765</wp:posOffset>
            </wp:positionH>
            <wp:positionV relativeFrom="paragraph">
              <wp:posOffset>-2322195</wp:posOffset>
            </wp:positionV>
            <wp:extent cx="77470" cy="8255"/>
            <wp:effectExtent l="0" t="0" r="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58"/>
                    <a:srcRect/>
                    <a:stretch>
                      <a:fillRect/>
                    </a:stretch>
                  </pic:blipFill>
                  <pic:spPr bwMode="auto">
                    <a:xfrm>
                      <a:off x="0" y="0"/>
                      <a:ext cx="77470" cy="8255"/>
                    </a:xfrm>
                    <a:prstGeom prst="rect">
                      <a:avLst/>
                    </a:prstGeom>
                    <a:noFill/>
                  </pic:spPr>
                </pic:pic>
              </a:graphicData>
            </a:graphic>
          </wp:anchor>
        </w:drawing>
      </w:r>
      <w:r>
        <w:rPr>
          <w:noProof/>
          <w:sz w:val="20"/>
          <w:szCs w:val="20"/>
        </w:rPr>
        <w:drawing>
          <wp:anchor distT="0" distB="0" distL="114300" distR="114300" simplePos="0" relativeHeight="251732992" behindDoc="1" locked="0" layoutInCell="0" allowOverlap="1" wp14:anchorId="2BCAB657" wp14:editId="1AC1F1DD">
            <wp:simplePos x="0" y="0"/>
            <wp:positionH relativeFrom="column">
              <wp:posOffset>3974465</wp:posOffset>
            </wp:positionH>
            <wp:positionV relativeFrom="paragraph">
              <wp:posOffset>-2922270</wp:posOffset>
            </wp:positionV>
            <wp:extent cx="154305" cy="8255"/>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34016" behindDoc="1" locked="0" layoutInCell="0" allowOverlap="1" wp14:anchorId="1D685EFD" wp14:editId="4810D020">
            <wp:simplePos x="0" y="0"/>
            <wp:positionH relativeFrom="column">
              <wp:posOffset>3416935</wp:posOffset>
            </wp:positionH>
            <wp:positionV relativeFrom="paragraph">
              <wp:posOffset>-2922270</wp:posOffset>
            </wp:positionV>
            <wp:extent cx="154305" cy="8255"/>
            <wp:effectExtent l="0" t="0" r="0" b="0"/>
            <wp:wrapNone/>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p>
    <w:p w14:paraId="40BB585C" w14:textId="77777777" w:rsidR="00D1587D" w:rsidRDefault="00D1587D">
      <w:pPr>
        <w:spacing w:line="222" w:lineRule="exact"/>
        <w:rPr>
          <w:sz w:val="20"/>
          <w:szCs w:val="20"/>
        </w:rPr>
      </w:pPr>
    </w:p>
    <w:p w14:paraId="6E3988FA" w14:textId="77777777" w:rsidR="00D1587D" w:rsidRDefault="00410D07">
      <w:pPr>
        <w:ind w:left="660"/>
        <w:rPr>
          <w:sz w:val="20"/>
          <w:szCs w:val="20"/>
        </w:rPr>
      </w:pPr>
      <w:r>
        <w:rPr>
          <w:rFonts w:ascii="Arial" w:eastAsia="Arial" w:hAnsi="Arial" w:cs="Arial"/>
          <w:b/>
          <w:bCs/>
          <w:i/>
          <w:iCs/>
          <w:sz w:val="18"/>
          <w:szCs w:val="18"/>
        </w:rPr>
        <w:t>Results of Operations—2020 Compared to 2019</w:t>
      </w:r>
    </w:p>
    <w:p w14:paraId="3048CA92" w14:textId="77777777" w:rsidR="00D1587D" w:rsidRDefault="00D1587D">
      <w:pPr>
        <w:spacing w:line="117" w:lineRule="exact"/>
        <w:rPr>
          <w:sz w:val="20"/>
          <w:szCs w:val="20"/>
        </w:rPr>
      </w:pPr>
    </w:p>
    <w:p w14:paraId="738FFE4E" w14:textId="77777777" w:rsidR="00D1587D" w:rsidRDefault="00410D07">
      <w:pPr>
        <w:spacing w:line="259" w:lineRule="auto"/>
        <w:ind w:left="300" w:right="499" w:firstLine="360"/>
        <w:rPr>
          <w:sz w:val="20"/>
          <w:szCs w:val="20"/>
        </w:rPr>
      </w:pPr>
      <w:r>
        <w:rPr>
          <w:rFonts w:ascii="Arial" w:eastAsia="Arial" w:hAnsi="Arial" w:cs="Arial"/>
          <w:sz w:val="18"/>
          <w:szCs w:val="18"/>
        </w:rPr>
        <w:t xml:space="preserve">For 2020, our operating loss, which includes allocated corporate </w:t>
      </w:r>
      <w:r>
        <w:rPr>
          <w:rFonts w:ascii="Arial" w:eastAsia="Arial" w:hAnsi="Arial" w:cs="Arial"/>
          <w:sz w:val="18"/>
          <w:szCs w:val="18"/>
        </w:rPr>
        <w:t>expenses for purposes of the “carve-out” financial statements of $77 million, decreased $791 million to an operating loss of $101 million, and the operating loss rate improved to (1.9)% from (11.9)%. The following information summarizes our results of oper</w:t>
      </w:r>
      <w:r>
        <w:rPr>
          <w:rFonts w:ascii="Arial" w:eastAsia="Arial" w:hAnsi="Arial" w:cs="Arial"/>
          <w:sz w:val="18"/>
          <w:szCs w:val="18"/>
        </w:rPr>
        <w:t>ations for 2020 compared to 2019.</w:t>
      </w:r>
    </w:p>
    <w:p w14:paraId="761BEA2C" w14:textId="77777777" w:rsidR="00D1587D" w:rsidRDefault="00D1587D">
      <w:pPr>
        <w:spacing w:line="254" w:lineRule="exact"/>
        <w:rPr>
          <w:sz w:val="20"/>
          <w:szCs w:val="20"/>
        </w:rPr>
      </w:pPr>
    </w:p>
    <w:p w14:paraId="27F3934C" w14:textId="77777777" w:rsidR="00D1587D" w:rsidRDefault="00410D07">
      <w:pPr>
        <w:ind w:left="660"/>
        <w:rPr>
          <w:sz w:val="20"/>
          <w:szCs w:val="20"/>
        </w:rPr>
      </w:pPr>
      <w:r>
        <w:rPr>
          <w:rFonts w:ascii="Arial" w:eastAsia="Arial" w:hAnsi="Arial" w:cs="Arial"/>
          <w:i/>
          <w:iCs/>
          <w:sz w:val="18"/>
          <w:szCs w:val="18"/>
        </w:rPr>
        <w:t>Net Sales</w:t>
      </w:r>
    </w:p>
    <w:p w14:paraId="46668115" w14:textId="77777777" w:rsidR="00D1587D" w:rsidRDefault="00D1587D">
      <w:pPr>
        <w:spacing w:line="131" w:lineRule="exact"/>
        <w:rPr>
          <w:sz w:val="20"/>
          <w:szCs w:val="20"/>
        </w:rPr>
      </w:pPr>
    </w:p>
    <w:p w14:paraId="6572DE7D" w14:textId="77777777" w:rsidR="00D1587D" w:rsidRDefault="00410D07">
      <w:pPr>
        <w:ind w:left="660"/>
        <w:rPr>
          <w:sz w:val="20"/>
          <w:szCs w:val="20"/>
        </w:rPr>
      </w:pPr>
      <w:r>
        <w:rPr>
          <w:rFonts w:ascii="Arial" w:eastAsia="Arial" w:hAnsi="Arial" w:cs="Arial"/>
          <w:sz w:val="18"/>
          <w:szCs w:val="18"/>
        </w:rPr>
        <w:t>The following table provides net sales for 2020 in comparison to 2019:</w:t>
      </w:r>
    </w:p>
    <w:p w14:paraId="02CE55C7" w14:textId="77777777" w:rsidR="00D1587D" w:rsidRDefault="00D1587D">
      <w:pPr>
        <w:spacing w:line="19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160"/>
        <w:gridCol w:w="120"/>
        <w:gridCol w:w="520"/>
        <w:gridCol w:w="240"/>
        <w:gridCol w:w="500"/>
        <w:gridCol w:w="220"/>
        <w:gridCol w:w="660"/>
      </w:tblGrid>
      <w:tr w:rsidR="00D1587D" w14:paraId="10140876" w14:textId="77777777">
        <w:trPr>
          <w:trHeight w:val="186"/>
        </w:trPr>
        <w:tc>
          <w:tcPr>
            <w:tcW w:w="6160" w:type="dxa"/>
            <w:vAlign w:val="bottom"/>
          </w:tcPr>
          <w:p w14:paraId="40BD6A24" w14:textId="77777777" w:rsidR="00D1587D" w:rsidRDefault="00D1587D">
            <w:pPr>
              <w:rPr>
                <w:sz w:val="16"/>
                <w:szCs w:val="16"/>
              </w:rPr>
            </w:pPr>
          </w:p>
        </w:tc>
        <w:tc>
          <w:tcPr>
            <w:tcW w:w="120" w:type="dxa"/>
            <w:vAlign w:val="bottom"/>
          </w:tcPr>
          <w:p w14:paraId="3D9DBF6C" w14:textId="77777777" w:rsidR="00D1587D" w:rsidRDefault="00D1587D">
            <w:pPr>
              <w:rPr>
                <w:sz w:val="16"/>
                <w:szCs w:val="16"/>
              </w:rPr>
            </w:pPr>
          </w:p>
        </w:tc>
        <w:tc>
          <w:tcPr>
            <w:tcW w:w="520" w:type="dxa"/>
            <w:vAlign w:val="bottom"/>
          </w:tcPr>
          <w:p w14:paraId="67C562A1" w14:textId="77777777" w:rsidR="00D1587D" w:rsidRDefault="00410D07">
            <w:pPr>
              <w:ind w:right="36"/>
              <w:jc w:val="right"/>
              <w:rPr>
                <w:sz w:val="20"/>
                <w:szCs w:val="20"/>
              </w:rPr>
            </w:pPr>
            <w:r>
              <w:rPr>
                <w:rFonts w:ascii="Arial" w:eastAsia="Arial" w:hAnsi="Arial" w:cs="Arial"/>
                <w:b/>
                <w:bCs/>
                <w:sz w:val="14"/>
                <w:szCs w:val="14"/>
              </w:rPr>
              <w:t>2020</w:t>
            </w:r>
          </w:p>
        </w:tc>
        <w:tc>
          <w:tcPr>
            <w:tcW w:w="240" w:type="dxa"/>
            <w:vAlign w:val="bottom"/>
          </w:tcPr>
          <w:p w14:paraId="1A65B6DF" w14:textId="77777777" w:rsidR="00D1587D" w:rsidRDefault="00D1587D">
            <w:pPr>
              <w:rPr>
                <w:sz w:val="16"/>
                <w:szCs w:val="16"/>
              </w:rPr>
            </w:pPr>
          </w:p>
        </w:tc>
        <w:tc>
          <w:tcPr>
            <w:tcW w:w="500" w:type="dxa"/>
            <w:vAlign w:val="bottom"/>
          </w:tcPr>
          <w:p w14:paraId="4B255091" w14:textId="77777777" w:rsidR="00D1587D" w:rsidRDefault="00410D07">
            <w:pPr>
              <w:ind w:right="14"/>
              <w:jc w:val="right"/>
              <w:rPr>
                <w:sz w:val="20"/>
                <w:szCs w:val="20"/>
              </w:rPr>
            </w:pPr>
            <w:r>
              <w:rPr>
                <w:rFonts w:ascii="Arial" w:eastAsia="Arial" w:hAnsi="Arial" w:cs="Arial"/>
                <w:b/>
                <w:bCs/>
                <w:sz w:val="14"/>
                <w:szCs w:val="14"/>
              </w:rPr>
              <w:t>2019</w:t>
            </w:r>
          </w:p>
        </w:tc>
        <w:tc>
          <w:tcPr>
            <w:tcW w:w="220" w:type="dxa"/>
            <w:vAlign w:val="bottom"/>
          </w:tcPr>
          <w:p w14:paraId="7190B66C" w14:textId="77777777" w:rsidR="00D1587D" w:rsidRDefault="00D1587D">
            <w:pPr>
              <w:rPr>
                <w:sz w:val="16"/>
                <w:szCs w:val="16"/>
              </w:rPr>
            </w:pPr>
          </w:p>
        </w:tc>
        <w:tc>
          <w:tcPr>
            <w:tcW w:w="660" w:type="dxa"/>
            <w:vAlign w:val="bottom"/>
          </w:tcPr>
          <w:p w14:paraId="57B32EB7" w14:textId="77777777" w:rsidR="00D1587D" w:rsidRDefault="00410D07">
            <w:pPr>
              <w:jc w:val="right"/>
              <w:rPr>
                <w:sz w:val="20"/>
                <w:szCs w:val="20"/>
              </w:rPr>
            </w:pPr>
            <w:r>
              <w:rPr>
                <w:rFonts w:ascii="Arial" w:eastAsia="Arial" w:hAnsi="Arial" w:cs="Arial"/>
                <w:b/>
                <w:bCs/>
                <w:w w:val="94"/>
                <w:sz w:val="14"/>
                <w:szCs w:val="14"/>
              </w:rPr>
              <w:t>% Change</w:t>
            </w:r>
          </w:p>
        </w:tc>
      </w:tr>
      <w:tr w:rsidR="00D1587D" w14:paraId="4FD1357A" w14:textId="77777777">
        <w:trPr>
          <w:trHeight w:val="53"/>
        </w:trPr>
        <w:tc>
          <w:tcPr>
            <w:tcW w:w="6160" w:type="dxa"/>
            <w:vAlign w:val="bottom"/>
          </w:tcPr>
          <w:p w14:paraId="6B955282" w14:textId="77777777" w:rsidR="00D1587D" w:rsidRDefault="00D1587D">
            <w:pPr>
              <w:rPr>
                <w:sz w:val="4"/>
                <w:szCs w:val="4"/>
              </w:rPr>
            </w:pPr>
          </w:p>
        </w:tc>
        <w:tc>
          <w:tcPr>
            <w:tcW w:w="120" w:type="dxa"/>
            <w:vAlign w:val="bottom"/>
          </w:tcPr>
          <w:p w14:paraId="5A8B358B" w14:textId="77777777" w:rsidR="00D1587D" w:rsidRDefault="00D1587D">
            <w:pPr>
              <w:rPr>
                <w:sz w:val="4"/>
                <w:szCs w:val="4"/>
              </w:rPr>
            </w:pPr>
          </w:p>
        </w:tc>
        <w:tc>
          <w:tcPr>
            <w:tcW w:w="1260" w:type="dxa"/>
            <w:gridSpan w:val="3"/>
            <w:tcBorders>
              <w:bottom w:val="single" w:sz="8" w:space="0" w:color="auto"/>
            </w:tcBorders>
            <w:vAlign w:val="bottom"/>
          </w:tcPr>
          <w:p w14:paraId="2991FA20" w14:textId="77777777" w:rsidR="00D1587D" w:rsidRDefault="00D1587D">
            <w:pPr>
              <w:rPr>
                <w:sz w:val="4"/>
                <w:szCs w:val="4"/>
              </w:rPr>
            </w:pPr>
          </w:p>
        </w:tc>
        <w:tc>
          <w:tcPr>
            <w:tcW w:w="220" w:type="dxa"/>
            <w:vAlign w:val="bottom"/>
          </w:tcPr>
          <w:p w14:paraId="6035754A" w14:textId="77777777" w:rsidR="00D1587D" w:rsidRDefault="00D1587D">
            <w:pPr>
              <w:rPr>
                <w:sz w:val="4"/>
                <w:szCs w:val="4"/>
              </w:rPr>
            </w:pPr>
          </w:p>
        </w:tc>
        <w:tc>
          <w:tcPr>
            <w:tcW w:w="660" w:type="dxa"/>
            <w:tcBorders>
              <w:bottom w:val="single" w:sz="8" w:space="0" w:color="auto"/>
            </w:tcBorders>
            <w:vAlign w:val="bottom"/>
          </w:tcPr>
          <w:p w14:paraId="7DE185A6" w14:textId="77777777" w:rsidR="00D1587D" w:rsidRDefault="00D1587D">
            <w:pPr>
              <w:rPr>
                <w:sz w:val="4"/>
                <w:szCs w:val="4"/>
              </w:rPr>
            </w:pPr>
          </w:p>
        </w:tc>
      </w:tr>
      <w:tr w:rsidR="00D1587D" w14:paraId="07EA1C67" w14:textId="77777777">
        <w:trPr>
          <w:trHeight w:val="225"/>
        </w:trPr>
        <w:tc>
          <w:tcPr>
            <w:tcW w:w="6160" w:type="dxa"/>
            <w:vAlign w:val="bottom"/>
          </w:tcPr>
          <w:p w14:paraId="27FD730C" w14:textId="77777777" w:rsidR="00D1587D" w:rsidRDefault="00D1587D">
            <w:pPr>
              <w:rPr>
                <w:sz w:val="19"/>
                <w:szCs w:val="19"/>
              </w:rPr>
            </w:pPr>
          </w:p>
        </w:tc>
        <w:tc>
          <w:tcPr>
            <w:tcW w:w="120" w:type="dxa"/>
            <w:vAlign w:val="bottom"/>
          </w:tcPr>
          <w:p w14:paraId="41335226" w14:textId="77777777" w:rsidR="00D1587D" w:rsidRDefault="00D1587D">
            <w:pPr>
              <w:rPr>
                <w:sz w:val="19"/>
                <w:szCs w:val="19"/>
              </w:rPr>
            </w:pPr>
          </w:p>
        </w:tc>
        <w:tc>
          <w:tcPr>
            <w:tcW w:w="1480" w:type="dxa"/>
            <w:gridSpan w:val="4"/>
            <w:vAlign w:val="bottom"/>
          </w:tcPr>
          <w:p w14:paraId="68E35DE2" w14:textId="77777777" w:rsidR="00D1587D" w:rsidRDefault="00410D07">
            <w:pPr>
              <w:ind w:left="260"/>
              <w:rPr>
                <w:sz w:val="20"/>
                <w:szCs w:val="20"/>
              </w:rPr>
            </w:pPr>
            <w:r>
              <w:rPr>
                <w:rFonts w:ascii="Arial" w:eastAsia="Arial" w:hAnsi="Arial" w:cs="Arial"/>
                <w:b/>
                <w:bCs/>
                <w:sz w:val="14"/>
                <w:szCs w:val="14"/>
              </w:rPr>
              <w:t>(in millions)</w:t>
            </w:r>
          </w:p>
        </w:tc>
        <w:tc>
          <w:tcPr>
            <w:tcW w:w="660" w:type="dxa"/>
            <w:vAlign w:val="bottom"/>
          </w:tcPr>
          <w:p w14:paraId="75959E62" w14:textId="77777777" w:rsidR="00D1587D" w:rsidRDefault="00D1587D">
            <w:pPr>
              <w:rPr>
                <w:sz w:val="19"/>
                <w:szCs w:val="19"/>
              </w:rPr>
            </w:pPr>
          </w:p>
        </w:tc>
      </w:tr>
      <w:tr w:rsidR="00D1587D" w14:paraId="1DFE324D" w14:textId="77777777">
        <w:trPr>
          <w:trHeight w:val="52"/>
        </w:trPr>
        <w:tc>
          <w:tcPr>
            <w:tcW w:w="6160" w:type="dxa"/>
            <w:vAlign w:val="bottom"/>
          </w:tcPr>
          <w:p w14:paraId="3B504634" w14:textId="77777777" w:rsidR="00D1587D" w:rsidRDefault="00D1587D">
            <w:pPr>
              <w:rPr>
                <w:sz w:val="4"/>
                <w:szCs w:val="4"/>
              </w:rPr>
            </w:pPr>
          </w:p>
        </w:tc>
        <w:tc>
          <w:tcPr>
            <w:tcW w:w="120" w:type="dxa"/>
            <w:vAlign w:val="bottom"/>
          </w:tcPr>
          <w:p w14:paraId="11A207DE" w14:textId="77777777" w:rsidR="00D1587D" w:rsidRDefault="00D1587D">
            <w:pPr>
              <w:rPr>
                <w:sz w:val="4"/>
                <w:szCs w:val="4"/>
              </w:rPr>
            </w:pPr>
          </w:p>
        </w:tc>
        <w:tc>
          <w:tcPr>
            <w:tcW w:w="520" w:type="dxa"/>
            <w:vAlign w:val="bottom"/>
          </w:tcPr>
          <w:p w14:paraId="1014945C" w14:textId="77777777" w:rsidR="00D1587D" w:rsidRDefault="00D1587D">
            <w:pPr>
              <w:rPr>
                <w:sz w:val="4"/>
                <w:szCs w:val="4"/>
              </w:rPr>
            </w:pPr>
          </w:p>
        </w:tc>
        <w:tc>
          <w:tcPr>
            <w:tcW w:w="240" w:type="dxa"/>
            <w:vAlign w:val="bottom"/>
          </w:tcPr>
          <w:p w14:paraId="008C568E" w14:textId="77777777" w:rsidR="00D1587D" w:rsidRDefault="00D1587D">
            <w:pPr>
              <w:rPr>
                <w:sz w:val="4"/>
                <w:szCs w:val="4"/>
              </w:rPr>
            </w:pPr>
          </w:p>
        </w:tc>
        <w:tc>
          <w:tcPr>
            <w:tcW w:w="500" w:type="dxa"/>
            <w:vAlign w:val="bottom"/>
          </w:tcPr>
          <w:p w14:paraId="22E143DA" w14:textId="77777777" w:rsidR="00D1587D" w:rsidRDefault="00D1587D">
            <w:pPr>
              <w:rPr>
                <w:sz w:val="4"/>
                <w:szCs w:val="4"/>
              </w:rPr>
            </w:pPr>
          </w:p>
        </w:tc>
        <w:tc>
          <w:tcPr>
            <w:tcW w:w="220" w:type="dxa"/>
            <w:vAlign w:val="bottom"/>
          </w:tcPr>
          <w:p w14:paraId="36F4D9DD" w14:textId="77777777" w:rsidR="00D1587D" w:rsidRDefault="00D1587D">
            <w:pPr>
              <w:rPr>
                <w:sz w:val="4"/>
                <w:szCs w:val="4"/>
              </w:rPr>
            </w:pPr>
          </w:p>
        </w:tc>
        <w:tc>
          <w:tcPr>
            <w:tcW w:w="660" w:type="dxa"/>
            <w:vAlign w:val="bottom"/>
          </w:tcPr>
          <w:p w14:paraId="6A56C631" w14:textId="77777777" w:rsidR="00D1587D" w:rsidRDefault="00D1587D">
            <w:pPr>
              <w:rPr>
                <w:sz w:val="4"/>
                <w:szCs w:val="4"/>
              </w:rPr>
            </w:pPr>
          </w:p>
        </w:tc>
      </w:tr>
      <w:tr w:rsidR="00D1587D" w14:paraId="53CE7395" w14:textId="77777777">
        <w:trPr>
          <w:trHeight w:val="304"/>
        </w:trPr>
        <w:tc>
          <w:tcPr>
            <w:tcW w:w="6280" w:type="dxa"/>
            <w:gridSpan w:val="2"/>
            <w:tcBorders>
              <w:bottom w:val="single" w:sz="8" w:space="0" w:color="CCEEFF"/>
            </w:tcBorders>
            <w:shd w:val="clear" w:color="auto" w:fill="CCEEFF"/>
            <w:vAlign w:val="bottom"/>
          </w:tcPr>
          <w:p w14:paraId="3BDC680C" w14:textId="77777777" w:rsidR="00D1587D" w:rsidRDefault="00410D07">
            <w:pPr>
              <w:rPr>
                <w:sz w:val="20"/>
                <w:szCs w:val="20"/>
              </w:rPr>
            </w:pPr>
            <w:r>
              <w:rPr>
                <w:rFonts w:ascii="Arial" w:eastAsia="Arial" w:hAnsi="Arial" w:cs="Arial"/>
                <w:sz w:val="18"/>
                <w:szCs w:val="18"/>
              </w:rPr>
              <w:t>Stores - North America</w:t>
            </w:r>
          </w:p>
        </w:tc>
        <w:tc>
          <w:tcPr>
            <w:tcW w:w="520" w:type="dxa"/>
            <w:tcBorders>
              <w:bottom w:val="single" w:sz="8" w:space="0" w:color="CCEEFF"/>
            </w:tcBorders>
            <w:shd w:val="clear" w:color="auto" w:fill="CCEEFF"/>
            <w:vAlign w:val="bottom"/>
          </w:tcPr>
          <w:p w14:paraId="1190776B" w14:textId="77777777" w:rsidR="00D1587D" w:rsidRDefault="00410D07">
            <w:pPr>
              <w:jc w:val="right"/>
              <w:rPr>
                <w:sz w:val="20"/>
                <w:szCs w:val="20"/>
              </w:rPr>
            </w:pPr>
            <w:r>
              <w:rPr>
                <w:rFonts w:ascii="Arial" w:eastAsia="Arial" w:hAnsi="Arial" w:cs="Arial"/>
                <w:w w:val="87"/>
                <w:sz w:val="18"/>
                <w:szCs w:val="18"/>
              </w:rPr>
              <w:t>$2,795</w:t>
            </w:r>
          </w:p>
        </w:tc>
        <w:tc>
          <w:tcPr>
            <w:tcW w:w="240" w:type="dxa"/>
            <w:tcBorders>
              <w:bottom w:val="single" w:sz="8" w:space="0" w:color="CCEEFF"/>
            </w:tcBorders>
            <w:shd w:val="clear" w:color="auto" w:fill="CCEEFF"/>
            <w:vAlign w:val="bottom"/>
          </w:tcPr>
          <w:p w14:paraId="6E41FC4A"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4789A77" w14:textId="77777777" w:rsidR="00D1587D" w:rsidRDefault="00410D07">
            <w:pPr>
              <w:jc w:val="right"/>
              <w:rPr>
                <w:sz w:val="20"/>
                <w:szCs w:val="20"/>
              </w:rPr>
            </w:pPr>
            <w:r>
              <w:rPr>
                <w:rFonts w:ascii="Arial" w:eastAsia="Arial" w:hAnsi="Arial" w:cs="Arial"/>
                <w:w w:val="83"/>
                <w:sz w:val="18"/>
                <w:szCs w:val="18"/>
              </w:rPr>
              <w:t>$5,112</w:t>
            </w:r>
          </w:p>
        </w:tc>
        <w:tc>
          <w:tcPr>
            <w:tcW w:w="220" w:type="dxa"/>
            <w:tcBorders>
              <w:bottom w:val="single" w:sz="8" w:space="0" w:color="CCEEFF"/>
            </w:tcBorders>
            <w:shd w:val="clear" w:color="auto" w:fill="CCEEFF"/>
            <w:vAlign w:val="bottom"/>
          </w:tcPr>
          <w:p w14:paraId="51CAC389" w14:textId="77777777" w:rsidR="00D1587D" w:rsidRDefault="00D1587D">
            <w:pPr>
              <w:rPr>
                <w:sz w:val="24"/>
                <w:szCs w:val="24"/>
              </w:rPr>
            </w:pPr>
          </w:p>
        </w:tc>
        <w:tc>
          <w:tcPr>
            <w:tcW w:w="660" w:type="dxa"/>
            <w:tcBorders>
              <w:bottom w:val="single" w:sz="8" w:space="0" w:color="CCEEFF"/>
            </w:tcBorders>
            <w:shd w:val="clear" w:color="auto" w:fill="CCEEFF"/>
            <w:vAlign w:val="bottom"/>
          </w:tcPr>
          <w:p w14:paraId="6ABC45CB" w14:textId="77777777" w:rsidR="00D1587D" w:rsidRDefault="00410D07">
            <w:pPr>
              <w:jc w:val="right"/>
              <w:rPr>
                <w:sz w:val="20"/>
                <w:szCs w:val="20"/>
              </w:rPr>
            </w:pPr>
            <w:r>
              <w:rPr>
                <w:rFonts w:ascii="Arial" w:eastAsia="Arial" w:hAnsi="Arial" w:cs="Arial"/>
                <w:sz w:val="18"/>
                <w:szCs w:val="18"/>
              </w:rPr>
              <w:t>(45)%</w:t>
            </w:r>
          </w:p>
        </w:tc>
      </w:tr>
      <w:tr w:rsidR="00D1587D" w14:paraId="3047FAF4" w14:textId="77777777">
        <w:trPr>
          <w:trHeight w:val="257"/>
        </w:trPr>
        <w:tc>
          <w:tcPr>
            <w:tcW w:w="6280" w:type="dxa"/>
            <w:gridSpan w:val="2"/>
            <w:vAlign w:val="bottom"/>
          </w:tcPr>
          <w:p w14:paraId="3234F81E" w14:textId="77777777" w:rsidR="00D1587D" w:rsidRDefault="00410D07">
            <w:pPr>
              <w:rPr>
                <w:sz w:val="20"/>
                <w:szCs w:val="20"/>
              </w:rPr>
            </w:pPr>
            <w:r>
              <w:rPr>
                <w:rFonts w:ascii="Arial" w:eastAsia="Arial" w:hAnsi="Arial" w:cs="Arial"/>
                <w:sz w:val="18"/>
                <w:szCs w:val="18"/>
              </w:rPr>
              <w:t>Direct</w:t>
            </w:r>
          </w:p>
        </w:tc>
        <w:tc>
          <w:tcPr>
            <w:tcW w:w="520" w:type="dxa"/>
            <w:vAlign w:val="bottom"/>
          </w:tcPr>
          <w:p w14:paraId="351F5A56" w14:textId="77777777" w:rsidR="00D1587D" w:rsidRDefault="00410D07">
            <w:pPr>
              <w:jc w:val="right"/>
              <w:rPr>
                <w:sz w:val="20"/>
                <w:szCs w:val="20"/>
              </w:rPr>
            </w:pPr>
            <w:r>
              <w:rPr>
                <w:rFonts w:ascii="Arial" w:eastAsia="Arial" w:hAnsi="Arial" w:cs="Arial"/>
                <w:sz w:val="18"/>
                <w:szCs w:val="18"/>
              </w:rPr>
              <w:t>2,223</w:t>
            </w:r>
          </w:p>
        </w:tc>
        <w:tc>
          <w:tcPr>
            <w:tcW w:w="240" w:type="dxa"/>
            <w:vAlign w:val="bottom"/>
          </w:tcPr>
          <w:p w14:paraId="0ED95B01" w14:textId="77777777" w:rsidR="00D1587D" w:rsidRDefault="00D1587D"/>
        </w:tc>
        <w:tc>
          <w:tcPr>
            <w:tcW w:w="500" w:type="dxa"/>
            <w:vAlign w:val="bottom"/>
          </w:tcPr>
          <w:p w14:paraId="4384ECF6" w14:textId="77777777" w:rsidR="00D1587D" w:rsidRDefault="00410D07">
            <w:pPr>
              <w:jc w:val="right"/>
              <w:rPr>
                <w:sz w:val="20"/>
                <w:szCs w:val="20"/>
              </w:rPr>
            </w:pPr>
            <w:r>
              <w:rPr>
                <w:rFonts w:ascii="Arial" w:eastAsia="Arial" w:hAnsi="Arial" w:cs="Arial"/>
                <w:sz w:val="18"/>
                <w:szCs w:val="18"/>
              </w:rPr>
              <w:t>1,693</w:t>
            </w:r>
          </w:p>
        </w:tc>
        <w:tc>
          <w:tcPr>
            <w:tcW w:w="220" w:type="dxa"/>
            <w:vAlign w:val="bottom"/>
          </w:tcPr>
          <w:p w14:paraId="5D836AAA" w14:textId="77777777" w:rsidR="00D1587D" w:rsidRDefault="00D1587D"/>
        </w:tc>
        <w:tc>
          <w:tcPr>
            <w:tcW w:w="660" w:type="dxa"/>
            <w:vAlign w:val="bottom"/>
          </w:tcPr>
          <w:p w14:paraId="159FD8AC" w14:textId="77777777" w:rsidR="00D1587D" w:rsidRDefault="00410D07">
            <w:pPr>
              <w:jc w:val="right"/>
              <w:rPr>
                <w:sz w:val="20"/>
                <w:szCs w:val="20"/>
              </w:rPr>
            </w:pPr>
            <w:r>
              <w:rPr>
                <w:rFonts w:ascii="Arial" w:eastAsia="Arial" w:hAnsi="Arial" w:cs="Arial"/>
                <w:sz w:val="18"/>
                <w:szCs w:val="18"/>
              </w:rPr>
              <w:t>31%</w:t>
            </w:r>
          </w:p>
        </w:tc>
      </w:tr>
      <w:tr w:rsidR="00D1587D" w14:paraId="56CF8814" w14:textId="77777777">
        <w:trPr>
          <w:trHeight w:val="40"/>
        </w:trPr>
        <w:tc>
          <w:tcPr>
            <w:tcW w:w="6160" w:type="dxa"/>
            <w:vAlign w:val="bottom"/>
          </w:tcPr>
          <w:p w14:paraId="54732C85" w14:textId="77777777" w:rsidR="00D1587D" w:rsidRDefault="00D1587D">
            <w:pPr>
              <w:rPr>
                <w:sz w:val="3"/>
                <w:szCs w:val="3"/>
              </w:rPr>
            </w:pPr>
          </w:p>
        </w:tc>
        <w:tc>
          <w:tcPr>
            <w:tcW w:w="120" w:type="dxa"/>
            <w:vAlign w:val="bottom"/>
          </w:tcPr>
          <w:p w14:paraId="617FC7E6" w14:textId="77777777" w:rsidR="00D1587D" w:rsidRDefault="00D1587D">
            <w:pPr>
              <w:rPr>
                <w:sz w:val="3"/>
                <w:szCs w:val="3"/>
              </w:rPr>
            </w:pPr>
          </w:p>
        </w:tc>
        <w:tc>
          <w:tcPr>
            <w:tcW w:w="520" w:type="dxa"/>
            <w:vAlign w:val="bottom"/>
          </w:tcPr>
          <w:p w14:paraId="7E24BDBC" w14:textId="77777777" w:rsidR="00D1587D" w:rsidRDefault="00D1587D">
            <w:pPr>
              <w:rPr>
                <w:sz w:val="3"/>
                <w:szCs w:val="3"/>
              </w:rPr>
            </w:pPr>
          </w:p>
        </w:tc>
        <w:tc>
          <w:tcPr>
            <w:tcW w:w="240" w:type="dxa"/>
            <w:vAlign w:val="bottom"/>
          </w:tcPr>
          <w:p w14:paraId="628FC6D0" w14:textId="77777777" w:rsidR="00D1587D" w:rsidRDefault="00D1587D">
            <w:pPr>
              <w:rPr>
                <w:sz w:val="3"/>
                <w:szCs w:val="3"/>
              </w:rPr>
            </w:pPr>
          </w:p>
        </w:tc>
        <w:tc>
          <w:tcPr>
            <w:tcW w:w="500" w:type="dxa"/>
            <w:vAlign w:val="bottom"/>
          </w:tcPr>
          <w:p w14:paraId="40CAFA98" w14:textId="77777777" w:rsidR="00D1587D" w:rsidRDefault="00D1587D">
            <w:pPr>
              <w:rPr>
                <w:sz w:val="3"/>
                <w:szCs w:val="3"/>
              </w:rPr>
            </w:pPr>
          </w:p>
        </w:tc>
        <w:tc>
          <w:tcPr>
            <w:tcW w:w="220" w:type="dxa"/>
            <w:vAlign w:val="bottom"/>
          </w:tcPr>
          <w:p w14:paraId="45FC7BAD" w14:textId="77777777" w:rsidR="00D1587D" w:rsidRDefault="00D1587D">
            <w:pPr>
              <w:rPr>
                <w:sz w:val="3"/>
                <w:szCs w:val="3"/>
              </w:rPr>
            </w:pPr>
          </w:p>
        </w:tc>
        <w:tc>
          <w:tcPr>
            <w:tcW w:w="660" w:type="dxa"/>
            <w:vAlign w:val="bottom"/>
          </w:tcPr>
          <w:p w14:paraId="02216941" w14:textId="77777777" w:rsidR="00D1587D" w:rsidRDefault="00D1587D">
            <w:pPr>
              <w:rPr>
                <w:sz w:val="3"/>
                <w:szCs w:val="3"/>
              </w:rPr>
            </w:pPr>
          </w:p>
        </w:tc>
      </w:tr>
      <w:tr w:rsidR="00D1587D" w14:paraId="3AA76705" w14:textId="77777777">
        <w:trPr>
          <w:trHeight w:val="324"/>
        </w:trPr>
        <w:tc>
          <w:tcPr>
            <w:tcW w:w="6160" w:type="dxa"/>
            <w:shd w:val="clear" w:color="auto" w:fill="CCEEFF"/>
            <w:vAlign w:val="bottom"/>
          </w:tcPr>
          <w:p w14:paraId="72A43A36" w14:textId="77777777" w:rsidR="00D1587D" w:rsidRDefault="00410D07">
            <w:pPr>
              <w:spacing w:line="324" w:lineRule="exact"/>
              <w:rPr>
                <w:sz w:val="20"/>
                <w:szCs w:val="20"/>
              </w:rPr>
            </w:pPr>
            <w:r>
              <w:rPr>
                <w:rFonts w:ascii="Arial" w:eastAsia="Arial" w:hAnsi="Arial" w:cs="Arial"/>
                <w:sz w:val="18"/>
                <w:szCs w:val="18"/>
              </w:rPr>
              <w:t>International</w:t>
            </w:r>
            <w:r>
              <w:rPr>
                <w:rFonts w:ascii="Arial" w:eastAsia="Arial" w:hAnsi="Arial" w:cs="Arial"/>
                <w:sz w:val="29"/>
                <w:szCs w:val="29"/>
                <w:vertAlign w:val="superscript"/>
              </w:rPr>
              <w:t>(a)</w:t>
            </w:r>
          </w:p>
        </w:tc>
        <w:tc>
          <w:tcPr>
            <w:tcW w:w="120" w:type="dxa"/>
            <w:tcBorders>
              <w:bottom w:val="single" w:sz="8" w:space="0" w:color="CCEEFF"/>
            </w:tcBorders>
            <w:shd w:val="clear" w:color="auto" w:fill="CCEEFF"/>
            <w:vAlign w:val="bottom"/>
          </w:tcPr>
          <w:p w14:paraId="215A1D62" w14:textId="77777777" w:rsidR="00D1587D" w:rsidRDefault="00D1587D">
            <w:pPr>
              <w:rPr>
                <w:sz w:val="24"/>
                <w:szCs w:val="24"/>
              </w:rPr>
            </w:pPr>
          </w:p>
        </w:tc>
        <w:tc>
          <w:tcPr>
            <w:tcW w:w="520" w:type="dxa"/>
            <w:tcBorders>
              <w:bottom w:val="single" w:sz="8" w:space="0" w:color="auto"/>
            </w:tcBorders>
            <w:shd w:val="clear" w:color="auto" w:fill="CCEEFF"/>
            <w:vAlign w:val="bottom"/>
          </w:tcPr>
          <w:p w14:paraId="19260482" w14:textId="77777777" w:rsidR="00D1587D" w:rsidRDefault="00410D07">
            <w:pPr>
              <w:jc w:val="right"/>
              <w:rPr>
                <w:sz w:val="20"/>
                <w:szCs w:val="20"/>
              </w:rPr>
            </w:pPr>
            <w:r>
              <w:rPr>
                <w:rFonts w:ascii="Arial" w:eastAsia="Arial" w:hAnsi="Arial" w:cs="Arial"/>
                <w:sz w:val="18"/>
                <w:szCs w:val="18"/>
              </w:rPr>
              <w:t>395</w:t>
            </w:r>
          </w:p>
        </w:tc>
        <w:tc>
          <w:tcPr>
            <w:tcW w:w="240" w:type="dxa"/>
            <w:tcBorders>
              <w:bottom w:val="single" w:sz="8" w:space="0" w:color="CCEEFF"/>
            </w:tcBorders>
            <w:shd w:val="clear" w:color="auto" w:fill="CCEEFF"/>
            <w:vAlign w:val="bottom"/>
          </w:tcPr>
          <w:p w14:paraId="6287A2C7" w14:textId="77777777" w:rsidR="00D1587D" w:rsidRDefault="00D1587D">
            <w:pPr>
              <w:rPr>
                <w:sz w:val="24"/>
                <w:szCs w:val="24"/>
              </w:rPr>
            </w:pPr>
          </w:p>
        </w:tc>
        <w:tc>
          <w:tcPr>
            <w:tcW w:w="500" w:type="dxa"/>
            <w:tcBorders>
              <w:bottom w:val="single" w:sz="8" w:space="0" w:color="auto"/>
            </w:tcBorders>
            <w:shd w:val="clear" w:color="auto" w:fill="CCEEFF"/>
            <w:vAlign w:val="bottom"/>
          </w:tcPr>
          <w:p w14:paraId="087C84F0" w14:textId="77777777" w:rsidR="00D1587D" w:rsidRDefault="00410D07">
            <w:pPr>
              <w:jc w:val="right"/>
              <w:rPr>
                <w:sz w:val="20"/>
                <w:szCs w:val="20"/>
              </w:rPr>
            </w:pPr>
            <w:r>
              <w:rPr>
                <w:rFonts w:ascii="Arial" w:eastAsia="Arial" w:hAnsi="Arial" w:cs="Arial"/>
                <w:sz w:val="18"/>
                <w:szCs w:val="18"/>
              </w:rPr>
              <w:t>704</w:t>
            </w:r>
          </w:p>
        </w:tc>
        <w:tc>
          <w:tcPr>
            <w:tcW w:w="220" w:type="dxa"/>
            <w:tcBorders>
              <w:bottom w:val="single" w:sz="8" w:space="0" w:color="CCEEFF"/>
            </w:tcBorders>
            <w:shd w:val="clear" w:color="auto" w:fill="CCEEFF"/>
            <w:vAlign w:val="bottom"/>
          </w:tcPr>
          <w:p w14:paraId="2C049A18" w14:textId="77777777" w:rsidR="00D1587D" w:rsidRDefault="00D1587D">
            <w:pPr>
              <w:rPr>
                <w:sz w:val="24"/>
                <w:szCs w:val="24"/>
              </w:rPr>
            </w:pPr>
          </w:p>
        </w:tc>
        <w:tc>
          <w:tcPr>
            <w:tcW w:w="660" w:type="dxa"/>
            <w:tcBorders>
              <w:bottom w:val="single" w:sz="8" w:space="0" w:color="auto"/>
            </w:tcBorders>
            <w:shd w:val="clear" w:color="auto" w:fill="CCEEFF"/>
            <w:vAlign w:val="bottom"/>
          </w:tcPr>
          <w:p w14:paraId="47985952" w14:textId="77777777" w:rsidR="00D1587D" w:rsidRDefault="00410D07">
            <w:pPr>
              <w:jc w:val="right"/>
              <w:rPr>
                <w:sz w:val="20"/>
                <w:szCs w:val="20"/>
              </w:rPr>
            </w:pPr>
            <w:r>
              <w:rPr>
                <w:rFonts w:ascii="Arial" w:eastAsia="Arial" w:hAnsi="Arial" w:cs="Arial"/>
                <w:sz w:val="18"/>
                <w:szCs w:val="18"/>
              </w:rPr>
              <w:t>(44)%</w:t>
            </w:r>
          </w:p>
        </w:tc>
      </w:tr>
      <w:tr w:rsidR="00D1587D" w14:paraId="0D4F54E4" w14:textId="77777777">
        <w:trPr>
          <w:trHeight w:val="304"/>
        </w:trPr>
        <w:tc>
          <w:tcPr>
            <w:tcW w:w="6280" w:type="dxa"/>
            <w:gridSpan w:val="2"/>
            <w:vAlign w:val="bottom"/>
          </w:tcPr>
          <w:p w14:paraId="4328088D" w14:textId="77777777" w:rsidR="00D1587D" w:rsidRDefault="00410D07">
            <w:pPr>
              <w:rPr>
                <w:sz w:val="20"/>
                <w:szCs w:val="20"/>
              </w:rPr>
            </w:pPr>
            <w:r>
              <w:rPr>
                <w:rFonts w:ascii="Arial" w:eastAsia="Arial" w:hAnsi="Arial" w:cs="Arial"/>
                <w:b/>
                <w:bCs/>
                <w:sz w:val="18"/>
                <w:szCs w:val="18"/>
              </w:rPr>
              <w:t>Total</w:t>
            </w:r>
          </w:p>
        </w:tc>
        <w:tc>
          <w:tcPr>
            <w:tcW w:w="520" w:type="dxa"/>
            <w:vAlign w:val="bottom"/>
          </w:tcPr>
          <w:p w14:paraId="71DCEBFA" w14:textId="77777777" w:rsidR="00D1587D" w:rsidRDefault="00410D07">
            <w:pPr>
              <w:jc w:val="right"/>
              <w:rPr>
                <w:sz w:val="20"/>
                <w:szCs w:val="20"/>
              </w:rPr>
            </w:pPr>
            <w:r>
              <w:rPr>
                <w:rFonts w:ascii="Arial" w:eastAsia="Arial" w:hAnsi="Arial" w:cs="Arial"/>
                <w:b/>
                <w:bCs/>
                <w:w w:val="87"/>
                <w:sz w:val="18"/>
                <w:szCs w:val="18"/>
              </w:rPr>
              <w:t>$5,413</w:t>
            </w:r>
          </w:p>
        </w:tc>
        <w:tc>
          <w:tcPr>
            <w:tcW w:w="240" w:type="dxa"/>
            <w:vAlign w:val="bottom"/>
          </w:tcPr>
          <w:p w14:paraId="4355BF18" w14:textId="77777777" w:rsidR="00D1587D" w:rsidRDefault="00D1587D">
            <w:pPr>
              <w:rPr>
                <w:sz w:val="24"/>
                <w:szCs w:val="24"/>
              </w:rPr>
            </w:pPr>
          </w:p>
        </w:tc>
        <w:tc>
          <w:tcPr>
            <w:tcW w:w="500" w:type="dxa"/>
            <w:vAlign w:val="bottom"/>
          </w:tcPr>
          <w:p w14:paraId="4B90DD80" w14:textId="77777777" w:rsidR="00D1587D" w:rsidRDefault="00410D07">
            <w:pPr>
              <w:jc w:val="right"/>
              <w:rPr>
                <w:sz w:val="20"/>
                <w:szCs w:val="20"/>
              </w:rPr>
            </w:pPr>
            <w:r>
              <w:rPr>
                <w:rFonts w:ascii="Arial" w:eastAsia="Arial" w:hAnsi="Arial" w:cs="Arial"/>
                <w:b/>
                <w:bCs/>
                <w:w w:val="87"/>
                <w:sz w:val="18"/>
                <w:szCs w:val="18"/>
              </w:rPr>
              <w:t>$7,509</w:t>
            </w:r>
          </w:p>
        </w:tc>
        <w:tc>
          <w:tcPr>
            <w:tcW w:w="220" w:type="dxa"/>
            <w:vAlign w:val="bottom"/>
          </w:tcPr>
          <w:p w14:paraId="0F8E52EA" w14:textId="77777777" w:rsidR="00D1587D" w:rsidRDefault="00D1587D">
            <w:pPr>
              <w:rPr>
                <w:sz w:val="24"/>
                <w:szCs w:val="24"/>
              </w:rPr>
            </w:pPr>
          </w:p>
        </w:tc>
        <w:tc>
          <w:tcPr>
            <w:tcW w:w="660" w:type="dxa"/>
            <w:vAlign w:val="bottom"/>
          </w:tcPr>
          <w:p w14:paraId="620FA58F" w14:textId="77777777" w:rsidR="00D1587D" w:rsidRDefault="00410D07">
            <w:pPr>
              <w:jc w:val="right"/>
              <w:rPr>
                <w:sz w:val="20"/>
                <w:szCs w:val="20"/>
              </w:rPr>
            </w:pPr>
            <w:r>
              <w:rPr>
                <w:rFonts w:ascii="Arial" w:eastAsia="Arial" w:hAnsi="Arial" w:cs="Arial"/>
                <w:b/>
                <w:bCs/>
                <w:sz w:val="18"/>
                <w:szCs w:val="18"/>
              </w:rPr>
              <w:t>(28)%</w:t>
            </w:r>
          </w:p>
        </w:tc>
      </w:tr>
      <w:tr w:rsidR="00D1587D" w14:paraId="0C8901F3" w14:textId="77777777">
        <w:trPr>
          <w:trHeight w:val="27"/>
        </w:trPr>
        <w:tc>
          <w:tcPr>
            <w:tcW w:w="6160" w:type="dxa"/>
            <w:vAlign w:val="bottom"/>
          </w:tcPr>
          <w:p w14:paraId="37785E8F" w14:textId="77777777" w:rsidR="00D1587D" w:rsidRDefault="00D1587D">
            <w:pPr>
              <w:rPr>
                <w:sz w:val="2"/>
                <w:szCs w:val="2"/>
              </w:rPr>
            </w:pPr>
          </w:p>
        </w:tc>
        <w:tc>
          <w:tcPr>
            <w:tcW w:w="120" w:type="dxa"/>
            <w:vAlign w:val="bottom"/>
          </w:tcPr>
          <w:p w14:paraId="1FD0627A" w14:textId="77777777" w:rsidR="00D1587D" w:rsidRDefault="00D1587D">
            <w:pPr>
              <w:rPr>
                <w:sz w:val="2"/>
                <w:szCs w:val="2"/>
              </w:rPr>
            </w:pPr>
          </w:p>
        </w:tc>
        <w:tc>
          <w:tcPr>
            <w:tcW w:w="520" w:type="dxa"/>
            <w:tcBorders>
              <w:bottom w:val="single" w:sz="8" w:space="0" w:color="auto"/>
            </w:tcBorders>
            <w:vAlign w:val="bottom"/>
          </w:tcPr>
          <w:p w14:paraId="185EA396" w14:textId="77777777" w:rsidR="00D1587D" w:rsidRDefault="00D1587D">
            <w:pPr>
              <w:rPr>
                <w:sz w:val="2"/>
                <w:szCs w:val="2"/>
              </w:rPr>
            </w:pPr>
          </w:p>
        </w:tc>
        <w:tc>
          <w:tcPr>
            <w:tcW w:w="240" w:type="dxa"/>
            <w:vAlign w:val="bottom"/>
          </w:tcPr>
          <w:p w14:paraId="01B66CFD" w14:textId="77777777" w:rsidR="00D1587D" w:rsidRDefault="00D1587D">
            <w:pPr>
              <w:rPr>
                <w:sz w:val="2"/>
                <w:szCs w:val="2"/>
              </w:rPr>
            </w:pPr>
          </w:p>
        </w:tc>
        <w:tc>
          <w:tcPr>
            <w:tcW w:w="500" w:type="dxa"/>
            <w:tcBorders>
              <w:bottom w:val="single" w:sz="8" w:space="0" w:color="auto"/>
            </w:tcBorders>
            <w:vAlign w:val="bottom"/>
          </w:tcPr>
          <w:p w14:paraId="4E7FE1ED" w14:textId="77777777" w:rsidR="00D1587D" w:rsidRDefault="00D1587D">
            <w:pPr>
              <w:rPr>
                <w:sz w:val="2"/>
                <w:szCs w:val="2"/>
              </w:rPr>
            </w:pPr>
          </w:p>
        </w:tc>
        <w:tc>
          <w:tcPr>
            <w:tcW w:w="220" w:type="dxa"/>
            <w:vAlign w:val="bottom"/>
          </w:tcPr>
          <w:p w14:paraId="1B0B2DE6" w14:textId="77777777" w:rsidR="00D1587D" w:rsidRDefault="00D1587D">
            <w:pPr>
              <w:rPr>
                <w:sz w:val="2"/>
                <w:szCs w:val="2"/>
              </w:rPr>
            </w:pPr>
          </w:p>
        </w:tc>
        <w:tc>
          <w:tcPr>
            <w:tcW w:w="660" w:type="dxa"/>
            <w:tcBorders>
              <w:bottom w:val="single" w:sz="8" w:space="0" w:color="auto"/>
            </w:tcBorders>
            <w:vAlign w:val="bottom"/>
          </w:tcPr>
          <w:p w14:paraId="16EC9125" w14:textId="77777777" w:rsidR="00D1587D" w:rsidRDefault="00D1587D">
            <w:pPr>
              <w:rPr>
                <w:sz w:val="2"/>
                <w:szCs w:val="2"/>
              </w:rPr>
            </w:pPr>
          </w:p>
        </w:tc>
      </w:tr>
      <w:tr w:rsidR="00D1587D" w14:paraId="13FE96B0" w14:textId="77777777">
        <w:trPr>
          <w:trHeight w:val="20"/>
        </w:trPr>
        <w:tc>
          <w:tcPr>
            <w:tcW w:w="6160" w:type="dxa"/>
            <w:vAlign w:val="bottom"/>
          </w:tcPr>
          <w:p w14:paraId="7F1C8205" w14:textId="77777777" w:rsidR="00D1587D" w:rsidRDefault="00D1587D">
            <w:pPr>
              <w:spacing w:line="20" w:lineRule="exact"/>
              <w:rPr>
                <w:sz w:val="1"/>
                <w:szCs w:val="1"/>
              </w:rPr>
            </w:pPr>
          </w:p>
        </w:tc>
        <w:tc>
          <w:tcPr>
            <w:tcW w:w="120" w:type="dxa"/>
            <w:vAlign w:val="bottom"/>
          </w:tcPr>
          <w:p w14:paraId="03B4E33F" w14:textId="77777777" w:rsidR="00D1587D" w:rsidRDefault="00D1587D">
            <w:pPr>
              <w:spacing w:line="20" w:lineRule="exact"/>
              <w:rPr>
                <w:sz w:val="1"/>
                <w:szCs w:val="1"/>
              </w:rPr>
            </w:pPr>
          </w:p>
        </w:tc>
        <w:tc>
          <w:tcPr>
            <w:tcW w:w="520" w:type="dxa"/>
            <w:tcBorders>
              <w:bottom w:val="single" w:sz="8" w:space="0" w:color="auto"/>
            </w:tcBorders>
            <w:vAlign w:val="bottom"/>
          </w:tcPr>
          <w:p w14:paraId="4D7E8AE1" w14:textId="77777777" w:rsidR="00D1587D" w:rsidRDefault="00D1587D">
            <w:pPr>
              <w:spacing w:line="20" w:lineRule="exact"/>
              <w:rPr>
                <w:sz w:val="1"/>
                <w:szCs w:val="1"/>
              </w:rPr>
            </w:pPr>
          </w:p>
        </w:tc>
        <w:tc>
          <w:tcPr>
            <w:tcW w:w="240" w:type="dxa"/>
            <w:vAlign w:val="bottom"/>
          </w:tcPr>
          <w:p w14:paraId="0AA2ACEA" w14:textId="77777777" w:rsidR="00D1587D" w:rsidRDefault="00D1587D">
            <w:pPr>
              <w:spacing w:line="20" w:lineRule="exact"/>
              <w:rPr>
                <w:sz w:val="1"/>
                <w:szCs w:val="1"/>
              </w:rPr>
            </w:pPr>
          </w:p>
        </w:tc>
        <w:tc>
          <w:tcPr>
            <w:tcW w:w="500" w:type="dxa"/>
            <w:tcBorders>
              <w:bottom w:val="single" w:sz="8" w:space="0" w:color="auto"/>
            </w:tcBorders>
            <w:vAlign w:val="bottom"/>
          </w:tcPr>
          <w:p w14:paraId="1DD031F3" w14:textId="77777777" w:rsidR="00D1587D" w:rsidRDefault="00D1587D">
            <w:pPr>
              <w:spacing w:line="20" w:lineRule="exact"/>
              <w:rPr>
                <w:sz w:val="1"/>
                <w:szCs w:val="1"/>
              </w:rPr>
            </w:pPr>
          </w:p>
        </w:tc>
        <w:tc>
          <w:tcPr>
            <w:tcW w:w="220" w:type="dxa"/>
            <w:vAlign w:val="bottom"/>
          </w:tcPr>
          <w:p w14:paraId="5718FFCF" w14:textId="77777777" w:rsidR="00D1587D" w:rsidRDefault="00D1587D">
            <w:pPr>
              <w:spacing w:line="20" w:lineRule="exact"/>
              <w:rPr>
                <w:sz w:val="1"/>
                <w:szCs w:val="1"/>
              </w:rPr>
            </w:pPr>
          </w:p>
        </w:tc>
        <w:tc>
          <w:tcPr>
            <w:tcW w:w="660" w:type="dxa"/>
            <w:tcBorders>
              <w:bottom w:val="single" w:sz="8" w:space="0" w:color="auto"/>
            </w:tcBorders>
            <w:vAlign w:val="bottom"/>
          </w:tcPr>
          <w:p w14:paraId="751A7B71" w14:textId="77777777" w:rsidR="00D1587D" w:rsidRDefault="00D1587D">
            <w:pPr>
              <w:spacing w:line="20" w:lineRule="exact"/>
              <w:rPr>
                <w:sz w:val="1"/>
                <w:szCs w:val="1"/>
              </w:rPr>
            </w:pPr>
          </w:p>
        </w:tc>
      </w:tr>
    </w:tbl>
    <w:p w14:paraId="28E7A280" w14:textId="77777777" w:rsidR="00D1587D" w:rsidRDefault="00410D07">
      <w:pPr>
        <w:spacing w:line="20" w:lineRule="exact"/>
        <w:rPr>
          <w:sz w:val="20"/>
          <w:szCs w:val="20"/>
        </w:rPr>
      </w:pPr>
      <w:r>
        <w:rPr>
          <w:noProof/>
          <w:sz w:val="20"/>
          <w:szCs w:val="20"/>
        </w:rPr>
        <w:drawing>
          <wp:anchor distT="0" distB="0" distL="114300" distR="114300" simplePos="0" relativeHeight="251735040" behindDoc="1" locked="0" layoutInCell="0" allowOverlap="1" wp14:anchorId="480D28A7" wp14:editId="3BDD5E05">
            <wp:simplePos x="0" y="0"/>
            <wp:positionH relativeFrom="column">
              <wp:posOffset>4505960</wp:posOffset>
            </wp:positionH>
            <wp:positionV relativeFrom="paragraph">
              <wp:posOffset>-1045210</wp:posOffset>
            </wp:positionV>
            <wp:extent cx="154305" cy="8255"/>
            <wp:effectExtent l="0" t="0" r="0" b="0"/>
            <wp:wrapNone/>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736064" behindDoc="1" locked="0" layoutInCell="0" allowOverlap="1" wp14:anchorId="366CA701" wp14:editId="014FAC41">
            <wp:simplePos x="0" y="0"/>
            <wp:positionH relativeFrom="column">
              <wp:posOffset>185420</wp:posOffset>
            </wp:positionH>
            <wp:positionV relativeFrom="paragraph">
              <wp:posOffset>146050</wp:posOffset>
            </wp:positionV>
            <wp:extent cx="822960" cy="8255"/>
            <wp:effectExtent l="0" t="0" r="0" b="0"/>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5951C3B1" w14:textId="77777777" w:rsidR="00D1587D" w:rsidRDefault="00D1587D">
      <w:pPr>
        <w:spacing w:line="258" w:lineRule="exact"/>
        <w:rPr>
          <w:sz w:val="20"/>
          <w:szCs w:val="20"/>
        </w:rPr>
      </w:pPr>
    </w:p>
    <w:p w14:paraId="30CD4A2C" w14:textId="77777777" w:rsidR="00D1587D" w:rsidRDefault="00410D07" w:rsidP="00410D07">
      <w:pPr>
        <w:numPr>
          <w:ilvl w:val="0"/>
          <w:numId w:val="291"/>
        </w:numPr>
        <w:tabs>
          <w:tab w:val="left" w:pos="640"/>
        </w:tabs>
        <w:spacing w:line="253" w:lineRule="auto"/>
        <w:ind w:left="640" w:right="419" w:hanging="348"/>
        <w:rPr>
          <w:rFonts w:ascii="Arial" w:eastAsia="Arial" w:hAnsi="Arial" w:cs="Arial"/>
          <w:sz w:val="14"/>
          <w:szCs w:val="14"/>
        </w:rPr>
      </w:pPr>
      <w:r>
        <w:rPr>
          <w:rFonts w:ascii="Arial" w:eastAsia="Arial" w:hAnsi="Arial" w:cs="Arial"/>
          <w:sz w:val="14"/>
          <w:szCs w:val="14"/>
        </w:rPr>
        <w:t>Results include company-operated stores in the U.K. (pre-joint venture) and Greater China, and royalties associated with franchised stores and wholesale sales.</w:t>
      </w:r>
    </w:p>
    <w:p w14:paraId="4EA350E7" w14:textId="77777777" w:rsidR="00D1587D" w:rsidRDefault="00D1587D">
      <w:pPr>
        <w:spacing w:line="83" w:lineRule="exact"/>
        <w:rPr>
          <w:sz w:val="20"/>
          <w:szCs w:val="20"/>
        </w:rPr>
      </w:pPr>
    </w:p>
    <w:p w14:paraId="6A637C5E" w14:textId="77777777" w:rsidR="00D1587D" w:rsidRDefault="00410D07">
      <w:pPr>
        <w:ind w:left="660"/>
        <w:rPr>
          <w:sz w:val="20"/>
          <w:szCs w:val="20"/>
        </w:rPr>
      </w:pPr>
      <w:r>
        <w:rPr>
          <w:rFonts w:ascii="Arial" w:eastAsia="Arial" w:hAnsi="Arial" w:cs="Arial"/>
          <w:sz w:val="18"/>
          <w:szCs w:val="18"/>
        </w:rPr>
        <w:t xml:space="preserve">The </w:t>
      </w:r>
      <w:r>
        <w:rPr>
          <w:rFonts w:ascii="Arial" w:eastAsia="Arial" w:hAnsi="Arial" w:cs="Arial"/>
          <w:sz w:val="18"/>
          <w:szCs w:val="18"/>
        </w:rPr>
        <w:t>following table provides a reconciliation of net sales for 2019 to 2020:</w:t>
      </w:r>
    </w:p>
    <w:p w14:paraId="05A702CF" w14:textId="77777777" w:rsidR="00D1587D" w:rsidRDefault="00D1587D">
      <w:pPr>
        <w:spacing w:line="19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680"/>
        <w:gridCol w:w="740"/>
      </w:tblGrid>
      <w:tr w:rsidR="00D1587D" w14:paraId="20F551FF" w14:textId="77777777">
        <w:trPr>
          <w:trHeight w:val="186"/>
        </w:trPr>
        <w:tc>
          <w:tcPr>
            <w:tcW w:w="7680" w:type="dxa"/>
            <w:vAlign w:val="bottom"/>
          </w:tcPr>
          <w:p w14:paraId="73237ECF" w14:textId="77777777" w:rsidR="00D1587D" w:rsidRDefault="00D1587D">
            <w:pPr>
              <w:rPr>
                <w:sz w:val="16"/>
                <w:szCs w:val="16"/>
              </w:rPr>
            </w:pPr>
          </w:p>
        </w:tc>
        <w:tc>
          <w:tcPr>
            <w:tcW w:w="740" w:type="dxa"/>
            <w:vAlign w:val="bottom"/>
          </w:tcPr>
          <w:p w14:paraId="33C4D392" w14:textId="77777777" w:rsidR="00D1587D" w:rsidRDefault="00410D07">
            <w:pPr>
              <w:jc w:val="right"/>
              <w:rPr>
                <w:sz w:val="20"/>
                <w:szCs w:val="20"/>
              </w:rPr>
            </w:pPr>
            <w:r>
              <w:rPr>
                <w:rFonts w:ascii="Arial" w:eastAsia="Arial" w:hAnsi="Arial" w:cs="Arial"/>
                <w:b/>
                <w:bCs/>
                <w:w w:val="91"/>
                <w:sz w:val="14"/>
                <w:szCs w:val="14"/>
              </w:rPr>
              <w:t>(in millions)</w:t>
            </w:r>
          </w:p>
        </w:tc>
      </w:tr>
      <w:tr w:rsidR="00D1587D" w14:paraId="2CB08216" w14:textId="77777777">
        <w:trPr>
          <w:trHeight w:val="52"/>
        </w:trPr>
        <w:tc>
          <w:tcPr>
            <w:tcW w:w="7680" w:type="dxa"/>
            <w:vAlign w:val="bottom"/>
          </w:tcPr>
          <w:p w14:paraId="7E5761D3" w14:textId="77777777" w:rsidR="00D1587D" w:rsidRDefault="00D1587D">
            <w:pPr>
              <w:rPr>
                <w:sz w:val="4"/>
                <w:szCs w:val="4"/>
              </w:rPr>
            </w:pPr>
          </w:p>
        </w:tc>
        <w:tc>
          <w:tcPr>
            <w:tcW w:w="740" w:type="dxa"/>
            <w:vAlign w:val="bottom"/>
          </w:tcPr>
          <w:p w14:paraId="7950D2B6" w14:textId="77777777" w:rsidR="00D1587D" w:rsidRDefault="00D1587D">
            <w:pPr>
              <w:rPr>
                <w:sz w:val="4"/>
                <w:szCs w:val="4"/>
              </w:rPr>
            </w:pPr>
          </w:p>
        </w:tc>
      </w:tr>
      <w:tr w:rsidR="00D1587D" w14:paraId="6D990090" w14:textId="77777777">
        <w:trPr>
          <w:trHeight w:val="304"/>
        </w:trPr>
        <w:tc>
          <w:tcPr>
            <w:tcW w:w="7680" w:type="dxa"/>
            <w:tcBorders>
              <w:bottom w:val="single" w:sz="8" w:space="0" w:color="CCEEFF"/>
            </w:tcBorders>
            <w:shd w:val="clear" w:color="auto" w:fill="CCEEFF"/>
            <w:vAlign w:val="bottom"/>
          </w:tcPr>
          <w:p w14:paraId="0A7B441D" w14:textId="77777777" w:rsidR="00D1587D" w:rsidRDefault="00410D07">
            <w:pPr>
              <w:rPr>
                <w:sz w:val="20"/>
                <w:szCs w:val="20"/>
              </w:rPr>
            </w:pPr>
            <w:r>
              <w:rPr>
                <w:rFonts w:ascii="Arial" w:eastAsia="Arial" w:hAnsi="Arial" w:cs="Arial"/>
                <w:b/>
                <w:bCs/>
                <w:sz w:val="18"/>
                <w:szCs w:val="18"/>
              </w:rPr>
              <w:t>2019 Net Sales</w:t>
            </w:r>
          </w:p>
        </w:tc>
        <w:tc>
          <w:tcPr>
            <w:tcW w:w="740" w:type="dxa"/>
            <w:tcBorders>
              <w:bottom w:val="single" w:sz="8" w:space="0" w:color="CCEEFF"/>
            </w:tcBorders>
            <w:shd w:val="clear" w:color="auto" w:fill="CCEEFF"/>
            <w:vAlign w:val="bottom"/>
          </w:tcPr>
          <w:p w14:paraId="35F0AFE7" w14:textId="77777777" w:rsidR="00D1587D" w:rsidRDefault="00410D07">
            <w:pPr>
              <w:ind w:right="12"/>
              <w:jc w:val="right"/>
              <w:rPr>
                <w:sz w:val="20"/>
                <w:szCs w:val="20"/>
              </w:rPr>
            </w:pPr>
            <w:r>
              <w:rPr>
                <w:rFonts w:ascii="Arial" w:eastAsia="Arial" w:hAnsi="Arial" w:cs="Arial"/>
                <w:b/>
                <w:bCs/>
                <w:sz w:val="18"/>
                <w:szCs w:val="18"/>
              </w:rPr>
              <w:t>$ 7,509</w:t>
            </w:r>
          </w:p>
        </w:tc>
      </w:tr>
      <w:tr w:rsidR="00D1587D" w14:paraId="3FF3258E" w14:textId="77777777">
        <w:trPr>
          <w:trHeight w:val="256"/>
        </w:trPr>
        <w:tc>
          <w:tcPr>
            <w:tcW w:w="7680" w:type="dxa"/>
            <w:vAlign w:val="bottom"/>
          </w:tcPr>
          <w:p w14:paraId="21B797BD" w14:textId="77777777" w:rsidR="00D1587D" w:rsidRDefault="00410D07">
            <w:pPr>
              <w:ind w:left="180"/>
              <w:rPr>
                <w:sz w:val="20"/>
                <w:szCs w:val="20"/>
              </w:rPr>
            </w:pPr>
            <w:r>
              <w:rPr>
                <w:rFonts w:ascii="Arial" w:eastAsia="Arial" w:hAnsi="Arial" w:cs="Arial"/>
                <w:sz w:val="18"/>
                <w:szCs w:val="18"/>
              </w:rPr>
              <w:t>Comparable Store Sales</w:t>
            </w:r>
          </w:p>
        </w:tc>
        <w:tc>
          <w:tcPr>
            <w:tcW w:w="740" w:type="dxa"/>
            <w:vAlign w:val="bottom"/>
          </w:tcPr>
          <w:p w14:paraId="1B44F837" w14:textId="77777777" w:rsidR="00D1587D" w:rsidRDefault="00410D07">
            <w:pPr>
              <w:jc w:val="right"/>
              <w:rPr>
                <w:sz w:val="20"/>
                <w:szCs w:val="20"/>
              </w:rPr>
            </w:pPr>
            <w:r>
              <w:rPr>
                <w:rFonts w:ascii="Arial" w:eastAsia="Arial" w:hAnsi="Arial" w:cs="Arial"/>
                <w:sz w:val="18"/>
                <w:szCs w:val="18"/>
              </w:rPr>
              <w:t>(499)</w:t>
            </w:r>
          </w:p>
        </w:tc>
      </w:tr>
      <w:tr w:rsidR="00D1587D" w14:paraId="11884EED" w14:textId="77777777">
        <w:trPr>
          <w:trHeight w:val="41"/>
        </w:trPr>
        <w:tc>
          <w:tcPr>
            <w:tcW w:w="7680" w:type="dxa"/>
            <w:vAlign w:val="bottom"/>
          </w:tcPr>
          <w:p w14:paraId="6DF48EAD" w14:textId="77777777" w:rsidR="00D1587D" w:rsidRDefault="00D1587D">
            <w:pPr>
              <w:rPr>
                <w:sz w:val="3"/>
                <w:szCs w:val="3"/>
              </w:rPr>
            </w:pPr>
          </w:p>
        </w:tc>
        <w:tc>
          <w:tcPr>
            <w:tcW w:w="740" w:type="dxa"/>
            <w:vAlign w:val="bottom"/>
          </w:tcPr>
          <w:p w14:paraId="5A1277BC" w14:textId="77777777" w:rsidR="00D1587D" w:rsidRDefault="00D1587D">
            <w:pPr>
              <w:rPr>
                <w:sz w:val="3"/>
                <w:szCs w:val="3"/>
              </w:rPr>
            </w:pPr>
          </w:p>
        </w:tc>
      </w:tr>
      <w:tr w:rsidR="00D1587D" w14:paraId="536C7E98" w14:textId="77777777">
        <w:trPr>
          <w:trHeight w:val="297"/>
        </w:trPr>
        <w:tc>
          <w:tcPr>
            <w:tcW w:w="7680" w:type="dxa"/>
            <w:shd w:val="clear" w:color="auto" w:fill="CCEEFF"/>
            <w:vAlign w:val="bottom"/>
          </w:tcPr>
          <w:p w14:paraId="35489597" w14:textId="77777777" w:rsidR="00D1587D" w:rsidRDefault="00410D07">
            <w:pPr>
              <w:spacing w:line="296" w:lineRule="exact"/>
              <w:ind w:left="180"/>
              <w:rPr>
                <w:sz w:val="20"/>
                <w:szCs w:val="20"/>
              </w:rPr>
            </w:pPr>
            <w:r>
              <w:rPr>
                <w:rFonts w:ascii="Arial" w:eastAsia="Arial" w:hAnsi="Arial" w:cs="Arial"/>
                <w:sz w:val="18"/>
                <w:szCs w:val="18"/>
              </w:rPr>
              <w:t>Sales Associated with New, Closed and Non-comparable Remodeled Stores, Net</w:t>
            </w:r>
            <w:r>
              <w:rPr>
                <w:rFonts w:ascii="Arial" w:eastAsia="Arial" w:hAnsi="Arial" w:cs="Arial"/>
                <w:sz w:val="29"/>
                <w:szCs w:val="29"/>
                <w:vertAlign w:val="superscript"/>
              </w:rPr>
              <w:t>(a)</w:t>
            </w:r>
          </w:p>
        </w:tc>
        <w:tc>
          <w:tcPr>
            <w:tcW w:w="740" w:type="dxa"/>
            <w:shd w:val="clear" w:color="auto" w:fill="CCEEFF"/>
            <w:vAlign w:val="bottom"/>
          </w:tcPr>
          <w:p w14:paraId="3C9FA43D" w14:textId="77777777" w:rsidR="00D1587D" w:rsidRDefault="00410D07">
            <w:pPr>
              <w:jc w:val="right"/>
              <w:rPr>
                <w:sz w:val="20"/>
                <w:szCs w:val="20"/>
              </w:rPr>
            </w:pPr>
            <w:r>
              <w:rPr>
                <w:rFonts w:ascii="Arial" w:eastAsia="Arial" w:hAnsi="Arial" w:cs="Arial"/>
                <w:sz w:val="18"/>
                <w:szCs w:val="18"/>
              </w:rPr>
              <w:t>(1,930)</w:t>
            </w:r>
          </w:p>
        </w:tc>
      </w:tr>
      <w:tr w:rsidR="00D1587D" w14:paraId="4926F115" w14:textId="77777777">
        <w:trPr>
          <w:trHeight w:val="256"/>
        </w:trPr>
        <w:tc>
          <w:tcPr>
            <w:tcW w:w="7680" w:type="dxa"/>
            <w:vAlign w:val="bottom"/>
          </w:tcPr>
          <w:p w14:paraId="04415D2C" w14:textId="77777777" w:rsidR="00D1587D" w:rsidRDefault="00410D07">
            <w:pPr>
              <w:ind w:left="180"/>
              <w:rPr>
                <w:sz w:val="20"/>
                <w:szCs w:val="20"/>
              </w:rPr>
            </w:pPr>
            <w:r>
              <w:rPr>
                <w:rFonts w:ascii="Arial" w:eastAsia="Arial" w:hAnsi="Arial" w:cs="Arial"/>
                <w:sz w:val="18"/>
                <w:szCs w:val="18"/>
              </w:rPr>
              <w:t xml:space="preserve">Direct </w:t>
            </w:r>
            <w:r>
              <w:rPr>
                <w:rFonts w:ascii="Arial" w:eastAsia="Arial" w:hAnsi="Arial" w:cs="Arial"/>
                <w:sz w:val="18"/>
                <w:szCs w:val="18"/>
              </w:rPr>
              <w:t>Channel</w:t>
            </w:r>
          </w:p>
        </w:tc>
        <w:tc>
          <w:tcPr>
            <w:tcW w:w="740" w:type="dxa"/>
            <w:vAlign w:val="bottom"/>
          </w:tcPr>
          <w:p w14:paraId="5AA00D31" w14:textId="77777777" w:rsidR="00D1587D" w:rsidRDefault="00410D07">
            <w:pPr>
              <w:ind w:right="12"/>
              <w:jc w:val="right"/>
              <w:rPr>
                <w:sz w:val="20"/>
                <w:szCs w:val="20"/>
              </w:rPr>
            </w:pPr>
            <w:r>
              <w:rPr>
                <w:rFonts w:ascii="Arial" w:eastAsia="Arial" w:hAnsi="Arial" w:cs="Arial"/>
                <w:sz w:val="18"/>
                <w:szCs w:val="18"/>
              </w:rPr>
              <w:t>524</w:t>
            </w:r>
          </w:p>
        </w:tc>
      </w:tr>
      <w:tr w:rsidR="00D1587D" w14:paraId="5C0EE251" w14:textId="77777777">
        <w:trPr>
          <w:trHeight w:val="41"/>
        </w:trPr>
        <w:tc>
          <w:tcPr>
            <w:tcW w:w="7680" w:type="dxa"/>
            <w:vAlign w:val="bottom"/>
          </w:tcPr>
          <w:p w14:paraId="75FB9C20" w14:textId="77777777" w:rsidR="00D1587D" w:rsidRDefault="00D1587D">
            <w:pPr>
              <w:rPr>
                <w:sz w:val="3"/>
                <w:szCs w:val="3"/>
              </w:rPr>
            </w:pPr>
          </w:p>
        </w:tc>
        <w:tc>
          <w:tcPr>
            <w:tcW w:w="740" w:type="dxa"/>
            <w:vAlign w:val="bottom"/>
          </w:tcPr>
          <w:p w14:paraId="50A16E3C" w14:textId="77777777" w:rsidR="00D1587D" w:rsidRDefault="00D1587D">
            <w:pPr>
              <w:rPr>
                <w:sz w:val="3"/>
                <w:szCs w:val="3"/>
              </w:rPr>
            </w:pPr>
          </w:p>
        </w:tc>
      </w:tr>
      <w:tr w:rsidR="00D1587D" w14:paraId="62BE0FBF" w14:textId="77777777">
        <w:trPr>
          <w:trHeight w:val="277"/>
        </w:trPr>
        <w:tc>
          <w:tcPr>
            <w:tcW w:w="7680" w:type="dxa"/>
            <w:tcBorders>
              <w:bottom w:val="single" w:sz="8" w:space="0" w:color="CCEEFF"/>
            </w:tcBorders>
            <w:shd w:val="clear" w:color="auto" w:fill="CCEEFF"/>
            <w:vAlign w:val="bottom"/>
          </w:tcPr>
          <w:p w14:paraId="420D1431" w14:textId="77777777" w:rsidR="00D1587D" w:rsidRDefault="00410D07">
            <w:pPr>
              <w:ind w:left="180"/>
              <w:rPr>
                <w:sz w:val="20"/>
                <w:szCs w:val="20"/>
              </w:rPr>
            </w:pPr>
            <w:r>
              <w:rPr>
                <w:rFonts w:ascii="Arial" w:eastAsia="Arial" w:hAnsi="Arial" w:cs="Arial"/>
                <w:sz w:val="18"/>
                <w:szCs w:val="18"/>
              </w:rPr>
              <w:t>Private Label Credit Card</w:t>
            </w:r>
          </w:p>
        </w:tc>
        <w:tc>
          <w:tcPr>
            <w:tcW w:w="740" w:type="dxa"/>
            <w:tcBorders>
              <w:bottom w:val="single" w:sz="8" w:space="0" w:color="CCEEFF"/>
            </w:tcBorders>
            <w:shd w:val="clear" w:color="auto" w:fill="CCEEFF"/>
            <w:vAlign w:val="bottom"/>
          </w:tcPr>
          <w:p w14:paraId="0ACC82AE" w14:textId="77777777" w:rsidR="00D1587D" w:rsidRDefault="00410D07">
            <w:pPr>
              <w:jc w:val="right"/>
              <w:rPr>
                <w:sz w:val="20"/>
                <w:szCs w:val="20"/>
              </w:rPr>
            </w:pPr>
            <w:r>
              <w:rPr>
                <w:rFonts w:ascii="Arial" w:eastAsia="Arial" w:hAnsi="Arial" w:cs="Arial"/>
                <w:sz w:val="18"/>
                <w:szCs w:val="18"/>
              </w:rPr>
              <w:t>(59)</w:t>
            </w:r>
          </w:p>
        </w:tc>
      </w:tr>
      <w:tr w:rsidR="00D1587D" w14:paraId="1C67B7CC" w14:textId="77777777">
        <w:trPr>
          <w:trHeight w:val="256"/>
        </w:trPr>
        <w:tc>
          <w:tcPr>
            <w:tcW w:w="7680" w:type="dxa"/>
            <w:vAlign w:val="bottom"/>
          </w:tcPr>
          <w:p w14:paraId="306EF79E" w14:textId="77777777" w:rsidR="00D1587D" w:rsidRDefault="00410D07">
            <w:pPr>
              <w:ind w:left="180"/>
              <w:rPr>
                <w:sz w:val="20"/>
                <w:szCs w:val="20"/>
              </w:rPr>
            </w:pPr>
            <w:r>
              <w:rPr>
                <w:rFonts w:ascii="Arial" w:eastAsia="Arial" w:hAnsi="Arial" w:cs="Arial"/>
                <w:sz w:val="18"/>
                <w:szCs w:val="18"/>
              </w:rPr>
              <w:t>International Wholesale, Royalty and Other</w:t>
            </w:r>
          </w:p>
        </w:tc>
        <w:tc>
          <w:tcPr>
            <w:tcW w:w="740" w:type="dxa"/>
            <w:vAlign w:val="bottom"/>
          </w:tcPr>
          <w:p w14:paraId="2C1E2B16" w14:textId="77777777" w:rsidR="00D1587D" w:rsidRDefault="00410D07">
            <w:pPr>
              <w:jc w:val="right"/>
              <w:rPr>
                <w:sz w:val="20"/>
                <w:szCs w:val="20"/>
              </w:rPr>
            </w:pPr>
            <w:r>
              <w:rPr>
                <w:rFonts w:ascii="Arial" w:eastAsia="Arial" w:hAnsi="Arial" w:cs="Arial"/>
                <w:sz w:val="18"/>
                <w:szCs w:val="18"/>
              </w:rPr>
              <w:t>(135)</w:t>
            </w:r>
          </w:p>
        </w:tc>
      </w:tr>
      <w:tr w:rsidR="00D1587D" w14:paraId="6FAAF87A" w14:textId="77777777">
        <w:trPr>
          <w:trHeight w:val="41"/>
        </w:trPr>
        <w:tc>
          <w:tcPr>
            <w:tcW w:w="7680" w:type="dxa"/>
            <w:vAlign w:val="bottom"/>
          </w:tcPr>
          <w:p w14:paraId="5202C78D" w14:textId="77777777" w:rsidR="00D1587D" w:rsidRDefault="00D1587D">
            <w:pPr>
              <w:rPr>
                <w:sz w:val="3"/>
                <w:szCs w:val="3"/>
              </w:rPr>
            </w:pPr>
          </w:p>
        </w:tc>
        <w:tc>
          <w:tcPr>
            <w:tcW w:w="740" w:type="dxa"/>
            <w:vAlign w:val="bottom"/>
          </w:tcPr>
          <w:p w14:paraId="4FAE6023" w14:textId="77777777" w:rsidR="00D1587D" w:rsidRDefault="00D1587D">
            <w:pPr>
              <w:rPr>
                <w:sz w:val="3"/>
                <w:szCs w:val="3"/>
              </w:rPr>
            </w:pPr>
          </w:p>
        </w:tc>
      </w:tr>
      <w:tr w:rsidR="00D1587D" w14:paraId="1873960B" w14:textId="77777777">
        <w:trPr>
          <w:trHeight w:val="256"/>
        </w:trPr>
        <w:tc>
          <w:tcPr>
            <w:tcW w:w="7680" w:type="dxa"/>
            <w:shd w:val="clear" w:color="auto" w:fill="CCEEFF"/>
            <w:vAlign w:val="bottom"/>
          </w:tcPr>
          <w:p w14:paraId="0D0B5164" w14:textId="77777777" w:rsidR="00D1587D" w:rsidRDefault="00410D07">
            <w:pPr>
              <w:ind w:left="180"/>
              <w:rPr>
                <w:sz w:val="20"/>
                <w:szCs w:val="20"/>
              </w:rPr>
            </w:pPr>
            <w:r>
              <w:rPr>
                <w:rFonts w:ascii="Arial" w:eastAsia="Arial" w:hAnsi="Arial" w:cs="Arial"/>
                <w:sz w:val="18"/>
                <w:szCs w:val="18"/>
              </w:rPr>
              <w:t>Foreign Currency Translation</w:t>
            </w:r>
          </w:p>
        </w:tc>
        <w:tc>
          <w:tcPr>
            <w:tcW w:w="740" w:type="dxa"/>
            <w:shd w:val="clear" w:color="auto" w:fill="CCEEFF"/>
            <w:vAlign w:val="bottom"/>
          </w:tcPr>
          <w:p w14:paraId="063E208E" w14:textId="77777777" w:rsidR="00D1587D" w:rsidRDefault="00410D07">
            <w:pPr>
              <w:ind w:right="12"/>
              <w:jc w:val="right"/>
              <w:rPr>
                <w:sz w:val="20"/>
                <w:szCs w:val="20"/>
              </w:rPr>
            </w:pPr>
            <w:r>
              <w:rPr>
                <w:rFonts w:ascii="Arial" w:eastAsia="Arial" w:hAnsi="Arial" w:cs="Arial"/>
                <w:sz w:val="18"/>
                <w:szCs w:val="18"/>
              </w:rPr>
              <w:t>3</w:t>
            </w:r>
          </w:p>
        </w:tc>
      </w:tr>
      <w:tr w:rsidR="00D1587D" w14:paraId="52CAC554" w14:textId="77777777">
        <w:trPr>
          <w:trHeight w:val="68"/>
        </w:trPr>
        <w:tc>
          <w:tcPr>
            <w:tcW w:w="7680" w:type="dxa"/>
            <w:shd w:val="clear" w:color="auto" w:fill="CCEEFF"/>
            <w:vAlign w:val="bottom"/>
          </w:tcPr>
          <w:p w14:paraId="254FEF27" w14:textId="77777777" w:rsidR="00D1587D" w:rsidRDefault="00D1587D">
            <w:pPr>
              <w:rPr>
                <w:sz w:val="5"/>
                <w:szCs w:val="5"/>
              </w:rPr>
            </w:pPr>
          </w:p>
        </w:tc>
        <w:tc>
          <w:tcPr>
            <w:tcW w:w="740" w:type="dxa"/>
            <w:tcBorders>
              <w:bottom w:val="single" w:sz="8" w:space="0" w:color="auto"/>
            </w:tcBorders>
            <w:shd w:val="clear" w:color="auto" w:fill="CCEEFF"/>
            <w:vAlign w:val="bottom"/>
          </w:tcPr>
          <w:p w14:paraId="069665C4" w14:textId="77777777" w:rsidR="00D1587D" w:rsidRDefault="00D1587D">
            <w:pPr>
              <w:rPr>
                <w:sz w:val="5"/>
                <w:szCs w:val="5"/>
              </w:rPr>
            </w:pPr>
          </w:p>
        </w:tc>
      </w:tr>
      <w:tr w:rsidR="00D1587D" w14:paraId="15FBE276" w14:textId="77777777">
        <w:trPr>
          <w:trHeight w:val="304"/>
        </w:trPr>
        <w:tc>
          <w:tcPr>
            <w:tcW w:w="7680" w:type="dxa"/>
            <w:vAlign w:val="bottom"/>
          </w:tcPr>
          <w:p w14:paraId="4800F90A" w14:textId="77777777" w:rsidR="00D1587D" w:rsidRDefault="00410D07">
            <w:pPr>
              <w:rPr>
                <w:sz w:val="20"/>
                <w:szCs w:val="20"/>
              </w:rPr>
            </w:pPr>
            <w:r>
              <w:rPr>
                <w:rFonts w:ascii="Arial" w:eastAsia="Arial" w:hAnsi="Arial" w:cs="Arial"/>
                <w:b/>
                <w:bCs/>
                <w:sz w:val="18"/>
                <w:szCs w:val="18"/>
              </w:rPr>
              <w:t>2020 Net Sales</w:t>
            </w:r>
          </w:p>
        </w:tc>
        <w:tc>
          <w:tcPr>
            <w:tcW w:w="740" w:type="dxa"/>
            <w:vAlign w:val="bottom"/>
          </w:tcPr>
          <w:p w14:paraId="685EC015" w14:textId="77777777" w:rsidR="00D1587D" w:rsidRDefault="00410D07">
            <w:pPr>
              <w:ind w:right="12"/>
              <w:jc w:val="right"/>
              <w:rPr>
                <w:sz w:val="20"/>
                <w:szCs w:val="20"/>
              </w:rPr>
            </w:pPr>
            <w:r>
              <w:rPr>
                <w:rFonts w:ascii="Arial" w:eastAsia="Arial" w:hAnsi="Arial" w:cs="Arial"/>
                <w:b/>
                <w:bCs/>
                <w:sz w:val="18"/>
                <w:szCs w:val="18"/>
              </w:rPr>
              <w:t>$ 5,413</w:t>
            </w:r>
          </w:p>
        </w:tc>
      </w:tr>
      <w:tr w:rsidR="00D1587D" w14:paraId="65CC07A2" w14:textId="77777777">
        <w:trPr>
          <w:trHeight w:val="27"/>
        </w:trPr>
        <w:tc>
          <w:tcPr>
            <w:tcW w:w="7680" w:type="dxa"/>
            <w:vAlign w:val="bottom"/>
          </w:tcPr>
          <w:p w14:paraId="7B2B93DE" w14:textId="77777777" w:rsidR="00D1587D" w:rsidRDefault="00D1587D">
            <w:pPr>
              <w:rPr>
                <w:sz w:val="2"/>
                <w:szCs w:val="2"/>
              </w:rPr>
            </w:pPr>
          </w:p>
        </w:tc>
        <w:tc>
          <w:tcPr>
            <w:tcW w:w="740" w:type="dxa"/>
            <w:tcBorders>
              <w:bottom w:val="single" w:sz="8" w:space="0" w:color="auto"/>
            </w:tcBorders>
            <w:vAlign w:val="bottom"/>
          </w:tcPr>
          <w:p w14:paraId="51D4A508" w14:textId="77777777" w:rsidR="00D1587D" w:rsidRDefault="00D1587D">
            <w:pPr>
              <w:rPr>
                <w:sz w:val="2"/>
                <w:szCs w:val="2"/>
              </w:rPr>
            </w:pPr>
          </w:p>
        </w:tc>
      </w:tr>
      <w:tr w:rsidR="00D1587D" w14:paraId="7D2CC318" w14:textId="77777777">
        <w:trPr>
          <w:trHeight w:val="21"/>
        </w:trPr>
        <w:tc>
          <w:tcPr>
            <w:tcW w:w="7680" w:type="dxa"/>
            <w:vAlign w:val="bottom"/>
          </w:tcPr>
          <w:p w14:paraId="5F4DC8FC" w14:textId="77777777" w:rsidR="00D1587D" w:rsidRDefault="00D1587D">
            <w:pPr>
              <w:spacing w:line="20" w:lineRule="exact"/>
              <w:rPr>
                <w:sz w:val="1"/>
                <w:szCs w:val="1"/>
              </w:rPr>
            </w:pPr>
          </w:p>
        </w:tc>
        <w:tc>
          <w:tcPr>
            <w:tcW w:w="740" w:type="dxa"/>
            <w:tcBorders>
              <w:bottom w:val="single" w:sz="8" w:space="0" w:color="auto"/>
            </w:tcBorders>
            <w:vAlign w:val="bottom"/>
          </w:tcPr>
          <w:p w14:paraId="46246468" w14:textId="77777777" w:rsidR="00D1587D" w:rsidRDefault="00D1587D">
            <w:pPr>
              <w:spacing w:line="20" w:lineRule="exact"/>
              <w:rPr>
                <w:sz w:val="1"/>
                <w:szCs w:val="1"/>
              </w:rPr>
            </w:pPr>
          </w:p>
        </w:tc>
      </w:tr>
    </w:tbl>
    <w:p w14:paraId="39455D57" w14:textId="77777777" w:rsidR="00D1587D" w:rsidRDefault="00410D07">
      <w:pPr>
        <w:spacing w:line="20" w:lineRule="exact"/>
        <w:rPr>
          <w:sz w:val="20"/>
          <w:szCs w:val="20"/>
        </w:rPr>
      </w:pPr>
      <w:r>
        <w:rPr>
          <w:noProof/>
          <w:sz w:val="20"/>
          <w:szCs w:val="20"/>
        </w:rPr>
        <w:drawing>
          <wp:anchor distT="0" distB="0" distL="114300" distR="114300" simplePos="0" relativeHeight="251737088" behindDoc="1" locked="0" layoutInCell="0" allowOverlap="1" wp14:anchorId="688FF9C0" wp14:editId="766D272B">
            <wp:simplePos x="0" y="0"/>
            <wp:positionH relativeFrom="column">
              <wp:posOffset>5028565</wp:posOffset>
            </wp:positionH>
            <wp:positionV relativeFrom="paragraph">
              <wp:posOffset>-256540</wp:posOffset>
            </wp:positionV>
            <wp:extent cx="34290" cy="8890"/>
            <wp:effectExtent l="0" t="0" r="0" b="0"/>
            <wp:wrapNone/>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35"/>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738112" behindDoc="1" locked="0" layoutInCell="0" allowOverlap="1" wp14:anchorId="5484A1EB" wp14:editId="7F44939A">
            <wp:simplePos x="0" y="0"/>
            <wp:positionH relativeFrom="column">
              <wp:posOffset>185420</wp:posOffset>
            </wp:positionH>
            <wp:positionV relativeFrom="paragraph">
              <wp:posOffset>145415</wp:posOffset>
            </wp:positionV>
            <wp:extent cx="822960" cy="8890"/>
            <wp:effectExtent l="0" t="0" r="0" b="0"/>
            <wp:wrapNone/>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351AA28E" w14:textId="77777777" w:rsidR="00D1587D" w:rsidRDefault="00D1587D">
      <w:pPr>
        <w:spacing w:line="258" w:lineRule="exact"/>
        <w:rPr>
          <w:sz w:val="20"/>
          <w:szCs w:val="20"/>
        </w:rPr>
      </w:pPr>
    </w:p>
    <w:p w14:paraId="59DAF428" w14:textId="77777777" w:rsidR="00D1587D" w:rsidRDefault="00410D07" w:rsidP="00410D07">
      <w:pPr>
        <w:numPr>
          <w:ilvl w:val="0"/>
          <w:numId w:val="292"/>
        </w:numPr>
        <w:tabs>
          <w:tab w:val="left" w:pos="640"/>
        </w:tabs>
        <w:ind w:left="640" w:hanging="348"/>
        <w:rPr>
          <w:rFonts w:ascii="Arial" w:eastAsia="Arial" w:hAnsi="Arial" w:cs="Arial"/>
          <w:sz w:val="14"/>
          <w:szCs w:val="14"/>
        </w:rPr>
      </w:pPr>
      <w:r>
        <w:rPr>
          <w:rFonts w:ascii="Arial" w:eastAsia="Arial" w:hAnsi="Arial" w:cs="Arial"/>
          <w:sz w:val="14"/>
          <w:szCs w:val="14"/>
        </w:rPr>
        <w:t>Includes the impact of COVID-19-related stores closures.</w:t>
      </w:r>
    </w:p>
    <w:p w14:paraId="3FD582D0" w14:textId="77777777" w:rsidR="00D1587D" w:rsidRDefault="00D1587D">
      <w:pPr>
        <w:sectPr w:rsidR="00D1587D">
          <w:pgSz w:w="11900" w:h="16838"/>
          <w:pgMar w:top="265" w:right="1440" w:bottom="804" w:left="1440" w:header="0" w:footer="0" w:gutter="0"/>
          <w:cols w:space="720" w:equalWidth="0">
            <w:col w:w="9019"/>
          </w:cols>
        </w:sectPr>
      </w:pPr>
    </w:p>
    <w:p w14:paraId="7D084F0F" w14:textId="77777777" w:rsidR="00D1587D" w:rsidRDefault="00D1587D">
      <w:pPr>
        <w:spacing w:line="208" w:lineRule="exact"/>
        <w:rPr>
          <w:sz w:val="20"/>
          <w:szCs w:val="20"/>
        </w:rPr>
      </w:pPr>
    </w:p>
    <w:p w14:paraId="42CDE910" w14:textId="77777777" w:rsidR="00D1587D" w:rsidRDefault="00410D07">
      <w:pPr>
        <w:jc w:val="center"/>
        <w:rPr>
          <w:sz w:val="20"/>
          <w:szCs w:val="20"/>
        </w:rPr>
      </w:pPr>
      <w:r>
        <w:rPr>
          <w:rFonts w:ascii="Arial" w:eastAsia="Arial" w:hAnsi="Arial" w:cs="Arial"/>
          <w:sz w:val="16"/>
          <w:szCs w:val="16"/>
        </w:rPr>
        <w:t>78</w:t>
      </w:r>
    </w:p>
    <w:p w14:paraId="7072D2F7" w14:textId="77777777" w:rsidR="00D1587D" w:rsidRDefault="00410D07">
      <w:pPr>
        <w:spacing w:line="20" w:lineRule="exact"/>
        <w:rPr>
          <w:sz w:val="20"/>
          <w:szCs w:val="20"/>
        </w:rPr>
      </w:pPr>
      <w:r>
        <w:rPr>
          <w:noProof/>
          <w:sz w:val="20"/>
          <w:szCs w:val="20"/>
        </w:rPr>
        <w:drawing>
          <wp:anchor distT="0" distB="0" distL="114300" distR="114300" simplePos="0" relativeHeight="251739136" behindDoc="1" locked="0" layoutInCell="0" allowOverlap="1" wp14:anchorId="04DF75FB" wp14:editId="0BBDDB8E">
            <wp:simplePos x="0" y="0"/>
            <wp:positionH relativeFrom="column">
              <wp:posOffset>-636905</wp:posOffset>
            </wp:positionH>
            <wp:positionV relativeFrom="paragraph">
              <wp:posOffset>140970</wp:posOffset>
            </wp:positionV>
            <wp:extent cx="6995160" cy="17145"/>
            <wp:effectExtent l="0" t="0" r="0" b="0"/>
            <wp:wrapNone/>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0144ADD" w14:textId="77777777" w:rsidR="00D1587D" w:rsidRDefault="00D1587D">
      <w:pPr>
        <w:sectPr w:rsidR="00D1587D">
          <w:type w:val="continuous"/>
          <w:pgSz w:w="11900" w:h="16838"/>
          <w:pgMar w:top="265" w:right="1440" w:bottom="804" w:left="1440" w:header="0" w:footer="0" w:gutter="0"/>
          <w:cols w:space="720" w:equalWidth="0">
            <w:col w:w="9019"/>
          </w:cols>
        </w:sectPr>
      </w:pPr>
    </w:p>
    <w:bookmarkStart w:id="336" w:name="page337"/>
    <w:bookmarkEnd w:id="336"/>
    <w:p w14:paraId="2588C0F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A5EFAC1" w14:textId="77777777" w:rsidR="00D1587D" w:rsidRDefault="00D1587D">
      <w:pPr>
        <w:spacing w:line="131" w:lineRule="exact"/>
        <w:rPr>
          <w:sz w:val="20"/>
          <w:szCs w:val="20"/>
        </w:rPr>
      </w:pPr>
    </w:p>
    <w:p w14:paraId="78C6825F" w14:textId="77777777" w:rsidR="00D1587D" w:rsidRDefault="00410D07">
      <w:pPr>
        <w:ind w:left="660"/>
        <w:rPr>
          <w:sz w:val="20"/>
          <w:szCs w:val="20"/>
        </w:rPr>
      </w:pPr>
      <w:r>
        <w:rPr>
          <w:rFonts w:ascii="Arial" w:eastAsia="Arial" w:hAnsi="Arial" w:cs="Arial"/>
          <w:sz w:val="18"/>
          <w:szCs w:val="18"/>
        </w:rPr>
        <w:t>The following table compares comparable sales for 2020 to 2019:</w:t>
      </w:r>
    </w:p>
    <w:p w14:paraId="7284628E" w14:textId="77777777" w:rsidR="00D1587D" w:rsidRDefault="00D1587D">
      <w:pPr>
        <w:spacing w:line="19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380"/>
        <w:gridCol w:w="460"/>
        <w:gridCol w:w="220"/>
        <w:gridCol w:w="360"/>
      </w:tblGrid>
      <w:tr w:rsidR="00D1587D" w14:paraId="4DA7F188" w14:textId="77777777">
        <w:trPr>
          <w:trHeight w:val="186"/>
        </w:trPr>
        <w:tc>
          <w:tcPr>
            <w:tcW w:w="7380" w:type="dxa"/>
            <w:vAlign w:val="bottom"/>
          </w:tcPr>
          <w:p w14:paraId="5BC5DF17" w14:textId="77777777" w:rsidR="00D1587D" w:rsidRDefault="00D1587D">
            <w:pPr>
              <w:rPr>
                <w:sz w:val="16"/>
                <w:szCs w:val="16"/>
              </w:rPr>
            </w:pPr>
          </w:p>
        </w:tc>
        <w:tc>
          <w:tcPr>
            <w:tcW w:w="460" w:type="dxa"/>
            <w:vAlign w:val="bottom"/>
          </w:tcPr>
          <w:p w14:paraId="510C58C9" w14:textId="77777777" w:rsidR="00D1587D" w:rsidRDefault="00410D07">
            <w:pPr>
              <w:ind w:right="16"/>
              <w:jc w:val="right"/>
              <w:rPr>
                <w:sz w:val="20"/>
                <w:szCs w:val="20"/>
              </w:rPr>
            </w:pPr>
            <w:r>
              <w:rPr>
                <w:rFonts w:ascii="Arial" w:eastAsia="Arial" w:hAnsi="Arial" w:cs="Arial"/>
                <w:b/>
                <w:bCs/>
                <w:sz w:val="14"/>
                <w:szCs w:val="14"/>
              </w:rPr>
              <w:t>2020</w:t>
            </w:r>
          </w:p>
        </w:tc>
        <w:tc>
          <w:tcPr>
            <w:tcW w:w="220" w:type="dxa"/>
            <w:vAlign w:val="bottom"/>
          </w:tcPr>
          <w:p w14:paraId="61B6F248" w14:textId="77777777" w:rsidR="00D1587D" w:rsidRDefault="00D1587D">
            <w:pPr>
              <w:rPr>
                <w:sz w:val="16"/>
                <w:szCs w:val="16"/>
              </w:rPr>
            </w:pPr>
          </w:p>
        </w:tc>
        <w:tc>
          <w:tcPr>
            <w:tcW w:w="360" w:type="dxa"/>
            <w:vAlign w:val="bottom"/>
          </w:tcPr>
          <w:p w14:paraId="42799723" w14:textId="77777777" w:rsidR="00D1587D" w:rsidRDefault="00410D07">
            <w:pPr>
              <w:jc w:val="center"/>
              <w:rPr>
                <w:sz w:val="20"/>
                <w:szCs w:val="20"/>
              </w:rPr>
            </w:pPr>
            <w:r>
              <w:rPr>
                <w:rFonts w:ascii="Arial" w:eastAsia="Arial" w:hAnsi="Arial" w:cs="Arial"/>
                <w:b/>
                <w:bCs/>
                <w:w w:val="96"/>
                <w:sz w:val="14"/>
                <w:szCs w:val="14"/>
              </w:rPr>
              <w:t>2019</w:t>
            </w:r>
          </w:p>
        </w:tc>
      </w:tr>
      <w:tr w:rsidR="00D1587D" w14:paraId="0E6FA8FF" w14:textId="77777777">
        <w:trPr>
          <w:trHeight w:val="53"/>
        </w:trPr>
        <w:tc>
          <w:tcPr>
            <w:tcW w:w="7380" w:type="dxa"/>
            <w:tcBorders>
              <w:bottom w:val="single" w:sz="8" w:space="0" w:color="CCEEFF"/>
            </w:tcBorders>
            <w:vAlign w:val="bottom"/>
          </w:tcPr>
          <w:p w14:paraId="3EE9C3C0" w14:textId="77777777" w:rsidR="00D1587D" w:rsidRDefault="00D1587D">
            <w:pPr>
              <w:rPr>
                <w:sz w:val="4"/>
                <w:szCs w:val="4"/>
              </w:rPr>
            </w:pPr>
          </w:p>
        </w:tc>
        <w:tc>
          <w:tcPr>
            <w:tcW w:w="460" w:type="dxa"/>
            <w:tcBorders>
              <w:bottom w:val="single" w:sz="8" w:space="0" w:color="auto"/>
            </w:tcBorders>
            <w:vAlign w:val="bottom"/>
          </w:tcPr>
          <w:p w14:paraId="29077252" w14:textId="77777777" w:rsidR="00D1587D" w:rsidRDefault="00D1587D">
            <w:pPr>
              <w:rPr>
                <w:sz w:val="4"/>
                <w:szCs w:val="4"/>
              </w:rPr>
            </w:pPr>
          </w:p>
        </w:tc>
        <w:tc>
          <w:tcPr>
            <w:tcW w:w="220" w:type="dxa"/>
            <w:tcBorders>
              <w:bottom w:val="single" w:sz="8" w:space="0" w:color="CCEEFF"/>
            </w:tcBorders>
            <w:vAlign w:val="bottom"/>
          </w:tcPr>
          <w:p w14:paraId="1DB977E7" w14:textId="77777777" w:rsidR="00D1587D" w:rsidRDefault="00D1587D">
            <w:pPr>
              <w:rPr>
                <w:sz w:val="4"/>
                <w:szCs w:val="4"/>
              </w:rPr>
            </w:pPr>
          </w:p>
        </w:tc>
        <w:tc>
          <w:tcPr>
            <w:tcW w:w="360" w:type="dxa"/>
            <w:tcBorders>
              <w:bottom w:val="single" w:sz="8" w:space="0" w:color="auto"/>
            </w:tcBorders>
            <w:vAlign w:val="bottom"/>
          </w:tcPr>
          <w:p w14:paraId="6F3990A9" w14:textId="77777777" w:rsidR="00D1587D" w:rsidRDefault="00D1587D">
            <w:pPr>
              <w:rPr>
                <w:sz w:val="4"/>
                <w:szCs w:val="4"/>
              </w:rPr>
            </w:pPr>
          </w:p>
        </w:tc>
      </w:tr>
      <w:tr w:rsidR="00D1587D" w14:paraId="4C7A101F" w14:textId="77777777">
        <w:trPr>
          <w:trHeight w:val="331"/>
        </w:trPr>
        <w:tc>
          <w:tcPr>
            <w:tcW w:w="7380" w:type="dxa"/>
            <w:shd w:val="clear" w:color="auto" w:fill="CCEEFF"/>
            <w:vAlign w:val="bottom"/>
          </w:tcPr>
          <w:p w14:paraId="6CB2ED04" w14:textId="77777777" w:rsidR="00D1587D" w:rsidRDefault="00410D07">
            <w:pPr>
              <w:spacing w:line="331" w:lineRule="exact"/>
              <w:rPr>
                <w:sz w:val="20"/>
                <w:szCs w:val="20"/>
              </w:rPr>
            </w:pPr>
            <w:r>
              <w:rPr>
                <w:rFonts w:ascii="Arial" w:eastAsia="Arial" w:hAnsi="Arial" w:cs="Arial"/>
                <w:sz w:val="18"/>
                <w:szCs w:val="18"/>
              </w:rPr>
              <w:t>Comparable Sales (Stores and Direct)</w:t>
            </w:r>
            <w:r>
              <w:rPr>
                <w:rFonts w:ascii="Arial" w:eastAsia="Arial" w:hAnsi="Arial" w:cs="Arial"/>
                <w:sz w:val="29"/>
                <w:szCs w:val="29"/>
                <w:vertAlign w:val="superscript"/>
              </w:rPr>
              <w:t>(a)</w:t>
            </w:r>
          </w:p>
        </w:tc>
        <w:tc>
          <w:tcPr>
            <w:tcW w:w="680" w:type="dxa"/>
            <w:gridSpan w:val="2"/>
            <w:shd w:val="clear" w:color="auto" w:fill="CCEEFF"/>
            <w:vAlign w:val="bottom"/>
          </w:tcPr>
          <w:p w14:paraId="273B9D01" w14:textId="77777777" w:rsidR="00D1587D" w:rsidRDefault="00410D07">
            <w:pPr>
              <w:ind w:right="220"/>
              <w:jc w:val="right"/>
              <w:rPr>
                <w:sz w:val="20"/>
                <w:szCs w:val="20"/>
              </w:rPr>
            </w:pPr>
            <w:r>
              <w:rPr>
                <w:rFonts w:ascii="Arial" w:eastAsia="Arial" w:hAnsi="Arial" w:cs="Arial"/>
                <w:sz w:val="18"/>
                <w:szCs w:val="18"/>
              </w:rPr>
              <w:t>1%</w:t>
            </w:r>
          </w:p>
        </w:tc>
        <w:tc>
          <w:tcPr>
            <w:tcW w:w="360" w:type="dxa"/>
            <w:shd w:val="clear" w:color="auto" w:fill="CCEEFF"/>
            <w:vAlign w:val="bottom"/>
          </w:tcPr>
          <w:p w14:paraId="3502EE3B" w14:textId="77777777" w:rsidR="00D1587D" w:rsidRDefault="00410D07">
            <w:pPr>
              <w:jc w:val="center"/>
              <w:rPr>
                <w:sz w:val="20"/>
                <w:szCs w:val="20"/>
              </w:rPr>
            </w:pPr>
            <w:r>
              <w:rPr>
                <w:rFonts w:ascii="Arial" w:eastAsia="Arial" w:hAnsi="Arial" w:cs="Arial"/>
                <w:w w:val="94"/>
                <w:sz w:val="18"/>
                <w:szCs w:val="18"/>
              </w:rPr>
              <w:t>(8)%</w:t>
            </w:r>
          </w:p>
        </w:tc>
      </w:tr>
      <w:tr w:rsidR="00D1587D" w14:paraId="5177AAD4" w14:textId="77777777">
        <w:trPr>
          <w:trHeight w:val="420"/>
        </w:trPr>
        <w:tc>
          <w:tcPr>
            <w:tcW w:w="7380" w:type="dxa"/>
            <w:vAlign w:val="bottom"/>
          </w:tcPr>
          <w:p w14:paraId="01C94211" w14:textId="77777777" w:rsidR="00D1587D" w:rsidRDefault="00410D07">
            <w:pPr>
              <w:rPr>
                <w:sz w:val="20"/>
                <w:szCs w:val="20"/>
              </w:rPr>
            </w:pPr>
            <w:r>
              <w:rPr>
                <w:rFonts w:ascii="Arial" w:eastAsia="Arial" w:hAnsi="Arial" w:cs="Arial"/>
                <w:sz w:val="18"/>
                <w:szCs w:val="18"/>
              </w:rPr>
              <w:t>Comparable Store Sales</w:t>
            </w:r>
            <w:r>
              <w:rPr>
                <w:rFonts w:ascii="Arial" w:eastAsia="Arial" w:hAnsi="Arial" w:cs="Arial"/>
                <w:sz w:val="29"/>
                <w:szCs w:val="29"/>
                <w:vertAlign w:val="superscript"/>
              </w:rPr>
              <w:t>(a)</w:t>
            </w:r>
          </w:p>
        </w:tc>
        <w:tc>
          <w:tcPr>
            <w:tcW w:w="680" w:type="dxa"/>
            <w:gridSpan w:val="2"/>
            <w:vAlign w:val="bottom"/>
          </w:tcPr>
          <w:p w14:paraId="20F8409F" w14:textId="77777777" w:rsidR="00D1587D" w:rsidRDefault="00410D07">
            <w:pPr>
              <w:ind w:right="220"/>
              <w:jc w:val="right"/>
              <w:rPr>
                <w:sz w:val="20"/>
                <w:szCs w:val="20"/>
              </w:rPr>
            </w:pPr>
            <w:r>
              <w:rPr>
                <w:rFonts w:ascii="Arial" w:eastAsia="Arial" w:hAnsi="Arial" w:cs="Arial"/>
                <w:w w:val="91"/>
                <w:sz w:val="18"/>
                <w:szCs w:val="18"/>
              </w:rPr>
              <w:t>(15)%</w:t>
            </w:r>
          </w:p>
        </w:tc>
        <w:tc>
          <w:tcPr>
            <w:tcW w:w="360" w:type="dxa"/>
            <w:vAlign w:val="bottom"/>
          </w:tcPr>
          <w:p w14:paraId="6ED3E150" w14:textId="77777777" w:rsidR="00D1587D" w:rsidRDefault="00410D07">
            <w:pPr>
              <w:jc w:val="center"/>
              <w:rPr>
                <w:sz w:val="20"/>
                <w:szCs w:val="20"/>
              </w:rPr>
            </w:pPr>
            <w:r>
              <w:rPr>
                <w:rFonts w:ascii="Arial" w:eastAsia="Arial" w:hAnsi="Arial" w:cs="Arial"/>
                <w:w w:val="94"/>
                <w:sz w:val="18"/>
                <w:szCs w:val="18"/>
              </w:rPr>
              <w:t>(9)%</w:t>
            </w:r>
          </w:p>
        </w:tc>
      </w:tr>
    </w:tbl>
    <w:p w14:paraId="76E16F17" w14:textId="77777777" w:rsidR="00D1587D" w:rsidRDefault="00410D07">
      <w:pPr>
        <w:spacing w:line="20" w:lineRule="exact"/>
        <w:rPr>
          <w:sz w:val="20"/>
          <w:szCs w:val="20"/>
        </w:rPr>
      </w:pPr>
      <w:r>
        <w:rPr>
          <w:noProof/>
          <w:sz w:val="20"/>
          <w:szCs w:val="20"/>
        </w:rPr>
        <w:drawing>
          <wp:anchor distT="0" distB="0" distL="114300" distR="114300" simplePos="0" relativeHeight="251740160" behindDoc="1" locked="0" layoutInCell="0" allowOverlap="1" wp14:anchorId="0D9C8100" wp14:editId="480D8922">
            <wp:simplePos x="0" y="0"/>
            <wp:positionH relativeFrom="column">
              <wp:posOffset>5165725</wp:posOffset>
            </wp:positionH>
            <wp:positionV relativeFrom="paragraph">
              <wp:posOffset>-488950</wp:posOffset>
            </wp:positionV>
            <wp:extent cx="137160" cy="8255"/>
            <wp:effectExtent l="0" t="0" r="0" b="0"/>
            <wp:wrapNone/>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1741184" behindDoc="1" locked="0" layoutInCell="0" allowOverlap="1" wp14:anchorId="4A52B6AA" wp14:editId="62368560">
            <wp:simplePos x="0" y="0"/>
            <wp:positionH relativeFrom="column">
              <wp:posOffset>4805680</wp:posOffset>
            </wp:positionH>
            <wp:positionV relativeFrom="paragraph">
              <wp:posOffset>-488950</wp:posOffset>
            </wp:positionV>
            <wp:extent cx="68580" cy="8255"/>
            <wp:effectExtent l="0" t="0" r="0" b="0"/>
            <wp:wrapNone/>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742208" behindDoc="1" locked="0" layoutInCell="0" allowOverlap="1" wp14:anchorId="60A7AA1C" wp14:editId="1B35E624">
            <wp:simplePos x="0" y="0"/>
            <wp:positionH relativeFrom="column">
              <wp:posOffset>185420</wp:posOffset>
            </wp:positionH>
            <wp:positionV relativeFrom="paragraph">
              <wp:posOffset>59055</wp:posOffset>
            </wp:positionV>
            <wp:extent cx="822960" cy="8890"/>
            <wp:effectExtent l="0" t="0" r="0" b="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416FAAA9" w14:textId="77777777" w:rsidR="00D1587D" w:rsidRDefault="00D1587D">
      <w:pPr>
        <w:spacing w:line="122" w:lineRule="exact"/>
        <w:rPr>
          <w:sz w:val="20"/>
          <w:szCs w:val="20"/>
        </w:rPr>
      </w:pPr>
    </w:p>
    <w:p w14:paraId="73F2DF0C" w14:textId="77777777" w:rsidR="00D1587D" w:rsidRDefault="00410D07" w:rsidP="00410D07">
      <w:pPr>
        <w:numPr>
          <w:ilvl w:val="0"/>
          <w:numId w:val="293"/>
        </w:numPr>
        <w:tabs>
          <w:tab w:val="left" w:pos="640"/>
        </w:tabs>
        <w:spacing w:line="244" w:lineRule="auto"/>
        <w:ind w:left="640" w:right="339" w:hanging="348"/>
        <w:rPr>
          <w:rFonts w:ascii="Arial" w:eastAsia="Arial" w:hAnsi="Arial" w:cs="Arial"/>
          <w:sz w:val="13"/>
          <w:szCs w:val="13"/>
        </w:rPr>
      </w:pPr>
      <w:r>
        <w:rPr>
          <w:rFonts w:ascii="Arial" w:eastAsia="Arial" w:hAnsi="Arial" w:cs="Arial"/>
          <w:sz w:val="13"/>
          <w:szCs w:val="13"/>
        </w:rPr>
        <w:t xml:space="preserve">The </w:t>
      </w:r>
      <w:r>
        <w:rPr>
          <w:rFonts w:ascii="Arial" w:eastAsia="Arial" w:hAnsi="Arial" w:cs="Arial"/>
          <w:sz w:val="13"/>
          <w:szCs w:val="13"/>
        </w:rPr>
        <w:t>percentage change in comparable sales represents direct and comparable store sales. The percentage change in comparable store sales represents the change in sales at comparable stores only and excludes the change in sales from our direct channel. The chang</w:t>
      </w:r>
      <w:r>
        <w:rPr>
          <w:rFonts w:ascii="Arial" w:eastAsia="Arial" w:hAnsi="Arial" w:cs="Arial"/>
          <w:sz w:val="13"/>
          <w:szCs w:val="13"/>
        </w:rPr>
        <w:t>e in comparable sales provides an indication of period over period growth (decline). A store is typically included in the calculation of comparable sales when it has been open 12 months or more and it has not had a change in selling square footage of 20% o</w:t>
      </w:r>
      <w:r>
        <w:rPr>
          <w:rFonts w:ascii="Arial" w:eastAsia="Arial" w:hAnsi="Arial" w:cs="Arial"/>
          <w:sz w:val="13"/>
          <w:szCs w:val="13"/>
        </w:rPr>
        <w:t>r more. Closed stores are excluded from the comparable sales calculation if they have been closed for four consecutive days or more. Upon re-opening, the stores are included in the calculation. Therefore, comparable sales results for 2020 exclude the closu</w:t>
      </w:r>
      <w:r>
        <w:rPr>
          <w:rFonts w:ascii="Arial" w:eastAsia="Arial" w:hAnsi="Arial" w:cs="Arial"/>
          <w:sz w:val="13"/>
          <w:szCs w:val="13"/>
        </w:rPr>
        <w:t>re period of stores that were closed for four consecutive days or more as a result of the COVID-19 pandemic. Additionally, stores are excluded if total selling square footage in the mall changes by 20% or more through the opening or closing of a second sto</w:t>
      </w:r>
      <w:r>
        <w:rPr>
          <w:rFonts w:ascii="Arial" w:eastAsia="Arial" w:hAnsi="Arial" w:cs="Arial"/>
          <w:sz w:val="13"/>
          <w:szCs w:val="13"/>
        </w:rPr>
        <w:t>re. The percentage change in comparable sales is calculated on a comparable calendar period as opposed to a fiscal basis. Comparable sales attributable to our international stores are calculated on a constant currency basis.</w:t>
      </w:r>
    </w:p>
    <w:p w14:paraId="4763BE67" w14:textId="77777777" w:rsidR="00D1587D" w:rsidRDefault="00D1587D">
      <w:pPr>
        <w:spacing w:line="78" w:lineRule="exact"/>
        <w:rPr>
          <w:sz w:val="20"/>
          <w:szCs w:val="20"/>
        </w:rPr>
      </w:pPr>
    </w:p>
    <w:p w14:paraId="588C56C0" w14:textId="77777777" w:rsidR="00D1587D" w:rsidRDefault="00410D07">
      <w:pPr>
        <w:spacing w:line="269" w:lineRule="auto"/>
        <w:ind w:left="300" w:right="319" w:firstLine="360"/>
        <w:rPr>
          <w:sz w:val="20"/>
          <w:szCs w:val="20"/>
        </w:rPr>
      </w:pPr>
      <w:r>
        <w:rPr>
          <w:rFonts w:ascii="Arial" w:eastAsia="Arial" w:hAnsi="Arial" w:cs="Arial"/>
          <w:sz w:val="17"/>
          <w:szCs w:val="17"/>
        </w:rPr>
        <w:t xml:space="preserve">In the stores channel in </w:t>
      </w:r>
      <w:r>
        <w:rPr>
          <w:rFonts w:ascii="Arial" w:eastAsia="Arial" w:hAnsi="Arial" w:cs="Arial"/>
          <w:sz w:val="17"/>
          <w:szCs w:val="17"/>
        </w:rPr>
        <w:t>2020, our North America net sales decreased $2.317 billion, or 45% compared to 2019, to $2.795 billion. Store sales were negatively impacted by the temporary COVID-19-related closures, the permanent closure of 241 North American stores, occupancy restricti</w:t>
      </w:r>
      <w:r>
        <w:rPr>
          <w:rFonts w:ascii="Arial" w:eastAsia="Arial" w:hAnsi="Arial" w:cs="Arial"/>
          <w:sz w:val="17"/>
          <w:szCs w:val="17"/>
        </w:rPr>
        <w:t>ons and declines in store traffic. As a result of the COVID-19 pandemic, all stores in North America were closed on March 17, 2020, the majority of which were reopened by the beginning of August 2020. Occupancy levels in our stores varied over time as we r</w:t>
      </w:r>
      <w:r>
        <w:rPr>
          <w:rFonts w:ascii="Arial" w:eastAsia="Arial" w:hAnsi="Arial" w:cs="Arial"/>
          <w:sz w:val="17"/>
          <w:szCs w:val="17"/>
        </w:rPr>
        <w:t>eopened stores, but ultimately settled at approximately 30% capacity in August 2020. The decrease in comparable store sales was driven by a decline in store traffic which was down approximately 50% since the beginning of the pandemic in March 2020, partial</w:t>
      </w:r>
      <w:r>
        <w:rPr>
          <w:rFonts w:ascii="Arial" w:eastAsia="Arial" w:hAnsi="Arial" w:cs="Arial"/>
          <w:sz w:val="17"/>
          <w:szCs w:val="17"/>
        </w:rPr>
        <w:t>ly offset by a significant increase in conversion and average unit retail. Our partner-operated stores outside of North America were also impacted by temporary COVID-19-related closures, significant declines in store traffic and occupancy restrictions.</w:t>
      </w:r>
    </w:p>
    <w:p w14:paraId="1AE8DBB8" w14:textId="77777777" w:rsidR="00D1587D" w:rsidRDefault="00D1587D">
      <w:pPr>
        <w:spacing w:line="77" w:lineRule="exact"/>
        <w:rPr>
          <w:sz w:val="20"/>
          <w:szCs w:val="20"/>
        </w:rPr>
      </w:pPr>
    </w:p>
    <w:p w14:paraId="7241DEC2" w14:textId="77777777" w:rsidR="00D1587D" w:rsidRDefault="00410D07">
      <w:pPr>
        <w:spacing w:line="279" w:lineRule="auto"/>
        <w:ind w:left="300" w:right="339" w:firstLine="360"/>
        <w:rPr>
          <w:sz w:val="20"/>
          <w:szCs w:val="20"/>
        </w:rPr>
      </w:pPr>
      <w:r>
        <w:rPr>
          <w:rFonts w:ascii="Arial" w:eastAsia="Arial" w:hAnsi="Arial" w:cs="Arial"/>
          <w:sz w:val="17"/>
          <w:szCs w:val="17"/>
        </w:rPr>
        <w:t>In</w:t>
      </w:r>
      <w:r>
        <w:rPr>
          <w:rFonts w:ascii="Arial" w:eastAsia="Arial" w:hAnsi="Arial" w:cs="Arial"/>
          <w:sz w:val="17"/>
          <w:szCs w:val="17"/>
        </w:rPr>
        <w:t xml:space="preserve"> the direct channel, net sales increased $530 million, or 31%, to $2.223 billion despite a temporary suspension of operations in March 2020. The increase in direct sales was driven by double-digit increases in website traffic, conversion and average unit r</w:t>
      </w:r>
      <w:r>
        <w:rPr>
          <w:rFonts w:ascii="Arial" w:eastAsia="Arial" w:hAnsi="Arial" w:cs="Arial"/>
          <w:sz w:val="17"/>
          <w:szCs w:val="17"/>
        </w:rPr>
        <w:t>etail beginning with the closing of our stores in March 2020. Digital sales as a percentage of our total net sales increased to 41% in 2020 compared to 23% in 2019.</w:t>
      </w:r>
    </w:p>
    <w:p w14:paraId="640BAC2A" w14:textId="77777777" w:rsidR="00D1587D" w:rsidRDefault="00D1587D">
      <w:pPr>
        <w:spacing w:line="63" w:lineRule="exact"/>
        <w:rPr>
          <w:sz w:val="20"/>
          <w:szCs w:val="20"/>
        </w:rPr>
      </w:pPr>
    </w:p>
    <w:p w14:paraId="2ED8B27B" w14:textId="77777777" w:rsidR="00D1587D" w:rsidRDefault="00410D07">
      <w:pPr>
        <w:spacing w:line="301" w:lineRule="auto"/>
        <w:ind w:left="300" w:right="519" w:firstLine="360"/>
        <w:rPr>
          <w:sz w:val="20"/>
          <w:szCs w:val="20"/>
        </w:rPr>
      </w:pPr>
      <w:r>
        <w:rPr>
          <w:rFonts w:ascii="Arial" w:eastAsia="Arial" w:hAnsi="Arial" w:cs="Arial"/>
          <w:sz w:val="16"/>
          <w:szCs w:val="16"/>
        </w:rPr>
        <w:t>For both channels, lingerie comparable sales increased in all categories driven by merchan</w:t>
      </w:r>
      <w:r>
        <w:rPr>
          <w:rFonts w:ascii="Arial" w:eastAsia="Arial" w:hAnsi="Arial" w:cs="Arial"/>
          <w:sz w:val="16"/>
          <w:szCs w:val="16"/>
        </w:rPr>
        <w:t>dise performance. PINK comparable sales decreased, primarily driven by declines in sleepwear and tops. Victoria’s Secret Beauty comparable sales increased, principally driven by growth in PINK Beauty. Revenue earned in connection with our private label cre</w:t>
      </w:r>
      <w:r>
        <w:rPr>
          <w:rFonts w:ascii="Arial" w:eastAsia="Arial" w:hAnsi="Arial" w:cs="Arial"/>
          <w:sz w:val="16"/>
          <w:szCs w:val="16"/>
        </w:rPr>
        <w:t>dit card arrangement decreased $59 million primarily driven by the decline in net sales in the U.S.</w:t>
      </w:r>
    </w:p>
    <w:p w14:paraId="4A43EFC0" w14:textId="77777777" w:rsidR="00D1587D" w:rsidRDefault="00D1587D">
      <w:pPr>
        <w:spacing w:line="198" w:lineRule="exact"/>
        <w:rPr>
          <w:sz w:val="20"/>
          <w:szCs w:val="20"/>
        </w:rPr>
      </w:pPr>
    </w:p>
    <w:p w14:paraId="2B517523" w14:textId="77777777" w:rsidR="00D1587D" w:rsidRDefault="00410D07">
      <w:pPr>
        <w:ind w:left="660"/>
        <w:rPr>
          <w:sz w:val="20"/>
          <w:szCs w:val="20"/>
        </w:rPr>
      </w:pPr>
      <w:r>
        <w:rPr>
          <w:rFonts w:ascii="Arial" w:eastAsia="Arial" w:hAnsi="Arial" w:cs="Arial"/>
          <w:i/>
          <w:iCs/>
          <w:sz w:val="18"/>
          <w:szCs w:val="18"/>
        </w:rPr>
        <w:t>Gross Profit</w:t>
      </w:r>
    </w:p>
    <w:p w14:paraId="6F079821" w14:textId="77777777" w:rsidR="00D1587D" w:rsidRDefault="00D1587D">
      <w:pPr>
        <w:spacing w:line="117" w:lineRule="exact"/>
        <w:rPr>
          <w:sz w:val="20"/>
          <w:szCs w:val="20"/>
        </w:rPr>
      </w:pPr>
    </w:p>
    <w:p w14:paraId="116410B8" w14:textId="77777777" w:rsidR="00D1587D" w:rsidRDefault="00410D07">
      <w:pPr>
        <w:spacing w:line="271" w:lineRule="auto"/>
        <w:ind w:left="300" w:right="359" w:firstLine="360"/>
        <w:rPr>
          <w:sz w:val="20"/>
          <w:szCs w:val="20"/>
        </w:rPr>
      </w:pPr>
      <w:r>
        <w:rPr>
          <w:rFonts w:ascii="Arial" w:eastAsia="Arial" w:hAnsi="Arial" w:cs="Arial"/>
          <w:sz w:val="17"/>
          <w:szCs w:val="17"/>
        </w:rPr>
        <w:t>For 2020, our gross profit decreased $492 million compared to 2019 to $1.571 billion, and our gross profit rate (expressed as a percentage of</w:t>
      </w:r>
      <w:r>
        <w:rPr>
          <w:rFonts w:ascii="Arial" w:eastAsia="Arial" w:hAnsi="Arial" w:cs="Arial"/>
          <w:sz w:val="17"/>
          <w:szCs w:val="17"/>
        </w:rPr>
        <w:t xml:space="preserve"> net sales) increased to 29.0% from 27.5% in 2019. The gross profit decrease was due to lower merchandise margin dollars related to the decrease in net sales driven by the temporary COVID-19-related store closures and permanent store closures. This decreas</w:t>
      </w:r>
      <w:r>
        <w:rPr>
          <w:rFonts w:ascii="Arial" w:eastAsia="Arial" w:hAnsi="Arial" w:cs="Arial"/>
          <w:sz w:val="17"/>
          <w:szCs w:val="17"/>
        </w:rPr>
        <w:t xml:space="preserve">e was partially offset by improved response to our merchandise assortments driven by the disciplined management of inventory, as well as strong selling execution online, all of which enabled us to reduce promotional activity during the year. Additionally, </w:t>
      </w:r>
      <w:r>
        <w:rPr>
          <w:rFonts w:ascii="Arial" w:eastAsia="Arial" w:hAnsi="Arial" w:cs="Arial"/>
          <w:sz w:val="17"/>
          <w:szCs w:val="17"/>
        </w:rPr>
        <w:t>occupancy expenses were lower this year due to the store closures, rent relief totaling $90 million and a $34 million decrease in store and lease asset impairment charges recognized in occupancy expense.</w:t>
      </w:r>
    </w:p>
    <w:p w14:paraId="46E21785" w14:textId="77777777" w:rsidR="00D1587D" w:rsidRDefault="00D1587D">
      <w:pPr>
        <w:spacing w:line="70" w:lineRule="exact"/>
        <w:rPr>
          <w:sz w:val="20"/>
          <w:szCs w:val="20"/>
        </w:rPr>
      </w:pPr>
    </w:p>
    <w:p w14:paraId="6AAD1764" w14:textId="77777777" w:rsidR="00D1587D" w:rsidRDefault="00410D07">
      <w:pPr>
        <w:spacing w:line="257" w:lineRule="auto"/>
        <w:ind w:left="300" w:right="319" w:firstLine="360"/>
        <w:rPr>
          <w:sz w:val="20"/>
          <w:szCs w:val="20"/>
        </w:rPr>
      </w:pPr>
      <w:r>
        <w:rPr>
          <w:rFonts w:ascii="Arial" w:eastAsia="Arial" w:hAnsi="Arial" w:cs="Arial"/>
          <w:sz w:val="18"/>
          <w:szCs w:val="18"/>
        </w:rPr>
        <w:t xml:space="preserve">The gross profit rate increase was driven by an </w:t>
      </w:r>
      <w:r>
        <w:rPr>
          <w:rFonts w:ascii="Arial" w:eastAsia="Arial" w:hAnsi="Arial" w:cs="Arial"/>
          <w:sz w:val="18"/>
          <w:szCs w:val="18"/>
        </w:rPr>
        <w:t xml:space="preserve">increase in the merchandise margin rate reflecting a meaningful pullback in promotional activity. The merchandise margin rate improvement was partially offset by buying and occupancy deleverage on lower net sales. The deleverage on buying and occupancy as </w:t>
      </w:r>
      <w:r>
        <w:rPr>
          <w:rFonts w:ascii="Arial" w:eastAsia="Arial" w:hAnsi="Arial" w:cs="Arial"/>
          <w:sz w:val="18"/>
          <w:szCs w:val="18"/>
        </w:rPr>
        <w:t>a result of lower net sales was partially offset by the rent relief, a decrease in store and lease asset impairment charges and a benefit from the penetration into the direct channel.</w:t>
      </w:r>
    </w:p>
    <w:p w14:paraId="0D673B83" w14:textId="77777777" w:rsidR="00D1587D" w:rsidRDefault="00D1587D">
      <w:pPr>
        <w:spacing w:line="228" w:lineRule="exact"/>
        <w:rPr>
          <w:sz w:val="20"/>
          <w:szCs w:val="20"/>
        </w:rPr>
      </w:pPr>
    </w:p>
    <w:p w14:paraId="4C62BE72" w14:textId="77777777" w:rsidR="00D1587D" w:rsidRDefault="00410D07">
      <w:pPr>
        <w:ind w:left="660"/>
        <w:rPr>
          <w:sz w:val="20"/>
          <w:szCs w:val="20"/>
        </w:rPr>
      </w:pPr>
      <w:r>
        <w:rPr>
          <w:rFonts w:ascii="Arial" w:eastAsia="Arial" w:hAnsi="Arial" w:cs="Arial"/>
          <w:i/>
          <w:iCs/>
          <w:sz w:val="18"/>
          <w:szCs w:val="18"/>
        </w:rPr>
        <w:t>General, Administrative and Store Operating Expenses</w:t>
      </w:r>
    </w:p>
    <w:p w14:paraId="0330FB8D" w14:textId="77777777" w:rsidR="00D1587D" w:rsidRDefault="00D1587D">
      <w:pPr>
        <w:spacing w:line="117" w:lineRule="exact"/>
        <w:rPr>
          <w:sz w:val="20"/>
          <w:szCs w:val="20"/>
        </w:rPr>
      </w:pPr>
    </w:p>
    <w:p w14:paraId="092F056D" w14:textId="77777777" w:rsidR="00D1587D" w:rsidRDefault="00410D07">
      <w:pPr>
        <w:spacing w:line="301" w:lineRule="auto"/>
        <w:ind w:left="300" w:right="379" w:firstLine="360"/>
        <w:rPr>
          <w:sz w:val="20"/>
          <w:szCs w:val="20"/>
        </w:rPr>
      </w:pPr>
      <w:r>
        <w:rPr>
          <w:rFonts w:ascii="Arial" w:eastAsia="Arial" w:hAnsi="Arial" w:cs="Arial"/>
          <w:sz w:val="16"/>
          <w:szCs w:val="16"/>
        </w:rPr>
        <w:t>For 2020, our gen</w:t>
      </w:r>
      <w:r>
        <w:rPr>
          <w:rFonts w:ascii="Arial" w:eastAsia="Arial" w:hAnsi="Arial" w:cs="Arial"/>
          <w:sz w:val="16"/>
          <w:szCs w:val="16"/>
        </w:rPr>
        <w:t>eral, administrative and store operating expenses decreased $563 million, or 25% compared to 2019, to $1.672 billion driven primarily by lower store selling and marketing expenses as a result of the temporary COVID-19-related store closures and our permane</w:t>
      </w:r>
      <w:r>
        <w:rPr>
          <w:rFonts w:ascii="Arial" w:eastAsia="Arial" w:hAnsi="Arial" w:cs="Arial"/>
          <w:sz w:val="16"/>
          <w:szCs w:val="16"/>
        </w:rPr>
        <w:t>nt store closures. These decreases were partially offset by severance and related costs associated with headcount reductions totaling $51 million, costs of</w:t>
      </w:r>
    </w:p>
    <w:p w14:paraId="6BEFD8BA" w14:textId="77777777" w:rsidR="00D1587D" w:rsidRDefault="00D1587D">
      <w:pPr>
        <w:spacing w:line="157" w:lineRule="exact"/>
        <w:rPr>
          <w:sz w:val="20"/>
          <w:szCs w:val="20"/>
        </w:rPr>
      </w:pPr>
    </w:p>
    <w:p w14:paraId="6B5A35E5" w14:textId="77777777" w:rsidR="00D1587D" w:rsidRDefault="00410D07">
      <w:pPr>
        <w:jc w:val="center"/>
        <w:rPr>
          <w:sz w:val="20"/>
          <w:szCs w:val="20"/>
        </w:rPr>
      </w:pPr>
      <w:r>
        <w:rPr>
          <w:rFonts w:ascii="Arial" w:eastAsia="Arial" w:hAnsi="Arial" w:cs="Arial"/>
          <w:sz w:val="18"/>
          <w:szCs w:val="18"/>
        </w:rPr>
        <w:t>79</w:t>
      </w:r>
    </w:p>
    <w:p w14:paraId="7ED2771E" w14:textId="77777777" w:rsidR="00D1587D" w:rsidRDefault="00410D07">
      <w:pPr>
        <w:spacing w:line="20" w:lineRule="exact"/>
        <w:rPr>
          <w:sz w:val="20"/>
          <w:szCs w:val="20"/>
        </w:rPr>
      </w:pPr>
      <w:r>
        <w:rPr>
          <w:noProof/>
          <w:sz w:val="20"/>
          <w:szCs w:val="20"/>
        </w:rPr>
        <w:drawing>
          <wp:anchor distT="0" distB="0" distL="114300" distR="114300" simplePos="0" relativeHeight="251743232" behindDoc="1" locked="0" layoutInCell="0" allowOverlap="1" wp14:anchorId="7DCAB11E" wp14:editId="63F9B505">
            <wp:simplePos x="0" y="0"/>
            <wp:positionH relativeFrom="column">
              <wp:posOffset>-636905</wp:posOffset>
            </wp:positionH>
            <wp:positionV relativeFrom="paragraph">
              <wp:posOffset>126365</wp:posOffset>
            </wp:positionV>
            <wp:extent cx="6995160" cy="17145"/>
            <wp:effectExtent l="0" t="0" r="0" b="0"/>
            <wp:wrapNone/>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B30AD83" w14:textId="77777777" w:rsidR="00D1587D" w:rsidRDefault="00D1587D">
      <w:pPr>
        <w:sectPr w:rsidR="00D1587D">
          <w:pgSz w:w="11900" w:h="16838"/>
          <w:pgMar w:top="265" w:right="1440" w:bottom="1440" w:left="1440" w:header="0" w:footer="0" w:gutter="0"/>
          <w:cols w:space="720" w:equalWidth="0">
            <w:col w:w="9019"/>
          </w:cols>
        </w:sectPr>
      </w:pPr>
    </w:p>
    <w:bookmarkStart w:id="337" w:name="page338"/>
    <w:bookmarkEnd w:id="337"/>
    <w:p w14:paraId="457D5EE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5AF3F99" w14:textId="77777777" w:rsidR="00D1587D" w:rsidRDefault="00D1587D">
      <w:pPr>
        <w:spacing w:line="131" w:lineRule="exact"/>
        <w:rPr>
          <w:sz w:val="20"/>
          <w:szCs w:val="20"/>
        </w:rPr>
      </w:pPr>
    </w:p>
    <w:p w14:paraId="5F27D5CE" w14:textId="77777777" w:rsidR="00D1587D" w:rsidRDefault="00410D07">
      <w:pPr>
        <w:spacing w:line="311" w:lineRule="auto"/>
        <w:ind w:left="300" w:right="399"/>
        <w:rPr>
          <w:sz w:val="20"/>
          <w:szCs w:val="20"/>
        </w:rPr>
      </w:pPr>
      <w:r>
        <w:rPr>
          <w:rFonts w:ascii="Arial" w:eastAsia="Arial" w:hAnsi="Arial" w:cs="Arial"/>
          <w:sz w:val="16"/>
          <w:szCs w:val="16"/>
        </w:rPr>
        <w:t>$36 million associated with t</w:t>
      </w:r>
      <w:r>
        <w:rPr>
          <w:rFonts w:ascii="Arial" w:eastAsia="Arial" w:hAnsi="Arial" w:cs="Arial"/>
          <w:sz w:val="16"/>
          <w:szCs w:val="16"/>
        </w:rPr>
        <w:t>he terminated sale agreement of the VS business in the first half of 2020, a $31 million increase in marketing expenses in the direct channel, costs of $19 million associated with employee retention arrangements and an $8 million increase in incentive comp</w:t>
      </w:r>
      <w:r>
        <w:rPr>
          <w:rFonts w:ascii="Arial" w:eastAsia="Arial" w:hAnsi="Arial" w:cs="Arial"/>
          <w:sz w:val="16"/>
          <w:szCs w:val="16"/>
        </w:rPr>
        <w:t>ensation given company performance in the fall season.</w:t>
      </w:r>
    </w:p>
    <w:p w14:paraId="1642182E" w14:textId="77777777" w:rsidR="00D1587D" w:rsidRDefault="00D1587D">
      <w:pPr>
        <w:spacing w:line="41" w:lineRule="exact"/>
        <w:rPr>
          <w:sz w:val="20"/>
          <w:szCs w:val="20"/>
        </w:rPr>
      </w:pPr>
    </w:p>
    <w:p w14:paraId="00A6561C" w14:textId="77777777" w:rsidR="00D1587D" w:rsidRDefault="00410D07">
      <w:pPr>
        <w:ind w:left="660"/>
        <w:rPr>
          <w:sz w:val="20"/>
          <w:szCs w:val="20"/>
        </w:rPr>
      </w:pPr>
      <w:r>
        <w:rPr>
          <w:rFonts w:ascii="Arial" w:eastAsia="Arial" w:hAnsi="Arial" w:cs="Arial"/>
          <w:sz w:val="16"/>
          <w:szCs w:val="16"/>
        </w:rPr>
        <w:t>For purposes of preparing the combined financial statements on a “carve-out” basis, the Company has been</w:t>
      </w:r>
    </w:p>
    <w:p w14:paraId="084228E5" w14:textId="77777777" w:rsidR="00D1587D" w:rsidRDefault="00D1587D">
      <w:pPr>
        <w:spacing w:line="46" w:lineRule="exact"/>
        <w:rPr>
          <w:sz w:val="20"/>
          <w:szCs w:val="20"/>
        </w:rPr>
      </w:pPr>
    </w:p>
    <w:p w14:paraId="6D279FEC" w14:textId="77777777" w:rsidR="00D1587D" w:rsidRDefault="00410D07">
      <w:pPr>
        <w:ind w:left="300"/>
        <w:rPr>
          <w:sz w:val="20"/>
          <w:szCs w:val="20"/>
        </w:rPr>
      </w:pPr>
      <w:r>
        <w:rPr>
          <w:rFonts w:ascii="Arial" w:eastAsia="Arial" w:hAnsi="Arial" w:cs="Arial"/>
          <w:sz w:val="16"/>
          <w:szCs w:val="16"/>
        </w:rPr>
        <w:t>allocated a portion of LB’s total corporate expenses. These allocations are included in genera</w:t>
      </w:r>
      <w:r>
        <w:rPr>
          <w:rFonts w:ascii="Arial" w:eastAsia="Arial" w:hAnsi="Arial" w:cs="Arial"/>
          <w:sz w:val="16"/>
          <w:szCs w:val="16"/>
        </w:rPr>
        <w:t>l, administrative and</w:t>
      </w:r>
    </w:p>
    <w:p w14:paraId="242F180F" w14:textId="77777777" w:rsidR="00D1587D" w:rsidRDefault="00D1587D">
      <w:pPr>
        <w:spacing w:line="32" w:lineRule="exact"/>
        <w:rPr>
          <w:sz w:val="20"/>
          <w:szCs w:val="20"/>
        </w:rPr>
      </w:pPr>
    </w:p>
    <w:p w14:paraId="3DBAC84C" w14:textId="77777777" w:rsidR="00D1587D" w:rsidRDefault="00410D07">
      <w:pPr>
        <w:ind w:left="300"/>
        <w:rPr>
          <w:sz w:val="20"/>
          <w:szCs w:val="20"/>
        </w:rPr>
      </w:pPr>
      <w:r>
        <w:rPr>
          <w:rFonts w:ascii="Arial" w:eastAsia="Arial" w:hAnsi="Arial" w:cs="Arial"/>
          <w:sz w:val="17"/>
          <w:szCs w:val="17"/>
        </w:rPr>
        <w:t>store operating expenses. Corporate allocated expenses decreased $33 million, to $77 million in 2020 from</w:t>
      </w:r>
    </w:p>
    <w:p w14:paraId="41A2E513" w14:textId="77777777" w:rsidR="00D1587D" w:rsidRDefault="00D1587D">
      <w:pPr>
        <w:spacing w:line="21" w:lineRule="exact"/>
        <w:rPr>
          <w:sz w:val="20"/>
          <w:szCs w:val="20"/>
        </w:rPr>
      </w:pPr>
    </w:p>
    <w:p w14:paraId="213ADF19" w14:textId="77777777" w:rsidR="00D1587D" w:rsidRDefault="00410D07">
      <w:pPr>
        <w:ind w:left="300"/>
        <w:rPr>
          <w:sz w:val="20"/>
          <w:szCs w:val="20"/>
        </w:rPr>
      </w:pPr>
      <w:r>
        <w:rPr>
          <w:rFonts w:ascii="Arial" w:eastAsia="Arial" w:hAnsi="Arial" w:cs="Arial"/>
          <w:sz w:val="16"/>
          <w:szCs w:val="16"/>
        </w:rPr>
        <w:t>$110 million in 2019, primarily driven by headcount reductions and the transition of certain corporate functions in</w:t>
      </w:r>
    </w:p>
    <w:p w14:paraId="6A8D89B6" w14:textId="77777777" w:rsidR="00D1587D" w:rsidRDefault="00D1587D">
      <w:pPr>
        <w:spacing w:line="32" w:lineRule="exact"/>
        <w:rPr>
          <w:sz w:val="20"/>
          <w:szCs w:val="20"/>
        </w:rPr>
      </w:pPr>
    </w:p>
    <w:p w14:paraId="52E8FDD5" w14:textId="77777777" w:rsidR="00D1587D" w:rsidRDefault="00410D07">
      <w:pPr>
        <w:ind w:left="300"/>
        <w:rPr>
          <w:sz w:val="20"/>
          <w:szCs w:val="20"/>
        </w:rPr>
      </w:pPr>
      <w:r>
        <w:rPr>
          <w:rFonts w:ascii="Arial" w:eastAsia="Arial" w:hAnsi="Arial" w:cs="Arial"/>
          <w:sz w:val="18"/>
          <w:szCs w:val="18"/>
        </w:rPr>
        <w:t xml:space="preserve">2020 </w:t>
      </w:r>
      <w:r>
        <w:rPr>
          <w:rFonts w:ascii="Arial" w:eastAsia="Arial" w:hAnsi="Arial" w:cs="Arial"/>
          <w:sz w:val="18"/>
          <w:szCs w:val="18"/>
        </w:rPr>
        <w:t>into the business as part of the steps to prepare us to operate as a separate standalone company.</w:t>
      </w:r>
    </w:p>
    <w:p w14:paraId="4F5EB1BD" w14:textId="77777777" w:rsidR="00D1587D" w:rsidRDefault="00D1587D">
      <w:pPr>
        <w:spacing w:line="103" w:lineRule="exact"/>
        <w:rPr>
          <w:sz w:val="20"/>
          <w:szCs w:val="20"/>
        </w:rPr>
      </w:pPr>
    </w:p>
    <w:p w14:paraId="7ED585EF" w14:textId="77777777" w:rsidR="00D1587D" w:rsidRDefault="00410D07">
      <w:pPr>
        <w:spacing w:line="263" w:lineRule="auto"/>
        <w:ind w:left="300" w:right="559" w:firstLine="360"/>
        <w:rPr>
          <w:sz w:val="20"/>
          <w:szCs w:val="20"/>
        </w:rPr>
      </w:pPr>
      <w:r>
        <w:rPr>
          <w:rFonts w:ascii="Arial" w:eastAsia="Arial" w:hAnsi="Arial" w:cs="Arial"/>
          <w:sz w:val="18"/>
          <w:szCs w:val="18"/>
        </w:rPr>
        <w:t>The general, administrative and store operating expense rate (expressed as a percentage of net sales) in 2020 increased to 30.9% from 29.8% in 2019 due to de</w:t>
      </w:r>
      <w:r>
        <w:rPr>
          <w:rFonts w:ascii="Arial" w:eastAsia="Arial" w:hAnsi="Arial" w:cs="Arial"/>
          <w:sz w:val="18"/>
          <w:szCs w:val="18"/>
        </w:rPr>
        <w:t>leverage on lower net sales as well as severance and the other increased expenses mentioned above.</w:t>
      </w:r>
    </w:p>
    <w:p w14:paraId="60801FB4" w14:textId="77777777" w:rsidR="00D1587D" w:rsidRDefault="00D1587D">
      <w:pPr>
        <w:spacing w:line="319" w:lineRule="exact"/>
        <w:rPr>
          <w:sz w:val="20"/>
          <w:szCs w:val="20"/>
        </w:rPr>
      </w:pPr>
    </w:p>
    <w:p w14:paraId="2E4D1C3A" w14:textId="77777777" w:rsidR="00D1587D" w:rsidRDefault="00410D07">
      <w:pPr>
        <w:ind w:left="660"/>
        <w:rPr>
          <w:sz w:val="20"/>
          <w:szCs w:val="20"/>
        </w:rPr>
      </w:pPr>
      <w:r>
        <w:rPr>
          <w:rFonts w:ascii="Arial" w:eastAsia="Arial" w:hAnsi="Arial" w:cs="Arial"/>
          <w:i/>
          <w:iCs/>
          <w:sz w:val="18"/>
          <w:szCs w:val="18"/>
        </w:rPr>
        <w:t>Impairment of Goodwill</w:t>
      </w:r>
    </w:p>
    <w:p w14:paraId="5F409CC2" w14:textId="77777777" w:rsidR="00D1587D" w:rsidRDefault="00D1587D">
      <w:pPr>
        <w:spacing w:line="117" w:lineRule="exact"/>
        <w:rPr>
          <w:sz w:val="20"/>
          <w:szCs w:val="20"/>
        </w:rPr>
      </w:pPr>
    </w:p>
    <w:p w14:paraId="4CCAA773" w14:textId="77777777" w:rsidR="00D1587D" w:rsidRDefault="00410D07">
      <w:pPr>
        <w:spacing w:line="263" w:lineRule="auto"/>
        <w:ind w:left="300" w:right="499" w:firstLine="360"/>
        <w:jc w:val="both"/>
        <w:rPr>
          <w:sz w:val="20"/>
          <w:szCs w:val="20"/>
        </w:rPr>
      </w:pPr>
      <w:r>
        <w:rPr>
          <w:rFonts w:ascii="Arial" w:eastAsia="Arial" w:hAnsi="Arial" w:cs="Arial"/>
          <w:sz w:val="18"/>
          <w:szCs w:val="18"/>
        </w:rPr>
        <w:t>In 2019, our goodwill impairment assessments concluded that the carrying values of our North America and Greater China reporting uni</w:t>
      </w:r>
      <w:r>
        <w:rPr>
          <w:rFonts w:ascii="Arial" w:eastAsia="Arial" w:hAnsi="Arial" w:cs="Arial"/>
          <w:sz w:val="18"/>
          <w:szCs w:val="18"/>
        </w:rPr>
        <w:t>ts exceeded their fair values. Accordingly, we recognized pre-tax goodwill impairment charges of $720 million.</w:t>
      </w:r>
    </w:p>
    <w:p w14:paraId="1586D2FA" w14:textId="77777777" w:rsidR="00D1587D" w:rsidRDefault="00D1587D">
      <w:pPr>
        <w:spacing w:line="332" w:lineRule="exact"/>
        <w:rPr>
          <w:sz w:val="20"/>
          <w:szCs w:val="20"/>
        </w:rPr>
      </w:pPr>
    </w:p>
    <w:p w14:paraId="70587F62" w14:textId="77777777" w:rsidR="00D1587D" w:rsidRDefault="00410D07">
      <w:pPr>
        <w:ind w:left="660"/>
        <w:rPr>
          <w:sz w:val="20"/>
          <w:szCs w:val="20"/>
        </w:rPr>
      </w:pPr>
      <w:r>
        <w:rPr>
          <w:rFonts w:ascii="Arial" w:eastAsia="Arial" w:hAnsi="Arial" w:cs="Arial"/>
          <w:i/>
          <w:iCs/>
          <w:sz w:val="18"/>
          <w:szCs w:val="18"/>
        </w:rPr>
        <w:t>Provision for Income Taxes</w:t>
      </w:r>
    </w:p>
    <w:p w14:paraId="0E1BC625" w14:textId="77777777" w:rsidR="00D1587D" w:rsidRDefault="00D1587D">
      <w:pPr>
        <w:spacing w:line="117" w:lineRule="exact"/>
        <w:rPr>
          <w:sz w:val="20"/>
          <w:szCs w:val="20"/>
        </w:rPr>
      </w:pPr>
    </w:p>
    <w:p w14:paraId="5A8D3083" w14:textId="77777777" w:rsidR="00D1587D" w:rsidRDefault="00410D07">
      <w:pPr>
        <w:spacing w:line="311" w:lineRule="auto"/>
        <w:ind w:left="300" w:right="339" w:firstLine="360"/>
        <w:rPr>
          <w:sz w:val="20"/>
          <w:szCs w:val="20"/>
        </w:rPr>
      </w:pPr>
      <w:r>
        <w:rPr>
          <w:rFonts w:ascii="Arial" w:eastAsia="Arial" w:hAnsi="Arial" w:cs="Arial"/>
          <w:sz w:val="16"/>
          <w:szCs w:val="16"/>
        </w:rPr>
        <w:t>For 2020, our effective tax rate was 31.9% compared to 0.2% in 2019. The 2020 rate varied from our combined estimate</w:t>
      </w:r>
      <w:r>
        <w:rPr>
          <w:rFonts w:ascii="Arial" w:eastAsia="Arial" w:hAnsi="Arial" w:cs="Arial"/>
          <w:sz w:val="16"/>
          <w:szCs w:val="16"/>
        </w:rPr>
        <w:t>d federal and state statutory rate primarily due to tax matters associated with our investments in the United Kingdom. The 2019 rate was impacted by the goodwill impairment charges which generated minimal tax benefit.</w:t>
      </w:r>
    </w:p>
    <w:p w14:paraId="758AFED5" w14:textId="77777777" w:rsidR="00D1587D" w:rsidRDefault="00D1587D">
      <w:pPr>
        <w:spacing w:line="297" w:lineRule="exact"/>
        <w:rPr>
          <w:sz w:val="20"/>
          <w:szCs w:val="20"/>
        </w:rPr>
      </w:pPr>
    </w:p>
    <w:p w14:paraId="705F2B22" w14:textId="77777777" w:rsidR="00D1587D" w:rsidRDefault="00410D07">
      <w:pPr>
        <w:ind w:left="660"/>
        <w:rPr>
          <w:sz w:val="20"/>
          <w:szCs w:val="20"/>
        </w:rPr>
      </w:pPr>
      <w:r>
        <w:rPr>
          <w:rFonts w:ascii="Arial" w:eastAsia="Arial" w:hAnsi="Arial" w:cs="Arial"/>
          <w:b/>
          <w:bCs/>
          <w:i/>
          <w:iCs/>
          <w:sz w:val="18"/>
          <w:szCs w:val="18"/>
        </w:rPr>
        <w:t>Results of Operations—2019 Compared t</w:t>
      </w:r>
      <w:r>
        <w:rPr>
          <w:rFonts w:ascii="Arial" w:eastAsia="Arial" w:hAnsi="Arial" w:cs="Arial"/>
          <w:b/>
          <w:bCs/>
          <w:i/>
          <w:iCs/>
          <w:sz w:val="18"/>
          <w:szCs w:val="18"/>
        </w:rPr>
        <w:t>o 2018</w:t>
      </w:r>
    </w:p>
    <w:p w14:paraId="0E06BE00" w14:textId="77777777" w:rsidR="00D1587D" w:rsidRDefault="00D1587D">
      <w:pPr>
        <w:spacing w:line="117" w:lineRule="exact"/>
        <w:rPr>
          <w:sz w:val="20"/>
          <w:szCs w:val="20"/>
        </w:rPr>
      </w:pPr>
    </w:p>
    <w:p w14:paraId="33B3C936" w14:textId="77777777" w:rsidR="00D1587D" w:rsidRDefault="00410D07">
      <w:pPr>
        <w:spacing w:line="286" w:lineRule="auto"/>
        <w:ind w:left="300" w:right="779" w:firstLine="360"/>
        <w:rPr>
          <w:sz w:val="20"/>
          <w:szCs w:val="20"/>
        </w:rPr>
      </w:pPr>
      <w:r>
        <w:rPr>
          <w:rFonts w:ascii="Arial" w:eastAsia="Arial" w:hAnsi="Arial" w:cs="Arial"/>
          <w:sz w:val="17"/>
          <w:szCs w:val="17"/>
        </w:rPr>
        <w:t xml:space="preserve">For 2019, our operating income declined $1.292 billion from $400 million in 2018 to an operating loss of $892 million in 2019, and the operating income rate decreased to (11.9)% from 4.9% in 2018. The following information summarizes our </w:t>
      </w:r>
      <w:r>
        <w:rPr>
          <w:rFonts w:ascii="Arial" w:eastAsia="Arial" w:hAnsi="Arial" w:cs="Arial"/>
          <w:sz w:val="17"/>
          <w:szCs w:val="17"/>
        </w:rPr>
        <w:t>results of operations for 2019 compared to 2018.</w:t>
      </w:r>
    </w:p>
    <w:p w14:paraId="133AF3D6" w14:textId="77777777" w:rsidR="00D1587D" w:rsidRDefault="00D1587D">
      <w:pPr>
        <w:spacing w:line="300" w:lineRule="exact"/>
        <w:rPr>
          <w:sz w:val="20"/>
          <w:szCs w:val="20"/>
        </w:rPr>
      </w:pPr>
    </w:p>
    <w:p w14:paraId="57A91CB3" w14:textId="77777777" w:rsidR="00D1587D" w:rsidRDefault="00410D07">
      <w:pPr>
        <w:ind w:left="660"/>
        <w:rPr>
          <w:sz w:val="20"/>
          <w:szCs w:val="20"/>
        </w:rPr>
      </w:pPr>
      <w:r>
        <w:rPr>
          <w:rFonts w:ascii="Arial" w:eastAsia="Arial" w:hAnsi="Arial" w:cs="Arial"/>
          <w:i/>
          <w:iCs/>
          <w:sz w:val="18"/>
          <w:szCs w:val="18"/>
        </w:rPr>
        <w:t>Net Sales</w:t>
      </w:r>
    </w:p>
    <w:p w14:paraId="0DBEF591" w14:textId="77777777" w:rsidR="00D1587D" w:rsidRDefault="00D1587D">
      <w:pPr>
        <w:spacing w:line="144" w:lineRule="exact"/>
        <w:rPr>
          <w:sz w:val="20"/>
          <w:szCs w:val="20"/>
        </w:rPr>
      </w:pPr>
    </w:p>
    <w:p w14:paraId="71DF7CC9" w14:textId="77777777" w:rsidR="00D1587D" w:rsidRDefault="00410D07">
      <w:pPr>
        <w:ind w:left="660"/>
        <w:rPr>
          <w:sz w:val="20"/>
          <w:szCs w:val="20"/>
        </w:rPr>
      </w:pPr>
      <w:r>
        <w:rPr>
          <w:rFonts w:ascii="Arial" w:eastAsia="Arial" w:hAnsi="Arial" w:cs="Arial"/>
          <w:sz w:val="18"/>
          <w:szCs w:val="18"/>
        </w:rPr>
        <w:t>The following table provides net sales for 2019 in comparison to 2018:</w:t>
      </w:r>
    </w:p>
    <w:p w14:paraId="25C3254E" w14:textId="77777777" w:rsidR="00D1587D" w:rsidRDefault="00D1587D">
      <w:pPr>
        <w:spacing w:line="176"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200"/>
        <w:gridCol w:w="680"/>
        <w:gridCol w:w="80"/>
        <w:gridCol w:w="680"/>
        <w:gridCol w:w="80"/>
        <w:gridCol w:w="700"/>
      </w:tblGrid>
      <w:tr w:rsidR="00D1587D" w14:paraId="40F2F328" w14:textId="77777777">
        <w:trPr>
          <w:trHeight w:val="186"/>
        </w:trPr>
        <w:tc>
          <w:tcPr>
            <w:tcW w:w="6200" w:type="dxa"/>
            <w:vAlign w:val="bottom"/>
          </w:tcPr>
          <w:p w14:paraId="4A7AE598" w14:textId="77777777" w:rsidR="00D1587D" w:rsidRDefault="00D1587D">
            <w:pPr>
              <w:rPr>
                <w:sz w:val="16"/>
                <w:szCs w:val="16"/>
              </w:rPr>
            </w:pPr>
          </w:p>
        </w:tc>
        <w:tc>
          <w:tcPr>
            <w:tcW w:w="680" w:type="dxa"/>
            <w:vAlign w:val="bottom"/>
          </w:tcPr>
          <w:p w14:paraId="67C6E443" w14:textId="77777777" w:rsidR="00D1587D" w:rsidRDefault="00410D07">
            <w:pPr>
              <w:ind w:right="116"/>
              <w:jc w:val="right"/>
              <w:rPr>
                <w:sz w:val="20"/>
                <w:szCs w:val="20"/>
              </w:rPr>
            </w:pPr>
            <w:r>
              <w:rPr>
                <w:rFonts w:ascii="Arial" w:eastAsia="Arial" w:hAnsi="Arial" w:cs="Arial"/>
                <w:b/>
                <w:bCs/>
                <w:sz w:val="14"/>
                <w:szCs w:val="14"/>
              </w:rPr>
              <w:t>2019</w:t>
            </w:r>
          </w:p>
        </w:tc>
        <w:tc>
          <w:tcPr>
            <w:tcW w:w="80" w:type="dxa"/>
            <w:vAlign w:val="bottom"/>
          </w:tcPr>
          <w:p w14:paraId="542FDBB2" w14:textId="77777777" w:rsidR="00D1587D" w:rsidRDefault="00D1587D">
            <w:pPr>
              <w:rPr>
                <w:sz w:val="16"/>
                <w:szCs w:val="16"/>
              </w:rPr>
            </w:pPr>
          </w:p>
        </w:tc>
        <w:tc>
          <w:tcPr>
            <w:tcW w:w="680" w:type="dxa"/>
            <w:vAlign w:val="bottom"/>
          </w:tcPr>
          <w:p w14:paraId="4B0C1115" w14:textId="77777777" w:rsidR="00D1587D" w:rsidRDefault="00410D07">
            <w:pPr>
              <w:jc w:val="center"/>
              <w:rPr>
                <w:sz w:val="20"/>
                <w:szCs w:val="20"/>
              </w:rPr>
            </w:pPr>
            <w:r>
              <w:rPr>
                <w:rFonts w:ascii="Arial" w:eastAsia="Arial" w:hAnsi="Arial" w:cs="Arial"/>
                <w:b/>
                <w:bCs/>
                <w:w w:val="89"/>
                <w:sz w:val="14"/>
                <w:szCs w:val="14"/>
              </w:rPr>
              <w:t>2018</w:t>
            </w:r>
          </w:p>
        </w:tc>
        <w:tc>
          <w:tcPr>
            <w:tcW w:w="80" w:type="dxa"/>
            <w:vAlign w:val="bottom"/>
          </w:tcPr>
          <w:p w14:paraId="28F82F2B" w14:textId="77777777" w:rsidR="00D1587D" w:rsidRDefault="00D1587D">
            <w:pPr>
              <w:rPr>
                <w:sz w:val="16"/>
                <w:szCs w:val="16"/>
              </w:rPr>
            </w:pPr>
          </w:p>
        </w:tc>
        <w:tc>
          <w:tcPr>
            <w:tcW w:w="700" w:type="dxa"/>
            <w:vAlign w:val="bottom"/>
          </w:tcPr>
          <w:p w14:paraId="5436449C" w14:textId="77777777" w:rsidR="00D1587D" w:rsidRDefault="00410D07">
            <w:pPr>
              <w:jc w:val="right"/>
              <w:rPr>
                <w:sz w:val="20"/>
                <w:szCs w:val="20"/>
              </w:rPr>
            </w:pPr>
            <w:r>
              <w:rPr>
                <w:rFonts w:ascii="Arial" w:eastAsia="Arial" w:hAnsi="Arial" w:cs="Arial"/>
                <w:b/>
                <w:bCs/>
                <w:w w:val="97"/>
                <w:sz w:val="14"/>
                <w:szCs w:val="14"/>
              </w:rPr>
              <w:t>% Change</w:t>
            </w:r>
          </w:p>
        </w:tc>
      </w:tr>
      <w:tr w:rsidR="00D1587D" w14:paraId="4E392C8E" w14:textId="77777777">
        <w:trPr>
          <w:trHeight w:val="53"/>
        </w:trPr>
        <w:tc>
          <w:tcPr>
            <w:tcW w:w="6200" w:type="dxa"/>
            <w:vAlign w:val="bottom"/>
          </w:tcPr>
          <w:p w14:paraId="4367213E" w14:textId="77777777" w:rsidR="00D1587D" w:rsidRDefault="00D1587D">
            <w:pPr>
              <w:rPr>
                <w:sz w:val="4"/>
                <w:szCs w:val="4"/>
              </w:rPr>
            </w:pPr>
          </w:p>
        </w:tc>
        <w:tc>
          <w:tcPr>
            <w:tcW w:w="1440" w:type="dxa"/>
            <w:gridSpan w:val="3"/>
            <w:tcBorders>
              <w:bottom w:val="single" w:sz="8" w:space="0" w:color="auto"/>
            </w:tcBorders>
            <w:vAlign w:val="bottom"/>
          </w:tcPr>
          <w:p w14:paraId="66732DF3" w14:textId="77777777" w:rsidR="00D1587D" w:rsidRDefault="00D1587D">
            <w:pPr>
              <w:rPr>
                <w:sz w:val="4"/>
                <w:szCs w:val="4"/>
              </w:rPr>
            </w:pPr>
          </w:p>
        </w:tc>
        <w:tc>
          <w:tcPr>
            <w:tcW w:w="80" w:type="dxa"/>
            <w:vAlign w:val="bottom"/>
          </w:tcPr>
          <w:p w14:paraId="6BB6A8BA" w14:textId="77777777" w:rsidR="00D1587D" w:rsidRDefault="00D1587D">
            <w:pPr>
              <w:rPr>
                <w:sz w:val="4"/>
                <w:szCs w:val="4"/>
              </w:rPr>
            </w:pPr>
          </w:p>
        </w:tc>
        <w:tc>
          <w:tcPr>
            <w:tcW w:w="700" w:type="dxa"/>
            <w:tcBorders>
              <w:bottom w:val="single" w:sz="8" w:space="0" w:color="auto"/>
            </w:tcBorders>
            <w:vAlign w:val="bottom"/>
          </w:tcPr>
          <w:p w14:paraId="5973E586" w14:textId="77777777" w:rsidR="00D1587D" w:rsidRDefault="00D1587D">
            <w:pPr>
              <w:rPr>
                <w:sz w:val="4"/>
                <w:szCs w:val="4"/>
              </w:rPr>
            </w:pPr>
          </w:p>
        </w:tc>
      </w:tr>
      <w:tr w:rsidR="00D1587D" w14:paraId="25180691" w14:textId="77777777">
        <w:trPr>
          <w:trHeight w:val="225"/>
        </w:trPr>
        <w:tc>
          <w:tcPr>
            <w:tcW w:w="6200" w:type="dxa"/>
            <w:vAlign w:val="bottom"/>
          </w:tcPr>
          <w:p w14:paraId="026F2C7D" w14:textId="77777777" w:rsidR="00D1587D" w:rsidRDefault="00D1587D">
            <w:pPr>
              <w:rPr>
                <w:sz w:val="19"/>
                <w:szCs w:val="19"/>
              </w:rPr>
            </w:pPr>
          </w:p>
        </w:tc>
        <w:tc>
          <w:tcPr>
            <w:tcW w:w="1520" w:type="dxa"/>
            <w:gridSpan w:val="4"/>
            <w:vAlign w:val="bottom"/>
          </w:tcPr>
          <w:p w14:paraId="7E0A7646" w14:textId="77777777" w:rsidR="00D1587D" w:rsidRDefault="00410D07">
            <w:pPr>
              <w:ind w:left="360"/>
              <w:rPr>
                <w:sz w:val="20"/>
                <w:szCs w:val="20"/>
              </w:rPr>
            </w:pPr>
            <w:r>
              <w:rPr>
                <w:rFonts w:ascii="Arial" w:eastAsia="Arial" w:hAnsi="Arial" w:cs="Arial"/>
                <w:b/>
                <w:bCs/>
                <w:sz w:val="14"/>
                <w:szCs w:val="14"/>
              </w:rPr>
              <w:t>(in millions)</w:t>
            </w:r>
          </w:p>
        </w:tc>
        <w:tc>
          <w:tcPr>
            <w:tcW w:w="700" w:type="dxa"/>
            <w:vAlign w:val="bottom"/>
          </w:tcPr>
          <w:p w14:paraId="7268447B" w14:textId="77777777" w:rsidR="00D1587D" w:rsidRDefault="00D1587D">
            <w:pPr>
              <w:rPr>
                <w:sz w:val="19"/>
                <w:szCs w:val="19"/>
              </w:rPr>
            </w:pPr>
          </w:p>
        </w:tc>
      </w:tr>
      <w:tr w:rsidR="00D1587D" w14:paraId="4A21621E" w14:textId="77777777">
        <w:trPr>
          <w:trHeight w:val="53"/>
        </w:trPr>
        <w:tc>
          <w:tcPr>
            <w:tcW w:w="6200" w:type="dxa"/>
            <w:vAlign w:val="bottom"/>
          </w:tcPr>
          <w:p w14:paraId="25C0A119" w14:textId="77777777" w:rsidR="00D1587D" w:rsidRDefault="00D1587D">
            <w:pPr>
              <w:rPr>
                <w:sz w:val="4"/>
                <w:szCs w:val="4"/>
              </w:rPr>
            </w:pPr>
          </w:p>
        </w:tc>
        <w:tc>
          <w:tcPr>
            <w:tcW w:w="680" w:type="dxa"/>
            <w:vAlign w:val="bottom"/>
          </w:tcPr>
          <w:p w14:paraId="69F10D4D" w14:textId="77777777" w:rsidR="00D1587D" w:rsidRDefault="00D1587D">
            <w:pPr>
              <w:rPr>
                <w:sz w:val="4"/>
                <w:szCs w:val="4"/>
              </w:rPr>
            </w:pPr>
          </w:p>
        </w:tc>
        <w:tc>
          <w:tcPr>
            <w:tcW w:w="80" w:type="dxa"/>
            <w:vAlign w:val="bottom"/>
          </w:tcPr>
          <w:p w14:paraId="5F983F47" w14:textId="77777777" w:rsidR="00D1587D" w:rsidRDefault="00D1587D">
            <w:pPr>
              <w:rPr>
                <w:sz w:val="4"/>
                <w:szCs w:val="4"/>
              </w:rPr>
            </w:pPr>
          </w:p>
        </w:tc>
        <w:tc>
          <w:tcPr>
            <w:tcW w:w="680" w:type="dxa"/>
            <w:vAlign w:val="bottom"/>
          </w:tcPr>
          <w:p w14:paraId="6EC06DBE" w14:textId="77777777" w:rsidR="00D1587D" w:rsidRDefault="00D1587D">
            <w:pPr>
              <w:rPr>
                <w:sz w:val="4"/>
                <w:szCs w:val="4"/>
              </w:rPr>
            </w:pPr>
          </w:p>
        </w:tc>
        <w:tc>
          <w:tcPr>
            <w:tcW w:w="80" w:type="dxa"/>
            <w:vAlign w:val="bottom"/>
          </w:tcPr>
          <w:p w14:paraId="673F01E4" w14:textId="77777777" w:rsidR="00D1587D" w:rsidRDefault="00D1587D">
            <w:pPr>
              <w:rPr>
                <w:sz w:val="4"/>
                <w:szCs w:val="4"/>
              </w:rPr>
            </w:pPr>
          </w:p>
        </w:tc>
        <w:tc>
          <w:tcPr>
            <w:tcW w:w="700" w:type="dxa"/>
            <w:vAlign w:val="bottom"/>
          </w:tcPr>
          <w:p w14:paraId="77386902" w14:textId="77777777" w:rsidR="00D1587D" w:rsidRDefault="00D1587D">
            <w:pPr>
              <w:rPr>
                <w:sz w:val="4"/>
                <w:szCs w:val="4"/>
              </w:rPr>
            </w:pPr>
          </w:p>
        </w:tc>
      </w:tr>
      <w:tr w:rsidR="00D1587D" w14:paraId="08797019" w14:textId="77777777">
        <w:trPr>
          <w:trHeight w:val="304"/>
        </w:trPr>
        <w:tc>
          <w:tcPr>
            <w:tcW w:w="6200" w:type="dxa"/>
            <w:tcBorders>
              <w:bottom w:val="single" w:sz="8" w:space="0" w:color="CCEEFF"/>
            </w:tcBorders>
            <w:shd w:val="clear" w:color="auto" w:fill="CCEEFF"/>
            <w:vAlign w:val="bottom"/>
          </w:tcPr>
          <w:p w14:paraId="7DBE046B" w14:textId="77777777" w:rsidR="00D1587D" w:rsidRDefault="00410D07">
            <w:pPr>
              <w:rPr>
                <w:sz w:val="20"/>
                <w:szCs w:val="20"/>
              </w:rPr>
            </w:pPr>
            <w:r>
              <w:rPr>
                <w:rFonts w:ascii="Arial" w:eastAsia="Arial" w:hAnsi="Arial" w:cs="Arial"/>
                <w:sz w:val="18"/>
                <w:szCs w:val="18"/>
              </w:rPr>
              <w:t>Stores - North America</w:t>
            </w:r>
          </w:p>
        </w:tc>
        <w:tc>
          <w:tcPr>
            <w:tcW w:w="680" w:type="dxa"/>
            <w:tcBorders>
              <w:bottom w:val="single" w:sz="8" w:space="0" w:color="CCEEFF"/>
            </w:tcBorders>
            <w:shd w:val="clear" w:color="auto" w:fill="CCEEFF"/>
            <w:vAlign w:val="bottom"/>
          </w:tcPr>
          <w:p w14:paraId="7DBC6FCF" w14:textId="77777777" w:rsidR="00D1587D" w:rsidRDefault="00410D07">
            <w:pPr>
              <w:ind w:right="16"/>
              <w:jc w:val="right"/>
              <w:rPr>
                <w:sz w:val="20"/>
                <w:szCs w:val="20"/>
              </w:rPr>
            </w:pPr>
            <w:r>
              <w:rPr>
                <w:rFonts w:ascii="Arial" w:eastAsia="Arial" w:hAnsi="Arial" w:cs="Arial"/>
                <w:sz w:val="18"/>
                <w:szCs w:val="18"/>
              </w:rPr>
              <w:t>$5,112</w:t>
            </w:r>
          </w:p>
        </w:tc>
        <w:tc>
          <w:tcPr>
            <w:tcW w:w="80" w:type="dxa"/>
            <w:tcBorders>
              <w:bottom w:val="single" w:sz="8" w:space="0" w:color="CCEEFF"/>
            </w:tcBorders>
            <w:shd w:val="clear" w:color="auto" w:fill="CCEEFF"/>
            <w:vAlign w:val="bottom"/>
          </w:tcPr>
          <w:p w14:paraId="411A4A9D" w14:textId="77777777" w:rsidR="00D1587D" w:rsidRDefault="00D1587D">
            <w:pPr>
              <w:rPr>
                <w:sz w:val="24"/>
                <w:szCs w:val="24"/>
              </w:rPr>
            </w:pPr>
          </w:p>
        </w:tc>
        <w:tc>
          <w:tcPr>
            <w:tcW w:w="680" w:type="dxa"/>
            <w:tcBorders>
              <w:bottom w:val="single" w:sz="8" w:space="0" w:color="CCEEFF"/>
            </w:tcBorders>
            <w:shd w:val="clear" w:color="auto" w:fill="CCEEFF"/>
            <w:vAlign w:val="bottom"/>
          </w:tcPr>
          <w:p w14:paraId="28AD50F6" w14:textId="77777777" w:rsidR="00D1587D" w:rsidRDefault="00410D07">
            <w:pPr>
              <w:jc w:val="center"/>
              <w:rPr>
                <w:sz w:val="20"/>
                <w:szCs w:val="20"/>
              </w:rPr>
            </w:pPr>
            <w:r>
              <w:rPr>
                <w:rFonts w:ascii="Arial" w:eastAsia="Arial" w:hAnsi="Arial" w:cs="Arial"/>
                <w:w w:val="87"/>
                <w:sz w:val="18"/>
                <w:szCs w:val="18"/>
              </w:rPr>
              <w:t>$5,628</w:t>
            </w:r>
          </w:p>
        </w:tc>
        <w:tc>
          <w:tcPr>
            <w:tcW w:w="80" w:type="dxa"/>
            <w:tcBorders>
              <w:bottom w:val="single" w:sz="8" w:space="0" w:color="CCEEFF"/>
            </w:tcBorders>
            <w:shd w:val="clear" w:color="auto" w:fill="CCEEFF"/>
            <w:vAlign w:val="bottom"/>
          </w:tcPr>
          <w:p w14:paraId="1C07C4BC" w14:textId="77777777" w:rsidR="00D1587D" w:rsidRDefault="00D1587D">
            <w:pPr>
              <w:rPr>
                <w:sz w:val="24"/>
                <w:szCs w:val="24"/>
              </w:rPr>
            </w:pPr>
          </w:p>
        </w:tc>
        <w:tc>
          <w:tcPr>
            <w:tcW w:w="700" w:type="dxa"/>
            <w:tcBorders>
              <w:bottom w:val="single" w:sz="8" w:space="0" w:color="CCEEFF"/>
            </w:tcBorders>
            <w:shd w:val="clear" w:color="auto" w:fill="CCEEFF"/>
            <w:vAlign w:val="bottom"/>
          </w:tcPr>
          <w:p w14:paraId="71133231" w14:textId="77777777" w:rsidR="00D1587D" w:rsidRDefault="00410D07">
            <w:pPr>
              <w:jc w:val="right"/>
              <w:rPr>
                <w:sz w:val="20"/>
                <w:szCs w:val="20"/>
              </w:rPr>
            </w:pPr>
            <w:r>
              <w:rPr>
                <w:rFonts w:ascii="Arial" w:eastAsia="Arial" w:hAnsi="Arial" w:cs="Arial"/>
                <w:sz w:val="18"/>
                <w:szCs w:val="18"/>
              </w:rPr>
              <w:t>(9)%</w:t>
            </w:r>
          </w:p>
        </w:tc>
      </w:tr>
      <w:tr w:rsidR="00D1587D" w14:paraId="20E3B605" w14:textId="77777777">
        <w:trPr>
          <w:trHeight w:val="257"/>
        </w:trPr>
        <w:tc>
          <w:tcPr>
            <w:tcW w:w="6200" w:type="dxa"/>
            <w:vAlign w:val="bottom"/>
          </w:tcPr>
          <w:p w14:paraId="35CE30F2" w14:textId="77777777" w:rsidR="00D1587D" w:rsidRDefault="00410D07">
            <w:pPr>
              <w:rPr>
                <w:sz w:val="20"/>
                <w:szCs w:val="20"/>
              </w:rPr>
            </w:pPr>
            <w:r>
              <w:rPr>
                <w:rFonts w:ascii="Arial" w:eastAsia="Arial" w:hAnsi="Arial" w:cs="Arial"/>
                <w:sz w:val="18"/>
                <w:szCs w:val="18"/>
              </w:rPr>
              <w:t>Direct</w:t>
            </w:r>
          </w:p>
        </w:tc>
        <w:tc>
          <w:tcPr>
            <w:tcW w:w="680" w:type="dxa"/>
            <w:vAlign w:val="bottom"/>
          </w:tcPr>
          <w:p w14:paraId="423880CA" w14:textId="77777777" w:rsidR="00D1587D" w:rsidRDefault="00410D07">
            <w:pPr>
              <w:ind w:right="16"/>
              <w:jc w:val="right"/>
              <w:rPr>
                <w:sz w:val="20"/>
                <w:szCs w:val="20"/>
              </w:rPr>
            </w:pPr>
            <w:r>
              <w:rPr>
                <w:rFonts w:ascii="Arial" w:eastAsia="Arial" w:hAnsi="Arial" w:cs="Arial"/>
                <w:sz w:val="18"/>
                <w:szCs w:val="18"/>
              </w:rPr>
              <w:t>1,693</w:t>
            </w:r>
          </w:p>
        </w:tc>
        <w:tc>
          <w:tcPr>
            <w:tcW w:w="80" w:type="dxa"/>
            <w:vAlign w:val="bottom"/>
          </w:tcPr>
          <w:p w14:paraId="0CB1AD29" w14:textId="77777777" w:rsidR="00D1587D" w:rsidRDefault="00D1587D"/>
        </w:tc>
        <w:tc>
          <w:tcPr>
            <w:tcW w:w="680" w:type="dxa"/>
            <w:vAlign w:val="bottom"/>
          </w:tcPr>
          <w:p w14:paraId="174CC754" w14:textId="77777777" w:rsidR="00D1587D" w:rsidRDefault="00410D07">
            <w:pPr>
              <w:ind w:right="14"/>
              <w:jc w:val="right"/>
              <w:rPr>
                <w:sz w:val="20"/>
                <w:szCs w:val="20"/>
              </w:rPr>
            </w:pPr>
            <w:r>
              <w:rPr>
                <w:rFonts w:ascii="Arial" w:eastAsia="Arial" w:hAnsi="Arial" w:cs="Arial"/>
                <w:sz w:val="18"/>
                <w:szCs w:val="18"/>
              </w:rPr>
              <w:t>1,747</w:t>
            </w:r>
          </w:p>
        </w:tc>
        <w:tc>
          <w:tcPr>
            <w:tcW w:w="80" w:type="dxa"/>
            <w:vAlign w:val="bottom"/>
          </w:tcPr>
          <w:p w14:paraId="7787954A" w14:textId="77777777" w:rsidR="00D1587D" w:rsidRDefault="00D1587D"/>
        </w:tc>
        <w:tc>
          <w:tcPr>
            <w:tcW w:w="700" w:type="dxa"/>
            <w:vAlign w:val="bottom"/>
          </w:tcPr>
          <w:p w14:paraId="2777256E" w14:textId="77777777" w:rsidR="00D1587D" w:rsidRDefault="00410D07">
            <w:pPr>
              <w:jc w:val="right"/>
              <w:rPr>
                <w:sz w:val="20"/>
                <w:szCs w:val="20"/>
              </w:rPr>
            </w:pPr>
            <w:r>
              <w:rPr>
                <w:rFonts w:ascii="Arial" w:eastAsia="Arial" w:hAnsi="Arial" w:cs="Arial"/>
                <w:sz w:val="18"/>
                <w:szCs w:val="18"/>
              </w:rPr>
              <w:t>(3)%</w:t>
            </w:r>
          </w:p>
        </w:tc>
      </w:tr>
      <w:tr w:rsidR="00D1587D" w14:paraId="6833E8BE" w14:textId="77777777">
        <w:trPr>
          <w:trHeight w:val="40"/>
        </w:trPr>
        <w:tc>
          <w:tcPr>
            <w:tcW w:w="6200" w:type="dxa"/>
            <w:vAlign w:val="bottom"/>
          </w:tcPr>
          <w:p w14:paraId="5ACA951D" w14:textId="77777777" w:rsidR="00D1587D" w:rsidRDefault="00D1587D">
            <w:pPr>
              <w:rPr>
                <w:sz w:val="3"/>
                <w:szCs w:val="3"/>
              </w:rPr>
            </w:pPr>
          </w:p>
        </w:tc>
        <w:tc>
          <w:tcPr>
            <w:tcW w:w="680" w:type="dxa"/>
            <w:vAlign w:val="bottom"/>
          </w:tcPr>
          <w:p w14:paraId="28C75553" w14:textId="77777777" w:rsidR="00D1587D" w:rsidRDefault="00D1587D">
            <w:pPr>
              <w:rPr>
                <w:sz w:val="3"/>
                <w:szCs w:val="3"/>
              </w:rPr>
            </w:pPr>
          </w:p>
        </w:tc>
        <w:tc>
          <w:tcPr>
            <w:tcW w:w="80" w:type="dxa"/>
            <w:vAlign w:val="bottom"/>
          </w:tcPr>
          <w:p w14:paraId="02211830" w14:textId="77777777" w:rsidR="00D1587D" w:rsidRDefault="00D1587D">
            <w:pPr>
              <w:rPr>
                <w:sz w:val="3"/>
                <w:szCs w:val="3"/>
              </w:rPr>
            </w:pPr>
          </w:p>
        </w:tc>
        <w:tc>
          <w:tcPr>
            <w:tcW w:w="680" w:type="dxa"/>
            <w:vAlign w:val="bottom"/>
          </w:tcPr>
          <w:p w14:paraId="4AA9A468" w14:textId="77777777" w:rsidR="00D1587D" w:rsidRDefault="00D1587D">
            <w:pPr>
              <w:rPr>
                <w:sz w:val="3"/>
                <w:szCs w:val="3"/>
              </w:rPr>
            </w:pPr>
          </w:p>
        </w:tc>
        <w:tc>
          <w:tcPr>
            <w:tcW w:w="80" w:type="dxa"/>
            <w:vAlign w:val="bottom"/>
          </w:tcPr>
          <w:p w14:paraId="691501BF" w14:textId="77777777" w:rsidR="00D1587D" w:rsidRDefault="00D1587D">
            <w:pPr>
              <w:rPr>
                <w:sz w:val="3"/>
                <w:szCs w:val="3"/>
              </w:rPr>
            </w:pPr>
          </w:p>
        </w:tc>
        <w:tc>
          <w:tcPr>
            <w:tcW w:w="700" w:type="dxa"/>
            <w:vAlign w:val="bottom"/>
          </w:tcPr>
          <w:p w14:paraId="65F0F6AB" w14:textId="77777777" w:rsidR="00D1587D" w:rsidRDefault="00D1587D">
            <w:pPr>
              <w:rPr>
                <w:sz w:val="3"/>
                <w:szCs w:val="3"/>
              </w:rPr>
            </w:pPr>
          </w:p>
        </w:tc>
      </w:tr>
      <w:tr w:rsidR="00D1587D" w14:paraId="748D1D5C" w14:textId="77777777">
        <w:trPr>
          <w:trHeight w:val="324"/>
        </w:trPr>
        <w:tc>
          <w:tcPr>
            <w:tcW w:w="6200" w:type="dxa"/>
            <w:shd w:val="clear" w:color="auto" w:fill="CCEEFF"/>
            <w:vAlign w:val="bottom"/>
          </w:tcPr>
          <w:p w14:paraId="2A74AD12" w14:textId="77777777" w:rsidR="00D1587D" w:rsidRDefault="00410D07">
            <w:pPr>
              <w:spacing w:line="324" w:lineRule="exact"/>
              <w:rPr>
                <w:sz w:val="20"/>
                <w:szCs w:val="20"/>
              </w:rPr>
            </w:pPr>
            <w:r>
              <w:rPr>
                <w:rFonts w:ascii="Arial" w:eastAsia="Arial" w:hAnsi="Arial" w:cs="Arial"/>
                <w:sz w:val="18"/>
                <w:szCs w:val="18"/>
              </w:rPr>
              <w:t>International</w:t>
            </w:r>
            <w:r>
              <w:rPr>
                <w:rFonts w:ascii="Arial" w:eastAsia="Arial" w:hAnsi="Arial" w:cs="Arial"/>
                <w:sz w:val="29"/>
                <w:szCs w:val="29"/>
                <w:vertAlign w:val="superscript"/>
              </w:rPr>
              <w:t>(a)</w:t>
            </w:r>
          </w:p>
        </w:tc>
        <w:tc>
          <w:tcPr>
            <w:tcW w:w="680" w:type="dxa"/>
            <w:tcBorders>
              <w:bottom w:val="single" w:sz="8" w:space="0" w:color="auto"/>
            </w:tcBorders>
            <w:shd w:val="clear" w:color="auto" w:fill="CCEEFF"/>
            <w:vAlign w:val="bottom"/>
          </w:tcPr>
          <w:p w14:paraId="59206288" w14:textId="77777777" w:rsidR="00D1587D" w:rsidRDefault="00410D07">
            <w:pPr>
              <w:ind w:right="16"/>
              <w:jc w:val="right"/>
              <w:rPr>
                <w:sz w:val="20"/>
                <w:szCs w:val="20"/>
              </w:rPr>
            </w:pPr>
            <w:r>
              <w:rPr>
                <w:rFonts w:ascii="Arial" w:eastAsia="Arial" w:hAnsi="Arial" w:cs="Arial"/>
                <w:sz w:val="18"/>
                <w:szCs w:val="18"/>
              </w:rPr>
              <w:t>704</w:t>
            </w:r>
          </w:p>
        </w:tc>
        <w:tc>
          <w:tcPr>
            <w:tcW w:w="80" w:type="dxa"/>
            <w:tcBorders>
              <w:bottom w:val="single" w:sz="8" w:space="0" w:color="CCEEFF"/>
            </w:tcBorders>
            <w:shd w:val="clear" w:color="auto" w:fill="CCEEFF"/>
            <w:vAlign w:val="bottom"/>
          </w:tcPr>
          <w:p w14:paraId="4A70D0D3" w14:textId="77777777" w:rsidR="00D1587D" w:rsidRDefault="00D1587D">
            <w:pPr>
              <w:rPr>
                <w:sz w:val="24"/>
                <w:szCs w:val="24"/>
              </w:rPr>
            </w:pPr>
          </w:p>
        </w:tc>
        <w:tc>
          <w:tcPr>
            <w:tcW w:w="680" w:type="dxa"/>
            <w:tcBorders>
              <w:bottom w:val="single" w:sz="8" w:space="0" w:color="auto"/>
            </w:tcBorders>
            <w:shd w:val="clear" w:color="auto" w:fill="CCEEFF"/>
            <w:vAlign w:val="bottom"/>
          </w:tcPr>
          <w:p w14:paraId="65080B30" w14:textId="77777777" w:rsidR="00D1587D" w:rsidRDefault="00410D07">
            <w:pPr>
              <w:ind w:right="14"/>
              <w:jc w:val="right"/>
              <w:rPr>
                <w:sz w:val="20"/>
                <w:szCs w:val="20"/>
              </w:rPr>
            </w:pPr>
            <w:r>
              <w:rPr>
                <w:rFonts w:ascii="Arial" w:eastAsia="Arial" w:hAnsi="Arial" w:cs="Arial"/>
                <w:sz w:val="18"/>
                <w:szCs w:val="18"/>
              </w:rPr>
              <w:t>728</w:t>
            </w:r>
          </w:p>
        </w:tc>
        <w:tc>
          <w:tcPr>
            <w:tcW w:w="80" w:type="dxa"/>
            <w:tcBorders>
              <w:bottom w:val="single" w:sz="8" w:space="0" w:color="CCEEFF"/>
            </w:tcBorders>
            <w:shd w:val="clear" w:color="auto" w:fill="CCEEFF"/>
            <w:vAlign w:val="bottom"/>
          </w:tcPr>
          <w:p w14:paraId="00A216CB" w14:textId="77777777" w:rsidR="00D1587D" w:rsidRDefault="00D1587D">
            <w:pPr>
              <w:rPr>
                <w:sz w:val="24"/>
                <w:szCs w:val="24"/>
              </w:rPr>
            </w:pPr>
          </w:p>
        </w:tc>
        <w:tc>
          <w:tcPr>
            <w:tcW w:w="700" w:type="dxa"/>
            <w:tcBorders>
              <w:bottom w:val="single" w:sz="8" w:space="0" w:color="auto"/>
            </w:tcBorders>
            <w:shd w:val="clear" w:color="auto" w:fill="CCEEFF"/>
            <w:vAlign w:val="bottom"/>
          </w:tcPr>
          <w:p w14:paraId="655121DE" w14:textId="77777777" w:rsidR="00D1587D" w:rsidRDefault="00410D07">
            <w:pPr>
              <w:jc w:val="right"/>
              <w:rPr>
                <w:sz w:val="20"/>
                <w:szCs w:val="20"/>
              </w:rPr>
            </w:pPr>
            <w:r>
              <w:rPr>
                <w:rFonts w:ascii="Arial" w:eastAsia="Arial" w:hAnsi="Arial" w:cs="Arial"/>
                <w:sz w:val="18"/>
                <w:szCs w:val="18"/>
              </w:rPr>
              <w:t>(3)%</w:t>
            </w:r>
          </w:p>
        </w:tc>
      </w:tr>
      <w:tr w:rsidR="00D1587D" w14:paraId="1C6DBC5F" w14:textId="77777777">
        <w:trPr>
          <w:trHeight w:val="277"/>
        </w:trPr>
        <w:tc>
          <w:tcPr>
            <w:tcW w:w="6200" w:type="dxa"/>
            <w:vAlign w:val="bottom"/>
          </w:tcPr>
          <w:p w14:paraId="64AC4450" w14:textId="77777777" w:rsidR="00D1587D" w:rsidRDefault="00410D07">
            <w:pPr>
              <w:rPr>
                <w:sz w:val="20"/>
                <w:szCs w:val="20"/>
              </w:rPr>
            </w:pPr>
            <w:r>
              <w:rPr>
                <w:rFonts w:ascii="Arial" w:eastAsia="Arial" w:hAnsi="Arial" w:cs="Arial"/>
                <w:b/>
                <w:bCs/>
                <w:sz w:val="18"/>
                <w:szCs w:val="18"/>
              </w:rPr>
              <w:t>Total</w:t>
            </w:r>
          </w:p>
        </w:tc>
        <w:tc>
          <w:tcPr>
            <w:tcW w:w="680" w:type="dxa"/>
            <w:tcBorders>
              <w:bottom w:val="single" w:sz="8" w:space="0" w:color="auto"/>
            </w:tcBorders>
            <w:vAlign w:val="bottom"/>
          </w:tcPr>
          <w:p w14:paraId="3FC58E80" w14:textId="77777777" w:rsidR="00D1587D" w:rsidRDefault="00410D07">
            <w:pPr>
              <w:jc w:val="right"/>
              <w:rPr>
                <w:sz w:val="20"/>
                <w:szCs w:val="20"/>
              </w:rPr>
            </w:pPr>
            <w:r>
              <w:rPr>
                <w:rFonts w:ascii="Arial" w:eastAsia="Arial" w:hAnsi="Arial" w:cs="Arial"/>
                <w:b/>
                <w:bCs/>
                <w:sz w:val="18"/>
                <w:szCs w:val="18"/>
              </w:rPr>
              <w:t>$7,509</w:t>
            </w:r>
          </w:p>
        </w:tc>
        <w:tc>
          <w:tcPr>
            <w:tcW w:w="80" w:type="dxa"/>
            <w:vAlign w:val="bottom"/>
          </w:tcPr>
          <w:p w14:paraId="18F88B63" w14:textId="77777777" w:rsidR="00D1587D" w:rsidRDefault="00D1587D">
            <w:pPr>
              <w:rPr>
                <w:sz w:val="24"/>
                <w:szCs w:val="24"/>
              </w:rPr>
            </w:pPr>
          </w:p>
        </w:tc>
        <w:tc>
          <w:tcPr>
            <w:tcW w:w="680" w:type="dxa"/>
            <w:tcBorders>
              <w:bottom w:val="single" w:sz="8" w:space="0" w:color="auto"/>
            </w:tcBorders>
            <w:vAlign w:val="bottom"/>
          </w:tcPr>
          <w:p w14:paraId="12080200" w14:textId="77777777" w:rsidR="00D1587D" w:rsidRDefault="00410D07">
            <w:pPr>
              <w:jc w:val="center"/>
              <w:rPr>
                <w:sz w:val="20"/>
                <w:szCs w:val="20"/>
              </w:rPr>
            </w:pPr>
            <w:r>
              <w:rPr>
                <w:rFonts w:ascii="Arial" w:eastAsia="Arial" w:hAnsi="Arial" w:cs="Arial"/>
                <w:b/>
                <w:bCs/>
                <w:w w:val="87"/>
                <w:sz w:val="18"/>
                <w:szCs w:val="18"/>
              </w:rPr>
              <w:t>$8,103</w:t>
            </w:r>
          </w:p>
        </w:tc>
        <w:tc>
          <w:tcPr>
            <w:tcW w:w="80" w:type="dxa"/>
            <w:vAlign w:val="bottom"/>
          </w:tcPr>
          <w:p w14:paraId="584173D8" w14:textId="77777777" w:rsidR="00D1587D" w:rsidRDefault="00D1587D">
            <w:pPr>
              <w:rPr>
                <w:sz w:val="24"/>
                <w:szCs w:val="24"/>
              </w:rPr>
            </w:pPr>
          </w:p>
        </w:tc>
        <w:tc>
          <w:tcPr>
            <w:tcW w:w="700" w:type="dxa"/>
            <w:tcBorders>
              <w:bottom w:val="single" w:sz="8" w:space="0" w:color="auto"/>
            </w:tcBorders>
            <w:vAlign w:val="bottom"/>
          </w:tcPr>
          <w:p w14:paraId="620607FF" w14:textId="77777777" w:rsidR="00D1587D" w:rsidRDefault="00410D07">
            <w:pPr>
              <w:jc w:val="right"/>
              <w:rPr>
                <w:sz w:val="20"/>
                <w:szCs w:val="20"/>
              </w:rPr>
            </w:pPr>
            <w:r>
              <w:rPr>
                <w:rFonts w:ascii="Arial" w:eastAsia="Arial" w:hAnsi="Arial" w:cs="Arial"/>
                <w:b/>
                <w:bCs/>
                <w:sz w:val="18"/>
                <w:szCs w:val="18"/>
              </w:rPr>
              <w:t>(7)%</w:t>
            </w:r>
          </w:p>
        </w:tc>
      </w:tr>
      <w:tr w:rsidR="00D1587D" w14:paraId="00CA1DA9" w14:textId="77777777">
        <w:trPr>
          <w:trHeight w:val="20"/>
        </w:trPr>
        <w:tc>
          <w:tcPr>
            <w:tcW w:w="6200" w:type="dxa"/>
            <w:vAlign w:val="bottom"/>
          </w:tcPr>
          <w:p w14:paraId="38E05038" w14:textId="77777777" w:rsidR="00D1587D" w:rsidRDefault="00D1587D">
            <w:pPr>
              <w:spacing w:line="20" w:lineRule="exact"/>
              <w:rPr>
                <w:sz w:val="1"/>
                <w:szCs w:val="1"/>
              </w:rPr>
            </w:pPr>
          </w:p>
        </w:tc>
        <w:tc>
          <w:tcPr>
            <w:tcW w:w="680" w:type="dxa"/>
            <w:tcBorders>
              <w:bottom w:val="single" w:sz="8" w:space="0" w:color="auto"/>
            </w:tcBorders>
            <w:vAlign w:val="bottom"/>
          </w:tcPr>
          <w:p w14:paraId="107247AB" w14:textId="77777777" w:rsidR="00D1587D" w:rsidRDefault="00D1587D">
            <w:pPr>
              <w:spacing w:line="20" w:lineRule="exact"/>
              <w:rPr>
                <w:sz w:val="1"/>
                <w:szCs w:val="1"/>
              </w:rPr>
            </w:pPr>
          </w:p>
        </w:tc>
        <w:tc>
          <w:tcPr>
            <w:tcW w:w="80" w:type="dxa"/>
            <w:vAlign w:val="bottom"/>
          </w:tcPr>
          <w:p w14:paraId="0B341E00" w14:textId="77777777" w:rsidR="00D1587D" w:rsidRDefault="00D1587D">
            <w:pPr>
              <w:spacing w:line="20" w:lineRule="exact"/>
              <w:rPr>
                <w:sz w:val="1"/>
                <w:szCs w:val="1"/>
              </w:rPr>
            </w:pPr>
          </w:p>
        </w:tc>
        <w:tc>
          <w:tcPr>
            <w:tcW w:w="680" w:type="dxa"/>
            <w:tcBorders>
              <w:bottom w:val="single" w:sz="8" w:space="0" w:color="auto"/>
            </w:tcBorders>
            <w:vAlign w:val="bottom"/>
          </w:tcPr>
          <w:p w14:paraId="696FA649" w14:textId="77777777" w:rsidR="00D1587D" w:rsidRDefault="00D1587D">
            <w:pPr>
              <w:spacing w:line="20" w:lineRule="exact"/>
              <w:rPr>
                <w:sz w:val="1"/>
                <w:szCs w:val="1"/>
              </w:rPr>
            </w:pPr>
          </w:p>
        </w:tc>
        <w:tc>
          <w:tcPr>
            <w:tcW w:w="80" w:type="dxa"/>
            <w:vAlign w:val="bottom"/>
          </w:tcPr>
          <w:p w14:paraId="7B4B38E0" w14:textId="77777777" w:rsidR="00D1587D" w:rsidRDefault="00D1587D">
            <w:pPr>
              <w:spacing w:line="20" w:lineRule="exact"/>
              <w:rPr>
                <w:sz w:val="1"/>
                <w:szCs w:val="1"/>
              </w:rPr>
            </w:pPr>
          </w:p>
        </w:tc>
        <w:tc>
          <w:tcPr>
            <w:tcW w:w="700" w:type="dxa"/>
            <w:tcBorders>
              <w:bottom w:val="single" w:sz="8" w:space="0" w:color="auto"/>
            </w:tcBorders>
            <w:vAlign w:val="bottom"/>
          </w:tcPr>
          <w:p w14:paraId="0FD1DAF8" w14:textId="77777777" w:rsidR="00D1587D" w:rsidRDefault="00D1587D">
            <w:pPr>
              <w:spacing w:line="20" w:lineRule="exact"/>
              <w:rPr>
                <w:sz w:val="1"/>
                <w:szCs w:val="1"/>
              </w:rPr>
            </w:pPr>
          </w:p>
        </w:tc>
      </w:tr>
    </w:tbl>
    <w:p w14:paraId="64E08D65" w14:textId="77777777" w:rsidR="00D1587D" w:rsidRDefault="00410D07">
      <w:pPr>
        <w:spacing w:line="20" w:lineRule="exact"/>
        <w:rPr>
          <w:sz w:val="20"/>
          <w:szCs w:val="20"/>
        </w:rPr>
      </w:pPr>
      <w:r>
        <w:rPr>
          <w:noProof/>
          <w:sz w:val="20"/>
          <w:szCs w:val="20"/>
        </w:rPr>
        <w:drawing>
          <wp:anchor distT="0" distB="0" distL="114300" distR="114300" simplePos="0" relativeHeight="251744256" behindDoc="1" locked="0" layoutInCell="0" allowOverlap="1" wp14:anchorId="7DA27B05" wp14:editId="5D5678D5">
            <wp:simplePos x="0" y="0"/>
            <wp:positionH relativeFrom="column">
              <wp:posOffset>4102735</wp:posOffset>
            </wp:positionH>
            <wp:positionV relativeFrom="paragraph">
              <wp:posOffset>-222250</wp:posOffset>
            </wp:positionV>
            <wp:extent cx="25400" cy="8890"/>
            <wp:effectExtent l="0" t="0" r="0" b="0"/>
            <wp:wrapNone/>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56"/>
                    <a:srcRect/>
                    <a:stretch>
                      <a:fillRect/>
                    </a:stretch>
                  </pic:blipFill>
                  <pic:spPr bwMode="auto">
                    <a:xfrm>
                      <a:off x="0" y="0"/>
                      <a:ext cx="25400" cy="8890"/>
                    </a:xfrm>
                    <a:prstGeom prst="rect">
                      <a:avLst/>
                    </a:prstGeom>
                    <a:noFill/>
                  </pic:spPr>
                </pic:pic>
              </a:graphicData>
            </a:graphic>
          </wp:anchor>
        </w:drawing>
      </w:r>
      <w:r>
        <w:rPr>
          <w:noProof/>
          <w:sz w:val="20"/>
          <w:szCs w:val="20"/>
        </w:rPr>
        <w:drawing>
          <wp:anchor distT="0" distB="0" distL="114300" distR="114300" simplePos="0" relativeHeight="251745280" behindDoc="1" locked="0" layoutInCell="0" allowOverlap="1" wp14:anchorId="596673B2" wp14:editId="4A715838">
            <wp:simplePos x="0" y="0"/>
            <wp:positionH relativeFrom="column">
              <wp:posOffset>4557395</wp:posOffset>
            </wp:positionH>
            <wp:positionV relativeFrom="paragraph">
              <wp:posOffset>-1010920</wp:posOffset>
            </wp:positionV>
            <wp:extent cx="51435" cy="8255"/>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746304" behindDoc="1" locked="0" layoutInCell="0" allowOverlap="1" wp14:anchorId="79522D0A" wp14:editId="6096CA86">
            <wp:simplePos x="0" y="0"/>
            <wp:positionH relativeFrom="column">
              <wp:posOffset>185420</wp:posOffset>
            </wp:positionH>
            <wp:positionV relativeFrom="paragraph">
              <wp:posOffset>145415</wp:posOffset>
            </wp:positionV>
            <wp:extent cx="822960" cy="8890"/>
            <wp:effectExtent l="0" t="0" r="0" b="0"/>
            <wp:wrapNone/>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159D53F5" w14:textId="77777777" w:rsidR="00D1587D" w:rsidRDefault="00D1587D">
      <w:pPr>
        <w:spacing w:line="258" w:lineRule="exact"/>
        <w:rPr>
          <w:sz w:val="20"/>
          <w:szCs w:val="20"/>
        </w:rPr>
      </w:pPr>
    </w:p>
    <w:p w14:paraId="4FAA8B09" w14:textId="77777777" w:rsidR="00D1587D" w:rsidRDefault="00410D07" w:rsidP="00410D07">
      <w:pPr>
        <w:numPr>
          <w:ilvl w:val="0"/>
          <w:numId w:val="294"/>
        </w:numPr>
        <w:tabs>
          <w:tab w:val="left" w:pos="640"/>
        </w:tabs>
        <w:ind w:left="640" w:hanging="348"/>
        <w:rPr>
          <w:rFonts w:ascii="Arial" w:eastAsia="Arial" w:hAnsi="Arial" w:cs="Arial"/>
          <w:sz w:val="12"/>
          <w:szCs w:val="12"/>
        </w:rPr>
      </w:pPr>
      <w:r>
        <w:rPr>
          <w:rFonts w:ascii="Arial" w:eastAsia="Arial" w:hAnsi="Arial" w:cs="Arial"/>
          <w:sz w:val="12"/>
          <w:szCs w:val="12"/>
        </w:rPr>
        <w:t>Results include company-operated stores in the U.K. and Greater China, and royalties associated with franchised stores and wholesale sales.</w:t>
      </w:r>
    </w:p>
    <w:p w14:paraId="5CA4B87A" w14:textId="77777777" w:rsidR="00D1587D" w:rsidRDefault="00D1587D">
      <w:pPr>
        <w:spacing w:line="150" w:lineRule="exact"/>
        <w:rPr>
          <w:sz w:val="20"/>
          <w:szCs w:val="20"/>
        </w:rPr>
      </w:pPr>
    </w:p>
    <w:p w14:paraId="364602DA" w14:textId="77777777" w:rsidR="00D1587D" w:rsidRDefault="00410D07">
      <w:pPr>
        <w:ind w:left="660"/>
        <w:rPr>
          <w:sz w:val="20"/>
          <w:szCs w:val="20"/>
        </w:rPr>
      </w:pPr>
      <w:r>
        <w:rPr>
          <w:rFonts w:ascii="Arial" w:eastAsia="Arial" w:hAnsi="Arial" w:cs="Arial"/>
          <w:sz w:val="18"/>
          <w:szCs w:val="18"/>
        </w:rPr>
        <w:t xml:space="preserve">The following table </w:t>
      </w:r>
      <w:r>
        <w:rPr>
          <w:rFonts w:ascii="Arial" w:eastAsia="Arial" w:hAnsi="Arial" w:cs="Arial"/>
          <w:sz w:val="18"/>
          <w:szCs w:val="18"/>
        </w:rPr>
        <w:t>provides a reconciliation of net sales for 2018 to 2019:</w:t>
      </w:r>
    </w:p>
    <w:p w14:paraId="36E83991" w14:textId="77777777" w:rsidR="00D1587D" w:rsidRDefault="00D1587D">
      <w:pPr>
        <w:spacing w:line="176"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680"/>
        <w:gridCol w:w="740"/>
      </w:tblGrid>
      <w:tr w:rsidR="00D1587D" w14:paraId="499D9FF9" w14:textId="77777777">
        <w:trPr>
          <w:trHeight w:val="186"/>
        </w:trPr>
        <w:tc>
          <w:tcPr>
            <w:tcW w:w="7680" w:type="dxa"/>
            <w:vAlign w:val="bottom"/>
          </w:tcPr>
          <w:p w14:paraId="05F53763" w14:textId="77777777" w:rsidR="00D1587D" w:rsidRDefault="00D1587D">
            <w:pPr>
              <w:rPr>
                <w:sz w:val="16"/>
                <w:szCs w:val="16"/>
              </w:rPr>
            </w:pPr>
          </w:p>
        </w:tc>
        <w:tc>
          <w:tcPr>
            <w:tcW w:w="740" w:type="dxa"/>
            <w:vAlign w:val="bottom"/>
          </w:tcPr>
          <w:p w14:paraId="2B5A7DEC" w14:textId="77777777" w:rsidR="00D1587D" w:rsidRDefault="00410D07">
            <w:pPr>
              <w:jc w:val="right"/>
              <w:rPr>
                <w:sz w:val="20"/>
                <w:szCs w:val="20"/>
              </w:rPr>
            </w:pPr>
            <w:r>
              <w:rPr>
                <w:rFonts w:ascii="Arial" w:eastAsia="Arial" w:hAnsi="Arial" w:cs="Arial"/>
                <w:b/>
                <w:bCs/>
                <w:w w:val="91"/>
                <w:sz w:val="14"/>
                <w:szCs w:val="14"/>
              </w:rPr>
              <w:t>(in millions)</w:t>
            </w:r>
          </w:p>
        </w:tc>
      </w:tr>
      <w:tr w:rsidR="00D1587D" w14:paraId="0E7AB4DA" w14:textId="77777777">
        <w:trPr>
          <w:trHeight w:val="53"/>
        </w:trPr>
        <w:tc>
          <w:tcPr>
            <w:tcW w:w="7680" w:type="dxa"/>
            <w:vAlign w:val="bottom"/>
          </w:tcPr>
          <w:p w14:paraId="3F0EFA1C" w14:textId="77777777" w:rsidR="00D1587D" w:rsidRDefault="00D1587D">
            <w:pPr>
              <w:rPr>
                <w:sz w:val="4"/>
                <w:szCs w:val="4"/>
              </w:rPr>
            </w:pPr>
          </w:p>
        </w:tc>
        <w:tc>
          <w:tcPr>
            <w:tcW w:w="740" w:type="dxa"/>
            <w:vAlign w:val="bottom"/>
          </w:tcPr>
          <w:p w14:paraId="3C9DD82B" w14:textId="77777777" w:rsidR="00D1587D" w:rsidRDefault="00D1587D">
            <w:pPr>
              <w:rPr>
                <w:sz w:val="4"/>
                <w:szCs w:val="4"/>
              </w:rPr>
            </w:pPr>
          </w:p>
        </w:tc>
      </w:tr>
      <w:tr w:rsidR="00D1587D" w14:paraId="2668255E" w14:textId="77777777">
        <w:trPr>
          <w:trHeight w:val="318"/>
        </w:trPr>
        <w:tc>
          <w:tcPr>
            <w:tcW w:w="7680" w:type="dxa"/>
            <w:tcBorders>
              <w:bottom w:val="single" w:sz="8" w:space="0" w:color="CCEEFF"/>
            </w:tcBorders>
            <w:shd w:val="clear" w:color="auto" w:fill="CCEEFF"/>
            <w:vAlign w:val="bottom"/>
          </w:tcPr>
          <w:p w14:paraId="1478D0C3" w14:textId="77777777" w:rsidR="00D1587D" w:rsidRDefault="00410D07">
            <w:pPr>
              <w:rPr>
                <w:sz w:val="20"/>
                <w:szCs w:val="20"/>
              </w:rPr>
            </w:pPr>
            <w:r>
              <w:rPr>
                <w:rFonts w:ascii="Arial" w:eastAsia="Arial" w:hAnsi="Arial" w:cs="Arial"/>
                <w:b/>
                <w:bCs/>
                <w:sz w:val="18"/>
                <w:szCs w:val="18"/>
              </w:rPr>
              <w:t>2018 Net Sales</w:t>
            </w:r>
          </w:p>
        </w:tc>
        <w:tc>
          <w:tcPr>
            <w:tcW w:w="740" w:type="dxa"/>
            <w:tcBorders>
              <w:bottom w:val="single" w:sz="8" w:space="0" w:color="CCEEFF"/>
            </w:tcBorders>
            <w:shd w:val="clear" w:color="auto" w:fill="CCEEFF"/>
            <w:vAlign w:val="bottom"/>
          </w:tcPr>
          <w:p w14:paraId="79ED79D7" w14:textId="77777777" w:rsidR="00D1587D" w:rsidRDefault="00410D07">
            <w:pPr>
              <w:ind w:right="32"/>
              <w:jc w:val="right"/>
              <w:rPr>
                <w:sz w:val="20"/>
                <w:szCs w:val="20"/>
              </w:rPr>
            </w:pPr>
            <w:r>
              <w:rPr>
                <w:rFonts w:ascii="Arial" w:eastAsia="Arial" w:hAnsi="Arial" w:cs="Arial"/>
                <w:b/>
                <w:bCs/>
                <w:sz w:val="18"/>
                <w:szCs w:val="18"/>
              </w:rPr>
              <w:t>$8,103</w:t>
            </w:r>
          </w:p>
        </w:tc>
      </w:tr>
      <w:tr w:rsidR="00D1587D" w14:paraId="16660A8B" w14:textId="77777777">
        <w:trPr>
          <w:trHeight w:val="270"/>
        </w:trPr>
        <w:tc>
          <w:tcPr>
            <w:tcW w:w="7680" w:type="dxa"/>
            <w:vAlign w:val="bottom"/>
          </w:tcPr>
          <w:p w14:paraId="046E4F29" w14:textId="77777777" w:rsidR="00D1587D" w:rsidRDefault="00410D07">
            <w:pPr>
              <w:ind w:left="180"/>
              <w:rPr>
                <w:sz w:val="20"/>
                <w:szCs w:val="20"/>
              </w:rPr>
            </w:pPr>
            <w:r>
              <w:rPr>
                <w:rFonts w:ascii="Arial" w:eastAsia="Arial" w:hAnsi="Arial" w:cs="Arial"/>
                <w:sz w:val="18"/>
                <w:szCs w:val="18"/>
              </w:rPr>
              <w:t>Comparable Store Sales</w:t>
            </w:r>
          </w:p>
        </w:tc>
        <w:tc>
          <w:tcPr>
            <w:tcW w:w="740" w:type="dxa"/>
            <w:vAlign w:val="bottom"/>
          </w:tcPr>
          <w:p w14:paraId="16DF7A5D" w14:textId="77777777" w:rsidR="00D1587D" w:rsidRDefault="00410D07">
            <w:pPr>
              <w:jc w:val="right"/>
              <w:rPr>
                <w:sz w:val="20"/>
                <w:szCs w:val="20"/>
              </w:rPr>
            </w:pPr>
            <w:r>
              <w:rPr>
                <w:rFonts w:ascii="Arial" w:eastAsia="Arial" w:hAnsi="Arial" w:cs="Arial"/>
                <w:sz w:val="18"/>
                <w:szCs w:val="18"/>
              </w:rPr>
              <w:t>(507)</w:t>
            </w:r>
          </w:p>
        </w:tc>
      </w:tr>
      <w:tr w:rsidR="00D1587D" w14:paraId="60A9577E" w14:textId="77777777">
        <w:trPr>
          <w:trHeight w:val="54"/>
        </w:trPr>
        <w:tc>
          <w:tcPr>
            <w:tcW w:w="7680" w:type="dxa"/>
            <w:vAlign w:val="bottom"/>
          </w:tcPr>
          <w:p w14:paraId="63AF3848" w14:textId="77777777" w:rsidR="00D1587D" w:rsidRDefault="00D1587D">
            <w:pPr>
              <w:rPr>
                <w:sz w:val="4"/>
                <w:szCs w:val="4"/>
              </w:rPr>
            </w:pPr>
          </w:p>
        </w:tc>
        <w:tc>
          <w:tcPr>
            <w:tcW w:w="740" w:type="dxa"/>
            <w:vAlign w:val="bottom"/>
          </w:tcPr>
          <w:p w14:paraId="540F0E6D" w14:textId="77777777" w:rsidR="00D1587D" w:rsidRDefault="00D1587D">
            <w:pPr>
              <w:rPr>
                <w:sz w:val="4"/>
                <w:szCs w:val="4"/>
              </w:rPr>
            </w:pPr>
          </w:p>
        </w:tc>
      </w:tr>
      <w:tr w:rsidR="00D1587D" w14:paraId="0DE297A8" w14:textId="77777777">
        <w:trPr>
          <w:trHeight w:val="304"/>
        </w:trPr>
        <w:tc>
          <w:tcPr>
            <w:tcW w:w="7680" w:type="dxa"/>
            <w:tcBorders>
              <w:bottom w:val="single" w:sz="8" w:space="0" w:color="CCEEFF"/>
            </w:tcBorders>
            <w:shd w:val="clear" w:color="auto" w:fill="CCEEFF"/>
            <w:vAlign w:val="bottom"/>
          </w:tcPr>
          <w:p w14:paraId="5B8E6C31" w14:textId="77777777" w:rsidR="00D1587D" w:rsidRDefault="00410D07">
            <w:pPr>
              <w:ind w:left="180"/>
              <w:rPr>
                <w:sz w:val="20"/>
                <w:szCs w:val="20"/>
              </w:rPr>
            </w:pPr>
            <w:r>
              <w:rPr>
                <w:rFonts w:ascii="Arial" w:eastAsia="Arial" w:hAnsi="Arial" w:cs="Arial"/>
                <w:sz w:val="18"/>
                <w:szCs w:val="18"/>
              </w:rPr>
              <w:t>Sales Associated with New, Closed and Non-comparable Remodeled Stores, Net</w:t>
            </w:r>
          </w:p>
        </w:tc>
        <w:tc>
          <w:tcPr>
            <w:tcW w:w="740" w:type="dxa"/>
            <w:tcBorders>
              <w:bottom w:val="single" w:sz="8" w:space="0" w:color="CCEEFF"/>
            </w:tcBorders>
            <w:shd w:val="clear" w:color="auto" w:fill="CCEEFF"/>
            <w:vAlign w:val="bottom"/>
          </w:tcPr>
          <w:p w14:paraId="01D97177" w14:textId="77777777" w:rsidR="00D1587D" w:rsidRDefault="00410D07">
            <w:pPr>
              <w:jc w:val="right"/>
              <w:rPr>
                <w:sz w:val="20"/>
                <w:szCs w:val="20"/>
              </w:rPr>
            </w:pPr>
            <w:r>
              <w:rPr>
                <w:rFonts w:ascii="Arial" w:eastAsia="Arial" w:hAnsi="Arial" w:cs="Arial"/>
                <w:sz w:val="18"/>
                <w:szCs w:val="18"/>
              </w:rPr>
              <w:t>(4)</w:t>
            </w:r>
          </w:p>
        </w:tc>
      </w:tr>
      <w:tr w:rsidR="00D1587D" w14:paraId="59F12DB4" w14:textId="77777777">
        <w:trPr>
          <w:trHeight w:val="270"/>
        </w:trPr>
        <w:tc>
          <w:tcPr>
            <w:tcW w:w="7680" w:type="dxa"/>
            <w:vAlign w:val="bottom"/>
          </w:tcPr>
          <w:p w14:paraId="48E0CF11" w14:textId="77777777" w:rsidR="00D1587D" w:rsidRDefault="00410D07">
            <w:pPr>
              <w:ind w:left="180"/>
              <w:rPr>
                <w:sz w:val="20"/>
                <w:szCs w:val="20"/>
              </w:rPr>
            </w:pPr>
            <w:r>
              <w:rPr>
                <w:rFonts w:ascii="Arial" w:eastAsia="Arial" w:hAnsi="Arial" w:cs="Arial"/>
                <w:sz w:val="18"/>
                <w:szCs w:val="18"/>
              </w:rPr>
              <w:t>Direct Channels</w:t>
            </w:r>
          </w:p>
        </w:tc>
        <w:tc>
          <w:tcPr>
            <w:tcW w:w="740" w:type="dxa"/>
            <w:vAlign w:val="bottom"/>
          </w:tcPr>
          <w:p w14:paraId="73749125" w14:textId="77777777" w:rsidR="00D1587D" w:rsidRDefault="00410D07">
            <w:pPr>
              <w:jc w:val="right"/>
              <w:rPr>
                <w:sz w:val="20"/>
                <w:szCs w:val="20"/>
              </w:rPr>
            </w:pPr>
            <w:r>
              <w:rPr>
                <w:rFonts w:ascii="Arial" w:eastAsia="Arial" w:hAnsi="Arial" w:cs="Arial"/>
                <w:sz w:val="18"/>
                <w:szCs w:val="18"/>
              </w:rPr>
              <w:t>(56)</w:t>
            </w:r>
          </w:p>
        </w:tc>
      </w:tr>
      <w:tr w:rsidR="00D1587D" w14:paraId="04E3EB1D" w14:textId="77777777">
        <w:trPr>
          <w:trHeight w:val="54"/>
        </w:trPr>
        <w:tc>
          <w:tcPr>
            <w:tcW w:w="7680" w:type="dxa"/>
            <w:vAlign w:val="bottom"/>
          </w:tcPr>
          <w:p w14:paraId="14733693" w14:textId="77777777" w:rsidR="00D1587D" w:rsidRDefault="00D1587D">
            <w:pPr>
              <w:rPr>
                <w:sz w:val="4"/>
                <w:szCs w:val="4"/>
              </w:rPr>
            </w:pPr>
          </w:p>
        </w:tc>
        <w:tc>
          <w:tcPr>
            <w:tcW w:w="740" w:type="dxa"/>
            <w:vAlign w:val="bottom"/>
          </w:tcPr>
          <w:p w14:paraId="23015343" w14:textId="77777777" w:rsidR="00D1587D" w:rsidRDefault="00D1587D">
            <w:pPr>
              <w:rPr>
                <w:sz w:val="4"/>
                <w:szCs w:val="4"/>
              </w:rPr>
            </w:pPr>
          </w:p>
        </w:tc>
      </w:tr>
      <w:tr w:rsidR="00D1587D" w14:paraId="72B14CB6" w14:textId="77777777">
        <w:trPr>
          <w:trHeight w:val="304"/>
        </w:trPr>
        <w:tc>
          <w:tcPr>
            <w:tcW w:w="7680" w:type="dxa"/>
            <w:tcBorders>
              <w:bottom w:val="single" w:sz="8" w:space="0" w:color="CCEEFF"/>
            </w:tcBorders>
            <w:shd w:val="clear" w:color="auto" w:fill="CCEEFF"/>
            <w:vAlign w:val="bottom"/>
          </w:tcPr>
          <w:p w14:paraId="36BF6CBC" w14:textId="77777777" w:rsidR="00D1587D" w:rsidRDefault="00410D07">
            <w:pPr>
              <w:ind w:left="180"/>
              <w:rPr>
                <w:sz w:val="20"/>
                <w:szCs w:val="20"/>
              </w:rPr>
            </w:pPr>
            <w:r>
              <w:rPr>
                <w:rFonts w:ascii="Arial" w:eastAsia="Arial" w:hAnsi="Arial" w:cs="Arial"/>
                <w:sz w:val="18"/>
                <w:szCs w:val="18"/>
              </w:rPr>
              <w:t xml:space="preserve">Private Label </w:t>
            </w:r>
            <w:r>
              <w:rPr>
                <w:rFonts w:ascii="Arial" w:eastAsia="Arial" w:hAnsi="Arial" w:cs="Arial"/>
                <w:sz w:val="18"/>
                <w:szCs w:val="18"/>
              </w:rPr>
              <w:t>Credit Card</w:t>
            </w:r>
          </w:p>
        </w:tc>
        <w:tc>
          <w:tcPr>
            <w:tcW w:w="740" w:type="dxa"/>
            <w:tcBorders>
              <w:bottom w:val="single" w:sz="8" w:space="0" w:color="CCEEFF"/>
            </w:tcBorders>
            <w:shd w:val="clear" w:color="auto" w:fill="CCEEFF"/>
            <w:vAlign w:val="bottom"/>
          </w:tcPr>
          <w:p w14:paraId="68BB40C9" w14:textId="77777777" w:rsidR="00D1587D" w:rsidRDefault="00410D07">
            <w:pPr>
              <w:ind w:right="32"/>
              <w:jc w:val="right"/>
              <w:rPr>
                <w:sz w:val="20"/>
                <w:szCs w:val="20"/>
              </w:rPr>
            </w:pPr>
            <w:r>
              <w:rPr>
                <w:rFonts w:ascii="Arial" w:eastAsia="Arial" w:hAnsi="Arial" w:cs="Arial"/>
                <w:sz w:val="18"/>
                <w:szCs w:val="18"/>
              </w:rPr>
              <w:t>6</w:t>
            </w:r>
          </w:p>
        </w:tc>
      </w:tr>
      <w:tr w:rsidR="00D1587D" w14:paraId="1F651D81" w14:textId="77777777">
        <w:trPr>
          <w:trHeight w:val="270"/>
        </w:trPr>
        <w:tc>
          <w:tcPr>
            <w:tcW w:w="7680" w:type="dxa"/>
            <w:vAlign w:val="bottom"/>
          </w:tcPr>
          <w:p w14:paraId="16D8DF53" w14:textId="77777777" w:rsidR="00D1587D" w:rsidRDefault="00410D07">
            <w:pPr>
              <w:ind w:left="180"/>
              <w:rPr>
                <w:sz w:val="20"/>
                <w:szCs w:val="20"/>
              </w:rPr>
            </w:pPr>
            <w:r>
              <w:rPr>
                <w:rFonts w:ascii="Arial" w:eastAsia="Arial" w:hAnsi="Arial" w:cs="Arial"/>
                <w:sz w:val="18"/>
                <w:szCs w:val="18"/>
              </w:rPr>
              <w:t>International Wholesale, Royalty and Other</w:t>
            </w:r>
          </w:p>
        </w:tc>
        <w:tc>
          <w:tcPr>
            <w:tcW w:w="740" w:type="dxa"/>
            <w:vAlign w:val="bottom"/>
          </w:tcPr>
          <w:p w14:paraId="18FC3AB6" w14:textId="77777777" w:rsidR="00D1587D" w:rsidRDefault="00410D07">
            <w:pPr>
              <w:jc w:val="right"/>
              <w:rPr>
                <w:sz w:val="20"/>
                <w:szCs w:val="20"/>
              </w:rPr>
            </w:pPr>
            <w:r>
              <w:rPr>
                <w:rFonts w:ascii="Arial" w:eastAsia="Arial" w:hAnsi="Arial" w:cs="Arial"/>
                <w:sz w:val="18"/>
                <w:szCs w:val="18"/>
              </w:rPr>
              <w:t>(18)</w:t>
            </w:r>
          </w:p>
        </w:tc>
      </w:tr>
      <w:tr w:rsidR="00D1587D" w14:paraId="26BC1608" w14:textId="77777777">
        <w:trPr>
          <w:trHeight w:val="54"/>
        </w:trPr>
        <w:tc>
          <w:tcPr>
            <w:tcW w:w="7680" w:type="dxa"/>
            <w:vAlign w:val="bottom"/>
          </w:tcPr>
          <w:p w14:paraId="052998FC" w14:textId="77777777" w:rsidR="00D1587D" w:rsidRDefault="00D1587D">
            <w:pPr>
              <w:rPr>
                <w:sz w:val="4"/>
                <w:szCs w:val="4"/>
              </w:rPr>
            </w:pPr>
          </w:p>
        </w:tc>
        <w:tc>
          <w:tcPr>
            <w:tcW w:w="740" w:type="dxa"/>
            <w:vAlign w:val="bottom"/>
          </w:tcPr>
          <w:p w14:paraId="27DEBB16" w14:textId="77777777" w:rsidR="00D1587D" w:rsidRDefault="00D1587D">
            <w:pPr>
              <w:rPr>
                <w:sz w:val="4"/>
                <w:szCs w:val="4"/>
              </w:rPr>
            </w:pPr>
          </w:p>
        </w:tc>
      </w:tr>
      <w:tr w:rsidR="00D1587D" w14:paraId="64740F01" w14:textId="77777777">
        <w:trPr>
          <w:trHeight w:val="270"/>
        </w:trPr>
        <w:tc>
          <w:tcPr>
            <w:tcW w:w="7680" w:type="dxa"/>
            <w:shd w:val="clear" w:color="auto" w:fill="CCEEFF"/>
            <w:vAlign w:val="bottom"/>
          </w:tcPr>
          <w:p w14:paraId="18A5FEFC" w14:textId="77777777" w:rsidR="00D1587D" w:rsidRDefault="00410D07">
            <w:pPr>
              <w:ind w:left="180"/>
              <w:rPr>
                <w:sz w:val="20"/>
                <w:szCs w:val="20"/>
              </w:rPr>
            </w:pPr>
            <w:r>
              <w:rPr>
                <w:rFonts w:ascii="Arial" w:eastAsia="Arial" w:hAnsi="Arial" w:cs="Arial"/>
                <w:sz w:val="18"/>
                <w:szCs w:val="18"/>
              </w:rPr>
              <w:t>Foreign Currency Translation</w:t>
            </w:r>
          </w:p>
        </w:tc>
        <w:tc>
          <w:tcPr>
            <w:tcW w:w="740" w:type="dxa"/>
            <w:shd w:val="clear" w:color="auto" w:fill="CCEEFF"/>
            <w:vAlign w:val="bottom"/>
          </w:tcPr>
          <w:p w14:paraId="3333C75D" w14:textId="77777777" w:rsidR="00D1587D" w:rsidRDefault="00410D07">
            <w:pPr>
              <w:jc w:val="right"/>
              <w:rPr>
                <w:sz w:val="20"/>
                <w:szCs w:val="20"/>
              </w:rPr>
            </w:pPr>
            <w:r>
              <w:rPr>
                <w:rFonts w:ascii="Arial" w:eastAsia="Arial" w:hAnsi="Arial" w:cs="Arial"/>
                <w:sz w:val="18"/>
                <w:szCs w:val="18"/>
              </w:rPr>
              <w:t>(15)</w:t>
            </w:r>
          </w:p>
        </w:tc>
      </w:tr>
      <w:tr w:rsidR="00D1587D" w14:paraId="05132386" w14:textId="77777777">
        <w:trPr>
          <w:trHeight w:val="68"/>
        </w:trPr>
        <w:tc>
          <w:tcPr>
            <w:tcW w:w="7680" w:type="dxa"/>
            <w:shd w:val="clear" w:color="auto" w:fill="CCEEFF"/>
            <w:vAlign w:val="bottom"/>
          </w:tcPr>
          <w:p w14:paraId="5370797F" w14:textId="77777777" w:rsidR="00D1587D" w:rsidRDefault="00D1587D">
            <w:pPr>
              <w:rPr>
                <w:sz w:val="5"/>
                <w:szCs w:val="5"/>
              </w:rPr>
            </w:pPr>
          </w:p>
        </w:tc>
        <w:tc>
          <w:tcPr>
            <w:tcW w:w="740" w:type="dxa"/>
            <w:tcBorders>
              <w:bottom w:val="single" w:sz="8" w:space="0" w:color="auto"/>
            </w:tcBorders>
            <w:shd w:val="clear" w:color="auto" w:fill="CCEEFF"/>
            <w:vAlign w:val="bottom"/>
          </w:tcPr>
          <w:p w14:paraId="1CF1D8B4" w14:textId="77777777" w:rsidR="00D1587D" w:rsidRDefault="00D1587D">
            <w:pPr>
              <w:rPr>
                <w:sz w:val="5"/>
                <w:szCs w:val="5"/>
              </w:rPr>
            </w:pPr>
          </w:p>
        </w:tc>
      </w:tr>
      <w:tr w:rsidR="00D1587D" w14:paraId="73F6C049" w14:textId="77777777">
        <w:trPr>
          <w:trHeight w:val="304"/>
        </w:trPr>
        <w:tc>
          <w:tcPr>
            <w:tcW w:w="7680" w:type="dxa"/>
            <w:vAlign w:val="bottom"/>
          </w:tcPr>
          <w:p w14:paraId="4A466CA6" w14:textId="77777777" w:rsidR="00D1587D" w:rsidRDefault="00410D07">
            <w:pPr>
              <w:rPr>
                <w:sz w:val="20"/>
                <w:szCs w:val="20"/>
              </w:rPr>
            </w:pPr>
            <w:r>
              <w:rPr>
                <w:rFonts w:ascii="Arial" w:eastAsia="Arial" w:hAnsi="Arial" w:cs="Arial"/>
                <w:b/>
                <w:bCs/>
                <w:sz w:val="18"/>
                <w:szCs w:val="18"/>
              </w:rPr>
              <w:t>2019 Net Sales</w:t>
            </w:r>
          </w:p>
        </w:tc>
        <w:tc>
          <w:tcPr>
            <w:tcW w:w="740" w:type="dxa"/>
            <w:vAlign w:val="bottom"/>
          </w:tcPr>
          <w:p w14:paraId="0AC2F326" w14:textId="77777777" w:rsidR="00D1587D" w:rsidRDefault="00410D07">
            <w:pPr>
              <w:ind w:right="32"/>
              <w:jc w:val="right"/>
              <w:rPr>
                <w:sz w:val="20"/>
                <w:szCs w:val="20"/>
              </w:rPr>
            </w:pPr>
            <w:r>
              <w:rPr>
                <w:rFonts w:ascii="Arial" w:eastAsia="Arial" w:hAnsi="Arial" w:cs="Arial"/>
                <w:b/>
                <w:bCs/>
                <w:sz w:val="18"/>
                <w:szCs w:val="18"/>
              </w:rPr>
              <w:t>$7,509</w:t>
            </w:r>
          </w:p>
        </w:tc>
      </w:tr>
      <w:tr w:rsidR="00D1587D" w14:paraId="20895F05" w14:textId="77777777">
        <w:trPr>
          <w:trHeight w:val="27"/>
        </w:trPr>
        <w:tc>
          <w:tcPr>
            <w:tcW w:w="7680" w:type="dxa"/>
            <w:vAlign w:val="bottom"/>
          </w:tcPr>
          <w:p w14:paraId="5C3B954C" w14:textId="77777777" w:rsidR="00D1587D" w:rsidRDefault="00D1587D">
            <w:pPr>
              <w:rPr>
                <w:sz w:val="2"/>
                <w:szCs w:val="2"/>
              </w:rPr>
            </w:pPr>
          </w:p>
        </w:tc>
        <w:tc>
          <w:tcPr>
            <w:tcW w:w="740" w:type="dxa"/>
            <w:tcBorders>
              <w:bottom w:val="single" w:sz="8" w:space="0" w:color="auto"/>
            </w:tcBorders>
            <w:vAlign w:val="bottom"/>
          </w:tcPr>
          <w:p w14:paraId="74DB6A49" w14:textId="77777777" w:rsidR="00D1587D" w:rsidRDefault="00D1587D">
            <w:pPr>
              <w:rPr>
                <w:sz w:val="2"/>
                <w:szCs w:val="2"/>
              </w:rPr>
            </w:pPr>
          </w:p>
        </w:tc>
      </w:tr>
      <w:tr w:rsidR="00D1587D" w14:paraId="31919BE3" w14:textId="77777777">
        <w:trPr>
          <w:trHeight w:val="21"/>
        </w:trPr>
        <w:tc>
          <w:tcPr>
            <w:tcW w:w="7680" w:type="dxa"/>
            <w:vAlign w:val="bottom"/>
          </w:tcPr>
          <w:p w14:paraId="510EF6E4" w14:textId="77777777" w:rsidR="00D1587D" w:rsidRDefault="00D1587D">
            <w:pPr>
              <w:spacing w:line="20" w:lineRule="exact"/>
              <w:rPr>
                <w:sz w:val="1"/>
                <w:szCs w:val="1"/>
              </w:rPr>
            </w:pPr>
          </w:p>
        </w:tc>
        <w:tc>
          <w:tcPr>
            <w:tcW w:w="740" w:type="dxa"/>
            <w:tcBorders>
              <w:bottom w:val="single" w:sz="8" w:space="0" w:color="auto"/>
            </w:tcBorders>
            <w:vAlign w:val="bottom"/>
          </w:tcPr>
          <w:p w14:paraId="46226BE2" w14:textId="77777777" w:rsidR="00D1587D" w:rsidRDefault="00D1587D">
            <w:pPr>
              <w:spacing w:line="20" w:lineRule="exact"/>
              <w:rPr>
                <w:sz w:val="1"/>
                <w:szCs w:val="1"/>
              </w:rPr>
            </w:pPr>
          </w:p>
        </w:tc>
      </w:tr>
    </w:tbl>
    <w:p w14:paraId="3A1624B0" w14:textId="77777777" w:rsidR="00D1587D" w:rsidRDefault="00410D07">
      <w:pPr>
        <w:spacing w:line="20" w:lineRule="exact"/>
        <w:rPr>
          <w:sz w:val="20"/>
          <w:szCs w:val="20"/>
        </w:rPr>
      </w:pPr>
      <w:r>
        <w:rPr>
          <w:noProof/>
          <w:sz w:val="20"/>
          <w:szCs w:val="20"/>
        </w:rPr>
        <w:drawing>
          <wp:anchor distT="0" distB="0" distL="114300" distR="114300" simplePos="0" relativeHeight="251747328" behindDoc="1" locked="0" layoutInCell="0" allowOverlap="1" wp14:anchorId="13E4541E" wp14:editId="397BC9C8">
            <wp:simplePos x="0" y="0"/>
            <wp:positionH relativeFrom="column">
              <wp:posOffset>5028565</wp:posOffset>
            </wp:positionH>
            <wp:positionV relativeFrom="paragraph">
              <wp:posOffset>-256540</wp:posOffset>
            </wp:positionV>
            <wp:extent cx="34290" cy="8255"/>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5"/>
                    <a:srcRect/>
                    <a:stretch>
                      <a:fillRect/>
                    </a:stretch>
                  </pic:blipFill>
                  <pic:spPr bwMode="auto">
                    <a:xfrm>
                      <a:off x="0" y="0"/>
                      <a:ext cx="34290" cy="8255"/>
                    </a:xfrm>
                    <a:prstGeom prst="rect">
                      <a:avLst/>
                    </a:prstGeom>
                    <a:noFill/>
                  </pic:spPr>
                </pic:pic>
              </a:graphicData>
            </a:graphic>
          </wp:anchor>
        </w:drawing>
      </w:r>
    </w:p>
    <w:p w14:paraId="7E8A49E0" w14:textId="77777777" w:rsidR="00D1587D" w:rsidRDefault="00D1587D">
      <w:pPr>
        <w:sectPr w:rsidR="00D1587D">
          <w:pgSz w:w="11900" w:h="16838"/>
          <w:pgMar w:top="265" w:right="1440" w:bottom="1440" w:left="1440" w:header="0" w:footer="0" w:gutter="0"/>
          <w:cols w:space="720" w:equalWidth="0">
            <w:col w:w="9019"/>
          </w:cols>
        </w:sectPr>
      </w:pPr>
    </w:p>
    <w:p w14:paraId="1A4123B1" w14:textId="77777777" w:rsidR="00D1587D" w:rsidRDefault="00D1587D">
      <w:pPr>
        <w:spacing w:line="202" w:lineRule="exact"/>
        <w:rPr>
          <w:sz w:val="20"/>
          <w:szCs w:val="20"/>
        </w:rPr>
      </w:pPr>
    </w:p>
    <w:p w14:paraId="500306F4" w14:textId="77777777" w:rsidR="00D1587D" w:rsidRDefault="00410D07">
      <w:pPr>
        <w:jc w:val="center"/>
        <w:rPr>
          <w:sz w:val="20"/>
          <w:szCs w:val="20"/>
        </w:rPr>
      </w:pPr>
      <w:r>
        <w:rPr>
          <w:rFonts w:ascii="Arial" w:eastAsia="Arial" w:hAnsi="Arial" w:cs="Arial"/>
          <w:sz w:val="16"/>
          <w:szCs w:val="16"/>
        </w:rPr>
        <w:t>80</w:t>
      </w:r>
    </w:p>
    <w:p w14:paraId="1F2EADB0" w14:textId="77777777" w:rsidR="00D1587D" w:rsidRDefault="00410D07">
      <w:pPr>
        <w:spacing w:line="20" w:lineRule="exact"/>
        <w:rPr>
          <w:sz w:val="20"/>
          <w:szCs w:val="20"/>
        </w:rPr>
      </w:pPr>
      <w:r>
        <w:rPr>
          <w:noProof/>
          <w:sz w:val="20"/>
          <w:szCs w:val="20"/>
        </w:rPr>
        <w:drawing>
          <wp:anchor distT="0" distB="0" distL="114300" distR="114300" simplePos="0" relativeHeight="251748352" behindDoc="1" locked="0" layoutInCell="0" allowOverlap="1" wp14:anchorId="5CF8D10D" wp14:editId="5078BFEE">
            <wp:simplePos x="0" y="0"/>
            <wp:positionH relativeFrom="column">
              <wp:posOffset>-636905</wp:posOffset>
            </wp:positionH>
            <wp:positionV relativeFrom="paragraph">
              <wp:posOffset>140970</wp:posOffset>
            </wp:positionV>
            <wp:extent cx="6995160" cy="17145"/>
            <wp:effectExtent l="0" t="0" r="0" b="0"/>
            <wp:wrapNone/>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CC9F3C1"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38" w:name="page339"/>
    <w:bookmarkEnd w:id="338"/>
    <w:p w14:paraId="4A99238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FF3F762" w14:textId="77777777" w:rsidR="00D1587D" w:rsidRDefault="00D1587D">
      <w:pPr>
        <w:spacing w:line="131" w:lineRule="exact"/>
        <w:rPr>
          <w:sz w:val="20"/>
          <w:szCs w:val="20"/>
        </w:rPr>
      </w:pPr>
    </w:p>
    <w:p w14:paraId="7D665D8A" w14:textId="77777777" w:rsidR="00D1587D" w:rsidRDefault="00410D07">
      <w:pPr>
        <w:ind w:left="660"/>
        <w:rPr>
          <w:sz w:val="20"/>
          <w:szCs w:val="20"/>
        </w:rPr>
      </w:pPr>
      <w:r>
        <w:rPr>
          <w:rFonts w:ascii="Arial" w:eastAsia="Arial" w:hAnsi="Arial" w:cs="Arial"/>
          <w:sz w:val="18"/>
          <w:szCs w:val="18"/>
        </w:rPr>
        <w:t xml:space="preserve">The following table </w:t>
      </w:r>
      <w:r>
        <w:rPr>
          <w:rFonts w:ascii="Arial" w:eastAsia="Arial" w:hAnsi="Arial" w:cs="Arial"/>
          <w:sz w:val="18"/>
          <w:szCs w:val="18"/>
        </w:rPr>
        <w:t>compares comparable sales for 2019 to 2018:</w:t>
      </w:r>
    </w:p>
    <w:p w14:paraId="5B1F698C" w14:textId="77777777" w:rsidR="00D1587D" w:rsidRDefault="00D1587D">
      <w:pPr>
        <w:spacing w:line="19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400"/>
        <w:gridCol w:w="360"/>
        <w:gridCol w:w="280"/>
        <w:gridCol w:w="380"/>
      </w:tblGrid>
      <w:tr w:rsidR="00D1587D" w14:paraId="44B55835" w14:textId="77777777">
        <w:trPr>
          <w:trHeight w:val="186"/>
        </w:trPr>
        <w:tc>
          <w:tcPr>
            <w:tcW w:w="7400" w:type="dxa"/>
            <w:vAlign w:val="bottom"/>
          </w:tcPr>
          <w:p w14:paraId="5F2107C9" w14:textId="77777777" w:rsidR="00D1587D" w:rsidRDefault="00D1587D">
            <w:pPr>
              <w:rPr>
                <w:sz w:val="16"/>
                <w:szCs w:val="16"/>
              </w:rPr>
            </w:pPr>
          </w:p>
        </w:tc>
        <w:tc>
          <w:tcPr>
            <w:tcW w:w="360" w:type="dxa"/>
            <w:vAlign w:val="bottom"/>
          </w:tcPr>
          <w:p w14:paraId="11348164" w14:textId="77777777" w:rsidR="00D1587D" w:rsidRDefault="00410D07">
            <w:pPr>
              <w:jc w:val="center"/>
              <w:rPr>
                <w:sz w:val="20"/>
                <w:szCs w:val="20"/>
              </w:rPr>
            </w:pPr>
            <w:r>
              <w:rPr>
                <w:rFonts w:ascii="Arial" w:eastAsia="Arial" w:hAnsi="Arial" w:cs="Arial"/>
                <w:b/>
                <w:bCs/>
                <w:w w:val="89"/>
                <w:sz w:val="14"/>
                <w:szCs w:val="14"/>
              </w:rPr>
              <w:t>2019</w:t>
            </w:r>
          </w:p>
        </w:tc>
        <w:tc>
          <w:tcPr>
            <w:tcW w:w="280" w:type="dxa"/>
            <w:vAlign w:val="bottom"/>
          </w:tcPr>
          <w:p w14:paraId="265484DD" w14:textId="77777777" w:rsidR="00D1587D" w:rsidRDefault="00D1587D">
            <w:pPr>
              <w:rPr>
                <w:sz w:val="16"/>
                <w:szCs w:val="16"/>
              </w:rPr>
            </w:pPr>
          </w:p>
        </w:tc>
        <w:tc>
          <w:tcPr>
            <w:tcW w:w="380" w:type="dxa"/>
            <w:vAlign w:val="bottom"/>
          </w:tcPr>
          <w:p w14:paraId="1379DA38" w14:textId="77777777" w:rsidR="00D1587D" w:rsidRDefault="00410D07">
            <w:pPr>
              <w:jc w:val="center"/>
              <w:rPr>
                <w:sz w:val="20"/>
                <w:szCs w:val="20"/>
              </w:rPr>
            </w:pPr>
            <w:r>
              <w:rPr>
                <w:rFonts w:ascii="Arial" w:eastAsia="Arial" w:hAnsi="Arial" w:cs="Arial"/>
                <w:b/>
                <w:bCs/>
                <w:w w:val="96"/>
                <w:sz w:val="14"/>
                <w:szCs w:val="14"/>
              </w:rPr>
              <w:t>2018</w:t>
            </w:r>
          </w:p>
        </w:tc>
      </w:tr>
      <w:tr w:rsidR="00D1587D" w14:paraId="551C336C" w14:textId="77777777">
        <w:trPr>
          <w:trHeight w:val="53"/>
        </w:trPr>
        <w:tc>
          <w:tcPr>
            <w:tcW w:w="7400" w:type="dxa"/>
            <w:tcBorders>
              <w:bottom w:val="single" w:sz="8" w:space="0" w:color="CCEEFF"/>
            </w:tcBorders>
            <w:vAlign w:val="bottom"/>
          </w:tcPr>
          <w:p w14:paraId="7C05B621" w14:textId="77777777" w:rsidR="00D1587D" w:rsidRDefault="00D1587D">
            <w:pPr>
              <w:rPr>
                <w:sz w:val="4"/>
                <w:szCs w:val="4"/>
              </w:rPr>
            </w:pPr>
          </w:p>
        </w:tc>
        <w:tc>
          <w:tcPr>
            <w:tcW w:w="360" w:type="dxa"/>
            <w:tcBorders>
              <w:bottom w:val="single" w:sz="8" w:space="0" w:color="auto"/>
            </w:tcBorders>
            <w:vAlign w:val="bottom"/>
          </w:tcPr>
          <w:p w14:paraId="0228F7C5" w14:textId="77777777" w:rsidR="00D1587D" w:rsidRDefault="00D1587D">
            <w:pPr>
              <w:rPr>
                <w:sz w:val="4"/>
                <w:szCs w:val="4"/>
              </w:rPr>
            </w:pPr>
          </w:p>
        </w:tc>
        <w:tc>
          <w:tcPr>
            <w:tcW w:w="280" w:type="dxa"/>
            <w:tcBorders>
              <w:bottom w:val="single" w:sz="8" w:space="0" w:color="CCEEFF"/>
            </w:tcBorders>
            <w:vAlign w:val="bottom"/>
          </w:tcPr>
          <w:p w14:paraId="78B5E3B4" w14:textId="77777777" w:rsidR="00D1587D" w:rsidRDefault="00D1587D">
            <w:pPr>
              <w:rPr>
                <w:sz w:val="4"/>
                <w:szCs w:val="4"/>
              </w:rPr>
            </w:pPr>
          </w:p>
        </w:tc>
        <w:tc>
          <w:tcPr>
            <w:tcW w:w="380" w:type="dxa"/>
            <w:tcBorders>
              <w:bottom w:val="single" w:sz="8" w:space="0" w:color="auto"/>
            </w:tcBorders>
            <w:vAlign w:val="bottom"/>
          </w:tcPr>
          <w:p w14:paraId="74ED77DC" w14:textId="77777777" w:rsidR="00D1587D" w:rsidRDefault="00D1587D">
            <w:pPr>
              <w:rPr>
                <w:sz w:val="4"/>
                <w:szCs w:val="4"/>
              </w:rPr>
            </w:pPr>
          </w:p>
        </w:tc>
      </w:tr>
      <w:tr w:rsidR="00D1587D" w14:paraId="06BB9995" w14:textId="77777777">
        <w:trPr>
          <w:trHeight w:val="331"/>
        </w:trPr>
        <w:tc>
          <w:tcPr>
            <w:tcW w:w="7400" w:type="dxa"/>
            <w:shd w:val="clear" w:color="auto" w:fill="CCEEFF"/>
            <w:vAlign w:val="bottom"/>
          </w:tcPr>
          <w:p w14:paraId="35EDA3DB" w14:textId="77777777" w:rsidR="00D1587D" w:rsidRDefault="00410D07">
            <w:pPr>
              <w:spacing w:line="331" w:lineRule="exact"/>
              <w:rPr>
                <w:sz w:val="20"/>
                <w:szCs w:val="20"/>
              </w:rPr>
            </w:pPr>
            <w:r>
              <w:rPr>
                <w:rFonts w:ascii="Arial" w:eastAsia="Arial" w:hAnsi="Arial" w:cs="Arial"/>
                <w:sz w:val="18"/>
                <w:szCs w:val="18"/>
              </w:rPr>
              <w:t>Comparable Sales (Stores and Direct)</w:t>
            </w:r>
            <w:r>
              <w:rPr>
                <w:rFonts w:ascii="Arial" w:eastAsia="Arial" w:hAnsi="Arial" w:cs="Arial"/>
                <w:sz w:val="29"/>
                <w:szCs w:val="29"/>
                <w:vertAlign w:val="superscript"/>
              </w:rPr>
              <w:t>(a)</w:t>
            </w:r>
          </w:p>
        </w:tc>
        <w:tc>
          <w:tcPr>
            <w:tcW w:w="640" w:type="dxa"/>
            <w:gridSpan w:val="2"/>
            <w:shd w:val="clear" w:color="auto" w:fill="CCEEFF"/>
            <w:vAlign w:val="bottom"/>
          </w:tcPr>
          <w:p w14:paraId="78B3D86E" w14:textId="77777777" w:rsidR="00D1587D" w:rsidRDefault="00410D07">
            <w:pPr>
              <w:ind w:right="280"/>
              <w:jc w:val="center"/>
              <w:rPr>
                <w:sz w:val="20"/>
                <w:szCs w:val="20"/>
              </w:rPr>
            </w:pPr>
            <w:r>
              <w:rPr>
                <w:rFonts w:ascii="Arial" w:eastAsia="Arial" w:hAnsi="Arial" w:cs="Arial"/>
                <w:w w:val="94"/>
                <w:sz w:val="18"/>
                <w:szCs w:val="18"/>
              </w:rPr>
              <w:t>(8)%</w:t>
            </w:r>
          </w:p>
        </w:tc>
        <w:tc>
          <w:tcPr>
            <w:tcW w:w="380" w:type="dxa"/>
            <w:shd w:val="clear" w:color="auto" w:fill="CCEEFF"/>
            <w:vAlign w:val="bottom"/>
          </w:tcPr>
          <w:p w14:paraId="2682E5EE" w14:textId="77777777" w:rsidR="00D1587D" w:rsidRDefault="00410D07">
            <w:pPr>
              <w:jc w:val="center"/>
              <w:rPr>
                <w:sz w:val="20"/>
                <w:szCs w:val="20"/>
              </w:rPr>
            </w:pPr>
            <w:r>
              <w:rPr>
                <w:rFonts w:ascii="Arial" w:eastAsia="Arial" w:hAnsi="Arial" w:cs="Arial"/>
                <w:w w:val="94"/>
                <w:sz w:val="18"/>
                <w:szCs w:val="18"/>
              </w:rPr>
              <w:t>(2)%</w:t>
            </w:r>
          </w:p>
        </w:tc>
      </w:tr>
      <w:tr w:rsidR="00D1587D" w14:paraId="192E0709" w14:textId="77777777">
        <w:trPr>
          <w:trHeight w:val="420"/>
        </w:trPr>
        <w:tc>
          <w:tcPr>
            <w:tcW w:w="7400" w:type="dxa"/>
            <w:vAlign w:val="bottom"/>
          </w:tcPr>
          <w:p w14:paraId="65FF8C7E" w14:textId="77777777" w:rsidR="00D1587D" w:rsidRDefault="00410D07">
            <w:pPr>
              <w:rPr>
                <w:sz w:val="20"/>
                <w:szCs w:val="20"/>
              </w:rPr>
            </w:pPr>
            <w:r>
              <w:rPr>
                <w:rFonts w:ascii="Arial" w:eastAsia="Arial" w:hAnsi="Arial" w:cs="Arial"/>
                <w:sz w:val="18"/>
                <w:szCs w:val="18"/>
              </w:rPr>
              <w:t>Comparable Store Sales</w:t>
            </w:r>
            <w:r>
              <w:rPr>
                <w:rFonts w:ascii="Arial" w:eastAsia="Arial" w:hAnsi="Arial" w:cs="Arial"/>
                <w:sz w:val="29"/>
                <w:szCs w:val="29"/>
                <w:vertAlign w:val="superscript"/>
              </w:rPr>
              <w:t>(a)</w:t>
            </w:r>
          </w:p>
        </w:tc>
        <w:tc>
          <w:tcPr>
            <w:tcW w:w="640" w:type="dxa"/>
            <w:gridSpan w:val="2"/>
            <w:vAlign w:val="bottom"/>
          </w:tcPr>
          <w:p w14:paraId="17BDB3CA" w14:textId="77777777" w:rsidR="00D1587D" w:rsidRDefault="00410D07">
            <w:pPr>
              <w:ind w:right="280"/>
              <w:jc w:val="center"/>
              <w:rPr>
                <w:sz w:val="20"/>
                <w:szCs w:val="20"/>
              </w:rPr>
            </w:pPr>
            <w:r>
              <w:rPr>
                <w:rFonts w:ascii="Arial" w:eastAsia="Arial" w:hAnsi="Arial" w:cs="Arial"/>
                <w:w w:val="94"/>
                <w:sz w:val="18"/>
                <w:szCs w:val="18"/>
              </w:rPr>
              <w:t>(9)%</w:t>
            </w:r>
          </w:p>
        </w:tc>
        <w:tc>
          <w:tcPr>
            <w:tcW w:w="380" w:type="dxa"/>
            <w:vAlign w:val="bottom"/>
          </w:tcPr>
          <w:p w14:paraId="63A70314" w14:textId="77777777" w:rsidR="00D1587D" w:rsidRDefault="00410D07">
            <w:pPr>
              <w:jc w:val="center"/>
              <w:rPr>
                <w:sz w:val="20"/>
                <w:szCs w:val="20"/>
              </w:rPr>
            </w:pPr>
            <w:r>
              <w:rPr>
                <w:rFonts w:ascii="Arial" w:eastAsia="Arial" w:hAnsi="Arial" w:cs="Arial"/>
                <w:w w:val="94"/>
                <w:sz w:val="18"/>
                <w:szCs w:val="18"/>
              </w:rPr>
              <w:t>(6)%</w:t>
            </w:r>
          </w:p>
        </w:tc>
      </w:tr>
    </w:tbl>
    <w:p w14:paraId="15D0A5E9" w14:textId="77777777" w:rsidR="00D1587D" w:rsidRDefault="00410D07">
      <w:pPr>
        <w:spacing w:line="20" w:lineRule="exact"/>
        <w:rPr>
          <w:sz w:val="20"/>
          <w:szCs w:val="20"/>
        </w:rPr>
      </w:pPr>
      <w:r>
        <w:rPr>
          <w:noProof/>
          <w:sz w:val="20"/>
          <w:szCs w:val="20"/>
        </w:rPr>
        <w:drawing>
          <wp:anchor distT="0" distB="0" distL="114300" distR="114300" simplePos="0" relativeHeight="251749376" behindDoc="1" locked="0" layoutInCell="0" allowOverlap="1" wp14:anchorId="4367EFFE" wp14:editId="056EB7A6">
            <wp:simplePos x="0" y="0"/>
            <wp:positionH relativeFrom="column">
              <wp:posOffset>5123180</wp:posOffset>
            </wp:positionH>
            <wp:positionV relativeFrom="paragraph">
              <wp:posOffset>-488950</wp:posOffset>
            </wp:positionV>
            <wp:extent cx="171450" cy="8255"/>
            <wp:effectExtent l="0" t="0" r="0" b="0"/>
            <wp:wrapNone/>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60"/>
                    <a:srcRect/>
                    <a:stretch>
                      <a:fillRect/>
                    </a:stretch>
                  </pic:blipFill>
                  <pic:spPr bwMode="auto">
                    <a:xfrm>
                      <a:off x="0" y="0"/>
                      <a:ext cx="171450" cy="8255"/>
                    </a:xfrm>
                    <a:prstGeom prst="rect">
                      <a:avLst/>
                    </a:prstGeom>
                    <a:noFill/>
                  </pic:spPr>
                </pic:pic>
              </a:graphicData>
            </a:graphic>
          </wp:anchor>
        </w:drawing>
      </w:r>
      <w:r>
        <w:rPr>
          <w:noProof/>
          <w:sz w:val="20"/>
          <w:szCs w:val="20"/>
        </w:rPr>
        <w:drawing>
          <wp:anchor distT="0" distB="0" distL="114300" distR="114300" simplePos="0" relativeHeight="251750400" behindDoc="1" locked="0" layoutInCell="0" allowOverlap="1" wp14:anchorId="0387FCA7" wp14:editId="12F43FA1">
            <wp:simplePos x="0" y="0"/>
            <wp:positionH relativeFrom="column">
              <wp:posOffset>4805680</wp:posOffset>
            </wp:positionH>
            <wp:positionV relativeFrom="paragraph">
              <wp:posOffset>-488950</wp:posOffset>
            </wp:positionV>
            <wp:extent cx="85725" cy="8255"/>
            <wp:effectExtent l="0" t="0" r="0" b="0"/>
            <wp:wrapNone/>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751424" behindDoc="1" locked="0" layoutInCell="0" allowOverlap="1" wp14:anchorId="3F39B65D" wp14:editId="2415F470">
            <wp:simplePos x="0" y="0"/>
            <wp:positionH relativeFrom="column">
              <wp:posOffset>185420</wp:posOffset>
            </wp:positionH>
            <wp:positionV relativeFrom="paragraph">
              <wp:posOffset>93345</wp:posOffset>
            </wp:positionV>
            <wp:extent cx="822960" cy="8890"/>
            <wp:effectExtent l="0" t="0" r="0" b="0"/>
            <wp:wrapNone/>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0079939F" w14:textId="77777777" w:rsidR="00D1587D" w:rsidRDefault="00D1587D">
      <w:pPr>
        <w:spacing w:line="176" w:lineRule="exact"/>
        <w:rPr>
          <w:sz w:val="20"/>
          <w:szCs w:val="20"/>
        </w:rPr>
      </w:pPr>
    </w:p>
    <w:p w14:paraId="5320E22C" w14:textId="77777777" w:rsidR="00D1587D" w:rsidRDefault="00410D07" w:rsidP="00410D07">
      <w:pPr>
        <w:numPr>
          <w:ilvl w:val="0"/>
          <w:numId w:val="295"/>
        </w:numPr>
        <w:tabs>
          <w:tab w:val="left" w:pos="640"/>
        </w:tabs>
        <w:spacing w:line="247" w:lineRule="auto"/>
        <w:ind w:left="640" w:right="439" w:hanging="348"/>
        <w:rPr>
          <w:rFonts w:ascii="Arial" w:eastAsia="Arial" w:hAnsi="Arial" w:cs="Arial"/>
          <w:sz w:val="13"/>
          <w:szCs w:val="13"/>
        </w:rPr>
      </w:pPr>
      <w:r>
        <w:rPr>
          <w:rFonts w:ascii="Arial" w:eastAsia="Arial" w:hAnsi="Arial" w:cs="Arial"/>
          <w:sz w:val="13"/>
          <w:szCs w:val="13"/>
        </w:rPr>
        <w:t xml:space="preserve">The percentage change in comparable sales represents direct and comparable store sales. The </w:t>
      </w:r>
      <w:r>
        <w:rPr>
          <w:rFonts w:ascii="Arial" w:eastAsia="Arial" w:hAnsi="Arial" w:cs="Arial"/>
          <w:sz w:val="13"/>
          <w:szCs w:val="13"/>
        </w:rPr>
        <w:t>percentage change in comparable store sales represents the change in sales at comparable stores only and excludes the change in sales from our direct channel. The change in comparable sales provides an indication of period over period growth (decline). A s</w:t>
      </w:r>
      <w:r>
        <w:rPr>
          <w:rFonts w:ascii="Arial" w:eastAsia="Arial" w:hAnsi="Arial" w:cs="Arial"/>
          <w:sz w:val="13"/>
          <w:szCs w:val="13"/>
        </w:rPr>
        <w:t>tore is typically included in the calculation of comparable sales when it has been open 12 months or more and it has not had a change in selling square footage of 20% or more. Additionally, stores are excluded if total selling square footage in the mall ch</w:t>
      </w:r>
      <w:r>
        <w:rPr>
          <w:rFonts w:ascii="Arial" w:eastAsia="Arial" w:hAnsi="Arial" w:cs="Arial"/>
          <w:sz w:val="13"/>
          <w:szCs w:val="13"/>
        </w:rPr>
        <w:t>anges by 20% or more through the opening or closing of a second store. The percentage change in comparable sales is calculated on a comparable calendar period as opposed to a fiscal basis. Comparable sales attributable to our international stores are calcu</w:t>
      </w:r>
      <w:r>
        <w:rPr>
          <w:rFonts w:ascii="Arial" w:eastAsia="Arial" w:hAnsi="Arial" w:cs="Arial"/>
          <w:sz w:val="13"/>
          <w:szCs w:val="13"/>
        </w:rPr>
        <w:t>lated on a constant currency basis.</w:t>
      </w:r>
    </w:p>
    <w:p w14:paraId="2F91A0A8" w14:textId="77777777" w:rsidR="00D1587D" w:rsidRDefault="00D1587D">
      <w:pPr>
        <w:spacing w:line="75" w:lineRule="exact"/>
        <w:rPr>
          <w:sz w:val="20"/>
          <w:szCs w:val="20"/>
        </w:rPr>
      </w:pPr>
    </w:p>
    <w:p w14:paraId="00CD16D7" w14:textId="77777777" w:rsidR="00D1587D" w:rsidRDefault="00410D07">
      <w:pPr>
        <w:ind w:left="660"/>
        <w:rPr>
          <w:sz w:val="20"/>
          <w:szCs w:val="20"/>
        </w:rPr>
      </w:pPr>
      <w:r>
        <w:rPr>
          <w:rFonts w:ascii="Arial" w:eastAsia="Arial" w:hAnsi="Arial" w:cs="Arial"/>
          <w:sz w:val="17"/>
          <w:szCs w:val="17"/>
        </w:rPr>
        <w:t>In the stores channel, our North America net sales decreased $516 million compared to 2018, or 9%, to</w:t>
      </w:r>
    </w:p>
    <w:p w14:paraId="56F1E65C" w14:textId="77777777" w:rsidR="00D1587D" w:rsidRDefault="00D1587D">
      <w:pPr>
        <w:spacing w:line="35" w:lineRule="exact"/>
        <w:rPr>
          <w:sz w:val="20"/>
          <w:szCs w:val="20"/>
        </w:rPr>
      </w:pPr>
    </w:p>
    <w:p w14:paraId="191F305E" w14:textId="77777777" w:rsidR="00D1587D" w:rsidRDefault="00410D07">
      <w:pPr>
        <w:ind w:left="300"/>
        <w:rPr>
          <w:sz w:val="20"/>
          <w:szCs w:val="20"/>
        </w:rPr>
      </w:pPr>
      <w:r>
        <w:rPr>
          <w:rFonts w:ascii="Arial" w:eastAsia="Arial" w:hAnsi="Arial" w:cs="Arial"/>
          <w:sz w:val="16"/>
          <w:szCs w:val="16"/>
        </w:rPr>
        <w:t>$5.112 billion. The decrease in comparable store sales was driven by a decline in store traffic and average unit ret</w:t>
      </w:r>
      <w:r>
        <w:rPr>
          <w:rFonts w:ascii="Arial" w:eastAsia="Arial" w:hAnsi="Arial" w:cs="Arial"/>
          <w:sz w:val="16"/>
          <w:szCs w:val="16"/>
        </w:rPr>
        <w:t>ail,</w:t>
      </w:r>
    </w:p>
    <w:p w14:paraId="5C8F3607" w14:textId="77777777" w:rsidR="00D1587D" w:rsidRDefault="00D1587D">
      <w:pPr>
        <w:spacing w:line="32" w:lineRule="exact"/>
        <w:rPr>
          <w:sz w:val="20"/>
          <w:szCs w:val="20"/>
        </w:rPr>
      </w:pPr>
    </w:p>
    <w:p w14:paraId="7D188700" w14:textId="77777777" w:rsidR="00D1587D" w:rsidRDefault="00410D07">
      <w:pPr>
        <w:ind w:left="300"/>
        <w:rPr>
          <w:sz w:val="20"/>
          <w:szCs w:val="20"/>
        </w:rPr>
      </w:pPr>
      <w:r>
        <w:rPr>
          <w:rFonts w:ascii="Arial" w:eastAsia="Arial" w:hAnsi="Arial" w:cs="Arial"/>
          <w:sz w:val="16"/>
          <w:szCs w:val="16"/>
        </w:rPr>
        <w:t>partially offset by an increase in conversion. Net sales from our partner-operated stores outside of North America</w:t>
      </w:r>
    </w:p>
    <w:p w14:paraId="310010C0" w14:textId="77777777" w:rsidR="00D1587D" w:rsidRDefault="00D1587D">
      <w:pPr>
        <w:spacing w:line="32" w:lineRule="exact"/>
        <w:rPr>
          <w:sz w:val="20"/>
          <w:szCs w:val="20"/>
        </w:rPr>
      </w:pPr>
    </w:p>
    <w:p w14:paraId="6A8F5211" w14:textId="77777777" w:rsidR="00D1587D" w:rsidRDefault="00410D07">
      <w:pPr>
        <w:ind w:left="300"/>
        <w:rPr>
          <w:sz w:val="20"/>
          <w:szCs w:val="20"/>
        </w:rPr>
      </w:pPr>
      <w:r>
        <w:rPr>
          <w:rFonts w:ascii="Arial" w:eastAsia="Arial" w:hAnsi="Arial" w:cs="Arial"/>
          <w:sz w:val="16"/>
          <w:szCs w:val="16"/>
        </w:rPr>
        <w:t>decreased due to declines in the travel retail business and the negative impacts of foreign currency in Greater China,</w:t>
      </w:r>
    </w:p>
    <w:p w14:paraId="174C387C" w14:textId="77777777" w:rsidR="00D1587D" w:rsidRDefault="00D1587D">
      <w:pPr>
        <w:spacing w:line="32" w:lineRule="exact"/>
        <w:rPr>
          <w:sz w:val="20"/>
          <w:szCs w:val="20"/>
        </w:rPr>
      </w:pPr>
    </w:p>
    <w:p w14:paraId="621FAC82" w14:textId="77777777" w:rsidR="00D1587D" w:rsidRDefault="00410D07">
      <w:pPr>
        <w:ind w:left="300"/>
        <w:rPr>
          <w:sz w:val="20"/>
          <w:szCs w:val="20"/>
        </w:rPr>
      </w:pPr>
      <w:r>
        <w:rPr>
          <w:rFonts w:ascii="Arial" w:eastAsia="Arial" w:hAnsi="Arial" w:cs="Arial"/>
          <w:sz w:val="18"/>
          <w:szCs w:val="18"/>
        </w:rPr>
        <w:t>partially offset by the increase from new company-operated stores in Greater China.</w:t>
      </w:r>
    </w:p>
    <w:p w14:paraId="7429F1A8" w14:textId="77777777" w:rsidR="00D1587D" w:rsidRDefault="00D1587D">
      <w:pPr>
        <w:spacing w:line="103" w:lineRule="exact"/>
        <w:rPr>
          <w:sz w:val="20"/>
          <w:szCs w:val="20"/>
        </w:rPr>
      </w:pPr>
    </w:p>
    <w:p w14:paraId="0828B298" w14:textId="77777777" w:rsidR="00D1587D" w:rsidRDefault="00410D07">
      <w:pPr>
        <w:spacing w:line="277" w:lineRule="auto"/>
        <w:ind w:left="300" w:right="359" w:firstLine="360"/>
        <w:rPr>
          <w:sz w:val="20"/>
          <w:szCs w:val="20"/>
        </w:rPr>
      </w:pPr>
      <w:r>
        <w:rPr>
          <w:rFonts w:ascii="Arial" w:eastAsia="Arial" w:hAnsi="Arial" w:cs="Arial"/>
          <w:sz w:val="18"/>
          <w:szCs w:val="18"/>
        </w:rPr>
        <w:t>In the direct channel, net sales decreased $54 million compared to 2018, or 3%, to $1.693 billion. The decrease in direct sales was driven by a decrease in average unit re</w:t>
      </w:r>
      <w:r>
        <w:rPr>
          <w:rFonts w:ascii="Arial" w:eastAsia="Arial" w:hAnsi="Arial" w:cs="Arial"/>
          <w:sz w:val="18"/>
          <w:szCs w:val="18"/>
        </w:rPr>
        <w:t>tail and conversion.</w:t>
      </w:r>
    </w:p>
    <w:p w14:paraId="1C582EBD" w14:textId="77777777" w:rsidR="00D1587D" w:rsidRDefault="00D1587D">
      <w:pPr>
        <w:spacing w:line="62" w:lineRule="exact"/>
        <w:rPr>
          <w:sz w:val="20"/>
          <w:szCs w:val="20"/>
        </w:rPr>
      </w:pPr>
    </w:p>
    <w:p w14:paraId="7E05C101" w14:textId="77777777" w:rsidR="00D1587D" w:rsidRDefault="00410D07">
      <w:pPr>
        <w:spacing w:line="257" w:lineRule="auto"/>
        <w:ind w:left="300" w:right="339" w:firstLine="360"/>
        <w:rPr>
          <w:sz w:val="20"/>
          <w:szCs w:val="20"/>
        </w:rPr>
      </w:pPr>
      <w:r>
        <w:rPr>
          <w:rFonts w:ascii="Arial" w:eastAsia="Arial" w:hAnsi="Arial" w:cs="Arial"/>
          <w:sz w:val="18"/>
          <w:szCs w:val="18"/>
        </w:rPr>
        <w:t>For both channels, lingerie comparable sales decreased, primarily due to declines in bras and apparel, driven by weak merchandise performance. PINK comparable sales decreased, primarily driven by declines in apparel, principally in to</w:t>
      </w:r>
      <w:r>
        <w:rPr>
          <w:rFonts w:ascii="Arial" w:eastAsia="Arial" w:hAnsi="Arial" w:cs="Arial"/>
          <w:sz w:val="18"/>
          <w:szCs w:val="18"/>
        </w:rPr>
        <w:t>ps, due to weak merchandise performance and the exit of the swim business. Victoria’s Secret Beauty comparable sales increased, as growth in accessories and PINK Beauty were partially offset by a decline in the lip business.</w:t>
      </w:r>
    </w:p>
    <w:p w14:paraId="3DCA33FB" w14:textId="77777777" w:rsidR="00D1587D" w:rsidRDefault="00D1587D">
      <w:pPr>
        <w:spacing w:line="323" w:lineRule="exact"/>
        <w:rPr>
          <w:sz w:val="20"/>
          <w:szCs w:val="20"/>
        </w:rPr>
      </w:pPr>
    </w:p>
    <w:p w14:paraId="1138FE53" w14:textId="77777777" w:rsidR="00D1587D" w:rsidRDefault="00410D07">
      <w:pPr>
        <w:ind w:left="660"/>
        <w:rPr>
          <w:sz w:val="20"/>
          <w:szCs w:val="20"/>
        </w:rPr>
      </w:pPr>
      <w:r>
        <w:rPr>
          <w:rFonts w:ascii="Arial" w:eastAsia="Arial" w:hAnsi="Arial" w:cs="Arial"/>
          <w:i/>
          <w:iCs/>
          <w:sz w:val="18"/>
          <w:szCs w:val="18"/>
        </w:rPr>
        <w:t>Gross Profit</w:t>
      </w:r>
    </w:p>
    <w:p w14:paraId="52817D55" w14:textId="77777777" w:rsidR="00D1587D" w:rsidRDefault="00D1587D">
      <w:pPr>
        <w:spacing w:line="117" w:lineRule="exact"/>
        <w:rPr>
          <w:sz w:val="20"/>
          <w:szCs w:val="20"/>
        </w:rPr>
      </w:pPr>
    </w:p>
    <w:p w14:paraId="4CB21526" w14:textId="77777777" w:rsidR="00D1587D" w:rsidRDefault="00410D07">
      <w:pPr>
        <w:spacing w:line="259" w:lineRule="auto"/>
        <w:ind w:left="300" w:right="459" w:firstLine="360"/>
        <w:rPr>
          <w:sz w:val="20"/>
          <w:szCs w:val="20"/>
        </w:rPr>
      </w:pPr>
      <w:r>
        <w:rPr>
          <w:rFonts w:ascii="Arial" w:eastAsia="Arial" w:hAnsi="Arial" w:cs="Arial"/>
          <w:sz w:val="18"/>
          <w:szCs w:val="18"/>
        </w:rPr>
        <w:t xml:space="preserve">For 2019, our </w:t>
      </w:r>
      <w:r>
        <w:rPr>
          <w:rFonts w:ascii="Arial" w:eastAsia="Arial" w:hAnsi="Arial" w:cs="Arial"/>
          <w:sz w:val="18"/>
          <w:szCs w:val="18"/>
        </w:rPr>
        <w:t>gross profit decreased $626 million to $2.063 billion, and our gross profit rate (expressed as a percentage of net sales) decreased to 27.5% from 33.2%. The gross profit decrease was primarily driven by lower merchandise margin dollars related to the decre</w:t>
      </w:r>
      <w:r>
        <w:rPr>
          <w:rFonts w:ascii="Arial" w:eastAsia="Arial" w:hAnsi="Arial" w:cs="Arial"/>
          <w:sz w:val="18"/>
          <w:szCs w:val="18"/>
        </w:rPr>
        <w:t>ase in net sales and an increase in long-lived store asset impairment charges from $101 million in 2018 to $263 million in 2019.</w:t>
      </w:r>
    </w:p>
    <w:p w14:paraId="66E22287" w14:textId="77777777" w:rsidR="00D1587D" w:rsidRDefault="00D1587D">
      <w:pPr>
        <w:spacing w:line="79" w:lineRule="exact"/>
        <w:rPr>
          <w:sz w:val="20"/>
          <w:szCs w:val="20"/>
        </w:rPr>
      </w:pPr>
    </w:p>
    <w:p w14:paraId="0C537913" w14:textId="77777777" w:rsidR="00D1587D" w:rsidRDefault="00410D07">
      <w:pPr>
        <w:spacing w:line="263" w:lineRule="auto"/>
        <w:ind w:left="300" w:right="379" w:firstLine="360"/>
        <w:rPr>
          <w:sz w:val="20"/>
          <w:szCs w:val="20"/>
        </w:rPr>
      </w:pPr>
      <w:r>
        <w:rPr>
          <w:rFonts w:ascii="Arial" w:eastAsia="Arial" w:hAnsi="Arial" w:cs="Arial"/>
          <w:sz w:val="18"/>
          <w:szCs w:val="18"/>
        </w:rPr>
        <w:t>The gross profit rate decrease was driven by a decline in the merchandise margin rate due to increased promotions to drive tra</w:t>
      </w:r>
      <w:r>
        <w:rPr>
          <w:rFonts w:ascii="Arial" w:eastAsia="Arial" w:hAnsi="Arial" w:cs="Arial"/>
          <w:sz w:val="18"/>
          <w:szCs w:val="18"/>
        </w:rPr>
        <w:t>ffic and clear inventory, the increase in long-lived store asset impairment charges and buying and occupancy deleverage on lower net sales.</w:t>
      </w:r>
    </w:p>
    <w:p w14:paraId="7958942F" w14:textId="77777777" w:rsidR="00D1587D" w:rsidRDefault="00D1587D">
      <w:pPr>
        <w:spacing w:line="332" w:lineRule="exact"/>
        <w:rPr>
          <w:sz w:val="20"/>
          <w:szCs w:val="20"/>
        </w:rPr>
      </w:pPr>
    </w:p>
    <w:p w14:paraId="5639B773" w14:textId="77777777" w:rsidR="00D1587D" w:rsidRDefault="00410D07">
      <w:pPr>
        <w:ind w:left="660"/>
        <w:rPr>
          <w:sz w:val="20"/>
          <w:szCs w:val="20"/>
        </w:rPr>
      </w:pPr>
      <w:r>
        <w:rPr>
          <w:rFonts w:ascii="Arial" w:eastAsia="Arial" w:hAnsi="Arial" w:cs="Arial"/>
          <w:i/>
          <w:iCs/>
          <w:sz w:val="18"/>
          <w:szCs w:val="18"/>
        </w:rPr>
        <w:t>General, Administrative and Store Operating Expenses</w:t>
      </w:r>
    </w:p>
    <w:p w14:paraId="7F3F91A9" w14:textId="77777777" w:rsidR="00D1587D" w:rsidRDefault="00D1587D">
      <w:pPr>
        <w:spacing w:line="117" w:lineRule="exact"/>
        <w:rPr>
          <w:sz w:val="20"/>
          <w:szCs w:val="20"/>
        </w:rPr>
      </w:pPr>
    </w:p>
    <w:p w14:paraId="44C40D42" w14:textId="77777777" w:rsidR="00D1587D" w:rsidRDefault="00410D07">
      <w:pPr>
        <w:spacing w:line="308" w:lineRule="auto"/>
        <w:ind w:left="300" w:right="359" w:firstLine="360"/>
        <w:rPr>
          <w:sz w:val="20"/>
          <w:szCs w:val="20"/>
        </w:rPr>
      </w:pPr>
      <w:r>
        <w:rPr>
          <w:rFonts w:ascii="Arial" w:eastAsia="Arial" w:hAnsi="Arial" w:cs="Arial"/>
          <w:sz w:val="17"/>
          <w:szCs w:val="17"/>
        </w:rPr>
        <w:t xml:space="preserve">For 2019, our general, administrative and store </w:t>
      </w:r>
      <w:r>
        <w:rPr>
          <w:rFonts w:ascii="Arial" w:eastAsia="Arial" w:hAnsi="Arial" w:cs="Arial"/>
          <w:sz w:val="17"/>
          <w:szCs w:val="17"/>
        </w:rPr>
        <w:t>operating expenses decreased $54 million compared to 2018, or 2%, to $2.235 billion primarily due to the lower marketing and store selling expenses.</w:t>
      </w:r>
    </w:p>
    <w:p w14:paraId="303D8966" w14:textId="77777777" w:rsidR="00D1587D" w:rsidRDefault="00D1587D">
      <w:pPr>
        <w:spacing w:line="38" w:lineRule="exact"/>
        <w:rPr>
          <w:sz w:val="20"/>
          <w:szCs w:val="20"/>
        </w:rPr>
      </w:pPr>
    </w:p>
    <w:p w14:paraId="43CCE186" w14:textId="77777777" w:rsidR="00D1587D" w:rsidRDefault="00410D07">
      <w:pPr>
        <w:spacing w:line="287" w:lineRule="auto"/>
        <w:ind w:left="300" w:right="559" w:firstLine="360"/>
        <w:jc w:val="both"/>
        <w:rPr>
          <w:sz w:val="20"/>
          <w:szCs w:val="20"/>
        </w:rPr>
      </w:pPr>
      <w:r>
        <w:rPr>
          <w:rFonts w:ascii="Arial" w:eastAsia="Arial" w:hAnsi="Arial" w:cs="Arial"/>
          <w:sz w:val="16"/>
          <w:szCs w:val="16"/>
        </w:rPr>
        <w:t>For purposes of preparing the combined financial statements on a “carve-out” basis, the Company has been a</w:t>
      </w:r>
      <w:r>
        <w:rPr>
          <w:rFonts w:ascii="Arial" w:eastAsia="Arial" w:hAnsi="Arial" w:cs="Arial"/>
          <w:sz w:val="16"/>
          <w:szCs w:val="16"/>
        </w:rPr>
        <w:t>llocated a portion of LB’s total corporate expenses. These allocations are included in general, administrative and store operating expenses. Corporate allocated expenses decreased $8 million to $110 million in 2019 from</w:t>
      </w:r>
    </w:p>
    <w:p w14:paraId="25F4B8DC" w14:textId="77777777" w:rsidR="00D1587D" w:rsidRDefault="00D1587D">
      <w:pPr>
        <w:spacing w:line="2" w:lineRule="exact"/>
        <w:rPr>
          <w:sz w:val="20"/>
          <w:szCs w:val="20"/>
        </w:rPr>
      </w:pPr>
    </w:p>
    <w:p w14:paraId="386487F8" w14:textId="77777777" w:rsidR="00D1587D" w:rsidRDefault="00410D07">
      <w:pPr>
        <w:ind w:left="300"/>
        <w:rPr>
          <w:sz w:val="20"/>
          <w:szCs w:val="20"/>
        </w:rPr>
      </w:pPr>
      <w:r>
        <w:rPr>
          <w:rFonts w:ascii="Arial" w:eastAsia="Arial" w:hAnsi="Arial" w:cs="Arial"/>
          <w:sz w:val="16"/>
          <w:szCs w:val="16"/>
        </w:rPr>
        <w:t>$118 million in 2018, driven by red</w:t>
      </w:r>
      <w:r>
        <w:rPr>
          <w:rFonts w:ascii="Arial" w:eastAsia="Arial" w:hAnsi="Arial" w:cs="Arial"/>
          <w:sz w:val="16"/>
          <w:szCs w:val="16"/>
        </w:rPr>
        <w:t>uctions in executive management and other corporate and governance functions.</w:t>
      </w:r>
    </w:p>
    <w:p w14:paraId="03C109D7" w14:textId="77777777" w:rsidR="00D1587D" w:rsidRDefault="00D1587D">
      <w:pPr>
        <w:spacing w:line="126" w:lineRule="exact"/>
        <w:rPr>
          <w:sz w:val="20"/>
          <w:szCs w:val="20"/>
        </w:rPr>
      </w:pPr>
    </w:p>
    <w:p w14:paraId="1FA3414B" w14:textId="77777777" w:rsidR="00D1587D" w:rsidRDefault="00410D07">
      <w:pPr>
        <w:spacing w:line="263" w:lineRule="auto"/>
        <w:ind w:left="300" w:right="559" w:firstLine="360"/>
        <w:rPr>
          <w:sz w:val="20"/>
          <w:szCs w:val="20"/>
        </w:rPr>
      </w:pPr>
      <w:r>
        <w:rPr>
          <w:rFonts w:ascii="Arial" w:eastAsia="Arial" w:hAnsi="Arial" w:cs="Arial"/>
          <w:sz w:val="18"/>
          <w:szCs w:val="18"/>
        </w:rPr>
        <w:t xml:space="preserve">The general, administrative and store operating expense rate (expressed as a percentage of net sales) in 2019 increased to 29.8% from 28.3% in 2018 as the declines in marketing </w:t>
      </w:r>
      <w:r>
        <w:rPr>
          <w:rFonts w:ascii="Arial" w:eastAsia="Arial" w:hAnsi="Arial" w:cs="Arial"/>
          <w:sz w:val="18"/>
          <w:szCs w:val="18"/>
        </w:rPr>
        <w:t>and store selling expenses were more than offset by deleverage on lower net sales.</w:t>
      </w:r>
    </w:p>
    <w:p w14:paraId="550C98F6" w14:textId="77777777" w:rsidR="00D1587D" w:rsidRDefault="00D1587D">
      <w:pPr>
        <w:spacing w:line="332" w:lineRule="exact"/>
        <w:rPr>
          <w:sz w:val="20"/>
          <w:szCs w:val="20"/>
        </w:rPr>
      </w:pPr>
    </w:p>
    <w:p w14:paraId="5F54F07A" w14:textId="77777777" w:rsidR="00D1587D" w:rsidRDefault="00410D07">
      <w:pPr>
        <w:ind w:left="660"/>
        <w:rPr>
          <w:sz w:val="20"/>
          <w:szCs w:val="20"/>
        </w:rPr>
      </w:pPr>
      <w:r>
        <w:rPr>
          <w:rFonts w:ascii="Arial" w:eastAsia="Arial" w:hAnsi="Arial" w:cs="Arial"/>
          <w:i/>
          <w:iCs/>
          <w:sz w:val="18"/>
          <w:szCs w:val="18"/>
        </w:rPr>
        <w:t>Impairment of Goodwill</w:t>
      </w:r>
    </w:p>
    <w:p w14:paraId="589A73BA" w14:textId="77777777" w:rsidR="00D1587D" w:rsidRDefault="00D1587D">
      <w:pPr>
        <w:spacing w:line="117" w:lineRule="exact"/>
        <w:rPr>
          <w:sz w:val="20"/>
          <w:szCs w:val="20"/>
        </w:rPr>
      </w:pPr>
    </w:p>
    <w:p w14:paraId="385686A1" w14:textId="77777777" w:rsidR="00D1587D" w:rsidRDefault="00410D07">
      <w:pPr>
        <w:spacing w:line="263" w:lineRule="auto"/>
        <w:ind w:left="300" w:right="499" w:firstLine="360"/>
        <w:jc w:val="both"/>
        <w:rPr>
          <w:sz w:val="20"/>
          <w:szCs w:val="20"/>
        </w:rPr>
      </w:pPr>
      <w:r>
        <w:rPr>
          <w:rFonts w:ascii="Arial" w:eastAsia="Arial" w:hAnsi="Arial" w:cs="Arial"/>
          <w:sz w:val="18"/>
          <w:szCs w:val="18"/>
        </w:rPr>
        <w:t>In 2019, our goodwill impairment assessments concluded that the carrying values of our North America and Greater China reporting units exceeded thei</w:t>
      </w:r>
      <w:r>
        <w:rPr>
          <w:rFonts w:ascii="Arial" w:eastAsia="Arial" w:hAnsi="Arial" w:cs="Arial"/>
          <w:sz w:val="18"/>
          <w:szCs w:val="18"/>
        </w:rPr>
        <w:t>r fair values. Accordingly, we recognized pre-tax goodwill impairment charges of $720 million.</w:t>
      </w:r>
    </w:p>
    <w:p w14:paraId="6A77A314" w14:textId="77777777" w:rsidR="00D1587D" w:rsidRDefault="00D1587D">
      <w:pPr>
        <w:spacing w:line="184" w:lineRule="exact"/>
        <w:rPr>
          <w:sz w:val="20"/>
          <w:szCs w:val="20"/>
        </w:rPr>
      </w:pPr>
    </w:p>
    <w:p w14:paraId="0AB8393E" w14:textId="77777777" w:rsidR="00D1587D" w:rsidRDefault="00410D07">
      <w:pPr>
        <w:jc w:val="center"/>
        <w:rPr>
          <w:sz w:val="20"/>
          <w:szCs w:val="20"/>
        </w:rPr>
      </w:pPr>
      <w:r>
        <w:rPr>
          <w:rFonts w:ascii="Arial" w:eastAsia="Arial" w:hAnsi="Arial" w:cs="Arial"/>
          <w:sz w:val="18"/>
          <w:szCs w:val="18"/>
        </w:rPr>
        <w:t>81</w:t>
      </w:r>
    </w:p>
    <w:p w14:paraId="5878C67B" w14:textId="77777777" w:rsidR="00D1587D" w:rsidRDefault="00410D07">
      <w:pPr>
        <w:spacing w:line="20" w:lineRule="exact"/>
        <w:rPr>
          <w:sz w:val="20"/>
          <w:szCs w:val="20"/>
        </w:rPr>
      </w:pPr>
      <w:r>
        <w:rPr>
          <w:noProof/>
          <w:sz w:val="20"/>
          <w:szCs w:val="20"/>
        </w:rPr>
        <w:drawing>
          <wp:anchor distT="0" distB="0" distL="114300" distR="114300" simplePos="0" relativeHeight="251752448" behindDoc="1" locked="0" layoutInCell="0" allowOverlap="1" wp14:anchorId="794F40AE" wp14:editId="707144CD">
            <wp:simplePos x="0" y="0"/>
            <wp:positionH relativeFrom="column">
              <wp:posOffset>-636905</wp:posOffset>
            </wp:positionH>
            <wp:positionV relativeFrom="paragraph">
              <wp:posOffset>126365</wp:posOffset>
            </wp:positionV>
            <wp:extent cx="6995160" cy="17145"/>
            <wp:effectExtent l="0" t="0" r="0" b="0"/>
            <wp:wrapNone/>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C63370C" w14:textId="77777777" w:rsidR="00D1587D" w:rsidRDefault="00D1587D">
      <w:pPr>
        <w:sectPr w:rsidR="00D1587D">
          <w:pgSz w:w="11900" w:h="16838"/>
          <w:pgMar w:top="265" w:right="1440" w:bottom="1440" w:left="1440" w:header="0" w:footer="0" w:gutter="0"/>
          <w:cols w:space="720" w:equalWidth="0">
            <w:col w:w="9019"/>
          </w:cols>
        </w:sectPr>
      </w:pPr>
    </w:p>
    <w:bookmarkStart w:id="339" w:name="page340"/>
    <w:bookmarkEnd w:id="339"/>
    <w:p w14:paraId="7543A37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EE22F52" w14:textId="77777777" w:rsidR="00D1587D" w:rsidRDefault="00D1587D">
      <w:pPr>
        <w:spacing w:line="131" w:lineRule="exact"/>
        <w:rPr>
          <w:sz w:val="20"/>
          <w:szCs w:val="20"/>
        </w:rPr>
      </w:pPr>
    </w:p>
    <w:p w14:paraId="063E2DA4" w14:textId="77777777" w:rsidR="00D1587D" w:rsidRDefault="00410D07">
      <w:pPr>
        <w:ind w:left="660"/>
        <w:rPr>
          <w:sz w:val="20"/>
          <w:szCs w:val="20"/>
        </w:rPr>
      </w:pPr>
      <w:r>
        <w:rPr>
          <w:rFonts w:ascii="Arial" w:eastAsia="Arial" w:hAnsi="Arial" w:cs="Arial"/>
          <w:i/>
          <w:iCs/>
          <w:sz w:val="18"/>
          <w:szCs w:val="18"/>
        </w:rPr>
        <w:t>Provision for Income Taxes</w:t>
      </w:r>
    </w:p>
    <w:p w14:paraId="1A699FAF" w14:textId="77777777" w:rsidR="00D1587D" w:rsidRDefault="00D1587D">
      <w:pPr>
        <w:spacing w:line="117" w:lineRule="exact"/>
        <w:rPr>
          <w:sz w:val="20"/>
          <w:szCs w:val="20"/>
        </w:rPr>
      </w:pPr>
    </w:p>
    <w:p w14:paraId="611FAB67" w14:textId="77777777" w:rsidR="00D1587D" w:rsidRDefault="00410D07">
      <w:pPr>
        <w:spacing w:line="279" w:lineRule="auto"/>
        <w:ind w:left="300" w:right="339" w:firstLine="360"/>
        <w:rPr>
          <w:sz w:val="20"/>
          <w:szCs w:val="20"/>
        </w:rPr>
      </w:pPr>
      <w:r>
        <w:rPr>
          <w:rFonts w:ascii="Arial" w:eastAsia="Arial" w:hAnsi="Arial" w:cs="Arial"/>
          <w:sz w:val="17"/>
          <w:szCs w:val="17"/>
        </w:rPr>
        <w:t xml:space="preserve">For 2019, our effective tax rate was 0.2% compared to </w:t>
      </w:r>
      <w:r>
        <w:rPr>
          <w:rFonts w:ascii="Arial" w:eastAsia="Arial" w:hAnsi="Arial" w:cs="Arial"/>
          <w:sz w:val="17"/>
          <w:szCs w:val="17"/>
        </w:rPr>
        <w:t>35.7% in 2018. The 2019 rate varied from our combined estimated federal and state statutory rate primarily due to the goodwill impairment charges, which generated minimal tax benefit. The 2018 rate was higher than our combined estimated federal and state s</w:t>
      </w:r>
      <w:r>
        <w:rPr>
          <w:rFonts w:ascii="Arial" w:eastAsia="Arial" w:hAnsi="Arial" w:cs="Arial"/>
          <w:sz w:val="17"/>
          <w:szCs w:val="17"/>
        </w:rPr>
        <w:t>tatutory rate primarily due to losses related to certain foreign subsidiaries, which generate no tax benefit.</w:t>
      </w:r>
    </w:p>
    <w:p w14:paraId="16FF7C6A" w14:textId="77777777" w:rsidR="00D1587D" w:rsidRDefault="00D1587D">
      <w:pPr>
        <w:spacing w:line="262" w:lineRule="exact"/>
        <w:rPr>
          <w:sz w:val="20"/>
          <w:szCs w:val="20"/>
        </w:rPr>
      </w:pPr>
    </w:p>
    <w:p w14:paraId="6254BADC" w14:textId="77777777" w:rsidR="00D1587D" w:rsidRDefault="00410D07">
      <w:pPr>
        <w:ind w:left="300"/>
        <w:rPr>
          <w:sz w:val="20"/>
          <w:szCs w:val="20"/>
        </w:rPr>
      </w:pPr>
      <w:r>
        <w:rPr>
          <w:rFonts w:ascii="Arial" w:eastAsia="Arial" w:hAnsi="Arial" w:cs="Arial"/>
          <w:b/>
          <w:bCs/>
          <w:sz w:val="18"/>
          <w:szCs w:val="18"/>
        </w:rPr>
        <w:t>Liquidity and Capital Resources</w:t>
      </w:r>
    </w:p>
    <w:p w14:paraId="67916748" w14:textId="77777777" w:rsidR="00D1587D" w:rsidRDefault="00D1587D">
      <w:pPr>
        <w:spacing w:line="121" w:lineRule="exact"/>
        <w:rPr>
          <w:sz w:val="20"/>
          <w:szCs w:val="20"/>
        </w:rPr>
      </w:pPr>
    </w:p>
    <w:p w14:paraId="50341B6F" w14:textId="77777777" w:rsidR="00D1587D" w:rsidRDefault="00410D07">
      <w:pPr>
        <w:spacing w:line="257" w:lineRule="auto"/>
        <w:ind w:left="300" w:right="339" w:firstLine="360"/>
        <w:rPr>
          <w:sz w:val="20"/>
          <w:szCs w:val="20"/>
        </w:rPr>
      </w:pPr>
      <w:r>
        <w:rPr>
          <w:rFonts w:ascii="Arial" w:eastAsia="Arial" w:hAnsi="Arial" w:cs="Arial"/>
          <w:sz w:val="18"/>
          <w:szCs w:val="18"/>
        </w:rPr>
        <w:t xml:space="preserve">Historically, we have generated annual cash flow from operating activities. However, we have operated </w:t>
      </w:r>
      <w:r>
        <w:rPr>
          <w:rFonts w:ascii="Arial" w:eastAsia="Arial" w:hAnsi="Arial" w:cs="Arial"/>
          <w:sz w:val="18"/>
          <w:szCs w:val="18"/>
        </w:rPr>
        <w:t>within LB’s cash management structure, which uses a centralized approach to cash management and financing of our operations. A substantial portion of our cash is transferred to LB. This arrangement is not reflective of the manner in which we would have fin</w:t>
      </w:r>
      <w:r>
        <w:rPr>
          <w:rFonts w:ascii="Arial" w:eastAsia="Arial" w:hAnsi="Arial" w:cs="Arial"/>
          <w:sz w:val="18"/>
          <w:szCs w:val="18"/>
        </w:rPr>
        <w:t>anced our operations had we been an independent, publicly traded company during the periods presented.</w:t>
      </w:r>
    </w:p>
    <w:p w14:paraId="7A0D48D6" w14:textId="77777777" w:rsidR="00D1587D" w:rsidRDefault="00D1587D">
      <w:pPr>
        <w:spacing w:line="80" w:lineRule="exact"/>
        <w:rPr>
          <w:sz w:val="20"/>
          <w:szCs w:val="20"/>
        </w:rPr>
      </w:pPr>
    </w:p>
    <w:p w14:paraId="6AB03FF0" w14:textId="77777777" w:rsidR="00D1587D" w:rsidRDefault="00410D07">
      <w:pPr>
        <w:spacing w:line="259" w:lineRule="auto"/>
        <w:ind w:left="300" w:right="559" w:firstLine="360"/>
        <w:rPr>
          <w:sz w:val="20"/>
          <w:szCs w:val="20"/>
        </w:rPr>
      </w:pPr>
      <w:r>
        <w:rPr>
          <w:rFonts w:ascii="Arial" w:eastAsia="Arial" w:hAnsi="Arial" w:cs="Arial"/>
          <w:sz w:val="18"/>
          <w:szCs w:val="18"/>
        </w:rPr>
        <w:t>The cash and cash equivalents held by LB at the corporate level are not specifically identifiable to us and, therefore, have not been reflected in the c</w:t>
      </w:r>
      <w:r>
        <w:rPr>
          <w:rFonts w:ascii="Arial" w:eastAsia="Arial" w:hAnsi="Arial" w:cs="Arial"/>
          <w:sz w:val="18"/>
          <w:szCs w:val="18"/>
        </w:rPr>
        <w:t>ombined balance sheets. LB’s third-party long-term debt and the related interest expense have not been allocated to VS for any of the periods presented as VS was not the legal obligor of such debt.</w:t>
      </w:r>
    </w:p>
    <w:p w14:paraId="0691C052" w14:textId="77777777" w:rsidR="00D1587D" w:rsidRDefault="00D1587D">
      <w:pPr>
        <w:spacing w:line="79" w:lineRule="exact"/>
        <w:rPr>
          <w:sz w:val="20"/>
          <w:szCs w:val="20"/>
        </w:rPr>
      </w:pPr>
    </w:p>
    <w:p w14:paraId="208BAD02" w14:textId="77777777" w:rsidR="00D1587D" w:rsidRDefault="00410D07">
      <w:pPr>
        <w:spacing w:line="269" w:lineRule="auto"/>
        <w:ind w:left="300" w:right="319" w:firstLine="360"/>
        <w:rPr>
          <w:sz w:val="20"/>
          <w:szCs w:val="20"/>
        </w:rPr>
      </w:pPr>
      <w:r>
        <w:rPr>
          <w:rFonts w:ascii="Arial" w:eastAsia="Arial" w:hAnsi="Arial" w:cs="Arial"/>
          <w:sz w:val="17"/>
          <w:szCs w:val="17"/>
        </w:rPr>
        <w:t xml:space="preserve">Following the Separation from LB, our capital </w:t>
      </w:r>
      <w:r>
        <w:rPr>
          <w:rFonts w:ascii="Arial" w:eastAsia="Arial" w:hAnsi="Arial" w:cs="Arial"/>
          <w:sz w:val="17"/>
          <w:szCs w:val="17"/>
        </w:rPr>
        <w:t>structure and sources of liquidity will change from the historical capital structure because we will no longer participate in LB’s centralized cash management program. Our ability to fund our operating needs will depend on our future ability to continue to</w:t>
      </w:r>
      <w:r>
        <w:rPr>
          <w:rFonts w:ascii="Arial" w:eastAsia="Arial" w:hAnsi="Arial" w:cs="Arial"/>
          <w:sz w:val="17"/>
          <w:szCs w:val="17"/>
        </w:rPr>
        <w:t xml:space="preserve"> generate positive cash flow from operations, and on our ability to obtain debt financing on acceptable terms. Based upon our history of generating positive cash flows, we believe we will be able to meet our short-term liquidity needs. Management believes </w:t>
      </w:r>
      <w:r>
        <w:rPr>
          <w:rFonts w:ascii="Arial" w:eastAsia="Arial" w:hAnsi="Arial" w:cs="Arial"/>
          <w:sz w:val="17"/>
          <w:szCs w:val="17"/>
        </w:rPr>
        <w:t>that our cash balances and funds provided by operating activities, along with expected borrowing capacity and access to capital markets, taken as a whole, provide (i) adequate liquidity to meet all of our current and long-term obligations when due, includi</w:t>
      </w:r>
      <w:r>
        <w:rPr>
          <w:rFonts w:ascii="Arial" w:eastAsia="Arial" w:hAnsi="Arial" w:cs="Arial"/>
          <w:sz w:val="17"/>
          <w:szCs w:val="17"/>
        </w:rPr>
        <w:t xml:space="preserve">ng third-party debt that we expect to incur in connection with the Separation, (ii) adequate liquidity to fund capital expenditures, and (iii) flexibility to meet investment opportunities that may arise. However, there can be no assurances that we will be </w:t>
      </w:r>
      <w:r>
        <w:rPr>
          <w:rFonts w:ascii="Arial" w:eastAsia="Arial" w:hAnsi="Arial" w:cs="Arial"/>
          <w:sz w:val="17"/>
          <w:szCs w:val="17"/>
        </w:rPr>
        <w:t>able to obtain additional debt or equity financing on acceptable terms in the future.</w:t>
      </w:r>
    </w:p>
    <w:p w14:paraId="2978E771" w14:textId="77777777" w:rsidR="00D1587D" w:rsidRDefault="00D1587D">
      <w:pPr>
        <w:spacing w:line="74" w:lineRule="exact"/>
        <w:rPr>
          <w:sz w:val="20"/>
          <w:szCs w:val="20"/>
        </w:rPr>
      </w:pPr>
    </w:p>
    <w:p w14:paraId="1E5398FE" w14:textId="77777777" w:rsidR="00D1587D" w:rsidRDefault="00410D07">
      <w:pPr>
        <w:spacing w:line="273" w:lineRule="auto"/>
        <w:ind w:left="300" w:right="539" w:firstLine="360"/>
        <w:rPr>
          <w:sz w:val="20"/>
          <w:szCs w:val="20"/>
        </w:rPr>
      </w:pPr>
      <w:r>
        <w:rPr>
          <w:rFonts w:ascii="Arial" w:eastAsia="Arial" w:hAnsi="Arial" w:cs="Arial"/>
          <w:sz w:val="17"/>
          <w:szCs w:val="17"/>
        </w:rPr>
        <w:t>In connection with the Separation, we expect to incur up to $1.0 billion of new debt from senior notes and/or term loan facilities, the proceeds of which we intend to us</w:t>
      </w:r>
      <w:r>
        <w:rPr>
          <w:rFonts w:ascii="Arial" w:eastAsia="Arial" w:hAnsi="Arial" w:cs="Arial"/>
          <w:sz w:val="17"/>
          <w:szCs w:val="17"/>
        </w:rPr>
        <w:t>e to make the LB Cash Payment and to pay related fees and expenses. We also expect to establish a $750 million asset-based revolving facility, which is expected to be undrawn at the Separation. The debt may also restrict our business and may adversely impa</w:t>
      </w:r>
      <w:r>
        <w:rPr>
          <w:rFonts w:ascii="Arial" w:eastAsia="Arial" w:hAnsi="Arial" w:cs="Arial"/>
          <w:sz w:val="17"/>
          <w:szCs w:val="17"/>
        </w:rPr>
        <w:t>ct our financial condition, results of operations or cash flows. In addition, the Separation may increase the overall cost of debt funding and decrease the overall debt capacity and commercial credit available to us.</w:t>
      </w:r>
    </w:p>
    <w:p w14:paraId="082111EF" w14:textId="77777777" w:rsidR="00D1587D" w:rsidRDefault="00D1587D">
      <w:pPr>
        <w:spacing w:line="70" w:lineRule="exact"/>
        <w:rPr>
          <w:sz w:val="20"/>
          <w:szCs w:val="20"/>
        </w:rPr>
      </w:pPr>
    </w:p>
    <w:p w14:paraId="77B9A023" w14:textId="77777777" w:rsidR="00D1587D" w:rsidRDefault="00410D07">
      <w:pPr>
        <w:spacing w:line="277" w:lineRule="auto"/>
        <w:ind w:left="300" w:right="779" w:firstLine="360"/>
        <w:rPr>
          <w:sz w:val="20"/>
          <w:szCs w:val="20"/>
        </w:rPr>
      </w:pPr>
      <w:r>
        <w:rPr>
          <w:rFonts w:ascii="Arial" w:eastAsia="Arial" w:hAnsi="Arial" w:cs="Arial"/>
          <w:sz w:val="18"/>
          <w:szCs w:val="18"/>
        </w:rPr>
        <w:t>We expect to utilize our cash flows to</w:t>
      </w:r>
      <w:r>
        <w:rPr>
          <w:rFonts w:ascii="Arial" w:eastAsia="Arial" w:hAnsi="Arial" w:cs="Arial"/>
          <w:sz w:val="18"/>
          <w:szCs w:val="18"/>
        </w:rPr>
        <w:t xml:space="preserve"> continue to invest in our brands, talent and capabilities, and growth strategies as well as to repay our indebtedness over time.</w:t>
      </w:r>
    </w:p>
    <w:p w14:paraId="27416643" w14:textId="77777777" w:rsidR="00D1587D" w:rsidRDefault="00D1587D">
      <w:pPr>
        <w:spacing w:line="103" w:lineRule="exact"/>
        <w:rPr>
          <w:sz w:val="20"/>
          <w:szCs w:val="20"/>
        </w:rPr>
      </w:pPr>
    </w:p>
    <w:p w14:paraId="12FCE272" w14:textId="77777777" w:rsidR="00D1587D" w:rsidRDefault="00410D07">
      <w:pPr>
        <w:ind w:left="660"/>
        <w:rPr>
          <w:sz w:val="20"/>
          <w:szCs w:val="20"/>
        </w:rPr>
      </w:pPr>
      <w:r>
        <w:rPr>
          <w:rFonts w:ascii="Arial" w:eastAsia="Arial" w:hAnsi="Arial" w:cs="Arial"/>
          <w:sz w:val="18"/>
          <w:szCs w:val="18"/>
        </w:rPr>
        <w:t>Our cash flows for the periods below were as follows:</w:t>
      </w:r>
    </w:p>
    <w:p w14:paraId="0A87FB8B" w14:textId="77777777" w:rsidR="00D1587D" w:rsidRDefault="00D1587D">
      <w:pPr>
        <w:spacing w:line="176"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500"/>
        <w:gridCol w:w="500"/>
        <w:gridCol w:w="160"/>
        <w:gridCol w:w="400"/>
        <w:gridCol w:w="120"/>
        <w:gridCol w:w="500"/>
        <w:gridCol w:w="740"/>
        <w:gridCol w:w="500"/>
      </w:tblGrid>
      <w:tr w:rsidR="00D1587D" w14:paraId="133F61D0" w14:textId="77777777">
        <w:trPr>
          <w:trHeight w:val="186"/>
        </w:trPr>
        <w:tc>
          <w:tcPr>
            <w:tcW w:w="5500" w:type="dxa"/>
            <w:vAlign w:val="bottom"/>
          </w:tcPr>
          <w:p w14:paraId="1DC9CBF4" w14:textId="77777777" w:rsidR="00D1587D" w:rsidRDefault="00D1587D">
            <w:pPr>
              <w:rPr>
                <w:sz w:val="16"/>
                <w:szCs w:val="16"/>
              </w:rPr>
            </w:pPr>
          </w:p>
        </w:tc>
        <w:tc>
          <w:tcPr>
            <w:tcW w:w="1060" w:type="dxa"/>
            <w:gridSpan w:val="3"/>
            <w:vAlign w:val="bottom"/>
          </w:tcPr>
          <w:p w14:paraId="61A21BEA" w14:textId="77777777" w:rsidR="00D1587D" w:rsidRDefault="00410D07">
            <w:pPr>
              <w:ind w:right="36"/>
              <w:jc w:val="right"/>
              <w:rPr>
                <w:sz w:val="20"/>
                <w:szCs w:val="20"/>
              </w:rPr>
            </w:pPr>
            <w:r>
              <w:rPr>
                <w:rFonts w:ascii="Arial" w:eastAsia="Arial" w:hAnsi="Arial" w:cs="Arial"/>
                <w:b/>
                <w:bCs/>
                <w:sz w:val="14"/>
                <w:szCs w:val="14"/>
              </w:rPr>
              <w:t>First Quarter</w:t>
            </w:r>
          </w:p>
        </w:tc>
        <w:tc>
          <w:tcPr>
            <w:tcW w:w="120" w:type="dxa"/>
            <w:vAlign w:val="bottom"/>
          </w:tcPr>
          <w:p w14:paraId="2315DCC4" w14:textId="77777777" w:rsidR="00D1587D" w:rsidRDefault="00D1587D">
            <w:pPr>
              <w:rPr>
                <w:sz w:val="16"/>
                <w:szCs w:val="16"/>
              </w:rPr>
            </w:pPr>
          </w:p>
        </w:tc>
        <w:tc>
          <w:tcPr>
            <w:tcW w:w="500" w:type="dxa"/>
            <w:vAlign w:val="bottom"/>
          </w:tcPr>
          <w:p w14:paraId="18C30F3E" w14:textId="77777777" w:rsidR="00D1587D" w:rsidRDefault="00D1587D">
            <w:pPr>
              <w:rPr>
                <w:sz w:val="16"/>
                <w:szCs w:val="16"/>
              </w:rPr>
            </w:pPr>
          </w:p>
        </w:tc>
        <w:tc>
          <w:tcPr>
            <w:tcW w:w="740" w:type="dxa"/>
            <w:vAlign w:val="bottom"/>
          </w:tcPr>
          <w:p w14:paraId="0E2C6E4E" w14:textId="77777777" w:rsidR="00D1587D" w:rsidRDefault="00410D07">
            <w:pPr>
              <w:jc w:val="center"/>
              <w:rPr>
                <w:sz w:val="20"/>
                <w:szCs w:val="20"/>
              </w:rPr>
            </w:pPr>
            <w:r>
              <w:rPr>
                <w:rFonts w:ascii="Arial" w:eastAsia="Arial" w:hAnsi="Arial" w:cs="Arial"/>
                <w:b/>
                <w:bCs/>
                <w:w w:val="91"/>
                <w:sz w:val="14"/>
                <w:szCs w:val="14"/>
              </w:rPr>
              <w:t>Fiscal Year</w:t>
            </w:r>
          </w:p>
        </w:tc>
        <w:tc>
          <w:tcPr>
            <w:tcW w:w="500" w:type="dxa"/>
            <w:vAlign w:val="bottom"/>
          </w:tcPr>
          <w:p w14:paraId="59906354" w14:textId="77777777" w:rsidR="00D1587D" w:rsidRDefault="00D1587D">
            <w:pPr>
              <w:rPr>
                <w:sz w:val="16"/>
                <w:szCs w:val="16"/>
              </w:rPr>
            </w:pPr>
          </w:p>
        </w:tc>
      </w:tr>
      <w:tr w:rsidR="00D1587D" w14:paraId="592FB59D" w14:textId="77777777">
        <w:trPr>
          <w:trHeight w:val="53"/>
        </w:trPr>
        <w:tc>
          <w:tcPr>
            <w:tcW w:w="5500" w:type="dxa"/>
            <w:vAlign w:val="bottom"/>
          </w:tcPr>
          <w:p w14:paraId="0198294E" w14:textId="77777777" w:rsidR="00D1587D" w:rsidRDefault="00D1587D">
            <w:pPr>
              <w:rPr>
                <w:sz w:val="4"/>
                <w:szCs w:val="4"/>
              </w:rPr>
            </w:pPr>
          </w:p>
        </w:tc>
        <w:tc>
          <w:tcPr>
            <w:tcW w:w="500" w:type="dxa"/>
            <w:tcBorders>
              <w:bottom w:val="single" w:sz="8" w:space="0" w:color="auto"/>
            </w:tcBorders>
            <w:vAlign w:val="bottom"/>
          </w:tcPr>
          <w:p w14:paraId="4575466A" w14:textId="77777777" w:rsidR="00D1587D" w:rsidRDefault="00D1587D">
            <w:pPr>
              <w:rPr>
                <w:sz w:val="4"/>
                <w:szCs w:val="4"/>
              </w:rPr>
            </w:pPr>
          </w:p>
        </w:tc>
        <w:tc>
          <w:tcPr>
            <w:tcW w:w="160" w:type="dxa"/>
            <w:tcBorders>
              <w:bottom w:val="single" w:sz="8" w:space="0" w:color="auto"/>
            </w:tcBorders>
            <w:vAlign w:val="bottom"/>
          </w:tcPr>
          <w:p w14:paraId="3F1B2960" w14:textId="77777777" w:rsidR="00D1587D" w:rsidRDefault="00D1587D">
            <w:pPr>
              <w:rPr>
                <w:sz w:val="4"/>
                <w:szCs w:val="4"/>
              </w:rPr>
            </w:pPr>
          </w:p>
        </w:tc>
        <w:tc>
          <w:tcPr>
            <w:tcW w:w="400" w:type="dxa"/>
            <w:tcBorders>
              <w:bottom w:val="single" w:sz="8" w:space="0" w:color="auto"/>
            </w:tcBorders>
            <w:vAlign w:val="bottom"/>
          </w:tcPr>
          <w:p w14:paraId="100F1727" w14:textId="77777777" w:rsidR="00D1587D" w:rsidRDefault="00D1587D">
            <w:pPr>
              <w:rPr>
                <w:sz w:val="4"/>
                <w:szCs w:val="4"/>
              </w:rPr>
            </w:pPr>
          </w:p>
        </w:tc>
        <w:tc>
          <w:tcPr>
            <w:tcW w:w="120" w:type="dxa"/>
            <w:vAlign w:val="bottom"/>
          </w:tcPr>
          <w:p w14:paraId="2DF7ED64" w14:textId="77777777" w:rsidR="00D1587D" w:rsidRDefault="00D1587D">
            <w:pPr>
              <w:rPr>
                <w:sz w:val="4"/>
                <w:szCs w:val="4"/>
              </w:rPr>
            </w:pPr>
          </w:p>
        </w:tc>
        <w:tc>
          <w:tcPr>
            <w:tcW w:w="500" w:type="dxa"/>
            <w:tcBorders>
              <w:bottom w:val="single" w:sz="8" w:space="0" w:color="auto"/>
            </w:tcBorders>
            <w:vAlign w:val="bottom"/>
          </w:tcPr>
          <w:p w14:paraId="1B5ACDFA" w14:textId="77777777" w:rsidR="00D1587D" w:rsidRDefault="00D1587D">
            <w:pPr>
              <w:rPr>
                <w:sz w:val="4"/>
                <w:szCs w:val="4"/>
              </w:rPr>
            </w:pPr>
          </w:p>
        </w:tc>
        <w:tc>
          <w:tcPr>
            <w:tcW w:w="740" w:type="dxa"/>
            <w:tcBorders>
              <w:bottom w:val="single" w:sz="8" w:space="0" w:color="auto"/>
            </w:tcBorders>
            <w:vAlign w:val="bottom"/>
          </w:tcPr>
          <w:p w14:paraId="059CAF97" w14:textId="77777777" w:rsidR="00D1587D" w:rsidRDefault="00D1587D">
            <w:pPr>
              <w:rPr>
                <w:sz w:val="4"/>
                <w:szCs w:val="4"/>
              </w:rPr>
            </w:pPr>
          </w:p>
        </w:tc>
        <w:tc>
          <w:tcPr>
            <w:tcW w:w="500" w:type="dxa"/>
            <w:tcBorders>
              <w:bottom w:val="single" w:sz="8" w:space="0" w:color="auto"/>
            </w:tcBorders>
            <w:vAlign w:val="bottom"/>
          </w:tcPr>
          <w:p w14:paraId="6708D712" w14:textId="77777777" w:rsidR="00D1587D" w:rsidRDefault="00D1587D">
            <w:pPr>
              <w:rPr>
                <w:sz w:val="4"/>
                <w:szCs w:val="4"/>
              </w:rPr>
            </w:pPr>
          </w:p>
        </w:tc>
      </w:tr>
      <w:tr w:rsidR="00D1587D" w14:paraId="3EE86E04" w14:textId="77777777">
        <w:trPr>
          <w:trHeight w:val="225"/>
        </w:trPr>
        <w:tc>
          <w:tcPr>
            <w:tcW w:w="5500" w:type="dxa"/>
            <w:vAlign w:val="bottom"/>
          </w:tcPr>
          <w:p w14:paraId="16572D57" w14:textId="77777777" w:rsidR="00D1587D" w:rsidRDefault="00D1587D">
            <w:pPr>
              <w:rPr>
                <w:sz w:val="19"/>
                <w:szCs w:val="19"/>
              </w:rPr>
            </w:pPr>
          </w:p>
        </w:tc>
        <w:tc>
          <w:tcPr>
            <w:tcW w:w="500" w:type="dxa"/>
            <w:vAlign w:val="bottom"/>
          </w:tcPr>
          <w:p w14:paraId="29732C43" w14:textId="77777777" w:rsidR="00D1587D" w:rsidRDefault="00410D07">
            <w:pPr>
              <w:ind w:right="57"/>
              <w:jc w:val="right"/>
              <w:rPr>
                <w:sz w:val="20"/>
                <w:szCs w:val="20"/>
              </w:rPr>
            </w:pPr>
            <w:r>
              <w:rPr>
                <w:rFonts w:ascii="Arial" w:eastAsia="Arial" w:hAnsi="Arial" w:cs="Arial"/>
                <w:b/>
                <w:bCs/>
                <w:sz w:val="14"/>
                <w:szCs w:val="14"/>
              </w:rPr>
              <w:t>2021</w:t>
            </w:r>
          </w:p>
        </w:tc>
        <w:tc>
          <w:tcPr>
            <w:tcW w:w="160" w:type="dxa"/>
            <w:vAlign w:val="bottom"/>
          </w:tcPr>
          <w:p w14:paraId="4275CF05" w14:textId="77777777" w:rsidR="00D1587D" w:rsidRDefault="00D1587D">
            <w:pPr>
              <w:rPr>
                <w:sz w:val="19"/>
                <w:szCs w:val="19"/>
              </w:rPr>
            </w:pPr>
          </w:p>
        </w:tc>
        <w:tc>
          <w:tcPr>
            <w:tcW w:w="400" w:type="dxa"/>
            <w:vAlign w:val="bottom"/>
          </w:tcPr>
          <w:p w14:paraId="3C93D400" w14:textId="77777777" w:rsidR="00D1587D" w:rsidRDefault="00410D07">
            <w:pPr>
              <w:ind w:right="16"/>
              <w:jc w:val="right"/>
              <w:rPr>
                <w:sz w:val="20"/>
                <w:szCs w:val="20"/>
              </w:rPr>
            </w:pPr>
            <w:r>
              <w:rPr>
                <w:rFonts w:ascii="Arial" w:eastAsia="Arial" w:hAnsi="Arial" w:cs="Arial"/>
                <w:b/>
                <w:bCs/>
                <w:w w:val="89"/>
                <w:sz w:val="14"/>
                <w:szCs w:val="14"/>
              </w:rPr>
              <w:t>2020</w:t>
            </w:r>
          </w:p>
        </w:tc>
        <w:tc>
          <w:tcPr>
            <w:tcW w:w="620" w:type="dxa"/>
            <w:gridSpan w:val="2"/>
            <w:vAlign w:val="bottom"/>
          </w:tcPr>
          <w:p w14:paraId="0E38CE08" w14:textId="77777777" w:rsidR="00D1587D" w:rsidRDefault="00410D07">
            <w:pPr>
              <w:ind w:right="100"/>
              <w:jc w:val="right"/>
              <w:rPr>
                <w:sz w:val="20"/>
                <w:szCs w:val="20"/>
              </w:rPr>
            </w:pPr>
            <w:r>
              <w:rPr>
                <w:rFonts w:ascii="Arial" w:eastAsia="Arial" w:hAnsi="Arial" w:cs="Arial"/>
                <w:b/>
                <w:bCs/>
                <w:sz w:val="14"/>
                <w:szCs w:val="14"/>
              </w:rPr>
              <w:t>2020</w:t>
            </w:r>
          </w:p>
        </w:tc>
        <w:tc>
          <w:tcPr>
            <w:tcW w:w="740" w:type="dxa"/>
            <w:vAlign w:val="bottom"/>
          </w:tcPr>
          <w:p w14:paraId="3444CE11" w14:textId="77777777" w:rsidR="00D1587D" w:rsidRDefault="00410D07">
            <w:pPr>
              <w:ind w:right="137"/>
              <w:jc w:val="right"/>
              <w:rPr>
                <w:sz w:val="20"/>
                <w:szCs w:val="20"/>
              </w:rPr>
            </w:pPr>
            <w:r>
              <w:rPr>
                <w:rFonts w:ascii="Arial" w:eastAsia="Arial" w:hAnsi="Arial" w:cs="Arial"/>
                <w:b/>
                <w:bCs/>
                <w:sz w:val="14"/>
                <w:szCs w:val="14"/>
              </w:rPr>
              <w:t>2019</w:t>
            </w:r>
          </w:p>
        </w:tc>
        <w:tc>
          <w:tcPr>
            <w:tcW w:w="500" w:type="dxa"/>
            <w:vAlign w:val="bottom"/>
          </w:tcPr>
          <w:p w14:paraId="4EA22EC0" w14:textId="77777777" w:rsidR="00D1587D" w:rsidRDefault="00410D07">
            <w:pPr>
              <w:ind w:right="15"/>
              <w:jc w:val="right"/>
              <w:rPr>
                <w:sz w:val="20"/>
                <w:szCs w:val="20"/>
              </w:rPr>
            </w:pPr>
            <w:r>
              <w:rPr>
                <w:rFonts w:ascii="Arial" w:eastAsia="Arial" w:hAnsi="Arial" w:cs="Arial"/>
                <w:b/>
                <w:bCs/>
                <w:sz w:val="14"/>
                <w:szCs w:val="14"/>
              </w:rPr>
              <w:t>2018</w:t>
            </w:r>
          </w:p>
        </w:tc>
      </w:tr>
      <w:tr w:rsidR="00D1587D" w14:paraId="6632BCC1" w14:textId="77777777">
        <w:trPr>
          <w:trHeight w:val="53"/>
        </w:trPr>
        <w:tc>
          <w:tcPr>
            <w:tcW w:w="5500" w:type="dxa"/>
            <w:vAlign w:val="bottom"/>
          </w:tcPr>
          <w:p w14:paraId="75D1695D" w14:textId="77777777" w:rsidR="00D1587D" w:rsidRDefault="00D1587D">
            <w:pPr>
              <w:rPr>
                <w:sz w:val="4"/>
                <w:szCs w:val="4"/>
              </w:rPr>
            </w:pPr>
          </w:p>
        </w:tc>
        <w:tc>
          <w:tcPr>
            <w:tcW w:w="500" w:type="dxa"/>
            <w:tcBorders>
              <w:bottom w:val="single" w:sz="8" w:space="0" w:color="auto"/>
            </w:tcBorders>
            <w:vAlign w:val="bottom"/>
          </w:tcPr>
          <w:p w14:paraId="7DC413C9" w14:textId="77777777" w:rsidR="00D1587D" w:rsidRDefault="00D1587D">
            <w:pPr>
              <w:rPr>
                <w:sz w:val="4"/>
                <w:szCs w:val="4"/>
              </w:rPr>
            </w:pPr>
          </w:p>
        </w:tc>
        <w:tc>
          <w:tcPr>
            <w:tcW w:w="160" w:type="dxa"/>
            <w:tcBorders>
              <w:bottom w:val="single" w:sz="8" w:space="0" w:color="auto"/>
            </w:tcBorders>
            <w:vAlign w:val="bottom"/>
          </w:tcPr>
          <w:p w14:paraId="663801B9" w14:textId="77777777" w:rsidR="00D1587D" w:rsidRDefault="00D1587D">
            <w:pPr>
              <w:rPr>
                <w:sz w:val="4"/>
                <w:szCs w:val="4"/>
              </w:rPr>
            </w:pPr>
          </w:p>
        </w:tc>
        <w:tc>
          <w:tcPr>
            <w:tcW w:w="400" w:type="dxa"/>
            <w:tcBorders>
              <w:bottom w:val="single" w:sz="8" w:space="0" w:color="auto"/>
            </w:tcBorders>
            <w:vAlign w:val="bottom"/>
          </w:tcPr>
          <w:p w14:paraId="0DA71237" w14:textId="77777777" w:rsidR="00D1587D" w:rsidRDefault="00D1587D">
            <w:pPr>
              <w:rPr>
                <w:sz w:val="4"/>
                <w:szCs w:val="4"/>
              </w:rPr>
            </w:pPr>
          </w:p>
        </w:tc>
        <w:tc>
          <w:tcPr>
            <w:tcW w:w="120" w:type="dxa"/>
            <w:tcBorders>
              <w:bottom w:val="single" w:sz="8" w:space="0" w:color="auto"/>
            </w:tcBorders>
            <w:vAlign w:val="bottom"/>
          </w:tcPr>
          <w:p w14:paraId="5D72930F" w14:textId="77777777" w:rsidR="00D1587D" w:rsidRDefault="00D1587D">
            <w:pPr>
              <w:rPr>
                <w:sz w:val="4"/>
                <w:szCs w:val="4"/>
              </w:rPr>
            </w:pPr>
          </w:p>
        </w:tc>
        <w:tc>
          <w:tcPr>
            <w:tcW w:w="1240" w:type="dxa"/>
            <w:gridSpan w:val="2"/>
            <w:tcBorders>
              <w:bottom w:val="single" w:sz="8" w:space="0" w:color="auto"/>
            </w:tcBorders>
            <w:vAlign w:val="bottom"/>
          </w:tcPr>
          <w:p w14:paraId="0F808071" w14:textId="77777777" w:rsidR="00D1587D" w:rsidRDefault="00D1587D">
            <w:pPr>
              <w:rPr>
                <w:sz w:val="4"/>
                <w:szCs w:val="4"/>
              </w:rPr>
            </w:pPr>
          </w:p>
        </w:tc>
        <w:tc>
          <w:tcPr>
            <w:tcW w:w="500" w:type="dxa"/>
            <w:tcBorders>
              <w:bottom w:val="single" w:sz="8" w:space="0" w:color="auto"/>
            </w:tcBorders>
            <w:vAlign w:val="bottom"/>
          </w:tcPr>
          <w:p w14:paraId="4FCC284C" w14:textId="77777777" w:rsidR="00D1587D" w:rsidRDefault="00D1587D">
            <w:pPr>
              <w:rPr>
                <w:sz w:val="4"/>
                <w:szCs w:val="4"/>
              </w:rPr>
            </w:pPr>
          </w:p>
        </w:tc>
      </w:tr>
      <w:tr w:rsidR="00D1587D" w14:paraId="086E81C3" w14:textId="77777777">
        <w:trPr>
          <w:trHeight w:val="225"/>
        </w:trPr>
        <w:tc>
          <w:tcPr>
            <w:tcW w:w="5500" w:type="dxa"/>
            <w:vAlign w:val="bottom"/>
          </w:tcPr>
          <w:p w14:paraId="43802D73" w14:textId="77777777" w:rsidR="00D1587D" w:rsidRDefault="00D1587D">
            <w:pPr>
              <w:rPr>
                <w:sz w:val="19"/>
                <w:szCs w:val="19"/>
              </w:rPr>
            </w:pPr>
          </w:p>
        </w:tc>
        <w:tc>
          <w:tcPr>
            <w:tcW w:w="500" w:type="dxa"/>
            <w:vAlign w:val="bottom"/>
          </w:tcPr>
          <w:p w14:paraId="275C7FDA" w14:textId="77777777" w:rsidR="00D1587D" w:rsidRDefault="00D1587D">
            <w:pPr>
              <w:rPr>
                <w:sz w:val="19"/>
                <w:szCs w:val="19"/>
              </w:rPr>
            </w:pPr>
          </w:p>
        </w:tc>
        <w:tc>
          <w:tcPr>
            <w:tcW w:w="160" w:type="dxa"/>
            <w:vAlign w:val="bottom"/>
          </w:tcPr>
          <w:p w14:paraId="22A19754" w14:textId="77777777" w:rsidR="00D1587D" w:rsidRDefault="00D1587D">
            <w:pPr>
              <w:rPr>
                <w:sz w:val="19"/>
                <w:szCs w:val="19"/>
              </w:rPr>
            </w:pPr>
          </w:p>
        </w:tc>
        <w:tc>
          <w:tcPr>
            <w:tcW w:w="400" w:type="dxa"/>
            <w:vAlign w:val="bottom"/>
          </w:tcPr>
          <w:p w14:paraId="2C372FC8" w14:textId="77777777" w:rsidR="00D1587D" w:rsidRDefault="00D1587D">
            <w:pPr>
              <w:rPr>
                <w:sz w:val="19"/>
                <w:szCs w:val="19"/>
              </w:rPr>
            </w:pPr>
          </w:p>
        </w:tc>
        <w:tc>
          <w:tcPr>
            <w:tcW w:w="1360" w:type="dxa"/>
            <w:gridSpan w:val="3"/>
            <w:vAlign w:val="bottom"/>
          </w:tcPr>
          <w:p w14:paraId="5C30E352" w14:textId="77777777" w:rsidR="00D1587D" w:rsidRDefault="00410D07">
            <w:pPr>
              <w:ind w:left="20"/>
              <w:rPr>
                <w:sz w:val="20"/>
                <w:szCs w:val="20"/>
              </w:rPr>
            </w:pPr>
            <w:r>
              <w:rPr>
                <w:rFonts w:ascii="Arial" w:eastAsia="Arial" w:hAnsi="Arial" w:cs="Arial"/>
                <w:b/>
                <w:bCs/>
                <w:sz w:val="14"/>
                <w:szCs w:val="14"/>
              </w:rPr>
              <w:t>(in millions)</w:t>
            </w:r>
          </w:p>
        </w:tc>
        <w:tc>
          <w:tcPr>
            <w:tcW w:w="500" w:type="dxa"/>
            <w:vAlign w:val="bottom"/>
          </w:tcPr>
          <w:p w14:paraId="5A8DAE8F" w14:textId="77777777" w:rsidR="00D1587D" w:rsidRDefault="00D1587D">
            <w:pPr>
              <w:rPr>
                <w:sz w:val="19"/>
                <w:szCs w:val="19"/>
              </w:rPr>
            </w:pPr>
          </w:p>
        </w:tc>
      </w:tr>
      <w:tr w:rsidR="00D1587D" w14:paraId="321FE3C0" w14:textId="77777777">
        <w:trPr>
          <w:trHeight w:val="53"/>
        </w:trPr>
        <w:tc>
          <w:tcPr>
            <w:tcW w:w="5500" w:type="dxa"/>
            <w:vAlign w:val="bottom"/>
          </w:tcPr>
          <w:p w14:paraId="1274D934" w14:textId="77777777" w:rsidR="00D1587D" w:rsidRDefault="00D1587D">
            <w:pPr>
              <w:rPr>
                <w:sz w:val="4"/>
                <w:szCs w:val="4"/>
              </w:rPr>
            </w:pPr>
          </w:p>
        </w:tc>
        <w:tc>
          <w:tcPr>
            <w:tcW w:w="500" w:type="dxa"/>
            <w:vAlign w:val="bottom"/>
          </w:tcPr>
          <w:p w14:paraId="27BD5EAF" w14:textId="77777777" w:rsidR="00D1587D" w:rsidRDefault="00D1587D">
            <w:pPr>
              <w:rPr>
                <w:sz w:val="4"/>
                <w:szCs w:val="4"/>
              </w:rPr>
            </w:pPr>
          </w:p>
        </w:tc>
        <w:tc>
          <w:tcPr>
            <w:tcW w:w="560" w:type="dxa"/>
            <w:gridSpan w:val="2"/>
            <w:vAlign w:val="bottom"/>
          </w:tcPr>
          <w:p w14:paraId="26E61B4B" w14:textId="77777777" w:rsidR="00D1587D" w:rsidRDefault="00D1587D">
            <w:pPr>
              <w:rPr>
                <w:sz w:val="4"/>
                <w:szCs w:val="4"/>
              </w:rPr>
            </w:pPr>
          </w:p>
        </w:tc>
        <w:tc>
          <w:tcPr>
            <w:tcW w:w="120" w:type="dxa"/>
            <w:vAlign w:val="bottom"/>
          </w:tcPr>
          <w:p w14:paraId="64B1DD2B" w14:textId="77777777" w:rsidR="00D1587D" w:rsidRDefault="00D1587D">
            <w:pPr>
              <w:rPr>
                <w:sz w:val="4"/>
                <w:szCs w:val="4"/>
              </w:rPr>
            </w:pPr>
          </w:p>
        </w:tc>
        <w:tc>
          <w:tcPr>
            <w:tcW w:w="500" w:type="dxa"/>
            <w:vAlign w:val="bottom"/>
          </w:tcPr>
          <w:p w14:paraId="167E9B0F" w14:textId="77777777" w:rsidR="00D1587D" w:rsidRDefault="00D1587D">
            <w:pPr>
              <w:rPr>
                <w:sz w:val="4"/>
                <w:szCs w:val="4"/>
              </w:rPr>
            </w:pPr>
          </w:p>
        </w:tc>
        <w:tc>
          <w:tcPr>
            <w:tcW w:w="740" w:type="dxa"/>
            <w:vAlign w:val="bottom"/>
          </w:tcPr>
          <w:p w14:paraId="120F3929" w14:textId="77777777" w:rsidR="00D1587D" w:rsidRDefault="00D1587D">
            <w:pPr>
              <w:rPr>
                <w:sz w:val="4"/>
                <w:szCs w:val="4"/>
              </w:rPr>
            </w:pPr>
          </w:p>
        </w:tc>
        <w:tc>
          <w:tcPr>
            <w:tcW w:w="500" w:type="dxa"/>
            <w:vAlign w:val="bottom"/>
          </w:tcPr>
          <w:p w14:paraId="6D10A1E6" w14:textId="77777777" w:rsidR="00D1587D" w:rsidRDefault="00D1587D">
            <w:pPr>
              <w:rPr>
                <w:sz w:val="4"/>
                <w:szCs w:val="4"/>
              </w:rPr>
            </w:pPr>
          </w:p>
        </w:tc>
      </w:tr>
      <w:tr w:rsidR="00D1587D" w14:paraId="3730C9C7" w14:textId="77777777">
        <w:trPr>
          <w:trHeight w:val="318"/>
        </w:trPr>
        <w:tc>
          <w:tcPr>
            <w:tcW w:w="5500" w:type="dxa"/>
            <w:tcBorders>
              <w:bottom w:val="single" w:sz="8" w:space="0" w:color="CCEEFF"/>
            </w:tcBorders>
            <w:shd w:val="clear" w:color="auto" w:fill="CCEEFF"/>
            <w:vAlign w:val="bottom"/>
          </w:tcPr>
          <w:p w14:paraId="0C710582" w14:textId="77777777" w:rsidR="00D1587D" w:rsidRDefault="00410D07">
            <w:pPr>
              <w:rPr>
                <w:sz w:val="20"/>
                <w:szCs w:val="20"/>
              </w:rPr>
            </w:pPr>
            <w:r>
              <w:rPr>
                <w:rFonts w:ascii="Arial" w:eastAsia="Arial" w:hAnsi="Arial" w:cs="Arial"/>
                <w:sz w:val="18"/>
                <w:szCs w:val="18"/>
              </w:rPr>
              <w:t>Cash provided by (used for) operating activities</w:t>
            </w:r>
          </w:p>
        </w:tc>
        <w:tc>
          <w:tcPr>
            <w:tcW w:w="500" w:type="dxa"/>
            <w:tcBorders>
              <w:bottom w:val="single" w:sz="8" w:space="0" w:color="CCEEFF"/>
            </w:tcBorders>
            <w:shd w:val="clear" w:color="auto" w:fill="CCEEFF"/>
            <w:vAlign w:val="bottom"/>
          </w:tcPr>
          <w:p w14:paraId="66ED0E03" w14:textId="77777777" w:rsidR="00D1587D" w:rsidRDefault="00410D07">
            <w:pPr>
              <w:ind w:right="57"/>
              <w:jc w:val="right"/>
              <w:rPr>
                <w:sz w:val="20"/>
                <w:szCs w:val="20"/>
              </w:rPr>
            </w:pPr>
            <w:r>
              <w:rPr>
                <w:rFonts w:ascii="Arial" w:eastAsia="Arial" w:hAnsi="Arial" w:cs="Arial"/>
                <w:w w:val="84"/>
                <w:sz w:val="18"/>
                <w:szCs w:val="18"/>
              </w:rPr>
              <w:t>$102</w:t>
            </w:r>
          </w:p>
        </w:tc>
        <w:tc>
          <w:tcPr>
            <w:tcW w:w="560" w:type="dxa"/>
            <w:gridSpan w:val="2"/>
            <w:tcBorders>
              <w:bottom w:val="single" w:sz="8" w:space="0" w:color="CCEEFF"/>
            </w:tcBorders>
            <w:shd w:val="clear" w:color="auto" w:fill="CCEEFF"/>
            <w:vAlign w:val="bottom"/>
          </w:tcPr>
          <w:p w14:paraId="2F3F755D" w14:textId="77777777" w:rsidR="00D1587D" w:rsidRDefault="00410D07">
            <w:pPr>
              <w:ind w:left="60"/>
              <w:rPr>
                <w:sz w:val="20"/>
                <w:szCs w:val="20"/>
              </w:rPr>
            </w:pPr>
            <w:r>
              <w:rPr>
                <w:rFonts w:ascii="Arial" w:eastAsia="Arial" w:hAnsi="Arial" w:cs="Arial"/>
                <w:w w:val="92"/>
                <w:sz w:val="18"/>
                <w:szCs w:val="18"/>
              </w:rPr>
              <w:t>$(300)</w:t>
            </w:r>
          </w:p>
        </w:tc>
        <w:tc>
          <w:tcPr>
            <w:tcW w:w="620" w:type="dxa"/>
            <w:gridSpan w:val="2"/>
            <w:tcBorders>
              <w:bottom w:val="single" w:sz="8" w:space="0" w:color="CCEEFF"/>
            </w:tcBorders>
            <w:shd w:val="clear" w:color="auto" w:fill="CCEEFF"/>
            <w:vAlign w:val="bottom"/>
          </w:tcPr>
          <w:p w14:paraId="30863652" w14:textId="77777777" w:rsidR="00D1587D" w:rsidRDefault="00410D07">
            <w:pPr>
              <w:ind w:left="120"/>
              <w:rPr>
                <w:sz w:val="20"/>
                <w:szCs w:val="20"/>
              </w:rPr>
            </w:pPr>
            <w:r>
              <w:rPr>
                <w:rFonts w:ascii="Arial" w:eastAsia="Arial" w:hAnsi="Arial" w:cs="Arial"/>
                <w:sz w:val="18"/>
                <w:szCs w:val="18"/>
              </w:rPr>
              <w:t>$ 674</w:t>
            </w:r>
          </w:p>
        </w:tc>
        <w:tc>
          <w:tcPr>
            <w:tcW w:w="740" w:type="dxa"/>
            <w:tcBorders>
              <w:bottom w:val="single" w:sz="8" w:space="0" w:color="CCEEFF"/>
            </w:tcBorders>
            <w:shd w:val="clear" w:color="auto" w:fill="CCEEFF"/>
            <w:vAlign w:val="bottom"/>
          </w:tcPr>
          <w:p w14:paraId="27DEB0D9" w14:textId="77777777" w:rsidR="00D1587D" w:rsidRDefault="00410D07">
            <w:pPr>
              <w:ind w:left="120"/>
              <w:rPr>
                <w:sz w:val="20"/>
                <w:szCs w:val="20"/>
              </w:rPr>
            </w:pPr>
            <w:r>
              <w:rPr>
                <w:rFonts w:ascii="Arial" w:eastAsia="Arial" w:hAnsi="Arial" w:cs="Arial"/>
                <w:sz w:val="18"/>
                <w:szCs w:val="18"/>
              </w:rPr>
              <w:t>$ 315</w:t>
            </w:r>
          </w:p>
        </w:tc>
        <w:tc>
          <w:tcPr>
            <w:tcW w:w="500" w:type="dxa"/>
            <w:tcBorders>
              <w:bottom w:val="single" w:sz="8" w:space="0" w:color="CCEEFF"/>
            </w:tcBorders>
            <w:shd w:val="clear" w:color="auto" w:fill="CCEEFF"/>
            <w:vAlign w:val="bottom"/>
          </w:tcPr>
          <w:p w14:paraId="25332C22" w14:textId="77777777" w:rsidR="00D1587D" w:rsidRDefault="00410D07">
            <w:pPr>
              <w:ind w:left="20"/>
              <w:rPr>
                <w:sz w:val="20"/>
                <w:szCs w:val="20"/>
              </w:rPr>
            </w:pPr>
            <w:r>
              <w:rPr>
                <w:rFonts w:ascii="Arial" w:eastAsia="Arial" w:hAnsi="Arial" w:cs="Arial"/>
                <w:sz w:val="18"/>
                <w:szCs w:val="18"/>
              </w:rPr>
              <w:t>$ 698</w:t>
            </w:r>
          </w:p>
        </w:tc>
      </w:tr>
      <w:tr w:rsidR="00D1587D" w14:paraId="6DC2F7C5" w14:textId="77777777">
        <w:trPr>
          <w:trHeight w:val="270"/>
        </w:trPr>
        <w:tc>
          <w:tcPr>
            <w:tcW w:w="5500" w:type="dxa"/>
            <w:vAlign w:val="bottom"/>
          </w:tcPr>
          <w:p w14:paraId="65B99E53" w14:textId="77777777" w:rsidR="00D1587D" w:rsidRDefault="00410D07">
            <w:pPr>
              <w:rPr>
                <w:sz w:val="20"/>
                <w:szCs w:val="20"/>
              </w:rPr>
            </w:pPr>
            <w:r>
              <w:rPr>
                <w:rFonts w:ascii="Arial" w:eastAsia="Arial" w:hAnsi="Arial" w:cs="Arial"/>
                <w:sz w:val="18"/>
                <w:szCs w:val="18"/>
              </w:rPr>
              <w:t>Cash used for investing activities</w:t>
            </w:r>
          </w:p>
        </w:tc>
        <w:tc>
          <w:tcPr>
            <w:tcW w:w="500" w:type="dxa"/>
            <w:vAlign w:val="bottom"/>
          </w:tcPr>
          <w:p w14:paraId="1CFBB77D" w14:textId="77777777" w:rsidR="00D1587D" w:rsidRDefault="00410D07">
            <w:pPr>
              <w:jc w:val="right"/>
              <w:rPr>
                <w:sz w:val="20"/>
                <w:szCs w:val="20"/>
              </w:rPr>
            </w:pPr>
            <w:r>
              <w:rPr>
                <w:rFonts w:ascii="Arial" w:eastAsia="Arial" w:hAnsi="Arial" w:cs="Arial"/>
                <w:w w:val="84"/>
                <w:sz w:val="18"/>
                <w:szCs w:val="18"/>
              </w:rPr>
              <w:t>$ (19)</w:t>
            </w:r>
          </w:p>
        </w:tc>
        <w:tc>
          <w:tcPr>
            <w:tcW w:w="160" w:type="dxa"/>
            <w:vAlign w:val="bottom"/>
          </w:tcPr>
          <w:p w14:paraId="7FBAE802" w14:textId="77777777" w:rsidR="00D1587D" w:rsidRDefault="00410D07">
            <w:pPr>
              <w:ind w:left="60"/>
              <w:rPr>
                <w:sz w:val="20"/>
                <w:szCs w:val="20"/>
              </w:rPr>
            </w:pPr>
            <w:r>
              <w:rPr>
                <w:rFonts w:ascii="Arial" w:eastAsia="Arial" w:hAnsi="Arial" w:cs="Arial"/>
                <w:w w:val="79"/>
                <w:sz w:val="18"/>
                <w:szCs w:val="18"/>
              </w:rPr>
              <w:t>$</w:t>
            </w:r>
          </w:p>
        </w:tc>
        <w:tc>
          <w:tcPr>
            <w:tcW w:w="400" w:type="dxa"/>
            <w:vAlign w:val="bottom"/>
          </w:tcPr>
          <w:p w14:paraId="40639E5F" w14:textId="77777777" w:rsidR="00D1587D" w:rsidRDefault="00410D07">
            <w:pPr>
              <w:jc w:val="right"/>
              <w:rPr>
                <w:sz w:val="20"/>
                <w:szCs w:val="20"/>
              </w:rPr>
            </w:pPr>
            <w:r>
              <w:rPr>
                <w:rFonts w:ascii="Arial" w:eastAsia="Arial" w:hAnsi="Arial" w:cs="Arial"/>
                <w:sz w:val="18"/>
                <w:szCs w:val="18"/>
              </w:rPr>
              <w:t>(28)</w:t>
            </w:r>
          </w:p>
        </w:tc>
        <w:tc>
          <w:tcPr>
            <w:tcW w:w="620" w:type="dxa"/>
            <w:gridSpan w:val="2"/>
            <w:vAlign w:val="bottom"/>
          </w:tcPr>
          <w:p w14:paraId="48BF6FEA" w14:textId="77777777" w:rsidR="00D1587D" w:rsidRDefault="00410D07">
            <w:pPr>
              <w:ind w:left="120"/>
              <w:rPr>
                <w:sz w:val="20"/>
                <w:szCs w:val="20"/>
              </w:rPr>
            </w:pPr>
            <w:r>
              <w:rPr>
                <w:rFonts w:ascii="Arial" w:eastAsia="Arial" w:hAnsi="Arial" w:cs="Arial"/>
                <w:w w:val="92"/>
                <w:sz w:val="18"/>
                <w:szCs w:val="18"/>
              </w:rPr>
              <w:t>$(123)</w:t>
            </w:r>
          </w:p>
        </w:tc>
        <w:tc>
          <w:tcPr>
            <w:tcW w:w="740" w:type="dxa"/>
            <w:vAlign w:val="bottom"/>
          </w:tcPr>
          <w:p w14:paraId="73352FD5" w14:textId="77777777" w:rsidR="00D1587D" w:rsidRDefault="00410D07">
            <w:pPr>
              <w:ind w:left="120"/>
              <w:rPr>
                <w:sz w:val="20"/>
                <w:szCs w:val="20"/>
              </w:rPr>
            </w:pPr>
            <w:r>
              <w:rPr>
                <w:rFonts w:ascii="Arial" w:eastAsia="Arial" w:hAnsi="Arial" w:cs="Arial"/>
                <w:sz w:val="18"/>
                <w:szCs w:val="18"/>
              </w:rPr>
              <w:t>$(243)</w:t>
            </w:r>
          </w:p>
        </w:tc>
        <w:tc>
          <w:tcPr>
            <w:tcW w:w="500" w:type="dxa"/>
            <w:vAlign w:val="bottom"/>
          </w:tcPr>
          <w:p w14:paraId="5A78F7B0" w14:textId="77777777" w:rsidR="00D1587D" w:rsidRDefault="00410D07">
            <w:pPr>
              <w:ind w:left="20"/>
              <w:rPr>
                <w:sz w:val="20"/>
                <w:szCs w:val="20"/>
              </w:rPr>
            </w:pPr>
            <w:r>
              <w:rPr>
                <w:rFonts w:ascii="Arial" w:eastAsia="Arial" w:hAnsi="Arial" w:cs="Arial"/>
                <w:w w:val="88"/>
                <w:sz w:val="18"/>
                <w:szCs w:val="18"/>
              </w:rPr>
              <w:t>$(343)</w:t>
            </w:r>
          </w:p>
        </w:tc>
      </w:tr>
      <w:tr w:rsidR="00D1587D" w14:paraId="1BFF0EDD" w14:textId="77777777">
        <w:trPr>
          <w:trHeight w:val="54"/>
        </w:trPr>
        <w:tc>
          <w:tcPr>
            <w:tcW w:w="5500" w:type="dxa"/>
            <w:vAlign w:val="bottom"/>
          </w:tcPr>
          <w:p w14:paraId="6BA842CA" w14:textId="77777777" w:rsidR="00D1587D" w:rsidRDefault="00D1587D">
            <w:pPr>
              <w:rPr>
                <w:sz w:val="4"/>
                <w:szCs w:val="4"/>
              </w:rPr>
            </w:pPr>
          </w:p>
        </w:tc>
        <w:tc>
          <w:tcPr>
            <w:tcW w:w="500" w:type="dxa"/>
            <w:vAlign w:val="bottom"/>
          </w:tcPr>
          <w:p w14:paraId="311733E6" w14:textId="77777777" w:rsidR="00D1587D" w:rsidRDefault="00D1587D">
            <w:pPr>
              <w:rPr>
                <w:sz w:val="4"/>
                <w:szCs w:val="4"/>
              </w:rPr>
            </w:pPr>
          </w:p>
        </w:tc>
        <w:tc>
          <w:tcPr>
            <w:tcW w:w="160" w:type="dxa"/>
            <w:vAlign w:val="bottom"/>
          </w:tcPr>
          <w:p w14:paraId="622EC369" w14:textId="77777777" w:rsidR="00D1587D" w:rsidRDefault="00D1587D">
            <w:pPr>
              <w:rPr>
                <w:sz w:val="4"/>
                <w:szCs w:val="4"/>
              </w:rPr>
            </w:pPr>
          </w:p>
        </w:tc>
        <w:tc>
          <w:tcPr>
            <w:tcW w:w="400" w:type="dxa"/>
            <w:vAlign w:val="bottom"/>
          </w:tcPr>
          <w:p w14:paraId="370B9093" w14:textId="77777777" w:rsidR="00D1587D" w:rsidRDefault="00D1587D">
            <w:pPr>
              <w:rPr>
                <w:sz w:val="4"/>
                <w:szCs w:val="4"/>
              </w:rPr>
            </w:pPr>
          </w:p>
        </w:tc>
        <w:tc>
          <w:tcPr>
            <w:tcW w:w="120" w:type="dxa"/>
            <w:vAlign w:val="bottom"/>
          </w:tcPr>
          <w:p w14:paraId="51B633CA" w14:textId="77777777" w:rsidR="00D1587D" w:rsidRDefault="00D1587D">
            <w:pPr>
              <w:rPr>
                <w:sz w:val="4"/>
                <w:szCs w:val="4"/>
              </w:rPr>
            </w:pPr>
          </w:p>
        </w:tc>
        <w:tc>
          <w:tcPr>
            <w:tcW w:w="500" w:type="dxa"/>
            <w:vAlign w:val="bottom"/>
          </w:tcPr>
          <w:p w14:paraId="55EDA4CC" w14:textId="77777777" w:rsidR="00D1587D" w:rsidRDefault="00D1587D">
            <w:pPr>
              <w:rPr>
                <w:sz w:val="4"/>
                <w:szCs w:val="4"/>
              </w:rPr>
            </w:pPr>
          </w:p>
        </w:tc>
        <w:tc>
          <w:tcPr>
            <w:tcW w:w="740" w:type="dxa"/>
            <w:vAlign w:val="bottom"/>
          </w:tcPr>
          <w:p w14:paraId="18D80CD7" w14:textId="77777777" w:rsidR="00D1587D" w:rsidRDefault="00D1587D">
            <w:pPr>
              <w:rPr>
                <w:sz w:val="4"/>
                <w:szCs w:val="4"/>
              </w:rPr>
            </w:pPr>
          </w:p>
        </w:tc>
        <w:tc>
          <w:tcPr>
            <w:tcW w:w="500" w:type="dxa"/>
            <w:vAlign w:val="bottom"/>
          </w:tcPr>
          <w:p w14:paraId="337148B5" w14:textId="77777777" w:rsidR="00D1587D" w:rsidRDefault="00D1587D">
            <w:pPr>
              <w:rPr>
                <w:sz w:val="4"/>
                <w:szCs w:val="4"/>
              </w:rPr>
            </w:pPr>
          </w:p>
        </w:tc>
      </w:tr>
      <w:tr w:rsidR="00D1587D" w14:paraId="18F6BB90" w14:textId="77777777">
        <w:trPr>
          <w:trHeight w:val="270"/>
        </w:trPr>
        <w:tc>
          <w:tcPr>
            <w:tcW w:w="5500" w:type="dxa"/>
            <w:shd w:val="clear" w:color="auto" w:fill="CCEEFF"/>
            <w:vAlign w:val="bottom"/>
          </w:tcPr>
          <w:p w14:paraId="22E9F639" w14:textId="77777777" w:rsidR="00D1587D" w:rsidRDefault="00410D07">
            <w:pPr>
              <w:rPr>
                <w:sz w:val="20"/>
                <w:szCs w:val="20"/>
              </w:rPr>
            </w:pPr>
            <w:r>
              <w:rPr>
                <w:rFonts w:ascii="Arial" w:eastAsia="Arial" w:hAnsi="Arial" w:cs="Arial"/>
                <w:sz w:val="18"/>
                <w:szCs w:val="18"/>
              </w:rPr>
              <w:t>Cash provided by (used for) financing activities</w:t>
            </w:r>
          </w:p>
        </w:tc>
        <w:tc>
          <w:tcPr>
            <w:tcW w:w="500" w:type="dxa"/>
            <w:shd w:val="clear" w:color="auto" w:fill="CCEEFF"/>
            <w:vAlign w:val="bottom"/>
          </w:tcPr>
          <w:p w14:paraId="0497BC8E" w14:textId="77777777" w:rsidR="00D1587D" w:rsidRDefault="00410D07">
            <w:pPr>
              <w:jc w:val="right"/>
              <w:rPr>
                <w:sz w:val="20"/>
                <w:szCs w:val="20"/>
              </w:rPr>
            </w:pPr>
            <w:r>
              <w:rPr>
                <w:rFonts w:ascii="Arial" w:eastAsia="Arial" w:hAnsi="Arial" w:cs="Arial"/>
                <w:w w:val="84"/>
                <w:sz w:val="18"/>
                <w:szCs w:val="18"/>
              </w:rPr>
              <w:t>$ (88)</w:t>
            </w:r>
          </w:p>
        </w:tc>
        <w:tc>
          <w:tcPr>
            <w:tcW w:w="160" w:type="dxa"/>
            <w:shd w:val="clear" w:color="auto" w:fill="CCEEFF"/>
            <w:vAlign w:val="bottom"/>
          </w:tcPr>
          <w:p w14:paraId="4C2950E0" w14:textId="77777777" w:rsidR="00D1587D" w:rsidRDefault="00410D07">
            <w:pPr>
              <w:ind w:left="60"/>
              <w:rPr>
                <w:sz w:val="20"/>
                <w:szCs w:val="20"/>
              </w:rPr>
            </w:pPr>
            <w:r>
              <w:rPr>
                <w:rFonts w:ascii="Arial" w:eastAsia="Arial" w:hAnsi="Arial" w:cs="Arial"/>
                <w:w w:val="79"/>
                <w:sz w:val="18"/>
                <w:szCs w:val="18"/>
              </w:rPr>
              <w:t>$</w:t>
            </w:r>
          </w:p>
        </w:tc>
        <w:tc>
          <w:tcPr>
            <w:tcW w:w="400" w:type="dxa"/>
            <w:shd w:val="clear" w:color="auto" w:fill="CCEEFF"/>
            <w:vAlign w:val="bottom"/>
          </w:tcPr>
          <w:p w14:paraId="6810918A" w14:textId="77777777" w:rsidR="00D1587D" w:rsidRDefault="00410D07">
            <w:pPr>
              <w:jc w:val="right"/>
              <w:rPr>
                <w:sz w:val="20"/>
                <w:szCs w:val="20"/>
              </w:rPr>
            </w:pPr>
            <w:r>
              <w:rPr>
                <w:rFonts w:ascii="Arial" w:eastAsia="Arial" w:hAnsi="Arial" w:cs="Arial"/>
                <w:w w:val="99"/>
                <w:sz w:val="18"/>
                <w:szCs w:val="18"/>
              </w:rPr>
              <w:t>254</w:t>
            </w:r>
          </w:p>
        </w:tc>
        <w:tc>
          <w:tcPr>
            <w:tcW w:w="620" w:type="dxa"/>
            <w:gridSpan w:val="2"/>
            <w:shd w:val="clear" w:color="auto" w:fill="CCEEFF"/>
            <w:vAlign w:val="bottom"/>
          </w:tcPr>
          <w:p w14:paraId="5EAC581D" w14:textId="77777777" w:rsidR="00D1587D" w:rsidRDefault="00410D07">
            <w:pPr>
              <w:ind w:left="120"/>
              <w:rPr>
                <w:sz w:val="20"/>
                <w:szCs w:val="20"/>
              </w:rPr>
            </w:pPr>
            <w:r>
              <w:rPr>
                <w:rFonts w:ascii="Arial" w:eastAsia="Arial" w:hAnsi="Arial" w:cs="Arial"/>
                <w:w w:val="92"/>
                <w:sz w:val="18"/>
                <w:szCs w:val="18"/>
              </w:rPr>
              <w:t>$(465)</w:t>
            </w:r>
          </w:p>
        </w:tc>
        <w:tc>
          <w:tcPr>
            <w:tcW w:w="740" w:type="dxa"/>
            <w:shd w:val="clear" w:color="auto" w:fill="CCEEFF"/>
            <w:vAlign w:val="bottom"/>
          </w:tcPr>
          <w:p w14:paraId="14BD297A" w14:textId="77777777" w:rsidR="00D1587D" w:rsidRDefault="00410D07">
            <w:pPr>
              <w:ind w:left="120"/>
              <w:rPr>
                <w:sz w:val="20"/>
                <w:szCs w:val="20"/>
              </w:rPr>
            </w:pPr>
            <w:r>
              <w:rPr>
                <w:rFonts w:ascii="Arial" w:eastAsia="Arial" w:hAnsi="Arial" w:cs="Arial"/>
                <w:sz w:val="18"/>
                <w:szCs w:val="18"/>
              </w:rPr>
              <w:t>$(192)</w:t>
            </w:r>
          </w:p>
        </w:tc>
        <w:tc>
          <w:tcPr>
            <w:tcW w:w="500" w:type="dxa"/>
            <w:shd w:val="clear" w:color="auto" w:fill="CCEEFF"/>
            <w:vAlign w:val="bottom"/>
          </w:tcPr>
          <w:p w14:paraId="37ECF819" w14:textId="77777777" w:rsidR="00D1587D" w:rsidRDefault="00410D07">
            <w:pPr>
              <w:ind w:left="20"/>
              <w:rPr>
                <w:sz w:val="20"/>
                <w:szCs w:val="20"/>
              </w:rPr>
            </w:pPr>
            <w:r>
              <w:rPr>
                <w:rFonts w:ascii="Arial" w:eastAsia="Arial" w:hAnsi="Arial" w:cs="Arial"/>
                <w:w w:val="88"/>
                <w:sz w:val="18"/>
                <w:szCs w:val="18"/>
              </w:rPr>
              <w:t>$(264)</w:t>
            </w:r>
          </w:p>
        </w:tc>
      </w:tr>
      <w:tr w:rsidR="00D1587D" w14:paraId="00F4AD77" w14:textId="77777777">
        <w:trPr>
          <w:trHeight w:val="54"/>
        </w:trPr>
        <w:tc>
          <w:tcPr>
            <w:tcW w:w="5500" w:type="dxa"/>
            <w:shd w:val="clear" w:color="auto" w:fill="CCEEFF"/>
            <w:vAlign w:val="bottom"/>
          </w:tcPr>
          <w:p w14:paraId="4C864D0B" w14:textId="77777777" w:rsidR="00D1587D" w:rsidRDefault="00D1587D">
            <w:pPr>
              <w:rPr>
                <w:sz w:val="4"/>
                <w:szCs w:val="4"/>
              </w:rPr>
            </w:pPr>
          </w:p>
        </w:tc>
        <w:tc>
          <w:tcPr>
            <w:tcW w:w="500" w:type="dxa"/>
            <w:shd w:val="clear" w:color="auto" w:fill="CCEEFF"/>
            <w:vAlign w:val="bottom"/>
          </w:tcPr>
          <w:p w14:paraId="57466EA5" w14:textId="77777777" w:rsidR="00D1587D" w:rsidRDefault="00D1587D">
            <w:pPr>
              <w:rPr>
                <w:sz w:val="4"/>
                <w:szCs w:val="4"/>
              </w:rPr>
            </w:pPr>
          </w:p>
        </w:tc>
        <w:tc>
          <w:tcPr>
            <w:tcW w:w="160" w:type="dxa"/>
            <w:shd w:val="clear" w:color="auto" w:fill="CCEEFF"/>
            <w:vAlign w:val="bottom"/>
          </w:tcPr>
          <w:p w14:paraId="440F8D01" w14:textId="77777777" w:rsidR="00D1587D" w:rsidRDefault="00D1587D">
            <w:pPr>
              <w:rPr>
                <w:sz w:val="4"/>
                <w:szCs w:val="4"/>
              </w:rPr>
            </w:pPr>
          </w:p>
        </w:tc>
        <w:tc>
          <w:tcPr>
            <w:tcW w:w="400" w:type="dxa"/>
            <w:shd w:val="clear" w:color="auto" w:fill="CCEEFF"/>
            <w:vAlign w:val="bottom"/>
          </w:tcPr>
          <w:p w14:paraId="23A129C5" w14:textId="77777777" w:rsidR="00D1587D" w:rsidRDefault="00D1587D">
            <w:pPr>
              <w:rPr>
                <w:sz w:val="4"/>
                <w:szCs w:val="4"/>
              </w:rPr>
            </w:pPr>
          </w:p>
        </w:tc>
        <w:tc>
          <w:tcPr>
            <w:tcW w:w="120" w:type="dxa"/>
            <w:shd w:val="clear" w:color="auto" w:fill="CCEEFF"/>
            <w:vAlign w:val="bottom"/>
          </w:tcPr>
          <w:p w14:paraId="78CC2C33" w14:textId="77777777" w:rsidR="00D1587D" w:rsidRDefault="00D1587D">
            <w:pPr>
              <w:rPr>
                <w:sz w:val="4"/>
                <w:szCs w:val="4"/>
              </w:rPr>
            </w:pPr>
          </w:p>
        </w:tc>
        <w:tc>
          <w:tcPr>
            <w:tcW w:w="500" w:type="dxa"/>
            <w:shd w:val="clear" w:color="auto" w:fill="CCEEFF"/>
            <w:vAlign w:val="bottom"/>
          </w:tcPr>
          <w:p w14:paraId="4BC8A53A" w14:textId="77777777" w:rsidR="00D1587D" w:rsidRDefault="00D1587D">
            <w:pPr>
              <w:rPr>
                <w:sz w:val="4"/>
                <w:szCs w:val="4"/>
              </w:rPr>
            </w:pPr>
          </w:p>
        </w:tc>
        <w:tc>
          <w:tcPr>
            <w:tcW w:w="740" w:type="dxa"/>
            <w:shd w:val="clear" w:color="auto" w:fill="CCEEFF"/>
            <w:vAlign w:val="bottom"/>
          </w:tcPr>
          <w:p w14:paraId="6B776FEB" w14:textId="77777777" w:rsidR="00D1587D" w:rsidRDefault="00D1587D">
            <w:pPr>
              <w:rPr>
                <w:sz w:val="4"/>
                <w:szCs w:val="4"/>
              </w:rPr>
            </w:pPr>
          </w:p>
        </w:tc>
        <w:tc>
          <w:tcPr>
            <w:tcW w:w="500" w:type="dxa"/>
            <w:shd w:val="clear" w:color="auto" w:fill="CCEEFF"/>
            <w:vAlign w:val="bottom"/>
          </w:tcPr>
          <w:p w14:paraId="600D8002" w14:textId="77777777" w:rsidR="00D1587D" w:rsidRDefault="00D1587D">
            <w:pPr>
              <w:rPr>
                <w:sz w:val="4"/>
                <w:szCs w:val="4"/>
              </w:rPr>
            </w:pPr>
          </w:p>
        </w:tc>
      </w:tr>
    </w:tbl>
    <w:p w14:paraId="45AF4E73" w14:textId="77777777" w:rsidR="00D1587D" w:rsidRDefault="00410D07">
      <w:pPr>
        <w:spacing w:line="20" w:lineRule="exact"/>
        <w:rPr>
          <w:sz w:val="20"/>
          <w:szCs w:val="20"/>
        </w:rPr>
      </w:pPr>
      <w:r>
        <w:rPr>
          <w:noProof/>
          <w:sz w:val="20"/>
          <w:szCs w:val="20"/>
        </w:rPr>
        <w:drawing>
          <wp:anchor distT="0" distB="0" distL="114300" distR="114300" simplePos="0" relativeHeight="251753472" behindDoc="1" locked="0" layoutInCell="0" allowOverlap="1" wp14:anchorId="44695466" wp14:editId="17D7A480">
            <wp:simplePos x="0" y="0"/>
            <wp:positionH relativeFrom="column">
              <wp:posOffset>5140325</wp:posOffset>
            </wp:positionH>
            <wp:positionV relativeFrom="paragraph">
              <wp:posOffset>-814070</wp:posOffset>
            </wp:positionV>
            <wp:extent cx="85725" cy="8255"/>
            <wp:effectExtent l="0" t="0" r="0" b="0"/>
            <wp:wrapNone/>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754496" behindDoc="1" locked="0" layoutInCell="0" allowOverlap="1" wp14:anchorId="46CE7500" wp14:editId="796B6B2C">
            <wp:simplePos x="0" y="0"/>
            <wp:positionH relativeFrom="column">
              <wp:posOffset>4745990</wp:posOffset>
            </wp:positionH>
            <wp:positionV relativeFrom="paragraph">
              <wp:posOffset>-814070</wp:posOffset>
            </wp:positionV>
            <wp:extent cx="85725" cy="8255"/>
            <wp:effectExtent l="0" t="0" r="0" b="0"/>
            <wp:wrapNone/>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755520" behindDoc="1" locked="0" layoutInCell="0" allowOverlap="1" wp14:anchorId="28FB5F96" wp14:editId="4E8EC6D9">
            <wp:simplePos x="0" y="0"/>
            <wp:positionH relativeFrom="column">
              <wp:posOffset>4351655</wp:posOffset>
            </wp:positionH>
            <wp:positionV relativeFrom="paragraph">
              <wp:posOffset>-814070</wp:posOffset>
            </wp:positionV>
            <wp:extent cx="85725" cy="8255"/>
            <wp:effectExtent l="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756544" behindDoc="1" locked="0" layoutInCell="0" allowOverlap="1" wp14:anchorId="566F4600" wp14:editId="05DD5FAC">
            <wp:simplePos x="0" y="0"/>
            <wp:positionH relativeFrom="column">
              <wp:posOffset>3957320</wp:posOffset>
            </wp:positionH>
            <wp:positionV relativeFrom="paragraph">
              <wp:posOffset>-814070</wp:posOffset>
            </wp:positionV>
            <wp:extent cx="85725" cy="8255"/>
            <wp:effectExtent l="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p>
    <w:p w14:paraId="71616FA9" w14:textId="77777777" w:rsidR="00D1587D" w:rsidRDefault="00D1587D">
      <w:pPr>
        <w:spacing w:line="249" w:lineRule="exact"/>
        <w:rPr>
          <w:sz w:val="20"/>
          <w:szCs w:val="20"/>
        </w:rPr>
      </w:pPr>
    </w:p>
    <w:p w14:paraId="4205A28D" w14:textId="77777777" w:rsidR="00D1587D" w:rsidRDefault="00410D07">
      <w:pPr>
        <w:ind w:left="660"/>
        <w:rPr>
          <w:sz w:val="20"/>
          <w:szCs w:val="20"/>
        </w:rPr>
      </w:pPr>
      <w:r>
        <w:rPr>
          <w:rFonts w:ascii="Arial" w:eastAsia="Arial" w:hAnsi="Arial" w:cs="Arial"/>
          <w:b/>
          <w:bCs/>
          <w:i/>
          <w:iCs/>
          <w:sz w:val="18"/>
          <w:szCs w:val="18"/>
        </w:rPr>
        <w:t>Cash Provided by Operating Activities</w:t>
      </w:r>
    </w:p>
    <w:p w14:paraId="6D39D44F" w14:textId="77777777" w:rsidR="00D1587D" w:rsidRDefault="00D1587D">
      <w:pPr>
        <w:spacing w:line="117" w:lineRule="exact"/>
        <w:rPr>
          <w:sz w:val="20"/>
          <w:szCs w:val="20"/>
        </w:rPr>
      </w:pPr>
    </w:p>
    <w:p w14:paraId="5E92D9C7" w14:textId="77777777" w:rsidR="00D1587D" w:rsidRDefault="00410D07">
      <w:pPr>
        <w:spacing w:line="277" w:lineRule="auto"/>
        <w:ind w:left="300" w:right="599" w:firstLine="360"/>
        <w:rPr>
          <w:sz w:val="20"/>
          <w:szCs w:val="20"/>
        </w:rPr>
      </w:pPr>
      <w:r>
        <w:rPr>
          <w:rFonts w:ascii="Arial" w:eastAsia="Arial" w:hAnsi="Arial" w:cs="Arial"/>
          <w:sz w:val="18"/>
          <w:szCs w:val="18"/>
        </w:rPr>
        <w:t>Cash flow provided by operating activities is dependent on the level of net income (loss), adjustments to net income (loss) and changes in working capital.</w:t>
      </w:r>
    </w:p>
    <w:p w14:paraId="42B98388" w14:textId="77777777" w:rsidR="00D1587D" w:rsidRDefault="00D1587D">
      <w:pPr>
        <w:spacing w:line="62" w:lineRule="exact"/>
        <w:rPr>
          <w:sz w:val="20"/>
          <w:szCs w:val="20"/>
        </w:rPr>
      </w:pPr>
    </w:p>
    <w:p w14:paraId="61F7C2E2" w14:textId="77777777" w:rsidR="00D1587D" w:rsidRDefault="00410D07">
      <w:pPr>
        <w:spacing w:line="301" w:lineRule="auto"/>
        <w:ind w:left="300" w:right="379" w:firstLine="360"/>
        <w:rPr>
          <w:sz w:val="20"/>
          <w:szCs w:val="20"/>
        </w:rPr>
      </w:pPr>
      <w:r>
        <w:rPr>
          <w:rFonts w:ascii="Arial" w:eastAsia="Arial" w:hAnsi="Arial" w:cs="Arial"/>
          <w:sz w:val="16"/>
          <w:szCs w:val="16"/>
        </w:rPr>
        <w:t xml:space="preserve">Net cash </w:t>
      </w:r>
      <w:r>
        <w:rPr>
          <w:rFonts w:ascii="Arial" w:eastAsia="Arial" w:hAnsi="Arial" w:cs="Arial"/>
          <w:sz w:val="16"/>
          <w:szCs w:val="16"/>
        </w:rPr>
        <w:t>provided by operating activities was $102 million in the first quarter of 2021, including net income of $174 million. Net income included depreciation of $80 million, deferred income tax expense of $34 million and share-based compensation expense of $7 mil</w:t>
      </w:r>
      <w:r>
        <w:rPr>
          <w:rFonts w:ascii="Arial" w:eastAsia="Arial" w:hAnsi="Arial" w:cs="Arial"/>
          <w:sz w:val="16"/>
          <w:szCs w:val="16"/>
        </w:rPr>
        <w:t>lion. Other changes in assets and liabilities represent items that had a current period cash flow impact, such as changes in working capital. The most significant item in working</w:t>
      </w:r>
    </w:p>
    <w:p w14:paraId="78FC4711" w14:textId="77777777" w:rsidR="00D1587D" w:rsidRDefault="00D1587D">
      <w:pPr>
        <w:sectPr w:rsidR="00D1587D">
          <w:pgSz w:w="11900" w:h="16838"/>
          <w:pgMar w:top="265" w:right="1440" w:bottom="1440" w:left="1440" w:header="0" w:footer="0" w:gutter="0"/>
          <w:cols w:space="720" w:equalWidth="0">
            <w:col w:w="9019"/>
          </w:cols>
        </w:sectPr>
      </w:pPr>
    </w:p>
    <w:p w14:paraId="013F57C2" w14:textId="77777777" w:rsidR="00D1587D" w:rsidRDefault="00D1587D">
      <w:pPr>
        <w:spacing w:line="157" w:lineRule="exact"/>
        <w:rPr>
          <w:sz w:val="20"/>
          <w:szCs w:val="20"/>
        </w:rPr>
      </w:pPr>
    </w:p>
    <w:p w14:paraId="76165543" w14:textId="77777777" w:rsidR="00D1587D" w:rsidRDefault="00410D07">
      <w:pPr>
        <w:jc w:val="center"/>
        <w:rPr>
          <w:sz w:val="20"/>
          <w:szCs w:val="20"/>
        </w:rPr>
      </w:pPr>
      <w:r>
        <w:rPr>
          <w:rFonts w:ascii="Arial" w:eastAsia="Arial" w:hAnsi="Arial" w:cs="Arial"/>
          <w:sz w:val="16"/>
          <w:szCs w:val="16"/>
        </w:rPr>
        <w:t>82</w:t>
      </w:r>
    </w:p>
    <w:p w14:paraId="51D1D67D" w14:textId="77777777" w:rsidR="00D1587D" w:rsidRDefault="00410D07">
      <w:pPr>
        <w:spacing w:line="20" w:lineRule="exact"/>
        <w:rPr>
          <w:sz w:val="20"/>
          <w:szCs w:val="20"/>
        </w:rPr>
      </w:pPr>
      <w:r>
        <w:rPr>
          <w:noProof/>
          <w:sz w:val="20"/>
          <w:szCs w:val="20"/>
        </w:rPr>
        <w:drawing>
          <wp:anchor distT="0" distB="0" distL="114300" distR="114300" simplePos="0" relativeHeight="251757568" behindDoc="1" locked="0" layoutInCell="0" allowOverlap="1" wp14:anchorId="18ABEBA8" wp14:editId="167C38EB">
            <wp:simplePos x="0" y="0"/>
            <wp:positionH relativeFrom="column">
              <wp:posOffset>-636905</wp:posOffset>
            </wp:positionH>
            <wp:positionV relativeFrom="paragraph">
              <wp:posOffset>140970</wp:posOffset>
            </wp:positionV>
            <wp:extent cx="6995160" cy="17145"/>
            <wp:effectExtent l="0" t="0" r="0" b="0"/>
            <wp:wrapNone/>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A1E550B"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40" w:name="page341"/>
    <w:bookmarkEnd w:id="340"/>
    <w:p w14:paraId="78B18CD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E7417A6" w14:textId="77777777" w:rsidR="00D1587D" w:rsidRDefault="00D1587D">
      <w:pPr>
        <w:spacing w:line="131" w:lineRule="exact"/>
        <w:rPr>
          <w:sz w:val="20"/>
          <w:szCs w:val="20"/>
        </w:rPr>
      </w:pPr>
    </w:p>
    <w:p w14:paraId="56BC2088" w14:textId="77777777" w:rsidR="00D1587D" w:rsidRDefault="00410D07">
      <w:pPr>
        <w:spacing w:line="308" w:lineRule="auto"/>
        <w:ind w:left="300" w:right="339"/>
        <w:rPr>
          <w:sz w:val="20"/>
          <w:szCs w:val="20"/>
        </w:rPr>
      </w:pPr>
      <w:r>
        <w:rPr>
          <w:rFonts w:ascii="Arial" w:eastAsia="Arial" w:hAnsi="Arial" w:cs="Arial"/>
          <w:sz w:val="17"/>
          <w:szCs w:val="17"/>
        </w:rPr>
        <w:t xml:space="preserve">capital was a decrease in operating cash flows of $97 million for the decrease in accounts payable, accrued expenses and other and a decrease in operating cash flows of $60 million for the increase in </w:t>
      </w:r>
      <w:r>
        <w:rPr>
          <w:rFonts w:ascii="Arial" w:eastAsia="Arial" w:hAnsi="Arial" w:cs="Arial"/>
          <w:sz w:val="17"/>
          <w:szCs w:val="17"/>
        </w:rPr>
        <w:t>inventory.</w:t>
      </w:r>
    </w:p>
    <w:p w14:paraId="0A38EA76" w14:textId="77777777" w:rsidR="00D1587D" w:rsidRDefault="00D1587D">
      <w:pPr>
        <w:spacing w:line="38" w:lineRule="exact"/>
        <w:rPr>
          <w:sz w:val="20"/>
          <w:szCs w:val="20"/>
        </w:rPr>
      </w:pPr>
    </w:p>
    <w:p w14:paraId="4487574E" w14:textId="77777777" w:rsidR="00D1587D" w:rsidRDefault="00410D07">
      <w:pPr>
        <w:spacing w:line="271" w:lineRule="auto"/>
        <w:ind w:left="300" w:right="339" w:firstLine="360"/>
        <w:rPr>
          <w:sz w:val="20"/>
          <w:szCs w:val="20"/>
        </w:rPr>
      </w:pPr>
      <w:r>
        <w:rPr>
          <w:rFonts w:ascii="Arial" w:eastAsia="Arial" w:hAnsi="Arial" w:cs="Arial"/>
          <w:sz w:val="17"/>
          <w:szCs w:val="17"/>
        </w:rPr>
        <w:t>Net cash provided by operating activities was $674 million in 2020, including the net loss of $72 million. Net loss included depreciation of $326 million, store and lease asset impairment charges of $254 million, deferred income tax benefits of</w:t>
      </w:r>
      <w:r>
        <w:rPr>
          <w:rFonts w:ascii="Arial" w:eastAsia="Arial" w:hAnsi="Arial" w:cs="Arial"/>
          <w:sz w:val="17"/>
          <w:szCs w:val="17"/>
        </w:rPr>
        <w:t xml:space="preserve"> $64 million, gain from formation of the U.K. and Ireland joint venture of $54 million, gain from the Hong Kong store closure and lease termination of $39 million and share-based compensation expense of $25 million. Other changes in assets and liabilities </w:t>
      </w:r>
      <w:r>
        <w:rPr>
          <w:rFonts w:ascii="Arial" w:eastAsia="Arial" w:hAnsi="Arial" w:cs="Arial"/>
          <w:sz w:val="17"/>
          <w:szCs w:val="17"/>
        </w:rPr>
        <w:t>represent items that had a current period cash flow impact, such as changes in working capital. The most significant items in working capital were an increase in operating cash flow of $141 million associated with the decrease in inventories and an increas</w:t>
      </w:r>
      <w:r>
        <w:rPr>
          <w:rFonts w:ascii="Arial" w:eastAsia="Arial" w:hAnsi="Arial" w:cs="Arial"/>
          <w:sz w:val="17"/>
          <w:szCs w:val="17"/>
        </w:rPr>
        <w:t>e in operating cash flow of $97 million associated with other assets and liabilities.</w:t>
      </w:r>
    </w:p>
    <w:p w14:paraId="172D2C25" w14:textId="77777777" w:rsidR="00D1587D" w:rsidRDefault="00D1587D">
      <w:pPr>
        <w:spacing w:line="70" w:lineRule="exact"/>
        <w:rPr>
          <w:sz w:val="20"/>
          <w:szCs w:val="20"/>
        </w:rPr>
      </w:pPr>
    </w:p>
    <w:p w14:paraId="3B0354FE" w14:textId="77777777" w:rsidR="00D1587D" w:rsidRDefault="00410D07">
      <w:pPr>
        <w:spacing w:line="291" w:lineRule="auto"/>
        <w:ind w:left="300" w:right="399" w:firstLine="360"/>
        <w:rPr>
          <w:sz w:val="20"/>
          <w:szCs w:val="20"/>
        </w:rPr>
      </w:pPr>
      <w:r>
        <w:rPr>
          <w:rFonts w:ascii="Arial" w:eastAsia="Arial" w:hAnsi="Arial" w:cs="Arial"/>
          <w:sz w:val="16"/>
          <w:szCs w:val="16"/>
        </w:rPr>
        <w:t>Net cash provided by operating activities was $315 million in 2019, including the net loss of $897 million. Net loss included depreciation of $411 million, goodwill impa</w:t>
      </w:r>
      <w:r>
        <w:rPr>
          <w:rFonts w:ascii="Arial" w:eastAsia="Arial" w:hAnsi="Arial" w:cs="Arial"/>
          <w:sz w:val="16"/>
          <w:szCs w:val="16"/>
        </w:rPr>
        <w:t>irment charges of $720 million, store and lease asset impairment charges of $263 million, share-based compensation expense of $38 million and deferred income tax benefits of $30 million. Other changes in assets and liabilities represent items that had a cu</w:t>
      </w:r>
      <w:r>
        <w:rPr>
          <w:rFonts w:ascii="Arial" w:eastAsia="Arial" w:hAnsi="Arial" w:cs="Arial"/>
          <w:sz w:val="16"/>
          <w:szCs w:val="16"/>
        </w:rPr>
        <w:t>rrent period cash flow impact, such as changes in working capital. The most significant items in working capital were a decrease in operating cash flow of $118 million associated with the decrease in accounts payables, accrued expenses and other and a decr</w:t>
      </w:r>
      <w:r>
        <w:rPr>
          <w:rFonts w:ascii="Arial" w:eastAsia="Arial" w:hAnsi="Arial" w:cs="Arial"/>
          <w:sz w:val="16"/>
          <w:szCs w:val="16"/>
        </w:rPr>
        <w:t>ease in operating cash flows of $57 million associated with other assets and liabilities.</w:t>
      </w:r>
    </w:p>
    <w:p w14:paraId="09E06E0B" w14:textId="77777777" w:rsidR="00D1587D" w:rsidRDefault="00D1587D">
      <w:pPr>
        <w:spacing w:line="58" w:lineRule="exact"/>
        <w:rPr>
          <w:sz w:val="20"/>
          <w:szCs w:val="20"/>
        </w:rPr>
      </w:pPr>
    </w:p>
    <w:p w14:paraId="01EA4057" w14:textId="77777777" w:rsidR="00D1587D" w:rsidRDefault="00410D07">
      <w:pPr>
        <w:spacing w:line="254" w:lineRule="auto"/>
        <w:ind w:left="300" w:right="339" w:firstLine="360"/>
        <w:rPr>
          <w:sz w:val="20"/>
          <w:szCs w:val="20"/>
        </w:rPr>
      </w:pPr>
      <w:r>
        <w:rPr>
          <w:rFonts w:ascii="Arial" w:eastAsia="Arial" w:hAnsi="Arial" w:cs="Arial"/>
          <w:sz w:val="18"/>
          <w:szCs w:val="18"/>
        </w:rPr>
        <w:t>Net cash provided by operating activities was $698 million in 2018, including net income of $251 million. Net income included depreciation of $425 million, store ass</w:t>
      </w:r>
      <w:r>
        <w:rPr>
          <w:rFonts w:ascii="Arial" w:eastAsia="Arial" w:hAnsi="Arial" w:cs="Arial"/>
          <w:sz w:val="18"/>
          <w:szCs w:val="18"/>
        </w:rPr>
        <w:t>et impairment charges of $101 million, share-based compensation expense of $39 million and deferred income tax benefits of $35 million. Other changes in assets and liabilities represent items that had a current period cash flow impact, such as changes in w</w:t>
      </w:r>
      <w:r>
        <w:rPr>
          <w:rFonts w:ascii="Arial" w:eastAsia="Arial" w:hAnsi="Arial" w:cs="Arial"/>
          <w:sz w:val="18"/>
          <w:szCs w:val="18"/>
        </w:rPr>
        <w:t>orking capital. The most significant items in working capital were a decrease in operating cash flow of $114 million associated with the decrease in Income taxes payable and an increase in operating cash flows of $97 million associated with other assets an</w:t>
      </w:r>
      <w:r>
        <w:rPr>
          <w:rFonts w:ascii="Arial" w:eastAsia="Arial" w:hAnsi="Arial" w:cs="Arial"/>
          <w:sz w:val="18"/>
          <w:szCs w:val="18"/>
        </w:rPr>
        <w:t>d liabilities.</w:t>
      </w:r>
    </w:p>
    <w:p w14:paraId="12B300C1" w14:textId="77777777" w:rsidR="00D1587D" w:rsidRDefault="00D1587D">
      <w:pPr>
        <w:spacing w:line="195" w:lineRule="exact"/>
        <w:rPr>
          <w:sz w:val="20"/>
          <w:szCs w:val="20"/>
        </w:rPr>
      </w:pPr>
    </w:p>
    <w:p w14:paraId="7830B9F7" w14:textId="77777777" w:rsidR="00D1587D" w:rsidRDefault="00410D07">
      <w:pPr>
        <w:ind w:left="660"/>
        <w:rPr>
          <w:sz w:val="20"/>
          <w:szCs w:val="20"/>
        </w:rPr>
      </w:pPr>
      <w:r>
        <w:rPr>
          <w:rFonts w:ascii="Arial" w:eastAsia="Arial" w:hAnsi="Arial" w:cs="Arial"/>
          <w:b/>
          <w:bCs/>
          <w:i/>
          <w:iCs/>
          <w:sz w:val="18"/>
          <w:szCs w:val="18"/>
        </w:rPr>
        <w:t>Cash Used for Investing Activities</w:t>
      </w:r>
    </w:p>
    <w:p w14:paraId="005B1F03" w14:textId="77777777" w:rsidR="00D1587D" w:rsidRDefault="00D1587D">
      <w:pPr>
        <w:spacing w:line="117" w:lineRule="exact"/>
        <w:rPr>
          <w:sz w:val="20"/>
          <w:szCs w:val="20"/>
        </w:rPr>
      </w:pPr>
    </w:p>
    <w:p w14:paraId="42C16751" w14:textId="77777777" w:rsidR="00D1587D" w:rsidRDefault="00410D07">
      <w:pPr>
        <w:spacing w:line="263" w:lineRule="auto"/>
        <w:ind w:left="300" w:right="459" w:firstLine="360"/>
        <w:jc w:val="both"/>
        <w:rPr>
          <w:sz w:val="20"/>
          <w:szCs w:val="20"/>
        </w:rPr>
      </w:pPr>
      <w:r>
        <w:rPr>
          <w:rFonts w:ascii="Arial" w:eastAsia="Arial" w:hAnsi="Arial" w:cs="Arial"/>
          <w:sz w:val="18"/>
          <w:szCs w:val="18"/>
        </w:rPr>
        <w:t xml:space="preserve">Net cash used for investing activities in the first quarter of 2021 was $19 million for capital expenditures. The capital expenditures were primarily related to spending on technology and </w:t>
      </w:r>
      <w:r>
        <w:rPr>
          <w:rFonts w:ascii="Arial" w:eastAsia="Arial" w:hAnsi="Arial" w:cs="Arial"/>
          <w:sz w:val="18"/>
          <w:szCs w:val="18"/>
        </w:rPr>
        <w:t>logistics to support our digital business and other retail capabilities.</w:t>
      </w:r>
    </w:p>
    <w:p w14:paraId="10A5753B" w14:textId="77777777" w:rsidR="00D1587D" w:rsidRDefault="00D1587D">
      <w:pPr>
        <w:spacing w:line="76" w:lineRule="exact"/>
        <w:rPr>
          <w:sz w:val="20"/>
          <w:szCs w:val="20"/>
        </w:rPr>
      </w:pPr>
    </w:p>
    <w:p w14:paraId="368F2264" w14:textId="77777777" w:rsidR="00D1587D" w:rsidRDefault="00410D07">
      <w:pPr>
        <w:spacing w:line="286" w:lineRule="auto"/>
        <w:ind w:left="300" w:right="459" w:firstLine="360"/>
        <w:rPr>
          <w:sz w:val="20"/>
          <w:szCs w:val="20"/>
        </w:rPr>
      </w:pPr>
      <w:r>
        <w:rPr>
          <w:rFonts w:ascii="Arial" w:eastAsia="Arial" w:hAnsi="Arial" w:cs="Arial"/>
          <w:sz w:val="17"/>
          <w:szCs w:val="17"/>
        </w:rPr>
        <w:t xml:space="preserve">Net cash used for investing activities in 2020 was $123 million consisting primarily of $127 million of capital expenditures, offset by $4 million of other investing activities. The </w:t>
      </w:r>
      <w:r>
        <w:rPr>
          <w:rFonts w:ascii="Arial" w:eastAsia="Arial" w:hAnsi="Arial" w:cs="Arial"/>
          <w:sz w:val="17"/>
          <w:szCs w:val="17"/>
        </w:rPr>
        <w:t>capital expenditures were primarily related to spending on technology and logistics to support our digital business and other retail capabilities.</w:t>
      </w:r>
    </w:p>
    <w:p w14:paraId="2C271485" w14:textId="77777777" w:rsidR="00D1587D" w:rsidRDefault="00D1587D">
      <w:pPr>
        <w:spacing w:line="57" w:lineRule="exact"/>
        <w:rPr>
          <w:sz w:val="20"/>
          <w:szCs w:val="20"/>
        </w:rPr>
      </w:pPr>
    </w:p>
    <w:p w14:paraId="724B0303" w14:textId="77777777" w:rsidR="00D1587D" w:rsidRDefault="00410D07">
      <w:pPr>
        <w:spacing w:line="263" w:lineRule="auto"/>
        <w:ind w:left="300" w:right="359" w:firstLine="360"/>
        <w:rPr>
          <w:sz w:val="20"/>
          <w:szCs w:val="20"/>
        </w:rPr>
      </w:pPr>
      <w:r>
        <w:rPr>
          <w:rFonts w:ascii="Arial" w:eastAsia="Arial" w:hAnsi="Arial" w:cs="Arial"/>
          <w:sz w:val="18"/>
          <w:szCs w:val="18"/>
        </w:rPr>
        <w:t>Net cash used for investing activities in 2019 was $243 million consisting primarily of $225 million of capi</w:t>
      </w:r>
      <w:r>
        <w:rPr>
          <w:rFonts w:ascii="Arial" w:eastAsia="Arial" w:hAnsi="Arial" w:cs="Arial"/>
          <w:sz w:val="18"/>
          <w:szCs w:val="18"/>
        </w:rPr>
        <w:t>tal expenditures. The capital expenditures were primarily related to spending on technology and logistics to support our digital business and other retail capabilities.</w:t>
      </w:r>
    </w:p>
    <w:p w14:paraId="42BF7BFB" w14:textId="77777777" w:rsidR="00D1587D" w:rsidRDefault="00D1587D">
      <w:pPr>
        <w:spacing w:line="76" w:lineRule="exact"/>
        <w:rPr>
          <w:sz w:val="20"/>
          <w:szCs w:val="20"/>
        </w:rPr>
      </w:pPr>
    </w:p>
    <w:p w14:paraId="4704299E" w14:textId="77777777" w:rsidR="00D1587D" w:rsidRDefault="00410D07">
      <w:pPr>
        <w:spacing w:line="259" w:lineRule="auto"/>
        <w:ind w:left="300" w:right="419" w:firstLine="360"/>
        <w:rPr>
          <w:sz w:val="20"/>
          <w:szCs w:val="20"/>
        </w:rPr>
      </w:pPr>
      <w:r>
        <w:rPr>
          <w:rFonts w:ascii="Arial" w:eastAsia="Arial" w:hAnsi="Arial" w:cs="Arial"/>
          <w:sz w:val="18"/>
          <w:szCs w:val="18"/>
        </w:rPr>
        <w:t>Net cash used for investing activities in 2018 was $343 million consisting primarily o</w:t>
      </w:r>
      <w:r>
        <w:rPr>
          <w:rFonts w:ascii="Arial" w:eastAsia="Arial" w:hAnsi="Arial" w:cs="Arial"/>
          <w:sz w:val="18"/>
          <w:szCs w:val="18"/>
        </w:rPr>
        <w:t>f $341 million of capital expenditures. The capital expenditures were related to the opening of new stores and remodeling and improving existing stores. Remaining capital expenditures were primarily related to spending on technology and infrastructure to s</w:t>
      </w:r>
      <w:r>
        <w:rPr>
          <w:rFonts w:ascii="Arial" w:eastAsia="Arial" w:hAnsi="Arial" w:cs="Arial"/>
          <w:sz w:val="18"/>
          <w:szCs w:val="18"/>
        </w:rPr>
        <w:t>upport growth.</w:t>
      </w:r>
    </w:p>
    <w:p w14:paraId="05BD7FA6" w14:textId="77777777" w:rsidR="00D1587D" w:rsidRDefault="00D1587D">
      <w:pPr>
        <w:spacing w:line="187" w:lineRule="exact"/>
        <w:rPr>
          <w:sz w:val="20"/>
          <w:szCs w:val="20"/>
        </w:rPr>
      </w:pPr>
    </w:p>
    <w:p w14:paraId="51D6B056" w14:textId="77777777" w:rsidR="00D1587D" w:rsidRDefault="00410D07">
      <w:pPr>
        <w:ind w:left="660"/>
        <w:rPr>
          <w:sz w:val="20"/>
          <w:szCs w:val="20"/>
        </w:rPr>
      </w:pPr>
      <w:r>
        <w:rPr>
          <w:rFonts w:ascii="Arial" w:eastAsia="Arial" w:hAnsi="Arial" w:cs="Arial"/>
          <w:b/>
          <w:bCs/>
          <w:i/>
          <w:iCs/>
          <w:sz w:val="18"/>
          <w:szCs w:val="18"/>
        </w:rPr>
        <w:t>Cash Used for Financing Activities</w:t>
      </w:r>
    </w:p>
    <w:p w14:paraId="3437B373" w14:textId="77777777" w:rsidR="00D1587D" w:rsidRDefault="00D1587D">
      <w:pPr>
        <w:spacing w:line="117" w:lineRule="exact"/>
        <w:rPr>
          <w:sz w:val="20"/>
          <w:szCs w:val="20"/>
        </w:rPr>
      </w:pPr>
    </w:p>
    <w:p w14:paraId="57EC254F" w14:textId="77777777" w:rsidR="00D1587D" w:rsidRDefault="00410D07">
      <w:pPr>
        <w:ind w:left="660"/>
        <w:rPr>
          <w:sz w:val="20"/>
          <w:szCs w:val="20"/>
        </w:rPr>
      </w:pPr>
      <w:r>
        <w:rPr>
          <w:rFonts w:ascii="Arial" w:eastAsia="Arial" w:hAnsi="Arial" w:cs="Arial"/>
          <w:sz w:val="16"/>
          <w:szCs w:val="16"/>
        </w:rPr>
        <w:t>Net cash used for financing activities in the first quarter of 2021 was $88 million related to net transfers to LB.</w:t>
      </w:r>
    </w:p>
    <w:p w14:paraId="19601C12" w14:textId="77777777" w:rsidR="00D1587D" w:rsidRDefault="00D1587D">
      <w:pPr>
        <w:spacing w:line="46" w:lineRule="exact"/>
        <w:rPr>
          <w:sz w:val="20"/>
          <w:szCs w:val="20"/>
        </w:rPr>
      </w:pPr>
    </w:p>
    <w:p w14:paraId="1721A640" w14:textId="77777777" w:rsidR="00D1587D" w:rsidRDefault="00410D07">
      <w:pPr>
        <w:ind w:left="300"/>
        <w:rPr>
          <w:sz w:val="20"/>
          <w:szCs w:val="20"/>
        </w:rPr>
      </w:pPr>
      <w:r>
        <w:rPr>
          <w:rFonts w:ascii="Arial" w:eastAsia="Arial" w:hAnsi="Arial" w:cs="Arial"/>
          <w:sz w:val="17"/>
          <w:szCs w:val="17"/>
        </w:rPr>
        <w:t>Net cash used for financing activities in 2020 was $465 million consisting primarily of</w:t>
      </w:r>
      <w:r>
        <w:rPr>
          <w:rFonts w:ascii="Arial" w:eastAsia="Arial" w:hAnsi="Arial" w:cs="Arial"/>
          <w:sz w:val="17"/>
          <w:szCs w:val="17"/>
        </w:rPr>
        <w:t xml:space="preserve"> net transfers to LB of</w:t>
      </w:r>
    </w:p>
    <w:p w14:paraId="00F39236" w14:textId="77777777" w:rsidR="00D1587D" w:rsidRDefault="00D1587D">
      <w:pPr>
        <w:spacing w:line="21" w:lineRule="exact"/>
        <w:rPr>
          <w:sz w:val="20"/>
          <w:szCs w:val="20"/>
        </w:rPr>
      </w:pPr>
    </w:p>
    <w:p w14:paraId="1B3CD47F" w14:textId="77777777" w:rsidR="00D1587D" w:rsidRDefault="00410D07">
      <w:pPr>
        <w:ind w:left="300"/>
        <w:rPr>
          <w:sz w:val="20"/>
          <w:szCs w:val="20"/>
        </w:rPr>
      </w:pPr>
      <w:r>
        <w:rPr>
          <w:rFonts w:ascii="Arial" w:eastAsia="Arial" w:hAnsi="Arial" w:cs="Arial"/>
          <w:sz w:val="17"/>
          <w:szCs w:val="17"/>
        </w:rPr>
        <w:t>$407 million, $155 million of net repayments under our Foreign Facilities (as defined below), partially offset by</w:t>
      </w:r>
    </w:p>
    <w:p w14:paraId="07B0CC6E" w14:textId="77777777" w:rsidR="00D1587D" w:rsidRDefault="00D1587D">
      <w:pPr>
        <w:spacing w:line="21" w:lineRule="exact"/>
        <w:rPr>
          <w:sz w:val="20"/>
          <w:szCs w:val="20"/>
        </w:rPr>
      </w:pPr>
    </w:p>
    <w:p w14:paraId="249F5119" w14:textId="77777777" w:rsidR="00D1587D" w:rsidRDefault="00410D07">
      <w:pPr>
        <w:ind w:left="300"/>
        <w:rPr>
          <w:sz w:val="20"/>
          <w:szCs w:val="20"/>
        </w:rPr>
      </w:pPr>
      <w:r>
        <w:rPr>
          <w:rFonts w:ascii="Arial" w:eastAsia="Arial" w:hAnsi="Arial" w:cs="Arial"/>
          <w:sz w:val="17"/>
          <w:szCs w:val="17"/>
        </w:rPr>
        <w:t xml:space="preserve">borrowings from a related party of $97 million. Net cash used for financing activities in 2019 was $192 </w:t>
      </w:r>
      <w:r>
        <w:rPr>
          <w:rFonts w:ascii="Arial" w:eastAsia="Arial" w:hAnsi="Arial" w:cs="Arial"/>
          <w:sz w:val="17"/>
          <w:szCs w:val="17"/>
        </w:rPr>
        <w:t>million</w:t>
      </w:r>
    </w:p>
    <w:p w14:paraId="0EF6DF99" w14:textId="77777777" w:rsidR="00D1587D" w:rsidRDefault="00D1587D">
      <w:pPr>
        <w:spacing w:line="21" w:lineRule="exact"/>
        <w:rPr>
          <w:sz w:val="20"/>
          <w:szCs w:val="20"/>
        </w:rPr>
      </w:pPr>
    </w:p>
    <w:p w14:paraId="2FECB28F" w14:textId="77777777" w:rsidR="00D1587D" w:rsidRDefault="00410D07">
      <w:pPr>
        <w:ind w:left="300"/>
        <w:rPr>
          <w:sz w:val="20"/>
          <w:szCs w:val="20"/>
        </w:rPr>
      </w:pPr>
      <w:r>
        <w:rPr>
          <w:rFonts w:ascii="Arial" w:eastAsia="Arial" w:hAnsi="Arial" w:cs="Arial"/>
          <w:sz w:val="16"/>
          <w:szCs w:val="16"/>
        </w:rPr>
        <w:t>consisting primarily of net transfers to LB of $197 million partially offset by $5 million of net borrowings under our</w:t>
      </w:r>
    </w:p>
    <w:p w14:paraId="268ADC19" w14:textId="77777777" w:rsidR="00D1587D" w:rsidRDefault="00D1587D">
      <w:pPr>
        <w:spacing w:line="32" w:lineRule="exact"/>
        <w:rPr>
          <w:sz w:val="20"/>
          <w:szCs w:val="20"/>
        </w:rPr>
      </w:pPr>
    </w:p>
    <w:p w14:paraId="382A797F" w14:textId="77777777" w:rsidR="00D1587D" w:rsidRDefault="00410D07">
      <w:pPr>
        <w:ind w:left="300"/>
        <w:rPr>
          <w:sz w:val="20"/>
          <w:szCs w:val="20"/>
        </w:rPr>
      </w:pPr>
      <w:r>
        <w:rPr>
          <w:rFonts w:ascii="Arial" w:eastAsia="Arial" w:hAnsi="Arial" w:cs="Arial"/>
          <w:sz w:val="17"/>
          <w:szCs w:val="17"/>
        </w:rPr>
        <w:t>Foreign Facilities. Net cash used for financing activities in 2018 was $264 million consisting primarily of net</w:t>
      </w:r>
    </w:p>
    <w:p w14:paraId="5083C721" w14:textId="77777777" w:rsidR="00D1587D" w:rsidRDefault="00D1587D">
      <w:pPr>
        <w:spacing w:line="21" w:lineRule="exact"/>
        <w:rPr>
          <w:sz w:val="20"/>
          <w:szCs w:val="20"/>
        </w:rPr>
      </w:pPr>
    </w:p>
    <w:p w14:paraId="6A7B11CE" w14:textId="77777777" w:rsidR="00D1587D" w:rsidRDefault="00410D07">
      <w:pPr>
        <w:ind w:left="300"/>
        <w:rPr>
          <w:sz w:val="20"/>
          <w:szCs w:val="20"/>
        </w:rPr>
      </w:pPr>
      <w:r>
        <w:rPr>
          <w:rFonts w:ascii="Arial" w:eastAsia="Arial" w:hAnsi="Arial" w:cs="Arial"/>
          <w:sz w:val="17"/>
          <w:szCs w:val="17"/>
        </w:rPr>
        <w:t>transfers to L</w:t>
      </w:r>
      <w:r>
        <w:rPr>
          <w:rFonts w:ascii="Arial" w:eastAsia="Arial" w:hAnsi="Arial" w:cs="Arial"/>
          <w:sz w:val="17"/>
          <w:szCs w:val="17"/>
        </w:rPr>
        <w:t>B of $327 million partially offset by $63 million of net borrowings under our Foreign Facilities.</w:t>
      </w:r>
    </w:p>
    <w:p w14:paraId="0E66FD5B" w14:textId="77777777" w:rsidR="00D1587D" w:rsidRDefault="00D1587D">
      <w:pPr>
        <w:spacing w:line="114" w:lineRule="exact"/>
        <w:rPr>
          <w:sz w:val="20"/>
          <w:szCs w:val="20"/>
        </w:rPr>
      </w:pPr>
    </w:p>
    <w:p w14:paraId="201246A8" w14:textId="77777777" w:rsidR="00D1587D" w:rsidRDefault="00410D07">
      <w:pPr>
        <w:spacing w:line="342" w:lineRule="auto"/>
        <w:ind w:left="300" w:right="399" w:firstLine="360"/>
        <w:rPr>
          <w:sz w:val="20"/>
          <w:szCs w:val="20"/>
        </w:rPr>
      </w:pPr>
      <w:r>
        <w:rPr>
          <w:rFonts w:ascii="Arial" w:eastAsia="Arial" w:hAnsi="Arial" w:cs="Arial"/>
          <w:sz w:val="16"/>
          <w:szCs w:val="16"/>
        </w:rPr>
        <w:t>The Company had a related party note payable, with LB as the counterparty, of $97 million at May 1, 2021. At the time of the Separation, we will no longer ha</w:t>
      </w:r>
      <w:r>
        <w:rPr>
          <w:rFonts w:ascii="Arial" w:eastAsia="Arial" w:hAnsi="Arial" w:cs="Arial"/>
          <w:sz w:val="16"/>
          <w:szCs w:val="16"/>
        </w:rPr>
        <w:t>ve the related party note and associated accrued interest balance.</w:t>
      </w:r>
    </w:p>
    <w:p w14:paraId="782D5027" w14:textId="77777777" w:rsidR="00D1587D" w:rsidRDefault="00D1587D">
      <w:pPr>
        <w:spacing w:line="124" w:lineRule="exact"/>
        <w:rPr>
          <w:sz w:val="20"/>
          <w:szCs w:val="20"/>
        </w:rPr>
      </w:pPr>
    </w:p>
    <w:p w14:paraId="7D68E00D" w14:textId="77777777" w:rsidR="00D1587D" w:rsidRDefault="00410D07">
      <w:pPr>
        <w:jc w:val="center"/>
        <w:rPr>
          <w:sz w:val="20"/>
          <w:szCs w:val="20"/>
        </w:rPr>
      </w:pPr>
      <w:r>
        <w:rPr>
          <w:rFonts w:ascii="Arial" w:eastAsia="Arial" w:hAnsi="Arial" w:cs="Arial"/>
          <w:sz w:val="18"/>
          <w:szCs w:val="18"/>
        </w:rPr>
        <w:t>83</w:t>
      </w:r>
    </w:p>
    <w:p w14:paraId="3B68448A" w14:textId="77777777" w:rsidR="00D1587D" w:rsidRDefault="00410D07">
      <w:pPr>
        <w:spacing w:line="20" w:lineRule="exact"/>
        <w:rPr>
          <w:sz w:val="20"/>
          <w:szCs w:val="20"/>
        </w:rPr>
      </w:pPr>
      <w:r>
        <w:rPr>
          <w:noProof/>
          <w:sz w:val="20"/>
          <w:szCs w:val="20"/>
        </w:rPr>
        <w:drawing>
          <wp:anchor distT="0" distB="0" distL="114300" distR="114300" simplePos="0" relativeHeight="251758592" behindDoc="1" locked="0" layoutInCell="0" allowOverlap="1" wp14:anchorId="36A03B48" wp14:editId="3C0EFD91">
            <wp:simplePos x="0" y="0"/>
            <wp:positionH relativeFrom="column">
              <wp:posOffset>-636905</wp:posOffset>
            </wp:positionH>
            <wp:positionV relativeFrom="paragraph">
              <wp:posOffset>134620</wp:posOffset>
            </wp:positionV>
            <wp:extent cx="6995160" cy="17145"/>
            <wp:effectExtent l="0" t="0" r="0" b="0"/>
            <wp:wrapNone/>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A1A38AD" w14:textId="77777777" w:rsidR="00D1587D" w:rsidRDefault="00D1587D">
      <w:pPr>
        <w:sectPr w:rsidR="00D1587D">
          <w:pgSz w:w="11900" w:h="16838"/>
          <w:pgMar w:top="265" w:right="1440" w:bottom="1440" w:left="1440" w:header="0" w:footer="0" w:gutter="0"/>
          <w:cols w:space="720" w:equalWidth="0">
            <w:col w:w="9019"/>
          </w:cols>
        </w:sectPr>
      </w:pPr>
    </w:p>
    <w:bookmarkStart w:id="341" w:name="page342"/>
    <w:bookmarkEnd w:id="341"/>
    <w:p w14:paraId="4AFD16D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A614530" w14:textId="77777777" w:rsidR="00D1587D" w:rsidRDefault="00D1587D">
      <w:pPr>
        <w:spacing w:line="131" w:lineRule="exact"/>
        <w:rPr>
          <w:sz w:val="20"/>
          <w:szCs w:val="20"/>
        </w:rPr>
      </w:pPr>
    </w:p>
    <w:p w14:paraId="30A8268B" w14:textId="77777777" w:rsidR="00D1587D" w:rsidRDefault="00410D07">
      <w:pPr>
        <w:spacing w:line="293" w:lineRule="auto"/>
        <w:ind w:left="300" w:right="339" w:firstLine="360"/>
        <w:rPr>
          <w:sz w:val="20"/>
          <w:szCs w:val="20"/>
        </w:rPr>
      </w:pPr>
      <w:r>
        <w:rPr>
          <w:rFonts w:ascii="Arial" w:eastAsia="Arial" w:hAnsi="Arial" w:cs="Arial"/>
          <w:sz w:val="16"/>
          <w:szCs w:val="16"/>
        </w:rPr>
        <w:t xml:space="preserve">Certain of the Company’s China subsidiaries utilize revolving and term loan bank facilities to support their </w:t>
      </w:r>
      <w:r>
        <w:rPr>
          <w:rFonts w:ascii="Arial" w:eastAsia="Arial" w:hAnsi="Arial" w:cs="Arial"/>
          <w:sz w:val="16"/>
          <w:szCs w:val="16"/>
        </w:rPr>
        <w:t xml:space="preserve">operations (the “Foreign Facilities”). These facilities are guaranteed by LB and certain of LB’s and our 100% owned subsidiaries. As of May 1, 2021, there were no outstanding borrowings under the Foreign Facilities. Further, during 2020, LB placed cash on </w:t>
      </w:r>
      <w:r>
        <w:rPr>
          <w:rFonts w:ascii="Arial" w:eastAsia="Arial" w:hAnsi="Arial" w:cs="Arial"/>
          <w:sz w:val="16"/>
          <w:szCs w:val="16"/>
        </w:rPr>
        <w:t>deposit with certain financial institutions as collateral for the Foreign Facilities. The amount of collateral required was dependent upon the aggregate lending commitments and totaled $30 million as of May 1, 2021. The Company expects to terminate the For</w:t>
      </w:r>
      <w:r>
        <w:rPr>
          <w:rFonts w:ascii="Arial" w:eastAsia="Arial" w:hAnsi="Arial" w:cs="Arial"/>
          <w:sz w:val="16"/>
          <w:szCs w:val="16"/>
        </w:rPr>
        <w:t>eign Facilities prior to the Separation.</w:t>
      </w:r>
    </w:p>
    <w:p w14:paraId="3DDB6FBF" w14:textId="77777777" w:rsidR="00D1587D" w:rsidRDefault="00D1587D">
      <w:pPr>
        <w:spacing w:line="56" w:lineRule="exact"/>
        <w:rPr>
          <w:sz w:val="20"/>
          <w:szCs w:val="20"/>
        </w:rPr>
      </w:pPr>
    </w:p>
    <w:p w14:paraId="265AD6A5" w14:textId="77777777" w:rsidR="00D1587D" w:rsidRDefault="00410D07">
      <w:pPr>
        <w:spacing w:line="257" w:lineRule="auto"/>
        <w:ind w:left="300" w:right="439" w:firstLine="360"/>
        <w:rPr>
          <w:sz w:val="20"/>
          <w:szCs w:val="20"/>
        </w:rPr>
      </w:pPr>
      <w:r>
        <w:rPr>
          <w:rFonts w:ascii="Arial" w:eastAsia="Arial" w:hAnsi="Arial" w:cs="Arial"/>
          <w:sz w:val="18"/>
          <w:szCs w:val="18"/>
        </w:rPr>
        <w:t xml:space="preserve">Under the Separation and Distribution Agreement, the Company is required to use commercially reasonable efforts to, effective as of the Distribution, terminate any guarantee provided by LB or any of its </w:t>
      </w:r>
      <w:r>
        <w:rPr>
          <w:rFonts w:ascii="Arial" w:eastAsia="Arial" w:hAnsi="Arial" w:cs="Arial"/>
          <w:sz w:val="18"/>
          <w:szCs w:val="18"/>
        </w:rPr>
        <w:t>subsidiaries for the benefit of the Company or its subsidiaries, or remove or substitute LB and its subsidiaries as guarantors under such guarantees and, if not effected by the Distribution, to effect such termination, removal or substitution as soon as re</w:t>
      </w:r>
      <w:r>
        <w:rPr>
          <w:rFonts w:ascii="Arial" w:eastAsia="Arial" w:hAnsi="Arial" w:cs="Arial"/>
          <w:sz w:val="18"/>
          <w:szCs w:val="18"/>
        </w:rPr>
        <w:t>asonably practicable after the Distribution.</w:t>
      </w:r>
    </w:p>
    <w:p w14:paraId="05E92CC5" w14:textId="77777777" w:rsidR="00D1587D" w:rsidRDefault="00D1587D">
      <w:pPr>
        <w:spacing w:line="282" w:lineRule="exact"/>
        <w:rPr>
          <w:sz w:val="20"/>
          <w:szCs w:val="20"/>
        </w:rPr>
      </w:pPr>
    </w:p>
    <w:p w14:paraId="5D673737" w14:textId="77777777" w:rsidR="00D1587D" w:rsidRDefault="00410D07">
      <w:pPr>
        <w:ind w:left="660"/>
        <w:rPr>
          <w:sz w:val="20"/>
          <w:szCs w:val="20"/>
        </w:rPr>
      </w:pPr>
      <w:r>
        <w:rPr>
          <w:rFonts w:ascii="Arial" w:eastAsia="Arial" w:hAnsi="Arial" w:cs="Arial"/>
          <w:b/>
          <w:bCs/>
          <w:i/>
          <w:iCs/>
          <w:sz w:val="18"/>
          <w:szCs w:val="18"/>
        </w:rPr>
        <w:t>Working Capital</w:t>
      </w:r>
    </w:p>
    <w:p w14:paraId="5BBE14EB" w14:textId="77777777" w:rsidR="00D1587D" w:rsidRDefault="00D1587D">
      <w:pPr>
        <w:spacing w:line="117" w:lineRule="exact"/>
        <w:rPr>
          <w:sz w:val="20"/>
          <w:szCs w:val="20"/>
        </w:rPr>
      </w:pPr>
    </w:p>
    <w:p w14:paraId="26355057" w14:textId="77777777" w:rsidR="00D1587D" w:rsidRDefault="00410D07">
      <w:pPr>
        <w:spacing w:line="275" w:lineRule="auto"/>
        <w:ind w:left="300" w:right="299" w:firstLine="360"/>
        <w:rPr>
          <w:sz w:val="20"/>
          <w:szCs w:val="20"/>
        </w:rPr>
      </w:pPr>
      <w:r>
        <w:rPr>
          <w:rFonts w:ascii="Arial" w:eastAsia="Arial" w:hAnsi="Arial" w:cs="Arial"/>
          <w:sz w:val="17"/>
          <w:szCs w:val="17"/>
        </w:rPr>
        <w:t>Historically, we have generated annual cash flow from operating activities to support our working capital needs. However, we have operated within LB’s cash management structure, which uses a ce</w:t>
      </w:r>
      <w:r>
        <w:rPr>
          <w:rFonts w:ascii="Arial" w:eastAsia="Arial" w:hAnsi="Arial" w:cs="Arial"/>
          <w:sz w:val="17"/>
          <w:szCs w:val="17"/>
        </w:rPr>
        <w:t>ntralized approach to cash management and financing of our operations. A substantial portion of our cash is transferred to LB. This arrangement is not reflective of the manner in which we would have been able to finance our operations had we been an indepe</w:t>
      </w:r>
      <w:r>
        <w:rPr>
          <w:rFonts w:ascii="Arial" w:eastAsia="Arial" w:hAnsi="Arial" w:cs="Arial"/>
          <w:sz w:val="17"/>
          <w:szCs w:val="17"/>
        </w:rPr>
        <w:t>ndent, publicly traded company during the periods presented.</w:t>
      </w:r>
    </w:p>
    <w:p w14:paraId="6657F2B1" w14:textId="77777777" w:rsidR="00D1587D" w:rsidRDefault="00D1587D">
      <w:pPr>
        <w:spacing w:line="267" w:lineRule="exact"/>
        <w:rPr>
          <w:sz w:val="20"/>
          <w:szCs w:val="20"/>
        </w:rPr>
      </w:pPr>
    </w:p>
    <w:p w14:paraId="57066F61" w14:textId="77777777" w:rsidR="00D1587D" w:rsidRDefault="00410D07">
      <w:pPr>
        <w:ind w:left="300"/>
        <w:rPr>
          <w:sz w:val="20"/>
          <w:szCs w:val="20"/>
        </w:rPr>
      </w:pPr>
      <w:r>
        <w:rPr>
          <w:rFonts w:ascii="Arial" w:eastAsia="Arial" w:hAnsi="Arial" w:cs="Arial"/>
          <w:b/>
          <w:bCs/>
          <w:sz w:val="18"/>
          <w:szCs w:val="18"/>
        </w:rPr>
        <w:t>Contractual Obligations</w:t>
      </w:r>
    </w:p>
    <w:p w14:paraId="2CEBB87A" w14:textId="77777777" w:rsidR="00D1587D" w:rsidRDefault="00D1587D">
      <w:pPr>
        <w:spacing w:line="121" w:lineRule="exact"/>
        <w:rPr>
          <w:sz w:val="20"/>
          <w:szCs w:val="20"/>
        </w:rPr>
      </w:pPr>
    </w:p>
    <w:p w14:paraId="6A10EACC" w14:textId="77777777" w:rsidR="00D1587D" w:rsidRDefault="00410D07">
      <w:pPr>
        <w:spacing w:line="296" w:lineRule="auto"/>
        <w:ind w:left="300" w:right="339" w:firstLine="360"/>
        <w:rPr>
          <w:sz w:val="20"/>
          <w:szCs w:val="20"/>
        </w:rPr>
      </w:pPr>
      <w:r>
        <w:rPr>
          <w:rFonts w:ascii="Arial" w:eastAsia="Arial" w:hAnsi="Arial" w:cs="Arial"/>
          <w:sz w:val="16"/>
          <w:szCs w:val="16"/>
        </w:rPr>
        <w:t>The table below provides our estimated contractual obligations, aggregated by type, including the maturity profile as of January 30, 2021. These estimated contractual ob</w:t>
      </w:r>
      <w:r>
        <w:rPr>
          <w:rFonts w:ascii="Arial" w:eastAsia="Arial" w:hAnsi="Arial" w:cs="Arial"/>
          <w:sz w:val="16"/>
          <w:szCs w:val="16"/>
        </w:rPr>
        <w:t>ligations may not be representative of our future contractual obligations profile as an independent, publicly traded company. Our estimated contractual obligations do not reflect changes that we expect to experience in the future as a result of the Separat</w:t>
      </w:r>
      <w:r>
        <w:rPr>
          <w:rFonts w:ascii="Arial" w:eastAsia="Arial" w:hAnsi="Arial" w:cs="Arial"/>
          <w:sz w:val="16"/>
          <w:szCs w:val="16"/>
        </w:rPr>
        <w:t>ion, such as contractual arrangements that we may enter into in the future that were historically entered into by LB for shared-services.</w:t>
      </w:r>
    </w:p>
    <w:p w14:paraId="260C8315" w14:textId="77777777" w:rsidR="00D1587D" w:rsidRDefault="00D1587D">
      <w:pPr>
        <w:spacing w:line="113"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3980"/>
        <w:gridCol w:w="80"/>
        <w:gridCol w:w="100"/>
        <w:gridCol w:w="400"/>
        <w:gridCol w:w="200"/>
        <w:gridCol w:w="220"/>
        <w:gridCol w:w="460"/>
        <w:gridCol w:w="180"/>
        <w:gridCol w:w="220"/>
        <w:gridCol w:w="360"/>
        <w:gridCol w:w="200"/>
        <w:gridCol w:w="580"/>
        <w:gridCol w:w="180"/>
        <w:gridCol w:w="680"/>
        <w:gridCol w:w="200"/>
        <w:gridCol w:w="380"/>
        <w:gridCol w:w="20"/>
      </w:tblGrid>
      <w:tr w:rsidR="00D1587D" w14:paraId="7482BFD5" w14:textId="77777777">
        <w:trPr>
          <w:trHeight w:val="186"/>
        </w:trPr>
        <w:tc>
          <w:tcPr>
            <w:tcW w:w="3980" w:type="dxa"/>
            <w:vAlign w:val="bottom"/>
          </w:tcPr>
          <w:p w14:paraId="490D707B" w14:textId="77777777" w:rsidR="00D1587D" w:rsidRDefault="00D1587D">
            <w:pPr>
              <w:rPr>
                <w:sz w:val="16"/>
                <w:szCs w:val="16"/>
              </w:rPr>
            </w:pPr>
          </w:p>
        </w:tc>
        <w:tc>
          <w:tcPr>
            <w:tcW w:w="80" w:type="dxa"/>
            <w:vAlign w:val="bottom"/>
          </w:tcPr>
          <w:p w14:paraId="23A0ECD6" w14:textId="77777777" w:rsidR="00D1587D" w:rsidRDefault="00D1587D">
            <w:pPr>
              <w:rPr>
                <w:sz w:val="16"/>
                <w:szCs w:val="16"/>
              </w:rPr>
            </w:pPr>
          </w:p>
        </w:tc>
        <w:tc>
          <w:tcPr>
            <w:tcW w:w="100" w:type="dxa"/>
            <w:vAlign w:val="bottom"/>
          </w:tcPr>
          <w:p w14:paraId="6FAA9286" w14:textId="77777777" w:rsidR="00D1587D" w:rsidRDefault="00D1587D">
            <w:pPr>
              <w:rPr>
                <w:sz w:val="16"/>
                <w:szCs w:val="16"/>
              </w:rPr>
            </w:pPr>
          </w:p>
        </w:tc>
        <w:tc>
          <w:tcPr>
            <w:tcW w:w="400" w:type="dxa"/>
            <w:vAlign w:val="bottom"/>
          </w:tcPr>
          <w:p w14:paraId="7DC41523" w14:textId="77777777" w:rsidR="00D1587D" w:rsidRDefault="00D1587D">
            <w:pPr>
              <w:rPr>
                <w:sz w:val="16"/>
                <w:szCs w:val="16"/>
              </w:rPr>
            </w:pPr>
          </w:p>
        </w:tc>
        <w:tc>
          <w:tcPr>
            <w:tcW w:w="200" w:type="dxa"/>
            <w:vAlign w:val="bottom"/>
          </w:tcPr>
          <w:p w14:paraId="666BE6A9" w14:textId="77777777" w:rsidR="00D1587D" w:rsidRDefault="00D1587D">
            <w:pPr>
              <w:rPr>
                <w:sz w:val="16"/>
                <w:szCs w:val="16"/>
              </w:rPr>
            </w:pPr>
          </w:p>
        </w:tc>
        <w:tc>
          <w:tcPr>
            <w:tcW w:w="220" w:type="dxa"/>
            <w:vAlign w:val="bottom"/>
          </w:tcPr>
          <w:p w14:paraId="547CC07A" w14:textId="77777777" w:rsidR="00D1587D" w:rsidRDefault="00D1587D">
            <w:pPr>
              <w:rPr>
                <w:sz w:val="16"/>
                <w:szCs w:val="16"/>
              </w:rPr>
            </w:pPr>
          </w:p>
        </w:tc>
        <w:tc>
          <w:tcPr>
            <w:tcW w:w="460" w:type="dxa"/>
            <w:vAlign w:val="bottom"/>
          </w:tcPr>
          <w:p w14:paraId="50F0F56A" w14:textId="77777777" w:rsidR="00D1587D" w:rsidRDefault="00D1587D">
            <w:pPr>
              <w:rPr>
                <w:sz w:val="16"/>
                <w:szCs w:val="16"/>
              </w:rPr>
            </w:pPr>
          </w:p>
        </w:tc>
        <w:tc>
          <w:tcPr>
            <w:tcW w:w="1720" w:type="dxa"/>
            <w:gridSpan w:val="6"/>
            <w:vAlign w:val="bottom"/>
          </w:tcPr>
          <w:p w14:paraId="4703CF54" w14:textId="77777777" w:rsidR="00D1587D" w:rsidRDefault="00410D07">
            <w:pPr>
              <w:ind w:right="120"/>
              <w:jc w:val="center"/>
              <w:rPr>
                <w:sz w:val="20"/>
                <w:szCs w:val="20"/>
              </w:rPr>
            </w:pPr>
            <w:r>
              <w:rPr>
                <w:rFonts w:ascii="Arial" w:eastAsia="Arial" w:hAnsi="Arial" w:cs="Arial"/>
                <w:b/>
                <w:bCs/>
                <w:w w:val="92"/>
                <w:sz w:val="14"/>
                <w:szCs w:val="14"/>
              </w:rPr>
              <w:t>Payments Due by Period</w:t>
            </w:r>
          </w:p>
        </w:tc>
        <w:tc>
          <w:tcPr>
            <w:tcW w:w="680" w:type="dxa"/>
            <w:vAlign w:val="bottom"/>
          </w:tcPr>
          <w:p w14:paraId="7835B1F6" w14:textId="77777777" w:rsidR="00D1587D" w:rsidRDefault="00D1587D">
            <w:pPr>
              <w:rPr>
                <w:sz w:val="16"/>
                <w:szCs w:val="16"/>
              </w:rPr>
            </w:pPr>
          </w:p>
        </w:tc>
        <w:tc>
          <w:tcPr>
            <w:tcW w:w="200" w:type="dxa"/>
            <w:vAlign w:val="bottom"/>
          </w:tcPr>
          <w:p w14:paraId="3EF93283" w14:textId="77777777" w:rsidR="00D1587D" w:rsidRDefault="00D1587D">
            <w:pPr>
              <w:rPr>
                <w:sz w:val="16"/>
                <w:szCs w:val="16"/>
              </w:rPr>
            </w:pPr>
          </w:p>
        </w:tc>
        <w:tc>
          <w:tcPr>
            <w:tcW w:w="380" w:type="dxa"/>
            <w:vAlign w:val="bottom"/>
          </w:tcPr>
          <w:p w14:paraId="7913A713" w14:textId="77777777" w:rsidR="00D1587D" w:rsidRDefault="00D1587D">
            <w:pPr>
              <w:rPr>
                <w:sz w:val="16"/>
                <w:szCs w:val="16"/>
              </w:rPr>
            </w:pPr>
          </w:p>
        </w:tc>
        <w:tc>
          <w:tcPr>
            <w:tcW w:w="0" w:type="dxa"/>
            <w:vAlign w:val="bottom"/>
          </w:tcPr>
          <w:p w14:paraId="01FD7BCB" w14:textId="77777777" w:rsidR="00D1587D" w:rsidRDefault="00D1587D">
            <w:pPr>
              <w:rPr>
                <w:sz w:val="1"/>
                <w:szCs w:val="1"/>
              </w:rPr>
            </w:pPr>
          </w:p>
        </w:tc>
      </w:tr>
      <w:tr w:rsidR="00D1587D" w14:paraId="7740F150" w14:textId="77777777">
        <w:trPr>
          <w:trHeight w:val="53"/>
        </w:trPr>
        <w:tc>
          <w:tcPr>
            <w:tcW w:w="3980" w:type="dxa"/>
            <w:vAlign w:val="bottom"/>
          </w:tcPr>
          <w:p w14:paraId="57064B36" w14:textId="77777777" w:rsidR="00D1587D" w:rsidRDefault="00D1587D">
            <w:pPr>
              <w:rPr>
                <w:sz w:val="4"/>
                <w:szCs w:val="4"/>
              </w:rPr>
            </w:pPr>
          </w:p>
        </w:tc>
        <w:tc>
          <w:tcPr>
            <w:tcW w:w="80" w:type="dxa"/>
            <w:vAlign w:val="bottom"/>
          </w:tcPr>
          <w:p w14:paraId="278038B3" w14:textId="77777777" w:rsidR="00D1587D" w:rsidRDefault="00D1587D">
            <w:pPr>
              <w:rPr>
                <w:sz w:val="4"/>
                <w:szCs w:val="4"/>
              </w:rPr>
            </w:pPr>
          </w:p>
        </w:tc>
        <w:tc>
          <w:tcPr>
            <w:tcW w:w="100" w:type="dxa"/>
            <w:tcBorders>
              <w:bottom w:val="single" w:sz="8" w:space="0" w:color="auto"/>
            </w:tcBorders>
            <w:vAlign w:val="bottom"/>
          </w:tcPr>
          <w:p w14:paraId="7D0BFBF2" w14:textId="77777777" w:rsidR="00D1587D" w:rsidRDefault="00D1587D">
            <w:pPr>
              <w:rPr>
                <w:sz w:val="4"/>
                <w:szCs w:val="4"/>
              </w:rPr>
            </w:pPr>
          </w:p>
        </w:tc>
        <w:tc>
          <w:tcPr>
            <w:tcW w:w="400" w:type="dxa"/>
            <w:tcBorders>
              <w:bottom w:val="single" w:sz="8" w:space="0" w:color="auto"/>
            </w:tcBorders>
            <w:vAlign w:val="bottom"/>
          </w:tcPr>
          <w:p w14:paraId="4FCD79B6" w14:textId="77777777" w:rsidR="00D1587D" w:rsidRDefault="00D1587D">
            <w:pPr>
              <w:rPr>
                <w:sz w:val="4"/>
                <w:szCs w:val="4"/>
              </w:rPr>
            </w:pPr>
          </w:p>
        </w:tc>
        <w:tc>
          <w:tcPr>
            <w:tcW w:w="200" w:type="dxa"/>
            <w:tcBorders>
              <w:bottom w:val="single" w:sz="8" w:space="0" w:color="auto"/>
            </w:tcBorders>
            <w:vAlign w:val="bottom"/>
          </w:tcPr>
          <w:p w14:paraId="18C30C44" w14:textId="77777777" w:rsidR="00D1587D" w:rsidRDefault="00D1587D">
            <w:pPr>
              <w:rPr>
                <w:sz w:val="4"/>
                <w:szCs w:val="4"/>
              </w:rPr>
            </w:pPr>
          </w:p>
        </w:tc>
        <w:tc>
          <w:tcPr>
            <w:tcW w:w="680" w:type="dxa"/>
            <w:gridSpan w:val="2"/>
            <w:tcBorders>
              <w:bottom w:val="single" w:sz="8" w:space="0" w:color="auto"/>
            </w:tcBorders>
            <w:vAlign w:val="bottom"/>
          </w:tcPr>
          <w:p w14:paraId="0DBA5BAE" w14:textId="77777777" w:rsidR="00D1587D" w:rsidRDefault="00D1587D">
            <w:pPr>
              <w:rPr>
                <w:sz w:val="4"/>
                <w:szCs w:val="4"/>
              </w:rPr>
            </w:pPr>
          </w:p>
        </w:tc>
        <w:tc>
          <w:tcPr>
            <w:tcW w:w="180" w:type="dxa"/>
            <w:tcBorders>
              <w:bottom w:val="single" w:sz="8" w:space="0" w:color="auto"/>
            </w:tcBorders>
            <w:vAlign w:val="bottom"/>
          </w:tcPr>
          <w:p w14:paraId="415BE6EC" w14:textId="77777777" w:rsidR="00D1587D" w:rsidRDefault="00D1587D">
            <w:pPr>
              <w:rPr>
                <w:sz w:val="4"/>
                <w:szCs w:val="4"/>
              </w:rPr>
            </w:pPr>
          </w:p>
        </w:tc>
        <w:tc>
          <w:tcPr>
            <w:tcW w:w="220" w:type="dxa"/>
            <w:tcBorders>
              <w:bottom w:val="single" w:sz="8" w:space="0" w:color="auto"/>
            </w:tcBorders>
            <w:vAlign w:val="bottom"/>
          </w:tcPr>
          <w:p w14:paraId="7DB6B4DC" w14:textId="77777777" w:rsidR="00D1587D" w:rsidRDefault="00D1587D">
            <w:pPr>
              <w:rPr>
                <w:sz w:val="4"/>
                <w:szCs w:val="4"/>
              </w:rPr>
            </w:pPr>
          </w:p>
        </w:tc>
        <w:tc>
          <w:tcPr>
            <w:tcW w:w="360" w:type="dxa"/>
            <w:tcBorders>
              <w:bottom w:val="single" w:sz="8" w:space="0" w:color="auto"/>
            </w:tcBorders>
            <w:vAlign w:val="bottom"/>
          </w:tcPr>
          <w:p w14:paraId="654566E9" w14:textId="77777777" w:rsidR="00D1587D" w:rsidRDefault="00D1587D">
            <w:pPr>
              <w:rPr>
                <w:sz w:val="4"/>
                <w:szCs w:val="4"/>
              </w:rPr>
            </w:pPr>
          </w:p>
        </w:tc>
        <w:tc>
          <w:tcPr>
            <w:tcW w:w="200" w:type="dxa"/>
            <w:tcBorders>
              <w:bottom w:val="single" w:sz="8" w:space="0" w:color="auto"/>
            </w:tcBorders>
            <w:vAlign w:val="bottom"/>
          </w:tcPr>
          <w:p w14:paraId="3289F6C0" w14:textId="77777777" w:rsidR="00D1587D" w:rsidRDefault="00D1587D">
            <w:pPr>
              <w:rPr>
                <w:sz w:val="4"/>
                <w:szCs w:val="4"/>
              </w:rPr>
            </w:pPr>
          </w:p>
        </w:tc>
        <w:tc>
          <w:tcPr>
            <w:tcW w:w="580" w:type="dxa"/>
            <w:tcBorders>
              <w:bottom w:val="single" w:sz="8" w:space="0" w:color="auto"/>
            </w:tcBorders>
            <w:vAlign w:val="bottom"/>
          </w:tcPr>
          <w:p w14:paraId="71CBF21F" w14:textId="77777777" w:rsidR="00D1587D" w:rsidRDefault="00D1587D">
            <w:pPr>
              <w:rPr>
                <w:sz w:val="4"/>
                <w:szCs w:val="4"/>
              </w:rPr>
            </w:pPr>
          </w:p>
        </w:tc>
        <w:tc>
          <w:tcPr>
            <w:tcW w:w="180" w:type="dxa"/>
            <w:tcBorders>
              <w:bottom w:val="single" w:sz="8" w:space="0" w:color="auto"/>
            </w:tcBorders>
            <w:vAlign w:val="bottom"/>
          </w:tcPr>
          <w:p w14:paraId="38148F51" w14:textId="77777777" w:rsidR="00D1587D" w:rsidRDefault="00D1587D">
            <w:pPr>
              <w:rPr>
                <w:sz w:val="4"/>
                <w:szCs w:val="4"/>
              </w:rPr>
            </w:pPr>
          </w:p>
        </w:tc>
        <w:tc>
          <w:tcPr>
            <w:tcW w:w="880" w:type="dxa"/>
            <w:gridSpan w:val="2"/>
            <w:tcBorders>
              <w:bottom w:val="single" w:sz="8" w:space="0" w:color="auto"/>
            </w:tcBorders>
            <w:vAlign w:val="bottom"/>
          </w:tcPr>
          <w:p w14:paraId="07CADA3D" w14:textId="77777777" w:rsidR="00D1587D" w:rsidRDefault="00D1587D">
            <w:pPr>
              <w:rPr>
                <w:sz w:val="4"/>
                <w:szCs w:val="4"/>
              </w:rPr>
            </w:pPr>
          </w:p>
        </w:tc>
        <w:tc>
          <w:tcPr>
            <w:tcW w:w="380" w:type="dxa"/>
            <w:tcBorders>
              <w:bottom w:val="single" w:sz="8" w:space="0" w:color="auto"/>
            </w:tcBorders>
            <w:vAlign w:val="bottom"/>
          </w:tcPr>
          <w:p w14:paraId="0C231866" w14:textId="77777777" w:rsidR="00D1587D" w:rsidRDefault="00D1587D">
            <w:pPr>
              <w:rPr>
                <w:sz w:val="4"/>
                <w:szCs w:val="4"/>
              </w:rPr>
            </w:pPr>
          </w:p>
        </w:tc>
        <w:tc>
          <w:tcPr>
            <w:tcW w:w="0" w:type="dxa"/>
            <w:vAlign w:val="bottom"/>
          </w:tcPr>
          <w:p w14:paraId="396BCA69" w14:textId="77777777" w:rsidR="00D1587D" w:rsidRDefault="00D1587D">
            <w:pPr>
              <w:rPr>
                <w:sz w:val="1"/>
                <w:szCs w:val="1"/>
              </w:rPr>
            </w:pPr>
          </w:p>
        </w:tc>
      </w:tr>
      <w:tr w:rsidR="00D1587D" w14:paraId="3D7F58EE" w14:textId="77777777">
        <w:trPr>
          <w:trHeight w:val="187"/>
        </w:trPr>
        <w:tc>
          <w:tcPr>
            <w:tcW w:w="3980" w:type="dxa"/>
            <w:vAlign w:val="bottom"/>
          </w:tcPr>
          <w:p w14:paraId="11767BBB" w14:textId="77777777" w:rsidR="00D1587D" w:rsidRDefault="00D1587D">
            <w:pPr>
              <w:rPr>
                <w:sz w:val="16"/>
                <w:szCs w:val="16"/>
              </w:rPr>
            </w:pPr>
          </w:p>
        </w:tc>
        <w:tc>
          <w:tcPr>
            <w:tcW w:w="80" w:type="dxa"/>
            <w:vAlign w:val="bottom"/>
          </w:tcPr>
          <w:p w14:paraId="09757D8B" w14:textId="77777777" w:rsidR="00D1587D" w:rsidRDefault="00D1587D">
            <w:pPr>
              <w:rPr>
                <w:sz w:val="16"/>
                <w:szCs w:val="16"/>
              </w:rPr>
            </w:pPr>
          </w:p>
        </w:tc>
        <w:tc>
          <w:tcPr>
            <w:tcW w:w="100" w:type="dxa"/>
            <w:vAlign w:val="bottom"/>
          </w:tcPr>
          <w:p w14:paraId="7B5DF158" w14:textId="77777777" w:rsidR="00D1587D" w:rsidRDefault="00D1587D">
            <w:pPr>
              <w:rPr>
                <w:sz w:val="16"/>
                <w:szCs w:val="16"/>
              </w:rPr>
            </w:pPr>
          </w:p>
        </w:tc>
        <w:tc>
          <w:tcPr>
            <w:tcW w:w="600" w:type="dxa"/>
            <w:gridSpan w:val="2"/>
            <w:vMerge w:val="restart"/>
            <w:vAlign w:val="bottom"/>
          </w:tcPr>
          <w:p w14:paraId="5E00B17B" w14:textId="77777777" w:rsidR="00D1587D" w:rsidRDefault="00410D07">
            <w:pPr>
              <w:rPr>
                <w:sz w:val="20"/>
                <w:szCs w:val="20"/>
              </w:rPr>
            </w:pPr>
            <w:r>
              <w:rPr>
                <w:rFonts w:ascii="Arial" w:eastAsia="Arial" w:hAnsi="Arial" w:cs="Arial"/>
                <w:b/>
                <w:bCs/>
                <w:sz w:val="14"/>
                <w:szCs w:val="14"/>
              </w:rPr>
              <w:t>Total</w:t>
            </w:r>
          </w:p>
        </w:tc>
        <w:tc>
          <w:tcPr>
            <w:tcW w:w="680" w:type="dxa"/>
            <w:gridSpan w:val="2"/>
            <w:vAlign w:val="bottom"/>
          </w:tcPr>
          <w:p w14:paraId="5BA5A6E8" w14:textId="77777777" w:rsidR="00D1587D" w:rsidRDefault="00410D07">
            <w:pPr>
              <w:jc w:val="right"/>
              <w:rPr>
                <w:sz w:val="20"/>
                <w:szCs w:val="20"/>
              </w:rPr>
            </w:pPr>
            <w:r>
              <w:rPr>
                <w:rFonts w:ascii="Arial" w:eastAsia="Arial" w:hAnsi="Arial" w:cs="Arial"/>
                <w:b/>
                <w:bCs/>
                <w:w w:val="89"/>
                <w:sz w:val="14"/>
                <w:szCs w:val="14"/>
              </w:rPr>
              <w:t>Less Than</w:t>
            </w:r>
          </w:p>
        </w:tc>
        <w:tc>
          <w:tcPr>
            <w:tcW w:w="180" w:type="dxa"/>
            <w:vAlign w:val="bottom"/>
          </w:tcPr>
          <w:p w14:paraId="7D00E958" w14:textId="77777777" w:rsidR="00D1587D" w:rsidRDefault="00D1587D">
            <w:pPr>
              <w:rPr>
                <w:sz w:val="16"/>
                <w:szCs w:val="16"/>
              </w:rPr>
            </w:pPr>
          </w:p>
        </w:tc>
        <w:tc>
          <w:tcPr>
            <w:tcW w:w="780" w:type="dxa"/>
            <w:gridSpan w:val="3"/>
            <w:vMerge w:val="restart"/>
            <w:vAlign w:val="bottom"/>
          </w:tcPr>
          <w:p w14:paraId="2704D7B8" w14:textId="77777777" w:rsidR="00D1587D" w:rsidRDefault="00410D07">
            <w:pPr>
              <w:rPr>
                <w:sz w:val="20"/>
                <w:szCs w:val="20"/>
              </w:rPr>
            </w:pPr>
            <w:r>
              <w:rPr>
                <w:rFonts w:ascii="Arial" w:eastAsia="Arial" w:hAnsi="Arial" w:cs="Arial"/>
                <w:b/>
                <w:bCs/>
                <w:sz w:val="14"/>
                <w:szCs w:val="14"/>
              </w:rPr>
              <w:t>1-3 Years</w:t>
            </w:r>
          </w:p>
        </w:tc>
        <w:tc>
          <w:tcPr>
            <w:tcW w:w="760" w:type="dxa"/>
            <w:gridSpan w:val="2"/>
            <w:vMerge w:val="restart"/>
            <w:vAlign w:val="bottom"/>
          </w:tcPr>
          <w:p w14:paraId="7FD48655" w14:textId="77777777" w:rsidR="00D1587D" w:rsidRDefault="00410D07">
            <w:pPr>
              <w:rPr>
                <w:sz w:val="20"/>
                <w:szCs w:val="20"/>
              </w:rPr>
            </w:pPr>
            <w:r>
              <w:rPr>
                <w:rFonts w:ascii="Arial" w:eastAsia="Arial" w:hAnsi="Arial" w:cs="Arial"/>
                <w:b/>
                <w:bCs/>
                <w:sz w:val="14"/>
                <w:szCs w:val="14"/>
              </w:rPr>
              <w:t>4-5 Years</w:t>
            </w:r>
          </w:p>
        </w:tc>
        <w:tc>
          <w:tcPr>
            <w:tcW w:w="880" w:type="dxa"/>
            <w:gridSpan w:val="2"/>
            <w:vAlign w:val="bottom"/>
          </w:tcPr>
          <w:p w14:paraId="17325894" w14:textId="77777777" w:rsidR="00D1587D" w:rsidRDefault="00410D07">
            <w:pPr>
              <w:ind w:right="220"/>
              <w:jc w:val="center"/>
              <w:rPr>
                <w:sz w:val="20"/>
                <w:szCs w:val="20"/>
              </w:rPr>
            </w:pPr>
            <w:r>
              <w:rPr>
                <w:rFonts w:ascii="Arial" w:eastAsia="Arial" w:hAnsi="Arial" w:cs="Arial"/>
                <w:b/>
                <w:bCs/>
                <w:w w:val="98"/>
                <w:sz w:val="14"/>
                <w:szCs w:val="14"/>
              </w:rPr>
              <w:t>More than</w:t>
            </w:r>
          </w:p>
        </w:tc>
        <w:tc>
          <w:tcPr>
            <w:tcW w:w="380" w:type="dxa"/>
            <w:vMerge w:val="restart"/>
            <w:vAlign w:val="bottom"/>
          </w:tcPr>
          <w:p w14:paraId="017CD640" w14:textId="77777777" w:rsidR="00D1587D" w:rsidRDefault="00410D07">
            <w:pPr>
              <w:jc w:val="right"/>
              <w:rPr>
                <w:sz w:val="20"/>
                <w:szCs w:val="20"/>
              </w:rPr>
            </w:pPr>
            <w:r>
              <w:rPr>
                <w:rFonts w:ascii="Arial" w:eastAsia="Arial" w:hAnsi="Arial" w:cs="Arial"/>
                <w:b/>
                <w:bCs/>
                <w:w w:val="96"/>
                <w:sz w:val="14"/>
                <w:szCs w:val="14"/>
              </w:rPr>
              <w:t>Other</w:t>
            </w:r>
          </w:p>
        </w:tc>
        <w:tc>
          <w:tcPr>
            <w:tcW w:w="0" w:type="dxa"/>
            <w:vAlign w:val="bottom"/>
          </w:tcPr>
          <w:p w14:paraId="2D33F65F" w14:textId="77777777" w:rsidR="00D1587D" w:rsidRDefault="00D1587D">
            <w:pPr>
              <w:rPr>
                <w:sz w:val="1"/>
                <w:szCs w:val="1"/>
              </w:rPr>
            </w:pPr>
          </w:p>
        </w:tc>
      </w:tr>
      <w:tr w:rsidR="00D1587D" w14:paraId="297B238C" w14:textId="77777777">
        <w:trPr>
          <w:trHeight w:val="186"/>
        </w:trPr>
        <w:tc>
          <w:tcPr>
            <w:tcW w:w="3980" w:type="dxa"/>
            <w:vAlign w:val="bottom"/>
          </w:tcPr>
          <w:p w14:paraId="59836D33" w14:textId="77777777" w:rsidR="00D1587D" w:rsidRDefault="00D1587D">
            <w:pPr>
              <w:rPr>
                <w:sz w:val="16"/>
                <w:szCs w:val="16"/>
              </w:rPr>
            </w:pPr>
          </w:p>
        </w:tc>
        <w:tc>
          <w:tcPr>
            <w:tcW w:w="80" w:type="dxa"/>
            <w:vAlign w:val="bottom"/>
          </w:tcPr>
          <w:p w14:paraId="220131AB" w14:textId="77777777" w:rsidR="00D1587D" w:rsidRDefault="00D1587D">
            <w:pPr>
              <w:rPr>
                <w:sz w:val="16"/>
                <w:szCs w:val="16"/>
              </w:rPr>
            </w:pPr>
          </w:p>
        </w:tc>
        <w:tc>
          <w:tcPr>
            <w:tcW w:w="100" w:type="dxa"/>
            <w:vAlign w:val="bottom"/>
          </w:tcPr>
          <w:p w14:paraId="22DB356E" w14:textId="77777777" w:rsidR="00D1587D" w:rsidRDefault="00D1587D">
            <w:pPr>
              <w:rPr>
                <w:sz w:val="16"/>
                <w:szCs w:val="16"/>
              </w:rPr>
            </w:pPr>
          </w:p>
        </w:tc>
        <w:tc>
          <w:tcPr>
            <w:tcW w:w="600" w:type="dxa"/>
            <w:gridSpan w:val="2"/>
            <w:vMerge/>
            <w:vAlign w:val="bottom"/>
          </w:tcPr>
          <w:p w14:paraId="4E9D7B4D" w14:textId="77777777" w:rsidR="00D1587D" w:rsidRDefault="00D1587D">
            <w:pPr>
              <w:rPr>
                <w:sz w:val="16"/>
                <w:szCs w:val="16"/>
              </w:rPr>
            </w:pPr>
          </w:p>
        </w:tc>
        <w:tc>
          <w:tcPr>
            <w:tcW w:w="680" w:type="dxa"/>
            <w:gridSpan w:val="2"/>
            <w:vAlign w:val="bottom"/>
          </w:tcPr>
          <w:p w14:paraId="0A90179C" w14:textId="77777777" w:rsidR="00D1587D" w:rsidRDefault="00410D07">
            <w:pPr>
              <w:ind w:right="50"/>
              <w:jc w:val="right"/>
              <w:rPr>
                <w:sz w:val="20"/>
                <w:szCs w:val="20"/>
              </w:rPr>
            </w:pPr>
            <w:r>
              <w:rPr>
                <w:rFonts w:ascii="Arial" w:eastAsia="Arial" w:hAnsi="Arial" w:cs="Arial"/>
                <w:b/>
                <w:bCs/>
                <w:sz w:val="14"/>
                <w:szCs w:val="14"/>
              </w:rPr>
              <w:t xml:space="preserve">1 </w:t>
            </w:r>
            <w:r>
              <w:rPr>
                <w:rFonts w:ascii="Arial" w:eastAsia="Arial" w:hAnsi="Arial" w:cs="Arial"/>
                <w:b/>
                <w:bCs/>
                <w:sz w:val="14"/>
                <w:szCs w:val="14"/>
              </w:rPr>
              <w:t>Year</w:t>
            </w:r>
          </w:p>
        </w:tc>
        <w:tc>
          <w:tcPr>
            <w:tcW w:w="180" w:type="dxa"/>
            <w:vAlign w:val="bottom"/>
          </w:tcPr>
          <w:p w14:paraId="54E67EF5" w14:textId="77777777" w:rsidR="00D1587D" w:rsidRDefault="00D1587D">
            <w:pPr>
              <w:rPr>
                <w:sz w:val="16"/>
                <w:szCs w:val="16"/>
              </w:rPr>
            </w:pPr>
          </w:p>
        </w:tc>
        <w:tc>
          <w:tcPr>
            <w:tcW w:w="780" w:type="dxa"/>
            <w:gridSpan w:val="3"/>
            <w:vMerge/>
            <w:vAlign w:val="bottom"/>
          </w:tcPr>
          <w:p w14:paraId="29A15B31" w14:textId="77777777" w:rsidR="00D1587D" w:rsidRDefault="00D1587D">
            <w:pPr>
              <w:rPr>
                <w:sz w:val="16"/>
                <w:szCs w:val="16"/>
              </w:rPr>
            </w:pPr>
          </w:p>
        </w:tc>
        <w:tc>
          <w:tcPr>
            <w:tcW w:w="760" w:type="dxa"/>
            <w:gridSpan w:val="2"/>
            <w:vMerge/>
            <w:vAlign w:val="bottom"/>
          </w:tcPr>
          <w:p w14:paraId="2E3426A4" w14:textId="77777777" w:rsidR="00D1587D" w:rsidRDefault="00D1587D">
            <w:pPr>
              <w:rPr>
                <w:sz w:val="16"/>
                <w:szCs w:val="16"/>
              </w:rPr>
            </w:pPr>
          </w:p>
        </w:tc>
        <w:tc>
          <w:tcPr>
            <w:tcW w:w="880" w:type="dxa"/>
            <w:gridSpan w:val="2"/>
            <w:vAlign w:val="bottom"/>
          </w:tcPr>
          <w:p w14:paraId="21BB3221" w14:textId="77777777" w:rsidR="00D1587D" w:rsidRDefault="00410D07">
            <w:pPr>
              <w:ind w:right="180"/>
              <w:jc w:val="center"/>
              <w:rPr>
                <w:sz w:val="20"/>
                <w:szCs w:val="20"/>
              </w:rPr>
            </w:pPr>
            <w:r>
              <w:rPr>
                <w:rFonts w:ascii="Arial" w:eastAsia="Arial" w:hAnsi="Arial" w:cs="Arial"/>
                <w:b/>
                <w:bCs/>
                <w:w w:val="92"/>
                <w:sz w:val="14"/>
                <w:szCs w:val="14"/>
              </w:rPr>
              <w:t>5 Years</w:t>
            </w:r>
          </w:p>
        </w:tc>
        <w:tc>
          <w:tcPr>
            <w:tcW w:w="380" w:type="dxa"/>
            <w:vMerge/>
            <w:vAlign w:val="bottom"/>
          </w:tcPr>
          <w:p w14:paraId="257ED995" w14:textId="77777777" w:rsidR="00D1587D" w:rsidRDefault="00D1587D">
            <w:pPr>
              <w:rPr>
                <w:sz w:val="16"/>
                <w:szCs w:val="16"/>
              </w:rPr>
            </w:pPr>
          </w:p>
        </w:tc>
        <w:tc>
          <w:tcPr>
            <w:tcW w:w="0" w:type="dxa"/>
            <w:vAlign w:val="bottom"/>
          </w:tcPr>
          <w:p w14:paraId="0E6DE872" w14:textId="77777777" w:rsidR="00D1587D" w:rsidRDefault="00D1587D">
            <w:pPr>
              <w:rPr>
                <w:sz w:val="1"/>
                <w:szCs w:val="1"/>
              </w:rPr>
            </w:pPr>
          </w:p>
        </w:tc>
      </w:tr>
      <w:tr w:rsidR="00D1587D" w14:paraId="5891A006" w14:textId="77777777">
        <w:trPr>
          <w:trHeight w:val="52"/>
        </w:trPr>
        <w:tc>
          <w:tcPr>
            <w:tcW w:w="3980" w:type="dxa"/>
            <w:vAlign w:val="bottom"/>
          </w:tcPr>
          <w:p w14:paraId="740F8C4C" w14:textId="77777777" w:rsidR="00D1587D" w:rsidRDefault="00D1587D">
            <w:pPr>
              <w:rPr>
                <w:sz w:val="4"/>
                <w:szCs w:val="4"/>
              </w:rPr>
            </w:pPr>
          </w:p>
        </w:tc>
        <w:tc>
          <w:tcPr>
            <w:tcW w:w="80" w:type="dxa"/>
            <w:vAlign w:val="bottom"/>
          </w:tcPr>
          <w:p w14:paraId="138622AB" w14:textId="77777777" w:rsidR="00D1587D" w:rsidRDefault="00D1587D">
            <w:pPr>
              <w:rPr>
                <w:sz w:val="4"/>
                <w:szCs w:val="4"/>
              </w:rPr>
            </w:pPr>
          </w:p>
        </w:tc>
        <w:tc>
          <w:tcPr>
            <w:tcW w:w="100" w:type="dxa"/>
            <w:tcBorders>
              <w:bottom w:val="single" w:sz="8" w:space="0" w:color="auto"/>
            </w:tcBorders>
            <w:vAlign w:val="bottom"/>
          </w:tcPr>
          <w:p w14:paraId="1BECB2B2" w14:textId="77777777" w:rsidR="00D1587D" w:rsidRDefault="00D1587D">
            <w:pPr>
              <w:rPr>
                <w:sz w:val="4"/>
                <w:szCs w:val="4"/>
              </w:rPr>
            </w:pPr>
          </w:p>
        </w:tc>
        <w:tc>
          <w:tcPr>
            <w:tcW w:w="400" w:type="dxa"/>
            <w:tcBorders>
              <w:bottom w:val="single" w:sz="8" w:space="0" w:color="auto"/>
            </w:tcBorders>
            <w:vAlign w:val="bottom"/>
          </w:tcPr>
          <w:p w14:paraId="62900F75" w14:textId="77777777" w:rsidR="00D1587D" w:rsidRDefault="00D1587D">
            <w:pPr>
              <w:rPr>
                <w:sz w:val="4"/>
                <w:szCs w:val="4"/>
              </w:rPr>
            </w:pPr>
          </w:p>
        </w:tc>
        <w:tc>
          <w:tcPr>
            <w:tcW w:w="200" w:type="dxa"/>
            <w:tcBorders>
              <w:bottom w:val="single" w:sz="8" w:space="0" w:color="auto"/>
            </w:tcBorders>
            <w:vAlign w:val="bottom"/>
          </w:tcPr>
          <w:p w14:paraId="4BADEF91" w14:textId="77777777" w:rsidR="00D1587D" w:rsidRDefault="00D1587D">
            <w:pPr>
              <w:rPr>
                <w:sz w:val="4"/>
                <w:szCs w:val="4"/>
              </w:rPr>
            </w:pPr>
          </w:p>
        </w:tc>
        <w:tc>
          <w:tcPr>
            <w:tcW w:w="220" w:type="dxa"/>
            <w:tcBorders>
              <w:bottom w:val="single" w:sz="8" w:space="0" w:color="auto"/>
            </w:tcBorders>
            <w:vAlign w:val="bottom"/>
          </w:tcPr>
          <w:p w14:paraId="6ACC7560" w14:textId="77777777" w:rsidR="00D1587D" w:rsidRDefault="00D1587D">
            <w:pPr>
              <w:rPr>
                <w:sz w:val="4"/>
                <w:szCs w:val="4"/>
              </w:rPr>
            </w:pPr>
          </w:p>
        </w:tc>
        <w:tc>
          <w:tcPr>
            <w:tcW w:w="460" w:type="dxa"/>
            <w:tcBorders>
              <w:bottom w:val="single" w:sz="8" w:space="0" w:color="auto"/>
            </w:tcBorders>
            <w:vAlign w:val="bottom"/>
          </w:tcPr>
          <w:p w14:paraId="40BFCCB3" w14:textId="77777777" w:rsidR="00D1587D" w:rsidRDefault="00D1587D">
            <w:pPr>
              <w:rPr>
                <w:sz w:val="4"/>
                <w:szCs w:val="4"/>
              </w:rPr>
            </w:pPr>
          </w:p>
        </w:tc>
        <w:tc>
          <w:tcPr>
            <w:tcW w:w="180" w:type="dxa"/>
            <w:tcBorders>
              <w:bottom w:val="single" w:sz="8" w:space="0" w:color="auto"/>
            </w:tcBorders>
            <w:vAlign w:val="bottom"/>
          </w:tcPr>
          <w:p w14:paraId="191CCD5D" w14:textId="77777777" w:rsidR="00D1587D" w:rsidRDefault="00D1587D">
            <w:pPr>
              <w:rPr>
                <w:sz w:val="4"/>
                <w:szCs w:val="4"/>
              </w:rPr>
            </w:pPr>
          </w:p>
        </w:tc>
        <w:tc>
          <w:tcPr>
            <w:tcW w:w="220" w:type="dxa"/>
            <w:tcBorders>
              <w:bottom w:val="single" w:sz="8" w:space="0" w:color="auto"/>
            </w:tcBorders>
            <w:vAlign w:val="bottom"/>
          </w:tcPr>
          <w:p w14:paraId="00FF3691" w14:textId="77777777" w:rsidR="00D1587D" w:rsidRDefault="00D1587D">
            <w:pPr>
              <w:rPr>
                <w:sz w:val="4"/>
                <w:szCs w:val="4"/>
              </w:rPr>
            </w:pPr>
          </w:p>
        </w:tc>
        <w:tc>
          <w:tcPr>
            <w:tcW w:w="1320" w:type="dxa"/>
            <w:gridSpan w:val="4"/>
            <w:tcBorders>
              <w:bottom w:val="single" w:sz="8" w:space="0" w:color="auto"/>
            </w:tcBorders>
            <w:vAlign w:val="bottom"/>
          </w:tcPr>
          <w:p w14:paraId="59DCFA9E" w14:textId="77777777" w:rsidR="00D1587D" w:rsidRDefault="00D1587D">
            <w:pPr>
              <w:rPr>
                <w:sz w:val="4"/>
                <w:szCs w:val="4"/>
              </w:rPr>
            </w:pPr>
          </w:p>
        </w:tc>
        <w:tc>
          <w:tcPr>
            <w:tcW w:w="680" w:type="dxa"/>
            <w:tcBorders>
              <w:bottom w:val="single" w:sz="8" w:space="0" w:color="auto"/>
            </w:tcBorders>
            <w:vAlign w:val="bottom"/>
          </w:tcPr>
          <w:p w14:paraId="0D87641B" w14:textId="77777777" w:rsidR="00D1587D" w:rsidRDefault="00D1587D">
            <w:pPr>
              <w:rPr>
                <w:sz w:val="4"/>
                <w:szCs w:val="4"/>
              </w:rPr>
            </w:pPr>
          </w:p>
        </w:tc>
        <w:tc>
          <w:tcPr>
            <w:tcW w:w="200" w:type="dxa"/>
            <w:tcBorders>
              <w:bottom w:val="single" w:sz="8" w:space="0" w:color="auto"/>
            </w:tcBorders>
            <w:vAlign w:val="bottom"/>
          </w:tcPr>
          <w:p w14:paraId="1E18238C" w14:textId="77777777" w:rsidR="00D1587D" w:rsidRDefault="00D1587D">
            <w:pPr>
              <w:rPr>
                <w:sz w:val="4"/>
                <w:szCs w:val="4"/>
              </w:rPr>
            </w:pPr>
          </w:p>
        </w:tc>
        <w:tc>
          <w:tcPr>
            <w:tcW w:w="380" w:type="dxa"/>
            <w:tcBorders>
              <w:bottom w:val="single" w:sz="8" w:space="0" w:color="auto"/>
            </w:tcBorders>
            <w:vAlign w:val="bottom"/>
          </w:tcPr>
          <w:p w14:paraId="1F186D21" w14:textId="77777777" w:rsidR="00D1587D" w:rsidRDefault="00D1587D">
            <w:pPr>
              <w:rPr>
                <w:sz w:val="4"/>
                <w:szCs w:val="4"/>
              </w:rPr>
            </w:pPr>
          </w:p>
        </w:tc>
        <w:tc>
          <w:tcPr>
            <w:tcW w:w="0" w:type="dxa"/>
            <w:vAlign w:val="bottom"/>
          </w:tcPr>
          <w:p w14:paraId="071F5878" w14:textId="77777777" w:rsidR="00D1587D" w:rsidRDefault="00D1587D">
            <w:pPr>
              <w:rPr>
                <w:sz w:val="1"/>
                <w:szCs w:val="1"/>
              </w:rPr>
            </w:pPr>
          </w:p>
        </w:tc>
      </w:tr>
      <w:tr w:rsidR="00D1587D" w14:paraId="54C25F84" w14:textId="77777777">
        <w:trPr>
          <w:trHeight w:val="225"/>
        </w:trPr>
        <w:tc>
          <w:tcPr>
            <w:tcW w:w="3980" w:type="dxa"/>
            <w:vAlign w:val="bottom"/>
          </w:tcPr>
          <w:p w14:paraId="65B4FB5E" w14:textId="77777777" w:rsidR="00D1587D" w:rsidRDefault="00D1587D">
            <w:pPr>
              <w:rPr>
                <w:sz w:val="19"/>
                <w:szCs w:val="19"/>
              </w:rPr>
            </w:pPr>
          </w:p>
        </w:tc>
        <w:tc>
          <w:tcPr>
            <w:tcW w:w="80" w:type="dxa"/>
            <w:vAlign w:val="bottom"/>
          </w:tcPr>
          <w:p w14:paraId="6B1C2248" w14:textId="77777777" w:rsidR="00D1587D" w:rsidRDefault="00D1587D">
            <w:pPr>
              <w:rPr>
                <w:sz w:val="19"/>
                <w:szCs w:val="19"/>
              </w:rPr>
            </w:pPr>
          </w:p>
        </w:tc>
        <w:tc>
          <w:tcPr>
            <w:tcW w:w="100" w:type="dxa"/>
            <w:vAlign w:val="bottom"/>
          </w:tcPr>
          <w:p w14:paraId="315C1BE5" w14:textId="77777777" w:rsidR="00D1587D" w:rsidRDefault="00D1587D">
            <w:pPr>
              <w:rPr>
                <w:sz w:val="19"/>
                <w:szCs w:val="19"/>
              </w:rPr>
            </w:pPr>
          </w:p>
        </w:tc>
        <w:tc>
          <w:tcPr>
            <w:tcW w:w="400" w:type="dxa"/>
            <w:vAlign w:val="bottom"/>
          </w:tcPr>
          <w:p w14:paraId="35A6DDDC" w14:textId="77777777" w:rsidR="00D1587D" w:rsidRDefault="00D1587D">
            <w:pPr>
              <w:rPr>
                <w:sz w:val="19"/>
                <w:szCs w:val="19"/>
              </w:rPr>
            </w:pPr>
          </w:p>
        </w:tc>
        <w:tc>
          <w:tcPr>
            <w:tcW w:w="200" w:type="dxa"/>
            <w:vAlign w:val="bottom"/>
          </w:tcPr>
          <w:p w14:paraId="5D9A0734" w14:textId="77777777" w:rsidR="00D1587D" w:rsidRDefault="00D1587D">
            <w:pPr>
              <w:rPr>
                <w:sz w:val="19"/>
                <w:szCs w:val="19"/>
              </w:rPr>
            </w:pPr>
          </w:p>
        </w:tc>
        <w:tc>
          <w:tcPr>
            <w:tcW w:w="220" w:type="dxa"/>
            <w:vAlign w:val="bottom"/>
          </w:tcPr>
          <w:p w14:paraId="79133E43" w14:textId="77777777" w:rsidR="00D1587D" w:rsidRDefault="00D1587D">
            <w:pPr>
              <w:rPr>
                <w:sz w:val="19"/>
                <w:szCs w:val="19"/>
              </w:rPr>
            </w:pPr>
          </w:p>
        </w:tc>
        <w:tc>
          <w:tcPr>
            <w:tcW w:w="460" w:type="dxa"/>
            <w:vAlign w:val="bottom"/>
          </w:tcPr>
          <w:p w14:paraId="72489183" w14:textId="77777777" w:rsidR="00D1587D" w:rsidRDefault="00D1587D">
            <w:pPr>
              <w:rPr>
                <w:sz w:val="19"/>
                <w:szCs w:val="19"/>
              </w:rPr>
            </w:pPr>
          </w:p>
        </w:tc>
        <w:tc>
          <w:tcPr>
            <w:tcW w:w="180" w:type="dxa"/>
            <w:vAlign w:val="bottom"/>
          </w:tcPr>
          <w:p w14:paraId="6503547C" w14:textId="77777777" w:rsidR="00D1587D" w:rsidRDefault="00D1587D">
            <w:pPr>
              <w:rPr>
                <w:sz w:val="19"/>
                <w:szCs w:val="19"/>
              </w:rPr>
            </w:pPr>
          </w:p>
        </w:tc>
        <w:tc>
          <w:tcPr>
            <w:tcW w:w="220" w:type="dxa"/>
            <w:vAlign w:val="bottom"/>
          </w:tcPr>
          <w:p w14:paraId="4BCD09AA" w14:textId="77777777" w:rsidR="00D1587D" w:rsidRDefault="00D1587D">
            <w:pPr>
              <w:rPr>
                <w:sz w:val="19"/>
                <w:szCs w:val="19"/>
              </w:rPr>
            </w:pPr>
          </w:p>
        </w:tc>
        <w:tc>
          <w:tcPr>
            <w:tcW w:w="1320" w:type="dxa"/>
            <w:gridSpan w:val="4"/>
            <w:vAlign w:val="bottom"/>
          </w:tcPr>
          <w:p w14:paraId="13F898D3" w14:textId="77777777" w:rsidR="00D1587D" w:rsidRDefault="00410D07">
            <w:pPr>
              <w:ind w:right="500"/>
              <w:jc w:val="center"/>
              <w:rPr>
                <w:sz w:val="20"/>
                <w:szCs w:val="20"/>
              </w:rPr>
            </w:pPr>
            <w:r>
              <w:rPr>
                <w:rFonts w:ascii="Arial" w:eastAsia="Arial" w:hAnsi="Arial" w:cs="Arial"/>
                <w:b/>
                <w:bCs/>
                <w:w w:val="94"/>
                <w:sz w:val="14"/>
                <w:szCs w:val="14"/>
              </w:rPr>
              <w:t>(in millions)</w:t>
            </w:r>
          </w:p>
        </w:tc>
        <w:tc>
          <w:tcPr>
            <w:tcW w:w="680" w:type="dxa"/>
            <w:vAlign w:val="bottom"/>
          </w:tcPr>
          <w:p w14:paraId="430B96DE" w14:textId="77777777" w:rsidR="00D1587D" w:rsidRDefault="00D1587D">
            <w:pPr>
              <w:rPr>
                <w:sz w:val="19"/>
                <w:szCs w:val="19"/>
              </w:rPr>
            </w:pPr>
          </w:p>
        </w:tc>
        <w:tc>
          <w:tcPr>
            <w:tcW w:w="200" w:type="dxa"/>
            <w:vAlign w:val="bottom"/>
          </w:tcPr>
          <w:p w14:paraId="2EA78FAD" w14:textId="77777777" w:rsidR="00D1587D" w:rsidRDefault="00D1587D">
            <w:pPr>
              <w:rPr>
                <w:sz w:val="19"/>
                <w:szCs w:val="19"/>
              </w:rPr>
            </w:pPr>
          </w:p>
        </w:tc>
        <w:tc>
          <w:tcPr>
            <w:tcW w:w="380" w:type="dxa"/>
            <w:vAlign w:val="bottom"/>
          </w:tcPr>
          <w:p w14:paraId="6D3FAF32" w14:textId="77777777" w:rsidR="00D1587D" w:rsidRDefault="00D1587D">
            <w:pPr>
              <w:rPr>
                <w:sz w:val="19"/>
                <w:szCs w:val="19"/>
              </w:rPr>
            </w:pPr>
          </w:p>
        </w:tc>
        <w:tc>
          <w:tcPr>
            <w:tcW w:w="0" w:type="dxa"/>
            <w:vAlign w:val="bottom"/>
          </w:tcPr>
          <w:p w14:paraId="3F30F8B7" w14:textId="77777777" w:rsidR="00D1587D" w:rsidRDefault="00D1587D">
            <w:pPr>
              <w:rPr>
                <w:sz w:val="1"/>
                <w:szCs w:val="1"/>
              </w:rPr>
            </w:pPr>
          </w:p>
        </w:tc>
      </w:tr>
      <w:tr w:rsidR="00D1587D" w14:paraId="779750C1" w14:textId="77777777">
        <w:trPr>
          <w:trHeight w:val="53"/>
        </w:trPr>
        <w:tc>
          <w:tcPr>
            <w:tcW w:w="3980" w:type="dxa"/>
            <w:vAlign w:val="bottom"/>
          </w:tcPr>
          <w:p w14:paraId="3FD73F64" w14:textId="77777777" w:rsidR="00D1587D" w:rsidRDefault="00D1587D">
            <w:pPr>
              <w:rPr>
                <w:sz w:val="4"/>
                <w:szCs w:val="4"/>
              </w:rPr>
            </w:pPr>
          </w:p>
        </w:tc>
        <w:tc>
          <w:tcPr>
            <w:tcW w:w="80" w:type="dxa"/>
            <w:vAlign w:val="bottom"/>
          </w:tcPr>
          <w:p w14:paraId="3FA7C382" w14:textId="77777777" w:rsidR="00D1587D" w:rsidRDefault="00D1587D">
            <w:pPr>
              <w:rPr>
                <w:sz w:val="4"/>
                <w:szCs w:val="4"/>
              </w:rPr>
            </w:pPr>
          </w:p>
        </w:tc>
        <w:tc>
          <w:tcPr>
            <w:tcW w:w="100" w:type="dxa"/>
            <w:vAlign w:val="bottom"/>
          </w:tcPr>
          <w:p w14:paraId="22042673" w14:textId="77777777" w:rsidR="00D1587D" w:rsidRDefault="00D1587D">
            <w:pPr>
              <w:rPr>
                <w:sz w:val="4"/>
                <w:szCs w:val="4"/>
              </w:rPr>
            </w:pPr>
          </w:p>
        </w:tc>
        <w:tc>
          <w:tcPr>
            <w:tcW w:w="400" w:type="dxa"/>
            <w:vAlign w:val="bottom"/>
          </w:tcPr>
          <w:p w14:paraId="1443C38D" w14:textId="77777777" w:rsidR="00D1587D" w:rsidRDefault="00D1587D">
            <w:pPr>
              <w:rPr>
                <w:sz w:val="4"/>
                <w:szCs w:val="4"/>
              </w:rPr>
            </w:pPr>
          </w:p>
        </w:tc>
        <w:tc>
          <w:tcPr>
            <w:tcW w:w="200" w:type="dxa"/>
            <w:vAlign w:val="bottom"/>
          </w:tcPr>
          <w:p w14:paraId="06B1AD6D" w14:textId="77777777" w:rsidR="00D1587D" w:rsidRDefault="00D1587D">
            <w:pPr>
              <w:rPr>
                <w:sz w:val="4"/>
                <w:szCs w:val="4"/>
              </w:rPr>
            </w:pPr>
          </w:p>
        </w:tc>
        <w:tc>
          <w:tcPr>
            <w:tcW w:w="220" w:type="dxa"/>
            <w:vAlign w:val="bottom"/>
          </w:tcPr>
          <w:p w14:paraId="6956E0B9" w14:textId="77777777" w:rsidR="00D1587D" w:rsidRDefault="00D1587D">
            <w:pPr>
              <w:rPr>
                <w:sz w:val="4"/>
                <w:szCs w:val="4"/>
              </w:rPr>
            </w:pPr>
          </w:p>
        </w:tc>
        <w:tc>
          <w:tcPr>
            <w:tcW w:w="460" w:type="dxa"/>
            <w:vAlign w:val="bottom"/>
          </w:tcPr>
          <w:p w14:paraId="44F806E7" w14:textId="77777777" w:rsidR="00D1587D" w:rsidRDefault="00D1587D">
            <w:pPr>
              <w:rPr>
                <w:sz w:val="4"/>
                <w:szCs w:val="4"/>
              </w:rPr>
            </w:pPr>
          </w:p>
        </w:tc>
        <w:tc>
          <w:tcPr>
            <w:tcW w:w="180" w:type="dxa"/>
            <w:vAlign w:val="bottom"/>
          </w:tcPr>
          <w:p w14:paraId="7A2DA2C2" w14:textId="77777777" w:rsidR="00D1587D" w:rsidRDefault="00D1587D">
            <w:pPr>
              <w:rPr>
                <w:sz w:val="4"/>
                <w:szCs w:val="4"/>
              </w:rPr>
            </w:pPr>
          </w:p>
        </w:tc>
        <w:tc>
          <w:tcPr>
            <w:tcW w:w="220" w:type="dxa"/>
            <w:vAlign w:val="bottom"/>
          </w:tcPr>
          <w:p w14:paraId="43C9DA52" w14:textId="77777777" w:rsidR="00D1587D" w:rsidRDefault="00D1587D">
            <w:pPr>
              <w:rPr>
                <w:sz w:val="4"/>
                <w:szCs w:val="4"/>
              </w:rPr>
            </w:pPr>
          </w:p>
        </w:tc>
        <w:tc>
          <w:tcPr>
            <w:tcW w:w="360" w:type="dxa"/>
            <w:vAlign w:val="bottom"/>
          </w:tcPr>
          <w:p w14:paraId="31C960B8" w14:textId="77777777" w:rsidR="00D1587D" w:rsidRDefault="00D1587D">
            <w:pPr>
              <w:rPr>
                <w:sz w:val="4"/>
                <w:szCs w:val="4"/>
              </w:rPr>
            </w:pPr>
          </w:p>
        </w:tc>
        <w:tc>
          <w:tcPr>
            <w:tcW w:w="200" w:type="dxa"/>
            <w:vAlign w:val="bottom"/>
          </w:tcPr>
          <w:p w14:paraId="15904006" w14:textId="77777777" w:rsidR="00D1587D" w:rsidRDefault="00D1587D">
            <w:pPr>
              <w:rPr>
                <w:sz w:val="4"/>
                <w:szCs w:val="4"/>
              </w:rPr>
            </w:pPr>
          </w:p>
        </w:tc>
        <w:tc>
          <w:tcPr>
            <w:tcW w:w="580" w:type="dxa"/>
            <w:vAlign w:val="bottom"/>
          </w:tcPr>
          <w:p w14:paraId="59F4DD1A" w14:textId="77777777" w:rsidR="00D1587D" w:rsidRDefault="00D1587D">
            <w:pPr>
              <w:rPr>
                <w:sz w:val="4"/>
                <w:szCs w:val="4"/>
              </w:rPr>
            </w:pPr>
          </w:p>
        </w:tc>
        <w:tc>
          <w:tcPr>
            <w:tcW w:w="180" w:type="dxa"/>
            <w:vAlign w:val="bottom"/>
          </w:tcPr>
          <w:p w14:paraId="21D30DC2" w14:textId="77777777" w:rsidR="00D1587D" w:rsidRDefault="00D1587D">
            <w:pPr>
              <w:rPr>
                <w:sz w:val="4"/>
                <w:szCs w:val="4"/>
              </w:rPr>
            </w:pPr>
          </w:p>
        </w:tc>
        <w:tc>
          <w:tcPr>
            <w:tcW w:w="680" w:type="dxa"/>
            <w:vAlign w:val="bottom"/>
          </w:tcPr>
          <w:p w14:paraId="38C380C0" w14:textId="77777777" w:rsidR="00D1587D" w:rsidRDefault="00D1587D">
            <w:pPr>
              <w:rPr>
                <w:sz w:val="4"/>
                <w:szCs w:val="4"/>
              </w:rPr>
            </w:pPr>
          </w:p>
        </w:tc>
        <w:tc>
          <w:tcPr>
            <w:tcW w:w="200" w:type="dxa"/>
            <w:vAlign w:val="bottom"/>
          </w:tcPr>
          <w:p w14:paraId="3F2F2536" w14:textId="77777777" w:rsidR="00D1587D" w:rsidRDefault="00D1587D">
            <w:pPr>
              <w:rPr>
                <w:sz w:val="4"/>
                <w:szCs w:val="4"/>
              </w:rPr>
            </w:pPr>
          </w:p>
        </w:tc>
        <w:tc>
          <w:tcPr>
            <w:tcW w:w="380" w:type="dxa"/>
            <w:vAlign w:val="bottom"/>
          </w:tcPr>
          <w:p w14:paraId="0EB34BD5" w14:textId="77777777" w:rsidR="00D1587D" w:rsidRDefault="00D1587D">
            <w:pPr>
              <w:rPr>
                <w:sz w:val="4"/>
                <w:szCs w:val="4"/>
              </w:rPr>
            </w:pPr>
          </w:p>
        </w:tc>
        <w:tc>
          <w:tcPr>
            <w:tcW w:w="0" w:type="dxa"/>
            <w:vAlign w:val="bottom"/>
          </w:tcPr>
          <w:p w14:paraId="0F70DB3C" w14:textId="77777777" w:rsidR="00D1587D" w:rsidRDefault="00D1587D">
            <w:pPr>
              <w:rPr>
                <w:sz w:val="1"/>
                <w:szCs w:val="1"/>
              </w:rPr>
            </w:pPr>
          </w:p>
        </w:tc>
      </w:tr>
      <w:tr w:rsidR="00D1587D" w14:paraId="01A3CADA" w14:textId="77777777">
        <w:trPr>
          <w:trHeight w:val="338"/>
        </w:trPr>
        <w:tc>
          <w:tcPr>
            <w:tcW w:w="4060" w:type="dxa"/>
            <w:gridSpan w:val="2"/>
            <w:shd w:val="clear" w:color="auto" w:fill="CCEEFF"/>
            <w:vAlign w:val="bottom"/>
          </w:tcPr>
          <w:p w14:paraId="0301F2A7" w14:textId="77777777" w:rsidR="00D1587D" w:rsidRDefault="00410D07">
            <w:pPr>
              <w:rPr>
                <w:sz w:val="20"/>
                <w:szCs w:val="20"/>
              </w:rPr>
            </w:pPr>
            <w:r>
              <w:rPr>
                <w:rFonts w:ascii="Arial" w:eastAsia="Arial" w:hAnsi="Arial" w:cs="Arial"/>
                <w:sz w:val="18"/>
                <w:szCs w:val="18"/>
              </w:rPr>
              <w:t>Long-term Debt</w:t>
            </w:r>
            <w:r>
              <w:rPr>
                <w:rFonts w:ascii="Arial" w:eastAsia="Arial" w:hAnsi="Arial" w:cs="Arial"/>
                <w:sz w:val="29"/>
                <w:szCs w:val="29"/>
                <w:vertAlign w:val="superscript"/>
              </w:rPr>
              <w:t>(a)</w:t>
            </w:r>
          </w:p>
        </w:tc>
        <w:tc>
          <w:tcPr>
            <w:tcW w:w="100" w:type="dxa"/>
            <w:shd w:val="clear" w:color="auto" w:fill="CCEEFF"/>
            <w:vAlign w:val="bottom"/>
          </w:tcPr>
          <w:p w14:paraId="7CC6B1ED" w14:textId="77777777" w:rsidR="00D1587D" w:rsidRDefault="00410D07">
            <w:pPr>
              <w:jc w:val="right"/>
              <w:rPr>
                <w:sz w:val="20"/>
                <w:szCs w:val="20"/>
              </w:rPr>
            </w:pPr>
            <w:r>
              <w:rPr>
                <w:rFonts w:ascii="Arial" w:eastAsia="Arial" w:hAnsi="Arial" w:cs="Arial"/>
                <w:w w:val="79"/>
                <w:sz w:val="18"/>
                <w:szCs w:val="18"/>
              </w:rPr>
              <w:t>$</w:t>
            </w:r>
          </w:p>
        </w:tc>
        <w:tc>
          <w:tcPr>
            <w:tcW w:w="400" w:type="dxa"/>
            <w:shd w:val="clear" w:color="auto" w:fill="CCEEFF"/>
            <w:vAlign w:val="bottom"/>
          </w:tcPr>
          <w:p w14:paraId="6DA4D951" w14:textId="77777777" w:rsidR="00D1587D" w:rsidRDefault="00410D07">
            <w:pPr>
              <w:jc w:val="right"/>
              <w:rPr>
                <w:sz w:val="20"/>
                <w:szCs w:val="20"/>
              </w:rPr>
            </w:pPr>
            <w:r>
              <w:rPr>
                <w:rFonts w:ascii="Arial" w:eastAsia="Arial" w:hAnsi="Arial" w:cs="Arial"/>
                <w:sz w:val="18"/>
                <w:szCs w:val="18"/>
              </w:rPr>
              <w:t>115</w:t>
            </w:r>
          </w:p>
        </w:tc>
        <w:tc>
          <w:tcPr>
            <w:tcW w:w="200" w:type="dxa"/>
            <w:shd w:val="clear" w:color="auto" w:fill="CCEEFF"/>
            <w:vAlign w:val="bottom"/>
          </w:tcPr>
          <w:p w14:paraId="6831F1E2" w14:textId="77777777" w:rsidR="00D1587D" w:rsidRDefault="00D1587D">
            <w:pPr>
              <w:rPr>
                <w:sz w:val="24"/>
                <w:szCs w:val="24"/>
              </w:rPr>
            </w:pPr>
          </w:p>
        </w:tc>
        <w:tc>
          <w:tcPr>
            <w:tcW w:w="220" w:type="dxa"/>
            <w:shd w:val="clear" w:color="auto" w:fill="CCEEFF"/>
            <w:vAlign w:val="bottom"/>
          </w:tcPr>
          <w:p w14:paraId="5F1955DF" w14:textId="77777777" w:rsidR="00D1587D" w:rsidRDefault="00410D07">
            <w:pPr>
              <w:jc w:val="right"/>
              <w:rPr>
                <w:sz w:val="20"/>
                <w:szCs w:val="20"/>
              </w:rPr>
            </w:pPr>
            <w:r>
              <w:rPr>
                <w:rFonts w:ascii="Arial" w:eastAsia="Arial" w:hAnsi="Arial" w:cs="Arial"/>
                <w:sz w:val="18"/>
                <w:szCs w:val="18"/>
              </w:rPr>
              <w:t>$</w:t>
            </w:r>
          </w:p>
        </w:tc>
        <w:tc>
          <w:tcPr>
            <w:tcW w:w="460" w:type="dxa"/>
            <w:shd w:val="clear" w:color="auto" w:fill="CCEEFF"/>
            <w:vAlign w:val="bottom"/>
          </w:tcPr>
          <w:p w14:paraId="6A0045FE" w14:textId="77777777" w:rsidR="00D1587D" w:rsidRDefault="00410D07">
            <w:pPr>
              <w:ind w:right="30"/>
              <w:jc w:val="right"/>
              <w:rPr>
                <w:sz w:val="20"/>
                <w:szCs w:val="20"/>
              </w:rPr>
            </w:pPr>
            <w:r>
              <w:rPr>
                <w:rFonts w:ascii="Arial" w:eastAsia="Arial" w:hAnsi="Arial" w:cs="Arial"/>
                <w:sz w:val="18"/>
                <w:szCs w:val="18"/>
              </w:rPr>
              <w:t>4</w:t>
            </w:r>
          </w:p>
        </w:tc>
        <w:tc>
          <w:tcPr>
            <w:tcW w:w="400" w:type="dxa"/>
            <w:gridSpan w:val="2"/>
            <w:shd w:val="clear" w:color="auto" w:fill="CCEEFF"/>
            <w:vAlign w:val="bottom"/>
          </w:tcPr>
          <w:p w14:paraId="278A1663" w14:textId="77777777" w:rsidR="00D1587D" w:rsidRDefault="00410D07">
            <w:pPr>
              <w:jc w:val="right"/>
              <w:rPr>
                <w:sz w:val="20"/>
                <w:szCs w:val="20"/>
              </w:rPr>
            </w:pPr>
            <w:r>
              <w:rPr>
                <w:rFonts w:ascii="Arial" w:eastAsia="Arial" w:hAnsi="Arial" w:cs="Arial"/>
                <w:sz w:val="18"/>
                <w:szCs w:val="18"/>
              </w:rPr>
              <w:t>$</w:t>
            </w:r>
          </w:p>
        </w:tc>
        <w:tc>
          <w:tcPr>
            <w:tcW w:w="360" w:type="dxa"/>
            <w:shd w:val="clear" w:color="auto" w:fill="CCEEFF"/>
            <w:vAlign w:val="bottom"/>
          </w:tcPr>
          <w:p w14:paraId="7789AA21" w14:textId="77777777" w:rsidR="00D1587D" w:rsidRDefault="00410D07">
            <w:pPr>
              <w:ind w:right="35"/>
              <w:jc w:val="right"/>
              <w:rPr>
                <w:sz w:val="20"/>
                <w:szCs w:val="20"/>
              </w:rPr>
            </w:pPr>
            <w:r>
              <w:rPr>
                <w:rFonts w:ascii="Arial" w:eastAsia="Arial" w:hAnsi="Arial" w:cs="Arial"/>
                <w:sz w:val="18"/>
                <w:szCs w:val="18"/>
              </w:rPr>
              <w:t>8</w:t>
            </w:r>
          </w:p>
        </w:tc>
        <w:tc>
          <w:tcPr>
            <w:tcW w:w="200" w:type="dxa"/>
            <w:shd w:val="clear" w:color="auto" w:fill="CCEEFF"/>
            <w:vAlign w:val="bottom"/>
          </w:tcPr>
          <w:p w14:paraId="7750AFD7" w14:textId="77777777" w:rsidR="00D1587D" w:rsidRDefault="00D1587D">
            <w:pPr>
              <w:rPr>
                <w:sz w:val="24"/>
                <w:szCs w:val="24"/>
              </w:rPr>
            </w:pPr>
          </w:p>
        </w:tc>
        <w:tc>
          <w:tcPr>
            <w:tcW w:w="580" w:type="dxa"/>
            <w:shd w:val="clear" w:color="auto" w:fill="CCEEFF"/>
            <w:vAlign w:val="bottom"/>
          </w:tcPr>
          <w:p w14:paraId="6D76D50C" w14:textId="77777777" w:rsidR="00D1587D" w:rsidRDefault="00410D07">
            <w:pPr>
              <w:ind w:right="33"/>
              <w:jc w:val="right"/>
              <w:rPr>
                <w:sz w:val="20"/>
                <w:szCs w:val="20"/>
              </w:rPr>
            </w:pPr>
            <w:r>
              <w:rPr>
                <w:rFonts w:ascii="Arial" w:eastAsia="Arial" w:hAnsi="Arial" w:cs="Arial"/>
                <w:sz w:val="18"/>
                <w:szCs w:val="18"/>
              </w:rPr>
              <w:t>$103</w:t>
            </w:r>
          </w:p>
        </w:tc>
        <w:tc>
          <w:tcPr>
            <w:tcW w:w="180" w:type="dxa"/>
            <w:shd w:val="clear" w:color="auto" w:fill="CCEEFF"/>
            <w:vAlign w:val="bottom"/>
          </w:tcPr>
          <w:p w14:paraId="02D816A3" w14:textId="77777777" w:rsidR="00D1587D" w:rsidRDefault="00D1587D">
            <w:pPr>
              <w:rPr>
                <w:sz w:val="24"/>
                <w:szCs w:val="24"/>
              </w:rPr>
            </w:pPr>
          </w:p>
        </w:tc>
        <w:tc>
          <w:tcPr>
            <w:tcW w:w="880" w:type="dxa"/>
            <w:gridSpan w:val="2"/>
            <w:shd w:val="clear" w:color="auto" w:fill="CCEEFF"/>
            <w:vAlign w:val="bottom"/>
          </w:tcPr>
          <w:p w14:paraId="36E926A2" w14:textId="77777777" w:rsidR="00D1587D" w:rsidRDefault="00410D07">
            <w:pPr>
              <w:ind w:right="380"/>
              <w:jc w:val="right"/>
              <w:rPr>
                <w:sz w:val="20"/>
                <w:szCs w:val="20"/>
              </w:rPr>
            </w:pPr>
            <w:r>
              <w:rPr>
                <w:rFonts w:ascii="Arial" w:eastAsia="Arial" w:hAnsi="Arial" w:cs="Arial"/>
                <w:sz w:val="18"/>
                <w:szCs w:val="18"/>
              </w:rPr>
              <w:t>$ —</w:t>
            </w:r>
          </w:p>
        </w:tc>
        <w:tc>
          <w:tcPr>
            <w:tcW w:w="380" w:type="dxa"/>
            <w:shd w:val="clear" w:color="auto" w:fill="CCEEFF"/>
            <w:vAlign w:val="bottom"/>
          </w:tcPr>
          <w:p w14:paraId="297BF045" w14:textId="77777777" w:rsidR="00D1587D" w:rsidRDefault="00410D07">
            <w:pPr>
              <w:jc w:val="right"/>
              <w:rPr>
                <w:sz w:val="20"/>
                <w:szCs w:val="20"/>
              </w:rPr>
            </w:pPr>
            <w:r>
              <w:rPr>
                <w:rFonts w:ascii="Arial" w:eastAsia="Arial" w:hAnsi="Arial" w:cs="Arial"/>
                <w:sz w:val="18"/>
                <w:szCs w:val="18"/>
              </w:rPr>
              <w:t>$—</w:t>
            </w:r>
          </w:p>
        </w:tc>
        <w:tc>
          <w:tcPr>
            <w:tcW w:w="0" w:type="dxa"/>
            <w:vAlign w:val="bottom"/>
          </w:tcPr>
          <w:p w14:paraId="12BD4243" w14:textId="77777777" w:rsidR="00D1587D" w:rsidRDefault="00D1587D">
            <w:pPr>
              <w:rPr>
                <w:sz w:val="1"/>
                <w:szCs w:val="1"/>
              </w:rPr>
            </w:pPr>
          </w:p>
        </w:tc>
      </w:tr>
      <w:tr w:rsidR="00D1587D" w14:paraId="4DB1D47A" w14:textId="77777777">
        <w:trPr>
          <w:trHeight w:val="324"/>
        </w:trPr>
        <w:tc>
          <w:tcPr>
            <w:tcW w:w="4060" w:type="dxa"/>
            <w:gridSpan w:val="2"/>
            <w:vAlign w:val="bottom"/>
          </w:tcPr>
          <w:p w14:paraId="03A9BDC1" w14:textId="77777777" w:rsidR="00D1587D" w:rsidRDefault="00410D07">
            <w:pPr>
              <w:spacing w:line="324" w:lineRule="exact"/>
              <w:rPr>
                <w:sz w:val="20"/>
                <w:szCs w:val="20"/>
              </w:rPr>
            </w:pPr>
            <w:r>
              <w:rPr>
                <w:rFonts w:ascii="Arial" w:eastAsia="Arial" w:hAnsi="Arial" w:cs="Arial"/>
                <w:sz w:val="18"/>
                <w:szCs w:val="18"/>
              </w:rPr>
              <w:t>Future Lease Obligations</w:t>
            </w:r>
            <w:r>
              <w:rPr>
                <w:rFonts w:ascii="Arial" w:eastAsia="Arial" w:hAnsi="Arial" w:cs="Arial"/>
                <w:sz w:val="29"/>
                <w:szCs w:val="29"/>
                <w:vertAlign w:val="superscript"/>
              </w:rPr>
              <w:t>(b)</w:t>
            </w:r>
          </w:p>
        </w:tc>
        <w:tc>
          <w:tcPr>
            <w:tcW w:w="500" w:type="dxa"/>
            <w:gridSpan w:val="2"/>
            <w:vAlign w:val="bottom"/>
          </w:tcPr>
          <w:p w14:paraId="21E13D34" w14:textId="77777777" w:rsidR="00D1587D" w:rsidRDefault="00410D07">
            <w:pPr>
              <w:jc w:val="right"/>
              <w:rPr>
                <w:sz w:val="20"/>
                <w:szCs w:val="20"/>
              </w:rPr>
            </w:pPr>
            <w:r>
              <w:rPr>
                <w:rFonts w:ascii="Arial" w:eastAsia="Arial" w:hAnsi="Arial" w:cs="Arial"/>
                <w:sz w:val="18"/>
                <w:szCs w:val="18"/>
              </w:rPr>
              <w:t>2,581</w:t>
            </w:r>
          </w:p>
        </w:tc>
        <w:tc>
          <w:tcPr>
            <w:tcW w:w="200" w:type="dxa"/>
            <w:vAlign w:val="bottom"/>
          </w:tcPr>
          <w:p w14:paraId="58F5B9AE" w14:textId="77777777" w:rsidR="00D1587D" w:rsidRDefault="00D1587D">
            <w:pPr>
              <w:rPr>
                <w:sz w:val="24"/>
                <w:szCs w:val="24"/>
              </w:rPr>
            </w:pPr>
          </w:p>
        </w:tc>
        <w:tc>
          <w:tcPr>
            <w:tcW w:w="220" w:type="dxa"/>
            <w:vAlign w:val="bottom"/>
          </w:tcPr>
          <w:p w14:paraId="65E13531" w14:textId="77777777" w:rsidR="00D1587D" w:rsidRDefault="00D1587D">
            <w:pPr>
              <w:rPr>
                <w:sz w:val="24"/>
                <w:szCs w:val="24"/>
              </w:rPr>
            </w:pPr>
          </w:p>
        </w:tc>
        <w:tc>
          <w:tcPr>
            <w:tcW w:w="460" w:type="dxa"/>
            <w:vAlign w:val="bottom"/>
          </w:tcPr>
          <w:p w14:paraId="0BC28D65" w14:textId="77777777" w:rsidR="00D1587D" w:rsidRDefault="00410D07">
            <w:pPr>
              <w:ind w:right="30"/>
              <w:jc w:val="right"/>
              <w:rPr>
                <w:sz w:val="20"/>
                <w:szCs w:val="20"/>
              </w:rPr>
            </w:pPr>
            <w:r>
              <w:rPr>
                <w:rFonts w:ascii="Arial" w:eastAsia="Arial" w:hAnsi="Arial" w:cs="Arial"/>
                <w:sz w:val="18"/>
                <w:szCs w:val="18"/>
              </w:rPr>
              <w:t>503</w:t>
            </w:r>
          </w:p>
        </w:tc>
        <w:tc>
          <w:tcPr>
            <w:tcW w:w="760" w:type="dxa"/>
            <w:gridSpan w:val="3"/>
            <w:vAlign w:val="bottom"/>
          </w:tcPr>
          <w:p w14:paraId="41B70115" w14:textId="77777777" w:rsidR="00D1587D" w:rsidRDefault="00410D07">
            <w:pPr>
              <w:ind w:right="35"/>
              <w:jc w:val="right"/>
              <w:rPr>
                <w:sz w:val="20"/>
                <w:szCs w:val="20"/>
              </w:rPr>
            </w:pPr>
            <w:r>
              <w:rPr>
                <w:rFonts w:ascii="Arial" w:eastAsia="Arial" w:hAnsi="Arial" w:cs="Arial"/>
                <w:sz w:val="18"/>
                <w:szCs w:val="18"/>
              </w:rPr>
              <w:t>798</w:t>
            </w:r>
          </w:p>
        </w:tc>
        <w:tc>
          <w:tcPr>
            <w:tcW w:w="200" w:type="dxa"/>
            <w:vAlign w:val="bottom"/>
          </w:tcPr>
          <w:p w14:paraId="24B14E9C" w14:textId="77777777" w:rsidR="00D1587D" w:rsidRDefault="00D1587D">
            <w:pPr>
              <w:rPr>
                <w:sz w:val="24"/>
                <w:szCs w:val="24"/>
              </w:rPr>
            </w:pPr>
          </w:p>
        </w:tc>
        <w:tc>
          <w:tcPr>
            <w:tcW w:w="580" w:type="dxa"/>
            <w:vAlign w:val="bottom"/>
          </w:tcPr>
          <w:p w14:paraId="41217131" w14:textId="77777777" w:rsidR="00D1587D" w:rsidRDefault="00410D07">
            <w:pPr>
              <w:ind w:right="33"/>
              <w:jc w:val="right"/>
              <w:rPr>
                <w:sz w:val="20"/>
                <w:szCs w:val="20"/>
              </w:rPr>
            </w:pPr>
            <w:r>
              <w:rPr>
                <w:rFonts w:ascii="Arial" w:eastAsia="Arial" w:hAnsi="Arial" w:cs="Arial"/>
                <w:sz w:val="18"/>
                <w:szCs w:val="18"/>
              </w:rPr>
              <w:t>558</w:t>
            </w:r>
          </w:p>
        </w:tc>
        <w:tc>
          <w:tcPr>
            <w:tcW w:w="180" w:type="dxa"/>
            <w:vAlign w:val="bottom"/>
          </w:tcPr>
          <w:p w14:paraId="3B003952" w14:textId="77777777" w:rsidR="00D1587D" w:rsidRDefault="00D1587D">
            <w:pPr>
              <w:rPr>
                <w:sz w:val="24"/>
                <w:szCs w:val="24"/>
              </w:rPr>
            </w:pPr>
          </w:p>
        </w:tc>
        <w:tc>
          <w:tcPr>
            <w:tcW w:w="680" w:type="dxa"/>
            <w:vAlign w:val="bottom"/>
          </w:tcPr>
          <w:p w14:paraId="12A3D46F" w14:textId="77777777" w:rsidR="00D1587D" w:rsidRDefault="00410D07">
            <w:pPr>
              <w:ind w:right="95"/>
              <w:jc w:val="right"/>
              <w:rPr>
                <w:sz w:val="20"/>
                <w:szCs w:val="20"/>
              </w:rPr>
            </w:pPr>
            <w:r>
              <w:rPr>
                <w:rFonts w:ascii="Arial" w:eastAsia="Arial" w:hAnsi="Arial" w:cs="Arial"/>
                <w:sz w:val="18"/>
                <w:szCs w:val="18"/>
              </w:rPr>
              <w:t>722</w:t>
            </w:r>
          </w:p>
        </w:tc>
        <w:tc>
          <w:tcPr>
            <w:tcW w:w="200" w:type="dxa"/>
            <w:vAlign w:val="bottom"/>
          </w:tcPr>
          <w:p w14:paraId="32197167" w14:textId="77777777" w:rsidR="00D1587D" w:rsidRDefault="00D1587D">
            <w:pPr>
              <w:rPr>
                <w:sz w:val="24"/>
                <w:szCs w:val="24"/>
              </w:rPr>
            </w:pPr>
          </w:p>
        </w:tc>
        <w:tc>
          <w:tcPr>
            <w:tcW w:w="380" w:type="dxa"/>
            <w:vAlign w:val="bottom"/>
          </w:tcPr>
          <w:p w14:paraId="15205669" w14:textId="77777777" w:rsidR="00D1587D" w:rsidRDefault="00410D07">
            <w:pPr>
              <w:jc w:val="right"/>
              <w:rPr>
                <w:sz w:val="20"/>
                <w:szCs w:val="20"/>
              </w:rPr>
            </w:pPr>
            <w:r>
              <w:rPr>
                <w:rFonts w:ascii="Arial" w:eastAsia="Arial" w:hAnsi="Arial" w:cs="Arial"/>
                <w:sz w:val="18"/>
                <w:szCs w:val="18"/>
              </w:rPr>
              <w:t>—</w:t>
            </w:r>
          </w:p>
        </w:tc>
        <w:tc>
          <w:tcPr>
            <w:tcW w:w="0" w:type="dxa"/>
            <w:vAlign w:val="bottom"/>
          </w:tcPr>
          <w:p w14:paraId="149FB365" w14:textId="77777777" w:rsidR="00D1587D" w:rsidRDefault="00D1587D">
            <w:pPr>
              <w:rPr>
                <w:sz w:val="1"/>
                <w:szCs w:val="1"/>
              </w:rPr>
            </w:pPr>
          </w:p>
        </w:tc>
      </w:tr>
      <w:tr w:rsidR="00D1587D" w14:paraId="34A7E671" w14:textId="77777777">
        <w:trPr>
          <w:trHeight w:val="324"/>
        </w:trPr>
        <w:tc>
          <w:tcPr>
            <w:tcW w:w="4060" w:type="dxa"/>
            <w:gridSpan w:val="2"/>
            <w:shd w:val="clear" w:color="auto" w:fill="CCEEFF"/>
            <w:vAlign w:val="bottom"/>
          </w:tcPr>
          <w:p w14:paraId="3A311B4C" w14:textId="77777777" w:rsidR="00D1587D" w:rsidRDefault="00410D07">
            <w:pPr>
              <w:spacing w:line="324" w:lineRule="exact"/>
              <w:rPr>
                <w:sz w:val="20"/>
                <w:szCs w:val="20"/>
              </w:rPr>
            </w:pPr>
            <w:r>
              <w:rPr>
                <w:rFonts w:ascii="Arial" w:eastAsia="Arial" w:hAnsi="Arial" w:cs="Arial"/>
                <w:sz w:val="18"/>
                <w:szCs w:val="18"/>
              </w:rPr>
              <w:t>Purchase Obligations</w:t>
            </w:r>
            <w:r>
              <w:rPr>
                <w:rFonts w:ascii="Arial" w:eastAsia="Arial" w:hAnsi="Arial" w:cs="Arial"/>
                <w:sz w:val="29"/>
                <w:szCs w:val="29"/>
                <w:vertAlign w:val="superscript"/>
              </w:rPr>
              <w:t>(c)</w:t>
            </w:r>
          </w:p>
        </w:tc>
        <w:tc>
          <w:tcPr>
            <w:tcW w:w="100" w:type="dxa"/>
            <w:shd w:val="clear" w:color="auto" w:fill="CCEEFF"/>
            <w:vAlign w:val="bottom"/>
          </w:tcPr>
          <w:p w14:paraId="08F0F753" w14:textId="77777777" w:rsidR="00D1587D" w:rsidRDefault="00D1587D">
            <w:pPr>
              <w:rPr>
                <w:sz w:val="24"/>
                <w:szCs w:val="24"/>
              </w:rPr>
            </w:pPr>
          </w:p>
        </w:tc>
        <w:tc>
          <w:tcPr>
            <w:tcW w:w="400" w:type="dxa"/>
            <w:shd w:val="clear" w:color="auto" w:fill="CCEEFF"/>
            <w:vAlign w:val="bottom"/>
          </w:tcPr>
          <w:p w14:paraId="1F4CCDEC" w14:textId="77777777" w:rsidR="00D1587D" w:rsidRDefault="00410D07">
            <w:pPr>
              <w:jc w:val="right"/>
              <w:rPr>
                <w:sz w:val="20"/>
                <w:szCs w:val="20"/>
              </w:rPr>
            </w:pPr>
            <w:r>
              <w:rPr>
                <w:rFonts w:ascii="Arial" w:eastAsia="Arial" w:hAnsi="Arial" w:cs="Arial"/>
                <w:sz w:val="18"/>
                <w:szCs w:val="18"/>
              </w:rPr>
              <w:t>470</w:t>
            </w:r>
          </w:p>
        </w:tc>
        <w:tc>
          <w:tcPr>
            <w:tcW w:w="200" w:type="dxa"/>
            <w:shd w:val="clear" w:color="auto" w:fill="CCEEFF"/>
            <w:vAlign w:val="bottom"/>
          </w:tcPr>
          <w:p w14:paraId="60849500" w14:textId="77777777" w:rsidR="00D1587D" w:rsidRDefault="00D1587D">
            <w:pPr>
              <w:rPr>
                <w:sz w:val="24"/>
                <w:szCs w:val="24"/>
              </w:rPr>
            </w:pPr>
          </w:p>
        </w:tc>
        <w:tc>
          <w:tcPr>
            <w:tcW w:w="220" w:type="dxa"/>
            <w:shd w:val="clear" w:color="auto" w:fill="CCEEFF"/>
            <w:vAlign w:val="bottom"/>
          </w:tcPr>
          <w:p w14:paraId="5954F8AA" w14:textId="77777777" w:rsidR="00D1587D" w:rsidRDefault="00D1587D">
            <w:pPr>
              <w:rPr>
                <w:sz w:val="24"/>
                <w:szCs w:val="24"/>
              </w:rPr>
            </w:pPr>
          </w:p>
        </w:tc>
        <w:tc>
          <w:tcPr>
            <w:tcW w:w="460" w:type="dxa"/>
            <w:shd w:val="clear" w:color="auto" w:fill="CCEEFF"/>
            <w:vAlign w:val="bottom"/>
          </w:tcPr>
          <w:p w14:paraId="2BD47F88" w14:textId="77777777" w:rsidR="00D1587D" w:rsidRDefault="00410D07">
            <w:pPr>
              <w:ind w:right="30"/>
              <w:jc w:val="right"/>
              <w:rPr>
                <w:sz w:val="20"/>
                <w:szCs w:val="20"/>
              </w:rPr>
            </w:pPr>
            <w:r>
              <w:rPr>
                <w:rFonts w:ascii="Arial" w:eastAsia="Arial" w:hAnsi="Arial" w:cs="Arial"/>
                <w:sz w:val="18"/>
                <w:szCs w:val="18"/>
              </w:rPr>
              <w:t>457</w:t>
            </w:r>
          </w:p>
        </w:tc>
        <w:tc>
          <w:tcPr>
            <w:tcW w:w="180" w:type="dxa"/>
            <w:shd w:val="clear" w:color="auto" w:fill="CCEEFF"/>
            <w:vAlign w:val="bottom"/>
          </w:tcPr>
          <w:p w14:paraId="122D3BDB" w14:textId="77777777" w:rsidR="00D1587D" w:rsidRDefault="00D1587D">
            <w:pPr>
              <w:rPr>
                <w:sz w:val="24"/>
                <w:szCs w:val="24"/>
              </w:rPr>
            </w:pPr>
          </w:p>
        </w:tc>
        <w:tc>
          <w:tcPr>
            <w:tcW w:w="220" w:type="dxa"/>
            <w:shd w:val="clear" w:color="auto" w:fill="CCEEFF"/>
            <w:vAlign w:val="bottom"/>
          </w:tcPr>
          <w:p w14:paraId="6C5E03EB" w14:textId="77777777" w:rsidR="00D1587D" w:rsidRDefault="00D1587D">
            <w:pPr>
              <w:rPr>
                <w:sz w:val="24"/>
                <w:szCs w:val="24"/>
              </w:rPr>
            </w:pPr>
          </w:p>
        </w:tc>
        <w:tc>
          <w:tcPr>
            <w:tcW w:w="360" w:type="dxa"/>
            <w:shd w:val="clear" w:color="auto" w:fill="CCEEFF"/>
            <w:vAlign w:val="bottom"/>
          </w:tcPr>
          <w:p w14:paraId="6DC93386" w14:textId="77777777" w:rsidR="00D1587D" w:rsidRDefault="00410D07">
            <w:pPr>
              <w:ind w:right="35"/>
              <w:jc w:val="right"/>
              <w:rPr>
                <w:sz w:val="20"/>
                <w:szCs w:val="20"/>
              </w:rPr>
            </w:pPr>
            <w:r>
              <w:rPr>
                <w:rFonts w:ascii="Arial" w:eastAsia="Arial" w:hAnsi="Arial" w:cs="Arial"/>
                <w:sz w:val="18"/>
                <w:szCs w:val="18"/>
              </w:rPr>
              <w:t>12</w:t>
            </w:r>
          </w:p>
        </w:tc>
        <w:tc>
          <w:tcPr>
            <w:tcW w:w="200" w:type="dxa"/>
            <w:shd w:val="clear" w:color="auto" w:fill="CCEEFF"/>
            <w:vAlign w:val="bottom"/>
          </w:tcPr>
          <w:p w14:paraId="5ACA7DE9" w14:textId="77777777" w:rsidR="00D1587D" w:rsidRDefault="00D1587D">
            <w:pPr>
              <w:rPr>
                <w:sz w:val="24"/>
                <w:szCs w:val="24"/>
              </w:rPr>
            </w:pPr>
          </w:p>
        </w:tc>
        <w:tc>
          <w:tcPr>
            <w:tcW w:w="580" w:type="dxa"/>
            <w:shd w:val="clear" w:color="auto" w:fill="CCEEFF"/>
            <w:vAlign w:val="bottom"/>
          </w:tcPr>
          <w:p w14:paraId="254D3295" w14:textId="77777777" w:rsidR="00D1587D" w:rsidRDefault="00410D07">
            <w:pPr>
              <w:ind w:right="33"/>
              <w:jc w:val="right"/>
              <w:rPr>
                <w:sz w:val="20"/>
                <w:szCs w:val="20"/>
              </w:rPr>
            </w:pPr>
            <w:r>
              <w:rPr>
                <w:rFonts w:ascii="Arial" w:eastAsia="Arial" w:hAnsi="Arial" w:cs="Arial"/>
                <w:sz w:val="18"/>
                <w:szCs w:val="18"/>
              </w:rPr>
              <w:t>1</w:t>
            </w:r>
          </w:p>
        </w:tc>
        <w:tc>
          <w:tcPr>
            <w:tcW w:w="180" w:type="dxa"/>
            <w:shd w:val="clear" w:color="auto" w:fill="CCEEFF"/>
            <w:vAlign w:val="bottom"/>
          </w:tcPr>
          <w:p w14:paraId="1D9A36ED" w14:textId="77777777" w:rsidR="00D1587D" w:rsidRDefault="00D1587D">
            <w:pPr>
              <w:rPr>
                <w:sz w:val="24"/>
                <w:szCs w:val="24"/>
              </w:rPr>
            </w:pPr>
          </w:p>
        </w:tc>
        <w:tc>
          <w:tcPr>
            <w:tcW w:w="880" w:type="dxa"/>
            <w:gridSpan w:val="2"/>
            <w:shd w:val="clear" w:color="auto" w:fill="CCEEFF"/>
            <w:vAlign w:val="bottom"/>
          </w:tcPr>
          <w:p w14:paraId="4039EFCC" w14:textId="77777777" w:rsidR="00D1587D" w:rsidRDefault="00410D07">
            <w:pPr>
              <w:ind w:right="380"/>
              <w:jc w:val="right"/>
              <w:rPr>
                <w:sz w:val="20"/>
                <w:szCs w:val="20"/>
              </w:rPr>
            </w:pPr>
            <w:r>
              <w:rPr>
                <w:rFonts w:ascii="Arial" w:eastAsia="Arial" w:hAnsi="Arial" w:cs="Arial"/>
                <w:sz w:val="18"/>
                <w:szCs w:val="18"/>
              </w:rPr>
              <w:t>—</w:t>
            </w:r>
          </w:p>
        </w:tc>
        <w:tc>
          <w:tcPr>
            <w:tcW w:w="380" w:type="dxa"/>
            <w:shd w:val="clear" w:color="auto" w:fill="CCEEFF"/>
            <w:vAlign w:val="bottom"/>
          </w:tcPr>
          <w:p w14:paraId="09B14CD0" w14:textId="77777777" w:rsidR="00D1587D" w:rsidRDefault="00410D07">
            <w:pPr>
              <w:jc w:val="right"/>
              <w:rPr>
                <w:sz w:val="20"/>
                <w:szCs w:val="20"/>
              </w:rPr>
            </w:pPr>
            <w:r>
              <w:rPr>
                <w:rFonts w:ascii="Arial" w:eastAsia="Arial" w:hAnsi="Arial" w:cs="Arial"/>
                <w:sz w:val="18"/>
                <w:szCs w:val="18"/>
              </w:rPr>
              <w:t>—</w:t>
            </w:r>
          </w:p>
        </w:tc>
        <w:tc>
          <w:tcPr>
            <w:tcW w:w="0" w:type="dxa"/>
            <w:vAlign w:val="bottom"/>
          </w:tcPr>
          <w:p w14:paraId="71DC8A05" w14:textId="77777777" w:rsidR="00D1587D" w:rsidRDefault="00D1587D">
            <w:pPr>
              <w:rPr>
                <w:sz w:val="1"/>
                <w:szCs w:val="1"/>
              </w:rPr>
            </w:pPr>
          </w:p>
        </w:tc>
      </w:tr>
      <w:tr w:rsidR="00D1587D" w14:paraId="28EE7EB5" w14:textId="77777777">
        <w:trPr>
          <w:trHeight w:val="338"/>
        </w:trPr>
        <w:tc>
          <w:tcPr>
            <w:tcW w:w="4060" w:type="dxa"/>
            <w:gridSpan w:val="2"/>
            <w:tcBorders>
              <w:bottom w:val="single" w:sz="8" w:space="0" w:color="CCEEFF"/>
            </w:tcBorders>
            <w:vAlign w:val="bottom"/>
          </w:tcPr>
          <w:p w14:paraId="28404402" w14:textId="77777777" w:rsidR="00D1587D" w:rsidRDefault="00410D07">
            <w:pPr>
              <w:rPr>
                <w:sz w:val="20"/>
                <w:szCs w:val="20"/>
              </w:rPr>
            </w:pPr>
            <w:r>
              <w:rPr>
                <w:rFonts w:ascii="Arial" w:eastAsia="Arial" w:hAnsi="Arial" w:cs="Arial"/>
                <w:sz w:val="18"/>
                <w:szCs w:val="18"/>
              </w:rPr>
              <w:t xml:space="preserve">Other </w:t>
            </w:r>
            <w:r>
              <w:rPr>
                <w:rFonts w:ascii="Arial" w:eastAsia="Arial" w:hAnsi="Arial" w:cs="Arial"/>
                <w:sz w:val="18"/>
                <w:szCs w:val="18"/>
              </w:rPr>
              <w:t>Liabilities</w:t>
            </w:r>
            <w:r>
              <w:rPr>
                <w:rFonts w:ascii="Arial" w:eastAsia="Arial" w:hAnsi="Arial" w:cs="Arial"/>
                <w:sz w:val="29"/>
                <w:szCs w:val="29"/>
                <w:vertAlign w:val="superscript"/>
              </w:rPr>
              <w:t>(d)(e)</w:t>
            </w:r>
          </w:p>
        </w:tc>
        <w:tc>
          <w:tcPr>
            <w:tcW w:w="100" w:type="dxa"/>
            <w:tcBorders>
              <w:bottom w:val="single" w:sz="8" w:space="0" w:color="auto"/>
            </w:tcBorders>
            <w:vAlign w:val="bottom"/>
          </w:tcPr>
          <w:p w14:paraId="447DDB17" w14:textId="77777777" w:rsidR="00D1587D" w:rsidRDefault="00D1587D">
            <w:pPr>
              <w:rPr>
                <w:sz w:val="24"/>
                <w:szCs w:val="24"/>
              </w:rPr>
            </w:pPr>
          </w:p>
        </w:tc>
        <w:tc>
          <w:tcPr>
            <w:tcW w:w="400" w:type="dxa"/>
            <w:tcBorders>
              <w:bottom w:val="single" w:sz="8" w:space="0" w:color="auto"/>
            </w:tcBorders>
            <w:vAlign w:val="bottom"/>
          </w:tcPr>
          <w:p w14:paraId="2B4ADD72" w14:textId="77777777" w:rsidR="00D1587D" w:rsidRDefault="00410D07">
            <w:pPr>
              <w:jc w:val="right"/>
              <w:rPr>
                <w:sz w:val="20"/>
                <w:szCs w:val="20"/>
              </w:rPr>
            </w:pPr>
            <w:r>
              <w:rPr>
                <w:rFonts w:ascii="Arial" w:eastAsia="Arial" w:hAnsi="Arial" w:cs="Arial"/>
                <w:sz w:val="18"/>
                <w:szCs w:val="18"/>
              </w:rPr>
              <w:t>143</w:t>
            </w:r>
          </w:p>
        </w:tc>
        <w:tc>
          <w:tcPr>
            <w:tcW w:w="200" w:type="dxa"/>
            <w:tcBorders>
              <w:bottom w:val="single" w:sz="8" w:space="0" w:color="CCEEFF"/>
            </w:tcBorders>
            <w:vAlign w:val="bottom"/>
          </w:tcPr>
          <w:p w14:paraId="721E1AF4" w14:textId="77777777" w:rsidR="00D1587D" w:rsidRDefault="00D1587D">
            <w:pPr>
              <w:rPr>
                <w:sz w:val="24"/>
                <w:szCs w:val="24"/>
              </w:rPr>
            </w:pPr>
          </w:p>
        </w:tc>
        <w:tc>
          <w:tcPr>
            <w:tcW w:w="220" w:type="dxa"/>
            <w:tcBorders>
              <w:bottom w:val="single" w:sz="8" w:space="0" w:color="auto"/>
            </w:tcBorders>
            <w:vAlign w:val="bottom"/>
          </w:tcPr>
          <w:p w14:paraId="07FCF9DB" w14:textId="77777777" w:rsidR="00D1587D" w:rsidRDefault="00D1587D">
            <w:pPr>
              <w:rPr>
                <w:sz w:val="24"/>
                <w:szCs w:val="24"/>
              </w:rPr>
            </w:pPr>
          </w:p>
        </w:tc>
        <w:tc>
          <w:tcPr>
            <w:tcW w:w="460" w:type="dxa"/>
            <w:tcBorders>
              <w:bottom w:val="single" w:sz="8" w:space="0" w:color="auto"/>
            </w:tcBorders>
            <w:vAlign w:val="bottom"/>
          </w:tcPr>
          <w:p w14:paraId="0F09F9BD" w14:textId="77777777" w:rsidR="00D1587D" w:rsidRDefault="00410D07">
            <w:pPr>
              <w:ind w:right="30"/>
              <w:jc w:val="right"/>
              <w:rPr>
                <w:sz w:val="20"/>
                <w:szCs w:val="20"/>
              </w:rPr>
            </w:pPr>
            <w:r>
              <w:rPr>
                <w:rFonts w:ascii="Arial" w:eastAsia="Arial" w:hAnsi="Arial" w:cs="Arial"/>
                <w:sz w:val="18"/>
                <w:szCs w:val="18"/>
              </w:rPr>
              <w:t>90</w:t>
            </w:r>
          </w:p>
        </w:tc>
        <w:tc>
          <w:tcPr>
            <w:tcW w:w="180" w:type="dxa"/>
            <w:tcBorders>
              <w:bottom w:val="single" w:sz="8" w:space="0" w:color="CCEEFF"/>
            </w:tcBorders>
            <w:vAlign w:val="bottom"/>
          </w:tcPr>
          <w:p w14:paraId="0CBE7D76" w14:textId="77777777" w:rsidR="00D1587D" w:rsidRDefault="00D1587D">
            <w:pPr>
              <w:rPr>
                <w:sz w:val="24"/>
                <w:szCs w:val="24"/>
              </w:rPr>
            </w:pPr>
          </w:p>
        </w:tc>
        <w:tc>
          <w:tcPr>
            <w:tcW w:w="220" w:type="dxa"/>
            <w:tcBorders>
              <w:bottom w:val="single" w:sz="8" w:space="0" w:color="auto"/>
            </w:tcBorders>
            <w:vAlign w:val="bottom"/>
          </w:tcPr>
          <w:p w14:paraId="02DFDB62" w14:textId="77777777" w:rsidR="00D1587D" w:rsidRDefault="00D1587D">
            <w:pPr>
              <w:rPr>
                <w:sz w:val="24"/>
                <w:szCs w:val="24"/>
              </w:rPr>
            </w:pPr>
          </w:p>
        </w:tc>
        <w:tc>
          <w:tcPr>
            <w:tcW w:w="360" w:type="dxa"/>
            <w:tcBorders>
              <w:bottom w:val="single" w:sz="8" w:space="0" w:color="auto"/>
            </w:tcBorders>
            <w:vAlign w:val="bottom"/>
          </w:tcPr>
          <w:p w14:paraId="60EFE4F7" w14:textId="77777777" w:rsidR="00D1587D" w:rsidRDefault="00410D07">
            <w:pPr>
              <w:ind w:right="35"/>
              <w:jc w:val="right"/>
              <w:rPr>
                <w:sz w:val="20"/>
                <w:szCs w:val="20"/>
              </w:rPr>
            </w:pPr>
            <w:r>
              <w:rPr>
                <w:rFonts w:ascii="Arial" w:eastAsia="Arial" w:hAnsi="Arial" w:cs="Arial"/>
                <w:sz w:val="18"/>
                <w:szCs w:val="18"/>
              </w:rPr>
              <w:t>25</w:t>
            </w:r>
          </w:p>
        </w:tc>
        <w:tc>
          <w:tcPr>
            <w:tcW w:w="200" w:type="dxa"/>
            <w:tcBorders>
              <w:bottom w:val="single" w:sz="8" w:space="0" w:color="CCEEFF"/>
            </w:tcBorders>
            <w:vAlign w:val="bottom"/>
          </w:tcPr>
          <w:p w14:paraId="6E2FB192" w14:textId="77777777" w:rsidR="00D1587D" w:rsidRDefault="00D1587D">
            <w:pPr>
              <w:rPr>
                <w:sz w:val="24"/>
                <w:szCs w:val="24"/>
              </w:rPr>
            </w:pPr>
          </w:p>
        </w:tc>
        <w:tc>
          <w:tcPr>
            <w:tcW w:w="580" w:type="dxa"/>
            <w:tcBorders>
              <w:bottom w:val="single" w:sz="8" w:space="0" w:color="auto"/>
            </w:tcBorders>
            <w:vAlign w:val="bottom"/>
          </w:tcPr>
          <w:p w14:paraId="36BC16B7" w14:textId="77777777" w:rsidR="00D1587D" w:rsidRDefault="00410D07">
            <w:pPr>
              <w:ind w:right="33"/>
              <w:jc w:val="right"/>
              <w:rPr>
                <w:sz w:val="20"/>
                <w:szCs w:val="20"/>
              </w:rPr>
            </w:pPr>
            <w:r>
              <w:rPr>
                <w:rFonts w:ascii="Arial" w:eastAsia="Arial" w:hAnsi="Arial" w:cs="Arial"/>
                <w:sz w:val="18"/>
                <w:szCs w:val="18"/>
              </w:rPr>
              <w:t>18</w:t>
            </w:r>
          </w:p>
        </w:tc>
        <w:tc>
          <w:tcPr>
            <w:tcW w:w="180" w:type="dxa"/>
            <w:tcBorders>
              <w:bottom w:val="single" w:sz="8" w:space="0" w:color="CCEEFF"/>
            </w:tcBorders>
            <w:vAlign w:val="bottom"/>
          </w:tcPr>
          <w:p w14:paraId="68C03AE0" w14:textId="77777777" w:rsidR="00D1587D" w:rsidRDefault="00D1587D">
            <w:pPr>
              <w:rPr>
                <w:sz w:val="24"/>
                <w:szCs w:val="24"/>
              </w:rPr>
            </w:pPr>
          </w:p>
        </w:tc>
        <w:tc>
          <w:tcPr>
            <w:tcW w:w="680" w:type="dxa"/>
            <w:tcBorders>
              <w:bottom w:val="single" w:sz="8" w:space="0" w:color="auto"/>
            </w:tcBorders>
            <w:vAlign w:val="bottom"/>
          </w:tcPr>
          <w:p w14:paraId="319F9FC2" w14:textId="77777777" w:rsidR="00D1587D" w:rsidRDefault="00410D07">
            <w:pPr>
              <w:ind w:right="95"/>
              <w:jc w:val="right"/>
              <w:rPr>
                <w:sz w:val="20"/>
                <w:szCs w:val="20"/>
              </w:rPr>
            </w:pPr>
            <w:r>
              <w:rPr>
                <w:rFonts w:ascii="Arial" w:eastAsia="Arial" w:hAnsi="Arial" w:cs="Arial"/>
                <w:sz w:val="18"/>
                <w:szCs w:val="18"/>
              </w:rPr>
              <w:t>—</w:t>
            </w:r>
          </w:p>
        </w:tc>
        <w:tc>
          <w:tcPr>
            <w:tcW w:w="200" w:type="dxa"/>
            <w:tcBorders>
              <w:bottom w:val="single" w:sz="8" w:space="0" w:color="CCEEFF"/>
            </w:tcBorders>
            <w:vAlign w:val="bottom"/>
          </w:tcPr>
          <w:p w14:paraId="53C09D08" w14:textId="77777777" w:rsidR="00D1587D" w:rsidRDefault="00D1587D">
            <w:pPr>
              <w:rPr>
                <w:sz w:val="24"/>
                <w:szCs w:val="24"/>
              </w:rPr>
            </w:pPr>
          </w:p>
        </w:tc>
        <w:tc>
          <w:tcPr>
            <w:tcW w:w="380" w:type="dxa"/>
            <w:tcBorders>
              <w:bottom w:val="single" w:sz="8" w:space="0" w:color="auto"/>
            </w:tcBorders>
            <w:vAlign w:val="bottom"/>
          </w:tcPr>
          <w:p w14:paraId="1F5527A8" w14:textId="77777777" w:rsidR="00D1587D" w:rsidRDefault="00410D07">
            <w:pPr>
              <w:jc w:val="right"/>
              <w:rPr>
                <w:sz w:val="20"/>
                <w:szCs w:val="20"/>
              </w:rPr>
            </w:pPr>
            <w:r>
              <w:rPr>
                <w:rFonts w:ascii="Arial" w:eastAsia="Arial" w:hAnsi="Arial" w:cs="Arial"/>
                <w:sz w:val="18"/>
                <w:szCs w:val="18"/>
              </w:rPr>
              <w:t>10</w:t>
            </w:r>
          </w:p>
        </w:tc>
        <w:tc>
          <w:tcPr>
            <w:tcW w:w="0" w:type="dxa"/>
            <w:vAlign w:val="bottom"/>
          </w:tcPr>
          <w:p w14:paraId="20DF1327" w14:textId="77777777" w:rsidR="00D1587D" w:rsidRDefault="00D1587D">
            <w:pPr>
              <w:rPr>
                <w:sz w:val="1"/>
                <w:szCs w:val="1"/>
              </w:rPr>
            </w:pPr>
          </w:p>
        </w:tc>
      </w:tr>
      <w:tr w:rsidR="00D1587D" w14:paraId="2736F450" w14:textId="77777777">
        <w:trPr>
          <w:trHeight w:val="337"/>
        </w:trPr>
        <w:tc>
          <w:tcPr>
            <w:tcW w:w="4060" w:type="dxa"/>
            <w:gridSpan w:val="2"/>
            <w:tcBorders>
              <w:bottom w:val="single" w:sz="8" w:space="0" w:color="CCEEFF"/>
            </w:tcBorders>
            <w:shd w:val="clear" w:color="auto" w:fill="CCEEFF"/>
            <w:vAlign w:val="bottom"/>
          </w:tcPr>
          <w:p w14:paraId="607FC0CA" w14:textId="77777777" w:rsidR="00D1587D" w:rsidRDefault="00410D07">
            <w:pPr>
              <w:rPr>
                <w:sz w:val="20"/>
                <w:szCs w:val="20"/>
              </w:rPr>
            </w:pPr>
            <w:r>
              <w:rPr>
                <w:rFonts w:ascii="Arial" w:eastAsia="Arial" w:hAnsi="Arial" w:cs="Arial"/>
                <w:b/>
                <w:bCs/>
                <w:sz w:val="18"/>
                <w:szCs w:val="18"/>
              </w:rPr>
              <w:t>Total</w:t>
            </w:r>
          </w:p>
        </w:tc>
        <w:tc>
          <w:tcPr>
            <w:tcW w:w="500" w:type="dxa"/>
            <w:gridSpan w:val="2"/>
            <w:tcBorders>
              <w:bottom w:val="single" w:sz="8" w:space="0" w:color="auto"/>
            </w:tcBorders>
            <w:shd w:val="clear" w:color="auto" w:fill="CCEEFF"/>
            <w:vAlign w:val="bottom"/>
          </w:tcPr>
          <w:p w14:paraId="2013F9D3" w14:textId="77777777" w:rsidR="00D1587D" w:rsidRDefault="00410D07">
            <w:pPr>
              <w:jc w:val="right"/>
              <w:rPr>
                <w:sz w:val="20"/>
                <w:szCs w:val="20"/>
              </w:rPr>
            </w:pPr>
            <w:r>
              <w:rPr>
                <w:rFonts w:ascii="Arial" w:eastAsia="Arial" w:hAnsi="Arial" w:cs="Arial"/>
                <w:b/>
                <w:bCs/>
                <w:w w:val="87"/>
                <w:sz w:val="18"/>
                <w:szCs w:val="18"/>
                <w:u w:val="single"/>
              </w:rPr>
              <w:t>$</w:t>
            </w:r>
            <w:r>
              <w:rPr>
                <w:rFonts w:ascii="Arial" w:eastAsia="Arial" w:hAnsi="Arial" w:cs="Arial"/>
                <w:b/>
                <w:bCs/>
                <w:w w:val="87"/>
                <w:sz w:val="18"/>
                <w:szCs w:val="18"/>
              </w:rPr>
              <w:t>3,309</w:t>
            </w:r>
          </w:p>
        </w:tc>
        <w:tc>
          <w:tcPr>
            <w:tcW w:w="200" w:type="dxa"/>
            <w:tcBorders>
              <w:bottom w:val="single" w:sz="8" w:space="0" w:color="CCEEFF"/>
            </w:tcBorders>
            <w:shd w:val="clear" w:color="auto" w:fill="CCEEFF"/>
            <w:vAlign w:val="bottom"/>
          </w:tcPr>
          <w:p w14:paraId="3963D178" w14:textId="77777777" w:rsidR="00D1587D" w:rsidRDefault="00D1587D">
            <w:pPr>
              <w:rPr>
                <w:sz w:val="24"/>
                <w:szCs w:val="24"/>
              </w:rPr>
            </w:pPr>
          </w:p>
        </w:tc>
        <w:tc>
          <w:tcPr>
            <w:tcW w:w="680" w:type="dxa"/>
            <w:gridSpan w:val="2"/>
            <w:tcBorders>
              <w:bottom w:val="single" w:sz="8" w:space="0" w:color="auto"/>
            </w:tcBorders>
            <w:shd w:val="clear" w:color="auto" w:fill="CCEEFF"/>
            <w:vAlign w:val="bottom"/>
          </w:tcPr>
          <w:p w14:paraId="4567BCD0" w14:textId="77777777" w:rsidR="00D1587D" w:rsidRDefault="00410D07">
            <w:pPr>
              <w:ind w:right="30"/>
              <w:jc w:val="right"/>
              <w:rPr>
                <w:sz w:val="20"/>
                <w:szCs w:val="20"/>
              </w:rPr>
            </w:pPr>
            <w:r>
              <w:rPr>
                <w:rFonts w:ascii="Arial" w:eastAsia="Arial" w:hAnsi="Arial" w:cs="Arial"/>
                <w:b/>
                <w:bCs/>
                <w:w w:val="98"/>
                <w:sz w:val="18"/>
                <w:szCs w:val="18"/>
              </w:rPr>
              <w:t>$1,054</w:t>
            </w:r>
          </w:p>
        </w:tc>
        <w:tc>
          <w:tcPr>
            <w:tcW w:w="180" w:type="dxa"/>
            <w:tcBorders>
              <w:bottom w:val="single" w:sz="8" w:space="0" w:color="CCEEFF"/>
            </w:tcBorders>
            <w:shd w:val="clear" w:color="auto" w:fill="CCEEFF"/>
            <w:vAlign w:val="bottom"/>
          </w:tcPr>
          <w:p w14:paraId="37C357B2" w14:textId="77777777" w:rsidR="00D1587D" w:rsidRDefault="00D1587D">
            <w:pPr>
              <w:rPr>
                <w:sz w:val="24"/>
                <w:szCs w:val="24"/>
              </w:rPr>
            </w:pPr>
          </w:p>
        </w:tc>
        <w:tc>
          <w:tcPr>
            <w:tcW w:w="580" w:type="dxa"/>
            <w:gridSpan w:val="2"/>
            <w:tcBorders>
              <w:bottom w:val="single" w:sz="8" w:space="0" w:color="auto"/>
            </w:tcBorders>
            <w:shd w:val="clear" w:color="auto" w:fill="CCEEFF"/>
            <w:vAlign w:val="bottom"/>
          </w:tcPr>
          <w:p w14:paraId="5C08233A" w14:textId="77777777" w:rsidR="00D1587D" w:rsidRDefault="00410D07">
            <w:pPr>
              <w:ind w:right="15"/>
              <w:jc w:val="right"/>
              <w:rPr>
                <w:sz w:val="20"/>
                <w:szCs w:val="20"/>
              </w:rPr>
            </w:pPr>
            <w:r>
              <w:rPr>
                <w:rFonts w:ascii="Arial" w:eastAsia="Arial" w:hAnsi="Arial" w:cs="Arial"/>
                <w:b/>
                <w:bCs/>
                <w:sz w:val="18"/>
                <w:szCs w:val="18"/>
              </w:rPr>
              <w:t>$843</w:t>
            </w:r>
          </w:p>
        </w:tc>
        <w:tc>
          <w:tcPr>
            <w:tcW w:w="200" w:type="dxa"/>
            <w:tcBorders>
              <w:bottom w:val="single" w:sz="8" w:space="0" w:color="CCEEFF"/>
            </w:tcBorders>
            <w:shd w:val="clear" w:color="auto" w:fill="CCEEFF"/>
            <w:vAlign w:val="bottom"/>
          </w:tcPr>
          <w:p w14:paraId="3F3C4090" w14:textId="77777777" w:rsidR="00D1587D" w:rsidRDefault="00D1587D">
            <w:pPr>
              <w:rPr>
                <w:sz w:val="24"/>
                <w:szCs w:val="24"/>
              </w:rPr>
            </w:pPr>
          </w:p>
        </w:tc>
        <w:tc>
          <w:tcPr>
            <w:tcW w:w="580" w:type="dxa"/>
            <w:tcBorders>
              <w:bottom w:val="single" w:sz="8" w:space="0" w:color="auto"/>
            </w:tcBorders>
            <w:shd w:val="clear" w:color="auto" w:fill="CCEEFF"/>
            <w:vAlign w:val="bottom"/>
          </w:tcPr>
          <w:p w14:paraId="05859BA6" w14:textId="77777777" w:rsidR="00D1587D" w:rsidRDefault="00410D07">
            <w:pPr>
              <w:ind w:right="33"/>
              <w:jc w:val="right"/>
              <w:rPr>
                <w:sz w:val="20"/>
                <w:szCs w:val="20"/>
              </w:rPr>
            </w:pPr>
            <w:r>
              <w:rPr>
                <w:rFonts w:ascii="Arial" w:eastAsia="Arial" w:hAnsi="Arial" w:cs="Arial"/>
                <w:b/>
                <w:bCs/>
                <w:sz w:val="18"/>
                <w:szCs w:val="18"/>
              </w:rPr>
              <w:t>$680</w:t>
            </w:r>
          </w:p>
        </w:tc>
        <w:tc>
          <w:tcPr>
            <w:tcW w:w="180" w:type="dxa"/>
            <w:tcBorders>
              <w:bottom w:val="single" w:sz="8" w:space="0" w:color="CCEEFF"/>
            </w:tcBorders>
            <w:shd w:val="clear" w:color="auto" w:fill="CCEEFF"/>
            <w:vAlign w:val="bottom"/>
          </w:tcPr>
          <w:p w14:paraId="71B0DFC8" w14:textId="77777777" w:rsidR="00D1587D" w:rsidRDefault="00D1587D">
            <w:pPr>
              <w:rPr>
                <w:sz w:val="24"/>
                <w:szCs w:val="24"/>
              </w:rPr>
            </w:pPr>
          </w:p>
        </w:tc>
        <w:tc>
          <w:tcPr>
            <w:tcW w:w="680" w:type="dxa"/>
            <w:tcBorders>
              <w:bottom w:val="single" w:sz="8" w:space="0" w:color="auto"/>
            </w:tcBorders>
            <w:shd w:val="clear" w:color="auto" w:fill="CCEEFF"/>
            <w:vAlign w:val="bottom"/>
          </w:tcPr>
          <w:p w14:paraId="2985E981" w14:textId="77777777" w:rsidR="00D1587D" w:rsidRDefault="00410D07">
            <w:pPr>
              <w:ind w:right="75"/>
              <w:jc w:val="right"/>
              <w:rPr>
                <w:sz w:val="20"/>
                <w:szCs w:val="20"/>
              </w:rPr>
            </w:pPr>
            <w:r>
              <w:rPr>
                <w:rFonts w:ascii="Arial" w:eastAsia="Arial" w:hAnsi="Arial" w:cs="Arial"/>
                <w:b/>
                <w:bCs/>
                <w:sz w:val="18"/>
                <w:szCs w:val="18"/>
              </w:rPr>
              <w:t>$722</w:t>
            </w:r>
          </w:p>
        </w:tc>
        <w:tc>
          <w:tcPr>
            <w:tcW w:w="200" w:type="dxa"/>
            <w:tcBorders>
              <w:bottom w:val="single" w:sz="8" w:space="0" w:color="CCEEFF"/>
            </w:tcBorders>
            <w:shd w:val="clear" w:color="auto" w:fill="CCEEFF"/>
            <w:vAlign w:val="bottom"/>
          </w:tcPr>
          <w:p w14:paraId="115BB86E" w14:textId="77777777" w:rsidR="00D1587D" w:rsidRDefault="00D1587D">
            <w:pPr>
              <w:rPr>
                <w:sz w:val="24"/>
                <w:szCs w:val="24"/>
              </w:rPr>
            </w:pPr>
          </w:p>
        </w:tc>
        <w:tc>
          <w:tcPr>
            <w:tcW w:w="380" w:type="dxa"/>
            <w:tcBorders>
              <w:bottom w:val="single" w:sz="8" w:space="0" w:color="auto"/>
            </w:tcBorders>
            <w:shd w:val="clear" w:color="auto" w:fill="CCEEFF"/>
            <w:vAlign w:val="bottom"/>
          </w:tcPr>
          <w:p w14:paraId="06BF2124" w14:textId="77777777" w:rsidR="00D1587D" w:rsidRDefault="00410D07">
            <w:pPr>
              <w:jc w:val="right"/>
              <w:rPr>
                <w:sz w:val="20"/>
                <w:szCs w:val="20"/>
              </w:rPr>
            </w:pPr>
            <w:r>
              <w:rPr>
                <w:rFonts w:ascii="Arial" w:eastAsia="Arial" w:hAnsi="Arial" w:cs="Arial"/>
                <w:b/>
                <w:bCs/>
                <w:w w:val="99"/>
                <w:sz w:val="18"/>
                <w:szCs w:val="18"/>
              </w:rPr>
              <w:t>$10</w:t>
            </w:r>
          </w:p>
        </w:tc>
        <w:tc>
          <w:tcPr>
            <w:tcW w:w="0" w:type="dxa"/>
            <w:vAlign w:val="bottom"/>
          </w:tcPr>
          <w:p w14:paraId="6D671900" w14:textId="77777777" w:rsidR="00D1587D" w:rsidRDefault="00D1587D">
            <w:pPr>
              <w:rPr>
                <w:sz w:val="1"/>
                <w:szCs w:val="1"/>
              </w:rPr>
            </w:pPr>
          </w:p>
        </w:tc>
      </w:tr>
    </w:tbl>
    <w:p w14:paraId="02475657" w14:textId="77777777" w:rsidR="00D1587D" w:rsidRDefault="00410D07">
      <w:pPr>
        <w:spacing w:line="20" w:lineRule="exact"/>
        <w:rPr>
          <w:sz w:val="20"/>
          <w:szCs w:val="20"/>
        </w:rPr>
      </w:pPr>
      <w:r>
        <w:rPr>
          <w:noProof/>
          <w:sz w:val="20"/>
          <w:szCs w:val="20"/>
        </w:rPr>
        <w:drawing>
          <wp:anchor distT="0" distB="0" distL="114300" distR="114300" simplePos="0" relativeHeight="251759616" behindDoc="1" locked="0" layoutInCell="0" allowOverlap="1" wp14:anchorId="2622774C" wp14:editId="13476D5D">
            <wp:simplePos x="0" y="0"/>
            <wp:positionH relativeFrom="column">
              <wp:posOffset>5174615</wp:posOffset>
            </wp:positionH>
            <wp:positionV relativeFrom="paragraph">
              <wp:posOffset>-222250</wp:posOffset>
            </wp:positionV>
            <wp:extent cx="120015" cy="8255"/>
            <wp:effectExtent l="0" t="0" r="0" b="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60640" behindDoc="1" locked="0" layoutInCell="0" allowOverlap="1" wp14:anchorId="363B3897" wp14:editId="18F6CE5A">
            <wp:simplePos x="0" y="0"/>
            <wp:positionH relativeFrom="column">
              <wp:posOffset>4617085</wp:posOffset>
            </wp:positionH>
            <wp:positionV relativeFrom="paragraph">
              <wp:posOffset>-222250</wp:posOffset>
            </wp:positionV>
            <wp:extent cx="120015" cy="8255"/>
            <wp:effectExtent l="0" t="0" r="0" b="0"/>
            <wp:wrapNone/>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61664" behindDoc="1" locked="0" layoutInCell="0" allowOverlap="1" wp14:anchorId="4F570FD6" wp14:editId="5A0766F9">
            <wp:simplePos x="0" y="0"/>
            <wp:positionH relativeFrom="column">
              <wp:posOffset>4128770</wp:posOffset>
            </wp:positionH>
            <wp:positionV relativeFrom="paragraph">
              <wp:posOffset>-222250</wp:posOffset>
            </wp:positionV>
            <wp:extent cx="120015" cy="8255"/>
            <wp:effectExtent l="0" t="0" r="0" b="0"/>
            <wp:wrapNone/>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62688" behindDoc="1" locked="0" layoutInCell="0" allowOverlap="1" wp14:anchorId="69063D50" wp14:editId="2F6B249E">
            <wp:simplePos x="0" y="0"/>
            <wp:positionH relativeFrom="column">
              <wp:posOffset>3639820</wp:posOffset>
            </wp:positionH>
            <wp:positionV relativeFrom="paragraph">
              <wp:posOffset>-222250</wp:posOffset>
            </wp:positionV>
            <wp:extent cx="120015" cy="8255"/>
            <wp:effectExtent l="0" t="0" r="0" b="0"/>
            <wp:wrapNone/>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63712" behindDoc="1" locked="0" layoutInCell="0" allowOverlap="1" wp14:anchorId="3C689338" wp14:editId="12E4B2AC">
            <wp:simplePos x="0" y="0"/>
            <wp:positionH relativeFrom="column">
              <wp:posOffset>3091180</wp:posOffset>
            </wp:positionH>
            <wp:positionV relativeFrom="paragraph">
              <wp:posOffset>-222250</wp:posOffset>
            </wp:positionV>
            <wp:extent cx="120015" cy="8255"/>
            <wp:effectExtent l="0" t="0" r="0" b="0"/>
            <wp:wrapNone/>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64736" behindDoc="1" locked="0" layoutInCell="0" allowOverlap="1" wp14:anchorId="6AA73677" wp14:editId="2BE16619">
            <wp:simplePos x="0" y="0"/>
            <wp:positionH relativeFrom="column">
              <wp:posOffset>2713990</wp:posOffset>
            </wp:positionH>
            <wp:positionV relativeFrom="paragraph">
              <wp:posOffset>-222250</wp:posOffset>
            </wp:positionV>
            <wp:extent cx="60325" cy="8255"/>
            <wp:effectExtent l="0" t="0" r="0" b="0"/>
            <wp:wrapNone/>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40"/>
                    <a:srcRect/>
                    <a:stretch>
                      <a:fillRect/>
                    </a:stretch>
                  </pic:blipFill>
                  <pic:spPr bwMode="auto">
                    <a:xfrm>
                      <a:off x="0" y="0"/>
                      <a:ext cx="60325" cy="8255"/>
                    </a:xfrm>
                    <a:prstGeom prst="rect">
                      <a:avLst/>
                    </a:prstGeom>
                    <a:noFill/>
                  </pic:spPr>
                </pic:pic>
              </a:graphicData>
            </a:graphic>
          </wp:anchor>
        </w:drawing>
      </w:r>
      <w:r>
        <w:rPr>
          <w:noProof/>
          <w:sz w:val="20"/>
          <w:szCs w:val="20"/>
        </w:rPr>
        <w:drawing>
          <wp:anchor distT="0" distB="0" distL="114300" distR="114300" simplePos="0" relativeHeight="251765760" behindDoc="1" locked="0" layoutInCell="0" allowOverlap="1" wp14:anchorId="01169205" wp14:editId="59EC817D">
            <wp:simplePos x="0" y="0"/>
            <wp:positionH relativeFrom="column">
              <wp:posOffset>5174615</wp:posOffset>
            </wp:positionH>
            <wp:positionV relativeFrom="paragraph">
              <wp:posOffset>-1250950</wp:posOffset>
            </wp:positionV>
            <wp:extent cx="120015" cy="8890"/>
            <wp:effectExtent l="0" t="0" r="0" b="0"/>
            <wp:wrapNone/>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766784" behindDoc="1" locked="0" layoutInCell="0" allowOverlap="1" wp14:anchorId="613070AD" wp14:editId="1A5F811B">
            <wp:simplePos x="0" y="0"/>
            <wp:positionH relativeFrom="column">
              <wp:posOffset>4617085</wp:posOffset>
            </wp:positionH>
            <wp:positionV relativeFrom="paragraph">
              <wp:posOffset>-1250950</wp:posOffset>
            </wp:positionV>
            <wp:extent cx="120015" cy="8890"/>
            <wp:effectExtent l="0" t="0" r="0" b="0"/>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767808" behindDoc="1" locked="0" layoutInCell="0" allowOverlap="1" wp14:anchorId="5CE89DA2" wp14:editId="62F42BDD">
            <wp:simplePos x="0" y="0"/>
            <wp:positionH relativeFrom="column">
              <wp:posOffset>4128770</wp:posOffset>
            </wp:positionH>
            <wp:positionV relativeFrom="paragraph">
              <wp:posOffset>-1250950</wp:posOffset>
            </wp:positionV>
            <wp:extent cx="120015" cy="8890"/>
            <wp:effectExtent l="0" t="0" r="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768832" behindDoc="1" locked="0" layoutInCell="0" allowOverlap="1" wp14:anchorId="4C439939" wp14:editId="5859F4AD">
            <wp:simplePos x="0" y="0"/>
            <wp:positionH relativeFrom="column">
              <wp:posOffset>3639820</wp:posOffset>
            </wp:positionH>
            <wp:positionV relativeFrom="paragraph">
              <wp:posOffset>-1250950</wp:posOffset>
            </wp:positionV>
            <wp:extent cx="120015" cy="8890"/>
            <wp:effectExtent l="0" t="0" r="0" b="0"/>
            <wp:wrapNone/>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769856" behindDoc="1" locked="0" layoutInCell="0" allowOverlap="1" wp14:anchorId="0E0C69F1" wp14:editId="0D48F4E8">
            <wp:simplePos x="0" y="0"/>
            <wp:positionH relativeFrom="column">
              <wp:posOffset>3091180</wp:posOffset>
            </wp:positionH>
            <wp:positionV relativeFrom="paragraph">
              <wp:posOffset>-1250950</wp:posOffset>
            </wp:positionV>
            <wp:extent cx="120015" cy="8890"/>
            <wp:effectExtent l="0" t="0" r="0" b="0"/>
            <wp:wrapNone/>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770880" behindDoc="1" locked="0" layoutInCell="0" allowOverlap="1" wp14:anchorId="42E81E28" wp14:editId="5DD9AF02">
            <wp:simplePos x="0" y="0"/>
            <wp:positionH relativeFrom="column">
              <wp:posOffset>185420</wp:posOffset>
            </wp:positionH>
            <wp:positionV relativeFrom="paragraph">
              <wp:posOffset>146050</wp:posOffset>
            </wp:positionV>
            <wp:extent cx="822960" cy="8255"/>
            <wp:effectExtent l="0" t="0" r="0" b="0"/>
            <wp:wrapNone/>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05C800B4" w14:textId="77777777" w:rsidR="00D1587D" w:rsidRDefault="00D1587D">
      <w:pPr>
        <w:spacing w:line="258" w:lineRule="exact"/>
        <w:rPr>
          <w:sz w:val="20"/>
          <w:szCs w:val="20"/>
        </w:rPr>
      </w:pPr>
    </w:p>
    <w:p w14:paraId="64CFBC9A" w14:textId="77777777" w:rsidR="00D1587D" w:rsidRDefault="00410D07" w:rsidP="00410D07">
      <w:pPr>
        <w:numPr>
          <w:ilvl w:val="0"/>
          <w:numId w:val="296"/>
        </w:numPr>
        <w:tabs>
          <w:tab w:val="left" w:pos="640"/>
        </w:tabs>
        <w:spacing w:line="253" w:lineRule="auto"/>
        <w:ind w:left="640" w:right="399" w:hanging="348"/>
        <w:rPr>
          <w:rFonts w:ascii="Arial" w:eastAsia="Arial" w:hAnsi="Arial" w:cs="Arial"/>
          <w:sz w:val="14"/>
          <w:szCs w:val="14"/>
        </w:rPr>
      </w:pPr>
      <w:r>
        <w:rPr>
          <w:rFonts w:ascii="Arial" w:eastAsia="Arial" w:hAnsi="Arial" w:cs="Arial"/>
          <w:sz w:val="14"/>
          <w:szCs w:val="14"/>
        </w:rPr>
        <w:t>Long-term debt obligations relate to our principal and interest payments for our outstanding related party note. Interest obligations exclude amounts which have been accrued through January 30, 2021.</w:t>
      </w:r>
    </w:p>
    <w:p w14:paraId="10834E29" w14:textId="77777777" w:rsidR="00D1587D" w:rsidRDefault="00D1587D">
      <w:pPr>
        <w:spacing w:line="11" w:lineRule="exact"/>
        <w:rPr>
          <w:rFonts w:ascii="Arial" w:eastAsia="Arial" w:hAnsi="Arial" w:cs="Arial"/>
          <w:sz w:val="14"/>
          <w:szCs w:val="14"/>
        </w:rPr>
      </w:pPr>
    </w:p>
    <w:p w14:paraId="185A2681" w14:textId="77777777" w:rsidR="00D1587D" w:rsidRDefault="00410D07" w:rsidP="00410D07">
      <w:pPr>
        <w:numPr>
          <w:ilvl w:val="0"/>
          <w:numId w:val="296"/>
        </w:numPr>
        <w:tabs>
          <w:tab w:val="left" w:pos="640"/>
        </w:tabs>
        <w:ind w:left="640" w:hanging="348"/>
        <w:rPr>
          <w:rFonts w:ascii="Arial" w:eastAsia="Arial" w:hAnsi="Arial" w:cs="Arial"/>
          <w:sz w:val="14"/>
          <w:szCs w:val="14"/>
        </w:rPr>
      </w:pPr>
      <w:r>
        <w:rPr>
          <w:rFonts w:ascii="Arial" w:eastAsia="Arial" w:hAnsi="Arial" w:cs="Arial"/>
          <w:sz w:val="14"/>
          <w:szCs w:val="14"/>
        </w:rPr>
        <w:t xml:space="preserve">Future lease obligations primarily </w:t>
      </w:r>
      <w:r>
        <w:rPr>
          <w:rFonts w:ascii="Arial" w:eastAsia="Arial" w:hAnsi="Arial" w:cs="Arial"/>
          <w:sz w:val="14"/>
          <w:szCs w:val="14"/>
        </w:rPr>
        <w:t>represent minimum payments due under store lease agreements.</w:t>
      </w:r>
    </w:p>
    <w:p w14:paraId="5583F1C3" w14:textId="77777777" w:rsidR="00D1587D" w:rsidRDefault="00D1587D">
      <w:pPr>
        <w:spacing w:line="41" w:lineRule="exact"/>
        <w:rPr>
          <w:rFonts w:ascii="Arial" w:eastAsia="Arial" w:hAnsi="Arial" w:cs="Arial"/>
          <w:sz w:val="14"/>
          <w:szCs w:val="14"/>
        </w:rPr>
      </w:pPr>
    </w:p>
    <w:p w14:paraId="41DEA9F2" w14:textId="77777777" w:rsidR="00D1587D" w:rsidRDefault="00410D07" w:rsidP="00410D07">
      <w:pPr>
        <w:numPr>
          <w:ilvl w:val="0"/>
          <w:numId w:val="296"/>
        </w:numPr>
        <w:tabs>
          <w:tab w:val="left" w:pos="640"/>
        </w:tabs>
        <w:spacing w:line="238" w:lineRule="auto"/>
        <w:ind w:left="640" w:right="399" w:hanging="348"/>
        <w:rPr>
          <w:rFonts w:ascii="Arial" w:eastAsia="Arial" w:hAnsi="Arial" w:cs="Arial"/>
          <w:sz w:val="14"/>
          <w:szCs w:val="14"/>
        </w:rPr>
      </w:pPr>
      <w:r>
        <w:rPr>
          <w:rFonts w:ascii="Arial" w:eastAsia="Arial" w:hAnsi="Arial" w:cs="Arial"/>
          <w:sz w:val="14"/>
          <w:szCs w:val="14"/>
        </w:rPr>
        <w:t xml:space="preserve">Purchase obligations primarily include purchase orders for merchandise inventory and other agreements to purchase goods or services that are enforceable and legally binding and that specify all </w:t>
      </w:r>
      <w:r>
        <w:rPr>
          <w:rFonts w:ascii="Arial" w:eastAsia="Arial" w:hAnsi="Arial" w:cs="Arial"/>
          <w:sz w:val="14"/>
          <w:szCs w:val="14"/>
        </w:rPr>
        <w:t>significant terms, including: fixed or minimum quantities to be purchased; fixed, minimum or variable price provisions; and the approximate timing of the transactions.</w:t>
      </w:r>
    </w:p>
    <w:p w14:paraId="162A762B" w14:textId="77777777" w:rsidR="00D1587D" w:rsidRDefault="00D1587D">
      <w:pPr>
        <w:spacing w:line="20" w:lineRule="exact"/>
        <w:rPr>
          <w:rFonts w:ascii="Arial" w:eastAsia="Arial" w:hAnsi="Arial" w:cs="Arial"/>
          <w:sz w:val="14"/>
          <w:szCs w:val="14"/>
        </w:rPr>
      </w:pPr>
    </w:p>
    <w:p w14:paraId="76040D82" w14:textId="77777777" w:rsidR="00D1587D" w:rsidRDefault="00410D07" w:rsidP="00410D07">
      <w:pPr>
        <w:numPr>
          <w:ilvl w:val="0"/>
          <w:numId w:val="296"/>
        </w:numPr>
        <w:tabs>
          <w:tab w:val="left" w:pos="640"/>
        </w:tabs>
        <w:spacing w:line="253" w:lineRule="auto"/>
        <w:ind w:left="640" w:right="659" w:hanging="348"/>
        <w:rPr>
          <w:rFonts w:ascii="Arial" w:eastAsia="Arial" w:hAnsi="Arial" w:cs="Arial"/>
          <w:sz w:val="14"/>
          <w:szCs w:val="14"/>
        </w:rPr>
      </w:pPr>
      <w:r>
        <w:rPr>
          <w:rFonts w:ascii="Arial" w:eastAsia="Arial" w:hAnsi="Arial" w:cs="Arial"/>
          <w:sz w:val="14"/>
          <w:szCs w:val="14"/>
        </w:rPr>
        <w:t>Other liabilities include future payments relating to our non-qualified supplemental re</w:t>
      </w:r>
      <w:r>
        <w:rPr>
          <w:rFonts w:ascii="Arial" w:eastAsia="Arial" w:hAnsi="Arial" w:cs="Arial"/>
          <w:sz w:val="14"/>
          <w:szCs w:val="14"/>
        </w:rPr>
        <w:t>tirement plan of $66 million in the “Less Than 1 Year” category.</w:t>
      </w:r>
    </w:p>
    <w:p w14:paraId="148735C8" w14:textId="77777777" w:rsidR="00D1587D" w:rsidRDefault="00D1587D">
      <w:pPr>
        <w:spacing w:line="11" w:lineRule="exact"/>
        <w:rPr>
          <w:rFonts w:ascii="Arial" w:eastAsia="Arial" w:hAnsi="Arial" w:cs="Arial"/>
          <w:sz w:val="14"/>
          <w:szCs w:val="14"/>
        </w:rPr>
      </w:pPr>
    </w:p>
    <w:p w14:paraId="2226EF62" w14:textId="77777777" w:rsidR="00D1587D" w:rsidRDefault="00410D07" w:rsidP="00410D07">
      <w:pPr>
        <w:numPr>
          <w:ilvl w:val="0"/>
          <w:numId w:val="296"/>
        </w:numPr>
        <w:tabs>
          <w:tab w:val="left" w:pos="640"/>
        </w:tabs>
        <w:spacing w:line="229" w:lineRule="auto"/>
        <w:ind w:left="640" w:right="359" w:hanging="348"/>
        <w:rPr>
          <w:rFonts w:ascii="Arial" w:eastAsia="Arial" w:hAnsi="Arial" w:cs="Arial"/>
          <w:sz w:val="14"/>
          <w:szCs w:val="14"/>
        </w:rPr>
      </w:pPr>
      <w:r>
        <w:rPr>
          <w:rFonts w:ascii="Arial" w:eastAsia="Arial" w:hAnsi="Arial" w:cs="Arial"/>
          <w:sz w:val="14"/>
          <w:szCs w:val="14"/>
        </w:rPr>
        <w:t>Other liabilities also include future estimated payments associated with unrecognized tax benefits. The “Less Than 1 Year” category includes $23 million of these tax items because it is reas</w:t>
      </w:r>
      <w:r>
        <w:rPr>
          <w:rFonts w:ascii="Arial" w:eastAsia="Arial" w:hAnsi="Arial" w:cs="Arial"/>
          <w:sz w:val="14"/>
          <w:szCs w:val="14"/>
        </w:rPr>
        <w:t>onably possible that the amounts could change in the next 12 months due to audit settlements or resolution of uncertainties. The remaining portion totaling $10 million is included in the “Other” category as it is not reasonably possible that the amounts co</w:t>
      </w:r>
      <w:r>
        <w:rPr>
          <w:rFonts w:ascii="Arial" w:eastAsia="Arial" w:hAnsi="Arial" w:cs="Arial"/>
          <w:sz w:val="14"/>
          <w:szCs w:val="14"/>
        </w:rPr>
        <w:t>uld change in the next 12 months. In addition, we have a remaining liability of $44 million related to the deemed repatriation tax on our undistributed foreign earnings resulting from the Tax Cuts and Jobs Act of 2017. The tax liability will be paid over t</w:t>
      </w:r>
      <w:r>
        <w:rPr>
          <w:rFonts w:ascii="Arial" w:eastAsia="Arial" w:hAnsi="Arial" w:cs="Arial"/>
          <w:sz w:val="14"/>
          <w:szCs w:val="14"/>
        </w:rPr>
        <w:t>he next four years.</w:t>
      </w:r>
    </w:p>
    <w:p w14:paraId="4ABA3F25" w14:textId="77777777" w:rsidR="00D1587D" w:rsidRDefault="00D1587D">
      <w:pPr>
        <w:spacing w:line="271" w:lineRule="exact"/>
        <w:rPr>
          <w:sz w:val="20"/>
          <w:szCs w:val="20"/>
        </w:rPr>
      </w:pPr>
    </w:p>
    <w:p w14:paraId="66153F49" w14:textId="77777777" w:rsidR="00D1587D" w:rsidRDefault="00410D07">
      <w:pPr>
        <w:ind w:left="660"/>
        <w:rPr>
          <w:sz w:val="20"/>
          <w:szCs w:val="20"/>
        </w:rPr>
      </w:pPr>
      <w:r>
        <w:rPr>
          <w:rFonts w:ascii="Arial" w:eastAsia="Arial" w:hAnsi="Arial" w:cs="Arial"/>
          <w:b/>
          <w:bCs/>
          <w:i/>
          <w:iCs/>
          <w:sz w:val="18"/>
          <w:szCs w:val="18"/>
        </w:rPr>
        <w:t>Guarantees</w:t>
      </w:r>
    </w:p>
    <w:p w14:paraId="5829D359" w14:textId="77777777" w:rsidR="00D1587D" w:rsidRDefault="00D1587D">
      <w:pPr>
        <w:spacing w:line="117" w:lineRule="exact"/>
        <w:rPr>
          <w:sz w:val="20"/>
          <w:szCs w:val="20"/>
        </w:rPr>
      </w:pPr>
    </w:p>
    <w:p w14:paraId="579DD286" w14:textId="77777777" w:rsidR="00D1587D" w:rsidRDefault="00410D07">
      <w:pPr>
        <w:spacing w:line="279" w:lineRule="auto"/>
        <w:ind w:left="300" w:right="379" w:firstLine="360"/>
        <w:rPr>
          <w:sz w:val="20"/>
          <w:szCs w:val="20"/>
        </w:rPr>
      </w:pPr>
      <w:r>
        <w:rPr>
          <w:rFonts w:ascii="Arial" w:eastAsia="Arial" w:hAnsi="Arial" w:cs="Arial"/>
          <w:sz w:val="17"/>
          <w:szCs w:val="17"/>
        </w:rPr>
        <w:t xml:space="preserve">Certain of our subsidiaries, along with other wholly-owned subsidiaries of LB, guarantee and pledge collateral to secure the LB asset-backed revolving credit facility (“ABL Facility”). The ABL Facility has </w:t>
      </w:r>
      <w:r>
        <w:rPr>
          <w:rFonts w:ascii="Arial" w:eastAsia="Arial" w:hAnsi="Arial" w:cs="Arial"/>
          <w:sz w:val="17"/>
          <w:szCs w:val="17"/>
        </w:rPr>
        <w:t>aggregate commitments at $1 billion and has an expiration date in August 2024. As of May 1, 2021, there were no borrowings outstanding under the ABL Facility. Certain of our subsidiaries, along with other wholly-owned</w:t>
      </w:r>
    </w:p>
    <w:p w14:paraId="5CA24CAC" w14:textId="77777777" w:rsidR="00D1587D" w:rsidRDefault="00D1587D">
      <w:pPr>
        <w:sectPr w:rsidR="00D1587D">
          <w:pgSz w:w="11900" w:h="16838"/>
          <w:pgMar w:top="265" w:right="1440" w:bottom="1440" w:left="1440" w:header="0" w:footer="0" w:gutter="0"/>
          <w:cols w:space="720" w:equalWidth="0">
            <w:col w:w="9019"/>
          </w:cols>
        </w:sectPr>
      </w:pPr>
    </w:p>
    <w:p w14:paraId="59645533" w14:textId="77777777" w:rsidR="00D1587D" w:rsidRDefault="00D1587D">
      <w:pPr>
        <w:spacing w:line="171" w:lineRule="exact"/>
        <w:rPr>
          <w:sz w:val="20"/>
          <w:szCs w:val="20"/>
        </w:rPr>
      </w:pPr>
    </w:p>
    <w:p w14:paraId="792562E3" w14:textId="77777777" w:rsidR="00D1587D" w:rsidRDefault="00410D07">
      <w:pPr>
        <w:jc w:val="center"/>
        <w:rPr>
          <w:sz w:val="20"/>
          <w:szCs w:val="20"/>
        </w:rPr>
      </w:pPr>
      <w:r>
        <w:rPr>
          <w:rFonts w:ascii="Arial" w:eastAsia="Arial" w:hAnsi="Arial" w:cs="Arial"/>
          <w:sz w:val="16"/>
          <w:szCs w:val="16"/>
        </w:rPr>
        <w:t>84</w:t>
      </w:r>
    </w:p>
    <w:p w14:paraId="2A4F84BE" w14:textId="77777777" w:rsidR="00D1587D" w:rsidRDefault="00410D07">
      <w:pPr>
        <w:spacing w:line="20" w:lineRule="exact"/>
        <w:rPr>
          <w:sz w:val="20"/>
          <w:szCs w:val="20"/>
        </w:rPr>
      </w:pPr>
      <w:r>
        <w:rPr>
          <w:noProof/>
          <w:sz w:val="20"/>
          <w:szCs w:val="20"/>
        </w:rPr>
        <w:drawing>
          <wp:anchor distT="0" distB="0" distL="114300" distR="114300" simplePos="0" relativeHeight="251771904" behindDoc="1" locked="0" layoutInCell="0" allowOverlap="1" wp14:anchorId="031BCEB3" wp14:editId="5CD55CE0">
            <wp:simplePos x="0" y="0"/>
            <wp:positionH relativeFrom="column">
              <wp:posOffset>-636905</wp:posOffset>
            </wp:positionH>
            <wp:positionV relativeFrom="paragraph">
              <wp:posOffset>140970</wp:posOffset>
            </wp:positionV>
            <wp:extent cx="6995160" cy="17145"/>
            <wp:effectExtent l="0" t="0" r="0" b="0"/>
            <wp:wrapNone/>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7A4449D"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42" w:name="page343"/>
    <w:bookmarkEnd w:id="342"/>
    <w:p w14:paraId="03E921D7"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1C3F0AD" w14:textId="77777777" w:rsidR="00D1587D" w:rsidRDefault="00D1587D">
      <w:pPr>
        <w:spacing w:line="131" w:lineRule="exact"/>
        <w:rPr>
          <w:sz w:val="20"/>
          <w:szCs w:val="20"/>
        </w:rPr>
      </w:pPr>
    </w:p>
    <w:p w14:paraId="74F4DFD5" w14:textId="77777777" w:rsidR="00D1587D" w:rsidRDefault="00410D07">
      <w:pPr>
        <w:spacing w:line="311" w:lineRule="auto"/>
        <w:ind w:left="300" w:right="319"/>
        <w:jc w:val="both"/>
        <w:rPr>
          <w:sz w:val="20"/>
          <w:szCs w:val="20"/>
        </w:rPr>
      </w:pPr>
      <w:r>
        <w:rPr>
          <w:rFonts w:ascii="Arial" w:eastAsia="Arial" w:hAnsi="Arial" w:cs="Arial"/>
          <w:sz w:val="16"/>
          <w:szCs w:val="16"/>
        </w:rPr>
        <w:t>subsidiaries of LB, have also guaranteed LB’s obligations under certain of LB’s long-term notes. As of May 1, 2021, in aggregate the outstanding balance of our guarantees for certain of LB’</w:t>
      </w:r>
      <w:r>
        <w:rPr>
          <w:rFonts w:ascii="Arial" w:eastAsia="Arial" w:hAnsi="Arial" w:cs="Arial"/>
          <w:sz w:val="16"/>
          <w:szCs w:val="16"/>
        </w:rPr>
        <w:t>s notes was $4.8 billion with maturity dates between October 2023 and July 2036. The guarantees are full and unconditional on a joint and several basis.</w:t>
      </w:r>
    </w:p>
    <w:p w14:paraId="713BD70D" w14:textId="77777777" w:rsidR="00D1587D" w:rsidRDefault="00D1587D">
      <w:pPr>
        <w:spacing w:line="41" w:lineRule="exact"/>
        <w:rPr>
          <w:sz w:val="20"/>
          <w:szCs w:val="20"/>
        </w:rPr>
      </w:pPr>
    </w:p>
    <w:p w14:paraId="1FB6047C" w14:textId="77777777" w:rsidR="00D1587D" w:rsidRDefault="00410D07">
      <w:pPr>
        <w:spacing w:line="286" w:lineRule="auto"/>
        <w:ind w:left="300" w:right="319" w:firstLine="360"/>
        <w:rPr>
          <w:sz w:val="20"/>
          <w:szCs w:val="20"/>
        </w:rPr>
      </w:pPr>
      <w:r>
        <w:rPr>
          <w:rFonts w:ascii="Arial" w:eastAsia="Arial" w:hAnsi="Arial" w:cs="Arial"/>
          <w:sz w:val="17"/>
          <w:szCs w:val="17"/>
        </w:rPr>
        <w:t>Our guarantees of obligations under LB’s long-term notes are expected to terminate concurrently with t</w:t>
      </w:r>
      <w:r>
        <w:rPr>
          <w:rFonts w:ascii="Arial" w:eastAsia="Arial" w:hAnsi="Arial" w:cs="Arial"/>
          <w:sz w:val="17"/>
          <w:szCs w:val="17"/>
        </w:rPr>
        <w:t>he Separation, subject to standard notice provisions to the trustee. Our guarantees of obligations under the ABL Facility are also expected to terminate concurrently with the Separation, subject to consent of the lenders.</w:t>
      </w:r>
    </w:p>
    <w:p w14:paraId="24D6DF24" w14:textId="77777777" w:rsidR="00D1587D" w:rsidRDefault="00D1587D">
      <w:pPr>
        <w:spacing w:line="256" w:lineRule="exact"/>
        <w:rPr>
          <w:sz w:val="20"/>
          <w:szCs w:val="20"/>
        </w:rPr>
      </w:pPr>
    </w:p>
    <w:p w14:paraId="623B369A" w14:textId="77777777" w:rsidR="00D1587D" w:rsidRDefault="00410D07">
      <w:pPr>
        <w:ind w:left="300"/>
        <w:rPr>
          <w:sz w:val="20"/>
          <w:szCs w:val="20"/>
        </w:rPr>
      </w:pPr>
      <w:r>
        <w:rPr>
          <w:rFonts w:ascii="Arial" w:eastAsia="Arial" w:hAnsi="Arial" w:cs="Arial"/>
          <w:b/>
          <w:bCs/>
          <w:sz w:val="18"/>
          <w:szCs w:val="18"/>
        </w:rPr>
        <w:t>Off-Balance Sheet Arrangements</w:t>
      </w:r>
    </w:p>
    <w:p w14:paraId="14AA9993" w14:textId="77777777" w:rsidR="00D1587D" w:rsidRDefault="00D1587D">
      <w:pPr>
        <w:spacing w:line="121" w:lineRule="exact"/>
        <w:rPr>
          <w:sz w:val="20"/>
          <w:szCs w:val="20"/>
        </w:rPr>
      </w:pPr>
    </w:p>
    <w:p w14:paraId="6FD257E5" w14:textId="77777777" w:rsidR="00D1587D" w:rsidRDefault="00410D07">
      <w:pPr>
        <w:spacing w:line="263" w:lineRule="auto"/>
        <w:ind w:left="300" w:right="499" w:firstLine="360"/>
        <w:rPr>
          <w:sz w:val="20"/>
          <w:szCs w:val="20"/>
        </w:rPr>
      </w:pPr>
      <w:r>
        <w:rPr>
          <w:rFonts w:ascii="Arial" w:eastAsia="Arial" w:hAnsi="Arial" w:cs="Arial"/>
          <w:sz w:val="18"/>
          <w:szCs w:val="18"/>
        </w:rPr>
        <w:t>W</w:t>
      </w:r>
      <w:r>
        <w:rPr>
          <w:rFonts w:ascii="Arial" w:eastAsia="Arial" w:hAnsi="Arial" w:cs="Arial"/>
          <w:sz w:val="18"/>
          <w:szCs w:val="18"/>
        </w:rPr>
        <w:t>e do not engage in any off-balance sheet financial arrangements that have or are reasonably likely to have a material current or future effect on our financial condition, results of operations, liquidity, capital expenditures or capital resources.</w:t>
      </w:r>
    </w:p>
    <w:p w14:paraId="7382CE92" w14:textId="77777777" w:rsidR="00D1587D" w:rsidRDefault="00D1587D">
      <w:pPr>
        <w:spacing w:line="274" w:lineRule="exact"/>
        <w:rPr>
          <w:sz w:val="20"/>
          <w:szCs w:val="20"/>
        </w:rPr>
      </w:pPr>
    </w:p>
    <w:p w14:paraId="7C3BA3E8" w14:textId="77777777" w:rsidR="00D1587D" w:rsidRDefault="00410D07">
      <w:pPr>
        <w:ind w:left="300"/>
        <w:rPr>
          <w:sz w:val="20"/>
          <w:szCs w:val="20"/>
        </w:rPr>
      </w:pPr>
      <w:r>
        <w:rPr>
          <w:rFonts w:ascii="Arial" w:eastAsia="Arial" w:hAnsi="Arial" w:cs="Arial"/>
          <w:b/>
          <w:bCs/>
          <w:sz w:val="18"/>
          <w:szCs w:val="18"/>
        </w:rPr>
        <w:t>Quantitative and Qualitative Disclosures about Market Risk</w:t>
      </w:r>
    </w:p>
    <w:p w14:paraId="170BF8A4" w14:textId="77777777" w:rsidR="00D1587D" w:rsidRDefault="00D1587D">
      <w:pPr>
        <w:spacing w:line="121" w:lineRule="exact"/>
        <w:rPr>
          <w:sz w:val="20"/>
          <w:szCs w:val="20"/>
        </w:rPr>
      </w:pPr>
    </w:p>
    <w:p w14:paraId="414E5AB5" w14:textId="77777777" w:rsidR="00D1587D" w:rsidRDefault="00410D07">
      <w:pPr>
        <w:spacing w:line="263" w:lineRule="auto"/>
        <w:ind w:left="300" w:right="459" w:firstLine="360"/>
        <w:rPr>
          <w:sz w:val="20"/>
          <w:szCs w:val="20"/>
        </w:rPr>
      </w:pPr>
      <w:r>
        <w:rPr>
          <w:rFonts w:ascii="Arial" w:eastAsia="Arial" w:hAnsi="Arial" w:cs="Arial"/>
          <w:sz w:val="18"/>
          <w:szCs w:val="18"/>
        </w:rPr>
        <w:t xml:space="preserve">We are exposed to risks in the ordinary course of business. Management, as part of LB, regularly assesses and manages exposures to these risks through operating and financing activities and, when </w:t>
      </w:r>
      <w:r>
        <w:rPr>
          <w:rFonts w:ascii="Arial" w:eastAsia="Arial" w:hAnsi="Arial" w:cs="Arial"/>
          <w:sz w:val="18"/>
          <w:szCs w:val="18"/>
        </w:rPr>
        <w:t>appropriate, by taking advantage of natural hedges within us. Potential risks are discussed below.</w:t>
      </w:r>
    </w:p>
    <w:p w14:paraId="75FAB541" w14:textId="77777777" w:rsidR="00D1587D" w:rsidRDefault="00D1587D">
      <w:pPr>
        <w:spacing w:line="265" w:lineRule="exact"/>
        <w:rPr>
          <w:sz w:val="20"/>
          <w:szCs w:val="20"/>
        </w:rPr>
      </w:pPr>
    </w:p>
    <w:p w14:paraId="2E088735" w14:textId="77777777" w:rsidR="00D1587D" w:rsidRDefault="00410D07">
      <w:pPr>
        <w:ind w:left="660"/>
        <w:rPr>
          <w:sz w:val="20"/>
          <w:szCs w:val="20"/>
        </w:rPr>
      </w:pPr>
      <w:r>
        <w:rPr>
          <w:rFonts w:ascii="Arial" w:eastAsia="Arial" w:hAnsi="Arial" w:cs="Arial"/>
          <w:b/>
          <w:bCs/>
          <w:i/>
          <w:iCs/>
          <w:sz w:val="18"/>
          <w:szCs w:val="18"/>
        </w:rPr>
        <w:t>Foreign Exchange Rate Risk</w:t>
      </w:r>
    </w:p>
    <w:p w14:paraId="1837DB31" w14:textId="77777777" w:rsidR="00D1587D" w:rsidRDefault="00D1587D">
      <w:pPr>
        <w:spacing w:line="117" w:lineRule="exact"/>
        <w:rPr>
          <w:sz w:val="20"/>
          <w:szCs w:val="20"/>
        </w:rPr>
      </w:pPr>
    </w:p>
    <w:p w14:paraId="31E09F99" w14:textId="77777777" w:rsidR="00D1587D" w:rsidRDefault="00410D07">
      <w:pPr>
        <w:spacing w:line="254" w:lineRule="auto"/>
        <w:ind w:left="300" w:right="299" w:firstLine="360"/>
        <w:rPr>
          <w:sz w:val="20"/>
          <w:szCs w:val="20"/>
        </w:rPr>
      </w:pPr>
      <w:r>
        <w:rPr>
          <w:rFonts w:ascii="Arial" w:eastAsia="Arial" w:hAnsi="Arial" w:cs="Arial"/>
          <w:sz w:val="18"/>
          <w:szCs w:val="18"/>
        </w:rPr>
        <w:t>We have operations in foreign countries which expose us to market risk associated with foreign currency exchange rate fluctuatio</w:t>
      </w:r>
      <w:r>
        <w:rPr>
          <w:rFonts w:ascii="Arial" w:eastAsia="Arial" w:hAnsi="Arial" w:cs="Arial"/>
          <w:sz w:val="18"/>
          <w:szCs w:val="18"/>
        </w:rPr>
        <w:t xml:space="preserve">ns. Our Canadian dollar and Chinese Yuan denominated earnings are subject to exchange rate risk as substantially all our merchandise sold in Canada and Greater China is sourced through U.S. dollar transactions. Although we utilize foreign currency forward </w:t>
      </w:r>
      <w:r>
        <w:rPr>
          <w:rFonts w:ascii="Arial" w:eastAsia="Arial" w:hAnsi="Arial" w:cs="Arial"/>
          <w:sz w:val="18"/>
          <w:szCs w:val="18"/>
        </w:rPr>
        <w:t>contracts to partially offset risks associated with our operations in Canada, these measures may not succeed in offsetting all the short-term impact of foreign currency rate movements and generally may not be effective in offsetting the long-term impact of</w:t>
      </w:r>
      <w:r>
        <w:rPr>
          <w:rFonts w:ascii="Arial" w:eastAsia="Arial" w:hAnsi="Arial" w:cs="Arial"/>
          <w:sz w:val="18"/>
          <w:szCs w:val="18"/>
        </w:rPr>
        <w:t xml:space="preserve"> sustained shifts in foreign currency rates.</w:t>
      </w:r>
    </w:p>
    <w:p w14:paraId="11577E49" w14:textId="77777777" w:rsidR="00D1587D" w:rsidRDefault="00D1587D">
      <w:pPr>
        <w:spacing w:line="87" w:lineRule="exact"/>
        <w:rPr>
          <w:sz w:val="20"/>
          <w:szCs w:val="20"/>
        </w:rPr>
      </w:pPr>
    </w:p>
    <w:p w14:paraId="649477DB" w14:textId="77777777" w:rsidR="00D1587D" w:rsidRDefault="00410D07">
      <w:pPr>
        <w:spacing w:line="263" w:lineRule="auto"/>
        <w:ind w:left="300" w:right="419" w:firstLine="360"/>
        <w:rPr>
          <w:sz w:val="20"/>
          <w:szCs w:val="20"/>
        </w:rPr>
      </w:pPr>
      <w:r>
        <w:rPr>
          <w:rFonts w:ascii="Arial" w:eastAsia="Arial" w:hAnsi="Arial" w:cs="Arial"/>
          <w:sz w:val="18"/>
          <w:szCs w:val="18"/>
        </w:rPr>
        <w:t xml:space="preserve">Further, although our royalty arrangements with our international partners are denominated in U.S. dollars, the royalties we receive in U.S. dollars are calculated based on sales in the local currency. As a </w:t>
      </w:r>
      <w:r>
        <w:rPr>
          <w:rFonts w:ascii="Arial" w:eastAsia="Arial" w:hAnsi="Arial" w:cs="Arial"/>
          <w:sz w:val="18"/>
          <w:szCs w:val="18"/>
        </w:rPr>
        <w:t>result, our royalties in these arrangements are exposed to foreign currency exchange rate fluctuations.</w:t>
      </w:r>
    </w:p>
    <w:p w14:paraId="2EC6F562" w14:textId="77777777" w:rsidR="00D1587D" w:rsidRDefault="00D1587D">
      <w:pPr>
        <w:spacing w:line="292" w:lineRule="exact"/>
        <w:rPr>
          <w:sz w:val="20"/>
          <w:szCs w:val="20"/>
        </w:rPr>
      </w:pPr>
    </w:p>
    <w:p w14:paraId="21C08EDD" w14:textId="77777777" w:rsidR="00D1587D" w:rsidRDefault="00410D07">
      <w:pPr>
        <w:ind w:left="660"/>
        <w:rPr>
          <w:sz w:val="20"/>
          <w:szCs w:val="20"/>
        </w:rPr>
      </w:pPr>
      <w:r>
        <w:rPr>
          <w:rFonts w:ascii="Arial" w:eastAsia="Arial" w:hAnsi="Arial" w:cs="Arial"/>
          <w:b/>
          <w:bCs/>
          <w:i/>
          <w:iCs/>
          <w:sz w:val="18"/>
          <w:szCs w:val="18"/>
        </w:rPr>
        <w:t>Interest Rate Risk</w:t>
      </w:r>
    </w:p>
    <w:p w14:paraId="73357B17" w14:textId="77777777" w:rsidR="00D1587D" w:rsidRDefault="00D1587D">
      <w:pPr>
        <w:spacing w:line="117" w:lineRule="exact"/>
        <w:rPr>
          <w:sz w:val="20"/>
          <w:szCs w:val="20"/>
        </w:rPr>
      </w:pPr>
    </w:p>
    <w:p w14:paraId="65C01425" w14:textId="77777777" w:rsidR="00D1587D" w:rsidRDefault="00410D07">
      <w:pPr>
        <w:spacing w:line="290" w:lineRule="auto"/>
        <w:ind w:left="300" w:right="459" w:firstLine="360"/>
        <w:rPr>
          <w:sz w:val="20"/>
          <w:szCs w:val="20"/>
        </w:rPr>
      </w:pPr>
      <w:r>
        <w:rPr>
          <w:rFonts w:ascii="Arial" w:eastAsia="Arial" w:hAnsi="Arial" w:cs="Arial"/>
          <w:sz w:val="16"/>
          <w:szCs w:val="16"/>
        </w:rPr>
        <w:t xml:space="preserve">Our investment portfolio primarily consists of interest-bearing instruments that are classified as cash and cash equivalents based </w:t>
      </w:r>
      <w:r>
        <w:rPr>
          <w:rFonts w:ascii="Arial" w:eastAsia="Arial" w:hAnsi="Arial" w:cs="Arial"/>
          <w:sz w:val="16"/>
          <w:szCs w:val="16"/>
        </w:rPr>
        <w:t>on their original maturities. Our investment portfolio is maintained in accordance with the LB investment policy, which specifies permitted types of investments, specifies credit quality standards and maturity profiles and limits credit exposure to any sin</w:t>
      </w:r>
      <w:r>
        <w:rPr>
          <w:rFonts w:ascii="Arial" w:eastAsia="Arial" w:hAnsi="Arial" w:cs="Arial"/>
          <w:sz w:val="16"/>
          <w:szCs w:val="16"/>
        </w:rPr>
        <w:t>gle issuer. The primary objective of our investment activities is the preservation of principal, the maintenance of liquidity and the maximization of interest income while minimizing risk. Our investment portfolio is comprised of U.S. government obligation</w:t>
      </w:r>
      <w:r>
        <w:rPr>
          <w:rFonts w:ascii="Arial" w:eastAsia="Arial" w:hAnsi="Arial" w:cs="Arial"/>
          <w:sz w:val="16"/>
          <w:szCs w:val="16"/>
        </w:rPr>
        <w:t>s, U.S. Treasury and AAA-rated money market funds and bank deposits. Given the short-term nature and quality of investments in our portfolio, we do not believe there is any material risk to principal associated with increases or decreases in interest rates</w:t>
      </w:r>
      <w:r>
        <w:rPr>
          <w:rFonts w:ascii="Arial" w:eastAsia="Arial" w:hAnsi="Arial" w:cs="Arial"/>
          <w:sz w:val="16"/>
          <w:szCs w:val="16"/>
        </w:rPr>
        <w:t>.</w:t>
      </w:r>
    </w:p>
    <w:p w14:paraId="14D1B3C6" w14:textId="77777777" w:rsidR="00D1587D" w:rsidRDefault="00D1587D">
      <w:pPr>
        <w:spacing w:line="57" w:lineRule="exact"/>
        <w:rPr>
          <w:sz w:val="20"/>
          <w:szCs w:val="20"/>
        </w:rPr>
      </w:pPr>
    </w:p>
    <w:p w14:paraId="4BEA6EB9" w14:textId="77777777" w:rsidR="00D1587D" w:rsidRDefault="00410D07">
      <w:pPr>
        <w:spacing w:line="311" w:lineRule="auto"/>
        <w:ind w:left="300" w:right="339" w:firstLine="360"/>
        <w:rPr>
          <w:sz w:val="20"/>
          <w:szCs w:val="20"/>
        </w:rPr>
      </w:pPr>
      <w:r>
        <w:rPr>
          <w:rFonts w:ascii="Arial" w:eastAsia="Arial" w:hAnsi="Arial" w:cs="Arial"/>
          <w:sz w:val="16"/>
          <w:szCs w:val="16"/>
        </w:rPr>
        <w:t xml:space="preserve">During 2020, we borrowed $97 million from LB to pay down outstanding debt with external parties. This borrowing is due in September 2025 and has a variable interest rate based on the China Loan Prime Rate, which was 3.85% as of May 1, 2021. At the </w:t>
      </w:r>
      <w:r>
        <w:rPr>
          <w:rFonts w:ascii="Arial" w:eastAsia="Arial" w:hAnsi="Arial" w:cs="Arial"/>
          <w:sz w:val="16"/>
          <w:szCs w:val="16"/>
        </w:rPr>
        <w:t>time of the Separation, we will no longer have the related party note.</w:t>
      </w:r>
    </w:p>
    <w:p w14:paraId="7BA68718" w14:textId="77777777" w:rsidR="00D1587D" w:rsidRDefault="00D1587D">
      <w:pPr>
        <w:spacing w:line="243" w:lineRule="exact"/>
        <w:rPr>
          <w:sz w:val="20"/>
          <w:szCs w:val="20"/>
        </w:rPr>
      </w:pPr>
    </w:p>
    <w:p w14:paraId="3E99A665" w14:textId="77777777" w:rsidR="00D1587D" w:rsidRDefault="00410D07">
      <w:pPr>
        <w:ind w:left="660"/>
        <w:rPr>
          <w:sz w:val="20"/>
          <w:szCs w:val="20"/>
        </w:rPr>
      </w:pPr>
      <w:r>
        <w:rPr>
          <w:rFonts w:ascii="Arial" w:eastAsia="Arial" w:hAnsi="Arial" w:cs="Arial"/>
          <w:b/>
          <w:bCs/>
          <w:i/>
          <w:iCs/>
          <w:sz w:val="18"/>
          <w:szCs w:val="18"/>
        </w:rPr>
        <w:t>Concentration of Credit Risk</w:t>
      </w:r>
    </w:p>
    <w:p w14:paraId="27914224" w14:textId="77777777" w:rsidR="00D1587D" w:rsidRDefault="00D1587D">
      <w:pPr>
        <w:spacing w:line="117" w:lineRule="exact"/>
        <w:rPr>
          <w:sz w:val="20"/>
          <w:szCs w:val="20"/>
        </w:rPr>
      </w:pPr>
    </w:p>
    <w:p w14:paraId="0AA32391" w14:textId="77777777" w:rsidR="00D1587D" w:rsidRDefault="00410D07">
      <w:pPr>
        <w:spacing w:line="255" w:lineRule="auto"/>
        <w:ind w:left="300" w:right="419" w:firstLine="360"/>
        <w:rPr>
          <w:sz w:val="20"/>
          <w:szCs w:val="20"/>
        </w:rPr>
      </w:pPr>
      <w:r>
        <w:rPr>
          <w:rFonts w:ascii="Arial" w:eastAsia="Arial" w:hAnsi="Arial" w:cs="Arial"/>
          <w:sz w:val="18"/>
          <w:szCs w:val="18"/>
        </w:rPr>
        <w:t>We maintain cash and cash equivalents and derivative contracts with various major financial institutions. We monitor the relative credit standing of finan</w:t>
      </w:r>
      <w:r>
        <w:rPr>
          <w:rFonts w:ascii="Arial" w:eastAsia="Arial" w:hAnsi="Arial" w:cs="Arial"/>
          <w:sz w:val="18"/>
          <w:szCs w:val="18"/>
        </w:rPr>
        <w:t>cial institutions with whom we transact and limit the amount of credit exposure with any one entity. Our investment portfolio is comprised of U.S. government obligations, U.S. Treasury and AAA-rated money market funds and bank deposits. We also periodicall</w:t>
      </w:r>
      <w:r>
        <w:rPr>
          <w:rFonts w:ascii="Arial" w:eastAsia="Arial" w:hAnsi="Arial" w:cs="Arial"/>
          <w:sz w:val="18"/>
          <w:szCs w:val="18"/>
        </w:rPr>
        <w:t>y review the relative credit standing of franchise, license and wholesale partners and other entities to which we grant credit terms in the normal course of business.</w:t>
      </w:r>
    </w:p>
    <w:p w14:paraId="2F9825E7" w14:textId="77777777" w:rsidR="00D1587D" w:rsidRDefault="00D1587D">
      <w:pPr>
        <w:spacing w:line="192" w:lineRule="exact"/>
        <w:rPr>
          <w:sz w:val="20"/>
          <w:szCs w:val="20"/>
        </w:rPr>
      </w:pPr>
    </w:p>
    <w:p w14:paraId="7AF2D98B" w14:textId="77777777" w:rsidR="00D1587D" w:rsidRDefault="00410D07">
      <w:pPr>
        <w:jc w:val="center"/>
        <w:rPr>
          <w:sz w:val="20"/>
          <w:szCs w:val="20"/>
        </w:rPr>
      </w:pPr>
      <w:r>
        <w:rPr>
          <w:rFonts w:ascii="Arial" w:eastAsia="Arial" w:hAnsi="Arial" w:cs="Arial"/>
          <w:sz w:val="18"/>
          <w:szCs w:val="18"/>
        </w:rPr>
        <w:t>85</w:t>
      </w:r>
    </w:p>
    <w:p w14:paraId="5190A667" w14:textId="77777777" w:rsidR="00D1587D" w:rsidRDefault="00410D07">
      <w:pPr>
        <w:spacing w:line="20" w:lineRule="exact"/>
        <w:rPr>
          <w:sz w:val="20"/>
          <w:szCs w:val="20"/>
        </w:rPr>
      </w:pPr>
      <w:r>
        <w:rPr>
          <w:noProof/>
          <w:sz w:val="20"/>
          <w:szCs w:val="20"/>
        </w:rPr>
        <w:drawing>
          <wp:anchor distT="0" distB="0" distL="114300" distR="114300" simplePos="0" relativeHeight="251772928" behindDoc="1" locked="0" layoutInCell="0" allowOverlap="1" wp14:anchorId="0058F1E5" wp14:editId="6F44939D">
            <wp:simplePos x="0" y="0"/>
            <wp:positionH relativeFrom="column">
              <wp:posOffset>-636905</wp:posOffset>
            </wp:positionH>
            <wp:positionV relativeFrom="paragraph">
              <wp:posOffset>126365</wp:posOffset>
            </wp:positionV>
            <wp:extent cx="6995160" cy="17145"/>
            <wp:effectExtent l="0" t="0" r="0" b="0"/>
            <wp:wrapNone/>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54C8F77" w14:textId="77777777" w:rsidR="00D1587D" w:rsidRDefault="00D1587D">
      <w:pPr>
        <w:sectPr w:rsidR="00D1587D">
          <w:pgSz w:w="11900" w:h="16838"/>
          <w:pgMar w:top="265" w:right="1440" w:bottom="1440" w:left="1440" w:header="0" w:footer="0" w:gutter="0"/>
          <w:cols w:space="720" w:equalWidth="0">
            <w:col w:w="9019"/>
          </w:cols>
        </w:sectPr>
      </w:pPr>
    </w:p>
    <w:bookmarkStart w:id="343" w:name="page344"/>
    <w:bookmarkEnd w:id="343"/>
    <w:p w14:paraId="55289E1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2460511" w14:textId="77777777" w:rsidR="00D1587D" w:rsidRDefault="00D1587D">
      <w:pPr>
        <w:spacing w:line="127" w:lineRule="exact"/>
        <w:rPr>
          <w:sz w:val="20"/>
          <w:szCs w:val="20"/>
        </w:rPr>
      </w:pPr>
    </w:p>
    <w:p w14:paraId="233D2ACE" w14:textId="77777777" w:rsidR="00D1587D" w:rsidRDefault="00410D07">
      <w:pPr>
        <w:ind w:left="300"/>
        <w:rPr>
          <w:sz w:val="20"/>
          <w:szCs w:val="20"/>
        </w:rPr>
      </w:pPr>
      <w:r>
        <w:rPr>
          <w:rFonts w:ascii="Arial" w:eastAsia="Arial" w:hAnsi="Arial" w:cs="Arial"/>
          <w:b/>
          <w:bCs/>
          <w:sz w:val="18"/>
          <w:szCs w:val="18"/>
        </w:rPr>
        <w:t>Critical Accountin</w:t>
      </w:r>
      <w:r>
        <w:rPr>
          <w:rFonts w:ascii="Arial" w:eastAsia="Arial" w:hAnsi="Arial" w:cs="Arial"/>
          <w:b/>
          <w:bCs/>
          <w:sz w:val="18"/>
          <w:szCs w:val="18"/>
        </w:rPr>
        <w:t>g Policies and Estimates</w:t>
      </w:r>
    </w:p>
    <w:p w14:paraId="7C9FDB34" w14:textId="77777777" w:rsidR="00D1587D" w:rsidRDefault="00D1587D">
      <w:pPr>
        <w:spacing w:line="121" w:lineRule="exact"/>
        <w:rPr>
          <w:sz w:val="20"/>
          <w:szCs w:val="20"/>
        </w:rPr>
      </w:pPr>
    </w:p>
    <w:p w14:paraId="1BA946D7" w14:textId="77777777" w:rsidR="00D1587D" w:rsidRDefault="00410D07">
      <w:pPr>
        <w:spacing w:line="259" w:lineRule="auto"/>
        <w:ind w:left="300" w:right="539" w:firstLine="360"/>
        <w:rPr>
          <w:sz w:val="20"/>
          <w:szCs w:val="20"/>
        </w:rPr>
      </w:pPr>
      <w:r>
        <w:rPr>
          <w:rFonts w:ascii="Arial" w:eastAsia="Arial" w:hAnsi="Arial" w:cs="Arial"/>
          <w:sz w:val="18"/>
          <w:szCs w:val="18"/>
        </w:rPr>
        <w:t>We have chosen accounting policies that management believes are appropriate to accurately and fairly report our operating results and financial position in conformity with GAAP. We apply these accounting policies in a consistent m</w:t>
      </w:r>
      <w:r>
        <w:rPr>
          <w:rFonts w:ascii="Arial" w:eastAsia="Arial" w:hAnsi="Arial" w:cs="Arial"/>
          <w:sz w:val="18"/>
          <w:szCs w:val="18"/>
        </w:rPr>
        <w:t>anner. Significant accounting policies are summarized in Note 1 to our audited combined financial statements included elsewhere in this information statement.</w:t>
      </w:r>
    </w:p>
    <w:p w14:paraId="480F5DC7" w14:textId="77777777" w:rsidR="00D1587D" w:rsidRDefault="00D1587D">
      <w:pPr>
        <w:spacing w:line="79" w:lineRule="exact"/>
        <w:rPr>
          <w:sz w:val="20"/>
          <w:szCs w:val="20"/>
        </w:rPr>
      </w:pPr>
    </w:p>
    <w:p w14:paraId="108D7390" w14:textId="77777777" w:rsidR="00D1587D" w:rsidRDefault="00410D07">
      <w:pPr>
        <w:spacing w:line="289" w:lineRule="auto"/>
        <w:ind w:left="300" w:right="359" w:firstLine="360"/>
        <w:rPr>
          <w:sz w:val="20"/>
          <w:szCs w:val="20"/>
        </w:rPr>
      </w:pPr>
      <w:r>
        <w:rPr>
          <w:rFonts w:ascii="Arial" w:eastAsia="Arial" w:hAnsi="Arial" w:cs="Arial"/>
          <w:sz w:val="16"/>
          <w:szCs w:val="16"/>
        </w:rPr>
        <w:t xml:space="preserve">The preparation of financial statements in conformity with GAAP requires management to </w:t>
      </w:r>
      <w:r>
        <w:rPr>
          <w:rFonts w:ascii="Arial" w:eastAsia="Arial" w:hAnsi="Arial" w:cs="Arial"/>
          <w:sz w:val="16"/>
          <w:szCs w:val="16"/>
        </w:rPr>
        <w:t xml:space="preserve">adopt accounting policies related to estimates and assumptions that affect the reported amounts of assets and liabilities at the date of the financial statements and the reported amounts of revenues and expenses during the reporting period, as well as the </w:t>
      </w:r>
      <w:r>
        <w:rPr>
          <w:rFonts w:ascii="Arial" w:eastAsia="Arial" w:hAnsi="Arial" w:cs="Arial"/>
          <w:sz w:val="16"/>
          <w:szCs w:val="16"/>
        </w:rPr>
        <w:t>related disclosure of contingent assets and liabilities at the date of the financial statements. On an ongoing basis, management evaluates its accounting policies, estimates and judgments, including those related to inventories, long-lived assets, claims a</w:t>
      </w:r>
      <w:r>
        <w:rPr>
          <w:rFonts w:ascii="Arial" w:eastAsia="Arial" w:hAnsi="Arial" w:cs="Arial"/>
          <w:sz w:val="16"/>
          <w:szCs w:val="16"/>
        </w:rPr>
        <w:t>nd contingencies, income taxes and revenue recognition. Management bases our estimates and judgments on historical experience and various other factors that are believed to be reasonable under the circumstances. Actual results may differ from these estimat</w:t>
      </w:r>
      <w:r>
        <w:rPr>
          <w:rFonts w:ascii="Arial" w:eastAsia="Arial" w:hAnsi="Arial" w:cs="Arial"/>
          <w:sz w:val="16"/>
          <w:szCs w:val="16"/>
        </w:rPr>
        <w:t>es. We believe the following assumptions and estimates are most significant to reporting our results of operations and financial position.</w:t>
      </w:r>
    </w:p>
    <w:p w14:paraId="1D970DBE" w14:textId="77777777" w:rsidR="00D1587D" w:rsidRDefault="00D1587D">
      <w:pPr>
        <w:spacing w:line="328" w:lineRule="exact"/>
        <w:rPr>
          <w:sz w:val="20"/>
          <w:szCs w:val="20"/>
        </w:rPr>
      </w:pPr>
    </w:p>
    <w:p w14:paraId="46F6EEDD" w14:textId="77777777" w:rsidR="00D1587D" w:rsidRDefault="00410D07">
      <w:pPr>
        <w:ind w:left="660"/>
        <w:rPr>
          <w:sz w:val="20"/>
          <w:szCs w:val="20"/>
        </w:rPr>
      </w:pPr>
      <w:r>
        <w:rPr>
          <w:rFonts w:ascii="Arial" w:eastAsia="Arial" w:hAnsi="Arial" w:cs="Arial"/>
          <w:b/>
          <w:bCs/>
          <w:i/>
          <w:iCs/>
          <w:sz w:val="18"/>
          <w:szCs w:val="18"/>
        </w:rPr>
        <w:t>Inventories</w:t>
      </w:r>
    </w:p>
    <w:p w14:paraId="0A368102" w14:textId="77777777" w:rsidR="00D1587D" w:rsidRDefault="00D1587D">
      <w:pPr>
        <w:spacing w:line="117" w:lineRule="exact"/>
        <w:rPr>
          <w:sz w:val="20"/>
          <w:szCs w:val="20"/>
        </w:rPr>
      </w:pPr>
    </w:p>
    <w:p w14:paraId="67FFF2B4" w14:textId="77777777" w:rsidR="00D1587D" w:rsidRDefault="00410D07">
      <w:pPr>
        <w:spacing w:line="293" w:lineRule="auto"/>
        <w:ind w:left="300" w:right="599" w:firstLine="360"/>
        <w:rPr>
          <w:sz w:val="20"/>
          <w:szCs w:val="20"/>
        </w:rPr>
      </w:pPr>
      <w:r>
        <w:rPr>
          <w:rFonts w:ascii="Arial" w:eastAsia="Arial" w:hAnsi="Arial" w:cs="Arial"/>
          <w:sz w:val="16"/>
          <w:szCs w:val="16"/>
        </w:rPr>
        <w:t>Inventories are principally valued at the lower of cost or net realizable value, on an average cost bas</w:t>
      </w:r>
      <w:r>
        <w:rPr>
          <w:rFonts w:ascii="Arial" w:eastAsia="Arial" w:hAnsi="Arial" w:cs="Arial"/>
          <w:sz w:val="16"/>
          <w:szCs w:val="16"/>
        </w:rPr>
        <w:t xml:space="preserve">is. We record valuation adjustments to our inventories if the cost of inventory on hand exceeds the amount we expect to realize from the ultimate sale or disposal of the inventory. These estimates are based on management’s judgment regarding future demand </w:t>
      </w:r>
      <w:r>
        <w:rPr>
          <w:rFonts w:ascii="Arial" w:eastAsia="Arial" w:hAnsi="Arial" w:cs="Arial"/>
          <w:sz w:val="16"/>
          <w:szCs w:val="16"/>
        </w:rPr>
        <w:t>and market conditions and analysis of historical experience. If actual demand or market conditions are different than those projected by management, future period merchandise margin rates may be unfavorably or favorably affected by adjustments to these est</w:t>
      </w:r>
      <w:r>
        <w:rPr>
          <w:rFonts w:ascii="Arial" w:eastAsia="Arial" w:hAnsi="Arial" w:cs="Arial"/>
          <w:sz w:val="16"/>
          <w:szCs w:val="16"/>
        </w:rPr>
        <w:t>imates.</w:t>
      </w:r>
    </w:p>
    <w:p w14:paraId="610EE072" w14:textId="77777777" w:rsidR="00D1587D" w:rsidRDefault="00D1587D">
      <w:pPr>
        <w:spacing w:line="56" w:lineRule="exact"/>
        <w:rPr>
          <w:sz w:val="20"/>
          <w:szCs w:val="20"/>
        </w:rPr>
      </w:pPr>
    </w:p>
    <w:p w14:paraId="12C55553" w14:textId="77777777" w:rsidR="00D1587D" w:rsidRDefault="00410D07">
      <w:pPr>
        <w:spacing w:line="273" w:lineRule="auto"/>
        <w:ind w:left="300" w:right="399" w:firstLine="360"/>
        <w:rPr>
          <w:sz w:val="20"/>
          <w:szCs w:val="20"/>
        </w:rPr>
      </w:pPr>
      <w:r>
        <w:rPr>
          <w:rFonts w:ascii="Arial" w:eastAsia="Arial" w:hAnsi="Arial" w:cs="Arial"/>
          <w:sz w:val="17"/>
          <w:szCs w:val="17"/>
        </w:rPr>
        <w:t>We also record inventory loss adjustments for estimated physical inventory losses that have occurred since the date of the last physical inventory. These estimates are based on management’s analysis of historical results and operating trends. Mana</w:t>
      </w:r>
      <w:r>
        <w:rPr>
          <w:rFonts w:ascii="Arial" w:eastAsia="Arial" w:hAnsi="Arial" w:cs="Arial"/>
          <w:sz w:val="17"/>
          <w:szCs w:val="17"/>
        </w:rPr>
        <w:t>gement believes that the assumptions used in these estimates are reasonable and appropriate. A 10% increase or decrease in the inventory valuation adjustment would have impacted net income by approximately $4 million for 2020. A 10% increase or decrease in</w:t>
      </w:r>
      <w:r>
        <w:rPr>
          <w:rFonts w:ascii="Arial" w:eastAsia="Arial" w:hAnsi="Arial" w:cs="Arial"/>
          <w:sz w:val="17"/>
          <w:szCs w:val="17"/>
        </w:rPr>
        <w:t xml:space="preserve"> the estimated physical inventory loss adjustment would have impacted net income by approximately $3 million for 2020.</w:t>
      </w:r>
    </w:p>
    <w:p w14:paraId="376717D0" w14:textId="77777777" w:rsidR="00D1587D" w:rsidRDefault="00D1587D">
      <w:pPr>
        <w:spacing w:line="326" w:lineRule="exact"/>
        <w:rPr>
          <w:sz w:val="20"/>
          <w:szCs w:val="20"/>
        </w:rPr>
      </w:pPr>
    </w:p>
    <w:p w14:paraId="0909450E" w14:textId="77777777" w:rsidR="00D1587D" w:rsidRDefault="00410D07">
      <w:pPr>
        <w:spacing w:line="391" w:lineRule="auto"/>
        <w:ind w:left="660" w:right="2919"/>
        <w:rPr>
          <w:sz w:val="20"/>
          <w:szCs w:val="20"/>
        </w:rPr>
      </w:pPr>
      <w:r>
        <w:rPr>
          <w:rFonts w:ascii="Arial" w:eastAsia="Arial" w:hAnsi="Arial" w:cs="Arial"/>
          <w:b/>
          <w:bCs/>
          <w:i/>
          <w:iCs/>
          <w:sz w:val="18"/>
          <w:szCs w:val="18"/>
        </w:rPr>
        <w:t xml:space="preserve">Valuation of Long-lived Assets, Including Intangible Assets and Goodwill </w:t>
      </w:r>
      <w:r>
        <w:rPr>
          <w:rFonts w:ascii="Arial" w:eastAsia="Arial" w:hAnsi="Arial" w:cs="Arial"/>
          <w:i/>
          <w:iCs/>
          <w:sz w:val="18"/>
          <w:szCs w:val="18"/>
        </w:rPr>
        <w:t>Long-lived Store Assets</w:t>
      </w:r>
    </w:p>
    <w:p w14:paraId="43AAF04B" w14:textId="77777777" w:rsidR="00D1587D" w:rsidRDefault="00D1587D">
      <w:pPr>
        <w:spacing w:line="1" w:lineRule="exact"/>
        <w:rPr>
          <w:sz w:val="20"/>
          <w:szCs w:val="20"/>
        </w:rPr>
      </w:pPr>
    </w:p>
    <w:p w14:paraId="0FD14EA8" w14:textId="77777777" w:rsidR="00D1587D" w:rsidRDefault="00410D07">
      <w:pPr>
        <w:spacing w:line="269" w:lineRule="auto"/>
        <w:ind w:left="300" w:right="359" w:firstLine="360"/>
        <w:rPr>
          <w:sz w:val="20"/>
          <w:szCs w:val="20"/>
        </w:rPr>
      </w:pPr>
      <w:r>
        <w:rPr>
          <w:rFonts w:ascii="Arial" w:eastAsia="Arial" w:hAnsi="Arial" w:cs="Arial"/>
          <w:sz w:val="17"/>
          <w:szCs w:val="17"/>
        </w:rPr>
        <w:t xml:space="preserve">Long-lived store assets, which include leasehold improvements, store related assets and operating lease assets (subsequent to the adoption of ASC 842, </w:t>
      </w:r>
      <w:r>
        <w:rPr>
          <w:rFonts w:ascii="Arial" w:eastAsia="Arial" w:hAnsi="Arial" w:cs="Arial"/>
          <w:i/>
          <w:iCs/>
          <w:sz w:val="17"/>
          <w:szCs w:val="17"/>
        </w:rPr>
        <w:t>Leases</w:t>
      </w:r>
      <w:r>
        <w:rPr>
          <w:rFonts w:ascii="Arial" w:eastAsia="Arial" w:hAnsi="Arial" w:cs="Arial"/>
          <w:sz w:val="17"/>
          <w:szCs w:val="17"/>
        </w:rPr>
        <w:t>)</w:t>
      </w:r>
      <w:r>
        <w:rPr>
          <w:rFonts w:ascii="Arial" w:eastAsia="Arial" w:hAnsi="Arial" w:cs="Arial"/>
          <w:sz w:val="17"/>
          <w:szCs w:val="17"/>
        </w:rPr>
        <w:t>, are reviewed for impairment whenever events or changes in circumstances indicate that the carrying amount of the assets may not be recoverable. Store assets are grouped at the lowest level for which they are largely independent of other assets or asset g</w:t>
      </w:r>
      <w:r>
        <w:rPr>
          <w:rFonts w:ascii="Arial" w:eastAsia="Arial" w:hAnsi="Arial" w:cs="Arial"/>
          <w:sz w:val="17"/>
          <w:szCs w:val="17"/>
        </w:rPr>
        <w:t xml:space="preserve">roups. If the estimated undiscounted future cash flows related to the asset group are less than the carrying value, we recognize a loss equal to the difference between the carrying value and the estimated fair value, determined by the estimated discounted </w:t>
      </w:r>
      <w:r>
        <w:rPr>
          <w:rFonts w:ascii="Arial" w:eastAsia="Arial" w:hAnsi="Arial" w:cs="Arial"/>
          <w:sz w:val="17"/>
          <w:szCs w:val="17"/>
        </w:rPr>
        <w:t>future cash flows of the asset group. For operating lease assets, we determine the fair value of the assets by comparing the contractual rent payments to estimated market rental rates. An individual asset within an asset group is not impaired below its est</w:t>
      </w:r>
      <w:r>
        <w:rPr>
          <w:rFonts w:ascii="Arial" w:eastAsia="Arial" w:hAnsi="Arial" w:cs="Arial"/>
          <w:sz w:val="17"/>
          <w:szCs w:val="17"/>
        </w:rPr>
        <w:t>imated fair value. The fair value of long-lived store assets are determined using Level 3 inputs within the fair value hierarchy.</w:t>
      </w:r>
    </w:p>
    <w:p w14:paraId="6BC33B9A" w14:textId="77777777" w:rsidR="00D1587D" w:rsidRDefault="00D1587D">
      <w:pPr>
        <w:spacing w:line="77" w:lineRule="exact"/>
        <w:rPr>
          <w:sz w:val="20"/>
          <w:szCs w:val="20"/>
        </w:rPr>
      </w:pPr>
    </w:p>
    <w:p w14:paraId="3BD2621B" w14:textId="77777777" w:rsidR="00D1587D" w:rsidRDefault="00410D07">
      <w:pPr>
        <w:ind w:left="660"/>
        <w:rPr>
          <w:sz w:val="20"/>
          <w:szCs w:val="20"/>
        </w:rPr>
      </w:pPr>
      <w:r>
        <w:rPr>
          <w:rFonts w:ascii="Arial" w:eastAsia="Arial" w:hAnsi="Arial" w:cs="Arial"/>
          <w:sz w:val="17"/>
          <w:szCs w:val="17"/>
        </w:rPr>
        <w:t>In 2020, we executed a rationalization of our company-operated store footprint. We permanently closed</w:t>
      </w:r>
    </w:p>
    <w:p w14:paraId="110A73AA" w14:textId="77777777" w:rsidR="00D1587D" w:rsidRDefault="00D1587D">
      <w:pPr>
        <w:spacing w:line="35" w:lineRule="exact"/>
        <w:rPr>
          <w:sz w:val="20"/>
          <w:szCs w:val="20"/>
        </w:rPr>
      </w:pPr>
    </w:p>
    <w:p w14:paraId="5903E9AB" w14:textId="77777777" w:rsidR="00D1587D" w:rsidRDefault="00410D07">
      <w:pPr>
        <w:spacing w:line="271" w:lineRule="auto"/>
        <w:ind w:left="300" w:right="439"/>
        <w:rPr>
          <w:sz w:val="20"/>
          <w:szCs w:val="20"/>
        </w:rPr>
      </w:pPr>
      <w:r>
        <w:rPr>
          <w:rFonts w:ascii="Arial" w:eastAsia="Arial" w:hAnsi="Arial" w:cs="Arial"/>
          <w:sz w:val="17"/>
          <w:szCs w:val="17"/>
        </w:rPr>
        <w:t xml:space="preserve">241 stores in </w:t>
      </w:r>
      <w:r>
        <w:rPr>
          <w:rFonts w:ascii="Arial" w:eastAsia="Arial" w:hAnsi="Arial" w:cs="Arial"/>
          <w:sz w:val="17"/>
          <w:szCs w:val="17"/>
        </w:rPr>
        <w:t>North America in 2020. Given the closures in 2020 as well as the negative operating results of certain stores in 2020, 2019 and 2018, we reviewed the long-lived store assets for potential impairment in all periods presented. We determined that the estimate</w:t>
      </w:r>
      <w:r>
        <w:rPr>
          <w:rFonts w:ascii="Arial" w:eastAsia="Arial" w:hAnsi="Arial" w:cs="Arial"/>
          <w:sz w:val="17"/>
          <w:szCs w:val="17"/>
        </w:rPr>
        <w:t>d undiscounted future cash flows were less than the carrying values for certain asset groups and, as a result, determined the estimated fair values of the store asset groups using estimated discounted future cash flows and estimated market rental rates.</w:t>
      </w:r>
    </w:p>
    <w:p w14:paraId="062825B5" w14:textId="77777777" w:rsidR="00D1587D" w:rsidRDefault="00D1587D">
      <w:pPr>
        <w:spacing w:line="178" w:lineRule="exact"/>
        <w:rPr>
          <w:sz w:val="20"/>
          <w:szCs w:val="20"/>
        </w:rPr>
      </w:pPr>
    </w:p>
    <w:p w14:paraId="4D3B4966" w14:textId="77777777" w:rsidR="00D1587D" w:rsidRDefault="00410D07">
      <w:pPr>
        <w:ind w:right="19"/>
        <w:jc w:val="center"/>
        <w:rPr>
          <w:sz w:val="20"/>
          <w:szCs w:val="20"/>
        </w:rPr>
      </w:pPr>
      <w:r>
        <w:rPr>
          <w:rFonts w:ascii="Arial" w:eastAsia="Arial" w:hAnsi="Arial" w:cs="Arial"/>
          <w:sz w:val="18"/>
          <w:szCs w:val="18"/>
        </w:rPr>
        <w:t>8</w:t>
      </w:r>
      <w:r>
        <w:rPr>
          <w:rFonts w:ascii="Arial" w:eastAsia="Arial" w:hAnsi="Arial" w:cs="Arial"/>
          <w:sz w:val="18"/>
          <w:szCs w:val="18"/>
        </w:rPr>
        <w:t>6</w:t>
      </w:r>
    </w:p>
    <w:p w14:paraId="767BB42E" w14:textId="77777777" w:rsidR="00D1587D" w:rsidRDefault="00410D07">
      <w:pPr>
        <w:spacing w:line="20" w:lineRule="exact"/>
        <w:rPr>
          <w:sz w:val="20"/>
          <w:szCs w:val="20"/>
        </w:rPr>
      </w:pPr>
      <w:r>
        <w:rPr>
          <w:noProof/>
          <w:sz w:val="20"/>
          <w:szCs w:val="20"/>
        </w:rPr>
        <w:drawing>
          <wp:anchor distT="0" distB="0" distL="114300" distR="114300" simplePos="0" relativeHeight="251773952" behindDoc="1" locked="0" layoutInCell="0" allowOverlap="1" wp14:anchorId="34DFDB6F" wp14:editId="0AF1FAAF">
            <wp:simplePos x="0" y="0"/>
            <wp:positionH relativeFrom="column">
              <wp:posOffset>-636905</wp:posOffset>
            </wp:positionH>
            <wp:positionV relativeFrom="paragraph">
              <wp:posOffset>126365</wp:posOffset>
            </wp:positionV>
            <wp:extent cx="6995160" cy="17145"/>
            <wp:effectExtent l="0" t="0" r="0" b="0"/>
            <wp:wrapNone/>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2BC38A8" w14:textId="77777777" w:rsidR="00D1587D" w:rsidRDefault="00D1587D">
      <w:pPr>
        <w:sectPr w:rsidR="00D1587D">
          <w:pgSz w:w="11900" w:h="16838"/>
          <w:pgMar w:top="265" w:right="1440" w:bottom="1440" w:left="1440" w:header="0" w:footer="0" w:gutter="0"/>
          <w:cols w:space="720" w:equalWidth="0">
            <w:col w:w="9019"/>
          </w:cols>
        </w:sectPr>
      </w:pPr>
    </w:p>
    <w:bookmarkStart w:id="344" w:name="page345"/>
    <w:bookmarkEnd w:id="344"/>
    <w:p w14:paraId="09D646E6"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C6A8C11" w14:textId="77777777" w:rsidR="00D1587D" w:rsidRDefault="00D1587D">
      <w:pPr>
        <w:spacing w:line="131" w:lineRule="exact"/>
        <w:rPr>
          <w:sz w:val="20"/>
          <w:szCs w:val="20"/>
        </w:rPr>
      </w:pPr>
    </w:p>
    <w:p w14:paraId="1E8C66F3" w14:textId="77777777" w:rsidR="00D1587D" w:rsidRDefault="00410D07">
      <w:pPr>
        <w:spacing w:line="277" w:lineRule="auto"/>
        <w:ind w:left="300" w:right="779" w:firstLine="360"/>
        <w:rPr>
          <w:sz w:val="20"/>
          <w:szCs w:val="20"/>
        </w:rPr>
      </w:pPr>
      <w:r>
        <w:rPr>
          <w:rFonts w:ascii="Arial" w:eastAsia="Arial" w:hAnsi="Arial" w:cs="Arial"/>
          <w:sz w:val="18"/>
          <w:szCs w:val="18"/>
        </w:rPr>
        <w:t>The following table provides pre-tax long-lived store asset impairment charges included in the Combined Statement of Income (Loss) for 2020, 2019 and 2018:</w:t>
      </w:r>
    </w:p>
    <w:p w14:paraId="0B562982"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820"/>
        <w:gridCol w:w="100"/>
        <w:gridCol w:w="360"/>
        <w:gridCol w:w="200"/>
        <w:gridCol w:w="360"/>
        <w:gridCol w:w="180"/>
        <w:gridCol w:w="400"/>
      </w:tblGrid>
      <w:tr w:rsidR="00D1587D" w14:paraId="66765B7C" w14:textId="77777777">
        <w:trPr>
          <w:trHeight w:val="186"/>
        </w:trPr>
        <w:tc>
          <w:tcPr>
            <w:tcW w:w="6820" w:type="dxa"/>
            <w:vAlign w:val="bottom"/>
          </w:tcPr>
          <w:p w14:paraId="038320AB" w14:textId="77777777" w:rsidR="00D1587D" w:rsidRDefault="00D1587D">
            <w:pPr>
              <w:rPr>
                <w:sz w:val="16"/>
                <w:szCs w:val="16"/>
              </w:rPr>
            </w:pPr>
          </w:p>
        </w:tc>
        <w:tc>
          <w:tcPr>
            <w:tcW w:w="460" w:type="dxa"/>
            <w:gridSpan w:val="2"/>
            <w:vAlign w:val="bottom"/>
          </w:tcPr>
          <w:p w14:paraId="5888FBB0" w14:textId="77777777" w:rsidR="00D1587D" w:rsidRDefault="00410D07">
            <w:pPr>
              <w:ind w:right="40"/>
              <w:jc w:val="right"/>
              <w:rPr>
                <w:sz w:val="20"/>
                <w:szCs w:val="20"/>
              </w:rPr>
            </w:pPr>
            <w:r>
              <w:rPr>
                <w:rFonts w:ascii="Arial" w:eastAsia="Arial" w:hAnsi="Arial" w:cs="Arial"/>
                <w:b/>
                <w:bCs/>
                <w:sz w:val="14"/>
                <w:szCs w:val="14"/>
              </w:rPr>
              <w:t>2020</w:t>
            </w:r>
          </w:p>
        </w:tc>
        <w:tc>
          <w:tcPr>
            <w:tcW w:w="560" w:type="dxa"/>
            <w:gridSpan w:val="2"/>
            <w:vAlign w:val="bottom"/>
          </w:tcPr>
          <w:p w14:paraId="1A2C784A" w14:textId="77777777" w:rsidR="00D1587D" w:rsidRDefault="00410D07">
            <w:pPr>
              <w:ind w:right="40"/>
              <w:jc w:val="right"/>
              <w:rPr>
                <w:sz w:val="20"/>
                <w:szCs w:val="20"/>
              </w:rPr>
            </w:pPr>
            <w:r>
              <w:rPr>
                <w:rFonts w:ascii="Arial" w:eastAsia="Arial" w:hAnsi="Arial" w:cs="Arial"/>
                <w:b/>
                <w:bCs/>
                <w:sz w:val="14"/>
                <w:szCs w:val="14"/>
              </w:rPr>
              <w:t>2019</w:t>
            </w:r>
          </w:p>
        </w:tc>
        <w:tc>
          <w:tcPr>
            <w:tcW w:w="580" w:type="dxa"/>
            <w:gridSpan w:val="2"/>
            <w:vAlign w:val="bottom"/>
          </w:tcPr>
          <w:p w14:paraId="370F7132" w14:textId="77777777" w:rsidR="00D1587D" w:rsidRDefault="00410D07">
            <w:pPr>
              <w:jc w:val="right"/>
              <w:rPr>
                <w:sz w:val="20"/>
                <w:szCs w:val="20"/>
              </w:rPr>
            </w:pPr>
            <w:r>
              <w:rPr>
                <w:rFonts w:ascii="Arial" w:eastAsia="Arial" w:hAnsi="Arial" w:cs="Arial"/>
                <w:b/>
                <w:bCs/>
                <w:sz w:val="14"/>
                <w:szCs w:val="14"/>
              </w:rPr>
              <w:t>2018</w:t>
            </w:r>
          </w:p>
        </w:tc>
      </w:tr>
      <w:tr w:rsidR="00D1587D" w14:paraId="281701D0" w14:textId="77777777">
        <w:trPr>
          <w:trHeight w:val="53"/>
        </w:trPr>
        <w:tc>
          <w:tcPr>
            <w:tcW w:w="6820" w:type="dxa"/>
            <w:vAlign w:val="bottom"/>
          </w:tcPr>
          <w:p w14:paraId="65A09975" w14:textId="77777777" w:rsidR="00D1587D" w:rsidRDefault="00D1587D">
            <w:pPr>
              <w:rPr>
                <w:sz w:val="4"/>
                <w:szCs w:val="4"/>
              </w:rPr>
            </w:pPr>
          </w:p>
        </w:tc>
        <w:tc>
          <w:tcPr>
            <w:tcW w:w="100" w:type="dxa"/>
            <w:vAlign w:val="bottom"/>
          </w:tcPr>
          <w:p w14:paraId="5D2C0F8B" w14:textId="77777777" w:rsidR="00D1587D" w:rsidRDefault="00D1587D">
            <w:pPr>
              <w:rPr>
                <w:sz w:val="4"/>
                <w:szCs w:val="4"/>
              </w:rPr>
            </w:pPr>
          </w:p>
        </w:tc>
        <w:tc>
          <w:tcPr>
            <w:tcW w:w="360" w:type="dxa"/>
            <w:tcBorders>
              <w:bottom w:val="single" w:sz="8" w:space="0" w:color="auto"/>
            </w:tcBorders>
            <w:vAlign w:val="bottom"/>
          </w:tcPr>
          <w:p w14:paraId="7E5D32DD" w14:textId="77777777" w:rsidR="00D1587D" w:rsidRDefault="00D1587D">
            <w:pPr>
              <w:rPr>
                <w:sz w:val="4"/>
                <w:szCs w:val="4"/>
              </w:rPr>
            </w:pPr>
          </w:p>
        </w:tc>
        <w:tc>
          <w:tcPr>
            <w:tcW w:w="1140" w:type="dxa"/>
            <w:gridSpan w:val="4"/>
            <w:tcBorders>
              <w:bottom w:val="single" w:sz="8" w:space="0" w:color="auto"/>
            </w:tcBorders>
            <w:vAlign w:val="bottom"/>
          </w:tcPr>
          <w:p w14:paraId="587553A7" w14:textId="77777777" w:rsidR="00D1587D" w:rsidRDefault="00D1587D">
            <w:pPr>
              <w:rPr>
                <w:sz w:val="4"/>
                <w:szCs w:val="4"/>
              </w:rPr>
            </w:pPr>
          </w:p>
        </w:tc>
      </w:tr>
      <w:tr w:rsidR="00D1587D" w14:paraId="02318379" w14:textId="77777777">
        <w:trPr>
          <w:trHeight w:val="224"/>
        </w:trPr>
        <w:tc>
          <w:tcPr>
            <w:tcW w:w="6820" w:type="dxa"/>
            <w:vAlign w:val="bottom"/>
          </w:tcPr>
          <w:p w14:paraId="15AD61BB" w14:textId="77777777" w:rsidR="00D1587D" w:rsidRDefault="00D1587D">
            <w:pPr>
              <w:rPr>
                <w:sz w:val="19"/>
                <w:szCs w:val="19"/>
              </w:rPr>
            </w:pPr>
          </w:p>
        </w:tc>
        <w:tc>
          <w:tcPr>
            <w:tcW w:w="100" w:type="dxa"/>
            <w:vAlign w:val="bottom"/>
          </w:tcPr>
          <w:p w14:paraId="378AFC41" w14:textId="77777777" w:rsidR="00D1587D" w:rsidRDefault="00D1587D">
            <w:pPr>
              <w:rPr>
                <w:sz w:val="19"/>
                <w:szCs w:val="19"/>
              </w:rPr>
            </w:pPr>
          </w:p>
        </w:tc>
        <w:tc>
          <w:tcPr>
            <w:tcW w:w="360" w:type="dxa"/>
            <w:vAlign w:val="bottom"/>
          </w:tcPr>
          <w:p w14:paraId="69FC21BA" w14:textId="77777777" w:rsidR="00D1587D" w:rsidRDefault="00D1587D">
            <w:pPr>
              <w:rPr>
                <w:sz w:val="19"/>
                <w:szCs w:val="19"/>
              </w:rPr>
            </w:pPr>
          </w:p>
        </w:tc>
        <w:tc>
          <w:tcPr>
            <w:tcW w:w="1140" w:type="dxa"/>
            <w:gridSpan w:val="4"/>
            <w:vAlign w:val="bottom"/>
          </w:tcPr>
          <w:p w14:paraId="08A6CDCA" w14:textId="77777777" w:rsidR="00D1587D" w:rsidRDefault="00410D07">
            <w:pPr>
              <w:ind w:right="290"/>
              <w:jc w:val="right"/>
              <w:rPr>
                <w:sz w:val="20"/>
                <w:szCs w:val="20"/>
              </w:rPr>
            </w:pPr>
            <w:r>
              <w:rPr>
                <w:rFonts w:ascii="Arial" w:eastAsia="Arial" w:hAnsi="Arial" w:cs="Arial"/>
                <w:b/>
                <w:bCs/>
                <w:w w:val="94"/>
                <w:sz w:val="14"/>
                <w:szCs w:val="14"/>
              </w:rPr>
              <w:t>(in millions)</w:t>
            </w:r>
          </w:p>
        </w:tc>
      </w:tr>
      <w:tr w:rsidR="00D1587D" w14:paraId="709A2EB3" w14:textId="77777777">
        <w:trPr>
          <w:trHeight w:val="53"/>
        </w:trPr>
        <w:tc>
          <w:tcPr>
            <w:tcW w:w="6820" w:type="dxa"/>
            <w:vAlign w:val="bottom"/>
          </w:tcPr>
          <w:p w14:paraId="408D5834" w14:textId="77777777" w:rsidR="00D1587D" w:rsidRDefault="00D1587D">
            <w:pPr>
              <w:rPr>
                <w:sz w:val="4"/>
                <w:szCs w:val="4"/>
              </w:rPr>
            </w:pPr>
          </w:p>
        </w:tc>
        <w:tc>
          <w:tcPr>
            <w:tcW w:w="100" w:type="dxa"/>
            <w:vAlign w:val="bottom"/>
          </w:tcPr>
          <w:p w14:paraId="097D92EC" w14:textId="77777777" w:rsidR="00D1587D" w:rsidRDefault="00D1587D">
            <w:pPr>
              <w:rPr>
                <w:sz w:val="4"/>
                <w:szCs w:val="4"/>
              </w:rPr>
            </w:pPr>
          </w:p>
        </w:tc>
        <w:tc>
          <w:tcPr>
            <w:tcW w:w="360" w:type="dxa"/>
            <w:vAlign w:val="bottom"/>
          </w:tcPr>
          <w:p w14:paraId="317A0B8D" w14:textId="77777777" w:rsidR="00D1587D" w:rsidRDefault="00D1587D">
            <w:pPr>
              <w:rPr>
                <w:sz w:val="4"/>
                <w:szCs w:val="4"/>
              </w:rPr>
            </w:pPr>
          </w:p>
        </w:tc>
        <w:tc>
          <w:tcPr>
            <w:tcW w:w="200" w:type="dxa"/>
            <w:vAlign w:val="bottom"/>
          </w:tcPr>
          <w:p w14:paraId="3219F352" w14:textId="77777777" w:rsidR="00D1587D" w:rsidRDefault="00D1587D">
            <w:pPr>
              <w:rPr>
                <w:sz w:val="4"/>
                <w:szCs w:val="4"/>
              </w:rPr>
            </w:pPr>
          </w:p>
        </w:tc>
        <w:tc>
          <w:tcPr>
            <w:tcW w:w="360" w:type="dxa"/>
            <w:vAlign w:val="bottom"/>
          </w:tcPr>
          <w:p w14:paraId="28985520" w14:textId="77777777" w:rsidR="00D1587D" w:rsidRDefault="00D1587D">
            <w:pPr>
              <w:rPr>
                <w:sz w:val="4"/>
                <w:szCs w:val="4"/>
              </w:rPr>
            </w:pPr>
          </w:p>
        </w:tc>
        <w:tc>
          <w:tcPr>
            <w:tcW w:w="180" w:type="dxa"/>
            <w:vAlign w:val="bottom"/>
          </w:tcPr>
          <w:p w14:paraId="77067946" w14:textId="77777777" w:rsidR="00D1587D" w:rsidRDefault="00D1587D">
            <w:pPr>
              <w:rPr>
                <w:sz w:val="4"/>
                <w:szCs w:val="4"/>
              </w:rPr>
            </w:pPr>
          </w:p>
        </w:tc>
        <w:tc>
          <w:tcPr>
            <w:tcW w:w="400" w:type="dxa"/>
            <w:vAlign w:val="bottom"/>
          </w:tcPr>
          <w:p w14:paraId="4E676BAA" w14:textId="77777777" w:rsidR="00D1587D" w:rsidRDefault="00D1587D">
            <w:pPr>
              <w:rPr>
                <w:sz w:val="4"/>
                <w:szCs w:val="4"/>
              </w:rPr>
            </w:pPr>
          </w:p>
        </w:tc>
      </w:tr>
      <w:tr w:rsidR="00D1587D" w14:paraId="681BF1A9" w14:textId="77777777">
        <w:trPr>
          <w:trHeight w:val="318"/>
        </w:trPr>
        <w:tc>
          <w:tcPr>
            <w:tcW w:w="6820" w:type="dxa"/>
            <w:tcBorders>
              <w:bottom w:val="single" w:sz="8" w:space="0" w:color="CCEEFF"/>
            </w:tcBorders>
            <w:shd w:val="clear" w:color="auto" w:fill="CCEEFF"/>
            <w:vAlign w:val="bottom"/>
          </w:tcPr>
          <w:p w14:paraId="65FE6FFA" w14:textId="77777777" w:rsidR="00D1587D" w:rsidRDefault="00410D07">
            <w:pPr>
              <w:rPr>
                <w:sz w:val="20"/>
                <w:szCs w:val="20"/>
              </w:rPr>
            </w:pPr>
            <w:r>
              <w:rPr>
                <w:rFonts w:ascii="Arial" w:eastAsia="Arial" w:hAnsi="Arial" w:cs="Arial"/>
                <w:sz w:val="18"/>
                <w:szCs w:val="18"/>
              </w:rPr>
              <w:t>Store Asset Impairment</w:t>
            </w:r>
          </w:p>
        </w:tc>
        <w:tc>
          <w:tcPr>
            <w:tcW w:w="460" w:type="dxa"/>
            <w:gridSpan w:val="2"/>
            <w:tcBorders>
              <w:bottom w:val="single" w:sz="8" w:space="0" w:color="CCEEFF"/>
            </w:tcBorders>
            <w:shd w:val="clear" w:color="auto" w:fill="CCEEFF"/>
            <w:vAlign w:val="bottom"/>
          </w:tcPr>
          <w:p w14:paraId="6D1AB9D6" w14:textId="77777777" w:rsidR="00D1587D" w:rsidRDefault="00410D07">
            <w:pPr>
              <w:jc w:val="right"/>
              <w:rPr>
                <w:sz w:val="20"/>
                <w:szCs w:val="20"/>
              </w:rPr>
            </w:pPr>
            <w:r>
              <w:rPr>
                <w:rFonts w:ascii="Arial" w:eastAsia="Arial" w:hAnsi="Arial" w:cs="Arial"/>
                <w:sz w:val="18"/>
                <w:szCs w:val="18"/>
              </w:rPr>
              <w:t>$136</w:t>
            </w:r>
          </w:p>
        </w:tc>
        <w:tc>
          <w:tcPr>
            <w:tcW w:w="560" w:type="dxa"/>
            <w:gridSpan w:val="2"/>
            <w:tcBorders>
              <w:bottom w:val="single" w:sz="8" w:space="0" w:color="CCEEFF"/>
            </w:tcBorders>
            <w:shd w:val="clear" w:color="auto" w:fill="CCEEFF"/>
            <w:vAlign w:val="bottom"/>
          </w:tcPr>
          <w:p w14:paraId="355835C9" w14:textId="77777777" w:rsidR="00D1587D" w:rsidRDefault="00410D07">
            <w:pPr>
              <w:jc w:val="right"/>
              <w:rPr>
                <w:sz w:val="20"/>
                <w:szCs w:val="20"/>
              </w:rPr>
            </w:pPr>
            <w:r>
              <w:rPr>
                <w:rFonts w:ascii="Arial" w:eastAsia="Arial" w:hAnsi="Arial" w:cs="Arial"/>
                <w:sz w:val="18"/>
                <w:szCs w:val="18"/>
              </w:rPr>
              <w:t>$198</w:t>
            </w:r>
          </w:p>
        </w:tc>
        <w:tc>
          <w:tcPr>
            <w:tcW w:w="580" w:type="dxa"/>
            <w:gridSpan w:val="2"/>
            <w:tcBorders>
              <w:bottom w:val="single" w:sz="8" w:space="0" w:color="CCEEFF"/>
            </w:tcBorders>
            <w:shd w:val="clear" w:color="auto" w:fill="CCEEFF"/>
            <w:vAlign w:val="bottom"/>
          </w:tcPr>
          <w:p w14:paraId="1414415B" w14:textId="77777777" w:rsidR="00D1587D" w:rsidRDefault="00410D07">
            <w:pPr>
              <w:jc w:val="right"/>
              <w:rPr>
                <w:sz w:val="20"/>
                <w:szCs w:val="20"/>
              </w:rPr>
            </w:pPr>
            <w:r>
              <w:rPr>
                <w:rFonts w:ascii="Arial" w:eastAsia="Arial" w:hAnsi="Arial" w:cs="Arial"/>
                <w:sz w:val="18"/>
                <w:szCs w:val="18"/>
              </w:rPr>
              <w:t>$101</w:t>
            </w:r>
          </w:p>
        </w:tc>
      </w:tr>
      <w:tr w:rsidR="00D1587D" w14:paraId="39935CC4" w14:textId="77777777">
        <w:trPr>
          <w:trHeight w:val="270"/>
        </w:trPr>
        <w:tc>
          <w:tcPr>
            <w:tcW w:w="6820" w:type="dxa"/>
            <w:vAlign w:val="bottom"/>
          </w:tcPr>
          <w:p w14:paraId="1312C3AD" w14:textId="77777777" w:rsidR="00D1587D" w:rsidRDefault="00410D07">
            <w:pPr>
              <w:rPr>
                <w:sz w:val="20"/>
                <w:szCs w:val="20"/>
              </w:rPr>
            </w:pPr>
            <w:r>
              <w:rPr>
                <w:rFonts w:ascii="Arial" w:eastAsia="Arial" w:hAnsi="Arial" w:cs="Arial"/>
                <w:sz w:val="18"/>
                <w:szCs w:val="18"/>
              </w:rPr>
              <w:t>Operating Lease Asset Impairment</w:t>
            </w:r>
          </w:p>
        </w:tc>
        <w:tc>
          <w:tcPr>
            <w:tcW w:w="460" w:type="dxa"/>
            <w:gridSpan w:val="2"/>
            <w:vAlign w:val="bottom"/>
          </w:tcPr>
          <w:p w14:paraId="51E9912C" w14:textId="77777777" w:rsidR="00D1587D" w:rsidRDefault="00410D07">
            <w:pPr>
              <w:jc w:val="right"/>
              <w:rPr>
                <w:sz w:val="20"/>
                <w:szCs w:val="20"/>
              </w:rPr>
            </w:pPr>
            <w:r>
              <w:rPr>
                <w:rFonts w:ascii="Arial" w:eastAsia="Arial" w:hAnsi="Arial" w:cs="Arial"/>
                <w:sz w:val="18"/>
                <w:szCs w:val="18"/>
              </w:rPr>
              <w:t>118</w:t>
            </w:r>
          </w:p>
        </w:tc>
        <w:tc>
          <w:tcPr>
            <w:tcW w:w="560" w:type="dxa"/>
            <w:gridSpan w:val="2"/>
            <w:vAlign w:val="bottom"/>
          </w:tcPr>
          <w:p w14:paraId="08733036" w14:textId="77777777" w:rsidR="00D1587D" w:rsidRDefault="00410D07">
            <w:pPr>
              <w:ind w:right="20"/>
              <w:jc w:val="right"/>
              <w:rPr>
                <w:sz w:val="20"/>
                <w:szCs w:val="20"/>
              </w:rPr>
            </w:pPr>
            <w:r>
              <w:rPr>
                <w:rFonts w:ascii="Arial" w:eastAsia="Arial" w:hAnsi="Arial" w:cs="Arial"/>
                <w:sz w:val="18"/>
                <w:szCs w:val="18"/>
              </w:rPr>
              <w:t>65</w:t>
            </w:r>
          </w:p>
        </w:tc>
        <w:tc>
          <w:tcPr>
            <w:tcW w:w="180" w:type="dxa"/>
            <w:vAlign w:val="bottom"/>
          </w:tcPr>
          <w:p w14:paraId="460D3852" w14:textId="77777777" w:rsidR="00D1587D" w:rsidRDefault="00D1587D">
            <w:pPr>
              <w:rPr>
                <w:sz w:val="23"/>
                <w:szCs w:val="23"/>
              </w:rPr>
            </w:pPr>
          </w:p>
        </w:tc>
        <w:tc>
          <w:tcPr>
            <w:tcW w:w="400" w:type="dxa"/>
            <w:vAlign w:val="bottom"/>
          </w:tcPr>
          <w:p w14:paraId="04367E2E" w14:textId="77777777" w:rsidR="00D1587D" w:rsidRDefault="00410D07">
            <w:pPr>
              <w:jc w:val="right"/>
              <w:rPr>
                <w:sz w:val="20"/>
                <w:szCs w:val="20"/>
              </w:rPr>
            </w:pPr>
            <w:r>
              <w:rPr>
                <w:rFonts w:ascii="Arial" w:eastAsia="Arial" w:hAnsi="Arial" w:cs="Arial"/>
                <w:sz w:val="18"/>
                <w:szCs w:val="18"/>
              </w:rPr>
              <w:t>—</w:t>
            </w:r>
          </w:p>
        </w:tc>
      </w:tr>
      <w:tr w:rsidR="00D1587D" w14:paraId="3AFC7274" w14:textId="77777777">
        <w:trPr>
          <w:trHeight w:val="68"/>
        </w:trPr>
        <w:tc>
          <w:tcPr>
            <w:tcW w:w="6820" w:type="dxa"/>
            <w:tcBorders>
              <w:bottom w:val="single" w:sz="8" w:space="0" w:color="CCEEFF"/>
            </w:tcBorders>
            <w:vAlign w:val="bottom"/>
          </w:tcPr>
          <w:p w14:paraId="655A8B91" w14:textId="77777777" w:rsidR="00D1587D" w:rsidRDefault="00D1587D">
            <w:pPr>
              <w:rPr>
                <w:sz w:val="5"/>
                <w:szCs w:val="5"/>
              </w:rPr>
            </w:pPr>
          </w:p>
        </w:tc>
        <w:tc>
          <w:tcPr>
            <w:tcW w:w="100" w:type="dxa"/>
            <w:tcBorders>
              <w:bottom w:val="single" w:sz="8" w:space="0" w:color="CCEEFF"/>
            </w:tcBorders>
            <w:vAlign w:val="bottom"/>
          </w:tcPr>
          <w:p w14:paraId="5DA914A3" w14:textId="77777777" w:rsidR="00D1587D" w:rsidRDefault="00D1587D">
            <w:pPr>
              <w:rPr>
                <w:sz w:val="5"/>
                <w:szCs w:val="5"/>
              </w:rPr>
            </w:pPr>
          </w:p>
        </w:tc>
        <w:tc>
          <w:tcPr>
            <w:tcW w:w="360" w:type="dxa"/>
            <w:tcBorders>
              <w:bottom w:val="single" w:sz="8" w:space="0" w:color="auto"/>
            </w:tcBorders>
            <w:vAlign w:val="bottom"/>
          </w:tcPr>
          <w:p w14:paraId="3A899EB0" w14:textId="77777777" w:rsidR="00D1587D" w:rsidRDefault="00D1587D">
            <w:pPr>
              <w:rPr>
                <w:sz w:val="5"/>
                <w:szCs w:val="5"/>
              </w:rPr>
            </w:pPr>
          </w:p>
        </w:tc>
        <w:tc>
          <w:tcPr>
            <w:tcW w:w="200" w:type="dxa"/>
            <w:tcBorders>
              <w:bottom w:val="single" w:sz="8" w:space="0" w:color="CCEEFF"/>
            </w:tcBorders>
            <w:vAlign w:val="bottom"/>
          </w:tcPr>
          <w:p w14:paraId="4C9987E0" w14:textId="77777777" w:rsidR="00D1587D" w:rsidRDefault="00D1587D">
            <w:pPr>
              <w:rPr>
                <w:sz w:val="5"/>
                <w:szCs w:val="5"/>
              </w:rPr>
            </w:pPr>
          </w:p>
        </w:tc>
        <w:tc>
          <w:tcPr>
            <w:tcW w:w="360" w:type="dxa"/>
            <w:tcBorders>
              <w:bottom w:val="single" w:sz="8" w:space="0" w:color="auto"/>
            </w:tcBorders>
            <w:vAlign w:val="bottom"/>
          </w:tcPr>
          <w:p w14:paraId="38FE7038" w14:textId="77777777" w:rsidR="00D1587D" w:rsidRDefault="00D1587D">
            <w:pPr>
              <w:rPr>
                <w:sz w:val="5"/>
                <w:szCs w:val="5"/>
              </w:rPr>
            </w:pPr>
          </w:p>
        </w:tc>
        <w:tc>
          <w:tcPr>
            <w:tcW w:w="180" w:type="dxa"/>
            <w:tcBorders>
              <w:bottom w:val="single" w:sz="8" w:space="0" w:color="CCEEFF"/>
            </w:tcBorders>
            <w:vAlign w:val="bottom"/>
          </w:tcPr>
          <w:p w14:paraId="1423F800" w14:textId="77777777" w:rsidR="00D1587D" w:rsidRDefault="00D1587D">
            <w:pPr>
              <w:rPr>
                <w:sz w:val="5"/>
                <w:szCs w:val="5"/>
              </w:rPr>
            </w:pPr>
          </w:p>
        </w:tc>
        <w:tc>
          <w:tcPr>
            <w:tcW w:w="400" w:type="dxa"/>
            <w:tcBorders>
              <w:bottom w:val="single" w:sz="8" w:space="0" w:color="auto"/>
            </w:tcBorders>
            <w:vAlign w:val="bottom"/>
          </w:tcPr>
          <w:p w14:paraId="42EDE1CE" w14:textId="77777777" w:rsidR="00D1587D" w:rsidRDefault="00D1587D">
            <w:pPr>
              <w:rPr>
                <w:sz w:val="5"/>
                <w:szCs w:val="5"/>
              </w:rPr>
            </w:pPr>
          </w:p>
        </w:tc>
      </w:tr>
      <w:tr w:rsidR="00D1587D" w14:paraId="225B2D7D" w14:textId="77777777">
        <w:trPr>
          <w:trHeight w:val="376"/>
        </w:trPr>
        <w:tc>
          <w:tcPr>
            <w:tcW w:w="6820" w:type="dxa"/>
            <w:tcBorders>
              <w:bottom w:val="single" w:sz="8" w:space="0" w:color="CCEEFF"/>
            </w:tcBorders>
            <w:shd w:val="clear" w:color="auto" w:fill="CCEEFF"/>
            <w:vAlign w:val="bottom"/>
          </w:tcPr>
          <w:p w14:paraId="01BFA516" w14:textId="77777777" w:rsidR="00D1587D" w:rsidRDefault="00410D07">
            <w:pPr>
              <w:rPr>
                <w:sz w:val="20"/>
                <w:szCs w:val="20"/>
              </w:rPr>
            </w:pPr>
            <w:r>
              <w:rPr>
                <w:rFonts w:ascii="Arial" w:eastAsia="Arial" w:hAnsi="Arial" w:cs="Arial"/>
                <w:b/>
                <w:bCs/>
                <w:sz w:val="18"/>
                <w:szCs w:val="18"/>
              </w:rPr>
              <w:t>Total Impairment</w:t>
            </w:r>
          </w:p>
        </w:tc>
        <w:tc>
          <w:tcPr>
            <w:tcW w:w="460" w:type="dxa"/>
            <w:gridSpan w:val="2"/>
            <w:tcBorders>
              <w:bottom w:val="single" w:sz="8" w:space="0" w:color="CCEEFF"/>
            </w:tcBorders>
            <w:shd w:val="clear" w:color="auto" w:fill="CCEEFF"/>
            <w:vAlign w:val="bottom"/>
          </w:tcPr>
          <w:p w14:paraId="302CE169" w14:textId="77777777" w:rsidR="00D1587D" w:rsidRDefault="00410D07">
            <w:pPr>
              <w:jc w:val="right"/>
              <w:rPr>
                <w:sz w:val="20"/>
                <w:szCs w:val="20"/>
              </w:rPr>
            </w:pPr>
            <w:r>
              <w:rPr>
                <w:rFonts w:ascii="Arial" w:eastAsia="Arial" w:hAnsi="Arial" w:cs="Arial"/>
                <w:b/>
                <w:bCs/>
                <w:sz w:val="18"/>
                <w:szCs w:val="18"/>
              </w:rPr>
              <w:t>$254</w:t>
            </w:r>
          </w:p>
        </w:tc>
        <w:tc>
          <w:tcPr>
            <w:tcW w:w="560" w:type="dxa"/>
            <w:gridSpan w:val="2"/>
            <w:tcBorders>
              <w:bottom w:val="single" w:sz="8" w:space="0" w:color="CCEEFF"/>
            </w:tcBorders>
            <w:shd w:val="clear" w:color="auto" w:fill="CCEEFF"/>
            <w:vAlign w:val="bottom"/>
          </w:tcPr>
          <w:p w14:paraId="44D03743" w14:textId="77777777" w:rsidR="00D1587D" w:rsidRDefault="00410D07">
            <w:pPr>
              <w:jc w:val="right"/>
              <w:rPr>
                <w:sz w:val="20"/>
                <w:szCs w:val="20"/>
              </w:rPr>
            </w:pPr>
            <w:r>
              <w:rPr>
                <w:rFonts w:ascii="Arial" w:eastAsia="Arial" w:hAnsi="Arial" w:cs="Arial"/>
                <w:b/>
                <w:bCs/>
                <w:sz w:val="18"/>
                <w:szCs w:val="18"/>
              </w:rPr>
              <w:t>$263</w:t>
            </w:r>
          </w:p>
        </w:tc>
        <w:tc>
          <w:tcPr>
            <w:tcW w:w="580" w:type="dxa"/>
            <w:gridSpan w:val="2"/>
            <w:tcBorders>
              <w:bottom w:val="single" w:sz="8" w:space="0" w:color="CCEEFF"/>
            </w:tcBorders>
            <w:shd w:val="clear" w:color="auto" w:fill="CCEEFF"/>
            <w:vAlign w:val="bottom"/>
          </w:tcPr>
          <w:p w14:paraId="02E4E614" w14:textId="77777777" w:rsidR="00D1587D" w:rsidRDefault="00410D07">
            <w:pPr>
              <w:jc w:val="right"/>
              <w:rPr>
                <w:sz w:val="20"/>
                <w:szCs w:val="20"/>
              </w:rPr>
            </w:pPr>
            <w:r>
              <w:rPr>
                <w:rFonts w:ascii="Arial" w:eastAsia="Arial" w:hAnsi="Arial" w:cs="Arial"/>
                <w:b/>
                <w:bCs/>
                <w:sz w:val="18"/>
                <w:szCs w:val="18"/>
              </w:rPr>
              <w:t>$101</w:t>
            </w:r>
          </w:p>
        </w:tc>
      </w:tr>
      <w:tr w:rsidR="00D1587D" w14:paraId="3DFE3808" w14:textId="77777777">
        <w:trPr>
          <w:trHeight w:val="20"/>
        </w:trPr>
        <w:tc>
          <w:tcPr>
            <w:tcW w:w="6820" w:type="dxa"/>
            <w:tcBorders>
              <w:top w:val="single" w:sz="8" w:space="0" w:color="CCEEFF"/>
            </w:tcBorders>
            <w:vAlign w:val="bottom"/>
          </w:tcPr>
          <w:p w14:paraId="1EECCBF0" w14:textId="77777777" w:rsidR="00D1587D" w:rsidRDefault="00D1587D">
            <w:pPr>
              <w:spacing w:line="20" w:lineRule="exact"/>
              <w:rPr>
                <w:sz w:val="1"/>
                <w:szCs w:val="1"/>
              </w:rPr>
            </w:pPr>
          </w:p>
        </w:tc>
        <w:tc>
          <w:tcPr>
            <w:tcW w:w="100" w:type="dxa"/>
            <w:tcBorders>
              <w:top w:val="single" w:sz="8" w:space="0" w:color="CCEEFF"/>
            </w:tcBorders>
            <w:vAlign w:val="bottom"/>
          </w:tcPr>
          <w:p w14:paraId="7D587127" w14:textId="77777777" w:rsidR="00D1587D" w:rsidRDefault="00D1587D">
            <w:pPr>
              <w:spacing w:line="20" w:lineRule="exact"/>
              <w:rPr>
                <w:sz w:val="1"/>
                <w:szCs w:val="1"/>
              </w:rPr>
            </w:pPr>
          </w:p>
        </w:tc>
        <w:tc>
          <w:tcPr>
            <w:tcW w:w="360" w:type="dxa"/>
            <w:tcBorders>
              <w:top w:val="single" w:sz="8" w:space="0" w:color="auto"/>
            </w:tcBorders>
            <w:shd w:val="clear" w:color="auto" w:fill="000000"/>
            <w:vAlign w:val="bottom"/>
          </w:tcPr>
          <w:p w14:paraId="44F9E37F" w14:textId="77777777" w:rsidR="00D1587D" w:rsidRDefault="00D1587D">
            <w:pPr>
              <w:spacing w:line="20" w:lineRule="exact"/>
              <w:rPr>
                <w:sz w:val="1"/>
                <w:szCs w:val="1"/>
              </w:rPr>
            </w:pPr>
          </w:p>
        </w:tc>
        <w:tc>
          <w:tcPr>
            <w:tcW w:w="200" w:type="dxa"/>
            <w:tcBorders>
              <w:top w:val="single" w:sz="8" w:space="0" w:color="CCEEFF"/>
            </w:tcBorders>
            <w:vAlign w:val="bottom"/>
          </w:tcPr>
          <w:p w14:paraId="41996291" w14:textId="77777777" w:rsidR="00D1587D" w:rsidRDefault="00D1587D">
            <w:pPr>
              <w:spacing w:line="20" w:lineRule="exact"/>
              <w:rPr>
                <w:sz w:val="1"/>
                <w:szCs w:val="1"/>
              </w:rPr>
            </w:pPr>
          </w:p>
        </w:tc>
        <w:tc>
          <w:tcPr>
            <w:tcW w:w="360" w:type="dxa"/>
            <w:tcBorders>
              <w:top w:val="single" w:sz="8" w:space="0" w:color="auto"/>
            </w:tcBorders>
            <w:shd w:val="clear" w:color="auto" w:fill="000000"/>
            <w:vAlign w:val="bottom"/>
          </w:tcPr>
          <w:p w14:paraId="34672FF1" w14:textId="77777777" w:rsidR="00D1587D" w:rsidRDefault="00D1587D">
            <w:pPr>
              <w:spacing w:line="20" w:lineRule="exact"/>
              <w:rPr>
                <w:sz w:val="1"/>
                <w:szCs w:val="1"/>
              </w:rPr>
            </w:pPr>
          </w:p>
        </w:tc>
        <w:tc>
          <w:tcPr>
            <w:tcW w:w="180" w:type="dxa"/>
            <w:tcBorders>
              <w:top w:val="single" w:sz="8" w:space="0" w:color="CCEEFF"/>
            </w:tcBorders>
            <w:vAlign w:val="bottom"/>
          </w:tcPr>
          <w:p w14:paraId="75A6ED2A" w14:textId="77777777" w:rsidR="00D1587D" w:rsidRDefault="00D1587D">
            <w:pPr>
              <w:spacing w:line="20" w:lineRule="exact"/>
              <w:rPr>
                <w:sz w:val="1"/>
                <w:szCs w:val="1"/>
              </w:rPr>
            </w:pPr>
          </w:p>
        </w:tc>
        <w:tc>
          <w:tcPr>
            <w:tcW w:w="400" w:type="dxa"/>
            <w:tcBorders>
              <w:top w:val="single" w:sz="8" w:space="0" w:color="auto"/>
            </w:tcBorders>
            <w:shd w:val="clear" w:color="auto" w:fill="000000"/>
            <w:vAlign w:val="bottom"/>
          </w:tcPr>
          <w:p w14:paraId="1FE56270" w14:textId="77777777" w:rsidR="00D1587D" w:rsidRDefault="00D1587D">
            <w:pPr>
              <w:spacing w:line="20" w:lineRule="exact"/>
              <w:rPr>
                <w:sz w:val="1"/>
                <w:szCs w:val="1"/>
              </w:rPr>
            </w:pPr>
          </w:p>
        </w:tc>
      </w:tr>
    </w:tbl>
    <w:p w14:paraId="5CB86079" w14:textId="77777777" w:rsidR="00D1587D" w:rsidRDefault="00410D07">
      <w:pPr>
        <w:spacing w:line="20" w:lineRule="exact"/>
        <w:rPr>
          <w:sz w:val="20"/>
          <w:szCs w:val="20"/>
        </w:rPr>
      </w:pPr>
      <w:r>
        <w:rPr>
          <w:noProof/>
          <w:sz w:val="20"/>
          <w:szCs w:val="20"/>
        </w:rPr>
        <w:drawing>
          <wp:anchor distT="0" distB="0" distL="114300" distR="114300" simplePos="0" relativeHeight="251774976" behindDoc="1" locked="0" layoutInCell="0" allowOverlap="1" wp14:anchorId="002AB863" wp14:editId="01F052E9">
            <wp:simplePos x="0" y="0"/>
            <wp:positionH relativeFrom="column">
              <wp:posOffset>5165725</wp:posOffset>
            </wp:positionH>
            <wp:positionV relativeFrom="paragraph">
              <wp:posOffset>-256540</wp:posOffset>
            </wp:positionV>
            <wp:extent cx="120015" cy="8255"/>
            <wp:effectExtent l="0" t="0" r="0" b="0"/>
            <wp:wrapNone/>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76000" behindDoc="1" locked="0" layoutInCell="0" allowOverlap="1" wp14:anchorId="7BA956CF" wp14:editId="2A744B2F">
            <wp:simplePos x="0" y="0"/>
            <wp:positionH relativeFrom="column">
              <wp:posOffset>4814570</wp:posOffset>
            </wp:positionH>
            <wp:positionV relativeFrom="paragraph">
              <wp:posOffset>-256540</wp:posOffset>
            </wp:positionV>
            <wp:extent cx="120015" cy="8255"/>
            <wp:effectExtent l="0" t="0" r="0" b="0"/>
            <wp:wrapNone/>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77024" behindDoc="1" locked="0" layoutInCell="0" allowOverlap="1" wp14:anchorId="4A7517C6" wp14:editId="091DEEA2">
            <wp:simplePos x="0" y="0"/>
            <wp:positionH relativeFrom="column">
              <wp:posOffset>4523105</wp:posOffset>
            </wp:positionH>
            <wp:positionV relativeFrom="paragraph">
              <wp:posOffset>-256540</wp:posOffset>
            </wp:positionV>
            <wp:extent cx="59690" cy="8255"/>
            <wp:effectExtent l="0" t="0" r="0" b="0"/>
            <wp:wrapNone/>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40"/>
                    <a:srcRect/>
                    <a:stretch>
                      <a:fillRect/>
                    </a:stretch>
                  </pic:blipFill>
                  <pic:spPr bwMode="auto">
                    <a:xfrm>
                      <a:off x="0" y="0"/>
                      <a:ext cx="59690" cy="8255"/>
                    </a:xfrm>
                    <a:prstGeom prst="rect">
                      <a:avLst/>
                    </a:prstGeom>
                    <a:noFill/>
                  </pic:spPr>
                </pic:pic>
              </a:graphicData>
            </a:graphic>
          </wp:anchor>
        </w:drawing>
      </w:r>
      <w:r>
        <w:rPr>
          <w:noProof/>
          <w:sz w:val="20"/>
          <w:szCs w:val="20"/>
        </w:rPr>
        <w:drawing>
          <wp:anchor distT="0" distB="0" distL="114300" distR="114300" simplePos="0" relativeHeight="251778048" behindDoc="1" locked="0" layoutInCell="0" allowOverlap="1" wp14:anchorId="5C587F50" wp14:editId="4A18FE52">
            <wp:simplePos x="0" y="0"/>
            <wp:positionH relativeFrom="column">
              <wp:posOffset>5165725</wp:posOffset>
            </wp:positionH>
            <wp:positionV relativeFrom="paragraph">
              <wp:posOffset>-873760</wp:posOffset>
            </wp:positionV>
            <wp:extent cx="120015" cy="8255"/>
            <wp:effectExtent l="0" t="0" r="0" b="0"/>
            <wp:wrapNone/>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779072" behindDoc="1" locked="0" layoutInCell="0" allowOverlap="1" wp14:anchorId="3BE17CF6" wp14:editId="5483B5CB">
            <wp:simplePos x="0" y="0"/>
            <wp:positionH relativeFrom="column">
              <wp:posOffset>4814570</wp:posOffset>
            </wp:positionH>
            <wp:positionV relativeFrom="paragraph">
              <wp:posOffset>-873760</wp:posOffset>
            </wp:positionV>
            <wp:extent cx="120015" cy="8255"/>
            <wp:effectExtent l="0" t="0" r="0" b="0"/>
            <wp:wrapNone/>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p>
    <w:p w14:paraId="2859EC6F" w14:textId="77777777" w:rsidR="00D1587D" w:rsidRDefault="00D1587D">
      <w:pPr>
        <w:spacing w:line="74" w:lineRule="exact"/>
        <w:rPr>
          <w:sz w:val="20"/>
          <w:szCs w:val="20"/>
        </w:rPr>
      </w:pPr>
    </w:p>
    <w:p w14:paraId="1CD01613" w14:textId="77777777" w:rsidR="00D1587D" w:rsidRDefault="00410D07">
      <w:pPr>
        <w:spacing w:line="275" w:lineRule="auto"/>
        <w:ind w:left="300" w:right="319" w:firstLine="360"/>
        <w:rPr>
          <w:sz w:val="20"/>
          <w:szCs w:val="20"/>
        </w:rPr>
      </w:pPr>
      <w:r>
        <w:rPr>
          <w:rFonts w:ascii="Arial" w:eastAsia="Arial" w:hAnsi="Arial" w:cs="Arial"/>
          <w:sz w:val="17"/>
          <w:szCs w:val="17"/>
        </w:rPr>
        <w:t xml:space="preserve">Our fair value estimates incorporated significant assumptions and judgments </w:t>
      </w:r>
      <w:r>
        <w:rPr>
          <w:rFonts w:ascii="Arial" w:eastAsia="Arial" w:hAnsi="Arial" w:cs="Arial"/>
          <w:sz w:val="17"/>
          <w:szCs w:val="17"/>
        </w:rPr>
        <w:t>including, but not limited to, estimated future cash flows, discount rates and market rental rates. The use of different assumptions or judgments in our assessment could materially increase or decrease the fair value of our store assets and, accordingly, c</w:t>
      </w:r>
      <w:r>
        <w:rPr>
          <w:rFonts w:ascii="Arial" w:eastAsia="Arial" w:hAnsi="Arial" w:cs="Arial"/>
          <w:sz w:val="17"/>
          <w:szCs w:val="17"/>
        </w:rPr>
        <w:t>ould materially increase or decrease any related impairment charge. Sustained declines in our business performance could result in a material impairment charge in a future period.</w:t>
      </w:r>
    </w:p>
    <w:p w14:paraId="75EB8FC5" w14:textId="77777777" w:rsidR="00D1587D" w:rsidRDefault="00D1587D">
      <w:pPr>
        <w:spacing w:line="68" w:lineRule="exact"/>
        <w:rPr>
          <w:sz w:val="20"/>
          <w:szCs w:val="20"/>
        </w:rPr>
      </w:pPr>
    </w:p>
    <w:p w14:paraId="68F77399" w14:textId="77777777" w:rsidR="00D1587D" w:rsidRDefault="00410D07">
      <w:pPr>
        <w:spacing w:line="263" w:lineRule="auto"/>
        <w:ind w:left="300" w:right="539" w:firstLine="360"/>
        <w:rPr>
          <w:sz w:val="20"/>
          <w:szCs w:val="20"/>
        </w:rPr>
      </w:pPr>
      <w:r>
        <w:rPr>
          <w:rFonts w:ascii="Arial" w:eastAsia="Arial" w:hAnsi="Arial" w:cs="Arial"/>
          <w:sz w:val="18"/>
          <w:szCs w:val="18"/>
        </w:rPr>
        <w:t>When a decision has been made to dispose of property and equipment prior to</w:t>
      </w:r>
      <w:r>
        <w:rPr>
          <w:rFonts w:ascii="Arial" w:eastAsia="Arial" w:hAnsi="Arial" w:cs="Arial"/>
          <w:sz w:val="18"/>
          <w:szCs w:val="18"/>
        </w:rPr>
        <w:t xml:space="preserve"> the end of the previously estimated useful life, depreciation estimates are revised to reflect the use of the asset over the shortened estimated useful life.</w:t>
      </w:r>
    </w:p>
    <w:p w14:paraId="781A984F" w14:textId="77777777" w:rsidR="00D1587D" w:rsidRDefault="00D1587D">
      <w:pPr>
        <w:spacing w:line="184" w:lineRule="exact"/>
        <w:rPr>
          <w:sz w:val="20"/>
          <w:szCs w:val="20"/>
        </w:rPr>
      </w:pPr>
    </w:p>
    <w:p w14:paraId="2F5205D6" w14:textId="77777777" w:rsidR="00D1587D" w:rsidRDefault="00410D07">
      <w:pPr>
        <w:ind w:left="660"/>
        <w:rPr>
          <w:sz w:val="20"/>
          <w:szCs w:val="20"/>
        </w:rPr>
      </w:pPr>
      <w:r>
        <w:rPr>
          <w:rFonts w:ascii="Arial" w:eastAsia="Arial" w:hAnsi="Arial" w:cs="Arial"/>
          <w:i/>
          <w:iCs/>
          <w:sz w:val="18"/>
          <w:szCs w:val="18"/>
        </w:rPr>
        <w:t>Goodwill</w:t>
      </w:r>
    </w:p>
    <w:p w14:paraId="78B6B563" w14:textId="77777777" w:rsidR="00D1587D" w:rsidRDefault="00D1587D">
      <w:pPr>
        <w:spacing w:line="117" w:lineRule="exact"/>
        <w:rPr>
          <w:sz w:val="20"/>
          <w:szCs w:val="20"/>
        </w:rPr>
      </w:pPr>
    </w:p>
    <w:p w14:paraId="14597E38" w14:textId="77777777" w:rsidR="00D1587D" w:rsidRDefault="00410D07">
      <w:pPr>
        <w:spacing w:line="288" w:lineRule="auto"/>
        <w:ind w:left="300" w:right="339" w:firstLine="360"/>
        <w:rPr>
          <w:sz w:val="20"/>
          <w:szCs w:val="20"/>
        </w:rPr>
      </w:pPr>
      <w:r>
        <w:rPr>
          <w:rFonts w:ascii="Arial" w:eastAsia="Arial" w:hAnsi="Arial" w:cs="Arial"/>
          <w:sz w:val="16"/>
          <w:szCs w:val="16"/>
        </w:rPr>
        <w:t>Goodwill is reviewed for impairment at the reporting unit level each year in the fourth quarter and may be reviewed more frequently if certain events occur or circumstances change. We have the option to either first perform a qualitative assessment to dete</w:t>
      </w:r>
      <w:r>
        <w:rPr>
          <w:rFonts w:ascii="Arial" w:eastAsia="Arial" w:hAnsi="Arial" w:cs="Arial"/>
          <w:sz w:val="16"/>
          <w:szCs w:val="16"/>
        </w:rPr>
        <w:t>rmine whether it is more likely than not that each reporting unit’s fair value is less than its carrying value (including goodwill), or to proceed directly to the quantitative assessment which requires a comparison of the reporting unit’s fair value to its</w:t>
      </w:r>
      <w:r>
        <w:rPr>
          <w:rFonts w:ascii="Arial" w:eastAsia="Arial" w:hAnsi="Arial" w:cs="Arial"/>
          <w:sz w:val="16"/>
          <w:szCs w:val="16"/>
        </w:rPr>
        <w:t xml:space="preserve"> carrying value (including goodwill). If we determine that the fair value of a reporting unit is less than its carrying value, we recognize an impairment charge equal to the difference, not to exceed the total amount of goodwill allocated to the reporting </w:t>
      </w:r>
      <w:r>
        <w:rPr>
          <w:rFonts w:ascii="Arial" w:eastAsia="Arial" w:hAnsi="Arial" w:cs="Arial"/>
          <w:sz w:val="16"/>
          <w:szCs w:val="16"/>
        </w:rPr>
        <w:t xml:space="preserve">unit. Our reporting units are determined in accordance with the provisions of ASC 350, </w:t>
      </w:r>
      <w:r>
        <w:rPr>
          <w:rFonts w:ascii="Arial" w:eastAsia="Arial" w:hAnsi="Arial" w:cs="Arial"/>
          <w:i/>
          <w:iCs/>
          <w:sz w:val="16"/>
          <w:szCs w:val="16"/>
        </w:rPr>
        <w:t>Intangibles - Goodwill and Other</w:t>
      </w:r>
      <w:r>
        <w:rPr>
          <w:rFonts w:ascii="Arial" w:eastAsia="Arial" w:hAnsi="Arial" w:cs="Arial"/>
          <w:sz w:val="16"/>
          <w:szCs w:val="16"/>
        </w:rPr>
        <w:t>. During 2019, we impaired the goodwill at the North America and Greater China reporting units, resulting in pre-tax impairment charges o</w:t>
      </w:r>
      <w:r>
        <w:rPr>
          <w:rFonts w:ascii="Arial" w:eastAsia="Arial" w:hAnsi="Arial" w:cs="Arial"/>
          <w:sz w:val="16"/>
          <w:szCs w:val="16"/>
        </w:rPr>
        <w:t>f $720 million. Subsequent to these impairments, we no longer recognized any goodwill.</w:t>
      </w:r>
    </w:p>
    <w:p w14:paraId="484BE982" w14:textId="77777777" w:rsidR="00D1587D" w:rsidRDefault="00D1587D">
      <w:pPr>
        <w:spacing w:line="168" w:lineRule="exact"/>
        <w:rPr>
          <w:sz w:val="20"/>
          <w:szCs w:val="20"/>
        </w:rPr>
      </w:pPr>
    </w:p>
    <w:p w14:paraId="2349FECA" w14:textId="77777777" w:rsidR="00D1587D" w:rsidRDefault="00410D07">
      <w:pPr>
        <w:ind w:left="660"/>
        <w:rPr>
          <w:sz w:val="20"/>
          <w:szCs w:val="20"/>
        </w:rPr>
      </w:pPr>
      <w:r>
        <w:rPr>
          <w:rFonts w:ascii="Arial" w:eastAsia="Arial" w:hAnsi="Arial" w:cs="Arial"/>
          <w:i/>
          <w:iCs/>
          <w:sz w:val="18"/>
          <w:szCs w:val="18"/>
        </w:rPr>
        <w:t>Trade Name</w:t>
      </w:r>
    </w:p>
    <w:p w14:paraId="68C047B3" w14:textId="77777777" w:rsidR="00D1587D" w:rsidRDefault="00D1587D">
      <w:pPr>
        <w:spacing w:line="117" w:lineRule="exact"/>
        <w:rPr>
          <w:sz w:val="20"/>
          <w:szCs w:val="20"/>
        </w:rPr>
      </w:pPr>
    </w:p>
    <w:p w14:paraId="338B8056" w14:textId="77777777" w:rsidR="00D1587D" w:rsidRDefault="00410D07">
      <w:pPr>
        <w:spacing w:line="290" w:lineRule="auto"/>
        <w:ind w:left="300" w:right="319" w:firstLine="360"/>
        <w:rPr>
          <w:sz w:val="20"/>
          <w:szCs w:val="20"/>
        </w:rPr>
      </w:pPr>
      <w:r>
        <w:rPr>
          <w:rFonts w:ascii="Arial" w:eastAsia="Arial" w:hAnsi="Arial" w:cs="Arial"/>
          <w:sz w:val="16"/>
          <w:szCs w:val="16"/>
        </w:rPr>
        <w:t>The VICTORIA’S SECRET trade name is an indefinite-lived intangible. The trade name is reviewed for impairment each year in the fourth quarter and may be rev</w:t>
      </w:r>
      <w:r>
        <w:rPr>
          <w:rFonts w:ascii="Arial" w:eastAsia="Arial" w:hAnsi="Arial" w:cs="Arial"/>
          <w:sz w:val="16"/>
          <w:szCs w:val="16"/>
        </w:rPr>
        <w:t>iewed more frequently if certain events occur or circumstances change. We have the option to either first perform a qualitative assessment to determine whether it is more likely than not that the indefinite-lived intangible asset is impaired, or to proceed</w:t>
      </w:r>
      <w:r>
        <w:rPr>
          <w:rFonts w:ascii="Arial" w:eastAsia="Arial" w:hAnsi="Arial" w:cs="Arial"/>
          <w:sz w:val="16"/>
          <w:szCs w:val="16"/>
        </w:rPr>
        <w:t xml:space="preserve"> directly to the quantitative assessment which requires a comparison of the fair value of the intangible asset to its carrying value. To determine if the fair value of the asset is less than its carrying amount, we will estimate the fair value, usually det</w:t>
      </w:r>
      <w:r>
        <w:rPr>
          <w:rFonts w:ascii="Arial" w:eastAsia="Arial" w:hAnsi="Arial" w:cs="Arial"/>
          <w:sz w:val="16"/>
          <w:szCs w:val="16"/>
        </w:rPr>
        <w:t>ermined by the relief from royalty method under the income approach, and compare that value with its carrying amount. If the carrying value of the trade name exceeds its fair value, we recognize an impairment charge equal to the difference.</w:t>
      </w:r>
    </w:p>
    <w:p w14:paraId="09C722B6" w14:textId="77777777" w:rsidR="00D1587D" w:rsidRDefault="00D1587D">
      <w:pPr>
        <w:spacing w:line="57" w:lineRule="exact"/>
        <w:rPr>
          <w:sz w:val="20"/>
          <w:szCs w:val="20"/>
        </w:rPr>
      </w:pPr>
    </w:p>
    <w:p w14:paraId="378B4DD3" w14:textId="77777777" w:rsidR="00D1587D" w:rsidRDefault="00410D07">
      <w:pPr>
        <w:spacing w:line="259" w:lineRule="auto"/>
        <w:ind w:left="300" w:right="539" w:firstLine="360"/>
        <w:rPr>
          <w:sz w:val="20"/>
          <w:szCs w:val="20"/>
        </w:rPr>
      </w:pPr>
      <w:r>
        <w:rPr>
          <w:rFonts w:ascii="Arial" w:eastAsia="Arial" w:hAnsi="Arial" w:cs="Arial"/>
          <w:sz w:val="18"/>
          <w:szCs w:val="18"/>
        </w:rPr>
        <w:t xml:space="preserve">As of the end </w:t>
      </w:r>
      <w:r>
        <w:rPr>
          <w:rFonts w:ascii="Arial" w:eastAsia="Arial" w:hAnsi="Arial" w:cs="Arial"/>
          <w:sz w:val="18"/>
          <w:szCs w:val="18"/>
        </w:rPr>
        <w:t>of the fourth quarter of 2020, we performed our annual impairment assessment of the VICTORIA’S SECRET trade name. To estimate the fair value of the trade name, we used the relief from royalty method under the income approach. The annual assessment conclude</w:t>
      </w:r>
      <w:r>
        <w:rPr>
          <w:rFonts w:ascii="Arial" w:eastAsia="Arial" w:hAnsi="Arial" w:cs="Arial"/>
          <w:sz w:val="18"/>
          <w:szCs w:val="18"/>
        </w:rPr>
        <w:t>d that the fair value of the trade name was in excess of its carrying value.</w:t>
      </w:r>
    </w:p>
    <w:p w14:paraId="763569D8" w14:textId="77777777" w:rsidR="00D1587D" w:rsidRDefault="00D1587D">
      <w:pPr>
        <w:spacing w:line="79" w:lineRule="exact"/>
        <w:rPr>
          <w:sz w:val="20"/>
          <w:szCs w:val="20"/>
        </w:rPr>
      </w:pPr>
    </w:p>
    <w:p w14:paraId="7A2A8DA2" w14:textId="77777777" w:rsidR="00D1587D" w:rsidRDefault="00410D07">
      <w:pPr>
        <w:spacing w:line="257" w:lineRule="auto"/>
        <w:ind w:left="300" w:right="299" w:firstLine="360"/>
        <w:rPr>
          <w:sz w:val="20"/>
          <w:szCs w:val="20"/>
        </w:rPr>
      </w:pPr>
      <w:r>
        <w:rPr>
          <w:rFonts w:ascii="Arial" w:eastAsia="Arial" w:hAnsi="Arial" w:cs="Arial"/>
          <w:sz w:val="18"/>
          <w:szCs w:val="18"/>
        </w:rPr>
        <w:t>The use of different assumptions or judgments in our impairment assessment of our trade name, including with respect to the estimated future cash flows, the discount rate used to</w:t>
      </w:r>
      <w:r>
        <w:rPr>
          <w:rFonts w:ascii="Arial" w:eastAsia="Arial" w:hAnsi="Arial" w:cs="Arial"/>
          <w:sz w:val="18"/>
          <w:szCs w:val="18"/>
        </w:rPr>
        <w:t xml:space="preserve"> discount such estimated future cash flows to their net present value and royalty rates used for the relief from royalty method, could materially increase or decrease the fair value of our trade names. A 50% reduction to our assumed royalty rate would not </w:t>
      </w:r>
      <w:r>
        <w:rPr>
          <w:rFonts w:ascii="Arial" w:eastAsia="Arial" w:hAnsi="Arial" w:cs="Arial"/>
          <w:sz w:val="18"/>
          <w:szCs w:val="18"/>
        </w:rPr>
        <w:t>have resulted in a material impairment charge in 2020.</w:t>
      </w:r>
    </w:p>
    <w:p w14:paraId="4D887DF5" w14:textId="77777777" w:rsidR="00D1587D" w:rsidRDefault="00D1587D">
      <w:pPr>
        <w:spacing w:line="188" w:lineRule="exact"/>
        <w:rPr>
          <w:sz w:val="20"/>
          <w:szCs w:val="20"/>
        </w:rPr>
      </w:pPr>
    </w:p>
    <w:p w14:paraId="0854EE75" w14:textId="77777777" w:rsidR="00D1587D" w:rsidRDefault="00410D07">
      <w:pPr>
        <w:ind w:left="660"/>
        <w:rPr>
          <w:sz w:val="20"/>
          <w:szCs w:val="20"/>
        </w:rPr>
      </w:pPr>
      <w:r>
        <w:rPr>
          <w:rFonts w:ascii="Arial" w:eastAsia="Arial" w:hAnsi="Arial" w:cs="Arial"/>
          <w:b/>
          <w:bCs/>
          <w:i/>
          <w:iCs/>
          <w:sz w:val="18"/>
          <w:szCs w:val="18"/>
        </w:rPr>
        <w:t>Claims and Contingencies</w:t>
      </w:r>
    </w:p>
    <w:p w14:paraId="3D4CB8CC" w14:textId="77777777" w:rsidR="00D1587D" w:rsidRDefault="00D1587D">
      <w:pPr>
        <w:spacing w:line="117" w:lineRule="exact"/>
        <w:rPr>
          <w:sz w:val="20"/>
          <w:szCs w:val="20"/>
        </w:rPr>
      </w:pPr>
    </w:p>
    <w:p w14:paraId="435A5016" w14:textId="77777777" w:rsidR="00D1587D" w:rsidRDefault="00410D07">
      <w:pPr>
        <w:spacing w:line="308" w:lineRule="auto"/>
        <w:ind w:left="300" w:right="559" w:firstLine="360"/>
        <w:rPr>
          <w:sz w:val="20"/>
          <w:szCs w:val="20"/>
        </w:rPr>
      </w:pPr>
      <w:r>
        <w:rPr>
          <w:rFonts w:ascii="Arial" w:eastAsia="Arial" w:hAnsi="Arial" w:cs="Arial"/>
          <w:sz w:val="17"/>
          <w:szCs w:val="17"/>
        </w:rPr>
        <w:t>We are subject to various claims and contingencies related to lawsuits, taxes, insurance, regulatory and other matters arising out of the normal course of business. Our deter</w:t>
      </w:r>
      <w:r>
        <w:rPr>
          <w:rFonts w:ascii="Arial" w:eastAsia="Arial" w:hAnsi="Arial" w:cs="Arial"/>
          <w:sz w:val="17"/>
          <w:szCs w:val="17"/>
        </w:rPr>
        <w:t>mination of the treatment of claims and</w:t>
      </w:r>
    </w:p>
    <w:p w14:paraId="7ABF3DFF" w14:textId="77777777" w:rsidR="00D1587D" w:rsidRDefault="00D1587D">
      <w:pPr>
        <w:spacing w:line="146" w:lineRule="exact"/>
        <w:rPr>
          <w:sz w:val="20"/>
          <w:szCs w:val="20"/>
        </w:rPr>
      </w:pPr>
    </w:p>
    <w:p w14:paraId="15BA4FF5" w14:textId="77777777" w:rsidR="00D1587D" w:rsidRDefault="00410D07">
      <w:pPr>
        <w:jc w:val="center"/>
        <w:rPr>
          <w:sz w:val="20"/>
          <w:szCs w:val="20"/>
        </w:rPr>
      </w:pPr>
      <w:r>
        <w:rPr>
          <w:rFonts w:ascii="Arial" w:eastAsia="Arial" w:hAnsi="Arial" w:cs="Arial"/>
          <w:sz w:val="18"/>
          <w:szCs w:val="18"/>
        </w:rPr>
        <w:t>87</w:t>
      </w:r>
    </w:p>
    <w:p w14:paraId="279A2845" w14:textId="77777777" w:rsidR="00D1587D" w:rsidRDefault="00410D07">
      <w:pPr>
        <w:spacing w:line="20" w:lineRule="exact"/>
        <w:rPr>
          <w:sz w:val="20"/>
          <w:szCs w:val="20"/>
        </w:rPr>
      </w:pPr>
      <w:r>
        <w:rPr>
          <w:noProof/>
          <w:sz w:val="20"/>
          <w:szCs w:val="20"/>
        </w:rPr>
        <w:drawing>
          <wp:anchor distT="0" distB="0" distL="114300" distR="114300" simplePos="0" relativeHeight="251780096" behindDoc="1" locked="0" layoutInCell="0" allowOverlap="1" wp14:anchorId="5BE21113" wp14:editId="0AB5E810">
            <wp:simplePos x="0" y="0"/>
            <wp:positionH relativeFrom="column">
              <wp:posOffset>-636905</wp:posOffset>
            </wp:positionH>
            <wp:positionV relativeFrom="paragraph">
              <wp:posOffset>126365</wp:posOffset>
            </wp:positionV>
            <wp:extent cx="6995160" cy="17145"/>
            <wp:effectExtent l="0" t="0" r="0" b="0"/>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007B6BB" w14:textId="77777777" w:rsidR="00D1587D" w:rsidRDefault="00D1587D">
      <w:pPr>
        <w:sectPr w:rsidR="00D1587D">
          <w:pgSz w:w="11900" w:h="16838"/>
          <w:pgMar w:top="265" w:right="1440" w:bottom="1440" w:left="1440" w:header="0" w:footer="0" w:gutter="0"/>
          <w:cols w:space="720" w:equalWidth="0">
            <w:col w:w="9019"/>
          </w:cols>
        </w:sectPr>
      </w:pPr>
    </w:p>
    <w:bookmarkStart w:id="345" w:name="page346"/>
    <w:bookmarkEnd w:id="345"/>
    <w:p w14:paraId="22FA11B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E860433" w14:textId="77777777" w:rsidR="00D1587D" w:rsidRDefault="00D1587D">
      <w:pPr>
        <w:spacing w:line="131" w:lineRule="exact"/>
        <w:rPr>
          <w:sz w:val="20"/>
          <w:szCs w:val="20"/>
        </w:rPr>
      </w:pPr>
    </w:p>
    <w:p w14:paraId="265C0241" w14:textId="77777777" w:rsidR="00D1587D" w:rsidRDefault="00410D07">
      <w:pPr>
        <w:spacing w:line="293" w:lineRule="auto"/>
        <w:ind w:left="300" w:right="359"/>
        <w:rPr>
          <w:sz w:val="20"/>
          <w:szCs w:val="20"/>
        </w:rPr>
      </w:pPr>
      <w:r>
        <w:rPr>
          <w:rFonts w:ascii="Arial" w:eastAsia="Arial" w:hAnsi="Arial" w:cs="Arial"/>
          <w:sz w:val="16"/>
          <w:szCs w:val="16"/>
        </w:rPr>
        <w:t xml:space="preserve">contingencies in the Combined Financial Statements is based on management’s view of the expected outcome of the applicable claim or </w:t>
      </w:r>
      <w:r>
        <w:rPr>
          <w:rFonts w:ascii="Arial" w:eastAsia="Arial" w:hAnsi="Arial" w:cs="Arial"/>
          <w:sz w:val="16"/>
          <w:szCs w:val="16"/>
        </w:rPr>
        <w:t xml:space="preserve">contingency. We consult with legal counsel on matters related to litigation and seek input from both internal and external experts with respect to matters in the ordinary course of business. We accrue a liability if the likelihood of an adverse outcome is </w:t>
      </w:r>
      <w:r>
        <w:rPr>
          <w:rFonts w:ascii="Arial" w:eastAsia="Arial" w:hAnsi="Arial" w:cs="Arial"/>
          <w:sz w:val="16"/>
          <w:szCs w:val="16"/>
        </w:rPr>
        <w:t>probable and the amount is reasonably estimable. If the likelihood of an adverse outcome is only reasonably possible (as opposed to probable) or if an estimate is not reasonably determinable, disclosure of a material claim or contingency is disclosed in th</w:t>
      </w:r>
      <w:r>
        <w:rPr>
          <w:rFonts w:ascii="Arial" w:eastAsia="Arial" w:hAnsi="Arial" w:cs="Arial"/>
          <w:sz w:val="16"/>
          <w:szCs w:val="16"/>
        </w:rPr>
        <w:t>e notes to the financial statements.</w:t>
      </w:r>
    </w:p>
    <w:p w14:paraId="32CF367B" w14:textId="77777777" w:rsidR="00D1587D" w:rsidRDefault="00D1587D">
      <w:pPr>
        <w:spacing w:line="272" w:lineRule="exact"/>
        <w:rPr>
          <w:sz w:val="20"/>
          <w:szCs w:val="20"/>
        </w:rPr>
      </w:pPr>
    </w:p>
    <w:p w14:paraId="5269CF5E" w14:textId="77777777" w:rsidR="00D1587D" w:rsidRDefault="00410D07">
      <w:pPr>
        <w:ind w:left="660"/>
        <w:rPr>
          <w:sz w:val="20"/>
          <w:szCs w:val="20"/>
        </w:rPr>
      </w:pPr>
      <w:r>
        <w:rPr>
          <w:rFonts w:ascii="Arial" w:eastAsia="Arial" w:hAnsi="Arial" w:cs="Arial"/>
          <w:b/>
          <w:bCs/>
          <w:i/>
          <w:iCs/>
          <w:sz w:val="18"/>
          <w:szCs w:val="18"/>
        </w:rPr>
        <w:t>Income Taxes</w:t>
      </w:r>
    </w:p>
    <w:p w14:paraId="40453C50" w14:textId="77777777" w:rsidR="00D1587D" w:rsidRDefault="00D1587D">
      <w:pPr>
        <w:spacing w:line="117" w:lineRule="exact"/>
        <w:rPr>
          <w:sz w:val="20"/>
          <w:szCs w:val="20"/>
        </w:rPr>
      </w:pPr>
    </w:p>
    <w:p w14:paraId="3B27A9DF" w14:textId="77777777" w:rsidR="00D1587D" w:rsidRDefault="00410D07">
      <w:pPr>
        <w:spacing w:line="289" w:lineRule="auto"/>
        <w:ind w:left="300" w:right="319" w:firstLine="360"/>
        <w:rPr>
          <w:sz w:val="20"/>
          <w:szCs w:val="20"/>
        </w:rPr>
      </w:pPr>
      <w:r>
        <w:rPr>
          <w:rFonts w:ascii="Arial" w:eastAsia="Arial" w:hAnsi="Arial" w:cs="Arial"/>
          <w:sz w:val="16"/>
          <w:szCs w:val="16"/>
        </w:rPr>
        <w:t>We account for income taxes under the asset and liability method. Under this method, taxes currently payable or refundable are accrued, and deferred tax assets and liabilities are recognized for the estim</w:t>
      </w:r>
      <w:r>
        <w:rPr>
          <w:rFonts w:ascii="Arial" w:eastAsia="Arial" w:hAnsi="Arial" w:cs="Arial"/>
          <w:sz w:val="16"/>
          <w:szCs w:val="16"/>
        </w:rPr>
        <w:t>ated future tax consequences attributable to differences between the financial statement carrying amounts of existing assets and liabilities and their respective tax bases. Deferred tax assets are also recognized for realizable operating loss and tax credi</w:t>
      </w:r>
      <w:r>
        <w:rPr>
          <w:rFonts w:ascii="Arial" w:eastAsia="Arial" w:hAnsi="Arial" w:cs="Arial"/>
          <w:sz w:val="16"/>
          <w:szCs w:val="16"/>
        </w:rPr>
        <w:t>t carryforwards. Deferred tax assets and liabilities are measured using enacted income tax rates in effect for the year in which those temporary differences are expected to be recovered or settled. The effect on deferred tax assets and liabilities of a cha</w:t>
      </w:r>
      <w:r>
        <w:rPr>
          <w:rFonts w:ascii="Arial" w:eastAsia="Arial" w:hAnsi="Arial" w:cs="Arial"/>
          <w:sz w:val="16"/>
          <w:szCs w:val="16"/>
        </w:rPr>
        <w:t>nge in income tax rates is recognized in the Company’s Combined Statement of Income (Loss) in the period that includes the enactment date. A valuation allowance is recorded to reduce the carrying amounts of deferred tax assets if it is more likely than not</w:t>
      </w:r>
      <w:r>
        <w:rPr>
          <w:rFonts w:ascii="Arial" w:eastAsia="Arial" w:hAnsi="Arial" w:cs="Arial"/>
          <w:sz w:val="16"/>
          <w:szCs w:val="16"/>
        </w:rPr>
        <w:t xml:space="preserve"> that such assets will not be realized.</w:t>
      </w:r>
    </w:p>
    <w:p w14:paraId="7BAC9D8F" w14:textId="77777777" w:rsidR="00D1587D" w:rsidRDefault="00D1587D">
      <w:pPr>
        <w:spacing w:line="58" w:lineRule="exact"/>
        <w:rPr>
          <w:sz w:val="20"/>
          <w:szCs w:val="20"/>
        </w:rPr>
      </w:pPr>
    </w:p>
    <w:p w14:paraId="28257714" w14:textId="77777777" w:rsidR="00D1587D" w:rsidRDefault="00410D07">
      <w:pPr>
        <w:spacing w:line="286" w:lineRule="auto"/>
        <w:ind w:left="300" w:right="559" w:firstLine="360"/>
        <w:rPr>
          <w:sz w:val="20"/>
          <w:szCs w:val="20"/>
        </w:rPr>
      </w:pPr>
      <w:r>
        <w:rPr>
          <w:rFonts w:ascii="Arial" w:eastAsia="Arial" w:hAnsi="Arial" w:cs="Arial"/>
          <w:sz w:val="17"/>
          <w:szCs w:val="17"/>
        </w:rPr>
        <w:t>In determining our provision for income taxes, we consider permanent differences between book and tax income and statutory income tax rates. Our effective income tax rate is affected by items including changes in ta</w:t>
      </w:r>
      <w:r>
        <w:rPr>
          <w:rFonts w:ascii="Arial" w:eastAsia="Arial" w:hAnsi="Arial" w:cs="Arial"/>
          <w:sz w:val="17"/>
          <w:szCs w:val="17"/>
        </w:rPr>
        <w:t>x law, the tax jurisdiction of new stores or business ventures and the level of earnings.</w:t>
      </w:r>
    </w:p>
    <w:p w14:paraId="4056051F" w14:textId="77777777" w:rsidR="00D1587D" w:rsidRDefault="00D1587D">
      <w:pPr>
        <w:spacing w:line="57" w:lineRule="exact"/>
        <w:rPr>
          <w:sz w:val="20"/>
          <w:szCs w:val="20"/>
        </w:rPr>
      </w:pPr>
    </w:p>
    <w:p w14:paraId="3F0F3B59" w14:textId="77777777" w:rsidR="00D1587D" w:rsidRDefault="00410D07">
      <w:pPr>
        <w:spacing w:line="291" w:lineRule="auto"/>
        <w:ind w:left="300" w:right="379" w:firstLine="360"/>
        <w:rPr>
          <w:sz w:val="20"/>
          <w:szCs w:val="20"/>
        </w:rPr>
      </w:pPr>
      <w:r>
        <w:rPr>
          <w:rFonts w:ascii="Arial" w:eastAsia="Arial" w:hAnsi="Arial" w:cs="Arial"/>
          <w:sz w:val="16"/>
          <w:szCs w:val="16"/>
        </w:rPr>
        <w:t xml:space="preserve">We follow a two-step approach to recognize and measure uncertain tax positions. The first step is to evaluate the tax position for recognition by determining if the </w:t>
      </w:r>
      <w:r>
        <w:rPr>
          <w:rFonts w:ascii="Arial" w:eastAsia="Arial" w:hAnsi="Arial" w:cs="Arial"/>
          <w:sz w:val="16"/>
          <w:szCs w:val="16"/>
        </w:rPr>
        <w:t>available evidence indicates it is more likely than not that the position will be sustained on audit, including resolution of related appeals or litigation processes, if any. The second step is to measure the tax benefit as the largest amount which is more</w:t>
      </w:r>
      <w:r>
        <w:rPr>
          <w:rFonts w:ascii="Arial" w:eastAsia="Arial" w:hAnsi="Arial" w:cs="Arial"/>
          <w:sz w:val="16"/>
          <w:szCs w:val="16"/>
        </w:rPr>
        <w:t xml:space="preserve"> than 50% likely of being realized upon ultimate settlement. We consider many factors when evaluating and estimating our tax positions and tax benefits, which may require periodic adjustments and for which actual outcomes may differ from forecasted outcome</w:t>
      </w:r>
      <w:r>
        <w:rPr>
          <w:rFonts w:ascii="Arial" w:eastAsia="Arial" w:hAnsi="Arial" w:cs="Arial"/>
          <w:sz w:val="16"/>
          <w:szCs w:val="16"/>
        </w:rPr>
        <w:t>s. Our policy is to include interest and penalties related to uncertain tax positions in income tax expense.</w:t>
      </w:r>
    </w:p>
    <w:p w14:paraId="46648AF1" w14:textId="77777777" w:rsidR="00D1587D" w:rsidRDefault="00D1587D">
      <w:pPr>
        <w:spacing w:line="58" w:lineRule="exact"/>
        <w:rPr>
          <w:sz w:val="20"/>
          <w:szCs w:val="20"/>
        </w:rPr>
      </w:pPr>
    </w:p>
    <w:p w14:paraId="1A330F94" w14:textId="77777777" w:rsidR="00D1587D" w:rsidRDefault="00410D07">
      <w:pPr>
        <w:spacing w:line="287" w:lineRule="auto"/>
        <w:ind w:left="300" w:right="339" w:firstLine="360"/>
        <w:rPr>
          <w:sz w:val="20"/>
          <w:szCs w:val="20"/>
        </w:rPr>
      </w:pPr>
      <w:r>
        <w:rPr>
          <w:rFonts w:ascii="Arial" w:eastAsia="Arial" w:hAnsi="Arial" w:cs="Arial"/>
          <w:sz w:val="16"/>
          <w:szCs w:val="16"/>
        </w:rPr>
        <w:t xml:space="preserve">Historically, our income tax expense and deferred tax balances have been included in LB’s income tax returns. LB’s income tax returns, like </w:t>
      </w:r>
      <w:r>
        <w:rPr>
          <w:rFonts w:ascii="Arial" w:eastAsia="Arial" w:hAnsi="Arial" w:cs="Arial"/>
          <w:sz w:val="16"/>
          <w:szCs w:val="16"/>
        </w:rPr>
        <w:t>those of most companies, are periodically audited by domestic and foreign tax authorities. These audits include questions regarding tax filing positions, including the timing and amount of deductions and the allocation of income among various tax jurisdict</w:t>
      </w:r>
      <w:r>
        <w:rPr>
          <w:rFonts w:ascii="Arial" w:eastAsia="Arial" w:hAnsi="Arial" w:cs="Arial"/>
          <w:sz w:val="16"/>
          <w:szCs w:val="16"/>
        </w:rPr>
        <w:t>ions. At any one-time, multiple tax years are subject to audit by the various tax authorities. A number of years may elapse before a particular matter for which we have established an accrual is audited and fully resolved or clarified. We adjust our tax co</w:t>
      </w:r>
      <w:r>
        <w:rPr>
          <w:rFonts w:ascii="Arial" w:eastAsia="Arial" w:hAnsi="Arial" w:cs="Arial"/>
          <w:sz w:val="16"/>
          <w:szCs w:val="16"/>
        </w:rPr>
        <w:t>ntingencies accrual and income tax provision in the period in which matters are effectively settled with tax authorities at amounts different from its established accrual, when the statute of limitations expires for the relevant taxing authority to examine</w:t>
      </w:r>
      <w:r>
        <w:rPr>
          <w:rFonts w:ascii="Arial" w:eastAsia="Arial" w:hAnsi="Arial" w:cs="Arial"/>
          <w:sz w:val="16"/>
          <w:szCs w:val="16"/>
        </w:rPr>
        <w:t xml:space="preserve"> the tax position or when more information becomes available. We include our tax contingencies accrual, including accrued penalties and interest, in Other Long-term Liabilities on the Combined Balance Sheets unless the liability is expected to be paid with</w:t>
      </w:r>
      <w:r>
        <w:rPr>
          <w:rFonts w:ascii="Arial" w:eastAsia="Arial" w:hAnsi="Arial" w:cs="Arial"/>
          <w:sz w:val="16"/>
          <w:szCs w:val="16"/>
        </w:rPr>
        <w:t>in one year. Changes to the tax contingencies accrual, including accrued penalties and interest, are included in provision (benefit) for income taxes on the combined statements of income (loss).</w:t>
      </w:r>
    </w:p>
    <w:p w14:paraId="33E953F1" w14:textId="77777777" w:rsidR="00D1587D" w:rsidRDefault="00D1587D">
      <w:pPr>
        <w:spacing w:line="262" w:lineRule="exact"/>
        <w:rPr>
          <w:sz w:val="20"/>
          <w:szCs w:val="20"/>
        </w:rPr>
      </w:pPr>
    </w:p>
    <w:p w14:paraId="194620B7" w14:textId="77777777" w:rsidR="00D1587D" w:rsidRDefault="00410D07">
      <w:pPr>
        <w:ind w:left="660"/>
        <w:rPr>
          <w:sz w:val="20"/>
          <w:szCs w:val="20"/>
        </w:rPr>
      </w:pPr>
      <w:r>
        <w:rPr>
          <w:rFonts w:ascii="Arial" w:eastAsia="Arial" w:hAnsi="Arial" w:cs="Arial"/>
          <w:b/>
          <w:bCs/>
          <w:i/>
          <w:iCs/>
          <w:sz w:val="18"/>
          <w:szCs w:val="18"/>
        </w:rPr>
        <w:t>Revenue Recognition</w:t>
      </w:r>
    </w:p>
    <w:p w14:paraId="3261CFFE" w14:textId="77777777" w:rsidR="00D1587D" w:rsidRDefault="00D1587D">
      <w:pPr>
        <w:spacing w:line="117" w:lineRule="exact"/>
        <w:rPr>
          <w:sz w:val="20"/>
          <w:szCs w:val="20"/>
        </w:rPr>
      </w:pPr>
    </w:p>
    <w:p w14:paraId="6D750FFF" w14:textId="77777777" w:rsidR="00D1587D" w:rsidRDefault="00410D07">
      <w:pPr>
        <w:spacing w:line="271" w:lineRule="auto"/>
        <w:ind w:left="300" w:right="319" w:firstLine="360"/>
        <w:rPr>
          <w:sz w:val="20"/>
          <w:szCs w:val="20"/>
        </w:rPr>
      </w:pPr>
      <w:r>
        <w:rPr>
          <w:rFonts w:ascii="Arial" w:eastAsia="Arial" w:hAnsi="Arial" w:cs="Arial"/>
          <w:sz w:val="17"/>
          <w:szCs w:val="17"/>
        </w:rPr>
        <w:t xml:space="preserve">In 2018, we adopted ASC 606, </w:t>
      </w:r>
      <w:r>
        <w:rPr>
          <w:rFonts w:ascii="Arial" w:eastAsia="Arial" w:hAnsi="Arial" w:cs="Arial"/>
          <w:i/>
          <w:iCs/>
          <w:sz w:val="17"/>
          <w:szCs w:val="17"/>
        </w:rPr>
        <w:t>Revenue fr</w:t>
      </w:r>
      <w:r>
        <w:rPr>
          <w:rFonts w:ascii="Arial" w:eastAsia="Arial" w:hAnsi="Arial" w:cs="Arial"/>
          <w:i/>
          <w:iCs/>
          <w:sz w:val="17"/>
          <w:szCs w:val="17"/>
        </w:rPr>
        <w:t>om Contracts with Customers</w:t>
      </w:r>
      <w:r>
        <w:rPr>
          <w:rFonts w:ascii="Arial" w:eastAsia="Arial" w:hAnsi="Arial" w:cs="Arial"/>
          <w:sz w:val="17"/>
          <w:szCs w:val="17"/>
        </w:rPr>
        <w:t>, using the modified retrospective approach. We recognize revenue based on the amount we expect to receive when control of the goods or services is transferred to our customer. We recognize sales upon customer receipt of merchand</w:t>
      </w:r>
      <w:r>
        <w:rPr>
          <w:rFonts w:ascii="Arial" w:eastAsia="Arial" w:hAnsi="Arial" w:cs="Arial"/>
          <w:sz w:val="17"/>
          <w:szCs w:val="17"/>
        </w:rPr>
        <w:t>ise, which for direct channel revenues reflect an estimate of shipments that have not yet been received by our customer based on shipping terms and historical delivery times. Our shipping and handling revenues are included in net sales with the related cos</w:t>
      </w:r>
      <w:r>
        <w:rPr>
          <w:rFonts w:ascii="Arial" w:eastAsia="Arial" w:hAnsi="Arial" w:cs="Arial"/>
          <w:sz w:val="17"/>
          <w:szCs w:val="17"/>
        </w:rPr>
        <w:t>ts included in costs of goods sold, buying and occupancy in the combined statements of income (loss). We also provide a reserve for projected merchandise returns based on historical experience. Net sales exclude sales and other similar taxes collected from</w:t>
      </w:r>
      <w:r>
        <w:rPr>
          <w:rFonts w:ascii="Arial" w:eastAsia="Arial" w:hAnsi="Arial" w:cs="Arial"/>
          <w:sz w:val="17"/>
          <w:szCs w:val="17"/>
        </w:rPr>
        <w:t xml:space="preserve"> customers.</w:t>
      </w:r>
    </w:p>
    <w:p w14:paraId="3EF3A9D7" w14:textId="77777777" w:rsidR="00D1587D" w:rsidRDefault="00D1587D">
      <w:pPr>
        <w:spacing w:line="178" w:lineRule="exact"/>
        <w:rPr>
          <w:sz w:val="20"/>
          <w:szCs w:val="20"/>
        </w:rPr>
      </w:pPr>
    </w:p>
    <w:p w14:paraId="24C76EDB" w14:textId="77777777" w:rsidR="00D1587D" w:rsidRDefault="00410D07">
      <w:pPr>
        <w:ind w:right="19"/>
        <w:jc w:val="center"/>
        <w:rPr>
          <w:sz w:val="20"/>
          <w:szCs w:val="20"/>
        </w:rPr>
      </w:pPr>
      <w:r>
        <w:rPr>
          <w:rFonts w:ascii="Arial" w:eastAsia="Arial" w:hAnsi="Arial" w:cs="Arial"/>
          <w:sz w:val="18"/>
          <w:szCs w:val="18"/>
        </w:rPr>
        <w:t>88</w:t>
      </w:r>
    </w:p>
    <w:p w14:paraId="11F4818E" w14:textId="77777777" w:rsidR="00D1587D" w:rsidRDefault="00410D07">
      <w:pPr>
        <w:spacing w:line="20" w:lineRule="exact"/>
        <w:rPr>
          <w:sz w:val="20"/>
          <w:szCs w:val="20"/>
        </w:rPr>
      </w:pPr>
      <w:r>
        <w:rPr>
          <w:noProof/>
          <w:sz w:val="20"/>
          <w:szCs w:val="20"/>
        </w:rPr>
        <w:drawing>
          <wp:anchor distT="0" distB="0" distL="114300" distR="114300" simplePos="0" relativeHeight="251781120" behindDoc="1" locked="0" layoutInCell="0" allowOverlap="1" wp14:anchorId="7F945F56" wp14:editId="7A1A68EA">
            <wp:simplePos x="0" y="0"/>
            <wp:positionH relativeFrom="column">
              <wp:posOffset>-636905</wp:posOffset>
            </wp:positionH>
            <wp:positionV relativeFrom="paragraph">
              <wp:posOffset>126365</wp:posOffset>
            </wp:positionV>
            <wp:extent cx="6995160" cy="17145"/>
            <wp:effectExtent l="0" t="0" r="0"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C1AEEB0" w14:textId="77777777" w:rsidR="00D1587D" w:rsidRDefault="00D1587D">
      <w:pPr>
        <w:sectPr w:rsidR="00D1587D">
          <w:pgSz w:w="11900" w:h="16838"/>
          <w:pgMar w:top="265" w:right="1440" w:bottom="1440" w:left="1440" w:header="0" w:footer="0" w:gutter="0"/>
          <w:cols w:space="720" w:equalWidth="0">
            <w:col w:w="9019"/>
          </w:cols>
        </w:sectPr>
      </w:pPr>
    </w:p>
    <w:bookmarkStart w:id="346" w:name="page347"/>
    <w:bookmarkEnd w:id="346"/>
    <w:p w14:paraId="6043C86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36CEC6B" w14:textId="77777777" w:rsidR="00D1587D" w:rsidRDefault="00D1587D">
      <w:pPr>
        <w:spacing w:line="131" w:lineRule="exact"/>
        <w:rPr>
          <w:sz w:val="20"/>
          <w:szCs w:val="20"/>
        </w:rPr>
      </w:pPr>
    </w:p>
    <w:p w14:paraId="24B69126" w14:textId="77777777" w:rsidR="00D1587D" w:rsidRDefault="00410D07">
      <w:pPr>
        <w:spacing w:line="275" w:lineRule="auto"/>
        <w:ind w:left="300" w:right="319" w:firstLine="360"/>
        <w:rPr>
          <w:sz w:val="20"/>
          <w:szCs w:val="20"/>
        </w:rPr>
      </w:pPr>
      <w:r>
        <w:rPr>
          <w:rFonts w:ascii="Arial" w:eastAsia="Arial" w:hAnsi="Arial" w:cs="Arial"/>
          <w:sz w:val="17"/>
          <w:szCs w:val="17"/>
        </w:rPr>
        <w:t>We offer certain loyalty programs that allow customers to earn points based on purchasing activity. As customers accumulate points and reach point thresholds, they can use t</w:t>
      </w:r>
      <w:r>
        <w:rPr>
          <w:rFonts w:ascii="Arial" w:eastAsia="Arial" w:hAnsi="Arial" w:cs="Arial"/>
          <w:sz w:val="17"/>
          <w:szCs w:val="17"/>
        </w:rPr>
        <w:t>he points to purchase merchandise in stores or online. We allocate revenue to points earned on qualifying purchases and defer recognition until the points are redeemed. The amount of revenue deferred is based on the relative stand-alone selling price metho</w:t>
      </w:r>
      <w:r>
        <w:rPr>
          <w:rFonts w:ascii="Arial" w:eastAsia="Arial" w:hAnsi="Arial" w:cs="Arial"/>
          <w:sz w:val="17"/>
          <w:szCs w:val="17"/>
        </w:rPr>
        <w:t>d, which includes an estimate for points not expected to be redeemed based on historical experience.</w:t>
      </w:r>
    </w:p>
    <w:p w14:paraId="0AEB3533" w14:textId="77777777" w:rsidR="00D1587D" w:rsidRDefault="00D1587D">
      <w:pPr>
        <w:spacing w:line="68" w:lineRule="exact"/>
        <w:rPr>
          <w:sz w:val="20"/>
          <w:szCs w:val="20"/>
        </w:rPr>
      </w:pPr>
    </w:p>
    <w:p w14:paraId="7C64A98F" w14:textId="77777777" w:rsidR="00D1587D" w:rsidRDefault="00410D07">
      <w:pPr>
        <w:spacing w:line="272" w:lineRule="auto"/>
        <w:ind w:left="300" w:right="319" w:firstLine="360"/>
        <w:rPr>
          <w:sz w:val="20"/>
          <w:szCs w:val="20"/>
        </w:rPr>
      </w:pPr>
      <w:r>
        <w:rPr>
          <w:rFonts w:ascii="Arial" w:eastAsia="Arial" w:hAnsi="Arial" w:cs="Arial"/>
          <w:sz w:val="17"/>
          <w:szCs w:val="17"/>
        </w:rPr>
        <w:t xml:space="preserve">We sell gift cards with no expiration dates to customers. We do not charge administrative fees on unused gift cards. We recognize revenue from gift </w:t>
      </w:r>
      <w:r>
        <w:rPr>
          <w:rFonts w:ascii="Arial" w:eastAsia="Arial" w:hAnsi="Arial" w:cs="Arial"/>
          <w:sz w:val="17"/>
          <w:szCs w:val="17"/>
        </w:rPr>
        <w:t>cards when they are redeemed by the customer. In addition, we recognize revenue on unredeemed gift cards where the likelihood of the gift card being redeemed is remote and there is no legal obligation to remit the unredeemed gift cards to relevant jurisdic</w:t>
      </w:r>
      <w:r>
        <w:rPr>
          <w:rFonts w:ascii="Arial" w:eastAsia="Arial" w:hAnsi="Arial" w:cs="Arial"/>
          <w:sz w:val="17"/>
          <w:szCs w:val="17"/>
        </w:rPr>
        <w:t xml:space="preserve">tions (gift card breakage). Gift card breakage revenue is recognized in proportion, and over the same period, as actual gift card redemptions. We determine the gift card breakage rate based on historical redemption patterns. Gift card breakage is included </w:t>
      </w:r>
      <w:r>
        <w:rPr>
          <w:rFonts w:ascii="Arial" w:eastAsia="Arial" w:hAnsi="Arial" w:cs="Arial"/>
          <w:sz w:val="17"/>
          <w:szCs w:val="17"/>
        </w:rPr>
        <w:t>in net sales in the combined statements of income (loss).</w:t>
      </w:r>
    </w:p>
    <w:p w14:paraId="3CC9D074" w14:textId="77777777" w:rsidR="00D1587D" w:rsidRDefault="00D1587D">
      <w:pPr>
        <w:spacing w:line="69" w:lineRule="exact"/>
        <w:rPr>
          <w:sz w:val="20"/>
          <w:szCs w:val="20"/>
        </w:rPr>
      </w:pPr>
    </w:p>
    <w:p w14:paraId="254ED593" w14:textId="77777777" w:rsidR="00D1587D" w:rsidRDefault="00410D07">
      <w:pPr>
        <w:spacing w:line="259" w:lineRule="auto"/>
        <w:ind w:left="300" w:right="379" w:firstLine="360"/>
        <w:rPr>
          <w:sz w:val="20"/>
          <w:szCs w:val="20"/>
        </w:rPr>
      </w:pPr>
      <w:r>
        <w:rPr>
          <w:rFonts w:ascii="Arial" w:eastAsia="Arial" w:hAnsi="Arial" w:cs="Arial"/>
          <w:sz w:val="18"/>
          <w:szCs w:val="18"/>
        </w:rPr>
        <w:t xml:space="preserve">Revenue earned in connection with the Victoria’s Secret U.S. private label credit card arrangement is primarily recognized based on credit card sales and usage, and is included in net sales in the </w:t>
      </w:r>
      <w:r>
        <w:rPr>
          <w:rFonts w:ascii="Arial" w:eastAsia="Arial" w:hAnsi="Arial" w:cs="Arial"/>
          <w:sz w:val="18"/>
          <w:szCs w:val="18"/>
        </w:rPr>
        <w:t>combined statements of income (loss). We recognized Net Sales of $135 million, $194 million and $187 million for 2020, 2019 and 2018, respectively, related to our private label credit card arrangement.</w:t>
      </w:r>
    </w:p>
    <w:p w14:paraId="5C641D4D" w14:textId="77777777" w:rsidR="00D1587D" w:rsidRDefault="00D1587D">
      <w:pPr>
        <w:spacing w:line="79" w:lineRule="exact"/>
        <w:rPr>
          <w:sz w:val="20"/>
          <w:szCs w:val="20"/>
        </w:rPr>
      </w:pPr>
    </w:p>
    <w:p w14:paraId="07C4F5F5" w14:textId="77777777" w:rsidR="00D1587D" w:rsidRDefault="00410D07">
      <w:pPr>
        <w:spacing w:line="279" w:lineRule="auto"/>
        <w:ind w:left="300" w:right="339" w:firstLine="360"/>
        <w:rPr>
          <w:sz w:val="20"/>
          <w:szCs w:val="20"/>
        </w:rPr>
      </w:pPr>
      <w:r>
        <w:rPr>
          <w:rFonts w:ascii="Arial" w:eastAsia="Arial" w:hAnsi="Arial" w:cs="Arial"/>
          <w:sz w:val="17"/>
          <w:szCs w:val="17"/>
        </w:rPr>
        <w:t>We also recognize revenues associated with franchise,</w:t>
      </w:r>
      <w:r>
        <w:rPr>
          <w:rFonts w:ascii="Arial" w:eastAsia="Arial" w:hAnsi="Arial" w:cs="Arial"/>
          <w:sz w:val="17"/>
          <w:szCs w:val="17"/>
        </w:rPr>
        <w:t xml:space="preserve"> license, wholesale and sourcing arrangements. Revenue recognized under franchise and license arrangements generally consists of royalties earned and recognized upon sale of merchandise by franchise and license partners to retail customers. Revenue is gene</w:t>
      </w:r>
      <w:r>
        <w:rPr>
          <w:rFonts w:ascii="Arial" w:eastAsia="Arial" w:hAnsi="Arial" w:cs="Arial"/>
          <w:sz w:val="17"/>
          <w:szCs w:val="17"/>
        </w:rPr>
        <w:t>rally recognized under wholesale and sourcing arrangements at the time the title passes to the partner.</w:t>
      </w:r>
    </w:p>
    <w:p w14:paraId="2A1C6975" w14:textId="77777777" w:rsidR="00D1587D" w:rsidRDefault="00D1587D">
      <w:pPr>
        <w:spacing w:line="329" w:lineRule="exact"/>
        <w:rPr>
          <w:sz w:val="20"/>
          <w:szCs w:val="20"/>
        </w:rPr>
      </w:pPr>
    </w:p>
    <w:p w14:paraId="1F0682D9" w14:textId="77777777" w:rsidR="00D1587D" w:rsidRDefault="00410D07">
      <w:pPr>
        <w:ind w:left="300"/>
        <w:rPr>
          <w:sz w:val="20"/>
          <w:szCs w:val="20"/>
        </w:rPr>
      </w:pPr>
      <w:r>
        <w:rPr>
          <w:rFonts w:ascii="Arial" w:eastAsia="Arial" w:hAnsi="Arial" w:cs="Arial"/>
          <w:b/>
          <w:bCs/>
          <w:sz w:val="18"/>
          <w:szCs w:val="18"/>
        </w:rPr>
        <w:t>Recently Issued and Adopted Accounting Standards</w:t>
      </w:r>
    </w:p>
    <w:p w14:paraId="57D69466" w14:textId="77777777" w:rsidR="00D1587D" w:rsidRDefault="00D1587D">
      <w:pPr>
        <w:spacing w:line="121" w:lineRule="exact"/>
        <w:rPr>
          <w:sz w:val="20"/>
          <w:szCs w:val="20"/>
        </w:rPr>
      </w:pPr>
    </w:p>
    <w:p w14:paraId="5E07F787" w14:textId="77777777" w:rsidR="00D1587D" w:rsidRDefault="00410D07">
      <w:pPr>
        <w:spacing w:line="263" w:lineRule="auto"/>
        <w:ind w:left="300" w:right="919" w:firstLine="360"/>
        <w:rPr>
          <w:sz w:val="20"/>
          <w:szCs w:val="20"/>
        </w:rPr>
      </w:pPr>
      <w:r>
        <w:rPr>
          <w:rFonts w:ascii="Arial" w:eastAsia="Arial" w:hAnsi="Arial" w:cs="Arial"/>
          <w:sz w:val="18"/>
          <w:szCs w:val="18"/>
        </w:rPr>
        <w:t>Refer to Note 1 to our audited combined financial statements and unaudited interim combined financial</w:t>
      </w:r>
      <w:r>
        <w:rPr>
          <w:rFonts w:ascii="Arial" w:eastAsia="Arial" w:hAnsi="Arial" w:cs="Arial"/>
          <w:sz w:val="18"/>
          <w:szCs w:val="18"/>
        </w:rPr>
        <w:t xml:space="preserve"> statements included elsewhere in this information statement for discussion of recently issued and adopted accounting standards.</w:t>
      </w:r>
    </w:p>
    <w:p w14:paraId="72AFD426" w14:textId="77777777" w:rsidR="00D1587D" w:rsidRDefault="00D1587D">
      <w:pPr>
        <w:spacing w:line="184" w:lineRule="exact"/>
        <w:rPr>
          <w:sz w:val="20"/>
          <w:szCs w:val="20"/>
        </w:rPr>
      </w:pPr>
    </w:p>
    <w:p w14:paraId="5E6ABB66" w14:textId="77777777" w:rsidR="00D1587D" w:rsidRDefault="00410D07">
      <w:pPr>
        <w:ind w:right="19"/>
        <w:jc w:val="center"/>
        <w:rPr>
          <w:sz w:val="20"/>
          <w:szCs w:val="20"/>
        </w:rPr>
      </w:pPr>
      <w:r>
        <w:rPr>
          <w:rFonts w:ascii="Arial" w:eastAsia="Arial" w:hAnsi="Arial" w:cs="Arial"/>
          <w:sz w:val="18"/>
          <w:szCs w:val="18"/>
        </w:rPr>
        <w:t>89</w:t>
      </w:r>
    </w:p>
    <w:p w14:paraId="3FA4332A" w14:textId="77777777" w:rsidR="00D1587D" w:rsidRDefault="00410D07">
      <w:pPr>
        <w:spacing w:line="20" w:lineRule="exact"/>
        <w:rPr>
          <w:sz w:val="20"/>
          <w:szCs w:val="20"/>
        </w:rPr>
      </w:pPr>
      <w:r>
        <w:rPr>
          <w:noProof/>
          <w:sz w:val="20"/>
          <w:szCs w:val="20"/>
        </w:rPr>
        <w:drawing>
          <wp:anchor distT="0" distB="0" distL="114300" distR="114300" simplePos="0" relativeHeight="251782144" behindDoc="1" locked="0" layoutInCell="0" allowOverlap="1" wp14:anchorId="6237D0D1" wp14:editId="1252CCDA">
            <wp:simplePos x="0" y="0"/>
            <wp:positionH relativeFrom="column">
              <wp:posOffset>-636905</wp:posOffset>
            </wp:positionH>
            <wp:positionV relativeFrom="paragraph">
              <wp:posOffset>126365</wp:posOffset>
            </wp:positionV>
            <wp:extent cx="6995160" cy="17145"/>
            <wp:effectExtent l="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94B9672" w14:textId="77777777" w:rsidR="00D1587D" w:rsidRDefault="00D1587D">
      <w:pPr>
        <w:sectPr w:rsidR="00D1587D">
          <w:pgSz w:w="11900" w:h="16838"/>
          <w:pgMar w:top="265" w:right="1440" w:bottom="1440" w:left="1440" w:header="0" w:footer="0" w:gutter="0"/>
          <w:cols w:space="720" w:equalWidth="0">
            <w:col w:w="9019"/>
          </w:cols>
        </w:sectPr>
      </w:pPr>
    </w:p>
    <w:bookmarkStart w:id="347" w:name="page348"/>
    <w:bookmarkEnd w:id="347"/>
    <w:p w14:paraId="03D7522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6769719" w14:textId="77777777" w:rsidR="00D1587D" w:rsidRDefault="00D1587D">
      <w:pPr>
        <w:spacing w:line="127" w:lineRule="exact"/>
        <w:rPr>
          <w:sz w:val="20"/>
          <w:szCs w:val="20"/>
        </w:rPr>
      </w:pPr>
    </w:p>
    <w:p w14:paraId="3E8F957D" w14:textId="77777777" w:rsidR="00D1587D" w:rsidRDefault="00410D07">
      <w:pPr>
        <w:jc w:val="center"/>
        <w:rPr>
          <w:sz w:val="20"/>
          <w:szCs w:val="20"/>
        </w:rPr>
      </w:pPr>
      <w:r>
        <w:rPr>
          <w:rFonts w:ascii="Arial" w:eastAsia="Arial" w:hAnsi="Arial" w:cs="Arial"/>
          <w:b/>
          <w:bCs/>
          <w:sz w:val="18"/>
          <w:szCs w:val="18"/>
        </w:rPr>
        <w:t>BUSINESS</w:t>
      </w:r>
    </w:p>
    <w:p w14:paraId="2566BC8C" w14:textId="77777777" w:rsidR="00D1587D" w:rsidRDefault="00D1587D">
      <w:pPr>
        <w:spacing w:line="266" w:lineRule="exact"/>
        <w:rPr>
          <w:sz w:val="20"/>
          <w:szCs w:val="20"/>
        </w:rPr>
      </w:pPr>
    </w:p>
    <w:p w14:paraId="715BFC0E" w14:textId="77777777" w:rsidR="00D1587D" w:rsidRDefault="00410D07">
      <w:pPr>
        <w:ind w:left="300"/>
        <w:rPr>
          <w:sz w:val="20"/>
          <w:szCs w:val="20"/>
        </w:rPr>
      </w:pPr>
      <w:r>
        <w:rPr>
          <w:rFonts w:ascii="Arial" w:eastAsia="Arial" w:hAnsi="Arial" w:cs="Arial"/>
          <w:b/>
          <w:bCs/>
          <w:sz w:val="18"/>
          <w:szCs w:val="18"/>
        </w:rPr>
        <w:t>Overview</w:t>
      </w:r>
    </w:p>
    <w:p w14:paraId="70E1A3F0" w14:textId="77777777" w:rsidR="00D1587D" w:rsidRDefault="00D1587D">
      <w:pPr>
        <w:spacing w:line="121" w:lineRule="exact"/>
        <w:rPr>
          <w:sz w:val="20"/>
          <w:szCs w:val="20"/>
        </w:rPr>
      </w:pPr>
    </w:p>
    <w:p w14:paraId="1B5B1BF6" w14:textId="77777777" w:rsidR="00D1587D" w:rsidRDefault="00410D07">
      <w:pPr>
        <w:spacing w:line="273" w:lineRule="auto"/>
        <w:ind w:left="300" w:right="299" w:firstLine="360"/>
        <w:rPr>
          <w:sz w:val="20"/>
          <w:szCs w:val="20"/>
        </w:rPr>
      </w:pPr>
      <w:r>
        <w:rPr>
          <w:rFonts w:ascii="Arial" w:eastAsia="Arial" w:hAnsi="Arial" w:cs="Arial"/>
          <w:sz w:val="17"/>
          <w:szCs w:val="17"/>
        </w:rPr>
        <w:t xml:space="preserve">Victoria’s Secret is an iconic </w:t>
      </w:r>
      <w:r>
        <w:rPr>
          <w:rFonts w:ascii="Arial" w:eastAsia="Arial" w:hAnsi="Arial" w:cs="Arial"/>
          <w:sz w:val="17"/>
          <w:szCs w:val="17"/>
        </w:rPr>
        <w:t xml:space="preserve">global brand of women’s intimate and other apparel, personal care and beauty products. We sell our products through two brands, Victoria’s Secret and PINK. Victoria’s Secret is a category-defining global lingerie brand with a leading market position and a </w:t>
      </w:r>
      <w:r>
        <w:rPr>
          <w:rFonts w:ascii="Arial" w:eastAsia="Arial" w:hAnsi="Arial" w:cs="Arial"/>
          <w:sz w:val="17"/>
          <w:szCs w:val="17"/>
        </w:rPr>
        <w:t xml:space="preserve">rich, 40-year history of serving women across the globe. PINK is a lifestyle brand for the college-oriented customer, built around a strong intimates core. We also sell beauty products under both the Victoria’s Secret and PINK brands. Together, Victoria’s </w:t>
      </w:r>
      <w:r>
        <w:rPr>
          <w:rFonts w:ascii="Arial" w:eastAsia="Arial" w:hAnsi="Arial" w:cs="Arial"/>
          <w:sz w:val="17"/>
          <w:szCs w:val="17"/>
        </w:rPr>
        <w:t>Secret, PINK and Victoria’s Secret Beauty support, inspire and celebrate women through every phase of their life.</w:t>
      </w:r>
    </w:p>
    <w:p w14:paraId="114C63E4" w14:textId="77777777" w:rsidR="00D1587D" w:rsidRDefault="00D1587D">
      <w:pPr>
        <w:spacing w:line="70" w:lineRule="exact"/>
        <w:rPr>
          <w:sz w:val="20"/>
          <w:szCs w:val="20"/>
        </w:rPr>
      </w:pPr>
    </w:p>
    <w:p w14:paraId="3AA0EC28" w14:textId="77777777" w:rsidR="00D1587D" w:rsidRDefault="00410D07">
      <w:pPr>
        <w:spacing w:line="255" w:lineRule="auto"/>
        <w:ind w:left="300" w:right="359" w:firstLine="360"/>
        <w:rPr>
          <w:sz w:val="20"/>
          <w:szCs w:val="20"/>
        </w:rPr>
      </w:pPr>
      <w:r>
        <w:rPr>
          <w:rFonts w:ascii="Arial" w:eastAsia="Arial" w:hAnsi="Arial" w:cs="Arial"/>
          <w:sz w:val="18"/>
          <w:szCs w:val="18"/>
        </w:rPr>
        <w:t xml:space="preserve">Victoria’s Secret and PINK merchandise is sold online through our e-commerce platform, through company-operated retail stores located in the </w:t>
      </w:r>
      <w:r>
        <w:rPr>
          <w:rFonts w:ascii="Arial" w:eastAsia="Arial" w:hAnsi="Arial" w:cs="Arial"/>
          <w:sz w:val="18"/>
          <w:szCs w:val="18"/>
        </w:rPr>
        <w:t>U.S., Canada and Greater China, and through international stores and websites operated by partners under franchise, license, wholesale and joint venture arrangements. We have a presence in over 70 countries and generated approximately $5.4 billion in globa</w:t>
      </w:r>
      <w:r>
        <w:rPr>
          <w:rFonts w:ascii="Arial" w:eastAsia="Arial" w:hAnsi="Arial" w:cs="Arial"/>
          <w:sz w:val="18"/>
          <w:szCs w:val="18"/>
        </w:rPr>
        <w:t>l sales in 2020 across all channels. We believe we benefit from global brand awareness, a wide and compelling product assortment and a powerful, deep connection with our customers.</w:t>
      </w:r>
    </w:p>
    <w:p w14:paraId="4A909B90" w14:textId="77777777" w:rsidR="00D1587D" w:rsidRDefault="00D1587D">
      <w:pPr>
        <w:spacing w:line="84" w:lineRule="exact"/>
        <w:rPr>
          <w:sz w:val="20"/>
          <w:szCs w:val="20"/>
        </w:rPr>
      </w:pPr>
    </w:p>
    <w:p w14:paraId="28ACC5C5" w14:textId="77777777" w:rsidR="00D1587D" w:rsidRDefault="00410D07">
      <w:pPr>
        <w:spacing w:line="271" w:lineRule="auto"/>
        <w:ind w:left="300" w:right="339" w:firstLine="360"/>
        <w:rPr>
          <w:sz w:val="20"/>
          <w:szCs w:val="20"/>
        </w:rPr>
      </w:pPr>
      <w:r>
        <w:rPr>
          <w:rFonts w:ascii="Arial" w:eastAsia="Arial" w:hAnsi="Arial" w:cs="Arial"/>
          <w:sz w:val="17"/>
          <w:szCs w:val="17"/>
        </w:rPr>
        <w:t xml:space="preserve">Our 867 North American stores as of May 1, 2021 represent the majority of </w:t>
      </w:r>
      <w:r>
        <w:rPr>
          <w:rFonts w:ascii="Arial" w:eastAsia="Arial" w:hAnsi="Arial" w:cs="Arial"/>
          <w:sz w:val="17"/>
          <w:szCs w:val="17"/>
        </w:rPr>
        <w:t>our business and, despite the impact of the global COVID-19 pandemic, our North American stores business generated approximately 50% of our revenue in 2020. In addition to our physical stores, our customer-centric digital platform – including our social me</w:t>
      </w:r>
      <w:r>
        <w:rPr>
          <w:rFonts w:ascii="Arial" w:eastAsia="Arial" w:hAnsi="Arial" w:cs="Arial"/>
          <w:sz w:val="17"/>
          <w:szCs w:val="17"/>
        </w:rPr>
        <w:t>dia following, our websites and our mobile applications – allows us to connect to our customers and communicate with them anytime and anywhere. Sales in our direct channel increased 31% to $2.2 billion in 2020 from $1.7 billion in 2019. We and our partners</w:t>
      </w:r>
      <w:r>
        <w:rPr>
          <w:rFonts w:ascii="Arial" w:eastAsia="Arial" w:hAnsi="Arial" w:cs="Arial"/>
          <w:sz w:val="17"/>
          <w:szCs w:val="17"/>
        </w:rPr>
        <w:t xml:space="preserve"> operated 520 stores outside of North America as of May 1, 2021, including 62 company-operated stores in Greater China and 458 stores internationally outside of China, which are operated by partners under franchise, license, wholesale and joint venture arr</w:t>
      </w:r>
      <w:r>
        <w:rPr>
          <w:rFonts w:ascii="Arial" w:eastAsia="Arial" w:hAnsi="Arial" w:cs="Arial"/>
          <w:sz w:val="17"/>
          <w:szCs w:val="17"/>
        </w:rPr>
        <w:t>angements.</w:t>
      </w:r>
    </w:p>
    <w:p w14:paraId="072BE3F9" w14:textId="77777777" w:rsidR="00D1587D" w:rsidRDefault="00D1587D">
      <w:pPr>
        <w:spacing w:line="70" w:lineRule="exact"/>
        <w:rPr>
          <w:sz w:val="20"/>
          <w:szCs w:val="20"/>
        </w:rPr>
      </w:pPr>
    </w:p>
    <w:p w14:paraId="39D56CEC" w14:textId="77777777" w:rsidR="00D1587D" w:rsidRDefault="00410D07">
      <w:pPr>
        <w:spacing w:line="291" w:lineRule="auto"/>
        <w:ind w:left="300" w:right="319" w:firstLine="360"/>
        <w:rPr>
          <w:sz w:val="20"/>
          <w:szCs w:val="20"/>
        </w:rPr>
      </w:pPr>
      <w:r>
        <w:rPr>
          <w:rFonts w:ascii="Arial" w:eastAsia="Arial" w:hAnsi="Arial" w:cs="Arial"/>
          <w:sz w:val="16"/>
          <w:szCs w:val="16"/>
        </w:rPr>
        <w:t>Our brands operate across several categories and appeal to a broad and inclusive customer base. We are focused on maintaining our reputation for beautiful products known for comfort, quality and fit, while also expanding our assortment and size</w:t>
      </w:r>
      <w:r>
        <w:rPr>
          <w:rFonts w:ascii="Arial" w:eastAsia="Arial" w:hAnsi="Arial" w:cs="Arial"/>
          <w:sz w:val="16"/>
          <w:szCs w:val="16"/>
        </w:rPr>
        <w:t xml:space="preserve"> range to broaden our customer offering. We target global markets across demographic and economic spectrums. We leverage our brands, as well as our expertise in product design and innovation, to create merchandise women love and marketing campaigns that re</w:t>
      </w:r>
      <w:r>
        <w:rPr>
          <w:rFonts w:ascii="Arial" w:eastAsia="Arial" w:hAnsi="Arial" w:cs="Arial"/>
          <w:sz w:val="16"/>
          <w:szCs w:val="16"/>
        </w:rPr>
        <w:t>sonate. We are focused on aligning our brand positioning, product assortment and values to those of our customers. We believe our global brand awareness creates a platform for us to further strengthen our brands, enhance customer loyalty and grow our custo</w:t>
      </w:r>
      <w:r>
        <w:rPr>
          <w:rFonts w:ascii="Arial" w:eastAsia="Arial" w:hAnsi="Arial" w:cs="Arial"/>
          <w:sz w:val="16"/>
          <w:szCs w:val="16"/>
        </w:rPr>
        <w:t>mer base.</w:t>
      </w:r>
    </w:p>
    <w:p w14:paraId="4BC06CAE" w14:textId="77777777" w:rsidR="00D1587D" w:rsidRDefault="00D1587D">
      <w:pPr>
        <w:spacing w:line="58" w:lineRule="exact"/>
        <w:rPr>
          <w:sz w:val="20"/>
          <w:szCs w:val="20"/>
        </w:rPr>
      </w:pPr>
    </w:p>
    <w:p w14:paraId="30162BF9" w14:textId="77777777" w:rsidR="00D1587D" w:rsidRDefault="00410D07">
      <w:pPr>
        <w:spacing w:line="289" w:lineRule="auto"/>
        <w:ind w:left="300" w:right="439" w:firstLine="360"/>
        <w:rPr>
          <w:sz w:val="20"/>
          <w:szCs w:val="20"/>
        </w:rPr>
      </w:pPr>
      <w:r>
        <w:rPr>
          <w:rFonts w:ascii="Arial" w:eastAsia="Arial" w:hAnsi="Arial" w:cs="Arial"/>
          <w:sz w:val="16"/>
          <w:szCs w:val="16"/>
        </w:rPr>
        <w:t>Although recent performance has improved significantly, we experienced challenging business results in 2019 and 2020. In 2019, net sales decreased 7% and our gross profit decreased 23% compared to the prior year period as our merchandise and bra</w:t>
      </w:r>
      <w:r>
        <w:rPr>
          <w:rFonts w:ascii="Arial" w:eastAsia="Arial" w:hAnsi="Arial" w:cs="Arial"/>
          <w:sz w:val="16"/>
          <w:szCs w:val="16"/>
        </w:rPr>
        <w:t>nd positioning failed to resonate with our customers. In 2019, we recognized a net loss of $897 million which included a $720 million charge related to the impairment of goodwill. In 2020, our business operations and financial performance were materially i</w:t>
      </w:r>
      <w:r>
        <w:rPr>
          <w:rFonts w:ascii="Arial" w:eastAsia="Arial" w:hAnsi="Arial" w:cs="Arial"/>
          <w:sz w:val="16"/>
          <w:szCs w:val="16"/>
        </w:rPr>
        <w:t>mpacted by the COVID-19 pandemic. All of our stores in North America were closed on March 17, 2020, but we were able to re-open the majority of our stores as of the beginning of the third quarter of 2020. Although sales in our direct channel grew 31% in 20</w:t>
      </w:r>
      <w:r>
        <w:rPr>
          <w:rFonts w:ascii="Arial" w:eastAsia="Arial" w:hAnsi="Arial" w:cs="Arial"/>
          <w:sz w:val="16"/>
          <w:szCs w:val="16"/>
        </w:rPr>
        <w:t>20, the closure of, and restrictions in operating, our stores led to a decrease in net sales of 28% in 2020, and a decrease in gross profit of 24%, each compared to the prior year period, and a net loss of $72 million.</w:t>
      </w:r>
    </w:p>
    <w:p w14:paraId="5DA1C459" w14:textId="77777777" w:rsidR="00D1587D" w:rsidRDefault="00D1587D">
      <w:pPr>
        <w:spacing w:line="58" w:lineRule="exact"/>
        <w:rPr>
          <w:sz w:val="20"/>
          <w:szCs w:val="20"/>
        </w:rPr>
      </w:pPr>
    </w:p>
    <w:p w14:paraId="21F682D2" w14:textId="77777777" w:rsidR="00D1587D" w:rsidRDefault="00410D07">
      <w:pPr>
        <w:spacing w:line="311" w:lineRule="auto"/>
        <w:ind w:left="300" w:right="579" w:firstLine="360"/>
        <w:jc w:val="both"/>
        <w:rPr>
          <w:sz w:val="20"/>
          <w:szCs w:val="20"/>
        </w:rPr>
      </w:pPr>
      <w:r>
        <w:rPr>
          <w:rFonts w:ascii="Arial" w:eastAsia="Arial" w:hAnsi="Arial" w:cs="Arial"/>
          <w:sz w:val="16"/>
          <w:szCs w:val="16"/>
        </w:rPr>
        <w:t xml:space="preserve">In response to the COVID-19 </w:t>
      </w:r>
      <w:r>
        <w:rPr>
          <w:rFonts w:ascii="Arial" w:eastAsia="Arial" w:hAnsi="Arial" w:cs="Arial"/>
          <w:sz w:val="16"/>
          <w:szCs w:val="16"/>
        </w:rPr>
        <w:t>pandemic and in order to improve business performance, we launched a profit improvement plan beginning in the third quarter of 2020. We began to see performance improve in the third and fourth quarter of 2020 and, most recently, we reported net income of $</w:t>
      </w:r>
      <w:r>
        <w:rPr>
          <w:rFonts w:ascii="Arial" w:eastAsia="Arial" w:hAnsi="Arial" w:cs="Arial"/>
          <w:sz w:val="16"/>
          <w:szCs w:val="16"/>
        </w:rPr>
        <w:t>174 million for the first quarter of 2021.</w:t>
      </w:r>
    </w:p>
    <w:p w14:paraId="090568C4" w14:textId="77777777" w:rsidR="00D1587D" w:rsidRDefault="00D1587D">
      <w:pPr>
        <w:spacing w:line="41" w:lineRule="exact"/>
        <w:rPr>
          <w:sz w:val="20"/>
          <w:szCs w:val="20"/>
        </w:rPr>
      </w:pPr>
    </w:p>
    <w:p w14:paraId="2F90DCB4" w14:textId="77777777" w:rsidR="00D1587D" w:rsidRDefault="00410D07">
      <w:pPr>
        <w:spacing w:line="311" w:lineRule="auto"/>
        <w:ind w:left="300" w:right="599" w:firstLine="360"/>
        <w:rPr>
          <w:sz w:val="20"/>
          <w:szCs w:val="20"/>
        </w:rPr>
      </w:pPr>
      <w:r>
        <w:rPr>
          <w:rFonts w:ascii="Arial" w:eastAsia="Arial" w:hAnsi="Arial" w:cs="Arial"/>
          <w:sz w:val="16"/>
          <w:szCs w:val="16"/>
        </w:rPr>
        <w:t>Our highly experienced management team is executing our strategy to continue to improve the performance and profitability of the business and we believe there are opportunities for further improvement, which will</w:t>
      </w:r>
      <w:r>
        <w:rPr>
          <w:rFonts w:ascii="Arial" w:eastAsia="Arial" w:hAnsi="Arial" w:cs="Arial"/>
          <w:sz w:val="16"/>
          <w:szCs w:val="16"/>
        </w:rPr>
        <w:t xml:space="preserve"> be driven by delivering a best-in-class product, brand and retail experience to our customers.</w:t>
      </w:r>
    </w:p>
    <w:p w14:paraId="636FB364" w14:textId="77777777" w:rsidR="00D1587D" w:rsidRDefault="00D1587D">
      <w:pPr>
        <w:spacing w:line="41" w:lineRule="exact"/>
        <w:rPr>
          <w:sz w:val="20"/>
          <w:szCs w:val="20"/>
        </w:rPr>
      </w:pPr>
    </w:p>
    <w:p w14:paraId="4F41E08A" w14:textId="77777777" w:rsidR="00D1587D" w:rsidRDefault="00410D07">
      <w:pPr>
        <w:spacing w:line="296" w:lineRule="auto"/>
        <w:ind w:left="300" w:right="419" w:firstLine="360"/>
        <w:rPr>
          <w:sz w:val="20"/>
          <w:szCs w:val="20"/>
        </w:rPr>
      </w:pPr>
      <w:r>
        <w:rPr>
          <w:rFonts w:ascii="Arial" w:eastAsia="Arial" w:hAnsi="Arial" w:cs="Arial"/>
          <w:sz w:val="16"/>
          <w:szCs w:val="16"/>
        </w:rPr>
        <w:t>VS is headquartered in Reynoldsburg, Ohio. Following the Separation, we will become an independent, publicly traded company led by a highly experienced managem</w:t>
      </w:r>
      <w:r>
        <w:rPr>
          <w:rFonts w:ascii="Arial" w:eastAsia="Arial" w:hAnsi="Arial" w:cs="Arial"/>
          <w:sz w:val="16"/>
          <w:szCs w:val="16"/>
        </w:rPr>
        <w:t xml:space="preserve">ent team fully dedicated to leveraging our capabilities and driving our strategic initiatives. We will also have increased flexibility to deploy our free cash flow towards our operating and capital allocation priorities. In connection with the Separation, </w:t>
      </w:r>
      <w:r>
        <w:rPr>
          <w:rFonts w:ascii="Arial" w:eastAsia="Arial" w:hAnsi="Arial" w:cs="Arial"/>
          <w:sz w:val="16"/>
          <w:szCs w:val="16"/>
        </w:rPr>
        <w:t>we expect to incur up to $1.0 billion of new debt from senior notes and/or term loan facilities, the proceeds of which we intend to</w:t>
      </w:r>
    </w:p>
    <w:p w14:paraId="2D4FE67A" w14:textId="77777777" w:rsidR="00D1587D" w:rsidRDefault="00D1587D">
      <w:pPr>
        <w:spacing w:line="161" w:lineRule="exact"/>
        <w:rPr>
          <w:sz w:val="20"/>
          <w:szCs w:val="20"/>
        </w:rPr>
      </w:pPr>
    </w:p>
    <w:p w14:paraId="6D498FB7" w14:textId="77777777" w:rsidR="00D1587D" w:rsidRDefault="00410D07">
      <w:pPr>
        <w:jc w:val="center"/>
        <w:rPr>
          <w:sz w:val="20"/>
          <w:szCs w:val="20"/>
        </w:rPr>
      </w:pPr>
      <w:r>
        <w:rPr>
          <w:rFonts w:ascii="Arial" w:eastAsia="Arial" w:hAnsi="Arial" w:cs="Arial"/>
          <w:sz w:val="18"/>
          <w:szCs w:val="18"/>
        </w:rPr>
        <w:t>90</w:t>
      </w:r>
    </w:p>
    <w:p w14:paraId="3A1B3E91" w14:textId="77777777" w:rsidR="00D1587D" w:rsidRDefault="00410D07">
      <w:pPr>
        <w:spacing w:line="20" w:lineRule="exact"/>
        <w:rPr>
          <w:sz w:val="20"/>
          <w:szCs w:val="20"/>
        </w:rPr>
      </w:pPr>
      <w:r>
        <w:rPr>
          <w:noProof/>
          <w:sz w:val="20"/>
          <w:szCs w:val="20"/>
        </w:rPr>
        <w:drawing>
          <wp:anchor distT="0" distB="0" distL="114300" distR="114300" simplePos="0" relativeHeight="251783168" behindDoc="1" locked="0" layoutInCell="0" allowOverlap="1" wp14:anchorId="0D898264" wp14:editId="6F5BFCD5">
            <wp:simplePos x="0" y="0"/>
            <wp:positionH relativeFrom="column">
              <wp:posOffset>-636905</wp:posOffset>
            </wp:positionH>
            <wp:positionV relativeFrom="paragraph">
              <wp:posOffset>126365</wp:posOffset>
            </wp:positionV>
            <wp:extent cx="6995160" cy="17145"/>
            <wp:effectExtent l="0" t="0" r="0" b="0"/>
            <wp:wrapNone/>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23C077C" w14:textId="77777777" w:rsidR="00D1587D" w:rsidRDefault="00D1587D">
      <w:pPr>
        <w:sectPr w:rsidR="00D1587D">
          <w:pgSz w:w="11900" w:h="16838"/>
          <w:pgMar w:top="265" w:right="1440" w:bottom="1440" w:left="1440" w:header="0" w:footer="0" w:gutter="0"/>
          <w:cols w:space="720" w:equalWidth="0">
            <w:col w:w="9019"/>
          </w:cols>
        </w:sectPr>
      </w:pPr>
    </w:p>
    <w:bookmarkStart w:id="348" w:name="page349"/>
    <w:bookmarkEnd w:id="348"/>
    <w:p w14:paraId="13F7EC7A"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937C24A" w14:textId="77777777" w:rsidR="00D1587D" w:rsidRDefault="00D1587D">
      <w:pPr>
        <w:spacing w:line="131" w:lineRule="exact"/>
        <w:rPr>
          <w:sz w:val="20"/>
          <w:szCs w:val="20"/>
        </w:rPr>
      </w:pPr>
    </w:p>
    <w:p w14:paraId="5B254CAD" w14:textId="77777777" w:rsidR="00D1587D" w:rsidRDefault="00410D07">
      <w:pPr>
        <w:spacing w:line="263" w:lineRule="auto"/>
        <w:ind w:left="300" w:right="319"/>
        <w:rPr>
          <w:sz w:val="20"/>
          <w:szCs w:val="20"/>
        </w:rPr>
      </w:pPr>
      <w:r>
        <w:rPr>
          <w:rFonts w:ascii="Arial" w:eastAsia="Arial" w:hAnsi="Arial" w:cs="Arial"/>
          <w:sz w:val="18"/>
          <w:szCs w:val="18"/>
        </w:rPr>
        <w:t xml:space="preserve">use to make the LB Cash Payment and to pay </w:t>
      </w:r>
      <w:r>
        <w:rPr>
          <w:rFonts w:ascii="Arial" w:eastAsia="Arial" w:hAnsi="Arial" w:cs="Arial"/>
          <w:sz w:val="18"/>
          <w:szCs w:val="18"/>
        </w:rPr>
        <w:t>related fees and expenses. We also expect to establish a $750 million asset-based revolving facility, which is expected to be undrawn at the Separation. We expect to trade under the ticker symbol “VSCO” on the NYSE.</w:t>
      </w:r>
    </w:p>
    <w:p w14:paraId="40FB60BD" w14:textId="77777777" w:rsidR="00D1587D" w:rsidRDefault="00D1587D">
      <w:pPr>
        <w:spacing w:line="342" w:lineRule="exact"/>
        <w:rPr>
          <w:sz w:val="20"/>
          <w:szCs w:val="20"/>
        </w:rPr>
      </w:pPr>
    </w:p>
    <w:p w14:paraId="06BB0EFA" w14:textId="77777777" w:rsidR="00D1587D" w:rsidRDefault="00410D07">
      <w:pPr>
        <w:ind w:left="300"/>
        <w:rPr>
          <w:sz w:val="20"/>
          <w:szCs w:val="20"/>
        </w:rPr>
      </w:pPr>
      <w:r>
        <w:rPr>
          <w:rFonts w:ascii="Arial" w:eastAsia="Arial" w:hAnsi="Arial" w:cs="Arial"/>
          <w:b/>
          <w:bCs/>
          <w:sz w:val="18"/>
          <w:szCs w:val="18"/>
        </w:rPr>
        <w:t>Our Competitive Strengths</w:t>
      </w:r>
    </w:p>
    <w:p w14:paraId="513A37E7" w14:textId="77777777" w:rsidR="00D1587D" w:rsidRDefault="00D1587D">
      <w:pPr>
        <w:spacing w:line="148" w:lineRule="exact"/>
        <w:rPr>
          <w:sz w:val="20"/>
          <w:szCs w:val="20"/>
        </w:rPr>
      </w:pPr>
    </w:p>
    <w:p w14:paraId="417F83C4" w14:textId="77777777" w:rsidR="00D1587D" w:rsidRDefault="00410D07">
      <w:pPr>
        <w:ind w:left="300"/>
        <w:rPr>
          <w:sz w:val="20"/>
          <w:szCs w:val="20"/>
        </w:rPr>
      </w:pPr>
      <w:r>
        <w:rPr>
          <w:rFonts w:ascii="Arial" w:eastAsia="Arial" w:hAnsi="Arial" w:cs="Arial"/>
          <w:b/>
          <w:bCs/>
          <w:i/>
          <w:iCs/>
          <w:sz w:val="18"/>
          <w:szCs w:val="18"/>
        </w:rPr>
        <w:t>Two Category</w:t>
      </w:r>
      <w:r>
        <w:rPr>
          <w:rFonts w:ascii="Arial" w:eastAsia="Arial" w:hAnsi="Arial" w:cs="Arial"/>
          <w:b/>
          <w:bCs/>
          <w:i/>
          <w:iCs/>
          <w:sz w:val="18"/>
          <w:szCs w:val="18"/>
        </w:rPr>
        <w:t>-Defining Brands with Global Brand Awareness and Resonance.</w:t>
      </w:r>
    </w:p>
    <w:p w14:paraId="53EED0CA" w14:textId="77777777" w:rsidR="00D1587D" w:rsidRDefault="00D1587D">
      <w:pPr>
        <w:spacing w:line="117" w:lineRule="exact"/>
        <w:rPr>
          <w:sz w:val="20"/>
          <w:szCs w:val="20"/>
        </w:rPr>
      </w:pPr>
    </w:p>
    <w:p w14:paraId="0BCCC661" w14:textId="77777777" w:rsidR="00D1587D" w:rsidRDefault="00410D07">
      <w:pPr>
        <w:spacing w:line="285" w:lineRule="auto"/>
        <w:ind w:left="300" w:right="299" w:firstLine="360"/>
        <w:rPr>
          <w:sz w:val="20"/>
          <w:szCs w:val="20"/>
        </w:rPr>
      </w:pPr>
      <w:r>
        <w:rPr>
          <w:rFonts w:ascii="Arial" w:eastAsia="Arial" w:hAnsi="Arial" w:cs="Arial"/>
          <w:sz w:val="16"/>
          <w:szCs w:val="16"/>
        </w:rPr>
        <w:t xml:space="preserve">Both the Victoria’s Secret and PINK brands have a strong global presence and awareness among consumers, which we believe provides us with a competitive advantage. We estimate Victoria’s </w:t>
      </w:r>
      <w:r>
        <w:rPr>
          <w:rFonts w:ascii="Arial" w:eastAsia="Arial" w:hAnsi="Arial" w:cs="Arial"/>
          <w:sz w:val="16"/>
          <w:szCs w:val="16"/>
        </w:rPr>
        <w:t>Secret’s overall U.S. brand awareness as 87% and PINK’s overall U.S. brand awareness as 86% based on a company-sponsored marketing study. While our history runs deep as a dominant player in intimates, our brands also provide compelling offerings in fragran</w:t>
      </w:r>
      <w:r>
        <w:rPr>
          <w:rFonts w:ascii="Arial" w:eastAsia="Arial" w:hAnsi="Arial" w:cs="Arial"/>
          <w:sz w:val="16"/>
          <w:szCs w:val="16"/>
        </w:rPr>
        <w:t xml:space="preserve">ce, beauty, apparel, loungewear, sleepwear, athletic attire and swimwear. We believe our recent and decisive actions to evolve our positioning and promote inclusivity and diversity will allow us to attract new customers while also deepening our connection </w:t>
      </w:r>
      <w:r>
        <w:rPr>
          <w:rFonts w:ascii="Arial" w:eastAsia="Arial" w:hAnsi="Arial" w:cs="Arial"/>
          <w:sz w:val="16"/>
          <w:szCs w:val="16"/>
        </w:rPr>
        <w:t xml:space="preserve">with existing ones. For example, on June 16, 2021, we announced the creation of two new partnerships, The VS Collective and The Victoria’s Secret Global Fund for Women’s Cancers, as we continue our evolution to inspire women with products, experiences and </w:t>
      </w:r>
      <w:r>
        <w:rPr>
          <w:rFonts w:ascii="Arial" w:eastAsia="Arial" w:hAnsi="Arial" w:cs="Arial"/>
          <w:sz w:val="16"/>
          <w:szCs w:val="16"/>
        </w:rPr>
        <w:t xml:space="preserve">initiatives that champion them and support their journey. Through social, cultural and business relationships, The VS Collective is expected to work to create new associate programs, revolutionary product collections, compelling and inspiring content, and </w:t>
      </w:r>
      <w:r>
        <w:rPr>
          <w:rFonts w:ascii="Arial" w:eastAsia="Arial" w:hAnsi="Arial" w:cs="Arial"/>
          <w:sz w:val="16"/>
          <w:szCs w:val="16"/>
        </w:rPr>
        <w:t>rally support for causes vital to women. The Victoria’s Secret Global Fund for Women’s Cancers is expected to fund innovative research projects aimed at progressing treatments and cures for women’s cancers and investing in the next generation of women scie</w:t>
      </w:r>
      <w:r>
        <w:rPr>
          <w:rFonts w:ascii="Arial" w:eastAsia="Arial" w:hAnsi="Arial" w:cs="Arial"/>
          <w:sz w:val="16"/>
          <w:szCs w:val="16"/>
        </w:rPr>
        <w:t>ntists who represent the diverse population they serve. We are focused on fueling our customer’s desire to be herself by empowering her with products that not only offer her comfort and style, but also allow her to celebrate and express her true self.</w:t>
      </w:r>
    </w:p>
    <w:p w14:paraId="49E3276B" w14:textId="77777777" w:rsidR="00D1587D" w:rsidRDefault="00D1587D">
      <w:pPr>
        <w:spacing w:line="311" w:lineRule="exact"/>
        <w:rPr>
          <w:sz w:val="20"/>
          <w:szCs w:val="20"/>
        </w:rPr>
      </w:pPr>
    </w:p>
    <w:p w14:paraId="2A6C05D8" w14:textId="77777777" w:rsidR="00D1587D" w:rsidRDefault="00410D07">
      <w:pPr>
        <w:ind w:left="300"/>
        <w:rPr>
          <w:sz w:val="20"/>
          <w:szCs w:val="20"/>
        </w:rPr>
      </w:pPr>
      <w:r>
        <w:rPr>
          <w:rFonts w:ascii="Arial" w:eastAsia="Arial" w:hAnsi="Arial" w:cs="Arial"/>
          <w:b/>
          <w:bCs/>
          <w:i/>
          <w:iCs/>
          <w:sz w:val="18"/>
          <w:szCs w:val="18"/>
        </w:rPr>
        <w:t>Glo</w:t>
      </w:r>
      <w:r>
        <w:rPr>
          <w:rFonts w:ascii="Arial" w:eastAsia="Arial" w:hAnsi="Arial" w:cs="Arial"/>
          <w:b/>
          <w:bCs/>
          <w:i/>
          <w:iCs/>
          <w:sz w:val="18"/>
          <w:szCs w:val="18"/>
        </w:rPr>
        <w:t>bal Scale at Retail.</w:t>
      </w:r>
    </w:p>
    <w:p w14:paraId="0D28FE5F" w14:textId="77777777" w:rsidR="00D1587D" w:rsidRDefault="00D1587D">
      <w:pPr>
        <w:spacing w:line="117" w:lineRule="exact"/>
        <w:rPr>
          <w:sz w:val="20"/>
          <w:szCs w:val="20"/>
        </w:rPr>
      </w:pPr>
    </w:p>
    <w:p w14:paraId="78B34040" w14:textId="77777777" w:rsidR="00D1587D" w:rsidRDefault="00410D07">
      <w:pPr>
        <w:spacing w:line="271" w:lineRule="auto"/>
        <w:ind w:left="300" w:right="299" w:firstLine="360"/>
        <w:rPr>
          <w:sz w:val="20"/>
          <w:szCs w:val="20"/>
        </w:rPr>
      </w:pPr>
      <w:r>
        <w:rPr>
          <w:rFonts w:ascii="Arial" w:eastAsia="Arial" w:hAnsi="Arial" w:cs="Arial"/>
          <w:sz w:val="17"/>
          <w:szCs w:val="17"/>
        </w:rPr>
        <w:t xml:space="preserve">We believe VS has significant scale and strength in reaching its consumer base. Our vast reach is evidenced by our leading market position in the U.S. intimates category, with meaningful market share based on a 2020 company-sponsored </w:t>
      </w:r>
      <w:r>
        <w:rPr>
          <w:rFonts w:ascii="Arial" w:eastAsia="Arial" w:hAnsi="Arial" w:cs="Arial"/>
          <w:sz w:val="17"/>
          <w:szCs w:val="17"/>
        </w:rPr>
        <w:t>marketing study. The number of our North American active customers (which we define as customers who have purchased from us in the last twelve months) totaled 27 million as of May 2021, 25 million in 2020 and 32 million in each of 2019 and 2018. Additional</w:t>
      </w:r>
      <w:r>
        <w:rPr>
          <w:rFonts w:ascii="Arial" w:eastAsia="Arial" w:hAnsi="Arial" w:cs="Arial"/>
          <w:sz w:val="17"/>
          <w:szCs w:val="17"/>
        </w:rPr>
        <w:t>ly, as of May 2021, we had over 69 million Victoria’s Secret and approximately 8 million PINK Instagram followers, approximately 6.3 million active Victoria’s Secret Credit Card holders and approximately 5.5 million active members of PINK’s loyalty program</w:t>
      </w:r>
      <w:r>
        <w:rPr>
          <w:rFonts w:ascii="Arial" w:eastAsia="Arial" w:hAnsi="Arial" w:cs="Arial"/>
          <w:sz w:val="17"/>
          <w:szCs w:val="17"/>
        </w:rPr>
        <w:t>, PINK Nation. We interact with our customers through three powerful distribution channels:</w:t>
      </w:r>
    </w:p>
    <w:p w14:paraId="0FB4CADE" w14:textId="77777777" w:rsidR="00D1587D" w:rsidRDefault="00D1587D">
      <w:pPr>
        <w:spacing w:line="70" w:lineRule="exact"/>
        <w:rPr>
          <w:sz w:val="20"/>
          <w:szCs w:val="20"/>
        </w:rPr>
      </w:pPr>
    </w:p>
    <w:p w14:paraId="25D7649E" w14:textId="77777777" w:rsidR="00D1587D" w:rsidRDefault="00410D07" w:rsidP="00410D07">
      <w:pPr>
        <w:numPr>
          <w:ilvl w:val="0"/>
          <w:numId w:val="297"/>
        </w:numPr>
        <w:tabs>
          <w:tab w:val="left" w:pos="1000"/>
        </w:tabs>
        <w:spacing w:line="272" w:lineRule="auto"/>
        <w:ind w:left="1000" w:right="339" w:hanging="348"/>
        <w:rPr>
          <w:rFonts w:ascii="Arial" w:eastAsia="Arial" w:hAnsi="Arial" w:cs="Arial"/>
          <w:sz w:val="17"/>
          <w:szCs w:val="17"/>
        </w:rPr>
      </w:pPr>
      <w:r>
        <w:rPr>
          <w:rFonts w:ascii="Arial" w:eastAsia="Arial" w:hAnsi="Arial" w:cs="Arial"/>
          <w:b/>
          <w:bCs/>
          <w:i/>
          <w:iCs/>
          <w:sz w:val="17"/>
          <w:szCs w:val="17"/>
        </w:rPr>
        <w:t xml:space="preserve">Digital. </w:t>
      </w:r>
      <w:r>
        <w:rPr>
          <w:rFonts w:ascii="Arial" w:eastAsia="Arial" w:hAnsi="Arial" w:cs="Arial"/>
          <w:sz w:val="17"/>
          <w:szCs w:val="17"/>
        </w:rPr>
        <w:t>Our large and growing digital business allows for an interconnected customer experience across</w:t>
      </w:r>
      <w:r>
        <w:rPr>
          <w:rFonts w:ascii="Arial" w:eastAsia="Arial" w:hAnsi="Arial" w:cs="Arial"/>
          <w:b/>
          <w:bCs/>
          <w:i/>
          <w:iCs/>
          <w:sz w:val="17"/>
          <w:szCs w:val="17"/>
        </w:rPr>
        <w:t xml:space="preserve"> </w:t>
      </w:r>
      <w:r>
        <w:rPr>
          <w:rFonts w:ascii="Arial" w:eastAsia="Arial" w:hAnsi="Arial" w:cs="Arial"/>
          <w:sz w:val="17"/>
          <w:szCs w:val="17"/>
        </w:rPr>
        <w:t xml:space="preserve">our brands and platforms. We deliver a </w:t>
      </w:r>
      <w:r>
        <w:rPr>
          <w:rFonts w:ascii="Arial" w:eastAsia="Arial" w:hAnsi="Arial" w:cs="Arial"/>
          <w:sz w:val="17"/>
          <w:szCs w:val="17"/>
        </w:rPr>
        <w:t xml:space="preserve">differentiated digital experience through seamless and personalized touchpoints. Importantly, we are focused on developing our social media platforms and websites, applications with personalized digital marketing campaigns, advanced omni-channel offerings </w:t>
      </w:r>
      <w:r>
        <w:rPr>
          <w:rFonts w:ascii="Arial" w:eastAsia="Arial" w:hAnsi="Arial" w:cs="Arial"/>
          <w:sz w:val="17"/>
          <w:szCs w:val="17"/>
        </w:rPr>
        <w:t xml:space="preserve">and improved store and website inventory connectivity. Our digital connection to consumers is evidenced by the fact that approximately 15 million consumers as of May 1, 2021, or approximately 60% of our customer base, purchased from our digital channel in </w:t>
      </w:r>
      <w:r>
        <w:rPr>
          <w:rFonts w:ascii="Arial" w:eastAsia="Arial" w:hAnsi="Arial" w:cs="Arial"/>
          <w:sz w:val="17"/>
          <w:szCs w:val="17"/>
        </w:rPr>
        <w:t>the last twelve months.</w:t>
      </w:r>
    </w:p>
    <w:p w14:paraId="533BBD31" w14:textId="77777777" w:rsidR="00D1587D" w:rsidRDefault="00D1587D">
      <w:pPr>
        <w:spacing w:line="69" w:lineRule="exact"/>
        <w:rPr>
          <w:rFonts w:ascii="Arial" w:eastAsia="Arial" w:hAnsi="Arial" w:cs="Arial"/>
          <w:sz w:val="17"/>
          <w:szCs w:val="17"/>
        </w:rPr>
      </w:pPr>
    </w:p>
    <w:p w14:paraId="35D5D8B1" w14:textId="77777777" w:rsidR="00D1587D" w:rsidRDefault="00410D07" w:rsidP="00410D07">
      <w:pPr>
        <w:numPr>
          <w:ilvl w:val="0"/>
          <w:numId w:val="297"/>
        </w:numPr>
        <w:tabs>
          <w:tab w:val="left" w:pos="1000"/>
        </w:tabs>
        <w:spacing w:line="270" w:lineRule="auto"/>
        <w:ind w:left="1000" w:right="319" w:hanging="348"/>
        <w:rPr>
          <w:rFonts w:ascii="Arial" w:eastAsia="Arial" w:hAnsi="Arial" w:cs="Arial"/>
          <w:sz w:val="17"/>
          <w:szCs w:val="17"/>
        </w:rPr>
      </w:pPr>
      <w:r>
        <w:rPr>
          <w:rFonts w:ascii="Arial" w:eastAsia="Arial" w:hAnsi="Arial" w:cs="Arial"/>
          <w:b/>
          <w:bCs/>
          <w:i/>
          <w:iCs/>
          <w:sz w:val="17"/>
          <w:szCs w:val="17"/>
        </w:rPr>
        <w:t xml:space="preserve">North American Stores. </w:t>
      </w:r>
      <w:r>
        <w:rPr>
          <w:rFonts w:ascii="Arial" w:eastAsia="Arial" w:hAnsi="Arial" w:cs="Arial"/>
          <w:sz w:val="17"/>
          <w:szCs w:val="17"/>
        </w:rPr>
        <w:t>Our retail footprint in North America, as of May 1, 2021, spans the U.S. and</w:t>
      </w:r>
      <w:r>
        <w:rPr>
          <w:rFonts w:ascii="Arial" w:eastAsia="Arial" w:hAnsi="Arial" w:cs="Arial"/>
          <w:b/>
          <w:bCs/>
          <w:i/>
          <w:iCs/>
          <w:sz w:val="17"/>
          <w:szCs w:val="17"/>
        </w:rPr>
        <w:t xml:space="preserve"> </w:t>
      </w:r>
      <w:r>
        <w:rPr>
          <w:rFonts w:ascii="Arial" w:eastAsia="Arial" w:hAnsi="Arial" w:cs="Arial"/>
          <w:sz w:val="17"/>
          <w:szCs w:val="17"/>
        </w:rPr>
        <w:t>Canada with 867 stores, representing a combined 6.0 million square feet of selling space. Our North American stores channel creates</w:t>
      </w:r>
      <w:r>
        <w:rPr>
          <w:rFonts w:ascii="Arial" w:eastAsia="Arial" w:hAnsi="Arial" w:cs="Arial"/>
          <w:sz w:val="17"/>
          <w:szCs w:val="17"/>
        </w:rPr>
        <w:t xml:space="preserve"> an immersive environment for customers to experience our brands and try new products. Our sales associates and store managers are central in creating an engaging and compelling store experience by providing a high level of customer service. Although traff</w:t>
      </w:r>
      <w:r>
        <w:rPr>
          <w:rFonts w:ascii="Arial" w:eastAsia="Arial" w:hAnsi="Arial" w:cs="Arial"/>
          <w:sz w:val="17"/>
          <w:szCs w:val="17"/>
        </w:rPr>
        <w:t>ic levels were challenged in the first quarter of 2021 and in 2020 due to the pandemic, our improved assortment and focus on store selling initiatives drove increases in conversion (which we define as the percentage of customers who visit our stores who ma</w:t>
      </w:r>
      <w:r>
        <w:rPr>
          <w:rFonts w:ascii="Arial" w:eastAsia="Arial" w:hAnsi="Arial" w:cs="Arial"/>
          <w:sz w:val="17"/>
          <w:szCs w:val="17"/>
        </w:rPr>
        <w:t>ke a purchase) and average unit retail (which we define as the average price per unit purchased) compared to 2019.</w:t>
      </w:r>
    </w:p>
    <w:p w14:paraId="67E6DA9C" w14:textId="77777777" w:rsidR="00D1587D" w:rsidRDefault="00D1587D">
      <w:pPr>
        <w:spacing w:line="72" w:lineRule="exact"/>
        <w:rPr>
          <w:rFonts w:ascii="Arial" w:eastAsia="Arial" w:hAnsi="Arial" w:cs="Arial"/>
          <w:sz w:val="17"/>
          <w:szCs w:val="17"/>
        </w:rPr>
      </w:pPr>
    </w:p>
    <w:p w14:paraId="1E5D8A7C" w14:textId="77777777" w:rsidR="00D1587D" w:rsidRDefault="00410D07" w:rsidP="00410D07">
      <w:pPr>
        <w:numPr>
          <w:ilvl w:val="0"/>
          <w:numId w:val="297"/>
        </w:numPr>
        <w:tabs>
          <w:tab w:val="left" w:pos="1000"/>
        </w:tabs>
        <w:spacing w:line="301" w:lineRule="auto"/>
        <w:ind w:left="1000" w:right="399" w:hanging="348"/>
        <w:rPr>
          <w:rFonts w:ascii="Arial" w:eastAsia="Arial" w:hAnsi="Arial" w:cs="Arial"/>
          <w:sz w:val="16"/>
          <w:szCs w:val="16"/>
        </w:rPr>
      </w:pPr>
      <w:r>
        <w:rPr>
          <w:rFonts w:ascii="Arial" w:eastAsia="Arial" w:hAnsi="Arial" w:cs="Arial"/>
          <w:b/>
          <w:bCs/>
          <w:i/>
          <w:iCs/>
          <w:sz w:val="16"/>
          <w:szCs w:val="16"/>
        </w:rPr>
        <w:t xml:space="preserve">International. </w:t>
      </w:r>
      <w:r>
        <w:rPr>
          <w:rFonts w:ascii="Arial" w:eastAsia="Arial" w:hAnsi="Arial" w:cs="Arial"/>
          <w:sz w:val="16"/>
          <w:szCs w:val="16"/>
        </w:rPr>
        <w:t>We have a significant international footprint with 520 international stores and 26</w:t>
      </w:r>
      <w:r>
        <w:rPr>
          <w:rFonts w:ascii="Arial" w:eastAsia="Arial" w:hAnsi="Arial" w:cs="Arial"/>
          <w:b/>
          <w:bCs/>
          <w:i/>
          <w:iCs/>
          <w:sz w:val="16"/>
          <w:szCs w:val="16"/>
        </w:rPr>
        <w:t xml:space="preserve"> </w:t>
      </w:r>
      <w:r>
        <w:rPr>
          <w:rFonts w:ascii="Arial" w:eastAsia="Arial" w:hAnsi="Arial" w:cs="Arial"/>
          <w:sz w:val="16"/>
          <w:szCs w:val="16"/>
        </w:rPr>
        <w:t>international digital sites as of May 1, 2</w:t>
      </w:r>
      <w:r>
        <w:rPr>
          <w:rFonts w:ascii="Arial" w:eastAsia="Arial" w:hAnsi="Arial" w:cs="Arial"/>
          <w:sz w:val="16"/>
          <w:szCs w:val="16"/>
        </w:rPr>
        <w:t>021. We believe we have meaningful opportunity to grow through new Victoria’s Secret Beauty and Accessories and full assortment stores, new digital sites and new geographies. Victoria’s Secret Beauty and Accessories stores represent smaller footprint store</w:t>
      </w:r>
      <w:r>
        <w:rPr>
          <w:rFonts w:ascii="Arial" w:eastAsia="Arial" w:hAnsi="Arial" w:cs="Arial"/>
          <w:sz w:val="16"/>
          <w:szCs w:val="16"/>
        </w:rPr>
        <w:t>s</w:t>
      </w:r>
    </w:p>
    <w:p w14:paraId="05967B89" w14:textId="77777777" w:rsidR="00D1587D" w:rsidRDefault="00D1587D">
      <w:pPr>
        <w:spacing w:line="157" w:lineRule="exact"/>
        <w:rPr>
          <w:sz w:val="20"/>
          <w:szCs w:val="20"/>
        </w:rPr>
      </w:pPr>
    </w:p>
    <w:p w14:paraId="790DEAFE" w14:textId="77777777" w:rsidR="00D1587D" w:rsidRDefault="00410D07">
      <w:pPr>
        <w:jc w:val="center"/>
        <w:rPr>
          <w:sz w:val="20"/>
          <w:szCs w:val="20"/>
        </w:rPr>
      </w:pPr>
      <w:r>
        <w:rPr>
          <w:rFonts w:ascii="Arial" w:eastAsia="Arial" w:hAnsi="Arial" w:cs="Arial"/>
          <w:sz w:val="18"/>
          <w:szCs w:val="18"/>
        </w:rPr>
        <w:t>91</w:t>
      </w:r>
    </w:p>
    <w:p w14:paraId="25FD0344" w14:textId="77777777" w:rsidR="00D1587D" w:rsidRDefault="00410D07">
      <w:pPr>
        <w:spacing w:line="20" w:lineRule="exact"/>
        <w:rPr>
          <w:sz w:val="20"/>
          <w:szCs w:val="20"/>
        </w:rPr>
      </w:pPr>
      <w:r>
        <w:rPr>
          <w:noProof/>
          <w:sz w:val="20"/>
          <w:szCs w:val="20"/>
        </w:rPr>
        <w:drawing>
          <wp:anchor distT="0" distB="0" distL="114300" distR="114300" simplePos="0" relativeHeight="251784192" behindDoc="1" locked="0" layoutInCell="0" allowOverlap="1" wp14:anchorId="36FF74A9" wp14:editId="012B45D9">
            <wp:simplePos x="0" y="0"/>
            <wp:positionH relativeFrom="column">
              <wp:posOffset>-636905</wp:posOffset>
            </wp:positionH>
            <wp:positionV relativeFrom="paragraph">
              <wp:posOffset>134620</wp:posOffset>
            </wp:positionV>
            <wp:extent cx="6995160" cy="17145"/>
            <wp:effectExtent l="0" t="0" r="0" b="0"/>
            <wp:wrapNone/>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6731E3E" w14:textId="77777777" w:rsidR="00D1587D" w:rsidRDefault="00D1587D">
      <w:pPr>
        <w:sectPr w:rsidR="00D1587D">
          <w:pgSz w:w="11900" w:h="16838"/>
          <w:pgMar w:top="265" w:right="1440" w:bottom="1440" w:left="1440" w:header="0" w:footer="0" w:gutter="0"/>
          <w:cols w:space="720" w:equalWidth="0">
            <w:col w:w="9019"/>
          </w:cols>
        </w:sectPr>
      </w:pPr>
    </w:p>
    <w:bookmarkStart w:id="349" w:name="page350"/>
    <w:bookmarkEnd w:id="349"/>
    <w:p w14:paraId="395C28DC"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F984EF9" w14:textId="77777777" w:rsidR="00D1587D" w:rsidRDefault="00D1587D">
      <w:pPr>
        <w:spacing w:line="131" w:lineRule="exact"/>
        <w:rPr>
          <w:sz w:val="20"/>
          <w:szCs w:val="20"/>
        </w:rPr>
      </w:pPr>
    </w:p>
    <w:p w14:paraId="311A7223" w14:textId="77777777" w:rsidR="00D1587D" w:rsidRDefault="00410D07">
      <w:pPr>
        <w:spacing w:line="263" w:lineRule="auto"/>
        <w:ind w:left="1020" w:right="379"/>
        <w:jc w:val="both"/>
        <w:rPr>
          <w:sz w:val="20"/>
          <w:szCs w:val="20"/>
        </w:rPr>
      </w:pPr>
      <w:r>
        <w:rPr>
          <w:rFonts w:ascii="Arial" w:eastAsia="Arial" w:hAnsi="Arial" w:cs="Arial"/>
          <w:sz w:val="18"/>
          <w:szCs w:val="18"/>
        </w:rPr>
        <w:t xml:space="preserve">including stores in airports and other travel retail locations, which enable significant global exposure. Our international stores span the Americas, Europe, Asia, Africa and the </w:t>
      </w:r>
      <w:r>
        <w:rPr>
          <w:rFonts w:ascii="Arial" w:eastAsia="Arial" w:hAnsi="Arial" w:cs="Arial"/>
          <w:sz w:val="18"/>
          <w:szCs w:val="18"/>
        </w:rPr>
        <w:t>Middle East, in addition to the strong digital component of our international business.</w:t>
      </w:r>
    </w:p>
    <w:p w14:paraId="5E996DB9" w14:textId="77777777" w:rsidR="00D1587D" w:rsidRDefault="00D1587D">
      <w:pPr>
        <w:spacing w:line="224" w:lineRule="exact"/>
        <w:rPr>
          <w:sz w:val="20"/>
          <w:szCs w:val="20"/>
        </w:rPr>
      </w:pPr>
    </w:p>
    <w:p w14:paraId="3F133736" w14:textId="77777777" w:rsidR="00D1587D" w:rsidRDefault="00410D07">
      <w:pPr>
        <w:ind w:left="300"/>
        <w:rPr>
          <w:sz w:val="20"/>
          <w:szCs w:val="20"/>
        </w:rPr>
      </w:pPr>
      <w:r>
        <w:rPr>
          <w:rFonts w:ascii="Arial" w:eastAsia="Arial" w:hAnsi="Arial" w:cs="Arial"/>
          <w:b/>
          <w:bCs/>
          <w:i/>
          <w:iCs/>
          <w:sz w:val="18"/>
          <w:szCs w:val="18"/>
        </w:rPr>
        <w:t>Agile and Highly Responsive Supply Chain and Sourcing Capabilities.</w:t>
      </w:r>
    </w:p>
    <w:p w14:paraId="5F39E6C3" w14:textId="77777777" w:rsidR="00D1587D" w:rsidRDefault="00D1587D">
      <w:pPr>
        <w:spacing w:line="117" w:lineRule="exact"/>
        <w:rPr>
          <w:sz w:val="20"/>
          <w:szCs w:val="20"/>
        </w:rPr>
      </w:pPr>
    </w:p>
    <w:p w14:paraId="4B56A001" w14:textId="77777777" w:rsidR="00D1587D" w:rsidRDefault="00410D07">
      <w:pPr>
        <w:spacing w:line="293" w:lineRule="auto"/>
        <w:ind w:left="300" w:right="399" w:firstLine="360"/>
        <w:rPr>
          <w:sz w:val="20"/>
          <w:szCs w:val="20"/>
        </w:rPr>
      </w:pPr>
      <w:r>
        <w:rPr>
          <w:rFonts w:ascii="Arial" w:eastAsia="Arial" w:hAnsi="Arial" w:cs="Arial"/>
          <w:sz w:val="16"/>
          <w:szCs w:val="16"/>
        </w:rPr>
        <w:t>Our sourcing and production function has a long and deep presence in key sourcing markets includin</w:t>
      </w:r>
      <w:r>
        <w:rPr>
          <w:rFonts w:ascii="Arial" w:eastAsia="Arial" w:hAnsi="Arial" w:cs="Arial"/>
          <w:sz w:val="16"/>
          <w:szCs w:val="16"/>
        </w:rPr>
        <w:t>g those in the U.S. and Asia. Our intimates and apparel categories are supported by an internationally outsourced platform, primarily in Asia, which has consistently provided rapid speed to market, high quality and innovative products and an efficient cost</w:t>
      </w:r>
      <w:r>
        <w:rPr>
          <w:rFonts w:ascii="Arial" w:eastAsia="Arial" w:hAnsi="Arial" w:cs="Arial"/>
          <w:sz w:val="16"/>
          <w:szCs w:val="16"/>
        </w:rPr>
        <w:t xml:space="preserve"> base. Meanwhile, our beauty platform is largely centered in Ohio, where a number of our suppliers are located, boasting innovation and agile manufacturing. We have thoughtfully designed our supply chain around three key principles: speed-to-market, qualit</w:t>
      </w:r>
      <w:r>
        <w:rPr>
          <w:rFonts w:ascii="Arial" w:eastAsia="Arial" w:hAnsi="Arial" w:cs="Arial"/>
          <w:sz w:val="16"/>
          <w:szCs w:val="16"/>
        </w:rPr>
        <w:t>y and cost efficiency.</w:t>
      </w:r>
    </w:p>
    <w:p w14:paraId="5545260C" w14:textId="77777777" w:rsidR="00D1587D" w:rsidRDefault="00D1587D">
      <w:pPr>
        <w:spacing w:line="56" w:lineRule="exact"/>
        <w:rPr>
          <w:sz w:val="20"/>
          <w:szCs w:val="20"/>
        </w:rPr>
      </w:pPr>
    </w:p>
    <w:p w14:paraId="58D17279" w14:textId="77777777" w:rsidR="00D1587D" w:rsidRDefault="00410D07">
      <w:pPr>
        <w:spacing w:line="254" w:lineRule="auto"/>
        <w:ind w:left="300" w:right="299" w:firstLine="360"/>
        <w:rPr>
          <w:sz w:val="20"/>
          <w:szCs w:val="20"/>
        </w:rPr>
      </w:pPr>
      <w:r>
        <w:rPr>
          <w:rFonts w:ascii="Arial" w:eastAsia="Arial" w:hAnsi="Arial" w:cs="Arial"/>
          <w:sz w:val="18"/>
          <w:szCs w:val="18"/>
        </w:rPr>
        <w:t xml:space="preserve">The current environment requires unprecedented agility, and we are leveraging the speed that we have in our supply chain, our close partnerships with suppliers and the capabilities of our sourcing, production and logistics teams to </w:t>
      </w:r>
      <w:r>
        <w:rPr>
          <w:rFonts w:ascii="Arial" w:eastAsia="Arial" w:hAnsi="Arial" w:cs="Arial"/>
          <w:sz w:val="18"/>
          <w:szCs w:val="18"/>
        </w:rPr>
        <w:t>actively manage our inventory and adjust for channel shifts across our business. We have focused on speed to market and believe our lead times are amongst the shortest in the industry, allowing us to read and react to customer preferences. As an example, w</w:t>
      </w:r>
      <w:r>
        <w:rPr>
          <w:rFonts w:ascii="Arial" w:eastAsia="Arial" w:hAnsi="Arial" w:cs="Arial"/>
          <w:sz w:val="18"/>
          <w:szCs w:val="18"/>
        </w:rPr>
        <w:t xml:space="preserve">e have worked with our suppliers to develop an “instant panty” program that allows us to go from order to product in stores within two weeks. The agility within our supply chain provides us with flexibility to quickly re-order strong sellers as we seek to </w:t>
      </w:r>
      <w:r>
        <w:rPr>
          <w:rFonts w:ascii="Arial" w:eastAsia="Arial" w:hAnsi="Arial" w:cs="Arial"/>
          <w:sz w:val="18"/>
          <w:szCs w:val="18"/>
        </w:rPr>
        <w:t>maximize our sales and merchandise margin rate opportunities.</w:t>
      </w:r>
    </w:p>
    <w:p w14:paraId="76217D2C" w14:textId="77777777" w:rsidR="00D1587D" w:rsidRDefault="00D1587D">
      <w:pPr>
        <w:spacing w:line="84" w:lineRule="exact"/>
        <w:rPr>
          <w:sz w:val="20"/>
          <w:szCs w:val="20"/>
        </w:rPr>
      </w:pPr>
    </w:p>
    <w:p w14:paraId="7DCBEC6E" w14:textId="77777777" w:rsidR="00D1587D" w:rsidRDefault="00410D07">
      <w:pPr>
        <w:spacing w:line="259" w:lineRule="auto"/>
        <w:ind w:left="300" w:right="539" w:firstLine="360"/>
        <w:rPr>
          <w:sz w:val="20"/>
          <w:szCs w:val="20"/>
        </w:rPr>
      </w:pPr>
      <w:r>
        <w:rPr>
          <w:rFonts w:ascii="Arial" w:eastAsia="Arial" w:hAnsi="Arial" w:cs="Arial"/>
          <w:sz w:val="18"/>
          <w:szCs w:val="18"/>
        </w:rPr>
        <w:t>Our strong relationships with our suppliers have allowed us to manufacture our products with cost efficiency without sacrificing quality. We have approximately 200 vendors across product catego</w:t>
      </w:r>
      <w:r>
        <w:rPr>
          <w:rFonts w:ascii="Arial" w:eastAsia="Arial" w:hAnsi="Arial" w:cs="Arial"/>
          <w:sz w:val="18"/>
          <w:szCs w:val="18"/>
        </w:rPr>
        <w:t>ries as of January 30, 2021. Our global supply base and flexibility are key competitive advantages and allow us to provide a broad product range, innovation and assortment to our customers.</w:t>
      </w:r>
    </w:p>
    <w:p w14:paraId="133A2416" w14:textId="77777777" w:rsidR="00D1587D" w:rsidRDefault="00D1587D">
      <w:pPr>
        <w:spacing w:line="214" w:lineRule="exact"/>
        <w:rPr>
          <w:sz w:val="20"/>
          <w:szCs w:val="20"/>
        </w:rPr>
      </w:pPr>
    </w:p>
    <w:p w14:paraId="388717AA" w14:textId="77777777" w:rsidR="00D1587D" w:rsidRDefault="00410D07">
      <w:pPr>
        <w:ind w:left="300"/>
        <w:rPr>
          <w:sz w:val="20"/>
          <w:szCs w:val="20"/>
        </w:rPr>
      </w:pPr>
      <w:r>
        <w:rPr>
          <w:rFonts w:ascii="Arial" w:eastAsia="Arial" w:hAnsi="Arial" w:cs="Arial"/>
          <w:b/>
          <w:bCs/>
          <w:i/>
          <w:iCs/>
          <w:sz w:val="18"/>
          <w:szCs w:val="18"/>
        </w:rPr>
        <w:t>Highly-Talented Management Team with Deep Industry Experience.</w:t>
      </w:r>
    </w:p>
    <w:p w14:paraId="31A3AD06" w14:textId="77777777" w:rsidR="00D1587D" w:rsidRDefault="00D1587D">
      <w:pPr>
        <w:spacing w:line="117" w:lineRule="exact"/>
        <w:rPr>
          <w:sz w:val="20"/>
          <w:szCs w:val="20"/>
        </w:rPr>
      </w:pPr>
    </w:p>
    <w:p w14:paraId="6F3197F8" w14:textId="77777777" w:rsidR="00D1587D" w:rsidRDefault="00410D07">
      <w:pPr>
        <w:spacing w:line="290" w:lineRule="auto"/>
        <w:ind w:left="300" w:right="359" w:firstLine="360"/>
        <w:rPr>
          <w:sz w:val="20"/>
          <w:szCs w:val="20"/>
        </w:rPr>
      </w:pPr>
      <w:r>
        <w:rPr>
          <w:rFonts w:ascii="Arial" w:eastAsia="Arial" w:hAnsi="Arial" w:cs="Arial"/>
          <w:sz w:val="16"/>
          <w:szCs w:val="16"/>
        </w:rPr>
        <w:t xml:space="preserve">We put an emphasis on ensuring a strong and impactful team is in place to direct the business towards growth and reach its potential at this crucial inflection point. The Company is led by Martin Waters, our Chief Executive Officer, who has deep knowledge </w:t>
      </w:r>
      <w:r>
        <w:rPr>
          <w:rFonts w:ascii="Arial" w:eastAsia="Arial" w:hAnsi="Arial" w:cs="Arial"/>
          <w:sz w:val="16"/>
          <w:szCs w:val="16"/>
        </w:rPr>
        <w:t xml:space="preserve">of the VS brand from his involvement in our business since 2008. Additionally, Amy Hauk, Chief Executive Officer of PINK and Greg Unis, Chief Executive Officer of Victoria’s Secret Beauty, are experienced and talented retail leaders. Amy Hauk joined LB in </w:t>
      </w:r>
      <w:r>
        <w:rPr>
          <w:rFonts w:ascii="Arial" w:eastAsia="Arial" w:hAnsi="Arial" w:cs="Arial"/>
          <w:sz w:val="16"/>
          <w:szCs w:val="16"/>
        </w:rPr>
        <w:t>2008 and has served as Chief Executive Officer of PINK since 2018. Greg Unis joined the Company as Chief Executive Officer of Victoria’s Secret Beauty in 2016. The management team is highly collaborative across brands as well as channels, with each channel</w:t>
      </w:r>
      <w:r>
        <w:rPr>
          <w:rFonts w:ascii="Arial" w:eastAsia="Arial" w:hAnsi="Arial" w:cs="Arial"/>
          <w:sz w:val="16"/>
          <w:szCs w:val="16"/>
        </w:rPr>
        <w:t xml:space="preserve"> (Digital, North American Stores and International) also supported by well qualified leaders.</w:t>
      </w:r>
    </w:p>
    <w:p w14:paraId="5C9FE84C" w14:textId="77777777" w:rsidR="00D1587D" w:rsidRDefault="00D1587D">
      <w:pPr>
        <w:spacing w:line="188" w:lineRule="exact"/>
        <w:rPr>
          <w:sz w:val="20"/>
          <w:szCs w:val="20"/>
        </w:rPr>
      </w:pPr>
    </w:p>
    <w:p w14:paraId="7D9F9854" w14:textId="77777777" w:rsidR="00D1587D" w:rsidRDefault="00410D07">
      <w:pPr>
        <w:ind w:left="300"/>
        <w:rPr>
          <w:sz w:val="20"/>
          <w:szCs w:val="20"/>
        </w:rPr>
      </w:pPr>
      <w:r>
        <w:rPr>
          <w:rFonts w:ascii="Arial" w:eastAsia="Arial" w:hAnsi="Arial" w:cs="Arial"/>
          <w:b/>
          <w:bCs/>
          <w:sz w:val="18"/>
          <w:szCs w:val="18"/>
        </w:rPr>
        <w:t>Our Strategies</w:t>
      </w:r>
    </w:p>
    <w:p w14:paraId="6EA3BDDB" w14:textId="77777777" w:rsidR="00D1587D" w:rsidRDefault="00D1587D">
      <w:pPr>
        <w:spacing w:line="135" w:lineRule="exact"/>
        <w:rPr>
          <w:sz w:val="20"/>
          <w:szCs w:val="20"/>
        </w:rPr>
      </w:pPr>
    </w:p>
    <w:p w14:paraId="1AB777C4" w14:textId="77777777" w:rsidR="00D1587D" w:rsidRDefault="00410D07">
      <w:pPr>
        <w:ind w:left="300"/>
        <w:rPr>
          <w:sz w:val="20"/>
          <w:szCs w:val="20"/>
        </w:rPr>
      </w:pPr>
      <w:r>
        <w:rPr>
          <w:rFonts w:ascii="Arial" w:eastAsia="Arial" w:hAnsi="Arial" w:cs="Arial"/>
          <w:b/>
          <w:bCs/>
          <w:i/>
          <w:iCs/>
          <w:sz w:val="18"/>
          <w:szCs w:val="18"/>
        </w:rPr>
        <w:t>Continue to Drive Penetration and Growth in our Digital Channel.</w:t>
      </w:r>
    </w:p>
    <w:p w14:paraId="0B7A61C3" w14:textId="77777777" w:rsidR="00D1587D" w:rsidRDefault="00D1587D">
      <w:pPr>
        <w:spacing w:line="117" w:lineRule="exact"/>
        <w:rPr>
          <w:sz w:val="20"/>
          <w:szCs w:val="20"/>
        </w:rPr>
      </w:pPr>
    </w:p>
    <w:p w14:paraId="71053B39" w14:textId="77777777" w:rsidR="00D1587D" w:rsidRDefault="00410D07">
      <w:pPr>
        <w:spacing w:line="287" w:lineRule="auto"/>
        <w:ind w:left="300" w:right="339" w:firstLine="360"/>
        <w:rPr>
          <w:sz w:val="20"/>
          <w:szCs w:val="20"/>
        </w:rPr>
      </w:pPr>
      <w:r>
        <w:rPr>
          <w:rFonts w:ascii="Arial" w:eastAsia="Arial" w:hAnsi="Arial" w:cs="Arial"/>
          <w:sz w:val="16"/>
          <w:szCs w:val="16"/>
        </w:rPr>
        <w:t xml:space="preserve">Investing in our digital channel continues to be a key priority and we believe </w:t>
      </w:r>
      <w:r>
        <w:rPr>
          <w:rFonts w:ascii="Arial" w:eastAsia="Arial" w:hAnsi="Arial" w:cs="Arial"/>
          <w:sz w:val="16"/>
          <w:szCs w:val="16"/>
        </w:rPr>
        <w:t>that our global brands and our scaled retail footprint in North America is a unique platform to continue to grow our digital business. Omni-channel initiatives, including buy online pick-up in store, and an increased focus on mobile and application interac</w:t>
      </w:r>
      <w:r>
        <w:rPr>
          <w:rFonts w:ascii="Arial" w:eastAsia="Arial" w:hAnsi="Arial" w:cs="Arial"/>
          <w:sz w:val="16"/>
          <w:szCs w:val="16"/>
        </w:rPr>
        <w:t>tions will continue to provide flexibility and convenience to our customers. Our shopping and services initiatives will continue to modernize the customer’s digital shopping experience through features like digital selling guides, virtual try-on, digital a</w:t>
      </w:r>
      <w:r>
        <w:rPr>
          <w:rFonts w:ascii="Arial" w:eastAsia="Arial" w:hAnsi="Arial" w:cs="Arial"/>
          <w:sz w:val="16"/>
          <w:szCs w:val="16"/>
        </w:rPr>
        <w:t>ppointments, improved checkout performance and alternative payment options. Further, with our customer at the core of our strategy, we are also increasing the personalization of our digital platforms through site experience and marketing designed for our c</w:t>
      </w:r>
      <w:r>
        <w:rPr>
          <w:rFonts w:ascii="Arial" w:eastAsia="Arial" w:hAnsi="Arial" w:cs="Arial"/>
          <w:sz w:val="16"/>
          <w:szCs w:val="16"/>
        </w:rPr>
        <w:t xml:space="preserve">ustomer. Our ongoing digital investments all help to create a seamless shopping experience between online and offline and bolster our leadership in the digital channel. In addition, we are scaling the distribution capacity of our digital business in order </w:t>
      </w:r>
      <w:r>
        <w:rPr>
          <w:rFonts w:ascii="Arial" w:eastAsia="Arial" w:hAnsi="Arial" w:cs="Arial"/>
          <w:sz w:val="16"/>
          <w:szCs w:val="16"/>
        </w:rPr>
        <w:t>to support our growth and our omni-channel offerings. These strategies are aimed at increasing our digital channel mix and driving margin accretion.</w:t>
      </w:r>
    </w:p>
    <w:p w14:paraId="70BDDB30" w14:textId="77777777" w:rsidR="00D1587D" w:rsidRDefault="00D1587D">
      <w:pPr>
        <w:spacing w:line="199" w:lineRule="exact"/>
        <w:rPr>
          <w:sz w:val="20"/>
          <w:szCs w:val="20"/>
        </w:rPr>
      </w:pPr>
    </w:p>
    <w:p w14:paraId="3E8EA66A" w14:textId="77777777" w:rsidR="00D1587D" w:rsidRDefault="00410D07">
      <w:pPr>
        <w:ind w:left="300"/>
        <w:rPr>
          <w:sz w:val="20"/>
          <w:szCs w:val="20"/>
        </w:rPr>
      </w:pPr>
      <w:r>
        <w:rPr>
          <w:rFonts w:ascii="Arial" w:eastAsia="Arial" w:hAnsi="Arial" w:cs="Arial"/>
          <w:b/>
          <w:bCs/>
          <w:i/>
          <w:iCs/>
          <w:sz w:val="18"/>
          <w:szCs w:val="18"/>
        </w:rPr>
        <w:t>Expand our International Business.</w:t>
      </w:r>
    </w:p>
    <w:p w14:paraId="01931298" w14:textId="77777777" w:rsidR="00D1587D" w:rsidRDefault="00D1587D">
      <w:pPr>
        <w:spacing w:line="117" w:lineRule="exact"/>
        <w:rPr>
          <w:sz w:val="20"/>
          <w:szCs w:val="20"/>
        </w:rPr>
      </w:pPr>
    </w:p>
    <w:p w14:paraId="023CFBC8" w14:textId="77777777" w:rsidR="00D1587D" w:rsidRDefault="00410D07">
      <w:pPr>
        <w:spacing w:line="311" w:lineRule="auto"/>
        <w:ind w:left="300" w:right="779" w:firstLine="360"/>
        <w:jc w:val="both"/>
        <w:rPr>
          <w:sz w:val="20"/>
          <w:szCs w:val="20"/>
        </w:rPr>
      </w:pPr>
      <w:r>
        <w:rPr>
          <w:rFonts w:ascii="Arial" w:eastAsia="Arial" w:hAnsi="Arial" w:cs="Arial"/>
          <w:sz w:val="16"/>
          <w:szCs w:val="16"/>
        </w:rPr>
        <w:t>Growing our international business is a key strategy. We plan to drive</w:t>
      </w:r>
      <w:r>
        <w:rPr>
          <w:rFonts w:ascii="Arial" w:eastAsia="Arial" w:hAnsi="Arial" w:cs="Arial"/>
          <w:sz w:val="16"/>
          <w:szCs w:val="16"/>
        </w:rPr>
        <w:t xml:space="preserve"> strong comparable sales growth in franchise stores through continued improved product offerings and adjusting assortments to better reflect local preferences. We plan to increase our international store count, enabled by a new store design, lower costs an</w:t>
      </w:r>
      <w:r>
        <w:rPr>
          <w:rFonts w:ascii="Arial" w:eastAsia="Arial" w:hAnsi="Arial" w:cs="Arial"/>
          <w:sz w:val="16"/>
          <w:szCs w:val="16"/>
        </w:rPr>
        <w:t>d</w:t>
      </w:r>
    </w:p>
    <w:p w14:paraId="7893E1B9" w14:textId="77777777" w:rsidR="00D1587D" w:rsidRDefault="00D1587D">
      <w:pPr>
        <w:spacing w:line="149" w:lineRule="exact"/>
        <w:rPr>
          <w:sz w:val="20"/>
          <w:szCs w:val="20"/>
        </w:rPr>
      </w:pPr>
    </w:p>
    <w:p w14:paraId="5C477924" w14:textId="77777777" w:rsidR="00D1587D" w:rsidRDefault="00410D07">
      <w:pPr>
        <w:jc w:val="center"/>
        <w:rPr>
          <w:sz w:val="20"/>
          <w:szCs w:val="20"/>
        </w:rPr>
      </w:pPr>
      <w:r>
        <w:rPr>
          <w:rFonts w:ascii="Arial" w:eastAsia="Arial" w:hAnsi="Arial" w:cs="Arial"/>
          <w:sz w:val="18"/>
          <w:szCs w:val="18"/>
        </w:rPr>
        <w:t>92</w:t>
      </w:r>
    </w:p>
    <w:p w14:paraId="3CFF4035" w14:textId="77777777" w:rsidR="00D1587D" w:rsidRDefault="00410D07">
      <w:pPr>
        <w:spacing w:line="20" w:lineRule="exact"/>
        <w:rPr>
          <w:sz w:val="20"/>
          <w:szCs w:val="20"/>
        </w:rPr>
      </w:pPr>
      <w:r>
        <w:rPr>
          <w:noProof/>
          <w:sz w:val="20"/>
          <w:szCs w:val="20"/>
        </w:rPr>
        <w:drawing>
          <wp:anchor distT="0" distB="0" distL="114300" distR="114300" simplePos="0" relativeHeight="251785216" behindDoc="1" locked="0" layoutInCell="0" allowOverlap="1" wp14:anchorId="74235020" wp14:editId="09C5C19B">
            <wp:simplePos x="0" y="0"/>
            <wp:positionH relativeFrom="column">
              <wp:posOffset>-636905</wp:posOffset>
            </wp:positionH>
            <wp:positionV relativeFrom="paragraph">
              <wp:posOffset>134620</wp:posOffset>
            </wp:positionV>
            <wp:extent cx="6995160" cy="17145"/>
            <wp:effectExtent l="0" t="0" r="0" b="0"/>
            <wp:wrapNone/>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74EFAD6" w14:textId="77777777" w:rsidR="00D1587D" w:rsidRDefault="00D1587D">
      <w:pPr>
        <w:sectPr w:rsidR="00D1587D">
          <w:pgSz w:w="11900" w:h="16838"/>
          <w:pgMar w:top="265" w:right="1440" w:bottom="1440" w:left="1440" w:header="0" w:footer="0" w:gutter="0"/>
          <w:cols w:space="720" w:equalWidth="0">
            <w:col w:w="9019"/>
          </w:cols>
        </w:sectPr>
      </w:pPr>
    </w:p>
    <w:bookmarkStart w:id="350" w:name="page351"/>
    <w:bookmarkEnd w:id="350"/>
    <w:p w14:paraId="1BF9A57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34D3871" w14:textId="77777777" w:rsidR="00D1587D" w:rsidRDefault="00D1587D">
      <w:pPr>
        <w:spacing w:line="131" w:lineRule="exact"/>
        <w:rPr>
          <w:sz w:val="20"/>
          <w:szCs w:val="20"/>
        </w:rPr>
      </w:pPr>
    </w:p>
    <w:p w14:paraId="547B3711" w14:textId="77777777" w:rsidR="00D1587D" w:rsidRDefault="00410D07">
      <w:pPr>
        <w:spacing w:line="293" w:lineRule="auto"/>
        <w:ind w:left="300" w:right="439"/>
        <w:rPr>
          <w:sz w:val="20"/>
          <w:szCs w:val="20"/>
        </w:rPr>
      </w:pPr>
      <w:r>
        <w:rPr>
          <w:rFonts w:ascii="Arial" w:eastAsia="Arial" w:hAnsi="Arial" w:cs="Arial"/>
          <w:sz w:val="16"/>
          <w:szCs w:val="16"/>
        </w:rPr>
        <w:t xml:space="preserve">flexible store formats, which provide a pathway to profitable growth. Additionally, we expect to continue investing in and growing the digital components of our </w:t>
      </w:r>
      <w:r>
        <w:rPr>
          <w:rFonts w:ascii="Arial" w:eastAsia="Arial" w:hAnsi="Arial" w:cs="Arial"/>
          <w:sz w:val="16"/>
          <w:szCs w:val="16"/>
        </w:rPr>
        <w:t>international business, including through country-specific web platforms tailored to local languages and preferences and through additional regional expansion. We believe our recent joint venture partnership with Next PLC (“Next”) in the United Kingdom wil</w:t>
      </w:r>
      <w:r>
        <w:rPr>
          <w:rFonts w:ascii="Arial" w:eastAsia="Arial" w:hAnsi="Arial" w:cs="Arial"/>
          <w:sz w:val="16"/>
          <w:szCs w:val="16"/>
        </w:rPr>
        <w:t>l allow us leverage growth through the already existing and impressive Next digital presence. We also anticipate additional opportunities for growth in our travel retail channel as global travel begins to normalize following the COVID-19 pandemic.</w:t>
      </w:r>
    </w:p>
    <w:p w14:paraId="15FC7639" w14:textId="77777777" w:rsidR="00D1587D" w:rsidRDefault="00D1587D">
      <w:pPr>
        <w:spacing w:line="218" w:lineRule="exact"/>
        <w:rPr>
          <w:sz w:val="20"/>
          <w:szCs w:val="20"/>
        </w:rPr>
      </w:pPr>
    </w:p>
    <w:p w14:paraId="11502387" w14:textId="77777777" w:rsidR="00D1587D" w:rsidRDefault="00410D07">
      <w:pPr>
        <w:ind w:left="300"/>
        <w:rPr>
          <w:sz w:val="20"/>
          <w:szCs w:val="20"/>
        </w:rPr>
      </w:pPr>
      <w:r>
        <w:rPr>
          <w:rFonts w:ascii="Arial" w:eastAsia="Arial" w:hAnsi="Arial" w:cs="Arial"/>
          <w:b/>
          <w:bCs/>
          <w:i/>
          <w:iCs/>
          <w:sz w:val="17"/>
          <w:szCs w:val="17"/>
        </w:rPr>
        <w:t>Continu</w:t>
      </w:r>
      <w:r>
        <w:rPr>
          <w:rFonts w:ascii="Arial" w:eastAsia="Arial" w:hAnsi="Arial" w:cs="Arial"/>
          <w:b/>
          <w:bCs/>
          <w:i/>
          <w:iCs/>
          <w:sz w:val="17"/>
          <w:szCs w:val="17"/>
        </w:rPr>
        <w:t>e Optimizing Customer Experience through Elevated and Profitable Company-Operated Stores.</w:t>
      </w:r>
    </w:p>
    <w:p w14:paraId="4A6FBC12" w14:textId="77777777" w:rsidR="00D1587D" w:rsidRDefault="00D1587D">
      <w:pPr>
        <w:spacing w:line="129" w:lineRule="exact"/>
        <w:rPr>
          <w:sz w:val="20"/>
          <w:szCs w:val="20"/>
        </w:rPr>
      </w:pPr>
    </w:p>
    <w:p w14:paraId="3B8EEA10" w14:textId="77777777" w:rsidR="00D1587D" w:rsidRDefault="00410D07">
      <w:pPr>
        <w:spacing w:line="269" w:lineRule="auto"/>
        <w:ind w:left="300" w:right="319" w:firstLine="360"/>
        <w:rPr>
          <w:sz w:val="20"/>
          <w:szCs w:val="20"/>
        </w:rPr>
      </w:pPr>
      <w:r>
        <w:rPr>
          <w:rFonts w:ascii="Arial" w:eastAsia="Arial" w:hAnsi="Arial" w:cs="Arial"/>
          <w:sz w:val="17"/>
          <w:szCs w:val="17"/>
        </w:rPr>
        <w:t xml:space="preserve">We believe we can further optimize our existing base of stores within North America to continue to deliver an elevated retail experience and to meet our </w:t>
      </w:r>
      <w:r>
        <w:rPr>
          <w:rFonts w:ascii="Arial" w:eastAsia="Arial" w:hAnsi="Arial" w:cs="Arial"/>
          <w:sz w:val="17"/>
          <w:szCs w:val="17"/>
        </w:rPr>
        <w:t>customer’s evolving channel preferences. We believe our stores channel is important to engaging with existing and new customers and, accordingly, see it as a key part of our strategy. We are investing in our stores through refreshing existing stores and wo</w:t>
      </w:r>
      <w:r>
        <w:rPr>
          <w:rFonts w:ascii="Arial" w:eastAsia="Arial" w:hAnsi="Arial" w:cs="Arial"/>
          <w:sz w:val="17"/>
          <w:szCs w:val="17"/>
        </w:rPr>
        <w:t>rking towards a store of the future that will include smaller, more flexible space with a unique dual-brand layout to meet the needs of our customer and accommodate shifting consumer preferences for omni-channel shopping. We also continue to focus on appro</w:t>
      </w:r>
      <w:r>
        <w:rPr>
          <w:rFonts w:ascii="Arial" w:eastAsia="Arial" w:hAnsi="Arial" w:cs="Arial"/>
          <w:sz w:val="17"/>
          <w:szCs w:val="17"/>
        </w:rPr>
        <w:t>priate space allocation within the store and right-sizing the overall size of the North American stores which we believe will lead to sales transference to other stores and our digital channel. In addition to our initiatives related to our physical stores,</w:t>
      </w:r>
      <w:r>
        <w:rPr>
          <w:rFonts w:ascii="Arial" w:eastAsia="Arial" w:hAnsi="Arial" w:cs="Arial"/>
          <w:sz w:val="17"/>
          <w:szCs w:val="17"/>
        </w:rPr>
        <w:t xml:space="preserve"> we plan to continue to invest in store talent and labor optimization. These initiatives are designed to increase productivity in our stores measured through improved sales per selling square foot, as well as overall store profitability.</w:t>
      </w:r>
    </w:p>
    <w:p w14:paraId="74B63463" w14:textId="77777777" w:rsidR="00D1587D" w:rsidRDefault="00D1587D">
      <w:pPr>
        <w:spacing w:line="222" w:lineRule="exact"/>
        <w:rPr>
          <w:sz w:val="20"/>
          <w:szCs w:val="20"/>
        </w:rPr>
      </w:pPr>
    </w:p>
    <w:p w14:paraId="0D04AC3C" w14:textId="77777777" w:rsidR="00D1587D" w:rsidRDefault="00410D07">
      <w:pPr>
        <w:ind w:left="300"/>
        <w:rPr>
          <w:sz w:val="20"/>
          <w:szCs w:val="20"/>
        </w:rPr>
      </w:pPr>
      <w:r>
        <w:rPr>
          <w:rFonts w:ascii="Arial" w:eastAsia="Arial" w:hAnsi="Arial" w:cs="Arial"/>
          <w:b/>
          <w:bCs/>
          <w:i/>
          <w:iCs/>
          <w:sz w:val="18"/>
          <w:szCs w:val="18"/>
        </w:rPr>
        <w:t>Invest in our Bra</w:t>
      </w:r>
      <w:r>
        <w:rPr>
          <w:rFonts w:ascii="Arial" w:eastAsia="Arial" w:hAnsi="Arial" w:cs="Arial"/>
          <w:b/>
          <w:bCs/>
          <w:i/>
          <w:iCs/>
          <w:sz w:val="18"/>
          <w:szCs w:val="18"/>
        </w:rPr>
        <w:t>nds and our Business to Drive Growth.</w:t>
      </w:r>
    </w:p>
    <w:p w14:paraId="07502D6D" w14:textId="77777777" w:rsidR="00D1587D" w:rsidRDefault="00D1587D">
      <w:pPr>
        <w:spacing w:line="117" w:lineRule="exact"/>
        <w:rPr>
          <w:sz w:val="20"/>
          <w:szCs w:val="20"/>
        </w:rPr>
      </w:pPr>
    </w:p>
    <w:p w14:paraId="29EB67D8" w14:textId="77777777" w:rsidR="00D1587D" w:rsidRDefault="00410D07">
      <w:pPr>
        <w:spacing w:line="289" w:lineRule="auto"/>
        <w:ind w:left="300" w:right="319" w:firstLine="360"/>
        <w:rPr>
          <w:sz w:val="20"/>
          <w:szCs w:val="20"/>
        </w:rPr>
      </w:pPr>
      <w:r>
        <w:rPr>
          <w:rFonts w:ascii="Arial" w:eastAsia="Arial" w:hAnsi="Arial" w:cs="Arial"/>
          <w:sz w:val="16"/>
          <w:szCs w:val="16"/>
        </w:rPr>
        <w:t>In addition to the strategies outlined above, we continue to make significant investments in our iconic brands, our physical and digital business channels and our organizational capabilities in order to support the co</w:t>
      </w:r>
      <w:r>
        <w:rPr>
          <w:rFonts w:ascii="Arial" w:eastAsia="Arial" w:hAnsi="Arial" w:cs="Arial"/>
          <w:sz w:val="16"/>
          <w:szCs w:val="16"/>
        </w:rPr>
        <w:t>ntinued growth of our business. We believe our success is significantly enabled by frequent and innovative product launches, which include bra launches at Victoria’s Secret Lingerie and PINK and new fragrances at Victoria’s Secret Beauty. We are making tar</w:t>
      </w:r>
      <w:r>
        <w:rPr>
          <w:rFonts w:ascii="Arial" w:eastAsia="Arial" w:hAnsi="Arial" w:cs="Arial"/>
          <w:sz w:val="16"/>
          <w:szCs w:val="16"/>
        </w:rPr>
        <w:t>geted investments in technology to maintain our high digital penetration and to expand the omni-channel offering for our customers. We are also increasing our distribution capacity and efficiency in order to make decisions close to market, deliver orders t</w:t>
      </w:r>
      <w:r>
        <w:rPr>
          <w:rFonts w:ascii="Arial" w:eastAsia="Arial" w:hAnsi="Arial" w:cs="Arial"/>
          <w:sz w:val="16"/>
          <w:szCs w:val="16"/>
        </w:rPr>
        <w:t>o customers more quickly and provide the best and widest assortment across product categories and sizes across all channels. Our management team is committed to a diverse and inclusive corporate culture and we are building a world class team to support the</w:t>
      </w:r>
      <w:r>
        <w:rPr>
          <w:rFonts w:ascii="Arial" w:eastAsia="Arial" w:hAnsi="Arial" w:cs="Arial"/>
          <w:sz w:val="16"/>
          <w:szCs w:val="16"/>
        </w:rPr>
        <w:t xml:space="preserve"> execution of our growth strategies.</w:t>
      </w:r>
    </w:p>
    <w:p w14:paraId="46FB9A9E" w14:textId="77777777" w:rsidR="00D1587D" w:rsidRDefault="00D1587D">
      <w:pPr>
        <w:spacing w:line="220" w:lineRule="exact"/>
        <w:rPr>
          <w:sz w:val="20"/>
          <w:szCs w:val="20"/>
        </w:rPr>
      </w:pPr>
    </w:p>
    <w:p w14:paraId="3D676E60" w14:textId="77777777" w:rsidR="00D1587D" w:rsidRDefault="00410D07">
      <w:pPr>
        <w:ind w:left="300"/>
        <w:rPr>
          <w:sz w:val="20"/>
          <w:szCs w:val="20"/>
        </w:rPr>
      </w:pPr>
      <w:r>
        <w:rPr>
          <w:rFonts w:ascii="Arial" w:eastAsia="Arial" w:hAnsi="Arial" w:cs="Arial"/>
          <w:b/>
          <w:bCs/>
          <w:i/>
          <w:iCs/>
          <w:sz w:val="18"/>
          <w:szCs w:val="18"/>
        </w:rPr>
        <w:t>Recent Actions to Enable our Go-Forward Strategy.</w:t>
      </w:r>
    </w:p>
    <w:p w14:paraId="44021D96" w14:textId="77777777" w:rsidR="00D1587D" w:rsidRDefault="00D1587D">
      <w:pPr>
        <w:spacing w:line="117" w:lineRule="exact"/>
        <w:rPr>
          <w:sz w:val="20"/>
          <w:szCs w:val="20"/>
        </w:rPr>
      </w:pPr>
    </w:p>
    <w:p w14:paraId="2035CCA0" w14:textId="77777777" w:rsidR="00D1587D" w:rsidRDefault="00410D07">
      <w:pPr>
        <w:spacing w:line="263" w:lineRule="auto"/>
        <w:ind w:left="300" w:right="379" w:firstLine="360"/>
        <w:rPr>
          <w:sz w:val="20"/>
          <w:szCs w:val="20"/>
        </w:rPr>
      </w:pPr>
      <w:r>
        <w:rPr>
          <w:rFonts w:ascii="Arial" w:eastAsia="Arial" w:hAnsi="Arial" w:cs="Arial"/>
          <w:sz w:val="18"/>
          <w:szCs w:val="18"/>
        </w:rPr>
        <w:t>Beginning in the third quarter of 2020, we launched a profit improvement plan to enable the go-forward strategy of the business and reduce costs. We focused on four ma</w:t>
      </w:r>
      <w:r>
        <w:rPr>
          <w:rFonts w:ascii="Arial" w:eastAsia="Arial" w:hAnsi="Arial" w:cs="Arial"/>
          <w:sz w:val="18"/>
          <w:szCs w:val="18"/>
        </w:rPr>
        <w:t>in strategic actions which have delivered improved operating income:</w:t>
      </w:r>
    </w:p>
    <w:p w14:paraId="4AF7D464" w14:textId="77777777" w:rsidR="00D1587D" w:rsidRDefault="00D1587D">
      <w:pPr>
        <w:spacing w:line="76" w:lineRule="exact"/>
        <w:rPr>
          <w:sz w:val="20"/>
          <w:szCs w:val="20"/>
        </w:rPr>
      </w:pPr>
    </w:p>
    <w:p w14:paraId="209BD7FF" w14:textId="77777777" w:rsidR="00D1587D" w:rsidRDefault="00410D07" w:rsidP="00410D07">
      <w:pPr>
        <w:numPr>
          <w:ilvl w:val="0"/>
          <w:numId w:val="298"/>
        </w:numPr>
        <w:tabs>
          <w:tab w:val="left" w:pos="1000"/>
        </w:tabs>
        <w:spacing w:line="286" w:lineRule="auto"/>
        <w:ind w:left="1000" w:right="319" w:hanging="348"/>
        <w:rPr>
          <w:rFonts w:ascii="Arial" w:eastAsia="Arial" w:hAnsi="Arial" w:cs="Arial"/>
          <w:sz w:val="17"/>
          <w:szCs w:val="17"/>
        </w:rPr>
      </w:pPr>
      <w:r>
        <w:rPr>
          <w:rFonts w:ascii="Arial" w:eastAsia="Arial" w:hAnsi="Arial" w:cs="Arial"/>
          <w:b/>
          <w:bCs/>
          <w:i/>
          <w:iCs/>
          <w:sz w:val="17"/>
          <w:szCs w:val="17"/>
        </w:rPr>
        <w:t xml:space="preserve">Merchandise Margin Rate Expansion. </w:t>
      </w:r>
      <w:r>
        <w:rPr>
          <w:rFonts w:ascii="Arial" w:eastAsia="Arial" w:hAnsi="Arial" w:cs="Arial"/>
          <w:sz w:val="17"/>
          <w:szCs w:val="17"/>
        </w:rPr>
        <w:t>With improved assortment and disciplined inventory management,</w:t>
      </w:r>
      <w:r>
        <w:rPr>
          <w:rFonts w:ascii="Arial" w:eastAsia="Arial" w:hAnsi="Arial" w:cs="Arial"/>
          <w:b/>
          <w:bCs/>
          <w:i/>
          <w:iCs/>
          <w:sz w:val="17"/>
          <w:szCs w:val="17"/>
        </w:rPr>
        <w:t xml:space="preserve"> </w:t>
      </w:r>
      <w:r>
        <w:rPr>
          <w:rFonts w:ascii="Arial" w:eastAsia="Arial" w:hAnsi="Arial" w:cs="Arial"/>
          <w:sz w:val="17"/>
          <w:szCs w:val="17"/>
        </w:rPr>
        <w:t xml:space="preserve">we drove a significant increase in our merchandise margin rate in the first </w:t>
      </w:r>
      <w:r>
        <w:rPr>
          <w:rFonts w:ascii="Arial" w:eastAsia="Arial" w:hAnsi="Arial" w:cs="Arial"/>
          <w:sz w:val="17"/>
          <w:szCs w:val="17"/>
        </w:rPr>
        <w:t>quarter of 2021 and in 2020, resulting from a pullback in promotions and a shift to more full-priced selling.</w:t>
      </w:r>
    </w:p>
    <w:p w14:paraId="15BA190C" w14:textId="77777777" w:rsidR="00D1587D" w:rsidRDefault="00D1587D">
      <w:pPr>
        <w:spacing w:line="57" w:lineRule="exact"/>
        <w:rPr>
          <w:rFonts w:ascii="Arial" w:eastAsia="Arial" w:hAnsi="Arial" w:cs="Arial"/>
          <w:sz w:val="17"/>
          <w:szCs w:val="17"/>
        </w:rPr>
      </w:pPr>
    </w:p>
    <w:p w14:paraId="1F5F98CF" w14:textId="77777777" w:rsidR="00D1587D" w:rsidRDefault="00410D07" w:rsidP="00410D07">
      <w:pPr>
        <w:numPr>
          <w:ilvl w:val="0"/>
          <w:numId w:val="298"/>
        </w:numPr>
        <w:tabs>
          <w:tab w:val="left" w:pos="1000"/>
        </w:tabs>
        <w:spacing w:line="259" w:lineRule="auto"/>
        <w:ind w:left="1000" w:right="499" w:hanging="348"/>
        <w:rPr>
          <w:rFonts w:ascii="Arial" w:eastAsia="Arial" w:hAnsi="Arial" w:cs="Arial"/>
          <w:sz w:val="18"/>
          <w:szCs w:val="18"/>
        </w:rPr>
      </w:pPr>
      <w:r>
        <w:rPr>
          <w:rFonts w:ascii="Arial" w:eastAsia="Arial" w:hAnsi="Arial" w:cs="Arial"/>
          <w:b/>
          <w:bCs/>
          <w:i/>
          <w:iCs/>
          <w:sz w:val="18"/>
          <w:szCs w:val="18"/>
        </w:rPr>
        <w:t xml:space="preserve">Improved Store Performance. </w:t>
      </w:r>
      <w:r>
        <w:rPr>
          <w:rFonts w:ascii="Arial" w:eastAsia="Arial" w:hAnsi="Arial" w:cs="Arial"/>
          <w:sz w:val="18"/>
          <w:szCs w:val="18"/>
        </w:rPr>
        <w:t>Key initiatives in North American stores include simplified execution</w:t>
      </w:r>
      <w:r>
        <w:rPr>
          <w:rFonts w:ascii="Arial" w:eastAsia="Arial" w:hAnsi="Arial" w:cs="Arial"/>
          <w:b/>
          <w:bCs/>
          <w:i/>
          <w:iCs/>
          <w:sz w:val="18"/>
          <w:szCs w:val="18"/>
        </w:rPr>
        <w:t xml:space="preserve"> </w:t>
      </w:r>
      <w:r>
        <w:rPr>
          <w:rFonts w:ascii="Arial" w:eastAsia="Arial" w:hAnsi="Arial" w:cs="Arial"/>
          <w:sz w:val="18"/>
          <w:szCs w:val="18"/>
        </w:rPr>
        <w:t xml:space="preserve">through the permanent closure of 241 stores in </w:t>
      </w:r>
      <w:r>
        <w:rPr>
          <w:rFonts w:ascii="Arial" w:eastAsia="Arial" w:hAnsi="Arial" w:cs="Arial"/>
          <w:sz w:val="18"/>
          <w:szCs w:val="18"/>
        </w:rPr>
        <w:t>2020, store labor optimization through an enhanced labor model, fewer floorset moves and a rightsizing of store leadership models, resulting in a decrease in store selling costs.</w:t>
      </w:r>
    </w:p>
    <w:p w14:paraId="31760090" w14:textId="77777777" w:rsidR="00D1587D" w:rsidRDefault="00D1587D">
      <w:pPr>
        <w:spacing w:line="78" w:lineRule="exact"/>
        <w:rPr>
          <w:rFonts w:ascii="Arial" w:eastAsia="Arial" w:hAnsi="Arial" w:cs="Arial"/>
          <w:sz w:val="18"/>
          <w:szCs w:val="18"/>
        </w:rPr>
      </w:pPr>
    </w:p>
    <w:p w14:paraId="1700531B" w14:textId="77777777" w:rsidR="00D1587D" w:rsidRDefault="00410D07" w:rsidP="00410D07">
      <w:pPr>
        <w:numPr>
          <w:ilvl w:val="0"/>
          <w:numId w:val="298"/>
        </w:numPr>
        <w:tabs>
          <w:tab w:val="left" w:pos="1000"/>
        </w:tabs>
        <w:spacing w:line="290" w:lineRule="auto"/>
        <w:ind w:left="1000" w:right="319" w:hanging="348"/>
        <w:rPr>
          <w:rFonts w:ascii="Arial" w:eastAsia="Arial" w:hAnsi="Arial" w:cs="Arial"/>
          <w:sz w:val="16"/>
          <w:szCs w:val="16"/>
        </w:rPr>
      </w:pPr>
      <w:r>
        <w:rPr>
          <w:rFonts w:ascii="Arial" w:eastAsia="Arial" w:hAnsi="Arial" w:cs="Arial"/>
          <w:b/>
          <w:bCs/>
          <w:i/>
          <w:iCs/>
          <w:sz w:val="16"/>
          <w:szCs w:val="16"/>
        </w:rPr>
        <w:t xml:space="preserve">International Restructuring. </w:t>
      </w:r>
      <w:r>
        <w:rPr>
          <w:rFonts w:ascii="Arial" w:eastAsia="Arial" w:hAnsi="Arial" w:cs="Arial"/>
          <w:sz w:val="16"/>
          <w:szCs w:val="16"/>
        </w:rPr>
        <w:t>Through 2020, we took actions to improve perfor</w:t>
      </w:r>
      <w:r>
        <w:rPr>
          <w:rFonts w:ascii="Arial" w:eastAsia="Arial" w:hAnsi="Arial" w:cs="Arial"/>
          <w:sz w:val="16"/>
          <w:szCs w:val="16"/>
        </w:rPr>
        <w:t>mance in our international</w:t>
      </w:r>
      <w:r>
        <w:rPr>
          <w:rFonts w:ascii="Arial" w:eastAsia="Arial" w:hAnsi="Arial" w:cs="Arial"/>
          <w:b/>
          <w:bCs/>
          <w:i/>
          <w:iCs/>
          <w:sz w:val="16"/>
          <w:szCs w:val="16"/>
        </w:rPr>
        <w:t xml:space="preserve"> </w:t>
      </w:r>
      <w:r>
        <w:rPr>
          <w:rFonts w:ascii="Arial" w:eastAsia="Arial" w:hAnsi="Arial" w:cs="Arial"/>
          <w:sz w:val="16"/>
          <w:szCs w:val="16"/>
        </w:rPr>
        <w:t>business, primarily in the United Kingdom, Ireland and China. We transitioned our U.K. and Ireland business to a joint venture with a native U.K. retail business, Next. Partnering with Next allows us to not only leverage our exis</w:t>
      </w:r>
      <w:r>
        <w:rPr>
          <w:rFonts w:ascii="Arial" w:eastAsia="Arial" w:hAnsi="Arial" w:cs="Arial"/>
          <w:sz w:val="16"/>
          <w:szCs w:val="16"/>
        </w:rPr>
        <w:t>ting scale and capabilities, but also build upon Next’s digital platform. In China, we closed our Hong Kong flagship store, renegotiated our leases for key street locations and reduced overhead in our home office. We also made digital growth in internation</w:t>
      </w:r>
      <w:r>
        <w:rPr>
          <w:rFonts w:ascii="Arial" w:eastAsia="Arial" w:hAnsi="Arial" w:cs="Arial"/>
          <w:sz w:val="16"/>
          <w:szCs w:val="16"/>
        </w:rPr>
        <w:t>al markets a priority. Through the first quarter of 2021, we grew our digital footprint with additional web and social commerce sites to a total of 26 as of May 1, 2021, across partner and company owned operations.</w:t>
      </w:r>
    </w:p>
    <w:p w14:paraId="0280EE88" w14:textId="77777777" w:rsidR="00D1587D" w:rsidRDefault="00D1587D">
      <w:pPr>
        <w:spacing w:line="165" w:lineRule="exact"/>
        <w:rPr>
          <w:sz w:val="20"/>
          <w:szCs w:val="20"/>
        </w:rPr>
      </w:pPr>
    </w:p>
    <w:p w14:paraId="274B81F8" w14:textId="77777777" w:rsidR="00D1587D" w:rsidRDefault="00410D07">
      <w:pPr>
        <w:ind w:right="19"/>
        <w:jc w:val="center"/>
        <w:rPr>
          <w:sz w:val="20"/>
          <w:szCs w:val="20"/>
        </w:rPr>
      </w:pPr>
      <w:r>
        <w:rPr>
          <w:rFonts w:ascii="Arial" w:eastAsia="Arial" w:hAnsi="Arial" w:cs="Arial"/>
          <w:sz w:val="18"/>
          <w:szCs w:val="18"/>
        </w:rPr>
        <w:t>93</w:t>
      </w:r>
    </w:p>
    <w:p w14:paraId="16C5C12B" w14:textId="77777777" w:rsidR="00D1587D" w:rsidRDefault="00410D07">
      <w:pPr>
        <w:spacing w:line="20" w:lineRule="exact"/>
        <w:rPr>
          <w:sz w:val="20"/>
          <w:szCs w:val="20"/>
        </w:rPr>
      </w:pPr>
      <w:r>
        <w:rPr>
          <w:noProof/>
          <w:sz w:val="20"/>
          <w:szCs w:val="20"/>
        </w:rPr>
        <w:drawing>
          <wp:anchor distT="0" distB="0" distL="114300" distR="114300" simplePos="0" relativeHeight="251786240" behindDoc="1" locked="0" layoutInCell="0" allowOverlap="1" wp14:anchorId="02A11E92" wp14:editId="7A1E708C">
            <wp:simplePos x="0" y="0"/>
            <wp:positionH relativeFrom="column">
              <wp:posOffset>-636905</wp:posOffset>
            </wp:positionH>
            <wp:positionV relativeFrom="paragraph">
              <wp:posOffset>126365</wp:posOffset>
            </wp:positionV>
            <wp:extent cx="6995160" cy="17145"/>
            <wp:effectExtent l="0" t="0" r="0" b="0"/>
            <wp:wrapNone/>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B905055" w14:textId="77777777" w:rsidR="00D1587D" w:rsidRDefault="00D1587D">
      <w:pPr>
        <w:sectPr w:rsidR="00D1587D">
          <w:pgSz w:w="11900" w:h="16838"/>
          <w:pgMar w:top="265" w:right="1440" w:bottom="1440" w:left="1440" w:header="0" w:footer="0" w:gutter="0"/>
          <w:cols w:space="720" w:equalWidth="0">
            <w:col w:w="9019"/>
          </w:cols>
        </w:sectPr>
      </w:pPr>
    </w:p>
    <w:bookmarkStart w:id="351" w:name="page352"/>
    <w:bookmarkEnd w:id="351"/>
    <w:p w14:paraId="2A66B22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0CE7EBB" w14:textId="77777777" w:rsidR="00D1587D" w:rsidRDefault="00D1587D">
      <w:pPr>
        <w:spacing w:line="131" w:lineRule="exact"/>
        <w:rPr>
          <w:sz w:val="20"/>
          <w:szCs w:val="20"/>
        </w:rPr>
      </w:pPr>
    </w:p>
    <w:p w14:paraId="4CE0949D" w14:textId="77777777" w:rsidR="00D1587D" w:rsidRDefault="00410D07" w:rsidP="00410D07">
      <w:pPr>
        <w:numPr>
          <w:ilvl w:val="0"/>
          <w:numId w:val="299"/>
        </w:numPr>
        <w:tabs>
          <w:tab w:val="left" w:pos="1000"/>
        </w:tabs>
        <w:spacing w:line="301" w:lineRule="auto"/>
        <w:ind w:left="1000" w:right="479" w:hanging="348"/>
        <w:rPr>
          <w:rFonts w:ascii="Arial" w:eastAsia="Arial" w:hAnsi="Arial" w:cs="Arial"/>
          <w:sz w:val="16"/>
          <w:szCs w:val="16"/>
        </w:rPr>
      </w:pPr>
      <w:r>
        <w:rPr>
          <w:rFonts w:ascii="Arial" w:eastAsia="Arial" w:hAnsi="Arial" w:cs="Arial"/>
          <w:b/>
          <w:bCs/>
          <w:i/>
          <w:iCs/>
          <w:sz w:val="16"/>
          <w:szCs w:val="16"/>
        </w:rPr>
        <w:t xml:space="preserve">Reorganized Corporate Office. </w:t>
      </w:r>
      <w:r>
        <w:rPr>
          <w:rFonts w:ascii="Arial" w:eastAsia="Arial" w:hAnsi="Arial" w:cs="Arial"/>
          <w:sz w:val="16"/>
          <w:szCs w:val="16"/>
        </w:rPr>
        <w:t>In 2020, we performed an organizational review of the business to right-size and realign all major corporate functions to better support a standalone VS business. Home office head</w:t>
      </w:r>
      <w:r>
        <w:rPr>
          <w:rFonts w:ascii="Arial" w:eastAsia="Arial" w:hAnsi="Arial" w:cs="Arial"/>
          <w:sz w:val="16"/>
          <w:szCs w:val="16"/>
        </w:rPr>
        <w:t>count was reduced by approximately 25%. The goal of the restructuring was to create an effective, efficient and independent organizational structure to support a high performing business and culture.</w:t>
      </w:r>
    </w:p>
    <w:p w14:paraId="5EB22C37" w14:textId="77777777" w:rsidR="00D1587D" w:rsidRDefault="00D1587D">
      <w:pPr>
        <w:spacing w:line="221" w:lineRule="exact"/>
        <w:rPr>
          <w:sz w:val="20"/>
          <w:szCs w:val="20"/>
        </w:rPr>
      </w:pPr>
    </w:p>
    <w:p w14:paraId="74572A5F" w14:textId="77777777" w:rsidR="00D1587D" w:rsidRDefault="00410D07">
      <w:pPr>
        <w:ind w:left="300"/>
        <w:rPr>
          <w:sz w:val="20"/>
          <w:szCs w:val="20"/>
        </w:rPr>
      </w:pPr>
      <w:r>
        <w:rPr>
          <w:rFonts w:ascii="Arial" w:eastAsia="Arial" w:hAnsi="Arial" w:cs="Arial"/>
          <w:b/>
          <w:bCs/>
          <w:sz w:val="18"/>
          <w:szCs w:val="18"/>
        </w:rPr>
        <w:t>Our Brands</w:t>
      </w:r>
    </w:p>
    <w:p w14:paraId="4F016A09" w14:textId="77777777" w:rsidR="00D1587D" w:rsidRDefault="00D1587D">
      <w:pPr>
        <w:spacing w:line="121" w:lineRule="exact"/>
        <w:rPr>
          <w:sz w:val="20"/>
          <w:szCs w:val="20"/>
        </w:rPr>
      </w:pPr>
    </w:p>
    <w:p w14:paraId="044DA7ED" w14:textId="77777777" w:rsidR="00D1587D" w:rsidRDefault="00410D07">
      <w:pPr>
        <w:spacing w:line="308" w:lineRule="auto"/>
        <w:ind w:left="300" w:right="319" w:firstLine="360"/>
        <w:rPr>
          <w:sz w:val="20"/>
          <w:szCs w:val="20"/>
        </w:rPr>
      </w:pPr>
      <w:r>
        <w:rPr>
          <w:rFonts w:ascii="Arial" w:eastAsia="Arial" w:hAnsi="Arial" w:cs="Arial"/>
          <w:sz w:val="17"/>
          <w:szCs w:val="17"/>
        </w:rPr>
        <w:t xml:space="preserve">Our business operates two </w:t>
      </w:r>
      <w:r>
        <w:rPr>
          <w:rFonts w:ascii="Arial" w:eastAsia="Arial" w:hAnsi="Arial" w:cs="Arial"/>
          <w:sz w:val="17"/>
          <w:szCs w:val="17"/>
        </w:rPr>
        <w:t>category-defining intimates and beauty brands, Victoria’s Secret and PINK. We offer a range of products across intimate apparel, sleepwear, loungewear, swimwear and beauty.</w:t>
      </w:r>
    </w:p>
    <w:p w14:paraId="322FDB9B" w14:textId="77777777" w:rsidR="00D1587D" w:rsidRDefault="00D1587D">
      <w:pPr>
        <w:spacing w:line="214" w:lineRule="exact"/>
        <w:rPr>
          <w:sz w:val="20"/>
          <w:szCs w:val="20"/>
        </w:rPr>
      </w:pPr>
    </w:p>
    <w:p w14:paraId="71089F19" w14:textId="77777777" w:rsidR="00D1587D" w:rsidRDefault="00410D07">
      <w:pPr>
        <w:ind w:left="300"/>
        <w:rPr>
          <w:sz w:val="20"/>
          <w:szCs w:val="20"/>
        </w:rPr>
      </w:pPr>
      <w:r>
        <w:rPr>
          <w:rFonts w:ascii="Arial" w:eastAsia="Arial" w:hAnsi="Arial" w:cs="Arial"/>
          <w:b/>
          <w:bCs/>
          <w:i/>
          <w:iCs/>
          <w:sz w:val="18"/>
          <w:szCs w:val="18"/>
        </w:rPr>
        <w:t>Victoria’s Secret</w:t>
      </w:r>
    </w:p>
    <w:p w14:paraId="72CC8175" w14:textId="77777777" w:rsidR="00D1587D" w:rsidRDefault="00D1587D">
      <w:pPr>
        <w:spacing w:line="117" w:lineRule="exact"/>
        <w:rPr>
          <w:sz w:val="20"/>
          <w:szCs w:val="20"/>
        </w:rPr>
      </w:pPr>
    </w:p>
    <w:p w14:paraId="2A8F5D9E" w14:textId="77777777" w:rsidR="00D1587D" w:rsidRDefault="00410D07">
      <w:pPr>
        <w:spacing w:line="255" w:lineRule="auto"/>
        <w:ind w:left="300" w:right="319" w:firstLine="360"/>
        <w:rPr>
          <w:sz w:val="20"/>
          <w:szCs w:val="20"/>
        </w:rPr>
      </w:pPr>
      <w:r>
        <w:rPr>
          <w:rFonts w:ascii="Arial" w:eastAsia="Arial" w:hAnsi="Arial" w:cs="Arial"/>
          <w:sz w:val="18"/>
          <w:szCs w:val="18"/>
        </w:rPr>
        <w:t xml:space="preserve">Victoria’s Secret is a leading lingerie brand, with an </w:t>
      </w:r>
      <w:r>
        <w:rPr>
          <w:rFonts w:ascii="Arial" w:eastAsia="Arial" w:hAnsi="Arial" w:cs="Arial"/>
          <w:sz w:val="18"/>
          <w:szCs w:val="18"/>
        </w:rPr>
        <w:t>established history of over 40 years. The Victoria’s Secret brand celebrates female confidence and inspires women with beautiful products and experiences. Victoria’s Secret offers bras, panties, lingerie, sleepwear, loungewear, sport and swim products acro</w:t>
      </w:r>
      <w:r>
        <w:rPr>
          <w:rFonts w:ascii="Arial" w:eastAsia="Arial" w:hAnsi="Arial" w:cs="Arial"/>
          <w:sz w:val="18"/>
          <w:szCs w:val="18"/>
        </w:rPr>
        <w:t>ss its global retail locations and its online e-commerce channel. Bras and panties represent the two largest categories today for Victoria’s Secret, accounting for over 65% of the brand’s 2020 retail sales. We believe our assortment is differentiated by ou</w:t>
      </w:r>
      <w:r>
        <w:rPr>
          <w:rFonts w:ascii="Arial" w:eastAsia="Arial" w:hAnsi="Arial" w:cs="Arial"/>
          <w:sz w:val="18"/>
          <w:szCs w:val="18"/>
        </w:rPr>
        <w:t>r focus on fit, comfort and quality.</w:t>
      </w:r>
    </w:p>
    <w:p w14:paraId="59073077" w14:textId="77777777" w:rsidR="00D1587D" w:rsidRDefault="00D1587D">
      <w:pPr>
        <w:spacing w:line="246" w:lineRule="exact"/>
        <w:rPr>
          <w:sz w:val="20"/>
          <w:szCs w:val="20"/>
        </w:rPr>
      </w:pPr>
    </w:p>
    <w:p w14:paraId="03DB3CAC" w14:textId="77777777" w:rsidR="00D1587D" w:rsidRDefault="00410D07">
      <w:pPr>
        <w:ind w:left="300"/>
        <w:rPr>
          <w:sz w:val="20"/>
          <w:szCs w:val="20"/>
        </w:rPr>
      </w:pPr>
      <w:r>
        <w:rPr>
          <w:rFonts w:ascii="Arial" w:eastAsia="Arial" w:hAnsi="Arial" w:cs="Arial"/>
          <w:b/>
          <w:bCs/>
          <w:i/>
          <w:iCs/>
          <w:sz w:val="18"/>
          <w:szCs w:val="18"/>
        </w:rPr>
        <w:t>PINK</w:t>
      </w:r>
    </w:p>
    <w:p w14:paraId="0CB33421" w14:textId="77777777" w:rsidR="00D1587D" w:rsidRDefault="00D1587D">
      <w:pPr>
        <w:spacing w:line="117" w:lineRule="exact"/>
        <w:rPr>
          <w:sz w:val="20"/>
          <w:szCs w:val="20"/>
        </w:rPr>
      </w:pPr>
    </w:p>
    <w:p w14:paraId="51E39ED1" w14:textId="77777777" w:rsidR="00D1587D" w:rsidRDefault="00410D07">
      <w:pPr>
        <w:spacing w:line="272" w:lineRule="auto"/>
        <w:ind w:left="300" w:right="399" w:firstLine="360"/>
        <w:rPr>
          <w:sz w:val="20"/>
          <w:szCs w:val="20"/>
        </w:rPr>
      </w:pPr>
      <w:r>
        <w:rPr>
          <w:rFonts w:ascii="Arial" w:eastAsia="Arial" w:hAnsi="Arial" w:cs="Arial"/>
          <w:sz w:val="17"/>
          <w:szCs w:val="17"/>
        </w:rPr>
        <w:t>PINK is a lifestyle brand that is focused on celebrating and supporting diversity, equity, inclusion, self-confidence and individuality. The brand focuses on a collegiate-oriented customer. Our products are desig</w:t>
      </w:r>
      <w:r>
        <w:rPr>
          <w:rFonts w:ascii="Arial" w:eastAsia="Arial" w:hAnsi="Arial" w:cs="Arial"/>
          <w:sz w:val="17"/>
          <w:szCs w:val="17"/>
        </w:rPr>
        <w:t>ned to make customers feel good both inside and out, and include bras, panties, active wear, loungewear, accessories and swimwear, which was recently re-introduced to the assortment, with bras and apparel representing the two largest categories. PINK is so</w:t>
      </w:r>
      <w:r>
        <w:rPr>
          <w:rFonts w:ascii="Arial" w:eastAsia="Arial" w:hAnsi="Arial" w:cs="Arial"/>
          <w:sz w:val="17"/>
          <w:szCs w:val="17"/>
        </w:rPr>
        <w:t>ld across North America and internationally at Victoria’s Secret and PINK retail stores and online. Loyal PINK customers can join PINK Nation, a free, members-only online community for exclusive special offers and the inside scoop on all things PINK.</w:t>
      </w:r>
    </w:p>
    <w:p w14:paraId="2450A70C" w14:textId="77777777" w:rsidR="00D1587D" w:rsidRDefault="00D1587D">
      <w:pPr>
        <w:spacing w:line="245" w:lineRule="exact"/>
        <w:rPr>
          <w:sz w:val="20"/>
          <w:szCs w:val="20"/>
        </w:rPr>
      </w:pPr>
    </w:p>
    <w:p w14:paraId="45253925" w14:textId="77777777" w:rsidR="00D1587D" w:rsidRDefault="00410D07">
      <w:pPr>
        <w:ind w:left="300"/>
        <w:rPr>
          <w:sz w:val="20"/>
          <w:szCs w:val="20"/>
        </w:rPr>
      </w:pPr>
      <w:r>
        <w:rPr>
          <w:rFonts w:ascii="Arial" w:eastAsia="Arial" w:hAnsi="Arial" w:cs="Arial"/>
          <w:b/>
          <w:bCs/>
          <w:i/>
          <w:iCs/>
          <w:sz w:val="18"/>
          <w:szCs w:val="18"/>
        </w:rPr>
        <w:t>Vict</w:t>
      </w:r>
      <w:r>
        <w:rPr>
          <w:rFonts w:ascii="Arial" w:eastAsia="Arial" w:hAnsi="Arial" w:cs="Arial"/>
          <w:b/>
          <w:bCs/>
          <w:i/>
          <w:iCs/>
          <w:sz w:val="18"/>
          <w:szCs w:val="18"/>
        </w:rPr>
        <w:t>oria’s Secret Beauty</w:t>
      </w:r>
    </w:p>
    <w:p w14:paraId="400E2CB7" w14:textId="77777777" w:rsidR="00D1587D" w:rsidRDefault="00D1587D">
      <w:pPr>
        <w:spacing w:line="117" w:lineRule="exact"/>
        <w:rPr>
          <w:sz w:val="20"/>
          <w:szCs w:val="20"/>
        </w:rPr>
      </w:pPr>
    </w:p>
    <w:p w14:paraId="7AD62E03" w14:textId="77777777" w:rsidR="00D1587D" w:rsidRDefault="00410D07">
      <w:pPr>
        <w:spacing w:line="213" w:lineRule="auto"/>
        <w:ind w:left="300" w:right="339" w:firstLine="360"/>
        <w:rPr>
          <w:sz w:val="20"/>
          <w:szCs w:val="20"/>
        </w:rPr>
      </w:pPr>
      <w:r>
        <w:rPr>
          <w:rFonts w:ascii="Arial" w:eastAsia="Arial" w:hAnsi="Arial" w:cs="Arial"/>
          <w:sz w:val="17"/>
          <w:szCs w:val="17"/>
        </w:rPr>
        <w:t>Victoria’s Secret Beauty expands our offering and enhances our emotional connection to our customers. To complement the core Victoria’s Secret offering, VS launched its first fragrance line in 1991. Today, the Victoria’s Secret Beauty</w:t>
      </w:r>
      <w:r>
        <w:rPr>
          <w:rFonts w:ascii="Arial" w:eastAsia="Arial" w:hAnsi="Arial" w:cs="Arial"/>
          <w:sz w:val="17"/>
          <w:szCs w:val="17"/>
        </w:rPr>
        <w:t xml:space="preserve"> business has grown to be the #1 fragrance brand in America.</w:t>
      </w:r>
      <w:r>
        <w:rPr>
          <w:rFonts w:ascii="Arial" w:eastAsia="Arial" w:hAnsi="Arial" w:cs="Arial"/>
          <w:sz w:val="28"/>
          <w:szCs w:val="28"/>
          <w:vertAlign w:val="superscript"/>
        </w:rPr>
        <w:t>1</w:t>
      </w:r>
      <w:r>
        <w:rPr>
          <w:rFonts w:ascii="Arial" w:eastAsia="Arial" w:hAnsi="Arial" w:cs="Arial"/>
          <w:sz w:val="17"/>
          <w:szCs w:val="17"/>
        </w:rPr>
        <w:t xml:space="preserve"> In addition, our Bombshell franchise is the #1 fragrance in America.</w:t>
      </w:r>
      <w:r>
        <w:rPr>
          <w:rFonts w:ascii="Arial" w:eastAsia="Arial" w:hAnsi="Arial" w:cs="Arial"/>
          <w:sz w:val="28"/>
          <w:szCs w:val="28"/>
          <w:vertAlign w:val="superscript"/>
        </w:rPr>
        <w:t>2</w:t>
      </w:r>
      <w:r>
        <w:rPr>
          <w:rFonts w:ascii="Arial" w:eastAsia="Arial" w:hAnsi="Arial" w:cs="Arial"/>
          <w:sz w:val="17"/>
          <w:szCs w:val="17"/>
        </w:rPr>
        <w:t xml:space="preserve"> Beauty products include fine fragrance, mists, PINK Beauty products and accessories. Products are sold at Victoria’s Secret </w:t>
      </w:r>
      <w:r>
        <w:rPr>
          <w:rFonts w:ascii="Arial" w:eastAsia="Arial" w:hAnsi="Arial" w:cs="Arial"/>
          <w:sz w:val="17"/>
          <w:szCs w:val="17"/>
        </w:rPr>
        <w:t>specialty retail stores and online.</w:t>
      </w:r>
    </w:p>
    <w:p w14:paraId="05B01883" w14:textId="77777777" w:rsidR="00D1587D" w:rsidRDefault="00D1587D">
      <w:pPr>
        <w:spacing w:line="268" w:lineRule="exact"/>
        <w:rPr>
          <w:sz w:val="20"/>
          <w:szCs w:val="20"/>
        </w:rPr>
      </w:pPr>
    </w:p>
    <w:p w14:paraId="4FA910F6" w14:textId="77777777" w:rsidR="00D1587D" w:rsidRDefault="00410D07">
      <w:pPr>
        <w:ind w:left="300"/>
        <w:rPr>
          <w:sz w:val="20"/>
          <w:szCs w:val="20"/>
        </w:rPr>
      </w:pPr>
      <w:r>
        <w:rPr>
          <w:rFonts w:ascii="Arial" w:eastAsia="Arial" w:hAnsi="Arial" w:cs="Arial"/>
          <w:b/>
          <w:bCs/>
          <w:sz w:val="18"/>
          <w:szCs w:val="18"/>
        </w:rPr>
        <w:t>Distribution Channels</w:t>
      </w:r>
    </w:p>
    <w:p w14:paraId="23FC9020" w14:textId="77777777" w:rsidR="00D1587D" w:rsidRDefault="00D1587D">
      <w:pPr>
        <w:spacing w:line="121" w:lineRule="exact"/>
        <w:rPr>
          <w:sz w:val="20"/>
          <w:szCs w:val="20"/>
        </w:rPr>
      </w:pPr>
    </w:p>
    <w:p w14:paraId="2B31DE8A" w14:textId="77777777" w:rsidR="00D1587D" w:rsidRDefault="00410D07">
      <w:pPr>
        <w:spacing w:line="342" w:lineRule="auto"/>
        <w:ind w:left="300" w:right="779" w:firstLine="360"/>
        <w:rPr>
          <w:sz w:val="20"/>
          <w:szCs w:val="20"/>
        </w:rPr>
      </w:pPr>
      <w:r>
        <w:rPr>
          <w:rFonts w:ascii="Arial" w:eastAsia="Arial" w:hAnsi="Arial" w:cs="Arial"/>
          <w:sz w:val="16"/>
          <w:szCs w:val="16"/>
        </w:rPr>
        <w:t xml:space="preserve">Our distribution channels include digital, North American stores and international stores. We utilize these channels to reach our consumers in the physical and digital locations they </w:t>
      </w:r>
      <w:r>
        <w:rPr>
          <w:rFonts w:ascii="Arial" w:eastAsia="Arial" w:hAnsi="Arial" w:cs="Arial"/>
          <w:sz w:val="16"/>
          <w:szCs w:val="16"/>
        </w:rPr>
        <w:t>frequent within their geographies.</w:t>
      </w:r>
    </w:p>
    <w:p w14:paraId="33330F7A" w14:textId="77777777" w:rsidR="00D1587D" w:rsidRDefault="00D1587D">
      <w:pPr>
        <w:spacing w:line="205" w:lineRule="exact"/>
        <w:rPr>
          <w:sz w:val="20"/>
          <w:szCs w:val="20"/>
        </w:rPr>
      </w:pPr>
    </w:p>
    <w:p w14:paraId="48E58FC4" w14:textId="77777777" w:rsidR="00D1587D" w:rsidRDefault="00410D07">
      <w:pPr>
        <w:ind w:left="300"/>
        <w:rPr>
          <w:sz w:val="20"/>
          <w:szCs w:val="20"/>
        </w:rPr>
      </w:pPr>
      <w:r>
        <w:rPr>
          <w:rFonts w:ascii="Arial" w:eastAsia="Arial" w:hAnsi="Arial" w:cs="Arial"/>
          <w:b/>
          <w:bCs/>
          <w:i/>
          <w:iCs/>
          <w:sz w:val="18"/>
          <w:szCs w:val="18"/>
        </w:rPr>
        <w:t>Digital</w:t>
      </w:r>
    </w:p>
    <w:p w14:paraId="29C920E1" w14:textId="77777777" w:rsidR="00D1587D" w:rsidRDefault="00D1587D">
      <w:pPr>
        <w:spacing w:line="117" w:lineRule="exact"/>
        <w:rPr>
          <w:sz w:val="20"/>
          <w:szCs w:val="20"/>
        </w:rPr>
      </w:pPr>
    </w:p>
    <w:p w14:paraId="23FF26F1" w14:textId="77777777" w:rsidR="00D1587D" w:rsidRDefault="00410D07">
      <w:pPr>
        <w:spacing w:line="263" w:lineRule="auto"/>
        <w:ind w:left="300" w:right="419" w:firstLine="360"/>
        <w:rPr>
          <w:sz w:val="20"/>
          <w:szCs w:val="20"/>
        </w:rPr>
      </w:pPr>
      <w:r>
        <w:rPr>
          <w:rFonts w:ascii="Arial" w:eastAsia="Arial" w:hAnsi="Arial" w:cs="Arial"/>
          <w:sz w:val="18"/>
          <w:szCs w:val="18"/>
        </w:rPr>
        <w:t>The digital channel is a key and growing distribution channel and accounted for approximately $2.2 billion, or 40%, of our revenues in 2020. The channel includes sales that are derived from our websites and mobi</w:t>
      </w:r>
      <w:r>
        <w:rPr>
          <w:rFonts w:ascii="Arial" w:eastAsia="Arial" w:hAnsi="Arial" w:cs="Arial"/>
          <w:sz w:val="18"/>
          <w:szCs w:val="18"/>
        </w:rPr>
        <w:t>le applications.</w:t>
      </w:r>
    </w:p>
    <w:p w14:paraId="0E859ECE" w14:textId="77777777" w:rsidR="00D1587D" w:rsidRDefault="00D1587D">
      <w:pPr>
        <w:spacing w:line="76" w:lineRule="exact"/>
        <w:rPr>
          <w:sz w:val="20"/>
          <w:szCs w:val="20"/>
        </w:rPr>
      </w:pPr>
    </w:p>
    <w:p w14:paraId="372A019B" w14:textId="77777777" w:rsidR="00D1587D" w:rsidRDefault="00410D07">
      <w:pPr>
        <w:spacing w:line="259" w:lineRule="auto"/>
        <w:ind w:left="300" w:right="599" w:firstLine="360"/>
        <w:jc w:val="both"/>
        <w:rPr>
          <w:sz w:val="20"/>
          <w:szCs w:val="20"/>
        </w:rPr>
      </w:pPr>
      <w:r>
        <w:rPr>
          <w:rFonts w:ascii="Arial" w:eastAsia="Arial" w:hAnsi="Arial" w:cs="Arial"/>
          <w:sz w:val="18"/>
          <w:szCs w:val="18"/>
        </w:rPr>
        <w:t>Our digital presence, including social media, our websites and our mobile applications, allows us to get to know our customers better and communicate with them anytime and anywhere. Our digital customers engage in more transactions relati</w:t>
      </w:r>
      <w:r>
        <w:rPr>
          <w:rFonts w:ascii="Arial" w:eastAsia="Arial" w:hAnsi="Arial" w:cs="Arial"/>
          <w:sz w:val="18"/>
          <w:szCs w:val="18"/>
        </w:rPr>
        <w:t>ve to non-digital customers. Within digital, we have taken a mobile-first approach to help drive sales.</w:t>
      </w:r>
    </w:p>
    <w:p w14:paraId="618C56B2" w14:textId="77777777" w:rsidR="00D1587D" w:rsidRDefault="00D1587D">
      <w:pPr>
        <w:spacing w:line="79" w:lineRule="exact"/>
        <w:rPr>
          <w:sz w:val="20"/>
          <w:szCs w:val="20"/>
        </w:rPr>
      </w:pPr>
    </w:p>
    <w:p w14:paraId="5FE6DE20" w14:textId="77777777" w:rsidR="00D1587D" w:rsidRDefault="00410D07">
      <w:pPr>
        <w:spacing w:line="263" w:lineRule="auto"/>
        <w:ind w:left="300" w:right="299" w:firstLine="360"/>
        <w:rPr>
          <w:sz w:val="20"/>
          <w:szCs w:val="20"/>
        </w:rPr>
      </w:pPr>
      <w:r>
        <w:rPr>
          <w:rFonts w:ascii="Arial" w:eastAsia="Arial" w:hAnsi="Arial" w:cs="Arial"/>
          <w:sz w:val="18"/>
          <w:szCs w:val="18"/>
        </w:rPr>
        <w:t>We have taken steps to modernize the digital platform, including the use of artificial intelligence-driven chatbots and geo-targeted digital marketing.</w:t>
      </w:r>
      <w:r>
        <w:rPr>
          <w:rFonts w:ascii="Arial" w:eastAsia="Arial" w:hAnsi="Arial" w:cs="Arial"/>
          <w:sz w:val="18"/>
          <w:szCs w:val="18"/>
        </w:rPr>
        <w:t xml:space="preserve"> Our digital platform is designed to further support our physical presence and contribute to the growth of omni-channel sales.</w:t>
      </w:r>
    </w:p>
    <w:p w14:paraId="36E46E4E" w14:textId="77777777" w:rsidR="00D1587D" w:rsidRDefault="00410D07">
      <w:pPr>
        <w:spacing w:line="20" w:lineRule="exact"/>
        <w:rPr>
          <w:sz w:val="20"/>
          <w:szCs w:val="20"/>
        </w:rPr>
      </w:pPr>
      <w:r>
        <w:rPr>
          <w:noProof/>
          <w:sz w:val="20"/>
          <w:szCs w:val="20"/>
        </w:rPr>
        <w:drawing>
          <wp:anchor distT="0" distB="0" distL="114300" distR="114300" simplePos="0" relativeHeight="251787264" behindDoc="1" locked="0" layoutInCell="0" allowOverlap="1" wp14:anchorId="7CD09CD3" wp14:editId="6A1D460F">
            <wp:simplePos x="0" y="0"/>
            <wp:positionH relativeFrom="column">
              <wp:posOffset>185420</wp:posOffset>
            </wp:positionH>
            <wp:positionV relativeFrom="paragraph">
              <wp:posOffset>22860</wp:posOffset>
            </wp:positionV>
            <wp:extent cx="822960" cy="8890"/>
            <wp:effectExtent l="0" t="0" r="0" b="0"/>
            <wp:wrapNone/>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746889C3" w14:textId="77777777" w:rsidR="00D1587D" w:rsidRDefault="00410D07" w:rsidP="00410D07">
      <w:pPr>
        <w:numPr>
          <w:ilvl w:val="0"/>
          <w:numId w:val="300"/>
        </w:numPr>
        <w:tabs>
          <w:tab w:val="left" w:pos="460"/>
        </w:tabs>
        <w:spacing w:line="237" w:lineRule="auto"/>
        <w:ind w:left="460" w:hanging="168"/>
        <w:rPr>
          <w:rFonts w:ascii="Arial" w:eastAsia="Arial" w:hAnsi="Arial" w:cs="Arial"/>
          <w:vertAlign w:val="superscript"/>
        </w:rPr>
      </w:pPr>
      <w:r>
        <w:rPr>
          <w:rFonts w:ascii="Arial" w:eastAsia="Arial" w:hAnsi="Arial" w:cs="Arial"/>
          <w:sz w:val="14"/>
          <w:szCs w:val="14"/>
        </w:rPr>
        <w:t>Source: Euromonitor, US retail unit sales, 2020, excluding mists. Aggregated sales of all Victoria’s Secret fragrance brands.</w:t>
      </w:r>
    </w:p>
    <w:p w14:paraId="6979FF77" w14:textId="77777777" w:rsidR="00D1587D" w:rsidRDefault="00410D07" w:rsidP="00410D07">
      <w:pPr>
        <w:numPr>
          <w:ilvl w:val="0"/>
          <w:numId w:val="301"/>
        </w:numPr>
        <w:tabs>
          <w:tab w:val="left" w:pos="460"/>
        </w:tabs>
        <w:spacing w:line="208" w:lineRule="auto"/>
        <w:ind w:left="460" w:hanging="168"/>
        <w:rPr>
          <w:rFonts w:ascii="Arial" w:eastAsia="Arial" w:hAnsi="Arial" w:cs="Arial"/>
          <w:vertAlign w:val="superscript"/>
        </w:rPr>
      </w:pPr>
      <w:r>
        <w:rPr>
          <w:rFonts w:ascii="Arial" w:eastAsia="Arial" w:hAnsi="Arial" w:cs="Arial"/>
          <w:sz w:val="14"/>
          <w:szCs w:val="14"/>
        </w:rPr>
        <w:t>Source: Euromonitor, US retail unit sales, 2020, excluding mists. Aggregated sales of Victoria’s Secret Bombshell fragrance.</w:t>
      </w:r>
    </w:p>
    <w:p w14:paraId="084A5B5D" w14:textId="77777777" w:rsidR="00D1587D" w:rsidRDefault="00D1587D">
      <w:pPr>
        <w:spacing w:line="187" w:lineRule="exact"/>
        <w:rPr>
          <w:sz w:val="20"/>
          <w:szCs w:val="20"/>
        </w:rPr>
      </w:pPr>
    </w:p>
    <w:p w14:paraId="279FBE2D" w14:textId="77777777" w:rsidR="00D1587D" w:rsidRDefault="00410D07">
      <w:pPr>
        <w:jc w:val="center"/>
        <w:rPr>
          <w:sz w:val="20"/>
          <w:szCs w:val="20"/>
        </w:rPr>
      </w:pPr>
      <w:r>
        <w:rPr>
          <w:rFonts w:ascii="Arial" w:eastAsia="Arial" w:hAnsi="Arial" w:cs="Arial"/>
          <w:sz w:val="18"/>
          <w:szCs w:val="18"/>
        </w:rPr>
        <w:t>94</w:t>
      </w:r>
    </w:p>
    <w:p w14:paraId="364F9173" w14:textId="77777777" w:rsidR="00D1587D" w:rsidRDefault="00410D07">
      <w:pPr>
        <w:spacing w:line="20" w:lineRule="exact"/>
        <w:rPr>
          <w:sz w:val="20"/>
          <w:szCs w:val="20"/>
        </w:rPr>
      </w:pPr>
      <w:r>
        <w:rPr>
          <w:noProof/>
          <w:sz w:val="20"/>
          <w:szCs w:val="20"/>
        </w:rPr>
        <w:drawing>
          <wp:anchor distT="0" distB="0" distL="114300" distR="114300" simplePos="0" relativeHeight="251788288" behindDoc="1" locked="0" layoutInCell="0" allowOverlap="1" wp14:anchorId="00158D96" wp14:editId="55E568B1">
            <wp:simplePos x="0" y="0"/>
            <wp:positionH relativeFrom="column">
              <wp:posOffset>-636905</wp:posOffset>
            </wp:positionH>
            <wp:positionV relativeFrom="paragraph">
              <wp:posOffset>126365</wp:posOffset>
            </wp:positionV>
            <wp:extent cx="6995160" cy="17145"/>
            <wp:effectExtent l="0" t="0" r="0" b="0"/>
            <wp:wrapNone/>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58BBF19" w14:textId="77777777" w:rsidR="00D1587D" w:rsidRDefault="00D1587D">
      <w:pPr>
        <w:sectPr w:rsidR="00D1587D">
          <w:pgSz w:w="11900" w:h="16838"/>
          <w:pgMar w:top="265" w:right="1440" w:bottom="1440" w:left="1440" w:header="0" w:footer="0" w:gutter="0"/>
          <w:cols w:space="720" w:equalWidth="0">
            <w:col w:w="9019"/>
          </w:cols>
        </w:sectPr>
      </w:pPr>
    </w:p>
    <w:bookmarkStart w:id="352" w:name="page353"/>
    <w:bookmarkEnd w:id="352"/>
    <w:p w14:paraId="7D2EDF2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A339012" w14:textId="77777777" w:rsidR="00D1587D" w:rsidRDefault="00D1587D">
      <w:pPr>
        <w:spacing w:line="131" w:lineRule="exact"/>
        <w:rPr>
          <w:sz w:val="20"/>
          <w:szCs w:val="20"/>
        </w:rPr>
      </w:pPr>
    </w:p>
    <w:p w14:paraId="772ABF4E" w14:textId="77777777" w:rsidR="00D1587D" w:rsidRDefault="00410D07">
      <w:pPr>
        <w:ind w:left="300"/>
        <w:rPr>
          <w:sz w:val="20"/>
          <w:szCs w:val="20"/>
        </w:rPr>
      </w:pPr>
      <w:r>
        <w:rPr>
          <w:rFonts w:ascii="Arial" w:eastAsia="Arial" w:hAnsi="Arial" w:cs="Arial"/>
          <w:b/>
          <w:bCs/>
          <w:i/>
          <w:iCs/>
          <w:sz w:val="18"/>
          <w:szCs w:val="18"/>
        </w:rPr>
        <w:t>North American Stores</w:t>
      </w:r>
    </w:p>
    <w:p w14:paraId="3DF9F917" w14:textId="77777777" w:rsidR="00D1587D" w:rsidRDefault="00D1587D">
      <w:pPr>
        <w:spacing w:line="117" w:lineRule="exact"/>
        <w:rPr>
          <w:sz w:val="20"/>
          <w:szCs w:val="20"/>
        </w:rPr>
      </w:pPr>
    </w:p>
    <w:p w14:paraId="39D5B49B" w14:textId="77777777" w:rsidR="00D1587D" w:rsidRDefault="00410D07">
      <w:pPr>
        <w:spacing w:line="311" w:lineRule="auto"/>
        <w:ind w:left="300" w:right="539" w:firstLine="360"/>
        <w:jc w:val="both"/>
        <w:rPr>
          <w:sz w:val="20"/>
          <w:szCs w:val="20"/>
        </w:rPr>
      </w:pPr>
      <w:r>
        <w:rPr>
          <w:rFonts w:ascii="Arial" w:eastAsia="Arial" w:hAnsi="Arial" w:cs="Arial"/>
          <w:sz w:val="16"/>
          <w:szCs w:val="16"/>
        </w:rPr>
        <w:t xml:space="preserve">The North American stores </w:t>
      </w:r>
      <w:r>
        <w:rPr>
          <w:rFonts w:ascii="Arial" w:eastAsia="Arial" w:hAnsi="Arial" w:cs="Arial"/>
          <w:sz w:val="16"/>
          <w:szCs w:val="16"/>
        </w:rPr>
        <w:t>channel represents the stores in our North American physical retail locations and accounted for approximately 50% of our revenues in 2020. We operate 867 physical locations as of May 1, 2021, including a range of full assortment stores, Victoria’s Secret L</w:t>
      </w:r>
      <w:r>
        <w:rPr>
          <w:rFonts w:ascii="Arial" w:eastAsia="Arial" w:hAnsi="Arial" w:cs="Arial"/>
          <w:sz w:val="16"/>
          <w:szCs w:val="16"/>
        </w:rPr>
        <w:t>ingerie stores and free-standing PINK stores.</w:t>
      </w:r>
    </w:p>
    <w:p w14:paraId="567E8290" w14:textId="77777777" w:rsidR="00D1587D" w:rsidRDefault="00D1587D">
      <w:pPr>
        <w:spacing w:line="41" w:lineRule="exact"/>
        <w:rPr>
          <w:sz w:val="20"/>
          <w:szCs w:val="20"/>
        </w:rPr>
      </w:pPr>
    </w:p>
    <w:p w14:paraId="4E63A980" w14:textId="77777777" w:rsidR="00D1587D" w:rsidRDefault="00410D07">
      <w:pPr>
        <w:spacing w:line="259" w:lineRule="auto"/>
        <w:ind w:left="300" w:right="519" w:firstLine="360"/>
        <w:rPr>
          <w:sz w:val="20"/>
          <w:szCs w:val="20"/>
        </w:rPr>
      </w:pPr>
      <w:r>
        <w:rPr>
          <w:rFonts w:ascii="Arial" w:eastAsia="Arial" w:hAnsi="Arial" w:cs="Arial"/>
          <w:sz w:val="18"/>
          <w:szCs w:val="18"/>
        </w:rPr>
        <w:t>We are investing in our physical stores by refreshing existing stores and developing a prototype for a store of the future. We continue to right-size our stores to optimize our physical retail footprint and en</w:t>
      </w:r>
      <w:r>
        <w:rPr>
          <w:rFonts w:ascii="Arial" w:eastAsia="Arial" w:hAnsi="Arial" w:cs="Arial"/>
          <w:sz w:val="18"/>
          <w:szCs w:val="18"/>
        </w:rPr>
        <w:t>able omni-channel sales. Additionally, we are investing in our people through field talent and leadership development to optimize the customer experience.</w:t>
      </w:r>
    </w:p>
    <w:p w14:paraId="606A6F83" w14:textId="77777777" w:rsidR="00D1587D" w:rsidRDefault="00D1587D">
      <w:pPr>
        <w:spacing w:line="281" w:lineRule="exact"/>
        <w:rPr>
          <w:sz w:val="20"/>
          <w:szCs w:val="20"/>
        </w:rPr>
      </w:pPr>
    </w:p>
    <w:p w14:paraId="6E44D086" w14:textId="77777777" w:rsidR="00D1587D" w:rsidRDefault="00410D07">
      <w:pPr>
        <w:ind w:left="300"/>
        <w:rPr>
          <w:sz w:val="20"/>
          <w:szCs w:val="20"/>
        </w:rPr>
      </w:pPr>
      <w:r>
        <w:rPr>
          <w:rFonts w:ascii="Arial" w:eastAsia="Arial" w:hAnsi="Arial" w:cs="Arial"/>
          <w:b/>
          <w:bCs/>
          <w:i/>
          <w:iCs/>
          <w:sz w:val="18"/>
          <w:szCs w:val="18"/>
        </w:rPr>
        <w:t>International</w:t>
      </w:r>
    </w:p>
    <w:p w14:paraId="6100A003" w14:textId="77777777" w:rsidR="00D1587D" w:rsidRDefault="00D1587D">
      <w:pPr>
        <w:spacing w:line="117" w:lineRule="exact"/>
        <w:rPr>
          <w:sz w:val="20"/>
          <w:szCs w:val="20"/>
        </w:rPr>
      </w:pPr>
    </w:p>
    <w:p w14:paraId="70076C54" w14:textId="77777777" w:rsidR="00D1587D" w:rsidRDefault="00410D07">
      <w:pPr>
        <w:spacing w:line="257" w:lineRule="auto"/>
        <w:ind w:left="300" w:right="399" w:firstLine="360"/>
        <w:rPr>
          <w:sz w:val="20"/>
          <w:szCs w:val="20"/>
        </w:rPr>
      </w:pPr>
      <w:r>
        <w:rPr>
          <w:rFonts w:ascii="Arial" w:eastAsia="Arial" w:hAnsi="Arial" w:cs="Arial"/>
          <w:sz w:val="18"/>
          <w:szCs w:val="18"/>
        </w:rPr>
        <w:t>The international channel represents our company operated stores and websites in Chin</w:t>
      </w:r>
      <w:r>
        <w:rPr>
          <w:rFonts w:ascii="Arial" w:eastAsia="Arial" w:hAnsi="Arial" w:cs="Arial"/>
          <w:sz w:val="18"/>
          <w:szCs w:val="18"/>
        </w:rPr>
        <w:t>a as well as royalty and wholesale sales related to the stores and websites operated by our franchise, license and wholesale partners. International net sales accounted for approximately 7% of our revenues in 2020. As of May 1, 2021, we have 62 company ope</w:t>
      </w:r>
      <w:r>
        <w:rPr>
          <w:rFonts w:ascii="Arial" w:eastAsia="Arial" w:hAnsi="Arial" w:cs="Arial"/>
          <w:sz w:val="18"/>
          <w:szCs w:val="18"/>
        </w:rPr>
        <w:t>rated stores in China as well as 458 partner-operated stores around the world, including locations across the Americas, Europe, Asia, Africa and the Middle East.</w:t>
      </w:r>
    </w:p>
    <w:p w14:paraId="67D3B92A" w14:textId="77777777" w:rsidR="00D1587D" w:rsidRDefault="00D1587D">
      <w:pPr>
        <w:spacing w:line="80" w:lineRule="exact"/>
        <w:rPr>
          <w:sz w:val="20"/>
          <w:szCs w:val="20"/>
        </w:rPr>
      </w:pPr>
    </w:p>
    <w:p w14:paraId="40737AC4" w14:textId="77777777" w:rsidR="00D1587D" w:rsidRDefault="00410D07">
      <w:pPr>
        <w:spacing w:line="301" w:lineRule="auto"/>
        <w:ind w:left="300" w:right="659" w:firstLine="360"/>
        <w:rPr>
          <w:sz w:val="20"/>
          <w:szCs w:val="20"/>
        </w:rPr>
      </w:pPr>
      <w:r>
        <w:rPr>
          <w:rFonts w:ascii="Arial" w:eastAsia="Arial" w:hAnsi="Arial" w:cs="Arial"/>
          <w:sz w:val="16"/>
          <w:szCs w:val="16"/>
        </w:rPr>
        <w:t xml:space="preserve">Revenue recognized under franchise and license arrangements generally consists of </w:t>
      </w:r>
      <w:r>
        <w:rPr>
          <w:rFonts w:ascii="Arial" w:eastAsia="Arial" w:hAnsi="Arial" w:cs="Arial"/>
          <w:sz w:val="16"/>
          <w:szCs w:val="16"/>
        </w:rPr>
        <w:t>royalties earned and recognized upon sale of merchandise by franchise and license partners to retail customers. Revenue is generally recognized under wholesale and sourcing arrangements at the time the title passes to the partner. We continue to increase t</w:t>
      </w:r>
      <w:r>
        <w:rPr>
          <w:rFonts w:ascii="Arial" w:eastAsia="Arial" w:hAnsi="Arial" w:cs="Arial"/>
          <w:sz w:val="16"/>
          <w:szCs w:val="16"/>
        </w:rPr>
        <w:t>he number of locations under these types of arrangements as part of our international expansion.</w:t>
      </w:r>
    </w:p>
    <w:p w14:paraId="29398A5F" w14:textId="77777777" w:rsidR="00D1587D" w:rsidRDefault="00D1587D">
      <w:pPr>
        <w:spacing w:line="248" w:lineRule="exact"/>
        <w:rPr>
          <w:sz w:val="20"/>
          <w:szCs w:val="20"/>
        </w:rPr>
      </w:pPr>
    </w:p>
    <w:p w14:paraId="1F7E17D6" w14:textId="77777777" w:rsidR="00D1587D" w:rsidRDefault="00410D07">
      <w:pPr>
        <w:ind w:left="300"/>
        <w:rPr>
          <w:sz w:val="20"/>
          <w:szCs w:val="20"/>
        </w:rPr>
      </w:pPr>
      <w:r>
        <w:rPr>
          <w:rFonts w:ascii="Arial" w:eastAsia="Arial" w:hAnsi="Arial" w:cs="Arial"/>
          <w:b/>
          <w:bCs/>
          <w:sz w:val="18"/>
          <w:szCs w:val="18"/>
        </w:rPr>
        <w:t>Design, Product Development and Sourcing</w:t>
      </w:r>
    </w:p>
    <w:p w14:paraId="43651E7F" w14:textId="77777777" w:rsidR="00D1587D" w:rsidRDefault="00D1587D">
      <w:pPr>
        <w:spacing w:line="121" w:lineRule="exact"/>
        <w:rPr>
          <w:sz w:val="20"/>
          <w:szCs w:val="20"/>
        </w:rPr>
      </w:pPr>
    </w:p>
    <w:p w14:paraId="194FB8FE" w14:textId="77777777" w:rsidR="00D1587D" w:rsidRDefault="00410D07">
      <w:pPr>
        <w:spacing w:line="291" w:lineRule="auto"/>
        <w:ind w:left="300" w:right="419" w:firstLine="360"/>
        <w:rPr>
          <w:sz w:val="20"/>
          <w:szCs w:val="20"/>
        </w:rPr>
      </w:pPr>
      <w:r>
        <w:rPr>
          <w:rFonts w:ascii="Arial" w:eastAsia="Arial" w:hAnsi="Arial" w:cs="Arial"/>
          <w:sz w:val="16"/>
          <w:szCs w:val="16"/>
        </w:rPr>
        <w:t>Our product design and innovation is an important component of our strategy. We achieve success through frequent and</w:t>
      </w:r>
      <w:r>
        <w:rPr>
          <w:rFonts w:ascii="Arial" w:eastAsia="Arial" w:hAnsi="Arial" w:cs="Arial"/>
          <w:sz w:val="16"/>
          <w:szCs w:val="16"/>
        </w:rPr>
        <w:t xml:space="preserve"> fashionable product launches across product categories with a focus on fit, fabric, finish, and superior quality. Our merchant, design and sourcing teams have a long history of designing innovative products to meet our customers’ needs. We believe our foc</w:t>
      </w:r>
      <w:r>
        <w:rPr>
          <w:rFonts w:ascii="Arial" w:eastAsia="Arial" w:hAnsi="Arial" w:cs="Arial"/>
          <w:sz w:val="16"/>
          <w:szCs w:val="16"/>
        </w:rPr>
        <w:t>us on product development differentiates our offering through superior fit, broad ranges of sizes, and comfortable and appealing silhouettes. Additionally, we believe that our sourcing and production functions, which have a long and deep presence in key so</w:t>
      </w:r>
      <w:r>
        <w:rPr>
          <w:rFonts w:ascii="Arial" w:eastAsia="Arial" w:hAnsi="Arial" w:cs="Arial"/>
          <w:sz w:val="16"/>
          <w:szCs w:val="16"/>
        </w:rPr>
        <w:t>urcing markets including those in the U.S. and Asia, allow us to partner with premier manufacturers to manufacture high-quality products quickly.</w:t>
      </w:r>
    </w:p>
    <w:p w14:paraId="2278AD5C" w14:textId="77777777" w:rsidR="00D1587D" w:rsidRDefault="00D1587D">
      <w:pPr>
        <w:spacing w:line="58" w:lineRule="exact"/>
        <w:rPr>
          <w:sz w:val="20"/>
          <w:szCs w:val="20"/>
        </w:rPr>
      </w:pPr>
    </w:p>
    <w:p w14:paraId="0A9F6809" w14:textId="77777777" w:rsidR="00D1587D" w:rsidRDefault="00410D07">
      <w:pPr>
        <w:spacing w:line="257" w:lineRule="auto"/>
        <w:ind w:left="300" w:right="399" w:firstLine="360"/>
        <w:rPr>
          <w:sz w:val="20"/>
          <w:szCs w:val="20"/>
        </w:rPr>
      </w:pPr>
      <w:r>
        <w:rPr>
          <w:rFonts w:ascii="Arial" w:eastAsia="Arial" w:hAnsi="Arial" w:cs="Arial"/>
          <w:sz w:val="18"/>
          <w:szCs w:val="18"/>
        </w:rPr>
        <w:t>Our product development team works with four key design periods for the year, Spring, Summer, Fall and Holida</w:t>
      </w:r>
      <w:r>
        <w:rPr>
          <w:rFonts w:ascii="Arial" w:eastAsia="Arial" w:hAnsi="Arial" w:cs="Arial"/>
          <w:sz w:val="18"/>
          <w:szCs w:val="18"/>
        </w:rPr>
        <w:t xml:space="preserve">y, that represent our various selling seasons. Certain product lines offer more frequent introductions of new merchandise, and the primary selling seasons, Fall and Holiday, often will see greater quantities of introductions for new merchandise. We tailor </w:t>
      </w:r>
      <w:r>
        <w:rPr>
          <w:rFonts w:ascii="Arial" w:eastAsia="Arial" w:hAnsi="Arial" w:cs="Arial"/>
          <w:sz w:val="18"/>
          <w:szCs w:val="18"/>
        </w:rPr>
        <w:t>our buying strategies to align with customer demand and trends across our core categories with agile and fast lead times.</w:t>
      </w:r>
    </w:p>
    <w:p w14:paraId="2066CAEF" w14:textId="77777777" w:rsidR="00D1587D" w:rsidRDefault="00D1587D">
      <w:pPr>
        <w:spacing w:line="80" w:lineRule="exact"/>
        <w:rPr>
          <w:sz w:val="20"/>
          <w:szCs w:val="20"/>
        </w:rPr>
      </w:pPr>
    </w:p>
    <w:p w14:paraId="2283E601" w14:textId="77777777" w:rsidR="00D1587D" w:rsidRDefault="00410D07">
      <w:pPr>
        <w:spacing w:line="259" w:lineRule="auto"/>
        <w:ind w:left="300" w:right="379" w:firstLine="360"/>
        <w:rPr>
          <w:sz w:val="20"/>
          <w:szCs w:val="20"/>
        </w:rPr>
      </w:pPr>
      <w:r>
        <w:rPr>
          <w:rFonts w:ascii="Arial" w:eastAsia="Arial" w:hAnsi="Arial" w:cs="Arial"/>
          <w:sz w:val="18"/>
          <w:szCs w:val="18"/>
        </w:rPr>
        <w:t>Our global supply chain organization is responsible for the operational planning, manufacturing, sourcing, and distribution of produc</w:t>
      </w:r>
      <w:r>
        <w:rPr>
          <w:rFonts w:ascii="Arial" w:eastAsia="Arial" w:hAnsi="Arial" w:cs="Arial"/>
          <w:sz w:val="18"/>
          <w:szCs w:val="18"/>
        </w:rPr>
        <w:t>ts to our customers. We believe we have developed a high degree of expertise in managing the complexities associated with a global supply chain that produced more than 425 million finished goods units in 2020.</w:t>
      </w:r>
    </w:p>
    <w:p w14:paraId="391B6A2A" w14:textId="77777777" w:rsidR="00D1587D" w:rsidRDefault="00D1587D">
      <w:pPr>
        <w:spacing w:line="264" w:lineRule="exact"/>
        <w:rPr>
          <w:sz w:val="20"/>
          <w:szCs w:val="20"/>
        </w:rPr>
      </w:pPr>
    </w:p>
    <w:p w14:paraId="6BC490C4" w14:textId="77777777" w:rsidR="00D1587D" w:rsidRDefault="00410D07">
      <w:pPr>
        <w:ind w:left="300"/>
        <w:rPr>
          <w:sz w:val="20"/>
          <w:szCs w:val="20"/>
        </w:rPr>
      </w:pPr>
      <w:r>
        <w:rPr>
          <w:rFonts w:ascii="Arial" w:eastAsia="Arial" w:hAnsi="Arial" w:cs="Arial"/>
          <w:b/>
          <w:bCs/>
          <w:sz w:val="18"/>
          <w:szCs w:val="18"/>
        </w:rPr>
        <w:t>Distribution and Merchandise Inventory</w:t>
      </w:r>
    </w:p>
    <w:p w14:paraId="6EF2A24A" w14:textId="77777777" w:rsidR="00D1587D" w:rsidRDefault="00D1587D">
      <w:pPr>
        <w:spacing w:line="121" w:lineRule="exact"/>
        <w:rPr>
          <w:sz w:val="20"/>
          <w:szCs w:val="20"/>
        </w:rPr>
      </w:pPr>
    </w:p>
    <w:p w14:paraId="6D48F115" w14:textId="77777777" w:rsidR="00D1587D" w:rsidRDefault="00410D07">
      <w:pPr>
        <w:spacing w:line="293" w:lineRule="auto"/>
        <w:ind w:left="300" w:right="399" w:firstLine="360"/>
        <w:rPr>
          <w:sz w:val="20"/>
          <w:szCs w:val="20"/>
        </w:rPr>
      </w:pPr>
      <w:r>
        <w:rPr>
          <w:rFonts w:ascii="Arial" w:eastAsia="Arial" w:hAnsi="Arial" w:cs="Arial"/>
          <w:sz w:val="16"/>
          <w:szCs w:val="16"/>
        </w:rPr>
        <w:t>A sub</w:t>
      </w:r>
      <w:r>
        <w:rPr>
          <w:rFonts w:ascii="Arial" w:eastAsia="Arial" w:hAnsi="Arial" w:cs="Arial"/>
          <w:sz w:val="16"/>
          <w:szCs w:val="16"/>
        </w:rPr>
        <w:t>stantial portion of our merchandise is shipped to our distribution centers in the Columbus, Ohio area. Additionally, we use third-party operated distribution centers located throughout North America to distribute our merchandise. We use a variety of shippi</w:t>
      </w:r>
      <w:r>
        <w:rPr>
          <w:rFonts w:ascii="Arial" w:eastAsia="Arial" w:hAnsi="Arial" w:cs="Arial"/>
          <w:sz w:val="16"/>
          <w:szCs w:val="16"/>
        </w:rPr>
        <w:t>ng terms that result in the transfer of title of the merchandise at either the point of origin or point of destination. Our policy is to maintain sufficient quantities of inventories on hand in our retail stores and distribution centers to enable us to off</w:t>
      </w:r>
      <w:r>
        <w:rPr>
          <w:rFonts w:ascii="Arial" w:eastAsia="Arial" w:hAnsi="Arial" w:cs="Arial"/>
          <w:sz w:val="16"/>
          <w:szCs w:val="16"/>
        </w:rPr>
        <w:t>er customers an appropriate selection of current merchandise. We emphasize rapid turnover and take markdowns as required to keep merchandise fresh and current.</w:t>
      </w:r>
    </w:p>
    <w:p w14:paraId="2255AABE" w14:textId="77777777" w:rsidR="00D1587D" w:rsidRDefault="00D1587D">
      <w:pPr>
        <w:spacing w:line="56" w:lineRule="exact"/>
        <w:rPr>
          <w:sz w:val="20"/>
          <w:szCs w:val="20"/>
        </w:rPr>
      </w:pPr>
    </w:p>
    <w:p w14:paraId="4B83F518" w14:textId="77777777" w:rsidR="00D1587D" w:rsidRDefault="00410D07">
      <w:pPr>
        <w:spacing w:line="301" w:lineRule="auto"/>
        <w:ind w:left="300" w:right="379" w:firstLine="360"/>
        <w:rPr>
          <w:sz w:val="20"/>
          <w:szCs w:val="20"/>
        </w:rPr>
      </w:pPr>
      <w:r>
        <w:rPr>
          <w:rFonts w:ascii="Arial" w:eastAsia="Arial" w:hAnsi="Arial" w:cs="Arial"/>
          <w:sz w:val="16"/>
          <w:szCs w:val="16"/>
        </w:rPr>
        <w:t xml:space="preserve">We are actively managing our inventory to adjust for the impacts of COVID-19, </w:t>
      </w:r>
      <w:r>
        <w:rPr>
          <w:rFonts w:ascii="Arial" w:eastAsia="Arial" w:hAnsi="Arial" w:cs="Arial"/>
          <w:sz w:val="16"/>
          <w:szCs w:val="16"/>
        </w:rPr>
        <w:t>including store closures, channel shifts, product category shifts and meeting customer demand. The current environment requires unprecedented agility, and we are leveraging the speed that we have in our supply chain, our close partnerships with our supplie</w:t>
      </w:r>
      <w:r>
        <w:rPr>
          <w:rFonts w:ascii="Arial" w:eastAsia="Arial" w:hAnsi="Arial" w:cs="Arial"/>
          <w:sz w:val="16"/>
          <w:szCs w:val="16"/>
        </w:rPr>
        <w:t>rs and the capabilities of our sourcing, production and logistics teams to respond quickly.</w:t>
      </w:r>
    </w:p>
    <w:p w14:paraId="205E6ACB" w14:textId="77777777" w:rsidR="00D1587D" w:rsidRDefault="00D1587D">
      <w:pPr>
        <w:spacing w:line="157" w:lineRule="exact"/>
        <w:rPr>
          <w:sz w:val="20"/>
          <w:szCs w:val="20"/>
        </w:rPr>
      </w:pPr>
    </w:p>
    <w:p w14:paraId="6133B5C0" w14:textId="77777777" w:rsidR="00D1587D" w:rsidRDefault="00410D07">
      <w:pPr>
        <w:ind w:right="19"/>
        <w:jc w:val="center"/>
        <w:rPr>
          <w:sz w:val="20"/>
          <w:szCs w:val="20"/>
        </w:rPr>
      </w:pPr>
      <w:r>
        <w:rPr>
          <w:rFonts w:ascii="Arial" w:eastAsia="Arial" w:hAnsi="Arial" w:cs="Arial"/>
          <w:sz w:val="18"/>
          <w:szCs w:val="18"/>
        </w:rPr>
        <w:t>95</w:t>
      </w:r>
    </w:p>
    <w:p w14:paraId="17D075F2" w14:textId="77777777" w:rsidR="00D1587D" w:rsidRDefault="00410D07">
      <w:pPr>
        <w:spacing w:line="20" w:lineRule="exact"/>
        <w:rPr>
          <w:sz w:val="20"/>
          <w:szCs w:val="20"/>
        </w:rPr>
      </w:pPr>
      <w:r>
        <w:rPr>
          <w:noProof/>
          <w:sz w:val="20"/>
          <w:szCs w:val="20"/>
        </w:rPr>
        <w:drawing>
          <wp:anchor distT="0" distB="0" distL="114300" distR="114300" simplePos="0" relativeHeight="251789312" behindDoc="1" locked="0" layoutInCell="0" allowOverlap="1" wp14:anchorId="5CEE26CB" wp14:editId="37530EB7">
            <wp:simplePos x="0" y="0"/>
            <wp:positionH relativeFrom="column">
              <wp:posOffset>-636905</wp:posOffset>
            </wp:positionH>
            <wp:positionV relativeFrom="paragraph">
              <wp:posOffset>134620</wp:posOffset>
            </wp:positionV>
            <wp:extent cx="6995160" cy="17145"/>
            <wp:effectExtent l="0" t="0" r="0" b="0"/>
            <wp:wrapNone/>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3498DAC" w14:textId="77777777" w:rsidR="00D1587D" w:rsidRDefault="00D1587D">
      <w:pPr>
        <w:sectPr w:rsidR="00D1587D">
          <w:pgSz w:w="11900" w:h="16838"/>
          <w:pgMar w:top="265" w:right="1440" w:bottom="1440" w:left="1440" w:header="0" w:footer="0" w:gutter="0"/>
          <w:cols w:space="720" w:equalWidth="0">
            <w:col w:w="9019"/>
          </w:cols>
        </w:sectPr>
      </w:pPr>
    </w:p>
    <w:bookmarkStart w:id="353" w:name="page354"/>
    <w:bookmarkEnd w:id="353"/>
    <w:p w14:paraId="27CCC146" w14:textId="77777777" w:rsidR="00D1587D" w:rsidRDefault="00410D07">
      <w:pPr>
        <w:ind w:left="1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51F6056" w14:textId="77777777" w:rsidR="00D1587D" w:rsidRDefault="00D1587D">
      <w:pPr>
        <w:spacing w:line="127" w:lineRule="exact"/>
        <w:rPr>
          <w:sz w:val="20"/>
          <w:szCs w:val="20"/>
        </w:rPr>
      </w:pPr>
    </w:p>
    <w:p w14:paraId="4FBFAF23" w14:textId="77777777" w:rsidR="00D1587D" w:rsidRDefault="00410D07">
      <w:pPr>
        <w:ind w:left="1300"/>
        <w:rPr>
          <w:sz w:val="20"/>
          <w:szCs w:val="20"/>
        </w:rPr>
      </w:pPr>
      <w:r>
        <w:rPr>
          <w:rFonts w:ascii="Arial" w:eastAsia="Arial" w:hAnsi="Arial" w:cs="Arial"/>
          <w:b/>
          <w:bCs/>
          <w:sz w:val="18"/>
          <w:szCs w:val="18"/>
        </w:rPr>
        <w:t>Advertising and Customer Support</w:t>
      </w:r>
    </w:p>
    <w:p w14:paraId="07AEC123" w14:textId="77777777" w:rsidR="00D1587D" w:rsidRDefault="00D1587D">
      <w:pPr>
        <w:spacing w:line="121" w:lineRule="exact"/>
        <w:rPr>
          <w:sz w:val="20"/>
          <w:szCs w:val="20"/>
        </w:rPr>
      </w:pPr>
    </w:p>
    <w:p w14:paraId="56341303" w14:textId="77777777" w:rsidR="00D1587D" w:rsidRDefault="00410D07">
      <w:pPr>
        <w:spacing w:line="268" w:lineRule="auto"/>
        <w:ind w:left="1300" w:right="1360" w:firstLine="360"/>
        <w:rPr>
          <w:sz w:val="20"/>
          <w:szCs w:val="20"/>
        </w:rPr>
      </w:pPr>
      <w:r>
        <w:rPr>
          <w:rFonts w:ascii="Arial" w:eastAsia="Arial" w:hAnsi="Arial" w:cs="Arial"/>
          <w:sz w:val="17"/>
          <w:szCs w:val="17"/>
        </w:rPr>
        <w:t xml:space="preserve">Our brand marketing and advertising efforts are </w:t>
      </w:r>
      <w:r>
        <w:rPr>
          <w:rFonts w:ascii="Arial" w:eastAsia="Arial" w:hAnsi="Arial" w:cs="Arial"/>
          <w:sz w:val="17"/>
          <w:szCs w:val="17"/>
        </w:rPr>
        <w:t>focused on highlighting our products’ fashion, innovative design and quality while also accentuating our brands’ positioning in the broader market and changing landscape. We have shifted the focus of our global message across platforms towards promoting br</w:t>
      </w:r>
      <w:r>
        <w:rPr>
          <w:rFonts w:ascii="Arial" w:eastAsia="Arial" w:hAnsi="Arial" w:cs="Arial"/>
          <w:sz w:val="17"/>
          <w:szCs w:val="17"/>
        </w:rPr>
        <w:t>and inclusivity and highlighting our products through an empowering, relatable, fresh brand voice to align with our customers’ values. Our marketing strategies drive brand awareness and create continued loyalty between our customers and our brands. We also</w:t>
      </w:r>
      <w:r>
        <w:rPr>
          <w:rFonts w:ascii="Arial" w:eastAsia="Arial" w:hAnsi="Arial" w:cs="Arial"/>
          <w:sz w:val="17"/>
          <w:szCs w:val="17"/>
        </w:rPr>
        <w:t xml:space="preserve"> find it important to cater messaging towards different geographic and cultural preferences and customs in order to connect with our customers. We are committed to evolving our brand projection to serve our consumer and are developing a number of initiativ</w:t>
      </w:r>
      <w:r>
        <w:rPr>
          <w:rFonts w:ascii="Arial" w:eastAsia="Arial" w:hAnsi="Arial" w:cs="Arial"/>
          <w:sz w:val="17"/>
          <w:szCs w:val="17"/>
        </w:rPr>
        <w:t>es to continue evolving our brand through traditional media, entertainment platforms, and community-driven forums. We pursue our marketing strategy across a variety of platforms to reach our omni-channel customers, both in-store and online. We use traditio</w:t>
      </w:r>
      <w:r>
        <w:rPr>
          <w:rFonts w:ascii="Arial" w:eastAsia="Arial" w:hAnsi="Arial" w:cs="Arial"/>
          <w:sz w:val="17"/>
          <w:szCs w:val="17"/>
        </w:rPr>
        <w:t>nal media outlets such as television and print, as well as digital media channels including social media, paid search and influencers. We have a dedicated team focused on marketing analytics to ensure our advertising and promotional investments are providi</w:t>
      </w:r>
      <w:r>
        <w:rPr>
          <w:rFonts w:ascii="Arial" w:eastAsia="Arial" w:hAnsi="Arial" w:cs="Arial"/>
          <w:sz w:val="17"/>
          <w:szCs w:val="17"/>
        </w:rPr>
        <w:t>ng effective returns.</w:t>
      </w:r>
    </w:p>
    <w:p w14:paraId="26CA35E1" w14:textId="77777777" w:rsidR="00D1587D" w:rsidRDefault="00D1587D">
      <w:pPr>
        <w:spacing w:line="78" w:lineRule="exact"/>
        <w:rPr>
          <w:sz w:val="20"/>
          <w:szCs w:val="20"/>
        </w:rPr>
      </w:pPr>
    </w:p>
    <w:p w14:paraId="3681BFC5" w14:textId="77777777" w:rsidR="00D1587D" w:rsidRDefault="00410D07">
      <w:pPr>
        <w:spacing w:line="257" w:lineRule="auto"/>
        <w:ind w:left="1300" w:right="1320" w:firstLine="360"/>
        <w:rPr>
          <w:sz w:val="20"/>
          <w:szCs w:val="20"/>
        </w:rPr>
      </w:pPr>
      <w:r>
        <w:rPr>
          <w:rFonts w:ascii="Arial" w:eastAsia="Arial" w:hAnsi="Arial" w:cs="Arial"/>
          <w:sz w:val="18"/>
          <w:szCs w:val="18"/>
        </w:rPr>
        <w:t>Our e-commerce channel and store locations also provide customers with an enhanced understanding of the brands through uniform messaging and brand essence across platforms. Each brand has a marketing team focused on ensuring the cust</w:t>
      </w:r>
      <w:r>
        <w:rPr>
          <w:rFonts w:ascii="Arial" w:eastAsia="Arial" w:hAnsi="Arial" w:cs="Arial"/>
          <w:sz w:val="18"/>
          <w:szCs w:val="18"/>
        </w:rPr>
        <w:t>omer is appropriately reached and engaged. Our in-store sales force is also highly knowledgeable and we have regular in-store training to promote positive customer interactions through helpful and informed store associates.</w:t>
      </w:r>
    </w:p>
    <w:p w14:paraId="2AA6C9E6" w14:textId="77777777" w:rsidR="00D1587D" w:rsidRDefault="00D1587D">
      <w:pPr>
        <w:spacing w:line="346" w:lineRule="exact"/>
        <w:rPr>
          <w:sz w:val="20"/>
          <w:szCs w:val="20"/>
        </w:rPr>
      </w:pPr>
    </w:p>
    <w:p w14:paraId="5B9C5485" w14:textId="77777777" w:rsidR="00D1587D" w:rsidRDefault="00410D07">
      <w:pPr>
        <w:ind w:left="1300"/>
        <w:rPr>
          <w:sz w:val="20"/>
          <w:szCs w:val="20"/>
        </w:rPr>
      </w:pPr>
      <w:r>
        <w:rPr>
          <w:rFonts w:ascii="Arial" w:eastAsia="Arial" w:hAnsi="Arial" w:cs="Arial"/>
          <w:b/>
          <w:bCs/>
          <w:sz w:val="18"/>
          <w:szCs w:val="18"/>
        </w:rPr>
        <w:t>Competition</w:t>
      </w:r>
    </w:p>
    <w:p w14:paraId="17635599" w14:textId="77777777" w:rsidR="00D1587D" w:rsidRDefault="00D1587D">
      <w:pPr>
        <w:spacing w:line="121" w:lineRule="exact"/>
        <w:rPr>
          <w:sz w:val="20"/>
          <w:szCs w:val="20"/>
        </w:rPr>
      </w:pPr>
    </w:p>
    <w:p w14:paraId="58D79BE8" w14:textId="77777777" w:rsidR="00D1587D" w:rsidRDefault="00410D07">
      <w:pPr>
        <w:spacing w:line="263" w:lineRule="auto"/>
        <w:ind w:left="1300" w:right="1320" w:firstLine="360"/>
        <w:jc w:val="both"/>
        <w:rPr>
          <w:sz w:val="20"/>
          <w:szCs w:val="20"/>
        </w:rPr>
      </w:pPr>
      <w:r>
        <w:rPr>
          <w:rFonts w:ascii="Arial" w:eastAsia="Arial" w:hAnsi="Arial" w:cs="Arial"/>
          <w:sz w:val="18"/>
          <w:szCs w:val="18"/>
        </w:rPr>
        <w:t xml:space="preserve">The sale of </w:t>
      </w:r>
      <w:r>
        <w:rPr>
          <w:rFonts w:ascii="Arial" w:eastAsia="Arial" w:hAnsi="Arial" w:cs="Arial"/>
          <w:sz w:val="18"/>
          <w:szCs w:val="18"/>
        </w:rPr>
        <w:t>women’s intimates, apparel, and personal and beauty care products is a highly competitive business. We believe we compete effectively in our core categories by leveraging our brand equity, unique scale and our high-quality and innovative products.</w:t>
      </w:r>
    </w:p>
    <w:p w14:paraId="6284FE80" w14:textId="77777777" w:rsidR="00D1587D" w:rsidRDefault="00D1587D">
      <w:pPr>
        <w:spacing w:line="76" w:lineRule="exact"/>
        <w:rPr>
          <w:sz w:val="20"/>
          <w:szCs w:val="20"/>
        </w:rPr>
      </w:pPr>
    </w:p>
    <w:p w14:paraId="232471EF" w14:textId="77777777" w:rsidR="00D1587D" w:rsidRDefault="00410D07">
      <w:pPr>
        <w:spacing w:line="255" w:lineRule="auto"/>
        <w:ind w:left="1300" w:right="1400" w:firstLine="360"/>
        <w:rPr>
          <w:sz w:val="20"/>
          <w:szCs w:val="20"/>
        </w:rPr>
      </w:pPr>
      <w:r>
        <w:rPr>
          <w:rFonts w:ascii="Arial" w:eastAsia="Arial" w:hAnsi="Arial" w:cs="Arial"/>
          <w:sz w:val="18"/>
          <w:szCs w:val="18"/>
        </w:rPr>
        <w:t>Our pri</w:t>
      </w:r>
      <w:r>
        <w:rPr>
          <w:rFonts w:ascii="Arial" w:eastAsia="Arial" w:hAnsi="Arial" w:cs="Arial"/>
          <w:sz w:val="18"/>
          <w:szCs w:val="18"/>
        </w:rPr>
        <w:t>mary competitors include individual and chain specialty stores, department stores, mass merchandisers, online retailers and discount retailers. Brand image, presentation, marketing, design, price, service, assortment, fit and quality are the principal comp</w:t>
      </w:r>
      <w:r>
        <w:rPr>
          <w:rFonts w:ascii="Arial" w:eastAsia="Arial" w:hAnsi="Arial" w:cs="Arial"/>
          <w:sz w:val="18"/>
          <w:szCs w:val="18"/>
        </w:rPr>
        <w:t xml:space="preserve">etitive factors. A select list of key competitors include Aerie, Calvin Klein, Gap and Hanesbrands. Additionally, we see a large and growing offering from private label intimates apparel created for retailers such as Walmart, Amazon and Target in addition </w:t>
      </w:r>
      <w:r>
        <w:rPr>
          <w:rFonts w:ascii="Arial" w:eastAsia="Arial" w:hAnsi="Arial" w:cs="Arial"/>
          <w:sz w:val="18"/>
          <w:szCs w:val="18"/>
        </w:rPr>
        <w:t>to emerging brands such as Adore Me and Savage by Fenty.</w:t>
      </w:r>
    </w:p>
    <w:p w14:paraId="483393D9" w14:textId="77777777" w:rsidR="00D1587D" w:rsidRDefault="00D1587D">
      <w:pPr>
        <w:spacing w:line="337" w:lineRule="exact"/>
        <w:rPr>
          <w:sz w:val="20"/>
          <w:szCs w:val="20"/>
        </w:rPr>
      </w:pPr>
    </w:p>
    <w:p w14:paraId="7DBBC43E" w14:textId="77777777" w:rsidR="00D1587D" w:rsidRDefault="00410D07">
      <w:pPr>
        <w:ind w:left="1300"/>
        <w:rPr>
          <w:sz w:val="20"/>
          <w:szCs w:val="20"/>
        </w:rPr>
      </w:pPr>
      <w:r>
        <w:rPr>
          <w:rFonts w:ascii="Arial" w:eastAsia="Arial" w:hAnsi="Arial" w:cs="Arial"/>
          <w:b/>
          <w:bCs/>
          <w:sz w:val="18"/>
          <w:szCs w:val="18"/>
        </w:rPr>
        <w:t>Properties</w:t>
      </w:r>
    </w:p>
    <w:p w14:paraId="27648B9E" w14:textId="77777777" w:rsidR="00D1587D" w:rsidRDefault="00D1587D">
      <w:pPr>
        <w:spacing w:line="148" w:lineRule="exact"/>
        <w:rPr>
          <w:sz w:val="20"/>
          <w:szCs w:val="20"/>
        </w:rPr>
      </w:pPr>
    </w:p>
    <w:p w14:paraId="574CE112" w14:textId="77777777" w:rsidR="00D1587D" w:rsidRDefault="00410D07">
      <w:pPr>
        <w:ind w:left="1300"/>
        <w:rPr>
          <w:sz w:val="20"/>
          <w:szCs w:val="20"/>
        </w:rPr>
      </w:pPr>
      <w:r>
        <w:rPr>
          <w:rFonts w:ascii="Arial" w:eastAsia="Arial" w:hAnsi="Arial" w:cs="Arial"/>
          <w:b/>
          <w:bCs/>
          <w:i/>
          <w:iCs/>
          <w:sz w:val="18"/>
          <w:szCs w:val="18"/>
        </w:rPr>
        <w:t>Company-operated Retail Stores</w:t>
      </w:r>
    </w:p>
    <w:p w14:paraId="3B6363FA" w14:textId="77777777" w:rsidR="00D1587D" w:rsidRDefault="00D1587D">
      <w:pPr>
        <w:spacing w:line="117" w:lineRule="exact"/>
        <w:rPr>
          <w:sz w:val="20"/>
          <w:szCs w:val="20"/>
        </w:rPr>
      </w:pPr>
    </w:p>
    <w:p w14:paraId="6EFF51FF" w14:textId="77777777" w:rsidR="00D1587D" w:rsidRDefault="00410D07">
      <w:pPr>
        <w:spacing w:line="263" w:lineRule="auto"/>
        <w:ind w:left="1300" w:right="1360" w:firstLine="360"/>
        <w:jc w:val="both"/>
        <w:rPr>
          <w:sz w:val="20"/>
          <w:szCs w:val="20"/>
        </w:rPr>
      </w:pPr>
      <w:r>
        <w:rPr>
          <w:rFonts w:ascii="Arial" w:eastAsia="Arial" w:hAnsi="Arial" w:cs="Arial"/>
          <w:sz w:val="18"/>
          <w:szCs w:val="18"/>
        </w:rPr>
        <w:t>Our company-operated retail stores are located in shopping malls, lifestyle centers and off-mall locations in the U.S., Canada and Greater China. As a res</w:t>
      </w:r>
      <w:r>
        <w:rPr>
          <w:rFonts w:ascii="Arial" w:eastAsia="Arial" w:hAnsi="Arial" w:cs="Arial"/>
          <w:sz w:val="18"/>
          <w:szCs w:val="18"/>
        </w:rPr>
        <w:t>ult of our strong brands and established retail presence, we have been able to lease high-traffic locations in most retail centers in which we operate.</w:t>
      </w:r>
    </w:p>
    <w:p w14:paraId="53F99E38" w14:textId="77777777" w:rsidR="00D1587D" w:rsidRDefault="00D1587D">
      <w:pPr>
        <w:spacing w:line="76" w:lineRule="exact"/>
        <w:rPr>
          <w:sz w:val="20"/>
          <w:szCs w:val="20"/>
        </w:rPr>
      </w:pPr>
    </w:p>
    <w:p w14:paraId="2A37AA7A" w14:textId="77777777" w:rsidR="00D1587D" w:rsidRDefault="00410D07">
      <w:pPr>
        <w:ind w:left="1660"/>
        <w:rPr>
          <w:sz w:val="20"/>
          <w:szCs w:val="20"/>
        </w:rPr>
      </w:pPr>
      <w:r>
        <w:rPr>
          <w:rFonts w:ascii="Arial" w:eastAsia="Arial" w:hAnsi="Arial" w:cs="Arial"/>
          <w:sz w:val="18"/>
          <w:szCs w:val="18"/>
        </w:rPr>
        <w:t>The following table provides the number of our company-operated retail stores in operation as of May 1,</w:t>
      </w:r>
      <w:r>
        <w:rPr>
          <w:rFonts w:ascii="Arial" w:eastAsia="Arial" w:hAnsi="Arial" w:cs="Arial"/>
          <w:sz w:val="18"/>
          <w:szCs w:val="18"/>
        </w:rPr>
        <w:t xml:space="preserve"> 2021,</w:t>
      </w:r>
    </w:p>
    <w:p w14:paraId="3493E5E2" w14:textId="77777777" w:rsidR="00D1587D" w:rsidRDefault="00D1587D">
      <w:pPr>
        <w:spacing w:line="23" w:lineRule="exact"/>
        <w:rPr>
          <w:sz w:val="20"/>
          <w:szCs w:val="20"/>
        </w:rPr>
      </w:pPr>
    </w:p>
    <w:p w14:paraId="28E6E798" w14:textId="77777777" w:rsidR="00D1587D" w:rsidRDefault="00410D07">
      <w:pPr>
        <w:ind w:left="1300"/>
        <w:rPr>
          <w:sz w:val="20"/>
          <w:szCs w:val="20"/>
        </w:rPr>
      </w:pPr>
      <w:r>
        <w:rPr>
          <w:rFonts w:ascii="Arial" w:eastAsia="Arial" w:hAnsi="Arial" w:cs="Arial"/>
          <w:sz w:val="18"/>
          <w:szCs w:val="18"/>
        </w:rPr>
        <w:t>January 30, 2021 and February 1, 2020:</w:t>
      </w:r>
    </w:p>
    <w:p w14:paraId="3D4F798D" w14:textId="77777777" w:rsidR="00D1587D" w:rsidRDefault="00D1587D">
      <w:pPr>
        <w:spacing w:line="14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00"/>
        <w:gridCol w:w="3500"/>
        <w:gridCol w:w="2680"/>
        <w:gridCol w:w="60"/>
        <w:gridCol w:w="440"/>
        <w:gridCol w:w="120"/>
        <w:gridCol w:w="740"/>
        <w:gridCol w:w="140"/>
        <w:gridCol w:w="740"/>
        <w:gridCol w:w="1300"/>
        <w:gridCol w:w="20"/>
      </w:tblGrid>
      <w:tr w:rsidR="00D1587D" w14:paraId="26F15693" w14:textId="77777777">
        <w:trPr>
          <w:trHeight w:val="161"/>
        </w:trPr>
        <w:tc>
          <w:tcPr>
            <w:tcW w:w="1300" w:type="dxa"/>
            <w:vAlign w:val="bottom"/>
          </w:tcPr>
          <w:p w14:paraId="2CF6ED11" w14:textId="77777777" w:rsidR="00D1587D" w:rsidRDefault="00D1587D">
            <w:pPr>
              <w:rPr>
                <w:sz w:val="14"/>
                <w:szCs w:val="14"/>
              </w:rPr>
            </w:pPr>
          </w:p>
        </w:tc>
        <w:tc>
          <w:tcPr>
            <w:tcW w:w="3500" w:type="dxa"/>
            <w:vAlign w:val="bottom"/>
          </w:tcPr>
          <w:p w14:paraId="17F16CA9" w14:textId="77777777" w:rsidR="00D1587D" w:rsidRDefault="00D1587D">
            <w:pPr>
              <w:rPr>
                <w:sz w:val="14"/>
                <w:szCs w:val="14"/>
              </w:rPr>
            </w:pPr>
          </w:p>
        </w:tc>
        <w:tc>
          <w:tcPr>
            <w:tcW w:w="2680" w:type="dxa"/>
            <w:vAlign w:val="bottom"/>
          </w:tcPr>
          <w:p w14:paraId="23E24DD0" w14:textId="77777777" w:rsidR="00D1587D" w:rsidRDefault="00D1587D">
            <w:pPr>
              <w:rPr>
                <w:sz w:val="14"/>
                <w:szCs w:val="14"/>
              </w:rPr>
            </w:pPr>
          </w:p>
        </w:tc>
        <w:tc>
          <w:tcPr>
            <w:tcW w:w="60" w:type="dxa"/>
            <w:vAlign w:val="bottom"/>
          </w:tcPr>
          <w:p w14:paraId="3BCFE3CD" w14:textId="77777777" w:rsidR="00D1587D" w:rsidRDefault="00D1587D">
            <w:pPr>
              <w:rPr>
                <w:sz w:val="14"/>
                <w:szCs w:val="14"/>
              </w:rPr>
            </w:pPr>
          </w:p>
        </w:tc>
        <w:tc>
          <w:tcPr>
            <w:tcW w:w="560" w:type="dxa"/>
            <w:gridSpan w:val="2"/>
            <w:vAlign w:val="bottom"/>
          </w:tcPr>
          <w:p w14:paraId="31631500" w14:textId="77777777" w:rsidR="00D1587D" w:rsidRDefault="00410D07">
            <w:pPr>
              <w:rPr>
                <w:sz w:val="20"/>
                <w:szCs w:val="20"/>
              </w:rPr>
            </w:pPr>
            <w:r>
              <w:rPr>
                <w:rFonts w:ascii="Arial" w:eastAsia="Arial" w:hAnsi="Arial" w:cs="Arial"/>
                <w:b/>
                <w:bCs/>
                <w:sz w:val="14"/>
                <w:szCs w:val="14"/>
              </w:rPr>
              <w:t>May 1,</w:t>
            </w:r>
          </w:p>
        </w:tc>
        <w:tc>
          <w:tcPr>
            <w:tcW w:w="880" w:type="dxa"/>
            <w:gridSpan w:val="2"/>
            <w:vAlign w:val="bottom"/>
          </w:tcPr>
          <w:p w14:paraId="41297F8F" w14:textId="77777777" w:rsidR="00D1587D" w:rsidRDefault="00410D07">
            <w:pPr>
              <w:ind w:left="20"/>
              <w:rPr>
                <w:sz w:val="20"/>
                <w:szCs w:val="20"/>
              </w:rPr>
            </w:pPr>
            <w:r>
              <w:rPr>
                <w:rFonts w:ascii="Arial" w:eastAsia="Arial" w:hAnsi="Arial" w:cs="Arial"/>
                <w:b/>
                <w:bCs/>
                <w:sz w:val="14"/>
                <w:szCs w:val="14"/>
              </w:rPr>
              <w:t>January 30,</w:t>
            </w:r>
          </w:p>
        </w:tc>
        <w:tc>
          <w:tcPr>
            <w:tcW w:w="2040" w:type="dxa"/>
            <w:gridSpan w:val="2"/>
            <w:vAlign w:val="bottom"/>
          </w:tcPr>
          <w:p w14:paraId="700F73A1" w14:textId="77777777" w:rsidR="00D1587D" w:rsidRDefault="00410D07">
            <w:pPr>
              <w:rPr>
                <w:sz w:val="20"/>
                <w:szCs w:val="20"/>
              </w:rPr>
            </w:pPr>
            <w:r>
              <w:rPr>
                <w:rFonts w:ascii="Arial" w:eastAsia="Arial" w:hAnsi="Arial" w:cs="Arial"/>
                <w:b/>
                <w:bCs/>
                <w:sz w:val="14"/>
                <w:szCs w:val="14"/>
              </w:rPr>
              <w:t>February 1,</w:t>
            </w:r>
          </w:p>
        </w:tc>
        <w:tc>
          <w:tcPr>
            <w:tcW w:w="0" w:type="dxa"/>
            <w:vAlign w:val="bottom"/>
          </w:tcPr>
          <w:p w14:paraId="1BD3C9CC" w14:textId="77777777" w:rsidR="00D1587D" w:rsidRDefault="00D1587D">
            <w:pPr>
              <w:rPr>
                <w:sz w:val="1"/>
                <w:szCs w:val="1"/>
              </w:rPr>
            </w:pPr>
          </w:p>
        </w:tc>
      </w:tr>
      <w:tr w:rsidR="00D1587D" w14:paraId="628EE557" w14:textId="77777777">
        <w:trPr>
          <w:trHeight w:val="186"/>
        </w:trPr>
        <w:tc>
          <w:tcPr>
            <w:tcW w:w="1300" w:type="dxa"/>
            <w:vAlign w:val="bottom"/>
          </w:tcPr>
          <w:p w14:paraId="1393197A" w14:textId="77777777" w:rsidR="00D1587D" w:rsidRDefault="00D1587D">
            <w:pPr>
              <w:rPr>
                <w:sz w:val="16"/>
                <w:szCs w:val="16"/>
              </w:rPr>
            </w:pPr>
          </w:p>
        </w:tc>
        <w:tc>
          <w:tcPr>
            <w:tcW w:w="3500" w:type="dxa"/>
            <w:vAlign w:val="bottom"/>
          </w:tcPr>
          <w:p w14:paraId="0D450928" w14:textId="77777777" w:rsidR="00D1587D" w:rsidRDefault="00D1587D">
            <w:pPr>
              <w:rPr>
                <w:sz w:val="16"/>
                <w:szCs w:val="16"/>
              </w:rPr>
            </w:pPr>
          </w:p>
        </w:tc>
        <w:tc>
          <w:tcPr>
            <w:tcW w:w="3180" w:type="dxa"/>
            <w:gridSpan w:val="3"/>
            <w:vAlign w:val="bottom"/>
          </w:tcPr>
          <w:p w14:paraId="2C7D00F9" w14:textId="77777777" w:rsidR="00D1587D" w:rsidRDefault="00410D07">
            <w:pPr>
              <w:ind w:left="2653"/>
              <w:jc w:val="center"/>
              <w:rPr>
                <w:sz w:val="20"/>
                <w:szCs w:val="20"/>
              </w:rPr>
            </w:pPr>
            <w:r>
              <w:rPr>
                <w:rFonts w:ascii="Arial" w:eastAsia="Arial" w:hAnsi="Arial" w:cs="Arial"/>
                <w:b/>
                <w:bCs/>
                <w:w w:val="89"/>
                <w:sz w:val="14"/>
                <w:szCs w:val="14"/>
              </w:rPr>
              <w:t>2021</w:t>
            </w:r>
          </w:p>
        </w:tc>
        <w:tc>
          <w:tcPr>
            <w:tcW w:w="120" w:type="dxa"/>
            <w:vAlign w:val="bottom"/>
          </w:tcPr>
          <w:p w14:paraId="529B2832" w14:textId="77777777" w:rsidR="00D1587D" w:rsidRDefault="00D1587D">
            <w:pPr>
              <w:rPr>
                <w:sz w:val="16"/>
                <w:szCs w:val="16"/>
              </w:rPr>
            </w:pPr>
          </w:p>
        </w:tc>
        <w:tc>
          <w:tcPr>
            <w:tcW w:w="740" w:type="dxa"/>
            <w:vAlign w:val="bottom"/>
          </w:tcPr>
          <w:p w14:paraId="2561FAE7" w14:textId="77777777" w:rsidR="00D1587D" w:rsidRDefault="00410D07">
            <w:pPr>
              <w:ind w:right="135"/>
              <w:jc w:val="right"/>
              <w:rPr>
                <w:sz w:val="20"/>
                <w:szCs w:val="20"/>
              </w:rPr>
            </w:pPr>
            <w:r>
              <w:rPr>
                <w:rFonts w:ascii="Arial" w:eastAsia="Arial" w:hAnsi="Arial" w:cs="Arial"/>
                <w:b/>
                <w:bCs/>
                <w:sz w:val="14"/>
                <w:szCs w:val="14"/>
              </w:rPr>
              <w:t>2021</w:t>
            </w:r>
          </w:p>
        </w:tc>
        <w:tc>
          <w:tcPr>
            <w:tcW w:w="140" w:type="dxa"/>
            <w:vAlign w:val="bottom"/>
          </w:tcPr>
          <w:p w14:paraId="3AE3499C" w14:textId="77777777" w:rsidR="00D1587D" w:rsidRDefault="00D1587D">
            <w:pPr>
              <w:rPr>
                <w:sz w:val="16"/>
                <w:szCs w:val="16"/>
              </w:rPr>
            </w:pPr>
          </w:p>
        </w:tc>
        <w:tc>
          <w:tcPr>
            <w:tcW w:w="740" w:type="dxa"/>
            <w:vAlign w:val="bottom"/>
          </w:tcPr>
          <w:p w14:paraId="3C8BA968" w14:textId="77777777" w:rsidR="00D1587D" w:rsidRDefault="00410D07">
            <w:pPr>
              <w:jc w:val="center"/>
              <w:rPr>
                <w:sz w:val="20"/>
                <w:szCs w:val="20"/>
              </w:rPr>
            </w:pPr>
            <w:r>
              <w:rPr>
                <w:rFonts w:ascii="Arial" w:eastAsia="Arial" w:hAnsi="Arial" w:cs="Arial"/>
                <w:b/>
                <w:bCs/>
                <w:w w:val="89"/>
                <w:sz w:val="14"/>
                <w:szCs w:val="14"/>
              </w:rPr>
              <w:t>2020</w:t>
            </w:r>
          </w:p>
        </w:tc>
        <w:tc>
          <w:tcPr>
            <w:tcW w:w="1300" w:type="dxa"/>
            <w:vAlign w:val="bottom"/>
          </w:tcPr>
          <w:p w14:paraId="54EEDC69" w14:textId="77777777" w:rsidR="00D1587D" w:rsidRDefault="00D1587D">
            <w:pPr>
              <w:rPr>
                <w:sz w:val="16"/>
                <w:szCs w:val="16"/>
              </w:rPr>
            </w:pPr>
          </w:p>
        </w:tc>
        <w:tc>
          <w:tcPr>
            <w:tcW w:w="0" w:type="dxa"/>
            <w:vAlign w:val="bottom"/>
          </w:tcPr>
          <w:p w14:paraId="6A8A9BFB" w14:textId="77777777" w:rsidR="00D1587D" w:rsidRDefault="00D1587D">
            <w:pPr>
              <w:rPr>
                <w:sz w:val="1"/>
                <w:szCs w:val="1"/>
              </w:rPr>
            </w:pPr>
          </w:p>
        </w:tc>
      </w:tr>
      <w:tr w:rsidR="00D1587D" w14:paraId="1650DD3E" w14:textId="77777777">
        <w:trPr>
          <w:trHeight w:val="53"/>
        </w:trPr>
        <w:tc>
          <w:tcPr>
            <w:tcW w:w="1300" w:type="dxa"/>
            <w:vAlign w:val="bottom"/>
          </w:tcPr>
          <w:p w14:paraId="1F012FCC" w14:textId="77777777" w:rsidR="00D1587D" w:rsidRDefault="00D1587D">
            <w:pPr>
              <w:rPr>
                <w:sz w:val="4"/>
                <w:szCs w:val="4"/>
              </w:rPr>
            </w:pPr>
          </w:p>
        </w:tc>
        <w:tc>
          <w:tcPr>
            <w:tcW w:w="3500" w:type="dxa"/>
            <w:tcBorders>
              <w:bottom w:val="single" w:sz="8" w:space="0" w:color="CCEEFF"/>
            </w:tcBorders>
            <w:vAlign w:val="bottom"/>
          </w:tcPr>
          <w:p w14:paraId="0B935BE3" w14:textId="77777777" w:rsidR="00D1587D" w:rsidRDefault="00D1587D">
            <w:pPr>
              <w:rPr>
                <w:sz w:val="4"/>
                <w:szCs w:val="4"/>
              </w:rPr>
            </w:pPr>
          </w:p>
        </w:tc>
        <w:tc>
          <w:tcPr>
            <w:tcW w:w="2680" w:type="dxa"/>
            <w:tcBorders>
              <w:bottom w:val="single" w:sz="8" w:space="0" w:color="CCEEFF"/>
            </w:tcBorders>
            <w:vAlign w:val="bottom"/>
          </w:tcPr>
          <w:p w14:paraId="2F38BE7A" w14:textId="77777777" w:rsidR="00D1587D" w:rsidRDefault="00D1587D">
            <w:pPr>
              <w:rPr>
                <w:sz w:val="4"/>
                <w:szCs w:val="4"/>
              </w:rPr>
            </w:pPr>
          </w:p>
        </w:tc>
        <w:tc>
          <w:tcPr>
            <w:tcW w:w="60" w:type="dxa"/>
            <w:tcBorders>
              <w:bottom w:val="single" w:sz="8" w:space="0" w:color="CCEEFF"/>
            </w:tcBorders>
            <w:vAlign w:val="bottom"/>
          </w:tcPr>
          <w:p w14:paraId="2EF00BD6" w14:textId="77777777" w:rsidR="00D1587D" w:rsidRDefault="00D1587D">
            <w:pPr>
              <w:rPr>
                <w:sz w:val="4"/>
                <w:szCs w:val="4"/>
              </w:rPr>
            </w:pPr>
          </w:p>
        </w:tc>
        <w:tc>
          <w:tcPr>
            <w:tcW w:w="440" w:type="dxa"/>
            <w:tcBorders>
              <w:bottom w:val="single" w:sz="8" w:space="0" w:color="auto"/>
            </w:tcBorders>
            <w:vAlign w:val="bottom"/>
          </w:tcPr>
          <w:p w14:paraId="4A02EF74" w14:textId="77777777" w:rsidR="00D1587D" w:rsidRDefault="00D1587D">
            <w:pPr>
              <w:rPr>
                <w:sz w:val="4"/>
                <w:szCs w:val="4"/>
              </w:rPr>
            </w:pPr>
          </w:p>
        </w:tc>
        <w:tc>
          <w:tcPr>
            <w:tcW w:w="120" w:type="dxa"/>
            <w:tcBorders>
              <w:bottom w:val="single" w:sz="8" w:space="0" w:color="CCEEFF"/>
            </w:tcBorders>
            <w:vAlign w:val="bottom"/>
          </w:tcPr>
          <w:p w14:paraId="6DA8FF64" w14:textId="77777777" w:rsidR="00D1587D" w:rsidRDefault="00D1587D">
            <w:pPr>
              <w:rPr>
                <w:sz w:val="4"/>
                <w:szCs w:val="4"/>
              </w:rPr>
            </w:pPr>
          </w:p>
        </w:tc>
        <w:tc>
          <w:tcPr>
            <w:tcW w:w="740" w:type="dxa"/>
            <w:tcBorders>
              <w:bottom w:val="single" w:sz="8" w:space="0" w:color="auto"/>
            </w:tcBorders>
            <w:vAlign w:val="bottom"/>
          </w:tcPr>
          <w:p w14:paraId="075A9FC2" w14:textId="77777777" w:rsidR="00D1587D" w:rsidRDefault="00D1587D">
            <w:pPr>
              <w:rPr>
                <w:sz w:val="4"/>
                <w:szCs w:val="4"/>
              </w:rPr>
            </w:pPr>
          </w:p>
        </w:tc>
        <w:tc>
          <w:tcPr>
            <w:tcW w:w="140" w:type="dxa"/>
            <w:tcBorders>
              <w:bottom w:val="single" w:sz="8" w:space="0" w:color="CCEEFF"/>
            </w:tcBorders>
            <w:vAlign w:val="bottom"/>
          </w:tcPr>
          <w:p w14:paraId="3AAF95D7" w14:textId="77777777" w:rsidR="00D1587D" w:rsidRDefault="00D1587D">
            <w:pPr>
              <w:rPr>
                <w:sz w:val="4"/>
                <w:szCs w:val="4"/>
              </w:rPr>
            </w:pPr>
          </w:p>
        </w:tc>
        <w:tc>
          <w:tcPr>
            <w:tcW w:w="740" w:type="dxa"/>
            <w:tcBorders>
              <w:bottom w:val="single" w:sz="8" w:space="0" w:color="auto"/>
            </w:tcBorders>
            <w:vAlign w:val="bottom"/>
          </w:tcPr>
          <w:p w14:paraId="7D143411" w14:textId="77777777" w:rsidR="00D1587D" w:rsidRDefault="00D1587D">
            <w:pPr>
              <w:rPr>
                <w:sz w:val="4"/>
                <w:szCs w:val="4"/>
              </w:rPr>
            </w:pPr>
          </w:p>
        </w:tc>
        <w:tc>
          <w:tcPr>
            <w:tcW w:w="1300" w:type="dxa"/>
            <w:vAlign w:val="bottom"/>
          </w:tcPr>
          <w:p w14:paraId="0B1E5DA6" w14:textId="77777777" w:rsidR="00D1587D" w:rsidRDefault="00D1587D">
            <w:pPr>
              <w:rPr>
                <w:sz w:val="4"/>
                <w:szCs w:val="4"/>
              </w:rPr>
            </w:pPr>
          </w:p>
        </w:tc>
        <w:tc>
          <w:tcPr>
            <w:tcW w:w="0" w:type="dxa"/>
            <w:vAlign w:val="bottom"/>
          </w:tcPr>
          <w:p w14:paraId="26FB6B52" w14:textId="77777777" w:rsidR="00D1587D" w:rsidRDefault="00D1587D">
            <w:pPr>
              <w:rPr>
                <w:sz w:val="1"/>
                <w:szCs w:val="1"/>
              </w:rPr>
            </w:pPr>
          </w:p>
        </w:tc>
      </w:tr>
      <w:tr w:rsidR="00D1587D" w14:paraId="1526FD92" w14:textId="77777777">
        <w:trPr>
          <w:trHeight w:val="311"/>
        </w:trPr>
        <w:tc>
          <w:tcPr>
            <w:tcW w:w="1300" w:type="dxa"/>
            <w:vAlign w:val="bottom"/>
          </w:tcPr>
          <w:p w14:paraId="37444CB2" w14:textId="77777777" w:rsidR="00D1587D" w:rsidRDefault="00D1587D">
            <w:pPr>
              <w:rPr>
                <w:sz w:val="24"/>
                <w:szCs w:val="24"/>
              </w:rPr>
            </w:pPr>
          </w:p>
        </w:tc>
        <w:tc>
          <w:tcPr>
            <w:tcW w:w="3500" w:type="dxa"/>
            <w:tcBorders>
              <w:bottom w:val="single" w:sz="8" w:space="0" w:color="CCEEFF"/>
            </w:tcBorders>
            <w:shd w:val="clear" w:color="auto" w:fill="CCEEFF"/>
            <w:vAlign w:val="bottom"/>
          </w:tcPr>
          <w:p w14:paraId="523F12D8" w14:textId="77777777" w:rsidR="00D1587D" w:rsidRDefault="00410D07">
            <w:pPr>
              <w:rPr>
                <w:sz w:val="20"/>
                <w:szCs w:val="20"/>
              </w:rPr>
            </w:pPr>
            <w:r>
              <w:rPr>
                <w:rFonts w:ascii="Arial" w:eastAsia="Arial" w:hAnsi="Arial" w:cs="Arial"/>
                <w:sz w:val="18"/>
                <w:szCs w:val="18"/>
              </w:rPr>
              <w:t>U.S.</w:t>
            </w:r>
          </w:p>
        </w:tc>
        <w:tc>
          <w:tcPr>
            <w:tcW w:w="3180" w:type="dxa"/>
            <w:gridSpan w:val="3"/>
            <w:tcBorders>
              <w:bottom w:val="single" w:sz="8" w:space="0" w:color="CCEEFF"/>
            </w:tcBorders>
            <w:shd w:val="clear" w:color="auto" w:fill="CCEEFF"/>
            <w:vAlign w:val="bottom"/>
          </w:tcPr>
          <w:p w14:paraId="58C2BB90" w14:textId="77777777" w:rsidR="00D1587D" w:rsidRDefault="00410D07">
            <w:pPr>
              <w:ind w:left="2653"/>
              <w:jc w:val="center"/>
              <w:rPr>
                <w:sz w:val="20"/>
                <w:szCs w:val="20"/>
              </w:rPr>
            </w:pPr>
            <w:r>
              <w:rPr>
                <w:rFonts w:ascii="Arial" w:eastAsia="Arial" w:hAnsi="Arial" w:cs="Arial"/>
                <w:w w:val="93"/>
                <w:sz w:val="18"/>
                <w:szCs w:val="18"/>
              </w:rPr>
              <w:t>841</w:t>
            </w:r>
          </w:p>
        </w:tc>
        <w:tc>
          <w:tcPr>
            <w:tcW w:w="120" w:type="dxa"/>
            <w:tcBorders>
              <w:bottom w:val="single" w:sz="8" w:space="0" w:color="CCEEFF"/>
            </w:tcBorders>
            <w:shd w:val="clear" w:color="auto" w:fill="CCEEFF"/>
            <w:vAlign w:val="bottom"/>
          </w:tcPr>
          <w:p w14:paraId="41A26E03" w14:textId="77777777" w:rsidR="00D1587D" w:rsidRDefault="00D1587D">
            <w:pPr>
              <w:rPr>
                <w:sz w:val="24"/>
                <w:szCs w:val="24"/>
              </w:rPr>
            </w:pPr>
          </w:p>
        </w:tc>
        <w:tc>
          <w:tcPr>
            <w:tcW w:w="740" w:type="dxa"/>
            <w:tcBorders>
              <w:bottom w:val="single" w:sz="8" w:space="0" w:color="CCEEFF"/>
            </w:tcBorders>
            <w:shd w:val="clear" w:color="auto" w:fill="CCEEFF"/>
            <w:vAlign w:val="bottom"/>
          </w:tcPr>
          <w:p w14:paraId="0F6335BF" w14:textId="77777777" w:rsidR="00D1587D" w:rsidRDefault="00410D07">
            <w:pPr>
              <w:ind w:right="135"/>
              <w:jc w:val="right"/>
              <w:rPr>
                <w:sz w:val="20"/>
                <w:szCs w:val="20"/>
              </w:rPr>
            </w:pPr>
            <w:r>
              <w:rPr>
                <w:rFonts w:ascii="Arial" w:eastAsia="Arial" w:hAnsi="Arial" w:cs="Arial"/>
                <w:sz w:val="18"/>
                <w:szCs w:val="18"/>
              </w:rPr>
              <w:t>846</w:t>
            </w:r>
          </w:p>
        </w:tc>
        <w:tc>
          <w:tcPr>
            <w:tcW w:w="140" w:type="dxa"/>
            <w:tcBorders>
              <w:bottom w:val="single" w:sz="8" w:space="0" w:color="CCEEFF"/>
            </w:tcBorders>
            <w:shd w:val="clear" w:color="auto" w:fill="CCEEFF"/>
            <w:vAlign w:val="bottom"/>
          </w:tcPr>
          <w:p w14:paraId="6C118CE4" w14:textId="77777777" w:rsidR="00D1587D" w:rsidRDefault="00D1587D">
            <w:pPr>
              <w:rPr>
                <w:sz w:val="24"/>
                <w:szCs w:val="24"/>
              </w:rPr>
            </w:pPr>
          </w:p>
        </w:tc>
        <w:tc>
          <w:tcPr>
            <w:tcW w:w="740" w:type="dxa"/>
            <w:tcBorders>
              <w:bottom w:val="single" w:sz="8" w:space="0" w:color="CCEEFF"/>
            </w:tcBorders>
            <w:shd w:val="clear" w:color="auto" w:fill="CCEEFF"/>
            <w:vAlign w:val="bottom"/>
          </w:tcPr>
          <w:p w14:paraId="785702FB" w14:textId="77777777" w:rsidR="00D1587D" w:rsidRDefault="00410D07">
            <w:pPr>
              <w:jc w:val="center"/>
              <w:rPr>
                <w:sz w:val="20"/>
                <w:szCs w:val="20"/>
              </w:rPr>
            </w:pPr>
            <w:r>
              <w:rPr>
                <w:rFonts w:ascii="Arial" w:eastAsia="Arial" w:hAnsi="Arial" w:cs="Arial"/>
                <w:w w:val="88"/>
                <w:sz w:val="18"/>
                <w:szCs w:val="18"/>
              </w:rPr>
              <w:t>1,053</w:t>
            </w:r>
          </w:p>
        </w:tc>
        <w:tc>
          <w:tcPr>
            <w:tcW w:w="1300" w:type="dxa"/>
            <w:vAlign w:val="bottom"/>
          </w:tcPr>
          <w:p w14:paraId="3D1A56A3" w14:textId="77777777" w:rsidR="00D1587D" w:rsidRDefault="00D1587D">
            <w:pPr>
              <w:rPr>
                <w:sz w:val="24"/>
                <w:szCs w:val="24"/>
              </w:rPr>
            </w:pPr>
          </w:p>
        </w:tc>
        <w:tc>
          <w:tcPr>
            <w:tcW w:w="0" w:type="dxa"/>
            <w:vAlign w:val="bottom"/>
          </w:tcPr>
          <w:p w14:paraId="367A8401" w14:textId="77777777" w:rsidR="00D1587D" w:rsidRDefault="00D1587D">
            <w:pPr>
              <w:rPr>
                <w:sz w:val="1"/>
                <w:szCs w:val="1"/>
              </w:rPr>
            </w:pPr>
          </w:p>
        </w:tc>
      </w:tr>
      <w:tr w:rsidR="00D1587D" w14:paraId="453F8C5D" w14:textId="77777777">
        <w:trPr>
          <w:trHeight w:val="270"/>
        </w:trPr>
        <w:tc>
          <w:tcPr>
            <w:tcW w:w="1300" w:type="dxa"/>
            <w:vAlign w:val="bottom"/>
          </w:tcPr>
          <w:p w14:paraId="13DA9066" w14:textId="77777777" w:rsidR="00D1587D" w:rsidRDefault="00D1587D">
            <w:pPr>
              <w:rPr>
                <w:sz w:val="23"/>
                <w:szCs w:val="23"/>
              </w:rPr>
            </w:pPr>
          </w:p>
        </w:tc>
        <w:tc>
          <w:tcPr>
            <w:tcW w:w="3500" w:type="dxa"/>
            <w:vAlign w:val="bottom"/>
          </w:tcPr>
          <w:p w14:paraId="42E26209" w14:textId="77777777" w:rsidR="00D1587D" w:rsidRDefault="00410D07">
            <w:pPr>
              <w:rPr>
                <w:sz w:val="20"/>
                <w:szCs w:val="20"/>
              </w:rPr>
            </w:pPr>
            <w:r>
              <w:rPr>
                <w:rFonts w:ascii="Arial" w:eastAsia="Arial" w:hAnsi="Arial" w:cs="Arial"/>
                <w:sz w:val="18"/>
                <w:szCs w:val="18"/>
              </w:rPr>
              <w:t>Canada</w:t>
            </w:r>
          </w:p>
        </w:tc>
        <w:tc>
          <w:tcPr>
            <w:tcW w:w="3180" w:type="dxa"/>
            <w:gridSpan w:val="3"/>
            <w:vAlign w:val="bottom"/>
          </w:tcPr>
          <w:p w14:paraId="01D7C9F7" w14:textId="77777777" w:rsidR="00D1587D" w:rsidRDefault="00410D07">
            <w:pPr>
              <w:ind w:right="19"/>
              <w:jc w:val="right"/>
              <w:rPr>
                <w:sz w:val="20"/>
                <w:szCs w:val="20"/>
              </w:rPr>
            </w:pPr>
            <w:r>
              <w:rPr>
                <w:rFonts w:ascii="Arial" w:eastAsia="Arial" w:hAnsi="Arial" w:cs="Arial"/>
                <w:sz w:val="18"/>
                <w:szCs w:val="18"/>
              </w:rPr>
              <w:t>26</w:t>
            </w:r>
          </w:p>
        </w:tc>
        <w:tc>
          <w:tcPr>
            <w:tcW w:w="120" w:type="dxa"/>
            <w:vAlign w:val="bottom"/>
          </w:tcPr>
          <w:p w14:paraId="4E6BC246" w14:textId="77777777" w:rsidR="00D1587D" w:rsidRDefault="00D1587D">
            <w:pPr>
              <w:rPr>
                <w:sz w:val="23"/>
                <w:szCs w:val="23"/>
              </w:rPr>
            </w:pPr>
          </w:p>
        </w:tc>
        <w:tc>
          <w:tcPr>
            <w:tcW w:w="740" w:type="dxa"/>
            <w:vAlign w:val="bottom"/>
          </w:tcPr>
          <w:p w14:paraId="1708E475" w14:textId="77777777" w:rsidR="00D1587D" w:rsidRDefault="00410D07">
            <w:pPr>
              <w:ind w:right="155"/>
              <w:jc w:val="right"/>
              <w:rPr>
                <w:sz w:val="20"/>
                <w:szCs w:val="20"/>
              </w:rPr>
            </w:pPr>
            <w:r>
              <w:rPr>
                <w:rFonts w:ascii="Arial" w:eastAsia="Arial" w:hAnsi="Arial" w:cs="Arial"/>
                <w:sz w:val="18"/>
                <w:szCs w:val="18"/>
              </w:rPr>
              <w:t>25</w:t>
            </w:r>
          </w:p>
        </w:tc>
        <w:tc>
          <w:tcPr>
            <w:tcW w:w="140" w:type="dxa"/>
            <w:vAlign w:val="bottom"/>
          </w:tcPr>
          <w:p w14:paraId="4B310BA2" w14:textId="77777777" w:rsidR="00D1587D" w:rsidRDefault="00D1587D">
            <w:pPr>
              <w:rPr>
                <w:sz w:val="23"/>
                <w:szCs w:val="23"/>
              </w:rPr>
            </w:pPr>
          </w:p>
        </w:tc>
        <w:tc>
          <w:tcPr>
            <w:tcW w:w="740" w:type="dxa"/>
            <w:vAlign w:val="bottom"/>
          </w:tcPr>
          <w:p w14:paraId="3398295B" w14:textId="77777777" w:rsidR="00D1587D" w:rsidRDefault="00410D07">
            <w:pPr>
              <w:ind w:right="95"/>
              <w:jc w:val="right"/>
              <w:rPr>
                <w:sz w:val="20"/>
                <w:szCs w:val="20"/>
              </w:rPr>
            </w:pPr>
            <w:r>
              <w:rPr>
                <w:rFonts w:ascii="Arial" w:eastAsia="Arial" w:hAnsi="Arial" w:cs="Arial"/>
                <w:sz w:val="18"/>
                <w:szCs w:val="18"/>
              </w:rPr>
              <w:t>38</w:t>
            </w:r>
          </w:p>
        </w:tc>
        <w:tc>
          <w:tcPr>
            <w:tcW w:w="1300" w:type="dxa"/>
            <w:vAlign w:val="bottom"/>
          </w:tcPr>
          <w:p w14:paraId="6F776A49" w14:textId="77777777" w:rsidR="00D1587D" w:rsidRDefault="00D1587D">
            <w:pPr>
              <w:rPr>
                <w:sz w:val="23"/>
                <w:szCs w:val="23"/>
              </w:rPr>
            </w:pPr>
          </w:p>
        </w:tc>
        <w:tc>
          <w:tcPr>
            <w:tcW w:w="0" w:type="dxa"/>
            <w:vAlign w:val="bottom"/>
          </w:tcPr>
          <w:p w14:paraId="533577BE" w14:textId="77777777" w:rsidR="00D1587D" w:rsidRDefault="00D1587D">
            <w:pPr>
              <w:rPr>
                <w:sz w:val="1"/>
                <w:szCs w:val="1"/>
              </w:rPr>
            </w:pPr>
          </w:p>
        </w:tc>
      </w:tr>
      <w:tr w:rsidR="00D1587D" w14:paraId="33FB7B8A" w14:textId="77777777">
        <w:trPr>
          <w:trHeight w:val="54"/>
        </w:trPr>
        <w:tc>
          <w:tcPr>
            <w:tcW w:w="1300" w:type="dxa"/>
            <w:vAlign w:val="bottom"/>
          </w:tcPr>
          <w:p w14:paraId="31F8AB8B" w14:textId="77777777" w:rsidR="00D1587D" w:rsidRDefault="00D1587D">
            <w:pPr>
              <w:rPr>
                <w:sz w:val="4"/>
                <w:szCs w:val="4"/>
              </w:rPr>
            </w:pPr>
          </w:p>
        </w:tc>
        <w:tc>
          <w:tcPr>
            <w:tcW w:w="3500" w:type="dxa"/>
            <w:vAlign w:val="bottom"/>
          </w:tcPr>
          <w:p w14:paraId="2BD9D295" w14:textId="77777777" w:rsidR="00D1587D" w:rsidRDefault="00D1587D">
            <w:pPr>
              <w:rPr>
                <w:sz w:val="4"/>
                <w:szCs w:val="4"/>
              </w:rPr>
            </w:pPr>
          </w:p>
        </w:tc>
        <w:tc>
          <w:tcPr>
            <w:tcW w:w="2680" w:type="dxa"/>
            <w:vAlign w:val="bottom"/>
          </w:tcPr>
          <w:p w14:paraId="5E7064DC" w14:textId="77777777" w:rsidR="00D1587D" w:rsidRDefault="00D1587D">
            <w:pPr>
              <w:rPr>
                <w:sz w:val="4"/>
                <w:szCs w:val="4"/>
              </w:rPr>
            </w:pPr>
          </w:p>
        </w:tc>
        <w:tc>
          <w:tcPr>
            <w:tcW w:w="60" w:type="dxa"/>
            <w:vAlign w:val="bottom"/>
          </w:tcPr>
          <w:p w14:paraId="18DA37BF" w14:textId="77777777" w:rsidR="00D1587D" w:rsidRDefault="00D1587D">
            <w:pPr>
              <w:rPr>
                <w:sz w:val="4"/>
                <w:szCs w:val="4"/>
              </w:rPr>
            </w:pPr>
          </w:p>
        </w:tc>
        <w:tc>
          <w:tcPr>
            <w:tcW w:w="440" w:type="dxa"/>
            <w:vAlign w:val="bottom"/>
          </w:tcPr>
          <w:p w14:paraId="06995C7A" w14:textId="77777777" w:rsidR="00D1587D" w:rsidRDefault="00D1587D">
            <w:pPr>
              <w:rPr>
                <w:sz w:val="4"/>
                <w:szCs w:val="4"/>
              </w:rPr>
            </w:pPr>
          </w:p>
        </w:tc>
        <w:tc>
          <w:tcPr>
            <w:tcW w:w="120" w:type="dxa"/>
            <w:vAlign w:val="bottom"/>
          </w:tcPr>
          <w:p w14:paraId="447D6FBD" w14:textId="77777777" w:rsidR="00D1587D" w:rsidRDefault="00D1587D">
            <w:pPr>
              <w:rPr>
                <w:sz w:val="4"/>
                <w:szCs w:val="4"/>
              </w:rPr>
            </w:pPr>
          </w:p>
        </w:tc>
        <w:tc>
          <w:tcPr>
            <w:tcW w:w="740" w:type="dxa"/>
            <w:vAlign w:val="bottom"/>
          </w:tcPr>
          <w:p w14:paraId="1B348113" w14:textId="77777777" w:rsidR="00D1587D" w:rsidRDefault="00D1587D">
            <w:pPr>
              <w:rPr>
                <w:sz w:val="4"/>
                <w:szCs w:val="4"/>
              </w:rPr>
            </w:pPr>
          </w:p>
        </w:tc>
        <w:tc>
          <w:tcPr>
            <w:tcW w:w="140" w:type="dxa"/>
            <w:vAlign w:val="bottom"/>
          </w:tcPr>
          <w:p w14:paraId="48488075" w14:textId="77777777" w:rsidR="00D1587D" w:rsidRDefault="00D1587D">
            <w:pPr>
              <w:rPr>
                <w:sz w:val="4"/>
                <w:szCs w:val="4"/>
              </w:rPr>
            </w:pPr>
          </w:p>
        </w:tc>
        <w:tc>
          <w:tcPr>
            <w:tcW w:w="740" w:type="dxa"/>
            <w:vAlign w:val="bottom"/>
          </w:tcPr>
          <w:p w14:paraId="2074D814" w14:textId="77777777" w:rsidR="00D1587D" w:rsidRDefault="00D1587D">
            <w:pPr>
              <w:rPr>
                <w:sz w:val="4"/>
                <w:szCs w:val="4"/>
              </w:rPr>
            </w:pPr>
          </w:p>
        </w:tc>
        <w:tc>
          <w:tcPr>
            <w:tcW w:w="1300" w:type="dxa"/>
            <w:vAlign w:val="bottom"/>
          </w:tcPr>
          <w:p w14:paraId="3D924D5C" w14:textId="77777777" w:rsidR="00D1587D" w:rsidRDefault="00D1587D">
            <w:pPr>
              <w:rPr>
                <w:sz w:val="4"/>
                <w:szCs w:val="4"/>
              </w:rPr>
            </w:pPr>
          </w:p>
        </w:tc>
        <w:tc>
          <w:tcPr>
            <w:tcW w:w="0" w:type="dxa"/>
            <w:vAlign w:val="bottom"/>
          </w:tcPr>
          <w:p w14:paraId="30AE90F3" w14:textId="77777777" w:rsidR="00D1587D" w:rsidRDefault="00D1587D">
            <w:pPr>
              <w:rPr>
                <w:sz w:val="1"/>
                <w:szCs w:val="1"/>
              </w:rPr>
            </w:pPr>
          </w:p>
        </w:tc>
      </w:tr>
      <w:tr w:rsidR="00D1587D" w14:paraId="26745B00" w14:textId="77777777">
        <w:trPr>
          <w:trHeight w:val="304"/>
        </w:trPr>
        <w:tc>
          <w:tcPr>
            <w:tcW w:w="1300" w:type="dxa"/>
            <w:vAlign w:val="bottom"/>
          </w:tcPr>
          <w:p w14:paraId="51BF3EFD" w14:textId="77777777" w:rsidR="00D1587D" w:rsidRDefault="00D1587D">
            <w:pPr>
              <w:rPr>
                <w:sz w:val="24"/>
                <w:szCs w:val="24"/>
              </w:rPr>
            </w:pPr>
          </w:p>
        </w:tc>
        <w:tc>
          <w:tcPr>
            <w:tcW w:w="3500" w:type="dxa"/>
            <w:tcBorders>
              <w:bottom w:val="single" w:sz="8" w:space="0" w:color="CCEEFF"/>
            </w:tcBorders>
            <w:shd w:val="clear" w:color="auto" w:fill="CCEEFF"/>
            <w:vAlign w:val="bottom"/>
          </w:tcPr>
          <w:p w14:paraId="30E0524B" w14:textId="77777777" w:rsidR="00D1587D" w:rsidRDefault="00410D07">
            <w:pPr>
              <w:rPr>
                <w:sz w:val="20"/>
                <w:szCs w:val="20"/>
              </w:rPr>
            </w:pPr>
            <w:r>
              <w:rPr>
                <w:rFonts w:ascii="Arial" w:eastAsia="Arial" w:hAnsi="Arial" w:cs="Arial"/>
                <w:sz w:val="18"/>
                <w:szCs w:val="18"/>
              </w:rPr>
              <w:t>U.K. / Ireland</w:t>
            </w:r>
          </w:p>
        </w:tc>
        <w:tc>
          <w:tcPr>
            <w:tcW w:w="2680" w:type="dxa"/>
            <w:tcBorders>
              <w:bottom w:val="single" w:sz="8" w:space="0" w:color="CCEEFF"/>
            </w:tcBorders>
            <w:shd w:val="clear" w:color="auto" w:fill="CCEEFF"/>
            <w:vAlign w:val="bottom"/>
          </w:tcPr>
          <w:p w14:paraId="28C1CDAE" w14:textId="77777777" w:rsidR="00D1587D" w:rsidRDefault="00D1587D">
            <w:pPr>
              <w:rPr>
                <w:sz w:val="24"/>
                <w:szCs w:val="24"/>
              </w:rPr>
            </w:pPr>
          </w:p>
        </w:tc>
        <w:tc>
          <w:tcPr>
            <w:tcW w:w="60" w:type="dxa"/>
            <w:tcBorders>
              <w:bottom w:val="single" w:sz="8" w:space="0" w:color="CCEEFF"/>
            </w:tcBorders>
            <w:shd w:val="clear" w:color="auto" w:fill="CCEEFF"/>
            <w:vAlign w:val="bottom"/>
          </w:tcPr>
          <w:p w14:paraId="2DFC5C29"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45686377" w14:textId="77777777" w:rsidR="00D1587D" w:rsidRDefault="00410D07">
            <w:pPr>
              <w:ind w:right="220"/>
              <w:jc w:val="right"/>
              <w:rPr>
                <w:sz w:val="20"/>
                <w:szCs w:val="20"/>
              </w:rPr>
            </w:pPr>
            <w:r>
              <w:rPr>
                <w:rFonts w:ascii="Arial" w:eastAsia="Arial" w:hAnsi="Arial" w:cs="Arial"/>
                <w:sz w:val="18"/>
                <w:szCs w:val="18"/>
              </w:rPr>
              <w:t>—</w:t>
            </w:r>
          </w:p>
        </w:tc>
        <w:tc>
          <w:tcPr>
            <w:tcW w:w="880" w:type="dxa"/>
            <w:gridSpan w:val="2"/>
            <w:tcBorders>
              <w:bottom w:val="single" w:sz="8" w:space="0" w:color="CCEEFF"/>
            </w:tcBorders>
            <w:shd w:val="clear" w:color="auto" w:fill="CCEEFF"/>
            <w:vAlign w:val="bottom"/>
          </w:tcPr>
          <w:p w14:paraId="50BCAC83" w14:textId="77777777" w:rsidR="00D1587D" w:rsidRDefault="00410D07">
            <w:pPr>
              <w:ind w:right="380"/>
              <w:jc w:val="right"/>
              <w:rPr>
                <w:sz w:val="20"/>
                <w:szCs w:val="20"/>
              </w:rPr>
            </w:pPr>
            <w:r>
              <w:rPr>
                <w:rFonts w:ascii="Arial" w:eastAsia="Arial" w:hAnsi="Arial" w:cs="Arial"/>
                <w:sz w:val="18"/>
                <w:szCs w:val="18"/>
              </w:rPr>
              <w:t>—</w:t>
            </w:r>
          </w:p>
        </w:tc>
        <w:tc>
          <w:tcPr>
            <w:tcW w:w="740" w:type="dxa"/>
            <w:tcBorders>
              <w:bottom w:val="single" w:sz="8" w:space="0" w:color="CCEEFF"/>
            </w:tcBorders>
            <w:shd w:val="clear" w:color="auto" w:fill="CCEEFF"/>
            <w:vAlign w:val="bottom"/>
          </w:tcPr>
          <w:p w14:paraId="71330716" w14:textId="77777777" w:rsidR="00D1587D" w:rsidRDefault="00410D07">
            <w:pPr>
              <w:ind w:right="95"/>
              <w:jc w:val="right"/>
              <w:rPr>
                <w:sz w:val="20"/>
                <w:szCs w:val="20"/>
              </w:rPr>
            </w:pPr>
            <w:r>
              <w:rPr>
                <w:rFonts w:ascii="Arial" w:eastAsia="Arial" w:hAnsi="Arial" w:cs="Arial"/>
                <w:sz w:val="18"/>
                <w:szCs w:val="18"/>
              </w:rPr>
              <w:t>26</w:t>
            </w:r>
          </w:p>
        </w:tc>
        <w:tc>
          <w:tcPr>
            <w:tcW w:w="1300" w:type="dxa"/>
            <w:vAlign w:val="bottom"/>
          </w:tcPr>
          <w:p w14:paraId="4DA3CD9A" w14:textId="77777777" w:rsidR="00D1587D" w:rsidRDefault="00D1587D">
            <w:pPr>
              <w:rPr>
                <w:sz w:val="24"/>
                <w:szCs w:val="24"/>
              </w:rPr>
            </w:pPr>
          </w:p>
        </w:tc>
        <w:tc>
          <w:tcPr>
            <w:tcW w:w="0" w:type="dxa"/>
            <w:vAlign w:val="bottom"/>
          </w:tcPr>
          <w:p w14:paraId="20137B78" w14:textId="77777777" w:rsidR="00D1587D" w:rsidRDefault="00D1587D">
            <w:pPr>
              <w:rPr>
                <w:sz w:val="1"/>
                <w:szCs w:val="1"/>
              </w:rPr>
            </w:pPr>
          </w:p>
        </w:tc>
      </w:tr>
      <w:tr w:rsidR="00D1587D" w14:paraId="77661EDB" w14:textId="77777777">
        <w:trPr>
          <w:trHeight w:val="270"/>
        </w:trPr>
        <w:tc>
          <w:tcPr>
            <w:tcW w:w="1300" w:type="dxa"/>
            <w:vAlign w:val="bottom"/>
          </w:tcPr>
          <w:p w14:paraId="58D3CF83" w14:textId="77777777" w:rsidR="00D1587D" w:rsidRDefault="00D1587D">
            <w:pPr>
              <w:rPr>
                <w:sz w:val="23"/>
                <w:szCs w:val="23"/>
              </w:rPr>
            </w:pPr>
          </w:p>
        </w:tc>
        <w:tc>
          <w:tcPr>
            <w:tcW w:w="3500" w:type="dxa"/>
            <w:vAlign w:val="bottom"/>
          </w:tcPr>
          <w:p w14:paraId="50CCBD7D" w14:textId="77777777" w:rsidR="00D1587D" w:rsidRDefault="00410D07">
            <w:pPr>
              <w:rPr>
                <w:sz w:val="20"/>
                <w:szCs w:val="20"/>
              </w:rPr>
            </w:pPr>
            <w:r>
              <w:rPr>
                <w:rFonts w:ascii="Arial" w:eastAsia="Arial" w:hAnsi="Arial" w:cs="Arial"/>
                <w:sz w:val="18"/>
                <w:szCs w:val="18"/>
              </w:rPr>
              <w:t>Greater China – Beauty and Accessories</w:t>
            </w:r>
          </w:p>
        </w:tc>
        <w:tc>
          <w:tcPr>
            <w:tcW w:w="3180" w:type="dxa"/>
            <w:gridSpan w:val="3"/>
            <w:vAlign w:val="bottom"/>
          </w:tcPr>
          <w:p w14:paraId="598E49A3" w14:textId="77777777" w:rsidR="00D1587D" w:rsidRDefault="00410D07">
            <w:pPr>
              <w:ind w:right="19"/>
              <w:jc w:val="right"/>
              <w:rPr>
                <w:sz w:val="20"/>
                <w:szCs w:val="20"/>
              </w:rPr>
            </w:pPr>
            <w:r>
              <w:rPr>
                <w:rFonts w:ascii="Arial" w:eastAsia="Arial" w:hAnsi="Arial" w:cs="Arial"/>
                <w:sz w:val="18"/>
                <w:szCs w:val="18"/>
              </w:rPr>
              <w:t>36</w:t>
            </w:r>
          </w:p>
        </w:tc>
        <w:tc>
          <w:tcPr>
            <w:tcW w:w="120" w:type="dxa"/>
            <w:vAlign w:val="bottom"/>
          </w:tcPr>
          <w:p w14:paraId="42ABDB44" w14:textId="77777777" w:rsidR="00D1587D" w:rsidRDefault="00D1587D">
            <w:pPr>
              <w:rPr>
                <w:sz w:val="23"/>
                <w:szCs w:val="23"/>
              </w:rPr>
            </w:pPr>
          </w:p>
        </w:tc>
        <w:tc>
          <w:tcPr>
            <w:tcW w:w="740" w:type="dxa"/>
            <w:vAlign w:val="bottom"/>
          </w:tcPr>
          <w:p w14:paraId="56078C81" w14:textId="77777777" w:rsidR="00D1587D" w:rsidRDefault="00410D07">
            <w:pPr>
              <w:ind w:right="155"/>
              <w:jc w:val="right"/>
              <w:rPr>
                <w:sz w:val="20"/>
                <w:szCs w:val="20"/>
              </w:rPr>
            </w:pPr>
            <w:r>
              <w:rPr>
                <w:rFonts w:ascii="Arial" w:eastAsia="Arial" w:hAnsi="Arial" w:cs="Arial"/>
                <w:sz w:val="18"/>
                <w:szCs w:val="18"/>
              </w:rPr>
              <w:t>36</w:t>
            </w:r>
          </w:p>
        </w:tc>
        <w:tc>
          <w:tcPr>
            <w:tcW w:w="140" w:type="dxa"/>
            <w:vAlign w:val="bottom"/>
          </w:tcPr>
          <w:p w14:paraId="7AA611AB" w14:textId="77777777" w:rsidR="00D1587D" w:rsidRDefault="00D1587D">
            <w:pPr>
              <w:rPr>
                <w:sz w:val="23"/>
                <w:szCs w:val="23"/>
              </w:rPr>
            </w:pPr>
          </w:p>
        </w:tc>
        <w:tc>
          <w:tcPr>
            <w:tcW w:w="740" w:type="dxa"/>
            <w:vAlign w:val="bottom"/>
          </w:tcPr>
          <w:p w14:paraId="5000C109" w14:textId="77777777" w:rsidR="00D1587D" w:rsidRDefault="00410D07">
            <w:pPr>
              <w:ind w:right="95"/>
              <w:jc w:val="right"/>
              <w:rPr>
                <w:sz w:val="20"/>
                <w:szCs w:val="20"/>
              </w:rPr>
            </w:pPr>
            <w:r>
              <w:rPr>
                <w:rFonts w:ascii="Arial" w:eastAsia="Arial" w:hAnsi="Arial" w:cs="Arial"/>
                <w:sz w:val="18"/>
                <w:szCs w:val="18"/>
              </w:rPr>
              <w:t>41</w:t>
            </w:r>
          </w:p>
        </w:tc>
        <w:tc>
          <w:tcPr>
            <w:tcW w:w="1300" w:type="dxa"/>
            <w:vAlign w:val="bottom"/>
          </w:tcPr>
          <w:p w14:paraId="47FA501C" w14:textId="77777777" w:rsidR="00D1587D" w:rsidRDefault="00D1587D">
            <w:pPr>
              <w:rPr>
                <w:sz w:val="23"/>
                <w:szCs w:val="23"/>
              </w:rPr>
            </w:pPr>
          </w:p>
        </w:tc>
        <w:tc>
          <w:tcPr>
            <w:tcW w:w="0" w:type="dxa"/>
            <w:vAlign w:val="bottom"/>
          </w:tcPr>
          <w:p w14:paraId="68E013D7" w14:textId="77777777" w:rsidR="00D1587D" w:rsidRDefault="00D1587D">
            <w:pPr>
              <w:rPr>
                <w:sz w:val="1"/>
                <w:szCs w:val="1"/>
              </w:rPr>
            </w:pPr>
          </w:p>
        </w:tc>
      </w:tr>
      <w:tr w:rsidR="00D1587D" w14:paraId="2178AE21" w14:textId="77777777">
        <w:trPr>
          <w:trHeight w:val="54"/>
        </w:trPr>
        <w:tc>
          <w:tcPr>
            <w:tcW w:w="1300" w:type="dxa"/>
            <w:vAlign w:val="bottom"/>
          </w:tcPr>
          <w:p w14:paraId="23BAAC26" w14:textId="77777777" w:rsidR="00D1587D" w:rsidRDefault="00D1587D">
            <w:pPr>
              <w:rPr>
                <w:sz w:val="4"/>
                <w:szCs w:val="4"/>
              </w:rPr>
            </w:pPr>
          </w:p>
        </w:tc>
        <w:tc>
          <w:tcPr>
            <w:tcW w:w="3500" w:type="dxa"/>
            <w:vAlign w:val="bottom"/>
          </w:tcPr>
          <w:p w14:paraId="4B6AF98F" w14:textId="77777777" w:rsidR="00D1587D" w:rsidRDefault="00D1587D">
            <w:pPr>
              <w:rPr>
                <w:sz w:val="4"/>
                <w:szCs w:val="4"/>
              </w:rPr>
            </w:pPr>
          </w:p>
        </w:tc>
        <w:tc>
          <w:tcPr>
            <w:tcW w:w="2680" w:type="dxa"/>
            <w:vAlign w:val="bottom"/>
          </w:tcPr>
          <w:p w14:paraId="61F4AEED" w14:textId="77777777" w:rsidR="00D1587D" w:rsidRDefault="00D1587D">
            <w:pPr>
              <w:rPr>
                <w:sz w:val="4"/>
                <w:szCs w:val="4"/>
              </w:rPr>
            </w:pPr>
          </w:p>
        </w:tc>
        <w:tc>
          <w:tcPr>
            <w:tcW w:w="60" w:type="dxa"/>
            <w:vAlign w:val="bottom"/>
          </w:tcPr>
          <w:p w14:paraId="02E79AFC" w14:textId="77777777" w:rsidR="00D1587D" w:rsidRDefault="00D1587D">
            <w:pPr>
              <w:rPr>
                <w:sz w:val="4"/>
                <w:szCs w:val="4"/>
              </w:rPr>
            </w:pPr>
          </w:p>
        </w:tc>
        <w:tc>
          <w:tcPr>
            <w:tcW w:w="440" w:type="dxa"/>
            <w:vAlign w:val="bottom"/>
          </w:tcPr>
          <w:p w14:paraId="0A3163B5" w14:textId="77777777" w:rsidR="00D1587D" w:rsidRDefault="00D1587D">
            <w:pPr>
              <w:rPr>
                <w:sz w:val="4"/>
                <w:szCs w:val="4"/>
              </w:rPr>
            </w:pPr>
          </w:p>
        </w:tc>
        <w:tc>
          <w:tcPr>
            <w:tcW w:w="120" w:type="dxa"/>
            <w:vAlign w:val="bottom"/>
          </w:tcPr>
          <w:p w14:paraId="23CAC60A" w14:textId="77777777" w:rsidR="00D1587D" w:rsidRDefault="00D1587D">
            <w:pPr>
              <w:rPr>
                <w:sz w:val="4"/>
                <w:szCs w:val="4"/>
              </w:rPr>
            </w:pPr>
          </w:p>
        </w:tc>
        <w:tc>
          <w:tcPr>
            <w:tcW w:w="740" w:type="dxa"/>
            <w:vAlign w:val="bottom"/>
          </w:tcPr>
          <w:p w14:paraId="351C2958" w14:textId="77777777" w:rsidR="00D1587D" w:rsidRDefault="00D1587D">
            <w:pPr>
              <w:rPr>
                <w:sz w:val="4"/>
                <w:szCs w:val="4"/>
              </w:rPr>
            </w:pPr>
          </w:p>
        </w:tc>
        <w:tc>
          <w:tcPr>
            <w:tcW w:w="140" w:type="dxa"/>
            <w:vAlign w:val="bottom"/>
          </w:tcPr>
          <w:p w14:paraId="146AD6A5" w14:textId="77777777" w:rsidR="00D1587D" w:rsidRDefault="00D1587D">
            <w:pPr>
              <w:rPr>
                <w:sz w:val="4"/>
                <w:szCs w:val="4"/>
              </w:rPr>
            </w:pPr>
          </w:p>
        </w:tc>
        <w:tc>
          <w:tcPr>
            <w:tcW w:w="740" w:type="dxa"/>
            <w:vAlign w:val="bottom"/>
          </w:tcPr>
          <w:p w14:paraId="61B94694" w14:textId="77777777" w:rsidR="00D1587D" w:rsidRDefault="00D1587D">
            <w:pPr>
              <w:rPr>
                <w:sz w:val="4"/>
                <w:szCs w:val="4"/>
              </w:rPr>
            </w:pPr>
          </w:p>
        </w:tc>
        <w:tc>
          <w:tcPr>
            <w:tcW w:w="1300" w:type="dxa"/>
            <w:vAlign w:val="bottom"/>
          </w:tcPr>
          <w:p w14:paraId="1BD57AAA" w14:textId="77777777" w:rsidR="00D1587D" w:rsidRDefault="00D1587D">
            <w:pPr>
              <w:rPr>
                <w:sz w:val="4"/>
                <w:szCs w:val="4"/>
              </w:rPr>
            </w:pPr>
          </w:p>
        </w:tc>
        <w:tc>
          <w:tcPr>
            <w:tcW w:w="0" w:type="dxa"/>
            <w:vAlign w:val="bottom"/>
          </w:tcPr>
          <w:p w14:paraId="67CF9449" w14:textId="77777777" w:rsidR="00D1587D" w:rsidRDefault="00D1587D">
            <w:pPr>
              <w:rPr>
                <w:sz w:val="1"/>
                <w:szCs w:val="1"/>
              </w:rPr>
            </w:pPr>
          </w:p>
        </w:tc>
      </w:tr>
      <w:tr w:rsidR="00D1587D" w14:paraId="3DE26D2D" w14:textId="77777777">
        <w:trPr>
          <w:trHeight w:val="270"/>
        </w:trPr>
        <w:tc>
          <w:tcPr>
            <w:tcW w:w="1300" w:type="dxa"/>
            <w:vAlign w:val="bottom"/>
          </w:tcPr>
          <w:p w14:paraId="2DBCFA43" w14:textId="77777777" w:rsidR="00D1587D" w:rsidRDefault="00D1587D">
            <w:pPr>
              <w:rPr>
                <w:sz w:val="23"/>
                <w:szCs w:val="23"/>
              </w:rPr>
            </w:pPr>
          </w:p>
        </w:tc>
        <w:tc>
          <w:tcPr>
            <w:tcW w:w="3500" w:type="dxa"/>
            <w:shd w:val="clear" w:color="auto" w:fill="CCEEFF"/>
            <w:vAlign w:val="bottom"/>
          </w:tcPr>
          <w:p w14:paraId="45D9A0C0" w14:textId="77777777" w:rsidR="00D1587D" w:rsidRDefault="00410D07">
            <w:pPr>
              <w:rPr>
                <w:sz w:val="20"/>
                <w:szCs w:val="20"/>
              </w:rPr>
            </w:pPr>
            <w:r>
              <w:rPr>
                <w:rFonts w:ascii="Arial" w:eastAsia="Arial" w:hAnsi="Arial" w:cs="Arial"/>
                <w:sz w:val="18"/>
                <w:szCs w:val="18"/>
              </w:rPr>
              <w:t>Greater China – Full Assortment</w:t>
            </w:r>
          </w:p>
        </w:tc>
        <w:tc>
          <w:tcPr>
            <w:tcW w:w="3180" w:type="dxa"/>
            <w:gridSpan w:val="3"/>
            <w:shd w:val="clear" w:color="auto" w:fill="CCEEFF"/>
            <w:vAlign w:val="bottom"/>
          </w:tcPr>
          <w:p w14:paraId="48F8B95F" w14:textId="77777777" w:rsidR="00D1587D" w:rsidRDefault="00410D07">
            <w:pPr>
              <w:ind w:right="19"/>
              <w:jc w:val="right"/>
              <w:rPr>
                <w:sz w:val="20"/>
                <w:szCs w:val="20"/>
              </w:rPr>
            </w:pPr>
            <w:r>
              <w:rPr>
                <w:rFonts w:ascii="Arial" w:eastAsia="Arial" w:hAnsi="Arial" w:cs="Arial"/>
                <w:sz w:val="18"/>
                <w:szCs w:val="18"/>
              </w:rPr>
              <w:t>26</w:t>
            </w:r>
          </w:p>
        </w:tc>
        <w:tc>
          <w:tcPr>
            <w:tcW w:w="120" w:type="dxa"/>
            <w:shd w:val="clear" w:color="auto" w:fill="CCEEFF"/>
            <w:vAlign w:val="bottom"/>
          </w:tcPr>
          <w:p w14:paraId="08EC4044" w14:textId="77777777" w:rsidR="00D1587D" w:rsidRDefault="00D1587D">
            <w:pPr>
              <w:rPr>
                <w:sz w:val="23"/>
                <w:szCs w:val="23"/>
              </w:rPr>
            </w:pPr>
          </w:p>
        </w:tc>
        <w:tc>
          <w:tcPr>
            <w:tcW w:w="740" w:type="dxa"/>
            <w:shd w:val="clear" w:color="auto" w:fill="CCEEFF"/>
            <w:vAlign w:val="bottom"/>
          </w:tcPr>
          <w:p w14:paraId="6A6A2081" w14:textId="77777777" w:rsidR="00D1587D" w:rsidRDefault="00410D07">
            <w:pPr>
              <w:ind w:right="155"/>
              <w:jc w:val="right"/>
              <w:rPr>
                <w:sz w:val="20"/>
                <w:szCs w:val="20"/>
              </w:rPr>
            </w:pPr>
            <w:r>
              <w:rPr>
                <w:rFonts w:ascii="Arial" w:eastAsia="Arial" w:hAnsi="Arial" w:cs="Arial"/>
                <w:sz w:val="18"/>
                <w:szCs w:val="18"/>
              </w:rPr>
              <w:t>26</w:t>
            </w:r>
          </w:p>
        </w:tc>
        <w:tc>
          <w:tcPr>
            <w:tcW w:w="140" w:type="dxa"/>
            <w:shd w:val="clear" w:color="auto" w:fill="CCEEFF"/>
            <w:vAlign w:val="bottom"/>
          </w:tcPr>
          <w:p w14:paraId="046DF0B9" w14:textId="77777777" w:rsidR="00D1587D" w:rsidRDefault="00D1587D">
            <w:pPr>
              <w:rPr>
                <w:sz w:val="23"/>
                <w:szCs w:val="23"/>
              </w:rPr>
            </w:pPr>
          </w:p>
        </w:tc>
        <w:tc>
          <w:tcPr>
            <w:tcW w:w="740" w:type="dxa"/>
            <w:shd w:val="clear" w:color="auto" w:fill="CCEEFF"/>
            <w:vAlign w:val="bottom"/>
          </w:tcPr>
          <w:p w14:paraId="08B8A65A" w14:textId="77777777" w:rsidR="00D1587D" w:rsidRDefault="00410D07">
            <w:pPr>
              <w:ind w:right="95"/>
              <w:jc w:val="right"/>
              <w:rPr>
                <w:sz w:val="20"/>
                <w:szCs w:val="20"/>
              </w:rPr>
            </w:pPr>
            <w:r>
              <w:rPr>
                <w:rFonts w:ascii="Arial" w:eastAsia="Arial" w:hAnsi="Arial" w:cs="Arial"/>
                <w:sz w:val="18"/>
                <w:szCs w:val="18"/>
              </w:rPr>
              <w:t>23</w:t>
            </w:r>
          </w:p>
        </w:tc>
        <w:tc>
          <w:tcPr>
            <w:tcW w:w="1300" w:type="dxa"/>
            <w:vAlign w:val="bottom"/>
          </w:tcPr>
          <w:p w14:paraId="2ED28690" w14:textId="77777777" w:rsidR="00D1587D" w:rsidRDefault="00D1587D">
            <w:pPr>
              <w:rPr>
                <w:sz w:val="23"/>
                <w:szCs w:val="23"/>
              </w:rPr>
            </w:pPr>
          </w:p>
        </w:tc>
        <w:tc>
          <w:tcPr>
            <w:tcW w:w="0" w:type="dxa"/>
            <w:vAlign w:val="bottom"/>
          </w:tcPr>
          <w:p w14:paraId="5D81212C" w14:textId="77777777" w:rsidR="00D1587D" w:rsidRDefault="00D1587D">
            <w:pPr>
              <w:rPr>
                <w:sz w:val="1"/>
                <w:szCs w:val="1"/>
              </w:rPr>
            </w:pPr>
          </w:p>
        </w:tc>
      </w:tr>
      <w:tr w:rsidR="00D1587D" w14:paraId="660F61B7" w14:textId="77777777">
        <w:trPr>
          <w:trHeight w:val="68"/>
        </w:trPr>
        <w:tc>
          <w:tcPr>
            <w:tcW w:w="1300" w:type="dxa"/>
            <w:vAlign w:val="bottom"/>
          </w:tcPr>
          <w:p w14:paraId="3283292C" w14:textId="77777777" w:rsidR="00D1587D" w:rsidRDefault="00D1587D">
            <w:pPr>
              <w:rPr>
                <w:sz w:val="5"/>
                <w:szCs w:val="5"/>
              </w:rPr>
            </w:pPr>
          </w:p>
        </w:tc>
        <w:tc>
          <w:tcPr>
            <w:tcW w:w="3500" w:type="dxa"/>
            <w:shd w:val="clear" w:color="auto" w:fill="CCEEFF"/>
            <w:vAlign w:val="bottom"/>
          </w:tcPr>
          <w:p w14:paraId="6CCF3DF2" w14:textId="77777777" w:rsidR="00D1587D" w:rsidRDefault="00D1587D">
            <w:pPr>
              <w:rPr>
                <w:sz w:val="5"/>
                <w:szCs w:val="5"/>
              </w:rPr>
            </w:pPr>
          </w:p>
        </w:tc>
        <w:tc>
          <w:tcPr>
            <w:tcW w:w="2680" w:type="dxa"/>
            <w:shd w:val="clear" w:color="auto" w:fill="CCEEFF"/>
            <w:vAlign w:val="bottom"/>
          </w:tcPr>
          <w:p w14:paraId="65885942" w14:textId="77777777" w:rsidR="00D1587D" w:rsidRDefault="00D1587D">
            <w:pPr>
              <w:rPr>
                <w:sz w:val="5"/>
                <w:szCs w:val="5"/>
              </w:rPr>
            </w:pPr>
          </w:p>
        </w:tc>
        <w:tc>
          <w:tcPr>
            <w:tcW w:w="60" w:type="dxa"/>
            <w:tcBorders>
              <w:bottom w:val="single" w:sz="8" w:space="0" w:color="CCEEFF"/>
            </w:tcBorders>
            <w:shd w:val="clear" w:color="auto" w:fill="CCEEFF"/>
            <w:vAlign w:val="bottom"/>
          </w:tcPr>
          <w:p w14:paraId="3AD52BFE" w14:textId="77777777" w:rsidR="00D1587D" w:rsidRDefault="00D1587D">
            <w:pPr>
              <w:rPr>
                <w:sz w:val="5"/>
                <w:szCs w:val="5"/>
              </w:rPr>
            </w:pPr>
          </w:p>
        </w:tc>
        <w:tc>
          <w:tcPr>
            <w:tcW w:w="440" w:type="dxa"/>
            <w:tcBorders>
              <w:bottom w:val="single" w:sz="8" w:space="0" w:color="auto"/>
            </w:tcBorders>
            <w:shd w:val="clear" w:color="auto" w:fill="CCEEFF"/>
            <w:vAlign w:val="bottom"/>
          </w:tcPr>
          <w:p w14:paraId="1F058225" w14:textId="77777777" w:rsidR="00D1587D" w:rsidRDefault="00D1587D">
            <w:pPr>
              <w:rPr>
                <w:sz w:val="5"/>
                <w:szCs w:val="5"/>
              </w:rPr>
            </w:pPr>
          </w:p>
        </w:tc>
        <w:tc>
          <w:tcPr>
            <w:tcW w:w="120" w:type="dxa"/>
            <w:tcBorders>
              <w:bottom w:val="single" w:sz="8" w:space="0" w:color="CCEEFF"/>
            </w:tcBorders>
            <w:shd w:val="clear" w:color="auto" w:fill="CCEEFF"/>
            <w:vAlign w:val="bottom"/>
          </w:tcPr>
          <w:p w14:paraId="315E9B3C" w14:textId="77777777" w:rsidR="00D1587D" w:rsidRDefault="00D1587D">
            <w:pPr>
              <w:rPr>
                <w:sz w:val="5"/>
                <w:szCs w:val="5"/>
              </w:rPr>
            </w:pPr>
          </w:p>
        </w:tc>
        <w:tc>
          <w:tcPr>
            <w:tcW w:w="740" w:type="dxa"/>
            <w:tcBorders>
              <w:bottom w:val="single" w:sz="8" w:space="0" w:color="auto"/>
            </w:tcBorders>
            <w:shd w:val="clear" w:color="auto" w:fill="CCEEFF"/>
            <w:vAlign w:val="bottom"/>
          </w:tcPr>
          <w:p w14:paraId="157625D1" w14:textId="77777777" w:rsidR="00D1587D" w:rsidRDefault="00D1587D">
            <w:pPr>
              <w:rPr>
                <w:sz w:val="5"/>
                <w:szCs w:val="5"/>
              </w:rPr>
            </w:pPr>
          </w:p>
        </w:tc>
        <w:tc>
          <w:tcPr>
            <w:tcW w:w="140" w:type="dxa"/>
            <w:tcBorders>
              <w:bottom w:val="single" w:sz="8" w:space="0" w:color="CCEEFF"/>
            </w:tcBorders>
            <w:shd w:val="clear" w:color="auto" w:fill="CCEEFF"/>
            <w:vAlign w:val="bottom"/>
          </w:tcPr>
          <w:p w14:paraId="70956E4E" w14:textId="77777777" w:rsidR="00D1587D" w:rsidRDefault="00D1587D">
            <w:pPr>
              <w:rPr>
                <w:sz w:val="5"/>
                <w:szCs w:val="5"/>
              </w:rPr>
            </w:pPr>
          </w:p>
        </w:tc>
        <w:tc>
          <w:tcPr>
            <w:tcW w:w="740" w:type="dxa"/>
            <w:tcBorders>
              <w:bottom w:val="single" w:sz="8" w:space="0" w:color="auto"/>
            </w:tcBorders>
            <w:shd w:val="clear" w:color="auto" w:fill="CCEEFF"/>
            <w:vAlign w:val="bottom"/>
          </w:tcPr>
          <w:p w14:paraId="2FB5AD0F" w14:textId="77777777" w:rsidR="00D1587D" w:rsidRDefault="00D1587D">
            <w:pPr>
              <w:rPr>
                <w:sz w:val="5"/>
                <w:szCs w:val="5"/>
              </w:rPr>
            </w:pPr>
          </w:p>
        </w:tc>
        <w:tc>
          <w:tcPr>
            <w:tcW w:w="1300" w:type="dxa"/>
            <w:vAlign w:val="bottom"/>
          </w:tcPr>
          <w:p w14:paraId="67BCE2B3" w14:textId="77777777" w:rsidR="00D1587D" w:rsidRDefault="00D1587D">
            <w:pPr>
              <w:rPr>
                <w:sz w:val="5"/>
                <w:szCs w:val="5"/>
              </w:rPr>
            </w:pPr>
          </w:p>
        </w:tc>
        <w:tc>
          <w:tcPr>
            <w:tcW w:w="0" w:type="dxa"/>
            <w:vAlign w:val="bottom"/>
          </w:tcPr>
          <w:p w14:paraId="5451ED74" w14:textId="77777777" w:rsidR="00D1587D" w:rsidRDefault="00D1587D">
            <w:pPr>
              <w:rPr>
                <w:sz w:val="1"/>
                <w:szCs w:val="1"/>
              </w:rPr>
            </w:pPr>
          </w:p>
        </w:tc>
      </w:tr>
      <w:tr w:rsidR="00D1587D" w14:paraId="7F3A4B2F" w14:textId="77777777">
        <w:trPr>
          <w:trHeight w:val="304"/>
        </w:trPr>
        <w:tc>
          <w:tcPr>
            <w:tcW w:w="1300" w:type="dxa"/>
            <w:vAlign w:val="bottom"/>
          </w:tcPr>
          <w:p w14:paraId="77249CDE" w14:textId="77777777" w:rsidR="00D1587D" w:rsidRDefault="00D1587D">
            <w:pPr>
              <w:rPr>
                <w:sz w:val="24"/>
                <w:szCs w:val="24"/>
              </w:rPr>
            </w:pPr>
          </w:p>
        </w:tc>
        <w:tc>
          <w:tcPr>
            <w:tcW w:w="3500" w:type="dxa"/>
            <w:vAlign w:val="bottom"/>
          </w:tcPr>
          <w:p w14:paraId="52A2E65C" w14:textId="77777777" w:rsidR="00D1587D" w:rsidRDefault="00410D07">
            <w:pPr>
              <w:rPr>
                <w:sz w:val="20"/>
                <w:szCs w:val="20"/>
              </w:rPr>
            </w:pPr>
            <w:r>
              <w:rPr>
                <w:rFonts w:ascii="Arial" w:eastAsia="Arial" w:hAnsi="Arial" w:cs="Arial"/>
                <w:b/>
                <w:bCs/>
                <w:sz w:val="18"/>
                <w:szCs w:val="18"/>
              </w:rPr>
              <w:t>Total</w:t>
            </w:r>
          </w:p>
        </w:tc>
        <w:tc>
          <w:tcPr>
            <w:tcW w:w="3180" w:type="dxa"/>
            <w:gridSpan w:val="3"/>
            <w:vAlign w:val="bottom"/>
          </w:tcPr>
          <w:p w14:paraId="4E6C3F0C" w14:textId="77777777" w:rsidR="00D1587D" w:rsidRDefault="00410D07">
            <w:pPr>
              <w:ind w:left="2653"/>
              <w:jc w:val="center"/>
              <w:rPr>
                <w:sz w:val="20"/>
                <w:szCs w:val="20"/>
              </w:rPr>
            </w:pPr>
            <w:r>
              <w:rPr>
                <w:rFonts w:ascii="Arial" w:eastAsia="Arial" w:hAnsi="Arial" w:cs="Arial"/>
                <w:b/>
                <w:bCs/>
                <w:w w:val="93"/>
                <w:sz w:val="18"/>
                <w:szCs w:val="18"/>
              </w:rPr>
              <w:t>929</w:t>
            </w:r>
          </w:p>
        </w:tc>
        <w:tc>
          <w:tcPr>
            <w:tcW w:w="120" w:type="dxa"/>
            <w:vAlign w:val="bottom"/>
          </w:tcPr>
          <w:p w14:paraId="29BB9138" w14:textId="77777777" w:rsidR="00D1587D" w:rsidRDefault="00D1587D">
            <w:pPr>
              <w:rPr>
                <w:sz w:val="24"/>
                <w:szCs w:val="24"/>
              </w:rPr>
            </w:pPr>
          </w:p>
        </w:tc>
        <w:tc>
          <w:tcPr>
            <w:tcW w:w="740" w:type="dxa"/>
            <w:vAlign w:val="bottom"/>
          </w:tcPr>
          <w:p w14:paraId="1BBECD5D" w14:textId="77777777" w:rsidR="00D1587D" w:rsidRDefault="00410D07">
            <w:pPr>
              <w:ind w:right="135"/>
              <w:jc w:val="right"/>
              <w:rPr>
                <w:sz w:val="20"/>
                <w:szCs w:val="20"/>
              </w:rPr>
            </w:pPr>
            <w:r>
              <w:rPr>
                <w:rFonts w:ascii="Arial" w:eastAsia="Arial" w:hAnsi="Arial" w:cs="Arial"/>
                <w:b/>
                <w:bCs/>
                <w:sz w:val="18"/>
                <w:szCs w:val="18"/>
              </w:rPr>
              <w:t>933</w:t>
            </w:r>
          </w:p>
        </w:tc>
        <w:tc>
          <w:tcPr>
            <w:tcW w:w="140" w:type="dxa"/>
            <w:vAlign w:val="bottom"/>
          </w:tcPr>
          <w:p w14:paraId="01D92F39" w14:textId="77777777" w:rsidR="00D1587D" w:rsidRDefault="00D1587D">
            <w:pPr>
              <w:rPr>
                <w:sz w:val="24"/>
                <w:szCs w:val="24"/>
              </w:rPr>
            </w:pPr>
          </w:p>
        </w:tc>
        <w:tc>
          <w:tcPr>
            <w:tcW w:w="740" w:type="dxa"/>
            <w:vAlign w:val="bottom"/>
          </w:tcPr>
          <w:p w14:paraId="03F5474C" w14:textId="77777777" w:rsidR="00D1587D" w:rsidRDefault="00410D07">
            <w:pPr>
              <w:jc w:val="center"/>
              <w:rPr>
                <w:sz w:val="20"/>
                <w:szCs w:val="20"/>
              </w:rPr>
            </w:pPr>
            <w:r>
              <w:rPr>
                <w:rFonts w:ascii="Arial" w:eastAsia="Arial" w:hAnsi="Arial" w:cs="Arial"/>
                <w:b/>
                <w:bCs/>
                <w:w w:val="88"/>
                <w:sz w:val="18"/>
                <w:szCs w:val="18"/>
              </w:rPr>
              <w:t>1,181</w:t>
            </w:r>
          </w:p>
        </w:tc>
        <w:tc>
          <w:tcPr>
            <w:tcW w:w="1300" w:type="dxa"/>
            <w:vAlign w:val="bottom"/>
          </w:tcPr>
          <w:p w14:paraId="73BCDAD1" w14:textId="77777777" w:rsidR="00D1587D" w:rsidRDefault="00D1587D">
            <w:pPr>
              <w:rPr>
                <w:sz w:val="24"/>
                <w:szCs w:val="24"/>
              </w:rPr>
            </w:pPr>
          </w:p>
        </w:tc>
        <w:tc>
          <w:tcPr>
            <w:tcW w:w="0" w:type="dxa"/>
            <w:vAlign w:val="bottom"/>
          </w:tcPr>
          <w:p w14:paraId="2F237B34" w14:textId="77777777" w:rsidR="00D1587D" w:rsidRDefault="00D1587D">
            <w:pPr>
              <w:rPr>
                <w:sz w:val="1"/>
                <w:szCs w:val="1"/>
              </w:rPr>
            </w:pPr>
          </w:p>
        </w:tc>
      </w:tr>
      <w:tr w:rsidR="00D1587D" w14:paraId="4C697718" w14:textId="77777777">
        <w:trPr>
          <w:trHeight w:val="27"/>
        </w:trPr>
        <w:tc>
          <w:tcPr>
            <w:tcW w:w="1300" w:type="dxa"/>
            <w:vAlign w:val="bottom"/>
          </w:tcPr>
          <w:p w14:paraId="7A634D58" w14:textId="77777777" w:rsidR="00D1587D" w:rsidRDefault="00D1587D">
            <w:pPr>
              <w:rPr>
                <w:sz w:val="2"/>
                <w:szCs w:val="2"/>
              </w:rPr>
            </w:pPr>
          </w:p>
        </w:tc>
        <w:tc>
          <w:tcPr>
            <w:tcW w:w="3500" w:type="dxa"/>
            <w:vAlign w:val="bottom"/>
          </w:tcPr>
          <w:p w14:paraId="4E9B3229" w14:textId="77777777" w:rsidR="00D1587D" w:rsidRDefault="00D1587D">
            <w:pPr>
              <w:rPr>
                <w:sz w:val="2"/>
                <w:szCs w:val="2"/>
              </w:rPr>
            </w:pPr>
          </w:p>
        </w:tc>
        <w:tc>
          <w:tcPr>
            <w:tcW w:w="2680" w:type="dxa"/>
            <w:vMerge w:val="restart"/>
            <w:vAlign w:val="bottom"/>
          </w:tcPr>
          <w:p w14:paraId="32E03F37" w14:textId="77777777" w:rsidR="00D1587D" w:rsidRDefault="00410D07">
            <w:pPr>
              <w:ind w:right="1793"/>
              <w:jc w:val="right"/>
              <w:rPr>
                <w:sz w:val="20"/>
                <w:szCs w:val="20"/>
              </w:rPr>
            </w:pPr>
            <w:r>
              <w:rPr>
                <w:rFonts w:ascii="Arial" w:eastAsia="Arial" w:hAnsi="Arial" w:cs="Arial"/>
                <w:sz w:val="18"/>
                <w:szCs w:val="18"/>
              </w:rPr>
              <w:t>96</w:t>
            </w:r>
          </w:p>
        </w:tc>
        <w:tc>
          <w:tcPr>
            <w:tcW w:w="60" w:type="dxa"/>
            <w:vAlign w:val="bottom"/>
          </w:tcPr>
          <w:p w14:paraId="5FE5DF2B" w14:textId="77777777" w:rsidR="00D1587D" w:rsidRDefault="00D1587D">
            <w:pPr>
              <w:rPr>
                <w:sz w:val="2"/>
                <w:szCs w:val="2"/>
              </w:rPr>
            </w:pPr>
          </w:p>
        </w:tc>
        <w:tc>
          <w:tcPr>
            <w:tcW w:w="440" w:type="dxa"/>
            <w:tcBorders>
              <w:bottom w:val="single" w:sz="8" w:space="0" w:color="auto"/>
            </w:tcBorders>
            <w:vAlign w:val="bottom"/>
          </w:tcPr>
          <w:p w14:paraId="10AF6BAF" w14:textId="77777777" w:rsidR="00D1587D" w:rsidRDefault="00D1587D">
            <w:pPr>
              <w:rPr>
                <w:sz w:val="2"/>
                <w:szCs w:val="2"/>
              </w:rPr>
            </w:pPr>
          </w:p>
        </w:tc>
        <w:tc>
          <w:tcPr>
            <w:tcW w:w="120" w:type="dxa"/>
            <w:vAlign w:val="bottom"/>
          </w:tcPr>
          <w:p w14:paraId="34C2E41A" w14:textId="77777777" w:rsidR="00D1587D" w:rsidRDefault="00D1587D">
            <w:pPr>
              <w:rPr>
                <w:sz w:val="2"/>
                <w:szCs w:val="2"/>
              </w:rPr>
            </w:pPr>
          </w:p>
        </w:tc>
        <w:tc>
          <w:tcPr>
            <w:tcW w:w="740" w:type="dxa"/>
            <w:tcBorders>
              <w:bottom w:val="single" w:sz="8" w:space="0" w:color="auto"/>
            </w:tcBorders>
            <w:vAlign w:val="bottom"/>
          </w:tcPr>
          <w:p w14:paraId="33B596E2" w14:textId="77777777" w:rsidR="00D1587D" w:rsidRDefault="00D1587D">
            <w:pPr>
              <w:rPr>
                <w:sz w:val="2"/>
                <w:szCs w:val="2"/>
              </w:rPr>
            </w:pPr>
          </w:p>
        </w:tc>
        <w:tc>
          <w:tcPr>
            <w:tcW w:w="140" w:type="dxa"/>
            <w:vAlign w:val="bottom"/>
          </w:tcPr>
          <w:p w14:paraId="586A22FC" w14:textId="77777777" w:rsidR="00D1587D" w:rsidRDefault="00D1587D">
            <w:pPr>
              <w:rPr>
                <w:sz w:val="2"/>
                <w:szCs w:val="2"/>
              </w:rPr>
            </w:pPr>
          </w:p>
        </w:tc>
        <w:tc>
          <w:tcPr>
            <w:tcW w:w="740" w:type="dxa"/>
            <w:tcBorders>
              <w:bottom w:val="single" w:sz="8" w:space="0" w:color="auto"/>
            </w:tcBorders>
            <w:vAlign w:val="bottom"/>
          </w:tcPr>
          <w:p w14:paraId="7ACCF0F0" w14:textId="77777777" w:rsidR="00D1587D" w:rsidRDefault="00D1587D">
            <w:pPr>
              <w:rPr>
                <w:sz w:val="2"/>
                <w:szCs w:val="2"/>
              </w:rPr>
            </w:pPr>
          </w:p>
        </w:tc>
        <w:tc>
          <w:tcPr>
            <w:tcW w:w="1300" w:type="dxa"/>
            <w:vAlign w:val="bottom"/>
          </w:tcPr>
          <w:p w14:paraId="23442DC3" w14:textId="77777777" w:rsidR="00D1587D" w:rsidRDefault="00D1587D">
            <w:pPr>
              <w:rPr>
                <w:sz w:val="2"/>
                <w:szCs w:val="2"/>
              </w:rPr>
            </w:pPr>
          </w:p>
        </w:tc>
        <w:tc>
          <w:tcPr>
            <w:tcW w:w="0" w:type="dxa"/>
            <w:vAlign w:val="bottom"/>
          </w:tcPr>
          <w:p w14:paraId="099C4E03" w14:textId="77777777" w:rsidR="00D1587D" w:rsidRDefault="00D1587D">
            <w:pPr>
              <w:rPr>
                <w:sz w:val="1"/>
                <w:szCs w:val="1"/>
              </w:rPr>
            </w:pPr>
          </w:p>
        </w:tc>
      </w:tr>
      <w:tr w:rsidR="00D1587D" w14:paraId="2898AE1A" w14:textId="77777777">
        <w:trPr>
          <w:trHeight w:val="20"/>
        </w:trPr>
        <w:tc>
          <w:tcPr>
            <w:tcW w:w="1300" w:type="dxa"/>
            <w:vAlign w:val="bottom"/>
          </w:tcPr>
          <w:p w14:paraId="050AC1CB" w14:textId="77777777" w:rsidR="00D1587D" w:rsidRDefault="00D1587D">
            <w:pPr>
              <w:spacing w:line="20" w:lineRule="exact"/>
              <w:rPr>
                <w:sz w:val="1"/>
                <w:szCs w:val="1"/>
              </w:rPr>
            </w:pPr>
          </w:p>
        </w:tc>
        <w:tc>
          <w:tcPr>
            <w:tcW w:w="3500" w:type="dxa"/>
            <w:vAlign w:val="bottom"/>
          </w:tcPr>
          <w:p w14:paraId="08B935B5" w14:textId="77777777" w:rsidR="00D1587D" w:rsidRDefault="00D1587D">
            <w:pPr>
              <w:spacing w:line="20" w:lineRule="exact"/>
              <w:rPr>
                <w:sz w:val="1"/>
                <w:szCs w:val="1"/>
              </w:rPr>
            </w:pPr>
          </w:p>
        </w:tc>
        <w:tc>
          <w:tcPr>
            <w:tcW w:w="2680" w:type="dxa"/>
            <w:vMerge/>
            <w:vAlign w:val="bottom"/>
          </w:tcPr>
          <w:p w14:paraId="444E13A1" w14:textId="77777777" w:rsidR="00D1587D" w:rsidRDefault="00D1587D">
            <w:pPr>
              <w:spacing w:line="20" w:lineRule="exact"/>
              <w:rPr>
                <w:sz w:val="1"/>
                <w:szCs w:val="1"/>
              </w:rPr>
            </w:pPr>
          </w:p>
        </w:tc>
        <w:tc>
          <w:tcPr>
            <w:tcW w:w="60" w:type="dxa"/>
            <w:vAlign w:val="bottom"/>
          </w:tcPr>
          <w:p w14:paraId="0253EE25" w14:textId="77777777" w:rsidR="00D1587D" w:rsidRDefault="00D1587D">
            <w:pPr>
              <w:spacing w:line="20" w:lineRule="exact"/>
              <w:rPr>
                <w:sz w:val="1"/>
                <w:szCs w:val="1"/>
              </w:rPr>
            </w:pPr>
          </w:p>
        </w:tc>
        <w:tc>
          <w:tcPr>
            <w:tcW w:w="440" w:type="dxa"/>
            <w:tcBorders>
              <w:bottom w:val="single" w:sz="8" w:space="0" w:color="auto"/>
            </w:tcBorders>
            <w:vAlign w:val="bottom"/>
          </w:tcPr>
          <w:p w14:paraId="68E3AF12" w14:textId="77777777" w:rsidR="00D1587D" w:rsidRDefault="00D1587D">
            <w:pPr>
              <w:spacing w:line="20" w:lineRule="exact"/>
              <w:rPr>
                <w:sz w:val="1"/>
                <w:szCs w:val="1"/>
              </w:rPr>
            </w:pPr>
          </w:p>
        </w:tc>
        <w:tc>
          <w:tcPr>
            <w:tcW w:w="120" w:type="dxa"/>
            <w:vAlign w:val="bottom"/>
          </w:tcPr>
          <w:p w14:paraId="01C03723" w14:textId="77777777" w:rsidR="00D1587D" w:rsidRDefault="00D1587D">
            <w:pPr>
              <w:spacing w:line="20" w:lineRule="exact"/>
              <w:rPr>
                <w:sz w:val="1"/>
                <w:szCs w:val="1"/>
              </w:rPr>
            </w:pPr>
          </w:p>
        </w:tc>
        <w:tc>
          <w:tcPr>
            <w:tcW w:w="740" w:type="dxa"/>
            <w:tcBorders>
              <w:bottom w:val="single" w:sz="8" w:space="0" w:color="auto"/>
            </w:tcBorders>
            <w:vAlign w:val="bottom"/>
          </w:tcPr>
          <w:p w14:paraId="460FEBEB" w14:textId="77777777" w:rsidR="00D1587D" w:rsidRDefault="00D1587D">
            <w:pPr>
              <w:spacing w:line="20" w:lineRule="exact"/>
              <w:rPr>
                <w:sz w:val="1"/>
                <w:szCs w:val="1"/>
              </w:rPr>
            </w:pPr>
          </w:p>
        </w:tc>
        <w:tc>
          <w:tcPr>
            <w:tcW w:w="140" w:type="dxa"/>
            <w:vAlign w:val="bottom"/>
          </w:tcPr>
          <w:p w14:paraId="6BDA64AC" w14:textId="77777777" w:rsidR="00D1587D" w:rsidRDefault="00D1587D">
            <w:pPr>
              <w:spacing w:line="20" w:lineRule="exact"/>
              <w:rPr>
                <w:sz w:val="1"/>
                <w:szCs w:val="1"/>
              </w:rPr>
            </w:pPr>
          </w:p>
        </w:tc>
        <w:tc>
          <w:tcPr>
            <w:tcW w:w="740" w:type="dxa"/>
            <w:tcBorders>
              <w:bottom w:val="single" w:sz="8" w:space="0" w:color="auto"/>
            </w:tcBorders>
            <w:vAlign w:val="bottom"/>
          </w:tcPr>
          <w:p w14:paraId="34550436" w14:textId="77777777" w:rsidR="00D1587D" w:rsidRDefault="00D1587D">
            <w:pPr>
              <w:spacing w:line="20" w:lineRule="exact"/>
              <w:rPr>
                <w:sz w:val="1"/>
                <w:szCs w:val="1"/>
              </w:rPr>
            </w:pPr>
          </w:p>
        </w:tc>
        <w:tc>
          <w:tcPr>
            <w:tcW w:w="1300" w:type="dxa"/>
            <w:vAlign w:val="bottom"/>
          </w:tcPr>
          <w:p w14:paraId="3C8F4A7C" w14:textId="77777777" w:rsidR="00D1587D" w:rsidRDefault="00D1587D">
            <w:pPr>
              <w:spacing w:line="20" w:lineRule="exact"/>
              <w:rPr>
                <w:sz w:val="1"/>
                <w:szCs w:val="1"/>
              </w:rPr>
            </w:pPr>
          </w:p>
        </w:tc>
        <w:tc>
          <w:tcPr>
            <w:tcW w:w="0" w:type="dxa"/>
            <w:vAlign w:val="bottom"/>
          </w:tcPr>
          <w:p w14:paraId="602939BB" w14:textId="77777777" w:rsidR="00D1587D" w:rsidRDefault="00D1587D">
            <w:pPr>
              <w:rPr>
                <w:sz w:val="1"/>
                <w:szCs w:val="1"/>
              </w:rPr>
            </w:pPr>
          </w:p>
        </w:tc>
      </w:tr>
      <w:tr w:rsidR="00D1587D" w14:paraId="27C6ED19" w14:textId="77777777">
        <w:trPr>
          <w:trHeight w:val="425"/>
        </w:trPr>
        <w:tc>
          <w:tcPr>
            <w:tcW w:w="1300" w:type="dxa"/>
            <w:vAlign w:val="bottom"/>
          </w:tcPr>
          <w:p w14:paraId="045BD5E5" w14:textId="77777777" w:rsidR="00D1587D" w:rsidRDefault="00D1587D">
            <w:pPr>
              <w:rPr>
                <w:sz w:val="24"/>
                <w:szCs w:val="24"/>
              </w:rPr>
            </w:pPr>
          </w:p>
        </w:tc>
        <w:tc>
          <w:tcPr>
            <w:tcW w:w="3500" w:type="dxa"/>
            <w:vAlign w:val="bottom"/>
          </w:tcPr>
          <w:p w14:paraId="52295961" w14:textId="77777777" w:rsidR="00D1587D" w:rsidRDefault="00D1587D">
            <w:pPr>
              <w:rPr>
                <w:sz w:val="24"/>
                <w:szCs w:val="24"/>
              </w:rPr>
            </w:pPr>
          </w:p>
        </w:tc>
        <w:tc>
          <w:tcPr>
            <w:tcW w:w="2680" w:type="dxa"/>
            <w:vMerge/>
            <w:vAlign w:val="bottom"/>
          </w:tcPr>
          <w:p w14:paraId="1756B801" w14:textId="77777777" w:rsidR="00D1587D" w:rsidRDefault="00D1587D">
            <w:pPr>
              <w:rPr>
                <w:sz w:val="24"/>
                <w:szCs w:val="24"/>
              </w:rPr>
            </w:pPr>
          </w:p>
        </w:tc>
        <w:tc>
          <w:tcPr>
            <w:tcW w:w="60" w:type="dxa"/>
            <w:vAlign w:val="bottom"/>
          </w:tcPr>
          <w:p w14:paraId="74DDC910" w14:textId="77777777" w:rsidR="00D1587D" w:rsidRDefault="00D1587D">
            <w:pPr>
              <w:rPr>
                <w:sz w:val="24"/>
                <w:szCs w:val="24"/>
              </w:rPr>
            </w:pPr>
          </w:p>
        </w:tc>
        <w:tc>
          <w:tcPr>
            <w:tcW w:w="440" w:type="dxa"/>
            <w:vAlign w:val="bottom"/>
          </w:tcPr>
          <w:p w14:paraId="7B776EAF" w14:textId="77777777" w:rsidR="00D1587D" w:rsidRDefault="00D1587D">
            <w:pPr>
              <w:rPr>
                <w:sz w:val="24"/>
                <w:szCs w:val="24"/>
              </w:rPr>
            </w:pPr>
          </w:p>
        </w:tc>
        <w:tc>
          <w:tcPr>
            <w:tcW w:w="120" w:type="dxa"/>
            <w:vAlign w:val="bottom"/>
          </w:tcPr>
          <w:p w14:paraId="2FDE23CA" w14:textId="77777777" w:rsidR="00D1587D" w:rsidRDefault="00D1587D">
            <w:pPr>
              <w:rPr>
                <w:sz w:val="24"/>
                <w:szCs w:val="24"/>
              </w:rPr>
            </w:pPr>
          </w:p>
        </w:tc>
        <w:tc>
          <w:tcPr>
            <w:tcW w:w="740" w:type="dxa"/>
            <w:vAlign w:val="bottom"/>
          </w:tcPr>
          <w:p w14:paraId="780FCBBB" w14:textId="77777777" w:rsidR="00D1587D" w:rsidRDefault="00D1587D">
            <w:pPr>
              <w:rPr>
                <w:sz w:val="24"/>
                <w:szCs w:val="24"/>
              </w:rPr>
            </w:pPr>
          </w:p>
        </w:tc>
        <w:tc>
          <w:tcPr>
            <w:tcW w:w="140" w:type="dxa"/>
            <w:vAlign w:val="bottom"/>
          </w:tcPr>
          <w:p w14:paraId="1107AC7D" w14:textId="77777777" w:rsidR="00D1587D" w:rsidRDefault="00D1587D">
            <w:pPr>
              <w:rPr>
                <w:sz w:val="24"/>
                <w:szCs w:val="24"/>
              </w:rPr>
            </w:pPr>
          </w:p>
        </w:tc>
        <w:tc>
          <w:tcPr>
            <w:tcW w:w="740" w:type="dxa"/>
            <w:vAlign w:val="bottom"/>
          </w:tcPr>
          <w:p w14:paraId="6E70EC15" w14:textId="77777777" w:rsidR="00D1587D" w:rsidRDefault="00D1587D">
            <w:pPr>
              <w:rPr>
                <w:sz w:val="24"/>
                <w:szCs w:val="24"/>
              </w:rPr>
            </w:pPr>
          </w:p>
        </w:tc>
        <w:tc>
          <w:tcPr>
            <w:tcW w:w="1300" w:type="dxa"/>
            <w:vAlign w:val="bottom"/>
          </w:tcPr>
          <w:p w14:paraId="7D1DD610" w14:textId="77777777" w:rsidR="00D1587D" w:rsidRDefault="00D1587D">
            <w:pPr>
              <w:rPr>
                <w:sz w:val="24"/>
                <w:szCs w:val="24"/>
              </w:rPr>
            </w:pPr>
          </w:p>
        </w:tc>
        <w:tc>
          <w:tcPr>
            <w:tcW w:w="0" w:type="dxa"/>
            <w:vAlign w:val="bottom"/>
          </w:tcPr>
          <w:p w14:paraId="7CAA2E80" w14:textId="77777777" w:rsidR="00D1587D" w:rsidRDefault="00D1587D">
            <w:pPr>
              <w:rPr>
                <w:sz w:val="1"/>
                <w:szCs w:val="1"/>
              </w:rPr>
            </w:pPr>
          </w:p>
        </w:tc>
      </w:tr>
      <w:tr w:rsidR="00D1587D" w14:paraId="51444598" w14:textId="77777777">
        <w:trPr>
          <w:trHeight w:val="196"/>
        </w:trPr>
        <w:tc>
          <w:tcPr>
            <w:tcW w:w="1300" w:type="dxa"/>
            <w:tcBorders>
              <w:bottom w:val="single" w:sz="8" w:space="0" w:color="auto"/>
            </w:tcBorders>
            <w:vAlign w:val="bottom"/>
          </w:tcPr>
          <w:p w14:paraId="158290A8" w14:textId="77777777" w:rsidR="00D1587D" w:rsidRDefault="00D1587D">
            <w:pPr>
              <w:rPr>
                <w:sz w:val="17"/>
                <w:szCs w:val="17"/>
              </w:rPr>
            </w:pPr>
          </w:p>
        </w:tc>
        <w:tc>
          <w:tcPr>
            <w:tcW w:w="3500" w:type="dxa"/>
            <w:tcBorders>
              <w:bottom w:val="single" w:sz="8" w:space="0" w:color="auto"/>
            </w:tcBorders>
            <w:vAlign w:val="bottom"/>
          </w:tcPr>
          <w:p w14:paraId="4CF435D4" w14:textId="77777777" w:rsidR="00D1587D" w:rsidRDefault="00D1587D">
            <w:pPr>
              <w:rPr>
                <w:sz w:val="17"/>
                <w:szCs w:val="17"/>
              </w:rPr>
            </w:pPr>
          </w:p>
        </w:tc>
        <w:tc>
          <w:tcPr>
            <w:tcW w:w="2680" w:type="dxa"/>
            <w:tcBorders>
              <w:bottom w:val="single" w:sz="8" w:space="0" w:color="auto"/>
            </w:tcBorders>
            <w:vAlign w:val="bottom"/>
          </w:tcPr>
          <w:p w14:paraId="4FC1D3B7" w14:textId="77777777" w:rsidR="00D1587D" w:rsidRDefault="00D1587D">
            <w:pPr>
              <w:rPr>
                <w:sz w:val="17"/>
                <w:szCs w:val="17"/>
              </w:rPr>
            </w:pPr>
          </w:p>
        </w:tc>
        <w:tc>
          <w:tcPr>
            <w:tcW w:w="60" w:type="dxa"/>
            <w:tcBorders>
              <w:bottom w:val="single" w:sz="8" w:space="0" w:color="auto"/>
            </w:tcBorders>
            <w:vAlign w:val="bottom"/>
          </w:tcPr>
          <w:p w14:paraId="59E3FB2E" w14:textId="77777777" w:rsidR="00D1587D" w:rsidRDefault="00D1587D">
            <w:pPr>
              <w:rPr>
                <w:sz w:val="17"/>
                <w:szCs w:val="17"/>
              </w:rPr>
            </w:pPr>
          </w:p>
        </w:tc>
        <w:tc>
          <w:tcPr>
            <w:tcW w:w="440" w:type="dxa"/>
            <w:tcBorders>
              <w:bottom w:val="single" w:sz="8" w:space="0" w:color="auto"/>
            </w:tcBorders>
            <w:vAlign w:val="bottom"/>
          </w:tcPr>
          <w:p w14:paraId="1A27FC8A" w14:textId="77777777" w:rsidR="00D1587D" w:rsidRDefault="00D1587D">
            <w:pPr>
              <w:rPr>
                <w:sz w:val="17"/>
                <w:szCs w:val="17"/>
              </w:rPr>
            </w:pPr>
          </w:p>
        </w:tc>
        <w:tc>
          <w:tcPr>
            <w:tcW w:w="120" w:type="dxa"/>
            <w:tcBorders>
              <w:bottom w:val="single" w:sz="8" w:space="0" w:color="auto"/>
            </w:tcBorders>
            <w:vAlign w:val="bottom"/>
          </w:tcPr>
          <w:p w14:paraId="0B0FF208" w14:textId="77777777" w:rsidR="00D1587D" w:rsidRDefault="00D1587D">
            <w:pPr>
              <w:rPr>
                <w:sz w:val="17"/>
                <w:szCs w:val="17"/>
              </w:rPr>
            </w:pPr>
          </w:p>
        </w:tc>
        <w:tc>
          <w:tcPr>
            <w:tcW w:w="740" w:type="dxa"/>
            <w:tcBorders>
              <w:bottom w:val="single" w:sz="8" w:space="0" w:color="auto"/>
            </w:tcBorders>
            <w:vAlign w:val="bottom"/>
          </w:tcPr>
          <w:p w14:paraId="7DC4E3B6" w14:textId="77777777" w:rsidR="00D1587D" w:rsidRDefault="00D1587D">
            <w:pPr>
              <w:rPr>
                <w:sz w:val="17"/>
                <w:szCs w:val="17"/>
              </w:rPr>
            </w:pPr>
          </w:p>
        </w:tc>
        <w:tc>
          <w:tcPr>
            <w:tcW w:w="140" w:type="dxa"/>
            <w:tcBorders>
              <w:bottom w:val="single" w:sz="8" w:space="0" w:color="auto"/>
            </w:tcBorders>
            <w:vAlign w:val="bottom"/>
          </w:tcPr>
          <w:p w14:paraId="0560AFE9" w14:textId="77777777" w:rsidR="00D1587D" w:rsidRDefault="00D1587D">
            <w:pPr>
              <w:rPr>
                <w:sz w:val="17"/>
                <w:szCs w:val="17"/>
              </w:rPr>
            </w:pPr>
          </w:p>
        </w:tc>
        <w:tc>
          <w:tcPr>
            <w:tcW w:w="740" w:type="dxa"/>
            <w:tcBorders>
              <w:bottom w:val="single" w:sz="8" w:space="0" w:color="auto"/>
            </w:tcBorders>
            <w:vAlign w:val="bottom"/>
          </w:tcPr>
          <w:p w14:paraId="69493B9C" w14:textId="77777777" w:rsidR="00D1587D" w:rsidRDefault="00D1587D">
            <w:pPr>
              <w:rPr>
                <w:sz w:val="17"/>
                <w:szCs w:val="17"/>
              </w:rPr>
            </w:pPr>
          </w:p>
        </w:tc>
        <w:tc>
          <w:tcPr>
            <w:tcW w:w="1300" w:type="dxa"/>
            <w:tcBorders>
              <w:bottom w:val="single" w:sz="8" w:space="0" w:color="auto"/>
            </w:tcBorders>
            <w:vAlign w:val="bottom"/>
          </w:tcPr>
          <w:p w14:paraId="3980B1D4" w14:textId="77777777" w:rsidR="00D1587D" w:rsidRDefault="00D1587D">
            <w:pPr>
              <w:rPr>
                <w:sz w:val="17"/>
                <w:szCs w:val="17"/>
              </w:rPr>
            </w:pPr>
          </w:p>
        </w:tc>
        <w:tc>
          <w:tcPr>
            <w:tcW w:w="0" w:type="dxa"/>
            <w:vAlign w:val="bottom"/>
          </w:tcPr>
          <w:p w14:paraId="1932E9E9" w14:textId="77777777" w:rsidR="00D1587D" w:rsidRDefault="00D1587D">
            <w:pPr>
              <w:rPr>
                <w:sz w:val="1"/>
                <w:szCs w:val="1"/>
              </w:rPr>
            </w:pPr>
          </w:p>
        </w:tc>
      </w:tr>
    </w:tbl>
    <w:p w14:paraId="432EA9AA" w14:textId="77777777" w:rsidR="00D1587D" w:rsidRDefault="00410D07">
      <w:pPr>
        <w:spacing w:line="20" w:lineRule="exact"/>
        <w:rPr>
          <w:sz w:val="20"/>
          <w:szCs w:val="20"/>
        </w:rPr>
      </w:pPr>
      <w:r>
        <w:rPr>
          <w:noProof/>
          <w:sz w:val="20"/>
          <w:szCs w:val="20"/>
        </w:rPr>
        <w:drawing>
          <wp:anchor distT="0" distB="0" distL="114300" distR="114300" simplePos="0" relativeHeight="251790336" behindDoc="1" locked="0" layoutInCell="0" allowOverlap="1" wp14:anchorId="08685B93" wp14:editId="268DC8C2">
            <wp:simplePos x="0" y="0"/>
            <wp:positionH relativeFrom="column">
              <wp:posOffset>5612130</wp:posOffset>
            </wp:positionH>
            <wp:positionV relativeFrom="paragraph">
              <wp:posOffset>-1722120</wp:posOffset>
            </wp:positionV>
            <wp:extent cx="85725" cy="8890"/>
            <wp:effectExtent l="0" t="0" r="0" b="0"/>
            <wp:wrapNone/>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1791360" behindDoc="1" locked="0" layoutInCell="0" allowOverlap="1" wp14:anchorId="285B705A" wp14:editId="56F1F72C">
            <wp:simplePos x="0" y="0"/>
            <wp:positionH relativeFrom="column">
              <wp:posOffset>5063490</wp:posOffset>
            </wp:positionH>
            <wp:positionV relativeFrom="paragraph">
              <wp:posOffset>-1722120</wp:posOffset>
            </wp:positionV>
            <wp:extent cx="85725" cy="8890"/>
            <wp:effectExtent l="0" t="0" r="0" b="0"/>
            <wp:wrapNone/>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1792384" behindDoc="1" locked="0" layoutInCell="0" allowOverlap="1" wp14:anchorId="1BA441F5" wp14:editId="078307DC">
            <wp:simplePos x="0" y="0"/>
            <wp:positionH relativeFrom="column">
              <wp:posOffset>4746625</wp:posOffset>
            </wp:positionH>
            <wp:positionV relativeFrom="paragraph">
              <wp:posOffset>-1722120</wp:posOffset>
            </wp:positionV>
            <wp:extent cx="43180" cy="8890"/>
            <wp:effectExtent l="0" t="0" r="0" b="0"/>
            <wp:wrapNone/>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48"/>
                    <a:srcRect/>
                    <a:stretch>
                      <a:fillRect/>
                    </a:stretch>
                  </pic:blipFill>
                  <pic:spPr bwMode="auto">
                    <a:xfrm>
                      <a:off x="0" y="0"/>
                      <a:ext cx="43180" cy="8890"/>
                    </a:xfrm>
                    <a:prstGeom prst="rect">
                      <a:avLst/>
                    </a:prstGeom>
                    <a:noFill/>
                  </pic:spPr>
                </pic:pic>
              </a:graphicData>
            </a:graphic>
          </wp:anchor>
        </w:drawing>
      </w:r>
    </w:p>
    <w:p w14:paraId="702FC99A" w14:textId="77777777" w:rsidR="00D1587D" w:rsidRDefault="00D1587D">
      <w:pPr>
        <w:sectPr w:rsidR="00D1587D">
          <w:pgSz w:w="11900" w:h="16838"/>
          <w:pgMar w:top="265" w:right="439" w:bottom="1440" w:left="440" w:header="0" w:footer="0" w:gutter="0"/>
          <w:cols w:space="720" w:equalWidth="0">
            <w:col w:w="11020"/>
          </w:cols>
        </w:sectPr>
      </w:pPr>
    </w:p>
    <w:bookmarkStart w:id="354" w:name="page355"/>
    <w:bookmarkEnd w:id="354"/>
    <w:p w14:paraId="745619E5" w14:textId="77777777" w:rsidR="00D1587D" w:rsidRDefault="00410D07">
      <w:pPr>
        <w:ind w:left="1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62C5743" w14:textId="77777777" w:rsidR="00D1587D" w:rsidRDefault="00D1587D">
      <w:pPr>
        <w:spacing w:line="131" w:lineRule="exact"/>
        <w:rPr>
          <w:sz w:val="20"/>
          <w:szCs w:val="20"/>
        </w:rPr>
      </w:pPr>
    </w:p>
    <w:p w14:paraId="0E1C5C91" w14:textId="77777777" w:rsidR="00D1587D" w:rsidRDefault="00410D07">
      <w:pPr>
        <w:spacing w:line="277" w:lineRule="auto"/>
        <w:ind w:left="1300" w:right="1420" w:firstLine="360"/>
        <w:rPr>
          <w:sz w:val="20"/>
          <w:szCs w:val="20"/>
        </w:rPr>
      </w:pPr>
      <w:r>
        <w:rPr>
          <w:rFonts w:ascii="Arial" w:eastAsia="Arial" w:hAnsi="Arial" w:cs="Arial"/>
          <w:sz w:val="18"/>
          <w:szCs w:val="18"/>
        </w:rPr>
        <w:t xml:space="preserve">The following table </w:t>
      </w:r>
      <w:r>
        <w:rPr>
          <w:rFonts w:ascii="Arial" w:eastAsia="Arial" w:hAnsi="Arial" w:cs="Arial"/>
          <w:sz w:val="18"/>
          <w:szCs w:val="18"/>
        </w:rPr>
        <w:t>provides the changes in the number of our company-operated retail stores operated for the first quarter of 2021 and 2020:</w:t>
      </w:r>
    </w:p>
    <w:p w14:paraId="7117D521" w14:textId="77777777" w:rsidR="00D1587D" w:rsidRDefault="00D1587D">
      <w:pPr>
        <w:spacing w:line="122" w:lineRule="exact"/>
        <w:rPr>
          <w:sz w:val="20"/>
          <w:szCs w:val="20"/>
        </w:rPr>
      </w:pPr>
    </w:p>
    <w:tbl>
      <w:tblPr>
        <w:tblW w:w="0" w:type="auto"/>
        <w:tblInd w:w="1300" w:type="dxa"/>
        <w:tblLayout w:type="fixed"/>
        <w:tblCellMar>
          <w:left w:w="0" w:type="dxa"/>
          <w:right w:w="0" w:type="dxa"/>
        </w:tblCellMar>
        <w:tblLook w:val="04A0" w:firstRow="1" w:lastRow="0" w:firstColumn="1" w:lastColumn="0" w:noHBand="0" w:noVBand="1"/>
      </w:tblPr>
      <w:tblGrid>
        <w:gridCol w:w="4780"/>
        <w:gridCol w:w="640"/>
        <w:gridCol w:w="460"/>
        <w:gridCol w:w="500"/>
        <w:gridCol w:w="420"/>
        <w:gridCol w:w="420"/>
        <w:gridCol w:w="440"/>
        <w:gridCol w:w="760"/>
        <w:gridCol w:w="20"/>
      </w:tblGrid>
      <w:tr w:rsidR="00D1587D" w14:paraId="2B620229" w14:textId="77777777">
        <w:trPr>
          <w:trHeight w:val="161"/>
        </w:trPr>
        <w:tc>
          <w:tcPr>
            <w:tcW w:w="4780" w:type="dxa"/>
            <w:vAlign w:val="bottom"/>
          </w:tcPr>
          <w:p w14:paraId="3A584481" w14:textId="77777777" w:rsidR="00D1587D" w:rsidRDefault="00D1587D">
            <w:pPr>
              <w:rPr>
                <w:sz w:val="14"/>
                <w:szCs w:val="14"/>
              </w:rPr>
            </w:pPr>
          </w:p>
        </w:tc>
        <w:tc>
          <w:tcPr>
            <w:tcW w:w="1100" w:type="dxa"/>
            <w:gridSpan w:val="2"/>
            <w:vAlign w:val="bottom"/>
          </w:tcPr>
          <w:p w14:paraId="6748E9E5" w14:textId="77777777" w:rsidR="00D1587D" w:rsidRDefault="00410D07">
            <w:pPr>
              <w:ind w:right="480"/>
              <w:jc w:val="center"/>
              <w:rPr>
                <w:sz w:val="20"/>
                <w:szCs w:val="20"/>
              </w:rPr>
            </w:pPr>
            <w:r>
              <w:rPr>
                <w:rFonts w:ascii="Arial" w:eastAsia="Arial" w:hAnsi="Arial" w:cs="Arial"/>
                <w:b/>
                <w:bCs/>
                <w:w w:val="90"/>
                <w:sz w:val="14"/>
                <w:szCs w:val="14"/>
              </w:rPr>
              <w:t>Beginning</w:t>
            </w:r>
          </w:p>
        </w:tc>
        <w:tc>
          <w:tcPr>
            <w:tcW w:w="500" w:type="dxa"/>
            <w:vAlign w:val="bottom"/>
          </w:tcPr>
          <w:p w14:paraId="7341D8A5" w14:textId="77777777" w:rsidR="00D1587D" w:rsidRDefault="00D1587D">
            <w:pPr>
              <w:rPr>
                <w:sz w:val="14"/>
                <w:szCs w:val="14"/>
              </w:rPr>
            </w:pPr>
          </w:p>
        </w:tc>
        <w:tc>
          <w:tcPr>
            <w:tcW w:w="420" w:type="dxa"/>
            <w:vAlign w:val="bottom"/>
          </w:tcPr>
          <w:p w14:paraId="402125B5" w14:textId="77777777" w:rsidR="00D1587D" w:rsidRDefault="00D1587D">
            <w:pPr>
              <w:rPr>
                <w:sz w:val="14"/>
                <w:szCs w:val="14"/>
              </w:rPr>
            </w:pPr>
          </w:p>
        </w:tc>
        <w:tc>
          <w:tcPr>
            <w:tcW w:w="420" w:type="dxa"/>
            <w:vAlign w:val="bottom"/>
          </w:tcPr>
          <w:p w14:paraId="52B05CA8" w14:textId="77777777" w:rsidR="00D1587D" w:rsidRDefault="00D1587D">
            <w:pPr>
              <w:rPr>
                <w:sz w:val="14"/>
                <w:szCs w:val="14"/>
              </w:rPr>
            </w:pPr>
          </w:p>
        </w:tc>
        <w:tc>
          <w:tcPr>
            <w:tcW w:w="440" w:type="dxa"/>
            <w:vAlign w:val="bottom"/>
          </w:tcPr>
          <w:p w14:paraId="52DF72F2" w14:textId="77777777" w:rsidR="00D1587D" w:rsidRDefault="00D1587D">
            <w:pPr>
              <w:rPr>
                <w:sz w:val="14"/>
                <w:szCs w:val="14"/>
              </w:rPr>
            </w:pPr>
          </w:p>
        </w:tc>
        <w:tc>
          <w:tcPr>
            <w:tcW w:w="760" w:type="dxa"/>
            <w:vMerge w:val="restart"/>
            <w:vAlign w:val="bottom"/>
          </w:tcPr>
          <w:p w14:paraId="6149868D" w14:textId="77777777" w:rsidR="00D1587D" w:rsidRDefault="00410D07">
            <w:pPr>
              <w:jc w:val="right"/>
              <w:rPr>
                <w:sz w:val="20"/>
                <w:szCs w:val="20"/>
              </w:rPr>
            </w:pPr>
            <w:r>
              <w:rPr>
                <w:rFonts w:ascii="Arial" w:eastAsia="Arial" w:hAnsi="Arial" w:cs="Arial"/>
                <w:b/>
                <w:bCs/>
                <w:w w:val="92"/>
                <w:sz w:val="14"/>
                <w:szCs w:val="14"/>
              </w:rPr>
              <w:t>End of First</w:t>
            </w:r>
          </w:p>
        </w:tc>
        <w:tc>
          <w:tcPr>
            <w:tcW w:w="0" w:type="dxa"/>
            <w:vAlign w:val="bottom"/>
          </w:tcPr>
          <w:p w14:paraId="5CBBCADA" w14:textId="77777777" w:rsidR="00D1587D" w:rsidRDefault="00D1587D">
            <w:pPr>
              <w:rPr>
                <w:sz w:val="1"/>
                <w:szCs w:val="1"/>
              </w:rPr>
            </w:pPr>
          </w:p>
        </w:tc>
      </w:tr>
      <w:tr w:rsidR="00D1587D" w14:paraId="38EE6E4F" w14:textId="77777777">
        <w:trPr>
          <w:trHeight w:val="149"/>
        </w:trPr>
        <w:tc>
          <w:tcPr>
            <w:tcW w:w="4780" w:type="dxa"/>
            <w:vAlign w:val="bottom"/>
          </w:tcPr>
          <w:p w14:paraId="69F9A720" w14:textId="77777777" w:rsidR="00D1587D" w:rsidRDefault="00D1587D">
            <w:pPr>
              <w:rPr>
                <w:sz w:val="12"/>
                <w:szCs w:val="12"/>
              </w:rPr>
            </w:pPr>
          </w:p>
        </w:tc>
        <w:tc>
          <w:tcPr>
            <w:tcW w:w="1100" w:type="dxa"/>
            <w:gridSpan w:val="2"/>
            <w:vAlign w:val="bottom"/>
          </w:tcPr>
          <w:p w14:paraId="298D545D" w14:textId="77777777" w:rsidR="00D1587D" w:rsidRDefault="00410D07">
            <w:pPr>
              <w:spacing w:line="149" w:lineRule="exact"/>
              <w:ind w:right="500"/>
              <w:jc w:val="center"/>
              <w:rPr>
                <w:sz w:val="20"/>
                <w:szCs w:val="20"/>
              </w:rPr>
            </w:pPr>
            <w:r>
              <w:rPr>
                <w:rFonts w:ascii="Arial" w:eastAsia="Arial" w:hAnsi="Arial" w:cs="Arial"/>
                <w:b/>
                <w:bCs/>
                <w:w w:val="92"/>
                <w:sz w:val="14"/>
                <w:szCs w:val="14"/>
              </w:rPr>
              <w:t>of First</w:t>
            </w:r>
          </w:p>
        </w:tc>
        <w:tc>
          <w:tcPr>
            <w:tcW w:w="920" w:type="dxa"/>
            <w:gridSpan w:val="2"/>
            <w:vMerge w:val="restart"/>
            <w:vAlign w:val="bottom"/>
          </w:tcPr>
          <w:p w14:paraId="2DEA302E" w14:textId="77777777" w:rsidR="00D1587D" w:rsidRDefault="00410D07">
            <w:pPr>
              <w:ind w:right="440"/>
              <w:jc w:val="center"/>
              <w:rPr>
                <w:sz w:val="20"/>
                <w:szCs w:val="20"/>
              </w:rPr>
            </w:pPr>
            <w:r>
              <w:rPr>
                <w:rFonts w:ascii="Arial" w:eastAsia="Arial" w:hAnsi="Arial" w:cs="Arial"/>
                <w:b/>
                <w:bCs/>
                <w:w w:val="91"/>
                <w:sz w:val="14"/>
                <w:szCs w:val="14"/>
              </w:rPr>
              <w:t>Opened</w:t>
            </w:r>
          </w:p>
        </w:tc>
        <w:tc>
          <w:tcPr>
            <w:tcW w:w="860" w:type="dxa"/>
            <w:gridSpan w:val="2"/>
            <w:vMerge w:val="restart"/>
            <w:vAlign w:val="bottom"/>
          </w:tcPr>
          <w:p w14:paraId="0C4717A0" w14:textId="77777777" w:rsidR="00D1587D" w:rsidRDefault="00410D07">
            <w:pPr>
              <w:ind w:left="20"/>
              <w:rPr>
                <w:sz w:val="20"/>
                <w:szCs w:val="20"/>
              </w:rPr>
            </w:pPr>
            <w:r>
              <w:rPr>
                <w:rFonts w:ascii="Arial" w:eastAsia="Arial" w:hAnsi="Arial" w:cs="Arial"/>
                <w:b/>
                <w:bCs/>
                <w:sz w:val="14"/>
                <w:szCs w:val="14"/>
              </w:rPr>
              <w:t>Closed</w:t>
            </w:r>
          </w:p>
        </w:tc>
        <w:tc>
          <w:tcPr>
            <w:tcW w:w="760" w:type="dxa"/>
            <w:vMerge/>
            <w:vAlign w:val="bottom"/>
          </w:tcPr>
          <w:p w14:paraId="1E621078" w14:textId="77777777" w:rsidR="00D1587D" w:rsidRDefault="00D1587D">
            <w:pPr>
              <w:rPr>
                <w:sz w:val="12"/>
                <w:szCs w:val="12"/>
              </w:rPr>
            </w:pPr>
          </w:p>
        </w:tc>
        <w:tc>
          <w:tcPr>
            <w:tcW w:w="0" w:type="dxa"/>
            <w:vAlign w:val="bottom"/>
          </w:tcPr>
          <w:p w14:paraId="331EA00A" w14:textId="77777777" w:rsidR="00D1587D" w:rsidRDefault="00D1587D">
            <w:pPr>
              <w:rPr>
                <w:sz w:val="1"/>
                <w:szCs w:val="1"/>
              </w:rPr>
            </w:pPr>
          </w:p>
        </w:tc>
      </w:tr>
      <w:tr w:rsidR="00D1587D" w14:paraId="0A5FB5AA" w14:textId="77777777">
        <w:trPr>
          <w:trHeight w:val="186"/>
        </w:trPr>
        <w:tc>
          <w:tcPr>
            <w:tcW w:w="4780" w:type="dxa"/>
            <w:vAlign w:val="bottom"/>
          </w:tcPr>
          <w:p w14:paraId="2E0A9BE6" w14:textId="77777777" w:rsidR="00D1587D" w:rsidRDefault="00D1587D">
            <w:pPr>
              <w:rPr>
                <w:sz w:val="16"/>
                <w:szCs w:val="16"/>
              </w:rPr>
            </w:pPr>
          </w:p>
        </w:tc>
        <w:tc>
          <w:tcPr>
            <w:tcW w:w="1100" w:type="dxa"/>
            <w:gridSpan w:val="2"/>
            <w:vAlign w:val="bottom"/>
          </w:tcPr>
          <w:p w14:paraId="680BA02B" w14:textId="77777777" w:rsidR="00D1587D" w:rsidRDefault="00410D07">
            <w:pPr>
              <w:ind w:right="480"/>
              <w:jc w:val="center"/>
              <w:rPr>
                <w:sz w:val="20"/>
                <w:szCs w:val="20"/>
              </w:rPr>
            </w:pPr>
            <w:r>
              <w:rPr>
                <w:rFonts w:ascii="Arial" w:eastAsia="Arial" w:hAnsi="Arial" w:cs="Arial"/>
                <w:b/>
                <w:bCs/>
                <w:w w:val="98"/>
                <w:sz w:val="14"/>
                <w:szCs w:val="14"/>
              </w:rPr>
              <w:t>Quarter</w:t>
            </w:r>
          </w:p>
        </w:tc>
        <w:tc>
          <w:tcPr>
            <w:tcW w:w="920" w:type="dxa"/>
            <w:gridSpan w:val="2"/>
            <w:vMerge/>
            <w:vAlign w:val="bottom"/>
          </w:tcPr>
          <w:p w14:paraId="210C74C1" w14:textId="77777777" w:rsidR="00D1587D" w:rsidRDefault="00D1587D">
            <w:pPr>
              <w:rPr>
                <w:sz w:val="16"/>
                <w:szCs w:val="16"/>
              </w:rPr>
            </w:pPr>
          </w:p>
        </w:tc>
        <w:tc>
          <w:tcPr>
            <w:tcW w:w="860" w:type="dxa"/>
            <w:gridSpan w:val="2"/>
            <w:vMerge/>
            <w:vAlign w:val="bottom"/>
          </w:tcPr>
          <w:p w14:paraId="75E7CF80" w14:textId="77777777" w:rsidR="00D1587D" w:rsidRDefault="00D1587D">
            <w:pPr>
              <w:rPr>
                <w:sz w:val="16"/>
                <w:szCs w:val="16"/>
              </w:rPr>
            </w:pPr>
          </w:p>
        </w:tc>
        <w:tc>
          <w:tcPr>
            <w:tcW w:w="760" w:type="dxa"/>
            <w:vAlign w:val="bottom"/>
          </w:tcPr>
          <w:p w14:paraId="591054F7" w14:textId="77777777" w:rsidR="00D1587D" w:rsidRDefault="00410D07">
            <w:pPr>
              <w:ind w:right="59"/>
              <w:jc w:val="right"/>
              <w:rPr>
                <w:sz w:val="20"/>
                <w:szCs w:val="20"/>
              </w:rPr>
            </w:pPr>
            <w:r>
              <w:rPr>
                <w:rFonts w:ascii="Arial" w:eastAsia="Arial" w:hAnsi="Arial" w:cs="Arial"/>
                <w:b/>
                <w:bCs/>
                <w:sz w:val="14"/>
                <w:szCs w:val="14"/>
              </w:rPr>
              <w:t>Quarter</w:t>
            </w:r>
          </w:p>
        </w:tc>
        <w:tc>
          <w:tcPr>
            <w:tcW w:w="0" w:type="dxa"/>
            <w:vAlign w:val="bottom"/>
          </w:tcPr>
          <w:p w14:paraId="62985E1F" w14:textId="77777777" w:rsidR="00D1587D" w:rsidRDefault="00D1587D">
            <w:pPr>
              <w:rPr>
                <w:sz w:val="1"/>
                <w:szCs w:val="1"/>
              </w:rPr>
            </w:pPr>
          </w:p>
        </w:tc>
      </w:tr>
      <w:tr w:rsidR="00D1587D" w14:paraId="576E4703" w14:textId="77777777">
        <w:trPr>
          <w:trHeight w:val="53"/>
        </w:trPr>
        <w:tc>
          <w:tcPr>
            <w:tcW w:w="4780" w:type="dxa"/>
            <w:tcBorders>
              <w:bottom w:val="single" w:sz="8" w:space="0" w:color="CCEEFF"/>
            </w:tcBorders>
            <w:vAlign w:val="bottom"/>
          </w:tcPr>
          <w:p w14:paraId="14C8EB8A" w14:textId="77777777" w:rsidR="00D1587D" w:rsidRDefault="00D1587D">
            <w:pPr>
              <w:rPr>
                <w:sz w:val="4"/>
                <w:szCs w:val="4"/>
              </w:rPr>
            </w:pPr>
          </w:p>
        </w:tc>
        <w:tc>
          <w:tcPr>
            <w:tcW w:w="640" w:type="dxa"/>
            <w:tcBorders>
              <w:bottom w:val="single" w:sz="8" w:space="0" w:color="auto"/>
            </w:tcBorders>
            <w:vAlign w:val="bottom"/>
          </w:tcPr>
          <w:p w14:paraId="7B00CA1F" w14:textId="77777777" w:rsidR="00D1587D" w:rsidRDefault="00D1587D">
            <w:pPr>
              <w:rPr>
                <w:sz w:val="4"/>
                <w:szCs w:val="4"/>
              </w:rPr>
            </w:pPr>
          </w:p>
        </w:tc>
        <w:tc>
          <w:tcPr>
            <w:tcW w:w="460" w:type="dxa"/>
            <w:tcBorders>
              <w:bottom w:val="single" w:sz="8" w:space="0" w:color="CCEEFF"/>
            </w:tcBorders>
            <w:vAlign w:val="bottom"/>
          </w:tcPr>
          <w:p w14:paraId="685701EB" w14:textId="77777777" w:rsidR="00D1587D" w:rsidRDefault="00D1587D">
            <w:pPr>
              <w:rPr>
                <w:sz w:val="4"/>
                <w:szCs w:val="4"/>
              </w:rPr>
            </w:pPr>
          </w:p>
        </w:tc>
        <w:tc>
          <w:tcPr>
            <w:tcW w:w="500" w:type="dxa"/>
            <w:tcBorders>
              <w:bottom w:val="single" w:sz="8" w:space="0" w:color="auto"/>
            </w:tcBorders>
            <w:vAlign w:val="bottom"/>
          </w:tcPr>
          <w:p w14:paraId="6CF17B8C" w14:textId="77777777" w:rsidR="00D1587D" w:rsidRDefault="00D1587D">
            <w:pPr>
              <w:rPr>
                <w:sz w:val="4"/>
                <w:szCs w:val="4"/>
              </w:rPr>
            </w:pPr>
          </w:p>
        </w:tc>
        <w:tc>
          <w:tcPr>
            <w:tcW w:w="420" w:type="dxa"/>
            <w:tcBorders>
              <w:bottom w:val="single" w:sz="8" w:space="0" w:color="CCEEFF"/>
            </w:tcBorders>
            <w:vAlign w:val="bottom"/>
          </w:tcPr>
          <w:p w14:paraId="071D8846" w14:textId="77777777" w:rsidR="00D1587D" w:rsidRDefault="00D1587D">
            <w:pPr>
              <w:rPr>
                <w:sz w:val="4"/>
                <w:szCs w:val="4"/>
              </w:rPr>
            </w:pPr>
          </w:p>
        </w:tc>
        <w:tc>
          <w:tcPr>
            <w:tcW w:w="420" w:type="dxa"/>
            <w:tcBorders>
              <w:bottom w:val="single" w:sz="8" w:space="0" w:color="auto"/>
            </w:tcBorders>
            <w:vAlign w:val="bottom"/>
          </w:tcPr>
          <w:p w14:paraId="130193D0" w14:textId="77777777" w:rsidR="00D1587D" w:rsidRDefault="00D1587D">
            <w:pPr>
              <w:rPr>
                <w:sz w:val="4"/>
                <w:szCs w:val="4"/>
              </w:rPr>
            </w:pPr>
          </w:p>
        </w:tc>
        <w:tc>
          <w:tcPr>
            <w:tcW w:w="440" w:type="dxa"/>
            <w:tcBorders>
              <w:bottom w:val="single" w:sz="8" w:space="0" w:color="CCEEFF"/>
            </w:tcBorders>
            <w:vAlign w:val="bottom"/>
          </w:tcPr>
          <w:p w14:paraId="3E9056BF" w14:textId="77777777" w:rsidR="00D1587D" w:rsidRDefault="00D1587D">
            <w:pPr>
              <w:rPr>
                <w:sz w:val="4"/>
                <w:szCs w:val="4"/>
              </w:rPr>
            </w:pPr>
          </w:p>
        </w:tc>
        <w:tc>
          <w:tcPr>
            <w:tcW w:w="760" w:type="dxa"/>
            <w:tcBorders>
              <w:bottom w:val="single" w:sz="8" w:space="0" w:color="auto"/>
            </w:tcBorders>
            <w:vAlign w:val="bottom"/>
          </w:tcPr>
          <w:p w14:paraId="425CC277" w14:textId="77777777" w:rsidR="00D1587D" w:rsidRDefault="00D1587D">
            <w:pPr>
              <w:rPr>
                <w:sz w:val="4"/>
                <w:szCs w:val="4"/>
              </w:rPr>
            </w:pPr>
          </w:p>
        </w:tc>
        <w:tc>
          <w:tcPr>
            <w:tcW w:w="0" w:type="dxa"/>
            <w:vAlign w:val="bottom"/>
          </w:tcPr>
          <w:p w14:paraId="7B9D2A57" w14:textId="77777777" w:rsidR="00D1587D" w:rsidRDefault="00D1587D">
            <w:pPr>
              <w:rPr>
                <w:sz w:val="1"/>
                <w:szCs w:val="1"/>
              </w:rPr>
            </w:pPr>
          </w:p>
        </w:tc>
      </w:tr>
      <w:tr w:rsidR="00D1587D" w14:paraId="0AE71AB9" w14:textId="77777777">
        <w:trPr>
          <w:trHeight w:val="311"/>
        </w:trPr>
        <w:tc>
          <w:tcPr>
            <w:tcW w:w="4780" w:type="dxa"/>
            <w:tcBorders>
              <w:bottom w:val="single" w:sz="8" w:space="0" w:color="CCEEFF"/>
            </w:tcBorders>
            <w:shd w:val="clear" w:color="auto" w:fill="CCEEFF"/>
            <w:vAlign w:val="bottom"/>
          </w:tcPr>
          <w:p w14:paraId="3CA71E39" w14:textId="77777777" w:rsidR="00D1587D" w:rsidRDefault="00410D07">
            <w:pPr>
              <w:ind w:right="4330"/>
              <w:jc w:val="right"/>
              <w:rPr>
                <w:sz w:val="20"/>
                <w:szCs w:val="20"/>
              </w:rPr>
            </w:pPr>
            <w:r>
              <w:rPr>
                <w:rFonts w:ascii="Arial" w:eastAsia="Arial" w:hAnsi="Arial" w:cs="Arial"/>
                <w:w w:val="84"/>
                <w:sz w:val="18"/>
                <w:szCs w:val="18"/>
              </w:rPr>
              <w:t>2021</w:t>
            </w:r>
          </w:p>
        </w:tc>
        <w:tc>
          <w:tcPr>
            <w:tcW w:w="640" w:type="dxa"/>
            <w:tcBorders>
              <w:bottom w:val="single" w:sz="8" w:space="0" w:color="CCEEFF"/>
            </w:tcBorders>
            <w:shd w:val="clear" w:color="auto" w:fill="CCEEFF"/>
            <w:vAlign w:val="bottom"/>
          </w:tcPr>
          <w:p w14:paraId="723F4C44" w14:textId="77777777" w:rsidR="00D1587D" w:rsidRDefault="00410D07">
            <w:pPr>
              <w:ind w:right="61"/>
              <w:jc w:val="right"/>
              <w:rPr>
                <w:sz w:val="20"/>
                <w:szCs w:val="20"/>
              </w:rPr>
            </w:pPr>
            <w:r>
              <w:rPr>
                <w:rFonts w:ascii="Arial" w:eastAsia="Arial" w:hAnsi="Arial" w:cs="Arial"/>
                <w:sz w:val="18"/>
                <w:szCs w:val="18"/>
              </w:rPr>
              <w:t>933</w:t>
            </w:r>
          </w:p>
        </w:tc>
        <w:tc>
          <w:tcPr>
            <w:tcW w:w="460" w:type="dxa"/>
            <w:tcBorders>
              <w:bottom w:val="single" w:sz="8" w:space="0" w:color="CCEEFF"/>
            </w:tcBorders>
            <w:shd w:val="clear" w:color="auto" w:fill="CCEEFF"/>
            <w:vAlign w:val="bottom"/>
          </w:tcPr>
          <w:p w14:paraId="015DCB90" w14:textId="77777777" w:rsidR="00D1587D" w:rsidRDefault="00D1587D">
            <w:pPr>
              <w:rPr>
                <w:sz w:val="24"/>
                <w:szCs w:val="24"/>
              </w:rPr>
            </w:pPr>
          </w:p>
        </w:tc>
        <w:tc>
          <w:tcPr>
            <w:tcW w:w="500" w:type="dxa"/>
            <w:tcBorders>
              <w:bottom w:val="single" w:sz="8" w:space="0" w:color="CCEEFF"/>
            </w:tcBorders>
            <w:shd w:val="clear" w:color="auto" w:fill="CCEEFF"/>
            <w:vAlign w:val="bottom"/>
          </w:tcPr>
          <w:p w14:paraId="0656F45C" w14:textId="77777777" w:rsidR="00D1587D" w:rsidRDefault="00410D07">
            <w:pPr>
              <w:jc w:val="center"/>
              <w:rPr>
                <w:sz w:val="20"/>
                <w:szCs w:val="20"/>
              </w:rPr>
            </w:pPr>
            <w:r>
              <w:rPr>
                <w:rFonts w:ascii="Arial" w:eastAsia="Arial" w:hAnsi="Arial" w:cs="Arial"/>
                <w:w w:val="79"/>
                <w:sz w:val="18"/>
                <w:szCs w:val="18"/>
              </w:rPr>
              <w:t>2</w:t>
            </w:r>
          </w:p>
        </w:tc>
        <w:tc>
          <w:tcPr>
            <w:tcW w:w="420" w:type="dxa"/>
            <w:tcBorders>
              <w:bottom w:val="single" w:sz="8" w:space="0" w:color="CCEEFF"/>
            </w:tcBorders>
            <w:shd w:val="clear" w:color="auto" w:fill="CCEEFF"/>
            <w:vAlign w:val="bottom"/>
          </w:tcPr>
          <w:p w14:paraId="50E924DF" w14:textId="77777777" w:rsidR="00D1587D" w:rsidRDefault="00D1587D">
            <w:pPr>
              <w:rPr>
                <w:sz w:val="24"/>
                <w:szCs w:val="24"/>
              </w:rPr>
            </w:pPr>
          </w:p>
        </w:tc>
        <w:tc>
          <w:tcPr>
            <w:tcW w:w="420" w:type="dxa"/>
            <w:tcBorders>
              <w:bottom w:val="single" w:sz="8" w:space="0" w:color="CCEEFF"/>
            </w:tcBorders>
            <w:shd w:val="clear" w:color="auto" w:fill="CCEEFF"/>
            <w:vAlign w:val="bottom"/>
          </w:tcPr>
          <w:p w14:paraId="1B384DDF" w14:textId="77777777" w:rsidR="00D1587D" w:rsidRDefault="00410D07">
            <w:pPr>
              <w:jc w:val="right"/>
              <w:rPr>
                <w:sz w:val="20"/>
                <w:szCs w:val="20"/>
              </w:rPr>
            </w:pPr>
            <w:r>
              <w:rPr>
                <w:rFonts w:ascii="Arial" w:eastAsia="Arial" w:hAnsi="Arial" w:cs="Arial"/>
                <w:sz w:val="18"/>
                <w:szCs w:val="18"/>
              </w:rPr>
              <w:t>(6)</w:t>
            </w:r>
          </w:p>
        </w:tc>
        <w:tc>
          <w:tcPr>
            <w:tcW w:w="440" w:type="dxa"/>
            <w:tcBorders>
              <w:bottom w:val="single" w:sz="8" w:space="0" w:color="CCEEFF"/>
            </w:tcBorders>
            <w:shd w:val="clear" w:color="auto" w:fill="CCEEFF"/>
            <w:vAlign w:val="bottom"/>
          </w:tcPr>
          <w:p w14:paraId="5A1029D8" w14:textId="77777777" w:rsidR="00D1587D" w:rsidRDefault="00D1587D">
            <w:pPr>
              <w:rPr>
                <w:sz w:val="24"/>
                <w:szCs w:val="24"/>
              </w:rPr>
            </w:pPr>
          </w:p>
        </w:tc>
        <w:tc>
          <w:tcPr>
            <w:tcW w:w="760" w:type="dxa"/>
            <w:tcBorders>
              <w:bottom w:val="single" w:sz="8" w:space="0" w:color="CCEEFF"/>
            </w:tcBorders>
            <w:shd w:val="clear" w:color="auto" w:fill="CCEEFF"/>
            <w:vAlign w:val="bottom"/>
          </w:tcPr>
          <w:p w14:paraId="39222866" w14:textId="77777777" w:rsidR="00D1587D" w:rsidRDefault="00410D07">
            <w:pPr>
              <w:ind w:right="99"/>
              <w:jc w:val="right"/>
              <w:rPr>
                <w:sz w:val="20"/>
                <w:szCs w:val="20"/>
              </w:rPr>
            </w:pPr>
            <w:r>
              <w:rPr>
                <w:rFonts w:ascii="Arial" w:eastAsia="Arial" w:hAnsi="Arial" w:cs="Arial"/>
                <w:sz w:val="18"/>
                <w:szCs w:val="18"/>
              </w:rPr>
              <w:t>929</w:t>
            </w:r>
          </w:p>
        </w:tc>
        <w:tc>
          <w:tcPr>
            <w:tcW w:w="0" w:type="dxa"/>
            <w:vAlign w:val="bottom"/>
          </w:tcPr>
          <w:p w14:paraId="6E749E3A" w14:textId="77777777" w:rsidR="00D1587D" w:rsidRDefault="00D1587D">
            <w:pPr>
              <w:rPr>
                <w:sz w:val="1"/>
                <w:szCs w:val="1"/>
              </w:rPr>
            </w:pPr>
          </w:p>
        </w:tc>
      </w:tr>
      <w:tr w:rsidR="00D1587D" w14:paraId="3B29134F" w14:textId="77777777">
        <w:trPr>
          <w:trHeight w:val="270"/>
        </w:trPr>
        <w:tc>
          <w:tcPr>
            <w:tcW w:w="4780" w:type="dxa"/>
            <w:vAlign w:val="bottom"/>
          </w:tcPr>
          <w:p w14:paraId="5EF8E43A" w14:textId="77777777" w:rsidR="00D1587D" w:rsidRDefault="00410D07">
            <w:pPr>
              <w:ind w:right="4330"/>
              <w:jc w:val="right"/>
              <w:rPr>
                <w:sz w:val="20"/>
                <w:szCs w:val="20"/>
              </w:rPr>
            </w:pPr>
            <w:r>
              <w:rPr>
                <w:rFonts w:ascii="Arial" w:eastAsia="Arial" w:hAnsi="Arial" w:cs="Arial"/>
                <w:w w:val="84"/>
                <w:sz w:val="18"/>
                <w:szCs w:val="18"/>
              </w:rPr>
              <w:t>2020</w:t>
            </w:r>
          </w:p>
        </w:tc>
        <w:tc>
          <w:tcPr>
            <w:tcW w:w="640" w:type="dxa"/>
            <w:vAlign w:val="bottom"/>
          </w:tcPr>
          <w:p w14:paraId="0D5867AE" w14:textId="77777777" w:rsidR="00D1587D" w:rsidRDefault="00410D07">
            <w:pPr>
              <w:ind w:right="61"/>
              <w:jc w:val="right"/>
              <w:rPr>
                <w:sz w:val="20"/>
                <w:szCs w:val="20"/>
              </w:rPr>
            </w:pPr>
            <w:r>
              <w:rPr>
                <w:rFonts w:ascii="Arial" w:eastAsia="Arial" w:hAnsi="Arial" w:cs="Arial"/>
                <w:sz w:val="18"/>
                <w:szCs w:val="18"/>
              </w:rPr>
              <w:t>1,181</w:t>
            </w:r>
          </w:p>
        </w:tc>
        <w:tc>
          <w:tcPr>
            <w:tcW w:w="460" w:type="dxa"/>
            <w:vAlign w:val="bottom"/>
          </w:tcPr>
          <w:p w14:paraId="138E3330" w14:textId="77777777" w:rsidR="00D1587D" w:rsidRDefault="00D1587D">
            <w:pPr>
              <w:rPr>
                <w:sz w:val="23"/>
                <w:szCs w:val="23"/>
              </w:rPr>
            </w:pPr>
          </w:p>
        </w:tc>
        <w:tc>
          <w:tcPr>
            <w:tcW w:w="500" w:type="dxa"/>
            <w:vAlign w:val="bottom"/>
          </w:tcPr>
          <w:p w14:paraId="514E7C06" w14:textId="77777777" w:rsidR="00D1587D" w:rsidRDefault="00410D07">
            <w:pPr>
              <w:jc w:val="center"/>
              <w:rPr>
                <w:sz w:val="20"/>
                <w:szCs w:val="20"/>
              </w:rPr>
            </w:pPr>
            <w:r>
              <w:rPr>
                <w:rFonts w:ascii="Arial" w:eastAsia="Arial" w:hAnsi="Arial" w:cs="Arial"/>
                <w:w w:val="79"/>
                <w:sz w:val="18"/>
                <w:szCs w:val="18"/>
              </w:rPr>
              <w:t>2</w:t>
            </w:r>
          </w:p>
        </w:tc>
        <w:tc>
          <w:tcPr>
            <w:tcW w:w="420" w:type="dxa"/>
            <w:vAlign w:val="bottom"/>
          </w:tcPr>
          <w:p w14:paraId="4AF8C5E0" w14:textId="77777777" w:rsidR="00D1587D" w:rsidRDefault="00D1587D">
            <w:pPr>
              <w:rPr>
                <w:sz w:val="23"/>
                <w:szCs w:val="23"/>
              </w:rPr>
            </w:pPr>
          </w:p>
        </w:tc>
        <w:tc>
          <w:tcPr>
            <w:tcW w:w="420" w:type="dxa"/>
            <w:vAlign w:val="bottom"/>
          </w:tcPr>
          <w:p w14:paraId="44CBF818" w14:textId="77777777" w:rsidR="00D1587D" w:rsidRDefault="00410D07">
            <w:pPr>
              <w:jc w:val="right"/>
              <w:rPr>
                <w:sz w:val="20"/>
                <w:szCs w:val="20"/>
              </w:rPr>
            </w:pPr>
            <w:r>
              <w:rPr>
                <w:rFonts w:ascii="Arial" w:eastAsia="Arial" w:hAnsi="Arial" w:cs="Arial"/>
                <w:sz w:val="18"/>
                <w:szCs w:val="18"/>
              </w:rPr>
              <w:t>(23)</w:t>
            </w:r>
          </w:p>
        </w:tc>
        <w:tc>
          <w:tcPr>
            <w:tcW w:w="440" w:type="dxa"/>
            <w:vAlign w:val="bottom"/>
          </w:tcPr>
          <w:p w14:paraId="5FF982C3" w14:textId="77777777" w:rsidR="00D1587D" w:rsidRDefault="00D1587D">
            <w:pPr>
              <w:rPr>
                <w:sz w:val="23"/>
                <w:szCs w:val="23"/>
              </w:rPr>
            </w:pPr>
          </w:p>
        </w:tc>
        <w:tc>
          <w:tcPr>
            <w:tcW w:w="760" w:type="dxa"/>
            <w:vAlign w:val="bottom"/>
          </w:tcPr>
          <w:p w14:paraId="021A6F13" w14:textId="77777777" w:rsidR="00D1587D" w:rsidRDefault="00410D07">
            <w:pPr>
              <w:ind w:right="99"/>
              <w:jc w:val="right"/>
              <w:rPr>
                <w:sz w:val="20"/>
                <w:szCs w:val="20"/>
              </w:rPr>
            </w:pPr>
            <w:r>
              <w:rPr>
                <w:rFonts w:ascii="Arial" w:eastAsia="Arial" w:hAnsi="Arial" w:cs="Arial"/>
                <w:sz w:val="18"/>
                <w:szCs w:val="18"/>
              </w:rPr>
              <w:t>1,160</w:t>
            </w:r>
          </w:p>
        </w:tc>
        <w:tc>
          <w:tcPr>
            <w:tcW w:w="0" w:type="dxa"/>
            <w:vAlign w:val="bottom"/>
          </w:tcPr>
          <w:p w14:paraId="4B23E586" w14:textId="77777777" w:rsidR="00D1587D" w:rsidRDefault="00D1587D">
            <w:pPr>
              <w:rPr>
                <w:sz w:val="1"/>
                <w:szCs w:val="1"/>
              </w:rPr>
            </w:pPr>
          </w:p>
        </w:tc>
      </w:tr>
    </w:tbl>
    <w:p w14:paraId="31D68F13" w14:textId="77777777" w:rsidR="00D1587D" w:rsidRDefault="00410D07">
      <w:pPr>
        <w:spacing w:line="20" w:lineRule="exact"/>
        <w:rPr>
          <w:sz w:val="20"/>
          <w:szCs w:val="20"/>
        </w:rPr>
      </w:pPr>
      <w:r>
        <w:rPr>
          <w:noProof/>
          <w:sz w:val="20"/>
          <w:szCs w:val="20"/>
        </w:rPr>
        <w:drawing>
          <wp:anchor distT="0" distB="0" distL="114300" distR="114300" simplePos="0" relativeHeight="251793408" behindDoc="1" locked="0" layoutInCell="0" allowOverlap="1" wp14:anchorId="48D12AB5" wp14:editId="1B604CE7">
            <wp:simplePos x="0" y="0"/>
            <wp:positionH relativeFrom="column">
              <wp:posOffset>5415280</wp:posOffset>
            </wp:positionH>
            <wp:positionV relativeFrom="paragraph">
              <wp:posOffset>-393700</wp:posOffset>
            </wp:positionV>
            <wp:extent cx="274320" cy="8255"/>
            <wp:effectExtent l="0" t="0" r="0" b="0"/>
            <wp:wrapNone/>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61"/>
                    <a:srcRect/>
                    <a:stretch>
                      <a:fillRect/>
                    </a:stretch>
                  </pic:blipFill>
                  <pic:spPr bwMode="auto">
                    <a:xfrm>
                      <a:off x="0" y="0"/>
                      <a:ext cx="274320" cy="8255"/>
                    </a:xfrm>
                    <a:prstGeom prst="rect">
                      <a:avLst/>
                    </a:prstGeom>
                    <a:noFill/>
                  </pic:spPr>
                </pic:pic>
              </a:graphicData>
            </a:graphic>
          </wp:anchor>
        </w:drawing>
      </w:r>
      <w:r>
        <w:rPr>
          <w:noProof/>
          <w:sz w:val="20"/>
          <w:szCs w:val="20"/>
        </w:rPr>
        <w:drawing>
          <wp:anchor distT="0" distB="0" distL="114300" distR="114300" simplePos="0" relativeHeight="251794432" behindDoc="1" locked="0" layoutInCell="0" allowOverlap="1" wp14:anchorId="58730A04" wp14:editId="50541BF6">
            <wp:simplePos x="0" y="0"/>
            <wp:positionH relativeFrom="column">
              <wp:posOffset>4874895</wp:posOffset>
            </wp:positionH>
            <wp:positionV relativeFrom="paragraph">
              <wp:posOffset>-393700</wp:posOffset>
            </wp:positionV>
            <wp:extent cx="274320" cy="8255"/>
            <wp:effectExtent l="0" t="0" r="0" b="0"/>
            <wp:wrapNone/>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61"/>
                    <a:srcRect/>
                    <a:stretch>
                      <a:fillRect/>
                    </a:stretch>
                  </pic:blipFill>
                  <pic:spPr bwMode="auto">
                    <a:xfrm>
                      <a:off x="0" y="0"/>
                      <a:ext cx="274320" cy="8255"/>
                    </a:xfrm>
                    <a:prstGeom prst="rect">
                      <a:avLst/>
                    </a:prstGeom>
                    <a:noFill/>
                  </pic:spPr>
                </pic:pic>
              </a:graphicData>
            </a:graphic>
          </wp:anchor>
        </w:drawing>
      </w:r>
      <w:r>
        <w:rPr>
          <w:noProof/>
          <w:sz w:val="20"/>
          <w:szCs w:val="20"/>
        </w:rPr>
        <w:drawing>
          <wp:anchor distT="0" distB="0" distL="114300" distR="114300" simplePos="0" relativeHeight="251795456" behindDoc="1" locked="0" layoutInCell="0" allowOverlap="1" wp14:anchorId="45C18468" wp14:editId="2C017408">
            <wp:simplePos x="0" y="0"/>
            <wp:positionH relativeFrom="column">
              <wp:posOffset>4266565</wp:posOffset>
            </wp:positionH>
            <wp:positionV relativeFrom="paragraph">
              <wp:posOffset>-393700</wp:posOffset>
            </wp:positionV>
            <wp:extent cx="291465" cy="8255"/>
            <wp:effectExtent l="0" t="0" r="0" b="0"/>
            <wp:wrapNone/>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62"/>
                    <a:srcRect/>
                    <a:stretch>
                      <a:fillRect/>
                    </a:stretch>
                  </pic:blipFill>
                  <pic:spPr bwMode="auto">
                    <a:xfrm>
                      <a:off x="0" y="0"/>
                      <a:ext cx="291465" cy="8255"/>
                    </a:xfrm>
                    <a:prstGeom prst="rect">
                      <a:avLst/>
                    </a:prstGeom>
                    <a:noFill/>
                  </pic:spPr>
                </pic:pic>
              </a:graphicData>
            </a:graphic>
          </wp:anchor>
        </w:drawing>
      </w:r>
      <w:r>
        <w:rPr>
          <w:noProof/>
          <w:sz w:val="20"/>
          <w:szCs w:val="20"/>
        </w:rPr>
        <w:drawing>
          <wp:anchor distT="0" distB="0" distL="114300" distR="114300" simplePos="0" relativeHeight="251796480" behindDoc="1" locked="0" layoutInCell="0" allowOverlap="1" wp14:anchorId="4ECD201C" wp14:editId="2E55BDC5">
            <wp:simplePos x="0" y="0"/>
            <wp:positionH relativeFrom="column">
              <wp:posOffset>3709035</wp:posOffset>
            </wp:positionH>
            <wp:positionV relativeFrom="paragraph">
              <wp:posOffset>-393700</wp:posOffset>
            </wp:positionV>
            <wp:extent cx="146050" cy="8255"/>
            <wp:effectExtent l="0" t="0" r="0" b="0"/>
            <wp:wrapNone/>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63"/>
                    <a:srcRect/>
                    <a:stretch>
                      <a:fillRect/>
                    </a:stretch>
                  </pic:blipFill>
                  <pic:spPr bwMode="auto">
                    <a:xfrm>
                      <a:off x="0" y="0"/>
                      <a:ext cx="146050" cy="8255"/>
                    </a:xfrm>
                    <a:prstGeom prst="rect">
                      <a:avLst/>
                    </a:prstGeom>
                    <a:noFill/>
                  </pic:spPr>
                </pic:pic>
              </a:graphicData>
            </a:graphic>
          </wp:anchor>
        </w:drawing>
      </w:r>
    </w:p>
    <w:p w14:paraId="0F3B896C" w14:textId="77777777" w:rsidR="00D1587D" w:rsidRDefault="00D1587D">
      <w:pPr>
        <w:spacing w:line="128" w:lineRule="exact"/>
        <w:rPr>
          <w:sz w:val="20"/>
          <w:szCs w:val="20"/>
        </w:rPr>
      </w:pPr>
    </w:p>
    <w:p w14:paraId="7A13AC94" w14:textId="77777777" w:rsidR="00D1587D" w:rsidRDefault="00410D07">
      <w:pPr>
        <w:spacing w:line="277" w:lineRule="auto"/>
        <w:ind w:left="1300" w:right="1420" w:firstLine="360"/>
        <w:jc w:val="both"/>
        <w:rPr>
          <w:sz w:val="20"/>
          <w:szCs w:val="20"/>
        </w:rPr>
      </w:pPr>
      <w:r>
        <w:rPr>
          <w:rFonts w:ascii="Arial" w:eastAsia="Arial" w:hAnsi="Arial" w:cs="Arial"/>
          <w:sz w:val="18"/>
          <w:szCs w:val="18"/>
        </w:rPr>
        <w:t>The following table provides the changes in the number of our company-operated retail stores operated for the past three fiscal years:</w:t>
      </w:r>
    </w:p>
    <w:p w14:paraId="5FD09A62" w14:textId="77777777" w:rsidR="00D1587D" w:rsidRDefault="00D1587D">
      <w:pPr>
        <w:spacing w:line="109" w:lineRule="exact"/>
        <w:rPr>
          <w:sz w:val="20"/>
          <w:szCs w:val="20"/>
        </w:rPr>
      </w:pPr>
    </w:p>
    <w:tbl>
      <w:tblPr>
        <w:tblW w:w="0" w:type="auto"/>
        <w:tblInd w:w="1300" w:type="dxa"/>
        <w:tblLayout w:type="fixed"/>
        <w:tblCellMar>
          <w:left w:w="0" w:type="dxa"/>
          <w:right w:w="0" w:type="dxa"/>
        </w:tblCellMar>
        <w:tblLook w:val="04A0" w:firstRow="1" w:lastRow="0" w:firstColumn="1" w:lastColumn="0" w:noHBand="0" w:noVBand="1"/>
      </w:tblPr>
      <w:tblGrid>
        <w:gridCol w:w="4880"/>
        <w:gridCol w:w="640"/>
        <w:gridCol w:w="100"/>
        <w:gridCol w:w="480"/>
        <w:gridCol w:w="120"/>
        <w:gridCol w:w="440"/>
        <w:gridCol w:w="100"/>
        <w:gridCol w:w="760"/>
        <w:gridCol w:w="120"/>
        <w:gridCol w:w="780"/>
        <w:gridCol w:w="20"/>
      </w:tblGrid>
      <w:tr w:rsidR="00D1587D" w14:paraId="20082E07" w14:textId="77777777">
        <w:trPr>
          <w:trHeight w:val="161"/>
        </w:trPr>
        <w:tc>
          <w:tcPr>
            <w:tcW w:w="4880" w:type="dxa"/>
            <w:vAlign w:val="bottom"/>
          </w:tcPr>
          <w:p w14:paraId="60BF7BBD" w14:textId="77777777" w:rsidR="00D1587D" w:rsidRDefault="00D1587D">
            <w:pPr>
              <w:rPr>
                <w:sz w:val="14"/>
                <w:szCs w:val="14"/>
              </w:rPr>
            </w:pPr>
          </w:p>
        </w:tc>
        <w:tc>
          <w:tcPr>
            <w:tcW w:w="740" w:type="dxa"/>
            <w:gridSpan w:val="2"/>
            <w:vMerge w:val="restart"/>
            <w:vAlign w:val="bottom"/>
          </w:tcPr>
          <w:p w14:paraId="2CFAEF35" w14:textId="77777777" w:rsidR="00D1587D" w:rsidRDefault="00410D07">
            <w:pPr>
              <w:ind w:right="120"/>
              <w:jc w:val="center"/>
              <w:rPr>
                <w:sz w:val="20"/>
                <w:szCs w:val="20"/>
              </w:rPr>
            </w:pPr>
            <w:r>
              <w:rPr>
                <w:rFonts w:ascii="Arial" w:eastAsia="Arial" w:hAnsi="Arial" w:cs="Arial"/>
                <w:b/>
                <w:bCs/>
                <w:w w:val="90"/>
                <w:sz w:val="14"/>
                <w:szCs w:val="14"/>
              </w:rPr>
              <w:t>Beginning</w:t>
            </w:r>
          </w:p>
        </w:tc>
        <w:tc>
          <w:tcPr>
            <w:tcW w:w="480" w:type="dxa"/>
            <w:vAlign w:val="bottom"/>
          </w:tcPr>
          <w:p w14:paraId="31B78D29" w14:textId="77777777" w:rsidR="00D1587D" w:rsidRDefault="00D1587D">
            <w:pPr>
              <w:rPr>
                <w:sz w:val="14"/>
                <w:szCs w:val="14"/>
              </w:rPr>
            </w:pPr>
          </w:p>
        </w:tc>
        <w:tc>
          <w:tcPr>
            <w:tcW w:w="120" w:type="dxa"/>
            <w:vAlign w:val="bottom"/>
          </w:tcPr>
          <w:p w14:paraId="69AF2D9E" w14:textId="77777777" w:rsidR="00D1587D" w:rsidRDefault="00D1587D">
            <w:pPr>
              <w:rPr>
                <w:sz w:val="14"/>
                <w:szCs w:val="14"/>
              </w:rPr>
            </w:pPr>
          </w:p>
        </w:tc>
        <w:tc>
          <w:tcPr>
            <w:tcW w:w="440" w:type="dxa"/>
            <w:vAlign w:val="bottom"/>
          </w:tcPr>
          <w:p w14:paraId="0075EA6F" w14:textId="77777777" w:rsidR="00D1587D" w:rsidRDefault="00D1587D">
            <w:pPr>
              <w:rPr>
                <w:sz w:val="14"/>
                <w:szCs w:val="14"/>
              </w:rPr>
            </w:pPr>
          </w:p>
        </w:tc>
        <w:tc>
          <w:tcPr>
            <w:tcW w:w="100" w:type="dxa"/>
            <w:vAlign w:val="bottom"/>
          </w:tcPr>
          <w:p w14:paraId="46AF443E" w14:textId="77777777" w:rsidR="00D1587D" w:rsidRDefault="00D1587D">
            <w:pPr>
              <w:rPr>
                <w:sz w:val="14"/>
                <w:szCs w:val="14"/>
              </w:rPr>
            </w:pPr>
          </w:p>
        </w:tc>
        <w:tc>
          <w:tcPr>
            <w:tcW w:w="880" w:type="dxa"/>
            <w:gridSpan w:val="2"/>
            <w:vAlign w:val="bottom"/>
          </w:tcPr>
          <w:p w14:paraId="4CD9E6E6" w14:textId="77777777" w:rsidR="00D1587D" w:rsidRDefault="00410D07">
            <w:pPr>
              <w:ind w:right="100"/>
              <w:jc w:val="center"/>
              <w:rPr>
                <w:sz w:val="20"/>
                <w:szCs w:val="20"/>
              </w:rPr>
            </w:pPr>
            <w:r>
              <w:rPr>
                <w:rFonts w:ascii="Arial" w:eastAsia="Arial" w:hAnsi="Arial" w:cs="Arial"/>
                <w:b/>
                <w:bCs/>
                <w:w w:val="95"/>
                <w:sz w:val="14"/>
                <w:szCs w:val="14"/>
              </w:rPr>
              <w:t>Transferred</w:t>
            </w:r>
          </w:p>
        </w:tc>
        <w:tc>
          <w:tcPr>
            <w:tcW w:w="780" w:type="dxa"/>
            <w:vAlign w:val="bottom"/>
          </w:tcPr>
          <w:p w14:paraId="5E7BEBD5" w14:textId="77777777" w:rsidR="00D1587D" w:rsidRDefault="00D1587D">
            <w:pPr>
              <w:rPr>
                <w:sz w:val="14"/>
                <w:szCs w:val="14"/>
              </w:rPr>
            </w:pPr>
          </w:p>
        </w:tc>
        <w:tc>
          <w:tcPr>
            <w:tcW w:w="0" w:type="dxa"/>
            <w:vAlign w:val="bottom"/>
          </w:tcPr>
          <w:p w14:paraId="531321E5" w14:textId="77777777" w:rsidR="00D1587D" w:rsidRDefault="00D1587D">
            <w:pPr>
              <w:rPr>
                <w:sz w:val="1"/>
                <w:szCs w:val="1"/>
              </w:rPr>
            </w:pPr>
          </w:p>
        </w:tc>
      </w:tr>
      <w:tr w:rsidR="00D1587D" w14:paraId="43C99B8F" w14:textId="77777777">
        <w:trPr>
          <w:trHeight w:val="145"/>
        </w:trPr>
        <w:tc>
          <w:tcPr>
            <w:tcW w:w="4880" w:type="dxa"/>
            <w:vAlign w:val="bottom"/>
          </w:tcPr>
          <w:p w14:paraId="74DA823B" w14:textId="77777777" w:rsidR="00D1587D" w:rsidRDefault="00D1587D">
            <w:pPr>
              <w:rPr>
                <w:sz w:val="12"/>
                <w:szCs w:val="12"/>
              </w:rPr>
            </w:pPr>
          </w:p>
        </w:tc>
        <w:tc>
          <w:tcPr>
            <w:tcW w:w="740" w:type="dxa"/>
            <w:gridSpan w:val="2"/>
            <w:vMerge/>
            <w:vAlign w:val="bottom"/>
          </w:tcPr>
          <w:p w14:paraId="7DC2FA68" w14:textId="77777777" w:rsidR="00D1587D" w:rsidRDefault="00D1587D">
            <w:pPr>
              <w:rPr>
                <w:sz w:val="12"/>
                <w:szCs w:val="12"/>
              </w:rPr>
            </w:pPr>
          </w:p>
        </w:tc>
        <w:tc>
          <w:tcPr>
            <w:tcW w:w="600" w:type="dxa"/>
            <w:gridSpan w:val="2"/>
            <w:vMerge w:val="restart"/>
            <w:vAlign w:val="bottom"/>
          </w:tcPr>
          <w:p w14:paraId="3C0D540E" w14:textId="77777777" w:rsidR="00D1587D" w:rsidRDefault="00410D07">
            <w:pPr>
              <w:ind w:right="120"/>
              <w:jc w:val="center"/>
              <w:rPr>
                <w:sz w:val="20"/>
                <w:szCs w:val="20"/>
              </w:rPr>
            </w:pPr>
            <w:r>
              <w:rPr>
                <w:rFonts w:ascii="Arial" w:eastAsia="Arial" w:hAnsi="Arial" w:cs="Arial"/>
                <w:b/>
                <w:bCs/>
                <w:w w:val="91"/>
                <w:sz w:val="14"/>
                <w:szCs w:val="14"/>
              </w:rPr>
              <w:t>Opened</w:t>
            </w:r>
          </w:p>
        </w:tc>
        <w:tc>
          <w:tcPr>
            <w:tcW w:w="540" w:type="dxa"/>
            <w:gridSpan w:val="2"/>
            <w:vMerge w:val="restart"/>
            <w:vAlign w:val="bottom"/>
          </w:tcPr>
          <w:p w14:paraId="665E62B1" w14:textId="77777777" w:rsidR="00D1587D" w:rsidRDefault="00410D07">
            <w:pPr>
              <w:ind w:left="20"/>
              <w:rPr>
                <w:sz w:val="20"/>
                <w:szCs w:val="20"/>
              </w:rPr>
            </w:pPr>
            <w:r>
              <w:rPr>
                <w:rFonts w:ascii="Arial" w:eastAsia="Arial" w:hAnsi="Arial" w:cs="Arial"/>
                <w:b/>
                <w:bCs/>
                <w:sz w:val="14"/>
                <w:szCs w:val="14"/>
              </w:rPr>
              <w:t>Closed</w:t>
            </w:r>
          </w:p>
        </w:tc>
        <w:tc>
          <w:tcPr>
            <w:tcW w:w="880" w:type="dxa"/>
            <w:gridSpan w:val="2"/>
            <w:vAlign w:val="bottom"/>
          </w:tcPr>
          <w:p w14:paraId="4DFD16B0" w14:textId="77777777" w:rsidR="00D1587D" w:rsidRDefault="00410D07">
            <w:pPr>
              <w:spacing w:line="145" w:lineRule="exact"/>
              <w:ind w:right="140"/>
              <w:jc w:val="center"/>
              <w:rPr>
                <w:sz w:val="20"/>
                <w:szCs w:val="20"/>
              </w:rPr>
            </w:pPr>
            <w:r>
              <w:rPr>
                <w:rFonts w:ascii="Arial" w:eastAsia="Arial" w:hAnsi="Arial" w:cs="Arial"/>
                <w:b/>
                <w:bCs/>
                <w:w w:val="90"/>
                <w:sz w:val="14"/>
                <w:szCs w:val="14"/>
              </w:rPr>
              <w:t>to Joint</w:t>
            </w:r>
          </w:p>
        </w:tc>
        <w:tc>
          <w:tcPr>
            <w:tcW w:w="780" w:type="dxa"/>
            <w:vMerge w:val="restart"/>
            <w:vAlign w:val="bottom"/>
          </w:tcPr>
          <w:p w14:paraId="015C377B" w14:textId="77777777" w:rsidR="00D1587D" w:rsidRDefault="00410D07">
            <w:pPr>
              <w:jc w:val="right"/>
              <w:rPr>
                <w:sz w:val="20"/>
                <w:szCs w:val="20"/>
              </w:rPr>
            </w:pPr>
            <w:r>
              <w:rPr>
                <w:rFonts w:ascii="Arial" w:eastAsia="Arial" w:hAnsi="Arial" w:cs="Arial"/>
                <w:b/>
                <w:bCs/>
                <w:w w:val="95"/>
                <w:sz w:val="14"/>
                <w:szCs w:val="14"/>
              </w:rPr>
              <w:t>End of Year</w:t>
            </w:r>
          </w:p>
        </w:tc>
        <w:tc>
          <w:tcPr>
            <w:tcW w:w="0" w:type="dxa"/>
            <w:vAlign w:val="bottom"/>
          </w:tcPr>
          <w:p w14:paraId="49C91F7B" w14:textId="77777777" w:rsidR="00D1587D" w:rsidRDefault="00D1587D">
            <w:pPr>
              <w:rPr>
                <w:sz w:val="1"/>
                <w:szCs w:val="1"/>
              </w:rPr>
            </w:pPr>
          </w:p>
        </w:tc>
      </w:tr>
      <w:tr w:rsidR="00D1587D" w14:paraId="132105BF" w14:textId="77777777">
        <w:trPr>
          <w:trHeight w:val="242"/>
        </w:trPr>
        <w:tc>
          <w:tcPr>
            <w:tcW w:w="4880" w:type="dxa"/>
            <w:vAlign w:val="bottom"/>
          </w:tcPr>
          <w:p w14:paraId="28619524" w14:textId="77777777" w:rsidR="00D1587D" w:rsidRDefault="00D1587D">
            <w:pPr>
              <w:rPr>
                <w:sz w:val="21"/>
                <w:szCs w:val="21"/>
              </w:rPr>
            </w:pPr>
          </w:p>
        </w:tc>
        <w:tc>
          <w:tcPr>
            <w:tcW w:w="740" w:type="dxa"/>
            <w:gridSpan w:val="2"/>
            <w:vAlign w:val="bottom"/>
          </w:tcPr>
          <w:p w14:paraId="42A357E6" w14:textId="77777777" w:rsidR="00D1587D" w:rsidRDefault="00410D07">
            <w:pPr>
              <w:ind w:right="100"/>
              <w:jc w:val="center"/>
              <w:rPr>
                <w:sz w:val="20"/>
                <w:szCs w:val="20"/>
              </w:rPr>
            </w:pPr>
            <w:r>
              <w:rPr>
                <w:rFonts w:ascii="Arial" w:eastAsia="Arial" w:hAnsi="Arial" w:cs="Arial"/>
                <w:b/>
                <w:bCs/>
                <w:w w:val="92"/>
                <w:sz w:val="14"/>
                <w:szCs w:val="14"/>
              </w:rPr>
              <w:t>of Year</w:t>
            </w:r>
          </w:p>
        </w:tc>
        <w:tc>
          <w:tcPr>
            <w:tcW w:w="600" w:type="dxa"/>
            <w:gridSpan w:val="2"/>
            <w:vMerge/>
            <w:vAlign w:val="bottom"/>
          </w:tcPr>
          <w:p w14:paraId="0F6FF9E2" w14:textId="77777777" w:rsidR="00D1587D" w:rsidRDefault="00D1587D">
            <w:pPr>
              <w:rPr>
                <w:sz w:val="21"/>
                <w:szCs w:val="21"/>
              </w:rPr>
            </w:pPr>
          </w:p>
        </w:tc>
        <w:tc>
          <w:tcPr>
            <w:tcW w:w="540" w:type="dxa"/>
            <w:gridSpan w:val="2"/>
            <w:vMerge/>
            <w:vAlign w:val="bottom"/>
          </w:tcPr>
          <w:p w14:paraId="55D21915" w14:textId="77777777" w:rsidR="00D1587D" w:rsidRDefault="00D1587D">
            <w:pPr>
              <w:rPr>
                <w:sz w:val="21"/>
                <w:szCs w:val="21"/>
              </w:rPr>
            </w:pPr>
          </w:p>
        </w:tc>
        <w:tc>
          <w:tcPr>
            <w:tcW w:w="880" w:type="dxa"/>
            <w:gridSpan w:val="2"/>
            <w:vAlign w:val="bottom"/>
          </w:tcPr>
          <w:p w14:paraId="78192D7E" w14:textId="77777777" w:rsidR="00D1587D" w:rsidRDefault="00410D07">
            <w:pPr>
              <w:spacing w:line="242" w:lineRule="exact"/>
              <w:ind w:right="100"/>
              <w:jc w:val="center"/>
              <w:rPr>
                <w:sz w:val="20"/>
                <w:szCs w:val="20"/>
              </w:rPr>
            </w:pPr>
            <w:r>
              <w:rPr>
                <w:rFonts w:ascii="Arial" w:eastAsia="Arial" w:hAnsi="Arial" w:cs="Arial"/>
                <w:b/>
                <w:bCs/>
                <w:w w:val="87"/>
                <w:sz w:val="14"/>
                <w:szCs w:val="14"/>
              </w:rPr>
              <w:t>Venture</w:t>
            </w:r>
            <w:r>
              <w:rPr>
                <w:rFonts w:ascii="Arial" w:eastAsia="Arial" w:hAnsi="Arial" w:cs="Arial"/>
                <w:b/>
                <w:bCs/>
                <w:w w:val="87"/>
                <w:sz w:val="23"/>
                <w:szCs w:val="23"/>
                <w:vertAlign w:val="superscript"/>
              </w:rPr>
              <w:t>(a)</w:t>
            </w:r>
          </w:p>
        </w:tc>
        <w:tc>
          <w:tcPr>
            <w:tcW w:w="780" w:type="dxa"/>
            <w:vMerge/>
            <w:vAlign w:val="bottom"/>
          </w:tcPr>
          <w:p w14:paraId="78F32611" w14:textId="77777777" w:rsidR="00D1587D" w:rsidRDefault="00D1587D">
            <w:pPr>
              <w:rPr>
                <w:sz w:val="21"/>
                <w:szCs w:val="21"/>
              </w:rPr>
            </w:pPr>
          </w:p>
        </w:tc>
        <w:tc>
          <w:tcPr>
            <w:tcW w:w="0" w:type="dxa"/>
            <w:vAlign w:val="bottom"/>
          </w:tcPr>
          <w:p w14:paraId="23085E93" w14:textId="77777777" w:rsidR="00D1587D" w:rsidRDefault="00D1587D">
            <w:pPr>
              <w:rPr>
                <w:sz w:val="1"/>
                <w:szCs w:val="1"/>
              </w:rPr>
            </w:pPr>
          </w:p>
        </w:tc>
      </w:tr>
      <w:tr w:rsidR="00D1587D" w14:paraId="67B01533" w14:textId="77777777">
        <w:trPr>
          <w:trHeight w:val="311"/>
        </w:trPr>
        <w:tc>
          <w:tcPr>
            <w:tcW w:w="4880" w:type="dxa"/>
            <w:tcBorders>
              <w:top w:val="single" w:sz="8" w:space="0" w:color="CCEEFF"/>
              <w:bottom w:val="single" w:sz="8" w:space="0" w:color="CCEEFF"/>
            </w:tcBorders>
            <w:shd w:val="clear" w:color="auto" w:fill="CCEEFF"/>
            <w:vAlign w:val="bottom"/>
          </w:tcPr>
          <w:p w14:paraId="74E629C7" w14:textId="77777777" w:rsidR="00D1587D" w:rsidRDefault="00410D07">
            <w:pPr>
              <w:ind w:right="4430"/>
              <w:jc w:val="right"/>
              <w:rPr>
                <w:sz w:val="20"/>
                <w:szCs w:val="20"/>
              </w:rPr>
            </w:pPr>
            <w:r>
              <w:rPr>
                <w:rFonts w:ascii="Arial" w:eastAsia="Arial" w:hAnsi="Arial" w:cs="Arial"/>
                <w:w w:val="84"/>
                <w:sz w:val="18"/>
                <w:szCs w:val="18"/>
              </w:rPr>
              <w:t>2020</w:t>
            </w:r>
          </w:p>
        </w:tc>
        <w:tc>
          <w:tcPr>
            <w:tcW w:w="640" w:type="dxa"/>
            <w:tcBorders>
              <w:top w:val="single" w:sz="8" w:space="0" w:color="auto"/>
              <w:bottom w:val="single" w:sz="8" w:space="0" w:color="CCEEFF"/>
            </w:tcBorders>
            <w:shd w:val="clear" w:color="auto" w:fill="CCEEFF"/>
            <w:vAlign w:val="bottom"/>
          </w:tcPr>
          <w:p w14:paraId="3CDDBCBE" w14:textId="77777777" w:rsidR="00D1587D" w:rsidRDefault="00410D07">
            <w:pPr>
              <w:jc w:val="center"/>
              <w:rPr>
                <w:sz w:val="20"/>
                <w:szCs w:val="20"/>
              </w:rPr>
            </w:pPr>
            <w:r>
              <w:rPr>
                <w:rFonts w:ascii="Arial" w:eastAsia="Arial" w:hAnsi="Arial" w:cs="Arial"/>
                <w:w w:val="93"/>
                <w:sz w:val="18"/>
                <w:szCs w:val="18"/>
              </w:rPr>
              <w:t>1,181</w:t>
            </w:r>
          </w:p>
        </w:tc>
        <w:tc>
          <w:tcPr>
            <w:tcW w:w="100" w:type="dxa"/>
            <w:tcBorders>
              <w:top w:val="single" w:sz="8" w:space="0" w:color="CCEEFF"/>
              <w:bottom w:val="single" w:sz="8" w:space="0" w:color="CCEEFF"/>
            </w:tcBorders>
            <w:shd w:val="clear" w:color="auto" w:fill="CCEEFF"/>
            <w:vAlign w:val="bottom"/>
          </w:tcPr>
          <w:p w14:paraId="219E8BD5" w14:textId="77777777" w:rsidR="00D1587D" w:rsidRDefault="00D1587D">
            <w:pPr>
              <w:rPr>
                <w:sz w:val="24"/>
                <w:szCs w:val="24"/>
              </w:rPr>
            </w:pPr>
          </w:p>
        </w:tc>
        <w:tc>
          <w:tcPr>
            <w:tcW w:w="480" w:type="dxa"/>
            <w:tcBorders>
              <w:top w:val="single" w:sz="8" w:space="0" w:color="auto"/>
              <w:bottom w:val="single" w:sz="8" w:space="0" w:color="CCEEFF"/>
            </w:tcBorders>
            <w:shd w:val="clear" w:color="auto" w:fill="CCEEFF"/>
            <w:vAlign w:val="bottom"/>
          </w:tcPr>
          <w:p w14:paraId="5A6736CE" w14:textId="77777777" w:rsidR="00D1587D" w:rsidRDefault="00410D07">
            <w:pPr>
              <w:jc w:val="center"/>
              <w:rPr>
                <w:sz w:val="20"/>
                <w:szCs w:val="20"/>
              </w:rPr>
            </w:pPr>
            <w:r>
              <w:rPr>
                <w:rFonts w:ascii="Arial" w:eastAsia="Arial" w:hAnsi="Arial" w:cs="Arial"/>
                <w:w w:val="89"/>
                <w:sz w:val="18"/>
                <w:szCs w:val="18"/>
              </w:rPr>
              <w:t>26</w:t>
            </w:r>
          </w:p>
        </w:tc>
        <w:tc>
          <w:tcPr>
            <w:tcW w:w="120" w:type="dxa"/>
            <w:tcBorders>
              <w:top w:val="single" w:sz="8" w:space="0" w:color="CCEEFF"/>
              <w:bottom w:val="single" w:sz="8" w:space="0" w:color="CCEEFF"/>
            </w:tcBorders>
            <w:shd w:val="clear" w:color="auto" w:fill="CCEEFF"/>
            <w:vAlign w:val="bottom"/>
          </w:tcPr>
          <w:p w14:paraId="44AE612A" w14:textId="77777777" w:rsidR="00D1587D" w:rsidRDefault="00D1587D">
            <w:pPr>
              <w:rPr>
                <w:sz w:val="24"/>
                <w:szCs w:val="24"/>
              </w:rPr>
            </w:pPr>
          </w:p>
        </w:tc>
        <w:tc>
          <w:tcPr>
            <w:tcW w:w="440" w:type="dxa"/>
            <w:tcBorders>
              <w:top w:val="single" w:sz="8" w:space="0" w:color="auto"/>
              <w:bottom w:val="single" w:sz="8" w:space="0" w:color="CCEEFF"/>
            </w:tcBorders>
            <w:shd w:val="clear" w:color="auto" w:fill="CCEEFF"/>
            <w:vAlign w:val="bottom"/>
          </w:tcPr>
          <w:p w14:paraId="70D26A69" w14:textId="77777777" w:rsidR="00D1587D" w:rsidRDefault="00410D07">
            <w:pPr>
              <w:jc w:val="right"/>
              <w:rPr>
                <w:sz w:val="20"/>
                <w:szCs w:val="20"/>
              </w:rPr>
            </w:pPr>
            <w:r>
              <w:rPr>
                <w:rFonts w:ascii="Arial" w:eastAsia="Arial" w:hAnsi="Arial" w:cs="Arial"/>
                <w:w w:val="95"/>
                <w:sz w:val="18"/>
                <w:szCs w:val="18"/>
              </w:rPr>
              <w:t>(248)</w:t>
            </w:r>
          </w:p>
        </w:tc>
        <w:tc>
          <w:tcPr>
            <w:tcW w:w="100" w:type="dxa"/>
            <w:tcBorders>
              <w:top w:val="single" w:sz="8" w:space="0" w:color="CCEEFF"/>
              <w:bottom w:val="single" w:sz="8" w:space="0" w:color="CCEEFF"/>
            </w:tcBorders>
            <w:shd w:val="clear" w:color="auto" w:fill="CCEEFF"/>
            <w:vAlign w:val="bottom"/>
          </w:tcPr>
          <w:p w14:paraId="53493C66" w14:textId="77777777" w:rsidR="00D1587D" w:rsidRDefault="00D1587D">
            <w:pPr>
              <w:rPr>
                <w:sz w:val="24"/>
                <w:szCs w:val="24"/>
              </w:rPr>
            </w:pPr>
          </w:p>
        </w:tc>
        <w:tc>
          <w:tcPr>
            <w:tcW w:w="760" w:type="dxa"/>
            <w:tcBorders>
              <w:top w:val="single" w:sz="8" w:space="0" w:color="auto"/>
              <w:bottom w:val="single" w:sz="8" w:space="0" w:color="CCEEFF"/>
            </w:tcBorders>
            <w:shd w:val="clear" w:color="auto" w:fill="CCEEFF"/>
            <w:vAlign w:val="bottom"/>
          </w:tcPr>
          <w:p w14:paraId="3B9EF171" w14:textId="77777777" w:rsidR="00D1587D" w:rsidRDefault="00410D07">
            <w:pPr>
              <w:ind w:right="119"/>
              <w:jc w:val="right"/>
              <w:rPr>
                <w:sz w:val="20"/>
                <w:szCs w:val="20"/>
              </w:rPr>
            </w:pPr>
            <w:r>
              <w:rPr>
                <w:rFonts w:ascii="Arial" w:eastAsia="Arial" w:hAnsi="Arial" w:cs="Arial"/>
                <w:sz w:val="18"/>
                <w:szCs w:val="18"/>
              </w:rPr>
              <w:t>(26)</w:t>
            </w:r>
          </w:p>
        </w:tc>
        <w:tc>
          <w:tcPr>
            <w:tcW w:w="120" w:type="dxa"/>
            <w:tcBorders>
              <w:top w:val="single" w:sz="8" w:space="0" w:color="CCEEFF"/>
              <w:bottom w:val="single" w:sz="8" w:space="0" w:color="CCEEFF"/>
            </w:tcBorders>
            <w:shd w:val="clear" w:color="auto" w:fill="CCEEFF"/>
            <w:vAlign w:val="bottom"/>
          </w:tcPr>
          <w:p w14:paraId="5BA15477" w14:textId="77777777" w:rsidR="00D1587D" w:rsidRDefault="00D1587D">
            <w:pPr>
              <w:rPr>
                <w:sz w:val="24"/>
                <w:szCs w:val="24"/>
              </w:rPr>
            </w:pPr>
          </w:p>
        </w:tc>
        <w:tc>
          <w:tcPr>
            <w:tcW w:w="780" w:type="dxa"/>
            <w:tcBorders>
              <w:top w:val="single" w:sz="8" w:space="0" w:color="auto"/>
              <w:bottom w:val="single" w:sz="8" w:space="0" w:color="CCEEFF"/>
            </w:tcBorders>
            <w:shd w:val="clear" w:color="auto" w:fill="CCEEFF"/>
            <w:vAlign w:val="bottom"/>
          </w:tcPr>
          <w:p w14:paraId="57323FF5" w14:textId="77777777" w:rsidR="00D1587D" w:rsidRDefault="00410D07">
            <w:pPr>
              <w:ind w:right="115"/>
              <w:jc w:val="right"/>
              <w:rPr>
                <w:sz w:val="20"/>
                <w:szCs w:val="20"/>
              </w:rPr>
            </w:pPr>
            <w:r>
              <w:rPr>
                <w:rFonts w:ascii="Arial" w:eastAsia="Arial" w:hAnsi="Arial" w:cs="Arial"/>
                <w:sz w:val="18"/>
                <w:szCs w:val="18"/>
              </w:rPr>
              <w:t>933</w:t>
            </w:r>
          </w:p>
        </w:tc>
        <w:tc>
          <w:tcPr>
            <w:tcW w:w="0" w:type="dxa"/>
            <w:vAlign w:val="bottom"/>
          </w:tcPr>
          <w:p w14:paraId="3DCC74F8" w14:textId="77777777" w:rsidR="00D1587D" w:rsidRDefault="00D1587D">
            <w:pPr>
              <w:rPr>
                <w:sz w:val="1"/>
                <w:szCs w:val="1"/>
              </w:rPr>
            </w:pPr>
          </w:p>
        </w:tc>
      </w:tr>
      <w:tr w:rsidR="00D1587D" w14:paraId="60CF1CFB" w14:textId="77777777">
        <w:trPr>
          <w:trHeight w:val="270"/>
        </w:trPr>
        <w:tc>
          <w:tcPr>
            <w:tcW w:w="4880" w:type="dxa"/>
            <w:vAlign w:val="bottom"/>
          </w:tcPr>
          <w:p w14:paraId="692A2DD3" w14:textId="77777777" w:rsidR="00D1587D" w:rsidRDefault="00410D07">
            <w:pPr>
              <w:ind w:right="4430"/>
              <w:jc w:val="right"/>
              <w:rPr>
                <w:sz w:val="20"/>
                <w:szCs w:val="20"/>
              </w:rPr>
            </w:pPr>
            <w:r>
              <w:rPr>
                <w:rFonts w:ascii="Arial" w:eastAsia="Arial" w:hAnsi="Arial" w:cs="Arial"/>
                <w:w w:val="84"/>
                <w:sz w:val="18"/>
                <w:szCs w:val="18"/>
              </w:rPr>
              <w:t>2019</w:t>
            </w:r>
          </w:p>
        </w:tc>
        <w:tc>
          <w:tcPr>
            <w:tcW w:w="640" w:type="dxa"/>
            <w:vAlign w:val="bottom"/>
          </w:tcPr>
          <w:p w14:paraId="122CF1DD" w14:textId="77777777" w:rsidR="00D1587D" w:rsidRDefault="00410D07">
            <w:pPr>
              <w:jc w:val="center"/>
              <w:rPr>
                <w:sz w:val="20"/>
                <w:szCs w:val="20"/>
              </w:rPr>
            </w:pPr>
            <w:r>
              <w:rPr>
                <w:rFonts w:ascii="Arial" w:eastAsia="Arial" w:hAnsi="Arial" w:cs="Arial"/>
                <w:w w:val="93"/>
                <w:sz w:val="18"/>
                <w:szCs w:val="18"/>
              </w:rPr>
              <w:t>1,222</w:t>
            </w:r>
          </w:p>
        </w:tc>
        <w:tc>
          <w:tcPr>
            <w:tcW w:w="100" w:type="dxa"/>
            <w:vAlign w:val="bottom"/>
          </w:tcPr>
          <w:p w14:paraId="61476893" w14:textId="77777777" w:rsidR="00D1587D" w:rsidRDefault="00D1587D">
            <w:pPr>
              <w:rPr>
                <w:sz w:val="23"/>
                <w:szCs w:val="23"/>
              </w:rPr>
            </w:pPr>
          </w:p>
        </w:tc>
        <w:tc>
          <w:tcPr>
            <w:tcW w:w="480" w:type="dxa"/>
            <w:vAlign w:val="bottom"/>
          </w:tcPr>
          <w:p w14:paraId="0B83BF93" w14:textId="77777777" w:rsidR="00D1587D" w:rsidRDefault="00410D07">
            <w:pPr>
              <w:jc w:val="center"/>
              <w:rPr>
                <w:sz w:val="20"/>
                <w:szCs w:val="20"/>
              </w:rPr>
            </w:pPr>
            <w:r>
              <w:rPr>
                <w:rFonts w:ascii="Arial" w:eastAsia="Arial" w:hAnsi="Arial" w:cs="Arial"/>
                <w:w w:val="89"/>
                <w:sz w:val="18"/>
                <w:szCs w:val="18"/>
              </w:rPr>
              <w:t>25</w:t>
            </w:r>
          </w:p>
        </w:tc>
        <w:tc>
          <w:tcPr>
            <w:tcW w:w="120" w:type="dxa"/>
            <w:vAlign w:val="bottom"/>
          </w:tcPr>
          <w:p w14:paraId="58591AA8" w14:textId="77777777" w:rsidR="00D1587D" w:rsidRDefault="00D1587D">
            <w:pPr>
              <w:rPr>
                <w:sz w:val="23"/>
                <w:szCs w:val="23"/>
              </w:rPr>
            </w:pPr>
          </w:p>
        </w:tc>
        <w:tc>
          <w:tcPr>
            <w:tcW w:w="440" w:type="dxa"/>
            <w:vAlign w:val="bottom"/>
          </w:tcPr>
          <w:p w14:paraId="6D6077F8" w14:textId="77777777" w:rsidR="00D1587D" w:rsidRDefault="00410D07">
            <w:pPr>
              <w:jc w:val="right"/>
              <w:rPr>
                <w:sz w:val="20"/>
                <w:szCs w:val="20"/>
              </w:rPr>
            </w:pPr>
            <w:r>
              <w:rPr>
                <w:rFonts w:ascii="Arial" w:eastAsia="Arial" w:hAnsi="Arial" w:cs="Arial"/>
                <w:sz w:val="18"/>
                <w:szCs w:val="18"/>
              </w:rPr>
              <w:t>(66)</w:t>
            </w:r>
          </w:p>
        </w:tc>
        <w:tc>
          <w:tcPr>
            <w:tcW w:w="100" w:type="dxa"/>
            <w:vAlign w:val="bottom"/>
          </w:tcPr>
          <w:p w14:paraId="28E7563D" w14:textId="77777777" w:rsidR="00D1587D" w:rsidRDefault="00D1587D">
            <w:pPr>
              <w:rPr>
                <w:sz w:val="23"/>
                <w:szCs w:val="23"/>
              </w:rPr>
            </w:pPr>
          </w:p>
        </w:tc>
        <w:tc>
          <w:tcPr>
            <w:tcW w:w="880" w:type="dxa"/>
            <w:gridSpan w:val="2"/>
            <w:vAlign w:val="bottom"/>
          </w:tcPr>
          <w:p w14:paraId="4DE4206D" w14:textId="77777777" w:rsidR="00D1587D" w:rsidRDefault="00410D07">
            <w:pPr>
              <w:ind w:right="380"/>
              <w:jc w:val="right"/>
              <w:rPr>
                <w:sz w:val="20"/>
                <w:szCs w:val="20"/>
              </w:rPr>
            </w:pPr>
            <w:r>
              <w:rPr>
                <w:rFonts w:ascii="Arial" w:eastAsia="Arial" w:hAnsi="Arial" w:cs="Arial"/>
                <w:sz w:val="18"/>
                <w:szCs w:val="18"/>
              </w:rPr>
              <w:t>—</w:t>
            </w:r>
          </w:p>
        </w:tc>
        <w:tc>
          <w:tcPr>
            <w:tcW w:w="780" w:type="dxa"/>
            <w:vAlign w:val="bottom"/>
          </w:tcPr>
          <w:p w14:paraId="43BCCD44" w14:textId="77777777" w:rsidR="00D1587D" w:rsidRDefault="00410D07">
            <w:pPr>
              <w:ind w:right="115"/>
              <w:jc w:val="right"/>
              <w:rPr>
                <w:sz w:val="20"/>
                <w:szCs w:val="20"/>
              </w:rPr>
            </w:pPr>
            <w:r>
              <w:rPr>
                <w:rFonts w:ascii="Arial" w:eastAsia="Arial" w:hAnsi="Arial" w:cs="Arial"/>
                <w:sz w:val="18"/>
                <w:szCs w:val="18"/>
              </w:rPr>
              <w:t>1,181</w:t>
            </w:r>
          </w:p>
        </w:tc>
        <w:tc>
          <w:tcPr>
            <w:tcW w:w="0" w:type="dxa"/>
            <w:vAlign w:val="bottom"/>
          </w:tcPr>
          <w:p w14:paraId="3D1B711C" w14:textId="77777777" w:rsidR="00D1587D" w:rsidRDefault="00D1587D">
            <w:pPr>
              <w:rPr>
                <w:sz w:val="1"/>
                <w:szCs w:val="1"/>
              </w:rPr>
            </w:pPr>
          </w:p>
        </w:tc>
      </w:tr>
      <w:tr w:rsidR="00D1587D" w14:paraId="15F6CC7B" w14:textId="77777777">
        <w:trPr>
          <w:trHeight w:val="54"/>
        </w:trPr>
        <w:tc>
          <w:tcPr>
            <w:tcW w:w="4880" w:type="dxa"/>
            <w:vAlign w:val="bottom"/>
          </w:tcPr>
          <w:p w14:paraId="0497B2E9" w14:textId="77777777" w:rsidR="00D1587D" w:rsidRDefault="00D1587D">
            <w:pPr>
              <w:rPr>
                <w:sz w:val="4"/>
                <w:szCs w:val="4"/>
              </w:rPr>
            </w:pPr>
          </w:p>
        </w:tc>
        <w:tc>
          <w:tcPr>
            <w:tcW w:w="640" w:type="dxa"/>
            <w:vAlign w:val="bottom"/>
          </w:tcPr>
          <w:p w14:paraId="4AB7536F" w14:textId="77777777" w:rsidR="00D1587D" w:rsidRDefault="00D1587D">
            <w:pPr>
              <w:rPr>
                <w:sz w:val="4"/>
                <w:szCs w:val="4"/>
              </w:rPr>
            </w:pPr>
          </w:p>
        </w:tc>
        <w:tc>
          <w:tcPr>
            <w:tcW w:w="100" w:type="dxa"/>
            <w:vAlign w:val="bottom"/>
          </w:tcPr>
          <w:p w14:paraId="7608AB67" w14:textId="77777777" w:rsidR="00D1587D" w:rsidRDefault="00D1587D">
            <w:pPr>
              <w:rPr>
                <w:sz w:val="4"/>
                <w:szCs w:val="4"/>
              </w:rPr>
            </w:pPr>
          </w:p>
        </w:tc>
        <w:tc>
          <w:tcPr>
            <w:tcW w:w="480" w:type="dxa"/>
            <w:vAlign w:val="bottom"/>
          </w:tcPr>
          <w:p w14:paraId="45A485B4" w14:textId="77777777" w:rsidR="00D1587D" w:rsidRDefault="00D1587D">
            <w:pPr>
              <w:rPr>
                <w:sz w:val="4"/>
                <w:szCs w:val="4"/>
              </w:rPr>
            </w:pPr>
          </w:p>
        </w:tc>
        <w:tc>
          <w:tcPr>
            <w:tcW w:w="120" w:type="dxa"/>
            <w:vAlign w:val="bottom"/>
          </w:tcPr>
          <w:p w14:paraId="53AA2AD3" w14:textId="77777777" w:rsidR="00D1587D" w:rsidRDefault="00D1587D">
            <w:pPr>
              <w:rPr>
                <w:sz w:val="4"/>
                <w:szCs w:val="4"/>
              </w:rPr>
            </w:pPr>
          </w:p>
        </w:tc>
        <w:tc>
          <w:tcPr>
            <w:tcW w:w="440" w:type="dxa"/>
            <w:vAlign w:val="bottom"/>
          </w:tcPr>
          <w:p w14:paraId="4239B1BA" w14:textId="77777777" w:rsidR="00D1587D" w:rsidRDefault="00D1587D">
            <w:pPr>
              <w:rPr>
                <w:sz w:val="4"/>
                <w:szCs w:val="4"/>
              </w:rPr>
            </w:pPr>
          </w:p>
        </w:tc>
        <w:tc>
          <w:tcPr>
            <w:tcW w:w="100" w:type="dxa"/>
            <w:vAlign w:val="bottom"/>
          </w:tcPr>
          <w:p w14:paraId="3A63F494" w14:textId="77777777" w:rsidR="00D1587D" w:rsidRDefault="00D1587D">
            <w:pPr>
              <w:rPr>
                <w:sz w:val="4"/>
                <w:szCs w:val="4"/>
              </w:rPr>
            </w:pPr>
          </w:p>
        </w:tc>
        <w:tc>
          <w:tcPr>
            <w:tcW w:w="760" w:type="dxa"/>
            <w:vAlign w:val="bottom"/>
          </w:tcPr>
          <w:p w14:paraId="27AA9A99" w14:textId="77777777" w:rsidR="00D1587D" w:rsidRDefault="00D1587D">
            <w:pPr>
              <w:rPr>
                <w:sz w:val="4"/>
                <w:szCs w:val="4"/>
              </w:rPr>
            </w:pPr>
          </w:p>
        </w:tc>
        <w:tc>
          <w:tcPr>
            <w:tcW w:w="120" w:type="dxa"/>
            <w:vAlign w:val="bottom"/>
          </w:tcPr>
          <w:p w14:paraId="56F9A856" w14:textId="77777777" w:rsidR="00D1587D" w:rsidRDefault="00D1587D">
            <w:pPr>
              <w:rPr>
                <w:sz w:val="4"/>
                <w:szCs w:val="4"/>
              </w:rPr>
            </w:pPr>
          </w:p>
        </w:tc>
        <w:tc>
          <w:tcPr>
            <w:tcW w:w="780" w:type="dxa"/>
            <w:vAlign w:val="bottom"/>
          </w:tcPr>
          <w:p w14:paraId="42BBD365" w14:textId="77777777" w:rsidR="00D1587D" w:rsidRDefault="00D1587D">
            <w:pPr>
              <w:rPr>
                <w:sz w:val="4"/>
                <w:szCs w:val="4"/>
              </w:rPr>
            </w:pPr>
          </w:p>
        </w:tc>
        <w:tc>
          <w:tcPr>
            <w:tcW w:w="0" w:type="dxa"/>
            <w:vAlign w:val="bottom"/>
          </w:tcPr>
          <w:p w14:paraId="3AA98F9A" w14:textId="77777777" w:rsidR="00D1587D" w:rsidRDefault="00D1587D">
            <w:pPr>
              <w:rPr>
                <w:sz w:val="1"/>
                <w:szCs w:val="1"/>
              </w:rPr>
            </w:pPr>
          </w:p>
        </w:tc>
      </w:tr>
      <w:tr w:rsidR="00D1587D" w14:paraId="2400D66C" w14:textId="77777777">
        <w:trPr>
          <w:trHeight w:val="270"/>
        </w:trPr>
        <w:tc>
          <w:tcPr>
            <w:tcW w:w="4880" w:type="dxa"/>
            <w:shd w:val="clear" w:color="auto" w:fill="CCEEFF"/>
            <w:vAlign w:val="bottom"/>
          </w:tcPr>
          <w:p w14:paraId="380F53BD" w14:textId="77777777" w:rsidR="00D1587D" w:rsidRDefault="00410D07">
            <w:pPr>
              <w:ind w:right="4430"/>
              <w:jc w:val="right"/>
              <w:rPr>
                <w:sz w:val="20"/>
                <w:szCs w:val="20"/>
              </w:rPr>
            </w:pPr>
            <w:r>
              <w:rPr>
                <w:rFonts w:ascii="Arial" w:eastAsia="Arial" w:hAnsi="Arial" w:cs="Arial"/>
                <w:w w:val="84"/>
                <w:sz w:val="18"/>
                <w:szCs w:val="18"/>
              </w:rPr>
              <w:t>2018</w:t>
            </w:r>
          </w:p>
        </w:tc>
        <w:tc>
          <w:tcPr>
            <w:tcW w:w="640" w:type="dxa"/>
            <w:shd w:val="clear" w:color="auto" w:fill="CCEEFF"/>
            <w:vAlign w:val="bottom"/>
          </w:tcPr>
          <w:p w14:paraId="3F0C5752" w14:textId="77777777" w:rsidR="00D1587D" w:rsidRDefault="00410D07">
            <w:pPr>
              <w:jc w:val="center"/>
              <w:rPr>
                <w:sz w:val="20"/>
                <w:szCs w:val="20"/>
              </w:rPr>
            </w:pPr>
            <w:r>
              <w:rPr>
                <w:rFonts w:ascii="Arial" w:eastAsia="Arial" w:hAnsi="Arial" w:cs="Arial"/>
                <w:w w:val="93"/>
                <w:sz w:val="18"/>
                <w:szCs w:val="18"/>
              </w:rPr>
              <w:t>1,230</w:t>
            </w:r>
          </w:p>
        </w:tc>
        <w:tc>
          <w:tcPr>
            <w:tcW w:w="100" w:type="dxa"/>
            <w:shd w:val="clear" w:color="auto" w:fill="CCEEFF"/>
            <w:vAlign w:val="bottom"/>
          </w:tcPr>
          <w:p w14:paraId="577EC093" w14:textId="77777777" w:rsidR="00D1587D" w:rsidRDefault="00D1587D">
            <w:pPr>
              <w:rPr>
                <w:sz w:val="23"/>
                <w:szCs w:val="23"/>
              </w:rPr>
            </w:pPr>
          </w:p>
        </w:tc>
        <w:tc>
          <w:tcPr>
            <w:tcW w:w="480" w:type="dxa"/>
            <w:shd w:val="clear" w:color="auto" w:fill="CCEEFF"/>
            <w:vAlign w:val="bottom"/>
          </w:tcPr>
          <w:p w14:paraId="34AEB4CC" w14:textId="77777777" w:rsidR="00D1587D" w:rsidRDefault="00410D07">
            <w:pPr>
              <w:jc w:val="center"/>
              <w:rPr>
                <w:sz w:val="20"/>
                <w:szCs w:val="20"/>
              </w:rPr>
            </w:pPr>
            <w:r>
              <w:rPr>
                <w:rFonts w:ascii="Arial" w:eastAsia="Arial" w:hAnsi="Arial" w:cs="Arial"/>
                <w:w w:val="89"/>
                <w:sz w:val="18"/>
                <w:szCs w:val="18"/>
              </w:rPr>
              <w:t>26</w:t>
            </w:r>
          </w:p>
        </w:tc>
        <w:tc>
          <w:tcPr>
            <w:tcW w:w="120" w:type="dxa"/>
            <w:shd w:val="clear" w:color="auto" w:fill="CCEEFF"/>
            <w:vAlign w:val="bottom"/>
          </w:tcPr>
          <w:p w14:paraId="2D5AD771" w14:textId="77777777" w:rsidR="00D1587D" w:rsidRDefault="00D1587D">
            <w:pPr>
              <w:rPr>
                <w:sz w:val="23"/>
                <w:szCs w:val="23"/>
              </w:rPr>
            </w:pPr>
          </w:p>
        </w:tc>
        <w:tc>
          <w:tcPr>
            <w:tcW w:w="440" w:type="dxa"/>
            <w:shd w:val="clear" w:color="auto" w:fill="CCEEFF"/>
            <w:vAlign w:val="bottom"/>
          </w:tcPr>
          <w:p w14:paraId="1107E205" w14:textId="77777777" w:rsidR="00D1587D" w:rsidRDefault="00410D07">
            <w:pPr>
              <w:jc w:val="right"/>
              <w:rPr>
                <w:sz w:val="20"/>
                <w:szCs w:val="20"/>
              </w:rPr>
            </w:pPr>
            <w:r>
              <w:rPr>
                <w:rFonts w:ascii="Arial" w:eastAsia="Arial" w:hAnsi="Arial" w:cs="Arial"/>
                <w:sz w:val="18"/>
                <w:szCs w:val="18"/>
              </w:rPr>
              <w:t>(34)</w:t>
            </w:r>
          </w:p>
        </w:tc>
        <w:tc>
          <w:tcPr>
            <w:tcW w:w="100" w:type="dxa"/>
            <w:shd w:val="clear" w:color="auto" w:fill="CCEEFF"/>
            <w:vAlign w:val="bottom"/>
          </w:tcPr>
          <w:p w14:paraId="767696BB" w14:textId="77777777" w:rsidR="00D1587D" w:rsidRDefault="00D1587D">
            <w:pPr>
              <w:rPr>
                <w:sz w:val="23"/>
                <w:szCs w:val="23"/>
              </w:rPr>
            </w:pPr>
          </w:p>
        </w:tc>
        <w:tc>
          <w:tcPr>
            <w:tcW w:w="880" w:type="dxa"/>
            <w:gridSpan w:val="2"/>
            <w:shd w:val="clear" w:color="auto" w:fill="CCEEFF"/>
            <w:vAlign w:val="bottom"/>
          </w:tcPr>
          <w:p w14:paraId="3E8177A0" w14:textId="77777777" w:rsidR="00D1587D" w:rsidRDefault="00410D07">
            <w:pPr>
              <w:ind w:right="380"/>
              <w:jc w:val="right"/>
              <w:rPr>
                <w:sz w:val="20"/>
                <w:szCs w:val="20"/>
              </w:rPr>
            </w:pPr>
            <w:r>
              <w:rPr>
                <w:rFonts w:ascii="Arial" w:eastAsia="Arial" w:hAnsi="Arial" w:cs="Arial"/>
                <w:sz w:val="18"/>
                <w:szCs w:val="18"/>
              </w:rPr>
              <w:t>—</w:t>
            </w:r>
          </w:p>
        </w:tc>
        <w:tc>
          <w:tcPr>
            <w:tcW w:w="780" w:type="dxa"/>
            <w:shd w:val="clear" w:color="auto" w:fill="CCEEFF"/>
            <w:vAlign w:val="bottom"/>
          </w:tcPr>
          <w:p w14:paraId="07D6F9FD" w14:textId="77777777" w:rsidR="00D1587D" w:rsidRDefault="00410D07">
            <w:pPr>
              <w:ind w:right="115"/>
              <w:jc w:val="right"/>
              <w:rPr>
                <w:sz w:val="20"/>
                <w:szCs w:val="20"/>
              </w:rPr>
            </w:pPr>
            <w:r>
              <w:rPr>
                <w:rFonts w:ascii="Arial" w:eastAsia="Arial" w:hAnsi="Arial" w:cs="Arial"/>
                <w:sz w:val="18"/>
                <w:szCs w:val="18"/>
              </w:rPr>
              <w:t>1,222</w:t>
            </w:r>
          </w:p>
        </w:tc>
        <w:tc>
          <w:tcPr>
            <w:tcW w:w="0" w:type="dxa"/>
            <w:vAlign w:val="bottom"/>
          </w:tcPr>
          <w:p w14:paraId="5D410F9D" w14:textId="77777777" w:rsidR="00D1587D" w:rsidRDefault="00D1587D">
            <w:pPr>
              <w:rPr>
                <w:sz w:val="1"/>
                <w:szCs w:val="1"/>
              </w:rPr>
            </w:pPr>
          </w:p>
        </w:tc>
      </w:tr>
      <w:tr w:rsidR="00D1587D" w14:paraId="16570912" w14:textId="77777777">
        <w:trPr>
          <w:trHeight w:val="54"/>
        </w:trPr>
        <w:tc>
          <w:tcPr>
            <w:tcW w:w="4880" w:type="dxa"/>
            <w:shd w:val="clear" w:color="auto" w:fill="CCEEFF"/>
            <w:vAlign w:val="bottom"/>
          </w:tcPr>
          <w:p w14:paraId="4F2EC5A6" w14:textId="77777777" w:rsidR="00D1587D" w:rsidRDefault="00D1587D">
            <w:pPr>
              <w:rPr>
                <w:sz w:val="4"/>
                <w:szCs w:val="4"/>
              </w:rPr>
            </w:pPr>
          </w:p>
        </w:tc>
        <w:tc>
          <w:tcPr>
            <w:tcW w:w="640" w:type="dxa"/>
            <w:shd w:val="clear" w:color="auto" w:fill="CCEEFF"/>
            <w:vAlign w:val="bottom"/>
          </w:tcPr>
          <w:p w14:paraId="50615808" w14:textId="77777777" w:rsidR="00D1587D" w:rsidRDefault="00D1587D">
            <w:pPr>
              <w:rPr>
                <w:sz w:val="4"/>
                <w:szCs w:val="4"/>
              </w:rPr>
            </w:pPr>
          </w:p>
        </w:tc>
        <w:tc>
          <w:tcPr>
            <w:tcW w:w="100" w:type="dxa"/>
            <w:shd w:val="clear" w:color="auto" w:fill="CCEEFF"/>
            <w:vAlign w:val="bottom"/>
          </w:tcPr>
          <w:p w14:paraId="417B05DF" w14:textId="77777777" w:rsidR="00D1587D" w:rsidRDefault="00D1587D">
            <w:pPr>
              <w:rPr>
                <w:sz w:val="4"/>
                <w:szCs w:val="4"/>
              </w:rPr>
            </w:pPr>
          </w:p>
        </w:tc>
        <w:tc>
          <w:tcPr>
            <w:tcW w:w="480" w:type="dxa"/>
            <w:shd w:val="clear" w:color="auto" w:fill="CCEEFF"/>
            <w:vAlign w:val="bottom"/>
          </w:tcPr>
          <w:p w14:paraId="279D031F" w14:textId="77777777" w:rsidR="00D1587D" w:rsidRDefault="00D1587D">
            <w:pPr>
              <w:rPr>
                <w:sz w:val="4"/>
                <w:szCs w:val="4"/>
              </w:rPr>
            </w:pPr>
          </w:p>
        </w:tc>
        <w:tc>
          <w:tcPr>
            <w:tcW w:w="120" w:type="dxa"/>
            <w:shd w:val="clear" w:color="auto" w:fill="CCEEFF"/>
            <w:vAlign w:val="bottom"/>
          </w:tcPr>
          <w:p w14:paraId="4D8D7E33" w14:textId="77777777" w:rsidR="00D1587D" w:rsidRDefault="00D1587D">
            <w:pPr>
              <w:rPr>
                <w:sz w:val="4"/>
                <w:szCs w:val="4"/>
              </w:rPr>
            </w:pPr>
          </w:p>
        </w:tc>
        <w:tc>
          <w:tcPr>
            <w:tcW w:w="440" w:type="dxa"/>
            <w:shd w:val="clear" w:color="auto" w:fill="CCEEFF"/>
            <w:vAlign w:val="bottom"/>
          </w:tcPr>
          <w:p w14:paraId="482F3E5F" w14:textId="77777777" w:rsidR="00D1587D" w:rsidRDefault="00D1587D">
            <w:pPr>
              <w:rPr>
                <w:sz w:val="4"/>
                <w:szCs w:val="4"/>
              </w:rPr>
            </w:pPr>
          </w:p>
        </w:tc>
        <w:tc>
          <w:tcPr>
            <w:tcW w:w="100" w:type="dxa"/>
            <w:shd w:val="clear" w:color="auto" w:fill="CCEEFF"/>
            <w:vAlign w:val="bottom"/>
          </w:tcPr>
          <w:p w14:paraId="5778A62A" w14:textId="77777777" w:rsidR="00D1587D" w:rsidRDefault="00D1587D">
            <w:pPr>
              <w:rPr>
                <w:sz w:val="4"/>
                <w:szCs w:val="4"/>
              </w:rPr>
            </w:pPr>
          </w:p>
        </w:tc>
        <w:tc>
          <w:tcPr>
            <w:tcW w:w="760" w:type="dxa"/>
            <w:shd w:val="clear" w:color="auto" w:fill="CCEEFF"/>
            <w:vAlign w:val="bottom"/>
          </w:tcPr>
          <w:p w14:paraId="4A8B896D" w14:textId="77777777" w:rsidR="00D1587D" w:rsidRDefault="00D1587D">
            <w:pPr>
              <w:rPr>
                <w:sz w:val="4"/>
                <w:szCs w:val="4"/>
              </w:rPr>
            </w:pPr>
          </w:p>
        </w:tc>
        <w:tc>
          <w:tcPr>
            <w:tcW w:w="120" w:type="dxa"/>
            <w:shd w:val="clear" w:color="auto" w:fill="CCEEFF"/>
            <w:vAlign w:val="bottom"/>
          </w:tcPr>
          <w:p w14:paraId="6623F136" w14:textId="77777777" w:rsidR="00D1587D" w:rsidRDefault="00D1587D">
            <w:pPr>
              <w:rPr>
                <w:sz w:val="4"/>
                <w:szCs w:val="4"/>
              </w:rPr>
            </w:pPr>
          </w:p>
        </w:tc>
        <w:tc>
          <w:tcPr>
            <w:tcW w:w="780" w:type="dxa"/>
            <w:shd w:val="clear" w:color="auto" w:fill="CCEEFF"/>
            <w:vAlign w:val="bottom"/>
          </w:tcPr>
          <w:p w14:paraId="0BE9A3ED" w14:textId="77777777" w:rsidR="00D1587D" w:rsidRDefault="00D1587D">
            <w:pPr>
              <w:rPr>
                <w:sz w:val="4"/>
                <w:szCs w:val="4"/>
              </w:rPr>
            </w:pPr>
          </w:p>
        </w:tc>
        <w:tc>
          <w:tcPr>
            <w:tcW w:w="0" w:type="dxa"/>
            <w:vAlign w:val="bottom"/>
          </w:tcPr>
          <w:p w14:paraId="1D425F84" w14:textId="77777777" w:rsidR="00D1587D" w:rsidRDefault="00D1587D">
            <w:pPr>
              <w:rPr>
                <w:sz w:val="1"/>
                <w:szCs w:val="1"/>
              </w:rPr>
            </w:pPr>
          </w:p>
        </w:tc>
      </w:tr>
    </w:tbl>
    <w:p w14:paraId="2403C145" w14:textId="77777777" w:rsidR="00D1587D" w:rsidRDefault="00410D07">
      <w:pPr>
        <w:spacing w:line="20" w:lineRule="exact"/>
        <w:rPr>
          <w:sz w:val="20"/>
          <w:szCs w:val="20"/>
        </w:rPr>
      </w:pPr>
      <w:r>
        <w:rPr>
          <w:noProof/>
          <w:sz w:val="20"/>
          <w:szCs w:val="20"/>
        </w:rPr>
        <w:drawing>
          <wp:anchor distT="0" distB="0" distL="114300" distR="114300" simplePos="0" relativeHeight="251797504" behindDoc="1" locked="0" layoutInCell="0" allowOverlap="1" wp14:anchorId="2A5E021D" wp14:editId="7383DA50">
            <wp:simplePos x="0" y="0"/>
            <wp:positionH relativeFrom="column">
              <wp:posOffset>5603875</wp:posOffset>
            </wp:positionH>
            <wp:positionV relativeFrom="paragraph">
              <wp:posOffset>-633730</wp:posOffset>
            </wp:positionV>
            <wp:extent cx="68580" cy="8255"/>
            <wp:effectExtent l="0" t="0" r="0" b="0"/>
            <wp:wrapNone/>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798528" behindDoc="1" locked="0" layoutInCell="0" allowOverlap="1" wp14:anchorId="245B2FB7" wp14:editId="594254AC">
            <wp:simplePos x="0" y="0"/>
            <wp:positionH relativeFrom="column">
              <wp:posOffset>5055235</wp:posOffset>
            </wp:positionH>
            <wp:positionV relativeFrom="paragraph">
              <wp:posOffset>-633730</wp:posOffset>
            </wp:positionV>
            <wp:extent cx="68580" cy="8255"/>
            <wp:effectExtent l="0" t="0" r="0" b="0"/>
            <wp:wrapNone/>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799552" behindDoc="1" locked="0" layoutInCell="0" allowOverlap="1" wp14:anchorId="60B7387A" wp14:editId="6FFE9308">
            <wp:simplePos x="0" y="0"/>
            <wp:positionH relativeFrom="column">
              <wp:posOffset>4703445</wp:posOffset>
            </wp:positionH>
            <wp:positionV relativeFrom="paragraph">
              <wp:posOffset>-633730</wp:posOffset>
            </wp:positionV>
            <wp:extent cx="68580" cy="8255"/>
            <wp:effectExtent l="0" t="0" r="0" b="0"/>
            <wp:wrapNone/>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800576" behindDoc="1" locked="0" layoutInCell="0" allowOverlap="1" wp14:anchorId="145B9DA2" wp14:editId="19BB0FEB">
            <wp:simplePos x="0" y="0"/>
            <wp:positionH relativeFrom="column">
              <wp:posOffset>4326255</wp:posOffset>
            </wp:positionH>
            <wp:positionV relativeFrom="paragraph">
              <wp:posOffset>-633730</wp:posOffset>
            </wp:positionV>
            <wp:extent cx="68580" cy="8255"/>
            <wp:effectExtent l="0" t="0" r="0" b="0"/>
            <wp:wrapNone/>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801600" behindDoc="1" locked="0" layoutInCell="0" allowOverlap="1" wp14:anchorId="385E6976" wp14:editId="1900AB76">
            <wp:simplePos x="0" y="0"/>
            <wp:positionH relativeFrom="column">
              <wp:posOffset>3889375</wp:posOffset>
            </wp:positionH>
            <wp:positionV relativeFrom="paragraph">
              <wp:posOffset>-633730</wp:posOffset>
            </wp:positionV>
            <wp:extent cx="34290" cy="8255"/>
            <wp:effectExtent l="0" t="0" r="0" b="0"/>
            <wp:wrapNone/>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02624" behindDoc="1" locked="0" layoutInCell="0" allowOverlap="1" wp14:anchorId="49BE8E4E" wp14:editId="2E662845">
            <wp:simplePos x="0" y="0"/>
            <wp:positionH relativeFrom="column">
              <wp:posOffset>820420</wp:posOffset>
            </wp:positionH>
            <wp:positionV relativeFrom="paragraph">
              <wp:posOffset>154305</wp:posOffset>
            </wp:positionV>
            <wp:extent cx="822960" cy="8255"/>
            <wp:effectExtent l="0" t="0" r="0" b="0"/>
            <wp:wrapNone/>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3F1A43B7" w14:textId="77777777" w:rsidR="00D1587D" w:rsidRDefault="00D1587D">
      <w:pPr>
        <w:spacing w:line="272" w:lineRule="exact"/>
        <w:rPr>
          <w:sz w:val="20"/>
          <w:szCs w:val="20"/>
        </w:rPr>
      </w:pPr>
    </w:p>
    <w:p w14:paraId="6DA4A08A" w14:textId="77777777" w:rsidR="00D1587D" w:rsidRDefault="00410D07" w:rsidP="00410D07">
      <w:pPr>
        <w:numPr>
          <w:ilvl w:val="0"/>
          <w:numId w:val="302"/>
        </w:numPr>
        <w:tabs>
          <w:tab w:val="left" w:pos="1640"/>
        </w:tabs>
        <w:ind w:left="1640" w:hanging="348"/>
        <w:rPr>
          <w:rFonts w:ascii="Arial" w:eastAsia="Arial" w:hAnsi="Arial" w:cs="Arial"/>
          <w:sz w:val="14"/>
          <w:szCs w:val="14"/>
        </w:rPr>
      </w:pPr>
      <w:r>
        <w:rPr>
          <w:rFonts w:ascii="Arial" w:eastAsia="Arial" w:hAnsi="Arial" w:cs="Arial"/>
          <w:sz w:val="14"/>
          <w:szCs w:val="14"/>
        </w:rPr>
        <w:t>Relates to the U.K. joint venture with Next PLC.</w:t>
      </w:r>
    </w:p>
    <w:p w14:paraId="5FAFBEE6" w14:textId="77777777" w:rsidR="00D1587D" w:rsidRDefault="00D1587D">
      <w:pPr>
        <w:spacing w:line="343" w:lineRule="exact"/>
        <w:rPr>
          <w:sz w:val="20"/>
          <w:szCs w:val="20"/>
        </w:rPr>
      </w:pPr>
    </w:p>
    <w:p w14:paraId="743B65A1" w14:textId="77777777" w:rsidR="00D1587D" w:rsidRDefault="00410D07">
      <w:pPr>
        <w:ind w:left="1300"/>
        <w:rPr>
          <w:sz w:val="20"/>
          <w:szCs w:val="20"/>
        </w:rPr>
      </w:pPr>
      <w:r>
        <w:rPr>
          <w:rFonts w:ascii="Arial" w:eastAsia="Arial" w:hAnsi="Arial" w:cs="Arial"/>
          <w:b/>
          <w:bCs/>
          <w:i/>
          <w:iCs/>
          <w:sz w:val="18"/>
          <w:szCs w:val="18"/>
        </w:rPr>
        <w:t>Franchise, License and Wholesale Arrangements</w:t>
      </w:r>
    </w:p>
    <w:p w14:paraId="25B6B6CB" w14:textId="77777777" w:rsidR="00D1587D" w:rsidRDefault="00D1587D">
      <w:pPr>
        <w:spacing w:line="117" w:lineRule="exact"/>
        <w:rPr>
          <w:sz w:val="20"/>
          <w:szCs w:val="20"/>
        </w:rPr>
      </w:pPr>
    </w:p>
    <w:p w14:paraId="6D8F5366" w14:textId="77777777" w:rsidR="00D1587D" w:rsidRDefault="00410D07">
      <w:pPr>
        <w:spacing w:line="311" w:lineRule="auto"/>
        <w:ind w:left="1300" w:right="1760" w:firstLine="360"/>
        <w:jc w:val="both"/>
        <w:rPr>
          <w:sz w:val="20"/>
          <w:szCs w:val="20"/>
        </w:rPr>
      </w:pPr>
      <w:r>
        <w:rPr>
          <w:rFonts w:ascii="Arial" w:eastAsia="Arial" w:hAnsi="Arial" w:cs="Arial"/>
          <w:sz w:val="16"/>
          <w:szCs w:val="16"/>
        </w:rPr>
        <w:t xml:space="preserve">In addition to our </w:t>
      </w:r>
      <w:r>
        <w:rPr>
          <w:rFonts w:ascii="Arial" w:eastAsia="Arial" w:hAnsi="Arial" w:cs="Arial"/>
          <w:sz w:val="16"/>
          <w:szCs w:val="16"/>
        </w:rPr>
        <w:t>company-operated stores, our products are sold at hundreds of partner locations and on partner websites in more than 70 countries. We are focused on ensuring our partners have the commitment and capability to provide a quality customer experience and to gr</w:t>
      </w:r>
      <w:r>
        <w:rPr>
          <w:rFonts w:ascii="Arial" w:eastAsia="Arial" w:hAnsi="Arial" w:cs="Arial"/>
          <w:sz w:val="16"/>
          <w:szCs w:val="16"/>
        </w:rPr>
        <w:t>ow our brands internationally.</w:t>
      </w:r>
    </w:p>
    <w:p w14:paraId="2E7F5F1A" w14:textId="77777777" w:rsidR="00D1587D" w:rsidRDefault="00D1587D">
      <w:pPr>
        <w:spacing w:line="41" w:lineRule="exact"/>
        <w:rPr>
          <w:sz w:val="20"/>
          <w:szCs w:val="20"/>
        </w:rPr>
      </w:pPr>
    </w:p>
    <w:p w14:paraId="67702369" w14:textId="77777777" w:rsidR="00D1587D" w:rsidRDefault="00410D07">
      <w:pPr>
        <w:spacing w:line="290" w:lineRule="auto"/>
        <w:ind w:left="1300" w:right="1340" w:firstLine="360"/>
        <w:rPr>
          <w:sz w:val="20"/>
          <w:szCs w:val="20"/>
        </w:rPr>
      </w:pPr>
      <w:r>
        <w:rPr>
          <w:rFonts w:ascii="Arial" w:eastAsia="Arial" w:hAnsi="Arial" w:cs="Arial"/>
          <w:sz w:val="16"/>
          <w:szCs w:val="16"/>
        </w:rPr>
        <w:t>Under the terms of our franchise, license and wholesale arrangements, we provide our partners the rights to sell our products in various geographic regions along with operational policies and standards governing such matters</w:t>
      </w:r>
      <w:r>
        <w:rPr>
          <w:rFonts w:ascii="Arial" w:eastAsia="Arial" w:hAnsi="Arial" w:cs="Arial"/>
          <w:sz w:val="16"/>
          <w:szCs w:val="16"/>
        </w:rPr>
        <w:t xml:space="preserve"> as the supply and sale of our products, in stores and online, marketing and store training. Our partners are generally responsible for providing the capital necessary to lease retail space, build-out stores and/or develop websites, fund the operations of </w:t>
      </w:r>
      <w:r>
        <w:rPr>
          <w:rFonts w:ascii="Arial" w:eastAsia="Arial" w:hAnsi="Arial" w:cs="Arial"/>
          <w:sz w:val="16"/>
          <w:szCs w:val="16"/>
        </w:rPr>
        <w:t>the business, and over the longer-term, reinvest in the business. Our partners are also responsible for the day-to-day operations of the business, and must do so in accordance with our policies and standards which are focused on ensuring a consistent custo</w:t>
      </w:r>
      <w:r>
        <w:rPr>
          <w:rFonts w:ascii="Arial" w:eastAsia="Arial" w:hAnsi="Arial" w:cs="Arial"/>
          <w:sz w:val="16"/>
          <w:szCs w:val="16"/>
        </w:rPr>
        <w:t>mer experience around the world. Such arrangements can typically be terminated, upon delivery of notice, in the event of any breach of representations or warranties.</w:t>
      </w:r>
    </w:p>
    <w:p w14:paraId="540B7179" w14:textId="77777777" w:rsidR="00D1587D" w:rsidRDefault="00D1587D">
      <w:pPr>
        <w:spacing w:line="57" w:lineRule="exact"/>
        <w:rPr>
          <w:sz w:val="20"/>
          <w:szCs w:val="20"/>
        </w:rPr>
      </w:pPr>
    </w:p>
    <w:p w14:paraId="560D123C" w14:textId="77777777" w:rsidR="00D1587D" w:rsidRDefault="00410D07">
      <w:pPr>
        <w:spacing w:line="296" w:lineRule="auto"/>
        <w:ind w:left="1300" w:right="1320" w:firstLine="360"/>
        <w:rPr>
          <w:sz w:val="20"/>
          <w:szCs w:val="20"/>
        </w:rPr>
      </w:pPr>
      <w:r>
        <w:rPr>
          <w:rFonts w:ascii="Arial" w:eastAsia="Arial" w:hAnsi="Arial" w:cs="Arial"/>
          <w:sz w:val="16"/>
          <w:szCs w:val="16"/>
        </w:rPr>
        <w:t>Our franchise and license arrangements with our partners typically have an initial term o</w:t>
      </w:r>
      <w:r>
        <w:rPr>
          <w:rFonts w:ascii="Arial" w:eastAsia="Arial" w:hAnsi="Arial" w:cs="Arial"/>
          <w:sz w:val="16"/>
          <w:szCs w:val="16"/>
        </w:rPr>
        <w:t>f five to ten years, with an option to renew, subject to customary conditions. Revenue recognized under franchise and license arrangements generally consists of royalties earned and recognized upon sale of merchandise by franchise and license partners to r</w:t>
      </w:r>
      <w:r>
        <w:rPr>
          <w:rFonts w:ascii="Arial" w:eastAsia="Arial" w:hAnsi="Arial" w:cs="Arial"/>
          <w:sz w:val="16"/>
          <w:szCs w:val="16"/>
        </w:rPr>
        <w:t>etail customers, typically based on a percentage of sales. Royalty rates, which generally range from low double digits to mid-teens, vary based on store format, local business conditions and various other factors.</w:t>
      </w:r>
    </w:p>
    <w:p w14:paraId="4E817B7C" w14:textId="77777777" w:rsidR="00D1587D" w:rsidRDefault="00D1587D">
      <w:pPr>
        <w:spacing w:line="53" w:lineRule="exact"/>
        <w:rPr>
          <w:sz w:val="20"/>
          <w:szCs w:val="20"/>
        </w:rPr>
      </w:pPr>
    </w:p>
    <w:p w14:paraId="586B2F45" w14:textId="77777777" w:rsidR="00D1587D" w:rsidRDefault="00410D07">
      <w:pPr>
        <w:spacing w:line="259" w:lineRule="auto"/>
        <w:ind w:left="1300" w:right="1360" w:firstLine="360"/>
        <w:rPr>
          <w:sz w:val="20"/>
          <w:szCs w:val="20"/>
        </w:rPr>
      </w:pPr>
      <w:r>
        <w:rPr>
          <w:rFonts w:ascii="Arial" w:eastAsia="Arial" w:hAnsi="Arial" w:cs="Arial"/>
          <w:sz w:val="18"/>
          <w:szCs w:val="18"/>
        </w:rPr>
        <w:t>Our wholesale arrangements with our partn</w:t>
      </w:r>
      <w:r>
        <w:rPr>
          <w:rFonts w:ascii="Arial" w:eastAsia="Arial" w:hAnsi="Arial" w:cs="Arial"/>
          <w:sz w:val="18"/>
          <w:szCs w:val="18"/>
        </w:rPr>
        <w:t>ers typically have an initial term of five years, with an option to renew, subject to customary conditions. Wholesale prices, which vary by product category, are generally based on a discount to the suggested retail price. Revenue is generally recognized u</w:t>
      </w:r>
      <w:r>
        <w:rPr>
          <w:rFonts w:ascii="Arial" w:eastAsia="Arial" w:hAnsi="Arial" w:cs="Arial"/>
          <w:sz w:val="18"/>
          <w:szCs w:val="18"/>
        </w:rPr>
        <w:t>nder wholesale arrangements at the time the title passes to the partner.</w:t>
      </w:r>
    </w:p>
    <w:p w14:paraId="23014123" w14:textId="77777777" w:rsidR="00D1587D" w:rsidRDefault="00D1587D">
      <w:pPr>
        <w:spacing w:line="79" w:lineRule="exact"/>
        <w:rPr>
          <w:sz w:val="20"/>
          <w:szCs w:val="20"/>
        </w:rPr>
      </w:pPr>
    </w:p>
    <w:p w14:paraId="022C91BE" w14:textId="77777777" w:rsidR="00D1587D" w:rsidRDefault="00410D07">
      <w:pPr>
        <w:ind w:left="1660"/>
        <w:rPr>
          <w:sz w:val="20"/>
          <w:szCs w:val="20"/>
        </w:rPr>
      </w:pPr>
      <w:r>
        <w:rPr>
          <w:rFonts w:ascii="Arial" w:eastAsia="Arial" w:hAnsi="Arial" w:cs="Arial"/>
          <w:sz w:val="18"/>
          <w:szCs w:val="18"/>
        </w:rPr>
        <w:t>The following table provides the number of our international stores operated by our partners as of May 1, 2021,</w:t>
      </w:r>
    </w:p>
    <w:p w14:paraId="02DFD814" w14:textId="77777777" w:rsidR="00D1587D" w:rsidRDefault="00D1587D">
      <w:pPr>
        <w:spacing w:line="23" w:lineRule="exact"/>
        <w:rPr>
          <w:sz w:val="20"/>
          <w:szCs w:val="20"/>
        </w:rPr>
      </w:pPr>
    </w:p>
    <w:p w14:paraId="607137A1" w14:textId="77777777" w:rsidR="00D1587D" w:rsidRDefault="00410D07">
      <w:pPr>
        <w:ind w:left="1300"/>
        <w:rPr>
          <w:sz w:val="20"/>
          <w:szCs w:val="20"/>
        </w:rPr>
      </w:pPr>
      <w:r>
        <w:rPr>
          <w:rFonts w:ascii="Arial" w:eastAsia="Arial" w:hAnsi="Arial" w:cs="Arial"/>
          <w:sz w:val="18"/>
          <w:szCs w:val="18"/>
        </w:rPr>
        <w:t>January 30, 2021 and February 1, 2020:</w:t>
      </w:r>
    </w:p>
    <w:p w14:paraId="72700D72" w14:textId="77777777" w:rsidR="00D1587D" w:rsidRDefault="00D1587D">
      <w:pPr>
        <w:spacing w:line="14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00"/>
        <w:gridCol w:w="2920"/>
        <w:gridCol w:w="2860"/>
        <w:gridCol w:w="160"/>
        <w:gridCol w:w="420"/>
        <w:gridCol w:w="300"/>
        <w:gridCol w:w="720"/>
        <w:gridCol w:w="300"/>
        <w:gridCol w:w="740"/>
        <w:gridCol w:w="1300"/>
      </w:tblGrid>
      <w:tr w:rsidR="00D1587D" w14:paraId="6710BAD3" w14:textId="77777777">
        <w:trPr>
          <w:trHeight w:val="161"/>
        </w:trPr>
        <w:tc>
          <w:tcPr>
            <w:tcW w:w="1300" w:type="dxa"/>
            <w:vAlign w:val="bottom"/>
          </w:tcPr>
          <w:p w14:paraId="4FC0D18A" w14:textId="77777777" w:rsidR="00D1587D" w:rsidRDefault="00D1587D">
            <w:pPr>
              <w:rPr>
                <w:sz w:val="14"/>
                <w:szCs w:val="14"/>
              </w:rPr>
            </w:pPr>
          </w:p>
        </w:tc>
        <w:tc>
          <w:tcPr>
            <w:tcW w:w="2920" w:type="dxa"/>
            <w:vAlign w:val="bottom"/>
          </w:tcPr>
          <w:p w14:paraId="3333702D" w14:textId="77777777" w:rsidR="00D1587D" w:rsidRDefault="00D1587D">
            <w:pPr>
              <w:rPr>
                <w:sz w:val="14"/>
                <w:szCs w:val="14"/>
              </w:rPr>
            </w:pPr>
          </w:p>
        </w:tc>
        <w:tc>
          <w:tcPr>
            <w:tcW w:w="2860" w:type="dxa"/>
            <w:vAlign w:val="bottom"/>
          </w:tcPr>
          <w:p w14:paraId="57634E68" w14:textId="77777777" w:rsidR="00D1587D" w:rsidRDefault="00D1587D">
            <w:pPr>
              <w:rPr>
                <w:sz w:val="14"/>
                <w:szCs w:val="14"/>
              </w:rPr>
            </w:pPr>
          </w:p>
        </w:tc>
        <w:tc>
          <w:tcPr>
            <w:tcW w:w="160" w:type="dxa"/>
            <w:vAlign w:val="bottom"/>
          </w:tcPr>
          <w:p w14:paraId="17C3C061" w14:textId="77777777" w:rsidR="00D1587D" w:rsidRDefault="00D1587D">
            <w:pPr>
              <w:rPr>
                <w:sz w:val="14"/>
                <w:szCs w:val="14"/>
              </w:rPr>
            </w:pPr>
          </w:p>
        </w:tc>
        <w:tc>
          <w:tcPr>
            <w:tcW w:w="720" w:type="dxa"/>
            <w:gridSpan w:val="2"/>
            <w:vAlign w:val="bottom"/>
          </w:tcPr>
          <w:p w14:paraId="4BB7FF7C" w14:textId="77777777" w:rsidR="00D1587D" w:rsidRDefault="00410D07">
            <w:pPr>
              <w:rPr>
                <w:sz w:val="20"/>
                <w:szCs w:val="20"/>
              </w:rPr>
            </w:pPr>
            <w:r>
              <w:rPr>
                <w:rFonts w:ascii="Arial" w:eastAsia="Arial" w:hAnsi="Arial" w:cs="Arial"/>
                <w:b/>
                <w:bCs/>
                <w:sz w:val="14"/>
                <w:szCs w:val="14"/>
              </w:rPr>
              <w:t>May 1,</w:t>
            </w:r>
          </w:p>
        </w:tc>
        <w:tc>
          <w:tcPr>
            <w:tcW w:w="1020" w:type="dxa"/>
            <w:gridSpan w:val="2"/>
            <w:vAlign w:val="bottom"/>
          </w:tcPr>
          <w:p w14:paraId="6CD1255D" w14:textId="77777777" w:rsidR="00D1587D" w:rsidRDefault="00410D07">
            <w:pPr>
              <w:rPr>
                <w:sz w:val="20"/>
                <w:szCs w:val="20"/>
              </w:rPr>
            </w:pPr>
            <w:r>
              <w:rPr>
                <w:rFonts w:ascii="Arial" w:eastAsia="Arial" w:hAnsi="Arial" w:cs="Arial"/>
                <w:b/>
                <w:bCs/>
                <w:sz w:val="14"/>
                <w:szCs w:val="14"/>
              </w:rPr>
              <w:t>January 30,</w:t>
            </w:r>
          </w:p>
        </w:tc>
        <w:tc>
          <w:tcPr>
            <w:tcW w:w="2040" w:type="dxa"/>
            <w:gridSpan w:val="2"/>
            <w:vAlign w:val="bottom"/>
          </w:tcPr>
          <w:p w14:paraId="2E936183" w14:textId="77777777" w:rsidR="00D1587D" w:rsidRDefault="00410D07">
            <w:pPr>
              <w:rPr>
                <w:sz w:val="20"/>
                <w:szCs w:val="20"/>
              </w:rPr>
            </w:pPr>
            <w:r>
              <w:rPr>
                <w:rFonts w:ascii="Arial" w:eastAsia="Arial" w:hAnsi="Arial" w:cs="Arial"/>
                <w:b/>
                <w:bCs/>
                <w:sz w:val="14"/>
                <w:szCs w:val="14"/>
              </w:rPr>
              <w:t>February 1,</w:t>
            </w:r>
          </w:p>
        </w:tc>
      </w:tr>
      <w:tr w:rsidR="00D1587D" w14:paraId="2E1E18F8" w14:textId="77777777">
        <w:trPr>
          <w:trHeight w:val="186"/>
        </w:trPr>
        <w:tc>
          <w:tcPr>
            <w:tcW w:w="1300" w:type="dxa"/>
            <w:vAlign w:val="bottom"/>
          </w:tcPr>
          <w:p w14:paraId="07DC2180" w14:textId="77777777" w:rsidR="00D1587D" w:rsidRDefault="00D1587D">
            <w:pPr>
              <w:rPr>
                <w:sz w:val="16"/>
                <w:szCs w:val="16"/>
              </w:rPr>
            </w:pPr>
          </w:p>
        </w:tc>
        <w:tc>
          <w:tcPr>
            <w:tcW w:w="2920" w:type="dxa"/>
            <w:vAlign w:val="bottom"/>
          </w:tcPr>
          <w:p w14:paraId="22FDCDBF" w14:textId="77777777" w:rsidR="00D1587D" w:rsidRDefault="00D1587D">
            <w:pPr>
              <w:rPr>
                <w:sz w:val="16"/>
                <w:szCs w:val="16"/>
              </w:rPr>
            </w:pPr>
          </w:p>
        </w:tc>
        <w:tc>
          <w:tcPr>
            <w:tcW w:w="3440" w:type="dxa"/>
            <w:gridSpan w:val="3"/>
            <w:vAlign w:val="bottom"/>
          </w:tcPr>
          <w:p w14:paraId="7DCACC3C" w14:textId="77777777" w:rsidR="00D1587D" w:rsidRDefault="00410D07">
            <w:pPr>
              <w:ind w:left="2934"/>
              <w:jc w:val="center"/>
              <w:rPr>
                <w:sz w:val="20"/>
                <w:szCs w:val="20"/>
              </w:rPr>
            </w:pPr>
            <w:r>
              <w:rPr>
                <w:rFonts w:ascii="Arial" w:eastAsia="Arial" w:hAnsi="Arial" w:cs="Arial"/>
                <w:b/>
                <w:bCs/>
                <w:w w:val="96"/>
                <w:sz w:val="14"/>
                <w:szCs w:val="14"/>
              </w:rPr>
              <w:t>2021</w:t>
            </w:r>
          </w:p>
        </w:tc>
        <w:tc>
          <w:tcPr>
            <w:tcW w:w="300" w:type="dxa"/>
            <w:vAlign w:val="bottom"/>
          </w:tcPr>
          <w:p w14:paraId="680A0E4F" w14:textId="77777777" w:rsidR="00D1587D" w:rsidRDefault="00D1587D">
            <w:pPr>
              <w:rPr>
                <w:sz w:val="16"/>
                <w:szCs w:val="16"/>
              </w:rPr>
            </w:pPr>
          </w:p>
        </w:tc>
        <w:tc>
          <w:tcPr>
            <w:tcW w:w="720" w:type="dxa"/>
            <w:vAlign w:val="bottom"/>
          </w:tcPr>
          <w:p w14:paraId="64D3D7EB" w14:textId="77777777" w:rsidR="00D1587D" w:rsidRDefault="00410D07">
            <w:pPr>
              <w:ind w:right="137"/>
              <w:jc w:val="right"/>
              <w:rPr>
                <w:sz w:val="20"/>
                <w:szCs w:val="20"/>
              </w:rPr>
            </w:pPr>
            <w:r>
              <w:rPr>
                <w:rFonts w:ascii="Arial" w:eastAsia="Arial" w:hAnsi="Arial" w:cs="Arial"/>
                <w:b/>
                <w:bCs/>
                <w:sz w:val="14"/>
                <w:szCs w:val="14"/>
              </w:rPr>
              <w:t>2021</w:t>
            </w:r>
          </w:p>
        </w:tc>
        <w:tc>
          <w:tcPr>
            <w:tcW w:w="300" w:type="dxa"/>
            <w:vAlign w:val="bottom"/>
          </w:tcPr>
          <w:p w14:paraId="2E0F4FCD" w14:textId="77777777" w:rsidR="00D1587D" w:rsidRDefault="00D1587D">
            <w:pPr>
              <w:rPr>
                <w:sz w:val="16"/>
                <w:szCs w:val="16"/>
              </w:rPr>
            </w:pPr>
          </w:p>
        </w:tc>
        <w:tc>
          <w:tcPr>
            <w:tcW w:w="740" w:type="dxa"/>
            <w:vAlign w:val="bottom"/>
          </w:tcPr>
          <w:p w14:paraId="1C7547DD" w14:textId="77777777" w:rsidR="00D1587D" w:rsidRDefault="00410D07">
            <w:pPr>
              <w:ind w:right="137"/>
              <w:jc w:val="right"/>
              <w:rPr>
                <w:sz w:val="20"/>
                <w:szCs w:val="20"/>
              </w:rPr>
            </w:pPr>
            <w:r>
              <w:rPr>
                <w:rFonts w:ascii="Arial" w:eastAsia="Arial" w:hAnsi="Arial" w:cs="Arial"/>
                <w:b/>
                <w:bCs/>
                <w:sz w:val="14"/>
                <w:szCs w:val="14"/>
              </w:rPr>
              <w:t>2020</w:t>
            </w:r>
          </w:p>
        </w:tc>
        <w:tc>
          <w:tcPr>
            <w:tcW w:w="1300" w:type="dxa"/>
            <w:vAlign w:val="bottom"/>
          </w:tcPr>
          <w:p w14:paraId="5A529B56" w14:textId="77777777" w:rsidR="00D1587D" w:rsidRDefault="00D1587D">
            <w:pPr>
              <w:rPr>
                <w:sz w:val="16"/>
                <w:szCs w:val="16"/>
              </w:rPr>
            </w:pPr>
          </w:p>
        </w:tc>
      </w:tr>
      <w:tr w:rsidR="00D1587D" w14:paraId="2D6E73F5" w14:textId="77777777">
        <w:trPr>
          <w:trHeight w:val="53"/>
        </w:trPr>
        <w:tc>
          <w:tcPr>
            <w:tcW w:w="1300" w:type="dxa"/>
            <w:vAlign w:val="bottom"/>
          </w:tcPr>
          <w:p w14:paraId="53B0BD0E" w14:textId="77777777" w:rsidR="00D1587D" w:rsidRDefault="00D1587D">
            <w:pPr>
              <w:rPr>
                <w:sz w:val="4"/>
                <w:szCs w:val="4"/>
              </w:rPr>
            </w:pPr>
          </w:p>
        </w:tc>
        <w:tc>
          <w:tcPr>
            <w:tcW w:w="2920" w:type="dxa"/>
            <w:tcBorders>
              <w:bottom w:val="single" w:sz="8" w:space="0" w:color="CCEEFF"/>
            </w:tcBorders>
            <w:vAlign w:val="bottom"/>
          </w:tcPr>
          <w:p w14:paraId="3E51AF8E" w14:textId="77777777" w:rsidR="00D1587D" w:rsidRDefault="00D1587D">
            <w:pPr>
              <w:rPr>
                <w:sz w:val="4"/>
                <w:szCs w:val="4"/>
              </w:rPr>
            </w:pPr>
          </w:p>
        </w:tc>
        <w:tc>
          <w:tcPr>
            <w:tcW w:w="2860" w:type="dxa"/>
            <w:tcBorders>
              <w:bottom w:val="single" w:sz="8" w:space="0" w:color="CCEEFF"/>
            </w:tcBorders>
            <w:vAlign w:val="bottom"/>
          </w:tcPr>
          <w:p w14:paraId="5EC8C2E2" w14:textId="77777777" w:rsidR="00D1587D" w:rsidRDefault="00D1587D">
            <w:pPr>
              <w:rPr>
                <w:sz w:val="4"/>
                <w:szCs w:val="4"/>
              </w:rPr>
            </w:pPr>
          </w:p>
        </w:tc>
        <w:tc>
          <w:tcPr>
            <w:tcW w:w="160" w:type="dxa"/>
            <w:tcBorders>
              <w:bottom w:val="single" w:sz="8" w:space="0" w:color="CCEEFF"/>
            </w:tcBorders>
            <w:vAlign w:val="bottom"/>
          </w:tcPr>
          <w:p w14:paraId="56E9524F" w14:textId="77777777" w:rsidR="00D1587D" w:rsidRDefault="00D1587D">
            <w:pPr>
              <w:rPr>
                <w:sz w:val="4"/>
                <w:szCs w:val="4"/>
              </w:rPr>
            </w:pPr>
          </w:p>
        </w:tc>
        <w:tc>
          <w:tcPr>
            <w:tcW w:w="420" w:type="dxa"/>
            <w:tcBorders>
              <w:bottom w:val="single" w:sz="8" w:space="0" w:color="auto"/>
            </w:tcBorders>
            <w:vAlign w:val="bottom"/>
          </w:tcPr>
          <w:p w14:paraId="5007845A" w14:textId="77777777" w:rsidR="00D1587D" w:rsidRDefault="00D1587D">
            <w:pPr>
              <w:rPr>
                <w:sz w:val="4"/>
                <w:szCs w:val="4"/>
              </w:rPr>
            </w:pPr>
          </w:p>
        </w:tc>
        <w:tc>
          <w:tcPr>
            <w:tcW w:w="300" w:type="dxa"/>
            <w:tcBorders>
              <w:bottom w:val="single" w:sz="8" w:space="0" w:color="CCEEFF"/>
            </w:tcBorders>
            <w:vAlign w:val="bottom"/>
          </w:tcPr>
          <w:p w14:paraId="4B6D60DD" w14:textId="77777777" w:rsidR="00D1587D" w:rsidRDefault="00D1587D">
            <w:pPr>
              <w:rPr>
                <w:sz w:val="4"/>
                <w:szCs w:val="4"/>
              </w:rPr>
            </w:pPr>
          </w:p>
        </w:tc>
        <w:tc>
          <w:tcPr>
            <w:tcW w:w="720" w:type="dxa"/>
            <w:tcBorders>
              <w:bottom w:val="single" w:sz="8" w:space="0" w:color="auto"/>
            </w:tcBorders>
            <w:vAlign w:val="bottom"/>
          </w:tcPr>
          <w:p w14:paraId="3E29D4E7" w14:textId="77777777" w:rsidR="00D1587D" w:rsidRDefault="00D1587D">
            <w:pPr>
              <w:rPr>
                <w:sz w:val="4"/>
                <w:szCs w:val="4"/>
              </w:rPr>
            </w:pPr>
          </w:p>
        </w:tc>
        <w:tc>
          <w:tcPr>
            <w:tcW w:w="300" w:type="dxa"/>
            <w:tcBorders>
              <w:bottom w:val="single" w:sz="8" w:space="0" w:color="CCEEFF"/>
            </w:tcBorders>
            <w:vAlign w:val="bottom"/>
          </w:tcPr>
          <w:p w14:paraId="65D97ADB" w14:textId="77777777" w:rsidR="00D1587D" w:rsidRDefault="00D1587D">
            <w:pPr>
              <w:rPr>
                <w:sz w:val="4"/>
                <w:szCs w:val="4"/>
              </w:rPr>
            </w:pPr>
          </w:p>
        </w:tc>
        <w:tc>
          <w:tcPr>
            <w:tcW w:w="740" w:type="dxa"/>
            <w:tcBorders>
              <w:bottom w:val="single" w:sz="8" w:space="0" w:color="auto"/>
            </w:tcBorders>
            <w:vAlign w:val="bottom"/>
          </w:tcPr>
          <w:p w14:paraId="634B14B3" w14:textId="77777777" w:rsidR="00D1587D" w:rsidRDefault="00D1587D">
            <w:pPr>
              <w:rPr>
                <w:sz w:val="4"/>
                <w:szCs w:val="4"/>
              </w:rPr>
            </w:pPr>
          </w:p>
        </w:tc>
        <w:tc>
          <w:tcPr>
            <w:tcW w:w="1300" w:type="dxa"/>
            <w:vAlign w:val="bottom"/>
          </w:tcPr>
          <w:p w14:paraId="5265FB81" w14:textId="77777777" w:rsidR="00D1587D" w:rsidRDefault="00D1587D">
            <w:pPr>
              <w:rPr>
                <w:sz w:val="4"/>
                <w:szCs w:val="4"/>
              </w:rPr>
            </w:pPr>
          </w:p>
        </w:tc>
      </w:tr>
      <w:tr w:rsidR="00D1587D" w14:paraId="2C2002D2" w14:textId="77777777">
        <w:trPr>
          <w:trHeight w:val="311"/>
        </w:trPr>
        <w:tc>
          <w:tcPr>
            <w:tcW w:w="1300" w:type="dxa"/>
            <w:vAlign w:val="bottom"/>
          </w:tcPr>
          <w:p w14:paraId="01634DA8" w14:textId="77777777" w:rsidR="00D1587D" w:rsidRDefault="00D1587D">
            <w:pPr>
              <w:rPr>
                <w:sz w:val="24"/>
                <w:szCs w:val="24"/>
              </w:rPr>
            </w:pPr>
          </w:p>
        </w:tc>
        <w:tc>
          <w:tcPr>
            <w:tcW w:w="2920" w:type="dxa"/>
            <w:tcBorders>
              <w:bottom w:val="single" w:sz="8" w:space="0" w:color="CCEEFF"/>
            </w:tcBorders>
            <w:shd w:val="clear" w:color="auto" w:fill="CCEEFF"/>
            <w:vAlign w:val="bottom"/>
          </w:tcPr>
          <w:p w14:paraId="59A6DCBA" w14:textId="77777777" w:rsidR="00D1587D" w:rsidRDefault="00410D07">
            <w:pPr>
              <w:rPr>
                <w:sz w:val="20"/>
                <w:szCs w:val="20"/>
              </w:rPr>
            </w:pPr>
            <w:r>
              <w:rPr>
                <w:rFonts w:ascii="Arial" w:eastAsia="Arial" w:hAnsi="Arial" w:cs="Arial"/>
                <w:sz w:val="18"/>
                <w:szCs w:val="18"/>
              </w:rPr>
              <w:t>Beauty and Accessories</w:t>
            </w:r>
          </w:p>
        </w:tc>
        <w:tc>
          <w:tcPr>
            <w:tcW w:w="3440" w:type="dxa"/>
            <w:gridSpan w:val="3"/>
            <w:tcBorders>
              <w:bottom w:val="single" w:sz="8" w:space="0" w:color="CCEEFF"/>
            </w:tcBorders>
            <w:shd w:val="clear" w:color="auto" w:fill="CCEEFF"/>
            <w:vAlign w:val="bottom"/>
          </w:tcPr>
          <w:p w14:paraId="716EBC56" w14:textId="77777777" w:rsidR="00D1587D" w:rsidRDefault="00410D07">
            <w:pPr>
              <w:ind w:left="2934"/>
              <w:jc w:val="center"/>
              <w:rPr>
                <w:sz w:val="20"/>
                <w:szCs w:val="20"/>
              </w:rPr>
            </w:pPr>
            <w:r>
              <w:rPr>
                <w:rFonts w:ascii="Arial" w:eastAsia="Arial" w:hAnsi="Arial" w:cs="Arial"/>
                <w:w w:val="86"/>
                <w:sz w:val="18"/>
                <w:szCs w:val="18"/>
              </w:rPr>
              <w:t>337</w:t>
            </w:r>
          </w:p>
        </w:tc>
        <w:tc>
          <w:tcPr>
            <w:tcW w:w="300" w:type="dxa"/>
            <w:tcBorders>
              <w:bottom w:val="single" w:sz="8" w:space="0" w:color="CCEEFF"/>
            </w:tcBorders>
            <w:shd w:val="clear" w:color="auto" w:fill="CCEEFF"/>
            <w:vAlign w:val="bottom"/>
          </w:tcPr>
          <w:p w14:paraId="403C22B5" w14:textId="77777777" w:rsidR="00D1587D" w:rsidRDefault="00D1587D">
            <w:pPr>
              <w:rPr>
                <w:sz w:val="24"/>
                <w:szCs w:val="24"/>
              </w:rPr>
            </w:pPr>
          </w:p>
        </w:tc>
        <w:tc>
          <w:tcPr>
            <w:tcW w:w="720" w:type="dxa"/>
            <w:tcBorders>
              <w:bottom w:val="single" w:sz="8" w:space="0" w:color="CCEEFF"/>
            </w:tcBorders>
            <w:shd w:val="clear" w:color="auto" w:fill="CCEEFF"/>
            <w:vAlign w:val="bottom"/>
          </w:tcPr>
          <w:p w14:paraId="5E0C5025" w14:textId="77777777" w:rsidR="00D1587D" w:rsidRDefault="00410D07">
            <w:pPr>
              <w:ind w:right="137"/>
              <w:jc w:val="right"/>
              <w:rPr>
                <w:sz w:val="20"/>
                <w:szCs w:val="20"/>
              </w:rPr>
            </w:pPr>
            <w:r>
              <w:rPr>
                <w:rFonts w:ascii="Arial" w:eastAsia="Arial" w:hAnsi="Arial" w:cs="Arial"/>
                <w:sz w:val="18"/>
                <w:szCs w:val="18"/>
              </w:rPr>
              <w:t>338</w:t>
            </w:r>
          </w:p>
        </w:tc>
        <w:tc>
          <w:tcPr>
            <w:tcW w:w="300" w:type="dxa"/>
            <w:tcBorders>
              <w:bottom w:val="single" w:sz="8" w:space="0" w:color="CCEEFF"/>
            </w:tcBorders>
            <w:shd w:val="clear" w:color="auto" w:fill="CCEEFF"/>
            <w:vAlign w:val="bottom"/>
          </w:tcPr>
          <w:p w14:paraId="196B85D8" w14:textId="77777777" w:rsidR="00D1587D" w:rsidRDefault="00D1587D">
            <w:pPr>
              <w:rPr>
                <w:sz w:val="24"/>
                <w:szCs w:val="24"/>
              </w:rPr>
            </w:pPr>
          </w:p>
        </w:tc>
        <w:tc>
          <w:tcPr>
            <w:tcW w:w="740" w:type="dxa"/>
            <w:tcBorders>
              <w:bottom w:val="single" w:sz="8" w:space="0" w:color="CCEEFF"/>
            </w:tcBorders>
            <w:shd w:val="clear" w:color="auto" w:fill="CCEEFF"/>
            <w:vAlign w:val="bottom"/>
          </w:tcPr>
          <w:p w14:paraId="4CFA603F" w14:textId="77777777" w:rsidR="00D1587D" w:rsidRDefault="00410D07">
            <w:pPr>
              <w:ind w:right="137"/>
              <w:jc w:val="right"/>
              <w:rPr>
                <w:sz w:val="20"/>
                <w:szCs w:val="20"/>
              </w:rPr>
            </w:pPr>
            <w:r>
              <w:rPr>
                <w:rFonts w:ascii="Arial" w:eastAsia="Arial" w:hAnsi="Arial" w:cs="Arial"/>
                <w:sz w:val="18"/>
                <w:szCs w:val="18"/>
              </w:rPr>
              <w:t>360</w:t>
            </w:r>
          </w:p>
        </w:tc>
        <w:tc>
          <w:tcPr>
            <w:tcW w:w="1300" w:type="dxa"/>
            <w:vAlign w:val="bottom"/>
          </w:tcPr>
          <w:p w14:paraId="3C4B343E" w14:textId="77777777" w:rsidR="00D1587D" w:rsidRDefault="00D1587D">
            <w:pPr>
              <w:rPr>
                <w:sz w:val="24"/>
                <w:szCs w:val="24"/>
              </w:rPr>
            </w:pPr>
          </w:p>
        </w:tc>
      </w:tr>
      <w:tr w:rsidR="00D1587D" w14:paraId="37EF86E8" w14:textId="77777777">
        <w:trPr>
          <w:trHeight w:val="270"/>
        </w:trPr>
        <w:tc>
          <w:tcPr>
            <w:tcW w:w="1300" w:type="dxa"/>
            <w:vAlign w:val="bottom"/>
          </w:tcPr>
          <w:p w14:paraId="6318F306" w14:textId="77777777" w:rsidR="00D1587D" w:rsidRDefault="00D1587D">
            <w:pPr>
              <w:rPr>
                <w:sz w:val="23"/>
                <w:szCs w:val="23"/>
              </w:rPr>
            </w:pPr>
          </w:p>
        </w:tc>
        <w:tc>
          <w:tcPr>
            <w:tcW w:w="2920" w:type="dxa"/>
            <w:vAlign w:val="bottom"/>
          </w:tcPr>
          <w:p w14:paraId="4F302AFC" w14:textId="77777777" w:rsidR="00D1587D" w:rsidRDefault="00410D07">
            <w:pPr>
              <w:rPr>
                <w:sz w:val="20"/>
                <w:szCs w:val="20"/>
              </w:rPr>
            </w:pPr>
            <w:r>
              <w:rPr>
                <w:rFonts w:ascii="Arial" w:eastAsia="Arial" w:hAnsi="Arial" w:cs="Arial"/>
                <w:sz w:val="18"/>
                <w:szCs w:val="18"/>
              </w:rPr>
              <w:t>Full Assortment</w:t>
            </w:r>
          </w:p>
        </w:tc>
        <w:tc>
          <w:tcPr>
            <w:tcW w:w="3440" w:type="dxa"/>
            <w:gridSpan w:val="3"/>
            <w:vAlign w:val="bottom"/>
          </w:tcPr>
          <w:p w14:paraId="05EDDE6A" w14:textId="77777777" w:rsidR="00D1587D" w:rsidRDefault="00410D07">
            <w:pPr>
              <w:ind w:left="2934"/>
              <w:jc w:val="center"/>
              <w:rPr>
                <w:sz w:val="20"/>
                <w:szCs w:val="20"/>
              </w:rPr>
            </w:pPr>
            <w:r>
              <w:rPr>
                <w:rFonts w:ascii="Arial" w:eastAsia="Arial" w:hAnsi="Arial" w:cs="Arial"/>
                <w:w w:val="86"/>
                <w:sz w:val="18"/>
                <w:szCs w:val="18"/>
              </w:rPr>
              <w:t>121</w:t>
            </w:r>
          </w:p>
        </w:tc>
        <w:tc>
          <w:tcPr>
            <w:tcW w:w="300" w:type="dxa"/>
            <w:vAlign w:val="bottom"/>
          </w:tcPr>
          <w:p w14:paraId="117A4C52" w14:textId="77777777" w:rsidR="00D1587D" w:rsidRDefault="00D1587D">
            <w:pPr>
              <w:rPr>
                <w:sz w:val="23"/>
                <w:szCs w:val="23"/>
              </w:rPr>
            </w:pPr>
          </w:p>
        </w:tc>
        <w:tc>
          <w:tcPr>
            <w:tcW w:w="720" w:type="dxa"/>
            <w:vAlign w:val="bottom"/>
          </w:tcPr>
          <w:p w14:paraId="1BCEA807" w14:textId="77777777" w:rsidR="00D1587D" w:rsidRDefault="00410D07">
            <w:pPr>
              <w:ind w:right="137"/>
              <w:jc w:val="right"/>
              <w:rPr>
                <w:sz w:val="20"/>
                <w:szCs w:val="20"/>
              </w:rPr>
            </w:pPr>
            <w:r>
              <w:rPr>
                <w:rFonts w:ascii="Arial" w:eastAsia="Arial" w:hAnsi="Arial" w:cs="Arial"/>
                <w:sz w:val="18"/>
                <w:szCs w:val="18"/>
              </w:rPr>
              <w:t>120</w:t>
            </w:r>
          </w:p>
        </w:tc>
        <w:tc>
          <w:tcPr>
            <w:tcW w:w="300" w:type="dxa"/>
            <w:vAlign w:val="bottom"/>
          </w:tcPr>
          <w:p w14:paraId="6210DDE5" w14:textId="77777777" w:rsidR="00D1587D" w:rsidRDefault="00D1587D">
            <w:pPr>
              <w:rPr>
                <w:sz w:val="23"/>
                <w:szCs w:val="23"/>
              </w:rPr>
            </w:pPr>
          </w:p>
        </w:tc>
        <w:tc>
          <w:tcPr>
            <w:tcW w:w="740" w:type="dxa"/>
            <w:vAlign w:val="bottom"/>
          </w:tcPr>
          <w:p w14:paraId="3C1D93BA" w14:textId="77777777" w:rsidR="00D1587D" w:rsidRDefault="00410D07">
            <w:pPr>
              <w:ind w:right="157"/>
              <w:jc w:val="right"/>
              <w:rPr>
                <w:sz w:val="20"/>
                <w:szCs w:val="20"/>
              </w:rPr>
            </w:pPr>
            <w:r>
              <w:rPr>
                <w:rFonts w:ascii="Arial" w:eastAsia="Arial" w:hAnsi="Arial" w:cs="Arial"/>
                <w:sz w:val="18"/>
                <w:szCs w:val="18"/>
              </w:rPr>
              <w:t>84</w:t>
            </w:r>
          </w:p>
        </w:tc>
        <w:tc>
          <w:tcPr>
            <w:tcW w:w="1300" w:type="dxa"/>
            <w:vAlign w:val="bottom"/>
          </w:tcPr>
          <w:p w14:paraId="55B911DF" w14:textId="77777777" w:rsidR="00D1587D" w:rsidRDefault="00D1587D">
            <w:pPr>
              <w:rPr>
                <w:sz w:val="23"/>
                <w:szCs w:val="23"/>
              </w:rPr>
            </w:pPr>
          </w:p>
        </w:tc>
      </w:tr>
      <w:tr w:rsidR="00D1587D" w14:paraId="026396A2" w14:textId="77777777">
        <w:trPr>
          <w:trHeight w:val="68"/>
        </w:trPr>
        <w:tc>
          <w:tcPr>
            <w:tcW w:w="1300" w:type="dxa"/>
            <w:vAlign w:val="bottom"/>
          </w:tcPr>
          <w:p w14:paraId="7B174586" w14:textId="77777777" w:rsidR="00D1587D" w:rsidRDefault="00D1587D">
            <w:pPr>
              <w:rPr>
                <w:sz w:val="5"/>
                <w:szCs w:val="5"/>
              </w:rPr>
            </w:pPr>
          </w:p>
        </w:tc>
        <w:tc>
          <w:tcPr>
            <w:tcW w:w="2920" w:type="dxa"/>
            <w:tcBorders>
              <w:bottom w:val="single" w:sz="8" w:space="0" w:color="CCEEFF"/>
            </w:tcBorders>
            <w:vAlign w:val="bottom"/>
          </w:tcPr>
          <w:p w14:paraId="46D31E50" w14:textId="77777777" w:rsidR="00D1587D" w:rsidRDefault="00D1587D">
            <w:pPr>
              <w:rPr>
                <w:sz w:val="5"/>
                <w:szCs w:val="5"/>
              </w:rPr>
            </w:pPr>
          </w:p>
        </w:tc>
        <w:tc>
          <w:tcPr>
            <w:tcW w:w="2860" w:type="dxa"/>
            <w:tcBorders>
              <w:bottom w:val="single" w:sz="8" w:space="0" w:color="CCEEFF"/>
            </w:tcBorders>
            <w:vAlign w:val="bottom"/>
          </w:tcPr>
          <w:p w14:paraId="2C3ECDFD" w14:textId="77777777" w:rsidR="00D1587D" w:rsidRDefault="00D1587D">
            <w:pPr>
              <w:rPr>
                <w:sz w:val="5"/>
                <w:szCs w:val="5"/>
              </w:rPr>
            </w:pPr>
          </w:p>
        </w:tc>
        <w:tc>
          <w:tcPr>
            <w:tcW w:w="160" w:type="dxa"/>
            <w:tcBorders>
              <w:bottom w:val="single" w:sz="8" w:space="0" w:color="CCEEFF"/>
            </w:tcBorders>
            <w:vAlign w:val="bottom"/>
          </w:tcPr>
          <w:p w14:paraId="00711E1C" w14:textId="77777777" w:rsidR="00D1587D" w:rsidRDefault="00D1587D">
            <w:pPr>
              <w:rPr>
                <w:sz w:val="5"/>
                <w:szCs w:val="5"/>
              </w:rPr>
            </w:pPr>
          </w:p>
        </w:tc>
        <w:tc>
          <w:tcPr>
            <w:tcW w:w="420" w:type="dxa"/>
            <w:tcBorders>
              <w:bottom w:val="single" w:sz="8" w:space="0" w:color="auto"/>
            </w:tcBorders>
            <w:vAlign w:val="bottom"/>
          </w:tcPr>
          <w:p w14:paraId="0E9CB852" w14:textId="77777777" w:rsidR="00D1587D" w:rsidRDefault="00D1587D">
            <w:pPr>
              <w:rPr>
                <w:sz w:val="5"/>
                <w:szCs w:val="5"/>
              </w:rPr>
            </w:pPr>
          </w:p>
        </w:tc>
        <w:tc>
          <w:tcPr>
            <w:tcW w:w="300" w:type="dxa"/>
            <w:tcBorders>
              <w:bottom w:val="single" w:sz="8" w:space="0" w:color="CCEEFF"/>
            </w:tcBorders>
            <w:vAlign w:val="bottom"/>
          </w:tcPr>
          <w:p w14:paraId="2D57D258" w14:textId="77777777" w:rsidR="00D1587D" w:rsidRDefault="00D1587D">
            <w:pPr>
              <w:rPr>
                <w:sz w:val="5"/>
                <w:szCs w:val="5"/>
              </w:rPr>
            </w:pPr>
          </w:p>
        </w:tc>
        <w:tc>
          <w:tcPr>
            <w:tcW w:w="720" w:type="dxa"/>
            <w:tcBorders>
              <w:bottom w:val="single" w:sz="8" w:space="0" w:color="auto"/>
            </w:tcBorders>
            <w:vAlign w:val="bottom"/>
          </w:tcPr>
          <w:p w14:paraId="1D2D53EC" w14:textId="77777777" w:rsidR="00D1587D" w:rsidRDefault="00D1587D">
            <w:pPr>
              <w:rPr>
                <w:sz w:val="5"/>
                <w:szCs w:val="5"/>
              </w:rPr>
            </w:pPr>
          </w:p>
        </w:tc>
        <w:tc>
          <w:tcPr>
            <w:tcW w:w="300" w:type="dxa"/>
            <w:tcBorders>
              <w:bottom w:val="single" w:sz="8" w:space="0" w:color="CCEEFF"/>
            </w:tcBorders>
            <w:vAlign w:val="bottom"/>
          </w:tcPr>
          <w:p w14:paraId="6EF94DAD" w14:textId="77777777" w:rsidR="00D1587D" w:rsidRDefault="00D1587D">
            <w:pPr>
              <w:rPr>
                <w:sz w:val="5"/>
                <w:szCs w:val="5"/>
              </w:rPr>
            </w:pPr>
          </w:p>
        </w:tc>
        <w:tc>
          <w:tcPr>
            <w:tcW w:w="740" w:type="dxa"/>
            <w:tcBorders>
              <w:bottom w:val="single" w:sz="8" w:space="0" w:color="auto"/>
            </w:tcBorders>
            <w:vAlign w:val="bottom"/>
          </w:tcPr>
          <w:p w14:paraId="6D25CC3C" w14:textId="77777777" w:rsidR="00D1587D" w:rsidRDefault="00D1587D">
            <w:pPr>
              <w:rPr>
                <w:sz w:val="5"/>
                <w:szCs w:val="5"/>
              </w:rPr>
            </w:pPr>
          </w:p>
        </w:tc>
        <w:tc>
          <w:tcPr>
            <w:tcW w:w="1300" w:type="dxa"/>
            <w:vAlign w:val="bottom"/>
          </w:tcPr>
          <w:p w14:paraId="5E190F0F" w14:textId="77777777" w:rsidR="00D1587D" w:rsidRDefault="00D1587D">
            <w:pPr>
              <w:rPr>
                <w:sz w:val="5"/>
                <w:szCs w:val="5"/>
              </w:rPr>
            </w:pPr>
          </w:p>
        </w:tc>
      </w:tr>
      <w:tr w:rsidR="00D1587D" w14:paraId="1B154DB5" w14:textId="77777777">
        <w:trPr>
          <w:trHeight w:val="396"/>
        </w:trPr>
        <w:tc>
          <w:tcPr>
            <w:tcW w:w="1300" w:type="dxa"/>
            <w:vAlign w:val="bottom"/>
          </w:tcPr>
          <w:p w14:paraId="419672B5" w14:textId="77777777" w:rsidR="00D1587D" w:rsidRDefault="00D1587D">
            <w:pPr>
              <w:rPr>
                <w:sz w:val="24"/>
                <w:szCs w:val="24"/>
              </w:rPr>
            </w:pPr>
          </w:p>
        </w:tc>
        <w:tc>
          <w:tcPr>
            <w:tcW w:w="2920" w:type="dxa"/>
            <w:tcBorders>
              <w:bottom w:val="single" w:sz="8" w:space="0" w:color="CCEEFF"/>
            </w:tcBorders>
            <w:shd w:val="clear" w:color="auto" w:fill="CCEEFF"/>
            <w:vAlign w:val="bottom"/>
          </w:tcPr>
          <w:p w14:paraId="43BB69E4" w14:textId="77777777" w:rsidR="00D1587D" w:rsidRDefault="00410D07">
            <w:pPr>
              <w:rPr>
                <w:sz w:val="20"/>
                <w:szCs w:val="20"/>
              </w:rPr>
            </w:pPr>
            <w:r>
              <w:rPr>
                <w:rFonts w:ascii="Arial" w:eastAsia="Arial" w:hAnsi="Arial" w:cs="Arial"/>
                <w:b/>
                <w:bCs/>
                <w:sz w:val="18"/>
                <w:szCs w:val="18"/>
              </w:rPr>
              <w:t>Total</w:t>
            </w:r>
          </w:p>
        </w:tc>
        <w:tc>
          <w:tcPr>
            <w:tcW w:w="3440" w:type="dxa"/>
            <w:gridSpan w:val="3"/>
            <w:tcBorders>
              <w:bottom w:val="single" w:sz="8" w:space="0" w:color="CCEEFF"/>
            </w:tcBorders>
            <w:shd w:val="clear" w:color="auto" w:fill="CCEEFF"/>
            <w:vAlign w:val="bottom"/>
          </w:tcPr>
          <w:p w14:paraId="07DA1C09" w14:textId="77777777" w:rsidR="00D1587D" w:rsidRDefault="00410D07">
            <w:pPr>
              <w:ind w:left="2934"/>
              <w:jc w:val="center"/>
              <w:rPr>
                <w:sz w:val="20"/>
                <w:szCs w:val="20"/>
              </w:rPr>
            </w:pPr>
            <w:r>
              <w:rPr>
                <w:rFonts w:ascii="Arial" w:eastAsia="Arial" w:hAnsi="Arial" w:cs="Arial"/>
                <w:b/>
                <w:bCs/>
                <w:w w:val="86"/>
                <w:sz w:val="18"/>
                <w:szCs w:val="18"/>
              </w:rPr>
              <w:t>458</w:t>
            </w:r>
          </w:p>
        </w:tc>
        <w:tc>
          <w:tcPr>
            <w:tcW w:w="300" w:type="dxa"/>
            <w:tcBorders>
              <w:bottom w:val="single" w:sz="8" w:space="0" w:color="CCEEFF"/>
            </w:tcBorders>
            <w:shd w:val="clear" w:color="auto" w:fill="CCEEFF"/>
            <w:vAlign w:val="bottom"/>
          </w:tcPr>
          <w:p w14:paraId="55722E54" w14:textId="77777777" w:rsidR="00D1587D" w:rsidRDefault="00D1587D">
            <w:pPr>
              <w:rPr>
                <w:sz w:val="24"/>
                <w:szCs w:val="24"/>
              </w:rPr>
            </w:pPr>
          </w:p>
        </w:tc>
        <w:tc>
          <w:tcPr>
            <w:tcW w:w="720" w:type="dxa"/>
            <w:tcBorders>
              <w:bottom w:val="single" w:sz="8" w:space="0" w:color="CCEEFF"/>
            </w:tcBorders>
            <w:shd w:val="clear" w:color="auto" w:fill="CCEEFF"/>
            <w:vAlign w:val="bottom"/>
          </w:tcPr>
          <w:p w14:paraId="18683B0A" w14:textId="77777777" w:rsidR="00D1587D" w:rsidRDefault="00410D07">
            <w:pPr>
              <w:ind w:right="137"/>
              <w:jc w:val="right"/>
              <w:rPr>
                <w:sz w:val="20"/>
                <w:szCs w:val="20"/>
              </w:rPr>
            </w:pPr>
            <w:r>
              <w:rPr>
                <w:rFonts w:ascii="Arial" w:eastAsia="Arial" w:hAnsi="Arial" w:cs="Arial"/>
                <w:b/>
                <w:bCs/>
                <w:sz w:val="18"/>
                <w:szCs w:val="18"/>
              </w:rPr>
              <w:t>458</w:t>
            </w:r>
          </w:p>
        </w:tc>
        <w:tc>
          <w:tcPr>
            <w:tcW w:w="300" w:type="dxa"/>
            <w:tcBorders>
              <w:bottom w:val="single" w:sz="8" w:space="0" w:color="CCEEFF"/>
            </w:tcBorders>
            <w:shd w:val="clear" w:color="auto" w:fill="CCEEFF"/>
            <w:vAlign w:val="bottom"/>
          </w:tcPr>
          <w:p w14:paraId="71AD9F09" w14:textId="77777777" w:rsidR="00D1587D" w:rsidRDefault="00D1587D">
            <w:pPr>
              <w:rPr>
                <w:sz w:val="24"/>
                <w:szCs w:val="24"/>
              </w:rPr>
            </w:pPr>
          </w:p>
        </w:tc>
        <w:tc>
          <w:tcPr>
            <w:tcW w:w="740" w:type="dxa"/>
            <w:tcBorders>
              <w:bottom w:val="single" w:sz="8" w:space="0" w:color="CCEEFF"/>
            </w:tcBorders>
            <w:shd w:val="clear" w:color="auto" w:fill="CCEEFF"/>
            <w:vAlign w:val="bottom"/>
          </w:tcPr>
          <w:p w14:paraId="2CBB0326" w14:textId="77777777" w:rsidR="00D1587D" w:rsidRDefault="00410D07">
            <w:pPr>
              <w:ind w:right="137"/>
              <w:jc w:val="right"/>
              <w:rPr>
                <w:sz w:val="20"/>
                <w:szCs w:val="20"/>
              </w:rPr>
            </w:pPr>
            <w:r>
              <w:rPr>
                <w:rFonts w:ascii="Arial" w:eastAsia="Arial" w:hAnsi="Arial" w:cs="Arial"/>
                <w:b/>
                <w:bCs/>
                <w:sz w:val="18"/>
                <w:szCs w:val="18"/>
              </w:rPr>
              <w:t>444</w:t>
            </w:r>
          </w:p>
        </w:tc>
        <w:tc>
          <w:tcPr>
            <w:tcW w:w="1300" w:type="dxa"/>
            <w:vAlign w:val="bottom"/>
          </w:tcPr>
          <w:p w14:paraId="1D748B6B" w14:textId="77777777" w:rsidR="00D1587D" w:rsidRDefault="00D1587D">
            <w:pPr>
              <w:rPr>
                <w:sz w:val="24"/>
                <w:szCs w:val="24"/>
              </w:rPr>
            </w:pPr>
          </w:p>
        </w:tc>
      </w:tr>
      <w:tr w:rsidR="00D1587D" w14:paraId="432C84F2" w14:textId="77777777">
        <w:trPr>
          <w:trHeight w:val="406"/>
        </w:trPr>
        <w:tc>
          <w:tcPr>
            <w:tcW w:w="1300" w:type="dxa"/>
            <w:vAlign w:val="bottom"/>
          </w:tcPr>
          <w:p w14:paraId="1B52D752" w14:textId="77777777" w:rsidR="00D1587D" w:rsidRDefault="00D1587D">
            <w:pPr>
              <w:rPr>
                <w:sz w:val="24"/>
                <w:szCs w:val="24"/>
              </w:rPr>
            </w:pPr>
          </w:p>
        </w:tc>
        <w:tc>
          <w:tcPr>
            <w:tcW w:w="2920" w:type="dxa"/>
            <w:tcBorders>
              <w:top w:val="single" w:sz="8" w:space="0" w:color="CCEEFF"/>
            </w:tcBorders>
            <w:vAlign w:val="bottom"/>
          </w:tcPr>
          <w:p w14:paraId="541B31F7" w14:textId="77777777" w:rsidR="00D1587D" w:rsidRDefault="00D1587D">
            <w:pPr>
              <w:rPr>
                <w:sz w:val="24"/>
                <w:szCs w:val="24"/>
              </w:rPr>
            </w:pPr>
          </w:p>
        </w:tc>
        <w:tc>
          <w:tcPr>
            <w:tcW w:w="2860" w:type="dxa"/>
            <w:tcBorders>
              <w:top w:val="single" w:sz="8" w:space="0" w:color="CCEEFF"/>
            </w:tcBorders>
            <w:vAlign w:val="bottom"/>
          </w:tcPr>
          <w:p w14:paraId="3258AE04" w14:textId="77777777" w:rsidR="00D1587D" w:rsidRDefault="00410D07">
            <w:pPr>
              <w:ind w:right="1394"/>
              <w:jc w:val="right"/>
              <w:rPr>
                <w:sz w:val="20"/>
                <w:szCs w:val="20"/>
              </w:rPr>
            </w:pPr>
            <w:r>
              <w:rPr>
                <w:rFonts w:ascii="Arial" w:eastAsia="Arial" w:hAnsi="Arial" w:cs="Arial"/>
                <w:sz w:val="18"/>
                <w:szCs w:val="18"/>
              </w:rPr>
              <w:t>97</w:t>
            </w:r>
          </w:p>
        </w:tc>
        <w:tc>
          <w:tcPr>
            <w:tcW w:w="160" w:type="dxa"/>
            <w:tcBorders>
              <w:top w:val="single" w:sz="8" w:space="0" w:color="CCEEFF"/>
            </w:tcBorders>
            <w:vAlign w:val="bottom"/>
          </w:tcPr>
          <w:p w14:paraId="0F18AEC4" w14:textId="77777777" w:rsidR="00D1587D" w:rsidRDefault="00D1587D">
            <w:pPr>
              <w:rPr>
                <w:sz w:val="24"/>
                <w:szCs w:val="24"/>
              </w:rPr>
            </w:pPr>
          </w:p>
        </w:tc>
        <w:tc>
          <w:tcPr>
            <w:tcW w:w="420" w:type="dxa"/>
            <w:tcBorders>
              <w:top w:val="single" w:sz="8" w:space="0" w:color="auto"/>
            </w:tcBorders>
            <w:vAlign w:val="bottom"/>
          </w:tcPr>
          <w:p w14:paraId="40F54A7A" w14:textId="77777777" w:rsidR="00D1587D" w:rsidRDefault="00D1587D">
            <w:pPr>
              <w:rPr>
                <w:sz w:val="24"/>
                <w:szCs w:val="24"/>
              </w:rPr>
            </w:pPr>
          </w:p>
        </w:tc>
        <w:tc>
          <w:tcPr>
            <w:tcW w:w="300" w:type="dxa"/>
            <w:tcBorders>
              <w:top w:val="single" w:sz="8" w:space="0" w:color="CCEEFF"/>
            </w:tcBorders>
            <w:vAlign w:val="bottom"/>
          </w:tcPr>
          <w:p w14:paraId="1D3709C8" w14:textId="77777777" w:rsidR="00D1587D" w:rsidRDefault="00D1587D">
            <w:pPr>
              <w:rPr>
                <w:sz w:val="24"/>
                <w:szCs w:val="24"/>
              </w:rPr>
            </w:pPr>
          </w:p>
        </w:tc>
        <w:tc>
          <w:tcPr>
            <w:tcW w:w="720" w:type="dxa"/>
            <w:tcBorders>
              <w:top w:val="single" w:sz="8" w:space="0" w:color="auto"/>
            </w:tcBorders>
            <w:vAlign w:val="bottom"/>
          </w:tcPr>
          <w:p w14:paraId="637F00DD" w14:textId="77777777" w:rsidR="00D1587D" w:rsidRDefault="00D1587D">
            <w:pPr>
              <w:rPr>
                <w:sz w:val="24"/>
                <w:szCs w:val="24"/>
              </w:rPr>
            </w:pPr>
          </w:p>
        </w:tc>
        <w:tc>
          <w:tcPr>
            <w:tcW w:w="300" w:type="dxa"/>
            <w:tcBorders>
              <w:top w:val="single" w:sz="8" w:space="0" w:color="CCEEFF"/>
            </w:tcBorders>
            <w:vAlign w:val="bottom"/>
          </w:tcPr>
          <w:p w14:paraId="1A511BDE" w14:textId="77777777" w:rsidR="00D1587D" w:rsidRDefault="00D1587D">
            <w:pPr>
              <w:rPr>
                <w:sz w:val="24"/>
                <w:szCs w:val="24"/>
              </w:rPr>
            </w:pPr>
          </w:p>
        </w:tc>
        <w:tc>
          <w:tcPr>
            <w:tcW w:w="740" w:type="dxa"/>
            <w:tcBorders>
              <w:top w:val="single" w:sz="8" w:space="0" w:color="auto"/>
            </w:tcBorders>
            <w:vAlign w:val="bottom"/>
          </w:tcPr>
          <w:p w14:paraId="34A6D79C" w14:textId="77777777" w:rsidR="00D1587D" w:rsidRDefault="00D1587D">
            <w:pPr>
              <w:rPr>
                <w:sz w:val="24"/>
                <w:szCs w:val="24"/>
              </w:rPr>
            </w:pPr>
          </w:p>
        </w:tc>
        <w:tc>
          <w:tcPr>
            <w:tcW w:w="1300" w:type="dxa"/>
            <w:vAlign w:val="bottom"/>
          </w:tcPr>
          <w:p w14:paraId="7FAA4BD7" w14:textId="77777777" w:rsidR="00D1587D" w:rsidRDefault="00D1587D">
            <w:pPr>
              <w:rPr>
                <w:sz w:val="24"/>
                <w:szCs w:val="24"/>
              </w:rPr>
            </w:pPr>
          </w:p>
        </w:tc>
      </w:tr>
      <w:tr w:rsidR="00D1587D" w14:paraId="55F4A784" w14:textId="77777777">
        <w:trPr>
          <w:trHeight w:val="196"/>
        </w:trPr>
        <w:tc>
          <w:tcPr>
            <w:tcW w:w="1300" w:type="dxa"/>
            <w:tcBorders>
              <w:bottom w:val="single" w:sz="8" w:space="0" w:color="auto"/>
            </w:tcBorders>
            <w:vAlign w:val="bottom"/>
          </w:tcPr>
          <w:p w14:paraId="1DF50BE9" w14:textId="77777777" w:rsidR="00D1587D" w:rsidRDefault="00D1587D">
            <w:pPr>
              <w:rPr>
                <w:sz w:val="17"/>
                <w:szCs w:val="17"/>
              </w:rPr>
            </w:pPr>
          </w:p>
        </w:tc>
        <w:tc>
          <w:tcPr>
            <w:tcW w:w="2920" w:type="dxa"/>
            <w:tcBorders>
              <w:bottom w:val="single" w:sz="8" w:space="0" w:color="auto"/>
            </w:tcBorders>
            <w:vAlign w:val="bottom"/>
          </w:tcPr>
          <w:p w14:paraId="5CD6B4DF" w14:textId="77777777" w:rsidR="00D1587D" w:rsidRDefault="00D1587D">
            <w:pPr>
              <w:rPr>
                <w:sz w:val="17"/>
                <w:szCs w:val="17"/>
              </w:rPr>
            </w:pPr>
          </w:p>
        </w:tc>
        <w:tc>
          <w:tcPr>
            <w:tcW w:w="2860" w:type="dxa"/>
            <w:tcBorders>
              <w:bottom w:val="single" w:sz="8" w:space="0" w:color="auto"/>
            </w:tcBorders>
            <w:vAlign w:val="bottom"/>
          </w:tcPr>
          <w:p w14:paraId="33E5B6F0" w14:textId="77777777" w:rsidR="00D1587D" w:rsidRDefault="00D1587D">
            <w:pPr>
              <w:rPr>
                <w:sz w:val="17"/>
                <w:szCs w:val="17"/>
              </w:rPr>
            </w:pPr>
          </w:p>
        </w:tc>
        <w:tc>
          <w:tcPr>
            <w:tcW w:w="160" w:type="dxa"/>
            <w:tcBorders>
              <w:bottom w:val="single" w:sz="8" w:space="0" w:color="auto"/>
            </w:tcBorders>
            <w:vAlign w:val="bottom"/>
          </w:tcPr>
          <w:p w14:paraId="0EA7EC8F" w14:textId="77777777" w:rsidR="00D1587D" w:rsidRDefault="00D1587D">
            <w:pPr>
              <w:rPr>
                <w:sz w:val="17"/>
                <w:szCs w:val="17"/>
              </w:rPr>
            </w:pPr>
          </w:p>
        </w:tc>
        <w:tc>
          <w:tcPr>
            <w:tcW w:w="420" w:type="dxa"/>
            <w:tcBorders>
              <w:bottom w:val="single" w:sz="8" w:space="0" w:color="auto"/>
            </w:tcBorders>
            <w:vAlign w:val="bottom"/>
          </w:tcPr>
          <w:p w14:paraId="5B2AD57B" w14:textId="77777777" w:rsidR="00D1587D" w:rsidRDefault="00D1587D">
            <w:pPr>
              <w:rPr>
                <w:sz w:val="17"/>
                <w:szCs w:val="17"/>
              </w:rPr>
            </w:pPr>
          </w:p>
        </w:tc>
        <w:tc>
          <w:tcPr>
            <w:tcW w:w="300" w:type="dxa"/>
            <w:tcBorders>
              <w:bottom w:val="single" w:sz="8" w:space="0" w:color="auto"/>
            </w:tcBorders>
            <w:vAlign w:val="bottom"/>
          </w:tcPr>
          <w:p w14:paraId="154CBDFB" w14:textId="77777777" w:rsidR="00D1587D" w:rsidRDefault="00D1587D">
            <w:pPr>
              <w:rPr>
                <w:sz w:val="17"/>
                <w:szCs w:val="17"/>
              </w:rPr>
            </w:pPr>
          </w:p>
        </w:tc>
        <w:tc>
          <w:tcPr>
            <w:tcW w:w="720" w:type="dxa"/>
            <w:tcBorders>
              <w:bottom w:val="single" w:sz="8" w:space="0" w:color="auto"/>
            </w:tcBorders>
            <w:vAlign w:val="bottom"/>
          </w:tcPr>
          <w:p w14:paraId="3C21080C" w14:textId="77777777" w:rsidR="00D1587D" w:rsidRDefault="00D1587D">
            <w:pPr>
              <w:rPr>
                <w:sz w:val="17"/>
                <w:szCs w:val="17"/>
              </w:rPr>
            </w:pPr>
          </w:p>
        </w:tc>
        <w:tc>
          <w:tcPr>
            <w:tcW w:w="300" w:type="dxa"/>
            <w:tcBorders>
              <w:bottom w:val="single" w:sz="8" w:space="0" w:color="auto"/>
            </w:tcBorders>
            <w:vAlign w:val="bottom"/>
          </w:tcPr>
          <w:p w14:paraId="5A3E813C" w14:textId="77777777" w:rsidR="00D1587D" w:rsidRDefault="00D1587D">
            <w:pPr>
              <w:rPr>
                <w:sz w:val="17"/>
                <w:szCs w:val="17"/>
              </w:rPr>
            </w:pPr>
          </w:p>
        </w:tc>
        <w:tc>
          <w:tcPr>
            <w:tcW w:w="740" w:type="dxa"/>
            <w:tcBorders>
              <w:bottom w:val="single" w:sz="8" w:space="0" w:color="auto"/>
            </w:tcBorders>
            <w:vAlign w:val="bottom"/>
          </w:tcPr>
          <w:p w14:paraId="2AF0C293" w14:textId="77777777" w:rsidR="00D1587D" w:rsidRDefault="00D1587D">
            <w:pPr>
              <w:rPr>
                <w:sz w:val="17"/>
                <w:szCs w:val="17"/>
              </w:rPr>
            </w:pPr>
          </w:p>
        </w:tc>
        <w:tc>
          <w:tcPr>
            <w:tcW w:w="1300" w:type="dxa"/>
            <w:tcBorders>
              <w:bottom w:val="single" w:sz="8" w:space="0" w:color="auto"/>
            </w:tcBorders>
            <w:vAlign w:val="bottom"/>
          </w:tcPr>
          <w:p w14:paraId="71654AD4" w14:textId="77777777" w:rsidR="00D1587D" w:rsidRDefault="00D1587D">
            <w:pPr>
              <w:rPr>
                <w:sz w:val="17"/>
                <w:szCs w:val="17"/>
              </w:rPr>
            </w:pPr>
          </w:p>
        </w:tc>
      </w:tr>
    </w:tbl>
    <w:p w14:paraId="25CB6093" w14:textId="77777777" w:rsidR="00D1587D" w:rsidRDefault="00410D07">
      <w:pPr>
        <w:spacing w:line="20" w:lineRule="exact"/>
        <w:rPr>
          <w:sz w:val="20"/>
          <w:szCs w:val="20"/>
        </w:rPr>
      </w:pPr>
      <w:r>
        <w:rPr>
          <w:noProof/>
          <w:sz w:val="20"/>
          <w:szCs w:val="20"/>
        </w:rPr>
        <w:drawing>
          <wp:anchor distT="0" distB="0" distL="114300" distR="114300" simplePos="0" relativeHeight="251803648" behindDoc="1" locked="0" layoutInCell="0" allowOverlap="1" wp14:anchorId="2023A20E" wp14:editId="120CB567">
            <wp:simplePos x="0" y="0"/>
            <wp:positionH relativeFrom="column">
              <wp:posOffset>5518150</wp:posOffset>
            </wp:positionH>
            <wp:positionV relativeFrom="paragraph">
              <wp:posOffset>-668020</wp:posOffset>
            </wp:positionV>
            <wp:extent cx="188595" cy="8890"/>
            <wp:effectExtent l="0" t="0" r="0" b="0"/>
            <wp:wrapNone/>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1804672" behindDoc="1" locked="0" layoutInCell="0" allowOverlap="1" wp14:anchorId="0C97DA62" wp14:editId="38A18A4A">
            <wp:simplePos x="0" y="0"/>
            <wp:positionH relativeFrom="column">
              <wp:posOffset>4866640</wp:posOffset>
            </wp:positionH>
            <wp:positionV relativeFrom="paragraph">
              <wp:posOffset>-668020</wp:posOffset>
            </wp:positionV>
            <wp:extent cx="188595" cy="8890"/>
            <wp:effectExtent l="0" t="0" r="0" b="0"/>
            <wp:wrapNone/>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1805696" behindDoc="1" locked="0" layoutInCell="0" allowOverlap="1" wp14:anchorId="28430490" wp14:editId="2E12CD53">
            <wp:simplePos x="0" y="0"/>
            <wp:positionH relativeFrom="column">
              <wp:posOffset>4497705</wp:posOffset>
            </wp:positionH>
            <wp:positionV relativeFrom="paragraph">
              <wp:posOffset>-668020</wp:posOffset>
            </wp:positionV>
            <wp:extent cx="93980" cy="8890"/>
            <wp:effectExtent l="0" t="0" r="0" b="0"/>
            <wp:wrapNone/>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65"/>
                    <a:srcRect/>
                    <a:stretch>
                      <a:fillRect/>
                    </a:stretch>
                  </pic:blipFill>
                  <pic:spPr bwMode="auto">
                    <a:xfrm>
                      <a:off x="0" y="0"/>
                      <a:ext cx="93980" cy="8890"/>
                    </a:xfrm>
                    <a:prstGeom prst="rect">
                      <a:avLst/>
                    </a:prstGeom>
                    <a:noFill/>
                  </pic:spPr>
                </pic:pic>
              </a:graphicData>
            </a:graphic>
          </wp:anchor>
        </w:drawing>
      </w:r>
      <w:r>
        <w:rPr>
          <w:noProof/>
          <w:sz w:val="20"/>
          <w:szCs w:val="20"/>
        </w:rPr>
        <w:drawing>
          <wp:anchor distT="0" distB="0" distL="114300" distR="114300" simplePos="0" relativeHeight="251806720" behindDoc="1" locked="0" layoutInCell="0" allowOverlap="1" wp14:anchorId="225BA7CB" wp14:editId="3140EAE4">
            <wp:simplePos x="0" y="0"/>
            <wp:positionH relativeFrom="column">
              <wp:posOffset>5518150</wp:posOffset>
            </wp:positionH>
            <wp:positionV relativeFrom="paragraph">
              <wp:posOffset>-1104900</wp:posOffset>
            </wp:positionV>
            <wp:extent cx="188595" cy="8890"/>
            <wp:effectExtent l="0" t="0" r="0" b="0"/>
            <wp:wrapNone/>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1807744" behindDoc="1" locked="0" layoutInCell="0" allowOverlap="1" wp14:anchorId="228005FF" wp14:editId="2472C0F5">
            <wp:simplePos x="0" y="0"/>
            <wp:positionH relativeFrom="column">
              <wp:posOffset>4866640</wp:posOffset>
            </wp:positionH>
            <wp:positionV relativeFrom="paragraph">
              <wp:posOffset>-1104900</wp:posOffset>
            </wp:positionV>
            <wp:extent cx="188595" cy="8890"/>
            <wp:effectExtent l="0" t="0" r="0" b="0"/>
            <wp:wrapNone/>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1808768" behindDoc="1" locked="0" layoutInCell="0" allowOverlap="1" wp14:anchorId="61614F1E" wp14:editId="6D25231D">
            <wp:simplePos x="0" y="0"/>
            <wp:positionH relativeFrom="column">
              <wp:posOffset>4497705</wp:posOffset>
            </wp:positionH>
            <wp:positionV relativeFrom="paragraph">
              <wp:posOffset>-1104900</wp:posOffset>
            </wp:positionV>
            <wp:extent cx="93980" cy="8890"/>
            <wp:effectExtent l="0" t="0" r="0" b="0"/>
            <wp:wrapNone/>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65"/>
                    <a:srcRect/>
                    <a:stretch>
                      <a:fillRect/>
                    </a:stretch>
                  </pic:blipFill>
                  <pic:spPr bwMode="auto">
                    <a:xfrm>
                      <a:off x="0" y="0"/>
                      <a:ext cx="93980" cy="8890"/>
                    </a:xfrm>
                    <a:prstGeom prst="rect">
                      <a:avLst/>
                    </a:prstGeom>
                    <a:noFill/>
                  </pic:spPr>
                </pic:pic>
              </a:graphicData>
            </a:graphic>
          </wp:anchor>
        </w:drawing>
      </w:r>
    </w:p>
    <w:p w14:paraId="0644B748" w14:textId="77777777" w:rsidR="00D1587D" w:rsidRDefault="00D1587D">
      <w:pPr>
        <w:sectPr w:rsidR="00D1587D">
          <w:pgSz w:w="11900" w:h="16838"/>
          <w:pgMar w:top="265" w:right="439" w:bottom="1440" w:left="440" w:header="0" w:footer="0" w:gutter="0"/>
          <w:cols w:space="720" w:equalWidth="0">
            <w:col w:w="11020"/>
          </w:cols>
        </w:sectPr>
      </w:pPr>
    </w:p>
    <w:bookmarkStart w:id="355" w:name="page356"/>
    <w:bookmarkEnd w:id="355"/>
    <w:p w14:paraId="1537EA66"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D280919" w14:textId="77777777" w:rsidR="00D1587D" w:rsidRDefault="00D1587D">
      <w:pPr>
        <w:spacing w:line="131" w:lineRule="exact"/>
        <w:rPr>
          <w:sz w:val="20"/>
          <w:szCs w:val="20"/>
        </w:rPr>
      </w:pPr>
    </w:p>
    <w:p w14:paraId="23F1C6D8" w14:textId="77777777" w:rsidR="00D1587D" w:rsidRDefault="00410D07">
      <w:pPr>
        <w:ind w:left="300"/>
        <w:rPr>
          <w:sz w:val="20"/>
          <w:szCs w:val="20"/>
        </w:rPr>
      </w:pPr>
      <w:r>
        <w:rPr>
          <w:rFonts w:ascii="Arial" w:eastAsia="Arial" w:hAnsi="Arial" w:cs="Arial"/>
          <w:b/>
          <w:bCs/>
          <w:i/>
          <w:iCs/>
          <w:sz w:val="18"/>
          <w:szCs w:val="18"/>
        </w:rPr>
        <w:t>Facilities</w:t>
      </w:r>
    </w:p>
    <w:p w14:paraId="0D66203E" w14:textId="77777777" w:rsidR="00D1587D" w:rsidRDefault="00D1587D">
      <w:pPr>
        <w:spacing w:line="117" w:lineRule="exact"/>
        <w:rPr>
          <w:sz w:val="20"/>
          <w:szCs w:val="20"/>
        </w:rPr>
      </w:pPr>
    </w:p>
    <w:p w14:paraId="21EFA0D9" w14:textId="77777777" w:rsidR="00D1587D" w:rsidRDefault="00410D07">
      <w:pPr>
        <w:spacing w:line="277" w:lineRule="auto"/>
        <w:ind w:left="300" w:right="439" w:firstLine="360"/>
        <w:rPr>
          <w:sz w:val="20"/>
          <w:szCs w:val="20"/>
        </w:rPr>
      </w:pPr>
      <w:r>
        <w:rPr>
          <w:rFonts w:ascii="Arial" w:eastAsia="Arial" w:hAnsi="Arial" w:cs="Arial"/>
          <w:sz w:val="18"/>
          <w:szCs w:val="18"/>
        </w:rPr>
        <w:t>The following table provides the location, use and size of our distribution, corporate and product development facilities as of January 30, 2021:</w:t>
      </w:r>
    </w:p>
    <w:p w14:paraId="00FA72C3" w14:textId="77777777" w:rsidR="00D1587D" w:rsidRDefault="00D1587D">
      <w:pPr>
        <w:spacing w:line="12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3240"/>
        <w:gridCol w:w="280"/>
        <w:gridCol w:w="3640"/>
        <w:gridCol w:w="280"/>
        <w:gridCol w:w="980"/>
        <w:gridCol w:w="20"/>
      </w:tblGrid>
      <w:tr w:rsidR="00D1587D" w14:paraId="2A131A8E" w14:textId="77777777">
        <w:trPr>
          <w:trHeight w:val="161"/>
        </w:trPr>
        <w:tc>
          <w:tcPr>
            <w:tcW w:w="3240" w:type="dxa"/>
            <w:vMerge w:val="restart"/>
            <w:vAlign w:val="bottom"/>
          </w:tcPr>
          <w:p w14:paraId="231152B9" w14:textId="77777777" w:rsidR="00D1587D" w:rsidRDefault="00410D07">
            <w:pPr>
              <w:rPr>
                <w:sz w:val="20"/>
                <w:szCs w:val="20"/>
              </w:rPr>
            </w:pPr>
            <w:r>
              <w:rPr>
                <w:rFonts w:ascii="Arial" w:eastAsia="Arial" w:hAnsi="Arial" w:cs="Arial"/>
                <w:b/>
                <w:bCs/>
                <w:sz w:val="14"/>
                <w:szCs w:val="14"/>
              </w:rPr>
              <w:t>Location</w:t>
            </w:r>
          </w:p>
        </w:tc>
        <w:tc>
          <w:tcPr>
            <w:tcW w:w="280" w:type="dxa"/>
            <w:vAlign w:val="bottom"/>
          </w:tcPr>
          <w:p w14:paraId="6A9F394E" w14:textId="77777777" w:rsidR="00D1587D" w:rsidRDefault="00D1587D">
            <w:pPr>
              <w:rPr>
                <w:sz w:val="14"/>
                <w:szCs w:val="14"/>
              </w:rPr>
            </w:pPr>
          </w:p>
        </w:tc>
        <w:tc>
          <w:tcPr>
            <w:tcW w:w="3920" w:type="dxa"/>
            <w:gridSpan w:val="2"/>
            <w:vMerge w:val="restart"/>
            <w:vAlign w:val="bottom"/>
          </w:tcPr>
          <w:p w14:paraId="79665038" w14:textId="77777777" w:rsidR="00D1587D" w:rsidRDefault="00410D07">
            <w:pPr>
              <w:ind w:left="1700"/>
              <w:rPr>
                <w:sz w:val="20"/>
                <w:szCs w:val="20"/>
              </w:rPr>
            </w:pPr>
            <w:r>
              <w:rPr>
                <w:rFonts w:ascii="Arial" w:eastAsia="Arial" w:hAnsi="Arial" w:cs="Arial"/>
                <w:b/>
                <w:bCs/>
                <w:sz w:val="14"/>
                <w:szCs w:val="14"/>
              </w:rPr>
              <w:t>Use</w:t>
            </w:r>
          </w:p>
        </w:tc>
        <w:tc>
          <w:tcPr>
            <w:tcW w:w="980" w:type="dxa"/>
            <w:vAlign w:val="bottom"/>
          </w:tcPr>
          <w:p w14:paraId="652065A2" w14:textId="77777777" w:rsidR="00D1587D" w:rsidRDefault="00410D07">
            <w:pPr>
              <w:ind w:right="14"/>
              <w:jc w:val="right"/>
              <w:rPr>
                <w:sz w:val="20"/>
                <w:szCs w:val="20"/>
              </w:rPr>
            </w:pPr>
            <w:r>
              <w:rPr>
                <w:rFonts w:ascii="Arial" w:eastAsia="Arial" w:hAnsi="Arial" w:cs="Arial"/>
                <w:b/>
                <w:bCs/>
                <w:sz w:val="14"/>
                <w:szCs w:val="14"/>
              </w:rPr>
              <w:t>Approximate</w:t>
            </w:r>
          </w:p>
        </w:tc>
        <w:tc>
          <w:tcPr>
            <w:tcW w:w="0" w:type="dxa"/>
            <w:vAlign w:val="bottom"/>
          </w:tcPr>
          <w:p w14:paraId="26E7EA45" w14:textId="77777777" w:rsidR="00D1587D" w:rsidRDefault="00D1587D">
            <w:pPr>
              <w:rPr>
                <w:sz w:val="1"/>
                <w:szCs w:val="1"/>
              </w:rPr>
            </w:pPr>
          </w:p>
        </w:tc>
      </w:tr>
      <w:tr w:rsidR="00D1587D" w14:paraId="723F8EB3" w14:textId="77777777">
        <w:trPr>
          <w:trHeight w:val="186"/>
        </w:trPr>
        <w:tc>
          <w:tcPr>
            <w:tcW w:w="3240" w:type="dxa"/>
            <w:vMerge/>
            <w:vAlign w:val="bottom"/>
          </w:tcPr>
          <w:p w14:paraId="39EE89FC" w14:textId="77777777" w:rsidR="00D1587D" w:rsidRDefault="00D1587D">
            <w:pPr>
              <w:rPr>
                <w:sz w:val="16"/>
                <w:szCs w:val="16"/>
              </w:rPr>
            </w:pPr>
          </w:p>
        </w:tc>
        <w:tc>
          <w:tcPr>
            <w:tcW w:w="280" w:type="dxa"/>
            <w:vAlign w:val="bottom"/>
          </w:tcPr>
          <w:p w14:paraId="0F305E91" w14:textId="77777777" w:rsidR="00D1587D" w:rsidRDefault="00D1587D">
            <w:pPr>
              <w:rPr>
                <w:sz w:val="16"/>
                <w:szCs w:val="16"/>
              </w:rPr>
            </w:pPr>
          </w:p>
        </w:tc>
        <w:tc>
          <w:tcPr>
            <w:tcW w:w="3920" w:type="dxa"/>
            <w:gridSpan w:val="2"/>
            <w:vMerge/>
            <w:vAlign w:val="bottom"/>
          </w:tcPr>
          <w:p w14:paraId="4DA8A83B" w14:textId="77777777" w:rsidR="00D1587D" w:rsidRDefault="00D1587D">
            <w:pPr>
              <w:rPr>
                <w:sz w:val="16"/>
                <w:szCs w:val="16"/>
              </w:rPr>
            </w:pPr>
          </w:p>
        </w:tc>
        <w:tc>
          <w:tcPr>
            <w:tcW w:w="980" w:type="dxa"/>
            <w:vAlign w:val="bottom"/>
          </w:tcPr>
          <w:p w14:paraId="5A4ACB2E" w14:textId="77777777" w:rsidR="00D1587D" w:rsidRDefault="00410D07">
            <w:pPr>
              <w:jc w:val="right"/>
              <w:rPr>
                <w:sz w:val="20"/>
                <w:szCs w:val="20"/>
              </w:rPr>
            </w:pPr>
            <w:r>
              <w:rPr>
                <w:rFonts w:ascii="Arial" w:eastAsia="Arial" w:hAnsi="Arial" w:cs="Arial"/>
                <w:b/>
                <w:bCs/>
                <w:w w:val="88"/>
                <w:sz w:val="14"/>
                <w:szCs w:val="14"/>
              </w:rPr>
              <w:t xml:space="preserve">Square </w:t>
            </w:r>
            <w:r>
              <w:rPr>
                <w:rFonts w:ascii="Arial" w:eastAsia="Arial" w:hAnsi="Arial" w:cs="Arial"/>
                <w:b/>
                <w:bCs/>
                <w:w w:val="88"/>
                <w:sz w:val="14"/>
                <w:szCs w:val="14"/>
              </w:rPr>
              <w:t>Footage</w:t>
            </w:r>
          </w:p>
        </w:tc>
        <w:tc>
          <w:tcPr>
            <w:tcW w:w="0" w:type="dxa"/>
            <w:vAlign w:val="bottom"/>
          </w:tcPr>
          <w:p w14:paraId="02618532" w14:textId="77777777" w:rsidR="00D1587D" w:rsidRDefault="00D1587D">
            <w:pPr>
              <w:rPr>
                <w:sz w:val="1"/>
                <w:szCs w:val="1"/>
              </w:rPr>
            </w:pPr>
          </w:p>
        </w:tc>
      </w:tr>
      <w:tr w:rsidR="00D1587D" w14:paraId="6FF47DC1" w14:textId="77777777">
        <w:trPr>
          <w:trHeight w:val="53"/>
        </w:trPr>
        <w:tc>
          <w:tcPr>
            <w:tcW w:w="3240" w:type="dxa"/>
            <w:tcBorders>
              <w:bottom w:val="single" w:sz="8" w:space="0" w:color="auto"/>
            </w:tcBorders>
            <w:vAlign w:val="bottom"/>
          </w:tcPr>
          <w:p w14:paraId="0B526A6F" w14:textId="77777777" w:rsidR="00D1587D" w:rsidRDefault="00D1587D">
            <w:pPr>
              <w:rPr>
                <w:sz w:val="4"/>
                <w:szCs w:val="4"/>
              </w:rPr>
            </w:pPr>
          </w:p>
        </w:tc>
        <w:tc>
          <w:tcPr>
            <w:tcW w:w="280" w:type="dxa"/>
            <w:tcBorders>
              <w:bottom w:val="single" w:sz="8" w:space="0" w:color="CCEEFF"/>
            </w:tcBorders>
            <w:vAlign w:val="bottom"/>
          </w:tcPr>
          <w:p w14:paraId="73C9E309" w14:textId="77777777" w:rsidR="00D1587D" w:rsidRDefault="00D1587D">
            <w:pPr>
              <w:rPr>
                <w:sz w:val="4"/>
                <w:szCs w:val="4"/>
              </w:rPr>
            </w:pPr>
          </w:p>
        </w:tc>
        <w:tc>
          <w:tcPr>
            <w:tcW w:w="3640" w:type="dxa"/>
            <w:tcBorders>
              <w:bottom w:val="single" w:sz="8" w:space="0" w:color="auto"/>
            </w:tcBorders>
            <w:vAlign w:val="bottom"/>
          </w:tcPr>
          <w:p w14:paraId="2317D1BF" w14:textId="77777777" w:rsidR="00D1587D" w:rsidRDefault="00D1587D">
            <w:pPr>
              <w:rPr>
                <w:sz w:val="4"/>
                <w:szCs w:val="4"/>
              </w:rPr>
            </w:pPr>
          </w:p>
        </w:tc>
        <w:tc>
          <w:tcPr>
            <w:tcW w:w="280" w:type="dxa"/>
            <w:tcBorders>
              <w:bottom w:val="single" w:sz="8" w:space="0" w:color="CCEEFF"/>
            </w:tcBorders>
            <w:vAlign w:val="bottom"/>
          </w:tcPr>
          <w:p w14:paraId="63D6616E" w14:textId="77777777" w:rsidR="00D1587D" w:rsidRDefault="00D1587D">
            <w:pPr>
              <w:rPr>
                <w:sz w:val="4"/>
                <w:szCs w:val="4"/>
              </w:rPr>
            </w:pPr>
          </w:p>
        </w:tc>
        <w:tc>
          <w:tcPr>
            <w:tcW w:w="980" w:type="dxa"/>
            <w:tcBorders>
              <w:bottom w:val="single" w:sz="8" w:space="0" w:color="auto"/>
            </w:tcBorders>
            <w:vAlign w:val="bottom"/>
          </w:tcPr>
          <w:p w14:paraId="32649905" w14:textId="77777777" w:rsidR="00D1587D" w:rsidRDefault="00D1587D">
            <w:pPr>
              <w:rPr>
                <w:sz w:val="4"/>
                <w:szCs w:val="4"/>
              </w:rPr>
            </w:pPr>
          </w:p>
        </w:tc>
        <w:tc>
          <w:tcPr>
            <w:tcW w:w="0" w:type="dxa"/>
            <w:vAlign w:val="bottom"/>
          </w:tcPr>
          <w:p w14:paraId="584F2969" w14:textId="77777777" w:rsidR="00D1587D" w:rsidRDefault="00D1587D">
            <w:pPr>
              <w:rPr>
                <w:sz w:val="1"/>
                <w:szCs w:val="1"/>
              </w:rPr>
            </w:pPr>
          </w:p>
        </w:tc>
      </w:tr>
      <w:tr w:rsidR="00D1587D" w14:paraId="1A5EDC0C" w14:textId="77777777">
        <w:trPr>
          <w:trHeight w:val="311"/>
        </w:trPr>
        <w:tc>
          <w:tcPr>
            <w:tcW w:w="3240" w:type="dxa"/>
            <w:tcBorders>
              <w:bottom w:val="single" w:sz="8" w:space="0" w:color="CCEEFF"/>
            </w:tcBorders>
            <w:shd w:val="clear" w:color="auto" w:fill="CCEEFF"/>
            <w:vAlign w:val="bottom"/>
          </w:tcPr>
          <w:p w14:paraId="11894270" w14:textId="77777777" w:rsidR="00D1587D" w:rsidRDefault="00410D07">
            <w:pPr>
              <w:rPr>
                <w:sz w:val="20"/>
                <w:szCs w:val="20"/>
              </w:rPr>
            </w:pPr>
            <w:r>
              <w:rPr>
                <w:rFonts w:ascii="Arial" w:eastAsia="Arial" w:hAnsi="Arial" w:cs="Arial"/>
                <w:sz w:val="18"/>
                <w:szCs w:val="18"/>
              </w:rPr>
              <w:t>Columbus, Ohio area</w:t>
            </w:r>
          </w:p>
        </w:tc>
        <w:tc>
          <w:tcPr>
            <w:tcW w:w="4200" w:type="dxa"/>
            <w:gridSpan w:val="3"/>
            <w:tcBorders>
              <w:bottom w:val="single" w:sz="8" w:space="0" w:color="CCEEFF"/>
            </w:tcBorders>
            <w:shd w:val="clear" w:color="auto" w:fill="CCEEFF"/>
            <w:vAlign w:val="bottom"/>
          </w:tcPr>
          <w:p w14:paraId="59C676C3" w14:textId="77777777" w:rsidR="00D1587D" w:rsidRDefault="00410D07">
            <w:pPr>
              <w:ind w:left="280"/>
              <w:rPr>
                <w:sz w:val="20"/>
                <w:szCs w:val="20"/>
              </w:rPr>
            </w:pPr>
            <w:r>
              <w:rPr>
                <w:rFonts w:ascii="Arial" w:eastAsia="Arial" w:hAnsi="Arial" w:cs="Arial"/>
                <w:sz w:val="18"/>
                <w:szCs w:val="18"/>
              </w:rPr>
              <w:t>Distribution, shipping and corporate offices</w:t>
            </w:r>
          </w:p>
        </w:tc>
        <w:tc>
          <w:tcPr>
            <w:tcW w:w="980" w:type="dxa"/>
            <w:tcBorders>
              <w:bottom w:val="single" w:sz="8" w:space="0" w:color="CCEEFF"/>
            </w:tcBorders>
            <w:shd w:val="clear" w:color="auto" w:fill="CCEEFF"/>
            <w:vAlign w:val="bottom"/>
          </w:tcPr>
          <w:p w14:paraId="2DC6F9E5" w14:textId="77777777" w:rsidR="00D1587D" w:rsidRDefault="00410D07">
            <w:pPr>
              <w:ind w:right="54"/>
              <w:jc w:val="right"/>
              <w:rPr>
                <w:sz w:val="20"/>
                <w:szCs w:val="20"/>
              </w:rPr>
            </w:pPr>
            <w:r>
              <w:rPr>
                <w:rFonts w:ascii="Arial" w:eastAsia="Arial" w:hAnsi="Arial" w:cs="Arial"/>
                <w:sz w:val="18"/>
                <w:szCs w:val="18"/>
              </w:rPr>
              <w:t>3,010,000</w:t>
            </w:r>
          </w:p>
        </w:tc>
        <w:tc>
          <w:tcPr>
            <w:tcW w:w="0" w:type="dxa"/>
            <w:vAlign w:val="bottom"/>
          </w:tcPr>
          <w:p w14:paraId="456DA4FA" w14:textId="77777777" w:rsidR="00D1587D" w:rsidRDefault="00D1587D">
            <w:pPr>
              <w:rPr>
                <w:sz w:val="1"/>
                <w:szCs w:val="1"/>
              </w:rPr>
            </w:pPr>
          </w:p>
        </w:tc>
      </w:tr>
      <w:tr w:rsidR="00D1587D" w14:paraId="45129317" w14:textId="77777777">
        <w:trPr>
          <w:trHeight w:val="270"/>
        </w:trPr>
        <w:tc>
          <w:tcPr>
            <w:tcW w:w="3240" w:type="dxa"/>
            <w:vAlign w:val="bottom"/>
          </w:tcPr>
          <w:p w14:paraId="442C67F0" w14:textId="77777777" w:rsidR="00D1587D" w:rsidRDefault="00410D07">
            <w:pPr>
              <w:rPr>
                <w:sz w:val="20"/>
                <w:szCs w:val="20"/>
              </w:rPr>
            </w:pPr>
            <w:r>
              <w:rPr>
                <w:rFonts w:ascii="Arial" w:eastAsia="Arial" w:hAnsi="Arial" w:cs="Arial"/>
                <w:sz w:val="18"/>
                <w:szCs w:val="18"/>
              </w:rPr>
              <w:t>New York</w:t>
            </w:r>
          </w:p>
        </w:tc>
        <w:tc>
          <w:tcPr>
            <w:tcW w:w="4200" w:type="dxa"/>
            <w:gridSpan w:val="3"/>
            <w:vAlign w:val="bottom"/>
          </w:tcPr>
          <w:p w14:paraId="769C4923" w14:textId="77777777" w:rsidR="00D1587D" w:rsidRDefault="00410D07">
            <w:pPr>
              <w:ind w:left="280"/>
              <w:rPr>
                <w:sz w:val="20"/>
                <w:szCs w:val="20"/>
              </w:rPr>
            </w:pPr>
            <w:r>
              <w:rPr>
                <w:rFonts w:ascii="Arial" w:eastAsia="Arial" w:hAnsi="Arial" w:cs="Arial"/>
                <w:w w:val="99"/>
                <w:sz w:val="18"/>
                <w:szCs w:val="18"/>
              </w:rPr>
              <w:t>Office, sourcing and product development/design</w:t>
            </w:r>
          </w:p>
        </w:tc>
        <w:tc>
          <w:tcPr>
            <w:tcW w:w="980" w:type="dxa"/>
            <w:vAlign w:val="bottom"/>
          </w:tcPr>
          <w:p w14:paraId="64AEB395" w14:textId="77777777" w:rsidR="00D1587D" w:rsidRDefault="00410D07">
            <w:pPr>
              <w:ind w:right="54"/>
              <w:jc w:val="right"/>
              <w:rPr>
                <w:sz w:val="20"/>
                <w:szCs w:val="20"/>
              </w:rPr>
            </w:pPr>
            <w:r>
              <w:rPr>
                <w:rFonts w:ascii="Arial" w:eastAsia="Arial" w:hAnsi="Arial" w:cs="Arial"/>
                <w:sz w:val="18"/>
                <w:szCs w:val="18"/>
              </w:rPr>
              <w:t>445,000</w:t>
            </w:r>
          </w:p>
        </w:tc>
        <w:tc>
          <w:tcPr>
            <w:tcW w:w="0" w:type="dxa"/>
            <w:vAlign w:val="bottom"/>
          </w:tcPr>
          <w:p w14:paraId="1D2C3C50" w14:textId="77777777" w:rsidR="00D1587D" w:rsidRDefault="00D1587D">
            <w:pPr>
              <w:rPr>
                <w:sz w:val="1"/>
                <w:szCs w:val="1"/>
              </w:rPr>
            </w:pPr>
          </w:p>
        </w:tc>
      </w:tr>
      <w:tr w:rsidR="00D1587D" w14:paraId="69DF4B85" w14:textId="77777777">
        <w:trPr>
          <w:trHeight w:val="54"/>
        </w:trPr>
        <w:tc>
          <w:tcPr>
            <w:tcW w:w="3240" w:type="dxa"/>
            <w:vAlign w:val="bottom"/>
          </w:tcPr>
          <w:p w14:paraId="74A1C4E0" w14:textId="77777777" w:rsidR="00D1587D" w:rsidRDefault="00D1587D">
            <w:pPr>
              <w:rPr>
                <w:sz w:val="4"/>
                <w:szCs w:val="4"/>
              </w:rPr>
            </w:pPr>
          </w:p>
        </w:tc>
        <w:tc>
          <w:tcPr>
            <w:tcW w:w="280" w:type="dxa"/>
            <w:vAlign w:val="bottom"/>
          </w:tcPr>
          <w:p w14:paraId="7D0AB850" w14:textId="77777777" w:rsidR="00D1587D" w:rsidRDefault="00D1587D">
            <w:pPr>
              <w:rPr>
                <w:sz w:val="4"/>
                <w:szCs w:val="4"/>
              </w:rPr>
            </w:pPr>
          </w:p>
        </w:tc>
        <w:tc>
          <w:tcPr>
            <w:tcW w:w="3640" w:type="dxa"/>
            <w:vAlign w:val="bottom"/>
          </w:tcPr>
          <w:p w14:paraId="1F4DC77B" w14:textId="77777777" w:rsidR="00D1587D" w:rsidRDefault="00D1587D">
            <w:pPr>
              <w:rPr>
                <w:sz w:val="4"/>
                <w:szCs w:val="4"/>
              </w:rPr>
            </w:pPr>
          </w:p>
        </w:tc>
        <w:tc>
          <w:tcPr>
            <w:tcW w:w="280" w:type="dxa"/>
            <w:vAlign w:val="bottom"/>
          </w:tcPr>
          <w:p w14:paraId="05EA7B40" w14:textId="77777777" w:rsidR="00D1587D" w:rsidRDefault="00D1587D">
            <w:pPr>
              <w:rPr>
                <w:sz w:val="4"/>
                <w:szCs w:val="4"/>
              </w:rPr>
            </w:pPr>
          </w:p>
        </w:tc>
        <w:tc>
          <w:tcPr>
            <w:tcW w:w="980" w:type="dxa"/>
            <w:vAlign w:val="bottom"/>
          </w:tcPr>
          <w:p w14:paraId="0F86F742" w14:textId="77777777" w:rsidR="00D1587D" w:rsidRDefault="00D1587D">
            <w:pPr>
              <w:rPr>
                <w:sz w:val="4"/>
                <w:szCs w:val="4"/>
              </w:rPr>
            </w:pPr>
          </w:p>
        </w:tc>
        <w:tc>
          <w:tcPr>
            <w:tcW w:w="0" w:type="dxa"/>
            <w:vAlign w:val="bottom"/>
          </w:tcPr>
          <w:p w14:paraId="47C84A82" w14:textId="77777777" w:rsidR="00D1587D" w:rsidRDefault="00D1587D">
            <w:pPr>
              <w:rPr>
                <w:sz w:val="1"/>
                <w:szCs w:val="1"/>
              </w:rPr>
            </w:pPr>
          </w:p>
        </w:tc>
      </w:tr>
      <w:tr w:rsidR="00D1587D" w14:paraId="410DC534" w14:textId="77777777">
        <w:trPr>
          <w:trHeight w:val="304"/>
        </w:trPr>
        <w:tc>
          <w:tcPr>
            <w:tcW w:w="3240" w:type="dxa"/>
            <w:tcBorders>
              <w:bottom w:val="single" w:sz="8" w:space="0" w:color="CCEEFF"/>
            </w:tcBorders>
            <w:shd w:val="clear" w:color="auto" w:fill="CCEEFF"/>
            <w:vAlign w:val="bottom"/>
          </w:tcPr>
          <w:p w14:paraId="3661158B" w14:textId="77777777" w:rsidR="00D1587D" w:rsidRDefault="00410D07">
            <w:pPr>
              <w:rPr>
                <w:sz w:val="20"/>
                <w:szCs w:val="20"/>
              </w:rPr>
            </w:pPr>
            <w:r>
              <w:rPr>
                <w:rFonts w:ascii="Arial" w:eastAsia="Arial" w:hAnsi="Arial" w:cs="Arial"/>
                <w:sz w:val="18"/>
                <w:szCs w:val="18"/>
              </w:rPr>
              <w:t>Kettering, Ohio</w:t>
            </w:r>
          </w:p>
        </w:tc>
        <w:tc>
          <w:tcPr>
            <w:tcW w:w="4200" w:type="dxa"/>
            <w:gridSpan w:val="3"/>
            <w:tcBorders>
              <w:bottom w:val="single" w:sz="8" w:space="0" w:color="CCEEFF"/>
            </w:tcBorders>
            <w:shd w:val="clear" w:color="auto" w:fill="CCEEFF"/>
            <w:vAlign w:val="bottom"/>
          </w:tcPr>
          <w:p w14:paraId="4584425F" w14:textId="77777777" w:rsidR="00D1587D" w:rsidRDefault="00410D07">
            <w:pPr>
              <w:ind w:left="280"/>
              <w:rPr>
                <w:sz w:val="20"/>
                <w:szCs w:val="20"/>
              </w:rPr>
            </w:pPr>
            <w:r>
              <w:rPr>
                <w:rFonts w:ascii="Arial" w:eastAsia="Arial" w:hAnsi="Arial" w:cs="Arial"/>
                <w:sz w:val="18"/>
                <w:szCs w:val="18"/>
              </w:rPr>
              <w:t>Call center</w:t>
            </w:r>
          </w:p>
        </w:tc>
        <w:tc>
          <w:tcPr>
            <w:tcW w:w="980" w:type="dxa"/>
            <w:tcBorders>
              <w:bottom w:val="single" w:sz="8" w:space="0" w:color="CCEEFF"/>
            </w:tcBorders>
            <w:shd w:val="clear" w:color="auto" w:fill="CCEEFF"/>
            <w:vAlign w:val="bottom"/>
          </w:tcPr>
          <w:p w14:paraId="7DF31E49" w14:textId="77777777" w:rsidR="00D1587D" w:rsidRDefault="00410D07">
            <w:pPr>
              <w:ind w:right="74"/>
              <w:jc w:val="right"/>
              <w:rPr>
                <w:sz w:val="20"/>
                <w:szCs w:val="20"/>
              </w:rPr>
            </w:pPr>
            <w:r>
              <w:rPr>
                <w:rFonts w:ascii="Arial" w:eastAsia="Arial" w:hAnsi="Arial" w:cs="Arial"/>
                <w:sz w:val="18"/>
                <w:szCs w:val="18"/>
              </w:rPr>
              <w:t>94,000</w:t>
            </w:r>
          </w:p>
        </w:tc>
        <w:tc>
          <w:tcPr>
            <w:tcW w:w="0" w:type="dxa"/>
            <w:vAlign w:val="bottom"/>
          </w:tcPr>
          <w:p w14:paraId="72DDC64F" w14:textId="77777777" w:rsidR="00D1587D" w:rsidRDefault="00D1587D">
            <w:pPr>
              <w:rPr>
                <w:sz w:val="1"/>
                <w:szCs w:val="1"/>
              </w:rPr>
            </w:pPr>
          </w:p>
        </w:tc>
      </w:tr>
      <w:tr w:rsidR="00D1587D" w14:paraId="57F0C5DB" w14:textId="77777777">
        <w:trPr>
          <w:trHeight w:val="270"/>
        </w:trPr>
        <w:tc>
          <w:tcPr>
            <w:tcW w:w="3240" w:type="dxa"/>
            <w:vAlign w:val="bottom"/>
          </w:tcPr>
          <w:p w14:paraId="48532326" w14:textId="77777777" w:rsidR="00D1587D" w:rsidRDefault="00410D07">
            <w:pPr>
              <w:rPr>
                <w:sz w:val="20"/>
                <w:szCs w:val="20"/>
              </w:rPr>
            </w:pPr>
            <w:r>
              <w:rPr>
                <w:rFonts w:ascii="Arial" w:eastAsia="Arial" w:hAnsi="Arial" w:cs="Arial"/>
                <w:sz w:val="18"/>
                <w:szCs w:val="18"/>
              </w:rPr>
              <w:t>Hong Kong</w:t>
            </w:r>
          </w:p>
        </w:tc>
        <w:tc>
          <w:tcPr>
            <w:tcW w:w="4200" w:type="dxa"/>
            <w:gridSpan w:val="3"/>
            <w:vAlign w:val="bottom"/>
          </w:tcPr>
          <w:p w14:paraId="387838AE" w14:textId="77777777" w:rsidR="00D1587D" w:rsidRDefault="00410D07">
            <w:pPr>
              <w:ind w:left="280"/>
              <w:rPr>
                <w:sz w:val="20"/>
                <w:szCs w:val="20"/>
              </w:rPr>
            </w:pPr>
            <w:r>
              <w:rPr>
                <w:rFonts w:ascii="Arial" w:eastAsia="Arial" w:hAnsi="Arial" w:cs="Arial"/>
                <w:sz w:val="18"/>
                <w:szCs w:val="18"/>
              </w:rPr>
              <w:t>Office and sourcing</w:t>
            </w:r>
          </w:p>
        </w:tc>
        <w:tc>
          <w:tcPr>
            <w:tcW w:w="980" w:type="dxa"/>
            <w:vAlign w:val="bottom"/>
          </w:tcPr>
          <w:p w14:paraId="772336CF" w14:textId="77777777" w:rsidR="00D1587D" w:rsidRDefault="00410D07">
            <w:pPr>
              <w:ind w:right="74"/>
              <w:jc w:val="right"/>
              <w:rPr>
                <w:sz w:val="20"/>
                <w:szCs w:val="20"/>
              </w:rPr>
            </w:pPr>
            <w:r>
              <w:rPr>
                <w:rFonts w:ascii="Arial" w:eastAsia="Arial" w:hAnsi="Arial" w:cs="Arial"/>
                <w:sz w:val="18"/>
                <w:szCs w:val="18"/>
              </w:rPr>
              <w:t>55,000</w:t>
            </w:r>
          </w:p>
        </w:tc>
        <w:tc>
          <w:tcPr>
            <w:tcW w:w="0" w:type="dxa"/>
            <w:vAlign w:val="bottom"/>
          </w:tcPr>
          <w:p w14:paraId="1CFAADF8" w14:textId="77777777" w:rsidR="00D1587D" w:rsidRDefault="00D1587D">
            <w:pPr>
              <w:rPr>
                <w:sz w:val="1"/>
                <w:szCs w:val="1"/>
              </w:rPr>
            </w:pPr>
          </w:p>
        </w:tc>
      </w:tr>
      <w:tr w:rsidR="00D1587D" w14:paraId="548401B2" w14:textId="77777777">
        <w:trPr>
          <w:trHeight w:val="54"/>
        </w:trPr>
        <w:tc>
          <w:tcPr>
            <w:tcW w:w="3240" w:type="dxa"/>
            <w:vAlign w:val="bottom"/>
          </w:tcPr>
          <w:p w14:paraId="4AE33654" w14:textId="77777777" w:rsidR="00D1587D" w:rsidRDefault="00D1587D">
            <w:pPr>
              <w:rPr>
                <w:sz w:val="4"/>
                <w:szCs w:val="4"/>
              </w:rPr>
            </w:pPr>
          </w:p>
        </w:tc>
        <w:tc>
          <w:tcPr>
            <w:tcW w:w="280" w:type="dxa"/>
            <w:vAlign w:val="bottom"/>
          </w:tcPr>
          <w:p w14:paraId="09A81135" w14:textId="77777777" w:rsidR="00D1587D" w:rsidRDefault="00D1587D">
            <w:pPr>
              <w:rPr>
                <w:sz w:val="4"/>
                <w:szCs w:val="4"/>
              </w:rPr>
            </w:pPr>
          </w:p>
        </w:tc>
        <w:tc>
          <w:tcPr>
            <w:tcW w:w="3640" w:type="dxa"/>
            <w:vAlign w:val="bottom"/>
          </w:tcPr>
          <w:p w14:paraId="0FA8C5D2" w14:textId="77777777" w:rsidR="00D1587D" w:rsidRDefault="00D1587D">
            <w:pPr>
              <w:rPr>
                <w:sz w:val="4"/>
                <w:szCs w:val="4"/>
              </w:rPr>
            </w:pPr>
          </w:p>
        </w:tc>
        <w:tc>
          <w:tcPr>
            <w:tcW w:w="280" w:type="dxa"/>
            <w:vAlign w:val="bottom"/>
          </w:tcPr>
          <w:p w14:paraId="58B9B92B" w14:textId="77777777" w:rsidR="00D1587D" w:rsidRDefault="00D1587D">
            <w:pPr>
              <w:rPr>
                <w:sz w:val="4"/>
                <w:szCs w:val="4"/>
              </w:rPr>
            </w:pPr>
          </w:p>
        </w:tc>
        <w:tc>
          <w:tcPr>
            <w:tcW w:w="980" w:type="dxa"/>
            <w:vAlign w:val="bottom"/>
          </w:tcPr>
          <w:p w14:paraId="68018315" w14:textId="77777777" w:rsidR="00D1587D" w:rsidRDefault="00D1587D">
            <w:pPr>
              <w:rPr>
                <w:sz w:val="4"/>
                <w:szCs w:val="4"/>
              </w:rPr>
            </w:pPr>
          </w:p>
        </w:tc>
        <w:tc>
          <w:tcPr>
            <w:tcW w:w="0" w:type="dxa"/>
            <w:vAlign w:val="bottom"/>
          </w:tcPr>
          <w:p w14:paraId="1D0E9C04" w14:textId="77777777" w:rsidR="00D1587D" w:rsidRDefault="00D1587D">
            <w:pPr>
              <w:rPr>
                <w:sz w:val="1"/>
                <w:szCs w:val="1"/>
              </w:rPr>
            </w:pPr>
          </w:p>
        </w:tc>
      </w:tr>
      <w:tr w:rsidR="00D1587D" w14:paraId="3CD8C565" w14:textId="77777777">
        <w:trPr>
          <w:trHeight w:val="304"/>
        </w:trPr>
        <w:tc>
          <w:tcPr>
            <w:tcW w:w="3240" w:type="dxa"/>
            <w:tcBorders>
              <w:bottom w:val="single" w:sz="8" w:space="0" w:color="CCEEFF"/>
            </w:tcBorders>
            <w:shd w:val="clear" w:color="auto" w:fill="CCEEFF"/>
            <w:vAlign w:val="bottom"/>
          </w:tcPr>
          <w:p w14:paraId="6741E500" w14:textId="77777777" w:rsidR="00D1587D" w:rsidRDefault="00410D07">
            <w:pPr>
              <w:rPr>
                <w:sz w:val="20"/>
                <w:szCs w:val="20"/>
              </w:rPr>
            </w:pPr>
            <w:r>
              <w:rPr>
                <w:rFonts w:ascii="Arial" w:eastAsia="Arial" w:hAnsi="Arial" w:cs="Arial"/>
                <w:sz w:val="18"/>
                <w:szCs w:val="18"/>
              </w:rPr>
              <w:t>Mainland China</w:t>
            </w:r>
          </w:p>
        </w:tc>
        <w:tc>
          <w:tcPr>
            <w:tcW w:w="4200" w:type="dxa"/>
            <w:gridSpan w:val="3"/>
            <w:tcBorders>
              <w:bottom w:val="single" w:sz="8" w:space="0" w:color="CCEEFF"/>
            </w:tcBorders>
            <w:shd w:val="clear" w:color="auto" w:fill="CCEEFF"/>
            <w:vAlign w:val="bottom"/>
          </w:tcPr>
          <w:p w14:paraId="65FB1AF2" w14:textId="77777777" w:rsidR="00D1587D" w:rsidRDefault="00410D07">
            <w:pPr>
              <w:ind w:left="280"/>
              <w:rPr>
                <w:sz w:val="20"/>
                <w:szCs w:val="20"/>
              </w:rPr>
            </w:pPr>
            <w:r>
              <w:rPr>
                <w:rFonts w:ascii="Arial" w:eastAsia="Arial" w:hAnsi="Arial" w:cs="Arial"/>
                <w:sz w:val="18"/>
                <w:szCs w:val="18"/>
              </w:rPr>
              <w:t>Office</w:t>
            </w:r>
          </w:p>
        </w:tc>
        <w:tc>
          <w:tcPr>
            <w:tcW w:w="980" w:type="dxa"/>
            <w:tcBorders>
              <w:bottom w:val="single" w:sz="8" w:space="0" w:color="CCEEFF"/>
            </w:tcBorders>
            <w:shd w:val="clear" w:color="auto" w:fill="CCEEFF"/>
            <w:vAlign w:val="bottom"/>
          </w:tcPr>
          <w:p w14:paraId="6D45AFF8" w14:textId="77777777" w:rsidR="00D1587D" w:rsidRDefault="00410D07">
            <w:pPr>
              <w:ind w:right="74"/>
              <w:jc w:val="right"/>
              <w:rPr>
                <w:sz w:val="20"/>
                <w:szCs w:val="20"/>
              </w:rPr>
            </w:pPr>
            <w:r>
              <w:rPr>
                <w:rFonts w:ascii="Arial" w:eastAsia="Arial" w:hAnsi="Arial" w:cs="Arial"/>
                <w:sz w:val="18"/>
                <w:szCs w:val="18"/>
              </w:rPr>
              <w:t>51,000</w:t>
            </w:r>
          </w:p>
        </w:tc>
        <w:tc>
          <w:tcPr>
            <w:tcW w:w="0" w:type="dxa"/>
            <w:vAlign w:val="bottom"/>
          </w:tcPr>
          <w:p w14:paraId="257CB92D" w14:textId="77777777" w:rsidR="00D1587D" w:rsidRDefault="00D1587D">
            <w:pPr>
              <w:rPr>
                <w:sz w:val="1"/>
                <w:szCs w:val="1"/>
              </w:rPr>
            </w:pPr>
          </w:p>
        </w:tc>
      </w:tr>
      <w:tr w:rsidR="00D1587D" w14:paraId="25D5FC40" w14:textId="77777777">
        <w:trPr>
          <w:trHeight w:val="270"/>
        </w:trPr>
        <w:tc>
          <w:tcPr>
            <w:tcW w:w="3240" w:type="dxa"/>
            <w:vAlign w:val="bottom"/>
          </w:tcPr>
          <w:p w14:paraId="6319898F" w14:textId="77777777" w:rsidR="00D1587D" w:rsidRDefault="00410D07">
            <w:pPr>
              <w:rPr>
                <w:sz w:val="20"/>
                <w:szCs w:val="20"/>
              </w:rPr>
            </w:pPr>
            <w:r>
              <w:rPr>
                <w:rFonts w:ascii="Arial" w:eastAsia="Arial" w:hAnsi="Arial" w:cs="Arial"/>
                <w:sz w:val="18"/>
                <w:szCs w:val="18"/>
              </w:rPr>
              <w:t>Canada</w:t>
            </w:r>
          </w:p>
        </w:tc>
        <w:tc>
          <w:tcPr>
            <w:tcW w:w="4200" w:type="dxa"/>
            <w:gridSpan w:val="3"/>
            <w:vAlign w:val="bottom"/>
          </w:tcPr>
          <w:p w14:paraId="65BF12EE" w14:textId="77777777" w:rsidR="00D1587D" w:rsidRDefault="00410D07">
            <w:pPr>
              <w:ind w:left="280"/>
              <w:rPr>
                <w:sz w:val="20"/>
                <w:szCs w:val="20"/>
              </w:rPr>
            </w:pPr>
            <w:r>
              <w:rPr>
                <w:rFonts w:ascii="Arial" w:eastAsia="Arial" w:hAnsi="Arial" w:cs="Arial"/>
                <w:sz w:val="18"/>
                <w:szCs w:val="18"/>
              </w:rPr>
              <w:t>Office</w:t>
            </w:r>
          </w:p>
        </w:tc>
        <w:tc>
          <w:tcPr>
            <w:tcW w:w="980" w:type="dxa"/>
            <w:vAlign w:val="bottom"/>
          </w:tcPr>
          <w:p w14:paraId="6E462873" w14:textId="77777777" w:rsidR="00D1587D" w:rsidRDefault="00410D07">
            <w:pPr>
              <w:ind w:right="54"/>
              <w:jc w:val="right"/>
              <w:rPr>
                <w:sz w:val="20"/>
                <w:szCs w:val="20"/>
              </w:rPr>
            </w:pPr>
            <w:r>
              <w:rPr>
                <w:rFonts w:ascii="Arial" w:eastAsia="Arial" w:hAnsi="Arial" w:cs="Arial"/>
                <w:sz w:val="18"/>
                <w:szCs w:val="18"/>
              </w:rPr>
              <w:t>6,000</w:t>
            </w:r>
          </w:p>
        </w:tc>
        <w:tc>
          <w:tcPr>
            <w:tcW w:w="0" w:type="dxa"/>
            <w:vAlign w:val="bottom"/>
          </w:tcPr>
          <w:p w14:paraId="148AA483" w14:textId="77777777" w:rsidR="00D1587D" w:rsidRDefault="00D1587D">
            <w:pPr>
              <w:rPr>
                <w:sz w:val="1"/>
                <w:szCs w:val="1"/>
              </w:rPr>
            </w:pPr>
          </w:p>
        </w:tc>
      </w:tr>
      <w:tr w:rsidR="00D1587D" w14:paraId="489B36DB" w14:textId="77777777">
        <w:trPr>
          <w:trHeight w:val="54"/>
        </w:trPr>
        <w:tc>
          <w:tcPr>
            <w:tcW w:w="3240" w:type="dxa"/>
            <w:vAlign w:val="bottom"/>
          </w:tcPr>
          <w:p w14:paraId="1D3AE1BE" w14:textId="77777777" w:rsidR="00D1587D" w:rsidRDefault="00D1587D">
            <w:pPr>
              <w:rPr>
                <w:sz w:val="4"/>
                <w:szCs w:val="4"/>
              </w:rPr>
            </w:pPr>
          </w:p>
        </w:tc>
        <w:tc>
          <w:tcPr>
            <w:tcW w:w="280" w:type="dxa"/>
            <w:vAlign w:val="bottom"/>
          </w:tcPr>
          <w:p w14:paraId="76F2FC3A" w14:textId="77777777" w:rsidR="00D1587D" w:rsidRDefault="00D1587D">
            <w:pPr>
              <w:rPr>
                <w:sz w:val="4"/>
                <w:szCs w:val="4"/>
              </w:rPr>
            </w:pPr>
          </w:p>
        </w:tc>
        <w:tc>
          <w:tcPr>
            <w:tcW w:w="3640" w:type="dxa"/>
            <w:vAlign w:val="bottom"/>
          </w:tcPr>
          <w:p w14:paraId="62C344D7" w14:textId="77777777" w:rsidR="00D1587D" w:rsidRDefault="00D1587D">
            <w:pPr>
              <w:rPr>
                <w:sz w:val="4"/>
                <w:szCs w:val="4"/>
              </w:rPr>
            </w:pPr>
          </w:p>
        </w:tc>
        <w:tc>
          <w:tcPr>
            <w:tcW w:w="280" w:type="dxa"/>
            <w:vAlign w:val="bottom"/>
          </w:tcPr>
          <w:p w14:paraId="7834CB09" w14:textId="77777777" w:rsidR="00D1587D" w:rsidRDefault="00D1587D">
            <w:pPr>
              <w:rPr>
                <w:sz w:val="4"/>
                <w:szCs w:val="4"/>
              </w:rPr>
            </w:pPr>
          </w:p>
        </w:tc>
        <w:tc>
          <w:tcPr>
            <w:tcW w:w="980" w:type="dxa"/>
            <w:vAlign w:val="bottom"/>
          </w:tcPr>
          <w:p w14:paraId="1C5E1DCB" w14:textId="77777777" w:rsidR="00D1587D" w:rsidRDefault="00D1587D">
            <w:pPr>
              <w:rPr>
                <w:sz w:val="4"/>
                <w:szCs w:val="4"/>
              </w:rPr>
            </w:pPr>
          </w:p>
        </w:tc>
        <w:tc>
          <w:tcPr>
            <w:tcW w:w="0" w:type="dxa"/>
            <w:vAlign w:val="bottom"/>
          </w:tcPr>
          <w:p w14:paraId="61A9C298" w14:textId="77777777" w:rsidR="00D1587D" w:rsidRDefault="00D1587D">
            <w:pPr>
              <w:rPr>
                <w:sz w:val="1"/>
                <w:szCs w:val="1"/>
              </w:rPr>
            </w:pPr>
          </w:p>
        </w:tc>
      </w:tr>
      <w:tr w:rsidR="00D1587D" w14:paraId="1C37FC2F" w14:textId="77777777">
        <w:trPr>
          <w:trHeight w:val="270"/>
        </w:trPr>
        <w:tc>
          <w:tcPr>
            <w:tcW w:w="3240" w:type="dxa"/>
            <w:shd w:val="clear" w:color="auto" w:fill="CCEEFF"/>
            <w:vAlign w:val="bottom"/>
          </w:tcPr>
          <w:p w14:paraId="05945025" w14:textId="77777777" w:rsidR="00D1587D" w:rsidRDefault="00410D07">
            <w:pPr>
              <w:rPr>
                <w:sz w:val="20"/>
                <w:szCs w:val="20"/>
              </w:rPr>
            </w:pPr>
            <w:r>
              <w:rPr>
                <w:rFonts w:ascii="Arial" w:eastAsia="Arial" w:hAnsi="Arial" w:cs="Arial"/>
                <w:sz w:val="18"/>
                <w:szCs w:val="18"/>
              </w:rPr>
              <w:t>Various international locations</w:t>
            </w:r>
          </w:p>
        </w:tc>
        <w:tc>
          <w:tcPr>
            <w:tcW w:w="4200" w:type="dxa"/>
            <w:gridSpan w:val="3"/>
            <w:shd w:val="clear" w:color="auto" w:fill="CCEEFF"/>
            <w:vAlign w:val="bottom"/>
          </w:tcPr>
          <w:p w14:paraId="25D35417" w14:textId="77777777" w:rsidR="00D1587D" w:rsidRDefault="00410D07">
            <w:pPr>
              <w:ind w:left="280"/>
              <w:rPr>
                <w:sz w:val="20"/>
                <w:szCs w:val="20"/>
              </w:rPr>
            </w:pPr>
            <w:r>
              <w:rPr>
                <w:rFonts w:ascii="Arial" w:eastAsia="Arial" w:hAnsi="Arial" w:cs="Arial"/>
                <w:sz w:val="18"/>
                <w:szCs w:val="18"/>
              </w:rPr>
              <w:t>Office and sourcing</w:t>
            </w:r>
          </w:p>
        </w:tc>
        <w:tc>
          <w:tcPr>
            <w:tcW w:w="980" w:type="dxa"/>
            <w:shd w:val="clear" w:color="auto" w:fill="CCEEFF"/>
            <w:vAlign w:val="bottom"/>
          </w:tcPr>
          <w:p w14:paraId="374DB61F" w14:textId="77777777" w:rsidR="00D1587D" w:rsidRDefault="00410D07">
            <w:pPr>
              <w:ind w:right="54"/>
              <w:jc w:val="right"/>
              <w:rPr>
                <w:sz w:val="20"/>
                <w:szCs w:val="20"/>
              </w:rPr>
            </w:pPr>
            <w:r>
              <w:rPr>
                <w:rFonts w:ascii="Arial" w:eastAsia="Arial" w:hAnsi="Arial" w:cs="Arial"/>
                <w:sz w:val="18"/>
                <w:szCs w:val="18"/>
              </w:rPr>
              <w:t>149,000</w:t>
            </w:r>
          </w:p>
        </w:tc>
        <w:tc>
          <w:tcPr>
            <w:tcW w:w="0" w:type="dxa"/>
            <w:vAlign w:val="bottom"/>
          </w:tcPr>
          <w:p w14:paraId="3B508CD8" w14:textId="77777777" w:rsidR="00D1587D" w:rsidRDefault="00D1587D">
            <w:pPr>
              <w:rPr>
                <w:sz w:val="1"/>
                <w:szCs w:val="1"/>
              </w:rPr>
            </w:pPr>
          </w:p>
        </w:tc>
      </w:tr>
      <w:tr w:rsidR="00D1587D" w14:paraId="4BE0017C" w14:textId="77777777">
        <w:trPr>
          <w:trHeight w:val="54"/>
        </w:trPr>
        <w:tc>
          <w:tcPr>
            <w:tcW w:w="3240" w:type="dxa"/>
            <w:shd w:val="clear" w:color="auto" w:fill="CCEEFF"/>
            <w:vAlign w:val="bottom"/>
          </w:tcPr>
          <w:p w14:paraId="2AD25604" w14:textId="77777777" w:rsidR="00D1587D" w:rsidRDefault="00D1587D">
            <w:pPr>
              <w:rPr>
                <w:sz w:val="4"/>
                <w:szCs w:val="4"/>
              </w:rPr>
            </w:pPr>
          </w:p>
        </w:tc>
        <w:tc>
          <w:tcPr>
            <w:tcW w:w="280" w:type="dxa"/>
            <w:shd w:val="clear" w:color="auto" w:fill="CCEEFF"/>
            <w:vAlign w:val="bottom"/>
          </w:tcPr>
          <w:p w14:paraId="623AA11B" w14:textId="77777777" w:rsidR="00D1587D" w:rsidRDefault="00D1587D">
            <w:pPr>
              <w:rPr>
                <w:sz w:val="4"/>
                <w:szCs w:val="4"/>
              </w:rPr>
            </w:pPr>
          </w:p>
        </w:tc>
        <w:tc>
          <w:tcPr>
            <w:tcW w:w="3640" w:type="dxa"/>
            <w:shd w:val="clear" w:color="auto" w:fill="CCEEFF"/>
            <w:vAlign w:val="bottom"/>
          </w:tcPr>
          <w:p w14:paraId="7E4377D9" w14:textId="77777777" w:rsidR="00D1587D" w:rsidRDefault="00D1587D">
            <w:pPr>
              <w:rPr>
                <w:sz w:val="4"/>
                <w:szCs w:val="4"/>
              </w:rPr>
            </w:pPr>
          </w:p>
        </w:tc>
        <w:tc>
          <w:tcPr>
            <w:tcW w:w="280" w:type="dxa"/>
            <w:shd w:val="clear" w:color="auto" w:fill="CCEEFF"/>
            <w:vAlign w:val="bottom"/>
          </w:tcPr>
          <w:p w14:paraId="7D59C760" w14:textId="77777777" w:rsidR="00D1587D" w:rsidRDefault="00D1587D">
            <w:pPr>
              <w:rPr>
                <w:sz w:val="4"/>
                <w:szCs w:val="4"/>
              </w:rPr>
            </w:pPr>
          </w:p>
        </w:tc>
        <w:tc>
          <w:tcPr>
            <w:tcW w:w="980" w:type="dxa"/>
            <w:shd w:val="clear" w:color="auto" w:fill="CCEEFF"/>
            <w:vAlign w:val="bottom"/>
          </w:tcPr>
          <w:p w14:paraId="78429E57" w14:textId="77777777" w:rsidR="00D1587D" w:rsidRDefault="00D1587D">
            <w:pPr>
              <w:rPr>
                <w:sz w:val="4"/>
                <w:szCs w:val="4"/>
              </w:rPr>
            </w:pPr>
          </w:p>
        </w:tc>
        <w:tc>
          <w:tcPr>
            <w:tcW w:w="0" w:type="dxa"/>
            <w:vAlign w:val="bottom"/>
          </w:tcPr>
          <w:p w14:paraId="2EC1622C" w14:textId="77777777" w:rsidR="00D1587D" w:rsidRDefault="00D1587D">
            <w:pPr>
              <w:rPr>
                <w:sz w:val="1"/>
                <w:szCs w:val="1"/>
              </w:rPr>
            </w:pPr>
          </w:p>
        </w:tc>
      </w:tr>
    </w:tbl>
    <w:p w14:paraId="6BA5C12B" w14:textId="77777777" w:rsidR="00D1587D" w:rsidRDefault="00410D07">
      <w:pPr>
        <w:spacing w:line="20" w:lineRule="exact"/>
        <w:rPr>
          <w:sz w:val="20"/>
          <w:szCs w:val="20"/>
        </w:rPr>
      </w:pPr>
      <w:r>
        <w:rPr>
          <w:noProof/>
          <w:sz w:val="20"/>
          <w:szCs w:val="20"/>
        </w:rPr>
        <w:drawing>
          <wp:anchor distT="0" distB="0" distL="114300" distR="114300" simplePos="0" relativeHeight="251809792" behindDoc="1" locked="0" layoutInCell="0" allowOverlap="1" wp14:anchorId="44C0FAFB" wp14:editId="3A695B4E">
            <wp:simplePos x="0" y="0"/>
            <wp:positionH relativeFrom="column">
              <wp:posOffset>4737100</wp:posOffset>
            </wp:positionH>
            <wp:positionV relativeFrom="paragraph">
              <wp:posOffset>-1456690</wp:posOffset>
            </wp:positionV>
            <wp:extent cx="171450" cy="8255"/>
            <wp:effectExtent l="0" t="0" r="0" b="0"/>
            <wp:wrapNone/>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60"/>
                    <a:srcRect/>
                    <a:stretch>
                      <a:fillRect/>
                    </a:stretch>
                  </pic:blipFill>
                  <pic:spPr bwMode="auto">
                    <a:xfrm>
                      <a:off x="0" y="0"/>
                      <a:ext cx="171450" cy="8255"/>
                    </a:xfrm>
                    <a:prstGeom prst="rect">
                      <a:avLst/>
                    </a:prstGeom>
                    <a:noFill/>
                  </pic:spPr>
                </pic:pic>
              </a:graphicData>
            </a:graphic>
          </wp:anchor>
        </w:drawing>
      </w:r>
      <w:r>
        <w:rPr>
          <w:noProof/>
          <w:sz w:val="20"/>
          <w:szCs w:val="20"/>
        </w:rPr>
        <w:drawing>
          <wp:anchor distT="0" distB="0" distL="114300" distR="114300" simplePos="0" relativeHeight="251810816" behindDoc="1" locked="0" layoutInCell="0" allowOverlap="1" wp14:anchorId="76E09D4B" wp14:editId="21FF3DE9">
            <wp:simplePos x="0" y="0"/>
            <wp:positionH relativeFrom="column">
              <wp:posOffset>2251075</wp:posOffset>
            </wp:positionH>
            <wp:positionV relativeFrom="paragraph">
              <wp:posOffset>-1456690</wp:posOffset>
            </wp:positionV>
            <wp:extent cx="171450" cy="8255"/>
            <wp:effectExtent l="0" t="0" r="0" b="0"/>
            <wp:wrapNone/>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60"/>
                    <a:srcRect/>
                    <a:stretch>
                      <a:fillRect/>
                    </a:stretch>
                  </pic:blipFill>
                  <pic:spPr bwMode="auto">
                    <a:xfrm>
                      <a:off x="0" y="0"/>
                      <a:ext cx="171450" cy="8255"/>
                    </a:xfrm>
                    <a:prstGeom prst="rect">
                      <a:avLst/>
                    </a:prstGeom>
                    <a:noFill/>
                  </pic:spPr>
                </pic:pic>
              </a:graphicData>
            </a:graphic>
          </wp:anchor>
        </w:drawing>
      </w:r>
    </w:p>
    <w:p w14:paraId="50F087A1" w14:textId="77777777" w:rsidR="00D1587D" w:rsidRDefault="00D1587D">
      <w:pPr>
        <w:spacing w:line="209" w:lineRule="exact"/>
        <w:rPr>
          <w:sz w:val="20"/>
          <w:szCs w:val="20"/>
        </w:rPr>
      </w:pPr>
    </w:p>
    <w:p w14:paraId="369012D1" w14:textId="77777777" w:rsidR="00D1587D" w:rsidRDefault="00410D07">
      <w:pPr>
        <w:ind w:left="300"/>
        <w:rPr>
          <w:sz w:val="20"/>
          <w:szCs w:val="20"/>
        </w:rPr>
      </w:pPr>
      <w:r>
        <w:rPr>
          <w:rFonts w:ascii="Arial" w:eastAsia="Arial" w:hAnsi="Arial" w:cs="Arial"/>
          <w:b/>
          <w:bCs/>
          <w:i/>
          <w:iCs/>
          <w:sz w:val="18"/>
          <w:szCs w:val="18"/>
        </w:rPr>
        <w:t>United States</w:t>
      </w:r>
    </w:p>
    <w:p w14:paraId="502EA1E8" w14:textId="77777777" w:rsidR="00D1587D" w:rsidRDefault="00D1587D">
      <w:pPr>
        <w:spacing w:line="117" w:lineRule="exact"/>
        <w:rPr>
          <w:sz w:val="20"/>
          <w:szCs w:val="20"/>
        </w:rPr>
      </w:pPr>
    </w:p>
    <w:p w14:paraId="28063426" w14:textId="77777777" w:rsidR="00D1587D" w:rsidRDefault="00410D07">
      <w:pPr>
        <w:spacing w:line="277" w:lineRule="auto"/>
        <w:ind w:left="300" w:right="399" w:firstLine="360"/>
        <w:rPr>
          <w:sz w:val="20"/>
          <w:szCs w:val="20"/>
        </w:rPr>
      </w:pPr>
      <w:r>
        <w:rPr>
          <w:rFonts w:ascii="Arial" w:eastAsia="Arial" w:hAnsi="Arial" w:cs="Arial"/>
          <w:sz w:val="18"/>
          <w:szCs w:val="18"/>
        </w:rPr>
        <w:t xml:space="preserve">Our business is principally conducted from office, distribution and shipping facilities located in the </w:t>
      </w:r>
      <w:r>
        <w:rPr>
          <w:rFonts w:ascii="Arial" w:eastAsia="Arial" w:hAnsi="Arial" w:cs="Arial"/>
          <w:sz w:val="18"/>
          <w:szCs w:val="18"/>
        </w:rPr>
        <w:t>Columbus, Ohio, area. Additional facilities are located in New York and Kettering, Ohio.</w:t>
      </w:r>
    </w:p>
    <w:p w14:paraId="110B5ABE" w14:textId="77777777" w:rsidR="00D1587D" w:rsidRDefault="00D1587D">
      <w:pPr>
        <w:spacing w:line="62" w:lineRule="exact"/>
        <w:rPr>
          <w:sz w:val="20"/>
          <w:szCs w:val="20"/>
        </w:rPr>
      </w:pPr>
    </w:p>
    <w:p w14:paraId="7BA4E2B1" w14:textId="77777777" w:rsidR="00D1587D" w:rsidRDefault="00410D07">
      <w:pPr>
        <w:spacing w:line="277" w:lineRule="auto"/>
        <w:ind w:left="300" w:right="559" w:firstLine="360"/>
        <w:rPr>
          <w:sz w:val="20"/>
          <w:szCs w:val="20"/>
        </w:rPr>
      </w:pPr>
      <w:r>
        <w:rPr>
          <w:rFonts w:ascii="Arial" w:eastAsia="Arial" w:hAnsi="Arial" w:cs="Arial"/>
          <w:sz w:val="18"/>
          <w:szCs w:val="18"/>
        </w:rPr>
        <w:t>Our distribution and shipping facilities consist of three buildings located in the Columbus, Ohio, area. These buildings, including attached office space, comprise ap</w:t>
      </w:r>
      <w:r>
        <w:rPr>
          <w:rFonts w:ascii="Arial" w:eastAsia="Arial" w:hAnsi="Arial" w:cs="Arial"/>
          <w:sz w:val="18"/>
          <w:szCs w:val="18"/>
        </w:rPr>
        <w:t>proximately 3.0 million square feet.</w:t>
      </w:r>
    </w:p>
    <w:p w14:paraId="7F999EED" w14:textId="77777777" w:rsidR="00D1587D" w:rsidRDefault="00D1587D">
      <w:pPr>
        <w:spacing w:line="62" w:lineRule="exact"/>
        <w:rPr>
          <w:sz w:val="20"/>
          <w:szCs w:val="20"/>
        </w:rPr>
      </w:pPr>
    </w:p>
    <w:p w14:paraId="4372E967" w14:textId="77777777" w:rsidR="00D1587D" w:rsidRDefault="00410D07">
      <w:pPr>
        <w:spacing w:line="289" w:lineRule="auto"/>
        <w:ind w:left="300" w:right="359" w:firstLine="360"/>
        <w:rPr>
          <w:sz w:val="20"/>
          <w:szCs w:val="20"/>
        </w:rPr>
      </w:pPr>
      <w:r>
        <w:rPr>
          <w:rFonts w:ascii="Arial" w:eastAsia="Arial" w:hAnsi="Arial" w:cs="Arial"/>
          <w:sz w:val="16"/>
          <w:szCs w:val="16"/>
        </w:rPr>
        <w:t>As of May 1, 2021, we operate 841 retail stores located in leased facilities, primarily in malls and shopping centers, throughout the U.S. A substantial portion of these lease commitments consists of store leases gener</w:t>
      </w:r>
      <w:r>
        <w:rPr>
          <w:rFonts w:ascii="Arial" w:eastAsia="Arial" w:hAnsi="Arial" w:cs="Arial"/>
          <w:sz w:val="16"/>
          <w:szCs w:val="16"/>
        </w:rPr>
        <w:t xml:space="preserve">ally with an initial term of 10 years. The store leases expire at various dates between 2021 and 2034. Typically, when space is leased for a retail store in a mall or shopping center, we supply all improvements, including interior walls, floors, ceilings, </w:t>
      </w:r>
      <w:r>
        <w:rPr>
          <w:rFonts w:ascii="Arial" w:eastAsia="Arial" w:hAnsi="Arial" w:cs="Arial"/>
          <w:sz w:val="16"/>
          <w:szCs w:val="16"/>
        </w:rPr>
        <w:t>fixtures and decorations. The cost of improvements varies widely, depending on the design, size and location of the store. In certain cases, the landlord of the property may provide an allowance to fund all or a portion of the cost of improvements, serving</w:t>
      </w:r>
      <w:r>
        <w:rPr>
          <w:rFonts w:ascii="Arial" w:eastAsia="Arial" w:hAnsi="Arial" w:cs="Arial"/>
          <w:sz w:val="16"/>
          <w:szCs w:val="16"/>
        </w:rPr>
        <w:t xml:space="preserve"> as a lease incentive. Rental terms for new locations usually include a fixed minimum rent plus a percentage of sales in excess of a specified amount. We usually pay certain operating costs such as common area maintenance, utilities, insurance and taxes.</w:t>
      </w:r>
    </w:p>
    <w:p w14:paraId="2A70DF46" w14:textId="77777777" w:rsidR="00D1587D" w:rsidRDefault="00D1587D">
      <w:pPr>
        <w:spacing w:line="247" w:lineRule="exact"/>
        <w:rPr>
          <w:sz w:val="20"/>
          <w:szCs w:val="20"/>
        </w:rPr>
      </w:pPr>
    </w:p>
    <w:p w14:paraId="47324583" w14:textId="77777777" w:rsidR="00D1587D" w:rsidRDefault="00410D07">
      <w:pPr>
        <w:ind w:right="7739"/>
        <w:jc w:val="right"/>
        <w:rPr>
          <w:sz w:val="20"/>
          <w:szCs w:val="20"/>
        </w:rPr>
      </w:pPr>
      <w:r>
        <w:rPr>
          <w:rFonts w:ascii="Arial" w:eastAsia="Arial" w:hAnsi="Arial" w:cs="Arial"/>
          <w:b/>
          <w:bCs/>
          <w:i/>
          <w:iCs/>
          <w:sz w:val="16"/>
          <w:szCs w:val="16"/>
        </w:rPr>
        <w:t>International</w:t>
      </w:r>
    </w:p>
    <w:p w14:paraId="6EA19E8F" w14:textId="77777777" w:rsidR="00D1587D" w:rsidRDefault="00D1587D">
      <w:pPr>
        <w:spacing w:line="154" w:lineRule="exact"/>
        <w:rPr>
          <w:sz w:val="20"/>
          <w:szCs w:val="20"/>
        </w:rPr>
      </w:pPr>
    </w:p>
    <w:p w14:paraId="494CCA56" w14:textId="77777777" w:rsidR="00D1587D" w:rsidRDefault="00410D07">
      <w:pPr>
        <w:ind w:right="7799"/>
        <w:jc w:val="right"/>
        <w:rPr>
          <w:sz w:val="20"/>
          <w:szCs w:val="20"/>
        </w:rPr>
      </w:pPr>
      <w:r>
        <w:rPr>
          <w:rFonts w:ascii="Arial" w:eastAsia="Arial" w:hAnsi="Arial" w:cs="Arial"/>
          <w:i/>
          <w:iCs/>
          <w:sz w:val="18"/>
          <w:szCs w:val="18"/>
        </w:rPr>
        <w:t>Canada</w:t>
      </w:r>
    </w:p>
    <w:p w14:paraId="21FB1EC9" w14:textId="77777777" w:rsidR="00D1587D" w:rsidRDefault="00D1587D">
      <w:pPr>
        <w:spacing w:line="117" w:lineRule="exact"/>
        <w:rPr>
          <w:sz w:val="20"/>
          <w:szCs w:val="20"/>
        </w:rPr>
      </w:pPr>
    </w:p>
    <w:p w14:paraId="39D8BAD2" w14:textId="77777777" w:rsidR="00D1587D" w:rsidRDefault="00410D07">
      <w:pPr>
        <w:spacing w:line="259" w:lineRule="auto"/>
        <w:ind w:left="300" w:right="479" w:firstLine="360"/>
        <w:rPr>
          <w:sz w:val="20"/>
          <w:szCs w:val="20"/>
        </w:rPr>
      </w:pPr>
      <w:r>
        <w:rPr>
          <w:rFonts w:ascii="Arial" w:eastAsia="Arial" w:hAnsi="Arial" w:cs="Arial"/>
          <w:sz w:val="18"/>
          <w:szCs w:val="18"/>
        </w:rPr>
        <w:t>We lease an office in the Toronto, Ontario, area. As of May 1, 2021, we operate 26 retail stores located in leased facilities, primarily in malls and shopping centers, throughout the Canadian provinces. These lease commitments consis</w:t>
      </w:r>
      <w:r>
        <w:rPr>
          <w:rFonts w:ascii="Arial" w:eastAsia="Arial" w:hAnsi="Arial" w:cs="Arial"/>
          <w:sz w:val="18"/>
          <w:szCs w:val="18"/>
        </w:rPr>
        <w:t>t of store leases with initial terms of 5 to 10 years expiring on various dates between 2021 and 2031.</w:t>
      </w:r>
    </w:p>
    <w:p w14:paraId="4A83CDCD" w14:textId="77777777" w:rsidR="00D1587D" w:rsidRDefault="00D1587D">
      <w:pPr>
        <w:spacing w:line="254" w:lineRule="exact"/>
        <w:rPr>
          <w:sz w:val="20"/>
          <w:szCs w:val="20"/>
        </w:rPr>
      </w:pPr>
    </w:p>
    <w:p w14:paraId="3D7AFE33" w14:textId="77777777" w:rsidR="00D1587D" w:rsidRDefault="00410D07">
      <w:pPr>
        <w:ind w:left="660"/>
        <w:rPr>
          <w:sz w:val="20"/>
          <w:szCs w:val="20"/>
        </w:rPr>
      </w:pPr>
      <w:r>
        <w:rPr>
          <w:rFonts w:ascii="Arial" w:eastAsia="Arial" w:hAnsi="Arial" w:cs="Arial"/>
          <w:i/>
          <w:iCs/>
          <w:sz w:val="18"/>
          <w:szCs w:val="18"/>
        </w:rPr>
        <w:t>United Kingdom / Ireland</w:t>
      </w:r>
    </w:p>
    <w:p w14:paraId="3276C45E" w14:textId="77777777" w:rsidR="00D1587D" w:rsidRDefault="00D1587D">
      <w:pPr>
        <w:spacing w:line="117" w:lineRule="exact"/>
        <w:rPr>
          <w:sz w:val="20"/>
          <w:szCs w:val="20"/>
        </w:rPr>
      </w:pPr>
    </w:p>
    <w:p w14:paraId="11581BD3" w14:textId="77777777" w:rsidR="00D1587D" w:rsidRDefault="00410D07">
      <w:pPr>
        <w:spacing w:line="286" w:lineRule="auto"/>
        <w:ind w:left="300" w:right="399" w:firstLine="360"/>
        <w:rPr>
          <w:sz w:val="20"/>
          <w:szCs w:val="20"/>
        </w:rPr>
      </w:pPr>
      <w:r>
        <w:rPr>
          <w:rFonts w:ascii="Arial" w:eastAsia="Arial" w:hAnsi="Arial" w:cs="Arial"/>
          <w:sz w:val="17"/>
          <w:szCs w:val="17"/>
        </w:rPr>
        <w:t xml:space="preserve">As a result of our joint venture with Next PLC, we no longer operate any stores in the U.K. or Ireland. However, as of May </w:t>
      </w:r>
      <w:r>
        <w:rPr>
          <w:rFonts w:ascii="Arial" w:eastAsia="Arial" w:hAnsi="Arial" w:cs="Arial"/>
          <w:sz w:val="17"/>
          <w:szCs w:val="17"/>
        </w:rPr>
        <w:t>1, 2021, we continue to lease a store in the U.K., with a lease expiration in 2025, and a store in Ireland, with a lease expiration in 2037, which are sublet to and operated by the joint venture.</w:t>
      </w:r>
    </w:p>
    <w:p w14:paraId="7C3020AD" w14:textId="77777777" w:rsidR="00D1587D" w:rsidRDefault="00D1587D">
      <w:pPr>
        <w:spacing w:line="246" w:lineRule="exact"/>
        <w:rPr>
          <w:sz w:val="20"/>
          <w:szCs w:val="20"/>
        </w:rPr>
      </w:pPr>
    </w:p>
    <w:p w14:paraId="5D62816F" w14:textId="77777777" w:rsidR="00D1587D" w:rsidRDefault="00410D07">
      <w:pPr>
        <w:ind w:left="660"/>
        <w:rPr>
          <w:sz w:val="20"/>
          <w:szCs w:val="20"/>
        </w:rPr>
      </w:pPr>
      <w:r>
        <w:rPr>
          <w:rFonts w:ascii="Arial" w:eastAsia="Arial" w:hAnsi="Arial" w:cs="Arial"/>
          <w:i/>
          <w:iCs/>
          <w:sz w:val="18"/>
          <w:szCs w:val="18"/>
        </w:rPr>
        <w:t>Greater China</w:t>
      </w:r>
    </w:p>
    <w:p w14:paraId="270C7171" w14:textId="77777777" w:rsidR="00D1587D" w:rsidRDefault="00D1587D">
      <w:pPr>
        <w:spacing w:line="117" w:lineRule="exact"/>
        <w:rPr>
          <w:sz w:val="20"/>
          <w:szCs w:val="20"/>
        </w:rPr>
      </w:pPr>
    </w:p>
    <w:p w14:paraId="2368C808" w14:textId="77777777" w:rsidR="00D1587D" w:rsidRDefault="00410D07">
      <w:pPr>
        <w:spacing w:line="286" w:lineRule="auto"/>
        <w:ind w:left="300" w:right="439" w:firstLine="360"/>
        <w:rPr>
          <w:sz w:val="20"/>
          <w:szCs w:val="20"/>
        </w:rPr>
      </w:pPr>
      <w:r>
        <w:rPr>
          <w:rFonts w:ascii="Arial" w:eastAsia="Arial" w:hAnsi="Arial" w:cs="Arial"/>
          <w:sz w:val="17"/>
          <w:szCs w:val="17"/>
        </w:rPr>
        <w:t>We lease offices in Shanghai, Shenzhen and H</w:t>
      </w:r>
      <w:r>
        <w:rPr>
          <w:rFonts w:ascii="Arial" w:eastAsia="Arial" w:hAnsi="Arial" w:cs="Arial"/>
          <w:sz w:val="17"/>
          <w:szCs w:val="17"/>
        </w:rPr>
        <w:t>ong Kong within Greater China. As of May 1, 2021, we operate 62 retail stores in leased facilities in Greater China. These lease commitments consist of store leases with initial terms ranging from 3 to 15 years expiring on various dates between 2021 and 20</w:t>
      </w:r>
      <w:r>
        <w:rPr>
          <w:rFonts w:ascii="Arial" w:eastAsia="Arial" w:hAnsi="Arial" w:cs="Arial"/>
          <w:sz w:val="17"/>
          <w:szCs w:val="17"/>
        </w:rPr>
        <w:t>32.</w:t>
      </w:r>
    </w:p>
    <w:p w14:paraId="05CE956E" w14:textId="77777777" w:rsidR="00D1587D" w:rsidRDefault="00D1587D">
      <w:pPr>
        <w:spacing w:line="233" w:lineRule="exact"/>
        <w:rPr>
          <w:sz w:val="20"/>
          <w:szCs w:val="20"/>
        </w:rPr>
      </w:pPr>
    </w:p>
    <w:p w14:paraId="61474B1D" w14:textId="77777777" w:rsidR="00D1587D" w:rsidRDefault="00410D07">
      <w:pPr>
        <w:ind w:left="660"/>
        <w:rPr>
          <w:sz w:val="20"/>
          <w:szCs w:val="20"/>
        </w:rPr>
      </w:pPr>
      <w:r>
        <w:rPr>
          <w:rFonts w:ascii="Arial" w:eastAsia="Arial" w:hAnsi="Arial" w:cs="Arial"/>
          <w:i/>
          <w:iCs/>
          <w:sz w:val="18"/>
          <w:szCs w:val="18"/>
        </w:rPr>
        <w:t>Other International</w:t>
      </w:r>
    </w:p>
    <w:p w14:paraId="0719938C" w14:textId="77777777" w:rsidR="00D1587D" w:rsidRDefault="00D1587D">
      <w:pPr>
        <w:spacing w:line="117" w:lineRule="exact"/>
        <w:rPr>
          <w:sz w:val="20"/>
          <w:szCs w:val="20"/>
        </w:rPr>
      </w:pPr>
    </w:p>
    <w:p w14:paraId="7B3E0692" w14:textId="77777777" w:rsidR="00D1587D" w:rsidRDefault="00410D07">
      <w:pPr>
        <w:spacing w:line="311" w:lineRule="auto"/>
        <w:ind w:left="300" w:right="459" w:firstLine="360"/>
        <w:rPr>
          <w:sz w:val="20"/>
          <w:szCs w:val="20"/>
        </w:rPr>
      </w:pPr>
      <w:r>
        <w:rPr>
          <w:rFonts w:ascii="Arial" w:eastAsia="Arial" w:hAnsi="Arial" w:cs="Arial"/>
          <w:sz w:val="16"/>
          <w:szCs w:val="16"/>
        </w:rPr>
        <w:t>As of May 1, 2021, we also have global representation through stores operated by our partners: 337 Victoria’s Secret Beauty and Accessories stores in 67 countries; 104 Victoria’s Secret stores in 30 countries; and 17 PINK stores i</w:t>
      </w:r>
      <w:r>
        <w:rPr>
          <w:rFonts w:ascii="Arial" w:eastAsia="Arial" w:hAnsi="Arial" w:cs="Arial"/>
          <w:sz w:val="16"/>
          <w:szCs w:val="16"/>
        </w:rPr>
        <w:t>n six countries. We also operate sourcing-related office facilities in various international locations.</w:t>
      </w:r>
    </w:p>
    <w:p w14:paraId="158F0F65" w14:textId="77777777" w:rsidR="00D1587D" w:rsidRDefault="00D1587D">
      <w:pPr>
        <w:sectPr w:rsidR="00D1587D">
          <w:pgSz w:w="11900" w:h="16838"/>
          <w:pgMar w:top="265" w:right="1440" w:bottom="1440" w:left="1440" w:header="0" w:footer="0" w:gutter="0"/>
          <w:cols w:space="720" w:equalWidth="0">
            <w:col w:w="9019"/>
          </w:cols>
        </w:sectPr>
      </w:pPr>
    </w:p>
    <w:p w14:paraId="2C4E4F03" w14:textId="77777777" w:rsidR="00D1587D" w:rsidRDefault="00D1587D">
      <w:pPr>
        <w:spacing w:line="149" w:lineRule="exact"/>
        <w:rPr>
          <w:sz w:val="20"/>
          <w:szCs w:val="20"/>
        </w:rPr>
      </w:pPr>
    </w:p>
    <w:p w14:paraId="5339FE34" w14:textId="77777777" w:rsidR="00D1587D" w:rsidRDefault="00410D07">
      <w:pPr>
        <w:jc w:val="center"/>
        <w:rPr>
          <w:sz w:val="20"/>
          <w:szCs w:val="20"/>
        </w:rPr>
      </w:pPr>
      <w:r>
        <w:rPr>
          <w:rFonts w:ascii="Arial" w:eastAsia="Arial" w:hAnsi="Arial" w:cs="Arial"/>
          <w:sz w:val="16"/>
          <w:szCs w:val="16"/>
        </w:rPr>
        <w:t>98</w:t>
      </w:r>
    </w:p>
    <w:p w14:paraId="72DA021B" w14:textId="77777777" w:rsidR="00D1587D" w:rsidRDefault="00410D07">
      <w:pPr>
        <w:spacing w:line="20" w:lineRule="exact"/>
        <w:rPr>
          <w:sz w:val="20"/>
          <w:szCs w:val="20"/>
        </w:rPr>
      </w:pPr>
      <w:r>
        <w:rPr>
          <w:noProof/>
          <w:sz w:val="20"/>
          <w:szCs w:val="20"/>
        </w:rPr>
        <w:drawing>
          <wp:anchor distT="0" distB="0" distL="114300" distR="114300" simplePos="0" relativeHeight="251811840" behindDoc="1" locked="0" layoutInCell="0" allowOverlap="1" wp14:anchorId="57F6CA44" wp14:editId="31BA7C81">
            <wp:simplePos x="0" y="0"/>
            <wp:positionH relativeFrom="column">
              <wp:posOffset>-636905</wp:posOffset>
            </wp:positionH>
            <wp:positionV relativeFrom="paragraph">
              <wp:posOffset>140970</wp:posOffset>
            </wp:positionV>
            <wp:extent cx="6995160" cy="17145"/>
            <wp:effectExtent l="0" t="0" r="0" b="0"/>
            <wp:wrapNone/>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08FB142"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56" w:name="page357"/>
    <w:bookmarkEnd w:id="356"/>
    <w:p w14:paraId="138FF6B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4F96843" w14:textId="77777777" w:rsidR="00D1587D" w:rsidRDefault="00D1587D">
      <w:pPr>
        <w:spacing w:line="127" w:lineRule="exact"/>
        <w:rPr>
          <w:sz w:val="20"/>
          <w:szCs w:val="20"/>
        </w:rPr>
      </w:pPr>
    </w:p>
    <w:p w14:paraId="3F217D46" w14:textId="77777777" w:rsidR="00D1587D" w:rsidRDefault="00410D07">
      <w:pPr>
        <w:ind w:left="300"/>
        <w:rPr>
          <w:sz w:val="20"/>
          <w:szCs w:val="20"/>
        </w:rPr>
      </w:pPr>
      <w:r>
        <w:rPr>
          <w:rFonts w:ascii="Arial" w:eastAsia="Arial" w:hAnsi="Arial" w:cs="Arial"/>
          <w:b/>
          <w:bCs/>
          <w:sz w:val="18"/>
          <w:szCs w:val="18"/>
        </w:rPr>
        <w:t>Seasonal Business</w:t>
      </w:r>
    </w:p>
    <w:p w14:paraId="02CFC358" w14:textId="77777777" w:rsidR="00D1587D" w:rsidRDefault="00D1587D">
      <w:pPr>
        <w:spacing w:line="121" w:lineRule="exact"/>
        <w:rPr>
          <w:sz w:val="20"/>
          <w:szCs w:val="20"/>
        </w:rPr>
      </w:pPr>
    </w:p>
    <w:p w14:paraId="7785C36F" w14:textId="77777777" w:rsidR="00D1587D" w:rsidRDefault="00410D07">
      <w:pPr>
        <w:spacing w:line="279" w:lineRule="auto"/>
        <w:ind w:left="300" w:right="339" w:firstLine="360"/>
        <w:rPr>
          <w:sz w:val="20"/>
          <w:szCs w:val="20"/>
        </w:rPr>
      </w:pPr>
      <w:r>
        <w:rPr>
          <w:rFonts w:ascii="Arial" w:eastAsia="Arial" w:hAnsi="Arial" w:cs="Arial"/>
          <w:sz w:val="17"/>
          <w:szCs w:val="17"/>
        </w:rPr>
        <w:t xml:space="preserve">Our operations are seasonal in nature and </w:t>
      </w:r>
      <w:r>
        <w:rPr>
          <w:rFonts w:ascii="Arial" w:eastAsia="Arial" w:hAnsi="Arial" w:cs="Arial"/>
          <w:sz w:val="17"/>
          <w:szCs w:val="17"/>
        </w:rPr>
        <w:t>consist of two principal selling seasons: Spring (the first and second quarters) and Fall (the third and fourth quarters). The fourth quarter, including the holiday season, typically accounts for approximately one-third of our net sales and is our most pro</w:t>
      </w:r>
      <w:r>
        <w:rPr>
          <w:rFonts w:ascii="Arial" w:eastAsia="Arial" w:hAnsi="Arial" w:cs="Arial"/>
          <w:sz w:val="17"/>
          <w:szCs w:val="17"/>
        </w:rPr>
        <w:t>fitable quarter. Accordingly, cash requirements are highest in the third quarter as our inventories build in advance of the holiday season.</w:t>
      </w:r>
    </w:p>
    <w:p w14:paraId="61A76991" w14:textId="77777777" w:rsidR="00D1587D" w:rsidRDefault="00D1587D">
      <w:pPr>
        <w:spacing w:line="167" w:lineRule="exact"/>
        <w:rPr>
          <w:sz w:val="20"/>
          <w:szCs w:val="20"/>
        </w:rPr>
      </w:pPr>
    </w:p>
    <w:p w14:paraId="6E89D456" w14:textId="77777777" w:rsidR="00D1587D" w:rsidRDefault="00410D07">
      <w:pPr>
        <w:ind w:left="300"/>
        <w:rPr>
          <w:sz w:val="20"/>
          <w:szCs w:val="20"/>
        </w:rPr>
      </w:pPr>
      <w:r>
        <w:rPr>
          <w:rFonts w:ascii="Arial" w:eastAsia="Arial" w:hAnsi="Arial" w:cs="Arial"/>
          <w:b/>
          <w:bCs/>
          <w:sz w:val="18"/>
          <w:szCs w:val="18"/>
        </w:rPr>
        <w:t>Regulations</w:t>
      </w:r>
    </w:p>
    <w:p w14:paraId="38A3E054" w14:textId="77777777" w:rsidR="00D1587D" w:rsidRDefault="00D1587D">
      <w:pPr>
        <w:spacing w:line="121" w:lineRule="exact"/>
        <w:rPr>
          <w:sz w:val="20"/>
          <w:szCs w:val="20"/>
        </w:rPr>
      </w:pPr>
    </w:p>
    <w:p w14:paraId="01E1BE60" w14:textId="77777777" w:rsidR="00D1587D" w:rsidRDefault="00410D07">
      <w:pPr>
        <w:spacing w:line="296" w:lineRule="auto"/>
        <w:ind w:left="300" w:right="319" w:firstLine="360"/>
        <w:rPr>
          <w:sz w:val="20"/>
          <w:szCs w:val="20"/>
        </w:rPr>
      </w:pPr>
      <w:r>
        <w:rPr>
          <w:rFonts w:ascii="Arial" w:eastAsia="Arial" w:hAnsi="Arial" w:cs="Arial"/>
          <w:sz w:val="16"/>
          <w:szCs w:val="16"/>
        </w:rPr>
        <w:t xml:space="preserve">We and our products are subject to regulation by various federal, state, local and foreign regulatory </w:t>
      </w:r>
      <w:r>
        <w:rPr>
          <w:rFonts w:ascii="Arial" w:eastAsia="Arial" w:hAnsi="Arial" w:cs="Arial"/>
          <w:sz w:val="16"/>
          <w:szCs w:val="16"/>
        </w:rPr>
        <w:t>authorities. We are subject to a variety of tax and customs regulations and international trade arrangements. While there are no current regulatory matters that we expect to be material to our results of operations, financial position, or cash flows, there</w:t>
      </w:r>
      <w:r>
        <w:rPr>
          <w:rFonts w:ascii="Arial" w:eastAsia="Arial" w:hAnsi="Arial" w:cs="Arial"/>
          <w:sz w:val="16"/>
          <w:szCs w:val="16"/>
        </w:rPr>
        <w:t xml:space="preserve"> can be no assurances that existing or future laws, regulations and standards applicable to our operations or products will not lead to a material adverse impact on our results of operations, financial position or cash flows.</w:t>
      </w:r>
    </w:p>
    <w:p w14:paraId="4C5123C5" w14:textId="77777777" w:rsidR="00D1587D" w:rsidRDefault="00D1587D">
      <w:pPr>
        <w:spacing w:line="157" w:lineRule="exact"/>
        <w:rPr>
          <w:sz w:val="20"/>
          <w:szCs w:val="20"/>
        </w:rPr>
      </w:pPr>
    </w:p>
    <w:p w14:paraId="5FD60D91" w14:textId="77777777" w:rsidR="00D1587D" w:rsidRDefault="00410D07">
      <w:pPr>
        <w:ind w:left="300"/>
        <w:rPr>
          <w:sz w:val="20"/>
          <w:szCs w:val="20"/>
        </w:rPr>
      </w:pPr>
      <w:r>
        <w:rPr>
          <w:rFonts w:ascii="Arial" w:eastAsia="Arial" w:hAnsi="Arial" w:cs="Arial"/>
          <w:b/>
          <w:bCs/>
          <w:sz w:val="18"/>
          <w:szCs w:val="18"/>
        </w:rPr>
        <w:t>Human Capital Management</w:t>
      </w:r>
    </w:p>
    <w:p w14:paraId="31D34BB8" w14:textId="77777777" w:rsidR="00D1587D" w:rsidRDefault="00D1587D">
      <w:pPr>
        <w:spacing w:line="148" w:lineRule="exact"/>
        <w:rPr>
          <w:sz w:val="20"/>
          <w:szCs w:val="20"/>
        </w:rPr>
      </w:pPr>
    </w:p>
    <w:p w14:paraId="120C95BB" w14:textId="77777777" w:rsidR="00D1587D" w:rsidRDefault="00410D07">
      <w:pPr>
        <w:ind w:left="300"/>
        <w:rPr>
          <w:sz w:val="20"/>
          <w:szCs w:val="20"/>
        </w:rPr>
      </w:pPr>
      <w:r>
        <w:rPr>
          <w:rFonts w:ascii="Arial" w:eastAsia="Arial" w:hAnsi="Arial" w:cs="Arial"/>
          <w:b/>
          <w:bCs/>
          <w:i/>
          <w:iCs/>
          <w:sz w:val="18"/>
          <w:szCs w:val="18"/>
        </w:rPr>
        <w:t>Hum</w:t>
      </w:r>
      <w:r>
        <w:rPr>
          <w:rFonts w:ascii="Arial" w:eastAsia="Arial" w:hAnsi="Arial" w:cs="Arial"/>
          <w:b/>
          <w:bCs/>
          <w:i/>
          <w:iCs/>
          <w:sz w:val="18"/>
          <w:szCs w:val="18"/>
        </w:rPr>
        <w:t>an Capital</w:t>
      </w:r>
    </w:p>
    <w:p w14:paraId="07D8F024" w14:textId="77777777" w:rsidR="00D1587D" w:rsidRDefault="00D1587D">
      <w:pPr>
        <w:spacing w:line="117" w:lineRule="exact"/>
        <w:rPr>
          <w:sz w:val="20"/>
          <w:szCs w:val="20"/>
        </w:rPr>
      </w:pPr>
    </w:p>
    <w:p w14:paraId="28815A50" w14:textId="77777777" w:rsidR="00D1587D" w:rsidRDefault="00410D07">
      <w:pPr>
        <w:spacing w:line="275" w:lineRule="auto"/>
        <w:ind w:left="300" w:right="319" w:firstLine="360"/>
        <w:rPr>
          <w:sz w:val="20"/>
          <w:szCs w:val="20"/>
        </w:rPr>
      </w:pPr>
      <w:r>
        <w:rPr>
          <w:rFonts w:ascii="Arial" w:eastAsia="Arial" w:hAnsi="Arial" w:cs="Arial"/>
          <w:sz w:val="17"/>
          <w:szCs w:val="17"/>
        </w:rPr>
        <w:t>At VS, our purpose goes beyond selling product. We work to foster a safe, welcoming and empowering workplace for our thousands of associates around the globe and are truly making a difference in our communities. The Company will establish a Hum</w:t>
      </w:r>
      <w:r>
        <w:rPr>
          <w:rFonts w:ascii="Arial" w:eastAsia="Arial" w:hAnsi="Arial" w:cs="Arial"/>
          <w:sz w:val="17"/>
          <w:szCs w:val="17"/>
        </w:rPr>
        <w:t>an Capital and Compensation Committee that oversees the Company’s programs, policies, practices and strategies relating to culture, talent, diversity, inclusion and equal employment opportunities as well as the Company’s executive compensation plans.</w:t>
      </w:r>
    </w:p>
    <w:p w14:paraId="0572829D" w14:textId="77777777" w:rsidR="00D1587D" w:rsidRDefault="00D1587D">
      <w:pPr>
        <w:spacing w:line="176" w:lineRule="exact"/>
        <w:rPr>
          <w:sz w:val="20"/>
          <w:szCs w:val="20"/>
        </w:rPr>
      </w:pPr>
    </w:p>
    <w:p w14:paraId="15096275" w14:textId="77777777" w:rsidR="00D1587D" w:rsidRDefault="00410D07">
      <w:pPr>
        <w:ind w:left="300"/>
        <w:rPr>
          <w:sz w:val="20"/>
          <w:szCs w:val="20"/>
        </w:rPr>
      </w:pPr>
      <w:r>
        <w:rPr>
          <w:rFonts w:ascii="Arial" w:eastAsia="Arial" w:hAnsi="Arial" w:cs="Arial"/>
          <w:b/>
          <w:bCs/>
          <w:i/>
          <w:iCs/>
          <w:sz w:val="18"/>
          <w:szCs w:val="18"/>
        </w:rPr>
        <w:t>Work</w:t>
      </w:r>
      <w:r>
        <w:rPr>
          <w:rFonts w:ascii="Arial" w:eastAsia="Arial" w:hAnsi="Arial" w:cs="Arial"/>
          <w:b/>
          <w:bCs/>
          <w:i/>
          <w:iCs/>
          <w:sz w:val="18"/>
          <w:szCs w:val="18"/>
        </w:rPr>
        <w:t>force Demographics</w:t>
      </w:r>
    </w:p>
    <w:p w14:paraId="2412D66E" w14:textId="77777777" w:rsidR="00D1587D" w:rsidRDefault="00D1587D">
      <w:pPr>
        <w:spacing w:line="117" w:lineRule="exact"/>
        <w:rPr>
          <w:sz w:val="20"/>
          <w:szCs w:val="20"/>
        </w:rPr>
      </w:pPr>
    </w:p>
    <w:p w14:paraId="01B90F15" w14:textId="77777777" w:rsidR="00D1587D" w:rsidRDefault="00410D07">
      <w:pPr>
        <w:spacing w:line="279" w:lineRule="auto"/>
        <w:ind w:left="300" w:right="319" w:firstLine="360"/>
        <w:rPr>
          <w:sz w:val="20"/>
          <w:szCs w:val="20"/>
        </w:rPr>
      </w:pPr>
      <w:r>
        <w:rPr>
          <w:rFonts w:ascii="Arial" w:eastAsia="Arial" w:hAnsi="Arial" w:cs="Arial"/>
          <w:sz w:val="17"/>
          <w:szCs w:val="17"/>
        </w:rPr>
        <w:t>As of January 30, 2021, we employed approximately 27,900 associates, approximately 16,500 of whom were part-time. In addition, temporary associates are hired during peak periods, such as the holiday season. Approximately 70% of our asso</w:t>
      </w:r>
      <w:r>
        <w:rPr>
          <w:rFonts w:ascii="Arial" w:eastAsia="Arial" w:hAnsi="Arial" w:cs="Arial"/>
          <w:sz w:val="17"/>
          <w:szCs w:val="17"/>
        </w:rPr>
        <w:t>ciates work in our stores, 15% in distribution centers with the balance in home office and call centers. As of January 30, 2021, women make up approximately 85% of our workforce.</w:t>
      </w:r>
    </w:p>
    <w:p w14:paraId="3384594B" w14:textId="77777777" w:rsidR="00D1587D" w:rsidRDefault="00D1587D">
      <w:pPr>
        <w:spacing w:line="171" w:lineRule="exact"/>
        <w:rPr>
          <w:sz w:val="20"/>
          <w:szCs w:val="20"/>
        </w:rPr>
      </w:pPr>
    </w:p>
    <w:p w14:paraId="776262B8" w14:textId="77777777" w:rsidR="00D1587D" w:rsidRDefault="00410D07">
      <w:pPr>
        <w:ind w:left="300"/>
        <w:rPr>
          <w:sz w:val="20"/>
          <w:szCs w:val="20"/>
        </w:rPr>
      </w:pPr>
      <w:r>
        <w:rPr>
          <w:rFonts w:ascii="Arial" w:eastAsia="Arial" w:hAnsi="Arial" w:cs="Arial"/>
          <w:b/>
          <w:bCs/>
          <w:i/>
          <w:iCs/>
          <w:sz w:val="18"/>
          <w:szCs w:val="18"/>
        </w:rPr>
        <w:t>Focus on Inclusion</w:t>
      </w:r>
    </w:p>
    <w:p w14:paraId="147220D6" w14:textId="77777777" w:rsidR="00D1587D" w:rsidRDefault="00D1587D">
      <w:pPr>
        <w:spacing w:line="117" w:lineRule="exact"/>
        <w:rPr>
          <w:sz w:val="20"/>
          <w:szCs w:val="20"/>
        </w:rPr>
      </w:pPr>
    </w:p>
    <w:p w14:paraId="79626C1C" w14:textId="77777777" w:rsidR="00D1587D" w:rsidRDefault="00410D07">
      <w:pPr>
        <w:spacing w:line="279" w:lineRule="auto"/>
        <w:ind w:left="300" w:right="599" w:firstLine="360"/>
        <w:rPr>
          <w:sz w:val="20"/>
          <w:szCs w:val="20"/>
        </w:rPr>
      </w:pPr>
      <w:r>
        <w:rPr>
          <w:rFonts w:ascii="Arial" w:eastAsia="Arial" w:hAnsi="Arial" w:cs="Arial"/>
          <w:sz w:val="17"/>
          <w:szCs w:val="17"/>
        </w:rPr>
        <w:t xml:space="preserve">We focus on recruiting, retaining and advancing </w:t>
      </w:r>
      <w:r>
        <w:rPr>
          <w:rFonts w:ascii="Arial" w:eastAsia="Arial" w:hAnsi="Arial" w:cs="Arial"/>
          <w:sz w:val="17"/>
          <w:szCs w:val="17"/>
        </w:rPr>
        <w:t>diverse talent that reflects the customers we serve and the communities where we live and work. By continuing to encourage a workplace environment where diversity and inclusion are valued, we believe we can serve our customers better, as well as retain hig</w:t>
      </w:r>
      <w:r>
        <w:rPr>
          <w:rFonts w:ascii="Arial" w:eastAsia="Arial" w:hAnsi="Arial" w:cs="Arial"/>
          <w:sz w:val="17"/>
          <w:szCs w:val="17"/>
        </w:rPr>
        <w:t>hly talented associates, suppliers and vendors of different backgrounds and experiences.</w:t>
      </w:r>
    </w:p>
    <w:p w14:paraId="4FDA5B1E" w14:textId="77777777" w:rsidR="00D1587D" w:rsidRDefault="00D1587D">
      <w:pPr>
        <w:spacing w:line="63" w:lineRule="exact"/>
        <w:rPr>
          <w:sz w:val="20"/>
          <w:szCs w:val="20"/>
        </w:rPr>
      </w:pPr>
    </w:p>
    <w:p w14:paraId="06E66BF0" w14:textId="77777777" w:rsidR="00D1587D" w:rsidRDefault="00410D07">
      <w:pPr>
        <w:spacing w:line="277" w:lineRule="auto"/>
        <w:ind w:left="300" w:right="339" w:firstLine="360"/>
        <w:rPr>
          <w:sz w:val="20"/>
          <w:szCs w:val="20"/>
        </w:rPr>
      </w:pPr>
      <w:r>
        <w:rPr>
          <w:rFonts w:ascii="Arial" w:eastAsia="Arial" w:hAnsi="Arial" w:cs="Arial"/>
          <w:sz w:val="18"/>
          <w:szCs w:val="18"/>
        </w:rPr>
        <w:t>Led by LB’s Office of Inclusion and with oversight from the Human Capital and Compensation Committee, we have built, and will continue to build, an inclusion strategy</w:t>
      </w:r>
      <w:r>
        <w:rPr>
          <w:rFonts w:ascii="Arial" w:eastAsia="Arial" w:hAnsi="Arial" w:cs="Arial"/>
          <w:sz w:val="18"/>
          <w:szCs w:val="18"/>
        </w:rPr>
        <w:t xml:space="preserve"> with five key pillars:</w:t>
      </w:r>
    </w:p>
    <w:p w14:paraId="50C78817" w14:textId="77777777" w:rsidR="00D1587D" w:rsidRDefault="00D1587D">
      <w:pPr>
        <w:spacing w:line="62" w:lineRule="exact"/>
        <w:rPr>
          <w:sz w:val="20"/>
          <w:szCs w:val="20"/>
        </w:rPr>
      </w:pPr>
    </w:p>
    <w:p w14:paraId="11BCB326" w14:textId="77777777" w:rsidR="00D1587D" w:rsidRDefault="00410D07" w:rsidP="00410D07">
      <w:pPr>
        <w:numPr>
          <w:ilvl w:val="0"/>
          <w:numId w:val="303"/>
        </w:numPr>
        <w:tabs>
          <w:tab w:val="left" w:pos="1000"/>
        </w:tabs>
        <w:ind w:left="1000" w:hanging="348"/>
        <w:rPr>
          <w:rFonts w:ascii="Arial" w:eastAsia="Arial" w:hAnsi="Arial" w:cs="Arial"/>
          <w:sz w:val="18"/>
          <w:szCs w:val="18"/>
        </w:rPr>
      </w:pPr>
      <w:r>
        <w:rPr>
          <w:rFonts w:ascii="Arial" w:eastAsia="Arial" w:hAnsi="Arial" w:cs="Arial"/>
          <w:sz w:val="18"/>
          <w:szCs w:val="18"/>
        </w:rPr>
        <w:t>Increase the diversity of candidate slates and hires for all roles.</w:t>
      </w:r>
    </w:p>
    <w:p w14:paraId="0F3175A6" w14:textId="77777777" w:rsidR="00D1587D" w:rsidRDefault="00D1587D">
      <w:pPr>
        <w:spacing w:line="117" w:lineRule="exact"/>
        <w:rPr>
          <w:rFonts w:ascii="Arial" w:eastAsia="Arial" w:hAnsi="Arial" w:cs="Arial"/>
          <w:sz w:val="18"/>
          <w:szCs w:val="18"/>
        </w:rPr>
      </w:pPr>
    </w:p>
    <w:p w14:paraId="777B27A9" w14:textId="77777777" w:rsidR="00D1587D" w:rsidRDefault="00410D07" w:rsidP="00410D07">
      <w:pPr>
        <w:numPr>
          <w:ilvl w:val="0"/>
          <w:numId w:val="303"/>
        </w:numPr>
        <w:tabs>
          <w:tab w:val="left" w:pos="1000"/>
        </w:tabs>
        <w:spacing w:line="277" w:lineRule="auto"/>
        <w:ind w:left="1000" w:right="319" w:hanging="348"/>
        <w:rPr>
          <w:rFonts w:ascii="Arial" w:eastAsia="Arial" w:hAnsi="Arial" w:cs="Arial"/>
          <w:sz w:val="18"/>
          <w:szCs w:val="18"/>
        </w:rPr>
      </w:pPr>
      <w:r>
        <w:rPr>
          <w:rFonts w:ascii="Arial" w:eastAsia="Arial" w:hAnsi="Arial" w:cs="Arial"/>
          <w:sz w:val="18"/>
          <w:szCs w:val="18"/>
        </w:rPr>
        <w:t>Develop, deploy and ensure completion of required learning at all levels bringing awareness and education to associates on diversity, equity and inclusion.</w:t>
      </w:r>
    </w:p>
    <w:p w14:paraId="4AAD6DBD" w14:textId="77777777" w:rsidR="00D1587D" w:rsidRDefault="00D1587D">
      <w:pPr>
        <w:spacing w:line="62" w:lineRule="exact"/>
        <w:rPr>
          <w:rFonts w:ascii="Arial" w:eastAsia="Arial" w:hAnsi="Arial" w:cs="Arial"/>
          <w:sz w:val="18"/>
          <w:szCs w:val="18"/>
        </w:rPr>
      </w:pPr>
    </w:p>
    <w:p w14:paraId="7A57C280" w14:textId="77777777" w:rsidR="00D1587D" w:rsidRDefault="00410D07" w:rsidP="00410D07">
      <w:pPr>
        <w:numPr>
          <w:ilvl w:val="0"/>
          <w:numId w:val="303"/>
        </w:numPr>
        <w:tabs>
          <w:tab w:val="left" w:pos="1000"/>
        </w:tabs>
        <w:spacing w:line="277" w:lineRule="auto"/>
        <w:ind w:left="1000" w:right="639" w:hanging="348"/>
        <w:rPr>
          <w:rFonts w:ascii="Arial" w:eastAsia="Arial" w:hAnsi="Arial" w:cs="Arial"/>
          <w:sz w:val="18"/>
          <w:szCs w:val="18"/>
        </w:rPr>
      </w:pPr>
      <w:r>
        <w:rPr>
          <w:rFonts w:ascii="Arial" w:eastAsia="Arial" w:hAnsi="Arial" w:cs="Arial"/>
          <w:sz w:val="18"/>
          <w:szCs w:val="18"/>
        </w:rPr>
        <w:t>Impro</w:t>
      </w:r>
      <w:r>
        <w:rPr>
          <w:rFonts w:ascii="Arial" w:eastAsia="Arial" w:hAnsi="Arial" w:cs="Arial"/>
          <w:sz w:val="18"/>
          <w:szCs w:val="18"/>
        </w:rPr>
        <w:t>ve retention of diverse associates at all levels. Monitor culture change and employee satisfaction through survey results.</w:t>
      </w:r>
    </w:p>
    <w:p w14:paraId="13CD9659" w14:textId="77777777" w:rsidR="00D1587D" w:rsidRDefault="00D1587D">
      <w:pPr>
        <w:spacing w:line="62" w:lineRule="exact"/>
        <w:rPr>
          <w:rFonts w:ascii="Arial" w:eastAsia="Arial" w:hAnsi="Arial" w:cs="Arial"/>
          <w:sz w:val="18"/>
          <w:szCs w:val="18"/>
        </w:rPr>
      </w:pPr>
    </w:p>
    <w:p w14:paraId="510D92E5" w14:textId="77777777" w:rsidR="00D1587D" w:rsidRDefault="00410D07" w:rsidP="00410D07">
      <w:pPr>
        <w:numPr>
          <w:ilvl w:val="0"/>
          <w:numId w:val="303"/>
        </w:numPr>
        <w:tabs>
          <w:tab w:val="left" w:pos="1000"/>
        </w:tabs>
        <w:ind w:left="1000" w:hanging="348"/>
        <w:rPr>
          <w:rFonts w:ascii="Arial" w:eastAsia="Arial" w:hAnsi="Arial" w:cs="Arial"/>
          <w:sz w:val="18"/>
          <w:szCs w:val="18"/>
        </w:rPr>
      </w:pPr>
      <w:r>
        <w:rPr>
          <w:rFonts w:ascii="Arial" w:eastAsia="Arial" w:hAnsi="Arial" w:cs="Arial"/>
          <w:sz w:val="18"/>
          <w:szCs w:val="18"/>
        </w:rPr>
        <w:t>Increase volunteerism and giving to organizations targeting racial equity and social justice.</w:t>
      </w:r>
    </w:p>
    <w:p w14:paraId="10C94EBC" w14:textId="77777777" w:rsidR="00D1587D" w:rsidRDefault="00D1587D">
      <w:pPr>
        <w:spacing w:line="117" w:lineRule="exact"/>
        <w:rPr>
          <w:rFonts w:ascii="Arial" w:eastAsia="Arial" w:hAnsi="Arial" w:cs="Arial"/>
          <w:sz w:val="18"/>
          <w:szCs w:val="18"/>
        </w:rPr>
      </w:pPr>
    </w:p>
    <w:p w14:paraId="15DE3939" w14:textId="77777777" w:rsidR="00D1587D" w:rsidRDefault="00410D07" w:rsidP="00410D07">
      <w:pPr>
        <w:numPr>
          <w:ilvl w:val="0"/>
          <w:numId w:val="303"/>
        </w:numPr>
        <w:tabs>
          <w:tab w:val="left" w:pos="1000"/>
        </w:tabs>
        <w:ind w:left="1000" w:hanging="348"/>
        <w:rPr>
          <w:rFonts w:ascii="Arial" w:eastAsia="Arial" w:hAnsi="Arial" w:cs="Arial"/>
          <w:sz w:val="18"/>
          <w:szCs w:val="18"/>
        </w:rPr>
      </w:pPr>
      <w:r>
        <w:rPr>
          <w:rFonts w:ascii="Arial" w:eastAsia="Arial" w:hAnsi="Arial" w:cs="Arial"/>
          <w:sz w:val="18"/>
          <w:szCs w:val="18"/>
        </w:rPr>
        <w:t xml:space="preserve">Increase spend with </w:t>
      </w:r>
      <w:r>
        <w:rPr>
          <w:rFonts w:ascii="Arial" w:eastAsia="Arial" w:hAnsi="Arial" w:cs="Arial"/>
          <w:sz w:val="18"/>
          <w:szCs w:val="18"/>
        </w:rPr>
        <w:t>minority-owned third-party companies.</w:t>
      </w:r>
    </w:p>
    <w:p w14:paraId="0945F8A8" w14:textId="77777777" w:rsidR="00D1587D" w:rsidRDefault="00D1587D">
      <w:pPr>
        <w:spacing w:line="117" w:lineRule="exact"/>
        <w:rPr>
          <w:sz w:val="20"/>
          <w:szCs w:val="20"/>
        </w:rPr>
      </w:pPr>
    </w:p>
    <w:p w14:paraId="5C60FA4E" w14:textId="77777777" w:rsidR="00D1587D" w:rsidRDefault="00410D07">
      <w:pPr>
        <w:spacing w:line="263" w:lineRule="auto"/>
        <w:ind w:left="300" w:right="639" w:firstLine="360"/>
        <w:rPr>
          <w:sz w:val="20"/>
          <w:szCs w:val="20"/>
        </w:rPr>
      </w:pPr>
      <w:r>
        <w:rPr>
          <w:rFonts w:ascii="Arial" w:eastAsia="Arial" w:hAnsi="Arial" w:cs="Arial"/>
          <w:sz w:val="18"/>
          <w:szCs w:val="18"/>
        </w:rPr>
        <w:t>More than 99% of our associates have completed training on our strategic vision for diversity and inclusion which includes lessons on bias, equity and conscious inclusion. The training emphasizes both our and our asso</w:t>
      </w:r>
      <w:r>
        <w:rPr>
          <w:rFonts w:ascii="Arial" w:eastAsia="Arial" w:hAnsi="Arial" w:cs="Arial"/>
          <w:sz w:val="18"/>
          <w:szCs w:val="18"/>
        </w:rPr>
        <w:t>ciates’ responsibility to build an inclusive culture.</w:t>
      </w:r>
    </w:p>
    <w:p w14:paraId="0F6F61CC" w14:textId="77777777" w:rsidR="00D1587D" w:rsidRDefault="00D1587D">
      <w:pPr>
        <w:spacing w:line="76" w:lineRule="exact"/>
        <w:rPr>
          <w:sz w:val="20"/>
          <w:szCs w:val="20"/>
        </w:rPr>
      </w:pPr>
    </w:p>
    <w:p w14:paraId="3F079252" w14:textId="77777777" w:rsidR="00D1587D" w:rsidRDefault="00410D07">
      <w:pPr>
        <w:spacing w:line="255" w:lineRule="auto"/>
        <w:ind w:left="300" w:right="379" w:firstLine="360"/>
        <w:rPr>
          <w:sz w:val="20"/>
          <w:szCs w:val="20"/>
        </w:rPr>
      </w:pPr>
      <w:r>
        <w:rPr>
          <w:rFonts w:ascii="Arial" w:eastAsia="Arial" w:hAnsi="Arial" w:cs="Arial"/>
          <w:sz w:val="18"/>
          <w:szCs w:val="18"/>
        </w:rPr>
        <w:t>In addition, we have inclusion resource groups that provide opportunity for associates to connect with one another around their shared passion for creating an inclusive workplace for all associates. Th</w:t>
      </w:r>
      <w:r>
        <w:rPr>
          <w:rFonts w:ascii="Arial" w:eastAsia="Arial" w:hAnsi="Arial" w:cs="Arial"/>
          <w:sz w:val="18"/>
          <w:szCs w:val="18"/>
        </w:rPr>
        <w:t>ese groups provide professional development for associates, support the needs of the business, help shape the culture of our company and volunteer in the community. Our associates participate in four inclusion resource groups designed for associates who id</w:t>
      </w:r>
      <w:r>
        <w:rPr>
          <w:rFonts w:ascii="Arial" w:eastAsia="Arial" w:hAnsi="Arial" w:cs="Arial"/>
          <w:sz w:val="18"/>
          <w:szCs w:val="18"/>
        </w:rPr>
        <w:t>entify as, or are allies of, the following groups: Hispanic and Latinx, LGBTQ, Black and African American and women.</w:t>
      </w:r>
    </w:p>
    <w:p w14:paraId="20852B02" w14:textId="77777777" w:rsidR="00D1587D" w:rsidRDefault="00D1587D">
      <w:pPr>
        <w:spacing w:line="192" w:lineRule="exact"/>
        <w:rPr>
          <w:sz w:val="20"/>
          <w:szCs w:val="20"/>
        </w:rPr>
      </w:pPr>
    </w:p>
    <w:p w14:paraId="2FCFAFB0" w14:textId="77777777" w:rsidR="00D1587D" w:rsidRDefault="00410D07">
      <w:pPr>
        <w:ind w:right="19"/>
        <w:jc w:val="center"/>
        <w:rPr>
          <w:sz w:val="20"/>
          <w:szCs w:val="20"/>
        </w:rPr>
      </w:pPr>
      <w:r>
        <w:rPr>
          <w:rFonts w:ascii="Arial" w:eastAsia="Arial" w:hAnsi="Arial" w:cs="Arial"/>
          <w:sz w:val="18"/>
          <w:szCs w:val="18"/>
        </w:rPr>
        <w:t>99</w:t>
      </w:r>
    </w:p>
    <w:p w14:paraId="4D93C31C" w14:textId="77777777" w:rsidR="00D1587D" w:rsidRDefault="00410D07">
      <w:pPr>
        <w:spacing w:line="20" w:lineRule="exact"/>
        <w:rPr>
          <w:sz w:val="20"/>
          <w:szCs w:val="20"/>
        </w:rPr>
      </w:pPr>
      <w:r>
        <w:rPr>
          <w:noProof/>
          <w:sz w:val="20"/>
          <w:szCs w:val="20"/>
        </w:rPr>
        <w:drawing>
          <wp:anchor distT="0" distB="0" distL="114300" distR="114300" simplePos="0" relativeHeight="251812864" behindDoc="1" locked="0" layoutInCell="0" allowOverlap="1" wp14:anchorId="5A47269F" wp14:editId="76A17FB8">
            <wp:simplePos x="0" y="0"/>
            <wp:positionH relativeFrom="column">
              <wp:posOffset>-636905</wp:posOffset>
            </wp:positionH>
            <wp:positionV relativeFrom="paragraph">
              <wp:posOffset>126365</wp:posOffset>
            </wp:positionV>
            <wp:extent cx="6995160" cy="17145"/>
            <wp:effectExtent l="0" t="0" r="0" b="0"/>
            <wp:wrapNone/>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8B0F0A6" w14:textId="77777777" w:rsidR="00D1587D" w:rsidRDefault="00D1587D">
      <w:pPr>
        <w:sectPr w:rsidR="00D1587D">
          <w:pgSz w:w="11900" w:h="16838"/>
          <w:pgMar w:top="265" w:right="1440" w:bottom="1440" w:left="1440" w:header="0" w:footer="0" w:gutter="0"/>
          <w:cols w:space="720" w:equalWidth="0">
            <w:col w:w="9019"/>
          </w:cols>
        </w:sectPr>
      </w:pPr>
    </w:p>
    <w:bookmarkStart w:id="357" w:name="page358"/>
    <w:bookmarkEnd w:id="357"/>
    <w:p w14:paraId="770CE43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49C4954" w14:textId="77777777" w:rsidR="00D1587D" w:rsidRDefault="00D1587D">
      <w:pPr>
        <w:spacing w:line="131" w:lineRule="exact"/>
        <w:rPr>
          <w:sz w:val="20"/>
          <w:szCs w:val="20"/>
        </w:rPr>
      </w:pPr>
    </w:p>
    <w:p w14:paraId="3AB607A3" w14:textId="77777777" w:rsidR="00D1587D" w:rsidRDefault="00410D07">
      <w:pPr>
        <w:ind w:left="300"/>
        <w:rPr>
          <w:sz w:val="20"/>
          <w:szCs w:val="20"/>
        </w:rPr>
      </w:pPr>
      <w:r>
        <w:rPr>
          <w:rFonts w:ascii="Arial" w:eastAsia="Arial" w:hAnsi="Arial" w:cs="Arial"/>
          <w:b/>
          <w:bCs/>
          <w:i/>
          <w:iCs/>
          <w:sz w:val="18"/>
          <w:szCs w:val="18"/>
        </w:rPr>
        <w:t>Commitment to Equitable and Competitive Wages</w:t>
      </w:r>
    </w:p>
    <w:p w14:paraId="744FD62C" w14:textId="77777777" w:rsidR="00D1587D" w:rsidRDefault="00D1587D">
      <w:pPr>
        <w:spacing w:line="117" w:lineRule="exact"/>
        <w:rPr>
          <w:sz w:val="20"/>
          <w:szCs w:val="20"/>
        </w:rPr>
      </w:pPr>
    </w:p>
    <w:p w14:paraId="35D84DA5" w14:textId="77777777" w:rsidR="00D1587D" w:rsidRDefault="00410D07">
      <w:pPr>
        <w:spacing w:line="255" w:lineRule="auto"/>
        <w:ind w:left="300" w:right="339" w:firstLine="360"/>
        <w:rPr>
          <w:sz w:val="20"/>
          <w:szCs w:val="20"/>
        </w:rPr>
      </w:pPr>
      <w:r>
        <w:rPr>
          <w:rFonts w:ascii="Arial" w:eastAsia="Arial" w:hAnsi="Arial" w:cs="Arial"/>
          <w:sz w:val="18"/>
          <w:szCs w:val="18"/>
        </w:rPr>
        <w:t xml:space="preserve">We are </w:t>
      </w:r>
      <w:r>
        <w:rPr>
          <w:rFonts w:ascii="Arial" w:eastAsia="Arial" w:hAnsi="Arial" w:cs="Arial"/>
          <w:sz w:val="18"/>
          <w:szCs w:val="18"/>
        </w:rPr>
        <w:t xml:space="preserve">committed to equal opportunity and treatment for all associates which includes equal career advancement opportunities and equitable and competitive wages. We evaluate fairness in total compensation with reference to both internal and external comparisons. </w:t>
      </w:r>
      <w:r>
        <w:rPr>
          <w:rFonts w:ascii="Arial" w:eastAsia="Arial" w:hAnsi="Arial" w:cs="Arial"/>
          <w:sz w:val="18"/>
          <w:szCs w:val="18"/>
        </w:rPr>
        <w:t>Our compensation programs are designed to link annual changes in compensation to overall Company performance, as well as each individual’s contribution to the results achieved. The emphasis on overall Company performance is intended to align the associates</w:t>
      </w:r>
      <w:r>
        <w:rPr>
          <w:rFonts w:ascii="Arial" w:eastAsia="Arial" w:hAnsi="Arial" w:cs="Arial"/>
          <w:sz w:val="18"/>
          <w:szCs w:val="18"/>
        </w:rPr>
        <w:t>’ financial interests with the interests of shareholders.</w:t>
      </w:r>
    </w:p>
    <w:p w14:paraId="46278FED" w14:textId="77777777" w:rsidR="00D1587D" w:rsidRDefault="00D1587D">
      <w:pPr>
        <w:spacing w:line="84" w:lineRule="exact"/>
        <w:rPr>
          <w:sz w:val="20"/>
          <w:szCs w:val="20"/>
        </w:rPr>
      </w:pPr>
    </w:p>
    <w:p w14:paraId="76C960E5" w14:textId="77777777" w:rsidR="00D1587D" w:rsidRDefault="00410D07">
      <w:pPr>
        <w:spacing w:line="263" w:lineRule="auto"/>
        <w:ind w:left="300" w:right="679" w:firstLine="360"/>
        <w:rPr>
          <w:sz w:val="20"/>
          <w:szCs w:val="20"/>
        </w:rPr>
      </w:pPr>
      <w:r>
        <w:rPr>
          <w:rFonts w:ascii="Arial" w:eastAsia="Arial" w:hAnsi="Arial" w:cs="Arial"/>
          <w:sz w:val="18"/>
          <w:szCs w:val="18"/>
        </w:rPr>
        <w:t xml:space="preserve">Our investment in our workforce in 2020 included the expansion of participation in the short-term cash incentive compensation program to include all salaried associates in the home office, </w:t>
      </w:r>
      <w:r>
        <w:rPr>
          <w:rFonts w:ascii="Arial" w:eastAsia="Arial" w:hAnsi="Arial" w:cs="Arial"/>
          <w:sz w:val="18"/>
          <w:szCs w:val="18"/>
        </w:rPr>
        <w:t>distribution or call centers beginning with the fall 2020 season and going forward.</w:t>
      </w:r>
    </w:p>
    <w:p w14:paraId="26971D51" w14:textId="77777777" w:rsidR="00D1587D" w:rsidRDefault="00D1587D">
      <w:pPr>
        <w:spacing w:line="184" w:lineRule="exact"/>
        <w:rPr>
          <w:sz w:val="20"/>
          <w:szCs w:val="20"/>
        </w:rPr>
      </w:pPr>
    </w:p>
    <w:p w14:paraId="0E4C641A" w14:textId="77777777" w:rsidR="00D1587D" w:rsidRDefault="00410D07">
      <w:pPr>
        <w:ind w:left="300"/>
        <w:rPr>
          <w:sz w:val="20"/>
          <w:szCs w:val="20"/>
        </w:rPr>
      </w:pPr>
      <w:r>
        <w:rPr>
          <w:rFonts w:ascii="Arial" w:eastAsia="Arial" w:hAnsi="Arial" w:cs="Arial"/>
          <w:b/>
          <w:bCs/>
          <w:i/>
          <w:iCs/>
          <w:sz w:val="18"/>
          <w:szCs w:val="18"/>
        </w:rPr>
        <w:t>Commitment to Providing Quality Benefits</w:t>
      </w:r>
    </w:p>
    <w:p w14:paraId="23A8EB5A" w14:textId="77777777" w:rsidR="00D1587D" w:rsidRDefault="00D1587D">
      <w:pPr>
        <w:spacing w:line="117" w:lineRule="exact"/>
        <w:rPr>
          <w:sz w:val="20"/>
          <w:szCs w:val="20"/>
        </w:rPr>
      </w:pPr>
    </w:p>
    <w:p w14:paraId="22598E20" w14:textId="77777777" w:rsidR="00D1587D" w:rsidRDefault="00410D07">
      <w:pPr>
        <w:spacing w:line="257" w:lineRule="auto"/>
        <w:ind w:left="300" w:right="399" w:firstLine="360"/>
        <w:rPr>
          <w:sz w:val="20"/>
          <w:szCs w:val="20"/>
        </w:rPr>
      </w:pPr>
      <w:r>
        <w:rPr>
          <w:rFonts w:ascii="Arial" w:eastAsia="Arial" w:hAnsi="Arial" w:cs="Arial"/>
          <w:sz w:val="18"/>
          <w:szCs w:val="18"/>
        </w:rPr>
        <w:t xml:space="preserve">We offer competitive, performance-based compensation; a company-matched savings and retirement plan; and flexible and affordable </w:t>
      </w:r>
      <w:r>
        <w:rPr>
          <w:rFonts w:ascii="Arial" w:eastAsia="Arial" w:hAnsi="Arial" w:cs="Arial"/>
          <w:sz w:val="18"/>
          <w:szCs w:val="18"/>
        </w:rPr>
        <w:t>health and wellness and lifestyle benefits. Subject to certain eligibility requirements, associates can choose benefits and resources that fit their lifestyle, including, but not limited to, 14 weeks paid maternity leave, six weeks paid paternal leave, tui</w:t>
      </w:r>
      <w:r>
        <w:rPr>
          <w:rFonts w:ascii="Arial" w:eastAsia="Arial" w:hAnsi="Arial" w:cs="Arial"/>
          <w:sz w:val="18"/>
          <w:szCs w:val="18"/>
        </w:rPr>
        <w:t>tion reimbursement, free access to life planning services and generous merchandise discounts.</w:t>
      </w:r>
    </w:p>
    <w:p w14:paraId="60AE1E77" w14:textId="77777777" w:rsidR="00D1587D" w:rsidRDefault="00D1587D">
      <w:pPr>
        <w:spacing w:line="188" w:lineRule="exact"/>
        <w:rPr>
          <w:sz w:val="20"/>
          <w:szCs w:val="20"/>
        </w:rPr>
      </w:pPr>
    </w:p>
    <w:p w14:paraId="12D3A7F4" w14:textId="77777777" w:rsidR="00D1587D" w:rsidRDefault="00410D07">
      <w:pPr>
        <w:ind w:left="300"/>
        <w:rPr>
          <w:sz w:val="20"/>
          <w:szCs w:val="20"/>
        </w:rPr>
      </w:pPr>
      <w:r>
        <w:rPr>
          <w:rFonts w:ascii="Arial" w:eastAsia="Arial" w:hAnsi="Arial" w:cs="Arial"/>
          <w:b/>
          <w:bCs/>
          <w:i/>
          <w:iCs/>
          <w:sz w:val="18"/>
          <w:szCs w:val="18"/>
        </w:rPr>
        <w:t>Associate Development</w:t>
      </w:r>
    </w:p>
    <w:p w14:paraId="5CDF049F" w14:textId="77777777" w:rsidR="00D1587D" w:rsidRDefault="00D1587D">
      <w:pPr>
        <w:spacing w:line="117" w:lineRule="exact"/>
        <w:rPr>
          <w:sz w:val="20"/>
          <w:szCs w:val="20"/>
        </w:rPr>
      </w:pPr>
    </w:p>
    <w:p w14:paraId="72C11E73" w14:textId="77777777" w:rsidR="00D1587D" w:rsidRDefault="00410D07">
      <w:pPr>
        <w:spacing w:line="279" w:lineRule="auto"/>
        <w:ind w:left="300" w:right="399" w:firstLine="360"/>
        <w:rPr>
          <w:sz w:val="20"/>
          <w:szCs w:val="20"/>
        </w:rPr>
      </w:pPr>
      <w:r>
        <w:rPr>
          <w:rFonts w:ascii="Arial" w:eastAsia="Arial" w:hAnsi="Arial" w:cs="Arial"/>
          <w:sz w:val="17"/>
          <w:szCs w:val="17"/>
        </w:rPr>
        <w:t>We are committed to investing in all our associates. We provide diverse learning opportunities and challenging work experiences. We believ</w:t>
      </w:r>
      <w:r>
        <w:rPr>
          <w:rFonts w:ascii="Arial" w:eastAsia="Arial" w:hAnsi="Arial" w:cs="Arial"/>
          <w:sz w:val="17"/>
          <w:szCs w:val="17"/>
        </w:rPr>
        <w:t>e that associates can reach their career goals through multiple roles, career paths and locations around the world. We offer a variety of enrichment experiences for those joining us as interns, new graduates, in mid-career or as a capstone to a career. Exa</w:t>
      </w:r>
      <w:r>
        <w:rPr>
          <w:rFonts w:ascii="Arial" w:eastAsia="Arial" w:hAnsi="Arial" w:cs="Arial"/>
          <w:sz w:val="17"/>
          <w:szCs w:val="17"/>
        </w:rPr>
        <w:t>mples include:</w:t>
      </w:r>
    </w:p>
    <w:p w14:paraId="75BA280C" w14:textId="77777777" w:rsidR="00D1587D" w:rsidRDefault="00D1587D">
      <w:pPr>
        <w:spacing w:line="63" w:lineRule="exact"/>
        <w:rPr>
          <w:sz w:val="20"/>
          <w:szCs w:val="20"/>
        </w:rPr>
      </w:pPr>
    </w:p>
    <w:p w14:paraId="019F4162" w14:textId="77777777" w:rsidR="00D1587D" w:rsidRDefault="00410D07" w:rsidP="00410D07">
      <w:pPr>
        <w:numPr>
          <w:ilvl w:val="0"/>
          <w:numId w:val="304"/>
        </w:numPr>
        <w:tabs>
          <w:tab w:val="left" w:pos="1000"/>
        </w:tabs>
        <w:ind w:left="1000" w:hanging="348"/>
        <w:rPr>
          <w:rFonts w:ascii="Arial" w:eastAsia="Arial" w:hAnsi="Arial" w:cs="Arial"/>
          <w:sz w:val="18"/>
          <w:szCs w:val="18"/>
        </w:rPr>
      </w:pPr>
      <w:r>
        <w:rPr>
          <w:rFonts w:ascii="Arial" w:eastAsia="Arial" w:hAnsi="Arial" w:cs="Arial"/>
          <w:sz w:val="18"/>
          <w:szCs w:val="18"/>
        </w:rPr>
        <w:t>Development Days: Dedicated time to advance technical, creative or business skills.</w:t>
      </w:r>
    </w:p>
    <w:p w14:paraId="559C0B2A" w14:textId="77777777" w:rsidR="00D1587D" w:rsidRDefault="00D1587D">
      <w:pPr>
        <w:spacing w:line="117" w:lineRule="exact"/>
        <w:rPr>
          <w:rFonts w:ascii="Arial" w:eastAsia="Arial" w:hAnsi="Arial" w:cs="Arial"/>
          <w:sz w:val="18"/>
          <w:szCs w:val="18"/>
        </w:rPr>
      </w:pPr>
    </w:p>
    <w:p w14:paraId="5E653DCC" w14:textId="77777777" w:rsidR="00D1587D" w:rsidRDefault="00410D07" w:rsidP="00410D07">
      <w:pPr>
        <w:numPr>
          <w:ilvl w:val="0"/>
          <w:numId w:val="304"/>
        </w:numPr>
        <w:tabs>
          <w:tab w:val="left" w:pos="1000"/>
        </w:tabs>
        <w:spacing w:line="277" w:lineRule="auto"/>
        <w:ind w:left="1000" w:right="379" w:hanging="348"/>
        <w:rPr>
          <w:rFonts w:ascii="Arial" w:eastAsia="Arial" w:hAnsi="Arial" w:cs="Arial"/>
          <w:sz w:val="18"/>
          <w:szCs w:val="18"/>
        </w:rPr>
      </w:pPr>
      <w:r>
        <w:rPr>
          <w:rFonts w:ascii="Arial" w:eastAsia="Arial" w:hAnsi="Arial" w:cs="Arial"/>
          <w:sz w:val="18"/>
          <w:szCs w:val="18"/>
        </w:rPr>
        <w:t>Leadership Development: Courses for associates in management positions to build critical skills and grow as effective leaders.</w:t>
      </w:r>
    </w:p>
    <w:p w14:paraId="6D00A3DB" w14:textId="77777777" w:rsidR="00D1587D" w:rsidRDefault="00D1587D">
      <w:pPr>
        <w:spacing w:line="62" w:lineRule="exact"/>
        <w:rPr>
          <w:rFonts w:ascii="Arial" w:eastAsia="Arial" w:hAnsi="Arial" w:cs="Arial"/>
          <w:sz w:val="18"/>
          <w:szCs w:val="18"/>
        </w:rPr>
      </w:pPr>
    </w:p>
    <w:p w14:paraId="4C9B0637" w14:textId="77777777" w:rsidR="00D1587D" w:rsidRDefault="00410D07" w:rsidP="00410D07">
      <w:pPr>
        <w:numPr>
          <w:ilvl w:val="0"/>
          <w:numId w:val="304"/>
        </w:numPr>
        <w:tabs>
          <w:tab w:val="left" w:pos="1000"/>
        </w:tabs>
        <w:spacing w:line="277" w:lineRule="auto"/>
        <w:ind w:left="1000" w:right="459" w:hanging="348"/>
        <w:rPr>
          <w:rFonts w:ascii="Arial" w:eastAsia="Arial" w:hAnsi="Arial" w:cs="Arial"/>
          <w:sz w:val="18"/>
          <w:szCs w:val="18"/>
        </w:rPr>
      </w:pPr>
      <w:r>
        <w:rPr>
          <w:rFonts w:ascii="Arial" w:eastAsia="Arial" w:hAnsi="Arial" w:cs="Arial"/>
          <w:sz w:val="18"/>
          <w:szCs w:val="18"/>
        </w:rPr>
        <w:t>Merchant-in-Training Program: Immersive program to learn the craft both on the job and from experts in the classroom.</w:t>
      </w:r>
    </w:p>
    <w:p w14:paraId="724A36FB" w14:textId="77777777" w:rsidR="00D1587D" w:rsidRDefault="00D1587D">
      <w:pPr>
        <w:spacing w:line="62" w:lineRule="exact"/>
        <w:rPr>
          <w:rFonts w:ascii="Arial" w:eastAsia="Arial" w:hAnsi="Arial" w:cs="Arial"/>
          <w:sz w:val="18"/>
          <w:szCs w:val="18"/>
        </w:rPr>
      </w:pPr>
    </w:p>
    <w:p w14:paraId="242C3492" w14:textId="77777777" w:rsidR="00D1587D" w:rsidRDefault="00410D07" w:rsidP="00410D07">
      <w:pPr>
        <w:numPr>
          <w:ilvl w:val="0"/>
          <w:numId w:val="304"/>
        </w:numPr>
        <w:tabs>
          <w:tab w:val="left" w:pos="1000"/>
        </w:tabs>
        <w:spacing w:line="277" w:lineRule="auto"/>
        <w:ind w:left="1000" w:right="519" w:hanging="348"/>
        <w:rPr>
          <w:rFonts w:ascii="Arial" w:eastAsia="Arial" w:hAnsi="Arial" w:cs="Arial"/>
          <w:sz w:val="18"/>
          <w:szCs w:val="18"/>
        </w:rPr>
      </w:pPr>
      <w:r>
        <w:rPr>
          <w:rFonts w:ascii="Arial" w:eastAsia="Arial" w:hAnsi="Arial" w:cs="Arial"/>
          <w:sz w:val="18"/>
          <w:szCs w:val="18"/>
        </w:rPr>
        <w:t>Onboarding: Dedicated time to learn the business and to form important relationships for mentoring and development.</w:t>
      </w:r>
    </w:p>
    <w:p w14:paraId="4EE98268" w14:textId="77777777" w:rsidR="00D1587D" w:rsidRDefault="00D1587D">
      <w:pPr>
        <w:spacing w:line="62" w:lineRule="exact"/>
        <w:rPr>
          <w:rFonts w:ascii="Arial" w:eastAsia="Arial" w:hAnsi="Arial" w:cs="Arial"/>
          <w:sz w:val="18"/>
          <w:szCs w:val="18"/>
        </w:rPr>
      </w:pPr>
    </w:p>
    <w:p w14:paraId="6F3CA08D" w14:textId="77777777" w:rsidR="00D1587D" w:rsidRDefault="00410D07" w:rsidP="00410D07">
      <w:pPr>
        <w:numPr>
          <w:ilvl w:val="0"/>
          <w:numId w:val="304"/>
        </w:numPr>
        <w:tabs>
          <w:tab w:val="left" w:pos="1000"/>
        </w:tabs>
        <w:spacing w:line="277" w:lineRule="auto"/>
        <w:ind w:left="1000" w:right="539" w:hanging="348"/>
        <w:rPr>
          <w:rFonts w:ascii="Arial" w:eastAsia="Arial" w:hAnsi="Arial" w:cs="Arial"/>
          <w:sz w:val="18"/>
          <w:szCs w:val="18"/>
        </w:rPr>
      </w:pPr>
      <w:r>
        <w:rPr>
          <w:rFonts w:ascii="Arial" w:eastAsia="Arial" w:hAnsi="Arial" w:cs="Arial"/>
          <w:sz w:val="18"/>
          <w:szCs w:val="18"/>
        </w:rPr>
        <w:t xml:space="preserve">Tuition Assistance: </w:t>
      </w:r>
      <w:r>
        <w:rPr>
          <w:rFonts w:ascii="Arial" w:eastAsia="Arial" w:hAnsi="Arial" w:cs="Arial"/>
          <w:sz w:val="18"/>
          <w:szCs w:val="18"/>
        </w:rPr>
        <w:t>Reimbursement of 80 percent of eligible tuition expenses, up to $3,000 per calendar year.</w:t>
      </w:r>
    </w:p>
    <w:p w14:paraId="03E83A16" w14:textId="77777777" w:rsidR="00D1587D" w:rsidRDefault="00D1587D">
      <w:pPr>
        <w:spacing w:line="170" w:lineRule="exact"/>
        <w:rPr>
          <w:sz w:val="20"/>
          <w:szCs w:val="20"/>
        </w:rPr>
      </w:pPr>
    </w:p>
    <w:p w14:paraId="7F091104" w14:textId="77777777" w:rsidR="00D1587D" w:rsidRDefault="00410D07">
      <w:pPr>
        <w:ind w:left="300"/>
        <w:rPr>
          <w:sz w:val="20"/>
          <w:szCs w:val="20"/>
        </w:rPr>
      </w:pPr>
      <w:r>
        <w:rPr>
          <w:rFonts w:ascii="Arial" w:eastAsia="Arial" w:hAnsi="Arial" w:cs="Arial"/>
          <w:b/>
          <w:bCs/>
          <w:i/>
          <w:iCs/>
          <w:sz w:val="18"/>
          <w:szCs w:val="18"/>
        </w:rPr>
        <w:t>Safety is Our Priority</w:t>
      </w:r>
    </w:p>
    <w:p w14:paraId="19DEBB0B" w14:textId="77777777" w:rsidR="00D1587D" w:rsidRDefault="00D1587D">
      <w:pPr>
        <w:spacing w:line="117" w:lineRule="exact"/>
        <w:rPr>
          <w:sz w:val="20"/>
          <w:szCs w:val="20"/>
        </w:rPr>
      </w:pPr>
    </w:p>
    <w:p w14:paraId="10BA60C0" w14:textId="77777777" w:rsidR="00D1587D" w:rsidRDefault="00410D07">
      <w:pPr>
        <w:spacing w:line="273" w:lineRule="auto"/>
        <w:ind w:left="300" w:right="319" w:firstLine="360"/>
        <w:rPr>
          <w:sz w:val="20"/>
          <w:szCs w:val="20"/>
        </w:rPr>
      </w:pPr>
      <w:r>
        <w:rPr>
          <w:rFonts w:ascii="Arial" w:eastAsia="Arial" w:hAnsi="Arial" w:cs="Arial"/>
          <w:sz w:val="17"/>
          <w:szCs w:val="17"/>
        </w:rPr>
        <w:t>Health and safety of our associates, customers and vendors is our highest priority. We provide safe and clean facilities, comply with all app</w:t>
      </w:r>
      <w:r>
        <w:rPr>
          <w:rFonts w:ascii="Arial" w:eastAsia="Arial" w:hAnsi="Arial" w:cs="Arial"/>
          <w:sz w:val="17"/>
          <w:szCs w:val="17"/>
        </w:rPr>
        <w:t>licable workplace safety laws and have global safety policies and procedures to protect from avoidable injury. In response to COVID-19, we implemented robust safety protocols to protect associates working in our distribution centers, stores and home office</w:t>
      </w:r>
      <w:r>
        <w:rPr>
          <w:rFonts w:ascii="Arial" w:eastAsia="Arial" w:hAnsi="Arial" w:cs="Arial"/>
          <w:sz w:val="17"/>
          <w:szCs w:val="17"/>
        </w:rPr>
        <w:t>s. Associates whose work can be done remotely are working from home. For associates who are working in our stores, offices and distribution centers, we are utilizing COVID-19 safety measures developed to align with CDC guidelines.</w:t>
      </w:r>
    </w:p>
    <w:p w14:paraId="591E71BA" w14:textId="77777777" w:rsidR="00D1587D" w:rsidRDefault="00D1587D">
      <w:pPr>
        <w:spacing w:line="178" w:lineRule="exact"/>
        <w:rPr>
          <w:sz w:val="20"/>
          <w:szCs w:val="20"/>
        </w:rPr>
      </w:pPr>
    </w:p>
    <w:p w14:paraId="7FFDCD73" w14:textId="77777777" w:rsidR="00D1587D" w:rsidRDefault="00410D07">
      <w:pPr>
        <w:ind w:left="300"/>
        <w:rPr>
          <w:sz w:val="20"/>
          <w:szCs w:val="20"/>
        </w:rPr>
      </w:pPr>
      <w:r>
        <w:rPr>
          <w:rFonts w:ascii="Arial" w:eastAsia="Arial" w:hAnsi="Arial" w:cs="Arial"/>
          <w:b/>
          <w:bCs/>
          <w:i/>
          <w:iCs/>
          <w:sz w:val="18"/>
          <w:szCs w:val="18"/>
        </w:rPr>
        <w:t>Code of Conduct</w:t>
      </w:r>
    </w:p>
    <w:p w14:paraId="46BFAFA9" w14:textId="77777777" w:rsidR="00D1587D" w:rsidRDefault="00D1587D">
      <w:pPr>
        <w:spacing w:line="117" w:lineRule="exact"/>
        <w:rPr>
          <w:sz w:val="20"/>
          <w:szCs w:val="20"/>
        </w:rPr>
      </w:pPr>
    </w:p>
    <w:p w14:paraId="42C2BC0A" w14:textId="77777777" w:rsidR="00D1587D" w:rsidRDefault="00410D07">
      <w:pPr>
        <w:spacing w:line="275" w:lineRule="auto"/>
        <w:ind w:left="300" w:right="339" w:firstLine="360"/>
        <w:rPr>
          <w:sz w:val="20"/>
          <w:szCs w:val="20"/>
        </w:rPr>
      </w:pPr>
      <w:r>
        <w:rPr>
          <w:rFonts w:ascii="Arial" w:eastAsia="Arial" w:hAnsi="Arial" w:cs="Arial"/>
          <w:sz w:val="17"/>
          <w:szCs w:val="17"/>
        </w:rPr>
        <w:t xml:space="preserve">We </w:t>
      </w:r>
      <w:r>
        <w:rPr>
          <w:rFonts w:ascii="Arial" w:eastAsia="Arial" w:hAnsi="Arial" w:cs="Arial"/>
          <w:sz w:val="17"/>
          <w:szCs w:val="17"/>
        </w:rPr>
        <w:t>have a written Code of Conduct that is based on our values and is a resource where associates can find information that defines behaviors that are acceptable and those that are not. We conduct an annual Code of Conduct compliance process which requires ass</w:t>
      </w:r>
      <w:r>
        <w:rPr>
          <w:rFonts w:ascii="Arial" w:eastAsia="Arial" w:hAnsi="Arial" w:cs="Arial"/>
          <w:sz w:val="17"/>
          <w:szCs w:val="17"/>
        </w:rPr>
        <w:t>ociates to complete a Code of Conduct disclosure and a separate training course. We maintain an Ethics Hotline 24 hours a day, 7 days a week where associates may anonymously report potential instances of unethical conduct and potential violations of law or</w:t>
      </w:r>
      <w:r>
        <w:rPr>
          <w:rFonts w:ascii="Arial" w:eastAsia="Arial" w:hAnsi="Arial" w:cs="Arial"/>
          <w:sz w:val="17"/>
          <w:szCs w:val="17"/>
        </w:rPr>
        <w:t xml:space="preserve"> company policies.</w:t>
      </w:r>
    </w:p>
    <w:p w14:paraId="43B496B6" w14:textId="77777777" w:rsidR="00D1587D" w:rsidRDefault="00D1587D">
      <w:pPr>
        <w:spacing w:line="172" w:lineRule="exact"/>
        <w:rPr>
          <w:sz w:val="20"/>
          <w:szCs w:val="20"/>
        </w:rPr>
      </w:pPr>
    </w:p>
    <w:p w14:paraId="02069E1C" w14:textId="77777777" w:rsidR="00D1587D" w:rsidRDefault="00410D07">
      <w:pPr>
        <w:ind w:left="300"/>
        <w:rPr>
          <w:sz w:val="20"/>
          <w:szCs w:val="20"/>
        </w:rPr>
      </w:pPr>
      <w:r>
        <w:rPr>
          <w:rFonts w:ascii="Arial" w:eastAsia="Arial" w:hAnsi="Arial" w:cs="Arial"/>
          <w:b/>
          <w:bCs/>
          <w:sz w:val="18"/>
          <w:szCs w:val="18"/>
        </w:rPr>
        <w:t>Intellectual Property</w:t>
      </w:r>
    </w:p>
    <w:p w14:paraId="52EC516B" w14:textId="77777777" w:rsidR="00D1587D" w:rsidRDefault="00D1587D">
      <w:pPr>
        <w:spacing w:line="121" w:lineRule="exact"/>
        <w:rPr>
          <w:sz w:val="20"/>
          <w:szCs w:val="20"/>
        </w:rPr>
      </w:pPr>
    </w:p>
    <w:p w14:paraId="4EFC4705" w14:textId="77777777" w:rsidR="00D1587D" w:rsidRDefault="00410D07">
      <w:pPr>
        <w:spacing w:line="311" w:lineRule="auto"/>
        <w:ind w:left="300" w:right="439" w:firstLine="360"/>
        <w:rPr>
          <w:sz w:val="20"/>
          <w:szCs w:val="20"/>
        </w:rPr>
      </w:pPr>
      <w:r>
        <w:rPr>
          <w:rFonts w:ascii="Arial" w:eastAsia="Arial" w:hAnsi="Arial" w:cs="Arial"/>
          <w:sz w:val="16"/>
          <w:szCs w:val="16"/>
        </w:rPr>
        <w:t xml:space="preserve">Our trademarks and patents, which constitute our primary intellectual property, have been registered or are the subject of pending applications in the U.S. Patent and Trademark Office and with the </w:t>
      </w:r>
      <w:r>
        <w:rPr>
          <w:rFonts w:ascii="Arial" w:eastAsia="Arial" w:hAnsi="Arial" w:cs="Arial"/>
          <w:sz w:val="16"/>
          <w:szCs w:val="16"/>
        </w:rPr>
        <w:t>registries of many foreign countries where our products are manufactured and/or sold. In particular, our trademark portfolio consists</w:t>
      </w:r>
    </w:p>
    <w:p w14:paraId="3F3D70CB" w14:textId="77777777" w:rsidR="00D1587D" w:rsidRDefault="00D1587D">
      <w:pPr>
        <w:sectPr w:rsidR="00D1587D">
          <w:pgSz w:w="11900" w:h="16838"/>
          <w:pgMar w:top="265" w:right="1440" w:bottom="1440" w:left="1440" w:header="0" w:footer="0" w:gutter="0"/>
          <w:cols w:space="720" w:equalWidth="0">
            <w:col w:w="9019"/>
          </w:cols>
        </w:sectPr>
      </w:pPr>
    </w:p>
    <w:p w14:paraId="331CFDC1" w14:textId="77777777" w:rsidR="00D1587D" w:rsidRDefault="00D1587D">
      <w:pPr>
        <w:spacing w:line="149" w:lineRule="exact"/>
        <w:rPr>
          <w:sz w:val="20"/>
          <w:szCs w:val="20"/>
        </w:rPr>
      </w:pPr>
    </w:p>
    <w:p w14:paraId="7A3F9F10" w14:textId="77777777" w:rsidR="00D1587D" w:rsidRDefault="00410D07">
      <w:pPr>
        <w:ind w:right="19"/>
        <w:jc w:val="center"/>
        <w:rPr>
          <w:sz w:val="20"/>
          <w:szCs w:val="20"/>
        </w:rPr>
      </w:pPr>
      <w:r>
        <w:rPr>
          <w:rFonts w:ascii="Arial" w:eastAsia="Arial" w:hAnsi="Arial" w:cs="Arial"/>
          <w:sz w:val="16"/>
          <w:szCs w:val="16"/>
        </w:rPr>
        <w:t>100</w:t>
      </w:r>
    </w:p>
    <w:p w14:paraId="75C633BA" w14:textId="77777777" w:rsidR="00D1587D" w:rsidRDefault="00410D07">
      <w:pPr>
        <w:spacing w:line="20" w:lineRule="exact"/>
        <w:rPr>
          <w:sz w:val="20"/>
          <w:szCs w:val="20"/>
        </w:rPr>
      </w:pPr>
      <w:r>
        <w:rPr>
          <w:noProof/>
          <w:sz w:val="20"/>
          <w:szCs w:val="20"/>
        </w:rPr>
        <w:drawing>
          <wp:anchor distT="0" distB="0" distL="114300" distR="114300" simplePos="0" relativeHeight="251813888" behindDoc="1" locked="0" layoutInCell="0" allowOverlap="1" wp14:anchorId="2CADAD81" wp14:editId="1DE60ADA">
            <wp:simplePos x="0" y="0"/>
            <wp:positionH relativeFrom="column">
              <wp:posOffset>-636905</wp:posOffset>
            </wp:positionH>
            <wp:positionV relativeFrom="paragraph">
              <wp:posOffset>149225</wp:posOffset>
            </wp:positionV>
            <wp:extent cx="6995160" cy="17145"/>
            <wp:effectExtent l="0" t="0" r="0" b="0"/>
            <wp:wrapNone/>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FBB5DC8"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58" w:name="page359"/>
    <w:bookmarkEnd w:id="358"/>
    <w:p w14:paraId="62099B3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593A954" w14:textId="77777777" w:rsidR="00D1587D" w:rsidRDefault="00D1587D">
      <w:pPr>
        <w:spacing w:line="131" w:lineRule="exact"/>
        <w:rPr>
          <w:sz w:val="20"/>
          <w:szCs w:val="20"/>
        </w:rPr>
      </w:pPr>
    </w:p>
    <w:p w14:paraId="2CD3BF07" w14:textId="77777777" w:rsidR="00D1587D" w:rsidRDefault="00410D07">
      <w:pPr>
        <w:spacing w:line="293" w:lineRule="auto"/>
        <w:ind w:left="300" w:right="339"/>
        <w:rPr>
          <w:sz w:val="20"/>
          <w:szCs w:val="20"/>
        </w:rPr>
      </w:pPr>
      <w:r>
        <w:rPr>
          <w:rFonts w:ascii="Arial" w:eastAsia="Arial" w:hAnsi="Arial" w:cs="Arial"/>
          <w:sz w:val="16"/>
          <w:szCs w:val="16"/>
        </w:rPr>
        <w:t>of over 7,000 trademark registra</w:t>
      </w:r>
      <w:r>
        <w:rPr>
          <w:rFonts w:ascii="Arial" w:eastAsia="Arial" w:hAnsi="Arial" w:cs="Arial"/>
          <w:sz w:val="16"/>
          <w:szCs w:val="16"/>
        </w:rPr>
        <w:t xml:space="preserve">tions and applications in the United States and other countries around the world, including for VICTORIA’S SECRET and PINK. We believe our products are identified by our trademarks and, thus, our trademarks are of significant value. Accordingly, we intend </w:t>
      </w:r>
      <w:r>
        <w:rPr>
          <w:rFonts w:ascii="Arial" w:eastAsia="Arial" w:hAnsi="Arial" w:cs="Arial"/>
          <w:sz w:val="16"/>
          <w:szCs w:val="16"/>
        </w:rPr>
        <w:t>to maintain our trademarks and related registrations and vigorously protect our intellectual property assets against infringement, misappropriation or other violations. Although the laws vary by jurisdiction, in general, trademarks remain valid and enforce</w:t>
      </w:r>
      <w:r>
        <w:rPr>
          <w:rFonts w:ascii="Arial" w:eastAsia="Arial" w:hAnsi="Arial" w:cs="Arial"/>
          <w:sz w:val="16"/>
          <w:szCs w:val="16"/>
        </w:rPr>
        <w:t>able as long as the marks are used in connection with the related products and services and the required registration renewals are filed.</w:t>
      </w:r>
    </w:p>
    <w:p w14:paraId="52543C45" w14:textId="77777777" w:rsidR="00D1587D" w:rsidRDefault="00D1587D">
      <w:pPr>
        <w:spacing w:line="56" w:lineRule="exact"/>
        <w:rPr>
          <w:sz w:val="20"/>
          <w:szCs w:val="20"/>
        </w:rPr>
      </w:pPr>
    </w:p>
    <w:p w14:paraId="0498FCE9" w14:textId="77777777" w:rsidR="00D1587D" w:rsidRDefault="00410D07">
      <w:pPr>
        <w:spacing w:line="277" w:lineRule="auto"/>
        <w:ind w:left="300" w:right="839" w:firstLine="360"/>
        <w:rPr>
          <w:sz w:val="20"/>
          <w:szCs w:val="20"/>
        </w:rPr>
      </w:pPr>
      <w:r>
        <w:rPr>
          <w:rFonts w:ascii="Arial" w:eastAsia="Arial" w:hAnsi="Arial" w:cs="Arial"/>
          <w:sz w:val="18"/>
          <w:szCs w:val="18"/>
        </w:rPr>
        <w:t>We also place high importance on product innovation and design, and a number of these innovations and designs are the</w:t>
      </w:r>
      <w:r>
        <w:rPr>
          <w:rFonts w:ascii="Arial" w:eastAsia="Arial" w:hAnsi="Arial" w:cs="Arial"/>
          <w:sz w:val="18"/>
          <w:szCs w:val="18"/>
        </w:rPr>
        <w:t xml:space="preserve"> subject of issued patents and pending patent applications.</w:t>
      </w:r>
    </w:p>
    <w:p w14:paraId="7C2B21F3" w14:textId="77777777" w:rsidR="00D1587D" w:rsidRDefault="00D1587D">
      <w:pPr>
        <w:spacing w:line="62" w:lineRule="exact"/>
        <w:rPr>
          <w:sz w:val="20"/>
          <w:szCs w:val="20"/>
        </w:rPr>
      </w:pPr>
    </w:p>
    <w:p w14:paraId="1DC26708" w14:textId="77777777" w:rsidR="00D1587D" w:rsidRDefault="00410D07">
      <w:pPr>
        <w:spacing w:line="253" w:lineRule="auto"/>
        <w:ind w:left="300" w:right="299" w:firstLine="360"/>
        <w:rPr>
          <w:sz w:val="20"/>
          <w:szCs w:val="20"/>
        </w:rPr>
      </w:pPr>
      <w:r>
        <w:rPr>
          <w:rFonts w:ascii="Arial" w:eastAsia="Arial" w:hAnsi="Arial" w:cs="Arial"/>
          <w:sz w:val="18"/>
          <w:szCs w:val="18"/>
        </w:rPr>
        <w:t>Due to the worldwide consumer recognition of our products, we face an increased risk of counterfeiting by third parties. We vigorously monitor and enforce our intellectual property and proprietar</w:t>
      </w:r>
      <w:r>
        <w:rPr>
          <w:rFonts w:ascii="Arial" w:eastAsia="Arial" w:hAnsi="Arial" w:cs="Arial"/>
          <w:sz w:val="18"/>
          <w:szCs w:val="18"/>
        </w:rPr>
        <w:t>y rights against counterfeiting, infringement, misappropriation and other violations by third parties where and to the extent legal, feasible and appropriate. However, the actions we take to protect our intellectual property rights may not be adequate to p</w:t>
      </w:r>
      <w:r>
        <w:rPr>
          <w:rFonts w:ascii="Arial" w:eastAsia="Arial" w:hAnsi="Arial" w:cs="Arial"/>
          <w:sz w:val="18"/>
          <w:szCs w:val="18"/>
        </w:rPr>
        <w:t>revent third parties from copying our products or infringing, misappropriating or otherwise violating our trademarks or other intellectual property rights, and the laws of foreign countries may not protect intellectual property rights to the same extent as</w:t>
      </w:r>
      <w:r>
        <w:rPr>
          <w:rFonts w:ascii="Arial" w:eastAsia="Arial" w:hAnsi="Arial" w:cs="Arial"/>
          <w:sz w:val="18"/>
          <w:szCs w:val="18"/>
        </w:rPr>
        <w:t xml:space="preserve"> do the laws of the U.S. See “Risk Factors— Our ability to adequately maintain, enforce and protect our trade names, trademarks and patents could have an impact on our brand images and ability to penetrate new markets.”</w:t>
      </w:r>
    </w:p>
    <w:p w14:paraId="45F76C35" w14:textId="77777777" w:rsidR="00D1587D" w:rsidRDefault="00D1587D">
      <w:pPr>
        <w:spacing w:line="354" w:lineRule="exact"/>
        <w:rPr>
          <w:sz w:val="20"/>
          <w:szCs w:val="20"/>
        </w:rPr>
      </w:pPr>
    </w:p>
    <w:p w14:paraId="3FFEFFFA" w14:textId="77777777" w:rsidR="00D1587D" w:rsidRDefault="00410D07">
      <w:pPr>
        <w:ind w:left="300"/>
        <w:rPr>
          <w:sz w:val="20"/>
          <w:szCs w:val="20"/>
        </w:rPr>
      </w:pPr>
      <w:r>
        <w:rPr>
          <w:rFonts w:ascii="Arial" w:eastAsia="Arial" w:hAnsi="Arial" w:cs="Arial"/>
          <w:b/>
          <w:bCs/>
          <w:sz w:val="18"/>
          <w:szCs w:val="18"/>
        </w:rPr>
        <w:t>Information Systems</w:t>
      </w:r>
    </w:p>
    <w:p w14:paraId="34AEE1AD" w14:textId="77777777" w:rsidR="00D1587D" w:rsidRDefault="00D1587D">
      <w:pPr>
        <w:spacing w:line="121" w:lineRule="exact"/>
        <w:rPr>
          <w:sz w:val="20"/>
          <w:szCs w:val="20"/>
        </w:rPr>
      </w:pPr>
    </w:p>
    <w:p w14:paraId="34148B1B" w14:textId="77777777" w:rsidR="00D1587D" w:rsidRDefault="00410D07">
      <w:pPr>
        <w:spacing w:line="311" w:lineRule="auto"/>
        <w:ind w:left="300" w:right="359" w:firstLine="360"/>
        <w:rPr>
          <w:sz w:val="20"/>
          <w:szCs w:val="20"/>
        </w:rPr>
      </w:pPr>
      <w:r>
        <w:rPr>
          <w:rFonts w:ascii="Arial" w:eastAsia="Arial" w:hAnsi="Arial" w:cs="Arial"/>
          <w:sz w:val="16"/>
          <w:szCs w:val="16"/>
        </w:rPr>
        <w:t xml:space="preserve">Our </w:t>
      </w:r>
      <w:r>
        <w:rPr>
          <w:rFonts w:ascii="Arial" w:eastAsia="Arial" w:hAnsi="Arial" w:cs="Arial"/>
          <w:sz w:val="16"/>
          <w:szCs w:val="16"/>
        </w:rPr>
        <w:t xml:space="preserve">management information systems consist of a full range of retail, financial and merchandising systems. The systems include applications related to point-of-sale, e-commerce, merchandising, planning, sourcing, logistics, inventory management, data security </w:t>
      </w:r>
      <w:r>
        <w:rPr>
          <w:rFonts w:ascii="Arial" w:eastAsia="Arial" w:hAnsi="Arial" w:cs="Arial"/>
          <w:sz w:val="16"/>
          <w:szCs w:val="16"/>
        </w:rPr>
        <w:t>and support systems including human resources and finance.</w:t>
      </w:r>
    </w:p>
    <w:p w14:paraId="13295BCF" w14:textId="77777777" w:rsidR="00D1587D" w:rsidRDefault="00D1587D">
      <w:pPr>
        <w:spacing w:line="293" w:lineRule="exact"/>
        <w:rPr>
          <w:sz w:val="20"/>
          <w:szCs w:val="20"/>
        </w:rPr>
      </w:pPr>
    </w:p>
    <w:p w14:paraId="34B3D53D" w14:textId="77777777" w:rsidR="00D1587D" w:rsidRDefault="00410D07">
      <w:pPr>
        <w:ind w:left="300"/>
        <w:rPr>
          <w:sz w:val="20"/>
          <w:szCs w:val="20"/>
        </w:rPr>
      </w:pPr>
      <w:r>
        <w:rPr>
          <w:rFonts w:ascii="Arial" w:eastAsia="Arial" w:hAnsi="Arial" w:cs="Arial"/>
          <w:b/>
          <w:bCs/>
          <w:sz w:val="18"/>
          <w:szCs w:val="18"/>
        </w:rPr>
        <w:t>Legal Proceedings</w:t>
      </w:r>
    </w:p>
    <w:p w14:paraId="7208521C" w14:textId="77777777" w:rsidR="00D1587D" w:rsidRDefault="00D1587D">
      <w:pPr>
        <w:spacing w:line="121" w:lineRule="exact"/>
        <w:rPr>
          <w:sz w:val="20"/>
          <w:szCs w:val="20"/>
        </w:rPr>
      </w:pPr>
    </w:p>
    <w:p w14:paraId="4442EAEA" w14:textId="77777777" w:rsidR="00D1587D" w:rsidRDefault="00410D07">
      <w:pPr>
        <w:spacing w:line="263" w:lineRule="auto"/>
        <w:ind w:left="300" w:right="539" w:firstLine="360"/>
        <w:rPr>
          <w:sz w:val="20"/>
          <w:szCs w:val="20"/>
        </w:rPr>
      </w:pPr>
      <w:r>
        <w:rPr>
          <w:rFonts w:ascii="Arial" w:eastAsia="Arial" w:hAnsi="Arial" w:cs="Arial"/>
          <w:sz w:val="18"/>
          <w:szCs w:val="18"/>
        </w:rPr>
        <w:t xml:space="preserve">There are no pending material legal proceedings. The Company continues to have ordinary, routine litigation incidental to the business, to which we or any of our </w:t>
      </w:r>
      <w:r>
        <w:rPr>
          <w:rFonts w:ascii="Arial" w:eastAsia="Arial" w:hAnsi="Arial" w:cs="Arial"/>
          <w:sz w:val="18"/>
          <w:szCs w:val="18"/>
        </w:rPr>
        <w:t>subsidiaries is a party or to which any of our property is the subject.</w:t>
      </w:r>
    </w:p>
    <w:p w14:paraId="563AFED4" w14:textId="77777777" w:rsidR="00D1587D" w:rsidRDefault="00D1587D">
      <w:pPr>
        <w:spacing w:line="184" w:lineRule="exact"/>
        <w:rPr>
          <w:sz w:val="20"/>
          <w:szCs w:val="20"/>
        </w:rPr>
      </w:pPr>
    </w:p>
    <w:p w14:paraId="304EF378" w14:textId="77777777" w:rsidR="00D1587D" w:rsidRDefault="00410D07">
      <w:pPr>
        <w:jc w:val="center"/>
        <w:rPr>
          <w:sz w:val="20"/>
          <w:szCs w:val="20"/>
        </w:rPr>
      </w:pPr>
      <w:r>
        <w:rPr>
          <w:rFonts w:ascii="Arial" w:eastAsia="Arial" w:hAnsi="Arial" w:cs="Arial"/>
          <w:sz w:val="18"/>
          <w:szCs w:val="18"/>
        </w:rPr>
        <w:t>101</w:t>
      </w:r>
    </w:p>
    <w:p w14:paraId="5FDEFE03" w14:textId="77777777" w:rsidR="00D1587D" w:rsidRDefault="00410D07">
      <w:pPr>
        <w:spacing w:line="20" w:lineRule="exact"/>
        <w:rPr>
          <w:sz w:val="20"/>
          <w:szCs w:val="20"/>
        </w:rPr>
      </w:pPr>
      <w:r>
        <w:rPr>
          <w:noProof/>
          <w:sz w:val="20"/>
          <w:szCs w:val="20"/>
        </w:rPr>
        <w:drawing>
          <wp:anchor distT="0" distB="0" distL="114300" distR="114300" simplePos="0" relativeHeight="251814912" behindDoc="1" locked="0" layoutInCell="0" allowOverlap="1" wp14:anchorId="1D3B10A2" wp14:editId="7DF9DC9B">
            <wp:simplePos x="0" y="0"/>
            <wp:positionH relativeFrom="column">
              <wp:posOffset>-636905</wp:posOffset>
            </wp:positionH>
            <wp:positionV relativeFrom="paragraph">
              <wp:posOffset>126365</wp:posOffset>
            </wp:positionV>
            <wp:extent cx="6995160" cy="17145"/>
            <wp:effectExtent l="0" t="0" r="0" b="0"/>
            <wp:wrapNone/>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8C39482" w14:textId="77777777" w:rsidR="00D1587D" w:rsidRDefault="00D1587D">
      <w:pPr>
        <w:sectPr w:rsidR="00D1587D">
          <w:pgSz w:w="11900" w:h="16838"/>
          <w:pgMar w:top="265" w:right="1440" w:bottom="1440" w:left="1440" w:header="0" w:footer="0" w:gutter="0"/>
          <w:cols w:space="720" w:equalWidth="0">
            <w:col w:w="9019"/>
          </w:cols>
        </w:sectPr>
      </w:pPr>
    </w:p>
    <w:bookmarkStart w:id="359" w:name="page360"/>
    <w:bookmarkEnd w:id="359"/>
    <w:p w14:paraId="5224E36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C354F71" w14:textId="77777777" w:rsidR="00D1587D" w:rsidRDefault="00D1587D">
      <w:pPr>
        <w:spacing w:line="127" w:lineRule="exact"/>
        <w:rPr>
          <w:sz w:val="20"/>
          <w:szCs w:val="20"/>
        </w:rPr>
      </w:pPr>
    </w:p>
    <w:p w14:paraId="54359E81" w14:textId="77777777" w:rsidR="00D1587D" w:rsidRDefault="00410D07">
      <w:pPr>
        <w:jc w:val="center"/>
        <w:rPr>
          <w:sz w:val="20"/>
          <w:szCs w:val="20"/>
        </w:rPr>
      </w:pPr>
      <w:r>
        <w:rPr>
          <w:rFonts w:ascii="Arial" w:eastAsia="Arial" w:hAnsi="Arial" w:cs="Arial"/>
          <w:b/>
          <w:bCs/>
          <w:sz w:val="18"/>
          <w:szCs w:val="18"/>
        </w:rPr>
        <w:t>MANAGEMENT</w:t>
      </w:r>
    </w:p>
    <w:p w14:paraId="280EAFD4" w14:textId="77777777" w:rsidR="00D1587D" w:rsidRDefault="00D1587D">
      <w:pPr>
        <w:spacing w:line="252" w:lineRule="exact"/>
        <w:rPr>
          <w:sz w:val="20"/>
          <w:szCs w:val="20"/>
        </w:rPr>
      </w:pPr>
    </w:p>
    <w:p w14:paraId="567C203F" w14:textId="77777777" w:rsidR="00D1587D" w:rsidRDefault="00410D07">
      <w:pPr>
        <w:ind w:left="300"/>
        <w:rPr>
          <w:sz w:val="20"/>
          <w:szCs w:val="20"/>
        </w:rPr>
      </w:pPr>
      <w:r>
        <w:rPr>
          <w:rFonts w:ascii="Arial" w:eastAsia="Arial" w:hAnsi="Arial" w:cs="Arial"/>
          <w:b/>
          <w:bCs/>
          <w:sz w:val="18"/>
          <w:szCs w:val="18"/>
        </w:rPr>
        <w:t>Executive Officers Following the Separation</w:t>
      </w:r>
    </w:p>
    <w:p w14:paraId="72EDEE9F" w14:textId="77777777" w:rsidR="00D1587D" w:rsidRDefault="00D1587D">
      <w:pPr>
        <w:spacing w:line="121" w:lineRule="exact"/>
        <w:rPr>
          <w:sz w:val="20"/>
          <w:szCs w:val="20"/>
        </w:rPr>
      </w:pPr>
    </w:p>
    <w:p w14:paraId="2CE82C85" w14:textId="77777777" w:rsidR="00D1587D" w:rsidRDefault="00410D07">
      <w:pPr>
        <w:spacing w:line="279" w:lineRule="auto"/>
        <w:ind w:left="300" w:right="299" w:firstLine="360"/>
        <w:rPr>
          <w:sz w:val="20"/>
          <w:szCs w:val="20"/>
        </w:rPr>
      </w:pPr>
      <w:r>
        <w:rPr>
          <w:rFonts w:ascii="Arial" w:eastAsia="Arial" w:hAnsi="Arial" w:cs="Arial"/>
          <w:sz w:val="17"/>
          <w:szCs w:val="17"/>
        </w:rPr>
        <w:t xml:space="preserve">The following table sets forth information, as of </w:t>
      </w:r>
      <w:r>
        <w:rPr>
          <w:rFonts w:ascii="Arial" w:eastAsia="Arial" w:hAnsi="Arial" w:cs="Arial"/>
          <w:sz w:val="17"/>
          <w:szCs w:val="17"/>
        </w:rPr>
        <w:t>the date of this information statement, regarding certain individuals who are expected to serve as our executive officers following the Separation. We expect that those individuals noted below who are current employees of LB will transfer from their respec</w:t>
      </w:r>
      <w:r>
        <w:rPr>
          <w:rFonts w:ascii="Arial" w:eastAsia="Arial" w:hAnsi="Arial" w:cs="Arial"/>
          <w:sz w:val="17"/>
          <w:szCs w:val="17"/>
        </w:rPr>
        <w:t>tive employment with LB to VS and, immediately prior to the Separation, resign from any officer roles with LB.</w:t>
      </w:r>
    </w:p>
    <w:p w14:paraId="6200AD60" w14:textId="77777777" w:rsidR="00D1587D" w:rsidRDefault="00D1587D">
      <w:pPr>
        <w:spacing w:line="12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3900"/>
        <w:gridCol w:w="80"/>
        <w:gridCol w:w="440"/>
        <w:gridCol w:w="80"/>
        <w:gridCol w:w="3920"/>
      </w:tblGrid>
      <w:tr w:rsidR="00D1587D" w14:paraId="6BE0CB2D" w14:textId="77777777">
        <w:trPr>
          <w:trHeight w:val="186"/>
        </w:trPr>
        <w:tc>
          <w:tcPr>
            <w:tcW w:w="3980" w:type="dxa"/>
            <w:gridSpan w:val="2"/>
            <w:vAlign w:val="bottom"/>
          </w:tcPr>
          <w:p w14:paraId="4F082B84" w14:textId="77777777" w:rsidR="00D1587D" w:rsidRDefault="00410D07">
            <w:pPr>
              <w:ind w:left="1760"/>
              <w:rPr>
                <w:sz w:val="20"/>
                <w:szCs w:val="20"/>
              </w:rPr>
            </w:pPr>
            <w:r>
              <w:rPr>
                <w:rFonts w:ascii="Arial" w:eastAsia="Arial" w:hAnsi="Arial" w:cs="Arial"/>
                <w:b/>
                <w:bCs/>
                <w:sz w:val="14"/>
                <w:szCs w:val="14"/>
              </w:rPr>
              <w:t>Name</w:t>
            </w:r>
          </w:p>
        </w:tc>
        <w:tc>
          <w:tcPr>
            <w:tcW w:w="520" w:type="dxa"/>
            <w:gridSpan w:val="2"/>
            <w:vAlign w:val="bottom"/>
          </w:tcPr>
          <w:p w14:paraId="077A5986" w14:textId="77777777" w:rsidR="00D1587D" w:rsidRDefault="00410D07">
            <w:pPr>
              <w:ind w:right="80"/>
              <w:jc w:val="center"/>
              <w:rPr>
                <w:sz w:val="20"/>
                <w:szCs w:val="20"/>
              </w:rPr>
            </w:pPr>
            <w:r>
              <w:rPr>
                <w:rFonts w:ascii="Arial" w:eastAsia="Arial" w:hAnsi="Arial" w:cs="Arial"/>
                <w:b/>
                <w:bCs/>
                <w:w w:val="90"/>
                <w:sz w:val="14"/>
                <w:szCs w:val="14"/>
              </w:rPr>
              <w:t>Age</w:t>
            </w:r>
          </w:p>
        </w:tc>
        <w:tc>
          <w:tcPr>
            <w:tcW w:w="3920" w:type="dxa"/>
            <w:vAlign w:val="bottom"/>
          </w:tcPr>
          <w:p w14:paraId="7BC912BD" w14:textId="77777777" w:rsidR="00D1587D" w:rsidRDefault="00410D07">
            <w:pPr>
              <w:ind w:left="1720"/>
              <w:rPr>
                <w:sz w:val="20"/>
                <w:szCs w:val="20"/>
              </w:rPr>
            </w:pPr>
            <w:r>
              <w:rPr>
                <w:rFonts w:ascii="Arial" w:eastAsia="Arial" w:hAnsi="Arial" w:cs="Arial"/>
                <w:b/>
                <w:bCs/>
                <w:sz w:val="14"/>
                <w:szCs w:val="14"/>
              </w:rPr>
              <w:t>Position</w:t>
            </w:r>
          </w:p>
        </w:tc>
      </w:tr>
      <w:tr w:rsidR="00D1587D" w14:paraId="777FF36E" w14:textId="77777777">
        <w:trPr>
          <w:trHeight w:val="53"/>
        </w:trPr>
        <w:tc>
          <w:tcPr>
            <w:tcW w:w="3900" w:type="dxa"/>
            <w:tcBorders>
              <w:bottom w:val="single" w:sz="8" w:space="0" w:color="auto"/>
            </w:tcBorders>
            <w:vAlign w:val="bottom"/>
          </w:tcPr>
          <w:p w14:paraId="29DF7A8E" w14:textId="77777777" w:rsidR="00D1587D" w:rsidRDefault="00D1587D">
            <w:pPr>
              <w:rPr>
                <w:sz w:val="4"/>
                <w:szCs w:val="4"/>
              </w:rPr>
            </w:pPr>
          </w:p>
        </w:tc>
        <w:tc>
          <w:tcPr>
            <w:tcW w:w="80" w:type="dxa"/>
            <w:tcBorders>
              <w:bottom w:val="single" w:sz="8" w:space="0" w:color="CCEEFF"/>
            </w:tcBorders>
            <w:vAlign w:val="bottom"/>
          </w:tcPr>
          <w:p w14:paraId="7D6D6124" w14:textId="77777777" w:rsidR="00D1587D" w:rsidRDefault="00D1587D">
            <w:pPr>
              <w:rPr>
                <w:sz w:val="4"/>
                <w:szCs w:val="4"/>
              </w:rPr>
            </w:pPr>
          </w:p>
        </w:tc>
        <w:tc>
          <w:tcPr>
            <w:tcW w:w="440" w:type="dxa"/>
            <w:tcBorders>
              <w:bottom w:val="single" w:sz="8" w:space="0" w:color="auto"/>
            </w:tcBorders>
            <w:vAlign w:val="bottom"/>
          </w:tcPr>
          <w:p w14:paraId="68348DD3" w14:textId="77777777" w:rsidR="00D1587D" w:rsidRDefault="00D1587D">
            <w:pPr>
              <w:rPr>
                <w:sz w:val="4"/>
                <w:szCs w:val="4"/>
              </w:rPr>
            </w:pPr>
          </w:p>
        </w:tc>
        <w:tc>
          <w:tcPr>
            <w:tcW w:w="80" w:type="dxa"/>
            <w:tcBorders>
              <w:bottom w:val="single" w:sz="8" w:space="0" w:color="CCEEFF"/>
            </w:tcBorders>
            <w:vAlign w:val="bottom"/>
          </w:tcPr>
          <w:p w14:paraId="4331B949" w14:textId="77777777" w:rsidR="00D1587D" w:rsidRDefault="00D1587D">
            <w:pPr>
              <w:rPr>
                <w:sz w:val="4"/>
                <w:szCs w:val="4"/>
              </w:rPr>
            </w:pPr>
          </w:p>
        </w:tc>
        <w:tc>
          <w:tcPr>
            <w:tcW w:w="3920" w:type="dxa"/>
            <w:tcBorders>
              <w:bottom w:val="single" w:sz="8" w:space="0" w:color="auto"/>
            </w:tcBorders>
            <w:vAlign w:val="bottom"/>
          </w:tcPr>
          <w:p w14:paraId="659DF2FE" w14:textId="77777777" w:rsidR="00D1587D" w:rsidRDefault="00D1587D">
            <w:pPr>
              <w:rPr>
                <w:sz w:val="4"/>
                <w:szCs w:val="4"/>
              </w:rPr>
            </w:pPr>
          </w:p>
        </w:tc>
      </w:tr>
      <w:tr w:rsidR="00D1587D" w14:paraId="219A570B" w14:textId="77777777">
        <w:trPr>
          <w:trHeight w:val="311"/>
        </w:trPr>
        <w:tc>
          <w:tcPr>
            <w:tcW w:w="3980" w:type="dxa"/>
            <w:gridSpan w:val="2"/>
            <w:tcBorders>
              <w:bottom w:val="single" w:sz="8" w:space="0" w:color="CCEEFF"/>
            </w:tcBorders>
            <w:shd w:val="clear" w:color="auto" w:fill="CCEEFF"/>
            <w:vAlign w:val="bottom"/>
          </w:tcPr>
          <w:p w14:paraId="02AAB827" w14:textId="77777777" w:rsidR="00D1587D" w:rsidRDefault="00410D07">
            <w:pPr>
              <w:rPr>
                <w:sz w:val="20"/>
                <w:szCs w:val="20"/>
              </w:rPr>
            </w:pPr>
            <w:r>
              <w:rPr>
                <w:rFonts w:ascii="Arial" w:eastAsia="Arial" w:hAnsi="Arial" w:cs="Arial"/>
                <w:sz w:val="18"/>
                <w:szCs w:val="18"/>
              </w:rPr>
              <w:t>Martin Waters</w:t>
            </w:r>
          </w:p>
        </w:tc>
        <w:tc>
          <w:tcPr>
            <w:tcW w:w="440" w:type="dxa"/>
            <w:tcBorders>
              <w:bottom w:val="single" w:sz="8" w:space="0" w:color="CCEEFF"/>
            </w:tcBorders>
            <w:shd w:val="clear" w:color="auto" w:fill="CCEEFF"/>
            <w:vAlign w:val="bottom"/>
          </w:tcPr>
          <w:p w14:paraId="6A6766F0" w14:textId="77777777" w:rsidR="00D1587D" w:rsidRDefault="00410D07">
            <w:pPr>
              <w:jc w:val="center"/>
              <w:rPr>
                <w:sz w:val="20"/>
                <w:szCs w:val="20"/>
              </w:rPr>
            </w:pPr>
            <w:r>
              <w:rPr>
                <w:rFonts w:ascii="Arial" w:eastAsia="Arial" w:hAnsi="Arial" w:cs="Arial"/>
                <w:w w:val="89"/>
                <w:sz w:val="18"/>
                <w:szCs w:val="18"/>
              </w:rPr>
              <w:t>55</w:t>
            </w:r>
          </w:p>
        </w:tc>
        <w:tc>
          <w:tcPr>
            <w:tcW w:w="80" w:type="dxa"/>
            <w:tcBorders>
              <w:bottom w:val="single" w:sz="8" w:space="0" w:color="CCEEFF"/>
            </w:tcBorders>
            <w:shd w:val="clear" w:color="auto" w:fill="CCEEFF"/>
            <w:vAlign w:val="bottom"/>
          </w:tcPr>
          <w:p w14:paraId="1BE4FCEE" w14:textId="77777777" w:rsidR="00D1587D" w:rsidRDefault="00D1587D">
            <w:pPr>
              <w:rPr>
                <w:sz w:val="24"/>
                <w:szCs w:val="24"/>
              </w:rPr>
            </w:pPr>
          </w:p>
        </w:tc>
        <w:tc>
          <w:tcPr>
            <w:tcW w:w="3920" w:type="dxa"/>
            <w:tcBorders>
              <w:bottom w:val="single" w:sz="8" w:space="0" w:color="CCEEFF"/>
            </w:tcBorders>
            <w:shd w:val="clear" w:color="auto" w:fill="CCEEFF"/>
            <w:vAlign w:val="bottom"/>
          </w:tcPr>
          <w:p w14:paraId="3AC7E49E" w14:textId="77777777" w:rsidR="00D1587D" w:rsidRDefault="00410D07">
            <w:pPr>
              <w:rPr>
                <w:sz w:val="20"/>
                <w:szCs w:val="20"/>
              </w:rPr>
            </w:pPr>
            <w:r>
              <w:rPr>
                <w:rFonts w:ascii="Arial" w:eastAsia="Arial" w:hAnsi="Arial" w:cs="Arial"/>
                <w:sz w:val="18"/>
                <w:szCs w:val="18"/>
              </w:rPr>
              <w:t>Chief Executive Officer</w:t>
            </w:r>
          </w:p>
        </w:tc>
      </w:tr>
      <w:tr w:rsidR="00D1587D" w14:paraId="7E5A95CA" w14:textId="77777777">
        <w:trPr>
          <w:trHeight w:val="270"/>
        </w:trPr>
        <w:tc>
          <w:tcPr>
            <w:tcW w:w="3980" w:type="dxa"/>
            <w:gridSpan w:val="2"/>
            <w:vAlign w:val="bottom"/>
          </w:tcPr>
          <w:p w14:paraId="390A0C13" w14:textId="77777777" w:rsidR="00D1587D" w:rsidRDefault="00410D07">
            <w:pPr>
              <w:rPr>
                <w:sz w:val="20"/>
                <w:szCs w:val="20"/>
              </w:rPr>
            </w:pPr>
            <w:r>
              <w:rPr>
                <w:rFonts w:ascii="Arial" w:eastAsia="Arial" w:hAnsi="Arial" w:cs="Arial"/>
                <w:sz w:val="18"/>
                <w:szCs w:val="18"/>
              </w:rPr>
              <w:t>Tim Johnson</w:t>
            </w:r>
          </w:p>
        </w:tc>
        <w:tc>
          <w:tcPr>
            <w:tcW w:w="440" w:type="dxa"/>
            <w:vAlign w:val="bottom"/>
          </w:tcPr>
          <w:p w14:paraId="517E0EE4" w14:textId="77777777" w:rsidR="00D1587D" w:rsidRDefault="00410D07">
            <w:pPr>
              <w:jc w:val="center"/>
              <w:rPr>
                <w:sz w:val="20"/>
                <w:szCs w:val="20"/>
              </w:rPr>
            </w:pPr>
            <w:r>
              <w:rPr>
                <w:rFonts w:ascii="Arial" w:eastAsia="Arial" w:hAnsi="Arial" w:cs="Arial"/>
                <w:w w:val="89"/>
                <w:sz w:val="18"/>
                <w:szCs w:val="18"/>
              </w:rPr>
              <w:t>54</w:t>
            </w:r>
          </w:p>
        </w:tc>
        <w:tc>
          <w:tcPr>
            <w:tcW w:w="80" w:type="dxa"/>
            <w:vAlign w:val="bottom"/>
          </w:tcPr>
          <w:p w14:paraId="6C0E206F" w14:textId="77777777" w:rsidR="00D1587D" w:rsidRDefault="00D1587D">
            <w:pPr>
              <w:rPr>
                <w:sz w:val="23"/>
                <w:szCs w:val="23"/>
              </w:rPr>
            </w:pPr>
          </w:p>
        </w:tc>
        <w:tc>
          <w:tcPr>
            <w:tcW w:w="3920" w:type="dxa"/>
            <w:vAlign w:val="bottom"/>
          </w:tcPr>
          <w:p w14:paraId="74FF39D5" w14:textId="77777777" w:rsidR="00D1587D" w:rsidRDefault="00410D07">
            <w:pPr>
              <w:rPr>
                <w:sz w:val="20"/>
                <w:szCs w:val="20"/>
              </w:rPr>
            </w:pPr>
            <w:r>
              <w:rPr>
                <w:rFonts w:ascii="Arial" w:eastAsia="Arial" w:hAnsi="Arial" w:cs="Arial"/>
                <w:sz w:val="18"/>
                <w:szCs w:val="18"/>
              </w:rPr>
              <w:t>Chief Financial Officer</w:t>
            </w:r>
          </w:p>
        </w:tc>
      </w:tr>
      <w:tr w:rsidR="00D1587D" w14:paraId="65361B08" w14:textId="77777777">
        <w:trPr>
          <w:trHeight w:val="54"/>
        </w:trPr>
        <w:tc>
          <w:tcPr>
            <w:tcW w:w="3900" w:type="dxa"/>
            <w:vAlign w:val="bottom"/>
          </w:tcPr>
          <w:p w14:paraId="7431587F" w14:textId="77777777" w:rsidR="00D1587D" w:rsidRDefault="00D1587D">
            <w:pPr>
              <w:rPr>
                <w:sz w:val="4"/>
                <w:szCs w:val="4"/>
              </w:rPr>
            </w:pPr>
          </w:p>
        </w:tc>
        <w:tc>
          <w:tcPr>
            <w:tcW w:w="80" w:type="dxa"/>
            <w:vAlign w:val="bottom"/>
          </w:tcPr>
          <w:p w14:paraId="241CF28E" w14:textId="77777777" w:rsidR="00D1587D" w:rsidRDefault="00D1587D">
            <w:pPr>
              <w:rPr>
                <w:sz w:val="4"/>
                <w:szCs w:val="4"/>
              </w:rPr>
            </w:pPr>
          </w:p>
        </w:tc>
        <w:tc>
          <w:tcPr>
            <w:tcW w:w="440" w:type="dxa"/>
            <w:vAlign w:val="bottom"/>
          </w:tcPr>
          <w:p w14:paraId="0591F327" w14:textId="77777777" w:rsidR="00D1587D" w:rsidRDefault="00D1587D">
            <w:pPr>
              <w:rPr>
                <w:sz w:val="4"/>
                <w:szCs w:val="4"/>
              </w:rPr>
            </w:pPr>
          </w:p>
        </w:tc>
        <w:tc>
          <w:tcPr>
            <w:tcW w:w="80" w:type="dxa"/>
            <w:vAlign w:val="bottom"/>
          </w:tcPr>
          <w:p w14:paraId="4B29D02C" w14:textId="77777777" w:rsidR="00D1587D" w:rsidRDefault="00D1587D">
            <w:pPr>
              <w:rPr>
                <w:sz w:val="4"/>
                <w:szCs w:val="4"/>
              </w:rPr>
            </w:pPr>
          </w:p>
        </w:tc>
        <w:tc>
          <w:tcPr>
            <w:tcW w:w="3920" w:type="dxa"/>
            <w:vAlign w:val="bottom"/>
          </w:tcPr>
          <w:p w14:paraId="1E23F9E2" w14:textId="77777777" w:rsidR="00D1587D" w:rsidRDefault="00D1587D">
            <w:pPr>
              <w:rPr>
                <w:sz w:val="4"/>
                <w:szCs w:val="4"/>
              </w:rPr>
            </w:pPr>
          </w:p>
        </w:tc>
      </w:tr>
      <w:tr w:rsidR="00D1587D" w14:paraId="7EDA157A" w14:textId="77777777">
        <w:trPr>
          <w:trHeight w:val="304"/>
        </w:trPr>
        <w:tc>
          <w:tcPr>
            <w:tcW w:w="3980" w:type="dxa"/>
            <w:gridSpan w:val="2"/>
            <w:tcBorders>
              <w:bottom w:val="single" w:sz="8" w:space="0" w:color="CCEEFF"/>
            </w:tcBorders>
            <w:shd w:val="clear" w:color="auto" w:fill="CCEEFF"/>
            <w:vAlign w:val="bottom"/>
          </w:tcPr>
          <w:p w14:paraId="67B7EA21" w14:textId="77777777" w:rsidR="00D1587D" w:rsidRDefault="00410D07">
            <w:pPr>
              <w:rPr>
                <w:sz w:val="20"/>
                <w:szCs w:val="20"/>
              </w:rPr>
            </w:pPr>
            <w:r>
              <w:rPr>
                <w:rFonts w:ascii="Arial" w:eastAsia="Arial" w:hAnsi="Arial" w:cs="Arial"/>
                <w:sz w:val="18"/>
                <w:szCs w:val="18"/>
              </w:rPr>
              <w:t>Amy Hauk</w:t>
            </w:r>
          </w:p>
        </w:tc>
        <w:tc>
          <w:tcPr>
            <w:tcW w:w="440" w:type="dxa"/>
            <w:tcBorders>
              <w:bottom w:val="single" w:sz="8" w:space="0" w:color="CCEEFF"/>
            </w:tcBorders>
            <w:shd w:val="clear" w:color="auto" w:fill="CCEEFF"/>
            <w:vAlign w:val="bottom"/>
          </w:tcPr>
          <w:p w14:paraId="159DE73B" w14:textId="77777777" w:rsidR="00D1587D" w:rsidRDefault="00410D07">
            <w:pPr>
              <w:jc w:val="center"/>
              <w:rPr>
                <w:sz w:val="20"/>
                <w:szCs w:val="20"/>
              </w:rPr>
            </w:pPr>
            <w:r>
              <w:rPr>
                <w:rFonts w:ascii="Arial" w:eastAsia="Arial" w:hAnsi="Arial" w:cs="Arial"/>
                <w:w w:val="89"/>
                <w:sz w:val="18"/>
                <w:szCs w:val="18"/>
              </w:rPr>
              <w:t>54</w:t>
            </w:r>
          </w:p>
        </w:tc>
        <w:tc>
          <w:tcPr>
            <w:tcW w:w="80" w:type="dxa"/>
            <w:tcBorders>
              <w:bottom w:val="single" w:sz="8" w:space="0" w:color="CCEEFF"/>
            </w:tcBorders>
            <w:shd w:val="clear" w:color="auto" w:fill="CCEEFF"/>
            <w:vAlign w:val="bottom"/>
          </w:tcPr>
          <w:p w14:paraId="65BC83D8" w14:textId="77777777" w:rsidR="00D1587D" w:rsidRDefault="00D1587D">
            <w:pPr>
              <w:rPr>
                <w:sz w:val="24"/>
                <w:szCs w:val="24"/>
              </w:rPr>
            </w:pPr>
          </w:p>
        </w:tc>
        <w:tc>
          <w:tcPr>
            <w:tcW w:w="3920" w:type="dxa"/>
            <w:tcBorders>
              <w:bottom w:val="single" w:sz="8" w:space="0" w:color="CCEEFF"/>
            </w:tcBorders>
            <w:shd w:val="clear" w:color="auto" w:fill="CCEEFF"/>
            <w:vAlign w:val="bottom"/>
          </w:tcPr>
          <w:p w14:paraId="0C1AE544" w14:textId="77777777" w:rsidR="00D1587D" w:rsidRDefault="00410D07">
            <w:pPr>
              <w:rPr>
                <w:sz w:val="20"/>
                <w:szCs w:val="20"/>
              </w:rPr>
            </w:pPr>
            <w:r>
              <w:rPr>
                <w:rFonts w:ascii="Arial" w:eastAsia="Arial" w:hAnsi="Arial" w:cs="Arial"/>
                <w:sz w:val="18"/>
                <w:szCs w:val="18"/>
              </w:rPr>
              <w:t xml:space="preserve">Chief </w:t>
            </w:r>
            <w:r>
              <w:rPr>
                <w:rFonts w:ascii="Arial" w:eastAsia="Arial" w:hAnsi="Arial" w:cs="Arial"/>
                <w:sz w:val="18"/>
                <w:szCs w:val="18"/>
              </w:rPr>
              <w:t>Executive Officer of PINK</w:t>
            </w:r>
          </w:p>
        </w:tc>
      </w:tr>
      <w:tr w:rsidR="00D1587D" w14:paraId="304504A0" w14:textId="77777777">
        <w:trPr>
          <w:trHeight w:val="270"/>
        </w:trPr>
        <w:tc>
          <w:tcPr>
            <w:tcW w:w="3980" w:type="dxa"/>
            <w:gridSpan w:val="2"/>
            <w:vAlign w:val="bottom"/>
          </w:tcPr>
          <w:p w14:paraId="0F76D6DE" w14:textId="77777777" w:rsidR="00D1587D" w:rsidRDefault="00410D07">
            <w:pPr>
              <w:rPr>
                <w:sz w:val="20"/>
                <w:szCs w:val="20"/>
              </w:rPr>
            </w:pPr>
            <w:r>
              <w:rPr>
                <w:rFonts w:ascii="Arial" w:eastAsia="Arial" w:hAnsi="Arial" w:cs="Arial"/>
                <w:sz w:val="18"/>
                <w:szCs w:val="18"/>
              </w:rPr>
              <w:t>Gregory Unis</w:t>
            </w:r>
          </w:p>
        </w:tc>
        <w:tc>
          <w:tcPr>
            <w:tcW w:w="440" w:type="dxa"/>
            <w:vAlign w:val="bottom"/>
          </w:tcPr>
          <w:p w14:paraId="5D1DCBB4" w14:textId="77777777" w:rsidR="00D1587D" w:rsidRDefault="00410D07">
            <w:pPr>
              <w:jc w:val="center"/>
              <w:rPr>
                <w:sz w:val="20"/>
                <w:szCs w:val="20"/>
              </w:rPr>
            </w:pPr>
            <w:r>
              <w:rPr>
                <w:rFonts w:ascii="Arial" w:eastAsia="Arial" w:hAnsi="Arial" w:cs="Arial"/>
                <w:w w:val="89"/>
                <w:sz w:val="18"/>
                <w:szCs w:val="18"/>
              </w:rPr>
              <w:t>50</w:t>
            </w:r>
          </w:p>
        </w:tc>
        <w:tc>
          <w:tcPr>
            <w:tcW w:w="80" w:type="dxa"/>
            <w:vAlign w:val="bottom"/>
          </w:tcPr>
          <w:p w14:paraId="5B1C960D" w14:textId="77777777" w:rsidR="00D1587D" w:rsidRDefault="00D1587D">
            <w:pPr>
              <w:rPr>
                <w:sz w:val="23"/>
                <w:szCs w:val="23"/>
              </w:rPr>
            </w:pPr>
          </w:p>
        </w:tc>
        <w:tc>
          <w:tcPr>
            <w:tcW w:w="3920" w:type="dxa"/>
            <w:vAlign w:val="bottom"/>
          </w:tcPr>
          <w:p w14:paraId="72B54C82" w14:textId="77777777" w:rsidR="00D1587D" w:rsidRDefault="00410D07">
            <w:pPr>
              <w:rPr>
                <w:sz w:val="20"/>
                <w:szCs w:val="20"/>
              </w:rPr>
            </w:pPr>
            <w:r>
              <w:rPr>
                <w:rFonts w:ascii="Arial" w:eastAsia="Arial" w:hAnsi="Arial" w:cs="Arial"/>
                <w:w w:val="97"/>
                <w:sz w:val="18"/>
                <w:szCs w:val="18"/>
              </w:rPr>
              <w:t>Chief Executive Officer of Victoria’s Secret Beauty</w:t>
            </w:r>
          </w:p>
        </w:tc>
      </w:tr>
      <w:tr w:rsidR="00D1587D" w14:paraId="2C694B38" w14:textId="77777777">
        <w:trPr>
          <w:trHeight w:val="54"/>
        </w:trPr>
        <w:tc>
          <w:tcPr>
            <w:tcW w:w="3900" w:type="dxa"/>
            <w:vAlign w:val="bottom"/>
          </w:tcPr>
          <w:p w14:paraId="62CF2917" w14:textId="77777777" w:rsidR="00D1587D" w:rsidRDefault="00D1587D">
            <w:pPr>
              <w:rPr>
                <w:sz w:val="4"/>
                <w:szCs w:val="4"/>
              </w:rPr>
            </w:pPr>
          </w:p>
        </w:tc>
        <w:tc>
          <w:tcPr>
            <w:tcW w:w="80" w:type="dxa"/>
            <w:vAlign w:val="bottom"/>
          </w:tcPr>
          <w:p w14:paraId="406855AF" w14:textId="77777777" w:rsidR="00D1587D" w:rsidRDefault="00D1587D">
            <w:pPr>
              <w:rPr>
                <w:sz w:val="4"/>
                <w:szCs w:val="4"/>
              </w:rPr>
            </w:pPr>
          </w:p>
        </w:tc>
        <w:tc>
          <w:tcPr>
            <w:tcW w:w="440" w:type="dxa"/>
            <w:vAlign w:val="bottom"/>
          </w:tcPr>
          <w:p w14:paraId="7DABFDDA" w14:textId="77777777" w:rsidR="00D1587D" w:rsidRDefault="00D1587D">
            <w:pPr>
              <w:rPr>
                <w:sz w:val="4"/>
                <w:szCs w:val="4"/>
              </w:rPr>
            </w:pPr>
          </w:p>
        </w:tc>
        <w:tc>
          <w:tcPr>
            <w:tcW w:w="80" w:type="dxa"/>
            <w:vAlign w:val="bottom"/>
          </w:tcPr>
          <w:p w14:paraId="4A3687E2" w14:textId="77777777" w:rsidR="00D1587D" w:rsidRDefault="00D1587D">
            <w:pPr>
              <w:rPr>
                <w:sz w:val="4"/>
                <w:szCs w:val="4"/>
              </w:rPr>
            </w:pPr>
          </w:p>
        </w:tc>
        <w:tc>
          <w:tcPr>
            <w:tcW w:w="3920" w:type="dxa"/>
            <w:vAlign w:val="bottom"/>
          </w:tcPr>
          <w:p w14:paraId="2907D453" w14:textId="77777777" w:rsidR="00D1587D" w:rsidRDefault="00D1587D">
            <w:pPr>
              <w:rPr>
                <w:sz w:val="4"/>
                <w:szCs w:val="4"/>
              </w:rPr>
            </w:pPr>
          </w:p>
        </w:tc>
      </w:tr>
      <w:tr w:rsidR="00D1587D" w14:paraId="59FC059D" w14:textId="77777777">
        <w:trPr>
          <w:trHeight w:val="270"/>
        </w:trPr>
        <w:tc>
          <w:tcPr>
            <w:tcW w:w="3980" w:type="dxa"/>
            <w:gridSpan w:val="2"/>
            <w:shd w:val="clear" w:color="auto" w:fill="CCEEFF"/>
            <w:vAlign w:val="bottom"/>
          </w:tcPr>
          <w:p w14:paraId="5E777FBB" w14:textId="77777777" w:rsidR="00D1587D" w:rsidRDefault="00410D07">
            <w:pPr>
              <w:rPr>
                <w:sz w:val="20"/>
                <w:szCs w:val="20"/>
              </w:rPr>
            </w:pPr>
            <w:r>
              <w:rPr>
                <w:rFonts w:ascii="Arial" w:eastAsia="Arial" w:hAnsi="Arial" w:cs="Arial"/>
                <w:sz w:val="18"/>
                <w:szCs w:val="18"/>
              </w:rPr>
              <w:t>Dein Boyle</w:t>
            </w:r>
          </w:p>
        </w:tc>
        <w:tc>
          <w:tcPr>
            <w:tcW w:w="440" w:type="dxa"/>
            <w:shd w:val="clear" w:color="auto" w:fill="CCEEFF"/>
            <w:vAlign w:val="bottom"/>
          </w:tcPr>
          <w:p w14:paraId="296C015A" w14:textId="77777777" w:rsidR="00D1587D" w:rsidRDefault="00410D07">
            <w:pPr>
              <w:jc w:val="center"/>
              <w:rPr>
                <w:sz w:val="20"/>
                <w:szCs w:val="20"/>
              </w:rPr>
            </w:pPr>
            <w:r>
              <w:rPr>
                <w:rFonts w:ascii="Arial" w:eastAsia="Arial" w:hAnsi="Arial" w:cs="Arial"/>
                <w:w w:val="89"/>
                <w:sz w:val="18"/>
                <w:szCs w:val="18"/>
              </w:rPr>
              <w:t>61</w:t>
            </w:r>
          </w:p>
        </w:tc>
        <w:tc>
          <w:tcPr>
            <w:tcW w:w="80" w:type="dxa"/>
            <w:shd w:val="clear" w:color="auto" w:fill="CCEEFF"/>
            <w:vAlign w:val="bottom"/>
          </w:tcPr>
          <w:p w14:paraId="2F7C9A0F" w14:textId="77777777" w:rsidR="00D1587D" w:rsidRDefault="00D1587D">
            <w:pPr>
              <w:rPr>
                <w:sz w:val="23"/>
                <w:szCs w:val="23"/>
              </w:rPr>
            </w:pPr>
          </w:p>
        </w:tc>
        <w:tc>
          <w:tcPr>
            <w:tcW w:w="3920" w:type="dxa"/>
            <w:shd w:val="clear" w:color="auto" w:fill="CCEEFF"/>
            <w:vAlign w:val="bottom"/>
          </w:tcPr>
          <w:p w14:paraId="5A2F0C69" w14:textId="77777777" w:rsidR="00D1587D" w:rsidRDefault="00410D07">
            <w:pPr>
              <w:rPr>
                <w:sz w:val="20"/>
                <w:szCs w:val="20"/>
              </w:rPr>
            </w:pPr>
            <w:r>
              <w:rPr>
                <w:rFonts w:ascii="Arial" w:eastAsia="Arial" w:hAnsi="Arial" w:cs="Arial"/>
                <w:sz w:val="18"/>
                <w:szCs w:val="18"/>
              </w:rPr>
              <w:t>Chief Operating Officer</w:t>
            </w:r>
          </w:p>
        </w:tc>
      </w:tr>
      <w:tr w:rsidR="00D1587D" w14:paraId="29331253" w14:textId="77777777">
        <w:trPr>
          <w:trHeight w:val="54"/>
        </w:trPr>
        <w:tc>
          <w:tcPr>
            <w:tcW w:w="3900" w:type="dxa"/>
            <w:shd w:val="clear" w:color="auto" w:fill="CCEEFF"/>
            <w:vAlign w:val="bottom"/>
          </w:tcPr>
          <w:p w14:paraId="34704056" w14:textId="77777777" w:rsidR="00D1587D" w:rsidRDefault="00D1587D">
            <w:pPr>
              <w:rPr>
                <w:sz w:val="4"/>
                <w:szCs w:val="4"/>
              </w:rPr>
            </w:pPr>
          </w:p>
        </w:tc>
        <w:tc>
          <w:tcPr>
            <w:tcW w:w="80" w:type="dxa"/>
            <w:shd w:val="clear" w:color="auto" w:fill="CCEEFF"/>
            <w:vAlign w:val="bottom"/>
          </w:tcPr>
          <w:p w14:paraId="5160F716" w14:textId="77777777" w:rsidR="00D1587D" w:rsidRDefault="00D1587D">
            <w:pPr>
              <w:rPr>
                <w:sz w:val="4"/>
                <w:szCs w:val="4"/>
              </w:rPr>
            </w:pPr>
          </w:p>
        </w:tc>
        <w:tc>
          <w:tcPr>
            <w:tcW w:w="440" w:type="dxa"/>
            <w:shd w:val="clear" w:color="auto" w:fill="CCEEFF"/>
            <w:vAlign w:val="bottom"/>
          </w:tcPr>
          <w:p w14:paraId="0FF3EAA6" w14:textId="77777777" w:rsidR="00D1587D" w:rsidRDefault="00D1587D">
            <w:pPr>
              <w:rPr>
                <w:sz w:val="4"/>
                <w:szCs w:val="4"/>
              </w:rPr>
            </w:pPr>
          </w:p>
        </w:tc>
        <w:tc>
          <w:tcPr>
            <w:tcW w:w="80" w:type="dxa"/>
            <w:shd w:val="clear" w:color="auto" w:fill="CCEEFF"/>
            <w:vAlign w:val="bottom"/>
          </w:tcPr>
          <w:p w14:paraId="1B7DAC1D" w14:textId="77777777" w:rsidR="00D1587D" w:rsidRDefault="00D1587D">
            <w:pPr>
              <w:rPr>
                <w:sz w:val="4"/>
                <w:szCs w:val="4"/>
              </w:rPr>
            </w:pPr>
          </w:p>
        </w:tc>
        <w:tc>
          <w:tcPr>
            <w:tcW w:w="3920" w:type="dxa"/>
            <w:shd w:val="clear" w:color="auto" w:fill="CCEEFF"/>
            <w:vAlign w:val="bottom"/>
          </w:tcPr>
          <w:p w14:paraId="3F4084CA" w14:textId="77777777" w:rsidR="00D1587D" w:rsidRDefault="00D1587D">
            <w:pPr>
              <w:rPr>
                <w:sz w:val="4"/>
                <w:szCs w:val="4"/>
              </w:rPr>
            </w:pPr>
          </w:p>
        </w:tc>
      </w:tr>
    </w:tbl>
    <w:p w14:paraId="2752C4EF" w14:textId="77777777" w:rsidR="00D1587D" w:rsidRDefault="00410D07">
      <w:pPr>
        <w:spacing w:line="20" w:lineRule="exact"/>
        <w:rPr>
          <w:sz w:val="20"/>
          <w:szCs w:val="20"/>
        </w:rPr>
      </w:pPr>
      <w:r>
        <w:rPr>
          <w:noProof/>
          <w:sz w:val="20"/>
          <w:szCs w:val="20"/>
        </w:rPr>
        <w:drawing>
          <wp:anchor distT="0" distB="0" distL="114300" distR="114300" simplePos="0" relativeHeight="251815936" behindDoc="1" locked="0" layoutInCell="0" allowOverlap="1" wp14:anchorId="75912AA1" wp14:editId="5D1D5A4C">
            <wp:simplePos x="0" y="0"/>
            <wp:positionH relativeFrom="column">
              <wp:posOffset>2997200</wp:posOffset>
            </wp:positionH>
            <wp:positionV relativeFrom="paragraph">
              <wp:posOffset>-1045210</wp:posOffset>
            </wp:positionV>
            <wp:extent cx="51435" cy="8890"/>
            <wp:effectExtent l="0" t="0" r="0" b="0"/>
            <wp:wrapNone/>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816960" behindDoc="1" locked="0" layoutInCell="0" allowOverlap="1" wp14:anchorId="4A1E0088" wp14:editId="7C0742F6">
            <wp:simplePos x="0" y="0"/>
            <wp:positionH relativeFrom="column">
              <wp:posOffset>2671445</wp:posOffset>
            </wp:positionH>
            <wp:positionV relativeFrom="paragraph">
              <wp:posOffset>-1045210</wp:posOffset>
            </wp:positionV>
            <wp:extent cx="51435" cy="8890"/>
            <wp:effectExtent l="0" t="0" r="0" b="0"/>
            <wp:wrapNone/>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p>
    <w:p w14:paraId="2D59C2F1" w14:textId="77777777" w:rsidR="00D1587D" w:rsidRDefault="00D1587D">
      <w:pPr>
        <w:spacing w:line="74" w:lineRule="exact"/>
        <w:rPr>
          <w:sz w:val="20"/>
          <w:szCs w:val="20"/>
        </w:rPr>
      </w:pPr>
    </w:p>
    <w:p w14:paraId="67986147" w14:textId="77777777" w:rsidR="00D1587D" w:rsidRDefault="00410D07">
      <w:pPr>
        <w:spacing w:line="263" w:lineRule="auto"/>
        <w:ind w:left="300" w:right="419" w:firstLine="360"/>
        <w:rPr>
          <w:sz w:val="20"/>
          <w:szCs w:val="20"/>
        </w:rPr>
      </w:pPr>
      <w:r>
        <w:rPr>
          <w:rFonts w:ascii="Arial" w:eastAsia="Arial" w:hAnsi="Arial" w:cs="Arial"/>
          <w:sz w:val="18"/>
          <w:szCs w:val="18"/>
        </w:rPr>
        <w:t xml:space="preserve">There are no family relationships among any of the officers named above. Each of our officers will </w:t>
      </w:r>
      <w:r>
        <w:rPr>
          <w:rFonts w:ascii="Arial" w:eastAsia="Arial" w:hAnsi="Arial" w:cs="Arial"/>
          <w:sz w:val="18"/>
          <w:szCs w:val="18"/>
        </w:rPr>
        <w:t>hold office from the date of election until a successor is elected. Set forth below is information about the executive officers identified above.</w:t>
      </w:r>
    </w:p>
    <w:p w14:paraId="5BD8D6CE" w14:textId="77777777" w:rsidR="00D1587D" w:rsidRDefault="00D1587D">
      <w:pPr>
        <w:spacing w:line="76" w:lineRule="exact"/>
        <w:rPr>
          <w:sz w:val="20"/>
          <w:szCs w:val="20"/>
        </w:rPr>
      </w:pPr>
    </w:p>
    <w:p w14:paraId="28B579E6" w14:textId="77777777" w:rsidR="00D1587D" w:rsidRDefault="00410D07">
      <w:pPr>
        <w:spacing w:line="275" w:lineRule="auto"/>
        <w:ind w:left="300" w:right="379" w:firstLine="360"/>
        <w:rPr>
          <w:sz w:val="20"/>
          <w:szCs w:val="20"/>
        </w:rPr>
      </w:pPr>
      <w:r>
        <w:rPr>
          <w:rFonts w:ascii="Arial" w:eastAsia="Arial" w:hAnsi="Arial" w:cs="Arial"/>
          <w:sz w:val="17"/>
          <w:szCs w:val="17"/>
        </w:rPr>
        <w:t>Martin Waters will be the Chief Executive Officer of VS. Mr. Waters has served as the Chief Executive Officer</w:t>
      </w:r>
      <w:r>
        <w:rPr>
          <w:rFonts w:ascii="Arial" w:eastAsia="Arial" w:hAnsi="Arial" w:cs="Arial"/>
          <w:sz w:val="17"/>
          <w:szCs w:val="17"/>
        </w:rPr>
        <w:t xml:space="preserve"> of VS since February 2021 and Victoria’s Secret Lingerie since November 2020. He previously served as the Chief Executive Officer of L Brands International from 2008 to 2021 with responsibility for launching and growing the global Victoria’s Secret and Ba</w:t>
      </w:r>
      <w:r>
        <w:rPr>
          <w:rFonts w:ascii="Arial" w:eastAsia="Arial" w:hAnsi="Arial" w:cs="Arial"/>
          <w:sz w:val="17"/>
          <w:szCs w:val="17"/>
        </w:rPr>
        <w:t>th &amp; Body Works businesses under LB. He holds a B.A. in retail marketing from Manchester University in the United Kingdom. Mr. Waters joined LB in 2008.</w:t>
      </w:r>
    </w:p>
    <w:p w14:paraId="551236F5" w14:textId="77777777" w:rsidR="00D1587D" w:rsidRDefault="00D1587D">
      <w:pPr>
        <w:spacing w:line="68" w:lineRule="exact"/>
        <w:rPr>
          <w:sz w:val="20"/>
          <w:szCs w:val="20"/>
        </w:rPr>
      </w:pPr>
    </w:p>
    <w:p w14:paraId="36D33D01" w14:textId="77777777" w:rsidR="00D1587D" w:rsidRDefault="00410D07">
      <w:pPr>
        <w:spacing w:line="259" w:lineRule="auto"/>
        <w:ind w:left="300" w:right="319" w:firstLine="360"/>
        <w:rPr>
          <w:sz w:val="20"/>
          <w:szCs w:val="20"/>
        </w:rPr>
      </w:pPr>
      <w:r>
        <w:rPr>
          <w:rFonts w:ascii="Arial" w:eastAsia="Arial" w:hAnsi="Arial" w:cs="Arial"/>
          <w:sz w:val="18"/>
          <w:szCs w:val="18"/>
        </w:rPr>
        <w:t xml:space="preserve">Amy Hauk will be the Chief Executive Officer of PINK. Ms. Hauk has served as the Chief </w:t>
      </w:r>
      <w:r>
        <w:rPr>
          <w:rFonts w:ascii="Arial" w:eastAsia="Arial" w:hAnsi="Arial" w:cs="Arial"/>
          <w:sz w:val="18"/>
          <w:szCs w:val="18"/>
        </w:rPr>
        <w:t>Executive Officer of PINK since 2018. Ms. Hauk previously served as chief merchant and executive vice president of merchandising for Bath &amp; Body Works from 2008 to 2018. She holds a B.A. in history from University of California, Davis. Ms. Hauk joined LB i</w:t>
      </w:r>
      <w:r>
        <w:rPr>
          <w:rFonts w:ascii="Arial" w:eastAsia="Arial" w:hAnsi="Arial" w:cs="Arial"/>
          <w:sz w:val="18"/>
          <w:szCs w:val="18"/>
        </w:rPr>
        <w:t>n 2008.</w:t>
      </w:r>
    </w:p>
    <w:p w14:paraId="60D82DB2" w14:textId="77777777" w:rsidR="00D1587D" w:rsidRDefault="00D1587D">
      <w:pPr>
        <w:spacing w:line="79" w:lineRule="exact"/>
        <w:rPr>
          <w:sz w:val="20"/>
          <w:szCs w:val="20"/>
        </w:rPr>
      </w:pPr>
    </w:p>
    <w:p w14:paraId="605DF9CD" w14:textId="77777777" w:rsidR="00D1587D" w:rsidRDefault="00410D07">
      <w:pPr>
        <w:spacing w:line="301" w:lineRule="auto"/>
        <w:ind w:left="300" w:right="299" w:firstLine="360"/>
        <w:rPr>
          <w:sz w:val="20"/>
          <w:szCs w:val="20"/>
        </w:rPr>
      </w:pPr>
      <w:r>
        <w:rPr>
          <w:rFonts w:ascii="Arial" w:eastAsia="Arial" w:hAnsi="Arial" w:cs="Arial"/>
          <w:sz w:val="16"/>
          <w:szCs w:val="16"/>
        </w:rPr>
        <w:t xml:space="preserve">Gregory Unis will be the Chief Executive Officer of Victoria’s Secret Beauty. Mr. Unis has served as the Chief Executive Officer of Victoria’s Secret Beauty since 2016. Mr. Unis previously served as executive vice president and global head of </w:t>
      </w:r>
      <w:r>
        <w:rPr>
          <w:rFonts w:ascii="Arial" w:eastAsia="Arial" w:hAnsi="Arial" w:cs="Arial"/>
          <w:sz w:val="16"/>
          <w:szCs w:val="16"/>
        </w:rPr>
        <w:t>men’s and licensing merchandise for Coach from 2010 to 2016. He holds an M.B.A. from Columbia University Business School and a B.A. from Boston University. Mr. Unis joined LB in 2016.</w:t>
      </w:r>
    </w:p>
    <w:p w14:paraId="10451C25" w14:textId="77777777" w:rsidR="00D1587D" w:rsidRDefault="00D1587D">
      <w:pPr>
        <w:spacing w:line="49" w:lineRule="exact"/>
        <w:rPr>
          <w:sz w:val="20"/>
          <w:szCs w:val="20"/>
        </w:rPr>
      </w:pPr>
    </w:p>
    <w:p w14:paraId="465575C8" w14:textId="77777777" w:rsidR="00D1587D" w:rsidRDefault="00410D07">
      <w:pPr>
        <w:spacing w:line="254" w:lineRule="auto"/>
        <w:ind w:left="300" w:right="319" w:firstLine="360"/>
        <w:rPr>
          <w:sz w:val="20"/>
          <w:szCs w:val="20"/>
        </w:rPr>
      </w:pPr>
      <w:r>
        <w:rPr>
          <w:rFonts w:ascii="Arial" w:eastAsia="Arial" w:hAnsi="Arial" w:cs="Arial"/>
          <w:sz w:val="18"/>
          <w:szCs w:val="18"/>
        </w:rPr>
        <w:t>Tim Johnson will be the Chief Financial Officer of VS. Mr. Johnson curr</w:t>
      </w:r>
      <w:r>
        <w:rPr>
          <w:rFonts w:ascii="Arial" w:eastAsia="Arial" w:hAnsi="Arial" w:cs="Arial"/>
          <w:sz w:val="18"/>
          <w:szCs w:val="18"/>
        </w:rPr>
        <w:t xml:space="preserve">ently serves as (i) a director of Aaron’s Inc. since May 2021, (ii) a director of FST Logistics since December 2020, (iii) a director of DYLN since October 2020 and (iv) a director of LogicSource, Inc. since January 2020, serving as the chair of the audit </w:t>
      </w:r>
      <w:r>
        <w:rPr>
          <w:rFonts w:ascii="Arial" w:eastAsia="Arial" w:hAnsi="Arial" w:cs="Arial"/>
          <w:sz w:val="18"/>
          <w:szCs w:val="18"/>
        </w:rPr>
        <w:t xml:space="preserve">committee. He served as the Chief Financial Officer and Chief Administrative Officer of Big Lots, Inc. (“Big Lots”) from August 2015 to August 2019 and Chief Financial Officer from August 2012 to August 2015. Mr. Johnson also served as an interim Co-Chief </w:t>
      </w:r>
      <w:r>
        <w:rPr>
          <w:rFonts w:ascii="Arial" w:eastAsia="Arial" w:hAnsi="Arial" w:cs="Arial"/>
          <w:sz w:val="18"/>
          <w:szCs w:val="18"/>
        </w:rPr>
        <w:t>Executive Officer from December 2018 to October 2019. Prior to that, he held various roles of increasing responsibility at Big Lots from August 2000 to August 2015. He holds a B.S. in business and accounting from Miami University.</w:t>
      </w:r>
    </w:p>
    <w:p w14:paraId="5794584A" w14:textId="77777777" w:rsidR="00D1587D" w:rsidRDefault="00D1587D">
      <w:pPr>
        <w:spacing w:line="84" w:lineRule="exact"/>
        <w:rPr>
          <w:sz w:val="20"/>
          <w:szCs w:val="20"/>
        </w:rPr>
      </w:pPr>
    </w:p>
    <w:p w14:paraId="710BF887" w14:textId="77777777" w:rsidR="00D1587D" w:rsidRDefault="00410D07">
      <w:pPr>
        <w:spacing w:line="279" w:lineRule="auto"/>
        <w:ind w:left="300" w:right="459" w:firstLine="360"/>
        <w:rPr>
          <w:sz w:val="20"/>
          <w:szCs w:val="20"/>
        </w:rPr>
      </w:pPr>
      <w:r>
        <w:rPr>
          <w:rFonts w:ascii="Arial" w:eastAsia="Arial" w:hAnsi="Arial" w:cs="Arial"/>
          <w:sz w:val="17"/>
          <w:szCs w:val="17"/>
        </w:rPr>
        <w:t>Dein Boyle will be the C</w:t>
      </w:r>
      <w:r>
        <w:rPr>
          <w:rFonts w:ascii="Arial" w:eastAsia="Arial" w:hAnsi="Arial" w:cs="Arial"/>
          <w:sz w:val="17"/>
          <w:szCs w:val="17"/>
        </w:rPr>
        <w:t>hief Operating Officer of VS. Mr. Boyle has served as the Chief Operating Officer of VS since 2020. He previously served as chief operating officer of PINK from 2016 to 2020, chief administrative officer of PINK from 2015 to 2016, and executive vice presid</w:t>
      </w:r>
      <w:r>
        <w:rPr>
          <w:rFonts w:ascii="Arial" w:eastAsia="Arial" w:hAnsi="Arial" w:cs="Arial"/>
          <w:sz w:val="17"/>
          <w:szCs w:val="17"/>
        </w:rPr>
        <w:t>ent at PINK from 2012 to 2014. He holds a B.A. in business administration from Indiana State University. Mr. Boyle joined LB in 2008.</w:t>
      </w:r>
    </w:p>
    <w:p w14:paraId="734A5797" w14:textId="77777777" w:rsidR="00D1587D" w:rsidRDefault="00D1587D">
      <w:pPr>
        <w:spacing w:line="208" w:lineRule="exact"/>
        <w:rPr>
          <w:sz w:val="20"/>
          <w:szCs w:val="20"/>
        </w:rPr>
      </w:pPr>
    </w:p>
    <w:p w14:paraId="060F2223" w14:textId="77777777" w:rsidR="00D1587D" w:rsidRDefault="00410D07">
      <w:pPr>
        <w:ind w:left="300"/>
        <w:rPr>
          <w:sz w:val="20"/>
          <w:szCs w:val="20"/>
        </w:rPr>
      </w:pPr>
      <w:r>
        <w:rPr>
          <w:rFonts w:ascii="Arial" w:eastAsia="Arial" w:hAnsi="Arial" w:cs="Arial"/>
          <w:b/>
          <w:bCs/>
          <w:sz w:val="18"/>
          <w:szCs w:val="18"/>
        </w:rPr>
        <w:t>Board of Directors Following the Separation</w:t>
      </w:r>
    </w:p>
    <w:p w14:paraId="0D9D49F2" w14:textId="77777777" w:rsidR="00D1587D" w:rsidRDefault="00D1587D">
      <w:pPr>
        <w:spacing w:line="121" w:lineRule="exact"/>
        <w:rPr>
          <w:sz w:val="20"/>
          <w:szCs w:val="20"/>
        </w:rPr>
      </w:pPr>
    </w:p>
    <w:p w14:paraId="662A895A" w14:textId="77777777" w:rsidR="00D1587D" w:rsidRDefault="00410D07">
      <w:pPr>
        <w:spacing w:line="277" w:lineRule="auto"/>
        <w:ind w:left="300" w:right="1159" w:firstLine="360"/>
        <w:rPr>
          <w:sz w:val="20"/>
          <w:szCs w:val="20"/>
        </w:rPr>
      </w:pPr>
      <w:r>
        <w:rPr>
          <w:rFonts w:ascii="Arial" w:eastAsia="Arial" w:hAnsi="Arial" w:cs="Arial"/>
          <w:sz w:val="18"/>
          <w:szCs w:val="18"/>
        </w:rPr>
        <w:t>The following individuals are expected to serve as members of our Board of D</w:t>
      </w:r>
      <w:r>
        <w:rPr>
          <w:rFonts w:ascii="Arial" w:eastAsia="Arial" w:hAnsi="Arial" w:cs="Arial"/>
          <w:sz w:val="18"/>
          <w:szCs w:val="18"/>
        </w:rPr>
        <w:t>irectors following the Separation.</w:t>
      </w:r>
    </w:p>
    <w:p w14:paraId="08E423A1"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3900"/>
        <w:gridCol w:w="80"/>
        <w:gridCol w:w="440"/>
        <w:gridCol w:w="80"/>
        <w:gridCol w:w="3920"/>
      </w:tblGrid>
      <w:tr w:rsidR="00D1587D" w14:paraId="031DC467" w14:textId="77777777">
        <w:trPr>
          <w:trHeight w:val="186"/>
        </w:trPr>
        <w:tc>
          <w:tcPr>
            <w:tcW w:w="3980" w:type="dxa"/>
            <w:gridSpan w:val="2"/>
            <w:vAlign w:val="bottom"/>
          </w:tcPr>
          <w:p w14:paraId="33379A7A" w14:textId="77777777" w:rsidR="00D1587D" w:rsidRDefault="00410D07">
            <w:pPr>
              <w:ind w:left="1760"/>
              <w:rPr>
                <w:sz w:val="20"/>
                <w:szCs w:val="20"/>
              </w:rPr>
            </w:pPr>
            <w:r>
              <w:rPr>
                <w:rFonts w:ascii="Arial" w:eastAsia="Arial" w:hAnsi="Arial" w:cs="Arial"/>
                <w:b/>
                <w:bCs/>
                <w:sz w:val="14"/>
                <w:szCs w:val="14"/>
              </w:rPr>
              <w:t>Name</w:t>
            </w:r>
          </w:p>
        </w:tc>
        <w:tc>
          <w:tcPr>
            <w:tcW w:w="520" w:type="dxa"/>
            <w:gridSpan w:val="2"/>
            <w:vAlign w:val="bottom"/>
          </w:tcPr>
          <w:p w14:paraId="772DFCA1" w14:textId="77777777" w:rsidR="00D1587D" w:rsidRDefault="00410D07">
            <w:pPr>
              <w:ind w:right="80"/>
              <w:jc w:val="center"/>
              <w:rPr>
                <w:sz w:val="20"/>
                <w:szCs w:val="20"/>
              </w:rPr>
            </w:pPr>
            <w:r>
              <w:rPr>
                <w:rFonts w:ascii="Arial" w:eastAsia="Arial" w:hAnsi="Arial" w:cs="Arial"/>
                <w:b/>
                <w:bCs/>
                <w:w w:val="90"/>
                <w:sz w:val="14"/>
                <w:szCs w:val="14"/>
              </w:rPr>
              <w:t>Age</w:t>
            </w:r>
          </w:p>
        </w:tc>
        <w:tc>
          <w:tcPr>
            <w:tcW w:w="3920" w:type="dxa"/>
            <w:vAlign w:val="bottom"/>
          </w:tcPr>
          <w:p w14:paraId="3A41A32D" w14:textId="77777777" w:rsidR="00D1587D" w:rsidRDefault="00410D07">
            <w:pPr>
              <w:ind w:left="1720"/>
              <w:rPr>
                <w:sz w:val="20"/>
                <w:szCs w:val="20"/>
              </w:rPr>
            </w:pPr>
            <w:r>
              <w:rPr>
                <w:rFonts w:ascii="Arial" w:eastAsia="Arial" w:hAnsi="Arial" w:cs="Arial"/>
                <w:b/>
                <w:bCs/>
                <w:sz w:val="14"/>
                <w:szCs w:val="14"/>
              </w:rPr>
              <w:t>Position</w:t>
            </w:r>
          </w:p>
        </w:tc>
      </w:tr>
      <w:tr w:rsidR="00D1587D" w14:paraId="4EDB5C04" w14:textId="77777777">
        <w:trPr>
          <w:trHeight w:val="52"/>
        </w:trPr>
        <w:tc>
          <w:tcPr>
            <w:tcW w:w="3900" w:type="dxa"/>
            <w:tcBorders>
              <w:bottom w:val="single" w:sz="8" w:space="0" w:color="auto"/>
            </w:tcBorders>
            <w:vAlign w:val="bottom"/>
          </w:tcPr>
          <w:p w14:paraId="280448BC" w14:textId="77777777" w:rsidR="00D1587D" w:rsidRDefault="00D1587D">
            <w:pPr>
              <w:rPr>
                <w:sz w:val="4"/>
                <w:szCs w:val="4"/>
              </w:rPr>
            </w:pPr>
          </w:p>
        </w:tc>
        <w:tc>
          <w:tcPr>
            <w:tcW w:w="80" w:type="dxa"/>
            <w:tcBorders>
              <w:bottom w:val="single" w:sz="8" w:space="0" w:color="CCEEFF"/>
            </w:tcBorders>
            <w:vAlign w:val="bottom"/>
          </w:tcPr>
          <w:p w14:paraId="4767194F" w14:textId="77777777" w:rsidR="00D1587D" w:rsidRDefault="00D1587D">
            <w:pPr>
              <w:rPr>
                <w:sz w:val="4"/>
                <w:szCs w:val="4"/>
              </w:rPr>
            </w:pPr>
          </w:p>
        </w:tc>
        <w:tc>
          <w:tcPr>
            <w:tcW w:w="440" w:type="dxa"/>
            <w:tcBorders>
              <w:bottom w:val="single" w:sz="8" w:space="0" w:color="auto"/>
            </w:tcBorders>
            <w:vAlign w:val="bottom"/>
          </w:tcPr>
          <w:p w14:paraId="5942C157" w14:textId="77777777" w:rsidR="00D1587D" w:rsidRDefault="00D1587D">
            <w:pPr>
              <w:rPr>
                <w:sz w:val="4"/>
                <w:szCs w:val="4"/>
              </w:rPr>
            </w:pPr>
          </w:p>
        </w:tc>
        <w:tc>
          <w:tcPr>
            <w:tcW w:w="80" w:type="dxa"/>
            <w:tcBorders>
              <w:bottom w:val="single" w:sz="8" w:space="0" w:color="CCEEFF"/>
            </w:tcBorders>
            <w:vAlign w:val="bottom"/>
          </w:tcPr>
          <w:p w14:paraId="7100180B" w14:textId="77777777" w:rsidR="00D1587D" w:rsidRDefault="00D1587D">
            <w:pPr>
              <w:rPr>
                <w:sz w:val="4"/>
                <w:szCs w:val="4"/>
              </w:rPr>
            </w:pPr>
          </w:p>
        </w:tc>
        <w:tc>
          <w:tcPr>
            <w:tcW w:w="3920" w:type="dxa"/>
            <w:tcBorders>
              <w:bottom w:val="single" w:sz="8" w:space="0" w:color="auto"/>
            </w:tcBorders>
            <w:vAlign w:val="bottom"/>
          </w:tcPr>
          <w:p w14:paraId="2BA75E5A" w14:textId="77777777" w:rsidR="00D1587D" w:rsidRDefault="00D1587D">
            <w:pPr>
              <w:rPr>
                <w:sz w:val="4"/>
                <w:szCs w:val="4"/>
              </w:rPr>
            </w:pPr>
          </w:p>
        </w:tc>
      </w:tr>
      <w:tr w:rsidR="00D1587D" w14:paraId="3EC92E2F" w14:textId="77777777">
        <w:trPr>
          <w:trHeight w:val="298"/>
        </w:trPr>
        <w:tc>
          <w:tcPr>
            <w:tcW w:w="3980" w:type="dxa"/>
            <w:gridSpan w:val="2"/>
            <w:tcBorders>
              <w:bottom w:val="single" w:sz="8" w:space="0" w:color="CCEEFF"/>
            </w:tcBorders>
            <w:shd w:val="clear" w:color="auto" w:fill="CCEEFF"/>
            <w:vAlign w:val="bottom"/>
          </w:tcPr>
          <w:p w14:paraId="5065DD91" w14:textId="77777777" w:rsidR="00D1587D" w:rsidRDefault="00410D07">
            <w:pPr>
              <w:rPr>
                <w:sz w:val="20"/>
                <w:szCs w:val="20"/>
              </w:rPr>
            </w:pPr>
            <w:r>
              <w:rPr>
                <w:rFonts w:ascii="Arial" w:eastAsia="Arial" w:hAnsi="Arial" w:cs="Arial"/>
                <w:sz w:val="18"/>
                <w:szCs w:val="18"/>
              </w:rPr>
              <w:t>Martin Waters</w:t>
            </w:r>
          </w:p>
        </w:tc>
        <w:tc>
          <w:tcPr>
            <w:tcW w:w="440" w:type="dxa"/>
            <w:tcBorders>
              <w:bottom w:val="single" w:sz="8" w:space="0" w:color="CCEEFF"/>
            </w:tcBorders>
            <w:shd w:val="clear" w:color="auto" w:fill="CCEEFF"/>
            <w:vAlign w:val="bottom"/>
          </w:tcPr>
          <w:p w14:paraId="6EF1F4E4" w14:textId="77777777" w:rsidR="00D1587D" w:rsidRDefault="00410D07">
            <w:pPr>
              <w:jc w:val="center"/>
              <w:rPr>
                <w:sz w:val="20"/>
                <w:szCs w:val="20"/>
              </w:rPr>
            </w:pPr>
            <w:r>
              <w:rPr>
                <w:rFonts w:ascii="Arial" w:eastAsia="Arial" w:hAnsi="Arial" w:cs="Arial"/>
                <w:w w:val="89"/>
                <w:sz w:val="18"/>
                <w:szCs w:val="18"/>
              </w:rPr>
              <w:t>55</w:t>
            </w:r>
          </w:p>
        </w:tc>
        <w:tc>
          <w:tcPr>
            <w:tcW w:w="80" w:type="dxa"/>
            <w:tcBorders>
              <w:bottom w:val="single" w:sz="8" w:space="0" w:color="CCEEFF"/>
            </w:tcBorders>
            <w:shd w:val="clear" w:color="auto" w:fill="CCEEFF"/>
            <w:vAlign w:val="bottom"/>
          </w:tcPr>
          <w:p w14:paraId="534CBA46" w14:textId="77777777" w:rsidR="00D1587D" w:rsidRDefault="00D1587D">
            <w:pPr>
              <w:rPr>
                <w:sz w:val="24"/>
                <w:szCs w:val="24"/>
              </w:rPr>
            </w:pPr>
          </w:p>
        </w:tc>
        <w:tc>
          <w:tcPr>
            <w:tcW w:w="3920" w:type="dxa"/>
            <w:tcBorders>
              <w:bottom w:val="single" w:sz="8" w:space="0" w:color="CCEEFF"/>
            </w:tcBorders>
            <w:shd w:val="clear" w:color="auto" w:fill="CCEEFF"/>
            <w:vAlign w:val="bottom"/>
          </w:tcPr>
          <w:p w14:paraId="4192FB8D" w14:textId="77777777" w:rsidR="00D1587D" w:rsidRDefault="00410D07">
            <w:pPr>
              <w:rPr>
                <w:sz w:val="20"/>
                <w:szCs w:val="20"/>
              </w:rPr>
            </w:pPr>
            <w:r>
              <w:rPr>
                <w:rFonts w:ascii="Arial" w:eastAsia="Arial" w:hAnsi="Arial" w:cs="Arial"/>
                <w:sz w:val="18"/>
                <w:szCs w:val="18"/>
              </w:rPr>
              <w:t>Chief Executive Officer and Director</w:t>
            </w:r>
          </w:p>
        </w:tc>
      </w:tr>
      <w:tr w:rsidR="00D1587D" w14:paraId="6D5405AB" w14:textId="77777777">
        <w:trPr>
          <w:trHeight w:val="256"/>
        </w:trPr>
        <w:tc>
          <w:tcPr>
            <w:tcW w:w="3980" w:type="dxa"/>
            <w:gridSpan w:val="2"/>
            <w:vAlign w:val="bottom"/>
          </w:tcPr>
          <w:p w14:paraId="46FD925F" w14:textId="77777777" w:rsidR="00D1587D" w:rsidRDefault="00410D07">
            <w:pPr>
              <w:rPr>
                <w:sz w:val="20"/>
                <w:szCs w:val="20"/>
              </w:rPr>
            </w:pPr>
            <w:r>
              <w:rPr>
                <w:rFonts w:ascii="Arial" w:eastAsia="Arial" w:hAnsi="Arial" w:cs="Arial"/>
                <w:sz w:val="18"/>
                <w:szCs w:val="18"/>
              </w:rPr>
              <w:t>Irene Chang Britt</w:t>
            </w:r>
          </w:p>
        </w:tc>
        <w:tc>
          <w:tcPr>
            <w:tcW w:w="440" w:type="dxa"/>
            <w:vAlign w:val="bottom"/>
          </w:tcPr>
          <w:p w14:paraId="08E5236D" w14:textId="77777777" w:rsidR="00D1587D" w:rsidRDefault="00410D07">
            <w:pPr>
              <w:jc w:val="center"/>
              <w:rPr>
                <w:sz w:val="20"/>
                <w:szCs w:val="20"/>
              </w:rPr>
            </w:pPr>
            <w:r>
              <w:rPr>
                <w:rFonts w:ascii="Arial" w:eastAsia="Arial" w:hAnsi="Arial" w:cs="Arial"/>
                <w:w w:val="89"/>
                <w:sz w:val="18"/>
                <w:szCs w:val="18"/>
              </w:rPr>
              <w:t>59</w:t>
            </w:r>
          </w:p>
        </w:tc>
        <w:tc>
          <w:tcPr>
            <w:tcW w:w="80" w:type="dxa"/>
            <w:vAlign w:val="bottom"/>
          </w:tcPr>
          <w:p w14:paraId="598CC910" w14:textId="77777777" w:rsidR="00D1587D" w:rsidRDefault="00D1587D"/>
        </w:tc>
        <w:tc>
          <w:tcPr>
            <w:tcW w:w="3920" w:type="dxa"/>
            <w:vAlign w:val="bottom"/>
          </w:tcPr>
          <w:p w14:paraId="090A5B0F" w14:textId="77777777" w:rsidR="00D1587D" w:rsidRDefault="00410D07">
            <w:pPr>
              <w:rPr>
                <w:sz w:val="20"/>
                <w:szCs w:val="20"/>
              </w:rPr>
            </w:pPr>
            <w:r>
              <w:rPr>
                <w:rFonts w:ascii="Arial" w:eastAsia="Arial" w:hAnsi="Arial" w:cs="Arial"/>
                <w:sz w:val="18"/>
                <w:szCs w:val="18"/>
              </w:rPr>
              <w:t>Director</w:t>
            </w:r>
          </w:p>
        </w:tc>
      </w:tr>
      <w:tr w:rsidR="00D1587D" w14:paraId="00C92FFD" w14:textId="77777777">
        <w:trPr>
          <w:trHeight w:val="41"/>
        </w:trPr>
        <w:tc>
          <w:tcPr>
            <w:tcW w:w="3900" w:type="dxa"/>
            <w:vAlign w:val="bottom"/>
          </w:tcPr>
          <w:p w14:paraId="4B6A6C4E" w14:textId="77777777" w:rsidR="00D1587D" w:rsidRDefault="00D1587D">
            <w:pPr>
              <w:rPr>
                <w:sz w:val="3"/>
                <w:szCs w:val="3"/>
              </w:rPr>
            </w:pPr>
          </w:p>
        </w:tc>
        <w:tc>
          <w:tcPr>
            <w:tcW w:w="80" w:type="dxa"/>
            <w:vAlign w:val="bottom"/>
          </w:tcPr>
          <w:p w14:paraId="4CC9B77D" w14:textId="77777777" w:rsidR="00D1587D" w:rsidRDefault="00D1587D">
            <w:pPr>
              <w:rPr>
                <w:sz w:val="3"/>
                <w:szCs w:val="3"/>
              </w:rPr>
            </w:pPr>
          </w:p>
        </w:tc>
        <w:tc>
          <w:tcPr>
            <w:tcW w:w="440" w:type="dxa"/>
            <w:vAlign w:val="bottom"/>
          </w:tcPr>
          <w:p w14:paraId="7191175D" w14:textId="77777777" w:rsidR="00D1587D" w:rsidRDefault="00D1587D">
            <w:pPr>
              <w:rPr>
                <w:sz w:val="3"/>
                <w:szCs w:val="3"/>
              </w:rPr>
            </w:pPr>
          </w:p>
        </w:tc>
        <w:tc>
          <w:tcPr>
            <w:tcW w:w="80" w:type="dxa"/>
            <w:vAlign w:val="bottom"/>
          </w:tcPr>
          <w:p w14:paraId="663A4CA2" w14:textId="77777777" w:rsidR="00D1587D" w:rsidRDefault="00D1587D">
            <w:pPr>
              <w:rPr>
                <w:sz w:val="3"/>
                <w:szCs w:val="3"/>
              </w:rPr>
            </w:pPr>
          </w:p>
        </w:tc>
        <w:tc>
          <w:tcPr>
            <w:tcW w:w="3920" w:type="dxa"/>
            <w:vAlign w:val="bottom"/>
          </w:tcPr>
          <w:p w14:paraId="659ADACF" w14:textId="77777777" w:rsidR="00D1587D" w:rsidRDefault="00D1587D">
            <w:pPr>
              <w:rPr>
                <w:sz w:val="3"/>
                <w:szCs w:val="3"/>
              </w:rPr>
            </w:pPr>
          </w:p>
        </w:tc>
      </w:tr>
      <w:tr w:rsidR="00D1587D" w14:paraId="13DF4CE6" w14:textId="77777777">
        <w:trPr>
          <w:trHeight w:val="256"/>
        </w:trPr>
        <w:tc>
          <w:tcPr>
            <w:tcW w:w="3980" w:type="dxa"/>
            <w:gridSpan w:val="2"/>
            <w:shd w:val="clear" w:color="auto" w:fill="CCEEFF"/>
            <w:vAlign w:val="bottom"/>
          </w:tcPr>
          <w:p w14:paraId="4142A8E5" w14:textId="77777777" w:rsidR="00D1587D" w:rsidRDefault="00410D07">
            <w:pPr>
              <w:rPr>
                <w:sz w:val="20"/>
                <w:szCs w:val="20"/>
              </w:rPr>
            </w:pPr>
            <w:r>
              <w:rPr>
                <w:rFonts w:ascii="Arial" w:eastAsia="Arial" w:hAnsi="Arial" w:cs="Arial"/>
                <w:sz w:val="18"/>
                <w:szCs w:val="18"/>
              </w:rPr>
              <w:t>Sarah Davis</w:t>
            </w:r>
          </w:p>
        </w:tc>
        <w:tc>
          <w:tcPr>
            <w:tcW w:w="440" w:type="dxa"/>
            <w:shd w:val="clear" w:color="auto" w:fill="CCEEFF"/>
            <w:vAlign w:val="bottom"/>
          </w:tcPr>
          <w:p w14:paraId="35562492" w14:textId="77777777" w:rsidR="00D1587D" w:rsidRDefault="00410D07">
            <w:pPr>
              <w:jc w:val="center"/>
              <w:rPr>
                <w:sz w:val="20"/>
                <w:szCs w:val="20"/>
              </w:rPr>
            </w:pPr>
            <w:r>
              <w:rPr>
                <w:rFonts w:ascii="Arial" w:eastAsia="Arial" w:hAnsi="Arial" w:cs="Arial"/>
                <w:w w:val="89"/>
                <w:sz w:val="18"/>
                <w:szCs w:val="18"/>
              </w:rPr>
              <w:t>56</w:t>
            </w:r>
          </w:p>
        </w:tc>
        <w:tc>
          <w:tcPr>
            <w:tcW w:w="80" w:type="dxa"/>
            <w:shd w:val="clear" w:color="auto" w:fill="CCEEFF"/>
            <w:vAlign w:val="bottom"/>
          </w:tcPr>
          <w:p w14:paraId="44C5D001" w14:textId="77777777" w:rsidR="00D1587D" w:rsidRDefault="00D1587D"/>
        </w:tc>
        <w:tc>
          <w:tcPr>
            <w:tcW w:w="3920" w:type="dxa"/>
            <w:shd w:val="clear" w:color="auto" w:fill="CCEEFF"/>
            <w:vAlign w:val="bottom"/>
          </w:tcPr>
          <w:p w14:paraId="73C97D78" w14:textId="77777777" w:rsidR="00D1587D" w:rsidRDefault="00410D07">
            <w:pPr>
              <w:rPr>
                <w:sz w:val="20"/>
                <w:szCs w:val="20"/>
              </w:rPr>
            </w:pPr>
            <w:r>
              <w:rPr>
                <w:rFonts w:ascii="Arial" w:eastAsia="Arial" w:hAnsi="Arial" w:cs="Arial"/>
                <w:sz w:val="18"/>
                <w:szCs w:val="18"/>
              </w:rPr>
              <w:t>Director</w:t>
            </w:r>
          </w:p>
        </w:tc>
      </w:tr>
      <w:tr w:rsidR="00D1587D" w14:paraId="3442CF4D" w14:textId="77777777">
        <w:trPr>
          <w:trHeight w:val="54"/>
        </w:trPr>
        <w:tc>
          <w:tcPr>
            <w:tcW w:w="3900" w:type="dxa"/>
            <w:shd w:val="clear" w:color="auto" w:fill="CCEEFF"/>
            <w:vAlign w:val="bottom"/>
          </w:tcPr>
          <w:p w14:paraId="7895C108" w14:textId="77777777" w:rsidR="00D1587D" w:rsidRDefault="00D1587D">
            <w:pPr>
              <w:rPr>
                <w:sz w:val="4"/>
                <w:szCs w:val="4"/>
              </w:rPr>
            </w:pPr>
          </w:p>
        </w:tc>
        <w:tc>
          <w:tcPr>
            <w:tcW w:w="80" w:type="dxa"/>
            <w:shd w:val="clear" w:color="auto" w:fill="CCEEFF"/>
            <w:vAlign w:val="bottom"/>
          </w:tcPr>
          <w:p w14:paraId="241B59ED" w14:textId="77777777" w:rsidR="00D1587D" w:rsidRDefault="00D1587D">
            <w:pPr>
              <w:rPr>
                <w:sz w:val="4"/>
                <w:szCs w:val="4"/>
              </w:rPr>
            </w:pPr>
          </w:p>
        </w:tc>
        <w:tc>
          <w:tcPr>
            <w:tcW w:w="440" w:type="dxa"/>
            <w:shd w:val="clear" w:color="auto" w:fill="CCEEFF"/>
            <w:vAlign w:val="bottom"/>
          </w:tcPr>
          <w:p w14:paraId="4855A30D" w14:textId="77777777" w:rsidR="00D1587D" w:rsidRDefault="00D1587D">
            <w:pPr>
              <w:rPr>
                <w:sz w:val="4"/>
                <w:szCs w:val="4"/>
              </w:rPr>
            </w:pPr>
          </w:p>
        </w:tc>
        <w:tc>
          <w:tcPr>
            <w:tcW w:w="80" w:type="dxa"/>
            <w:shd w:val="clear" w:color="auto" w:fill="CCEEFF"/>
            <w:vAlign w:val="bottom"/>
          </w:tcPr>
          <w:p w14:paraId="185D0E47" w14:textId="77777777" w:rsidR="00D1587D" w:rsidRDefault="00D1587D">
            <w:pPr>
              <w:rPr>
                <w:sz w:val="4"/>
                <w:szCs w:val="4"/>
              </w:rPr>
            </w:pPr>
          </w:p>
        </w:tc>
        <w:tc>
          <w:tcPr>
            <w:tcW w:w="3920" w:type="dxa"/>
            <w:shd w:val="clear" w:color="auto" w:fill="CCEEFF"/>
            <w:vAlign w:val="bottom"/>
          </w:tcPr>
          <w:p w14:paraId="44F98A7E" w14:textId="77777777" w:rsidR="00D1587D" w:rsidRDefault="00D1587D">
            <w:pPr>
              <w:rPr>
                <w:sz w:val="4"/>
                <w:szCs w:val="4"/>
              </w:rPr>
            </w:pPr>
          </w:p>
        </w:tc>
      </w:tr>
    </w:tbl>
    <w:p w14:paraId="02179A6A" w14:textId="77777777" w:rsidR="00D1587D" w:rsidRDefault="00410D07">
      <w:pPr>
        <w:spacing w:line="20" w:lineRule="exact"/>
        <w:rPr>
          <w:sz w:val="20"/>
          <w:szCs w:val="20"/>
        </w:rPr>
      </w:pPr>
      <w:r>
        <w:rPr>
          <w:noProof/>
          <w:sz w:val="20"/>
          <w:szCs w:val="20"/>
        </w:rPr>
        <w:drawing>
          <wp:anchor distT="0" distB="0" distL="114300" distR="114300" simplePos="0" relativeHeight="251817984" behindDoc="1" locked="0" layoutInCell="0" allowOverlap="1" wp14:anchorId="3DA0C43D" wp14:editId="5B952F27">
            <wp:simplePos x="0" y="0"/>
            <wp:positionH relativeFrom="column">
              <wp:posOffset>2997200</wp:posOffset>
            </wp:positionH>
            <wp:positionV relativeFrom="paragraph">
              <wp:posOffset>-599440</wp:posOffset>
            </wp:positionV>
            <wp:extent cx="51435" cy="8890"/>
            <wp:effectExtent l="0" t="0" r="0" b="0"/>
            <wp:wrapNone/>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819008" behindDoc="1" locked="0" layoutInCell="0" allowOverlap="1" wp14:anchorId="053EC097" wp14:editId="536F1707">
            <wp:simplePos x="0" y="0"/>
            <wp:positionH relativeFrom="column">
              <wp:posOffset>2671445</wp:posOffset>
            </wp:positionH>
            <wp:positionV relativeFrom="paragraph">
              <wp:posOffset>-599440</wp:posOffset>
            </wp:positionV>
            <wp:extent cx="51435" cy="8890"/>
            <wp:effectExtent l="0" t="0" r="0" b="0"/>
            <wp:wrapNone/>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p>
    <w:p w14:paraId="5E8B7506" w14:textId="77777777" w:rsidR="00D1587D" w:rsidRDefault="00D1587D">
      <w:pPr>
        <w:sectPr w:rsidR="00D1587D">
          <w:pgSz w:w="11900" w:h="16838"/>
          <w:pgMar w:top="265" w:right="1440" w:bottom="1440" w:left="1440" w:header="0" w:footer="0" w:gutter="0"/>
          <w:cols w:space="720" w:equalWidth="0">
            <w:col w:w="9019"/>
          </w:cols>
        </w:sectPr>
      </w:pPr>
    </w:p>
    <w:p w14:paraId="271560F1" w14:textId="77777777" w:rsidR="00D1587D" w:rsidRDefault="00D1587D">
      <w:pPr>
        <w:spacing w:line="202" w:lineRule="exact"/>
        <w:rPr>
          <w:sz w:val="20"/>
          <w:szCs w:val="20"/>
        </w:rPr>
      </w:pPr>
    </w:p>
    <w:p w14:paraId="7A34CE65" w14:textId="77777777" w:rsidR="00D1587D" w:rsidRDefault="00410D07">
      <w:pPr>
        <w:ind w:right="19"/>
        <w:jc w:val="center"/>
        <w:rPr>
          <w:sz w:val="20"/>
          <w:szCs w:val="20"/>
        </w:rPr>
      </w:pPr>
      <w:r>
        <w:rPr>
          <w:rFonts w:ascii="Arial" w:eastAsia="Arial" w:hAnsi="Arial" w:cs="Arial"/>
          <w:sz w:val="16"/>
          <w:szCs w:val="16"/>
        </w:rPr>
        <w:t>102</w:t>
      </w:r>
    </w:p>
    <w:p w14:paraId="56DEF885" w14:textId="77777777" w:rsidR="00D1587D" w:rsidRDefault="00410D07">
      <w:pPr>
        <w:spacing w:line="20" w:lineRule="exact"/>
        <w:rPr>
          <w:sz w:val="20"/>
          <w:szCs w:val="20"/>
        </w:rPr>
      </w:pPr>
      <w:r>
        <w:rPr>
          <w:noProof/>
          <w:sz w:val="20"/>
          <w:szCs w:val="20"/>
        </w:rPr>
        <w:drawing>
          <wp:anchor distT="0" distB="0" distL="114300" distR="114300" simplePos="0" relativeHeight="251820032" behindDoc="1" locked="0" layoutInCell="0" allowOverlap="1" wp14:anchorId="67D34DE5" wp14:editId="306028AD">
            <wp:simplePos x="0" y="0"/>
            <wp:positionH relativeFrom="column">
              <wp:posOffset>-636905</wp:posOffset>
            </wp:positionH>
            <wp:positionV relativeFrom="paragraph">
              <wp:posOffset>140970</wp:posOffset>
            </wp:positionV>
            <wp:extent cx="6995160" cy="17145"/>
            <wp:effectExtent l="0" t="0" r="0" b="0"/>
            <wp:wrapNone/>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2F0DBA9" w14:textId="77777777" w:rsidR="00D1587D" w:rsidRDefault="00D1587D">
      <w:pPr>
        <w:sectPr w:rsidR="00D1587D">
          <w:type w:val="continuous"/>
          <w:pgSz w:w="11900" w:h="16838"/>
          <w:pgMar w:top="265" w:right="1440" w:bottom="1440" w:left="1440" w:header="0" w:footer="0" w:gutter="0"/>
          <w:cols w:space="720" w:equalWidth="0">
            <w:col w:w="9019"/>
          </w:cols>
        </w:sectPr>
      </w:pPr>
    </w:p>
    <w:tbl>
      <w:tblPr>
        <w:tblW w:w="0" w:type="auto"/>
        <w:tblInd w:w="300" w:type="dxa"/>
        <w:tblLayout w:type="fixed"/>
        <w:tblCellMar>
          <w:left w:w="0" w:type="dxa"/>
          <w:right w:w="0" w:type="dxa"/>
        </w:tblCellMar>
        <w:tblLook w:val="04A0" w:firstRow="1" w:lastRow="0" w:firstColumn="1" w:lastColumn="0" w:noHBand="0" w:noVBand="1"/>
      </w:tblPr>
      <w:tblGrid>
        <w:gridCol w:w="1540"/>
        <w:gridCol w:w="2360"/>
        <w:gridCol w:w="80"/>
        <w:gridCol w:w="440"/>
        <w:gridCol w:w="80"/>
        <w:gridCol w:w="3920"/>
      </w:tblGrid>
      <w:tr w:rsidR="00D1587D" w14:paraId="46312BA6" w14:textId="77777777">
        <w:trPr>
          <w:trHeight w:val="161"/>
        </w:trPr>
        <w:tc>
          <w:tcPr>
            <w:tcW w:w="3980" w:type="dxa"/>
            <w:gridSpan w:val="3"/>
            <w:vAlign w:val="bottom"/>
          </w:tcPr>
          <w:bookmarkStart w:id="360" w:name="page361"/>
          <w:bookmarkEnd w:id="360"/>
          <w:p w14:paraId="2D27B7F7" w14:textId="77777777" w:rsidR="00D1587D" w:rsidRDefault="00410D07">
            <w:pPr>
              <w:rPr>
                <w:rFonts w:ascii="Arial" w:eastAsia="Arial" w:hAnsi="Arial" w:cs="Arial"/>
                <w:b/>
                <w:bCs/>
                <w:color w:val="0000EE"/>
                <w:sz w:val="14"/>
                <w:szCs w:val="14"/>
              </w:rPr>
            </w:pPr>
            <w:r>
              <w:fldChar w:fldCharType="begin"/>
            </w:r>
            <w:r>
              <w:instrText xml:space="preserve"> HYPERLINK \l "page256" \h </w:instrText>
            </w:r>
            <w:r>
              <w:fldChar w:fldCharType="separate"/>
            </w:r>
            <w:r>
              <w:rPr>
                <w:rFonts w:ascii="Arial" w:eastAsia="Arial" w:hAnsi="Arial" w:cs="Arial"/>
                <w:b/>
                <w:bCs/>
                <w:color w:val="0000EE"/>
                <w:sz w:val="14"/>
                <w:szCs w:val="14"/>
              </w:rPr>
              <w:t>TABLE OF CONTENTS</w:t>
            </w:r>
            <w:r>
              <w:rPr>
                <w:rFonts w:ascii="Arial" w:eastAsia="Arial" w:hAnsi="Arial" w:cs="Arial"/>
                <w:b/>
                <w:bCs/>
                <w:color w:val="0000EE"/>
                <w:sz w:val="14"/>
                <w:szCs w:val="14"/>
              </w:rPr>
              <w:fldChar w:fldCharType="end"/>
            </w:r>
          </w:p>
        </w:tc>
        <w:tc>
          <w:tcPr>
            <w:tcW w:w="440" w:type="dxa"/>
            <w:vAlign w:val="bottom"/>
          </w:tcPr>
          <w:p w14:paraId="67C942D7" w14:textId="77777777" w:rsidR="00D1587D" w:rsidRDefault="00D1587D">
            <w:pPr>
              <w:rPr>
                <w:sz w:val="14"/>
                <w:szCs w:val="14"/>
              </w:rPr>
            </w:pPr>
          </w:p>
        </w:tc>
        <w:tc>
          <w:tcPr>
            <w:tcW w:w="80" w:type="dxa"/>
            <w:vAlign w:val="bottom"/>
          </w:tcPr>
          <w:p w14:paraId="2F161037" w14:textId="77777777" w:rsidR="00D1587D" w:rsidRDefault="00D1587D">
            <w:pPr>
              <w:rPr>
                <w:sz w:val="14"/>
                <w:szCs w:val="14"/>
              </w:rPr>
            </w:pPr>
          </w:p>
        </w:tc>
        <w:tc>
          <w:tcPr>
            <w:tcW w:w="3920" w:type="dxa"/>
            <w:vAlign w:val="bottom"/>
          </w:tcPr>
          <w:p w14:paraId="7C78ED36" w14:textId="77777777" w:rsidR="00D1587D" w:rsidRDefault="00D1587D">
            <w:pPr>
              <w:rPr>
                <w:sz w:val="14"/>
                <w:szCs w:val="14"/>
              </w:rPr>
            </w:pPr>
          </w:p>
        </w:tc>
      </w:tr>
      <w:tr w:rsidR="00D1587D" w14:paraId="032E059E" w14:textId="77777777">
        <w:trPr>
          <w:trHeight w:val="400"/>
        </w:trPr>
        <w:tc>
          <w:tcPr>
            <w:tcW w:w="1540" w:type="dxa"/>
            <w:tcBorders>
              <w:top w:val="single" w:sz="8" w:space="0" w:color="0000EE"/>
            </w:tcBorders>
            <w:vAlign w:val="bottom"/>
          </w:tcPr>
          <w:p w14:paraId="67646308" w14:textId="77777777" w:rsidR="00D1587D" w:rsidRDefault="00D1587D">
            <w:pPr>
              <w:rPr>
                <w:sz w:val="24"/>
                <w:szCs w:val="24"/>
              </w:rPr>
            </w:pPr>
          </w:p>
        </w:tc>
        <w:tc>
          <w:tcPr>
            <w:tcW w:w="2440" w:type="dxa"/>
            <w:gridSpan w:val="2"/>
            <w:vAlign w:val="bottom"/>
          </w:tcPr>
          <w:p w14:paraId="1138210C" w14:textId="77777777" w:rsidR="00D1587D" w:rsidRDefault="00410D07">
            <w:pPr>
              <w:ind w:left="220"/>
              <w:rPr>
                <w:sz w:val="20"/>
                <w:szCs w:val="20"/>
              </w:rPr>
            </w:pPr>
            <w:r>
              <w:rPr>
                <w:rFonts w:ascii="Arial" w:eastAsia="Arial" w:hAnsi="Arial" w:cs="Arial"/>
                <w:b/>
                <w:bCs/>
                <w:sz w:val="14"/>
                <w:szCs w:val="14"/>
              </w:rPr>
              <w:t>Name</w:t>
            </w:r>
          </w:p>
        </w:tc>
        <w:tc>
          <w:tcPr>
            <w:tcW w:w="520" w:type="dxa"/>
            <w:gridSpan w:val="2"/>
            <w:vAlign w:val="bottom"/>
          </w:tcPr>
          <w:p w14:paraId="3158757E" w14:textId="77777777" w:rsidR="00D1587D" w:rsidRDefault="00410D07">
            <w:pPr>
              <w:ind w:right="80"/>
              <w:jc w:val="center"/>
              <w:rPr>
                <w:sz w:val="20"/>
                <w:szCs w:val="20"/>
              </w:rPr>
            </w:pPr>
            <w:r>
              <w:rPr>
                <w:rFonts w:ascii="Arial" w:eastAsia="Arial" w:hAnsi="Arial" w:cs="Arial"/>
                <w:b/>
                <w:bCs/>
                <w:w w:val="90"/>
                <w:sz w:val="14"/>
                <w:szCs w:val="14"/>
              </w:rPr>
              <w:t>Age</w:t>
            </w:r>
          </w:p>
        </w:tc>
        <w:tc>
          <w:tcPr>
            <w:tcW w:w="3920" w:type="dxa"/>
            <w:vAlign w:val="bottom"/>
          </w:tcPr>
          <w:p w14:paraId="29A03C17" w14:textId="77777777" w:rsidR="00D1587D" w:rsidRDefault="00410D07">
            <w:pPr>
              <w:ind w:left="1720"/>
              <w:rPr>
                <w:sz w:val="20"/>
                <w:szCs w:val="20"/>
              </w:rPr>
            </w:pPr>
            <w:r>
              <w:rPr>
                <w:rFonts w:ascii="Arial" w:eastAsia="Arial" w:hAnsi="Arial" w:cs="Arial"/>
                <w:b/>
                <w:bCs/>
                <w:sz w:val="14"/>
                <w:szCs w:val="14"/>
              </w:rPr>
              <w:t>Position</w:t>
            </w:r>
          </w:p>
        </w:tc>
      </w:tr>
      <w:tr w:rsidR="00D1587D" w14:paraId="2F0A4008" w14:textId="77777777">
        <w:trPr>
          <w:trHeight w:val="53"/>
        </w:trPr>
        <w:tc>
          <w:tcPr>
            <w:tcW w:w="1540" w:type="dxa"/>
            <w:tcBorders>
              <w:bottom w:val="single" w:sz="8" w:space="0" w:color="auto"/>
            </w:tcBorders>
            <w:vAlign w:val="bottom"/>
          </w:tcPr>
          <w:p w14:paraId="179A27E9" w14:textId="77777777" w:rsidR="00D1587D" w:rsidRDefault="00D1587D">
            <w:pPr>
              <w:rPr>
                <w:sz w:val="4"/>
                <w:szCs w:val="4"/>
              </w:rPr>
            </w:pPr>
          </w:p>
        </w:tc>
        <w:tc>
          <w:tcPr>
            <w:tcW w:w="2360" w:type="dxa"/>
            <w:tcBorders>
              <w:bottom w:val="single" w:sz="8" w:space="0" w:color="auto"/>
            </w:tcBorders>
            <w:vAlign w:val="bottom"/>
          </w:tcPr>
          <w:p w14:paraId="0FF9E141" w14:textId="77777777" w:rsidR="00D1587D" w:rsidRDefault="00D1587D">
            <w:pPr>
              <w:rPr>
                <w:sz w:val="4"/>
                <w:szCs w:val="4"/>
              </w:rPr>
            </w:pPr>
          </w:p>
        </w:tc>
        <w:tc>
          <w:tcPr>
            <w:tcW w:w="80" w:type="dxa"/>
            <w:tcBorders>
              <w:bottom w:val="single" w:sz="8" w:space="0" w:color="CCEEFF"/>
            </w:tcBorders>
            <w:vAlign w:val="bottom"/>
          </w:tcPr>
          <w:p w14:paraId="0043294C" w14:textId="77777777" w:rsidR="00D1587D" w:rsidRDefault="00D1587D">
            <w:pPr>
              <w:rPr>
                <w:sz w:val="4"/>
                <w:szCs w:val="4"/>
              </w:rPr>
            </w:pPr>
          </w:p>
        </w:tc>
        <w:tc>
          <w:tcPr>
            <w:tcW w:w="440" w:type="dxa"/>
            <w:tcBorders>
              <w:bottom w:val="single" w:sz="8" w:space="0" w:color="auto"/>
            </w:tcBorders>
            <w:vAlign w:val="bottom"/>
          </w:tcPr>
          <w:p w14:paraId="2B94024E" w14:textId="77777777" w:rsidR="00D1587D" w:rsidRDefault="00D1587D">
            <w:pPr>
              <w:rPr>
                <w:sz w:val="4"/>
                <w:szCs w:val="4"/>
              </w:rPr>
            </w:pPr>
          </w:p>
        </w:tc>
        <w:tc>
          <w:tcPr>
            <w:tcW w:w="80" w:type="dxa"/>
            <w:tcBorders>
              <w:bottom w:val="single" w:sz="8" w:space="0" w:color="CCEEFF"/>
            </w:tcBorders>
            <w:vAlign w:val="bottom"/>
          </w:tcPr>
          <w:p w14:paraId="68293EEE" w14:textId="77777777" w:rsidR="00D1587D" w:rsidRDefault="00D1587D">
            <w:pPr>
              <w:rPr>
                <w:sz w:val="4"/>
                <w:szCs w:val="4"/>
              </w:rPr>
            </w:pPr>
          </w:p>
        </w:tc>
        <w:tc>
          <w:tcPr>
            <w:tcW w:w="3920" w:type="dxa"/>
            <w:tcBorders>
              <w:bottom w:val="single" w:sz="8" w:space="0" w:color="auto"/>
            </w:tcBorders>
            <w:vAlign w:val="bottom"/>
          </w:tcPr>
          <w:p w14:paraId="11601B76" w14:textId="77777777" w:rsidR="00D1587D" w:rsidRDefault="00D1587D">
            <w:pPr>
              <w:rPr>
                <w:sz w:val="4"/>
                <w:szCs w:val="4"/>
              </w:rPr>
            </w:pPr>
          </w:p>
        </w:tc>
      </w:tr>
      <w:tr w:rsidR="00D1587D" w14:paraId="36237D23" w14:textId="77777777">
        <w:trPr>
          <w:trHeight w:val="298"/>
        </w:trPr>
        <w:tc>
          <w:tcPr>
            <w:tcW w:w="3980" w:type="dxa"/>
            <w:gridSpan w:val="3"/>
            <w:tcBorders>
              <w:bottom w:val="single" w:sz="8" w:space="0" w:color="CCEEFF"/>
            </w:tcBorders>
            <w:shd w:val="clear" w:color="auto" w:fill="CCEEFF"/>
            <w:vAlign w:val="bottom"/>
          </w:tcPr>
          <w:p w14:paraId="3747354B" w14:textId="77777777" w:rsidR="00D1587D" w:rsidRDefault="00410D07">
            <w:pPr>
              <w:rPr>
                <w:sz w:val="20"/>
                <w:szCs w:val="20"/>
              </w:rPr>
            </w:pPr>
            <w:r>
              <w:rPr>
                <w:rFonts w:ascii="Arial" w:eastAsia="Arial" w:hAnsi="Arial" w:cs="Arial"/>
                <w:sz w:val="18"/>
                <w:szCs w:val="18"/>
              </w:rPr>
              <w:t>Jacqueline Hernandez</w:t>
            </w:r>
          </w:p>
        </w:tc>
        <w:tc>
          <w:tcPr>
            <w:tcW w:w="440" w:type="dxa"/>
            <w:tcBorders>
              <w:bottom w:val="single" w:sz="8" w:space="0" w:color="CCEEFF"/>
            </w:tcBorders>
            <w:shd w:val="clear" w:color="auto" w:fill="CCEEFF"/>
            <w:vAlign w:val="bottom"/>
          </w:tcPr>
          <w:p w14:paraId="41D4558A" w14:textId="77777777" w:rsidR="00D1587D" w:rsidRDefault="00410D07">
            <w:pPr>
              <w:jc w:val="center"/>
              <w:rPr>
                <w:sz w:val="20"/>
                <w:szCs w:val="20"/>
              </w:rPr>
            </w:pPr>
            <w:r>
              <w:rPr>
                <w:rFonts w:ascii="Arial" w:eastAsia="Arial" w:hAnsi="Arial" w:cs="Arial"/>
                <w:w w:val="89"/>
                <w:sz w:val="18"/>
                <w:szCs w:val="18"/>
              </w:rPr>
              <w:t>55</w:t>
            </w:r>
          </w:p>
        </w:tc>
        <w:tc>
          <w:tcPr>
            <w:tcW w:w="80" w:type="dxa"/>
            <w:tcBorders>
              <w:bottom w:val="single" w:sz="8" w:space="0" w:color="CCEEFF"/>
            </w:tcBorders>
            <w:shd w:val="clear" w:color="auto" w:fill="CCEEFF"/>
            <w:vAlign w:val="bottom"/>
          </w:tcPr>
          <w:p w14:paraId="09E25A11" w14:textId="77777777" w:rsidR="00D1587D" w:rsidRDefault="00D1587D">
            <w:pPr>
              <w:rPr>
                <w:sz w:val="24"/>
                <w:szCs w:val="24"/>
              </w:rPr>
            </w:pPr>
          </w:p>
        </w:tc>
        <w:tc>
          <w:tcPr>
            <w:tcW w:w="3920" w:type="dxa"/>
            <w:tcBorders>
              <w:bottom w:val="single" w:sz="8" w:space="0" w:color="CCEEFF"/>
            </w:tcBorders>
            <w:shd w:val="clear" w:color="auto" w:fill="CCEEFF"/>
            <w:vAlign w:val="bottom"/>
          </w:tcPr>
          <w:p w14:paraId="4BA5E3DD" w14:textId="77777777" w:rsidR="00D1587D" w:rsidRDefault="00410D07">
            <w:pPr>
              <w:rPr>
                <w:sz w:val="20"/>
                <w:szCs w:val="20"/>
              </w:rPr>
            </w:pPr>
            <w:r>
              <w:rPr>
                <w:rFonts w:ascii="Arial" w:eastAsia="Arial" w:hAnsi="Arial" w:cs="Arial"/>
                <w:sz w:val="18"/>
                <w:szCs w:val="18"/>
              </w:rPr>
              <w:t>Director</w:t>
            </w:r>
          </w:p>
        </w:tc>
      </w:tr>
      <w:tr w:rsidR="00D1587D" w14:paraId="0C383523" w14:textId="77777777">
        <w:trPr>
          <w:trHeight w:val="257"/>
        </w:trPr>
        <w:tc>
          <w:tcPr>
            <w:tcW w:w="3980" w:type="dxa"/>
            <w:gridSpan w:val="3"/>
            <w:vAlign w:val="bottom"/>
          </w:tcPr>
          <w:p w14:paraId="0A84781E" w14:textId="77777777" w:rsidR="00D1587D" w:rsidRDefault="00410D07">
            <w:pPr>
              <w:rPr>
                <w:sz w:val="20"/>
                <w:szCs w:val="20"/>
              </w:rPr>
            </w:pPr>
            <w:r>
              <w:rPr>
                <w:rFonts w:ascii="Arial" w:eastAsia="Arial" w:hAnsi="Arial" w:cs="Arial"/>
                <w:sz w:val="18"/>
                <w:szCs w:val="18"/>
              </w:rPr>
              <w:t>Donna A. James</w:t>
            </w:r>
          </w:p>
        </w:tc>
        <w:tc>
          <w:tcPr>
            <w:tcW w:w="440" w:type="dxa"/>
            <w:vAlign w:val="bottom"/>
          </w:tcPr>
          <w:p w14:paraId="1700C68E" w14:textId="77777777" w:rsidR="00D1587D" w:rsidRDefault="00410D07">
            <w:pPr>
              <w:jc w:val="center"/>
              <w:rPr>
                <w:sz w:val="20"/>
                <w:szCs w:val="20"/>
              </w:rPr>
            </w:pPr>
            <w:r>
              <w:rPr>
                <w:rFonts w:ascii="Arial" w:eastAsia="Arial" w:hAnsi="Arial" w:cs="Arial"/>
                <w:w w:val="89"/>
                <w:sz w:val="18"/>
                <w:szCs w:val="18"/>
              </w:rPr>
              <w:t>64</w:t>
            </w:r>
          </w:p>
        </w:tc>
        <w:tc>
          <w:tcPr>
            <w:tcW w:w="80" w:type="dxa"/>
            <w:vAlign w:val="bottom"/>
          </w:tcPr>
          <w:p w14:paraId="13CDFD25" w14:textId="77777777" w:rsidR="00D1587D" w:rsidRDefault="00D1587D"/>
        </w:tc>
        <w:tc>
          <w:tcPr>
            <w:tcW w:w="3920" w:type="dxa"/>
            <w:vAlign w:val="bottom"/>
          </w:tcPr>
          <w:p w14:paraId="607539D3" w14:textId="77777777" w:rsidR="00D1587D" w:rsidRDefault="00410D07">
            <w:pPr>
              <w:rPr>
                <w:sz w:val="20"/>
                <w:szCs w:val="20"/>
              </w:rPr>
            </w:pPr>
            <w:r>
              <w:rPr>
                <w:rFonts w:ascii="Arial" w:eastAsia="Arial" w:hAnsi="Arial" w:cs="Arial"/>
                <w:sz w:val="18"/>
                <w:szCs w:val="18"/>
              </w:rPr>
              <w:t>Director</w:t>
            </w:r>
          </w:p>
        </w:tc>
      </w:tr>
      <w:tr w:rsidR="00D1587D" w14:paraId="05D4B0E7" w14:textId="77777777">
        <w:trPr>
          <w:trHeight w:val="41"/>
        </w:trPr>
        <w:tc>
          <w:tcPr>
            <w:tcW w:w="1540" w:type="dxa"/>
            <w:vAlign w:val="bottom"/>
          </w:tcPr>
          <w:p w14:paraId="635B3F41" w14:textId="77777777" w:rsidR="00D1587D" w:rsidRDefault="00D1587D">
            <w:pPr>
              <w:rPr>
                <w:sz w:val="3"/>
                <w:szCs w:val="3"/>
              </w:rPr>
            </w:pPr>
          </w:p>
        </w:tc>
        <w:tc>
          <w:tcPr>
            <w:tcW w:w="2360" w:type="dxa"/>
            <w:vAlign w:val="bottom"/>
          </w:tcPr>
          <w:p w14:paraId="3E967BA7" w14:textId="77777777" w:rsidR="00D1587D" w:rsidRDefault="00D1587D">
            <w:pPr>
              <w:rPr>
                <w:sz w:val="3"/>
                <w:szCs w:val="3"/>
              </w:rPr>
            </w:pPr>
          </w:p>
        </w:tc>
        <w:tc>
          <w:tcPr>
            <w:tcW w:w="80" w:type="dxa"/>
            <w:vAlign w:val="bottom"/>
          </w:tcPr>
          <w:p w14:paraId="2E1283BF" w14:textId="77777777" w:rsidR="00D1587D" w:rsidRDefault="00D1587D">
            <w:pPr>
              <w:rPr>
                <w:sz w:val="3"/>
                <w:szCs w:val="3"/>
              </w:rPr>
            </w:pPr>
          </w:p>
        </w:tc>
        <w:tc>
          <w:tcPr>
            <w:tcW w:w="440" w:type="dxa"/>
            <w:vAlign w:val="bottom"/>
          </w:tcPr>
          <w:p w14:paraId="1754F435" w14:textId="77777777" w:rsidR="00D1587D" w:rsidRDefault="00D1587D">
            <w:pPr>
              <w:rPr>
                <w:sz w:val="3"/>
                <w:szCs w:val="3"/>
              </w:rPr>
            </w:pPr>
          </w:p>
        </w:tc>
        <w:tc>
          <w:tcPr>
            <w:tcW w:w="80" w:type="dxa"/>
            <w:vAlign w:val="bottom"/>
          </w:tcPr>
          <w:p w14:paraId="3129431C" w14:textId="77777777" w:rsidR="00D1587D" w:rsidRDefault="00D1587D">
            <w:pPr>
              <w:rPr>
                <w:sz w:val="3"/>
                <w:szCs w:val="3"/>
              </w:rPr>
            </w:pPr>
          </w:p>
        </w:tc>
        <w:tc>
          <w:tcPr>
            <w:tcW w:w="3920" w:type="dxa"/>
            <w:vAlign w:val="bottom"/>
          </w:tcPr>
          <w:p w14:paraId="1700694F" w14:textId="77777777" w:rsidR="00D1587D" w:rsidRDefault="00D1587D">
            <w:pPr>
              <w:rPr>
                <w:sz w:val="3"/>
                <w:szCs w:val="3"/>
              </w:rPr>
            </w:pPr>
          </w:p>
        </w:tc>
      </w:tr>
      <w:tr w:rsidR="00D1587D" w14:paraId="72B01061" w14:textId="77777777">
        <w:trPr>
          <w:trHeight w:val="277"/>
        </w:trPr>
        <w:tc>
          <w:tcPr>
            <w:tcW w:w="3980" w:type="dxa"/>
            <w:gridSpan w:val="3"/>
            <w:tcBorders>
              <w:bottom w:val="single" w:sz="8" w:space="0" w:color="CCEEFF"/>
            </w:tcBorders>
            <w:shd w:val="clear" w:color="auto" w:fill="CCEEFF"/>
            <w:vAlign w:val="bottom"/>
          </w:tcPr>
          <w:p w14:paraId="4B93400B" w14:textId="77777777" w:rsidR="00D1587D" w:rsidRDefault="00410D07">
            <w:pPr>
              <w:rPr>
                <w:sz w:val="20"/>
                <w:szCs w:val="20"/>
              </w:rPr>
            </w:pPr>
            <w:r>
              <w:rPr>
                <w:rFonts w:ascii="Arial" w:eastAsia="Arial" w:hAnsi="Arial" w:cs="Arial"/>
                <w:sz w:val="18"/>
                <w:szCs w:val="18"/>
              </w:rPr>
              <w:t>Lauren B. Peters</w:t>
            </w:r>
          </w:p>
        </w:tc>
        <w:tc>
          <w:tcPr>
            <w:tcW w:w="440" w:type="dxa"/>
            <w:tcBorders>
              <w:bottom w:val="single" w:sz="8" w:space="0" w:color="CCEEFF"/>
            </w:tcBorders>
            <w:shd w:val="clear" w:color="auto" w:fill="CCEEFF"/>
            <w:vAlign w:val="bottom"/>
          </w:tcPr>
          <w:p w14:paraId="6B0CD3B0" w14:textId="77777777" w:rsidR="00D1587D" w:rsidRDefault="00410D07">
            <w:pPr>
              <w:jc w:val="center"/>
              <w:rPr>
                <w:sz w:val="20"/>
                <w:szCs w:val="20"/>
              </w:rPr>
            </w:pPr>
            <w:r>
              <w:rPr>
                <w:rFonts w:ascii="Arial" w:eastAsia="Arial" w:hAnsi="Arial" w:cs="Arial"/>
                <w:w w:val="89"/>
                <w:sz w:val="18"/>
                <w:szCs w:val="18"/>
              </w:rPr>
              <w:t>60</w:t>
            </w:r>
          </w:p>
        </w:tc>
        <w:tc>
          <w:tcPr>
            <w:tcW w:w="80" w:type="dxa"/>
            <w:tcBorders>
              <w:bottom w:val="single" w:sz="8" w:space="0" w:color="CCEEFF"/>
            </w:tcBorders>
            <w:shd w:val="clear" w:color="auto" w:fill="CCEEFF"/>
            <w:vAlign w:val="bottom"/>
          </w:tcPr>
          <w:p w14:paraId="66220424" w14:textId="77777777" w:rsidR="00D1587D" w:rsidRDefault="00D1587D">
            <w:pPr>
              <w:rPr>
                <w:sz w:val="24"/>
                <w:szCs w:val="24"/>
              </w:rPr>
            </w:pPr>
          </w:p>
        </w:tc>
        <w:tc>
          <w:tcPr>
            <w:tcW w:w="3920" w:type="dxa"/>
            <w:tcBorders>
              <w:bottom w:val="single" w:sz="8" w:space="0" w:color="CCEEFF"/>
            </w:tcBorders>
            <w:shd w:val="clear" w:color="auto" w:fill="CCEEFF"/>
            <w:vAlign w:val="bottom"/>
          </w:tcPr>
          <w:p w14:paraId="4205C700" w14:textId="77777777" w:rsidR="00D1587D" w:rsidRDefault="00410D07">
            <w:pPr>
              <w:rPr>
                <w:sz w:val="20"/>
                <w:szCs w:val="20"/>
              </w:rPr>
            </w:pPr>
            <w:r>
              <w:rPr>
                <w:rFonts w:ascii="Arial" w:eastAsia="Arial" w:hAnsi="Arial" w:cs="Arial"/>
                <w:sz w:val="18"/>
                <w:szCs w:val="18"/>
              </w:rPr>
              <w:t>Director</w:t>
            </w:r>
          </w:p>
        </w:tc>
      </w:tr>
      <w:tr w:rsidR="00D1587D" w14:paraId="54DCEACB" w14:textId="77777777">
        <w:trPr>
          <w:trHeight w:val="257"/>
        </w:trPr>
        <w:tc>
          <w:tcPr>
            <w:tcW w:w="3980" w:type="dxa"/>
            <w:gridSpan w:val="3"/>
            <w:vAlign w:val="bottom"/>
          </w:tcPr>
          <w:p w14:paraId="67716115" w14:textId="77777777" w:rsidR="00D1587D" w:rsidRDefault="00410D07">
            <w:pPr>
              <w:rPr>
                <w:sz w:val="20"/>
                <w:szCs w:val="20"/>
              </w:rPr>
            </w:pPr>
            <w:r>
              <w:rPr>
                <w:rFonts w:ascii="Arial" w:eastAsia="Arial" w:hAnsi="Arial" w:cs="Arial"/>
                <w:sz w:val="18"/>
                <w:szCs w:val="18"/>
              </w:rPr>
              <w:t>Anne Sheehan</w:t>
            </w:r>
          </w:p>
        </w:tc>
        <w:tc>
          <w:tcPr>
            <w:tcW w:w="440" w:type="dxa"/>
            <w:vAlign w:val="bottom"/>
          </w:tcPr>
          <w:p w14:paraId="03A6489C" w14:textId="77777777" w:rsidR="00D1587D" w:rsidRDefault="00410D07">
            <w:pPr>
              <w:jc w:val="center"/>
              <w:rPr>
                <w:sz w:val="20"/>
                <w:szCs w:val="20"/>
              </w:rPr>
            </w:pPr>
            <w:r>
              <w:rPr>
                <w:rFonts w:ascii="Arial" w:eastAsia="Arial" w:hAnsi="Arial" w:cs="Arial"/>
                <w:w w:val="89"/>
                <w:sz w:val="18"/>
                <w:szCs w:val="18"/>
              </w:rPr>
              <w:t>64</w:t>
            </w:r>
          </w:p>
        </w:tc>
        <w:tc>
          <w:tcPr>
            <w:tcW w:w="80" w:type="dxa"/>
            <w:vAlign w:val="bottom"/>
          </w:tcPr>
          <w:p w14:paraId="1D3C4451" w14:textId="77777777" w:rsidR="00D1587D" w:rsidRDefault="00D1587D"/>
        </w:tc>
        <w:tc>
          <w:tcPr>
            <w:tcW w:w="3920" w:type="dxa"/>
            <w:vAlign w:val="bottom"/>
          </w:tcPr>
          <w:p w14:paraId="2C15A162" w14:textId="77777777" w:rsidR="00D1587D" w:rsidRDefault="00410D07">
            <w:pPr>
              <w:rPr>
                <w:sz w:val="20"/>
                <w:szCs w:val="20"/>
              </w:rPr>
            </w:pPr>
            <w:r>
              <w:rPr>
                <w:rFonts w:ascii="Arial" w:eastAsia="Arial" w:hAnsi="Arial" w:cs="Arial"/>
                <w:sz w:val="18"/>
                <w:szCs w:val="18"/>
              </w:rPr>
              <w:t>Director</w:t>
            </w:r>
          </w:p>
        </w:tc>
      </w:tr>
    </w:tbl>
    <w:p w14:paraId="3A283E72" w14:textId="77777777" w:rsidR="00D1587D" w:rsidRDefault="00410D07">
      <w:pPr>
        <w:spacing w:line="20" w:lineRule="exact"/>
        <w:rPr>
          <w:sz w:val="20"/>
          <w:szCs w:val="20"/>
        </w:rPr>
      </w:pPr>
      <w:r>
        <w:rPr>
          <w:noProof/>
          <w:sz w:val="20"/>
          <w:szCs w:val="20"/>
        </w:rPr>
        <w:drawing>
          <wp:anchor distT="0" distB="0" distL="114300" distR="114300" simplePos="0" relativeHeight="251821056" behindDoc="1" locked="0" layoutInCell="0" allowOverlap="1" wp14:anchorId="7405508F" wp14:editId="0AF06461">
            <wp:simplePos x="0" y="0"/>
            <wp:positionH relativeFrom="column">
              <wp:posOffset>2997200</wp:posOffset>
            </wp:positionH>
            <wp:positionV relativeFrom="paragraph">
              <wp:posOffset>-753745</wp:posOffset>
            </wp:positionV>
            <wp:extent cx="51435" cy="8255"/>
            <wp:effectExtent l="0" t="0" r="0" b="0"/>
            <wp:wrapNone/>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22080" behindDoc="1" locked="0" layoutInCell="0" allowOverlap="1" wp14:anchorId="43479C67" wp14:editId="2D47F9FB">
            <wp:simplePos x="0" y="0"/>
            <wp:positionH relativeFrom="column">
              <wp:posOffset>2671445</wp:posOffset>
            </wp:positionH>
            <wp:positionV relativeFrom="paragraph">
              <wp:posOffset>-753745</wp:posOffset>
            </wp:positionV>
            <wp:extent cx="51435" cy="8255"/>
            <wp:effectExtent l="0" t="0" r="0" b="0"/>
            <wp:wrapNone/>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p>
    <w:p w14:paraId="34F066F1" w14:textId="77777777" w:rsidR="00D1587D" w:rsidRDefault="00D1587D">
      <w:pPr>
        <w:spacing w:line="128" w:lineRule="exact"/>
        <w:rPr>
          <w:sz w:val="20"/>
          <w:szCs w:val="20"/>
        </w:rPr>
      </w:pPr>
    </w:p>
    <w:p w14:paraId="05AA08FE" w14:textId="77777777" w:rsidR="00D1587D" w:rsidRDefault="00410D07">
      <w:pPr>
        <w:spacing w:line="308" w:lineRule="auto"/>
        <w:ind w:left="300" w:right="339" w:firstLine="360"/>
        <w:jc w:val="both"/>
        <w:rPr>
          <w:sz w:val="20"/>
          <w:szCs w:val="20"/>
        </w:rPr>
      </w:pPr>
      <w:r>
        <w:rPr>
          <w:rFonts w:ascii="Arial" w:eastAsia="Arial" w:hAnsi="Arial" w:cs="Arial"/>
          <w:sz w:val="17"/>
          <w:szCs w:val="17"/>
        </w:rPr>
        <w:t xml:space="preserve">Set forth below is additional </w:t>
      </w:r>
      <w:r>
        <w:rPr>
          <w:rFonts w:ascii="Arial" w:eastAsia="Arial" w:hAnsi="Arial" w:cs="Arial"/>
          <w:sz w:val="17"/>
          <w:szCs w:val="17"/>
        </w:rPr>
        <w:t>information regarding the directors identified above, as well as a description of the specific skills and qualifications such candidates are expected to provide the Board of Directors of VS.</w:t>
      </w:r>
    </w:p>
    <w:p w14:paraId="672798CA" w14:textId="77777777" w:rsidR="00D1587D" w:rsidRDefault="00D1587D">
      <w:pPr>
        <w:spacing w:line="38" w:lineRule="exact"/>
        <w:rPr>
          <w:sz w:val="20"/>
          <w:szCs w:val="20"/>
        </w:rPr>
      </w:pPr>
    </w:p>
    <w:p w14:paraId="751D7723" w14:textId="77777777" w:rsidR="00D1587D" w:rsidRDefault="00410D07">
      <w:pPr>
        <w:spacing w:line="286" w:lineRule="auto"/>
        <w:ind w:left="300" w:right="739" w:firstLine="360"/>
        <w:jc w:val="both"/>
        <w:rPr>
          <w:sz w:val="20"/>
          <w:szCs w:val="20"/>
        </w:rPr>
      </w:pPr>
      <w:r>
        <w:rPr>
          <w:rFonts w:ascii="Arial" w:eastAsia="Arial" w:hAnsi="Arial" w:cs="Arial"/>
          <w:sz w:val="17"/>
          <w:szCs w:val="17"/>
        </w:rPr>
        <w:t xml:space="preserve">Martin Waters will serve on the Board of Directors. For Mr. </w:t>
      </w:r>
      <w:r>
        <w:rPr>
          <w:rFonts w:ascii="Arial" w:eastAsia="Arial" w:hAnsi="Arial" w:cs="Arial"/>
          <w:sz w:val="17"/>
          <w:szCs w:val="17"/>
        </w:rPr>
        <w:t>Waters’ biography, see “—Executive Officers Following the Separation” above. Mr. Waters’ qualifications for election include his service as Chief Executive Officer of VS and his previous service in various leadership roles at LB since 2008.</w:t>
      </w:r>
    </w:p>
    <w:p w14:paraId="0670804A" w14:textId="77777777" w:rsidR="00D1587D" w:rsidRDefault="00D1587D">
      <w:pPr>
        <w:spacing w:line="57" w:lineRule="exact"/>
        <w:rPr>
          <w:sz w:val="20"/>
          <w:szCs w:val="20"/>
        </w:rPr>
      </w:pPr>
    </w:p>
    <w:p w14:paraId="24F6530D" w14:textId="77777777" w:rsidR="00D1587D" w:rsidRDefault="00410D07">
      <w:pPr>
        <w:spacing w:line="269" w:lineRule="auto"/>
        <w:ind w:left="300" w:right="399" w:firstLine="360"/>
        <w:rPr>
          <w:sz w:val="20"/>
          <w:szCs w:val="20"/>
        </w:rPr>
      </w:pPr>
      <w:r>
        <w:rPr>
          <w:rFonts w:ascii="Arial" w:eastAsia="Arial" w:hAnsi="Arial" w:cs="Arial"/>
          <w:sz w:val="17"/>
          <w:szCs w:val="17"/>
        </w:rPr>
        <w:t>Irene Chang Br</w:t>
      </w:r>
      <w:r>
        <w:rPr>
          <w:rFonts w:ascii="Arial" w:eastAsia="Arial" w:hAnsi="Arial" w:cs="Arial"/>
          <w:sz w:val="17"/>
          <w:szCs w:val="17"/>
        </w:rPr>
        <w:t>itt will serve on the Board of Directors. Ms. Chang Britt currently serves as (i) a director of Mikmak since 2021, (ii) a director of Amica Senior Lifestyles, currently serving as the chairperson of the board and as a member of the compensation and investm</w:t>
      </w:r>
      <w:r>
        <w:rPr>
          <w:rFonts w:ascii="Arial" w:eastAsia="Arial" w:hAnsi="Arial" w:cs="Arial"/>
          <w:sz w:val="17"/>
          <w:szCs w:val="17"/>
        </w:rPr>
        <w:t>ent committee since 2017, and (iii) an independent director of Brighthouse Financial, Inc. since 2017. She served as an independent director of Tailored Brands, Inc. (formerly Men’s Warehouse, Inc.) from 2015 to 2020 and of Dunkin Brands Group, Inc. betwee</w:t>
      </w:r>
      <w:r>
        <w:rPr>
          <w:rFonts w:ascii="Arial" w:eastAsia="Arial" w:hAnsi="Arial" w:cs="Arial"/>
          <w:sz w:val="17"/>
          <w:szCs w:val="17"/>
        </w:rPr>
        <w:t>n 2014 and 2020. Ms. Chang Britt retired from Campbell Soup Company (“Campbell”), a food and beverage company, in January 2015. At Campbell, Ms. Chang Britt served in positions of increasing responsibility, most recently having served as senior vice presid</w:t>
      </w:r>
      <w:r>
        <w:rPr>
          <w:rFonts w:ascii="Arial" w:eastAsia="Arial" w:hAnsi="Arial" w:cs="Arial"/>
          <w:sz w:val="17"/>
          <w:szCs w:val="17"/>
        </w:rPr>
        <w:t>ent of Global Baking and Snacking and as president of Pepperidge Farm, a subsidiary of Campbell from 2012 to 2015. Ms. Chang Britt is qualified to sit on the Board of Directors on the basis of her brand and marketing expertise and public company board expe</w:t>
      </w:r>
      <w:r>
        <w:rPr>
          <w:rFonts w:ascii="Arial" w:eastAsia="Arial" w:hAnsi="Arial" w:cs="Arial"/>
          <w:sz w:val="17"/>
          <w:szCs w:val="17"/>
        </w:rPr>
        <w:t>rience.</w:t>
      </w:r>
    </w:p>
    <w:p w14:paraId="18DCEE18" w14:textId="77777777" w:rsidR="00D1587D" w:rsidRDefault="00D1587D">
      <w:pPr>
        <w:spacing w:line="77" w:lineRule="exact"/>
        <w:rPr>
          <w:sz w:val="20"/>
          <w:szCs w:val="20"/>
        </w:rPr>
      </w:pPr>
    </w:p>
    <w:p w14:paraId="6EA6D66C" w14:textId="77777777" w:rsidR="00D1587D" w:rsidRDefault="00410D07">
      <w:pPr>
        <w:spacing w:line="254" w:lineRule="auto"/>
        <w:ind w:left="300" w:right="339" w:firstLine="360"/>
        <w:rPr>
          <w:sz w:val="20"/>
          <w:szCs w:val="20"/>
        </w:rPr>
      </w:pPr>
      <w:r>
        <w:rPr>
          <w:rFonts w:ascii="Arial" w:eastAsia="Arial" w:hAnsi="Arial" w:cs="Arial"/>
          <w:sz w:val="18"/>
          <w:szCs w:val="18"/>
        </w:rPr>
        <w:t xml:space="preserve">Sarah Davis will serve on the Board of Directors. Ms. Davis currently serves as a director of AGF Investments, serving as the chairperson of the compensation committee since 2014. She served as a board member of T&amp;T Supermarkets from 2014 to </w:t>
      </w:r>
      <w:r>
        <w:rPr>
          <w:rFonts w:ascii="Arial" w:eastAsia="Arial" w:hAnsi="Arial" w:cs="Arial"/>
          <w:sz w:val="18"/>
          <w:szCs w:val="18"/>
        </w:rPr>
        <w:t>2021, having served as the chairperson of the board from 2017 to 2021, and as a director of PC Financial from 2010 to 2021. Ms. Davis retired from Loblaw Companies Limited (“Loblaw”), a food and pharmacy company, in May 2021. At Loblaw, Ms. Davis served in</w:t>
      </w:r>
      <w:r>
        <w:rPr>
          <w:rFonts w:ascii="Arial" w:eastAsia="Arial" w:hAnsi="Arial" w:cs="Arial"/>
          <w:sz w:val="18"/>
          <w:szCs w:val="18"/>
        </w:rPr>
        <w:t xml:space="preserve"> positions of increasing responsibility, having served as the chief administrative officer from 2014 to 2017 and as president from 2017 to 2021. Ms. Davis is qualified to sit on the Board of Directors on the basis of her corporate finance expertise and pub</w:t>
      </w:r>
      <w:r>
        <w:rPr>
          <w:rFonts w:ascii="Arial" w:eastAsia="Arial" w:hAnsi="Arial" w:cs="Arial"/>
          <w:sz w:val="18"/>
          <w:szCs w:val="18"/>
        </w:rPr>
        <w:t>lic company board experience.</w:t>
      </w:r>
    </w:p>
    <w:p w14:paraId="117CE6EC" w14:textId="77777777" w:rsidR="00D1587D" w:rsidRDefault="00D1587D">
      <w:pPr>
        <w:spacing w:line="84" w:lineRule="exact"/>
        <w:rPr>
          <w:sz w:val="20"/>
          <w:szCs w:val="20"/>
        </w:rPr>
      </w:pPr>
    </w:p>
    <w:p w14:paraId="7FB39E9B" w14:textId="77777777" w:rsidR="00D1587D" w:rsidRDefault="00410D07">
      <w:pPr>
        <w:spacing w:line="271" w:lineRule="auto"/>
        <w:ind w:left="300" w:right="419" w:firstLine="360"/>
        <w:rPr>
          <w:sz w:val="20"/>
          <w:szCs w:val="20"/>
        </w:rPr>
      </w:pPr>
      <w:r>
        <w:rPr>
          <w:rFonts w:ascii="Arial" w:eastAsia="Arial" w:hAnsi="Arial" w:cs="Arial"/>
          <w:sz w:val="17"/>
          <w:szCs w:val="17"/>
        </w:rPr>
        <w:t>Jacqueline Hernandez will serve on the Board of Directors. Ms. Hernandez currently serves as (i) the chief executive officer and co-founder of New Majority Ready since April 2019, (ii) a director of Estrella Media, serving as</w:t>
      </w:r>
      <w:r>
        <w:rPr>
          <w:rFonts w:ascii="Arial" w:eastAsia="Arial" w:hAnsi="Arial" w:cs="Arial"/>
          <w:sz w:val="17"/>
          <w:szCs w:val="17"/>
        </w:rPr>
        <w:t xml:space="preserve"> a member of the compensation committee since December 2019, (iii) a director of Redbox Automated Retail since October 2020, and (iv) a director of Isos Acquisition Corp since March 2021. She served as (i) the chief operating officer of NBCUniversal Telemu</w:t>
      </w:r>
      <w:r>
        <w:rPr>
          <w:rFonts w:ascii="Arial" w:eastAsia="Arial" w:hAnsi="Arial" w:cs="Arial"/>
          <w:sz w:val="17"/>
          <w:szCs w:val="17"/>
        </w:rPr>
        <w:t>ndo Enterprises from 2008 to 2014, (i) the chief marketing officer of NBCUniversal Hispanic Enterprises from 2014 to 2017, and (iii) the president of Combate Americas from 2017 to 2019. Ms. Hernandez is qualified to sit on the Board of Directors on the bas</w:t>
      </w:r>
      <w:r>
        <w:rPr>
          <w:rFonts w:ascii="Arial" w:eastAsia="Arial" w:hAnsi="Arial" w:cs="Arial"/>
          <w:sz w:val="17"/>
          <w:szCs w:val="17"/>
        </w:rPr>
        <w:t>is of her executive experience complemented by her expertise in multi-cultural marketing and strategic planning.</w:t>
      </w:r>
    </w:p>
    <w:p w14:paraId="28D8AD53" w14:textId="77777777" w:rsidR="00D1587D" w:rsidRDefault="00D1587D">
      <w:pPr>
        <w:spacing w:line="70" w:lineRule="exact"/>
        <w:rPr>
          <w:sz w:val="20"/>
          <w:szCs w:val="20"/>
        </w:rPr>
      </w:pPr>
    </w:p>
    <w:p w14:paraId="1B7E1D4D" w14:textId="77777777" w:rsidR="00D1587D" w:rsidRDefault="00410D07">
      <w:pPr>
        <w:spacing w:line="270" w:lineRule="auto"/>
        <w:ind w:left="300" w:right="299" w:firstLine="360"/>
        <w:rPr>
          <w:sz w:val="20"/>
          <w:szCs w:val="20"/>
        </w:rPr>
      </w:pPr>
      <w:r>
        <w:rPr>
          <w:rFonts w:ascii="Arial" w:eastAsia="Arial" w:hAnsi="Arial" w:cs="Arial"/>
          <w:sz w:val="17"/>
          <w:szCs w:val="17"/>
        </w:rPr>
        <w:t xml:space="preserve">Donna A. James will serve on the Board of Directors. Ms. James currently serves as (i) the managing director of Lardon &amp; Associates LLC since </w:t>
      </w:r>
      <w:r>
        <w:rPr>
          <w:rFonts w:ascii="Arial" w:eastAsia="Arial" w:hAnsi="Arial" w:cs="Arial"/>
          <w:sz w:val="17"/>
          <w:szCs w:val="17"/>
        </w:rPr>
        <w:t>2006, (ii) a director of Boston Scientific Corporation since 2015, and (iii) a director of The Hartford Financial Services Group, Inc. since 2021. She served as (i) a director of L Brands from 2003 to immediately prior to completion of the Separation, most</w:t>
      </w:r>
      <w:r>
        <w:rPr>
          <w:rFonts w:ascii="Arial" w:eastAsia="Arial" w:hAnsi="Arial" w:cs="Arial"/>
          <w:sz w:val="17"/>
          <w:szCs w:val="17"/>
        </w:rPr>
        <w:t xml:space="preserve"> recently having served as a member of the audit and nominating and governance committees, (ii) a director of Marathon Petroleum Corp. from 2011 to 2018 and as an advisor to the Marathon Petroleum Corp. board of directors from 2019 to 2020 and (iii) a dire</w:t>
      </w:r>
      <w:r>
        <w:rPr>
          <w:rFonts w:ascii="Arial" w:eastAsia="Arial" w:hAnsi="Arial" w:cs="Arial"/>
          <w:sz w:val="17"/>
          <w:szCs w:val="17"/>
        </w:rPr>
        <w:t>ctor of Time Warner Cable Inc. from 2009 to 2016. Ms. James is qualified to sit on the Board of Directors on the basis of her executive experience, financial expertise, service on several boards of directors and experience with respect to corporate diversi</w:t>
      </w:r>
      <w:r>
        <w:rPr>
          <w:rFonts w:ascii="Arial" w:eastAsia="Arial" w:hAnsi="Arial" w:cs="Arial"/>
          <w:sz w:val="17"/>
          <w:szCs w:val="17"/>
        </w:rPr>
        <w:t>ty and related issues.</w:t>
      </w:r>
    </w:p>
    <w:p w14:paraId="5036C5C6" w14:textId="77777777" w:rsidR="00D1587D" w:rsidRDefault="00D1587D">
      <w:pPr>
        <w:spacing w:line="73" w:lineRule="exact"/>
        <w:rPr>
          <w:sz w:val="20"/>
          <w:szCs w:val="20"/>
        </w:rPr>
      </w:pPr>
    </w:p>
    <w:p w14:paraId="604E1C9D" w14:textId="77777777" w:rsidR="00D1587D" w:rsidRDefault="00410D07">
      <w:pPr>
        <w:spacing w:line="293" w:lineRule="auto"/>
        <w:ind w:left="300" w:right="319" w:firstLine="360"/>
        <w:rPr>
          <w:sz w:val="20"/>
          <w:szCs w:val="20"/>
        </w:rPr>
      </w:pPr>
      <w:r>
        <w:rPr>
          <w:rFonts w:ascii="Arial" w:eastAsia="Arial" w:hAnsi="Arial" w:cs="Arial"/>
          <w:sz w:val="16"/>
          <w:szCs w:val="16"/>
        </w:rPr>
        <w:t>Lauren B. Peters will serve on the Board of Directors. Ms. Peters currently serves as a director of La-Z-Boy, Inc., since 2016, serving as a member of the audit and nominating and governance committees. She served as a director of C</w:t>
      </w:r>
      <w:r>
        <w:rPr>
          <w:rFonts w:ascii="Arial" w:eastAsia="Arial" w:hAnsi="Arial" w:cs="Arial"/>
          <w:sz w:val="16"/>
          <w:szCs w:val="16"/>
        </w:rPr>
        <w:t>arbon38 from 2018 to 2021. She retired from Foot Locker, Inc. (“Foot Locker”), a multi-channel specialty athletic retailer, in May 2021. At Foot Locker, Ms. Davis served in positions of increasing responsibility, most recently having served as the executiv</w:t>
      </w:r>
      <w:r>
        <w:rPr>
          <w:rFonts w:ascii="Arial" w:eastAsia="Arial" w:hAnsi="Arial" w:cs="Arial"/>
          <w:sz w:val="16"/>
          <w:szCs w:val="16"/>
        </w:rPr>
        <w:t>e vice president, CFO from 2011 to 2021. Ms. Peters is qualified to sit on the Board of Directors on the basis of her financial expertise and public company board experience.</w:t>
      </w:r>
    </w:p>
    <w:p w14:paraId="2FAC8B27" w14:textId="77777777" w:rsidR="00D1587D" w:rsidRDefault="00D1587D">
      <w:pPr>
        <w:spacing w:line="164" w:lineRule="exact"/>
        <w:rPr>
          <w:sz w:val="20"/>
          <w:szCs w:val="20"/>
        </w:rPr>
      </w:pPr>
    </w:p>
    <w:p w14:paraId="09632206" w14:textId="77777777" w:rsidR="00D1587D" w:rsidRDefault="00410D07">
      <w:pPr>
        <w:jc w:val="center"/>
        <w:rPr>
          <w:sz w:val="20"/>
          <w:szCs w:val="20"/>
        </w:rPr>
      </w:pPr>
      <w:r>
        <w:rPr>
          <w:rFonts w:ascii="Arial" w:eastAsia="Arial" w:hAnsi="Arial" w:cs="Arial"/>
          <w:sz w:val="18"/>
          <w:szCs w:val="18"/>
        </w:rPr>
        <w:t>103</w:t>
      </w:r>
    </w:p>
    <w:p w14:paraId="3B1D0544" w14:textId="77777777" w:rsidR="00D1587D" w:rsidRDefault="00410D07">
      <w:pPr>
        <w:spacing w:line="20" w:lineRule="exact"/>
        <w:rPr>
          <w:sz w:val="20"/>
          <w:szCs w:val="20"/>
        </w:rPr>
      </w:pPr>
      <w:r>
        <w:rPr>
          <w:noProof/>
          <w:sz w:val="20"/>
          <w:szCs w:val="20"/>
        </w:rPr>
        <w:drawing>
          <wp:anchor distT="0" distB="0" distL="114300" distR="114300" simplePos="0" relativeHeight="251823104" behindDoc="1" locked="0" layoutInCell="0" allowOverlap="1" wp14:anchorId="3D4DCE80" wp14:editId="6CF7E6CE">
            <wp:simplePos x="0" y="0"/>
            <wp:positionH relativeFrom="column">
              <wp:posOffset>-636905</wp:posOffset>
            </wp:positionH>
            <wp:positionV relativeFrom="paragraph">
              <wp:posOffset>134620</wp:posOffset>
            </wp:positionV>
            <wp:extent cx="6995160" cy="17145"/>
            <wp:effectExtent l="0" t="0" r="0" b="0"/>
            <wp:wrapNone/>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35FC74F" w14:textId="77777777" w:rsidR="00D1587D" w:rsidRDefault="00D1587D">
      <w:pPr>
        <w:sectPr w:rsidR="00D1587D">
          <w:pgSz w:w="11900" w:h="16838"/>
          <w:pgMar w:top="262" w:right="1440" w:bottom="1440" w:left="1440" w:header="0" w:footer="0" w:gutter="0"/>
          <w:cols w:space="720" w:equalWidth="0">
            <w:col w:w="9019"/>
          </w:cols>
        </w:sectPr>
      </w:pPr>
    </w:p>
    <w:bookmarkStart w:id="361" w:name="page362"/>
    <w:bookmarkEnd w:id="361"/>
    <w:p w14:paraId="6C6E181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69EDD88" w14:textId="77777777" w:rsidR="00D1587D" w:rsidRDefault="00D1587D">
      <w:pPr>
        <w:spacing w:line="131" w:lineRule="exact"/>
        <w:rPr>
          <w:sz w:val="20"/>
          <w:szCs w:val="20"/>
        </w:rPr>
      </w:pPr>
    </w:p>
    <w:p w14:paraId="27A586A5" w14:textId="77777777" w:rsidR="00D1587D" w:rsidRDefault="00410D07">
      <w:pPr>
        <w:spacing w:line="269" w:lineRule="auto"/>
        <w:ind w:left="300" w:right="399" w:firstLine="360"/>
        <w:rPr>
          <w:sz w:val="20"/>
          <w:szCs w:val="20"/>
        </w:rPr>
      </w:pPr>
      <w:r>
        <w:rPr>
          <w:rFonts w:ascii="Arial" w:eastAsia="Arial" w:hAnsi="Arial" w:cs="Arial"/>
          <w:sz w:val="17"/>
          <w:szCs w:val="17"/>
        </w:rPr>
        <w:t>Anne Shee</w:t>
      </w:r>
      <w:r>
        <w:rPr>
          <w:rFonts w:ascii="Arial" w:eastAsia="Arial" w:hAnsi="Arial" w:cs="Arial"/>
          <w:sz w:val="17"/>
          <w:szCs w:val="17"/>
        </w:rPr>
        <w:t>han will serve on the Board of Directors. Ms. Sheehan currently serves as (i) a director of Cohn Robbins Holding Company since 2020, (ii) an advisor on the advisory board of the Weinberg Center for Corporate Governance at the University of Delaware since 2</w:t>
      </w:r>
      <w:r>
        <w:rPr>
          <w:rFonts w:ascii="Arial" w:eastAsia="Arial" w:hAnsi="Arial" w:cs="Arial"/>
          <w:sz w:val="17"/>
          <w:szCs w:val="17"/>
        </w:rPr>
        <w:t xml:space="preserve">014, (iii) a member of the advisory board of Rock Center for Corporate Governance of Stanford Law School since 2019 and (iv) a senior adviser at PJT Partners since 2018. She served as (i) a director of L Brands from 2019 to immediately prior to completion </w:t>
      </w:r>
      <w:r>
        <w:rPr>
          <w:rFonts w:ascii="Arial" w:eastAsia="Arial" w:hAnsi="Arial" w:cs="Arial"/>
          <w:sz w:val="17"/>
          <w:szCs w:val="17"/>
        </w:rPr>
        <w:t>of the Separation, most recently having served as a member of the audit committee and nominating and governance committee, (ii) the chair of the Securities and Exchange Commission’s Investor Advisory Committee from 2012 to 2020 and (iii) the director of co</w:t>
      </w:r>
      <w:r>
        <w:rPr>
          <w:rFonts w:ascii="Arial" w:eastAsia="Arial" w:hAnsi="Arial" w:cs="Arial"/>
          <w:sz w:val="17"/>
          <w:szCs w:val="17"/>
        </w:rPr>
        <w:t>rporate governance of California State Teachers Retirement System from 2008 to 2018. Ms. Sheehan is qualified to sit on the Board of Directors on the basis of her extensive experience as a corporate governance professional and her senior management and lea</w:t>
      </w:r>
      <w:r>
        <w:rPr>
          <w:rFonts w:ascii="Arial" w:eastAsia="Arial" w:hAnsi="Arial" w:cs="Arial"/>
          <w:sz w:val="17"/>
          <w:szCs w:val="17"/>
        </w:rPr>
        <w:t>dership experience addressing complex legislative, regulatory and public finance issues.</w:t>
      </w:r>
    </w:p>
    <w:p w14:paraId="142B326C" w14:textId="77777777" w:rsidR="00D1587D" w:rsidRDefault="00D1587D">
      <w:pPr>
        <w:spacing w:line="313" w:lineRule="exact"/>
        <w:rPr>
          <w:sz w:val="20"/>
          <w:szCs w:val="20"/>
        </w:rPr>
      </w:pPr>
    </w:p>
    <w:p w14:paraId="583A21D7" w14:textId="77777777" w:rsidR="00D1587D" w:rsidRDefault="00410D07">
      <w:pPr>
        <w:ind w:left="300"/>
        <w:rPr>
          <w:sz w:val="20"/>
          <w:szCs w:val="20"/>
        </w:rPr>
      </w:pPr>
      <w:r>
        <w:rPr>
          <w:rFonts w:ascii="Arial" w:eastAsia="Arial" w:hAnsi="Arial" w:cs="Arial"/>
          <w:b/>
          <w:bCs/>
          <w:sz w:val="18"/>
          <w:szCs w:val="18"/>
        </w:rPr>
        <w:t>Board Structure</w:t>
      </w:r>
    </w:p>
    <w:p w14:paraId="49310F52" w14:textId="77777777" w:rsidR="00D1587D" w:rsidRDefault="00D1587D">
      <w:pPr>
        <w:spacing w:line="121" w:lineRule="exact"/>
        <w:rPr>
          <w:sz w:val="20"/>
          <w:szCs w:val="20"/>
        </w:rPr>
      </w:pPr>
    </w:p>
    <w:p w14:paraId="7A258AF0" w14:textId="77777777" w:rsidR="00D1587D" w:rsidRDefault="00410D07">
      <w:pPr>
        <w:spacing w:line="259" w:lineRule="auto"/>
        <w:ind w:left="300" w:right="479" w:firstLine="360"/>
        <w:rPr>
          <w:sz w:val="20"/>
          <w:szCs w:val="20"/>
        </w:rPr>
      </w:pPr>
      <w:r>
        <w:rPr>
          <w:rFonts w:ascii="Arial" w:eastAsia="Arial" w:hAnsi="Arial" w:cs="Arial"/>
          <w:sz w:val="18"/>
          <w:szCs w:val="18"/>
        </w:rPr>
        <w:t xml:space="preserve">Upon completion of the Separation, our Board of Directors is expected to consist of seven members. Each director will be elected annually by the </w:t>
      </w:r>
      <w:r>
        <w:rPr>
          <w:rFonts w:ascii="Arial" w:eastAsia="Arial" w:hAnsi="Arial" w:cs="Arial"/>
          <w:sz w:val="18"/>
          <w:szCs w:val="18"/>
        </w:rPr>
        <w:t>stockholders at each annual meeting of stockholders for a term expiring at the next annual meeting of stockholders. We have not yet set the date of the first annual meeting of stockholders to be held following the Separation.</w:t>
      </w:r>
    </w:p>
    <w:p w14:paraId="0D500457" w14:textId="77777777" w:rsidR="00D1587D" w:rsidRDefault="00D1587D">
      <w:pPr>
        <w:spacing w:line="304" w:lineRule="exact"/>
        <w:rPr>
          <w:sz w:val="20"/>
          <w:szCs w:val="20"/>
        </w:rPr>
      </w:pPr>
    </w:p>
    <w:p w14:paraId="51C3277D" w14:textId="77777777" w:rsidR="00D1587D" w:rsidRDefault="00410D07">
      <w:pPr>
        <w:ind w:left="300"/>
        <w:rPr>
          <w:sz w:val="20"/>
          <w:szCs w:val="20"/>
        </w:rPr>
      </w:pPr>
      <w:r>
        <w:rPr>
          <w:rFonts w:ascii="Arial" w:eastAsia="Arial" w:hAnsi="Arial" w:cs="Arial"/>
          <w:b/>
          <w:bCs/>
          <w:sz w:val="18"/>
          <w:szCs w:val="18"/>
        </w:rPr>
        <w:t>Board Independence</w:t>
      </w:r>
    </w:p>
    <w:p w14:paraId="46CED4DB" w14:textId="77777777" w:rsidR="00D1587D" w:rsidRDefault="00D1587D">
      <w:pPr>
        <w:spacing w:line="121" w:lineRule="exact"/>
        <w:rPr>
          <w:sz w:val="20"/>
          <w:szCs w:val="20"/>
        </w:rPr>
      </w:pPr>
    </w:p>
    <w:p w14:paraId="07C8A55C" w14:textId="77777777" w:rsidR="00D1587D" w:rsidRDefault="00410D07">
      <w:pPr>
        <w:spacing w:line="291" w:lineRule="auto"/>
        <w:ind w:left="300" w:right="339" w:firstLine="360"/>
        <w:rPr>
          <w:sz w:val="20"/>
          <w:szCs w:val="20"/>
        </w:rPr>
      </w:pPr>
      <w:r>
        <w:rPr>
          <w:rFonts w:ascii="Arial" w:eastAsia="Arial" w:hAnsi="Arial" w:cs="Arial"/>
          <w:sz w:val="16"/>
          <w:szCs w:val="16"/>
        </w:rPr>
        <w:t>Upon comp</w:t>
      </w:r>
      <w:r>
        <w:rPr>
          <w:rFonts w:ascii="Arial" w:eastAsia="Arial" w:hAnsi="Arial" w:cs="Arial"/>
          <w:sz w:val="16"/>
          <w:szCs w:val="16"/>
        </w:rPr>
        <w:t>letion of the Separation, our Board of Directors will consist of seven members. Our Board expects to determine that each of Irene Chang Britt, Sarah Davis, Jacqueline Hernandez, Donna A. James, Lauren B. Peters, and Anne Sheehan is independent under NYSE r</w:t>
      </w:r>
      <w:r>
        <w:rPr>
          <w:rFonts w:ascii="Arial" w:eastAsia="Arial" w:hAnsi="Arial" w:cs="Arial"/>
          <w:sz w:val="16"/>
          <w:szCs w:val="16"/>
        </w:rPr>
        <w:t>ules. In determining independence, the Board will consider whether each director has a material relationship with VS and is independent from VS management. The Board will consider all relevant facts and circumstances including, without limitation, commerci</w:t>
      </w:r>
      <w:r>
        <w:rPr>
          <w:rFonts w:ascii="Arial" w:eastAsia="Arial" w:hAnsi="Arial" w:cs="Arial"/>
          <w:sz w:val="16"/>
          <w:szCs w:val="16"/>
        </w:rPr>
        <w:t xml:space="preserve">al, industrial, banking, consulting, legal, accounting, charitable and familial relationships between the director and VS. A copy of our corporate governance principles setting forth our director qualification standards will be posted on our website after </w:t>
      </w:r>
      <w:r>
        <w:rPr>
          <w:rFonts w:ascii="Arial" w:eastAsia="Arial" w:hAnsi="Arial" w:cs="Arial"/>
          <w:sz w:val="16"/>
          <w:szCs w:val="16"/>
        </w:rPr>
        <w:t>the Separation.</w:t>
      </w:r>
    </w:p>
    <w:p w14:paraId="377C7F0F" w14:textId="77777777" w:rsidR="00D1587D" w:rsidRDefault="00D1587D">
      <w:pPr>
        <w:spacing w:line="297" w:lineRule="exact"/>
        <w:rPr>
          <w:sz w:val="20"/>
          <w:szCs w:val="20"/>
        </w:rPr>
      </w:pPr>
    </w:p>
    <w:p w14:paraId="3E23249D" w14:textId="77777777" w:rsidR="00D1587D" w:rsidRDefault="00410D07">
      <w:pPr>
        <w:ind w:left="300"/>
        <w:rPr>
          <w:sz w:val="20"/>
          <w:szCs w:val="20"/>
        </w:rPr>
      </w:pPr>
      <w:r>
        <w:rPr>
          <w:rFonts w:ascii="Arial" w:eastAsia="Arial" w:hAnsi="Arial" w:cs="Arial"/>
          <w:b/>
          <w:bCs/>
          <w:sz w:val="18"/>
          <w:szCs w:val="18"/>
        </w:rPr>
        <w:t>Director Compensation</w:t>
      </w:r>
    </w:p>
    <w:p w14:paraId="65405D6B" w14:textId="77777777" w:rsidR="00D1587D" w:rsidRDefault="00D1587D">
      <w:pPr>
        <w:spacing w:line="121" w:lineRule="exact"/>
        <w:rPr>
          <w:sz w:val="20"/>
          <w:szCs w:val="20"/>
        </w:rPr>
      </w:pPr>
    </w:p>
    <w:p w14:paraId="714CCF86" w14:textId="77777777" w:rsidR="00D1587D" w:rsidRDefault="00410D07">
      <w:pPr>
        <w:spacing w:line="271" w:lineRule="auto"/>
        <w:ind w:left="300" w:right="419" w:firstLine="360"/>
        <w:rPr>
          <w:sz w:val="20"/>
          <w:szCs w:val="20"/>
        </w:rPr>
      </w:pPr>
      <w:r>
        <w:rPr>
          <w:rFonts w:ascii="Arial" w:eastAsia="Arial" w:hAnsi="Arial" w:cs="Arial"/>
          <w:sz w:val="17"/>
          <w:szCs w:val="17"/>
        </w:rPr>
        <w:t>Each of our non-employee directors is expected to receive an annual cash retainer of $111,900, which will be paid in cash quarterly in arrears. In addition, each of our non-employee directors is also expected to rece</w:t>
      </w:r>
      <w:r>
        <w:rPr>
          <w:rFonts w:ascii="Arial" w:eastAsia="Arial" w:hAnsi="Arial" w:cs="Arial"/>
          <w:sz w:val="17"/>
          <w:szCs w:val="17"/>
        </w:rPr>
        <w:t>ive an additional annual cash retainer of $12,500 for membership on each of the Audit and HCC Committees and $10,000 for all other Board committee memberships. The Chair of the Audit Committee is expected to receive an additional annual cash retainer of $2</w:t>
      </w:r>
      <w:r>
        <w:rPr>
          <w:rFonts w:ascii="Arial" w:eastAsia="Arial" w:hAnsi="Arial" w:cs="Arial"/>
          <w:sz w:val="17"/>
          <w:szCs w:val="17"/>
        </w:rPr>
        <w:t>0,000, and the Chairs of the HCC and Nominating and Governance Committees are each expected to receive an additional annual cash retainer of $15,000. Each other Board committee Chair is expected to receive an additional annual cash retainer of $10,000. The</w:t>
      </w:r>
      <w:r>
        <w:rPr>
          <w:rFonts w:ascii="Arial" w:eastAsia="Arial" w:hAnsi="Arial" w:cs="Arial"/>
          <w:sz w:val="17"/>
          <w:szCs w:val="17"/>
        </w:rPr>
        <w:t xml:space="preserve"> Board Chair is expected to receive an additional annual cash retainer of $80,000.</w:t>
      </w:r>
    </w:p>
    <w:p w14:paraId="2AC238F9" w14:textId="77777777" w:rsidR="00D1587D" w:rsidRDefault="00D1587D">
      <w:pPr>
        <w:spacing w:line="70" w:lineRule="exact"/>
        <w:rPr>
          <w:sz w:val="20"/>
          <w:szCs w:val="20"/>
        </w:rPr>
      </w:pPr>
    </w:p>
    <w:p w14:paraId="78107482" w14:textId="77777777" w:rsidR="00D1587D" w:rsidRDefault="00410D07">
      <w:pPr>
        <w:spacing w:line="254" w:lineRule="auto"/>
        <w:ind w:left="300" w:right="319" w:firstLine="360"/>
        <w:rPr>
          <w:sz w:val="20"/>
          <w:szCs w:val="20"/>
        </w:rPr>
      </w:pPr>
      <w:r>
        <w:rPr>
          <w:rFonts w:ascii="Arial" w:eastAsia="Arial" w:hAnsi="Arial" w:cs="Arial"/>
          <w:sz w:val="18"/>
          <w:szCs w:val="18"/>
        </w:rPr>
        <w:t>In addition, each of our non-employee directors is also expected to receive an annual equity retainer with a grant date value of $111,900. The annual equity retainer is exp</w:t>
      </w:r>
      <w:r>
        <w:rPr>
          <w:rFonts w:ascii="Arial" w:eastAsia="Arial" w:hAnsi="Arial" w:cs="Arial"/>
          <w:sz w:val="18"/>
          <w:szCs w:val="18"/>
        </w:rPr>
        <w:t>ected to be granted under the VS 2021 Plan and delivered 100% in the form of unrestricted VS shares on the date of our annual meeting of stockholders. Such equity retainer will be pro-rated in the year of initial election or appointment to our Board. In ad</w:t>
      </w:r>
      <w:r>
        <w:rPr>
          <w:rFonts w:ascii="Arial" w:eastAsia="Arial" w:hAnsi="Arial" w:cs="Arial"/>
          <w:sz w:val="18"/>
          <w:szCs w:val="18"/>
        </w:rPr>
        <w:t>dition, each of our non-employee directors is also expected to receive an additional annual equity retainer with a grant date value of $12,500 for membership on each of the Audit and HCC Committees and $10,000 for all other Board committee memberships. The</w:t>
      </w:r>
      <w:r>
        <w:rPr>
          <w:rFonts w:ascii="Arial" w:eastAsia="Arial" w:hAnsi="Arial" w:cs="Arial"/>
          <w:sz w:val="18"/>
          <w:szCs w:val="18"/>
        </w:rPr>
        <w:t xml:space="preserve"> Board Chair is expected to receive an additional annual equity retainer with a grant date value of $80,000.</w:t>
      </w:r>
    </w:p>
    <w:p w14:paraId="2A528714" w14:textId="77777777" w:rsidR="00D1587D" w:rsidRDefault="00D1587D">
      <w:pPr>
        <w:spacing w:line="323" w:lineRule="exact"/>
        <w:rPr>
          <w:sz w:val="20"/>
          <w:szCs w:val="20"/>
        </w:rPr>
      </w:pPr>
    </w:p>
    <w:p w14:paraId="3B14DAD0" w14:textId="77777777" w:rsidR="00D1587D" w:rsidRDefault="00410D07">
      <w:pPr>
        <w:ind w:left="300"/>
        <w:rPr>
          <w:sz w:val="20"/>
          <w:szCs w:val="20"/>
        </w:rPr>
      </w:pPr>
      <w:r>
        <w:rPr>
          <w:rFonts w:ascii="Arial" w:eastAsia="Arial" w:hAnsi="Arial" w:cs="Arial"/>
          <w:b/>
          <w:bCs/>
          <w:sz w:val="18"/>
          <w:szCs w:val="18"/>
        </w:rPr>
        <w:t>Board Committees</w:t>
      </w:r>
    </w:p>
    <w:p w14:paraId="2A1B4185" w14:textId="77777777" w:rsidR="00D1587D" w:rsidRDefault="00D1587D">
      <w:pPr>
        <w:spacing w:line="121" w:lineRule="exact"/>
        <w:rPr>
          <w:sz w:val="20"/>
          <w:szCs w:val="20"/>
        </w:rPr>
      </w:pPr>
    </w:p>
    <w:p w14:paraId="72AD4AA1" w14:textId="77777777" w:rsidR="00D1587D" w:rsidRDefault="00410D07">
      <w:pPr>
        <w:spacing w:line="257" w:lineRule="auto"/>
        <w:ind w:left="300" w:right="459" w:firstLine="360"/>
        <w:rPr>
          <w:sz w:val="20"/>
          <w:szCs w:val="20"/>
        </w:rPr>
      </w:pPr>
      <w:r>
        <w:rPr>
          <w:rFonts w:ascii="Arial" w:eastAsia="Arial" w:hAnsi="Arial" w:cs="Arial"/>
          <w:sz w:val="18"/>
          <w:szCs w:val="18"/>
        </w:rPr>
        <w:t xml:space="preserve">Effective upon the completion of the Separation, the Board will have an Audit Committee, a Human Capital and </w:t>
      </w:r>
      <w:r>
        <w:rPr>
          <w:rFonts w:ascii="Arial" w:eastAsia="Arial" w:hAnsi="Arial" w:cs="Arial"/>
          <w:sz w:val="18"/>
          <w:szCs w:val="18"/>
        </w:rPr>
        <w:t>Compensation Committee and a Nominating and Governance Committee, each of which will operate under written charters approved by the full Board. In accordance with current NYSE listing standards, all of the directors who serve on each such Committee will be</w:t>
      </w:r>
      <w:r>
        <w:rPr>
          <w:rFonts w:ascii="Arial" w:eastAsia="Arial" w:hAnsi="Arial" w:cs="Arial"/>
          <w:sz w:val="18"/>
          <w:szCs w:val="18"/>
        </w:rPr>
        <w:t xml:space="preserve"> independent from us and our management. The charters of all the Committees will be posted on our website after the Separation.</w:t>
      </w:r>
    </w:p>
    <w:p w14:paraId="7D14EEFB" w14:textId="77777777" w:rsidR="00D1587D" w:rsidRDefault="00D1587D">
      <w:pPr>
        <w:spacing w:line="188" w:lineRule="exact"/>
        <w:rPr>
          <w:sz w:val="20"/>
          <w:szCs w:val="20"/>
        </w:rPr>
      </w:pPr>
    </w:p>
    <w:p w14:paraId="272113FD" w14:textId="77777777" w:rsidR="00D1587D" w:rsidRDefault="00410D07">
      <w:pPr>
        <w:ind w:right="19"/>
        <w:jc w:val="center"/>
        <w:rPr>
          <w:sz w:val="20"/>
          <w:szCs w:val="20"/>
        </w:rPr>
      </w:pPr>
      <w:r>
        <w:rPr>
          <w:rFonts w:ascii="Arial" w:eastAsia="Arial" w:hAnsi="Arial" w:cs="Arial"/>
          <w:sz w:val="18"/>
          <w:szCs w:val="18"/>
        </w:rPr>
        <w:t>104</w:t>
      </w:r>
    </w:p>
    <w:p w14:paraId="3B088DAD" w14:textId="77777777" w:rsidR="00D1587D" w:rsidRDefault="00410D07">
      <w:pPr>
        <w:spacing w:line="20" w:lineRule="exact"/>
        <w:rPr>
          <w:sz w:val="20"/>
          <w:szCs w:val="20"/>
        </w:rPr>
      </w:pPr>
      <w:r>
        <w:rPr>
          <w:noProof/>
          <w:sz w:val="20"/>
          <w:szCs w:val="20"/>
        </w:rPr>
        <w:drawing>
          <wp:anchor distT="0" distB="0" distL="114300" distR="114300" simplePos="0" relativeHeight="251824128" behindDoc="1" locked="0" layoutInCell="0" allowOverlap="1" wp14:anchorId="7D5E52A9" wp14:editId="269617E7">
            <wp:simplePos x="0" y="0"/>
            <wp:positionH relativeFrom="column">
              <wp:posOffset>-636905</wp:posOffset>
            </wp:positionH>
            <wp:positionV relativeFrom="paragraph">
              <wp:posOffset>126365</wp:posOffset>
            </wp:positionV>
            <wp:extent cx="6995160" cy="17145"/>
            <wp:effectExtent l="0" t="0" r="0" b="0"/>
            <wp:wrapNone/>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2300B99" w14:textId="77777777" w:rsidR="00D1587D" w:rsidRDefault="00D1587D">
      <w:pPr>
        <w:sectPr w:rsidR="00D1587D">
          <w:pgSz w:w="11900" w:h="16838"/>
          <w:pgMar w:top="265" w:right="1440" w:bottom="1440" w:left="1440" w:header="0" w:footer="0" w:gutter="0"/>
          <w:cols w:space="720" w:equalWidth="0">
            <w:col w:w="9019"/>
          </w:cols>
        </w:sectPr>
      </w:pPr>
    </w:p>
    <w:bookmarkStart w:id="362" w:name="page363"/>
    <w:bookmarkEnd w:id="362"/>
    <w:p w14:paraId="1839E00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F5502AC" w14:textId="77777777" w:rsidR="00D1587D" w:rsidRDefault="00D1587D">
      <w:pPr>
        <w:spacing w:line="131" w:lineRule="exact"/>
        <w:rPr>
          <w:sz w:val="20"/>
          <w:szCs w:val="20"/>
        </w:rPr>
      </w:pPr>
    </w:p>
    <w:p w14:paraId="7B548A46" w14:textId="77777777" w:rsidR="00D1587D" w:rsidRDefault="00410D07">
      <w:pPr>
        <w:spacing w:line="257" w:lineRule="auto"/>
        <w:ind w:left="300" w:right="699" w:firstLine="360"/>
        <w:rPr>
          <w:sz w:val="20"/>
          <w:szCs w:val="20"/>
        </w:rPr>
      </w:pPr>
      <w:r>
        <w:rPr>
          <w:rFonts w:ascii="Arial" w:eastAsia="Arial" w:hAnsi="Arial" w:cs="Arial"/>
          <w:sz w:val="18"/>
          <w:szCs w:val="18"/>
        </w:rPr>
        <w:t>Each Committee will operate under a written charter that</w:t>
      </w:r>
      <w:r>
        <w:rPr>
          <w:rFonts w:ascii="Arial" w:eastAsia="Arial" w:hAnsi="Arial" w:cs="Arial"/>
          <w:sz w:val="18"/>
          <w:szCs w:val="18"/>
        </w:rPr>
        <w:t xml:space="preserve"> details the scope of authority, composition and procedures of the Committee. Each Committee may, when appropriate in its discretion, delegate authority with respect to specific matters to subcommittees or the Chair of such Committee. The Committees will r</w:t>
      </w:r>
      <w:r>
        <w:rPr>
          <w:rFonts w:ascii="Arial" w:eastAsia="Arial" w:hAnsi="Arial" w:cs="Arial"/>
          <w:sz w:val="18"/>
          <w:szCs w:val="18"/>
        </w:rPr>
        <w:t>eport to the Board of Directors periodically, review and reassess the adequacy of their charters and will conduct an annual evaluation of their performance.</w:t>
      </w:r>
    </w:p>
    <w:p w14:paraId="7549A121" w14:textId="77777777" w:rsidR="00D1587D" w:rsidRDefault="00D1587D">
      <w:pPr>
        <w:spacing w:line="350" w:lineRule="exact"/>
        <w:rPr>
          <w:sz w:val="20"/>
          <w:szCs w:val="20"/>
        </w:rPr>
      </w:pPr>
    </w:p>
    <w:p w14:paraId="24B75904" w14:textId="77777777" w:rsidR="00D1587D" w:rsidRDefault="00410D07">
      <w:pPr>
        <w:ind w:left="660"/>
        <w:rPr>
          <w:sz w:val="20"/>
          <w:szCs w:val="20"/>
        </w:rPr>
      </w:pPr>
      <w:r>
        <w:rPr>
          <w:rFonts w:ascii="Arial" w:eastAsia="Arial" w:hAnsi="Arial" w:cs="Arial"/>
          <w:b/>
          <w:bCs/>
          <w:i/>
          <w:iCs/>
          <w:sz w:val="18"/>
          <w:szCs w:val="18"/>
        </w:rPr>
        <w:t>Audit Committee</w:t>
      </w:r>
    </w:p>
    <w:p w14:paraId="28DEA2D4" w14:textId="77777777" w:rsidR="00D1587D" w:rsidRDefault="00D1587D">
      <w:pPr>
        <w:spacing w:line="117" w:lineRule="exact"/>
        <w:rPr>
          <w:sz w:val="20"/>
          <w:szCs w:val="20"/>
        </w:rPr>
      </w:pPr>
    </w:p>
    <w:p w14:paraId="00197796" w14:textId="77777777" w:rsidR="00D1587D" w:rsidRDefault="00410D07">
      <w:pPr>
        <w:spacing w:line="253" w:lineRule="auto"/>
        <w:ind w:left="300" w:right="299" w:firstLine="360"/>
        <w:rPr>
          <w:sz w:val="20"/>
          <w:szCs w:val="20"/>
        </w:rPr>
      </w:pPr>
      <w:r>
        <w:rPr>
          <w:rFonts w:ascii="Arial" w:eastAsia="Arial" w:hAnsi="Arial" w:cs="Arial"/>
          <w:sz w:val="18"/>
          <w:szCs w:val="18"/>
        </w:rPr>
        <w:t>The members of our Audit Committee are expected to be Donna A. James, Irene Chang</w:t>
      </w:r>
      <w:r>
        <w:rPr>
          <w:rFonts w:ascii="Arial" w:eastAsia="Arial" w:hAnsi="Arial" w:cs="Arial"/>
          <w:sz w:val="18"/>
          <w:szCs w:val="18"/>
        </w:rPr>
        <w:t xml:space="preserve"> Britt, Sarah Davis and Lauren B. Peters. Sarah Davis is expected to be the Chair of our Audit Committee. We expect that each member of our Audit Committee will meet the requirements for independence under the current NYSE listing standards and SEC rules a</w:t>
      </w:r>
      <w:r>
        <w:rPr>
          <w:rFonts w:ascii="Arial" w:eastAsia="Arial" w:hAnsi="Arial" w:cs="Arial"/>
          <w:sz w:val="18"/>
          <w:szCs w:val="18"/>
        </w:rPr>
        <w:t xml:space="preserve">nd regulations. We expect that each member of our Audit Committee will be financially literate. In addition, our Board of Directors expects to determine that each of Donna A. James, Sarah Davis and Lauren B. Peters is an “audit committee financial expert” </w:t>
      </w:r>
      <w:r>
        <w:rPr>
          <w:rFonts w:ascii="Arial" w:eastAsia="Arial" w:hAnsi="Arial" w:cs="Arial"/>
          <w:sz w:val="18"/>
          <w:szCs w:val="18"/>
        </w:rPr>
        <w:t>as defined in Item 407(d)(5)(ii) of Regulation S-K promulgated under the Securities Act. This designation does not impose on him/her any duties, obligations or liabilities that are greater than are generally imposed on members of our Audit Committee and ou</w:t>
      </w:r>
      <w:r>
        <w:rPr>
          <w:rFonts w:ascii="Arial" w:eastAsia="Arial" w:hAnsi="Arial" w:cs="Arial"/>
          <w:sz w:val="18"/>
          <w:szCs w:val="18"/>
        </w:rPr>
        <w:t>r Board of Directors. The responsibilities of the Audit Committee will be more fully described in our Audit Committee charter and will include, among other duties:</w:t>
      </w:r>
    </w:p>
    <w:p w14:paraId="6C0D5D6D" w14:textId="77777777" w:rsidR="00D1587D" w:rsidRDefault="00D1587D">
      <w:pPr>
        <w:spacing w:line="86" w:lineRule="exact"/>
        <w:rPr>
          <w:sz w:val="20"/>
          <w:szCs w:val="20"/>
        </w:rPr>
      </w:pPr>
    </w:p>
    <w:p w14:paraId="57C617AF" w14:textId="77777777" w:rsidR="00D1587D" w:rsidRDefault="00410D07" w:rsidP="00410D07">
      <w:pPr>
        <w:numPr>
          <w:ilvl w:val="0"/>
          <w:numId w:val="305"/>
        </w:numPr>
        <w:tabs>
          <w:tab w:val="left" w:pos="1000"/>
        </w:tabs>
        <w:spacing w:line="277" w:lineRule="auto"/>
        <w:ind w:left="1000" w:right="899" w:hanging="348"/>
        <w:rPr>
          <w:rFonts w:ascii="Arial" w:eastAsia="Arial" w:hAnsi="Arial" w:cs="Arial"/>
          <w:sz w:val="18"/>
          <w:szCs w:val="18"/>
        </w:rPr>
      </w:pPr>
      <w:r>
        <w:rPr>
          <w:rFonts w:ascii="Arial" w:eastAsia="Arial" w:hAnsi="Arial" w:cs="Arial"/>
          <w:sz w:val="18"/>
          <w:szCs w:val="18"/>
        </w:rPr>
        <w:t xml:space="preserve">Appointing, compensating, retaining, overseeing and terminating the independent registered </w:t>
      </w:r>
      <w:r>
        <w:rPr>
          <w:rFonts w:ascii="Arial" w:eastAsia="Arial" w:hAnsi="Arial" w:cs="Arial"/>
          <w:sz w:val="18"/>
          <w:szCs w:val="18"/>
        </w:rPr>
        <w:t>public accounting firm for us;</w:t>
      </w:r>
    </w:p>
    <w:p w14:paraId="65876A37" w14:textId="77777777" w:rsidR="00D1587D" w:rsidRDefault="00D1587D">
      <w:pPr>
        <w:spacing w:line="62" w:lineRule="exact"/>
        <w:rPr>
          <w:rFonts w:ascii="Arial" w:eastAsia="Arial" w:hAnsi="Arial" w:cs="Arial"/>
          <w:sz w:val="18"/>
          <w:szCs w:val="18"/>
        </w:rPr>
      </w:pPr>
    </w:p>
    <w:p w14:paraId="1702B16D" w14:textId="77777777" w:rsidR="00D1587D" w:rsidRDefault="00410D07" w:rsidP="00410D07">
      <w:pPr>
        <w:numPr>
          <w:ilvl w:val="0"/>
          <w:numId w:val="305"/>
        </w:numPr>
        <w:tabs>
          <w:tab w:val="left" w:pos="1000"/>
        </w:tabs>
        <w:spacing w:line="277" w:lineRule="auto"/>
        <w:ind w:left="1000" w:right="519" w:hanging="348"/>
        <w:rPr>
          <w:rFonts w:ascii="Arial" w:eastAsia="Arial" w:hAnsi="Arial" w:cs="Arial"/>
          <w:sz w:val="18"/>
          <w:szCs w:val="18"/>
        </w:rPr>
      </w:pPr>
      <w:r>
        <w:rPr>
          <w:rFonts w:ascii="Arial" w:eastAsia="Arial" w:hAnsi="Arial" w:cs="Arial"/>
          <w:sz w:val="18"/>
          <w:szCs w:val="18"/>
        </w:rPr>
        <w:t>Reviewing and approving the scope, timing and staffing of the audit to be conducted by the independent registered public accounting firm;</w:t>
      </w:r>
    </w:p>
    <w:p w14:paraId="5D5D5639" w14:textId="77777777" w:rsidR="00D1587D" w:rsidRDefault="00D1587D">
      <w:pPr>
        <w:spacing w:line="62" w:lineRule="exact"/>
        <w:rPr>
          <w:rFonts w:ascii="Arial" w:eastAsia="Arial" w:hAnsi="Arial" w:cs="Arial"/>
          <w:sz w:val="18"/>
          <w:szCs w:val="18"/>
        </w:rPr>
      </w:pPr>
    </w:p>
    <w:p w14:paraId="60C1A850" w14:textId="77777777" w:rsidR="00D1587D" w:rsidRDefault="00410D07" w:rsidP="00410D07">
      <w:pPr>
        <w:numPr>
          <w:ilvl w:val="0"/>
          <w:numId w:val="305"/>
        </w:numPr>
        <w:tabs>
          <w:tab w:val="left" w:pos="1000"/>
        </w:tabs>
        <w:spacing w:line="277" w:lineRule="auto"/>
        <w:ind w:left="1000" w:right="1159" w:hanging="348"/>
        <w:rPr>
          <w:rFonts w:ascii="Arial" w:eastAsia="Arial" w:hAnsi="Arial" w:cs="Arial"/>
          <w:sz w:val="18"/>
          <w:szCs w:val="18"/>
        </w:rPr>
      </w:pPr>
      <w:r>
        <w:rPr>
          <w:rFonts w:ascii="Arial" w:eastAsia="Arial" w:hAnsi="Arial" w:cs="Arial"/>
          <w:sz w:val="18"/>
          <w:szCs w:val="18"/>
        </w:rPr>
        <w:t xml:space="preserve">Evaluating the independent registered public accounting firm’s </w:t>
      </w:r>
      <w:r>
        <w:rPr>
          <w:rFonts w:ascii="Arial" w:eastAsia="Arial" w:hAnsi="Arial" w:cs="Arial"/>
          <w:sz w:val="18"/>
          <w:szCs w:val="18"/>
        </w:rPr>
        <w:t>qualifications, performance and independence;</w:t>
      </w:r>
    </w:p>
    <w:p w14:paraId="0062FC94" w14:textId="77777777" w:rsidR="00D1587D" w:rsidRDefault="00D1587D">
      <w:pPr>
        <w:spacing w:line="62" w:lineRule="exact"/>
        <w:rPr>
          <w:rFonts w:ascii="Arial" w:eastAsia="Arial" w:hAnsi="Arial" w:cs="Arial"/>
          <w:sz w:val="18"/>
          <w:szCs w:val="18"/>
        </w:rPr>
      </w:pPr>
    </w:p>
    <w:p w14:paraId="70806260" w14:textId="77777777" w:rsidR="00D1587D" w:rsidRDefault="00410D07" w:rsidP="00410D07">
      <w:pPr>
        <w:numPr>
          <w:ilvl w:val="0"/>
          <w:numId w:val="305"/>
        </w:numPr>
        <w:tabs>
          <w:tab w:val="left" w:pos="1000"/>
        </w:tabs>
        <w:spacing w:line="277" w:lineRule="auto"/>
        <w:ind w:left="1000" w:right="859" w:hanging="348"/>
        <w:rPr>
          <w:rFonts w:ascii="Arial" w:eastAsia="Arial" w:hAnsi="Arial" w:cs="Arial"/>
          <w:sz w:val="18"/>
          <w:szCs w:val="18"/>
        </w:rPr>
      </w:pPr>
      <w:r>
        <w:rPr>
          <w:rFonts w:ascii="Arial" w:eastAsia="Arial" w:hAnsi="Arial" w:cs="Arial"/>
          <w:sz w:val="18"/>
          <w:szCs w:val="18"/>
        </w:rPr>
        <w:t>Reviewing with management and the independent registered public accounting firm our annual and quarterly statements prior to filing with the SEC;</w:t>
      </w:r>
    </w:p>
    <w:p w14:paraId="084AE7F4" w14:textId="77777777" w:rsidR="00D1587D" w:rsidRDefault="00D1587D">
      <w:pPr>
        <w:spacing w:line="62" w:lineRule="exact"/>
        <w:rPr>
          <w:rFonts w:ascii="Arial" w:eastAsia="Arial" w:hAnsi="Arial" w:cs="Arial"/>
          <w:sz w:val="18"/>
          <w:szCs w:val="18"/>
        </w:rPr>
      </w:pPr>
    </w:p>
    <w:p w14:paraId="3CB12CDE" w14:textId="77777777" w:rsidR="00D1587D" w:rsidRDefault="00410D07" w:rsidP="00410D07">
      <w:pPr>
        <w:numPr>
          <w:ilvl w:val="0"/>
          <w:numId w:val="305"/>
        </w:numPr>
        <w:tabs>
          <w:tab w:val="left" w:pos="1000"/>
        </w:tabs>
        <w:ind w:left="1000" w:hanging="348"/>
        <w:rPr>
          <w:rFonts w:ascii="Arial" w:eastAsia="Arial" w:hAnsi="Arial" w:cs="Arial"/>
          <w:sz w:val="18"/>
          <w:szCs w:val="18"/>
        </w:rPr>
      </w:pPr>
      <w:r>
        <w:rPr>
          <w:rFonts w:ascii="Arial" w:eastAsia="Arial" w:hAnsi="Arial" w:cs="Arial"/>
          <w:sz w:val="18"/>
          <w:szCs w:val="18"/>
        </w:rPr>
        <w:t>Reviewing our system of internal controls and disclosure contr</w:t>
      </w:r>
      <w:r>
        <w:rPr>
          <w:rFonts w:ascii="Arial" w:eastAsia="Arial" w:hAnsi="Arial" w:cs="Arial"/>
          <w:sz w:val="18"/>
          <w:szCs w:val="18"/>
        </w:rPr>
        <w:t>ols and procedures; and</w:t>
      </w:r>
    </w:p>
    <w:p w14:paraId="74132772" w14:textId="77777777" w:rsidR="00D1587D" w:rsidRDefault="00D1587D">
      <w:pPr>
        <w:spacing w:line="117" w:lineRule="exact"/>
        <w:rPr>
          <w:rFonts w:ascii="Arial" w:eastAsia="Arial" w:hAnsi="Arial" w:cs="Arial"/>
          <w:sz w:val="18"/>
          <w:szCs w:val="18"/>
        </w:rPr>
      </w:pPr>
    </w:p>
    <w:p w14:paraId="1DDD48B6" w14:textId="77777777" w:rsidR="00D1587D" w:rsidRDefault="00410D07" w:rsidP="00410D07">
      <w:pPr>
        <w:numPr>
          <w:ilvl w:val="0"/>
          <w:numId w:val="305"/>
        </w:numPr>
        <w:tabs>
          <w:tab w:val="left" w:pos="1000"/>
        </w:tabs>
        <w:ind w:left="1000" w:hanging="348"/>
        <w:rPr>
          <w:rFonts w:ascii="Arial" w:eastAsia="Arial" w:hAnsi="Arial" w:cs="Arial"/>
          <w:sz w:val="18"/>
          <w:szCs w:val="18"/>
        </w:rPr>
      </w:pPr>
      <w:r>
        <w:rPr>
          <w:rFonts w:ascii="Arial" w:eastAsia="Arial" w:hAnsi="Arial" w:cs="Arial"/>
          <w:sz w:val="18"/>
          <w:szCs w:val="18"/>
        </w:rPr>
        <w:t>Preparing a report to stockholders annually for inclusion in the proxy statement.</w:t>
      </w:r>
    </w:p>
    <w:p w14:paraId="4D3B312D" w14:textId="77777777" w:rsidR="00D1587D" w:rsidRDefault="00D1587D">
      <w:pPr>
        <w:spacing w:line="374" w:lineRule="exact"/>
        <w:rPr>
          <w:sz w:val="20"/>
          <w:szCs w:val="20"/>
        </w:rPr>
      </w:pPr>
    </w:p>
    <w:p w14:paraId="72DA7AFD" w14:textId="77777777" w:rsidR="00D1587D" w:rsidRDefault="00410D07">
      <w:pPr>
        <w:ind w:left="660"/>
        <w:rPr>
          <w:sz w:val="20"/>
          <w:szCs w:val="20"/>
        </w:rPr>
      </w:pPr>
      <w:r>
        <w:rPr>
          <w:rFonts w:ascii="Arial" w:eastAsia="Arial" w:hAnsi="Arial" w:cs="Arial"/>
          <w:b/>
          <w:bCs/>
          <w:i/>
          <w:iCs/>
          <w:sz w:val="18"/>
          <w:szCs w:val="18"/>
        </w:rPr>
        <w:t>Human Capital and Compensation Committee</w:t>
      </w:r>
    </w:p>
    <w:p w14:paraId="42AD2E7A" w14:textId="77777777" w:rsidR="00D1587D" w:rsidRDefault="00D1587D">
      <w:pPr>
        <w:spacing w:line="117" w:lineRule="exact"/>
        <w:rPr>
          <w:sz w:val="20"/>
          <w:szCs w:val="20"/>
        </w:rPr>
      </w:pPr>
    </w:p>
    <w:p w14:paraId="08DCCDD3" w14:textId="77777777" w:rsidR="00D1587D" w:rsidRDefault="00410D07">
      <w:pPr>
        <w:spacing w:line="254" w:lineRule="auto"/>
        <w:ind w:left="300" w:right="579" w:firstLine="360"/>
        <w:rPr>
          <w:sz w:val="20"/>
          <w:szCs w:val="20"/>
        </w:rPr>
      </w:pPr>
      <w:r>
        <w:rPr>
          <w:rFonts w:ascii="Arial" w:eastAsia="Arial" w:hAnsi="Arial" w:cs="Arial"/>
          <w:sz w:val="18"/>
          <w:szCs w:val="18"/>
        </w:rPr>
        <w:t>The members of our Human Capital and Compensation Committee are expected to be Irene Chang Britt, Jacqueli</w:t>
      </w:r>
      <w:r>
        <w:rPr>
          <w:rFonts w:ascii="Arial" w:eastAsia="Arial" w:hAnsi="Arial" w:cs="Arial"/>
          <w:sz w:val="18"/>
          <w:szCs w:val="18"/>
        </w:rPr>
        <w:t>ne Hernandez, Lauren B. Peters and Anne Sheehan. Irene Chang Britt is expected to be the Chair of the Human Capital and Compensation Committee. We expect that each member of the Human Capital and Compensation Committee will meet the requirements for indepe</w:t>
      </w:r>
      <w:r>
        <w:rPr>
          <w:rFonts w:ascii="Arial" w:eastAsia="Arial" w:hAnsi="Arial" w:cs="Arial"/>
          <w:sz w:val="18"/>
          <w:szCs w:val="18"/>
        </w:rPr>
        <w:t>ndence under the current NYSE listing standards and SEC rules and regulations. The responsibilities of the Human Capital and Compensation Committee will be more fully described in the Human Capital and Compensation Committee Charter and will include, among</w:t>
      </w:r>
      <w:r>
        <w:rPr>
          <w:rFonts w:ascii="Arial" w:eastAsia="Arial" w:hAnsi="Arial" w:cs="Arial"/>
          <w:sz w:val="18"/>
          <w:szCs w:val="18"/>
        </w:rPr>
        <w:t xml:space="preserve"> other duties:</w:t>
      </w:r>
    </w:p>
    <w:p w14:paraId="19D0C06A" w14:textId="77777777" w:rsidR="00D1587D" w:rsidRDefault="00D1587D">
      <w:pPr>
        <w:spacing w:line="87" w:lineRule="exact"/>
        <w:rPr>
          <w:sz w:val="20"/>
          <w:szCs w:val="20"/>
        </w:rPr>
      </w:pPr>
    </w:p>
    <w:p w14:paraId="78727527" w14:textId="77777777" w:rsidR="00D1587D" w:rsidRDefault="00410D07" w:rsidP="00410D07">
      <w:pPr>
        <w:numPr>
          <w:ilvl w:val="0"/>
          <w:numId w:val="306"/>
        </w:numPr>
        <w:tabs>
          <w:tab w:val="left" w:pos="1000"/>
        </w:tabs>
        <w:spacing w:line="308" w:lineRule="auto"/>
        <w:ind w:left="1000" w:right="679" w:hanging="348"/>
        <w:rPr>
          <w:rFonts w:ascii="Arial" w:eastAsia="Arial" w:hAnsi="Arial" w:cs="Arial"/>
          <w:sz w:val="17"/>
          <w:szCs w:val="17"/>
        </w:rPr>
      </w:pPr>
      <w:r>
        <w:rPr>
          <w:rFonts w:ascii="Arial" w:eastAsia="Arial" w:hAnsi="Arial" w:cs="Arial"/>
          <w:sz w:val="17"/>
          <w:szCs w:val="17"/>
        </w:rPr>
        <w:t>Reviewing and approving our compensation and benefits philosophy and policies generally, including reviewing and approving any incentive compensation plans and equity-based plans;</w:t>
      </w:r>
    </w:p>
    <w:p w14:paraId="5A05406B" w14:textId="77777777" w:rsidR="00D1587D" w:rsidRDefault="00D1587D">
      <w:pPr>
        <w:spacing w:line="38" w:lineRule="exact"/>
        <w:rPr>
          <w:rFonts w:ascii="Arial" w:eastAsia="Arial" w:hAnsi="Arial" w:cs="Arial"/>
          <w:sz w:val="17"/>
          <w:szCs w:val="17"/>
        </w:rPr>
      </w:pPr>
    </w:p>
    <w:p w14:paraId="16852E67" w14:textId="77777777" w:rsidR="00D1587D" w:rsidRDefault="00410D07" w:rsidP="00410D07">
      <w:pPr>
        <w:numPr>
          <w:ilvl w:val="0"/>
          <w:numId w:val="306"/>
        </w:numPr>
        <w:tabs>
          <w:tab w:val="left" w:pos="1000"/>
        </w:tabs>
        <w:spacing w:line="259" w:lineRule="auto"/>
        <w:ind w:left="1000" w:right="359" w:hanging="348"/>
        <w:rPr>
          <w:rFonts w:ascii="Arial" w:eastAsia="Arial" w:hAnsi="Arial" w:cs="Arial"/>
          <w:sz w:val="18"/>
          <w:szCs w:val="18"/>
        </w:rPr>
      </w:pPr>
      <w:r>
        <w:rPr>
          <w:rFonts w:ascii="Arial" w:eastAsia="Arial" w:hAnsi="Arial" w:cs="Arial"/>
          <w:sz w:val="18"/>
          <w:szCs w:val="18"/>
        </w:rPr>
        <w:t xml:space="preserve">Reviewing and approving, for our Chief Executive </w:t>
      </w:r>
      <w:r>
        <w:rPr>
          <w:rFonts w:ascii="Arial" w:eastAsia="Arial" w:hAnsi="Arial" w:cs="Arial"/>
          <w:sz w:val="18"/>
          <w:szCs w:val="18"/>
        </w:rPr>
        <w:t>Officer, (i) annual base salary level, (ii) annual or seasonal incentive compensation, (iii) long-term incentive compensation, (iv) employment, severance, and change-in-control agreements, if any, and (v) any other compensation, ongoing perquisites, or spe</w:t>
      </w:r>
      <w:r>
        <w:rPr>
          <w:rFonts w:ascii="Arial" w:eastAsia="Arial" w:hAnsi="Arial" w:cs="Arial"/>
          <w:sz w:val="18"/>
          <w:szCs w:val="18"/>
        </w:rPr>
        <w:t>cial benefit items;</w:t>
      </w:r>
    </w:p>
    <w:p w14:paraId="0E51DD9E" w14:textId="77777777" w:rsidR="00D1587D" w:rsidRDefault="00D1587D">
      <w:pPr>
        <w:spacing w:line="78" w:lineRule="exact"/>
        <w:rPr>
          <w:rFonts w:ascii="Arial" w:eastAsia="Arial" w:hAnsi="Arial" w:cs="Arial"/>
          <w:sz w:val="18"/>
          <w:szCs w:val="18"/>
        </w:rPr>
      </w:pPr>
    </w:p>
    <w:p w14:paraId="75AFB2B6" w14:textId="77777777" w:rsidR="00D1587D" w:rsidRDefault="00410D07" w:rsidP="00410D07">
      <w:pPr>
        <w:numPr>
          <w:ilvl w:val="0"/>
          <w:numId w:val="306"/>
        </w:numPr>
        <w:tabs>
          <w:tab w:val="left" w:pos="1000"/>
        </w:tabs>
        <w:ind w:left="1000" w:hanging="348"/>
        <w:rPr>
          <w:rFonts w:ascii="Arial" w:eastAsia="Arial" w:hAnsi="Arial" w:cs="Arial"/>
          <w:sz w:val="17"/>
          <w:szCs w:val="17"/>
        </w:rPr>
      </w:pPr>
      <w:r>
        <w:rPr>
          <w:rFonts w:ascii="Arial" w:eastAsia="Arial" w:hAnsi="Arial" w:cs="Arial"/>
          <w:sz w:val="17"/>
          <w:szCs w:val="17"/>
        </w:rPr>
        <w:t>Reviewing and recommending for approval by the Board of Directors compensation for our directors;</w:t>
      </w:r>
    </w:p>
    <w:p w14:paraId="7067F8C9" w14:textId="77777777" w:rsidR="00D1587D" w:rsidRDefault="00D1587D">
      <w:pPr>
        <w:spacing w:line="128" w:lineRule="exact"/>
        <w:rPr>
          <w:rFonts w:ascii="Arial" w:eastAsia="Arial" w:hAnsi="Arial" w:cs="Arial"/>
          <w:sz w:val="17"/>
          <w:szCs w:val="17"/>
        </w:rPr>
      </w:pPr>
    </w:p>
    <w:p w14:paraId="5FC01CD8" w14:textId="77777777" w:rsidR="00D1587D" w:rsidRDefault="00410D07" w:rsidP="00410D07">
      <w:pPr>
        <w:numPr>
          <w:ilvl w:val="0"/>
          <w:numId w:val="306"/>
        </w:numPr>
        <w:tabs>
          <w:tab w:val="left" w:pos="1000"/>
        </w:tabs>
        <w:ind w:left="1000" w:hanging="348"/>
        <w:rPr>
          <w:rFonts w:ascii="Arial" w:eastAsia="Arial" w:hAnsi="Arial" w:cs="Arial"/>
          <w:sz w:val="18"/>
          <w:szCs w:val="18"/>
        </w:rPr>
      </w:pPr>
      <w:r>
        <w:rPr>
          <w:rFonts w:ascii="Arial" w:eastAsia="Arial" w:hAnsi="Arial" w:cs="Arial"/>
          <w:sz w:val="18"/>
          <w:szCs w:val="18"/>
        </w:rPr>
        <w:t>Preparing a report to stockholders annually for inclusion in the proxy statement;</w:t>
      </w:r>
    </w:p>
    <w:p w14:paraId="681F84F9" w14:textId="77777777" w:rsidR="00D1587D" w:rsidRDefault="00D1587D">
      <w:pPr>
        <w:spacing w:line="117" w:lineRule="exact"/>
        <w:rPr>
          <w:rFonts w:ascii="Arial" w:eastAsia="Arial" w:hAnsi="Arial" w:cs="Arial"/>
          <w:sz w:val="18"/>
          <w:szCs w:val="18"/>
        </w:rPr>
      </w:pPr>
    </w:p>
    <w:p w14:paraId="1C3D43FD" w14:textId="77777777" w:rsidR="00D1587D" w:rsidRDefault="00410D07" w:rsidP="00410D07">
      <w:pPr>
        <w:numPr>
          <w:ilvl w:val="0"/>
          <w:numId w:val="306"/>
        </w:numPr>
        <w:tabs>
          <w:tab w:val="left" w:pos="1000"/>
        </w:tabs>
        <w:spacing w:line="277" w:lineRule="auto"/>
        <w:ind w:left="1000" w:right="939" w:hanging="348"/>
        <w:rPr>
          <w:rFonts w:ascii="Arial" w:eastAsia="Arial" w:hAnsi="Arial" w:cs="Arial"/>
          <w:sz w:val="18"/>
          <w:szCs w:val="18"/>
        </w:rPr>
      </w:pPr>
      <w:r>
        <w:rPr>
          <w:rFonts w:ascii="Arial" w:eastAsia="Arial" w:hAnsi="Arial" w:cs="Arial"/>
          <w:sz w:val="18"/>
          <w:szCs w:val="18"/>
        </w:rPr>
        <w:t>Reviewing our Compensation Discussion and Analysis in</w:t>
      </w:r>
      <w:r>
        <w:rPr>
          <w:rFonts w:ascii="Arial" w:eastAsia="Arial" w:hAnsi="Arial" w:cs="Arial"/>
          <w:sz w:val="18"/>
          <w:szCs w:val="18"/>
        </w:rPr>
        <w:t xml:space="preserve"> the proxy statement and discussing with management; and</w:t>
      </w:r>
    </w:p>
    <w:p w14:paraId="7565FA3A" w14:textId="77777777" w:rsidR="00D1587D" w:rsidRDefault="00D1587D">
      <w:pPr>
        <w:spacing w:line="62" w:lineRule="exact"/>
        <w:rPr>
          <w:rFonts w:ascii="Arial" w:eastAsia="Arial" w:hAnsi="Arial" w:cs="Arial"/>
          <w:sz w:val="18"/>
          <w:szCs w:val="18"/>
        </w:rPr>
      </w:pPr>
    </w:p>
    <w:p w14:paraId="643D818C" w14:textId="77777777" w:rsidR="00D1587D" w:rsidRDefault="00410D07" w:rsidP="00410D07">
      <w:pPr>
        <w:numPr>
          <w:ilvl w:val="0"/>
          <w:numId w:val="306"/>
        </w:numPr>
        <w:tabs>
          <w:tab w:val="left" w:pos="1000"/>
        </w:tabs>
        <w:ind w:left="1000" w:hanging="348"/>
        <w:rPr>
          <w:rFonts w:ascii="Arial" w:eastAsia="Arial" w:hAnsi="Arial" w:cs="Arial"/>
          <w:sz w:val="18"/>
          <w:szCs w:val="18"/>
        </w:rPr>
      </w:pPr>
      <w:r>
        <w:rPr>
          <w:rFonts w:ascii="Arial" w:eastAsia="Arial" w:hAnsi="Arial" w:cs="Arial"/>
          <w:sz w:val="18"/>
          <w:szCs w:val="18"/>
        </w:rPr>
        <w:t>Periodically reviewing our key workforce management and human capital policies and practices.</w:t>
      </w:r>
    </w:p>
    <w:p w14:paraId="269FC914" w14:textId="77777777" w:rsidR="00D1587D" w:rsidRDefault="00D1587D">
      <w:pPr>
        <w:spacing w:line="225" w:lineRule="exact"/>
        <w:rPr>
          <w:sz w:val="20"/>
          <w:szCs w:val="20"/>
        </w:rPr>
      </w:pPr>
    </w:p>
    <w:p w14:paraId="5AF1C959" w14:textId="77777777" w:rsidR="00D1587D" w:rsidRDefault="00410D07">
      <w:pPr>
        <w:jc w:val="center"/>
        <w:rPr>
          <w:sz w:val="20"/>
          <w:szCs w:val="20"/>
        </w:rPr>
      </w:pPr>
      <w:r>
        <w:rPr>
          <w:rFonts w:ascii="Arial" w:eastAsia="Arial" w:hAnsi="Arial" w:cs="Arial"/>
          <w:sz w:val="18"/>
          <w:szCs w:val="18"/>
        </w:rPr>
        <w:t>105</w:t>
      </w:r>
    </w:p>
    <w:p w14:paraId="08C6474F" w14:textId="77777777" w:rsidR="00D1587D" w:rsidRDefault="00410D07">
      <w:pPr>
        <w:spacing w:line="20" w:lineRule="exact"/>
        <w:rPr>
          <w:sz w:val="20"/>
          <w:szCs w:val="20"/>
        </w:rPr>
      </w:pPr>
      <w:r>
        <w:rPr>
          <w:noProof/>
          <w:sz w:val="20"/>
          <w:szCs w:val="20"/>
        </w:rPr>
        <w:drawing>
          <wp:anchor distT="0" distB="0" distL="114300" distR="114300" simplePos="0" relativeHeight="251825152" behindDoc="1" locked="0" layoutInCell="0" allowOverlap="1" wp14:anchorId="671FD228" wp14:editId="4ACE2F2F">
            <wp:simplePos x="0" y="0"/>
            <wp:positionH relativeFrom="column">
              <wp:posOffset>-636905</wp:posOffset>
            </wp:positionH>
            <wp:positionV relativeFrom="paragraph">
              <wp:posOffset>126365</wp:posOffset>
            </wp:positionV>
            <wp:extent cx="6995160" cy="17145"/>
            <wp:effectExtent l="0" t="0" r="0" b="0"/>
            <wp:wrapNone/>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9AA4B5C" w14:textId="77777777" w:rsidR="00D1587D" w:rsidRDefault="00D1587D">
      <w:pPr>
        <w:sectPr w:rsidR="00D1587D">
          <w:pgSz w:w="11900" w:h="16838"/>
          <w:pgMar w:top="265" w:right="1440" w:bottom="1440" w:left="1440" w:header="0" w:footer="0" w:gutter="0"/>
          <w:cols w:space="720" w:equalWidth="0">
            <w:col w:w="9019"/>
          </w:cols>
        </w:sectPr>
      </w:pPr>
    </w:p>
    <w:bookmarkStart w:id="363" w:name="page364"/>
    <w:bookmarkEnd w:id="363"/>
    <w:p w14:paraId="5519E1F6"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CFE7687" w14:textId="77777777" w:rsidR="00D1587D" w:rsidRDefault="00D1587D">
      <w:pPr>
        <w:spacing w:line="131" w:lineRule="exact"/>
        <w:rPr>
          <w:sz w:val="20"/>
          <w:szCs w:val="20"/>
        </w:rPr>
      </w:pPr>
    </w:p>
    <w:p w14:paraId="291602EB" w14:textId="77777777" w:rsidR="00D1587D" w:rsidRDefault="00410D07">
      <w:pPr>
        <w:ind w:left="660"/>
        <w:rPr>
          <w:sz w:val="20"/>
          <w:szCs w:val="20"/>
        </w:rPr>
      </w:pPr>
      <w:r>
        <w:rPr>
          <w:rFonts w:ascii="Arial" w:eastAsia="Arial" w:hAnsi="Arial" w:cs="Arial"/>
          <w:b/>
          <w:bCs/>
          <w:i/>
          <w:iCs/>
          <w:sz w:val="18"/>
          <w:szCs w:val="18"/>
        </w:rPr>
        <w:t xml:space="preserve">Nominating and </w:t>
      </w:r>
      <w:r>
        <w:rPr>
          <w:rFonts w:ascii="Arial" w:eastAsia="Arial" w:hAnsi="Arial" w:cs="Arial"/>
          <w:b/>
          <w:bCs/>
          <w:i/>
          <w:iCs/>
          <w:sz w:val="18"/>
          <w:szCs w:val="18"/>
        </w:rPr>
        <w:t>Governance Committee</w:t>
      </w:r>
    </w:p>
    <w:p w14:paraId="4C7ABE19" w14:textId="77777777" w:rsidR="00D1587D" w:rsidRDefault="00D1587D">
      <w:pPr>
        <w:spacing w:line="117" w:lineRule="exact"/>
        <w:rPr>
          <w:sz w:val="20"/>
          <w:szCs w:val="20"/>
        </w:rPr>
      </w:pPr>
    </w:p>
    <w:p w14:paraId="1BDB9EEC" w14:textId="77777777" w:rsidR="00D1587D" w:rsidRDefault="00410D07">
      <w:pPr>
        <w:spacing w:line="255" w:lineRule="auto"/>
        <w:ind w:left="300" w:right="319" w:firstLine="360"/>
        <w:rPr>
          <w:sz w:val="20"/>
          <w:szCs w:val="20"/>
        </w:rPr>
      </w:pPr>
      <w:r>
        <w:rPr>
          <w:rFonts w:ascii="Arial" w:eastAsia="Arial" w:hAnsi="Arial" w:cs="Arial"/>
          <w:sz w:val="18"/>
          <w:szCs w:val="18"/>
        </w:rPr>
        <w:t>The members of our Nominating and Governance Committee are expected to be Donna A. James, Sarah Davis, Jacqueline Hernandez and Anne Sheehan. Anne Sheehan is expected to be the Chair of our Nominating and Governance Committee. We expe</w:t>
      </w:r>
      <w:r>
        <w:rPr>
          <w:rFonts w:ascii="Arial" w:eastAsia="Arial" w:hAnsi="Arial" w:cs="Arial"/>
          <w:sz w:val="18"/>
          <w:szCs w:val="18"/>
        </w:rPr>
        <w:t>ct that each member of the Nominating and Governance Committee will meet the requirements for independence under the current NYSE listing standards. The responsibilities of the Nominating and Governance Committee will be more fully described in our Nominat</w:t>
      </w:r>
      <w:r>
        <w:rPr>
          <w:rFonts w:ascii="Arial" w:eastAsia="Arial" w:hAnsi="Arial" w:cs="Arial"/>
          <w:sz w:val="18"/>
          <w:szCs w:val="18"/>
        </w:rPr>
        <w:t>ing and Governance Committee Charter and will include, among other duties:</w:t>
      </w:r>
    </w:p>
    <w:p w14:paraId="536C9568" w14:textId="77777777" w:rsidR="00D1587D" w:rsidRDefault="00D1587D">
      <w:pPr>
        <w:spacing w:line="84" w:lineRule="exact"/>
        <w:rPr>
          <w:sz w:val="20"/>
          <w:szCs w:val="20"/>
        </w:rPr>
      </w:pPr>
    </w:p>
    <w:p w14:paraId="07AC902D" w14:textId="77777777" w:rsidR="00D1587D" w:rsidRDefault="00410D07" w:rsidP="00410D07">
      <w:pPr>
        <w:numPr>
          <w:ilvl w:val="0"/>
          <w:numId w:val="307"/>
        </w:numPr>
        <w:tabs>
          <w:tab w:val="left" w:pos="1000"/>
        </w:tabs>
        <w:spacing w:line="277" w:lineRule="auto"/>
        <w:ind w:left="1000" w:right="339" w:hanging="348"/>
        <w:rPr>
          <w:rFonts w:ascii="Arial" w:eastAsia="Arial" w:hAnsi="Arial" w:cs="Arial"/>
          <w:sz w:val="18"/>
          <w:szCs w:val="18"/>
        </w:rPr>
      </w:pPr>
      <w:r>
        <w:rPr>
          <w:rFonts w:ascii="Arial" w:eastAsia="Arial" w:hAnsi="Arial" w:cs="Arial"/>
          <w:sz w:val="18"/>
          <w:szCs w:val="18"/>
        </w:rPr>
        <w:t>Recommending to the Board of Directors criteria for Board of Directors membership and the composition, size, structure, practices, policies and activities of the Board of Directors</w:t>
      </w:r>
      <w:r>
        <w:rPr>
          <w:rFonts w:ascii="Arial" w:eastAsia="Arial" w:hAnsi="Arial" w:cs="Arial"/>
          <w:sz w:val="18"/>
          <w:szCs w:val="18"/>
        </w:rPr>
        <w:t>;</w:t>
      </w:r>
    </w:p>
    <w:p w14:paraId="0223B637" w14:textId="77777777" w:rsidR="00D1587D" w:rsidRDefault="00D1587D">
      <w:pPr>
        <w:spacing w:line="62" w:lineRule="exact"/>
        <w:rPr>
          <w:rFonts w:ascii="Arial" w:eastAsia="Arial" w:hAnsi="Arial" w:cs="Arial"/>
          <w:sz w:val="18"/>
          <w:szCs w:val="18"/>
        </w:rPr>
      </w:pPr>
    </w:p>
    <w:p w14:paraId="2F12015F" w14:textId="77777777" w:rsidR="00D1587D" w:rsidRDefault="00410D07" w:rsidP="00410D07">
      <w:pPr>
        <w:numPr>
          <w:ilvl w:val="0"/>
          <w:numId w:val="307"/>
        </w:numPr>
        <w:tabs>
          <w:tab w:val="left" w:pos="1000"/>
        </w:tabs>
        <w:ind w:left="1000" w:hanging="348"/>
        <w:rPr>
          <w:rFonts w:ascii="Arial" w:eastAsia="Arial" w:hAnsi="Arial" w:cs="Arial"/>
          <w:sz w:val="18"/>
          <w:szCs w:val="18"/>
        </w:rPr>
      </w:pPr>
      <w:r>
        <w:rPr>
          <w:rFonts w:ascii="Arial" w:eastAsia="Arial" w:hAnsi="Arial" w:cs="Arial"/>
          <w:sz w:val="18"/>
          <w:szCs w:val="18"/>
        </w:rPr>
        <w:t>Recommending candidates to the Board of Directors; and</w:t>
      </w:r>
    </w:p>
    <w:p w14:paraId="60CB657D" w14:textId="77777777" w:rsidR="00D1587D" w:rsidRDefault="00D1587D">
      <w:pPr>
        <w:spacing w:line="117" w:lineRule="exact"/>
        <w:rPr>
          <w:rFonts w:ascii="Arial" w:eastAsia="Arial" w:hAnsi="Arial" w:cs="Arial"/>
          <w:sz w:val="18"/>
          <w:szCs w:val="18"/>
        </w:rPr>
      </w:pPr>
    </w:p>
    <w:p w14:paraId="7601644B" w14:textId="77777777" w:rsidR="00D1587D" w:rsidRDefault="00410D07" w:rsidP="00410D07">
      <w:pPr>
        <w:numPr>
          <w:ilvl w:val="0"/>
          <w:numId w:val="307"/>
        </w:numPr>
        <w:tabs>
          <w:tab w:val="left" w:pos="1000"/>
        </w:tabs>
        <w:ind w:left="1000" w:hanging="348"/>
        <w:rPr>
          <w:rFonts w:ascii="Arial" w:eastAsia="Arial" w:hAnsi="Arial" w:cs="Arial"/>
          <w:sz w:val="18"/>
          <w:szCs w:val="18"/>
        </w:rPr>
      </w:pPr>
      <w:r>
        <w:rPr>
          <w:rFonts w:ascii="Arial" w:eastAsia="Arial" w:hAnsi="Arial" w:cs="Arial"/>
          <w:sz w:val="18"/>
          <w:szCs w:val="18"/>
        </w:rPr>
        <w:t>Overseeing the evaluation of the Board of Directors.</w:t>
      </w:r>
    </w:p>
    <w:p w14:paraId="2E718310" w14:textId="77777777" w:rsidR="00D1587D" w:rsidRDefault="00D1587D">
      <w:pPr>
        <w:spacing w:line="383" w:lineRule="exact"/>
        <w:rPr>
          <w:sz w:val="20"/>
          <w:szCs w:val="20"/>
        </w:rPr>
      </w:pPr>
    </w:p>
    <w:p w14:paraId="53BDD35B" w14:textId="77777777" w:rsidR="00D1587D" w:rsidRDefault="00410D07">
      <w:pPr>
        <w:ind w:left="300"/>
        <w:rPr>
          <w:sz w:val="20"/>
          <w:szCs w:val="20"/>
        </w:rPr>
      </w:pPr>
      <w:r>
        <w:rPr>
          <w:rFonts w:ascii="Arial" w:eastAsia="Arial" w:hAnsi="Arial" w:cs="Arial"/>
          <w:b/>
          <w:bCs/>
          <w:sz w:val="18"/>
          <w:szCs w:val="18"/>
        </w:rPr>
        <w:t>Code of Ethics</w:t>
      </w:r>
    </w:p>
    <w:p w14:paraId="34621C08" w14:textId="77777777" w:rsidR="00D1587D" w:rsidRDefault="00D1587D">
      <w:pPr>
        <w:spacing w:line="121" w:lineRule="exact"/>
        <w:rPr>
          <w:sz w:val="20"/>
          <w:szCs w:val="20"/>
        </w:rPr>
      </w:pPr>
    </w:p>
    <w:p w14:paraId="32DA2DCF" w14:textId="77777777" w:rsidR="00D1587D" w:rsidRDefault="00410D07">
      <w:pPr>
        <w:spacing w:line="273" w:lineRule="auto"/>
        <w:ind w:left="300" w:right="339" w:firstLine="360"/>
        <w:rPr>
          <w:sz w:val="20"/>
          <w:szCs w:val="20"/>
        </w:rPr>
      </w:pPr>
      <w:r>
        <w:rPr>
          <w:rFonts w:ascii="Arial" w:eastAsia="Arial" w:hAnsi="Arial" w:cs="Arial"/>
          <w:sz w:val="17"/>
          <w:szCs w:val="17"/>
        </w:rPr>
        <w:t xml:space="preserve">In connection with the Separation, our Board of Directors will adopt one or more codes of ethics that will apply to all of </w:t>
      </w:r>
      <w:r>
        <w:rPr>
          <w:rFonts w:ascii="Arial" w:eastAsia="Arial" w:hAnsi="Arial" w:cs="Arial"/>
          <w:sz w:val="17"/>
          <w:szCs w:val="17"/>
        </w:rPr>
        <w:t>our employees, officers and directors, including our Chief Executive Officer, Chief Financial Officer and other executive and senior financial officers. Upon completion of the Separation, the full text of our codes of business conduct and ethics will be po</w:t>
      </w:r>
      <w:r>
        <w:rPr>
          <w:rFonts w:ascii="Arial" w:eastAsia="Arial" w:hAnsi="Arial" w:cs="Arial"/>
          <w:sz w:val="17"/>
          <w:szCs w:val="17"/>
        </w:rPr>
        <w:t xml:space="preserve">sted on the investor relations section of our website. We intend to satisfy the disclosure requirement under Item 5.05 of Form 8-K by disclosing future amendments to our codes of business conduct and ethics, or any waivers of such codes, on our website or </w:t>
      </w:r>
      <w:r>
        <w:rPr>
          <w:rFonts w:ascii="Arial" w:eastAsia="Arial" w:hAnsi="Arial" w:cs="Arial"/>
          <w:sz w:val="17"/>
          <w:szCs w:val="17"/>
        </w:rPr>
        <w:t>in public filings.</w:t>
      </w:r>
    </w:p>
    <w:p w14:paraId="771C1BF0" w14:textId="77777777" w:rsidR="00D1587D" w:rsidRDefault="00D1587D">
      <w:pPr>
        <w:spacing w:line="322" w:lineRule="exact"/>
        <w:rPr>
          <w:sz w:val="20"/>
          <w:szCs w:val="20"/>
        </w:rPr>
      </w:pPr>
    </w:p>
    <w:p w14:paraId="0C68B9CE" w14:textId="77777777" w:rsidR="00D1587D" w:rsidRDefault="00410D07">
      <w:pPr>
        <w:ind w:left="300"/>
        <w:rPr>
          <w:sz w:val="20"/>
          <w:szCs w:val="20"/>
        </w:rPr>
      </w:pPr>
      <w:r>
        <w:rPr>
          <w:rFonts w:ascii="Arial" w:eastAsia="Arial" w:hAnsi="Arial" w:cs="Arial"/>
          <w:b/>
          <w:bCs/>
          <w:sz w:val="18"/>
          <w:szCs w:val="18"/>
        </w:rPr>
        <w:t>Compensation Committee Interlocks and Insider Participation</w:t>
      </w:r>
    </w:p>
    <w:p w14:paraId="28ACD1CE" w14:textId="77777777" w:rsidR="00D1587D" w:rsidRDefault="00D1587D">
      <w:pPr>
        <w:spacing w:line="121" w:lineRule="exact"/>
        <w:rPr>
          <w:sz w:val="20"/>
          <w:szCs w:val="20"/>
        </w:rPr>
      </w:pPr>
    </w:p>
    <w:p w14:paraId="08F987A2" w14:textId="77777777" w:rsidR="00D1587D" w:rsidRDefault="00410D07">
      <w:pPr>
        <w:spacing w:line="263" w:lineRule="auto"/>
        <w:ind w:left="300" w:right="379" w:firstLine="360"/>
        <w:rPr>
          <w:sz w:val="20"/>
          <w:szCs w:val="20"/>
        </w:rPr>
      </w:pPr>
      <w:r>
        <w:rPr>
          <w:rFonts w:ascii="Arial" w:eastAsia="Arial" w:hAnsi="Arial" w:cs="Arial"/>
          <w:sz w:val="18"/>
          <w:szCs w:val="18"/>
        </w:rPr>
        <w:t xml:space="preserve">None of our executive officers has served as a member of a compensation committee (or if no committee performs that function, the Board of Directors) of any other entity that </w:t>
      </w:r>
      <w:r>
        <w:rPr>
          <w:rFonts w:ascii="Arial" w:eastAsia="Arial" w:hAnsi="Arial" w:cs="Arial"/>
          <w:sz w:val="18"/>
          <w:szCs w:val="18"/>
        </w:rPr>
        <w:t>has an executive officer serving as a member of our Board of Directors.</w:t>
      </w:r>
    </w:p>
    <w:p w14:paraId="67D50361" w14:textId="77777777" w:rsidR="00D1587D" w:rsidRDefault="00D1587D">
      <w:pPr>
        <w:spacing w:line="184" w:lineRule="exact"/>
        <w:rPr>
          <w:sz w:val="20"/>
          <w:szCs w:val="20"/>
        </w:rPr>
      </w:pPr>
    </w:p>
    <w:p w14:paraId="71EF7C8C" w14:textId="77777777" w:rsidR="00D1587D" w:rsidRDefault="00410D07">
      <w:pPr>
        <w:ind w:right="19"/>
        <w:jc w:val="center"/>
        <w:rPr>
          <w:sz w:val="20"/>
          <w:szCs w:val="20"/>
        </w:rPr>
      </w:pPr>
      <w:r>
        <w:rPr>
          <w:rFonts w:ascii="Arial" w:eastAsia="Arial" w:hAnsi="Arial" w:cs="Arial"/>
          <w:sz w:val="18"/>
          <w:szCs w:val="18"/>
        </w:rPr>
        <w:t>106</w:t>
      </w:r>
    </w:p>
    <w:p w14:paraId="0B89FEAC" w14:textId="77777777" w:rsidR="00D1587D" w:rsidRDefault="00410D07">
      <w:pPr>
        <w:spacing w:line="20" w:lineRule="exact"/>
        <w:rPr>
          <w:sz w:val="20"/>
          <w:szCs w:val="20"/>
        </w:rPr>
      </w:pPr>
      <w:r>
        <w:rPr>
          <w:noProof/>
          <w:sz w:val="20"/>
          <w:szCs w:val="20"/>
        </w:rPr>
        <w:drawing>
          <wp:anchor distT="0" distB="0" distL="114300" distR="114300" simplePos="0" relativeHeight="251826176" behindDoc="1" locked="0" layoutInCell="0" allowOverlap="1" wp14:anchorId="62F4F211" wp14:editId="69F767C4">
            <wp:simplePos x="0" y="0"/>
            <wp:positionH relativeFrom="column">
              <wp:posOffset>-636905</wp:posOffset>
            </wp:positionH>
            <wp:positionV relativeFrom="paragraph">
              <wp:posOffset>126365</wp:posOffset>
            </wp:positionV>
            <wp:extent cx="6995160" cy="17145"/>
            <wp:effectExtent l="0" t="0" r="0" b="0"/>
            <wp:wrapNone/>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7FBD10B" w14:textId="77777777" w:rsidR="00D1587D" w:rsidRDefault="00D1587D">
      <w:pPr>
        <w:sectPr w:rsidR="00D1587D">
          <w:pgSz w:w="11900" w:h="16838"/>
          <w:pgMar w:top="265" w:right="1440" w:bottom="1440" w:left="1440" w:header="0" w:footer="0" w:gutter="0"/>
          <w:cols w:space="720" w:equalWidth="0">
            <w:col w:w="9019"/>
          </w:cols>
        </w:sectPr>
      </w:pPr>
    </w:p>
    <w:bookmarkStart w:id="364" w:name="page365"/>
    <w:bookmarkEnd w:id="364"/>
    <w:p w14:paraId="228F748E" w14:textId="77777777" w:rsidR="00D1587D" w:rsidRDefault="00410D07">
      <w:pPr>
        <w:ind w:left="1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4773217" w14:textId="77777777" w:rsidR="00D1587D" w:rsidRDefault="00D1587D">
      <w:pPr>
        <w:spacing w:line="127" w:lineRule="exact"/>
        <w:rPr>
          <w:sz w:val="20"/>
          <w:szCs w:val="20"/>
        </w:rPr>
      </w:pPr>
    </w:p>
    <w:p w14:paraId="1BC999A3" w14:textId="77777777" w:rsidR="00D1587D" w:rsidRDefault="00410D07">
      <w:pPr>
        <w:ind w:right="20"/>
        <w:jc w:val="center"/>
        <w:rPr>
          <w:sz w:val="20"/>
          <w:szCs w:val="20"/>
        </w:rPr>
      </w:pPr>
      <w:r>
        <w:rPr>
          <w:rFonts w:ascii="Arial" w:eastAsia="Arial" w:hAnsi="Arial" w:cs="Arial"/>
          <w:b/>
          <w:bCs/>
          <w:sz w:val="18"/>
          <w:szCs w:val="18"/>
        </w:rPr>
        <w:t>COMPENSATION DISCUSSION AND ANALYSIS</w:t>
      </w:r>
    </w:p>
    <w:p w14:paraId="2017D0AB" w14:textId="77777777" w:rsidR="00D1587D" w:rsidRDefault="00D1587D">
      <w:pPr>
        <w:spacing w:line="252" w:lineRule="exact"/>
        <w:rPr>
          <w:sz w:val="20"/>
          <w:szCs w:val="20"/>
        </w:rPr>
      </w:pPr>
    </w:p>
    <w:p w14:paraId="4CACEA6A" w14:textId="77777777" w:rsidR="00D1587D" w:rsidRDefault="00410D07">
      <w:pPr>
        <w:ind w:left="1300"/>
        <w:rPr>
          <w:sz w:val="20"/>
          <w:szCs w:val="20"/>
        </w:rPr>
      </w:pPr>
      <w:r>
        <w:rPr>
          <w:rFonts w:ascii="Arial" w:eastAsia="Arial" w:hAnsi="Arial" w:cs="Arial"/>
          <w:b/>
          <w:bCs/>
          <w:sz w:val="18"/>
          <w:szCs w:val="18"/>
        </w:rPr>
        <w:t>Overview</w:t>
      </w:r>
    </w:p>
    <w:p w14:paraId="20A9CA7D" w14:textId="77777777" w:rsidR="00D1587D" w:rsidRDefault="00D1587D">
      <w:pPr>
        <w:spacing w:line="121" w:lineRule="exact"/>
        <w:rPr>
          <w:sz w:val="20"/>
          <w:szCs w:val="20"/>
        </w:rPr>
      </w:pPr>
    </w:p>
    <w:p w14:paraId="2CC9D90E" w14:textId="77777777" w:rsidR="00D1587D" w:rsidRDefault="00410D07">
      <w:pPr>
        <w:spacing w:line="257" w:lineRule="auto"/>
        <w:ind w:left="1300" w:right="1460" w:firstLine="360"/>
        <w:rPr>
          <w:sz w:val="20"/>
          <w:szCs w:val="20"/>
        </w:rPr>
      </w:pPr>
      <w:r>
        <w:rPr>
          <w:rFonts w:ascii="Arial" w:eastAsia="Arial" w:hAnsi="Arial" w:cs="Arial"/>
          <w:sz w:val="18"/>
          <w:szCs w:val="18"/>
        </w:rPr>
        <w:t>This section presents information concerning LB’s existing compe</w:t>
      </w:r>
      <w:r>
        <w:rPr>
          <w:rFonts w:ascii="Arial" w:eastAsia="Arial" w:hAnsi="Arial" w:cs="Arial"/>
          <w:sz w:val="18"/>
          <w:szCs w:val="18"/>
        </w:rPr>
        <w:t>nsation arrangements, the expected compensation arrangements for the named executive officers of VS and explains VS’s anticipated executive compensation arrangements, compensation philosophy and objectives, the components of executive compensation, and exe</w:t>
      </w:r>
      <w:r>
        <w:rPr>
          <w:rFonts w:ascii="Arial" w:eastAsia="Arial" w:hAnsi="Arial" w:cs="Arial"/>
          <w:sz w:val="18"/>
          <w:szCs w:val="18"/>
        </w:rPr>
        <w:t>cutive stock ownership. The focus of the analysis is on VS’s named executive officers (“NEOs”) for fiscal 2020 set forth in the table below.</w:t>
      </w:r>
    </w:p>
    <w:p w14:paraId="5698B80A" w14:textId="77777777" w:rsidR="00D1587D" w:rsidRDefault="00D1587D">
      <w:pPr>
        <w:spacing w:line="139" w:lineRule="exact"/>
        <w:rPr>
          <w:sz w:val="20"/>
          <w:szCs w:val="20"/>
        </w:rPr>
      </w:pPr>
    </w:p>
    <w:tbl>
      <w:tblPr>
        <w:tblW w:w="0" w:type="auto"/>
        <w:tblInd w:w="1300" w:type="dxa"/>
        <w:tblLayout w:type="fixed"/>
        <w:tblCellMar>
          <w:left w:w="0" w:type="dxa"/>
          <w:right w:w="0" w:type="dxa"/>
        </w:tblCellMar>
        <w:tblLook w:val="04A0" w:firstRow="1" w:lastRow="0" w:firstColumn="1" w:lastColumn="0" w:noHBand="0" w:noVBand="1"/>
      </w:tblPr>
      <w:tblGrid>
        <w:gridCol w:w="1280"/>
        <w:gridCol w:w="200"/>
        <w:gridCol w:w="6940"/>
      </w:tblGrid>
      <w:tr w:rsidR="00D1587D" w14:paraId="0C7EE03F" w14:textId="77777777">
        <w:trPr>
          <w:trHeight w:val="186"/>
        </w:trPr>
        <w:tc>
          <w:tcPr>
            <w:tcW w:w="1480" w:type="dxa"/>
            <w:gridSpan w:val="2"/>
            <w:vAlign w:val="bottom"/>
          </w:tcPr>
          <w:p w14:paraId="3BD93C30" w14:textId="77777777" w:rsidR="00D1587D" w:rsidRDefault="00410D07">
            <w:pPr>
              <w:rPr>
                <w:sz w:val="20"/>
                <w:szCs w:val="20"/>
              </w:rPr>
            </w:pPr>
            <w:r>
              <w:rPr>
                <w:rFonts w:ascii="Arial" w:eastAsia="Arial" w:hAnsi="Arial" w:cs="Arial"/>
                <w:b/>
                <w:bCs/>
                <w:sz w:val="14"/>
                <w:szCs w:val="14"/>
              </w:rPr>
              <w:t>Name</w:t>
            </w:r>
          </w:p>
        </w:tc>
        <w:tc>
          <w:tcPr>
            <w:tcW w:w="6940" w:type="dxa"/>
            <w:vAlign w:val="bottom"/>
          </w:tcPr>
          <w:p w14:paraId="17E6CE23" w14:textId="77777777" w:rsidR="00D1587D" w:rsidRDefault="00410D07">
            <w:pPr>
              <w:ind w:left="3320"/>
              <w:rPr>
                <w:sz w:val="20"/>
                <w:szCs w:val="20"/>
              </w:rPr>
            </w:pPr>
            <w:r>
              <w:rPr>
                <w:rFonts w:ascii="Arial" w:eastAsia="Arial" w:hAnsi="Arial" w:cs="Arial"/>
                <w:b/>
                <w:bCs/>
                <w:sz w:val="14"/>
                <w:szCs w:val="14"/>
              </w:rPr>
              <w:t>Title</w:t>
            </w:r>
          </w:p>
        </w:tc>
      </w:tr>
      <w:tr w:rsidR="00D1587D" w14:paraId="5CB542E4" w14:textId="77777777">
        <w:trPr>
          <w:trHeight w:val="53"/>
        </w:trPr>
        <w:tc>
          <w:tcPr>
            <w:tcW w:w="1280" w:type="dxa"/>
            <w:tcBorders>
              <w:bottom w:val="single" w:sz="8" w:space="0" w:color="auto"/>
            </w:tcBorders>
            <w:vAlign w:val="bottom"/>
          </w:tcPr>
          <w:p w14:paraId="7A6D87F5" w14:textId="77777777" w:rsidR="00D1587D" w:rsidRDefault="00D1587D">
            <w:pPr>
              <w:rPr>
                <w:sz w:val="4"/>
                <w:szCs w:val="4"/>
              </w:rPr>
            </w:pPr>
          </w:p>
        </w:tc>
        <w:tc>
          <w:tcPr>
            <w:tcW w:w="200" w:type="dxa"/>
            <w:vAlign w:val="bottom"/>
          </w:tcPr>
          <w:p w14:paraId="5705AF40" w14:textId="77777777" w:rsidR="00D1587D" w:rsidRDefault="00D1587D">
            <w:pPr>
              <w:rPr>
                <w:sz w:val="4"/>
                <w:szCs w:val="4"/>
              </w:rPr>
            </w:pPr>
          </w:p>
        </w:tc>
        <w:tc>
          <w:tcPr>
            <w:tcW w:w="6940" w:type="dxa"/>
            <w:tcBorders>
              <w:bottom w:val="single" w:sz="8" w:space="0" w:color="auto"/>
            </w:tcBorders>
            <w:vAlign w:val="bottom"/>
          </w:tcPr>
          <w:p w14:paraId="1020FDCC" w14:textId="77777777" w:rsidR="00D1587D" w:rsidRDefault="00D1587D">
            <w:pPr>
              <w:rPr>
                <w:sz w:val="4"/>
                <w:szCs w:val="4"/>
              </w:rPr>
            </w:pPr>
          </w:p>
        </w:tc>
      </w:tr>
      <w:tr w:rsidR="00D1587D" w14:paraId="1D873B7B" w14:textId="77777777">
        <w:trPr>
          <w:trHeight w:val="371"/>
        </w:trPr>
        <w:tc>
          <w:tcPr>
            <w:tcW w:w="1480" w:type="dxa"/>
            <w:gridSpan w:val="2"/>
            <w:vAlign w:val="bottom"/>
          </w:tcPr>
          <w:p w14:paraId="30D3FF1E" w14:textId="77777777" w:rsidR="00D1587D" w:rsidRDefault="00410D07">
            <w:pPr>
              <w:rPr>
                <w:sz w:val="20"/>
                <w:szCs w:val="20"/>
              </w:rPr>
            </w:pPr>
            <w:r>
              <w:rPr>
                <w:rFonts w:ascii="Arial" w:eastAsia="Arial" w:hAnsi="Arial" w:cs="Arial"/>
                <w:sz w:val="18"/>
                <w:szCs w:val="18"/>
              </w:rPr>
              <w:t>Martin Waters</w:t>
            </w:r>
            <w:r>
              <w:rPr>
                <w:rFonts w:ascii="Arial" w:eastAsia="Arial" w:hAnsi="Arial" w:cs="Arial"/>
                <w:sz w:val="29"/>
                <w:szCs w:val="29"/>
                <w:vertAlign w:val="superscript"/>
              </w:rPr>
              <w:t>(1)</w:t>
            </w:r>
          </w:p>
        </w:tc>
        <w:tc>
          <w:tcPr>
            <w:tcW w:w="6940" w:type="dxa"/>
            <w:vAlign w:val="bottom"/>
          </w:tcPr>
          <w:p w14:paraId="4FEEF704" w14:textId="77777777" w:rsidR="00D1587D" w:rsidRDefault="00410D07">
            <w:pPr>
              <w:rPr>
                <w:sz w:val="20"/>
                <w:szCs w:val="20"/>
              </w:rPr>
            </w:pPr>
            <w:r>
              <w:rPr>
                <w:rFonts w:ascii="Arial" w:eastAsia="Arial" w:hAnsi="Arial" w:cs="Arial"/>
                <w:sz w:val="18"/>
                <w:szCs w:val="18"/>
              </w:rPr>
              <w:t xml:space="preserve">Chief Executive Officer of VS and Chief Executive Officer, Victoria’s </w:t>
            </w:r>
            <w:r>
              <w:rPr>
                <w:rFonts w:ascii="Arial" w:eastAsia="Arial" w:hAnsi="Arial" w:cs="Arial"/>
                <w:sz w:val="18"/>
                <w:szCs w:val="18"/>
              </w:rPr>
              <w:t>Secret Lingerie</w:t>
            </w:r>
          </w:p>
        </w:tc>
      </w:tr>
      <w:tr w:rsidR="00D1587D" w14:paraId="7643DEC0" w14:textId="77777777">
        <w:trPr>
          <w:trHeight w:val="230"/>
        </w:trPr>
        <w:tc>
          <w:tcPr>
            <w:tcW w:w="1480" w:type="dxa"/>
            <w:gridSpan w:val="2"/>
            <w:vAlign w:val="bottom"/>
          </w:tcPr>
          <w:p w14:paraId="6801AE28" w14:textId="77777777" w:rsidR="00D1587D" w:rsidRDefault="00410D07">
            <w:pPr>
              <w:rPr>
                <w:sz w:val="20"/>
                <w:szCs w:val="20"/>
              </w:rPr>
            </w:pPr>
            <w:r>
              <w:rPr>
                <w:rFonts w:ascii="Arial" w:eastAsia="Arial" w:hAnsi="Arial" w:cs="Arial"/>
                <w:sz w:val="18"/>
                <w:szCs w:val="18"/>
              </w:rPr>
              <w:t>Amy Hauk</w:t>
            </w:r>
          </w:p>
        </w:tc>
        <w:tc>
          <w:tcPr>
            <w:tcW w:w="6940" w:type="dxa"/>
            <w:vAlign w:val="bottom"/>
          </w:tcPr>
          <w:p w14:paraId="23831185" w14:textId="77777777" w:rsidR="00D1587D" w:rsidRDefault="00410D07">
            <w:pPr>
              <w:rPr>
                <w:sz w:val="20"/>
                <w:szCs w:val="20"/>
              </w:rPr>
            </w:pPr>
            <w:r>
              <w:rPr>
                <w:rFonts w:ascii="Arial" w:eastAsia="Arial" w:hAnsi="Arial" w:cs="Arial"/>
                <w:sz w:val="18"/>
                <w:szCs w:val="18"/>
              </w:rPr>
              <w:t>Chief Executive Officer, PINK</w:t>
            </w:r>
          </w:p>
        </w:tc>
      </w:tr>
      <w:tr w:rsidR="00D1587D" w14:paraId="52E178A0" w14:textId="77777777">
        <w:trPr>
          <w:trHeight w:val="324"/>
        </w:trPr>
        <w:tc>
          <w:tcPr>
            <w:tcW w:w="1480" w:type="dxa"/>
            <w:gridSpan w:val="2"/>
            <w:vAlign w:val="bottom"/>
          </w:tcPr>
          <w:p w14:paraId="24C557E0" w14:textId="77777777" w:rsidR="00D1587D" w:rsidRDefault="00410D07">
            <w:pPr>
              <w:rPr>
                <w:sz w:val="20"/>
                <w:szCs w:val="20"/>
              </w:rPr>
            </w:pPr>
            <w:r>
              <w:rPr>
                <w:rFonts w:ascii="Arial" w:eastAsia="Arial" w:hAnsi="Arial" w:cs="Arial"/>
                <w:sz w:val="18"/>
                <w:szCs w:val="18"/>
              </w:rPr>
              <w:t>Gregory Unis</w:t>
            </w:r>
          </w:p>
        </w:tc>
        <w:tc>
          <w:tcPr>
            <w:tcW w:w="6940" w:type="dxa"/>
            <w:vAlign w:val="bottom"/>
          </w:tcPr>
          <w:p w14:paraId="41C8E40C" w14:textId="77777777" w:rsidR="00D1587D" w:rsidRDefault="00410D07">
            <w:pPr>
              <w:rPr>
                <w:sz w:val="20"/>
                <w:szCs w:val="20"/>
              </w:rPr>
            </w:pPr>
            <w:r>
              <w:rPr>
                <w:rFonts w:ascii="Arial" w:eastAsia="Arial" w:hAnsi="Arial" w:cs="Arial"/>
                <w:sz w:val="18"/>
                <w:szCs w:val="18"/>
              </w:rPr>
              <w:t>Chief Executive Officer, Victoria’s Secret Beauty</w:t>
            </w:r>
          </w:p>
        </w:tc>
      </w:tr>
      <w:tr w:rsidR="00D1587D" w14:paraId="72D2E256" w14:textId="77777777">
        <w:trPr>
          <w:trHeight w:val="300"/>
        </w:trPr>
        <w:tc>
          <w:tcPr>
            <w:tcW w:w="1480" w:type="dxa"/>
            <w:gridSpan w:val="2"/>
            <w:vAlign w:val="bottom"/>
          </w:tcPr>
          <w:p w14:paraId="2EDD6AEB" w14:textId="77777777" w:rsidR="00D1587D" w:rsidRDefault="00410D07">
            <w:pPr>
              <w:rPr>
                <w:sz w:val="20"/>
                <w:szCs w:val="20"/>
              </w:rPr>
            </w:pPr>
            <w:r>
              <w:rPr>
                <w:rFonts w:ascii="Arial" w:eastAsia="Arial" w:hAnsi="Arial" w:cs="Arial"/>
                <w:sz w:val="18"/>
                <w:szCs w:val="18"/>
              </w:rPr>
              <w:t>Stuart</w:t>
            </w:r>
          </w:p>
        </w:tc>
        <w:tc>
          <w:tcPr>
            <w:tcW w:w="6940" w:type="dxa"/>
            <w:vAlign w:val="bottom"/>
          </w:tcPr>
          <w:p w14:paraId="7F5B7636" w14:textId="77777777" w:rsidR="00D1587D" w:rsidRDefault="00D1587D">
            <w:pPr>
              <w:rPr>
                <w:sz w:val="24"/>
                <w:szCs w:val="24"/>
              </w:rPr>
            </w:pPr>
          </w:p>
        </w:tc>
      </w:tr>
      <w:tr w:rsidR="00D1587D" w14:paraId="6D35EDBE" w14:textId="77777777">
        <w:trPr>
          <w:trHeight w:val="324"/>
        </w:trPr>
        <w:tc>
          <w:tcPr>
            <w:tcW w:w="1480" w:type="dxa"/>
            <w:gridSpan w:val="2"/>
            <w:vAlign w:val="bottom"/>
          </w:tcPr>
          <w:p w14:paraId="1F41ECAA" w14:textId="77777777" w:rsidR="00D1587D" w:rsidRDefault="00410D07">
            <w:pPr>
              <w:spacing w:line="324" w:lineRule="exact"/>
              <w:rPr>
                <w:sz w:val="20"/>
                <w:szCs w:val="20"/>
              </w:rPr>
            </w:pPr>
            <w:r>
              <w:rPr>
                <w:rFonts w:ascii="Arial" w:eastAsia="Arial" w:hAnsi="Arial" w:cs="Arial"/>
                <w:sz w:val="18"/>
                <w:szCs w:val="18"/>
              </w:rPr>
              <w:t>Burgdoerfer</w:t>
            </w:r>
            <w:r>
              <w:rPr>
                <w:rFonts w:ascii="Arial" w:eastAsia="Arial" w:hAnsi="Arial" w:cs="Arial"/>
                <w:sz w:val="29"/>
                <w:szCs w:val="29"/>
                <w:vertAlign w:val="superscript"/>
              </w:rPr>
              <w:t>(1)</w:t>
            </w:r>
          </w:p>
        </w:tc>
        <w:tc>
          <w:tcPr>
            <w:tcW w:w="6940" w:type="dxa"/>
            <w:vAlign w:val="bottom"/>
          </w:tcPr>
          <w:p w14:paraId="3F20ED21" w14:textId="77777777" w:rsidR="00D1587D" w:rsidRDefault="00410D07">
            <w:pPr>
              <w:rPr>
                <w:sz w:val="20"/>
                <w:szCs w:val="20"/>
              </w:rPr>
            </w:pPr>
            <w:r>
              <w:rPr>
                <w:rFonts w:ascii="Arial" w:eastAsia="Arial" w:hAnsi="Arial" w:cs="Arial"/>
                <w:w w:val="94"/>
                <w:sz w:val="18"/>
                <w:szCs w:val="18"/>
              </w:rPr>
              <w:t>Former Interim Chief Executive Officer, Executive Vice President and Chief Financial Officer</w:t>
            </w:r>
          </w:p>
        </w:tc>
      </w:tr>
      <w:tr w:rsidR="00D1587D" w14:paraId="26387BBE" w14:textId="77777777">
        <w:trPr>
          <w:trHeight w:val="390"/>
        </w:trPr>
        <w:tc>
          <w:tcPr>
            <w:tcW w:w="1480" w:type="dxa"/>
            <w:gridSpan w:val="2"/>
            <w:vAlign w:val="bottom"/>
          </w:tcPr>
          <w:p w14:paraId="48EE7B4C" w14:textId="77777777" w:rsidR="00D1587D" w:rsidRDefault="00410D07">
            <w:pPr>
              <w:rPr>
                <w:sz w:val="20"/>
                <w:szCs w:val="20"/>
              </w:rPr>
            </w:pPr>
            <w:r>
              <w:rPr>
                <w:rFonts w:ascii="Arial" w:eastAsia="Arial" w:hAnsi="Arial" w:cs="Arial"/>
                <w:sz w:val="18"/>
                <w:szCs w:val="18"/>
              </w:rPr>
              <w:t>John Mehas</w:t>
            </w:r>
            <w:r>
              <w:rPr>
                <w:rFonts w:ascii="Arial" w:eastAsia="Arial" w:hAnsi="Arial" w:cs="Arial"/>
                <w:sz w:val="29"/>
                <w:szCs w:val="29"/>
                <w:vertAlign w:val="superscript"/>
              </w:rPr>
              <w:t>(2)</w:t>
            </w:r>
          </w:p>
        </w:tc>
        <w:tc>
          <w:tcPr>
            <w:tcW w:w="6940" w:type="dxa"/>
            <w:vAlign w:val="bottom"/>
          </w:tcPr>
          <w:p w14:paraId="7FFCF463" w14:textId="77777777" w:rsidR="00D1587D" w:rsidRDefault="00410D07">
            <w:pPr>
              <w:rPr>
                <w:sz w:val="20"/>
                <w:szCs w:val="20"/>
              </w:rPr>
            </w:pPr>
            <w:r>
              <w:rPr>
                <w:rFonts w:ascii="Arial" w:eastAsia="Arial" w:hAnsi="Arial" w:cs="Arial"/>
                <w:sz w:val="18"/>
                <w:szCs w:val="18"/>
              </w:rPr>
              <w:t>Former Chief Executive Officer, Victoria’s Secret Lingerie</w:t>
            </w:r>
          </w:p>
        </w:tc>
      </w:tr>
    </w:tbl>
    <w:p w14:paraId="5FEFF293" w14:textId="77777777" w:rsidR="00D1587D" w:rsidRDefault="00410D07">
      <w:pPr>
        <w:spacing w:line="20" w:lineRule="exact"/>
        <w:rPr>
          <w:sz w:val="20"/>
          <w:szCs w:val="20"/>
        </w:rPr>
      </w:pPr>
      <w:r>
        <w:rPr>
          <w:noProof/>
          <w:sz w:val="20"/>
          <w:szCs w:val="20"/>
        </w:rPr>
        <w:drawing>
          <wp:anchor distT="0" distB="0" distL="114300" distR="114300" simplePos="0" relativeHeight="251827200" behindDoc="1" locked="0" layoutInCell="0" allowOverlap="1" wp14:anchorId="5354B221" wp14:editId="7342735A">
            <wp:simplePos x="0" y="0"/>
            <wp:positionH relativeFrom="column">
              <wp:posOffset>820420</wp:posOffset>
            </wp:positionH>
            <wp:positionV relativeFrom="paragraph">
              <wp:posOffset>50800</wp:posOffset>
            </wp:positionV>
            <wp:extent cx="822960" cy="8255"/>
            <wp:effectExtent l="0" t="0" r="0" b="0"/>
            <wp:wrapNone/>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1339E758" w14:textId="77777777" w:rsidR="00D1587D" w:rsidRDefault="00D1587D">
      <w:pPr>
        <w:spacing w:line="108" w:lineRule="exact"/>
        <w:rPr>
          <w:sz w:val="20"/>
          <w:szCs w:val="20"/>
        </w:rPr>
      </w:pPr>
    </w:p>
    <w:p w14:paraId="2F6CCAB3" w14:textId="77777777" w:rsidR="00D1587D" w:rsidRDefault="00410D07" w:rsidP="00410D07">
      <w:pPr>
        <w:numPr>
          <w:ilvl w:val="0"/>
          <w:numId w:val="308"/>
        </w:numPr>
        <w:tabs>
          <w:tab w:val="left" w:pos="1640"/>
        </w:tabs>
        <w:ind w:left="1640" w:hanging="348"/>
        <w:rPr>
          <w:rFonts w:ascii="Arial" w:eastAsia="Arial" w:hAnsi="Arial" w:cs="Arial"/>
          <w:sz w:val="14"/>
          <w:szCs w:val="14"/>
        </w:rPr>
      </w:pPr>
      <w:r>
        <w:rPr>
          <w:rFonts w:ascii="Arial" w:eastAsia="Arial" w:hAnsi="Arial" w:cs="Arial"/>
          <w:sz w:val="14"/>
          <w:szCs w:val="14"/>
        </w:rPr>
        <w:t>During 2020, Stuart Burgdoerfer served as VS’s Interim Chief Executive Officer and Chief Financial Officer. On February 4, 2021,</w:t>
      </w:r>
    </w:p>
    <w:p w14:paraId="7BA9038D" w14:textId="77777777" w:rsidR="00D1587D" w:rsidRDefault="00410D07">
      <w:pPr>
        <w:spacing w:line="229" w:lineRule="auto"/>
        <w:ind w:left="1640" w:right="1340"/>
        <w:rPr>
          <w:rFonts w:ascii="Arial" w:eastAsia="Arial" w:hAnsi="Arial" w:cs="Arial"/>
          <w:sz w:val="14"/>
          <w:szCs w:val="14"/>
        </w:rPr>
      </w:pPr>
      <w:r>
        <w:rPr>
          <w:rFonts w:ascii="Arial" w:eastAsia="Arial" w:hAnsi="Arial" w:cs="Arial"/>
          <w:sz w:val="14"/>
          <w:szCs w:val="14"/>
        </w:rPr>
        <w:t xml:space="preserve">Mr. Burgdoerfer provided notice of his intention to retire </w:t>
      </w:r>
      <w:r>
        <w:rPr>
          <w:rFonts w:ascii="Arial" w:eastAsia="Arial" w:hAnsi="Arial" w:cs="Arial"/>
          <w:sz w:val="14"/>
          <w:szCs w:val="14"/>
        </w:rPr>
        <w:t>and ceased serving as Interim Chief Executive Officer and Chief Financial Officer of VS. Mr. Burgdoerfer will continue to serve as Chief Financial Officer of LB until his retirement in August 2021. In connection with Mr. Burgdoerfer’s planned retirement, M</w:t>
      </w:r>
      <w:r>
        <w:rPr>
          <w:rFonts w:ascii="Arial" w:eastAsia="Arial" w:hAnsi="Arial" w:cs="Arial"/>
          <w:sz w:val="14"/>
          <w:szCs w:val="14"/>
        </w:rPr>
        <w:t>artin Waters, VS’s then-current Chief Executive Officer, Victoria’s Secret Lingerie, was appointed to also serve as Chief Executive Officer of VS, effective February 4, 2021.</w:t>
      </w:r>
    </w:p>
    <w:p w14:paraId="1DFA1FDA" w14:textId="77777777" w:rsidR="00D1587D" w:rsidRDefault="00D1587D">
      <w:pPr>
        <w:spacing w:line="21" w:lineRule="exact"/>
        <w:rPr>
          <w:rFonts w:ascii="Arial" w:eastAsia="Arial" w:hAnsi="Arial" w:cs="Arial"/>
          <w:sz w:val="14"/>
          <w:szCs w:val="14"/>
        </w:rPr>
      </w:pPr>
    </w:p>
    <w:p w14:paraId="1FA4A9C4" w14:textId="77777777" w:rsidR="00D1587D" w:rsidRDefault="00410D07" w:rsidP="00410D07">
      <w:pPr>
        <w:numPr>
          <w:ilvl w:val="0"/>
          <w:numId w:val="308"/>
        </w:numPr>
        <w:tabs>
          <w:tab w:val="left" w:pos="1640"/>
        </w:tabs>
        <w:spacing w:line="253" w:lineRule="auto"/>
        <w:ind w:left="1640" w:right="1800" w:hanging="348"/>
        <w:rPr>
          <w:rFonts w:ascii="Arial" w:eastAsia="Arial" w:hAnsi="Arial" w:cs="Arial"/>
          <w:sz w:val="14"/>
          <w:szCs w:val="14"/>
        </w:rPr>
      </w:pPr>
      <w:r>
        <w:rPr>
          <w:rFonts w:ascii="Arial" w:eastAsia="Arial" w:hAnsi="Arial" w:cs="Arial"/>
          <w:sz w:val="14"/>
          <w:szCs w:val="14"/>
        </w:rPr>
        <w:t>John Mehas ceased serving as Chief Executive Officer, Victoria’s Secret Lingerie</w:t>
      </w:r>
      <w:r>
        <w:rPr>
          <w:rFonts w:ascii="Arial" w:eastAsia="Arial" w:hAnsi="Arial" w:cs="Arial"/>
          <w:sz w:val="14"/>
          <w:szCs w:val="14"/>
        </w:rPr>
        <w:t>, effective on November 25, 2020. Mr. Waters was appointed Chief Executive Officer, Victoria’s Secret Lingerie, effective as of such date.</w:t>
      </w:r>
    </w:p>
    <w:p w14:paraId="0B118731" w14:textId="77777777" w:rsidR="00D1587D" w:rsidRDefault="00D1587D">
      <w:pPr>
        <w:spacing w:line="70" w:lineRule="exact"/>
        <w:rPr>
          <w:sz w:val="20"/>
          <w:szCs w:val="20"/>
        </w:rPr>
      </w:pPr>
    </w:p>
    <w:p w14:paraId="3A7C251D" w14:textId="77777777" w:rsidR="00D1587D" w:rsidRDefault="00410D07">
      <w:pPr>
        <w:spacing w:line="270" w:lineRule="auto"/>
        <w:ind w:left="1300" w:right="1360" w:firstLine="360"/>
        <w:rPr>
          <w:sz w:val="20"/>
          <w:szCs w:val="20"/>
        </w:rPr>
      </w:pPr>
      <w:r>
        <w:rPr>
          <w:rFonts w:ascii="Arial" w:eastAsia="Arial" w:hAnsi="Arial" w:cs="Arial"/>
          <w:sz w:val="17"/>
          <w:szCs w:val="17"/>
        </w:rPr>
        <w:t>Each of VS’s NEOs were previously employees of LB prior to the Separation and, following the Separation, will contin</w:t>
      </w:r>
      <w:r>
        <w:rPr>
          <w:rFonts w:ascii="Arial" w:eastAsia="Arial" w:hAnsi="Arial" w:cs="Arial"/>
          <w:sz w:val="17"/>
          <w:szCs w:val="17"/>
        </w:rPr>
        <w:t>ue employment with VS (other than Mr. Burgdoerfer who will remain an employee of LB until his retirement in August 2021 and Mr. Mehas who ceased employment with VS effective November 2020). Thus, the historical compensation information provided in this CD&amp;</w:t>
      </w:r>
      <w:r>
        <w:rPr>
          <w:rFonts w:ascii="Arial" w:eastAsia="Arial" w:hAnsi="Arial" w:cs="Arial"/>
          <w:sz w:val="17"/>
          <w:szCs w:val="17"/>
        </w:rPr>
        <w:t>A reflects LB’s compensation policies applicable to our NEOs, and the determinations made primarily by the LB Human Capital &amp; Compensation Committee (the “LB HCC Committee”) and certain members of LB’s management team. This historical information is provid</w:t>
      </w:r>
      <w:r>
        <w:rPr>
          <w:rFonts w:ascii="Arial" w:eastAsia="Arial" w:hAnsi="Arial" w:cs="Arial"/>
          <w:sz w:val="17"/>
          <w:szCs w:val="17"/>
        </w:rPr>
        <w:t>ed to give context to our new pay practices at VS, which we anticipate will be based on LB’s historical pay practices. VS’s pay practices are being developed and revised to fit with the pay philosophy of VS, which we anticipate will be similar to LB’s phil</w:t>
      </w:r>
      <w:r>
        <w:rPr>
          <w:rFonts w:ascii="Arial" w:eastAsia="Arial" w:hAnsi="Arial" w:cs="Arial"/>
          <w:sz w:val="17"/>
          <w:szCs w:val="17"/>
        </w:rPr>
        <w:t>osophy.</w:t>
      </w:r>
    </w:p>
    <w:p w14:paraId="47A899DC" w14:textId="77777777" w:rsidR="00D1587D" w:rsidRDefault="00D1587D">
      <w:pPr>
        <w:spacing w:line="73" w:lineRule="exact"/>
        <w:rPr>
          <w:sz w:val="20"/>
          <w:szCs w:val="20"/>
        </w:rPr>
      </w:pPr>
    </w:p>
    <w:p w14:paraId="2A235BF9" w14:textId="77777777" w:rsidR="00D1587D" w:rsidRDefault="00410D07">
      <w:pPr>
        <w:spacing w:line="254" w:lineRule="auto"/>
        <w:ind w:left="1300" w:right="1440" w:firstLine="360"/>
        <w:rPr>
          <w:sz w:val="20"/>
          <w:szCs w:val="20"/>
        </w:rPr>
      </w:pPr>
      <w:r>
        <w:rPr>
          <w:rFonts w:ascii="Arial" w:eastAsia="Arial" w:hAnsi="Arial" w:cs="Arial"/>
          <w:sz w:val="18"/>
          <w:szCs w:val="18"/>
        </w:rPr>
        <w:t xml:space="preserve">As described above, upon completion of the Separation, VS’s Board of Directors will establish a Human Capital and Compensation Committee (the “VS HCC Committee”), which will review the impact of the Separation from LB and all aspects of our </w:t>
      </w:r>
      <w:r>
        <w:rPr>
          <w:rFonts w:ascii="Arial" w:eastAsia="Arial" w:hAnsi="Arial" w:cs="Arial"/>
          <w:sz w:val="18"/>
          <w:szCs w:val="18"/>
        </w:rPr>
        <w:t>executive compensation program and will make any adjustments that it believes are appropriate in structuring executive compensation arrangements for VS executives (including our NEOs) going forward. Accordingly, since our pay practices are still being deve</w:t>
      </w:r>
      <w:r>
        <w:rPr>
          <w:rFonts w:ascii="Arial" w:eastAsia="Arial" w:hAnsi="Arial" w:cs="Arial"/>
          <w:sz w:val="18"/>
          <w:szCs w:val="18"/>
        </w:rPr>
        <w:t>loped, the forms and amounts of compensation reported below are not necessarily indicative of the compensation our current NEOs will receive following the Separation.</w:t>
      </w:r>
    </w:p>
    <w:p w14:paraId="298C2B23" w14:textId="77777777" w:rsidR="00D1587D" w:rsidRDefault="00D1587D">
      <w:pPr>
        <w:spacing w:line="231" w:lineRule="exact"/>
        <w:rPr>
          <w:sz w:val="20"/>
          <w:szCs w:val="20"/>
        </w:rPr>
      </w:pPr>
    </w:p>
    <w:p w14:paraId="015FA2BA" w14:textId="77777777" w:rsidR="00D1587D" w:rsidRDefault="00410D07">
      <w:pPr>
        <w:ind w:left="1300"/>
        <w:rPr>
          <w:sz w:val="20"/>
          <w:szCs w:val="20"/>
        </w:rPr>
      </w:pPr>
      <w:r>
        <w:rPr>
          <w:rFonts w:ascii="Arial" w:eastAsia="Arial" w:hAnsi="Arial" w:cs="Arial"/>
          <w:b/>
          <w:bCs/>
          <w:sz w:val="18"/>
          <w:szCs w:val="18"/>
        </w:rPr>
        <w:t>Compensation Program</w:t>
      </w:r>
    </w:p>
    <w:p w14:paraId="4CF27836" w14:textId="77777777" w:rsidR="00D1587D" w:rsidRDefault="00D1587D">
      <w:pPr>
        <w:spacing w:line="135" w:lineRule="exact"/>
        <w:rPr>
          <w:sz w:val="20"/>
          <w:szCs w:val="20"/>
        </w:rPr>
      </w:pPr>
    </w:p>
    <w:p w14:paraId="0CFA83C4" w14:textId="77777777" w:rsidR="00D1587D" w:rsidRDefault="00410D07">
      <w:pPr>
        <w:ind w:left="1300"/>
        <w:rPr>
          <w:sz w:val="20"/>
          <w:szCs w:val="20"/>
        </w:rPr>
      </w:pPr>
      <w:r>
        <w:rPr>
          <w:rFonts w:ascii="Arial" w:eastAsia="Arial" w:hAnsi="Arial" w:cs="Arial"/>
          <w:b/>
          <w:bCs/>
          <w:i/>
          <w:iCs/>
          <w:sz w:val="18"/>
          <w:szCs w:val="18"/>
        </w:rPr>
        <w:t>Executive Compensation Philosophy and Guiding Principles</w:t>
      </w:r>
    </w:p>
    <w:p w14:paraId="019DB479" w14:textId="77777777" w:rsidR="00D1587D" w:rsidRDefault="00D1587D">
      <w:pPr>
        <w:spacing w:line="117" w:lineRule="exact"/>
        <w:rPr>
          <w:sz w:val="20"/>
          <w:szCs w:val="20"/>
        </w:rPr>
      </w:pPr>
    </w:p>
    <w:p w14:paraId="1A213743" w14:textId="77777777" w:rsidR="00D1587D" w:rsidRDefault="00410D07">
      <w:pPr>
        <w:spacing w:line="277" w:lineRule="auto"/>
        <w:ind w:left="1300" w:right="1520" w:firstLine="360"/>
        <w:rPr>
          <w:sz w:val="20"/>
          <w:szCs w:val="20"/>
        </w:rPr>
      </w:pPr>
      <w:r>
        <w:rPr>
          <w:rFonts w:ascii="Arial" w:eastAsia="Arial" w:hAnsi="Arial" w:cs="Arial"/>
          <w:sz w:val="18"/>
          <w:szCs w:val="18"/>
        </w:rPr>
        <w:t xml:space="preserve">The LB </w:t>
      </w:r>
      <w:r>
        <w:rPr>
          <w:rFonts w:ascii="Arial" w:eastAsia="Arial" w:hAnsi="Arial" w:cs="Arial"/>
          <w:sz w:val="18"/>
          <w:szCs w:val="18"/>
        </w:rPr>
        <w:t>HCC Committee oversees the LB executive compensation program based on the following clear and purposeful guiding principles:</w:t>
      </w:r>
    </w:p>
    <w:p w14:paraId="0751CCC0" w14:textId="77777777" w:rsidR="00D1587D" w:rsidRDefault="00D1587D">
      <w:pPr>
        <w:spacing w:line="13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00"/>
        <w:gridCol w:w="1740"/>
        <w:gridCol w:w="180"/>
        <w:gridCol w:w="220"/>
        <w:gridCol w:w="6280"/>
        <w:gridCol w:w="1300"/>
      </w:tblGrid>
      <w:tr w:rsidR="00D1587D" w14:paraId="6816B3DA" w14:textId="77777777">
        <w:trPr>
          <w:trHeight w:val="186"/>
        </w:trPr>
        <w:tc>
          <w:tcPr>
            <w:tcW w:w="1300" w:type="dxa"/>
            <w:vAlign w:val="bottom"/>
          </w:tcPr>
          <w:p w14:paraId="6828A4B2" w14:textId="77777777" w:rsidR="00D1587D" w:rsidRDefault="00D1587D">
            <w:pPr>
              <w:rPr>
                <w:sz w:val="16"/>
                <w:szCs w:val="16"/>
              </w:rPr>
            </w:pPr>
          </w:p>
        </w:tc>
        <w:tc>
          <w:tcPr>
            <w:tcW w:w="1740" w:type="dxa"/>
            <w:vAlign w:val="bottom"/>
          </w:tcPr>
          <w:p w14:paraId="7A433908" w14:textId="77777777" w:rsidR="00D1587D" w:rsidRDefault="00410D07">
            <w:pPr>
              <w:rPr>
                <w:sz w:val="20"/>
                <w:szCs w:val="20"/>
              </w:rPr>
            </w:pPr>
            <w:r>
              <w:rPr>
                <w:rFonts w:ascii="Arial" w:eastAsia="Arial" w:hAnsi="Arial" w:cs="Arial"/>
                <w:b/>
                <w:bCs/>
                <w:w w:val="96"/>
                <w:sz w:val="14"/>
                <w:szCs w:val="14"/>
              </w:rPr>
              <w:t>Compensation Component</w:t>
            </w:r>
          </w:p>
        </w:tc>
        <w:tc>
          <w:tcPr>
            <w:tcW w:w="180" w:type="dxa"/>
            <w:vAlign w:val="bottom"/>
          </w:tcPr>
          <w:p w14:paraId="7FEFF3DE" w14:textId="77777777" w:rsidR="00D1587D" w:rsidRDefault="00D1587D">
            <w:pPr>
              <w:rPr>
                <w:sz w:val="16"/>
                <w:szCs w:val="16"/>
              </w:rPr>
            </w:pPr>
          </w:p>
        </w:tc>
        <w:tc>
          <w:tcPr>
            <w:tcW w:w="220" w:type="dxa"/>
            <w:vAlign w:val="bottom"/>
          </w:tcPr>
          <w:p w14:paraId="336B978A" w14:textId="77777777" w:rsidR="00D1587D" w:rsidRDefault="00D1587D">
            <w:pPr>
              <w:rPr>
                <w:sz w:val="16"/>
                <w:szCs w:val="16"/>
              </w:rPr>
            </w:pPr>
          </w:p>
        </w:tc>
        <w:tc>
          <w:tcPr>
            <w:tcW w:w="7580" w:type="dxa"/>
            <w:gridSpan w:val="2"/>
            <w:vAlign w:val="bottom"/>
          </w:tcPr>
          <w:p w14:paraId="41A167C4" w14:textId="77777777" w:rsidR="00D1587D" w:rsidRDefault="00410D07">
            <w:pPr>
              <w:ind w:left="2560"/>
              <w:rPr>
                <w:sz w:val="20"/>
                <w:szCs w:val="20"/>
              </w:rPr>
            </w:pPr>
            <w:r>
              <w:rPr>
                <w:rFonts w:ascii="Arial" w:eastAsia="Arial" w:hAnsi="Arial" w:cs="Arial"/>
                <w:b/>
                <w:bCs/>
                <w:sz w:val="14"/>
                <w:szCs w:val="14"/>
              </w:rPr>
              <w:t>LB’s Principles</w:t>
            </w:r>
          </w:p>
        </w:tc>
      </w:tr>
      <w:tr w:rsidR="00D1587D" w14:paraId="636361DD" w14:textId="77777777">
        <w:trPr>
          <w:trHeight w:val="52"/>
        </w:trPr>
        <w:tc>
          <w:tcPr>
            <w:tcW w:w="1300" w:type="dxa"/>
            <w:vAlign w:val="bottom"/>
          </w:tcPr>
          <w:p w14:paraId="49FE9061" w14:textId="77777777" w:rsidR="00D1587D" w:rsidRDefault="00D1587D">
            <w:pPr>
              <w:rPr>
                <w:sz w:val="4"/>
                <w:szCs w:val="4"/>
              </w:rPr>
            </w:pPr>
          </w:p>
        </w:tc>
        <w:tc>
          <w:tcPr>
            <w:tcW w:w="1740" w:type="dxa"/>
            <w:tcBorders>
              <w:bottom w:val="single" w:sz="8" w:space="0" w:color="auto"/>
            </w:tcBorders>
            <w:vAlign w:val="bottom"/>
          </w:tcPr>
          <w:p w14:paraId="45F5BF71" w14:textId="77777777" w:rsidR="00D1587D" w:rsidRDefault="00D1587D">
            <w:pPr>
              <w:rPr>
                <w:sz w:val="4"/>
                <w:szCs w:val="4"/>
              </w:rPr>
            </w:pPr>
          </w:p>
        </w:tc>
        <w:tc>
          <w:tcPr>
            <w:tcW w:w="180" w:type="dxa"/>
            <w:vAlign w:val="bottom"/>
          </w:tcPr>
          <w:p w14:paraId="7FBE2298" w14:textId="77777777" w:rsidR="00D1587D" w:rsidRDefault="00D1587D">
            <w:pPr>
              <w:rPr>
                <w:sz w:val="4"/>
                <w:szCs w:val="4"/>
              </w:rPr>
            </w:pPr>
          </w:p>
        </w:tc>
        <w:tc>
          <w:tcPr>
            <w:tcW w:w="220" w:type="dxa"/>
            <w:tcBorders>
              <w:bottom w:val="single" w:sz="8" w:space="0" w:color="auto"/>
            </w:tcBorders>
            <w:vAlign w:val="bottom"/>
          </w:tcPr>
          <w:p w14:paraId="3C422B89" w14:textId="77777777" w:rsidR="00D1587D" w:rsidRDefault="00D1587D">
            <w:pPr>
              <w:rPr>
                <w:sz w:val="4"/>
                <w:szCs w:val="4"/>
              </w:rPr>
            </w:pPr>
          </w:p>
        </w:tc>
        <w:tc>
          <w:tcPr>
            <w:tcW w:w="6280" w:type="dxa"/>
            <w:tcBorders>
              <w:bottom w:val="single" w:sz="8" w:space="0" w:color="auto"/>
            </w:tcBorders>
            <w:vAlign w:val="bottom"/>
          </w:tcPr>
          <w:p w14:paraId="518D0C99" w14:textId="77777777" w:rsidR="00D1587D" w:rsidRDefault="00D1587D">
            <w:pPr>
              <w:rPr>
                <w:sz w:val="4"/>
                <w:szCs w:val="4"/>
              </w:rPr>
            </w:pPr>
          </w:p>
        </w:tc>
        <w:tc>
          <w:tcPr>
            <w:tcW w:w="1300" w:type="dxa"/>
            <w:vAlign w:val="bottom"/>
          </w:tcPr>
          <w:p w14:paraId="2B291DA7" w14:textId="77777777" w:rsidR="00D1587D" w:rsidRDefault="00D1587D">
            <w:pPr>
              <w:rPr>
                <w:sz w:val="4"/>
                <w:szCs w:val="4"/>
              </w:rPr>
            </w:pPr>
          </w:p>
        </w:tc>
      </w:tr>
      <w:tr w:rsidR="00D1587D" w14:paraId="2FC3DBCB" w14:textId="77777777">
        <w:trPr>
          <w:trHeight w:val="277"/>
        </w:trPr>
        <w:tc>
          <w:tcPr>
            <w:tcW w:w="1300" w:type="dxa"/>
            <w:vAlign w:val="bottom"/>
          </w:tcPr>
          <w:p w14:paraId="76AE3F16" w14:textId="77777777" w:rsidR="00D1587D" w:rsidRDefault="00D1587D">
            <w:pPr>
              <w:rPr>
                <w:sz w:val="24"/>
                <w:szCs w:val="24"/>
              </w:rPr>
            </w:pPr>
          </w:p>
        </w:tc>
        <w:tc>
          <w:tcPr>
            <w:tcW w:w="1740" w:type="dxa"/>
            <w:vAlign w:val="bottom"/>
          </w:tcPr>
          <w:p w14:paraId="15B72D19" w14:textId="77777777" w:rsidR="00D1587D" w:rsidRDefault="00410D07">
            <w:pPr>
              <w:rPr>
                <w:sz w:val="20"/>
                <w:szCs w:val="20"/>
              </w:rPr>
            </w:pPr>
            <w:r>
              <w:rPr>
                <w:rFonts w:ascii="Arial" w:eastAsia="Arial" w:hAnsi="Arial" w:cs="Arial"/>
                <w:sz w:val="18"/>
                <w:szCs w:val="18"/>
              </w:rPr>
              <w:t>Pay Level</w:t>
            </w:r>
          </w:p>
        </w:tc>
        <w:tc>
          <w:tcPr>
            <w:tcW w:w="400" w:type="dxa"/>
            <w:gridSpan w:val="2"/>
            <w:vAlign w:val="bottom"/>
          </w:tcPr>
          <w:p w14:paraId="2F49E689" w14:textId="77777777" w:rsidR="00D1587D" w:rsidRDefault="00410D07">
            <w:pPr>
              <w:ind w:left="180"/>
              <w:rPr>
                <w:sz w:val="20"/>
                <w:szCs w:val="20"/>
              </w:rPr>
            </w:pPr>
            <w:r>
              <w:rPr>
                <w:rFonts w:ascii="Arial" w:eastAsia="Arial" w:hAnsi="Arial" w:cs="Arial"/>
                <w:sz w:val="18"/>
                <w:szCs w:val="18"/>
              </w:rPr>
              <w:t>•</w:t>
            </w:r>
          </w:p>
        </w:tc>
        <w:tc>
          <w:tcPr>
            <w:tcW w:w="7580" w:type="dxa"/>
            <w:gridSpan w:val="2"/>
            <w:vAlign w:val="bottom"/>
          </w:tcPr>
          <w:p w14:paraId="411DD010" w14:textId="77777777" w:rsidR="00D1587D" w:rsidRDefault="00410D07">
            <w:pPr>
              <w:ind w:left="180"/>
              <w:rPr>
                <w:sz w:val="20"/>
                <w:szCs w:val="20"/>
              </w:rPr>
            </w:pPr>
            <w:r>
              <w:rPr>
                <w:rFonts w:ascii="Arial" w:eastAsia="Arial" w:hAnsi="Arial" w:cs="Arial"/>
                <w:sz w:val="18"/>
                <w:szCs w:val="18"/>
              </w:rPr>
              <w:t xml:space="preserve">Attract and retain superior leaders in a highly </w:t>
            </w:r>
            <w:r>
              <w:rPr>
                <w:rFonts w:ascii="Arial" w:eastAsia="Arial" w:hAnsi="Arial" w:cs="Arial"/>
                <w:sz w:val="18"/>
                <w:szCs w:val="18"/>
              </w:rPr>
              <w:t>competitive market for talent.</w:t>
            </w:r>
          </w:p>
        </w:tc>
      </w:tr>
      <w:tr w:rsidR="00D1587D" w14:paraId="3D5A2D74" w14:textId="77777777">
        <w:trPr>
          <w:trHeight w:val="324"/>
        </w:trPr>
        <w:tc>
          <w:tcPr>
            <w:tcW w:w="1300" w:type="dxa"/>
            <w:vAlign w:val="bottom"/>
          </w:tcPr>
          <w:p w14:paraId="07D3B665" w14:textId="77777777" w:rsidR="00D1587D" w:rsidRDefault="00D1587D">
            <w:pPr>
              <w:rPr>
                <w:sz w:val="24"/>
                <w:szCs w:val="24"/>
              </w:rPr>
            </w:pPr>
          </w:p>
        </w:tc>
        <w:tc>
          <w:tcPr>
            <w:tcW w:w="1740" w:type="dxa"/>
            <w:vAlign w:val="bottom"/>
          </w:tcPr>
          <w:p w14:paraId="6008E448" w14:textId="77777777" w:rsidR="00D1587D" w:rsidRDefault="00D1587D">
            <w:pPr>
              <w:rPr>
                <w:sz w:val="24"/>
                <w:szCs w:val="24"/>
              </w:rPr>
            </w:pPr>
          </w:p>
        </w:tc>
        <w:tc>
          <w:tcPr>
            <w:tcW w:w="400" w:type="dxa"/>
            <w:gridSpan w:val="2"/>
            <w:vAlign w:val="bottom"/>
          </w:tcPr>
          <w:p w14:paraId="502A82B6" w14:textId="77777777" w:rsidR="00D1587D" w:rsidRDefault="00410D07">
            <w:pPr>
              <w:ind w:left="180"/>
              <w:rPr>
                <w:sz w:val="20"/>
                <w:szCs w:val="20"/>
              </w:rPr>
            </w:pPr>
            <w:r>
              <w:rPr>
                <w:rFonts w:ascii="Arial" w:eastAsia="Arial" w:hAnsi="Arial" w:cs="Arial"/>
                <w:sz w:val="18"/>
                <w:szCs w:val="18"/>
              </w:rPr>
              <w:t>•</w:t>
            </w:r>
          </w:p>
        </w:tc>
        <w:tc>
          <w:tcPr>
            <w:tcW w:w="7580" w:type="dxa"/>
            <w:gridSpan w:val="2"/>
            <w:vAlign w:val="bottom"/>
          </w:tcPr>
          <w:p w14:paraId="09E550D2" w14:textId="77777777" w:rsidR="00D1587D" w:rsidRDefault="00410D07">
            <w:pPr>
              <w:ind w:left="180"/>
              <w:rPr>
                <w:sz w:val="20"/>
                <w:szCs w:val="20"/>
              </w:rPr>
            </w:pPr>
            <w:r>
              <w:rPr>
                <w:rFonts w:ascii="Arial" w:eastAsia="Arial" w:hAnsi="Arial" w:cs="Arial"/>
                <w:sz w:val="18"/>
                <w:szCs w:val="18"/>
              </w:rPr>
              <w:t>Pay competitively and equitably.</w:t>
            </w:r>
          </w:p>
        </w:tc>
      </w:tr>
      <w:tr w:rsidR="00D1587D" w14:paraId="4CB54E54" w14:textId="77777777">
        <w:trPr>
          <w:trHeight w:val="324"/>
        </w:trPr>
        <w:tc>
          <w:tcPr>
            <w:tcW w:w="1300" w:type="dxa"/>
            <w:vAlign w:val="bottom"/>
          </w:tcPr>
          <w:p w14:paraId="478E9893" w14:textId="77777777" w:rsidR="00D1587D" w:rsidRDefault="00D1587D">
            <w:pPr>
              <w:rPr>
                <w:sz w:val="24"/>
                <w:szCs w:val="24"/>
              </w:rPr>
            </w:pPr>
          </w:p>
        </w:tc>
        <w:tc>
          <w:tcPr>
            <w:tcW w:w="1740" w:type="dxa"/>
            <w:vAlign w:val="bottom"/>
          </w:tcPr>
          <w:p w14:paraId="44802CA6" w14:textId="77777777" w:rsidR="00D1587D" w:rsidRDefault="00D1587D">
            <w:pPr>
              <w:rPr>
                <w:sz w:val="24"/>
                <w:szCs w:val="24"/>
              </w:rPr>
            </w:pPr>
          </w:p>
        </w:tc>
        <w:tc>
          <w:tcPr>
            <w:tcW w:w="400" w:type="dxa"/>
            <w:gridSpan w:val="2"/>
            <w:vAlign w:val="bottom"/>
          </w:tcPr>
          <w:p w14:paraId="043DAFB4" w14:textId="77777777" w:rsidR="00D1587D" w:rsidRDefault="00410D07">
            <w:pPr>
              <w:ind w:left="180"/>
              <w:rPr>
                <w:sz w:val="20"/>
                <w:szCs w:val="20"/>
              </w:rPr>
            </w:pPr>
            <w:r>
              <w:rPr>
                <w:rFonts w:ascii="Arial" w:eastAsia="Arial" w:hAnsi="Arial" w:cs="Arial"/>
                <w:sz w:val="18"/>
                <w:szCs w:val="18"/>
              </w:rPr>
              <w:t>•</w:t>
            </w:r>
          </w:p>
        </w:tc>
        <w:tc>
          <w:tcPr>
            <w:tcW w:w="7580" w:type="dxa"/>
            <w:gridSpan w:val="2"/>
            <w:vAlign w:val="bottom"/>
          </w:tcPr>
          <w:p w14:paraId="4D8A463C" w14:textId="77777777" w:rsidR="00D1587D" w:rsidRDefault="00410D07">
            <w:pPr>
              <w:ind w:left="180"/>
              <w:rPr>
                <w:sz w:val="20"/>
                <w:szCs w:val="20"/>
              </w:rPr>
            </w:pPr>
            <w:r>
              <w:rPr>
                <w:rFonts w:ascii="Arial" w:eastAsia="Arial" w:hAnsi="Arial" w:cs="Arial"/>
                <w:sz w:val="18"/>
                <w:szCs w:val="18"/>
              </w:rPr>
              <w:t>Recognize depth and scope of accountability and complexity of responsibility.</w:t>
            </w:r>
          </w:p>
        </w:tc>
      </w:tr>
      <w:tr w:rsidR="00D1587D" w14:paraId="06717FC5" w14:textId="77777777">
        <w:trPr>
          <w:trHeight w:val="310"/>
        </w:trPr>
        <w:tc>
          <w:tcPr>
            <w:tcW w:w="1300" w:type="dxa"/>
            <w:vAlign w:val="bottom"/>
          </w:tcPr>
          <w:p w14:paraId="628AC0E2" w14:textId="77777777" w:rsidR="00D1587D" w:rsidRDefault="00D1587D">
            <w:pPr>
              <w:rPr>
                <w:sz w:val="24"/>
                <w:szCs w:val="24"/>
              </w:rPr>
            </w:pPr>
          </w:p>
        </w:tc>
        <w:tc>
          <w:tcPr>
            <w:tcW w:w="1740" w:type="dxa"/>
            <w:vAlign w:val="bottom"/>
          </w:tcPr>
          <w:p w14:paraId="00168C2D" w14:textId="77777777" w:rsidR="00D1587D" w:rsidRDefault="00410D07">
            <w:pPr>
              <w:rPr>
                <w:sz w:val="20"/>
                <w:szCs w:val="20"/>
              </w:rPr>
            </w:pPr>
            <w:r>
              <w:rPr>
                <w:rFonts w:ascii="Arial" w:eastAsia="Arial" w:hAnsi="Arial" w:cs="Arial"/>
                <w:sz w:val="18"/>
                <w:szCs w:val="18"/>
              </w:rPr>
              <w:t>Pay Mix</w:t>
            </w:r>
          </w:p>
        </w:tc>
        <w:tc>
          <w:tcPr>
            <w:tcW w:w="400" w:type="dxa"/>
            <w:gridSpan w:val="2"/>
            <w:vAlign w:val="bottom"/>
          </w:tcPr>
          <w:p w14:paraId="7C0C474D" w14:textId="77777777" w:rsidR="00D1587D" w:rsidRDefault="00410D07">
            <w:pPr>
              <w:ind w:left="180"/>
              <w:rPr>
                <w:sz w:val="20"/>
                <w:szCs w:val="20"/>
              </w:rPr>
            </w:pPr>
            <w:r>
              <w:rPr>
                <w:rFonts w:ascii="Arial" w:eastAsia="Arial" w:hAnsi="Arial" w:cs="Arial"/>
                <w:sz w:val="18"/>
                <w:szCs w:val="18"/>
              </w:rPr>
              <w:t>•</w:t>
            </w:r>
          </w:p>
        </w:tc>
        <w:tc>
          <w:tcPr>
            <w:tcW w:w="7580" w:type="dxa"/>
            <w:gridSpan w:val="2"/>
            <w:vAlign w:val="bottom"/>
          </w:tcPr>
          <w:p w14:paraId="7E185493" w14:textId="77777777" w:rsidR="00D1587D" w:rsidRDefault="00410D07">
            <w:pPr>
              <w:ind w:left="180"/>
              <w:rPr>
                <w:sz w:val="20"/>
                <w:szCs w:val="20"/>
              </w:rPr>
            </w:pPr>
            <w:r>
              <w:rPr>
                <w:rFonts w:ascii="Arial" w:eastAsia="Arial" w:hAnsi="Arial" w:cs="Arial"/>
                <w:sz w:val="18"/>
                <w:szCs w:val="18"/>
              </w:rPr>
              <w:t>Emphasize performance-contingent, long-term equity-based compensation over</w:t>
            </w:r>
          </w:p>
        </w:tc>
      </w:tr>
      <w:tr w:rsidR="00D1587D" w14:paraId="6B7644E2" w14:textId="77777777">
        <w:trPr>
          <w:trHeight w:val="230"/>
        </w:trPr>
        <w:tc>
          <w:tcPr>
            <w:tcW w:w="1300" w:type="dxa"/>
            <w:vAlign w:val="bottom"/>
          </w:tcPr>
          <w:p w14:paraId="4B3F5F7D" w14:textId="77777777" w:rsidR="00D1587D" w:rsidRDefault="00D1587D">
            <w:pPr>
              <w:rPr>
                <w:sz w:val="20"/>
                <w:szCs w:val="20"/>
              </w:rPr>
            </w:pPr>
          </w:p>
        </w:tc>
        <w:tc>
          <w:tcPr>
            <w:tcW w:w="1740" w:type="dxa"/>
            <w:vAlign w:val="bottom"/>
          </w:tcPr>
          <w:p w14:paraId="593F1DB8" w14:textId="77777777" w:rsidR="00D1587D" w:rsidRDefault="00D1587D">
            <w:pPr>
              <w:rPr>
                <w:sz w:val="20"/>
                <w:szCs w:val="20"/>
              </w:rPr>
            </w:pPr>
          </w:p>
        </w:tc>
        <w:tc>
          <w:tcPr>
            <w:tcW w:w="180" w:type="dxa"/>
            <w:vAlign w:val="bottom"/>
          </w:tcPr>
          <w:p w14:paraId="6563F77B" w14:textId="77777777" w:rsidR="00D1587D" w:rsidRDefault="00D1587D">
            <w:pPr>
              <w:rPr>
                <w:sz w:val="20"/>
                <w:szCs w:val="20"/>
              </w:rPr>
            </w:pPr>
          </w:p>
        </w:tc>
        <w:tc>
          <w:tcPr>
            <w:tcW w:w="220" w:type="dxa"/>
            <w:vAlign w:val="bottom"/>
          </w:tcPr>
          <w:p w14:paraId="471A0924" w14:textId="77777777" w:rsidR="00D1587D" w:rsidRDefault="00D1587D">
            <w:pPr>
              <w:rPr>
                <w:sz w:val="20"/>
                <w:szCs w:val="20"/>
              </w:rPr>
            </w:pPr>
          </w:p>
        </w:tc>
        <w:tc>
          <w:tcPr>
            <w:tcW w:w="7580" w:type="dxa"/>
            <w:gridSpan w:val="2"/>
            <w:vAlign w:val="bottom"/>
          </w:tcPr>
          <w:p w14:paraId="4CDD93A7" w14:textId="77777777" w:rsidR="00D1587D" w:rsidRDefault="00410D07">
            <w:pPr>
              <w:ind w:left="180"/>
              <w:rPr>
                <w:sz w:val="20"/>
                <w:szCs w:val="20"/>
              </w:rPr>
            </w:pPr>
            <w:r>
              <w:rPr>
                <w:rFonts w:ascii="Arial" w:eastAsia="Arial" w:hAnsi="Arial" w:cs="Arial"/>
                <w:sz w:val="18"/>
                <w:szCs w:val="18"/>
              </w:rPr>
              <w:t xml:space="preserve">fixed </w:t>
            </w:r>
            <w:r>
              <w:rPr>
                <w:rFonts w:ascii="Arial" w:eastAsia="Arial" w:hAnsi="Arial" w:cs="Arial"/>
                <w:sz w:val="18"/>
                <w:szCs w:val="18"/>
              </w:rPr>
              <w:t>compensation.</w:t>
            </w:r>
          </w:p>
        </w:tc>
      </w:tr>
      <w:tr w:rsidR="00D1587D" w14:paraId="313D318F" w14:textId="77777777">
        <w:trPr>
          <w:trHeight w:val="486"/>
        </w:trPr>
        <w:tc>
          <w:tcPr>
            <w:tcW w:w="1300" w:type="dxa"/>
            <w:vAlign w:val="bottom"/>
          </w:tcPr>
          <w:p w14:paraId="333D7C6D" w14:textId="77777777" w:rsidR="00D1587D" w:rsidRDefault="00D1587D">
            <w:pPr>
              <w:rPr>
                <w:sz w:val="24"/>
                <w:szCs w:val="24"/>
              </w:rPr>
            </w:pPr>
          </w:p>
        </w:tc>
        <w:tc>
          <w:tcPr>
            <w:tcW w:w="1740" w:type="dxa"/>
            <w:vAlign w:val="bottom"/>
          </w:tcPr>
          <w:p w14:paraId="58DB31D8" w14:textId="77777777" w:rsidR="00D1587D" w:rsidRDefault="00D1587D">
            <w:pPr>
              <w:rPr>
                <w:sz w:val="24"/>
                <w:szCs w:val="24"/>
              </w:rPr>
            </w:pPr>
          </w:p>
        </w:tc>
        <w:tc>
          <w:tcPr>
            <w:tcW w:w="180" w:type="dxa"/>
            <w:vAlign w:val="bottom"/>
          </w:tcPr>
          <w:p w14:paraId="6C1419E9" w14:textId="77777777" w:rsidR="00D1587D" w:rsidRDefault="00D1587D">
            <w:pPr>
              <w:rPr>
                <w:sz w:val="24"/>
                <w:szCs w:val="24"/>
              </w:rPr>
            </w:pPr>
          </w:p>
        </w:tc>
        <w:tc>
          <w:tcPr>
            <w:tcW w:w="220" w:type="dxa"/>
            <w:vAlign w:val="bottom"/>
          </w:tcPr>
          <w:p w14:paraId="5A32F5CE" w14:textId="77777777" w:rsidR="00D1587D" w:rsidRDefault="00D1587D">
            <w:pPr>
              <w:rPr>
                <w:sz w:val="24"/>
                <w:szCs w:val="24"/>
              </w:rPr>
            </w:pPr>
          </w:p>
        </w:tc>
        <w:tc>
          <w:tcPr>
            <w:tcW w:w="6280" w:type="dxa"/>
            <w:vAlign w:val="bottom"/>
          </w:tcPr>
          <w:p w14:paraId="700CCAE8" w14:textId="77777777" w:rsidR="00D1587D" w:rsidRDefault="00410D07">
            <w:pPr>
              <w:ind w:left="1920"/>
              <w:rPr>
                <w:sz w:val="20"/>
                <w:szCs w:val="20"/>
              </w:rPr>
            </w:pPr>
            <w:r>
              <w:rPr>
                <w:rFonts w:ascii="Arial" w:eastAsia="Arial" w:hAnsi="Arial" w:cs="Arial"/>
                <w:sz w:val="18"/>
                <w:szCs w:val="18"/>
              </w:rPr>
              <w:t>107</w:t>
            </w:r>
          </w:p>
        </w:tc>
        <w:tc>
          <w:tcPr>
            <w:tcW w:w="1300" w:type="dxa"/>
            <w:vAlign w:val="bottom"/>
          </w:tcPr>
          <w:p w14:paraId="35D115C7" w14:textId="77777777" w:rsidR="00D1587D" w:rsidRDefault="00D1587D">
            <w:pPr>
              <w:rPr>
                <w:sz w:val="24"/>
                <w:szCs w:val="24"/>
              </w:rPr>
            </w:pPr>
          </w:p>
        </w:tc>
      </w:tr>
      <w:tr w:rsidR="00D1587D" w14:paraId="6B3C6B91" w14:textId="77777777">
        <w:trPr>
          <w:trHeight w:val="183"/>
        </w:trPr>
        <w:tc>
          <w:tcPr>
            <w:tcW w:w="1300" w:type="dxa"/>
            <w:tcBorders>
              <w:bottom w:val="single" w:sz="8" w:space="0" w:color="auto"/>
            </w:tcBorders>
            <w:vAlign w:val="bottom"/>
          </w:tcPr>
          <w:p w14:paraId="13A3129E" w14:textId="77777777" w:rsidR="00D1587D" w:rsidRDefault="00D1587D">
            <w:pPr>
              <w:rPr>
                <w:sz w:val="15"/>
                <w:szCs w:val="15"/>
              </w:rPr>
            </w:pPr>
          </w:p>
        </w:tc>
        <w:tc>
          <w:tcPr>
            <w:tcW w:w="1740" w:type="dxa"/>
            <w:tcBorders>
              <w:bottom w:val="single" w:sz="8" w:space="0" w:color="auto"/>
            </w:tcBorders>
            <w:vAlign w:val="bottom"/>
          </w:tcPr>
          <w:p w14:paraId="720DFECD" w14:textId="77777777" w:rsidR="00D1587D" w:rsidRDefault="00D1587D">
            <w:pPr>
              <w:rPr>
                <w:sz w:val="15"/>
                <w:szCs w:val="15"/>
              </w:rPr>
            </w:pPr>
          </w:p>
        </w:tc>
        <w:tc>
          <w:tcPr>
            <w:tcW w:w="180" w:type="dxa"/>
            <w:tcBorders>
              <w:bottom w:val="single" w:sz="8" w:space="0" w:color="auto"/>
            </w:tcBorders>
            <w:vAlign w:val="bottom"/>
          </w:tcPr>
          <w:p w14:paraId="1DF502A6" w14:textId="77777777" w:rsidR="00D1587D" w:rsidRDefault="00D1587D">
            <w:pPr>
              <w:rPr>
                <w:sz w:val="15"/>
                <w:szCs w:val="15"/>
              </w:rPr>
            </w:pPr>
          </w:p>
        </w:tc>
        <w:tc>
          <w:tcPr>
            <w:tcW w:w="220" w:type="dxa"/>
            <w:tcBorders>
              <w:bottom w:val="single" w:sz="8" w:space="0" w:color="auto"/>
            </w:tcBorders>
            <w:vAlign w:val="bottom"/>
          </w:tcPr>
          <w:p w14:paraId="5B735DAA" w14:textId="77777777" w:rsidR="00D1587D" w:rsidRDefault="00D1587D">
            <w:pPr>
              <w:rPr>
                <w:sz w:val="15"/>
                <w:szCs w:val="15"/>
              </w:rPr>
            </w:pPr>
          </w:p>
        </w:tc>
        <w:tc>
          <w:tcPr>
            <w:tcW w:w="6280" w:type="dxa"/>
            <w:tcBorders>
              <w:bottom w:val="single" w:sz="8" w:space="0" w:color="auto"/>
            </w:tcBorders>
            <w:vAlign w:val="bottom"/>
          </w:tcPr>
          <w:p w14:paraId="73DD27E8" w14:textId="77777777" w:rsidR="00D1587D" w:rsidRDefault="00D1587D">
            <w:pPr>
              <w:rPr>
                <w:sz w:val="15"/>
                <w:szCs w:val="15"/>
              </w:rPr>
            </w:pPr>
          </w:p>
        </w:tc>
        <w:tc>
          <w:tcPr>
            <w:tcW w:w="1300" w:type="dxa"/>
            <w:tcBorders>
              <w:bottom w:val="single" w:sz="8" w:space="0" w:color="auto"/>
            </w:tcBorders>
            <w:vAlign w:val="bottom"/>
          </w:tcPr>
          <w:p w14:paraId="0650F7BB" w14:textId="77777777" w:rsidR="00D1587D" w:rsidRDefault="00D1587D">
            <w:pPr>
              <w:rPr>
                <w:sz w:val="15"/>
                <w:szCs w:val="15"/>
              </w:rPr>
            </w:pPr>
          </w:p>
        </w:tc>
      </w:tr>
    </w:tbl>
    <w:p w14:paraId="07F78115" w14:textId="77777777" w:rsidR="00D1587D" w:rsidRDefault="00D1587D">
      <w:pPr>
        <w:sectPr w:rsidR="00D1587D">
          <w:pgSz w:w="11900" w:h="16838"/>
          <w:pgMar w:top="265" w:right="439" w:bottom="1440" w:left="440" w:header="0" w:footer="0" w:gutter="0"/>
          <w:cols w:space="720" w:equalWidth="0">
            <w:col w:w="11020"/>
          </w:cols>
        </w:sectPr>
      </w:pPr>
    </w:p>
    <w:p w14:paraId="3D1FA938" w14:textId="77777777" w:rsidR="00D1587D" w:rsidRDefault="00D1587D">
      <w:pPr>
        <w:spacing w:line="1" w:lineRule="exact"/>
        <w:rPr>
          <w:sz w:val="20"/>
          <w:szCs w:val="20"/>
        </w:rPr>
      </w:pPr>
      <w:bookmarkStart w:id="365" w:name="page366"/>
      <w:bookmarkEnd w:id="365"/>
    </w:p>
    <w:tbl>
      <w:tblPr>
        <w:tblW w:w="0" w:type="auto"/>
        <w:tblInd w:w="300" w:type="dxa"/>
        <w:tblLayout w:type="fixed"/>
        <w:tblCellMar>
          <w:left w:w="0" w:type="dxa"/>
          <w:right w:w="0" w:type="dxa"/>
        </w:tblCellMar>
        <w:tblLook w:val="04A0" w:firstRow="1" w:lastRow="0" w:firstColumn="1" w:lastColumn="0" w:noHBand="0" w:noVBand="1"/>
      </w:tblPr>
      <w:tblGrid>
        <w:gridCol w:w="1540"/>
        <w:gridCol w:w="200"/>
        <w:gridCol w:w="180"/>
        <w:gridCol w:w="220"/>
        <w:gridCol w:w="6280"/>
      </w:tblGrid>
      <w:tr w:rsidR="00D1587D" w14:paraId="06A4814E" w14:textId="77777777">
        <w:trPr>
          <w:trHeight w:val="161"/>
        </w:trPr>
        <w:tc>
          <w:tcPr>
            <w:tcW w:w="1540" w:type="dxa"/>
            <w:tcBorders>
              <w:bottom w:val="single" w:sz="8" w:space="0" w:color="0000EE"/>
            </w:tcBorders>
            <w:vAlign w:val="bottom"/>
          </w:tcPr>
          <w:p w14:paraId="02AB91BB" w14:textId="77777777" w:rsidR="00D1587D" w:rsidRDefault="00410D07">
            <w:pPr>
              <w:rPr>
                <w:rFonts w:ascii="Arial" w:eastAsia="Arial" w:hAnsi="Arial" w:cs="Arial"/>
                <w:b/>
                <w:bCs/>
                <w:color w:val="0000EE"/>
                <w:sz w:val="14"/>
                <w:szCs w:val="14"/>
              </w:rPr>
            </w:pPr>
            <w:hyperlink w:anchor="page256">
              <w:r>
                <w:rPr>
                  <w:rFonts w:ascii="Arial" w:eastAsia="Arial" w:hAnsi="Arial" w:cs="Arial"/>
                  <w:b/>
                  <w:bCs/>
                  <w:color w:val="0000EE"/>
                  <w:sz w:val="14"/>
                  <w:szCs w:val="14"/>
                </w:rPr>
                <w:t>TABLE OF CONTENTS</w:t>
              </w:r>
            </w:hyperlink>
          </w:p>
        </w:tc>
        <w:tc>
          <w:tcPr>
            <w:tcW w:w="200" w:type="dxa"/>
            <w:vAlign w:val="bottom"/>
          </w:tcPr>
          <w:p w14:paraId="0B0251E2" w14:textId="77777777" w:rsidR="00D1587D" w:rsidRDefault="00D1587D">
            <w:pPr>
              <w:rPr>
                <w:sz w:val="14"/>
                <w:szCs w:val="14"/>
              </w:rPr>
            </w:pPr>
          </w:p>
        </w:tc>
        <w:tc>
          <w:tcPr>
            <w:tcW w:w="180" w:type="dxa"/>
            <w:vAlign w:val="bottom"/>
          </w:tcPr>
          <w:p w14:paraId="730BFF40" w14:textId="77777777" w:rsidR="00D1587D" w:rsidRDefault="00D1587D">
            <w:pPr>
              <w:rPr>
                <w:sz w:val="14"/>
                <w:szCs w:val="14"/>
              </w:rPr>
            </w:pPr>
          </w:p>
        </w:tc>
        <w:tc>
          <w:tcPr>
            <w:tcW w:w="220" w:type="dxa"/>
            <w:vAlign w:val="bottom"/>
          </w:tcPr>
          <w:p w14:paraId="2E4C3B45" w14:textId="77777777" w:rsidR="00D1587D" w:rsidRDefault="00D1587D">
            <w:pPr>
              <w:rPr>
                <w:sz w:val="14"/>
                <w:szCs w:val="14"/>
              </w:rPr>
            </w:pPr>
          </w:p>
        </w:tc>
        <w:tc>
          <w:tcPr>
            <w:tcW w:w="6280" w:type="dxa"/>
            <w:vAlign w:val="bottom"/>
          </w:tcPr>
          <w:p w14:paraId="3D8A8887" w14:textId="77777777" w:rsidR="00D1587D" w:rsidRDefault="00D1587D">
            <w:pPr>
              <w:rPr>
                <w:sz w:val="14"/>
                <w:szCs w:val="14"/>
              </w:rPr>
            </w:pPr>
          </w:p>
        </w:tc>
      </w:tr>
      <w:tr w:rsidR="00D1587D" w14:paraId="4289D595" w14:textId="77777777">
        <w:trPr>
          <w:trHeight w:val="400"/>
        </w:trPr>
        <w:tc>
          <w:tcPr>
            <w:tcW w:w="1740" w:type="dxa"/>
            <w:gridSpan w:val="2"/>
            <w:vAlign w:val="bottom"/>
          </w:tcPr>
          <w:p w14:paraId="70015424" w14:textId="77777777" w:rsidR="00D1587D" w:rsidRDefault="00410D07">
            <w:pPr>
              <w:rPr>
                <w:sz w:val="20"/>
                <w:szCs w:val="20"/>
              </w:rPr>
            </w:pPr>
            <w:r>
              <w:rPr>
                <w:rFonts w:ascii="Arial" w:eastAsia="Arial" w:hAnsi="Arial" w:cs="Arial"/>
                <w:b/>
                <w:bCs/>
                <w:w w:val="96"/>
                <w:sz w:val="14"/>
                <w:szCs w:val="14"/>
              </w:rPr>
              <w:t>Compensation Component</w:t>
            </w:r>
          </w:p>
        </w:tc>
        <w:tc>
          <w:tcPr>
            <w:tcW w:w="180" w:type="dxa"/>
            <w:vAlign w:val="bottom"/>
          </w:tcPr>
          <w:p w14:paraId="7E05DBDD" w14:textId="77777777" w:rsidR="00D1587D" w:rsidRDefault="00D1587D">
            <w:pPr>
              <w:rPr>
                <w:sz w:val="24"/>
                <w:szCs w:val="24"/>
              </w:rPr>
            </w:pPr>
          </w:p>
        </w:tc>
        <w:tc>
          <w:tcPr>
            <w:tcW w:w="220" w:type="dxa"/>
            <w:vAlign w:val="bottom"/>
          </w:tcPr>
          <w:p w14:paraId="41D0B7FA" w14:textId="77777777" w:rsidR="00D1587D" w:rsidRDefault="00D1587D">
            <w:pPr>
              <w:rPr>
                <w:sz w:val="24"/>
                <w:szCs w:val="24"/>
              </w:rPr>
            </w:pPr>
          </w:p>
        </w:tc>
        <w:tc>
          <w:tcPr>
            <w:tcW w:w="6280" w:type="dxa"/>
            <w:vAlign w:val="bottom"/>
          </w:tcPr>
          <w:p w14:paraId="7F2ED40C" w14:textId="77777777" w:rsidR="00D1587D" w:rsidRDefault="00410D07">
            <w:pPr>
              <w:ind w:left="2560"/>
              <w:rPr>
                <w:sz w:val="20"/>
                <w:szCs w:val="20"/>
              </w:rPr>
            </w:pPr>
            <w:r>
              <w:rPr>
                <w:rFonts w:ascii="Arial" w:eastAsia="Arial" w:hAnsi="Arial" w:cs="Arial"/>
                <w:b/>
                <w:bCs/>
                <w:sz w:val="14"/>
                <w:szCs w:val="14"/>
              </w:rPr>
              <w:t>LB’s Principles</w:t>
            </w:r>
          </w:p>
        </w:tc>
      </w:tr>
      <w:tr w:rsidR="00D1587D" w14:paraId="06C8367A" w14:textId="77777777">
        <w:trPr>
          <w:trHeight w:val="53"/>
        </w:trPr>
        <w:tc>
          <w:tcPr>
            <w:tcW w:w="1540" w:type="dxa"/>
            <w:tcBorders>
              <w:bottom w:val="single" w:sz="8" w:space="0" w:color="auto"/>
            </w:tcBorders>
            <w:vAlign w:val="bottom"/>
          </w:tcPr>
          <w:p w14:paraId="3CD38D78" w14:textId="77777777" w:rsidR="00D1587D" w:rsidRDefault="00D1587D">
            <w:pPr>
              <w:rPr>
                <w:sz w:val="4"/>
                <w:szCs w:val="4"/>
              </w:rPr>
            </w:pPr>
          </w:p>
        </w:tc>
        <w:tc>
          <w:tcPr>
            <w:tcW w:w="200" w:type="dxa"/>
            <w:tcBorders>
              <w:bottom w:val="single" w:sz="8" w:space="0" w:color="auto"/>
            </w:tcBorders>
            <w:vAlign w:val="bottom"/>
          </w:tcPr>
          <w:p w14:paraId="1AE7145B" w14:textId="77777777" w:rsidR="00D1587D" w:rsidRDefault="00D1587D">
            <w:pPr>
              <w:rPr>
                <w:sz w:val="4"/>
                <w:szCs w:val="4"/>
              </w:rPr>
            </w:pPr>
          </w:p>
        </w:tc>
        <w:tc>
          <w:tcPr>
            <w:tcW w:w="180" w:type="dxa"/>
            <w:vAlign w:val="bottom"/>
          </w:tcPr>
          <w:p w14:paraId="2E049FC8" w14:textId="77777777" w:rsidR="00D1587D" w:rsidRDefault="00D1587D">
            <w:pPr>
              <w:rPr>
                <w:sz w:val="4"/>
                <w:szCs w:val="4"/>
              </w:rPr>
            </w:pPr>
          </w:p>
        </w:tc>
        <w:tc>
          <w:tcPr>
            <w:tcW w:w="220" w:type="dxa"/>
            <w:tcBorders>
              <w:bottom w:val="single" w:sz="8" w:space="0" w:color="auto"/>
            </w:tcBorders>
            <w:vAlign w:val="bottom"/>
          </w:tcPr>
          <w:p w14:paraId="02728265" w14:textId="77777777" w:rsidR="00D1587D" w:rsidRDefault="00D1587D">
            <w:pPr>
              <w:rPr>
                <w:sz w:val="4"/>
                <w:szCs w:val="4"/>
              </w:rPr>
            </w:pPr>
          </w:p>
        </w:tc>
        <w:tc>
          <w:tcPr>
            <w:tcW w:w="6280" w:type="dxa"/>
            <w:tcBorders>
              <w:bottom w:val="single" w:sz="8" w:space="0" w:color="auto"/>
            </w:tcBorders>
            <w:vAlign w:val="bottom"/>
          </w:tcPr>
          <w:p w14:paraId="7E00FBC8" w14:textId="77777777" w:rsidR="00D1587D" w:rsidRDefault="00D1587D">
            <w:pPr>
              <w:rPr>
                <w:sz w:val="4"/>
                <w:szCs w:val="4"/>
              </w:rPr>
            </w:pPr>
          </w:p>
        </w:tc>
      </w:tr>
      <w:tr w:rsidR="00D1587D" w14:paraId="3F9AE8CA" w14:textId="77777777">
        <w:trPr>
          <w:trHeight w:val="277"/>
        </w:trPr>
        <w:tc>
          <w:tcPr>
            <w:tcW w:w="1740" w:type="dxa"/>
            <w:gridSpan w:val="2"/>
            <w:vAlign w:val="bottom"/>
          </w:tcPr>
          <w:p w14:paraId="49DE9274" w14:textId="77777777" w:rsidR="00D1587D" w:rsidRDefault="00410D07">
            <w:pPr>
              <w:rPr>
                <w:sz w:val="20"/>
                <w:szCs w:val="20"/>
              </w:rPr>
            </w:pPr>
            <w:r>
              <w:rPr>
                <w:rFonts w:ascii="Arial" w:eastAsia="Arial" w:hAnsi="Arial" w:cs="Arial"/>
                <w:sz w:val="18"/>
                <w:szCs w:val="18"/>
              </w:rPr>
              <w:t>Pay for Performance</w:t>
            </w:r>
          </w:p>
        </w:tc>
        <w:tc>
          <w:tcPr>
            <w:tcW w:w="400" w:type="dxa"/>
            <w:gridSpan w:val="2"/>
            <w:vAlign w:val="bottom"/>
          </w:tcPr>
          <w:p w14:paraId="7AA54574" w14:textId="77777777" w:rsidR="00D1587D" w:rsidRDefault="00410D07">
            <w:pPr>
              <w:ind w:left="180"/>
              <w:rPr>
                <w:sz w:val="20"/>
                <w:szCs w:val="20"/>
              </w:rPr>
            </w:pPr>
            <w:r>
              <w:rPr>
                <w:rFonts w:ascii="Arial" w:eastAsia="Arial" w:hAnsi="Arial" w:cs="Arial"/>
                <w:sz w:val="18"/>
                <w:szCs w:val="18"/>
              </w:rPr>
              <w:t>•</w:t>
            </w:r>
          </w:p>
        </w:tc>
        <w:tc>
          <w:tcPr>
            <w:tcW w:w="6280" w:type="dxa"/>
            <w:vAlign w:val="bottom"/>
          </w:tcPr>
          <w:p w14:paraId="316660C3" w14:textId="77777777" w:rsidR="00D1587D" w:rsidRDefault="00410D07">
            <w:pPr>
              <w:ind w:left="180"/>
              <w:rPr>
                <w:sz w:val="20"/>
                <w:szCs w:val="20"/>
              </w:rPr>
            </w:pPr>
            <w:r>
              <w:rPr>
                <w:rFonts w:ascii="Arial" w:eastAsia="Arial" w:hAnsi="Arial" w:cs="Arial"/>
                <w:sz w:val="18"/>
                <w:szCs w:val="18"/>
              </w:rPr>
              <w:t>Recognize and reward enterprise, brand and individual performance.</w:t>
            </w:r>
          </w:p>
        </w:tc>
      </w:tr>
      <w:tr w:rsidR="00D1587D" w14:paraId="558FE870" w14:textId="77777777">
        <w:trPr>
          <w:trHeight w:val="324"/>
        </w:trPr>
        <w:tc>
          <w:tcPr>
            <w:tcW w:w="1540" w:type="dxa"/>
            <w:vAlign w:val="bottom"/>
          </w:tcPr>
          <w:p w14:paraId="34E15FF4" w14:textId="77777777" w:rsidR="00D1587D" w:rsidRDefault="00D1587D">
            <w:pPr>
              <w:rPr>
                <w:sz w:val="24"/>
                <w:szCs w:val="24"/>
              </w:rPr>
            </w:pPr>
          </w:p>
        </w:tc>
        <w:tc>
          <w:tcPr>
            <w:tcW w:w="200" w:type="dxa"/>
            <w:vAlign w:val="bottom"/>
          </w:tcPr>
          <w:p w14:paraId="452AF3EC" w14:textId="77777777" w:rsidR="00D1587D" w:rsidRDefault="00D1587D">
            <w:pPr>
              <w:rPr>
                <w:sz w:val="24"/>
                <w:szCs w:val="24"/>
              </w:rPr>
            </w:pPr>
          </w:p>
        </w:tc>
        <w:tc>
          <w:tcPr>
            <w:tcW w:w="400" w:type="dxa"/>
            <w:gridSpan w:val="2"/>
            <w:vAlign w:val="bottom"/>
          </w:tcPr>
          <w:p w14:paraId="1BDC8E3C" w14:textId="77777777" w:rsidR="00D1587D" w:rsidRDefault="00410D07">
            <w:pPr>
              <w:ind w:left="180"/>
              <w:rPr>
                <w:sz w:val="20"/>
                <w:szCs w:val="20"/>
              </w:rPr>
            </w:pPr>
            <w:r>
              <w:rPr>
                <w:rFonts w:ascii="Arial" w:eastAsia="Arial" w:hAnsi="Arial" w:cs="Arial"/>
                <w:sz w:val="18"/>
                <w:szCs w:val="18"/>
              </w:rPr>
              <w:t>•</w:t>
            </w:r>
          </w:p>
        </w:tc>
        <w:tc>
          <w:tcPr>
            <w:tcW w:w="6280" w:type="dxa"/>
            <w:vAlign w:val="bottom"/>
          </w:tcPr>
          <w:p w14:paraId="7749640B" w14:textId="77777777" w:rsidR="00D1587D" w:rsidRDefault="00410D07">
            <w:pPr>
              <w:ind w:left="180"/>
              <w:rPr>
                <w:sz w:val="20"/>
                <w:szCs w:val="20"/>
              </w:rPr>
            </w:pPr>
            <w:r>
              <w:rPr>
                <w:rFonts w:ascii="Arial" w:eastAsia="Arial" w:hAnsi="Arial" w:cs="Arial"/>
                <w:sz w:val="18"/>
                <w:szCs w:val="18"/>
              </w:rPr>
              <w:t>Align executives’ interests with stockholders’ interests.</w:t>
            </w:r>
          </w:p>
        </w:tc>
      </w:tr>
      <w:tr w:rsidR="00D1587D" w14:paraId="57A3C821" w14:textId="77777777">
        <w:trPr>
          <w:trHeight w:val="324"/>
        </w:trPr>
        <w:tc>
          <w:tcPr>
            <w:tcW w:w="1540" w:type="dxa"/>
            <w:vAlign w:val="bottom"/>
          </w:tcPr>
          <w:p w14:paraId="0CD50701" w14:textId="77777777" w:rsidR="00D1587D" w:rsidRDefault="00D1587D">
            <w:pPr>
              <w:rPr>
                <w:sz w:val="24"/>
                <w:szCs w:val="24"/>
              </w:rPr>
            </w:pPr>
          </w:p>
        </w:tc>
        <w:tc>
          <w:tcPr>
            <w:tcW w:w="200" w:type="dxa"/>
            <w:vAlign w:val="bottom"/>
          </w:tcPr>
          <w:p w14:paraId="637A5D92" w14:textId="77777777" w:rsidR="00D1587D" w:rsidRDefault="00D1587D">
            <w:pPr>
              <w:rPr>
                <w:sz w:val="24"/>
                <w:szCs w:val="24"/>
              </w:rPr>
            </w:pPr>
          </w:p>
        </w:tc>
        <w:tc>
          <w:tcPr>
            <w:tcW w:w="400" w:type="dxa"/>
            <w:gridSpan w:val="2"/>
            <w:vAlign w:val="bottom"/>
          </w:tcPr>
          <w:p w14:paraId="68648A52" w14:textId="77777777" w:rsidR="00D1587D" w:rsidRDefault="00410D07">
            <w:pPr>
              <w:ind w:left="180"/>
              <w:rPr>
                <w:sz w:val="20"/>
                <w:szCs w:val="20"/>
              </w:rPr>
            </w:pPr>
            <w:r>
              <w:rPr>
                <w:rFonts w:ascii="Arial" w:eastAsia="Arial" w:hAnsi="Arial" w:cs="Arial"/>
                <w:sz w:val="18"/>
                <w:szCs w:val="18"/>
              </w:rPr>
              <w:t>•</w:t>
            </w:r>
          </w:p>
        </w:tc>
        <w:tc>
          <w:tcPr>
            <w:tcW w:w="6280" w:type="dxa"/>
            <w:vAlign w:val="bottom"/>
          </w:tcPr>
          <w:p w14:paraId="741B5549" w14:textId="77777777" w:rsidR="00D1587D" w:rsidRDefault="00410D07">
            <w:pPr>
              <w:ind w:left="180"/>
              <w:rPr>
                <w:sz w:val="20"/>
                <w:szCs w:val="20"/>
              </w:rPr>
            </w:pPr>
            <w:r>
              <w:rPr>
                <w:rFonts w:ascii="Arial" w:eastAsia="Arial" w:hAnsi="Arial" w:cs="Arial"/>
                <w:sz w:val="18"/>
                <w:szCs w:val="18"/>
              </w:rPr>
              <w:t>Require executives to own a significant amount of LB’s common stock.</w:t>
            </w:r>
          </w:p>
        </w:tc>
      </w:tr>
      <w:tr w:rsidR="00D1587D" w14:paraId="26465C9F" w14:textId="77777777">
        <w:trPr>
          <w:trHeight w:val="310"/>
        </w:trPr>
        <w:tc>
          <w:tcPr>
            <w:tcW w:w="1540" w:type="dxa"/>
            <w:vAlign w:val="bottom"/>
          </w:tcPr>
          <w:p w14:paraId="41418882" w14:textId="77777777" w:rsidR="00D1587D" w:rsidRDefault="00D1587D">
            <w:pPr>
              <w:rPr>
                <w:sz w:val="24"/>
                <w:szCs w:val="24"/>
              </w:rPr>
            </w:pPr>
          </w:p>
        </w:tc>
        <w:tc>
          <w:tcPr>
            <w:tcW w:w="200" w:type="dxa"/>
            <w:vAlign w:val="bottom"/>
          </w:tcPr>
          <w:p w14:paraId="0A1EB9FF" w14:textId="77777777" w:rsidR="00D1587D" w:rsidRDefault="00D1587D">
            <w:pPr>
              <w:rPr>
                <w:sz w:val="24"/>
                <w:szCs w:val="24"/>
              </w:rPr>
            </w:pPr>
          </w:p>
        </w:tc>
        <w:tc>
          <w:tcPr>
            <w:tcW w:w="400" w:type="dxa"/>
            <w:gridSpan w:val="2"/>
            <w:vAlign w:val="bottom"/>
          </w:tcPr>
          <w:p w14:paraId="57D22C26" w14:textId="77777777" w:rsidR="00D1587D" w:rsidRDefault="00410D07">
            <w:pPr>
              <w:ind w:left="180"/>
              <w:rPr>
                <w:sz w:val="20"/>
                <w:szCs w:val="20"/>
              </w:rPr>
            </w:pPr>
            <w:r>
              <w:rPr>
                <w:rFonts w:ascii="Arial" w:eastAsia="Arial" w:hAnsi="Arial" w:cs="Arial"/>
                <w:sz w:val="18"/>
                <w:szCs w:val="18"/>
              </w:rPr>
              <w:t>•</w:t>
            </w:r>
          </w:p>
        </w:tc>
        <w:tc>
          <w:tcPr>
            <w:tcW w:w="6280" w:type="dxa"/>
            <w:vAlign w:val="bottom"/>
          </w:tcPr>
          <w:p w14:paraId="34F496B5" w14:textId="77777777" w:rsidR="00D1587D" w:rsidRDefault="00410D07">
            <w:pPr>
              <w:ind w:left="180"/>
              <w:rPr>
                <w:sz w:val="20"/>
                <w:szCs w:val="20"/>
              </w:rPr>
            </w:pPr>
            <w:r>
              <w:rPr>
                <w:rFonts w:ascii="Arial" w:eastAsia="Arial" w:hAnsi="Arial" w:cs="Arial"/>
                <w:w w:val="97"/>
                <w:sz w:val="18"/>
                <w:szCs w:val="18"/>
              </w:rPr>
              <w:t>Set Spring and Fall goals that reflect the seasonal nature of LB’s business and</w:t>
            </w:r>
          </w:p>
        </w:tc>
      </w:tr>
      <w:tr w:rsidR="00D1587D" w14:paraId="59F64EB0" w14:textId="77777777">
        <w:trPr>
          <w:trHeight w:val="230"/>
        </w:trPr>
        <w:tc>
          <w:tcPr>
            <w:tcW w:w="1540" w:type="dxa"/>
            <w:vAlign w:val="bottom"/>
          </w:tcPr>
          <w:p w14:paraId="745C0272" w14:textId="77777777" w:rsidR="00D1587D" w:rsidRDefault="00D1587D">
            <w:pPr>
              <w:rPr>
                <w:sz w:val="20"/>
                <w:szCs w:val="20"/>
              </w:rPr>
            </w:pPr>
          </w:p>
        </w:tc>
        <w:tc>
          <w:tcPr>
            <w:tcW w:w="200" w:type="dxa"/>
            <w:vAlign w:val="bottom"/>
          </w:tcPr>
          <w:p w14:paraId="08D6C295" w14:textId="77777777" w:rsidR="00D1587D" w:rsidRDefault="00D1587D">
            <w:pPr>
              <w:rPr>
                <w:sz w:val="20"/>
                <w:szCs w:val="20"/>
              </w:rPr>
            </w:pPr>
          </w:p>
        </w:tc>
        <w:tc>
          <w:tcPr>
            <w:tcW w:w="180" w:type="dxa"/>
            <w:vAlign w:val="bottom"/>
          </w:tcPr>
          <w:p w14:paraId="31F388A6" w14:textId="77777777" w:rsidR="00D1587D" w:rsidRDefault="00D1587D">
            <w:pPr>
              <w:rPr>
                <w:sz w:val="20"/>
                <w:szCs w:val="20"/>
              </w:rPr>
            </w:pPr>
          </w:p>
        </w:tc>
        <w:tc>
          <w:tcPr>
            <w:tcW w:w="220" w:type="dxa"/>
            <w:vAlign w:val="bottom"/>
          </w:tcPr>
          <w:p w14:paraId="66CE1CD2" w14:textId="77777777" w:rsidR="00D1587D" w:rsidRDefault="00D1587D">
            <w:pPr>
              <w:rPr>
                <w:sz w:val="20"/>
                <w:szCs w:val="20"/>
              </w:rPr>
            </w:pPr>
          </w:p>
        </w:tc>
        <w:tc>
          <w:tcPr>
            <w:tcW w:w="6280" w:type="dxa"/>
            <w:vAlign w:val="bottom"/>
          </w:tcPr>
          <w:p w14:paraId="0C34A04D" w14:textId="77777777" w:rsidR="00D1587D" w:rsidRDefault="00410D07">
            <w:pPr>
              <w:ind w:left="180"/>
              <w:rPr>
                <w:sz w:val="20"/>
                <w:szCs w:val="20"/>
              </w:rPr>
            </w:pPr>
            <w:r>
              <w:rPr>
                <w:rFonts w:ascii="Arial" w:eastAsia="Arial" w:hAnsi="Arial" w:cs="Arial"/>
                <w:sz w:val="18"/>
                <w:szCs w:val="18"/>
              </w:rPr>
              <w:t xml:space="preserve">incentivize goal </w:t>
            </w:r>
            <w:r>
              <w:rPr>
                <w:rFonts w:ascii="Arial" w:eastAsia="Arial" w:hAnsi="Arial" w:cs="Arial"/>
                <w:sz w:val="18"/>
                <w:szCs w:val="18"/>
              </w:rPr>
              <w:t>achievement in each season.</w:t>
            </w:r>
          </w:p>
        </w:tc>
      </w:tr>
      <w:tr w:rsidR="00D1587D" w14:paraId="138C4FD9" w14:textId="77777777">
        <w:trPr>
          <w:trHeight w:val="310"/>
        </w:trPr>
        <w:tc>
          <w:tcPr>
            <w:tcW w:w="1540" w:type="dxa"/>
            <w:vAlign w:val="bottom"/>
          </w:tcPr>
          <w:p w14:paraId="59358FED" w14:textId="77777777" w:rsidR="00D1587D" w:rsidRDefault="00D1587D">
            <w:pPr>
              <w:rPr>
                <w:sz w:val="24"/>
                <w:szCs w:val="24"/>
              </w:rPr>
            </w:pPr>
          </w:p>
        </w:tc>
        <w:tc>
          <w:tcPr>
            <w:tcW w:w="200" w:type="dxa"/>
            <w:vAlign w:val="bottom"/>
          </w:tcPr>
          <w:p w14:paraId="76DF56B4" w14:textId="77777777" w:rsidR="00D1587D" w:rsidRDefault="00D1587D">
            <w:pPr>
              <w:rPr>
                <w:sz w:val="24"/>
                <w:szCs w:val="24"/>
              </w:rPr>
            </w:pPr>
          </w:p>
        </w:tc>
        <w:tc>
          <w:tcPr>
            <w:tcW w:w="400" w:type="dxa"/>
            <w:gridSpan w:val="2"/>
            <w:vAlign w:val="bottom"/>
          </w:tcPr>
          <w:p w14:paraId="710E2EE6" w14:textId="77777777" w:rsidR="00D1587D" w:rsidRDefault="00410D07">
            <w:pPr>
              <w:ind w:left="180"/>
              <w:rPr>
                <w:sz w:val="20"/>
                <w:szCs w:val="20"/>
              </w:rPr>
            </w:pPr>
            <w:r>
              <w:rPr>
                <w:rFonts w:ascii="Arial" w:eastAsia="Arial" w:hAnsi="Arial" w:cs="Arial"/>
                <w:sz w:val="18"/>
                <w:szCs w:val="18"/>
              </w:rPr>
              <w:t>•</w:t>
            </w:r>
          </w:p>
        </w:tc>
        <w:tc>
          <w:tcPr>
            <w:tcW w:w="6280" w:type="dxa"/>
            <w:vAlign w:val="bottom"/>
          </w:tcPr>
          <w:p w14:paraId="482A22F8" w14:textId="77777777" w:rsidR="00D1587D" w:rsidRDefault="00410D07">
            <w:pPr>
              <w:ind w:left="180"/>
              <w:rPr>
                <w:sz w:val="20"/>
                <w:szCs w:val="20"/>
              </w:rPr>
            </w:pPr>
            <w:r>
              <w:rPr>
                <w:rFonts w:ascii="Arial" w:eastAsia="Arial" w:hAnsi="Arial" w:cs="Arial"/>
                <w:w w:val="90"/>
                <w:sz w:val="18"/>
                <w:szCs w:val="18"/>
              </w:rPr>
              <w:t>Create long-term stockholder value through regular achievement of short-term goals</w:t>
            </w:r>
          </w:p>
        </w:tc>
      </w:tr>
      <w:tr w:rsidR="00D1587D" w14:paraId="7EC8478B" w14:textId="77777777">
        <w:trPr>
          <w:trHeight w:val="216"/>
        </w:trPr>
        <w:tc>
          <w:tcPr>
            <w:tcW w:w="1540" w:type="dxa"/>
            <w:vAlign w:val="bottom"/>
          </w:tcPr>
          <w:p w14:paraId="08E003D0" w14:textId="77777777" w:rsidR="00D1587D" w:rsidRDefault="00D1587D">
            <w:pPr>
              <w:rPr>
                <w:sz w:val="18"/>
                <w:szCs w:val="18"/>
              </w:rPr>
            </w:pPr>
          </w:p>
        </w:tc>
        <w:tc>
          <w:tcPr>
            <w:tcW w:w="200" w:type="dxa"/>
            <w:vAlign w:val="bottom"/>
          </w:tcPr>
          <w:p w14:paraId="14FEFD16" w14:textId="77777777" w:rsidR="00D1587D" w:rsidRDefault="00D1587D">
            <w:pPr>
              <w:rPr>
                <w:sz w:val="18"/>
                <w:szCs w:val="18"/>
              </w:rPr>
            </w:pPr>
          </w:p>
        </w:tc>
        <w:tc>
          <w:tcPr>
            <w:tcW w:w="180" w:type="dxa"/>
            <w:vAlign w:val="bottom"/>
          </w:tcPr>
          <w:p w14:paraId="153FE327" w14:textId="77777777" w:rsidR="00D1587D" w:rsidRDefault="00D1587D">
            <w:pPr>
              <w:rPr>
                <w:sz w:val="18"/>
                <w:szCs w:val="18"/>
              </w:rPr>
            </w:pPr>
          </w:p>
        </w:tc>
        <w:tc>
          <w:tcPr>
            <w:tcW w:w="220" w:type="dxa"/>
            <w:vAlign w:val="bottom"/>
          </w:tcPr>
          <w:p w14:paraId="4EF9FE72" w14:textId="77777777" w:rsidR="00D1587D" w:rsidRDefault="00D1587D">
            <w:pPr>
              <w:rPr>
                <w:sz w:val="18"/>
                <w:szCs w:val="18"/>
              </w:rPr>
            </w:pPr>
          </w:p>
        </w:tc>
        <w:tc>
          <w:tcPr>
            <w:tcW w:w="6280" w:type="dxa"/>
            <w:vAlign w:val="bottom"/>
          </w:tcPr>
          <w:p w14:paraId="67A34CDA" w14:textId="77777777" w:rsidR="00D1587D" w:rsidRDefault="00410D07">
            <w:pPr>
              <w:ind w:left="180"/>
              <w:rPr>
                <w:sz w:val="20"/>
                <w:szCs w:val="20"/>
              </w:rPr>
            </w:pPr>
            <w:r>
              <w:rPr>
                <w:rFonts w:ascii="Arial" w:eastAsia="Arial" w:hAnsi="Arial" w:cs="Arial"/>
                <w:sz w:val="18"/>
                <w:szCs w:val="18"/>
              </w:rPr>
              <w:t>while pursuing LB’s longer-term strategy of growth in North America and</w:t>
            </w:r>
          </w:p>
        </w:tc>
      </w:tr>
      <w:tr w:rsidR="00D1587D" w14:paraId="1D8F4177" w14:textId="77777777">
        <w:trPr>
          <w:trHeight w:val="230"/>
        </w:trPr>
        <w:tc>
          <w:tcPr>
            <w:tcW w:w="1540" w:type="dxa"/>
            <w:vAlign w:val="bottom"/>
          </w:tcPr>
          <w:p w14:paraId="646DA577" w14:textId="77777777" w:rsidR="00D1587D" w:rsidRDefault="00D1587D">
            <w:pPr>
              <w:rPr>
                <w:sz w:val="20"/>
                <w:szCs w:val="20"/>
              </w:rPr>
            </w:pPr>
          </w:p>
        </w:tc>
        <w:tc>
          <w:tcPr>
            <w:tcW w:w="200" w:type="dxa"/>
            <w:vAlign w:val="bottom"/>
          </w:tcPr>
          <w:p w14:paraId="5D71BDBD" w14:textId="77777777" w:rsidR="00D1587D" w:rsidRDefault="00D1587D">
            <w:pPr>
              <w:rPr>
                <w:sz w:val="20"/>
                <w:szCs w:val="20"/>
              </w:rPr>
            </w:pPr>
          </w:p>
        </w:tc>
        <w:tc>
          <w:tcPr>
            <w:tcW w:w="180" w:type="dxa"/>
            <w:vAlign w:val="bottom"/>
          </w:tcPr>
          <w:p w14:paraId="6F88F0FF" w14:textId="77777777" w:rsidR="00D1587D" w:rsidRDefault="00D1587D">
            <w:pPr>
              <w:rPr>
                <w:sz w:val="20"/>
                <w:szCs w:val="20"/>
              </w:rPr>
            </w:pPr>
          </w:p>
        </w:tc>
        <w:tc>
          <w:tcPr>
            <w:tcW w:w="220" w:type="dxa"/>
            <w:vAlign w:val="bottom"/>
          </w:tcPr>
          <w:p w14:paraId="739251B5" w14:textId="77777777" w:rsidR="00D1587D" w:rsidRDefault="00D1587D">
            <w:pPr>
              <w:rPr>
                <w:sz w:val="20"/>
                <w:szCs w:val="20"/>
              </w:rPr>
            </w:pPr>
          </w:p>
        </w:tc>
        <w:tc>
          <w:tcPr>
            <w:tcW w:w="6280" w:type="dxa"/>
            <w:vAlign w:val="bottom"/>
          </w:tcPr>
          <w:p w14:paraId="4F557C52" w14:textId="77777777" w:rsidR="00D1587D" w:rsidRDefault="00410D07">
            <w:pPr>
              <w:ind w:left="180"/>
              <w:rPr>
                <w:sz w:val="20"/>
                <w:szCs w:val="20"/>
              </w:rPr>
            </w:pPr>
            <w:r>
              <w:rPr>
                <w:rFonts w:ascii="Arial" w:eastAsia="Arial" w:hAnsi="Arial" w:cs="Arial"/>
                <w:sz w:val="18"/>
                <w:szCs w:val="18"/>
              </w:rPr>
              <w:t>internationally.</w:t>
            </w:r>
          </w:p>
        </w:tc>
      </w:tr>
      <w:tr w:rsidR="00D1587D" w14:paraId="716B3C87" w14:textId="77777777">
        <w:trPr>
          <w:trHeight w:val="324"/>
        </w:trPr>
        <w:tc>
          <w:tcPr>
            <w:tcW w:w="1540" w:type="dxa"/>
            <w:vAlign w:val="bottom"/>
          </w:tcPr>
          <w:p w14:paraId="1BCF2662" w14:textId="77777777" w:rsidR="00D1587D" w:rsidRDefault="00D1587D">
            <w:pPr>
              <w:rPr>
                <w:sz w:val="24"/>
                <w:szCs w:val="24"/>
              </w:rPr>
            </w:pPr>
          </w:p>
        </w:tc>
        <w:tc>
          <w:tcPr>
            <w:tcW w:w="200" w:type="dxa"/>
            <w:vAlign w:val="bottom"/>
          </w:tcPr>
          <w:p w14:paraId="75004142" w14:textId="77777777" w:rsidR="00D1587D" w:rsidRDefault="00D1587D">
            <w:pPr>
              <w:rPr>
                <w:sz w:val="24"/>
                <w:szCs w:val="24"/>
              </w:rPr>
            </w:pPr>
          </w:p>
        </w:tc>
        <w:tc>
          <w:tcPr>
            <w:tcW w:w="400" w:type="dxa"/>
            <w:gridSpan w:val="2"/>
            <w:vAlign w:val="bottom"/>
          </w:tcPr>
          <w:p w14:paraId="25D48201" w14:textId="77777777" w:rsidR="00D1587D" w:rsidRDefault="00410D07">
            <w:pPr>
              <w:ind w:left="180"/>
              <w:rPr>
                <w:sz w:val="20"/>
                <w:szCs w:val="20"/>
              </w:rPr>
            </w:pPr>
            <w:r>
              <w:rPr>
                <w:rFonts w:ascii="Arial" w:eastAsia="Arial" w:hAnsi="Arial" w:cs="Arial"/>
                <w:sz w:val="18"/>
                <w:szCs w:val="18"/>
              </w:rPr>
              <w:t>•</w:t>
            </w:r>
          </w:p>
        </w:tc>
        <w:tc>
          <w:tcPr>
            <w:tcW w:w="6280" w:type="dxa"/>
            <w:vAlign w:val="bottom"/>
          </w:tcPr>
          <w:p w14:paraId="648C321C" w14:textId="77777777" w:rsidR="00D1587D" w:rsidRDefault="00410D07">
            <w:pPr>
              <w:ind w:left="180"/>
              <w:rPr>
                <w:sz w:val="20"/>
                <w:szCs w:val="20"/>
              </w:rPr>
            </w:pPr>
            <w:r>
              <w:rPr>
                <w:rFonts w:ascii="Arial" w:eastAsia="Arial" w:hAnsi="Arial" w:cs="Arial"/>
                <w:w w:val="93"/>
                <w:sz w:val="18"/>
                <w:szCs w:val="18"/>
              </w:rPr>
              <w:t xml:space="preserve">Retain and incentivize </w:t>
            </w:r>
            <w:r>
              <w:rPr>
                <w:rFonts w:ascii="Arial" w:eastAsia="Arial" w:hAnsi="Arial" w:cs="Arial"/>
                <w:w w:val="93"/>
                <w:sz w:val="18"/>
                <w:szCs w:val="18"/>
              </w:rPr>
              <w:t>high-performers through long-term equity incentive awards.</w:t>
            </w:r>
          </w:p>
        </w:tc>
      </w:tr>
    </w:tbl>
    <w:p w14:paraId="39FDF783" w14:textId="77777777" w:rsidR="00D1587D" w:rsidRDefault="00D1587D">
      <w:pPr>
        <w:spacing w:line="148" w:lineRule="exact"/>
        <w:rPr>
          <w:sz w:val="20"/>
          <w:szCs w:val="20"/>
        </w:rPr>
      </w:pPr>
    </w:p>
    <w:p w14:paraId="5F0D28CA" w14:textId="77777777" w:rsidR="00D1587D" w:rsidRDefault="00410D07">
      <w:pPr>
        <w:spacing w:line="263" w:lineRule="auto"/>
        <w:ind w:left="300" w:right="439" w:firstLine="360"/>
        <w:rPr>
          <w:sz w:val="20"/>
          <w:szCs w:val="20"/>
        </w:rPr>
      </w:pPr>
      <w:r>
        <w:rPr>
          <w:rFonts w:ascii="Arial" w:eastAsia="Arial" w:hAnsi="Arial" w:cs="Arial"/>
          <w:i/>
          <w:iCs/>
          <w:sz w:val="18"/>
          <w:szCs w:val="18"/>
        </w:rPr>
        <w:t>Going forward</w:t>
      </w:r>
      <w:r>
        <w:rPr>
          <w:rFonts w:ascii="Arial" w:eastAsia="Arial" w:hAnsi="Arial" w:cs="Arial"/>
          <w:sz w:val="18"/>
          <w:szCs w:val="18"/>
        </w:rPr>
        <w:t>: We share our compensation philosophy with LB, and we anticipate that we will design the VS</w:t>
      </w:r>
      <w:r>
        <w:rPr>
          <w:rFonts w:ascii="Arial" w:eastAsia="Arial" w:hAnsi="Arial" w:cs="Arial"/>
          <w:i/>
          <w:iCs/>
          <w:sz w:val="18"/>
          <w:szCs w:val="18"/>
        </w:rPr>
        <w:t xml:space="preserve"> </w:t>
      </w:r>
      <w:r>
        <w:rPr>
          <w:rFonts w:ascii="Arial" w:eastAsia="Arial" w:hAnsi="Arial" w:cs="Arial"/>
          <w:sz w:val="18"/>
          <w:szCs w:val="18"/>
        </w:rPr>
        <w:t>executive compensation program with the same core guiding principles as apply under the L</w:t>
      </w:r>
      <w:r>
        <w:rPr>
          <w:rFonts w:ascii="Arial" w:eastAsia="Arial" w:hAnsi="Arial" w:cs="Arial"/>
          <w:sz w:val="18"/>
          <w:szCs w:val="18"/>
        </w:rPr>
        <w:t>B executive compensation program.</w:t>
      </w:r>
    </w:p>
    <w:p w14:paraId="16E2C32C" w14:textId="77777777" w:rsidR="00D1587D" w:rsidRDefault="00D1587D">
      <w:pPr>
        <w:spacing w:line="184" w:lineRule="exact"/>
        <w:rPr>
          <w:sz w:val="20"/>
          <w:szCs w:val="20"/>
        </w:rPr>
      </w:pPr>
    </w:p>
    <w:p w14:paraId="14663725" w14:textId="77777777" w:rsidR="00D1587D" w:rsidRDefault="00410D07">
      <w:pPr>
        <w:ind w:left="300"/>
        <w:rPr>
          <w:sz w:val="20"/>
          <w:szCs w:val="20"/>
        </w:rPr>
      </w:pPr>
      <w:r>
        <w:rPr>
          <w:rFonts w:ascii="Arial" w:eastAsia="Arial" w:hAnsi="Arial" w:cs="Arial"/>
          <w:b/>
          <w:bCs/>
          <w:i/>
          <w:iCs/>
          <w:sz w:val="18"/>
          <w:szCs w:val="18"/>
        </w:rPr>
        <w:t>Connecting Pay and Performance</w:t>
      </w:r>
    </w:p>
    <w:p w14:paraId="305E36D9" w14:textId="77777777" w:rsidR="00D1587D" w:rsidRDefault="00D1587D">
      <w:pPr>
        <w:spacing w:line="117" w:lineRule="exact"/>
        <w:rPr>
          <w:sz w:val="20"/>
          <w:szCs w:val="20"/>
        </w:rPr>
      </w:pPr>
    </w:p>
    <w:p w14:paraId="296AE359" w14:textId="77777777" w:rsidR="00D1587D" w:rsidRDefault="00410D07">
      <w:pPr>
        <w:spacing w:line="286" w:lineRule="auto"/>
        <w:ind w:left="300" w:right="379" w:firstLine="360"/>
        <w:rPr>
          <w:sz w:val="20"/>
          <w:szCs w:val="20"/>
        </w:rPr>
      </w:pPr>
      <w:r>
        <w:rPr>
          <w:rFonts w:ascii="Arial" w:eastAsia="Arial" w:hAnsi="Arial" w:cs="Arial"/>
          <w:sz w:val="17"/>
          <w:szCs w:val="17"/>
        </w:rPr>
        <w:t xml:space="preserve">Two key elements of LB’s program’s design connect pay to performance. First, its incentive goals are designed to challenge its executives to achieve a high level of performance to earn </w:t>
      </w:r>
      <w:r>
        <w:rPr>
          <w:rFonts w:ascii="Arial" w:eastAsia="Arial" w:hAnsi="Arial" w:cs="Arial"/>
          <w:sz w:val="17"/>
          <w:szCs w:val="17"/>
        </w:rPr>
        <w:t>incentives at target levels. When its executives hit and exceed, or fall short of, these goals, LB compensates them accordingly.</w:t>
      </w:r>
    </w:p>
    <w:p w14:paraId="04A08FDF" w14:textId="77777777" w:rsidR="00D1587D" w:rsidRDefault="00D1587D">
      <w:pPr>
        <w:spacing w:line="57" w:lineRule="exact"/>
        <w:rPr>
          <w:sz w:val="20"/>
          <w:szCs w:val="20"/>
        </w:rPr>
      </w:pPr>
    </w:p>
    <w:p w14:paraId="1EBC1CE1" w14:textId="77777777" w:rsidR="00D1587D" w:rsidRDefault="00410D07">
      <w:pPr>
        <w:spacing w:line="342" w:lineRule="auto"/>
        <w:ind w:left="300" w:right="379" w:firstLine="360"/>
        <w:rPr>
          <w:sz w:val="20"/>
          <w:szCs w:val="20"/>
        </w:rPr>
      </w:pPr>
      <w:r>
        <w:rPr>
          <w:rFonts w:ascii="Arial" w:eastAsia="Arial" w:hAnsi="Arial" w:cs="Arial"/>
          <w:sz w:val="16"/>
          <w:szCs w:val="16"/>
        </w:rPr>
        <w:t xml:space="preserve">Second, to further connect its executives’ pay to performance and stockholder interests, LB employs a pay mix philosophy that </w:t>
      </w:r>
      <w:r>
        <w:rPr>
          <w:rFonts w:ascii="Arial" w:eastAsia="Arial" w:hAnsi="Arial" w:cs="Arial"/>
          <w:sz w:val="16"/>
          <w:szCs w:val="16"/>
        </w:rPr>
        <w:t>places greater emphasis on performance-based and equity compensation over base salary.</w:t>
      </w:r>
    </w:p>
    <w:p w14:paraId="31ACA66D" w14:textId="77777777" w:rsidR="00D1587D" w:rsidRDefault="00D1587D">
      <w:pPr>
        <w:spacing w:line="16" w:lineRule="exact"/>
        <w:rPr>
          <w:sz w:val="20"/>
          <w:szCs w:val="20"/>
        </w:rPr>
      </w:pPr>
    </w:p>
    <w:p w14:paraId="47797066" w14:textId="77777777" w:rsidR="00D1587D" w:rsidRDefault="00410D07">
      <w:pPr>
        <w:spacing w:line="308" w:lineRule="auto"/>
        <w:ind w:left="300" w:right="1079" w:firstLine="360"/>
        <w:rPr>
          <w:sz w:val="20"/>
          <w:szCs w:val="20"/>
        </w:rPr>
      </w:pPr>
      <w:r>
        <w:rPr>
          <w:rFonts w:ascii="Arial" w:eastAsia="Arial" w:hAnsi="Arial" w:cs="Arial"/>
          <w:i/>
          <w:iCs/>
          <w:sz w:val="17"/>
          <w:szCs w:val="17"/>
        </w:rPr>
        <w:t>Going forward</w:t>
      </w:r>
      <w:r>
        <w:rPr>
          <w:rFonts w:ascii="Arial" w:eastAsia="Arial" w:hAnsi="Arial" w:cs="Arial"/>
          <w:sz w:val="17"/>
          <w:szCs w:val="17"/>
        </w:rPr>
        <w:t>: We anticipate that we will adopt LB’s pay-for-performance philosophy and allocate a</w:t>
      </w:r>
      <w:r>
        <w:rPr>
          <w:rFonts w:ascii="Arial" w:eastAsia="Arial" w:hAnsi="Arial" w:cs="Arial"/>
          <w:i/>
          <w:iCs/>
          <w:sz w:val="17"/>
          <w:szCs w:val="17"/>
        </w:rPr>
        <w:t xml:space="preserve"> </w:t>
      </w:r>
      <w:r>
        <w:rPr>
          <w:rFonts w:ascii="Arial" w:eastAsia="Arial" w:hAnsi="Arial" w:cs="Arial"/>
          <w:sz w:val="17"/>
          <w:szCs w:val="17"/>
        </w:rPr>
        <w:t>meaningful portion of each executive’s total direct compensation to a</w:t>
      </w:r>
      <w:r>
        <w:rPr>
          <w:rFonts w:ascii="Arial" w:eastAsia="Arial" w:hAnsi="Arial" w:cs="Arial"/>
          <w:sz w:val="17"/>
          <w:szCs w:val="17"/>
        </w:rPr>
        <w:t>t-risk components.</w:t>
      </w:r>
    </w:p>
    <w:p w14:paraId="18D9D9DD" w14:textId="77777777" w:rsidR="00D1587D" w:rsidRDefault="00D1587D">
      <w:pPr>
        <w:spacing w:line="146" w:lineRule="exact"/>
        <w:rPr>
          <w:sz w:val="20"/>
          <w:szCs w:val="20"/>
        </w:rPr>
      </w:pPr>
    </w:p>
    <w:p w14:paraId="7887C0D5" w14:textId="77777777" w:rsidR="00D1587D" w:rsidRDefault="00410D07">
      <w:pPr>
        <w:ind w:left="300"/>
        <w:rPr>
          <w:sz w:val="20"/>
          <w:szCs w:val="20"/>
        </w:rPr>
      </w:pPr>
      <w:r>
        <w:rPr>
          <w:rFonts w:ascii="Arial" w:eastAsia="Arial" w:hAnsi="Arial" w:cs="Arial"/>
          <w:b/>
          <w:bCs/>
          <w:i/>
          <w:iCs/>
          <w:sz w:val="18"/>
          <w:szCs w:val="18"/>
        </w:rPr>
        <w:t>Governance Practices</w:t>
      </w:r>
    </w:p>
    <w:p w14:paraId="0AFDAB83" w14:textId="77777777" w:rsidR="00D1587D" w:rsidRDefault="00D1587D">
      <w:pPr>
        <w:spacing w:line="117" w:lineRule="exact"/>
        <w:rPr>
          <w:sz w:val="20"/>
          <w:szCs w:val="20"/>
        </w:rPr>
      </w:pPr>
    </w:p>
    <w:p w14:paraId="40A96515" w14:textId="77777777" w:rsidR="00D1587D" w:rsidRDefault="00410D07">
      <w:pPr>
        <w:ind w:left="660"/>
        <w:rPr>
          <w:sz w:val="20"/>
          <w:szCs w:val="20"/>
        </w:rPr>
      </w:pPr>
      <w:r>
        <w:rPr>
          <w:rFonts w:ascii="Arial" w:eastAsia="Arial" w:hAnsi="Arial" w:cs="Arial"/>
          <w:sz w:val="16"/>
          <w:szCs w:val="16"/>
        </w:rPr>
        <w:t>LB has continued the following compensation practices in accordance with its corporate governance principles:</w:t>
      </w:r>
    </w:p>
    <w:p w14:paraId="3D979BB7" w14:textId="77777777" w:rsidR="00D1587D" w:rsidRDefault="00D1587D">
      <w:pPr>
        <w:spacing w:line="140" w:lineRule="exact"/>
        <w:rPr>
          <w:sz w:val="20"/>
          <w:szCs w:val="20"/>
        </w:rPr>
      </w:pPr>
    </w:p>
    <w:p w14:paraId="7C3D8116" w14:textId="77777777" w:rsidR="00D1587D" w:rsidRDefault="00410D07" w:rsidP="00410D07">
      <w:pPr>
        <w:numPr>
          <w:ilvl w:val="0"/>
          <w:numId w:val="309"/>
        </w:numPr>
        <w:tabs>
          <w:tab w:val="left" w:pos="1000"/>
        </w:tabs>
        <w:ind w:left="1000" w:hanging="348"/>
        <w:rPr>
          <w:rFonts w:ascii="Arial" w:eastAsia="Arial" w:hAnsi="Arial" w:cs="Arial"/>
          <w:sz w:val="18"/>
          <w:szCs w:val="18"/>
        </w:rPr>
      </w:pPr>
      <w:r>
        <w:rPr>
          <w:rFonts w:ascii="Arial" w:eastAsia="Arial" w:hAnsi="Arial" w:cs="Arial"/>
          <w:sz w:val="18"/>
          <w:szCs w:val="18"/>
        </w:rPr>
        <w:t>No tax gross-ups upon a change in control.</w:t>
      </w:r>
    </w:p>
    <w:p w14:paraId="5E8E1F61" w14:textId="77777777" w:rsidR="00D1587D" w:rsidRDefault="00D1587D">
      <w:pPr>
        <w:spacing w:line="117" w:lineRule="exact"/>
        <w:rPr>
          <w:rFonts w:ascii="Arial" w:eastAsia="Arial" w:hAnsi="Arial" w:cs="Arial"/>
          <w:sz w:val="18"/>
          <w:szCs w:val="18"/>
        </w:rPr>
      </w:pPr>
    </w:p>
    <w:p w14:paraId="0D56A5C8" w14:textId="77777777" w:rsidR="00D1587D" w:rsidRDefault="00410D07" w:rsidP="00410D07">
      <w:pPr>
        <w:numPr>
          <w:ilvl w:val="0"/>
          <w:numId w:val="309"/>
        </w:numPr>
        <w:tabs>
          <w:tab w:val="left" w:pos="1000"/>
        </w:tabs>
        <w:ind w:left="1000" w:hanging="348"/>
        <w:rPr>
          <w:rFonts w:ascii="Arial" w:eastAsia="Arial" w:hAnsi="Arial" w:cs="Arial"/>
          <w:sz w:val="18"/>
          <w:szCs w:val="18"/>
        </w:rPr>
      </w:pPr>
      <w:r>
        <w:rPr>
          <w:rFonts w:ascii="Arial" w:eastAsia="Arial" w:hAnsi="Arial" w:cs="Arial"/>
          <w:sz w:val="18"/>
          <w:szCs w:val="18"/>
        </w:rPr>
        <w:t>“No hedging” policy governing stock trading.</w:t>
      </w:r>
    </w:p>
    <w:p w14:paraId="50229F74" w14:textId="77777777" w:rsidR="00D1587D" w:rsidRDefault="00D1587D">
      <w:pPr>
        <w:spacing w:line="117" w:lineRule="exact"/>
        <w:rPr>
          <w:rFonts w:ascii="Arial" w:eastAsia="Arial" w:hAnsi="Arial" w:cs="Arial"/>
          <w:sz w:val="18"/>
          <w:szCs w:val="18"/>
        </w:rPr>
      </w:pPr>
    </w:p>
    <w:p w14:paraId="5B4C0F03" w14:textId="77777777" w:rsidR="00D1587D" w:rsidRDefault="00410D07" w:rsidP="00410D07">
      <w:pPr>
        <w:numPr>
          <w:ilvl w:val="0"/>
          <w:numId w:val="309"/>
        </w:numPr>
        <w:tabs>
          <w:tab w:val="left" w:pos="1000"/>
        </w:tabs>
        <w:spacing w:line="277" w:lineRule="auto"/>
        <w:ind w:left="1000" w:right="339" w:hanging="348"/>
        <w:rPr>
          <w:rFonts w:ascii="Arial" w:eastAsia="Arial" w:hAnsi="Arial" w:cs="Arial"/>
          <w:sz w:val="18"/>
          <w:szCs w:val="18"/>
        </w:rPr>
      </w:pPr>
      <w:r>
        <w:rPr>
          <w:rFonts w:ascii="Arial" w:eastAsia="Arial" w:hAnsi="Arial" w:cs="Arial"/>
          <w:sz w:val="18"/>
          <w:szCs w:val="18"/>
        </w:rPr>
        <w:t>Adopted a policy that discourages pledging of LB’s common stock and requires advance approval by LB’s General Counsel.</w:t>
      </w:r>
    </w:p>
    <w:p w14:paraId="0FE8D92F" w14:textId="77777777" w:rsidR="00D1587D" w:rsidRDefault="00D1587D">
      <w:pPr>
        <w:spacing w:line="62" w:lineRule="exact"/>
        <w:rPr>
          <w:rFonts w:ascii="Arial" w:eastAsia="Arial" w:hAnsi="Arial" w:cs="Arial"/>
          <w:sz w:val="18"/>
          <w:szCs w:val="18"/>
        </w:rPr>
      </w:pPr>
    </w:p>
    <w:p w14:paraId="72E0938C" w14:textId="77777777" w:rsidR="00D1587D" w:rsidRDefault="00410D07" w:rsidP="00410D07">
      <w:pPr>
        <w:numPr>
          <w:ilvl w:val="0"/>
          <w:numId w:val="309"/>
        </w:numPr>
        <w:tabs>
          <w:tab w:val="left" w:pos="1000"/>
        </w:tabs>
        <w:ind w:left="1000" w:hanging="348"/>
        <w:rPr>
          <w:rFonts w:ascii="Arial" w:eastAsia="Arial" w:hAnsi="Arial" w:cs="Arial"/>
          <w:sz w:val="18"/>
          <w:szCs w:val="18"/>
        </w:rPr>
      </w:pPr>
      <w:r>
        <w:rPr>
          <w:rFonts w:ascii="Arial" w:eastAsia="Arial" w:hAnsi="Arial" w:cs="Arial"/>
          <w:sz w:val="18"/>
          <w:szCs w:val="18"/>
        </w:rPr>
        <w:t>No re-pricing of stock options without stockholder approval.</w:t>
      </w:r>
    </w:p>
    <w:p w14:paraId="2C8959E5" w14:textId="77777777" w:rsidR="00D1587D" w:rsidRDefault="00D1587D">
      <w:pPr>
        <w:spacing w:line="117" w:lineRule="exact"/>
        <w:rPr>
          <w:rFonts w:ascii="Arial" w:eastAsia="Arial" w:hAnsi="Arial" w:cs="Arial"/>
          <w:sz w:val="18"/>
          <w:szCs w:val="18"/>
        </w:rPr>
      </w:pPr>
    </w:p>
    <w:p w14:paraId="2C4A7FBB" w14:textId="77777777" w:rsidR="00D1587D" w:rsidRDefault="00410D07" w:rsidP="00410D07">
      <w:pPr>
        <w:numPr>
          <w:ilvl w:val="0"/>
          <w:numId w:val="309"/>
        </w:numPr>
        <w:tabs>
          <w:tab w:val="left" w:pos="1000"/>
        </w:tabs>
        <w:ind w:left="1000" w:hanging="348"/>
        <w:rPr>
          <w:rFonts w:ascii="Arial" w:eastAsia="Arial" w:hAnsi="Arial" w:cs="Arial"/>
          <w:sz w:val="18"/>
          <w:szCs w:val="18"/>
        </w:rPr>
      </w:pPr>
      <w:r>
        <w:rPr>
          <w:rFonts w:ascii="Arial" w:eastAsia="Arial" w:hAnsi="Arial" w:cs="Arial"/>
          <w:sz w:val="18"/>
          <w:szCs w:val="18"/>
        </w:rPr>
        <w:t>No single-trigger vesting of equity awards upon a change in control.</w:t>
      </w:r>
    </w:p>
    <w:p w14:paraId="41130518" w14:textId="77777777" w:rsidR="00D1587D" w:rsidRDefault="00D1587D">
      <w:pPr>
        <w:spacing w:line="117" w:lineRule="exact"/>
        <w:rPr>
          <w:rFonts w:ascii="Arial" w:eastAsia="Arial" w:hAnsi="Arial" w:cs="Arial"/>
          <w:sz w:val="18"/>
          <w:szCs w:val="18"/>
        </w:rPr>
      </w:pPr>
    </w:p>
    <w:p w14:paraId="11B75398" w14:textId="77777777" w:rsidR="00D1587D" w:rsidRDefault="00410D07" w:rsidP="00410D07">
      <w:pPr>
        <w:numPr>
          <w:ilvl w:val="0"/>
          <w:numId w:val="309"/>
        </w:numPr>
        <w:tabs>
          <w:tab w:val="left" w:pos="1000"/>
        </w:tabs>
        <w:ind w:left="1000" w:hanging="348"/>
        <w:rPr>
          <w:rFonts w:ascii="Arial" w:eastAsia="Arial" w:hAnsi="Arial" w:cs="Arial"/>
          <w:sz w:val="17"/>
          <w:szCs w:val="17"/>
        </w:rPr>
      </w:pPr>
      <w:r>
        <w:rPr>
          <w:rFonts w:ascii="Arial" w:eastAsia="Arial" w:hAnsi="Arial" w:cs="Arial"/>
          <w:sz w:val="17"/>
          <w:szCs w:val="17"/>
        </w:rPr>
        <w:t>Claw</w:t>
      </w:r>
      <w:r>
        <w:rPr>
          <w:rFonts w:ascii="Arial" w:eastAsia="Arial" w:hAnsi="Arial" w:cs="Arial"/>
          <w:sz w:val="17"/>
          <w:szCs w:val="17"/>
        </w:rPr>
        <w:t>back policy as described under “—Compensation Governance—Recovery of Compensation.”</w:t>
      </w:r>
    </w:p>
    <w:p w14:paraId="410EBAF2" w14:textId="77777777" w:rsidR="00D1587D" w:rsidRDefault="00D1587D">
      <w:pPr>
        <w:spacing w:line="128" w:lineRule="exact"/>
        <w:rPr>
          <w:rFonts w:ascii="Arial" w:eastAsia="Arial" w:hAnsi="Arial" w:cs="Arial"/>
          <w:sz w:val="17"/>
          <w:szCs w:val="17"/>
        </w:rPr>
      </w:pPr>
    </w:p>
    <w:p w14:paraId="6D26AFC0" w14:textId="77777777" w:rsidR="00D1587D" w:rsidRDefault="00410D07" w:rsidP="00410D07">
      <w:pPr>
        <w:numPr>
          <w:ilvl w:val="0"/>
          <w:numId w:val="309"/>
        </w:numPr>
        <w:tabs>
          <w:tab w:val="left" w:pos="1000"/>
        </w:tabs>
        <w:spacing w:line="277" w:lineRule="auto"/>
        <w:ind w:left="1000" w:right="559" w:hanging="348"/>
        <w:rPr>
          <w:rFonts w:ascii="Arial" w:eastAsia="Arial" w:hAnsi="Arial" w:cs="Arial"/>
          <w:sz w:val="18"/>
          <w:szCs w:val="18"/>
        </w:rPr>
      </w:pPr>
      <w:r>
        <w:rPr>
          <w:rFonts w:ascii="Arial" w:eastAsia="Arial" w:hAnsi="Arial" w:cs="Arial"/>
          <w:sz w:val="18"/>
          <w:szCs w:val="18"/>
        </w:rPr>
        <w:t>Stock ownership guidelines set at five times base salary for LB’s chief executive officer and three times base salary for other applicable LB executives.</w:t>
      </w:r>
    </w:p>
    <w:p w14:paraId="003150CA" w14:textId="77777777" w:rsidR="00D1587D" w:rsidRDefault="00D1587D">
      <w:pPr>
        <w:spacing w:line="62" w:lineRule="exact"/>
        <w:rPr>
          <w:rFonts w:ascii="Arial" w:eastAsia="Arial" w:hAnsi="Arial" w:cs="Arial"/>
          <w:sz w:val="18"/>
          <w:szCs w:val="18"/>
        </w:rPr>
      </w:pPr>
    </w:p>
    <w:p w14:paraId="7EF5088E" w14:textId="77777777" w:rsidR="00D1587D" w:rsidRDefault="00410D07" w:rsidP="00410D07">
      <w:pPr>
        <w:numPr>
          <w:ilvl w:val="0"/>
          <w:numId w:val="309"/>
        </w:numPr>
        <w:tabs>
          <w:tab w:val="left" w:pos="1000"/>
        </w:tabs>
        <w:ind w:left="1000" w:hanging="348"/>
        <w:rPr>
          <w:rFonts w:ascii="Arial" w:eastAsia="Arial" w:hAnsi="Arial" w:cs="Arial"/>
          <w:sz w:val="18"/>
          <w:szCs w:val="18"/>
        </w:rPr>
      </w:pPr>
      <w:r>
        <w:rPr>
          <w:rFonts w:ascii="Arial" w:eastAsia="Arial" w:hAnsi="Arial" w:cs="Arial"/>
          <w:sz w:val="18"/>
          <w:szCs w:val="18"/>
        </w:rPr>
        <w:t xml:space="preserve">Stock plan that </w:t>
      </w:r>
      <w:r>
        <w:rPr>
          <w:rFonts w:ascii="Arial" w:eastAsia="Arial" w:hAnsi="Arial" w:cs="Arial"/>
          <w:sz w:val="18"/>
          <w:szCs w:val="18"/>
        </w:rPr>
        <w:t>requires a vesting period of at least one-year subject to certain exceptions.</w:t>
      </w:r>
    </w:p>
    <w:p w14:paraId="1956321D" w14:textId="77777777" w:rsidR="00D1587D" w:rsidRDefault="00D1587D">
      <w:pPr>
        <w:spacing w:line="117" w:lineRule="exact"/>
        <w:rPr>
          <w:sz w:val="20"/>
          <w:szCs w:val="20"/>
        </w:rPr>
      </w:pPr>
    </w:p>
    <w:p w14:paraId="1ACD546F" w14:textId="77777777" w:rsidR="00D1587D" w:rsidRDefault="00410D07">
      <w:pPr>
        <w:spacing w:line="311" w:lineRule="auto"/>
        <w:ind w:left="300" w:right="459" w:firstLine="360"/>
        <w:rPr>
          <w:sz w:val="20"/>
          <w:szCs w:val="20"/>
        </w:rPr>
      </w:pPr>
      <w:r>
        <w:rPr>
          <w:rFonts w:ascii="Arial" w:eastAsia="Arial" w:hAnsi="Arial" w:cs="Arial"/>
          <w:i/>
          <w:iCs/>
          <w:sz w:val="16"/>
          <w:szCs w:val="16"/>
        </w:rPr>
        <w:t>Going forward</w:t>
      </w:r>
      <w:r>
        <w:rPr>
          <w:rFonts w:ascii="Arial" w:eastAsia="Arial" w:hAnsi="Arial" w:cs="Arial"/>
          <w:sz w:val="16"/>
          <w:szCs w:val="16"/>
        </w:rPr>
        <w:t>: We believe that LB’s governance practices support good governance and mitigate excessive</w:t>
      </w:r>
      <w:r>
        <w:rPr>
          <w:rFonts w:ascii="Arial" w:eastAsia="Arial" w:hAnsi="Arial" w:cs="Arial"/>
          <w:i/>
          <w:iCs/>
          <w:sz w:val="16"/>
          <w:szCs w:val="16"/>
        </w:rPr>
        <w:t xml:space="preserve"> </w:t>
      </w:r>
      <w:r>
        <w:rPr>
          <w:rFonts w:ascii="Arial" w:eastAsia="Arial" w:hAnsi="Arial" w:cs="Arial"/>
          <w:sz w:val="16"/>
          <w:szCs w:val="16"/>
        </w:rPr>
        <w:t>risk-taking. We expect to adopt similar good governance practices, but, a</w:t>
      </w:r>
      <w:r>
        <w:rPr>
          <w:rFonts w:ascii="Arial" w:eastAsia="Arial" w:hAnsi="Arial" w:cs="Arial"/>
          <w:sz w:val="16"/>
          <w:szCs w:val="16"/>
        </w:rPr>
        <w:t>s a new, smaller company, VS will review its compensation practices to determine which measures are most appropriate going forward.</w:t>
      </w:r>
    </w:p>
    <w:p w14:paraId="522CEE41" w14:textId="77777777" w:rsidR="00D1587D" w:rsidRDefault="00D1587D">
      <w:pPr>
        <w:spacing w:line="145" w:lineRule="exact"/>
        <w:rPr>
          <w:sz w:val="20"/>
          <w:szCs w:val="20"/>
        </w:rPr>
      </w:pPr>
    </w:p>
    <w:p w14:paraId="20BD1BD7" w14:textId="77777777" w:rsidR="00D1587D" w:rsidRDefault="00410D07">
      <w:pPr>
        <w:ind w:left="300"/>
        <w:rPr>
          <w:sz w:val="20"/>
          <w:szCs w:val="20"/>
        </w:rPr>
      </w:pPr>
      <w:r>
        <w:rPr>
          <w:rFonts w:ascii="Arial" w:eastAsia="Arial" w:hAnsi="Arial" w:cs="Arial"/>
          <w:b/>
          <w:bCs/>
          <w:sz w:val="18"/>
          <w:szCs w:val="18"/>
        </w:rPr>
        <w:t>Compensation Governance</w:t>
      </w:r>
    </w:p>
    <w:p w14:paraId="11E1D3FC" w14:textId="77777777" w:rsidR="00D1587D" w:rsidRDefault="00D1587D">
      <w:pPr>
        <w:spacing w:line="148" w:lineRule="exact"/>
        <w:rPr>
          <w:sz w:val="20"/>
          <w:szCs w:val="20"/>
        </w:rPr>
      </w:pPr>
    </w:p>
    <w:p w14:paraId="1F8E2BF6" w14:textId="77777777" w:rsidR="00D1587D" w:rsidRDefault="00410D07">
      <w:pPr>
        <w:ind w:left="300"/>
        <w:rPr>
          <w:sz w:val="20"/>
          <w:szCs w:val="20"/>
        </w:rPr>
      </w:pPr>
      <w:r>
        <w:rPr>
          <w:rFonts w:ascii="Arial" w:eastAsia="Arial" w:hAnsi="Arial" w:cs="Arial"/>
          <w:b/>
          <w:bCs/>
          <w:i/>
          <w:iCs/>
          <w:sz w:val="18"/>
          <w:szCs w:val="18"/>
        </w:rPr>
        <w:t>LB HCC Committee</w:t>
      </w:r>
    </w:p>
    <w:p w14:paraId="2C3945CC" w14:textId="77777777" w:rsidR="00D1587D" w:rsidRDefault="00D1587D">
      <w:pPr>
        <w:spacing w:line="117" w:lineRule="exact"/>
        <w:rPr>
          <w:sz w:val="20"/>
          <w:szCs w:val="20"/>
        </w:rPr>
      </w:pPr>
    </w:p>
    <w:p w14:paraId="2C377D40" w14:textId="77777777" w:rsidR="00D1587D" w:rsidRDefault="00410D07">
      <w:pPr>
        <w:spacing w:line="257" w:lineRule="auto"/>
        <w:ind w:left="300" w:right="299" w:firstLine="360"/>
        <w:rPr>
          <w:sz w:val="20"/>
          <w:szCs w:val="20"/>
        </w:rPr>
      </w:pPr>
      <w:r>
        <w:rPr>
          <w:rFonts w:ascii="Arial" w:eastAsia="Arial" w:hAnsi="Arial" w:cs="Arial"/>
          <w:sz w:val="18"/>
          <w:szCs w:val="18"/>
        </w:rPr>
        <w:t xml:space="preserve">LB’s programs, policies, practices and strategies relating to culture, </w:t>
      </w:r>
      <w:r>
        <w:rPr>
          <w:rFonts w:ascii="Arial" w:eastAsia="Arial" w:hAnsi="Arial" w:cs="Arial"/>
          <w:sz w:val="18"/>
          <w:szCs w:val="18"/>
        </w:rPr>
        <w:t xml:space="preserve">talent, diversity and inclusion and executive compensation are overseen by the LB HCC Committee. All LB HCC Committee members are appointed by LB’s Board of Directors and meet independence and other NYSE requirements. LB HCC Committee members are selected </w:t>
      </w:r>
      <w:r>
        <w:rPr>
          <w:rFonts w:ascii="Arial" w:eastAsia="Arial" w:hAnsi="Arial" w:cs="Arial"/>
          <w:sz w:val="18"/>
          <w:szCs w:val="18"/>
        </w:rPr>
        <w:t>based on their knowledge and experience in human capital and compensation matters from both their professional experience and their roles on other boards.</w:t>
      </w:r>
    </w:p>
    <w:p w14:paraId="67CCC76E" w14:textId="77777777" w:rsidR="00D1587D" w:rsidRDefault="00D1587D">
      <w:pPr>
        <w:spacing w:line="188" w:lineRule="exact"/>
        <w:rPr>
          <w:sz w:val="20"/>
          <w:szCs w:val="20"/>
        </w:rPr>
      </w:pPr>
    </w:p>
    <w:p w14:paraId="360BB63B" w14:textId="77777777" w:rsidR="00D1587D" w:rsidRDefault="00410D07">
      <w:pPr>
        <w:jc w:val="center"/>
        <w:rPr>
          <w:sz w:val="20"/>
          <w:szCs w:val="20"/>
        </w:rPr>
      </w:pPr>
      <w:r>
        <w:rPr>
          <w:rFonts w:ascii="Arial" w:eastAsia="Arial" w:hAnsi="Arial" w:cs="Arial"/>
          <w:sz w:val="18"/>
          <w:szCs w:val="18"/>
        </w:rPr>
        <w:t>108</w:t>
      </w:r>
    </w:p>
    <w:p w14:paraId="7A5AC527" w14:textId="77777777" w:rsidR="00D1587D" w:rsidRDefault="00410D07">
      <w:pPr>
        <w:spacing w:line="20" w:lineRule="exact"/>
        <w:rPr>
          <w:sz w:val="20"/>
          <w:szCs w:val="20"/>
        </w:rPr>
      </w:pPr>
      <w:r>
        <w:rPr>
          <w:noProof/>
          <w:sz w:val="20"/>
          <w:szCs w:val="20"/>
        </w:rPr>
        <w:drawing>
          <wp:anchor distT="0" distB="0" distL="114300" distR="114300" simplePos="0" relativeHeight="251828224" behindDoc="1" locked="0" layoutInCell="0" allowOverlap="1" wp14:anchorId="57503BF4" wp14:editId="3C18EE03">
            <wp:simplePos x="0" y="0"/>
            <wp:positionH relativeFrom="column">
              <wp:posOffset>-636905</wp:posOffset>
            </wp:positionH>
            <wp:positionV relativeFrom="paragraph">
              <wp:posOffset>126365</wp:posOffset>
            </wp:positionV>
            <wp:extent cx="6995160" cy="17145"/>
            <wp:effectExtent l="0" t="0" r="0" b="0"/>
            <wp:wrapNone/>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74A7390" w14:textId="77777777" w:rsidR="00D1587D" w:rsidRDefault="00D1587D">
      <w:pPr>
        <w:sectPr w:rsidR="00D1587D">
          <w:pgSz w:w="11900" w:h="16838"/>
          <w:pgMar w:top="262" w:right="1440" w:bottom="1440" w:left="1440" w:header="0" w:footer="0" w:gutter="0"/>
          <w:cols w:space="720" w:equalWidth="0">
            <w:col w:w="9019"/>
          </w:cols>
        </w:sectPr>
      </w:pPr>
    </w:p>
    <w:bookmarkStart w:id="366" w:name="page367"/>
    <w:bookmarkEnd w:id="366"/>
    <w:p w14:paraId="4E4021A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D588C78" w14:textId="77777777" w:rsidR="00D1587D" w:rsidRDefault="00D1587D">
      <w:pPr>
        <w:spacing w:line="131" w:lineRule="exact"/>
        <w:rPr>
          <w:sz w:val="20"/>
          <w:szCs w:val="20"/>
        </w:rPr>
      </w:pPr>
    </w:p>
    <w:p w14:paraId="191187ED" w14:textId="77777777" w:rsidR="00D1587D" w:rsidRDefault="00410D07">
      <w:pPr>
        <w:spacing w:line="263" w:lineRule="auto"/>
        <w:ind w:left="300" w:right="379" w:firstLine="360"/>
        <w:rPr>
          <w:sz w:val="20"/>
          <w:szCs w:val="20"/>
        </w:rPr>
      </w:pPr>
      <w:r>
        <w:rPr>
          <w:rFonts w:ascii="Arial" w:eastAsia="Arial" w:hAnsi="Arial" w:cs="Arial"/>
          <w:i/>
          <w:iCs/>
          <w:sz w:val="18"/>
          <w:szCs w:val="18"/>
        </w:rPr>
        <w:t>Going forward</w:t>
      </w:r>
      <w:r>
        <w:rPr>
          <w:rFonts w:ascii="Arial" w:eastAsia="Arial" w:hAnsi="Arial" w:cs="Arial"/>
          <w:sz w:val="18"/>
          <w:szCs w:val="18"/>
        </w:rPr>
        <w:t>: The VS HCC Com</w:t>
      </w:r>
      <w:r>
        <w:rPr>
          <w:rFonts w:ascii="Arial" w:eastAsia="Arial" w:hAnsi="Arial" w:cs="Arial"/>
          <w:sz w:val="18"/>
          <w:szCs w:val="18"/>
        </w:rPr>
        <w:t>mittee will be composed of entirely independent directors and will similarly</w:t>
      </w:r>
      <w:r>
        <w:rPr>
          <w:rFonts w:ascii="Arial" w:eastAsia="Arial" w:hAnsi="Arial" w:cs="Arial"/>
          <w:i/>
          <w:iCs/>
          <w:sz w:val="18"/>
          <w:szCs w:val="18"/>
        </w:rPr>
        <w:t xml:space="preserve"> </w:t>
      </w:r>
      <w:r>
        <w:rPr>
          <w:rFonts w:ascii="Arial" w:eastAsia="Arial" w:hAnsi="Arial" w:cs="Arial"/>
          <w:sz w:val="18"/>
          <w:szCs w:val="18"/>
        </w:rPr>
        <w:t>oversee our programs, policies, practices and strategies relating to culture, talent, diversity and inclusion and executive compensation.</w:t>
      </w:r>
    </w:p>
    <w:p w14:paraId="509848A4" w14:textId="77777777" w:rsidR="00D1587D" w:rsidRDefault="00D1587D">
      <w:pPr>
        <w:spacing w:line="346" w:lineRule="exact"/>
        <w:rPr>
          <w:sz w:val="20"/>
          <w:szCs w:val="20"/>
        </w:rPr>
      </w:pPr>
    </w:p>
    <w:p w14:paraId="7D27A898" w14:textId="77777777" w:rsidR="00D1587D" w:rsidRDefault="00410D07">
      <w:pPr>
        <w:ind w:left="300"/>
        <w:rPr>
          <w:sz w:val="20"/>
          <w:szCs w:val="20"/>
        </w:rPr>
      </w:pPr>
      <w:r>
        <w:rPr>
          <w:rFonts w:ascii="Arial" w:eastAsia="Arial" w:hAnsi="Arial" w:cs="Arial"/>
          <w:b/>
          <w:bCs/>
          <w:i/>
          <w:iCs/>
          <w:sz w:val="18"/>
          <w:szCs w:val="18"/>
        </w:rPr>
        <w:t>Independent Committee Consultant</w:t>
      </w:r>
    </w:p>
    <w:p w14:paraId="757BDA6F" w14:textId="77777777" w:rsidR="00D1587D" w:rsidRDefault="00D1587D">
      <w:pPr>
        <w:spacing w:line="117" w:lineRule="exact"/>
        <w:rPr>
          <w:sz w:val="20"/>
          <w:szCs w:val="20"/>
        </w:rPr>
      </w:pPr>
    </w:p>
    <w:p w14:paraId="2B77C10C" w14:textId="77777777" w:rsidR="00D1587D" w:rsidRDefault="00410D07">
      <w:pPr>
        <w:spacing w:line="263" w:lineRule="auto"/>
        <w:ind w:left="300" w:right="499" w:firstLine="360"/>
        <w:rPr>
          <w:sz w:val="20"/>
          <w:szCs w:val="20"/>
        </w:rPr>
      </w:pPr>
      <w:r>
        <w:rPr>
          <w:rFonts w:ascii="Arial" w:eastAsia="Arial" w:hAnsi="Arial" w:cs="Arial"/>
          <w:sz w:val="18"/>
          <w:szCs w:val="18"/>
        </w:rPr>
        <w:t>As per</w:t>
      </w:r>
      <w:r>
        <w:rPr>
          <w:rFonts w:ascii="Arial" w:eastAsia="Arial" w:hAnsi="Arial" w:cs="Arial"/>
          <w:sz w:val="18"/>
          <w:szCs w:val="18"/>
        </w:rPr>
        <w:t>mitted by its charter, the LB HCC Committee retained Willis Towers Watson (“WTW”) as its independent executive compensation consultant and has the sole authority to retain and terminate any independent executive compensation consultant.</w:t>
      </w:r>
    </w:p>
    <w:p w14:paraId="2C35B26A" w14:textId="77777777" w:rsidR="00D1587D" w:rsidRDefault="00D1587D">
      <w:pPr>
        <w:spacing w:line="76" w:lineRule="exact"/>
        <w:rPr>
          <w:sz w:val="20"/>
          <w:szCs w:val="20"/>
        </w:rPr>
      </w:pPr>
    </w:p>
    <w:p w14:paraId="230A6A2C" w14:textId="77777777" w:rsidR="00D1587D" w:rsidRDefault="00410D07">
      <w:pPr>
        <w:spacing w:line="263" w:lineRule="auto"/>
        <w:ind w:left="300" w:right="399" w:firstLine="360"/>
        <w:rPr>
          <w:sz w:val="20"/>
          <w:szCs w:val="20"/>
        </w:rPr>
      </w:pPr>
      <w:r>
        <w:rPr>
          <w:rFonts w:ascii="Arial" w:eastAsia="Arial" w:hAnsi="Arial" w:cs="Arial"/>
          <w:sz w:val="18"/>
          <w:szCs w:val="18"/>
        </w:rPr>
        <w:t>The LB HCC Committ</w:t>
      </w:r>
      <w:r>
        <w:rPr>
          <w:rFonts w:ascii="Arial" w:eastAsia="Arial" w:hAnsi="Arial" w:cs="Arial"/>
          <w:sz w:val="18"/>
          <w:szCs w:val="18"/>
        </w:rPr>
        <w:t>ee, considering recommendations from LB’s management team, determines the work to be performed by WTW. WTW works with management to gather data required in preparing analyses for LB HCC Committee review. Specifically, the services the consultant provides i</w:t>
      </w:r>
      <w:r>
        <w:rPr>
          <w:rFonts w:ascii="Arial" w:eastAsia="Arial" w:hAnsi="Arial" w:cs="Arial"/>
          <w:sz w:val="18"/>
          <w:szCs w:val="18"/>
        </w:rPr>
        <w:t>nclude:</w:t>
      </w:r>
    </w:p>
    <w:p w14:paraId="6197CF68" w14:textId="77777777" w:rsidR="00D1587D" w:rsidRDefault="00D1587D">
      <w:pPr>
        <w:spacing w:line="76" w:lineRule="exact"/>
        <w:rPr>
          <w:sz w:val="20"/>
          <w:szCs w:val="20"/>
        </w:rPr>
      </w:pPr>
    </w:p>
    <w:p w14:paraId="17FCB62E" w14:textId="77777777" w:rsidR="00D1587D" w:rsidRDefault="00410D07" w:rsidP="00410D07">
      <w:pPr>
        <w:numPr>
          <w:ilvl w:val="0"/>
          <w:numId w:val="310"/>
        </w:numPr>
        <w:tabs>
          <w:tab w:val="left" w:pos="1000"/>
        </w:tabs>
        <w:spacing w:line="277" w:lineRule="auto"/>
        <w:ind w:left="1000" w:right="519" w:hanging="348"/>
        <w:rPr>
          <w:rFonts w:ascii="Arial" w:eastAsia="Arial" w:hAnsi="Arial" w:cs="Arial"/>
          <w:sz w:val="18"/>
          <w:szCs w:val="18"/>
        </w:rPr>
      </w:pPr>
      <w:r>
        <w:rPr>
          <w:rFonts w:ascii="Arial" w:eastAsia="Arial" w:hAnsi="Arial" w:cs="Arial"/>
          <w:sz w:val="18"/>
          <w:szCs w:val="18"/>
        </w:rPr>
        <w:t>Assisting in the evaluation of and providing recommendations for the Chief Executive Officer and other executive compensation;</w:t>
      </w:r>
    </w:p>
    <w:p w14:paraId="54E5BDAE" w14:textId="77777777" w:rsidR="00D1587D" w:rsidRDefault="00D1587D">
      <w:pPr>
        <w:spacing w:line="62" w:lineRule="exact"/>
        <w:rPr>
          <w:rFonts w:ascii="Arial" w:eastAsia="Arial" w:hAnsi="Arial" w:cs="Arial"/>
          <w:sz w:val="18"/>
          <w:szCs w:val="18"/>
        </w:rPr>
      </w:pPr>
    </w:p>
    <w:p w14:paraId="0CAA942E" w14:textId="77777777" w:rsidR="00D1587D" w:rsidRDefault="00410D07" w:rsidP="00410D07">
      <w:pPr>
        <w:numPr>
          <w:ilvl w:val="0"/>
          <w:numId w:val="310"/>
        </w:numPr>
        <w:tabs>
          <w:tab w:val="left" w:pos="1000"/>
        </w:tabs>
        <w:ind w:left="1000" w:hanging="348"/>
        <w:rPr>
          <w:rFonts w:ascii="Arial" w:eastAsia="Arial" w:hAnsi="Arial" w:cs="Arial"/>
          <w:sz w:val="18"/>
          <w:szCs w:val="18"/>
        </w:rPr>
      </w:pPr>
      <w:r>
        <w:rPr>
          <w:rFonts w:ascii="Arial" w:eastAsia="Arial" w:hAnsi="Arial" w:cs="Arial"/>
          <w:sz w:val="18"/>
          <w:szCs w:val="18"/>
        </w:rPr>
        <w:t>Informing the LB HCC Committee of changing market practices;</w:t>
      </w:r>
    </w:p>
    <w:p w14:paraId="070365A2" w14:textId="77777777" w:rsidR="00D1587D" w:rsidRDefault="00D1587D">
      <w:pPr>
        <w:spacing w:line="117" w:lineRule="exact"/>
        <w:rPr>
          <w:rFonts w:ascii="Arial" w:eastAsia="Arial" w:hAnsi="Arial" w:cs="Arial"/>
          <w:sz w:val="18"/>
          <w:szCs w:val="18"/>
        </w:rPr>
      </w:pPr>
    </w:p>
    <w:p w14:paraId="285E9ED1" w14:textId="77777777" w:rsidR="00D1587D" w:rsidRDefault="00410D07" w:rsidP="00410D07">
      <w:pPr>
        <w:numPr>
          <w:ilvl w:val="0"/>
          <w:numId w:val="310"/>
        </w:numPr>
        <w:tabs>
          <w:tab w:val="left" w:pos="1000"/>
        </w:tabs>
        <w:ind w:left="1000" w:hanging="348"/>
        <w:rPr>
          <w:rFonts w:ascii="Arial" w:eastAsia="Arial" w:hAnsi="Arial" w:cs="Arial"/>
          <w:sz w:val="18"/>
          <w:szCs w:val="18"/>
        </w:rPr>
      </w:pPr>
      <w:r>
        <w:rPr>
          <w:rFonts w:ascii="Arial" w:eastAsia="Arial" w:hAnsi="Arial" w:cs="Arial"/>
          <w:sz w:val="18"/>
          <w:szCs w:val="18"/>
        </w:rPr>
        <w:t xml:space="preserve">Consulting on executive compensation strategy and </w:t>
      </w:r>
      <w:r>
        <w:rPr>
          <w:rFonts w:ascii="Arial" w:eastAsia="Arial" w:hAnsi="Arial" w:cs="Arial"/>
          <w:sz w:val="18"/>
          <w:szCs w:val="18"/>
        </w:rPr>
        <w:t>program design;</w:t>
      </w:r>
    </w:p>
    <w:p w14:paraId="50FF7CC9" w14:textId="77777777" w:rsidR="00D1587D" w:rsidRDefault="00D1587D">
      <w:pPr>
        <w:spacing w:line="117" w:lineRule="exact"/>
        <w:rPr>
          <w:rFonts w:ascii="Arial" w:eastAsia="Arial" w:hAnsi="Arial" w:cs="Arial"/>
          <w:sz w:val="18"/>
          <w:szCs w:val="18"/>
        </w:rPr>
      </w:pPr>
    </w:p>
    <w:p w14:paraId="74630215" w14:textId="77777777" w:rsidR="00D1587D" w:rsidRDefault="00410D07" w:rsidP="00410D07">
      <w:pPr>
        <w:numPr>
          <w:ilvl w:val="0"/>
          <w:numId w:val="310"/>
        </w:numPr>
        <w:tabs>
          <w:tab w:val="left" w:pos="1000"/>
        </w:tabs>
        <w:ind w:left="1000" w:hanging="348"/>
        <w:rPr>
          <w:rFonts w:ascii="Arial" w:eastAsia="Arial" w:hAnsi="Arial" w:cs="Arial"/>
          <w:sz w:val="18"/>
          <w:szCs w:val="18"/>
        </w:rPr>
      </w:pPr>
      <w:r>
        <w:rPr>
          <w:rFonts w:ascii="Arial" w:eastAsia="Arial" w:hAnsi="Arial" w:cs="Arial"/>
          <w:sz w:val="18"/>
          <w:szCs w:val="18"/>
        </w:rPr>
        <w:t>Analyzing the competitiveness of executive pay;</w:t>
      </w:r>
    </w:p>
    <w:p w14:paraId="1553E262" w14:textId="77777777" w:rsidR="00D1587D" w:rsidRDefault="00D1587D">
      <w:pPr>
        <w:spacing w:line="117" w:lineRule="exact"/>
        <w:rPr>
          <w:rFonts w:ascii="Arial" w:eastAsia="Arial" w:hAnsi="Arial" w:cs="Arial"/>
          <w:sz w:val="18"/>
          <w:szCs w:val="18"/>
        </w:rPr>
      </w:pPr>
    </w:p>
    <w:p w14:paraId="4E207BBA" w14:textId="77777777" w:rsidR="00D1587D" w:rsidRDefault="00410D07" w:rsidP="00410D07">
      <w:pPr>
        <w:numPr>
          <w:ilvl w:val="0"/>
          <w:numId w:val="310"/>
        </w:numPr>
        <w:tabs>
          <w:tab w:val="left" w:pos="1000"/>
        </w:tabs>
        <w:ind w:left="1000" w:hanging="348"/>
        <w:rPr>
          <w:rFonts w:ascii="Arial" w:eastAsia="Arial" w:hAnsi="Arial" w:cs="Arial"/>
          <w:sz w:val="18"/>
          <w:szCs w:val="18"/>
        </w:rPr>
      </w:pPr>
      <w:r>
        <w:rPr>
          <w:rFonts w:ascii="Arial" w:eastAsia="Arial" w:hAnsi="Arial" w:cs="Arial"/>
          <w:sz w:val="18"/>
          <w:szCs w:val="18"/>
        </w:rPr>
        <w:t>Assisting in the selection of our peer group; and</w:t>
      </w:r>
    </w:p>
    <w:p w14:paraId="4F377C44" w14:textId="77777777" w:rsidR="00D1587D" w:rsidRDefault="00D1587D">
      <w:pPr>
        <w:spacing w:line="117" w:lineRule="exact"/>
        <w:rPr>
          <w:rFonts w:ascii="Arial" w:eastAsia="Arial" w:hAnsi="Arial" w:cs="Arial"/>
          <w:sz w:val="18"/>
          <w:szCs w:val="18"/>
        </w:rPr>
      </w:pPr>
    </w:p>
    <w:p w14:paraId="1EA7138C" w14:textId="77777777" w:rsidR="00D1587D" w:rsidRDefault="00410D07" w:rsidP="00410D07">
      <w:pPr>
        <w:numPr>
          <w:ilvl w:val="0"/>
          <w:numId w:val="310"/>
        </w:numPr>
        <w:tabs>
          <w:tab w:val="left" w:pos="1000"/>
        </w:tabs>
        <w:ind w:left="1000" w:hanging="348"/>
        <w:rPr>
          <w:rFonts w:ascii="Arial" w:eastAsia="Arial" w:hAnsi="Arial" w:cs="Arial"/>
          <w:sz w:val="18"/>
          <w:szCs w:val="18"/>
        </w:rPr>
      </w:pPr>
      <w:r>
        <w:rPr>
          <w:rFonts w:ascii="Arial" w:eastAsia="Arial" w:hAnsi="Arial" w:cs="Arial"/>
          <w:sz w:val="18"/>
          <w:szCs w:val="18"/>
        </w:rPr>
        <w:t>Assisting and reviewing in LB’s compensation &amp; discussion analysis disclosure.</w:t>
      </w:r>
    </w:p>
    <w:p w14:paraId="0AA5A958" w14:textId="77777777" w:rsidR="00D1587D" w:rsidRDefault="00D1587D">
      <w:pPr>
        <w:spacing w:line="117" w:lineRule="exact"/>
        <w:rPr>
          <w:sz w:val="20"/>
          <w:szCs w:val="20"/>
        </w:rPr>
      </w:pPr>
    </w:p>
    <w:p w14:paraId="105E5363" w14:textId="77777777" w:rsidR="00D1587D" w:rsidRDefault="00410D07">
      <w:pPr>
        <w:spacing w:line="263" w:lineRule="auto"/>
        <w:ind w:left="300" w:right="499" w:firstLine="360"/>
        <w:rPr>
          <w:sz w:val="20"/>
          <w:szCs w:val="20"/>
        </w:rPr>
      </w:pPr>
      <w:r>
        <w:rPr>
          <w:rFonts w:ascii="Arial" w:eastAsia="Arial" w:hAnsi="Arial" w:cs="Arial"/>
          <w:i/>
          <w:iCs/>
          <w:sz w:val="18"/>
          <w:szCs w:val="18"/>
        </w:rPr>
        <w:t>Going forward</w:t>
      </w:r>
      <w:r>
        <w:rPr>
          <w:rFonts w:ascii="Arial" w:eastAsia="Arial" w:hAnsi="Arial" w:cs="Arial"/>
          <w:sz w:val="18"/>
          <w:szCs w:val="18"/>
        </w:rPr>
        <w:t>: Once we are a separate public company, the V</w:t>
      </w:r>
      <w:r>
        <w:rPr>
          <w:rFonts w:ascii="Arial" w:eastAsia="Arial" w:hAnsi="Arial" w:cs="Arial"/>
          <w:sz w:val="18"/>
          <w:szCs w:val="18"/>
        </w:rPr>
        <w:t>S HCC Committee will engage an independent</w:t>
      </w:r>
      <w:r>
        <w:rPr>
          <w:rFonts w:ascii="Arial" w:eastAsia="Arial" w:hAnsi="Arial" w:cs="Arial"/>
          <w:i/>
          <w:iCs/>
          <w:sz w:val="18"/>
          <w:szCs w:val="18"/>
        </w:rPr>
        <w:t xml:space="preserve"> </w:t>
      </w:r>
      <w:r>
        <w:rPr>
          <w:rFonts w:ascii="Arial" w:eastAsia="Arial" w:hAnsi="Arial" w:cs="Arial"/>
          <w:sz w:val="18"/>
          <w:szCs w:val="18"/>
        </w:rPr>
        <w:t>compensation consultant to perform services consistent with those described above and such other services as it deems necessary to reflect our position as a new, smaller public company.</w:t>
      </w:r>
    </w:p>
    <w:p w14:paraId="0DB1BC35" w14:textId="77777777" w:rsidR="00D1587D" w:rsidRDefault="00D1587D">
      <w:pPr>
        <w:spacing w:line="332" w:lineRule="exact"/>
        <w:rPr>
          <w:sz w:val="20"/>
          <w:szCs w:val="20"/>
        </w:rPr>
      </w:pPr>
    </w:p>
    <w:p w14:paraId="768DFC6A" w14:textId="77777777" w:rsidR="00D1587D" w:rsidRDefault="00410D07">
      <w:pPr>
        <w:ind w:left="300"/>
        <w:rPr>
          <w:sz w:val="20"/>
          <w:szCs w:val="20"/>
        </w:rPr>
      </w:pPr>
      <w:r>
        <w:rPr>
          <w:rFonts w:ascii="Arial" w:eastAsia="Arial" w:hAnsi="Arial" w:cs="Arial"/>
          <w:b/>
          <w:bCs/>
          <w:i/>
          <w:iCs/>
          <w:sz w:val="18"/>
          <w:szCs w:val="18"/>
        </w:rPr>
        <w:t>Compensation Comparison</w:t>
      </w:r>
    </w:p>
    <w:p w14:paraId="4019736E" w14:textId="77777777" w:rsidR="00D1587D" w:rsidRDefault="00D1587D">
      <w:pPr>
        <w:spacing w:line="117" w:lineRule="exact"/>
        <w:rPr>
          <w:sz w:val="20"/>
          <w:szCs w:val="20"/>
        </w:rPr>
      </w:pPr>
    </w:p>
    <w:p w14:paraId="2B6E25CB" w14:textId="77777777" w:rsidR="00D1587D" w:rsidRDefault="00410D07">
      <w:pPr>
        <w:spacing w:line="263" w:lineRule="auto"/>
        <w:ind w:left="300" w:right="339" w:firstLine="360"/>
        <w:rPr>
          <w:sz w:val="20"/>
          <w:szCs w:val="20"/>
        </w:rPr>
      </w:pPr>
      <w:r>
        <w:rPr>
          <w:rFonts w:ascii="Arial" w:eastAsia="Arial" w:hAnsi="Arial" w:cs="Arial"/>
          <w:sz w:val="18"/>
          <w:szCs w:val="18"/>
        </w:rPr>
        <w:t>LB compares its executive compensation with publicly available data on executive compensation, including the executive compensation paid by its peer companies, in order to appropriately establish incentives and to retain top talent.</w:t>
      </w:r>
    </w:p>
    <w:p w14:paraId="3BACA6A0" w14:textId="77777777" w:rsidR="00D1587D" w:rsidRDefault="00D1587D">
      <w:pPr>
        <w:spacing w:line="76" w:lineRule="exact"/>
        <w:rPr>
          <w:sz w:val="20"/>
          <w:szCs w:val="20"/>
        </w:rPr>
      </w:pPr>
    </w:p>
    <w:p w14:paraId="698125B5" w14:textId="77777777" w:rsidR="00D1587D" w:rsidRDefault="00410D07">
      <w:pPr>
        <w:spacing w:line="277" w:lineRule="auto"/>
        <w:ind w:left="300" w:right="899" w:firstLine="360"/>
        <w:rPr>
          <w:sz w:val="20"/>
          <w:szCs w:val="20"/>
        </w:rPr>
      </w:pPr>
      <w:r>
        <w:rPr>
          <w:rFonts w:ascii="Arial" w:eastAsia="Arial" w:hAnsi="Arial" w:cs="Arial"/>
          <w:sz w:val="18"/>
          <w:szCs w:val="18"/>
        </w:rPr>
        <w:t>LB defines its peer gr</w:t>
      </w:r>
      <w:r>
        <w:rPr>
          <w:rFonts w:ascii="Arial" w:eastAsia="Arial" w:hAnsi="Arial" w:cs="Arial"/>
          <w:sz w:val="18"/>
          <w:szCs w:val="18"/>
        </w:rPr>
        <w:t>oup, with the help of WTW, the LB HCC Committee’s independent compensation consultant, to generally include:</w:t>
      </w:r>
    </w:p>
    <w:p w14:paraId="1A908BF0" w14:textId="77777777" w:rsidR="00D1587D" w:rsidRDefault="00D1587D">
      <w:pPr>
        <w:spacing w:line="62" w:lineRule="exact"/>
        <w:rPr>
          <w:sz w:val="20"/>
          <w:szCs w:val="20"/>
        </w:rPr>
      </w:pPr>
    </w:p>
    <w:p w14:paraId="36554157" w14:textId="77777777" w:rsidR="00D1587D" w:rsidRDefault="00410D07" w:rsidP="00410D07">
      <w:pPr>
        <w:numPr>
          <w:ilvl w:val="0"/>
          <w:numId w:val="311"/>
        </w:numPr>
        <w:tabs>
          <w:tab w:val="left" w:pos="1000"/>
        </w:tabs>
        <w:spacing w:line="277" w:lineRule="auto"/>
        <w:ind w:left="1000" w:right="899" w:hanging="348"/>
        <w:rPr>
          <w:rFonts w:ascii="Arial" w:eastAsia="Arial" w:hAnsi="Arial" w:cs="Arial"/>
          <w:sz w:val="18"/>
          <w:szCs w:val="18"/>
        </w:rPr>
      </w:pPr>
      <w:r>
        <w:rPr>
          <w:rFonts w:ascii="Arial" w:eastAsia="Arial" w:hAnsi="Arial" w:cs="Arial"/>
          <w:sz w:val="18"/>
          <w:szCs w:val="18"/>
        </w:rPr>
        <w:t>Businesses that are generally similar to LB in total revenue, market capitalization, global footprint, business and/or merchandise focus;</w:t>
      </w:r>
    </w:p>
    <w:p w14:paraId="7FB8878F" w14:textId="77777777" w:rsidR="00D1587D" w:rsidRDefault="00D1587D">
      <w:pPr>
        <w:spacing w:line="62" w:lineRule="exact"/>
        <w:rPr>
          <w:rFonts w:ascii="Arial" w:eastAsia="Arial" w:hAnsi="Arial" w:cs="Arial"/>
          <w:sz w:val="18"/>
          <w:szCs w:val="18"/>
        </w:rPr>
      </w:pPr>
    </w:p>
    <w:p w14:paraId="65357ACC" w14:textId="77777777" w:rsidR="00D1587D" w:rsidRDefault="00410D07" w:rsidP="00410D07">
      <w:pPr>
        <w:numPr>
          <w:ilvl w:val="0"/>
          <w:numId w:val="311"/>
        </w:numPr>
        <w:tabs>
          <w:tab w:val="left" w:pos="1000"/>
        </w:tabs>
        <w:ind w:left="1000" w:hanging="348"/>
        <w:rPr>
          <w:rFonts w:ascii="Arial" w:eastAsia="Arial" w:hAnsi="Arial" w:cs="Arial"/>
          <w:sz w:val="18"/>
          <w:szCs w:val="18"/>
        </w:rPr>
      </w:pPr>
      <w:r>
        <w:rPr>
          <w:rFonts w:ascii="Arial" w:eastAsia="Arial" w:hAnsi="Arial" w:cs="Arial"/>
          <w:sz w:val="18"/>
          <w:szCs w:val="18"/>
        </w:rPr>
        <w:t>Retaile</w:t>
      </w:r>
      <w:r>
        <w:rPr>
          <w:rFonts w:ascii="Arial" w:eastAsia="Arial" w:hAnsi="Arial" w:cs="Arial"/>
          <w:sz w:val="18"/>
          <w:szCs w:val="18"/>
        </w:rPr>
        <w:t>rs that compete with LB for executive talent;</w:t>
      </w:r>
    </w:p>
    <w:p w14:paraId="4FB4DC12" w14:textId="77777777" w:rsidR="00D1587D" w:rsidRDefault="00D1587D">
      <w:pPr>
        <w:spacing w:line="117" w:lineRule="exact"/>
        <w:rPr>
          <w:rFonts w:ascii="Arial" w:eastAsia="Arial" w:hAnsi="Arial" w:cs="Arial"/>
          <w:sz w:val="18"/>
          <w:szCs w:val="18"/>
        </w:rPr>
      </w:pPr>
    </w:p>
    <w:p w14:paraId="686B70F5" w14:textId="77777777" w:rsidR="00D1587D" w:rsidRDefault="00410D07" w:rsidP="00410D07">
      <w:pPr>
        <w:numPr>
          <w:ilvl w:val="0"/>
          <w:numId w:val="311"/>
        </w:numPr>
        <w:tabs>
          <w:tab w:val="left" w:pos="1000"/>
        </w:tabs>
        <w:ind w:left="1000" w:hanging="348"/>
        <w:rPr>
          <w:rFonts w:ascii="Arial" w:eastAsia="Arial" w:hAnsi="Arial" w:cs="Arial"/>
          <w:sz w:val="18"/>
          <w:szCs w:val="18"/>
        </w:rPr>
      </w:pPr>
      <w:r>
        <w:rPr>
          <w:rFonts w:ascii="Arial" w:eastAsia="Arial" w:hAnsi="Arial" w:cs="Arial"/>
          <w:sz w:val="18"/>
          <w:szCs w:val="18"/>
        </w:rPr>
        <w:t>Specialty and department store retailers; and</w:t>
      </w:r>
    </w:p>
    <w:p w14:paraId="7CD95FB6" w14:textId="77777777" w:rsidR="00D1587D" w:rsidRDefault="00D1587D">
      <w:pPr>
        <w:spacing w:line="117" w:lineRule="exact"/>
        <w:rPr>
          <w:rFonts w:ascii="Arial" w:eastAsia="Arial" w:hAnsi="Arial" w:cs="Arial"/>
          <w:sz w:val="18"/>
          <w:szCs w:val="18"/>
        </w:rPr>
      </w:pPr>
    </w:p>
    <w:p w14:paraId="3A39BADC" w14:textId="77777777" w:rsidR="00D1587D" w:rsidRDefault="00410D07" w:rsidP="00410D07">
      <w:pPr>
        <w:numPr>
          <w:ilvl w:val="0"/>
          <w:numId w:val="311"/>
        </w:numPr>
        <w:tabs>
          <w:tab w:val="left" w:pos="1000"/>
        </w:tabs>
        <w:ind w:left="1000" w:hanging="348"/>
        <w:rPr>
          <w:rFonts w:ascii="Arial" w:eastAsia="Arial" w:hAnsi="Arial" w:cs="Arial"/>
          <w:sz w:val="18"/>
          <w:szCs w:val="18"/>
        </w:rPr>
      </w:pPr>
      <w:r>
        <w:rPr>
          <w:rFonts w:ascii="Arial" w:eastAsia="Arial" w:hAnsi="Arial" w:cs="Arial"/>
          <w:sz w:val="18"/>
          <w:szCs w:val="18"/>
        </w:rPr>
        <w:t>Companies with brands that have emotional content.</w:t>
      </w:r>
    </w:p>
    <w:p w14:paraId="53C25992" w14:textId="77777777" w:rsidR="00D1587D" w:rsidRDefault="00D1587D">
      <w:pPr>
        <w:spacing w:line="117" w:lineRule="exact"/>
        <w:rPr>
          <w:sz w:val="20"/>
          <w:szCs w:val="20"/>
        </w:rPr>
      </w:pPr>
    </w:p>
    <w:p w14:paraId="61F31319" w14:textId="77777777" w:rsidR="00D1587D" w:rsidRDefault="00410D07">
      <w:pPr>
        <w:spacing w:line="277" w:lineRule="auto"/>
        <w:ind w:left="300" w:right="419" w:firstLine="360"/>
        <w:rPr>
          <w:sz w:val="20"/>
          <w:szCs w:val="20"/>
        </w:rPr>
      </w:pPr>
      <w:r>
        <w:rPr>
          <w:rFonts w:ascii="Arial" w:eastAsia="Arial" w:hAnsi="Arial" w:cs="Arial"/>
          <w:sz w:val="18"/>
          <w:szCs w:val="18"/>
        </w:rPr>
        <w:t>LB reviews its peer group annually and did not make any changes in fiscal 2020. Its peer group consists of the</w:t>
      </w:r>
      <w:r>
        <w:rPr>
          <w:rFonts w:ascii="Arial" w:eastAsia="Arial" w:hAnsi="Arial" w:cs="Arial"/>
          <w:sz w:val="18"/>
          <w:szCs w:val="18"/>
        </w:rPr>
        <w:t xml:space="preserve"> following companies:</w:t>
      </w:r>
    </w:p>
    <w:p w14:paraId="453096D9" w14:textId="77777777" w:rsidR="00D1587D" w:rsidRDefault="00D1587D">
      <w:pPr>
        <w:spacing w:line="13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640"/>
        <w:gridCol w:w="2640"/>
        <w:gridCol w:w="2280"/>
      </w:tblGrid>
      <w:tr w:rsidR="00D1587D" w14:paraId="20290128" w14:textId="77777777">
        <w:trPr>
          <w:trHeight w:val="230"/>
        </w:trPr>
        <w:tc>
          <w:tcPr>
            <w:tcW w:w="2640" w:type="dxa"/>
            <w:vAlign w:val="bottom"/>
          </w:tcPr>
          <w:p w14:paraId="7417EAD4" w14:textId="77777777" w:rsidR="00D1587D" w:rsidRDefault="00410D07">
            <w:pPr>
              <w:rPr>
                <w:sz w:val="20"/>
                <w:szCs w:val="20"/>
              </w:rPr>
            </w:pPr>
            <w:r>
              <w:rPr>
                <w:rFonts w:ascii="Arial" w:eastAsia="Arial" w:hAnsi="Arial" w:cs="Arial"/>
                <w:sz w:val="18"/>
                <w:szCs w:val="18"/>
              </w:rPr>
              <w:t>Abercrombie &amp; Fitch Co.</w:t>
            </w:r>
          </w:p>
        </w:tc>
        <w:tc>
          <w:tcPr>
            <w:tcW w:w="2640" w:type="dxa"/>
            <w:vAlign w:val="bottom"/>
          </w:tcPr>
          <w:p w14:paraId="5498CBB6" w14:textId="77777777" w:rsidR="00D1587D" w:rsidRDefault="00410D07">
            <w:pPr>
              <w:ind w:left="220"/>
              <w:rPr>
                <w:sz w:val="20"/>
                <w:szCs w:val="20"/>
              </w:rPr>
            </w:pPr>
            <w:r>
              <w:rPr>
                <w:rFonts w:ascii="Arial" w:eastAsia="Arial" w:hAnsi="Arial" w:cs="Arial"/>
                <w:sz w:val="18"/>
                <w:szCs w:val="18"/>
              </w:rPr>
              <w:t>J. C. Penney Company, Inc.</w:t>
            </w:r>
          </w:p>
        </w:tc>
        <w:tc>
          <w:tcPr>
            <w:tcW w:w="2280" w:type="dxa"/>
            <w:vAlign w:val="bottom"/>
          </w:tcPr>
          <w:p w14:paraId="04CBF956" w14:textId="77777777" w:rsidR="00D1587D" w:rsidRDefault="00410D07">
            <w:pPr>
              <w:ind w:left="440"/>
              <w:rPr>
                <w:sz w:val="20"/>
                <w:szCs w:val="20"/>
              </w:rPr>
            </w:pPr>
            <w:r>
              <w:rPr>
                <w:rFonts w:ascii="Arial" w:eastAsia="Arial" w:hAnsi="Arial" w:cs="Arial"/>
                <w:sz w:val="18"/>
                <w:szCs w:val="18"/>
              </w:rPr>
              <w:t>Ross Stores, Inc.</w:t>
            </w:r>
          </w:p>
        </w:tc>
      </w:tr>
      <w:tr w:rsidR="00D1587D" w14:paraId="51F748F6" w14:textId="77777777">
        <w:trPr>
          <w:trHeight w:val="324"/>
        </w:trPr>
        <w:tc>
          <w:tcPr>
            <w:tcW w:w="2640" w:type="dxa"/>
            <w:vAlign w:val="bottom"/>
          </w:tcPr>
          <w:p w14:paraId="601E15C0" w14:textId="77777777" w:rsidR="00D1587D" w:rsidRDefault="00410D07">
            <w:pPr>
              <w:rPr>
                <w:sz w:val="20"/>
                <w:szCs w:val="20"/>
              </w:rPr>
            </w:pPr>
            <w:r>
              <w:rPr>
                <w:rFonts w:ascii="Arial" w:eastAsia="Arial" w:hAnsi="Arial" w:cs="Arial"/>
                <w:sz w:val="18"/>
                <w:szCs w:val="18"/>
              </w:rPr>
              <w:t>American Eagle Outfitters, Inc.</w:t>
            </w:r>
          </w:p>
        </w:tc>
        <w:tc>
          <w:tcPr>
            <w:tcW w:w="2640" w:type="dxa"/>
            <w:vAlign w:val="bottom"/>
          </w:tcPr>
          <w:p w14:paraId="7D3545C1" w14:textId="77777777" w:rsidR="00D1587D" w:rsidRDefault="00410D07">
            <w:pPr>
              <w:ind w:left="220"/>
              <w:rPr>
                <w:sz w:val="20"/>
                <w:szCs w:val="20"/>
              </w:rPr>
            </w:pPr>
            <w:r>
              <w:rPr>
                <w:rFonts w:ascii="Arial" w:eastAsia="Arial" w:hAnsi="Arial" w:cs="Arial"/>
                <w:sz w:val="18"/>
                <w:szCs w:val="18"/>
              </w:rPr>
              <w:t>Kohl’s Corporation</w:t>
            </w:r>
          </w:p>
        </w:tc>
        <w:tc>
          <w:tcPr>
            <w:tcW w:w="2280" w:type="dxa"/>
            <w:vAlign w:val="bottom"/>
          </w:tcPr>
          <w:p w14:paraId="7FC2099A" w14:textId="77777777" w:rsidR="00D1587D" w:rsidRDefault="00410D07">
            <w:pPr>
              <w:ind w:left="440"/>
              <w:rPr>
                <w:sz w:val="20"/>
                <w:szCs w:val="20"/>
              </w:rPr>
            </w:pPr>
            <w:r>
              <w:rPr>
                <w:rFonts w:ascii="Arial" w:eastAsia="Arial" w:hAnsi="Arial" w:cs="Arial"/>
                <w:sz w:val="18"/>
                <w:szCs w:val="18"/>
              </w:rPr>
              <w:t>Starbucks Corporation</w:t>
            </w:r>
          </w:p>
        </w:tc>
      </w:tr>
      <w:tr w:rsidR="00D1587D" w14:paraId="4378F939" w14:textId="77777777">
        <w:trPr>
          <w:trHeight w:val="324"/>
        </w:trPr>
        <w:tc>
          <w:tcPr>
            <w:tcW w:w="2640" w:type="dxa"/>
            <w:vAlign w:val="bottom"/>
          </w:tcPr>
          <w:p w14:paraId="16B6F47D" w14:textId="77777777" w:rsidR="00D1587D" w:rsidRDefault="00410D07">
            <w:pPr>
              <w:rPr>
                <w:sz w:val="20"/>
                <w:szCs w:val="20"/>
              </w:rPr>
            </w:pPr>
            <w:r>
              <w:rPr>
                <w:rFonts w:ascii="Arial" w:eastAsia="Arial" w:hAnsi="Arial" w:cs="Arial"/>
                <w:sz w:val="18"/>
                <w:szCs w:val="18"/>
              </w:rPr>
              <w:t>Avon Products, Inc.</w:t>
            </w:r>
          </w:p>
        </w:tc>
        <w:tc>
          <w:tcPr>
            <w:tcW w:w="2640" w:type="dxa"/>
            <w:vAlign w:val="bottom"/>
          </w:tcPr>
          <w:p w14:paraId="03CE2134" w14:textId="77777777" w:rsidR="00D1587D" w:rsidRDefault="00410D07">
            <w:pPr>
              <w:ind w:left="220"/>
              <w:rPr>
                <w:sz w:val="20"/>
                <w:szCs w:val="20"/>
              </w:rPr>
            </w:pPr>
            <w:r>
              <w:rPr>
                <w:rFonts w:ascii="Arial" w:eastAsia="Arial" w:hAnsi="Arial" w:cs="Arial"/>
                <w:sz w:val="18"/>
                <w:szCs w:val="18"/>
              </w:rPr>
              <w:t>Macy’s, Inc.</w:t>
            </w:r>
          </w:p>
        </w:tc>
        <w:tc>
          <w:tcPr>
            <w:tcW w:w="2280" w:type="dxa"/>
            <w:vAlign w:val="bottom"/>
          </w:tcPr>
          <w:p w14:paraId="15DC6770" w14:textId="77777777" w:rsidR="00D1587D" w:rsidRDefault="00410D07">
            <w:pPr>
              <w:ind w:left="440"/>
              <w:rPr>
                <w:sz w:val="20"/>
                <w:szCs w:val="20"/>
              </w:rPr>
            </w:pPr>
            <w:r>
              <w:rPr>
                <w:rFonts w:ascii="Arial" w:eastAsia="Arial" w:hAnsi="Arial" w:cs="Arial"/>
                <w:sz w:val="18"/>
                <w:szCs w:val="18"/>
              </w:rPr>
              <w:t>Tapestry, Inc.</w:t>
            </w:r>
          </w:p>
        </w:tc>
      </w:tr>
      <w:tr w:rsidR="00D1587D" w14:paraId="02B5ADEB" w14:textId="77777777">
        <w:trPr>
          <w:trHeight w:val="324"/>
        </w:trPr>
        <w:tc>
          <w:tcPr>
            <w:tcW w:w="2640" w:type="dxa"/>
            <w:vAlign w:val="bottom"/>
          </w:tcPr>
          <w:p w14:paraId="12FDC8C4" w14:textId="77777777" w:rsidR="00D1587D" w:rsidRDefault="00410D07">
            <w:pPr>
              <w:rPr>
                <w:sz w:val="20"/>
                <w:szCs w:val="20"/>
              </w:rPr>
            </w:pPr>
            <w:r>
              <w:rPr>
                <w:rFonts w:ascii="Arial" w:eastAsia="Arial" w:hAnsi="Arial" w:cs="Arial"/>
                <w:sz w:val="18"/>
                <w:szCs w:val="18"/>
              </w:rPr>
              <w:t>Bed Bath &amp; Beyond Inc.</w:t>
            </w:r>
          </w:p>
        </w:tc>
        <w:tc>
          <w:tcPr>
            <w:tcW w:w="2640" w:type="dxa"/>
            <w:vAlign w:val="bottom"/>
          </w:tcPr>
          <w:p w14:paraId="2D0BBE80" w14:textId="77777777" w:rsidR="00D1587D" w:rsidRDefault="00410D07">
            <w:pPr>
              <w:ind w:left="220"/>
              <w:rPr>
                <w:sz w:val="20"/>
                <w:szCs w:val="20"/>
              </w:rPr>
            </w:pPr>
            <w:r>
              <w:rPr>
                <w:rFonts w:ascii="Arial" w:eastAsia="Arial" w:hAnsi="Arial" w:cs="Arial"/>
                <w:sz w:val="18"/>
                <w:szCs w:val="18"/>
              </w:rPr>
              <w:t>NIKE, Inc.</w:t>
            </w:r>
          </w:p>
        </w:tc>
        <w:tc>
          <w:tcPr>
            <w:tcW w:w="2280" w:type="dxa"/>
            <w:vAlign w:val="bottom"/>
          </w:tcPr>
          <w:p w14:paraId="3698104A" w14:textId="77777777" w:rsidR="00D1587D" w:rsidRDefault="00410D07">
            <w:pPr>
              <w:ind w:left="440"/>
              <w:rPr>
                <w:sz w:val="20"/>
                <w:szCs w:val="20"/>
              </w:rPr>
            </w:pPr>
            <w:r>
              <w:rPr>
                <w:rFonts w:ascii="Arial" w:eastAsia="Arial" w:hAnsi="Arial" w:cs="Arial"/>
                <w:w w:val="89"/>
                <w:sz w:val="18"/>
                <w:szCs w:val="18"/>
              </w:rPr>
              <w:t xml:space="preserve">The </w:t>
            </w:r>
            <w:r>
              <w:rPr>
                <w:rFonts w:ascii="Arial" w:eastAsia="Arial" w:hAnsi="Arial" w:cs="Arial"/>
                <w:w w:val="89"/>
                <w:sz w:val="18"/>
                <w:szCs w:val="18"/>
              </w:rPr>
              <w:t>TJX Companies, Inc.</w:t>
            </w:r>
          </w:p>
        </w:tc>
      </w:tr>
      <w:tr w:rsidR="00D1587D" w14:paraId="46A06369" w14:textId="77777777">
        <w:trPr>
          <w:trHeight w:val="324"/>
        </w:trPr>
        <w:tc>
          <w:tcPr>
            <w:tcW w:w="2640" w:type="dxa"/>
            <w:vAlign w:val="bottom"/>
          </w:tcPr>
          <w:p w14:paraId="0EDDCB58" w14:textId="77777777" w:rsidR="00D1587D" w:rsidRDefault="00410D07">
            <w:pPr>
              <w:rPr>
                <w:sz w:val="20"/>
                <w:szCs w:val="20"/>
              </w:rPr>
            </w:pPr>
            <w:r>
              <w:rPr>
                <w:rFonts w:ascii="Arial" w:eastAsia="Arial" w:hAnsi="Arial" w:cs="Arial"/>
                <w:w w:val="95"/>
                <w:sz w:val="18"/>
                <w:szCs w:val="18"/>
              </w:rPr>
              <w:t>The Estee Lauder Companies Inc.</w:t>
            </w:r>
          </w:p>
        </w:tc>
        <w:tc>
          <w:tcPr>
            <w:tcW w:w="2640" w:type="dxa"/>
            <w:vAlign w:val="bottom"/>
          </w:tcPr>
          <w:p w14:paraId="6DCEA092" w14:textId="77777777" w:rsidR="00D1587D" w:rsidRDefault="00410D07">
            <w:pPr>
              <w:ind w:left="220"/>
              <w:rPr>
                <w:sz w:val="20"/>
                <w:szCs w:val="20"/>
              </w:rPr>
            </w:pPr>
            <w:r>
              <w:rPr>
                <w:rFonts w:ascii="Arial" w:eastAsia="Arial" w:hAnsi="Arial" w:cs="Arial"/>
                <w:sz w:val="18"/>
                <w:szCs w:val="18"/>
              </w:rPr>
              <w:t>Nordstrom, Inc.</w:t>
            </w:r>
          </w:p>
        </w:tc>
        <w:tc>
          <w:tcPr>
            <w:tcW w:w="2280" w:type="dxa"/>
            <w:vAlign w:val="bottom"/>
          </w:tcPr>
          <w:p w14:paraId="2AF2FB53" w14:textId="77777777" w:rsidR="00D1587D" w:rsidRDefault="00410D07">
            <w:pPr>
              <w:ind w:left="440"/>
              <w:rPr>
                <w:sz w:val="20"/>
                <w:szCs w:val="20"/>
              </w:rPr>
            </w:pPr>
            <w:r>
              <w:rPr>
                <w:rFonts w:ascii="Arial" w:eastAsia="Arial" w:hAnsi="Arial" w:cs="Arial"/>
                <w:sz w:val="18"/>
                <w:szCs w:val="18"/>
              </w:rPr>
              <w:t>Williams-Sonoma, Inc.</w:t>
            </w:r>
          </w:p>
        </w:tc>
      </w:tr>
      <w:tr w:rsidR="00D1587D" w14:paraId="53D2FDCB" w14:textId="77777777">
        <w:trPr>
          <w:trHeight w:val="324"/>
        </w:trPr>
        <w:tc>
          <w:tcPr>
            <w:tcW w:w="2640" w:type="dxa"/>
            <w:vAlign w:val="bottom"/>
          </w:tcPr>
          <w:p w14:paraId="12129F32" w14:textId="77777777" w:rsidR="00D1587D" w:rsidRDefault="00410D07">
            <w:pPr>
              <w:rPr>
                <w:sz w:val="20"/>
                <w:szCs w:val="20"/>
              </w:rPr>
            </w:pPr>
            <w:r>
              <w:rPr>
                <w:rFonts w:ascii="Arial" w:eastAsia="Arial" w:hAnsi="Arial" w:cs="Arial"/>
                <w:sz w:val="18"/>
                <w:szCs w:val="18"/>
              </w:rPr>
              <w:t>The Gap, Inc.</w:t>
            </w:r>
          </w:p>
        </w:tc>
        <w:tc>
          <w:tcPr>
            <w:tcW w:w="2640" w:type="dxa"/>
            <w:vAlign w:val="bottom"/>
          </w:tcPr>
          <w:p w14:paraId="6F71F1CA" w14:textId="77777777" w:rsidR="00D1587D" w:rsidRDefault="00410D07">
            <w:pPr>
              <w:ind w:left="220"/>
              <w:rPr>
                <w:sz w:val="20"/>
                <w:szCs w:val="20"/>
              </w:rPr>
            </w:pPr>
            <w:r>
              <w:rPr>
                <w:rFonts w:ascii="Arial" w:eastAsia="Arial" w:hAnsi="Arial" w:cs="Arial"/>
                <w:sz w:val="18"/>
                <w:szCs w:val="18"/>
              </w:rPr>
              <w:t>Ralph Lauren Corporation</w:t>
            </w:r>
          </w:p>
        </w:tc>
        <w:tc>
          <w:tcPr>
            <w:tcW w:w="2280" w:type="dxa"/>
            <w:vAlign w:val="bottom"/>
          </w:tcPr>
          <w:p w14:paraId="0155CE2B" w14:textId="77777777" w:rsidR="00D1587D" w:rsidRDefault="00D1587D">
            <w:pPr>
              <w:rPr>
                <w:sz w:val="24"/>
                <w:szCs w:val="24"/>
              </w:rPr>
            </w:pPr>
          </w:p>
        </w:tc>
      </w:tr>
    </w:tbl>
    <w:p w14:paraId="605F3B19" w14:textId="77777777" w:rsidR="00D1587D" w:rsidRDefault="00D1587D">
      <w:pPr>
        <w:spacing w:line="148" w:lineRule="exact"/>
        <w:rPr>
          <w:sz w:val="20"/>
          <w:szCs w:val="20"/>
        </w:rPr>
      </w:pPr>
    </w:p>
    <w:p w14:paraId="406B1808" w14:textId="77777777" w:rsidR="00D1587D" w:rsidRDefault="00410D07">
      <w:pPr>
        <w:spacing w:line="263" w:lineRule="auto"/>
        <w:ind w:left="300" w:right="439" w:firstLine="360"/>
        <w:rPr>
          <w:sz w:val="20"/>
          <w:szCs w:val="20"/>
        </w:rPr>
      </w:pPr>
      <w:r>
        <w:rPr>
          <w:rFonts w:ascii="Arial" w:eastAsia="Arial" w:hAnsi="Arial" w:cs="Arial"/>
          <w:sz w:val="18"/>
          <w:szCs w:val="18"/>
        </w:rPr>
        <w:t xml:space="preserve">LB does not specifically set its executive compensation against its peer group. Instead, it considers peer group </w:t>
      </w:r>
      <w:r>
        <w:rPr>
          <w:rFonts w:ascii="Arial" w:eastAsia="Arial" w:hAnsi="Arial" w:cs="Arial"/>
          <w:sz w:val="18"/>
          <w:szCs w:val="18"/>
        </w:rPr>
        <w:t>comparisons provided by WTW as one of several factors in applying its pay philosophy and making executive compensation decisions.</w:t>
      </w:r>
    </w:p>
    <w:p w14:paraId="6785BE99" w14:textId="77777777" w:rsidR="00D1587D" w:rsidRDefault="00D1587D">
      <w:pPr>
        <w:spacing w:line="184" w:lineRule="exact"/>
        <w:rPr>
          <w:sz w:val="20"/>
          <w:szCs w:val="20"/>
        </w:rPr>
      </w:pPr>
    </w:p>
    <w:p w14:paraId="10EDEFAB" w14:textId="77777777" w:rsidR="00D1587D" w:rsidRDefault="00410D07">
      <w:pPr>
        <w:ind w:right="19"/>
        <w:jc w:val="center"/>
        <w:rPr>
          <w:sz w:val="20"/>
          <w:szCs w:val="20"/>
        </w:rPr>
      </w:pPr>
      <w:r>
        <w:rPr>
          <w:rFonts w:ascii="Arial" w:eastAsia="Arial" w:hAnsi="Arial" w:cs="Arial"/>
          <w:sz w:val="18"/>
          <w:szCs w:val="18"/>
        </w:rPr>
        <w:t>109</w:t>
      </w:r>
    </w:p>
    <w:p w14:paraId="13101ECF" w14:textId="77777777" w:rsidR="00D1587D" w:rsidRDefault="00410D07">
      <w:pPr>
        <w:spacing w:line="20" w:lineRule="exact"/>
        <w:rPr>
          <w:sz w:val="20"/>
          <w:szCs w:val="20"/>
        </w:rPr>
      </w:pPr>
      <w:r>
        <w:rPr>
          <w:noProof/>
          <w:sz w:val="20"/>
          <w:szCs w:val="20"/>
        </w:rPr>
        <w:drawing>
          <wp:anchor distT="0" distB="0" distL="114300" distR="114300" simplePos="0" relativeHeight="251829248" behindDoc="1" locked="0" layoutInCell="0" allowOverlap="1" wp14:anchorId="236FB1EC" wp14:editId="0F09737E">
            <wp:simplePos x="0" y="0"/>
            <wp:positionH relativeFrom="column">
              <wp:posOffset>-636905</wp:posOffset>
            </wp:positionH>
            <wp:positionV relativeFrom="paragraph">
              <wp:posOffset>134620</wp:posOffset>
            </wp:positionV>
            <wp:extent cx="6995160" cy="17145"/>
            <wp:effectExtent l="0" t="0" r="0" b="0"/>
            <wp:wrapNone/>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C7A9AB4" w14:textId="77777777" w:rsidR="00D1587D" w:rsidRDefault="00D1587D">
      <w:pPr>
        <w:sectPr w:rsidR="00D1587D">
          <w:pgSz w:w="11900" w:h="16838"/>
          <w:pgMar w:top="265" w:right="1440" w:bottom="1440" w:left="1440" w:header="0" w:footer="0" w:gutter="0"/>
          <w:cols w:space="720" w:equalWidth="0">
            <w:col w:w="9019"/>
          </w:cols>
        </w:sectPr>
      </w:pPr>
    </w:p>
    <w:bookmarkStart w:id="367" w:name="page368"/>
    <w:bookmarkEnd w:id="367"/>
    <w:p w14:paraId="368DCB60"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8BFEF93" w14:textId="77777777" w:rsidR="00D1587D" w:rsidRDefault="00D1587D">
      <w:pPr>
        <w:spacing w:line="131" w:lineRule="exact"/>
        <w:rPr>
          <w:sz w:val="20"/>
          <w:szCs w:val="20"/>
        </w:rPr>
      </w:pPr>
    </w:p>
    <w:p w14:paraId="7656C21A" w14:textId="77777777" w:rsidR="00D1587D" w:rsidRDefault="00410D07">
      <w:pPr>
        <w:spacing w:line="255" w:lineRule="auto"/>
        <w:ind w:left="300" w:right="319" w:firstLine="360"/>
        <w:rPr>
          <w:sz w:val="20"/>
          <w:szCs w:val="20"/>
        </w:rPr>
      </w:pPr>
      <w:r>
        <w:rPr>
          <w:rFonts w:ascii="Arial" w:eastAsia="Arial" w:hAnsi="Arial" w:cs="Arial"/>
          <w:i/>
          <w:iCs/>
          <w:sz w:val="18"/>
          <w:szCs w:val="18"/>
        </w:rPr>
        <w:t>Going forward</w:t>
      </w:r>
      <w:r>
        <w:rPr>
          <w:rFonts w:ascii="Arial" w:eastAsia="Arial" w:hAnsi="Arial" w:cs="Arial"/>
          <w:sz w:val="18"/>
          <w:szCs w:val="18"/>
        </w:rPr>
        <w:t xml:space="preserve">: Once we are a separate public </w:t>
      </w:r>
      <w:r>
        <w:rPr>
          <w:rFonts w:ascii="Arial" w:eastAsia="Arial" w:hAnsi="Arial" w:cs="Arial"/>
          <w:sz w:val="18"/>
          <w:szCs w:val="18"/>
        </w:rPr>
        <w:t>company, we expect that our management and such</w:t>
      </w:r>
      <w:r>
        <w:rPr>
          <w:rFonts w:ascii="Arial" w:eastAsia="Arial" w:hAnsi="Arial" w:cs="Arial"/>
          <w:i/>
          <w:iCs/>
          <w:sz w:val="18"/>
          <w:szCs w:val="18"/>
        </w:rPr>
        <w:t xml:space="preserve"> </w:t>
      </w:r>
      <w:r>
        <w:rPr>
          <w:rFonts w:ascii="Arial" w:eastAsia="Arial" w:hAnsi="Arial" w:cs="Arial"/>
          <w:sz w:val="18"/>
          <w:szCs w:val="18"/>
        </w:rPr>
        <w:t>compensation consultant as the VS HCC Committee may select will independently analyze potential peer companies based on similar criteria to assist in establishing compensation targets in the future. Currently</w:t>
      </w:r>
      <w:r>
        <w:rPr>
          <w:rFonts w:ascii="Arial" w:eastAsia="Arial" w:hAnsi="Arial" w:cs="Arial"/>
          <w:sz w:val="18"/>
          <w:szCs w:val="18"/>
        </w:rPr>
        <w:t>, VS anticipates that its peer group will consist of the companies listed below which were used during fiscal 2020 to develop certain policies for our NEOs. This list remains subject to ongoing review and refinement by the VS HCC Committee and its compensa</w:t>
      </w:r>
      <w:r>
        <w:rPr>
          <w:rFonts w:ascii="Arial" w:eastAsia="Arial" w:hAnsi="Arial" w:cs="Arial"/>
          <w:sz w:val="18"/>
          <w:szCs w:val="18"/>
        </w:rPr>
        <w:t>tion consultant:</w:t>
      </w:r>
    </w:p>
    <w:p w14:paraId="79614844" w14:textId="77777777" w:rsidR="00D1587D" w:rsidRDefault="00D1587D">
      <w:pPr>
        <w:spacing w:line="165" w:lineRule="exact"/>
        <w:rPr>
          <w:sz w:val="20"/>
          <w:szCs w:val="20"/>
        </w:rPr>
      </w:pPr>
    </w:p>
    <w:p w14:paraId="241E5D67" w14:textId="77777777" w:rsidR="00D1587D" w:rsidRDefault="00410D07">
      <w:pPr>
        <w:tabs>
          <w:tab w:val="left" w:pos="4600"/>
        </w:tabs>
        <w:ind w:left="300"/>
        <w:rPr>
          <w:sz w:val="20"/>
          <w:szCs w:val="20"/>
        </w:rPr>
      </w:pPr>
      <w:r>
        <w:rPr>
          <w:rFonts w:ascii="Arial" w:eastAsia="Arial" w:hAnsi="Arial" w:cs="Arial"/>
          <w:sz w:val="18"/>
          <w:szCs w:val="18"/>
        </w:rPr>
        <w:t>Abercrombie &amp; Fitch Co.</w:t>
      </w:r>
      <w:r>
        <w:rPr>
          <w:sz w:val="20"/>
          <w:szCs w:val="20"/>
        </w:rPr>
        <w:tab/>
      </w:r>
      <w:r>
        <w:rPr>
          <w:rFonts w:ascii="Arial" w:eastAsia="Arial" w:hAnsi="Arial" w:cs="Arial"/>
          <w:sz w:val="16"/>
          <w:szCs w:val="16"/>
        </w:rPr>
        <w:t>Ralph Lauren Corporation</w:t>
      </w:r>
    </w:p>
    <w:p w14:paraId="3BF20645" w14:textId="77777777" w:rsidR="00D1587D" w:rsidRDefault="00D1587D">
      <w:pPr>
        <w:spacing w:line="63" w:lineRule="exact"/>
        <w:rPr>
          <w:sz w:val="20"/>
          <w:szCs w:val="20"/>
        </w:rPr>
      </w:pPr>
    </w:p>
    <w:p w14:paraId="4EE75457" w14:textId="77777777" w:rsidR="00D1587D" w:rsidRDefault="00410D07">
      <w:pPr>
        <w:tabs>
          <w:tab w:val="left" w:pos="4600"/>
        </w:tabs>
        <w:ind w:left="300"/>
        <w:rPr>
          <w:sz w:val="20"/>
          <w:szCs w:val="20"/>
        </w:rPr>
      </w:pPr>
      <w:r>
        <w:rPr>
          <w:rFonts w:ascii="Arial" w:eastAsia="Arial" w:hAnsi="Arial" w:cs="Arial"/>
          <w:sz w:val="18"/>
          <w:szCs w:val="18"/>
        </w:rPr>
        <w:t>American Eagle Outfitters, Inc.</w:t>
      </w:r>
      <w:r>
        <w:rPr>
          <w:sz w:val="20"/>
          <w:szCs w:val="20"/>
        </w:rPr>
        <w:tab/>
      </w:r>
      <w:r>
        <w:rPr>
          <w:rFonts w:ascii="Arial" w:eastAsia="Arial" w:hAnsi="Arial" w:cs="Arial"/>
          <w:sz w:val="15"/>
          <w:szCs w:val="15"/>
        </w:rPr>
        <w:t>Ross Stores, Inc.</w:t>
      </w:r>
    </w:p>
    <w:p w14:paraId="1B9B6E31" w14:textId="77777777" w:rsidR="00D1587D" w:rsidRDefault="00D1587D">
      <w:pPr>
        <w:spacing w:line="63" w:lineRule="exact"/>
        <w:rPr>
          <w:sz w:val="20"/>
          <w:szCs w:val="20"/>
        </w:rPr>
      </w:pPr>
    </w:p>
    <w:p w14:paraId="34DF0673" w14:textId="77777777" w:rsidR="00D1587D" w:rsidRDefault="00410D07">
      <w:pPr>
        <w:tabs>
          <w:tab w:val="left" w:pos="4600"/>
        </w:tabs>
        <w:ind w:left="300"/>
        <w:rPr>
          <w:sz w:val="20"/>
          <w:szCs w:val="20"/>
        </w:rPr>
      </w:pPr>
      <w:r>
        <w:rPr>
          <w:rFonts w:ascii="Arial" w:eastAsia="Arial" w:hAnsi="Arial" w:cs="Arial"/>
          <w:sz w:val="18"/>
          <w:szCs w:val="18"/>
        </w:rPr>
        <w:t>Big Lots, Inc.</w:t>
      </w:r>
      <w:r>
        <w:rPr>
          <w:sz w:val="20"/>
          <w:szCs w:val="20"/>
        </w:rPr>
        <w:tab/>
      </w:r>
      <w:r>
        <w:rPr>
          <w:rFonts w:ascii="Arial" w:eastAsia="Arial" w:hAnsi="Arial" w:cs="Arial"/>
          <w:sz w:val="16"/>
          <w:szCs w:val="16"/>
        </w:rPr>
        <w:t>Tailored Brands, Inc.</w:t>
      </w:r>
    </w:p>
    <w:p w14:paraId="6B07298A" w14:textId="77777777" w:rsidR="00D1587D" w:rsidRDefault="00D1587D">
      <w:pPr>
        <w:spacing w:line="63" w:lineRule="exact"/>
        <w:rPr>
          <w:sz w:val="20"/>
          <w:szCs w:val="20"/>
        </w:rPr>
      </w:pPr>
    </w:p>
    <w:p w14:paraId="0CD18314" w14:textId="77777777" w:rsidR="00D1587D" w:rsidRDefault="00410D07">
      <w:pPr>
        <w:tabs>
          <w:tab w:val="left" w:pos="4600"/>
        </w:tabs>
        <w:ind w:left="300"/>
        <w:rPr>
          <w:sz w:val="20"/>
          <w:szCs w:val="20"/>
        </w:rPr>
      </w:pPr>
      <w:r>
        <w:rPr>
          <w:rFonts w:ascii="Arial" w:eastAsia="Arial" w:hAnsi="Arial" w:cs="Arial"/>
          <w:sz w:val="18"/>
          <w:szCs w:val="18"/>
        </w:rPr>
        <w:t>Burlington Stores, Inc.</w:t>
      </w:r>
      <w:r>
        <w:rPr>
          <w:sz w:val="20"/>
          <w:szCs w:val="20"/>
        </w:rPr>
        <w:tab/>
      </w:r>
      <w:r>
        <w:rPr>
          <w:rFonts w:ascii="Arial" w:eastAsia="Arial" w:hAnsi="Arial" w:cs="Arial"/>
          <w:sz w:val="15"/>
          <w:szCs w:val="15"/>
        </w:rPr>
        <w:t>Tapestry, Inc.</w:t>
      </w:r>
    </w:p>
    <w:p w14:paraId="5C9E5820" w14:textId="77777777" w:rsidR="00D1587D" w:rsidRDefault="00D1587D">
      <w:pPr>
        <w:spacing w:line="63" w:lineRule="exact"/>
        <w:rPr>
          <w:sz w:val="20"/>
          <w:szCs w:val="20"/>
        </w:rPr>
      </w:pPr>
    </w:p>
    <w:p w14:paraId="41A7B6DD" w14:textId="77777777" w:rsidR="00D1587D" w:rsidRDefault="00410D07">
      <w:pPr>
        <w:tabs>
          <w:tab w:val="left" w:pos="4600"/>
        </w:tabs>
        <w:ind w:left="300"/>
        <w:rPr>
          <w:sz w:val="20"/>
          <w:szCs w:val="20"/>
        </w:rPr>
      </w:pPr>
      <w:r>
        <w:rPr>
          <w:rFonts w:ascii="Arial" w:eastAsia="Arial" w:hAnsi="Arial" w:cs="Arial"/>
          <w:sz w:val="18"/>
          <w:szCs w:val="18"/>
        </w:rPr>
        <w:t>Capri Holdings Limited</w:t>
      </w:r>
      <w:r>
        <w:rPr>
          <w:sz w:val="20"/>
          <w:szCs w:val="20"/>
        </w:rPr>
        <w:tab/>
      </w:r>
      <w:r>
        <w:rPr>
          <w:rFonts w:ascii="Arial" w:eastAsia="Arial" w:hAnsi="Arial" w:cs="Arial"/>
          <w:sz w:val="16"/>
          <w:szCs w:val="16"/>
        </w:rPr>
        <w:t>The Estee Lauder Companies Inc.</w:t>
      </w:r>
    </w:p>
    <w:p w14:paraId="5A1F240F" w14:textId="77777777" w:rsidR="00D1587D" w:rsidRDefault="00D1587D">
      <w:pPr>
        <w:spacing w:line="63" w:lineRule="exact"/>
        <w:rPr>
          <w:sz w:val="20"/>
          <w:szCs w:val="20"/>
        </w:rPr>
      </w:pPr>
    </w:p>
    <w:p w14:paraId="77B7433D" w14:textId="77777777" w:rsidR="00D1587D" w:rsidRDefault="00410D07">
      <w:pPr>
        <w:tabs>
          <w:tab w:val="left" w:pos="4600"/>
        </w:tabs>
        <w:ind w:left="300"/>
        <w:rPr>
          <w:sz w:val="20"/>
          <w:szCs w:val="20"/>
        </w:rPr>
      </w:pPr>
      <w:r>
        <w:rPr>
          <w:rFonts w:ascii="Arial" w:eastAsia="Arial" w:hAnsi="Arial" w:cs="Arial"/>
          <w:sz w:val="18"/>
          <w:szCs w:val="18"/>
        </w:rPr>
        <w:t>Coty Inc.</w:t>
      </w:r>
      <w:r>
        <w:rPr>
          <w:sz w:val="20"/>
          <w:szCs w:val="20"/>
        </w:rPr>
        <w:tab/>
      </w:r>
      <w:r>
        <w:rPr>
          <w:rFonts w:ascii="Arial" w:eastAsia="Arial" w:hAnsi="Arial" w:cs="Arial"/>
          <w:sz w:val="16"/>
          <w:szCs w:val="16"/>
        </w:rPr>
        <w:t>The Gap, Inc.</w:t>
      </w:r>
    </w:p>
    <w:p w14:paraId="4C9B7BA9" w14:textId="77777777" w:rsidR="00D1587D" w:rsidRDefault="00D1587D">
      <w:pPr>
        <w:spacing w:line="63" w:lineRule="exact"/>
        <w:rPr>
          <w:sz w:val="20"/>
          <w:szCs w:val="20"/>
        </w:rPr>
      </w:pPr>
    </w:p>
    <w:p w14:paraId="03E3F005" w14:textId="77777777" w:rsidR="00D1587D" w:rsidRDefault="00410D07">
      <w:pPr>
        <w:tabs>
          <w:tab w:val="left" w:pos="4600"/>
        </w:tabs>
        <w:ind w:left="300"/>
        <w:rPr>
          <w:sz w:val="20"/>
          <w:szCs w:val="20"/>
        </w:rPr>
      </w:pPr>
      <w:r>
        <w:rPr>
          <w:rFonts w:ascii="Arial" w:eastAsia="Arial" w:hAnsi="Arial" w:cs="Arial"/>
          <w:sz w:val="18"/>
          <w:szCs w:val="18"/>
        </w:rPr>
        <w:t>Designer Brands Inc.</w:t>
      </w:r>
      <w:r>
        <w:rPr>
          <w:sz w:val="20"/>
          <w:szCs w:val="20"/>
        </w:rPr>
        <w:tab/>
      </w:r>
      <w:r>
        <w:rPr>
          <w:rFonts w:ascii="Arial" w:eastAsia="Arial" w:hAnsi="Arial" w:cs="Arial"/>
          <w:sz w:val="17"/>
          <w:szCs w:val="17"/>
        </w:rPr>
        <w:t>Tiffany &amp; Co.</w:t>
      </w:r>
    </w:p>
    <w:p w14:paraId="5A7B9953" w14:textId="77777777" w:rsidR="00D1587D" w:rsidRDefault="00D1587D">
      <w:pPr>
        <w:spacing w:line="63" w:lineRule="exact"/>
        <w:rPr>
          <w:sz w:val="20"/>
          <w:szCs w:val="20"/>
        </w:rPr>
      </w:pPr>
    </w:p>
    <w:p w14:paraId="52B5F71E" w14:textId="77777777" w:rsidR="00D1587D" w:rsidRDefault="00410D07">
      <w:pPr>
        <w:tabs>
          <w:tab w:val="left" w:pos="4600"/>
        </w:tabs>
        <w:ind w:left="300"/>
        <w:rPr>
          <w:sz w:val="20"/>
          <w:szCs w:val="20"/>
        </w:rPr>
      </w:pPr>
      <w:r>
        <w:rPr>
          <w:rFonts w:ascii="Arial" w:eastAsia="Arial" w:hAnsi="Arial" w:cs="Arial"/>
          <w:sz w:val="18"/>
          <w:szCs w:val="18"/>
        </w:rPr>
        <w:t>Dillard’s, Inc.</w:t>
      </w:r>
      <w:r>
        <w:rPr>
          <w:sz w:val="20"/>
          <w:szCs w:val="20"/>
        </w:rPr>
        <w:tab/>
      </w:r>
      <w:r>
        <w:rPr>
          <w:rFonts w:ascii="Arial" w:eastAsia="Arial" w:hAnsi="Arial" w:cs="Arial"/>
          <w:sz w:val="16"/>
          <w:szCs w:val="16"/>
        </w:rPr>
        <w:t>Ulta Beauty, Inc.</w:t>
      </w:r>
    </w:p>
    <w:p w14:paraId="29D61E4E" w14:textId="77777777" w:rsidR="00D1587D" w:rsidRDefault="00D1587D">
      <w:pPr>
        <w:spacing w:line="63" w:lineRule="exact"/>
        <w:rPr>
          <w:sz w:val="20"/>
          <w:szCs w:val="20"/>
        </w:rPr>
      </w:pPr>
    </w:p>
    <w:p w14:paraId="1655591A" w14:textId="77777777" w:rsidR="00D1587D" w:rsidRDefault="00410D07">
      <w:pPr>
        <w:tabs>
          <w:tab w:val="left" w:pos="4600"/>
        </w:tabs>
        <w:ind w:left="300"/>
        <w:rPr>
          <w:sz w:val="20"/>
          <w:szCs w:val="20"/>
        </w:rPr>
      </w:pPr>
      <w:r>
        <w:rPr>
          <w:rFonts w:ascii="Arial" w:eastAsia="Arial" w:hAnsi="Arial" w:cs="Arial"/>
          <w:sz w:val="18"/>
          <w:szCs w:val="18"/>
        </w:rPr>
        <w:t>G-III Apparel Group, Ltd.</w:t>
      </w:r>
      <w:r>
        <w:rPr>
          <w:sz w:val="20"/>
          <w:szCs w:val="20"/>
        </w:rPr>
        <w:tab/>
      </w:r>
      <w:r>
        <w:rPr>
          <w:rFonts w:ascii="Arial" w:eastAsia="Arial" w:hAnsi="Arial" w:cs="Arial"/>
          <w:sz w:val="16"/>
          <w:szCs w:val="16"/>
        </w:rPr>
        <w:t>Under Armour, Inc.</w:t>
      </w:r>
    </w:p>
    <w:p w14:paraId="6347E7DA" w14:textId="77777777" w:rsidR="00D1587D" w:rsidRDefault="00D1587D">
      <w:pPr>
        <w:spacing w:line="63" w:lineRule="exact"/>
        <w:rPr>
          <w:sz w:val="20"/>
          <w:szCs w:val="20"/>
        </w:rPr>
      </w:pPr>
    </w:p>
    <w:p w14:paraId="589672E1" w14:textId="77777777" w:rsidR="00D1587D" w:rsidRDefault="00410D07">
      <w:pPr>
        <w:tabs>
          <w:tab w:val="left" w:pos="4600"/>
        </w:tabs>
        <w:ind w:left="300"/>
        <w:rPr>
          <w:sz w:val="20"/>
          <w:szCs w:val="20"/>
        </w:rPr>
      </w:pPr>
      <w:r>
        <w:rPr>
          <w:rFonts w:ascii="Arial" w:eastAsia="Arial" w:hAnsi="Arial" w:cs="Arial"/>
          <w:sz w:val="18"/>
          <w:szCs w:val="18"/>
        </w:rPr>
        <w:t>Hanesbrands Inc.</w:t>
      </w:r>
      <w:r>
        <w:rPr>
          <w:sz w:val="20"/>
          <w:szCs w:val="20"/>
        </w:rPr>
        <w:tab/>
      </w:r>
      <w:r>
        <w:rPr>
          <w:rFonts w:ascii="Arial" w:eastAsia="Arial" w:hAnsi="Arial" w:cs="Arial"/>
          <w:sz w:val="16"/>
          <w:szCs w:val="16"/>
        </w:rPr>
        <w:t>Urban Outfitters, Inc.</w:t>
      </w:r>
    </w:p>
    <w:p w14:paraId="1EC21608" w14:textId="77777777" w:rsidR="00D1587D" w:rsidRDefault="00D1587D">
      <w:pPr>
        <w:spacing w:line="63" w:lineRule="exact"/>
        <w:rPr>
          <w:sz w:val="20"/>
          <w:szCs w:val="20"/>
        </w:rPr>
      </w:pPr>
    </w:p>
    <w:p w14:paraId="16D3E0CA" w14:textId="77777777" w:rsidR="00D1587D" w:rsidRDefault="00410D07">
      <w:pPr>
        <w:tabs>
          <w:tab w:val="left" w:pos="4600"/>
        </w:tabs>
        <w:ind w:left="300"/>
        <w:rPr>
          <w:sz w:val="20"/>
          <w:szCs w:val="20"/>
        </w:rPr>
      </w:pPr>
      <w:r>
        <w:rPr>
          <w:rFonts w:ascii="Arial" w:eastAsia="Arial" w:hAnsi="Arial" w:cs="Arial"/>
          <w:sz w:val="18"/>
          <w:szCs w:val="18"/>
        </w:rPr>
        <w:t>Levi Strauss &amp; Co.</w:t>
      </w:r>
      <w:r>
        <w:rPr>
          <w:sz w:val="20"/>
          <w:szCs w:val="20"/>
        </w:rPr>
        <w:tab/>
      </w:r>
      <w:r>
        <w:rPr>
          <w:rFonts w:ascii="Arial" w:eastAsia="Arial" w:hAnsi="Arial" w:cs="Arial"/>
          <w:sz w:val="16"/>
          <w:szCs w:val="16"/>
        </w:rPr>
        <w:t>V.F. Corporation</w:t>
      </w:r>
    </w:p>
    <w:p w14:paraId="59635B7B" w14:textId="77777777" w:rsidR="00D1587D" w:rsidRDefault="00D1587D">
      <w:pPr>
        <w:spacing w:line="63" w:lineRule="exact"/>
        <w:rPr>
          <w:sz w:val="20"/>
          <w:szCs w:val="20"/>
        </w:rPr>
      </w:pPr>
    </w:p>
    <w:p w14:paraId="53B95D11" w14:textId="77777777" w:rsidR="00D1587D" w:rsidRDefault="00410D07">
      <w:pPr>
        <w:tabs>
          <w:tab w:val="left" w:pos="4600"/>
        </w:tabs>
        <w:ind w:left="300"/>
        <w:rPr>
          <w:sz w:val="20"/>
          <w:szCs w:val="20"/>
        </w:rPr>
      </w:pPr>
      <w:r>
        <w:rPr>
          <w:rFonts w:ascii="Arial" w:eastAsia="Arial" w:hAnsi="Arial" w:cs="Arial"/>
          <w:sz w:val="18"/>
          <w:szCs w:val="18"/>
        </w:rPr>
        <w:t>lululemon athletica inc.</w:t>
      </w:r>
      <w:r>
        <w:rPr>
          <w:sz w:val="20"/>
          <w:szCs w:val="20"/>
        </w:rPr>
        <w:tab/>
      </w:r>
      <w:r>
        <w:rPr>
          <w:rFonts w:ascii="Arial" w:eastAsia="Arial" w:hAnsi="Arial" w:cs="Arial"/>
          <w:sz w:val="16"/>
          <w:szCs w:val="16"/>
        </w:rPr>
        <w:t>Williams-Sonoma, Inc.</w:t>
      </w:r>
    </w:p>
    <w:p w14:paraId="093437C9" w14:textId="77777777" w:rsidR="00D1587D" w:rsidRDefault="00D1587D">
      <w:pPr>
        <w:spacing w:line="63" w:lineRule="exact"/>
        <w:rPr>
          <w:sz w:val="20"/>
          <w:szCs w:val="20"/>
        </w:rPr>
      </w:pPr>
    </w:p>
    <w:p w14:paraId="334CCEFF" w14:textId="77777777" w:rsidR="00D1587D" w:rsidRDefault="00410D07">
      <w:pPr>
        <w:ind w:left="300"/>
        <w:rPr>
          <w:sz w:val="20"/>
          <w:szCs w:val="20"/>
        </w:rPr>
      </w:pPr>
      <w:r>
        <w:rPr>
          <w:rFonts w:ascii="Arial" w:eastAsia="Arial" w:hAnsi="Arial" w:cs="Arial"/>
          <w:sz w:val="18"/>
          <w:szCs w:val="18"/>
        </w:rPr>
        <w:t>PVH Corp.</w:t>
      </w:r>
    </w:p>
    <w:p w14:paraId="24ADD039" w14:textId="77777777" w:rsidR="00D1587D" w:rsidRDefault="00D1587D">
      <w:pPr>
        <w:spacing w:line="374" w:lineRule="exact"/>
        <w:rPr>
          <w:sz w:val="20"/>
          <w:szCs w:val="20"/>
        </w:rPr>
      </w:pPr>
    </w:p>
    <w:p w14:paraId="3B19EE67" w14:textId="77777777" w:rsidR="00D1587D" w:rsidRDefault="00410D07">
      <w:pPr>
        <w:ind w:left="300"/>
        <w:rPr>
          <w:sz w:val="20"/>
          <w:szCs w:val="20"/>
        </w:rPr>
      </w:pPr>
      <w:r>
        <w:rPr>
          <w:rFonts w:ascii="Arial" w:eastAsia="Arial" w:hAnsi="Arial" w:cs="Arial"/>
          <w:b/>
          <w:bCs/>
          <w:i/>
          <w:iCs/>
          <w:sz w:val="18"/>
          <w:szCs w:val="18"/>
        </w:rPr>
        <w:t>Compensation Setting Process</w:t>
      </w:r>
    </w:p>
    <w:p w14:paraId="6CDBBB22" w14:textId="77777777" w:rsidR="00D1587D" w:rsidRDefault="00D1587D">
      <w:pPr>
        <w:spacing w:line="117" w:lineRule="exact"/>
        <w:rPr>
          <w:sz w:val="20"/>
          <w:szCs w:val="20"/>
        </w:rPr>
      </w:pPr>
    </w:p>
    <w:p w14:paraId="44A6FFC3" w14:textId="77777777" w:rsidR="00D1587D" w:rsidRDefault="00410D07">
      <w:pPr>
        <w:spacing w:line="279" w:lineRule="auto"/>
        <w:ind w:left="300" w:right="519" w:firstLine="360"/>
        <w:rPr>
          <w:sz w:val="20"/>
          <w:szCs w:val="20"/>
        </w:rPr>
      </w:pPr>
      <w:r>
        <w:rPr>
          <w:rFonts w:ascii="Arial" w:eastAsia="Arial" w:hAnsi="Arial" w:cs="Arial"/>
          <w:sz w:val="17"/>
          <w:szCs w:val="17"/>
        </w:rPr>
        <w:t xml:space="preserve">The LB HCC Committee makes all decisions regarding chief executive officer compensation, and LB’s chief executive officer, in consultation with the LB HCC Committee, sets compensation for its </w:t>
      </w:r>
      <w:r>
        <w:rPr>
          <w:rFonts w:ascii="Arial" w:eastAsia="Arial" w:hAnsi="Arial" w:cs="Arial"/>
          <w:sz w:val="17"/>
          <w:szCs w:val="17"/>
        </w:rPr>
        <w:t>other applicable executives. The LB HCC Committee oversees the evaluation process and compensation structure for all of LB’s applicable executives, including the approval of grants of stock awards to such executives.</w:t>
      </w:r>
    </w:p>
    <w:p w14:paraId="55AEB1C8" w14:textId="77777777" w:rsidR="00D1587D" w:rsidRDefault="00D1587D">
      <w:pPr>
        <w:spacing w:line="63" w:lineRule="exact"/>
        <w:rPr>
          <w:sz w:val="20"/>
          <w:szCs w:val="20"/>
        </w:rPr>
      </w:pPr>
    </w:p>
    <w:p w14:paraId="29E72C9C" w14:textId="77777777" w:rsidR="00D1587D" w:rsidRDefault="00410D07">
      <w:pPr>
        <w:spacing w:line="342" w:lineRule="auto"/>
        <w:ind w:left="300" w:right="1279" w:firstLine="360"/>
        <w:rPr>
          <w:sz w:val="20"/>
          <w:szCs w:val="20"/>
        </w:rPr>
      </w:pPr>
      <w:r>
        <w:rPr>
          <w:rFonts w:ascii="Arial" w:eastAsia="Arial" w:hAnsi="Arial" w:cs="Arial"/>
          <w:sz w:val="16"/>
          <w:szCs w:val="16"/>
        </w:rPr>
        <w:t>Target compensation for LB’s executive</w:t>
      </w:r>
      <w:r>
        <w:rPr>
          <w:rFonts w:ascii="Arial" w:eastAsia="Arial" w:hAnsi="Arial" w:cs="Arial"/>
          <w:sz w:val="16"/>
          <w:szCs w:val="16"/>
        </w:rPr>
        <w:t>s is reviewed annually and is designed to reward historical performance, incentivize future performance and be competitive with the external market for talent.</w:t>
      </w:r>
    </w:p>
    <w:p w14:paraId="24A7262E" w14:textId="77777777" w:rsidR="00D1587D" w:rsidRDefault="00D1587D">
      <w:pPr>
        <w:spacing w:line="16" w:lineRule="exact"/>
        <w:rPr>
          <w:sz w:val="20"/>
          <w:szCs w:val="20"/>
        </w:rPr>
      </w:pPr>
    </w:p>
    <w:p w14:paraId="3B706D75" w14:textId="77777777" w:rsidR="00D1587D" w:rsidRDefault="00410D07">
      <w:pPr>
        <w:spacing w:line="263" w:lineRule="auto"/>
        <w:ind w:left="300" w:right="739" w:firstLine="360"/>
        <w:jc w:val="both"/>
        <w:rPr>
          <w:sz w:val="20"/>
          <w:szCs w:val="20"/>
        </w:rPr>
      </w:pPr>
      <w:r>
        <w:rPr>
          <w:rFonts w:ascii="Arial" w:eastAsia="Arial" w:hAnsi="Arial" w:cs="Arial"/>
          <w:i/>
          <w:iCs/>
          <w:sz w:val="18"/>
          <w:szCs w:val="18"/>
        </w:rPr>
        <w:t>Going forward</w:t>
      </w:r>
      <w:r>
        <w:rPr>
          <w:rFonts w:ascii="Arial" w:eastAsia="Arial" w:hAnsi="Arial" w:cs="Arial"/>
          <w:sz w:val="18"/>
          <w:szCs w:val="18"/>
        </w:rPr>
        <w:t xml:space="preserve">: We anticipate that the VS HCC Committee will oversee the evaluation and </w:t>
      </w:r>
      <w:r>
        <w:rPr>
          <w:rFonts w:ascii="Arial" w:eastAsia="Arial" w:hAnsi="Arial" w:cs="Arial"/>
          <w:sz w:val="18"/>
          <w:szCs w:val="18"/>
        </w:rPr>
        <w:t>compensation</w:t>
      </w:r>
      <w:r>
        <w:rPr>
          <w:rFonts w:ascii="Arial" w:eastAsia="Arial" w:hAnsi="Arial" w:cs="Arial"/>
          <w:i/>
          <w:iCs/>
          <w:sz w:val="18"/>
          <w:szCs w:val="18"/>
        </w:rPr>
        <w:t xml:space="preserve"> </w:t>
      </w:r>
      <w:r>
        <w:rPr>
          <w:rFonts w:ascii="Arial" w:eastAsia="Arial" w:hAnsi="Arial" w:cs="Arial"/>
          <w:sz w:val="18"/>
          <w:szCs w:val="18"/>
        </w:rPr>
        <w:t>structure for all of our NEOs, including our chief executive officer, based on our compensation philosophy and governance guidelines.</w:t>
      </w:r>
    </w:p>
    <w:p w14:paraId="6323E490" w14:textId="77777777" w:rsidR="00D1587D" w:rsidRDefault="00D1587D">
      <w:pPr>
        <w:spacing w:line="315" w:lineRule="exact"/>
        <w:rPr>
          <w:sz w:val="20"/>
          <w:szCs w:val="20"/>
        </w:rPr>
      </w:pPr>
    </w:p>
    <w:p w14:paraId="730457F4" w14:textId="77777777" w:rsidR="00D1587D" w:rsidRDefault="00410D07">
      <w:pPr>
        <w:ind w:left="300"/>
        <w:rPr>
          <w:sz w:val="20"/>
          <w:szCs w:val="20"/>
        </w:rPr>
      </w:pPr>
      <w:r>
        <w:rPr>
          <w:rFonts w:ascii="Arial" w:eastAsia="Arial" w:hAnsi="Arial" w:cs="Arial"/>
          <w:b/>
          <w:bCs/>
          <w:sz w:val="18"/>
          <w:szCs w:val="18"/>
        </w:rPr>
        <w:t>NEO Compensation Components</w:t>
      </w:r>
    </w:p>
    <w:p w14:paraId="08AF1E36" w14:textId="77777777" w:rsidR="00D1587D" w:rsidRDefault="00D1587D">
      <w:pPr>
        <w:spacing w:line="121" w:lineRule="exact"/>
        <w:rPr>
          <w:sz w:val="20"/>
          <w:szCs w:val="20"/>
        </w:rPr>
      </w:pPr>
    </w:p>
    <w:p w14:paraId="4126A6C1" w14:textId="77777777" w:rsidR="00D1587D" w:rsidRDefault="00410D07">
      <w:pPr>
        <w:spacing w:line="257" w:lineRule="auto"/>
        <w:ind w:left="300" w:right="599" w:firstLine="360"/>
        <w:rPr>
          <w:sz w:val="20"/>
          <w:szCs w:val="20"/>
        </w:rPr>
      </w:pPr>
      <w:r>
        <w:rPr>
          <w:rFonts w:ascii="Arial" w:eastAsia="Arial" w:hAnsi="Arial" w:cs="Arial"/>
          <w:sz w:val="18"/>
          <w:szCs w:val="18"/>
        </w:rPr>
        <w:t xml:space="preserve">The three principal elements of LB’s executive compensation programs have </w:t>
      </w:r>
      <w:r>
        <w:rPr>
          <w:rFonts w:ascii="Arial" w:eastAsia="Arial" w:hAnsi="Arial" w:cs="Arial"/>
          <w:sz w:val="18"/>
          <w:szCs w:val="18"/>
        </w:rPr>
        <w:t>historically been base salary, short-term performance-based cash incentive compensation and long-term equity incentive compensation. In addition to these three principal elements of compensation, LB also provides its eligible executives with certain retire</w:t>
      </w:r>
      <w:r>
        <w:rPr>
          <w:rFonts w:ascii="Arial" w:eastAsia="Arial" w:hAnsi="Arial" w:cs="Arial"/>
          <w:sz w:val="18"/>
          <w:szCs w:val="18"/>
        </w:rPr>
        <w:t>ment and other post-employment benefits and perquisites. Additional information about each compensation component is provided below.</w:t>
      </w:r>
    </w:p>
    <w:p w14:paraId="02D8093E" w14:textId="77777777" w:rsidR="00D1587D" w:rsidRDefault="00D1587D">
      <w:pPr>
        <w:spacing w:line="80" w:lineRule="exact"/>
        <w:rPr>
          <w:sz w:val="20"/>
          <w:szCs w:val="20"/>
        </w:rPr>
      </w:pPr>
    </w:p>
    <w:p w14:paraId="34E73BCF" w14:textId="77777777" w:rsidR="00D1587D" w:rsidRDefault="00410D07">
      <w:pPr>
        <w:spacing w:line="263" w:lineRule="auto"/>
        <w:ind w:left="300" w:right="479" w:firstLine="360"/>
        <w:rPr>
          <w:sz w:val="20"/>
          <w:szCs w:val="20"/>
        </w:rPr>
      </w:pPr>
      <w:r>
        <w:rPr>
          <w:rFonts w:ascii="Arial" w:eastAsia="Arial" w:hAnsi="Arial" w:cs="Arial"/>
          <w:i/>
          <w:iCs/>
          <w:sz w:val="18"/>
          <w:szCs w:val="18"/>
        </w:rPr>
        <w:t>Going forward</w:t>
      </w:r>
      <w:r>
        <w:rPr>
          <w:rFonts w:ascii="Arial" w:eastAsia="Arial" w:hAnsi="Arial" w:cs="Arial"/>
          <w:sz w:val="18"/>
          <w:szCs w:val="18"/>
        </w:rPr>
        <w:t>: We anticipate continuing LB’s executive compensation mix, including base salary, short-term</w:t>
      </w:r>
      <w:r>
        <w:rPr>
          <w:rFonts w:ascii="Arial" w:eastAsia="Arial" w:hAnsi="Arial" w:cs="Arial"/>
          <w:i/>
          <w:iCs/>
          <w:sz w:val="18"/>
          <w:szCs w:val="18"/>
        </w:rPr>
        <w:t xml:space="preserve"> </w:t>
      </w:r>
      <w:r>
        <w:rPr>
          <w:rFonts w:ascii="Arial" w:eastAsia="Arial" w:hAnsi="Arial" w:cs="Arial"/>
          <w:sz w:val="18"/>
          <w:szCs w:val="18"/>
        </w:rPr>
        <w:t>performance bas</w:t>
      </w:r>
      <w:r>
        <w:rPr>
          <w:rFonts w:ascii="Arial" w:eastAsia="Arial" w:hAnsi="Arial" w:cs="Arial"/>
          <w:sz w:val="18"/>
          <w:szCs w:val="18"/>
        </w:rPr>
        <w:t>ed awards and long-term awards. As a new, smaller company, we will evaluate our executive compensation mix to match the needs of VS.</w:t>
      </w:r>
    </w:p>
    <w:p w14:paraId="25EE3517" w14:textId="77777777" w:rsidR="00D1587D" w:rsidRDefault="00D1587D">
      <w:pPr>
        <w:spacing w:line="319" w:lineRule="exact"/>
        <w:rPr>
          <w:sz w:val="20"/>
          <w:szCs w:val="20"/>
        </w:rPr>
      </w:pPr>
    </w:p>
    <w:p w14:paraId="3E778960" w14:textId="77777777" w:rsidR="00D1587D" w:rsidRDefault="00410D07">
      <w:pPr>
        <w:ind w:left="300"/>
        <w:rPr>
          <w:sz w:val="20"/>
          <w:szCs w:val="20"/>
        </w:rPr>
      </w:pPr>
      <w:r>
        <w:rPr>
          <w:rFonts w:ascii="Arial" w:eastAsia="Arial" w:hAnsi="Arial" w:cs="Arial"/>
          <w:b/>
          <w:bCs/>
          <w:i/>
          <w:iCs/>
          <w:sz w:val="18"/>
          <w:szCs w:val="18"/>
        </w:rPr>
        <w:t>Base Salary</w:t>
      </w:r>
    </w:p>
    <w:p w14:paraId="0ADDEF6F" w14:textId="77777777" w:rsidR="00D1587D" w:rsidRDefault="00D1587D">
      <w:pPr>
        <w:spacing w:line="131" w:lineRule="exact"/>
        <w:rPr>
          <w:sz w:val="20"/>
          <w:szCs w:val="20"/>
        </w:rPr>
      </w:pPr>
    </w:p>
    <w:p w14:paraId="7F373AB4" w14:textId="77777777" w:rsidR="00D1587D" w:rsidRDefault="00410D07">
      <w:pPr>
        <w:ind w:left="660"/>
        <w:rPr>
          <w:sz w:val="20"/>
          <w:szCs w:val="20"/>
        </w:rPr>
      </w:pPr>
      <w:r>
        <w:rPr>
          <w:rFonts w:ascii="Arial" w:eastAsia="Arial" w:hAnsi="Arial" w:cs="Arial"/>
          <w:sz w:val="18"/>
          <w:szCs w:val="18"/>
        </w:rPr>
        <w:t>The following factors are considered by LB in determining executive base salary adjustments:</w:t>
      </w:r>
    </w:p>
    <w:p w14:paraId="04D4133D" w14:textId="77777777" w:rsidR="00D1587D" w:rsidRDefault="00D1587D">
      <w:pPr>
        <w:spacing w:line="117" w:lineRule="exact"/>
        <w:rPr>
          <w:sz w:val="20"/>
          <w:szCs w:val="20"/>
        </w:rPr>
      </w:pPr>
    </w:p>
    <w:p w14:paraId="56F2CAC6" w14:textId="77777777" w:rsidR="00D1587D" w:rsidRDefault="00410D07" w:rsidP="00410D07">
      <w:pPr>
        <w:numPr>
          <w:ilvl w:val="0"/>
          <w:numId w:val="312"/>
        </w:numPr>
        <w:tabs>
          <w:tab w:val="left" w:pos="1000"/>
        </w:tabs>
        <w:ind w:left="1000" w:hanging="348"/>
        <w:rPr>
          <w:rFonts w:ascii="Arial" w:eastAsia="Arial" w:hAnsi="Arial" w:cs="Arial"/>
          <w:sz w:val="18"/>
          <w:szCs w:val="18"/>
        </w:rPr>
      </w:pPr>
      <w:r>
        <w:rPr>
          <w:rFonts w:ascii="Arial" w:eastAsia="Arial" w:hAnsi="Arial" w:cs="Arial"/>
          <w:sz w:val="18"/>
          <w:szCs w:val="18"/>
        </w:rPr>
        <w:t>Scope and respo</w:t>
      </w:r>
      <w:r>
        <w:rPr>
          <w:rFonts w:ascii="Arial" w:eastAsia="Arial" w:hAnsi="Arial" w:cs="Arial"/>
          <w:sz w:val="18"/>
          <w:szCs w:val="18"/>
        </w:rPr>
        <w:t>nsibility of the executive’s position;</w:t>
      </w:r>
    </w:p>
    <w:p w14:paraId="3B59EFF0" w14:textId="77777777" w:rsidR="00D1587D" w:rsidRDefault="00D1587D">
      <w:pPr>
        <w:spacing w:line="117" w:lineRule="exact"/>
        <w:rPr>
          <w:rFonts w:ascii="Arial" w:eastAsia="Arial" w:hAnsi="Arial" w:cs="Arial"/>
          <w:sz w:val="18"/>
          <w:szCs w:val="18"/>
        </w:rPr>
      </w:pPr>
    </w:p>
    <w:p w14:paraId="04569425" w14:textId="77777777" w:rsidR="00D1587D" w:rsidRDefault="00410D07" w:rsidP="00410D07">
      <w:pPr>
        <w:numPr>
          <w:ilvl w:val="0"/>
          <w:numId w:val="312"/>
        </w:numPr>
        <w:tabs>
          <w:tab w:val="left" w:pos="1000"/>
        </w:tabs>
        <w:ind w:left="1000" w:hanging="348"/>
        <w:rPr>
          <w:rFonts w:ascii="Arial" w:eastAsia="Arial" w:hAnsi="Arial" w:cs="Arial"/>
          <w:sz w:val="18"/>
          <w:szCs w:val="18"/>
        </w:rPr>
      </w:pPr>
      <w:r>
        <w:rPr>
          <w:rFonts w:ascii="Arial" w:eastAsia="Arial" w:hAnsi="Arial" w:cs="Arial"/>
          <w:sz w:val="18"/>
          <w:szCs w:val="18"/>
        </w:rPr>
        <w:t>Achievement of seasonal and annual business goals;</w:t>
      </w:r>
    </w:p>
    <w:p w14:paraId="087E0DA3" w14:textId="77777777" w:rsidR="00D1587D" w:rsidRDefault="00D1587D">
      <w:pPr>
        <w:spacing w:line="117" w:lineRule="exact"/>
        <w:rPr>
          <w:rFonts w:ascii="Arial" w:eastAsia="Arial" w:hAnsi="Arial" w:cs="Arial"/>
          <w:sz w:val="18"/>
          <w:szCs w:val="18"/>
        </w:rPr>
      </w:pPr>
    </w:p>
    <w:p w14:paraId="66DDD08C" w14:textId="77777777" w:rsidR="00D1587D" w:rsidRDefault="00410D07" w:rsidP="00410D07">
      <w:pPr>
        <w:numPr>
          <w:ilvl w:val="0"/>
          <w:numId w:val="312"/>
        </w:numPr>
        <w:tabs>
          <w:tab w:val="left" w:pos="1000"/>
        </w:tabs>
        <w:ind w:left="1000" w:hanging="348"/>
        <w:rPr>
          <w:rFonts w:ascii="Arial" w:eastAsia="Arial" w:hAnsi="Arial" w:cs="Arial"/>
          <w:sz w:val="18"/>
          <w:szCs w:val="18"/>
        </w:rPr>
      </w:pPr>
      <w:r>
        <w:rPr>
          <w:rFonts w:ascii="Arial" w:eastAsia="Arial" w:hAnsi="Arial" w:cs="Arial"/>
          <w:sz w:val="18"/>
          <w:szCs w:val="18"/>
        </w:rPr>
        <w:t>Level of overall compensation paid by competitors for comparable positions;</w:t>
      </w:r>
    </w:p>
    <w:p w14:paraId="66967CC0" w14:textId="77777777" w:rsidR="00D1587D" w:rsidRDefault="00D1587D">
      <w:pPr>
        <w:spacing w:line="117" w:lineRule="exact"/>
        <w:rPr>
          <w:rFonts w:ascii="Arial" w:eastAsia="Arial" w:hAnsi="Arial" w:cs="Arial"/>
          <w:sz w:val="18"/>
          <w:szCs w:val="18"/>
        </w:rPr>
      </w:pPr>
    </w:p>
    <w:p w14:paraId="363CAF30" w14:textId="77777777" w:rsidR="00D1587D" w:rsidRDefault="00410D07" w:rsidP="00410D07">
      <w:pPr>
        <w:numPr>
          <w:ilvl w:val="0"/>
          <w:numId w:val="312"/>
        </w:numPr>
        <w:tabs>
          <w:tab w:val="left" w:pos="1000"/>
        </w:tabs>
        <w:ind w:left="1000" w:hanging="348"/>
        <w:rPr>
          <w:rFonts w:ascii="Arial" w:eastAsia="Arial" w:hAnsi="Arial" w:cs="Arial"/>
          <w:sz w:val="18"/>
          <w:szCs w:val="18"/>
        </w:rPr>
      </w:pPr>
      <w:r>
        <w:rPr>
          <w:rFonts w:ascii="Arial" w:eastAsia="Arial" w:hAnsi="Arial" w:cs="Arial"/>
          <w:sz w:val="18"/>
          <w:szCs w:val="18"/>
        </w:rPr>
        <w:t>Recruitment, retention and development of leadership talent;</w:t>
      </w:r>
    </w:p>
    <w:p w14:paraId="51198B52" w14:textId="77777777" w:rsidR="00D1587D" w:rsidRDefault="00D1587D">
      <w:pPr>
        <w:spacing w:line="117" w:lineRule="exact"/>
        <w:rPr>
          <w:rFonts w:ascii="Arial" w:eastAsia="Arial" w:hAnsi="Arial" w:cs="Arial"/>
          <w:sz w:val="18"/>
          <w:szCs w:val="18"/>
        </w:rPr>
      </w:pPr>
    </w:p>
    <w:p w14:paraId="5C029C2F" w14:textId="77777777" w:rsidR="00D1587D" w:rsidRDefault="00410D07" w:rsidP="00410D07">
      <w:pPr>
        <w:numPr>
          <w:ilvl w:val="0"/>
          <w:numId w:val="312"/>
        </w:numPr>
        <w:tabs>
          <w:tab w:val="left" w:pos="1000"/>
        </w:tabs>
        <w:ind w:left="1000" w:hanging="348"/>
        <w:rPr>
          <w:rFonts w:ascii="Arial" w:eastAsia="Arial" w:hAnsi="Arial" w:cs="Arial"/>
          <w:sz w:val="18"/>
          <w:szCs w:val="18"/>
        </w:rPr>
      </w:pPr>
      <w:r>
        <w:rPr>
          <w:rFonts w:ascii="Arial" w:eastAsia="Arial" w:hAnsi="Arial" w:cs="Arial"/>
          <w:sz w:val="18"/>
          <w:szCs w:val="18"/>
        </w:rPr>
        <w:t>LB’s challenging expectat</w:t>
      </w:r>
      <w:r>
        <w:rPr>
          <w:rFonts w:ascii="Arial" w:eastAsia="Arial" w:hAnsi="Arial" w:cs="Arial"/>
          <w:sz w:val="18"/>
          <w:szCs w:val="18"/>
        </w:rPr>
        <w:t>ions for future growth; and</w:t>
      </w:r>
    </w:p>
    <w:p w14:paraId="6B2E9748" w14:textId="77777777" w:rsidR="00D1587D" w:rsidRDefault="00D1587D">
      <w:pPr>
        <w:spacing w:line="117" w:lineRule="exact"/>
        <w:rPr>
          <w:rFonts w:ascii="Arial" w:eastAsia="Arial" w:hAnsi="Arial" w:cs="Arial"/>
          <w:sz w:val="18"/>
          <w:szCs w:val="18"/>
        </w:rPr>
      </w:pPr>
    </w:p>
    <w:p w14:paraId="756E87AF" w14:textId="77777777" w:rsidR="00D1587D" w:rsidRDefault="00410D07" w:rsidP="00410D07">
      <w:pPr>
        <w:numPr>
          <w:ilvl w:val="0"/>
          <w:numId w:val="312"/>
        </w:numPr>
        <w:tabs>
          <w:tab w:val="left" w:pos="1000"/>
        </w:tabs>
        <w:ind w:left="1000" w:hanging="348"/>
        <w:rPr>
          <w:rFonts w:ascii="Arial" w:eastAsia="Arial" w:hAnsi="Arial" w:cs="Arial"/>
          <w:sz w:val="18"/>
          <w:szCs w:val="18"/>
        </w:rPr>
      </w:pPr>
      <w:r>
        <w:rPr>
          <w:rFonts w:ascii="Arial" w:eastAsia="Arial" w:hAnsi="Arial" w:cs="Arial"/>
          <w:sz w:val="18"/>
          <w:szCs w:val="18"/>
        </w:rPr>
        <w:t>The appropriate balancing of the executive’s base salary against their incentive compensation.</w:t>
      </w:r>
    </w:p>
    <w:p w14:paraId="2C583F62" w14:textId="77777777" w:rsidR="00D1587D" w:rsidRDefault="00D1587D">
      <w:pPr>
        <w:sectPr w:rsidR="00D1587D">
          <w:pgSz w:w="11900" w:h="16838"/>
          <w:pgMar w:top="265" w:right="1440" w:bottom="1440" w:left="1440" w:header="0" w:footer="0" w:gutter="0"/>
          <w:cols w:space="720" w:equalWidth="0">
            <w:col w:w="9019"/>
          </w:cols>
        </w:sectPr>
      </w:pPr>
    </w:p>
    <w:p w14:paraId="5084615A" w14:textId="77777777" w:rsidR="00D1587D" w:rsidRDefault="00D1587D">
      <w:pPr>
        <w:spacing w:line="225" w:lineRule="exact"/>
        <w:rPr>
          <w:sz w:val="20"/>
          <w:szCs w:val="20"/>
        </w:rPr>
      </w:pPr>
    </w:p>
    <w:p w14:paraId="01978FDE" w14:textId="77777777" w:rsidR="00D1587D" w:rsidRDefault="00410D07">
      <w:pPr>
        <w:jc w:val="center"/>
        <w:rPr>
          <w:sz w:val="20"/>
          <w:szCs w:val="20"/>
        </w:rPr>
      </w:pPr>
      <w:r>
        <w:rPr>
          <w:rFonts w:ascii="Arial" w:eastAsia="Arial" w:hAnsi="Arial" w:cs="Arial"/>
          <w:sz w:val="15"/>
          <w:szCs w:val="15"/>
        </w:rPr>
        <w:t>110</w:t>
      </w:r>
    </w:p>
    <w:p w14:paraId="2E76E6C8" w14:textId="77777777" w:rsidR="00D1587D" w:rsidRDefault="00410D07">
      <w:pPr>
        <w:spacing w:line="20" w:lineRule="exact"/>
        <w:rPr>
          <w:sz w:val="20"/>
          <w:szCs w:val="20"/>
        </w:rPr>
      </w:pPr>
      <w:r>
        <w:rPr>
          <w:noProof/>
          <w:sz w:val="20"/>
          <w:szCs w:val="20"/>
        </w:rPr>
        <w:drawing>
          <wp:anchor distT="0" distB="0" distL="114300" distR="114300" simplePos="0" relativeHeight="251830272" behindDoc="1" locked="0" layoutInCell="0" allowOverlap="1" wp14:anchorId="78A06A8F" wp14:editId="3D24DC39">
            <wp:simplePos x="0" y="0"/>
            <wp:positionH relativeFrom="column">
              <wp:posOffset>-636905</wp:posOffset>
            </wp:positionH>
            <wp:positionV relativeFrom="paragraph">
              <wp:posOffset>156845</wp:posOffset>
            </wp:positionV>
            <wp:extent cx="6995160" cy="17145"/>
            <wp:effectExtent l="0" t="0" r="0" b="0"/>
            <wp:wrapNone/>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28043CD"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68" w:name="page369"/>
    <w:bookmarkEnd w:id="368"/>
    <w:p w14:paraId="2DB5D6D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3FFE39D" w14:textId="77777777" w:rsidR="00D1587D" w:rsidRDefault="00D1587D">
      <w:pPr>
        <w:spacing w:line="131" w:lineRule="exact"/>
        <w:rPr>
          <w:sz w:val="20"/>
          <w:szCs w:val="20"/>
        </w:rPr>
      </w:pPr>
    </w:p>
    <w:p w14:paraId="7ACBD6A2" w14:textId="77777777" w:rsidR="00D1587D" w:rsidRDefault="00410D07">
      <w:pPr>
        <w:spacing w:line="301" w:lineRule="auto"/>
        <w:ind w:left="300" w:right="359" w:firstLine="360"/>
        <w:rPr>
          <w:sz w:val="20"/>
          <w:szCs w:val="20"/>
        </w:rPr>
      </w:pPr>
      <w:r>
        <w:rPr>
          <w:rFonts w:ascii="Arial" w:eastAsia="Arial" w:hAnsi="Arial" w:cs="Arial"/>
          <w:sz w:val="16"/>
          <w:szCs w:val="16"/>
        </w:rPr>
        <w:t xml:space="preserve">During 2020, Mr. </w:t>
      </w:r>
      <w:r>
        <w:rPr>
          <w:rFonts w:ascii="Arial" w:eastAsia="Arial" w:hAnsi="Arial" w:cs="Arial"/>
          <w:sz w:val="16"/>
          <w:szCs w:val="16"/>
        </w:rPr>
        <w:t>Burgdoerfer’s base salary increased, effective May 18, 2020, to $1,200,000 in connection with his promotion as Interim Chief Executive Officer of VS. In addition, Mr. Waters’ base salary was increased effective November 25, 2020, to $1,050,000 in connectio</w:t>
      </w:r>
      <w:r>
        <w:rPr>
          <w:rFonts w:ascii="Arial" w:eastAsia="Arial" w:hAnsi="Arial" w:cs="Arial"/>
          <w:sz w:val="16"/>
          <w:szCs w:val="16"/>
        </w:rPr>
        <w:t>n with his promotion to Chief Executive Officer, Victoria’s Secret Lingerie. The table below reflects the base salaries for each NEO as of the end of fiscal 2020.</w:t>
      </w:r>
    </w:p>
    <w:p w14:paraId="78F6102D" w14:textId="77777777" w:rsidR="00D1587D" w:rsidRDefault="00D1587D">
      <w:pPr>
        <w:spacing w:line="10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340"/>
        <w:gridCol w:w="260"/>
        <w:gridCol w:w="820"/>
        <w:gridCol w:w="20"/>
      </w:tblGrid>
      <w:tr w:rsidR="00D1587D" w14:paraId="5E30916A" w14:textId="77777777">
        <w:trPr>
          <w:trHeight w:val="161"/>
        </w:trPr>
        <w:tc>
          <w:tcPr>
            <w:tcW w:w="7600" w:type="dxa"/>
            <w:gridSpan w:val="2"/>
            <w:vMerge w:val="restart"/>
            <w:vAlign w:val="bottom"/>
          </w:tcPr>
          <w:p w14:paraId="12D79898" w14:textId="77777777" w:rsidR="00D1587D" w:rsidRDefault="00410D07">
            <w:pPr>
              <w:ind w:left="3520"/>
              <w:rPr>
                <w:sz w:val="20"/>
                <w:szCs w:val="20"/>
              </w:rPr>
            </w:pPr>
            <w:r>
              <w:rPr>
                <w:rFonts w:ascii="Arial" w:eastAsia="Arial" w:hAnsi="Arial" w:cs="Arial"/>
                <w:b/>
                <w:bCs/>
                <w:sz w:val="14"/>
                <w:szCs w:val="14"/>
              </w:rPr>
              <w:t>NEO</w:t>
            </w:r>
          </w:p>
        </w:tc>
        <w:tc>
          <w:tcPr>
            <w:tcW w:w="820" w:type="dxa"/>
            <w:vAlign w:val="bottom"/>
          </w:tcPr>
          <w:p w14:paraId="7405B7A3" w14:textId="77777777" w:rsidR="00D1587D" w:rsidRDefault="00410D07">
            <w:pPr>
              <w:jc w:val="center"/>
              <w:rPr>
                <w:sz w:val="20"/>
                <w:szCs w:val="20"/>
              </w:rPr>
            </w:pPr>
            <w:r>
              <w:rPr>
                <w:rFonts w:ascii="Arial" w:eastAsia="Arial" w:hAnsi="Arial" w:cs="Arial"/>
                <w:b/>
                <w:bCs/>
                <w:w w:val="90"/>
                <w:sz w:val="14"/>
                <w:szCs w:val="14"/>
              </w:rPr>
              <w:t>2020 Base</w:t>
            </w:r>
          </w:p>
        </w:tc>
        <w:tc>
          <w:tcPr>
            <w:tcW w:w="0" w:type="dxa"/>
            <w:vAlign w:val="bottom"/>
          </w:tcPr>
          <w:p w14:paraId="1A62DFCE" w14:textId="77777777" w:rsidR="00D1587D" w:rsidRDefault="00D1587D">
            <w:pPr>
              <w:rPr>
                <w:sz w:val="1"/>
                <w:szCs w:val="1"/>
              </w:rPr>
            </w:pPr>
          </w:p>
        </w:tc>
      </w:tr>
      <w:tr w:rsidR="00D1587D" w14:paraId="0B65A5D3" w14:textId="77777777">
        <w:trPr>
          <w:trHeight w:val="186"/>
        </w:trPr>
        <w:tc>
          <w:tcPr>
            <w:tcW w:w="7600" w:type="dxa"/>
            <w:gridSpan w:val="2"/>
            <w:vMerge/>
            <w:vAlign w:val="bottom"/>
          </w:tcPr>
          <w:p w14:paraId="08477677" w14:textId="77777777" w:rsidR="00D1587D" w:rsidRDefault="00D1587D">
            <w:pPr>
              <w:rPr>
                <w:sz w:val="16"/>
                <w:szCs w:val="16"/>
              </w:rPr>
            </w:pPr>
          </w:p>
        </w:tc>
        <w:tc>
          <w:tcPr>
            <w:tcW w:w="820" w:type="dxa"/>
            <w:vAlign w:val="bottom"/>
          </w:tcPr>
          <w:p w14:paraId="3898565F" w14:textId="77777777" w:rsidR="00D1587D" w:rsidRDefault="00410D07">
            <w:pPr>
              <w:jc w:val="center"/>
              <w:rPr>
                <w:sz w:val="20"/>
                <w:szCs w:val="20"/>
              </w:rPr>
            </w:pPr>
            <w:r>
              <w:rPr>
                <w:rFonts w:ascii="Arial" w:eastAsia="Arial" w:hAnsi="Arial" w:cs="Arial"/>
                <w:b/>
                <w:bCs/>
                <w:w w:val="98"/>
                <w:sz w:val="14"/>
                <w:szCs w:val="14"/>
              </w:rPr>
              <w:t>Salary ($)</w:t>
            </w:r>
          </w:p>
        </w:tc>
        <w:tc>
          <w:tcPr>
            <w:tcW w:w="0" w:type="dxa"/>
            <w:vAlign w:val="bottom"/>
          </w:tcPr>
          <w:p w14:paraId="47365B9E" w14:textId="77777777" w:rsidR="00D1587D" w:rsidRDefault="00D1587D">
            <w:pPr>
              <w:rPr>
                <w:sz w:val="1"/>
                <w:szCs w:val="1"/>
              </w:rPr>
            </w:pPr>
          </w:p>
        </w:tc>
      </w:tr>
      <w:tr w:rsidR="00D1587D" w14:paraId="72493404" w14:textId="77777777">
        <w:trPr>
          <w:trHeight w:val="53"/>
        </w:trPr>
        <w:tc>
          <w:tcPr>
            <w:tcW w:w="7340" w:type="dxa"/>
            <w:tcBorders>
              <w:bottom w:val="single" w:sz="8" w:space="0" w:color="auto"/>
            </w:tcBorders>
            <w:vAlign w:val="bottom"/>
          </w:tcPr>
          <w:p w14:paraId="559758EE" w14:textId="77777777" w:rsidR="00D1587D" w:rsidRDefault="00D1587D">
            <w:pPr>
              <w:rPr>
                <w:sz w:val="4"/>
                <w:szCs w:val="4"/>
              </w:rPr>
            </w:pPr>
          </w:p>
        </w:tc>
        <w:tc>
          <w:tcPr>
            <w:tcW w:w="260" w:type="dxa"/>
            <w:tcBorders>
              <w:bottom w:val="single" w:sz="8" w:space="0" w:color="CCEEFF"/>
            </w:tcBorders>
            <w:vAlign w:val="bottom"/>
          </w:tcPr>
          <w:p w14:paraId="2A3B9507" w14:textId="77777777" w:rsidR="00D1587D" w:rsidRDefault="00D1587D">
            <w:pPr>
              <w:rPr>
                <w:sz w:val="4"/>
                <w:szCs w:val="4"/>
              </w:rPr>
            </w:pPr>
          </w:p>
        </w:tc>
        <w:tc>
          <w:tcPr>
            <w:tcW w:w="820" w:type="dxa"/>
            <w:tcBorders>
              <w:bottom w:val="single" w:sz="8" w:space="0" w:color="auto"/>
            </w:tcBorders>
            <w:vAlign w:val="bottom"/>
          </w:tcPr>
          <w:p w14:paraId="4AD0FCF7" w14:textId="77777777" w:rsidR="00D1587D" w:rsidRDefault="00D1587D">
            <w:pPr>
              <w:rPr>
                <w:sz w:val="4"/>
                <w:szCs w:val="4"/>
              </w:rPr>
            </w:pPr>
          </w:p>
        </w:tc>
        <w:tc>
          <w:tcPr>
            <w:tcW w:w="0" w:type="dxa"/>
            <w:vAlign w:val="bottom"/>
          </w:tcPr>
          <w:p w14:paraId="4E857E40" w14:textId="77777777" w:rsidR="00D1587D" w:rsidRDefault="00D1587D">
            <w:pPr>
              <w:rPr>
                <w:sz w:val="1"/>
                <w:szCs w:val="1"/>
              </w:rPr>
            </w:pPr>
          </w:p>
        </w:tc>
      </w:tr>
      <w:tr w:rsidR="00D1587D" w14:paraId="582B551C" w14:textId="77777777">
        <w:trPr>
          <w:trHeight w:val="311"/>
        </w:trPr>
        <w:tc>
          <w:tcPr>
            <w:tcW w:w="7600" w:type="dxa"/>
            <w:gridSpan w:val="2"/>
            <w:tcBorders>
              <w:bottom w:val="single" w:sz="8" w:space="0" w:color="CCEEFF"/>
            </w:tcBorders>
            <w:shd w:val="clear" w:color="auto" w:fill="CCEEFF"/>
            <w:vAlign w:val="bottom"/>
          </w:tcPr>
          <w:p w14:paraId="7D5D6454" w14:textId="77777777" w:rsidR="00D1587D" w:rsidRDefault="00410D07">
            <w:pPr>
              <w:rPr>
                <w:sz w:val="20"/>
                <w:szCs w:val="20"/>
              </w:rPr>
            </w:pPr>
            <w:r>
              <w:rPr>
                <w:rFonts w:ascii="Arial" w:eastAsia="Arial" w:hAnsi="Arial" w:cs="Arial"/>
                <w:sz w:val="18"/>
                <w:szCs w:val="18"/>
              </w:rPr>
              <w:t>Mr. Waters</w:t>
            </w:r>
          </w:p>
        </w:tc>
        <w:tc>
          <w:tcPr>
            <w:tcW w:w="820" w:type="dxa"/>
            <w:tcBorders>
              <w:bottom w:val="single" w:sz="8" w:space="0" w:color="CCEEFF"/>
            </w:tcBorders>
            <w:shd w:val="clear" w:color="auto" w:fill="CCEEFF"/>
            <w:vAlign w:val="bottom"/>
          </w:tcPr>
          <w:p w14:paraId="02DED37F" w14:textId="77777777" w:rsidR="00D1587D" w:rsidRDefault="00410D07">
            <w:pPr>
              <w:jc w:val="center"/>
              <w:rPr>
                <w:sz w:val="20"/>
                <w:szCs w:val="20"/>
              </w:rPr>
            </w:pPr>
            <w:r>
              <w:rPr>
                <w:rFonts w:ascii="Arial" w:eastAsia="Arial" w:hAnsi="Arial" w:cs="Arial"/>
                <w:w w:val="90"/>
                <w:sz w:val="18"/>
                <w:szCs w:val="18"/>
              </w:rPr>
              <w:t>$1,050,000</w:t>
            </w:r>
          </w:p>
        </w:tc>
        <w:tc>
          <w:tcPr>
            <w:tcW w:w="0" w:type="dxa"/>
            <w:vAlign w:val="bottom"/>
          </w:tcPr>
          <w:p w14:paraId="39644EAF" w14:textId="77777777" w:rsidR="00D1587D" w:rsidRDefault="00D1587D">
            <w:pPr>
              <w:rPr>
                <w:sz w:val="1"/>
                <w:szCs w:val="1"/>
              </w:rPr>
            </w:pPr>
          </w:p>
        </w:tc>
      </w:tr>
      <w:tr w:rsidR="00D1587D" w14:paraId="55AF357D" w14:textId="77777777">
        <w:trPr>
          <w:trHeight w:val="270"/>
        </w:trPr>
        <w:tc>
          <w:tcPr>
            <w:tcW w:w="7600" w:type="dxa"/>
            <w:gridSpan w:val="2"/>
            <w:vAlign w:val="bottom"/>
          </w:tcPr>
          <w:p w14:paraId="116CF33C" w14:textId="77777777" w:rsidR="00D1587D" w:rsidRDefault="00410D07">
            <w:pPr>
              <w:rPr>
                <w:sz w:val="20"/>
                <w:szCs w:val="20"/>
              </w:rPr>
            </w:pPr>
            <w:r>
              <w:rPr>
                <w:rFonts w:ascii="Arial" w:eastAsia="Arial" w:hAnsi="Arial" w:cs="Arial"/>
                <w:sz w:val="18"/>
                <w:szCs w:val="18"/>
              </w:rPr>
              <w:t>Ms. Hauk</w:t>
            </w:r>
          </w:p>
        </w:tc>
        <w:tc>
          <w:tcPr>
            <w:tcW w:w="820" w:type="dxa"/>
            <w:vAlign w:val="bottom"/>
          </w:tcPr>
          <w:p w14:paraId="1BBBF308" w14:textId="77777777" w:rsidR="00D1587D" w:rsidRDefault="00410D07">
            <w:pPr>
              <w:jc w:val="right"/>
              <w:rPr>
                <w:sz w:val="20"/>
                <w:szCs w:val="20"/>
              </w:rPr>
            </w:pPr>
            <w:r>
              <w:rPr>
                <w:rFonts w:ascii="Arial" w:eastAsia="Arial" w:hAnsi="Arial" w:cs="Arial"/>
                <w:sz w:val="18"/>
                <w:szCs w:val="18"/>
              </w:rPr>
              <w:t>925,000</w:t>
            </w:r>
          </w:p>
        </w:tc>
        <w:tc>
          <w:tcPr>
            <w:tcW w:w="0" w:type="dxa"/>
            <w:vAlign w:val="bottom"/>
          </w:tcPr>
          <w:p w14:paraId="14673028" w14:textId="77777777" w:rsidR="00D1587D" w:rsidRDefault="00D1587D">
            <w:pPr>
              <w:rPr>
                <w:sz w:val="1"/>
                <w:szCs w:val="1"/>
              </w:rPr>
            </w:pPr>
          </w:p>
        </w:tc>
      </w:tr>
      <w:tr w:rsidR="00D1587D" w14:paraId="74AFDC87" w14:textId="77777777">
        <w:trPr>
          <w:trHeight w:val="54"/>
        </w:trPr>
        <w:tc>
          <w:tcPr>
            <w:tcW w:w="7340" w:type="dxa"/>
            <w:vAlign w:val="bottom"/>
          </w:tcPr>
          <w:p w14:paraId="3DA3D6C6" w14:textId="77777777" w:rsidR="00D1587D" w:rsidRDefault="00D1587D">
            <w:pPr>
              <w:rPr>
                <w:sz w:val="4"/>
                <w:szCs w:val="4"/>
              </w:rPr>
            </w:pPr>
          </w:p>
        </w:tc>
        <w:tc>
          <w:tcPr>
            <w:tcW w:w="260" w:type="dxa"/>
            <w:vAlign w:val="bottom"/>
          </w:tcPr>
          <w:p w14:paraId="51734604" w14:textId="77777777" w:rsidR="00D1587D" w:rsidRDefault="00D1587D">
            <w:pPr>
              <w:rPr>
                <w:sz w:val="4"/>
                <w:szCs w:val="4"/>
              </w:rPr>
            </w:pPr>
          </w:p>
        </w:tc>
        <w:tc>
          <w:tcPr>
            <w:tcW w:w="820" w:type="dxa"/>
            <w:vAlign w:val="bottom"/>
          </w:tcPr>
          <w:p w14:paraId="4E51EA5C" w14:textId="77777777" w:rsidR="00D1587D" w:rsidRDefault="00D1587D">
            <w:pPr>
              <w:rPr>
                <w:sz w:val="4"/>
                <w:szCs w:val="4"/>
              </w:rPr>
            </w:pPr>
          </w:p>
        </w:tc>
        <w:tc>
          <w:tcPr>
            <w:tcW w:w="0" w:type="dxa"/>
            <w:vAlign w:val="bottom"/>
          </w:tcPr>
          <w:p w14:paraId="37989C45" w14:textId="77777777" w:rsidR="00D1587D" w:rsidRDefault="00D1587D">
            <w:pPr>
              <w:rPr>
                <w:sz w:val="1"/>
                <w:szCs w:val="1"/>
              </w:rPr>
            </w:pPr>
          </w:p>
        </w:tc>
      </w:tr>
      <w:tr w:rsidR="00D1587D" w14:paraId="43EB3526" w14:textId="77777777">
        <w:trPr>
          <w:trHeight w:val="304"/>
        </w:trPr>
        <w:tc>
          <w:tcPr>
            <w:tcW w:w="7600" w:type="dxa"/>
            <w:gridSpan w:val="2"/>
            <w:tcBorders>
              <w:bottom w:val="single" w:sz="8" w:space="0" w:color="CCEEFF"/>
            </w:tcBorders>
            <w:shd w:val="clear" w:color="auto" w:fill="CCEEFF"/>
            <w:vAlign w:val="bottom"/>
          </w:tcPr>
          <w:p w14:paraId="19AC229A" w14:textId="77777777" w:rsidR="00D1587D" w:rsidRDefault="00410D07">
            <w:pPr>
              <w:rPr>
                <w:sz w:val="20"/>
                <w:szCs w:val="20"/>
              </w:rPr>
            </w:pPr>
            <w:r>
              <w:rPr>
                <w:rFonts w:ascii="Arial" w:eastAsia="Arial" w:hAnsi="Arial" w:cs="Arial"/>
                <w:sz w:val="18"/>
                <w:szCs w:val="18"/>
              </w:rPr>
              <w:t xml:space="preserve">Mr. </w:t>
            </w:r>
            <w:r>
              <w:rPr>
                <w:rFonts w:ascii="Arial" w:eastAsia="Arial" w:hAnsi="Arial" w:cs="Arial"/>
                <w:sz w:val="18"/>
                <w:szCs w:val="18"/>
              </w:rPr>
              <w:t>Unis</w:t>
            </w:r>
          </w:p>
        </w:tc>
        <w:tc>
          <w:tcPr>
            <w:tcW w:w="820" w:type="dxa"/>
            <w:tcBorders>
              <w:bottom w:val="single" w:sz="8" w:space="0" w:color="CCEEFF"/>
            </w:tcBorders>
            <w:shd w:val="clear" w:color="auto" w:fill="CCEEFF"/>
            <w:vAlign w:val="bottom"/>
          </w:tcPr>
          <w:p w14:paraId="7BB835A6" w14:textId="77777777" w:rsidR="00D1587D" w:rsidRDefault="00410D07">
            <w:pPr>
              <w:jc w:val="right"/>
              <w:rPr>
                <w:sz w:val="20"/>
                <w:szCs w:val="20"/>
              </w:rPr>
            </w:pPr>
            <w:r>
              <w:rPr>
                <w:rFonts w:ascii="Arial" w:eastAsia="Arial" w:hAnsi="Arial" w:cs="Arial"/>
                <w:sz w:val="18"/>
                <w:szCs w:val="18"/>
              </w:rPr>
              <w:t>850,000</w:t>
            </w:r>
          </w:p>
        </w:tc>
        <w:tc>
          <w:tcPr>
            <w:tcW w:w="0" w:type="dxa"/>
            <w:vAlign w:val="bottom"/>
          </w:tcPr>
          <w:p w14:paraId="64EF1AFC" w14:textId="77777777" w:rsidR="00D1587D" w:rsidRDefault="00D1587D">
            <w:pPr>
              <w:rPr>
                <w:sz w:val="1"/>
                <w:szCs w:val="1"/>
              </w:rPr>
            </w:pPr>
          </w:p>
        </w:tc>
      </w:tr>
      <w:tr w:rsidR="00D1587D" w14:paraId="18F4B580" w14:textId="77777777">
        <w:trPr>
          <w:trHeight w:val="270"/>
        </w:trPr>
        <w:tc>
          <w:tcPr>
            <w:tcW w:w="7600" w:type="dxa"/>
            <w:gridSpan w:val="2"/>
            <w:vAlign w:val="bottom"/>
          </w:tcPr>
          <w:p w14:paraId="3162D975" w14:textId="77777777" w:rsidR="00D1587D" w:rsidRDefault="00410D07">
            <w:pPr>
              <w:rPr>
                <w:sz w:val="20"/>
                <w:szCs w:val="20"/>
              </w:rPr>
            </w:pPr>
            <w:r>
              <w:rPr>
                <w:rFonts w:ascii="Arial" w:eastAsia="Arial" w:hAnsi="Arial" w:cs="Arial"/>
                <w:sz w:val="18"/>
                <w:szCs w:val="18"/>
              </w:rPr>
              <w:t>Mr. Burgdoerfer</w:t>
            </w:r>
          </w:p>
        </w:tc>
        <w:tc>
          <w:tcPr>
            <w:tcW w:w="820" w:type="dxa"/>
            <w:vAlign w:val="bottom"/>
          </w:tcPr>
          <w:p w14:paraId="383D3180" w14:textId="77777777" w:rsidR="00D1587D" w:rsidRDefault="00410D07">
            <w:pPr>
              <w:jc w:val="right"/>
              <w:rPr>
                <w:sz w:val="20"/>
                <w:szCs w:val="20"/>
              </w:rPr>
            </w:pPr>
            <w:r>
              <w:rPr>
                <w:rFonts w:ascii="Arial" w:eastAsia="Arial" w:hAnsi="Arial" w:cs="Arial"/>
                <w:w w:val="97"/>
                <w:sz w:val="18"/>
                <w:szCs w:val="18"/>
              </w:rPr>
              <w:t>1,200,000</w:t>
            </w:r>
          </w:p>
        </w:tc>
        <w:tc>
          <w:tcPr>
            <w:tcW w:w="0" w:type="dxa"/>
            <w:vAlign w:val="bottom"/>
          </w:tcPr>
          <w:p w14:paraId="1EA0C6BB" w14:textId="77777777" w:rsidR="00D1587D" w:rsidRDefault="00D1587D">
            <w:pPr>
              <w:rPr>
                <w:sz w:val="1"/>
                <w:szCs w:val="1"/>
              </w:rPr>
            </w:pPr>
          </w:p>
        </w:tc>
      </w:tr>
      <w:tr w:rsidR="00D1587D" w14:paraId="2E8C7963" w14:textId="77777777">
        <w:trPr>
          <w:trHeight w:val="54"/>
        </w:trPr>
        <w:tc>
          <w:tcPr>
            <w:tcW w:w="7340" w:type="dxa"/>
            <w:vAlign w:val="bottom"/>
          </w:tcPr>
          <w:p w14:paraId="7EE3A080" w14:textId="77777777" w:rsidR="00D1587D" w:rsidRDefault="00D1587D">
            <w:pPr>
              <w:rPr>
                <w:sz w:val="4"/>
                <w:szCs w:val="4"/>
              </w:rPr>
            </w:pPr>
          </w:p>
        </w:tc>
        <w:tc>
          <w:tcPr>
            <w:tcW w:w="260" w:type="dxa"/>
            <w:vAlign w:val="bottom"/>
          </w:tcPr>
          <w:p w14:paraId="7D9146C2" w14:textId="77777777" w:rsidR="00D1587D" w:rsidRDefault="00D1587D">
            <w:pPr>
              <w:rPr>
                <w:sz w:val="4"/>
                <w:szCs w:val="4"/>
              </w:rPr>
            </w:pPr>
          </w:p>
        </w:tc>
        <w:tc>
          <w:tcPr>
            <w:tcW w:w="820" w:type="dxa"/>
            <w:vAlign w:val="bottom"/>
          </w:tcPr>
          <w:p w14:paraId="49546ED8" w14:textId="77777777" w:rsidR="00D1587D" w:rsidRDefault="00D1587D">
            <w:pPr>
              <w:rPr>
                <w:sz w:val="4"/>
                <w:szCs w:val="4"/>
              </w:rPr>
            </w:pPr>
          </w:p>
        </w:tc>
        <w:tc>
          <w:tcPr>
            <w:tcW w:w="0" w:type="dxa"/>
            <w:vAlign w:val="bottom"/>
          </w:tcPr>
          <w:p w14:paraId="472D43BD" w14:textId="77777777" w:rsidR="00D1587D" w:rsidRDefault="00D1587D">
            <w:pPr>
              <w:rPr>
                <w:sz w:val="1"/>
                <w:szCs w:val="1"/>
              </w:rPr>
            </w:pPr>
          </w:p>
        </w:tc>
      </w:tr>
      <w:tr w:rsidR="00D1587D" w14:paraId="5B229762" w14:textId="77777777">
        <w:trPr>
          <w:trHeight w:val="270"/>
        </w:trPr>
        <w:tc>
          <w:tcPr>
            <w:tcW w:w="7600" w:type="dxa"/>
            <w:gridSpan w:val="2"/>
            <w:shd w:val="clear" w:color="auto" w:fill="CCEEFF"/>
            <w:vAlign w:val="bottom"/>
          </w:tcPr>
          <w:p w14:paraId="5E1988A1" w14:textId="77777777" w:rsidR="00D1587D" w:rsidRDefault="00410D07">
            <w:pPr>
              <w:rPr>
                <w:sz w:val="20"/>
                <w:szCs w:val="20"/>
              </w:rPr>
            </w:pPr>
            <w:r>
              <w:rPr>
                <w:rFonts w:ascii="Arial" w:eastAsia="Arial" w:hAnsi="Arial" w:cs="Arial"/>
                <w:sz w:val="18"/>
                <w:szCs w:val="18"/>
              </w:rPr>
              <w:t>Mr. Mehas</w:t>
            </w:r>
          </w:p>
        </w:tc>
        <w:tc>
          <w:tcPr>
            <w:tcW w:w="820" w:type="dxa"/>
            <w:shd w:val="clear" w:color="auto" w:fill="CCEEFF"/>
            <w:vAlign w:val="bottom"/>
          </w:tcPr>
          <w:p w14:paraId="149B7523" w14:textId="77777777" w:rsidR="00D1587D" w:rsidRDefault="00410D07">
            <w:pPr>
              <w:jc w:val="right"/>
              <w:rPr>
                <w:sz w:val="20"/>
                <w:szCs w:val="20"/>
              </w:rPr>
            </w:pPr>
            <w:r>
              <w:rPr>
                <w:rFonts w:ascii="Arial" w:eastAsia="Arial" w:hAnsi="Arial" w:cs="Arial"/>
                <w:w w:val="97"/>
                <w:sz w:val="18"/>
                <w:szCs w:val="18"/>
              </w:rPr>
              <w:t>1,200,000</w:t>
            </w:r>
          </w:p>
        </w:tc>
        <w:tc>
          <w:tcPr>
            <w:tcW w:w="0" w:type="dxa"/>
            <w:vAlign w:val="bottom"/>
          </w:tcPr>
          <w:p w14:paraId="2AE981BA" w14:textId="77777777" w:rsidR="00D1587D" w:rsidRDefault="00D1587D">
            <w:pPr>
              <w:rPr>
                <w:sz w:val="1"/>
                <w:szCs w:val="1"/>
              </w:rPr>
            </w:pPr>
          </w:p>
        </w:tc>
      </w:tr>
      <w:tr w:rsidR="00D1587D" w14:paraId="3465B5FF" w14:textId="77777777">
        <w:trPr>
          <w:trHeight w:val="54"/>
        </w:trPr>
        <w:tc>
          <w:tcPr>
            <w:tcW w:w="7340" w:type="dxa"/>
            <w:shd w:val="clear" w:color="auto" w:fill="CCEEFF"/>
            <w:vAlign w:val="bottom"/>
          </w:tcPr>
          <w:p w14:paraId="59166A22" w14:textId="77777777" w:rsidR="00D1587D" w:rsidRDefault="00D1587D">
            <w:pPr>
              <w:rPr>
                <w:sz w:val="4"/>
                <w:szCs w:val="4"/>
              </w:rPr>
            </w:pPr>
          </w:p>
        </w:tc>
        <w:tc>
          <w:tcPr>
            <w:tcW w:w="260" w:type="dxa"/>
            <w:shd w:val="clear" w:color="auto" w:fill="CCEEFF"/>
            <w:vAlign w:val="bottom"/>
          </w:tcPr>
          <w:p w14:paraId="4BF28AE5" w14:textId="77777777" w:rsidR="00D1587D" w:rsidRDefault="00D1587D">
            <w:pPr>
              <w:rPr>
                <w:sz w:val="4"/>
                <w:szCs w:val="4"/>
              </w:rPr>
            </w:pPr>
          </w:p>
        </w:tc>
        <w:tc>
          <w:tcPr>
            <w:tcW w:w="820" w:type="dxa"/>
            <w:shd w:val="clear" w:color="auto" w:fill="CCEEFF"/>
            <w:vAlign w:val="bottom"/>
          </w:tcPr>
          <w:p w14:paraId="32C7464A" w14:textId="77777777" w:rsidR="00D1587D" w:rsidRDefault="00D1587D">
            <w:pPr>
              <w:rPr>
                <w:sz w:val="4"/>
                <w:szCs w:val="4"/>
              </w:rPr>
            </w:pPr>
          </w:p>
        </w:tc>
        <w:tc>
          <w:tcPr>
            <w:tcW w:w="0" w:type="dxa"/>
            <w:vAlign w:val="bottom"/>
          </w:tcPr>
          <w:p w14:paraId="21E04938" w14:textId="77777777" w:rsidR="00D1587D" w:rsidRDefault="00D1587D">
            <w:pPr>
              <w:rPr>
                <w:sz w:val="1"/>
                <w:szCs w:val="1"/>
              </w:rPr>
            </w:pPr>
          </w:p>
        </w:tc>
      </w:tr>
    </w:tbl>
    <w:p w14:paraId="3D03CA82" w14:textId="77777777" w:rsidR="00D1587D" w:rsidRDefault="00410D07">
      <w:pPr>
        <w:spacing w:line="20" w:lineRule="exact"/>
        <w:rPr>
          <w:sz w:val="20"/>
          <w:szCs w:val="20"/>
        </w:rPr>
      </w:pPr>
      <w:r>
        <w:rPr>
          <w:noProof/>
          <w:sz w:val="20"/>
          <w:szCs w:val="20"/>
        </w:rPr>
        <w:drawing>
          <wp:anchor distT="0" distB="0" distL="114300" distR="114300" simplePos="0" relativeHeight="251831296" behindDoc="1" locked="0" layoutInCell="0" allowOverlap="1" wp14:anchorId="4A213C51" wp14:editId="7813BF72">
            <wp:simplePos x="0" y="0"/>
            <wp:positionH relativeFrom="column">
              <wp:posOffset>4857115</wp:posOffset>
            </wp:positionH>
            <wp:positionV relativeFrom="paragraph">
              <wp:posOffset>-1045210</wp:posOffset>
            </wp:positionV>
            <wp:extent cx="163195" cy="8255"/>
            <wp:effectExtent l="0" t="0" r="0" b="0"/>
            <wp:wrapNone/>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42"/>
                    <a:srcRect/>
                    <a:stretch>
                      <a:fillRect/>
                    </a:stretch>
                  </pic:blipFill>
                  <pic:spPr bwMode="auto">
                    <a:xfrm>
                      <a:off x="0" y="0"/>
                      <a:ext cx="163195" cy="8255"/>
                    </a:xfrm>
                    <a:prstGeom prst="rect">
                      <a:avLst/>
                    </a:prstGeom>
                    <a:noFill/>
                  </pic:spPr>
                </pic:pic>
              </a:graphicData>
            </a:graphic>
          </wp:anchor>
        </w:drawing>
      </w:r>
    </w:p>
    <w:p w14:paraId="557CB305" w14:textId="77777777" w:rsidR="00D1587D" w:rsidRDefault="00D1587D">
      <w:pPr>
        <w:spacing w:line="74" w:lineRule="exact"/>
        <w:rPr>
          <w:sz w:val="20"/>
          <w:szCs w:val="20"/>
        </w:rPr>
      </w:pPr>
    </w:p>
    <w:p w14:paraId="2BEC9FD5" w14:textId="77777777" w:rsidR="00D1587D" w:rsidRDefault="00410D07">
      <w:pPr>
        <w:spacing w:line="311" w:lineRule="auto"/>
        <w:ind w:left="300" w:right="739" w:firstLine="360"/>
        <w:rPr>
          <w:sz w:val="20"/>
          <w:szCs w:val="20"/>
        </w:rPr>
      </w:pPr>
      <w:r>
        <w:rPr>
          <w:rFonts w:ascii="Arial" w:eastAsia="Arial" w:hAnsi="Arial" w:cs="Arial"/>
          <w:sz w:val="16"/>
          <w:szCs w:val="16"/>
        </w:rPr>
        <w:t xml:space="preserve">The table above does not reflect the fact each of the executive officers’ base pay was reduced 20% for approximately three months during 2020 in connection with the </w:t>
      </w:r>
      <w:r>
        <w:rPr>
          <w:rFonts w:ascii="Arial" w:eastAsia="Arial" w:hAnsi="Arial" w:cs="Arial"/>
          <w:sz w:val="16"/>
          <w:szCs w:val="16"/>
        </w:rPr>
        <w:t>COVID-19 pandemic. In addition, in February 2021, Mr. Waters’ base salary was increased to $1,250,000 in connection with his promotion to CEO of VS.</w:t>
      </w:r>
    </w:p>
    <w:p w14:paraId="2FBC8021" w14:textId="77777777" w:rsidR="00D1587D" w:rsidRDefault="00D1587D">
      <w:pPr>
        <w:spacing w:line="41" w:lineRule="exact"/>
        <w:rPr>
          <w:sz w:val="20"/>
          <w:szCs w:val="20"/>
        </w:rPr>
      </w:pPr>
    </w:p>
    <w:p w14:paraId="6D8C2BFB" w14:textId="77777777" w:rsidR="00D1587D" w:rsidRDefault="00410D07">
      <w:pPr>
        <w:spacing w:line="277" w:lineRule="auto"/>
        <w:ind w:left="300" w:right="519" w:firstLine="360"/>
        <w:rPr>
          <w:sz w:val="20"/>
          <w:szCs w:val="20"/>
        </w:rPr>
      </w:pPr>
      <w:r>
        <w:rPr>
          <w:rFonts w:ascii="Arial" w:eastAsia="Arial" w:hAnsi="Arial" w:cs="Arial"/>
          <w:i/>
          <w:iCs/>
          <w:sz w:val="18"/>
          <w:szCs w:val="18"/>
        </w:rPr>
        <w:t>Going forward</w:t>
      </w:r>
      <w:r>
        <w:rPr>
          <w:rFonts w:ascii="Arial" w:eastAsia="Arial" w:hAnsi="Arial" w:cs="Arial"/>
          <w:sz w:val="18"/>
          <w:szCs w:val="18"/>
        </w:rPr>
        <w:t xml:space="preserve">: Once we are a separate public company, we anticipate that we will continue LB’s base </w:t>
      </w:r>
      <w:r>
        <w:rPr>
          <w:rFonts w:ascii="Arial" w:eastAsia="Arial" w:hAnsi="Arial" w:cs="Arial"/>
          <w:sz w:val="18"/>
          <w:szCs w:val="18"/>
        </w:rPr>
        <w:t>salary</w:t>
      </w:r>
      <w:r>
        <w:rPr>
          <w:rFonts w:ascii="Arial" w:eastAsia="Arial" w:hAnsi="Arial" w:cs="Arial"/>
          <w:i/>
          <w:iCs/>
          <w:sz w:val="18"/>
          <w:szCs w:val="18"/>
        </w:rPr>
        <w:t xml:space="preserve"> </w:t>
      </w:r>
      <w:r>
        <w:rPr>
          <w:rFonts w:ascii="Arial" w:eastAsia="Arial" w:hAnsi="Arial" w:cs="Arial"/>
          <w:sz w:val="18"/>
          <w:szCs w:val="18"/>
        </w:rPr>
        <w:t>design for our NEOs.</w:t>
      </w:r>
    </w:p>
    <w:p w14:paraId="35802CA7" w14:textId="77777777" w:rsidR="00D1587D" w:rsidRDefault="00D1587D">
      <w:pPr>
        <w:spacing w:line="292" w:lineRule="exact"/>
        <w:rPr>
          <w:sz w:val="20"/>
          <w:szCs w:val="20"/>
        </w:rPr>
      </w:pPr>
    </w:p>
    <w:p w14:paraId="113DCEE0" w14:textId="77777777" w:rsidR="00D1587D" w:rsidRDefault="00410D07">
      <w:pPr>
        <w:ind w:left="300"/>
        <w:rPr>
          <w:sz w:val="20"/>
          <w:szCs w:val="20"/>
        </w:rPr>
      </w:pPr>
      <w:r>
        <w:rPr>
          <w:rFonts w:ascii="Arial" w:eastAsia="Arial" w:hAnsi="Arial" w:cs="Arial"/>
          <w:b/>
          <w:bCs/>
          <w:i/>
          <w:iCs/>
          <w:sz w:val="18"/>
          <w:szCs w:val="18"/>
        </w:rPr>
        <w:t>Short-Term Performance-Based Cash Incentive Compensation</w:t>
      </w:r>
    </w:p>
    <w:p w14:paraId="0B361070" w14:textId="77777777" w:rsidR="00D1587D" w:rsidRDefault="00D1587D">
      <w:pPr>
        <w:spacing w:line="117" w:lineRule="exact"/>
        <w:rPr>
          <w:sz w:val="20"/>
          <w:szCs w:val="20"/>
        </w:rPr>
      </w:pPr>
    </w:p>
    <w:p w14:paraId="342160D8" w14:textId="77777777" w:rsidR="00D1587D" w:rsidRDefault="00410D07">
      <w:pPr>
        <w:ind w:left="660"/>
        <w:rPr>
          <w:sz w:val="20"/>
          <w:szCs w:val="20"/>
        </w:rPr>
      </w:pPr>
      <w:r>
        <w:rPr>
          <w:rFonts w:ascii="Arial" w:eastAsia="Arial" w:hAnsi="Arial" w:cs="Arial"/>
          <w:sz w:val="16"/>
          <w:szCs w:val="16"/>
        </w:rPr>
        <w:t>LB has historically paid short-term performance-based incentive compensation pursuant to the L Brands Inc.</w:t>
      </w:r>
    </w:p>
    <w:p w14:paraId="7F8D153B" w14:textId="77777777" w:rsidR="00D1587D" w:rsidRDefault="00D1587D">
      <w:pPr>
        <w:spacing w:line="46" w:lineRule="exact"/>
        <w:rPr>
          <w:sz w:val="20"/>
          <w:szCs w:val="20"/>
        </w:rPr>
      </w:pPr>
    </w:p>
    <w:p w14:paraId="627485AC" w14:textId="77777777" w:rsidR="00D1587D" w:rsidRDefault="00410D07">
      <w:pPr>
        <w:spacing w:line="252" w:lineRule="auto"/>
        <w:ind w:left="300" w:right="479"/>
        <w:rPr>
          <w:sz w:val="20"/>
          <w:szCs w:val="20"/>
        </w:rPr>
      </w:pPr>
      <w:r>
        <w:rPr>
          <w:rFonts w:ascii="Arial" w:eastAsia="Arial" w:hAnsi="Arial" w:cs="Arial"/>
          <w:sz w:val="18"/>
          <w:szCs w:val="18"/>
        </w:rPr>
        <w:t xml:space="preserve">2015 Cash Incentive Compensation Performance Plan (the “LB </w:t>
      </w:r>
      <w:r>
        <w:rPr>
          <w:rFonts w:ascii="Arial" w:eastAsia="Arial" w:hAnsi="Arial" w:cs="Arial"/>
          <w:sz w:val="18"/>
          <w:szCs w:val="18"/>
        </w:rPr>
        <w:t>2015 ICPP”). This compensation component focuses on achievement of six-month goals, reflecting LB’s two selling seasons: Spring (the first and second quarters) and Fall (the third and fourth quarters). The Fall season, which includes holiday sales, is weig</w:t>
      </w:r>
      <w:r>
        <w:rPr>
          <w:rFonts w:ascii="Arial" w:eastAsia="Arial" w:hAnsi="Arial" w:cs="Arial"/>
          <w:sz w:val="18"/>
          <w:szCs w:val="18"/>
        </w:rPr>
        <w:t>hted more heavily because of its importance to LB’s profitability. The use of two six-month performance periods in the plan design reflects the belief that achievement of LB’s short-term goals season after season creates long-term value for stockholders.</w:t>
      </w:r>
    </w:p>
    <w:p w14:paraId="2B390076" w14:textId="77777777" w:rsidR="00D1587D" w:rsidRDefault="00D1587D">
      <w:pPr>
        <w:spacing w:line="86" w:lineRule="exact"/>
        <w:rPr>
          <w:sz w:val="20"/>
          <w:szCs w:val="20"/>
        </w:rPr>
      </w:pPr>
    </w:p>
    <w:p w14:paraId="44D374B3" w14:textId="77777777" w:rsidR="00D1587D" w:rsidRDefault="00410D07">
      <w:pPr>
        <w:spacing w:line="296" w:lineRule="auto"/>
        <w:ind w:left="300" w:right="359" w:firstLine="360"/>
        <w:rPr>
          <w:sz w:val="20"/>
          <w:szCs w:val="20"/>
        </w:rPr>
      </w:pPr>
      <w:r>
        <w:rPr>
          <w:rFonts w:ascii="Arial" w:eastAsia="Arial" w:hAnsi="Arial" w:cs="Arial"/>
          <w:sz w:val="16"/>
          <w:szCs w:val="16"/>
        </w:rPr>
        <w:t>LB’s pre-established, objective financial goals for fiscal 2020 were based solely on adjusted operating income. Adjusted operating income is used by LB because it is a performance measure over which executives can have significant impact and is also direct</w:t>
      </w:r>
      <w:r>
        <w:rPr>
          <w:rFonts w:ascii="Arial" w:eastAsia="Arial" w:hAnsi="Arial" w:cs="Arial"/>
          <w:sz w:val="16"/>
          <w:szCs w:val="16"/>
        </w:rPr>
        <w:t>ly linked to LB’s long-term growth plan and performance that drives stockholder value. While the LB 2015 ICPP provides for adjustment due to extraordinary items, both Spring and Fall payouts reflect the actual, quantitative results, without retroactive adj</w:t>
      </w:r>
      <w:r>
        <w:rPr>
          <w:rFonts w:ascii="Arial" w:eastAsia="Arial" w:hAnsi="Arial" w:cs="Arial"/>
          <w:sz w:val="16"/>
          <w:szCs w:val="16"/>
        </w:rPr>
        <w:t>ustment for the impact of the COVID-19 crisis.</w:t>
      </w:r>
    </w:p>
    <w:p w14:paraId="7F30DBF4" w14:textId="77777777" w:rsidR="00D1587D" w:rsidRDefault="00D1587D">
      <w:pPr>
        <w:spacing w:line="94" w:lineRule="exact"/>
        <w:rPr>
          <w:sz w:val="20"/>
          <w:szCs w:val="20"/>
        </w:rPr>
      </w:pPr>
    </w:p>
    <w:p w14:paraId="1073132F" w14:textId="77777777" w:rsidR="00D1587D" w:rsidRDefault="00410D07">
      <w:pPr>
        <w:ind w:left="660"/>
        <w:rPr>
          <w:sz w:val="20"/>
          <w:szCs w:val="20"/>
        </w:rPr>
      </w:pPr>
      <w:r>
        <w:rPr>
          <w:rFonts w:ascii="Arial" w:eastAsia="Arial" w:hAnsi="Arial" w:cs="Arial"/>
          <w:sz w:val="18"/>
          <w:szCs w:val="18"/>
        </w:rPr>
        <w:t>Operating income goals are set at the beginning of each six-month season based on:</w:t>
      </w:r>
    </w:p>
    <w:p w14:paraId="29B3A926" w14:textId="77777777" w:rsidR="00D1587D" w:rsidRDefault="00D1587D">
      <w:pPr>
        <w:spacing w:line="117" w:lineRule="exact"/>
        <w:rPr>
          <w:sz w:val="20"/>
          <w:szCs w:val="20"/>
        </w:rPr>
      </w:pPr>
    </w:p>
    <w:p w14:paraId="6C6CDDAF" w14:textId="77777777" w:rsidR="00D1587D" w:rsidRDefault="00410D07" w:rsidP="00410D07">
      <w:pPr>
        <w:numPr>
          <w:ilvl w:val="0"/>
          <w:numId w:val="313"/>
        </w:numPr>
        <w:tabs>
          <w:tab w:val="left" w:pos="1000"/>
        </w:tabs>
        <w:ind w:left="1000" w:hanging="348"/>
        <w:rPr>
          <w:rFonts w:ascii="Arial" w:eastAsia="Arial" w:hAnsi="Arial" w:cs="Arial"/>
          <w:sz w:val="18"/>
          <w:szCs w:val="18"/>
        </w:rPr>
      </w:pPr>
      <w:r>
        <w:rPr>
          <w:rFonts w:ascii="Arial" w:eastAsia="Arial" w:hAnsi="Arial" w:cs="Arial"/>
          <w:sz w:val="18"/>
          <w:szCs w:val="18"/>
        </w:rPr>
        <w:t>An analysis of historical performance;</w:t>
      </w:r>
    </w:p>
    <w:p w14:paraId="27817C56" w14:textId="77777777" w:rsidR="00D1587D" w:rsidRDefault="00D1587D">
      <w:pPr>
        <w:spacing w:line="117" w:lineRule="exact"/>
        <w:rPr>
          <w:rFonts w:ascii="Arial" w:eastAsia="Arial" w:hAnsi="Arial" w:cs="Arial"/>
          <w:sz w:val="18"/>
          <w:szCs w:val="18"/>
        </w:rPr>
      </w:pPr>
    </w:p>
    <w:p w14:paraId="2D8BA92A" w14:textId="77777777" w:rsidR="00D1587D" w:rsidRDefault="00410D07" w:rsidP="00410D07">
      <w:pPr>
        <w:numPr>
          <w:ilvl w:val="0"/>
          <w:numId w:val="313"/>
        </w:numPr>
        <w:tabs>
          <w:tab w:val="left" w:pos="1000"/>
        </w:tabs>
        <w:ind w:left="1000" w:hanging="348"/>
        <w:rPr>
          <w:rFonts w:ascii="Arial" w:eastAsia="Arial" w:hAnsi="Arial" w:cs="Arial"/>
          <w:sz w:val="18"/>
          <w:szCs w:val="18"/>
        </w:rPr>
      </w:pPr>
      <w:r>
        <w:rPr>
          <w:rFonts w:ascii="Arial" w:eastAsia="Arial" w:hAnsi="Arial" w:cs="Arial"/>
          <w:sz w:val="18"/>
          <w:szCs w:val="18"/>
        </w:rPr>
        <w:t>Income goals for that brand;</w:t>
      </w:r>
    </w:p>
    <w:p w14:paraId="61E57364" w14:textId="77777777" w:rsidR="00D1587D" w:rsidRDefault="00D1587D">
      <w:pPr>
        <w:spacing w:line="117" w:lineRule="exact"/>
        <w:rPr>
          <w:rFonts w:ascii="Arial" w:eastAsia="Arial" w:hAnsi="Arial" w:cs="Arial"/>
          <w:sz w:val="18"/>
          <w:szCs w:val="18"/>
        </w:rPr>
      </w:pPr>
    </w:p>
    <w:p w14:paraId="3A88B9F1" w14:textId="77777777" w:rsidR="00D1587D" w:rsidRDefault="00410D07" w:rsidP="00410D07">
      <w:pPr>
        <w:numPr>
          <w:ilvl w:val="0"/>
          <w:numId w:val="313"/>
        </w:numPr>
        <w:tabs>
          <w:tab w:val="left" w:pos="1000"/>
        </w:tabs>
        <w:ind w:left="1000" w:hanging="348"/>
        <w:rPr>
          <w:rFonts w:ascii="Arial" w:eastAsia="Arial" w:hAnsi="Arial" w:cs="Arial"/>
          <w:sz w:val="18"/>
          <w:szCs w:val="18"/>
        </w:rPr>
      </w:pPr>
      <w:r>
        <w:rPr>
          <w:rFonts w:ascii="Arial" w:eastAsia="Arial" w:hAnsi="Arial" w:cs="Arial"/>
          <w:sz w:val="18"/>
          <w:szCs w:val="18"/>
        </w:rPr>
        <w:t>Overall economic environment including financial resul</w:t>
      </w:r>
      <w:r>
        <w:rPr>
          <w:rFonts w:ascii="Arial" w:eastAsia="Arial" w:hAnsi="Arial" w:cs="Arial"/>
          <w:sz w:val="18"/>
          <w:szCs w:val="18"/>
        </w:rPr>
        <w:t>ts of other comparable businesses; and</w:t>
      </w:r>
    </w:p>
    <w:p w14:paraId="2A521AA2" w14:textId="77777777" w:rsidR="00D1587D" w:rsidRDefault="00D1587D">
      <w:pPr>
        <w:spacing w:line="117" w:lineRule="exact"/>
        <w:rPr>
          <w:rFonts w:ascii="Arial" w:eastAsia="Arial" w:hAnsi="Arial" w:cs="Arial"/>
          <w:sz w:val="18"/>
          <w:szCs w:val="18"/>
        </w:rPr>
      </w:pPr>
    </w:p>
    <w:p w14:paraId="2AD488A7" w14:textId="77777777" w:rsidR="00D1587D" w:rsidRDefault="00410D07" w:rsidP="00410D07">
      <w:pPr>
        <w:numPr>
          <w:ilvl w:val="0"/>
          <w:numId w:val="313"/>
        </w:numPr>
        <w:tabs>
          <w:tab w:val="left" w:pos="1000"/>
        </w:tabs>
        <w:ind w:left="1000" w:hanging="348"/>
        <w:rPr>
          <w:rFonts w:ascii="Arial" w:eastAsia="Arial" w:hAnsi="Arial" w:cs="Arial"/>
          <w:sz w:val="18"/>
          <w:szCs w:val="18"/>
        </w:rPr>
      </w:pPr>
      <w:r>
        <w:rPr>
          <w:rFonts w:ascii="Arial" w:eastAsia="Arial" w:hAnsi="Arial" w:cs="Arial"/>
          <w:sz w:val="18"/>
          <w:szCs w:val="18"/>
        </w:rPr>
        <w:t>Progress toward achieving LB’s strategic plan.</w:t>
      </w:r>
    </w:p>
    <w:p w14:paraId="368B334E" w14:textId="77777777" w:rsidR="00D1587D" w:rsidRDefault="00D1587D">
      <w:pPr>
        <w:spacing w:line="117" w:lineRule="exact"/>
        <w:rPr>
          <w:sz w:val="20"/>
          <w:szCs w:val="20"/>
        </w:rPr>
      </w:pPr>
    </w:p>
    <w:p w14:paraId="153BF980" w14:textId="77777777" w:rsidR="00D1587D" w:rsidRDefault="00410D07">
      <w:pPr>
        <w:spacing w:line="259" w:lineRule="auto"/>
        <w:ind w:left="300" w:right="399" w:firstLine="360"/>
        <w:rPr>
          <w:sz w:val="20"/>
          <w:szCs w:val="20"/>
        </w:rPr>
      </w:pPr>
      <w:r>
        <w:rPr>
          <w:rFonts w:ascii="Arial" w:eastAsia="Arial" w:hAnsi="Arial" w:cs="Arial"/>
          <w:sz w:val="18"/>
          <w:szCs w:val="18"/>
        </w:rPr>
        <w:t xml:space="preserve">Performance goals for the Fall season were simplified by LB to reflect the Separation and the integration of international and sourcing functions into VS and Bath &amp; </w:t>
      </w:r>
      <w:r>
        <w:rPr>
          <w:rFonts w:ascii="Arial" w:eastAsia="Arial" w:hAnsi="Arial" w:cs="Arial"/>
          <w:sz w:val="18"/>
          <w:szCs w:val="18"/>
        </w:rPr>
        <w:t>Body Works. The table below shows the operating income goals for VS for each season required to earn short-term performance-based incentive compensation at target and actual performance:</w:t>
      </w:r>
    </w:p>
    <w:p w14:paraId="38DF65E3" w14:textId="77777777" w:rsidR="00D1587D" w:rsidRDefault="00D1587D">
      <w:pPr>
        <w:spacing w:line="12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040"/>
        <w:gridCol w:w="100"/>
        <w:gridCol w:w="480"/>
        <w:gridCol w:w="1560"/>
        <w:gridCol w:w="100"/>
        <w:gridCol w:w="1540"/>
        <w:gridCol w:w="480"/>
        <w:gridCol w:w="100"/>
        <w:gridCol w:w="2020"/>
        <w:gridCol w:w="20"/>
      </w:tblGrid>
      <w:tr w:rsidR="00D1587D" w14:paraId="5048E19C" w14:textId="77777777">
        <w:trPr>
          <w:trHeight w:val="161"/>
        </w:trPr>
        <w:tc>
          <w:tcPr>
            <w:tcW w:w="2620" w:type="dxa"/>
            <w:gridSpan w:val="3"/>
            <w:vAlign w:val="bottom"/>
          </w:tcPr>
          <w:p w14:paraId="6D548CC1" w14:textId="77777777" w:rsidR="00D1587D" w:rsidRDefault="00410D07">
            <w:pPr>
              <w:ind w:left="1425"/>
              <w:jc w:val="center"/>
              <w:rPr>
                <w:sz w:val="20"/>
                <w:szCs w:val="20"/>
              </w:rPr>
            </w:pPr>
            <w:r>
              <w:rPr>
                <w:rFonts w:ascii="Arial" w:eastAsia="Arial" w:hAnsi="Arial" w:cs="Arial"/>
                <w:b/>
                <w:bCs/>
                <w:w w:val="90"/>
                <w:sz w:val="14"/>
                <w:szCs w:val="14"/>
              </w:rPr>
              <w:t>Fiscal 2020</w:t>
            </w:r>
          </w:p>
        </w:tc>
        <w:tc>
          <w:tcPr>
            <w:tcW w:w="1560" w:type="dxa"/>
            <w:vAlign w:val="bottom"/>
          </w:tcPr>
          <w:p w14:paraId="5FA8B967" w14:textId="77777777" w:rsidR="00D1587D" w:rsidRDefault="00D1587D">
            <w:pPr>
              <w:rPr>
                <w:sz w:val="14"/>
                <w:szCs w:val="14"/>
              </w:rPr>
            </w:pPr>
          </w:p>
        </w:tc>
        <w:tc>
          <w:tcPr>
            <w:tcW w:w="100" w:type="dxa"/>
            <w:vAlign w:val="bottom"/>
          </w:tcPr>
          <w:p w14:paraId="66DD96D5" w14:textId="77777777" w:rsidR="00D1587D" w:rsidRDefault="00D1587D">
            <w:pPr>
              <w:rPr>
                <w:sz w:val="14"/>
                <w:szCs w:val="14"/>
              </w:rPr>
            </w:pPr>
          </w:p>
        </w:tc>
        <w:tc>
          <w:tcPr>
            <w:tcW w:w="1540" w:type="dxa"/>
            <w:vAlign w:val="bottom"/>
          </w:tcPr>
          <w:p w14:paraId="5DF0513A" w14:textId="77777777" w:rsidR="00D1587D" w:rsidRDefault="00D1587D">
            <w:pPr>
              <w:rPr>
                <w:sz w:val="14"/>
                <w:szCs w:val="14"/>
              </w:rPr>
            </w:pPr>
          </w:p>
        </w:tc>
        <w:tc>
          <w:tcPr>
            <w:tcW w:w="2600" w:type="dxa"/>
            <w:gridSpan w:val="3"/>
            <w:vAlign w:val="bottom"/>
          </w:tcPr>
          <w:p w14:paraId="676914D4" w14:textId="77777777" w:rsidR="00D1587D" w:rsidRDefault="00410D07">
            <w:pPr>
              <w:ind w:right="1482"/>
              <w:jc w:val="center"/>
              <w:rPr>
                <w:sz w:val="20"/>
                <w:szCs w:val="20"/>
              </w:rPr>
            </w:pPr>
            <w:r>
              <w:rPr>
                <w:rFonts w:ascii="Arial" w:eastAsia="Arial" w:hAnsi="Arial" w:cs="Arial"/>
                <w:b/>
                <w:bCs/>
                <w:w w:val="90"/>
                <w:sz w:val="14"/>
                <w:szCs w:val="14"/>
              </w:rPr>
              <w:t>Fiscal 2020</w:t>
            </w:r>
          </w:p>
        </w:tc>
        <w:tc>
          <w:tcPr>
            <w:tcW w:w="0" w:type="dxa"/>
            <w:vAlign w:val="bottom"/>
          </w:tcPr>
          <w:p w14:paraId="45510566" w14:textId="77777777" w:rsidR="00D1587D" w:rsidRDefault="00D1587D">
            <w:pPr>
              <w:rPr>
                <w:sz w:val="1"/>
                <w:szCs w:val="1"/>
              </w:rPr>
            </w:pPr>
          </w:p>
        </w:tc>
      </w:tr>
      <w:tr w:rsidR="00D1587D" w14:paraId="0B318141" w14:textId="77777777">
        <w:trPr>
          <w:trHeight w:val="242"/>
        </w:trPr>
        <w:tc>
          <w:tcPr>
            <w:tcW w:w="2620" w:type="dxa"/>
            <w:gridSpan w:val="3"/>
            <w:tcBorders>
              <w:bottom w:val="single" w:sz="8" w:space="0" w:color="auto"/>
            </w:tcBorders>
            <w:vAlign w:val="bottom"/>
          </w:tcPr>
          <w:p w14:paraId="1704096C" w14:textId="77777777" w:rsidR="00D1587D" w:rsidRDefault="00410D07">
            <w:pPr>
              <w:spacing w:line="242" w:lineRule="exact"/>
              <w:ind w:left="1485"/>
              <w:jc w:val="center"/>
              <w:rPr>
                <w:sz w:val="20"/>
                <w:szCs w:val="20"/>
              </w:rPr>
            </w:pPr>
            <w:r>
              <w:rPr>
                <w:rFonts w:ascii="Arial" w:eastAsia="Arial" w:hAnsi="Arial" w:cs="Arial"/>
                <w:b/>
                <w:bCs/>
                <w:w w:val="87"/>
                <w:sz w:val="14"/>
                <w:szCs w:val="14"/>
              </w:rPr>
              <w:t>Spring Season</w:t>
            </w:r>
            <w:r>
              <w:rPr>
                <w:rFonts w:ascii="Arial" w:eastAsia="Arial" w:hAnsi="Arial" w:cs="Arial"/>
                <w:b/>
                <w:bCs/>
                <w:w w:val="87"/>
                <w:sz w:val="23"/>
                <w:szCs w:val="23"/>
                <w:vertAlign w:val="superscript"/>
              </w:rPr>
              <w:t>(3)</w:t>
            </w:r>
          </w:p>
        </w:tc>
        <w:tc>
          <w:tcPr>
            <w:tcW w:w="1560" w:type="dxa"/>
            <w:tcBorders>
              <w:bottom w:val="single" w:sz="8" w:space="0" w:color="auto"/>
            </w:tcBorders>
            <w:vAlign w:val="bottom"/>
          </w:tcPr>
          <w:p w14:paraId="10EA2F5B" w14:textId="77777777" w:rsidR="00D1587D" w:rsidRDefault="00D1587D">
            <w:pPr>
              <w:rPr>
                <w:sz w:val="21"/>
                <w:szCs w:val="21"/>
              </w:rPr>
            </w:pPr>
          </w:p>
        </w:tc>
        <w:tc>
          <w:tcPr>
            <w:tcW w:w="100" w:type="dxa"/>
            <w:vAlign w:val="bottom"/>
          </w:tcPr>
          <w:p w14:paraId="0327759A" w14:textId="77777777" w:rsidR="00D1587D" w:rsidRDefault="00D1587D">
            <w:pPr>
              <w:rPr>
                <w:sz w:val="21"/>
                <w:szCs w:val="21"/>
              </w:rPr>
            </w:pPr>
          </w:p>
        </w:tc>
        <w:tc>
          <w:tcPr>
            <w:tcW w:w="1540" w:type="dxa"/>
            <w:tcBorders>
              <w:bottom w:val="single" w:sz="8" w:space="0" w:color="auto"/>
            </w:tcBorders>
            <w:vAlign w:val="bottom"/>
          </w:tcPr>
          <w:p w14:paraId="1BD7499F" w14:textId="77777777" w:rsidR="00D1587D" w:rsidRDefault="00D1587D">
            <w:pPr>
              <w:rPr>
                <w:sz w:val="21"/>
                <w:szCs w:val="21"/>
              </w:rPr>
            </w:pPr>
          </w:p>
        </w:tc>
        <w:tc>
          <w:tcPr>
            <w:tcW w:w="2600" w:type="dxa"/>
            <w:gridSpan w:val="3"/>
            <w:tcBorders>
              <w:bottom w:val="single" w:sz="8" w:space="0" w:color="auto"/>
            </w:tcBorders>
            <w:vAlign w:val="bottom"/>
          </w:tcPr>
          <w:p w14:paraId="2D3026D7" w14:textId="77777777" w:rsidR="00D1587D" w:rsidRDefault="00410D07">
            <w:pPr>
              <w:spacing w:line="242" w:lineRule="exact"/>
              <w:ind w:right="1442"/>
              <w:jc w:val="center"/>
              <w:rPr>
                <w:sz w:val="20"/>
                <w:szCs w:val="20"/>
              </w:rPr>
            </w:pPr>
            <w:r>
              <w:rPr>
                <w:rFonts w:ascii="Arial" w:eastAsia="Arial" w:hAnsi="Arial" w:cs="Arial"/>
                <w:b/>
                <w:bCs/>
                <w:w w:val="86"/>
                <w:sz w:val="14"/>
                <w:szCs w:val="14"/>
              </w:rPr>
              <w:t>Fall Season</w:t>
            </w:r>
            <w:r>
              <w:rPr>
                <w:rFonts w:ascii="Arial" w:eastAsia="Arial" w:hAnsi="Arial" w:cs="Arial"/>
                <w:b/>
                <w:bCs/>
                <w:w w:val="86"/>
                <w:sz w:val="23"/>
                <w:szCs w:val="23"/>
                <w:vertAlign w:val="superscript"/>
              </w:rPr>
              <w:t>(3)</w:t>
            </w:r>
          </w:p>
        </w:tc>
        <w:tc>
          <w:tcPr>
            <w:tcW w:w="0" w:type="dxa"/>
            <w:vAlign w:val="bottom"/>
          </w:tcPr>
          <w:p w14:paraId="2B4EDAED" w14:textId="77777777" w:rsidR="00D1587D" w:rsidRDefault="00D1587D">
            <w:pPr>
              <w:rPr>
                <w:sz w:val="1"/>
                <w:szCs w:val="1"/>
              </w:rPr>
            </w:pPr>
          </w:p>
        </w:tc>
      </w:tr>
      <w:tr w:rsidR="00D1587D" w14:paraId="3CFBB9DC" w14:textId="77777777">
        <w:trPr>
          <w:trHeight w:val="187"/>
        </w:trPr>
        <w:tc>
          <w:tcPr>
            <w:tcW w:w="2620" w:type="dxa"/>
            <w:gridSpan w:val="3"/>
            <w:vAlign w:val="bottom"/>
          </w:tcPr>
          <w:p w14:paraId="05385536" w14:textId="77777777" w:rsidR="00D1587D" w:rsidRDefault="00410D07">
            <w:pPr>
              <w:ind w:right="640"/>
              <w:jc w:val="center"/>
              <w:rPr>
                <w:sz w:val="20"/>
                <w:szCs w:val="20"/>
              </w:rPr>
            </w:pPr>
            <w:r>
              <w:rPr>
                <w:rFonts w:ascii="Arial" w:eastAsia="Arial" w:hAnsi="Arial" w:cs="Arial"/>
                <w:b/>
                <w:bCs/>
                <w:w w:val="93"/>
                <w:sz w:val="14"/>
                <w:szCs w:val="14"/>
              </w:rPr>
              <w:t>Operating</w:t>
            </w:r>
          </w:p>
        </w:tc>
        <w:tc>
          <w:tcPr>
            <w:tcW w:w="1660" w:type="dxa"/>
            <w:gridSpan w:val="2"/>
            <w:vMerge w:val="restart"/>
            <w:vAlign w:val="bottom"/>
          </w:tcPr>
          <w:p w14:paraId="5D29ADBD" w14:textId="77777777" w:rsidR="00D1587D" w:rsidRDefault="00410D07">
            <w:pPr>
              <w:ind w:right="620"/>
              <w:jc w:val="center"/>
              <w:rPr>
                <w:sz w:val="20"/>
                <w:szCs w:val="20"/>
              </w:rPr>
            </w:pPr>
            <w:r>
              <w:rPr>
                <w:rFonts w:ascii="Arial" w:eastAsia="Arial" w:hAnsi="Arial" w:cs="Arial"/>
                <w:b/>
                <w:bCs/>
                <w:w w:val="93"/>
                <w:sz w:val="14"/>
                <w:szCs w:val="14"/>
              </w:rPr>
              <w:t>Actual</w:t>
            </w:r>
          </w:p>
        </w:tc>
        <w:tc>
          <w:tcPr>
            <w:tcW w:w="1540" w:type="dxa"/>
            <w:vAlign w:val="bottom"/>
          </w:tcPr>
          <w:p w14:paraId="22FB238C" w14:textId="77777777" w:rsidR="00D1587D" w:rsidRDefault="00410D07">
            <w:pPr>
              <w:ind w:left="384"/>
              <w:jc w:val="center"/>
              <w:rPr>
                <w:sz w:val="20"/>
                <w:szCs w:val="20"/>
              </w:rPr>
            </w:pPr>
            <w:r>
              <w:rPr>
                <w:rFonts w:ascii="Arial" w:eastAsia="Arial" w:hAnsi="Arial" w:cs="Arial"/>
                <w:b/>
                <w:bCs/>
                <w:w w:val="96"/>
                <w:sz w:val="14"/>
                <w:szCs w:val="14"/>
              </w:rPr>
              <w:t>Operating</w:t>
            </w:r>
          </w:p>
        </w:tc>
        <w:tc>
          <w:tcPr>
            <w:tcW w:w="480" w:type="dxa"/>
            <w:vAlign w:val="bottom"/>
          </w:tcPr>
          <w:p w14:paraId="178F7D51" w14:textId="77777777" w:rsidR="00D1587D" w:rsidRDefault="00D1587D">
            <w:pPr>
              <w:rPr>
                <w:sz w:val="16"/>
                <w:szCs w:val="16"/>
              </w:rPr>
            </w:pPr>
          </w:p>
        </w:tc>
        <w:tc>
          <w:tcPr>
            <w:tcW w:w="100" w:type="dxa"/>
            <w:vAlign w:val="bottom"/>
          </w:tcPr>
          <w:p w14:paraId="76C73C87" w14:textId="77777777" w:rsidR="00D1587D" w:rsidRDefault="00D1587D">
            <w:pPr>
              <w:rPr>
                <w:sz w:val="16"/>
                <w:szCs w:val="16"/>
              </w:rPr>
            </w:pPr>
          </w:p>
        </w:tc>
        <w:tc>
          <w:tcPr>
            <w:tcW w:w="2020" w:type="dxa"/>
            <w:vMerge w:val="restart"/>
            <w:vAlign w:val="bottom"/>
          </w:tcPr>
          <w:p w14:paraId="5469F869" w14:textId="77777777" w:rsidR="00D1587D" w:rsidRDefault="00410D07">
            <w:pPr>
              <w:jc w:val="center"/>
              <w:rPr>
                <w:sz w:val="20"/>
                <w:szCs w:val="20"/>
              </w:rPr>
            </w:pPr>
            <w:r>
              <w:rPr>
                <w:rFonts w:ascii="Arial" w:eastAsia="Arial" w:hAnsi="Arial" w:cs="Arial"/>
                <w:b/>
                <w:bCs/>
                <w:w w:val="93"/>
                <w:sz w:val="14"/>
                <w:szCs w:val="14"/>
              </w:rPr>
              <w:t>Actual</w:t>
            </w:r>
          </w:p>
        </w:tc>
        <w:tc>
          <w:tcPr>
            <w:tcW w:w="0" w:type="dxa"/>
            <w:vAlign w:val="bottom"/>
          </w:tcPr>
          <w:p w14:paraId="006BA73F" w14:textId="77777777" w:rsidR="00D1587D" w:rsidRDefault="00D1587D">
            <w:pPr>
              <w:rPr>
                <w:sz w:val="1"/>
                <w:szCs w:val="1"/>
              </w:rPr>
            </w:pPr>
          </w:p>
        </w:tc>
      </w:tr>
      <w:tr w:rsidR="00D1587D" w14:paraId="58F4DD91" w14:textId="77777777">
        <w:trPr>
          <w:trHeight w:val="145"/>
        </w:trPr>
        <w:tc>
          <w:tcPr>
            <w:tcW w:w="2620" w:type="dxa"/>
            <w:gridSpan w:val="3"/>
            <w:vAlign w:val="bottom"/>
          </w:tcPr>
          <w:p w14:paraId="2015F994" w14:textId="77777777" w:rsidR="00D1587D" w:rsidRDefault="00410D07">
            <w:pPr>
              <w:spacing w:line="145" w:lineRule="exact"/>
              <w:ind w:right="640"/>
              <w:jc w:val="center"/>
              <w:rPr>
                <w:sz w:val="20"/>
                <w:szCs w:val="20"/>
              </w:rPr>
            </w:pPr>
            <w:r>
              <w:rPr>
                <w:rFonts w:ascii="Arial" w:eastAsia="Arial" w:hAnsi="Arial" w:cs="Arial"/>
                <w:b/>
                <w:bCs/>
                <w:w w:val="93"/>
                <w:sz w:val="14"/>
                <w:szCs w:val="14"/>
              </w:rPr>
              <w:t>Income</w:t>
            </w:r>
          </w:p>
        </w:tc>
        <w:tc>
          <w:tcPr>
            <w:tcW w:w="1660" w:type="dxa"/>
            <w:gridSpan w:val="2"/>
            <w:vMerge/>
            <w:vAlign w:val="bottom"/>
          </w:tcPr>
          <w:p w14:paraId="06145ABE" w14:textId="77777777" w:rsidR="00D1587D" w:rsidRDefault="00D1587D">
            <w:pPr>
              <w:rPr>
                <w:sz w:val="12"/>
                <w:szCs w:val="12"/>
              </w:rPr>
            </w:pPr>
          </w:p>
        </w:tc>
        <w:tc>
          <w:tcPr>
            <w:tcW w:w="1540" w:type="dxa"/>
            <w:vAlign w:val="bottom"/>
          </w:tcPr>
          <w:p w14:paraId="55E9D26F" w14:textId="77777777" w:rsidR="00D1587D" w:rsidRDefault="00410D07">
            <w:pPr>
              <w:spacing w:line="145" w:lineRule="exact"/>
              <w:ind w:left="384"/>
              <w:jc w:val="center"/>
              <w:rPr>
                <w:sz w:val="20"/>
                <w:szCs w:val="20"/>
              </w:rPr>
            </w:pPr>
            <w:r>
              <w:rPr>
                <w:rFonts w:ascii="Arial" w:eastAsia="Arial" w:hAnsi="Arial" w:cs="Arial"/>
                <w:b/>
                <w:bCs/>
                <w:w w:val="89"/>
                <w:sz w:val="14"/>
                <w:szCs w:val="14"/>
              </w:rPr>
              <w:t>Income</w:t>
            </w:r>
          </w:p>
        </w:tc>
        <w:tc>
          <w:tcPr>
            <w:tcW w:w="480" w:type="dxa"/>
            <w:vAlign w:val="bottom"/>
          </w:tcPr>
          <w:p w14:paraId="063ADAFF" w14:textId="77777777" w:rsidR="00D1587D" w:rsidRDefault="00D1587D">
            <w:pPr>
              <w:rPr>
                <w:sz w:val="12"/>
                <w:szCs w:val="12"/>
              </w:rPr>
            </w:pPr>
          </w:p>
        </w:tc>
        <w:tc>
          <w:tcPr>
            <w:tcW w:w="100" w:type="dxa"/>
            <w:vAlign w:val="bottom"/>
          </w:tcPr>
          <w:p w14:paraId="1AF026FB" w14:textId="77777777" w:rsidR="00D1587D" w:rsidRDefault="00D1587D">
            <w:pPr>
              <w:rPr>
                <w:sz w:val="12"/>
                <w:szCs w:val="12"/>
              </w:rPr>
            </w:pPr>
          </w:p>
        </w:tc>
        <w:tc>
          <w:tcPr>
            <w:tcW w:w="2020" w:type="dxa"/>
            <w:vMerge/>
            <w:vAlign w:val="bottom"/>
          </w:tcPr>
          <w:p w14:paraId="0A142375" w14:textId="77777777" w:rsidR="00D1587D" w:rsidRDefault="00D1587D">
            <w:pPr>
              <w:rPr>
                <w:sz w:val="12"/>
                <w:szCs w:val="12"/>
              </w:rPr>
            </w:pPr>
          </w:p>
        </w:tc>
        <w:tc>
          <w:tcPr>
            <w:tcW w:w="0" w:type="dxa"/>
            <w:vAlign w:val="bottom"/>
          </w:tcPr>
          <w:p w14:paraId="41A102CA" w14:textId="77777777" w:rsidR="00D1587D" w:rsidRDefault="00D1587D">
            <w:pPr>
              <w:rPr>
                <w:sz w:val="1"/>
                <w:szCs w:val="1"/>
              </w:rPr>
            </w:pPr>
          </w:p>
        </w:tc>
      </w:tr>
      <w:tr w:rsidR="00D1587D" w14:paraId="781DDA49" w14:textId="77777777">
        <w:trPr>
          <w:trHeight w:val="242"/>
        </w:trPr>
        <w:tc>
          <w:tcPr>
            <w:tcW w:w="2040" w:type="dxa"/>
            <w:tcBorders>
              <w:bottom w:val="single" w:sz="8" w:space="0" w:color="auto"/>
            </w:tcBorders>
            <w:vAlign w:val="bottom"/>
          </w:tcPr>
          <w:p w14:paraId="44E4E9E1" w14:textId="77777777" w:rsidR="00D1587D" w:rsidRDefault="00410D07">
            <w:pPr>
              <w:spacing w:line="242" w:lineRule="exact"/>
              <w:jc w:val="center"/>
              <w:rPr>
                <w:sz w:val="20"/>
                <w:szCs w:val="20"/>
              </w:rPr>
            </w:pPr>
            <w:r>
              <w:rPr>
                <w:rFonts w:ascii="Arial" w:eastAsia="Arial" w:hAnsi="Arial" w:cs="Arial"/>
                <w:b/>
                <w:bCs/>
                <w:w w:val="84"/>
                <w:sz w:val="14"/>
                <w:szCs w:val="14"/>
              </w:rPr>
              <w:t>Goal</w:t>
            </w:r>
            <w:r>
              <w:rPr>
                <w:rFonts w:ascii="Arial" w:eastAsia="Arial" w:hAnsi="Arial" w:cs="Arial"/>
                <w:b/>
                <w:bCs/>
                <w:w w:val="84"/>
                <w:sz w:val="23"/>
                <w:szCs w:val="23"/>
                <w:vertAlign w:val="superscript"/>
              </w:rPr>
              <w:t>(1)</w:t>
            </w:r>
          </w:p>
        </w:tc>
        <w:tc>
          <w:tcPr>
            <w:tcW w:w="100" w:type="dxa"/>
            <w:tcBorders>
              <w:bottom w:val="single" w:sz="8" w:space="0" w:color="CCEEFF"/>
            </w:tcBorders>
            <w:vAlign w:val="bottom"/>
          </w:tcPr>
          <w:p w14:paraId="1CED2D4A" w14:textId="77777777" w:rsidR="00D1587D" w:rsidRDefault="00D1587D">
            <w:pPr>
              <w:rPr>
                <w:sz w:val="21"/>
                <w:szCs w:val="21"/>
              </w:rPr>
            </w:pPr>
          </w:p>
        </w:tc>
        <w:tc>
          <w:tcPr>
            <w:tcW w:w="480" w:type="dxa"/>
            <w:tcBorders>
              <w:bottom w:val="single" w:sz="8" w:space="0" w:color="auto"/>
            </w:tcBorders>
            <w:vAlign w:val="bottom"/>
          </w:tcPr>
          <w:p w14:paraId="51EF2D79" w14:textId="77777777" w:rsidR="00D1587D" w:rsidRDefault="00D1587D">
            <w:pPr>
              <w:rPr>
                <w:sz w:val="21"/>
                <w:szCs w:val="21"/>
              </w:rPr>
            </w:pPr>
          </w:p>
        </w:tc>
        <w:tc>
          <w:tcPr>
            <w:tcW w:w="1560" w:type="dxa"/>
            <w:tcBorders>
              <w:bottom w:val="single" w:sz="8" w:space="0" w:color="auto"/>
            </w:tcBorders>
            <w:vAlign w:val="bottom"/>
          </w:tcPr>
          <w:p w14:paraId="5FB060A2" w14:textId="77777777" w:rsidR="00D1587D" w:rsidRDefault="00410D07">
            <w:pPr>
              <w:spacing w:line="242" w:lineRule="exact"/>
              <w:ind w:right="422"/>
              <w:jc w:val="center"/>
              <w:rPr>
                <w:sz w:val="20"/>
                <w:szCs w:val="20"/>
              </w:rPr>
            </w:pPr>
            <w:r>
              <w:rPr>
                <w:rFonts w:ascii="Arial" w:eastAsia="Arial" w:hAnsi="Arial" w:cs="Arial"/>
                <w:b/>
                <w:bCs/>
                <w:w w:val="90"/>
                <w:sz w:val="14"/>
                <w:szCs w:val="14"/>
              </w:rPr>
              <w:t>Performance</w:t>
            </w:r>
            <w:r>
              <w:rPr>
                <w:rFonts w:ascii="Arial" w:eastAsia="Arial" w:hAnsi="Arial" w:cs="Arial"/>
                <w:b/>
                <w:bCs/>
                <w:w w:val="90"/>
                <w:sz w:val="23"/>
                <w:szCs w:val="23"/>
                <w:vertAlign w:val="superscript"/>
              </w:rPr>
              <w:t>(2)</w:t>
            </w:r>
          </w:p>
        </w:tc>
        <w:tc>
          <w:tcPr>
            <w:tcW w:w="100" w:type="dxa"/>
            <w:tcBorders>
              <w:bottom w:val="single" w:sz="8" w:space="0" w:color="CCEEFF"/>
            </w:tcBorders>
            <w:vAlign w:val="bottom"/>
          </w:tcPr>
          <w:p w14:paraId="0C78135A" w14:textId="77777777" w:rsidR="00D1587D" w:rsidRDefault="00D1587D">
            <w:pPr>
              <w:rPr>
                <w:sz w:val="21"/>
                <w:szCs w:val="21"/>
              </w:rPr>
            </w:pPr>
          </w:p>
        </w:tc>
        <w:tc>
          <w:tcPr>
            <w:tcW w:w="1540" w:type="dxa"/>
            <w:tcBorders>
              <w:bottom w:val="single" w:sz="8" w:space="0" w:color="auto"/>
            </w:tcBorders>
            <w:vAlign w:val="bottom"/>
          </w:tcPr>
          <w:p w14:paraId="758B17C4" w14:textId="77777777" w:rsidR="00D1587D" w:rsidRDefault="00410D07">
            <w:pPr>
              <w:spacing w:line="242" w:lineRule="exact"/>
              <w:ind w:left="424"/>
              <w:jc w:val="center"/>
              <w:rPr>
                <w:sz w:val="20"/>
                <w:szCs w:val="20"/>
              </w:rPr>
            </w:pPr>
            <w:r>
              <w:rPr>
                <w:rFonts w:ascii="Arial" w:eastAsia="Arial" w:hAnsi="Arial" w:cs="Arial"/>
                <w:b/>
                <w:bCs/>
                <w:w w:val="88"/>
                <w:sz w:val="14"/>
                <w:szCs w:val="14"/>
              </w:rPr>
              <w:t>Goal</w:t>
            </w:r>
            <w:r>
              <w:rPr>
                <w:rFonts w:ascii="Arial" w:eastAsia="Arial" w:hAnsi="Arial" w:cs="Arial"/>
                <w:b/>
                <w:bCs/>
                <w:w w:val="88"/>
                <w:sz w:val="23"/>
                <w:szCs w:val="23"/>
                <w:vertAlign w:val="superscript"/>
              </w:rPr>
              <w:t>(1)</w:t>
            </w:r>
          </w:p>
        </w:tc>
        <w:tc>
          <w:tcPr>
            <w:tcW w:w="480" w:type="dxa"/>
            <w:tcBorders>
              <w:bottom w:val="single" w:sz="8" w:space="0" w:color="auto"/>
            </w:tcBorders>
            <w:vAlign w:val="bottom"/>
          </w:tcPr>
          <w:p w14:paraId="741BC39E" w14:textId="77777777" w:rsidR="00D1587D" w:rsidRDefault="00D1587D">
            <w:pPr>
              <w:rPr>
                <w:sz w:val="21"/>
                <w:szCs w:val="21"/>
              </w:rPr>
            </w:pPr>
          </w:p>
        </w:tc>
        <w:tc>
          <w:tcPr>
            <w:tcW w:w="100" w:type="dxa"/>
            <w:tcBorders>
              <w:bottom w:val="single" w:sz="8" w:space="0" w:color="CCEEFF"/>
            </w:tcBorders>
            <w:vAlign w:val="bottom"/>
          </w:tcPr>
          <w:p w14:paraId="682C89B2" w14:textId="77777777" w:rsidR="00D1587D" w:rsidRDefault="00D1587D">
            <w:pPr>
              <w:rPr>
                <w:sz w:val="21"/>
                <w:szCs w:val="21"/>
              </w:rPr>
            </w:pPr>
          </w:p>
        </w:tc>
        <w:tc>
          <w:tcPr>
            <w:tcW w:w="2020" w:type="dxa"/>
            <w:tcBorders>
              <w:bottom w:val="single" w:sz="8" w:space="0" w:color="auto"/>
            </w:tcBorders>
            <w:vAlign w:val="bottom"/>
          </w:tcPr>
          <w:p w14:paraId="0FAB50E7" w14:textId="77777777" w:rsidR="00D1587D" w:rsidRDefault="00410D07">
            <w:pPr>
              <w:spacing w:line="242" w:lineRule="exact"/>
              <w:jc w:val="center"/>
              <w:rPr>
                <w:sz w:val="20"/>
                <w:szCs w:val="20"/>
              </w:rPr>
            </w:pPr>
            <w:r>
              <w:rPr>
                <w:rFonts w:ascii="Arial" w:eastAsia="Arial" w:hAnsi="Arial" w:cs="Arial"/>
                <w:b/>
                <w:bCs/>
                <w:w w:val="90"/>
                <w:sz w:val="14"/>
                <w:szCs w:val="14"/>
              </w:rPr>
              <w:t>Performance</w:t>
            </w:r>
            <w:r>
              <w:rPr>
                <w:rFonts w:ascii="Arial" w:eastAsia="Arial" w:hAnsi="Arial" w:cs="Arial"/>
                <w:b/>
                <w:bCs/>
                <w:w w:val="90"/>
                <w:sz w:val="23"/>
                <w:szCs w:val="23"/>
                <w:vertAlign w:val="superscript"/>
              </w:rPr>
              <w:t>(2)</w:t>
            </w:r>
          </w:p>
        </w:tc>
        <w:tc>
          <w:tcPr>
            <w:tcW w:w="0" w:type="dxa"/>
            <w:vAlign w:val="bottom"/>
          </w:tcPr>
          <w:p w14:paraId="3A4B5C39" w14:textId="77777777" w:rsidR="00D1587D" w:rsidRDefault="00D1587D">
            <w:pPr>
              <w:rPr>
                <w:sz w:val="1"/>
                <w:szCs w:val="1"/>
              </w:rPr>
            </w:pPr>
          </w:p>
        </w:tc>
      </w:tr>
      <w:tr w:rsidR="00D1587D" w14:paraId="01DB6CEE" w14:textId="77777777">
        <w:trPr>
          <w:trHeight w:val="277"/>
        </w:trPr>
        <w:tc>
          <w:tcPr>
            <w:tcW w:w="2620" w:type="dxa"/>
            <w:gridSpan w:val="3"/>
            <w:shd w:val="clear" w:color="auto" w:fill="CCEEFF"/>
            <w:vAlign w:val="bottom"/>
          </w:tcPr>
          <w:p w14:paraId="2C4C0BB8" w14:textId="77777777" w:rsidR="00D1587D" w:rsidRDefault="00410D07">
            <w:pPr>
              <w:ind w:right="600"/>
              <w:jc w:val="center"/>
              <w:rPr>
                <w:sz w:val="20"/>
                <w:szCs w:val="20"/>
              </w:rPr>
            </w:pPr>
            <w:r>
              <w:rPr>
                <w:rFonts w:ascii="Arial" w:eastAsia="Arial" w:hAnsi="Arial" w:cs="Arial"/>
                <w:w w:val="95"/>
                <w:sz w:val="18"/>
                <w:szCs w:val="18"/>
              </w:rPr>
              <w:t>$65 million</w:t>
            </w:r>
          </w:p>
        </w:tc>
        <w:tc>
          <w:tcPr>
            <w:tcW w:w="1660" w:type="dxa"/>
            <w:gridSpan w:val="2"/>
            <w:shd w:val="clear" w:color="auto" w:fill="CCEEFF"/>
            <w:vAlign w:val="bottom"/>
          </w:tcPr>
          <w:p w14:paraId="7C6A6C94" w14:textId="77777777" w:rsidR="00D1587D" w:rsidRDefault="00410D07">
            <w:pPr>
              <w:ind w:right="580"/>
              <w:jc w:val="center"/>
              <w:rPr>
                <w:sz w:val="20"/>
                <w:szCs w:val="20"/>
              </w:rPr>
            </w:pPr>
            <w:r>
              <w:rPr>
                <w:rFonts w:ascii="Arial" w:eastAsia="Arial" w:hAnsi="Arial" w:cs="Arial"/>
                <w:w w:val="96"/>
                <w:sz w:val="18"/>
                <w:szCs w:val="18"/>
              </w:rPr>
              <w:t>$(242) million</w:t>
            </w:r>
          </w:p>
        </w:tc>
        <w:tc>
          <w:tcPr>
            <w:tcW w:w="1540" w:type="dxa"/>
            <w:shd w:val="clear" w:color="auto" w:fill="CCEEFF"/>
            <w:vAlign w:val="bottom"/>
          </w:tcPr>
          <w:p w14:paraId="19D468B2" w14:textId="77777777" w:rsidR="00D1587D" w:rsidRDefault="00410D07">
            <w:pPr>
              <w:ind w:left="424"/>
              <w:jc w:val="center"/>
              <w:rPr>
                <w:sz w:val="20"/>
                <w:szCs w:val="20"/>
              </w:rPr>
            </w:pPr>
            <w:r>
              <w:rPr>
                <w:rFonts w:ascii="Arial" w:eastAsia="Arial" w:hAnsi="Arial" w:cs="Arial"/>
                <w:w w:val="97"/>
                <w:sz w:val="18"/>
                <w:szCs w:val="18"/>
              </w:rPr>
              <w:t>$40 million</w:t>
            </w:r>
          </w:p>
        </w:tc>
        <w:tc>
          <w:tcPr>
            <w:tcW w:w="480" w:type="dxa"/>
            <w:shd w:val="clear" w:color="auto" w:fill="CCEEFF"/>
            <w:vAlign w:val="bottom"/>
          </w:tcPr>
          <w:p w14:paraId="04C1431E" w14:textId="77777777" w:rsidR="00D1587D" w:rsidRDefault="00D1587D">
            <w:pPr>
              <w:rPr>
                <w:sz w:val="24"/>
                <w:szCs w:val="24"/>
              </w:rPr>
            </w:pPr>
          </w:p>
        </w:tc>
        <w:tc>
          <w:tcPr>
            <w:tcW w:w="100" w:type="dxa"/>
            <w:shd w:val="clear" w:color="auto" w:fill="CCEEFF"/>
            <w:vAlign w:val="bottom"/>
          </w:tcPr>
          <w:p w14:paraId="05389032" w14:textId="77777777" w:rsidR="00D1587D" w:rsidRDefault="00D1587D">
            <w:pPr>
              <w:rPr>
                <w:sz w:val="24"/>
                <w:szCs w:val="24"/>
              </w:rPr>
            </w:pPr>
          </w:p>
        </w:tc>
        <w:tc>
          <w:tcPr>
            <w:tcW w:w="2020" w:type="dxa"/>
            <w:shd w:val="clear" w:color="auto" w:fill="CCEEFF"/>
            <w:vAlign w:val="bottom"/>
          </w:tcPr>
          <w:p w14:paraId="66008DC7" w14:textId="77777777" w:rsidR="00D1587D" w:rsidRDefault="00410D07">
            <w:pPr>
              <w:jc w:val="center"/>
              <w:rPr>
                <w:sz w:val="20"/>
                <w:szCs w:val="20"/>
              </w:rPr>
            </w:pPr>
            <w:r>
              <w:rPr>
                <w:rFonts w:ascii="Arial" w:eastAsia="Arial" w:hAnsi="Arial" w:cs="Arial"/>
                <w:w w:val="95"/>
                <w:sz w:val="18"/>
                <w:szCs w:val="18"/>
              </w:rPr>
              <w:t>$518 million</w:t>
            </w:r>
          </w:p>
        </w:tc>
        <w:tc>
          <w:tcPr>
            <w:tcW w:w="0" w:type="dxa"/>
            <w:vAlign w:val="bottom"/>
          </w:tcPr>
          <w:p w14:paraId="3E4BED4D" w14:textId="77777777" w:rsidR="00D1587D" w:rsidRDefault="00D1587D">
            <w:pPr>
              <w:rPr>
                <w:sz w:val="1"/>
                <w:szCs w:val="1"/>
              </w:rPr>
            </w:pPr>
          </w:p>
        </w:tc>
      </w:tr>
      <w:tr w:rsidR="00D1587D" w14:paraId="17A18CBC" w14:textId="77777777">
        <w:trPr>
          <w:trHeight w:val="54"/>
        </w:trPr>
        <w:tc>
          <w:tcPr>
            <w:tcW w:w="2040" w:type="dxa"/>
            <w:shd w:val="clear" w:color="auto" w:fill="CCEEFF"/>
            <w:vAlign w:val="bottom"/>
          </w:tcPr>
          <w:p w14:paraId="59EEA4A6" w14:textId="77777777" w:rsidR="00D1587D" w:rsidRDefault="00D1587D">
            <w:pPr>
              <w:rPr>
                <w:sz w:val="4"/>
                <w:szCs w:val="4"/>
              </w:rPr>
            </w:pPr>
          </w:p>
        </w:tc>
        <w:tc>
          <w:tcPr>
            <w:tcW w:w="100" w:type="dxa"/>
            <w:shd w:val="clear" w:color="auto" w:fill="CCEEFF"/>
            <w:vAlign w:val="bottom"/>
          </w:tcPr>
          <w:p w14:paraId="332F6B5F" w14:textId="77777777" w:rsidR="00D1587D" w:rsidRDefault="00D1587D">
            <w:pPr>
              <w:rPr>
                <w:sz w:val="4"/>
                <w:szCs w:val="4"/>
              </w:rPr>
            </w:pPr>
          </w:p>
        </w:tc>
        <w:tc>
          <w:tcPr>
            <w:tcW w:w="480" w:type="dxa"/>
            <w:shd w:val="clear" w:color="auto" w:fill="CCEEFF"/>
            <w:vAlign w:val="bottom"/>
          </w:tcPr>
          <w:p w14:paraId="3D36D7AE" w14:textId="77777777" w:rsidR="00D1587D" w:rsidRDefault="00D1587D">
            <w:pPr>
              <w:rPr>
                <w:sz w:val="4"/>
                <w:szCs w:val="4"/>
              </w:rPr>
            </w:pPr>
          </w:p>
        </w:tc>
        <w:tc>
          <w:tcPr>
            <w:tcW w:w="1560" w:type="dxa"/>
            <w:shd w:val="clear" w:color="auto" w:fill="CCEEFF"/>
            <w:vAlign w:val="bottom"/>
          </w:tcPr>
          <w:p w14:paraId="7BFD0294" w14:textId="77777777" w:rsidR="00D1587D" w:rsidRDefault="00D1587D">
            <w:pPr>
              <w:rPr>
                <w:sz w:val="4"/>
                <w:szCs w:val="4"/>
              </w:rPr>
            </w:pPr>
          </w:p>
        </w:tc>
        <w:tc>
          <w:tcPr>
            <w:tcW w:w="100" w:type="dxa"/>
            <w:shd w:val="clear" w:color="auto" w:fill="CCEEFF"/>
            <w:vAlign w:val="bottom"/>
          </w:tcPr>
          <w:p w14:paraId="3458D5D6" w14:textId="77777777" w:rsidR="00D1587D" w:rsidRDefault="00D1587D">
            <w:pPr>
              <w:rPr>
                <w:sz w:val="4"/>
                <w:szCs w:val="4"/>
              </w:rPr>
            </w:pPr>
          </w:p>
        </w:tc>
        <w:tc>
          <w:tcPr>
            <w:tcW w:w="1540" w:type="dxa"/>
            <w:shd w:val="clear" w:color="auto" w:fill="CCEEFF"/>
            <w:vAlign w:val="bottom"/>
          </w:tcPr>
          <w:p w14:paraId="4F104623" w14:textId="77777777" w:rsidR="00D1587D" w:rsidRDefault="00D1587D">
            <w:pPr>
              <w:rPr>
                <w:sz w:val="4"/>
                <w:szCs w:val="4"/>
              </w:rPr>
            </w:pPr>
          </w:p>
        </w:tc>
        <w:tc>
          <w:tcPr>
            <w:tcW w:w="480" w:type="dxa"/>
            <w:shd w:val="clear" w:color="auto" w:fill="CCEEFF"/>
            <w:vAlign w:val="bottom"/>
          </w:tcPr>
          <w:p w14:paraId="3E5F8CEC" w14:textId="77777777" w:rsidR="00D1587D" w:rsidRDefault="00D1587D">
            <w:pPr>
              <w:rPr>
                <w:sz w:val="4"/>
                <w:szCs w:val="4"/>
              </w:rPr>
            </w:pPr>
          </w:p>
        </w:tc>
        <w:tc>
          <w:tcPr>
            <w:tcW w:w="100" w:type="dxa"/>
            <w:shd w:val="clear" w:color="auto" w:fill="CCEEFF"/>
            <w:vAlign w:val="bottom"/>
          </w:tcPr>
          <w:p w14:paraId="72AE1C43" w14:textId="77777777" w:rsidR="00D1587D" w:rsidRDefault="00D1587D">
            <w:pPr>
              <w:rPr>
                <w:sz w:val="4"/>
                <w:szCs w:val="4"/>
              </w:rPr>
            </w:pPr>
          </w:p>
        </w:tc>
        <w:tc>
          <w:tcPr>
            <w:tcW w:w="2020" w:type="dxa"/>
            <w:shd w:val="clear" w:color="auto" w:fill="CCEEFF"/>
            <w:vAlign w:val="bottom"/>
          </w:tcPr>
          <w:p w14:paraId="1C7F3113" w14:textId="77777777" w:rsidR="00D1587D" w:rsidRDefault="00D1587D">
            <w:pPr>
              <w:rPr>
                <w:sz w:val="4"/>
                <w:szCs w:val="4"/>
              </w:rPr>
            </w:pPr>
          </w:p>
        </w:tc>
        <w:tc>
          <w:tcPr>
            <w:tcW w:w="0" w:type="dxa"/>
            <w:vAlign w:val="bottom"/>
          </w:tcPr>
          <w:p w14:paraId="568A6DC2" w14:textId="77777777" w:rsidR="00D1587D" w:rsidRDefault="00D1587D">
            <w:pPr>
              <w:rPr>
                <w:sz w:val="1"/>
                <w:szCs w:val="1"/>
              </w:rPr>
            </w:pPr>
          </w:p>
        </w:tc>
      </w:tr>
    </w:tbl>
    <w:p w14:paraId="2BA0D94C" w14:textId="77777777" w:rsidR="00D1587D" w:rsidRDefault="00410D07">
      <w:pPr>
        <w:spacing w:line="20" w:lineRule="exact"/>
        <w:rPr>
          <w:sz w:val="20"/>
          <w:szCs w:val="20"/>
        </w:rPr>
      </w:pPr>
      <w:r>
        <w:rPr>
          <w:noProof/>
          <w:sz w:val="20"/>
          <w:szCs w:val="20"/>
        </w:rPr>
        <w:drawing>
          <wp:anchor distT="0" distB="0" distL="114300" distR="114300" simplePos="0" relativeHeight="251832320" behindDoc="1" locked="0" layoutInCell="0" allowOverlap="1" wp14:anchorId="28A47852" wp14:editId="48A897AA">
            <wp:simplePos x="0" y="0"/>
            <wp:positionH relativeFrom="column">
              <wp:posOffset>4197350</wp:posOffset>
            </wp:positionH>
            <wp:positionV relativeFrom="paragraph">
              <wp:posOffset>-222250</wp:posOffset>
            </wp:positionV>
            <wp:extent cx="51435" cy="8890"/>
            <wp:effectExtent l="0" t="0" r="0" b="0"/>
            <wp:wrapNone/>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833344" behindDoc="1" locked="0" layoutInCell="0" allowOverlap="1" wp14:anchorId="06CF1F3E" wp14:editId="52EE2FC4">
            <wp:simplePos x="0" y="0"/>
            <wp:positionH relativeFrom="column">
              <wp:posOffset>2842895</wp:posOffset>
            </wp:positionH>
            <wp:positionV relativeFrom="paragraph">
              <wp:posOffset>-222250</wp:posOffset>
            </wp:positionV>
            <wp:extent cx="68580" cy="8890"/>
            <wp:effectExtent l="0" t="0" r="0" b="0"/>
            <wp:wrapNone/>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834368" behindDoc="1" locked="0" layoutInCell="0" allowOverlap="1" wp14:anchorId="16AB4C6B" wp14:editId="449F7305">
            <wp:simplePos x="0" y="0"/>
            <wp:positionH relativeFrom="column">
              <wp:posOffset>1479550</wp:posOffset>
            </wp:positionH>
            <wp:positionV relativeFrom="paragraph">
              <wp:posOffset>-222250</wp:posOffset>
            </wp:positionV>
            <wp:extent cx="68580" cy="8890"/>
            <wp:effectExtent l="0" t="0" r="0" b="0"/>
            <wp:wrapNone/>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835392" behindDoc="1" locked="0" layoutInCell="0" allowOverlap="1" wp14:anchorId="340C71F7" wp14:editId="5C7CE0D4">
            <wp:simplePos x="0" y="0"/>
            <wp:positionH relativeFrom="column">
              <wp:posOffset>185420</wp:posOffset>
            </wp:positionH>
            <wp:positionV relativeFrom="paragraph">
              <wp:posOffset>146050</wp:posOffset>
            </wp:positionV>
            <wp:extent cx="822960" cy="8255"/>
            <wp:effectExtent l="0" t="0" r="0" b="0"/>
            <wp:wrapNone/>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54BCF9A5" w14:textId="77777777" w:rsidR="00D1587D" w:rsidRDefault="00D1587D">
      <w:pPr>
        <w:spacing w:line="258" w:lineRule="exact"/>
        <w:rPr>
          <w:sz w:val="20"/>
          <w:szCs w:val="20"/>
        </w:rPr>
      </w:pPr>
    </w:p>
    <w:p w14:paraId="70C22241" w14:textId="77777777" w:rsidR="00D1587D" w:rsidRDefault="00410D07" w:rsidP="00410D07">
      <w:pPr>
        <w:numPr>
          <w:ilvl w:val="0"/>
          <w:numId w:val="314"/>
        </w:numPr>
        <w:tabs>
          <w:tab w:val="left" w:pos="640"/>
        </w:tabs>
        <w:spacing w:line="253" w:lineRule="auto"/>
        <w:ind w:left="640" w:right="479" w:hanging="348"/>
        <w:rPr>
          <w:rFonts w:ascii="Arial" w:eastAsia="Arial" w:hAnsi="Arial" w:cs="Arial"/>
          <w:sz w:val="14"/>
          <w:szCs w:val="14"/>
        </w:rPr>
      </w:pPr>
      <w:r>
        <w:rPr>
          <w:rFonts w:ascii="Arial" w:eastAsia="Arial" w:hAnsi="Arial" w:cs="Arial"/>
          <w:sz w:val="14"/>
          <w:szCs w:val="14"/>
        </w:rPr>
        <w:t xml:space="preserve">Spring 2020 operating income goals and performance for VS reflect </w:t>
      </w:r>
      <w:r>
        <w:rPr>
          <w:rFonts w:ascii="Arial" w:eastAsia="Arial" w:hAnsi="Arial" w:cs="Arial"/>
          <w:sz w:val="14"/>
          <w:szCs w:val="14"/>
        </w:rPr>
        <w:t>North America operations and Fall 2020 operating income goals and performance reflect total segment, including international operations.</w:t>
      </w:r>
    </w:p>
    <w:p w14:paraId="62A9065B" w14:textId="77777777" w:rsidR="00D1587D" w:rsidRDefault="00D1587D">
      <w:pPr>
        <w:spacing w:line="178" w:lineRule="exact"/>
        <w:rPr>
          <w:sz w:val="20"/>
          <w:szCs w:val="20"/>
        </w:rPr>
      </w:pPr>
    </w:p>
    <w:p w14:paraId="0965BCE2" w14:textId="77777777" w:rsidR="00D1587D" w:rsidRDefault="00410D07">
      <w:pPr>
        <w:jc w:val="center"/>
        <w:rPr>
          <w:sz w:val="20"/>
          <w:szCs w:val="20"/>
        </w:rPr>
      </w:pPr>
      <w:r>
        <w:rPr>
          <w:rFonts w:ascii="Arial" w:eastAsia="Arial" w:hAnsi="Arial" w:cs="Arial"/>
          <w:sz w:val="18"/>
          <w:szCs w:val="18"/>
        </w:rPr>
        <w:t>111</w:t>
      </w:r>
    </w:p>
    <w:p w14:paraId="1F0BEC31" w14:textId="77777777" w:rsidR="00D1587D" w:rsidRDefault="00410D07">
      <w:pPr>
        <w:spacing w:line="20" w:lineRule="exact"/>
        <w:rPr>
          <w:sz w:val="20"/>
          <w:szCs w:val="20"/>
        </w:rPr>
      </w:pPr>
      <w:r>
        <w:rPr>
          <w:noProof/>
          <w:sz w:val="20"/>
          <w:szCs w:val="20"/>
        </w:rPr>
        <w:drawing>
          <wp:anchor distT="0" distB="0" distL="114300" distR="114300" simplePos="0" relativeHeight="251836416" behindDoc="1" locked="0" layoutInCell="0" allowOverlap="1" wp14:anchorId="3DCA0586" wp14:editId="0A42BDB9">
            <wp:simplePos x="0" y="0"/>
            <wp:positionH relativeFrom="column">
              <wp:posOffset>-636905</wp:posOffset>
            </wp:positionH>
            <wp:positionV relativeFrom="paragraph">
              <wp:posOffset>134620</wp:posOffset>
            </wp:positionV>
            <wp:extent cx="6995160" cy="17145"/>
            <wp:effectExtent l="0" t="0" r="0" b="0"/>
            <wp:wrapNone/>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770CF39" w14:textId="77777777" w:rsidR="00D1587D" w:rsidRDefault="00D1587D">
      <w:pPr>
        <w:sectPr w:rsidR="00D1587D">
          <w:pgSz w:w="11900" w:h="16838"/>
          <w:pgMar w:top="265" w:right="1440" w:bottom="1440" w:left="1440" w:header="0" w:footer="0" w:gutter="0"/>
          <w:cols w:space="720" w:equalWidth="0">
            <w:col w:w="9019"/>
          </w:cols>
        </w:sectPr>
      </w:pPr>
    </w:p>
    <w:bookmarkStart w:id="369" w:name="page370"/>
    <w:bookmarkEnd w:id="369"/>
    <w:p w14:paraId="2DCA72C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AA14708" w14:textId="77777777" w:rsidR="00D1587D" w:rsidRDefault="00D1587D">
      <w:pPr>
        <w:spacing w:line="127" w:lineRule="exact"/>
        <w:rPr>
          <w:sz w:val="20"/>
          <w:szCs w:val="20"/>
        </w:rPr>
      </w:pPr>
    </w:p>
    <w:p w14:paraId="282ECD7B" w14:textId="77777777" w:rsidR="00D1587D" w:rsidRDefault="00410D07" w:rsidP="00410D07">
      <w:pPr>
        <w:numPr>
          <w:ilvl w:val="0"/>
          <w:numId w:val="315"/>
        </w:numPr>
        <w:tabs>
          <w:tab w:val="left" w:pos="640"/>
        </w:tabs>
        <w:spacing w:line="238" w:lineRule="auto"/>
        <w:ind w:left="640" w:right="319" w:hanging="348"/>
        <w:rPr>
          <w:rFonts w:ascii="Arial" w:eastAsia="Arial" w:hAnsi="Arial" w:cs="Arial"/>
          <w:sz w:val="14"/>
          <w:szCs w:val="14"/>
        </w:rPr>
      </w:pPr>
      <w:r>
        <w:rPr>
          <w:rFonts w:ascii="Arial" w:eastAsia="Arial" w:hAnsi="Arial" w:cs="Arial"/>
          <w:sz w:val="14"/>
          <w:szCs w:val="14"/>
        </w:rPr>
        <w:t xml:space="preserve">Actual performance presents operating </w:t>
      </w:r>
      <w:r>
        <w:rPr>
          <w:rFonts w:ascii="Arial" w:eastAsia="Arial" w:hAnsi="Arial" w:cs="Arial"/>
          <w:sz w:val="14"/>
          <w:szCs w:val="14"/>
        </w:rPr>
        <w:t>income on an adjusted basis that removes certain special items that are not indicative of LB’s ongoing operations due to their size and nature. LB uses adjusted financial information as key performance measures of results for purposes of evaluating perform</w:t>
      </w:r>
      <w:r>
        <w:rPr>
          <w:rFonts w:ascii="Arial" w:eastAsia="Arial" w:hAnsi="Arial" w:cs="Arial"/>
          <w:sz w:val="14"/>
          <w:szCs w:val="14"/>
        </w:rPr>
        <w:t>ance internally, which may not correspond to amounts reported externally.</w:t>
      </w:r>
    </w:p>
    <w:p w14:paraId="268DBDC7" w14:textId="77777777" w:rsidR="00D1587D" w:rsidRDefault="00D1587D">
      <w:pPr>
        <w:spacing w:line="20" w:lineRule="exact"/>
        <w:rPr>
          <w:rFonts w:ascii="Arial" w:eastAsia="Arial" w:hAnsi="Arial" w:cs="Arial"/>
          <w:sz w:val="14"/>
          <w:szCs w:val="14"/>
        </w:rPr>
      </w:pPr>
    </w:p>
    <w:p w14:paraId="26B649D2" w14:textId="77777777" w:rsidR="00D1587D" w:rsidRDefault="00410D07" w:rsidP="00410D07">
      <w:pPr>
        <w:numPr>
          <w:ilvl w:val="0"/>
          <w:numId w:val="315"/>
        </w:numPr>
        <w:tabs>
          <w:tab w:val="left" w:pos="640"/>
        </w:tabs>
        <w:spacing w:line="238" w:lineRule="auto"/>
        <w:ind w:left="640" w:right="359" w:hanging="348"/>
        <w:rPr>
          <w:rFonts w:ascii="Arial" w:eastAsia="Arial" w:hAnsi="Arial" w:cs="Arial"/>
          <w:sz w:val="14"/>
          <w:szCs w:val="14"/>
        </w:rPr>
      </w:pPr>
      <w:r>
        <w:rPr>
          <w:rFonts w:ascii="Arial" w:eastAsia="Arial" w:hAnsi="Arial" w:cs="Arial"/>
          <w:sz w:val="14"/>
          <w:szCs w:val="14"/>
        </w:rPr>
        <w:t xml:space="preserve">The Spring 2020 operating income goals and actual performance for Bath &amp; Body Works and other LB business units (other than VS) were $345 million and $52 million, respectively, and </w:t>
      </w:r>
      <w:r>
        <w:rPr>
          <w:rFonts w:ascii="Arial" w:eastAsia="Arial" w:hAnsi="Arial" w:cs="Arial"/>
          <w:sz w:val="14"/>
          <w:szCs w:val="14"/>
        </w:rPr>
        <w:t>$400 million and $(173) million, respectively. The Fall 2020 operating income goal and actual performance for Bath &amp; Body Works was $870 million and $1,408 million, respectively.</w:t>
      </w:r>
    </w:p>
    <w:p w14:paraId="3A3ABE8D" w14:textId="77777777" w:rsidR="00D1587D" w:rsidRDefault="00D1587D">
      <w:pPr>
        <w:spacing w:line="79" w:lineRule="exact"/>
        <w:rPr>
          <w:sz w:val="20"/>
          <w:szCs w:val="20"/>
        </w:rPr>
      </w:pPr>
    </w:p>
    <w:p w14:paraId="7AAD0913" w14:textId="77777777" w:rsidR="00D1587D" w:rsidRDefault="00410D07">
      <w:pPr>
        <w:spacing w:line="275" w:lineRule="auto"/>
        <w:ind w:left="300" w:right="579" w:firstLine="360"/>
        <w:rPr>
          <w:sz w:val="20"/>
          <w:szCs w:val="20"/>
        </w:rPr>
      </w:pPr>
      <w:r>
        <w:rPr>
          <w:rFonts w:ascii="Arial" w:eastAsia="Arial" w:hAnsi="Arial" w:cs="Arial"/>
          <w:sz w:val="17"/>
          <w:szCs w:val="17"/>
        </w:rPr>
        <w:t>Fall season goals for VS were set below prior year actual results to provide</w:t>
      </w:r>
      <w:r>
        <w:rPr>
          <w:rFonts w:ascii="Arial" w:eastAsia="Arial" w:hAnsi="Arial" w:cs="Arial"/>
          <w:sz w:val="17"/>
          <w:szCs w:val="17"/>
        </w:rPr>
        <w:t xml:space="preserve"> meaningful incentive in a challenging environment and to reflect the projected decline in store sales due to decreased store traffic and store closures, partially offset by projected growth in online sales and margin rates. When evaluating operating incom</w:t>
      </w:r>
      <w:r>
        <w:rPr>
          <w:rFonts w:ascii="Arial" w:eastAsia="Arial" w:hAnsi="Arial" w:cs="Arial"/>
          <w:sz w:val="17"/>
          <w:szCs w:val="17"/>
        </w:rPr>
        <w:t>e goals, the LB HCC Committee compares the change in operating income relative to the change in the incentive payments to associates to ascertain the reasonableness of the potential payout.</w:t>
      </w:r>
    </w:p>
    <w:p w14:paraId="5B4226A5" w14:textId="77777777" w:rsidR="00D1587D" w:rsidRDefault="00D1587D">
      <w:pPr>
        <w:spacing w:line="68" w:lineRule="exact"/>
        <w:rPr>
          <w:sz w:val="20"/>
          <w:szCs w:val="20"/>
        </w:rPr>
      </w:pPr>
    </w:p>
    <w:p w14:paraId="13D174D1" w14:textId="77777777" w:rsidR="00D1587D" w:rsidRDefault="00410D07">
      <w:pPr>
        <w:spacing w:line="257" w:lineRule="auto"/>
        <w:ind w:left="300" w:right="399" w:firstLine="360"/>
        <w:rPr>
          <w:sz w:val="20"/>
          <w:szCs w:val="20"/>
        </w:rPr>
      </w:pPr>
      <w:r>
        <w:rPr>
          <w:rFonts w:ascii="Arial" w:eastAsia="Arial" w:hAnsi="Arial" w:cs="Arial"/>
          <w:sz w:val="18"/>
          <w:szCs w:val="18"/>
        </w:rPr>
        <w:t xml:space="preserve">Operating income goal ranges at threshold, target and </w:t>
      </w:r>
      <w:r>
        <w:rPr>
          <w:rFonts w:ascii="Arial" w:eastAsia="Arial" w:hAnsi="Arial" w:cs="Arial"/>
          <w:sz w:val="18"/>
          <w:szCs w:val="18"/>
        </w:rPr>
        <w:t>maximum were significantly widened in 2020 due to the challenging and uncertain environment. LB felt the widened ranges were necessary to provide meaningful and realistic incentives to participants in a year filled with uncertainty due to both the challeng</w:t>
      </w:r>
      <w:r>
        <w:rPr>
          <w:rFonts w:ascii="Arial" w:eastAsia="Arial" w:hAnsi="Arial" w:cs="Arial"/>
          <w:sz w:val="18"/>
          <w:szCs w:val="18"/>
        </w:rPr>
        <w:t>es created by the pandemic and uncertainty around the future division of LB. The table below shows the range of performance goals for VS as a percent of target for threshold and maximum payout:</w:t>
      </w:r>
    </w:p>
    <w:p w14:paraId="657B267A" w14:textId="77777777" w:rsidR="00D1587D" w:rsidRDefault="00D1587D">
      <w:pPr>
        <w:spacing w:line="127"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040"/>
        <w:gridCol w:w="100"/>
        <w:gridCol w:w="460"/>
        <w:gridCol w:w="1580"/>
        <w:gridCol w:w="100"/>
        <w:gridCol w:w="1600"/>
        <w:gridCol w:w="420"/>
        <w:gridCol w:w="100"/>
        <w:gridCol w:w="2020"/>
      </w:tblGrid>
      <w:tr w:rsidR="00D1587D" w14:paraId="7CD77D47" w14:textId="77777777">
        <w:trPr>
          <w:trHeight w:val="264"/>
        </w:trPr>
        <w:tc>
          <w:tcPr>
            <w:tcW w:w="2600" w:type="dxa"/>
            <w:gridSpan w:val="3"/>
            <w:tcBorders>
              <w:bottom w:val="single" w:sz="8" w:space="0" w:color="auto"/>
            </w:tcBorders>
            <w:vAlign w:val="bottom"/>
          </w:tcPr>
          <w:p w14:paraId="40800B22" w14:textId="77777777" w:rsidR="00D1587D" w:rsidRDefault="00410D07">
            <w:pPr>
              <w:ind w:left="1800"/>
              <w:rPr>
                <w:sz w:val="20"/>
                <w:szCs w:val="20"/>
              </w:rPr>
            </w:pPr>
            <w:r>
              <w:rPr>
                <w:rFonts w:ascii="Arial" w:eastAsia="Arial" w:hAnsi="Arial" w:cs="Arial"/>
                <w:b/>
                <w:bCs/>
                <w:sz w:val="14"/>
                <w:szCs w:val="14"/>
              </w:rPr>
              <w:t>Spring</w:t>
            </w:r>
            <w:r>
              <w:rPr>
                <w:rFonts w:ascii="Arial" w:eastAsia="Arial" w:hAnsi="Arial" w:cs="Arial"/>
                <w:b/>
                <w:bCs/>
                <w:sz w:val="23"/>
                <w:szCs w:val="23"/>
                <w:vertAlign w:val="superscript"/>
              </w:rPr>
              <w:t>(1)</w:t>
            </w:r>
          </w:p>
        </w:tc>
        <w:tc>
          <w:tcPr>
            <w:tcW w:w="1580" w:type="dxa"/>
            <w:tcBorders>
              <w:bottom w:val="single" w:sz="8" w:space="0" w:color="auto"/>
            </w:tcBorders>
            <w:vAlign w:val="bottom"/>
          </w:tcPr>
          <w:p w14:paraId="0B37F803" w14:textId="77777777" w:rsidR="00D1587D" w:rsidRDefault="00D1587D"/>
        </w:tc>
        <w:tc>
          <w:tcPr>
            <w:tcW w:w="100" w:type="dxa"/>
            <w:vAlign w:val="bottom"/>
          </w:tcPr>
          <w:p w14:paraId="7D324AB3" w14:textId="77777777" w:rsidR="00D1587D" w:rsidRDefault="00D1587D"/>
        </w:tc>
        <w:tc>
          <w:tcPr>
            <w:tcW w:w="1600" w:type="dxa"/>
            <w:tcBorders>
              <w:bottom w:val="single" w:sz="8" w:space="0" w:color="auto"/>
            </w:tcBorders>
            <w:vAlign w:val="bottom"/>
          </w:tcPr>
          <w:p w14:paraId="0D68BD66" w14:textId="77777777" w:rsidR="00D1587D" w:rsidRDefault="00D1587D"/>
        </w:tc>
        <w:tc>
          <w:tcPr>
            <w:tcW w:w="2540" w:type="dxa"/>
            <w:gridSpan w:val="3"/>
            <w:tcBorders>
              <w:bottom w:val="single" w:sz="8" w:space="0" w:color="auto"/>
            </w:tcBorders>
            <w:vAlign w:val="bottom"/>
          </w:tcPr>
          <w:p w14:paraId="0636BC03" w14:textId="77777777" w:rsidR="00D1587D" w:rsidRDefault="00410D07">
            <w:pPr>
              <w:ind w:left="280"/>
              <w:rPr>
                <w:sz w:val="20"/>
                <w:szCs w:val="20"/>
              </w:rPr>
            </w:pPr>
            <w:r>
              <w:rPr>
                <w:rFonts w:ascii="Arial" w:eastAsia="Arial" w:hAnsi="Arial" w:cs="Arial"/>
                <w:b/>
                <w:bCs/>
                <w:sz w:val="14"/>
                <w:szCs w:val="14"/>
              </w:rPr>
              <w:t>Fall</w:t>
            </w:r>
            <w:r>
              <w:rPr>
                <w:rFonts w:ascii="Arial" w:eastAsia="Arial" w:hAnsi="Arial" w:cs="Arial"/>
                <w:b/>
                <w:bCs/>
                <w:sz w:val="23"/>
                <w:szCs w:val="23"/>
                <w:vertAlign w:val="superscript"/>
              </w:rPr>
              <w:t>(1)</w:t>
            </w:r>
          </w:p>
        </w:tc>
      </w:tr>
      <w:tr w:rsidR="00D1587D" w14:paraId="52400494" w14:textId="77777777">
        <w:trPr>
          <w:trHeight w:val="224"/>
        </w:trPr>
        <w:tc>
          <w:tcPr>
            <w:tcW w:w="2600" w:type="dxa"/>
            <w:gridSpan w:val="3"/>
            <w:vAlign w:val="bottom"/>
          </w:tcPr>
          <w:p w14:paraId="71EE03DA" w14:textId="77777777" w:rsidR="00D1587D" w:rsidRDefault="00410D07">
            <w:pPr>
              <w:ind w:right="580"/>
              <w:jc w:val="center"/>
              <w:rPr>
                <w:sz w:val="20"/>
                <w:szCs w:val="20"/>
              </w:rPr>
            </w:pPr>
            <w:r>
              <w:rPr>
                <w:rFonts w:ascii="Arial" w:eastAsia="Arial" w:hAnsi="Arial" w:cs="Arial"/>
                <w:b/>
                <w:bCs/>
                <w:w w:val="91"/>
                <w:sz w:val="14"/>
                <w:szCs w:val="14"/>
              </w:rPr>
              <w:t>Threshold</w:t>
            </w:r>
          </w:p>
        </w:tc>
        <w:tc>
          <w:tcPr>
            <w:tcW w:w="1680" w:type="dxa"/>
            <w:gridSpan w:val="2"/>
            <w:vAlign w:val="bottom"/>
          </w:tcPr>
          <w:p w14:paraId="5316B429" w14:textId="77777777" w:rsidR="00D1587D" w:rsidRDefault="00410D07">
            <w:pPr>
              <w:ind w:right="560"/>
              <w:jc w:val="center"/>
              <w:rPr>
                <w:sz w:val="20"/>
                <w:szCs w:val="20"/>
              </w:rPr>
            </w:pPr>
            <w:r>
              <w:rPr>
                <w:rFonts w:ascii="Arial" w:eastAsia="Arial" w:hAnsi="Arial" w:cs="Arial"/>
                <w:b/>
                <w:bCs/>
                <w:w w:val="99"/>
                <w:sz w:val="14"/>
                <w:szCs w:val="14"/>
              </w:rPr>
              <w:t>Maximum</w:t>
            </w:r>
          </w:p>
        </w:tc>
        <w:tc>
          <w:tcPr>
            <w:tcW w:w="1600" w:type="dxa"/>
            <w:vAlign w:val="bottom"/>
          </w:tcPr>
          <w:p w14:paraId="290A6D60" w14:textId="77777777" w:rsidR="00D1587D" w:rsidRDefault="00410D07">
            <w:pPr>
              <w:ind w:left="359"/>
              <w:jc w:val="center"/>
              <w:rPr>
                <w:sz w:val="20"/>
                <w:szCs w:val="20"/>
              </w:rPr>
            </w:pPr>
            <w:r>
              <w:rPr>
                <w:rFonts w:ascii="Arial" w:eastAsia="Arial" w:hAnsi="Arial" w:cs="Arial"/>
                <w:b/>
                <w:bCs/>
                <w:w w:val="94"/>
                <w:sz w:val="14"/>
                <w:szCs w:val="14"/>
              </w:rPr>
              <w:t>Threshold</w:t>
            </w:r>
          </w:p>
        </w:tc>
        <w:tc>
          <w:tcPr>
            <w:tcW w:w="420" w:type="dxa"/>
            <w:vAlign w:val="bottom"/>
          </w:tcPr>
          <w:p w14:paraId="1012C59C" w14:textId="77777777" w:rsidR="00D1587D" w:rsidRDefault="00D1587D">
            <w:pPr>
              <w:rPr>
                <w:sz w:val="19"/>
                <w:szCs w:val="19"/>
              </w:rPr>
            </w:pPr>
          </w:p>
        </w:tc>
        <w:tc>
          <w:tcPr>
            <w:tcW w:w="100" w:type="dxa"/>
            <w:vAlign w:val="bottom"/>
          </w:tcPr>
          <w:p w14:paraId="3B339AF5" w14:textId="77777777" w:rsidR="00D1587D" w:rsidRDefault="00D1587D">
            <w:pPr>
              <w:rPr>
                <w:sz w:val="19"/>
                <w:szCs w:val="19"/>
              </w:rPr>
            </w:pPr>
          </w:p>
        </w:tc>
        <w:tc>
          <w:tcPr>
            <w:tcW w:w="2020" w:type="dxa"/>
            <w:vAlign w:val="bottom"/>
          </w:tcPr>
          <w:p w14:paraId="45CC8611" w14:textId="77777777" w:rsidR="00D1587D" w:rsidRDefault="00410D07">
            <w:pPr>
              <w:jc w:val="center"/>
              <w:rPr>
                <w:sz w:val="20"/>
                <w:szCs w:val="20"/>
              </w:rPr>
            </w:pPr>
            <w:r>
              <w:rPr>
                <w:rFonts w:ascii="Arial" w:eastAsia="Arial" w:hAnsi="Arial" w:cs="Arial"/>
                <w:b/>
                <w:bCs/>
                <w:w w:val="99"/>
                <w:sz w:val="14"/>
                <w:szCs w:val="14"/>
              </w:rPr>
              <w:t>Maximum</w:t>
            </w:r>
          </w:p>
        </w:tc>
      </w:tr>
      <w:tr w:rsidR="00D1587D" w14:paraId="651E1A4A" w14:textId="77777777">
        <w:trPr>
          <w:trHeight w:val="53"/>
        </w:trPr>
        <w:tc>
          <w:tcPr>
            <w:tcW w:w="2040" w:type="dxa"/>
            <w:tcBorders>
              <w:bottom w:val="single" w:sz="8" w:space="0" w:color="auto"/>
            </w:tcBorders>
            <w:vAlign w:val="bottom"/>
          </w:tcPr>
          <w:p w14:paraId="7CFC89C3" w14:textId="77777777" w:rsidR="00D1587D" w:rsidRDefault="00D1587D">
            <w:pPr>
              <w:rPr>
                <w:sz w:val="4"/>
                <w:szCs w:val="4"/>
              </w:rPr>
            </w:pPr>
          </w:p>
        </w:tc>
        <w:tc>
          <w:tcPr>
            <w:tcW w:w="100" w:type="dxa"/>
            <w:tcBorders>
              <w:bottom w:val="single" w:sz="8" w:space="0" w:color="CCEEFF"/>
            </w:tcBorders>
            <w:vAlign w:val="bottom"/>
          </w:tcPr>
          <w:p w14:paraId="7F3E0289" w14:textId="77777777" w:rsidR="00D1587D" w:rsidRDefault="00D1587D">
            <w:pPr>
              <w:rPr>
                <w:sz w:val="4"/>
                <w:szCs w:val="4"/>
              </w:rPr>
            </w:pPr>
          </w:p>
        </w:tc>
        <w:tc>
          <w:tcPr>
            <w:tcW w:w="460" w:type="dxa"/>
            <w:tcBorders>
              <w:bottom w:val="single" w:sz="8" w:space="0" w:color="auto"/>
            </w:tcBorders>
            <w:vAlign w:val="bottom"/>
          </w:tcPr>
          <w:p w14:paraId="08F435FD" w14:textId="77777777" w:rsidR="00D1587D" w:rsidRDefault="00D1587D">
            <w:pPr>
              <w:rPr>
                <w:sz w:val="4"/>
                <w:szCs w:val="4"/>
              </w:rPr>
            </w:pPr>
          </w:p>
        </w:tc>
        <w:tc>
          <w:tcPr>
            <w:tcW w:w="1580" w:type="dxa"/>
            <w:tcBorders>
              <w:bottom w:val="single" w:sz="8" w:space="0" w:color="auto"/>
            </w:tcBorders>
            <w:vAlign w:val="bottom"/>
          </w:tcPr>
          <w:p w14:paraId="1BC7D3E6" w14:textId="77777777" w:rsidR="00D1587D" w:rsidRDefault="00D1587D">
            <w:pPr>
              <w:rPr>
                <w:sz w:val="4"/>
                <w:szCs w:val="4"/>
              </w:rPr>
            </w:pPr>
          </w:p>
        </w:tc>
        <w:tc>
          <w:tcPr>
            <w:tcW w:w="100" w:type="dxa"/>
            <w:tcBorders>
              <w:bottom w:val="single" w:sz="8" w:space="0" w:color="CCEEFF"/>
            </w:tcBorders>
            <w:vAlign w:val="bottom"/>
          </w:tcPr>
          <w:p w14:paraId="5C18DFBE" w14:textId="77777777" w:rsidR="00D1587D" w:rsidRDefault="00D1587D">
            <w:pPr>
              <w:rPr>
                <w:sz w:val="4"/>
                <w:szCs w:val="4"/>
              </w:rPr>
            </w:pPr>
          </w:p>
        </w:tc>
        <w:tc>
          <w:tcPr>
            <w:tcW w:w="1600" w:type="dxa"/>
            <w:tcBorders>
              <w:bottom w:val="single" w:sz="8" w:space="0" w:color="auto"/>
            </w:tcBorders>
            <w:vAlign w:val="bottom"/>
          </w:tcPr>
          <w:p w14:paraId="414C56E9" w14:textId="77777777" w:rsidR="00D1587D" w:rsidRDefault="00D1587D">
            <w:pPr>
              <w:rPr>
                <w:sz w:val="4"/>
                <w:szCs w:val="4"/>
              </w:rPr>
            </w:pPr>
          </w:p>
        </w:tc>
        <w:tc>
          <w:tcPr>
            <w:tcW w:w="420" w:type="dxa"/>
            <w:tcBorders>
              <w:bottom w:val="single" w:sz="8" w:space="0" w:color="auto"/>
            </w:tcBorders>
            <w:vAlign w:val="bottom"/>
          </w:tcPr>
          <w:p w14:paraId="28AF0F26" w14:textId="77777777" w:rsidR="00D1587D" w:rsidRDefault="00D1587D">
            <w:pPr>
              <w:rPr>
                <w:sz w:val="4"/>
                <w:szCs w:val="4"/>
              </w:rPr>
            </w:pPr>
          </w:p>
        </w:tc>
        <w:tc>
          <w:tcPr>
            <w:tcW w:w="100" w:type="dxa"/>
            <w:tcBorders>
              <w:bottom w:val="single" w:sz="8" w:space="0" w:color="CCEEFF"/>
            </w:tcBorders>
            <w:vAlign w:val="bottom"/>
          </w:tcPr>
          <w:p w14:paraId="5EE4EADC" w14:textId="77777777" w:rsidR="00D1587D" w:rsidRDefault="00D1587D">
            <w:pPr>
              <w:rPr>
                <w:sz w:val="4"/>
                <w:szCs w:val="4"/>
              </w:rPr>
            </w:pPr>
          </w:p>
        </w:tc>
        <w:tc>
          <w:tcPr>
            <w:tcW w:w="2020" w:type="dxa"/>
            <w:tcBorders>
              <w:bottom w:val="single" w:sz="8" w:space="0" w:color="auto"/>
            </w:tcBorders>
            <w:vAlign w:val="bottom"/>
          </w:tcPr>
          <w:p w14:paraId="0F12F3C2" w14:textId="77777777" w:rsidR="00D1587D" w:rsidRDefault="00D1587D">
            <w:pPr>
              <w:rPr>
                <w:sz w:val="4"/>
                <w:szCs w:val="4"/>
              </w:rPr>
            </w:pPr>
          </w:p>
        </w:tc>
      </w:tr>
      <w:tr w:rsidR="00D1587D" w14:paraId="5E4A91E4" w14:textId="77777777">
        <w:trPr>
          <w:trHeight w:val="277"/>
        </w:trPr>
        <w:tc>
          <w:tcPr>
            <w:tcW w:w="2040" w:type="dxa"/>
            <w:shd w:val="clear" w:color="auto" w:fill="CCEEFF"/>
            <w:vAlign w:val="bottom"/>
          </w:tcPr>
          <w:p w14:paraId="4EE3674B" w14:textId="77777777" w:rsidR="00D1587D" w:rsidRDefault="00410D07">
            <w:pPr>
              <w:ind w:right="682"/>
              <w:jc w:val="right"/>
              <w:rPr>
                <w:sz w:val="20"/>
                <w:szCs w:val="20"/>
              </w:rPr>
            </w:pPr>
            <w:r>
              <w:rPr>
                <w:rFonts w:ascii="Arial" w:eastAsia="Arial" w:hAnsi="Arial" w:cs="Arial"/>
                <w:sz w:val="18"/>
                <w:szCs w:val="18"/>
              </w:rPr>
              <w:t>(154)%</w:t>
            </w:r>
          </w:p>
        </w:tc>
        <w:tc>
          <w:tcPr>
            <w:tcW w:w="100" w:type="dxa"/>
            <w:shd w:val="clear" w:color="auto" w:fill="CCEEFF"/>
            <w:vAlign w:val="bottom"/>
          </w:tcPr>
          <w:p w14:paraId="04FE7CFE" w14:textId="77777777" w:rsidR="00D1587D" w:rsidRDefault="00D1587D">
            <w:pPr>
              <w:rPr>
                <w:sz w:val="24"/>
                <w:szCs w:val="24"/>
              </w:rPr>
            </w:pPr>
          </w:p>
        </w:tc>
        <w:tc>
          <w:tcPr>
            <w:tcW w:w="460" w:type="dxa"/>
            <w:shd w:val="clear" w:color="auto" w:fill="CCEEFF"/>
            <w:vAlign w:val="bottom"/>
          </w:tcPr>
          <w:p w14:paraId="320DE076" w14:textId="77777777" w:rsidR="00D1587D" w:rsidRDefault="00D1587D">
            <w:pPr>
              <w:rPr>
                <w:sz w:val="24"/>
                <w:szCs w:val="24"/>
              </w:rPr>
            </w:pPr>
          </w:p>
        </w:tc>
        <w:tc>
          <w:tcPr>
            <w:tcW w:w="1580" w:type="dxa"/>
            <w:shd w:val="clear" w:color="auto" w:fill="CCEEFF"/>
            <w:vAlign w:val="bottom"/>
          </w:tcPr>
          <w:p w14:paraId="5968CD95" w14:textId="77777777" w:rsidR="00D1587D" w:rsidRDefault="00410D07">
            <w:pPr>
              <w:ind w:right="739"/>
              <w:jc w:val="right"/>
              <w:rPr>
                <w:sz w:val="20"/>
                <w:szCs w:val="20"/>
              </w:rPr>
            </w:pPr>
            <w:r>
              <w:rPr>
                <w:rFonts w:ascii="Arial" w:eastAsia="Arial" w:hAnsi="Arial" w:cs="Arial"/>
                <w:sz w:val="18"/>
                <w:szCs w:val="18"/>
              </w:rPr>
              <w:t>177%</w:t>
            </w:r>
          </w:p>
        </w:tc>
        <w:tc>
          <w:tcPr>
            <w:tcW w:w="100" w:type="dxa"/>
            <w:shd w:val="clear" w:color="auto" w:fill="CCEEFF"/>
            <w:vAlign w:val="bottom"/>
          </w:tcPr>
          <w:p w14:paraId="24A3A83E" w14:textId="77777777" w:rsidR="00D1587D" w:rsidRDefault="00D1587D">
            <w:pPr>
              <w:rPr>
                <w:sz w:val="24"/>
                <w:szCs w:val="24"/>
              </w:rPr>
            </w:pPr>
          </w:p>
        </w:tc>
        <w:tc>
          <w:tcPr>
            <w:tcW w:w="1600" w:type="dxa"/>
            <w:shd w:val="clear" w:color="auto" w:fill="CCEEFF"/>
            <w:vAlign w:val="bottom"/>
          </w:tcPr>
          <w:p w14:paraId="357A2791" w14:textId="77777777" w:rsidR="00D1587D" w:rsidRDefault="00410D07">
            <w:pPr>
              <w:ind w:right="239"/>
              <w:jc w:val="right"/>
              <w:rPr>
                <w:sz w:val="20"/>
                <w:szCs w:val="20"/>
              </w:rPr>
            </w:pPr>
            <w:r>
              <w:rPr>
                <w:rFonts w:ascii="Arial" w:eastAsia="Arial" w:hAnsi="Arial" w:cs="Arial"/>
                <w:sz w:val="18"/>
                <w:szCs w:val="18"/>
              </w:rPr>
              <w:t>(313)%</w:t>
            </w:r>
          </w:p>
        </w:tc>
        <w:tc>
          <w:tcPr>
            <w:tcW w:w="2540" w:type="dxa"/>
            <w:gridSpan w:val="3"/>
            <w:shd w:val="clear" w:color="auto" w:fill="CCEEFF"/>
            <w:vAlign w:val="bottom"/>
          </w:tcPr>
          <w:p w14:paraId="2A4CC5BC" w14:textId="77777777" w:rsidR="00D1587D" w:rsidRDefault="00410D07">
            <w:pPr>
              <w:ind w:right="728"/>
              <w:jc w:val="right"/>
              <w:rPr>
                <w:sz w:val="20"/>
                <w:szCs w:val="20"/>
              </w:rPr>
            </w:pPr>
            <w:r>
              <w:rPr>
                <w:rFonts w:ascii="Arial" w:eastAsia="Arial" w:hAnsi="Arial" w:cs="Arial"/>
                <w:sz w:val="18"/>
                <w:szCs w:val="18"/>
              </w:rPr>
              <w:t>488%</w:t>
            </w:r>
          </w:p>
        </w:tc>
      </w:tr>
      <w:tr w:rsidR="00D1587D" w14:paraId="2B7ED7B0" w14:textId="77777777">
        <w:trPr>
          <w:trHeight w:val="54"/>
        </w:trPr>
        <w:tc>
          <w:tcPr>
            <w:tcW w:w="2040" w:type="dxa"/>
            <w:shd w:val="clear" w:color="auto" w:fill="CCEEFF"/>
            <w:vAlign w:val="bottom"/>
          </w:tcPr>
          <w:p w14:paraId="6DCBB470" w14:textId="77777777" w:rsidR="00D1587D" w:rsidRDefault="00D1587D">
            <w:pPr>
              <w:rPr>
                <w:sz w:val="4"/>
                <w:szCs w:val="4"/>
              </w:rPr>
            </w:pPr>
          </w:p>
        </w:tc>
        <w:tc>
          <w:tcPr>
            <w:tcW w:w="100" w:type="dxa"/>
            <w:shd w:val="clear" w:color="auto" w:fill="CCEEFF"/>
            <w:vAlign w:val="bottom"/>
          </w:tcPr>
          <w:p w14:paraId="3AD61A02" w14:textId="77777777" w:rsidR="00D1587D" w:rsidRDefault="00D1587D">
            <w:pPr>
              <w:rPr>
                <w:sz w:val="4"/>
                <w:szCs w:val="4"/>
              </w:rPr>
            </w:pPr>
          </w:p>
        </w:tc>
        <w:tc>
          <w:tcPr>
            <w:tcW w:w="460" w:type="dxa"/>
            <w:shd w:val="clear" w:color="auto" w:fill="CCEEFF"/>
            <w:vAlign w:val="bottom"/>
          </w:tcPr>
          <w:p w14:paraId="42B0992A" w14:textId="77777777" w:rsidR="00D1587D" w:rsidRDefault="00D1587D">
            <w:pPr>
              <w:rPr>
                <w:sz w:val="4"/>
                <w:szCs w:val="4"/>
              </w:rPr>
            </w:pPr>
          </w:p>
        </w:tc>
        <w:tc>
          <w:tcPr>
            <w:tcW w:w="1580" w:type="dxa"/>
            <w:shd w:val="clear" w:color="auto" w:fill="CCEEFF"/>
            <w:vAlign w:val="bottom"/>
          </w:tcPr>
          <w:p w14:paraId="0BF0C351" w14:textId="77777777" w:rsidR="00D1587D" w:rsidRDefault="00D1587D">
            <w:pPr>
              <w:rPr>
                <w:sz w:val="4"/>
                <w:szCs w:val="4"/>
              </w:rPr>
            </w:pPr>
          </w:p>
        </w:tc>
        <w:tc>
          <w:tcPr>
            <w:tcW w:w="100" w:type="dxa"/>
            <w:shd w:val="clear" w:color="auto" w:fill="CCEEFF"/>
            <w:vAlign w:val="bottom"/>
          </w:tcPr>
          <w:p w14:paraId="2E81B2D9" w14:textId="77777777" w:rsidR="00D1587D" w:rsidRDefault="00D1587D">
            <w:pPr>
              <w:rPr>
                <w:sz w:val="4"/>
                <w:szCs w:val="4"/>
              </w:rPr>
            </w:pPr>
          </w:p>
        </w:tc>
        <w:tc>
          <w:tcPr>
            <w:tcW w:w="1600" w:type="dxa"/>
            <w:shd w:val="clear" w:color="auto" w:fill="CCEEFF"/>
            <w:vAlign w:val="bottom"/>
          </w:tcPr>
          <w:p w14:paraId="40B7000E" w14:textId="77777777" w:rsidR="00D1587D" w:rsidRDefault="00D1587D">
            <w:pPr>
              <w:rPr>
                <w:sz w:val="4"/>
                <w:szCs w:val="4"/>
              </w:rPr>
            </w:pPr>
          </w:p>
        </w:tc>
        <w:tc>
          <w:tcPr>
            <w:tcW w:w="420" w:type="dxa"/>
            <w:shd w:val="clear" w:color="auto" w:fill="CCEEFF"/>
            <w:vAlign w:val="bottom"/>
          </w:tcPr>
          <w:p w14:paraId="4789EF07" w14:textId="77777777" w:rsidR="00D1587D" w:rsidRDefault="00D1587D">
            <w:pPr>
              <w:rPr>
                <w:sz w:val="4"/>
                <w:szCs w:val="4"/>
              </w:rPr>
            </w:pPr>
          </w:p>
        </w:tc>
        <w:tc>
          <w:tcPr>
            <w:tcW w:w="100" w:type="dxa"/>
            <w:shd w:val="clear" w:color="auto" w:fill="CCEEFF"/>
            <w:vAlign w:val="bottom"/>
          </w:tcPr>
          <w:p w14:paraId="11A3C67F" w14:textId="77777777" w:rsidR="00D1587D" w:rsidRDefault="00D1587D">
            <w:pPr>
              <w:rPr>
                <w:sz w:val="4"/>
                <w:szCs w:val="4"/>
              </w:rPr>
            </w:pPr>
          </w:p>
        </w:tc>
        <w:tc>
          <w:tcPr>
            <w:tcW w:w="2020" w:type="dxa"/>
            <w:shd w:val="clear" w:color="auto" w:fill="CCEEFF"/>
            <w:vAlign w:val="bottom"/>
          </w:tcPr>
          <w:p w14:paraId="5302BFA4" w14:textId="77777777" w:rsidR="00D1587D" w:rsidRDefault="00D1587D">
            <w:pPr>
              <w:rPr>
                <w:sz w:val="4"/>
                <w:szCs w:val="4"/>
              </w:rPr>
            </w:pPr>
          </w:p>
        </w:tc>
      </w:tr>
    </w:tbl>
    <w:p w14:paraId="3C253E00" w14:textId="77777777" w:rsidR="00D1587D" w:rsidRDefault="00410D07">
      <w:pPr>
        <w:spacing w:line="20" w:lineRule="exact"/>
        <w:rPr>
          <w:sz w:val="20"/>
          <w:szCs w:val="20"/>
        </w:rPr>
      </w:pPr>
      <w:r>
        <w:rPr>
          <w:noProof/>
          <w:sz w:val="20"/>
          <w:szCs w:val="20"/>
        </w:rPr>
        <w:drawing>
          <wp:anchor distT="0" distB="0" distL="114300" distR="114300" simplePos="0" relativeHeight="251837440" behindDoc="1" locked="0" layoutInCell="0" allowOverlap="1" wp14:anchorId="3D752618" wp14:editId="52432FEC">
            <wp:simplePos x="0" y="0"/>
            <wp:positionH relativeFrom="column">
              <wp:posOffset>4197350</wp:posOffset>
            </wp:positionH>
            <wp:positionV relativeFrom="paragraph">
              <wp:posOffset>-222250</wp:posOffset>
            </wp:positionV>
            <wp:extent cx="51435" cy="8255"/>
            <wp:effectExtent l="0" t="0" r="0" b="0"/>
            <wp:wrapNone/>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38464" behindDoc="1" locked="0" layoutInCell="0" allowOverlap="1" wp14:anchorId="76925C54" wp14:editId="67ECFC6C">
            <wp:simplePos x="0" y="0"/>
            <wp:positionH relativeFrom="column">
              <wp:posOffset>2842895</wp:posOffset>
            </wp:positionH>
            <wp:positionV relativeFrom="paragraph">
              <wp:posOffset>-222250</wp:posOffset>
            </wp:positionV>
            <wp:extent cx="68580" cy="8255"/>
            <wp:effectExtent l="0" t="0" r="0" b="0"/>
            <wp:wrapNone/>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839488" behindDoc="1" locked="0" layoutInCell="0" allowOverlap="1" wp14:anchorId="099CA975" wp14:editId="5A1DA865">
            <wp:simplePos x="0" y="0"/>
            <wp:positionH relativeFrom="column">
              <wp:posOffset>1479550</wp:posOffset>
            </wp:positionH>
            <wp:positionV relativeFrom="paragraph">
              <wp:posOffset>-222250</wp:posOffset>
            </wp:positionV>
            <wp:extent cx="68580" cy="8255"/>
            <wp:effectExtent l="0" t="0" r="0" b="0"/>
            <wp:wrapNone/>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840512" behindDoc="1" locked="0" layoutInCell="0" allowOverlap="1" wp14:anchorId="3ED2220D" wp14:editId="1E713420">
            <wp:simplePos x="0" y="0"/>
            <wp:positionH relativeFrom="column">
              <wp:posOffset>185420</wp:posOffset>
            </wp:positionH>
            <wp:positionV relativeFrom="paragraph">
              <wp:posOffset>146050</wp:posOffset>
            </wp:positionV>
            <wp:extent cx="822960" cy="8255"/>
            <wp:effectExtent l="0" t="0" r="0" b="0"/>
            <wp:wrapNone/>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7BC84F47" w14:textId="77777777" w:rsidR="00D1587D" w:rsidRDefault="00D1587D">
      <w:pPr>
        <w:spacing w:line="258" w:lineRule="exact"/>
        <w:rPr>
          <w:sz w:val="20"/>
          <w:szCs w:val="20"/>
        </w:rPr>
      </w:pPr>
    </w:p>
    <w:p w14:paraId="4E96495C" w14:textId="77777777" w:rsidR="00D1587D" w:rsidRDefault="00410D07" w:rsidP="00410D07">
      <w:pPr>
        <w:numPr>
          <w:ilvl w:val="0"/>
          <w:numId w:val="316"/>
        </w:numPr>
        <w:tabs>
          <w:tab w:val="left" w:pos="640"/>
        </w:tabs>
        <w:spacing w:line="253" w:lineRule="auto"/>
        <w:ind w:left="640" w:right="419" w:hanging="348"/>
        <w:rPr>
          <w:rFonts w:ascii="Arial" w:eastAsia="Arial" w:hAnsi="Arial" w:cs="Arial"/>
          <w:sz w:val="14"/>
          <w:szCs w:val="14"/>
        </w:rPr>
      </w:pPr>
      <w:r>
        <w:rPr>
          <w:rFonts w:ascii="Arial" w:eastAsia="Arial" w:hAnsi="Arial" w:cs="Arial"/>
          <w:sz w:val="14"/>
          <w:szCs w:val="14"/>
        </w:rPr>
        <w:t xml:space="preserve">The range of performance goals for Bath &amp; Body Works as a percent of target for threshold and maximum payout were as follows: Spring -87% and 107%, respectively; and Fall -89% and 111%, </w:t>
      </w:r>
      <w:r>
        <w:rPr>
          <w:rFonts w:ascii="Arial" w:eastAsia="Arial" w:hAnsi="Arial" w:cs="Arial"/>
          <w:sz w:val="14"/>
          <w:szCs w:val="14"/>
        </w:rPr>
        <w:t>respectively.</w:t>
      </w:r>
    </w:p>
    <w:p w14:paraId="76891DEB" w14:textId="77777777" w:rsidR="00D1587D" w:rsidRDefault="00D1587D">
      <w:pPr>
        <w:spacing w:line="70" w:lineRule="exact"/>
        <w:rPr>
          <w:sz w:val="20"/>
          <w:szCs w:val="20"/>
        </w:rPr>
      </w:pPr>
    </w:p>
    <w:p w14:paraId="054DB5DD" w14:textId="77777777" w:rsidR="00D1587D" w:rsidRDefault="00410D07">
      <w:pPr>
        <w:spacing w:line="308" w:lineRule="auto"/>
        <w:ind w:left="300" w:right="939" w:firstLine="360"/>
        <w:rPr>
          <w:sz w:val="20"/>
          <w:szCs w:val="20"/>
        </w:rPr>
      </w:pPr>
      <w:r>
        <w:rPr>
          <w:rFonts w:ascii="Arial" w:eastAsia="Arial" w:hAnsi="Arial" w:cs="Arial"/>
          <w:sz w:val="17"/>
          <w:szCs w:val="17"/>
        </w:rPr>
        <w:t>Performance between threshold and target and target and maximum is interpolated to determine payout percentage beginning at 20% for threshold performance up to 200% at maximum performance.</w:t>
      </w:r>
    </w:p>
    <w:p w14:paraId="11468B92" w14:textId="77777777" w:rsidR="00D1587D" w:rsidRDefault="00D1587D">
      <w:pPr>
        <w:spacing w:line="38" w:lineRule="exact"/>
        <w:rPr>
          <w:sz w:val="20"/>
          <w:szCs w:val="20"/>
        </w:rPr>
      </w:pPr>
    </w:p>
    <w:p w14:paraId="5A6520ED" w14:textId="77777777" w:rsidR="00D1587D" w:rsidRDefault="00410D07">
      <w:pPr>
        <w:spacing w:line="263" w:lineRule="auto"/>
        <w:ind w:left="300" w:right="399" w:firstLine="360"/>
        <w:jc w:val="both"/>
        <w:rPr>
          <w:sz w:val="20"/>
          <w:szCs w:val="20"/>
        </w:rPr>
      </w:pPr>
      <w:r>
        <w:rPr>
          <w:rFonts w:ascii="Arial" w:eastAsia="Arial" w:hAnsi="Arial" w:cs="Arial"/>
          <w:sz w:val="18"/>
          <w:szCs w:val="18"/>
        </w:rPr>
        <w:t xml:space="preserve">Short-term performance-based cash </w:t>
      </w:r>
      <w:r>
        <w:rPr>
          <w:rFonts w:ascii="Arial" w:eastAsia="Arial" w:hAnsi="Arial" w:cs="Arial"/>
          <w:sz w:val="18"/>
          <w:szCs w:val="18"/>
        </w:rPr>
        <w:t>incentive compensation targets are set as a percentage of base salary with the amount earned ranging from zero to double the target incentive, based on the extent to which financial goals are achieved or exceeded.</w:t>
      </w:r>
    </w:p>
    <w:p w14:paraId="74AD0979" w14:textId="77777777" w:rsidR="00D1587D" w:rsidRDefault="00D1587D">
      <w:pPr>
        <w:spacing w:line="76" w:lineRule="exact"/>
        <w:rPr>
          <w:sz w:val="20"/>
          <w:szCs w:val="20"/>
        </w:rPr>
      </w:pPr>
    </w:p>
    <w:p w14:paraId="2D515DF2" w14:textId="77777777" w:rsidR="00D1587D" w:rsidRDefault="00410D07">
      <w:pPr>
        <w:spacing w:line="259" w:lineRule="auto"/>
        <w:ind w:left="300" w:right="379" w:firstLine="360"/>
        <w:rPr>
          <w:sz w:val="20"/>
          <w:szCs w:val="20"/>
        </w:rPr>
      </w:pPr>
      <w:r>
        <w:rPr>
          <w:rFonts w:ascii="Arial" w:eastAsia="Arial" w:hAnsi="Arial" w:cs="Arial"/>
          <w:sz w:val="18"/>
          <w:szCs w:val="18"/>
        </w:rPr>
        <w:t>Payouts for fiscal 2020 performance are s</w:t>
      </w:r>
      <w:r>
        <w:rPr>
          <w:rFonts w:ascii="Arial" w:eastAsia="Arial" w:hAnsi="Arial" w:cs="Arial"/>
          <w:sz w:val="18"/>
          <w:szCs w:val="18"/>
        </w:rPr>
        <w:t xml:space="preserve">et forth below and in the “Non-Equity Incentive Plan Compensation” column of the 2020 Summary Compensation Table below. Both Spring and Fall payouts reflect the actual, quantitative results originally set at the beginning of each season without adjustment </w:t>
      </w:r>
      <w:r>
        <w:rPr>
          <w:rFonts w:ascii="Arial" w:eastAsia="Arial" w:hAnsi="Arial" w:cs="Arial"/>
          <w:sz w:val="18"/>
          <w:szCs w:val="18"/>
        </w:rPr>
        <w:t>for the impact of the COVID-19 crisis on results.</w:t>
      </w:r>
    </w:p>
    <w:p w14:paraId="258DD17A" w14:textId="77777777" w:rsidR="00D1587D" w:rsidRDefault="00D1587D">
      <w:pPr>
        <w:spacing w:line="304" w:lineRule="exact"/>
        <w:rPr>
          <w:sz w:val="20"/>
          <w:szCs w:val="20"/>
        </w:rPr>
      </w:pPr>
    </w:p>
    <w:p w14:paraId="4CA9F083" w14:textId="77777777" w:rsidR="00D1587D" w:rsidRDefault="00410D07">
      <w:pPr>
        <w:jc w:val="center"/>
        <w:rPr>
          <w:sz w:val="20"/>
          <w:szCs w:val="20"/>
        </w:rPr>
      </w:pPr>
      <w:r>
        <w:rPr>
          <w:rFonts w:ascii="Arial" w:eastAsia="Arial" w:hAnsi="Arial" w:cs="Arial"/>
          <w:b/>
          <w:bCs/>
          <w:sz w:val="18"/>
          <w:szCs w:val="18"/>
        </w:rPr>
        <w:t>Total Fiscal 2020 Incentive Payout</w:t>
      </w:r>
    </w:p>
    <w:p w14:paraId="2E7CBE76" w14:textId="77777777" w:rsidR="00D1587D" w:rsidRDefault="00D1587D">
      <w:pPr>
        <w:spacing w:line="168"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320"/>
        <w:gridCol w:w="1160"/>
        <w:gridCol w:w="140"/>
        <w:gridCol w:w="1180"/>
        <w:gridCol w:w="140"/>
        <w:gridCol w:w="1060"/>
        <w:gridCol w:w="140"/>
        <w:gridCol w:w="1080"/>
        <w:gridCol w:w="120"/>
        <w:gridCol w:w="1080"/>
      </w:tblGrid>
      <w:tr w:rsidR="00D1587D" w14:paraId="6622F025" w14:textId="77777777">
        <w:trPr>
          <w:trHeight w:val="161"/>
        </w:trPr>
        <w:tc>
          <w:tcPr>
            <w:tcW w:w="2320" w:type="dxa"/>
            <w:vAlign w:val="bottom"/>
          </w:tcPr>
          <w:p w14:paraId="02A38BCA" w14:textId="77777777" w:rsidR="00D1587D" w:rsidRDefault="00D1587D">
            <w:pPr>
              <w:rPr>
                <w:sz w:val="14"/>
                <w:szCs w:val="14"/>
              </w:rPr>
            </w:pPr>
          </w:p>
        </w:tc>
        <w:tc>
          <w:tcPr>
            <w:tcW w:w="1300" w:type="dxa"/>
            <w:gridSpan w:val="2"/>
            <w:vAlign w:val="bottom"/>
          </w:tcPr>
          <w:p w14:paraId="57366C78" w14:textId="77777777" w:rsidR="00D1587D" w:rsidRDefault="00410D07">
            <w:pPr>
              <w:ind w:right="160"/>
              <w:jc w:val="center"/>
              <w:rPr>
                <w:sz w:val="20"/>
                <w:szCs w:val="20"/>
              </w:rPr>
            </w:pPr>
            <w:r>
              <w:rPr>
                <w:rFonts w:ascii="Arial" w:eastAsia="Arial" w:hAnsi="Arial" w:cs="Arial"/>
                <w:b/>
                <w:bCs/>
                <w:w w:val="93"/>
                <w:sz w:val="14"/>
                <w:szCs w:val="14"/>
              </w:rPr>
              <w:t>Fiscal 2020 Target</w:t>
            </w:r>
          </w:p>
        </w:tc>
        <w:tc>
          <w:tcPr>
            <w:tcW w:w="1320" w:type="dxa"/>
            <w:gridSpan w:val="2"/>
            <w:vAlign w:val="bottom"/>
          </w:tcPr>
          <w:p w14:paraId="5DEC1841" w14:textId="77777777" w:rsidR="00D1587D" w:rsidRDefault="00410D07">
            <w:pPr>
              <w:ind w:right="180"/>
              <w:jc w:val="center"/>
              <w:rPr>
                <w:sz w:val="20"/>
                <w:szCs w:val="20"/>
              </w:rPr>
            </w:pPr>
            <w:r>
              <w:rPr>
                <w:rFonts w:ascii="Arial" w:eastAsia="Arial" w:hAnsi="Arial" w:cs="Arial"/>
                <w:b/>
                <w:bCs/>
                <w:w w:val="92"/>
                <w:sz w:val="14"/>
                <w:szCs w:val="14"/>
              </w:rPr>
              <w:t>Fiscal 2020 Spring</w:t>
            </w:r>
          </w:p>
        </w:tc>
        <w:tc>
          <w:tcPr>
            <w:tcW w:w="1200" w:type="dxa"/>
            <w:gridSpan w:val="2"/>
            <w:vAlign w:val="bottom"/>
          </w:tcPr>
          <w:p w14:paraId="456B4C3B" w14:textId="77777777" w:rsidR="00D1587D" w:rsidRDefault="00410D07">
            <w:pPr>
              <w:ind w:right="200"/>
              <w:jc w:val="center"/>
              <w:rPr>
                <w:sz w:val="20"/>
                <w:szCs w:val="20"/>
              </w:rPr>
            </w:pPr>
            <w:r>
              <w:rPr>
                <w:rFonts w:ascii="Arial" w:eastAsia="Arial" w:hAnsi="Arial" w:cs="Arial"/>
                <w:b/>
                <w:bCs/>
                <w:w w:val="93"/>
                <w:sz w:val="14"/>
                <w:szCs w:val="14"/>
              </w:rPr>
              <w:t>Fiscal 2020 Fall</w:t>
            </w:r>
          </w:p>
        </w:tc>
        <w:tc>
          <w:tcPr>
            <w:tcW w:w="1200" w:type="dxa"/>
            <w:gridSpan w:val="2"/>
            <w:vAlign w:val="bottom"/>
          </w:tcPr>
          <w:p w14:paraId="40584C60" w14:textId="77777777" w:rsidR="00D1587D" w:rsidRDefault="00410D07">
            <w:pPr>
              <w:ind w:right="160"/>
              <w:jc w:val="center"/>
              <w:rPr>
                <w:sz w:val="20"/>
                <w:szCs w:val="20"/>
              </w:rPr>
            </w:pPr>
            <w:r>
              <w:rPr>
                <w:rFonts w:ascii="Arial" w:eastAsia="Arial" w:hAnsi="Arial" w:cs="Arial"/>
                <w:b/>
                <w:bCs/>
                <w:w w:val="92"/>
                <w:sz w:val="14"/>
                <w:szCs w:val="14"/>
              </w:rPr>
              <w:t>Total Fiscal 2020</w:t>
            </w:r>
          </w:p>
        </w:tc>
        <w:tc>
          <w:tcPr>
            <w:tcW w:w="1080" w:type="dxa"/>
            <w:vAlign w:val="bottom"/>
          </w:tcPr>
          <w:p w14:paraId="1676C9A8" w14:textId="77777777" w:rsidR="00D1587D" w:rsidRDefault="00410D07">
            <w:pPr>
              <w:jc w:val="right"/>
              <w:rPr>
                <w:sz w:val="20"/>
                <w:szCs w:val="20"/>
              </w:rPr>
            </w:pPr>
            <w:r>
              <w:rPr>
                <w:rFonts w:ascii="Arial" w:eastAsia="Arial" w:hAnsi="Arial" w:cs="Arial"/>
                <w:b/>
                <w:bCs/>
                <w:w w:val="90"/>
                <w:sz w:val="14"/>
                <w:szCs w:val="14"/>
              </w:rPr>
              <w:t>Percent of Fiscal</w:t>
            </w:r>
          </w:p>
        </w:tc>
      </w:tr>
      <w:tr w:rsidR="00D1587D" w14:paraId="35520A27" w14:textId="77777777">
        <w:trPr>
          <w:trHeight w:val="148"/>
        </w:trPr>
        <w:tc>
          <w:tcPr>
            <w:tcW w:w="2320" w:type="dxa"/>
            <w:vAlign w:val="bottom"/>
          </w:tcPr>
          <w:p w14:paraId="6563AB88" w14:textId="77777777" w:rsidR="00D1587D" w:rsidRDefault="00D1587D">
            <w:pPr>
              <w:rPr>
                <w:sz w:val="12"/>
                <w:szCs w:val="12"/>
              </w:rPr>
            </w:pPr>
          </w:p>
        </w:tc>
        <w:tc>
          <w:tcPr>
            <w:tcW w:w="1300" w:type="dxa"/>
            <w:gridSpan w:val="2"/>
            <w:vAlign w:val="bottom"/>
          </w:tcPr>
          <w:p w14:paraId="3BB8766B" w14:textId="77777777" w:rsidR="00D1587D" w:rsidRDefault="00410D07">
            <w:pPr>
              <w:spacing w:line="149" w:lineRule="exact"/>
              <w:ind w:right="160"/>
              <w:jc w:val="center"/>
              <w:rPr>
                <w:sz w:val="20"/>
                <w:szCs w:val="20"/>
              </w:rPr>
            </w:pPr>
            <w:r>
              <w:rPr>
                <w:rFonts w:ascii="Arial" w:eastAsia="Arial" w:hAnsi="Arial" w:cs="Arial"/>
                <w:b/>
                <w:bCs/>
                <w:w w:val="95"/>
                <w:sz w:val="14"/>
                <w:szCs w:val="14"/>
              </w:rPr>
              <w:t>Incentive</w:t>
            </w:r>
          </w:p>
        </w:tc>
        <w:tc>
          <w:tcPr>
            <w:tcW w:w="1320" w:type="dxa"/>
            <w:gridSpan w:val="2"/>
            <w:vAlign w:val="bottom"/>
          </w:tcPr>
          <w:p w14:paraId="2EA3C3EF" w14:textId="77777777" w:rsidR="00D1587D" w:rsidRDefault="00410D07">
            <w:pPr>
              <w:spacing w:line="149" w:lineRule="exact"/>
              <w:ind w:right="160"/>
              <w:jc w:val="center"/>
              <w:rPr>
                <w:sz w:val="20"/>
                <w:szCs w:val="20"/>
              </w:rPr>
            </w:pPr>
            <w:r>
              <w:rPr>
                <w:rFonts w:ascii="Arial" w:eastAsia="Arial" w:hAnsi="Arial" w:cs="Arial"/>
                <w:b/>
                <w:bCs/>
                <w:w w:val="93"/>
                <w:sz w:val="14"/>
                <w:szCs w:val="14"/>
              </w:rPr>
              <w:t>Incentive Payout</w:t>
            </w:r>
          </w:p>
        </w:tc>
        <w:tc>
          <w:tcPr>
            <w:tcW w:w="1200" w:type="dxa"/>
            <w:gridSpan w:val="2"/>
            <w:vAlign w:val="bottom"/>
          </w:tcPr>
          <w:p w14:paraId="5BA0723A" w14:textId="77777777" w:rsidR="00D1587D" w:rsidRDefault="00410D07">
            <w:pPr>
              <w:spacing w:line="149" w:lineRule="exact"/>
              <w:ind w:right="160"/>
              <w:jc w:val="center"/>
              <w:rPr>
                <w:sz w:val="20"/>
                <w:szCs w:val="20"/>
              </w:rPr>
            </w:pPr>
            <w:r>
              <w:rPr>
                <w:rFonts w:ascii="Arial" w:eastAsia="Arial" w:hAnsi="Arial" w:cs="Arial"/>
                <w:b/>
                <w:bCs/>
                <w:w w:val="93"/>
                <w:sz w:val="14"/>
                <w:szCs w:val="14"/>
              </w:rPr>
              <w:t>Incentive Payout</w:t>
            </w:r>
          </w:p>
        </w:tc>
        <w:tc>
          <w:tcPr>
            <w:tcW w:w="1200" w:type="dxa"/>
            <w:gridSpan w:val="2"/>
            <w:vAlign w:val="bottom"/>
          </w:tcPr>
          <w:p w14:paraId="354B0312" w14:textId="77777777" w:rsidR="00D1587D" w:rsidRDefault="00410D07">
            <w:pPr>
              <w:spacing w:line="149" w:lineRule="exact"/>
              <w:ind w:right="160"/>
              <w:jc w:val="center"/>
              <w:rPr>
                <w:sz w:val="20"/>
                <w:szCs w:val="20"/>
              </w:rPr>
            </w:pPr>
            <w:r>
              <w:rPr>
                <w:rFonts w:ascii="Arial" w:eastAsia="Arial" w:hAnsi="Arial" w:cs="Arial"/>
                <w:b/>
                <w:bCs/>
                <w:w w:val="94"/>
                <w:sz w:val="14"/>
                <w:szCs w:val="14"/>
              </w:rPr>
              <w:t>Payout</w:t>
            </w:r>
          </w:p>
        </w:tc>
        <w:tc>
          <w:tcPr>
            <w:tcW w:w="1080" w:type="dxa"/>
            <w:vAlign w:val="bottom"/>
          </w:tcPr>
          <w:p w14:paraId="19C1A7E0" w14:textId="77777777" w:rsidR="00D1587D" w:rsidRDefault="00410D07">
            <w:pPr>
              <w:spacing w:line="149" w:lineRule="exact"/>
              <w:ind w:right="117"/>
              <w:jc w:val="right"/>
              <w:rPr>
                <w:sz w:val="20"/>
                <w:szCs w:val="20"/>
              </w:rPr>
            </w:pPr>
            <w:r>
              <w:rPr>
                <w:rFonts w:ascii="Arial" w:eastAsia="Arial" w:hAnsi="Arial" w:cs="Arial"/>
                <w:b/>
                <w:bCs/>
                <w:sz w:val="14"/>
                <w:szCs w:val="14"/>
              </w:rPr>
              <w:t>2020 Target</w:t>
            </w:r>
          </w:p>
        </w:tc>
      </w:tr>
      <w:tr w:rsidR="00D1587D" w14:paraId="1F804A39" w14:textId="77777777">
        <w:trPr>
          <w:trHeight w:val="186"/>
        </w:trPr>
        <w:tc>
          <w:tcPr>
            <w:tcW w:w="2320" w:type="dxa"/>
            <w:vAlign w:val="bottom"/>
          </w:tcPr>
          <w:p w14:paraId="275C427A" w14:textId="77777777" w:rsidR="00D1587D" w:rsidRDefault="00D1587D">
            <w:pPr>
              <w:rPr>
                <w:sz w:val="16"/>
                <w:szCs w:val="16"/>
              </w:rPr>
            </w:pPr>
          </w:p>
        </w:tc>
        <w:tc>
          <w:tcPr>
            <w:tcW w:w="1160" w:type="dxa"/>
            <w:vAlign w:val="bottom"/>
          </w:tcPr>
          <w:p w14:paraId="196F00AA" w14:textId="77777777" w:rsidR="00D1587D" w:rsidRDefault="00410D07">
            <w:pPr>
              <w:jc w:val="center"/>
              <w:rPr>
                <w:sz w:val="20"/>
                <w:szCs w:val="20"/>
              </w:rPr>
            </w:pPr>
            <w:r>
              <w:rPr>
                <w:rFonts w:ascii="Arial" w:eastAsia="Arial" w:hAnsi="Arial" w:cs="Arial"/>
                <w:b/>
                <w:bCs/>
                <w:sz w:val="14"/>
                <w:szCs w:val="14"/>
              </w:rPr>
              <w:t>($)</w:t>
            </w:r>
          </w:p>
        </w:tc>
        <w:tc>
          <w:tcPr>
            <w:tcW w:w="140" w:type="dxa"/>
            <w:vAlign w:val="bottom"/>
          </w:tcPr>
          <w:p w14:paraId="52793207" w14:textId="77777777" w:rsidR="00D1587D" w:rsidRDefault="00D1587D">
            <w:pPr>
              <w:rPr>
                <w:sz w:val="16"/>
                <w:szCs w:val="16"/>
              </w:rPr>
            </w:pPr>
          </w:p>
        </w:tc>
        <w:tc>
          <w:tcPr>
            <w:tcW w:w="1180" w:type="dxa"/>
            <w:vAlign w:val="bottom"/>
          </w:tcPr>
          <w:p w14:paraId="0E812032" w14:textId="77777777" w:rsidR="00D1587D" w:rsidRDefault="00410D07">
            <w:pPr>
              <w:jc w:val="center"/>
              <w:rPr>
                <w:sz w:val="20"/>
                <w:szCs w:val="20"/>
              </w:rPr>
            </w:pPr>
            <w:r>
              <w:rPr>
                <w:rFonts w:ascii="Arial" w:eastAsia="Arial" w:hAnsi="Arial" w:cs="Arial"/>
                <w:b/>
                <w:bCs/>
                <w:sz w:val="14"/>
                <w:szCs w:val="14"/>
              </w:rPr>
              <w:t>($)</w:t>
            </w:r>
          </w:p>
        </w:tc>
        <w:tc>
          <w:tcPr>
            <w:tcW w:w="140" w:type="dxa"/>
            <w:vAlign w:val="bottom"/>
          </w:tcPr>
          <w:p w14:paraId="0ABCD5FD" w14:textId="77777777" w:rsidR="00D1587D" w:rsidRDefault="00D1587D">
            <w:pPr>
              <w:rPr>
                <w:sz w:val="16"/>
                <w:szCs w:val="16"/>
              </w:rPr>
            </w:pPr>
          </w:p>
        </w:tc>
        <w:tc>
          <w:tcPr>
            <w:tcW w:w="1060" w:type="dxa"/>
            <w:vAlign w:val="bottom"/>
          </w:tcPr>
          <w:p w14:paraId="096A0AC1" w14:textId="77777777" w:rsidR="00D1587D" w:rsidRDefault="00410D07">
            <w:pPr>
              <w:jc w:val="center"/>
              <w:rPr>
                <w:sz w:val="20"/>
                <w:szCs w:val="20"/>
              </w:rPr>
            </w:pPr>
            <w:r>
              <w:rPr>
                <w:rFonts w:ascii="Arial" w:eastAsia="Arial" w:hAnsi="Arial" w:cs="Arial"/>
                <w:b/>
                <w:bCs/>
                <w:sz w:val="14"/>
                <w:szCs w:val="14"/>
              </w:rPr>
              <w:t>($)</w:t>
            </w:r>
          </w:p>
        </w:tc>
        <w:tc>
          <w:tcPr>
            <w:tcW w:w="140" w:type="dxa"/>
            <w:vAlign w:val="bottom"/>
          </w:tcPr>
          <w:p w14:paraId="442B384C" w14:textId="77777777" w:rsidR="00D1587D" w:rsidRDefault="00D1587D">
            <w:pPr>
              <w:rPr>
                <w:sz w:val="16"/>
                <w:szCs w:val="16"/>
              </w:rPr>
            </w:pPr>
          </w:p>
        </w:tc>
        <w:tc>
          <w:tcPr>
            <w:tcW w:w="1080" w:type="dxa"/>
            <w:vAlign w:val="bottom"/>
          </w:tcPr>
          <w:p w14:paraId="491B9F90" w14:textId="77777777" w:rsidR="00D1587D" w:rsidRDefault="00410D07">
            <w:pPr>
              <w:jc w:val="center"/>
              <w:rPr>
                <w:sz w:val="20"/>
                <w:szCs w:val="20"/>
              </w:rPr>
            </w:pPr>
            <w:r>
              <w:rPr>
                <w:rFonts w:ascii="Arial" w:eastAsia="Arial" w:hAnsi="Arial" w:cs="Arial"/>
                <w:b/>
                <w:bCs/>
                <w:w w:val="93"/>
                <w:sz w:val="14"/>
                <w:szCs w:val="14"/>
              </w:rPr>
              <w:t>($)</w:t>
            </w:r>
          </w:p>
        </w:tc>
        <w:tc>
          <w:tcPr>
            <w:tcW w:w="120" w:type="dxa"/>
            <w:vAlign w:val="bottom"/>
          </w:tcPr>
          <w:p w14:paraId="43C53CFE" w14:textId="77777777" w:rsidR="00D1587D" w:rsidRDefault="00D1587D">
            <w:pPr>
              <w:rPr>
                <w:sz w:val="16"/>
                <w:szCs w:val="16"/>
              </w:rPr>
            </w:pPr>
          </w:p>
        </w:tc>
        <w:tc>
          <w:tcPr>
            <w:tcW w:w="1080" w:type="dxa"/>
            <w:vAlign w:val="bottom"/>
          </w:tcPr>
          <w:p w14:paraId="00C1A269" w14:textId="77777777" w:rsidR="00D1587D" w:rsidRDefault="00410D07">
            <w:pPr>
              <w:ind w:right="337"/>
              <w:jc w:val="right"/>
              <w:rPr>
                <w:sz w:val="20"/>
                <w:szCs w:val="20"/>
              </w:rPr>
            </w:pPr>
            <w:r>
              <w:rPr>
                <w:rFonts w:ascii="Arial" w:eastAsia="Arial" w:hAnsi="Arial" w:cs="Arial"/>
                <w:b/>
                <w:bCs/>
                <w:sz w:val="14"/>
                <w:szCs w:val="14"/>
              </w:rPr>
              <w:t>(%)</w:t>
            </w:r>
          </w:p>
        </w:tc>
      </w:tr>
      <w:tr w:rsidR="00D1587D" w14:paraId="5A202362" w14:textId="77777777">
        <w:trPr>
          <w:trHeight w:val="53"/>
        </w:trPr>
        <w:tc>
          <w:tcPr>
            <w:tcW w:w="2320" w:type="dxa"/>
            <w:tcBorders>
              <w:bottom w:val="single" w:sz="8" w:space="0" w:color="CCEEFF"/>
            </w:tcBorders>
            <w:vAlign w:val="bottom"/>
          </w:tcPr>
          <w:p w14:paraId="17AC2967" w14:textId="77777777" w:rsidR="00D1587D" w:rsidRDefault="00D1587D">
            <w:pPr>
              <w:rPr>
                <w:sz w:val="4"/>
                <w:szCs w:val="4"/>
              </w:rPr>
            </w:pPr>
          </w:p>
        </w:tc>
        <w:tc>
          <w:tcPr>
            <w:tcW w:w="1160" w:type="dxa"/>
            <w:tcBorders>
              <w:bottom w:val="single" w:sz="8" w:space="0" w:color="auto"/>
            </w:tcBorders>
            <w:vAlign w:val="bottom"/>
          </w:tcPr>
          <w:p w14:paraId="42BD1857" w14:textId="77777777" w:rsidR="00D1587D" w:rsidRDefault="00D1587D">
            <w:pPr>
              <w:rPr>
                <w:sz w:val="4"/>
                <w:szCs w:val="4"/>
              </w:rPr>
            </w:pPr>
          </w:p>
        </w:tc>
        <w:tc>
          <w:tcPr>
            <w:tcW w:w="140" w:type="dxa"/>
            <w:tcBorders>
              <w:bottom w:val="single" w:sz="8" w:space="0" w:color="CCEEFF"/>
            </w:tcBorders>
            <w:vAlign w:val="bottom"/>
          </w:tcPr>
          <w:p w14:paraId="6B5BA179" w14:textId="77777777" w:rsidR="00D1587D" w:rsidRDefault="00D1587D">
            <w:pPr>
              <w:rPr>
                <w:sz w:val="4"/>
                <w:szCs w:val="4"/>
              </w:rPr>
            </w:pPr>
          </w:p>
        </w:tc>
        <w:tc>
          <w:tcPr>
            <w:tcW w:w="1180" w:type="dxa"/>
            <w:tcBorders>
              <w:bottom w:val="single" w:sz="8" w:space="0" w:color="auto"/>
            </w:tcBorders>
            <w:vAlign w:val="bottom"/>
          </w:tcPr>
          <w:p w14:paraId="354E9BA4" w14:textId="77777777" w:rsidR="00D1587D" w:rsidRDefault="00D1587D">
            <w:pPr>
              <w:rPr>
                <w:sz w:val="4"/>
                <w:szCs w:val="4"/>
              </w:rPr>
            </w:pPr>
          </w:p>
        </w:tc>
        <w:tc>
          <w:tcPr>
            <w:tcW w:w="140" w:type="dxa"/>
            <w:tcBorders>
              <w:bottom w:val="single" w:sz="8" w:space="0" w:color="CCEEFF"/>
            </w:tcBorders>
            <w:vAlign w:val="bottom"/>
          </w:tcPr>
          <w:p w14:paraId="23B59FA6" w14:textId="77777777" w:rsidR="00D1587D" w:rsidRDefault="00D1587D">
            <w:pPr>
              <w:rPr>
                <w:sz w:val="4"/>
                <w:szCs w:val="4"/>
              </w:rPr>
            </w:pPr>
          </w:p>
        </w:tc>
        <w:tc>
          <w:tcPr>
            <w:tcW w:w="1060" w:type="dxa"/>
            <w:tcBorders>
              <w:bottom w:val="single" w:sz="8" w:space="0" w:color="auto"/>
            </w:tcBorders>
            <w:vAlign w:val="bottom"/>
          </w:tcPr>
          <w:p w14:paraId="09BA5835" w14:textId="77777777" w:rsidR="00D1587D" w:rsidRDefault="00D1587D">
            <w:pPr>
              <w:rPr>
                <w:sz w:val="4"/>
                <w:szCs w:val="4"/>
              </w:rPr>
            </w:pPr>
          </w:p>
        </w:tc>
        <w:tc>
          <w:tcPr>
            <w:tcW w:w="140" w:type="dxa"/>
            <w:tcBorders>
              <w:bottom w:val="single" w:sz="8" w:space="0" w:color="CCEEFF"/>
            </w:tcBorders>
            <w:vAlign w:val="bottom"/>
          </w:tcPr>
          <w:p w14:paraId="4CD6A5DF" w14:textId="77777777" w:rsidR="00D1587D" w:rsidRDefault="00D1587D">
            <w:pPr>
              <w:rPr>
                <w:sz w:val="4"/>
                <w:szCs w:val="4"/>
              </w:rPr>
            </w:pPr>
          </w:p>
        </w:tc>
        <w:tc>
          <w:tcPr>
            <w:tcW w:w="1080" w:type="dxa"/>
            <w:tcBorders>
              <w:bottom w:val="single" w:sz="8" w:space="0" w:color="auto"/>
            </w:tcBorders>
            <w:vAlign w:val="bottom"/>
          </w:tcPr>
          <w:p w14:paraId="61A633D3" w14:textId="77777777" w:rsidR="00D1587D" w:rsidRDefault="00D1587D">
            <w:pPr>
              <w:rPr>
                <w:sz w:val="4"/>
                <w:szCs w:val="4"/>
              </w:rPr>
            </w:pPr>
          </w:p>
        </w:tc>
        <w:tc>
          <w:tcPr>
            <w:tcW w:w="120" w:type="dxa"/>
            <w:tcBorders>
              <w:bottom w:val="single" w:sz="8" w:space="0" w:color="CCEEFF"/>
            </w:tcBorders>
            <w:vAlign w:val="bottom"/>
          </w:tcPr>
          <w:p w14:paraId="401F215C" w14:textId="77777777" w:rsidR="00D1587D" w:rsidRDefault="00D1587D">
            <w:pPr>
              <w:rPr>
                <w:sz w:val="4"/>
                <w:szCs w:val="4"/>
              </w:rPr>
            </w:pPr>
          </w:p>
        </w:tc>
        <w:tc>
          <w:tcPr>
            <w:tcW w:w="1080" w:type="dxa"/>
            <w:tcBorders>
              <w:bottom w:val="single" w:sz="8" w:space="0" w:color="auto"/>
            </w:tcBorders>
            <w:vAlign w:val="bottom"/>
          </w:tcPr>
          <w:p w14:paraId="054F9BFE" w14:textId="77777777" w:rsidR="00D1587D" w:rsidRDefault="00D1587D">
            <w:pPr>
              <w:rPr>
                <w:sz w:val="4"/>
                <w:szCs w:val="4"/>
              </w:rPr>
            </w:pPr>
          </w:p>
        </w:tc>
      </w:tr>
      <w:tr w:rsidR="00D1587D" w14:paraId="317F8A33" w14:textId="77777777">
        <w:trPr>
          <w:trHeight w:val="331"/>
        </w:trPr>
        <w:tc>
          <w:tcPr>
            <w:tcW w:w="2320" w:type="dxa"/>
            <w:shd w:val="clear" w:color="auto" w:fill="CCEEFF"/>
            <w:vAlign w:val="bottom"/>
          </w:tcPr>
          <w:p w14:paraId="1DFA44B7" w14:textId="77777777" w:rsidR="00D1587D" w:rsidRDefault="00410D07">
            <w:pPr>
              <w:spacing w:line="331" w:lineRule="exact"/>
              <w:rPr>
                <w:sz w:val="20"/>
                <w:szCs w:val="20"/>
              </w:rPr>
            </w:pPr>
            <w:r>
              <w:rPr>
                <w:rFonts w:ascii="Arial" w:eastAsia="Arial" w:hAnsi="Arial" w:cs="Arial"/>
                <w:sz w:val="18"/>
                <w:szCs w:val="18"/>
              </w:rPr>
              <w:t>Mr. Waters</w:t>
            </w:r>
            <w:r>
              <w:rPr>
                <w:rFonts w:ascii="Arial" w:eastAsia="Arial" w:hAnsi="Arial" w:cs="Arial"/>
                <w:sz w:val="29"/>
                <w:szCs w:val="29"/>
                <w:vertAlign w:val="superscript"/>
              </w:rPr>
              <w:t>(1)(2)</w:t>
            </w:r>
          </w:p>
        </w:tc>
        <w:tc>
          <w:tcPr>
            <w:tcW w:w="1160" w:type="dxa"/>
            <w:shd w:val="clear" w:color="auto" w:fill="CCEEFF"/>
            <w:vAlign w:val="bottom"/>
          </w:tcPr>
          <w:p w14:paraId="252AD95A" w14:textId="77777777" w:rsidR="00D1587D" w:rsidRDefault="00410D07">
            <w:pPr>
              <w:ind w:right="97"/>
              <w:jc w:val="right"/>
              <w:rPr>
                <w:sz w:val="20"/>
                <w:szCs w:val="20"/>
              </w:rPr>
            </w:pPr>
            <w:r>
              <w:rPr>
                <w:rFonts w:ascii="Arial" w:eastAsia="Arial" w:hAnsi="Arial" w:cs="Arial"/>
                <w:sz w:val="18"/>
                <w:szCs w:val="18"/>
              </w:rPr>
              <w:t>$1,806,000</w:t>
            </w:r>
          </w:p>
        </w:tc>
        <w:tc>
          <w:tcPr>
            <w:tcW w:w="140" w:type="dxa"/>
            <w:shd w:val="clear" w:color="auto" w:fill="CCEEFF"/>
            <w:vAlign w:val="bottom"/>
          </w:tcPr>
          <w:p w14:paraId="77E1265C" w14:textId="77777777" w:rsidR="00D1587D" w:rsidRDefault="00D1587D">
            <w:pPr>
              <w:rPr>
                <w:sz w:val="24"/>
                <w:szCs w:val="24"/>
              </w:rPr>
            </w:pPr>
          </w:p>
        </w:tc>
        <w:tc>
          <w:tcPr>
            <w:tcW w:w="1180" w:type="dxa"/>
            <w:shd w:val="clear" w:color="auto" w:fill="CCEEFF"/>
            <w:vAlign w:val="bottom"/>
          </w:tcPr>
          <w:p w14:paraId="1389A15E" w14:textId="77777777" w:rsidR="00D1587D" w:rsidRDefault="00410D07">
            <w:pPr>
              <w:ind w:right="177"/>
              <w:jc w:val="right"/>
              <w:rPr>
                <w:sz w:val="20"/>
                <w:szCs w:val="20"/>
              </w:rPr>
            </w:pPr>
            <w:r>
              <w:rPr>
                <w:rFonts w:ascii="Arial" w:eastAsia="Arial" w:hAnsi="Arial" w:cs="Arial"/>
                <w:sz w:val="18"/>
                <w:szCs w:val="18"/>
              </w:rPr>
              <w:t>$411,635</w:t>
            </w:r>
          </w:p>
        </w:tc>
        <w:tc>
          <w:tcPr>
            <w:tcW w:w="140" w:type="dxa"/>
            <w:shd w:val="clear" w:color="auto" w:fill="CCEEFF"/>
            <w:vAlign w:val="bottom"/>
          </w:tcPr>
          <w:p w14:paraId="22005610" w14:textId="77777777" w:rsidR="00D1587D" w:rsidRDefault="00D1587D">
            <w:pPr>
              <w:rPr>
                <w:sz w:val="24"/>
                <w:szCs w:val="24"/>
              </w:rPr>
            </w:pPr>
          </w:p>
        </w:tc>
        <w:tc>
          <w:tcPr>
            <w:tcW w:w="1060" w:type="dxa"/>
            <w:shd w:val="clear" w:color="auto" w:fill="CCEEFF"/>
            <w:vAlign w:val="bottom"/>
          </w:tcPr>
          <w:p w14:paraId="01F25F29" w14:textId="77777777" w:rsidR="00D1587D" w:rsidRDefault="00410D07">
            <w:pPr>
              <w:ind w:right="57"/>
              <w:jc w:val="right"/>
              <w:rPr>
                <w:sz w:val="20"/>
                <w:szCs w:val="20"/>
              </w:rPr>
            </w:pPr>
            <w:r>
              <w:rPr>
                <w:rFonts w:ascii="Arial" w:eastAsia="Arial" w:hAnsi="Arial" w:cs="Arial"/>
                <w:w w:val="99"/>
                <w:sz w:val="18"/>
                <w:szCs w:val="18"/>
              </w:rPr>
              <w:t>$2,100,000</w:t>
            </w:r>
          </w:p>
        </w:tc>
        <w:tc>
          <w:tcPr>
            <w:tcW w:w="140" w:type="dxa"/>
            <w:shd w:val="clear" w:color="auto" w:fill="CCEEFF"/>
            <w:vAlign w:val="bottom"/>
          </w:tcPr>
          <w:p w14:paraId="4A3955FA" w14:textId="77777777" w:rsidR="00D1587D" w:rsidRDefault="00D1587D">
            <w:pPr>
              <w:rPr>
                <w:sz w:val="24"/>
                <w:szCs w:val="24"/>
              </w:rPr>
            </w:pPr>
          </w:p>
        </w:tc>
        <w:tc>
          <w:tcPr>
            <w:tcW w:w="1080" w:type="dxa"/>
            <w:shd w:val="clear" w:color="auto" w:fill="CCEEFF"/>
            <w:vAlign w:val="bottom"/>
          </w:tcPr>
          <w:p w14:paraId="14A42680" w14:textId="77777777" w:rsidR="00D1587D" w:rsidRDefault="00410D07">
            <w:pPr>
              <w:ind w:right="77"/>
              <w:jc w:val="right"/>
              <w:rPr>
                <w:sz w:val="20"/>
                <w:szCs w:val="20"/>
              </w:rPr>
            </w:pPr>
            <w:r>
              <w:rPr>
                <w:rFonts w:ascii="Arial" w:eastAsia="Arial" w:hAnsi="Arial" w:cs="Arial"/>
                <w:w w:val="99"/>
                <w:sz w:val="18"/>
                <w:szCs w:val="18"/>
              </w:rPr>
              <w:t>$2,511,635</w:t>
            </w:r>
          </w:p>
        </w:tc>
        <w:tc>
          <w:tcPr>
            <w:tcW w:w="120" w:type="dxa"/>
            <w:shd w:val="clear" w:color="auto" w:fill="CCEEFF"/>
            <w:vAlign w:val="bottom"/>
          </w:tcPr>
          <w:p w14:paraId="7865BC56" w14:textId="77777777" w:rsidR="00D1587D" w:rsidRDefault="00D1587D">
            <w:pPr>
              <w:rPr>
                <w:sz w:val="24"/>
                <w:szCs w:val="24"/>
              </w:rPr>
            </w:pPr>
          </w:p>
        </w:tc>
        <w:tc>
          <w:tcPr>
            <w:tcW w:w="1080" w:type="dxa"/>
            <w:shd w:val="clear" w:color="auto" w:fill="CCEEFF"/>
            <w:vAlign w:val="bottom"/>
          </w:tcPr>
          <w:p w14:paraId="71F72627" w14:textId="77777777" w:rsidR="00D1587D" w:rsidRDefault="00410D07">
            <w:pPr>
              <w:ind w:right="177"/>
              <w:jc w:val="right"/>
              <w:rPr>
                <w:sz w:val="20"/>
                <w:szCs w:val="20"/>
              </w:rPr>
            </w:pPr>
            <w:r>
              <w:rPr>
                <w:rFonts w:ascii="Arial" w:eastAsia="Arial" w:hAnsi="Arial" w:cs="Arial"/>
                <w:sz w:val="18"/>
                <w:szCs w:val="18"/>
              </w:rPr>
              <w:t>139%</w:t>
            </w:r>
          </w:p>
        </w:tc>
      </w:tr>
      <w:tr w:rsidR="00D1587D" w14:paraId="11DB66FF" w14:textId="77777777">
        <w:trPr>
          <w:trHeight w:val="270"/>
        </w:trPr>
        <w:tc>
          <w:tcPr>
            <w:tcW w:w="2320" w:type="dxa"/>
            <w:vAlign w:val="bottom"/>
          </w:tcPr>
          <w:p w14:paraId="04E58CE4" w14:textId="77777777" w:rsidR="00D1587D" w:rsidRDefault="00410D07">
            <w:pPr>
              <w:rPr>
                <w:sz w:val="20"/>
                <w:szCs w:val="20"/>
              </w:rPr>
            </w:pPr>
            <w:r>
              <w:rPr>
                <w:rFonts w:ascii="Arial" w:eastAsia="Arial" w:hAnsi="Arial" w:cs="Arial"/>
                <w:sz w:val="18"/>
                <w:szCs w:val="18"/>
              </w:rPr>
              <w:t>Ms. Hauk</w:t>
            </w:r>
          </w:p>
        </w:tc>
        <w:tc>
          <w:tcPr>
            <w:tcW w:w="1160" w:type="dxa"/>
            <w:vAlign w:val="bottom"/>
          </w:tcPr>
          <w:p w14:paraId="755AA971" w14:textId="77777777" w:rsidR="00D1587D" w:rsidRDefault="00410D07">
            <w:pPr>
              <w:ind w:right="97"/>
              <w:jc w:val="right"/>
              <w:rPr>
                <w:sz w:val="20"/>
                <w:szCs w:val="20"/>
              </w:rPr>
            </w:pPr>
            <w:r>
              <w:rPr>
                <w:rFonts w:ascii="Arial" w:eastAsia="Arial" w:hAnsi="Arial" w:cs="Arial"/>
                <w:sz w:val="18"/>
                <w:szCs w:val="18"/>
              </w:rPr>
              <w:t>1,480,000</w:t>
            </w:r>
          </w:p>
        </w:tc>
        <w:tc>
          <w:tcPr>
            <w:tcW w:w="140" w:type="dxa"/>
            <w:vAlign w:val="bottom"/>
          </w:tcPr>
          <w:p w14:paraId="3223511B" w14:textId="77777777" w:rsidR="00D1587D" w:rsidRDefault="00D1587D">
            <w:pPr>
              <w:rPr>
                <w:sz w:val="23"/>
                <w:szCs w:val="23"/>
              </w:rPr>
            </w:pPr>
          </w:p>
        </w:tc>
        <w:tc>
          <w:tcPr>
            <w:tcW w:w="1320" w:type="dxa"/>
            <w:gridSpan w:val="2"/>
            <w:vAlign w:val="bottom"/>
          </w:tcPr>
          <w:p w14:paraId="0FEB58CC" w14:textId="77777777" w:rsidR="00D1587D" w:rsidRDefault="00410D07">
            <w:pPr>
              <w:ind w:right="400"/>
              <w:jc w:val="right"/>
              <w:rPr>
                <w:sz w:val="20"/>
                <w:szCs w:val="20"/>
              </w:rPr>
            </w:pPr>
            <w:r>
              <w:rPr>
                <w:rFonts w:ascii="Arial" w:eastAsia="Arial" w:hAnsi="Arial" w:cs="Arial"/>
                <w:sz w:val="18"/>
                <w:szCs w:val="18"/>
              </w:rPr>
              <w:t>—</w:t>
            </w:r>
          </w:p>
        </w:tc>
        <w:tc>
          <w:tcPr>
            <w:tcW w:w="1060" w:type="dxa"/>
            <w:vAlign w:val="bottom"/>
          </w:tcPr>
          <w:p w14:paraId="52BA315F" w14:textId="77777777" w:rsidR="00D1587D" w:rsidRDefault="00410D07">
            <w:pPr>
              <w:ind w:right="57"/>
              <w:jc w:val="right"/>
              <w:rPr>
                <w:sz w:val="20"/>
                <w:szCs w:val="20"/>
              </w:rPr>
            </w:pPr>
            <w:r>
              <w:rPr>
                <w:rFonts w:ascii="Arial" w:eastAsia="Arial" w:hAnsi="Arial" w:cs="Arial"/>
                <w:sz w:val="18"/>
                <w:szCs w:val="18"/>
              </w:rPr>
              <w:t>1,776,000</w:t>
            </w:r>
          </w:p>
        </w:tc>
        <w:tc>
          <w:tcPr>
            <w:tcW w:w="140" w:type="dxa"/>
            <w:vAlign w:val="bottom"/>
          </w:tcPr>
          <w:p w14:paraId="4C04EA3E" w14:textId="77777777" w:rsidR="00D1587D" w:rsidRDefault="00D1587D">
            <w:pPr>
              <w:rPr>
                <w:sz w:val="23"/>
                <w:szCs w:val="23"/>
              </w:rPr>
            </w:pPr>
          </w:p>
        </w:tc>
        <w:tc>
          <w:tcPr>
            <w:tcW w:w="1080" w:type="dxa"/>
            <w:vAlign w:val="bottom"/>
          </w:tcPr>
          <w:p w14:paraId="739B3977" w14:textId="77777777" w:rsidR="00D1587D" w:rsidRDefault="00410D07">
            <w:pPr>
              <w:ind w:right="77"/>
              <w:jc w:val="right"/>
              <w:rPr>
                <w:sz w:val="20"/>
                <w:szCs w:val="20"/>
              </w:rPr>
            </w:pPr>
            <w:r>
              <w:rPr>
                <w:rFonts w:ascii="Arial" w:eastAsia="Arial" w:hAnsi="Arial" w:cs="Arial"/>
                <w:sz w:val="18"/>
                <w:szCs w:val="18"/>
              </w:rPr>
              <w:t>1,776,000</w:t>
            </w:r>
          </w:p>
        </w:tc>
        <w:tc>
          <w:tcPr>
            <w:tcW w:w="120" w:type="dxa"/>
            <w:vAlign w:val="bottom"/>
          </w:tcPr>
          <w:p w14:paraId="24F88E7B" w14:textId="77777777" w:rsidR="00D1587D" w:rsidRDefault="00D1587D">
            <w:pPr>
              <w:rPr>
                <w:sz w:val="23"/>
                <w:szCs w:val="23"/>
              </w:rPr>
            </w:pPr>
          </w:p>
        </w:tc>
        <w:tc>
          <w:tcPr>
            <w:tcW w:w="1080" w:type="dxa"/>
            <w:vAlign w:val="bottom"/>
          </w:tcPr>
          <w:p w14:paraId="6E7ECF16" w14:textId="77777777" w:rsidR="00D1587D" w:rsidRDefault="00410D07">
            <w:pPr>
              <w:ind w:right="177"/>
              <w:jc w:val="right"/>
              <w:rPr>
                <w:sz w:val="20"/>
                <w:szCs w:val="20"/>
              </w:rPr>
            </w:pPr>
            <w:r>
              <w:rPr>
                <w:rFonts w:ascii="Arial" w:eastAsia="Arial" w:hAnsi="Arial" w:cs="Arial"/>
                <w:sz w:val="18"/>
                <w:szCs w:val="18"/>
              </w:rPr>
              <w:t>120%</w:t>
            </w:r>
          </w:p>
        </w:tc>
      </w:tr>
      <w:tr w:rsidR="00D1587D" w14:paraId="57E77240" w14:textId="77777777">
        <w:trPr>
          <w:trHeight w:val="54"/>
        </w:trPr>
        <w:tc>
          <w:tcPr>
            <w:tcW w:w="2320" w:type="dxa"/>
            <w:vAlign w:val="bottom"/>
          </w:tcPr>
          <w:p w14:paraId="290AFC9C" w14:textId="77777777" w:rsidR="00D1587D" w:rsidRDefault="00D1587D">
            <w:pPr>
              <w:rPr>
                <w:sz w:val="4"/>
                <w:szCs w:val="4"/>
              </w:rPr>
            </w:pPr>
          </w:p>
        </w:tc>
        <w:tc>
          <w:tcPr>
            <w:tcW w:w="1160" w:type="dxa"/>
            <w:vAlign w:val="bottom"/>
          </w:tcPr>
          <w:p w14:paraId="2589BA73" w14:textId="77777777" w:rsidR="00D1587D" w:rsidRDefault="00D1587D">
            <w:pPr>
              <w:rPr>
                <w:sz w:val="4"/>
                <w:szCs w:val="4"/>
              </w:rPr>
            </w:pPr>
          </w:p>
        </w:tc>
        <w:tc>
          <w:tcPr>
            <w:tcW w:w="140" w:type="dxa"/>
            <w:vAlign w:val="bottom"/>
          </w:tcPr>
          <w:p w14:paraId="2FC29616" w14:textId="77777777" w:rsidR="00D1587D" w:rsidRDefault="00D1587D">
            <w:pPr>
              <w:rPr>
                <w:sz w:val="4"/>
                <w:szCs w:val="4"/>
              </w:rPr>
            </w:pPr>
          </w:p>
        </w:tc>
        <w:tc>
          <w:tcPr>
            <w:tcW w:w="1180" w:type="dxa"/>
            <w:vAlign w:val="bottom"/>
          </w:tcPr>
          <w:p w14:paraId="57048855" w14:textId="77777777" w:rsidR="00D1587D" w:rsidRDefault="00D1587D">
            <w:pPr>
              <w:rPr>
                <w:sz w:val="4"/>
                <w:szCs w:val="4"/>
              </w:rPr>
            </w:pPr>
          </w:p>
        </w:tc>
        <w:tc>
          <w:tcPr>
            <w:tcW w:w="140" w:type="dxa"/>
            <w:vAlign w:val="bottom"/>
          </w:tcPr>
          <w:p w14:paraId="63EF0383" w14:textId="77777777" w:rsidR="00D1587D" w:rsidRDefault="00D1587D">
            <w:pPr>
              <w:rPr>
                <w:sz w:val="4"/>
                <w:szCs w:val="4"/>
              </w:rPr>
            </w:pPr>
          </w:p>
        </w:tc>
        <w:tc>
          <w:tcPr>
            <w:tcW w:w="1060" w:type="dxa"/>
            <w:vAlign w:val="bottom"/>
          </w:tcPr>
          <w:p w14:paraId="6366A23D" w14:textId="77777777" w:rsidR="00D1587D" w:rsidRDefault="00D1587D">
            <w:pPr>
              <w:rPr>
                <w:sz w:val="4"/>
                <w:szCs w:val="4"/>
              </w:rPr>
            </w:pPr>
          </w:p>
        </w:tc>
        <w:tc>
          <w:tcPr>
            <w:tcW w:w="140" w:type="dxa"/>
            <w:vAlign w:val="bottom"/>
          </w:tcPr>
          <w:p w14:paraId="736ADC58" w14:textId="77777777" w:rsidR="00D1587D" w:rsidRDefault="00D1587D">
            <w:pPr>
              <w:rPr>
                <w:sz w:val="4"/>
                <w:szCs w:val="4"/>
              </w:rPr>
            </w:pPr>
          </w:p>
        </w:tc>
        <w:tc>
          <w:tcPr>
            <w:tcW w:w="1080" w:type="dxa"/>
            <w:vAlign w:val="bottom"/>
          </w:tcPr>
          <w:p w14:paraId="6594022B" w14:textId="77777777" w:rsidR="00D1587D" w:rsidRDefault="00D1587D">
            <w:pPr>
              <w:rPr>
                <w:sz w:val="4"/>
                <w:szCs w:val="4"/>
              </w:rPr>
            </w:pPr>
          </w:p>
        </w:tc>
        <w:tc>
          <w:tcPr>
            <w:tcW w:w="120" w:type="dxa"/>
            <w:vAlign w:val="bottom"/>
          </w:tcPr>
          <w:p w14:paraId="7A242287" w14:textId="77777777" w:rsidR="00D1587D" w:rsidRDefault="00D1587D">
            <w:pPr>
              <w:rPr>
                <w:sz w:val="4"/>
                <w:szCs w:val="4"/>
              </w:rPr>
            </w:pPr>
          </w:p>
        </w:tc>
        <w:tc>
          <w:tcPr>
            <w:tcW w:w="1080" w:type="dxa"/>
            <w:vAlign w:val="bottom"/>
          </w:tcPr>
          <w:p w14:paraId="574D9F5C" w14:textId="77777777" w:rsidR="00D1587D" w:rsidRDefault="00D1587D">
            <w:pPr>
              <w:rPr>
                <w:sz w:val="4"/>
                <w:szCs w:val="4"/>
              </w:rPr>
            </w:pPr>
          </w:p>
        </w:tc>
      </w:tr>
      <w:tr w:rsidR="00D1587D" w14:paraId="30C9C681" w14:textId="77777777">
        <w:trPr>
          <w:trHeight w:val="304"/>
        </w:trPr>
        <w:tc>
          <w:tcPr>
            <w:tcW w:w="2320" w:type="dxa"/>
            <w:tcBorders>
              <w:bottom w:val="single" w:sz="8" w:space="0" w:color="CCEEFF"/>
            </w:tcBorders>
            <w:shd w:val="clear" w:color="auto" w:fill="CCEEFF"/>
            <w:vAlign w:val="bottom"/>
          </w:tcPr>
          <w:p w14:paraId="6516D551" w14:textId="77777777" w:rsidR="00D1587D" w:rsidRDefault="00410D07">
            <w:pPr>
              <w:rPr>
                <w:sz w:val="20"/>
                <w:szCs w:val="20"/>
              </w:rPr>
            </w:pPr>
            <w:r>
              <w:rPr>
                <w:rFonts w:ascii="Arial" w:eastAsia="Arial" w:hAnsi="Arial" w:cs="Arial"/>
                <w:sz w:val="18"/>
                <w:szCs w:val="18"/>
              </w:rPr>
              <w:t>Mr. Unis</w:t>
            </w:r>
          </w:p>
        </w:tc>
        <w:tc>
          <w:tcPr>
            <w:tcW w:w="1160" w:type="dxa"/>
            <w:tcBorders>
              <w:bottom w:val="single" w:sz="8" w:space="0" w:color="CCEEFF"/>
            </w:tcBorders>
            <w:shd w:val="clear" w:color="auto" w:fill="CCEEFF"/>
            <w:vAlign w:val="bottom"/>
          </w:tcPr>
          <w:p w14:paraId="38027CFC" w14:textId="77777777" w:rsidR="00D1587D" w:rsidRDefault="00410D07">
            <w:pPr>
              <w:ind w:right="97"/>
              <w:jc w:val="right"/>
              <w:rPr>
                <w:sz w:val="20"/>
                <w:szCs w:val="20"/>
              </w:rPr>
            </w:pPr>
            <w:r>
              <w:rPr>
                <w:rFonts w:ascii="Arial" w:eastAsia="Arial" w:hAnsi="Arial" w:cs="Arial"/>
                <w:sz w:val="18"/>
                <w:szCs w:val="18"/>
              </w:rPr>
              <w:t>1,445,000</w:t>
            </w:r>
          </w:p>
        </w:tc>
        <w:tc>
          <w:tcPr>
            <w:tcW w:w="140" w:type="dxa"/>
            <w:tcBorders>
              <w:bottom w:val="single" w:sz="8" w:space="0" w:color="CCEEFF"/>
            </w:tcBorders>
            <w:shd w:val="clear" w:color="auto" w:fill="CCEEFF"/>
            <w:vAlign w:val="bottom"/>
          </w:tcPr>
          <w:p w14:paraId="5281B35A" w14:textId="77777777" w:rsidR="00D1587D" w:rsidRDefault="00D1587D">
            <w:pPr>
              <w:rPr>
                <w:sz w:val="24"/>
                <w:szCs w:val="24"/>
              </w:rPr>
            </w:pPr>
          </w:p>
        </w:tc>
        <w:tc>
          <w:tcPr>
            <w:tcW w:w="1320" w:type="dxa"/>
            <w:gridSpan w:val="2"/>
            <w:tcBorders>
              <w:bottom w:val="single" w:sz="8" w:space="0" w:color="CCEEFF"/>
            </w:tcBorders>
            <w:shd w:val="clear" w:color="auto" w:fill="CCEEFF"/>
            <w:vAlign w:val="bottom"/>
          </w:tcPr>
          <w:p w14:paraId="54CA5B6F" w14:textId="77777777" w:rsidR="00D1587D" w:rsidRDefault="00410D07">
            <w:pPr>
              <w:ind w:right="400"/>
              <w:jc w:val="right"/>
              <w:rPr>
                <w:sz w:val="20"/>
                <w:szCs w:val="20"/>
              </w:rPr>
            </w:pPr>
            <w:r>
              <w:rPr>
                <w:rFonts w:ascii="Arial" w:eastAsia="Arial" w:hAnsi="Arial" w:cs="Arial"/>
                <w:sz w:val="18"/>
                <w:szCs w:val="18"/>
              </w:rPr>
              <w:t>—</w:t>
            </w:r>
          </w:p>
        </w:tc>
        <w:tc>
          <w:tcPr>
            <w:tcW w:w="1060" w:type="dxa"/>
            <w:tcBorders>
              <w:bottom w:val="single" w:sz="8" w:space="0" w:color="CCEEFF"/>
            </w:tcBorders>
            <w:shd w:val="clear" w:color="auto" w:fill="CCEEFF"/>
            <w:vAlign w:val="bottom"/>
          </w:tcPr>
          <w:p w14:paraId="7222A60F" w14:textId="77777777" w:rsidR="00D1587D" w:rsidRDefault="00410D07">
            <w:pPr>
              <w:ind w:right="57"/>
              <w:jc w:val="right"/>
              <w:rPr>
                <w:sz w:val="20"/>
                <w:szCs w:val="20"/>
              </w:rPr>
            </w:pPr>
            <w:r>
              <w:rPr>
                <w:rFonts w:ascii="Arial" w:eastAsia="Arial" w:hAnsi="Arial" w:cs="Arial"/>
                <w:sz w:val="18"/>
                <w:szCs w:val="18"/>
              </w:rPr>
              <w:t>1,734,000</w:t>
            </w:r>
          </w:p>
        </w:tc>
        <w:tc>
          <w:tcPr>
            <w:tcW w:w="140" w:type="dxa"/>
            <w:tcBorders>
              <w:bottom w:val="single" w:sz="8" w:space="0" w:color="CCEEFF"/>
            </w:tcBorders>
            <w:shd w:val="clear" w:color="auto" w:fill="CCEEFF"/>
            <w:vAlign w:val="bottom"/>
          </w:tcPr>
          <w:p w14:paraId="36498D81" w14:textId="77777777" w:rsidR="00D1587D" w:rsidRDefault="00D1587D">
            <w:pPr>
              <w:rPr>
                <w:sz w:val="24"/>
                <w:szCs w:val="24"/>
              </w:rPr>
            </w:pPr>
          </w:p>
        </w:tc>
        <w:tc>
          <w:tcPr>
            <w:tcW w:w="1080" w:type="dxa"/>
            <w:tcBorders>
              <w:bottom w:val="single" w:sz="8" w:space="0" w:color="CCEEFF"/>
            </w:tcBorders>
            <w:shd w:val="clear" w:color="auto" w:fill="CCEEFF"/>
            <w:vAlign w:val="bottom"/>
          </w:tcPr>
          <w:p w14:paraId="3EC651AC" w14:textId="77777777" w:rsidR="00D1587D" w:rsidRDefault="00410D07">
            <w:pPr>
              <w:ind w:right="77"/>
              <w:jc w:val="right"/>
              <w:rPr>
                <w:sz w:val="20"/>
                <w:szCs w:val="20"/>
              </w:rPr>
            </w:pPr>
            <w:r>
              <w:rPr>
                <w:rFonts w:ascii="Arial" w:eastAsia="Arial" w:hAnsi="Arial" w:cs="Arial"/>
                <w:sz w:val="18"/>
                <w:szCs w:val="18"/>
              </w:rPr>
              <w:t>1,734,000</w:t>
            </w:r>
          </w:p>
        </w:tc>
        <w:tc>
          <w:tcPr>
            <w:tcW w:w="120" w:type="dxa"/>
            <w:tcBorders>
              <w:bottom w:val="single" w:sz="8" w:space="0" w:color="CCEEFF"/>
            </w:tcBorders>
            <w:shd w:val="clear" w:color="auto" w:fill="CCEEFF"/>
            <w:vAlign w:val="bottom"/>
          </w:tcPr>
          <w:p w14:paraId="59381C15" w14:textId="77777777" w:rsidR="00D1587D" w:rsidRDefault="00D1587D">
            <w:pPr>
              <w:rPr>
                <w:sz w:val="24"/>
                <w:szCs w:val="24"/>
              </w:rPr>
            </w:pPr>
          </w:p>
        </w:tc>
        <w:tc>
          <w:tcPr>
            <w:tcW w:w="1080" w:type="dxa"/>
            <w:tcBorders>
              <w:bottom w:val="single" w:sz="8" w:space="0" w:color="CCEEFF"/>
            </w:tcBorders>
            <w:shd w:val="clear" w:color="auto" w:fill="CCEEFF"/>
            <w:vAlign w:val="bottom"/>
          </w:tcPr>
          <w:p w14:paraId="589A4159" w14:textId="77777777" w:rsidR="00D1587D" w:rsidRDefault="00410D07">
            <w:pPr>
              <w:ind w:right="177"/>
              <w:jc w:val="right"/>
              <w:rPr>
                <w:sz w:val="20"/>
                <w:szCs w:val="20"/>
              </w:rPr>
            </w:pPr>
            <w:r>
              <w:rPr>
                <w:rFonts w:ascii="Arial" w:eastAsia="Arial" w:hAnsi="Arial" w:cs="Arial"/>
                <w:sz w:val="18"/>
                <w:szCs w:val="18"/>
              </w:rPr>
              <w:t>120%</w:t>
            </w:r>
          </w:p>
        </w:tc>
      </w:tr>
      <w:tr w:rsidR="00D1587D" w14:paraId="47C6F9C8" w14:textId="77777777">
        <w:trPr>
          <w:trHeight w:val="324"/>
        </w:trPr>
        <w:tc>
          <w:tcPr>
            <w:tcW w:w="2320" w:type="dxa"/>
            <w:vAlign w:val="bottom"/>
          </w:tcPr>
          <w:p w14:paraId="47D10E2B" w14:textId="77777777" w:rsidR="00D1587D" w:rsidRDefault="00410D07">
            <w:pPr>
              <w:spacing w:line="324" w:lineRule="exact"/>
              <w:rPr>
                <w:sz w:val="20"/>
                <w:szCs w:val="20"/>
              </w:rPr>
            </w:pPr>
            <w:r>
              <w:rPr>
                <w:rFonts w:ascii="Arial" w:eastAsia="Arial" w:hAnsi="Arial" w:cs="Arial"/>
                <w:sz w:val="18"/>
                <w:szCs w:val="18"/>
              </w:rPr>
              <w:t>Mr. Burgdoerfer</w:t>
            </w:r>
            <w:r>
              <w:rPr>
                <w:rFonts w:ascii="Arial" w:eastAsia="Arial" w:hAnsi="Arial" w:cs="Arial"/>
                <w:sz w:val="29"/>
                <w:szCs w:val="29"/>
                <w:vertAlign w:val="superscript"/>
              </w:rPr>
              <w:t>(1)(3)</w:t>
            </w:r>
          </w:p>
        </w:tc>
        <w:tc>
          <w:tcPr>
            <w:tcW w:w="1160" w:type="dxa"/>
            <w:vAlign w:val="bottom"/>
          </w:tcPr>
          <w:p w14:paraId="3A195027" w14:textId="77777777" w:rsidR="00D1587D" w:rsidRDefault="00410D07">
            <w:pPr>
              <w:ind w:right="97"/>
              <w:jc w:val="right"/>
              <w:rPr>
                <w:sz w:val="20"/>
                <w:szCs w:val="20"/>
              </w:rPr>
            </w:pPr>
            <w:r>
              <w:rPr>
                <w:rFonts w:ascii="Arial" w:eastAsia="Arial" w:hAnsi="Arial" w:cs="Arial"/>
                <w:sz w:val="18"/>
                <w:szCs w:val="18"/>
              </w:rPr>
              <w:t>2,052,000</w:t>
            </w:r>
          </w:p>
        </w:tc>
        <w:tc>
          <w:tcPr>
            <w:tcW w:w="140" w:type="dxa"/>
            <w:vAlign w:val="bottom"/>
          </w:tcPr>
          <w:p w14:paraId="7824BB69" w14:textId="77777777" w:rsidR="00D1587D" w:rsidRDefault="00D1587D">
            <w:pPr>
              <w:rPr>
                <w:sz w:val="24"/>
                <w:szCs w:val="24"/>
              </w:rPr>
            </w:pPr>
          </w:p>
        </w:tc>
        <w:tc>
          <w:tcPr>
            <w:tcW w:w="1180" w:type="dxa"/>
            <w:vAlign w:val="bottom"/>
          </w:tcPr>
          <w:p w14:paraId="3436A3C8" w14:textId="77777777" w:rsidR="00D1587D" w:rsidRDefault="00410D07">
            <w:pPr>
              <w:ind w:right="177"/>
              <w:jc w:val="right"/>
              <w:rPr>
                <w:sz w:val="20"/>
                <w:szCs w:val="20"/>
              </w:rPr>
            </w:pPr>
            <w:r>
              <w:rPr>
                <w:rFonts w:ascii="Arial" w:eastAsia="Arial" w:hAnsi="Arial" w:cs="Arial"/>
                <w:sz w:val="18"/>
                <w:szCs w:val="18"/>
              </w:rPr>
              <w:t>417,636</w:t>
            </w:r>
          </w:p>
        </w:tc>
        <w:tc>
          <w:tcPr>
            <w:tcW w:w="140" w:type="dxa"/>
            <w:vAlign w:val="bottom"/>
          </w:tcPr>
          <w:p w14:paraId="2F35F438" w14:textId="77777777" w:rsidR="00D1587D" w:rsidRDefault="00D1587D">
            <w:pPr>
              <w:rPr>
                <w:sz w:val="24"/>
                <w:szCs w:val="24"/>
              </w:rPr>
            </w:pPr>
          </w:p>
        </w:tc>
        <w:tc>
          <w:tcPr>
            <w:tcW w:w="1060" w:type="dxa"/>
            <w:vAlign w:val="bottom"/>
          </w:tcPr>
          <w:p w14:paraId="43E6C38A" w14:textId="77777777" w:rsidR="00D1587D" w:rsidRDefault="00410D07">
            <w:pPr>
              <w:ind w:right="57"/>
              <w:jc w:val="right"/>
              <w:rPr>
                <w:sz w:val="20"/>
                <w:szCs w:val="20"/>
              </w:rPr>
            </w:pPr>
            <w:r>
              <w:rPr>
                <w:rFonts w:ascii="Arial" w:eastAsia="Arial" w:hAnsi="Arial" w:cs="Arial"/>
                <w:sz w:val="18"/>
                <w:szCs w:val="18"/>
              </w:rPr>
              <w:t>2,592,000</w:t>
            </w:r>
          </w:p>
        </w:tc>
        <w:tc>
          <w:tcPr>
            <w:tcW w:w="140" w:type="dxa"/>
            <w:vAlign w:val="bottom"/>
          </w:tcPr>
          <w:p w14:paraId="06E84BA5" w14:textId="77777777" w:rsidR="00D1587D" w:rsidRDefault="00D1587D">
            <w:pPr>
              <w:rPr>
                <w:sz w:val="24"/>
                <w:szCs w:val="24"/>
              </w:rPr>
            </w:pPr>
          </w:p>
        </w:tc>
        <w:tc>
          <w:tcPr>
            <w:tcW w:w="1080" w:type="dxa"/>
            <w:vAlign w:val="bottom"/>
          </w:tcPr>
          <w:p w14:paraId="18AAA97F" w14:textId="77777777" w:rsidR="00D1587D" w:rsidRDefault="00410D07">
            <w:pPr>
              <w:ind w:right="77"/>
              <w:jc w:val="right"/>
              <w:rPr>
                <w:sz w:val="20"/>
                <w:szCs w:val="20"/>
              </w:rPr>
            </w:pPr>
            <w:r>
              <w:rPr>
                <w:rFonts w:ascii="Arial" w:eastAsia="Arial" w:hAnsi="Arial" w:cs="Arial"/>
                <w:sz w:val="18"/>
                <w:szCs w:val="18"/>
              </w:rPr>
              <w:t>3,009,636</w:t>
            </w:r>
          </w:p>
        </w:tc>
        <w:tc>
          <w:tcPr>
            <w:tcW w:w="120" w:type="dxa"/>
            <w:vAlign w:val="bottom"/>
          </w:tcPr>
          <w:p w14:paraId="66353B96" w14:textId="77777777" w:rsidR="00D1587D" w:rsidRDefault="00D1587D">
            <w:pPr>
              <w:rPr>
                <w:sz w:val="24"/>
                <w:szCs w:val="24"/>
              </w:rPr>
            </w:pPr>
          </w:p>
        </w:tc>
        <w:tc>
          <w:tcPr>
            <w:tcW w:w="1080" w:type="dxa"/>
            <w:vAlign w:val="bottom"/>
          </w:tcPr>
          <w:p w14:paraId="233BCA27" w14:textId="77777777" w:rsidR="00D1587D" w:rsidRDefault="00410D07">
            <w:pPr>
              <w:ind w:right="177"/>
              <w:jc w:val="right"/>
              <w:rPr>
                <w:sz w:val="20"/>
                <w:szCs w:val="20"/>
              </w:rPr>
            </w:pPr>
            <w:r>
              <w:rPr>
                <w:rFonts w:ascii="Arial" w:eastAsia="Arial" w:hAnsi="Arial" w:cs="Arial"/>
                <w:sz w:val="18"/>
                <w:szCs w:val="18"/>
              </w:rPr>
              <w:t>147%</w:t>
            </w:r>
          </w:p>
        </w:tc>
      </w:tr>
      <w:tr w:rsidR="00D1587D" w14:paraId="7C44B581" w14:textId="77777777">
        <w:trPr>
          <w:trHeight w:val="270"/>
        </w:trPr>
        <w:tc>
          <w:tcPr>
            <w:tcW w:w="2320" w:type="dxa"/>
            <w:shd w:val="clear" w:color="auto" w:fill="CCEEFF"/>
            <w:vAlign w:val="bottom"/>
          </w:tcPr>
          <w:p w14:paraId="37694FAA" w14:textId="77777777" w:rsidR="00D1587D" w:rsidRDefault="00410D07">
            <w:pPr>
              <w:rPr>
                <w:sz w:val="20"/>
                <w:szCs w:val="20"/>
              </w:rPr>
            </w:pPr>
            <w:r>
              <w:rPr>
                <w:rFonts w:ascii="Arial" w:eastAsia="Arial" w:hAnsi="Arial" w:cs="Arial"/>
                <w:sz w:val="18"/>
                <w:szCs w:val="18"/>
              </w:rPr>
              <w:t>Mr. Mehas</w:t>
            </w:r>
          </w:p>
        </w:tc>
        <w:tc>
          <w:tcPr>
            <w:tcW w:w="1160" w:type="dxa"/>
            <w:shd w:val="clear" w:color="auto" w:fill="CCEEFF"/>
            <w:vAlign w:val="bottom"/>
          </w:tcPr>
          <w:p w14:paraId="5E21F6B6" w14:textId="77777777" w:rsidR="00D1587D" w:rsidRDefault="00410D07">
            <w:pPr>
              <w:ind w:right="97"/>
              <w:jc w:val="right"/>
              <w:rPr>
                <w:sz w:val="20"/>
                <w:szCs w:val="20"/>
              </w:rPr>
            </w:pPr>
            <w:r>
              <w:rPr>
                <w:rFonts w:ascii="Arial" w:eastAsia="Arial" w:hAnsi="Arial" w:cs="Arial"/>
                <w:sz w:val="18"/>
                <w:szCs w:val="18"/>
              </w:rPr>
              <w:t>2,160,000</w:t>
            </w:r>
          </w:p>
        </w:tc>
        <w:tc>
          <w:tcPr>
            <w:tcW w:w="140" w:type="dxa"/>
            <w:shd w:val="clear" w:color="auto" w:fill="CCEEFF"/>
            <w:vAlign w:val="bottom"/>
          </w:tcPr>
          <w:p w14:paraId="580288AB" w14:textId="77777777" w:rsidR="00D1587D" w:rsidRDefault="00D1587D">
            <w:pPr>
              <w:rPr>
                <w:sz w:val="23"/>
                <w:szCs w:val="23"/>
              </w:rPr>
            </w:pPr>
          </w:p>
        </w:tc>
        <w:tc>
          <w:tcPr>
            <w:tcW w:w="1320" w:type="dxa"/>
            <w:gridSpan w:val="2"/>
            <w:shd w:val="clear" w:color="auto" w:fill="CCEEFF"/>
            <w:vAlign w:val="bottom"/>
          </w:tcPr>
          <w:p w14:paraId="7441FF2E" w14:textId="77777777" w:rsidR="00D1587D" w:rsidRDefault="00410D07">
            <w:pPr>
              <w:ind w:right="400"/>
              <w:jc w:val="right"/>
              <w:rPr>
                <w:sz w:val="20"/>
                <w:szCs w:val="20"/>
              </w:rPr>
            </w:pPr>
            <w:r>
              <w:rPr>
                <w:rFonts w:ascii="Arial" w:eastAsia="Arial" w:hAnsi="Arial" w:cs="Arial"/>
                <w:sz w:val="18"/>
                <w:szCs w:val="18"/>
              </w:rPr>
              <w:t>—</w:t>
            </w:r>
          </w:p>
        </w:tc>
        <w:tc>
          <w:tcPr>
            <w:tcW w:w="1060" w:type="dxa"/>
            <w:shd w:val="clear" w:color="auto" w:fill="CCEEFF"/>
            <w:vAlign w:val="bottom"/>
          </w:tcPr>
          <w:p w14:paraId="22E7799B" w14:textId="77777777" w:rsidR="00D1587D" w:rsidRDefault="00410D07">
            <w:pPr>
              <w:ind w:right="57"/>
              <w:jc w:val="right"/>
              <w:rPr>
                <w:sz w:val="20"/>
                <w:szCs w:val="20"/>
              </w:rPr>
            </w:pPr>
            <w:r>
              <w:rPr>
                <w:rFonts w:ascii="Arial" w:eastAsia="Arial" w:hAnsi="Arial" w:cs="Arial"/>
                <w:sz w:val="18"/>
                <w:szCs w:val="18"/>
              </w:rPr>
              <w:t>2,592,000</w:t>
            </w:r>
          </w:p>
        </w:tc>
        <w:tc>
          <w:tcPr>
            <w:tcW w:w="140" w:type="dxa"/>
            <w:shd w:val="clear" w:color="auto" w:fill="CCEEFF"/>
            <w:vAlign w:val="bottom"/>
          </w:tcPr>
          <w:p w14:paraId="2530E662" w14:textId="77777777" w:rsidR="00D1587D" w:rsidRDefault="00D1587D">
            <w:pPr>
              <w:rPr>
                <w:sz w:val="23"/>
                <w:szCs w:val="23"/>
              </w:rPr>
            </w:pPr>
          </w:p>
        </w:tc>
        <w:tc>
          <w:tcPr>
            <w:tcW w:w="1080" w:type="dxa"/>
            <w:shd w:val="clear" w:color="auto" w:fill="CCEEFF"/>
            <w:vAlign w:val="bottom"/>
          </w:tcPr>
          <w:p w14:paraId="6003047B" w14:textId="77777777" w:rsidR="00D1587D" w:rsidRDefault="00410D07">
            <w:pPr>
              <w:ind w:right="77"/>
              <w:jc w:val="right"/>
              <w:rPr>
                <w:sz w:val="20"/>
                <w:szCs w:val="20"/>
              </w:rPr>
            </w:pPr>
            <w:r>
              <w:rPr>
                <w:rFonts w:ascii="Arial" w:eastAsia="Arial" w:hAnsi="Arial" w:cs="Arial"/>
                <w:sz w:val="18"/>
                <w:szCs w:val="18"/>
              </w:rPr>
              <w:t>2,592,000</w:t>
            </w:r>
          </w:p>
        </w:tc>
        <w:tc>
          <w:tcPr>
            <w:tcW w:w="120" w:type="dxa"/>
            <w:shd w:val="clear" w:color="auto" w:fill="CCEEFF"/>
            <w:vAlign w:val="bottom"/>
          </w:tcPr>
          <w:p w14:paraId="6ECFDC71" w14:textId="77777777" w:rsidR="00D1587D" w:rsidRDefault="00D1587D">
            <w:pPr>
              <w:rPr>
                <w:sz w:val="23"/>
                <w:szCs w:val="23"/>
              </w:rPr>
            </w:pPr>
          </w:p>
        </w:tc>
        <w:tc>
          <w:tcPr>
            <w:tcW w:w="1080" w:type="dxa"/>
            <w:shd w:val="clear" w:color="auto" w:fill="CCEEFF"/>
            <w:vAlign w:val="bottom"/>
          </w:tcPr>
          <w:p w14:paraId="3748BB42" w14:textId="77777777" w:rsidR="00D1587D" w:rsidRDefault="00410D07">
            <w:pPr>
              <w:ind w:right="177"/>
              <w:jc w:val="right"/>
              <w:rPr>
                <w:sz w:val="20"/>
                <w:szCs w:val="20"/>
              </w:rPr>
            </w:pPr>
            <w:r>
              <w:rPr>
                <w:rFonts w:ascii="Arial" w:eastAsia="Arial" w:hAnsi="Arial" w:cs="Arial"/>
                <w:sz w:val="18"/>
                <w:szCs w:val="18"/>
              </w:rPr>
              <w:t>120%</w:t>
            </w:r>
          </w:p>
        </w:tc>
      </w:tr>
      <w:tr w:rsidR="00D1587D" w14:paraId="273A981D" w14:textId="77777777">
        <w:trPr>
          <w:trHeight w:val="54"/>
        </w:trPr>
        <w:tc>
          <w:tcPr>
            <w:tcW w:w="2320" w:type="dxa"/>
            <w:shd w:val="clear" w:color="auto" w:fill="CCEEFF"/>
            <w:vAlign w:val="bottom"/>
          </w:tcPr>
          <w:p w14:paraId="72F41098" w14:textId="77777777" w:rsidR="00D1587D" w:rsidRDefault="00D1587D">
            <w:pPr>
              <w:rPr>
                <w:sz w:val="4"/>
                <w:szCs w:val="4"/>
              </w:rPr>
            </w:pPr>
          </w:p>
        </w:tc>
        <w:tc>
          <w:tcPr>
            <w:tcW w:w="1160" w:type="dxa"/>
            <w:shd w:val="clear" w:color="auto" w:fill="CCEEFF"/>
            <w:vAlign w:val="bottom"/>
          </w:tcPr>
          <w:p w14:paraId="182D8571" w14:textId="77777777" w:rsidR="00D1587D" w:rsidRDefault="00D1587D">
            <w:pPr>
              <w:rPr>
                <w:sz w:val="4"/>
                <w:szCs w:val="4"/>
              </w:rPr>
            </w:pPr>
          </w:p>
        </w:tc>
        <w:tc>
          <w:tcPr>
            <w:tcW w:w="140" w:type="dxa"/>
            <w:shd w:val="clear" w:color="auto" w:fill="CCEEFF"/>
            <w:vAlign w:val="bottom"/>
          </w:tcPr>
          <w:p w14:paraId="2564FB05" w14:textId="77777777" w:rsidR="00D1587D" w:rsidRDefault="00D1587D">
            <w:pPr>
              <w:rPr>
                <w:sz w:val="4"/>
                <w:szCs w:val="4"/>
              </w:rPr>
            </w:pPr>
          </w:p>
        </w:tc>
        <w:tc>
          <w:tcPr>
            <w:tcW w:w="1180" w:type="dxa"/>
            <w:shd w:val="clear" w:color="auto" w:fill="CCEEFF"/>
            <w:vAlign w:val="bottom"/>
          </w:tcPr>
          <w:p w14:paraId="2DFEC6C9" w14:textId="77777777" w:rsidR="00D1587D" w:rsidRDefault="00D1587D">
            <w:pPr>
              <w:rPr>
                <w:sz w:val="4"/>
                <w:szCs w:val="4"/>
              </w:rPr>
            </w:pPr>
          </w:p>
        </w:tc>
        <w:tc>
          <w:tcPr>
            <w:tcW w:w="140" w:type="dxa"/>
            <w:shd w:val="clear" w:color="auto" w:fill="CCEEFF"/>
            <w:vAlign w:val="bottom"/>
          </w:tcPr>
          <w:p w14:paraId="221CC9F0" w14:textId="77777777" w:rsidR="00D1587D" w:rsidRDefault="00D1587D">
            <w:pPr>
              <w:rPr>
                <w:sz w:val="4"/>
                <w:szCs w:val="4"/>
              </w:rPr>
            </w:pPr>
          </w:p>
        </w:tc>
        <w:tc>
          <w:tcPr>
            <w:tcW w:w="1060" w:type="dxa"/>
            <w:shd w:val="clear" w:color="auto" w:fill="CCEEFF"/>
            <w:vAlign w:val="bottom"/>
          </w:tcPr>
          <w:p w14:paraId="457BC983" w14:textId="77777777" w:rsidR="00D1587D" w:rsidRDefault="00D1587D">
            <w:pPr>
              <w:rPr>
                <w:sz w:val="4"/>
                <w:szCs w:val="4"/>
              </w:rPr>
            </w:pPr>
          </w:p>
        </w:tc>
        <w:tc>
          <w:tcPr>
            <w:tcW w:w="140" w:type="dxa"/>
            <w:shd w:val="clear" w:color="auto" w:fill="CCEEFF"/>
            <w:vAlign w:val="bottom"/>
          </w:tcPr>
          <w:p w14:paraId="38EE91D0" w14:textId="77777777" w:rsidR="00D1587D" w:rsidRDefault="00D1587D">
            <w:pPr>
              <w:rPr>
                <w:sz w:val="4"/>
                <w:szCs w:val="4"/>
              </w:rPr>
            </w:pPr>
          </w:p>
        </w:tc>
        <w:tc>
          <w:tcPr>
            <w:tcW w:w="1080" w:type="dxa"/>
            <w:shd w:val="clear" w:color="auto" w:fill="CCEEFF"/>
            <w:vAlign w:val="bottom"/>
          </w:tcPr>
          <w:p w14:paraId="335CAFA1" w14:textId="77777777" w:rsidR="00D1587D" w:rsidRDefault="00D1587D">
            <w:pPr>
              <w:rPr>
                <w:sz w:val="4"/>
                <w:szCs w:val="4"/>
              </w:rPr>
            </w:pPr>
          </w:p>
        </w:tc>
        <w:tc>
          <w:tcPr>
            <w:tcW w:w="120" w:type="dxa"/>
            <w:shd w:val="clear" w:color="auto" w:fill="CCEEFF"/>
            <w:vAlign w:val="bottom"/>
          </w:tcPr>
          <w:p w14:paraId="05CA8FE1" w14:textId="77777777" w:rsidR="00D1587D" w:rsidRDefault="00D1587D">
            <w:pPr>
              <w:rPr>
                <w:sz w:val="4"/>
                <w:szCs w:val="4"/>
              </w:rPr>
            </w:pPr>
          </w:p>
        </w:tc>
        <w:tc>
          <w:tcPr>
            <w:tcW w:w="1080" w:type="dxa"/>
            <w:shd w:val="clear" w:color="auto" w:fill="CCEEFF"/>
            <w:vAlign w:val="bottom"/>
          </w:tcPr>
          <w:p w14:paraId="46FE5CCA" w14:textId="77777777" w:rsidR="00D1587D" w:rsidRDefault="00D1587D">
            <w:pPr>
              <w:rPr>
                <w:sz w:val="4"/>
                <w:szCs w:val="4"/>
              </w:rPr>
            </w:pPr>
          </w:p>
        </w:tc>
      </w:tr>
    </w:tbl>
    <w:p w14:paraId="0DEA4523" w14:textId="77777777" w:rsidR="00D1587D" w:rsidRDefault="00410D07">
      <w:pPr>
        <w:spacing w:line="20" w:lineRule="exact"/>
        <w:rPr>
          <w:sz w:val="20"/>
          <w:szCs w:val="20"/>
        </w:rPr>
      </w:pPr>
      <w:r>
        <w:rPr>
          <w:noProof/>
          <w:sz w:val="20"/>
          <w:szCs w:val="20"/>
        </w:rPr>
        <w:drawing>
          <wp:anchor distT="0" distB="0" distL="114300" distR="114300" simplePos="0" relativeHeight="251841536" behindDoc="1" locked="0" layoutInCell="0" allowOverlap="1" wp14:anchorId="77E97C93" wp14:editId="535D0225">
            <wp:simplePos x="0" y="0"/>
            <wp:positionH relativeFrom="column">
              <wp:posOffset>4771390</wp:posOffset>
            </wp:positionH>
            <wp:positionV relativeFrom="paragraph">
              <wp:posOffset>-1045210</wp:posOffset>
            </wp:positionV>
            <wp:extent cx="85725" cy="8255"/>
            <wp:effectExtent l="0" t="0" r="0" b="0"/>
            <wp:wrapNone/>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842560" behindDoc="1" locked="0" layoutInCell="0" allowOverlap="1" wp14:anchorId="32283144" wp14:editId="4AF6BFCA">
            <wp:simplePos x="0" y="0"/>
            <wp:positionH relativeFrom="column">
              <wp:posOffset>3999865</wp:posOffset>
            </wp:positionH>
            <wp:positionV relativeFrom="paragraph">
              <wp:posOffset>-1045210</wp:posOffset>
            </wp:positionV>
            <wp:extent cx="85725" cy="8255"/>
            <wp:effectExtent l="0" t="0" r="0" b="0"/>
            <wp:wrapNone/>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843584" behindDoc="1" locked="0" layoutInCell="0" allowOverlap="1" wp14:anchorId="77288A29" wp14:editId="694948AB">
            <wp:simplePos x="0" y="0"/>
            <wp:positionH relativeFrom="column">
              <wp:posOffset>3237230</wp:posOffset>
            </wp:positionH>
            <wp:positionV relativeFrom="paragraph">
              <wp:posOffset>-1045210</wp:posOffset>
            </wp:positionV>
            <wp:extent cx="85725" cy="8255"/>
            <wp:effectExtent l="0" t="0" r="0" b="0"/>
            <wp:wrapNone/>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844608" behindDoc="1" locked="0" layoutInCell="0" allowOverlap="1" wp14:anchorId="3B75B90A" wp14:editId="2E488435">
            <wp:simplePos x="0" y="0"/>
            <wp:positionH relativeFrom="column">
              <wp:posOffset>2405380</wp:posOffset>
            </wp:positionH>
            <wp:positionV relativeFrom="paragraph">
              <wp:posOffset>-1045210</wp:posOffset>
            </wp:positionV>
            <wp:extent cx="85725" cy="8255"/>
            <wp:effectExtent l="0" t="0" r="0" b="0"/>
            <wp:wrapNone/>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1845632" behindDoc="1" locked="0" layoutInCell="0" allowOverlap="1" wp14:anchorId="2F04BB59" wp14:editId="639413DB">
            <wp:simplePos x="0" y="0"/>
            <wp:positionH relativeFrom="column">
              <wp:posOffset>1625600</wp:posOffset>
            </wp:positionH>
            <wp:positionV relativeFrom="paragraph">
              <wp:posOffset>-1045210</wp:posOffset>
            </wp:positionV>
            <wp:extent cx="43180" cy="8255"/>
            <wp:effectExtent l="0" t="0" r="0" b="0"/>
            <wp:wrapNone/>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1846656" behindDoc="1" locked="0" layoutInCell="0" allowOverlap="1" wp14:anchorId="42CAA02F" wp14:editId="72700CEE">
            <wp:simplePos x="0" y="0"/>
            <wp:positionH relativeFrom="column">
              <wp:posOffset>185420</wp:posOffset>
            </wp:positionH>
            <wp:positionV relativeFrom="paragraph">
              <wp:posOffset>145415</wp:posOffset>
            </wp:positionV>
            <wp:extent cx="822960" cy="8890"/>
            <wp:effectExtent l="0" t="0" r="0" b="0"/>
            <wp:wrapNone/>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6F6B16D2" w14:textId="77777777" w:rsidR="00D1587D" w:rsidRDefault="00D1587D">
      <w:pPr>
        <w:spacing w:line="258" w:lineRule="exact"/>
        <w:rPr>
          <w:sz w:val="20"/>
          <w:szCs w:val="20"/>
        </w:rPr>
      </w:pPr>
    </w:p>
    <w:p w14:paraId="7A575E96" w14:textId="77777777" w:rsidR="00D1587D" w:rsidRDefault="00410D07" w:rsidP="00410D07">
      <w:pPr>
        <w:numPr>
          <w:ilvl w:val="0"/>
          <w:numId w:val="317"/>
        </w:numPr>
        <w:tabs>
          <w:tab w:val="left" w:pos="640"/>
        </w:tabs>
        <w:spacing w:line="253" w:lineRule="auto"/>
        <w:ind w:left="640" w:right="519" w:hanging="348"/>
        <w:rPr>
          <w:rFonts w:ascii="Arial" w:eastAsia="Arial" w:hAnsi="Arial" w:cs="Arial"/>
          <w:sz w:val="14"/>
          <w:szCs w:val="14"/>
        </w:rPr>
      </w:pPr>
      <w:r>
        <w:rPr>
          <w:rFonts w:ascii="Arial" w:eastAsia="Arial" w:hAnsi="Arial" w:cs="Arial"/>
          <w:sz w:val="14"/>
          <w:szCs w:val="14"/>
        </w:rPr>
        <w:t xml:space="preserve">Fall payout for Mr. Waters and Spring payout for Mr. Burgdoerfer were pro-rated based on the number of days each NEO served in their roles </w:t>
      </w:r>
      <w:r>
        <w:rPr>
          <w:rFonts w:ascii="Arial" w:eastAsia="Arial" w:hAnsi="Arial" w:cs="Arial"/>
          <w:sz w:val="14"/>
          <w:szCs w:val="14"/>
        </w:rPr>
        <w:t>during the season.</w:t>
      </w:r>
    </w:p>
    <w:p w14:paraId="04D49AB4" w14:textId="77777777" w:rsidR="00D1587D" w:rsidRDefault="00D1587D">
      <w:pPr>
        <w:spacing w:line="11" w:lineRule="exact"/>
        <w:rPr>
          <w:rFonts w:ascii="Arial" w:eastAsia="Arial" w:hAnsi="Arial" w:cs="Arial"/>
          <w:sz w:val="14"/>
          <w:szCs w:val="14"/>
        </w:rPr>
      </w:pPr>
    </w:p>
    <w:p w14:paraId="6B3FA8C1" w14:textId="77777777" w:rsidR="00D1587D" w:rsidRDefault="00410D07" w:rsidP="00410D07">
      <w:pPr>
        <w:numPr>
          <w:ilvl w:val="0"/>
          <w:numId w:val="317"/>
        </w:numPr>
        <w:tabs>
          <w:tab w:val="left" w:pos="640"/>
        </w:tabs>
        <w:spacing w:line="238" w:lineRule="auto"/>
        <w:ind w:left="640" w:right="539" w:hanging="348"/>
        <w:rPr>
          <w:rFonts w:ascii="Arial" w:eastAsia="Arial" w:hAnsi="Arial" w:cs="Arial"/>
          <w:sz w:val="14"/>
          <w:szCs w:val="14"/>
        </w:rPr>
      </w:pPr>
      <w:r>
        <w:rPr>
          <w:rFonts w:ascii="Arial" w:eastAsia="Arial" w:hAnsi="Arial" w:cs="Arial"/>
          <w:sz w:val="14"/>
          <w:szCs w:val="14"/>
        </w:rPr>
        <w:t>As the former Chief Executive Officer of L Brands International, Mr. Waters’ short-term performance-based incentive compensation for Spring 2020 was based 100% on L Brands International. His short-term performance-based incentive compen</w:t>
      </w:r>
      <w:r>
        <w:rPr>
          <w:rFonts w:ascii="Arial" w:eastAsia="Arial" w:hAnsi="Arial" w:cs="Arial"/>
          <w:sz w:val="14"/>
          <w:szCs w:val="14"/>
        </w:rPr>
        <w:t>sation for Fall 2020 was based 100% on VS.</w:t>
      </w:r>
    </w:p>
    <w:p w14:paraId="0439EB41" w14:textId="77777777" w:rsidR="00D1587D" w:rsidRDefault="00D1587D">
      <w:pPr>
        <w:spacing w:line="20" w:lineRule="exact"/>
        <w:rPr>
          <w:rFonts w:ascii="Arial" w:eastAsia="Arial" w:hAnsi="Arial" w:cs="Arial"/>
          <w:sz w:val="14"/>
          <w:szCs w:val="14"/>
        </w:rPr>
      </w:pPr>
    </w:p>
    <w:p w14:paraId="3D02C8E5" w14:textId="77777777" w:rsidR="00D1587D" w:rsidRDefault="00410D07" w:rsidP="00410D07">
      <w:pPr>
        <w:numPr>
          <w:ilvl w:val="0"/>
          <w:numId w:val="317"/>
        </w:numPr>
        <w:tabs>
          <w:tab w:val="left" w:pos="640"/>
        </w:tabs>
        <w:spacing w:line="233" w:lineRule="auto"/>
        <w:ind w:left="640" w:right="439" w:hanging="348"/>
        <w:rPr>
          <w:rFonts w:ascii="Arial" w:eastAsia="Arial" w:hAnsi="Arial" w:cs="Arial"/>
          <w:sz w:val="14"/>
          <w:szCs w:val="14"/>
        </w:rPr>
      </w:pPr>
      <w:r>
        <w:rPr>
          <w:rFonts w:ascii="Arial" w:eastAsia="Arial" w:hAnsi="Arial" w:cs="Arial"/>
          <w:sz w:val="14"/>
          <w:szCs w:val="14"/>
        </w:rPr>
        <w:t xml:space="preserve">As the Chief Financial Officer for LB, Mr. Burgdoerfer’s short-term performance-based incentive compensation is based partly on results for Bath &amp; Body Works and the overall LB business. During Spring 2020, </w:t>
      </w:r>
      <w:r>
        <w:rPr>
          <w:rFonts w:ascii="Arial" w:eastAsia="Arial" w:hAnsi="Arial" w:cs="Arial"/>
          <w:sz w:val="14"/>
          <w:szCs w:val="14"/>
        </w:rPr>
        <w:t>Mr. Burgdoerfer’s performance goals were weighted 48% for VS, 24% for Bath &amp; Body Works, 10% for other and 18% for LB. During Fall 2020, Mr. Burgdoerfer’s performance goals were weighted 87% for VS and 13% for Bath &amp; Body Works.</w:t>
      </w:r>
    </w:p>
    <w:p w14:paraId="2EE1E072" w14:textId="77777777" w:rsidR="00D1587D" w:rsidRDefault="00D1587D">
      <w:pPr>
        <w:spacing w:line="81" w:lineRule="exact"/>
        <w:rPr>
          <w:sz w:val="20"/>
          <w:szCs w:val="20"/>
        </w:rPr>
      </w:pPr>
    </w:p>
    <w:p w14:paraId="2A6C346E" w14:textId="77777777" w:rsidR="00D1587D" w:rsidRDefault="00410D07">
      <w:pPr>
        <w:spacing w:line="308" w:lineRule="auto"/>
        <w:ind w:left="300" w:right="399" w:firstLine="360"/>
        <w:rPr>
          <w:sz w:val="20"/>
          <w:szCs w:val="20"/>
        </w:rPr>
      </w:pPr>
      <w:r>
        <w:rPr>
          <w:rFonts w:ascii="Arial" w:eastAsia="Arial" w:hAnsi="Arial" w:cs="Arial"/>
          <w:i/>
          <w:iCs/>
          <w:sz w:val="17"/>
          <w:szCs w:val="17"/>
        </w:rPr>
        <w:t>Going forward</w:t>
      </w:r>
      <w:r>
        <w:rPr>
          <w:rFonts w:ascii="Arial" w:eastAsia="Arial" w:hAnsi="Arial" w:cs="Arial"/>
          <w:sz w:val="17"/>
          <w:szCs w:val="17"/>
        </w:rPr>
        <w:t>: We anticipa</w:t>
      </w:r>
      <w:r>
        <w:rPr>
          <w:rFonts w:ascii="Arial" w:eastAsia="Arial" w:hAnsi="Arial" w:cs="Arial"/>
          <w:sz w:val="17"/>
          <w:szCs w:val="17"/>
        </w:rPr>
        <w:t>te that we will adopt the VS 2021 Cash Incentive Compensation Performance Plan</w:t>
      </w:r>
      <w:r>
        <w:rPr>
          <w:rFonts w:ascii="Arial" w:eastAsia="Arial" w:hAnsi="Arial" w:cs="Arial"/>
          <w:i/>
          <w:iCs/>
          <w:sz w:val="17"/>
          <w:szCs w:val="17"/>
        </w:rPr>
        <w:t xml:space="preserve"> </w:t>
      </w:r>
      <w:r>
        <w:rPr>
          <w:rFonts w:ascii="Arial" w:eastAsia="Arial" w:hAnsi="Arial" w:cs="Arial"/>
          <w:sz w:val="17"/>
          <w:szCs w:val="17"/>
        </w:rPr>
        <w:t>(the “VS 2021 ICPP”), a cash compensation plan similar to the LB 2015 ICPP. The VS HCC Committee,</w:t>
      </w:r>
    </w:p>
    <w:p w14:paraId="14243096" w14:textId="77777777" w:rsidR="00D1587D" w:rsidRDefault="00D1587D">
      <w:pPr>
        <w:spacing w:line="146" w:lineRule="exact"/>
        <w:rPr>
          <w:sz w:val="20"/>
          <w:szCs w:val="20"/>
        </w:rPr>
      </w:pPr>
    </w:p>
    <w:p w14:paraId="4B68AF0D" w14:textId="77777777" w:rsidR="00D1587D" w:rsidRDefault="00410D07">
      <w:pPr>
        <w:jc w:val="center"/>
        <w:rPr>
          <w:sz w:val="20"/>
          <w:szCs w:val="20"/>
        </w:rPr>
      </w:pPr>
      <w:r>
        <w:rPr>
          <w:rFonts w:ascii="Arial" w:eastAsia="Arial" w:hAnsi="Arial" w:cs="Arial"/>
          <w:sz w:val="18"/>
          <w:szCs w:val="18"/>
        </w:rPr>
        <w:t>112</w:t>
      </w:r>
    </w:p>
    <w:p w14:paraId="0A106748" w14:textId="77777777" w:rsidR="00D1587D" w:rsidRDefault="00410D07">
      <w:pPr>
        <w:spacing w:line="20" w:lineRule="exact"/>
        <w:rPr>
          <w:sz w:val="20"/>
          <w:szCs w:val="20"/>
        </w:rPr>
      </w:pPr>
      <w:r>
        <w:rPr>
          <w:noProof/>
          <w:sz w:val="20"/>
          <w:szCs w:val="20"/>
        </w:rPr>
        <w:drawing>
          <wp:anchor distT="0" distB="0" distL="114300" distR="114300" simplePos="0" relativeHeight="251847680" behindDoc="1" locked="0" layoutInCell="0" allowOverlap="1" wp14:anchorId="4FACE8D7" wp14:editId="376D6CFA">
            <wp:simplePos x="0" y="0"/>
            <wp:positionH relativeFrom="column">
              <wp:posOffset>-636905</wp:posOffset>
            </wp:positionH>
            <wp:positionV relativeFrom="paragraph">
              <wp:posOffset>134620</wp:posOffset>
            </wp:positionV>
            <wp:extent cx="6995160" cy="17145"/>
            <wp:effectExtent l="0" t="0" r="0" b="0"/>
            <wp:wrapNone/>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256FBAA" w14:textId="77777777" w:rsidR="00D1587D" w:rsidRDefault="00D1587D">
      <w:pPr>
        <w:sectPr w:rsidR="00D1587D">
          <w:pgSz w:w="11900" w:h="16838"/>
          <w:pgMar w:top="265" w:right="1440" w:bottom="1440" w:left="1440" w:header="0" w:footer="0" w:gutter="0"/>
          <w:cols w:space="720" w:equalWidth="0">
            <w:col w:w="9019"/>
          </w:cols>
        </w:sectPr>
      </w:pPr>
    </w:p>
    <w:bookmarkStart w:id="370" w:name="page371"/>
    <w:bookmarkEnd w:id="370"/>
    <w:p w14:paraId="4E017FA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A8BDE4D" w14:textId="77777777" w:rsidR="00D1587D" w:rsidRDefault="00D1587D">
      <w:pPr>
        <w:spacing w:line="131" w:lineRule="exact"/>
        <w:rPr>
          <w:sz w:val="20"/>
          <w:szCs w:val="20"/>
        </w:rPr>
      </w:pPr>
    </w:p>
    <w:p w14:paraId="52DBEA44" w14:textId="77777777" w:rsidR="00D1587D" w:rsidRDefault="00410D07">
      <w:pPr>
        <w:spacing w:line="342" w:lineRule="auto"/>
        <w:ind w:left="300" w:right="339"/>
        <w:rPr>
          <w:sz w:val="20"/>
          <w:szCs w:val="20"/>
        </w:rPr>
      </w:pPr>
      <w:r>
        <w:rPr>
          <w:rFonts w:ascii="Arial" w:eastAsia="Arial" w:hAnsi="Arial" w:cs="Arial"/>
          <w:sz w:val="16"/>
          <w:szCs w:val="16"/>
        </w:rPr>
        <w:t xml:space="preserve">in </w:t>
      </w:r>
      <w:r>
        <w:rPr>
          <w:rFonts w:ascii="Arial" w:eastAsia="Arial" w:hAnsi="Arial" w:cs="Arial"/>
          <w:sz w:val="16"/>
          <w:szCs w:val="16"/>
        </w:rPr>
        <w:t>consultation with its compensation consultant, will review performance metrics, performance periods, vesting and other terms and conditions as it determines are appropriate for VS considering our business goals and objectives.</w:t>
      </w:r>
    </w:p>
    <w:p w14:paraId="59B718AE" w14:textId="77777777" w:rsidR="00D1587D" w:rsidRDefault="00D1587D">
      <w:pPr>
        <w:spacing w:line="232" w:lineRule="exact"/>
        <w:rPr>
          <w:sz w:val="20"/>
          <w:szCs w:val="20"/>
        </w:rPr>
      </w:pPr>
    </w:p>
    <w:p w14:paraId="603AAD37" w14:textId="77777777" w:rsidR="00D1587D" w:rsidRDefault="00410D07">
      <w:pPr>
        <w:ind w:left="300"/>
        <w:rPr>
          <w:sz w:val="20"/>
          <w:szCs w:val="20"/>
        </w:rPr>
      </w:pPr>
      <w:r>
        <w:rPr>
          <w:rFonts w:ascii="Arial" w:eastAsia="Arial" w:hAnsi="Arial" w:cs="Arial"/>
          <w:b/>
          <w:bCs/>
          <w:i/>
          <w:iCs/>
          <w:sz w:val="18"/>
          <w:szCs w:val="18"/>
        </w:rPr>
        <w:t>Long-Term Equity Compensatio</w:t>
      </w:r>
      <w:r>
        <w:rPr>
          <w:rFonts w:ascii="Arial" w:eastAsia="Arial" w:hAnsi="Arial" w:cs="Arial"/>
          <w:b/>
          <w:bCs/>
          <w:i/>
          <w:iCs/>
          <w:sz w:val="18"/>
          <w:szCs w:val="18"/>
        </w:rPr>
        <w:t>n</w:t>
      </w:r>
    </w:p>
    <w:p w14:paraId="4614074C" w14:textId="77777777" w:rsidR="00D1587D" w:rsidRDefault="00D1587D">
      <w:pPr>
        <w:spacing w:line="117" w:lineRule="exact"/>
        <w:rPr>
          <w:sz w:val="20"/>
          <w:szCs w:val="20"/>
        </w:rPr>
      </w:pPr>
    </w:p>
    <w:p w14:paraId="0968D32B" w14:textId="77777777" w:rsidR="00D1587D" w:rsidRDefault="00410D07">
      <w:pPr>
        <w:spacing w:line="255" w:lineRule="auto"/>
        <w:ind w:left="300" w:right="319" w:firstLine="360"/>
        <w:rPr>
          <w:sz w:val="20"/>
          <w:szCs w:val="20"/>
        </w:rPr>
      </w:pPr>
      <w:r>
        <w:rPr>
          <w:rFonts w:ascii="Arial" w:eastAsia="Arial" w:hAnsi="Arial" w:cs="Arial"/>
          <w:sz w:val="18"/>
          <w:szCs w:val="18"/>
        </w:rPr>
        <w:t>LB has historically granted equity awards under the L Brands Inc. 2015 Stock Option and Performance Incentive Plan (the “2015 Plan”) and intends in the future to grant equity awards under the L Brands Inc. 2020 Stock Option and Performance Incentive Pla</w:t>
      </w:r>
      <w:r>
        <w:rPr>
          <w:rFonts w:ascii="Arial" w:eastAsia="Arial" w:hAnsi="Arial" w:cs="Arial"/>
          <w:sz w:val="18"/>
          <w:szCs w:val="18"/>
        </w:rPr>
        <w:t>n (the “LB 2020 Plan”). LB’s long-term equity compensation program has historically been comprised of a mix of three types of awards: performance stock units (“PSUs”), time-vested restricted stock units (“RSUs”) and stock options, providing a balance of pe</w:t>
      </w:r>
      <w:r>
        <w:rPr>
          <w:rFonts w:ascii="Arial" w:eastAsia="Arial" w:hAnsi="Arial" w:cs="Arial"/>
          <w:sz w:val="18"/>
          <w:szCs w:val="18"/>
        </w:rPr>
        <w:t>rformance incentive, alignment with stockholders and retention.</w:t>
      </w:r>
    </w:p>
    <w:p w14:paraId="1579C2F5" w14:textId="77777777" w:rsidR="00D1587D" w:rsidRDefault="00D1587D">
      <w:pPr>
        <w:spacing w:line="111" w:lineRule="exact"/>
        <w:rPr>
          <w:sz w:val="20"/>
          <w:szCs w:val="20"/>
        </w:rPr>
      </w:pPr>
    </w:p>
    <w:p w14:paraId="7B38FC87" w14:textId="77777777" w:rsidR="00D1587D" w:rsidRDefault="00410D07">
      <w:pPr>
        <w:ind w:left="660"/>
        <w:rPr>
          <w:sz w:val="20"/>
          <w:szCs w:val="20"/>
        </w:rPr>
      </w:pPr>
      <w:r>
        <w:rPr>
          <w:rFonts w:ascii="Arial" w:eastAsia="Arial" w:hAnsi="Arial" w:cs="Arial"/>
          <w:sz w:val="18"/>
          <w:szCs w:val="18"/>
        </w:rPr>
        <w:t>LB’s long-term equity compensation program is designed to:</w:t>
      </w:r>
    </w:p>
    <w:p w14:paraId="543CCAD7" w14:textId="77777777" w:rsidR="00D1587D" w:rsidRDefault="00D1587D">
      <w:pPr>
        <w:spacing w:line="117" w:lineRule="exact"/>
        <w:rPr>
          <w:sz w:val="20"/>
          <w:szCs w:val="20"/>
        </w:rPr>
      </w:pPr>
    </w:p>
    <w:p w14:paraId="3B3E876D" w14:textId="77777777" w:rsidR="00D1587D" w:rsidRDefault="00410D07" w:rsidP="00410D07">
      <w:pPr>
        <w:numPr>
          <w:ilvl w:val="0"/>
          <w:numId w:val="318"/>
        </w:numPr>
        <w:tabs>
          <w:tab w:val="left" w:pos="1000"/>
        </w:tabs>
        <w:ind w:left="1000" w:hanging="348"/>
        <w:rPr>
          <w:rFonts w:ascii="Arial" w:eastAsia="Arial" w:hAnsi="Arial" w:cs="Arial"/>
          <w:sz w:val="18"/>
          <w:szCs w:val="18"/>
        </w:rPr>
      </w:pPr>
      <w:r>
        <w:rPr>
          <w:rFonts w:ascii="Arial" w:eastAsia="Arial" w:hAnsi="Arial" w:cs="Arial"/>
          <w:sz w:val="18"/>
          <w:szCs w:val="18"/>
        </w:rPr>
        <w:t>incentivize achievement of key performance metrics (through the performance requirement);</w:t>
      </w:r>
    </w:p>
    <w:p w14:paraId="68DE3AF6" w14:textId="77777777" w:rsidR="00D1587D" w:rsidRDefault="00D1587D">
      <w:pPr>
        <w:spacing w:line="117" w:lineRule="exact"/>
        <w:rPr>
          <w:rFonts w:ascii="Arial" w:eastAsia="Arial" w:hAnsi="Arial" w:cs="Arial"/>
          <w:sz w:val="18"/>
          <w:szCs w:val="18"/>
        </w:rPr>
      </w:pPr>
    </w:p>
    <w:p w14:paraId="3088CB75" w14:textId="77777777" w:rsidR="00D1587D" w:rsidRDefault="00410D07" w:rsidP="00410D07">
      <w:pPr>
        <w:numPr>
          <w:ilvl w:val="0"/>
          <w:numId w:val="318"/>
        </w:numPr>
        <w:tabs>
          <w:tab w:val="left" w:pos="1000"/>
        </w:tabs>
        <w:spacing w:line="277" w:lineRule="auto"/>
        <w:ind w:left="1000" w:right="559" w:hanging="348"/>
        <w:rPr>
          <w:rFonts w:ascii="Arial" w:eastAsia="Arial" w:hAnsi="Arial" w:cs="Arial"/>
          <w:sz w:val="18"/>
          <w:szCs w:val="18"/>
        </w:rPr>
      </w:pPr>
      <w:r>
        <w:rPr>
          <w:rFonts w:ascii="Arial" w:eastAsia="Arial" w:hAnsi="Arial" w:cs="Arial"/>
          <w:sz w:val="18"/>
          <w:szCs w:val="18"/>
        </w:rPr>
        <w:t xml:space="preserve">align executive rewards with those </w:t>
      </w:r>
      <w:r>
        <w:rPr>
          <w:rFonts w:ascii="Arial" w:eastAsia="Arial" w:hAnsi="Arial" w:cs="Arial"/>
          <w:sz w:val="18"/>
          <w:szCs w:val="18"/>
        </w:rPr>
        <w:t>realized by stockholders (through the market value of LB’s common stock);</w:t>
      </w:r>
    </w:p>
    <w:p w14:paraId="0AF2040D" w14:textId="77777777" w:rsidR="00D1587D" w:rsidRDefault="00D1587D">
      <w:pPr>
        <w:spacing w:line="62" w:lineRule="exact"/>
        <w:rPr>
          <w:rFonts w:ascii="Arial" w:eastAsia="Arial" w:hAnsi="Arial" w:cs="Arial"/>
          <w:sz w:val="18"/>
          <w:szCs w:val="18"/>
        </w:rPr>
      </w:pPr>
    </w:p>
    <w:p w14:paraId="01921136" w14:textId="77777777" w:rsidR="00D1587D" w:rsidRDefault="00410D07" w:rsidP="00410D07">
      <w:pPr>
        <w:numPr>
          <w:ilvl w:val="0"/>
          <w:numId w:val="318"/>
        </w:numPr>
        <w:tabs>
          <w:tab w:val="left" w:pos="1000"/>
        </w:tabs>
        <w:ind w:left="1000" w:hanging="348"/>
        <w:rPr>
          <w:rFonts w:ascii="Arial" w:eastAsia="Arial" w:hAnsi="Arial" w:cs="Arial"/>
          <w:sz w:val="18"/>
          <w:szCs w:val="18"/>
        </w:rPr>
      </w:pPr>
      <w:r>
        <w:rPr>
          <w:rFonts w:ascii="Arial" w:eastAsia="Arial" w:hAnsi="Arial" w:cs="Arial"/>
          <w:sz w:val="18"/>
          <w:szCs w:val="18"/>
        </w:rPr>
        <w:t>retain superior executive talent (through the time vesting requirements); and</w:t>
      </w:r>
    </w:p>
    <w:p w14:paraId="5BAAF7B8" w14:textId="77777777" w:rsidR="00D1587D" w:rsidRDefault="00D1587D">
      <w:pPr>
        <w:spacing w:line="117" w:lineRule="exact"/>
        <w:rPr>
          <w:rFonts w:ascii="Arial" w:eastAsia="Arial" w:hAnsi="Arial" w:cs="Arial"/>
          <w:sz w:val="18"/>
          <w:szCs w:val="18"/>
        </w:rPr>
      </w:pPr>
    </w:p>
    <w:p w14:paraId="48EE230A" w14:textId="77777777" w:rsidR="00D1587D" w:rsidRDefault="00410D07" w:rsidP="00410D07">
      <w:pPr>
        <w:numPr>
          <w:ilvl w:val="0"/>
          <w:numId w:val="318"/>
        </w:numPr>
        <w:tabs>
          <w:tab w:val="left" w:pos="1000"/>
        </w:tabs>
        <w:ind w:left="1000" w:hanging="348"/>
        <w:rPr>
          <w:rFonts w:ascii="Arial" w:eastAsia="Arial" w:hAnsi="Arial" w:cs="Arial"/>
          <w:sz w:val="17"/>
          <w:szCs w:val="17"/>
        </w:rPr>
      </w:pPr>
      <w:r>
        <w:rPr>
          <w:rFonts w:ascii="Arial" w:eastAsia="Arial" w:hAnsi="Arial" w:cs="Arial"/>
          <w:sz w:val="17"/>
          <w:szCs w:val="17"/>
        </w:rPr>
        <w:t>reward exceptional individual performance (through annual determination of the size of the award).</w:t>
      </w:r>
    </w:p>
    <w:p w14:paraId="72C309BA" w14:textId="77777777" w:rsidR="00D1587D" w:rsidRDefault="00D1587D">
      <w:pPr>
        <w:spacing w:line="129" w:lineRule="exact"/>
        <w:rPr>
          <w:sz w:val="20"/>
          <w:szCs w:val="20"/>
        </w:rPr>
      </w:pPr>
    </w:p>
    <w:p w14:paraId="3F590F45" w14:textId="77777777" w:rsidR="00D1587D" w:rsidRDefault="00410D07">
      <w:pPr>
        <w:spacing w:line="257" w:lineRule="auto"/>
        <w:ind w:left="300" w:right="299" w:firstLine="360"/>
        <w:rPr>
          <w:sz w:val="20"/>
          <w:szCs w:val="20"/>
        </w:rPr>
      </w:pPr>
      <w:r>
        <w:rPr>
          <w:rFonts w:ascii="Arial" w:eastAsia="Arial" w:hAnsi="Arial" w:cs="Arial"/>
          <w:sz w:val="18"/>
          <w:szCs w:val="18"/>
        </w:rPr>
        <w:t>In</w:t>
      </w:r>
      <w:r>
        <w:rPr>
          <w:rFonts w:ascii="Arial" w:eastAsia="Arial" w:hAnsi="Arial" w:cs="Arial"/>
          <w:sz w:val="18"/>
          <w:szCs w:val="18"/>
        </w:rPr>
        <w:t xml:space="preserve"> determining the size of any grants of equity awards, the LB HCC Committee or members of LB management take into account the applicable executive’s individual performance (including contribution to the achievement of business goals, execution of retail fun</w:t>
      </w:r>
      <w:r>
        <w:rPr>
          <w:rFonts w:ascii="Arial" w:eastAsia="Arial" w:hAnsi="Arial" w:cs="Arial"/>
          <w:sz w:val="18"/>
          <w:szCs w:val="18"/>
        </w:rPr>
        <w:t>damentals and accomplishment of talent and cultural objectives), company performance, competitive practice, LB’s overall equity compensation expense budget, stockholder dilution, internal equity and retention risk.</w:t>
      </w:r>
    </w:p>
    <w:p w14:paraId="56AB96B8" w14:textId="77777777" w:rsidR="00D1587D" w:rsidRDefault="00D1587D">
      <w:pPr>
        <w:spacing w:line="80" w:lineRule="exact"/>
        <w:rPr>
          <w:sz w:val="20"/>
          <w:szCs w:val="20"/>
        </w:rPr>
      </w:pPr>
    </w:p>
    <w:p w14:paraId="0FC1E3B8" w14:textId="77777777" w:rsidR="00D1587D" w:rsidRDefault="00410D07">
      <w:pPr>
        <w:spacing w:line="273" w:lineRule="auto"/>
        <w:ind w:left="300" w:right="319" w:firstLine="360"/>
        <w:rPr>
          <w:sz w:val="20"/>
          <w:szCs w:val="20"/>
        </w:rPr>
      </w:pPr>
      <w:r>
        <w:rPr>
          <w:rFonts w:ascii="Arial" w:eastAsia="Arial" w:hAnsi="Arial" w:cs="Arial"/>
          <w:sz w:val="17"/>
          <w:szCs w:val="17"/>
        </w:rPr>
        <w:t>In 2020, due to the significant uncertai</w:t>
      </w:r>
      <w:r>
        <w:rPr>
          <w:rFonts w:ascii="Arial" w:eastAsia="Arial" w:hAnsi="Arial" w:cs="Arial"/>
          <w:sz w:val="17"/>
          <w:szCs w:val="17"/>
        </w:rPr>
        <w:t>nty surrounding the occurrence of the Separation, the COVID-19 pandemic and constraints on shares available for grant under the LB 2015 Plan, the LB HCC Committee decided not to grant annual long-term incentive equity awards to certain of its executives (i</w:t>
      </w:r>
      <w:r>
        <w:rPr>
          <w:rFonts w:ascii="Arial" w:eastAsia="Arial" w:hAnsi="Arial" w:cs="Arial"/>
          <w:sz w:val="17"/>
          <w:szCs w:val="17"/>
        </w:rPr>
        <w:t>ncluding our NEOs) at the time of its normal grant cycle (March 2020). Instead, to ensure long-term retention of its ongoing leadership during particularly turbulent times for LB’s business, the LB HCC Committee approved special cash retention bonus awards</w:t>
      </w:r>
      <w:r>
        <w:rPr>
          <w:rFonts w:ascii="Arial" w:eastAsia="Arial" w:hAnsi="Arial" w:cs="Arial"/>
          <w:sz w:val="17"/>
          <w:szCs w:val="17"/>
        </w:rPr>
        <w:t xml:space="preserve"> for certain LB executives (including each of our NEOs), which are discussed below.</w:t>
      </w:r>
    </w:p>
    <w:p w14:paraId="1C49B947" w14:textId="77777777" w:rsidR="00D1587D" w:rsidRDefault="00D1587D">
      <w:pPr>
        <w:spacing w:line="70" w:lineRule="exact"/>
        <w:rPr>
          <w:sz w:val="20"/>
          <w:szCs w:val="20"/>
        </w:rPr>
      </w:pPr>
    </w:p>
    <w:p w14:paraId="53558B72" w14:textId="77777777" w:rsidR="00D1587D" w:rsidRDefault="00410D07">
      <w:pPr>
        <w:spacing w:line="342" w:lineRule="auto"/>
        <w:ind w:left="300" w:right="639" w:firstLine="360"/>
        <w:rPr>
          <w:sz w:val="20"/>
          <w:szCs w:val="20"/>
        </w:rPr>
      </w:pPr>
      <w:r>
        <w:rPr>
          <w:rFonts w:ascii="Arial" w:eastAsia="Arial" w:hAnsi="Arial" w:cs="Arial"/>
          <w:sz w:val="16"/>
          <w:szCs w:val="16"/>
        </w:rPr>
        <w:t>In connection with his promotion in November 2020 to Chief Executive Officer, Victoria’s Secret Lingerie, Mr. Waters was granted RSUs with a grant date value of $1,000,000</w:t>
      </w:r>
      <w:r>
        <w:rPr>
          <w:rFonts w:ascii="Arial" w:eastAsia="Arial" w:hAnsi="Arial" w:cs="Arial"/>
          <w:sz w:val="16"/>
          <w:szCs w:val="16"/>
        </w:rPr>
        <w:t xml:space="preserve"> that cliff vest 100% after three years.</w:t>
      </w:r>
    </w:p>
    <w:p w14:paraId="13D3662A" w14:textId="77777777" w:rsidR="00D1587D" w:rsidRDefault="00D1587D">
      <w:pPr>
        <w:spacing w:line="16" w:lineRule="exact"/>
        <w:rPr>
          <w:sz w:val="20"/>
          <w:szCs w:val="20"/>
        </w:rPr>
      </w:pPr>
    </w:p>
    <w:p w14:paraId="30031341" w14:textId="77777777" w:rsidR="00D1587D" w:rsidRDefault="00410D07">
      <w:pPr>
        <w:spacing w:line="255" w:lineRule="auto"/>
        <w:ind w:left="300" w:right="339" w:firstLine="360"/>
        <w:rPr>
          <w:sz w:val="20"/>
          <w:szCs w:val="20"/>
        </w:rPr>
      </w:pPr>
      <w:r>
        <w:rPr>
          <w:rFonts w:ascii="Arial" w:eastAsia="Arial" w:hAnsi="Arial" w:cs="Arial"/>
          <w:sz w:val="18"/>
          <w:szCs w:val="18"/>
        </w:rPr>
        <w:t xml:space="preserve">In addition, following the end of fiscal 2020 and in connection with his promotion to Chief Executive Officer of VS, on February 5, 2021, Mr. Waters received a grant of PSUs with respect to LB shares of </w:t>
      </w:r>
      <w:r>
        <w:rPr>
          <w:rFonts w:ascii="Arial" w:eastAsia="Arial" w:hAnsi="Arial" w:cs="Arial"/>
          <w:sz w:val="18"/>
          <w:szCs w:val="18"/>
        </w:rPr>
        <w:t>common stock, with a target grant date value of $6,500,000. The PSUs will vest between 50% and 150% of target based on VS’s achievement of certain revenue growth and operating income metrics over a three-year performance period from January 31, 2021 throug</w:t>
      </w:r>
      <w:r>
        <w:rPr>
          <w:rFonts w:ascii="Arial" w:eastAsia="Arial" w:hAnsi="Arial" w:cs="Arial"/>
          <w:sz w:val="18"/>
          <w:szCs w:val="18"/>
        </w:rPr>
        <w:t>h February 3, 2024, subject to Mr. Waters’ continued employment with LB through February 5, 2024.</w:t>
      </w:r>
    </w:p>
    <w:p w14:paraId="01066EB9" w14:textId="77777777" w:rsidR="00D1587D" w:rsidRDefault="00D1587D">
      <w:pPr>
        <w:spacing w:line="84" w:lineRule="exact"/>
        <w:rPr>
          <w:sz w:val="20"/>
          <w:szCs w:val="20"/>
        </w:rPr>
      </w:pPr>
    </w:p>
    <w:p w14:paraId="6ED254F8" w14:textId="77777777" w:rsidR="00D1587D" w:rsidRDefault="00410D07">
      <w:pPr>
        <w:spacing w:line="273" w:lineRule="auto"/>
        <w:ind w:left="300" w:right="319" w:firstLine="360"/>
        <w:rPr>
          <w:sz w:val="20"/>
          <w:szCs w:val="20"/>
        </w:rPr>
      </w:pPr>
      <w:r>
        <w:rPr>
          <w:rFonts w:ascii="Arial" w:eastAsia="Arial" w:hAnsi="Arial" w:cs="Arial"/>
          <w:i/>
          <w:iCs/>
          <w:sz w:val="17"/>
          <w:szCs w:val="17"/>
        </w:rPr>
        <w:t>Going forward</w:t>
      </w:r>
      <w:r>
        <w:rPr>
          <w:rFonts w:ascii="Arial" w:eastAsia="Arial" w:hAnsi="Arial" w:cs="Arial"/>
          <w:sz w:val="17"/>
          <w:szCs w:val="17"/>
        </w:rPr>
        <w:t>: We intend to adopt the VS 2021 Stock Option and Performance Incentive Plan (“VS 2021</w:t>
      </w:r>
      <w:r>
        <w:rPr>
          <w:rFonts w:ascii="Arial" w:eastAsia="Arial" w:hAnsi="Arial" w:cs="Arial"/>
          <w:i/>
          <w:iCs/>
          <w:sz w:val="17"/>
          <w:szCs w:val="17"/>
        </w:rPr>
        <w:t xml:space="preserve"> </w:t>
      </w:r>
      <w:r>
        <w:rPr>
          <w:rFonts w:ascii="Arial" w:eastAsia="Arial" w:hAnsi="Arial" w:cs="Arial"/>
          <w:sz w:val="17"/>
          <w:szCs w:val="17"/>
        </w:rPr>
        <w:t xml:space="preserve">Plan”), a long-term equity incentive plan we </w:t>
      </w:r>
      <w:r>
        <w:rPr>
          <w:rFonts w:ascii="Arial" w:eastAsia="Arial" w:hAnsi="Arial" w:cs="Arial"/>
          <w:sz w:val="17"/>
          <w:szCs w:val="17"/>
        </w:rPr>
        <w:t xml:space="preserve">anticipate will be similar to the LB 2020 Plan under which we expect to grant equity incentive awards (which may include awards of PSUs, RSUs and stock options) to our senior executives (including our NEOs), non-employee directors and other employees. The </w:t>
      </w:r>
      <w:r>
        <w:rPr>
          <w:rFonts w:ascii="Arial" w:eastAsia="Arial" w:hAnsi="Arial" w:cs="Arial"/>
          <w:sz w:val="17"/>
          <w:szCs w:val="17"/>
        </w:rPr>
        <w:t>VS HCC Committee, in consultation with its compensation consultant, will review performance metrics, vesting and other terms and conditions as it determines are appropriate for VS considering our business goals and objectives.</w:t>
      </w:r>
    </w:p>
    <w:p w14:paraId="16129CEB" w14:textId="77777777" w:rsidR="00D1587D" w:rsidRDefault="00D1587D">
      <w:pPr>
        <w:spacing w:line="286" w:lineRule="exact"/>
        <w:rPr>
          <w:sz w:val="20"/>
          <w:szCs w:val="20"/>
        </w:rPr>
      </w:pPr>
    </w:p>
    <w:p w14:paraId="631A94E6" w14:textId="77777777" w:rsidR="00D1587D" w:rsidRDefault="00410D07">
      <w:pPr>
        <w:ind w:left="660"/>
        <w:rPr>
          <w:sz w:val="20"/>
          <w:szCs w:val="20"/>
        </w:rPr>
      </w:pPr>
      <w:r>
        <w:rPr>
          <w:rFonts w:ascii="Arial" w:eastAsia="Arial" w:hAnsi="Arial" w:cs="Arial"/>
          <w:i/>
          <w:iCs/>
          <w:sz w:val="18"/>
          <w:szCs w:val="18"/>
        </w:rPr>
        <w:t>Treatment of Outstanding Equ</w:t>
      </w:r>
      <w:r>
        <w:rPr>
          <w:rFonts w:ascii="Arial" w:eastAsia="Arial" w:hAnsi="Arial" w:cs="Arial"/>
          <w:i/>
          <w:iCs/>
          <w:sz w:val="18"/>
          <w:szCs w:val="18"/>
        </w:rPr>
        <w:t>ity Compensation Awards held by NEOs</w:t>
      </w:r>
    </w:p>
    <w:p w14:paraId="0DCF17DF" w14:textId="77777777" w:rsidR="00D1587D" w:rsidRDefault="00D1587D">
      <w:pPr>
        <w:spacing w:line="117" w:lineRule="exact"/>
        <w:rPr>
          <w:sz w:val="20"/>
          <w:szCs w:val="20"/>
        </w:rPr>
      </w:pPr>
    </w:p>
    <w:p w14:paraId="5CD37118" w14:textId="77777777" w:rsidR="00D1587D" w:rsidRDefault="00410D07">
      <w:pPr>
        <w:spacing w:line="263" w:lineRule="auto"/>
        <w:ind w:left="300" w:right="479" w:firstLine="360"/>
        <w:rPr>
          <w:sz w:val="20"/>
          <w:szCs w:val="20"/>
        </w:rPr>
      </w:pPr>
      <w:r>
        <w:rPr>
          <w:rFonts w:ascii="Arial" w:eastAsia="Arial" w:hAnsi="Arial" w:cs="Arial"/>
          <w:sz w:val="18"/>
          <w:szCs w:val="18"/>
        </w:rPr>
        <w:t>In connection with the Separation, outstanding LB equity awards will generally be equitably adjusted in a manner that is intended to preserve the aggregate intrinsic value of such awards as of immediately before and af</w:t>
      </w:r>
      <w:r>
        <w:rPr>
          <w:rFonts w:ascii="Arial" w:eastAsia="Arial" w:hAnsi="Arial" w:cs="Arial"/>
          <w:sz w:val="18"/>
          <w:szCs w:val="18"/>
        </w:rPr>
        <w:t>ter the Distribution.</w:t>
      </w:r>
    </w:p>
    <w:p w14:paraId="36A69091" w14:textId="77777777" w:rsidR="00D1587D" w:rsidRDefault="00D1587D">
      <w:pPr>
        <w:spacing w:line="76" w:lineRule="exact"/>
        <w:rPr>
          <w:sz w:val="20"/>
          <w:szCs w:val="20"/>
        </w:rPr>
      </w:pPr>
    </w:p>
    <w:p w14:paraId="2F04E544" w14:textId="77777777" w:rsidR="00D1587D" w:rsidRDefault="00410D07">
      <w:pPr>
        <w:spacing w:line="342" w:lineRule="auto"/>
        <w:ind w:left="300" w:right="639" w:firstLine="360"/>
        <w:rPr>
          <w:sz w:val="20"/>
          <w:szCs w:val="20"/>
        </w:rPr>
      </w:pPr>
      <w:r>
        <w:rPr>
          <w:rFonts w:ascii="Arial" w:eastAsia="Arial" w:hAnsi="Arial" w:cs="Arial"/>
          <w:sz w:val="16"/>
          <w:szCs w:val="16"/>
        </w:rPr>
        <w:t>Specifically, we intend that, in connection with the Separation, (i) outstanding LB equity awards held by individuals who will continue to be employed by or provide services to LB as well as former VS employees will</w:t>
      </w:r>
    </w:p>
    <w:p w14:paraId="69DC2C54" w14:textId="77777777" w:rsidR="00D1587D" w:rsidRDefault="00D1587D">
      <w:pPr>
        <w:spacing w:line="124" w:lineRule="exact"/>
        <w:rPr>
          <w:sz w:val="20"/>
          <w:szCs w:val="20"/>
        </w:rPr>
      </w:pPr>
    </w:p>
    <w:p w14:paraId="3E9D8F6C" w14:textId="77777777" w:rsidR="00D1587D" w:rsidRDefault="00410D07">
      <w:pPr>
        <w:jc w:val="center"/>
        <w:rPr>
          <w:sz w:val="20"/>
          <w:szCs w:val="20"/>
        </w:rPr>
      </w:pPr>
      <w:r>
        <w:rPr>
          <w:rFonts w:ascii="Arial" w:eastAsia="Arial" w:hAnsi="Arial" w:cs="Arial"/>
          <w:sz w:val="18"/>
          <w:szCs w:val="18"/>
        </w:rPr>
        <w:t>113</w:t>
      </w:r>
    </w:p>
    <w:p w14:paraId="3D93F435" w14:textId="77777777" w:rsidR="00D1587D" w:rsidRDefault="00410D07">
      <w:pPr>
        <w:spacing w:line="20" w:lineRule="exact"/>
        <w:rPr>
          <w:sz w:val="20"/>
          <w:szCs w:val="20"/>
        </w:rPr>
      </w:pPr>
      <w:r>
        <w:rPr>
          <w:noProof/>
          <w:sz w:val="20"/>
          <w:szCs w:val="20"/>
        </w:rPr>
        <w:drawing>
          <wp:anchor distT="0" distB="0" distL="114300" distR="114300" simplePos="0" relativeHeight="251848704" behindDoc="1" locked="0" layoutInCell="0" allowOverlap="1" wp14:anchorId="7BFA89BC" wp14:editId="5582E61C">
            <wp:simplePos x="0" y="0"/>
            <wp:positionH relativeFrom="column">
              <wp:posOffset>-636905</wp:posOffset>
            </wp:positionH>
            <wp:positionV relativeFrom="paragraph">
              <wp:posOffset>126365</wp:posOffset>
            </wp:positionV>
            <wp:extent cx="6995160" cy="17145"/>
            <wp:effectExtent l="0" t="0" r="0" b="0"/>
            <wp:wrapNone/>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00C6427" w14:textId="77777777" w:rsidR="00D1587D" w:rsidRDefault="00D1587D">
      <w:pPr>
        <w:sectPr w:rsidR="00D1587D">
          <w:pgSz w:w="11900" w:h="16838"/>
          <w:pgMar w:top="265" w:right="1440" w:bottom="1440" w:left="1440" w:header="0" w:footer="0" w:gutter="0"/>
          <w:cols w:space="720" w:equalWidth="0">
            <w:col w:w="9019"/>
          </w:cols>
        </w:sectPr>
      </w:pPr>
    </w:p>
    <w:bookmarkStart w:id="371" w:name="page372"/>
    <w:bookmarkEnd w:id="371"/>
    <w:p w14:paraId="266B1046"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45C1AAE" w14:textId="77777777" w:rsidR="00D1587D" w:rsidRDefault="00D1587D">
      <w:pPr>
        <w:spacing w:line="131" w:lineRule="exact"/>
        <w:rPr>
          <w:sz w:val="20"/>
          <w:szCs w:val="20"/>
        </w:rPr>
      </w:pPr>
    </w:p>
    <w:p w14:paraId="0C786978" w14:textId="77777777" w:rsidR="00D1587D" w:rsidRDefault="00410D07">
      <w:pPr>
        <w:spacing w:line="271" w:lineRule="auto"/>
        <w:ind w:left="300" w:right="319"/>
        <w:rPr>
          <w:sz w:val="20"/>
          <w:szCs w:val="20"/>
        </w:rPr>
      </w:pPr>
      <w:r>
        <w:rPr>
          <w:rFonts w:ascii="Arial" w:eastAsia="Arial" w:hAnsi="Arial" w:cs="Arial"/>
          <w:sz w:val="17"/>
          <w:szCs w:val="17"/>
        </w:rPr>
        <w:t xml:space="preserve">be equitably adjusted to reflect the difference in the value of LB common stock before and after the Distribution in a manner that is intended to preserve the overall intrinsic value of </w:t>
      </w:r>
      <w:r>
        <w:rPr>
          <w:rFonts w:ascii="Arial" w:eastAsia="Arial" w:hAnsi="Arial" w:cs="Arial"/>
          <w:sz w:val="17"/>
          <w:szCs w:val="17"/>
        </w:rPr>
        <w:t>the awards by taking into account the relative value of LB common stock before and after the Distribution, and (ii) outstanding LB equity awards held by individuals who are then-currently employed by or otherwise providing services to VS, or whose employme</w:t>
      </w:r>
      <w:r>
        <w:rPr>
          <w:rFonts w:ascii="Arial" w:eastAsia="Arial" w:hAnsi="Arial" w:cs="Arial"/>
          <w:sz w:val="17"/>
          <w:szCs w:val="17"/>
        </w:rPr>
        <w:t xml:space="preserve">nt or engagement will be transferred to VS in connection with and prior to the Separation, will be converted into equity awards that will be settled in shares of VS common stock in a manner intended to equitably preserve the overall intrinsic value of the </w:t>
      </w:r>
      <w:r>
        <w:rPr>
          <w:rFonts w:ascii="Arial" w:eastAsia="Arial" w:hAnsi="Arial" w:cs="Arial"/>
          <w:sz w:val="17"/>
          <w:szCs w:val="17"/>
        </w:rPr>
        <w:t>converted equity awards by taking into account the relative value of LB common stock before the Distribution and the value of VS common stock after the Distribution.</w:t>
      </w:r>
    </w:p>
    <w:p w14:paraId="0272D592" w14:textId="77777777" w:rsidR="00D1587D" w:rsidRDefault="00D1587D">
      <w:pPr>
        <w:spacing w:line="111" w:lineRule="exact"/>
        <w:rPr>
          <w:sz w:val="20"/>
          <w:szCs w:val="20"/>
        </w:rPr>
      </w:pPr>
    </w:p>
    <w:p w14:paraId="0A7805A1" w14:textId="77777777" w:rsidR="00D1587D" w:rsidRDefault="00410D07">
      <w:pPr>
        <w:ind w:left="660"/>
        <w:rPr>
          <w:sz w:val="20"/>
          <w:szCs w:val="20"/>
        </w:rPr>
      </w:pPr>
      <w:r>
        <w:rPr>
          <w:rFonts w:ascii="Arial" w:eastAsia="Arial" w:hAnsi="Arial" w:cs="Arial"/>
          <w:sz w:val="18"/>
          <w:szCs w:val="18"/>
        </w:rPr>
        <w:t>For additional details, see “Treatment of Outstanding Equity Compensation Awards.”</w:t>
      </w:r>
    </w:p>
    <w:p w14:paraId="397C9ED3" w14:textId="77777777" w:rsidR="00D1587D" w:rsidRDefault="00D1587D">
      <w:pPr>
        <w:spacing w:line="225" w:lineRule="exact"/>
        <w:rPr>
          <w:sz w:val="20"/>
          <w:szCs w:val="20"/>
        </w:rPr>
      </w:pPr>
    </w:p>
    <w:p w14:paraId="7CE5CAFF" w14:textId="77777777" w:rsidR="00D1587D" w:rsidRDefault="00410D07">
      <w:pPr>
        <w:ind w:left="300"/>
        <w:rPr>
          <w:sz w:val="20"/>
          <w:szCs w:val="20"/>
        </w:rPr>
      </w:pPr>
      <w:r>
        <w:rPr>
          <w:rFonts w:ascii="Arial" w:eastAsia="Arial" w:hAnsi="Arial" w:cs="Arial"/>
          <w:b/>
          <w:bCs/>
          <w:i/>
          <w:iCs/>
          <w:sz w:val="18"/>
          <w:szCs w:val="18"/>
        </w:rPr>
        <w:t xml:space="preserve">Cash </w:t>
      </w:r>
      <w:r>
        <w:rPr>
          <w:rFonts w:ascii="Arial" w:eastAsia="Arial" w:hAnsi="Arial" w:cs="Arial"/>
          <w:b/>
          <w:bCs/>
          <w:i/>
          <w:iCs/>
          <w:sz w:val="18"/>
          <w:szCs w:val="18"/>
        </w:rPr>
        <w:t>Retention Bonus Awards</w:t>
      </w:r>
    </w:p>
    <w:p w14:paraId="16A99F10" w14:textId="77777777" w:rsidR="00D1587D" w:rsidRDefault="00D1587D">
      <w:pPr>
        <w:spacing w:line="117" w:lineRule="exact"/>
        <w:rPr>
          <w:sz w:val="20"/>
          <w:szCs w:val="20"/>
        </w:rPr>
      </w:pPr>
    </w:p>
    <w:p w14:paraId="0447D732" w14:textId="77777777" w:rsidR="00D1587D" w:rsidRDefault="00410D07">
      <w:pPr>
        <w:spacing w:line="286" w:lineRule="auto"/>
        <w:ind w:left="300" w:right="319" w:firstLine="360"/>
        <w:rPr>
          <w:sz w:val="20"/>
          <w:szCs w:val="20"/>
        </w:rPr>
      </w:pPr>
      <w:r>
        <w:rPr>
          <w:rFonts w:ascii="Arial" w:eastAsia="Arial" w:hAnsi="Arial" w:cs="Arial"/>
          <w:sz w:val="16"/>
          <w:szCs w:val="16"/>
        </w:rPr>
        <w:t xml:space="preserve">To ensure long-term retention of its ongoing leadership during a time of transition and significant uncertainty, and in the absence of a long-term equity incentive award in 2020, LB granted special cash retention bonus awards to </w:t>
      </w:r>
      <w:r>
        <w:rPr>
          <w:rFonts w:ascii="Arial" w:eastAsia="Arial" w:hAnsi="Arial" w:cs="Arial"/>
          <w:sz w:val="16"/>
          <w:szCs w:val="16"/>
        </w:rPr>
        <w:t>certain key LB executives, including each of our NEOs (other than Mr. Mehas). Except for Mr. Waters’ retention bonus awards, the retention bonus awards vest in three equal installments on January 31, 2021, July 31, 2021 and January 31, 2022, in each case s</w:t>
      </w:r>
      <w:r>
        <w:rPr>
          <w:rFonts w:ascii="Arial" w:eastAsia="Arial" w:hAnsi="Arial" w:cs="Arial"/>
          <w:sz w:val="16"/>
          <w:szCs w:val="16"/>
        </w:rPr>
        <w:t>ubject to the NEOs continued employment through the applicable installment date. Mr. Waters’ retention bonus award vests in two installments: (i) $800,000 on January 31, 2021 and (ii) $1,000,000 on January 31, 2022, subject to his continued employment thro</w:t>
      </w:r>
      <w:r>
        <w:rPr>
          <w:rFonts w:ascii="Arial" w:eastAsia="Arial" w:hAnsi="Arial" w:cs="Arial"/>
          <w:sz w:val="16"/>
          <w:szCs w:val="16"/>
        </w:rPr>
        <w:t>ugh the applicable installment date. In addition, if Mr. Waters implements actions to reduce EBITDA losses in the United Kingdom and China, retain key talent and establish a platform for future growth and profitability (as determined in the discretion of t</w:t>
      </w:r>
      <w:r>
        <w:rPr>
          <w:rFonts w:ascii="Arial" w:eastAsia="Arial" w:hAnsi="Arial" w:cs="Arial"/>
          <w:sz w:val="16"/>
          <w:szCs w:val="16"/>
        </w:rPr>
        <w:t>he LB HCC Committee and certain members of management), Mr. Waters will be entitled to receive an additional $800,000 bonus payment. In February 2021, it was determined by the LB HCC Committee that the requirements for payment of this additional bonus were</w:t>
      </w:r>
      <w:r>
        <w:rPr>
          <w:rFonts w:ascii="Arial" w:eastAsia="Arial" w:hAnsi="Arial" w:cs="Arial"/>
          <w:sz w:val="16"/>
          <w:szCs w:val="16"/>
        </w:rPr>
        <w:t xml:space="preserve"> satisfied and the bonus was paid. The table below sets forth the aggregate cash retention bonus award amounts for each NEO.</w:t>
      </w:r>
    </w:p>
    <w:p w14:paraId="53175D59" w14:textId="77777777" w:rsidR="00D1587D" w:rsidRDefault="00D1587D">
      <w:pPr>
        <w:spacing w:line="11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580"/>
        <w:gridCol w:w="840"/>
      </w:tblGrid>
      <w:tr w:rsidR="00D1587D" w14:paraId="6427B805" w14:textId="77777777">
        <w:trPr>
          <w:trHeight w:val="161"/>
        </w:trPr>
        <w:tc>
          <w:tcPr>
            <w:tcW w:w="7580" w:type="dxa"/>
            <w:vAlign w:val="bottom"/>
          </w:tcPr>
          <w:p w14:paraId="42650469" w14:textId="77777777" w:rsidR="00D1587D" w:rsidRDefault="00D1587D">
            <w:pPr>
              <w:rPr>
                <w:sz w:val="14"/>
                <w:szCs w:val="14"/>
              </w:rPr>
            </w:pPr>
          </w:p>
        </w:tc>
        <w:tc>
          <w:tcPr>
            <w:tcW w:w="840" w:type="dxa"/>
            <w:vAlign w:val="bottom"/>
          </w:tcPr>
          <w:p w14:paraId="38670B42" w14:textId="77777777" w:rsidR="00D1587D" w:rsidRDefault="00410D07">
            <w:pPr>
              <w:jc w:val="center"/>
              <w:rPr>
                <w:sz w:val="20"/>
                <w:szCs w:val="20"/>
              </w:rPr>
            </w:pPr>
            <w:r>
              <w:rPr>
                <w:rFonts w:ascii="Arial" w:eastAsia="Arial" w:hAnsi="Arial" w:cs="Arial"/>
                <w:b/>
                <w:bCs/>
                <w:w w:val="94"/>
                <w:sz w:val="14"/>
                <w:szCs w:val="14"/>
              </w:rPr>
              <w:t>Total Cash</w:t>
            </w:r>
          </w:p>
        </w:tc>
      </w:tr>
      <w:tr w:rsidR="00D1587D" w14:paraId="6FA626B4" w14:textId="77777777">
        <w:trPr>
          <w:trHeight w:val="148"/>
        </w:trPr>
        <w:tc>
          <w:tcPr>
            <w:tcW w:w="7580" w:type="dxa"/>
            <w:vAlign w:val="bottom"/>
          </w:tcPr>
          <w:p w14:paraId="62CB77DF" w14:textId="77777777" w:rsidR="00D1587D" w:rsidRDefault="00D1587D">
            <w:pPr>
              <w:rPr>
                <w:sz w:val="12"/>
                <w:szCs w:val="12"/>
              </w:rPr>
            </w:pPr>
          </w:p>
        </w:tc>
        <w:tc>
          <w:tcPr>
            <w:tcW w:w="840" w:type="dxa"/>
            <w:vAlign w:val="bottom"/>
          </w:tcPr>
          <w:p w14:paraId="32C2A0F8" w14:textId="77777777" w:rsidR="00D1587D" w:rsidRDefault="00410D07">
            <w:pPr>
              <w:spacing w:line="149" w:lineRule="exact"/>
              <w:ind w:left="100"/>
              <w:rPr>
                <w:sz w:val="20"/>
                <w:szCs w:val="20"/>
              </w:rPr>
            </w:pPr>
            <w:r>
              <w:rPr>
                <w:rFonts w:ascii="Arial" w:eastAsia="Arial" w:hAnsi="Arial" w:cs="Arial"/>
                <w:b/>
                <w:bCs/>
                <w:sz w:val="14"/>
                <w:szCs w:val="14"/>
              </w:rPr>
              <w:t>Retention</w:t>
            </w:r>
          </w:p>
        </w:tc>
      </w:tr>
      <w:tr w:rsidR="00D1587D" w14:paraId="1C861EA5" w14:textId="77777777">
        <w:trPr>
          <w:trHeight w:val="148"/>
        </w:trPr>
        <w:tc>
          <w:tcPr>
            <w:tcW w:w="7580" w:type="dxa"/>
            <w:vAlign w:val="bottom"/>
          </w:tcPr>
          <w:p w14:paraId="5427B4B6" w14:textId="77777777" w:rsidR="00D1587D" w:rsidRDefault="00D1587D">
            <w:pPr>
              <w:rPr>
                <w:sz w:val="12"/>
                <w:szCs w:val="12"/>
              </w:rPr>
            </w:pPr>
          </w:p>
        </w:tc>
        <w:tc>
          <w:tcPr>
            <w:tcW w:w="840" w:type="dxa"/>
            <w:vAlign w:val="bottom"/>
          </w:tcPr>
          <w:p w14:paraId="124C848F" w14:textId="77777777" w:rsidR="00D1587D" w:rsidRDefault="00410D07">
            <w:pPr>
              <w:spacing w:line="149" w:lineRule="exact"/>
              <w:jc w:val="center"/>
              <w:rPr>
                <w:sz w:val="20"/>
                <w:szCs w:val="20"/>
              </w:rPr>
            </w:pPr>
            <w:r>
              <w:rPr>
                <w:rFonts w:ascii="Arial" w:eastAsia="Arial" w:hAnsi="Arial" w:cs="Arial"/>
                <w:b/>
                <w:bCs/>
                <w:w w:val="93"/>
                <w:sz w:val="14"/>
                <w:szCs w:val="14"/>
              </w:rPr>
              <w:t>Bonus Award</w:t>
            </w:r>
          </w:p>
        </w:tc>
      </w:tr>
      <w:tr w:rsidR="00D1587D" w14:paraId="000A57AC" w14:textId="77777777">
        <w:trPr>
          <w:trHeight w:val="148"/>
        </w:trPr>
        <w:tc>
          <w:tcPr>
            <w:tcW w:w="7580" w:type="dxa"/>
            <w:vAlign w:val="bottom"/>
          </w:tcPr>
          <w:p w14:paraId="6052585C" w14:textId="77777777" w:rsidR="00D1587D" w:rsidRDefault="00D1587D">
            <w:pPr>
              <w:rPr>
                <w:sz w:val="12"/>
                <w:szCs w:val="12"/>
              </w:rPr>
            </w:pPr>
          </w:p>
        </w:tc>
        <w:tc>
          <w:tcPr>
            <w:tcW w:w="840" w:type="dxa"/>
            <w:vAlign w:val="bottom"/>
          </w:tcPr>
          <w:p w14:paraId="5214B902" w14:textId="77777777" w:rsidR="00D1587D" w:rsidRDefault="00410D07">
            <w:pPr>
              <w:spacing w:line="149" w:lineRule="exact"/>
              <w:jc w:val="center"/>
              <w:rPr>
                <w:sz w:val="20"/>
                <w:szCs w:val="20"/>
              </w:rPr>
            </w:pPr>
            <w:r>
              <w:rPr>
                <w:rFonts w:ascii="Arial" w:eastAsia="Arial" w:hAnsi="Arial" w:cs="Arial"/>
                <w:b/>
                <w:bCs/>
                <w:w w:val="98"/>
                <w:sz w:val="14"/>
                <w:szCs w:val="14"/>
              </w:rPr>
              <w:t>Amount</w:t>
            </w:r>
          </w:p>
        </w:tc>
      </w:tr>
      <w:tr w:rsidR="00D1587D" w14:paraId="06ED1087" w14:textId="77777777">
        <w:trPr>
          <w:trHeight w:val="186"/>
        </w:trPr>
        <w:tc>
          <w:tcPr>
            <w:tcW w:w="7580" w:type="dxa"/>
            <w:vAlign w:val="bottom"/>
          </w:tcPr>
          <w:p w14:paraId="27D22213" w14:textId="77777777" w:rsidR="00D1587D" w:rsidRDefault="00D1587D">
            <w:pPr>
              <w:rPr>
                <w:sz w:val="16"/>
                <w:szCs w:val="16"/>
              </w:rPr>
            </w:pPr>
          </w:p>
        </w:tc>
        <w:tc>
          <w:tcPr>
            <w:tcW w:w="840" w:type="dxa"/>
            <w:vAlign w:val="bottom"/>
          </w:tcPr>
          <w:p w14:paraId="4371FC69" w14:textId="77777777" w:rsidR="00D1587D" w:rsidRDefault="00410D07">
            <w:pPr>
              <w:ind w:right="260"/>
              <w:jc w:val="right"/>
              <w:rPr>
                <w:sz w:val="20"/>
                <w:szCs w:val="20"/>
              </w:rPr>
            </w:pPr>
            <w:r>
              <w:rPr>
                <w:rFonts w:ascii="Arial" w:eastAsia="Arial" w:hAnsi="Arial" w:cs="Arial"/>
                <w:b/>
                <w:bCs/>
                <w:sz w:val="14"/>
                <w:szCs w:val="14"/>
              </w:rPr>
              <w:t>($)</w:t>
            </w:r>
          </w:p>
        </w:tc>
      </w:tr>
      <w:tr w:rsidR="00D1587D" w14:paraId="0D9AC648" w14:textId="77777777">
        <w:trPr>
          <w:trHeight w:val="53"/>
        </w:trPr>
        <w:tc>
          <w:tcPr>
            <w:tcW w:w="7580" w:type="dxa"/>
            <w:tcBorders>
              <w:bottom w:val="single" w:sz="8" w:space="0" w:color="CCEEFF"/>
            </w:tcBorders>
            <w:vAlign w:val="bottom"/>
          </w:tcPr>
          <w:p w14:paraId="4F9FD05A" w14:textId="77777777" w:rsidR="00D1587D" w:rsidRDefault="00D1587D">
            <w:pPr>
              <w:rPr>
                <w:sz w:val="4"/>
                <w:szCs w:val="4"/>
              </w:rPr>
            </w:pPr>
          </w:p>
        </w:tc>
        <w:tc>
          <w:tcPr>
            <w:tcW w:w="840" w:type="dxa"/>
            <w:tcBorders>
              <w:bottom w:val="single" w:sz="8" w:space="0" w:color="auto"/>
            </w:tcBorders>
            <w:vAlign w:val="bottom"/>
          </w:tcPr>
          <w:p w14:paraId="4108E735" w14:textId="77777777" w:rsidR="00D1587D" w:rsidRDefault="00D1587D">
            <w:pPr>
              <w:rPr>
                <w:sz w:val="4"/>
                <w:szCs w:val="4"/>
              </w:rPr>
            </w:pPr>
          </w:p>
        </w:tc>
      </w:tr>
      <w:tr w:rsidR="00D1587D" w14:paraId="76A135DD" w14:textId="77777777">
        <w:trPr>
          <w:trHeight w:val="311"/>
        </w:trPr>
        <w:tc>
          <w:tcPr>
            <w:tcW w:w="7580" w:type="dxa"/>
            <w:tcBorders>
              <w:bottom w:val="single" w:sz="8" w:space="0" w:color="CCEEFF"/>
            </w:tcBorders>
            <w:shd w:val="clear" w:color="auto" w:fill="CCEEFF"/>
            <w:vAlign w:val="bottom"/>
          </w:tcPr>
          <w:p w14:paraId="05B56C76" w14:textId="77777777" w:rsidR="00D1587D" w:rsidRDefault="00410D07">
            <w:pPr>
              <w:rPr>
                <w:sz w:val="20"/>
                <w:szCs w:val="20"/>
              </w:rPr>
            </w:pPr>
            <w:r>
              <w:rPr>
                <w:rFonts w:ascii="Arial" w:eastAsia="Arial" w:hAnsi="Arial" w:cs="Arial"/>
                <w:sz w:val="18"/>
                <w:szCs w:val="18"/>
              </w:rPr>
              <w:t>Martin Waters</w:t>
            </w:r>
          </w:p>
        </w:tc>
        <w:tc>
          <w:tcPr>
            <w:tcW w:w="840" w:type="dxa"/>
            <w:tcBorders>
              <w:bottom w:val="single" w:sz="8" w:space="0" w:color="CCEEFF"/>
            </w:tcBorders>
            <w:shd w:val="clear" w:color="auto" w:fill="CCEEFF"/>
            <w:vAlign w:val="bottom"/>
          </w:tcPr>
          <w:p w14:paraId="1C0E961A" w14:textId="77777777" w:rsidR="00D1587D" w:rsidRDefault="00410D07">
            <w:pPr>
              <w:jc w:val="right"/>
              <w:rPr>
                <w:sz w:val="20"/>
                <w:szCs w:val="20"/>
              </w:rPr>
            </w:pPr>
            <w:r>
              <w:rPr>
                <w:rFonts w:ascii="Arial" w:eastAsia="Arial" w:hAnsi="Arial" w:cs="Arial"/>
                <w:w w:val="88"/>
                <w:sz w:val="18"/>
                <w:szCs w:val="18"/>
              </w:rPr>
              <w:t>$2,600,000</w:t>
            </w:r>
          </w:p>
        </w:tc>
      </w:tr>
      <w:tr w:rsidR="00D1587D" w14:paraId="47DF51D3" w14:textId="77777777">
        <w:trPr>
          <w:trHeight w:val="270"/>
        </w:trPr>
        <w:tc>
          <w:tcPr>
            <w:tcW w:w="7580" w:type="dxa"/>
            <w:vAlign w:val="bottom"/>
          </w:tcPr>
          <w:p w14:paraId="219C57FF" w14:textId="77777777" w:rsidR="00D1587D" w:rsidRDefault="00410D07">
            <w:pPr>
              <w:rPr>
                <w:sz w:val="20"/>
                <w:szCs w:val="20"/>
              </w:rPr>
            </w:pPr>
            <w:r>
              <w:rPr>
                <w:rFonts w:ascii="Arial" w:eastAsia="Arial" w:hAnsi="Arial" w:cs="Arial"/>
                <w:sz w:val="18"/>
                <w:szCs w:val="18"/>
              </w:rPr>
              <w:t>Amy Hauk</w:t>
            </w:r>
          </w:p>
        </w:tc>
        <w:tc>
          <w:tcPr>
            <w:tcW w:w="840" w:type="dxa"/>
            <w:vAlign w:val="bottom"/>
          </w:tcPr>
          <w:p w14:paraId="05E89D18" w14:textId="77777777" w:rsidR="00D1587D" w:rsidRDefault="00410D07">
            <w:pPr>
              <w:ind w:left="100"/>
              <w:rPr>
                <w:sz w:val="20"/>
                <w:szCs w:val="20"/>
              </w:rPr>
            </w:pPr>
            <w:r>
              <w:rPr>
                <w:rFonts w:ascii="Arial" w:eastAsia="Arial" w:hAnsi="Arial" w:cs="Arial"/>
                <w:w w:val="89"/>
                <w:sz w:val="18"/>
                <w:szCs w:val="18"/>
              </w:rPr>
              <w:t>2,400,000</w:t>
            </w:r>
          </w:p>
        </w:tc>
      </w:tr>
      <w:tr w:rsidR="00D1587D" w14:paraId="33E4DC74" w14:textId="77777777">
        <w:trPr>
          <w:trHeight w:val="54"/>
        </w:trPr>
        <w:tc>
          <w:tcPr>
            <w:tcW w:w="7580" w:type="dxa"/>
            <w:vAlign w:val="bottom"/>
          </w:tcPr>
          <w:p w14:paraId="5D52D6A7" w14:textId="77777777" w:rsidR="00D1587D" w:rsidRDefault="00D1587D">
            <w:pPr>
              <w:rPr>
                <w:sz w:val="4"/>
                <w:szCs w:val="4"/>
              </w:rPr>
            </w:pPr>
          </w:p>
        </w:tc>
        <w:tc>
          <w:tcPr>
            <w:tcW w:w="840" w:type="dxa"/>
            <w:vAlign w:val="bottom"/>
          </w:tcPr>
          <w:p w14:paraId="4E01BE0D" w14:textId="77777777" w:rsidR="00D1587D" w:rsidRDefault="00D1587D">
            <w:pPr>
              <w:rPr>
                <w:sz w:val="4"/>
                <w:szCs w:val="4"/>
              </w:rPr>
            </w:pPr>
          </w:p>
        </w:tc>
      </w:tr>
      <w:tr w:rsidR="00D1587D" w14:paraId="1E2F3341" w14:textId="77777777">
        <w:trPr>
          <w:trHeight w:val="304"/>
        </w:trPr>
        <w:tc>
          <w:tcPr>
            <w:tcW w:w="7580" w:type="dxa"/>
            <w:tcBorders>
              <w:bottom w:val="single" w:sz="8" w:space="0" w:color="CCEEFF"/>
            </w:tcBorders>
            <w:shd w:val="clear" w:color="auto" w:fill="CCEEFF"/>
            <w:vAlign w:val="bottom"/>
          </w:tcPr>
          <w:p w14:paraId="6DEA1EE9" w14:textId="77777777" w:rsidR="00D1587D" w:rsidRDefault="00410D07">
            <w:pPr>
              <w:rPr>
                <w:sz w:val="20"/>
                <w:szCs w:val="20"/>
              </w:rPr>
            </w:pPr>
            <w:r>
              <w:rPr>
                <w:rFonts w:ascii="Arial" w:eastAsia="Arial" w:hAnsi="Arial" w:cs="Arial"/>
                <w:sz w:val="18"/>
                <w:szCs w:val="18"/>
              </w:rPr>
              <w:t>Gregory Unis</w:t>
            </w:r>
          </w:p>
        </w:tc>
        <w:tc>
          <w:tcPr>
            <w:tcW w:w="840" w:type="dxa"/>
            <w:tcBorders>
              <w:bottom w:val="single" w:sz="8" w:space="0" w:color="CCEEFF"/>
            </w:tcBorders>
            <w:shd w:val="clear" w:color="auto" w:fill="CCEEFF"/>
            <w:vAlign w:val="bottom"/>
          </w:tcPr>
          <w:p w14:paraId="49B0C981" w14:textId="77777777" w:rsidR="00D1587D" w:rsidRDefault="00410D07">
            <w:pPr>
              <w:ind w:left="100"/>
              <w:rPr>
                <w:sz w:val="20"/>
                <w:szCs w:val="20"/>
              </w:rPr>
            </w:pPr>
            <w:r>
              <w:rPr>
                <w:rFonts w:ascii="Arial" w:eastAsia="Arial" w:hAnsi="Arial" w:cs="Arial"/>
                <w:w w:val="89"/>
                <w:sz w:val="18"/>
                <w:szCs w:val="18"/>
              </w:rPr>
              <w:t>2,100,000</w:t>
            </w:r>
          </w:p>
        </w:tc>
      </w:tr>
      <w:tr w:rsidR="00D1587D" w14:paraId="470FFCE6" w14:textId="77777777">
        <w:trPr>
          <w:trHeight w:val="270"/>
        </w:trPr>
        <w:tc>
          <w:tcPr>
            <w:tcW w:w="7580" w:type="dxa"/>
            <w:vAlign w:val="bottom"/>
          </w:tcPr>
          <w:p w14:paraId="13CE12D7" w14:textId="77777777" w:rsidR="00D1587D" w:rsidRDefault="00410D07">
            <w:pPr>
              <w:rPr>
                <w:sz w:val="20"/>
                <w:szCs w:val="20"/>
              </w:rPr>
            </w:pPr>
            <w:r>
              <w:rPr>
                <w:rFonts w:ascii="Arial" w:eastAsia="Arial" w:hAnsi="Arial" w:cs="Arial"/>
                <w:sz w:val="18"/>
                <w:szCs w:val="18"/>
              </w:rPr>
              <w:t>Stuart Burgdoerfer</w:t>
            </w:r>
          </w:p>
        </w:tc>
        <w:tc>
          <w:tcPr>
            <w:tcW w:w="840" w:type="dxa"/>
            <w:vAlign w:val="bottom"/>
          </w:tcPr>
          <w:p w14:paraId="63B58DDB" w14:textId="77777777" w:rsidR="00D1587D" w:rsidRDefault="00410D07">
            <w:pPr>
              <w:ind w:left="100"/>
              <w:rPr>
                <w:sz w:val="20"/>
                <w:szCs w:val="20"/>
              </w:rPr>
            </w:pPr>
            <w:r>
              <w:rPr>
                <w:rFonts w:ascii="Arial" w:eastAsia="Arial" w:hAnsi="Arial" w:cs="Arial"/>
                <w:w w:val="89"/>
                <w:sz w:val="18"/>
                <w:szCs w:val="18"/>
              </w:rPr>
              <w:t>4,500,000</w:t>
            </w:r>
          </w:p>
        </w:tc>
      </w:tr>
    </w:tbl>
    <w:p w14:paraId="4B65E470" w14:textId="77777777" w:rsidR="00D1587D" w:rsidRDefault="00410D07">
      <w:pPr>
        <w:spacing w:line="20" w:lineRule="exact"/>
        <w:rPr>
          <w:sz w:val="20"/>
          <w:szCs w:val="20"/>
        </w:rPr>
      </w:pPr>
      <w:r>
        <w:rPr>
          <w:noProof/>
          <w:sz w:val="20"/>
          <w:szCs w:val="20"/>
        </w:rPr>
        <w:drawing>
          <wp:anchor distT="0" distB="0" distL="114300" distR="114300" simplePos="0" relativeHeight="251849728" behindDoc="1" locked="0" layoutInCell="0" allowOverlap="1" wp14:anchorId="19C2A0E8" wp14:editId="5AA3AADD">
            <wp:simplePos x="0" y="0"/>
            <wp:positionH relativeFrom="column">
              <wp:posOffset>4788535</wp:posOffset>
            </wp:positionH>
            <wp:positionV relativeFrom="paragraph">
              <wp:posOffset>-805180</wp:posOffset>
            </wp:positionV>
            <wp:extent cx="214630" cy="8255"/>
            <wp:effectExtent l="0" t="0" r="0" b="0"/>
            <wp:wrapNone/>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66"/>
                    <a:srcRect/>
                    <a:stretch>
                      <a:fillRect/>
                    </a:stretch>
                  </pic:blipFill>
                  <pic:spPr bwMode="auto">
                    <a:xfrm>
                      <a:off x="0" y="0"/>
                      <a:ext cx="214630" cy="8255"/>
                    </a:xfrm>
                    <a:prstGeom prst="rect">
                      <a:avLst/>
                    </a:prstGeom>
                    <a:noFill/>
                  </pic:spPr>
                </pic:pic>
              </a:graphicData>
            </a:graphic>
          </wp:anchor>
        </w:drawing>
      </w:r>
    </w:p>
    <w:p w14:paraId="1EF97135" w14:textId="77777777" w:rsidR="00D1587D" w:rsidRDefault="00D1587D">
      <w:pPr>
        <w:spacing w:line="128" w:lineRule="exact"/>
        <w:rPr>
          <w:sz w:val="20"/>
          <w:szCs w:val="20"/>
        </w:rPr>
      </w:pPr>
    </w:p>
    <w:p w14:paraId="6278D3E5" w14:textId="77777777" w:rsidR="00D1587D" w:rsidRDefault="00410D07">
      <w:pPr>
        <w:spacing w:line="259" w:lineRule="auto"/>
        <w:ind w:left="300" w:right="299" w:firstLine="360"/>
        <w:rPr>
          <w:sz w:val="20"/>
          <w:szCs w:val="20"/>
        </w:rPr>
      </w:pPr>
      <w:r>
        <w:rPr>
          <w:rFonts w:ascii="Arial" w:eastAsia="Arial" w:hAnsi="Arial" w:cs="Arial"/>
          <w:sz w:val="18"/>
          <w:szCs w:val="18"/>
        </w:rPr>
        <w:t xml:space="preserve">Cash retention bonus award amounts are not disclosed in the VS 2020 Summary Compensation Table below but will be disclosed in the table in the year in which the payment is earned and paid based on the </w:t>
      </w:r>
      <w:r>
        <w:rPr>
          <w:rFonts w:ascii="Arial" w:eastAsia="Arial" w:hAnsi="Arial" w:cs="Arial"/>
          <w:sz w:val="18"/>
          <w:szCs w:val="18"/>
        </w:rPr>
        <w:t>executive’s continued service. The retention bonus awards for each of the NEOs that were scheduled to vest on January 31, 2021 were paid by LB in February 2021.</w:t>
      </w:r>
    </w:p>
    <w:p w14:paraId="5065E9A2" w14:textId="77777777" w:rsidR="00D1587D" w:rsidRDefault="00D1587D">
      <w:pPr>
        <w:spacing w:line="79" w:lineRule="exact"/>
        <w:rPr>
          <w:sz w:val="20"/>
          <w:szCs w:val="20"/>
        </w:rPr>
      </w:pPr>
    </w:p>
    <w:p w14:paraId="70C0C5D6" w14:textId="77777777" w:rsidR="00D1587D" w:rsidRDefault="00410D07">
      <w:pPr>
        <w:spacing w:line="277" w:lineRule="auto"/>
        <w:ind w:left="300" w:right="379" w:firstLine="360"/>
        <w:rPr>
          <w:sz w:val="20"/>
          <w:szCs w:val="20"/>
        </w:rPr>
      </w:pPr>
      <w:r>
        <w:rPr>
          <w:rFonts w:ascii="Arial" w:eastAsia="Arial" w:hAnsi="Arial" w:cs="Arial"/>
          <w:i/>
          <w:iCs/>
          <w:sz w:val="18"/>
          <w:szCs w:val="18"/>
        </w:rPr>
        <w:t>Going forward</w:t>
      </w:r>
      <w:r>
        <w:rPr>
          <w:rFonts w:ascii="Arial" w:eastAsia="Arial" w:hAnsi="Arial" w:cs="Arial"/>
          <w:sz w:val="18"/>
          <w:szCs w:val="18"/>
        </w:rPr>
        <w:t>: VS will continue to retain discretion to offer sign-on, retention and other dis</w:t>
      </w:r>
      <w:r>
        <w:rPr>
          <w:rFonts w:ascii="Arial" w:eastAsia="Arial" w:hAnsi="Arial" w:cs="Arial"/>
          <w:sz w:val="18"/>
          <w:szCs w:val="18"/>
        </w:rPr>
        <w:t>cretionary bonuses</w:t>
      </w:r>
      <w:r>
        <w:rPr>
          <w:rFonts w:ascii="Arial" w:eastAsia="Arial" w:hAnsi="Arial" w:cs="Arial"/>
          <w:i/>
          <w:iCs/>
          <w:sz w:val="18"/>
          <w:szCs w:val="18"/>
        </w:rPr>
        <w:t xml:space="preserve"> </w:t>
      </w:r>
      <w:r>
        <w:rPr>
          <w:rFonts w:ascii="Arial" w:eastAsia="Arial" w:hAnsi="Arial" w:cs="Arial"/>
          <w:sz w:val="18"/>
          <w:szCs w:val="18"/>
        </w:rPr>
        <w:t>to its executives as it may determine to be necessary from time to time.</w:t>
      </w:r>
    </w:p>
    <w:p w14:paraId="2E72A8B7" w14:textId="77777777" w:rsidR="00D1587D" w:rsidRDefault="00D1587D">
      <w:pPr>
        <w:spacing w:line="170" w:lineRule="exact"/>
        <w:rPr>
          <w:sz w:val="20"/>
          <w:szCs w:val="20"/>
        </w:rPr>
      </w:pPr>
    </w:p>
    <w:p w14:paraId="7FBF45A0" w14:textId="77777777" w:rsidR="00D1587D" w:rsidRDefault="00410D07">
      <w:pPr>
        <w:ind w:left="300"/>
        <w:rPr>
          <w:sz w:val="20"/>
          <w:szCs w:val="20"/>
        </w:rPr>
      </w:pPr>
      <w:r>
        <w:rPr>
          <w:rFonts w:ascii="Arial" w:eastAsia="Arial" w:hAnsi="Arial" w:cs="Arial"/>
          <w:b/>
          <w:bCs/>
          <w:i/>
          <w:iCs/>
          <w:sz w:val="18"/>
          <w:szCs w:val="18"/>
        </w:rPr>
        <w:t>Retirement and Other Post-Employment Benefits</w:t>
      </w:r>
    </w:p>
    <w:p w14:paraId="67DF0076" w14:textId="77777777" w:rsidR="00D1587D" w:rsidRDefault="00D1587D">
      <w:pPr>
        <w:spacing w:line="117" w:lineRule="exact"/>
        <w:rPr>
          <w:sz w:val="20"/>
          <w:szCs w:val="20"/>
        </w:rPr>
      </w:pPr>
    </w:p>
    <w:p w14:paraId="71219A16" w14:textId="77777777" w:rsidR="00D1587D" w:rsidRDefault="00410D07">
      <w:pPr>
        <w:spacing w:line="277" w:lineRule="auto"/>
        <w:ind w:left="300" w:right="679" w:firstLine="360"/>
        <w:rPr>
          <w:sz w:val="20"/>
          <w:szCs w:val="20"/>
        </w:rPr>
      </w:pPr>
      <w:r>
        <w:rPr>
          <w:rFonts w:ascii="Arial" w:eastAsia="Arial" w:hAnsi="Arial" w:cs="Arial"/>
          <w:sz w:val="18"/>
          <w:szCs w:val="18"/>
        </w:rPr>
        <w:t>Retirement and other post-employment benefits consist of qualified and non-qualified defined contribution retirement</w:t>
      </w:r>
      <w:r>
        <w:rPr>
          <w:rFonts w:ascii="Arial" w:eastAsia="Arial" w:hAnsi="Arial" w:cs="Arial"/>
          <w:sz w:val="18"/>
          <w:szCs w:val="18"/>
        </w:rPr>
        <w:t xml:space="preserve"> plan benefits and termination benefits.</w:t>
      </w:r>
    </w:p>
    <w:p w14:paraId="31213B6C" w14:textId="77777777" w:rsidR="00D1587D" w:rsidRDefault="00D1587D">
      <w:pPr>
        <w:spacing w:line="62" w:lineRule="exact"/>
        <w:rPr>
          <w:sz w:val="20"/>
          <w:szCs w:val="20"/>
        </w:rPr>
      </w:pPr>
    </w:p>
    <w:p w14:paraId="62F17AC5" w14:textId="77777777" w:rsidR="00D1587D" w:rsidRDefault="00410D07">
      <w:pPr>
        <w:spacing w:line="277" w:lineRule="auto"/>
        <w:ind w:left="300" w:right="479" w:firstLine="360"/>
        <w:rPr>
          <w:sz w:val="20"/>
          <w:szCs w:val="20"/>
        </w:rPr>
      </w:pPr>
      <w:r>
        <w:rPr>
          <w:rFonts w:ascii="Arial" w:eastAsia="Arial" w:hAnsi="Arial" w:cs="Arial"/>
          <w:i/>
          <w:iCs/>
          <w:sz w:val="18"/>
          <w:szCs w:val="18"/>
        </w:rPr>
        <w:t>Going forward</w:t>
      </w:r>
      <w:r>
        <w:rPr>
          <w:rFonts w:ascii="Arial" w:eastAsia="Arial" w:hAnsi="Arial" w:cs="Arial"/>
          <w:sz w:val="18"/>
          <w:szCs w:val="18"/>
        </w:rPr>
        <w:t>: We anticipate that we will adopt retirement plans and other benefits similar to LB’s plans and</w:t>
      </w:r>
      <w:r>
        <w:rPr>
          <w:rFonts w:ascii="Arial" w:eastAsia="Arial" w:hAnsi="Arial" w:cs="Arial"/>
          <w:i/>
          <w:iCs/>
          <w:sz w:val="18"/>
          <w:szCs w:val="18"/>
        </w:rPr>
        <w:t xml:space="preserve"> </w:t>
      </w:r>
      <w:r>
        <w:rPr>
          <w:rFonts w:ascii="Arial" w:eastAsia="Arial" w:hAnsi="Arial" w:cs="Arial"/>
          <w:sz w:val="18"/>
          <w:szCs w:val="18"/>
        </w:rPr>
        <w:t>benefits, except as described below.</w:t>
      </w:r>
    </w:p>
    <w:p w14:paraId="64FFBDEB" w14:textId="77777777" w:rsidR="00D1587D" w:rsidRDefault="00D1587D">
      <w:pPr>
        <w:spacing w:line="170" w:lineRule="exact"/>
        <w:rPr>
          <w:sz w:val="20"/>
          <w:szCs w:val="20"/>
        </w:rPr>
      </w:pPr>
    </w:p>
    <w:p w14:paraId="4225BEDB" w14:textId="77777777" w:rsidR="00D1587D" w:rsidRDefault="00410D07">
      <w:pPr>
        <w:ind w:left="660"/>
        <w:rPr>
          <w:sz w:val="20"/>
          <w:szCs w:val="20"/>
        </w:rPr>
      </w:pPr>
      <w:r>
        <w:rPr>
          <w:rFonts w:ascii="Arial" w:eastAsia="Arial" w:hAnsi="Arial" w:cs="Arial"/>
          <w:i/>
          <w:iCs/>
          <w:sz w:val="18"/>
          <w:szCs w:val="18"/>
        </w:rPr>
        <w:t>401(k) Plan</w:t>
      </w:r>
    </w:p>
    <w:p w14:paraId="3D17B345" w14:textId="77777777" w:rsidR="00D1587D" w:rsidRDefault="00D1587D">
      <w:pPr>
        <w:spacing w:line="117" w:lineRule="exact"/>
        <w:rPr>
          <w:sz w:val="20"/>
          <w:szCs w:val="20"/>
        </w:rPr>
      </w:pPr>
    </w:p>
    <w:p w14:paraId="5145447E" w14:textId="77777777" w:rsidR="00D1587D" w:rsidRDefault="00410D07">
      <w:pPr>
        <w:spacing w:line="293" w:lineRule="auto"/>
        <w:ind w:left="300" w:right="359" w:firstLine="360"/>
        <w:rPr>
          <w:sz w:val="20"/>
          <w:szCs w:val="20"/>
        </w:rPr>
      </w:pPr>
      <w:r>
        <w:rPr>
          <w:rFonts w:ascii="Arial" w:eastAsia="Arial" w:hAnsi="Arial" w:cs="Arial"/>
          <w:sz w:val="16"/>
          <w:szCs w:val="16"/>
        </w:rPr>
        <w:t xml:space="preserve">LB’s qualified plan (the “LB 401(k) Plan”) is </w:t>
      </w:r>
      <w:r>
        <w:rPr>
          <w:rFonts w:ascii="Arial" w:eastAsia="Arial" w:hAnsi="Arial" w:cs="Arial"/>
          <w:sz w:val="16"/>
          <w:szCs w:val="16"/>
        </w:rPr>
        <w:t>available to all LB associates who meet certain age and service requirements. Associates can contribute up to the amounts allowable under Section 401 of the Internal Revenue Code. LB matches associates’ contributions according to a predetermined formula an</w:t>
      </w:r>
      <w:r>
        <w:rPr>
          <w:rFonts w:ascii="Arial" w:eastAsia="Arial" w:hAnsi="Arial" w:cs="Arial"/>
          <w:sz w:val="16"/>
          <w:szCs w:val="16"/>
        </w:rPr>
        <w:t>d contributes additional amounts based on a percentage of the associates’ eligible annual compensation and years of service. Associates’ contributions and LB’s matching contributions to the LB 401(k) Plan vest immediately. Additional LB contributions and t</w:t>
      </w:r>
      <w:r>
        <w:rPr>
          <w:rFonts w:ascii="Arial" w:eastAsia="Arial" w:hAnsi="Arial" w:cs="Arial"/>
          <w:sz w:val="16"/>
          <w:szCs w:val="16"/>
        </w:rPr>
        <w:t>he related investment earnings are subject to vesting based on years of service.</w:t>
      </w:r>
    </w:p>
    <w:p w14:paraId="69617B39" w14:textId="77777777" w:rsidR="00D1587D" w:rsidRDefault="00D1587D">
      <w:pPr>
        <w:sectPr w:rsidR="00D1587D">
          <w:pgSz w:w="11900" w:h="16838"/>
          <w:pgMar w:top="265" w:right="1440" w:bottom="1440" w:left="1440" w:header="0" w:footer="0" w:gutter="0"/>
          <w:cols w:space="720" w:equalWidth="0">
            <w:col w:w="9019"/>
          </w:cols>
        </w:sectPr>
      </w:pPr>
    </w:p>
    <w:p w14:paraId="5BC137A9" w14:textId="77777777" w:rsidR="00D1587D" w:rsidRDefault="00D1587D">
      <w:pPr>
        <w:spacing w:line="164" w:lineRule="exact"/>
        <w:rPr>
          <w:sz w:val="20"/>
          <w:szCs w:val="20"/>
        </w:rPr>
      </w:pPr>
    </w:p>
    <w:p w14:paraId="1E813533" w14:textId="77777777" w:rsidR="00D1587D" w:rsidRDefault="00410D07">
      <w:pPr>
        <w:jc w:val="center"/>
        <w:rPr>
          <w:sz w:val="20"/>
          <w:szCs w:val="20"/>
        </w:rPr>
      </w:pPr>
      <w:r>
        <w:rPr>
          <w:rFonts w:ascii="Arial" w:eastAsia="Arial" w:hAnsi="Arial" w:cs="Arial"/>
          <w:sz w:val="15"/>
          <w:szCs w:val="15"/>
        </w:rPr>
        <w:t>114</w:t>
      </w:r>
    </w:p>
    <w:p w14:paraId="5DE2A118" w14:textId="77777777" w:rsidR="00D1587D" w:rsidRDefault="00410D07">
      <w:pPr>
        <w:spacing w:line="20" w:lineRule="exact"/>
        <w:rPr>
          <w:sz w:val="20"/>
          <w:szCs w:val="20"/>
        </w:rPr>
      </w:pPr>
      <w:r>
        <w:rPr>
          <w:noProof/>
          <w:sz w:val="20"/>
          <w:szCs w:val="20"/>
        </w:rPr>
        <w:drawing>
          <wp:anchor distT="0" distB="0" distL="114300" distR="114300" simplePos="0" relativeHeight="251850752" behindDoc="1" locked="0" layoutInCell="0" allowOverlap="1" wp14:anchorId="53DEBE2B" wp14:editId="23326851">
            <wp:simplePos x="0" y="0"/>
            <wp:positionH relativeFrom="column">
              <wp:posOffset>-636905</wp:posOffset>
            </wp:positionH>
            <wp:positionV relativeFrom="paragraph">
              <wp:posOffset>156845</wp:posOffset>
            </wp:positionV>
            <wp:extent cx="6995160" cy="17145"/>
            <wp:effectExtent l="0" t="0" r="0" b="0"/>
            <wp:wrapNone/>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A4AFF11"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72" w:name="page373"/>
    <w:bookmarkEnd w:id="372"/>
    <w:p w14:paraId="0A2817D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F27D685" w14:textId="77777777" w:rsidR="00D1587D" w:rsidRDefault="00D1587D">
      <w:pPr>
        <w:spacing w:line="131" w:lineRule="exact"/>
        <w:rPr>
          <w:sz w:val="20"/>
          <w:szCs w:val="20"/>
        </w:rPr>
      </w:pPr>
    </w:p>
    <w:p w14:paraId="765D7B5D" w14:textId="77777777" w:rsidR="00D1587D" w:rsidRDefault="00410D07">
      <w:pPr>
        <w:spacing w:line="277" w:lineRule="auto"/>
        <w:ind w:left="300" w:right="379" w:firstLine="360"/>
        <w:rPr>
          <w:sz w:val="20"/>
          <w:szCs w:val="20"/>
        </w:rPr>
      </w:pPr>
      <w:r>
        <w:rPr>
          <w:rFonts w:ascii="Arial" w:eastAsia="Arial" w:hAnsi="Arial" w:cs="Arial"/>
          <w:i/>
          <w:iCs/>
          <w:sz w:val="18"/>
          <w:szCs w:val="18"/>
        </w:rPr>
        <w:t>Going forward</w:t>
      </w:r>
      <w:r>
        <w:rPr>
          <w:rFonts w:ascii="Arial" w:eastAsia="Arial" w:hAnsi="Arial" w:cs="Arial"/>
          <w:sz w:val="18"/>
          <w:szCs w:val="18"/>
        </w:rPr>
        <w:t xml:space="preserve">: We intend to establish a defined contribution 401(k) plan with </w:t>
      </w:r>
      <w:r>
        <w:rPr>
          <w:rFonts w:ascii="Arial" w:eastAsia="Arial" w:hAnsi="Arial" w:cs="Arial"/>
          <w:sz w:val="18"/>
          <w:szCs w:val="18"/>
        </w:rPr>
        <w:t>benefits to be determined by the</w:t>
      </w:r>
      <w:r>
        <w:rPr>
          <w:rFonts w:ascii="Arial" w:eastAsia="Arial" w:hAnsi="Arial" w:cs="Arial"/>
          <w:i/>
          <w:iCs/>
          <w:sz w:val="18"/>
          <w:szCs w:val="18"/>
        </w:rPr>
        <w:t xml:space="preserve"> </w:t>
      </w:r>
      <w:r>
        <w:rPr>
          <w:rFonts w:ascii="Arial" w:eastAsia="Arial" w:hAnsi="Arial" w:cs="Arial"/>
          <w:sz w:val="18"/>
          <w:szCs w:val="18"/>
        </w:rPr>
        <w:t>VS HCC Committee.</w:t>
      </w:r>
    </w:p>
    <w:p w14:paraId="7B5290D3" w14:textId="77777777" w:rsidR="00D1587D" w:rsidRDefault="00D1587D">
      <w:pPr>
        <w:spacing w:line="332" w:lineRule="exact"/>
        <w:rPr>
          <w:sz w:val="20"/>
          <w:szCs w:val="20"/>
        </w:rPr>
      </w:pPr>
    </w:p>
    <w:p w14:paraId="298ADA2D" w14:textId="77777777" w:rsidR="00D1587D" w:rsidRDefault="00410D07">
      <w:pPr>
        <w:ind w:left="660"/>
        <w:rPr>
          <w:sz w:val="20"/>
          <w:szCs w:val="20"/>
        </w:rPr>
      </w:pPr>
      <w:r>
        <w:rPr>
          <w:rFonts w:ascii="Arial" w:eastAsia="Arial" w:hAnsi="Arial" w:cs="Arial"/>
          <w:i/>
          <w:iCs/>
          <w:sz w:val="18"/>
          <w:szCs w:val="18"/>
        </w:rPr>
        <w:t>Non-Qualified Defined Contribution Deferred Compensation and Supplemental Retirement Plan</w:t>
      </w:r>
    </w:p>
    <w:p w14:paraId="4EE0BD00" w14:textId="77777777" w:rsidR="00D1587D" w:rsidRDefault="00D1587D">
      <w:pPr>
        <w:spacing w:line="117" w:lineRule="exact"/>
        <w:rPr>
          <w:sz w:val="20"/>
          <w:szCs w:val="20"/>
        </w:rPr>
      </w:pPr>
    </w:p>
    <w:p w14:paraId="1EBF7BE0" w14:textId="77777777" w:rsidR="00D1587D" w:rsidRDefault="00410D07">
      <w:pPr>
        <w:spacing w:line="275" w:lineRule="auto"/>
        <w:ind w:left="300" w:right="399" w:firstLine="360"/>
        <w:rPr>
          <w:sz w:val="20"/>
          <w:szCs w:val="20"/>
        </w:rPr>
      </w:pPr>
      <w:r>
        <w:rPr>
          <w:rFonts w:ascii="Arial" w:eastAsia="Arial" w:hAnsi="Arial" w:cs="Arial"/>
          <w:sz w:val="17"/>
          <w:szCs w:val="17"/>
        </w:rPr>
        <w:t>LB previously sponsored a non-qualified supplemental retirement plan (the “LB SRP”) for associates who met certai</w:t>
      </w:r>
      <w:r>
        <w:rPr>
          <w:rFonts w:ascii="Arial" w:eastAsia="Arial" w:hAnsi="Arial" w:cs="Arial"/>
          <w:sz w:val="17"/>
          <w:szCs w:val="17"/>
        </w:rPr>
        <w:t>n age, service, job level and compensation requirements. The LB SRP was an unfunded plan that provided benefits beyond the limits imposed by the Internal Revenue Code for qualified defined contribution plans. LB has not set aside assets to fund liabilities</w:t>
      </w:r>
      <w:r>
        <w:rPr>
          <w:rFonts w:ascii="Arial" w:eastAsia="Arial" w:hAnsi="Arial" w:cs="Arial"/>
          <w:sz w:val="17"/>
          <w:szCs w:val="17"/>
        </w:rPr>
        <w:t xml:space="preserve"> of the non-qualified plan. Assets that may be used to satisfy such liabilities are general assets of LB, subject to the claims of LB’s creditors.</w:t>
      </w:r>
    </w:p>
    <w:p w14:paraId="32FFEFCE" w14:textId="77777777" w:rsidR="00D1587D" w:rsidRDefault="00D1587D">
      <w:pPr>
        <w:spacing w:line="68" w:lineRule="exact"/>
        <w:rPr>
          <w:sz w:val="20"/>
          <w:szCs w:val="20"/>
        </w:rPr>
      </w:pPr>
    </w:p>
    <w:p w14:paraId="1F9F8ADA" w14:textId="77777777" w:rsidR="00D1587D" w:rsidRDefault="00410D07">
      <w:pPr>
        <w:spacing w:line="254" w:lineRule="auto"/>
        <w:ind w:left="300" w:right="319" w:firstLine="360"/>
        <w:rPr>
          <w:sz w:val="20"/>
          <w:szCs w:val="20"/>
        </w:rPr>
      </w:pPr>
      <w:r>
        <w:rPr>
          <w:rFonts w:ascii="Arial" w:eastAsia="Arial" w:hAnsi="Arial" w:cs="Arial"/>
          <w:sz w:val="18"/>
          <w:szCs w:val="18"/>
        </w:rPr>
        <w:t>On June 27, 2020 (the “Termination Date”), the LB HCC Committee authorized the termination of the LB SRP. An</w:t>
      </w:r>
      <w:r>
        <w:rPr>
          <w:rFonts w:ascii="Arial" w:eastAsia="Arial" w:hAnsi="Arial" w:cs="Arial"/>
          <w:sz w:val="18"/>
          <w:szCs w:val="18"/>
        </w:rPr>
        <w:t xml:space="preserve">y remaining benefits and obligations under the LB SRP are expected to be paid out in full approximately one year following the Termination Date. Pursuant to applicable rules under the Internal Revenue Code, certain other deferred compensation arrangements </w:t>
      </w:r>
      <w:r>
        <w:rPr>
          <w:rFonts w:ascii="Arial" w:eastAsia="Arial" w:hAnsi="Arial" w:cs="Arial"/>
          <w:sz w:val="18"/>
          <w:szCs w:val="18"/>
        </w:rPr>
        <w:t>were simultaneously terminated and liquidated, including any remaining elective deferred stock units and deferral elections under LB’s Stock Award and Deferred Compensation Plan for Non-Associate Directors. In addition, any retirement-eligible associates o</w:t>
      </w:r>
      <w:r>
        <w:rPr>
          <w:rFonts w:ascii="Arial" w:eastAsia="Arial" w:hAnsi="Arial" w:cs="Arial"/>
          <w:sz w:val="18"/>
          <w:szCs w:val="18"/>
        </w:rPr>
        <w:t>f LB who were eligible for special pro rata vesting on any restricted stock units held by such associate will no longer receive pro rata vesting treatment on a retirement following the Termination Date.</w:t>
      </w:r>
    </w:p>
    <w:p w14:paraId="469E9EF1" w14:textId="77777777" w:rsidR="00D1587D" w:rsidRDefault="00D1587D">
      <w:pPr>
        <w:spacing w:line="84" w:lineRule="exact"/>
        <w:rPr>
          <w:sz w:val="20"/>
          <w:szCs w:val="20"/>
        </w:rPr>
      </w:pPr>
    </w:p>
    <w:p w14:paraId="4E4463E8" w14:textId="77777777" w:rsidR="00D1587D" w:rsidRDefault="00410D07">
      <w:pPr>
        <w:spacing w:line="259" w:lineRule="auto"/>
        <w:ind w:left="300" w:right="479" w:firstLine="360"/>
        <w:rPr>
          <w:sz w:val="20"/>
          <w:szCs w:val="20"/>
        </w:rPr>
      </w:pPr>
      <w:r>
        <w:rPr>
          <w:rFonts w:ascii="Arial" w:eastAsia="Arial" w:hAnsi="Arial" w:cs="Arial"/>
          <w:i/>
          <w:iCs/>
          <w:sz w:val="18"/>
          <w:szCs w:val="18"/>
        </w:rPr>
        <w:t>Going forward</w:t>
      </w:r>
      <w:r>
        <w:rPr>
          <w:rFonts w:ascii="Arial" w:eastAsia="Arial" w:hAnsi="Arial" w:cs="Arial"/>
          <w:sz w:val="18"/>
          <w:szCs w:val="18"/>
        </w:rPr>
        <w:t xml:space="preserve">: VS does not presently intend to </w:t>
      </w:r>
      <w:r>
        <w:rPr>
          <w:rFonts w:ascii="Arial" w:eastAsia="Arial" w:hAnsi="Arial" w:cs="Arial"/>
          <w:sz w:val="18"/>
          <w:szCs w:val="18"/>
        </w:rPr>
        <w:t>establish a nonqualified supplemental retirement or other</w:t>
      </w:r>
      <w:r>
        <w:rPr>
          <w:rFonts w:ascii="Arial" w:eastAsia="Arial" w:hAnsi="Arial" w:cs="Arial"/>
          <w:i/>
          <w:iCs/>
          <w:sz w:val="18"/>
          <w:szCs w:val="18"/>
        </w:rPr>
        <w:t xml:space="preserve"> </w:t>
      </w:r>
      <w:r>
        <w:rPr>
          <w:rFonts w:ascii="Arial" w:eastAsia="Arial" w:hAnsi="Arial" w:cs="Arial"/>
          <w:sz w:val="18"/>
          <w:szCs w:val="18"/>
        </w:rPr>
        <w:t>deferred compensation plan once we are a separate public company, but the VS HCC Committee will reserve the discretion to do so in the future (taking into account any restrictions in the adoption of</w:t>
      </w:r>
      <w:r>
        <w:rPr>
          <w:rFonts w:ascii="Arial" w:eastAsia="Arial" w:hAnsi="Arial" w:cs="Arial"/>
          <w:sz w:val="18"/>
          <w:szCs w:val="18"/>
        </w:rPr>
        <w:t xml:space="preserve"> such plan under the Internal Revenue Code).</w:t>
      </w:r>
    </w:p>
    <w:p w14:paraId="30B9ABC0" w14:textId="77777777" w:rsidR="00D1587D" w:rsidRDefault="00D1587D">
      <w:pPr>
        <w:spacing w:line="335" w:lineRule="exact"/>
        <w:rPr>
          <w:sz w:val="20"/>
          <w:szCs w:val="20"/>
        </w:rPr>
      </w:pPr>
    </w:p>
    <w:p w14:paraId="5DFEB0E0" w14:textId="77777777" w:rsidR="00D1587D" w:rsidRDefault="00410D07">
      <w:pPr>
        <w:ind w:left="660"/>
        <w:rPr>
          <w:sz w:val="20"/>
          <w:szCs w:val="20"/>
        </w:rPr>
      </w:pPr>
      <w:r>
        <w:rPr>
          <w:rFonts w:ascii="Arial" w:eastAsia="Arial" w:hAnsi="Arial" w:cs="Arial"/>
          <w:i/>
          <w:iCs/>
          <w:sz w:val="18"/>
          <w:szCs w:val="18"/>
        </w:rPr>
        <w:t>Termination Benefits: Severance and Change in Control Agreements</w:t>
      </w:r>
    </w:p>
    <w:p w14:paraId="0ED47033" w14:textId="77777777" w:rsidR="00D1587D" w:rsidRDefault="00D1587D">
      <w:pPr>
        <w:spacing w:line="117" w:lineRule="exact"/>
        <w:rPr>
          <w:sz w:val="20"/>
          <w:szCs w:val="20"/>
        </w:rPr>
      </w:pPr>
    </w:p>
    <w:p w14:paraId="06E0FA72" w14:textId="77777777" w:rsidR="00D1587D" w:rsidRDefault="00410D07">
      <w:pPr>
        <w:spacing w:line="301" w:lineRule="auto"/>
        <w:ind w:left="300" w:right="319" w:firstLine="360"/>
        <w:rPr>
          <w:sz w:val="20"/>
          <w:szCs w:val="20"/>
        </w:rPr>
      </w:pPr>
      <w:r>
        <w:rPr>
          <w:rFonts w:ascii="Arial" w:eastAsia="Arial" w:hAnsi="Arial" w:cs="Arial"/>
          <w:sz w:val="16"/>
          <w:szCs w:val="16"/>
        </w:rPr>
        <w:t xml:space="preserve">LB has entered into severance and change in control agreements with certain LB executives, including Messrs. Waters and Burgdoerfer, as well as </w:t>
      </w:r>
      <w:r>
        <w:rPr>
          <w:rFonts w:ascii="Arial" w:eastAsia="Arial" w:hAnsi="Arial" w:cs="Arial"/>
          <w:sz w:val="16"/>
          <w:szCs w:val="16"/>
        </w:rPr>
        <w:t xml:space="preserve">a retention agreement with Mr. Unis which includes certain severance provisions. In addition, LB has certain severance practices that would apply to Ms. Hauk. For additional information regarding these arrangements, see “Estimated Post-Employment Payments </w:t>
      </w:r>
      <w:r>
        <w:rPr>
          <w:rFonts w:ascii="Arial" w:eastAsia="Arial" w:hAnsi="Arial" w:cs="Arial"/>
          <w:sz w:val="16"/>
          <w:szCs w:val="16"/>
        </w:rPr>
        <w:t>and Benefits.”</w:t>
      </w:r>
    </w:p>
    <w:p w14:paraId="7FF49771" w14:textId="77777777" w:rsidR="00D1587D" w:rsidRDefault="00D1587D">
      <w:pPr>
        <w:spacing w:line="49" w:lineRule="exact"/>
        <w:rPr>
          <w:sz w:val="20"/>
          <w:szCs w:val="20"/>
        </w:rPr>
      </w:pPr>
    </w:p>
    <w:p w14:paraId="6562B472" w14:textId="77777777" w:rsidR="00D1587D" w:rsidRDefault="00410D07">
      <w:pPr>
        <w:spacing w:line="342" w:lineRule="auto"/>
        <w:ind w:left="300" w:right="479" w:firstLine="360"/>
        <w:rPr>
          <w:sz w:val="20"/>
          <w:szCs w:val="20"/>
        </w:rPr>
      </w:pPr>
      <w:r>
        <w:rPr>
          <w:rFonts w:ascii="Arial" w:eastAsia="Arial" w:hAnsi="Arial" w:cs="Arial"/>
          <w:sz w:val="16"/>
          <w:szCs w:val="16"/>
        </w:rPr>
        <w:t>Upon a change in control of LB, LB equity awards will only vest if the executive’s employment is terminated by the executive for good reason or by LB other than for cause within 24 months of the change in control of LB.</w:t>
      </w:r>
    </w:p>
    <w:p w14:paraId="16B176EC" w14:textId="77777777" w:rsidR="00D1587D" w:rsidRDefault="00D1587D">
      <w:pPr>
        <w:spacing w:line="16" w:lineRule="exact"/>
        <w:rPr>
          <w:sz w:val="20"/>
          <w:szCs w:val="20"/>
        </w:rPr>
      </w:pPr>
    </w:p>
    <w:p w14:paraId="312BF8BA" w14:textId="77777777" w:rsidR="00D1587D" w:rsidRDefault="00410D07">
      <w:pPr>
        <w:spacing w:line="277" w:lineRule="auto"/>
        <w:ind w:left="300" w:right="1279" w:firstLine="360"/>
        <w:rPr>
          <w:sz w:val="20"/>
          <w:szCs w:val="20"/>
        </w:rPr>
      </w:pPr>
      <w:r>
        <w:rPr>
          <w:rFonts w:ascii="Arial" w:eastAsia="Arial" w:hAnsi="Arial" w:cs="Arial"/>
          <w:sz w:val="18"/>
          <w:szCs w:val="18"/>
        </w:rPr>
        <w:t xml:space="preserve">None of LB’s </w:t>
      </w:r>
      <w:r>
        <w:rPr>
          <w:rFonts w:ascii="Arial" w:eastAsia="Arial" w:hAnsi="Arial" w:cs="Arial"/>
          <w:sz w:val="18"/>
          <w:szCs w:val="18"/>
        </w:rPr>
        <w:t>executives (including our NEOs) is entitled to a tax gross-up for any excise taxes on compensation paid in connection with a change in control.</w:t>
      </w:r>
    </w:p>
    <w:p w14:paraId="7EF1CBDC" w14:textId="77777777" w:rsidR="00D1587D" w:rsidRDefault="00D1587D">
      <w:pPr>
        <w:spacing w:line="62" w:lineRule="exact"/>
        <w:rPr>
          <w:sz w:val="20"/>
          <w:szCs w:val="20"/>
        </w:rPr>
      </w:pPr>
    </w:p>
    <w:p w14:paraId="1D26C464" w14:textId="77777777" w:rsidR="00D1587D" w:rsidRDefault="00410D07">
      <w:pPr>
        <w:spacing w:line="286" w:lineRule="auto"/>
        <w:ind w:left="300" w:right="499" w:firstLine="360"/>
        <w:rPr>
          <w:sz w:val="20"/>
          <w:szCs w:val="20"/>
        </w:rPr>
      </w:pPr>
      <w:r>
        <w:rPr>
          <w:rFonts w:ascii="Arial" w:eastAsia="Arial" w:hAnsi="Arial" w:cs="Arial"/>
          <w:i/>
          <w:iCs/>
          <w:sz w:val="17"/>
          <w:szCs w:val="17"/>
        </w:rPr>
        <w:t>Going forward</w:t>
      </w:r>
      <w:r>
        <w:rPr>
          <w:rFonts w:ascii="Arial" w:eastAsia="Arial" w:hAnsi="Arial" w:cs="Arial"/>
          <w:sz w:val="17"/>
          <w:szCs w:val="17"/>
        </w:rPr>
        <w:t>: We anticipate that we will enter into new, or amend existing, severance and change in control</w:t>
      </w:r>
      <w:r>
        <w:rPr>
          <w:rFonts w:ascii="Arial" w:eastAsia="Arial" w:hAnsi="Arial" w:cs="Arial"/>
          <w:i/>
          <w:iCs/>
          <w:sz w:val="17"/>
          <w:szCs w:val="17"/>
        </w:rPr>
        <w:t xml:space="preserve"> </w:t>
      </w:r>
      <w:r>
        <w:rPr>
          <w:rFonts w:ascii="Arial" w:eastAsia="Arial" w:hAnsi="Arial" w:cs="Arial"/>
          <w:sz w:val="17"/>
          <w:szCs w:val="17"/>
        </w:rPr>
        <w:t>ag</w:t>
      </w:r>
      <w:r>
        <w:rPr>
          <w:rFonts w:ascii="Arial" w:eastAsia="Arial" w:hAnsi="Arial" w:cs="Arial"/>
          <w:sz w:val="17"/>
          <w:szCs w:val="17"/>
        </w:rPr>
        <w:t>reements with our NEOs and certain other VS executives that we anticipate will provide similar benefits to the agreements described above that LB has entered into with its executives.</w:t>
      </w:r>
    </w:p>
    <w:p w14:paraId="7348E167" w14:textId="77777777" w:rsidR="00D1587D" w:rsidRDefault="00D1587D">
      <w:pPr>
        <w:spacing w:line="314" w:lineRule="exact"/>
        <w:rPr>
          <w:sz w:val="20"/>
          <w:szCs w:val="20"/>
        </w:rPr>
      </w:pPr>
    </w:p>
    <w:p w14:paraId="4DFC2BA5" w14:textId="77777777" w:rsidR="00D1587D" w:rsidRDefault="00410D07">
      <w:pPr>
        <w:ind w:left="300"/>
        <w:rPr>
          <w:sz w:val="20"/>
          <w:szCs w:val="20"/>
        </w:rPr>
      </w:pPr>
      <w:r>
        <w:rPr>
          <w:rFonts w:ascii="Arial" w:eastAsia="Arial" w:hAnsi="Arial" w:cs="Arial"/>
          <w:b/>
          <w:bCs/>
          <w:i/>
          <w:iCs/>
          <w:sz w:val="18"/>
          <w:szCs w:val="18"/>
        </w:rPr>
        <w:t>Limited Perquisites</w:t>
      </w:r>
    </w:p>
    <w:p w14:paraId="5E234343" w14:textId="77777777" w:rsidR="00D1587D" w:rsidRDefault="00D1587D">
      <w:pPr>
        <w:spacing w:line="117" w:lineRule="exact"/>
        <w:rPr>
          <w:sz w:val="20"/>
          <w:szCs w:val="20"/>
        </w:rPr>
      </w:pPr>
    </w:p>
    <w:p w14:paraId="09D857E1" w14:textId="77777777" w:rsidR="00D1587D" w:rsidRDefault="00410D07">
      <w:pPr>
        <w:spacing w:line="271" w:lineRule="auto"/>
        <w:ind w:left="300" w:right="319" w:firstLine="360"/>
        <w:rPr>
          <w:sz w:val="20"/>
          <w:szCs w:val="20"/>
        </w:rPr>
      </w:pPr>
      <w:r>
        <w:rPr>
          <w:rFonts w:ascii="Arial" w:eastAsia="Arial" w:hAnsi="Arial" w:cs="Arial"/>
          <w:sz w:val="17"/>
          <w:szCs w:val="17"/>
        </w:rPr>
        <w:t xml:space="preserve">LB provides its executives with minimal </w:t>
      </w:r>
      <w:r>
        <w:rPr>
          <w:rFonts w:ascii="Arial" w:eastAsia="Arial" w:hAnsi="Arial" w:cs="Arial"/>
          <w:sz w:val="17"/>
          <w:szCs w:val="17"/>
        </w:rPr>
        <w:t>perquisites that the LB HCC Committee has determined are reasonable and in the best interests of LB and its stockholders. These perquisites may include the reimbursement of financial planning costs of up to $9,500 per year and supplemental disability and l</w:t>
      </w:r>
      <w:r>
        <w:rPr>
          <w:rFonts w:ascii="Arial" w:eastAsia="Arial" w:hAnsi="Arial" w:cs="Arial"/>
          <w:sz w:val="17"/>
          <w:szCs w:val="17"/>
        </w:rPr>
        <w:t>ife insurance coverage provided by LB for associates at the Vice President level and above, including our NEOs. In addition, to the extent that corporate provided aircraft is used by any LB executive for personal purposes, the executive is required to reim</w:t>
      </w:r>
      <w:r>
        <w:rPr>
          <w:rFonts w:ascii="Arial" w:eastAsia="Arial" w:hAnsi="Arial" w:cs="Arial"/>
          <w:sz w:val="17"/>
          <w:szCs w:val="17"/>
        </w:rPr>
        <w:t>burse LB based on the amount established by the Internal Revenue Service as reasonable for personal use or the aggregate incremental cost associated with the personal use of the corporate owned aircraft as determined by an independent, third party aircraft</w:t>
      </w:r>
      <w:r>
        <w:rPr>
          <w:rFonts w:ascii="Arial" w:eastAsia="Arial" w:hAnsi="Arial" w:cs="Arial"/>
          <w:sz w:val="17"/>
          <w:szCs w:val="17"/>
        </w:rPr>
        <w:t xml:space="preserve"> costing service.</w:t>
      </w:r>
    </w:p>
    <w:p w14:paraId="4BB013DA" w14:textId="77777777" w:rsidR="00D1587D" w:rsidRDefault="00D1587D">
      <w:pPr>
        <w:spacing w:line="70" w:lineRule="exact"/>
        <w:rPr>
          <w:sz w:val="20"/>
          <w:szCs w:val="20"/>
        </w:rPr>
      </w:pPr>
    </w:p>
    <w:p w14:paraId="3CF6661E" w14:textId="77777777" w:rsidR="00D1587D" w:rsidRDefault="00410D07">
      <w:pPr>
        <w:spacing w:line="263" w:lineRule="auto"/>
        <w:ind w:left="300" w:right="399" w:firstLine="360"/>
        <w:rPr>
          <w:sz w:val="20"/>
          <w:szCs w:val="20"/>
        </w:rPr>
      </w:pPr>
      <w:r>
        <w:rPr>
          <w:rFonts w:ascii="Arial" w:eastAsia="Arial" w:hAnsi="Arial" w:cs="Arial"/>
          <w:i/>
          <w:iCs/>
          <w:sz w:val="18"/>
          <w:szCs w:val="18"/>
        </w:rPr>
        <w:t>Going forward</w:t>
      </w:r>
      <w:r>
        <w:rPr>
          <w:rFonts w:ascii="Arial" w:eastAsia="Arial" w:hAnsi="Arial" w:cs="Arial"/>
          <w:sz w:val="18"/>
          <w:szCs w:val="18"/>
        </w:rPr>
        <w:t>: Once we are a separate public company, we will review the perquisites to be made available to</w:t>
      </w:r>
      <w:r>
        <w:rPr>
          <w:rFonts w:ascii="Arial" w:eastAsia="Arial" w:hAnsi="Arial" w:cs="Arial"/>
          <w:i/>
          <w:iCs/>
          <w:sz w:val="18"/>
          <w:szCs w:val="18"/>
        </w:rPr>
        <w:t xml:space="preserve"> </w:t>
      </w:r>
      <w:r>
        <w:rPr>
          <w:rFonts w:ascii="Arial" w:eastAsia="Arial" w:hAnsi="Arial" w:cs="Arial"/>
          <w:sz w:val="18"/>
          <w:szCs w:val="18"/>
        </w:rPr>
        <w:t>our executives, including our NEOs, which we anticipate will generally be similar to those provided by LB to its executives.</w:t>
      </w:r>
    </w:p>
    <w:p w14:paraId="53B85128" w14:textId="77777777" w:rsidR="00D1587D" w:rsidRDefault="00D1587D">
      <w:pPr>
        <w:spacing w:line="184" w:lineRule="exact"/>
        <w:rPr>
          <w:sz w:val="20"/>
          <w:szCs w:val="20"/>
        </w:rPr>
      </w:pPr>
    </w:p>
    <w:p w14:paraId="610E5793" w14:textId="77777777" w:rsidR="00D1587D" w:rsidRDefault="00410D07">
      <w:pPr>
        <w:ind w:right="19"/>
        <w:jc w:val="center"/>
        <w:rPr>
          <w:sz w:val="20"/>
          <w:szCs w:val="20"/>
        </w:rPr>
      </w:pPr>
      <w:r>
        <w:rPr>
          <w:rFonts w:ascii="Arial" w:eastAsia="Arial" w:hAnsi="Arial" w:cs="Arial"/>
          <w:sz w:val="18"/>
          <w:szCs w:val="18"/>
        </w:rPr>
        <w:t>11</w:t>
      </w:r>
      <w:r>
        <w:rPr>
          <w:rFonts w:ascii="Arial" w:eastAsia="Arial" w:hAnsi="Arial" w:cs="Arial"/>
          <w:sz w:val="18"/>
          <w:szCs w:val="18"/>
        </w:rPr>
        <w:t>5</w:t>
      </w:r>
    </w:p>
    <w:p w14:paraId="7E429FC1" w14:textId="77777777" w:rsidR="00D1587D" w:rsidRDefault="00410D07">
      <w:pPr>
        <w:spacing w:line="20" w:lineRule="exact"/>
        <w:rPr>
          <w:sz w:val="20"/>
          <w:szCs w:val="20"/>
        </w:rPr>
      </w:pPr>
      <w:r>
        <w:rPr>
          <w:noProof/>
          <w:sz w:val="20"/>
          <w:szCs w:val="20"/>
        </w:rPr>
        <w:drawing>
          <wp:anchor distT="0" distB="0" distL="114300" distR="114300" simplePos="0" relativeHeight="251851776" behindDoc="1" locked="0" layoutInCell="0" allowOverlap="1" wp14:anchorId="5FD8A618" wp14:editId="1568C92D">
            <wp:simplePos x="0" y="0"/>
            <wp:positionH relativeFrom="column">
              <wp:posOffset>-636905</wp:posOffset>
            </wp:positionH>
            <wp:positionV relativeFrom="paragraph">
              <wp:posOffset>134620</wp:posOffset>
            </wp:positionV>
            <wp:extent cx="6995160" cy="17145"/>
            <wp:effectExtent l="0" t="0" r="0" b="0"/>
            <wp:wrapNone/>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CF7AAE5" w14:textId="77777777" w:rsidR="00D1587D" w:rsidRDefault="00D1587D">
      <w:pPr>
        <w:sectPr w:rsidR="00D1587D">
          <w:pgSz w:w="11900" w:h="16838"/>
          <w:pgMar w:top="265" w:right="1440" w:bottom="1440" w:left="1440" w:header="0" w:footer="0" w:gutter="0"/>
          <w:cols w:space="720" w:equalWidth="0">
            <w:col w:w="9019"/>
          </w:cols>
        </w:sectPr>
      </w:pPr>
    </w:p>
    <w:bookmarkStart w:id="373" w:name="page374"/>
    <w:bookmarkEnd w:id="373"/>
    <w:p w14:paraId="2463EFB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8F098ED" w14:textId="77777777" w:rsidR="00D1587D" w:rsidRDefault="00D1587D">
      <w:pPr>
        <w:spacing w:line="127" w:lineRule="exact"/>
        <w:rPr>
          <w:sz w:val="20"/>
          <w:szCs w:val="20"/>
        </w:rPr>
      </w:pPr>
    </w:p>
    <w:p w14:paraId="31277438" w14:textId="77777777" w:rsidR="00D1587D" w:rsidRDefault="00410D07">
      <w:pPr>
        <w:ind w:left="300"/>
        <w:rPr>
          <w:sz w:val="20"/>
          <w:szCs w:val="20"/>
        </w:rPr>
      </w:pPr>
      <w:r>
        <w:rPr>
          <w:rFonts w:ascii="Arial" w:eastAsia="Arial" w:hAnsi="Arial" w:cs="Arial"/>
          <w:b/>
          <w:bCs/>
          <w:sz w:val="18"/>
          <w:szCs w:val="18"/>
        </w:rPr>
        <w:t>Compensation Governance</w:t>
      </w:r>
    </w:p>
    <w:p w14:paraId="51A2640E" w14:textId="77777777" w:rsidR="00D1587D" w:rsidRDefault="00D1587D">
      <w:pPr>
        <w:spacing w:line="148" w:lineRule="exact"/>
        <w:rPr>
          <w:sz w:val="20"/>
          <w:szCs w:val="20"/>
        </w:rPr>
      </w:pPr>
    </w:p>
    <w:p w14:paraId="5DE55383" w14:textId="77777777" w:rsidR="00D1587D" w:rsidRDefault="00410D07">
      <w:pPr>
        <w:ind w:left="300"/>
        <w:rPr>
          <w:sz w:val="20"/>
          <w:szCs w:val="20"/>
        </w:rPr>
      </w:pPr>
      <w:r>
        <w:rPr>
          <w:rFonts w:ascii="Arial" w:eastAsia="Arial" w:hAnsi="Arial" w:cs="Arial"/>
          <w:b/>
          <w:bCs/>
          <w:i/>
          <w:iCs/>
          <w:sz w:val="18"/>
          <w:szCs w:val="18"/>
        </w:rPr>
        <w:t>Tax Deductibility</w:t>
      </w:r>
    </w:p>
    <w:p w14:paraId="41C1AE0B" w14:textId="77777777" w:rsidR="00D1587D" w:rsidRDefault="00D1587D">
      <w:pPr>
        <w:spacing w:line="117" w:lineRule="exact"/>
        <w:rPr>
          <w:sz w:val="20"/>
          <w:szCs w:val="20"/>
        </w:rPr>
      </w:pPr>
    </w:p>
    <w:p w14:paraId="3E3EB396" w14:textId="77777777" w:rsidR="00D1587D" w:rsidRDefault="00410D07">
      <w:pPr>
        <w:spacing w:line="270" w:lineRule="auto"/>
        <w:ind w:left="300" w:right="379" w:firstLine="360"/>
        <w:rPr>
          <w:sz w:val="20"/>
          <w:szCs w:val="20"/>
        </w:rPr>
      </w:pPr>
      <w:r>
        <w:rPr>
          <w:rFonts w:ascii="Arial" w:eastAsia="Arial" w:hAnsi="Arial" w:cs="Arial"/>
          <w:sz w:val="17"/>
          <w:szCs w:val="17"/>
        </w:rPr>
        <w:t xml:space="preserve">Section 162(m) of the Internal Revenue Code generally does not allow a tax deduction to public companies for compensation paid to </w:t>
      </w:r>
      <w:r>
        <w:rPr>
          <w:rFonts w:ascii="Arial" w:eastAsia="Arial" w:hAnsi="Arial" w:cs="Arial"/>
          <w:sz w:val="17"/>
          <w:szCs w:val="17"/>
        </w:rPr>
        <w:t>certain executive officers that is more than $1 million during the tax year. Section 162(m) of the Internal Revenue Code provided an exemption from this deduction limitation for compensation that qualified as “performance-based compensation.” However, as p</w:t>
      </w:r>
      <w:r>
        <w:rPr>
          <w:rFonts w:ascii="Arial" w:eastAsia="Arial" w:hAnsi="Arial" w:cs="Arial"/>
          <w:sz w:val="17"/>
          <w:szCs w:val="17"/>
        </w:rPr>
        <w:t>art of the Tax Cuts and Jobs Act of 2017, this exemption was repealed, effective for taxable years beginning after December 31, 2017, subject to transition relief for certain “grandfathered” arrangements in effect as of November 2, 2017. In addition, the r</w:t>
      </w:r>
      <w:r>
        <w:rPr>
          <w:rFonts w:ascii="Arial" w:eastAsia="Arial" w:hAnsi="Arial" w:cs="Arial"/>
          <w:sz w:val="17"/>
          <w:szCs w:val="17"/>
        </w:rPr>
        <w:t>egulations promulgated under Section 162(m) provided certain transitional relief to companies that became publicly held on or prior to December 20, 2019. However, because the Separation will occur following December 20, 2019, VS will not qualify for this s</w:t>
      </w:r>
      <w:r>
        <w:rPr>
          <w:rFonts w:ascii="Arial" w:eastAsia="Arial" w:hAnsi="Arial" w:cs="Arial"/>
          <w:sz w:val="17"/>
          <w:szCs w:val="17"/>
        </w:rPr>
        <w:t>pecial transitional relief under Section 162(m).</w:t>
      </w:r>
    </w:p>
    <w:p w14:paraId="067C684C" w14:textId="77777777" w:rsidR="00D1587D" w:rsidRDefault="00D1587D">
      <w:pPr>
        <w:spacing w:line="73" w:lineRule="exact"/>
        <w:rPr>
          <w:sz w:val="20"/>
          <w:szCs w:val="20"/>
        </w:rPr>
      </w:pPr>
    </w:p>
    <w:p w14:paraId="6DB9E72D" w14:textId="77777777" w:rsidR="00D1587D" w:rsidRDefault="00410D07">
      <w:pPr>
        <w:spacing w:line="342" w:lineRule="auto"/>
        <w:ind w:left="300" w:right="659" w:firstLine="360"/>
        <w:rPr>
          <w:sz w:val="20"/>
          <w:szCs w:val="20"/>
        </w:rPr>
      </w:pPr>
      <w:r>
        <w:rPr>
          <w:rFonts w:ascii="Arial" w:eastAsia="Arial" w:hAnsi="Arial" w:cs="Arial"/>
          <w:sz w:val="16"/>
          <w:szCs w:val="16"/>
        </w:rPr>
        <w:t xml:space="preserve">In the exercise of its business judgment, the VS HCC retains the flexibility to award and pay compensation even if the compensation is not deductible by VS for tax purposes if it believes it is in the </w:t>
      </w:r>
      <w:r>
        <w:rPr>
          <w:rFonts w:ascii="Arial" w:eastAsia="Arial" w:hAnsi="Arial" w:cs="Arial"/>
          <w:sz w:val="16"/>
          <w:szCs w:val="16"/>
        </w:rPr>
        <w:t>best interests of VS.</w:t>
      </w:r>
    </w:p>
    <w:p w14:paraId="0FE692B3" w14:textId="77777777" w:rsidR="00D1587D" w:rsidRDefault="00D1587D">
      <w:pPr>
        <w:spacing w:line="272" w:lineRule="exact"/>
        <w:rPr>
          <w:sz w:val="20"/>
          <w:szCs w:val="20"/>
        </w:rPr>
      </w:pPr>
    </w:p>
    <w:p w14:paraId="1B969F7E" w14:textId="77777777" w:rsidR="00D1587D" w:rsidRDefault="00410D07">
      <w:pPr>
        <w:ind w:left="300"/>
        <w:rPr>
          <w:sz w:val="20"/>
          <w:szCs w:val="20"/>
        </w:rPr>
      </w:pPr>
      <w:r>
        <w:rPr>
          <w:rFonts w:ascii="Arial" w:eastAsia="Arial" w:hAnsi="Arial" w:cs="Arial"/>
          <w:b/>
          <w:bCs/>
          <w:i/>
          <w:iCs/>
          <w:sz w:val="18"/>
          <w:szCs w:val="18"/>
        </w:rPr>
        <w:t>Stock Ownership Guidelines</w:t>
      </w:r>
    </w:p>
    <w:p w14:paraId="7C715CAB" w14:textId="77777777" w:rsidR="00D1587D" w:rsidRDefault="00D1587D">
      <w:pPr>
        <w:spacing w:line="117" w:lineRule="exact"/>
        <w:rPr>
          <w:sz w:val="20"/>
          <w:szCs w:val="20"/>
        </w:rPr>
      </w:pPr>
    </w:p>
    <w:p w14:paraId="23FCF94B" w14:textId="77777777" w:rsidR="00D1587D" w:rsidRDefault="00410D07">
      <w:pPr>
        <w:spacing w:line="257" w:lineRule="auto"/>
        <w:ind w:left="300" w:right="339"/>
        <w:rPr>
          <w:sz w:val="20"/>
          <w:szCs w:val="20"/>
        </w:rPr>
      </w:pPr>
      <w:r>
        <w:rPr>
          <w:rFonts w:ascii="Arial" w:eastAsia="Arial" w:hAnsi="Arial" w:cs="Arial"/>
          <w:sz w:val="18"/>
          <w:szCs w:val="18"/>
        </w:rPr>
        <w:t xml:space="preserve">The LB HCC Committee encourages common stock ownership by LB’s covered executives through stock ownership guidelines that promote a long-term focus on performance, discourage inappropriate risk-taking and </w:t>
      </w:r>
      <w:r>
        <w:rPr>
          <w:rFonts w:ascii="Arial" w:eastAsia="Arial" w:hAnsi="Arial" w:cs="Arial"/>
          <w:sz w:val="18"/>
          <w:szCs w:val="18"/>
        </w:rPr>
        <w:t>align the interests of its executives with those of its stockholders. Stock ownership guidelines can be met through direct or beneficial ownership of LB’s common stock, including LB’s common stock held under its stock incentive and retirement plans.</w:t>
      </w:r>
    </w:p>
    <w:p w14:paraId="3AF47EC0" w14:textId="77777777" w:rsidR="00D1587D" w:rsidRDefault="00D1587D">
      <w:pPr>
        <w:spacing w:line="80" w:lineRule="exact"/>
        <w:rPr>
          <w:sz w:val="20"/>
          <w:szCs w:val="20"/>
        </w:rPr>
      </w:pPr>
    </w:p>
    <w:p w14:paraId="50AF50AF" w14:textId="77777777" w:rsidR="00D1587D" w:rsidRDefault="00410D07">
      <w:pPr>
        <w:spacing w:line="257" w:lineRule="auto"/>
        <w:ind w:left="300" w:right="459" w:firstLine="360"/>
        <w:rPr>
          <w:sz w:val="20"/>
          <w:szCs w:val="20"/>
        </w:rPr>
      </w:pPr>
      <w:r>
        <w:rPr>
          <w:rFonts w:ascii="Arial" w:eastAsia="Arial" w:hAnsi="Arial" w:cs="Arial"/>
          <w:sz w:val="18"/>
          <w:szCs w:val="18"/>
        </w:rPr>
        <w:t xml:space="preserve">LB’s </w:t>
      </w:r>
      <w:r>
        <w:rPr>
          <w:rFonts w:ascii="Arial" w:eastAsia="Arial" w:hAnsi="Arial" w:cs="Arial"/>
          <w:sz w:val="18"/>
          <w:szCs w:val="18"/>
        </w:rPr>
        <w:t>chief executive officer is required to achieve and maintain beneficial ownership of LB’s common stock with a value of five times his base salary and LB’s other covered executives are required to achieve and maintain beneficial ownership of LB’s common stoc</w:t>
      </w:r>
      <w:r>
        <w:rPr>
          <w:rFonts w:ascii="Arial" w:eastAsia="Arial" w:hAnsi="Arial" w:cs="Arial"/>
          <w:sz w:val="18"/>
          <w:szCs w:val="18"/>
        </w:rPr>
        <w:t>k with a value of three times such executive’s base salary. LB’s covered executives are required to maintain these ownership levels within five years of becoming subject to the ownership guideline.</w:t>
      </w:r>
    </w:p>
    <w:p w14:paraId="70B7279B" w14:textId="77777777" w:rsidR="00D1587D" w:rsidRDefault="00D1587D">
      <w:pPr>
        <w:spacing w:line="80" w:lineRule="exact"/>
        <w:rPr>
          <w:sz w:val="20"/>
          <w:szCs w:val="20"/>
        </w:rPr>
      </w:pPr>
    </w:p>
    <w:p w14:paraId="3D7763F0" w14:textId="77777777" w:rsidR="00D1587D" w:rsidRDefault="00410D07">
      <w:pPr>
        <w:spacing w:line="277" w:lineRule="auto"/>
        <w:ind w:left="300" w:right="959" w:firstLine="360"/>
        <w:rPr>
          <w:sz w:val="20"/>
          <w:szCs w:val="20"/>
        </w:rPr>
      </w:pPr>
      <w:r>
        <w:rPr>
          <w:rFonts w:ascii="Arial" w:eastAsia="Arial" w:hAnsi="Arial" w:cs="Arial"/>
          <w:sz w:val="18"/>
          <w:szCs w:val="18"/>
        </w:rPr>
        <w:t>Members of LB’s Board of Directors must maintain ownershi</w:t>
      </w:r>
      <w:r>
        <w:rPr>
          <w:rFonts w:ascii="Arial" w:eastAsia="Arial" w:hAnsi="Arial" w:cs="Arial"/>
          <w:sz w:val="18"/>
          <w:szCs w:val="18"/>
        </w:rPr>
        <w:t>p of at least the number of shares of LB’s common stock received as board compensation over the previous four years.</w:t>
      </w:r>
    </w:p>
    <w:p w14:paraId="2841C721" w14:textId="77777777" w:rsidR="00D1587D" w:rsidRDefault="00D1587D">
      <w:pPr>
        <w:spacing w:line="62" w:lineRule="exact"/>
        <w:rPr>
          <w:sz w:val="20"/>
          <w:szCs w:val="20"/>
        </w:rPr>
      </w:pPr>
    </w:p>
    <w:p w14:paraId="7E8107C3" w14:textId="77777777" w:rsidR="00D1587D" w:rsidRDefault="00410D07">
      <w:pPr>
        <w:spacing w:line="277" w:lineRule="auto"/>
        <w:ind w:left="300" w:right="879" w:firstLine="360"/>
        <w:rPr>
          <w:sz w:val="20"/>
          <w:szCs w:val="20"/>
        </w:rPr>
      </w:pPr>
      <w:r>
        <w:rPr>
          <w:rFonts w:ascii="Arial" w:eastAsia="Arial" w:hAnsi="Arial" w:cs="Arial"/>
          <w:i/>
          <w:iCs/>
          <w:sz w:val="18"/>
          <w:szCs w:val="18"/>
        </w:rPr>
        <w:t>Going forward</w:t>
      </w:r>
      <w:r>
        <w:rPr>
          <w:rFonts w:ascii="Arial" w:eastAsia="Arial" w:hAnsi="Arial" w:cs="Arial"/>
          <w:sz w:val="18"/>
          <w:szCs w:val="18"/>
        </w:rPr>
        <w:t>: Once we are a separate public company, we intend to review and adopt stock ownership</w:t>
      </w:r>
      <w:r>
        <w:rPr>
          <w:rFonts w:ascii="Arial" w:eastAsia="Arial" w:hAnsi="Arial" w:cs="Arial"/>
          <w:i/>
          <w:iCs/>
          <w:sz w:val="18"/>
          <w:szCs w:val="18"/>
        </w:rPr>
        <w:t xml:space="preserve"> </w:t>
      </w:r>
      <w:r>
        <w:rPr>
          <w:rFonts w:ascii="Arial" w:eastAsia="Arial" w:hAnsi="Arial" w:cs="Arial"/>
          <w:sz w:val="18"/>
          <w:szCs w:val="18"/>
        </w:rPr>
        <w:t>guidelines appropriate for VS as a new</w:t>
      </w:r>
      <w:r>
        <w:rPr>
          <w:rFonts w:ascii="Arial" w:eastAsia="Arial" w:hAnsi="Arial" w:cs="Arial"/>
          <w:sz w:val="18"/>
          <w:szCs w:val="18"/>
        </w:rPr>
        <w:t>ly established, stand-alone public company.</w:t>
      </w:r>
    </w:p>
    <w:p w14:paraId="3713CEAF" w14:textId="77777777" w:rsidR="00D1587D" w:rsidRDefault="00D1587D">
      <w:pPr>
        <w:spacing w:line="319" w:lineRule="exact"/>
        <w:rPr>
          <w:sz w:val="20"/>
          <w:szCs w:val="20"/>
        </w:rPr>
      </w:pPr>
    </w:p>
    <w:p w14:paraId="0DECD962" w14:textId="77777777" w:rsidR="00D1587D" w:rsidRDefault="00410D07">
      <w:pPr>
        <w:ind w:left="300"/>
        <w:rPr>
          <w:sz w:val="20"/>
          <w:szCs w:val="20"/>
        </w:rPr>
      </w:pPr>
      <w:r>
        <w:rPr>
          <w:rFonts w:ascii="Arial" w:eastAsia="Arial" w:hAnsi="Arial" w:cs="Arial"/>
          <w:b/>
          <w:bCs/>
          <w:i/>
          <w:iCs/>
          <w:sz w:val="18"/>
          <w:szCs w:val="18"/>
        </w:rPr>
        <w:t>Recovery of Compensation</w:t>
      </w:r>
    </w:p>
    <w:p w14:paraId="525C34DB" w14:textId="77777777" w:rsidR="00D1587D" w:rsidRDefault="00D1587D">
      <w:pPr>
        <w:spacing w:line="117" w:lineRule="exact"/>
        <w:rPr>
          <w:sz w:val="20"/>
          <w:szCs w:val="20"/>
        </w:rPr>
      </w:pPr>
    </w:p>
    <w:p w14:paraId="36648E80" w14:textId="77777777" w:rsidR="00D1587D" w:rsidRDefault="00410D07">
      <w:pPr>
        <w:spacing w:line="275" w:lineRule="auto"/>
        <w:ind w:left="300" w:right="399" w:firstLine="360"/>
        <w:rPr>
          <w:sz w:val="20"/>
          <w:szCs w:val="20"/>
        </w:rPr>
      </w:pPr>
      <w:r>
        <w:rPr>
          <w:rFonts w:ascii="Arial" w:eastAsia="Arial" w:hAnsi="Arial" w:cs="Arial"/>
          <w:sz w:val="17"/>
          <w:szCs w:val="17"/>
        </w:rPr>
        <w:t xml:space="preserve">Under the LB 2015 ICPP, the LB 2015 Plan and the LB 2020 Plan, the LB HCC Committee has the power and authority to recover previously awarded bonuses or equity-based </w:t>
      </w:r>
      <w:r>
        <w:rPr>
          <w:rFonts w:ascii="Arial" w:eastAsia="Arial" w:hAnsi="Arial" w:cs="Arial"/>
          <w:sz w:val="17"/>
          <w:szCs w:val="17"/>
        </w:rPr>
        <w:t>compensation or profits if (i) required by applicable law with respect to a participant, (ii) a participant engaged in fraudulent conduct or activities (or had knowledge of such conduct or activities) relating to LB or (iii) a participant should have had k</w:t>
      </w:r>
      <w:r>
        <w:rPr>
          <w:rFonts w:ascii="Arial" w:eastAsia="Arial" w:hAnsi="Arial" w:cs="Arial"/>
          <w:sz w:val="17"/>
          <w:szCs w:val="17"/>
        </w:rPr>
        <w:t>nowledge of such conduct or activities based on his or her position, duties or responsibilities.</w:t>
      </w:r>
    </w:p>
    <w:p w14:paraId="4ABB8F47" w14:textId="77777777" w:rsidR="00D1587D" w:rsidRDefault="00D1587D">
      <w:pPr>
        <w:spacing w:line="68" w:lineRule="exact"/>
        <w:rPr>
          <w:sz w:val="20"/>
          <w:szCs w:val="20"/>
        </w:rPr>
      </w:pPr>
    </w:p>
    <w:p w14:paraId="18747B46" w14:textId="77777777" w:rsidR="00D1587D" w:rsidRDefault="00410D07">
      <w:pPr>
        <w:spacing w:line="301" w:lineRule="auto"/>
        <w:ind w:left="300" w:right="359" w:firstLine="360"/>
        <w:rPr>
          <w:sz w:val="20"/>
          <w:szCs w:val="20"/>
        </w:rPr>
      </w:pPr>
      <w:r>
        <w:rPr>
          <w:rFonts w:ascii="Arial" w:eastAsia="Arial" w:hAnsi="Arial" w:cs="Arial"/>
          <w:i/>
          <w:iCs/>
          <w:sz w:val="16"/>
          <w:szCs w:val="16"/>
        </w:rPr>
        <w:t>Going forward</w:t>
      </w:r>
      <w:r>
        <w:rPr>
          <w:rFonts w:ascii="Arial" w:eastAsia="Arial" w:hAnsi="Arial" w:cs="Arial"/>
          <w:sz w:val="16"/>
          <w:szCs w:val="16"/>
        </w:rPr>
        <w:t>: In connection with our adoption of the VS 2021 ICPP and the VS 2021 Plan, we anticipate that</w:t>
      </w:r>
      <w:r>
        <w:rPr>
          <w:rFonts w:ascii="Arial" w:eastAsia="Arial" w:hAnsi="Arial" w:cs="Arial"/>
          <w:i/>
          <w:iCs/>
          <w:sz w:val="16"/>
          <w:szCs w:val="16"/>
        </w:rPr>
        <w:t xml:space="preserve"> </w:t>
      </w:r>
      <w:r>
        <w:rPr>
          <w:rFonts w:ascii="Arial" w:eastAsia="Arial" w:hAnsi="Arial" w:cs="Arial"/>
          <w:sz w:val="16"/>
          <w:szCs w:val="16"/>
        </w:rPr>
        <w:t>we will adopt clawback requirements similar to tho</w:t>
      </w:r>
      <w:r>
        <w:rPr>
          <w:rFonts w:ascii="Arial" w:eastAsia="Arial" w:hAnsi="Arial" w:cs="Arial"/>
          <w:sz w:val="16"/>
          <w:szCs w:val="16"/>
        </w:rPr>
        <w:t xml:space="preserve">se set forth in the LB 2015 ICPP and the LB 2020 Plan. In addition, as a new, smaller company, we intend to review our compensation practices and consider additional clawback policies as may be appropriate for VS as a newly established, stand-alone public </w:t>
      </w:r>
      <w:r>
        <w:rPr>
          <w:rFonts w:ascii="Arial" w:eastAsia="Arial" w:hAnsi="Arial" w:cs="Arial"/>
          <w:sz w:val="16"/>
          <w:szCs w:val="16"/>
        </w:rPr>
        <w:t>company.</w:t>
      </w:r>
    </w:p>
    <w:p w14:paraId="47A9F629" w14:textId="77777777" w:rsidR="00D1587D" w:rsidRDefault="00D1587D">
      <w:pPr>
        <w:spacing w:line="292" w:lineRule="exact"/>
        <w:rPr>
          <w:sz w:val="20"/>
          <w:szCs w:val="20"/>
        </w:rPr>
      </w:pPr>
    </w:p>
    <w:p w14:paraId="5E55528B" w14:textId="77777777" w:rsidR="00D1587D" w:rsidRDefault="00410D07">
      <w:pPr>
        <w:ind w:left="300"/>
        <w:rPr>
          <w:sz w:val="20"/>
          <w:szCs w:val="20"/>
        </w:rPr>
      </w:pPr>
      <w:r>
        <w:rPr>
          <w:rFonts w:ascii="Arial" w:eastAsia="Arial" w:hAnsi="Arial" w:cs="Arial"/>
          <w:b/>
          <w:bCs/>
          <w:i/>
          <w:iCs/>
          <w:sz w:val="18"/>
          <w:szCs w:val="18"/>
        </w:rPr>
        <w:t>Policy Regarding Hedging or Pledging</w:t>
      </w:r>
    </w:p>
    <w:p w14:paraId="0A4C7B90" w14:textId="77777777" w:rsidR="00D1587D" w:rsidRDefault="00D1587D">
      <w:pPr>
        <w:spacing w:line="117" w:lineRule="exact"/>
        <w:rPr>
          <w:sz w:val="20"/>
          <w:szCs w:val="20"/>
        </w:rPr>
      </w:pPr>
    </w:p>
    <w:p w14:paraId="332CE75B" w14:textId="77777777" w:rsidR="00D1587D" w:rsidRDefault="00410D07">
      <w:pPr>
        <w:spacing w:line="275" w:lineRule="auto"/>
        <w:ind w:left="300" w:right="439" w:firstLine="360"/>
        <w:rPr>
          <w:sz w:val="20"/>
          <w:szCs w:val="20"/>
        </w:rPr>
      </w:pPr>
      <w:r>
        <w:rPr>
          <w:rFonts w:ascii="Arial" w:eastAsia="Arial" w:hAnsi="Arial" w:cs="Arial"/>
          <w:sz w:val="17"/>
          <w:szCs w:val="17"/>
        </w:rPr>
        <w:t>LB’s Board of Directors has adopted a policy prohibiting LB’s directors and certain executives from engaging in transactions in derivative securities (including puts, calls, collars, forward contracts, equity</w:t>
      </w:r>
      <w:r>
        <w:rPr>
          <w:rFonts w:ascii="Arial" w:eastAsia="Arial" w:hAnsi="Arial" w:cs="Arial"/>
          <w:sz w:val="17"/>
          <w:szCs w:val="17"/>
        </w:rPr>
        <w:t xml:space="preserve"> swaps, exchange funds and the like) relating to LB’s securities, transactions “hedging” the risk of ownership of LB’s securities and short sales of LB’s securities. In addition, LB’s directors and certain executives are prohibited from holding LB’s securi</w:t>
      </w:r>
      <w:r>
        <w:rPr>
          <w:rFonts w:ascii="Arial" w:eastAsia="Arial" w:hAnsi="Arial" w:cs="Arial"/>
          <w:sz w:val="17"/>
          <w:szCs w:val="17"/>
        </w:rPr>
        <w:t>ties in margin accounts or pledging LB’s securities as collateral for loans.</w:t>
      </w:r>
    </w:p>
    <w:p w14:paraId="5CB44FB2" w14:textId="77777777" w:rsidR="00D1587D" w:rsidRDefault="00D1587D">
      <w:pPr>
        <w:spacing w:line="68" w:lineRule="exact"/>
        <w:rPr>
          <w:sz w:val="20"/>
          <w:szCs w:val="20"/>
        </w:rPr>
      </w:pPr>
    </w:p>
    <w:p w14:paraId="0C623E01" w14:textId="77777777" w:rsidR="00D1587D" w:rsidRDefault="00410D07">
      <w:pPr>
        <w:spacing w:line="277" w:lineRule="auto"/>
        <w:ind w:left="300" w:right="399" w:firstLine="360"/>
        <w:rPr>
          <w:sz w:val="20"/>
          <w:szCs w:val="20"/>
        </w:rPr>
      </w:pPr>
      <w:r>
        <w:rPr>
          <w:rFonts w:ascii="Arial" w:eastAsia="Arial" w:hAnsi="Arial" w:cs="Arial"/>
          <w:i/>
          <w:iCs/>
          <w:sz w:val="18"/>
          <w:szCs w:val="18"/>
        </w:rPr>
        <w:t>Going forward</w:t>
      </w:r>
      <w:r>
        <w:rPr>
          <w:rFonts w:ascii="Arial" w:eastAsia="Arial" w:hAnsi="Arial" w:cs="Arial"/>
          <w:sz w:val="18"/>
          <w:szCs w:val="18"/>
        </w:rPr>
        <w:t>: We intend to review and adopt a policy prohibiting the hedging or pledging of VS securities as</w:t>
      </w:r>
      <w:r>
        <w:rPr>
          <w:rFonts w:ascii="Arial" w:eastAsia="Arial" w:hAnsi="Arial" w:cs="Arial"/>
          <w:i/>
          <w:iCs/>
          <w:sz w:val="18"/>
          <w:szCs w:val="18"/>
        </w:rPr>
        <w:t xml:space="preserve"> </w:t>
      </w:r>
      <w:r>
        <w:rPr>
          <w:rFonts w:ascii="Arial" w:eastAsia="Arial" w:hAnsi="Arial" w:cs="Arial"/>
          <w:sz w:val="18"/>
          <w:szCs w:val="18"/>
        </w:rPr>
        <w:t xml:space="preserve">appropriate for VS as a newly established, stand-alone public </w:t>
      </w:r>
      <w:r>
        <w:rPr>
          <w:rFonts w:ascii="Arial" w:eastAsia="Arial" w:hAnsi="Arial" w:cs="Arial"/>
          <w:sz w:val="18"/>
          <w:szCs w:val="18"/>
        </w:rPr>
        <w:t>company.</w:t>
      </w:r>
    </w:p>
    <w:p w14:paraId="2FF153C7" w14:textId="77777777" w:rsidR="00D1587D" w:rsidRDefault="00D1587D">
      <w:pPr>
        <w:spacing w:line="170" w:lineRule="exact"/>
        <w:rPr>
          <w:sz w:val="20"/>
          <w:szCs w:val="20"/>
        </w:rPr>
      </w:pPr>
    </w:p>
    <w:p w14:paraId="5827C199" w14:textId="77777777" w:rsidR="00D1587D" w:rsidRDefault="00410D07">
      <w:pPr>
        <w:ind w:right="19"/>
        <w:jc w:val="center"/>
        <w:rPr>
          <w:sz w:val="20"/>
          <w:szCs w:val="20"/>
        </w:rPr>
      </w:pPr>
      <w:r>
        <w:rPr>
          <w:rFonts w:ascii="Arial" w:eastAsia="Arial" w:hAnsi="Arial" w:cs="Arial"/>
          <w:sz w:val="18"/>
          <w:szCs w:val="18"/>
        </w:rPr>
        <w:t>116</w:t>
      </w:r>
    </w:p>
    <w:p w14:paraId="083AEF4A" w14:textId="77777777" w:rsidR="00D1587D" w:rsidRDefault="00410D07">
      <w:pPr>
        <w:spacing w:line="20" w:lineRule="exact"/>
        <w:rPr>
          <w:sz w:val="20"/>
          <w:szCs w:val="20"/>
        </w:rPr>
      </w:pPr>
      <w:r>
        <w:rPr>
          <w:noProof/>
          <w:sz w:val="20"/>
          <w:szCs w:val="20"/>
        </w:rPr>
        <w:drawing>
          <wp:anchor distT="0" distB="0" distL="114300" distR="114300" simplePos="0" relativeHeight="251852800" behindDoc="1" locked="0" layoutInCell="0" allowOverlap="1" wp14:anchorId="6FFA90BF" wp14:editId="7A8FE193">
            <wp:simplePos x="0" y="0"/>
            <wp:positionH relativeFrom="column">
              <wp:posOffset>-636905</wp:posOffset>
            </wp:positionH>
            <wp:positionV relativeFrom="paragraph">
              <wp:posOffset>134620</wp:posOffset>
            </wp:positionV>
            <wp:extent cx="6995160" cy="17145"/>
            <wp:effectExtent l="0" t="0" r="0" b="0"/>
            <wp:wrapNone/>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7FAA227" w14:textId="77777777" w:rsidR="00D1587D" w:rsidRDefault="00D1587D">
      <w:pPr>
        <w:sectPr w:rsidR="00D1587D">
          <w:pgSz w:w="11900" w:h="16838"/>
          <w:pgMar w:top="265" w:right="1440" w:bottom="1440" w:left="1440" w:header="0" w:footer="0" w:gutter="0"/>
          <w:cols w:space="720" w:equalWidth="0">
            <w:col w:w="9019"/>
          </w:cols>
        </w:sectPr>
      </w:pPr>
    </w:p>
    <w:bookmarkStart w:id="374" w:name="page375"/>
    <w:bookmarkEnd w:id="374"/>
    <w:p w14:paraId="452B9BD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5057F1D" w14:textId="77777777" w:rsidR="00D1587D" w:rsidRDefault="00D1587D">
      <w:pPr>
        <w:spacing w:line="127" w:lineRule="exact"/>
        <w:rPr>
          <w:sz w:val="20"/>
          <w:szCs w:val="20"/>
        </w:rPr>
      </w:pPr>
    </w:p>
    <w:p w14:paraId="2EEA3B60" w14:textId="77777777" w:rsidR="00D1587D" w:rsidRDefault="00410D07">
      <w:pPr>
        <w:jc w:val="center"/>
        <w:rPr>
          <w:sz w:val="20"/>
          <w:szCs w:val="20"/>
        </w:rPr>
      </w:pPr>
      <w:r>
        <w:rPr>
          <w:rFonts w:ascii="Arial" w:eastAsia="Arial" w:hAnsi="Arial" w:cs="Arial"/>
          <w:b/>
          <w:bCs/>
          <w:sz w:val="18"/>
          <w:szCs w:val="18"/>
        </w:rPr>
        <w:t>2020 Summary Compensation Table</w:t>
      </w:r>
    </w:p>
    <w:p w14:paraId="6AF4A26C" w14:textId="77777777" w:rsidR="00D1587D" w:rsidRDefault="00D1587D">
      <w:pPr>
        <w:spacing w:line="121" w:lineRule="exact"/>
        <w:rPr>
          <w:sz w:val="20"/>
          <w:szCs w:val="20"/>
        </w:rPr>
      </w:pPr>
    </w:p>
    <w:p w14:paraId="4607ED30" w14:textId="77777777" w:rsidR="00D1587D" w:rsidRDefault="00410D07">
      <w:pPr>
        <w:spacing w:line="277" w:lineRule="auto"/>
        <w:ind w:left="300" w:right="319" w:firstLine="360"/>
        <w:rPr>
          <w:sz w:val="20"/>
          <w:szCs w:val="20"/>
        </w:rPr>
      </w:pPr>
      <w:r>
        <w:rPr>
          <w:rFonts w:ascii="Arial" w:eastAsia="Arial" w:hAnsi="Arial" w:cs="Arial"/>
          <w:sz w:val="18"/>
          <w:szCs w:val="18"/>
        </w:rPr>
        <w:t xml:space="preserve">The following table sets forth information concerning total compensation earned by or paid to our NEOs for the fiscal year ended </w:t>
      </w:r>
      <w:r>
        <w:rPr>
          <w:rFonts w:ascii="Arial" w:eastAsia="Arial" w:hAnsi="Arial" w:cs="Arial"/>
          <w:sz w:val="18"/>
          <w:szCs w:val="18"/>
        </w:rPr>
        <w:t>January 30, 2021.</w:t>
      </w:r>
    </w:p>
    <w:p w14:paraId="39233044" w14:textId="77777777" w:rsidR="00D1587D" w:rsidRDefault="00D1587D">
      <w:pPr>
        <w:spacing w:line="12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1740"/>
        <w:gridCol w:w="40"/>
        <w:gridCol w:w="300"/>
        <w:gridCol w:w="60"/>
        <w:gridCol w:w="580"/>
        <w:gridCol w:w="60"/>
        <w:gridCol w:w="380"/>
        <w:gridCol w:w="60"/>
        <w:gridCol w:w="760"/>
        <w:gridCol w:w="60"/>
        <w:gridCol w:w="480"/>
        <w:gridCol w:w="40"/>
        <w:gridCol w:w="1260"/>
        <w:gridCol w:w="60"/>
        <w:gridCol w:w="900"/>
        <w:gridCol w:w="60"/>
        <w:gridCol w:w="920"/>
        <w:gridCol w:w="40"/>
        <w:gridCol w:w="620"/>
        <w:gridCol w:w="20"/>
      </w:tblGrid>
      <w:tr w:rsidR="00D1587D" w14:paraId="3FF9C3F2" w14:textId="77777777">
        <w:trPr>
          <w:trHeight w:val="161"/>
        </w:trPr>
        <w:tc>
          <w:tcPr>
            <w:tcW w:w="1740" w:type="dxa"/>
            <w:vAlign w:val="bottom"/>
          </w:tcPr>
          <w:p w14:paraId="15FF74C7" w14:textId="77777777" w:rsidR="00D1587D" w:rsidRDefault="00D1587D">
            <w:pPr>
              <w:rPr>
                <w:sz w:val="14"/>
                <w:szCs w:val="14"/>
              </w:rPr>
            </w:pPr>
          </w:p>
        </w:tc>
        <w:tc>
          <w:tcPr>
            <w:tcW w:w="40" w:type="dxa"/>
            <w:vAlign w:val="bottom"/>
          </w:tcPr>
          <w:p w14:paraId="042FA221" w14:textId="77777777" w:rsidR="00D1587D" w:rsidRDefault="00D1587D">
            <w:pPr>
              <w:rPr>
                <w:sz w:val="14"/>
                <w:szCs w:val="14"/>
              </w:rPr>
            </w:pPr>
          </w:p>
        </w:tc>
        <w:tc>
          <w:tcPr>
            <w:tcW w:w="300" w:type="dxa"/>
            <w:vAlign w:val="bottom"/>
          </w:tcPr>
          <w:p w14:paraId="326B896E" w14:textId="77777777" w:rsidR="00D1587D" w:rsidRDefault="00D1587D">
            <w:pPr>
              <w:rPr>
                <w:sz w:val="14"/>
                <w:szCs w:val="14"/>
              </w:rPr>
            </w:pPr>
          </w:p>
        </w:tc>
        <w:tc>
          <w:tcPr>
            <w:tcW w:w="60" w:type="dxa"/>
            <w:vAlign w:val="bottom"/>
          </w:tcPr>
          <w:p w14:paraId="628418B3" w14:textId="77777777" w:rsidR="00D1587D" w:rsidRDefault="00D1587D">
            <w:pPr>
              <w:rPr>
                <w:sz w:val="14"/>
                <w:szCs w:val="14"/>
              </w:rPr>
            </w:pPr>
          </w:p>
        </w:tc>
        <w:tc>
          <w:tcPr>
            <w:tcW w:w="580" w:type="dxa"/>
            <w:vAlign w:val="bottom"/>
          </w:tcPr>
          <w:p w14:paraId="00B47FC5" w14:textId="77777777" w:rsidR="00D1587D" w:rsidRDefault="00D1587D">
            <w:pPr>
              <w:rPr>
                <w:sz w:val="14"/>
                <w:szCs w:val="14"/>
              </w:rPr>
            </w:pPr>
          </w:p>
        </w:tc>
        <w:tc>
          <w:tcPr>
            <w:tcW w:w="60" w:type="dxa"/>
            <w:vAlign w:val="bottom"/>
          </w:tcPr>
          <w:p w14:paraId="27965BE5" w14:textId="77777777" w:rsidR="00D1587D" w:rsidRDefault="00D1587D">
            <w:pPr>
              <w:rPr>
                <w:sz w:val="14"/>
                <w:szCs w:val="14"/>
              </w:rPr>
            </w:pPr>
          </w:p>
        </w:tc>
        <w:tc>
          <w:tcPr>
            <w:tcW w:w="380" w:type="dxa"/>
            <w:vAlign w:val="bottom"/>
          </w:tcPr>
          <w:p w14:paraId="4E5023ED" w14:textId="77777777" w:rsidR="00D1587D" w:rsidRDefault="00D1587D">
            <w:pPr>
              <w:rPr>
                <w:sz w:val="14"/>
                <w:szCs w:val="14"/>
              </w:rPr>
            </w:pPr>
          </w:p>
        </w:tc>
        <w:tc>
          <w:tcPr>
            <w:tcW w:w="60" w:type="dxa"/>
            <w:vAlign w:val="bottom"/>
          </w:tcPr>
          <w:p w14:paraId="737F283A" w14:textId="77777777" w:rsidR="00D1587D" w:rsidRDefault="00D1587D">
            <w:pPr>
              <w:rPr>
                <w:sz w:val="14"/>
                <w:szCs w:val="14"/>
              </w:rPr>
            </w:pPr>
          </w:p>
        </w:tc>
        <w:tc>
          <w:tcPr>
            <w:tcW w:w="760" w:type="dxa"/>
            <w:vAlign w:val="bottom"/>
          </w:tcPr>
          <w:p w14:paraId="70373B98" w14:textId="77777777" w:rsidR="00D1587D" w:rsidRDefault="00D1587D">
            <w:pPr>
              <w:rPr>
                <w:sz w:val="14"/>
                <w:szCs w:val="14"/>
              </w:rPr>
            </w:pPr>
          </w:p>
        </w:tc>
        <w:tc>
          <w:tcPr>
            <w:tcW w:w="60" w:type="dxa"/>
            <w:vAlign w:val="bottom"/>
          </w:tcPr>
          <w:p w14:paraId="11F6203F" w14:textId="77777777" w:rsidR="00D1587D" w:rsidRDefault="00D1587D">
            <w:pPr>
              <w:rPr>
                <w:sz w:val="14"/>
                <w:szCs w:val="14"/>
              </w:rPr>
            </w:pPr>
          </w:p>
        </w:tc>
        <w:tc>
          <w:tcPr>
            <w:tcW w:w="480" w:type="dxa"/>
            <w:vAlign w:val="bottom"/>
          </w:tcPr>
          <w:p w14:paraId="2A3FC543" w14:textId="77777777" w:rsidR="00D1587D" w:rsidRDefault="00D1587D">
            <w:pPr>
              <w:rPr>
                <w:sz w:val="14"/>
                <w:szCs w:val="14"/>
              </w:rPr>
            </w:pPr>
          </w:p>
        </w:tc>
        <w:tc>
          <w:tcPr>
            <w:tcW w:w="40" w:type="dxa"/>
            <w:vAlign w:val="bottom"/>
          </w:tcPr>
          <w:p w14:paraId="6B7F73E7" w14:textId="77777777" w:rsidR="00D1587D" w:rsidRDefault="00D1587D">
            <w:pPr>
              <w:rPr>
                <w:sz w:val="14"/>
                <w:szCs w:val="14"/>
              </w:rPr>
            </w:pPr>
          </w:p>
        </w:tc>
        <w:tc>
          <w:tcPr>
            <w:tcW w:w="1260" w:type="dxa"/>
            <w:vAlign w:val="bottom"/>
          </w:tcPr>
          <w:p w14:paraId="138E5996" w14:textId="77777777" w:rsidR="00D1587D" w:rsidRDefault="00D1587D">
            <w:pPr>
              <w:rPr>
                <w:sz w:val="14"/>
                <w:szCs w:val="14"/>
              </w:rPr>
            </w:pPr>
          </w:p>
        </w:tc>
        <w:tc>
          <w:tcPr>
            <w:tcW w:w="60" w:type="dxa"/>
            <w:vAlign w:val="bottom"/>
          </w:tcPr>
          <w:p w14:paraId="570F7BEC" w14:textId="77777777" w:rsidR="00D1587D" w:rsidRDefault="00D1587D">
            <w:pPr>
              <w:rPr>
                <w:sz w:val="14"/>
                <w:szCs w:val="14"/>
              </w:rPr>
            </w:pPr>
          </w:p>
        </w:tc>
        <w:tc>
          <w:tcPr>
            <w:tcW w:w="960" w:type="dxa"/>
            <w:gridSpan w:val="2"/>
            <w:vAlign w:val="bottom"/>
          </w:tcPr>
          <w:p w14:paraId="081201ED" w14:textId="77777777" w:rsidR="00D1587D" w:rsidRDefault="00410D07">
            <w:pPr>
              <w:ind w:right="100"/>
              <w:jc w:val="center"/>
              <w:rPr>
                <w:sz w:val="20"/>
                <w:szCs w:val="20"/>
              </w:rPr>
            </w:pPr>
            <w:r>
              <w:rPr>
                <w:rFonts w:ascii="Arial" w:eastAsia="Arial" w:hAnsi="Arial" w:cs="Arial"/>
                <w:b/>
                <w:bCs/>
                <w:w w:val="91"/>
                <w:sz w:val="14"/>
                <w:szCs w:val="14"/>
              </w:rPr>
              <w:t>Change in</w:t>
            </w:r>
          </w:p>
        </w:tc>
        <w:tc>
          <w:tcPr>
            <w:tcW w:w="920" w:type="dxa"/>
            <w:vAlign w:val="bottom"/>
          </w:tcPr>
          <w:p w14:paraId="35E097DF" w14:textId="77777777" w:rsidR="00D1587D" w:rsidRDefault="00D1587D">
            <w:pPr>
              <w:rPr>
                <w:sz w:val="14"/>
                <w:szCs w:val="14"/>
              </w:rPr>
            </w:pPr>
          </w:p>
        </w:tc>
        <w:tc>
          <w:tcPr>
            <w:tcW w:w="40" w:type="dxa"/>
            <w:vAlign w:val="bottom"/>
          </w:tcPr>
          <w:p w14:paraId="042F1763" w14:textId="77777777" w:rsidR="00D1587D" w:rsidRDefault="00D1587D">
            <w:pPr>
              <w:rPr>
                <w:sz w:val="14"/>
                <w:szCs w:val="14"/>
              </w:rPr>
            </w:pPr>
          </w:p>
        </w:tc>
        <w:tc>
          <w:tcPr>
            <w:tcW w:w="620" w:type="dxa"/>
            <w:vAlign w:val="bottom"/>
          </w:tcPr>
          <w:p w14:paraId="1DA0EE7C" w14:textId="77777777" w:rsidR="00D1587D" w:rsidRDefault="00D1587D">
            <w:pPr>
              <w:rPr>
                <w:sz w:val="14"/>
                <w:szCs w:val="14"/>
              </w:rPr>
            </w:pPr>
          </w:p>
        </w:tc>
        <w:tc>
          <w:tcPr>
            <w:tcW w:w="0" w:type="dxa"/>
            <w:vAlign w:val="bottom"/>
          </w:tcPr>
          <w:p w14:paraId="41E9C365" w14:textId="77777777" w:rsidR="00D1587D" w:rsidRDefault="00D1587D">
            <w:pPr>
              <w:rPr>
                <w:sz w:val="1"/>
                <w:szCs w:val="1"/>
              </w:rPr>
            </w:pPr>
          </w:p>
        </w:tc>
      </w:tr>
      <w:tr w:rsidR="00D1587D" w14:paraId="3E740489" w14:textId="77777777">
        <w:trPr>
          <w:trHeight w:val="148"/>
        </w:trPr>
        <w:tc>
          <w:tcPr>
            <w:tcW w:w="1740" w:type="dxa"/>
            <w:vAlign w:val="bottom"/>
          </w:tcPr>
          <w:p w14:paraId="6BDEF4FA" w14:textId="77777777" w:rsidR="00D1587D" w:rsidRDefault="00D1587D">
            <w:pPr>
              <w:rPr>
                <w:sz w:val="12"/>
                <w:szCs w:val="12"/>
              </w:rPr>
            </w:pPr>
          </w:p>
        </w:tc>
        <w:tc>
          <w:tcPr>
            <w:tcW w:w="40" w:type="dxa"/>
            <w:vAlign w:val="bottom"/>
          </w:tcPr>
          <w:p w14:paraId="63690165" w14:textId="77777777" w:rsidR="00D1587D" w:rsidRDefault="00D1587D">
            <w:pPr>
              <w:rPr>
                <w:sz w:val="12"/>
                <w:szCs w:val="12"/>
              </w:rPr>
            </w:pPr>
          </w:p>
        </w:tc>
        <w:tc>
          <w:tcPr>
            <w:tcW w:w="300" w:type="dxa"/>
            <w:vAlign w:val="bottom"/>
          </w:tcPr>
          <w:p w14:paraId="4E677328" w14:textId="77777777" w:rsidR="00D1587D" w:rsidRDefault="00D1587D">
            <w:pPr>
              <w:rPr>
                <w:sz w:val="12"/>
                <w:szCs w:val="12"/>
              </w:rPr>
            </w:pPr>
          </w:p>
        </w:tc>
        <w:tc>
          <w:tcPr>
            <w:tcW w:w="60" w:type="dxa"/>
            <w:vAlign w:val="bottom"/>
          </w:tcPr>
          <w:p w14:paraId="71B99BD9" w14:textId="77777777" w:rsidR="00D1587D" w:rsidRDefault="00D1587D">
            <w:pPr>
              <w:rPr>
                <w:sz w:val="12"/>
                <w:szCs w:val="12"/>
              </w:rPr>
            </w:pPr>
          </w:p>
        </w:tc>
        <w:tc>
          <w:tcPr>
            <w:tcW w:w="580" w:type="dxa"/>
            <w:vAlign w:val="bottom"/>
          </w:tcPr>
          <w:p w14:paraId="789CB742" w14:textId="77777777" w:rsidR="00D1587D" w:rsidRDefault="00D1587D">
            <w:pPr>
              <w:rPr>
                <w:sz w:val="12"/>
                <w:szCs w:val="12"/>
              </w:rPr>
            </w:pPr>
          </w:p>
        </w:tc>
        <w:tc>
          <w:tcPr>
            <w:tcW w:w="60" w:type="dxa"/>
            <w:vAlign w:val="bottom"/>
          </w:tcPr>
          <w:p w14:paraId="2F2F60AE" w14:textId="77777777" w:rsidR="00D1587D" w:rsidRDefault="00D1587D">
            <w:pPr>
              <w:rPr>
                <w:sz w:val="12"/>
                <w:szCs w:val="12"/>
              </w:rPr>
            </w:pPr>
          </w:p>
        </w:tc>
        <w:tc>
          <w:tcPr>
            <w:tcW w:w="380" w:type="dxa"/>
            <w:vAlign w:val="bottom"/>
          </w:tcPr>
          <w:p w14:paraId="479CB6DF" w14:textId="77777777" w:rsidR="00D1587D" w:rsidRDefault="00D1587D">
            <w:pPr>
              <w:rPr>
                <w:sz w:val="12"/>
                <w:szCs w:val="12"/>
              </w:rPr>
            </w:pPr>
          </w:p>
        </w:tc>
        <w:tc>
          <w:tcPr>
            <w:tcW w:w="60" w:type="dxa"/>
            <w:vAlign w:val="bottom"/>
          </w:tcPr>
          <w:p w14:paraId="622063AC" w14:textId="77777777" w:rsidR="00D1587D" w:rsidRDefault="00D1587D">
            <w:pPr>
              <w:rPr>
                <w:sz w:val="12"/>
                <w:szCs w:val="12"/>
              </w:rPr>
            </w:pPr>
          </w:p>
        </w:tc>
        <w:tc>
          <w:tcPr>
            <w:tcW w:w="760" w:type="dxa"/>
            <w:vAlign w:val="bottom"/>
          </w:tcPr>
          <w:p w14:paraId="0F9CB573" w14:textId="77777777" w:rsidR="00D1587D" w:rsidRDefault="00D1587D">
            <w:pPr>
              <w:rPr>
                <w:sz w:val="12"/>
                <w:szCs w:val="12"/>
              </w:rPr>
            </w:pPr>
          </w:p>
        </w:tc>
        <w:tc>
          <w:tcPr>
            <w:tcW w:w="60" w:type="dxa"/>
            <w:vAlign w:val="bottom"/>
          </w:tcPr>
          <w:p w14:paraId="09E9A8D7" w14:textId="77777777" w:rsidR="00D1587D" w:rsidRDefault="00D1587D">
            <w:pPr>
              <w:rPr>
                <w:sz w:val="12"/>
                <w:szCs w:val="12"/>
              </w:rPr>
            </w:pPr>
          </w:p>
        </w:tc>
        <w:tc>
          <w:tcPr>
            <w:tcW w:w="480" w:type="dxa"/>
            <w:vAlign w:val="bottom"/>
          </w:tcPr>
          <w:p w14:paraId="63FEEC16" w14:textId="77777777" w:rsidR="00D1587D" w:rsidRDefault="00D1587D">
            <w:pPr>
              <w:rPr>
                <w:sz w:val="12"/>
                <w:szCs w:val="12"/>
              </w:rPr>
            </w:pPr>
          </w:p>
        </w:tc>
        <w:tc>
          <w:tcPr>
            <w:tcW w:w="40" w:type="dxa"/>
            <w:vAlign w:val="bottom"/>
          </w:tcPr>
          <w:p w14:paraId="45B3F9BC" w14:textId="77777777" w:rsidR="00D1587D" w:rsidRDefault="00D1587D">
            <w:pPr>
              <w:rPr>
                <w:sz w:val="12"/>
                <w:szCs w:val="12"/>
              </w:rPr>
            </w:pPr>
          </w:p>
        </w:tc>
        <w:tc>
          <w:tcPr>
            <w:tcW w:w="1260" w:type="dxa"/>
            <w:vAlign w:val="bottom"/>
          </w:tcPr>
          <w:p w14:paraId="248070CC" w14:textId="77777777" w:rsidR="00D1587D" w:rsidRDefault="00D1587D">
            <w:pPr>
              <w:rPr>
                <w:sz w:val="12"/>
                <w:szCs w:val="12"/>
              </w:rPr>
            </w:pPr>
          </w:p>
        </w:tc>
        <w:tc>
          <w:tcPr>
            <w:tcW w:w="60" w:type="dxa"/>
            <w:vAlign w:val="bottom"/>
          </w:tcPr>
          <w:p w14:paraId="6E74113B" w14:textId="77777777" w:rsidR="00D1587D" w:rsidRDefault="00D1587D">
            <w:pPr>
              <w:rPr>
                <w:sz w:val="12"/>
                <w:szCs w:val="12"/>
              </w:rPr>
            </w:pPr>
          </w:p>
        </w:tc>
        <w:tc>
          <w:tcPr>
            <w:tcW w:w="960" w:type="dxa"/>
            <w:gridSpan w:val="2"/>
            <w:vAlign w:val="bottom"/>
          </w:tcPr>
          <w:p w14:paraId="75C5FD71" w14:textId="77777777" w:rsidR="00D1587D" w:rsidRDefault="00410D07">
            <w:pPr>
              <w:spacing w:line="149" w:lineRule="exact"/>
              <w:ind w:right="100"/>
              <w:jc w:val="center"/>
              <w:rPr>
                <w:sz w:val="20"/>
                <w:szCs w:val="20"/>
              </w:rPr>
            </w:pPr>
            <w:r>
              <w:rPr>
                <w:rFonts w:ascii="Arial" w:eastAsia="Arial" w:hAnsi="Arial" w:cs="Arial"/>
                <w:b/>
                <w:bCs/>
                <w:w w:val="89"/>
                <w:sz w:val="14"/>
                <w:szCs w:val="14"/>
              </w:rPr>
              <w:t>Pension Value</w:t>
            </w:r>
          </w:p>
        </w:tc>
        <w:tc>
          <w:tcPr>
            <w:tcW w:w="920" w:type="dxa"/>
            <w:vAlign w:val="bottom"/>
          </w:tcPr>
          <w:p w14:paraId="4798BF60" w14:textId="77777777" w:rsidR="00D1587D" w:rsidRDefault="00D1587D">
            <w:pPr>
              <w:rPr>
                <w:sz w:val="12"/>
                <w:szCs w:val="12"/>
              </w:rPr>
            </w:pPr>
          </w:p>
        </w:tc>
        <w:tc>
          <w:tcPr>
            <w:tcW w:w="40" w:type="dxa"/>
            <w:vAlign w:val="bottom"/>
          </w:tcPr>
          <w:p w14:paraId="49F2B24C" w14:textId="77777777" w:rsidR="00D1587D" w:rsidRDefault="00D1587D">
            <w:pPr>
              <w:rPr>
                <w:sz w:val="12"/>
                <w:szCs w:val="12"/>
              </w:rPr>
            </w:pPr>
          </w:p>
        </w:tc>
        <w:tc>
          <w:tcPr>
            <w:tcW w:w="620" w:type="dxa"/>
            <w:vAlign w:val="bottom"/>
          </w:tcPr>
          <w:p w14:paraId="7EAEE113" w14:textId="77777777" w:rsidR="00D1587D" w:rsidRDefault="00D1587D">
            <w:pPr>
              <w:rPr>
                <w:sz w:val="12"/>
                <w:szCs w:val="12"/>
              </w:rPr>
            </w:pPr>
          </w:p>
        </w:tc>
        <w:tc>
          <w:tcPr>
            <w:tcW w:w="0" w:type="dxa"/>
            <w:vAlign w:val="bottom"/>
          </w:tcPr>
          <w:p w14:paraId="15FDA372" w14:textId="77777777" w:rsidR="00D1587D" w:rsidRDefault="00D1587D">
            <w:pPr>
              <w:rPr>
                <w:sz w:val="1"/>
                <w:szCs w:val="1"/>
              </w:rPr>
            </w:pPr>
          </w:p>
        </w:tc>
      </w:tr>
      <w:tr w:rsidR="00D1587D" w14:paraId="3C8DB928" w14:textId="77777777">
        <w:trPr>
          <w:trHeight w:val="148"/>
        </w:trPr>
        <w:tc>
          <w:tcPr>
            <w:tcW w:w="1740" w:type="dxa"/>
            <w:vAlign w:val="bottom"/>
          </w:tcPr>
          <w:p w14:paraId="03DED77C" w14:textId="77777777" w:rsidR="00D1587D" w:rsidRDefault="00D1587D">
            <w:pPr>
              <w:rPr>
                <w:sz w:val="12"/>
                <w:szCs w:val="12"/>
              </w:rPr>
            </w:pPr>
          </w:p>
        </w:tc>
        <w:tc>
          <w:tcPr>
            <w:tcW w:w="40" w:type="dxa"/>
            <w:vAlign w:val="bottom"/>
          </w:tcPr>
          <w:p w14:paraId="16FD701D" w14:textId="77777777" w:rsidR="00D1587D" w:rsidRDefault="00D1587D">
            <w:pPr>
              <w:rPr>
                <w:sz w:val="12"/>
                <w:szCs w:val="12"/>
              </w:rPr>
            </w:pPr>
          </w:p>
        </w:tc>
        <w:tc>
          <w:tcPr>
            <w:tcW w:w="300" w:type="dxa"/>
            <w:vAlign w:val="bottom"/>
          </w:tcPr>
          <w:p w14:paraId="13C2C7A1" w14:textId="77777777" w:rsidR="00D1587D" w:rsidRDefault="00D1587D">
            <w:pPr>
              <w:rPr>
                <w:sz w:val="12"/>
                <w:szCs w:val="12"/>
              </w:rPr>
            </w:pPr>
          </w:p>
        </w:tc>
        <w:tc>
          <w:tcPr>
            <w:tcW w:w="60" w:type="dxa"/>
            <w:vAlign w:val="bottom"/>
          </w:tcPr>
          <w:p w14:paraId="32711CB8" w14:textId="77777777" w:rsidR="00D1587D" w:rsidRDefault="00D1587D">
            <w:pPr>
              <w:rPr>
                <w:sz w:val="12"/>
                <w:szCs w:val="12"/>
              </w:rPr>
            </w:pPr>
          </w:p>
        </w:tc>
        <w:tc>
          <w:tcPr>
            <w:tcW w:w="580" w:type="dxa"/>
            <w:vAlign w:val="bottom"/>
          </w:tcPr>
          <w:p w14:paraId="38677F48" w14:textId="77777777" w:rsidR="00D1587D" w:rsidRDefault="00D1587D">
            <w:pPr>
              <w:rPr>
                <w:sz w:val="12"/>
                <w:szCs w:val="12"/>
              </w:rPr>
            </w:pPr>
          </w:p>
        </w:tc>
        <w:tc>
          <w:tcPr>
            <w:tcW w:w="60" w:type="dxa"/>
            <w:vAlign w:val="bottom"/>
          </w:tcPr>
          <w:p w14:paraId="758ACF16" w14:textId="77777777" w:rsidR="00D1587D" w:rsidRDefault="00D1587D">
            <w:pPr>
              <w:rPr>
                <w:sz w:val="12"/>
                <w:szCs w:val="12"/>
              </w:rPr>
            </w:pPr>
          </w:p>
        </w:tc>
        <w:tc>
          <w:tcPr>
            <w:tcW w:w="380" w:type="dxa"/>
            <w:vAlign w:val="bottom"/>
          </w:tcPr>
          <w:p w14:paraId="69376857" w14:textId="77777777" w:rsidR="00D1587D" w:rsidRDefault="00D1587D">
            <w:pPr>
              <w:rPr>
                <w:sz w:val="12"/>
                <w:szCs w:val="12"/>
              </w:rPr>
            </w:pPr>
          </w:p>
        </w:tc>
        <w:tc>
          <w:tcPr>
            <w:tcW w:w="60" w:type="dxa"/>
            <w:vAlign w:val="bottom"/>
          </w:tcPr>
          <w:p w14:paraId="0DAABA6F" w14:textId="77777777" w:rsidR="00D1587D" w:rsidRDefault="00D1587D">
            <w:pPr>
              <w:rPr>
                <w:sz w:val="12"/>
                <w:szCs w:val="12"/>
              </w:rPr>
            </w:pPr>
          </w:p>
        </w:tc>
        <w:tc>
          <w:tcPr>
            <w:tcW w:w="760" w:type="dxa"/>
            <w:vAlign w:val="bottom"/>
          </w:tcPr>
          <w:p w14:paraId="69BEEC38" w14:textId="77777777" w:rsidR="00D1587D" w:rsidRDefault="00D1587D">
            <w:pPr>
              <w:rPr>
                <w:sz w:val="12"/>
                <w:szCs w:val="12"/>
              </w:rPr>
            </w:pPr>
          </w:p>
        </w:tc>
        <w:tc>
          <w:tcPr>
            <w:tcW w:w="60" w:type="dxa"/>
            <w:vAlign w:val="bottom"/>
          </w:tcPr>
          <w:p w14:paraId="5C790D83" w14:textId="77777777" w:rsidR="00D1587D" w:rsidRDefault="00D1587D">
            <w:pPr>
              <w:rPr>
                <w:sz w:val="12"/>
                <w:szCs w:val="12"/>
              </w:rPr>
            </w:pPr>
          </w:p>
        </w:tc>
        <w:tc>
          <w:tcPr>
            <w:tcW w:w="480" w:type="dxa"/>
            <w:vAlign w:val="bottom"/>
          </w:tcPr>
          <w:p w14:paraId="2B084D62" w14:textId="77777777" w:rsidR="00D1587D" w:rsidRDefault="00D1587D">
            <w:pPr>
              <w:rPr>
                <w:sz w:val="12"/>
                <w:szCs w:val="12"/>
              </w:rPr>
            </w:pPr>
          </w:p>
        </w:tc>
        <w:tc>
          <w:tcPr>
            <w:tcW w:w="40" w:type="dxa"/>
            <w:vAlign w:val="bottom"/>
          </w:tcPr>
          <w:p w14:paraId="788D6690" w14:textId="77777777" w:rsidR="00D1587D" w:rsidRDefault="00D1587D">
            <w:pPr>
              <w:rPr>
                <w:sz w:val="12"/>
                <w:szCs w:val="12"/>
              </w:rPr>
            </w:pPr>
          </w:p>
        </w:tc>
        <w:tc>
          <w:tcPr>
            <w:tcW w:w="1260" w:type="dxa"/>
            <w:vAlign w:val="bottom"/>
          </w:tcPr>
          <w:p w14:paraId="63A4AAD4" w14:textId="77777777" w:rsidR="00D1587D" w:rsidRDefault="00D1587D">
            <w:pPr>
              <w:rPr>
                <w:sz w:val="12"/>
                <w:szCs w:val="12"/>
              </w:rPr>
            </w:pPr>
          </w:p>
        </w:tc>
        <w:tc>
          <w:tcPr>
            <w:tcW w:w="60" w:type="dxa"/>
            <w:vAlign w:val="bottom"/>
          </w:tcPr>
          <w:p w14:paraId="3F3A856C" w14:textId="77777777" w:rsidR="00D1587D" w:rsidRDefault="00D1587D">
            <w:pPr>
              <w:rPr>
                <w:sz w:val="12"/>
                <w:szCs w:val="12"/>
              </w:rPr>
            </w:pPr>
          </w:p>
        </w:tc>
        <w:tc>
          <w:tcPr>
            <w:tcW w:w="960" w:type="dxa"/>
            <w:gridSpan w:val="2"/>
            <w:vAlign w:val="bottom"/>
          </w:tcPr>
          <w:p w14:paraId="431D441F" w14:textId="77777777" w:rsidR="00D1587D" w:rsidRDefault="00410D07">
            <w:pPr>
              <w:spacing w:line="149" w:lineRule="exact"/>
              <w:ind w:right="60"/>
              <w:jc w:val="center"/>
              <w:rPr>
                <w:sz w:val="20"/>
                <w:szCs w:val="20"/>
              </w:rPr>
            </w:pPr>
            <w:r>
              <w:rPr>
                <w:rFonts w:ascii="Arial" w:eastAsia="Arial" w:hAnsi="Arial" w:cs="Arial"/>
                <w:b/>
                <w:bCs/>
                <w:w w:val="95"/>
                <w:sz w:val="14"/>
                <w:szCs w:val="14"/>
              </w:rPr>
              <w:t>and Non-</w:t>
            </w:r>
          </w:p>
        </w:tc>
        <w:tc>
          <w:tcPr>
            <w:tcW w:w="920" w:type="dxa"/>
            <w:vAlign w:val="bottom"/>
          </w:tcPr>
          <w:p w14:paraId="54CB2277" w14:textId="77777777" w:rsidR="00D1587D" w:rsidRDefault="00D1587D">
            <w:pPr>
              <w:rPr>
                <w:sz w:val="12"/>
                <w:szCs w:val="12"/>
              </w:rPr>
            </w:pPr>
          </w:p>
        </w:tc>
        <w:tc>
          <w:tcPr>
            <w:tcW w:w="40" w:type="dxa"/>
            <w:vAlign w:val="bottom"/>
          </w:tcPr>
          <w:p w14:paraId="0FF61AD5" w14:textId="77777777" w:rsidR="00D1587D" w:rsidRDefault="00D1587D">
            <w:pPr>
              <w:rPr>
                <w:sz w:val="12"/>
                <w:szCs w:val="12"/>
              </w:rPr>
            </w:pPr>
          </w:p>
        </w:tc>
        <w:tc>
          <w:tcPr>
            <w:tcW w:w="620" w:type="dxa"/>
            <w:vAlign w:val="bottom"/>
          </w:tcPr>
          <w:p w14:paraId="6F700A8F" w14:textId="77777777" w:rsidR="00D1587D" w:rsidRDefault="00D1587D">
            <w:pPr>
              <w:rPr>
                <w:sz w:val="12"/>
                <w:szCs w:val="12"/>
              </w:rPr>
            </w:pPr>
          </w:p>
        </w:tc>
        <w:tc>
          <w:tcPr>
            <w:tcW w:w="0" w:type="dxa"/>
            <w:vAlign w:val="bottom"/>
          </w:tcPr>
          <w:p w14:paraId="3851FE18" w14:textId="77777777" w:rsidR="00D1587D" w:rsidRDefault="00D1587D">
            <w:pPr>
              <w:rPr>
                <w:sz w:val="1"/>
                <w:szCs w:val="1"/>
              </w:rPr>
            </w:pPr>
          </w:p>
        </w:tc>
      </w:tr>
      <w:tr w:rsidR="00D1587D" w14:paraId="3F55DD2D" w14:textId="77777777">
        <w:trPr>
          <w:trHeight w:val="148"/>
        </w:trPr>
        <w:tc>
          <w:tcPr>
            <w:tcW w:w="1740" w:type="dxa"/>
            <w:vAlign w:val="bottom"/>
          </w:tcPr>
          <w:p w14:paraId="24051697" w14:textId="77777777" w:rsidR="00D1587D" w:rsidRDefault="00D1587D">
            <w:pPr>
              <w:rPr>
                <w:sz w:val="12"/>
                <w:szCs w:val="12"/>
              </w:rPr>
            </w:pPr>
          </w:p>
        </w:tc>
        <w:tc>
          <w:tcPr>
            <w:tcW w:w="40" w:type="dxa"/>
            <w:vAlign w:val="bottom"/>
          </w:tcPr>
          <w:p w14:paraId="72405746" w14:textId="77777777" w:rsidR="00D1587D" w:rsidRDefault="00D1587D">
            <w:pPr>
              <w:rPr>
                <w:sz w:val="12"/>
                <w:szCs w:val="12"/>
              </w:rPr>
            </w:pPr>
          </w:p>
        </w:tc>
        <w:tc>
          <w:tcPr>
            <w:tcW w:w="300" w:type="dxa"/>
            <w:vAlign w:val="bottom"/>
          </w:tcPr>
          <w:p w14:paraId="29611004" w14:textId="77777777" w:rsidR="00D1587D" w:rsidRDefault="00D1587D">
            <w:pPr>
              <w:rPr>
                <w:sz w:val="12"/>
                <w:szCs w:val="12"/>
              </w:rPr>
            </w:pPr>
          </w:p>
        </w:tc>
        <w:tc>
          <w:tcPr>
            <w:tcW w:w="60" w:type="dxa"/>
            <w:vAlign w:val="bottom"/>
          </w:tcPr>
          <w:p w14:paraId="0BB03F66" w14:textId="77777777" w:rsidR="00D1587D" w:rsidRDefault="00D1587D">
            <w:pPr>
              <w:rPr>
                <w:sz w:val="12"/>
                <w:szCs w:val="12"/>
              </w:rPr>
            </w:pPr>
          </w:p>
        </w:tc>
        <w:tc>
          <w:tcPr>
            <w:tcW w:w="580" w:type="dxa"/>
            <w:vAlign w:val="bottom"/>
          </w:tcPr>
          <w:p w14:paraId="037CECA6" w14:textId="77777777" w:rsidR="00D1587D" w:rsidRDefault="00D1587D">
            <w:pPr>
              <w:rPr>
                <w:sz w:val="12"/>
                <w:szCs w:val="12"/>
              </w:rPr>
            </w:pPr>
          </w:p>
        </w:tc>
        <w:tc>
          <w:tcPr>
            <w:tcW w:w="60" w:type="dxa"/>
            <w:vAlign w:val="bottom"/>
          </w:tcPr>
          <w:p w14:paraId="6A8F3F72" w14:textId="77777777" w:rsidR="00D1587D" w:rsidRDefault="00D1587D">
            <w:pPr>
              <w:rPr>
                <w:sz w:val="12"/>
                <w:szCs w:val="12"/>
              </w:rPr>
            </w:pPr>
          </w:p>
        </w:tc>
        <w:tc>
          <w:tcPr>
            <w:tcW w:w="380" w:type="dxa"/>
            <w:vAlign w:val="bottom"/>
          </w:tcPr>
          <w:p w14:paraId="1481D986" w14:textId="77777777" w:rsidR="00D1587D" w:rsidRDefault="00D1587D">
            <w:pPr>
              <w:rPr>
                <w:sz w:val="12"/>
                <w:szCs w:val="12"/>
              </w:rPr>
            </w:pPr>
          </w:p>
        </w:tc>
        <w:tc>
          <w:tcPr>
            <w:tcW w:w="60" w:type="dxa"/>
            <w:vAlign w:val="bottom"/>
          </w:tcPr>
          <w:p w14:paraId="5482ACBD" w14:textId="77777777" w:rsidR="00D1587D" w:rsidRDefault="00D1587D">
            <w:pPr>
              <w:rPr>
                <w:sz w:val="12"/>
                <w:szCs w:val="12"/>
              </w:rPr>
            </w:pPr>
          </w:p>
        </w:tc>
        <w:tc>
          <w:tcPr>
            <w:tcW w:w="760" w:type="dxa"/>
            <w:vAlign w:val="bottom"/>
          </w:tcPr>
          <w:p w14:paraId="3429BE4E" w14:textId="77777777" w:rsidR="00D1587D" w:rsidRDefault="00D1587D">
            <w:pPr>
              <w:rPr>
                <w:sz w:val="12"/>
                <w:szCs w:val="12"/>
              </w:rPr>
            </w:pPr>
          </w:p>
        </w:tc>
        <w:tc>
          <w:tcPr>
            <w:tcW w:w="60" w:type="dxa"/>
            <w:vAlign w:val="bottom"/>
          </w:tcPr>
          <w:p w14:paraId="4076828A" w14:textId="77777777" w:rsidR="00D1587D" w:rsidRDefault="00D1587D">
            <w:pPr>
              <w:rPr>
                <w:sz w:val="12"/>
                <w:szCs w:val="12"/>
              </w:rPr>
            </w:pPr>
          </w:p>
        </w:tc>
        <w:tc>
          <w:tcPr>
            <w:tcW w:w="480" w:type="dxa"/>
            <w:vAlign w:val="bottom"/>
          </w:tcPr>
          <w:p w14:paraId="1D7AB78F" w14:textId="77777777" w:rsidR="00D1587D" w:rsidRDefault="00D1587D">
            <w:pPr>
              <w:rPr>
                <w:sz w:val="12"/>
                <w:szCs w:val="12"/>
              </w:rPr>
            </w:pPr>
          </w:p>
        </w:tc>
        <w:tc>
          <w:tcPr>
            <w:tcW w:w="40" w:type="dxa"/>
            <w:vAlign w:val="bottom"/>
          </w:tcPr>
          <w:p w14:paraId="07E0B11C" w14:textId="77777777" w:rsidR="00D1587D" w:rsidRDefault="00D1587D">
            <w:pPr>
              <w:rPr>
                <w:sz w:val="12"/>
                <w:szCs w:val="12"/>
              </w:rPr>
            </w:pPr>
          </w:p>
        </w:tc>
        <w:tc>
          <w:tcPr>
            <w:tcW w:w="1260" w:type="dxa"/>
            <w:vAlign w:val="bottom"/>
          </w:tcPr>
          <w:p w14:paraId="51F72F93" w14:textId="77777777" w:rsidR="00D1587D" w:rsidRDefault="00D1587D">
            <w:pPr>
              <w:rPr>
                <w:sz w:val="12"/>
                <w:szCs w:val="12"/>
              </w:rPr>
            </w:pPr>
          </w:p>
        </w:tc>
        <w:tc>
          <w:tcPr>
            <w:tcW w:w="60" w:type="dxa"/>
            <w:vAlign w:val="bottom"/>
          </w:tcPr>
          <w:p w14:paraId="12E90148" w14:textId="77777777" w:rsidR="00D1587D" w:rsidRDefault="00D1587D">
            <w:pPr>
              <w:rPr>
                <w:sz w:val="12"/>
                <w:szCs w:val="12"/>
              </w:rPr>
            </w:pPr>
          </w:p>
        </w:tc>
        <w:tc>
          <w:tcPr>
            <w:tcW w:w="960" w:type="dxa"/>
            <w:gridSpan w:val="2"/>
            <w:vAlign w:val="bottom"/>
          </w:tcPr>
          <w:p w14:paraId="0FE2E9B2" w14:textId="77777777" w:rsidR="00D1587D" w:rsidRDefault="00410D07">
            <w:pPr>
              <w:spacing w:line="149" w:lineRule="exact"/>
              <w:ind w:right="100"/>
              <w:jc w:val="center"/>
              <w:rPr>
                <w:sz w:val="20"/>
                <w:szCs w:val="20"/>
              </w:rPr>
            </w:pPr>
            <w:r>
              <w:rPr>
                <w:rFonts w:ascii="Arial" w:eastAsia="Arial" w:hAnsi="Arial" w:cs="Arial"/>
                <w:b/>
                <w:bCs/>
                <w:w w:val="93"/>
                <w:sz w:val="14"/>
                <w:szCs w:val="14"/>
              </w:rPr>
              <w:t>qualified</w:t>
            </w:r>
          </w:p>
        </w:tc>
        <w:tc>
          <w:tcPr>
            <w:tcW w:w="920" w:type="dxa"/>
            <w:vAlign w:val="bottom"/>
          </w:tcPr>
          <w:p w14:paraId="0F2C1088" w14:textId="77777777" w:rsidR="00D1587D" w:rsidRDefault="00D1587D">
            <w:pPr>
              <w:rPr>
                <w:sz w:val="12"/>
                <w:szCs w:val="12"/>
              </w:rPr>
            </w:pPr>
          </w:p>
        </w:tc>
        <w:tc>
          <w:tcPr>
            <w:tcW w:w="40" w:type="dxa"/>
            <w:vAlign w:val="bottom"/>
          </w:tcPr>
          <w:p w14:paraId="2882F418" w14:textId="77777777" w:rsidR="00D1587D" w:rsidRDefault="00D1587D">
            <w:pPr>
              <w:rPr>
                <w:sz w:val="12"/>
                <w:szCs w:val="12"/>
              </w:rPr>
            </w:pPr>
          </w:p>
        </w:tc>
        <w:tc>
          <w:tcPr>
            <w:tcW w:w="620" w:type="dxa"/>
            <w:vAlign w:val="bottom"/>
          </w:tcPr>
          <w:p w14:paraId="42DB0985" w14:textId="77777777" w:rsidR="00D1587D" w:rsidRDefault="00D1587D">
            <w:pPr>
              <w:rPr>
                <w:sz w:val="12"/>
                <w:szCs w:val="12"/>
              </w:rPr>
            </w:pPr>
          </w:p>
        </w:tc>
        <w:tc>
          <w:tcPr>
            <w:tcW w:w="0" w:type="dxa"/>
            <w:vAlign w:val="bottom"/>
          </w:tcPr>
          <w:p w14:paraId="6809141F" w14:textId="77777777" w:rsidR="00D1587D" w:rsidRDefault="00D1587D">
            <w:pPr>
              <w:rPr>
                <w:sz w:val="1"/>
                <w:szCs w:val="1"/>
              </w:rPr>
            </w:pPr>
          </w:p>
        </w:tc>
      </w:tr>
      <w:tr w:rsidR="00D1587D" w14:paraId="60CDDC51" w14:textId="77777777">
        <w:trPr>
          <w:trHeight w:val="149"/>
        </w:trPr>
        <w:tc>
          <w:tcPr>
            <w:tcW w:w="1740" w:type="dxa"/>
            <w:vAlign w:val="bottom"/>
          </w:tcPr>
          <w:p w14:paraId="5C12E11C" w14:textId="77777777" w:rsidR="00D1587D" w:rsidRDefault="00D1587D">
            <w:pPr>
              <w:rPr>
                <w:sz w:val="12"/>
                <w:szCs w:val="12"/>
              </w:rPr>
            </w:pPr>
          </w:p>
        </w:tc>
        <w:tc>
          <w:tcPr>
            <w:tcW w:w="40" w:type="dxa"/>
            <w:vAlign w:val="bottom"/>
          </w:tcPr>
          <w:p w14:paraId="5B52E03D" w14:textId="77777777" w:rsidR="00D1587D" w:rsidRDefault="00D1587D">
            <w:pPr>
              <w:rPr>
                <w:sz w:val="12"/>
                <w:szCs w:val="12"/>
              </w:rPr>
            </w:pPr>
          </w:p>
        </w:tc>
        <w:tc>
          <w:tcPr>
            <w:tcW w:w="300" w:type="dxa"/>
            <w:vAlign w:val="bottom"/>
          </w:tcPr>
          <w:p w14:paraId="157161AC" w14:textId="77777777" w:rsidR="00D1587D" w:rsidRDefault="00D1587D">
            <w:pPr>
              <w:rPr>
                <w:sz w:val="12"/>
                <w:szCs w:val="12"/>
              </w:rPr>
            </w:pPr>
          </w:p>
        </w:tc>
        <w:tc>
          <w:tcPr>
            <w:tcW w:w="60" w:type="dxa"/>
            <w:vAlign w:val="bottom"/>
          </w:tcPr>
          <w:p w14:paraId="39BCD156" w14:textId="77777777" w:rsidR="00D1587D" w:rsidRDefault="00D1587D">
            <w:pPr>
              <w:rPr>
                <w:sz w:val="12"/>
                <w:szCs w:val="12"/>
              </w:rPr>
            </w:pPr>
          </w:p>
        </w:tc>
        <w:tc>
          <w:tcPr>
            <w:tcW w:w="580" w:type="dxa"/>
            <w:vAlign w:val="bottom"/>
          </w:tcPr>
          <w:p w14:paraId="1BB79F85" w14:textId="77777777" w:rsidR="00D1587D" w:rsidRDefault="00D1587D">
            <w:pPr>
              <w:rPr>
                <w:sz w:val="12"/>
                <w:szCs w:val="12"/>
              </w:rPr>
            </w:pPr>
          </w:p>
        </w:tc>
        <w:tc>
          <w:tcPr>
            <w:tcW w:w="60" w:type="dxa"/>
            <w:vAlign w:val="bottom"/>
          </w:tcPr>
          <w:p w14:paraId="6E6F6B88" w14:textId="77777777" w:rsidR="00D1587D" w:rsidRDefault="00D1587D">
            <w:pPr>
              <w:rPr>
                <w:sz w:val="12"/>
                <w:szCs w:val="12"/>
              </w:rPr>
            </w:pPr>
          </w:p>
        </w:tc>
        <w:tc>
          <w:tcPr>
            <w:tcW w:w="380" w:type="dxa"/>
            <w:vAlign w:val="bottom"/>
          </w:tcPr>
          <w:p w14:paraId="437D45C7" w14:textId="77777777" w:rsidR="00D1587D" w:rsidRDefault="00D1587D">
            <w:pPr>
              <w:rPr>
                <w:sz w:val="12"/>
                <w:szCs w:val="12"/>
              </w:rPr>
            </w:pPr>
          </w:p>
        </w:tc>
        <w:tc>
          <w:tcPr>
            <w:tcW w:w="60" w:type="dxa"/>
            <w:vAlign w:val="bottom"/>
          </w:tcPr>
          <w:p w14:paraId="37EAC96C" w14:textId="77777777" w:rsidR="00D1587D" w:rsidRDefault="00D1587D">
            <w:pPr>
              <w:rPr>
                <w:sz w:val="12"/>
                <w:szCs w:val="12"/>
              </w:rPr>
            </w:pPr>
          </w:p>
        </w:tc>
        <w:tc>
          <w:tcPr>
            <w:tcW w:w="820" w:type="dxa"/>
            <w:gridSpan w:val="2"/>
            <w:vMerge w:val="restart"/>
            <w:vAlign w:val="bottom"/>
          </w:tcPr>
          <w:p w14:paraId="453DFDD0" w14:textId="77777777" w:rsidR="00D1587D" w:rsidRDefault="00410D07">
            <w:pPr>
              <w:ind w:right="80"/>
              <w:jc w:val="center"/>
              <w:rPr>
                <w:sz w:val="20"/>
                <w:szCs w:val="20"/>
              </w:rPr>
            </w:pPr>
            <w:r>
              <w:rPr>
                <w:rFonts w:ascii="Arial" w:eastAsia="Arial" w:hAnsi="Arial" w:cs="Arial"/>
                <w:b/>
                <w:bCs/>
                <w:w w:val="89"/>
                <w:sz w:val="14"/>
                <w:szCs w:val="14"/>
              </w:rPr>
              <w:t>Stock</w:t>
            </w:r>
          </w:p>
        </w:tc>
        <w:tc>
          <w:tcPr>
            <w:tcW w:w="520" w:type="dxa"/>
            <w:gridSpan w:val="2"/>
            <w:vMerge w:val="restart"/>
            <w:vAlign w:val="bottom"/>
          </w:tcPr>
          <w:p w14:paraId="763EFCA3" w14:textId="77777777" w:rsidR="00D1587D" w:rsidRDefault="00410D07">
            <w:pPr>
              <w:rPr>
                <w:sz w:val="20"/>
                <w:szCs w:val="20"/>
              </w:rPr>
            </w:pPr>
            <w:r>
              <w:rPr>
                <w:rFonts w:ascii="Arial" w:eastAsia="Arial" w:hAnsi="Arial" w:cs="Arial"/>
                <w:b/>
                <w:bCs/>
                <w:sz w:val="14"/>
                <w:szCs w:val="14"/>
              </w:rPr>
              <w:t>Option</w:t>
            </w:r>
          </w:p>
        </w:tc>
        <w:tc>
          <w:tcPr>
            <w:tcW w:w="1320" w:type="dxa"/>
            <w:gridSpan w:val="2"/>
            <w:vMerge w:val="restart"/>
            <w:vAlign w:val="bottom"/>
          </w:tcPr>
          <w:p w14:paraId="696EDE84" w14:textId="77777777" w:rsidR="00D1587D" w:rsidRDefault="00410D07">
            <w:pPr>
              <w:ind w:right="80"/>
              <w:jc w:val="center"/>
              <w:rPr>
                <w:sz w:val="20"/>
                <w:szCs w:val="20"/>
              </w:rPr>
            </w:pPr>
            <w:r>
              <w:rPr>
                <w:rFonts w:ascii="Arial" w:eastAsia="Arial" w:hAnsi="Arial" w:cs="Arial"/>
                <w:b/>
                <w:bCs/>
                <w:w w:val="96"/>
                <w:sz w:val="14"/>
                <w:szCs w:val="14"/>
              </w:rPr>
              <w:t>Non-Equity</w:t>
            </w:r>
          </w:p>
        </w:tc>
        <w:tc>
          <w:tcPr>
            <w:tcW w:w="960" w:type="dxa"/>
            <w:gridSpan w:val="2"/>
            <w:vAlign w:val="bottom"/>
          </w:tcPr>
          <w:p w14:paraId="5D5B5DF8" w14:textId="77777777" w:rsidR="00D1587D" w:rsidRDefault="00410D07">
            <w:pPr>
              <w:spacing w:line="149" w:lineRule="exact"/>
              <w:ind w:right="100"/>
              <w:jc w:val="center"/>
              <w:rPr>
                <w:sz w:val="20"/>
                <w:szCs w:val="20"/>
              </w:rPr>
            </w:pPr>
            <w:r>
              <w:rPr>
                <w:rFonts w:ascii="Arial" w:eastAsia="Arial" w:hAnsi="Arial" w:cs="Arial"/>
                <w:b/>
                <w:bCs/>
                <w:w w:val="93"/>
                <w:sz w:val="14"/>
                <w:szCs w:val="14"/>
              </w:rPr>
              <w:t>Deferred</w:t>
            </w:r>
          </w:p>
        </w:tc>
        <w:tc>
          <w:tcPr>
            <w:tcW w:w="920" w:type="dxa"/>
            <w:vMerge w:val="restart"/>
            <w:vAlign w:val="bottom"/>
          </w:tcPr>
          <w:p w14:paraId="1530E224" w14:textId="77777777" w:rsidR="00D1587D" w:rsidRDefault="00410D07">
            <w:pPr>
              <w:jc w:val="center"/>
              <w:rPr>
                <w:sz w:val="20"/>
                <w:szCs w:val="20"/>
              </w:rPr>
            </w:pPr>
            <w:r>
              <w:rPr>
                <w:rFonts w:ascii="Arial" w:eastAsia="Arial" w:hAnsi="Arial" w:cs="Arial"/>
                <w:b/>
                <w:bCs/>
                <w:sz w:val="14"/>
                <w:szCs w:val="14"/>
              </w:rPr>
              <w:t>All Other</w:t>
            </w:r>
          </w:p>
        </w:tc>
        <w:tc>
          <w:tcPr>
            <w:tcW w:w="40" w:type="dxa"/>
            <w:vAlign w:val="bottom"/>
          </w:tcPr>
          <w:p w14:paraId="0F6039E6" w14:textId="77777777" w:rsidR="00D1587D" w:rsidRDefault="00D1587D">
            <w:pPr>
              <w:rPr>
                <w:sz w:val="12"/>
                <w:szCs w:val="12"/>
              </w:rPr>
            </w:pPr>
          </w:p>
        </w:tc>
        <w:tc>
          <w:tcPr>
            <w:tcW w:w="620" w:type="dxa"/>
            <w:vAlign w:val="bottom"/>
          </w:tcPr>
          <w:p w14:paraId="7999F695" w14:textId="77777777" w:rsidR="00D1587D" w:rsidRDefault="00D1587D">
            <w:pPr>
              <w:rPr>
                <w:sz w:val="12"/>
                <w:szCs w:val="12"/>
              </w:rPr>
            </w:pPr>
          </w:p>
        </w:tc>
        <w:tc>
          <w:tcPr>
            <w:tcW w:w="0" w:type="dxa"/>
            <w:vAlign w:val="bottom"/>
          </w:tcPr>
          <w:p w14:paraId="22959DA7" w14:textId="77777777" w:rsidR="00D1587D" w:rsidRDefault="00D1587D">
            <w:pPr>
              <w:rPr>
                <w:sz w:val="1"/>
                <w:szCs w:val="1"/>
              </w:rPr>
            </w:pPr>
          </w:p>
        </w:tc>
      </w:tr>
      <w:tr w:rsidR="00D1587D" w14:paraId="41338F3A" w14:textId="77777777">
        <w:trPr>
          <w:trHeight w:val="148"/>
        </w:trPr>
        <w:tc>
          <w:tcPr>
            <w:tcW w:w="1740" w:type="dxa"/>
            <w:vMerge w:val="restart"/>
            <w:vAlign w:val="bottom"/>
          </w:tcPr>
          <w:p w14:paraId="548A08A9" w14:textId="77777777" w:rsidR="00D1587D" w:rsidRDefault="00410D07">
            <w:pPr>
              <w:rPr>
                <w:sz w:val="20"/>
                <w:szCs w:val="20"/>
              </w:rPr>
            </w:pPr>
            <w:r>
              <w:rPr>
                <w:rFonts w:ascii="Arial" w:eastAsia="Arial" w:hAnsi="Arial" w:cs="Arial"/>
                <w:b/>
                <w:bCs/>
                <w:sz w:val="14"/>
                <w:szCs w:val="14"/>
              </w:rPr>
              <w:t>Name and Principal</w:t>
            </w:r>
          </w:p>
        </w:tc>
        <w:tc>
          <w:tcPr>
            <w:tcW w:w="40" w:type="dxa"/>
            <w:vAlign w:val="bottom"/>
          </w:tcPr>
          <w:p w14:paraId="4E7B1130" w14:textId="77777777" w:rsidR="00D1587D" w:rsidRDefault="00D1587D">
            <w:pPr>
              <w:rPr>
                <w:sz w:val="12"/>
                <w:szCs w:val="12"/>
              </w:rPr>
            </w:pPr>
          </w:p>
        </w:tc>
        <w:tc>
          <w:tcPr>
            <w:tcW w:w="300" w:type="dxa"/>
            <w:vAlign w:val="bottom"/>
          </w:tcPr>
          <w:p w14:paraId="624F3773" w14:textId="77777777" w:rsidR="00D1587D" w:rsidRDefault="00D1587D">
            <w:pPr>
              <w:rPr>
                <w:sz w:val="12"/>
                <w:szCs w:val="12"/>
              </w:rPr>
            </w:pPr>
          </w:p>
        </w:tc>
        <w:tc>
          <w:tcPr>
            <w:tcW w:w="60" w:type="dxa"/>
            <w:vAlign w:val="bottom"/>
          </w:tcPr>
          <w:p w14:paraId="140F2EE4" w14:textId="77777777" w:rsidR="00D1587D" w:rsidRDefault="00D1587D">
            <w:pPr>
              <w:rPr>
                <w:sz w:val="12"/>
                <w:szCs w:val="12"/>
              </w:rPr>
            </w:pPr>
          </w:p>
        </w:tc>
        <w:tc>
          <w:tcPr>
            <w:tcW w:w="640" w:type="dxa"/>
            <w:gridSpan w:val="2"/>
            <w:vMerge w:val="restart"/>
            <w:vAlign w:val="bottom"/>
          </w:tcPr>
          <w:p w14:paraId="25869AD3" w14:textId="77777777" w:rsidR="00D1587D" w:rsidRDefault="00410D07">
            <w:pPr>
              <w:ind w:left="80"/>
              <w:rPr>
                <w:sz w:val="20"/>
                <w:szCs w:val="20"/>
              </w:rPr>
            </w:pPr>
            <w:r>
              <w:rPr>
                <w:rFonts w:ascii="Arial" w:eastAsia="Arial" w:hAnsi="Arial" w:cs="Arial"/>
                <w:b/>
                <w:bCs/>
                <w:sz w:val="14"/>
                <w:szCs w:val="14"/>
              </w:rPr>
              <w:t>Salary</w:t>
            </w:r>
          </w:p>
        </w:tc>
        <w:tc>
          <w:tcPr>
            <w:tcW w:w="380" w:type="dxa"/>
            <w:vMerge w:val="restart"/>
            <w:vAlign w:val="bottom"/>
          </w:tcPr>
          <w:p w14:paraId="37EE5AC2" w14:textId="77777777" w:rsidR="00D1587D" w:rsidRDefault="00410D07">
            <w:pPr>
              <w:jc w:val="center"/>
              <w:rPr>
                <w:sz w:val="20"/>
                <w:szCs w:val="20"/>
              </w:rPr>
            </w:pPr>
            <w:r>
              <w:rPr>
                <w:rFonts w:ascii="Arial" w:eastAsia="Arial" w:hAnsi="Arial" w:cs="Arial"/>
                <w:b/>
                <w:bCs/>
                <w:w w:val="87"/>
                <w:sz w:val="14"/>
                <w:szCs w:val="14"/>
              </w:rPr>
              <w:t>Bonus</w:t>
            </w:r>
          </w:p>
        </w:tc>
        <w:tc>
          <w:tcPr>
            <w:tcW w:w="60" w:type="dxa"/>
            <w:vAlign w:val="bottom"/>
          </w:tcPr>
          <w:p w14:paraId="4E1C909A" w14:textId="77777777" w:rsidR="00D1587D" w:rsidRDefault="00D1587D">
            <w:pPr>
              <w:rPr>
                <w:sz w:val="12"/>
                <w:szCs w:val="12"/>
              </w:rPr>
            </w:pPr>
          </w:p>
        </w:tc>
        <w:tc>
          <w:tcPr>
            <w:tcW w:w="820" w:type="dxa"/>
            <w:gridSpan w:val="2"/>
            <w:vMerge/>
            <w:vAlign w:val="bottom"/>
          </w:tcPr>
          <w:p w14:paraId="38E452C4" w14:textId="77777777" w:rsidR="00D1587D" w:rsidRDefault="00D1587D">
            <w:pPr>
              <w:rPr>
                <w:sz w:val="12"/>
                <w:szCs w:val="12"/>
              </w:rPr>
            </w:pPr>
          </w:p>
        </w:tc>
        <w:tc>
          <w:tcPr>
            <w:tcW w:w="520" w:type="dxa"/>
            <w:gridSpan w:val="2"/>
            <w:vMerge/>
            <w:vAlign w:val="bottom"/>
          </w:tcPr>
          <w:p w14:paraId="2A47F57B" w14:textId="77777777" w:rsidR="00D1587D" w:rsidRDefault="00D1587D">
            <w:pPr>
              <w:rPr>
                <w:sz w:val="12"/>
                <w:szCs w:val="12"/>
              </w:rPr>
            </w:pPr>
          </w:p>
        </w:tc>
        <w:tc>
          <w:tcPr>
            <w:tcW w:w="1320" w:type="dxa"/>
            <w:gridSpan w:val="2"/>
            <w:vMerge/>
            <w:vAlign w:val="bottom"/>
          </w:tcPr>
          <w:p w14:paraId="25A14614" w14:textId="77777777" w:rsidR="00D1587D" w:rsidRDefault="00D1587D">
            <w:pPr>
              <w:rPr>
                <w:sz w:val="12"/>
                <w:szCs w:val="12"/>
              </w:rPr>
            </w:pPr>
          </w:p>
        </w:tc>
        <w:tc>
          <w:tcPr>
            <w:tcW w:w="960" w:type="dxa"/>
            <w:gridSpan w:val="2"/>
            <w:vAlign w:val="bottom"/>
          </w:tcPr>
          <w:p w14:paraId="370A314D" w14:textId="77777777" w:rsidR="00D1587D" w:rsidRDefault="00410D07">
            <w:pPr>
              <w:spacing w:line="149" w:lineRule="exact"/>
              <w:ind w:right="60"/>
              <w:jc w:val="center"/>
              <w:rPr>
                <w:sz w:val="20"/>
                <w:szCs w:val="20"/>
              </w:rPr>
            </w:pPr>
            <w:r>
              <w:rPr>
                <w:rFonts w:ascii="Arial" w:eastAsia="Arial" w:hAnsi="Arial" w:cs="Arial"/>
                <w:b/>
                <w:bCs/>
                <w:w w:val="92"/>
                <w:sz w:val="14"/>
                <w:szCs w:val="14"/>
              </w:rPr>
              <w:t>Compensation</w:t>
            </w:r>
          </w:p>
        </w:tc>
        <w:tc>
          <w:tcPr>
            <w:tcW w:w="920" w:type="dxa"/>
            <w:vMerge/>
            <w:vAlign w:val="bottom"/>
          </w:tcPr>
          <w:p w14:paraId="1D122E1E" w14:textId="77777777" w:rsidR="00D1587D" w:rsidRDefault="00D1587D">
            <w:pPr>
              <w:rPr>
                <w:sz w:val="12"/>
                <w:szCs w:val="12"/>
              </w:rPr>
            </w:pPr>
          </w:p>
        </w:tc>
        <w:tc>
          <w:tcPr>
            <w:tcW w:w="40" w:type="dxa"/>
            <w:vAlign w:val="bottom"/>
          </w:tcPr>
          <w:p w14:paraId="5D7FF1E3" w14:textId="77777777" w:rsidR="00D1587D" w:rsidRDefault="00D1587D">
            <w:pPr>
              <w:rPr>
                <w:sz w:val="12"/>
                <w:szCs w:val="12"/>
              </w:rPr>
            </w:pPr>
          </w:p>
        </w:tc>
        <w:tc>
          <w:tcPr>
            <w:tcW w:w="620" w:type="dxa"/>
            <w:vAlign w:val="bottom"/>
          </w:tcPr>
          <w:p w14:paraId="106F8C20" w14:textId="77777777" w:rsidR="00D1587D" w:rsidRDefault="00D1587D">
            <w:pPr>
              <w:rPr>
                <w:sz w:val="12"/>
                <w:szCs w:val="12"/>
              </w:rPr>
            </w:pPr>
          </w:p>
        </w:tc>
        <w:tc>
          <w:tcPr>
            <w:tcW w:w="0" w:type="dxa"/>
            <w:vAlign w:val="bottom"/>
          </w:tcPr>
          <w:p w14:paraId="225F685D" w14:textId="77777777" w:rsidR="00D1587D" w:rsidRDefault="00D1587D">
            <w:pPr>
              <w:rPr>
                <w:sz w:val="1"/>
                <w:szCs w:val="1"/>
              </w:rPr>
            </w:pPr>
          </w:p>
        </w:tc>
      </w:tr>
      <w:tr w:rsidR="00D1587D" w14:paraId="78864BC7" w14:textId="77777777">
        <w:trPr>
          <w:trHeight w:val="145"/>
        </w:trPr>
        <w:tc>
          <w:tcPr>
            <w:tcW w:w="1740" w:type="dxa"/>
            <w:vMerge/>
            <w:vAlign w:val="bottom"/>
          </w:tcPr>
          <w:p w14:paraId="720A7CEF" w14:textId="77777777" w:rsidR="00D1587D" w:rsidRDefault="00D1587D">
            <w:pPr>
              <w:rPr>
                <w:sz w:val="12"/>
                <w:szCs w:val="12"/>
              </w:rPr>
            </w:pPr>
          </w:p>
        </w:tc>
        <w:tc>
          <w:tcPr>
            <w:tcW w:w="40" w:type="dxa"/>
            <w:vAlign w:val="bottom"/>
          </w:tcPr>
          <w:p w14:paraId="1767C700" w14:textId="77777777" w:rsidR="00D1587D" w:rsidRDefault="00D1587D">
            <w:pPr>
              <w:rPr>
                <w:sz w:val="12"/>
                <w:szCs w:val="12"/>
              </w:rPr>
            </w:pPr>
          </w:p>
        </w:tc>
        <w:tc>
          <w:tcPr>
            <w:tcW w:w="300" w:type="dxa"/>
            <w:vMerge w:val="restart"/>
            <w:vAlign w:val="bottom"/>
          </w:tcPr>
          <w:p w14:paraId="034A0D51" w14:textId="77777777" w:rsidR="00D1587D" w:rsidRDefault="00410D07">
            <w:pPr>
              <w:ind w:left="20"/>
              <w:rPr>
                <w:sz w:val="20"/>
                <w:szCs w:val="20"/>
              </w:rPr>
            </w:pPr>
            <w:r>
              <w:rPr>
                <w:rFonts w:ascii="Arial" w:eastAsia="Arial" w:hAnsi="Arial" w:cs="Arial"/>
                <w:b/>
                <w:bCs/>
                <w:w w:val="85"/>
                <w:sz w:val="14"/>
                <w:szCs w:val="14"/>
              </w:rPr>
              <w:t>Year</w:t>
            </w:r>
          </w:p>
        </w:tc>
        <w:tc>
          <w:tcPr>
            <w:tcW w:w="60" w:type="dxa"/>
            <w:vMerge w:val="restart"/>
            <w:vAlign w:val="bottom"/>
          </w:tcPr>
          <w:p w14:paraId="4AED8663" w14:textId="77777777" w:rsidR="00D1587D" w:rsidRDefault="00D1587D">
            <w:pPr>
              <w:rPr>
                <w:sz w:val="12"/>
                <w:szCs w:val="12"/>
              </w:rPr>
            </w:pPr>
          </w:p>
        </w:tc>
        <w:tc>
          <w:tcPr>
            <w:tcW w:w="640" w:type="dxa"/>
            <w:gridSpan w:val="2"/>
            <w:vMerge/>
            <w:vAlign w:val="bottom"/>
          </w:tcPr>
          <w:p w14:paraId="15495305" w14:textId="77777777" w:rsidR="00D1587D" w:rsidRDefault="00D1587D">
            <w:pPr>
              <w:rPr>
                <w:sz w:val="12"/>
                <w:szCs w:val="12"/>
              </w:rPr>
            </w:pPr>
          </w:p>
        </w:tc>
        <w:tc>
          <w:tcPr>
            <w:tcW w:w="380" w:type="dxa"/>
            <w:vMerge/>
            <w:vAlign w:val="bottom"/>
          </w:tcPr>
          <w:p w14:paraId="3902A322" w14:textId="77777777" w:rsidR="00D1587D" w:rsidRDefault="00D1587D">
            <w:pPr>
              <w:rPr>
                <w:sz w:val="12"/>
                <w:szCs w:val="12"/>
              </w:rPr>
            </w:pPr>
          </w:p>
        </w:tc>
        <w:tc>
          <w:tcPr>
            <w:tcW w:w="60" w:type="dxa"/>
            <w:vAlign w:val="bottom"/>
          </w:tcPr>
          <w:p w14:paraId="353931A9" w14:textId="77777777" w:rsidR="00D1587D" w:rsidRDefault="00D1587D">
            <w:pPr>
              <w:rPr>
                <w:sz w:val="12"/>
                <w:szCs w:val="12"/>
              </w:rPr>
            </w:pPr>
          </w:p>
        </w:tc>
        <w:tc>
          <w:tcPr>
            <w:tcW w:w="820" w:type="dxa"/>
            <w:gridSpan w:val="2"/>
            <w:vAlign w:val="bottom"/>
          </w:tcPr>
          <w:p w14:paraId="6E32DFDB" w14:textId="77777777" w:rsidR="00D1587D" w:rsidRDefault="00410D07">
            <w:pPr>
              <w:spacing w:line="145" w:lineRule="exact"/>
              <w:ind w:right="80"/>
              <w:jc w:val="center"/>
              <w:rPr>
                <w:sz w:val="20"/>
                <w:szCs w:val="20"/>
              </w:rPr>
            </w:pPr>
            <w:r>
              <w:rPr>
                <w:rFonts w:ascii="Arial" w:eastAsia="Arial" w:hAnsi="Arial" w:cs="Arial"/>
                <w:b/>
                <w:bCs/>
                <w:w w:val="90"/>
                <w:sz w:val="14"/>
                <w:szCs w:val="14"/>
              </w:rPr>
              <w:t>Awards</w:t>
            </w:r>
          </w:p>
        </w:tc>
        <w:tc>
          <w:tcPr>
            <w:tcW w:w="520" w:type="dxa"/>
            <w:gridSpan w:val="2"/>
            <w:vAlign w:val="bottom"/>
          </w:tcPr>
          <w:p w14:paraId="30C2CEFE" w14:textId="77777777" w:rsidR="00D1587D" w:rsidRDefault="00410D07">
            <w:pPr>
              <w:spacing w:line="145" w:lineRule="exact"/>
              <w:rPr>
                <w:sz w:val="20"/>
                <w:szCs w:val="20"/>
              </w:rPr>
            </w:pPr>
            <w:r>
              <w:rPr>
                <w:rFonts w:ascii="Arial" w:eastAsia="Arial" w:hAnsi="Arial" w:cs="Arial"/>
                <w:b/>
                <w:bCs/>
                <w:w w:val="98"/>
                <w:sz w:val="14"/>
                <w:szCs w:val="14"/>
              </w:rPr>
              <w:t>Awards</w:t>
            </w:r>
          </w:p>
        </w:tc>
        <w:tc>
          <w:tcPr>
            <w:tcW w:w="1320" w:type="dxa"/>
            <w:gridSpan w:val="2"/>
            <w:vAlign w:val="bottom"/>
          </w:tcPr>
          <w:p w14:paraId="3C8BB89F" w14:textId="77777777" w:rsidR="00D1587D" w:rsidRDefault="00410D07">
            <w:pPr>
              <w:spacing w:line="145" w:lineRule="exact"/>
              <w:ind w:right="80"/>
              <w:jc w:val="center"/>
              <w:rPr>
                <w:sz w:val="20"/>
                <w:szCs w:val="20"/>
              </w:rPr>
            </w:pPr>
            <w:r>
              <w:rPr>
                <w:rFonts w:ascii="Arial" w:eastAsia="Arial" w:hAnsi="Arial" w:cs="Arial"/>
                <w:b/>
                <w:bCs/>
                <w:w w:val="93"/>
                <w:sz w:val="14"/>
                <w:szCs w:val="14"/>
              </w:rPr>
              <w:t>Incentive Plan</w:t>
            </w:r>
          </w:p>
        </w:tc>
        <w:tc>
          <w:tcPr>
            <w:tcW w:w="960" w:type="dxa"/>
            <w:gridSpan w:val="2"/>
            <w:vAlign w:val="bottom"/>
          </w:tcPr>
          <w:p w14:paraId="57367723" w14:textId="77777777" w:rsidR="00D1587D" w:rsidRDefault="00410D07">
            <w:pPr>
              <w:spacing w:line="145" w:lineRule="exact"/>
              <w:ind w:right="80"/>
              <w:jc w:val="center"/>
              <w:rPr>
                <w:sz w:val="20"/>
                <w:szCs w:val="20"/>
              </w:rPr>
            </w:pPr>
            <w:r>
              <w:rPr>
                <w:rFonts w:ascii="Arial" w:eastAsia="Arial" w:hAnsi="Arial" w:cs="Arial"/>
                <w:b/>
                <w:bCs/>
                <w:w w:val="93"/>
                <w:sz w:val="14"/>
                <w:szCs w:val="14"/>
              </w:rPr>
              <w:t>Earnings</w:t>
            </w:r>
          </w:p>
        </w:tc>
        <w:tc>
          <w:tcPr>
            <w:tcW w:w="920" w:type="dxa"/>
            <w:vAlign w:val="bottom"/>
          </w:tcPr>
          <w:p w14:paraId="5F856F93" w14:textId="77777777" w:rsidR="00D1587D" w:rsidRDefault="00410D07">
            <w:pPr>
              <w:spacing w:line="145" w:lineRule="exact"/>
              <w:jc w:val="center"/>
              <w:rPr>
                <w:sz w:val="20"/>
                <w:szCs w:val="20"/>
              </w:rPr>
            </w:pPr>
            <w:r>
              <w:rPr>
                <w:rFonts w:ascii="Arial" w:eastAsia="Arial" w:hAnsi="Arial" w:cs="Arial"/>
                <w:b/>
                <w:bCs/>
                <w:w w:val="90"/>
                <w:sz w:val="14"/>
                <w:szCs w:val="14"/>
              </w:rPr>
              <w:t>Compensation</w:t>
            </w:r>
          </w:p>
        </w:tc>
        <w:tc>
          <w:tcPr>
            <w:tcW w:w="40" w:type="dxa"/>
            <w:vAlign w:val="bottom"/>
          </w:tcPr>
          <w:p w14:paraId="1D164FE4" w14:textId="77777777" w:rsidR="00D1587D" w:rsidRDefault="00D1587D">
            <w:pPr>
              <w:rPr>
                <w:sz w:val="12"/>
                <w:szCs w:val="12"/>
              </w:rPr>
            </w:pPr>
          </w:p>
        </w:tc>
        <w:tc>
          <w:tcPr>
            <w:tcW w:w="620" w:type="dxa"/>
            <w:vMerge w:val="restart"/>
            <w:vAlign w:val="bottom"/>
          </w:tcPr>
          <w:p w14:paraId="7C03B078" w14:textId="77777777" w:rsidR="00D1587D" w:rsidRDefault="00410D07">
            <w:pPr>
              <w:ind w:left="60"/>
              <w:rPr>
                <w:sz w:val="20"/>
                <w:szCs w:val="20"/>
              </w:rPr>
            </w:pPr>
            <w:r>
              <w:rPr>
                <w:rFonts w:ascii="Arial" w:eastAsia="Arial" w:hAnsi="Arial" w:cs="Arial"/>
                <w:b/>
                <w:bCs/>
                <w:w w:val="99"/>
                <w:sz w:val="14"/>
                <w:szCs w:val="14"/>
              </w:rPr>
              <w:t>Total ($)</w:t>
            </w:r>
          </w:p>
        </w:tc>
        <w:tc>
          <w:tcPr>
            <w:tcW w:w="0" w:type="dxa"/>
            <w:vAlign w:val="bottom"/>
          </w:tcPr>
          <w:p w14:paraId="3495F936" w14:textId="77777777" w:rsidR="00D1587D" w:rsidRDefault="00D1587D">
            <w:pPr>
              <w:rPr>
                <w:sz w:val="1"/>
                <w:szCs w:val="1"/>
              </w:rPr>
            </w:pPr>
          </w:p>
        </w:tc>
      </w:tr>
      <w:tr w:rsidR="00D1587D" w14:paraId="6EAFFA04" w14:textId="77777777">
        <w:trPr>
          <w:trHeight w:val="242"/>
        </w:trPr>
        <w:tc>
          <w:tcPr>
            <w:tcW w:w="1740" w:type="dxa"/>
            <w:tcBorders>
              <w:bottom w:val="single" w:sz="8" w:space="0" w:color="auto"/>
            </w:tcBorders>
            <w:vAlign w:val="bottom"/>
          </w:tcPr>
          <w:p w14:paraId="53161637" w14:textId="77777777" w:rsidR="00D1587D" w:rsidRDefault="00410D07">
            <w:pPr>
              <w:rPr>
                <w:sz w:val="20"/>
                <w:szCs w:val="20"/>
              </w:rPr>
            </w:pPr>
            <w:r>
              <w:rPr>
                <w:rFonts w:ascii="Arial" w:eastAsia="Arial" w:hAnsi="Arial" w:cs="Arial"/>
                <w:b/>
                <w:bCs/>
                <w:sz w:val="14"/>
                <w:szCs w:val="14"/>
              </w:rPr>
              <w:t>Position</w:t>
            </w:r>
          </w:p>
        </w:tc>
        <w:tc>
          <w:tcPr>
            <w:tcW w:w="40" w:type="dxa"/>
            <w:tcBorders>
              <w:bottom w:val="single" w:sz="8" w:space="0" w:color="CCEEFF"/>
            </w:tcBorders>
            <w:vAlign w:val="bottom"/>
          </w:tcPr>
          <w:p w14:paraId="115F1ED0" w14:textId="77777777" w:rsidR="00D1587D" w:rsidRDefault="00D1587D">
            <w:pPr>
              <w:rPr>
                <w:sz w:val="21"/>
                <w:szCs w:val="21"/>
              </w:rPr>
            </w:pPr>
          </w:p>
        </w:tc>
        <w:tc>
          <w:tcPr>
            <w:tcW w:w="300" w:type="dxa"/>
            <w:vMerge/>
            <w:tcBorders>
              <w:bottom w:val="single" w:sz="8" w:space="0" w:color="auto"/>
            </w:tcBorders>
            <w:vAlign w:val="bottom"/>
          </w:tcPr>
          <w:p w14:paraId="092DDB72" w14:textId="77777777" w:rsidR="00D1587D" w:rsidRDefault="00D1587D">
            <w:pPr>
              <w:rPr>
                <w:sz w:val="21"/>
                <w:szCs w:val="21"/>
              </w:rPr>
            </w:pPr>
          </w:p>
        </w:tc>
        <w:tc>
          <w:tcPr>
            <w:tcW w:w="60" w:type="dxa"/>
            <w:vMerge/>
            <w:tcBorders>
              <w:bottom w:val="single" w:sz="8" w:space="0" w:color="CCEEFF"/>
            </w:tcBorders>
            <w:vAlign w:val="bottom"/>
          </w:tcPr>
          <w:p w14:paraId="3F485BA3" w14:textId="77777777" w:rsidR="00D1587D" w:rsidRDefault="00D1587D">
            <w:pPr>
              <w:rPr>
                <w:sz w:val="21"/>
                <w:szCs w:val="21"/>
              </w:rPr>
            </w:pPr>
          </w:p>
        </w:tc>
        <w:tc>
          <w:tcPr>
            <w:tcW w:w="580" w:type="dxa"/>
            <w:tcBorders>
              <w:bottom w:val="single" w:sz="8" w:space="0" w:color="auto"/>
            </w:tcBorders>
            <w:vAlign w:val="bottom"/>
          </w:tcPr>
          <w:p w14:paraId="55F05108" w14:textId="77777777" w:rsidR="00D1587D" w:rsidRDefault="00410D07">
            <w:pPr>
              <w:ind w:right="128"/>
              <w:jc w:val="right"/>
              <w:rPr>
                <w:sz w:val="20"/>
                <w:szCs w:val="20"/>
              </w:rPr>
            </w:pPr>
            <w:r>
              <w:rPr>
                <w:rFonts w:ascii="Arial" w:eastAsia="Arial" w:hAnsi="Arial" w:cs="Arial"/>
                <w:b/>
                <w:bCs/>
                <w:sz w:val="14"/>
                <w:szCs w:val="14"/>
              </w:rPr>
              <w:t>($)</w:t>
            </w:r>
          </w:p>
        </w:tc>
        <w:tc>
          <w:tcPr>
            <w:tcW w:w="60" w:type="dxa"/>
            <w:tcBorders>
              <w:bottom w:val="single" w:sz="8" w:space="0" w:color="CCEEFF"/>
            </w:tcBorders>
            <w:vAlign w:val="bottom"/>
          </w:tcPr>
          <w:p w14:paraId="7F61916B" w14:textId="77777777" w:rsidR="00D1587D" w:rsidRDefault="00D1587D">
            <w:pPr>
              <w:rPr>
                <w:sz w:val="21"/>
                <w:szCs w:val="21"/>
              </w:rPr>
            </w:pPr>
          </w:p>
        </w:tc>
        <w:tc>
          <w:tcPr>
            <w:tcW w:w="380" w:type="dxa"/>
            <w:tcBorders>
              <w:bottom w:val="single" w:sz="8" w:space="0" w:color="auto"/>
            </w:tcBorders>
            <w:vAlign w:val="bottom"/>
          </w:tcPr>
          <w:p w14:paraId="5D14BD31" w14:textId="77777777" w:rsidR="00D1587D" w:rsidRDefault="00410D07">
            <w:pPr>
              <w:jc w:val="center"/>
              <w:rPr>
                <w:sz w:val="20"/>
                <w:szCs w:val="20"/>
              </w:rPr>
            </w:pPr>
            <w:r>
              <w:rPr>
                <w:rFonts w:ascii="Arial" w:eastAsia="Arial" w:hAnsi="Arial" w:cs="Arial"/>
                <w:b/>
                <w:bCs/>
                <w:sz w:val="14"/>
                <w:szCs w:val="14"/>
              </w:rPr>
              <w:t>($)</w:t>
            </w:r>
          </w:p>
        </w:tc>
        <w:tc>
          <w:tcPr>
            <w:tcW w:w="60" w:type="dxa"/>
            <w:tcBorders>
              <w:bottom w:val="single" w:sz="8" w:space="0" w:color="CCEEFF"/>
            </w:tcBorders>
            <w:vAlign w:val="bottom"/>
          </w:tcPr>
          <w:p w14:paraId="7FAADC6F" w14:textId="77777777" w:rsidR="00D1587D" w:rsidRDefault="00D1587D">
            <w:pPr>
              <w:rPr>
                <w:sz w:val="21"/>
                <w:szCs w:val="21"/>
              </w:rPr>
            </w:pPr>
          </w:p>
        </w:tc>
        <w:tc>
          <w:tcPr>
            <w:tcW w:w="760" w:type="dxa"/>
            <w:tcBorders>
              <w:bottom w:val="single" w:sz="8" w:space="0" w:color="auto"/>
            </w:tcBorders>
            <w:vAlign w:val="bottom"/>
          </w:tcPr>
          <w:p w14:paraId="58D79425" w14:textId="77777777" w:rsidR="00D1587D" w:rsidRDefault="00410D07">
            <w:pPr>
              <w:spacing w:line="242" w:lineRule="exact"/>
              <w:jc w:val="center"/>
              <w:rPr>
                <w:sz w:val="20"/>
                <w:szCs w:val="20"/>
              </w:rPr>
            </w:pPr>
            <w:r>
              <w:rPr>
                <w:rFonts w:ascii="Arial" w:eastAsia="Arial" w:hAnsi="Arial" w:cs="Arial"/>
                <w:b/>
                <w:bCs/>
                <w:w w:val="89"/>
                <w:sz w:val="14"/>
                <w:szCs w:val="14"/>
              </w:rPr>
              <w:t>($)</w:t>
            </w:r>
            <w:r>
              <w:rPr>
                <w:rFonts w:ascii="Arial" w:eastAsia="Arial" w:hAnsi="Arial" w:cs="Arial"/>
                <w:b/>
                <w:bCs/>
                <w:w w:val="89"/>
                <w:sz w:val="23"/>
                <w:szCs w:val="23"/>
                <w:vertAlign w:val="superscript"/>
              </w:rPr>
              <w:t>(1)</w:t>
            </w:r>
          </w:p>
        </w:tc>
        <w:tc>
          <w:tcPr>
            <w:tcW w:w="60" w:type="dxa"/>
            <w:tcBorders>
              <w:bottom w:val="single" w:sz="8" w:space="0" w:color="CCEEFF"/>
            </w:tcBorders>
            <w:vAlign w:val="bottom"/>
          </w:tcPr>
          <w:p w14:paraId="615B392A" w14:textId="77777777" w:rsidR="00D1587D" w:rsidRDefault="00D1587D">
            <w:pPr>
              <w:rPr>
                <w:sz w:val="21"/>
                <w:szCs w:val="21"/>
              </w:rPr>
            </w:pPr>
          </w:p>
        </w:tc>
        <w:tc>
          <w:tcPr>
            <w:tcW w:w="480" w:type="dxa"/>
            <w:tcBorders>
              <w:bottom w:val="single" w:sz="8" w:space="0" w:color="auto"/>
            </w:tcBorders>
            <w:vAlign w:val="bottom"/>
          </w:tcPr>
          <w:p w14:paraId="03ACE56A" w14:textId="77777777" w:rsidR="00D1587D" w:rsidRDefault="00410D07">
            <w:pPr>
              <w:jc w:val="center"/>
              <w:rPr>
                <w:sz w:val="20"/>
                <w:szCs w:val="20"/>
              </w:rPr>
            </w:pPr>
            <w:r>
              <w:rPr>
                <w:rFonts w:ascii="Arial" w:eastAsia="Arial" w:hAnsi="Arial" w:cs="Arial"/>
                <w:b/>
                <w:bCs/>
                <w:w w:val="93"/>
                <w:sz w:val="14"/>
                <w:szCs w:val="14"/>
              </w:rPr>
              <w:t>($)</w:t>
            </w:r>
          </w:p>
        </w:tc>
        <w:tc>
          <w:tcPr>
            <w:tcW w:w="40" w:type="dxa"/>
            <w:tcBorders>
              <w:bottom w:val="single" w:sz="8" w:space="0" w:color="CCEEFF"/>
            </w:tcBorders>
            <w:vAlign w:val="bottom"/>
          </w:tcPr>
          <w:p w14:paraId="1AE9CF3A" w14:textId="77777777" w:rsidR="00D1587D" w:rsidRDefault="00D1587D">
            <w:pPr>
              <w:rPr>
                <w:sz w:val="21"/>
                <w:szCs w:val="21"/>
              </w:rPr>
            </w:pPr>
          </w:p>
        </w:tc>
        <w:tc>
          <w:tcPr>
            <w:tcW w:w="1260" w:type="dxa"/>
            <w:tcBorders>
              <w:bottom w:val="single" w:sz="8" w:space="0" w:color="auto"/>
            </w:tcBorders>
            <w:vAlign w:val="bottom"/>
          </w:tcPr>
          <w:p w14:paraId="16BFB4FF" w14:textId="77777777" w:rsidR="00D1587D" w:rsidRDefault="00410D07">
            <w:pPr>
              <w:spacing w:line="242" w:lineRule="exact"/>
              <w:jc w:val="center"/>
              <w:rPr>
                <w:sz w:val="20"/>
                <w:szCs w:val="20"/>
              </w:rPr>
            </w:pPr>
            <w:r>
              <w:rPr>
                <w:rFonts w:ascii="Arial" w:eastAsia="Arial" w:hAnsi="Arial" w:cs="Arial"/>
                <w:b/>
                <w:bCs/>
                <w:w w:val="90"/>
                <w:sz w:val="14"/>
                <w:szCs w:val="14"/>
              </w:rPr>
              <w:t>Compensation ($)</w:t>
            </w:r>
            <w:r>
              <w:rPr>
                <w:rFonts w:ascii="Arial" w:eastAsia="Arial" w:hAnsi="Arial" w:cs="Arial"/>
                <w:b/>
                <w:bCs/>
                <w:w w:val="90"/>
                <w:sz w:val="23"/>
                <w:szCs w:val="23"/>
                <w:vertAlign w:val="superscript"/>
              </w:rPr>
              <w:t>(3)</w:t>
            </w:r>
          </w:p>
        </w:tc>
        <w:tc>
          <w:tcPr>
            <w:tcW w:w="60" w:type="dxa"/>
            <w:tcBorders>
              <w:bottom w:val="single" w:sz="8" w:space="0" w:color="CCEEFF"/>
            </w:tcBorders>
            <w:vAlign w:val="bottom"/>
          </w:tcPr>
          <w:p w14:paraId="538F54B5" w14:textId="77777777" w:rsidR="00D1587D" w:rsidRDefault="00D1587D">
            <w:pPr>
              <w:rPr>
                <w:sz w:val="21"/>
                <w:szCs w:val="21"/>
              </w:rPr>
            </w:pPr>
          </w:p>
        </w:tc>
        <w:tc>
          <w:tcPr>
            <w:tcW w:w="900" w:type="dxa"/>
            <w:tcBorders>
              <w:bottom w:val="single" w:sz="8" w:space="0" w:color="auto"/>
            </w:tcBorders>
            <w:vAlign w:val="bottom"/>
          </w:tcPr>
          <w:p w14:paraId="3CB174D4" w14:textId="77777777" w:rsidR="00D1587D" w:rsidRDefault="00410D07">
            <w:pPr>
              <w:spacing w:line="242" w:lineRule="exact"/>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(4)</w:t>
            </w:r>
          </w:p>
        </w:tc>
        <w:tc>
          <w:tcPr>
            <w:tcW w:w="60" w:type="dxa"/>
            <w:tcBorders>
              <w:bottom w:val="single" w:sz="8" w:space="0" w:color="CCEEFF"/>
            </w:tcBorders>
            <w:vAlign w:val="bottom"/>
          </w:tcPr>
          <w:p w14:paraId="7EDBB105" w14:textId="77777777" w:rsidR="00D1587D" w:rsidRDefault="00D1587D">
            <w:pPr>
              <w:rPr>
                <w:sz w:val="21"/>
                <w:szCs w:val="21"/>
              </w:rPr>
            </w:pPr>
          </w:p>
        </w:tc>
        <w:tc>
          <w:tcPr>
            <w:tcW w:w="920" w:type="dxa"/>
            <w:tcBorders>
              <w:bottom w:val="single" w:sz="8" w:space="0" w:color="auto"/>
            </w:tcBorders>
            <w:vAlign w:val="bottom"/>
          </w:tcPr>
          <w:p w14:paraId="4D22FC02" w14:textId="77777777" w:rsidR="00D1587D" w:rsidRDefault="00410D07">
            <w:pPr>
              <w:spacing w:line="242" w:lineRule="exact"/>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(5)</w:t>
            </w:r>
          </w:p>
        </w:tc>
        <w:tc>
          <w:tcPr>
            <w:tcW w:w="40" w:type="dxa"/>
            <w:tcBorders>
              <w:bottom w:val="single" w:sz="8" w:space="0" w:color="CCEEFF"/>
            </w:tcBorders>
            <w:vAlign w:val="bottom"/>
          </w:tcPr>
          <w:p w14:paraId="522AC7D8" w14:textId="77777777" w:rsidR="00D1587D" w:rsidRDefault="00D1587D">
            <w:pPr>
              <w:rPr>
                <w:sz w:val="21"/>
                <w:szCs w:val="21"/>
              </w:rPr>
            </w:pPr>
          </w:p>
        </w:tc>
        <w:tc>
          <w:tcPr>
            <w:tcW w:w="620" w:type="dxa"/>
            <w:vMerge/>
            <w:tcBorders>
              <w:bottom w:val="single" w:sz="8" w:space="0" w:color="auto"/>
            </w:tcBorders>
            <w:vAlign w:val="bottom"/>
          </w:tcPr>
          <w:p w14:paraId="4E41919E" w14:textId="77777777" w:rsidR="00D1587D" w:rsidRDefault="00D1587D">
            <w:pPr>
              <w:rPr>
                <w:sz w:val="21"/>
                <w:szCs w:val="21"/>
              </w:rPr>
            </w:pPr>
          </w:p>
        </w:tc>
        <w:tc>
          <w:tcPr>
            <w:tcW w:w="0" w:type="dxa"/>
            <w:vAlign w:val="bottom"/>
          </w:tcPr>
          <w:p w14:paraId="447C46AB" w14:textId="77777777" w:rsidR="00D1587D" w:rsidRDefault="00D1587D">
            <w:pPr>
              <w:rPr>
                <w:sz w:val="1"/>
                <w:szCs w:val="1"/>
              </w:rPr>
            </w:pPr>
          </w:p>
        </w:tc>
      </w:tr>
      <w:tr w:rsidR="00D1587D" w14:paraId="21E2A6BF" w14:textId="77777777">
        <w:trPr>
          <w:trHeight w:val="191"/>
        </w:trPr>
        <w:tc>
          <w:tcPr>
            <w:tcW w:w="1740" w:type="dxa"/>
            <w:shd w:val="clear" w:color="auto" w:fill="CCEEFF"/>
            <w:vAlign w:val="bottom"/>
          </w:tcPr>
          <w:p w14:paraId="70175ADE" w14:textId="77777777" w:rsidR="00D1587D" w:rsidRDefault="00410D07">
            <w:pPr>
              <w:rPr>
                <w:sz w:val="20"/>
                <w:szCs w:val="20"/>
              </w:rPr>
            </w:pPr>
            <w:r>
              <w:rPr>
                <w:rFonts w:ascii="Arial" w:eastAsia="Arial" w:hAnsi="Arial" w:cs="Arial"/>
                <w:b/>
                <w:bCs/>
                <w:sz w:val="14"/>
                <w:szCs w:val="14"/>
              </w:rPr>
              <w:t>M</w:t>
            </w:r>
            <w:r>
              <w:rPr>
                <w:rFonts w:ascii="Arial" w:eastAsia="Arial" w:hAnsi="Arial" w:cs="Arial"/>
                <w:b/>
                <w:bCs/>
                <w:sz w:val="14"/>
                <w:szCs w:val="14"/>
              </w:rPr>
              <w:t>artin Waters</w:t>
            </w:r>
          </w:p>
        </w:tc>
        <w:tc>
          <w:tcPr>
            <w:tcW w:w="340" w:type="dxa"/>
            <w:gridSpan w:val="2"/>
            <w:shd w:val="clear" w:color="auto" w:fill="CCEEFF"/>
            <w:vAlign w:val="bottom"/>
          </w:tcPr>
          <w:p w14:paraId="4B05FABF" w14:textId="77777777" w:rsidR="00D1587D" w:rsidRDefault="00410D07">
            <w:pPr>
              <w:ind w:left="40"/>
              <w:rPr>
                <w:sz w:val="20"/>
                <w:szCs w:val="20"/>
              </w:rPr>
            </w:pPr>
            <w:r>
              <w:rPr>
                <w:rFonts w:ascii="Arial" w:eastAsia="Arial" w:hAnsi="Arial" w:cs="Arial"/>
                <w:w w:val="89"/>
                <w:sz w:val="14"/>
                <w:szCs w:val="14"/>
              </w:rPr>
              <w:t>2020</w:t>
            </w:r>
          </w:p>
        </w:tc>
        <w:tc>
          <w:tcPr>
            <w:tcW w:w="60" w:type="dxa"/>
            <w:shd w:val="clear" w:color="auto" w:fill="CCEEFF"/>
            <w:vAlign w:val="bottom"/>
          </w:tcPr>
          <w:p w14:paraId="3F715438" w14:textId="77777777" w:rsidR="00D1587D" w:rsidRDefault="00D1587D">
            <w:pPr>
              <w:rPr>
                <w:sz w:val="16"/>
                <w:szCs w:val="16"/>
              </w:rPr>
            </w:pPr>
          </w:p>
        </w:tc>
        <w:tc>
          <w:tcPr>
            <w:tcW w:w="580" w:type="dxa"/>
            <w:shd w:val="clear" w:color="auto" w:fill="CCEEFF"/>
            <w:vAlign w:val="bottom"/>
          </w:tcPr>
          <w:p w14:paraId="79B8B238" w14:textId="77777777" w:rsidR="00D1587D" w:rsidRDefault="00410D07">
            <w:pPr>
              <w:jc w:val="right"/>
              <w:rPr>
                <w:sz w:val="20"/>
                <w:szCs w:val="20"/>
              </w:rPr>
            </w:pPr>
            <w:r>
              <w:rPr>
                <w:rFonts w:ascii="Arial" w:eastAsia="Arial" w:hAnsi="Arial" w:cs="Arial"/>
                <w:sz w:val="14"/>
                <w:szCs w:val="14"/>
              </w:rPr>
              <w:t>923,462</w:t>
            </w:r>
          </w:p>
        </w:tc>
        <w:tc>
          <w:tcPr>
            <w:tcW w:w="60" w:type="dxa"/>
            <w:shd w:val="clear" w:color="auto" w:fill="CCEEFF"/>
            <w:vAlign w:val="bottom"/>
          </w:tcPr>
          <w:p w14:paraId="3D9A124B" w14:textId="77777777" w:rsidR="00D1587D" w:rsidRDefault="00D1587D">
            <w:pPr>
              <w:rPr>
                <w:sz w:val="16"/>
                <w:szCs w:val="16"/>
              </w:rPr>
            </w:pPr>
          </w:p>
        </w:tc>
        <w:tc>
          <w:tcPr>
            <w:tcW w:w="380" w:type="dxa"/>
            <w:shd w:val="clear" w:color="auto" w:fill="CCEEFF"/>
            <w:vAlign w:val="bottom"/>
          </w:tcPr>
          <w:p w14:paraId="5ABC9C23" w14:textId="77777777" w:rsidR="00D1587D" w:rsidRDefault="00410D07">
            <w:pPr>
              <w:jc w:val="center"/>
              <w:rPr>
                <w:sz w:val="20"/>
                <w:szCs w:val="20"/>
              </w:rPr>
            </w:pPr>
            <w:r>
              <w:rPr>
                <w:rFonts w:ascii="Arial" w:eastAsia="Arial" w:hAnsi="Arial" w:cs="Arial"/>
                <w:w w:val="99"/>
                <w:sz w:val="14"/>
                <w:szCs w:val="14"/>
              </w:rPr>
              <w:t>—</w:t>
            </w:r>
          </w:p>
        </w:tc>
        <w:tc>
          <w:tcPr>
            <w:tcW w:w="820" w:type="dxa"/>
            <w:gridSpan w:val="2"/>
            <w:shd w:val="clear" w:color="auto" w:fill="CCEEFF"/>
            <w:vAlign w:val="bottom"/>
          </w:tcPr>
          <w:p w14:paraId="10BEE334" w14:textId="77777777" w:rsidR="00D1587D" w:rsidRDefault="00410D07">
            <w:pPr>
              <w:jc w:val="center"/>
              <w:rPr>
                <w:sz w:val="20"/>
                <w:szCs w:val="20"/>
              </w:rPr>
            </w:pPr>
            <w:r>
              <w:rPr>
                <w:rFonts w:ascii="Arial" w:eastAsia="Arial" w:hAnsi="Arial" w:cs="Arial"/>
                <w:w w:val="93"/>
                <w:sz w:val="14"/>
                <w:szCs w:val="14"/>
              </w:rPr>
              <w:t>1,000,006(2)</w:t>
            </w:r>
          </w:p>
        </w:tc>
        <w:tc>
          <w:tcPr>
            <w:tcW w:w="60" w:type="dxa"/>
            <w:shd w:val="clear" w:color="auto" w:fill="CCEEFF"/>
            <w:vAlign w:val="bottom"/>
          </w:tcPr>
          <w:p w14:paraId="061EF85E" w14:textId="77777777" w:rsidR="00D1587D" w:rsidRDefault="00D1587D">
            <w:pPr>
              <w:rPr>
                <w:sz w:val="16"/>
                <w:szCs w:val="16"/>
              </w:rPr>
            </w:pPr>
          </w:p>
        </w:tc>
        <w:tc>
          <w:tcPr>
            <w:tcW w:w="520" w:type="dxa"/>
            <w:gridSpan w:val="2"/>
            <w:shd w:val="clear" w:color="auto" w:fill="CCEEFF"/>
            <w:vAlign w:val="bottom"/>
          </w:tcPr>
          <w:p w14:paraId="6D2AE3A5" w14:textId="77777777" w:rsidR="00D1587D" w:rsidRDefault="00410D07">
            <w:pPr>
              <w:ind w:right="60"/>
              <w:jc w:val="center"/>
              <w:rPr>
                <w:sz w:val="20"/>
                <w:szCs w:val="20"/>
              </w:rPr>
            </w:pPr>
            <w:r>
              <w:rPr>
                <w:rFonts w:ascii="Arial" w:eastAsia="Arial" w:hAnsi="Arial" w:cs="Arial"/>
                <w:w w:val="99"/>
                <w:sz w:val="14"/>
                <w:szCs w:val="14"/>
              </w:rPr>
              <w:t>—</w:t>
            </w:r>
          </w:p>
        </w:tc>
        <w:tc>
          <w:tcPr>
            <w:tcW w:w="1260" w:type="dxa"/>
            <w:shd w:val="clear" w:color="auto" w:fill="CCEEFF"/>
            <w:vAlign w:val="bottom"/>
          </w:tcPr>
          <w:p w14:paraId="216C254F" w14:textId="77777777" w:rsidR="00D1587D" w:rsidRDefault="00410D07">
            <w:pPr>
              <w:jc w:val="center"/>
              <w:rPr>
                <w:sz w:val="20"/>
                <w:szCs w:val="20"/>
              </w:rPr>
            </w:pPr>
            <w:r>
              <w:rPr>
                <w:rFonts w:ascii="Arial" w:eastAsia="Arial" w:hAnsi="Arial" w:cs="Arial"/>
                <w:w w:val="89"/>
                <w:sz w:val="14"/>
                <w:szCs w:val="14"/>
              </w:rPr>
              <w:t>2,511,635</w:t>
            </w:r>
          </w:p>
        </w:tc>
        <w:tc>
          <w:tcPr>
            <w:tcW w:w="60" w:type="dxa"/>
            <w:shd w:val="clear" w:color="auto" w:fill="CCEEFF"/>
            <w:vAlign w:val="bottom"/>
          </w:tcPr>
          <w:p w14:paraId="4CDFFE9F" w14:textId="77777777" w:rsidR="00D1587D" w:rsidRDefault="00D1587D">
            <w:pPr>
              <w:rPr>
                <w:sz w:val="16"/>
                <w:szCs w:val="16"/>
              </w:rPr>
            </w:pPr>
          </w:p>
        </w:tc>
        <w:tc>
          <w:tcPr>
            <w:tcW w:w="900" w:type="dxa"/>
            <w:shd w:val="clear" w:color="auto" w:fill="CCEEFF"/>
            <w:vAlign w:val="bottom"/>
          </w:tcPr>
          <w:p w14:paraId="4837F912" w14:textId="77777777" w:rsidR="00D1587D" w:rsidRDefault="00410D07">
            <w:pPr>
              <w:ind w:right="148"/>
              <w:jc w:val="right"/>
              <w:rPr>
                <w:sz w:val="20"/>
                <w:szCs w:val="20"/>
              </w:rPr>
            </w:pPr>
            <w:r>
              <w:rPr>
                <w:rFonts w:ascii="Arial" w:eastAsia="Arial" w:hAnsi="Arial" w:cs="Arial"/>
                <w:sz w:val="14"/>
                <w:szCs w:val="14"/>
              </w:rPr>
              <w:t>71,126</w:t>
            </w:r>
          </w:p>
        </w:tc>
        <w:tc>
          <w:tcPr>
            <w:tcW w:w="60" w:type="dxa"/>
            <w:shd w:val="clear" w:color="auto" w:fill="CCEEFF"/>
            <w:vAlign w:val="bottom"/>
          </w:tcPr>
          <w:p w14:paraId="265B032E" w14:textId="77777777" w:rsidR="00D1587D" w:rsidRDefault="00D1587D">
            <w:pPr>
              <w:rPr>
                <w:sz w:val="16"/>
                <w:szCs w:val="16"/>
              </w:rPr>
            </w:pPr>
          </w:p>
        </w:tc>
        <w:tc>
          <w:tcPr>
            <w:tcW w:w="920" w:type="dxa"/>
            <w:shd w:val="clear" w:color="auto" w:fill="CCEEFF"/>
            <w:vAlign w:val="bottom"/>
          </w:tcPr>
          <w:p w14:paraId="0C95B4CF" w14:textId="77777777" w:rsidR="00D1587D" w:rsidRDefault="00410D07">
            <w:pPr>
              <w:jc w:val="center"/>
              <w:rPr>
                <w:sz w:val="20"/>
                <w:szCs w:val="20"/>
              </w:rPr>
            </w:pPr>
            <w:r>
              <w:rPr>
                <w:rFonts w:ascii="Arial" w:eastAsia="Arial" w:hAnsi="Arial" w:cs="Arial"/>
                <w:w w:val="94"/>
                <w:sz w:val="14"/>
                <w:szCs w:val="14"/>
              </w:rPr>
              <w:t>281,200</w:t>
            </w:r>
          </w:p>
        </w:tc>
        <w:tc>
          <w:tcPr>
            <w:tcW w:w="660" w:type="dxa"/>
            <w:gridSpan w:val="2"/>
            <w:shd w:val="clear" w:color="auto" w:fill="CCEEFF"/>
            <w:vAlign w:val="bottom"/>
          </w:tcPr>
          <w:p w14:paraId="66462C68" w14:textId="77777777" w:rsidR="00D1587D" w:rsidRDefault="00410D07">
            <w:pPr>
              <w:ind w:left="40"/>
              <w:rPr>
                <w:sz w:val="20"/>
                <w:szCs w:val="20"/>
              </w:rPr>
            </w:pPr>
            <w:r>
              <w:rPr>
                <w:rFonts w:ascii="Arial" w:eastAsia="Arial" w:hAnsi="Arial" w:cs="Arial"/>
                <w:w w:val="96"/>
                <w:sz w:val="14"/>
                <w:szCs w:val="14"/>
              </w:rPr>
              <w:t>4,787,429</w:t>
            </w:r>
          </w:p>
        </w:tc>
        <w:tc>
          <w:tcPr>
            <w:tcW w:w="0" w:type="dxa"/>
            <w:vAlign w:val="bottom"/>
          </w:tcPr>
          <w:p w14:paraId="2D228F5D" w14:textId="77777777" w:rsidR="00D1587D" w:rsidRDefault="00D1587D">
            <w:pPr>
              <w:rPr>
                <w:sz w:val="1"/>
                <w:szCs w:val="1"/>
              </w:rPr>
            </w:pPr>
          </w:p>
        </w:tc>
      </w:tr>
      <w:tr w:rsidR="00D1587D" w14:paraId="0193ED07" w14:textId="77777777">
        <w:trPr>
          <w:trHeight w:val="148"/>
        </w:trPr>
        <w:tc>
          <w:tcPr>
            <w:tcW w:w="1740" w:type="dxa"/>
            <w:shd w:val="clear" w:color="auto" w:fill="CCEEFF"/>
            <w:vAlign w:val="bottom"/>
          </w:tcPr>
          <w:p w14:paraId="0F23BD90" w14:textId="77777777" w:rsidR="00D1587D" w:rsidRDefault="00410D07">
            <w:pPr>
              <w:spacing w:line="149" w:lineRule="exact"/>
              <w:ind w:left="140"/>
              <w:rPr>
                <w:sz w:val="20"/>
                <w:szCs w:val="20"/>
              </w:rPr>
            </w:pPr>
            <w:r>
              <w:rPr>
                <w:rFonts w:ascii="Arial" w:eastAsia="Arial" w:hAnsi="Arial" w:cs="Arial"/>
                <w:i/>
                <w:iCs/>
                <w:sz w:val="14"/>
                <w:szCs w:val="14"/>
              </w:rPr>
              <w:t>Chief Executive Officer of</w:t>
            </w:r>
          </w:p>
        </w:tc>
        <w:tc>
          <w:tcPr>
            <w:tcW w:w="40" w:type="dxa"/>
            <w:shd w:val="clear" w:color="auto" w:fill="CCEEFF"/>
            <w:vAlign w:val="bottom"/>
          </w:tcPr>
          <w:p w14:paraId="692BFE6C" w14:textId="77777777" w:rsidR="00D1587D" w:rsidRDefault="00D1587D">
            <w:pPr>
              <w:rPr>
                <w:sz w:val="12"/>
                <w:szCs w:val="12"/>
              </w:rPr>
            </w:pPr>
          </w:p>
        </w:tc>
        <w:tc>
          <w:tcPr>
            <w:tcW w:w="300" w:type="dxa"/>
            <w:shd w:val="clear" w:color="auto" w:fill="CCEEFF"/>
            <w:vAlign w:val="bottom"/>
          </w:tcPr>
          <w:p w14:paraId="57CC6F84" w14:textId="77777777" w:rsidR="00D1587D" w:rsidRDefault="00D1587D">
            <w:pPr>
              <w:rPr>
                <w:sz w:val="12"/>
                <w:szCs w:val="12"/>
              </w:rPr>
            </w:pPr>
          </w:p>
        </w:tc>
        <w:tc>
          <w:tcPr>
            <w:tcW w:w="60" w:type="dxa"/>
            <w:shd w:val="clear" w:color="auto" w:fill="CCEEFF"/>
            <w:vAlign w:val="bottom"/>
          </w:tcPr>
          <w:p w14:paraId="58DF0593" w14:textId="77777777" w:rsidR="00D1587D" w:rsidRDefault="00D1587D">
            <w:pPr>
              <w:rPr>
                <w:sz w:val="12"/>
                <w:szCs w:val="12"/>
              </w:rPr>
            </w:pPr>
          </w:p>
        </w:tc>
        <w:tc>
          <w:tcPr>
            <w:tcW w:w="580" w:type="dxa"/>
            <w:shd w:val="clear" w:color="auto" w:fill="CCEEFF"/>
            <w:vAlign w:val="bottom"/>
          </w:tcPr>
          <w:p w14:paraId="7EE5C472" w14:textId="77777777" w:rsidR="00D1587D" w:rsidRDefault="00D1587D">
            <w:pPr>
              <w:rPr>
                <w:sz w:val="12"/>
                <w:szCs w:val="12"/>
              </w:rPr>
            </w:pPr>
          </w:p>
        </w:tc>
        <w:tc>
          <w:tcPr>
            <w:tcW w:w="60" w:type="dxa"/>
            <w:shd w:val="clear" w:color="auto" w:fill="CCEEFF"/>
            <w:vAlign w:val="bottom"/>
          </w:tcPr>
          <w:p w14:paraId="4FAE46C5" w14:textId="77777777" w:rsidR="00D1587D" w:rsidRDefault="00D1587D">
            <w:pPr>
              <w:rPr>
                <w:sz w:val="12"/>
                <w:szCs w:val="12"/>
              </w:rPr>
            </w:pPr>
          </w:p>
        </w:tc>
        <w:tc>
          <w:tcPr>
            <w:tcW w:w="380" w:type="dxa"/>
            <w:shd w:val="clear" w:color="auto" w:fill="CCEEFF"/>
            <w:vAlign w:val="bottom"/>
          </w:tcPr>
          <w:p w14:paraId="6BDDC90F" w14:textId="77777777" w:rsidR="00D1587D" w:rsidRDefault="00D1587D">
            <w:pPr>
              <w:rPr>
                <w:sz w:val="12"/>
                <w:szCs w:val="12"/>
              </w:rPr>
            </w:pPr>
          </w:p>
        </w:tc>
        <w:tc>
          <w:tcPr>
            <w:tcW w:w="60" w:type="dxa"/>
            <w:shd w:val="clear" w:color="auto" w:fill="CCEEFF"/>
            <w:vAlign w:val="bottom"/>
          </w:tcPr>
          <w:p w14:paraId="367727F4" w14:textId="77777777" w:rsidR="00D1587D" w:rsidRDefault="00D1587D">
            <w:pPr>
              <w:rPr>
                <w:sz w:val="12"/>
                <w:szCs w:val="12"/>
              </w:rPr>
            </w:pPr>
          </w:p>
        </w:tc>
        <w:tc>
          <w:tcPr>
            <w:tcW w:w="760" w:type="dxa"/>
            <w:shd w:val="clear" w:color="auto" w:fill="CCEEFF"/>
            <w:vAlign w:val="bottom"/>
          </w:tcPr>
          <w:p w14:paraId="14449DE0" w14:textId="77777777" w:rsidR="00D1587D" w:rsidRDefault="00D1587D">
            <w:pPr>
              <w:rPr>
                <w:sz w:val="12"/>
                <w:szCs w:val="12"/>
              </w:rPr>
            </w:pPr>
          </w:p>
        </w:tc>
        <w:tc>
          <w:tcPr>
            <w:tcW w:w="60" w:type="dxa"/>
            <w:shd w:val="clear" w:color="auto" w:fill="CCEEFF"/>
            <w:vAlign w:val="bottom"/>
          </w:tcPr>
          <w:p w14:paraId="276952DF" w14:textId="77777777" w:rsidR="00D1587D" w:rsidRDefault="00D1587D">
            <w:pPr>
              <w:rPr>
                <w:sz w:val="12"/>
                <w:szCs w:val="12"/>
              </w:rPr>
            </w:pPr>
          </w:p>
        </w:tc>
        <w:tc>
          <w:tcPr>
            <w:tcW w:w="480" w:type="dxa"/>
            <w:shd w:val="clear" w:color="auto" w:fill="CCEEFF"/>
            <w:vAlign w:val="bottom"/>
          </w:tcPr>
          <w:p w14:paraId="0E9D0D35" w14:textId="77777777" w:rsidR="00D1587D" w:rsidRDefault="00D1587D">
            <w:pPr>
              <w:rPr>
                <w:sz w:val="12"/>
                <w:szCs w:val="12"/>
              </w:rPr>
            </w:pPr>
          </w:p>
        </w:tc>
        <w:tc>
          <w:tcPr>
            <w:tcW w:w="40" w:type="dxa"/>
            <w:shd w:val="clear" w:color="auto" w:fill="CCEEFF"/>
            <w:vAlign w:val="bottom"/>
          </w:tcPr>
          <w:p w14:paraId="3A1055B7" w14:textId="77777777" w:rsidR="00D1587D" w:rsidRDefault="00D1587D">
            <w:pPr>
              <w:rPr>
                <w:sz w:val="12"/>
                <w:szCs w:val="12"/>
              </w:rPr>
            </w:pPr>
          </w:p>
        </w:tc>
        <w:tc>
          <w:tcPr>
            <w:tcW w:w="1260" w:type="dxa"/>
            <w:shd w:val="clear" w:color="auto" w:fill="CCEEFF"/>
            <w:vAlign w:val="bottom"/>
          </w:tcPr>
          <w:p w14:paraId="1FB50E72" w14:textId="77777777" w:rsidR="00D1587D" w:rsidRDefault="00D1587D">
            <w:pPr>
              <w:rPr>
                <w:sz w:val="12"/>
                <w:szCs w:val="12"/>
              </w:rPr>
            </w:pPr>
          </w:p>
        </w:tc>
        <w:tc>
          <w:tcPr>
            <w:tcW w:w="60" w:type="dxa"/>
            <w:shd w:val="clear" w:color="auto" w:fill="CCEEFF"/>
            <w:vAlign w:val="bottom"/>
          </w:tcPr>
          <w:p w14:paraId="7FF7F165" w14:textId="77777777" w:rsidR="00D1587D" w:rsidRDefault="00D1587D">
            <w:pPr>
              <w:rPr>
                <w:sz w:val="12"/>
                <w:szCs w:val="12"/>
              </w:rPr>
            </w:pPr>
          </w:p>
        </w:tc>
        <w:tc>
          <w:tcPr>
            <w:tcW w:w="900" w:type="dxa"/>
            <w:shd w:val="clear" w:color="auto" w:fill="CCEEFF"/>
            <w:vAlign w:val="bottom"/>
          </w:tcPr>
          <w:p w14:paraId="65F4A28E" w14:textId="77777777" w:rsidR="00D1587D" w:rsidRDefault="00D1587D">
            <w:pPr>
              <w:rPr>
                <w:sz w:val="12"/>
                <w:szCs w:val="12"/>
              </w:rPr>
            </w:pPr>
          </w:p>
        </w:tc>
        <w:tc>
          <w:tcPr>
            <w:tcW w:w="60" w:type="dxa"/>
            <w:shd w:val="clear" w:color="auto" w:fill="CCEEFF"/>
            <w:vAlign w:val="bottom"/>
          </w:tcPr>
          <w:p w14:paraId="750D0CF5" w14:textId="77777777" w:rsidR="00D1587D" w:rsidRDefault="00D1587D">
            <w:pPr>
              <w:rPr>
                <w:sz w:val="12"/>
                <w:szCs w:val="12"/>
              </w:rPr>
            </w:pPr>
          </w:p>
        </w:tc>
        <w:tc>
          <w:tcPr>
            <w:tcW w:w="920" w:type="dxa"/>
            <w:shd w:val="clear" w:color="auto" w:fill="CCEEFF"/>
            <w:vAlign w:val="bottom"/>
          </w:tcPr>
          <w:p w14:paraId="10B6F803" w14:textId="77777777" w:rsidR="00D1587D" w:rsidRDefault="00D1587D">
            <w:pPr>
              <w:rPr>
                <w:sz w:val="12"/>
                <w:szCs w:val="12"/>
              </w:rPr>
            </w:pPr>
          </w:p>
        </w:tc>
        <w:tc>
          <w:tcPr>
            <w:tcW w:w="40" w:type="dxa"/>
            <w:shd w:val="clear" w:color="auto" w:fill="CCEEFF"/>
            <w:vAlign w:val="bottom"/>
          </w:tcPr>
          <w:p w14:paraId="565538DF" w14:textId="77777777" w:rsidR="00D1587D" w:rsidRDefault="00D1587D">
            <w:pPr>
              <w:rPr>
                <w:sz w:val="12"/>
                <w:szCs w:val="12"/>
              </w:rPr>
            </w:pPr>
          </w:p>
        </w:tc>
        <w:tc>
          <w:tcPr>
            <w:tcW w:w="620" w:type="dxa"/>
            <w:shd w:val="clear" w:color="auto" w:fill="CCEEFF"/>
            <w:vAlign w:val="bottom"/>
          </w:tcPr>
          <w:p w14:paraId="1E739C2E" w14:textId="77777777" w:rsidR="00D1587D" w:rsidRDefault="00D1587D">
            <w:pPr>
              <w:rPr>
                <w:sz w:val="12"/>
                <w:szCs w:val="12"/>
              </w:rPr>
            </w:pPr>
          </w:p>
        </w:tc>
        <w:tc>
          <w:tcPr>
            <w:tcW w:w="0" w:type="dxa"/>
            <w:vAlign w:val="bottom"/>
          </w:tcPr>
          <w:p w14:paraId="543B4A08" w14:textId="77777777" w:rsidR="00D1587D" w:rsidRDefault="00D1587D">
            <w:pPr>
              <w:rPr>
                <w:sz w:val="1"/>
                <w:szCs w:val="1"/>
              </w:rPr>
            </w:pPr>
          </w:p>
        </w:tc>
      </w:tr>
      <w:tr w:rsidR="00D1587D" w14:paraId="5B87241C" w14:textId="77777777">
        <w:trPr>
          <w:trHeight w:val="148"/>
        </w:trPr>
        <w:tc>
          <w:tcPr>
            <w:tcW w:w="1740" w:type="dxa"/>
            <w:shd w:val="clear" w:color="auto" w:fill="CCEEFF"/>
            <w:vAlign w:val="bottom"/>
          </w:tcPr>
          <w:p w14:paraId="22F8CA09" w14:textId="77777777" w:rsidR="00D1587D" w:rsidRDefault="00410D07">
            <w:pPr>
              <w:spacing w:line="149" w:lineRule="exact"/>
              <w:ind w:left="140"/>
              <w:rPr>
                <w:sz w:val="20"/>
                <w:szCs w:val="20"/>
              </w:rPr>
            </w:pPr>
            <w:r>
              <w:rPr>
                <w:rFonts w:ascii="Arial" w:eastAsia="Arial" w:hAnsi="Arial" w:cs="Arial"/>
                <w:i/>
                <w:iCs/>
                <w:sz w:val="14"/>
                <w:szCs w:val="14"/>
              </w:rPr>
              <w:t>VS and Chief Executive</w:t>
            </w:r>
          </w:p>
        </w:tc>
        <w:tc>
          <w:tcPr>
            <w:tcW w:w="40" w:type="dxa"/>
            <w:shd w:val="clear" w:color="auto" w:fill="CCEEFF"/>
            <w:vAlign w:val="bottom"/>
          </w:tcPr>
          <w:p w14:paraId="3D6B805B" w14:textId="77777777" w:rsidR="00D1587D" w:rsidRDefault="00D1587D">
            <w:pPr>
              <w:rPr>
                <w:sz w:val="12"/>
                <w:szCs w:val="12"/>
              </w:rPr>
            </w:pPr>
          </w:p>
        </w:tc>
        <w:tc>
          <w:tcPr>
            <w:tcW w:w="300" w:type="dxa"/>
            <w:shd w:val="clear" w:color="auto" w:fill="CCEEFF"/>
            <w:vAlign w:val="bottom"/>
          </w:tcPr>
          <w:p w14:paraId="6027F42B" w14:textId="77777777" w:rsidR="00D1587D" w:rsidRDefault="00D1587D">
            <w:pPr>
              <w:rPr>
                <w:sz w:val="12"/>
                <w:szCs w:val="12"/>
              </w:rPr>
            </w:pPr>
          </w:p>
        </w:tc>
        <w:tc>
          <w:tcPr>
            <w:tcW w:w="60" w:type="dxa"/>
            <w:shd w:val="clear" w:color="auto" w:fill="CCEEFF"/>
            <w:vAlign w:val="bottom"/>
          </w:tcPr>
          <w:p w14:paraId="77CEF454" w14:textId="77777777" w:rsidR="00D1587D" w:rsidRDefault="00D1587D">
            <w:pPr>
              <w:rPr>
                <w:sz w:val="12"/>
                <w:szCs w:val="12"/>
              </w:rPr>
            </w:pPr>
          </w:p>
        </w:tc>
        <w:tc>
          <w:tcPr>
            <w:tcW w:w="580" w:type="dxa"/>
            <w:shd w:val="clear" w:color="auto" w:fill="CCEEFF"/>
            <w:vAlign w:val="bottom"/>
          </w:tcPr>
          <w:p w14:paraId="59802B22" w14:textId="77777777" w:rsidR="00D1587D" w:rsidRDefault="00D1587D">
            <w:pPr>
              <w:rPr>
                <w:sz w:val="12"/>
                <w:szCs w:val="12"/>
              </w:rPr>
            </w:pPr>
          </w:p>
        </w:tc>
        <w:tc>
          <w:tcPr>
            <w:tcW w:w="60" w:type="dxa"/>
            <w:shd w:val="clear" w:color="auto" w:fill="CCEEFF"/>
            <w:vAlign w:val="bottom"/>
          </w:tcPr>
          <w:p w14:paraId="2503917E" w14:textId="77777777" w:rsidR="00D1587D" w:rsidRDefault="00D1587D">
            <w:pPr>
              <w:rPr>
                <w:sz w:val="12"/>
                <w:szCs w:val="12"/>
              </w:rPr>
            </w:pPr>
          </w:p>
        </w:tc>
        <w:tc>
          <w:tcPr>
            <w:tcW w:w="380" w:type="dxa"/>
            <w:shd w:val="clear" w:color="auto" w:fill="CCEEFF"/>
            <w:vAlign w:val="bottom"/>
          </w:tcPr>
          <w:p w14:paraId="14F155F5" w14:textId="77777777" w:rsidR="00D1587D" w:rsidRDefault="00D1587D">
            <w:pPr>
              <w:rPr>
                <w:sz w:val="12"/>
                <w:szCs w:val="12"/>
              </w:rPr>
            </w:pPr>
          </w:p>
        </w:tc>
        <w:tc>
          <w:tcPr>
            <w:tcW w:w="60" w:type="dxa"/>
            <w:shd w:val="clear" w:color="auto" w:fill="CCEEFF"/>
            <w:vAlign w:val="bottom"/>
          </w:tcPr>
          <w:p w14:paraId="097B60EA" w14:textId="77777777" w:rsidR="00D1587D" w:rsidRDefault="00D1587D">
            <w:pPr>
              <w:rPr>
                <w:sz w:val="12"/>
                <w:szCs w:val="12"/>
              </w:rPr>
            </w:pPr>
          </w:p>
        </w:tc>
        <w:tc>
          <w:tcPr>
            <w:tcW w:w="760" w:type="dxa"/>
            <w:shd w:val="clear" w:color="auto" w:fill="CCEEFF"/>
            <w:vAlign w:val="bottom"/>
          </w:tcPr>
          <w:p w14:paraId="5D419A5E" w14:textId="77777777" w:rsidR="00D1587D" w:rsidRDefault="00D1587D">
            <w:pPr>
              <w:rPr>
                <w:sz w:val="12"/>
                <w:szCs w:val="12"/>
              </w:rPr>
            </w:pPr>
          </w:p>
        </w:tc>
        <w:tc>
          <w:tcPr>
            <w:tcW w:w="60" w:type="dxa"/>
            <w:shd w:val="clear" w:color="auto" w:fill="CCEEFF"/>
            <w:vAlign w:val="bottom"/>
          </w:tcPr>
          <w:p w14:paraId="38CBEC2E" w14:textId="77777777" w:rsidR="00D1587D" w:rsidRDefault="00D1587D">
            <w:pPr>
              <w:rPr>
                <w:sz w:val="12"/>
                <w:szCs w:val="12"/>
              </w:rPr>
            </w:pPr>
          </w:p>
        </w:tc>
        <w:tc>
          <w:tcPr>
            <w:tcW w:w="480" w:type="dxa"/>
            <w:shd w:val="clear" w:color="auto" w:fill="CCEEFF"/>
            <w:vAlign w:val="bottom"/>
          </w:tcPr>
          <w:p w14:paraId="023066FF" w14:textId="77777777" w:rsidR="00D1587D" w:rsidRDefault="00D1587D">
            <w:pPr>
              <w:rPr>
                <w:sz w:val="12"/>
                <w:szCs w:val="12"/>
              </w:rPr>
            </w:pPr>
          </w:p>
        </w:tc>
        <w:tc>
          <w:tcPr>
            <w:tcW w:w="40" w:type="dxa"/>
            <w:shd w:val="clear" w:color="auto" w:fill="CCEEFF"/>
            <w:vAlign w:val="bottom"/>
          </w:tcPr>
          <w:p w14:paraId="15EC06A7" w14:textId="77777777" w:rsidR="00D1587D" w:rsidRDefault="00D1587D">
            <w:pPr>
              <w:rPr>
                <w:sz w:val="12"/>
                <w:szCs w:val="12"/>
              </w:rPr>
            </w:pPr>
          </w:p>
        </w:tc>
        <w:tc>
          <w:tcPr>
            <w:tcW w:w="1260" w:type="dxa"/>
            <w:shd w:val="clear" w:color="auto" w:fill="CCEEFF"/>
            <w:vAlign w:val="bottom"/>
          </w:tcPr>
          <w:p w14:paraId="1AC7E91F" w14:textId="77777777" w:rsidR="00D1587D" w:rsidRDefault="00D1587D">
            <w:pPr>
              <w:rPr>
                <w:sz w:val="12"/>
                <w:szCs w:val="12"/>
              </w:rPr>
            </w:pPr>
          </w:p>
        </w:tc>
        <w:tc>
          <w:tcPr>
            <w:tcW w:w="60" w:type="dxa"/>
            <w:shd w:val="clear" w:color="auto" w:fill="CCEEFF"/>
            <w:vAlign w:val="bottom"/>
          </w:tcPr>
          <w:p w14:paraId="02471A70" w14:textId="77777777" w:rsidR="00D1587D" w:rsidRDefault="00D1587D">
            <w:pPr>
              <w:rPr>
                <w:sz w:val="12"/>
                <w:szCs w:val="12"/>
              </w:rPr>
            </w:pPr>
          </w:p>
        </w:tc>
        <w:tc>
          <w:tcPr>
            <w:tcW w:w="900" w:type="dxa"/>
            <w:shd w:val="clear" w:color="auto" w:fill="CCEEFF"/>
            <w:vAlign w:val="bottom"/>
          </w:tcPr>
          <w:p w14:paraId="7CCDFBCC" w14:textId="77777777" w:rsidR="00D1587D" w:rsidRDefault="00D1587D">
            <w:pPr>
              <w:rPr>
                <w:sz w:val="12"/>
                <w:szCs w:val="12"/>
              </w:rPr>
            </w:pPr>
          </w:p>
        </w:tc>
        <w:tc>
          <w:tcPr>
            <w:tcW w:w="60" w:type="dxa"/>
            <w:shd w:val="clear" w:color="auto" w:fill="CCEEFF"/>
            <w:vAlign w:val="bottom"/>
          </w:tcPr>
          <w:p w14:paraId="0541BB66" w14:textId="77777777" w:rsidR="00D1587D" w:rsidRDefault="00D1587D">
            <w:pPr>
              <w:rPr>
                <w:sz w:val="12"/>
                <w:szCs w:val="12"/>
              </w:rPr>
            </w:pPr>
          </w:p>
        </w:tc>
        <w:tc>
          <w:tcPr>
            <w:tcW w:w="920" w:type="dxa"/>
            <w:shd w:val="clear" w:color="auto" w:fill="CCEEFF"/>
            <w:vAlign w:val="bottom"/>
          </w:tcPr>
          <w:p w14:paraId="45BEED07" w14:textId="77777777" w:rsidR="00D1587D" w:rsidRDefault="00D1587D">
            <w:pPr>
              <w:rPr>
                <w:sz w:val="12"/>
                <w:szCs w:val="12"/>
              </w:rPr>
            </w:pPr>
          </w:p>
        </w:tc>
        <w:tc>
          <w:tcPr>
            <w:tcW w:w="40" w:type="dxa"/>
            <w:shd w:val="clear" w:color="auto" w:fill="CCEEFF"/>
            <w:vAlign w:val="bottom"/>
          </w:tcPr>
          <w:p w14:paraId="48980F7E" w14:textId="77777777" w:rsidR="00D1587D" w:rsidRDefault="00D1587D">
            <w:pPr>
              <w:rPr>
                <w:sz w:val="12"/>
                <w:szCs w:val="12"/>
              </w:rPr>
            </w:pPr>
          </w:p>
        </w:tc>
        <w:tc>
          <w:tcPr>
            <w:tcW w:w="620" w:type="dxa"/>
            <w:shd w:val="clear" w:color="auto" w:fill="CCEEFF"/>
            <w:vAlign w:val="bottom"/>
          </w:tcPr>
          <w:p w14:paraId="0C972879" w14:textId="77777777" w:rsidR="00D1587D" w:rsidRDefault="00D1587D">
            <w:pPr>
              <w:rPr>
                <w:sz w:val="12"/>
                <w:szCs w:val="12"/>
              </w:rPr>
            </w:pPr>
          </w:p>
        </w:tc>
        <w:tc>
          <w:tcPr>
            <w:tcW w:w="0" w:type="dxa"/>
            <w:vAlign w:val="bottom"/>
          </w:tcPr>
          <w:p w14:paraId="1DF85950" w14:textId="77777777" w:rsidR="00D1587D" w:rsidRDefault="00D1587D">
            <w:pPr>
              <w:rPr>
                <w:sz w:val="1"/>
                <w:szCs w:val="1"/>
              </w:rPr>
            </w:pPr>
          </w:p>
        </w:tc>
      </w:tr>
      <w:tr w:rsidR="00D1587D" w14:paraId="1AF4C872" w14:textId="77777777">
        <w:trPr>
          <w:trHeight w:val="148"/>
        </w:trPr>
        <w:tc>
          <w:tcPr>
            <w:tcW w:w="1740" w:type="dxa"/>
            <w:shd w:val="clear" w:color="auto" w:fill="CCEEFF"/>
            <w:vAlign w:val="bottom"/>
          </w:tcPr>
          <w:p w14:paraId="6A811C0A" w14:textId="77777777" w:rsidR="00D1587D" w:rsidRDefault="00410D07">
            <w:pPr>
              <w:spacing w:line="149" w:lineRule="exact"/>
              <w:ind w:left="140"/>
              <w:rPr>
                <w:sz w:val="20"/>
                <w:szCs w:val="20"/>
              </w:rPr>
            </w:pPr>
            <w:r>
              <w:rPr>
                <w:rFonts w:ascii="Arial" w:eastAsia="Arial" w:hAnsi="Arial" w:cs="Arial"/>
                <w:i/>
                <w:iCs/>
                <w:sz w:val="14"/>
                <w:szCs w:val="14"/>
              </w:rPr>
              <w:t>Officer, Victoria’s Secret</w:t>
            </w:r>
          </w:p>
        </w:tc>
        <w:tc>
          <w:tcPr>
            <w:tcW w:w="40" w:type="dxa"/>
            <w:shd w:val="clear" w:color="auto" w:fill="CCEEFF"/>
            <w:vAlign w:val="bottom"/>
          </w:tcPr>
          <w:p w14:paraId="761D8B9D" w14:textId="77777777" w:rsidR="00D1587D" w:rsidRDefault="00D1587D">
            <w:pPr>
              <w:rPr>
                <w:sz w:val="12"/>
                <w:szCs w:val="12"/>
              </w:rPr>
            </w:pPr>
          </w:p>
        </w:tc>
        <w:tc>
          <w:tcPr>
            <w:tcW w:w="300" w:type="dxa"/>
            <w:shd w:val="clear" w:color="auto" w:fill="CCEEFF"/>
            <w:vAlign w:val="bottom"/>
          </w:tcPr>
          <w:p w14:paraId="6681FA06" w14:textId="77777777" w:rsidR="00D1587D" w:rsidRDefault="00D1587D">
            <w:pPr>
              <w:rPr>
                <w:sz w:val="12"/>
                <w:szCs w:val="12"/>
              </w:rPr>
            </w:pPr>
          </w:p>
        </w:tc>
        <w:tc>
          <w:tcPr>
            <w:tcW w:w="60" w:type="dxa"/>
            <w:shd w:val="clear" w:color="auto" w:fill="CCEEFF"/>
            <w:vAlign w:val="bottom"/>
          </w:tcPr>
          <w:p w14:paraId="236198EA" w14:textId="77777777" w:rsidR="00D1587D" w:rsidRDefault="00D1587D">
            <w:pPr>
              <w:rPr>
                <w:sz w:val="12"/>
                <w:szCs w:val="12"/>
              </w:rPr>
            </w:pPr>
          </w:p>
        </w:tc>
        <w:tc>
          <w:tcPr>
            <w:tcW w:w="580" w:type="dxa"/>
            <w:shd w:val="clear" w:color="auto" w:fill="CCEEFF"/>
            <w:vAlign w:val="bottom"/>
          </w:tcPr>
          <w:p w14:paraId="72340F96" w14:textId="77777777" w:rsidR="00D1587D" w:rsidRDefault="00D1587D">
            <w:pPr>
              <w:rPr>
                <w:sz w:val="12"/>
                <w:szCs w:val="12"/>
              </w:rPr>
            </w:pPr>
          </w:p>
        </w:tc>
        <w:tc>
          <w:tcPr>
            <w:tcW w:w="60" w:type="dxa"/>
            <w:shd w:val="clear" w:color="auto" w:fill="CCEEFF"/>
            <w:vAlign w:val="bottom"/>
          </w:tcPr>
          <w:p w14:paraId="5246F1BD" w14:textId="77777777" w:rsidR="00D1587D" w:rsidRDefault="00D1587D">
            <w:pPr>
              <w:rPr>
                <w:sz w:val="12"/>
                <w:szCs w:val="12"/>
              </w:rPr>
            </w:pPr>
          </w:p>
        </w:tc>
        <w:tc>
          <w:tcPr>
            <w:tcW w:w="380" w:type="dxa"/>
            <w:shd w:val="clear" w:color="auto" w:fill="CCEEFF"/>
            <w:vAlign w:val="bottom"/>
          </w:tcPr>
          <w:p w14:paraId="06B4D06E" w14:textId="77777777" w:rsidR="00D1587D" w:rsidRDefault="00D1587D">
            <w:pPr>
              <w:rPr>
                <w:sz w:val="12"/>
                <w:szCs w:val="12"/>
              </w:rPr>
            </w:pPr>
          </w:p>
        </w:tc>
        <w:tc>
          <w:tcPr>
            <w:tcW w:w="60" w:type="dxa"/>
            <w:shd w:val="clear" w:color="auto" w:fill="CCEEFF"/>
            <w:vAlign w:val="bottom"/>
          </w:tcPr>
          <w:p w14:paraId="61ACCD99" w14:textId="77777777" w:rsidR="00D1587D" w:rsidRDefault="00D1587D">
            <w:pPr>
              <w:rPr>
                <w:sz w:val="12"/>
                <w:szCs w:val="12"/>
              </w:rPr>
            </w:pPr>
          </w:p>
        </w:tc>
        <w:tc>
          <w:tcPr>
            <w:tcW w:w="760" w:type="dxa"/>
            <w:shd w:val="clear" w:color="auto" w:fill="CCEEFF"/>
            <w:vAlign w:val="bottom"/>
          </w:tcPr>
          <w:p w14:paraId="3D5844EB" w14:textId="77777777" w:rsidR="00D1587D" w:rsidRDefault="00D1587D">
            <w:pPr>
              <w:rPr>
                <w:sz w:val="12"/>
                <w:szCs w:val="12"/>
              </w:rPr>
            </w:pPr>
          </w:p>
        </w:tc>
        <w:tc>
          <w:tcPr>
            <w:tcW w:w="60" w:type="dxa"/>
            <w:shd w:val="clear" w:color="auto" w:fill="CCEEFF"/>
            <w:vAlign w:val="bottom"/>
          </w:tcPr>
          <w:p w14:paraId="7E58B925" w14:textId="77777777" w:rsidR="00D1587D" w:rsidRDefault="00D1587D">
            <w:pPr>
              <w:rPr>
                <w:sz w:val="12"/>
                <w:szCs w:val="12"/>
              </w:rPr>
            </w:pPr>
          </w:p>
        </w:tc>
        <w:tc>
          <w:tcPr>
            <w:tcW w:w="480" w:type="dxa"/>
            <w:shd w:val="clear" w:color="auto" w:fill="CCEEFF"/>
            <w:vAlign w:val="bottom"/>
          </w:tcPr>
          <w:p w14:paraId="2CC3AF1D" w14:textId="77777777" w:rsidR="00D1587D" w:rsidRDefault="00D1587D">
            <w:pPr>
              <w:rPr>
                <w:sz w:val="12"/>
                <w:szCs w:val="12"/>
              </w:rPr>
            </w:pPr>
          </w:p>
        </w:tc>
        <w:tc>
          <w:tcPr>
            <w:tcW w:w="40" w:type="dxa"/>
            <w:shd w:val="clear" w:color="auto" w:fill="CCEEFF"/>
            <w:vAlign w:val="bottom"/>
          </w:tcPr>
          <w:p w14:paraId="6A21A9F3" w14:textId="77777777" w:rsidR="00D1587D" w:rsidRDefault="00D1587D">
            <w:pPr>
              <w:rPr>
                <w:sz w:val="12"/>
                <w:szCs w:val="12"/>
              </w:rPr>
            </w:pPr>
          </w:p>
        </w:tc>
        <w:tc>
          <w:tcPr>
            <w:tcW w:w="1260" w:type="dxa"/>
            <w:shd w:val="clear" w:color="auto" w:fill="CCEEFF"/>
            <w:vAlign w:val="bottom"/>
          </w:tcPr>
          <w:p w14:paraId="2881B4E2" w14:textId="77777777" w:rsidR="00D1587D" w:rsidRDefault="00D1587D">
            <w:pPr>
              <w:rPr>
                <w:sz w:val="12"/>
                <w:szCs w:val="12"/>
              </w:rPr>
            </w:pPr>
          </w:p>
        </w:tc>
        <w:tc>
          <w:tcPr>
            <w:tcW w:w="60" w:type="dxa"/>
            <w:shd w:val="clear" w:color="auto" w:fill="CCEEFF"/>
            <w:vAlign w:val="bottom"/>
          </w:tcPr>
          <w:p w14:paraId="13050145" w14:textId="77777777" w:rsidR="00D1587D" w:rsidRDefault="00D1587D">
            <w:pPr>
              <w:rPr>
                <w:sz w:val="12"/>
                <w:szCs w:val="12"/>
              </w:rPr>
            </w:pPr>
          </w:p>
        </w:tc>
        <w:tc>
          <w:tcPr>
            <w:tcW w:w="900" w:type="dxa"/>
            <w:shd w:val="clear" w:color="auto" w:fill="CCEEFF"/>
            <w:vAlign w:val="bottom"/>
          </w:tcPr>
          <w:p w14:paraId="420E6C43" w14:textId="77777777" w:rsidR="00D1587D" w:rsidRDefault="00D1587D">
            <w:pPr>
              <w:rPr>
                <w:sz w:val="12"/>
                <w:szCs w:val="12"/>
              </w:rPr>
            </w:pPr>
          </w:p>
        </w:tc>
        <w:tc>
          <w:tcPr>
            <w:tcW w:w="60" w:type="dxa"/>
            <w:shd w:val="clear" w:color="auto" w:fill="CCEEFF"/>
            <w:vAlign w:val="bottom"/>
          </w:tcPr>
          <w:p w14:paraId="3E5C2905" w14:textId="77777777" w:rsidR="00D1587D" w:rsidRDefault="00D1587D">
            <w:pPr>
              <w:rPr>
                <w:sz w:val="12"/>
                <w:szCs w:val="12"/>
              </w:rPr>
            </w:pPr>
          </w:p>
        </w:tc>
        <w:tc>
          <w:tcPr>
            <w:tcW w:w="920" w:type="dxa"/>
            <w:shd w:val="clear" w:color="auto" w:fill="CCEEFF"/>
            <w:vAlign w:val="bottom"/>
          </w:tcPr>
          <w:p w14:paraId="709E871F" w14:textId="77777777" w:rsidR="00D1587D" w:rsidRDefault="00D1587D">
            <w:pPr>
              <w:rPr>
                <w:sz w:val="12"/>
                <w:szCs w:val="12"/>
              </w:rPr>
            </w:pPr>
          </w:p>
        </w:tc>
        <w:tc>
          <w:tcPr>
            <w:tcW w:w="40" w:type="dxa"/>
            <w:shd w:val="clear" w:color="auto" w:fill="CCEEFF"/>
            <w:vAlign w:val="bottom"/>
          </w:tcPr>
          <w:p w14:paraId="0CB29618" w14:textId="77777777" w:rsidR="00D1587D" w:rsidRDefault="00D1587D">
            <w:pPr>
              <w:rPr>
                <w:sz w:val="12"/>
                <w:szCs w:val="12"/>
              </w:rPr>
            </w:pPr>
          </w:p>
        </w:tc>
        <w:tc>
          <w:tcPr>
            <w:tcW w:w="620" w:type="dxa"/>
            <w:shd w:val="clear" w:color="auto" w:fill="CCEEFF"/>
            <w:vAlign w:val="bottom"/>
          </w:tcPr>
          <w:p w14:paraId="3A34C480" w14:textId="77777777" w:rsidR="00D1587D" w:rsidRDefault="00D1587D">
            <w:pPr>
              <w:rPr>
                <w:sz w:val="12"/>
                <w:szCs w:val="12"/>
              </w:rPr>
            </w:pPr>
          </w:p>
        </w:tc>
        <w:tc>
          <w:tcPr>
            <w:tcW w:w="0" w:type="dxa"/>
            <w:vAlign w:val="bottom"/>
          </w:tcPr>
          <w:p w14:paraId="15633BAB" w14:textId="77777777" w:rsidR="00D1587D" w:rsidRDefault="00D1587D">
            <w:pPr>
              <w:rPr>
                <w:sz w:val="1"/>
                <w:szCs w:val="1"/>
              </w:rPr>
            </w:pPr>
          </w:p>
        </w:tc>
      </w:tr>
      <w:tr w:rsidR="00D1587D" w14:paraId="280CA6CD" w14:textId="77777777">
        <w:trPr>
          <w:trHeight w:val="201"/>
        </w:trPr>
        <w:tc>
          <w:tcPr>
            <w:tcW w:w="1740" w:type="dxa"/>
            <w:tcBorders>
              <w:bottom w:val="single" w:sz="8" w:space="0" w:color="CCEEFF"/>
            </w:tcBorders>
            <w:shd w:val="clear" w:color="auto" w:fill="CCEEFF"/>
            <w:vAlign w:val="bottom"/>
          </w:tcPr>
          <w:p w14:paraId="3BBA6F2B" w14:textId="77777777" w:rsidR="00D1587D" w:rsidRDefault="00410D07">
            <w:pPr>
              <w:ind w:left="140"/>
              <w:rPr>
                <w:sz w:val="20"/>
                <w:szCs w:val="20"/>
              </w:rPr>
            </w:pPr>
            <w:r>
              <w:rPr>
                <w:rFonts w:ascii="Arial" w:eastAsia="Arial" w:hAnsi="Arial" w:cs="Arial"/>
                <w:i/>
                <w:iCs/>
                <w:sz w:val="14"/>
                <w:szCs w:val="14"/>
              </w:rPr>
              <w:t>Lingerie</w:t>
            </w:r>
          </w:p>
        </w:tc>
        <w:tc>
          <w:tcPr>
            <w:tcW w:w="40" w:type="dxa"/>
            <w:tcBorders>
              <w:bottom w:val="single" w:sz="8" w:space="0" w:color="CCEEFF"/>
            </w:tcBorders>
            <w:shd w:val="clear" w:color="auto" w:fill="CCEEFF"/>
            <w:vAlign w:val="bottom"/>
          </w:tcPr>
          <w:p w14:paraId="7A478F79" w14:textId="77777777" w:rsidR="00D1587D" w:rsidRDefault="00D1587D">
            <w:pPr>
              <w:rPr>
                <w:sz w:val="17"/>
                <w:szCs w:val="17"/>
              </w:rPr>
            </w:pPr>
          </w:p>
        </w:tc>
        <w:tc>
          <w:tcPr>
            <w:tcW w:w="300" w:type="dxa"/>
            <w:tcBorders>
              <w:bottom w:val="single" w:sz="8" w:space="0" w:color="CCEEFF"/>
            </w:tcBorders>
            <w:shd w:val="clear" w:color="auto" w:fill="CCEEFF"/>
            <w:vAlign w:val="bottom"/>
          </w:tcPr>
          <w:p w14:paraId="26580068" w14:textId="77777777" w:rsidR="00D1587D" w:rsidRDefault="00D1587D">
            <w:pPr>
              <w:rPr>
                <w:sz w:val="17"/>
                <w:szCs w:val="17"/>
              </w:rPr>
            </w:pPr>
          </w:p>
        </w:tc>
        <w:tc>
          <w:tcPr>
            <w:tcW w:w="60" w:type="dxa"/>
            <w:tcBorders>
              <w:bottom w:val="single" w:sz="8" w:space="0" w:color="CCEEFF"/>
            </w:tcBorders>
            <w:shd w:val="clear" w:color="auto" w:fill="CCEEFF"/>
            <w:vAlign w:val="bottom"/>
          </w:tcPr>
          <w:p w14:paraId="19145B8B" w14:textId="77777777" w:rsidR="00D1587D" w:rsidRDefault="00D1587D">
            <w:pPr>
              <w:rPr>
                <w:sz w:val="17"/>
                <w:szCs w:val="17"/>
              </w:rPr>
            </w:pPr>
          </w:p>
        </w:tc>
        <w:tc>
          <w:tcPr>
            <w:tcW w:w="580" w:type="dxa"/>
            <w:tcBorders>
              <w:bottom w:val="single" w:sz="8" w:space="0" w:color="CCEEFF"/>
            </w:tcBorders>
            <w:shd w:val="clear" w:color="auto" w:fill="CCEEFF"/>
            <w:vAlign w:val="bottom"/>
          </w:tcPr>
          <w:p w14:paraId="3D089B18" w14:textId="77777777" w:rsidR="00D1587D" w:rsidRDefault="00D1587D">
            <w:pPr>
              <w:rPr>
                <w:sz w:val="17"/>
                <w:szCs w:val="17"/>
              </w:rPr>
            </w:pPr>
          </w:p>
        </w:tc>
        <w:tc>
          <w:tcPr>
            <w:tcW w:w="60" w:type="dxa"/>
            <w:tcBorders>
              <w:bottom w:val="single" w:sz="8" w:space="0" w:color="CCEEFF"/>
            </w:tcBorders>
            <w:shd w:val="clear" w:color="auto" w:fill="CCEEFF"/>
            <w:vAlign w:val="bottom"/>
          </w:tcPr>
          <w:p w14:paraId="0E32B905" w14:textId="77777777" w:rsidR="00D1587D" w:rsidRDefault="00D1587D">
            <w:pPr>
              <w:rPr>
                <w:sz w:val="17"/>
                <w:szCs w:val="17"/>
              </w:rPr>
            </w:pPr>
          </w:p>
        </w:tc>
        <w:tc>
          <w:tcPr>
            <w:tcW w:w="380" w:type="dxa"/>
            <w:tcBorders>
              <w:bottom w:val="single" w:sz="8" w:space="0" w:color="CCEEFF"/>
            </w:tcBorders>
            <w:shd w:val="clear" w:color="auto" w:fill="CCEEFF"/>
            <w:vAlign w:val="bottom"/>
          </w:tcPr>
          <w:p w14:paraId="4AF0AB5D" w14:textId="77777777" w:rsidR="00D1587D" w:rsidRDefault="00D1587D">
            <w:pPr>
              <w:rPr>
                <w:sz w:val="17"/>
                <w:szCs w:val="17"/>
              </w:rPr>
            </w:pPr>
          </w:p>
        </w:tc>
        <w:tc>
          <w:tcPr>
            <w:tcW w:w="60" w:type="dxa"/>
            <w:tcBorders>
              <w:bottom w:val="single" w:sz="8" w:space="0" w:color="CCEEFF"/>
            </w:tcBorders>
            <w:shd w:val="clear" w:color="auto" w:fill="CCEEFF"/>
            <w:vAlign w:val="bottom"/>
          </w:tcPr>
          <w:p w14:paraId="0DEAF19E" w14:textId="77777777" w:rsidR="00D1587D" w:rsidRDefault="00D1587D">
            <w:pPr>
              <w:rPr>
                <w:sz w:val="17"/>
                <w:szCs w:val="17"/>
              </w:rPr>
            </w:pPr>
          </w:p>
        </w:tc>
        <w:tc>
          <w:tcPr>
            <w:tcW w:w="760" w:type="dxa"/>
            <w:tcBorders>
              <w:bottom w:val="single" w:sz="8" w:space="0" w:color="CCEEFF"/>
            </w:tcBorders>
            <w:shd w:val="clear" w:color="auto" w:fill="CCEEFF"/>
            <w:vAlign w:val="bottom"/>
          </w:tcPr>
          <w:p w14:paraId="09440448" w14:textId="77777777" w:rsidR="00D1587D" w:rsidRDefault="00D1587D">
            <w:pPr>
              <w:rPr>
                <w:sz w:val="17"/>
                <w:szCs w:val="17"/>
              </w:rPr>
            </w:pPr>
          </w:p>
        </w:tc>
        <w:tc>
          <w:tcPr>
            <w:tcW w:w="60" w:type="dxa"/>
            <w:tcBorders>
              <w:bottom w:val="single" w:sz="8" w:space="0" w:color="CCEEFF"/>
            </w:tcBorders>
            <w:shd w:val="clear" w:color="auto" w:fill="CCEEFF"/>
            <w:vAlign w:val="bottom"/>
          </w:tcPr>
          <w:p w14:paraId="1164F562" w14:textId="77777777" w:rsidR="00D1587D" w:rsidRDefault="00D1587D">
            <w:pPr>
              <w:rPr>
                <w:sz w:val="17"/>
                <w:szCs w:val="17"/>
              </w:rPr>
            </w:pPr>
          </w:p>
        </w:tc>
        <w:tc>
          <w:tcPr>
            <w:tcW w:w="480" w:type="dxa"/>
            <w:tcBorders>
              <w:bottom w:val="single" w:sz="8" w:space="0" w:color="CCEEFF"/>
            </w:tcBorders>
            <w:shd w:val="clear" w:color="auto" w:fill="CCEEFF"/>
            <w:vAlign w:val="bottom"/>
          </w:tcPr>
          <w:p w14:paraId="69265F0E" w14:textId="77777777" w:rsidR="00D1587D" w:rsidRDefault="00D1587D">
            <w:pPr>
              <w:rPr>
                <w:sz w:val="17"/>
                <w:szCs w:val="17"/>
              </w:rPr>
            </w:pPr>
          </w:p>
        </w:tc>
        <w:tc>
          <w:tcPr>
            <w:tcW w:w="40" w:type="dxa"/>
            <w:tcBorders>
              <w:bottom w:val="single" w:sz="8" w:space="0" w:color="CCEEFF"/>
            </w:tcBorders>
            <w:shd w:val="clear" w:color="auto" w:fill="CCEEFF"/>
            <w:vAlign w:val="bottom"/>
          </w:tcPr>
          <w:p w14:paraId="00198D9B" w14:textId="77777777" w:rsidR="00D1587D" w:rsidRDefault="00D1587D">
            <w:pPr>
              <w:rPr>
                <w:sz w:val="17"/>
                <w:szCs w:val="17"/>
              </w:rPr>
            </w:pPr>
          </w:p>
        </w:tc>
        <w:tc>
          <w:tcPr>
            <w:tcW w:w="1260" w:type="dxa"/>
            <w:tcBorders>
              <w:bottom w:val="single" w:sz="8" w:space="0" w:color="CCEEFF"/>
            </w:tcBorders>
            <w:shd w:val="clear" w:color="auto" w:fill="CCEEFF"/>
            <w:vAlign w:val="bottom"/>
          </w:tcPr>
          <w:p w14:paraId="6F5A2DE6" w14:textId="77777777" w:rsidR="00D1587D" w:rsidRDefault="00D1587D">
            <w:pPr>
              <w:rPr>
                <w:sz w:val="17"/>
                <w:szCs w:val="17"/>
              </w:rPr>
            </w:pPr>
          </w:p>
        </w:tc>
        <w:tc>
          <w:tcPr>
            <w:tcW w:w="60" w:type="dxa"/>
            <w:tcBorders>
              <w:bottom w:val="single" w:sz="8" w:space="0" w:color="CCEEFF"/>
            </w:tcBorders>
            <w:shd w:val="clear" w:color="auto" w:fill="CCEEFF"/>
            <w:vAlign w:val="bottom"/>
          </w:tcPr>
          <w:p w14:paraId="719FD267" w14:textId="77777777" w:rsidR="00D1587D" w:rsidRDefault="00D1587D">
            <w:pPr>
              <w:rPr>
                <w:sz w:val="17"/>
                <w:szCs w:val="17"/>
              </w:rPr>
            </w:pPr>
          </w:p>
        </w:tc>
        <w:tc>
          <w:tcPr>
            <w:tcW w:w="900" w:type="dxa"/>
            <w:tcBorders>
              <w:bottom w:val="single" w:sz="8" w:space="0" w:color="CCEEFF"/>
            </w:tcBorders>
            <w:shd w:val="clear" w:color="auto" w:fill="CCEEFF"/>
            <w:vAlign w:val="bottom"/>
          </w:tcPr>
          <w:p w14:paraId="1B57BF05" w14:textId="77777777" w:rsidR="00D1587D" w:rsidRDefault="00D1587D">
            <w:pPr>
              <w:rPr>
                <w:sz w:val="17"/>
                <w:szCs w:val="17"/>
              </w:rPr>
            </w:pPr>
          </w:p>
        </w:tc>
        <w:tc>
          <w:tcPr>
            <w:tcW w:w="60" w:type="dxa"/>
            <w:tcBorders>
              <w:bottom w:val="single" w:sz="8" w:space="0" w:color="CCEEFF"/>
            </w:tcBorders>
            <w:shd w:val="clear" w:color="auto" w:fill="CCEEFF"/>
            <w:vAlign w:val="bottom"/>
          </w:tcPr>
          <w:p w14:paraId="1047D133" w14:textId="77777777" w:rsidR="00D1587D" w:rsidRDefault="00D1587D">
            <w:pPr>
              <w:rPr>
                <w:sz w:val="17"/>
                <w:szCs w:val="17"/>
              </w:rPr>
            </w:pPr>
          </w:p>
        </w:tc>
        <w:tc>
          <w:tcPr>
            <w:tcW w:w="920" w:type="dxa"/>
            <w:tcBorders>
              <w:bottom w:val="single" w:sz="8" w:space="0" w:color="CCEEFF"/>
            </w:tcBorders>
            <w:shd w:val="clear" w:color="auto" w:fill="CCEEFF"/>
            <w:vAlign w:val="bottom"/>
          </w:tcPr>
          <w:p w14:paraId="2E3155B7" w14:textId="77777777" w:rsidR="00D1587D" w:rsidRDefault="00D1587D">
            <w:pPr>
              <w:rPr>
                <w:sz w:val="17"/>
                <w:szCs w:val="17"/>
              </w:rPr>
            </w:pPr>
          </w:p>
        </w:tc>
        <w:tc>
          <w:tcPr>
            <w:tcW w:w="40" w:type="dxa"/>
            <w:tcBorders>
              <w:bottom w:val="single" w:sz="8" w:space="0" w:color="CCEEFF"/>
            </w:tcBorders>
            <w:shd w:val="clear" w:color="auto" w:fill="CCEEFF"/>
            <w:vAlign w:val="bottom"/>
          </w:tcPr>
          <w:p w14:paraId="35B20C32" w14:textId="77777777" w:rsidR="00D1587D" w:rsidRDefault="00D1587D">
            <w:pPr>
              <w:rPr>
                <w:sz w:val="17"/>
                <w:szCs w:val="17"/>
              </w:rPr>
            </w:pPr>
          </w:p>
        </w:tc>
        <w:tc>
          <w:tcPr>
            <w:tcW w:w="620" w:type="dxa"/>
            <w:tcBorders>
              <w:bottom w:val="single" w:sz="8" w:space="0" w:color="CCEEFF"/>
            </w:tcBorders>
            <w:shd w:val="clear" w:color="auto" w:fill="CCEEFF"/>
            <w:vAlign w:val="bottom"/>
          </w:tcPr>
          <w:p w14:paraId="0A8AB548" w14:textId="77777777" w:rsidR="00D1587D" w:rsidRDefault="00D1587D">
            <w:pPr>
              <w:rPr>
                <w:sz w:val="17"/>
                <w:szCs w:val="17"/>
              </w:rPr>
            </w:pPr>
          </w:p>
        </w:tc>
        <w:tc>
          <w:tcPr>
            <w:tcW w:w="0" w:type="dxa"/>
            <w:vAlign w:val="bottom"/>
          </w:tcPr>
          <w:p w14:paraId="065939D7" w14:textId="77777777" w:rsidR="00D1587D" w:rsidRDefault="00D1587D">
            <w:pPr>
              <w:rPr>
                <w:sz w:val="1"/>
                <w:szCs w:val="1"/>
              </w:rPr>
            </w:pPr>
          </w:p>
        </w:tc>
      </w:tr>
      <w:tr w:rsidR="00D1587D" w14:paraId="0A16B01F" w14:textId="77777777">
        <w:trPr>
          <w:trHeight w:val="184"/>
        </w:trPr>
        <w:tc>
          <w:tcPr>
            <w:tcW w:w="1740" w:type="dxa"/>
            <w:vAlign w:val="bottom"/>
          </w:tcPr>
          <w:p w14:paraId="0867DB12" w14:textId="77777777" w:rsidR="00D1587D" w:rsidRDefault="00410D07">
            <w:pPr>
              <w:rPr>
                <w:sz w:val="20"/>
                <w:szCs w:val="20"/>
              </w:rPr>
            </w:pPr>
            <w:r>
              <w:rPr>
                <w:rFonts w:ascii="Arial" w:eastAsia="Arial" w:hAnsi="Arial" w:cs="Arial"/>
                <w:b/>
                <w:bCs/>
                <w:sz w:val="14"/>
                <w:szCs w:val="14"/>
              </w:rPr>
              <w:t>Amy Hauk</w:t>
            </w:r>
          </w:p>
        </w:tc>
        <w:tc>
          <w:tcPr>
            <w:tcW w:w="340" w:type="dxa"/>
            <w:gridSpan w:val="2"/>
            <w:vAlign w:val="bottom"/>
          </w:tcPr>
          <w:p w14:paraId="134BF7CA" w14:textId="77777777" w:rsidR="00D1587D" w:rsidRDefault="00410D07">
            <w:pPr>
              <w:ind w:left="40"/>
              <w:rPr>
                <w:sz w:val="20"/>
                <w:szCs w:val="20"/>
              </w:rPr>
            </w:pPr>
            <w:r>
              <w:rPr>
                <w:rFonts w:ascii="Arial" w:eastAsia="Arial" w:hAnsi="Arial" w:cs="Arial"/>
                <w:w w:val="89"/>
                <w:sz w:val="14"/>
                <w:szCs w:val="14"/>
              </w:rPr>
              <w:t>2020</w:t>
            </w:r>
          </w:p>
        </w:tc>
        <w:tc>
          <w:tcPr>
            <w:tcW w:w="60" w:type="dxa"/>
            <w:vAlign w:val="bottom"/>
          </w:tcPr>
          <w:p w14:paraId="646DC757" w14:textId="77777777" w:rsidR="00D1587D" w:rsidRDefault="00D1587D">
            <w:pPr>
              <w:rPr>
                <w:sz w:val="15"/>
                <w:szCs w:val="15"/>
              </w:rPr>
            </w:pPr>
          </w:p>
        </w:tc>
        <w:tc>
          <w:tcPr>
            <w:tcW w:w="580" w:type="dxa"/>
            <w:vAlign w:val="bottom"/>
          </w:tcPr>
          <w:p w14:paraId="62852EF8" w14:textId="77777777" w:rsidR="00D1587D" w:rsidRDefault="00410D07">
            <w:pPr>
              <w:jc w:val="right"/>
              <w:rPr>
                <w:sz w:val="20"/>
                <w:szCs w:val="20"/>
              </w:rPr>
            </w:pPr>
            <w:r>
              <w:rPr>
                <w:rFonts w:ascii="Arial" w:eastAsia="Arial" w:hAnsi="Arial" w:cs="Arial"/>
                <w:sz w:val="14"/>
                <w:szCs w:val="14"/>
              </w:rPr>
              <w:t>882,308</w:t>
            </w:r>
          </w:p>
        </w:tc>
        <w:tc>
          <w:tcPr>
            <w:tcW w:w="60" w:type="dxa"/>
            <w:vAlign w:val="bottom"/>
          </w:tcPr>
          <w:p w14:paraId="2A67BC2F" w14:textId="77777777" w:rsidR="00D1587D" w:rsidRDefault="00D1587D">
            <w:pPr>
              <w:rPr>
                <w:sz w:val="15"/>
                <w:szCs w:val="15"/>
              </w:rPr>
            </w:pPr>
          </w:p>
        </w:tc>
        <w:tc>
          <w:tcPr>
            <w:tcW w:w="380" w:type="dxa"/>
            <w:vAlign w:val="bottom"/>
          </w:tcPr>
          <w:p w14:paraId="68AB139D" w14:textId="77777777" w:rsidR="00D1587D" w:rsidRDefault="00410D07">
            <w:pPr>
              <w:jc w:val="center"/>
              <w:rPr>
                <w:sz w:val="20"/>
                <w:szCs w:val="20"/>
              </w:rPr>
            </w:pPr>
            <w:r>
              <w:rPr>
                <w:rFonts w:ascii="Arial" w:eastAsia="Arial" w:hAnsi="Arial" w:cs="Arial"/>
                <w:w w:val="99"/>
                <w:sz w:val="14"/>
                <w:szCs w:val="14"/>
              </w:rPr>
              <w:t>—</w:t>
            </w:r>
          </w:p>
        </w:tc>
        <w:tc>
          <w:tcPr>
            <w:tcW w:w="60" w:type="dxa"/>
            <w:vAlign w:val="bottom"/>
          </w:tcPr>
          <w:p w14:paraId="061C6540" w14:textId="77777777" w:rsidR="00D1587D" w:rsidRDefault="00D1587D">
            <w:pPr>
              <w:rPr>
                <w:sz w:val="15"/>
                <w:szCs w:val="15"/>
              </w:rPr>
            </w:pPr>
          </w:p>
        </w:tc>
        <w:tc>
          <w:tcPr>
            <w:tcW w:w="820" w:type="dxa"/>
            <w:gridSpan w:val="2"/>
            <w:vAlign w:val="bottom"/>
          </w:tcPr>
          <w:p w14:paraId="0A64FB5B" w14:textId="77777777" w:rsidR="00D1587D" w:rsidRDefault="00410D07">
            <w:pPr>
              <w:ind w:left="540"/>
              <w:rPr>
                <w:sz w:val="20"/>
                <w:szCs w:val="20"/>
              </w:rPr>
            </w:pPr>
            <w:r>
              <w:rPr>
                <w:rFonts w:ascii="Arial" w:eastAsia="Arial" w:hAnsi="Arial" w:cs="Arial"/>
                <w:sz w:val="14"/>
                <w:szCs w:val="14"/>
              </w:rPr>
              <w:t>—</w:t>
            </w:r>
          </w:p>
        </w:tc>
        <w:tc>
          <w:tcPr>
            <w:tcW w:w="520" w:type="dxa"/>
            <w:gridSpan w:val="2"/>
            <w:vAlign w:val="bottom"/>
          </w:tcPr>
          <w:p w14:paraId="5F0B80E3" w14:textId="77777777" w:rsidR="00D1587D" w:rsidRDefault="00410D07">
            <w:pPr>
              <w:ind w:right="60"/>
              <w:jc w:val="center"/>
              <w:rPr>
                <w:sz w:val="20"/>
                <w:szCs w:val="20"/>
              </w:rPr>
            </w:pPr>
            <w:r>
              <w:rPr>
                <w:rFonts w:ascii="Arial" w:eastAsia="Arial" w:hAnsi="Arial" w:cs="Arial"/>
                <w:w w:val="99"/>
                <w:sz w:val="14"/>
                <w:szCs w:val="14"/>
              </w:rPr>
              <w:t>—</w:t>
            </w:r>
          </w:p>
        </w:tc>
        <w:tc>
          <w:tcPr>
            <w:tcW w:w="1260" w:type="dxa"/>
            <w:vAlign w:val="bottom"/>
          </w:tcPr>
          <w:p w14:paraId="575C7275" w14:textId="77777777" w:rsidR="00D1587D" w:rsidRDefault="00410D07">
            <w:pPr>
              <w:jc w:val="center"/>
              <w:rPr>
                <w:sz w:val="20"/>
                <w:szCs w:val="20"/>
              </w:rPr>
            </w:pPr>
            <w:r>
              <w:rPr>
                <w:rFonts w:ascii="Arial" w:eastAsia="Arial" w:hAnsi="Arial" w:cs="Arial"/>
                <w:w w:val="93"/>
                <w:sz w:val="14"/>
                <w:szCs w:val="14"/>
              </w:rPr>
              <w:t>1,776,000</w:t>
            </w:r>
          </w:p>
        </w:tc>
        <w:tc>
          <w:tcPr>
            <w:tcW w:w="60" w:type="dxa"/>
            <w:vAlign w:val="bottom"/>
          </w:tcPr>
          <w:p w14:paraId="109FE539" w14:textId="77777777" w:rsidR="00D1587D" w:rsidRDefault="00D1587D">
            <w:pPr>
              <w:rPr>
                <w:sz w:val="15"/>
                <w:szCs w:val="15"/>
              </w:rPr>
            </w:pPr>
          </w:p>
        </w:tc>
        <w:tc>
          <w:tcPr>
            <w:tcW w:w="900" w:type="dxa"/>
            <w:vAlign w:val="bottom"/>
          </w:tcPr>
          <w:p w14:paraId="612972B4" w14:textId="77777777" w:rsidR="00D1587D" w:rsidRDefault="00410D07">
            <w:pPr>
              <w:ind w:right="148"/>
              <w:jc w:val="right"/>
              <w:rPr>
                <w:sz w:val="20"/>
                <w:szCs w:val="20"/>
              </w:rPr>
            </w:pPr>
            <w:r>
              <w:rPr>
                <w:rFonts w:ascii="Arial" w:eastAsia="Arial" w:hAnsi="Arial" w:cs="Arial"/>
                <w:sz w:val="14"/>
                <w:szCs w:val="14"/>
              </w:rPr>
              <w:t>51,754</w:t>
            </w:r>
          </w:p>
        </w:tc>
        <w:tc>
          <w:tcPr>
            <w:tcW w:w="60" w:type="dxa"/>
            <w:vAlign w:val="bottom"/>
          </w:tcPr>
          <w:p w14:paraId="0E2249AC" w14:textId="77777777" w:rsidR="00D1587D" w:rsidRDefault="00D1587D">
            <w:pPr>
              <w:rPr>
                <w:sz w:val="15"/>
                <w:szCs w:val="15"/>
              </w:rPr>
            </w:pPr>
          </w:p>
        </w:tc>
        <w:tc>
          <w:tcPr>
            <w:tcW w:w="920" w:type="dxa"/>
            <w:vAlign w:val="bottom"/>
          </w:tcPr>
          <w:p w14:paraId="5470FCA3" w14:textId="77777777" w:rsidR="00D1587D" w:rsidRDefault="00410D07">
            <w:pPr>
              <w:jc w:val="center"/>
              <w:rPr>
                <w:sz w:val="20"/>
                <w:szCs w:val="20"/>
              </w:rPr>
            </w:pPr>
            <w:r>
              <w:rPr>
                <w:rFonts w:ascii="Arial" w:eastAsia="Arial" w:hAnsi="Arial" w:cs="Arial"/>
                <w:w w:val="94"/>
                <w:sz w:val="14"/>
                <w:szCs w:val="14"/>
              </w:rPr>
              <w:t>234,597</w:t>
            </w:r>
          </w:p>
        </w:tc>
        <w:tc>
          <w:tcPr>
            <w:tcW w:w="660" w:type="dxa"/>
            <w:gridSpan w:val="2"/>
            <w:vAlign w:val="bottom"/>
          </w:tcPr>
          <w:p w14:paraId="0D98D90D" w14:textId="77777777" w:rsidR="00D1587D" w:rsidRDefault="00410D07">
            <w:pPr>
              <w:ind w:left="40"/>
              <w:rPr>
                <w:sz w:val="20"/>
                <w:szCs w:val="20"/>
              </w:rPr>
            </w:pPr>
            <w:r>
              <w:rPr>
                <w:rFonts w:ascii="Arial" w:eastAsia="Arial" w:hAnsi="Arial" w:cs="Arial"/>
                <w:w w:val="96"/>
                <w:sz w:val="14"/>
                <w:szCs w:val="14"/>
              </w:rPr>
              <w:t>2,944,659</w:t>
            </w:r>
          </w:p>
        </w:tc>
        <w:tc>
          <w:tcPr>
            <w:tcW w:w="0" w:type="dxa"/>
            <w:vAlign w:val="bottom"/>
          </w:tcPr>
          <w:p w14:paraId="3BCB876A" w14:textId="77777777" w:rsidR="00D1587D" w:rsidRDefault="00D1587D">
            <w:pPr>
              <w:rPr>
                <w:sz w:val="1"/>
                <w:szCs w:val="1"/>
              </w:rPr>
            </w:pPr>
          </w:p>
        </w:tc>
      </w:tr>
      <w:tr w:rsidR="00D1587D" w14:paraId="56839E61" w14:textId="77777777">
        <w:trPr>
          <w:trHeight w:val="148"/>
        </w:trPr>
        <w:tc>
          <w:tcPr>
            <w:tcW w:w="1740" w:type="dxa"/>
            <w:vAlign w:val="bottom"/>
          </w:tcPr>
          <w:p w14:paraId="236F5B19" w14:textId="77777777" w:rsidR="00D1587D" w:rsidRDefault="00410D07">
            <w:pPr>
              <w:spacing w:line="149" w:lineRule="exact"/>
              <w:ind w:left="140"/>
              <w:rPr>
                <w:sz w:val="20"/>
                <w:szCs w:val="20"/>
              </w:rPr>
            </w:pPr>
            <w:r>
              <w:rPr>
                <w:rFonts w:ascii="Arial" w:eastAsia="Arial" w:hAnsi="Arial" w:cs="Arial"/>
                <w:i/>
                <w:iCs/>
                <w:sz w:val="14"/>
                <w:szCs w:val="14"/>
              </w:rPr>
              <w:t>Chief Executive Officer,</w:t>
            </w:r>
          </w:p>
        </w:tc>
        <w:tc>
          <w:tcPr>
            <w:tcW w:w="40" w:type="dxa"/>
            <w:vAlign w:val="bottom"/>
          </w:tcPr>
          <w:p w14:paraId="02068CA7" w14:textId="77777777" w:rsidR="00D1587D" w:rsidRDefault="00D1587D">
            <w:pPr>
              <w:rPr>
                <w:sz w:val="12"/>
                <w:szCs w:val="12"/>
              </w:rPr>
            </w:pPr>
          </w:p>
        </w:tc>
        <w:tc>
          <w:tcPr>
            <w:tcW w:w="300" w:type="dxa"/>
            <w:vAlign w:val="bottom"/>
          </w:tcPr>
          <w:p w14:paraId="504E897B" w14:textId="77777777" w:rsidR="00D1587D" w:rsidRDefault="00D1587D">
            <w:pPr>
              <w:rPr>
                <w:sz w:val="12"/>
                <w:szCs w:val="12"/>
              </w:rPr>
            </w:pPr>
          </w:p>
        </w:tc>
        <w:tc>
          <w:tcPr>
            <w:tcW w:w="60" w:type="dxa"/>
            <w:vAlign w:val="bottom"/>
          </w:tcPr>
          <w:p w14:paraId="6FFD10F8" w14:textId="77777777" w:rsidR="00D1587D" w:rsidRDefault="00D1587D">
            <w:pPr>
              <w:rPr>
                <w:sz w:val="12"/>
                <w:szCs w:val="12"/>
              </w:rPr>
            </w:pPr>
          </w:p>
        </w:tc>
        <w:tc>
          <w:tcPr>
            <w:tcW w:w="580" w:type="dxa"/>
            <w:vAlign w:val="bottom"/>
          </w:tcPr>
          <w:p w14:paraId="5A80F067" w14:textId="77777777" w:rsidR="00D1587D" w:rsidRDefault="00D1587D">
            <w:pPr>
              <w:rPr>
                <w:sz w:val="12"/>
                <w:szCs w:val="12"/>
              </w:rPr>
            </w:pPr>
          </w:p>
        </w:tc>
        <w:tc>
          <w:tcPr>
            <w:tcW w:w="60" w:type="dxa"/>
            <w:vAlign w:val="bottom"/>
          </w:tcPr>
          <w:p w14:paraId="1F93986E" w14:textId="77777777" w:rsidR="00D1587D" w:rsidRDefault="00D1587D">
            <w:pPr>
              <w:rPr>
                <w:sz w:val="12"/>
                <w:szCs w:val="12"/>
              </w:rPr>
            </w:pPr>
          </w:p>
        </w:tc>
        <w:tc>
          <w:tcPr>
            <w:tcW w:w="380" w:type="dxa"/>
            <w:vAlign w:val="bottom"/>
          </w:tcPr>
          <w:p w14:paraId="7C4B74D8" w14:textId="77777777" w:rsidR="00D1587D" w:rsidRDefault="00D1587D">
            <w:pPr>
              <w:rPr>
                <w:sz w:val="12"/>
                <w:szCs w:val="12"/>
              </w:rPr>
            </w:pPr>
          </w:p>
        </w:tc>
        <w:tc>
          <w:tcPr>
            <w:tcW w:w="60" w:type="dxa"/>
            <w:vAlign w:val="bottom"/>
          </w:tcPr>
          <w:p w14:paraId="75CE8E35" w14:textId="77777777" w:rsidR="00D1587D" w:rsidRDefault="00D1587D">
            <w:pPr>
              <w:rPr>
                <w:sz w:val="12"/>
                <w:szCs w:val="12"/>
              </w:rPr>
            </w:pPr>
          </w:p>
        </w:tc>
        <w:tc>
          <w:tcPr>
            <w:tcW w:w="760" w:type="dxa"/>
            <w:vAlign w:val="bottom"/>
          </w:tcPr>
          <w:p w14:paraId="10327E51" w14:textId="77777777" w:rsidR="00D1587D" w:rsidRDefault="00D1587D">
            <w:pPr>
              <w:rPr>
                <w:sz w:val="12"/>
                <w:szCs w:val="12"/>
              </w:rPr>
            </w:pPr>
          </w:p>
        </w:tc>
        <w:tc>
          <w:tcPr>
            <w:tcW w:w="60" w:type="dxa"/>
            <w:vAlign w:val="bottom"/>
          </w:tcPr>
          <w:p w14:paraId="7C24B506" w14:textId="77777777" w:rsidR="00D1587D" w:rsidRDefault="00D1587D">
            <w:pPr>
              <w:rPr>
                <w:sz w:val="12"/>
                <w:szCs w:val="12"/>
              </w:rPr>
            </w:pPr>
          </w:p>
        </w:tc>
        <w:tc>
          <w:tcPr>
            <w:tcW w:w="480" w:type="dxa"/>
            <w:vAlign w:val="bottom"/>
          </w:tcPr>
          <w:p w14:paraId="2741B1F3" w14:textId="77777777" w:rsidR="00D1587D" w:rsidRDefault="00D1587D">
            <w:pPr>
              <w:rPr>
                <w:sz w:val="12"/>
                <w:szCs w:val="12"/>
              </w:rPr>
            </w:pPr>
          </w:p>
        </w:tc>
        <w:tc>
          <w:tcPr>
            <w:tcW w:w="40" w:type="dxa"/>
            <w:vAlign w:val="bottom"/>
          </w:tcPr>
          <w:p w14:paraId="1E547A0A" w14:textId="77777777" w:rsidR="00D1587D" w:rsidRDefault="00D1587D">
            <w:pPr>
              <w:rPr>
                <w:sz w:val="12"/>
                <w:szCs w:val="12"/>
              </w:rPr>
            </w:pPr>
          </w:p>
        </w:tc>
        <w:tc>
          <w:tcPr>
            <w:tcW w:w="1260" w:type="dxa"/>
            <w:vAlign w:val="bottom"/>
          </w:tcPr>
          <w:p w14:paraId="29DAA568" w14:textId="77777777" w:rsidR="00D1587D" w:rsidRDefault="00D1587D">
            <w:pPr>
              <w:rPr>
                <w:sz w:val="12"/>
                <w:szCs w:val="12"/>
              </w:rPr>
            </w:pPr>
          </w:p>
        </w:tc>
        <w:tc>
          <w:tcPr>
            <w:tcW w:w="60" w:type="dxa"/>
            <w:vAlign w:val="bottom"/>
          </w:tcPr>
          <w:p w14:paraId="44083D1B" w14:textId="77777777" w:rsidR="00D1587D" w:rsidRDefault="00D1587D">
            <w:pPr>
              <w:rPr>
                <w:sz w:val="12"/>
                <w:szCs w:val="12"/>
              </w:rPr>
            </w:pPr>
          </w:p>
        </w:tc>
        <w:tc>
          <w:tcPr>
            <w:tcW w:w="900" w:type="dxa"/>
            <w:vAlign w:val="bottom"/>
          </w:tcPr>
          <w:p w14:paraId="0B1D02BD" w14:textId="77777777" w:rsidR="00D1587D" w:rsidRDefault="00D1587D">
            <w:pPr>
              <w:rPr>
                <w:sz w:val="12"/>
                <w:szCs w:val="12"/>
              </w:rPr>
            </w:pPr>
          </w:p>
        </w:tc>
        <w:tc>
          <w:tcPr>
            <w:tcW w:w="60" w:type="dxa"/>
            <w:vAlign w:val="bottom"/>
          </w:tcPr>
          <w:p w14:paraId="72FEBC89" w14:textId="77777777" w:rsidR="00D1587D" w:rsidRDefault="00D1587D">
            <w:pPr>
              <w:rPr>
                <w:sz w:val="12"/>
                <w:szCs w:val="12"/>
              </w:rPr>
            </w:pPr>
          </w:p>
        </w:tc>
        <w:tc>
          <w:tcPr>
            <w:tcW w:w="920" w:type="dxa"/>
            <w:vAlign w:val="bottom"/>
          </w:tcPr>
          <w:p w14:paraId="3193D698" w14:textId="77777777" w:rsidR="00D1587D" w:rsidRDefault="00D1587D">
            <w:pPr>
              <w:rPr>
                <w:sz w:val="12"/>
                <w:szCs w:val="12"/>
              </w:rPr>
            </w:pPr>
          </w:p>
        </w:tc>
        <w:tc>
          <w:tcPr>
            <w:tcW w:w="40" w:type="dxa"/>
            <w:vAlign w:val="bottom"/>
          </w:tcPr>
          <w:p w14:paraId="0F9C64C1" w14:textId="77777777" w:rsidR="00D1587D" w:rsidRDefault="00D1587D">
            <w:pPr>
              <w:rPr>
                <w:sz w:val="12"/>
                <w:szCs w:val="12"/>
              </w:rPr>
            </w:pPr>
          </w:p>
        </w:tc>
        <w:tc>
          <w:tcPr>
            <w:tcW w:w="620" w:type="dxa"/>
            <w:vAlign w:val="bottom"/>
          </w:tcPr>
          <w:p w14:paraId="7DD20A4A" w14:textId="77777777" w:rsidR="00D1587D" w:rsidRDefault="00D1587D">
            <w:pPr>
              <w:rPr>
                <w:sz w:val="12"/>
                <w:szCs w:val="12"/>
              </w:rPr>
            </w:pPr>
          </w:p>
        </w:tc>
        <w:tc>
          <w:tcPr>
            <w:tcW w:w="0" w:type="dxa"/>
            <w:vAlign w:val="bottom"/>
          </w:tcPr>
          <w:p w14:paraId="7DE1B257" w14:textId="77777777" w:rsidR="00D1587D" w:rsidRDefault="00D1587D">
            <w:pPr>
              <w:rPr>
                <w:sz w:val="1"/>
                <w:szCs w:val="1"/>
              </w:rPr>
            </w:pPr>
          </w:p>
        </w:tc>
      </w:tr>
      <w:tr w:rsidR="00D1587D" w14:paraId="71B606DB" w14:textId="77777777">
        <w:trPr>
          <w:trHeight w:val="182"/>
        </w:trPr>
        <w:tc>
          <w:tcPr>
            <w:tcW w:w="1740" w:type="dxa"/>
            <w:vAlign w:val="bottom"/>
          </w:tcPr>
          <w:p w14:paraId="125FC2F0" w14:textId="77777777" w:rsidR="00D1587D" w:rsidRDefault="00410D07">
            <w:pPr>
              <w:ind w:left="140"/>
              <w:rPr>
                <w:sz w:val="20"/>
                <w:szCs w:val="20"/>
              </w:rPr>
            </w:pPr>
            <w:r>
              <w:rPr>
                <w:rFonts w:ascii="Arial" w:eastAsia="Arial" w:hAnsi="Arial" w:cs="Arial"/>
                <w:i/>
                <w:iCs/>
                <w:sz w:val="14"/>
                <w:szCs w:val="14"/>
              </w:rPr>
              <w:t>PINK</w:t>
            </w:r>
          </w:p>
        </w:tc>
        <w:tc>
          <w:tcPr>
            <w:tcW w:w="40" w:type="dxa"/>
            <w:vAlign w:val="bottom"/>
          </w:tcPr>
          <w:p w14:paraId="7EC6208A" w14:textId="77777777" w:rsidR="00D1587D" w:rsidRDefault="00D1587D">
            <w:pPr>
              <w:rPr>
                <w:sz w:val="15"/>
                <w:szCs w:val="15"/>
              </w:rPr>
            </w:pPr>
          </w:p>
        </w:tc>
        <w:tc>
          <w:tcPr>
            <w:tcW w:w="300" w:type="dxa"/>
            <w:vAlign w:val="bottom"/>
          </w:tcPr>
          <w:p w14:paraId="11DB468C" w14:textId="77777777" w:rsidR="00D1587D" w:rsidRDefault="00D1587D">
            <w:pPr>
              <w:rPr>
                <w:sz w:val="15"/>
                <w:szCs w:val="15"/>
              </w:rPr>
            </w:pPr>
          </w:p>
        </w:tc>
        <w:tc>
          <w:tcPr>
            <w:tcW w:w="60" w:type="dxa"/>
            <w:vAlign w:val="bottom"/>
          </w:tcPr>
          <w:p w14:paraId="242E1871" w14:textId="77777777" w:rsidR="00D1587D" w:rsidRDefault="00D1587D">
            <w:pPr>
              <w:rPr>
                <w:sz w:val="15"/>
                <w:szCs w:val="15"/>
              </w:rPr>
            </w:pPr>
          </w:p>
        </w:tc>
        <w:tc>
          <w:tcPr>
            <w:tcW w:w="580" w:type="dxa"/>
            <w:vAlign w:val="bottom"/>
          </w:tcPr>
          <w:p w14:paraId="176C67A4" w14:textId="77777777" w:rsidR="00D1587D" w:rsidRDefault="00D1587D">
            <w:pPr>
              <w:rPr>
                <w:sz w:val="15"/>
                <w:szCs w:val="15"/>
              </w:rPr>
            </w:pPr>
          </w:p>
        </w:tc>
        <w:tc>
          <w:tcPr>
            <w:tcW w:w="60" w:type="dxa"/>
            <w:vAlign w:val="bottom"/>
          </w:tcPr>
          <w:p w14:paraId="34D0C815" w14:textId="77777777" w:rsidR="00D1587D" w:rsidRDefault="00D1587D">
            <w:pPr>
              <w:rPr>
                <w:sz w:val="15"/>
                <w:szCs w:val="15"/>
              </w:rPr>
            </w:pPr>
          </w:p>
        </w:tc>
        <w:tc>
          <w:tcPr>
            <w:tcW w:w="380" w:type="dxa"/>
            <w:vAlign w:val="bottom"/>
          </w:tcPr>
          <w:p w14:paraId="4898AEBC" w14:textId="77777777" w:rsidR="00D1587D" w:rsidRDefault="00D1587D">
            <w:pPr>
              <w:rPr>
                <w:sz w:val="15"/>
                <w:szCs w:val="15"/>
              </w:rPr>
            </w:pPr>
          </w:p>
        </w:tc>
        <w:tc>
          <w:tcPr>
            <w:tcW w:w="60" w:type="dxa"/>
            <w:vAlign w:val="bottom"/>
          </w:tcPr>
          <w:p w14:paraId="24744BB9" w14:textId="77777777" w:rsidR="00D1587D" w:rsidRDefault="00D1587D">
            <w:pPr>
              <w:rPr>
                <w:sz w:val="15"/>
                <w:szCs w:val="15"/>
              </w:rPr>
            </w:pPr>
          </w:p>
        </w:tc>
        <w:tc>
          <w:tcPr>
            <w:tcW w:w="760" w:type="dxa"/>
            <w:vAlign w:val="bottom"/>
          </w:tcPr>
          <w:p w14:paraId="1C89C17D" w14:textId="77777777" w:rsidR="00D1587D" w:rsidRDefault="00D1587D">
            <w:pPr>
              <w:rPr>
                <w:sz w:val="15"/>
                <w:szCs w:val="15"/>
              </w:rPr>
            </w:pPr>
          </w:p>
        </w:tc>
        <w:tc>
          <w:tcPr>
            <w:tcW w:w="60" w:type="dxa"/>
            <w:vAlign w:val="bottom"/>
          </w:tcPr>
          <w:p w14:paraId="6BD0A49C" w14:textId="77777777" w:rsidR="00D1587D" w:rsidRDefault="00D1587D">
            <w:pPr>
              <w:rPr>
                <w:sz w:val="15"/>
                <w:szCs w:val="15"/>
              </w:rPr>
            </w:pPr>
          </w:p>
        </w:tc>
        <w:tc>
          <w:tcPr>
            <w:tcW w:w="480" w:type="dxa"/>
            <w:vAlign w:val="bottom"/>
          </w:tcPr>
          <w:p w14:paraId="3E47EA76" w14:textId="77777777" w:rsidR="00D1587D" w:rsidRDefault="00D1587D">
            <w:pPr>
              <w:rPr>
                <w:sz w:val="15"/>
                <w:szCs w:val="15"/>
              </w:rPr>
            </w:pPr>
          </w:p>
        </w:tc>
        <w:tc>
          <w:tcPr>
            <w:tcW w:w="40" w:type="dxa"/>
            <w:vAlign w:val="bottom"/>
          </w:tcPr>
          <w:p w14:paraId="67FA7905" w14:textId="77777777" w:rsidR="00D1587D" w:rsidRDefault="00D1587D">
            <w:pPr>
              <w:rPr>
                <w:sz w:val="15"/>
                <w:szCs w:val="15"/>
              </w:rPr>
            </w:pPr>
          </w:p>
        </w:tc>
        <w:tc>
          <w:tcPr>
            <w:tcW w:w="1260" w:type="dxa"/>
            <w:vAlign w:val="bottom"/>
          </w:tcPr>
          <w:p w14:paraId="0F01B1F3" w14:textId="77777777" w:rsidR="00D1587D" w:rsidRDefault="00D1587D">
            <w:pPr>
              <w:rPr>
                <w:sz w:val="15"/>
                <w:szCs w:val="15"/>
              </w:rPr>
            </w:pPr>
          </w:p>
        </w:tc>
        <w:tc>
          <w:tcPr>
            <w:tcW w:w="60" w:type="dxa"/>
            <w:vAlign w:val="bottom"/>
          </w:tcPr>
          <w:p w14:paraId="4F1477CA" w14:textId="77777777" w:rsidR="00D1587D" w:rsidRDefault="00D1587D">
            <w:pPr>
              <w:rPr>
                <w:sz w:val="15"/>
                <w:szCs w:val="15"/>
              </w:rPr>
            </w:pPr>
          </w:p>
        </w:tc>
        <w:tc>
          <w:tcPr>
            <w:tcW w:w="900" w:type="dxa"/>
            <w:vAlign w:val="bottom"/>
          </w:tcPr>
          <w:p w14:paraId="5F446948" w14:textId="77777777" w:rsidR="00D1587D" w:rsidRDefault="00D1587D">
            <w:pPr>
              <w:rPr>
                <w:sz w:val="15"/>
                <w:szCs w:val="15"/>
              </w:rPr>
            </w:pPr>
          </w:p>
        </w:tc>
        <w:tc>
          <w:tcPr>
            <w:tcW w:w="60" w:type="dxa"/>
            <w:vAlign w:val="bottom"/>
          </w:tcPr>
          <w:p w14:paraId="5E87D462" w14:textId="77777777" w:rsidR="00D1587D" w:rsidRDefault="00D1587D">
            <w:pPr>
              <w:rPr>
                <w:sz w:val="15"/>
                <w:szCs w:val="15"/>
              </w:rPr>
            </w:pPr>
          </w:p>
        </w:tc>
        <w:tc>
          <w:tcPr>
            <w:tcW w:w="920" w:type="dxa"/>
            <w:vAlign w:val="bottom"/>
          </w:tcPr>
          <w:p w14:paraId="1BEB9CA7" w14:textId="77777777" w:rsidR="00D1587D" w:rsidRDefault="00D1587D">
            <w:pPr>
              <w:rPr>
                <w:sz w:val="15"/>
                <w:szCs w:val="15"/>
              </w:rPr>
            </w:pPr>
          </w:p>
        </w:tc>
        <w:tc>
          <w:tcPr>
            <w:tcW w:w="40" w:type="dxa"/>
            <w:vAlign w:val="bottom"/>
          </w:tcPr>
          <w:p w14:paraId="38E57F78" w14:textId="77777777" w:rsidR="00D1587D" w:rsidRDefault="00D1587D">
            <w:pPr>
              <w:rPr>
                <w:sz w:val="15"/>
                <w:szCs w:val="15"/>
              </w:rPr>
            </w:pPr>
          </w:p>
        </w:tc>
        <w:tc>
          <w:tcPr>
            <w:tcW w:w="620" w:type="dxa"/>
            <w:vAlign w:val="bottom"/>
          </w:tcPr>
          <w:p w14:paraId="5757FF66" w14:textId="77777777" w:rsidR="00D1587D" w:rsidRDefault="00D1587D">
            <w:pPr>
              <w:rPr>
                <w:sz w:val="15"/>
                <w:szCs w:val="15"/>
              </w:rPr>
            </w:pPr>
          </w:p>
        </w:tc>
        <w:tc>
          <w:tcPr>
            <w:tcW w:w="0" w:type="dxa"/>
            <w:vAlign w:val="bottom"/>
          </w:tcPr>
          <w:p w14:paraId="65EDDFF7" w14:textId="77777777" w:rsidR="00D1587D" w:rsidRDefault="00D1587D">
            <w:pPr>
              <w:rPr>
                <w:sz w:val="1"/>
                <w:szCs w:val="1"/>
              </w:rPr>
            </w:pPr>
          </w:p>
        </w:tc>
      </w:tr>
      <w:tr w:rsidR="00D1587D" w14:paraId="1884B010" w14:textId="77777777">
        <w:trPr>
          <w:trHeight w:val="39"/>
        </w:trPr>
        <w:tc>
          <w:tcPr>
            <w:tcW w:w="1740" w:type="dxa"/>
            <w:vAlign w:val="bottom"/>
          </w:tcPr>
          <w:p w14:paraId="6F31F09F" w14:textId="77777777" w:rsidR="00D1587D" w:rsidRDefault="00D1587D">
            <w:pPr>
              <w:rPr>
                <w:sz w:val="3"/>
                <w:szCs w:val="3"/>
              </w:rPr>
            </w:pPr>
          </w:p>
        </w:tc>
        <w:tc>
          <w:tcPr>
            <w:tcW w:w="40" w:type="dxa"/>
            <w:vAlign w:val="bottom"/>
          </w:tcPr>
          <w:p w14:paraId="69E907B5" w14:textId="77777777" w:rsidR="00D1587D" w:rsidRDefault="00D1587D">
            <w:pPr>
              <w:rPr>
                <w:sz w:val="3"/>
                <w:szCs w:val="3"/>
              </w:rPr>
            </w:pPr>
          </w:p>
        </w:tc>
        <w:tc>
          <w:tcPr>
            <w:tcW w:w="300" w:type="dxa"/>
            <w:vAlign w:val="bottom"/>
          </w:tcPr>
          <w:p w14:paraId="2BD9A603" w14:textId="77777777" w:rsidR="00D1587D" w:rsidRDefault="00D1587D">
            <w:pPr>
              <w:rPr>
                <w:sz w:val="3"/>
                <w:szCs w:val="3"/>
              </w:rPr>
            </w:pPr>
          </w:p>
        </w:tc>
        <w:tc>
          <w:tcPr>
            <w:tcW w:w="60" w:type="dxa"/>
            <w:vAlign w:val="bottom"/>
          </w:tcPr>
          <w:p w14:paraId="57C29336" w14:textId="77777777" w:rsidR="00D1587D" w:rsidRDefault="00D1587D">
            <w:pPr>
              <w:rPr>
                <w:sz w:val="3"/>
                <w:szCs w:val="3"/>
              </w:rPr>
            </w:pPr>
          </w:p>
        </w:tc>
        <w:tc>
          <w:tcPr>
            <w:tcW w:w="580" w:type="dxa"/>
            <w:vAlign w:val="bottom"/>
          </w:tcPr>
          <w:p w14:paraId="5E965B74" w14:textId="77777777" w:rsidR="00D1587D" w:rsidRDefault="00D1587D">
            <w:pPr>
              <w:rPr>
                <w:sz w:val="3"/>
                <w:szCs w:val="3"/>
              </w:rPr>
            </w:pPr>
          </w:p>
        </w:tc>
        <w:tc>
          <w:tcPr>
            <w:tcW w:w="60" w:type="dxa"/>
            <w:vAlign w:val="bottom"/>
          </w:tcPr>
          <w:p w14:paraId="493F4D01" w14:textId="77777777" w:rsidR="00D1587D" w:rsidRDefault="00D1587D">
            <w:pPr>
              <w:rPr>
                <w:sz w:val="3"/>
                <w:szCs w:val="3"/>
              </w:rPr>
            </w:pPr>
          </w:p>
        </w:tc>
        <w:tc>
          <w:tcPr>
            <w:tcW w:w="380" w:type="dxa"/>
            <w:vAlign w:val="bottom"/>
          </w:tcPr>
          <w:p w14:paraId="1C79ED5E" w14:textId="77777777" w:rsidR="00D1587D" w:rsidRDefault="00D1587D">
            <w:pPr>
              <w:rPr>
                <w:sz w:val="3"/>
                <w:szCs w:val="3"/>
              </w:rPr>
            </w:pPr>
          </w:p>
        </w:tc>
        <w:tc>
          <w:tcPr>
            <w:tcW w:w="60" w:type="dxa"/>
            <w:vAlign w:val="bottom"/>
          </w:tcPr>
          <w:p w14:paraId="0C93E600" w14:textId="77777777" w:rsidR="00D1587D" w:rsidRDefault="00D1587D">
            <w:pPr>
              <w:rPr>
                <w:sz w:val="3"/>
                <w:szCs w:val="3"/>
              </w:rPr>
            </w:pPr>
          </w:p>
        </w:tc>
        <w:tc>
          <w:tcPr>
            <w:tcW w:w="760" w:type="dxa"/>
            <w:vAlign w:val="bottom"/>
          </w:tcPr>
          <w:p w14:paraId="20EB3FFB" w14:textId="77777777" w:rsidR="00D1587D" w:rsidRDefault="00D1587D">
            <w:pPr>
              <w:rPr>
                <w:sz w:val="3"/>
                <w:szCs w:val="3"/>
              </w:rPr>
            </w:pPr>
          </w:p>
        </w:tc>
        <w:tc>
          <w:tcPr>
            <w:tcW w:w="60" w:type="dxa"/>
            <w:vAlign w:val="bottom"/>
          </w:tcPr>
          <w:p w14:paraId="7C023993" w14:textId="77777777" w:rsidR="00D1587D" w:rsidRDefault="00D1587D">
            <w:pPr>
              <w:rPr>
                <w:sz w:val="3"/>
                <w:szCs w:val="3"/>
              </w:rPr>
            </w:pPr>
          </w:p>
        </w:tc>
        <w:tc>
          <w:tcPr>
            <w:tcW w:w="480" w:type="dxa"/>
            <w:vAlign w:val="bottom"/>
          </w:tcPr>
          <w:p w14:paraId="7C67C1D9" w14:textId="77777777" w:rsidR="00D1587D" w:rsidRDefault="00D1587D">
            <w:pPr>
              <w:rPr>
                <w:sz w:val="3"/>
                <w:szCs w:val="3"/>
              </w:rPr>
            </w:pPr>
          </w:p>
        </w:tc>
        <w:tc>
          <w:tcPr>
            <w:tcW w:w="40" w:type="dxa"/>
            <w:vAlign w:val="bottom"/>
          </w:tcPr>
          <w:p w14:paraId="33848F01" w14:textId="77777777" w:rsidR="00D1587D" w:rsidRDefault="00D1587D">
            <w:pPr>
              <w:rPr>
                <w:sz w:val="3"/>
                <w:szCs w:val="3"/>
              </w:rPr>
            </w:pPr>
          </w:p>
        </w:tc>
        <w:tc>
          <w:tcPr>
            <w:tcW w:w="1260" w:type="dxa"/>
            <w:vAlign w:val="bottom"/>
          </w:tcPr>
          <w:p w14:paraId="7F6EE5DD" w14:textId="77777777" w:rsidR="00D1587D" w:rsidRDefault="00D1587D">
            <w:pPr>
              <w:rPr>
                <w:sz w:val="3"/>
                <w:szCs w:val="3"/>
              </w:rPr>
            </w:pPr>
          </w:p>
        </w:tc>
        <w:tc>
          <w:tcPr>
            <w:tcW w:w="60" w:type="dxa"/>
            <w:vAlign w:val="bottom"/>
          </w:tcPr>
          <w:p w14:paraId="5C753A95" w14:textId="77777777" w:rsidR="00D1587D" w:rsidRDefault="00D1587D">
            <w:pPr>
              <w:rPr>
                <w:sz w:val="3"/>
                <w:szCs w:val="3"/>
              </w:rPr>
            </w:pPr>
          </w:p>
        </w:tc>
        <w:tc>
          <w:tcPr>
            <w:tcW w:w="900" w:type="dxa"/>
            <w:vAlign w:val="bottom"/>
          </w:tcPr>
          <w:p w14:paraId="1855442B" w14:textId="77777777" w:rsidR="00D1587D" w:rsidRDefault="00D1587D">
            <w:pPr>
              <w:rPr>
                <w:sz w:val="3"/>
                <w:szCs w:val="3"/>
              </w:rPr>
            </w:pPr>
          </w:p>
        </w:tc>
        <w:tc>
          <w:tcPr>
            <w:tcW w:w="60" w:type="dxa"/>
            <w:vAlign w:val="bottom"/>
          </w:tcPr>
          <w:p w14:paraId="1A24D787" w14:textId="77777777" w:rsidR="00D1587D" w:rsidRDefault="00D1587D">
            <w:pPr>
              <w:rPr>
                <w:sz w:val="3"/>
                <w:szCs w:val="3"/>
              </w:rPr>
            </w:pPr>
          </w:p>
        </w:tc>
        <w:tc>
          <w:tcPr>
            <w:tcW w:w="920" w:type="dxa"/>
            <w:vAlign w:val="bottom"/>
          </w:tcPr>
          <w:p w14:paraId="126D0879" w14:textId="77777777" w:rsidR="00D1587D" w:rsidRDefault="00D1587D">
            <w:pPr>
              <w:rPr>
                <w:sz w:val="3"/>
                <w:szCs w:val="3"/>
              </w:rPr>
            </w:pPr>
          </w:p>
        </w:tc>
        <w:tc>
          <w:tcPr>
            <w:tcW w:w="40" w:type="dxa"/>
            <w:vAlign w:val="bottom"/>
          </w:tcPr>
          <w:p w14:paraId="7BEAC6CC" w14:textId="77777777" w:rsidR="00D1587D" w:rsidRDefault="00D1587D">
            <w:pPr>
              <w:rPr>
                <w:sz w:val="3"/>
                <w:szCs w:val="3"/>
              </w:rPr>
            </w:pPr>
          </w:p>
        </w:tc>
        <w:tc>
          <w:tcPr>
            <w:tcW w:w="620" w:type="dxa"/>
            <w:vAlign w:val="bottom"/>
          </w:tcPr>
          <w:p w14:paraId="78D96CD4" w14:textId="77777777" w:rsidR="00D1587D" w:rsidRDefault="00D1587D">
            <w:pPr>
              <w:rPr>
                <w:sz w:val="3"/>
                <w:szCs w:val="3"/>
              </w:rPr>
            </w:pPr>
          </w:p>
        </w:tc>
        <w:tc>
          <w:tcPr>
            <w:tcW w:w="0" w:type="dxa"/>
            <w:vAlign w:val="bottom"/>
          </w:tcPr>
          <w:p w14:paraId="4830F06F" w14:textId="77777777" w:rsidR="00D1587D" w:rsidRDefault="00D1587D">
            <w:pPr>
              <w:spacing w:line="20" w:lineRule="exact"/>
              <w:rPr>
                <w:sz w:val="1"/>
                <w:szCs w:val="1"/>
              </w:rPr>
            </w:pPr>
          </w:p>
        </w:tc>
      </w:tr>
      <w:tr w:rsidR="00D1587D" w14:paraId="520B6C37" w14:textId="77777777">
        <w:trPr>
          <w:trHeight w:val="184"/>
        </w:trPr>
        <w:tc>
          <w:tcPr>
            <w:tcW w:w="1740" w:type="dxa"/>
            <w:shd w:val="clear" w:color="auto" w:fill="CCEEFF"/>
            <w:vAlign w:val="bottom"/>
          </w:tcPr>
          <w:p w14:paraId="35631235" w14:textId="77777777" w:rsidR="00D1587D" w:rsidRDefault="00410D07">
            <w:pPr>
              <w:rPr>
                <w:sz w:val="20"/>
                <w:szCs w:val="20"/>
              </w:rPr>
            </w:pPr>
            <w:r>
              <w:rPr>
                <w:rFonts w:ascii="Arial" w:eastAsia="Arial" w:hAnsi="Arial" w:cs="Arial"/>
                <w:b/>
                <w:bCs/>
                <w:sz w:val="14"/>
                <w:szCs w:val="14"/>
              </w:rPr>
              <w:t>Gregory Unis</w:t>
            </w:r>
          </w:p>
        </w:tc>
        <w:tc>
          <w:tcPr>
            <w:tcW w:w="340" w:type="dxa"/>
            <w:gridSpan w:val="2"/>
            <w:shd w:val="clear" w:color="auto" w:fill="CCEEFF"/>
            <w:vAlign w:val="bottom"/>
          </w:tcPr>
          <w:p w14:paraId="34BE3E2A" w14:textId="77777777" w:rsidR="00D1587D" w:rsidRDefault="00410D07">
            <w:pPr>
              <w:ind w:left="40"/>
              <w:rPr>
                <w:sz w:val="20"/>
                <w:szCs w:val="20"/>
              </w:rPr>
            </w:pPr>
            <w:r>
              <w:rPr>
                <w:rFonts w:ascii="Arial" w:eastAsia="Arial" w:hAnsi="Arial" w:cs="Arial"/>
                <w:w w:val="89"/>
                <w:sz w:val="14"/>
                <w:szCs w:val="14"/>
              </w:rPr>
              <w:t>2020</w:t>
            </w:r>
          </w:p>
        </w:tc>
        <w:tc>
          <w:tcPr>
            <w:tcW w:w="60" w:type="dxa"/>
            <w:shd w:val="clear" w:color="auto" w:fill="CCEEFF"/>
            <w:vAlign w:val="bottom"/>
          </w:tcPr>
          <w:p w14:paraId="0163B2F8" w14:textId="77777777" w:rsidR="00D1587D" w:rsidRDefault="00D1587D">
            <w:pPr>
              <w:rPr>
                <w:sz w:val="15"/>
                <w:szCs w:val="15"/>
              </w:rPr>
            </w:pPr>
          </w:p>
        </w:tc>
        <w:tc>
          <w:tcPr>
            <w:tcW w:w="580" w:type="dxa"/>
            <w:shd w:val="clear" w:color="auto" w:fill="CCEEFF"/>
            <w:vAlign w:val="bottom"/>
          </w:tcPr>
          <w:p w14:paraId="68D5822C" w14:textId="77777777" w:rsidR="00D1587D" w:rsidRDefault="00410D07">
            <w:pPr>
              <w:jc w:val="right"/>
              <w:rPr>
                <w:sz w:val="20"/>
                <w:szCs w:val="20"/>
              </w:rPr>
            </w:pPr>
            <w:r>
              <w:rPr>
                <w:rFonts w:ascii="Arial" w:eastAsia="Arial" w:hAnsi="Arial" w:cs="Arial"/>
                <w:sz w:val="14"/>
                <w:szCs w:val="14"/>
              </w:rPr>
              <w:t>810,769</w:t>
            </w:r>
          </w:p>
        </w:tc>
        <w:tc>
          <w:tcPr>
            <w:tcW w:w="60" w:type="dxa"/>
            <w:shd w:val="clear" w:color="auto" w:fill="CCEEFF"/>
            <w:vAlign w:val="bottom"/>
          </w:tcPr>
          <w:p w14:paraId="61EFC706" w14:textId="77777777" w:rsidR="00D1587D" w:rsidRDefault="00D1587D">
            <w:pPr>
              <w:rPr>
                <w:sz w:val="15"/>
                <w:szCs w:val="15"/>
              </w:rPr>
            </w:pPr>
          </w:p>
        </w:tc>
        <w:tc>
          <w:tcPr>
            <w:tcW w:w="380" w:type="dxa"/>
            <w:shd w:val="clear" w:color="auto" w:fill="CCEEFF"/>
            <w:vAlign w:val="bottom"/>
          </w:tcPr>
          <w:p w14:paraId="46B30BD8" w14:textId="77777777" w:rsidR="00D1587D" w:rsidRDefault="00410D07">
            <w:pPr>
              <w:jc w:val="center"/>
              <w:rPr>
                <w:sz w:val="20"/>
                <w:szCs w:val="20"/>
              </w:rPr>
            </w:pPr>
            <w:r>
              <w:rPr>
                <w:rFonts w:ascii="Arial" w:eastAsia="Arial" w:hAnsi="Arial" w:cs="Arial"/>
                <w:w w:val="99"/>
                <w:sz w:val="14"/>
                <w:szCs w:val="14"/>
              </w:rPr>
              <w:t>—</w:t>
            </w:r>
          </w:p>
        </w:tc>
        <w:tc>
          <w:tcPr>
            <w:tcW w:w="60" w:type="dxa"/>
            <w:shd w:val="clear" w:color="auto" w:fill="CCEEFF"/>
            <w:vAlign w:val="bottom"/>
          </w:tcPr>
          <w:p w14:paraId="5DDA2F10" w14:textId="77777777" w:rsidR="00D1587D" w:rsidRDefault="00D1587D">
            <w:pPr>
              <w:rPr>
                <w:sz w:val="15"/>
                <w:szCs w:val="15"/>
              </w:rPr>
            </w:pPr>
          </w:p>
        </w:tc>
        <w:tc>
          <w:tcPr>
            <w:tcW w:w="820" w:type="dxa"/>
            <w:gridSpan w:val="2"/>
            <w:shd w:val="clear" w:color="auto" w:fill="CCEEFF"/>
            <w:vAlign w:val="bottom"/>
          </w:tcPr>
          <w:p w14:paraId="164C719A" w14:textId="77777777" w:rsidR="00D1587D" w:rsidRDefault="00410D07">
            <w:pPr>
              <w:ind w:left="540"/>
              <w:rPr>
                <w:sz w:val="20"/>
                <w:szCs w:val="20"/>
              </w:rPr>
            </w:pPr>
            <w:r>
              <w:rPr>
                <w:rFonts w:ascii="Arial" w:eastAsia="Arial" w:hAnsi="Arial" w:cs="Arial"/>
                <w:sz w:val="14"/>
                <w:szCs w:val="14"/>
              </w:rPr>
              <w:t>—</w:t>
            </w:r>
          </w:p>
        </w:tc>
        <w:tc>
          <w:tcPr>
            <w:tcW w:w="520" w:type="dxa"/>
            <w:gridSpan w:val="2"/>
            <w:shd w:val="clear" w:color="auto" w:fill="CCEEFF"/>
            <w:vAlign w:val="bottom"/>
          </w:tcPr>
          <w:p w14:paraId="0DAECCEE" w14:textId="77777777" w:rsidR="00D1587D" w:rsidRDefault="00410D07">
            <w:pPr>
              <w:ind w:right="60"/>
              <w:jc w:val="center"/>
              <w:rPr>
                <w:sz w:val="20"/>
                <w:szCs w:val="20"/>
              </w:rPr>
            </w:pPr>
            <w:r>
              <w:rPr>
                <w:rFonts w:ascii="Arial" w:eastAsia="Arial" w:hAnsi="Arial" w:cs="Arial"/>
                <w:w w:val="99"/>
                <w:sz w:val="14"/>
                <w:szCs w:val="14"/>
              </w:rPr>
              <w:t>—</w:t>
            </w:r>
          </w:p>
        </w:tc>
        <w:tc>
          <w:tcPr>
            <w:tcW w:w="1260" w:type="dxa"/>
            <w:shd w:val="clear" w:color="auto" w:fill="CCEEFF"/>
            <w:vAlign w:val="bottom"/>
          </w:tcPr>
          <w:p w14:paraId="05F891D8" w14:textId="77777777" w:rsidR="00D1587D" w:rsidRDefault="00410D07">
            <w:pPr>
              <w:jc w:val="center"/>
              <w:rPr>
                <w:sz w:val="20"/>
                <w:szCs w:val="20"/>
              </w:rPr>
            </w:pPr>
            <w:r>
              <w:rPr>
                <w:rFonts w:ascii="Arial" w:eastAsia="Arial" w:hAnsi="Arial" w:cs="Arial"/>
                <w:w w:val="93"/>
                <w:sz w:val="14"/>
                <w:szCs w:val="14"/>
              </w:rPr>
              <w:t>1,734,000</w:t>
            </w:r>
          </w:p>
        </w:tc>
        <w:tc>
          <w:tcPr>
            <w:tcW w:w="60" w:type="dxa"/>
            <w:shd w:val="clear" w:color="auto" w:fill="CCEEFF"/>
            <w:vAlign w:val="bottom"/>
          </w:tcPr>
          <w:p w14:paraId="2BFFB49B" w14:textId="77777777" w:rsidR="00D1587D" w:rsidRDefault="00D1587D">
            <w:pPr>
              <w:rPr>
                <w:sz w:val="15"/>
                <w:szCs w:val="15"/>
              </w:rPr>
            </w:pPr>
          </w:p>
        </w:tc>
        <w:tc>
          <w:tcPr>
            <w:tcW w:w="900" w:type="dxa"/>
            <w:shd w:val="clear" w:color="auto" w:fill="CCEEFF"/>
            <w:vAlign w:val="bottom"/>
          </w:tcPr>
          <w:p w14:paraId="0BC06D70" w14:textId="77777777" w:rsidR="00D1587D" w:rsidRDefault="00410D07">
            <w:pPr>
              <w:ind w:right="168"/>
              <w:jc w:val="right"/>
              <w:rPr>
                <w:sz w:val="20"/>
                <w:szCs w:val="20"/>
              </w:rPr>
            </w:pPr>
            <w:r>
              <w:rPr>
                <w:rFonts w:ascii="Arial" w:eastAsia="Arial" w:hAnsi="Arial" w:cs="Arial"/>
                <w:sz w:val="14"/>
                <w:szCs w:val="14"/>
              </w:rPr>
              <w:t>9,199</w:t>
            </w:r>
          </w:p>
        </w:tc>
        <w:tc>
          <w:tcPr>
            <w:tcW w:w="60" w:type="dxa"/>
            <w:shd w:val="clear" w:color="auto" w:fill="CCEEFF"/>
            <w:vAlign w:val="bottom"/>
          </w:tcPr>
          <w:p w14:paraId="70330DF8" w14:textId="77777777" w:rsidR="00D1587D" w:rsidRDefault="00D1587D">
            <w:pPr>
              <w:rPr>
                <w:sz w:val="15"/>
                <w:szCs w:val="15"/>
              </w:rPr>
            </w:pPr>
          </w:p>
        </w:tc>
        <w:tc>
          <w:tcPr>
            <w:tcW w:w="920" w:type="dxa"/>
            <w:shd w:val="clear" w:color="auto" w:fill="CCEEFF"/>
            <w:vAlign w:val="bottom"/>
          </w:tcPr>
          <w:p w14:paraId="71ABCA58" w14:textId="77777777" w:rsidR="00D1587D" w:rsidRDefault="00410D07">
            <w:pPr>
              <w:jc w:val="center"/>
              <w:rPr>
                <w:sz w:val="20"/>
                <w:szCs w:val="20"/>
              </w:rPr>
            </w:pPr>
            <w:r>
              <w:rPr>
                <w:rFonts w:ascii="Arial" w:eastAsia="Arial" w:hAnsi="Arial" w:cs="Arial"/>
                <w:w w:val="94"/>
                <w:sz w:val="14"/>
                <w:szCs w:val="14"/>
              </w:rPr>
              <w:t>224,433</w:t>
            </w:r>
          </w:p>
        </w:tc>
        <w:tc>
          <w:tcPr>
            <w:tcW w:w="660" w:type="dxa"/>
            <w:gridSpan w:val="2"/>
            <w:shd w:val="clear" w:color="auto" w:fill="CCEEFF"/>
            <w:vAlign w:val="bottom"/>
          </w:tcPr>
          <w:p w14:paraId="667E777F" w14:textId="77777777" w:rsidR="00D1587D" w:rsidRDefault="00410D07">
            <w:pPr>
              <w:ind w:left="40"/>
              <w:rPr>
                <w:sz w:val="20"/>
                <w:szCs w:val="20"/>
              </w:rPr>
            </w:pPr>
            <w:r>
              <w:rPr>
                <w:rFonts w:ascii="Arial" w:eastAsia="Arial" w:hAnsi="Arial" w:cs="Arial"/>
                <w:w w:val="96"/>
                <w:sz w:val="14"/>
                <w:szCs w:val="14"/>
              </w:rPr>
              <w:t>2,778,401</w:t>
            </w:r>
          </w:p>
        </w:tc>
        <w:tc>
          <w:tcPr>
            <w:tcW w:w="0" w:type="dxa"/>
            <w:vAlign w:val="bottom"/>
          </w:tcPr>
          <w:p w14:paraId="1CBB21C6" w14:textId="77777777" w:rsidR="00D1587D" w:rsidRDefault="00D1587D">
            <w:pPr>
              <w:rPr>
                <w:sz w:val="1"/>
                <w:szCs w:val="1"/>
              </w:rPr>
            </w:pPr>
          </w:p>
        </w:tc>
      </w:tr>
      <w:tr w:rsidR="00D1587D" w14:paraId="4A608BC7" w14:textId="77777777">
        <w:trPr>
          <w:trHeight w:val="148"/>
        </w:trPr>
        <w:tc>
          <w:tcPr>
            <w:tcW w:w="1740" w:type="dxa"/>
            <w:shd w:val="clear" w:color="auto" w:fill="CCEEFF"/>
            <w:vAlign w:val="bottom"/>
          </w:tcPr>
          <w:p w14:paraId="1B43582B" w14:textId="77777777" w:rsidR="00D1587D" w:rsidRDefault="00410D07">
            <w:pPr>
              <w:spacing w:line="149" w:lineRule="exact"/>
              <w:ind w:left="140"/>
              <w:rPr>
                <w:sz w:val="20"/>
                <w:szCs w:val="20"/>
              </w:rPr>
            </w:pPr>
            <w:r>
              <w:rPr>
                <w:rFonts w:ascii="Arial" w:eastAsia="Arial" w:hAnsi="Arial" w:cs="Arial"/>
                <w:i/>
                <w:iCs/>
                <w:sz w:val="14"/>
                <w:szCs w:val="14"/>
              </w:rPr>
              <w:t xml:space="preserve">Chief </w:t>
            </w:r>
            <w:r>
              <w:rPr>
                <w:rFonts w:ascii="Arial" w:eastAsia="Arial" w:hAnsi="Arial" w:cs="Arial"/>
                <w:i/>
                <w:iCs/>
                <w:sz w:val="14"/>
                <w:szCs w:val="14"/>
              </w:rPr>
              <w:t>Executive Officer,</w:t>
            </w:r>
          </w:p>
        </w:tc>
        <w:tc>
          <w:tcPr>
            <w:tcW w:w="40" w:type="dxa"/>
            <w:shd w:val="clear" w:color="auto" w:fill="CCEEFF"/>
            <w:vAlign w:val="bottom"/>
          </w:tcPr>
          <w:p w14:paraId="019A2977" w14:textId="77777777" w:rsidR="00D1587D" w:rsidRDefault="00D1587D">
            <w:pPr>
              <w:rPr>
                <w:sz w:val="12"/>
                <w:szCs w:val="12"/>
              </w:rPr>
            </w:pPr>
          </w:p>
        </w:tc>
        <w:tc>
          <w:tcPr>
            <w:tcW w:w="300" w:type="dxa"/>
            <w:shd w:val="clear" w:color="auto" w:fill="CCEEFF"/>
            <w:vAlign w:val="bottom"/>
          </w:tcPr>
          <w:p w14:paraId="1235646B" w14:textId="77777777" w:rsidR="00D1587D" w:rsidRDefault="00D1587D">
            <w:pPr>
              <w:rPr>
                <w:sz w:val="12"/>
                <w:szCs w:val="12"/>
              </w:rPr>
            </w:pPr>
          </w:p>
        </w:tc>
        <w:tc>
          <w:tcPr>
            <w:tcW w:w="60" w:type="dxa"/>
            <w:shd w:val="clear" w:color="auto" w:fill="CCEEFF"/>
            <w:vAlign w:val="bottom"/>
          </w:tcPr>
          <w:p w14:paraId="255A1A77" w14:textId="77777777" w:rsidR="00D1587D" w:rsidRDefault="00D1587D">
            <w:pPr>
              <w:rPr>
                <w:sz w:val="12"/>
                <w:szCs w:val="12"/>
              </w:rPr>
            </w:pPr>
          </w:p>
        </w:tc>
        <w:tc>
          <w:tcPr>
            <w:tcW w:w="580" w:type="dxa"/>
            <w:shd w:val="clear" w:color="auto" w:fill="CCEEFF"/>
            <w:vAlign w:val="bottom"/>
          </w:tcPr>
          <w:p w14:paraId="0CB6120D" w14:textId="77777777" w:rsidR="00D1587D" w:rsidRDefault="00D1587D">
            <w:pPr>
              <w:rPr>
                <w:sz w:val="12"/>
                <w:szCs w:val="12"/>
              </w:rPr>
            </w:pPr>
          </w:p>
        </w:tc>
        <w:tc>
          <w:tcPr>
            <w:tcW w:w="60" w:type="dxa"/>
            <w:shd w:val="clear" w:color="auto" w:fill="CCEEFF"/>
            <w:vAlign w:val="bottom"/>
          </w:tcPr>
          <w:p w14:paraId="3FDF2B24" w14:textId="77777777" w:rsidR="00D1587D" w:rsidRDefault="00D1587D">
            <w:pPr>
              <w:rPr>
                <w:sz w:val="12"/>
                <w:szCs w:val="12"/>
              </w:rPr>
            </w:pPr>
          </w:p>
        </w:tc>
        <w:tc>
          <w:tcPr>
            <w:tcW w:w="380" w:type="dxa"/>
            <w:shd w:val="clear" w:color="auto" w:fill="CCEEFF"/>
            <w:vAlign w:val="bottom"/>
          </w:tcPr>
          <w:p w14:paraId="6F86DEED" w14:textId="77777777" w:rsidR="00D1587D" w:rsidRDefault="00D1587D">
            <w:pPr>
              <w:rPr>
                <w:sz w:val="12"/>
                <w:szCs w:val="12"/>
              </w:rPr>
            </w:pPr>
          </w:p>
        </w:tc>
        <w:tc>
          <w:tcPr>
            <w:tcW w:w="60" w:type="dxa"/>
            <w:shd w:val="clear" w:color="auto" w:fill="CCEEFF"/>
            <w:vAlign w:val="bottom"/>
          </w:tcPr>
          <w:p w14:paraId="24232056" w14:textId="77777777" w:rsidR="00D1587D" w:rsidRDefault="00D1587D">
            <w:pPr>
              <w:rPr>
                <w:sz w:val="12"/>
                <w:szCs w:val="12"/>
              </w:rPr>
            </w:pPr>
          </w:p>
        </w:tc>
        <w:tc>
          <w:tcPr>
            <w:tcW w:w="760" w:type="dxa"/>
            <w:shd w:val="clear" w:color="auto" w:fill="CCEEFF"/>
            <w:vAlign w:val="bottom"/>
          </w:tcPr>
          <w:p w14:paraId="729C4EFE" w14:textId="77777777" w:rsidR="00D1587D" w:rsidRDefault="00D1587D">
            <w:pPr>
              <w:rPr>
                <w:sz w:val="12"/>
                <w:szCs w:val="12"/>
              </w:rPr>
            </w:pPr>
          </w:p>
        </w:tc>
        <w:tc>
          <w:tcPr>
            <w:tcW w:w="60" w:type="dxa"/>
            <w:shd w:val="clear" w:color="auto" w:fill="CCEEFF"/>
            <w:vAlign w:val="bottom"/>
          </w:tcPr>
          <w:p w14:paraId="718F589C" w14:textId="77777777" w:rsidR="00D1587D" w:rsidRDefault="00D1587D">
            <w:pPr>
              <w:rPr>
                <w:sz w:val="12"/>
                <w:szCs w:val="12"/>
              </w:rPr>
            </w:pPr>
          </w:p>
        </w:tc>
        <w:tc>
          <w:tcPr>
            <w:tcW w:w="480" w:type="dxa"/>
            <w:shd w:val="clear" w:color="auto" w:fill="CCEEFF"/>
            <w:vAlign w:val="bottom"/>
          </w:tcPr>
          <w:p w14:paraId="23476012" w14:textId="77777777" w:rsidR="00D1587D" w:rsidRDefault="00D1587D">
            <w:pPr>
              <w:rPr>
                <w:sz w:val="12"/>
                <w:szCs w:val="12"/>
              </w:rPr>
            </w:pPr>
          </w:p>
        </w:tc>
        <w:tc>
          <w:tcPr>
            <w:tcW w:w="40" w:type="dxa"/>
            <w:shd w:val="clear" w:color="auto" w:fill="CCEEFF"/>
            <w:vAlign w:val="bottom"/>
          </w:tcPr>
          <w:p w14:paraId="043D4EB6" w14:textId="77777777" w:rsidR="00D1587D" w:rsidRDefault="00D1587D">
            <w:pPr>
              <w:rPr>
                <w:sz w:val="12"/>
                <w:szCs w:val="12"/>
              </w:rPr>
            </w:pPr>
          </w:p>
        </w:tc>
        <w:tc>
          <w:tcPr>
            <w:tcW w:w="1260" w:type="dxa"/>
            <w:shd w:val="clear" w:color="auto" w:fill="CCEEFF"/>
            <w:vAlign w:val="bottom"/>
          </w:tcPr>
          <w:p w14:paraId="3F014A20" w14:textId="77777777" w:rsidR="00D1587D" w:rsidRDefault="00D1587D">
            <w:pPr>
              <w:rPr>
                <w:sz w:val="12"/>
                <w:szCs w:val="12"/>
              </w:rPr>
            </w:pPr>
          </w:p>
        </w:tc>
        <w:tc>
          <w:tcPr>
            <w:tcW w:w="60" w:type="dxa"/>
            <w:shd w:val="clear" w:color="auto" w:fill="CCEEFF"/>
            <w:vAlign w:val="bottom"/>
          </w:tcPr>
          <w:p w14:paraId="2F857555" w14:textId="77777777" w:rsidR="00D1587D" w:rsidRDefault="00D1587D">
            <w:pPr>
              <w:rPr>
                <w:sz w:val="12"/>
                <w:szCs w:val="12"/>
              </w:rPr>
            </w:pPr>
          </w:p>
        </w:tc>
        <w:tc>
          <w:tcPr>
            <w:tcW w:w="900" w:type="dxa"/>
            <w:shd w:val="clear" w:color="auto" w:fill="CCEEFF"/>
            <w:vAlign w:val="bottom"/>
          </w:tcPr>
          <w:p w14:paraId="2DF31133" w14:textId="77777777" w:rsidR="00D1587D" w:rsidRDefault="00D1587D">
            <w:pPr>
              <w:rPr>
                <w:sz w:val="12"/>
                <w:szCs w:val="12"/>
              </w:rPr>
            </w:pPr>
          </w:p>
        </w:tc>
        <w:tc>
          <w:tcPr>
            <w:tcW w:w="60" w:type="dxa"/>
            <w:shd w:val="clear" w:color="auto" w:fill="CCEEFF"/>
            <w:vAlign w:val="bottom"/>
          </w:tcPr>
          <w:p w14:paraId="60E7AAC4" w14:textId="77777777" w:rsidR="00D1587D" w:rsidRDefault="00D1587D">
            <w:pPr>
              <w:rPr>
                <w:sz w:val="12"/>
                <w:szCs w:val="12"/>
              </w:rPr>
            </w:pPr>
          </w:p>
        </w:tc>
        <w:tc>
          <w:tcPr>
            <w:tcW w:w="920" w:type="dxa"/>
            <w:shd w:val="clear" w:color="auto" w:fill="CCEEFF"/>
            <w:vAlign w:val="bottom"/>
          </w:tcPr>
          <w:p w14:paraId="328F07DB" w14:textId="77777777" w:rsidR="00D1587D" w:rsidRDefault="00D1587D">
            <w:pPr>
              <w:rPr>
                <w:sz w:val="12"/>
                <w:szCs w:val="12"/>
              </w:rPr>
            </w:pPr>
          </w:p>
        </w:tc>
        <w:tc>
          <w:tcPr>
            <w:tcW w:w="40" w:type="dxa"/>
            <w:shd w:val="clear" w:color="auto" w:fill="CCEEFF"/>
            <w:vAlign w:val="bottom"/>
          </w:tcPr>
          <w:p w14:paraId="342D308E" w14:textId="77777777" w:rsidR="00D1587D" w:rsidRDefault="00D1587D">
            <w:pPr>
              <w:rPr>
                <w:sz w:val="12"/>
                <w:szCs w:val="12"/>
              </w:rPr>
            </w:pPr>
          </w:p>
        </w:tc>
        <w:tc>
          <w:tcPr>
            <w:tcW w:w="620" w:type="dxa"/>
            <w:shd w:val="clear" w:color="auto" w:fill="CCEEFF"/>
            <w:vAlign w:val="bottom"/>
          </w:tcPr>
          <w:p w14:paraId="44AC82D0" w14:textId="77777777" w:rsidR="00D1587D" w:rsidRDefault="00D1587D">
            <w:pPr>
              <w:rPr>
                <w:sz w:val="12"/>
                <w:szCs w:val="12"/>
              </w:rPr>
            </w:pPr>
          </w:p>
        </w:tc>
        <w:tc>
          <w:tcPr>
            <w:tcW w:w="0" w:type="dxa"/>
            <w:vAlign w:val="bottom"/>
          </w:tcPr>
          <w:p w14:paraId="29234D7D" w14:textId="77777777" w:rsidR="00D1587D" w:rsidRDefault="00D1587D">
            <w:pPr>
              <w:rPr>
                <w:sz w:val="1"/>
                <w:szCs w:val="1"/>
              </w:rPr>
            </w:pPr>
          </w:p>
        </w:tc>
      </w:tr>
      <w:tr w:rsidR="00D1587D" w14:paraId="28861FAC" w14:textId="77777777">
        <w:trPr>
          <w:trHeight w:val="201"/>
        </w:trPr>
        <w:tc>
          <w:tcPr>
            <w:tcW w:w="1740" w:type="dxa"/>
            <w:tcBorders>
              <w:bottom w:val="single" w:sz="8" w:space="0" w:color="CCEEFF"/>
            </w:tcBorders>
            <w:shd w:val="clear" w:color="auto" w:fill="CCEEFF"/>
            <w:vAlign w:val="bottom"/>
          </w:tcPr>
          <w:p w14:paraId="74DF2330" w14:textId="77777777" w:rsidR="00D1587D" w:rsidRDefault="00410D07">
            <w:pPr>
              <w:ind w:left="140"/>
              <w:rPr>
                <w:sz w:val="20"/>
                <w:szCs w:val="20"/>
              </w:rPr>
            </w:pPr>
            <w:r>
              <w:rPr>
                <w:rFonts w:ascii="Arial" w:eastAsia="Arial" w:hAnsi="Arial" w:cs="Arial"/>
                <w:i/>
                <w:iCs/>
                <w:sz w:val="14"/>
                <w:szCs w:val="14"/>
              </w:rPr>
              <w:t>Victoria’s Secret Beauty</w:t>
            </w:r>
          </w:p>
        </w:tc>
        <w:tc>
          <w:tcPr>
            <w:tcW w:w="40" w:type="dxa"/>
            <w:tcBorders>
              <w:bottom w:val="single" w:sz="8" w:space="0" w:color="CCEEFF"/>
            </w:tcBorders>
            <w:shd w:val="clear" w:color="auto" w:fill="CCEEFF"/>
            <w:vAlign w:val="bottom"/>
          </w:tcPr>
          <w:p w14:paraId="2F55D6BC" w14:textId="77777777" w:rsidR="00D1587D" w:rsidRDefault="00D1587D">
            <w:pPr>
              <w:rPr>
                <w:sz w:val="17"/>
                <w:szCs w:val="17"/>
              </w:rPr>
            </w:pPr>
          </w:p>
        </w:tc>
        <w:tc>
          <w:tcPr>
            <w:tcW w:w="300" w:type="dxa"/>
            <w:tcBorders>
              <w:bottom w:val="single" w:sz="8" w:space="0" w:color="CCEEFF"/>
            </w:tcBorders>
            <w:shd w:val="clear" w:color="auto" w:fill="CCEEFF"/>
            <w:vAlign w:val="bottom"/>
          </w:tcPr>
          <w:p w14:paraId="0B1BAC2A" w14:textId="77777777" w:rsidR="00D1587D" w:rsidRDefault="00D1587D">
            <w:pPr>
              <w:rPr>
                <w:sz w:val="17"/>
                <w:szCs w:val="17"/>
              </w:rPr>
            </w:pPr>
          </w:p>
        </w:tc>
        <w:tc>
          <w:tcPr>
            <w:tcW w:w="60" w:type="dxa"/>
            <w:tcBorders>
              <w:bottom w:val="single" w:sz="8" w:space="0" w:color="CCEEFF"/>
            </w:tcBorders>
            <w:shd w:val="clear" w:color="auto" w:fill="CCEEFF"/>
            <w:vAlign w:val="bottom"/>
          </w:tcPr>
          <w:p w14:paraId="3FA86DC5" w14:textId="77777777" w:rsidR="00D1587D" w:rsidRDefault="00D1587D">
            <w:pPr>
              <w:rPr>
                <w:sz w:val="17"/>
                <w:szCs w:val="17"/>
              </w:rPr>
            </w:pPr>
          </w:p>
        </w:tc>
        <w:tc>
          <w:tcPr>
            <w:tcW w:w="580" w:type="dxa"/>
            <w:tcBorders>
              <w:bottom w:val="single" w:sz="8" w:space="0" w:color="CCEEFF"/>
            </w:tcBorders>
            <w:shd w:val="clear" w:color="auto" w:fill="CCEEFF"/>
            <w:vAlign w:val="bottom"/>
          </w:tcPr>
          <w:p w14:paraId="3B880658" w14:textId="77777777" w:rsidR="00D1587D" w:rsidRDefault="00D1587D">
            <w:pPr>
              <w:rPr>
                <w:sz w:val="17"/>
                <w:szCs w:val="17"/>
              </w:rPr>
            </w:pPr>
          </w:p>
        </w:tc>
        <w:tc>
          <w:tcPr>
            <w:tcW w:w="60" w:type="dxa"/>
            <w:tcBorders>
              <w:bottom w:val="single" w:sz="8" w:space="0" w:color="CCEEFF"/>
            </w:tcBorders>
            <w:shd w:val="clear" w:color="auto" w:fill="CCEEFF"/>
            <w:vAlign w:val="bottom"/>
          </w:tcPr>
          <w:p w14:paraId="6C682765" w14:textId="77777777" w:rsidR="00D1587D" w:rsidRDefault="00D1587D">
            <w:pPr>
              <w:rPr>
                <w:sz w:val="17"/>
                <w:szCs w:val="17"/>
              </w:rPr>
            </w:pPr>
          </w:p>
        </w:tc>
        <w:tc>
          <w:tcPr>
            <w:tcW w:w="380" w:type="dxa"/>
            <w:tcBorders>
              <w:bottom w:val="single" w:sz="8" w:space="0" w:color="CCEEFF"/>
            </w:tcBorders>
            <w:shd w:val="clear" w:color="auto" w:fill="CCEEFF"/>
            <w:vAlign w:val="bottom"/>
          </w:tcPr>
          <w:p w14:paraId="72BC4E31" w14:textId="77777777" w:rsidR="00D1587D" w:rsidRDefault="00D1587D">
            <w:pPr>
              <w:rPr>
                <w:sz w:val="17"/>
                <w:szCs w:val="17"/>
              </w:rPr>
            </w:pPr>
          </w:p>
        </w:tc>
        <w:tc>
          <w:tcPr>
            <w:tcW w:w="60" w:type="dxa"/>
            <w:tcBorders>
              <w:bottom w:val="single" w:sz="8" w:space="0" w:color="CCEEFF"/>
            </w:tcBorders>
            <w:shd w:val="clear" w:color="auto" w:fill="CCEEFF"/>
            <w:vAlign w:val="bottom"/>
          </w:tcPr>
          <w:p w14:paraId="3D109B6C" w14:textId="77777777" w:rsidR="00D1587D" w:rsidRDefault="00D1587D">
            <w:pPr>
              <w:rPr>
                <w:sz w:val="17"/>
                <w:szCs w:val="17"/>
              </w:rPr>
            </w:pPr>
          </w:p>
        </w:tc>
        <w:tc>
          <w:tcPr>
            <w:tcW w:w="760" w:type="dxa"/>
            <w:tcBorders>
              <w:bottom w:val="single" w:sz="8" w:space="0" w:color="CCEEFF"/>
            </w:tcBorders>
            <w:shd w:val="clear" w:color="auto" w:fill="CCEEFF"/>
            <w:vAlign w:val="bottom"/>
          </w:tcPr>
          <w:p w14:paraId="41274E2F" w14:textId="77777777" w:rsidR="00D1587D" w:rsidRDefault="00D1587D">
            <w:pPr>
              <w:rPr>
                <w:sz w:val="17"/>
                <w:szCs w:val="17"/>
              </w:rPr>
            </w:pPr>
          </w:p>
        </w:tc>
        <w:tc>
          <w:tcPr>
            <w:tcW w:w="60" w:type="dxa"/>
            <w:tcBorders>
              <w:bottom w:val="single" w:sz="8" w:space="0" w:color="CCEEFF"/>
            </w:tcBorders>
            <w:shd w:val="clear" w:color="auto" w:fill="CCEEFF"/>
            <w:vAlign w:val="bottom"/>
          </w:tcPr>
          <w:p w14:paraId="1BEF33A6" w14:textId="77777777" w:rsidR="00D1587D" w:rsidRDefault="00D1587D">
            <w:pPr>
              <w:rPr>
                <w:sz w:val="17"/>
                <w:szCs w:val="17"/>
              </w:rPr>
            </w:pPr>
          </w:p>
        </w:tc>
        <w:tc>
          <w:tcPr>
            <w:tcW w:w="480" w:type="dxa"/>
            <w:tcBorders>
              <w:bottom w:val="single" w:sz="8" w:space="0" w:color="CCEEFF"/>
            </w:tcBorders>
            <w:shd w:val="clear" w:color="auto" w:fill="CCEEFF"/>
            <w:vAlign w:val="bottom"/>
          </w:tcPr>
          <w:p w14:paraId="429D2139" w14:textId="77777777" w:rsidR="00D1587D" w:rsidRDefault="00D1587D">
            <w:pPr>
              <w:rPr>
                <w:sz w:val="17"/>
                <w:szCs w:val="17"/>
              </w:rPr>
            </w:pPr>
          </w:p>
        </w:tc>
        <w:tc>
          <w:tcPr>
            <w:tcW w:w="40" w:type="dxa"/>
            <w:tcBorders>
              <w:bottom w:val="single" w:sz="8" w:space="0" w:color="CCEEFF"/>
            </w:tcBorders>
            <w:shd w:val="clear" w:color="auto" w:fill="CCEEFF"/>
            <w:vAlign w:val="bottom"/>
          </w:tcPr>
          <w:p w14:paraId="21107135" w14:textId="77777777" w:rsidR="00D1587D" w:rsidRDefault="00D1587D">
            <w:pPr>
              <w:rPr>
                <w:sz w:val="17"/>
                <w:szCs w:val="17"/>
              </w:rPr>
            </w:pPr>
          </w:p>
        </w:tc>
        <w:tc>
          <w:tcPr>
            <w:tcW w:w="1260" w:type="dxa"/>
            <w:tcBorders>
              <w:bottom w:val="single" w:sz="8" w:space="0" w:color="CCEEFF"/>
            </w:tcBorders>
            <w:shd w:val="clear" w:color="auto" w:fill="CCEEFF"/>
            <w:vAlign w:val="bottom"/>
          </w:tcPr>
          <w:p w14:paraId="0ED3CE81" w14:textId="77777777" w:rsidR="00D1587D" w:rsidRDefault="00D1587D">
            <w:pPr>
              <w:rPr>
                <w:sz w:val="17"/>
                <w:szCs w:val="17"/>
              </w:rPr>
            </w:pPr>
          </w:p>
        </w:tc>
        <w:tc>
          <w:tcPr>
            <w:tcW w:w="60" w:type="dxa"/>
            <w:tcBorders>
              <w:bottom w:val="single" w:sz="8" w:space="0" w:color="CCEEFF"/>
            </w:tcBorders>
            <w:shd w:val="clear" w:color="auto" w:fill="CCEEFF"/>
            <w:vAlign w:val="bottom"/>
          </w:tcPr>
          <w:p w14:paraId="6EA5F2F1" w14:textId="77777777" w:rsidR="00D1587D" w:rsidRDefault="00D1587D">
            <w:pPr>
              <w:rPr>
                <w:sz w:val="17"/>
                <w:szCs w:val="17"/>
              </w:rPr>
            </w:pPr>
          </w:p>
        </w:tc>
        <w:tc>
          <w:tcPr>
            <w:tcW w:w="900" w:type="dxa"/>
            <w:tcBorders>
              <w:bottom w:val="single" w:sz="8" w:space="0" w:color="CCEEFF"/>
            </w:tcBorders>
            <w:shd w:val="clear" w:color="auto" w:fill="CCEEFF"/>
            <w:vAlign w:val="bottom"/>
          </w:tcPr>
          <w:p w14:paraId="6F65FDB6" w14:textId="77777777" w:rsidR="00D1587D" w:rsidRDefault="00D1587D">
            <w:pPr>
              <w:rPr>
                <w:sz w:val="17"/>
                <w:szCs w:val="17"/>
              </w:rPr>
            </w:pPr>
          </w:p>
        </w:tc>
        <w:tc>
          <w:tcPr>
            <w:tcW w:w="60" w:type="dxa"/>
            <w:tcBorders>
              <w:bottom w:val="single" w:sz="8" w:space="0" w:color="CCEEFF"/>
            </w:tcBorders>
            <w:shd w:val="clear" w:color="auto" w:fill="CCEEFF"/>
            <w:vAlign w:val="bottom"/>
          </w:tcPr>
          <w:p w14:paraId="36C31A31" w14:textId="77777777" w:rsidR="00D1587D" w:rsidRDefault="00D1587D">
            <w:pPr>
              <w:rPr>
                <w:sz w:val="17"/>
                <w:szCs w:val="17"/>
              </w:rPr>
            </w:pPr>
          </w:p>
        </w:tc>
        <w:tc>
          <w:tcPr>
            <w:tcW w:w="920" w:type="dxa"/>
            <w:tcBorders>
              <w:bottom w:val="single" w:sz="8" w:space="0" w:color="CCEEFF"/>
            </w:tcBorders>
            <w:shd w:val="clear" w:color="auto" w:fill="CCEEFF"/>
            <w:vAlign w:val="bottom"/>
          </w:tcPr>
          <w:p w14:paraId="75D09301" w14:textId="77777777" w:rsidR="00D1587D" w:rsidRDefault="00D1587D">
            <w:pPr>
              <w:rPr>
                <w:sz w:val="17"/>
                <w:szCs w:val="17"/>
              </w:rPr>
            </w:pPr>
          </w:p>
        </w:tc>
        <w:tc>
          <w:tcPr>
            <w:tcW w:w="40" w:type="dxa"/>
            <w:tcBorders>
              <w:bottom w:val="single" w:sz="8" w:space="0" w:color="CCEEFF"/>
            </w:tcBorders>
            <w:shd w:val="clear" w:color="auto" w:fill="CCEEFF"/>
            <w:vAlign w:val="bottom"/>
          </w:tcPr>
          <w:p w14:paraId="5DA478F5" w14:textId="77777777" w:rsidR="00D1587D" w:rsidRDefault="00D1587D">
            <w:pPr>
              <w:rPr>
                <w:sz w:val="17"/>
                <w:szCs w:val="17"/>
              </w:rPr>
            </w:pPr>
          </w:p>
        </w:tc>
        <w:tc>
          <w:tcPr>
            <w:tcW w:w="620" w:type="dxa"/>
            <w:tcBorders>
              <w:bottom w:val="single" w:sz="8" w:space="0" w:color="CCEEFF"/>
            </w:tcBorders>
            <w:shd w:val="clear" w:color="auto" w:fill="CCEEFF"/>
            <w:vAlign w:val="bottom"/>
          </w:tcPr>
          <w:p w14:paraId="09C148EA" w14:textId="77777777" w:rsidR="00D1587D" w:rsidRDefault="00D1587D">
            <w:pPr>
              <w:rPr>
                <w:sz w:val="17"/>
                <w:szCs w:val="17"/>
              </w:rPr>
            </w:pPr>
          </w:p>
        </w:tc>
        <w:tc>
          <w:tcPr>
            <w:tcW w:w="0" w:type="dxa"/>
            <w:vAlign w:val="bottom"/>
          </w:tcPr>
          <w:p w14:paraId="571700CA" w14:textId="77777777" w:rsidR="00D1587D" w:rsidRDefault="00D1587D">
            <w:pPr>
              <w:rPr>
                <w:sz w:val="1"/>
                <w:szCs w:val="1"/>
              </w:rPr>
            </w:pPr>
          </w:p>
        </w:tc>
      </w:tr>
      <w:tr w:rsidR="00D1587D" w14:paraId="304E50F4" w14:textId="77777777">
        <w:trPr>
          <w:trHeight w:val="184"/>
        </w:trPr>
        <w:tc>
          <w:tcPr>
            <w:tcW w:w="1740" w:type="dxa"/>
            <w:vAlign w:val="bottom"/>
          </w:tcPr>
          <w:p w14:paraId="3C79DE9A" w14:textId="77777777" w:rsidR="00D1587D" w:rsidRDefault="00410D07">
            <w:pPr>
              <w:rPr>
                <w:sz w:val="20"/>
                <w:szCs w:val="20"/>
              </w:rPr>
            </w:pPr>
            <w:r>
              <w:rPr>
                <w:rFonts w:ascii="Arial" w:eastAsia="Arial" w:hAnsi="Arial" w:cs="Arial"/>
                <w:b/>
                <w:bCs/>
                <w:sz w:val="14"/>
                <w:szCs w:val="14"/>
              </w:rPr>
              <w:t>Stuart B. Burgdoerfer</w:t>
            </w:r>
          </w:p>
        </w:tc>
        <w:tc>
          <w:tcPr>
            <w:tcW w:w="980" w:type="dxa"/>
            <w:gridSpan w:val="4"/>
            <w:vAlign w:val="bottom"/>
          </w:tcPr>
          <w:p w14:paraId="2A5DA0F9" w14:textId="77777777" w:rsidR="00D1587D" w:rsidRDefault="00410D07">
            <w:pPr>
              <w:jc w:val="right"/>
              <w:rPr>
                <w:sz w:val="20"/>
                <w:szCs w:val="20"/>
              </w:rPr>
            </w:pPr>
            <w:r>
              <w:rPr>
                <w:rFonts w:ascii="Arial" w:eastAsia="Arial" w:hAnsi="Arial" w:cs="Arial"/>
                <w:w w:val="98"/>
                <w:sz w:val="14"/>
                <w:szCs w:val="14"/>
              </w:rPr>
              <w:t>2020 1,068,462</w:t>
            </w:r>
          </w:p>
        </w:tc>
        <w:tc>
          <w:tcPr>
            <w:tcW w:w="60" w:type="dxa"/>
            <w:vAlign w:val="bottom"/>
          </w:tcPr>
          <w:p w14:paraId="64F540EE" w14:textId="77777777" w:rsidR="00D1587D" w:rsidRDefault="00D1587D">
            <w:pPr>
              <w:rPr>
                <w:sz w:val="15"/>
                <w:szCs w:val="15"/>
              </w:rPr>
            </w:pPr>
          </w:p>
        </w:tc>
        <w:tc>
          <w:tcPr>
            <w:tcW w:w="380" w:type="dxa"/>
            <w:vAlign w:val="bottom"/>
          </w:tcPr>
          <w:p w14:paraId="2FC8C773" w14:textId="77777777" w:rsidR="00D1587D" w:rsidRDefault="00410D07">
            <w:pPr>
              <w:jc w:val="center"/>
              <w:rPr>
                <w:sz w:val="20"/>
                <w:szCs w:val="20"/>
              </w:rPr>
            </w:pPr>
            <w:r>
              <w:rPr>
                <w:rFonts w:ascii="Arial" w:eastAsia="Arial" w:hAnsi="Arial" w:cs="Arial"/>
                <w:w w:val="99"/>
                <w:sz w:val="14"/>
                <w:szCs w:val="14"/>
              </w:rPr>
              <w:t>—</w:t>
            </w:r>
          </w:p>
        </w:tc>
        <w:tc>
          <w:tcPr>
            <w:tcW w:w="60" w:type="dxa"/>
            <w:vAlign w:val="bottom"/>
          </w:tcPr>
          <w:p w14:paraId="44984A36" w14:textId="77777777" w:rsidR="00D1587D" w:rsidRDefault="00D1587D">
            <w:pPr>
              <w:rPr>
                <w:sz w:val="15"/>
                <w:szCs w:val="15"/>
              </w:rPr>
            </w:pPr>
          </w:p>
        </w:tc>
        <w:tc>
          <w:tcPr>
            <w:tcW w:w="820" w:type="dxa"/>
            <w:gridSpan w:val="2"/>
            <w:vAlign w:val="bottom"/>
          </w:tcPr>
          <w:p w14:paraId="2163E5BE" w14:textId="77777777" w:rsidR="00D1587D" w:rsidRDefault="00410D07">
            <w:pPr>
              <w:ind w:left="540"/>
              <w:rPr>
                <w:sz w:val="20"/>
                <w:szCs w:val="20"/>
              </w:rPr>
            </w:pPr>
            <w:r>
              <w:rPr>
                <w:rFonts w:ascii="Arial" w:eastAsia="Arial" w:hAnsi="Arial" w:cs="Arial"/>
                <w:sz w:val="14"/>
                <w:szCs w:val="14"/>
              </w:rPr>
              <w:t>—</w:t>
            </w:r>
          </w:p>
        </w:tc>
        <w:tc>
          <w:tcPr>
            <w:tcW w:w="520" w:type="dxa"/>
            <w:gridSpan w:val="2"/>
            <w:vAlign w:val="bottom"/>
          </w:tcPr>
          <w:p w14:paraId="107161A0" w14:textId="77777777" w:rsidR="00D1587D" w:rsidRDefault="00410D07">
            <w:pPr>
              <w:ind w:right="60"/>
              <w:jc w:val="center"/>
              <w:rPr>
                <w:sz w:val="20"/>
                <w:szCs w:val="20"/>
              </w:rPr>
            </w:pPr>
            <w:r>
              <w:rPr>
                <w:rFonts w:ascii="Arial" w:eastAsia="Arial" w:hAnsi="Arial" w:cs="Arial"/>
                <w:w w:val="99"/>
                <w:sz w:val="14"/>
                <w:szCs w:val="14"/>
              </w:rPr>
              <w:t>—</w:t>
            </w:r>
          </w:p>
        </w:tc>
        <w:tc>
          <w:tcPr>
            <w:tcW w:w="1260" w:type="dxa"/>
            <w:vAlign w:val="bottom"/>
          </w:tcPr>
          <w:p w14:paraId="68BAE20F" w14:textId="77777777" w:rsidR="00D1587D" w:rsidRDefault="00410D07">
            <w:pPr>
              <w:jc w:val="center"/>
              <w:rPr>
                <w:sz w:val="20"/>
                <w:szCs w:val="20"/>
              </w:rPr>
            </w:pPr>
            <w:r>
              <w:rPr>
                <w:rFonts w:ascii="Arial" w:eastAsia="Arial" w:hAnsi="Arial" w:cs="Arial"/>
                <w:w w:val="93"/>
                <w:sz w:val="14"/>
                <w:szCs w:val="14"/>
              </w:rPr>
              <w:t>3,009,636</w:t>
            </w:r>
          </w:p>
        </w:tc>
        <w:tc>
          <w:tcPr>
            <w:tcW w:w="60" w:type="dxa"/>
            <w:vAlign w:val="bottom"/>
          </w:tcPr>
          <w:p w14:paraId="647F365C" w14:textId="77777777" w:rsidR="00D1587D" w:rsidRDefault="00D1587D">
            <w:pPr>
              <w:rPr>
                <w:sz w:val="15"/>
                <w:szCs w:val="15"/>
              </w:rPr>
            </w:pPr>
          </w:p>
        </w:tc>
        <w:tc>
          <w:tcPr>
            <w:tcW w:w="900" w:type="dxa"/>
            <w:vAlign w:val="bottom"/>
          </w:tcPr>
          <w:p w14:paraId="7F554A40" w14:textId="77777777" w:rsidR="00D1587D" w:rsidRDefault="00410D07">
            <w:pPr>
              <w:ind w:right="148"/>
              <w:jc w:val="right"/>
              <w:rPr>
                <w:sz w:val="20"/>
                <w:szCs w:val="20"/>
              </w:rPr>
            </w:pPr>
            <w:r>
              <w:rPr>
                <w:rFonts w:ascii="Arial" w:eastAsia="Arial" w:hAnsi="Arial" w:cs="Arial"/>
                <w:sz w:val="14"/>
                <w:szCs w:val="14"/>
              </w:rPr>
              <w:t>100,128</w:t>
            </w:r>
          </w:p>
        </w:tc>
        <w:tc>
          <w:tcPr>
            <w:tcW w:w="60" w:type="dxa"/>
            <w:vAlign w:val="bottom"/>
          </w:tcPr>
          <w:p w14:paraId="060E697F" w14:textId="77777777" w:rsidR="00D1587D" w:rsidRDefault="00D1587D">
            <w:pPr>
              <w:rPr>
                <w:sz w:val="15"/>
                <w:szCs w:val="15"/>
              </w:rPr>
            </w:pPr>
          </w:p>
        </w:tc>
        <w:tc>
          <w:tcPr>
            <w:tcW w:w="920" w:type="dxa"/>
            <w:vAlign w:val="bottom"/>
          </w:tcPr>
          <w:p w14:paraId="71F1E482" w14:textId="77777777" w:rsidR="00D1587D" w:rsidRDefault="00410D07">
            <w:pPr>
              <w:jc w:val="center"/>
              <w:rPr>
                <w:sz w:val="20"/>
                <w:szCs w:val="20"/>
              </w:rPr>
            </w:pPr>
            <w:r>
              <w:rPr>
                <w:rFonts w:ascii="Arial" w:eastAsia="Arial" w:hAnsi="Arial" w:cs="Arial"/>
                <w:w w:val="94"/>
                <w:sz w:val="14"/>
                <w:szCs w:val="14"/>
              </w:rPr>
              <w:t>241,317</w:t>
            </w:r>
          </w:p>
        </w:tc>
        <w:tc>
          <w:tcPr>
            <w:tcW w:w="660" w:type="dxa"/>
            <w:gridSpan w:val="2"/>
            <w:vAlign w:val="bottom"/>
          </w:tcPr>
          <w:p w14:paraId="67D831FB" w14:textId="77777777" w:rsidR="00D1587D" w:rsidRDefault="00410D07">
            <w:pPr>
              <w:ind w:left="40"/>
              <w:rPr>
                <w:sz w:val="20"/>
                <w:szCs w:val="20"/>
              </w:rPr>
            </w:pPr>
            <w:r>
              <w:rPr>
                <w:rFonts w:ascii="Arial" w:eastAsia="Arial" w:hAnsi="Arial" w:cs="Arial"/>
                <w:w w:val="96"/>
                <w:sz w:val="14"/>
                <w:szCs w:val="14"/>
              </w:rPr>
              <w:t>4,419,543</w:t>
            </w:r>
          </w:p>
        </w:tc>
        <w:tc>
          <w:tcPr>
            <w:tcW w:w="0" w:type="dxa"/>
            <w:vAlign w:val="bottom"/>
          </w:tcPr>
          <w:p w14:paraId="6C02539B" w14:textId="77777777" w:rsidR="00D1587D" w:rsidRDefault="00D1587D">
            <w:pPr>
              <w:rPr>
                <w:sz w:val="1"/>
                <w:szCs w:val="1"/>
              </w:rPr>
            </w:pPr>
          </w:p>
        </w:tc>
      </w:tr>
      <w:tr w:rsidR="00D1587D" w14:paraId="5611213D" w14:textId="77777777">
        <w:trPr>
          <w:trHeight w:val="149"/>
        </w:trPr>
        <w:tc>
          <w:tcPr>
            <w:tcW w:w="1740" w:type="dxa"/>
            <w:vAlign w:val="bottom"/>
          </w:tcPr>
          <w:p w14:paraId="47846CFE" w14:textId="77777777" w:rsidR="00D1587D" w:rsidRDefault="00410D07">
            <w:pPr>
              <w:spacing w:line="149" w:lineRule="exact"/>
              <w:ind w:left="140"/>
              <w:rPr>
                <w:sz w:val="20"/>
                <w:szCs w:val="20"/>
              </w:rPr>
            </w:pPr>
            <w:r>
              <w:rPr>
                <w:rFonts w:ascii="Arial" w:eastAsia="Arial" w:hAnsi="Arial" w:cs="Arial"/>
                <w:i/>
                <w:iCs/>
                <w:sz w:val="14"/>
                <w:szCs w:val="14"/>
              </w:rPr>
              <w:t>Former Interim Chief</w:t>
            </w:r>
          </w:p>
        </w:tc>
        <w:tc>
          <w:tcPr>
            <w:tcW w:w="40" w:type="dxa"/>
            <w:vAlign w:val="bottom"/>
          </w:tcPr>
          <w:p w14:paraId="3E5629A2" w14:textId="77777777" w:rsidR="00D1587D" w:rsidRDefault="00D1587D">
            <w:pPr>
              <w:rPr>
                <w:sz w:val="12"/>
                <w:szCs w:val="12"/>
              </w:rPr>
            </w:pPr>
          </w:p>
        </w:tc>
        <w:tc>
          <w:tcPr>
            <w:tcW w:w="300" w:type="dxa"/>
            <w:vAlign w:val="bottom"/>
          </w:tcPr>
          <w:p w14:paraId="0A881222" w14:textId="77777777" w:rsidR="00D1587D" w:rsidRDefault="00D1587D">
            <w:pPr>
              <w:rPr>
                <w:sz w:val="12"/>
                <w:szCs w:val="12"/>
              </w:rPr>
            </w:pPr>
          </w:p>
        </w:tc>
        <w:tc>
          <w:tcPr>
            <w:tcW w:w="60" w:type="dxa"/>
            <w:vAlign w:val="bottom"/>
          </w:tcPr>
          <w:p w14:paraId="212C5382" w14:textId="77777777" w:rsidR="00D1587D" w:rsidRDefault="00D1587D">
            <w:pPr>
              <w:rPr>
                <w:sz w:val="12"/>
                <w:szCs w:val="12"/>
              </w:rPr>
            </w:pPr>
          </w:p>
        </w:tc>
        <w:tc>
          <w:tcPr>
            <w:tcW w:w="580" w:type="dxa"/>
            <w:vAlign w:val="bottom"/>
          </w:tcPr>
          <w:p w14:paraId="3C8C5BB2" w14:textId="77777777" w:rsidR="00D1587D" w:rsidRDefault="00D1587D">
            <w:pPr>
              <w:rPr>
                <w:sz w:val="12"/>
                <w:szCs w:val="12"/>
              </w:rPr>
            </w:pPr>
          </w:p>
        </w:tc>
        <w:tc>
          <w:tcPr>
            <w:tcW w:w="60" w:type="dxa"/>
            <w:vAlign w:val="bottom"/>
          </w:tcPr>
          <w:p w14:paraId="6FA6A1B7" w14:textId="77777777" w:rsidR="00D1587D" w:rsidRDefault="00D1587D">
            <w:pPr>
              <w:rPr>
                <w:sz w:val="12"/>
                <w:szCs w:val="12"/>
              </w:rPr>
            </w:pPr>
          </w:p>
        </w:tc>
        <w:tc>
          <w:tcPr>
            <w:tcW w:w="380" w:type="dxa"/>
            <w:vAlign w:val="bottom"/>
          </w:tcPr>
          <w:p w14:paraId="6696D274" w14:textId="77777777" w:rsidR="00D1587D" w:rsidRDefault="00D1587D">
            <w:pPr>
              <w:rPr>
                <w:sz w:val="12"/>
                <w:szCs w:val="12"/>
              </w:rPr>
            </w:pPr>
          </w:p>
        </w:tc>
        <w:tc>
          <w:tcPr>
            <w:tcW w:w="60" w:type="dxa"/>
            <w:vAlign w:val="bottom"/>
          </w:tcPr>
          <w:p w14:paraId="4314986A" w14:textId="77777777" w:rsidR="00D1587D" w:rsidRDefault="00D1587D">
            <w:pPr>
              <w:rPr>
                <w:sz w:val="12"/>
                <w:szCs w:val="12"/>
              </w:rPr>
            </w:pPr>
          </w:p>
        </w:tc>
        <w:tc>
          <w:tcPr>
            <w:tcW w:w="760" w:type="dxa"/>
            <w:vAlign w:val="bottom"/>
          </w:tcPr>
          <w:p w14:paraId="0827E00C" w14:textId="77777777" w:rsidR="00D1587D" w:rsidRDefault="00D1587D">
            <w:pPr>
              <w:rPr>
                <w:sz w:val="12"/>
                <w:szCs w:val="12"/>
              </w:rPr>
            </w:pPr>
          </w:p>
        </w:tc>
        <w:tc>
          <w:tcPr>
            <w:tcW w:w="60" w:type="dxa"/>
            <w:vAlign w:val="bottom"/>
          </w:tcPr>
          <w:p w14:paraId="7CCACF0C" w14:textId="77777777" w:rsidR="00D1587D" w:rsidRDefault="00D1587D">
            <w:pPr>
              <w:rPr>
                <w:sz w:val="12"/>
                <w:szCs w:val="12"/>
              </w:rPr>
            </w:pPr>
          </w:p>
        </w:tc>
        <w:tc>
          <w:tcPr>
            <w:tcW w:w="480" w:type="dxa"/>
            <w:vAlign w:val="bottom"/>
          </w:tcPr>
          <w:p w14:paraId="0B760363" w14:textId="77777777" w:rsidR="00D1587D" w:rsidRDefault="00D1587D">
            <w:pPr>
              <w:rPr>
                <w:sz w:val="12"/>
                <w:szCs w:val="12"/>
              </w:rPr>
            </w:pPr>
          </w:p>
        </w:tc>
        <w:tc>
          <w:tcPr>
            <w:tcW w:w="40" w:type="dxa"/>
            <w:vAlign w:val="bottom"/>
          </w:tcPr>
          <w:p w14:paraId="496CA28A" w14:textId="77777777" w:rsidR="00D1587D" w:rsidRDefault="00D1587D">
            <w:pPr>
              <w:rPr>
                <w:sz w:val="12"/>
                <w:szCs w:val="12"/>
              </w:rPr>
            </w:pPr>
          </w:p>
        </w:tc>
        <w:tc>
          <w:tcPr>
            <w:tcW w:w="1260" w:type="dxa"/>
            <w:vAlign w:val="bottom"/>
          </w:tcPr>
          <w:p w14:paraId="67A45D19" w14:textId="77777777" w:rsidR="00D1587D" w:rsidRDefault="00D1587D">
            <w:pPr>
              <w:rPr>
                <w:sz w:val="12"/>
                <w:szCs w:val="12"/>
              </w:rPr>
            </w:pPr>
          </w:p>
        </w:tc>
        <w:tc>
          <w:tcPr>
            <w:tcW w:w="60" w:type="dxa"/>
            <w:vAlign w:val="bottom"/>
          </w:tcPr>
          <w:p w14:paraId="27948789" w14:textId="77777777" w:rsidR="00D1587D" w:rsidRDefault="00D1587D">
            <w:pPr>
              <w:rPr>
                <w:sz w:val="12"/>
                <w:szCs w:val="12"/>
              </w:rPr>
            </w:pPr>
          </w:p>
        </w:tc>
        <w:tc>
          <w:tcPr>
            <w:tcW w:w="900" w:type="dxa"/>
            <w:vAlign w:val="bottom"/>
          </w:tcPr>
          <w:p w14:paraId="08206B7D" w14:textId="77777777" w:rsidR="00D1587D" w:rsidRDefault="00D1587D">
            <w:pPr>
              <w:rPr>
                <w:sz w:val="12"/>
                <w:szCs w:val="12"/>
              </w:rPr>
            </w:pPr>
          </w:p>
        </w:tc>
        <w:tc>
          <w:tcPr>
            <w:tcW w:w="60" w:type="dxa"/>
            <w:vAlign w:val="bottom"/>
          </w:tcPr>
          <w:p w14:paraId="5EC85048" w14:textId="77777777" w:rsidR="00D1587D" w:rsidRDefault="00D1587D">
            <w:pPr>
              <w:rPr>
                <w:sz w:val="12"/>
                <w:szCs w:val="12"/>
              </w:rPr>
            </w:pPr>
          </w:p>
        </w:tc>
        <w:tc>
          <w:tcPr>
            <w:tcW w:w="920" w:type="dxa"/>
            <w:vAlign w:val="bottom"/>
          </w:tcPr>
          <w:p w14:paraId="45BCCB00" w14:textId="77777777" w:rsidR="00D1587D" w:rsidRDefault="00D1587D">
            <w:pPr>
              <w:rPr>
                <w:sz w:val="12"/>
                <w:szCs w:val="12"/>
              </w:rPr>
            </w:pPr>
          </w:p>
        </w:tc>
        <w:tc>
          <w:tcPr>
            <w:tcW w:w="40" w:type="dxa"/>
            <w:vAlign w:val="bottom"/>
          </w:tcPr>
          <w:p w14:paraId="76C4879A" w14:textId="77777777" w:rsidR="00D1587D" w:rsidRDefault="00D1587D">
            <w:pPr>
              <w:rPr>
                <w:sz w:val="12"/>
                <w:szCs w:val="12"/>
              </w:rPr>
            </w:pPr>
          </w:p>
        </w:tc>
        <w:tc>
          <w:tcPr>
            <w:tcW w:w="620" w:type="dxa"/>
            <w:vAlign w:val="bottom"/>
          </w:tcPr>
          <w:p w14:paraId="6C931F85" w14:textId="77777777" w:rsidR="00D1587D" w:rsidRDefault="00D1587D">
            <w:pPr>
              <w:rPr>
                <w:sz w:val="12"/>
                <w:szCs w:val="12"/>
              </w:rPr>
            </w:pPr>
          </w:p>
        </w:tc>
        <w:tc>
          <w:tcPr>
            <w:tcW w:w="0" w:type="dxa"/>
            <w:vAlign w:val="bottom"/>
          </w:tcPr>
          <w:p w14:paraId="632D25D4" w14:textId="77777777" w:rsidR="00D1587D" w:rsidRDefault="00D1587D">
            <w:pPr>
              <w:rPr>
                <w:sz w:val="1"/>
                <w:szCs w:val="1"/>
              </w:rPr>
            </w:pPr>
          </w:p>
        </w:tc>
      </w:tr>
      <w:tr w:rsidR="00D1587D" w14:paraId="615278EF" w14:textId="77777777">
        <w:trPr>
          <w:trHeight w:val="148"/>
        </w:trPr>
        <w:tc>
          <w:tcPr>
            <w:tcW w:w="1740" w:type="dxa"/>
            <w:vAlign w:val="bottom"/>
          </w:tcPr>
          <w:p w14:paraId="6A34F839" w14:textId="77777777" w:rsidR="00D1587D" w:rsidRDefault="00410D07">
            <w:pPr>
              <w:spacing w:line="149" w:lineRule="exact"/>
              <w:ind w:left="140"/>
              <w:rPr>
                <w:sz w:val="20"/>
                <w:szCs w:val="20"/>
              </w:rPr>
            </w:pPr>
            <w:r>
              <w:rPr>
                <w:rFonts w:ascii="Arial" w:eastAsia="Arial" w:hAnsi="Arial" w:cs="Arial"/>
                <w:i/>
                <w:iCs/>
                <w:sz w:val="14"/>
                <w:szCs w:val="14"/>
              </w:rPr>
              <w:t>Executive Officer,</w:t>
            </w:r>
          </w:p>
        </w:tc>
        <w:tc>
          <w:tcPr>
            <w:tcW w:w="40" w:type="dxa"/>
            <w:vAlign w:val="bottom"/>
          </w:tcPr>
          <w:p w14:paraId="0D23A576" w14:textId="77777777" w:rsidR="00D1587D" w:rsidRDefault="00D1587D">
            <w:pPr>
              <w:rPr>
                <w:sz w:val="12"/>
                <w:szCs w:val="12"/>
              </w:rPr>
            </w:pPr>
          </w:p>
        </w:tc>
        <w:tc>
          <w:tcPr>
            <w:tcW w:w="300" w:type="dxa"/>
            <w:vAlign w:val="bottom"/>
          </w:tcPr>
          <w:p w14:paraId="2B8F51EC" w14:textId="77777777" w:rsidR="00D1587D" w:rsidRDefault="00D1587D">
            <w:pPr>
              <w:rPr>
                <w:sz w:val="12"/>
                <w:szCs w:val="12"/>
              </w:rPr>
            </w:pPr>
          </w:p>
        </w:tc>
        <w:tc>
          <w:tcPr>
            <w:tcW w:w="60" w:type="dxa"/>
            <w:vAlign w:val="bottom"/>
          </w:tcPr>
          <w:p w14:paraId="34468B19" w14:textId="77777777" w:rsidR="00D1587D" w:rsidRDefault="00D1587D">
            <w:pPr>
              <w:rPr>
                <w:sz w:val="12"/>
                <w:szCs w:val="12"/>
              </w:rPr>
            </w:pPr>
          </w:p>
        </w:tc>
        <w:tc>
          <w:tcPr>
            <w:tcW w:w="580" w:type="dxa"/>
            <w:vAlign w:val="bottom"/>
          </w:tcPr>
          <w:p w14:paraId="1153190C" w14:textId="77777777" w:rsidR="00D1587D" w:rsidRDefault="00D1587D">
            <w:pPr>
              <w:rPr>
                <w:sz w:val="12"/>
                <w:szCs w:val="12"/>
              </w:rPr>
            </w:pPr>
          </w:p>
        </w:tc>
        <w:tc>
          <w:tcPr>
            <w:tcW w:w="60" w:type="dxa"/>
            <w:vAlign w:val="bottom"/>
          </w:tcPr>
          <w:p w14:paraId="3BF4A878" w14:textId="77777777" w:rsidR="00D1587D" w:rsidRDefault="00D1587D">
            <w:pPr>
              <w:rPr>
                <w:sz w:val="12"/>
                <w:szCs w:val="12"/>
              </w:rPr>
            </w:pPr>
          </w:p>
        </w:tc>
        <w:tc>
          <w:tcPr>
            <w:tcW w:w="380" w:type="dxa"/>
            <w:vAlign w:val="bottom"/>
          </w:tcPr>
          <w:p w14:paraId="33EFC588" w14:textId="77777777" w:rsidR="00D1587D" w:rsidRDefault="00D1587D">
            <w:pPr>
              <w:rPr>
                <w:sz w:val="12"/>
                <w:szCs w:val="12"/>
              </w:rPr>
            </w:pPr>
          </w:p>
        </w:tc>
        <w:tc>
          <w:tcPr>
            <w:tcW w:w="60" w:type="dxa"/>
            <w:vAlign w:val="bottom"/>
          </w:tcPr>
          <w:p w14:paraId="1079C641" w14:textId="77777777" w:rsidR="00D1587D" w:rsidRDefault="00D1587D">
            <w:pPr>
              <w:rPr>
                <w:sz w:val="12"/>
                <w:szCs w:val="12"/>
              </w:rPr>
            </w:pPr>
          </w:p>
        </w:tc>
        <w:tc>
          <w:tcPr>
            <w:tcW w:w="760" w:type="dxa"/>
            <w:vAlign w:val="bottom"/>
          </w:tcPr>
          <w:p w14:paraId="2AB768E8" w14:textId="77777777" w:rsidR="00D1587D" w:rsidRDefault="00D1587D">
            <w:pPr>
              <w:rPr>
                <w:sz w:val="12"/>
                <w:szCs w:val="12"/>
              </w:rPr>
            </w:pPr>
          </w:p>
        </w:tc>
        <w:tc>
          <w:tcPr>
            <w:tcW w:w="60" w:type="dxa"/>
            <w:vAlign w:val="bottom"/>
          </w:tcPr>
          <w:p w14:paraId="59405616" w14:textId="77777777" w:rsidR="00D1587D" w:rsidRDefault="00D1587D">
            <w:pPr>
              <w:rPr>
                <w:sz w:val="12"/>
                <w:szCs w:val="12"/>
              </w:rPr>
            </w:pPr>
          </w:p>
        </w:tc>
        <w:tc>
          <w:tcPr>
            <w:tcW w:w="480" w:type="dxa"/>
            <w:vAlign w:val="bottom"/>
          </w:tcPr>
          <w:p w14:paraId="1433609D" w14:textId="77777777" w:rsidR="00D1587D" w:rsidRDefault="00D1587D">
            <w:pPr>
              <w:rPr>
                <w:sz w:val="12"/>
                <w:szCs w:val="12"/>
              </w:rPr>
            </w:pPr>
          </w:p>
        </w:tc>
        <w:tc>
          <w:tcPr>
            <w:tcW w:w="40" w:type="dxa"/>
            <w:vAlign w:val="bottom"/>
          </w:tcPr>
          <w:p w14:paraId="120E199D" w14:textId="77777777" w:rsidR="00D1587D" w:rsidRDefault="00D1587D">
            <w:pPr>
              <w:rPr>
                <w:sz w:val="12"/>
                <w:szCs w:val="12"/>
              </w:rPr>
            </w:pPr>
          </w:p>
        </w:tc>
        <w:tc>
          <w:tcPr>
            <w:tcW w:w="1260" w:type="dxa"/>
            <w:vAlign w:val="bottom"/>
          </w:tcPr>
          <w:p w14:paraId="41F966D0" w14:textId="77777777" w:rsidR="00D1587D" w:rsidRDefault="00D1587D">
            <w:pPr>
              <w:rPr>
                <w:sz w:val="12"/>
                <w:szCs w:val="12"/>
              </w:rPr>
            </w:pPr>
          </w:p>
        </w:tc>
        <w:tc>
          <w:tcPr>
            <w:tcW w:w="60" w:type="dxa"/>
            <w:vAlign w:val="bottom"/>
          </w:tcPr>
          <w:p w14:paraId="17EA1E0B" w14:textId="77777777" w:rsidR="00D1587D" w:rsidRDefault="00D1587D">
            <w:pPr>
              <w:rPr>
                <w:sz w:val="12"/>
                <w:szCs w:val="12"/>
              </w:rPr>
            </w:pPr>
          </w:p>
        </w:tc>
        <w:tc>
          <w:tcPr>
            <w:tcW w:w="900" w:type="dxa"/>
            <w:vAlign w:val="bottom"/>
          </w:tcPr>
          <w:p w14:paraId="0B8F55BB" w14:textId="77777777" w:rsidR="00D1587D" w:rsidRDefault="00D1587D">
            <w:pPr>
              <w:rPr>
                <w:sz w:val="12"/>
                <w:szCs w:val="12"/>
              </w:rPr>
            </w:pPr>
          </w:p>
        </w:tc>
        <w:tc>
          <w:tcPr>
            <w:tcW w:w="60" w:type="dxa"/>
            <w:vAlign w:val="bottom"/>
          </w:tcPr>
          <w:p w14:paraId="14D89039" w14:textId="77777777" w:rsidR="00D1587D" w:rsidRDefault="00D1587D">
            <w:pPr>
              <w:rPr>
                <w:sz w:val="12"/>
                <w:szCs w:val="12"/>
              </w:rPr>
            </w:pPr>
          </w:p>
        </w:tc>
        <w:tc>
          <w:tcPr>
            <w:tcW w:w="920" w:type="dxa"/>
            <w:vAlign w:val="bottom"/>
          </w:tcPr>
          <w:p w14:paraId="53219167" w14:textId="77777777" w:rsidR="00D1587D" w:rsidRDefault="00D1587D">
            <w:pPr>
              <w:rPr>
                <w:sz w:val="12"/>
                <w:szCs w:val="12"/>
              </w:rPr>
            </w:pPr>
          </w:p>
        </w:tc>
        <w:tc>
          <w:tcPr>
            <w:tcW w:w="40" w:type="dxa"/>
            <w:vAlign w:val="bottom"/>
          </w:tcPr>
          <w:p w14:paraId="49D40D2F" w14:textId="77777777" w:rsidR="00D1587D" w:rsidRDefault="00D1587D">
            <w:pPr>
              <w:rPr>
                <w:sz w:val="12"/>
                <w:szCs w:val="12"/>
              </w:rPr>
            </w:pPr>
          </w:p>
        </w:tc>
        <w:tc>
          <w:tcPr>
            <w:tcW w:w="620" w:type="dxa"/>
            <w:vAlign w:val="bottom"/>
          </w:tcPr>
          <w:p w14:paraId="670AAC13" w14:textId="77777777" w:rsidR="00D1587D" w:rsidRDefault="00D1587D">
            <w:pPr>
              <w:rPr>
                <w:sz w:val="12"/>
                <w:szCs w:val="12"/>
              </w:rPr>
            </w:pPr>
          </w:p>
        </w:tc>
        <w:tc>
          <w:tcPr>
            <w:tcW w:w="0" w:type="dxa"/>
            <w:vAlign w:val="bottom"/>
          </w:tcPr>
          <w:p w14:paraId="1F78333D" w14:textId="77777777" w:rsidR="00D1587D" w:rsidRDefault="00D1587D">
            <w:pPr>
              <w:rPr>
                <w:sz w:val="1"/>
                <w:szCs w:val="1"/>
              </w:rPr>
            </w:pPr>
          </w:p>
        </w:tc>
      </w:tr>
      <w:tr w:rsidR="00D1587D" w14:paraId="3553F335" w14:textId="77777777">
        <w:trPr>
          <w:trHeight w:val="148"/>
        </w:trPr>
        <w:tc>
          <w:tcPr>
            <w:tcW w:w="1740" w:type="dxa"/>
            <w:vAlign w:val="bottom"/>
          </w:tcPr>
          <w:p w14:paraId="33F6577F" w14:textId="77777777" w:rsidR="00D1587D" w:rsidRDefault="00410D07">
            <w:pPr>
              <w:spacing w:line="149" w:lineRule="exact"/>
              <w:ind w:left="140"/>
              <w:rPr>
                <w:sz w:val="20"/>
                <w:szCs w:val="20"/>
              </w:rPr>
            </w:pPr>
            <w:r>
              <w:rPr>
                <w:rFonts w:ascii="Arial" w:eastAsia="Arial" w:hAnsi="Arial" w:cs="Arial"/>
                <w:i/>
                <w:iCs/>
                <w:w w:val="99"/>
                <w:sz w:val="14"/>
                <w:szCs w:val="14"/>
              </w:rPr>
              <w:t>Executive Vice President,</w:t>
            </w:r>
          </w:p>
        </w:tc>
        <w:tc>
          <w:tcPr>
            <w:tcW w:w="40" w:type="dxa"/>
            <w:vAlign w:val="bottom"/>
          </w:tcPr>
          <w:p w14:paraId="0C87617B" w14:textId="77777777" w:rsidR="00D1587D" w:rsidRDefault="00D1587D">
            <w:pPr>
              <w:rPr>
                <w:sz w:val="12"/>
                <w:szCs w:val="12"/>
              </w:rPr>
            </w:pPr>
          </w:p>
        </w:tc>
        <w:tc>
          <w:tcPr>
            <w:tcW w:w="300" w:type="dxa"/>
            <w:vAlign w:val="bottom"/>
          </w:tcPr>
          <w:p w14:paraId="40B363F4" w14:textId="77777777" w:rsidR="00D1587D" w:rsidRDefault="00D1587D">
            <w:pPr>
              <w:rPr>
                <w:sz w:val="12"/>
                <w:szCs w:val="12"/>
              </w:rPr>
            </w:pPr>
          </w:p>
        </w:tc>
        <w:tc>
          <w:tcPr>
            <w:tcW w:w="60" w:type="dxa"/>
            <w:vAlign w:val="bottom"/>
          </w:tcPr>
          <w:p w14:paraId="3D0E714A" w14:textId="77777777" w:rsidR="00D1587D" w:rsidRDefault="00D1587D">
            <w:pPr>
              <w:rPr>
                <w:sz w:val="12"/>
                <w:szCs w:val="12"/>
              </w:rPr>
            </w:pPr>
          </w:p>
        </w:tc>
        <w:tc>
          <w:tcPr>
            <w:tcW w:w="580" w:type="dxa"/>
            <w:vAlign w:val="bottom"/>
          </w:tcPr>
          <w:p w14:paraId="6E1D0211" w14:textId="77777777" w:rsidR="00D1587D" w:rsidRDefault="00D1587D">
            <w:pPr>
              <w:rPr>
                <w:sz w:val="12"/>
                <w:szCs w:val="12"/>
              </w:rPr>
            </w:pPr>
          </w:p>
        </w:tc>
        <w:tc>
          <w:tcPr>
            <w:tcW w:w="60" w:type="dxa"/>
            <w:vAlign w:val="bottom"/>
          </w:tcPr>
          <w:p w14:paraId="69E52C60" w14:textId="77777777" w:rsidR="00D1587D" w:rsidRDefault="00D1587D">
            <w:pPr>
              <w:rPr>
                <w:sz w:val="12"/>
                <w:szCs w:val="12"/>
              </w:rPr>
            </w:pPr>
          </w:p>
        </w:tc>
        <w:tc>
          <w:tcPr>
            <w:tcW w:w="380" w:type="dxa"/>
            <w:vAlign w:val="bottom"/>
          </w:tcPr>
          <w:p w14:paraId="17E455CA" w14:textId="77777777" w:rsidR="00D1587D" w:rsidRDefault="00D1587D">
            <w:pPr>
              <w:rPr>
                <w:sz w:val="12"/>
                <w:szCs w:val="12"/>
              </w:rPr>
            </w:pPr>
          </w:p>
        </w:tc>
        <w:tc>
          <w:tcPr>
            <w:tcW w:w="60" w:type="dxa"/>
            <w:vAlign w:val="bottom"/>
          </w:tcPr>
          <w:p w14:paraId="2DBBE3FA" w14:textId="77777777" w:rsidR="00D1587D" w:rsidRDefault="00D1587D">
            <w:pPr>
              <w:rPr>
                <w:sz w:val="12"/>
                <w:szCs w:val="12"/>
              </w:rPr>
            </w:pPr>
          </w:p>
        </w:tc>
        <w:tc>
          <w:tcPr>
            <w:tcW w:w="760" w:type="dxa"/>
            <w:vAlign w:val="bottom"/>
          </w:tcPr>
          <w:p w14:paraId="1C25AD23" w14:textId="77777777" w:rsidR="00D1587D" w:rsidRDefault="00D1587D">
            <w:pPr>
              <w:rPr>
                <w:sz w:val="12"/>
                <w:szCs w:val="12"/>
              </w:rPr>
            </w:pPr>
          </w:p>
        </w:tc>
        <w:tc>
          <w:tcPr>
            <w:tcW w:w="60" w:type="dxa"/>
            <w:vAlign w:val="bottom"/>
          </w:tcPr>
          <w:p w14:paraId="6C6FDDD8" w14:textId="77777777" w:rsidR="00D1587D" w:rsidRDefault="00D1587D">
            <w:pPr>
              <w:rPr>
                <w:sz w:val="12"/>
                <w:szCs w:val="12"/>
              </w:rPr>
            </w:pPr>
          </w:p>
        </w:tc>
        <w:tc>
          <w:tcPr>
            <w:tcW w:w="480" w:type="dxa"/>
            <w:vAlign w:val="bottom"/>
          </w:tcPr>
          <w:p w14:paraId="1A9EA846" w14:textId="77777777" w:rsidR="00D1587D" w:rsidRDefault="00D1587D">
            <w:pPr>
              <w:rPr>
                <w:sz w:val="12"/>
                <w:szCs w:val="12"/>
              </w:rPr>
            </w:pPr>
          </w:p>
        </w:tc>
        <w:tc>
          <w:tcPr>
            <w:tcW w:w="40" w:type="dxa"/>
            <w:vAlign w:val="bottom"/>
          </w:tcPr>
          <w:p w14:paraId="53AA4232" w14:textId="77777777" w:rsidR="00D1587D" w:rsidRDefault="00D1587D">
            <w:pPr>
              <w:rPr>
                <w:sz w:val="12"/>
                <w:szCs w:val="12"/>
              </w:rPr>
            </w:pPr>
          </w:p>
        </w:tc>
        <w:tc>
          <w:tcPr>
            <w:tcW w:w="1260" w:type="dxa"/>
            <w:vAlign w:val="bottom"/>
          </w:tcPr>
          <w:p w14:paraId="45BA5DEB" w14:textId="77777777" w:rsidR="00D1587D" w:rsidRDefault="00D1587D">
            <w:pPr>
              <w:rPr>
                <w:sz w:val="12"/>
                <w:szCs w:val="12"/>
              </w:rPr>
            </w:pPr>
          </w:p>
        </w:tc>
        <w:tc>
          <w:tcPr>
            <w:tcW w:w="60" w:type="dxa"/>
            <w:vAlign w:val="bottom"/>
          </w:tcPr>
          <w:p w14:paraId="19B1CD7A" w14:textId="77777777" w:rsidR="00D1587D" w:rsidRDefault="00D1587D">
            <w:pPr>
              <w:rPr>
                <w:sz w:val="12"/>
                <w:szCs w:val="12"/>
              </w:rPr>
            </w:pPr>
          </w:p>
        </w:tc>
        <w:tc>
          <w:tcPr>
            <w:tcW w:w="900" w:type="dxa"/>
            <w:vAlign w:val="bottom"/>
          </w:tcPr>
          <w:p w14:paraId="55247146" w14:textId="77777777" w:rsidR="00D1587D" w:rsidRDefault="00D1587D">
            <w:pPr>
              <w:rPr>
                <w:sz w:val="12"/>
                <w:szCs w:val="12"/>
              </w:rPr>
            </w:pPr>
          </w:p>
        </w:tc>
        <w:tc>
          <w:tcPr>
            <w:tcW w:w="60" w:type="dxa"/>
            <w:vAlign w:val="bottom"/>
          </w:tcPr>
          <w:p w14:paraId="721A6DDB" w14:textId="77777777" w:rsidR="00D1587D" w:rsidRDefault="00D1587D">
            <w:pPr>
              <w:rPr>
                <w:sz w:val="12"/>
                <w:szCs w:val="12"/>
              </w:rPr>
            </w:pPr>
          </w:p>
        </w:tc>
        <w:tc>
          <w:tcPr>
            <w:tcW w:w="920" w:type="dxa"/>
            <w:vAlign w:val="bottom"/>
          </w:tcPr>
          <w:p w14:paraId="7AF56C2E" w14:textId="77777777" w:rsidR="00D1587D" w:rsidRDefault="00D1587D">
            <w:pPr>
              <w:rPr>
                <w:sz w:val="12"/>
                <w:szCs w:val="12"/>
              </w:rPr>
            </w:pPr>
          </w:p>
        </w:tc>
        <w:tc>
          <w:tcPr>
            <w:tcW w:w="40" w:type="dxa"/>
            <w:vAlign w:val="bottom"/>
          </w:tcPr>
          <w:p w14:paraId="34442A35" w14:textId="77777777" w:rsidR="00D1587D" w:rsidRDefault="00D1587D">
            <w:pPr>
              <w:rPr>
                <w:sz w:val="12"/>
                <w:szCs w:val="12"/>
              </w:rPr>
            </w:pPr>
          </w:p>
        </w:tc>
        <w:tc>
          <w:tcPr>
            <w:tcW w:w="620" w:type="dxa"/>
            <w:vAlign w:val="bottom"/>
          </w:tcPr>
          <w:p w14:paraId="3613F2B8" w14:textId="77777777" w:rsidR="00D1587D" w:rsidRDefault="00D1587D">
            <w:pPr>
              <w:rPr>
                <w:sz w:val="12"/>
                <w:szCs w:val="12"/>
              </w:rPr>
            </w:pPr>
          </w:p>
        </w:tc>
        <w:tc>
          <w:tcPr>
            <w:tcW w:w="0" w:type="dxa"/>
            <w:vAlign w:val="bottom"/>
          </w:tcPr>
          <w:p w14:paraId="365350EA" w14:textId="77777777" w:rsidR="00D1587D" w:rsidRDefault="00D1587D">
            <w:pPr>
              <w:rPr>
                <w:sz w:val="1"/>
                <w:szCs w:val="1"/>
              </w:rPr>
            </w:pPr>
          </w:p>
        </w:tc>
      </w:tr>
      <w:tr w:rsidR="00D1587D" w14:paraId="64C30C4E" w14:textId="77777777">
        <w:trPr>
          <w:trHeight w:val="182"/>
        </w:trPr>
        <w:tc>
          <w:tcPr>
            <w:tcW w:w="1740" w:type="dxa"/>
            <w:vAlign w:val="bottom"/>
          </w:tcPr>
          <w:p w14:paraId="70A5F5B1" w14:textId="77777777" w:rsidR="00D1587D" w:rsidRDefault="00410D07">
            <w:pPr>
              <w:ind w:left="140"/>
              <w:rPr>
                <w:sz w:val="20"/>
                <w:szCs w:val="20"/>
              </w:rPr>
            </w:pPr>
            <w:r>
              <w:rPr>
                <w:rFonts w:ascii="Arial" w:eastAsia="Arial" w:hAnsi="Arial" w:cs="Arial"/>
                <w:i/>
                <w:iCs/>
                <w:sz w:val="14"/>
                <w:szCs w:val="14"/>
              </w:rPr>
              <w:t>Chief Financial Officer</w:t>
            </w:r>
          </w:p>
        </w:tc>
        <w:tc>
          <w:tcPr>
            <w:tcW w:w="40" w:type="dxa"/>
            <w:vAlign w:val="bottom"/>
          </w:tcPr>
          <w:p w14:paraId="29CF8568" w14:textId="77777777" w:rsidR="00D1587D" w:rsidRDefault="00D1587D">
            <w:pPr>
              <w:rPr>
                <w:sz w:val="15"/>
                <w:szCs w:val="15"/>
              </w:rPr>
            </w:pPr>
          </w:p>
        </w:tc>
        <w:tc>
          <w:tcPr>
            <w:tcW w:w="300" w:type="dxa"/>
            <w:vAlign w:val="bottom"/>
          </w:tcPr>
          <w:p w14:paraId="193DB53C" w14:textId="77777777" w:rsidR="00D1587D" w:rsidRDefault="00D1587D">
            <w:pPr>
              <w:rPr>
                <w:sz w:val="15"/>
                <w:szCs w:val="15"/>
              </w:rPr>
            </w:pPr>
          </w:p>
        </w:tc>
        <w:tc>
          <w:tcPr>
            <w:tcW w:w="60" w:type="dxa"/>
            <w:vAlign w:val="bottom"/>
          </w:tcPr>
          <w:p w14:paraId="6F5E7917" w14:textId="77777777" w:rsidR="00D1587D" w:rsidRDefault="00D1587D">
            <w:pPr>
              <w:rPr>
                <w:sz w:val="15"/>
                <w:szCs w:val="15"/>
              </w:rPr>
            </w:pPr>
          </w:p>
        </w:tc>
        <w:tc>
          <w:tcPr>
            <w:tcW w:w="580" w:type="dxa"/>
            <w:vAlign w:val="bottom"/>
          </w:tcPr>
          <w:p w14:paraId="16584D56" w14:textId="77777777" w:rsidR="00D1587D" w:rsidRDefault="00D1587D">
            <w:pPr>
              <w:rPr>
                <w:sz w:val="15"/>
                <w:szCs w:val="15"/>
              </w:rPr>
            </w:pPr>
          </w:p>
        </w:tc>
        <w:tc>
          <w:tcPr>
            <w:tcW w:w="60" w:type="dxa"/>
            <w:vAlign w:val="bottom"/>
          </w:tcPr>
          <w:p w14:paraId="549B97F6" w14:textId="77777777" w:rsidR="00D1587D" w:rsidRDefault="00D1587D">
            <w:pPr>
              <w:rPr>
                <w:sz w:val="15"/>
                <w:szCs w:val="15"/>
              </w:rPr>
            </w:pPr>
          </w:p>
        </w:tc>
        <w:tc>
          <w:tcPr>
            <w:tcW w:w="380" w:type="dxa"/>
            <w:vAlign w:val="bottom"/>
          </w:tcPr>
          <w:p w14:paraId="7021894A" w14:textId="77777777" w:rsidR="00D1587D" w:rsidRDefault="00D1587D">
            <w:pPr>
              <w:rPr>
                <w:sz w:val="15"/>
                <w:szCs w:val="15"/>
              </w:rPr>
            </w:pPr>
          </w:p>
        </w:tc>
        <w:tc>
          <w:tcPr>
            <w:tcW w:w="60" w:type="dxa"/>
            <w:vAlign w:val="bottom"/>
          </w:tcPr>
          <w:p w14:paraId="519CBC51" w14:textId="77777777" w:rsidR="00D1587D" w:rsidRDefault="00D1587D">
            <w:pPr>
              <w:rPr>
                <w:sz w:val="15"/>
                <w:szCs w:val="15"/>
              </w:rPr>
            </w:pPr>
          </w:p>
        </w:tc>
        <w:tc>
          <w:tcPr>
            <w:tcW w:w="760" w:type="dxa"/>
            <w:vAlign w:val="bottom"/>
          </w:tcPr>
          <w:p w14:paraId="04F14094" w14:textId="77777777" w:rsidR="00D1587D" w:rsidRDefault="00D1587D">
            <w:pPr>
              <w:rPr>
                <w:sz w:val="15"/>
                <w:szCs w:val="15"/>
              </w:rPr>
            </w:pPr>
          </w:p>
        </w:tc>
        <w:tc>
          <w:tcPr>
            <w:tcW w:w="60" w:type="dxa"/>
            <w:vAlign w:val="bottom"/>
          </w:tcPr>
          <w:p w14:paraId="36471661" w14:textId="77777777" w:rsidR="00D1587D" w:rsidRDefault="00D1587D">
            <w:pPr>
              <w:rPr>
                <w:sz w:val="15"/>
                <w:szCs w:val="15"/>
              </w:rPr>
            </w:pPr>
          </w:p>
        </w:tc>
        <w:tc>
          <w:tcPr>
            <w:tcW w:w="480" w:type="dxa"/>
            <w:vAlign w:val="bottom"/>
          </w:tcPr>
          <w:p w14:paraId="60324BF2" w14:textId="77777777" w:rsidR="00D1587D" w:rsidRDefault="00D1587D">
            <w:pPr>
              <w:rPr>
                <w:sz w:val="15"/>
                <w:szCs w:val="15"/>
              </w:rPr>
            </w:pPr>
          </w:p>
        </w:tc>
        <w:tc>
          <w:tcPr>
            <w:tcW w:w="40" w:type="dxa"/>
            <w:vAlign w:val="bottom"/>
          </w:tcPr>
          <w:p w14:paraId="04987269" w14:textId="77777777" w:rsidR="00D1587D" w:rsidRDefault="00D1587D">
            <w:pPr>
              <w:rPr>
                <w:sz w:val="15"/>
                <w:szCs w:val="15"/>
              </w:rPr>
            </w:pPr>
          </w:p>
        </w:tc>
        <w:tc>
          <w:tcPr>
            <w:tcW w:w="1260" w:type="dxa"/>
            <w:vAlign w:val="bottom"/>
          </w:tcPr>
          <w:p w14:paraId="6769E468" w14:textId="77777777" w:rsidR="00D1587D" w:rsidRDefault="00D1587D">
            <w:pPr>
              <w:rPr>
                <w:sz w:val="15"/>
                <w:szCs w:val="15"/>
              </w:rPr>
            </w:pPr>
          </w:p>
        </w:tc>
        <w:tc>
          <w:tcPr>
            <w:tcW w:w="60" w:type="dxa"/>
            <w:vAlign w:val="bottom"/>
          </w:tcPr>
          <w:p w14:paraId="646C67CF" w14:textId="77777777" w:rsidR="00D1587D" w:rsidRDefault="00D1587D">
            <w:pPr>
              <w:rPr>
                <w:sz w:val="15"/>
                <w:szCs w:val="15"/>
              </w:rPr>
            </w:pPr>
          </w:p>
        </w:tc>
        <w:tc>
          <w:tcPr>
            <w:tcW w:w="900" w:type="dxa"/>
            <w:vAlign w:val="bottom"/>
          </w:tcPr>
          <w:p w14:paraId="2DD75DF8" w14:textId="77777777" w:rsidR="00D1587D" w:rsidRDefault="00D1587D">
            <w:pPr>
              <w:rPr>
                <w:sz w:val="15"/>
                <w:szCs w:val="15"/>
              </w:rPr>
            </w:pPr>
          </w:p>
        </w:tc>
        <w:tc>
          <w:tcPr>
            <w:tcW w:w="60" w:type="dxa"/>
            <w:vAlign w:val="bottom"/>
          </w:tcPr>
          <w:p w14:paraId="3A3CD0E8" w14:textId="77777777" w:rsidR="00D1587D" w:rsidRDefault="00D1587D">
            <w:pPr>
              <w:rPr>
                <w:sz w:val="15"/>
                <w:szCs w:val="15"/>
              </w:rPr>
            </w:pPr>
          </w:p>
        </w:tc>
        <w:tc>
          <w:tcPr>
            <w:tcW w:w="920" w:type="dxa"/>
            <w:vAlign w:val="bottom"/>
          </w:tcPr>
          <w:p w14:paraId="4A2717A4" w14:textId="77777777" w:rsidR="00D1587D" w:rsidRDefault="00D1587D">
            <w:pPr>
              <w:rPr>
                <w:sz w:val="15"/>
                <w:szCs w:val="15"/>
              </w:rPr>
            </w:pPr>
          </w:p>
        </w:tc>
        <w:tc>
          <w:tcPr>
            <w:tcW w:w="40" w:type="dxa"/>
            <w:vAlign w:val="bottom"/>
          </w:tcPr>
          <w:p w14:paraId="58C2D3BB" w14:textId="77777777" w:rsidR="00D1587D" w:rsidRDefault="00D1587D">
            <w:pPr>
              <w:rPr>
                <w:sz w:val="15"/>
                <w:szCs w:val="15"/>
              </w:rPr>
            </w:pPr>
          </w:p>
        </w:tc>
        <w:tc>
          <w:tcPr>
            <w:tcW w:w="620" w:type="dxa"/>
            <w:vAlign w:val="bottom"/>
          </w:tcPr>
          <w:p w14:paraId="45418F04" w14:textId="77777777" w:rsidR="00D1587D" w:rsidRDefault="00D1587D">
            <w:pPr>
              <w:rPr>
                <w:sz w:val="15"/>
                <w:szCs w:val="15"/>
              </w:rPr>
            </w:pPr>
          </w:p>
        </w:tc>
        <w:tc>
          <w:tcPr>
            <w:tcW w:w="0" w:type="dxa"/>
            <w:vAlign w:val="bottom"/>
          </w:tcPr>
          <w:p w14:paraId="7F185D5F" w14:textId="77777777" w:rsidR="00D1587D" w:rsidRDefault="00D1587D">
            <w:pPr>
              <w:rPr>
                <w:sz w:val="1"/>
                <w:szCs w:val="1"/>
              </w:rPr>
            </w:pPr>
          </w:p>
        </w:tc>
      </w:tr>
      <w:tr w:rsidR="00D1587D" w14:paraId="1297A68B" w14:textId="77777777">
        <w:trPr>
          <w:trHeight w:val="39"/>
        </w:trPr>
        <w:tc>
          <w:tcPr>
            <w:tcW w:w="1740" w:type="dxa"/>
            <w:vAlign w:val="bottom"/>
          </w:tcPr>
          <w:p w14:paraId="29BC03D9" w14:textId="77777777" w:rsidR="00D1587D" w:rsidRDefault="00D1587D">
            <w:pPr>
              <w:rPr>
                <w:sz w:val="3"/>
                <w:szCs w:val="3"/>
              </w:rPr>
            </w:pPr>
          </w:p>
        </w:tc>
        <w:tc>
          <w:tcPr>
            <w:tcW w:w="40" w:type="dxa"/>
            <w:vAlign w:val="bottom"/>
          </w:tcPr>
          <w:p w14:paraId="2CEC6ACF" w14:textId="77777777" w:rsidR="00D1587D" w:rsidRDefault="00D1587D">
            <w:pPr>
              <w:rPr>
                <w:sz w:val="3"/>
                <w:szCs w:val="3"/>
              </w:rPr>
            </w:pPr>
          </w:p>
        </w:tc>
        <w:tc>
          <w:tcPr>
            <w:tcW w:w="300" w:type="dxa"/>
            <w:vAlign w:val="bottom"/>
          </w:tcPr>
          <w:p w14:paraId="04CA4BEA" w14:textId="77777777" w:rsidR="00D1587D" w:rsidRDefault="00D1587D">
            <w:pPr>
              <w:rPr>
                <w:sz w:val="3"/>
                <w:szCs w:val="3"/>
              </w:rPr>
            </w:pPr>
          </w:p>
        </w:tc>
        <w:tc>
          <w:tcPr>
            <w:tcW w:w="60" w:type="dxa"/>
            <w:vAlign w:val="bottom"/>
          </w:tcPr>
          <w:p w14:paraId="5FCEF2C6" w14:textId="77777777" w:rsidR="00D1587D" w:rsidRDefault="00D1587D">
            <w:pPr>
              <w:rPr>
                <w:sz w:val="3"/>
                <w:szCs w:val="3"/>
              </w:rPr>
            </w:pPr>
          </w:p>
        </w:tc>
        <w:tc>
          <w:tcPr>
            <w:tcW w:w="580" w:type="dxa"/>
            <w:vAlign w:val="bottom"/>
          </w:tcPr>
          <w:p w14:paraId="21447A90" w14:textId="77777777" w:rsidR="00D1587D" w:rsidRDefault="00D1587D">
            <w:pPr>
              <w:rPr>
                <w:sz w:val="3"/>
                <w:szCs w:val="3"/>
              </w:rPr>
            </w:pPr>
          </w:p>
        </w:tc>
        <w:tc>
          <w:tcPr>
            <w:tcW w:w="60" w:type="dxa"/>
            <w:vAlign w:val="bottom"/>
          </w:tcPr>
          <w:p w14:paraId="5B1E979D" w14:textId="77777777" w:rsidR="00D1587D" w:rsidRDefault="00D1587D">
            <w:pPr>
              <w:rPr>
                <w:sz w:val="3"/>
                <w:szCs w:val="3"/>
              </w:rPr>
            </w:pPr>
          </w:p>
        </w:tc>
        <w:tc>
          <w:tcPr>
            <w:tcW w:w="380" w:type="dxa"/>
            <w:vAlign w:val="bottom"/>
          </w:tcPr>
          <w:p w14:paraId="3FAB4FCE" w14:textId="77777777" w:rsidR="00D1587D" w:rsidRDefault="00D1587D">
            <w:pPr>
              <w:rPr>
                <w:sz w:val="3"/>
                <w:szCs w:val="3"/>
              </w:rPr>
            </w:pPr>
          </w:p>
        </w:tc>
        <w:tc>
          <w:tcPr>
            <w:tcW w:w="60" w:type="dxa"/>
            <w:vAlign w:val="bottom"/>
          </w:tcPr>
          <w:p w14:paraId="2A216FA6" w14:textId="77777777" w:rsidR="00D1587D" w:rsidRDefault="00D1587D">
            <w:pPr>
              <w:rPr>
                <w:sz w:val="3"/>
                <w:szCs w:val="3"/>
              </w:rPr>
            </w:pPr>
          </w:p>
        </w:tc>
        <w:tc>
          <w:tcPr>
            <w:tcW w:w="760" w:type="dxa"/>
            <w:vAlign w:val="bottom"/>
          </w:tcPr>
          <w:p w14:paraId="5FC4F6AA" w14:textId="77777777" w:rsidR="00D1587D" w:rsidRDefault="00D1587D">
            <w:pPr>
              <w:rPr>
                <w:sz w:val="3"/>
                <w:szCs w:val="3"/>
              </w:rPr>
            </w:pPr>
          </w:p>
        </w:tc>
        <w:tc>
          <w:tcPr>
            <w:tcW w:w="60" w:type="dxa"/>
            <w:vAlign w:val="bottom"/>
          </w:tcPr>
          <w:p w14:paraId="2237BCEA" w14:textId="77777777" w:rsidR="00D1587D" w:rsidRDefault="00D1587D">
            <w:pPr>
              <w:rPr>
                <w:sz w:val="3"/>
                <w:szCs w:val="3"/>
              </w:rPr>
            </w:pPr>
          </w:p>
        </w:tc>
        <w:tc>
          <w:tcPr>
            <w:tcW w:w="480" w:type="dxa"/>
            <w:vAlign w:val="bottom"/>
          </w:tcPr>
          <w:p w14:paraId="4F5718BA" w14:textId="77777777" w:rsidR="00D1587D" w:rsidRDefault="00D1587D">
            <w:pPr>
              <w:rPr>
                <w:sz w:val="3"/>
                <w:szCs w:val="3"/>
              </w:rPr>
            </w:pPr>
          </w:p>
        </w:tc>
        <w:tc>
          <w:tcPr>
            <w:tcW w:w="40" w:type="dxa"/>
            <w:vAlign w:val="bottom"/>
          </w:tcPr>
          <w:p w14:paraId="5B5C687E" w14:textId="77777777" w:rsidR="00D1587D" w:rsidRDefault="00D1587D">
            <w:pPr>
              <w:rPr>
                <w:sz w:val="3"/>
                <w:szCs w:val="3"/>
              </w:rPr>
            </w:pPr>
          </w:p>
        </w:tc>
        <w:tc>
          <w:tcPr>
            <w:tcW w:w="1260" w:type="dxa"/>
            <w:vAlign w:val="bottom"/>
          </w:tcPr>
          <w:p w14:paraId="03218A36" w14:textId="77777777" w:rsidR="00D1587D" w:rsidRDefault="00D1587D">
            <w:pPr>
              <w:rPr>
                <w:sz w:val="3"/>
                <w:szCs w:val="3"/>
              </w:rPr>
            </w:pPr>
          </w:p>
        </w:tc>
        <w:tc>
          <w:tcPr>
            <w:tcW w:w="60" w:type="dxa"/>
            <w:vAlign w:val="bottom"/>
          </w:tcPr>
          <w:p w14:paraId="38BFE454" w14:textId="77777777" w:rsidR="00D1587D" w:rsidRDefault="00D1587D">
            <w:pPr>
              <w:rPr>
                <w:sz w:val="3"/>
                <w:szCs w:val="3"/>
              </w:rPr>
            </w:pPr>
          </w:p>
        </w:tc>
        <w:tc>
          <w:tcPr>
            <w:tcW w:w="900" w:type="dxa"/>
            <w:vAlign w:val="bottom"/>
          </w:tcPr>
          <w:p w14:paraId="34A73286" w14:textId="77777777" w:rsidR="00D1587D" w:rsidRDefault="00D1587D">
            <w:pPr>
              <w:rPr>
                <w:sz w:val="3"/>
                <w:szCs w:val="3"/>
              </w:rPr>
            </w:pPr>
          </w:p>
        </w:tc>
        <w:tc>
          <w:tcPr>
            <w:tcW w:w="60" w:type="dxa"/>
            <w:vAlign w:val="bottom"/>
          </w:tcPr>
          <w:p w14:paraId="0D4A1E84" w14:textId="77777777" w:rsidR="00D1587D" w:rsidRDefault="00D1587D">
            <w:pPr>
              <w:rPr>
                <w:sz w:val="3"/>
                <w:szCs w:val="3"/>
              </w:rPr>
            </w:pPr>
          </w:p>
        </w:tc>
        <w:tc>
          <w:tcPr>
            <w:tcW w:w="920" w:type="dxa"/>
            <w:vAlign w:val="bottom"/>
          </w:tcPr>
          <w:p w14:paraId="6F816DA4" w14:textId="77777777" w:rsidR="00D1587D" w:rsidRDefault="00D1587D">
            <w:pPr>
              <w:rPr>
                <w:sz w:val="3"/>
                <w:szCs w:val="3"/>
              </w:rPr>
            </w:pPr>
          </w:p>
        </w:tc>
        <w:tc>
          <w:tcPr>
            <w:tcW w:w="40" w:type="dxa"/>
            <w:vAlign w:val="bottom"/>
          </w:tcPr>
          <w:p w14:paraId="5358158D" w14:textId="77777777" w:rsidR="00D1587D" w:rsidRDefault="00D1587D">
            <w:pPr>
              <w:rPr>
                <w:sz w:val="3"/>
                <w:szCs w:val="3"/>
              </w:rPr>
            </w:pPr>
          </w:p>
        </w:tc>
        <w:tc>
          <w:tcPr>
            <w:tcW w:w="620" w:type="dxa"/>
            <w:vAlign w:val="bottom"/>
          </w:tcPr>
          <w:p w14:paraId="753FAE7E" w14:textId="77777777" w:rsidR="00D1587D" w:rsidRDefault="00D1587D">
            <w:pPr>
              <w:rPr>
                <w:sz w:val="3"/>
                <w:szCs w:val="3"/>
              </w:rPr>
            </w:pPr>
          </w:p>
        </w:tc>
        <w:tc>
          <w:tcPr>
            <w:tcW w:w="0" w:type="dxa"/>
            <w:vAlign w:val="bottom"/>
          </w:tcPr>
          <w:p w14:paraId="271603AC" w14:textId="77777777" w:rsidR="00D1587D" w:rsidRDefault="00D1587D">
            <w:pPr>
              <w:spacing w:line="20" w:lineRule="exact"/>
              <w:rPr>
                <w:sz w:val="1"/>
                <w:szCs w:val="1"/>
              </w:rPr>
            </w:pPr>
          </w:p>
        </w:tc>
      </w:tr>
      <w:tr w:rsidR="00D1587D" w14:paraId="4B396D78" w14:textId="77777777">
        <w:trPr>
          <w:trHeight w:val="184"/>
        </w:trPr>
        <w:tc>
          <w:tcPr>
            <w:tcW w:w="1740" w:type="dxa"/>
            <w:shd w:val="clear" w:color="auto" w:fill="CCEEFF"/>
            <w:vAlign w:val="bottom"/>
          </w:tcPr>
          <w:p w14:paraId="5EDCD9CB" w14:textId="77777777" w:rsidR="00D1587D" w:rsidRDefault="00410D07">
            <w:pPr>
              <w:rPr>
                <w:sz w:val="20"/>
                <w:szCs w:val="20"/>
              </w:rPr>
            </w:pPr>
            <w:r>
              <w:rPr>
                <w:rFonts w:ascii="Arial" w:eastAsia="Arial" w:hAnsi="Arial" w:cs="Arial"/>
                <w:b/>
                <w:bCs/>
                <w:sz w:val="14"/>
                <w:szCs w:val="14"/>
              </w:rPr>
              <w:t>John Mehas</w:t>
            </w:r>
          </w:p>
        </w:tc>
        <w:tc>
          <w:tcPr>
            <w:tcW w:w="340" w:type="dxa"/>
            <w:gridSpan w:val="2"/>
            <w:shd w:val="clear" w:color="auto" w:fill="CCEEFF"/>
            <w:vAlign w:val="bottom"/>
          </w:tcPr>
          <w:p w14:paraId="599C1C88" w14:textId="77777777" w:rsidR="00D1587D" w:rsidRDefault="00410D07">
            <w:pPr>
              <w:ind w:left="40"/>
              <w:rPr>
                <w:sz w:val="20"/>
                <w:szCs w:val="20"/>
              </w:rPr>
            </w:pPr>
            <w:r>
              <w:rPr>
                <w:rFonts w:ascii="Arial" w:eastAsia="Arial" w:hAnsi="Arial" w:cs="Arial"/>
                <w:w w:val="89"/>
                <w:sz w:val="14"/>
                <w:szCs w:val="14"/>
              </w:rPr>
              <w:t>2020</w:t>
            </w:r>
          </w:p>
        </w:tc>
        <w:tc>
          <w:tcPr>
            <w:tcW w:w="60" w:type="dxa"/>
            <w:shd w:val="clear" w:color="auto" w:fill="CCEEFF"/>
            <w:vAlign w:val="bottom"/>
          </w:tcPr>
          <w:p w14:paraId="54FF7ACD" w14:textId="77777777" w:rsidR="00D1587D" w:rsidRDefault="00D1587D">
            <w:pPr>
              <w:rPr>
                <w:sz w:val="15"/>
                <w:szCs w:val="15"/>
              </w:rPr>
            </w:pPr>
          </w:p>
        </w:tc>
        <w:tc>
          <w:tcPr>
            <w:tcW w:w="580" w:type="dxa"/>
            <w:shd w:val="clear" w:color="auto" w:fill="CCEEFF"/>
            <w:vAlign w:val="bottom"/>
          </w:tcPr>
          <w:p w14:paraId="6816EBCD" w14:textId="77777777" w:rsidR="00D1587D" w:rsidRDefault="00410D07">
            <w:pPr>
              <w:jc w:val="right"/>
              <w:rPr>
                <w:sz w:val="20"/>
                <w:szCs w:val="20"/>
              </w:rPr>
            </w:pPr>
            <w:r>
              <w:rPr>
                <w:rFonts w:ascii="Arial" w:eastAsia="Arial" w:hAnsi="Arial" w:cs="Arial"/>
                <w:sz w:val="14"/>
                <w:szCs w:val="14"/>
              </w:rPr>
              <w:t>946,153</w:t>
            </w:r>
          </w:p>
        </w:tc>
        <w:tc>
          <w:tcPr>
            <w:tcW w:w="60" w:type="dxa"/>
            <w:shd w:val="clear" w:color="auto" w:fill="CCEEFF"/>
            <w:vAlign w:val="bottom"/>
          </w:tcPr>
          <w:p w14:paraId="526115CD" w14:textId="77777777" w:rsidR="00D1587D" w:rsidRDefault="00D1587D">
            <w:pPr>
              <w:rPr>
                <w:sz w:val="15"/>
                <w:szCs w:val="15"/>
              </w:rPr>
            </w:pPr>
          </w:p>
        </w:tc>
        <w:tc>
          <w:tcPr>
            <w:tcW w:w="380" w:type="dxa"/>
            <w:shd w:val="clear" w:color="auto" w:fill="CCEEFF"/>
            <w:vAlign w:val="bottom"/>
          </w:tcPr>
          <w:p w14:paraId="718E3CC0" w14:textId="77777777" w:rsidR="00D1587D" w:rsidRDefault="00410D07">
            <w:pPr>
              <w:jc w:val="center"/>
              <w:rPr>
                <w:sz w:val="20"/>
                <w:szCs w:val="20"/>
              </w:rPr>
            </w:pPr>
            <w:r>
              <w:rPr>
                <w:rFonts w:ascii="Arial" w:eastAsia="Arial" w:hAnsi="Arial" w:cs="Arial"/>
                <w:w w:val="99"/>
                <w:sz w:val="14"/>
                <w:szCs w:val="14"/>
              </w:rPr>
              <w:t>—</w:t>
            </w:r>
          </w:p>
        </w:tc>
        <w:tc>
          <w:tcPr>
            <w:tcW w:w="60" w:type="dxa"/>
            <w:shd w:val="clear" w:color="auto" w:fill="CCEEFF"/>
            <w:vAlign w:val="bottom"/>
          </w:tcPr>
          <w:p w14:paraId="78BD8570" w14:textId="77777777" w:rsidR="00D1587D" w:rsidRDefault="00D1587D">
            <w:pPr>
              <w:rPr>
                <w:sz w:val="15"/>
                <w:szCs w:val="15"/>
              </w:rPr>
            </w:pPr>
          </w:p>
        </w:tc>
        <w:tc>
          <w:tcPr>
            <w:tcW w:w="820" w:type="dxa"/>
            <w:gridSpan w:val="2"/>
            <w:shd w:val="clear" w:color="auto" w:fill="CCEEFF"/>
            <w:vAlign w:val="bottom"/>
          </w:tcPr>
          <w:p w14:paraId="19B504EA" w14:textId="77777777" w:rsidR="00D1587D" w:rsidRDefault="00410D07">
            <w:pPr>
              <w:ind w:left="540"/>
              <w:rPr>
                <w:sz w:val="20"/>
                <w:szCs w:val="20"/>
              </w:rPr>
            </w:pPr>
            <w:r>
              <w:rPr>
                <w:rFonts w:ascii="Arial" w:eastAsia="Arial" w:hAnsi="Arial" w:cs="Arial"/>
                <w:sz w:val="14"/>
                <w:szCs w:val="14"/>
              </w:rPr>
              <w:t>—</w:t>
            </w:r>
          </w:p>
        </w:tc>
        <w:tc>
          <w:tcPr>
            <w:tcW w:w="520" w:type="dxa"/>
            <w:gridSpan w:val="2"/>
            <w:shd w:val="clear" w:color="auto" w:fill="CCEEFF"/>
            <w:vAlign w:val="bottom"/>
          </w:tcPr>
          <w:p w14:paraId="508A35C9" w14:textId="77777777" w:rsidR="00D1587D" w:rsidRDefault="00410D07">
            <w:pPr>
              <w:ind w:right="60"/>
              <w:jc w:val="center"/>
              <w:rPr>
                <w:sz w:val="20"/>
                <w:szCs w:val="20"/>
              </w:rPr>
            </w:pPr>
            <w:r>
              <w:rPr>
                <w:rFonts w:ascii="Arial" w:eastAsia="Arial" w:hAnsi="Arial" w:cs="Arial"/>
                <w:w w:val="99"/>
                <w:sz w:val="14"/>
                <w:szCs w:val="14"/>
              </w:rPr>
              <w:t>—</w:t>
            </w:r>
          </w:p>
        </w:tc>
        <w:tc>
          <w:tcPr>
            <w:tcW w:w="1260" w:type="dxa"/>
            <w:shd w:val="clear" w:color="auto" w:fill="CCEEFF"/>
            <w:vAlign w:val="bottom"/>
          </w:tcPr>
          <w:p w14:paraId="613E435F" w14:textId="77777777" w:rsidR="00D1587D" w:rsidRDefault="00410D07">
            <w:pPr>
              <w:jc w:val="center"/>
              <w:rPr>
                <w:sz w:val="20"/>
                <w:szCs w:val="20"/>
              </w:rPr>
            </w:pPr>
            <w:r>
              <w:rPr>
                <w:rFonts w:ascii="Arial" w:eastAsia="Arial" w:hAnsi="Arial" w:cs="Arial"/>
                <w:w w:val="93"/>
                <w:sz w:val="14"/>
                <w:szCs w:val="14"/>
              </w:rPr>
              <w:t>2,592,000</w:t>
            </w:r>
          </w:p>
        </w:tc>
        <w:tc>
          <w:tcPr>
            <w:tcW w:w="60" w:type="dxa"/>
            <w:shd w:val="clear" w:color="auto" w:fill="CCEEFF"/>
            <w:vAlign w:val="bottom"/>
          </w:tcPr>
          <w:p w14:paraId="2CAB8E2C" w14:textId="77777777" w:rsidR="00D1587D" w:rsidRDefault="00D1587D">
            <w:pPr>
              <w:rPr>
                <w:sz w:val="15"/>
                <w:szCs w:val="15"/>
              </w:rPr>
            </w:pPr>
          </w:p>
        </w:tc>
        <w:tc>
          <w:tcPr>
            <w:tcW w:w="900" w:type="dxa"/>
            <w:shd w:val="clear" w:color="auto" w:fill="CCEEFF"/>
            <w:vAlign w:val="bottom"/>
          </w:tcPr>
          <w:p w14:paraId="4C79EEB9" w14:textId="77777777" w:rsidR="00D1587D" w:rsidRDefault="00410D07">
            <w:pPr>
              <w:ind w:right="168"/>
              <w:jc w:val="right"/>
              <w:rPr>
                <w:sz w:val="20"/>
                <w:szCs w:val="20"/>
              </w:rPr>
            </w:pPr>
            <w:r>
              <w:rPr>
                <w:rFonts w:ascii="Arial" w:eastAsia="Arial" w:hAnsi="Arial" w:cs="Arial"/>
                <w:sz w:val="14"/>
                <w:szCs w:val="14"/>
              </w:rPr>
              <w:t>1,899</w:t>
            </w:r>
          </w:p>
        </w:tc>
        <w:tc>
          <w:tcPr>
            <w:tcW w:w="60" w:type="dxa"/>
            <w:shd w:val="clear" w:color="auto" w:fill="CCEEFF"/>
            <w:vAlign w:val="bottom"/>
          </w:tcPr>
          <w:p w14:paraId="7CC806A5" w14:textId="77777777" w:rsidR="00D1587D" w:rsidRDefault="00D1587D">
            <w:pPr>
              <w:rPr>
                <w:sz w:val="15"/>
                <w:szCs w:val="15"/>
              </w:rPr>
            </w:pPr>
          </w:p>
        </w:tc>
        <w:tc>
          <w:tcPr>
            <w:tcW w:w="920" w:type="dxa"/>
            <w:shd w:val="clear" w:color="auto" w:fill="CCEEFF"/>
            <w:vAlign w:val="bottom"/>
          </w:tcPr>
          <w:p w14:paraId="20B3E72C" w14:textId="77777777" w:rsidR="00D1587D" w:rsidRDefault="00410D07">
            <w:pPr>
              <w:jc w:val="center"/>
              <w:rPr>
                <w:sz w:val="20"/>
                <w:szCs w:val="20"/>
              </w:rPr>
            </w:pPr>
            <w:r>
              <w:rPr>
                <w:rFonts w:ascii="Arial" w:eastAsia="Arial" w:hAnsi="Arial" w:cs="Arial"/>
                <w:w w:val="94"/>
                <w:sz w:val="14"/>
                <w:szCs w:val="14"/>
              </w:rPr>
              <w:t>300,059</w:t>
            </w:r>
          </w:p>
        </w:tc>
        <w:tc>
          <w:tcPr>
            <w:tcW w:w="660" w:type="dxa"/>
            <w:gridSpan w:val="2"/>
            <w:shd w:val="clear" w:color="auto" w:fill="CCEEFF"/>
            <w:vAlign w:val="bottom"/>
          </w:tcPr>
          <w:p w14:paraId="30B846F2" w14:textId="77777777" w:rsidR="00D1587D" w:rsidRDefault="00410D07">
            <w:pPr>
              <w:ind w:left="40"/>
              <w:rPr>
                <w:sz w:val="20"/>
                <w:szCs w:val="20"/>
              </w:rPr>
            </w:pPr>
            <w:r>
              <w:rPr>
                <w:rFonts w:ascii="Arial" w:eastAsia="Arial" w:hAnsi="Arial" w:cs="Arial"/>
                <w:w w:val="96"/>
                <w:sz w:val="14"/>
                <w:szCs w:val="14"/>
              </w:rPr>
              <w:t>3,840,111</w:t>
            </w:r>
          </w:p>
        </w:tc>
        <w:tc>
          <w:tcPr>
            <w:tcW w:w="0" w:type="dxa"/>
            <w:vAlign w:val="bottom"/>
          </w:tcPr>
          <w:p w14:paraId="28868217" w14:textId="77777777" w:rsidR="00D1587D" w:rsidRDefault="00D1587D">
            <w:pPr>
              <w:rPr>
                <w:sz w:val="1"/>
                <w:szCs w:val="1"/>
              </w:rPr>
            </w:pPr>
          </w:p>
        </w:tc>
      </w:tr>
      <w:tr w:rsidR="00D1587D" w14:paraId="00C18C8A" w14:textId="77777777">
        <w:trPr>
          <w:trHeight w:val="148"/>
        </w:trPr>
        <w:tc>
          <w:tcPr>
            <w:tcW w:w="1740" w:type="dxa"/>
            <w:shd w:val="clear" w:color="auto" w:fill="CCEEFF"/>
            <w:vAlign w:val="bottom"/>
          </w:tcPr>
          <w:p w14:paraId="75296883" w14:textId="77777777" w:rsidR="00D1587D" w:rsidRDefault="00410D07">
            <w:pPr>
              <w:spacing w:line="149" w:lineRule="exact"/>
              <w:ind w:left="140"/>
              <w:rPr>
                <w:sz w:val="20"/>
                <w:szCs w:val="20"/>
              </w:rPr>
            </w:pPr>
            <w:r>
              <w:rPr>
                <w:rFonts w:ascii="Arial" w:eastAsia="Arial" w:hAnsi="Arial" w:cs="Arial"/>
                <w:i/>
                <w:iCs/>
                <w:sz w:val="14"/>
                <w:szCs w:val="14"/>
              </w:rPr>
              <w:t>Former Chief Executive</w:t>
            </w:r>
          </w:p>
        </w:tc>
        <w:tc>
          <w:tcPr>
            <w:tcW w:w="40" w:type="dxa"/>
            <w:shd w:val="clear" w:color="auto" w:fill="CCEEFF"/>
            <w:vAlign w:val="bottom"/>
          </w:tcPr>
          <w:p w14:paraId="509B5436" w14:textId="77777777" w:rsidR="00D1587D" w:rsidRDefault="00D1587D">
            <w:pPr>
              <w:rPr>
                <w:sz w:val="12"/>
                <w:szCs w:val="12"/>
              </w:rPr>
            </w:pPr>
          </w:p>
        </w:tc>
        <w:tc>
          <w:tcPr>
            <w:tcW w:w="300" w:type="dxa"/>
            <w:shd w:val="clear" w:color="auto" w:fill="CCEEFF"/>
            <w:vAlign w:val="bottom"/>
          </w:tcPr>
          <w:p w14:paraId="71FA87BC" w14:textId="77777777" w:rsidR="00D1587D" w:rsidRDefault="00D1587D">
            <w:pPr>
              <w:rPr>
                <w:sz w:val="12"/>
                <w:szCs w:val="12"/>
              </w:rPr>
            </w:pPr>
          </w:p>
        </w:tc>
        <w:tc>
          <w:tcPr>
            <w:tcW w:w="60" w:type="dxa"/>
            <w:shd w:val="clear" w:color="auto" w:fill="CCEEFF"/>
            <w:vAlign w:val="bottom"/>
          </w:tcPr>
          <w:p w14:paraId="33363B9F" w14:textId="77777777" w:rsidR="00D1587D" w:rsidRDefault="00D1587D">
            <w:pPr>
              <w:rPr>
                <w:sz w:val="12"/>
                <w:szCs w:val="12"/>
              </w:rPr>
            </w:pPr>
          </w:p>
        </w:tc>
        <w:tc>
          <w:tcPr>
            <w:tcW w:w="580" w:type="dxa"/>
            <w:shd w:val="clear" w:color="auto" w:fill="CCEEFF"/>
            <w:vAlign w:val="bottom"/>
          </w:tcPr>
          <w:p w14:paraId="429A1435" w14:textId="77777777" w:rsidR="00D1587D" w:rsidRDefault="00D1587D">
            <w:pPr>
              <w:rPr>
                <w:sz w:val="12"/>
                <w:szCs w:val="12"/>
              </w:rPr>
            </w:pPr>
          </w:p>
        </w:tc>
        <w:tc>
          <w:tcPr>
            <w:tcW w:w="60" w:type="dxa"/>
            <w:shd w:val="clear" w:color="auto" w:fill="CCEEFF"/>
            <w:vAlign w:val="bottom"/>
          </w:tcPr>
          <w:p w14:paraId="2C06201A" w14:textId="77777777" w:rsidR="00D1587D" w:rsidRDefault="00D1587D">
            <w:pPr>
              <w:rPr>
                <w:sz w:val="12"/>
                <w:szCs w:val="12"/>
              </w:rPr>
            </w:pPr>
          </w:p>
        </w:tc>
        <w:tc>
          <w:tcPr>
            <w:tcW w:w="380" w:type="dxa"/>
            <w:shd w:val="clear" w:color="auto" w:fill="CCEEFF"/>
            <w:vAlign w:val="bottom"/>
          </w:tcPr>
          <w:p w14:paraId="020A600A" w14:textId="77777777" w:rsidR="00D1587D" w:rsidRDefault="00D1587D">
            <w:pPr>
              <w:rPr>
                <w:sz w:val="12"/>
                <w:szCs w:val="12"/>
              </w:rPr>
            </w:pPr>
          </w:p>
        </w:tc>
        <w:tc>
          <w:tcPr>
            <w:tcW w:w="60" w:type="dxa"/>
            <w:shd w:val="clear" w:color="auto" w:fill="CCEEFF"/>
            <w:vAlign w:val="bottom"/>
          </w:tcPr>
          <w:p w14:paraId="631303E5" w14:textId="77777777" w:rsidR="00D1587D" w:rsidRDefault="00D1587D">
            <w:pPr>
              <w:rPr>
                <w:sz w:val="12"/>
                <w:szCs w:val="12"/>
              </w:rPr>
            </w:pPr>
          </w:p>
        </w:tc>
        <w:tc>
          <w:tcPr>
            <w:tcW w:w="760" w:type="dxa"/>
            <w:shd w:val="clear" w:color="auto" w:fill="CCEEFF"/>
            <w:vAlign w:val="bottom"/>
          </w:tcPr>
          <w:p w14:paraId="6B896519" w14:textId="77777777" w:rsidR="00D1587D" w:rsidRDefault="00D1587D">
            <w:pPr>
              <w:rPr>
                <w:sz w:val="12"/>
                <w:szCs w:val="12"/>
              </w:rPr>
            </w:pPr>
          </w:p>
        </w:tc>
        <w:tc>
          <w:tcPr>
            <w:tcW w:w="60" w:type="dxa"/>
            <w:shd w:val="clear" w:color="auto" w:fill="CCEEFF"/>
            <w:vAlign w:val="bottom"/>
          </w:tcPr>
          <w:p w14:paraId="10F8590F" w14:textId="77777777" w:rsidR="00D1587D" w:rsidRDefault="00D1587D">
            <w:pPr>
              <w:rPr>
                <w:sz w:val="12"/>
                <w:szCs w:val="12"/>
              </w:rPr>
            </w:pPr>
          </w:p>
        </w:tc>
        <w:tc>
          <w:tcPr>
            <w:tcW w:w="480" w:type="dxa"/>
            <w:shd w:val="clear" w:color="auto" w:fill="CCEEFF"/>
            <w:vAlign w:val="bottom"/>
          </w:tcPr>
          <w:p w14:paraId="227D5A5C" w14:textId="77777777" w:rsidR="00D1587D" w:rsidRDefault="00D1587D">
            <w:pPr>
              <w:rPr>
                <w:sz w:val="12"/>
                <w:szCs w:val="12"/>
              </w:rPr>
            </w:pPr>
          </w:p>
        </w:tc>
        <w:tc>
          <w:tcPr>
            <w:tcW w:w="40" w:type="dxa"/>
            <w:shd w:val="clear" w:color="auto" w:fill="CCEEFF"/>
            <w:vAlign w:val="bottom"/>
          </w:tcPr>
          <w:p w14:paraId="3E0040F5" w14:textId="77777777" w:rsidR="00D1587D" w:rsidRDefault="00D1587D">
            <w:pPr>
              <w:rPr>
                <w:sz w:val="12"/>
                <w:szCs w:val="12"/>
              </w:rPr>
            </w:pPr>
          </w:p>
        </w:tc>
        <w:tc>
          <w:tcPr>
            <w:tcW w:w="1260" w:type="dxa"/>
            <w:shd w:val="clear" w:color="auto" w:fill="CCEEFF"/>
            <w:vAlign w:val="bottom"/>
          </w:tcPr>
          <w:p w14:paraId="2AC8C010" w14:textId="77777777" w:rsidR="00D1587D" w:rsidRDefault="00D1587D">
            <w:pPr>
              <w:rPr>
                <w:sz w:val="12"/>
                <w:szCs w:val="12"/>
              </w:rPr>
            </w:pPr>
          </w:p>
        </w:tc>
        <w:tc>
          <w:tcPr>
            <w:tcW w:w="60" w:type="dxa"/>
            <w:shd w:val="clear" w:color="auto" w:fill="CCEEFF"/>
            <w:vAlign w:val="bottom"/>
          </w:tcPr>
          <w:p w14:paraId="727CDD1B" w14:textId="77777777" w:rsidR="00D1587D" w:rsidRDefault="00D1587D">
            <w:pPr>
              <w:rPr>
                <w:sz w:val="12"/>
                <w:szCs w:val="12"/>
              </w:rPr>
            </w:pPr>
          </w:p>
        </w:tc>
        <w:tc>
          <w:tcPr>
            <w:tcW w:w="900" w:type="dxa"/>
            <w:shd w:val="clear" w:color="auto" w:fill="CCEEFF"/>
            <w:vAlign w:val="bottom"/>
          </w:tcPr>
          <w:p w14:paraId="3B3B56F6" w14:textId="77777777" w:rsidR="00D1587D" w:rsidRDefault="00D1587D">
            <w:pPr>
              <w:rPr>
                <w:sz w:val="12"/>
                <w:szCs w:val="12"/>
              </w:rPr>
            </w:pPr>
          </w:p>
        </w:tc>
        <w:tc>
          <w:tcPr>
            <w:tcW w:w="60" w:type="dxa"/>
            <w:shd w:val="clear" w:color="auto" w:fill="CCEEFF"/>
            <w:vAlign w:val="bottom"/>
          </w:tcPr>
          <w:p w14:paraId="6E83E279" w14:textId="77777777" w:rsidR="00D1587D" w:rsidRDefault="00D1587D">
            <w:pPr>
              <w:rPr>
                <w:sz w:val="12"/>
                <w:szCs w:val="12"/>
              </w:rPr>
            </w:pPr>
          </w:p>
        </w:tc>
        <w:tc>
          <w:tcPr>
            <w:tcW w:w="920" w:type="dxa"/>
            <w:shd w:val="clear" w:color="auto" w:fill="CCEEFF"/>
            <w:vAlign w:val="bottom"/>
          </w:tcPr>
          <w:p w14:paraId="54942442" w14:textId="77777777" w:rsidR="00D1587D" w:rsidRDefault="00D1587D">
            <w:pPr>
              <w:rPr>
                <w:sz w:val="12"/>
                <w:szCs w:val="12"/>
              </w:rPr>
            </w:pPr>
          </w:p>
        </w:tc>
        <w:tc>
          <w:tcPr>
            <w:tcW w:w="40" w:type="dxa"/>
            <w:shd w:val="clear" w:color="auto" w:fill="CCEEFF"/>
            <w:vAlign w:val="bottom"/>
          </w:tcPr>
          <w:p w14:paraId="523FCBD2" w14:textId="77777777" w:rsidR="00D1587D" w:rsidRDefault="00D1587D">
            <w:pPr>
              <w:rPr>
                <w:sz w:val="12"/>
                <w:szCs w:val="12"/>
              </w:rPr>
            </w:pPr>
          </w:p>
        </w:tc>
        <w:tc>
          <w:tcPr>
            <w:tcW w:w="620" w:type="dxa"/>
            <w:shd w:val="clear" w:color="auto" w:fill="CCEEFF"/>
            <w:vAlign w:val="bottom"/>
          </w:tcPr>
          <w:p w14:paraId="747B1AF1" w14:textId="77777777" w:rsidR="00D1587D" w:rsidRDefault="00D1587D">
            <w:pPr>
              <w:rPr>
                <w:sz w:val="12"/>
                <w:szCs w:val="12"/>
              </w:rPr>
            </w:pPr>
          </w:p>
        </w:tc>
        <w:tc>
          <w:tcPr>
            <w:tcW w:w="0" w:type="dxa"/>
            <w:vAlign w:val="bottom"/>
          </w:tcPr>
          <w:p w14:paraId="31C57FB8" w14:textId="77777777" w:rsidR="00D1587D" w:rsidRDefault="00D1587D">
            <w:pPr>
              <w:rPr>
                <w:sz w:val="1"/>
                <w:szCs w:val="1"/>
              </w:rPr>
            </w:pPr>
          </w:p>
        </w:tc>
      </w:tr>
      <w:tr w:rsidR="00D1587D" w14:paraId="07DC3A32" w14:textId="77777777">
        <w:trPr>
          <w:trHeight w:val="148"/>
        </w:trPr>
        <w:tc>
          <w:tcPr>
            <w:tcW w:w="1740" w:type="dxa"/>
            <w:shd w:val="clear" w:color="auto" w:fill="CCEEFF"/>
            <w:vAlign w:val="bottom"/>
          </w:tcPr>
          <w:p w14:paraId="1C3943AE" w14:textId="77777777" w:rsidR="00D1587D" w:rsidRDefault="00410D07">
            <w:pPr>
              <w:spacing w:line="149" w:lineRule="exact"/>
              <w:ind w:left="140"/>
              <w:rPr>
                <w:sz w:val="20"/>
                <w:szCs w:val="20"/>
              </w:rPr>
            </w:pPr>
            <w:r>
              <w:rPr>
                <w:rFonts w:ascii="Arial" w:eastAsia="Arial" w:hAnsi="Arial" w:cs="Arial"/>
                <w:i/>
                <w:iCs/>
                <w:sz w:val="14"/>
                <w:szCs w:val="14"/>
              </w:rPr>
              <w:t xml:space="preserve">Officer, Victoria’s </w:t>
            </w:r>
            <w:r>
              <w:rPr>
                <w:rFonts w:ascii="Arial" w:eastAsia="Arial" w:hAnsi="Arial" w:cs="Arial"/>
                <w:i/>
                <w:iCs/>
                <w:sz w:val="14"/>
                <w:szCs w:val="14"/>
              </w:rPr>
              <w:t>Secret</w:t>
            </w:r>
          </w:p>
        </w:tc>
        <w:tc>
          <w:tcPr>
            <w:tcW w:w="40" w:type="dxa"/>
            <w:shd w:val="clear" w:color="auto" w:fill="CCEEFF"/>
            <w:vAlign w:val="bottom"/>
          </w:tcPr>
          <w:p w14:paraId="5BE630DE" w14:textId="77777777" w:rsidR="00D1587D" w:rsidRDefault="00D1587D">
            <w:pPr>
              <w:rPr>
                <w:sz w:val="12"/>
                <w:szCs w:val="12"/>
              </w:rPr>
            </w:pPr>
          </w:p>
        </w:tc>
        <w:tc>
          <w:tcPr>
            <w:tcW w:w="300" w:type="dxa"/>
            <w:shd w:val="clear" w:color="auto" w:fill="CCEEFF"/>
            <w:vAlign w:val="bottom"/>
          </w:tcPr>
          <w:p w14:paraId="28EDA501" w14:textId="77777777" w:rsidR="00D1587D" w:rsidRDefault="00D1587D">
            <w:pPr>
              <w:rPr>
                <w:sz w:val="12"/>
                <w:szCs w:val="12"/>
              </w:rPr>
            </w:pPr>
          </w:p>
        </w:tc>
        <w:tc>
          <w:tcPr>
            <w:tcW w:w="60" w:type="dxa"/>
            <w:shd w:val="clear" w:color="auto" w:fill="CCEEFF"/>
            <w:vAlign w:val="bottom"/>
          </w:tcPr>
          <w:p w14:paraId="3FDFEC2F" w14:textId="77777777" w:rsidR="00D1587D" w:rsidRDefault="00D1587D">
            <w:pPr>
              <w:rPr>
                <w:sz w:val="12"/>
                <w:szCs w:val="12"/>
              </w:rPr>
            </w:pPr>
          </w:p>
        </w:tc>
        <w:tc>
          <w:tcPr>
            <w:tcW w:w="580" w:type="dxa"/>
            <w:shd w:val="clear" w:color="auto" w:fill="CCEEFF"/>
            <w:vAlign w:val="bottom"/>
          </w:tcPr>
          <w:p w14:paraId="0C74923B" w14:textId="77777777" w:rsidR="00D1587D" w:rsidRDefault="00D1587D">
            <w:pPr>
              <w:rPr>
                <w:sz w:val="12"/>
                <w:szCs w:val="12"/>
              </w:rPr>
            </w:pPr>
          </w:p>
        </w:tc>
        <w:tc>
          <w:tcPr>
            <w:tcW w:w="60" w:type="dxa"/>
            <w:shd w:val="clear" w:color="auto" w:fill="CCEEFF"/>
            <w:vAlign w:val="bottom"/>
          </w:tcPr>
          <w:p w14:paraId="6F1A9C06" w14:textId="77777777" w:rsidR="00D1587D" w:rsidRDefault="00D1587D">
            <w:pPr>
              <w:rPr>
                <w:sz w:val="12"/>
                <w:szCs w:val="12"/>
              </w:rPr>
            </w:pPr>
          </w:p>
        </w:tc>
        <w:tc>
          <w:tcPr>
            <w:tcW w:w="380" w:type="dxa"/>
            <w:shd w:val="clear" w:color="auto" w:fill="CCEEFF"/>
            <w:vAlign w:val="bottom"/>
          </w:tcPr>
          <w:p w14:paraId="6AE09407" w14:textId="77777777" w:rsidR="00D1587D" w:rsidRDefault="00D1587D">
            <w:pPr>
              <w:rPr>
                <w:sz w:val="12"/>
                <w:szCs w:val="12"/>
              </w:rPr>
            </w:pPr>
          </w:p>
        </w:tc>
        <w:tc>
          <w:tcPr>
            <w:tcW w:w="60" w:type="dxa"/>
            <w:shd w:val="clear" w:color="auto" w:fill="CCEEFF"/>
            <w:vAlign w:val="bottom"/>
          </w:tcPr>
          <w:p w14:paraId="449BC881" w14:textId="77777777" w:rsidR="00D1587D" w:rsidRDefault="00D1587D">
            <w:pPr>
              <w:rPr>
                <w:sz w:val="12"/>
                <w:szCs w:val="12"/>
              </w:rPr>
            </w:pPr>
          </w:p>
        </w:tc>
        <w:tc>
          <w:tcPr>
            <w:tcW w:w="760" w:type="dxa"/>
            <w:shd w:val="clear" w:color="auto" w:fill="CCEEFF"/>
            <w:vAlign w:val="bottom"/>
          </w:tcPr>
          <w:p w14:paraId="2767CF5C" w14:textId="77777777" w:rsidR="00D1587D" w:rsidRDefault="00D1587D">
            <w:pPr>
              <w:rPr>
                <w:sz w:val="12"/>
                <w:szCs w:val="12"/>
              </w:rPr>
            </w:pPr>
          </w:p>
        </w:tc>
        <w:tc>
          <w:tcPr>
            <w:tcW w:w="60" w:type="dxa"/>
            <w:shd w:val="clear" w:color="auto" w:fill="CCEEFF"/>
            <w:vAlign w:val="bottom"/>
          </w:tcPr>
          <w:p w14:paraId="548AD5BC" w14:textId="77777777" w:rsidR="00D1587D" w:rsidRDefault="00D1587D">
            <w:pPr>
              <w:rPr>
                <w:sz w:val="12"/>
                <w:szCs w:val="12"/>
              </w:rPr>
            </w:pPr>
          </w:p>
        </w:tc>
        <w:tc>
          <w:tcPr>
            <w:tcW w:w="480" w:type="dxa"/>
            <w:shd w:val="clear" w:color="auto" w:fill="CCEEFF"/>
            <w:vAlign w:val="bottom"/>
          </w:tcPr>
          <w:p w14:paraId="6D367AEA" w14:textId="77777777" w:rsidR="00D1587D" w:rsidRDefault="00D1587D">
            <w:pPr>
              <w:rPr>
                <w:sz w:val="12"/>
                <w:szCs w:val="12"/>
              </w:rPr>
            </w:pPr>
          </w:p>
        </w:tc>
        <w:tc>
          <w:tcPr>
            <w:tcW w:w="40" w:type="dxa"/>
            <w:shd w:val="clear" w:color="auto" w:fill="CCEEFF"/>
            <w:vAlign w:val="bottom"/>
          </w:tcPr>
          <w:p w14:paraId="5E16593E" w14:textId="77777777" w:rsidR="00D1587D" w:rsidRDefault="00D1587D">
            <w:pPr>
              <w:rPr>
                <w:sz w:val="12"/>
                <w:szCs w:val="12"/>
              </w:rPr>
            </w:pPr>
          </w:p>
        </w:tc>
        <w:tc>
          <w:tcPr>
            <w:tcW w:w="1260" w:type="dxa"/>
            <w:shd w:val="clear" w:color="auto" w:fill="CCEEFF"/>
            <w:vAlign w:val="bottom"/>
          </w:tcPr>
          <w:p w14:paraId="1A6A91A4" w14:textId="77777777" w:rsidR="00D1587D" w:rsidRDefault="00D1587D">
            <w:pPr>
              <w:rPr>
                <w:sz w:val="12"/>
                <w:szCs w:val="12"/>
              </w:rPr>
            </w:pPr>
          </w:p>
        </w:tc>
        <w:tc>
          <w:tcPr>
            <w:tcW w:w="60" w:type="dxa"/>
            <w:shd w:val="clear" w:color="auto" w:fill="CCEEFF"/>
            <w:vAlign w:val="bottom"/>
          </w:tcPr>
          <w:p w14:paraId="05620C8F" w14:textId="77777777" w:rsidR="00D1587D" w:rsidRDefault="00D1587D">
            <w:pPr>
              <w:rPr>
                <w:sz w:val="12"/>
                <w:szCs w:val="12"/>
              </w:rPr>
            </w:pPr>
          </w:p>
        </w:tc>
        <w:tc>
          <w:tcPr>
            <w:tcW w:w="900" w:type="dxa"/>
            <w:shd w:val="clear" w:color="auto" w:fill="CCEEFF"/>
            <w:vAlign w:val="bottom"/>
          </w:tcPr>
          <w:p w14:paraId="1D888478" w14:textId="77777777" w:rsidR="00D1587D" w:rsidRDefault="00D1587D">
            <w:pPr>
              <w:rPr>
                <w:sz w:val="12"/>
                <w:szCs w:val="12"/>
              </w:rPr>
            </w:pPr>
          </w:p>
        </w:tc>
        <w:tc>
          <w:tcPr>
            <w:tcW w:w="60" w:type="dxa"/>
            <w:shd w:val="clear" w:color="auto" w:fill="CCEEFF"/>
            <w:vAlign w:val="bottom"/>
          </w:tcPr>
          <w:p w14:paraId="194EC41E" w14:textId="77777777" w:rsidR="00D1587D" w:rsidRDefault="00D1587D">
            <w:pPr>
              <w:rPr>
                <w:sz w:val="12"/>
                <w:szCs w:val="12"/>
              </w:rPr>
            </w:pPr>
          </w:p>
        </w:tc>
        <w:tc>
          <w:tcPr>
            <w:tcW w:w="920" w:type="dxa"/>
            <w:shd w:val="clear" w:color="auto" w:fill="CCEEFF"/>
            <w:vAlign w:val="bottom"/>
          </w:tcPr>
          <w:p w14:paraId="7DC6622D" w14:textId="77777777" w:rsidR="00D1587D" w:rsidRDefault="00D1587D">
            <w:pPr>
              <w:rPr>
                <w:sz w:val="12"/>
                <w:szCs w:val="12"/>
              </w:rPr>
            </w:pPr>
          </w:p>
        </w:tc>
        <w:tc>
          <w:tcPr>
            <w:tcW w:w="40" w:type="dxa"/>
            <w:shd w:val="clear" w:color="auto" w:fill="CCEEFF"/>
            <w:vAlign w:val="bottom"/>
          </w:tcPr>
          <w:p w14:paraId="3EB149CA" w14:textId="77777777" w:rsidR="00D1587D" w:rsidRDefault="00D1587D">
            <w:pPr>
              <w:rPr>
                <w:sz w:val="12"/>
                <w:szCs w:val="12"/>
              </w:rPr>
            </w:pPr>
          </w:p>
        </w:tc>
        <w:tc>
          <w:tcPr>
            <w:tcW w:w="620" w:type="dxa"/>
            <w:shd w:val="clear" w:color="auto" w:fill="CCEEFF"/>
            <w:vAlign w:val="bottom"/>
          </w:tcPr>
          <w:p w14:paraId="3268A486" w14:textId="77777777" w:rsidR="00D1587D" w:rsidRDefault="00D1587D">
            <w:pPr>
              <w:rPr>
                <w:sz w:val="12"/>
                <w:szCs w:val="12"/>
              </w:rPr>
            </w:pPr>
          </w:p>
        </w:tc>
        <w:tc>
          <w:tcPr>
            <w:tcW w:w="0" w:type="dxa"/>
            <w:vAlign w:val="bottom"/>
          </w:tcPr>
          <w:p w14:paraId="737C6FDC" w14:textId="77777777" w:rsidR="00D1587D" w:rsidRDefault="00D1587D">
            <w:pPr>
              <w:rPr>
                <w:sz w:val="1"/>
                <w:szCs w:val="1"/>
              </w:rPr>
            </w:pPr>
          </w:p>
        </w:tc>
      </w:tr>
      <w:tr w:rsidR="00D1587D" w14:paraId="3D47887C" w14:textId="77777777">
        <w:trPr>
          <w:trHeight w:val="182"/>
        </w:trPr>
        <w:tc>
          <w:tcPr>
            <w:tcW w:w="1740" w:type="dxa"/>
            <w:shd w:val="clear" w:color="auto" w:fill="CCEEFF"/>
            <w:vAlign w:val="bottom"/>
          </w:tcPr>
          <w:p w14:paraId="26B1399A" w14:textId="77777777" w:rsidR="00D1587D" w:rsidRDefault="00410D07">
            <w:pPr>
              <w:ind w:left="140"/>
              <w:rPr>
                <w:sz w:val="20"/>
                <w:szCs w:val="20"/>
              </w:rPr>
            </w:pPr>
            <w:r>
              <w:rPr>
                <w:rFonts w:ascii="Arial" w:eastAsia="Arial" w:hAnsi="Arial" w:cs="Arial"/>
                <w:i/>
                <w:iCs/>
                <w:sz w:val="14"/>
                <w:szCs w:val="14"/>
              </w:rPr>
              <w:t>Lingerie</w:t>
            </w:r>
          </w:p>
        </w:tc>
        <w:tc>
          <w:tcPr>
            <w:tcW w:w="40" w:type="dxa"/>
            <w:shd w:val="clear" w:color="auto" w:fill="CCEEFF"/>
            <w:vAlign w:val="bottom"/>
          </w:tcPr>
          <w:p w14:paraId="77FB8D94" w14:textId="77777777" w:rsidR="00D1587D" w:rsidRDefault="00D1587D">
            <w:pPr>
              <w:rPr>
                <w:sz w:val="15"/>
                <w:szCs w:val="15"/>
              </w:rPr>
            </w:pPr>
          </w:p>
        </w:tc>
        <w:tc>
          <w:tcPr>
            <w:tcW w:w="300" w:type="dxa"/>
            <w:shd w:val="clear" w:color="auto" w:fill="CCEEFF"/>
            <w:vAlign w:val="bottom"/>
          </w:tcPr>
          <w:p w14:paraId="08734F4B" w14:textId="77777777" w:rsidR="00D1587D" w:rsidRDefault="00D1587D">
            <w:pPr>
              <w:rPr>
                <w:sz w:val="15"/>
                <w:szCs w:val="15"/>
              </w:rPr>
            </w:pPr>
          </w:p>
        </w:tc>
        <w:tc>
          <w:tcPr>
            <w:tcW w:w="60" w:type="dxa"/>
            <w:shd w:val="clear" w:color="auto" w:fill="CCEEFF"/>
            <w:vAlign w:val="bottom"/>
          </w:tcPr>
          <w:p w14:paraId="4AB5B2B5" w14:textId="77777777" w:rsidR="00D1587D" w:rsidRDefault="00D1587D">
            <w:pPr>
              <w:rPr>
                <w:sz w:val="15"/>
                <w:szCs w:val="15"/>
              </w:rPr>
            </w:pPr>
          </w:p>
        </w:tc>
        <w:tc>
          <w:tcPr>
            <w:tcW w:w="580" w:type="dxa"/>
            <w:shd w:val="clear" w:color="auto" w:fill="CCEEFF"/>
            <w:vAlign w:val="bottom"/>
          </w:tcPr>
          <w:p w14:paraId="3795A804" w14:textId="77777777" w:rsidR="00D1587D" w:rsidRDefault="00D1587D">
            <w:pPr>
              <w:rPr>
                <w:sz w:val="15"/>
                <w:szCs w:val="15"/>
              </w:rPr>
            </w:pPr>
          </w:p>
        </w:tc>
        <w:tc>
          <w:tcPr>
            <w:tcW w:w="60" w:type="dxa"/>
            <w:shd w:val="clear" w:color="auto" w:fill="CCEEFF"/>
            <w:vAlign w:val="bottom"/>
          </w:tcPr>
          <w:p w14:paraId="035B6844" w14:textId="77777777" w:rsidR="00D1587D" w:rsidRDefault="00D1587D">
            <w:pPr>
              <w:rPr>
                <w:sz w:val="15"/>
                <w:szCs w:val="15"/>
              </w:rPr>
            </w:pPr>
          </w:p>
        </w:tc>
        <w:tc>
          <w:tcPr>
            <w:tcW w:w="380" w:type="dxa"/>
            <w:shd w:val="clear" w:color="auto" w:fill="CCEEFF"/>
            <w:vAlign w:val="bottom"/>
          </w:tcPr>
          <w:p w14:paraId="64BB9EC4" w14:textId="77777777" w:rsidR="00D1587D" w:rsidRDefault="00D1587D">
            <w:pPr>
              <w:rPr>
                <w:sz w:val="15"/>
                <w:szCs w:val="15"/>
              </w:rPr>
            </w:pPr>
          </w:p>
        </w:tc>
        <w:tc>
          <w:tcPr>
            <w:tcW w:w="60" w:type="dxa"/>
            <w:shd w:val="clear" w:color="auto" w:fill="CCEEFF"/>
            <w:vAlign w:val="bottom"/>
          </w:tcPr>
          <w:p w14:paraId="0CC6A989" w14:textId="77777777" w:rsidR="00D1587D" w:rsidRDefault="00D1587D">
            <w:pPr>
              <w:rPr>
                <w:sz w:val="15"/>
                <w:szCs w:val="15"/>
              </w:rPr>
            </w:pPr>
          </w:p>
        </w:tc>
        <w:tc>
          <w:tcPr>
            <w:tcW w:w="760" w:type="dxa"/>
            <w:shd w:val="clear" w:color="auto" w:fill="CCEEFF"/>
            <w:vAlign w:val="bottom"/>
          </w:tcPr>
          <w:p w14:paraId="3C62A890" w14:textId="77777777" w:rsidR="00D1587D" w:rsidRDefault="00D1587D">
            <w:pPr>
              <w:rPr>
                <w:sz w:val="15"/>
                <w:szCs w:val="15"/>
              </w:rPr>
            </w:pPr>
          </w:p>
        </w:tc>
        <w:tc>
          <w:tcPr>
            <w:tcW w:w="60" w:type="dxa"/>
            <w:shd w:val="clear" w:color="auto" w:fill="CCEEFF"/>
            <w:vAlign w:val="bottom"/>
          </w:tcPr>
          <w:p w14:paraId="2FE97434" w14:textId="77777777" w:rsidR="00D1587D" w:rsidRDefault="00D1587D">
            <w:pPr>
              <w:rPr>
                <w:sz w:val="15"/>
                <w:szCs w:val="15"/>
              </w:rPr>
            </w:pPr>
          </w:p>
        </w:tc>
        <w:tc>
          <w:tcPr>
            <w:tcW w:w="480" w:type="dxa"/>
            <w:shd w:val="clear" w:color="auto" w:fill="CCEEFF"/>
            <w:vAlign w:val="bottom"/>
          </w:tcPr>
          <w:p w14:paraId="2A1BCB34" w14:textId="77777777" w:rsidR="00D1587D" w:rsidRDefault="00D1587D">
            <w:pPr>
              <w:rPr>
                <w:sz w:val="15"/>
                <w:szCs w:val="15"/>
              </w:rPr>
            </w:pPr>
          </w:p>
        </w:tc>
        <w:tc>
          <w:tcPr>
            <w:tcW w:w="40" w:type="dxa"/>
            <w:shd w:val="clear" w:color="auto" w:fill="CCEEFF"/>
            <w:vAlign w:val="bottom"/>
          </w:tcPr>
          <w:p w14:paraId="074F5B57" w14:textId="77777777" w:rsidR="00D1587D" w:rsidRDefault="00D1587D">
            <w:pPr>
              <w:rPr>
                <w:sz w:val="15"/>
                <w:szCs w:val="15"/>
              </w:rPr>
            </w:pPr>
          </w:p>
        </w:tc>
        <w:tc>
          <w:tcPr>
            <w:tcW w:w="1260" w:type="dxa"/>
            <w:shd w:val="clear" w:color="auto" w:fill="CCEEFF"/>
            <w:vAlign w:val="bottom"/>
          </w:tcPr>
          <w:p w14:paraId="0A6FDD18" w14:textId="77777777" w:rsidR="00D1587D" w:rsidRDefault="00D1587D">
            <w:pPr>
              <w:rPr>
                <w:sz w:val="15"/>
                <w:szCs w:val="15"/>
              </w:rPr>
            </w:pPr>
          </w:p>
        </w:tc>
        <w:tc>
          <w:tcPr>
            <w:tcW w:w="60" w:type="dxa"/>
            <w:shd w:val="clear" w:color="auto" w:fill="CCEEFF"/>
            <w:vAlign w:val="bottom"/>
          </w:tcPr>
          <w:p w14:paraId="008195F3" w14:textId="77777777" w:rsidR="00D1587D" w:rsidRDefault="00D1587D">
            <w:pPr>
              <w:rPr>
                <w:sz w:val="15"/>
                <w:szCs w:val="15"/>
              </w:rPr>
            </w:pPr>
          </w:p>
        </w:tc>
        <w:tc>
          <w:tcPr>
            <w:tcW w:w="900" w:type="dxa"/>
            <w:shd w:val="clear" w:color="auto" w:fill="CCEEFF"/>
            <w:vAlign w:val="bottom"/>
          </w:tcPr>
          <w:p w14:paraId="06622F8C" w14:textId="77777777" w:rsidR="00D1587D" w:rsidRDefault="00D1587D">
            <w:pPr>
              <w:rPr>
                <w:sz w:val="15"/>
                <w:szCs w:val="15"/>
              </w:rPr>
            </w:pPr>
          </w:p>
        </w:tc>
        <w:tc>
          <w:tcPr>
            <w:tcW w:w="60" w:type="dxa"/>
            <w:shd w:val="clear" w:color="auto" w:fill="CCEEFF"/>
            <w:vAlign w:val="bottom"/>
          </w:tcPr>
          <w:p w14:paraId="7FC6BE09" w14:textId="77777777" w:rsidR="00D1587D" w:rsidRDefault="00D1587D">
            <w:pPr>
              <w:rPr>
                <w:sz w:val="15"/>
                <w:szCs w:val="15"/>
              </w:rPr>
            </w:pPr>
          </w:p>
        </w:tc>
        <w:tc>
          <w:tcPr>
            <w:tcW w:w="920" w:type="dxa"/>
            <w:shd w:val="clear" w:color="auto" w:fill="CCEEFF"/>
            <w:vAlign w:val="bottom"/>
          </w:tcPr>
          <w:p w14:paraId="0675631B" w14:textId="77777777" w:rsidR="00D1587D" w:rsidRDefault="00D1587D">
            <w:pPr>
              <w:rPr>
                <w:sz w:val="15"/>
                <w:szCs w:val="15"/>
              </w:rPr>
            </w:pPr>
          </w:p>
        </w:tc>
        <w:tc>
          <w:tcPr>
            <w:tcW w:w="40" w:type="dxa"/>
            <w:shd w:val="clear" w:color="auto" w:fill="CCEEFF"/>
            <w:vAlign w:val="bottom"/>
          </w:tcPr>
          <w:p w14:paraId="6067B263" w14:textId="77777777" w:rsidR="00D1587D" w:rsidRDefault="00D1587D">
            <w:pPr>
              <w:rPr>
                <w:sz w:val="15"/>
                <w:szCs w:val="15"/>
              </w:rPr>
            </w:pPr>
          </w:p>
        </w:tc>
        <w:tc>
          <w:tcPr>
            <w:tcW w:w="620" w:type="dxa"/>
            <w:shd w:val="clear" w:color="auto" w:fill="CCEEFF"/>
            <w:vAlign w:val="bottom"/>
          </w:tcPr>
          <w:p w14:paraId="053366EC" w14:textId="77777777" w:rsidR="00D1587D" w:rsidRDefault="00D1587D">
            <w:pPr>
              <w:rPr>
                <w:sz w:val="15"/>
                <w:szCs w:val="15"/>
              </w:rPr>
            </w:pPr>
          </w:p>
        </w:tc>
        <w:tc>
          <w:tcPr>
            <w:tcW w:w="0" w:type="dxa"/>
            <w:vAlign w:val="bottom"/>
          </w:tcPr>
          <w:p w14:paraId="20000EE1" w14:textId="77777777" w:rsidR="00D1587D" w:rsidRDefault="00D1587D">
            <w:pPr>
              <w:rPr>
                <w:sz w:val="1"/>
                <w:szCs w:val="1"/>
              </w:rPr>
            </w:pPr>
          </w:p>
        </w:tc>
      </w:tr>
      <w:tr w:rsidR="00D1587D" w14:paraId="50C4F437" w14:textId="77777777">
        <w:trPr>
          <w:trHeight w:val="39"/>
        </w:trPr>
        <w:tc>
          <w:tcPr>
            <w:tcW w:w="1740" w:type="dxa"/>
            <w:shd w:val="clear" w:color="auto" w:fill="CCEEFF"/>
            <w:vAlign w:val="bottom"/>
          </w:tcPr>
          <w:p w14:paraId="7C4BC01B" w14:textId="77777777" w:rsidR="00D1587D" w:rsidRDefault="00D1587D">
            <w:pPr>
              <w:rPr>
                <w:sz w:val="3"/>
                <w:szCs w:val="3"/>
              </w:rPr>
            </w:pPr>
          </w:p>
        </w:tc>
        <w:tc>
          <w:tcPr>
            <w:tcW w:w="40" w:type="dxa"/>
            <w:shd w:val="clear" w:color="auto" w:fill="CCEEFF"/>
            <w:vAlign w:val="bottom"/>
          </w:tcPr>
          <w:p w14:paraId="0115BB75" w14:textId="77777777" w:rsidR="00D1587D" w:rsidRDefault="00D1587D">
            <w:pPr>
              <w:rPr>
                <w:sz w:val="3"/>
                <w:szCs w:val="3"/>
              </w:rPr>
            </w:pPr>
          </w:p>
        </w:tc>
        <w:tc>
          <w:tcPr>
            <w:tcW w:w="300" w:type="dxa"/>
            <w:shd w:val="clear" w:color="auto" w:fill="CCEEFF"/>
            <w:vAlign w:val="bottom"/>
          </w:tcPr>
          <w:p w14:paraId="39C51D7E" w14:textId="77777777" w:rsidR="00D1587D" w:rsidRDefault="00D1587D">
            <w:pPr>
              <w:rPr>
                <w:sz w:val="3"/>
                <w:szCs w:val="3"/>
              </w:rPr>
            </w:pPr>
          </w:p>
        </w:tc>
        <w:tc>
          <w:tcPr>
            <w:tcW w:w="60" w:type="dxa"/>
            <w:shd w:val="clear" w:color="auto" w:fill="CCEEFF"/>
            <w:vAlign w:val="bottom"/>
          </w:tcPr>
          <w:p w14:paraId="5A094822" w14:textId="77777777" w:rsidR="00D1587D" w:rsidRDefault="00D1587D">
            <w:pPr>
              <w:rPr>
                <w:sz w:val="3"/>
                <w:szCs w:val="3"/>
              </w:rPr>
            </w:pPr>
          </w:p>
        </w:tc>
        <w:tc>
          <w:tcPr>
            <w:tcW w:w="580" w:type="dxa"/>
            <w:shd w:val="clear" w:color="auto" w:fill="CCEEFF"/>
            <w:vAlign w:val="bottom"/>
          </w:tcPr>
          <w:p w14:paraId="31213218" w14:textId="77777777" w:rsidR="00D1587D" w:rsidRDefault="00D1587D">
            <w:pPr>
              <w:rPr>
                <w:sz w:val="3"/>
                <w:szCs w:val="3"/>
              </w:rPr>
            </w:pPr>
          </w:p>
        </w:tc>
        <w:tc>
          <w:tcPr>
            <w:tcW w:w="60" w:type="dxa"/>
            <w:shd w:val="clear" w:color="auto" w:fill="CCEEFF"/>
            <w:vAlign w:val="bottom"/>
          </w:tcPr>
          <w:p w14:paraId="618B9237" w14:textId="77777777" w:rsidR="00D1587D" w:rsidRDefault="00D1587D">
            <w:pPr>
              <w:rPr>
                <w:sz w:val="3"/>
                <w:szCs w:val="3"/>
              </w:rPr>
            </w:pPr>
          </w:p>
        </w:tc>
        <w:tc>
          <w:tcPr>
            <w:tcW w:w="380" w:type="dxa"/>
            <w:shd w:val="clear" w:color="auto" w:fill="CCEEFF"/>
            <w:vAlign w:val="bottom"/>
          </w:tcPr>
          <w:p w14:paraId="42753D78" w14:textId="77777777" w:rsidR="00D1587D" w:rsidRDefault="00D1587D">
            <w:pPr>
              <w:rPr>
                <w:sz w:val="3"/>
                <w:szCs w:val="3"/>
              </w:rPr>
            </w:pPr>
          </w:p>
        </w:tc>
        <w:tc>
          <w:tcPr>
            <w:tcW w:w="60" w:type="dxa"/>
            <w:shd w:val="clear" w:color="auto" w:fill="CCEEFF"/>
            <w:vAlign w:val="bottom"/>
          </w:tcPr>
          <w:p w14:paraId="26C3F73E" w14:textId="77777777" w:rsidR="00D1587D" w:rsidRDefault="00D1587D">
            <w:pPr>
              <w:rPr>
                <w:sz w:val="3"/>
                <w:szCs w:val="3"/>
              </w:rPr>
            </w:pPr>
          </w:p>
        </w:tc>
        <w:tc>
          <w:tcPr>
            <w:tcW w:w="760" w:type="dxa"/>
            <w:shd w:val="clear" w:color="auto" w:fill="CCEEFF"/>
            <w:vAlign w:val="bottom"/>
          </w:tcPr>
          <w:p w14:paraId="46F0C669" w14:textId="77777777" w:rsidR="00D1587D" w:rsidRDefault="00D1587D">
            <w:pPr>
              <w:rPr>
                <w:sz w:val="3"/>
                <w:szCs w:val="3"/>
              </w:rPr>
            </w:pPr>
          </w:p>
        </w:tc>
        <w:tc>
          <w:tcPr>
            <w:tcW w:w="60" w:type="dxa"/>
            <w:shd w:val="clear" w:color="auto" w:fill="CCEEFF"/>
            <w:vAlign w:val="bottom"/>
          </w:tcPr>
          <w:p w14:paraId="1DF88F86" w14:textId="77777777" w:rsidR="00D1587D" w:rsidRDefault="00D1587D">
            <w:pPr>
              <w:rPr>
                <w:sz w:val="3"/>
                <w:szCs w:val="3"/>
              </w:rPr>
            </w:pPr>
          </w:p>
        </w:tc>
        <w:tc>
          <w:tcPr>
            <w:tcW w:w="480" w:type="dxa"/>
            <w:shd w:val="clear" w:color="auto" w:fill="CCEEFF"/>
            <w:vAlign w:val="bottom"/>
          </w:tcPr>
          <w:p w14:paraId="63A6D84D" w14:textId="77777777" w:rsidR="00D1587D" w:rsidRDefault="00D1587D">
            <w:pPr>
              <w:rPr>
                <w:sz w:val="3"/>
                <w:szCs w:val="3"/>
              </w:rPr>
            </w:pPr>
          </w:p>
        </w:tc>
        <w:tc>
          <w:tcPr>
            <w:tcW w:w="40" w:type="dxa"/>
            <w:shd w:val="clear" w:color="auto" w:fill="CCEEFF"/>
            <w:vAlign w:val="bottom"/>
          </w:tcPr>
          <w:p w14:paraId="12C4ECE6" w14:textId="77777777" w:rsidR="00D1587D" w:rsidRDefault="00D1587D">
            <w:pPr>
              <w:rPr>
                <w:sz w:val="3"/>
                <w:szCs w:val="3"/>
              </w:rPr>
            </w:pPr>
          </w:p>
        </w:tc>
        <w:tc>
          <w:tcPr>
            <w:tcW w:w="1260" w:type="dxa"/>
            <w:shd w:val="clear" w:color="auto" w:fill="CCEEFF"/>
            <w:vAlign w:val="bottom"/>
          </w:tcPr>
          <w:p w14:paraId="27C0EEC0" w14:textId="77777777" w:rsidR="00D1587D" w:rsidRDefault="00D1587D">
            <w:pPr>
              <w:rPr>
                <w:sz w:val="3"/>
                <w:szCs w:val="3"/>
              </w:rPr>
            </w:pPr>
          </w:p>
        </w:tc>
        <w:tc>
          <w:tcPr>
            <w:tcW w:w="60" w:type="dxa"/>
            <w:shd w:val="clear" w:color="auto" w:fill="CCEEFF"/>
            <w:vAlign w:val="bottom"/>
          </w:tcPr>
          <w:p w14:paraId="2F940242" w14:textId="77777777" w:rsidR="00D1587D" w:rsidRDefault="00D1587D">
            <w:pPr>
              <w:rPr>
                <w:sz w:val="3"/>
                <w:szCs w:val="3"/>
              </w:rPr>
            </w:pPr>
          </w:p>
        </w:tc>
        <w:tc>
          <w:tcPr>
            <w:tcW w:w="900" w:type="dxa"/>
            <w:shd w:val="clear" w:color="auto" w:fill="CCEEFF"/>
            <w:vAlign w:val="bottom"/>
          </w:tcPr>
          <w:p w14:paraId="5C2774E4" w14:textId="77777777" w:rsidR="00D1587D" w:rsidRDefault="00D1587D">
            <w:pPr>
              <w:rPr>
                <w:sz w:val="3"/>
                <w:szCs w:val="3"/>
              </w:rPr>
            </w:pPr>
          </w:p>
        </w:tc>
        <w:tc>
          <w:tcPr>
            <w:tcW w:w="60" w:type="dxa"/>
            <w:shd w:val="clear" w:color="auto" w:fill="CCEEFF"/>
            <w:vAlign w:val="bottom"/>
          </w:tcPr>
          <w:p w14:paraId="70BC43A4" w14:textId="77777777" w:rsidR="00D1587D" w:rsidRDefault="00D1587D">
            <w:pPr>
              <w:rPr>
                <w:sz w:val="3"/>
                <w:szCs w:val="3"/>
              </w:rPr>
            </w:pPr>
          </w:p>
        </w:tc>
        <w:tc>
          <w:tcPr>
            <w:tcW w:w="920" w:type="dxa"/>
            <w:shd w:val="clear" w:color="auto" w:fill="CCEEFF"/>
            <w:vAlign w:val="bottom"/>
          </w:tcPr>
          <w:p w14:paraId="017BCB3D" w14:textId="77777777" w:rsidR="00D1587D" w:rsidRDefault="00D1587D">
            <w:pPr>
              <w:rPr>
                <w:sz w:val="3"/>
                <w:szCs w:val="3"/>
              </w:rPr>
            </w:pPr>
          </w:p>
        </w:tc>
        <w:tc>
          <w:tcPr>
            <w:tcW w:w="40" w:type="dxa"/>
            <w:shd w:val="clear" w:color="auto" w:fill="CCEEFF"/>
            <w:vAlign w:val="bottom"/>
          </w:tcPr>
          <w:p w14:paraId="0530A2EE" w14:textId="77777777" w:rsidR="00D1587D" w:rsidRDefault="00D1587D">
            <w:pPr>
              <w:rPr>
                <w:sz w:val="3"/>
                <w:szCs w:val="3"/>
              </w:rPr>
            </w:pPr>
          </w:p>
        </w:tc>
        <w:tc>
          <w:tcPr>
            <w:tcW w:w="620" w:type="dxa"/>
            <w:shd w:val="clear" w:color="auto" w:fill="CCEEFF"/>
            <w:vAlign w:val="bottom"/>
          </w:tcPr>
          <w:p w14:paraId="35E727AE" w14:textId="77777777" w:rsidR="00D1587D" w:rsidRDefault="00D1587D">
            <w:pPr>
              <w:rPr>
                <w:sz w:val="3"/>
                <w:szCs w:val="3"/>
              </w:rPr>
            </w:pPr>
          </w:p>
        </w:tc>
        <w:tc>
          <w:tcPr>
            <w:tcW w:w="0" w:type="dxa"/>
            <w:vAlign w:val="bottom"/>
          </w:tcPr>
          <w:p w14:paraId="7FEA0B6B" w14:textId="77777777" w:rsidR="00D1587D" w:rsidRDefault="00D1587D">
            <w:pPr>
              <w:spacing w:line="20" w:lineRule="exact"/>
              <w:rPr>
                <w:sz w:val="1"/>
                <w:szCs w:val="1"/>
              </w:rPr>
            </w:pPr>
          </w:p>
        </w:tc>
      </w:tr>
    </w:tbl>
    <w:p w14:paraId="2ED9D4FF" w14:textId="77777777" w:rsidR="00D1587D" w:rsidRDefault="00410D07">
      <w:pPr>
        <w:spacing w:line="20" w:lineRule="exact"/>
        <w:rPr>
          <w:sz w:val="20"/>
          <w:szCs w:val="20"/>
        </w:rPr>
      </w:pPr>
      <w:r>
        <w:rPr>
          <w:noProof/>
          <w:sz w:val="20"/>
          <w:szCs w:val="20"/>
        </w:rPr>
        <w:drawing>
          <wp:anchor distT="0" distB="0" distL="114300" distR="114300" simplePos="0" relativeHeight="251853824" behindDoc="1" locked="0" layoutInCell="0" allowOverlap="1" wp14:anchorId="7CCDBDB5" wp14:editId="7BF3CBF3">
            <wp:simplePos x="0" y="0"/>
            <wp:positionH relativeFrom="column">
              <wp:posOffset>5114290</wp:posOffset>
            </wp:positionH>
            <wp:positionV relativeFrom="paragraph">
              <wp:posOffset>-2245360</wp:posOffset>
            </wp:positionV>
            <wp:extent cx="34290" cy="8255"/>
            <wp:effectExtent l="0" t="0" r="0" b="0"/>
            <wp:wrapNone/>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54848" behindDoc="1" locked="0" layoutInCell="0" allowOverlap="1" wp14:anchorId="52E42B94" wp14:editId="1668A1D0">
            <wp:simplePos x="0" y="0"/>
            <wp:positionH relativeFrom="column">
              <wp:posOffset>4497070</wp:posOffset>
            </wp:positionH>
            <wp:positionV relativeFrom="paragraph">
              <wp:posOffset>-2245360</wp:posOffset>
            </wp:positionV>
            <wp:extent cx="34290" cy="8255"/>
            <wp:effectExtent l="0" t="0" r="0" b="0"/>
            <wp:wrapNone/>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55872" behindDoc="1" locked="0" layoutInCell="0" allowOverlap="1" wp14:anchorId="47146242" wp14:editId="740A5291">
            <wp:simplePos x="0" y="0"/>
            <wp:positionH relativeFrom="column">
              <wp:posOffset>3888740</wp:posOffset>
            </wp:positionH>
            <wp:positionV relativeFrom="paragraph">
              <wp:posOffset>-2245360</wp:posOffset>
            </wp:positionV>
            <wp:extent cx="34290" cy="8255"/>
            <wp:effectExtent l="0" t="0" r="0" b="0"/>
            <wp:wrapNone/>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56896" behindDoc="1" locked="0" layoutInCell="0" allowOverlap="1" wp14:anchorId="4B0E87A6" wp14:editId="0776D8A1">
            <wp:simplePos x="0" y="0"/>
            <wp:positionH relativeFrom="column">
              <wp:posOffset>3056890</wp:posOffset>
            </wp:positionH>
            <wp:positionV relativeFrom="paragraph">
              <wp:posOffset>-2245360</wp:posOffset>
            </wp:positionV>
            <wp:extent cx="34290" cy="8255"/>
            <wp:effectExtent l="0" t="0" r="0" b="0"/>
            <wp:wrapNone/>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57920" behindDoc="1" locked="0" layoutInCell="0" allowOverlap="1" wp14:anchorId="75614C7C" wp14:editId="30C03380">
            <wp:simplePos x="0" y="0"/>
            <wp:positionH relativeFrom="column">
              <wp:posOffset>2722880</wp:posOffset>
            </wp:positionH>
            <wp:positionV relativeFrom="paragraph">
              <wp:posOffset>-2245360</wp:posOffset>
            </wp:positionV>
            <wp:extent cx="34290" cy="8255"/>
            <wp:effectExtent l="0" t="0" r="0" b="0"/>
            <wp:wrapNone/>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58944" behindDoc="1" locked="0" layoutInCell="0" allowOverlap="1" wp14:anchorId="5884721E" wp14:editId="6C1AC0B6">
            <wp:simplePos x="0" y="0"/>
            <wp:positionH relativeFrom="column">
              <wp:posOffset>2199640</wp:posOffset>
            </wp:positionH>
            <wp:positionV relativeFrom="paragraph">
              <wp:posOffset>-2245360</wp:posOffset>
            </wp:positionV>
            <wp:extent cx="34290" cy="8255"/>
            <wp:effectExtent l="0" t="0" r="0" b="0"/>
            <wp:wrapNone/>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59968" behindDoc="1" locked="0" layoutInCell="0" allowOverlap="1" wp14:anchorId="596001D3" wp14:editId="5332D14B">
            <wp:simplePos x="0" y="0"/>
            <wp:positionH relativeFrom="column">
              <wp:posOffset>1917065</wp:posOffset>
            </wp:positionH>
            <wp:positionV relativeFrom="paragraph">
              <wp:posOffset>-2245360</wp:posOffset>
            </wp:positionV>
            <wp:extent cx="34290" cy="8255"/>
            <wp:effectExtent l="0" t="0" r="0" b="0"/>
            <wp:wrapNone/>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60992" behindDoc="1" locked="0" layoutInCell="0" allowOverlap="1" wp14:anchorId="5F941BB0" wp14:editId="4FF708ED">
            <wp:simplePos x="0" y="0"/>
            <wp:positionH relativeFrom="column">
              <wp:posOffset>1513840</wp:posOffset>
            </wp:positionH>
            <wp:positionV relativeFrom="paragraph">
              <wp:posOffset>-2245360</wp:posOffset>
            </wp:positionV>
            <wp:extent cx="34290" cy="8255"/>
            <wp:effectExtent l="0" t="0" r="0" b="0"/>
            <wp:wrapNone/>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62016" behindDoc="1" locked="0" layoutInCell="0" allowOverlap="1" wp14:anchorId="531E4BB5" wp14:editId="4C4B2FE7">
            <wp:simplePos x="0" y="0"/>
            <wp:positionH relativeFrom="column">
              <wp:posOffset>1290955</wp:posOffset>
            </wp:positionH>
            <wp:positionV relativeFrom="paragraph">
              <wp:posOffset>-2245360</wp:posOffset>
            </wp:positionV>
            <wp:extent cx="34290" cy="8255"/>
            <wp:effectExtent l="0" t="0" r="0" b="0"/>
            <wp:wrapNone/>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1863040" behindDoc="1" locked="0" layoutInCell="0" allowOverlap="1" wp14:anchorId="7B797FE4" wp14:editId="7F2C38E6">
            <wp:simplePos x="0" y="0"/>
            <wp:positionH relativeFrom="column">
              <wp:posOffset>185420</wp:posOffset>
            </wp:positionH>
            <wp:positionV relativeFrom="paragraph">
              <wp:posOffset>111760</wp:posOffset>
            </wp:positionV>
            <wp:extent cx="822960" cy="8255"/>
            <wp:effectExtent l="0" t="0" r="0" b="0"/>
            <wp:wrapNone/>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75CD0D81" w14:textId="77777777" w:rsidR="00D1587D" w:rsidRDefault="00D1587D">
      <w:pPr>
        <w:spacing w:line="204" w:lineRule="exact"/>
        <w:rPr>
          <w:sz w:val="20"/>
          <w:szCs w:val="20"/>
        </w:rPr>
      </w:pPr>
    </w:p>
    <w:p w14:paraId="568C0A05" w14:textId="77777777" w:rsidR="00D1587D" w:rsidRDefault="00410D07" w:rsidP="00410D07">
      <w:pPr>
        <w:numPr>
          <w:ilvl w:val="0"/>
          <w:numId w:val="319"/>
        </w:numPr>
        <w:tabs>
          <w:tab w:val="left" w:pos="640"/>
        </w:tabs>
        <w:spacing w:line="233" w:lineRule="auto"/>
        <w:ind w:left="640" w:right="459" w:hanging="348"/>
        <w:rPr>
          <w:rFonts w:ascii="Arial" w:eastAsia="Arial" w:hAnsi="Arial" w:cs="Arial"/>
          <w:sz w:val="14"/>
          <w:szCs w:val="14"/>
        </w:rPr>
      </w:pPr>
      <w:r>
        <w:rPr>
          <w:rFonts w:ascii="Arial" w:eastAsia="Arial" w:hAnsi="Arial" w:cs="Arial"/>
          <w:sz w:val="14"/>
          <w:szCs w:val="14"/>
        </w:rPr>
        <w:t xml:space="preserve">The value of stock awards reflects the aggregate grant date fair value, excluding estimated forfeitures, computed in accordance with Accounting Standards </w:t>
      </w:r>
      <w:r>
        <w:rPr>
          <w:rFonts w:ascii="Arial" w:eastAsia="Arial" w:hAnsi="Arial" w:cs="Arial"/>
          <w:sz w:val="14"/>
          <w:szCs w:val="14"/>
        </w:rPr>
        <w:t>Codification (“ASC”) Topic 718 Compensation—Stock Compensation, for each award. See Note 19 to LB’s financial statements filed in the LB Annual Report on Form 10-K for fiscal 2020 for the related assumptions in determining the aggregate grant date fair val</w:t>
      </w:r>
      <w:r>
        <w:rPr>
          <w:rFonts w:ascii="Arial" w:eastAsia="Arial" w:hAnsi="Arial" w:cs="Arial"/>
          <w:sz w:val="14"/>
          <w:szCs w:val="14"/>
        </w:rPr>
        <w:t>ue of these awards.</w:t>
      </w:r>
    </w:p>
    <w:p w14:paraId="55693AE8" w14:textId="77777777" w:rsidR="00D1587D" w:rsidRDefault="00D1587D">
      <w:pPr>
        <w:spacing w:line="22" w:lineRule="exact"/>
        <w:rPr>
          <w:rFonts w:ascii="Arial" w:eastAsia="Arial" w:hAnsi="Arial" w:cs="Arial"/>
          <w:sz w:val="14"/>
          <w:szCs w:val="14"/>
        </w:rPr>
      </w:pPr>
    </w:p>
    <w:p w14:paraId="4105AEFF" w14:textId="77777777" w:rsidR="00D1587D" w:rsidRDefault="00410D07" w:rsidP="00410D07">
      <w:pPr>
        <w:numPr>
          <w:ilvl w:val="0"/>
          <w:numId w:val="319"/>
        </w:numPr>
        <w:tabs>
          <w:tab w:val="left" w:pos="640"/>
        </w:tabs>
        <w:ind w:left="640" w:hanging="348"/>
        <w:rPr>
          <w:rFonts w:ascii="Arial" w:eastAsia="Arial" w:hAnsi="Arial" w:cs="Arial"/>
          <w:sz w:val="14"/>
          <w:szCs w:val="14"/>
        </w:rPr>
      </w:pPr>
      <w:r>
        <w:rPr>
          <w:rFonts w:ascii="Arial" w:eastAsia="Arial" w:hAnsi="Arial" w:cs="Arial"/>
          <w:sz w:val="14"/>
          <w:szCs w:val="14"/>
        </w:rPr>
        <w:t>Represents restricted stock units (“RSUs”) granted to Mr. Waters under the LB 2020 Plan.</w:t>
      </w:r>
    </w:p>
    <w:p w14:paraId="121748E0" w14:textId="77777777" w:rsidR="00D1587D" w:rsidRDefault="00D1587D">
      <w:pPr>
        <w:spacing w:line="41" w:lineRule="exact"/>
        <w:rPr>
          <w:rFonts w:ascii="Arial" w:eastAsia="Arial" w:hAnsi="Arial" w:cs="Arial"/>
          <w:sz w:val="14"/>
          <w:szCs w:val="14"/>
        </w:rPr>
      </w:pPr>
    </w:p>
    <w:p w14:paraId="225383DB" w14:textId="77777777" w:rsidR="00D1587D" w:rsidRDefault="00410D07" w:rsidP="00410D07">
      <w:pPr>
        <w:numPr>
          <w:ilvl w:val="0"/>
          <w:numId w:val="319"/>
        </w:numPr>
        <w:tabs>
          <w:tab w:val="left" w:pos="640"/>
        </w:tabs>
        <w:spacing w:line="233" w:lineRule="auto"/>
        <w:ind w:left="640" w:right="359" w:hanging="348"/>
        <w:rPr>
          <w:rFonts w:ascii="Arial" w:eastAsia="Arial" w:hAnsi="Arial" w:cs="Arial"/>
          <w:sz w:val="14"/>
          <w:szCs w:val="14"/>
        </w:rPr>
      </w:pPr>
      <w:r>
        <w:rPr>
          <w:rFonts w:ascii="Arial" w:eastAsia="Arial" w:hAnsi="Arial" w:cs="Arial"/>
          <w:sz w:val="14"/>
          <w:szCs w:val="14"/>
        </w:rPr>
        <w:t>Represents the aggregate value of the non-equity performance-based incentive compensation paid for the applicable fiscal 2020 Spring and Fall sel</w:t>
      </w:r>
      <w:r>
        <w:rPr>
          <w:rFonts w:ascii="Arial" w:eastAsia="Arial" w:hAnsi="Arial" w:cs="Arial"/>
          <w:sz w:val="14"/>
          <w:szCs w:val="14"/>
        </w:rPr>
        <w:t xml:space="preserve">ling seasons. Incentive compensation targets are set based on a percentage of base salary and are paid seasonally based on the achievement of adjusted operating income results. The following table illustrates the amount of the compensation that is paid in </w:t>
      </w:r>
      <w:r>
        <w:rPr>
          <w:rFonts w:ascii="Arial" w:eastAsia="Arial" w:hAnsi="Arial" w:cs="Arial"/>
          <w:sz w:val="14"/>
          <w:szCs w:val="14"/>
        </w:rPr>
        <w:t>cash and voluntarily deferred:</w:t>
      </w:r>
    </w:p>
    <w:p w14:paraId="78F63129" w14:textId="77777777" w:rsidR="00D1587D" w:rsidRDefault="00D1587D">
      <w:pPr>
        <w:spacing w:line="128" w:lineRule="exact"/>
        <w:rPr>
          <w:sz w:val="20"/>
          <w:szCs w:val="20"/>
        </w:rPr>
      </w:pPr>
    </w:p>
    <w:tbl>
      <w:tblPr>
        <w:tblW w:w="0" w:type="auto"/>
        <w:tblInd w:w="660" w:type="dxa"/>
        <w:tblLayout w:type="fixed"/>
        <w:tblCellMar>
          <w:left w:w="0" w:type="dxa"/>
          <w:right w:w="0" w:type="dxa"/>
        </w:tblCellMar>
        <w:tblLook w:val="04A0" w:firstRow="1" w:lastRow="0" w:firstColumn="1" w:lastColumn="0" w:noHBand="0" w:noVBand="1"/>
      </w:tblPr>
      <w:tblGrid>
        <w:gridCol w:w="3040"/>
        <w:gridCol w:w="1860"/>
        <w:gridCol w:w="800"/>
        <w:gridCol w:w="140"/>
        <w:gridCol w:w="900"/>
        <w:gridCol w:w="140"/>
        <w:gridCol w:w="820"/>
      </w:tblGrid>
      <w:tr w:rsidR="00D1587D" w14:paraId="5D8BBD75" w14:textId="77777777">
        <w:trPr>
          <w:trHeight w:val="161"/>
        </w:trPr>
        <w:tc>
          <w:tcPr>
            <w:tcW w:w="3040" w:type="dxa"/>
            <w:vAlign w:val="bottom"/>
          </w:tcPr>
          <w:p w14:paraId="17C8F279" w14:textId="77777777" w:rsidR="00D1587D" w:rsidRDefault="00D1587D">
            <w:pPr>
              <w:rPr>
                <w:sz w:val="14"/>
                <w:szCs w:val="14"/>
              </w:rPr>
            </w:pPr>
          </w:p>
        </w:tc>
        <w:tc>
          <w:tcPr>
            <w:tcW w:w="1860" w:type="dxa"/>
            <w:vAlign w:val="bottom"/>
          </w:tcPr>
          <w:p w14:paraId="130ADA1C" w14:textId="77777777" w:rsidR="00D1587D" w:rsidRDefault="00D1587D">
            <w:pPr>
              <w:rPr>
                <w:sz w:val="14"/>
                <w:szCs w:val="14"/>
              </w:rPr>
            </w:pPr>
          </w:p>
        </w:tc>
        <w:tc>
          <w:tcPr>
            <w:tcW w:w="800" w:type="dxa"/>
            <w:vAlign w:val="bottom"/>
          </w:tcPr>
          <w:p w14:paraId="225E28F5" w14:textId="77777777" w:rsidR="00D1587D" w:rsidRDefault="00410D07">
            <w:pPr>
              <w:jc w:val="right"/>
              <w:rPr>
                <w:sz w:val="20"/>
                <w:szCs w:val="20"/>
              </w:rPr>
            </w:pPr>
            <w:r>
              <w:rPr>
                <w:rFonts w:ascii="Arial" w:eastAsia="Arial" w:hAnsi="Arial" w:cs="Arial"/>
                <w:b/>
                <w:bCs/>
                <w:w w:val="90"/>
                <w:sz w:val="14"/>
                <w:szCs w:val="14"/>
              </w:rPr>
              <w:t>Paid in Cash</w:t>
            </w:r>
          </w:p>
        </w:tc>
        <w:tc>
          <w:tcPr>
            <w:tcW w:w="1040" w:type="dxa"/>
            <w:gridSpan w:val="2"/>
            <w:vAlign w:val="bottom"/>
          </w:tcPr>
          <w:p w14:paraId="11560F1B" w14:textId="77777777" w:rsidR="00D1587D" w:rsidRDefault="00410D07">
            <w:pPr>
              <w:jc w:val="right"/>
              <w:rPr>
                <w:sz w:val="20"/>
                <w:szCs w:val="20"/>
              </w:rPr>
            </w:pPr>
            <w:r>
              <w:rPr>
                <w:rFonts w:ascii="Arial" w:eastAsia="Arial" w:hAnsi="Arial" w:cs="Arial"/>
                <w:b/>
                <w:bCs/>
                <w:sz w:val="14"/>
                <w:szCs w:val="14"/>
              </w:rPr>
              <w:t>Deferred Cash</w:t>
            </w:r>
          </w:p>
        </w:tc>
        <w:tc>
          <w:tcPr>
            <w:tcW w:w="140" w:type="dxa"/>
            <w:vAlign w:val="bottom"/>
          </w:tcPr>
          <w:p w14:paraId="2D8E38F4" w14:textId="77777777" w:rsidR="00D1587D" w:rsidRDefault="00D1587D">
            <w:pPr>
              <w:rPr>
                <w:sz w:val="14"/>
                <w:szCs w:val="14"/>
              </w:rPr>
            </w:pPr>
          </w:p>
        </w:tc>
        <w:tc>
          <w:tcPr>
            <w:tcW w:w="820" w:type="dxa"/>
            <w:vAlign w:val="bottom"/>
          </w:tcPr>
          <w:p w14:paraId="442BC0AE" w14:textId="77777777" w:rsidR="00D1587D" w:rsidRDefault="00410D07">
            <w:pPr>
              <w:ind w:right="208"/>
              <w:jc w:val="right"/>
              <w:rPr>
                <w:sz w:val="20"/>
                <w:szCs w:val="20"/>
              </w:rPr>
            </w:pPr>
            <w:r>
              <w:rPr>
                <w:rFonts w:ascii="Arial" w:eastAsia="Arial" w:hAnsi="Arial" w:cs="Arial"/>
                <w:b/>
                <w:bCs/>
                <w:sz w:val="14"/>
                <w:szCs w:val="14"/>
              </w:rPr>
              <w:t>Total</w:t>
            </w:r>
          </w:p>
        </w:tc>
      </w:tr>
      <w:tr w:rsidR="00D1587D" w14:paraId="6611F28C" w14:textId="77777777">
        <w:trPr>
          <w:trHeight w:val="186"/>
        </w:trPr>
        <w:tc>
          <w:tcPr>
            <w:tcW w:w="3040" w:type="dxa"/>
            <w:vAlign w:val="bottom"/>
          </w:tcPr>
          <w:p w14:paraId="54F02112" w14:textId="77777777" w:rsidR="00D1587D" w:rsidRDefault="00D1587D">
            <w:pPr>
              <w:rPr>
                <w:sz w:val="16"/>
                <w:szCs w:val="16"/>
              </w:rPr>
            </w:pPr>
          </w:p>
        </w:tc>
        <w:tc>
          <w:tcPr>
            <w:tcW w:w="2660" w:type="dxa"/>
            <w:gridSpan w:val="2"/>
            <w:vAlign w:val="bottom"/>
          </w:tcPr>
          <w:p w14:paraId="1B319B23" w14:textId="77777777" w:rsidR="00D1587D" w:rsidRDefault="00410D07">
            <w:pPr>
              <w:ind w:right="248"/>
              <w:jc w:val="right"/>
              <w:rPr>
                <w:sz w:val="20"/>
                <w:szCs w:val="20"/>
              </w:rPr>
            </w:pPr>
            <w:r>
              <w:rPr>
                <w:rFonts w:ascii="Arial" w:eastAsia="Arial" w:hAnsi="Arial" w:cs="Arial"/>
                <w:b/>
                <w:bCs/>
                <w:sz w:val="14"/>
                <w:szCs w:val="14"/>
              </w:rPr>
              <w:t>($)</w:t>
            </w:r>
          </w:p>
        </w:tc>
        <w:tc>
          <w:tcPr>
            <w:tcW w:w="1040" w:type="dxa"/>
            <w:gridSpan w:val="2"/>
            <w:vAlign w:val="bottom"/>
          </w:tcPr>
          <w:p w14:paraId="59196142" w14:textId="77777777" w:rsidR="00D1587D" w:rsidRDefault="00410D07">
            <w:pPr>
              <w:ind w:right="270"/>
              <w:jc w:val="right"/>
              <w:rPr>
                <w:sz w:val="20"/>
                <w:szCs w:val="20"/>
              </w:rPr>
            </w:pPr>
            <w:r>
              <w:rPr>
                <w:rFonts w:ascii="Arial" w:eastAsia="Arial" w:hAnsi="Arial" w:cs="Arial"/>
                <w:b/>
                <w:bCs/>
                <w:sz w:val="14"/>
                <w:szCs w:val="14"/>
              </w:rPr>
              <w:t>($)</w:t>
            </w:r>
          </w:p>
        </w:tc>
        <w:tc>
          <w:tcPr>
            <w:tcW w:w="960" w:type="dxa"/>
            <w:gridSpan w:val="2"/>
            <w:vAlign w:val="bottom"/>
          </w:tcPr>
          <w:p w14:paraId="3DB50F1F" w14:textId="77777777" w:rsidR="00D1587D" w:rsidRDefault="00410D07">
            <w:pPr>
              <w:ind w:right="268"/>
              <w:jc w:val="right"/>
              <w:rPr>
                <w:sz w:val="20"/>
                <w:szCs w:val="20"/>
              </w:rPr>
            </w:pPr>
            <w:r>
              <w:rPr>
                <w:rFonts w:ascii="Arial" w:eastAsia="Arial" w:hAnsi="Arial" w:cs="Arial"/>
                <w:b/>
                <w:bCs/>
                <w:sz w:val="14"/>
                <w:szCs w:val="14"/>
              </w:rPr>
              <w:t>($)</w:t>
            </w:r>
          </w:p>
        </w:tc>
      </w:tr>
      <w:tr w:rsidR="00D1587D" w14:paraId="3413084D" w14:textId="77777777">
        <w:trPr>
          <w:trHeight w:val="52"/>
        </w:trPr>
        <w:tc>
          <w:tcPr>
            <w:tcW w:w="3040" w:type="dxa"/>
            <w:tcBorders>
              <w:bottom w:val="single" w:sz="8" w:space="0" w:color="CCEEFF"/>
            </w:tcBorders>
            <w:vAlign w:val="bottom"/>
          </w:tcPr>
          <w:p w14:paraId="5992E057" w14:textId="77777777" w:rsidR="00D1587D" w:rsidRDefault="00D1587D">
            <w:pPr>
              <w:rPr>
                <w:sz w:val="4"/>
                <w:szCs w:val="4"/>
              </w:rPr>
            </w:pPr>
          </w:p>
        </w:tc>
        <w:tc>
          <w:tcPr>
            <w:tcW w:w="1860" w:type="dxa"/>
            <w:tcBorders>
              <w:bottom w:val="single" w:sz="8" w:space="0" w:color="CCEEFF"/>
            </w:tcBorders>
            <w:vAlign w:val="bottom"/>
          </w:tcPr>
          <w:p w14:paraId="72B550A1" w14:textId="77777777" w:rsidR="00D1587D" w:rsidRDefault="00D1587D">
            <w:pPr>
              <w:rPr>
                <w:sz w:val="4"/>
                <w:szCs w:val="4"/>
              </w:rPr>
            </w:pPr>
          </w:p>
        </w:tc>
        <w:tc>
          <w:tcPr>
            <w:tcW w:w="800" w:type="dxa"/>
            <w:tcBorders>
              <w:bottom w:val="single" w:sz="8" w:space="0" w:color="auto"/>
            </w:tcBorders>
            <w:vAlign w:val="bottom"/>
          </w:tcPr>
          <w:p w14:paraId="30E32753" w14:textId="77777777" w:rsidR="00D1587D" w:rsidRDefault="00D1587D">
            <w:pPr>
              <w:rPr>
                <w:sz w:val="4"/>
                <w:szCs w:val="4"/>
              </w:rPr>
            </w:pPr>
          </w:p>
        </w:tc>
        <w:tc>
          <w:tcPr>
            <w:tcW w:w="140" w:type="dxa"/>
            <w:tcBorders>
              <w:bottom w:val="single" w:sz="8" w:space="0" w:color="CCEEFF"/>
            </w:tcBorders>
            <w:vAlign w:val="bottom"/>
          </w:tcPr>
          <w:p w14:paraId="1568784B" w14:textId="77777777" w:rsidR="00D1587D" w:rsidRDefault="00D1587D">
            <w:pPr>
              <w:rPr>
                <w:sz w:val="4"/>
                <w:szCs w:val="4"/>
              </w:rPr>
            </w:pPr>
          </w:p>
        </w:tc>
        <w:tc>
          <w:tcPr>
            <w:tcW w:w="900" w:type="dxa"/>
            <w:tcBorders>
              <w:bottom w:val="single" w:sz="8" w:space="0" w:color="auto"/>
            </w:tcBorders>
            <w:vAlign w:val="bottom"/>
          </w:tcPr>
          <w:p w14:paraId="63DB8041" w14:textId="77777777" w:rsidR="00D1587D" w:rsidRDefault="00D1587D">
            <w:pPr>
              <w:rPr>
                <w:sz w:val="4"/>
                <w:szCs w:val="4"/>
              </w:rPr>
            </w:pPr>
          </w:p>
        </w:tc>
        <w:tc>
          <w:tcPr>
            <w:tcW w:w="140" w:type="dxa"/>
            <w:tcBorders>
              <w:bottom w:val="single" w:sz="8" w:space="0" w:color="CCEEFF"/>
            </w:tcBorders>
            <w:vAlign w:val="bottom"/>
          </w:tcPr>
          <w:p w14:paraId="76D4217D" w14:textId="77777777" w:rsidR="00D1587D" w:rsidRDefault="00D1587D">
            <w:pPr>
              <w:rPr>
                <w:sz w:val="4"/>
                <w:szCs w:val="4"/>
              </w:rPr>
            </w:pPr>
          </w:p>
        </w:tc>
        <w:tc>
          <w:tcPr>
            <w:tcW w:w="820" w:type="dxa"/>
            <w:tcBorders>
              <w:bottom w:val="single" w:sz="8" w:space="0" w:color="auto"/>
            </w:tcBorders>
            <w:vAlign w:val="bottom"/>
          </w:tcPr>
          <w:p w14:paraId="4315BD7C" w14:textId="77777777" w:rsidR="00D1587D" w:rsidRDefault="00D1587D">
            <w:pPr>
              <w:rPr>
                <w:sz w:val="4"/>
                <w:szCs w:val="4"/>
              </w:rPr>
            </w:pPr>
          </w:p>
        </w:tc>
      </w:tr>
      <w:tr w:rsidR="00D1587D" w14:paraId="24C769B2" w14:textId="77777777">
        <w:trPr>
          <w:trHeight w:val="311"/>
        </w:trPr>
        <w:tc>
          <w:tcPr>
            <w:tcW w:w="3040" w:type="dxa"/>
            <w:tcBorders>
              <w:bottom w:val="single" w:sz="8" w:space="0" w:color="CCEEFF"/>
            </w:tcBorders>
            <w:shd w:val="clear" w:color="auto" w:fill="CCEEFF"/>
            <w:vAlign w:val="bottom"/>
          </w:tcPr>
          <w:p w14:paraId="59324C09" w14:textId="77777777" w:rsidR="00D1587D" w:rsidRDefault="00410D07">
            <w:pPr>
              <w:rPr>
                <w:sz w:val="20"/>
                <w:szCs w:val="20"/>
              </w:rPr>
            </w:pPr>
            <w:r>
              <w:rPr>
                <w:rFonts w:ascii="Arial" w:eastAsia="Arial" w:hAnsi="Arial" w:cs="Arial"/>
                <w:sz w:val="18"/>
                <w:szCs w:val="18"/>
              </w:rPr>
              <w:t>Mr. Waters</w:t>
            </w:r>
          </w:p>
        </w:tc>
        <w:tc>
          <w:tcPr>
            <w:tcW w:w="2660" w:type="dxa"/>
            <w:gridSpan w:val="2"/>
            <w:tcBorders>
              <w:bottom w:val="single" w:sz="8" w:space="0" w:color="CCEEFF"/>
            </w:tcBorders>
            <w:shd w:val="clear" w:color="auto" w:fill="CCEEFF"/>
            <w:vAlign w:val="bottom"/>
          </w:tcPr>
          <w:p w14:paraId="799BDBD8" w14:textId="77777777" w:rsidR="00D1587D" w:rsidRDefault="00410D07">
            <w:pPr>
              <w:jc w:val="right"/>
              <w:rPr>
                <w:sz w:val="20"/>
                <w:szCs w:val="20"/>
              </w:rPr>
            </w:pPr>
            <w:r>
              <w:rPr>
                <w:rFonts w:ascii="Arial" w:eastAsia="Arial" w:hAnsi="Arial" w:cs="Arial"/>
                <w:sz w:val="18"/>
                <w:szCs w:val="18"/>
              </w:rPr>
              <w:t>$2,503,443</w:t>
            </w:r>
          </w:p>
        </w:tc>
        <w:tc>
          <w:tcPr>
            <w:tcW w:w="1040" w:type="dxa"/>
            <w:gridSpan w:val="2"/>
            <w:tcBorders>
              <w:bottom w:val="single" w:sz="8" w:space="0" w:color="CCEEFF"/>
            </w:tcBorders>
            <w:shd w:val="clear" w:color="auto" w:fill="CCEEFF"/>
            <w:vAlign w:val="bottom"/>
          </w:tcPr>
          <w:p w14:paraId="6B4DE0DB" w14:textId="77777777" w:rsidR="00D1587D" w:rsidRDefault="00410D07">
            <w:pPr>
              <w:ind w:right="110"/>
              <w:jc w:val="right"/>
              <w:rPr>
                <w:sz w:val="20"/>
                <w:szCs w:val="20"/>
              </w:rPr>
            </w:pPr>
            <w:r>
              <w:rPr>
                <w:rFonts w:ascii="Arial" w:eastAsia="Arial" w:hAnsi="Arial" w:cs="Arial"/>
                <w:sz w:val="18"/>
                <w:szCs w:val="18"/>
              </w:rPr>
              <w:t>$8,192</w:t>
            </w:r>
          </w:p>
        </w:tc>
        <w:tc>
          <w:tcPr>
            <w:tcW w:w="960" w:type="dxa"/>
            <w:gridSpan w:val="2"/>
            <w:tcBorders>
              <w:bottom w:val="single" w:sz="8" w:space="0" w:color="CCEEFF"/>
            </w:tcBorders>
            <w:shd w:val="clear" w:color="auto" w:fill="CCEEFF"/>
            <w:vAlign w:val="bottom"/>
          </w:tcPr>
          <w:p w14:paraId="25B82746" w14:textId="77777777" w:rsidR="00D1587D" w:rsidRDefault="00410D07">
            <w:pPr>
              <w:jc w:val="right"/>
              <w:rPr>
                <w:sz w:val="20"/>
                <w:szCs w:val="20"/>
              </w:rPr>
            </w:pPr>
            <w:r>
              <w:rPr>
                <w:rFonts w:ascii="Arial" w:eastAsia="Arial" w:hAnsi="Arial" w:cs="Arial"/>
                <w:sz w:val="18"/>
                <w:szCs w:val="18"/>
              </w:rPr>
              <w:t>$2,511,635</w:t>
            </w:r>
          </w:p>
        </w:tc>
      </w:tr>
      <w:tr w:rsidR="00D1587D" w14:paraId="3A9A8192" w14:textId="77777777">
        <w:trPr>
          <w:trHeight w:val="270"/>
        </w:trPr>
        <w:tc>
          <w:tcPr>
            <w:tcW w:w="3040" w:type="dxa"/>
            <w:vAlign w:val="bottom"/>
          </w:tcPr>
          <w:p w14:paraId="112E8D29" w14:textId="77777777" w:rsidR="00D1587D" w:rsidRDefault="00410D07">
            <w:pPr>
              <w:rPr>
                <w:sz w:val="20"/>
                <w:szCs w:val="20"/>
              </w:rPr>
            </w:pPr>
            <w:r>
              <w:rPr>
                <w:rFonts w:ascii="Arial" w:eastAsia="Arial" w:hAnsi="Arial" w:cs="Arial"/>
                <w:sz w:val="18"/>
                <w:szCs w:val="18"/>
              </w:rPr>
              <w:t>Ms. Hauk</w:t>
            </w:r>
          </w:p>
        </w:tc>
        <w:tc>
          <w:tcPr>
            <w:tcW w:w="2660" w:type="dxa"/>
            <w:gridSpan w:val="2"/>
            <w:vAlign w:val="bottom"/>
          </w:tcPr>
          <w:p w14:paraId="41EA19EA" w14:textId="77777777" w:rsidR="00D1587D" w:rsidRDefault="00410D07">
            <w:pPr>
              <w:jc w:val="right"/>
              <w:rPr>
                <w:sz w:val="20"/>
                <w:szCs w:val="20"/>
              </w:rPr>
            </w:pPr>
            <w:r>
              <w:rPr>
                <w:rFonts w:ascii="Arial" w:eastAsia="Arial" w:hAnsi="Arial" w:cs="Arial"/>
                <w:sz w:val="18"/>
                <w:szCs w:val="18"/>
              </w:rPr>
              <w:t>1,768,615</w:t>
            </w:r>
          </w:p>
        </w:tc>
        <w:tc>
          <w:tcPr>
            <w:tcW w:w="1040" w:type="dxa"/>
            <w:gridSpan w:val="2"/>
            <w:vAlign w:val="bottom"/>
          </w:tcPr>
          <w:p w14:paraId="4CF0EC71" w14:textId="77777777" w:rsidR="00D1587D" w:rsidRDefault="00410D07">
            <w:pPr>
              <w:ind w:right="110"/>
              <w:jc w:val="right"/>
              <w:rPr>
                <w:sz w:val="20"/>
                <w:szCs w:val="20"/>
              </w:rPr>
            </w:pPr>
            <w:r>
              <w:rPr>
                <w:rFonts w:ascii="Arial" w:eastAsia="Arial" w:hAnsi="Arial" w:cs="Arial"/>
                <w:sz w:val="18"/>
                <w:szCs w:val="18"/>
              </w:rPr>
              <w:t>7,385</w:t>
            </w:r>
          </w:p>
        </w:tc>
        <w:tc>
          <w:tcPr>
            <w:tcW w:w="960" w:type="dxa"/>
            <w:gridSpan w:val="2"/>
            <w:vAlign w:val="bottom"/>
          </w:tcPr>
          <w:p w14:paraId="51AB7B00" w14:textId="77777777" w:rsidR="00D1587D" w:rsidRDefault="00410D07">
            <w:pPr>
              <w:jc w:val="right"/>
              <w:rPr>
                <w:sz w:val="20"/>
                <w:szCs w:val="20"/>
              </w:rPr>
            </w:pPr>
            <w:r>
              <w:rPr>
                <w:rFonts w:ascii="Arial" w:eastAsia="Arial" w:hAnsi="Arial" w:cs="Arial"/>
                <w:sz w:val="18"/>
                <w:szCs w:val="18"/>
              </w:rPr>
              <w:t>1,776,000</w:t>
            </w:r>
          </w:p>
        </w:tc>
      </w:tr>
      <w:tr w:rsidR="00D1587D" w14:paraId="13DD009F" w14:textId="77777777">
        <w:trPr>
          <w:trHeight w:val="54"/>
        </w:trPr>
        <w:tc>
          <w:tcPr>
            <w:tcW w:w="3040" w:type="dxa"/>
            <w:vAlign w:val="bottom"/>
          </w:tcPr>
          <w:p w14:paraId="54699E52" w14:textId="77777777" w:rsidR="00D1587D" w:rsidRDefault="00D1587D">
            <w:pPr>
              <w:rPr>
                <w:sz w:val="4"/>
                <w:szCs w:val="4"/>
              </w:rPr>
            </w:pPr>
          </w:p>
        </w:tc>
        <w:tc>
          <w:tcPr>
            <w:tcW w:w="1860" w:type="dxa"/>
            <w:vAlign w:val="bottom"/>
          </w:tcPr>
          <w:p w14:paraId="72EB9949" w14:textId="77777777" w:rsidR="00D1587D" w:rsidRDefault="00D1587D">
            <w:pPr>
              <w:rPr>
                <w:sz w:val="4"/>
                <w:szCs w:val="4"/>
              </w:rPr>
            </w:pPr>
          </w:p>
        </w:tc>
        <w:tc>
          <w:tcPr>
            <w:tcW w:w="800" w:type="dxa"/>
            <w:vAlign w:val="bottom"/>
          </w:tcPr>
          <w:p w14:paraId="53647C21" w14:textId="77777777" w:rsidR="00D1587D" w:rsidRDefault="00D1587D">
            <w:pPr>
              <w:rPr>
                <w:sz w:val="4"/>
                <w:szCs w:val="4"/>
              </w:rPr>
            </w:pPr>
          </w:p>
        </w:tc>
        <w:tc>
          <w:tcPr>
            <w:tcW w:w="140" w:type="dxa"/>
            <w:vAlign w:val="bottom"/>
          </w:tcPr>
          <w:p w14:paraId="50FAEC82" w14:textId="77777777" w:rsidR="00D1587D" w:rsidRDefault="00D1587D">
            <w:pPr>
              <w:rPr>
                <w:sz w:val="4"/>
                <w:szCs w:val="4"/>
              </w:rPr>
            </w:pPr>
          </w:p>
        </w:tc>
        <w:tc>
          <w:tcPr>
            <w:tcW w:w="900" w:type="dxa"/>
            <w:vAlign w:val="bottom"/>
          </w:tcPr>
          <w:p w14:paraId="45500DFE" w14:textId="77777777" w:rsidR="00D1587D" w:rsidRDefault="00D1587D">
            <w:pPr>
              <w:rPr>
                <w:sz w:val="4"/>
                <w:szCs w:val="4"/>
              </w:rPr>
            </w:pPr>
          </w:p>
        </w:tc>
        <w:tc>
          <w:tcPr>
            <w:tcW w:w="140" w:type="dxa"/>
            <w:vAlign w:val="bottom"/>
          </w:tcPr>
          <w:p w14:paraId="2B35B027" w14:textId="77777777" w:rsidR="00D1587D" w:rsidRDefault="00D1587D">
            <w:pPr>
              <w:rPr>
                <w:sz w:val="4"/>
                <w:szCs w:val="4"/>
              </w:rPr>
            </w:pPr>
          </w:p>
        </w:tc>
        <w:tc>
          <w:tcPr>
            <w:tcW w:w="820" w:type="dxa"/>
            <w:vAlign w:val="bottom"/>
          </w:tcPr>
          <w:p w14:paraId="45B38AB4" w14:textId="77777777" w:rsidR="00D1587D" w:rsidRDefault="00D1587D">
            <w:pPr>
              <w:rPr>
                <w:sz w:val="4"/>
                <w:szCs w:val="4"/>
              </w:rPr>
            </w:pPr>
          </w:p>
        </w:tc>
      </w:tr>
      <w:tr w:rsidR="00D1587D" w14:paraId="2AD40A68" w14:textId="77777777">
        <w:trPr>
          <w:trHeight w:val="304"/>
        </w:trPr>
        <w:tc>
          <w:tcPr>
            <w:tcW w:w="3040" w:type="dxa"/>
            <w:tcBorders>
              <w:bottom w:val="single" w:sz="8" w:space="0" w:color="CCEEFF"/>
            </w:tcBorders>
            <w:shd w:val="clear" w:color="auto" w:fill="CCEEFF"/>
            <w:vAlign w:val="bottom"/>
          </w:tcPr>
          <w:p w14:paraId="206D9673" w14:textId="77777777" w:rsidR="00D1587D" w:rsidRDefault="00410D07">
            <w:pPr>
              <w:rPr>
                <w:sz w:val="20"/>
                <w:szCs w:val="20"/>
              </w:rPr>
            </w:pPr>
            <w:r>
              <w:rPr>
                <w:rFonts w:ascii="Arial" w:eastAsia="Arial" w:hAnsi="Arial" w:cs="Arial"/>
                <w:sz w:val="18"/>
                <w:szCs w:val="18"/>
              </w:rPr>
              <w:t>Mr. Unis</w:t>
            </w:r>
          </w:p>
        </w:tc>
        <w:tc>
          <w:tcPr>
            <w:tcW w:w="2660" w:type="dxa"/>
            <w:gridSpan w:val="2"/>
            <w:tcBorders>
              <w:bottom w:val="single" w:sz="8" w:space="0" w:color="CCEEFF"/>
            </w:tcBorders>
            <w:shd w:val="clear" w:color="auto" w:fill="CCEEFF"/>
            <w:vAlign w:val="bottom"/>
          </w:tcPr>
          <w:p w14:paraId="27318695" w14:textId="77777777" w:rsidR="00D1587D" w:rsidRDefault="00410D07">
            <w:pPr>
              <w:jc w:val="right"/>
              <w:rPr>
                <w:sz w:val="20"/>
                <w:szCs w:val="20"/>
              </w:rPr>
            </w:pPr>
            <w:r>
              <w:rPr>
                <w:rFonts w:ascii="Arial" w:eastAsia="Arial" w:hAnsi="Arial" w:cs="Arial"/>
                <w:sz w:val="18"/>
                <w:szCs w:val="18"/>
              </w:rPr>
              <w:t>1,724,962</w:t>
            </w:r>
          </w:p>
        </w:tc>
        <w:tc>
          <w:tcPr>
            <w:tcW w:w="1040" w:type="dxa"/>
            <w:gridSpan w:val="2"/>
            <w:tcBorders>
              <w:bottom w:val="single" w:sz="8" w:space="0" w:color="CCEEFF"/>
            </w:tcBorders>
            <w:shd w:val="clear" w:color="auto" w:fill="CCEEFF"/>
            <w:vAlign w:val="bottom"/>
          </w:tcPr>
          <w:p w14:paraId="3204BC93" w14:textId="77777777" w:rsidR="00D1587D" w:rsidRDefault="00410D07">
            <w:pPr>
              <w:ind w:right="110"/>
              <w:jc w:val="right"/>
              <w:rPr>
                <w:sz w:val="20"/>
                <w:szCs w:val="20"/>
              </w:rPr>
            </w:pPr>
            <w:r>
              <w:rPr>
                <w:rFonts w:ascii="Arial" w:eastAsia="Arial" w:hAnsi="Arial" w:cs="Arial"/>
                <w:sz w:val="18"/>
                <w:szCs w:val="18"/>
              </w:rPr>
              <w:t>9,038</w:t>
            </w:r>
          </w:p>
        </w:tc>
        <w:tc>
          <w:tcPr>
            <w:tcW w:w="960" w:type="dxa"/>
            <w:gridSpan w:val="2"/>
            <w:tcBorders>
              <w:bottom w:val="single" w:sz="8" w:space="0" w:color="CCEEFF"/>
            </w:tcBorders>
            <w:shd w:val="clear" w:color="auto" w:fill="CCEEFF"/>
            <w:vAlign w:val="bottom"/>
          </w:tcPr>
          <w:p w14:paraId="7AC320F3" w14:textId="77777777" w:rsidR="00D1587D" w:rsidRDefault="00410D07">
            <w:pPr>
              <w:jc w:val="right"/>
              <w:rPr>
                <w:sz w:val="20"/>
                <w:szCs w:val="20"/>
              </w:rPr>
            </w:pPr>
            <w:r>
              <w:rPr>
                <w:rFonts w:ascii="Arial" w:eastAsia="Arial" w:hAnsi="Arial" w:cs="Arial"/>
                <w:sz w:val="18"/>
                <w:szCs w:val="18"/>
              </w:rPr>
              <w:t>1,734,000</w:t>
            </w:r>
          </w:p>
        </w:tc>
      </w:tr>
      <w:tr w:rsidR="00D1587D" w14:paraId="5AD168B5" w14:textId="77777777">
        <w:trPr>
          <w:trHeight w:val="270"/>
        </w:trPr>
        <w:tc>
          <w:tcPr>
            <w:tcW w:w="3040" w:type="dxa"/>
            <w:vAlign w:val="bottom"/>
          </w:tcPr>
          <w:p w14:paraId="23A002A3" w14:textId="77777777" w:rsidR="00D1587D" w:rsidRDefault="00410D07">
            <w:pPr>
              <w:rPr>
                <w:sz w:val="20"/>
                <w:szCs w:val="20"/>
              </w:rPr>
            </w:pPr>
            <w:r>
              <w:rPr>
                <w:rFonts w:ascii="Arial" w:eastAsia="Arial" w:hAnsi="Arial" w:cs="Arial"/>
                <w:sz w:val="18"/>
                <w:szCs w:val="18"/>
              </w:rPr>
              <w:t>Mr. Burgdoerfer</w:t>
            </w:r>
          </w:p>
        </w:tc>
        <w:tc>
          <w:tcPr>
            <w:tcW w:w="2660" w:type="dxa"/>
            <w:gridSpan w:val="2"/>
            <w:vAlign w:val="bottom"/>
          </w:tcPr>
          <w:p w14:paraId="4C91EC4C" w14:textId="77777777" w:rsidR="00D1587D" w:rsidRDefault="00410D07">
            <w:pPr>
              <w:jc w:val="right"/>
              <w:rPr>
                <w:sz w:val="20"/>
                <w:szCs w:val="20"/>
              </w:rPr>
            </w:pPr>
            <w:r>
              <w:rPr>
                <w:rFonts w:ascii="Arial" w:eastAsia="Arial" w:hAnsi="Arial" w:cs="Arial"/>
                <w:sz w:val="18"/>
                <w:szCs w:val="18"/>
              </w:rPr>
              <w:t>3,002,098</w:t>
            </w:r>
          </w:p>
        </w:tc>
        <w:tc>
          <w:tcPr>
            <w:tcW w:w="1040" w:type="dxa"/>
            <w:gridSpan w:val="2"/>
            <w:vAlign w:val="bottom"/>
          </w:tcPr>
          <w:p w14:paraId="15230B95" w14:textId="77777777" w:rsidR="00D1587D" w:rsidRDefault="00410D07">
            <w:pPr>
              <w:ind w:right="110"/>
              <w:jc w:val="right"/>
              <w:rPr>
                <w:sz w:val="20"/>
                <w:szCs w:val="20"/>
              </w:rPr>
            </w:pPr>
            <w:r>
              <w:rPr>
                <w:rFonts w:ascii="Arial" w:eastAsia="Arial" w:hAnsi="Arial" w:cs="Arial"/>
                <w:sz w:val="18"/>
                <w:szCs w:val="18"/>
              </w:rPr>
              <w:t>7,538</w:t>
            </w:r>
          </w:p>
        </w:tc>
        <w:tc>
          <w:tcPr>
            <w:tcW w:w="960" w:type="dxa"/>
            <w:gridSpan w:val="2"/>
            <w:vAlign w:val="bottom"/>
          </w:tcPr>
          <w:p w14:paraId="7C802326" w14:textId="77777777" w:rsidR="00D1587D" w:rsidRDefault="00410D07">
            <w:pPr>
              <w:jc w:val="right"/>
              <w:rPr>
                <w:sz w:val="20"/>
                <w:szCs w:val="20"/>
              </w:rPr>
            </w:pPr>
            <w:r>
              <w:rPr>
                <w:rFonts w:ascii="Arial" w:eastAsia="Arial" w:hAnsi="Arial" w:cs="Arial"/>
                <w:sz w:val="18"/>
                <w:szCs w:val="18"/>
              </w:rPr>
              <w:t>3,009,636</w:t>
            </w:r>
          </w:p>
        </w:tc>
      </w:tr>
      <w:tr w:rsidR="00D1587D" w14:paraId="65A59FEA" w14:textId="77777777">
        <w:trPr>
          <w:trHeight w:val="54"/>
        </w:trPr>
        <w:tc>
          <w:tcPr>
            <w:tcW w:w="3040" w:type="dxa"/>
            <w:vAlign w:val="bottom"/>
          </w:tcPr>
          <w:p w14:paraId="2EAAC3FE" w14:textId="77777777" w:rsidR="00D1587D" w:rsidRDefault="00D1587D">
            <w:pPr>
              <w:rPr>
                <w:sz w:val="4"/>
                <w:szCs w:val="4"/>
              </w:rPr>
            </w:pPr>
          </w:p>
        </w:tc>
        <w:tc>
          <w:tcPr>
            <w:tcW w:w="1860" w:type="dxa"/>
            <w:vAlign w:val="bottom"/>
          </w:tcPr>
          <w:p w14:paraId="682DB1C0" w14:textId="77777777" w:rsidR="00D1587D" w:rsidRDefault="00D1587D">
            <w:pPr>
              <w:rPr>
                <w:sz w:val="4"/>
                <w:szCs w:val="4"/>
              </w:rPr>
            </w:pPr>
          </w:p>
        </w:tc>
        <w:tc>
          <w:tcPr>
            <w:tcW w:w="800" w:type="dxa"/>
            <w:vAlign w:val="bottom"/>
          </w:tcPr>
          <w:p w14:paraId="3C0901B8" w14:textId="77777777" w:rsidR="00D1587D" w:rsidRDefault="00D1587D">
            <w:pPr>
              <w:rPr>
                <w:sz w:val="4"/>
                <w:szCs w:val="4"/>
              </w:rPr>
            </w:pPr>
          </w:p>
        </w:tc>
        <w:tc>
          <w:tcPr>
            <w:tcW w:w="140" w:type="dxa"/>
            <w:vAlign w:val="bottom"/>
          </w:tcPr>
          <w:p w14:paraId="4093CA0F" w14:textId="77777777" w:rsidR="00D1587D" w:rsidRDefault="00D1587D">
            <w:pPr>
              <w:rPr>
                <w:sz w:val="4"/>
                <w:szCs w:val="4"/>
              </w:rPr>
            </w:pPr>
          </w:p>
        </w:tc>
        <w:tc>
          <w:tcPr>
            <w:tcW w:w="900" w:type="dxa"/>
            <w:vAlign w:val="bottom"/>
          </w:tcPr>
          <w:p w14:paraId="00BB6F9B" w14:textId="77777777" w:rsidR="00D1587D" w:rsidRDefault="00D1587D">
            <w:pPr>
              <w:rPr>
                <w:sz w:val="4"/>
                <w:szCs w:val="4"/>
              </w:rPr>
            </w:pPr>
          </w:p>
        </w:tc>
        <w:tc>
          <w:tcPr>
            <w:tcW w:w="140" w:type="dxa"/>
            <w:vAlign w:val="bottom"/>
          </w:tcPr>
          <w:p w14:paraId="31B52BBB" w14:textId="77777777" w:rsidR="00D1587D" w:rsidRDefault="00D1587D">
            <w:pPr>
              <w:rPr>
                <w:sz w:val="4"/>
                <w:szCs w:val="4"/>
              </w:rPr>
            </w:pPr>
          </w:p>
        </w:tc>
        <w:tc>
          <w:tcPr>
            <w:tcW w:w="820" w:type="dxa"/>
            <w:vAlign w:val="bottom"/>
          </w:tcPr>
          <w:p w14:paraId="0E5B7509" w14:textId="77777777" w:rsidR="00D1587D" w:rsidRDefault="00D1587D">
            <w:pPr>
              <w:rPr>
                <w:sz w:val="4"/>
                <w:szCs w:val="4"/>
              </w:rPr>
            </w:pPr>
          </w:p>
        </w:tc>
      </w:tr>
      <w:tr w:rsidR="00D1587D" w14:paraId="0EDC810B" w14:textId="77777777">
        <w:trPr>
          <w:trHeight w:val="270"/>
        </w:trPr>
        <w:tc>
          <w:tcPr>
            <w:tcW w:w="3040" w:type="dxa"/>
            <w:shd w:val="clear" w:color="auto" w:fill="CCEEFF"/>
            <w:vAlign w:val="bottom"/>
          </w:tcPr>
          <w:p w14:paraId="1DF4BAB3" w14:textId="77777777" w:rsidR="00D1587D" w:rsidRDefault="00410D07">
            <w:pPr>
              <w:rPr>
                <w:sz w:val="20"/>
                <w:szCs w:val="20"/>
              </w:rPr>
            </w:pPr>
            <w:r>
              <w:rPr>
                <w:rFonts w:ascii="Arial" w:eastAsia="Arial" w:hAnsi="Arial" w:cs="Arial"/>
                <w:sz w:val="18"/>
                <w:szCs w:val="18"/>
              </w:rPr>
              <w:t>Mr. Mehas</w:t>
            </w:r>
          </w:p>
        </w:tc>
        <w:tc>
          <w:tcPr>
            <w:tcW w:w="2660" w:type="dxa"/>
            <w:gridSpan w:val="2"/>
            <w:shd w:val="clear" w:color="auto" w:fill="CCEEFF"/>
            <w:vAlign w:val="bottom"/>
          </w:tcPr>
          <w:p w14:paraId="50AB295C" w14:textId="77777777" w:rsidR="00D1587D" w:rsidRDefault="00410D07">
            <w:pPr>
              <w:jc w:val="right"/>
              <w:rPr>
                <w:sz w:val="20"/>
                <w:szCs w:val="20"/>
              </w:rPr>
            </w:pPr>
            <w:r>
              <w:rPr>
                <w:rFonts w:ascii="Arial" w:eastAsia="Arial" w:hAnsi="Arial" w:cs="Arial"/>
                <w:sz w:val="18"/>
                <w:szCs w:val="18"/>
              </w:rPr>
              <w:t>2,592,000</w:t>
            </w:r>
          </w:p>
        </w:tc>
        <w:tc>
          <w:tcPr>
            <w:tcW w:w="140" w:type="dxa"/>
            <w:shd w:val="clear" w:color="auto" w:fill="CCEEFF"/>
            <w:vAlign w:val="bottom"/>
          </w:tcPr>
          <w:p w14:paraId="515EA170" w14:textId="77777777" w:rsidR="00D1587D" w:rsidRDefault="00D1587D">
            <w:pPr>
              <w:rPr>
                <w:sz w:val="23"/>
                <w:szCs w:val="23"/>
              </w:rPr>
            </w:pPr>
          </w:p>
        </w:tc>
        <w:tc>
          <w:tcPr>
            <w:tcW w:w="900" w:type="dxa"/>
            <w:shd w:val="clear" w:color="auto" w:fill="CCEEFF"/>
            <w:vAlign w:val="bottom"/>
          </w:tcPr>
          <w:p w14:paraId="3664188F" w14:textId="77777777" w:rsidR="00D1587D" w:rsidRDefault="00410D07">
            <w:pPr>
              <w:ind w:right="110"/>
              <w:jc w:val="right"/>
              <w:rPr>
                <w:sz w:val="20"/>
                <w:szCs w:val="20"/>
              </w:rPr>
            </w:pPr>
            <w:r>
              <w:rPr>
                <w:rFonts w:ascii="Arial" w:eastAsia="Arial" w:hAnsi="Arial" w:cs="Arial"/>
                <w:sz w:val="18"/>
                <w:szCs w:val="18"/>
              </w:rPr>
              <w:t>—</w:t>
            </w:r>
          </w:p>
        </w:tc>
        <w:tc>
          <w:tcPr>
            <w:tcW w:w="960" w:type="dxa"/>
            <w:gridSpan w:val="2"/>
            <w:shd w:val="clear" w:color="auto" w:fill="CCEEFF"/>
            <w:vAlign w:val="bottom"/>
          </w:tcPr>
          <w:p w14:paraId="390EFBBE" w14:textId="77777777" w:rsidR="00D1587D" w:rsidRDefault="00410D07">
            <w:pPr>
              <w:jc w:val="right"/>
              <w:rPr>
                <w:sz w:val="20"/>
                <w:szCs w:val="20"/>
              </w:rPr>
            </w:pPr>
            <w:r>
              <w:rPr>
                <w:rFonts w:ascii="Arial" w:eastAsia="Arial" w:hAnsi="Arial" w:cs="Arial"/>
                <w:sz w:val="18"/>
                <w:szCs w:val="18"/>
              </w:rPr>
              <w:t>2,592,000</w:t>
            </w:r>
          </w:p>
        </w:tc>
      </w:tr>
      <w:tr w:rsidR="00D1587D" w14:paraId="312208A3" w14:textId="77777777">
        <w:trPr>
          <w:trHeight w:val="54"/>
        </w:trPr>
        <w:tc>
          <w:tcPr>
            <w:tcW w:w="3040" w:type="dxa"/>
            <w:shd w:val="clear" w:color="auto" w:fill="CCEEFF"/>
            <w:vAlign w:val="bottom"/>
          </w:tcPr>
          <w:p w14:paraId="3C4F2E61" w14:textId="77777777" w:rsidR="00D1587D" w:rsidRDefault="00D1587D">
            <w:pPr>
              <w:rPr>
                <w:sz w:val="4"/>
                <w:szCs w:val="4"/>
              </w:rPr>
            </w:pPr>
          </w:p>
        </w:tc>
        <w:tc>
          <w:tcPr>
            <w:tcW w:w="1860" w:type="dxa"/>
            <w:shd w:val="clear" w:color="auto" w:fill="CCEEFF"/>
            <w:vAlign w:val="bottom"/>
          </w:tcPr>
          <w:p w14:paraId="44B31F99" w14:textId="77777777" w:rsidR="00D1587D" w:rsidRDefault="00D1587D">
            <w:pPr>
              <w:rPr>
                <w:sz w:val="4"/>
                <w:szCs w:val="4"/>
              </w:rPr>
            </w:pPr>
          </w:p>
        </w:tc>
        <w:tc>
          <w:tcPr>
            <w:tcW w:w="800" w:type="dxa"/>
            <w:shd w:val="clear" w:color="auto" w:fill="CCEEFF"/>
            <w:vAlign w:val="bottom"/>
          </w:tcPr>
          <w:p w14:paraId="26CFFAB0" w14:textId="77777777" w:rsidR="00D1587D" w:rsidRDefault="00D1587D">
            <w:pPr>
              <w:rPr>
                <w:sz w:val="4"/>
                <w:szCs w:val="4"/>
              </w:rPr>
            </w:pPr>
          </w:p>
        </w:tc>
        <w:tc>
          <w:tcPr>
            <w:tcW w:w="140" w:type="dxa"/>
            <w:shd w:val="clear" w:color="auto" w:fill="CCEEFF"/>
            <w:vAlign w:val="bottom"/>
          </w:tcPr>
          <w:p w14:paraId="13D0FE11" w14:textId="77777777" w:rsidR="00D1587D" w:rsidRDefault="00D1587D">
            <w:pPr>
              <w:rPr>
                <w:sz w:val="4"/>
                <w:szCs w:val="4"/>
              </w:rPr>
            </w:pPr>
          </w:p>
        </w:tc>
        <w:tc>
          <w:tcPr>
            <w:tcW w:w="900" w:type="dxa"/>
            <w:shd w:val="clear" w:color="auto" w:fill="CCEEFF"/>
            <w:vAlign w:val="bottom"/>
          </w:tcPr>
          <w:p w14:paraId="53AF9AA1" w14:textId="77777777" w:rsidR="00D1587D" w:rsidRDefault="00D1587D">
            <w:pPr>
              <w:rPr>
                <w:sz w:val="4"/>
                <w:szCs w:val="4"/>
              </w:rPr>
            </w:pPr>
          </w:p>
        </w:tc>
        <w:tc>
          <w:tcPr>
            <w:tcW w:w="140" w:type="dxa"/>
            <w:shd w:val="clear" w:color="auto" w:fill="CCEEFF"/>
            <w:vAlign w:val="bottom"/>
          </w:tcPr>
          <w:p w14:paraId="12CC0522" w14:textId="77777777" w:rsidR="00D1587D" w:rsidRDefault="00D1587D">
            <w:pPr>
              <w:rPr>
                <w:sz w:val="4"/>
                <w:szCs w:val="4"/>
              </w:rPr>
            </w:pPr>
          </w:p>
        </w:tc>
        <w:tc>
          <w:tcPr>
            <w:tcW w:w="820" w:type="dxa"/>
            <w:shd w:val="clear" w:color="auto" w:fill="CCEEFF"/>
            <w:vAlign w:val="bottom"/>
          </w:tcPr>
          <w:p w14:paraId="37ED9962" w14:textId="77777777" w:rsidR="00D1587D" w:rsidRDefault="00D1587D">
            <w:pPr>
              <w:rPr>
                <w:sz w:val="4"/>
                <w:szCs w:val="4"/>
              </w:rPr>
            </w:pPr>
          </w:p>
        </w:tc>
      </w:tr>
    </w:tbl>
    <w:p w14:paraId="01B22C5C" w14:textId="77777777" w:rsidR="00D1587D" w:rsidRDefault="00410D07">
      <w:pPr>
        <w:spacing w:line="20" w:lineRule="exact"/>
        <w:rPr>
          <w:sz w:val="20"/>
          <w:szCs w:val="20"/>
        </w:rPr>
      </w:pPr>
      <w:r>
        <w:rPr>
          <w:noProof/>
          <w:sz w:val="20"/>
          <w:szCs w:val="20"/>
        </w:rPr>
        <w:drawing>
          <wp:anchor distT="0" distB="0" distL="114300" distR="114300" simplePos="0" relativeHeight="251864064" behindDoc="1" locked="0" layoutInCell="0" allowOverlap="1" wp14:anchorId="5E8FBF1F" wp14:editId="4BA3F3EF">
            <wp:simplePos x="0" y="0"/>
            <wp:positionH relativeFrom="column">
              <wp:posOffset>4702810</wp:posOffset>
            </wp:positionH>
            <wp:positionV relativeFrom="paragraph">
              <wp:posOffset>-1045210</wp:posOffset>
            </wp:positionV>
            <wp:extent cx="85725" cy="8890"/>
            <wp:effectExtent l="0" t="0" r="0" b="0"/>
            <wp:wrapNone/>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1865088" behindDoc="1" locked="0" layoutInCell="0" allowOverlap="1" wp14:anchorId="6BD1F256" wp14:editId="704AB743">
            <wp:simplePos x="0" y="0"/>
            <wp:positionH relativeFrom="column">
              <wp:posOffset>4043045</wp:posOffset>
            </wp:positionH>
            <wp:positionV relativeFrom="paragraph">
              <wp:posOffset>-1045210</wp:posOffset>
            </wp:positionV>
            <wp:extent cx="85725" cy="8890"/>
            <wp:effectExtent l="0" t="0" r="0" b="0"/>
            <wp:wrapNone/>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1866112" behindDoc="1" locked="0" layoutInCell="0" allowOverlap="1" wp14:anchorId="7D658670" wp14:editId="3AE375B1">
            <wp:simplePos x="0" y="0"/>
            <wp:positionH relativeFrom="column">
              <wp:posOffset>3485515</wp:posOffset>
            </wp:positionH>
            <wp:positionV relativeFrom="paragraph">
              <wp:posOffset>-1045210</wp:posOffset>
            </wp:positionV>
            <wp:extent cx="43180" cy="8890"/>
            <wp:effectExtent l="0" t="0" r="0" b="0"/>
            <wp:wrapNone/>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48"/>
                    <a:srcRect/>
                    <a:stretch>
                      <a:fillRect/>
                    </a:stretch>
                  </pic:blipFill>
                  <pic:spPr bwMode="auto">
                    <a:xfrm>
                      <a:off x="0" y="0"/>
                      <a:ext cx="43180" cy="8890"/>
                    </a:xfrm>
                    <a:prstGeom prst="rect">
                      <a:avLst/>
                    </a:prstGeom>
                    <a:noFill/>
                  </pic:spPr>
                </pic:pic>
              </a:graphicData>
            </a:graphic>
          </wp:anchor>
        </w:drawing>
      </w:r>
    </w:p>
    <w:p w14:paraId="2B5C826A" w14:textId="77777777" w:rsidR="00D1587D" w:rsidRDefault="00D1587D">
      <w:pPr>
        <w:spacing w:line="15" w:lineRule="exact"/>
        <w:rPr>
          <w:sz w:val="20"/>
          <w:szCs w:val="20"/>
        </w:rPr>
      </w:pPr>
    </w:p>
    <w:p w14:paraId="1703F0CF" w14:textId="77777777" w:rsidR="00D1587D" w:rsidRDefault="00410D07" w:rsidP="00410D07">
      <w:pPr>
        <w:numPr>
          <w:ilvl w:val="0"/>
          <w:numId w:val="320"/>
        </w:numPr>
        <w:tabs>
          <w:tab w:val="left" w:pos="640"/>
        </w:tabs>
        <w:spacing w:line="238" w:lineRule="auto"/>
        <w:ind w:left="640" w:right="439" w:hanging="348"/>
        <w:rPr>
          <w:rFonts w:ascii="Arial" w:eastAsia="Arial" w:hAnsi="Arial" w:cs="Arial"/>
          <w:sz w:val="14"/>
          <w:szCs w:val="14"/>
        </w:rPr>
      </w:pPr>
      <w:r>
        <w:rPr>
          <w:rFonts w:ascii="Arial" w:eastAsia="Arial" w:hAnsi="Arial" w:cs="Arial"/>
          <w:sz w:val="14"/>
          <w:szCs w:val="14"/>
        </w:rPr>
        <w:t xml:space="preserve">LB does not sponsor a defined benefit retirement plan (tax-qualified or non-qualified). For fiscal 2020, the amounts shown represent the amount by which earnings at an annual </w:t>
      </w:r>
      <w:r>
        <w:rPr>
          <w:rFonts w:ascii="Arial" w:eastAsia="Arial" w:hAnsi="Arial" w:cs="Arial"/>
          <w:sz w:val="14"/>
          <w:szCs w:val="14"/>
        </w:rPr>
        <w:t>effective rate of 4.23% on each NEO’s non-qualified plan balance exceeds 120% of the applicable federal long-term rate as of October 2019 (when the rate was set).</w:t>
      </w:r>
    </w:p>
    <w:p w14:paraId="0D39E695" w14:textId="77777777" w:rsidR="00D1587D" w:rsidRDefault="00D1587D">
      <w:pPr>
        <w:spacing w:line="187" w:lineRule="exact"/>
        <w:rPr>
          <w:sz w:val="20"/>
          <w:szCs w:val="20"/>
        </w:rPr>
      </w:pPr>
    </w:p>
    <w:p w14:paraId="014F8A25" w14:textId="77777777" w:rsidR="00D1587D" w:rsidRDefault="00410D07">
      <w:pPr>
        <w:jc w:val="center"/>
        <w:rPr>
          <w:sz w:val="20"/>
          <w:szCs w:val="20"/>
        </w:rPr>
      </w:pPr>
      <w:r>
        <w:rPr>
          <w:rFonts w:ascii="Arial" w:eastAsia="Arial" w:hAnsi="Arial" w:cs="Arial"/>
          <w:sz w:val="18"/>
          <w:szCs w:val="18"/>
        </w:rPr>
        <w:t>117</w:t>
      </w:r>
    </w:p>
    <w:p w14:paraId="637360C4" w14:textId="77777777" w:rsidR="00D1587D" w:rsidRDefault="00410D07">
      <w:pPr>
        <w:spacing w:line="20" w:lineRule="exact"/>
        <w:rPr>
          <w:sz w:val="20"/>
          <w:szCs w:val="20"/>
        </w:rPr>
      </w:pPr>
      <w:r>
        <w:rPr>
          <w:noProof/>
          <w:sz w:val="20"/>
          <w:szCs w:val="20"/>
        </w:rPr>
        <w:drawing>
          <wp:anchor distT="0" distB="0" distL="114300" distR="114300" simplePos="0" relativeHeight="251867136" behindDoc="1" locked="0" layoutInCell="0" allowOverlap="1" wp14:anchorId="4326DCA5" wp14:editId="44EB7B82">
            <wp:simplePos x="0" y="0"/>
            <wp:positionH relativeFrom="column">
              <wp:posOffset>-636905</wp:posOffset>
            </wp:positionH>
            <wp:positionV relativeFrom="paragraph">
              <wp:posOffset>134620</wp:posOffset>
            </wp:positionV>
            <wp:extent cx="6995160" cy="17145"/>
            <wp:effectExtent l="0" t="0" r="0" b="0"/>
            <wp:wrapNone/>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C54294D" w14:textId="77777777" w:rsidR="00D1587D" w:rsidRDefault="00D1587D">
      <w:pPr>
        <w:sectPr w:rsidR="00D1587D">
          <w:pgSz w:w="11900" w:h="16838"/>
          <w:pgMar w:top="265" w:right="1440" w:bottom="1440" w:left="1440" w:header="0" w:footer="0" w:gutter="0"/>
          <w:cols w:space="720" w:equalWidth="0">
            <w:col w:w="9019"/>
          </w:cols>
        </w:sectPr>
      </w:pPr>
    </w:p>
    <w:bookmarkStart w:id="375" w:name="page376"/>
    <w:bookmarkEnd w:id="375"/>
    <w:p w14:paraId="23C15C12" w14:textId="77777777" w:rsidR="00D1587D" w:rsidRDefault="00410D07">
      <w:pPr>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BF5E3FF" w14:textId="77777777" w:rsidR="00D1587D" w:rsidRDefault="00D1587D">
      <w:pPr>
        <w:spacing w:line="127" w:lineRule="exact"/>
        <w:rPr>
          <w:sz w:val="20"/>
          <w:szCs w:val="20"/>
        </w:rPr>
      </w:pPr>
    </w:p>
    <w:p w14:paraId="33389616" w14:textId="77777777" w:rsidR="00D1587D" w:rsidRDefault="00410D07" w:rsidP="00410D07">
      <w:pPr>
        <w:numPr>
          <w:ilvl w:val="0"/>
          <w:numId w:val="321"/>
        </w:numPr>
        <w:tabs>
          <w:tab w:val="left" w:pos="360"/>
        </w:tabs>
        <w:ind w:left="360" w:hanging="352"/>
        <w:rPr>
          <w:rFonts w:ascii="Arial" w:eastAsia="Arial" w:hAnsi="Arial" w:cs="Arial"/>
          <w:sz w:val="14"/>
          <w:szCs w:val="14"/>
        </w:rPr>
      </w:pPr>
      <w:r>
        <w:rPr>
          <w:rFonts w:ascii="Arial" w:eastAsia="Arial" w:hAnsi="Arial" w:cs="Arial"/>
          <w:sz w:val="14"/>
          <w:szCs w:val="14"/>
        </w:rPr>
        <w:t xml:space="preserve">The </w:t>
      </w:r>
      <w:r>
        <w:rPr>
          <w:rFonts w:ascii="Arial" w:eastAsia="Arial" w:hAnsi="Arial" w:cs="Arial"/>
          <w:sz w:val="14"/>
          <w:szCs w:val="14"/>
        </w:rPr>
        <w:t>following table details all other compensation paid to each NEO during fiscal 2020:</w:t>
      </w:r>
    </w:p>
    <w:p w14:paraId="1CE2ABC7" w14:textId="77777777" w:rsidR="00D1587D" w:rsidRDefault="00D1587D">
      <w:pPr>
        <w:spacing w:line="160"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20"/>
        <w:gridCol w:w="2320"/>
        <w:gridCol w:w="1380"/>
        <w:gridCol w:w="720"/>
        <w:gridCol w:w="240"/>
        <w:gridCol w:w="860"/>
        <w:gridCol w:w="240"/>
        <w:gridCol w:w="880"/>
        <w:gridCol w:w="260"/>
        <w:gridCol w:w="140"/>
        <w:gridCol w:w="480"/>
        <w:gridCol w:w="240"/>
        <w:gridCol w:w="580"/>
        <w:gridCol w:w="20"/>
      </w:tblGrid>
      <w:tr w:rsidR="00D1587D" w14:paraId="51A9BF64" w14:textId="77777777">
        <w:trPr>
          <w:trHeight w:val="161"/>
        </w:trPr>
        <w:tc>
          <w:tcPr>
            <w:tcW w:w="20" w:type="dxa"/>
            <w:vAlign w:val="bottom"/>
          </w:tcPr>
          <w:p w14:paraId="3EE4A658" w14:textId="77777777" w:rsidR="00D1587D" w:rsidRDefault="00D1587D">
            <w:pPr>
              <w:rPr>
                <w:sz w:val="14"/>
                <w:szCs w:val="14"/>
              </w:rPr>
            </w:pPr>
          </w:p>
        </w:tc>
        <w:tc>
          <w:tcPr>
            <w:tcW w:w="2320" w:type="dxa"/>
            <w:vAlign w:val="bottom"/>
          </w:tcPr>
          <w:p w14:paraId="64CE4885" w14:textId="77777777" w:rsidR="00D1587D" w:rsidRDefault="00D1587D">
            <w:pPr>
              <w:rPr>
                <w:sz w:val="14"/>
                <w:szCs w:val="14"/>
              </w:rPr>
            </w:pPr>
          </w:p>
        </w:tc>
        <w:tc>
          <w:tcPr>
            <w:tcW w:w="1380" w:type="dxa"/>
            <w:vAlign w:val="bottom"/>
          </w:tcPr>
          <w:p w14:paraId="58C10C41" w14:textId="77777777" w:rsidR="00D1587D" w:rsidRDefault="00D1587D">
            <w:pPr>
              <w:rPr>
                <w:sz w:val="14"/>
                <w:szCs w:val="14"/>
              </w:rPr>
            </w:pPr>
          </w:p>
        </w:tc>
        <w:tc>
          <w:tcPr>
            <w:tcW w:w="720" w:type="dxa"/>
            <w:vAlign w:val="bottom"/>
          </w:tcPr>
          <w:p w14:paraId="00FFEFB6" w14:textId="77777777" w:rsidR="00D1587D" w:rsidRDefault="00D1587D">
            <w:pPr>
              <w:rPr>
                <w:sz w:val="14"/>
                <w:szCs w:val="14"/>
              </w:rPr>
            </w:pPr>
          </w:p>
        </w:tc>
        <w:tc>
          <w:tcPr>
            <w:tcW w:w="240" w:type="dxa"/>
            <w:vAlign w:val="bottom"/>
          </w:tcPr>
          <w:p w14:paraId="759BC147" w14:textId="77777777" w:rsidR="00D1587D" w:rsidRDefault="00D1587D">
            <w:pPr>
              <w:rPr>
                <w:sz w:val="14"/>
                <w:szCs w:val="14"/>
              </w:rPr>
            </w:pPr>
          </w:p>
        </w:tc>
        <w:tc>
          <w:tcPr>
            <w:tcW w:w="1100" w:type="dxa"/>
            <w:gridSpan w:val="2"/>
            <w:vAlign w:val="bottom"/>
          </w:tcPr>
          <w:p w14:paraId="7352A86B" w14:textId="77777777" w:rsidR="00D1587D" w:rsidRDefault="00410D07">
            <w:pPr>
              <w:ind w:right="280"/>
              <w:jc w:val="center"/>
              <w:rPr>
                <w:sz w:val="20"/>
                <w:szCs w:val="20"/>
              </w:rPr>
            </w:pPr>
            <w:r>
              <w:rPr>
                <w:rFonts w:ascii="Arial" w:eastAsia="Arial" w:hAnsi="Arial" w:cs="Arial"/>
                <w:b/>
                <w:bCs/>
                <w:w w:val="94"/>
                <w:sz w:val="14"/>
                <w:szCs w:val="14"/>
              </w:rPr>
              <w:t>Incremental</w:t>
            </w:r>
          </w:p>
        </w:tc>
        <w:tc>
          <w:tcPr>
            <w:tcW w:w="1140" w:type="dxa"/>
            <w:gridSpan w:val="2"/>
            <w:vAlign w:val="bottom"/>
          </w:tcPr>
          <w:p w14:paraId="4513FE57" w14:textId="77777777" w:rsidR="00D1587D" w:rsidRDefault="00410D07">
            <w:pPr>
              <w:ind w:right="300"/>
              <w:jc w:val="center"/>
              <w:rPr>
                <w:sz w:val="20"/>
                <w:szCs w:val="20"/>
              </w:rPr>
            </w:pPr>
            <w:r>
              <w:rPr>
                <w:rFonts w:ascii="Arial" w:eastAsia="Arial" w:hAnsi="Arial" w:cs="Arial"/>
                <w:b/>
                <w:bCs/>
                <w:sz w:val="14"/>
                <w:szCs w:val="14"/>
              </w:rPr>
              <w:t>LB</w:t>
            </w:r>
          </w:p>
        </w:tc>
        <w:tc>
          <w:tcPr>
            <w:tcW w:w="140" w:type="dxa"/>
            <w:vAlign w:val="bottom"/>
          </w:tcPr>
          <w:p w14:paraId="2B1137FB" w14:textId="77777777" w:rsidR="00D1587D" w:rsidRDefault="00D1587D">
            <w:pPr>
              <w:rPr>
                <w:sz w:val="14"/>
                <w:szCs w:val="14"/>
              </w:rPr>
            </w:pPr>
          </w:p>
        </w:tc>
        <w:tc>
          <w:tcPr>
            <w:tcW w:w="480" w:type="dxa"/>
            <w:vAlign w:val="bottom"/>
          </w:tcPr>
          <w:p w14:paraId="4E9D72FF" w14:textId="77777777" w:rsidR="00D1587D" w:rsidRDefault="00D1587D">
            <w:pPr>
              <w:rPr>
                <w:sz w:val="14"/>
                <w:szCs w:val="14"/>
              </w:rPr>
            </w:pPr>
          </w:p>
        </w:tc>
        <w:tc>
          <w:tcPr>
            <w:tcW w:w="240" w:type="dxa"/>
            <w:vAlign w:val="bottom"/>
          </w:tcPr>
          <w:p w14:paraId="0951802D" w14:textId="77777777" w:rsidR="00D1587D" w:rsidRDefault="00D1587D">
            <w:pPr>
              <w:rPr>
                <w:sz w:val="14"/>
                <w:szCs w:val="14"/>
              </w:rPr>
            </w:pPr>
          </w:p>
        </w:tc>
        <w:tc>
          <w:tcPr>
            <w:tcW w:w="580" w:type="dxa"/>
            <w:vAlign w:val="bottom"/>
          </w:tcPr>
          <w:p w14:paraId="16AEE22B" w14:textId="77777777" w:rsidR="00D1587D" w:rsidRDefault="00D1587D">
            <w:pPr>
              <w:rPr>
                <w:sz w:val="14"/>
                <w:szCs w:val="14"/>
              </w:rPr>
            </w:pPr>
          </w:p>
        </w:tc>
        <w:tc>
          <w:tcPr>
            <w:tcW w:w="0" w:type="dxa"/>
            <w:vAlign w:val="bottom"/>
          </w:tcPr>
          <w:p w14:paraId="4E27385A" w14:textId="77777777" w:rsidR="00D1587D" w:rsidRDefault="00D1587D">
            <w:pPr>
              <w:rPr>
                <w:sz w:val="1"/>
                <w:szCs w:val="1"/>
              </w:rPr>
            </w:pPr>
          </w:p>
        </w:tc>
      </w:tr>
      <w:tr w:rsidR="00D1587D" w14:paraId="745AC4C6" w14:textId="77777777">
        <w:trPr>
          <w:trHeight w:val="148"/>
        </w:trPr>
        <w:tc>
          <w:tcPr>
            <w:tcW w:w="20" w:type="dxa"/>
            <w:vAlign w:val="bottom"/>
          </w:tcPr>
          <w:p w14:paraId="78205257" w14:textId="77777777" w:rsidR="00D1587D" w:rsidRDefault="00D1587D">
            <w:pPr>
              <w:rPr>
                <w:sz w:val="12"/>
                <w:szCs w:val="12"/>
              </w:rPr>
            </w:pPr>
          </w:p>
        </w:tc>
        <w:tc>
          <w:tcPr>
            <w:tcW w:w="2320" w:type="dxa"/>
            <w:vAlign w:val="bottom"/>
          </w:tcPr>
          <w:p w14:paraId="0B03CCD8" w14:textId="77777777" w:rsidR="00D1587D" w:rsidRDefault="00D1587D">
            <w:pPr>
              <w:rPr>
                <w:sz w:val="12"/>
                <w:szCs w:val="12"/>
              </w:rPr>
            </w:pPr>
          </w:p>
        </w:tc>
        <w:tc>
          <w:tcPr>
            <w:tcW w:w="1380" w:type="dxa"/>
            <w:vAlign w:val="bottom"/>
          </w:tcPr>
          <w:p w14:paraId="2BD62A0D" w14:textId="77777777" w:rsidR="00D1587D" w:rsidRDefault="00D1587D">
            <w:pPr>
              <w:rPr>
                <w:sz w:val="12"/>
                <w:szCs w:val="12"/>
              </w:rPr>
            </w:pPr>
          </w:p>
        </w:tc>
        <w:tc>
          <w:tcPr>
            <w:tcW w:w="720" w:type="dxa"/>
            <w:vAlign w:val="bottom"/>
          </w:tcPr>
          <w:p w14:paraId="5217F54F" w14:textId="77777777" w:rsidR="00D1587D" w:rsidRDefault="00D1587D">
            <w:pPr>
              <w:rPr>
                <w:sz w:val="12"/>
                <w:szCs w:val="12"/>
              </w:rPr>
            </w:pPr>
          </w:p>
        </w:tc>
        <w:tc>
          <w:tcPr>
            <w:tcW w:w="240" w:type="dxa"/>
            <w:vAlign w:val="bottom"/>
          </w:tcPr>
          <w:p w14:paraId="7C2AC790" w14:textId="77777777" w:rsidR="00D1587D" w:rsidRDefault="00D1587D">
            <w:pPr>
              <w:rPr>
                <w:sz w:val="12"/>
                <w:szCs w:val="12"/>
              </w:rPr>
            </w:pPr>
          </w:p>
        </w:tc>
        <w:tc>
          <w:tcPr>
            <w:tcW w:w="1100" w:type="dxa"/>
            <w:gridSpan w:val="2"/>
            <w:vAlign w:val="bottom"/>
          </w:tcPr>
          <w:p w14:paraId="1036E6C9" w14:textId="77777777" w:rsidR="00D1587D" w:rsidRDefault="00410D07">
            <w:pPr>
              <w:spacing w:line="149" w:lineRule="exact"/>
              <w:ind w:right="280"/>
              <w:jc w:val="center"/>
              <w:rPr>
                <w:sz w:val="20"/>
                <w:szCs w:val="20"/>
              </w:rPr>
            </w:pPr>
            <w:r>
              <w:rPr>
                <w:rFonts w:ascii="Arial" w:eastAsia="Arial" w:hAnsi="Arial" w:cs="Arial"/>
                <w:b/>
                <w:bCs/>
                <w:w w:val="93"/>
                <w:sz w:val="14"/>
                <w:szCs w:val="14"/>
              </w:rPr>
              <w:t>LB Cost to</w:t>
            </w:r>
          </w:p>
        </w:tc>
        <w:tc>
          <w:tcPr>
            <w:tcW w:w="1140" w:type="dxa"/>
            <w:gridSpan w:val="2"/>
            <w:vAlign w:val="bottom"/>
          </w:tcPr>
          <w:p w14:paraId="25407015" w14:textId="77777777" w:rsidR="00D1587D" w:rsidRDefault="00410D07">
            <w:pPr>
              <w:spacing w:line="149" w:lineRule="exact"/>
              <w:ind w:right="280"/>
              <w:jc w:val="center"/>
              <w:rPr>
                <w:sz w:val="20"/>
                <w:szCs w:val="20"/>
              </w:rPr>
            </w:pPr>
            <w:r>
              <w:rPr>
                <w:rFonts w:ascii="Arial" w:eastAsia="Arial" w:hAnsi="Arial" w:cs="Arial"/>
                <w:b/>
                <w:bCs/>
                <w:w w:val="93"/>
                <w:sz w:val="14"/>
                <w:szCs w:val="14"/>
              </w:rPr>
              <w:t>Contributions</w:t>
            </w:r>
          </w:p>
        </w:tc>
        <w:tc>
          <w:tcPr>
            <w:tcW w:w="140" w:type="dxa"/>
            <w:vAlign w:val="bottom"/>
          </w:tcPr>
          <w:p w14:paraId="34189EE9" w14:textId="77777777" w:rsidR="00D1587D" w:rsidRDefault="00D1587D">
            <w:pPr>
              <w:rPr>
                <w:sz w:val="12"/>
                <w:szCs w:val="12"/>
              </w:rPr>
            </w:pPr>
          </w:p>
        </w:tc>
        <w:tc>
          <w:tcPr>
            <w:tcW w:w="480" w:type="dxa"/>
            <w:vAlign w:val="bottom"/>
          </w:tcPr>
          <w:p w14:paraId="2F951CD9" w14:textId="77777777" w:rsidR="00D1587D" w:rsidRDefault="00D1587D">
            <w:pPr>
              <w:rPr>
                <w:sz w:val="12"/>
                <w:szCs w:val="12"/>
              </w:rPr>
            </w:pPr>
          </w:p>
        </w:tc>
        <w:tc>
          <w:tcPr>
            <w:tcW w:w="240" w:type="dxa"/>
            <w:vAlign w:val="bottom"/>
          </w:tcPr>
          <w:p w14:paraId="06808043" w14:textId="77777777" w:rsidR="00D1587D" w:rsidRDefault="00D1587D">
            <w:pPr>
              <w:rPr>
                <w:sz w:val="12"/>
                <w:szCs w:val="12"/>
              </w:rPr>
            </w:pPr>
          </w:p>
        </w:tc>
        <w:tc>
          <w:tcPr>
            <w:tcW w:w="580" w:type="dxa"/>
            <w:vAlign w:val="bottom"/>
          </w:tcPr>
          <w:p w14:paraId="0AC52C23" w14:textId="77777777" w:rsidR="00D1587D" w:rsidRDefault="00D1587D">
            <w:pPr>
              <w:rPr>
                <w:sz w:val="12"/>
                <w:szCs w:val="12"/>
              </w:rPr>
            </w:pPr>
          </w:p>
        </w:tc>
        <w:tc>
          <w:tcPr>
            <w:tcW w:w="0" w:type="dxa"/>
            <w:vAlign w:val="bottom"/>
          </w:tcPr>
          <w:p w14:paraId="493AEB1E" w14:textId="77777777" w:rsidR="00D1587D" w:rsidRDefault="00D1587D">
            <w:pPr>
              <w:rPr>
                <w:sz w:val="1"/>
                <w:szCs w:val="1"/>
              </w:rPr>
            </w:pPr>
          </w:p>
        </w:tc>
      </w:tr>
      <w:tr w:rsidR="00D1587D" w14:paraId="2F6988BF" w14:textId="77777777">
        <w:trPr>
          <w:trHeight w:val="148"/>
        </w:trPr>
        <w:tc>
          <w:tcPr>
            <w:tcW w:w="20" w:type="dxa"/>
            <w:vAlign w:val="bottom"/>
          </w:tcPr>
          <w:p w14:paraId="593BC8D4" w14:textId="77777777" w:rsidR="00D1587D" w:rsidRDefault="00D1587D">
            <w:pPr>
              <w:rPr>
                <w:sz w:val="12"/>
                <w:szCs w:val="12"/>
              </w:rPr>
            </w:pPr>
          </w:p>
        </w:tc>
        <w:tc>
          <w:tcPr>
            <w:tcW w:w="2320" w:type="dxa"/>
            <w:vAlign w:val="bottom"/>
          </w:tcPr>
          <w:p w14:paraId="6594523E" w14:textId="77777777" w:rsidR="00D1587D" w:rsidRDefault="00D1587D">
            <w:pPr>
              <w:rPr>
                <w:sz w:val="12"/>
                <w:szCs w:val="12"/>
              </w:rPr>
            </w:pPr>
          </w:p>
        </w:tc>
        <w:tc>
          <w:tcPr>
            <w:tcW w:w="1380" w:type="dxa"/>
            <w:vAlign w:val="bottom"/>
          </w:tcPr>
          <w:p w14:paraId="0623FD94" w14:textId="77777777" w:rsidR="00D1587D" w:rsidRDefault="00D1587D">
            <w:pPr>
              <w:rPr>
                <w:sz w:val="12"/>
                <w:szCs w:val="12"/>
              </w:rPr>
            </w:pPr>
          </w:p>
        </w:tc>
        <w:tc>
          <w:tcPr>
            <w:tcW w:w="720" w:type="dxa"/>
            <w:vMerge w:val="restart"/>
            <w:vAlign w:val="bottom"/>
          </w:tcPr>
          <w:p w14:paraId="2DC3BD35" w14:textId="77777777" w:rsidR="00D1587D" w:rsidRDefault="00410D07">
            <w:pPr>
              <w:jc w:val="center"/>
              <w:rPr>
                <w:sz w:val="20"/>
                <w:szCs w:val="20"/>
              </w:rPr>
            </w:pPr>
            <w:r>
              <w:rPr>
                <w:rFonts w:ascii="Arial" w:eastAsia="Arial" w:hAnsi="Arial" w:cs="Arial"/>
                <w:b/>
                <w:bCs/>
                <w:w w:val="92"/>
                <w:sz w:val="14"/>
                <w:szCs w:val="14"/>
              </w:rPr>
              <w:t>Financial</w:t>
            </w:r>
          </w:p>
        </w:tc>
        <w:tc>
          <w:tcPr>
            <w:tcW w:w="240" w:type="dxa"/>
            <w:vAlign w:val="bottom"/>
          </w:tcPr>
          <w:p w14:paraId="493E54B3" w14:textId="77777777" w:rsidR="00D1587D" w:rsidRDefault="00D1587D">
            <w:pPr>
              <w:rPr>
                <w:sz w:val="12"/>
                <w:szCs w:val="12"/>
              </w:rPr>
            </w:pPr>
          </w:p>
        </w:tc>
        <w:tc>
          <w:tcPr>
            <w:tcW w:w="1100" w:type="dxa"/>
            <w:gridSpan w:val="2"/>
            <w:vAlign w:val="bottom"/>
          </w:tcPr>
          <w:p w14:paraId="77442493" w14:textId="77777777" w:rsidR="00D1587D" w:rsidRDefault="00410D07">
            <w:pPr>
              <w:spacing w:line="149" w:lineRule="exact"/>
              <w:ind w:right="300"/>
              <w:jc w:val="center"/>
              <w:rPr>
                <w:sz w:val="20"/>
                <w:szCs w:val="20"/>
              </w:rPr>
            </w:pPr>
            <w:r>
              <w:rPr>
                <w:rFonts w:ascii="Arial" w:eastAsia="Arial" w:hAnsi="Arial" w:cs="Arial"/>
                <w:b/>
                <w:bCs/>
                <w:w w:val="93"/>
                <w:sz w:val="14"/>
                <w:szCs w:val="14"/>
              </w:rPr>
              <w:t>Provide</w:t>
            </w:r>
          </w:p>
        </w:tc>
        <w:tc>
          <w:tcPr>
            <w:tcW w:w="1140" w:type="dxa"/>
            <w:gridSpan w:val="2"/>
            <w:vAlign w:val="bottom"/>
          </w:tcPr>
          <w:p w14:paraId="0C3C1B89" w14:textId="77777777" w:rsidR="00D1587D" w:rsidRDefault="00410D07">
            <w:pPr>
              <w:spacing w:line="149" w:lineRule="exact"/>
              <w:ind w:right="300"/>
              <w:jc w:val="center"/>
              <w:rPr>
                <w:sz w:val="20"/>
                <w:szCs w:val="20"/>
              </w:rPr>
            </w:pPr>
            <w:r>
              <w:rPr>
                <w:rFonts w:ascii="Arial" w:eastAsia="Arial" w:hAnsi="Arial" w:cs="Arial"/>
                <w:b/>
                <w:bCs/>
                <w:w w:val="94"/>
                <w:sz w:val="14"/>
                <w:szCs w:val="14"/>
              </w:rPr>
              <w:t>to the</w:t>
            </w:r>
          </w:p>
        </w:tc>
        <w:tc>
          <w:tcPr>
            <w:tcW w:w="140" w:type="dxa"/>
            <w:vAlign w:val="bottom"/>
          </w:tcPr>
          <w:p w14:paraId="78F8FB42" w14:textId="77777777" w:rsidR="00D1587D" w:rsidRDefault="00D1587D">
            <w:pPr>
              <w:rPr>
                <w:sz w:val="12"/>
                <w:szCs w:val="12"/>
              </w:rPr>
            </w:pPr>
          </w:p>
        </w:tc>
        <w:tc>
          <w:tcPr>
            <w:tcW w:w="480" w:type="dxa"/>
            <w:vAlign w:val="bottom"/>
          </w:tcPr>
          <w:p w14:paraId="02CBFE6E" w14:textId="77777777" w:rsidR="00D1587D" w:rsidRDefault="00D1587D">
            <w:pPr>
              <w:rPr>
                <w:sz w:val="12"/>
                <w:szCs w:val="12"/>
              </w:rPr>
            </w:pPr>
          </w:p>
        </w:tc>
        <w:tc>
          <w:tcPr>
            <w:tcW w:w="240" w:type="dxa"/>
            <w:vAlign w:val="bottom"/>
          </w:tcPr>
          <w:p w14:paraId="66EC615B" w14:textId="77777777" w:rsidR="00D1587D" w:rsidRDefault="00D1587D">
            <w:pPr>
              <w:rPr>
                <w:sz w:val="12"/>
                <w:szCs w:val="12"/>
              </w:rPr>
            </w:pPr>
          </w:p>
        </w:tc>
        <w:tc>
          <w:tcPr>
            <w:tcW w:w="580" w:type="dxa"/>
            <w:vAlign w:val="bottom"/>
          </w:tcPr>
          <w:p w14:paraId="155FBE06" w14:textId="77777777" w:rsidR="00D1587D" w:rsidRDefault="00D1587D">
            <w:pPr>
              <w:rPr>
                <w:sz w:val="12"/>
                <w:szCs w:val="12"/>
              </w:rPr>
            </w:pPr>
          </w:p>
        </w:tc>
        <w:tc>
          <w:tcPr>
            <w:tcW w:w="0" w:type="dxa"/>
            <w:vAlign w:val="bottom"/>
          </w:tcPr>
          <w:p w14:paraId="1509AE1F" w14:textId="77777777" w:rsidR="00D1587D" w:rsidRDefault="00D1587D">
            <w:pPr>
              <w:rPr>
                <w:sz w:val="1"/>
                <w:szCs w:val="1"/>
              </w:rPr>
            </w:pPr>
          </w:p>
        </w:tc>
      </w:tr>
      <w:tr w:rsidR="00D1587D" w14:paraId="713EFF38" w14:textId="77777777">
        <w:trPr>
          <w:trHeight w:val="149"/>
        </w:trPr>
        <w:tc>
          <w:tcPr>
            <w:tcW w:w="20" w:type="dxa"/>
            <w:vAlign w:val="bottom"/>
          </w:tcPr>
          <w:p w14:paraId="7EAFC4AD" w14:textId="77777777" w:rsidR="00D1587D" w:rsidRDefault="00D1587D">
            <w:pPr>
              <w:rPr>
                <w:sz w:val="12"/>
                <w:szCs w:val="12"/>
              </w:rPr>
            </w:pPr>
          </w:p>
        </w:tc>
        <w:tc>
          <w:tcPr>
            <w:tcW w:w="2320" w:type="dxa"/>
            <w:vAlign w:val="bottom"/>
          </w:tcPr>
          <w:p w14:paraId="38191104" w14:textId="77777777" w:rsidR="00D1587D" w:rsidRDefault="00D1587D">
            <w:pPr>
              <w:rPr>
                <w:sz w:val="12"/>
                <w:szCs w:val="12"/>
              </w:rPr>
            </w:pPr>
          </w:p>
        </w:tc>
        <w:tc>
          <w:tcPr>
            <w:tcW w:w="1380" w:type="dxa"/>
            <w:vAlign w:val="bottom"/>
          </w:tcPr>
          <w:p w14:paraId="34AE9D25" w14:textId="77777777" w:rsidR="00D1587D" w:rsidRDefault="00D1587D">
            <w:pPr>
              <w:rPr>
                <w:sz w:val="12"/>
                <w:szCs w:val="12"/>
              </w:rPr>
            </w:pPr>
          </w:p>
        </w:tc>
        <w:tc>
          <w:tcPr>
            <w:tcW w:w="720" w:type="dxa"/>
            <w:vMerge/>
            <w:vAlign w:val="bottom"/>
          </w:tcPr>
          <w:p w14:paraId="29CF745A" w14:textId="77777777" w:rsidR="00D1587D" w:rsidRDefault="00D1587D">
            <w:pPr>
              <w:rPr>
                <w:sz w:val="12"/>
                <w:szCs w:val="12"/>
              </w:rPr>
            </w:pPr>
          </w:p>
        </w:tc>
        <w:tc>
          <w:tcPr>
            <w:tcW w:w="1340" w:type="dxa"/>
            <w:gridSpan w:val="3"/>
            <w:vAlign w:val="bottom"/>
          </w:tcPr>
          <w:p w14:paraId="16AF675B" w14:textId="77777777" w:rsidR="00D1587D" w:rsidRDefault="00410D07">
            <w:pPr>
              <w:spacing w:line="149" w:lineRule="exact"/>
              <w:ind w:right="20"/>
              <w:jc w:val="center"/>
              <w:rPr>
                <w:sz w:val="20"/>
                <w:szCs w:val="20"/>
              </w:rPr>
            </w:pPr>
            <w:r>
              <w:rPr>
                <w:rFonts w:ascii="Arial" w:eastAsia="Arial" w:hAnsi="Arial" w:cs="Arial"/>
                <w:b/>
                <w:bCs/>
                <w:w w:val="91"/>
                <w:sz w:val="14"/>
                <w:szCs w:val="14"/>
              </w:rPr>
              <w:t>Supplemental</w:t>
            </w:r>
          </w:p>
        </w:tc>
        <w:tc>
          <w:tcPr>
            <w:tcW w:w="1140" w:type="dxa"/>
            <w:gridSpan w:val="2"/>
            <w:vAlign w:val="bottom"/>
          </w:tcPr>
          <w:p w14:paraId="621CCC8C" w14:textId="77777777" w:rsidR="00D1587D" w:rsidRDefault="00410D07">
            <w:pPr>
              <w:spacing w:line="149" w:lineRule="exact"/>
              <w:ind w:right="300"/>
              <w:jc w:val="center"/>
              <w:rPr>
                <w:sz w:val="20"/>
                <w:szCs w:val="20"/>
              </w:rPr>
            </w:pPr>
            <w:r>
              <w:rPr>
                <w:rFonts w:ascii="Arial" w:eastAsia="Arial" w:hAnsi="Arial" w:cs="Arial"/>
                <w:b/>
                <w:bCs/>
                <w:w w:val="88"/>
                <w:sz w:val="14"/>
                <w:szCs w:val="14"/>
              </w:rPr>
              <w:t>Executive’s</w:t>
            </w:r>
          </w:p>
        </w:tc>
        <w:tc>
          <w:tcPr>
            <w:tcW w:w="140" w:type="dxa"/>
            <w:vAlign w:val="bottom"/>
          </w:tcPr>
          <w:p w14:paraId="05E0036F" w14:textId="77777777" w:rsidR="00D1587D" w:rsidRDefault="00D1587D">
            <w:pPr>
              <w:rPr>
                <w:sz w:val="12"/>
                <w:szCs w:val="12"/>
              </w:rPr>
            </w:pPr>
          </w:p>
        </w:tc>
        <w:tc>
          <w:tcPr>
            <w:tcW w:w="480" w:type="dxa"/>
            <w:vAlign w:val="bottom"/>
          </w:tcPr>
          <w:p w14:paraId="7DF0745D" w14:textId="77777777" w:rsidR="00D1587D" w:rsidRDefault="00D1587D">
            <w:pPr>
              <w:rPr>
                <w:sz w:val="12"/>
                <w:szCs w:val="12"/>
              </w:rPr>
            </w:pPr>
          </w:p>
        </w:tc>
        <w:tc>
          <w:tcPr>
            <w:tcW w:w="240" w:type="dxa"/>
            <w:vAlign w:val="bottom"/>
          </w:tcPr>
          <w:p w14:paraId="0CAD1916" w14:textId="77777777" w:rsidR="00D1587D" w:rsidRDefault="00D1587D">
            <w:pPr>
              <w:rPr>
                <w:sz w:val="12"/>
                <w:szCs w:val="12"/>
              </w:rPr>
            </w:pPr>
          </w:p>
        </w:tc>
        <w:tc>
          <w:tcPr>
            <w:tcW w:w="580" w:type="dxa"/>
            <w:vAlign w:val="bottom"/>
          </w:tcPr>
          <w:p w14:paraId="67A819DC" w14:textId="77777777" w:rsidR="00D1587D" w:rsidRDefault="00D1587D">
            <w:pPr>
              <w:rPr>
                <w:sz w:val="12"/>
                <w:szCs w:val="12"/>
              </w:rPr>
            </w:pPr>
          </w:p>
        </w:tc>
        <w:tc>
          <w:tcPr>
            <w:tcW w:w="0" w:type="dxa"/>
            <w:vAlign w:val="bottom"/>
          </w:tcPr>
          <w:p w14:paraId="36F507F4" w14:textId="77777777" w:rsidR="00D1587D" w:rsidRDefault="00D1587D">
            <w:pPr>
              <w:rPr>
                <w:sz w:val="1"/>
                <w:szCs w:val="1"/>
              </w:rPr>
            </w:pPr>
          </w:p>
        </w:tc>
      </w:tr>
      <w:tr w:rsidR="00D1587D" w14:paraId="79E263BA" w14:textId="77777777">
        <w:trPr>
          <w:trHeight w:val="148"/>
        </w:trPr>
        <w:tc>
          <w:tcPr>
            <w:tcW w:w="20" w:type="dxa"/>
            <w:vAlign w:val="bottom"/>
          </w:tcPr>
          <w:p w14:paraId="18D1F08C" w14:textId="77777777" w:rsidR="00D1587D" w:rsidRDefault="00D1587D">
            <w:pPr>
              <w:rPr>
                <w:sz w:val="12"/>
                <w:szCs w:val="12"/>
              </w:rPr>
            </w:pPr>
          </w:p>
        </w:tc>
        <w:tc>
          <w:tcPr>
            <w:tcW w:w="2320" w:type="dxa"/>
            <w:vAlign w:val="bottom"/>
          </w:tcPr>
          <w:p w14:paraId="4905DF3C" w14:textId="77777777" w:rsidR="00D1587D" w:rsidRDefault="00D1587D">
            <w:pPr>
              <w:rPr>
                <w:sz w:val="12"/>
                <w:szCs w:val="12"/>
              </w:rPr>
            </w:pPr>
          </w:p>
        </w:tc>
        <w:tc>
          <w:tcPr>
            <w:tcW w:w="1380" w:type="dxa"/>
            <w:vAlign w:val="bottom"/>
          </w:tcPr>
          <w:p w14:paraId="0151D95E" w14:textId="77777777" w:rsidR="00D1587D" w:rsidRDefault="00D1587D">
            <w:pPr>
              <w:rPr>
                <w:sz w:val="12"/>
                <w:szCs w:val="12"/>
              </w:rPr>
            </w:pPr>
          </w:p>
        </w:tc>
        <w:tc>
          <w:tcPr>
            <w:tcW w:w="720" w:type="dxa"/>
            <w:vAlign w:val="bottom"/>
          </w:tcPr>
          <w:p w14:paraId="3C0C9316" w14:textId="77777777" w:rsidR="00D1587D" w:rsidRDefault="00410D07">
            <w:pPr>
              <w:spacing w:line="149" w:lineRule="exact"/>
              <w:jc w:val="center"/>
              <w:rPr>
                <w:sz w:val="20"/>
                <w:szCs w:val="20"/>
              </w:rPr>
            </w:pPr>
            <w:r>
              <w:rPr>
                <w:rFonts w:ascii="Arial" w:eastAsia="Arial" w:hAnsi="Arial" w:cs="Arial"/>
                <w:b/>
                <w:bCs/>
                <w:w w:val="94"/>
                <w:sz w:val="14"/>
                <w:szCs w:val="14"/>
              </w:rPr>
              <w:t>Planning</w:t>
            </w:r>
          </w:p>
        </w:tc>
        <w:tc>
          <w:tcPr>
            <w:tcW w:w="240" w:type="dxa"/>
            <w:vAlign w:val="bottom"/>
          </w:tcPr>
          <w:p w14:paraId="497385B7" w14:textId="77777777" w:rsidR="00D1587D" w:rsidRDefault="00D1587D">
            <w:pPr>
              <w:rPr>
                <w:sz w:val="12"/>
                <w:szCs w:val="12"/>
              </w:rPr>
            </w:pPr>
          </w:p>
        </w:tc>
        <w:tc>
          <w:tcPr>
            <w:tcW w:w="1100" w:type="dxa"/>
            <w:gridSpan w:val="2"/>
            <w:vAlign w:val="bottom"/>
          </w:tcPr>
          <w:p w14:paraId="6FDD90CC" w14:textId="77777777" w:rsidR="00D1587D" w:rsidRDefault="00410D07">
            <w:pPr>
              <w:spacing w:line="149" w:lineRule="exact"/>
              <w:ind w:right="300"/>
              <w:jc w:val="center"/>
              <w:rPr>
                <w:sz w:val="20"/>
                <w:szCs w:val="20"/>
              </w:rPr>
            </w:pPr>
            <w:r>
              <w:rPr>
                <w:rFonts w:ascii="Arial" w:eastAsia="Arial" w:hAnsi="Arial" w:cs="Arial"/>
                <w:b/>
                <w:bCs/>
                <w:w w:val="96"/>
                <w:sz w:val="14"/>
                <w:szCs w:val="14"/>
              </w:rPr>
              <w:t>Life and</w:t>
            </w:r>
          </w:p>
        </w:tc>
        <w:tc>
          <w:tcPr>
            <w:tcW w:w="1140" w:type="dxa"/>
            <w:gridSpan w:val="2"/>
            <w:vAlign w:val="bottom"/>
          </w:tcPr>
          <w:p w14:paraId="2208E1B7" w14:textId="77777777" w:rsidR="00D1587D" w:rsidRDefault="00410D07">
            <w:pPr>
              <w:spacing w:line="149" w:lineRule="exact"/>
              <w:ind w:right="300"/>
              <w:jc w:val="center"/>
              <w:rPr>
                <w:sz w:val="20"/>
                <w:szCs w:val="20"/>
              </w:rPr>
            </w:pPr>
            <w:r>
              <w:rPr>
                <w:rFonts w:ascii="Arial" w:eastAsia="Arial" w:hAnsi="Arial" w:cs="Arial"/>
                <w:b/>
                <w:bCs/>
                <w:w w:val="94"/>
                <w:sz w:val="14"/>
                <w:szCs w:val="14"/>
              </w:rPr>
              <w:t>Qualified and</w:t>
            </w:r>
          </w:p>
        </w:tc>
        <w:tc>
          <w:tcPr>
            <w:tcW w:w="140" w:type="dxa"/>
            <w:vAlign w:val="bottom"/>
          </w:tcPr>
          <w:p w14:paraId="49C7E9D8" w14:textId="77777777" w:rsidR="00D1587D" w:rsidRDefault="00D1587D">
            <w:pPr>
              <w:rPr>
                <w:sz w:val="12"/>
                <w:szCs w:val="12"/>
              </w:rPr>
            </w:pPr>
          </w:p>
        </w:tc>
        <w:tc>
          <w:tcPr>
            <w:tcW w:w="480" w:type="dxa"/>
            <w:vAlign w:val="bottom"/>
          </w:tcPr>
          <w:p w14:paraId="1562DE6F" w14:textId="77777777" w:rsidR="00D1587D" w:rsidRDefault="00D1587D">
            <w:pPr>
              <w:rPr>
                <w:sz w:val="12"/>
                <w:szCs w:val="12"/>
              </w:rPr>
            </w:pPr>
          </w:p>
        </w:tc>
        <w:tc>
          <w:tcPr>
            <w:tcW w:w="240" w:type="dxa"/>
            <w:vAlign w:val="bottom"/>
          </w:tcPr>
          <w:p w14:paraId="0CFC0F6F" w14:textId="77777777" w:rsidR="00D1587D" w:rsidRDefault="00D1587D">
            <w:pPr>
              <w:rPr>
                <w:sz w:val="12"/>
                <w:szCs w:val="12"/>
              </w:rPr>
            </w:pPr>
          </w:p>
        </w:tc>
        <w:tc>
          <w:tcPr>
            <w:tcW w:w="580" w:type="dxa"/>
            <w:vAlign w:val="bottom"/>
          </w:tcPr>
          <w:p w14:paraId="3CE8D743" w14:textId="77777777" w:rsidR="00D1587D" w:rsidRDefault="00D1587D">
            <w:pPr>
              <w:rPr>
                <w:sz w:val="12"/>
                <w:szCs w:val="12"/>
              </w:rPr>
            </w:pPr>
          </w:p>
        </w:tc>
        <w:tc>
          <w:tcPr>
            <w:tcW w:w="0" w:type="dxa"/>
            <w:vAlign w:val="bottom"/>
          </w:tcPr>
          <w:p w14:paraId="4B96F92F" w14:textId="77777777" w:rsidR="00D1587D" w:rsidRDefault="00D1587D">
            <w:pPr>
              <w:rPr>
                <w:sz w:val="1"/>
                <w:szCs w:val="1"/>
              </w:rPr>
            </w:pPr>
          </w:p>
        </w:tc>
      </w:tr>
      <w:tr w:rsidR="00D1587D" w14:paraId="52E6615E" w14:textId="77777777">
        <w:trPr>
          <w:trHeight w:val="148"/>
        </w:trPr>
        <w:tc>
          <w:tcPr>
            <w:tcW w:w="20" w:type="dxa"/>
            <w:vAlign w:val="bottom"/>
          </w:tcPr>
          <w:p w14:paraId="7D18C6BC" w14:textId="77777777" w:rsidR="00D1587D" w:rsidRDefault="00D1587D">
            <w:pPr>
              <w:rPr>
                <w:sz w:val="12"/>
                <w:szCs w:val="12"/>
              </w:rPr>
            </w:pPr>
          </w:p>
        </w:tc>
        <w:tc>
          <w:tcPr>
            <w:tcW w:w="2320" w:type="dxa"/>
            <w:vAlign w:val="bottom"/>
          </w:tcPr>
          <w:p w14:paraId="3A8D175A" w14:textId="77777777" w:rsidR="00D1587D" w:rsidRDefault="00D1587D">
            <w:pPr>
              <w:rPr>
                <w:sz w:val="12"/>
                <w:szCs w:val="12"/>
              </w:rPr>
            </w:pPr>
          </w:p>
        </w:tc>
        <w:tc>
          <w:tcPr>
            <w:tcW w:w="1380" w:type="dxa"/>
            <w:vAlign w:val="bottom"/>
          </w:tcPr>
          <w:p w14:paraId="51C5B7AD" w14:textId="77777777" w:rsidR="00D1587D" w:rsidRDefault="00D1587D">
            <w:pPr>
              <w:rPr>
                <w:sz w:val="12"/>
                <w:szCs w:val="12"/>
              </w:rPr>
            </w:pPr>
          </w:p>
        </w:tc>
        <w:tc>
          <w:tcPr>
            <w:tcW w:w="720" w:type="dxa"/>
            <w:vAlign w:val="bottom"/>
          </w:tcPr>
          <w:p w14:paraId="29245BD7" w14:textId="77777777" w:rsidR="00D1587D" w:rsidRDefault="00410D07">
            <w:pPr>
              <w:spacing w:line="149" w:lineRule="exact"/>
              <w:jc w:val="center"/>
              <w:rPr>
                <w:sz w:val="20"/>
                <w:szCs w:val="20"/>
              </w:rPr>
            </w:pPr>
            <w:r>
              <w:rPr>
                <w:rFonts w:ascii="Arial" w:eastAsia="Arial" w:hAnsi="Arial" w:cs="Arial"/>
                <w:b/>
                <w:bCs/>
                <w:w w:val="90"/>
                <w:sz w:val="14"/>
                <w:szCs w:val="14"/>
              </w:rPr>
              <w:t>Services</w:t>
            </w:r>
          </w:p>
        </w:tc>
        <w:tc>
          <w:tcPr>
            <w:tcW w:w="240" w:type="dxa"/>
            <w:vAlign w:val="bottom"/>
          </w:tcPr>
          <w:p w14:paraId="72E40179" w14:textId="77777777" w:rsidR="00D1587D" w:rsidRDefault="00D1587D">
            <w:pPr>
              <w:rPr>
                <w:sz w:val="12"/>
                <w:szCs w:val="12"/>
              </w:rPr>
            </w:pPr>
          </w:p>
        </w:tc>
        <w:tc>
          <w:tcPr>
            <w:tcW w:w="1100" w:type="dxa"/>
            <w:gridSpan w:val="2"/>
            <w:vAlign w:val="bottom"/>
          </w:tcPr>
          <w:p w14:paraId="30196BE7" w14:textId="77777777" w:rsidR="00D1587D" w:rsidRDefault="00410D07">
            <w:pPr>
              <w:spacing w:line="149" w:lineRule="exact"/>
              <w:ind w:right="280"/>
              <w:jc w:val="center"/>
              <w:rPr>
                <w:sz w:val="20"/>
                <w:szCs w:val="20"/>
              </w:rPr>
            </w:pPr>
            <w:r>
              <w:rPr>
                <w:rFonts w:ascii="Arial" w:eastAsia="Arial" w:hAnsi="Arial" w:cs="Arial"/>
                <w:b/>
                <w:bCs/>
                <w:w w:val="93"/>
                <w:sz w:val="14"/>
                <w:szCs w:val="14"/>
              </w:rPr>
              <w:t>Disability</w:t>
            </w:r>
          </w:p>
        </w:tc>
        <w:tc>
          <w:tcPr>
            <w:tcW w:w="1140" w:type="dxa"/>
            <w:gridSpan w:val="2"/>
            <w:vAlign w:val="bottom"/>
          </w:tcPr>
          <w:p w14:paraId="5A4D5AF4" w14:textId="77777777" w:rsidR="00D1587D" w:rsidRDefault="00410D07">
            <w:pPr>
              <w:spacing w:line="149" w:lineRule="exact"/>
              <w:rPr>
                <w:sz w:val="20"/>
                <w:szCs w:val="20"/>
              </w:rPr>
            </w:pPr>
            <w:r>
              <w:rPr>
                <w:rFonts w:ascii="Arial" w:eastAsia="Arial" w:hAnsi="Arial" w:cs="Arial"/>
                <w:b/>
                <w:bCs/>
                <w:sz w:val="14"/>
                <w:szCs w:val="14"/>
              </w:rPr>
              <w:t>Non-Qualified</w:t>
            </w:r>
          </w:p>
        </w:tc>
        <w:tc>
          <w:tcPr>
            <w:tcW w:w="620" w:type="dxa"/>
            <w:gridSpan w:val="2"/>
            <w:vMerge w:val="restart"/>
            <w:vAlign w:val="bottom"/>
          </w:tcPr>
          <w:p w14:paraId="64A71AE7" w14:textId="77777777" w:rsidR="00D1587D" w:rsidRDefault="00410D07">
            <w:pPr>
              <w:jc w:val="right"/>
              <w:rPr>
                <w:sz w:val="20"/>
                <w:szCs w:val="20"/>
              </w:rPr>
            </w:pPr>
            <w:r>
              <w:rPr>
                <w:rFonts w:ascii="Arial" w:eastAsia="Arial" w:hAnsi="Arial" w:cs="Arial"/>
                <w:b/>
                <w:bCs/>
                <w:w w:val="85"/>
                <w:sz w:val="14"/>
                <w:szCs w:val="14"/>
              </w:rPr>
              <w:t>Severance</w:t>
            </w:r>
          </w:p>
        </w:tc>
        <w:tc>
          <w:tcPr>
            <w:tcW w:w="240" w:type="dxa"/>
            <w:vAlign w:val="bottom"/>
          </w:tcPr>
          <w:p w14:paraId="79C00F11" w14:textId="77777777" w:rsidR="00D1587D" w:rsidRDefault="00D1587D">
            <w:pPr>
              <w:rPr>
                <w:sz w:val="12"/>
                <w:szCs w:val="12"/>
              </w:rPr>
            </w:pPr>
          </w:p>
        </w:tc>
        <w:tc>
          <w:tcPr>
            <w:tcW w:w="580" w:type="dxa"/>
            <w:vAlign w:val="bottom"/>
          </w:tcPr>
          <w:p w14:paraId="580F08BE" w14:textId="77777777" w:rsidR="00D1587D" w:rsidRDefault="00D1587D">
            <w:pPr>
              <w:rPr>
                <w:sz w:val="12"/>
                <w:szCs w:val="12"/>
              </w:rPr>
            </w:pPr>
          </w:p>
        </w:tc>
        <w:tc>
          <w:tcPr>
            <w:tcW w:w="0" w:type="dxa"/>
            <w:vAlign w:val="bottom"/>
          </w:tcPr>
          <w:p w14:paraId="53CF4DBE" w14:textId="77777777" w:rsidR="00D1587D" w:rsidRDefault="00D1587D">
            <w:pPr>
              <w:rPr>
                <w:sz w:val="1"/>
                <w:szCs w:val="1"/>
              </w:rPr>
            </w:pPr>
          </w:p>
        </w:tc>
      </w:tr>
      <w:tr w:rsidR="00D1587D" w14:paraId="5DDBB86D" w14:textId="77777777">
        <w:trPr>
          <w:trHeight w:val="148"/>
        </w:trPr>
        <w:tc>
          <w:tcPr>
            <w:tcW w:w="20" w:type="dxa"/>
            <w:vAlign w:val="bottom"/>
          </w:tcPr>
          <w:p w14:paraId="6B3229D7" w14:textId="77777777" w:rsidR="00D1587D" w:rsidRDefault="00D1587D">
            <w:pPr>
              <w:rPr>
                <w:sz w:val="12"/>
                <w:szCs w:val="12"/>
              </w:rPr>
            </w:pPr>
          </w:p>
        </w:tc>
        <w:tc>
          <w:tcPr>
            <w:tcW w:w="2320" w:type="dxa"/>
            <w:vAlign w:val="bottom"/>
          </w:tcPr>
          <w:p w14:paraId="7E7BFD03" w14:textId="77777777" w:rsidR="00D1587D" w:rsidRDefault="00D1587D">
            <w:pPr>
              <w:rPr>
                <w:sz w:val="12"/>
                <w:szCs w:val="12"/>
              </w:rPr>
            </w:pPr>
          </w:p>
        </w:tc>
        <w:tc>
          <w:tcPr>
            <w:tcW w:w="2100" w:type="dxa"/>
            <w:gridSpan w:val="2"/>
            <w:vAlign w:val="bottom"/>
          </w:tcPr>
          <w:p w14:paraId="75A6491C" w14:textId="77777777" w:rsidR="00D1587D" w:rsidRDefault="00410D07">
            <w:pPr>
              <w:spacing w:line="149" w:lineRule="exact"/>
              <w:ind w:left="1308"/>
              <w:jc w:val="center"/>
              <w:rPr>
                <w:sz w:val="20"/>
                <w:szCs w:val="20"/>
              </w:rPr>
            </w:pPr>
            <w:r>
              <w:rPr>
                <w:rFonts w:ascii="Arial" w:eastAsia="Arial" w:hAnsi="Arial" w:cs="Arial"/>
                <w:b/>
                <w:bCs/>
                <w:w w:val="93"/>
                <w:sz w:val="14"/>
                <w:szCs w:val="14"/>
              </w:rPr>
              <w:t>Provided to</w:t>
            </w:r>
          </w:p>
        </w:tc>
        <w:tc>
          <w:tcPr>
            <w:tcW w:w="240" w:type="dxa"/>
            <w:vAlign w:val="bottom"/>
          </w:tcPr>
          <w:p w14:paraId="074F9C1B" w14:textId="77777777" w:rsidR="00D1587D" w:rsidRDefault="00D1587D">
            <w:pPr>
              <w:rPr>
                <w:sz w:val="12"/>
                <w:szCs w:val="12"/>
              </w:rPr>
            </w:pPr>
          </w:p>
        </w:tc>
        <w:tc>
          <w:tcPr>
            <w:tcW w:w="1100" w:type="dxa"/>
            <w:gridSpan w:val="2"/>
            <w:vAlign w:val="bottom"/>
          </w:tcPr>
          <w:p w14:paraId="14245EB3" w14:textId="77777777" w:rsidR="00D1587D" w:rsidRDefault="00410D07">
            <w:pPr>
              <w:spacing w:line="149" w:lineRule="exact"/>
              <w:ind w:right="280"/>
              <w:jc w:val="center"/>
              <w:rPr>
                <w:sz w:val="20"/>
                <w:szCs w:val="20"/>
              </w:rPr>
            </w:pPr>
            <w:r>
              <w:rPr>
                <w:rFonts w:ascii="Arial" w:eastAsia="Arial" w:hAnsi="Arial" w:cs="Arial"/>
                <w:b/>
                <w:bCs/>
                <w:w w:val="93"/>
                <w:sz w:val="14"/>
                <w:szCs w:val="14"/>
              </w:rPr>
              <w:t>Insurance</w:t>
            </w:r>
          </w:p>
        </w:tc>
        <w:tc>
          <w:tcPr>
            <w:tcW w:w="1140" w:type="dxa"/>
            <w:gridSpan w:val="2"/>
            <w:vAlign w:val="bottom"/>
          </w:tcPr>
          <w:p w14:paraId="5251B6EB" w14:textId="77777777" w:rsidR="00D1587D" w:rsidRDefault="00410D07">
            <w:pPr>
              <w:spacing w:line="149" w:lineRule="exact"/>
              <w:ind w:right="300"/>
              <w:jc w:val="center"/>
              <w:rPr>
                <w:sz w:val="20"/>
                <w:szCs w:val="20"/>
              </w:rPr>
            </w:pPr>
            <w:r>
              <w:rPr>
                <w:rFonts w:ascii="Arial" w:eastAsia="Arial" w:hAnsi="Arial" w:cs="Arial"/>
                <w:b/>
                <w:bCs/>
                <w:w w:val="92"/>
                <w:sz w:val="14"/>
                <w:szCs w:val="14"/>
              </w:rPr>
              <w:t>Retirement</w:t>
            </w:r>
          </w:p>
        </w:tc>
        <w:tc>
          <w:tcPr>
            <w:tcW w:w="620" w:type="dxa"/>
            <w:gridSpan w:val="2"/>
            <w:vMerge/>
            <w:vAlign w:val="bottom"/>
          </w:tcPr>
          <w:p w14:paraId="23E33090" w14:textId="77777777" w:rsidR="00D1587D" w:rsidRDefault="00D1587D">
            <w:pPr>
              <w:rPr>
                <w:sz w:val="12"/>
                <w:szCs w:val="12"/>
              </w:rPr>
            </w:pPr>
          </w:p>
        </w:tc>
        <w:tc>
          <w:tcPr>
            <w:tcW w:w="240" w:type="dxa"/>
            <w:vAlign w:val="bottom"/>
          </w:tcPr>
          <w:p w14:paraId="5DCAB9F6" w14:textId="77777777" w:rsidR="00D1587D" w:rsidRDefault="00D1587D">
            <w:pPr>
              <w:rPr>
                <w:sz w:val="12"/>
                <w:szCs w:val="12"/>
              </w:rPr>
            </w:pPr>
          </w:p>
        </w:tc>
        <w:tc>
          <w:tcPr>
            <w:tcW w:w="580" w:type="dxa"/>
            <w:vMerge w:val="restart"/>
            <w:vAlign w:val="bottom"/>
          </w:tcPr>
          <w:p w14:paraId="454CEE4E" w14:textId="77777777" w:rsidR="00D1587D" w:rsidRDefault="00410D07">
            <w:pPr>
              <w:ind w:right="88"/>
              <w:jc w:val="right"/>
              <w:rPr>
                <w:sz w:val="20"/>
                <w:szCs w:val="20"/>
              </w:rPr>
            </w:pPr>
            <w:r>
              <w:rPr>
                <w:rFonts w:ascii="Arial" w:eastAsia="Arial" w:hAnsi="Arial" w:cs="Arial"/>
                <w:b/>
                <w:bCs/>
                <w:sz w:val="14"/>
                <w:szCs w:val="14"/>
              </w:rPr>
              <w:t>Total</w:t>
            </w:r>
          </w:p>
        </w:tc>
        <w:tc>
          <w:tcPr>
            <w:tcW w:w="0" w:type="dxa"/>
            <w:vAlign w:val="bottom"/>
          </w:tcPr>
          <w:p w14:paraId="335EFB4E" w14:textId="77777777" w:rsidR="00D1587D" w:rsidRDefault="00D1587D">
            <w:pPr>
              <w:rPr>
                <w:sz w:val="1"/>
                <w:szCs w:val="1"/>
              </w:rPr>
            </w:pPr>
          </w:p>
        </w:tc>
      </w:tr>
      <w:tr w:rsidR="00D1587D" w14:paraId="79FF298B" w14:textId="77777777">
        <w:trPr>
          <w:trHeight w:val="148"/>
        </w:trPr>
        <w:tc>
          <w:tcPr>
            <w:tcW w:w="20" w:type="dxa"/>
            <w:vAlign w:val="bottom"/>
          </w:tcPr>
          <w:p w14:paraId="513F0650" w14:textId="77777777" w:rsidR="00D1587D" w:rsidRDefault="00D1587D">
            <w:pPr>
              <w:rPr>
                <w:sz w:val="12"/>
                <w:szCs w:val="12"/>
              </w:rPr>
            </w:pPr>
          </w:p>
        </w:tc>
        <w:tc>
          <w:tcPr>
            <w:tcW w:w="2320" w:type="dxa"/>
            <w:vAlign w:val="bottom"/>
          </w:tcPr>
          <w:p w14:paraId="79E2074C" w14:textId="77777777" w:rsidR="00D1587D" w:rsidRDefault="00D1587D">
            <w:pPr>
              <w:rPr>
                <w:sz w:val="12"/>
                <w:szCs w:val="12"/>
              </w:rPr>
            </w:pPr>
          </w:p>
        </w:tc>
        <w:tc>
          <w:tcPr>
            <w:tcW w:w="1380" w:type="dxa"/>
            <w:vAlign w:val="bottom"/>
          </w:tcPr>
          <w:p w14:paraId="6F3EDF73" w14:textId="77777777" w:rsidR="00D1587D" w:rsidRDefault="00D1587D">
            <w:pPr>
              <w:rPr>
                <w:sz w:val="12"/>
                <w:szCs w:val="12"/>
              </w:rPr>
            </w:pPr>
          </w:p>
        </w:tc>
        <w:tc>
          <w:tcPr>
            <w:tcW w:w="720" w:type="dxa"/>
            <w:vAlign w:val="bottom"/>
          </w:tcPr>
          <w:p w14:paraId="5A0F2DE5" w14:textId="77777777" w:rsidR="00D1587D" w:rsidRDefault="00410D07">
            <w:pPr>
              <w:spacing w:line="149" w:lineRule="exact"/>
              <w:jc w:val="center"/>
              <w:rPr>
                <w:sz w:val="20"/>
                <w:szCs w:val="20"/>
              </w:rPr>
            </w:pPr>
            <w:r>
              <w:rPr>
                <w:rFonts w:ascii="Arial" w:eastAsia="Arial" w:hAnsi="Arial" w:cs="Arial"/>
                <w:b/>
                <w:bCs/>
                <w:w w:val="91"/>
                <w:sz w:val="14"/>
                <w:szCs w:val="14"/>
              </w:rPr>
              <w:t>Executive</w:t>
            </w:r>
          </w:p>
        </w:tc>
        <w:tc>
          <w:tcPr>
            <w:tcW w:w="240" w:type="dxa"/>
            <w:vAlign w:val="bottom"/>
          </w:tcPr>
          <w:p w14:paraId="1360926B" w14:textId="77777777" w:rsidR="00D1587D" w:rsidRDefault="00D1587D">
            <w:pPr>
              <w:rPr>
                <w:sz w:val="12"/>
                <w:szCs w:val="12"/>
              </w:rPr>
            </w:pPr>
          </w:p>
        </w:tc>
        <w:tc>
          <w:tcPr>
            <w:tcW w:w="1100" w:type="dxa"/>
            <w:gridSpan w:val="2"/>
            <w:vAlign w:val="bottom"/>
          </w:tcPr>
          <w:p w14:paraId="7ADDDFBF" w14:textId="77777777" w:rsidR="00D1587D" w:rsidRDefault="00410D07">
            <w:pPr>
              <w:spacing w:line="149" w:lineRule="exact"/>
              <w:ind w:right="280"/>
              <w:jc w:val="center"/>
              <w:rPr>
                <w:sz w:val="20"/>
                <w:szCs w:val="20"/>
              </w:rPr>
            </w:pPr>
            <w:r>
              <w:rPr>
                <w:rFonts w:ascii="Arial" w:eastAsia="Arial" w:hAnsi="Arial" w:cs="Arial"/>
                <w:b/>
                <w:bCs/>
                <w:w w:val="90"/>
                <w:sz w:val="14"/>
                <w:szCs w:val="14"/>
              </w:rPr>
              <w:t>Coverage</w:t>
            </w:r>
          </w:p>
        </w:tc>
        <w:tc>
          <w:tcPr>
            <w:tcW w:w="1140" w:type="dxa"/>
            <w:gridSpan w:val="2"/>
            <w:vAlign w:val="bottom"/>
          </w:tcPr>
          <w:p w14:paraId="2CDD8A2A" w14:textId="77777777" w:rsidR="00D1587D" w:rsidRDefault="00410D07">
            <w:pPr>
              <w:spacing w:line="149" w:lineRule="exact"/>
              <w:ind w:right="300"/>
              <w:jc w:val="center"/>
              <w:rPr>
                <w:sz w:val="20"/>
                <w:szCs w:val="20"/>
              </w:rPr>
            </w:pPr>
            <w:r>
              <w:rPr>
                <w:rFonts w:ascii="Arial" w:eastAsia="Arial" w:hAnsi="Arial" w:cs="Arial"/>
                <w:b/>
                <w:bCs/>
                <w:w w:val="93"/>
                <w:sz w:val="14"/>
                <w:szCs w:val="14"/>
              </w:rPr>
              <w:t>Plan Account</w:t>
            </w:r>
          </w:p>
        </w:tc>
        <w:tc>
          <w:tcPr>
            <w:tcW w:w="140" w:type="dxa"/>
            <w:vAlign w:val="bottom"/>
          </w:tcPr>
          <w:p w14:paraId="4A0A36C3" w14:textId="77777777" w:rsidR="00D1587D" w:rsidRDefault="00D1587D">
            <w:pPr>
              <w:rPr>
                <w:sz w:val="12"/>
                <w:szCs w:val="12"/>
              </w:rPr>
            </w:pPr>
          </w:p>
        </w:tc>
        <w:tc>
          <w:tcPr>
            <w:tcW w:w="480" w:type="dxa"/>
            <w:vAlign w:val="bottom"/>
          </w:tcPr>
          <w:p w14:paraId="04E3B7F3" w14:textId="77777777" w:rsidR="00D1587D" w:rsidRDefault="00410D07">
            <w:pPr>
              <w:spacing w:line="149" w:lineRule="exact"/>
              <w:ind w:right="148"/>
              <w:jc w:val="right"/>
              <w:rPr>
                <w:sz w:val="20"/>
                <w:szCs w:val="20"/>
              </w:rPr>
            </w:pPr>
            <w:r>
              <w:rPr>
                <w:rFonts w:ascii="Arial" w:eastAsia="Arial" w:hAnsi="Arial" w:cs="Arial"/>
                <w:b/>
                <w:bCs/>
                <w:w w:val="96"/>
                <w:sz w:val="14"/>
                <w:szCs w:val="14"/>
              </w:rPr>
              <w:t>Pay</w:t>
            </w:r>
          </w:p>
        </w:tc>
        <w:tc>
          <w:tcPr>
            <w:tcW w:w="240" w:type="dxa"/>
            <w:vAlign w:val="bottom"/>
          </w:tcPr>
          <w:p w14:paraId="2F14A857" w14:textId="77777777" w:rsidR="00D1587D" w:rsidRDefault="00D1587D">
            <w:pPr>
              <w:rPr>
                <w:sz w:val="12"/>
                <w:szCs w:val="12"/>
              </w:rPr>
            </w:pPr>
          </w:p>
        </w:tc>
        <w:tc>
          <w:tcPr>
            <w:tcW w:w="580" w:type="dxa"/>
            <w:vMerge/>
            <w:vAlign w:val="bottom"/>
          </w:tcPr>
          <w:p w14:paraId="468ADAE3" w14:textId="77777777" w:rsidR="00D1587D" w:rsidRDefault="00D1587D">
            <w:pPr>
              <w:rPr>
                <w:sz w:val="12"/>
                <w:szCs w:val="12"/>
              </w:rPr>
            </w:pPr>
          </w:p>
        </w:tc>
        <w:tc>
          <w:tcPr>
            <w:tcW w:w="0" w:type="dxa"/>
            <w:vAlign w:val="bottom"/>
          </w:tcPr>
          <w:p w14:paraId="57FC02AA" w14:textId="77777777" w:rsidR="00D1587D" w:rsidRDefault="00D1587D">
            <w:pPr>
              <w:rPr>
                <w:sz w:val="1"/>
                <w:szCs w:val="1"/>
              </w:rPr>
            </w:pPr>
          </w:p>
        </w:tc>
      </w:tr>
      <w:tr w:rsidR="00D1587D" w14:paraId="55D7255A" w14:textId="77777777">
        <w:trPr>
          <w:trHeight w:val="186"/>
        </w:trPr>
        <w:tc>
          <w:tcPr>
            <w:tcW w:w="20" w:type="dxa"/>
            <w:vAlign w:val="bottom"/>
          </w:tcPr>
          <w:p w14:paraId="4CE9A804" w14:textId="77777777" w:rsidR="00D1587D" w:rsidRDefault="00D1587D">
            <w:pPr>
              <w:rPr>
                <w:sz w:val="16"/>
                <w:szCs w:val="16"/>
              </w:rPr>
            </w:pPr>
          </w:p>
        </w:tc>
        <w:tc>
          <w:tcPr>
            <w:tcW w:w="2320" w:type="dxa"/>
            <w:vAlign w:val="bottom"/>
          </w:tcPr>
          <w:p w14:paraId="3ADF784C" w14:textId="77777777" w:rsidR="00D1587D" w:rsidRDefault="00D1587D">
            <w:pPr>
              <w:rPr>
                <w:sz w:val="16"/>
                <w:szCs w:val="16"/>
              </w:rPr>
            </w:pPr>
          </w:p>
        </w:tc>
        <w:tc>
          <w:tcPr>
            <w:tcW w:w="2100" w:type="dxa"/>
            <w:gridSpan w:val="2"/>
            <w:vAlign w:val="bottom"/>
          </w:tcPr>
          <w:p w14:paraId="2A16C318" w14:textId="77777777" w:rsidR="00D1587D" w:rsidRDefault="00410D07">
            <w:pPr>
              <w:ind w:left="1308"/>
              <w:jc w:val="center"/>
              <w:rPr>
                <w:sz w:val="20"/>
                <w:szCs w:val="20"/>
              </w:rPr>
            </w:pPr>
            <w:r>
              <w:rPr>
                <w:rFonts w:ascii="Arial" w:eastAsia="Arial" w:hAnsi="Arial" w:cs="Arial"/>
                <w:b/>
                <w:bCs/>
                <w:w w:val="93"/>
                <w:sz w:val="14"/>
                <w:szCs w:val="14"/>
              </w:rPr>
              <w:t>($)</w:t>
            </w:r>
          </w:p>
        </w:tc>
        <w:tc>
          <w:tcPr>
            <w:tcW w:w="1100" w:type="dxa"/>
            <w:gridSpan w:val="2"/>
            <w:vAlign w:val="bottom"/>
          </w:tcPr>
          <w:p w14:paraId="46472E22" w14:textId="77777777" w:rsidR="00D1587D" w:rsidRDefault="00410D07">
            <w:pPr>
              <w:ind w:left="148"/>
              <w:jc w:val="center"/>
              <w:rPr>
                <w:sz w:val="20"/>
                <w:szCs w:val="20"/>
              </w:rPr>
            </w:pPr>
            <w:r>
              <w:rPr>
                <w:rFonts w:ascii="Arial" w:eastAsia="Arial" w:hAnsi="Arial" w:cs="Arial"/>
                <w:b/>
                <w:bCs/>
                <w:w w:val="93"/>
                <w:sz w:val="14"/>
                <w:szCs w:val="14"/>
              </w:rPr>
              <w:t>($)</w:t>
            </w:r>
          </w:p>
        </w:tc>
        <w:tc>
          <w:tcPr>
            <w:tcW w:w="240" w:type="dxa"/>
            <w:vAlign w:val="bottom"/>
          </w:tcPr>
          <w:p w14:paraId="33C1B3F5" w14:textId="77777777" w:rsidR="00D1587D" w:rsidRDefault="00D1587D">
            <w:pPr>
              <w:rPr>
                <w:sz w:val="16"/>
                <w:szCs w:val="16"/>
              </w:rPr>
            </w:pPr>
          </w:p>
        </w:tc>
        <w:tc>
          <w:tcPr>
            <w:tcW w:w="880" w:type="dxa"/>
            <w:vAlign w:val="bottom"/>
          </w:tcPr>
          <w:p w14:paraId="29217D2C" w14:textId="77777777" w:rsidR="00D1587D" w:rsidRDefault="00410D07">
            <w:pPr>
              <w:jc w:val="center"/>
              <w:rPr>
                <w:sz w:val="20"/>
                <w:szCs w:val="20"/>
              </w:rPr>
            </w:pPr>
            <w:r>
              <w:rPr>
                <w:rFonts w:ascii="Arial" w:eastAsia="Arial" w:hAnsi="Arial" w:cs="Arial"/>
                <w:b/>
                <w:bCs/>
                <w:w w:val="93"/>
                <w:sz w:val="14"/>
                <w:szCs w:val="14"/>
              </w:rPr>
              <w:t>($)</w:t>
            </w:r>
          </w:p>
        </w:tc>
        <w:tc>
          <w:tcPr>
            <w:tcW w:w="260" w:type="dxa"/>
            <w:vAlign w:val="bottom"/>
          </w:tcPr>
          <w:p w14:paraId="04CBB92F" w14:textId="77777777" w:rsidR="00D1587D" w:rsidRDefault="00D1587D">
            <w:pPr>
              <w:rPr>
                <w:sz w:val="16"/>
                <w:szCs w:val="16"/>
              </w:rPr>
            </w:pPr>
          </w:p>
        </w:tc>
        <w:tc>
          <w:tcPr>
            <w:tcW w:w="140" w:type="dxa"/>
            <w:vAlign w:val="bottom"/>
          </w:tcPr>
          <w:p w14:paraId="168BFC65" w14:textId="77777777" w:rsidR="00D1587D" w:rsidRDefault="00D1587D">
            <w:pPr>
              <w:rPr>
                <w:sz w:val="16"/>
                <w:szCs w:val="16"/>
              </w:rPr>
            </w:pPr>
          </w:p>
        </w:tc>
        <w:tc>
          <w:tcPr>
            <w:tcW w:w="480" w:type="dxa"/>
            <w:vAlign w:val="bottom"/>
          </w:tcPr>
          <w:p w14:paraId="135E6AA3" w14:textId="77777777" w:rsidR="00D1587D" w:rsidRDefault="00410D07">
            <w:pPr>
              <w:ind w:right="168"/>
              <w:jc w:val="right"/>
              <w:rPr>
                <w:sz w:val="20"/>
                <w:szCs w:val="20"/>
              </w:rPr>
            </w:pPr>
            <w:r>
              <w:rPr>
                <w:rFonts w:ascii="Arial" w:eastAsia="Arial" w:hAnsi="Arial" w:cs="Arial"/>
                <w:b/>
                <w:bCs/>
                <w:sz w:val="14"/>
                <w:szCs w:val="14"/>
              </w:rPr>
              <w:t>($)</w:t>
            </w:r>
          </w:p>
        </w:tc>
        <w:tc>
          <w:tcPr>
            <w:tcW w:w="820" w:type="dxa"/>
            <w:gridSpan w:val="2"/>
            <w:vAlign w:val="bottom"/>
          </w:tcPr>
          <w:p w14:paraId="282DAEAE" w14:textId="77777777" w:rsidR="00D1587D" w:rsidRDefault="00410D07">
            <w:pPr>
              <w:ind w:right="128"/>
              <w:jc w:val="right"/>
              <w:rPr>
                <w:sz w:val="20"/>
                <w:szCs w:val="20"/>
              </w:rPr>
            </w:pPr>
            <w:r>
              <w:rPr>
                <w:rFonts w:ascii="Arial" w:eastAsia="Arial" w:hAnsi="Arial" w:cs="Arial"/>
                <w:b/>
                <w:bCs/>
                <w:sz w:val="14"/>
                <w:szCs w:val="14"/>
              </w:rPr>
              <w:t>($)</w:t>
            </w:r>
          </w:p>
        </w:tc>
        <w:tc>
          <w:tcPr>
            <w:tcW w:w="0" w:type="dxa"/>
            <w:vAlign w:val="bottom"/>
          </w:tcPr>
          <w:p w14:paraId="7B931D47" w14:textId="77777777" w:rsidR="00D1587D" w:rsidRDefault="00D1587D">
            <w:pPr>
              <w:rPr>
                <w:sz w:val="1"/>
                <w:szCs w:val="1"/>
              </w:rPr>
            </w:pPr>
          </w:p>
        </w:tc>
      </w:tr>
      <w:tr w:rsidR="00D1587D" w14:paraId="2B494279" w14:textId="77777777">
        <w:trPr>
          <w:trHeight w:val="53"/>
        </w:trPr>
        <w:tc>
          <w:tcPr>
            <w:tcW w:w="20" w:type="dxa"/>
            <w:vAlign w:val="bottom"/>
          </w:tcPr>
          <w:p w14:paraId="39C0D193" w14:textId="77777777" w:rsidR="00D1587D" w:rsidRDefault="00D1587D">
            <w:pPr>
              <w:rPr>
                <w:sz w:val="4"/>
                <w:szCs w:val="4"/>
              </w:rPr>
            </w:pPr>
          </w:p>
        </w:tc>
        <w:tc>
          <w:tcPr>
            <w:tcW w:w="2320" w:type="dxa"/>
            <w:tcBorders>
              <w:bottom w:val="single" w:sz="8" w:space="0" w:color="CCEEFF"/>
            </w:tcBorders>
            <w:vAlign w:val="bottom"/>
          </w:tcPr>
          <w:p w14:paraId="3534D31D" w14:textId="77777777" w:rsidR="00D1587D" w:rsidRDefault="00D1587D">
            <w:pPr>
              <w:rPr>
                <w:sz w:val="4"/>
                <w:szCs w:val="4"/>
              </w:rPr>
            </w:pPr>
          </w:p>
        </w:tc>
        <w:tc>
          <w:tcPr>
            <w:tcW w:w="1380" w:type="dxa"/>
            <w:tcBorders>
              <w:bottom w:val="single" w:sz="8" w:space="0" w:color="CCEEFF"/>
            </w:tcBorders>
            <w:vAlign w:val="bottom"/>
          </w:tcPr>
          <w:p w14:paraId="4693C9CA" w14:textId="77777777" w:rsidR="00D1587D" w:rsidRDefault="00D1587D">
            <w:pPr>
              <w:rPr>
                <w:sz w:val="4"/>
                <w:szCs w:val="4"/>
              </w:rPr>
            </w:pPr>
          </w:p>
        </w:tc>
        <w:tc>
          <w:tcPr>
            <w:tcW w:w="720" w:type="dxa"/>
            <w:tcBorders>
              <w:bottom w:val="single" w:sz="8" w:space="0" w:color="auto"/>
            </w:tcBorders>
            <w:vAlign w:val="bottom"/>
          </w:tcPr>
          <w:p w14:paraId="2EB12473" w14:textId="77777777" w:rsidR="00D1587D" w:rsidRDefault="00D1587D">
            <w:pPr>
              <w:rPr>
                <w:sz w:val="4"/>
                <w:szCs w:val="4"/>
              </w:rPr>
            </w:pPr>
          </w:p>
        </w:tc>
        <w:tc>
          <w:tcPr>
            <w:tcW w:w="240" w:type="dxa"/>
            <w:tcBorders>
              <w:bottom w:val="single" w:sz="8" w:space="0" w:color="CCEEFF"/>
            </w:tcBorders>
            <w:vAlign w:val="bottom"/>
          </w:tcPr>
          <w:p w14:paraId="5CD00FFD" w14:textId="77777777" w:rsidR="00D1587D" w:rsidRDefault="00D1587D">
            <w:pPr>
              <w:rPr>
                <w:sz w:val="4"/>
                <w:szCs w:val="4"/>
              </w:rPr>
            </w:pPr>
          </w:p>
        </w:tc>
        <w:tc>
          <w:tcPr>
            <w:tcW w:w="860" w:type="dxa"/>
            <w:tcBorders>
              <w:bottom w:val="single" w:sz="8" w:space="0" w:color="auto"/>
            </w:tcBorders>
            <w:vAlign w:val="bottom"/>
          </w:tcPr>
          <w:p w14:paraId="3502504D" w14:textId="77777777" w:rsidR="00D1587D" w:rsidRDefault="00D1587D">
            <w:pPr>
              <w:rPr>
                <w:sz w:val="4"/>
                <w:szCs w:val="4"/>
              </w:rPr>
            </w:pPr>
          </w:p>
        </w:tc>
        <w:tc>
          <w:tcPr>
            <w:tcW w:w="240" w:type="dxa"/>
            <w:tcBorders>
              <w:bottom w:val="single" w:sz="8" w:space="0" w:color="CCEEFF"/>
            </w:tcBorders>
            <w:vAlign w:val="bottom"/>
          </w:tcPr>
          <w:p w14:paraId="34CF6953" w14:textId="77777777" w:rsidR="00D1587D" w:rsidRDefault="00D1587D">
            <w:pPr>
              <w:rPr>
                <w:sz w:val="4"/>
                <w:szCs w:val="4"/>
              </w:rPr>
            </w:pPr>
          </w:p>
        </w:tc>
        <w:tc>
          <w:tcPr>
            <w:tcW w:w="880" w:type="dxa"/>
            <w:tcBorders>
              <w:bottom w:val="single" w:sz="8" w:space="0" w:color="auto"/>
            </w:tcBorders>
            <w:vAlign w:val="bottom"/>
          </w:tcPr>
          <w:p w14:paraId="14085658" w14:textId="77777777" w:rsidR="00D1587D" w:rsidRDefault="00D1587D">
            <w:pPr>
              <w:rPr>
                <w:sz w:val="4"/>
                <w:szCs w:val="4"/>
              </w:rPr>
            </w:pPr>
          </w:p>
        </w:tc>
        <w:tc>
          <w:tcPr>
            <w:tcW w:w="260" w:type="dxa"/>
            <w:tcBorders>
              <w:bottom w:val="single" w:sz="8" w:space="0" w:color="CCEEFF"/>
            </w:tcBorders>
            <w:vAlign w:val="bottom"/>
          </w:tcPr>
          <w:p w14:paraId="1EE5227F" w14:textId="77777777" w:rsidR="00D1587D" w:rsidRDefault="00D1587D">
            <w:pPr>
              <w:rPr>
                <w:sz w:val="4"/>
                <w:szCs w:val="4"/>
              </w:rPr>
            </w:pPr>
          </w:p>
        </w:tc>
        <w:tc>
          <w:tcPr>
            <w:tcW w:w="140" w:type="dxa"/>
            <w:tcBorders>
              <w:bottom w:val="single" w:sz="8" w:space="0" w:color="auto"/>
            </w:tcBorders>
            <w:vAlign w:val="bottom"/>
          </w:tcPr>
          <w:p w14:paraId="57692246" w14:textId="77777777" w:rsidR="00D1587D" w:rsidRDefault="00D1587D">
            <w:pPr>
              <w:rPr>
                <w:sz w:val="4"/>
                <w:szCs w:val="4"/>
              </w:rPr>
            </w:pPr>
          </w:p>
        </w:tc>
        <w:tc>
          <w:tcPr>
            <w:tcW w:w="480" w:type="dxa"/>
            <w:tcBorders>
              <w:bottom w:val="single" w:sz="8" w:space="0" w:color="auto"/>
            </w:tcBorders>
            <w:vAlign w:val="bottom"/>
          </w:tcPr>
          <w:p w14:paraId="7754C3D9" w14:textId="77777777" w:rsidR="00D1587D" w:rsidRDefault="00D1587D">
            <w:pPr>
              <w:rPr>
                <w:sz w:val="4"/>
                <w:szCs w:val="4"/>
              </w:rPr>
            </w:pPr>
          </w:p>
        </w:tc>
        <w:tc>
          <w:tcPr>
            <w:tcW w:w="240" w:type="dxa"/>
            <w:tcBorders>
              <w:bottom w:val="single" w:sz="8" w:space="0" w:color="CCEEFF"/>
            </w:tcBorders>
            <w:vAlign w:val="bottom"/>
          </w:tcPr>
          <w:p w14:paraId="09EA55AB" w14:textId="77777777" w:rsidR="00D1587D" w:rsidRDefault="00D1587D">
            <w:pPr>
              <w:rPr>
                <w:sz w:val="4"/>
                <w:szCs w:val="4"/>
              </w:rPr>
            </w:pPr>
          </w:p>
        </w:tc>
        <w:tc>
          <w:tcPr>
            <w:tcW w:w="580" w:type="dxa"/>
            <w:tcBorders>
              <w:bottom w:val="single" w:sz="8" w:space="0" w:color="auto"/>
            </w:tcBorders>
            <w:vAlign w:val="bottom"/>
          </w:tcPr>
          <w:p w14:paraId="7DE54215" w14:textId="77777777" w:rsidR="00D1587D" w:rsidRDefault="00D1587D">
            <w:pPr>
              <w:rPr>
                <w:sz w:val="4"/>
                <w:szCs w:val="4"/>
              </w:rPr>
            </w:pPr>
          </w:p>
        </w:tc>
        <w:tc>
          <w:tcPr>
            <w:tcW w:w="0" w:type="dxa"/>
            <w:vAlign w:val="bottom"/>
          </w:tcPr>
          <w:p w14:paraId="5F250BF9" w14:textId="77777777" w:rsidR="00D1587D" w:rsidRDefault="00D1587D">
            <w:pPr>
              <w:rPr>
                <w:sz w:val="1"/>
                <w:szCs w:val="1"/>
              </w:rPr>
            </w:pPr>
          </w:p>
        </w:tc>
      </w:tr>
      <w:tr w:rsidR="00D1587D" w14:paraId="7EECA6FA" w14:textId="77777777">
        <w:trPr>
          <w:trHeight w:val="243"/>
        </w:trPr>
        <w:tc>
          <w:tcPr>
            <w:tcW w:w="20" w:type="dxa"/>
            <w:vAlign w:val="bottom"/>
          </w:tcPr>
          <w:p w14:paraId="3487EED4" w14:textId="77777777" w:rsidR="00D1587D" w:rsidRDefault="00D1587D">
            <w:pPr>
              <w:rPr>
                <w:sz w:val="21"/>
                <w:szCs w:val="21"/>
              </w:rPr>
            </w:pPr>
          </w:p>
        </w:tc>
        <w:tc>
          <w:tcPr>
            <w:tcW w:w="2320" w:type="dxa"/>
            <w:tcBorders>
              <w:bottom w:val="single" w:sz="8" w:space="0" w:color="CCEEFF"/>
            </w:tcBorders>
            <w:shd w:val="clear" w:color="auto" w:fill="CCEEFF"/>
            <w:vAlign w:val="bottom"/>
          </w:tcPr>
          <w:p w14:paraId="5DE210CF" w14:textId="77777777" w:rsidR="00D1587D" w:rsidRDefault="00410D07">
            <w:pPr>
              <w:rPr>
                <w:sz w:val="20"/>
                <w:szCs w:val="20"/>
              </w:rPr>
            </w:pPr>
            <w:r>
              <w:rPr>
                <w:rFonts w:ascii="Arial" w:eastAsia="Arial" w:hAnsi="Arial" w:cs="Arial"/>
                <w:sz w:val="14"/>
                <w:szCs w:val="14"/>
              </w:rPr>
              <w:t>Mr. Waters</w:t>
            </w:r>
          </w:p>
        </w:tc>
        <w:tc>
          <w:tcPr>
            <w:tcW w:w="2100" w:type="dxa"/>
            <w:gridSpan w:val="2"/>
            <w:tcBorders>
              <w:bottom w:val="single" w:sz="8" w:space="0" w:color="CCEEFF"/>
            </w:tcBorders>
            <w:shd w:val="clear" w:color="auto" w:fill="CCEEFF"/>
            <w:vAlign w:val="bottom"/>
          </w:tcPr>
          <w:p w14:paraId="44ABAE37" w14:textId="77777777" w:rsidR="00D1587D" w:rsidRDefault="00410D07">
            <w:pPr>
              <w:ind w:left="1308"/>
              <w:jc w:val="center"/>
              <w:rPr>
                <w:sz w:val="20"/>
                <w:szCs w:val="20"/>
              </w:rPr>
            </w:pPr>
            <w:r>
              <w:rPr>
                <w:rFonts w:ascii="Arial" w:eastAsia="Arial" w:hAnsi="Arial" w:cs="Arial"/>
                <w:w w:val="93"/>
                <w:sz w:val="14"/>
                <w:szCs w:val="14"/>
              </w:rPr>
              <w:t>$3,700</w:t>
            </w:r>
          </w:p>
        </w:tc>
        <w:tc>
          <w:tcPr>
            <w:tcW w:w="1100" w:type="dxa"/>
            <w:gridSpan w:val="2"/>
            <w:tcBorders>
              <w:bottom w:val="single" w:sz="8" w:space="0" w:color="CCEEFF"/>
            </w:tcBorders>
            <w:shd w:val="clear" w:color="auto" w:fill="CCEEFF"/>
            <w:vAlign w:val="bottom"/>
          </w:tcPr>
          <w:p w14:paraId="094745BB" w14:textId="77777777" w:rsidR="00D1587D" w:rsidRDefault="00410D07">
            <w:pPr>
              <w:ind w:right="168"/>
              <w:jc w:val="right"/>
              <w:rPr>
                <w:sz w:val="20"/>
                <w:szCs w:val="20"/>
              </w:rPr>
            </w:pPr>
            <w:r>
              <w:rPr>
                <w:rFonts w:ascii="Arial" w:eastAsia="Arial" w:hAnsi="Arial" w:cs="Arial"/>
                <w:sz w:val="14"/>
                <w:szCs w:val="14"/>
              </w:rPr>
              <w:t>$2,123</w:t>
            </w:r>
          </w:p>
        </w:tc>
        <w:tc>
          <w:tcPr>
            <w:tcW w:w="240" w:type="dxa"/>
            <w:tcBorders>
              <w:bottom w:val="single" w:sz="8" w:space="0" w:color="CCEEFF"/>
            </w:tcBorders>
            <w:shd w:val="clear" w:color="auto" w:fill="CCEEFF"/>
            <w:vAlign w:val="bottom"/>
          </w:tcPr>
          <w:p w14:paraId="0E4AD0EE" w14:textId="77777777" w:rsidR="00D1587D" w:rsidRDefault="00D1587D">
            <w:pPr>
              <w:rPr>
                <w:sz w:val="21"/>
                <w:szCs w:val="21"/>
              </w:rPr>
            </w:pPr>
          </w:p>
        </w:tc>
        <w:tc>
          <w:tcPr>
            <w:tcW w:w="880" w:type="dxa"/>
            <w:tcBorders>
              <w:bottom w:val="single" w:sz="8" w:space="0" w:color="CCEEFF"/>
            </w:tcBorders>
            <w:shd w:val="clear" w:color="auto" w:fill="CCEEFF"/>
            <w:vAlign w:val="bottom"/>
          </w:tcPr>
          <w:p w14:paraId="673E0490" w14:textId="77777777" w:rsidR="00D1587D" w:rsidRDefault="00410D07">
            <w:pPr>
              <w:ind w:right="108"/>
              <w:jc w:val="right"/>
              <w:rPr>
                <w:sz w:val="20"/>
                <w:szCs w:val="20"/>
              </w:rPr>
            </w:pPr>
            <w:r>
              <w:rPr>
                <w:rFonts w:ascii="Arial" w:eastAsia="Arial" w:hAnsi="Arial" w:cs="Arial"/>
                <w:sz w:val="14"/>
                <w:szCs w:val="14"/>
              </w:rPr>
              <w:t>$275,377</w:t>
            </w:r>
          </w:p>
        </w:tc>
        <w:tc>
          <w:tcPr>
            <w:tcW w:w="260" w:type="dxa"/>
            <w:tcBorders>
              <w:bottom w:val="single" w:sz="8" w:space="0" w:color="CCEEFF"/>
            </w:tcBorders>
            <w:shd w:val="clear" w:color="auto" w:fill="CCEEFF"/>
            <w:vAlign w:val="bottom"/>
          </w:tcPr>
          <w:p w14:paraId="5141FACD" w14:textId="77777777" w:rsidR="00D1587D" w:rsidRDefault="00D1587D">
            <w:pPr>
              <w:rPr>
                <w:sz w:val="21"/>
                <w:szCs w:val="21"/>
              </w:rPr>
            </w:pPr>
          </w:p>
        </w:tc>
        <w:tc>
          <w:tcPr>
            <w:tcW w:w="140" w:type="dxa"/>
            <w:tcBorders>
              <w:bottom w:val="single" w:sz="8" w:space="0" w:color="CCEEFF"/>
            </w:tcBorders>
            <w:shd w:val="clear" w:color="auto" w:fill="CCEEFF"/>
            <w:vAlign w:val="bottom"/>
          </w:tcPr>
          <w:p w14:paraId="6B3F794A" w14:textId="77777777" w:rsidR="00D1587D" w:rsidRDefault="00410D07">
            <w:pPr>
              <w:jc w:val="right"/>
              <w:rPr>
                <w:sz w:val="20"/>
                <w:szCs w:val="20"/>
              </w:rPr>
            </w:pPr>
            <w:r>
              <w:rPr>
                <w:rFonts w:ascii="Arial" w:eastAsia="Arial" w:hAnsi="Arial" w:cs="Arial"/>
                <w:sz w:val="14"/>
                <w:szCs w:val="14"/>
              </w:rPr>
              <w:t>$</w:t>
            </w:r>
          </w:p>
        </w:tc>
        <w:tc>
          <w:tcPr>
            <w:tcW w:w="480" w:type="dxa"/>
            <w:tcBorders>
              <w:bottom w:val="single" w:sz="8" w:space="0" w:color="CCEEFF"/>
            </w:tcBorders>
            <w:shd w:val="clear" w:color="auto" w:fill="CCEEFF"/>
            <w:vAlign w:val="bottom"/>
          </w:tcPr>
          <w:p w14:paraId="7D1CFE85" w14:textId="77777777" w:rsidR="00D1587D" w:rsidRDefault="00410D07">
            <w:pPr>
              <w:jc w:val="right"/>
              <w:rPr>
                <w:sz w:val="20"/>
                <w:szCs w:val="20"/>
              </w:rPr>
            </w:pPr>
            <w:r>
              <w:rPr>
                <w:rFonts w:ascii="Arial" w:eastAsia="Arial" w:hAnsi="Arial" w:cs="Arial"/>
                <w:sz w:val="14"/>
                <w:szCs w:val="14"/>
              </w:rPr>
              <w:t>—</w:t>
            </w:r>
          </w:p>
        </w:tc>
        <w:tc>
          <w:tcPr>
            <w:tcW w:w="820" w:type="dxa"/>
            <w:gridSpan w:val="2"/>
            <w:tcBorders>
              <w:bottom w:val="single" w:sz="8" w:space="0" w:color="CCEEFF"/>
            </w:tcBorders>
            <w:shd w:val="clear" w:color="auto" w:fill="CCEEFF"/>
            <w:vAlign w:val="bottom"/>
          </w:tcPr>
          <w:p w14:paraId="5C5D3138" w14:textId="77777777" w:rsidR="00D1587D" w:rsidRDefault="00410D07">
            <w:pPr>
              <w:jc w:val="right"/>
              <w:rPr>
                <w:sz w:val="20"/>
                <w:szCs w:val="20"/>
              </w:rPr>
            </w:pPr>
            <w:r>
              <w:rPr>
                <w:rFonts w:ascii="Arial" w:eastAsia="Arial" w:hAnsi="Arial" w:cs="Arial"/>
                <w:sz w:val="14"/>
                <w:szCs w:val="14"/>
              </w:rPr>
              <w:t>$281,200</w:t>
            </w:r>
          </w:p>
        </w:tc>
        <w:tc>
          <w:tcPr>
            <w:tcW w:w="0" w:type="dxa"/>
            <w:vAlign w:val="bottom"/>
          </w:tcPr>
          <w:p w14:paraId="7E3629C0" w14:textId="77777777" w:rsidR="00D1587D" w:rsidRDefault="00D1587D">
            <w:pPr>
              <w:rPr>
                <w:sz w:val="1"/>
                <w:szCs w:val="1"/>
              </w:rPr>
            </w:pPr>
          </w:p>
        </w:tc>
      </w:tr>
      <w:tr w:rsidR="00D1587D" w14:paraId="1EBF66E0" w14:textId="77777777">
        <w:trPr>
          <w:trHeight w:val="217"/>
        </w:trPr>
        <w:tc>
          <w:tcPr>
            <w:tcW w:w="2340" w:type="dxa"/>
            <w:gridSpan w:val="2"/>
            <w:vAlign w:val="bottom"/>
          </w:tcPr>
          <w:p w14:paraId="57CECB51" w14:textId="77777777" w:rsidR="00D1587D" w:rsidRDefault="00410D07">
            <w:pPr>
              <w:rPr>
                <w:sz w:val="20"/>
                <w:szCs w:val="20"/>
              </w:rPr>
            </w:pPr>
            <w:r>
              <w:rPr>
                <w:rFonts w:ascii="Arial" w:eastAsia="Arial" w:hAnsi="Arial" w:cs="Arial"/>
                <w:sz w:val="14"/>
                <w:szCs w:val="14"/>
              </w:rPr>
              <w:t>Ms. Hauk</w:t>
            </w:r>
          </w:p>
        </w:tc>
        <w:tc>
          <w:tcPr>
            <w:tcW w:w="1380" w:type="dxa"/>
            <w:vAlign w:val="bottom"/>
          </w:tcPr>
          <w:p w14:paraId="335ABE10" w14:textId="77777777" w:rsidR="00D1587D" w:rsidRDefault="00D1587D">
            <w:pPr>
              <w:rPr>
                <w:sz w:val="18"/>
                <w:szCs w:val="18"/>
              </w:rPr>
            </w:pPr>
          </w:p>
        </w:tc>
        <w:tc>
          <w:tcPr>
            <w:tcW w:w="720" w:type="dxa"/>
            <w:vAlign w:val="bottom"/>
          </w:tcPr>
          <w:p w14:paraId="3B3A4B46" w14:textId="77777777" w:rsidR="00D1587D" w:rsidRDefault="00410D07">
            <w:pPr>
              <w:ind w:left="400"/>
              <w:rPr>
                <w:sz w:val="20"/>
                <w:szCs w:val="20"/>
              </w:rPr>
            </w:pPr>
            <w:r>
              <w:rPr>
                <w:rFonts w:ascii="Arial" w:eastAsia="Arial" w:hAnsi="Arial" w:cs="Arial"/>
                <w:sz w:val="14"/>
                <w:szCs w:val="14"/>
              </w:rPr>
              <w:t>—</w:t>
            </w:r>
          </w:p>
        </w:tc>
        <w:tc>
          <w:tcPr>
            <w:tcW w:w="1100" w:type="dxa"/>
            <w:gridSpan w:val="2"/>
            <w:vAlign w:val="bottom"/>
          </w:tcPr>
          <w:p w14:paraId="46667FA4" w14:textId="77777777" w:rsidR="00D1587D" w:rsidRDefault="00410D07">
            <w:pPr>
              <w:ind w:right="168"/>
              <w:jc w:val="right"/>
              <w:rPr>
                <w:sz w:val="20"/>
                <w:szCs w:val="20"/>
              </w:rPr>
            </w:pPr>
            <w:r>
              <w:rPr>
                <w:rFonts w:ascii="Arial" w:eastAsia="Arial" w:hAnsi="Arial" w:cs="Arial"/>
                <w:sz w:val="14"/>
                <w:szCs w:val="14"/>
              </w:rPr>
              <w:t>2,113</w:t>
            </w:r>
          </w:p>
        </w:tc>
        <w:tc>
          <w:tcPr>
            <w:tcW w:w="240" w:type="dxa"/>
            <w:vAlign w:val="bottom"/>
          </w:tcPr>
          <w:p w14:paraId="653B8DCB" w14:textId="77777777" w:rsidR="00D1587D" w:rsidRDefault="00D1587D">
            <w:pPr>
              <w:rPr>
                <w:sz w:val="18"/>
                <w:szCs w:val="18"/>
              </w:rPr>
            </w:pPr>
          </w:p>
        </w:tc>
        <w:tc>
          <w:tcPr>
            <w:tcW w:w="880" w:type="dxa"/>
            <w:vAlign w:val="bottom"/>
          </w:tcPr>
          <w:p w14:paraId="38BB8F12" w14:textId="77777777" w:rsidR="00D1587D" w:rsidRDefault="00410D07">
            <w:pPr>
              <w:ind w:right="108"/>
              <w:jc w:val="right"/>
              <w:rPr>
                <w:sz w:val="20"/>
                <w:szCs w:val="20"/>
              </w:rPr>
            </w:pPr>
            <w:r>
              <w:rPr>
                <w:rFonts w:ascii="Arial" w:eastAsia="Arial" w:hAnsi="Arial" w:cs="Arial"/>
                <w:sz w:val="14"/>
                <w:szCs w:val="14"/>
              </w:rPr>
              <w:t>232,484</w:t>
            </w:r>
          </w:p>
        </w:tc>
        <w:tc>
          <w:tcPr>
            <w:tcW w:w="260" w:type="dxa"/>
            <w:vAlign w:val="bottom"/>
          </w:tcPr>
          <w:p w14:paraId="0E6C75B7" w14:textId="77777777" w:rsidR="00D1587D" w:rsidRDefault="00D1587D">
            <w:pPr>
              <w:rPr>
                <w:sz w:val="18"/>
                <w:szCs w:val="18"/>
              </w:rPr>
            </w:pPr>
          </w:p>
        </w:tc>
        <w:tc>
          <w:tcPr>
            <w:tcW w:w="140" w:type="dxa"/>
            <w:vAlign w:val="bottom"/>
          </w:tcPr>
          <w:p w14:paraId="71ECAE97" w14:textId="77777777" w:rsidR="00D1587D" w:rsidRDefault="00D1587D">
            <w:pPr>
              <w:rPr>
                <w:sz w:val="18"/>
                <w:szCs w:val="18"/>
              </w:rPr>
            </w:pPr>
          </w:p>
        </w:tc>
        <w:tc>
          <w:tcPr>
            <w:tcW w:w="480" w:type="dxa"/>
            <w:vAlign w:val="bottom"/>
          </w:tcPr>
          <w:p w14:paraId="1FF2D124" w14:textId="77777777" w:rsidR="00D1587D" w:rsidRDefault="00410D07">
            <w:pPr>
              <w:jc w:val="right"/>
              <w:rPr>
                <w:sz w:val="20"/>
                <w:szCs w:val="20"/>
              </w:rPr>
            </w:pPr>
            <w:r>
              <w:rPr>
                <w:rFonts w:ascii="Arial" w:eastAsia="Arial" w:hAnsi="Arial" w:cs="Arial"/>
                <w:sz w:val="14"/>
                <w:szCs w:val="14"/>
              </w:rPr>
              <w:t>—</w:t>
            </w:r>
          </w:p>
        </w:tc>
        <w:tc>
          <w:tcPr>
            <w:tcW w:w="820" w:type="dxa"/>
            <w:gridSpan w:val="2"/>
            <w:vAlign w:val="bottom"/>
          </w:tcPr>
          <w:p w14:paraId="414E1657" w14:textId="77777777" w:rsidR="00D1587D" w:rsidRDefault="00410D07">
            <w:pPr>
              <w:jc w:val="right"/>
              <w:rPr>
                <w:sz w:val="20"/>
                <w:szCs w:val="20"/>
              </w:rPr>
            </w:pPr>
            <w:r>
              <w:rPr>
                <w:rFonts w:ascii="Arial" w:eastAsia="Arial" w:hAnsi="Arial" w:cs="Arial"/>
                <w:sz w:val="14"/>
                <w:szCs w:val="14"/>
              </w:rPr>
              <w:t>234,597</w:t>
            </w:r>
          </w:p>
        </w:tc>
        <w:tc>
          <w:tcPr>
            <w:tcW w:w="0" w:type="dxa"/>
            <w:vAlign w:val="bottom"/>
          </w:tcPr>
          <w:p w14:paraId="6BBBCD49" w14:textId="77777777" w:rsidR="00D1587D" w:rsidRDefault="00D1587D">
            <w:pPr>
              <w:rPr>
                <w:sz w:val="1"/>
                <w:szCs w:val="1"/>
              </w:rPr>
            </w:pPr>
          </w:p>
        </w:tc>
      </w:tr>
      <w:tr w:rsidR="00D1587D" w14:paraId="19562298" w14:textId="77777777">
        <w:trPr>
          <w:trHeight w:val="39"/>
        </w:trPr>
        <w:tc>
          <w:tcPr>
            <w:tcW w:w="2340" w:type="dxa"/>
            <w:gridSpan w:val="2"/>
            <w:vAlign w:val="bottom"/>
          </w:tcPr>
          <w:p w14:paraId="2FDA74DF" w14:textId="77777777" w:rsidR="00D1587D" w:rsidRDefault="00D1587D">
            <w:pPr>
              <w:rPr>
                <w:sz w:val="3"/>
                <w:szCs w:val="3"/>
              </w:rPr>
            </w:pPr>
          </w:p>
        </w:tc>
        <w:tc>
          <w:tcPr>
            <w:tcW w:w="1380" w:type="dxa"/>
            <w:vAlign w:val="bottom"/>
          </w:tcPr>
          <w:p w14:paraId="6AC24C27" w14:textId="77777777" w:rsidR="00D1587D" w:rsidRDefault="00D1587D">
            <w:pPr>
              <w:rPr>
                <w:sz w:val="3"/>
                <w:szCs w:val="3"/>
              </w:rPr>
            </w:pPr>
          </w:p>
        </w:tc>
        <w:tc>
          <w:tcPr>
            <w:tcW w:w="720" w:type="dxa"/>
            <w:vAlign w:val="bottom"/>
          </w:tcPr>
          <w:p w14:paraId="3AF05666" w14:textId="77777777" w:rsidR="00D1587D" w:rsidRDefault="00D1587D">
            <w:pPr>
              <w:rPr>
                <w:sz w:val="3"/>
                <w:szCs w:val="3"/>
              </w:rPr>
            </w:pPr>
          </w:p>
        </w:tc>
        <w:tc>
          <w:tcPr>
            <w:tcW w:w="240" w:type="dxa"/>
            <w:vAlign w:val="bottom"/>
          </w:tcPr>
          <w:p w14:paraId="312F65EA" w14:textId="77777777" w:rsidR="00D1587D" w:rsidRDefault="00D1587D">
            <w:pPr>
              <w:rPr>
                <w:sz w:val="3"/>
                <w:szCs w:val="3"/>
              </w:rPr>
            </w:pPr>
          </w:p>
        </w:tc>
        <w:tc>
          <w:tcPr>
            <w:tcW w:w="860" w:type="dxa"/>
            <w:vAlign w:val="bottom"/>
          </w:tcPr>
          <w:p w14:paraId="02659A34" w14:textId="77777777" w:rsidR="00D1587D" w:rsidRDefault="00D1587D">
            <w:pPr>
              <w:rPr>
                <w:sz w:val="3"/>
                <w:szCs w:val="3"/>
              </w:rPr>
            </w:pPr>
          </w:p>
        </w:tc>
        <w:tc>
          <w:tcPr>
            <w:tcW w:w="240" w:type="dxa"/>
            <w:vAlign w:val="bottom"/>
          </w:tcPr>
          <w:p w14:paraId="0ED9685A" w14:textId="77777777" w:rsidR="00D1587D" w:rsidRDefault="00D1587D">
            <w:pPr>
              <w:rPr>
                <w:sz w:val="3"/>
                <w:szCs w:val="3"/>
              </w:rPr>
            </w:pPr>
          </w:p>
        </w:tc>
        <w:tc>
          <w:tcPr>
            <w:tcW w:w="880" w:type="dxa"/>
            <w:vAlign w:val="bottom"/>
          </w:tcPr>
          <w:p w14:paraId="458505A9" w14:textId="77777777" w:rsidR="00D1587D" w:rsidRDefault="00D1587D">
            <w:pPr>
              <w:rPr>
                <w:sz w:val="3"/>
                <w:szCs w:val="3"/>
              </w:rPr>
            </w:pPr>
          </w:p>
        </w:tc>
        <w:tc>
          <w:tcPr>
            <w:tcW w:w="260" w:type="dxa"/>
            <w:vAlign w:val="bottom"/>
          </w:tcPr>
          <w:p w14:paraId="1B370162" w14:textId="77777777" w:rsidR="00D1587D" w:rsidRDefault="00D1587D">
            <w:pPr>
              <w:rPr>
                <w:sz w:val="3"/>
                <w:szCs w:val="3"/>
              </w:rPr>
            </w:pPr>
          </w:p>
        </w:tc>
        <w:tc>
          <w:tcPr>
            <w:tcW w:w="140" w:type="dxa"/>
            <w:vAlign w:val="bottom"/>
          </w:tcPr>
          <w:p w14:paraId="283CD00A" w14:textId="77777777" w:rsidR="00D1587D" w:rsidRDefault="00D1587D">
            <w:pPr>
              <w:rPr>
                <w:sz w:val="3"/>
                <w:szCs w:val="3"/>
              </w:rPr>
            </w:pPr>
          </w:p>
        </w:tc>
        <w:tc>
          <w:tcPr>
            <w:tcW w:w="480" w:type="dxa"/>
            <w:vAlign w:val="bottom"/>
          </w:tcPr>
          <w:p w14:paraId="4005D564" w14:textId="77777777" w:rsidR="00D1587D" w:rsidRDefault="00D1587D">
            <w:pPr>
              <w:rPr>
                <w:sz w:val="3"/>
                <w:szCs w:val="3"/>
              </w:rPr>
            </w:pPr>
          </w:p>
        </w:tc>
        <w:tc>
          <w:tcPr>
            <w:tcW w:w="240" w:type="dxa"/>
            <w:vAlign w:val="bottom"/>
          </w:tcPr>
          <w:p w14:paraId="3AD83B4A" w14:textId="77777777" w:rsidR="00D1587D" w:rsidRDefault="00D1587D">
            <w:pPr>
              <w:rPr>
                <w:sz w:val="3"/>
                <w:szCs w:val="3"/>
              </w:rPr>
            </w:pPr>
          </w:p>
        </w:tc>
        <w:tc>
          <w:tcPr>
            <w:tcW w:w="580" w:type="dxa"/>
            <w:vAlign w:val="bottom"/>
          </w:tcPr>
          <w:p w14:paraId="1467572F" w14:textId="77777777" w:rsidR="00D1587D" w:rsidRDefault="00D1587D">
            <w:pPr>
              <w:rPr>
                <w:sz w:val="3"/>
                <w:szCs w:val="3"/>
              </w:rPr>
            </w:pPr>
          </w:p>
        </w:tc>
        <w:tc>
          <w:tcPr>
            <w:tcW w:w="0" w:type="dxa"/>
            <w:vAlign w:val="bottom"/>
          </w:tcPr>
          <w:p w14:paraId="5B885C9F" w14:textId="77777777" w:rsidR="00D1587D" w:rsidRDefault="00D1587D">
            <w:pPr>
              <w:spacing w:line="20" w:lineRule="exact"/>
              <w:rPr>
                <w:sz w:val="1"/>
                <w:szCs w:val="1"/>
              </w:rPr>
            </w:pPr>
          </w:p>
        </w:tc>
      </w:tr>
      <w:tr w:rsidR="00D1587D" w14:paraId="265E7167" w14:textId="77777777">
        <w:trPr>
          <w:trHeight w:val="236"/>
        </w:trPr>
        <w:tc>
          <w:tcPr>
            <w:tcW w:w="20" w:type="dxa"/>
            <w:vAlign w:val="bottom"/>
          </w:tcPr>
          <w:p w14:paraId="1879EB1A" w14:textId="77777777" w:rsidR="00D1587D" w:rsidRDefault="00D1587D">
            <w:pPr>
              <w:rPr>
                <w:sz w:val="20"/>
                <w:szCs w:val="20"/>
              </w:rPr>
            </w:pPr>
          </w:p>
        </w:tc>
        <w:tc>
          <w:tcPr>
            <w:tcW w:w="2320" w:type="dxa"/>
            <w:tcBorders>
              <w:bottom w:val="single" w:sz="8" w:space="0" w:color="CCEEFF"/>
            </w:tcBorders>
            <w:shd w:val="clear" w:color="auto" w:fill="CCEEFF"/>
            <w:vAlign w:val="bottom"/>
          </w:tcPr>
          <w:p w14:paraId="183CFBAC" w14:textId="77777777" w:rsidR="00D1587D" w:rsidRDefault="00410D07">
            <w:pPr>
              <w:rPr>
                <w:sz w:val="20"/>
                <w:szCs w:val="20"/>
              </w:rPr>
            </w:pPr>
            <w:r>
              <w:rPr>
                <w:rFonts w:ascii="Arial" w:eastAsia="Arial" w:hAnsi="Arial" w:cs="Arial"/>
                <w:sz w:val="14"/>
                <w:szCs w:val="14"/>
              </w:rPr>
              <w:t>Mr. Unis</w:t>
            </w:r>
          </w:p>
        </w:tc>
        <w:tc>
          <w:tcPr>
            <w:tcW w:w="1380" w:type="dxa"/>
            <w:tcBorders>
              <w:bottom w:val="single" w:sz="8" w:space="0" w:color="CCEEFF"/>
            </w:tcBorders>
            <w:shd w:val="clear" w:color="auto" w:fill="CCEEFF"/>
            <w:vAlign w:val="bottom"/>
          </w:tcPr>
          <w:p w14:paraId="768FA3F0" w14:textId="77777777" w:rsidR="00D1587D" w:rsidRDefault="00D1587D">
            <w:pPr>
              <w:rPr>
                <w:sz w:val="20"/>
                <w:szCs w:val="20"/>
              </w:rPr>
            </w:pPr>
          </w:p>
        </w:tc>
        <w:tc>
          <w:tcPr>
            <w:tcW w:w="720" w:type="dxa"/>
            <w:tcBorders>
              <w:bottom w:val="single" w:sz="8" w:space="0" w:color="CCEEFF"/>
            </w:tcBorders>
            <w:shd w:val="clear" w:color="auto" w:fill="CCEEFF"/>
            <w:vAlign w:val="bottom"/>
          </w:tcPr>
          <w:p w14:paraId="7F911FB3" w14:textId="77777777" w:rsidR="00D1587D" w:rsidRDefault="00410D07">
            <w:pPr>
              <w:ind w:left="400"/>
              <w:rPr>
                <w:sz w:val="20"/>
                <w:szCs w:val="20"/>
              </w:rPr>
            </w:pPr>
            <w:r>
              <w:rPr>
                <w:rFonts w:ascii="Arial" w:eastAsia="Arial" w:hAnsi="Arial" w:cs="Arial"/>
                <w:sz w:val="14"/>
                <w:szCs w:val="14"/>
              </w:rPr>
              <w:t>—</w:t>
            </w:r>
          </w:p>
        </w:tc>
        <w:tc>
          <w:tcPr>
            <w:tcW w:w="1100" w:type="dxa"/>
            <w:gridSpan w:val="2"/>
            <w:tcBorders>
              <w:bottom w:val="single" w:sz="8" w:space="0" w:color="CCEEFF"/>
            </w:tcBorders>
            <w:shd w:val="clear" w:color="auto" w:fill="CCEEFF"/>
            <w:vAlign w:val="bottom"/>
          </w:tcPr>
          <w:p w14:paraId="7D7A1D6B" w14:textId="77777777" w:rsidR="00D1587D" w:rsidRDefault="00410D07">
            <w:pPr>
              <w:ind w:right="168"/>
              <w:jc w:val="right"/>
              <w:rPr>
                <w:sz w:val="20"/>
                <w:szCs w:val="20"/>
              </w:rPr>
            </w:pPr>
            <w:r>
              <w:rPr>
                <w:rFonts w:ascii="Arial" w:eastAsia="Arial" w:hAnsi="Arial" w:cs="Arial"/>
                <w:sz w:val="14"/>
                <w:szCs w:val="14"/>
              </w:rPr>
              <w:t>2,080</w:t>
            </w:r>
          </w:p>
        </w:tc>
        <w:tc>
          <w:tcPr>
            <w:tcW w:w="240" w:type="dxa"/>
            <w:tcBorders>
              <w:bottom w:val="single" w:sz="8" w:space="0" w:color="CCEEFF"/>
            </w:tcBorders>
            <w:shd w:val="clear" w:color="auto" w:fill="CCEEFF"/>
            <w:vAlign w:val="bottom"/>
          </w:tcPr>
          <w:p w14:paraId="50C79AC4" w14:textId="77777777" w:rsidR="00D1587D" w:rsidRDefault="00D1587D">
            <w:pPr>
              <w:rPr>
                <w:sz w:val="20"/>
                <w:szCs w:val="20"/>
              </w:rPr>
            </w:pPr>
          </w:p>
        </w:tc>
        <w:tc>
          <w:tcPr>
            <w:tcW w:w="880" w:type="dxa"/>
            <w:tcBorders>
              <w:bottom w:val="single" w:sz="8" w:space="0" w:color="CCEEFF"/>
            </w:tcBorders>
            <w:shd w:val="clear" w:color="auto" w:fill="CCEEFF"/>
            <w:vAlign w:val="bottom"/>
          </w:tcPr>
          <w:p w14:paraId="148925A6" w14:textId="77777777" w:rsidR="00D1587D" w:rsidRDefault="00410D07">
            <w:pPr>
              <w:ind w:right="108"/>
              <w:jc w:val="right"/>
              <w:rPr>
                <w:sz w:val="20"/>
                <w:szCs w:val="20"/>
              </w:rPr>
            </w:pPr>
            <w:r>
              <w:rPr>
                <w:rFonts w:ascii="Arial" w:eastAsia="Arial" w:hAnsi="Arial" w:cs="Arial"/>
                <w:sz w:val="14"/>
                <w:szCs w:val="14"/>
              </w:rPr>
              <w:t>222,353</w:t>
            </w:r>
          </w:p>
        </w:tc>
        <w:tc>
          <w:tcPr>
            <w:tcW w:w="260" w:type="dxa"/>
            <w:tcBorders>
              <w:bottom w:val="single" w:sz="8" w:space="0" w:color="CCEEFF"/>
            </w:tcBorders>
            <w:shd w:val="clear" w:color="auto" w:fill="CCEEFF"/>
            <w:vAlign w:val="bottom"/>
          </w:tcPr>
          <w:p w14:paraId="6C761FFA" w14:textId="77777777" w:rsidR="00D1587D" w:rsidRDefault="00D1587D">
            <w:pPr>
              <w:rPr>
                <w:sz w:val="20"/>
                <w:szCs w:val="20"/>
              </w:rPr>
            </w:pPr>
          </w:p>
        </w:tc>
        <w:tc>
          <w:tcPr>
            <w:tcW w:w="140" w:type="dxa"/>
            <w:tcBorders>
              <w:bottom w:val="single" w:sz="8" w:space="0" w:color="CCEEFF"/>
            </w:tcBorders>
            <w:shd w:val="clear" w:color="auto" w:fill="CCEEFF"/>
            <w:vAlign w:val="bottom"/>
          </w:tcPr>
          <w:p w14:paraId="0AB5AF63" w14:textId="77777777" w:rsidR="00D1587D" w:rsidRDefault="00D1587D">
            <w:pPr>
              <w:rPr>
                <w:sz w:val="20"/>
                <w:szCs w:val="20"/>
              </w:rPr>
            </w:pPr>
          </w:p>
        </w:tc>
        <w:tc>
          <w:tcPr>
            <w:tcW w:w="480" w:type="dxa"/>
            <w:tcBorders>
              <w:bottom w:val="single" w:sz="8" w:space="0" w:color="CCEEFF"/>
            </w:tcBorders>
            <w:shd w:val="clear" w:color="auto" w:fill="CCEEFF"/>
            <w:vAlign w:val="bottom"/>
          </w:tcPr>
          <w:p w14:paraId="77161C4A" w14:textId="77777777" w:rsidR="00D1587D" w:rsidRDefault="00410D07">
            <w:pPr>
              <w:jc w:val="right"/>
              <w:rPr>
                <w:sz w:val="20"/>
                <w:szCs w:val="20"/>
              </w:rPr>
            </w:pPr>
            <w:r>
              <w:rPr>
                <w:rFonts w:ascii="Arial" w:eastAsia="Arial" w:hAnsi="Arial" w:cs="Arial"/>
                <w:sz w:val="14"/>
                <w:szCs w:val="14"/>
              </w:rPr>
              <w:t>—</w:t>
            </w:r>
          </w:p>
        </w:tc>
        <w:tc>
          <w:tcPr>
            <w:tcW w:w="820" w:type="dxa"/>
            <w:gridSpan w:val="2"/>
            <w:tcBorders>
              <w:bottom w:val="single" w:sz="8" w:space="0" w:color="CCEEFF"/>
            </w:tcBorders>
            <w:shd w:val="clear" w:color="auto" w:fill="CCEEFF"/>
            <w:vAlign w:val="bottom"/>
          </w:tcPr>
          <w:p w14:paraId="26482CFC" w14:textId="77777777" w:rsidR="00D1587D" w:rsidRDefault="00410D07">
            <w:pPr>
              <w:jc w:val="right"/>
              <w:rPr>
                <w:sz w:val="20"/>
                <w:szCs w:val="20"/>
              </w:rPr>
            </w:pPr>
            <w:r>
              <w:rPr>
                <w:rFonts w:ascii="Arial" w:eastAsia="Arial" w:hAnsi="Arial" w:cs="Arial"/>
                <w:sz w:val="14"/>
                <w:szCs w:val="14"/>
              </w:rPr>
              <w:t>224,433</w:t>
            </w:r>
          </w:p>
        </w:tc>
        <w:tc>
          <w:tcPr>
            <w:tcW w:w="0" w:type="dxa"/>
            <w:vAlign w:val="bottom"/>
          </w:tcPr>
          <w:p w14:paraId="39F27AD1" w14:textId="77777777" w:rsidR="00D1587D" w:rsidRDefault="00D1587D">
            <w:pPr>
              <w:rPr>
                <w:sz w:val="1"/>
                <w:szCs w:val="1"/>
              </w:rPr>
            </w:pPr>
          </w:p>
        </w:tc>
      </w:tr>
      <w:tr w:rsidR="00D1587D" w14:paraId="1727B512" w14:textId="77777777">
        <w:trPr>
          <w:trHeight w:val="218"/>
        </w:trPr>
        <w:tc>
          <w:tcPr>
            <w:tcW w:w="2340" w:type="dxa"/>
            <w:gridSpan w:val="2"/>
            <w:vAlign w:val="bottom"/>
          </w:tcPr>
          <w:p w14:paraId="10314F38" w14:textId="77777777" w:rsidR="00D1587D" w:rsidRDefault="00410D07">
            <w:pPr>
              <w:rPr>
                <w:sz w:val="20"/>
                <w:szCs w:val="20"/>
              </w:rPr>
            </w:pPr>
            <w:r>
              <w:rPr>
                <w:rFonts w:ascii="Arial" w:eastAsia="Arial" w:hAnsi="Arial" w:cs="Arial"/>
                <w:sz w:val="14"/>
                <w:szCs w:val="14"/>
              </w:rPr>
              <w:t>Mr. Burgdoerfer</w:t>
            </w:r>
          </w:p>
        </w:tc>
        <w:tc>
          <w:tcPr>
            <w:tcW w:w="1380" w:type="dxa"/>
            <w:vAlign w:val="bottom"/>
          </w:tcPr>
          <w:p w14:paraId="4EB8BFCE" w14:textId="77777777" w:rsidR="00D1587D" w:rsidRDefault="00D1587D">
            <w:pPr>
              <w:rPr>
                <w:sz w:val="18"/>
                <w:szCs w:val="18"/>
              </w:rPr>
            </w:pPr>
          </w:p>
        </w:tc>
        <w:tc>
          <w:tcPr>
            <w:tcW w:w="720" w:type="dxa"/>
            <w:vAlign w:val="bottom"/>
          </w:tcPr>
          <w:p w14:paraId="20A31EF9" w14:textId="77777777" w:rsidR="00D1587D" w:rsidRDefault="00410D07">
            <w:pPr>
              <w:ind w:left="400"/>
              <w:rPr>
                <w:sz w:val="20"/>
                <w:szCs w:val="20"/>
              </w:rPr>
            </w:pPr>
            <w:r>
              <w:rPr>
                <w:rFonts w:ascii="Arial" w:eastAsia="Arial" w:hAnsi="Arial" w:cs="Arial"/>
                <w:sz w:val="14"/>
                <w:szCs w:val="14"/>
              </w:rPr>
              <w:t>—</w:t>
            </w:r>
          </w:p>
        </w:tc>
        <w:tc>
          <w:tcPr>
            <w:tcW w:w="1100" w:type="dxa"/>
            <w:gridSpan w:val="2"/>
            <w:vAlign w:val="bottom"/>
          </w:tcPr>
          <w:p w14:paraId="2CE807D5" w14:textId="77777777" w:rsidR="00D1587D" w:rsidRDefault="00410D07">
            <w:pPr>
              <w:ind w:right="168"/>
              <w:jc w:val="right"/>
              <w:rPr>
                <w:sz w:val="20"/>
                <w:szCs w:val="20"/>
              </w:rPr>
            </w:pPr>
            <w:r>
              <w:rPr>
                <w:rFonts w:ascii="Arial" w:eastAsia="Arial" w:hAnsi="Arial" w:cs="Arial"/>
                <w:sz w:val="14"/>
                <w:szCs w:val="14"/>
              </w:rPr>
              <w:t>2,664</w:t>
            </w:r>
          </w:p>
        </w:tc>
        <w:tc>
          <w:tcPr>
            <w:tcW w:w="240" w:type="dxa"/>
            <w:vAlign w:val="bottom"/>
          </w:tcPr>
          <w:p w14:paraId="5C8133E5" w14:textId="77777777" w:rsidR="00D1587D" w:rsidRDefault="00D1587D">
            <w:pPr>
              <w:rPr>
                <w:sz w:val="18"/>
                <w:szCs w:val="18"/>
              </w:rPr>
            </w:pPr>
          </w:p>
        </w:tc>
        <w:tc>
          <w:tcPr>
            <w:tcW w:w="880" w:type="dxa"/>
            <w:vAlign w:val="bottom"/>
          </w:tcPr>
          <w:p w14:paraId="63B0B6E6" w14:textId="77777777" w:rsidR="00D1587D" w:rsidRDefault="00410D07">
            <w:pPr>
              <w:ind w:right="108"/>
              <w:jc w:val="right"/>
              <w:rPr>
                <w:sz w:val="20"/>
                <w:szCs w:val="20"/>
              </w:rPr>
            </w:pPr>
            <w:r>
              <w:rPr>
                <w:rFonts w:ascii="Arial" w:eastAsia="Arial" w:hAnsi="Arial" w:cs="Arial"/>
                <w:sz w:val="14"/>
                <w:szCs w:val="14"/>
              </w:rPr>
              <w:t>238,653</w:t>
            </w:r>
          </w:p>
        </w:tc>
        <w:tc>
          <w:tcPr>
            <w:tcW w:w="260" w:type="dxa"/>
            <w:vAlign w:val="bottom"/>
          </w:tcPr>
          <w:p w14:paraId="0D65862D" w14:textId="77777777" w:rsidR="00D1587D" w:rsidRDefault="00D1587D">
            <w:pPr>
              <w:rPr>
                <w:sz w:val="18"/>
                <w:szCs w:val="18"/>
              </w:rPr>
            </w:pPr>
          </w:p>
        </w:tc>
        <w:tc>
          <w:tcPr>
            <w:tcW w:w="140" w:type="dxa"/>
            <w:vAlign w:val="bottom"/>
          </w:tcPr>
          <w:p w14:paraId="0AD9200D" w14:textId="77777777" w:rsidR="00D1587D" w:rsidRDefault="00D1587D">
            <w:pPr>
              <w:rPr>
                <w:sz w:val="18"/>
                <w:szCs w:val="18"/>
              </w:rPr>
            </w:pPr>
          </w:p>
        </w:tc>
        <w:tc>
          <w:tcPr>
            <w:tcW w:w="480" w:type="dxa"/>
            <w:vAlign w:val="bottom"/>
          </w:tcPr>
          <w:p w14:paraId="46AF52F0" w14:textId="77777777" w:rsidR="00D1587D" w:rsidRDefault="00410D07">
            <w:pPr>
              <w:jc w:val="right"/>
              <w:rPr>
                <w:sz w:val="20"/>
                <w:szCs w:val="20"/>
              </w:rPr>
            </w:pPr>
            <w:r>
              <w:rPr>
                <w:rFonts w:ascii="Arial" w:eastAsia="Arial" w:hAnsi="Arial" w:cs="Arial"/>
                <w:sz w:val="14"/>
                <w:szCs w:val="14"/>
              </w:rPr>
              <w:t>—</w:t>
            </w:r>
          </w:p>
        </w:tc>
        <w:tc>
          <w:tcPr>
            <w:tcW w:w="820" w:type="dxa"/>
            <w:gridSpan w:val="2"/>
            <w:vAlign w:val="bottom"/>
          </w:tcPr>
          <w:p w14:paraId="4F0D8E37" w14:textId="77777777" w:rsidR="00D1587D" w:rsidRDefault="00410D07">
            <w:pPr>
              <w:jc w:val="right"/>
              <w:rPr>
                <w:sz w:val="20"/>
                <w:szCs w:val="20"/>
              </w:rPr>
            </w:pPr>
            <w:r>
              <w:rPr>
                <w:rFonts w:ascii="Arial" w:eastAsia="Arial" w:hAnsi="Arial" w:cs="Arial"/>
                <w:sz w:val="14"/>
                <w:szCs w:val="14"/>
              </w:rPr>
              <w:t>241,317</w:t>
            </w:r>
          </w:p>
        </w:tc>
        <w:tc>
          <w:tcPr>
            <w:tcW w:w="0" w:type="dxa"/>
            <w:vAlign w:val="bottom"/>
          </w:tcPr>
          <w:p w14:paraId="5615A354" w14:textId="77777777" w:rsidR="00D1587D" w:rsidRDefault="00D1587D">
            <w:pPr>
              <w:rPr>
                <w:sz w:val="1"/>
                <w:szCs w:val="1"/>
              </w:rPr>
            </w:pPr>
          </w:p>
        </w:tc>
      </w:tr>
      <w:tr w:rsidR="00D1587D" w14:paraId="0EEF71FB" w14:textId="77777777">
        <w:trPr>
          <w:trHeight w:val="39"/>
        </w:trPr>
        <w:tc>
          <w:tcPr>
            <w:tcW w:w="2340" w:type="dxa"/>
            <w:gridSpan w:val="2"/>
            <w:vAlign w:val="bottom"/>
          </w:tcPr>
          <w:p w14:paraId="695A2810" w14:textId="77777777" w:rsidR="00D1587D" w:rsidRDefault="00D1587D">
            <w:pPr>
              <w:rPr>
                <w:sz w:val="3"/>
                <w:szCs w:val="3"/>
              </w:rPr>
            </w:pPr>
          </w:p>
        </w:tc>
        <w:tc>
          <w:tcPr>
            <w:tcW w:w="1380" w:type="dxa"/>
            <w:vAlign w:val="bottom"/>
          </w:tcPr>
          <w:p w14:paraId="42BFD451" w14:textId="77777777" w:rsidR="00D1587D" w:rsidRDefault="00D1587D">
            <w:pPr>
              <w:rPr>
                <w:sz w:val="3"/>
                <w:szCs w:val="3"/>
              </w:rPr>
            </w:pPr>
          </w:p>
        </w:tc>
        <w:tc>
          <w:tcPr>
            <w:tcW w:w="720" w:type="dxa"/>
            <w:vAlign w:val="bottom"/>
          </w:tcPr>
          <w:p w14:paraId="5440ED7C" w14:textId="77777777" w:rsidR="00D1587D" w:rsidRDefault="00D1587D">
            <w:pPr>
              <w:rPr>
                <w:sz w:val="3"/>
                <w:szCs w:val="3"/>
              </w:rPr>
            </w:pPr>
          </w:p>
        </w:tc>
        <w:tc>
          <w:tcPr>
            <w:tcW w:w="240" w:type="dxa"/>
            <w:vAlign w:val="bottom"/>
          </w:tcPr>
          <w:p w14:paraId="59E38184" w14:textId="77777777" w:rsidR="00D1587D" w:rsidRDefault="00D1587D">
            <w:pPr>
              <w:rPr>
                <w:sz w:val="3"/>
                <w:szCs w:val="3"/>
              </w:rPr>
            </w:pPr>
          </w:p>
        </w:tc>
        <w:tc>
          <w:tcPr>
            <w:tcW w:w="860" w:type="dxa"/>
            <w:vAlign w:val="bottom"/>
          </w:tcPr>
          <w:p w14:paraId="07EC8C22" w14:textId="77777777" w:rsidR="00D1587D" w:rsidRDefault="00D1587D">
            <w:pPr>
              <w:rPr>
                <w:sz w:val="3"/>
                <w:szCs w:val="3"/>
              </w:rPr>
            </w:pPr>
          </w:p>
        </w:tc>
        <w:tc>
          <w:tcPr>
            <w:tcW w:w="240" w:type="dxa"/>
            <w:vAlign w:val="bottom"/>
          </w:tcPr>
          <w:p w14:paraId="18C8AC67" w14:textId="77777777" w:rsidR="00D1587D" w:rsidRDefault="00D1587D">
            <w:pPr>
              <w:rPr>
                <w:sz w:val="3"/>
                <w:szCs w:val="3"/>
              </w:rPr>
            </w:pPr>
          </w:p>
        </w:tc>
        <w:tc>
          <w:tcPr>
            <w:tcW w:w="880" w:type="dxa"/>
            <w:vAlign w:val="bottom"/>
          </w:tcPr>
          <w:p w14:paraId="658A99CC" w14:textId="77777777" w:rsidR="00D1587D" w:rsidRDefault="00D1587D">
            <w:pPr>
              <w:rPr>
                <w:sz w:val="3"/>
                <w:szCs w:val="3"/>
              </w:rPr>
            </w:pPr>
          </w:p>
        </w:tc>
        <w:tc>
          <w:tcPr>
            <w:tcW w:w="260" w:type="dxa"/>
            <w:vAlign w:val="bottom"/>
          </w:tcPr>
          <w:p w14:paraId="113B11A9" w14:textId="77777777" w:rsidR="00D1587D" w:rsidRDefault="00D1587D">
            <w:pPr>
              <w:rPr>
                <w:sz w:val="3"/>
                <w:szCs w:val="3"/>
              </w:rPr>
            </w:pPr>
          </w:p>
        </w:tc>
        <w:tc>
          <w:tcPr>
            <w:tcW w:w="620" w:type="dxa"/>
            <w:gridSpan w:val="2"/>
            <w:vAlign w:val="bottom"/>
          </w:tcPr>
          <w:p w14:paraId="22213F1D" w14:textId="77777777" w:rsidR="00D1587D" w:rsidRDefault="00D1587D">
            <w:pPr>
              <w:rPr>
                <w:sz w:val="3"/>
                <w:szCs w:val="3"/>
              </w:rPr>
            </w:pPr>
          </w:p>
        </w:tc>
        <w:tc>
          <w:tcPr>
            <w:tcW w:w="240" w:type="dxa"/>
            <w:vAlign w:val="bottom"/>
          </w:tcPr>
          <w:p w14:paraId="707EF048" w14:textId="77777777" w:rsidR="00D1587D" w:rsidRDefault="00D1587D">
            <w:pPr>
              <w:rPr>
                <w:sz w:val="3"/>
                <w:szCs w:val="3"/>
              </w:rPr>
            </w:pPr>
          </w:p>
        </w:tc>
        <w:tc>
          <w:tcPr>
            <w:tcW w:w="580" w:type="dxa"/>
            <w:vAlign w:val="bottom"/>
          </w:tcPr>
          <w:p w14:paraId="50D4F590" w14:textId="77777777" w:rsidR="00D1587D" w:rsidRDefault="00D1587D">
            <w:pPr>
              <w:rPr>
                <w:sz w:val="3"/>
                <w:szCs w:val="3"/>
              </w:rPr>
            </w:pPr>
          </w:p>
        </w:tc>
        <w:tc>
          <w:tcPr>
            <w:tcW w:w="0" w:type="dxa"/>
            <w:vAlign w:val="bottom"/>
          </w:tcPr>
          <w:p w14:paraId="14DD7573" w14:textId="77777777" w:rsidR="00D1587D" w:rsidRDefault="00D1587D">
            <w:pPr>
              <w:spacing w:line="20" w:lineRule="exact"/>
              <w:rPr>
                <w:sz w:val="1"/>
                <w:szCs w:val="1"/>
              </w:rPr>
            </w:pPr>
          </w:p>
        </w:tc>
      </w:tr>
      <w:tr w:rsidR="00D1587D" w14:paraId="297DF089" w14:textId="77777777">
        <w:trPr>
          <w:trHeight w:val="218"/>
        </w:trPr>
        <w:tc>
          <w:tcPr>
            <w:tcW w:w="20" w:type="dxa"/>
            <w:vAlign w:val="bottom"/>
          </w:tcPr>
          <w:p w14:paraId="12F45C50" w14:textId="77777777" w:rsidR="00D1587D" w:rsidRDefault="00D1587D">
            <w:pPr>
              <w:rPr>
                <w:sz w:val="18"/>
                <w:szCs w:val="18"/>
              </w:rPr>
            </w:pPr>
          </w:p>
        </w:tc>
        <w:tc>
          <w:tcPr>
            <w:tcW w:w="2320" w:type="dxa"/>
            <w:shd w:val="clear" w:color="auto" w:fill="CCEEFF"/>
            <w:vAlign w:val="bottom"/>
          </w:tcPr>
          <w:p w14:paraId="43863065" w14:textId="77777777" w:rsidR="00D1587D" w:rsidRDefault="00410D07">
            <w:pPr>
              <w:rPr>
                <w:sz w:val="20"/>
                <w:szCs w:val="20"/>
              </w:rPr>
            </w:pPr>
            <w:r>
              <w:rPr>
                <w:rFonts w:ascii="Arial" w:eastAsia="Arial" w:hAnsi="Arial" w:cs="Arial"/>
                <w:sz w:val="14"/>
                <w:szCs w:val="14"/>
              </w:rPr>
              <w:t>Mr. Mehas</w:t>
            </w:r>
          </w:p>
        </w:tc>
        <w:tc>
          <w:tcPr>
            <w:tcW w:w="1380" w:type="dxa"/>
            <w:shd w:val="clear" w:color="auto" w:fill="CCEEFF"/>
            <w:vAlign w:val="bottom"/>
          </w:tcPr>
          <w:p w14:paraId="0DFB6989" w14:textId="77777777" w:rsidR="00D1587D" w:rsidRDefault="00D1587D">
            <w:pPr>
              <w:rPr>
                <w:sz w:val="18"/>
                <w:szCs w:val="18"/>
              </w:rPr>
            </w:pPr>
          </w:p>
        </w:tc>
        <w:tc>
          <w:tcPr>
            <w:tcW w:w="720" w:type="dxa"/>
            <w:shd w:val="clear" w:color="auto" w:fill="CCEEFF"/>
            <w:vAlign w:val="bottom"/>
          </w:tcPr>
          <w:p w14:paraId="010C7441" w14:textId="77777777" w:rsidR="00D1587D" w:rsidRDefault="00410D07">
            <w:pPr>
              <w:ind w:left="400"/>
              <w:rPr>
                <w:sz w:val="20"/>
                <w:szCs w:val="20"/>
              </w:rPr>
            </w:pPr>
            <w:r>
              <w:rPr>
                <w:rFonts w:ascii="Arial" w:eastAsia="Arial" w:hAnsi="Arial" w:cs="Arial"/>
                <w:sz w:val="14"/>
                <w:szCs w:val="14"/>
              </w:rPr>
              <w:t>—</w:t>
            </w:r>
          </w:p>
        </w:tc>
        <w:tc>
          <w:tcPr>
            <w:tcW w:w="1100" w:type="dxa"/>
            <w:gridSpan w:val="2"/>
            <w:shd w:val="clear" w:color="auto" w:fill="CCEEFF"/>
            <w:vAlign w:val="bottom"/>
          </w:tcPr>
          <w:p w14:paraId="55D4A007" w14:textId="77777777" w:rsidR="00D1587D" w:rsidRDefault="00410D07">
            <w:pPr>
              <w:ind w:right="168"/>
              <w:jc w:val="right"/>
              <w:rPr>
                <w:sz w:val="20"/>
                <w:szCs w:val="20"/>
              </w:rPr>
            </w:pPr>
            <w:r>
              <w:rPr>
                <w:rFonts w:ascii="Arial" w:eastAsia="Arial" w:hAnsi="Arial" w:cs="Arial"/>
                <w:sz w:val="14"/>
                <w:szCs w:val="14"/>
              </w:rPr>
              <w:t>2,145</w:t>
            </w:r>
          </w:p>
        </w:tc>
        <w:tc>
          <w:tcPr>
            <w:tcW w:w="240" w:type="dxa"/>
            <w:shd w:val="clear" w:color="auto" w:fill="CCEEFF"/>
            <w:vAlign w:val="bottom"/>
          </w:tcPr>
          <w:p w14:paraId="590C1225" w14:textId="77777777" w:rsidR="00D1587D" w:rsidRDefault="00D1587D">
            <w:pPr>
              <w:rPr>
                <w:sz w:val="18"/>
                <w:szCs w:val="18"/>
              </w:rPr>
            </w:pPr>
          </w:p>
        </w:tc>
        <w:tc>
          <w:tcPr>
            <w:tcW w:w="880" w:type="dxa"/>
            <w:shd w:val="clear" w:color="auto" w:fill="CCEEFF"/>
            <w:vAlign w:val="bottom"/>
          </w:tcPr>
          <w:p w14:paraId="3F21066F" w14:textId="77777777" w:rsidR="00D1587D" w:rsidRDefault="00410D07">
            <w:pPr>
              <w:ind w:right="108"/>
              <w:jc w:val="right"/>
              <w:rPr>
                <w:sz w:val="20"/>
                <w:szCs w:val="20"/>
              </w:rPr>
            </w:pPr>
            <w:r>
              <w:rPr>
                <w:rFonts w:ascii="Arial" w:eastAsia="Arial" w:hAnsi="Arial" w:cs="Arial"/>
                <w:sz w:val="14"/>
                <w:szCs w:val="14"/>
              </w:rPr>
              <w:t>85,606</w:t>
            </w:r>
          </w:p>
        </w:tc>
        <w:tc>
          <w:tcPr>
            <w:tcW w:w="260" w:type="dxa"/>
            <w:shd w:val="clear" w:color="auto" w:fill="CCEEFF"/>
            <w:vAlign w:val="bottom"/>
          </w:tcPr>
          <w:p w14:paraId="7100A6DD" w14:textId="77777777" w:rsidR="00D1587D" w:rsidRDefault="00D1587D">
            <w:pPr>
              <w:rPr>
                <w:sz w:val="18"/>
                <w:szCs w:val="18"/>
              </w:rPr>
            </w:pPr>
          </w:p>
        </w:tc>
        <w:tc>
          <w:tcPr>
            <w:tcW w:w="620" w:type="dxa"/>
            <w:gridSpan w:val="2"/>
            <w:shd w:val="clear" w:color="auto" w:fill="CCEEFF"/>
            <w:vAlign w:val="bottom"/>
          </w:tcPr>
          <w:p w14:paraId="410E649F" w14:textId="77777777" w:rsidR="00D1587D" w:rsidRDefault="00410D07">
            <w:pPr>
              <w:jc w:val="right"/>
              <w:rPr>
                <w:sz w:val="20"/>
                <w:szCs w:val="20"/>
              </w:rPr>
            </w:pPr>
            <w:r>
              <w:rPr>
                <w:rFonts w:ascii="Arial" w:eastAsia="Arial" w:hAnsi="Arial" w:cs="Arial"/>
                <w:sz w:val="14"/>
                <w:szCs w:val="14"/>
              </w:rPr>
              <w:t>212,308</w:t>
            </w:r>
          </w:p>
        </w:tc>
        <w:tc>
          <w:tcPr>
            <w:tcW w:w="820" w:type="dxa"/>
            <w:gridSpan w:val="2"/>
            <w:shd w:val="clear" w:color="auto" w:fill="CCEEFF"/>
            <w:vAlign w:val="bottom"/>
          </w:tcPr>
          <w:p w14:paraId="6036F6CF" w14:textId="77777777" w:rsidR="00D1587D" w:rsidRDefault="00410D07">
            <w:pPr>
              <w:jc w:val="right"/>
              <w:rPr>
                <w:sz w:val="20"/>
                <w:szCs w:val="20"/>
              </w:rPr>
            </w:pPr>
            <w:r>
              <w:rPr>
                <w:rFonts w:ascii="Arial" w:eastAsia="Arial" w:hAnsi="Arial" w:cs="Arial"/>
                <w:sz w:val="14"/>
                <w:szCs w:val="14"/>
              </w:rPr>
              <w:t>300,059</w:t>
            </w:r>
          </w:p>
        </w:tc>
        <w:tc>
          <w:tcPr>
            <w:tcW w:w="0" w:type="dxa"/>
            <w:vAlign w:val="bottom"/>
          </w:tcPr>
          <w:p w14:paraId="37A7553E" w14:textId="77777777" w:rsidR="00D1587D" w:rsidRDefault="00D1587D">
            <w:pPr>
              <w:rPr>
                <w:sz w:val="1"/>
                <w:szCs w:val="1"/>
              </w:rPr>
            </w:pPr>
          </w:p>
        </w:tc>
      </w:tr>
      <w:tr w:rsidR="00D1587D" w14:paraId="3AC9F80C" w14:textId="77777777">
        <w:trPr>
          <w:trHeight w:val="39"/>
        </w:trPr>
        <w:tc>
          <w:tcPr>
            <w:tcW w:w="20" w:type="dxa"/>
            <w:vAlign w:val="bottom"/>
          </w:tcPr>
          <w:p w14:paraId="5F817668" w14:textId="77777777" w:rsidR="00D1587D" w:rsidRDefault="00D1587D">
            <w:pPr>
              <w:rPr>
                <w:sz w:val="3"/>
                <w:szCs w:val="3"/>
              </w:rPr>
            </w:pPr>
          </w:p>
        </w:tc>
        <w:tc>
          <w:tcPr>
            <w:tcW w:w="2320" w:type="dxa"/>
            <w:shd w:val="clear" w:color="auto" w:fill="CCEEFF"/>
            <w:vAlign w:val="bottom"/>
          </w:tcPr>
          <w:p w14:paraId="04A86E4B" w14:textId="77777777" w:rsidR="00D1587D" w:rsidRDefault="00D1587D">
            <w:pPr>
              <w:rPr>
                <w:sz w:val="3"/>
                <w:szCs w:val="3"/>
              </w:rPr>
            </w:pPr>
          </w:p>
        </w:tc>
        <w:tc>
          <w:tcPr>
            <w:tcW w:w="1380" w:type="dxa"/>
            <w:shd w:val="clear" w:color="auto" w:fill="CCEEFF"/>
            <w:vAlign w:val="bottom"/>
          </w:tcPr>
          <w:p w14:paraId="4C9BE60C" w14:textId="77777777" w:rsidR="00D1587D" w:rsidRDefault="00D1587D">
            <w:pPr>
              <w:rPr>
                <w:sz w:val="3"/>
                <w:szCs w:val="3"/>
              </w:rPr>
            </w:pPr>
          </w:p>
        </w:tc>
        <w:tc>
          <w:tcPr>
            <w:tcW w:w="720" w:type="dxa"/>
            <w:shd w:val="clear" w:color="auto" w:fill="CCEEFF"/>
            <w:vAlign w:val="bottom"/>
          </w:tcPr>
          <w:p w14:paraId="13D53A0C" w14:textId="77777777" w:rsidR="00D1587D" w:rsidRDefault="00D1587D">
            <w:pPr>
              <w:rPr>
                <w:sz w:val="3"/>
                <w:szCs w:val="3"/>
              </w:rPr>
            </w:pPr>
          </w:p>
        </w:tc>
        <w:tc>
          <w:tcPr>
            <w:tcW w:w="240" w:type="dxa"/>
            <w:shd w:val="clear" w:color="auto" w:fill="CCEEFF"/>
            <w:vAlign w:val="bottom"/>
          </w:tcPr>
          <w:p w14:paraId="7620901C" w14:textId="77777777" w:rsidR="00D1587D" w:rsidRDefault="00D1587D">
            <w:pPr>
              <w:rPr>
                <w:sz w:val="3"/>
                <w:szCs w:val="3"/>
              </w:rPr>
            </w:pPr>
          </w:p>
        </w:tc>
        <w:tc>
          <w:tcPr>
            <w:tcW w:w="860" w:type="dxa"/>
            <w:shd w:val="clear" w:color="auto" w:fill="CCEEFF"/>
            <w:vAlign w:val="bottom"/>
          </w:tcPr>
          <w:p w14:paraId="5A457363" w14:textId="77777777" w:rsidR="00D1587D" w:rsidRDefault="00D1587D">
            <w:pPr>
              <w:rPr>
                <w:sz w:val="3"/>
                <w:szCs w:val="3"/>
              </w:rPr>
            </w:pPr>
          </w:p>
        </w:tc>
        <w:tc>
          <w:tcPr>
            <w:tcW w:w="240" w:type="dxa"/>
            <w:shd w:val="clear" w:color="auto" w:fill="CCEEFF"/>
            <w:vAlign w:val="bottom"/>
          </w:tcPr>
          <w:p w14:paraId="3568887D" w14:textId="77777777" w:rsidR="00D1587D" w:rsidRDefault="00D1587D">
            <w:pPr>
              <w:rPr>
                <w:sz w:val="3"/>
                <w:szCs w:val="3"/>
              </w:rPr>
            </w:pPr>
          </w:p>
        </w:tc>
        <w:tc>
          <w:tcPr>
            <w:tcW w:w="880" w:type="dxa"/>
            <w:shd w:val="clear" w:color="auto" w:fill="CCEEFF"/>
            <w:vAlign w:val="bottom"/>
          </w:tcPr>
          <w:p w14:paraId="0648EFFE" w14:textId="77777777" w:rsidR="00D1587D" w:rsidRDefault="00D1587D">
            <w:pPr>
              <w:rPr>
                <w:sz w:val="3"/>
                <w:szCs w:val="3"/>
              </w:rPr>
            </w:pPr>
          </w:p>
        </w:tc>
        <w:tc>
          <w:tcPr>
            <w:tcW w:w="260" w:type="dxa"/>
            <w:shd w:val="clear" w:color="auto" w:fill="CCEEFF"/>
            <w:vAlign w:val="bottom"/>
          </w:tcPr>
          <w:p w14:paraId="372B88D0" w14:textId="77777777" w:rsidR="00D1587D" w:rsidRDefault="00D1587D">
            <w:pPr>
              <w:rPr>
                <w:sz w:val="3"/>
                <w:szCs w:val="3"/>
              </w:rPr>
            </w:pPr>
          </w:p>
        </w:tc>
        <w:tc>
          <w:tcPr>
            <w:tcW w:w="140" w:type="dxa"/>
            <w:shd w:val="clear" w:color="auto" w:fill="CCEEFF"/>
            <w:vAlign w:val="bottom"/>
          </w:tcPr>
          <w:p w14:paraId="1C2C6D7B" w14:textId="77777777" w:rsidR="00D1587D" w:rsidRDefault="00D1587D">
            <w:pPr>
              <w:rPr>
                <w:sz w:val="3"/>
                <w:szCs w:val="3"/>
              </w:rPr>
            </w:pPr>
          </w:p>
        </w:tc>
        <w:tc>
          <w:tcPr>
            <w:tcW w:w="480" w:type="dxa"/>
            <w:shd w:val="clear" w:color="auto" w:fill="CCEEFF"/>
            <w:vAlign w:val="bottom"/>
          </w:tcPr>
          <w:p w14:paraId="6F70B9F5" w14:textId="77777777" w:rsidR="00D1587D" w:rsidRDefault="00D1587D">
            <w:pPr>
              <w:rPr>
                <w:sz w:val="3"/>
                <w:szCs w:val="3"/>
              </w:rPr>
            </w:pPr>
          </w:p>
        </w:tc>
        <w:tc>
          <w:tcPr>
            <w:tcW w:w="240" w:type="dxa"/>
            <w:shd w:val="clear" w:color="auto" w:fill="CCEEFF"/>
            <w:vAlign w:val="bottom"/>
          </w:tcPr>
          <w:p w14:paraId="529AE7A3" w14:textId="77777777" w:rsidR="00D1587D" w:rsidRDefault="00D1587D">
            <w:pPr>
              <w:rPr>
                <w:sz w:val="3"/>
                <w:szCs w:val="3"/>
              </w:rPr>
            </w:pPr>
          </w:p>
        </w:tc>
        <w:tc>
          <w:tcPr>
            <w:tcW w:w="580" w:type="dxa"/>
            <w:shd w:val="clear" w:color="auto" w:fill="CCEEFF"/>
            <w:vAlign w:val="bottom"/>
          </w:tcPr>
          <w:p w14:paraId="1BB526F8" w14:textId="77777777" w:rsidR="00D1587D" w:rsidRDefault="00D1587D">
            <w:pPr>
              <w:rPr>
                <w:sz w:val="3"/>
                <w:szCs w:val="3"/>
              </w:rPr>
            </w:pPr>
          </w:p>
        </w:tc>
        <w:tc>
          <w:tcPr>
            <w:tcW w:w="0" w:type="dxa"/>
            <w:vAlign w:val="bottom"/>
          </w:tcPr>
          <w:p w14:paraId="0FA4A7E7" w14:textId="77777777" w:rsidR="00D1587D" w:rsidRDefault="00D1587D">
            <w:pPr>
              <w:spacing w:line="20" w:lineRule="exact"/>
              <w:rPr>
                <w:sz w:val="1"/>
                <w:szCs w:val="1"/>
              </w:rPr>
            </w:pPr>
          </w:p>
        </w:tc>
      </w:tr>
    </w:tbl>
    <w:p w14:paraId="713DC7DD" w14:textId="77777777" w:rsidR="00D1587D" w:rsidRDefault="00410D07">
      <w:pPr>
        <w:spacing w:line="20" w:lineRule="exact"/>
        <w:rPr>
          <w:sz w:val="20"/>
          <w:szCs w:val="20"/>
        </w:rPr>
      </w:pPr>
      <w:r>
        <w:rPr>
          <w:noProof/>
          <w:sz w:val="20"/>
          <w:szCs w:val="20"/>
        </w:rPr>
        <w:drawing>
          <wp:anchor distT="0" distB="0" distL="114300" distR="114300" simplePos="0" relativeHeight="251868160" behindDoc="1" locked="0" layoutInCell="0" allowOverlap="1" wp14:anchorId="18EE14B4" wp14:editId="009CF524">
            <wp:simplePos x="0" y="0"/>
            <wp:positionH relativeFrom="column">
              <wp:posOffset>5019675</wp:posOffset>
            </wp:positionH>
            <wp:positionV relativeFrom="paragraph">
              <wp:posOffset>-830580</wp:posOffset>
            </wp:positionV>
            <wp:extent cx="154305" cy="8255"/>
            <wp:effectExtent l="0" t="0" r="0" b="0"/>
            <wp:wrapNone/>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869184" behindDoc="1" locked="0" layoutInCell="0" allowOverlap="1" wp14:anchorId="20751EF3" wp14:editId="483124F3">
            <wp:simplePos x="0" y="0"/>
            <wp:positionH relativeFrom="column">
              <wp:posOffset>4462780</wp:posOffset>
            </wp:positionH>
            <wp:positionV relativeFrom="paragraph">
              <wp:posOffset>-830580</wp:posOffset>
            </wp:positionV>
            <wp:extent cx="154305" cy="8255"/>
            <wp:effectExtent l="0" t="0" r="0" b="0"/>
            <wp:wrapNone/>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870208" behindDoc="1" locked="0" layoutInCell="0" allowOverlap="1" wp14:anchorId="206346FF" wp14:editId="1BA77629">
            <wp:simplePos x="0" y="0"/>
            <wp:positionH relativeFrom="column">
              <wp:posOffset>3742690</wp:posOffset>
            </wp:positionH>
            <wp:positionV relativeFrom="paragraph">
              <wp:posOffset>-830580</wp:posOffset>
            </wp:positionV>
            <wp:extent cx="154305" cy="8255"/>
            <wp:effectExtent l="0" t="0" r="0" b="0"/>
            <wp:wrapNone/>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871232" behindDoc="1" locked="0" layoutInCell="0" allowOverlap="1" wp14:anchorId="026CCE5A" wp14:editId="233502CD">
            <wp:simplePos x="0" y="0"/>
            <wp:positionH relativeFrom="column">
              <wp:posOffset>3048000</wp:posOffset>
            </wp:positionH>
            <wp:positionV relativeFrom="paragraph">
              <wp:posOffset>-830580</wp:posOffset>
            </wp:positionV>
            <wp:extent cx="154305" cy="8255"/>
            <wp:effectExtent l="0" t="0" r="0" b="0"/>
            <wp:wrapNone/>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59"/>
                    <a:srcRect/>
                    <a:stretch>
                      <a:fillRect/>
                    </a:stretch>
                  </pic:blipFill>
                  <pic:spPr bwMode="auto">
                    <a:xfrm>
                      <a:off x="0" y="0"/>
                      <a:ext cx="154305" cy="8255"/>
                    </a:xfrm>
                    <a:prstGeom prst="rect">
                      <a:avLst/>
                    </a:prstGeom>
                    <a:noFill/>
                  </pic:spPr>
                </pic:pic>
              </a:graphicData>
            </a:graphic>
          </wp:anchor>
        </w:drawing>
      </w:r>
      <w:r>
        <w:rPr>
          <w:noProof/>
          <w:sz w:val="20"/>
          <w:szCs w:val="20"/>
        </w:rPr>
        <w:drawing>
          <wp:anchor distT="0" distB="0" distL="114300" distR="114300" simplePos="0" relativeHeight="251872256" behindDoc="1" locked="0" layoutInCell="0" allowOverlap="1" wp14:anchorId="43B93D7A" wp14:editId="34785B58">
            <wp:simplePos x="0" y="0"/>
            <wp:positionH relativeFrom="column">
              <wp:posOffset>2516505</wp:posOffset>
            </wp:positionH>
            <wp:positionV relativeFrom="paragraph">
              <wp:posOffset>-830580</wp:posOffset>
            </wp:positionV>
            <wp:extent cx="77470" cy="8255"/>
            <wp:effectExtent l="0" t="0" r="0" b="0"/>
            <wp:wrapNone/>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58"/>
                    <a:srcRect/>
                    <a:stretch>
                      <a:fillRect/>
                    </a:stretch>
                  </pic:blipFill>
                  <pic:spPr bwMode="auto">
                    <a:xfrm>
                      <a:off x="0" y="0"/>
                      <a:ext cx="77470" cy="8255"/>
                    </a:xfrm>
                    <a:prstGeom prst="rect">
                      <a:avLst/>
                    </a:prstGeom>
                    <a:noFill/>
                  </pic:spPr>
                </pic:pic>
              </a:graphicData>
            </a:graphic>
          </wp:anchor>
        </w:drawing>
      </w:r>
    </w:p>
    <w:p w14:paraId="6A294B84" w14:textId="77777777" w:rsidR="00D1587D" w:rsidRDefault="00D1587D">
      <w:pPr>
        <w:spacing w:line="286" w:lineRule="exact"/>
        <w:rPr>
          <w:sz w:val="20"/>
          <w:szCs w:val="20"/>
        </w:rPr>
      </w:pPr>
    </w:p>
    <w:p w14:paraId="4D42E5E3" w14:textId="77777777" w:rsidR="00D1587D" w:rsidRDefault="00410D07">
      <w:pPr>
        <w:jc w:val="center"/>
        <w:rPr>
          <w:sz w:val="20"/>
          <w:szCs w:val="20"/>
        </w:rPr>
      </w:pPr>
      <w:r>
        <w:rPr>
          <w:rFonts w:ascii="Arial" w:eastAsia="Arial" w:hAnsi="Arial" w:cs="Arial"/>
          <w:b/>
          <w:bCs/>
          <w:sz w:val="18"/>
          <w:szCs w:val="18"/>
        </w:rPr>
        <w:t xml:space="preserve">Grants of </w:t>
      </w:r>
      <w:r>
        <w:rPr>
          <w:rFonts w:ascii="Arial" w:eastAsia="Arial" w:hAnsi="Arial" w:cs="Arial"/>
          <w:b/>
          <w:bCs/>
          <w:sz w:val="18"/>
          <w:szCs w:val="18"/>
        </w:rPr>
        <w:t>Plan-Based Awards for Fiscal 2020</w:t>
      </w:r>
    </w:p>
    <w:p w14:paraId="1A7A14A0" w14:textId="77777777" w:rsidR="00D1587D" w:rsidRDefault="00D1587D">
      <w:pPr>
        <w:spacing w:line="121" w:lineRule="exact"/>
        <w:rPr>
          <w:sz w:val="20"/>
          <w:szCs w:val="20"/>
        </w:rPr>
      </w:pPr>
    </w:p>
    <w:p w14:paraId="58760BD3" w14:textId="77777777" w:rsidR="00D1587D" w:rsidRDefault="00410D07">
      <w:pPr>
        <w:spacing w:line="277" w:lineRule="auto"/>
        <w:ind w:right="240" w:firstLine="360"/>
        <w:rPr>
          <w:sz w:val="20"/>
          <w:szCs w:val="20"/>
        </w:rPr>
      </w:pPr>
      <w:r>
        <w:rPr>
          <w:rFonts w:ascii="Arial" w:eastAsia="Arial" w:hAnsi="Arial" w:cs="Arial"/>
          <w:sz w:val="18"/>
          <w:szCs w:val="18"/>
        </w:rPr>
        <w:t>The following table provides information relating to plan-based awards and opportunities granted to the NEOs during the fiscal year ended January 30, 2021.</w:t>
      </w:r>
    </w:p>
    <w:p w14:paraId="43B0855A" w14:textId="77777777" w:rsidR="00D1587D" w:rsidRDefault="00D1587D">
      <w:pPr>
        <w:spacing w:line="13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20"/>
        <w:gridCol w:w="80"/>
        <w:gridCol w:w="680"/>
        <w:gridCol w:w="80"/>
        <w:gridCol w:w="720"/>
        <w:gridCol w:w="80"/>
        <w:gridCol w:w="720"/>
        <w:gridCol w:w="80"/>
        <w:gridCol w:w="740"/>
        <w:gridCol w:w="60"/>
        <w:gridCol w:w="680"/>
        <w:gridCol w:w="40"/>
        <w:gridCol w:w="460"/>
        <w:gridCol w:w="60"/>
        <w:gridCol w:w="680"/>
        <w:gridCol w:w="40"/>
        <w:gridCol w:w="540"/>
        <w:gridCol w:w="60"/>
        <w:gridCol w:w="640"/>
        <w:gridCol w:w="60"/>
        <w:gridCol w:w="480"/>
        <w:gridCol w:w="60"/>
        <w:gridCol w:w="720"/>
      </w:tblGrid>
      <w:tr w:rsidR="00D1587D" w14:paraId="47F1430F" w14:textId="77777777">
        <w:trPr>
          <w:trHeight w:val="149"/>
        </w:trPr>
        <w:tc>
          <w:tcPr>
            <w:tcW w:w="1320" w:type="dxa"/>
            <w:vAlign w:val="bottom"/>
          </w:tcPr>
          <w:p w14:paraId="65F8B685" w14:textId="77777777" w:rsidR="00D1587D" w:rsidRDefault="00D1587D">
            <w:pPr>
              <w:rPr>
                <w:sz w:val="13"/>
                <w:szCs w:val="13"/>
              </w:rPr>
            </w:pPr>
          </w:p>
        </w:tc>
        <w:tc>
          <w:tcPr>
            <w:tcW w:w="80" w:type="dxa"/>
            <w:vAlign w:val="bottom"/>
          </w:tcPr>
          <w:p w14:paraId="117EEA94" w14:textId="77777777" w:rsidR="00D1587D" w:rsidRDefault="00D1587D">
            <w:pPr>
              <w:rPr>
                <w:sz w:val="13"/>
                <w:szCs w:val="13"/>
              </w:rPr>
            </w:pPr>
          </w:p>
        </w:tc>
        <w:tc>
          <w:tcPr>
            <w:tcW w:w="680" w:type="dxa"/>
            <w:vAlign w:val="bottom"/>
          </w:tcPr>
          <w:p w14:paraId="4CF9F693" w14:textId="77777777" w:rsidR="00D1587D" w:rsidRDefault="00D1587D">
            <w:pPr>
              <w:rPr>
                <w:sz w:val="13"/>
                <w:szCs w:val="13"/>
              </w:rPr>
            </w:pPr>
          </w:p>
        </w:tc>
        <w:tc>
          <w:tcPr>
            <w:tcW w:w="80" w:type="dxa"/>
            <w:vAlign w:val="bottom"/>
          </w:tcPr>
          <w:p w14:paraId="2C7531D5" w14:textId="77777777" w:rsidR="00D1587D" w:rsidRDefault="00D1587D">
            <w:pPr>
              <w:rPr>
                <w:sz w:val="13"/>
                <w:szCs w:val="13"/>
              </w:rPr>
            </w:pPr>
          </w:p>
        </w:tc>
        <w:tc>
          <w:tcPr>
            <w:tcW w:w="2400" w:type="dxa"/>
            <w:gridSpan w:val="6"/>
            <w:vAlign w:val="bottom"/>
          </w:tcPr>
          <w:p w14:paraId="27057659" w14:textId="77777777" w:rsidR="00D1587D" w:rsidRDefault="00410D07">
            <w:pPr>
              <w:ind w:right="60"/>
              <w:jc w:val="center"/>
              <w:rPr>
                <w:sz w:val="20"/>
                <w:szCs w:val="20"/>
              </w:rPr>
            </w:pPr>
            <w:r>
              <w:rPr>
                <w:rFonts w:ascii="Arial" w:eastAsia="Arial" w:hAnsi="Arial" w:cs="Arial"/>
                <w:b/>
                <w:bCs/>
                <w:w w:val="94"/>
                <w:sz w:val="13"/>
                <w:szCs w:val="13"/>
              </w:rPr>
              <w:t>Estimated Future Payouts Under Non-</w:t>
            </w:r>
          </w:p>
        </w:tc>
        <w:tc>
          <w:tcPr>
            <w:tcW w:w="1960" w:type="dxa"/>
            <w:gridSpan w:val="6"/>
            <w:vAlign w:val="bottom"/>
          </w:tcPr>
          <w:p w14:paraId="1799F021" w14:textId="77777777" w:rsidR="00D1587D" w:rsidRDefault="00410D07">
            <w:pPr>
              <w:ind w:right="60"/>
              <w:jc w:val="center"/>
              <w:rPr>
                <w:sz w:val="20"/>
                <w:szCs w:val="20"/>
              </w:rPr>
            </w:pPr>
            <w:r>
              <w:rPr>
                <w:rFonts w:ascii="Arial" w:eastAsia="Arial" w:hAnsi="Arial" w:cs="Arial"/>
                <w:b/>
                <w:bCs/>
                <w:w w:val="94"/>
                <w:sz w:val="13"/>
                <w:szCs w:val="13"/>
              </w:rPr>
              <w:t xml:space="preserve">Estimated Future </w:t>
            </w:r>
            <w:r>
              <w:rPr>
                <w:rFonts w:ascii="Arial" w:eastAsia="Arial" w:hAnsi="Arial" w:cs="Arial"/>
                <w:b/>
                <w:bCs/>
                <w:w w:val="94"/>
                <w:sz w:val="13"/>
                <w:szCs w:val="13"/>
              </w:rPr>
              <w:t>Payouts Under</w:t>
            </w:r>
          </w:p>
        </w:tc>
        <w:tc>
          <w:tcPr>
            <w:tcW w:w="540" w:type="dxa"/>
            <w:vAlign w:val="bottom"/>
          </w:tcPr>
          <w:p w14:paraId="079DD385" w14:textId="77777777" w:rsidR="00D1587D" w:rsidRDefault="00D1587D">
            <w:pPr>
              <w:rPr>
                <w:sz w:val="13"/>
                <w:szCs w:val="13"/>
              </w:rPr>
            </w:pPr>
          </w:p>
        </w:tc>
        <w:tc>
          <w:tcPr>
            <w:tcW w:w="60" w:type="dxa"/>
            <w:vAlign w:val="bottom"/>
          </w:tcPr>
          <w:p w14:paraId="4CC84B44" w14:textId="77777777" w:rsidR="00D1587D" w:rsidRDefault="00D1587D">
            <w:pPr>
              <w:rPr>
                <w:sz w:val="13"/>
                <w:szCs w:val="13"/>
              </w:rPr>
            </w:pPr>
          </w:p>
        </w:tc>
        <w:tc>
          <w:tcPr>
            <w:tcW w:w="640" w:type="dxa"/>
            <w:vAlign w:val="bottom"/>
          </w:tcPr>
          <w:p w14:paraId="3AFC4127" w14:textId="77777777" w:rsidR="00D1587D" w:rsidRDefault="00D1587D">
            <w:pPr>
              <w:rPr>
                <w:sz w:val="13"/>
                <w:szCs w:val="13"/>
              </w:rPr>
            </w:pPr>
          </w:p>
        </w:tc>
        <w:tc>
          <w:tcPr>
            <w:tcW w:w="60" w:type="dxa"/>
            <w:vAlign w:val="bottom"/>
          </w:tcPr>
          <w:p w14:paraId="7A5C39A6" w14:textId="77777777" w:rsidR="00D1587D" w:rsidRDefault="00D1587D">
            <w:pPr>
              <w:rPr>
                <w:sz w:val="13"/>
                <w:szCs w:val="13"/>
              </w:rPr>
            </w:pPr>
          </w:p>
        </w:tc>
        <w:tc>
          <w:tcPr>
            <w:tcW w:w="480" w:type="dxa"/>
            <w:vAlign w:val="bottom"/>
          </w:tcPr>
          <w:p w14:paraId="3F1C9642" w14:textId="77777777" w:rsidR="00D1587D" w:rsidRDefault="00D1587D">
            <w:pPr>
              <w:rPr>
                <w:sz w:val="13"/>
                <w:szCs w:val="13"/>
              </w:rPr>
            </w:pPr>
          </w:p>
        </w:tc>
        <w:tc>
          <w:tcPr>
            <w:tcW w:w="60" w:type="dxa"/>
            <w:vAlign w:val="bottom"/>
          </w:tcPr>
          <w:p w14:paraId="46BD2CAE" w14:textId="77777777" w:rsidR="00D1587D" w:rsidRDefault="00D1587D">
            <w:pPr>
              <w:rPr>
                <w:sz w:val="13"/>
                <w:szCs w:val="13"/>
              </w:rPr>
            </w:pPr>
          </w:p>
        </w:tc>
        <w:tc>
          <w:tcPr>
            <w:tcW w:w="720" w:type="dxa"/>
            <w:vAlign w:val="bottom"/>
          </w:tcPr>
          <w:p w14:paraId="6267ECB8" w14:textId="77777777" w:rsidR="00D1587D" w:rsidRDefault="00D1587D">
            <w:pPr>
              <w:rPr>
                <w:sz w:val="13"/>
                <w:szCs w:val="13"/>
              </w:rPr>
            </w:pPr>
          </w:p>
        </w:tc>
      </w:tr>
      <w:tr w:rsidR="00D1587D" w14:paraId="2BDF42FC" w14:textId="77777777">
        <w:trPr>
          <w:trHeight w:val="243"/>
        </w:trPr>
        <w:tc>
          <w:tcPr>
            <w:tcW w:w="1320" w:type="dxa"/>
            <w:vAlign w:val="bottom"/>
          </w:tcPr>
          <w:p w14:paraId="0DA665BA" w14:textId="77777777" w:rsidR="00D1587D" w:rsidRDefault="00D1587D">
            <w:pPr>
              <w:rPr>
                <w:sz w:val="21"/>
                <w:szCs w:val="21"/>
              </w:rPr>
            </w:pPr>
          </w:p>
        </w:tc>
        <w:tc>
          <w:tcPr>
            <w:tcW w:w="80" w:type="dxa"/>
            <w:vAlign w:val="bottom"/>
          </w:tcPr>
          <w:p w14:paraId="43994ACA" w14:textId="77777777" w:rsidR="00D1587D" w:rsidRDefault="00D1587D">
            <w:pPr>
              <w:rPr>
                <w:sz w:val="21"/>
                <w:szCs w:val="21"/>
              </w:rPr>
            </w:pPr>
          </w:p>
        </w:tc>
        <w:tc>
          <w:tcPr>
            <w:tcW w:w="680" w:type="dxa"/>
            <w:vAlign w:val="bottom"/>
          </w:tcPr>
          <w:p w14:paraId="6AD70664" w14:textId="77777777" w:rsidR="00D1587D" w:rsidRDefault="00D1587D">
            <w:pPr>
              <w:rPr>
                <w:sz w:val="21"/>
                <w:szCs w:val="21"/>
              </w:rPr>
            </w:pPr>
          </w:p>
        </w:tc>
        <w:tc>
          <w:tcPr>
            <w:tcW w:w="80" w:type="dxa"/>
            <w:vAlign w:val="bottom"/>
          </w:tcPr>
          <w:p w14:paraId="561D1074" w14:textId="77777777" w:rsidR="00D1587D" w:rsidRDefault="00D1587D">
            <w:pPr>
              <w:rPr>
                <w:sz w:val="21"/>
                <w:szCs w:val="21"/>
              </w:rPr>
            </w:pPr>
          </w:p>
        </w:tc>
        <w:tc>
          <w:tcPr>
            <w:tcW w:w="2400" w:type="dxa"/>
            <w:gridSpan w:val="6"/>
            <w:vAlign w:val="bottom"/>
          </w:tcPr>
          <w:p w14:paraId="340D2229" w14:textId="77777777" w:rsidR="00D1587D" w:rsidRDefault="00410D07">
            <w:pPr>
              <w:spacing w:line="243" w:lineRule="exact"/>
              <w:ind w:right="60"/>
              <w:jc w:val="center"/>
              <w:rPr>
                <w:sz w:val="20"/>
                <w:szCs w:val="20"/>
              </w:rPr>
            </w:pPr>
            <w:r>
              <w:rPr>
                <w:rFonts w:ascii="Arial" w:eastAsia="Arial" w:hAnsi="Arial" w:cs="Arial"/>
                <w:b/>
                <w:bCs/>
                <w:w w:val="93"/>
                <w:sz w:val="13"/>
                <w:szCs w:val="13"/>
              </w:rPr>
              <w:t>Equity Incentive Plan Awards</w:t>
            </w:r>
            <w:r>
              <w:rPr>
                <w:rFonts w:ascii="Arial" w:eastAsia="Arial" w:hAnsi="Arial" w:cs="Arial"/>
                <w:b/>
                <w:bCs/>
                <w:w w:val="93"/>
                <w:vertAlign w:val="superscript"/>
              </w:rPr>
              <w:t>(1)</w:t>
            </w:r>
          </w:p>
        </w:tc>
        <w:tc>
          <w:tcPr>
            <w:tcW w:w="1960" w:type="dxa"/>
            <w:gridSpan w:val="6"/>
            <w:vAlign w:val="bottom"/>
          </w:tcPr>
          <w:p w14:paraId="76E44792" w14:textId="77777777" w:rsidR="00D1587D" w:rsidRDefault="00410D07">
            <w:pPr>
              <w:ind w:right="40"/>
              <w:jc w:val="center"/>
              <w:rPr>
                <w:sz w:val="20"/>
                <w:szCs w:val="20"/>
              </w:rPr>
            </w:pPr>
            <w:r>
              <w:rPr>
                <w:rFonts w:ascii="Arial" w:eastAsia="Arial" w:hAnsi="Arial" w:cs="Arial"/>
                <w:b/>
                <w:bCs/>
                <w:w w:val="94"/>
                <w:sz w:val="13"/>
                <w:szCs w:val="13"/>
              </w:rPr>
              <w:t>Equity Incentive Plan Awards</w:t>
            </w:r>
          </w:p>
        </w:tc>
        <w:tc>
          <w:tcPr>
            <w:tcW w:w="540" w:type="dxa"/>
            <w:vAlign w:val="bottom"/>
          </w:tcPr>
          <w:p w14:paraId="2E9AB396" w14:textId="77777777" w:rsidR="00D1587D" w:rsidRDefault="00D1587D">
            <w:pPr>
              <w:rPr>
                <w:sz w:val="21"/>
                <w:szCs w:val="21"/>
              </w:rPr>
            </w:pPr>
          </w:p>
        </w:tc>
        <w:tc>
          <w:tcPr>
            <w:tcW w:w="60" w:type="dxa"/>
            <w:vAlign w:val="bottom"/>
          </w:tcPr>
          <w:p w14:paraId="7FE84B98" w14:textId="77777777" w:rsidR="00D1587D" w:rsidRDefault="00D1587D">
            <w:pPr>
              <w:rPr>
                <w:sz w:val="21"/>
                <w:szCs w:val="21"/>
              </w:rPr>
            </w:pPr>
          </w:p>
        </w:tc>
        <w:tc>
          <w:tcPr>
            <w:tcW w:w="640" w:type="dxa"/>
            <w:vAlign w:val="bottom"/>
          </w:tcPr>
          <w:p w14:paraId="0DA8F8B6" w14:textId="77777777" w:rsidR="00D1587D" w:rsidRDefault="00D1587D">
            <w:pPr>
              <w:rPr>
                <w:sz w:val="21"/>
                <w:szCs w:val="21"/>
              </w:rPr>
            </w:pPr>
          </w:p>
        </w:tc>
        <w:tc>
          <w:tcPr>
            <w:tcW w:w="60" w:type="dxa"/>
            <w:vAlign w:val="bottom"/>
          </w:tcPr>
          <w:p w14:paraId="265A2693" w14:textId="77777777" w:rsidR="00D1587D" w:rsidRDefault="00D1587D">
            <w:pPr>
              <w:rPr>
                <w:sz w:val="21"/>
                <w:szCs w:val="21"/>
              </w:rPr>
            </w:pPr>
          </w:p>
        </w:tc>
        <w:tc>
          <w:tcPr>
            <w:tcW w:w="480" w:type="dxa"/>
            <w:vAlign w:val="bottom"/>
          </w:tcPr>
          <w:p w14:paraId="6B86A1AD" w14:textId="77777777" w:rsidR="00D1587D" w:rsidRDefault="00D1587D">
            <w:pPr>
              <w:rPr>
                <w:sz w:val="21"/>
                <w:szCs w:val="21"/>
              </w:rPr>
            </w:pPr>
          </w:p>
        </w:tc>
        <w:tc>
          <w:tcPr>
            <w:tcW w:w="60" w:type="dxa"/>
            <w:vAlign w:val="bottom"/>
          </w:tcPr>
          <w:p w14:paraId="26F5669B" w14:textId="77777777" w:rsidR="00D1587D" w:rsidRDefault="00D1587D">
            <w:pPr>
              <w:rPr>
                <w:sz w:val="21"/>
                <w:szCs w:val="21"/>
              </w:rPr>
            </w:pPr>
          </w:p>
        </w:tc>
        <w:tc>
          <w:tcPr>
            <w:tcW w:w="720" w:type="dxa"/>
            <w:vAlign w:val="bottom"/>
          </w:tcPr>
          <w:p w14:paraId="2F6E0C6B" w14:textId="77777777" w:rsidR="00D1587D" w:rsidRDefault="00D1587D">
            <w:pPr>
              <w:rPr>
                <w:sz w:val="21"/>
                <w:szCs w:val="21"/>
              </w:rPr>
            </w:pPr>
          </w:p>
        </w:tc>
      </w:tr>
      <w:tr w:rsidR="00D1587D" w14:paraId="456315DB" w14:textId="77777777">
        <w:trPr>
          <w:trHeight w:val="183"/>
        </w:trPr>
        <w:tc>
          <w:tcPr>
            <w:tcW w:w="1320" w:type="dxa"/>
            <w:vAlign w:val="bottom"/>
          </w:tcPr>
          <w:p w14:paraId="2F19766B" w14:textId="77777777" w:rsidR="00D1587D" w:rsidRDefault="00D1587D">
            <w:pPr>
              <w:rPr>
                <w:sz w:val="15"/>
                <w:szCs w:val="15"/>
              </w:rPr>
            </w:pPr>
          </w:p>
        </w:tc>
        <w:tc>
          <w:tcPr>
            <w:tcW w:w="80" w:type="dxa"/>
            <w:vAlign w:val="bottom"/>
          </w:tcPr>
          <w:p w14:paraId="7EE0BB89" w14:textId="77777777" w:rsidR="00D1587D" w:rsidRDefault="00D1587D">
            <w:pPr>
              <w:rPr>
                <w:sz w:val="15"/>
                <w:szCs w:val="15"/>
              </w:rPr>
            </w:pPr>
          </w:p>
        </w:tc>
        <w:tc>
          <w:tcPr>
            <w:tcW w:w="680" w:type="dxa"/>
            <w:vAlign w:val="bottom"/>
          </w:tcPr>
          <w:p w14:paraId="0E8780B7" w14:textId="77777777" w:rsidR="00D1587D" w:rsidRDefault="00D1587D">
            <w:pPr>
              <w:rPr>
                <w:sz w:val="15"/>
                <w:szCs w:val="15"/>
              </w:rPr>
            </w:pPr>
          </w:p>
        </w:tc>
        <w:tc>
          <w:tcPr>
            <w:tcW w:w="80" w:type="dxa"/>
            <w:vAlign w:val="bottom"/>
          </w:tcPr>
          <w:p w14:paraId="7F61AF63" w14:textId="77777777" w:rsidR="00D1587D" w:rsidRDefault="00D1587D">
            <w:pPr>
              <w:rPr>
                <w:sz w:val="15"/>
                <w:szCs w:val="15"/>
              </w:rPr>
            </w:pPr>
          </w:p>
        </w:tc>
        <w:tc>
          <w:tcPr>
            <w:tcW w:w="720" w:type="dxa"/>
            <w:tcBorders>
              <w:top w:val="single" w:sz="8" w:space="0" w:color="auto"/>
            </w:tcBorders>
            <w:vAlign w:val="bottom"/>
          </w:tcPr>
          <w:p w14:paraId="61927108" w14:textId="77777777" w:rsidR="00D1587D" w:rsidRDefault="00D1587D">
            <w:pPr>
              <w:rPr>
                <w:sz w:val="15"/>
                <w:szCs w:val="15"/>
              </w:rPr>
            </w:pPr>
          </w:p>
        </w:tc>
        <w:tc>
          <w:tcPr>
            <w:tcW w:w="80" w:type="dxa"/>
            <w:tcBorders>
              <w:top w:val="single" w:sz="8" w:space="0" w:color="auto"/>
            </w:tcBorders>
            <w:vAlign w:val="bottom"/>
          </w:tcPr>
          <w:p w14:paraId="4A073AB7" w14:textId="77777777" w:rsidR="00D1587D" w:rsidRDefault="00D1587D">
            <w:pPr>
              <w:rPr>
                <w:sz w:val="15"/>
                <w:szCs w:val="15"/>
              </w:rPr>
            </w:pPr>
          </w:p>
        </w:tc>
        <w:tc>
          <w:tcPr>
            <w:tcW w:w="720" w:type="dxa"/>
            <w:tcBorders>
              <w:top w:val="single" w:sz="8" w:space="0" w:color="auto"/>
            </w:tcBorders>
            <w:vAlign w:val="bottom"/>
          </w:tcPr>
          <w:p w14:paraId="12644D29" w14:textId="77777777" w:rsidR="00D1587D" w:rsidRDefault="00D1587D">
            <w:pPr>
              <w:rPr>
                <w:sz w:val="15"/>
                <w:szCs w:val="15"/>
              </w:rPr>
            </w:pPr>
          </w:p>
        </w:tc>
        <w:tc>
          <w:tcPr>
            <w:tcW w:w="80" w:type="dxa"/>
            <w:tcBorders>
              <w:top w:val="single" w:sz="8" w:space="0" w:color="auto"/>
            </w:tcBorders>
            <w:vAlign w:val="bottom"/>
          </w:tcPr>
          <w:p w14:paraId="2CF0C6BB" w14:textId="77777777" w:rsidR="00D1587D" w:rsidRDefault="00D1587D">
            <w:pPr>
              <w:rPr>
                <w:sz w:val="15"/>
                <w:szCs w:val="15"/>
              </w:rPr>
            </w:pPr>
          </w:p>
        </w:tc>
        <w:tc>
          <w:tcPr>
            <w:tcW w:w="740" w:type="dxa"/>
            <w:tcBorders>
              <w:top w:val="single" w:sz="8" w:space="0" w:color="auto"/>
            </w:tcBorders>
            <w:vAlign w:val="bottom"/>
          </w:tcPr>
          <w:p w14:paraId="2C04CD8D" w14:textId="77777777" w:rsidR="00D1587D" w:rsidRDefault="00D1587D">
            <w:pPr>
              <w:rPr>
                <w:sz w:val="15"/>
                <w:szCs w:val="15"/>
              </w:rPr>
            </w:pPr>
          </w:p>
        </w:tc>
        <w:tc>
          <w:tcPr>
            <w:tcW w:w="60" w:type="dxa"/>
            <w:vAlign w:val="bottom"/>
          </w:tcPr>
          <w:p w14:paraId="4F4E56FD" w14:textId="77777777" w:rsidR="00D1587D" w:rsidRDefault="00D1587D">
            <w:pPr>
              <w:rPr>
                <w:sz w:val="15"/>
                <w:szCs w:val="15"/>
              </w:rPr>
            </w:pPr>
          </w:p>
        </w:tc>
        <w:tc>
          <w:tcPr>
            <w:tcW w:w="680" w:type="dxa"/>
            <w:tcBorders>
              <w:top w:val="single" w:sz="8" w:space="0" w:color="auto"/>
            </w:tcBorders>
            <w:vAlign w:val="bottom"/>
          </w:tcPr>
          <w:p w14:paraId="0B6C0DAB" w14:textId="77777777" w:rsidR="00D1587D" w:rsidRDefault="00D1587D">
            <w:pPr>
              <w:rPr>
                <w:sz w:val="15"/>
                <w:szCs w:val="15"/>
              </w:rPr>
            </w:pPr>
          </w:p>
        </w:tc>
        <w:tc>
          <w:tcPr>
            <w:tcW w:w="40" w:type="dxa"/>
            <w:tcBorders>
              <w:top w:val="single" w:sz="8" w:space="0" w:color="auto"/>
            </w:tcBorders>
            <w:vAlign w:val="bottom"/>
          </w:tcPr>
          <w:p w14:paraId="4B54FFDC" w14:textId="77777777" w:rsidR="00D1587D" w:rsidRDefault="00D1587D">
            <w:pPr>
              <w:rPr>
                <w:sz w:val="15"/>
                <w:szCs w:val="15"/>
              </w:rPr>
            </w:pPr>
          </w:p>
        </w:tc>
        <w:tc>
          <w:tcPr>
            <w:tcW w:w="460" w:type="dxa"/>
            <w:tcBorders>
              <w:top w:val="single" w:sz="8" w:space="0" w:color="auto"/>
            </w:tcBorders>
            <w:vAlign w:val="bottom"/>
          </w:tcPr>
          <w:p w14:paraId="16E8713E" w14:textId="77777777" w:rsidR="00D1587D" w:rsidRDefault="00D1587D">
            <w:pPr>
              <w:rPr>
                <w:sz w:val="15"/>
                <w:szCs w:val="15"/>
              </w:rPr>
            </w:pPr>
          </w:p>
        </w:tc>
        <w:tc>
          <w:tcPr>
            <w:tcW w:w="60" w:type="dxa"/>
            <w:tcBorders>
              <w:top w:val="single" w:sz="8" w:space="0" w:color="auto"/>
            </w:tcBorders>
            <w:vAlign w:val="bottom"/>
          </w:tcPr>
          <w:p w14:paraId="6E4D1496" w14:textId="77777777" w:rsidR="00D1587D" w:rsidRDefault="00D1587D">
            <w:pPr>
              <w:rPr>
                <w:sz w:val="15"/>
                <w:szCs w:val="15"/>
              </w:rPr>
            </w:pPr>
          </w:p>
        </w:tc>
        <w:tc>
          <w:tcPr>
            <w:tcW w:w="680" w:type="dxa"/>
            <w:tcBorders>
              <w:top w:val="single" w:sz="8" w:space="0" w:color="auto"/>
            </w:tcBorders>
            <w:vAlign w:val="bottom"/>
          </w:tcPr>
          <w:p w14:paraId="1E1BC01F" w14:textId="77777777" w:rsidR="00D1587D" w:rsidRDefault="00D1587D">
            <w:pPr>
              <w:rPr>
                <w:sz w:val="15"/>
                <w:szCs w:val="15"/>
              </w:rPr>
            </w:pPr>
          </w:p>
        </w:tc>
        <w:tc>
          <w:tcPr>
            <w:tcW w:w="40" w:type="dxa"/>
            <w:vAlign w:val="bottom"/>
          </w:tcPr>
          <w:p w14:paraId="29A62208" w14:textId="77777777" w:rsidR="00D1587D" w:rsidRDefault="00D1587D">
            <w:pPr>
              <w:rPr>
                <w:sz w:val="15"/>
                <w:szCs w:val="15"/>
              </w:rPr>
            </w:pPr>
          </w:p>
        </w:tc>
        <w:tc>
          <w:tcPr>
            <w:tcW w:w="600" w:type="dxa"/>
            <w:gridSpan w:val="2"/>
            <w:vAlign w:val="bottom"/>
          </w:tcPr>
          <w:p w14:paraId="65744C4B" w14:textId="77777777" w:rsidR="00D1587D" w:rsidRDefault="00410D07">
            <w:pPr>
              <w:ind w:right="80"/>
              <w:jc w:val="center"/>
              <w:rPr>
                <w:sz w:val="20"/>
                <w:szCs w:val="20"/>
              </w:rPr>
            </w:pPr>
            <w:r>
              <w:rPr>
                <w:rFonts w:ascii="Arial" w:eastAsia="Arial" w:hAnsi="Arial" w:cs="Arial"/>
                <w:b/>
                <w:bCs/>
                <w:w w:val="96"/>
                <w:sz w:val="13"/>
                <w:szCs w:val="13"/>
              </w:rPr>
              <w:t>All</w:t>
            </w:r>
          </w:p>
        </w:tc>
        <w:tc>
          <w:tcPr>
            <w:tcW w:w="700" w:type="dxa"/>
            <w:gridSpan w:val="2"/>
            <w:vAlign w:val="bottom"/>
          </w:tcPr>
          <w:p w14:paraId="399FCCB6" w14:textId="77777777" w:rsidR="00D1587D" w:rsidRDefault="00410D07">
            <w:pPr>
              <w:ind w:right="100"/>
              <w:jc w:val="center"/>
              <w:rPr>
                <w:sz w:val="20"/>
                <w:szCs w:val="20"/>
              </w:rPr>
            </w:pPr>
            <w:r>
              <w:rPr>
                <w:rFonts w:ascii="Arial" w:eastAsia="Arial" w:hAnsi="Arial" w:cs="Arial"/>
                <w:b/>
                <w:bCs/>
                <w:sz w:val="13"/>
                <w:szCs w:val="13"/>
              </w:rPr>
              <w:t>All Other</w:t>
            </w:r>
          </w:p>
        </w:tc>
        <w:tc>
          <w:tcPr>
            <w:tcW w:w="480" w:type="dxa"/>
            <w:vAlign w:val="bottom"/>
          </w:tcPr>
          <w:p w14:paraId="427D386F" w14:textId="77777777" w:rsidR="00D1587D" w:rsidRDefault="00D1587D">
            <w:pPr>
              <w:rPr>
                <w:sz w:val="15"/>
                <w:szCs w:val="15"/>
              </w:rPr>
            </w:pPr>
          </w:p>
        </w:tc>
        <w:tc>
          <w:tcPr>
            <w:tcW w:w="60" w:type="dxa"/>
            <w:vAlign w:val="bottom"/>
          </w:tcPr>
          <w:p w14:paraId="58EADDC1" w14:textId="77777777" w:rsidR="00D1587D" w:rsidRDefault="00D1587D">
            <w:pPr>
              <w:rPr>
                <w:sz w:val="15"/>
                <w:szCs w:val="15"/>
              </w:rPr>
            </w:pPr>
          </w:p>
        </w:tc>
        <w:tc>
          <w:tcPr>
            <w:tcW w:w="720" w:type="dxa"/>
            <w:vAlign w:val="bottom"/>
          </w:tcPr>
          <w:p w14:paraId="454A1060" w14:textId="77777777" w:rsidR="00D1587D" w:rsidRDefault="00D1587D">
            <w:pPr>
              <w:rPr>
                <w:sz w:val="15"/>
                <w:szCs w:val="15"/>
              </w:rPr>
            </w:pPr>
          </w:p>
        </w:tc>
      </w:tr>
      <w:tr w:rsidR="00D1587D" w14:paraId="317692E8" w14:textId="77777777">
        <w:trPr>
          <w:trHeight w:val="149"/>
        </w:trPr>
        <w:tc>
          <w:tcPr>
            <w:tcW w:w="1320" w:type="dxa"/>
            <w:vAlign w:val="bottom"/>
          </w:tcPr>
          <w:p w14:paraId="054A4A61" w14:textId="77777777" w:rsidR="00D1587D" w:rsidRDefault="00D1587D">
            <w:pPr>
              <w:rPr>
                <w:sz w:val="12"/>
                <w:szCs w:val="12"/>
              </w:rPr>
            </w:pPr>
          </w:p>
        </w:tc>
        <w:tc>
          <w:tcPr>
            <w:tcW w:w="80" w:type="dxa"/>
            <w:vAlign w:val="bottom"/>
          </w:tcPr>
          <w:p w14:paraId="0E141A39" w14:textId="77777777" w:rsidR="00D1587D" w:rsidRDefault="00D1587D">
            <w:pPr>
              <w:rPr>
                <w:sz w:val="12"/>
                <w:szCs w:val="12"/>
              </w:rPr>
            </w:pPr>
          </w:p>
        </w:tc>
        <w:tc>
          <w:tcPr>
            <w:tcW w:w="680" w:type="dxa"/>
            <w:vAlign w:val="bottom"/>
          </w:tcPr>
          <w:p w14:paraId="343EABEA" w14:textId="77777777" w:rsidR="00D1587D" w:rsidRDefault="00D1587D">
            <w:pPr>
              <w:rPr>
                <w:sz w:val="12"/>
                <w:szCs w:val="12"/>
              </w:rPr>
            </w:pPr>
          </w:p>
        </w:tc>
        <w:tc>
          <w:tcPr>
            <w:tcW w:w="80" w:type="dxa"/>
            <w:vAlign w:val="bottom"/>
          </w:tcPr>
          <w:p w14:paraId="6355F41E" w14:textId="77777777" w:rsidR="00D1587D" w:rsidRDefault="00D1587D">
            <w:pPr>
              <w:rPr>
                <w:sz w:val="12"/>
                <w:szCs w:val="12"/>
              </w:rPr>
            </w:pPr>
          </w:p>
        </w:tc>
        <w:tc>
          <w:tcPr>
            <w:tcW w:w="720" w:type="dxa"/>
            <w:vAlign w:val="bottom"/>
          </w:tcPr>
          <w:p w14:paraId="73830101" w14:textId="77777777" w:rsidR="00D1587D" w:rsidRDefault="00D1587D">
            <w:pPr>
              <w:rPr>
                <w:sz w:val="12"/>
                <w:szCs w:val="12"/>
              </w:rPr>
            </w:pPr>
          </w:p>
        </w:tc>
        <w:tc>
          <w:tcPr>
            <w:tcW w:w="80" w:type="dxa"/>
            <w:vAlign w:val="bottom"/>
          </w:tcPr>
          <w:p w14:paraId="03CA88F7" w14:textId="77777777" w:rsidR="00D1587D" w:rsidRDefault="00D1587D">
            <w:pPr>
              <w:rPr>
                <w:sz w:val="12"/>
                <w:szCs w:val="12"/>
              </w:rPr>
            </w:pPr>
          </w:p>
        </w:tc>
        <w:tc>
          <w:tcPr>
            <w:tcW w:w="720" w:type="dxa"/>
            <w:vAlign w:val="bottom"/>
          </w:tcPr>
          <w:p w14:paraId="0BF51A1D" w14:textId="77777777" w:rsidR="00D1587D" w:rsidRDefault="00D1587D">
            <w:pPr>
              <w:rPr>
                <w:sz w:val="12"/>
                <w:szCs w:val="12"/>
              </w:rPr>
            </w:pPr>
          </w:p>
        </w:tc>
        <w:tc>
          <w:tcPr>
            <w:tcW w:w="80" w:type="dxa"/>
            <w:vAlign w:val="bottom"/>
          </w:tcPr>
          <w:p w14:paraId="54F78EB8" w14:textId="77777777" w:rsidR="00D1587D" w:rsidRDefault="00D1587D">
            <w:pPr>
              <w:rPr>
                <w:sz w:val="12"/>
                <w:szCs w:val="12"/>
              </w:rPr>
            </w:pPr>
          </w:p>
        </w:tc>
        <w:tc>
          <w:tcPr>
            <w:tcW w:w="740" w:type="dxa"/>
            <w:vAlign w:val="bottom"/>
          </w:tcPr>
          <w:p w14:paraId="382B0DEC" w14:textId="77777777" w:rsidR="00D1587D" w:rsidRDefault="00D1587D">
            <w:pPr>
              <w:rPr>
                <w:sz w:val="12"/>
                <w:szCs w:val="12"/>
              </w:rPr>
            </w:pPr>
          </w:p>
        </w:tc>
        <w:tc>
          <w:tcPr>
            <w:tcW w:w="60" w:type="dxa"/>
            <w:vAlign w:val="bottom"/>
          </w:tcPr>
          <w:p w14:paraId="66C1F1D8" w14:textId="77777777" w:rsidR="00D1587D" w:rsidRDefault="00D1587D">
            <w:pPr>
              <w:rPr>
                <w:sz w:val="12"/>
                <w:szCs w:val="12"/>
              </w:rPr>
            </w:pPr>
          </w:p>
        </w:tc>
        <w:tc>
          <w:tcPr>
            <w:tcW w:w="680" w:type="dxa"/>
            <w:vAlign w:val="bottom"/>
          </w:tcPr>
          <w:p w14:paraId="3967E6E0" w14:textId="77777777" w:rsidR="00D1587D" w:rsidRDefault="00D1587D">
            <w:pPr>
              <w:rPr>
                <w:sz w:val="12"/>
                <w:szCs w:val="12"/>
              </w:rPr>
            </w:pPr>
          </w:p>
        </w:tc>
        <w:tc>
          <w:tcPr>
            <w:tcW w:w="40" w:type="dxa"/>
            <w:vAlign w:val="bottom"/>
          </w:tcPr>
          <w:p w14:paraId="6210FF6E" w14:textId="77777777" w:rsidR="00D1587D" w:rsidRDefault="00D1587D">
            <w:pPr>
              <w:rPr>
                <w:sz w:val="12"/>
                <w:szCs w:val="12"/>
              </w:rPr>
            </w:pPr>
          </w:p>
        </w:tc>
        <w:tc>
          <w:tcPr>
            <w:tcW w:w="460" w:type="dxa"/>
            <w:vAlign w:val="bottom"/>
          </w:tcPr>
          <w:p w14:paraId="412419EB" w14:textId="77777777" w:rsidR="00D1587D" w:rsidRDefault="00D1587D">
            <w:pPr>
              <w:rPr>
                <w:sz w:val="12"/>
                <w:szCs w:val="12"/>
              </w:rPr>
            </w:pPr>
          </w:p>
        </w:tc>
        <w:tc>
          <w:tcPr>
            <w:tcW w:w="60" w:type="dxa"/>
            <w:vAlign w:val="bottom"/>
          </w:tcPr>
          <w:p w14:paraId="210328FC" w14:textId="77777777" w:rsidR="00D1587D" w:rsidRDefault="00D1587D">
            <w:pPr>
              <w:rPr>
                <w:sz w:val="12"/>
                <w:szCs w:val="12"/>
              </w:rPr>
            </w:pPr>
          </w:p>
        </w:tc>
        <w:tc>
          <w:tcPr>
            <w:tcW w:w="680" w:type="dxa"/>
            <w:vAlign w:val="bottom"/>
          </w:tcPr>
          <w:p w14:paraId="11481282" w14:textId="77777777" w:rsidR="00D1587D" w:rsidRDefault="00D1587D">
            <w:pPr>
              <w:rPr>
                <w:sz w:val="12"/>
                <w:szCs w:val="12"/>
              </w:rPr>
            </w:pPr>
          </w:p>
        </w:tc>
        <w:tc>
          <w:tcPr>
            <w:tcW w:w="40" w:type="dxa"/>
            <w:vAlign w:val="bottom"/>
          </w:tcPr>
          <w:p w14:paraId="14FAB93B" w14:textId="77777777" w:rsidR="00D1587D" w:rsidRDefault="00D1587D">
            <w:pPr>
              <w:rPr>
                <w:sz w:val="12"/>
                <w:szCs w:val="12"/>
              </w:rPr>
            </w:pPr>
          </w:p>
        </w:tc>
        <w:tc>
          <w:tcPr>
            <w:tcW w:w="600" w:type="dxa"/>
            <w:gridSpan w:val="2"/>
            <w:vAlign w:val="bottom"/>
          </w:tcPr>
          <w:p w14:paraId="71A0C228" w14:textId="77777777" w:rsidR="00D1587D" w:rsidRDefault="00410D07">
            <w:pPr>
              <w:ind w:right="80"/>
              <w:jc w:val="center"/>
              <w:rPr>
                <w:sz w:val="20"/>
                <w:szCs w:val="20"/>
              </w:rPr>
            </w:pPr>
            <w:r>
              <w:rPr>
                <w:rFonts w:ascii="Arial" w:eastAsia="Arial" w:hAnsi="Arial" w:cs="Arial"/>
                <w:b/>
                <w:bCs/>
                <w:sz w:val="13"/>
                <w:szCs w:val="13"/>
              </w:rPr>
              <w:t>Other</w:t>
            </w:r>
          </w:p>
        </w:tc>
        <w:tc>
          <w:tcPr>
            <w:tcW w:w="700" w:type="dxa"/>
            <w:gridSpan w:val="2"/>
            <w:vAlign w:val="bottom"/>
          </w:tcPr>
          <w:p w14:paraId="3F455B70" w14:textId="77777777" w:rsidR="00D1587D" w:rsidRDefault="00410D07">
            <w:pPr>
              <w:ind w:right="100"/>
              <w:jc w:val="center"/>
              <w:rPr>
                <w:sz w:val="20"/>
                <w:szCs w:val="20"/>
              </w:rPr>
            </w:pPr>
            <w:r>
              <w:rPr>
                <w:rFonts w:ascii="Arial" w:eastAsia="Arial" w:hAnsi="Arial" w:cs="Arial"/>
                <w:b/>
                <w:bCs/>
                <w:w w:val="95"/>
                <w:sz w:val="13"/>
                <w:szCs w:val="13"/>
              </w:rPr>
              <w:t>Option</w:t>
            </w:r>
          </w:p>
        </w:tc>
        <w:tc>
          <w:tcPr>
            <w:tcW w:w="480" w:type="dxa"/>
            <w:vAlign w:val="bottom"/>
          </w:tcPr>
          <w:p w14:paraId="62D1A889" w14:textId="77777777" w:rsidR="00D1587D" w:rsidRDefault="00D1587D">
            <w:pPr>
              <w:rPr>
                <w:sz w:val="12"/>
                <w:szCs w:val="12"/>
              </w:rPr>
            </w:pPr>
          </w:p>
        </w:tc>
        <w:tc>
          <w:tcPr>
            <w:tcW w:w="60" w:type="dxa"/>
            <w:vAlign w:val="bottom"/>
          </w:tcPr>
          <w:p w14:paraId="203B693C" w14:textId="77777777" w:rsidR="00D1587D" w:rsidRDefault="00D1587D">
            <w:pPr>
              <w:rPr>
                <w:sz w:val="12"/>
                <w:szCs w:val="12"/>
              </w:rPr>
            </w:pPr>
          </w:p>
        </w:tc>
        <w:tc>
          <w:tcPr>
            <w:tcW w:w="720" w:type="dxa"/>
            <w:vAlign w:val="bottom"/>
          </w:tcPr>
          <w:p w14:paraId="2240F7FE" w14:textId="77777777" w:rsidR="00D1587D" w:rsidRDefault="00D1587D">
            <w:pPr>
              <w:rPr>
                <w:sz w:val="12"/>
                <w:szCs w:val="12"/>
              </w:rPr>
            </w:pPr>
          </w:p>
        </w:tc>
      </w:tr>
      <w:tr w:rsidR="00D1587D" w14:paraId="0DD38309" w14:textId="77777777">
        <w:trPr>
          <w:trHeight w:val="148"/>
        </w:trPr>
        <w:tc>
          <w:tcPr>
            <w:tcW w:w="1320" w:type="dxa"/>
            <w:vAlign w:val="bottom"/>
          </w:tcPr>
          <w:p w14:paraId="2CEE9AA2" w14:textId="77777777" w:rsidR="00D1587D" w:rsidRDefault="00D1587D">
            <w:pPr>
              <w:rPr>
                <w:sz w:val="12"/>
                <w:szCs w:val="12"/>
              </w:rPr>
            </w:pPr>
          </w:p>
        </w:tc>
        <w:tc>
          <w:tcPr>
            <w:tcW w:w="80" w:type="dxa"/>
            <w:vAlign w:val="bottom"/>
          </w:tcPr>
          <w:p w14:paraId="58AF1636" w14:textId="77777777" w:rsidR="00D1587D" w:rsidRDefault="00D1587D">
            <w:pPr>
              <w:rPr>
                <w:sz w:val="12"/>
                <w:szCs w:val="12"/>
              </w:rPr>
            </w:pPr>
          </w:p>
        </w:tc>
        <w:tc>
          <w:tcPr>
            <w:tcW w:w="680" w:type="dxa"/>
            <w:vAlign w:val="bottom"/>
          </w:tcPr>
          <w:p w14:paraId="4FF3FBE5" w14:textId="77777777" w:rsidR="00D1587D" w:rsidRDefault="00D1587D">
            <w:pPr>
              <w:rPr>
                <w:sz w:val="12"/>
                <w:szCs w:val="12"/>
              </w:rPr>
            </w:pPr>
          </w:p>
        </w:tc>
        <w:tc>
          <w:tcPr>
            <w:tcW w:w="80" w:type="dxa"/>
            <w:vAlign w:val="bottom"/>
          </w:tcPr>
          <w:p w14:paraId="5E1357B5" w14:textId="77777777" w:rsidR="00D1587D" w:rsidRDefault="00D1587D">
            <w:pPr>
              <w:rPr>
                <w:sz w:val="12"/>
                <w:szCs w:val="12"/>
              </w:rPr>
            </w:pPr>
          </w:p>
        </w:tc>
        <w:tc>
          <w:tcPr>
            <w:tcW w:w="720" w:type="dxa"/>
            <w:vAlign w:val="bottom"/>
          </w:tcPr>
          <w:p w14:paraId="27189A97" w14:textId="77777777" w:rsidR="00D1587D" w:rsidRDefault="00D1587D">
            <w:pPr>
              <w:rPr>
                <w:sz w:val="12"/>
                <w:szCs w:val="12"/>
              </w:rPr>
            </w:pPr>
          </w:p>
        </w:tc>
        <w:tc>
          <w:tcPr>
            <w:tcW w:w="80" w:type="dxa"/>
            <w:vAlign w:val="bottom"/>
          </w:tcPr>
          <w:p w14:paraId="75EF528B" w14:textId="77777777" w:rsidR="00D1587D" w:rsidRDefault="00D1587D">
            <w:pPr>
              <w:rPr>
                <w:sz w:val="12"/>
                <w:szCs w:val="12"/>
              </w:rPr>
            </w:pPr>
          </w:p>
        </w:tc>
        <w:tc>
          <w:tcPr>
            <w:tcW w:w="720" w:type="dxa"/>
            <w:vAlign w:val="bottom"/>
          </w:tcPr>
          <w:p w14:paraId="793E8778" w14:textId="77777777" w:rsidR="00D1587D" w:rsidRDefault="00D1587D">
            <w:pPr>
              <w:rPr>
                <w:sz w:val="12"/>
                <w:szCs w:val="12"/>
              </w:rPr>
            </w:pPr>
          </w:p>
        </w:tc>
        <w:tc>
          <w:tcPr>
            <w:tcW w:w="80" w:type="dxa"/>
            <w:vAlign w:val="bottom"/>
          </w:tcPr>
          <w:p w14:paraId="6EDFF2DD" w14:textId="77777777" w:rsidR="00D1587D" w:rsidRDefault="00D1587D">
            <w:pPr>
              <w:rPr>
                <w:sz w:val="12"/>
                <w:szCs w:val="12"/>
              </w:rPr>
            </w:pPr>
          </w:p>
        </w:tc>
        <w:tc>
          <w:tcPr>
            <w:tcW w:w="740" w:type="dxa"/>
            <w:vAlign w:val="bottom"/>
          </w:tcPr>
          <w:p w14:paraId="2074F442" w14:textId="77777777" w:rsidR="00D1587D" w:rsidRDefault="00D1587D">
            <w:pPr>
              <w:rPr>
                <w:sz w:val="12"/>
                <w:szCs w:val="12"/>
              </w:rPr>
            </w:pPr>
          </w:p>
        </w:tc>
        <w:tc>
          <w:tcPr>
            <w:tcW w:w="60" w:type="dxa"/>
            <w:vAlign w:val="bottom"/>
          </w:tcPr>
          <w:p w14:paraId="41CB5813" w14:textId="77777777" w:rsidR="00D1587D" w:rsidRDefault="00D1587D">
            <w:pPr>
              <w:rPr>
                <w:sz w:val="12"/>
                <w:szCs w:val="12"/>
              </w:rPr>
            </w:pPr>
          </w:p>
        </w:tc>
        <w:tc>
          <w:tcPr>
            <w:tcW w:w="680" w:type="dxa"/>
            <w:vAlign w:val="bottom"/>
          </w:tcPr>
          <w:p w14:paraId="30FEB169" w14:textId="77777777" w:rsidR="00D1587D" w:rsidRDefault="00D1587D">
            <w:pPr>
              <w:rPr>
                <w:sz w:val="12"/>
                <w:szCs w:val="12"/>
              </w:rPr>
            </w:pPr>
          </w:p>
        </w:tc>
        <w:tc>
          <w:tcPr>
            <w:tcW w:w="40" w:type="dxa"/>
            <w:vAlign w:val="bottom"/>
          </w:tcPr>
          <w:p w14:paraId="35E8E130" w14:textId="77777777" w:rsidR="00D1587D" w:rsidRDefault="00D1587D">
            <w:pPr>
              <w:rPr>
                <w:sz w:val="12"/>
                <w:szCs w:val="12"/>
              </w:rPr>
            </w:pPr>
          </w:p>
        </w:tc>
        <w:tc>
          <w:tcPr>
            <w:tcW w:w="460" w:type="dxa"/>
            <w:vAlign w:val="bottom"/>
          </w:tcPr>
          <w:p w14:paraId="4213B253" w14:textId="77777777" w:rsidR="00D1587D" w:rsidRDefault="00D1587D">
            <w:pPr>
              <w:rPr>
                <w:sz w:val="12"/>
                <w:szCs w:val="12"/>
              </w:rPr>
            </w:pPr>
          </w:p>
        </w:tc>
        <w:tc>
          <w:tcPr>
            <w:tcW w:w="60" w:type="dxa"/>
            <w:vAlign w:val="bottom"/>
          </w:tcPr>
          <w:p w14:paraId="08ACE35C" w14:textId="77777777" w:rsidR="00D1587D" w:rsidRDefault="00D1587D">
            <w:pPr>
              <w:rPr>
                <w:sz w:val="12"/>
                <w:szCs w:val="12"/>
              </w:rPr>
            </w:pPr>
          </w:p>
        </w:tc>
        <w:tc>
          <w:tcPr>
            <w:tcW w:w="680" w:type="dxa"/>
            <w:vAlign w:val="bottom"/>
          </w:tcPr>
          <w:p w14:paraId="6B9B05A7" w14:textId="77777777" w:rsidR="00D1587D" w:rsidRDefault="00D1587D">
            <w:pPr>
              <w:rPr>
                <w:sz w:val="12"/>
                <w:szCs w:val="12"/>
              </w:rPr>
            </w:pPr>
          </w:p>
        </w:tc>
        <w:tc>
          <w:tcPr>
            <w:tcW w:w="40" w:type="dxa"/>
            <w:vAlign w:val="bottom"/>
          </w:tcPr>
          <w:p w14:paraId="3534D194" w14:textId="77777777" w:rsidR="00D1587D" w:rsidRDefault="00D1587D">
            <w:pPr>
              <w:rPr>
                <w:sz w:val="12"/>
                <w:szCs w:val="12"/>
              </w:rPr>
            </w:pPr>
          </w:p>
        </w:tc>
        <w:tc>
          <w:tcPr>
            <w:tcW w:w="600" w:type="dxa"/>
            <w:gridSpan w:val="2"/>
            <w:vAlign w:val="bottom"/>
          </w:tcPr>
          <w:p w14:paraId="4658E29F" w14:textId="77777777" w:rsidR="00D1587D" w:rsidRDefault="00410D07">
            <w:pPr>
              <w:ind w:right="80"/>
              <w:jc w:val="center"/>
              <w:rPr>
                <w:sz w:val="20"/>
                <w:szCs w:val="20"/>
              </w:rPr>
            </w:pPr>
            <w:r>
              <w:rPr>
                <w:rFonts w:ascii="Arial" w:eastAsia="Arial" w:hAnsi="Arial" w:cs="Arial"/>
                <w:b/>
                <w:bCs/>
                <w:w w:val="90"/>
                <w:sz w:val="13"/>
                <w:szCs w:val="13"/>
              </w:rPr>
              <w:t>Stock</w:t>
            </w:r>
          </w:p>
        </w:tc>
        <w:tc>
          <w:tcPr>
            <w:tcW w:w="700" w:type="dxa"/>
            <w:gridSpan w:val="2"/>
            <w:vAlign w:val="bottom"/>
          </w:tcPr>
          <w:p w14:paraId="5AFACF04" w14:textId="77777777" w:rsidR="00D1587D" w:rsidRDefault="00410D07">
            <w:pPr>
              <w:ind w:right="100"/>
              <w:jc w:val="center"/>
              <w:rPr>
                <w:sz w:val="20"/>
                <w:szCs w:val="20"/>
              </w:rPr>
            </w:pPr>
            <w:r>
              <w:rPr>
                <w:rFonts w:ascii="Arial" w:eastAsia="Arial" w:hAnsi="Arial" w:cs="Arial"/>
                <w:b/>
                <w:bCs/>
                <w:w w:val="93"/>
                <w:sz w:val="13"/>
                <w:szCs w:val="13"/>
              </w:rPr>
              <w:t>Awards:</w:t>
            </w:r>
          </w:p>
        </w:tc>
        <w:tc>
          <w:tcPr>
            <w:tcW w:w="480" w:type="dxa"/>
            <w:vAlign w:val="bottom"/>
          </w:tcPr>
          <w:p w14:paraId="62E4C3D0" w14:textId="77777777" w:rsidR="00D1587D" w:rsidRDefault="00D1587D">
            <w:pPr>
              <w:rPr>
                <w:sz w:val="12"/>
                <w:szCs w:val="12"/>
              </w:rPr>
            </w:pPr>
          </w:p>
        </w:tc>
        <w:tc>
          <w:tcPr>
            <w:tcW w:w="60" w:type="dxa"/>
            <w:vAlign w:val="bottom"/>
          </w:tcPr>
          <w:p w14:paraId="7D38E9F6" w14:textId="77777777" w:rsidR="00D1587D" w:rsidRDefault="00D1587D">
            <w:pPr>
              <w:rPr>
                <w:sz w:val="12"/>
                <w:szCs w:val="12"/>
              </w:rPr>
            </w:pPr>
          </w:p>
        </w:tc>
        <w:tc>
          <w:tcPr>
            <w:tcW w:w="720" w:type="dxa"/>
            <w:vAlign w:val="bottom"/>
          </w:tcPr>
          <w:p w14:paraId="0B7475AF" w14:textId="77777777" w:rsidR="00D1587D" w:rsidRDefault="00D1587D">
            <w:pPr>
              <w:rPr>
                <w:sz w:val="12"/>
                <w:szCs w:val="12"/>
              </w:rPr>
            </w:pPr>
          </w:p>
        </w:tc>
      </w:tr>
      <w:tr w:rsidR="00D1587D" w14:paraId="0D4C6F07" w14:textId="77777777">
        <w:trPr>
          <w:trHeight w:val="148"/>
        </w:trPr>
        <w:tc>
          <w:tcPr>
            <w:tcW w:w="1320" w:type="dxa"/>
            <w:vAlign w:val="bottom"/>
          </w:tcPr>
          <w:p w14:paraId="06569630" w14:textId="77777777" w:rsidR="00D1587D" w:rsidRDefault="00D1587D">
            <w:pPr>
              <w:rPr>
                <w:sz w:val="12"/>
                <w:szCs w:val="12"/>
              </w:rPr>
            </w:pPr>
          </w:p>
        </w:tc>
        <w:tc>
          <w:tcPr>
            <w:tcW w:w="80" w:type="dxa"/>
            <w:vAlign w:val="bottom"/>
          </w:tcPr>
          <w:p w14:paraId="42CC5F77" w14:textId="77777777" w:rsidR="00D1587D" w:rsidRDefault="00D1587D">
            <w:pPr>
              <w:rPr>
                <w:sz w:val="12"/>
                <w:szCs w:val="12"/>
              </w:rPr>
            </w:pPr>
          </w:p>
        </w:tc>
        <w:tc>
          <w:tcPr>
            <w:tcW w:w="680" w:type="dxa"/>
            <w:vAlign w:val="bottom"/>
          </w:tcPr>
          <w:p w14:paraId="357742A1" w14:textId="77777777" w:rsidR="00D1587D" w:rsidRDefault="00D1587D">
            <w:pPr>
              <w:rPr>
                <w:sz w:val="12"/>
                <w:szCs w:val="12"/>
              </w:rPr>
            </w:pPr>
          </w:p>
        </w:tc>
        <w:tc>
          <w:tcPr>
            <w:tcW w:w="80" w:type="dxa"/>
            <w:vAlign w:val="bottom"/>
          </w:tcPr>
          <w:p w14:paraId="3B43F1A1" w14:textId="77777777" w:rsidR="00D1587D" w:rsidRDefault="00D1587D">
            <w:pPr>
              <w:rPr>
                <w:sz w:val="12"/>
                <w:szCs w:val="12"/>
              </w:rPr>
            </w:pPr>
          </w:p>
        </w:tc>
        <w:tc>
          <w:tcPr>
            <w:tcW w:w="720" w:type="dxa"/>
            <w:vAlign w:val="bottom"/>
          </w:tcPr>
          <w:p w14:paraId="389990D8" w14:textId="77777777" w:rsidR="00D1587D" w:rsidRDefault="00D1587D">
            <w:pPr>
              <w:rPr>
                <w:sz w:val="12"/>
                <w:szCs w:val="12"/>
              </w:rPr>
            </w:pPr>
          </w:p>
        </w:tc>
        <w:tc>
          <w:tcPr>
            <w:tcW w:w="80" w:type="dxa"/>
            <w:vAlign w:val="bottom"/>
          </w:tcPr>
          <w:p w14:paraId="765682C3" w14:textId="77777777" w:rsidR="00D1587D" w:rsidRDefault="00D1587D">
            <w:pPr>
              <w:rPr>
                <w:sz w:val="12"/>
                <w:szCs w:val="12"/>
              </w:rPr>
            </w:pPr>
          </w:p>
        </w:tc>
        <w:tc>
          <w:tcPr>
            <w:tcW w:w="720" w:type="dxa"/>
            <w:vAlign w:val="bottom"/>
          </w:tcPr>
          <w:p w14:paraId="6FE359F0" w14:textId="77777777" w:rsidR="00D1587D" w:rsidRDefault="00D1587D">
            <w:pPr>
              <w:rPr>
                <w:sz w:val="12"/>
                <w:szCs w:val="12"/>
              </w:rPr>
            </w:pPr>
          </w:p>
        </w:tc>
        <w:tc>
          <w:tcPr>
            <w:tcW w:w="80" w:type="dxa"/>
            <w:vAlign w:val="bottom"/>
          </w:tcPr>
          <w:p w14:paraId="7FFE49FD" w14:textId="77777777" w:rsidR="00D1587D" w:rsidRDefault="00D1587D">
            <w:pPr>
              <w:rPr>
                <w:sz w:val="12"/>
                <w:szCs w:val="12"/>
              </w:rPr>
            </w:pPr>
          </w:p>
        </w:tc>
        <w:tc>
          <w:tcPr>
            <w:tcW w:w="740" w:type="dxa"/>
            <w:vAlign w:val="bottom"/>
          </w:tcPr>
          <w:p w14:paraId="59696E36" w14:textId="77777777" w:rsidR="00D1587D" w:rsidRDefault="00D1587D">
            <w:pPr>
              <w:rPr>
                <w:sz w:val="12"/>
                <w:szCs w:val="12"/>
              </w:rPr>
            </w:pPr>
          </w:p>
        </w:tc>
        <w:tc>
          <w:tcPr>
            <w:tcW w:w="60" w:type="dxa"/>
            <w:vAlign w:val="bottom"/>
          </w:tcPr>
          <w:p w14:paraId="3CB5FED6" w14:textId="77777777" w:rsidR="00D1587D" w:rsidRDefault="00D1587D">
            <w:pPr>
              <w:rPr>
                <w:sz w:val="12"/>
                <w:szCs w:val="12"/>
              </w:rPr>
            </w:pPr>
          </w:p>
        </w:tc>
        <w:tc>
          <w:tcPr>
            <w:tcW w:w="680" w:type="dxa"/>
            <w:vAlign w:val="bottom"/>
          </w:tcPr>
          <w:p w14:paraId="2CFE1CD4" w14:textId="77777777" w:rsidR="00D1587D" w:rsidRDefault="00D1587D">
            <w:pPr>
              <w:rPr>
                <w:sz w:val="12"/>
                <w:szCs w:val="12"/>
              </w:rPr>
            </w:pPr>
          </w:p>
        </w:tc>
        <w:tc>
          <w:tcPr>
            <w:tcW w:w="40" w:type="dxa"/>
            <w:vAlign w:val="bottom"/>
          </w:tcPr>
          <w:p w14:paraId="2BA4B6A0" w14:textId="77777777" w:rsidR="00D1587D" w:rsidRDefault="00D1587D">
            <w:pPr>
              <w:rPr>
                <w:sz w:val="12"/>
                <w:szCs w:val="12"/>
              </w:rPr>
            </w:pPr>
          </w:p>
        </w:tc>
        <w:tc>
          <w:tcPr>
            <w:tcW w:w="460" w:type="dxa"/>
            <w:vAlign w:val="bottom"/>
          </w:tcPr>
          <w:p w14:paraId="68FEE825" w14:textId="77777777" w:rsidR="00D1587D" w:rsidRDefault="00D1587D">
            <w:pPr>
              <w:rPr>
                <w:sz w:val="12"/>
                <w:szCs w:val="12"/>
              </w:rPr>
            </w:pPr>
          </w:p>
        </w:tc>
        <w:tc>
          <w:tcPr>
            <w:tcW w:w="60" w:type="dxa"/>
            <w:vAlign w:val="bottom"/>
          </w:tcPr>
          <w:p w14:paraId="161CD359" w14:textId="77777777" w:rsidR="00D1587D" w:rsidRDefault="00D1587D">
            <w:pPr>
              <w:rPr>
                <w:sz w:val="12"/>
                <w:szCs w:val="12"/>
              </w:rPr>
            </w:pPr>
          </w:p>
        </w:tc>
        <w:tc>
          <w:tcPr>
            <w:tcW w:w="680" w:type="dxa"/>
            <w:vAlign w:val="bottom"/>
          </w:tcPr>
          <w:p w14:paraId="6AE4B321" w14:textId="77777777" w:rsidR="00D1587D" w:rsidRDefault="00D1587D">
            <w:pPr>
              <w:rPr>
                <w:sz w:val="12"/>
                <w:szCs w:val="12"/>
              </w:rPr>
            </w:pPr>
          </w:p>
        </w:tc>
        <w:tc>
          <w:tcPr>
            <w:tcW w:w="40" w:type="dxa"/>
            <w:vAlign w:val="bottom"/>
          </w:tcPr>
          <w:p w14:paraId="62B8E2DC" w14:textId="77777777" w:rsidR="00D1587D" w:rsidRDefault="00D1587D">
            <w:pPr>
              <w:rPr>
                <w:sz w:val="12"/>
                <w:szCs w:val="12"/>
              </w:rPr>
            </w:pPr>
          </w:p>
        </w:tc>
        <w:tc>
          <w:tcPr>
            <w:tcW w:w="600" w:type="dxa"/>
            <w:gridSpan w:val="2"/>
            <w:vAlign w:val="bottom"/>
          </w:tcPr>
          <w:p w14:paraId="69E40516" w14:textId="77777777" w:rsidR="00D1587D" w:rsidRDefault="00410D07">
            <w:pPr>
              <w:ind w:right="80"/>
              <w:jc w:val="center"/>
              <w:rPr>
                <w:sz w:val="20"/>
                <w:szCs w:val="20"/>
              </w:rPr>
            </w:pPr>
            <w:r>
              <w:rPr>
                <w:rFonts w:ascii="Arial" w:eastAsia="Arial" w:hAnsi="Arial" w:cs="Arial"/>
                <w:b/>
                <w:bCs/>
                <w:w w:val="93"/>
                <w:sz w:val="13"/>
                <w:szCs w:val="13"/>
              </w:rPr>
              <w:t>Awards:</w:t>
            </w:r>
          </w:p>
        </w:tc>
        <w:tc>
          <w:tcPr>
            <w:tcW w:w="1960" w:type="dxa"/>
            <w:gridSpan w:val="5"/>
            <w:vAlign w:val="bottom"/>
          </w:tcPr>
          <w:p w14:paraId="6BA3FDCC" w14:textId="77777777" w:rsidR="00D1587D" w:rsidRDefault="00410D07">
            <w:pPr>
              <w:rPr>
                <w:sz w:val="20"/>
                <w:szCs w:val="20"/>
              </w:rPr>
            </w:pPr>
            <w:r>
              <w:rPr>
                <w:rFonts w:ascii="Arial" w:eastAsia="Arial" w:hAnsi="Arial" w:cs="Arial"/>
                <w:b/>
                <w:bCs/>
                <w:sz w:val="13"/>
                <w:szCs w:val="13"/>
              </w:rPr>
              <w:t>Number of Exercise Grant Date</w:t>
            </w:r>
          </w:p>
        </w:tc>
      </w:tr>
      <w:tr w:rsidR="00D1587D" w14:paraId="2FAB775F" w14:textId="77777777">
        <w:trPr>
          <w:trHeight w:val="148"/>
        </w:trPr>
        <w:tc>
          <w:tcPr>
            <w:tcW w:w="1320" w:type="dxa"/>
            <w:vAlign w:val="bottom"/>
          </w:tcPr>
          <w:p w14:paraId="484C1305" w14:textId="77777777" w:rsidR="00D1587D" w:rsidRDefault="00D1587D">
            <w:pPr>
              <w:rPr>
                <w:sz w:val="12"/>
                <w:szCs w:val="12"/>
              </w:rPr>
            </w:pPr>
          </w:p>
        </w:tc>
        <w:tc>
          <w:tcPr>
            <w:tcW w:w="80" w:type="dxa"/>
            <w:vAlign w:val="bottom"/>
          </w:tcPr>
          <w:p w14:paraId="2982787D" w14:textId="77777777" w:rsidR="00D1587D" w:rsidRDefault="00D1587D">
            <w:pPr>
              <w:rPr>
                <w:sz w:val="12"/>
                <w:szCs w:val="12"/>
              </w:rPr>
            </w:pPr>
          </w:p>
        </w:tc>
        <w:tc>
          <w:tcPr>
            <w:tcW w:w="680" w:type="dxa"/>
            <w:vAlign w:val="bottom"/>
          </w:tcPr>
          <w:p w14:paraId="0D552CCE" w14:textId="77777777" w:rsidR="00D1587D" w:rsidRDefault="00D1587D">
            <w:pPr>
              <w:rPr>
                <w:sz w:val="12"/>
                <w:szCs w:val="12"/>
              </w:rPr>
            </w:pPr>
          </w:p>
        </w:tc>
        <w:tc>
          <w:tcPr>
            <w:tcW w:w="80" w:type="dxa"/>
            <w:vAlign w:val="bottom"/>
          </w:tcPr>
          <w:p w14:paraId="17A482B3" w14:textId="77777777" w:rsidR="00D1587D" w:rsidRDefault="00D1587D">
            <w:pPr>
              <w:rPr>
                <w:sz w:val="12"/>
                <w:szCs w:val="12"/>
              </w:rPr>
            </w:pPr>
          </w:p>
        </w:tc>
        <w:tc>
          <w:tcPr>
            <w:tcW w:w="720" w:type="dxa"/>
            <w:vAlign w:val="bottom"/>
          </w:tcPr>
          <w:p w14:paraId="1D36D8C8" w14:textId="77777777" w:rsidR="00D1587D" w:rsidRDefault="00D1587D">
            <w:pPr>
              <w:rPr>
                <w:sz w:val="12"/>
                <w:szCs w:val="12"/>
              </w:rPr>
            </w:pPr>
          </w:p>
        </w:tc>
        <w:tc>
          <w:tcPr>
            <w:tcW w:w="80" w:type="dxa"/>
            <w:vAlign w:val="bottom"/>
          </w:tcPr>
          <w:p w14:paraId="5C273CA2" w14:textId="77777777" w:rsidR="00D1587D" w:rsidRDefault="00D1587D">
            <w:pPr>
              <w:rPr>
                <w:sz w:val="12"/>
                <w:szCs w:val="12"/>
              </w:rPr>
            </w:pPr>
          </w:p>
        </w:tc>
        <w:tc>
          <w:tcPr>
            <w:tcW w:w="720" w:type="dxa"/>
            <w:vAlign w:val="bottom"/>
          </w:tcPr>
          <w:p w14:paraId="684DF3BB" w14:textId="77777777" w:rsidR="00D1587D" w:rsidRDefault="00D1587D">
            <w:pPr>
              <w:rPr>
                <w:sz w:val="12"/>
                <w:szCs w:val="12"/>
              </w:rPr>
            </w:pPr>
          </w:p>
        </w:tc>
        <w:tc>
          <w:tcPr>
            <w:tcW w:w="80" w:type="dxa"/>
            <w:vAlign w:val="bottom"/>
          </w:tcPr>
          <w:p w14:paraId="118C47D2" w14:textId="77777777" w:rsidR="00D1587D" w:rsidRDefault="00D1587D">
            <w:pPr>
              <w:rPr>
                <w:sz w:val="12"/>
                <w:szCs w:val="12"/>
              </w:rPr>
            </w:pPr>
          </w:p>
        </w:tc>
        <w:tc>
          <w:tcPr>
            <w:tcW w:w="740" w:type="dxa"/>
            <w:vAlign w:val="bottom"/>
          </w:tcPr>
          <w:p w14:paraId="4DABF291" w14:textId="77777777" w:rsidR="00D1587D" w:rsidRDefault="00D1587D">
            <w:pPr>
              <w:rPr>
                <w:sz w:val="12"/>
                <w:szCs w:val="12"/>
              </w:rPr>
            </w:pPr>
          </w:p>
        </w:tc>
        <w:tc>
          <w:tcPr>
            <w:tcW w:w="60" w:type="dxa"/>
            <w:vAlign w:val="bottom"/>
          </w:tcPr>
          <w:p w14:paraId="5885961E" w14:textId="77777777" w:rsidR="00D1587D" w:rsidRDefault="00D1587D">
            <w:pPr>
              <w:rPr>
                <w:sz w:val="12"/>
                <w:szCs w:val="12"/>
              </w:rPr>
            </w:pPr>
          </w:p>
        </w:tc>
        <w:tc>
          <w:tcPr>
            <w:tcW w:w="680" w:type="dxa"/>
            <w:vAlign w:val="bottom"/>
          </w:tcPr>
          <w:p w14:paraId="17DCD6E4" w14:textId="77777777" w:rsidR="00D1587D" w:rsidRDefault="00D1587D">
            <w:pPr>
              <w:rPr>
                <w:sz w:val="12"/>
                <w:szCs w:val="12"/>
              </w:rPr>
            </w:pPr>
          </w:p>
        </w:tc>
        <w:tc>
          <w:tcPr>
            <w:tcW w:w="40" w:type="dxa"/>
            <w:vAlign w:val="bottom"/>
          </w:tcPr>
          <w:p w14:paraId="0E2CA214" w14:textId="77777777" w:rsidR="00D1587D" w:rsidRDefault="00D1587D">
            <w:pPr>
              <w:rPr>
                <w:sz w:val="12"/>
                <w:szCs w:val="12"/>
              </w:rPr>
            </w:pPr>
          </w:p>
        </w:tc>
        <w:tc>
          <w:tcPr>
            <w:tcW w:w="460" w:type="dxa"/>
            <w:vAlign w:val="bottom"/>
          </w:tcPr>
          <w:p w14:paraId="6152840C" w14:textId="77777777" w:rsidR="00D1587D" w:rsidRDefault="00D1587D">
            <w:pPr>
              <w:rPr>
                <w:sz w:val="12"/>
                <w:szCs w:val="12"/>
              </w:rPr>
            </w:pPr>
          </w:p>
        </w:tc>
        <w:tc>
          <w:tcPr>
            <w:tcW w:w="60" w:type="dxa"/>
            <w:vAlign w:val="bottom"/>
          </w:tcPr>
          <w:p w14:paraId="35A0B5B3" w14:textId="77777777" w:rsidR="00D1587D" w:rsidRDefault="00D1587D">
            <w:pPr>
              <w:rPr>
                <w:sz w:val="12"/>
                <w:szCs w:val="12"/>
              </w:rPr>
            </w:pPr>
          </w:p>
        </w:tc>
        <w:tc>
          <w:tcPr>
            <w:tcW w:w="680" w:type="dxa"/>
            <w:vAlign w:val="bottom"/>
          </w:tcPr>
          <w:p w14:paraId="716758BC" w14:textId="77777777" w:rsidR="00D1587D" w:rsidRDefault="00D1587D">
            <w:pPr>
              <w:rPr>
                <w:sz w:val="12"/>
                <w:szCs w:val="12"/>
              </w:rPr>
            </w:pPr>
          </w:p>
        </w:tc>
        <w:tc>
          <w:tcPr>
            <w:tcW w:w="40" w:type="dxa"/>
            <w:vAlign w:val="bottom"/>
          </w:tcPr>
          <w:p w14:paraId="24C413CB" w14:textId="77777777" w:rsidR="00D1587D" w:rsidRDefault="00D1587D">
            <w:pPr>
              <w:rPr>
                <w:sz w:val="12"/>
                <w:szCs w:val="12"/>
              </w:rPr>
            </w:pPr>
          </w:p>
        </w:tc>
        <w:tc>
          <w:tcPr>
            <w:tcW w:w="600" w:type="dxa"/>
            <w:gridSpan w:val="2"/>
            <w:vAlign w:val="bottom"/>
          </w:tcPr>
          <w:p w14:paraId="11381104" w14:textId="77777777" w:rsidR="00D1587D" w:rsidRDefault="00410D07">
            <w:pPr>
              <w:ind w:right="80"/>
              <w:jc w:val="center"/>
              <w:rPr>
                <w:sz w:val="20"/>
                <w:szCs w:val="20"/>
              </w:rPr>
            </w:pPr>
            <w:r>
              <w:rPr>
                <w:rFonts w:ascii="Arial" w:eastAsia="Arial" w:hAnsi="Arial" w:cs="Arial"/>
                <w:b/>
                <w:bCs/>
                <w:w w:val="97"/>
                <w:sz w:val="13"/>
                <w:szCs w:val="13"/>
              </w:rPr>
              <w:t>Number</w:t>
            </w:r>
          </w:p>
        </w:tc>
        <w:tc>
          <w:tcPr>
            <w:tcW w:w="700" w:type="dxa"/>
            <w:gridSpan w:val="2"/>
            <w:vAlign w:val="bottom"/>
          </w:tcPr>
          <w:p w14:paraId="2EF177C2" w14:textId="77777777" w:rsidR="00D1587D" w:rsidRDefault="00410D07">
            <w:pPr>
              <w:ind w:right="100"/>
              <w:jc w:val="center"/>
              <w:rPr>
                <w:sz w:val="20"/>
                <w:szCs w:val="20"/>
              </w:rPr>
            </w:pPr>
            <w:r>
              <w:rPr>
                <w:rFonts w:ascii="Arial" w:eastAsia="Arial" w:hAnsi="Arial" w:cs="Arial"/>
                <w:b/>
                <w:bCs/>
                <w:w w:val="90"/>
                <w:sz w:val="13"/>
                <w:szCs w:val="13"/>
              </w:rPr>
              <w:t>Securities</w:t>
            </w:r>
          </w:p>
        </w:tc>
        <w:tc>
          <w:tcPr>
            <w:tcW w:w="540" w:type="dxa"/>
            <w:gridSpan w:val="2"/>
            <w:vAlign w:val="bottom"/>
          </w:tcPr>
          <w:p w14:paraId="008C14E3" w14:textId="77777777" w:rsidR="00D1587D" w:rsidRDefault="00410D07">
            <w:pPr>
              <w:ind w:right="100"/>
              <w:jc w:val="center"/>
              <w:rPr>
                <w:sz w:val="20"/>
                <w:szCs w:val="20"/>
              </w:rPr>
            </w:pPr>
            <w:r>
              <w:rPr>
                <w:rFonts w:ascii="Arial" w:eastAsia="Arial" w:hAnsi="Arial" w:cs="Arial"/>
                <w:b/>
                <w:bCs/>
                <w:w w:val="92"/>
                <w:sz w:val="13"/>
                <w:szCs w:val="13"/>
              </w:rPr>
              <w:t>or Base</w:t>
            </w:r>
          </w:p>
        </w:tc>
        <w:tc>
          <w:tcPr>
            <w:tcW w:w="720" w:type="dxa"/>
            <w:vAlign w:val="bottom"/>
          </w:tcPr>
          <w:p w14:paraId="1909FFEA" w14:textId="77777777" w:rsidR="00D1587D" w:rsidRDefault="00410D07">
            <w:pPr>
              <w:jc w:val="center"/>
              <w:rPr>
                <w:sz w:val="20"/>
                <w:szCs w:val="20"/>
              </w:rPr>
            </w:pPr>
            <w:r>
              <w:rPr>
                <w:rFonts w:ascii="Arial" w:eastAsia="Arial" w:hAnsi="Arial" w:cs="Arial"/>
                <w:b/>
                <w:bCs/>
                <w:w w:val="96"/>
                <w:sz w:val="13"/>
                <w:szCs w:val="13"/>
              </w:rPr>
              <w:t>Fair Value</w:t>
            </w:r>
          </w:p>
        </w:tc>
      </w:tr>
      <w:tr w:rsidR="00D1587D" w14:paraId="3EEB6258" w14:textId="77777777">
        <w:trPr>
          <w:trHeight w:val="148"/>
        </w:trPr>
        <w:tc>
          <w:tcPr>
            <w:tcW w:w="1320" w:type="dxa"/>
            <w:vAlign w:val="bottom"/>
          </w:tcPr>
          <w:p w14:paraId="600F41CD" w14:textId="77777777" w:rsidR="00D1587D" w:rsidRDefault="00D1587D">
            <w:pPr>
              <w:rPr>
                <w:sz w:val="12"/>
                <w:szCs w:val="12"/>
              </w:rPr>
            </w:pPr>
          </w:p>
        </w:tc>
        <w:tc>
          <w:tcPr>
            <w:tcW w:w="80" w:type="dxa"/>
            <w:vAlign w:val="bottom"/>
          </w:tcPr>
          <w:p w14:paraId="445C4634" w14:textId="77777777" w:rsidR="00D1587D" w:rsidRDefault="00D1587D">
            <w:pPr>
              <w:rPr>
                <w:sz w:val="12"/>
                <w:szCs w:val="12"/>
              </w:rPr>
            </w:pPr>
          </w:p>
        </w:tc>
        <w:tc>
          <w:tcPr>
            <w:tcW w:w="680" w:type="dxa"/>
            <w:vAlign w:val="bottom"/>
          </w:tcPr>
          <w:p w14:paraId="22FE0A44" w14:textId="77777777" w:rsidR="00D1587D" w:rsidRDefault="00D1587D">
            <w:pPr>
              <w:rPr>
                <w:sz w:val="12"/>
                <w:szCs w:val="12"/>
              </w:rPr>
            </w:pPr>
          </w:p>
        </w:tc>
        <w:tc>
          <w:tcPr>
            <w:tcW w:w="80" w:type="dxa"/>
            <w:vAlign w:val="bottom"/>
          </w:tcPr>
          <w:p w14:paraId="06DC9039" w14:textId="77777777" w:rsidR="00D1587D" w:rsidRDefault="00D1587D">
            <w:pPr>
              <w:rPr>
                <w:sz w:val="12"/>
                <w:szCs w:val="12"/>
              </w:rPr>
            </w:pPr>
          </w:p>
        </w:tc>
        <w:tc>
          <w:tcPr>
            <w:tcW w:w="720" w:type="dxa"/>
            <w:vAlign w:val="bottom"/>
          </w:tcPr>
          <w:p w14:paraId="5695930D" w14:textId="77777777" w:rsidR="00D1587D" w:rsidRDefault="00D1587D">
            <w:pPr>
              <w:rPr>
                <w:sz w:val="12"/>
                <w:szCs w:val="12"/>
              </w:rPr>
            </w:pPr>
          </w:p>
        </w:tc>
        <w:tc>
          <w:tcPr>
            <w:tcW w:w="80" w:type="dxa"/>
            <w:vAlign w:val="bottom"/>
          </w:tcPr>
          <w:p w14:paraId="43374A57" w14:textId="77777777" w:rsidR="00D1587D" w:rsidRDefault="00D1587D">
            <w:pPr>
              <w:rPr>
                <w:sz w:val="12"/>
                <w:szCs w:val="12"/>
              </w:rPr>
            </w:pPr>
          </w:p>
        </w:tc>
        <w:tc>
          <w:tcPr>
            <w:tcW w:w="720" w:type="dxa"/>
            <w:vAlign w:val="bottom"/>
          </w:tcPr>
          <w:p w14:paraId="3B2BC5AB" w14:textId="77777777" w:rsidR="00D1587D" w:rsidRDefault="00D1587D">
            <w:pPr>
              <w:rPr>
                <w:sz w:val="12"/>
                <w:szCs w:val="12"/>
              </w:rPr>
            </w:pPr>
          </w:p>
        </w:tc>
        <w:tc>
          <w:tcPr>
            <w:tcW w:w="80" w:type="dxa"/>
            <w:vAlign w:val="bottom"/>
          </w:tcPr>
          <w:p w14:paraId="194B17B3" w14:textId="77777777" w:rsidR="00D1587D" w:rsidRDefault="00D1587D">
            <w:pPr>
              <w:rPr>
                <w:sz w:val="12"/>
                <w:szCs w:val="12"/>
              </w:rPr>
            </w:pPr>
          </w:p>
        </w:tc>
        <w:tc>
          <w:tcPr>
            <w:tcW w:w="740" w:type="dxa"/>
            <w:vAlign w:val="bottom"/>
          </w:tcPr>
          <w:p w14:paraId="70D8FB0D" w14:textId="77777777" w:rsidR="00D1587D" w:rsidRDefault="00D1587D">
            <w:pPr>
              <w:rPr>
                <w:sz w:val="12"/>
                <w:szCs w:val="12"/>
              </w:rPr>
            </w:pPr>
          </w:p>
        </w:tc>
        <w:tc>
          <w:tcPr>
            <w:tcW w:w="60" w:type="dxa"/>
            <w:vAlign w:val="bottom"/>
          </w:tcPr>
          <w:p w14:paraId="4F24176F" w14:textId="77777777" w:rsidR="00D1587D" w:rsidRDefault="00D1587D">
            <w:pPr>
              <w:rPr>
                <w:sz w:val="12"/>
                <w:szCs w:val="12"/>
              </w:rPr>
            </w:pPr>
          </w:p>
        </w:tc>
        <w:tc>
          <w:tcPr>
            <w:tcW w:w="680" w:type="dxa"/>
            <w:vAlign w:val="bottom"/>
          </w:tcPr>
          <w:p w14:paraId="36A3E4F3" w14:textId="77777777" w:rsidR="00D1587D" w:rsidRDefault="00D1587D">
            <w:pPr>
              <w:rPr>
                <w:sz w:val="12"/>
                <w:szCs w:val="12"/>
              </w:rPr>
            </w:pPr>
          </w:p>
        </w:tc>
        <w:tc>
          <w:tcPr>
            <w:tcW w:w="40" w:type="dxa"/>
            <w:vAlign w:val="bottom"/>
          </w:tcPr>
          <w:p w14:paraId="48932022" w14:textId="77777777" w:rsidR="00D1587D" w:rsidRDefault="00D1587D">
            <w:pPr>
              <w:rPr>
                <w:sz w:val="12"/>
                <w:szCs w:val="12"/>
              </w:rPr>
            </w:pPr>
          </w:p>
        </w:tc>
        <w:tc>
          <w:tcPr>
            <w:tcW w:w="460" w:type="dxa"/>
            <w:vAlign w:val="bottom"/>
          </w:tcPr>
          <w:p w14:paraId="4F449ABB" w14:textId="77777777" w:rsidR="00D1587D" w:rsidRDefault="00D1587D">
            <w:pPr>
              <w:rPr>
                <w:sz w:val="12"/>
                <w:szCs w:val="12"/>
              </w:rPr>
            </w:pPr>
          </w:p>
        </w:tc>
        <w:tc>
          <w:tcPr>
            <w:tcW w:w="60" w:type="dxa"/>
            <w:vAlign w:val="bottom"/>
          </w:tcPr>
          <w:p w14:paraId="15F0E4BB" w14:textId="77777777" w:rsidR="00D1587D" w:rsidRDefault="00D1587D">
            <w:pPr>
              <w:rPr>
                <w:sz w:val="12"/>
                <w:szCs w:val="12"/>
              </w:rPr>
            </w:pPr>
          </w:p>
        </w:tc>
        <w:tc>
          <w:tcPr>
            <w:tcW w:w="680" w:type="dxa"/>
            <w:vAlign w:val="bottom"/>
          </w:tcPr>
          <w:p w14:paraId="5583A9E2" w14:textId="77777777" w:rsidR="00D1587D" w:rsidRDefault="00D1587D">
            <w:pPr>
              <w:rPr>
                <w:sz w:val="12"/>
                <w:szCs w:val="12"/>
              </w:rPr>
            </w:pPr>
          </w:p>
        </w:tc>
        <w:tc>
          <w:tcPr>
            <w:tcW w:w="40" w:type="dxa"/>
            <w:vAlign w:val="bottom"/>
          </w:tcPr>
          <w:p w14:paraId="371915AC" w14:textId="77777777" w:rsidR="00D1587D" w:rsidRDefault="00D1587D">
            <w:pPr>
              <w:rPr>
                <w:sz w:val="12"/>
                <w:szCs w:val="12"/>
              </w:rPr>
            </w:pPr>
          </w:p>
        </w:tc>
        <w:tc>
          <w:tcPr>
            <w:tcW w:w="600" w:type="dxa"/>
            <w:gridSpan w:val="2"/>
            <w:vAlign w:val="bottom"/>
          </w:tcPr>
          <w:p w14:paraId="586147C4" w14:textId="77777777" w:rsidR="00D1587D" w:rsidRDefault="00410D07">
            <w:pPr>
              <w:ind w:right="40"/>
              <w:jc w:val="center"/>
              <w:rPr>
                <w:sz w:val="20"/>
                <w:szCs w:val="20"/>
              </w:rPr>
            </w:pPr>
            <w:r>
              <w:rPr>
                <w:rFonts w:ascii="Arial" w:eastAsia="Arial" w:hAnsi="Arial" w:cs="Arial"/>
                <w:b/>
                <w:bCs/>
                <w:w w:val="87"/>
                <w:sz w:val="13"/>
                <w:szCs w:val="13"/>
              </w:rPr>
              <w:t>of Shares</w:t>
            </w:r>
          </w:p>
        </w:tc>
        <w:tc>
          <w:tcPr>
            <w:tcW w:w="700" w:type="dxa"/>
            <w:gridSpan w:val="2"/>
            <w:vAlign w:val="bottom"/>
          </w:tcPr>
          <w:p w14:paraId="270B13B4" w14:textId="77777777" w:rsidR="00D1587D" w:rsidRDefault="00410D07">
            <w:pPr>
              <w:ind w:right="60"/>
              <w:jc w:val="center"/>
              <w:rPr>
                <w:sz w:val="20"/>
                <w:szCs w:val="20"/>
              </w:rPr>
            </w:pPr>
            <w:r>
              <w:rPr>
                <w:rFonts w:ascii="Arial" w:eastAsia="Arial" w:hAnsi="Arial" w:cs="Arial"/>
                <w:b/>
                <w:bCs/>
                <w:w w:val="95"/>
                <w:sz w:val="13"/>
                <w:szCs w:val="13"/>
              </w:rPr>
              <w:t>Under-</w:t>
            </w:r>
          </w:p>
        </w:tc>
        <w:tc>
          <w:tcPr>
            <w:tcW w:w="540" w:type="dxa"/>
            <w:gridSpan w:val="2"/>
            <w:vAlign w:val="bottom"/>
          </w:tcPr>
          <w:p w14:paraId="6EFFB0A3" w14:textId="77777777" w:rsidR="00D1587D" w:rsidRDefault="00410D07">
            <w:pPr>
              <w:ind w:right="100"/>
              <w:jc w:val="center"/>
              <w:rPr>
                <w:sz w:val="20"/>
                <w:szCs w:val="20"/>
              </w:rPr>
            </w:pPr>
            <w:r>
              <w:rPr>
                <w:rFonts w:ascii="Arial" w:eastAsia="Arial" w:hAnsi="Arial" w:cs="Arial"/>
                <w:b/>
                <w:bCs/>
                <w:w w:val="92"/>
                <w:sz w:val="13"/>
                <w:szCs w:val="13"/>
              </w:rPr>
              <w:t>Price of</w:t>
            </w:r>
          </w:p>
        </w:tc>
        <w:tc>
          <w:tcPr>
            <w:tcW w:w="720" w:type="dxa"/>
            <w:vAlign w:val="bottom"/>
          </w:tcPr>
          <w:p w14:paraId="62284BA8" w14:textId="77777777" w:rsidR="00D1587D" w:rsidRDefault="00410D07">
            <w:pPr>
              <w:jc w:val="center"/>
              <w:rPr>
                <w:sz w:val="20"/>
                <w:szCs w:val="20"/>
              </w:rPr>
            </w:pPr>
            <w:r>
              <w:rPr>
                <w:rFonts w:ascii="Arial" w:eastAsia="Arial" w:hAnsi="Arial" w:cs="Arial"/>
                <w:b/>
                <w:bCs/>
                <w:w w:val="92"/>
                <w:sz w:val="13"/>
                <w:szCs w:val="13"/>
              </w:rPr>
              <w:t>of Stock and</w:t>
            </w:r>
          </w:p>
        </w:tc>
      </w:tr>
      <w:tr w:rsidR="00D1587D" w14:paraId="6B582437" w14:textId="77777777">
        <w:trPr>
          <w:trHeight w:val="149"/>
        </w:trPr>
        <w:tc>
          <w:tcPr>
            <w:tcW w:w="1320" w:type="dxa"/>
            <w:vAlign w:val="bottom"/>
          </w:tcPr>
          <w:p w14:paraId="67289C8A" w14:textId="77777777" w:rsidR="00D1587D" w:rsidRDefault="00D1587D">
            <w:pPr>
              <w:rPr>
                <w:sz w:val="12"/>
                <w:szCs w:val="12"/>
              </w:rPr>
            </w:pPr>
          </w:p>
        </w:tc>
        <w:tc>
          <w:tcPr>
            <w:tcW w:w="80" w:type="dxa"/>
            <w:vAlign w:val="bottom"/>
          </w:tcPr>
          <w:p w14:paraId="1C0A3A6B" w14:textId="77777777" w:rsidR="00D1587D" w:rsidRDefault="00D1587D">
            <w:pPr>
              <w:rPr>
                <w:sz w:val="12"/>
                <w:szCs w:val="12"/>
              </w:rPr>
            </w:pPr>
          </w:p>
        </w:tc>
        <w:tc>
          <w:tcPr>
            <w:tcW w:w="680" w:type="dxa"/>
            <w:vAlign w:val="bottom"/>
          </w:tcPr>
          <w:p w14:paraId="4F6FDE02" w14:textId="77777777" w:rsidR="00D1587D" w:rsidRDefault="00D1587D">
            <w:pPr>
              <w:rPr>
                <w:sz w:val="12"/>
                <w:szCs w:val="12"/>
              </w:rPr>
            </w:pPr>
          </w:p>
        </w:tc>
        <w:tc>
          <w:tcPr>
            <w:tcW w:w="80" w:type="dxa"/>
            <w:vAlign w:val="bottom"/>
          </w:tcPr>
          <w:p w14:paraId="11A4C2FA" w14:textId="77777777" w:rsidR="00D1587D" w:rsidRDefault="00D1587D">
            <w:pPr>
              <w:rPr>
                <w:sz w:val="12"/>
                <w:szCs w:val="12"/>
              </w:rPr>
            </w:pPr>
          </w:p>
        </w:tc>
        <w:tc>
          <w:tcPr>
            <w:tcW w:w="720" w:type="dxa"/>
            <w:vAlign w:val="bottom"/>
          </w:tcPr>
          <w:p w14:paraId="78D8B8E6" w14:textId="77777777" w:rsidR="00D1587D" w:rsidRDefault="00D1587D">
            <w:pPr>
              <w:rPr>
                <w:sz w:val="12"/>
                <w:szCs w:val="12"/>
              </w:rPr>
            </w:pPr>
          </w:p>
        </w:tc>
        <w:tc>
          <w:tcPr>
            <w:tcW w:w="80" w:type="dxa"/>
            <w:vAlign w:val="bottom"/>
          </w:tcPr>
          <w:p w14:paraId="2D3A45B8" w14:textId="77777777" w:rsidR="00D1587D" w:rsidRDefault="00D1587D">
            <w:pPr>
              <w:rPr>
                <w:sz w:val="12"/>
                <w:szCs w:val="12"/>
              </w:rPr>
            </w:pPr>
          </w:p>
        </w:tc>
        <w:tc>
          <w:tcPr>
            <w:tcW w:w="720" w:type="dxa"/>
            <w:vAlign w:val="bottom"/>
          </w:tcPr>
          <w:p w14:paraId="2F91688E" w14:textId="77777777" w:rsidR="00D1587D" w:rsidRDefault="00D1587D">
            <w:pPr>
              <w:rPr>
                <w:sz w:val="12"/>
                <w:szCs w:val="12"/>
              </w:rPr>
            </w:pPr>
          </w:p>
        </w:tc>
        <w:tc>
          <w:tcPr>
            <w:tcW w:w="80" w:type="dxa"/>
            <w:vAlign w:val="bottom"/>
          </w:tcPr>
          <w:p w14:paraId="7864D8B6" w14:textId="77777777" w:rsidR="00D1587D" w:rsidRDefault="00D1587D">
            <w:pPr>
              <w:rPr>
                <w:sz w:val="12"/>
                <w:szCs w:val="12"/>
              </w:rPr>
            </w:pPr>
          </w:p>
        </w:tc>
        <w:tc>
          <w:tcPr>
            <w:tcW w:w="740" w:type="dxa"/>
            <w:vAlign w:val="bottom"/>
          </w:tcPr>
          <w:p w14:paraId="4FDAC91C" w14:textId="77777777" w:rsidR="00D1587D" w:rsidRDefault="00D1587D">
            <w:pPr>
              <w:rPr>
                <w:sz w:val="12"/>
                <w:szCs w:val="12"/>
              </w:rPr>
            </w:pPr>
          </w:p>
        </w:tc>
        <w:tc>
          <w:tcPr>
            <w:tcW w:w="60" w:type="dxa"/>
            <w:vAlign w:val="bottom"/>
          </w:tcPr>
          <w:p w14:paraId="17620EEA" w14:textId="77777777" w:rsidR="00D1587D" w:rsidRDefault="00D1587D">
            <w:pPr>
              <w:rPr>
                <w:sz w:val="12"/>
                <w:szCs w:val="12"/>
              </w:rPr>
            </w:pPr>
          </w:p>
        </w:tc>
        <w:tc>
          <w:tcPr>
            <w:tcW w:w="680" w:type="dxa"/>
            <w:vAlign w:val="bottom"/>
          </w:tcPr>
          <w:p w14:paraId="27E2F562" w14:textId="77777777" w:rsidR="00D1587D" w:rsidRDefault="00D1587D">
            <w:pPr>
              <w:rPr>
                <w:sz w:val="12"/>
                <w:szCs w:val="12"/>
              </w:rPr>
            </w:pPr>
          </w:p>
        </w:tc>
        <w:tc>
          <w:tcPr>
            <w:tcW w:w="40" w:type="dxa"/>
            <w:vAlign w:val="bottom"/>
          </w:tcPr>
          <w:p w14:paraId="48EC8A4A" w14:textId="77777777" w:rsidR="00D1587D" w:rsidRDefault="00D1587D">
            <w:pPr>
              <w:rPr>
                <w:sz w:val="12"/>
                <w:szCs w:val="12"/>
              </w:rPr>
            </w:pPr>
          </w:p>
        </w:tc>
        <w:tc>
          <w:tcPr>
            <w:tcW w:w="460" w:type="dxa"/>
            <w:vAlign w:val="bottom"/>
          </w:tcPr>
          <w:p w14:paraId="358222FB" w14:textId="77777777" w:rsidR="00D1587D" w:rsidRDefault="00D1587D">
            <w:pPr>
              <w:rPr>
                <w:sz w:val="12"/>
                <w:szCs w:val="12"/>
              </w:rPr>
            </w:pPr>
          </w:p>
        </w:tc>
        <w:tc>
          <w:tcPr>
            <w:tcW w:w="60" w:type="dxa"/>
            <w:vAlign w:val="bottom"/>
          </w:tcPr>
          <w:p w14:paraId="5C84D8D0" w14:textId="77777777" w:rsidR="00D1587D" w:rsidRDefault="00D1587D">
            <w:pPr>
              <w:rPr>
                <w:sz w:val="12"/>
                <w:szCs w:val="12"/>
              </w:rPr>
            </w:pPr>
          </w:p>
        </w:tc>
        <w:tc>
          <w:tcPr>
            <w:tcW w:w="680" w:type="dxa"/>
            <w:vAlign w:val="bottom"/>
          </w:tcPr>
          <w:p w14:paraId="6F7E9766" w14:textId="77777777" w:rsidR="00D1587D" w:rsidRDefault="00D1587D">
            <w:pPr>
              <w:rPr>
                <w:sz w:val="12"/>
                <w:szCs w:val="12"/>
              </w:rPr>
            </w:pPr>
          </w:p>
        </w:tc>
        <w:tc>
          <w:tcPr>
            <w:tcW w:w="40" w:type="dxa"/>
            <w:vAlign w:val="bottom"/>
          </w:tcPr>
          <w:p w14:paraId="66831D36" w14:textId="77777777" w:rsidR="00D1587D" w:rsidRDefault="00D1587D">
            <w:pPr>
              <w:rPr>
                <w:sz w:val="12"/>
                <w:szCs w:val="12"/>
              </w:rPr>
            </w:pPr>
          </w:p>
        </w:tc>
        <w:tc>
          <w:tcPr>
            <w:tcW w:w="600" w:type="dxa"/>
            <w:gridSpan w:val="2"/>
            <w:vAlign w:val="bottom"/>
          </w:tcPr>
          <w:p w14:paraId="4F0495E1" w14:textId="77777777" w:rsidR="00D1587D" w:rsidRDefault="00410D07">
            <w:pPr>
              <w:ind w:right="80"/>
              <w:jc w:val="center"/>
              <w:rPr>
                <w:sz w:val="20"/>
                <w:szCs w:val="20"/>
              </w:rPr>
            </w:pPr>
            <w:r>
              <w:rPr>
                <w:rFonts w:ascii="Arial" w:eastAsia="Arial" w:hAnsi="Arial" w:cs="Arial"/>
                <w:b/>
                <w:bCs/>
                <w:w w:val="93"/>
                <w:sz w:val="13"/>
                <w:szCs w:val="13"/>
              </w:rPr>
              <w:t>of Stock</w:t>
            </w:r>
          </w:p>
        </w:tc>
        <w:tc>
          <w:tcPr>
            <w:tcW w:w="700" w:type="dxa"/>
            <w:gridSpan w:val="2"/>
            <w:vAlign w:val="bottom"/>
          </w:tcPr>
          <w:p w14:paraId="7DF6BCD7" w14:textId="77777777" w:rsidR="00D1587D" w:rsidRDefault="00410D07">
            <w:pPr>
              <w:ind w:right="100"/>
              <w:jc w:val="center"/>
              <w:rPr>
                <w:sz w:val="20"/>
                <w:szCs w:val="20"/>
              </w:rPr>
            </w:pPr>
            <w:r>
              <w:rPr>
                <w:rFonts w:ascii="Arial" w:eastAsia="Arial" w:hAnsi="Arial" w:cs="Arial"/>
                <w:b/>
                <w:bCs/>
                <w:w w:val="92"/>
                <w:sz w:val="13"/>
                <w:szCs w:val="13"/>
              </w:rPr>
              <w:t>lying</w:t>
            </w:r>
          </w:p>
        </w:tc>
        <w:tc>
          <w:tcPr>
            <w:tcW w:w="540" w:type="dxa"/>
            <w:gridSpan w:val="2"/>
            <w:vAlign w:val="bottom"/>
          </w:tcPr>
          <w:p w14:paraId="7DB777B7" w14:textId="77777777" w:rsidR="00D1587D" w:rsidRDefault="00410D07">
            <w:pPr>
              <w:ind w:right="100"/>
              <w:jc w:val="center"/>
              <w:rPr>
                <w:sz w:val="20"/>
                <w:szCs w:val="20"/>
              </w:rPr>
            </w:pPr>
            <w:r>
              <w:rPr>
                <w:rFonts w:ascii="Arial" w:eastAsia="Arial" w:hAnsi="Arial" w:cs="Arial"/>
                <w:b/>
                <w:bCs/>
                <w:w w:val="95"/>
                <w:sz w:val="13"/>
                <w:szCs w:val="13"/>
              </w:rPr>
              <w:t>Option</w:t>
            </w:r>
          </w:p>
        </w:tc>
        <w:tc>
          <w:tcPr>
            <w:tcW w:w="720" w:type="dxa"/>
            <w:vAlign w:val="bottom"/>
          </w:tcPr>
          <w:p w14:paraId="0278B22D" w14:textId="77777777" w:rsidR="00D1587D" w:rsidRDefault="00410D07">
            <w:pPr>
              <w:jc w:val="center"/>
              <w:rPr>
                <w:sz w:val="20"/>
                <w:szCs w:val="20"/>
              </w:rPr>
            </w:pPr>
            <w:r>
              <w:rPr>
                <w:rFonts w:ascii="Arial" w:eastAsia="Arial" w:hAnsi="Arial" w:cs="Arial"/>
                <w:b/>
                <w:bCs/>
                <w:w w:val="95"/>
                <w:sz w:val="13"/>
                <w:szCs w:val="13"/>
              </w:rPr>
              <w:t>Option</w:t>
            </w:r>
          </w:p>
        </w:tc>
      </w:tr>
      <w:tr w:rsidR="00D1587D" w14:paraId="5DBFD278" w14:textId="77777777">
        <w:trPr>
          <w:trHeight w:val="134"/>
        </w:trPr>
        <w:tc>
          <w:tcPr>
            <w:tcW w:w="1320" w:type="dxa"/>
            <w:vAlign w:val="bottom"/>
          </w:tcPr>
          <w:p w14:paraId="2F7230D8" w14:textId="77777777" w:rsidR="00D1587D" w:rsidRDefault="00D1587D">
            <w:pPr>
              <w:rPr>
                <w:sz w:val="11"/>
                <w:szCs w:val="11"/>
              </w:rPr>
            </w:pPr>
          </w:p>
        </w:tc>
        <w:tc>
          <w:tcPr>
            <w:tcW w:w="80" w:type="dxa"/>
            <w:vAlign w:val="bottom"/>
          </w:tcPr>
          <w:p w14:paraId="4AC89760" w14:textId="77777777" w:rsidR="00D1587D" w:rsidRDefault="00D1587D">
            <w:pPr>
              <w:rPr>
                <w:sz w:val="11"/>
                <w:szCs w:val="11"/>
              </w:rPr>
            </w:pPr>
          </w:p>
        </w:tc>
        <w:tc>
          <w:tcPr>
            <w:tcW w:w="760" w:type="dxa"/>
            <w:gridSpan w:val="2"/>
            <w:vAlign w:val="bottom"/>
          </w:tcPr>
          <w:p w14:paraId="0C640D9A" w14:textId="77777777" w:rsidR="00D1587D" w:rsidRDefault="00410D07">
            <w:pPr>
              <w:spacing w:line="134" w:lineRule="exact"/>
              <w:ind w:right="120"/>
              <w:jc w:val="center"/>
              <w:rPr>
                <w:sz w:val="20"/>
                <w:szCs w:val="20"/>
              </w:rPr>
            </w:pPr>
            <w:r>
              <w:rPr>
                <w:rFonts w:ascii="Arial" w:eastAsia="Arial" w:hAnsi="Arial" w:cs="Arial"/>
                <w:b/>
                <w:bCs/>
                <w:sz w:val="13"/>
                <w:szCs w:val="13"/>
              </w:rPr>
              <w:t>Grant</w:t>
            </w:r>
          </w:p>
        </w:tc>
        <w:tc>
          <w:tcPr>
            <w:tcW w:w="800" w:type="dxa"/>
            <w:gridSpan w:val="2"/>
            <w:vAlign w:val="bottom"/>
          </w:tcPr>
          <w:p w14:paraId="756A8A9C" w14:textId="77777777" w:rsidR="00D1587D" w:rsidRDefault="00410D07">
            <w:pPr>
              <w:spacing w:line="134" w:lineRule="exact"/>
              <w:ind w:right="120"/>
              <w:jc w:val="center"/>
              <w:rPr>
                <w:sz w:val="20"/>
                <w:szCs w:val="20"/>
              </w:rPr>
            </w:pPr>
            <w:r>
              <w:rPr>
                <w:rFonts w:ascii="Arial" w:eastAsia="Arial" w:hAnsi="Arial" w:cs="Arial"/>
                <w:b/>
                <w:bCs/>
                <w:w w:val="95"/>
                <w:sz w:val="13"/>
                <w:szCs w:val="13"/>
              </w:rPr>
              <w:t>Threshold</w:t>
            </w:r>
          </w:p>
        </w:tc>
        <w:tc>
          <w:tcPr>
            <w:tcW w:w="800" w:type="dxa"/>
            <w:gridSpan w:val="2"/>
            <w:vAlign w:val="bottom"/>
          </w:tcPr>
          <w:p w14:paraId="13546F52" w14:textId="77777777" w:rsidR="00D1587D" w:rsidRDefault="00410D07">
            <w:pPr>
              <w:spacing w:line="134" w:lineRule="exact"/>
              <w:ind w:left="160"/>
              <w:rPr>
                <w:sz w:val="20"/>
                <w:szCs w:val="20"/>
              </w:rPr>
            </w:pPr>
            <w:r>
              <w:rPr>
                <w:rFonts w:ascii="Arial" w:eastAsia="Arial" w:hAnsi="Arial" w:cs="Arial"/>
                <w:b/>
                <w:bCs/>
                <w:sz w:val="13"/>
                <w:szCs w:val="13"/>
              </w:rPr>
              <w:t>Target</w:t>
            </w:r>
          </w:p>
        </w:tc>
        <w:tc>
          <w:tcPr>
            <w:tcW w:w="800" w:type="dxa"/>
            <w:gridSpan w:val="2"/>
            <w:vAlign w:val="bottom"/>
          </w:tcPr>
          <w:p w14:paraId="293F5EF4" w14:textId="77777777" w:rsidR="00D1587D" w:rsidRDefault="00410D07">
            <w:pPr>
              <w:spacing w:line="134" w:lineRule="exact"/>
              <w:ind w:right="80"/>
              <w:jc w:val="center"/>
              <w:rPr>
                <w:sz w:val="20"/>
                <w:szCs w:val="20"/>
              </w:rPr>
            </w:pPr>
            <w:r>
              <w:rPr>
                <w:rFonts w:ascii="Arial" w:eastAsia="Arial" w:hAnsi="Arial" w:cs="Arial"/>
                <w:b/>
                <w:bCs/>
                <w:w w:val="99"/>
                <w:sz w:val="13"/>
                <w:szCs w:val="13"/>
              </w:rPr>
              <w:t>Maximum</w:t>
            </w:r>
          </w:p>
        </w:tc>
        <w:tc>
          <w:tcPr>
            <w:tcW w:w="720" w:type="dxa"/>
            <w:gridSpan w:val="2"/>
            <w:vAlign w:val="bottom"/>
          </w:tcPr>
          <w:p w14:paraId="7F2A7906" w14:textId="77777777" w:rsidR="00D1587D" w:rsidRDefault="00410D07">
            <w:pPr>
              <w:spacing w:line="134" w:lineRule="exact"/>
              <w:ind w:right="80"/>
              <w:jc w:val="center"/>
              <w:rPr>
                <w:sz w:val="20"/>
                <w:szCs w:val="20"/>
              </w:rPr>
            </w:pPr>
            <w:r>
              <w:rPr>
                <w:rFonts w:ascii="Arial" w:eastAsia="Arial" w:hAnsi="Arial" w:cs="Arial"/>
                <w:b/>
                <w:bCs/>
                <w:w w:val="95"/>
                <w:sz w:val="13"/>
                <w:szCs w:val="13"/>
              </w:rPr>
              <w:t>Threshold</w:t>
            </w:r>
          </w:p>
        </w:tc>
        <w:tc>
          <w:tcPr>
            <w:tcW w:w="520" w:type="dxa"/>
            <w:gridSpan w:val="2"/>
            <w:vAlign w:val="bottom"/>
          </w:tcPr>
          <w:p w14:paraId="1B71D8D6" w14:textId="77777777" w:rsidR="00D1587D" w:rsidRDefault="00410D07">
            <w:pPr>
              <w:spacing w:line="134" w:lineRule="exact"/>
              <w:ind w:right="80"/>
              <w:jc w:val="center"/>
              <w:rPr>
                <w:sz w:val="20"/>
                <w:szCs w:val="20"/>
              </w:rPr>
            </w:pPr>
            <w:r>
              <w:rPr>
                <w:rFonts w:ascii="Arial" w:eastAsia="Arial" w:hAnsi="Arial" w:cs="Arial"/>
                <w:b/>
                <w:bCs/>
                <w:w w:val="90"/>
                <w:sz w:val="13"/>
                <w:szCs w:val="13"/>
              </w:rPr>
              <w:t>Target</w:t>
            </w:r>
          </w:p>
        </w:tc>
        <w:tc>
          <w:tcPr>
            <w:tcW w:w="720" w:type="dxa"/>
            <w:gridSpan w:val="2"/>
            <w:vAlign w:val="bottom"/>
          </w:tcPr>
          <w:p w14:paraId="799854BE" w14:textId="77777777" w:rsidR="00D1587D" w:rsidRDefault="00410D07">
            <w:pPr>
              <w:spacing w:line="134" w:lineRule="exact"/>
              <w:ind w:right="80"/>
              <w:jc w:val="center"/>
              <w:rPr>
                <w:sz w:val="20"/>
                <w:szCs w:val="20"/>
              </w:rPr>
            </w:pPr>
            <w:r>
              <w:rPr>
                <w:rFonts w:ascii="Arial" w:eastAsia="Arial" w:hAnsi="Arial" w:cs="Arial"/>
                <w:b/>
                <w:bCs/>
                <w:w w:val="99"/>
                <w:sz w:val="13"/>
                <w:szCs w:val="13"/>
              </w:rPr>
              <w:t>Maximum</w:t>
            </w:r>
          </w:p>
        </w:tc>
        <w:tc>
          <w:tcPr>
            <w:tcW w:w="600" w:type="dxa"/>
            <w:gridSpan w:val="2"/>
            <w:vAlign w:val="bottom"/>
          </w:tcPr>
          <w:p w14:paraId="63F7F668" w14:textId="77777777" w:rsidR="00D1587D" w:rsidRDefault="00410D07">
            <w:pPr>
              <w:spacing w:line="134" w:lineRule="exact"/>
              <w:ind w:right="80"/>
              <w:jc w:val="center"/>
              <w:rPr>
                <w:sz w:val="20"/>
                <w:szCs w:val="20"/>
              </w:rPr>
            </w:pPr>
            <w:r>
              <w:rPr>
                <w:rFonts w:ascii="Arial" w:eastAsia="Arial" w:hAnsi="Arial" w:cs="Arial"/>
                <w:b/>
                <w:bCs/>
                <w:w w:val="97"/>
                <w:sz w:val="13"/>
                <w:szCs w:val="13"/>
              </w:rPr>
              <w:t>or Units</w:t>
            </w:r>
          </w:p>
        </w:tc>
        <w:tc>
          <w:tcPr>
            <w:tcW w:w="700" w:type="dxa"/>
            <w:gridSpan w:val="2"/>
            <w:vAlign w:val="bottom"/>
          </w:tcPr>
          <w:p w14:paraId="3AB4D783" w14:textId="77777777" w:rsidR="00D1587D" w:rsidRDefault="00410D07">
            <w:pPr>
              <w:spacing w:line="134" w:lineRule="exact"/>
              <w:ind w:right="80"/>
              <w:jc w:val="center"/>
              <w:rPr>
                <w:sz w:val="20"/>
                <w:szCs w:val="20"/>
              </w:rPr>
            </w:pPr>
            <w:r>
              <w:rPr>
                <w:rFonts w:ascii="Arial" w:eastAsia="Arial" w:hAnsi="Arial" w:cs="Arial"/>
                <w:b/>
                <w:bCs/>
                <w:w w:val="93"/>
                <w:sz w:val="13"/>
                <w:szCs w:val="13"/>
              </w:rPr>
              <w:t>Options</w:t>
            </w:r>
          </w:p>
        </w:tc>
        <w:tc>
          <w:tcPr>
            <w:tcW w:w="540" w:type="dxa"/>
            <w:gridSpan w:val="2"/>
            <w:vAlign w:val="bottom"/>
          </w:tcPr>
          <w:p w14:paraId="46BC8D5D" w14:textId="77777777" w:rsidR="00D1587D" w:rsidRDefault="00410D07">
            <w:pPr>
              <w:spacing w:line="134" w:lineRule="exact"/>
              <w:ind w:right="100"/>
              <w:jc w:val="center"/>
              <w:rPr>
                <w:sz w:val="20"/>
                <w:szCs w:val="20"/>
              </w:rPr>
            </w:pPr>
            <w:r>
              <w:rPr>
                <w:rFonts w:ascii="Arial" w:eastAsia="Arial" w:hAnsi="Arial" w:cs="Arial"/>
                <w:b/>
                <w:bCs/>
                <w:w w:val="93"/>
                <w:sz w:val="13"/>
                <w:szCs w:val="13"/>
              </w:rPr>
              <w:t>Awards</w:t>
            </w:r>
          </w:p>
        </w:tc>
        <w:tc>
          <w:tcPr>
            <w:tcW w:w="720" w:type="dxa"/>
            <w:vAlign w:val="bottom"/>
          </w:tcPr>
          <w:p w14:paraId="4A87FB48" w14:textId="77777777" w:rsidR="00D1587D" w:rsidRDefault="00410D07">
            <w:pPr>
              <w:spacing w:line="134" w:lineRule="exact"/>
              <w:jc w:val="center"/>
              <w:rPr>
                <w:sz w:val="20"/>
                <w:szCs w:val="20"/>
              </w:rPr>
            </w:pPr>
            <w:r>
              <w:rPr>
                <w:rFonts w:ascii="Arial" w:eastAsia="Arial" w:hAnsi="Arial" w:cs="Arial"/>
                <w:b/>
                <w:bCs/>
                <w:w w:val="93"/>
                <w:sz w:val="13"/>
                <w:szCs w:val="13"/>
              </w:rPr>
              <w:t>Awards</w:t>
            </w:r>
          </w:p>
        </w:tc>
      </w:tr>
      <w:tr w:rsidR="00D1587D" w14:paraId="50B44CBF" w14:textId="77777777">
        <w:trPr>
          <w:trHeight w:val="243"/>
        </w:trPr>
        <w:tc>
          <w:tcPr>
            <w:tcW w:w="1320" w:type="dxa"/>
            <w:tcBorders>
              <w:bottom w:val="single" w:sz="8" w:space="0" w:color="auto"/>
            </w:tcBorders>
            <w:vAlign w:val="bottom"/>
          </w:tcPr>
          <w:p w14:paraId="22FA3337" w14:textId="77777777" w:rsidR="00D1587D" w:rsidRDefault="00410D07">
            <w:pPr>
              <w:rPr>
                <w:sz w:val="20"/>
                <w:szCs w:val="20"/>
              </w:rPr>
            </w:pPr>
            <w:r>
              <w:rPr>
                <w:rFonts w:ascii="Arial" w:eastAsia="Arial" w:hAnsi="Arial" w:cs="Arial"/>
                <w:b/>
                <w:bCs/>
                <w:sz w:val="13"/>
                <w:szCs w:val="13"/>
              </w:rPr>
              <w:t>Name</w:t>
            </w:r>
          </w:p>
        </w:tc>
        <w:tc>
          <w:tcPr>
            <w:tcW w:w="80" w:type="dxa"/>
            <w:tcBorders>
              <w:bottom w:val="single" w:sz="8" w:space="0" w:color="CCEEFF"/>
            </w:tcBorders>
            <w:vAlign w:val="bottom"/>
          </w:tcPr>
          <w:p w14:paraId="738B94DA" w14:textId="77777777" w:rsidR="00D1587D" w:rsidRDefault="00D1587D">
            <w:pPr>
              <w:rPr>
                <w:sz w:val="21"/>
                <w:szCs w:val="21"/>
              </w:rPr>
            </w:pPr>
          </w:p>
        </w:tc>
        <w:tc>
          <w:tcPr>
            <w:tcW w:w="680" w:type="dxa"/>
            <w:tcBorders>
              <w:bottom w:val="single" w:sz="8" w:space="0" w:color="auto"/>
            </w:tcBorders>
            <w:vAlign w:val="bottom"/>
          </w:tcPr>
          <w:p w14:paraId="4CDA6129" w14:textId="77777777" w:rsidR="00D1587D" w:rsidRDefault="00410D07">
            <w:pPr>
              <w:jc w:val="center"/>
              <w:rPr>
                <w:sz w:val="20"/>
                <w:szCs w:val="20"/>
              </w:rPr>
            </w:pPr>
            <w:r>
              <w:rPr>
                <w:rFonts w:ascii="Arial" w:eastAsia="Arial" w:hAnsi="Arial" w:cs="Arial"/>
                <w:b/>
                <w:bCs/>
                <w:w w:val="99"/>
                <w:sz w:val="13"/>
                <w:szCs w:val="13"/>
              </w:rPr>
              <w:t>Date</w:t>
            </w:r>
          </w:p>
        </w:tc>
        <w:tc>
          <w:tcPr>
            <w:tcW w:w="80" w:type="dxa"/>
            <w:tcBorders>
              <w:bottom w:val="single" w:sz="8" w:space="0" w:color="CCEEFF"/>
            </w:tcBorders>
            <w:vAlign w:val="bottom"/>
          </w:tcPr>
          <w:p w14:paraId="70CE465F" w14:textId="77777777" w:rsidR="00D1587D" w:rsidRDefault="00D1587D">
            <w:pPr>
              <w:rPr>
                <w:sz w:val="21"/>
                <w:szCs w:val="21"/>
              </w:rPr>
            </w:pPr>
          </w:p>
        </w:tc>
        <w:tc>
          <w:tcPr>
            <w:tcW w:w="720" w:type="dxa"/>
            <w:tcBorders>
              <w:bottom w:val="single" w:sz="8" w:space="0" w:color="auto"/>
            </w:tcBorders>
            <w:vAlign w:val="bottom"/>
          </w:tcPr>
          <w:p w14:paraId="346E9A9B" w14:textId="77777777" w:rsidR="00D1587D" w:rsidRDefault="00410D07">
            <w:pPr>
              <w:jc w:val="center"/>
              <w:rPr>
                <w:sz w:val="20"/>
                <w:szCs w:val="20"/>
              </w:rPr>
            </w:pPr>
            <w:r>
              <w:rPr>
                <w:rFonts w:ascii="Arial" w:eastAsia="Arial" w:hAnsi="Arial" w:cs="Arial"/>
                <w:b/>
                <w:bCs/>
                <w:sz w:val="13"/>
                <w:szCs w:val="13"/>
              </w:rPr>
              <w:t>($)</w:t>
            </w:r>
          </w:p>
        </w:tc>
        <w:tc>
          <w:tcPr>
            <w:tcW w:w="80" w:type="dxa"/>
            <w:tcBorders>
              <w:bottom w:val="single" w:sz="8" w:space="0" w:color="CCEEFF"/>
            </w:tcBorders>
            <w:vAlign w:val="bottom"/>
          </w:tcPr>
          <w:p w14:paraId="122DFBF6" w14:textId="77777777" w:rsidR="00D1587D" w:rsidRDefault="00D1587D">
            <w:pPr>
              <w:rPr>
                <w:sz w:val="21"/>
                <w:szCs w:val="21"/>
              </w:rPr>
            </w:pPr>
          </w:p>
        </w:tc>
        <w:tc>
          <w:tcPr>
            <w:tcW w:w="720" w:type="dxa"/>
            <w:tcBorders>
              <w:bottom w:val="single" w:sz="8" w:space="0" w:color="auto"/>
            </w:tcBorders>
            <w:vAlign w:val="bottom"/>
          </w:tcPr>
          <w:p w14:paraId="0927C312" w14:textId="77777777" w:rsidR="00D1587D" w:rsidRDefault="00410D07">
            <w:pPr>
              <w:jc w:val="center"/>
              <w:rPr>
                <w:sz w:val="20"/>
                <w:szCs w:val="20"/>
              </w:rPr>
            </w:pPr>
            <w:r>
              <w:rPr>
                <w:rFonts w:ascii="Arial" w:eastAsia="Arial" w:hAnsi="Arial" w:cs="Arial"/>
                <w:b/>
                <w:bCs/>
                <w:sz w:val="13"/>
                <w:szCs w:val="13"/>
              </w:rPr>
              <w:t>($)</w:t>
            </w:r>
          </w:p>
        </w:tc>
        <w:tc>
          <w:tcPr>
            <w:tcW w:w="80" w:type="dxa"/>
            <w:tcBorders>
              <w:bottom w:val="single" w:sz="8" w:space="0" w:color="CCEEFF"/>
            </w:tcBorders>
            <w:vAlign w:val="bottom"/>
          </w:tcPr>
          <w:p w14:paraId="55732D94" w14:textId="77777777" w:rsidR="00D1587D" w:rsidRDefault="00D1587D">
            <w:pPr>
              <w:rPr>
                <w:sz w:val="21"/>
                <w:szCs w:val="21"/>
              </w:rPr>
            </w:pPr>
          </w:p>
        </w:tc>
        <w:tc>
          <w:tcPr>
            <w:tcW w:w="740" w:type="dxa"/>
            <w:tcBorders>
              <w:bottom w:val="single" w:sz="8" w:space="0" w:color="auto"/>
            </w:tcBorders>
            <w:vAlign w:val="bottom"/>
          </w:tcPr>
          <w:p w14:paraId="3EA86EC4" w14:textId="77777777" w:rsidR="00D1587D" w:rsidRDefault="00410D07">
            <w:pPr>
              <w:jc w:val="center"/>
              <w:rPr>
                <w:sz w:val="20"/>
                <w:szCs w:val="20"/>
              </w:rPr>
            </w:pPr>
            <w:r>
              <w:rPr>
                <w:rFonts w:ascii="Arial" w:eastAsia="Arial" w:hAnsi="Arial" w:cs="Arial"/>
                <w:b/>
                <w:bCs/>
                <w:sz w:val="13"/>
                <w:szCs w:val="13"/>
              </w:rPr>
              <w:t>($)</w:t>
            </w:r>
          </w:p>
        </w:tc>
        <w:tc>
          <w:tcPr>
            <w:tcW w:w="60" w:type="dxa"/>
            <w:tcBorders>
              <w:bottom w:val="single" w:sz="8" w:space="0" w:color="CCEEFF"/>
            </w:tcBorders>
            <w:vAlign w:val="bottom"/>
          </w:tcPr>
          <w:p w14:paraId="5EAE3389" w14:textId="77777777" w:rsidR="00D1587D" w:rsidRDefault="00D1587D">
            <w:pPr>
              <w:rPr>
                <w:sz w:val="21"/>
                <w:szCs w:val="21"/>
              </w:rPr>
            </w:pPr>
          </w:p>
        </w:tc>
        <w:tc>
          <w:tcPr>
            <w:tcW w:w="680" w:type="dxa"/>
            <w:tcBorders>
              <w:bottom w:val="single" w:sz="8" w:space="0" w:color="auto"/>
            </w:tcBorders>
            <w:vAlign w:val="bottom"/>
          </w:tcPr>
          <w:p w14:paraId="5BFC02E8" w14:textId="77777777" w:rsidR="00D1587D" w:rsidRDefault="00410D07">
            <w:pPr>
              <w:ind w:right="193"/>
              <w:jc w:val="right"/>
              <w:rPr>
                <w:sz w:val="20"/>
                <w:szCs w:val="20"/>
              </w:rPr>
            </w:pPr>
            <w:r>
              <w:rPr>
                <w:rFonts w:ascii="Arial" w:eastAsia="Arial" w:hAnsi="Arial" w:cs="Arial"/>
                <w:b/>
                <w:bCs/>
                <w:sz w:val="13"/>
                <w:szCs w:val="13"/>
              </w:rPr>
              <w:t>(#)</w:t>
            </w:r>
          </w:p>
        </w:tc>
        <w:tc>
          <w:tcPr>
            <w:tcW w:w="40" w:type="dxa"/>
            <w:tcBorders>
              <w:bottom w:val="single" w:sz="8" w:space="0" w:color="CCEEFF"/>
            </w:tcBorders>
            <w:vAlign w:val="bottom"/>
          </w:tcPr>
          <w:p w14:paraId="6E086CF3" w14:textId="77777777" w:rsidR="00D1587D" w:rsidRDefault="00D1587D">
            <w:pPr>
              <w:rPr>
                <w:sz w:val="21"/>
                <w:szCs w:val="21"/>
              </w:rPr>
            </w:pPr>
          </w:p>
        </w:tc>
        <w:tc>
          <w:tcPr>
            <w:tcW w:w="460" w:type="dxa"/>
            <w:tcBorders>
              <w:bottom w:val="single" w:sz="8" w:space="0" w:color="auto"/>
            </w:tcBorders>
            <w:vAlign w:val="bottom"/>
          </w:tcPr>
          <w:p w14:paraId="54488AFB" w14:textId="77777777" w:rsidR="00D1587D" w:rsidRDefault="00410D07">
            <w:pPr>
              <w:jc w:val="center"/>
              <w:rPr>
                <w:sz w:val="20"/>
                <w:szCs w:val="20"/>
              </w:rPr>
            </w:pPr>
            <w:r>
              <w:rPr>
                <w:rFonts w:ascii="Arial" w:eastAsia="Arial" w:hAnsi="Arial" w:cs="Arial"/>
                <w:b/>
                <w:bCs/>
                <w:sz w:val="13"/>
                <w:szCs w:val="13"/>
              </w:rPr>
              <w:t>(#)</w:t>
            </w:r>
          </w:p>
        </w:tc>
        <w:tc>
          <w:tcPr>
            <w:tcW w:w="60" w:type="dxa"/>
            <w:tcBorders>
              <w:bottom w:val="single" w:sz="8" w:space="0" w:color="CCEEFF"/>
            </w:tcBorders>
            <w:vAlign w:val="bottom"/>
          </w:tcPr>
          <w:p w14:paraId="7E089DD1" w14:textId="77777777" w:rsidR="00D1587D" w:rsidRDefault="00D1587D">
            <w:pPr>
              <w:rPr>
                <w:sz w:val="21"/>
                <w:szCs w:val="21"/>
              </w:rPr>
            </w:pPr>
          </w:p>
        </w:tc>
        <w:tc>
          <w:tcPr>
            <w:tcW w:w="680" w:type="dxa"/>
            <w:tcBorders>
              <w:bottom w:val="single" w:sz="8" w:space="0" w:color="auto"/>
            </w:tcBorders>
            <w:vAlign w:val="bottom"/>
          </w:tcPr>
          <w:p w14:paraId="2B9B4494" w14:textId="77777777" w:rsidR="00D1587D" w:rsidRDefault="00410D07">
            <w:pPr>
              <w:ind w:right="193"/>
              <w:jc w:val="right"/>
              <w:rPr>
                <w:sz w:val="20"/>
                <w:szCs w:val="20"/>
              </w:rPr>
            </w:pPr>
            <w:r>
              <w:rPr>
                <w:rFonts w:ascii="Arial" w:eastAsia="Arial" w:hAnsi="Arial" w:cs="Arial"/>
                <w:b/>
                <w:bCs/>
                <w:sz w:val="13"/>
                <w:szCs w:val="13"/>
              </w:rPr>
              <w:t>(#)</w:t>
            </w:r>
          </w:p>
        </w:tc>
        <w:tc>
          <w:tcPr>
            <w:tcW w:w="40" w:type="dxa"/>
            <w:tcBorders>
              <w:bottom w:val="single" w:sz="8" w:space="0" w:color="CCEEFF"/>
            </w:tcBorders>
            <w:vAlign w:val="bottom"/>
          </w:tcPr>
          <w:p w14:paraId="7EA299BC" w14:textId="77777777" w:rsidR="00D1587D" w:rsidRDefault="00D1587D">
            <w:pPr>
              <w:rPr>
                <w:sz w:val="21"/>
                <w:szCs w:val="21"/>
              </w:rPr>
            </w:pPr>
          </w:p>
        </w:tc>
        <w:tc>
          <w:tcPr>
            <w:tcW w:w="540" w:type="dxa"/>
            <w:tcBorders>
              <w:bottom w:val="single" w:sz="8" w:space="0" w:color="auto"/>
            </w:tcBorders>
            <w:vAlign w:val="bottom"/>
          </w:tcPr>
          <w:p w14:paraId="3EF0B570" w14:textId="77777777" w:rsidR="00D1587D" w:rsidRDefault="00410D07">
            <w:pPr>
              <w:spacing w:line="243" w:lineRule="exact"/>
              <w:ind w:right="32"/>
              <w:jc w:val="center"/>
              <w:rPr>
                <w:sz w:val="20"/>
                <w:szCs w:val="20"/>
              </w:rPr>
            </w:pPr>
            <w:r>
              <w:rPr>
                <w:rFonts w:ascii="Arial" w:eastAsia="Arial" w:hAnsi="Arial" w:cs="Arial"/>
                <w:b/>
                <w:bCs/>
                <w:sz w:val="13"/>
                <w:szCs w:val="13"/>
              </w:rPr>
              <w:t>(#)</w:t>
            </w:r>
            <w:r>
              <w:rPr>
                <w:rFonts w:ascii="Arial" w:eastAsia="Arial" w:hAnsi="Arial" w:cs="Arial"/>
                <w:b/>
                <w:bCs/>
                <w:vertAlign w:val="superscript"/>
              </w:rPr>
              <w:t>(2)</w:t>
            </w:r>
          </w:p>
        </w:tc>
        <w:tc>
          <w:tcPr>
            <w:tcW w:w="60" w:type="dxa"/>
            <w:tcBorders>
              <w:bottom w:val="single" w:sz="8" w:space="0" w:color="CCEEFF"/>
            </w:tcBorders>
            <w:vAlign w:val="bottom"/>
          </w:tcPr>
          <w:p w14:paraId="336D5225" w14:textId="77777777" w:rsidR="00D1587D" w:rsidRDefault="00D1587D">
            <w:pPr>
              <w:rPr>
                <w:sz w:val="21"/>
                <w:szCs w:val="21"/>
              </w:rPr>
            </w:pPr>
          </w:p>
        </w:tc>
        <w:tc>
          <w:tcPr>
            <w:tcW w:w="640" w:type="dxa"/>
            <w:tcBorders>
              <w:bottom w:val="single" w:sz="8" w:space="0" w:color="auto"/>
            </w:tcBorders>
            <w:vAlign w:val="bottom"/>
          </w:tcPr>
          <w:p w14:paraId="03F521B9" w14:textId="77777777" w:rsidR="00D1587D" w:rsidRDefault="00410D07">
            <w:pPr>
              <w:jc w:val="center"/>
              <w:rPr>
                <w:sz w:val="20"/>
                <w:szCs w:val="20"/>
              </w:rPr>
            </w:pPr>
            <w:r>
              <w:rPr>
                <w:rFonts w:ascii="Arial" w:eastAsia="Arial" w:hAnsi="Arial" w:cs="Arial"/>
                <w:b/>
                <w:bCs/>
                <w:sz w:val="13"/>
                <w:szCs w:val="13"/>
              </w:rPr>
              <w:t>(#)</w:t>
            </w:r>
          </w:p>
        </w:tc>
        <w:tc>
          <w:tcPr>
            <w:tcW w:w="60" w:type="dxa"/>
            <w:tcBorders>
              <w:bottom w:val="single" w:sz="8" w:space="0" w:color="CCEEFF"/>
            </w:tcBorders>
            <w:vAlign w:val="bottom"/>
          </w:tcPr>
          <w:p w14:paraId="6E1B663C" w14:textId="77777777" w:rsidR="00D1587D" w:rsidRDefault="00D1587D">
            <w:pPr>
              <w:rPr>
                <w:sz w:val="21"/>
                <w:szCs w:val="21"/>
              </w:rPr>
            </w:pPr>
          </w:p>
        </w:tc>
        <w:tc>
          <w:tcPr>
            <w:tcW w:w="480" w:type="dxa"/>
            <w:tcBorders>
              <w:bottom w:val="single" w:sz="8" w:space="0" w:color="auto"/>
            </w:tcBorders>
            <w:vAlign w:val="bottom"/>
          </w:tcPr>
          <w:p w14:paraId="2C2DF632" w14:textId="77777777" w:rsidR="00D1587D" w:rsidRDefault="00410D07">
            <w:pPr>
              <w:jc w:val="center"/>
              <w:rPr>
                <w:sz w:val="20"/>
                <w:szCs w:val="20"/>
              </w:rPr>
            </w:pPr>
            <w:r>
              <w:rPr>
                <w:rFonts w:ascii="Arial" w:eastAsia="Arial" w:hAnsi="Arial" w:cs="Arial"/>
                <w:b/>
                <w:bCs/>
                <w:w w:val="94"/>
                <w:sz w:val="13"/>
                <w:szCs w:val="13"/>
              </w:rPr>
              <w:t>($/Sh)</w:t>
            </w:r>
          </w:p>
        </w:tc>
        <w:tc>
          <w:tcPr>
            <w:tcW w:w="60" w:type="dxa"/>
            <w:tcBorders>
              <w:bottom w:val="single" w:sz="8" w:space="0" w:color="CCEEFF"/>
            </w:tcBorders>
            <w:vAlign w:val="bottom"/>
          </w:tcPr>
          <w:p w14:paraId="7A4AB34D" w14:textId="77777777" w:rsidR="00D1587D" w:rsidRDefault="00D1587D">
            <w:pPr>
              <w:rPr>
                <w:sz w:val="21"/>
                <w:szCs w:val="21"/>
              </w:rPr>
            </w:pPr>
          </w:p>
        </w:tc>
        <w:tc>
          <w:tcPr>
            <w:tcW w:w="720" w:type="dxa"/>
            <w:tcBorders>
              <w:bottom w:val="single" w:sz="8" w:space="0" w:color="auto"/>
            </w:tcBorders>
            <w:vAlign w:val="bottom"/>
          </w:tcPr>
          <w:p w14:paraId="1ECD9AB1" w14:textId="77777777" w:rsidR="00D1587D" w:rsidRDefault="00410D07">
            <w:pPr>
              <w:spacing w:line="243" w:lineRule="exact"/>
              <w:jc w:val="center"/>
              <w:rPr>
                <w:sz w:val="20"/>
                <w:szCs w:val="20"/>
              </w:rPr>
            </w:pPr>
            <w:r>
              <w:rPr>
                <w:rFonts w:ascii="Arial" w:eastAsia="Arial" w:hAnsi="Arial" w:cs="Arial"/>
                <w:b/>
                <w:bCs/>
                <w:w w:val="82"/>
                <w:sz w:val="13"/>
                <w:szCs w:val="13"/>
              </w:rPr>
              <w:t>($)</w:t>
            </w:r>
            <w:r>
              <w:rPr>
                <w:rFonts w:ascii="Arial" w:eastAsia="Arial" w:hAnsi="Arial" w:cs="Arial"/>
                <w:b/>
                <w:bCs/>
                <w:w w:val="82"/>
                <w:vertAlign w:val="superscript"/>
              </w:rPr>
              <w:t>(3)</w:t>
            </w:r>
          </w:p>
        </w:tc>
      </w:tr>
      <w:tr w:rsidR="00D1587D" w14:paraId="7D8E8CEB" w14:textId="77777777">
        <w:trPr>
          <w:trHeight w:val="243"/>
        </w:trPr>
        <w:tc>
          <w:tcPr>
            <w:tcW w:w="1320" w:type="dxa"/>
            <w:tcBorders>
              <w:bottom w:val="single" w:sz="8" w:space="0" w:color="CCEEFF"/>
            </w:tcBorders>
            <w:shd w:val="clear" w:color="auto" w:fill="CCEEFF"/>
            <w:vAlign w:val="bottom"/>
          </w:tcPr>
          <w:p w14:paraId="2FF10A10" w14:textId="77777777" w:rsidR="00D1587D" w:rsidRDefault="00410D07">
            <w:pPr>
              <w:rPr>
                <w:sz w:val="20"/>
                <w:szCs w:val="20"/>
              </w:rPr>
            </w:pPr>
            <w:r>
              <w:rPr>
                <w:rFonts w:ascii="Arial" w:eastAsia="Arial" w:hAnsi="Arial" w:cs="Arial"/>
                <w:sz w:val="14"/>
                <w:szCs w:val="14"/>
              </w:rPr>
              <w:t>Martin Waters</w:t>
            </w:r>
          </w:p>
        </w:tc>
        <w:tc>
          <w:tcPr>
            <w:tcW w:w="760" w:type="dxa"/>
            <w:gridSpan w:val="2"/>
            <w:tcBorders>
              <w:bottom w:val="single" w:sz="8" w:space="0" w:color="CCEEFF"/>
            </w:tcBorders>
            <w:shd w:val="clear" w:color="auto" w:fill="CCEEFF"/>
            <w:vAlign w:val="bottom"/>
          </w:tcPr>
          <w:p w14:paraId="4D1BD703" w14:textId="77777777" w:rsidR="00D1587D" w:rsidRDefault="00410D07">
            <w:pPr>
              <w:jc w:val="center"/>
              <w:rPr>
                <w:sz w:val="20"/>
                <w:szCs w:val="20"/>
              </w:rPr>
            </w:pPr>
            <w:r>
              <w:rPr>
                <w:rFonts w:ascii="Arial" w:eastAsia="Arial" w:hAnsi="Arial" w:cs="Arial"/>
                <w:w w:val="91"/>
                <w:sz w:val="14"/>
                <w:szCs w:val="14"/>
              </w:rPr>
              <w:t>12/11/2020</w:t>
            </w:r>
          </w:p>
        </w:tc>
        <w:tc>
          <w:tcPr>
            <w:tcW w:w="80" w:type="dxa"/>
            <w:tcBorders>
              <w:bottom w:val="single" w:sz="8" w:space="0" w:color="CCEEFF"/>
            </w:tcBorders>
            <w:shd w:val="clear" w:color="auto" w:fill="CCEEFF"/>
            <w:vAlign w:val="bottom"/>
          </w:tcPr>
          <w:p w14:paraId="401467B4" w14:textId="77777777" w:rsidR="00D1587D" w:rsidRDefault="00D1587D">
            <w:pPr>
              <w:rPr>
                <w:sz w:val="21"/>
                <w:szCs w:val="21"/>
              </w:rPr>
            </w:pPr>
          </w:p>
        </w:tc>
        <w:tc>
          <w:tcPr>
            <w:tcW w:w="720" w:type="dxa"/>
            <w:tcBorders>
              <w:bottom w:val="single" w:sz="8" w:space="0" w:color="CCEEFF"/>
            </w:tcBorders>
            <w:shd w:val="clear" w:color="auto" w:fill="CCEEFF"/>
            <w:vAlign w:val="bottom"/>
          </w:tcPr>
          <w:p w14:paraId="69DB4785" w14:textId="77777777" w:rsidR="00D1587D" w:rsidRDefault="00D1587D">
            <w:pPr>
              <w:rPr>
                <w:sz w:val="21"/>
                <w:szCs w:val="21"/>
              </w:rPr>
            </w:pPr>
          </w:p>
        </w:tc>
        <w:tc>
          <w:tcPr>
            <w:tcW w:w="80" w:type="dxa"/>
            <w:tcBorders>
              <w:bottom w:val="single" w:sz="8" w:space="0" w:color="CCEEFF"/>
            </w:tcBorders>
            <w:shd w:val="clear" w:color="auto" w:fill="CCEEFF"/>
            <w:vAlign w:val="bottom"/>
          </w:tcPr>
          <w:p w14:paraId="1C539F12" w14:textId="77777777" w:rsidR="00D1587D" w:rsidRDefault="00D1587D">
            <w:pPr>
              <w:rPr>
                <w:sz w:val="21"/>
                <w:szCs w:val="21"/>
              </w:rPr>
            </w:pPr>
          </w:p>
        </w:tc>
        <w:tc>
          <w:tcPr>
            <w:tcW w:w="720" w:type="dxa"/>
            <w:tcBorders>
              <w:bottom w:val="single" w:sz="8" w:space="0" w:color="CCEEFF"/>
            </w:tcBorders>
            <w:shd w:val="clear" w:color="auto" w:fill="CCEEFF"/>
            <w:vAlign w:val="bottom"/>
          </w:tcPr>
          <w:p w14:paraId="4F0A42A4" w14:textId="77777777" w:rsidR="00D1587D" w:rsidRDefault="00D1587D">
            <w:pPr>
              <w:rPr>
                <w:sz w:val="21"/>
                <w:szCs w:val="21"/>
              </w:rPr>
            </w:pPr>
          </w:p>
        </w:tc>
        <w:tc>
          <w:tcPr>
            <w:tcW w:w="80" w:type="dxa"/>
            <w:tcBorders>
              <w:bottom w:val="single" w:sz="8" w:space="0" w:color="CCEEFF"/>
            </w:tcBorders>
            <w:shd w:val="clear" w:color="auto" w:fill="CCEEFF"/>
            <w:vAlign w:val="bottom"/>
          </w:tcPr>
          <w:p w14:paraId="57AB63E5" w14:textId="77777777" w:rsidR="00D1587D" w:rsidRDefault="00D1587D">
            <w:pPr>
              <w:rPr>
                <w:sz w:val="21"/>
                <w:szCs w:val="21"/>
              </w:rPr>
            </w:pPr>
          </w:p>
        </w:tc>
        <w:tc>
          <w:tcPr>
            <w:tcW w:w="740" w:type="dxa"/>
            <w:tcBorders>
              <w:bottom w:val="single" w:sz="8" w:space="0" w:color="CCEEFF"/>
            </w:tcBorders>
            <w:shd w:val="clear" w:color="auto" w:fill="CCEEFF"/>
            <w:vAlign w:val="bottom"/>
          </w:tcPr>
          <w:p w14:paraId="65242B9F" w14:textId="77777777" w:rsidR="00D1587D" w:rsidRDefault="00D1587D">
            <w:pPr>
              <w:rPr>
                <w:sz w:val="21"/>
                <w:szCs w:val="21"/>
              </w:rPr>
            </w:pPr>
          </w:p>
        </w:tc>
        <w:tc>
          <w:tcPr>
            <w:tcW w:w="60" w:type="dxa"/>
            <w:tcBorders>
              <w:bottom w:val="single" w:sz="8" w:space="0" w:color="CCEEFF"/>
            </w:tcBorders>
            <w:shd w:val="clear" w:color="auto" w:fill="CCEEFF"/>
            <w:vAlign w:val="bottom"/>
          </w:tcPr>
          <w:p w14:paraId="37AA4E06" w14:textId="77777777" w:rsidR="00D1587D" w:rsidRDefault="00D1587D">
            <w:pPr>
              <w:rPr>
                <w:sz w:val="21"/>
                <w:szCs w:val="21"/>
              </w:rPr>
            </w:pPr>
          </w:p>
        </w:tc>
        <w:tc>
          <w:tcPr>
            <w:tcW w:w="680" w:type="dxa"/>
            <w:tcBorders>
              <w:bottom w:val="single" w:sz="8" w:space="0" w:color="CCEEFF"/>
            </w:tcBorders>
            <w:shd w:val="clear" w:color="auto" w:fill="CCEEFF"/>
            <w:vAlign w:val="bottom"/>
          </w:tcPr>
          <w:p w14:paraId="1B801F2A" w14:textId="77777777" w:rsidR="00D1587D" w:rsidRDefault="00D1587D">
            <w:pPr>
              <w:rPr>
                <w:sz w:val="21"/>
                <w:szCs w:val="21"/>
              </w:rPr>
            </w:pPr>
          </w:p>
        </w:tc>
        <w:tc>
          <w:tcPr>
            <w:tcW w:w="40" w:type="dxa"/>
            <w:tcBorders>
              <w:bottom w:val="single" w:sz="8" w:space="0" w:color="CCEEFF"/>
            </w:tcBorders>
            <w:shd w:val="clear" w:color="auto" w:fill="CCEEFF"/>
            <w:vAlign w:val="bottom"/>
          </w:tcPr>
          <w:p w14:paraId="1D383FB7" w14:textId="77777777" w:rsidR="00D1587D" w:rsidRDefault="00D1587D">
            <w:pPr>
              <w:rPr>
                <w:sz w:val="21"/>
                <w:szCs w:val="21"/>
              </w:rPr>
            </w:pPr>
          </w:p>
        </w:tc>
        <w:tc>
          <w:tcPr>
            <w:tcW w:w="460" w:type="dxa"/>
            <w:tcBorders>
              <w:bottom w:val="single" w:sz="8" w:space="0" w:color="CCEEFF"/>
            </w:tcBorders>
            <w:shd w:val="clear" w:color="auto" w:fill="CCEEFF"/>
            <w:vAlign w:val="bottom"/>
          </w:tcPr>
          <w:p w14:paraId="11F0FE77" w14:textId="77777777" w:rsidR="00D1587D" w:rsidRDefault="00D1587D">
            <w:pPr>
              <w:rPr>
                <w:sz w:val="21"/>
                <w:szCs w:val="21"/>
              </w:rPr>
            </w:pPr>
          </w:p>
        </w:tc>
        <w:tc>
          <w:tcPr>
            <w:tcW w:w="60" w:type="dxa"/>
            <w:tcBorders>
              <w:bottom w:val="single" w:sz="8" w:space="0" w:color="CCEEFF"/>
            </w:tcBorders>
            <w:shd w:val="clear" w:color="auto" w:fill="CCEEFF"/>
            <w:vAlign w:val="bottom"/>
          </w:tcPr>
          <w:p w14:paraId="655ECA6F" w14:textId="77777777" w:rsidR="00D1587D" w:rsidRDefault="00D1587D">
            <w:pPr>
              <w:rPr>
                <w:sz w:val="21"/>
                <w:szCs w:val="21"/>
              </w:rPr>
            </w:pPr>
          </w:p>
        </w:tc>
        <w:tc>
          <w:tcPr>
            <w:tcW w:w="680" w:type="dxa"/>
            <w:tcBorders>
              <w:bottom w:val="single" w:sz="8" w:space="0" w:color="CCEEFF"/>
            </w:tcBorders>
            <w:shd w:val="clear" w:color="auto" w:fill="CCEEFF"/>
            <w:vAlign w:val="bottom"/>
          </w:tcPr>
          <w:p w14:paraId="0088EECD" w14:textId="77777777" w:rsidR="00D1587D" w:rsidRDefault="00D1587D">
            <w:pPr>
              <w:rPr>
                <w:sz w:val="21"/>
                <w:szCs w:val="21"/>
              </w:rPr>
            </w:pPr>
          </w:p>
        </w:tc>
        <w:tc>
          <w:tcPr>
            <w:tcW w:w="40" w:type="dxa"/>
            <w:tcBorders>
              <w:bottom w:val="single" w:sz="8" w:space="0" w:color="CCEEFF"/>
            </w:tcBorders>
            <w:shd w:val="clear" w:color="auto" w:fill="CCEEFF"/>
            <w:vAlign w:val="bottom"/>
          </w:tcPr>
          <w:p w14:paraId="203DE639" w14:textId="77777777" w:rsidR="00D1587D" w:rsidRDefault="00D1587D">
            <w:pPr>
              <w:rPr>
                <w:sz w:val="21"/>
                <w:szCs w:val="21"/>
              </w:rPr>
            </w:pPr>
          </w:p>
        </w:tc>
        <w:tc>
          <w:tcPr>
            <w:tcW w:w="540" w:type="dxa"/>
            <w:tcBorders>
              <w:bottom w:val="single" w:sz="8" w:space="0" w:color="CCEEFF"/>
            </w:tcBorders>
            <w:shd w:val="clear" w:color="auto" w:fill="CCEEFF"/>
            <w:vAlign w:val="bottom"/>
          </w:tcPr>
          <w:p w14:paraId="01B5D195" w14:textId="77777777" w:rsidR="00D1587D" w:rsidRDefault="00410D07">
            <w:pPr>
              <w:jc w:val="right"/>
              <w:rPr>
                <w:sz w:val="20"/>
                <w:szCs w:val="20"/>
              </w:rPr>
            </w:pPr>
            <w:r>
              <w:rPr>
                <w:rFonts w:ascii="Arial" w:eastAsia="Arial" w:hAnsi="Arial" w:cs="Arial"/>
                <w:sz w:val="14"/>
                <w:szCs w:val="14"/>
              </w:rPr>
              <w:t>25,291</w:t>
            </w:r>
          </w:p>
        </w:tc>
        <w:tc>
          <w:tcPr>
            <w:tcW w:w="60" w:type="dxa"/>
            <w:tcBorders>
              <w:bottom w:val="single" w:sz="8" w:space="0" w:color="CCEEFF"/>
            </w:tcBorders>
            <w:shd w:val="clear" w:color="auto" w:fill="CCEEFF"/>
            <w:vAlign w:val="bottom"/>
          </w:tcPr>
          <w:p w14:paraId="3735FAF0" w14:textId="77777777" w:rsidR="00D1587D" w:rsidRDefault="00D1587D">
            <w:pPr>
              <w:rPr>
                <w:sz w:val="21"/>
                <w:szCs w:val="21"/>
              </w:rPr>
            </w:pPr>
          </w:p>
        </w:tc>
        <w:tc>
          <w:tcPr>
            <w:tcW w:w="640" w:type="dxa"/>
            <w:tcBorders>
              <w:bottom w:val="single" w:sz="8" w:space="0" w:color="CCEEFF"/>
            </w:tcBorders>
            <w:shd w:val="clear" w:color="auto" w:fill="CCEEFF"/>
            <w:vAlign w:val="bottom"/>
          </w:tcPr>
          <w:p w14:paraId="2CE8950E" w14:textId="77777777" w:rsidR="00D1587D" w:rsidRDefault="00D1587D">
            <w:pPr>
              <w:rPr>
                <w:sz w:val="21"/>
                <w:szCs w:val="21"/>
              </w:rPr>
            </w:pPr>
          </w:p>
        </w:tc>
        <w:tc>
          <w:tcPr>
            <w:tcW w:w="60" w:type="dxa"/>
            <w:tcBorders>
              <w:bottom w:val="single" w:sz="8" w:space="0" w:color="CCEEFF"/>
            </w:tcBorders>
            <w:shd w:val="clear" w:color="auto" w:fill="CCEEFF"/>
            <w:vAlign w:val="bottom"/>
          </w:tcPr>
          <w:p w14:paraId="71AB144C" w14:textId="77777777" w:rsidR="00D1587D" w:rsidRDefault="00D1587D">
            <w:pPr>
              <w:rPr>
                <w:sz w:val="21"/>
                <w:szCs w:val="21"/>
              </w:rPr>
            </w:pPr>
          </w:p>
        </w:tc>
        <w:tc>
          <w:tcPr>
            <w:tcW w:w="480" w:type="dxa"/>
            <w:tcBorders>
              <w:bottom w:val="single" w:sz="8" w:space="0" w:color="CCEEFF"/>
            </w:tcBorders>
            <w:shd w:val="clear" w:color="auto" w:fill="CCEEFF"/>
            <w:vAlign w:val="bottom"/>
          </w:tcPr>
          <w:p w14:paraId="4B369C1F" w14:textId="77777777" w:rsidR="00D1587D" w:rsidRDefault="00D1587D">
            <w:pPr>
              <w:rPr>
                <w:sz w:val="21"/>
                <w:szCs w:val="21"/>
              </w:rPr>
            </w:pPr>
          </w:p>
        </w:tc>
        <w:tc>
          <w:tcPr>
            <w:tcW w:w="60" w:type="dxa"/>
            <w:tcBorders>
              <w:bottom w:val="single" w:sz="8" w:space="0" w:color="CCEEFF"/>
            </w:tcBorders>
            <w:shd w:val="clear" w:color="auto" w:fill="CCEEFF"/>
            <w:vAlign w:val="bottom"/>
          </w:tcPr>
          <w:p w14:paraId="09103C7D" w14:textId="77777777" w:rsidR="00D1587D" w:rsidRDefault="00D1587D">
            <w:pPr>
              <w:rPr>
                <w:sz w:val="21"/>
                <w:szCs w:val="21"/>
              </w:rPr>
            </w:pPr>
          </w:p>
        </w:tc>
        <w:tc>
          <w:tcPr>
            <w:tcW w:w="720" w:type="dxa"/>
            <w:tcBorders>
              <w:bottom w:val="single" w:sz="8" w:space="0" w:color="CCEEFF"/>
            </w:tcBorders>
            <w:shd w:val="clear" w:color="auto" w:fill="CCEEFF"/>
            <w:vAlign w:val="bottom"/>
          </w:tcPr>
          <w:p w14:paraId="4EED381D" w14:textId="77777777" w:rsidR="00D1587D" w:rsidRDefault="00410D07">
            <w:pPr>
              <w:jc w:val="right"/>
              <w:rPr>
                <w:sz w:val="20"/>
                <w:szCs w:val="20"/>
              </w:rPr>
            </w:pPr>
            <w:r>
              <w:rPr>
                <w:rFonts w:ascii="Arial" w:eastAsia="Arial" w:hAnsi="Arial" w:cs="Arial"/>
                <w:w w:val="94"/>
                <w:sz w:val="14"/>
                <w:szCs w:val="14"/>
              </w:rPr>
              <w:t>$1,000,006</w:t>
            </w:r>
          </w:p>
        </w:tc>
      </w:tr>
      <w:tr w:rsidR="00D1587D" w14:paraId="5B0EAC40" w14:textId="77777777">
        <w:trPr>
          <w:trHeight w:val="218"/>
        </w:trPr>
        <w:tc>
          <w:tcPr>
            <w:tcW w:w="1320" w:type="dxa"/>
            <w:vAlign w:val="bottom"/>
          </w:tcPr>
          <w:p w14:paraId="60C11226" w14:textId="77777777" w:rsidR="00D1587D" w:rsidRDefault="00D1587D">
            <w:pPr>
              <w:rPr>
                <w:sz w:val="18"/>
                <w:szCs w:val="18"/>
              </w:rPr>
            </w:pPr>
          </w:p>
        </w:tc>
        <w:tc>
          <w:tcPr>
            <w:tcW w:w="80" w:type="dxa"/>
            <w:vAlign w:val="bottom"/>
          </w:tcPr>
          <w:p w14:paraId="69E22287" w14:textId="77777777" w:rsidR="00D1587D" w:rsidRDefault="00D1587D">
            <w:pPr>
              <w:rPr>
                <w:sz w:val="18"/>
                <w:szCs w:val="18"/>
              </w:rPr>
            </w:pPr>
          </w:p>
        </w:tc>
        <w:tc>
          <w:tcPr>
            <w:tcW w:w="680" w:type="dxa"/>
            <w:vAlign w:val="bottom"/>
          </w:tcPr>
          <w:p w14:paraId="2353965F" w14:textId="77777777" w:rsidR="00D1587D" w:rsidRDefault="00D1587D">
            <w:pPr>
              <w:rPr>
                <w:sz w:val="18"/>
                <w:szCs w:val="18"/>
              </w:rPr>
            </w:pPr>
          </w:p>
        </w:tc>
        <w:tc>
          <w:tcPr>
            <w:tcW w:w="80" w:type="dxa"/>
            <w:vAlign w:val="bottom"/>
          </w:tcPr>
          <w:p w14:paraId="58BC819E" w14:textId="77777777" w:rsidR="00D1587D" w:rsidRDefault="00D1587D">
            <w:pPr>
              <w:rPr>
                <w:sz w:val="18"/>
                <w:szCs w:val="18"/>
              </w:rPr>
            </w:pPr>
          </w:p>
        </w:tc>
        <w:tc>
          <w:tcPr>
            <w:tcW w:w="720" w:type="dxa"/>
            <w:vAlign w:val="bottom"/>
          </w:tcPr>
          <w:p w14:paraId="52C572B3" w14:textId="77777777" w:rsidR="00D1587D" w:rsidRDefault="00410D07">
            <w:pPr>
              <w:jc w:val="center"/>
              <w:rPr>
                <w:sz w:val="20"/>
                <w:szCs w:val="20"/>
              </w:rPr>
            </w:pPr>
            <w:r>
              <w:rPr>
                <w:rFonts w:ascii="Arial" w:eastAsia="Arial" w:hAnsi="Arial" w:cs="Arial"/>
                <w:w w:val="90"/>
                <w:sz w:val="14"/>
                <w:szCs w:val="14"/>
              </w:rPr>
              <w:t>378,000</w:t>
            </w:r>
          </w:p>
        </w:tc>
        <w:tc>
          <w:tcPr>
            <w:tcW w:w="80" w:type="dxa"/>
            <w:vAlign w:val="bottom"/>
          </w:tcPr>
          <w:p w14:paraId="7BCE10DE" w14:textId="77777777" w:rsidR="00D1587D" w:rsidRDefault="00D1587D">
            <w:pPr>
              <w:rPr>
                <w:sz w:val="18"/>
                <w:szCs w:val="18"/>
              </w:rPr>
            </w:pPr>
          </w:p>
        </w:tc>
        <w:tc>
          <w:tcPr>
            <w:tcW w:w="720" w:type="dxa"/>
            <w:vAlign w:val="bottom"/>
          </w:tcPr>
          <w:p w14:paraId="2B6A1EAB" w14:textId="77777777" w:rsidR="00D1587D" w:rsidRDefault="00410D07">
            <w:pPr>
              <w:jc w:val="center"/>
              <w:rPr>
                <w:sz w:val="20"/>
                <w:szCs w:val="20"/>
              </w:rPr>
            </w:pPr>
            <w:r>
              <w:rPr>
                <w:rFonts w:ascii="Arial" w:eastAsia="Arial" w:hAnsi="Arial" w:cs="Arial"/>
                <w:w w:val="93"/>
                <w:sz w:val="14"/>
                <w:szCs w:val="14"/>
              </w:rPr>
              <w:t>1,890,000</w:t>
            </w:r>
          </w:p>
        </w:tc>
        <w:tc>
          <w:tcPr>
            <w:tcW w:w="80" w:type="dxa"/>
            <w:vAlign w:val="bottom"/>
          </w:tcPr>
          <w:p w14:paraId="21275014" w14:textId="77777777" w:rsidR="00D1587D" w:rsidRDefault="00D1587D">
            <w:pPr>
              <w:rPr>
                <w:sz w:val="18"/>
                <w:szCs w:val="18"/>
              </w:rPr>
            </w:pPr>
          </w:p>
        </w:tc>
        <w:tc>
          <w:tcPr>
            <w:tcW w:w="740" w:type="dxa"/>
            <w:vAlign w:val="bottom"/>
          </w:tcPr>
          <w:p w14:paraId="7C37CD74" w14:textId="77777777" w:rsidR="00D1587D" w:rsidRDefault="00410D07">
            <w:pPr>
              <w:jc w:val="center"/>
              <w:rPr>
                <w:sz w:val="20"/>
                <w:szCs w:val="20"/>
              </w:rPr>
            </w:pPr>
            <w:r>
              <w:rPr>
                <w:rFonts w:ascii="Arial" w:eastAsia="Arial" w:hAnsi="Arial" w:cs="Arial"/>
                <w:w w:val="93"/>
                <w:sz w:val="14"/>
                <w:szCs w:val="14"/>
              </w:rPr>
              <w:t>3,780,000</w:t>
            </w:r>
          </w:p>
        </w:tc>
        <w:tc>
          <w:tcPr>
            <w:tcW w:w="60" w:type="dxa"/>
            <w:vAlign w:val="bottom"/>
          </w:tcPr>
          <w:p w14:paraId="03D1D235" w14:textId="77777777" w:rsidR="00D1587D" w:rsidRDefault="00D1587D">
            <w:pPr>
              <w:rPr>
                <w:sz w:val="18"/>
                <w:szCs w:val="18"/>
              </w:rPr>
            </w:pPr>
          </w:p>
        </w:tc>
        <w:tc>
          <w:tcPr>
            <w:tcW w:w="680" w:type="dxa"/>
            <w:vAlign w:val="bottom"/>
          </w:tcPr>
          <w:p w14:paraId="2379E07F" w14:textId="77777777" w:rsidR="00D1587D" w:rsidRDefault="00D1587D">
            <w:pPr>
              <w:rPr>
                <w:sz w:val="18"/>
                <w:szCs w:val="18"/>
              </w:rPr>
            </w:pPr>
          </w:p>
        </w:tc>
        <w:tc>
          <w:tcPr>
            <w:tcW w:w="40" w:type="dxa"/>
            <w:vAlign w:val="bottom"/>
          </w:tcPr>
          <w:p w14:paraId="15A6262E" w14:textId="77777777" w:rsidR="00D1587D" w:rsidRDefault="00D1587D">
            <w:pPr>
              <w:rPr>
                <w:sz w:val="18"/>
                <w:szCs w:val="18"/>
              </w:rPr>
            </w:pPr>
          </w:p>
        </w:tc>
        <w:tc>
          <w:tcPr>
            <w:tcW w:w="460" w:type="dxa"/>
            <w:vAlign w:val="bottom"/>
          </w:tcPr>
          <w:p w14:paraId="22137579" w14:textId="77777777" w:rsidR="00D1587D" w:rsidRDefault="00D1587D">
            <w:pPr>
              <w:rPr>
                <w:sz w:val="18"/>
                <w:szCs w:val="18"/>
              </w:rPr>
            </w:pPr>
          </w:p>
        </w:tc>
        <w:tc>
          <w:tcPr>
            <w:tcW w:w="60" w:type="dxa"/>
            <w:vAlign w:val="bottom"/>
          </w:tcPr>
          <w:p w14:paraId="5F8E76BA" w14:textId="77777777" w:rsidR="00D1587D" w:rsidRDefault="00D1587D">
            <w:pPr>
              <w:rPr>
                <w:sz w:val="18"/>
                <w:szCs w:val="18"/>
              </w:rPr>
            </w:pPr>
          </w:p>
        </w:tc>
        <w:tc>
          <w:tcPr>
            <w:tcW w:w="680" w:type="dxa"/>
            <w:vAlign w:val="bottom"/>
          </w:tcPr>
          <w:p w14:paraId="776D9A41" w14:textId="77777777" w:rsidR="00D1587D" w:rsidRDefault="00D1587D">
            <w:pPr>
              <w:rPr>
                <w:sz w:val="18"/>
                <w:szCs w:val="18"/>
              </w:rPr>
            </w:pPr>
          </w:p>
        </w:tc>
        <w:tc>
          <w:tcPr>
            <w:tcW w:w="40" w:type="dxa"/>
            <w:vAlign w:val="bottom"/>
          </w:tcPr>
          <w:p w14:paraId="42C3A3E7" w14:textId="77777777" w:rsidR="00D1587D" w:rsidRDefault="00D1587D">
            <w:pPr>
              <w:rPr>
                <w:sz w:val="18"/>
                <w:szCs w:val="18"/>
              </w:rPr>
            </w:pPr>
          </w:p>
        </w:tc>
        <w:tc>
          <w:tcPr>
            <w:tcW w:w="540" w:type="dxa"/>
            <w:vAlign w:val="bottom"/>
          </w:tcPr>
          <w:p w14:paraId="6673AB29" w14:textId="77777777" w:rsidR="00D1587D" w:rsidRDefault="00D1587D">
            <w:pPr>
              <w:rPr>
                <w:sz w:val="18"/>
                <w:szCs w:val="18"/>
              </w:rPr>
            </w:pPr>
          </w:p>
        </w:tc>
        <w:tc>
          <w:tcPr>
            <w:tcW w:w="60" w:type="dxa"/>
            <w:vAlign w:val="bottom"/>
          </w:tcPr>
          <w:p w14:paraId="7E7A205A" w14:textId="77777777" w:rsidR="00D1587D" w:rsidRDefault="00D1587D">
            <w:pPr>
              <w:rPr>
                <w:sz w:val="18"/>
                <w:szCs w:val="18"/>
              </w:rPr>
            </w:pPr>
          </w:p>
        </w:tc>
        <w:tc>
          <w:tcPr>
            <w:tcW w:w="640" w:type="dxa"/>
            <w:vAlign w:val="bottom"/>
          </w:tcPr>
          <w:p w14:paraId="2E382272" w14:textId="77777777" w:rsidR="00D1587D" w:rsidRDefault="00D1587D">
            <w:pPr>
              <w:rPr>
                <w:sz w:val="18"/>
                <w:szCs w:val="18"/>
              </w:rPr>
            </w:pPr>
          </w:p>
        </w:tc>
        <w:tc>
          <w:tcPr>
            <w:tcW w:w="60" w:type="dxa"/>
            <w:vAlign w:val="bottom"/>
          </w:tcPr>
          <w:p w14:paraId="3A8E2BBB" w14:textId="77777777" w:rsidR="00D1587D" w:rsidRDefault="00D1587D">
            <w:pPr>
              <w:rPr>
                <w:sz w:val="18"/>
                <w:szCs w:val="18"/>
              </w:rPr>
            </w:pPr>
          </w:p>
        </w:tc>
        <w:tc>
          <w:tcPr>
            <w:tcW w:w="480" w:type="dxa"/>
            <w:vAlign w:val="bottom"/>
          </w:tcPr>
          <w:p w14:paraId="7B30873C" w14:textId="77777777" w:rsidR="00D1587D" w:rsidRDefault="00D1587D">
            <w:pPr>
              <w:rPr>
                <w:sz w:val="18"/>
                <w:szCs w:val="18"/>
              </w:rPr>
            </w:pPr>
          </w:p>
        </w:tc>
        <w:tc>
          <w:tcPr>
            <w:tcW w:w="60" w:type="dxa"/>
            <w:vAlign w:val="bottom"/>
          </w:tcPr>
          <w:p w14:paraId="0FC114FE" w14:textId="77777777" w:rsidR="00D1587D" w:rsidRDefault="00D1587D">
            <w:pPr>
              <w:rPr>
                <w:sz w:val="18"/>
                <w:szCs w:val="18"/>
              </w:rPr>
            </w:pPr>
          </w:p>
        </w:tc>
        <w:tc>
          <w:tcPr>
            <w:tcW w:w="720" w:type="dxa"/>
            <w:vAlign w:val="bottom"/>
          </w:tcPr>
          <w:p w14:paraId="7D4F020D" w14:textId="77777777" w:rsidR="00D1587D" w:rsidRDefault="00D1587D">
            <w:pPr>
              <w:rPr>
                <w:sz w:val="18"/>
                <w:szCs w:val="18"/>
              </w:rPr>
            </w:pPr>
          </w:p>
        </w:tc>
      </w:tr>
      <w:tr w:rsidR="00D1587D" w14:paraId="2529F1DB" w14:textId="77777777">
        <w:trPr>
          <w:trHeight w:val="39"/>
        </w:trPr>
        <w:tc>
          <w:tcPr>
            <w:tcW w:w="1320" w:type="dxa"/>
            <w:vAlign w:val="bottom"/>
          </w:tcPr>
          <w:p w14:paraId="5CF2F315" w14:textId="77777777" w:rsidR="00D1587D" w:rsidRDefault="00D1587D">
            <w:pPr>
              <w:rPr>
                <w:sz w:val="3"/>
                <w:szCs w:val="3"/>
              </w:rPr>
            </w:pPr>
          </w:p>
        </w:tc>
        <w:tc>
          <w:tcPr>
            <w:tcW w:w="80" w:type="dxa"/>
            <w:vAlign w:val="bottom"/>
          </w:tcPr>
          <w:p w14:paraId="6F6452AE" w14:textId="77777777" w:rsidR="00D1587D" w:rsidRDefault="00D1587D">
            <w:pPr>
              <w:rPr>
                <w:sz w:val="3"/>
                <w:szCs w:val="3"/>
              </w:rPr>
            </w:pPr>
          </w:p>
        </w:tc>
        <w:tc>
          <w:tcPr>
            <w:tcW w:w="680" w:type="dxa"/>
            <w:vAlign w:val="bottom"/>
          </w:tcPr>
          <w:p w14:paraId="76C4C62F" w14:textId="77777777" w:rsidR="00D1587D" w:rsidRDefault="00D1587D">
            <w:pPr>
              <w:rPr>
                <w:sz w:val="3"/>
                <w:szCs w:val="3"/>
              </w:rPr>
            </w:pPr>
          </w:p>
        </w:tc>
        <w:tc>
          <w:tcPr>
            <w:tcW w:w="80" w:type="dxa"/>
            <w:vAlign w:val="bottom"/>
          </w:tcPr>
          <w:p w14:paraId="75F3E558" w14:textId="77777777" w:rsidR="00D1587D" w:rsidRDefault="00D1587D">
            <w:pPr>
              <w:rPr>
                <w:sz w:val="3"/>
                <w:szCs w:val="3"/>
              </w:rPr>
            </w:pPr>
          </w:p>
        </w:tc>
        <w:tc>
          <w:tcPr>
            <w:tcW w:w="720" w:type="dxa"/>
            <w:vAlign w:val="bottom"/>
          </w:tcPr>
          <w:p w14:paraId="28B24CF1" w14:textId="77777777" w:rsidR="00D1587D" w:rsidRDefault="00D1587D">
            <w:pPr>
              <w:rPr>
                <w:sz w:val="3"/>
                <w:szCs w:val="3"/>
              </w:rPr>
            </w:pPr>
          </w:p>
        </w:tc>
        <w:tc>
          <w:tcPr>
            <w:tcW w:w="80" w:type="dxa"/>
            <w:vAlign w:val="bottom"/>
          </w:tcPr>
          <w:p w14:paraId="5B3E89A6" w14:textId="77777777" w:rsidR="00D1587D" w:rsidRDefault="00D1587D">
            <w:pPr>
              <w:rPr>
                <w:sz w:val="3"/>
                <w:szCs w:val="3"/>
              </w:rPr>
            </w:pPr>
          </w:p>
        </w:tc>
        <w:tc>
          <w:tcPr>
            <w:tcW w:w="720" w:type="dxa"/>
            <w:vAlign w:val="bottom"/>
          </w:tcPr>
          <w:p w14:paraId="093385D1" w14:textId="77777777" w:rsidR="00D1587D" w:rsidRDefault="00D1587D">
            <w:pPr>
              <w:rPr>
                <w:sz w:val="3"/>
                <w:szCs w:val="3"/>
              </w:rPr>
            </w:pPr>
          </w:p>
        </w:tc>
        <w:tc>
          <w:tcPr>
            <w:tcW w:w="80" w:type="dxa"/>
            <w:vAlign w:val="bottom"/>
          </w:tcPr>
          <w:p w14:paraId="18A1549B" w14:textId="77777777" w:rsidR="00D1587D" w:rsidRDefault="00D1587D">
            <w:pPr>
              <w:rPr>
                <w:sz w:val="3"/>
                <w:szCs w:val="3"/>
              </w:rPr>
            </w:pPr>
          </w:p>
        </w:tc>
        <w:tc>
          <w:tcPr>
            <w:tcW w:w="740" w:type="dxa"/>
            <w:vAlign w:val="bottom"/>
          </w:tcPr>
          <w:p w14:paraId="00378233" w14:textId="77777777" w:rsidR="00D1587D" w:rsidRDefault="00D1587D">
            <w:pPr>
              <w:rPr>
                <w:sz w:val="3"/>
                <w:szCs w:val="3"/>
              </w:rPr>
            </w:pPr>
          </w:p>
        </w:tc>
        <w:tc>
          <w:tcPr>
            <w:tcW w:w="60" w:type="dxa"/>
            <w:vAlign w:val="bottom"/>
          </w:tcPr>
          <w:p w14:paraId="6C8A815E" w14:textId="77777777" w:rsidR="00D1587D" w:rsidRDefault="00D1587D">
            <w:pPr>
              <w:rPr>
                <w:sz w:val="3"/>
                <w:szCs w:val="3"/>
              </w:rPr>
            </w:pPr>
          </w:p>
        </w:tc>
        <w:tc>
          <w:tcPr>
            <w:tcW w:w="680" w:type="dxa"/>
            <w:vAlign w:val="bottom"/>
          </w:tcPr>
          <w:p w14:paraId="1891DEC0" w14:textId="77777777" w:rsidR="00D1587D" w:rsidRDefault="00D1587D">
            <w:pPr>
              <w:rPr>
                <w:sz w:val="3"/>
                <w:szCs w:val="3"/>
              </w:rPr>
            </w:pPr>
          </w:p>
        </w:tc>
        <w:tc>
          <w:tcPr>
            <w:tcW w:w="40" w:type="dxa"/>
            <w:vAlign w:val="bottom"/>
          </w:tcPr>
          <w:p w14:paraId="2F1B2752" w14:textId="77777777" w:rsidR="00D1587D" w:rsidRDefault="00D1587D">
            <w:pPr>
              <w:rPr>
                <w:sz w:val="3"/>
                <w:szCs w:val="3"/>
              </w:rPr>
            </w:pPr>
          </w:p>
        </w:tc>
        <w:tc>
          <w:tcPr>
            <w:tcW w:w="460" w:type="dxa"/>
            <w:vAlign w:val="bottom"/>
          </w:tcPr>
          <w:p w14:paraId="3FC037C6" w14:textId="77777777" w:rsidR="00D1587D" w:rsidRDefault="00D1587D">
            <w:pPr>
              <w:rPr>
                <w:sz w:val="3"/>
                <w:szCs w:val="3"/>
              </w:rPr>
            </w:pPr>
          </w:p>
        </w:tc>
        <w:tc>
          <w:tcPr>
            <w:tcW w:w="60" w:type="dxa"/>
            <w:vAlign w:val="bottom"/>
          </w:tcPr>
          <w:p w14:paraId="4C288F9B" w14:textId="77777777" w:rsidR="00D1587D" w:rsidRDefault="00D1587D">
            <w:pPr>
              <w:rPr>
                <w:sz w:val="3"/>
                <w:szCs w:val="3"/>
              </w:rPr>
            </w:pPr>
          </w:p>
        </w:tc>
        <w:tc>
          <w:tcPr>
            <w:tcW w:w="680" w:type="dxa"/>
            <w:vAlign w:val="bottom"/>
          </w:tcPr>
          <w:p w14:paraId="4B19FDA2" w14:textId="77777777" w:rsidR="00D1587D" w:rsidRDefault="00D1587D">
            <w:pPr>
              <w:rPr>
                <w:sz w:val="3"/>
                <w:szCs w:val="3"/>
              </w:rPr>
            </w:pPr>
          </w:p>
        </w:tc>
        <w:tc>
          <w:tcPr>
            <w:tcW w:w="40" w:type="dxa"/>
            <w:vAlign w:val="bottom"/>
          </w:tcPr>
          <w:p w14:paraId="3F23FEE7" w14:textId="77777777" w:rsidR="00D1587D" w:rsidRDefault="00D1587D">
            <w:pPr>
              <w:rPr>
                <w:sz w:val="3"/>
                <w:szCs w:val="3"/>
              </w:rPr>
            </w:pPr>
          </w:p>
        </w:tc>
        <w:tc>
          <w:tcPr>
            <w:tcW w:w="540" w:type="dxa"/>
            <w:vAlign w:val="bottom"/>
          </w:tcPr>
          <w:p w14:paraId="62F6AF98" w14:textId="77777777" w:rsidR="00D1587D" w:rsidRDefault="00D1587D">
            <w:pPr>
              <w:rPr>
                <w:sz w:val="3"/>
                <w:szCs w:val="3"/>
              </w:rPr>
            </w:pPr>
          </w:p>
        </w:tc>
        <w:tc>
          <w:tcPr>
            <w:tcW w:w="60" w:type="dxa"/>
            <w:vAlign w:val="bottom"/>
          </w:tcPr>
          <w:p w14:paraId="2CBB4598" w14:textId="77777777" w:rsidR="00D1587D" w:rsidRDefault="00D1587D">
            <w:pPr>
              <w:rPr>
                <w:sz w:val="3"/>
                <w:szCs w:val="3"/>
              </w:rPr>
            </w:pPr>
          </w:p>
        </w:tc>
        <w:tc>
          <w:tcPr>
            <w:tcW w:w="640" w:type="dxa"/>
            <w:vAlign w:val="bottom"/>
          </w:tcPr>
          <w:p w14:paraId="276996DC" w14:textId="77777777" w:rsidR="00D1587D" w:rsidRDefault="00D1587D">
            <w:pPr>
              <w:rPr>
                <w:sz w:val="3"/>
                <w:szCs w:val="3"/>
              </w:rPr>
            </w:pPr>
          </w:p>
        </w:tc>
        <w:tc>
          <w:tcPr>
            <w:tcW w:w="60" w:type="dxa"/>
            <w:vAlign w:val="bottom"/>
          </w:tcPr>
          <w:p w14:paraId="18CD4A12" w14:textId="77777777" w:rsidR="00D1587D" w:rsidRDefault="00D1587D">
            <w:pPr>
              <w:rPr>
                <w:sz w:val="3"/>
                <w:szCs w:val="3"/>
              </w:rPr>
            </w:pPr>
          </w:p>
        </w:tc>
        <w:tc>
          <w:tcPr>
            <w:tcW w:w="480" w:type="dxa"/>
            <w:vAlign w:val="bottom"/>
          </w:tcPr>
          <w:p w14:paraId="169F4758" w14:textId="77777777" w:rsidR="00D1587D" w:rsidRDefault="00D1587D">
            <w:pPr>
              <w:rPr>
                <w:sz w:val="3"/>
                <w:szCs w:val="3"/>
              </w:rPr>
            </w:pPr>
          </w:p>
        </w:tc>
        <w:tc>
          <w:tcPr>
            <w:tcW w:w="60" w:type="dxa"/>
            <w:vAlign w:val="bottom"/>
          </w:tcPr>
          <w:p w14:paraId="7780B449" w14:textId="77777777" w:rsidR="00D1587D" w:rsidRDefault="00D1587D">
            <w:pPr>
              <w:rPr>
                <w:sz w:val="3"/>
                <w:szCs w:val="3"/>
              </w:rPr>
            </w:pPr>
          </w:p>
        </w:tc>
        <w:tc>
          <w:tcPr>
            <w:tcW w:w="720" w:type="dxa"/>
            <w:vAlign w:val="bottom"/>
          </w:tcPr>
          <w:p w14:paraId="1F915300" w14:textId="77777777" w:rsidR="00D1587D" w:rsidRDefault="00D1587D">
            <w:pPr>
              <w:rPr>
                <w:sz w:val="3"/>
                <w:szCs w:val="3"/>
              </w:rPr>
            </w:pPr>
          </w:p>
        </w:tc>
      </w:tr>
      <w:tr w:rsidR="00D1587D" w14:paraId="04757384" w14:textId="77777777">
        <w:trPr>
          <w:trHeight w:val="237"/>
        </w:trPr>
        <w:tc>
          <w:tcPr>
            <w:tcW w:w="1320" w:type="dxa"/>
            <w:tcBorders>
              <w:bottom w:val="single" w:sz="8" w:space="0" w:color="CCEEFF"/>
            </w:tcBorders>
            <w:shd w:val="clear" w:color="auto" w:fill="CCEEFF"/>
            <w:vAlign w:val="bottom"/>
          </w:tcPr>
          <w:p w14:paraId="553023A4" w14:textId="77777777" w:rsidR="00D1587D" w:rsidRDefault="00410D07">
            <w:pPr>
              <w:rPr>
                <w:sz w:val="20"/>
                <w:szCs w:val="20"/>
              </w:rPr>
            </w:pPr>
            <w:r>
              <w:rPr>
                <w:rFonts w:ascii="Arial" w:eastAsia="Arial" w:hAnsi="Arial" w:cs="Arial"/>
                <w:sz w:val="14"/>
                <w:szCs w:val="14"/>
              </w:rPr>
              <w:t>Amy Hauk</w:t>
            </w:r>
          </w:p>
        </w:tc>
        <w:tc>
          <w:tcPr>
            <w:tcW w:w="80" w:type="dxa"/>
            <w:tcBorders>
              <w:bottom w:val="single" w:sz="8" w:space="0" w:color="CCEEFF"/>
            </w:tcBorders>
            <w:shd w:val="clear" w:color="auto" w:fill="CCEEFF"/>
            <w:vAlign w:val="bottom"/>
          </w:tcPr>
          <w:p w14:paraId="32D4368D" w14:textId="77777777" w:rsidR="00D1587D" w:rsidRDefault="00D1587D">
            <w:pPr>
              <w:rPr>
                <w:sz w:val="20"/>
                <w:szCs w:val="20"/>
              </w:rPr>
            </w:pPr>
          </w:p>
        </w:tc>
        <w:tc>
          <w:tcPr>
            <w:tcW w:w="680" w:type="dxa"/>
            <w:tcBorders>
              <w:bottom w:val="single" w:sz="8" w:space="0" w:color="CCEEFF"/>
            </w:tcBorders>
            <w:shd w:val="clear" w:color="auto" w:fill="CCEEFF"/>
            <w:vAlign w:val="bottom"/>
          </w:tcPr>
          <w:p w14:paraId="123D8F40" w14:textId="77777777" w:rsidR="00D1587D" w:rsidRDefault="00D1587D">
            <w:pPr>
              <w:rPr>
                <w:sz w:val="20"/>
                <w:szCs w:val="20"/>
              </w:rPr>
            </w:pPr>
          </w:p>
        </w:tc>
        <w:tc>
          <w:tcPr>
            <w:tcW w:w="80" w:type="dxa"/>
            <w:tcBorders>
              <w:bottom w:val="single" w:sz="8" w:space="0" w:color="CCEEFF"/>
            </w:tcBorders>
            <w:shd w:val="clear" w:color="auto" w:fill="CCEEFF"/>
            <w:vAlign w:val="bottom"/>
          </w:tcPr>
          <w:p w14:paraId="5EAD3D6D" w14:textId="77777777" w:rsidR="00D1587D" w:rsidRDefault="00D1587D">
            <w:pPr>
              <w:rPr>
                <w:sz w:val="20"/>
                <w:szCs w:val="20"/>
              </w:rPr>
            </w:pPr>
          </w:p>
        </w:tc>
        <w:tc>
          <w:tcPr>
            <w:tcW w:w="720" w:type="dxa"/>
            <w:tcBorders>
              <w:bottom w:val="single" w:sz="8" w:space="0" w:color="CCEEFF"/>
            </w:tcBorders>
            <w:shd w:val="clear" w:color="auto" w:fill="CCEEFF"/>
            <w:vAlign w:val="bottom"/>
          </w:tcPr>
          <w:p w14:paraId="371A5AC3" w14:textId="77777777" w:rsidR="00D1587D" w:rsidRDefault="00410D07">
            <w:pPr>
              <w:jc w:val="center"/>
              <w:rPr>
                <w:sz w:val="20"/>
                <w:szCs w:val="20"/>
              </w:rPr>
            </w:pPr>
            <w:r>
              <w:rPr>
                <w:rFonts w:ascii="Arial" w:eastAsia="Arial" w:hAnsi="Arial" w:cs="Arial"/>
                <w:w w:val="90"/>
                <w:sz w:val="14"/>
                <w:szCs w:val="14"/>
              </w:rPr>
              <w:t>296,000</w:t>
            </w:r>
          </w:p>
        </w:tc>
        <w:tc>
          <w:tcPr>
            <w:tcW w:w="80" w:type="dxa"/>
            <w:tcBorders>
              <w:bottom w:val="single" w:sz="8" w:space="0" w:color="CCEEFF"/>
            </w:tcBorders>
            <w:shd w:val="clear" w:color="auto" w:fill="CCEEFF"/>
            <w:vAlign w:val="bottom"/>
          </w:tcPr>
          <w:p w14:paraId="0918AE5B" w14:textId="77777777" w:rsidR="00D1587D" w:rsidRDefault="00D1587D">
            <w:pPr>
              <w:rPr>
                <w:sz w:val="20"/>
                <w:szCs w:val="20"/>
              </w:rPr>
            </w:pPr>
          </w:p>
        </w:tc>
        <w:tc>
          <w:tcPr>
            <w:tcW w:w="720" w:type="dxa"/>
            <w:tcBorders>
              <w:bottom w:val="single" w:sz="8" w:space="0" w:color="CCEEFF"/>
            </w:tcBorders>
            <w:shd w:val="clear" w:color="auto" w:fill="CCEEFF"/>
            <w:vAlign w:val="bottom"/>
          </w:tcPr>
          <w:p w14:paraId="12E57F6D" w14:textId="77777777" w:rsidR="00D1587D" w:rsidRDefault="00410D07">
            <w:pPr>
              <w:jc w:val="center"/>
              <w:rPr>
                <w:sz w:val="20"/>
                <w:szCs w:val="20"/>
              </w:rPr>
            </w:pPr>
            <w:r>
              <w:rPr>
                <w:rFonts w:ascii="Arial" w:eastAsia="Arial" w:hAnsi="Arial" w:cs="Arial"/>
                <w:w w:val="93"/>
                <w:sz w:val="14"/>
                <w:szCs w:val="14"/>
              </w:rPr>
              <w:t>1,480,000</w:t>
            </w:r>
          </w:p>
        </w:tc>
        <w:tc>
          <w:tcPr>
            <w:tcW w:w="80" w:type="dxa"/>
            <w:tcBorders>
              <w:bottom w:val="single" w:sz="8" w:space="0" w:color="CCEEFF"/>
            </w:tcBorders>
            <w:shd w:val="clear" w:color="auto" w:fill="CCEEFF"/>
            <w:vAlign w:val="bottom"/>
          </w:tcPr>
          <w:p w14:paraId="09562C14" w14:textId="77777777" w:rsidR="00D1587D" w:rsidRDefault="00D1587D">
            <w:pPr>
              <w:rPr>
                <w:sz w:val="20"/>
                <w:szCs w:val="20"/>
              </w:rPr>
            </w:pPr>
          </w:p>
        </w:tc>
        <w:tc>
          <w:tcPr>
            <w:tcW w:w="740" w:type="dxa"/>
            <w:tcBorders>
              <w:bottom w:val="single" w:sz="8" w:space="0" w:color="CCEEFF"/>
            </w:tcBorders>
            <w:shd w:val="clear" w:color="auto" w:fill="CCEEFF"/>
            <w:vAlign w:val="bottom"/>
          </w:tcPr>
          <w:p w14:paraId="49E5A693" w14:textId="77777777" w:rsidR="00D1587D" w:rsidRDefault="00410D07">
            <w:pPr>
              <w:jc w:val="center"/>
              <w:rPr>
                <w:sz w:val="20"/>
                <w:szCs w:val="20"/>
              </w:rPr>
            </w:pPr>
            <w:r>
              <w:rPr>
                <w:rFonts w:ascii="Arial" w:eastAsia="Arial" w:hAnsi="Arial" w:cs="Arial"/>
                <w:w w:val="93"/>
                <w:sz w:val="14"/>
                <w:szCs w:val="14"/>
              </w:rPr>
              <w:t>2,960,000</w:t>
            </w:r>
          </w:p>
        </w:tc>
        <w:tc>
          <w:tcPr>
            <w:tcW w:w="60" w:type="dxa"/>
            <w:tcBorders>
              <w:bottom w:val="single" w:sz="8" w:space="0" w:color="CCEEFF"/>
            </w:tcBorders>
            <w:shd w:val="clear" w:color="auto" w:fill="CCEEFF"/>
            <w:vAlign w:val="bottom"/>
          </w:tcPr>
          <w:p w14:paraId="0A342ECC" w14:textId="77777777" w:rsidR="00D1587D" w:rsidRDefault="00D1587D">
            <w:pPr>
              <w:rPr>
                <w:sz w:val="20"/>
                <w:szCs w:val="20"/>
              </w:rPr>
            </w:pPr>
          </w:p>
        </w:tc>
        <w:tc>
          <w:tcPr>
            <w:tcW w:w="680" w:type="dxa"/>
            <w:tcBorders>
              <w:bottom w:val="single" w:sz="8" w:space="0" w:color="CCEEFF"/>
            </w:tcBorders>
            <w:shd w:val="clear" w:color="auto" w:fill="CCEEFF"/>
            <w:vAlign w:val="bottom"/>
          </w:tcPr>
          <w:p w14:paraId="0EF3EFF9" w14:textId="77777777" w:rsidR="00D1587D" w:rsidRDefault="00D1587D">
            <w:pPr>
              <w:rPr>
                <w:sz w:val="20"/>
                <w:szCs w:val="20"/>
              </w:rPr>
            </w:pPr>
          </w:p>
        </w:tc>
        <w:tc>
          <w:tcPr>
            <w:tcW w:w="40" w:type="dxa"/>
            <w:tcBorders>
              <w:bottom w:val="single" w:sz="8" w:space="0" w:color="CCEEFF"/>
            </w:tcBorders>
            <w:shd w:val="clear" w:color="auto" w:fill="CCEEFF"/>
            <w:vAlign w:val="bottom"/>
          </w:tcPr>
          <w:p w14:paraId="3F49EF36" w14:textId="77777777" w:rsidR="00D1587D" w:rsidRDefault="00D1587D">
            <w:pPr>
              <w:rPr>
                <w:sz w:val="20"/>
                <w:szCs w:val="20"/>
              </w:rPr>
            </w:pPr>
          </w:p>
        </w:tc>
        <w:tc>
          <w:tcPr>
            <w:tcW w:w="460" w:type="dxa"/>
            <w:tcBorders>
              <w:bottom w:val="single" w:sz="8" w:space="0" w:color="CCEEFF"/>
            </w:tcBorders>
            <w:shd w:val="clear" w:color="auto" w:fill="CCEEFF"/>
            <w:vAlign w:val="bottom"/>
          </w:tcPr>
          <w:p w14:paraId="126AB699" w14:textId="77777777" w:rsidR="00D1587D" w:rsidRDefault="00D1587D">
            <w:pPr>
              <w:rPr>
                <w:sz w:val="20"/>
                <w:szCs w:val="20"/>
              </w:rPr>
            </w:pPr>
          </w:p>
        </w:tc>
        <w:tc>
          <w:tcPr>
            <w:tcW w:w="60" w:type="dxa"/>
            <w:tcBorders>
              <w:bottom w:val="single" w:sz="8" w:space="0" w:color="CCEEFF"/>
            </w:tcBorders>
            <w:shd w:val="clear" w:color="auto" w:fill="CCEEFF"/>
            <w:vAlign w:val="bottom"/>
          </w:tcPr>
          <w:p w14:paraId="22EBC61A" w14:textId="77777777" w:rsidR="00D1587D" w:rsidRDefault="00D1587D">
            <w:pPr>
              <w:rPr>
                <w:sz w:val="20"/>
                <w:szCs w:val="20"/>
              </w:rPr>
            </w:pPr>
          </w:p>
        </w:tc>
        <w:tc>
          <w:tcPr>
            <w:tcW w:w="680" w:type="dxa"/>
            <w:tcBorders>
              <w:bottom w:val="single" w:sz="8" w:space="0" w:color="CCEEFF"/>
            </w:tcBorders>
            <w:shd w:val="clear" w:color="auto" w:fill="CCEEFF"/>
            <w:vAlign w:val="bottom"/>
          </w:tcPr>
          <w:p w14:paraId="4A1BA7F7" w14:textId="77777777" w:rsidR="00D1587D" w:rsidRDefault="00D1587D">
            <w:pPr>
              <w:rPr>
                <w:sz w:val="20"/>
                <w:szCs w:val="20"/>
              </w:rPr>
            </w:pPr>
          </w:p>
        </w:tc>
        <w:tc>
          <w:tcPr>
            <w:tcW w:w="40" w:type="dxa"/>
            <w:tcBorders>
              <w:bottom w:val="single" w:sz="8" w:space="0" w:color="CCEEFF"/>
            </w:tcBorders>
            <w:shd w:val="clear" w:color="auto" w:fill="CCEEFF"/>
            <w:vAlign w:val="bottom"/>
          </w:tcPr>
          <w:p w14:paraId="22078460" w14:textId="77777777" w:rsidR="00D1587D" w:rsidRDefault="00D1587D">
            <w:pPr>
              <w:rPr>
                <w:sz w:val="20"/>
                <w:szCs w:val="20"/>
              </w:rPr>
            </w:pPr>
          </w:p>
        </w:tc>
        <w:tc>
          <w:tcPr>
            <w:tcW w:w="540" w:type="dxa"/>
            <w:tcBorders>
              <w:bottom w:val="single" w:sz="8" w:space="0" w:color="CCEEFF"/>
            </w:tcBorders>
            <w:shd w:val="clear" w:color="auto" w:fill="CCEEFF"/>
            <w:vAlign w:val="bottom"/>
          </w:tcPr>
          <w:p w14:paraId="156E21F5" w14:textId="77777777" w:rsidR="00D1587D" w:rsidRDefault="00D1587D">
            <w:pPr>
              <w:rPr>
                <w:sz w:val="20"/>
                <w:szCs w:val="20"/>
              </w:rPr>
            </w:pPr>
          </w:p>
        </w:tc>
        <w:tc>
          <w:tcPr>
            <w:tcW w:w="60" w:type="dxa"/>
            <w:tcBorders>
              <w:bottom w:val="single" w:sz="8" w:space="0" w:color="CCEEFF"/>
            </w:tcBorders>
            <w:shd w:val="clear" w:color="auto" w:fill="CCEEFF"/>
            <w:vAlign w:val="bottom"/>
          </w:tcPr>
          <w:p w14:paraId="3D1967A1" w14:textId="77777777" w:rsidR="00D1587D" w:rsidRDefault="00D1587D">
            <w:pPr>
              <w:rPr>
                <w:sz w:val="20"/>
                <w:szCs w:val="20"/>
              </w:rPr>
            </w:pPr>
          </w:p>
        </w:tc>
        <w:tc>
          <w:tcPr>
            <w:tcW w:w="640" w:type="dxa"/>
            <w:tcBorders>
              <w:bottom w:val="single" w:sz="8" w:space="0" w:color="CCEEFF"/>
            </w:tcBorders>
            <w:shd w:val="clear" w:color="auto" w:fill="CCEEFF"/>
            <w:vAlign w:val="bottom"/>
          </w:tcPr>
          <w:p w14:paraId="12A96B1A" w14:textId="77777777" w:rsidR="00D1587D" w:rsidRDefault="00D1587D">
            <w:pPr>
              <w:rPr>
                <w:sz w:val="20"/>
                <w:szCs w:val="20"/>
              </w:rPr>
            </w:pPr>
          </w:p>
        </w:tc>
        <w:tc>
          <w:tcPr>
            <w:tcW w:w="60" w:type="dxa"/>
            <w:tcBorders>
              <w:bottom w:val="single" w:sz="8" w:space="0" w:color="CCEEFF"/>
            </w:tcBorders>
            <w:shd w:val="clear" w:color="auto" w:fill="CCEEFF"/>
            <w:vAlign w:val="bottom"/>
          </w:tcPr>
          <w:p w14:paraId="087E6F3C" w14:textId="77777777" w:rsidR="00D1587D" w:rsidRDefault="00D1587D">
            <w:pPr>
              <w:rPr>
                <w:sz w:val="20"/>
                <w:szCs w:val="20"/>
              </w:rPr>
            </w:pPr>
          </w:p>
        </w:tc>
        <w:tc>
          <w:tcPr>
            <w:tcW w:w="480" w:type="dxa"/>
            <w:tcBorders>
              <w:bottom w:val="single" w:sz="8" w:space="0" w:color="CCEEFF"/>
            </w:tcBorders>
            <w:shd w:val="clear" w:color="auto" w:fill="CCEEFF"/>
            <w:vAlign w:val="bottom"/>
          </w:tcPr>
          <w:p w14:paraId="757DF968" w14:textId="77777777" w:rsidR="00D1587D" w:rsidRDefault="00D1587D">
            <w:pPr>
              <w:rPr>
                <w:sz w:val="20"/>
                <w:szCs w:val="20"/>
              </w:rPr>
            </w:pPr>
          </w:p>
        </w:tc>
        <w:tc>
          <w:tcPr>
            <w:tcW w:w="60" w:type="dxa"/>
            <w:tcBorders>
              <w:bottom w:val="single" w:sz="8" w:space="0" w:color="CCEEFF"/>
            </w:tcBorders>
            <w:shd w:val="clear" w:color="auto" w:fill="CCEEFF"/>
            <w:vAlign w:val="bottom"/>
          </w:tcPr>
          <w:p w14:paraId="7CD5F5DA" w14:textId="77777777" w:rsidR="00D1587D" w:rsidRDefault="00D1587D">
            <w:pPr>
              <w:rPr>
                <w:sz w:val="20"/>
                <w:szCs w:val="20"/>
              </w:rPr>
            </w:pPr>
          </w:p>
        </w:tc>
        <w:tc>
          <w:tcPr>
            <w:tcW w:w="720" w:type="dxa"/>
            <w:tcBorders>
              <w:bottom w:val="single" w:sz="8" w:space="0" w:color="CCEEFF"/>
            </w:tcBorders>
            <w:shd w:val="clear" w:color="auto" w:fill="CCEEFF"/>
            <w:vAlign w:val="bottom"/>
          </w:tcPr>
          <w:p w14:paraId="37459BC4" w14:textId="77777777" w:rsidR="00D1587D" w:rsidRDefault="00D1587D">
            <w:pPr>
              <w:rPr>
                <w:sz w:val="20"/>
                <w:szCs w:val="20"/>
              </w:rPr>
            </w:pPr>
          </w:p>
        </w:tc>
      </w:tr>
      <w:tr w:rsidR="00D1587D" w14:paraId="6E7507FE" w14:textId="77777777">
        <w:trPr>
          <w:trHeight w:val="218"/>
        </w:trPr>
        <w:tc>
          <w:tcPr>
            <w:tcW w:w="1320" w:type="dxa"/>
            <w:vAlign w:val="bottom"/>
          </w:tcPr>
          <w:p w14:paraId="28DD431B" w14:textId="77777777" w:rsidR="00D1587D" w:rsidRDefault="00410D07">
            <w:pPr>
              <w:rPr>
                <w:sz w:val="20"/>
                <w:szCs w:val="20"/>
              </w:rPr>
            </w:pPr>
            <w:r>
              <w:rPr>
                <w:rFonts w:ascii="Arial" w:eastAsia="Arial" w:hAnsi="Arial" w:cs="Arial"/>
                <w:sz w:val="14"/>
                <w:szCs w:val="14"/>
              </w:rPr>
              <w:t>Gregory Un</w:t>
            </w:r>
            <w:r>
              <w:rPr>
                <w:rFonts w:ascii="Arial" w:eastAsia="Arial" w:hAnsi="Arial" w:cs="Arial"/>
                <w:sz w:val="14"/>
                <w:szCs w:val="14"/>
              </w:rPr>
              <w:t>is</w:t>
            </w:r>
          </w:p>
        </w:tc>
        <w:tc>
          <w:tcPr>
            <w:tcW w:w="80" w:type="dxa"/>
            <w:vAlign w:val="bottom"/>
          </w:tcPr>
          <w:p w14:paraId="4B642678" w14:textId="77777777" w:rsidR="00D1587D" w:rsidRDefault="00D1587D">
            <w:pPr>
              <w:rPr>
                <w:sz w:val="18"/>
                <w:szCs w:val="18"/>
              </w:rPr>
            </w:pPr>
          </w:p>
        </w:tc>
        <w:tc>
          <w:tcPr>
            <w:tcW w:w="680" w:type="dxa"/>
            <w:vAlign w:val="bottom"/>
          </w:tcPr>
          <w:p w14:paraId="5C24A441" w14:textId="77777777" w:rsidR="00D1587D" w:rsidRDefault="00D1587D">
            <w:pPr>
              <w:rPr>
                <w:sz w:val="18"/>
                <w:szCs w:val="18"/>
              </w:rPr>
            </w:pPr>
          </w:p>
        </w:tc>
        <w:tc>
          <w:tcPr>
            <w:tcW w:w="80" w:type="dxa"/>
            <w:vAlign w:val="bottom"/>
          </w:tcPr>
          <w:p w14:paraId="04BE4994" w14:textId="77777777" w:rsidR="00D1587D" w:rsidRDefault="00D1587D">
            <w:pPr>
              <w:rPr>
                <w:sz w:val="18"/>
                <w:szCs w:val="18"/>
              </w:rPr>
            </w:pPr>
          </w:p>
        </w:tc>
        <w:tc>
          <w:tcPr>
            <w:tcW w:w="720" w:type="dxa"/>
            <w:vAlign w:val="bottom"/>
          </w:tcPr>
          <w:p w14:paraId="13195ED4" w14:textId="77777777" w:rsidR="00D1587D" w:rsidRDefault="00410D07">
            <w:pPr>
              <w:jc w:val="center"/>
              <w:rPr>
                <w:sz w:val="20"/>
                <w:szCs w:val="20"/>
              </w:rPr>
            </w:pPr>
            <w:r>
              <w:rPr>
                <w:rFonts w:ascii="Arial" w:eastAsia="Arial" w:hAnsi="Arial" w:cs="Arial"/>
                <w:w w:val="90"/>
                <w:sz w:val="14"/>
                <w:szCs w:val="14"/>
              </w:rPr>
              <w:t>289,000</w:t>
            </w:r>
          </w:p>
        </w:tc>
        <w:tc>
          <w:tcPr>
            <w:tcW w:w="80" w:type="dxa"/>
            <w:vAlign w:val="bottom"/>
          </w:tcPr>
          <w:p w14:paraId="4F5796FF" w14:textId="77777777" w:rsidR="00D1587D" w:rsidRDefault="00D1587D">
            <w:pPr>
              <w:rPr>
                <w:sz w:val="18"/>
                <w:szCs w:val="18"/>
              </w:rPr>
            </w:pPr>
          </w:p>
        </w:tc>
        <w:tc>
          <w:tcPr>
            <w:tcW w:w="720" w:type="dxa"/>
            <w:vAlign w:val="bottom"/>
          </w:tcPr>
          <w:p w14:paraId="6E48A660" w14:textId="77777777" w:rsidR="00D1587D" w:rsidRDefault="00410D07">
            <w:pPr>
              <w:jc w:val="center"/>
              <w:rPr>
                <w:sz w:val="20"/>
                <w:szCs w:val="20"/>
              </w:rPr>
            </w:pPr>
            <w:r>
              <w:rPr>
                <w:rFonts w:ascii="Arial" w:eastAsia="Arial" w:hAnsi="Arial" w:cs="Arial"/>
                <w:w w:val="93"/>
                <w:sz w:val="14"/>
                <w:szCs w:val="14"/>
              </w:rPr>
              <w:t>1,445,000</w:t>
            </w:r>
          </w:p>
        </w:tc>
        <w:tc>
          <w:tcPr>
            <w:tcW w:w="80" w:type="dxa"/>
            <w:vAlign w:val="bottom"/>
          </w:tcPr>
          <w:p w14:paraId="7423A6BC" w14:textId="77777777" w:rsidR="00D1587D" w:rsidRDefault="00D1587D">
            <w:pPr>
              <w:rPr>
                <w:sz w:val="18"/>
                <w:szCs w:val="18"/>
              </w:rPr>
            </w:pPr>
          </w:p>
        </w:tc>
        <w:tc>
          <w:tcPr>
            <w:tcW w:w="740" w:type="dxa"/>
            <w:vAlign w:val="bottom"/>
          </w:tcPr>
          <w:p w14:paraId="16C06FDD" w14:textId="77777777" w:rsidR="00D1587D" w:rsidRDefault="00410D07">
            <w:pPr>
              <w:jc w:val="center"/>
              <w:rPr>
                <w:sz w:val="20"/>
                <w:szCs w:val="20"/>
              </w:rPr>
            </w:pPr>
            <w:r>
              <w:rPr>
                <w:rFonts w:ascii="Arial" w:eastAsia="Arial" w:hAnsi="Arial" w:cs="Arial"/>
                <w:w w:val="93"/>
                <w:sz w:val="14"/>
                <w:szCs w:val="14"/>
              </w:rPr>
              <w:t>2,890,000</w:t>
            </w:r>
          </w:p>
        </w:tc>
        <w:tc>
          <w:tcPr>
            <w:tcW w:w="60" w:type="dxa"/>
            <w:vAlign w:val="bottom"/>
          </w:tcPr>
          <w:p w14:paraId="6F90249C" w14:textId="77777777" w:rsidR="00D1587D" w:rsidRDefault="00D1587D">
            <w:pPr>
              <w:rPr>
                <w:sz w:val="18"/>
                <w:szCs w:val="18"/>
              </w:rPr>
            </w:pPr>
          </w:p>
        </w:tc>
        <w:tc>
          <w:tcPr>
            <w:tcW w:w="680" w:type="dxa"/>
            <w:vAlign w:val="bottom"/>
          </w:tcPr>
          <w:p w14:paraId="07D95EC6" w14:textId="77777777" w:rsidR="00D1587D" w:rsidRDefault="00D1587D">
            <w:pPr>
              <w:rPr>
                <w:sz w:val="18"/>
                <w:szCs w:val="18"/>
              </w:rPr>
            </w:pPr>
          </w:p>
        </w:tc>
        <w:tc>
          <w:tcPr>
            <w:tcW w:w="40" w:type="dxa"/>
            <w:vAlign w:val="bottom"/>
          </w:tcPr>
          <w:p w14:paraId="39158D33" w14:textId="77777777" w:rsidR="00D1587D" w:rsidRDefault="00D1587D">
            <w:pPr>
              <w:rPr>
                <w:sz w:val="18"/>
                <w:szCs w:val="18"/>
              </w:rPr>
            </w:pPr>
          </w:p>
        </w:tc>
        <w:tc>
          <w:tcPr>
            <w:tcW w:w="460" w:type="dxa"/>
            <w:vAlign w:val="bottom"/>
          </w:tcPr>
          <w:p w14:paraId="0AD6AB02" w14:textId="77777777" w:rsidR="00D1587D" w:rsidRDefault="00D1587D">
            <w:pPr>
              <w:rPr>
                <w:sz w:val="18"/>
                <w:szCs w:val="18"/>
              </w:rPr>
            </w:pPr>
          </w:p>
        </w:tc>
        <w:tc>
          <w:tcPr>
            <w:tcW w:w="60" w:type="dxa"/>
            <w:vAlign w:val="bottom"/>
          </w:tcPr>
          <w:p w14:paraId="686B1828" w14:textId="77777777" w:rsidR="00D1587D" w:rsidRDefault="00D1587D">
            <w:pPr>
              <w:rPr>
                <w:sz w:val="18"/>
                <w:szCs w:val="18"/>
              </w:rPr>
            </w:pPr>
          </w:p>
        </w:tc>
        <w:tc>
          <w:tcPr>
            <w:tcW w:w="680" w:type="dxa"/>
            <w:vAlign w:val="bottom"/>
          </w:tcPr>
          <w:p w14:paraId="6F8AABB7" w14:textId="77777777" w:rsidR="00D1587D" w:rsidRDefault="00D1587D">
            <w:pPr>
              <w:rPr>
                <w:sz w:val="18"/>
                <w:szCs w:val="18"/>
              </w:rPr>
            </w:pPr>
          </w:p>
        </w:tc>
        <w:tc>
          <w:tcPr>
            <w:tcW w:w="40" w:type="dxa"/>
            <w:vAlign w:val="bottom"/>
          </w:tcPr>
          <w:p w14:paraId="35EA8EFB" w14:textId="77777777" w:rsidR="00D1587D" w:rsidRDefault="00D1587D">
            <w:pPr>
              <w:rPr>
                <w:sz w:val="18"/>
                <w:szCs w:val="18"/>
              </w:rPr>
            </w:pPr>
          </w:p>
        </w:tc>
        <w:tc>
          <w:tcPr>
            <w:tcW w:w="540" w:type="dxa"/>
            <w:vAlign w:val="bottom"/>
          </w:tcPr>
          <w:p w14:paraId="027C04A2" w14:textId="77777777" w:rsidR="00D1587D" w:rsidRDefault="00D1587D">
            <w:pPr>
              <w:rPr>
                <w:sz w:val="18"/>
                <w:szCs w:val="18"/>
              </w:rPr>
            </w:pPr>
          </w:p>
        </w:tc>
        <w:tc>
          <w:tcPr>
            <w:tcW w:w="60" w:type="dxa"/>
            <w:vAlign w:val="bottom"/>
          </w:tcPr>
          <w:p w14:paraId="6ACA7F55" w14:textId="77777777" w:rsidR="00D1587D" w:rsidRDefault="00D1587D">
            <w:pPr>
              <w:rPr>
                <w:sz w:val="18"/>
                <w:szCs w:val="18"/>
              </w:rPr>
            </w:pPr>
          </w:p>
        </w:tc>
        <w:tc>
          <w:tcPr>
            <w:tcW w:w="640" w:type="dxa"/>
            <w:vAlign w:val="bottom"/>
          </w:tcPr>
          <w:p w14:paraId="7583E0D4" w14:textId="77777777" w:rsidR="00D1587D" w:rsidRDefault="00D1587D">
            <w:pPr>
              <w:rPr>
                <w:sz w:val="18"/>
                <w:szCs w:val="18"/>
              </w:rPr>
            </w:pPr>
          </w:p>
        </w:tc>
        <w:tc>
          <w:tcPr>
            <w:tcW w:w="60" w:type="dxa"/>
            <w:vAlign w:val="bottom"/>
          </w:tcPr>
          <w:p w14:paraId="5F552D02" w14:textId="77777777" w:rsidR="00D1587D" w:rsidRDefault="00D1587D">
            <w:pPr>
              <w:rPr>
                <w:sz w:val="18"/>
                <w:szCs w:val="18"/>
              </w:rPr>
            </w:pPr>
          </w:p>
        </w:tc>
        <w:tc>
          <w:tcPr>
            <w:tcW w:w="480" w:type="dxa"/>
            <w:vAlign w:val="bottom"/>
          </w:tcPr>
          <w:p w14:paraId="61AC99A4" w14:textId="77777777" w:rsidR="00D1587D" w:rsidRDefault="00D1587D">
            <w:pPr>
              <w:rPr>
                <w:sz w:val="18"/>
                <w:szCs w:val="18"/>
              </w:rPr>
            </w:pPr>
          </w:p>
        </w:tc>
        <w:tc>
          <w:tcPr>
            <w:tcW w:w="60" w:type="dxa"/>
            <w:vAlign w:val="bottom"/>
          </w:tcPr>
          <w:p w14:paraId="358F0258" w14:textId="77777777" w:rsidR="00D1587D" w:rsidRDefault="00D1587D">
            <w:pPr>
              <w:rPr>
                <w:sz w:val="18"/>
                <w:szCs w:val="18"/>
              </w:rPr>
            </w:pPr>
          </w:p>
        </w:tc>
        <w:tc>
          <w:tcPr>
            <w:tcW w:w="720" w:type="dxa"/>
            <w:vAlign w:val="bottom"/>
          </w:tcPr>
          <w:p w14:paraId="4A59B4AC" w14:textId="77777777" w:rsidR="00D1587D" w:rsidRDefault="00D1587D">
            <w:pPr>
              <w:rPr>
                <w:sz w:val="18"/>
                <w:szCs w:val="18"/>
              </w:rPr>
            </w:pPr>
          </w:p>
        </w:tc>
      </w:tr>
      <w:tr w:rsidR="00D1587D" w14:paraId="5374030D" w14:textId="77777777">
        <w:trPr>
          <w:trHeight w:val="39"/>
        </w:trPr>
        <w:tc>
          <w:tcPr>
            <w:tcW w:w="1320" w:type="dxa"/>
            <w:vAlign w:val="bottom"/>
          </w:tcPr>
          <w:p w14:paraId="1AC08F7D" w14:textId="77777777" w:rsidR="00D1587D" w:rsidRDefault="00D1587D">
            <w:pPr>
              <w:rPr>
                <w:sz w:val="3"/>
                <w:szCs w:val="3"/>
              </w:rPr>
            </w:pPr>
          </w:p>
        </w:tc>
        <w:tc>
          <w:tcPr>
            <w:tcW w:w="80" w:type="dxa"/>
            <w:vAlign w:val="bottom"/>
          </w:tcPr>
          <w:p w14:paraId="684D7DC2" w14:textId="77777777" w:rsidR="00D1587D" w:rsidRDefault="00D1587D">
            <w:pPr>
              <w:rPr>
                <w:sz w:val="3"/>
                <w:szCs w:val="3"/>
              </w:rPr>
            </w:pPr>
          </w:p>
        </w:tc>
        <w:tc>
          <w:tcPr>
            <w:tcW w:w="680" w:type="dxa"/>
            <w:vAlign w:val="bottom"/>
          </w:tcPr>
          <w:p w14:paraId="7FDE6306" w14:textId="77777777" w:rsidR="00D1587D" w:rsidRDefault="00D1587D">
            <w:pPr>
              <w:rPr>
                <w:sz w:val="3"/>
                <w:szCs w:val="3"/>
              </w:rPr>
            </w:pPr>
          </w:p>
        </w:tc>
        <w:tc>
          <w:tcPr>
            <w:tcW w:w="80" w:type="dxa"/>
            <w:vAlign w:val="bottom"/>
          </w:tcPr>
          <w:p w14:paraId="1189DE6F" w14:textId="77777777" w:rsidR="00D1587D" w:rsidRDefault="00D1587D">
            <w:pPr>
              <w:rPr>
                <w:sz w:val="3"/>
                <w:szCs w:val="3"/>
              </w:rPr>
            </w:pPr>
          </w:p>
        </w:tc>
        <w:tc>
          <w:tcPr>
            <w:tcW w:w="720" w:type="dxa"/>
            <w:vAlign w:val="bottom"/>
          </w:tcPr>
          <w:p w14:paraId="71270889" w14:textId="77777777" w:rsidR="00D1587D" w:rsidRDefault="00D1587D">
            <w:pPr>
              <w:rPr>
                <w:sz w:val="3"/>
                <w:szCs w:val="3"/>
              </w:rPr>
            </w:pPr>
          </w:p>
        </w:tc>
        <w:tc>
          <w:tcPr>
            <w:tcW w:w="80" w:type="dxa"/>
            <w:vAlign w:val="bottom"/>
          </w:tcPr>
          <w:p w14:paraId="017F632A" w14:textId="77777777" w:rsidR="00D1587D" w:rsidRDefault="00D1587D">
            <w:pPr>
              <w:rPr>
                <w:sz w:val="3"/>
                <w:szCs w:val="3"/>
              </w:rPr>
            </w:pPr>
          </w:p>
        </w:tc>
        <w:tc>
          <w:tcPr>
            <w:tcW w:w="720" w:type="dxa"/>
            <w:vAlign w:val="bottom"/>
          </w:tcPr>
          <w:p w14:paraId="0F0BEB3F" w14:textId="77777777" w:rsidR="00D1587D" w:rsidRDefault="00D1587D">
            <w:pPr>
              <w:rPr>
                <w:sz w:val="3"/>
                <w:szCs w:val="3"/>
              </w:rPr>
            </w:pPr>
          </w:p>
        </w:tc>
        <w:tc>
          <w:tcPr>
            <w:tcW w:w="80" w:type="dxa"/>
            <w:vAlign w:val="bottom"/>
          </w:tcPr>
          <w:p w14:paraId="574C9113" w14:textId="77777777" w:rsidR="00D1587D" w:rsidRDefault="00D1587D">
            <w:pPr>
              <w:rPr>
                <w:sz w:val="3"/>
                <w:szCs w:val="3"/>
              </w:rPr>
            </w:pPr>
          </w:p>
        </w:tc>
        <w:tc>
          <w:tcPr>
            <w:tcW w:w="740" w:type="dxa"/>
            <w:vAlign w:val="bottom"/>
          </w:tcPr>
          <w:p w14:paraId="2F666C4B" w14:textId="77777777" w:rsidR="00D1587D" w:rsidRDefault="00D1587D">
            <w:pPr>
              <w:rPr>
                <w:sz w:val="3"/>
                <w:szCs w:val="3"/>
              </w:rPr>
            </w:pPr>
          </w:p>
        </w:tc>
        <w:tc>
          <w:tcPr>
            <w:tcW w:w="60" w:type="dxa"/>
            <w:vAlign w:val="bottom"/>
          </w:tcPr>
          <w:p w14:paraId="07554813" w14:textId="77777777" w:rsidR="00D1587D" w:rsidRDefault="00D1587D">
            <w:pPr>
              <w:rPr>
                <w:sz w:val="3"/>
                <w:szCs w:val="3"/>
              </w:rPr>
            </w:pPr>
          </w:p>
        </w:tc>
        <w:tc>
          <w:tcPr>
            <w:tcW w:w="680" w:type="dxa"/>
            <w:vAlign w:val="bottom"/>
          </w:tcPr>
          <w:p w14:paraId="6DBAB7AC" w14:textId="77777777" w:rsidR="00D1587D" w:rsidRDefault="00D1587D">
            <w:pPr>
              <w:rPr>
                <w:sz w:val="3"/>
                <w:szCs w:val="3"/>
              </w:rPr>
            </w:pPr>
          </w:p>
        </w:tc>
        <w:tc>
          <w:tcPr>
            <w:tcW w:w="40" w:type="dxa"/>
            <w:vAlign w:val="bottom"/>
          </w:tcPr>
          <w:p w14:paraId="2F253939" w14:textId="77777777" w:rsidR="00D1587D" w:rsidRDefault="00D1587D">
            <w:pPr>
              <w:rPr>
                <w:sz w:val="3"/>
                <w:szCs w:val="3"/>
              </w:rPr>
            </w:pPr>
          </w:p>
        </w:tc>
        <w:tc>
          <w:tcPr>
            <w:tcW w:w="460" w:type="dxa"/>
            <w:vAlign w:val="bottom"/>
          </w:tcPr>
          <w:p w14:paraId="4210FD60" w14:textId="77777777" w:rsidR="00D1587D" w:rsidRDefault="00D1587D">
            <w:pPr>
              <w:rPr>
                <w:sz w:val="3"/>
                <w:szCs w:val="3"/>
              </w:rPr>
            </w:pPr>
          </w:p>
        </w:tc>
        <w:tc>
          <w:tcPr>
            <w:tcW w:w="60" w:type="dxa"/>
            <w:vAlign w:val="bottom"/>
          </w:tcPr>
          <w:p w14:paraId="20D51229" w14:textId="77777777" w:rsidR="00D1587D" w:rsidRDefault="00D1587D">
            <w:pPr>
              <w:rPr>
                <w:sz w:val="3"/>
                <w:szCs w:val="3"/>
              </w:rPr>
            </w:pPr>
          </w:p>
        </w:tc>
        <w:tc>
          <w:tcPr>
            <w:tcW w:w="680" w:type="dxa"/>
            <w:vAlign w:val="bottom"/>
          </w:tcPr>
          <w:p w14:paraId="292670E8" w14:textId="77777777" w:rsidR="00D1587D" w:rsidRDefault="00D1587D">
            <w:pPr>
              <w:rPr>
                <w:sz w:val="3"/>
                <w:szCs w:val="3"/>
              </w:rPr>
            </w:pPr>
          </w:p>
        </w:tc>
        <w:tc>
          <w:tcPr>
            <w:tcW w:w="40" w:type="dxa"/>
            <w:vAlign w:val="bottom"/>
          </w:tcPr>
          <w:p w14:paraId="42C64F18" w14:textId="77777777" w:rsidR="00D1587D" w:rsidRDefault="00D1587D">
            <w:pPr>
              <w:rPr>
                <w:sz w:val="3"/>
                <w:szCs w:val="3"/>
              </w:rPr>
            </w:pPr>
          </w:p>
        </w:tc>
        <w:tc>
          <w:tcPr>
            <w:tcW w:w="540" w:type="dxa"/>
            <w:vAlign w:val="bottom"/>
          </w:tcPr>
          <w:p w14:paraId="4CD52B40" w14:textId="77777777" w:rsidR="00D1587D" w:rsidRDefault="00D1587D">
            <w:pPr>
              <w:rPr>
                <w:sz w:val="3"/>
                <w:szCs w:val="3"/>
              </w:rPr>
            </w:pPr>
          </w:p>
        </w:tc>
        <w:tc>
          <w:tcPr>
            <w:tcW w:w="60" w:type="dxa"/>
            <w:vAlign w:val="bottom"/>
          </w:tcPr>
          <w:p w14:paraId="28E926CB" w14:textId="77777777" w:rsidR="00D1587D" w:rsidRDefault="00D1587D">
            <w:pPr>
              <w:rPr>
                <w:sz w:val="3"/>
                <w:szCs w:val="3"/>
              </w:rPr>
            </w:pPr>
          </w:p>
        </w:tc>
        <w:tc>
          <w:tcPr>
            <w:tcW w:w="640" w:type="dxa"/>
            <w:vAlign w:val="bottom"/>
          </w:tcPr>
          <w:p w14:paraId="13820CD8" w14:textId="77777777" w:rsidR="00D1587D" w:rsidRDefault="00D1587D">
            <w:pPr>
              <w:rPr>
                <w:sz w:val="3"/>
                <w:szCs w:val="3"/>
              </w:rPr>
            </w:pPr>
          </w:p>
        </w:tc>
        <w:tc>
          <w:tcPr>
            <w:tcW w:w="60" w:type="dxa"/>
            <w:vAlign w:val="bottom"/>
          </w:tcPr>
          <w:p w14:paraId="7F337ECD" w14:textId="77777777" w:rsidR="00D1587D" w:rsidRDefault="00D1587D">
            <w:pPr>
              <w:rPr>
                <w:sz w:val="3"/>
                <w:szCs w:val="3"/>
              </w:rPr>
            </w:pPr>
          </w:p>
        </w:tc>
        <w:tc>
          <w:tcPr>
            <w:tcW w:w="480" w:type="dxa"/>
            <w:vAlign w:val="bottom"/>
          </w:tcPr>
          <w:p w14:paraId="7594717C" w14:textId="77777777" w:rsidR="00D1587D" w:rsidRDefault="00D1587D">
            <w:pPr>
              <w:rPr>
                <w:sz w:val="3"/>
                <w:szCs w:val="3"/>
              </w:rPr>
            </w:pPr>
          </w:p>
        </w:tc>
        <w:tc>
          <w:tcPr>
            <w:tcW w:w="60" w:type="dxa"/>
            <w:vAlign w:val="bottom"/>
          </w:tcPr>
          <w:p w14:paraId="5AD29B5B" w14:textId="77777777" w:rsidR="00D1587D" w:rsidRDefault="00D1587D">
            <w:pPr>
              <w:rPr>
                <w:sz w:val="3"/>
                <w:szCs w:val="3"/>
              </w:rPr>
            </w:pPr>
          </w:p>
        </w:tc>
        <w:tc>
          <w:tcPr>
            <w:tcW w:w="720" w:type="dxa"/>
            <w:vAlign w:val="bottom"/>
          </w:tcPr>
          <w:p w14:paraId="5C9ECEE5" w14:textId="77777777" w:rsidR="00D1587D" w:rsidRDefault="00D1587D">
            <w:pPr>
              <w:rPr>
                <w:sz w:val="3"/>
                <w:szCs w:val="3"/>
              </w:rPr>
            </w:pPr>
          </w:p>
        </w:tc>
      </w:tr>
      <w:tr w:rsidR="00D1587D" w14:paraId="12090DE2" w14:textId="77777777">
        <w:trPr>
          <w:trHeight w:val="237"/>
        </w:trPr>
        <w:tc>
          <w:tcPr>
            <w:tcW w:w="1320" w:type="dxa"/>
            <w:tcBorders>
              <w:bottom w:val="single" w:sz="8" w:space="0" w:color="CCEEFF"/>
            </w:tcBorders>
            <w:shd w:val="clear" w:color="auto" w:fill="CCEEFF"/>
            <w:vAlign w:val="bottom"/>
          </w:tcPr>
          <w:p w14:paraId="24A5FE17" w14:textId="77777777" w:rsidR="00D1587D" w:rsidRDefault="00410D07">
            <w:pPr>
              <w:rPr>
                <w:sz w:val="20"/>
                <w:szCs w:val="20"/>
              </w:rPr>
            </w:pPr>
            <w:r>
              <w:rPr>
                <w:rFonts w:ascii="Arial" w:eastAsia="Arial" w:hAnsi="Arial" w:cs="Arial"/>
                <w:w w:val="98"/>
                <w:sz w:val="14"/>
                <w:szCs w:val="14"/>
              </w:rPr>
              <w:t>Stuart B. Burgdoerfer</w:t>
            </w:r>
          </w:p>
        </w:tc>
        <w:tc>
          <w:tcPr>
            <w:tcW w:w="80" w:type="dxa"/>
            <w:tcBorders>
              <w:bottom w:val="single" w:sz="8" w:space="0" w:color="CCEEFF"/>
            </w:tcBorders>
            <w:shd w:val="clear" w:color="auto" w:fill="CCEEFF"/>
            <w:vAlign w:val="bottom"/>
          </w:tcPr>
          <w:p w14:paraId="0F116F35" w14:textId="77777777" w:rsidR="00D1587D" w:rsidRDefault="00D1587D">
            <w:pPr>
              <w:rPr>
                <w:sz w:val="20"/>
                <w:szCs w:val="20"/>
              </w:rPr>
            </w:pPr>
          </w:p>
        </w:tc>
        <w:tc>
          <w:tcPr>
            <w:tcW w:w="680" w:type="dxa"/>
            <w:tcBorders>
              <w:bottom w:val="single" w:sz="8" w:space="0" w:color="CCEEFF"/>
            </w:tcBorders>
            <w:shd w:val="clear" w:color="auto" w:fill="CCEEFF"/>
            <w:vAlign w:val="bottom"/>
          </w:tcPr>
          <w:p w14:paraId="2AE3F63C" w14:textId="77777777" w:rsidR="00D1587D" w:rsidRDefault="00D1587D">
            <w:pPr>
              <w:rPr>
                <w:sz w:val="20"/>
                <w:szCs w:val="20"/>
              </w:rPr>
            </w:pPr>
          </w:p>
        </w:tc>
        <w:tc>
          <w:tcPr>
            <w:tcW w:w="80" w:type="dxa"/>
            <w:tcBorders>
              <w:bottom w:val="single" w:sz="8" w:space="0" w:color="CCEEFF"/>
            </w:tcBorders>
            <w:shd w:val="clear" w:color="auto" w:fill="CCEEFF"/>
            <w:vAlign w:val="bottom"/>
          </w:tcPr>
          <w:p w14:paraId="066A1532" w14:textId="77777777" w:rsidR="00D1587D" w:rsidRDefault="00D1587D">
            <w:pPr>
              <w:rPr>
                <w:sz w:val="20"/>
                <w:szCs w:val="20"/>
              </w:rPr>
            </w:pPr>
          </w:p>
        </w:tc>
        <w:tc>
          <w:tcPr>
            <w:tcW w:w="720" w:type="dxa"/>
            <w:tcBorders>
              <w:bottom w:val="single" w:sz="8" w:space="0" w:color="CCEEFF"/>
            </w:tcBorders>
            <w:shd w:val="clear" w:color="auto" w:fill="CCEEFF"/>
            <w:vAlign w:val="bottom"/>
          </w:tcPr>
          <w:p w14:paraId="2EBBD7E3" w14:textId="77777777" w:rsidR="00D1587D" w:rsidRDefault="00410D07">
            <w:pPr>
              <w:jc w:val="center"/>
              <w:rPr>
                <w:sz w:val="20"/>
                <w:szCs w:val="20"/>
              </w:rPr>
            </w:pPr>
            <w:r>
              <w:rPr>
                <w:rFonts w:ascii="Arial" w:eastAsia="Arial" w:hAnsi="Arial" w:cs="Arial"/>
                <w:w w:val="90"/>
                <w:sz w:val="14"/>
                <w:szCs w:val="14"/>
              </w:rPr>
              <w:t>410,400</w:t>
            </w:r>
          </w:p>
        </w:tc>
        <w:tc>
          <w:tcPr>
            <w:tcW w:w="80" w:type="dxa"/>
            <w:tcBorders>
              <w:bottom w:val="single" w:sz="8" w:space="0" w:color="CCEEFF"/>
            </w:tcBorders>
            <w:shd w:val="clear" w:color="auto" w:fill="CCEEFF"/>
            <w:vAlign w:val="bottom"/>
          </w:tcPr>
          <w:p w14:paraId="7755E632" w14:textId="77777777" w:rsidR="00D1587D" w:rsidRDefault="00D1587D">
            <w:pPr>
              <w:rPr>
                <w:sz w:val="20"/>
                <w:szCs w:val="20"/>
              </w:rPr>
            </w:pPr>
          </w:p>
        </w:tc>
        <w:tc>
          <w:tcPr>
            <w:tcW w:w="720" w:type="dxa"/>
            <w:tcBorders>
              <w:bottom w:val="single" w:sz="8" w:space="0" w:color="CCEEFF"/>
            </w:tcBorders>
            <w:shd w:val="clear" w:color="auto" w:fill="CCEEFF"/>
            <w:vAlign w:val="bottom"/>
          </w:tcPr>
          <w:p w14:paraId="356CF7FD" w14:textId="77777777" w:rsidR="00D1587D" w:rsidRDefault="00410D07">
            <w:pPr>
              <w:jc w:val="center"/>
              <w:rPr>
                <w:sz w:val="20"/>
                <w:szCs w:val="20"/>
              </w:rPr>
            </w:pPr>
            <w:r>
              <w:rPr>
                <w:rFonts w:ascii="Arial" w:eastAsia="Arial" w:hAnsi="Arial" w:cs="Arial"/>
                <w:w w:val="93"/>
                <w:sz w:val="14"/>
                <w:szCs w:val="14"/>
              </w:rPr>
              <w:t>2,052,000</w:t>
            </w:r>
          </w:p>
        </w:tc>
        <w:tc>
          <w:tcPr>
            <w:tcW w:w="80" w:type="dxa"/>
            <w:tcBorders>
              <w:bottom w:val="single" w:sz="8" w:space="0" w:color="CCEEFF"/>
            </w:tcBorders>
            <w:shd w:val="clear" w:color="auto" w:fill="CCEEFF"/>
            <w:vAlign w:val="bottom"/>
          </w:tcPr>
          <w:p w14:paraId="30726713" w14:textId="77777777" w:rsidR="00D1587D" w:rsidRDefault="00D1587D">
            <w:pPr>
              <w:rPr>
                <w:sz w:val="20"/>
                <w:szCs w:val="20"/>
              </w:rPr>
            </w:pPr>
          </w:p>
        </w:tc>
        <w:tc>
          <w:tcPr>
            <w:tcW w:w="740" w:type="dxa"/>
            <w:tcBorders>
              <w:bottom w:val="single" w:sz="8" w:space="0" w:color="CCEEFF"/>
            </w:tcBorders>
            <w:shd w:val="clear" w:color="auto" w:fill="CCEEFF"/>
            <w:vAlign w:val="bottom"/>
          </w:tcPr>
          <w:p w14:paraId="2FE9064A" w14:textId="77777777" w:rsidR="00D1587D" w:rsidRDefault="00410D07">
            <w:pPr>
              <w:jc w:val="center"/>
              <w:rPr>
                <w:sz w:val="20"/>
                <w:szCs w:val="20"/>
              </w:rPr>
            </w:pPr>
            <w:r>
              <w:rPr>
                <w:rFonts w:ascii="Arial" w:eastAsia="Arial" w:hAnsi="Arial" w:cs="Arial"/>
                <w:w w:val="93"/>
                <w:sz w:val="14"/>
                <w:szCs w:val="14"/>
              </w:rPr>
              <w:t>4,104,000</w:t>
            </w:r>
          </w:p>
        </w:tc>
        <w:tc>
          <w:tcPr>
            <w:tcW w:w="60" w:type="dxa"/>
            <w:tcBorders>
              <w:bottom w:val="single" w:sz="8" w:space="0" w:color="CCEEFF"/>
            </w:tcBorders>
            <w:shd w:val="clear" w:color="auto" w:fill="CCEEFF"/>
            <w:vAlign w:val="bottom"/>
          </w:tcPr>
          <w:p w14:paraId="19A31C2D" w14:textId="77777777" w:rsidR="00D1587D" w:rsidRDefault="00D1587D">
            <w:pPr>
              <w:rPr>
                <w:sz w:val="20"/>
                <w:szCs w:val="20"/>
              </w:rPr>
            </w:pPr>
          </w:p>
        </w:tc>
        <w:tc>
          <w:tcPr>
            <w:tcW w:w="680" w:type="dxa"/>
            <w:tcBorders>
              <w:bottom w:val="single" w:sz="8" w:space="0" w:color="CCEEFF"/>
            </w:tcBorders>
            <w:shd w:val="clear" w:color="auto" w:fill="CCEEFF"/>
            <w:vAlign w:val="bottom"/>
          </w:tcPr>
          <w:p w14:paraId="217CB547" w14:textId="77777777" w:rsidR="00D1587D" w:rsidRDefault="00D1587D">
            <w:pPr>
              <w:rPr>
                <w:sz w:val="20"/>
                <w:szCs w:val="20"/>
              </w:rPr>
            </w:pPr>
          </w:p>
        </w:tc>
        <w:tc>
          <w:tcPr>
            <w:tcW w:w="40" w:type="dxa"/>
            <w:tcBorders>
              <w:bottom w:val="single" w:sz="8" w:space="0" w:color="CCEEFF"/>
            </w:tcBorders>
            <w:shd w:val="clear" w:color="auto" w:fill="CCEEFF"/>
            <w:vAlign w:val="bottom"/>
          </w:tcPr>
          <w:p w14:paraId="484330D8" w14:textId="77777777" w:rsidR="00D1587D" w:rsidRDefault="00D1587D">
            <w:pPr>
              <w:rPr>
                <w:sz w:val="20"/>
                <w:szCs w:val="20"/>
              </w:rPr>
            </w:pPr>
          </w:p>
        </w:tc>
        <w:tc>
          <w:tcPr>
            <w:tcW w:w="460" w:type="dxa"/>
            <w:tcBorders>
              <w:bottom w:val="single" w:sz="8" w:space="0" w:color="CCEEFF"/>
            </w:tcBorders>
            <w:shd w:val="clear" w:color="auto" w:fill="CCEEFF"/>
            <w:vAlign w:val="bottom"/>
          </w:tcPr>
          <w:p w14:paraId="54B5B652" w14:textId="77777777" w:rsidR="00D1587D" w:rsidRDefault="00D1587D">
            <w:pPr>
              <w:rPr>
                <w:sz w:val="20"/>
                <w:szCs w:val="20"/>
              </w:rPr>
            </w:pPr>
          </w:p>
        </w:tc>
        <w:tc>
          <w:tcPr>
            <w:tcW w:w="60" w:type="dxa"/>
            <w:tcBorders>
              <w:bottom w:val="single" w:sz="8" w:space="0" w:color="CCEEFF"/>
            </w:tcBorders>
            <w:shd w:val="clear" w:color="auto" w:fill="CCEEFF"/>
            <w:vAlign w:val="bottom"/>
          </w:tcPr>
          <w:p w14:paraId="5A203830" w14:textId="77777777" w:rsidR="00D1587D" w:rsidRDefault="00D1587D">
            <w:pPr>
              <w:rPr>
                <w:sz w:val="20"/>
                <w:szCs w:val="20"/>
              </w:rPr>
            </w:pPr>
          </w:p>
        </w:tc>
        <w:tc>
          <w:tcPr>
            <w:tcW w:w="680" w:type="dxa"/>
            <w:tcBorders>
              <w:bottom w:val="single" w:sz="8" w:space="0" w:color="CCEEFF"/>
            </w:tcBorders>
            <w:shd w:val="clear" w:color="auto" w:fill="CCEEFF"/>
            <w:vAlign w:val="bottom"/>
          </w:tcPr>
          <w:p w14:paraId="21185F75" w14:textId="77777777" w:rsidR="00D1587D" w:rsidRDefault="00D1587D">
            <w:pPr>
              <w:rPr>
                <w:sz w:val="20"/>
                <w:szCs w:val="20"/>
              </w:rPr>
            </w:pPr>
          </w:p>
        </w:tc>
        <w:tc>
          <w:tcPr>
            <w:tcW w:w="40" w:type="dxa"/>
            <w:tcBorders>
              <w:bottom w:val="single" w:sz="8" w:space="0" w:color="CCEEFF"/>
            </w:tcBorders>
            <w:shd w:val="clear" w:color="auto" w:fill="CCEEFF"/>
            <w:vAlign w:val="bottom"/>
          </w:tcPr>
          <w:p w14:paraId="3F12D310" w14:textId="77777777" w:rsidR="00D1587D" w:rsidRDefault="00D1587D">
            <w:pPr>
              <w:rPr>
                <w:sz w:val="20"/>
                <w:szCs w:val="20"/>
              </w:rPr>
            </w:pPr>
          </w:p>
        </w:tc>
        <w:tc>
          <w:tcPr>
            <w:tcW w:w="540" w:type="dxa"/>
            <w:tcBorders>
              <w:bottom w:val="single" w:sz="8" w:space="0" w:color="CCEEFF"/>
            </w:tcBorders>
            <w:shd w:val="clear" w:color="auto" w:fill="CCEEFF"/>
            <w:vAlign w:val="bottom"/>
          </w:tcPr>
          <w:p w14:paraId="5037D232" w14:textId="77777777" w:rsidR="00D1587D" w:rsidRDefault="00D1587D">
            <w:pPr>
              <w:rPr>
                <w:sz w:val="20"/>
                <w:szCs w:val="20"/>
              </w:rPr>
            </w:pPr>
          </w:p>
        </w:tc>
        <w:tc>
          <w:tcPr>
            <w:tcW w:w="60" w:type="dxa"/>
            <w:tcBorders>
              <w:bottom w:val="single" w:sz="8" w:space="0" w:color="CCEEFF"/>
            </w:tcBorders>
            <w:shd w:val="clear" w:color="auto" w:fill="CCEEFF"/>
            <w:vAlign w:val="bottom"/>
          </w:tcPr>
          <w:p w14:paraId="0887A9A6" w14:textId="77777777" w:rsidR="00D1587D" w:rsidRDefault="00D1587D">
            <w:pPr>
              <w:rPr>
                <w:sz w:val="20"/>
                <w:szCs w:val="20"/>
              </w:rPr>
            </w:pPr>
          </w:p>
        </w:tc>
        <w:tc>
          <w:tcPr>
            <w:tcW w:w="640" w:type="dxa"/>
            <w:tcBorders>
              <w:bottom w:val="single" w:sz="8" w:space="0" w:color="CCEEFF"/>
            </w:tcBorders>
            <w:shd w:val="clear" w:color="auto" w:fill="CCEEFF"/>
            <w:vAlign w:val="bottom"/>
          </w:tcPr>
          <w:p w14:paraId="578404D8" w14:textId="77777777" w:rsidR="00D1587D" w:rsidRDefault="00D1587D">
            <w:pPr>
              <w:rPr>
                <w:sz w:val="20"/>
                <w:szCs w:val="20"/>
              </w:rPr>
            </w:pPr>
          </w:p>
        </w:tc>
        <w:tc>
          <w:tcPr>
            <w:tcW w:w="60" w:type="dxa"/>
            <w:tcBorders>
              <w:bottom w:val="single" w:sz="8" w:space="0" w:color="CCEEFF"/>
            </w:tcBorders>
            <w:shd w:val="clear" w:color="auto" w:fill="CCEEFF"/>
            <w:vAlign w:val="bottom"/>
          </w:tcPr>
          <w:p w14:paraId="7EBAAD81" w14:textId="77777777" w:rsidR="00D1587D" w:rsidRDefault="00D1587D">
            <w:pPr>
              <w:rPr>
                <w:sz w:val="20"/>
                <w:szCs w:val="20"/>
              </w:rPr>
            </w:pPr>
          </w:p>
        </w:tc>
        <w:tc>
          <w:tcPr>
            <w:tcW w:w="480" w:type="dxa"/>
            <w:tcBorders>
              <w:bottom w:val="single" w:sz="8" w:space="0" w:color="CCEEFF"/>
            </w:tcBorders>
            <w:shd w:val="clear" w:color="auto" w:fill="CCEEFF"/>
            <w:vAlign w:val="bottom"/>
          </w:tcPr>
          <w:p w14:paraId="5A9F224D" w14:textId="77777777" w:rsidR="00D1587D" w:rsidRDefault="00D1587D">
            <w:pPr>
              <w:rPr>
                <w:sz w:val="20"/>
                <w:szCs w:val="20"/>
              </w:rPr>
            </w:pPr>
          </w:p>
        </w:tc>
        <w:tc>
          <w:tcPr>
            <w:tcW w:w="60" w:type="dxa"/>
            <w:tcBorders>
              <w:bottom w:val="single" w:sz="8" w:space="0" w:color="CCEEFF"/>
            </w:tcBorders>
            <w:shd w:val="clear" w:color="auto" w:fill="CCEEFF"/>
            <w:vAlign w:val="bottom"/>
          </w:tcPr>
          <w:p w14:paraId="25F3C84E" w14:textId="77777777" w:rsidR="00D1587D" w:rsidRDefault="00D1587D">
            <w:pPr>
              <w:rPr>
                <w:sz w:val="20"/>
                <w:szCs w:val="20"/>
              </w:rPr>
            </w:pPr>
          </w:p>
        </w:tc>
        <w:tc>
          <w:tcPr>
            <w:tcW w:w="720" w:type="dxa"/>
            <w:tcBorders>
              <w:bottom w:val="single" w:sz="8" w:space="0" w:color="CCEEFF"/>
            </w:tcBorders>
            <w:shd w:val="clear" w:color="auto" w:fill="CCEEFF"/>
            <w:vAlign w:val="bottom"/>
          </w:tcPr>
          <w:p w14:paraId="14581422" w14:textId="77777777" w:rsidR="00D1587D" w:rsidRDefault="00D1587D">
            <w:pPr>
              <w:rPr>
                <w:sz w:val="20"/>
                <w:szCs w:val="20"/>
              </w:rPr>
            </w:pPr>
          </w:p>
        </w:tc>
      </w:tr>
      <w:tr w:rsidR="00D1587D" w14:paraId="3A0A2B16" w14:textId="77777777">
        <w:trPr>
          <w:trHeight w:val="218"/>
        </w:trPr>
        <w:tc>
          <w:tcPr>
            <w:tcW w:w="1320" w:type="dxa"/>
            <w:vAlign w:val="bottom"/>
          </w:tcPr>
          <w:p w14:paraId="00664D0E" w14:textId="77777777" w:rsidR="00D1587D" w:rsidRDefault="00410D07">
            <w:pPr>
              <w:rPr>
                <w:sz w:val="20"/>
                <w:szCs w:val="20"/>
              </w:rPr>
            </w:pPr>
            <w:r>
              <w:rPr>
                <w:rFonts w:ascii="Arial" w:eastAsia="Arial" w:hAnsi="Arial" w:cs="Arial"/>
                <w:sz w:val="14"/>
                <w:szCs w:val="14"/>
              </w:rPr>
              <w:t>John Mehas</w:t>
            </w:r>
          </w:p>
        </w:tc>
        <w:tc>
          <w:tcPr>
            <w:tcW w:w="80" w:type="dxa"/>
            <w:vAlign w:val="bottom"/>
          </w:tcPr>
          <w:p w14:paraId="6FA6BD2B" w14:textId="77777777" w:rsidR="00D1587D" w:rsidRDefault="00D1587D">
            <w:pPr>
              <w:rPr>
                <w:sz w:val="18"/>
                <w:szCs w:val="18"/>
              </w:rPr>
            </w:pPr>
          </w:p>
        </w:tc>
        <w:tc>
          <w:tcPr>
            <w:tcW w:w="680" w:type="dxa"/>
            <w:vAlign w:val="bottom"/>
          </w:tcPr>
          <w:p w14:paraId="6AB40578" w14:textId="77777777" w:rsidR="00D1587D" w:rsidRDefault="00D1587D">
            <w:pPr>
              <w:rPr>
                <w:sz w:val="18"/>
                <w:szCs w:val="18"/>
              </w:rPr>
            </w:pPr>
          </w:p>
        </w:tc>
        <w:tc>
          <w:tcPr>
            <w:tcW w:w="80" w:type="dxa"/>
            <w:vAlign w:val="bottom"/>
          </w:tcPr>
          <w:p w14:paraId="1742B592" w14:textId="77777777" w:rsidR="00D1587D" w:rsidRDefault="00D1587D">
            <w:pPr>
              <w:rPr>
                <w:sz w:val="18"/>
                <w:szCs w:val="18"/>
              </w:rPr>
            </w:pPr>
          </w:p>
        </w:tc>
        <w:tc>
          <w:tcPr>
            <w:tcW w:w="720" w:type="dxa"/>
            <w:vAlign w:val="bottom"/>
          </w:tcPr>
          <w:p w14:paraId="753C67DF" w14:textId="77777777" w:rsidR="00D1587D" w:rsidRDefault="00410D07">
            <w:pPr>
              <w:jc w:val="center"/>
              <w:rPr>
                <w:sz w:val="20"/>
                <w:szCs w:val="20"/>
              </w:rPr>
            </w:pPr>
            <w:r>
              <w:rPr>
                <w:rFonts w:ascii="Arial" w:eastAsia="Arial" w:hAnsi="Arial" w:cs="Arial"/>
                <w:w w:val="90"/>
                <w:sz w:val="14"/>
                <w:szCs w:val="14"/>
              </w:rPr>
              <w:t>432,000</w:t>
            </w:r>
          </w:p>
        </w:tc>
        <w:tc>
          <w:tcPr>
            <w:tcW w:w="80" w:type="dxa"/>
            <w:vAlign w:val="bottom"/>
          </w:tcPr>
          <w:p w14:paraId="2969BAF1" w14:textId="77777777" w:rsidR="00D1587D" w:rsidRDefault="00D1587D">
            <w:pPr>
              <w:rPr>
                <w:sz w:val="18"/>
                <w:szCs w:val="18"/>
              </w:rPr>
            </w:pPr>
          </w:p>
        </w:tc>
        <w:tc>
          <w:tcPr>
            <w:tcW w:w="720" w:type="dxa"/>
            <w:vAlign w:val="bottom"/>
          </w:tcPr>
          <w:p w14:paraId="58357CCD" w14:textId="77777777" w:rsidR="00D1587D" w:rsidRDefault="00410D07">
            <w:pPr>
              <w:jc w:val="center"/>
              <w:rPr>
                <w:sz w:val="20"/>
                <w:szCs w:val="20"/>
              </w:rPr>
            </w:pPr>
            <w:r>
              <w:rPr>
                <w:rFonts w:ascii="Arial" w:eastAsia="Arial" w:hAnsi="Arial" w:cs="Arial"/>
                <w:w w:val="93"/>
                <w:sz w:val="14"/>
                <w:szCs w:val="14"/>
              </w:rPr>
              <w:t>2,160,000</w:t>
            </w:r>
          </w:p>
        </w:tc>
        <w:tc>
          <w:tcPr>
            <w:tcW w:w="80" w:type="dxa"/>
            <w:vAlign w:val="bottom"/>
          </w:tcPr>
          <w:p w14:paraId="1701A8BB" w14:textId="77777777" w:rsidR="00D1587D" w:rsidRDefault="00D1587D">
            <w:pPr>
              <w:rPr>
                <w:sz w:val="18"/>
                <w:szCs w:val="18"/>
              </w:rPr>
            </w:pPr>
          </w:p>
        </w:tc>
        <w:tc>
          <w:tcPr>
            <w:tcW w:w="740" w:type="dxa"/>
            <w:vAlign w:val="bottom"/>
          </w:tcPr>
          <w:p w14:paraId="35B2C2C2" w14:textId="77777777" w:rsidR="00D1587D" w:rsidRDefault="00410D07">
            <w:pPr>
              <w:jc w:val="center"/>
              <w:rPr>
                <w:sz w:val="20"/>
                <w:szCs w:val="20"/>
              </w:rPr>
            </w:pPr>
            <w:r>
              <w:rPr>
                <w:rFonts w:ascii="Arial" w:eastAsia="Arial" w:hAnsi="Arial" w:cs="Arial"/>
                <w:w w:val="93"/>
                <w:sz w:val="14"/>
                <w:szCs w:val="14"/>
              </w:rPr>
              <w:t>4,320,000</w:t>
            </w:r>
          </w:p>
        </w:tc>
        <w:tc>
          <w:tcPr>
            <w:tcW w:w="60" w:type="dxa"/>
            <w:vAlign w:val="bottom"/>
          </w:tcPr>
          <w:p w14:paraId="25E6687E" w14:textId="77777777" w:rsidR="00D1587D" w:rsidRDefault="00D1587D">
            <w:pPr>
              <w:rPr>
                <w:sz w:val="18"/>
                <w:szCs w:val="18"/>
              </w:rPr>
            </w:pPr>
          </w:p>
        </w:tc>
        <w:tc>
          <w:tcPr>
            <w:tcW w:w="680" w:type="dxa"/>
            <w:vAlign w:val="bottom"/>
          </w:tcPr>
          <w:p w14:paraId="13435F5A" w14:textId="77777777" w:rsidR="00D1587D" w:rsidRDefault="00D1587D">
            <w:pPr>
              <w:rPr>
                <w:sz w:val="18"/>
                <w:szCs w:val="18"/>
              </w:rPr>
            </w:pPr>
          </w:p>
        </w:tc>
        <w:tc>
          <w:tcPr>
            <w:tcW w:w="40" w:type="dxa"/>
            <w:vAlign w:val="bottom"/>
          </w:tcPr>
          <w:p w14:paraId="1AADAE4E" w14:textId="77777777" w:rsidR="00D1587D" w:rsidRDefault="00D1587D">
            <w:pPr>
              <w:rPr>
                <w:sz w:val="18"/>
                <w:szCs w:val="18"/>
              </w:rPr>
            </w:pPr>
          </w:p>
        </w:tc>
        <w:tc>
          <w:tcPr>
            <w:tcW w:w="460" w:type="dxa"/>
            <w:vAlign w:val="bottom"/>
          </w:tcPr>
          <w:p w14:paraId="14049911" w14:textId="77777777" w:rsidR="00D1587D" w:rsidRDefault="00D1587D">
            <w:pPr>
              <w:rPr>
                <w:sz w:val="18"/>
                <w:szCs w:val="18"/>
              </w:rPr>
            </w:pPr>
          </w:p>
        </w:tc>
        <w:tc>
          <w:tcPr>
            <w:tcW w:w="60" w:type="dxa"/>
            <w:vAlign w:val="bottom"/>
          </w:tcPr>
          <w:p w14:paraId="0F70D388" w14:textId="77777777" w:rsidR="00D1587D" w:rsidRDefault="00D1587D">
            <w:pPr>
              <w:rPr>
                <w:sz w:val="18"/>
                <w:szCs w:val="18"/>
              </w:rPr>
            </w:pPr>
          </w:p>
        </w:tc>
        <w:tc>
          <w:tcPr>
            <w:tcW w:w="680" w:type="dxa"/>
            <w:vAlign w:val="bottom"/>
          </w:tcPr>
          <w:p w14:paraId="766FBE47" w14:textId="77777777" w:rsidR="00D1587D" w:rsidRDefault="00D1587D">
            <w:pPr>
              <w:rPr>
                <w:sz w:val="18"/>
                <w:szCs w:val="18"/>
              </w:rPr>
            </w:pPr>
          </w:p>
        </w:tc>
        <w:tc>
          <w:tcPr>
            <w:tcW w:w="40" w:type="dxa"/>
            <w:vAlign w:val="bottom"/>
          </w:tcPr>
          <w:p w14:paraId="37E39AA3" w14:textId="77777777" w:rsidR="00D1587D" w:rsidRDefault="00D1587D">
            <w:pPr>
              <w:rPr>
                <w:sz w:val="18"/>
                <w:szCs w:val="18"/>
              </w:rPr>
            </w:pPr>
          </w:p>
        </w:tc>
        <w:tc>
          <w:tcPr>
            <w:tcW w:w="540" w:type="dxa"/>
            <w:vAlign w:val="bottom"/>
          </w:tcPr>
          <w:p w14:paraId="31B027F9" w14:textId="77777777" w:rsidR="00D1587D" w:rsidRDefault="00D1587D">
            <w:pPr>
              <w:rPr>
                <w:sz w:val="18"/>
                <w:szCs w:val="18"/>
              </w:rPr>
            </w:pPr>
          </w:p>
        </w:tc>
        <w:tc>
          <w:tcPr>
            <w:tcW w:w="60" w:type="dxa"/>
            <w:vAlign w:val="bottom"/>
          </w:tcPr>
          <w:p w14:paraId="4DFA3D3E" w14:textId="77777777" w:rsidR="00D1587D" w:rsidRDefault="00D1587D">
            <w:pPr>
              <w:rPr>
                <w:sz w:val="18"/>
                <w:szCs w:val="18"/>
              </w:rPr>
            </w:pPr>
          </w:p>
        </w:tc>
        <w:tc>
          <w:tcPr>
            <w:tcW w:w="640" w:type="dxa"/>
            <w:vAlign w:val="bottom"/>
          </w:tcPr>
          <w:p w14:paraId="140C5FCC" w14:textId="77777777" w:rsidR="00D1587D" w:rsidRDefault="00D1587D">
            <w:pPr>
              <w:rPr>
                <w:sz w:val="18"/>
                <w:szCs w:val="18"/>
              </w:rPr>
            </w:pPr>
          </w:p>
        </w:tc>
        <w:tc>
          <w:tcPr>
            <w:tcW w:w="60" w:type="dxa"/>
            <w:vAlign w:val="bottom"/>
          </w:tcPr>
          <w:p w14:paraId="39C3DAA5" w14:textId="77777777" w:rsidR="00D1587D" w:rsidRDefault="00D1587D">
            <w:pPr>
              <w:rPr>
                <w:sz w:val="18"/>
                <w:szCs w:val="18"/>
              </w:rPr>
            </w:pPr>
          </w:p>
        </w:tc>
        <w:tc>
          <w:tcPr>
            <w:tcW w:w="480" w:type="dxa"/>
            <w:vAlign w:val="bottom"/>
          </w:tcPr>
          <w:p w14:paraId="29A7B500" w14:textId="77777777" w:rsidR="00D1587D" w:rsidRDefault="00D1587D">
            <w:pPr>
              <w:rPr>
                <w:sz w:val="18"/>
                <w:szCs w:val="18"/>
              </w:rPr>
            </w:pPr>
          </w:p>
        </w:tc>
        <w:tc>
          <w:tcPr>
            <w:tcW w:w="60" w:type="dxa"/>
            <w:vAlign w:val="bottom"/>
          </w:tcPr>
          <w:p w14:paraId="21D7784D" w14:textId="77777777" w:rsidR="00D1587D" w:rsidRDefault="00D1587D">
            <w:pPr>
              <w:rPr>
                <w:sz w:val="18"/>
                <w:szCs w:val="18"/>
              </w:rPr>
            </w:pPr>
          </w:p>
        </w:tc>
        <w:tc>
          <w:tcPr>
            <w:tcW w:w="720" w:type="dxa"/>
            <w:vAlign w:val="bottom"/>
          </w:tcPr>
          <w:p w14:paraId="622ED765" w14:textId="77777777" w:rsidR="00D1587D" w:rsidRDefault="00D1587D">
            <w:pPr>
              <w:rPr>
                <w:sz w:val="18"/>
                <w:szCs w:val="18"/>
              </w:rPr>
            </w:pPr>
          </w:p>
        </w:tc>
      </w:tr>
    </w:tbl>
    <w:p w14:paraId="3323CC53" w14:textId="77777777" w:rsidR="00D1587D" w:rsidRDefault="00410D07">
      <w:pPr>
        <w:spacing w:line="20" w:lineRule="exact"/>
        <w:rPr>
          <w:sz w:val="20"/>
          <w:szCs w:val="20"/>
        </w:rPr>
      </w:pPr>
      <w:r>
        <w:rPr>
          <w:noProof/>
          <w:sz w:val="20"/>
          <w:szCs w:val="20"/>
        </w:rPr>
        <w:drawing>
          <wp:anchor distT="0" distB="0" distL="114300" distR="114300" simplePos="0" relativeHeight="251873280" behindDoc="1" locked="0" layoutInCell="0" allowOverlap="1" wp14:anchorId="085519A3" wp14:editId="43C52D73">
            <wp:simplePos x="0" y="0"/>
            <wp:positionH relativeFrom="column">
              <wp:posOffset>5268595</wp:posOffset>
            </wp:positionH>
            <wp:positionV relativeFrom="paragraph">
              <wp:posOffset>-969010</wp:posOffset>
            </wp:positionV>
            <wp:extent cx="34290" cy="8890"/>
            <wp:effectExtent l="0" t="0" r="0" b="0"/>
            <wp:wrapNone/>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874304" behindDoc="1" locked="0" layoutInCell="0" allowOverlap="1" wp14:anchorId="7E6D6732" wp14:editId="461CE1E0">
            <wp:simplePos x="0" y="0"/>
            <wp:positionH relativeFrom="column">
              <wp:posOffset>4925695</wp:posOffset>
            </wp:positionH>
            <wp:positionV relativeFrom="paragraph">
              <wp:posOffset>-969010</wp:posOffset>
            </wp:positionV>
            <wp:extent cx="34290" cy="8890"/>
            <wp:effectExtent l="0" t="0" r="0" b="0"/>
            <wp:wrapNone/>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875328" behindDoc="1" locked="0" layoutInCell="0" allowOverlap="1" wp14:anchorId="5D1219D4" wp14:editId="1A75B07C">
            <wp:simplePos x="0" y="0"/>
            <wp:positionH relativeFrom="column">
              <wp:posOffset>4488180</wp:posOffset>
            </wp:positionH>
            <wp:positionV relativeFrom="paragraph">
              <wp:posOffset>-969010</wp:posOffset>
            </wp:positionV>
            <wp:extent cx="34290" cy="8890"/>
            <wp:effectExtent l="0" t="0" r="0" b="0"/>
            <wp:wrapNone/>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876352" behindDoc="1" locked="0" layoutInCell="0" allowOverlap="1" wp14:anchorId="3000500D" wp14:editId="170BD5BF">
            <wp:simplePos x="0" y="0"/>
            <wp:positionH relativeFrom="column">
              <wp:posOffset>4110990</wp:posOffset>
            </wp:positionH>
            <wp:positionV relativeFrom="paragraph">
              <wp:posOffset>-969010</wp:posOffset>
            </wp:positionV>
            <wp:extent cx="34290" cy="8890"/>
            <wp:effectExtent l="0" t="0" r="0" b="0"/>
            <wp:wrapNone/>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877376" behindDoc="1" locked="0" layoutInCell="0" allowOverlap="1" wp14:anchorId="3C13BDC1" wp14:editId="5C6365E2">
            <wp:simplePos x="0" y="0"/>
            <wp:positionH relativeFrom="column">
              <wp:posOffset>3648075</wp:posOffset>
            </wp:positionH>
            <wp:positionV relativeFrom="paragraph">
              <wp:posOffset>-969010</wp:posOffset>
            </wp:positionV>
            <wp:extent cx="34290" cy="8890"/>
            <wp:effectExtent l="0" t="0" r="0" b="0"/>
            <wp:wrapNone/>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878400" behindDoc="1" locked="0" layoutInCell="0" allowOverlap="1" wp14:anchorId="6C4887F5" wp14:editId="3594C1AF">
            <wp:simplePos x="0" y="0"/>
            <wp:positionH relativeFrom="column">
              <wp:posOffset>3322320</wp:posOffset>
            </wp:positionH>
            <wp:positionV relativeFrom="paragraph">
              <wp:posOffset>-969010</wp:posOffset>
            </wp:positionV>
            <wp:extent cx="34290" cy="8890"/>
            <wp:effectExtent l="0" t="0" r="0" b="0"/>
            <wp:wrapNone/>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879424" behindDoc="1" locked="0" layoutInCell="0" allowOverlap="1" wp14:anchorId="26D71DD5" wp14:editId="25A04441">
            <wp:simplePos x="0" y="0"/>
            <wp:positionH relativeFrom="column">
              <wp:posOffset>2859405</wp:posOffset>
            </wp:positionH>
            <wp:positionV relativeFrom="paragraph">
              <wp:posOffset>-969010</wp:posOffset>
            </wp:positionV>
            <wp:extent cx="34290" cy="8890"/>
            <wp:effectExtent l="0" t="0" r="0" b="0"/>
            <wp:wrapNone/>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1880448" behindDoc="1" locked="0" layoutInCell="0" allowOverlap="1" wp14:anchorId="10673D38" wp14:editId="63A44B62">
            <wp:simplePos x="0" y="0"/>
            <wp:positionH relativeFrom="column">
              <wp:posOffset>2336800</wp:posOffset>
            </wp:positionH>
            <wp:positionV relativeFrom="paragraph">
              <wp:posOffset>-969010</wp:posOffset>
            </wp:positionV>
            <wp:extent cx="51435" cy="8890"/>
            <wp:effectExtent l="0" t="0" r="0" b="0"/>
            <wp:wrapNone/>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881472" behindDoc="1" locked="0" layoutInCell="0" allowOverlap="1" wp14:anchorId="30ECD7BA" wp14:editId="091CCE58">
            <wp:simplePos x="0" y="0"/>
            <wp:positionH relativeFrom="column">
              <wp:posOffset>1830705</wp:posOffset>
            </wp:positionH>
            <wp:positionV relativeFrom="paragraph">
              <wp:posOffset>-969010</wp:posOffset>
            </wp:positionV>
            <wp:extent cx="51435" cy="8890"/>
            <wp:effectExtent l="0" t="0" r="0" b="0"/>
            <wp:wrapNone/>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882496" behindDoc="1" locked="0" layoutInCell="0" allowOverlap="1" wp14:anchorId="3124BC4B" wp14:editId="6958572B">
            <wp:simplePos x="0" y="0"/>
            <wp:positionH relativeFrom="column">
              <wp:posOffset>1316355</wp:posOffset>
            </wp:positionH>
            <wp:positionV relativeFrom="paragraph">
              <wp:posOffset>-969010</wp:posOffset>
            </wp:positionV>
            <wp:extent cx="51435" cy="8890"/>
            <wp:effectExtent l="0" t="0" r="0" b="0"/>
            <wp:wrapNone/>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883520" behindDoc="1" locked="0" layoutInCell="0" allowOverlap="1" wp14:anchorId="7D150939" wp14:editId="2B0FD289">
            <wp:simplePos x="0" y="0"/>
            <wp:positionH relativeFrom="column">
              <wp:posOffset>836295</wp:posOffset>
            </wp:positionH>
            <wp:positionV relativeFrom="paragraph">
              <wp:posOffset>-969010</wp:posOffset>
            </wp:positionV>
            <wp:extent cx="51435" cy="8890"/>
            <wp:effectExtent l="0" t="0" r="0" b="0"/>
            <wp:wrapNone/>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1884544" behindDoc="1" locked="0" layoutInCell="0" allowOverlap="1" wp14:anchorId="190C8AF1" wp14:editId="113B09BC">
            <wp:simplePos x="0" y="0"/>
            <wp:positionH relativeFrom="column">
              <wp:posOffset>5080</wp:posOffset>
            </wp:positionH>
            <wp:positionV relativeFrom="paragraph">
              <wp:posOffset>179070</wp:posOffset>
            </wp:positionV>
            <wp:extent cx="822960" cy="8890"/>
            <wp:effectExtent l="0" t="0" r="0" b="0"/>
            <wp:wrapNone/>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7F62641D" w14:textId="77777777" w:rsidR="00D1587D" w:rsidRDefault="00D1587D">
      <w:pPr>
        <w:spacing w:line="311" w:lineRule="exact"/>
        <w:rPr>
          <w:sz w:val="20"/>
          <w:szCs w:val="20"/>
        </w:rPr>
      </w:pPr>
    </w:p>
    <w:p w14:paraId="7CA7B62D" w14:textId="77777777" w:rsidR="00D1587D" w:rsidRDefault="00410D07" w:rsidP="00410D07">
      <w:pPr>
        <w:numPr>
          <w:ilvl w:val="0"/>
          <w:numId w:val="322"/>
        </w:numPr>
        <w:tabs>
          <w:tab w:val="left" w:pos="360"/>
        </w:tabs>
        <w:spacing w:line="238" w:lineRule="auto"/>
        <w:ind w:left="360" w:right="300" w:hanging="352"/>
        <w:rPr>
          <w:rFonts w:ascii="Arial" w:eastAsia="Arial" w:hAnsi="Arial" w:cs="Arial"/>
          <w:sz w:val="14"/>
          <w:szCs w:val="14"/>
        </w:rPr>
      </w:pPr>
      <w:r>
        <w:rPr>
          <w:rFonts w:ascii="Arial" w:eastAsia="Arial" w:hAnsi="Arial" w:cs="Arial"/>
          <w:sz w:val="14"/>
          <w:szCs w:val="14"/>
        </w:rPr>
        <w:t xml:space="preserve">Non-Equity Incentive Plan Awards represent the Threshold, Target and Maximum opportunities under the 2015 ICPP for the 2020 Spring and Fall seasons. The actual amount earned under this plan </w:t>
      </w:r>
      <w:r>
        <w:rPr>
          <w:rFonts w:ascii="Arial" w:eastAsia="Arial" w:hAnsi="Arial" w:cs="Arial"/>
          <w:sz w:val="14"/>
          <w:szCs w:val="14"/>
        </w:rPr>
        <w:t>is disclosed in the 2020 Summary Compensation Table in the “Non-Equity Incentive Plan Compensation” column.</w:t>
      </w:r>
    </w:p>
    <w:p w14:paraId="4904D01D" w14:textId="77777777" w:rsidR="00D1587D" w:rsidRDefault="00D1587D">
      <w:pPr>
        <w:spacing w:line="20" w:lineRule="exact"/>
        <w:rPr>
          <w:rFonts w:ascii="Arial" w:eastAsia="Arial" w:hAnsi="Arial" w:cs="Arial"/>
          <w:sz w:val="14"/>
          <w:szCs w:val="14"/>
        </w:rPr>
      </w:pPr>
    </w:p>
    <w:p w14:paraId="58B0B470" w14:textId="77777777" w:rsidR="00D1587D" w:rsidRDefault="00410D07" w:rsidP="00410D07">
      <w:pPr>
        <w:numPr>
          <w:ilvl w:val="0"/>
          <w:numId w:val="322"/>
        </w:numPr>
        <w:tabs>
          <w:tab w:val="left" w:pos="360"/>
        </w:tabs>
        <w:spacing w:line="253" w:lineRule="auto"/>
        <w:ind w:left="360" w:right="160" w:hanging="352"/>
        <w:rPr>
          <w:rFonts w:ascii="Arial" w:eastAsia="Arial" w:hAnsi="Arial" w:cs="Arial"/>
          <w:sz w:val="14"/>
          <w:szCs w:val="14"/>
        </w:rPr>
      </w:pPr>
      <w:r>
        <w:rPr>
          <w:rFonts w:ascii="Arial" w:eastAsia="Arial" w:hAnsi="Arial" w:cs="Arial"/>
          <w:sz w:val="14"/>
          <w:szCs w:val="14"/>
        </w:rPr>
        <w:t xml:space="preserve">Reflects RSUs granted pursuant to the LB 2020 Plan. Grant dates were established on the date the grants were approved by the LB HCC Committee. The </w:t>
      </w:r>
      <w:r>
        <w:rPr>
          <w:rFonts w:ascii="Arial" w:eastAsia="Arial" w:hAnsi="Arial" w:cs="Arial"/>
          <w:sz w:val="14"/>
          <w:szCs w:val="14"/>
        </w:rPr>
        <w:t>RSUs vest 100% on the third anniversary of the grant, subject to continued employment.</w:t>
      </w:r>
    </w:p>
    <w:p w14:paraId="0E07069B" w14:textId="77777777" w:rsidR="00D1587D" w:rsidRDefault="00D1587D">
      <w:pPr>
        <w:spacing w:line="11" w:lineRule="exact"/>
        <w:rPr>
          <w:rFonts w:ascii="Arial" w:eastAsia="Arial" w:hAnsi="Arial" w:cs="Arial"/>
          <w:sz w:val="14"/>
          <w:szCs w:val="14"/>
        </w:rPr>
      </w:pPr>
    </w:p>
    <w:p w14:paraId="3E951A96" w14:textId="77777777" w:rsidR="00D1587D" w:rsidRDefault="00410D07" w:rsidP="00410D07">
      <w:pPr>
        <w:numPr>
          <w:ilvl w:val="0"/>
          <w:numId w:val="322"/>
        </w:numPr>
        <w:tabs>
          <w:tab w:val="left" w:pos="360"/>
        </w:tabs>
        <w:spacing w:line="253" w:lineRule="auto"/>
        <w:ind w:left="360" w:right="120" w:hanging="352"/>
        <w:rPr>
          <w:rFonts w:ascii="Arial" w:eastAsia="Arial" w:hAnsi="Arial" w:cs="Arial"/>
          <w:sz w:val="14"/>
          <w:szCs w:val="14"/>
        </w:rPr>
      </w:pPr>
      <w:r>
        <w:rPr>
          <w:rFonts w:ascii="Arial" w:eastAsia="Arial" w:hAnsi="Arial" w:cs="Arial"/>
          <w:sz w:val="14"/>
          <w:szCs w:val="14"/>
        </w:rPr>
        <w:t xml:space="preserve">The value of the RSUs reflects the grant date fair value under ASC Topic 718 Compensation—Stock Compensation for each award. RSUs are valued based on the fair </w:t>
      </w:r>
      <w:r>
        <w:rPr>
          <w:rFonts w:ascii="Arial" w:eastAsia="Arial" w:hAnsi="Arial" w:cs="Arial"/>
          <w:sz w:val="14"/>
          <w:szCs w:val="14"/>
        </w:rPr>
        <w:t>market value of a share of LB common stock on the date of grant, adjusted for anticipated dividend yields.</w:t>
      </w:r>
    </w:p>
    <w:p w14:paraId="7929C1C2" w14:textId="77777777" w:rsidR="00D1587D" w:rsidRDefault="00D1587D">
      <w:pPr>
        <w:spacing w:line="178" w:lineRule="exact"/>
        <w:rPr>
          <w:sz w:val="20"/>
          <w:szCs w:val="20"/>
        </w:rPr>
      </w:pPr>
    </w:p>
    <w:p w14:paraId="51FB2470" w14:textId="77777777" w:rsidR="00D1587D" w:rsidRDefault="00410D07">
      <w:pPr>
        <w:jc w:val="center"/>
        <w:rPr>
          <w:sz w:val="20"/>
          <w:szCs w:val="20"/>
        </w:rPr>
      </w:pPr>
      <w:r>
        <w:rPr>
          <w:rFonts w:ascii="Arial" w:eastAsia="Arial" w:hAnsi="Arial" w:cs="Arial"/>
          <w:sz w:val="18"/>
          <w:szCs w:val="18"/>
        </w:rPr>
        <w:t>118</w:t>
      </w:r>
    </w:p>
    <w:p w14:paraId="2AB1CB5C" w14:textId="77777777" w:rsidR="00D1587D" w:rsidRDefault="00410D07">
      <w:pPr>
        <w:spacing w:line="20" w:lineRule="exact"/>
        <w:rPr>
          <w:sz w:val="20"/>
          <w:szCs w:val="20"/>
        </w:rPr>
      </w:pPr>
      <w:r>
        <w:rPr>
          <w:noProof/>
          <w:sz w:val="20"/>
          <w:szCs w:val="20"/>
        </w:rPr>
        <w:drawing>
          <wp:anchor distT="0" distB="0" distL="114300" distR="114300" simplePos="0" relativeHeight="251885568" behindDoc="1" locked="0" layoutInCell="0" allowOverlap="1" wp14:anchorId="20F11E08" wp14:editId="5D19DD3D">
            <wp:simplePos x="0" y="0"/>
            <wp:positionH relativeFrom="column">
              <wp:posOffset>-611505</wp:posOffset>
            </wp:positionH>
            <wp:positionV relativeFrom="paragraph">
              <wp:posOffset>126365</wp:posOffset>
            </wp:positionV>
            <wp:extent cx="6995160" cy="17145"/>
            <wp:effectExtent l="0" t="0" r="0" b="0"/>
            <wp:wrapNone/>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1D346C4" w14:textId="77777777" w:rsidR="00D1587D" w:rsidRDefault="00D1587D">
      <w:pPr>
        <w:sectPr w:rsidR="00D1587D">
          <w:pgSz w:w="11900" w:h="16838"/>
          <w:pgMar w:top="265" w:right="1419" w:bottom="1440" w:left="1400" w:header="0" w:footer="0" w:gutter="0"/>
          <w:cols w:space="720" w:equalWidth="0">
            <w:col w:w="9080"/>
          </w:cols>
        </w:sectPr>
      </w:pPr>
    </w:p>
    <w:bookmarkStart w:id="376" w:name="page377"/>
    <w:bookmarkEnd w:id="376"/>
    <w:p w14:paraId="214E857A" w14:textId="77777777" w:rsidR="00D1587D" w:rsidRDefault="00410D07">
      <w:pPr>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C635C9B" w14:textId="77777777" w:rsidR="00D1587D" w:rsidRDefault="00D1587D">
      <w:pPr>
        <w:spacing w:line="127" w:lineRule="exact"/>
        <w:rPr>
          <w:sz w:val="20"/>
          <w:szCs w:val="20"/>
        </w:rPr>
      </w:pPr>
    </w:p>
    <w:p w14:paraId="6AE49B7F" w14:textId="77777777" w:rsidR="00D1587D" w:rsidRDefault="00410D07">
      <w:pPr>
        <w:jc w:val="center"/>
        <w:rPr>
          <w:sz w:val="20"/>
          <w:szCs w:val="20"/>
        </w:rPr>
      </w:pPr>
      <w:r>
        <w:rPr>
          <w:rFonts w:ascii="Arial" w:eastAsia="Arial" w:hAnsi="Arial" w:cs="Arial"/>
          <w:b/>
          <w:bCs/>
          <w:sz w:val="18"/>
          <w:szCs w:val="18"/>
        </w:rPr>
        <w:t>Outstanding Equity Awards at Fiscal Year-End for Fiscal 2020</w:t>
      </w:r>
    </w:p>
    <w:p w14:paraId="5F2E3445" w14:textId="77777777" w:rsidR="00D1587D" w:rsidRDefault="00D1587D">
      <w:pPr>
        <w:spacing w:line="121" w:lineRule="exact"/>
        <w:rPr>
          <w:sz w:val="20"/>
          <w:szCs w:val="20"/>
        </w:rPr>
      </w:pPr>
    </w:p>
    <w:p w14:paraId="0A9832E1" w14:textId="77777777" w:rsidR="00D1587D" w:rsidRDefault="00410D07">
      <w:pPr>
        <w:spacing w:line="277" w:lineRule="auto"/>
        <w:ind w:right="40" w:firstLine="360"/>
        <w:rPr>
          <w:sz w:val="20"/>
          <w:szCs w:val="20"/>
        </w:rPr>
      </w:pPr>
      <w:r>
        <w:rPr>
          <w:rFonts w:ascii="Arial" w:eastAsia="Arial" w:hAnsi="Arial" w:cs="Arial"/>
          <w:sz w:val="18"/>
          <w:szCs w:val="18"/>
        </w:rPr>
        <w:t>The followi</w:t>
      </w:r>
      <w:r>
        <w:rPr>
          <w:rFonts w:ascii="Arial" w:eastAsia="Arial" w:hAnsi="Arial" w:cs="Arial"/>
          <w:sz w:val="18"/>
          <w:szCs w:val="18"/>
        </w:rPr>
        <w:t>ng table provides information relating to outstanding LB equity awards granted to the NEOs as of fiscal year end, January 30, 2021.</w:t>
      </w:r>
    </w:p>
    <w:p w14:paraId="0BE4A63A" w14:textId="77777777" w:rsidR="00D1587D" w:rsidRDefault="00D1587D">
      <w:pPr>
        <w:spacing w:line="13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80"/>
        <w:gridCol w:w="40"/>
        <w:gridCol w:w="40"/>
        <w:gridCol w:w="580"/>
        <w:gridCol w:w="40"/>
        <w:gridCol w:w="40"/>
        <w:gridCol w:w="760"/>
        <w:gridCol w:w="40"/>
        <w:gridCol w:w="40"/>
        <w:gridCol w:w="860"/>
        <w:gridCol w:w="40"/>
        <w:gridCol w:w="40"/>
        <w:gridCol w:w="760"/>
        <w:gridCol w:w="40"/>
        <w:gridCol w:w="40"/>
        <w:gridCol w:w="540"/>
        <w:gridCol w:w="80"/>
        <w:gridCol w:w="660"/>
        <w:gridCol w:w="100"/>
        <w:gridCol w:w="660"/>
        <w:gridCol w:w="80"/>
        <w:gridCol w:w="660"/>
        <w:gridCol w:w="80"/>
        <w:gridCol w:w="600"/>
        <w:gridCol w:w="80"/>
        <w:gridCol w:w="620"/>
        <w:gridCol w:w="80"/>
        <w:gridCol w:w="600"/>
        <w:gridCol w:w="20"/>
      </w:tblGrid>
      <w:tr w:rsidR="00D1587D" w14:paraId="4DE9A66E" w14:textId="77777777">
        <w:trPr>
          <w:trHeight w:val="186"/>
        </w:trPr>
        <w:tc>
          <w:tcPr>
            <w:tcW w:w="880" w:type="dxa"/>
            <w:vAlign w:val="bottom"/>
          </w:tcPr>
          <w:p w14:paraId="5DC9B34B" w14:textId="77777777" w:rsidR="00D1587D" w:rsidRDefault="00D1587D">
            <w:pPr>
              <w:rPr>
                <w:sz w:val="16"/>
                <w:szCs w:val="16"/>
              </w:rPr>
            </w:pPr>
          </w:p>
        </w:tc>
        <w:tc>
          <w:tcPr>
            <w:tcW w:w="40" w:type="dxa"/>
            <w:vAlign w:val="bottom"/>
          </w:tcPr>
          <w:p w14:paraId="1DF0353E" w14:textId="77777777" w:rsidR="00D1587D" w:rsidRDefault="00D1587D">
            <w:pPr>
              <w:rPr>
                <w:sz w:val="16"/>
                <w:szCs w:val="16"/>
              </w:rPr>
            </w:pPr>
          </w:p>
        </w:tc>
        <w:tc>
          <w:tcPr>
            <w:tcW w:w="40" w:type="dxa"/>
            <w:vAlign w:val="bottom"/>
          </w:tcPr>
          <w:p w14:paraId="23373BB4" w14:textId="77777777" w:rsidR="00D1587D" w:rsidRDefault="00D1587D">
            <w:pPr>
              <w:rPr>
                <w:sz w:val="16"/>
                <w:szCs w:val="16"/>
              </w:rPr>
            </w:pPr>
          </w:p>
        </w:tc>
        <w:tc>
          <w:tcPr>
            <w:tcW w:w="580" w:type="dxa"/>
            <w:vAlign w:val="bottom"/>
          </w:tcPr>
          <w:p w14:paraId="18FA3A5D" w14:textId="77777777" w:rsidR="00D1587D" w:rsidRDefault="00D1587D">
            <w:pPr>
              <w:rPr>
                <w:sz w:val="16"/>
                <w:szCs w:val="16"/>
              </w:rPr>
            </w:pPr>
          </w:p>
        </w:tc>
        <w:tc>
          <w:tcPr>
            <w:tcW w:w="40" w:type="dxa"/>
            <w:vAlign w:val="bottom"/>
          </w:tcPr>
          <w:p w14:paraId="529DD0AF" w14:textId="77777777" w:rsidR="00D1587D" w:rsidRDefault="00D1587D">
            <w:pPr>
              <w:rPr>
                <w:sz w:val="16"/>
                <w:szCs w:val="16"/>
              </w:rPr>
            </w:pPr>
          </w:p>
        </w:tc>
        <w:tc>
          <w:tcPr>
            <w:tcW w:w="40" w:type="dxa"/>
            <w:vAlign w:val="bottom"/>
          </w:tcPr>
          <w:p w14:paraId="0B5BADAF" w14:textId="77777777" w:rsidR="00D1587D" w:rsidRDefault="00D1587D">
            <w:pPr>
              <w:rPr>
                <w:sz w:val="16"/>
                <w:szCs w:val="16"/>
              </w:rPr>
            </w:pPr>
          </w:p>
        </w:tc>
        <w:tc>
          <w:tcPr>
            <w:tcW w:w="760" w:type="dxa"/>
            <w:vAlign w:val="bottom"/>
          </w:tcPr>
          <w:p w14:paraId="5722B976" w14:textId="77777777" w:rsidR="00D1587D" w:rsidRDefault="00D1587D">
            <w:pPr>
              <w:rPr>
                <w:sz w:val="16"/>
                <w:szCs w:val="16"/>
              </w:rPr>
            </w:pPr>
          </w:p>
        </w:tc>
        <w:tc>
          <w:tcPr>
            <w:tcW w:w="40" w:type="dxa"/>
            <w:vAlign w:val="bottom"/>
          </w:tcPr>
          <w:p w14:paraId="6A31C81E" w14:textId="77777777" w:rsidR="00D1587D" w:rsidRDefault="00D1587D">
            <w:pPr>
              <w:rPr>
                <w:sz w:val="16"/>
                <w:szCs w:val="16"/>
              </w:rPr>
            </w:pPr>
          </w:p>
        </w:tc>
        <w:tc>
          <w:tcPr>
            <w:tcW w:w="40" w:type="dxa"/>
            <w:vAlign w:val="bottom"/>
          </w:tcPr>
          <w:p w14:paraId="12D72874" w14:textId="77777777" w:rsidR="00D1587D" w:rsidRDefault="00D1587D">
            <w:pPr>
              <w:rPr>
                <w:sz w:val="16"/>
                <w:szCs w:val="16"/>
              </w:rPr>
            </w:pPr>
          </w:p>
        </w:tc>
        <w:tc>
          <w:tcPr>
            <w:tcW w:w="1740" w:type="dxa"/>
            <w:gridSpan w:val="5"/>
            <w:vAlign w:val="bottom"/>
          </w:tcPr>
          <w:p w14:paraId="63379FCA" w14:textId="77777777" w:rsidR="00D1587D" w:rsidRDefault="00410D07">
            <w:pPr>
              <w:ind w:right="500"/>
              <w:jc w:val="right"/>
              <w:rPr>
                <w:sz w:val="20"/>
                <w:szCs w:val="20"/>
              </w:rPr>
            </w:pPr>
            <w:r>
              <w:rPr>
                <w:rFonts w:ascii="Arial" w:eastAsia="Arial" w:hAnsi="Arial" w:cs="Arial"/>
                <w:b/>
                <w:bCs/>
                <w:sz w:val="14"/>
                <w:szCs w:val="14"/>
              </w:rPr>
              <w:t>Option Awards</w:t>
            </w:r>
          </w:p>
        </w:tc>
        <w:tc>
          <w:tcPr>
            <w:tcW w:w="40" w:type="dxa"/>
            <w:vAlign w:val="bottom"/>
          </w:tcPr>
          <w:p w14:paraId="67F9E451" w14:textId="77777777" w:rsidR="00D1587D" w:rsidRDefault="00D1587D">
            <w:pPr>
              <w:rPr>
                <w:sz w:val="16"/>
                <w:szCs w:val="16"/>
              </w:rPr>
            </w:pPr>
          </w:p>
        </w:tc>
        <w:tc>
          <w:tcPr>
            <w:tcW w:w="540" w:type="dxa"/>
            <w:vAlign w:val="bottom"/>
          </w:tcPr>
          <w:p w14:paraId="78B8F2C1" w14:textId="77777777" w:rsidR="00D1587D" w:rsidRDefault="00D1587D">
            <w:pPr>
              <w:rPr>
                <w:sz w:val="16"/>
                <w:szCs w:val="16"/>
              </w:rPr>
            </w:pPr>
          </w:p>
        </w:tc>
        <w:tc>
          <w:tcPr>
            <w:tcW w:w="80" w:type="dxa"/>
            <w:vAlign w:val="bottom"/>
          </w:tcPr>
          <w:p w14:paraId="6A45D590" w14:textId="77777777" w:rsidR="00D1587D" w:rsidRDefault="00D1587D">
            <w:pPr>
              <w:rPr>
                <w:sz w:val="16"/>
                <w:szCs w:val="16"/>
              </w:rPr>
            </w:pPr>
          </w:p>
        </w:tc>
        <w:tc>
          <w:tcPr>
            <w:tcW w:w="660" w:type="dxa"/>
            <w:vAlign w:val="bottom"/>
          </w:tcPr>
          <w:p w14:paraId="141EF478" w14:textId="77777777" w:rsidR="00D1587D" w:rsidRDefault="00D1587D">
            <w:pPr>
              <w:rPr>
                <w:sz w:val="16"/>
                <w:szCs w:val="16"/>
              </w:rPr>
            </w:pPr>
          </w:p>
        </w:tc>
        <w:tc>
          <w:tcPr>
            <w:tcW w:w="100" w:type="dxa"/>
            <w:vAlign w:val="bottom"/>
          </w:tcPr>
          <w:p w14:paraId="02955C71" w14:textId="77777777" w:rsidR="00D1587D" w:rsidRDefault="00D1587D">
            <w:pPr>
              <w:rPr>
                <w:sz w:val="16"/>
                <w:szCs w:val="16"/>
              </w:rPr>
            </w:pPr>
          </w:p>
        </w:tc>
        <w:tc>
          <w:tcPr>
            <w:tcW w:w="660" w:type="dxa"/>
            <w:vAlign w:val="bottom"/>
          </w:tcPr>
          <w:p w14:paraId="3707FB0C" w14:textId="77777777" w:rsidR="00D1587D" w:rsidRDefault="00D1587D">
            <w:pPr>
              <w:rPr>
                <w:sz w:val="16"/>
                <w:szCs w:val="16"/>
              </w:rPr>
            </w:pPr>
          </w:p>
        </w:tc>
        <w:tc>
          <w:tcPr>
            <w:tcW w:w="80" w:type="dxa"/>
            <w:vAlign w:val="bottom"/>
          </w:tcPr>
          <w:p w14:paraId="4836C457" w14:textId="77777777" w:rsidR="00D1587D" w:rsidRDefault="00D1587D">
            <w:pPr>
              <w:rPr>
                <w:sz w:val="16"/>
                <w:szCs w:val="16"/>
              </w:rPr>
            </w:pPr>
          </w:p>
        </w:tc>
        <w:tc>
          <w:tcPr>
            <w:tcW w:w="2120" w:type="dxa"/>
            <w:gridSpan w:val="6"/>
            <w:vAlign w:val="bottom"/>
          </w:tcPr>
          <w:p w14:paraId="78172B4C" w14:textId="77777777" w:rsidR="00D1587D" w:rsidRDefault="00410D07">
            <w:pPr>
              <w:ind w:left="220"/>
              <w:rPr>
                <w:sz w:val="20"/>
                <w:szCs w:val="20"/>
              </w:rPr>
            </w:pPr>
            <w:r>
              <w:rPr>
                <w:rFonts w:ascii="Arial" w:eastAsia="Arial" w:hAnsi="Arial" w:cs="Arial"/>
                <w:b/>
                <w:bCs/>
                <w:sz w:val="14"/>
                <w:szCs w:val="14"/>
              </w:rPr>
              <w:t>Restricted Stock Awards</w:t>
            </w:r>
          </w:p>
        </w:tc>
        <w:tc>
          <w:tcPr>
            <w:tcW w:w="600" w:type="dxa"/>
            <w:vAlign w:val="bottom"/>
          </w:tcPr>
          <w:p w14:paraId="2BE4FFD1" w14:textId="77777777" w:rsidR="00D1587D" w:rsidRDefault="00D1587D">
            <w:pPr>
              <w:rPr>
                <w:sz w:val="16"/>
                <w:szCs w:val="16"/>
              </w:rPr>
            </w:pPr>
          </w:p>
        </w:tc>
        <w:tc>
          <w:tcPr>
            <w:tcW w:w="0" w:type="dxa"/>
            <w:vAlign w:val="bottom"/>
          </w:tcPr>
          <w:p w14:paraId="0B36BC7C" w14:textId="77777777" w:rsidR="00D1587D" w:rsidRDefault="00D1587D">
            <w:pPr>
              <w:rPr>
                <w:sz w:val="1"/>
                <w:szCs w:val="1"/>
              </w:rPr>
            </w:pPr>
          </w:p>
        </w:tc>
      </w:tr>
      <w:tr w:rsidR="00D1587D" w14:paraId="33FA8CB8" w14:textId="77777777">
        <w:trPr>
          <w:trHeight w:val="53"/>
        </w:trPr>
        <w:tc>
          <w:tcPr>
            <w:tcW w:w="880" w:type="dxa"/>
            <w:vAlign w:val="bottom"/>
          </w:tcPr>
          <w:p w14:paraId="17A2AB72" w14:textId="77777777" w:rsidR="00D1587D" w:rsidRDefault="00D1587D">
            <w:pPr>
              <w:rPr>
                <w:sz w:val="4"/>
                <w:szCs w:val="4"/>
              </w:rPr>
            </w:pPr>
          </w:p>
        </w:tc>
        <w:tc>
          <w:tcPr>
            <w:tcW w:w="40" w:type="dxa"/>
            <w:vAlign w:val="bottom"/>
          </w:tcPr>
          <w:p w14:paraId="5697F3F4" w14:textId="77777777" w:rsidR="00D1587D" w:rsidRDefault="00D1587D">
            <w:pPr>
              <w:rPr>
                <w:sz w:val="4"/>
                <w:szCs w:val="4"/>
              </w:rPr>
            </w:pPr>
          </w:p>
        </w:tc>
        <w:tc>
          <w:tcPr>
            <w:tcW w:w="40" w:type="dxa"/>
            <w:vAlign w:val="bottom"/>
          </w:tcPr>
          <w:p w14:paraId="1E76B2AE" w14:textId="77777777" w:rsidR="00D1587D" w:rsidRDefault="00D1587D">
            <w:pPr>
              <w:rPr>
                <w:sz w:val="4"/>
                <w:szCs w:val="4"/>
              </w:rPr>
            </w:pPr>
          </w:p>
        </w:tc>
        <w:tc>
          <w:tcPr>
            <w:tcW w:w="580" w:type="dxa"/>
            <w:tcBorders>
              <w:bottom w:val="single" w:sz="8" w:space="0" w:color="auto"/>
            </w:tcBorders>
            <w:vAlign w:val="bottom"/>
          </w:tcPr>
          <w:p w14:paraId="4AB18B49" w14:textId="77777777" w:rsidR="00D1587D" w:rsidRDefault="00D1587D">
            <w:pPr>
              <w:rPr>
                <w:sz w:val="4"/>
                <w:szCs w:val="4"/>
              </w:rPr>
            </w:pPr>
          </w:p>
        </w:tc>
        <w:tc>
          <w:tcPr>
            <w:tcW w:w="40" w:type="dxa"/>
            <w:tcBorders>
              <w:bottom w:val="single" w:sz="8" w:space="0" w:color="auto"/>
            </w:tcBorders>
            <w:vAlign w:val="bottom"/>
          </w:tcPr>
          <w:p w14:paraId="183953B4" w14:textId="77777777" w:rsidR="00D1587D" w:rsidRDefault="00D1587D">
            <w:pPr>
              <w:rPr>
                <w:sz w:val="4"/>
                <w:szCs w:val="4"/>
              </w:rPr>
            </w:pPr>
          </w:p>
        </w:tc>
        <w:tc>
          <w:tcPr>
            <w:tcW w:w="40" w:type="dxa"/>
            <w:tcBorders>
              <w:bottom w:val="single" w:sz="8" w:space="0" w:color="auto"/>
            </w:tcBorders>
            <w:vAlign w:val="bottom"/>
          </w:tcPr>
          <w:p w14:paraId="6A4CCE3F" w14:textId="77777777" w:rsidR="00D1587D" w:rsidRDefault="00D1587D">
            <w:pPr>
              <w:rPr>
                <w:sz w:val="4"/>
                <w:szCs w:val="4"/>
              </w:rPr>
            </w:pPr>
          </w:p>
        </w:tc>
        <w:tc>
          <w:tcPr>
            <w:tcW w:w="760" w:type="dxa"/>
            <w:tcBorders>
              <w:bottom w:val="single" w:sz="8" w:space="0" w:color="auto"/>
            </w:tcBorders>
            <w:vAlign w:val="bottom"/>
          </w:tcPr>
          <w:p w14:paraId="1F912706" w14:textId="77777777" w:rsidR="00D1587D" w:rsidRDefault="00D1587D">
            <w:pPr>
              <w:rPr>
                <w:sz w:val="4"/>
                <w:szCs w:val="4"/>
              </w:rPr>
            </w:pPr>
          </w:p>
        </w:tc>
        <w:tc>
          <w:tcPr>
            <w:tcW w:w="40" w:type="dxa"/>
            <w:tcBorders>
              <w:bottom w:val="single" w:sz="8" w:space="0" w:color="auto"/>
            </w:tcBorders>
            <w:vAlign w:val="bottom"/>
          </w:tcPr>
          <w:p w14:paraId="1E92C662" w14:textId="77777777" w:rsidR="00D1587D" w:rsidRDefault="00D1587D">
            <w:pPr>
              <w:rPr>
                <w:sz w:val="4"/>
                <w:szCs w:val="4"/>
              </w:rPr>
            </w:pPr>
          </w:p>
        </w:tc>
        <w:tc>
          <w:tcPr>
            <w:tcW w:w="40" w:type="dxa"/>
            <w:tcBorders>
              <w:bottom w:val="single" w:sz="8" w:space="0" w:color="auto"/>
            </w:tcBorders>
            <w:vAlign w:val="bottom"/>
          </w:tcPr>
          <w:p w14:paraId="7FD14FBA" w14:textId="77777777" w:rsidR="00D1587D" w:rsidRDefault="00D1587D">
            <w:pPr>
              <w:rPr>
                <w:sz w:val="4"/>
                <w:szCs w:val="4"/>
              </w:rPr>
            </w:pPr>
          </w:p>
        </w:tc>
        <w:tc>
          <w:tcPr>
            <w:tcW w:w="860" w:type="dxa"/>
            <w:tcBorders>
              <w:bottom w:val="single" w:sz="8" w:space="0" w:color="auto"/>
            </w:tcBorders>
            <w:vAlign w:val="bottom"/>
          </w:tcPr>
          <w:p w14:paraId="1BEC8045" w14:textId="77777777" w:rsidR="00D1587D" w:rsidRDefault="00D1587D">
            <w:pPr>
              <w:rPr>
                <w:sz w:val="4"/>
                <w:szCs w:val="4"/>
              </w:rPr>
            </w:pPr>
          </w:p>
        </w:tc>
        <w:tc>
          <w:tcPr>
            <w:tcW w:w="40" w:type="dxa"/>
            <w:tcBorders>
              <w:bottom w:val="single" w:sz="8" w:space="0" w:color="auto"/>
            </w:tcBorders>
            <w:vAlign w:val="bottom"/>
          </w:tcPr>
          <w:p w14:paraId="5B01878B" w14:textId="77777777" w:rsidR="00D1587D" w:rsidRDefault="00D1587D">
            <w:pPr>
              <w:rPr>
                <w:sz w:val="4"/>
                <w:szCs w:val="4"/>
              </w:rPr>
            </w:pPr>
          </w:p>
        </w:tc>
        <w:tc>
          <w:tcPr>
            <w:tcW w:w="40" w:type="dxa"/>
            <w:tcBorders>
              <w:bottom w:val="single" w:sz="8" w:space="0" w:color="auto"/>
            </w:tcBorders>
            <w:vAlign w:val="bottom"/>
          </w:tcPr>
          <w:p w14:paraId="64B9CD57" w14:textId="77777777" w:rsidR="00D1587D" w:rsidRDefault="00D1587D">
            <w:pPr>
              <w:rPr>
                <w:sz w:val="4"/>
                <w:szCs w:val="4"/>
              </w:rPr>
            </w:pPr>
          </w:p>
        </w:tc>
        <w:tc>
          <w:tcPr>
            <w:tcW w:w="760" w:type="dxa"/>
            <w:tcBorders>
              <w:bottom w:val="single" w:sz="8" w:space="0" w:color="auto"/>
            </w:tcBorders>
            <w:vAlign w:val="bottom"/>
          </w:tcPr>
          <w:p w14:paraId="47076762" w14:textId="77777777" w:rsidR="00D1587D" w:rsidRDefault="00D1587D">
            <w:pPr>
              <w:rPr>
                <w:sz w:val="4"/>
                <w:szCs w:val="4"/>
              </w:rPr>
            </w:pPr>
          </w:p>
        </w:tc>
        <w:tc>
          <w:tcPr>
            <w:tcW w:w="40" w:type="dxa"/>
            <w:tcBorders>
              <w:bottom w:val="single" w:sz="8" w:space="0" w:color="auto"/>
            </w:tcBorders>
            <w:vAlign w:val="bottom"/>
          </w:tcPr>
          <w:p w14:paraId="02160035" w14:textId="77777777" w:rsidR="00D1587D" w:rsidRDefault="00D1587D">
            <w:pPr>
              <w:rPr>
                <w:sz w:val="4"/>
                <w:szCs w:val="4"/>
              </w:rPr>
            </w:pPr>
          </w:p>
        </w:tc>
        <w:tc>
          <w:tcPr>
            <w:tcW w:w="40" w:type="dxa"/>
            <w:tcBorders>
              <w:bottom w:val="single" w:sz="8" w:space="0" w:color="auto"/>
            </w:tcBorders>
            <w:vAlign w:val="bottom"/>
          </w:tcPr>
          <w:p w14:paraId="2112B06C" w14:textId="77777777" w:rsidR="00D1587D" w:rsidRDefault="00D1587D">
            <w:pPr>
              <w:rPr>
                <w:sz w:val="4"/>
                <w:szCs w:val="4"/>
              </w:rPr>
            </w:pPr>
          </w:p>
        </w:tc>
        <w:tc>
          <w:tcPr>
            <w:tcW w:w="540" w:type="dxa"/>
            <w:tcBorders>
              <w:bottom w:val="single" w:sz="8" w:space="0" w:color="auto"/>
            </w:tcBorders>
            <w:vAlign w:val="bottom"/>
          </w:tcPr>
          <w:p w14:paraId="6506D76E" w14:textId="77777777" w:rsidR="00D1587D" w:rsidRDefault="00D1587D">
            <w:pPr>
              <w:rPr>
                <w:sz w:val="4"/>
                <w:szCs w:val="4"/>
              </w:rPr>
            </w:pPr>
          </w:p>
        </w:tc>
        <w:tc>
          <w:tcPr>
            <w:tcW w:w="80" w:type="dxa"/>
            <w:tcBorders>
              <w:bottom w:val="single" w:sz="8" w:space="0" w:color="auto"/>
            </w:tcBorders>
            <w:vAlign w:val="bottom"/>
          </w:tcPr>
          <w:p w14:paraId="528390A5" w14:textId="77777777" w:rsidR="00D1587D" w:rsidRDefault="00D1587D">
            <w:pPr>
              <w:rPr>
                <w:sz w:val="4"/>
                <w:szCs w:val="4"/>
              </w:rPr>
            </w:pPr>
          </w:p>
        </w:tc>
        <w:tc>
          <w:tcPr>
            <w:tcW w:w="660" w:type="dxa"/>
            <w:tcBorders>
              <w:bottom w:val="single" w:sz="8" w:space="0" w:color="auto"/>
            </w:tcBorders>
            <w:vAlign w:val="bottom"/>
          </w:tcPr>
          <w:p w14:paraId="1C50E32F" w14:textId="77777777" w:rsidR="00D1587D" w:rsidRDefault="00D1587D">
            <w:pPr>
              <w:rPr>
                <w:sz w:val="4"/>
                <w:szCs w:val="4"/>
              </w:rPr>
            </w:pPr>
          </w:p>
        </w:tc>
        <w:tc>
          <w:tcPr>
            <w:tcW w:w="100" w:type="dxa"/>
            <w:vAlign w:val="bottom"/>
          </w:tcPr>
          <w:p w14:paraId="6628425C" w14:textId="77777777" w:rsidR="00D1587D" w:rsidRDefault="00D1587D">
            <w:pPr>
              <w:rPr>
                <w:sz w:val="4"/>
                <w:szCs w:val="4"/>
              </w:rPr>
            </w:pPr>
          </w:p>
        </w:tc>
        <w:tc>
          <w:tcPr>
            <w:tcW w:w="660" w:type="dxa"/>
            <w:tcBorders>
              <w:bottom w:val="single" w:sz="8" w:space="0" w:color="auto"/>
            </w:tcBorders>
            <w:vAlign w:val="bottom"/>
          </w:tcPr>
          <w:p w14:paraId="3186BDC8" w14:textId="77777777" w:rsidR="00D1587D" w:rsidRDefault="00D1587D">
            <w:pPr>
              <w:rPr>
                <w:sz w:val="4"/>
                <w:szCs w:val="4"/>
              </w:rPr>
            </w:pPr>
          </w:p>
        </w:tc>
        <w:tc>
          <w:tcPr>
            <w:tcW w:w="80" w:type="dxa"/>
            <w:tcBorders>
              <w:bottom w:val="single" w:sz="8" w:space="0" w:color="auto"/>
            </w:tcBorders>
            <w:vAlign w:val="bottom"/>
          </w:tcPr>
          <w:p w14:paraId="192B6CE3" w14:textId="77777777" w:rsidR="00D1587D" w:rsidRDefault="00D1587D">
            <w:pPr>
              <w:rPr>
                <w:sz w:val="4"/>
                <w:szCs w:val="4"/>
              </w:rPr>
            </w:pPr>
          </w:p>
        </w:tc>
        <w:tc>
          <w:tcPr>
            <w:tcW w:w="660" w:type="dxa"/>
            <w:tcBorders>
              <w:bottom w:val="single" w:sz="8" w:space="0" w:color="auto"/>
            </w:tcBorders>
            <w:vAlign w:val="bottom"/>
          </w:tcPr>
          <w:p w14:paraId="31FD0207" w14:textId="77777777" w:rsidR="00D1587D" w:rsidRDefault="00D1587D">
            <w:pPr>
              <w:rPr>
                <w:sz w:val="4"/>
                <w:szCs w:val="4"/>
              </w:rPr>
            </w:pPr>
          </w:p>
        </w:tc>
        <w:tc>
          <w:tcPr>
            <w:tcW w:w="80" w:type="dxa"/>
            <w:tcBorders>
              <w:bottom w:val="single" w:sz="8" w:space="0" w:color="auto"/>
            </w:tcBorders>
            <w:vAlign w:val="bottom"/>
          </w:tcPr>
          <w:p w14:paraId="52439DE9" w14:textId="77777777" w:rsidR="00D1587D" w:rsidRDefault="00D1587D">
            <w:pPr>
              <w:rPr>
                <w:sz w:val="4"/>
                <w:szCs w:val="4"/>
              </w:rPr>
            </w:pPr>
          </w:p>
        </w:tc>
        <w:tc>
          <w:tcPr>
            <w:tcW w:w="600" w:type="dxa"/>
            <w:tcBorders>
              <w:bottom w:val="single" w:sz="8" w:space="0" w:color="auto"/>
            </w:tcBorders>
            <w:vAlign w:val="bottom"/>
          </w:tcPr>
          <w:p w14:paraId="070DC58C" w14:textId="77777777" w:rsidR="00D1587D" w:rsidRDefault="00D1587D">
            <w:pPr>
              <w:rPr>
                <w:sz w:val="4"/>
                <w:szCs w:val="4"/>
              </w:rPr>
            </w:pPr>
          </w:p>
        </w:tc>
        <w:tc>
          <w:tcPr>
            <w:tcW w:w="80" w:type="dxa"/>
            <w:tcBorders>
              <w:bottom w:val="single" w:sz="8" w:space="0" w:color="auto"/>
            </w:tcBorders>
            <w:vAlign w:val="bottom"/>
          </w:tcPr>
          <w:p w14:paraId="36602D6E" w14:textId="77777777" w:rsidR="00D1587D" w:rsidRDefault="00D1587D">
            <w:pPr>
              <w:rPr>
                <w:sz w:val="4"/>
                <w:szCs w:val="4"/>
              </w:rPr>
            </w:pPr>
          </w:p>
        </w:tc>
        <w:tc>
          <w:tcPr>
            <w:tcW w:w="700" w:type="dxa"/>
            <w:gridSpan w:val="2"/>
            <w:tcBorders>
              <w:bottom w:val="single" w:sz="8" w:space="0" w:color="auto"/>
            </w:tcBorders>
            <w:vAlign w:val="bottom"/>
          </w:tcPr>
          <w:p w14:paraId="22BB96D3" w14:textId="77777777" w:rsidR="00D1587D" w:rsidRDefault="00D1587D">
            <w:pPr>
              <w:rPr>
                <w:sz w:val="4"/>
                <w:szCs w:val="4"/>
              </w:rPr>
            </w:pPr>
          </w:p>
        </w:tc>
        <w:tc>
          <w:tcPr>
            <w:tcW w:w="600" w:type="dxa"/>
            <w:tcBorders>
              <w:bottom w:val="single" w:sz="8" w:space="0" w:color="auto"/>
            </w:tcBorders>
            <w:vAlign w:val="bottom"/>
          </w:tcPr>
          <w:p w14:paraId="1195E988" w14:textId="77777777" w:rsidR="00D1587D" w:rsidRDefault="00D1587D">
            <w:pPr>
              <w:rPr>
                <w:sz w:val="4"/>
                <w:szCs w:val="4"/>
              </w:rPr>
            </w:pPr>
          </w:p>
        </w:tc>
        <w:tc>
          <w:tcPr>
            <w:tcW w:w="0" w:type="dxa"/>
            <w:vAlign w:val="bottom"/>
          </w:tcPr>
          <w:p w14:paraId="3F2CC7D2" w14:textId="77777777" w:rsidR="00D1587D" w:rsidRDefault="00D1587D">
            <w:pPr>
              <w:rPr>
                <w:sz w:val="1"/>
                <w:szCs w:val="1"/>
              </w:rPr>
            </w:pPr>
          </w:p>
        </w:tc>
      </w:tr>
      <w:tr w:rsidR="00D1587D" w14:paraId="32F8E731" w14:textId="77777777">
        <w:trPr>
          <w:trHeight w:val="187"/>
        </w:trPr>
        <w:tc>
          <w:tcPr>
            <w:tcW w:w="880" w:type="dxa"/>
            <w:vAlign w:val="bottom"/>
          </w:tcPr>
          <w:p w14:paraId="2DF548FC" w14:textId="77777777" w:rsidR="00D1587D" w:rsidRDefault="00D1587D">
            <w:pPr>
              <w:rPr>
                <w:sz w:val="16"/>
                <w:szCs w:val="16"/>
              </w:rPr>
            </w:pPr>
          </w:p>
        </w:tc>
        <w:tc>
          <w:tcPr>
            <w:tcW w:w="40" w:type="dxa"/>
            <w:vAlign w:val="bottom"/>
          </w:tcPr>
          <w:p w14:paraId="35FDB2BB" w14:textId="77777777" w:rsidR="00D1587D" w:rsidRDefault="00D1587D">
            <w:pPr>
              <w:rPr>
                <w:sz w:val="16"/>
                <w:szCs w:val="16"/>
              </w:rPr>
            </w:pPr>
          </w:p>
        </w:tc>
        <w:tc>
          <w:tcPr>
            <w:tcW w:w="40" w:type="dxa"/>
            <w:vAlign w:val="bottom"/>
          </w:tcPr>
          <w:p w14:paraId="60BE78D6" w14:textId="77777777" w:rsidR="00D1587D" w:rsidRDefault="00D1587D">
            <w:pPr>
              <w:rPr>
                <w:sz w:val="16"/>
                <w:szCs w:val="16"/>
              </w:rPr>
            </w:pPr>
          </w:p>
        </w:tc>
        <w:tc>
          <w:tcPr>
            <w:tcW w:w="580" w:type="dxa"/>
            <w:vAlign w:val="bottom"/>
          </w:tcPr>
          <w:p w14:paraId="062E9FD5" w14:textId="77777777" w:rsidR="00D1587D" w:rsidRDefault="00D1587D">
            <w:pPr>
              <w:rPr>
                <w:sz w:val="16"/>
                <w:szCs w:val="16"/>
              </w:rPr>
            </w:pPr>
          </w:p>
        </w:tc>
        <w:tc>
          <w:tcPr>
            <w:tcW w:w="40" w:type="dxa"/>
            <w:vAlign w:val="bottom"/>
          </w:tcPr>
          <w:p w14:paraId="45B66C0B" w14:textId="77777777" w:rsidR="00D1587D" w:rsidRDefault="00D1587D">
            <w:pPr>
              <w:rPr>
                <w:sz w:val="16"/>
                <w:szCs w:val="16"/>
              </w:rPr>
            </w:pPr>
          </w:p>
        </w:tc>
        <w:tc>
          <w:tcPr>
            <w:tcW w:w="40" w:type="dxa"/>
            <w:vAlign w:val="bottom"/>
          </w:tcPr>
          <w:p w14:paraId="025BCEA5" w14:textId="77777777" w:rsidR="00D1587D" w:rsidRDefault="00D1587D">
            <w:pPr>
              <w:rPr>
                <w:sz w:val="16"/>
                <w:szCs w:val="16"/>
              </w:rPr>
            </w:pPr>
          </w:p>
        </w:tc>
        <w:tc>
          <w:tcPr>
            <w:tcW w:w="760" w:type="dxa"/>
            <w:vAlign w:val="bottom"/>
          </w:tcPr>
          <w:p w14:paraId="171351F5" w14:textId="77777777" w:rsidR="00D1587D" w:rsidRDefault="00D1587D">
            <w:pPr>
              <w:rPr>
                <w:sz w:val="16"/>
                <w:szCs w:val="16"/>
              </w:rPr>
            </w:pPr>
          </w:p>
        </w:tc>
        <w:tc>
          <w:tcPr>
            <w:tcW w:w="40" w:type="dxa"/>
            <w:vAlign w:val="bottom"/>
          </w:tcPr>
          <w:p w14:paraId="5B3BD874" w14:textId="77777777" w:rsidR="00D1587D" w:rsidRDefault="00D1587D">
            <w:pPr>
              <w:rPr>
                <w:sz w:val="16"/>
                <w:szCs w:val="16"/>
              </w:rPr>
            </w:pPr>
          </w:p>
        </w:tc>
        <w:tc>
          <w:tcPr>
            <w:tcW w:w="40" w:type="dxa"/>
            <w:vAlign w:val="bottom"/>
          </w:tcPr>
          <w:p w14:paraId="21EBD0AE" w14:textId="77777777" w:rsidR="00D1587D" w:rsidRDefault="00D1587D">
            <w:pPr>
              <w:rPr>
                <w:sz w:val="16"/>
                <w:szCs w:val="16"/>
              </w:rPr>
            </w:pPr>
          </w:p>
        </w:tc>
        <w:tc>
          <w:tcPr>
            <w:tcW w:w="860" w:type="dxa"/>
            <w:vAlign w:val="bottom"/>
          </w:tcPr>
          <w:p w14:paraId="6EB16452" w14:textId="77777777" w:rsidR="00D1587D" w:rsidRDefault="00D1587D">
            <w:pPr>
              <w:rPr>
                <w:sz w:val="16"/>
                <w:szCs w:val="16"/>
              </w:rPr>
            </w:pPr>
          </w:p>
        </w:tc>
        <w:tc>
          <w:tcPr>
            <w:tcW w:w="40" w:type="dxa"/>
            <w:vAlign w:val="bottom"/>
          </w:tcPr>
          <w:p w14:paraId="26629813" w14:textId="77777777" w:rsidR="00D1587D" w:rsidRDefault="00D1587D">
            <w:pPr>
              <w:rPr>
                <w:sz w:val="16"/>
                <w:szCs w:val="16"/>
              </w:rPr>
            </w:pPr>
          </w:p>
        </w:tc>
        <w:tc>
          <w:tcPr>
            <w:tcW w:w="40" w:type="dxa"/>
            <w:vAlign w:val="bottom"/>
          </w:tcPr>
          <w:p w14:paraId="2F70D52A" w14:textId="77777777" w:rsidR="00D1587D" w:rsidRDefault="00D1587D">
            <w:pPr>
              <w:rPr>
                <w:sz w:val="16"/>
                <w:szCs w:val="16"/>
              </w:rPr>
            </w:pPr>
          </w:p>
        </w:tc>
        <w:tc>
          <w:tcPr>
            <w:tcW w:w="760" w:type="dxa"/>
            <w:vAlign w:val="bottom"/>
          </w:tcPr>
          <w:p w14:paraId="16AE71F2" w14:textId="77777777" w:rsidR="00D1587D" w:rsidRDefault="00D1587D">
            <w:pPr>
              <w:rPr>
                <w:sz w:val="16"/>
                <w:szCs w:val="16"/>
              </w:rPr>
            </w:pPr>
          </w:p>
        </w:tc>
        <w:tc>
          <w:tcPr>
            <w:tcW w:w="40" w:type="dxa"/>
            <w:vAlign w:val="bottom"/>
          </w:tcPr>
          <w:p w14:paraId="3D56018B" w14:textId="77777777" w:rsidR="00D1587D" w:rsidRDefault="00D1587D">
            <w:pPr>
              <w:rPr>
                <w:sz w:val="16"/>
                <w:szCs w:val="16"/>
              </w:rPr>
            </w:pPr>
          </w:p>
        </w:tc>
        <w:tc>
          <w:tcPr>
            <w:tcW w:w="40" w:type="dxa"/>
            <w:vAlign w:val="bottom"/>
          </w:tcPr>
          <w:p w14:paraId="278606EB" w14:textId="77777777" w:rsidR="00D1587D" w:rsidRDefault="00D1587D">
            <w:pPr>
              <w:rPr>
                <w:sz w:val="16"/>
                <w:szCs w:val="16"/>
              </w:rPr>
            </w:pPr>
          </w:p>
        </w:tc>
        <w:tc>
          <w:tcPr>
            <w:tcW w:w="540" w:type="dxa"/>
            <w:vAlign w:val="bottom"/>
          </w:tcPr>
          <w:p w14:paraId="5BC41B8B" w14:textId="77777777" w:rsidR="00D1587D" w:rsidRDefault="00D1587D">
            <w:pPr>
              <w:rPr>
                <w:sz w:val="16"/>
                <w:szCs w:val="16"/>
              </w:rPr>
            </w:pPr>
          </w:p>
        </w:tc>
        <w:tc>
          <w:tcPr>
            <w:tcW w:w="80" w:type="dxa"/>
            <w:vAlign w:val="bottom"/>
          </w:tcPr>
          <w:p w14:paraId="0D6189DA" w14:textId="77777777" w:rsidR="00D1587D" w:rsidRDefault="00D1587D">
            <w:pPr>
              <w:rPr>
                <w:sz w:val="16"/>
                <w:szCs w:val="16"/>
              </w:rPr>
            </w:pPr>
          </w:p>
        </w:tc>
        <w:tc>
          <w:tcPr>
            <w:tcW w:w="660" w:type="dxa"/>
            <w:vAlign w:val="bottom"/>
          </w:tcPr>
          <w:p w14:paraId="71F22850" w14:textId="77777777" w:rsidR="00D1587D" w:rsidRDefault="00D1587D">
            <w:pPr>
              <w:rPr>
                <w:sz w:val="16"/>
                <w:szCs w:val="16"/>
              </w:rPr>
            </w:pPr>
          </w:p>
        </w:tc>
        <w:tc>
          <w:tcPr>
            <w:tcW w:w="100" w:type="dxa"/>
            <w:vAlign w:val="bottom"/>
          </w:tcPr>
          <w:p w14:paraId="72018723" w14:textId="77777777" w:rsidR="00D1587D" w:rsidRDefault="00D1587D">
            <w:pPr>
              <w:rPr>
                <w:sz w:val="16"/>
                <w:szCs w:val="16"/>
              </w:rPr>
            </w:pPr>
          </w:p>
        </w:tc>
        <w:tc>
          <w:tcPr>
            <w:tcW w:w="660" w:type="dxa"/>
            <w:vAlign w:val="bottom"/>
          </w:tcPr>
          <w:p w14:paraId="3FAA3024" w14:textId="77777777" w:rsidR="00D1587D" w:rsidRDefault="00D1587D">
            <w:pPr>
              <w:rPr>
                <w:sz w:val="16"/>
                <w:szCs w:val="16"/>
              </w:rPr>
            </w:pPr>
          </w:p>
        </w:tc>
        <w:tc>
          <w:tcPr>
            <w:tcW w:w="80" w:type="dxa"/>
            <w:vAlign w:val="bottom"/>
          </w:tcPr>
          <w:p w14:paraId="7F05BA9A" w14:textId="77777777" w:rsidR="00D1587D" w:rsidRDefault="00D1587D">
            <w:pPr>
              <w:rPr>
                <w:sz w:val="16"/>
                <w:szCs w:val="16"/>
              </w:rPr>
            </w:pPr>
          </w:p>
        </w:tc>
        <w:tc>
          <w:tcPr>
            <w:tcW w:w="660" w:type="dxa"/>
            <w:vAlign w:val="bottom"/>
          </w:tcPr>
          <w:p w14:paraId="19D4AADF" w14:textId="77777777" w:rsidR="00D1587D" w:rsidRDefault="00D1587D">
            <w:pPr>
              <w:rPr>
                <w:sz w:val="16"/>
                <w:szCs w:val="16"/>
              </w:rPr>
            </w:pPr>
          </w:p>
        </w:tc>
        <w:tc>
          <w:tcPr>
            <w:tcW w:w="80" w:type="dxa"/>
            <w:vAlign w:val="bottom"/>
          </w:tcPr>
          <w:p w14:paraId="0EABE97B" w14:textId="77777777" w:rsidR="00D1587D" w:rsidRDefault="00D1587D">
            <w:pPr>
              <w:rPr>
                <w:sz w:val="16"/>
                <w:szCs w:val="16"/>
              </w:rPr>
            </w:pPr>
          </w:p>
        </w:tc>
        <w:tc>
          <w:tcPr>
            <w:tcW w:w="600" w:type="dxa"/>
            <w:vAlign w:val="bottom"/>
          </w:tcPr>
          <w:p w14:paraId="7428DD8F" w14:textId="77777777" w:rsidR="00D1587D" w:rsidRDefault="00D1587D">
            <w:pPr>
              <w:rPr>
                <w:sz w:val="16"/>
                <w:szCs w:val="16"/>
              </w:rPr>
            </w:pPr>
          </w:p>
        </w:tc>
        <w:tc>
          <w:tcPr>
            <w:tcW w:w="80" w:type="dxa"/>
            <w:vAlign w:val="bottom"/>
          </w:tcPr>
          <w:p w14:paraId="5EC8BAE5" w14:textId="77777777" w:rsidR="00D1587D" w:rsidRDefault="00D1587D">
            <w:pPr>
              <w:rPr>
                <w:sz w:val="16"/>
                <w:szCs w:val="16"/>
              </w:rPr>
            </w:pPr>
          </w:p>
        </w:tc>
        <w:tc>
          <w:tcPr>
            <w:tcW w:w="700" w:type="dxa"/>
            <w:gridSpan w:val="2"/>
            <w:vAlign w:val="bottom"/>
          </w:tcPr>
          <w:p w14:paraId="55B6DE73" w14:textId="77777777" w:rsidR="00D1587D" w:rsidRDefault="00410D07">
            <w:pPr>
              <w:ind w:right="120"/>
              <w:jc w:val="center"/>
              <w:rPr>
                <w:sz w:val="20"/>
                <w:szCs w:val="20"/>
              </w:rPr>
            </w:pPr>
            <w:r>
              <w:rPr>
                <w:rFonts w:ascii="Arial" w:eastAsia="Arial" w:hAnsi="Arial" w:cs="Arial"/>
                <w:b/>
                <w:bCs/>
                <w:w w:val="98"/>
                <w:sz w:val="14"/>
                <w:szCs w:val="14"/>
              </w:rPr>
              <w:t>Equity</w:t>
            </w:r>
          </w:p>
        </w:tc>
        <w:tc>
          <w:tcPr>
            <w:tcW w:w="600" w:type="dxa"/>
            <w:vAlign w:val="bottom"/>
          </w:tcPr>
          <w:p w14:paraId="6380B3E6" w14:textId="77777777" w:rsidR="00D1587D" w:rsidRDefault="00410D07">
            <w:pPr>
              <w:jc w:val="center"/>
              <w:rPr>
                <w:sz w:val="20"/>
                <w:szCs w:val="20"/>
              </w:rPr>
            </w:pPr>
            <w:r>
              <w:rPr>
                <w:rFonts w:ascii="Arial" w:eastAsia="Arial" w:hAnsi="Arial" w:cs="Arial"/>
                <w:b/>
                <w:bCs/>
                <w:w w:val="92"/>
                <w:sz w:val="14"/>
                <w:szCs w:val="14"/>
              </w:rPr>
              <w:t>Incentive</w:t>
            </w:r>
          </w:p>
        </w:tc>
        <w:tc>
          <w:tcPr>
            <w:tcW w:w="0" w:type="dxa"/>
            <w:vAlign w:val="bottom"/>
          </w:tcPr>
          <w:p w14:paraId="5B825B64" w14:textId="77777777" w:rsidR="00D1587D" w:rsidRDefault="00D1587D">
            <w:pPr>
              <w:rPr>
                <w:sz w:val="1"/>
                <w:szCs w:val="1"/>
              </w:rPr>
            </w:pPr>
          </w:p>
        </w:tc>
      </w:tr>
      <w:tr w:rsidR="00D1587D" w14:paraId="7E002C04" w14:textId="77777777">
        <w:trPr>
          <w:trHeight w:val="148"/>
        </w:trPr>
        <w:tc>
          <w:tcPr>
            <w:tcW w:w="880" w:type="dxa"/>
            <w:vAlign w:val="bottom"/>
          </w:tcPr>
          <w:p w14:paraId="11CA10CE" w14:textId="77777777" w:rsidR="00D1587D" w:rsidRDefault="00D1587D">
            <w:pPr>
              <w:rPr>
                <w:sz w:val="12"/>
                <w:szCs w:val="12"/>
              </w:rPr>
            </w:pPr>
          </w:p>
        </w:tc>
        <w:tc>
          <w:tcPr>
            <w:tcW w:w="40" w:type="dxa"/>
            <w:vAlign w:val="bottom"/>
          </w:tcPr>
          <w:p w14:paraId="0FF365B0" w14:textId="77777777" w:rsidR="00D1587D" w:rsidRDefault="00D1587D">
            <w:pPr>
              <w:rPr>
                <w:sz w:val="12"/>
                <w:szCs w:val="12"/>
              </w:rPr>
            </w:pPr>
          </w:p>
        </w:tc>
        <w:tc>
          <w:tcPr>
            <w:tcW w:w="40" w:type="dxa"/>
            <w:vAlign w:val="bottom"/>
          </w:tcPr>
          <w:p w14:paraId="0790C2EB" w14:textId="77777777" w:rsidR="00D1587D" w:rsidRDefault="00D1587D">
            <w:pPr>
              <w:rPr>
                <w:sz w:val="12"/>
                <w:szCs w:val="12"/>
              </w:rPr>
            </w:pPr>
          </w:p>
        </w:tc>
        <w:tc>
          <w:tcPr>
            <w:tcW w:w="580" w:type="dxa"/>
            <w:vAlign w:val="bottom"/>
          </w:tcPr>
          <w:p w14:paraId="57926AC4" w14:textId="77777777" w:rsidR="00D1587D" w:rsidRDefault="00D1587D">
            <w:pPr>
              <w:rPr>
                <w:sz w:val="12"/>
                <w:szCs w:val="12"/>
              </w:rPr>
            </w:pPr>
          </w:p>
        </w:tc>
        <w:tc>
          <w:tcPr>
            <w:tcW w:w="40" w:type="dxa"/>
            <w:vAlign w:val="bottom"/>
          </w:tcPr>
          <w:p w14:paraId="2716C04A" w14:textId="77777777" w:rsidR="00D1587D" w:rsidRDefault="00D1587D">
            <w:pPr>
              <w:rPr>
                <w:sz w:val="12"/>
                <w:szCs w:val="12"/>
              </w:rPr>
            </w:pPr>
          </w:p>
        </w:tc>
        <w:tc>
          <w:tcPr>
            <w:tcW w:w="40" w:type="dxa"/>
            <w:vAlign w:val="bottom"/>
          </w:tcPr>
          <w:p w14:paraId="2EDB9D9E" w14:textId="77777777" w:rsidR="00D1587D" w:rsidRDefault="00D1587D">
            <w:pPr>
              <w:rPr>
                <w:sz w:val="12"/>
                <w:szCs w:val="12"/>
              </w:rPr>
            </w:pPr>
          </w:p>
        </w:tc>
        <w:tc>
          <w:tcPr>
            <w:tcW w:w="760" w:type="dxa"/>
            <w:vAlign w:val="bottom"/>
          </w:tcPr>
          <w:p w14:paraId="3A3A7BDC" w14:textId="77777777" w:rsidR="00D1587D" w:rsidRDefault="00D1587D">
            <w:pPr>
              <w:rPr>
                <w:sz w:val="12"/>
                <w:szCs w:val="12"/>
              </w:rPr>
            </w:pPr>
          </w:p>
        </w:tc>
        <w:tc>
          <w:tcPr>
            <w:tcW w:w="40" w:type="dxa"/>
            <w:vAlign w:val="bottom"/>
          </w:tcPr>
          <w:p w14:paraId="70AE6902" w14:textId="77777777" w:rsidR="00D1587D" w:rsidRDefault="00D1587D">
            <w:pPr>
              <w:rPr>
                <w:sz w:val="12"/>
                <w:szCs w:val="12"/>
              </w:rPr>
            </w:pPr>
          </w:p>
        </w:tc>
        <w:tc>
          <w:tcPr>
            <w:tcW w:w="40" w:type="dxa"/>
            <w:vAlign w:val="bottom"/>
          </w:tcPr>
          <w:p w14:paraId="6DFF5381" w14:textId="77777777" w:rsidR="00D1587D" w:rsidRDefault="00D1587D">
            <w:pPr>
              <w:rPr>
                <w:sz w:val="12"/>
                <w:szCs w:val="12"/>
              </w:rPr>
            </w:pPr>
          </w:p>
        </w:tc>
        <w:tc>
          <w:tcPr>
            <w:tcW w:w="860" w:type="dxa"/>
            <w:vAlign w:val="bottom"/>
          </w:tcPr>
          <w:p w14:paraId="77337DB6" w14:textId="77777777" w:rsidR="00D1587D" w:rsidRDefault="00D1587D">
            <w:pPr>
              <w:rPr>
                <w:sz w:val="12"/>
                <w:szCs w:val="12"/>
              </w:rPr>
            </w:pPr>
          </w:p>
        </w:tc>
        <w:tc>
          <w:tcPr>
            <w:tcW w:w="40" w:type="dxa"/>
            <w:vAlign w:val="bottom"/>
          </w:tcPr>
          <w:p w14:paraId="0D6AA715" w14:textId="77777777" w:rsidR="00D1587D" w:rsidRDefault="00D1587D">
            <w:pPr>
              <w:rPr>
                <w:sz w:val="12"/>
                <w:szCs w:val="12"/>
              </w:rPr>
            </w:pPr>
          </w:p>
        </w:tc>
        <w:tc>
          <w:tcPr>
            <w:tcW w:w="40" w:type="dxa"/>
            <w:vAlign w:val="bottom"/>
          </w:tcPr>
          <w:p w14:paraId="4F987CC3" w14:textId="77777777" w:rsidR="00D1587D" w:rsidRDefault="00D1587D">
            <w:pPr>
              <w:rPr>
                <w:sz w:val="12"/>
                <w:szCs w:val="12"/>
              </w:rPr>
            </w:pPr>
          </w:p>
        </w:tc>
        <w:tc>
          <w:tcPr>
            <w:tcW w:w="760" w:type="dxa"/>
            <w:vAlign w:val="bottom"/>
          </w:tcPr>
          <w:p w14:paraId="27F71E28" w14:textId="77777777" w:rsidR="00D1587D" w:rsidRDefault="00D1587D">
            <w:pPr>
              <w:rPr>
                <w:sz w:val="12"/>
                <w:szCs w:val="12"/>
              </w:rPr>
            </w:pPr>
          </w:p>
        </w:tc>
        <w:tc>
          <w:tcPr>
            <w:tcW w:w="40" w:type="dxa"/>
            <w:vAlign w:val="bottom"/>
          </w:tcPr>
          <w:p w14:paraId="4E4CABCA" w14:textId="77777777" w:rsidR="00D1587D" w:rsidRDefault="00D1587D">
            <w:pPr>
              <w:rPr>
                <w:sz w:val="12"/>
                <w:szCs w:val="12"/>
              </w:rPr>
            </w:pPr>
          </w:p>
        </w:tc>
        <w:tc>
          <w:tcPr>
            <w:tcW w:w="40" w:type="dxa"/>
            <w:vAlign w:val="bottom"/>
          </w:tcPr>
          <w:p w14:paraId="6E673441" w14:textId="77777777" w:rsidR="00D1587D" w:rsidRDefault="00D1587D">
            <w:pPr>
              <w:rPr>
                <w:sz w:val="12"/>
                <w:szCs w:val="12"/>
              </w:rPr>
            </w:pPr>
          </w:p>
        </w:tc>
        <w:tc>
          <w:tcPr>
            <w:tcW w:w="540" w:type="dxa"/>
            <w:vAlign w:val="bottom"/>
          </w:tcPr>
          <w:p w14:paraId="084C9395" w14:textId="77777777" w:rsidR="00D1587D" w:rsidRDefault="00D1587D">
            <w:pPr>
              <w:rPr>
                <w:sz w:val="12"/>
                <w:szCs w:val="12"/>
              </w:rPr>
            </w:pPr>
          </w:p>
        </w:tc>
        <w:tc>
          <w:tcPr>
            <w:tcW w:w="80" w:type="dxa"/>
            <w:vAlign w:val="bottom"/>
          </w:tcPr>
          <w:p w14:paraId="7CC6793E" w14:textId="77777777" w:rsidR="00D1587D" w:rsidRDefault="00D1587D">
            <w:pPr>
              <w:rPr>
                <w:sz w:val="12"/>
                <w:szCs w:val="12"/>
              </w:rPr>
            </w:pPr>
          </w:p>
        </w:tc>
        <w:tc>
          <w:tcPr>
            <w:tcW w:w="660" w:type="dxa"/>
            <w:vAlign w:val="bottom"/>
          </w:tcPr>
          <w:p w14:paraId="65262F9D" w14:textId="77777777" w:rsidR="00D1587D" w:rsidRDefault="00D1587D">
            <w:pPr>
              <w:rPr>
                <w:sz w:val="12"/>
                <w:szCs w:val="12"/>
              </w:rPr>
            </w:pPr>
          </w:p>
        </w:tc>
        <w:tc>
          <w:tcPr>
            <w:tcW w:w="100" w:type="dxa"/>
            <w:vAlign w:val="bottom"/>
          </w:tcPr>
          <w:p w14:paraId="04FD900D" w14:textId="77777777" w:rsidR="00D1587D" w:rsidRDefault="00D1587D">
            <w:pPr>
              <w:rPr>
                <w:sz w:val="12"/>
                <w:szCs w:val="12"/>
              </w:rPr>
            </w:pPr>
          </w:p>
        </w:tc>
        <w:tc>
          <w:tcPr>
            <w:tcW w:w="660" w:type="dxa"/>
            <w:vAlign w:val="bottom"/>
          </w:tcPr>
          <w:p w14:paraId="0E8BF96C" w14:textId="77777777" w:rsidR="00D1587D" w:rsidRDefault="00D1587D">
            <w:pPr>
              <w:rPr>
                <w:sz w:val="12"/>
                <w:szCs w:val="12"/>
              </w:rPr>
            </w:pPr>
          </w:p>
        </w:tc>
        <w:tc>
          <w:tcPr>
            <w:tcW w:w="80" w:type="dxa"/>
            <w:vAlign w:val="bottom"/>
          </w:tcPr>
          <w:p w14:paraId="2AEC6EA4" w14:textId="77777777" w:rsidR="00D1587D" w:rsidRDefault="00D1587D">
            <w:pPr>
              <w:rPr>
                <w:sz w:val="12"/>
                <w:szCs w:val="12"/>
              </w:rPr>
            </w:pPr>
          </w:p>
        </w:tc>
        <w:tc>
          <w:tcPr>
            <w:tcW w:w="660" w:type="dxa"/>
            <w:vAlign w:val="bottom"/>
          </w:tcPr>
          <w:p w14:paraId="4B5D4B37" w14:textId="77777777" w:rsidR="00D1587D" w:rsidRDefault="00D1587D">
            <w:pPr>
              <w:rPr>
                <w:sz w:val="12"/>
                <w:szCs w:val="12"/>
              </w:rPr>
            </w:pPr>
          </w:p>
        </w:tc>
        <w:tc>
          <w:tcPr>
            <w:tcW w:w="80" w:type="dxa"/>
            <w:vAlign w:val="bottom"/>
          </w:tcPr>
          <w:p w14:paraId="551B5B50" w14:textId="77777777" w:rsidR="00D1587D" w:rsidRDefault="00D1587D">
            <w:pPr>
              <w:rPr>
                <w:sz w:val="12"/>
                <w:szCs w:val="12"/>
              </w:rPr>
            </w:pPr>
          </w:p>
        </w:tc>
        <w:tc>
          <w:tcPr>
            <w:tcW w:w="600" w:type="dxa"/>
            <w:vAlign w:val="bottom"/>
          </w:tcPr>
          <w:p w14:paraId="158B0034" w14:textId="77777777" w:rsidR="00D1587D" w:rsidRDefault="00D1587D">
            <w:pPr>
              <w:rPr>
                <w:sz w:val="12"/>
                <w:szCs w:val="12"/>
              </w:rPr>
            </w:pPr>
          </w:p>
        </w:tc>
        <w:tc>
          <w:tcPr>
            <w:tcW w:w="80" w:type="dxa"/>
            <w:vAlign w:val="bottom"/>
          </w:tcPr>
          <w:p w14:paraId="10939333" w14:textId="77777777" w:rsidR="00D1587D" w:rsidRDefault="00D1587D">
            <w:pPr>
              <w:rPr>
                <w:sz w:val="12"/>
                <w:szCs w:val="12"/>
              </w:rPr>
            </w:pPr>
          </w:p>
        </w:tc>
        <w:tc>
          <w:tcPr>
            <w:tcW w:w="700" w:type="dxa"/>
            <w:gridSpan w:val="2"/>
            <w:vAlign w:val="bottom"/>
          </w:tcPr>
          <w:p w14:paraId="0882C9DF" w14:textId="77777777" w:rsidR="00D1587D" w:rsidRDefault="00410D07">
            <w:pPr>
              <w:spacing w:line="149" w:lineRule="exact"/>
              <w:ind w:right="120"/>
              <w:jc w:val="center"/>
              <w:rPr>
                <w:sz w:val="20"/>
                <w:szCs w:val="20"/>
              </w:rPr>
            </w:pPr>
            <w:r>
              <w:rPr>
                <w:rFonts w:ascii="Arial" w:eastAsia="Arial" w:hAnsi="Arial" w:cs="Arial"/>
                <w:b/>
                <w:bCs/>
                <w:w w:val="95"/>
                <w:sz w:val="14"/>
                <w:szCs w:val="14"/>
              </w:rPr>
              <w:t>Incentive</w:t>
            </w:r>
          </w:p>
        </w:tc>
        <w:tc>
          <w:tcPr>
            <w:tcW w:w="600" w:type="dxa"/>
            <w:vAlign w:val="bottom"/>
          </w:tcPr>
          <w:p w14:paraId="1C872849" w14:textId="77777777" w:rsidR="00D1587D" w:rsidRDefault="00410D07">
            <w:pPr>
              <w:spacing w:line="149" w:lineRule="exact"/>
              <w:jc w:val="center"/>
              <w:rPr>
                <w:sz w:val="20"/>
                <w:szCs w:val="20"/>
              </w:rPr>
            </w:pPr>
            <w:r>
              <w:rPr>
                <w:rFonts w:ascii="Arial" w:eastAsia="Arial" w:hAnsi="Arial" w:cs="Arial"/>
                <w:b/>
                <w:bCs/>
                <w:w w:val="94"/>
                <w:sz w:val="14"/>
                <w:szCs w:val="14"/>
              </w:rPr>
              <w:t>Plan</w:t>
            </w:r>
          </w:p>
        </w:tc>
        <w:tc>
          <w:tcPr>
            <w:tcW w:w="0" w:type="dxa"/>
            <w:vAlign w:val="bottom"/>
          </w:tcPr>
          <w:p w14:paraId="08213BCF" w14:textId="77777777" w:rsidR="00D1587D" w:rsidRDefault="00D1587D">
            <w:pPr>
              <w:rPr>
                <w:sz w:val="1"/>
                <w:szCs w:val="1"/>
              </w:rPr>
            </w:pPr>
          </w:p>
        </w:tc>
      </w:tr>
      <w:tr w:rsidR="00D1587D" w14:paraId="4403FB87" w14:textId="77777777">
        <w:trPr>
          <w:trHeight w:val="149"/>
        </w:trPr>
        <w:tc>
          <w:tcPr>
            <w:tcW w:w="880" w:type="dxa"/>
            <w:vAlign w:val="bottom"/>
          </w:tcPr>
          <w:p w14:paraId="67A5A204" w14:textId="77777777" w:rsidR="00D1587D" w:rsidRDefault="00D1587D">
            <w:pPr>
              <w:rPr>
                <w:sz w:val="12"/>
                <w:szCs w:val="12"/>
              </w:rPr>
            </w:pPr>
          </w:p>
        </w:tc>
        <w:tc>
          <w:tcPr>
            <w:tcW w:w="40" w:type="dxa"/>
            <w:vAlign w:val="bottom"/>
          </w:tcPr>
          <w:p w14:paraId="58456A5D" w14:textId="77777777" w:rsidR="00D1587D" w:rsidRDefault="00D1587D">
            <w:pPr>
              <w:rPr>
                <w:sz w:val="12"/>
                <w:szCs w:val="12"/>
              </w:rPr>
            </w:pPr>
          </w:p>
        </w:tc>
        <w:tc>
          <w:tcPr>
            <w:tcW w:w="40" w:type="dxa"/>
            <w:vAlign w:val="bottom"/>
          </w:tcPr>
          <w:p w14:paraId="7A0E55BC" w14:textId="77777777" w:rsidR="00D1587D" w:rsidRDefault="00D1587D">
            <w:pPr>
              <w:rPr>
                <w:sz w:val="12"/>
                <w:szCs w:val="12"/>
              </w:rPr>
            </w:pPr>
          </w:p>
        </w:tc>
        <w:tc>
          <w:tcPr>
            <w:tcW w:w="580" w:type="dxa"/>
            <w:vAlign w:val="bottom"/>
          </w:tcPr>
          <w:p w14:paraId="12FC1957" w14:textId="77777777" w:rsidR="00D1587D" w:rsidRDefault="00D1587D">
            <w:pPr>
              <w:rPr>
                <w:sz w:val="12"/>
                <w:szCs w:val="12"/>
              </w:rPr>
            </w:pPr>
          </w:p>
        </w:tc>
        <w:tc>
          <w:tcPr>
            <w:tcW w:w="40" w:type="dxa"/>
            <w:vAlign w:val="bottom"/>
          </w:tcPr>
          <w:p w14:paraId="6C64E4D0" w14:textId="77777777" w:rsidR="00D1587D" w:rsidRDefault="00D1587D">
            <w:pPr>
              <w:rPr>
                <w:sz w:val="12"/>
                <w:szCs w:val="12"/>
              </w:rPr>
            </w:pPr>
          </w:p>
        </w:tc>
        <w:tc>
          <w:tcPr>
            <w:tcW w:w="40" w:type="dxa"/>
            <w:vAlign w:val="bottom"/>
          </w:tcPr>
          <w:p w14:paraId="75AAE0F7" w14:textId="77777777" w:rsidR="00D1587D" w:rsidRDefault="00D1587D">
            <w:pPr>
              <w:rPr>
                <w:sz w:val="12"/>
                <w:szCs w:val="12"/>
              </w:rPr>
            </w:pPr>
          </w:p>
        </w:tc>
        <w:tc>
          <w:tcPr>
            <w:tcW w:w="760" w:type="dxa"/>
            <w:vAlign w:val="bottom"/>
          </w:tcPr>
          <w:p w14:paraId="37856907" w14:textId="77777777" w:rsidR="00D1587D" w:rsidRDefault="00D1587D">
            <w:pPr>
              <w:rPr>
                <w:sz w:val="12"/>
                <w:szCs w:val="12"/>
              </w:rPr>
            </w:pPr>
          </w:p>
        </w:tc>
        <w:tc>
          <w:tcPr>
            <w:tcW w:w="40" w:type="dxa"/>
            <w:vAlign w:val="bottom"/>
          </w:tcPr>
          <w:p w14:paraId="141B10C8" w14:textId="77777777" w:rsidR="00D1587D" w:rsidRDefault="00D1587D">
            <w:pPr>
              <w:rPr>
                <w:sz w:val="12"/>
                <w:szCs w:val="12"/>
              </w:rPr>
            </w:pPr>
          </w:p>
        </w:tc>
        <w:tc>
          <w:tcPr>
            <w:tcW w:w="40" w:type="dxa"/>
            <w:vAlign w:val="bottom"/>
          </w:tcPr>
          <w:p w14:paraId="6D5F76F6" w14:textId="77777777" w:rsidR="00D1587D" w:rsidRDefault="00D1587D">
            <w:pPr>
              <w:rPr>
                <w:sz w:val="12"/>
                <w:szCs w:val="12"/>
              </w:rPr>
            </w:pPr>
          </w:p>
        </w:tc>
        <w:tc>
          <w:tcPr>
            <w:tcW w:w="860" w:type="dxa"/>
            <w:vAlign w:val="bottom"/>
          </w:tcPr>
          <w:p w14:paraId="02639EF3" w14:textId="77777777" w:rsidR="00D1587D" w:rsidRDefault="00D1587D">
            <w:pPr>
              <w:rPr>
                <w:sz w:val="12"/>
                <w:szCs w:val="12"/>
              </w:rPr>
            </w:pPr>
          </w:p>
        </w:tc>
        <w:tc>
          <w:tcPr>
            <w:tcW w:w="40" w:type="dxa"/>
            <w:vAlign w:val="bottom"/>
          </w:tcPr>
          <w:p w14:paraId="42D59330" w14:textId="77777777" w:rsidR="00D1587D" w:rsidRDefault="00D1587D">
            <w:pPr>
              <w:rPr>
                <w:sz w:val="12"/>
                <w:szCs w:val="12"/>
              </w:rPr>
            </w:pPr>
          </w:p>
        </w:tc>
        <w:tc>
          <w:tcPr>
            <w:tcW w:w="40" w:type="dxa"/>
            <w:vAlign w:val="bottom"/>
          </w:tcPr>
          <w:p w14:paraId="167C7A26" w14:textId="77777777" w:rsidR="00D1587D" w:rsidRDefault="00D1587D">
            <w:pPr>
              <w:rPr>
                <w:sz w:val="12"/>
                <w:szCs w:val="12"/>
              </w:rPr>
            </w:pPr>
          </w:p>
        </w:tc>
        <w:tc>
          <w:tcPr>
            <w:tcW w:w="760" w:type="dxa"/>
            <w:vAlign w:val="bottom"/>
          </w:tcPr>
          <w:p w14:paraId="4066C8E4" w14:textId="77777777" w:rsidR="00D1587D" w:rsidRDefault="00D1587D">
            <w:pPr>
              <w:rPr>
                <w:sz w:val="12"/>
                <w:szCs w:val="12"/>
              </w:rPr>
            </w:pPr>
          </w:p>
        </w:tc>
        <w:tc>
          <w:tcPr>
            <w:tcW w:w="40" w:type="dxa"/>
            <w:vAlign w:val="bottom"/>
          </w:tcPr>
          <w:p w14:paraId="42359870" w14:textId="77777777" w:rsidR="00D1587D" w:rsidRDefault="00D1587D">
            <w:pPr>
              <w:rPr>
                <w:sz w:val="12"/>
                <w:szCs w:val="12"/>
              </w:rPr>
            </w:pPr>
          </w:p>
        </w:tc>
        <w:tc>
          <w:tcPr>
            <w:tcW w:w="40" w:type="dxa"/>
            <w:vAlign w:val="bottom"/>
          </w:tcPr>
          <w:p w14:paraId="1D25D0B7" w14:textId="77777777" w:rsidR="00D1587D" w:rsidRDefault="00D1587D">
            <w:pPr>
              <w:rPr>
                <w:sz w:val="12"/>
                <w:szCs w:val="12"/>
              </w:rPr>
            </w:pPr>
          </w:p>
        </w:tc>
        <w:tc>
          <w:tcPr>
            <w:tcW w:w="540" w:type="dxa"/>
            <w:vAlign w:val="bottom"/>
          </w:tcPr>
          <w:p w14:paraId="4EC4AFA8" w14:textId="77777777" w:rsidR="00D1587D" w:rsidRDefault="00D1587D">
            <w:pPr>
              <w:rPr>
                <w:sz w:val="12"/>
                <w:szCs w:val="12"/>
              </w:rPr>
            </w:pPr>
          </w:p>
        </w:tc>
        <w:tc>
          <w:tcPr>
            <w:tcW w:w="80" w:type="dxa"/>
            <w:vAlign w:val="bottom"/>
          </w:tcPr>
          <w:p w14:paraId="6A939C31" w14:textId="77777777" w:rsidR="00D1587D" w:rsidRDefault="00D1587D">
            <w:pPr>
              <w:rPr>
                <w:sz w:val="12"/>
                <w:szCs w:val="12"/>
              </w:rPr>
            </w:pPr>
          </w:p>
        </w:tc>
        <w:tc>
          <w:tcPr>
            <w:tcW w:w="660" w:type="dxa"/>
            <w:vAlign w:val="bottom"/>
          </w:tcPr>
          <w:p w14:paraId="3BDBEDAD" w14:textId="77777777" w:rsidR="00D1587D" w:rsidRDefault="00D1587D">
            <w:pPr>
              <w:rPr>
                <w:sz w:val="12"/>
                <w:szCs w:val="12"/>
              </w:rPr>
            </w:pPr>
          </w:p>
        </w:tc>
        <w:tc>
          <w:tcPr>
            <w:tcW w:w="100" w:type="dxa"/>
            <w:vAlign w:val="bottom"/>
          </w:tcPr>
          <w:p w14:paraId="7F39D292" w14:textId="77777777" w:rsidR="00D1587D" w:rsidRDefault="00D1587D">
            <w:pPr>
              <w:rPr>
                <w:sz w:val="12"/>
                <w:szCs w:val="12"/>
              </w:rPr>
            </w:pPr>
          </w:p>
        </w:tc>
        <w:tc>
          <w:tcPr>
            <w:tcW w:w="660" w:type="dxa"/>
            <w:vAlign w:val="bottom"/>
          </w:tcPr>
          <w:p w14:paraId="68502B3D" w14:textId="77777777" w:rsidR="00D1587D" w:rsidRDefault="00D1587D">
            <w:pPr>
              <w:rPr>
                <w:sz w:val="12"/>
                <w:szCs w:val="12"/>
              </w:rPr>
            </w:pPr>
          </w:p>
        </w:tc>
        <w:tc>
          <w:tcPr>
            <w:tcW w:w="80" w:type="dxa"/>
            <w:vAlign w:val="bottom"/>
          </w:tcPr>
          <w:p w14:paraId="6697BB45" w14:textId="77777777" w:rsidR="00D1587D" w:rsidRDefault="00D1587D">
            <w:pPr>
              <w:rPr>
                <w:sz w:val="12"/>
                <w:szCs w:val="12"/>
              </w:rPr>
            </w:pPr>
          </w:p>
        </w:tc>
        <w:tc>
          <w:tcPr>
            <w:tcW w:w="660" w:type="dxa"/>
            <w:vAlign w:val="bottom"/>
          </w:tcPr>
          <w:p w14:paraId="65F8266C" w14:textId="77777777" w:rsidR="00D1587D" w:rsidRDefault="00D1587D">
            <w:pPr>
              <w:rPr>
                <w:sz w:val="12"/>
                <w:szCs w:val="12"/>
              </w:rPr>
            </w:pPr>
          </w:p>
        </w:tc>
        <w:tc>
          <w:tcPr>
            <w:tcW w:w="80" w:type="dxa"/>
            <w:vAlign w:val="bottom"/>
          </w:tcPr>
          <w:p w14:paraId="7BE6EDB3" w14:textId="77777777" w:rsidR="00D1587D" w:rsidRDefault="00D1587D">
            <w:pPr>
              <w:rPr>
                <w:sz w:val="12"/>
                <w:szCs w:val="12"/>
              </w:rPr>
            </w:pPr>
          </w:p>
        </w:tc>
        <w:tc>
          <w:tcPr>
            <w:tcW w:w="600" w:type="dxa"/>
            <w:vAlign w:val="bottom"/>
          </w:tcPr>
          <w:p w14:paraId="6539DE84" w14:textId="77777777" w:rsidR="00D1587D" w:rsidRDefault="00D1587D">
            <w:pPr>
              <w:rPr>
                <w:sz w:val="12"/>
                <w:szCs w:val="12"/>
              </w:rPr>
            </w:pPr>
          </w:p>
        </w:tc>
        <w:tc>
          <w:tcPr>
            <w:tcW w:w="80" w:type="dxa"/>
            <w:vAlign w:val="bottom"/>
          </w:tcPr>
          <w:p w14:paraId="781A5CC5" w14:textId="77777777" w:rsidR="00D1587D" w:rsidRDefault="00D1587D">
            <w:pPr>
              <w:rPr>
                <w:sz w:val="12"/>
                <w:szCs w:val="12"/>
              </w:rPr>
            </w:pPr>
          </w:p>
        </w:tc>
        <w:tc>
          <w:tcPr>
            <w:tcW w:w="700" w:type="dxa"/>
            <w:gridSpan w:val="2"/>
            <w:vAlign w:val="bottom"/>
          </w:tcPr>
          <w:p w14:paraId="2665E435" w14:textId="77777777" w:rsidR="00D1587D" w:rsidRDefault="00410D07">
            <w:pPr>
              <w:spacing w:line="149" w:lineRule="exact"/>
              <w:ind w:right="120"/>
              <w:jc w:val="center"/>
              <w:rPr>
                <w:sz w:val="20"/>
                <w:szCs w:val="20"/>
              </w:rPr>
            </w:pPr>
            <w:r>
              <w:rPr>
                <w:rFonts w:ascii="Arial" w:eastAsia="Arial" w:hAnsi="Arial" w:cs="Arial"/>
                <w:b/>
                <w:bCs/>
                <w:w w:val="87"/>
                <w:sz w:val="14"/>
                <w:szCs w:val="14"/>
              </w:rPr>
              <w:t>Plan</w:t>
            </w:r>
          </w:p>
        </w:tc>
        <w:tc>
          <w:tcPr>
            <w:tcW w:w="600" w:type="dxa"/>
            <w:vAlign w:val="bottom"/>
          </w:tcPr>
          <w:p w14:paraId="2DF09BCC" w14:textId="77777777" w:rsidR="00D1587D" w:rsidRDefault="00410D07">
            <w:pPr>
              <w:spacing w:line="149" w:lineRule="exact"/>
              <w:jc w:val="center"/>
              <w:rPr>
                <w:sz w:val="20"/>
                <w:szCs w:val="20"/>
              </w:rPr>
            </w:pPr>
            <w:r>
              <w:rPr>
                <w:rFonts w:ascii="Arial" w:eastAsia="Arial" w:hAnsi="Arial" w:cs="Arial"/>
                <w:b/>
                <w:bCs/>
                <w:w w:val="94"/>
                <w:sz w:val="14"/>
                <w:szCs w:val="14"/>
              </w:rPr>
              <w:t>Awards:</w:t>
            </w:r>
          </w:p>
        </w:tc>
        <w:tc>
          <w:tcPr>
            <w:tcW w:w="0" w:type="dxa"/>
            <w:vAlign w:val="bottom"/>
          </w:tcPr>
          <w:p w14:paraId="0295B316" w14:textId="77777777" w:rsidR="00D1587D" w:rsidRDefault="00D1587D">
            <w:pPr>
              <w:rPr>
                <w:sz w:val="1"/>
                <w:szCs w:val="1"/>
              </w:rPr>
            </w:pPr>
          </w:p>
        </w:tc>
      </w:tr>
      <w:tr w:rsidR="00D1587D" w14:paraId="058D2331" w14:textId="77777777">
        <w:trPr>
          <w:trHeight w:val="148"/>
        </w:trPr>
        <w:tc>
          <w:tcPr>
            <w:tcW w:w="880" w:type="dxa"/>
            <w:vAlign w:val="bottom"/>
          </w:tcPr>
          <w:p w14:paraId="67D54E26" w14:textId="77777777" w:rsidR="00D1587D" w:rsidRDefault="00D1587D">
            <w:pPr>
              <w:rPr>
                <w:sz w:val="12"/>
                <w:szCs w:val="12"/>
              </w:rPr>
            </w:pPr>
          </w:p>
        </w:tc>
        <w:tc>
          <w:tcPr>
            <w:tcW w:w="40" w:type="dxa"/>
            <w:vAlign w:val="bottom"/>
          </w:tcPr>
          <w:p w14:paraId="7D23EC0E" w14:textId="77777777" w:rsidR="00D1587D" w:rsidRDefault="00D1587D">
            <w:pPr>
              <w:rPr>
                <w:sz w:val="12"/>
                <w:szCs w:val="12"/>
              </w:rPr>
            </w:pPr>
          </w:p>
        </w:tc>
        <w:tc>
          <w:tcPr>
            <w:tcW w:w="40" w:type="dxa"/>
            <w:vAlign w:val="bottom"/>
          </w:tcPr>
          <w:p w14:paraId="6623D6A3" w14:textId="77777777" w:rsidR="00D1587D" w:rsidRDefault="00D1587D">
            <w:pPr>
              <w:rPr>
                <w:sz w:val="12"/>
                <w:szCs w:val="12"/>
              </w:rPr>
            </w:pPr>
          </w:p>
        </w:tc>
        <w:tc>
          <w:tcPr>
            <w:tcW w:w="580" w:type="dxa"/>
            <w:vAlign w:val="bottom"/>
          </w:tcPr>
          <w:p w14:paraId="07EE074E" w14:textId="77777777" w:rsidR="00D1587D" w:rsidRDefault="00D1587D">
            <w:pPr>
              <w:rPr>
                <w:sz w:val="12"/>
                <w:szCs w:val="12"/>
              </w:rPr>
            </w:pPr>
          </w:p>
        </w:tc>
        <w:tc>
          <w:tcPr>
            <w:tcW w:w="40" w:type="dxa"/>
            <w:vAlign w:val="bottom"/>
          </w:tcPr>
          <w:p w14:paraId="519AF7E1" w14:textId="77777777" w:rsidR="00D1587D" w:rsidRDefault="00D1587D">
            <w:pPr>
              <w:rPr>
                <w:sz w:val="12"/>
                <w:szCs w:val="12"/>
              </w:rPr>
            </w:pPr>
          </w:p>
        </w:tc>
        <w:tc>
          <w:tcPr>
            <w:tcW w:w="40" w:type="dxa"/>
            <w:vAlign w:val="bottom"/>
          </w:tcPr>
          <w:p w14:paraId="41244396" w14:textId="77777777" w:rsidR="00D1587D" w:rsidRDefault="00D1587D">
            <w:pPr>
              <w:rPr>
                <w:sz w:val="12"/>
                <w:szCs w:val="12"/>
              </w:rPr>
            </w:pPr>
          </w:p>
        </w:tc>
        <w:tc>
          <w:tcPr>
            <w:tcW w:w="760" w:type="dxa"/>
            <w:vAlign w:val="bottom"/>
          </w:tcPr>
          <w:p w14:paraId="2741AAF5" w14:textId="77777777" w:rsidR="00D1587D" w:rsidRDefault="00D1587D">
            <w:pPr>
              <w:rPr>
                <w:sz w:val="12"/>
                <w:szCs w:val="12"/>
              </w:rPr>
            </w:pPr>
          </w:p>
        </w:tc>
        <w:tc>
          <w:tcPr>
            <w:tcW w:w="40" w:type="dxa"/>
            <w:vAlign w:val="bottom"/>
          </w:tcPr>
          <w:p w14:paraId="1D484E33" w14:textId="77777777" w:rsidR="00D1587D" w:rsidRDefault="00D1587D">
            <w:pPr>
              <w:rPr>
                <w:sz w:val="12"/>
                <w:szCs w:val="12"/>
              </w:rPr>
            </w:pPr>
          </w:p>
        </w:tc>
        <w:tc>
          <w:tcPr>
            <w:tcW w:w="40" w:type="dxa"/>
            <w:vAlign w:val="bottom"/>
          </w:tcPr>
          <w:p w14:paraId="79ECC228" w14:textId="77777777" w:rsidR="00D1587D" w:rsidRDefault="00D1587D">
            <w:pPr>
              <w:rPr>
                <w:sz w:val="12"/>
                <w:szCs w:val="12"/>
              </w:rPr>
            </w:pPr>
          </w:p>
        </w:tc>
        <w:tc>
          <w:tcPr>
            <w:tcW w:w="860" w:type="dxa"/>
            <w:vAlign w:val="bottom"/>
          </w:tcPr>
          <w:p w14:paraId="0AE16B40" w14:textId="77777777" w:rsidR="00D1587D" w:rsidRDefault="00D1587D">
            <w:pPr>
              <w:rPr>
                <w:sz w:val="12"/>
                <w:szCs w:val="12"/>
              </w:rPr>
            </w:pPr>
          </w:p>
        </w:tc>
        <w:tc>
          <w:tcPr>
            <w:tcW w:w="40" w:type="dxa"/>
            <w:vAlign w:val="bottom"/>
          </w:tcPr>
          <w:p w14:paraId="04DC2D54" w14:textId="77777777" w:rsidR="00D1587D" w:rsidRDefault="00D1587D">
            <w:pPr>
              <w:rPr>
                <w:sz w:val="12"/>
                <w:szCs w:val="12"/>
              </w:rPr>
            </w:pPr>
          </w:p>
        </w:tc>
        <w:tc>
          <w:tcPr>
            <w:tcW w:w="40" w:type="dxa"/>
            <w:vAlign w:val="bottom"/>
          </w:tcPr>
          <w:p w14:paraId="0DC3900A" w14:textId="77777777" w:rsidR="00D1587D" w:rsidRDefault="00D1587D">
            <w:pPr>
              <w:rPr>
                <w:sz w:val="12"/>
                <w:szCs w:val="12"/>
              </w:rPr>
            </w:pPr>
          </w:p>
        </w:tc>
        <w:tc>
          <w:tcPr>
            <w:tcW w:w="800" w:type="dxa"/>
            <w:gridSpan w:val="2"/>
            <w:vMerge w:val="restart"/>
            <w:vAlign w:val="bottom"/>
          </w:tcPr>
          <w:p w14:paraId="22797CAB" w14:textId="77777777" w:rsidR="00D1587D" w:rsidRDefault="00410D07">
            <w:pPr>
              <w:ind w:right="60"/>
              <w:jc w:val="center"/>
              <w:rPr>
                <w:sz w:val="20"/>
                <w:szCs w:val="20"/>
              </w:rPr>
            </w:pPr>
            <w:r>
              <w:rPr>
                <w:rFonts w:ascii="Arial" w:eastAsia="Arial" w:hAnsi="Arial" w:cs="Arial"/>
                <w:b/>
                <w:bCs/>
                <w:w w:val="98"/>
                <w:sz w:val="14"/>
                <w:szCs w:val="14"/>
              </w:rPr>
              <w:t>Equity</w:t>
            </w:r>
          </w:p>
        </w:tc>
        <w:tc>
          <w:tcPr>
            <w:tcW w:w="40" w:type="dxa"/>
            <w:vAlign w:val="bottom"/>
          </w:tcPr>
          <w:p w14:paraId="29B065F8" w14:textId="77777777" w:rsidR="00D1587D" w:rsidRDefault="00D1587D">
            <w:pPr>
              <w:rPr>
                <w:sz w:val="12"/>
                <w:szCs w:val="12"/>
              </w:rPr>
            </w:pPr>
          </w:p>
        </w:tc>
        <w:tc>
          <w:tcPr>
            <w:tcW w:w="540" w:type="dxa"/>
            <w:vAlign w:val="bottom"/>
          </w:tcPr>
          <w:p w14:paraId="6F449742" w14:textId="77777777" w:rsidR="00D1587D" w:rsidRDefault="00D1587D">
            <w:pPr>
              <w:rPr>
                <w:sz w:val="12"/>
                <w:szCs w:val="12"/>
              </w:rPr>
            </w:pPr>
          </w:p>
        </w:tc>
        <w:tc>
          <w:tcPr>
            <w:tcW w:w="80" w:type="dxa"/>
            <w:vAlign w:val="bottom"/>
          </w:tcPr>
          <w:p w14:paraId="356BB9B6" w14:textId="77777777" w:rsidR="00D1587D" w:rsidRDefault="00D1587D">
            <w:pPr>
              <w:rPr>
                <w:sz w:val="12"/>
                <w:szCs w:val="12"/>
              </w:rPr>
            </w:pPr>
          </w:p>
        </w:tc>
        <w:tc>
          <w:tcPr>
            <w:tcW w:w="660" w:type="dxa"/>
            <w:vAlign w:val="bottom"/>
          </w:tcPr>
          <w:p w14:paraId="00C042FA" w14:textId="77777777" w:rsidR="00D1587D" w:rsidRDefault="00D1587D">
            <w:pPr>
              <w:rPr>
                <w:sz w:val="12"/>
                <w:szCs w:val="12"/>
              </w:rPr>
            </w:pPr>
          </w:p>
        </w:tc>
        <w:tc>
          <w:tcPr>
            <w:tcW w:w="100" w:type="dxa"/>
            <w:vAlign w:val="bottom"/>
          </w:tcPr>
          <w:p w14:paraId="6AD62BB6" w14:textId="77777777" w:rsidR="00D1587D" w:rsidRDefault="00D1587D">
            <w:pPr>
              <w:rPr>
                <w:sz w:val="12"/>
                <w:szCs w:val="12"/>
              </w:rPr>
            </w:pPr>
          </w:p>
        </w:tc>
        <w:tc>
          <w:tcPr>
            <w:tcW w:w="660" w:type="dxa"/>
            <w:vAlign w:val="bottom"/>
          </w:tcPr>
          <w:p w14:paraId="3557DC7B" w14:textId="77777777" w:rsidR="00D1587D" w:rsidRDefault="00D1587D">
            <w:pPr>
              <w:rPr>
                <w:sz w:val="12"/>
                <w:szCs w:val="12"/>
              </w:rPr>
            </w:pPr>
          </w:p>
        </w:tc>
        <w:tc>
          <w:tcPr>
            <w:tcW w:w="80" w:type="dxa"/>
            <w:vAlign w:val="bottom"/>
          </w:tcPr>
          <w:p w14:paraId="06B22757" w14:textId="77777777" w:rsidR="00D1587D" w:rsidRDefault="00D1587D">
            <w:pPr>
              <w:rPr>
                <w:sz w:val="12"/>
                <w:szCs w:val="12"/>
              </w:rPr>
            </w:pPr>
          </w:p>
        </w:tc>
        <w:tc>
          <w:tcPr>
            <w:tcW w:w="660" w:type="dxa"/>
            <w:vAlign w:val="bottom"/>
          </w:tcPr>
          <w:p w14:paraId="7B9BE11C" w14:textId="77777777" w:rsidR="00D1587D" w:rsidRDefault="00D1587D">
            <w:pPr>
              <w:rPr>
                <w:sz w:val="12"/>
                <w:szCs w:val="12"/>
              </w:rPr>
            </w:pPr>
          </w:p>
        </w:tc>
        <w:tc>
          <w:tcPr>
            <w:tcW w:w="80" w:type="dxa"/>
            <w:vAlign w:val="bottom"/>
          </w:tcPr>
          <w:p w14:paraId="2617EB54" w14:textId="77777777" w:rsidR="00D1587D" w:rsidRDefault="00D1587D">
            <w:pPr>
              <w:rPr>
                <w:sz w:val="12"/>
                <w:szCs w:val="12"/>
              </w:rPr>
            </w:pPr>
          </w:p>
        </w:tc>
        <w:tc>
          <w:tcPr>
            <w:tcW w:w="600" w:type="dxa"/>
            <w:vAlign w:val="bottom"/>
          </w:tcPr>
          <w:p w14:paraId="7EABCE9A" w14:textId="77777777" w:rsidR="00D1587D" w:rsidRDefault="00D1587D">
            <w:pPr>
              <w:rPr>
                <w:sz w:val="12"/>
                <w:szCs w:val="12"/>
              </w:rPr>
            </w:pPr>
          </w:p>
        </w:tc>
        <w:tc>
          <w:tcPr>
            <w:tcW w:w="80" w:type="dxa"/>
            <w:vAlign w:val="bottom"/>
          </w:tcPr>
          <w:p w14:paraId="2021E907" w14:textId="77777777" w:rsidR="00D1587D" w:rsidRDefault="00D1587D">
            <w:pPr>
              <w:rPr>
                <w:sz w:val="12"/>
                <w:szCs w:val="12"/>
              </w:rPr>
            </w:pPr>
          </w:p>
        </w:tc>
        <w:tc>
          <w:tcPr>
            <w:tcW w:w="700" w:type="dxa"/>
            <w:gridSpan w:val="2"/>
            <w:vAlign w:val="bottom"/>
          </w:tcPr>
          <w:p w14:paraId="4FF5676A" w14:textId="77777777" w:rsidR="00D1587D" w:rsidRDefault="00410D07">
            <w:pPr>
              <w:spacing w:line="149" w:lineRule="exact"/>
              <w:ind w:right="120"/>
              <w:jc w:val="center"/>
              <w:rPr>
                <w:sz w:val="20"/>
                <w:szCs w:val="20"/>
              </w:rPr>
            </w:pPr>
            <w:r>
              <w:rPr>
                <w:rFonts w:ascii="Arial" w:eastAsia="Arial" w:hAnsi="Arial" w:cs="Arial"/>
                <w:b/>
                <w:bCs/>
                <w:w w:val="90"/>
                <w:sz w:val="14"/>
                <w:szCs w:val="14"/>
              </w:rPr>
              <w:t>Awards:</w:t>
            </w:r>
          </w:p>
        </w:tc>
        <w:tc>
          <w:tcPr>
            <w:tcW w:w="600" w:type="dxa"/>
            <w:vAlign w:val="bottom"/>
          </w:tcPr>
          <w:p w14:paraId="148D3E5A" w14:textId="77777777" w:rsidR="00D1587D" w:rsidRDefault="00410D07">
            <w:pPr>
              <w:spacing w:line="149" w:lineRule="exact"/>
              <w:jc w:val="center"/>
              <w:rPr>
                <w:sz w:val="20"/>
                <w:szCs w:val="20"/>
              </w:rPr>
            </w:pPr>
            <w:r>
              <w:rPr>
                <w:rFonts w:ascii="Arial" w:eastAsia="Arial" w:hAnsi="Arial" w:cs="Arial"/>
                <w:b/>
                <w:bCs/>
                <w:sz w:val="14"/>
                <w:szCs w:val="14"/>
              </w:rPr>
              <w:t>Market</w:t>
            </w:r>
          </w:p>
        </w:tc>
        <w:tc>
          <w:tcPr>
            <w:tcW w:w="0" w:type="dxa"/>
            <w:vAlign w:val="bottom"/>
          </w:tcPr>
          <w:p w14:paraId="099DCB4E" w14:textId="77777777" w:rsidR="00D1587D" w:rsidRDefault="00D1587D">
            <w:pPr>
              <w:rPr>
                <w:sz w:val="1"/>
                <w:szCs w:val="1"/>
              </w:rPr>
            </w:pPr>
          </w:p>
        </w:tc>
      </w:tr>
      <w:tr w:rsidR="00D1587D" w14:paraId="39768944" w14:textId="77777777">
        <w:trPr>
          <w:trHeight w:val="148"/>
        </w:trPr>
        <w:tc>
          <w:tcPr>
            <w:tcW w:w="880" w:type="dxa"/>
            <w:vAlign w:val="bottom"/>
          </w:tcPr>
          <w:p w14:paraId="128BB697" w14:textId="77777777" w:rsidR="00D1587D" w:rsidRDefault="00D1587D">
            <w:pPr>
              <w:rPr>
                <w:sz w:val="12"/>
                <w:szCs w:val="12"/>
              </w:rPr>
            </w:pPr>
          </w:p>
        </w:tc>
        <w:tc>
          <w:tcPr>
            <w:tcW w:w="40" w:type="dxa"/>
            <w:vAlign w:val="bottom"/>
          </w:tcPr>
          <w:p w14:paraId="14E883A5" w14:textId="77777777" w:rsidR="00D1587D" w:rsidRDefault="00D1587D">
            <w:pPr>
              <w:rPr>
                <w:sz w:val="12"/>
                <w:szCs w:val="12"/>
              </w:rPr>
            </w:pPr>
          </w:p>
        </w:tc>
        <w:tc>
          <w:tcPr>
            <w:tcW w:w="40" w:type="dxa"/>
            <w:vAlign w:val="bottom"/>
          </w:tcPr>
          <w:p w14:paraId="370EFAAD" w14:textId="77777777" w:rsidR="00D1587D" w:rsidRDefault="00D1587D">
            <w:pPr>
              <w:rPr>
                <w:sz w:val="12"/>
                <w:szCs w:val="12"/>
              </w:rPr>
            </w:pPr>
          </w:p>
        </w:tc>
        <w:tc>
          <w:tcPr>
            <w:tcW w:w="580" w:type="dxa"/>
            <w:vAlign w:val="bottom"/>
          </w:tcPr>
          <w:p w14:paraId="54B39F5B" w14:textId="77777777" w:rsidR="00D1587D" w:rsidRDefault="00D1587D">
            <w:pPr>
              <w:rPr>
                <w:sz w:val="12"/>
                <w:szCs w:val="12"/>
              </w:rPr>
            </w:pPr>
          </w:p>
        </w:tc>
        <w:tc>
          <w:tcPr>
            <w:tcW w:w="40" w:type="dxa"/>
            <w:vAlign w:val="bottom"/>
          </w:tcPr>
          <w:p w14:paraId="09F53E1A" w14:textId="77777777" w:rsidR="00D1587D" w:rsidRDefault="00D1587D">
            <w:pPr>
              <w:rPr>
                <w:sz w:val="12"/>
                <w:szCs w:val="12"/>
              </w:rPr>
            </w:pPr>
          </w:p>
        </w:tc>
        <w:tc>
          <w:tcPr>
            <w:tcW w:w="40" w:type="dxa"/>
            <w:vAlign w:val="bottom"/>
          </w:tcPr>
          <w:p w14:paraId="205C2F55" w14:textId="77777777" w:rsidR="00D1587D" w:rsidRDefault="00D1587D">
            <w:pPr>
              <w:rPr>
                <w:sz w:val="12"/>
                <w:szCs w:val="12"/>
              </w:rPr>
            </w:pPr>
          </w:p>
        </w:tc>
        <w:tc>
          <w:tcPr>
            <w:tcW w:w="760" w:type="dxa"/>
            <w:vAlign w:val="bottom"/>
          </w:tcPr>
          <w:p w14:paraId="0B909916" w14:textId="77777777" w:rsidR="00D1587D" w:rsidRDefault="00D1587D">
            <w:pPr>
              <w:rPr>
                <w:sz w:val="12"/>
                <w:szCs w:val="12"/>
              </w:rPr>
            </w:pPr>
          </w:p>
        </w:tc>
        <w:tc>
          <w:tcPr>
            <w:tcW w:w="40" w:type="dxa"/>
            <w:vAlign w:val="bottom"/>
          </w:tcPr>
          <w:p w14:paraId="454DA63A" w14:textId="77777777" w:rsidR="00D1587D" w:rsidRDefault="00D1587D">
            <w:pPr>
              <w:rPr>
                <w:sz w:val="12"/>
                <w:szCs w:val="12"/>
              </w:rPr>
            </w:pPr>
          </w:p>
        </w:tc>
        <w:tc>
          <w:tcPr>
            <w:tcW w:w="40" w:type="dxa"/>
            <w:vAlign w:val="bottom"/>
          </w:tcPr>
          <w:p w14:paraId="4EEED29D" w14:textId="77777777" w:rsidR="00D1587D" w:rsidRDefault="00D1587D">
            <w:pPr>
              <w:rPr>
                <w:sz w:val="12"/>
                <w:szCs w:val="12"/>
              </w:rPr>
            </w:pPr>
          </w:p>
        </w:tc>
        <w:tc>
          <w:tcPr>
            <w:tcW w:w="860" w:type="dxa"/>
            <w:vAlign w:val="bottom"/>
          </w:tcPr>
          <w:p w14:paraId="3B12BF2E" w14:textId="77777777" w:rsidR="00D1587D" w:rsidRDefault="00D1587D">
            <w:pPr>
              <w:rPr>
                <w:sz w:val="12"/>
                <w:szCs w:val="12"/>
              </w:rPr>
            </w:pPr>
          </w:p>
        </w:tc>
        <w:tc>
          <w:tcPr>
            <w:tcW w:w="40" w:type="dxa"/>
            <w:vAlign w:val="bottom"/>
          </w:tcPr>
          <w:p w14:paraId="593D2200" w14:textId="77777777" w:rsidR="00D1587D" w:rsidRDefault="00D1587D">
            <w:pPr>
              <w:rPr>
                <w:sz w:val="12"/>
                <w:szCs w:val="12"/>
              </w:rPr>
            </w:pPr>
          </w:p>
        </w:tc>
        <w:tc>
          <w:tcPr>
            <w:tcW w:w="40" w:type="dxa"/>
            <w:vAlign w:val="bottom"/>
          </w:tcPr>
          <w:p w14:paraId="194E2F1F" w14:textId="77777777" w:rsidR="00D1587D" w:rsidRDefault="00D1587D">
            <w:pPr>
              <w:rPr>
                <w:sz w:val="12"/>
                <w:szCs w:val="12"/>
              </w:rPr>
            </w:pPr>
          </w:p>
        </w:tc>
        <w:tc>
          <w:tcPr>
            <w:tcW w:w="800" w:type="dxa"/>
            <w:gridSpan w:val="2"/>
            <w:vMerge/>
            <w:vAlign w:val="bottom"/>
          </w:tcPr>
          <w:p w14:paraId="677278EC" w14:textId="77777777" w:rsidR="00D1587D" w:rsidRDefault="00D1587D">
            <w:pPr>
              <w:rPr>
                <w:sz w:val="12"/>
                <w:szCs w:val="12"/>
              </w:rPr>
            </w:pPr>
          </w:p>
        </w:tc>
        <w:tc>
          <w:tcPr>
            <w:tcW w:w="40" w:type="dxa"/>
            <w:vAlign w:val="bottom"/>
          </w:tcPr>
          <w:p w14:paraId="2D95EC92" w14:textId="77777777" w:rsidR="00D1587D" w:rsidRDefault="00D1587D">
            <w:pPr>
              <w:rPr>
                <w:sz w:val="12"/>
                <w:szCs w:val="12"/>
              </w:rPr>
            </w:pPr>
          </w:p>
        </w:tc>
        <w:tc>
          <w:tcPr>
            <w:tcW w:w="540" w:type="dxa"/>
            <w:vAlign w:val="bottom"/>
          </w:tcPr>
          <w:p w14:paraId="6BA17A06" w14:textId="77777777" w:rsidR="00D1587D" w:rsidRDefault="00D1587D">
            <w:pPr>
              <w:rPr>
                <w:sz w:val="12"/>
                <w:szCs w:val="12"/>
              </w:rPr>
            </w:pPr>
          </w:p>
        </w:tc>
        <w:tc>
          <w:tcPr>
            <w:tcW w:w="80" w:type="dxa"/>
            <w:vAlign w:val="bottom"/>
          </w:tcPr>
          <w:p w14:paraId="2CD321FB" w14:textId="77777777" w:rsidR="00D1587D" w:rsidRDefault="00D1587D">
            <w:pPr>
              <w:rPr>
                <w:sz w:val="12"/>
                <w:szCs w:val="12"/>
              </w:rPr>
            </w:pPr>
          </w:p>
        </w:tc>
        <w:tc>
          <w:tcPr>
            <w:tcW w:w="660" w:type="dxa"/>
            <w:vAlign w:val="bottom"/>
          </w:tcPr>
          <w:p w14:paraId="3ACB5FF1" w14:textId="77777777" w:rsidR="00D1587D" w:rsidRDefault="00D1587D">
            <w:pPr>
              <w:rPr>
                <w:sz w:val="12"/>
                <w:szCs w:val="12"/>
              </w:rPr>
            </w:pPr>
          </w:p>
        </w:tc>
        <w:tc>
          <w:tcPr>
            <w:tcW w:w="100" w:type="dxa"/>
            <w:vAlign w:val="bottom"/>
          </w:tcPr>
          <w:p w14:paraId="272C7E83" w14:textId="77777777" w:rsidR="00D1587D" w:rsidRDefault="00D1587D">
            <w:pPr>
              <w:rPr>
                <w:sz w:val="12"/>
                <w:szCs w:val="12"/>
              </w:rPr>
            </w:pPr>
          </w:p>
        </w:tc>
        <w:tc>
          <w:tcPr>
            <w:tcW w:w="660" w:type="dxa"/>
            <w:vAlign w:val="bottom"/>
          </w:tcPr>
          <w:p w14:paraId="70FE38E2" w14:textId="77777777" w:rsidR="00D1587D" w:rsidRDefault="00D1587D">
            <w:pPr>
              <w:rPr>
                <w:sz w:val="12"/>
                <w:szCs w:val="12"/>
              </w:rPr>
            </w:pPr>
          </w:p>
        </w:tc>
        <w:tc>
          <w:tcPr>
            <w:tcW w:w="80" w:type="dxa"/>
            <w:vAlign w:val="bottom"/>
          </w:tcPr>
          <w:p w14:paraId="63D93960" w14:textId="77777777" w:rsidR="00D1587D" w:rsidRDefault="00D1587D">
            <w:pPr>
              <w:rPr>
                <w:sz w:val="12"/>
                <w:szCs w:val="12"/>
              </w:rPr>
            </w:pPr>
          </w:p>
        </w:tc>
        <w:tc>
          <w:tcPr>
            <w:tcW w:w="660" w:type="dxa"/>
            <w:vAlign w:val="bottom"/>
          </w:tcPr>
          <w:p w14:paraId="1F7AFAB5" w14:textId="77777777" w:rsidR="00D1587D" w:rsidRDefault="00D1587D">
            <w:pPr>
              <w:rPr>
                <w:sz w:val="12"/>
                <w:szCs w:val="12"/>
              </w:rPr>
            </w:pPr>
          </w:p>
        </w:tc>
        <w:tc>
          <w:tcPr>
            <w:tcW w:w="80" w:type="dxa"/>
            <w:vAlign w:val="bottom"/>
          </w:tcPr>
          <w:p w14:paraId="4BF0BBA2" w14:textId="77777777" w:rsidR="00D1587D" w:rsidRDefault="00D1587D">
            <w:pPr>
              <w:rPr>
                <w:sz w:val="12"/>
                <w:szCs w:val="12"/>
              </w:rPr>
            </w:pPr>
          </w:p>
        </w:tc>
        <w:tc>
          <w:tcPr>
            <w:tcW w:w="600" w:type="dxa"/>
            <w:vAlign w:val="bottom"/>
          </w:tcPr>
          <w:p w14:paraId="6D5B136F" w14:textId="77777777" w:rsidR="00D1587D" w:rsidRDefault="00D1587D">
            <w:pPr>
              <w:rPr>
                <w:sz w:val="12"/>
                <w:szCs w:val="12"/>
              </w:rPr>
            </w:pPr>
          </w:p>
        </w:tc>
        <w:tc>
          <w:tcPr>
            <w:tcW w:w="80" w:type="dxa"/>
            <w:vAlign w:val="bottom"/>
          </w:tcPr>
          <w:p w14:paraId="5A058481" w14:textId="77777777" w:rsidR="00D1587D" w:rsidRDefault="00D1587D">
            <w:pPr>
              <w:rPr>
                <w:sz w:val="12"/>
                <w:szCs w:val="12"/>
              </w:rPr>
            </w:pPr>
          </w:p>
        </w:tc>
        <w:tc>
          <w:tcPr>
            <w:tcW w:w="700" w:type="dxa"/>
            <w:gridSpan w:val="2"/>
            <w:vAlign w:val="bottom"/>
          </w:tcPr>
          <w:p w14:paraId="20B93A62" w14:textId="77777777" w:rsidR="00D1587D" w:rsidRDefault="00410D07">
            <w:pPr>
              <w:spacing w:line="149" w:lineRule="exact"/>
              <w:ind w:right="120"/>
              <w:jc w:val="center"/>
              <w:rPr>
                <w:sz w:val="20"/>
                <w:szCs w:val="20"/>
              </w:rPr>
            </w:pPr>
            <w:r>
              <w:rPr>
                <w:rFonts w:ascii="Arial" w:eastAsia="Arial" w:hAnsi="Arial" w:cs="Arial"/>
                <w:b/>
                <w:bCs/>
                <w:w w:val="94"/>
                <w:sz w:val="14"/>
                <w:szCs w:val="14"/>
              </w:rPr>
              <w:t>Number</w:t>
            </w:r>
          </w:p>
        </w:tc>
        <w:tc>
          <w:tcPr>
            <w:tcW w:w="600" w:type="dxa"/>
            <w:vAlign w:val="bottom"/>
          </w:tcPr>
          <w:p w14:paraId="7D017C31" w14:textId="77777777" w:rsidR="00D1587D" w:rsidRDefault="00410D07">
            <w:pPr>
              <w:spacing w:line="149" w:lineRule="exact"/>
              <w:jc w:val="center"/>
              <w:rPr>
                <w:sz w:val="20"/>
                <w:szCs w:val="20"/>
              </w:rPr>
            </w:pPr>
            <w:r>
              <w:rPr>
                <w:rFonts w:ascii="Arial" w:eastAsia="Arial" w:hAnsi="Arial" w:cs="Arial"/>
                <w:b/>
                <w:bCs/>
                <w:w w:val="92"/>
                <w:sz w:val="14"/>
                <w:szCs w:val="14"/>
              </w:rPr>
              <w:t>or Payout</w:t>
            </w:r>
          </w:p>
        </w:tc>
        <w:tc>
          <w:tcPr>
            <w:tcW w:w="0" w:type="dxa"/>
            <w:vAlign w:val="bottom"/>
          </w:tcPr>
          <w:p w14:paraId="3D0665A7" w14:textId="77777777" w:rsidR="00D1587D" w:rsidRDefault="00D1587D">
            <w:pPr>
              <w:rPr>
                <w:sz w:val="1"/>
                <w:szCs w:val="1"/>
              </w:rPr>
            </w:pPr>
          </w:p>
        </w:tc>
      </w:tr>
      <w:tr w:rsidR="00D1587D" w14:paraId="0C74CA4D" w14:textId="77777777">
        <w:trPr>
          <w:trHeight w:val="148"/>
        </w:trPr>
        <w:tc>
          <w:tcPr>
            <w:tcW w:w="880" w:type="dxa"/>
            <w:vAlign w:val="bottom"/>
          </w:tcPr>
          <w:p w14:paraId="137CC821" w14:textId="77777777" w:rsidR="00D1587D" w:rsidRDefault="00D1587D">
            <w:pPr>
              <w:rPr>
                <w:sz w:val="12"/>
                <w:szCs w:val="12"/>
              </w:rPr>
            </w:pPr>
          </w:p>
        </w:tc>
        <w:tc>
          <w:tcPr>
            <w:tcW w:w="40" w:type="dxa"/>
            <w:vAlign w:val="bottom"/>
          </w:tcPr>
          <w:p w14:paraId="351645F9" w14:textId="77777777" w:rsidR="00D1587D" w:rsidRDefault="00D1587D">
            <w:pPr>
              <w:rPr>
                <w:sz w:val="12"/>
                <w:szCs w:val="12"/>
              </w:rPr>
            </w:pPr>
          </w:p>
        </w:tc>
        <w:tc>
          <w:tcPr>
            <w:tcW w:w="40" w:type="dxa"/>
            <w:vAlign w:val="bottom"/>
          </w:tcPr>
          <w:p w14:paraId="32872CD6" w14:textId="77777777" w:rsidR="00D1587D" w:rsidRDefault="00D1587D">
            <w:pPr>
              <w:rPr>
                <w:sz w:val="12"/>
                <w:szCs w:val="12"/>
              </w:rPr>
            </w:pPr>
          </w:p>
        </w:tc>
        <w:tc>
          <w:tcPr>
            <w:tcW w:w="580" w:type="dxa"/>
            <w:vAlign w:val="bottom"/>
          </w:tcPr>
          <w:p w14:paraId="06CFDD3F" w14:textId="77777777" w:rsidR="00D1587D" w:rsidRDefault="00D1587D">
            <w:pPr>
              <w:rPr>
                <w:sz w:val="12"/>
                <w:szCs w:val="12"/>
              </w:rPr>
            </w:pPr>
          </w:p>
        </w:tc>
        <w:tc>
          <w:tcPr>
            <w:tcW w:w="40" w:type="dxa"/>
            <w:vAlign w:val="bottom"/>
          </w:tcPr>
          <w:p w14:paraId="6F6762A5" w14:textId="77777777" w:rsidR="00D1587D" w:rsidRDefault="00D1587D">
            <w:pPr>
              <w:rPr>
                <w:sz w:val="12"/>
                <w:szCs w:val="12"/>
              </w:rPr>
            </w:pPr>
          </w:p>
        </w:tc>
        <w:tc>
          <w:tcPr>
            <w:tcW w:w="40" w:type="dxa"/>
            <w:vAlign w:val="bottom"/>
          </w:tcPr>
          <w:p w14:paraId="6C404CF3" w14:textId="77777777" w:rsidR="00D1587D" w:rsidRDefault="00D1587D">
            <w:pPr>
              <w:rPr>
                <w:sz w:val="12"/>
                <w:szCs w:val="12"/>
              </w:rPr>
            </w:pPr>
          </w:p>
        </w:tc>
        <w:tc>
          <w:tcPr>
            <w:tcW w:w="760" w:type="dxa"/>
            <w:vAlign w:val="bottom"/>
          </w:tcPr>
          <w:p w14:paraId="79D4ED9A" w14:textId="77777777" w:rsidR="00D1587D" w:rsidRDefault="00D1587D">
            <w:pPr>
              <w:rPr>
                <w:sz w:val="12"/>
                <w:szCs w:val="12"/>
              </w:rPr>
            </w:pPr>
          </w:p>
        </w:tc>
        <w:tc>
          <w:tcPr>
            <w:tcW w:w="40" w:type="dxa"/>
            <w:vAlign w:val="bottom"/>
          </w:tcPr>
          <w:p w14:paraId="78AC195D" w14:textId="77777777" w:rsidR="00D1587D" w:rsidRDefault="00D1587D">
            <w:pPr>
              <w:rPr>
                <w:sz w:val="12"/>
                <w:szCs w:val="12"/>
              </w:rPr>
            </w:pPr>
          </w:p>
        </w:tc>
        <w:tc>
          <w:tcPr>
            <w:tcW w:w="40" w:type="dxa"/>
            <w:vAlign w:val="bottom"/>
          </w:tcPr>
          <w:p w14:paraId="7D55FEB1" w14:textId="77777777" w:rsidR="00D1587D" w:rsidRDefault="00D1587D">
            <w:pPr>
              <w:rPr>
                <w:sz w:val="12"/>
                <w:szCs w:val="12"/>
              </w:rPr>
            </w:pPr>
          </w:p>
        </w:tc>
        <w:tc>
          <w:tcPr>
            <w:tcW w:w="860" w:type="dxa"/>
            <w:vAlign w:val="bottom"/>
          </w:tcPr>
          <w:p w14:paraId="6718BA85" w14:textId="77777777" w:rsidR="00D1587D" w:rsidRDefault="00D1587D">
            <w:pPr>
              <w:rPr>
                <w:sz w:val="12"/>
                <w:szCs w:val="12"/>
              </w:rPr>
            </w:pPr>
          </w:p>
        </w:tc>
        <w:tc>
          <w:tcPr>
            <w:tcW w:w="40" w:type="dxa"/>
            <w:vAlign w:val="bottom"/>
          </w:tcPr>
          <w:p w14:paraId="3AB861A6" w14:textId="77777777" w:rsidR="00D1587D" w:rsidRDefault="00D1587D">
            <w:pPr>
              <w:rPr>
                <w:sz w:val="12"/>
                <w:szCs w:val="12"/>
              </w:rPr>
            </w:pPr>
          </w:p>
        </w:tc>
        <w:tc>
          <w:tcPr>
            <w:tcW w:w="40" w:type="dxa"/>
            <w:vAlign w:val="bottom"/>
          </w:tcPr>
          <w:p w14:paraId="4E86F545" w14:textId="77777777" w:rsidR="00D1587D" w:rsidRDefault="00D1587D">
            <w:pPr>
              <w:rPr>
                <w:sz w:val="12"/>
                <w:szCs w:val="12"/>
              </w:rPr>
            </w:pPr>
          </w:p>
        </w:tc>
        <w:tc>
          <w:tcPr>
            <w:tcW w:w="800" w:type="dxa"/>
            <w:gridSpan w:val="2"/>
            <w:vAlign w:val="bottom"/>
          </w:tcPr>
          <w:p w14:paraId="2A7C3B59" w14:textId="77777777" w:rsidR="00D1587D" w:rsidRDefault="00410D07">
            <w:pPr>
              <w:spacing w:line="149" w:lineRule="exact"/>
              <w:ind w:right="60"/>
              <w:jc w:val="center"/>
              <w:rPr>
                <w:sz w:val="20"/>
                <w:szCs w:val="20"/>
              </w:rPr>
            </w:pPr>
            <w:r>
              <w:rPr>
                <w:rFonts w:ascii="Arial" w:eastAsia="Arial" w:hAnsi="Arial" w:cs="Arial"/>
                <w:b/>
                <w:bCs/>
                <w:w w:val="95"/>
                <w:sz w:val="14"/>
                <w:szCs w:val="14"/>
              </w:rPr>
              <w:t>Incentive</w:t>
            </w:r>
          </w:p>
        </w:tc>
        <w:tc>
          <w:tcPr>
            <w:tcW w:w="40" w:type="dxa"/>
            <w:vAlign w:val="bottom"/>
          </w:tcPr>
          <w:p w14:paraId="7AFD92A8" w14:textId="77777777" w:rsidR="00D1587D" w:rsidRDefault="00D1587D">
            <w:pPr>
              <w:rPr>
                <w:sz w:val="12"/>
                <w:szCs w:val="12"/>
              </w:rPr>
            </w:pPr>
          </w:p>
        </w:tc>
        <w:tc>
          <w:tcPr>
            <w:tcW w:w="540" w:type="dxa"/>
            <w:vAlign w:val="bottom"/>
          </w:tcPr>
          <w:p w14:paraId="6CF02240" w14:textId="77777777" w:rsidR="00D1587D" w:rsidRDefault="00D1587D">
            <w:pPr>
              <w:rPr>
                <w:sz w:val="12"/>
                <w:szCs w:val="12"/>
              </w:rPr>
            </w:pPr>
          </w:p>
        </w:tc>
        <w:tc>
          <w:tcPr>
            <w:tcW w:w="80" w:type="dxa"/>
            <w:vAlign w:val="bottom"/>
          </w:tcPr>
          <w:p w14:paraId="535EEEC1" w14:textId="77777777" w:rsidR="00D1587D" w:rsidRDefault="00D1587D">
            <w:pPr>
              <w:rPr>
                <w:sz w:val="12"/>
                <w:szCs w:val="12"/>
              </w:rPr>
            </w:pPr>
          </w:p>
        </w:tc>
        <w:tc>
          <w:tcPr>
            <w:tcW w:w="660" w:type="dxa"/>
            <w:vAlign w:val="bottom"/>
          </w:tcPr>
          <w:p w14:paraId="7BFA458A" w14:textId="77777777" w:rsidR="00D1587D" w:rsidRDefault="00D1587D">
            <w:pPr>
              <w:rPr>
                <w:sz w:val="12"/>
                <w:szCs w:val="12"/>
              </w:rPr>
            </w:pPr>
          </w:p>
        </w:tc>
        <w:tc>
          <w:tcPr>
            <w:tcW w:w="100" w:type="dxa"/>
            <w:vAlign w:val="bottom"/>
          </w:tcPr>
          <w:p w14:paraId="4B4AC0C2" w14:textId="77777777" w:rsidR="00D1587D" w:rsidRDefault="00D1587D">
            <w:pPr>
              <w:rPr>
                <w:sz w:val="12"/>
                <w:szCs w:val="12"/>
              </w:rPr>
            </w:pPr>
          </w:p>
        </w:tc>
        <w:tc>
          <w:tcPr>
            <w:tcW w:w="660" w:type="dxa"/>
            <w:vAlign w:val="bottom"/>
          </w:tcPr>
          <w:p w14:paraId="0DD1B59C" w14:textId="77777777" w:rsidR="00D1587D" w:rsidRDefault="00D1587D">
            <w:pPr>
              <w:rPr>
                <w:sz w:val="12"/>
                <w:szCs w:val="12"/>
              </w:rPr>
            </w:pPr>
          </w:p>
        </w:tc>
        <w:tc>
          <w:tcPr>
            <w:tcW w:w="80" w:type="dxa"/>
            <w:vAlign w:val="bottom"/>
          </w:tcPr>
          <w:p w14:paraId="4130E110" w14:textId="77777777" w:rsidR="00D1587D" w:rsidRDefault="00D1587D">
            <w:pPr>
              <w:rPr>
                <w:sz w:val="12"/>
                <w:szCs w:val="12"/>
              </w:rPr>
            </w:pPr>
          </w:p>
        </w:tc>
        <w:tc>
          <w:tcPr>
            <w:tcW w:w="660" w:type="dxa"/>
            <w:vAlign w:val="bottom"/>
          </w:tcPr>
          <w:p w14:paraId="0B36EFEB" w14:textId="77777777" w:rsidR="00D1587D" w:rsidRDefault="00D1587D">
            <w:pPr>
              <w:rPr>
                <w:sz w:val="12"/>
                <w:szCs w:val="12"/>
              </w:rPr>
            </w:pPr>
          </w:p>
        </w:tc>
        <w:tc>
          <w:tcPr>
            <w:tcW w:w="80" w:type="dxa"/>
            <w:vAlign w:val="bottom"/>
          </w:tcPr>
          <w:p w14:paraId="559EBA53" w14:textId="77777777" w:rsidR="00D1587D" w:rsidRDefault="00D1587D">
            <w:pPr>
              <w:rPr>
                <w:sz w:val="12"/>
                <w:szCs w:val="12"/>
              </w:rPr>
            </w:pPr>
          </w:p>
        </w:tc>
        <w:tc>
          <w:tcPr>
            <w:tcW w:w="680" w:type="dxa"/>
            <w:gridSpan w:val="2"/>
            <w:vMerge w:val="restart"/>
            <w:vAlign w:val="bottom"/>
          </w:tcPr>
          <w:p w14:paraId="455EE595" w14:textId="77777777" w:rsidR="00D1587D" w:rsidRDefault="00410D07">
            <w:pPr>
              <w:ind w:right="100"/>
              <w:jc w:val="center"/>
              <w:rPr>
                <w:sz w:val="20"/>
                <w:szCs w:val="20"/>
              </w:rPr>
            </w:pPr>
            <w:r>
              <w:rPr>
                <w:rFonts w:ascii="Arial" w:eastAsia="Arial" w:hAnsi="Arial" w:cs="Arial"/>
                <w:b/>
                <w:bCs/>
                <w:sz w:val="14"/>
                <w:szCs w:val="14"/>
              </w:rPr>
              <w:t>Market</w:t>
            </w:r>
          </w:p>
        </w:tc>
        <w:tc>
          <w:tcPr>
            <w:tcW w:w="700" w:type="dxa"/>
            <w:gridSpan w:val="2"/>
            <w:vAlign w:val="bottom"/>
          </w:tcPr>
          <w:p w14:paraId="649A6064" w14:textId="77777777" w:rsidR="00D1587D" w:rsidRDefault="00410D07">
            <w:pPr>
              <w:spacing w:line="149" w:lineRule="exact"/>
              <w:ind w:right="120"/>
              <w:jc w:val="center"/>
              <w:rPr>
                <w:sz w:val="20"/>
                <w:szCs w:val="20"/>
              </w:rPr>
            </w:pPr>
            <w:r>
              <w:rPr>
                <w:rFonts w:ascii="Arial" w:eastAsia="Arial" w:hAnsi="Arial" w:cs="Arial"/>
                <w:b/>
                <w:bCs/>
                <w:w w:val="75"/>
                <w:sz w:val="14"/>
                <w:szCs w:val="14"/>
              </w:rPr>
              <w:t>of</w:t>
            </w:r>
          </w:p>
        </w:tc>
        <w:tc>
          <w:tcPr>
            <w:tcW w:w="600" w:type="dxa"/>
            <w:vAlign w:val="bottom"/>
          </w:tcPr>
          <w:p w14:paraId="1170BF50" w14:textId="77777777" w:rsidR="00D1587D" w:rsidRDefault="00410D07">
            <w:pPr>
              <w:spacing w:line="149" w:lineRule="exact"/>
              <w:jc w:val="center"/>
              <w:rPr>
                <w:sz w:val="20"/>
                <w:szCs w:val="20"/>
              </w:rPr>
            </w:pPr>
            <w:r>
              <w:rPr>
                <w:rFonts w:ascii="Arial" w:eastAsia="Arial" w:hAnsi="Arial" w:cs="Arial"/>
                <w:b/>
                <w:bCs/>
                <w:w w:val="91"/>
                <w:sz w:val="14"/>
                <w:szCs w:val="14"/>
              </w:rPr>
              <w:t>Value of</w:t>
            </w:r>
          </w:p>
        </w:tc>
        <w:tc>
          <w:tcPr>
            <w:tcW w:w="0" w:type="dxa"/>
            <w:vAlign w:val="bottom"/>
          </w:tcPr>
          <w:p w14:paraId="2D681184" w14:textId="77777777" w:rsidR="00D1587D" w:rsidRDefault="00D1587D">
            <w:pPr>
              <w:rPr>
                <w:sz w:val="1"/>
                <w:szCs w:val="1"/>
              </w:rPr>
            </w:pPr>
          </w:p>
        </w:tc>
      </w:tr>
      <w:tr w:rsidR="00D1587D" w14:paraId="356F4F35" w14:textId="77777777">
        <w:trPr>
          <w:trHeight w:val="148"/>
        </w:trPr>
        <w:tc>
          <w:tcPr>
            <w:tcW w:w="880" w:type="dxa"/>
            <w:vAlign w:val="bottom"/>
          </w:tcPr>
          <w:p w14:paraId="77819B2D" w14:textId="77777777" w:rsidR="00D1587D" w:rsidRDefault="00D1587D">
            <w:pPr>
              <w:rPr>
                <w:sz w:val="12"/>
                <w:szCs w:val="12"/>
              </w:rPr>
            </w:pPr>
          </w:p>
        </w:tc>
        <w:tc>
          <w:tcPr>
            <w:tcW w:w="40" w:type="dxa"/>
            <w:vAlign w:val="bottom"/>
          </w:tcPr>
          <w:p w14:paraId="422AF7D2" w14:textId="77777777" w:rsidR="00D1587D" w:rsidRDefault="00D1587D">
            <w:pPr>
              <w:rPr>
                <w:sz w:val="12"/>
                <w:szCs w:val="12"/>
              </w:rPr>
            </w:pPr>
          </w:p>
        </w:tc>
        <w:tc>
          <w:tcPr>
            <w:tcW w:w="40" w:type="dxa"/>
            <w:vAlign w:val="bottom"/>
          </w:tcPr>
          <w:p w14:paraId="0572117A" w14:textId="77777777" w:rsidR="00D1587D" w:rsidRDefault="00D1587D">
            <w:pPr>
              <w:rPr>
                <w:sz w:val="12"/>
                <w:szCs w:val="12"/>
              </w:rPr>
            </w:pPr>
          </w:p>
        </w:tc>
        <w:tc>
          <w:tcPr>
            <w:tcW w:w="580" w:type="dxa"/>
            <w:vAlign w:val="bottom"/>
          </w:tcPr>
          <w:p w14:paraId="0415352A" w14:textId="77777777" w:rsidR="00D1587D" w:rsidRDefault="00D1587D">
            <w:pPr>
              <w:rPr>
                <w:sz w:val="12"/>
                <w:szCs w:val="12"/>
              </w:rPr>
            </w:pPr>
          </w:p>
        </w:tc>
        <w:tc>
          <w:tcPr>
            <w:tcW w:w="40" w:type="dxa"/>
            <w:vAlign w:val="bottom"/>
          </w:tcPr>
          <w:p w14:paraId="3CA53671" w14:textId="77777777" w:rsidR="00D1587D" w:rsidRDefault="00D1587D">
            <w:pPr>
              <w:rPr>
                <w:sz w:val="12"/>
                <w:szCs w:val="12"/>
              </w:rPr>
            </w:pPr>
          </w:p>
        </w:tc>
        <w:tc>
          <w:tcPr>
            <w:tcW w:w="40" w:type="dxa"/>
            <w:vAlign w:val="bottom"/>
          </w:tcPr>
          <w:p w14:paraId="29267102" w14:textId="77777777" w:rsidR="00D1587D" w:rsidRDefault="00D1587D">
            <w:pPr>
              <w:rPr>
                <w:sz w:val="12"/>
                <w:szCs w:val="12"/>
              </w:rPr>
            </w:pPr>
          </w:p>
        </w:tc>
        <w:tc>
          <w:tcPr>
            <w:tcW w:w="760" w:type="dxa"/>
            <w:vAlign w:val="bottom"/>
          </w:tcPr>
          <w:p w14:paraId="42CA190B" w14:textId="77777777" w:rsidR="00D1587D" w:rsidRDefault="00D1587D">
            <w:pPr>
              <w:rPr>
                <w:sz w:val="12"/>
                <w:szCs w:val="12"/>
              </w:rPr>
            </w:pPr>
          </w:p>
        </w:tc>
        <w:tc>
          <w:tcPr>
            <w:tcW w:w="40" w:type="dxa"/>
            <w:vAlign w:val="bottom"/>
          </w:tcPr>
          <w:p w14:paraId="5E2F8121" w14:textId="77777777" w:rsidR="00D1587D" w:rsidRDefault="00D1587D">
            <w:pPr>
              <w:rPr>
                <w:sz w:val="12"/>
                <w:szCs w:val="12"/>
              </w:rPr>
            </w:pPr>
          </w:p>
        </w:tc>
        <w:tc>
          <w:tcPr>
            <w:tcW w:w="40" w:type="dxa"/>
            <w:vAlign w:val="bottom"/>
          </w:tcPr>
          <w:p w14:paraId="5F79A96D" w14:textId="77777777" w:rsidR="00D1587D" w:rsidRDefault="00D1587D">
            <w:pPr>
              <w:rPr>
                <w:sz w:val="12"/>
                <w:szCs w:val="12"/>
              </w:rPr>
            </w:pPr>
          </w:p>
        </w:tc>
        <w:tc>
          <w:tcPr>
            <w:tcW w:w="860" w:type="dxa"/>
            <w:vAlign w:val="bottom"/>
          </w:tcPr>
          <w:p w14:paraId="59659DA7" w14:textId="77777777" w:rsidR="00D1587D" w:rsidRDefault="00D1587D">
            <w:pPr>
              <w:rPr>
                <w:sz w:val="12"/>
                <w:szCs w:val="12"/>
              </w:rPr>
            </w:pPr>
          </w:p>
        </w:tc>
        <w:tc>
          <w:tcPr>
            <w:tcW w:w="40" w:type="dxa"/>
            <w:vAlign w:val="bottom"/>
          </w:tcPr>
          <w:p w14:paraId="2A5DEE74" w14:textId="77777777" w:rsidR="00D1587D" w:rsidRDefault="00D1587D">
            <w:pPr>
              <w:rPr>
                <w:sz w:val="12"/>
                <w:szCs w:val="12"/>
              </w:rPr>
            </w:pPr>
          </w:p>
        </w:tc>
        <w:tc>
          <w:tcPr>
            <w:tcW w:w="40" w:type="dxa"/>
            <w:vAlign w:val="bottom"/>
          </w:tcPr>
          <w:p w14:paraId="7091A95C" w14:textId="77777777" w:rsidR="00D1587D" w:rsidRDefault="00D1587D">
            <w:pPr>
              <w:rPr>
                <w:sz w:val="12"/>
                <w:szCs w:val="12"/>
              </w:rPr>
            </w:pPr>
          </w:p>
        </w:tc>
        <w:tc>
          <w:tcPr>
            <w:tcW w:w="800" w:type="dxa"/>
            <w:gridSpan w:val="2"/>
            <w:vAlign w:val="bottom"/>
          </w:tcPr>
          <w:p w14:paraId="1F1B2ABB" w14:textId="77777777" w:rsidR="00D1587D" w:rsidRDefault="00410D07">
            <w:pPr>
              <w:spacing w:line="149" w:lineRule="exact"/>
              <w:ind w:right="40"/>
              <w:jc w:val="center"/>
              <w:rPr>
                <w:sz w:val="20"/>
                <w:szCs w:val="20"/>
              </w:rPr>
            </w:pPr>
            <w:r>
              <w:rPr>
                <w:rFonts w:ascii="Arial" w:eastAsia="Arial" w:hAnsi="Arial" w:cs="Arial"/>
                <w:b/>
                <w:bCs/>
                <w:w w:val="94"/>
                <w:sz w:val="14"/>
                <w:szCs w:val="14"/>
              </w:rPr>
              <w:t>Plan</w:t>
            </w:r>
          </w:p>
        </w:tc>
        <w:tc>
          <w:tcPr>
            <w:tcW w:w="40" w:type="dxa"/>
            <w:vAlign w:val="bottom"/>
          </w:tcPr>
          <w:p w14:paraId="70430898" w14:textId="77777777" w:rsidR="00D1587D" w:rsidRDefault="00D1587D">
            <w:pPr>
              <w:rPr>
                <w:sz w:val="12"/>
                <w:szCs w:val="12"/>
              </w:rPr>
            </w:pPr>
          </w:p>
        </w:tc>
        <w:tc>
          <w:tcPr>
            <w:tcW w:w="540" w:type="dxa"/>
            <w:vAlign w:val="bottom"/>
          </w:tcPr>
          <w:p w14:paraId="56ADA60E" w14:textId="77777777" w:rsidR="00D1587D" w:rsidRDefault="00D1587D">
            <w:pPr>
              <w:rPr>
                <w:sz w:val="12"/>
                <w:szCs w:val="12"/>
              </w:rPr>
            </w:pPr>
          </w:p>
        </w:tc>
        <w:tc>
          <w:tcPr>
            <w:tcW w:w="80" w:type="dxa"/>
            <w:vAlign w:val="bottom"/>
          </w:tcPr>
          <w:p w14:paraId="5EC84438" w14:textId="77777777" w:rsidR="00D1587D" w:rsidRDefault="00D1587D">
            <w:pPr>
              <w:rPr>
                <w:sz w:val="12"/>
                <w:szCs w:val="12"/>
              </w:rPr>
            </w:pPr>
          </w:p>
        </w:tc>
        <w:tc>
          <w:tcPr>
            <w:tcW w:w="660" w:type="dxa"/>
            <w:vAlign w:val="bottom"/>
          </w:tcPr>
          <w:p w14:paraId="43EE1014" w14:textId="77777777" w:rsidR="00D1587D" w:rsidRDefault="00D1587D">
            <w:pPr>
              <w:rPr>
                <w:sz w:val="12"/>
                <w:szCs w:val="12"/>
              </w:rPr>
            </w:pPr>
          </w:p>
        </w:tc>
        <w:tc>
          <w:tcPr>
            <w:tcW w:w="100" w:type="dxa"/>
            <w:vAlign w:val="bottom"/>
          </w:tcPr>
          <w:p w14:paraId="1EEBB326" w14:textId="77777777" w:rsidR="00D1587D" w:rsidRDefault="00D1587D">
            <w:pPr>
              <w:rPr>
                <w:sz w:val="12"/>
                <w:szCs w:val="12"/>
              </w:rPr>
            </w:pPr>
          </w:p>
        </w:tc>
        <w:tc>
          <w:tcPr>
            <w:tcW w:w="660" w:type="dxa"/>
            <w:vAlign w:val="bottom"/>
          </w:tcPr>
          <w:p w14:paraId="53447126" w14:textId="77777777" w:rsidR="00D1587D" w:rsidRDefault="00D1587D">
            <w:pPr>
              <w:rPr>
                <w:sz w:val="12"/>
                <w:szCs w:val="12"/>
              </w:rPr>
            </w:pPr>
          </w:p>
        </w:tc>
        <w:tc>
          <w:tcPr>
            <w:tcW w:w="80" w:type="dxa"/>
            <w:vAlign w:val="bottom"/>
          </w:tcPr>
          <w:p w14:paraId="03B5AF6D" w14:textId="77777777" w:rsidR="00D1587D" w:rsidRDefault="00D1587D">
            <w:pPr>
              <w:rPr>
                <w:sz w:val="12"/>
                <w:szCs w:val="12"/>
              </w:rPr>
            </w:pPr>
          </w:p>
        </w:tc>
        <w:tc>
          <w:tcPr>
            <w:tcW w:w="740" w:type="dxa"/>
            <w:gridSpan w:val="2"/>
            <w:vMerge w:val="restart"/>
            <w:vAlign w:val="bottom"/>
          </w:tcPr>
          <w:p w14:paraId="6C179C4C" w14:textId="77777777" w:rsidR="00D1587D" w:rsidRDefault="00410D07">
            <w:pPr>
              <w:ind w:right="80"/>
              <w:jc w:val="right"/>
              <w:rPr>
                <w:sz w:val="20"/>
                <w:szCs w:val="20"/>
              </w:rPr>
            </w:pPr>
            <w:r>
              <w:rPr>
                <w:rFonts w:ascii="Arial" w:eastAsia="Arial" w:hAnsi="Arial" w:cs="Arial"/>
                <w:b/>
                <w:bCs/>
                <w:w w:val="91"/>
                <w:sz w:val="14"/>
                <w:szCs w:val="14"/>
              </w:rPr>
              <w:t>Number of</w:t>
            </w:r>
          </w:p>
        </w:tc>
        <w:tc>
          <w:tcPr>
            <w:tcW w:w="680" w:type="dxa"/>
            <w:gridSpan w:val="2"/>
            <w:vMerge/>
            <w:vAlign w:val="bottom"/>
          </w:tcPr>
          <w:p w14:paraId="60D3F62F" w14:textId="77777777" w:rsidR="00D1587D" w:rsidRDefault="00D1587D">
            <w:pPr>
              <w:rPr>
                <w:sz w:val="12"/>
                <w:szCs w:val="12"/>
              </w:rPr>
            </w:pPr>
          </w:p>
        </w:tc>
        <w:tc>
          <w:tcPr>
            <w:tcW w:w="1300" w:type="dxa"/>
            <w:gridSpan w:val="3"/>
            <w:vAlign w:val="bottom"/>
          </w:tcPr>
          <w:p w14:paraId="3E985C8A" w14:textId="77777777" w:rsidR="00D1587D" w:rsidRDefault="00410D07">
            <w:pPr>
              <w:spacing w:line="149" w:lineRule="exact"/>
              <w:jc w:val="right"/>
              <w:rPr>
                <w:sz w:val="20"/>
                <w:szCs w:val="20"/>
              </w:rPr>
            </w:pPr>
            <w:r>
              <w:rPr>
                <w:rFonts w:ascii="Arial" w:eastAsia="Arial" w:hAnsi="Arial" w:cs="Arial"/>
                <w:b/>
                <w:bCs/>
                <w:w w:val="96"/>
                <w:sz w:val="14"/>
                <w:szCs w:val="14"/>
              </w:rPr>
              <w:t>Unearned Unearned</w:t>
            </w:r>
          </w:p>
        </w:tc>
        <w:tc>
          <w:tcPr>
            <w:tcW w:w="0" w:type="dxa"/>
            <w:vAlign w:val="bottom"/>
          </w:tcPr>
          <w:p w14:paraId="7622F072" w14:textId="77777777" w:rsidR="00D1587D" w:rsidRDefault="00D1587D">
            <w:pPr>
              <w:rPr>
                <w:sz w:val="1"/>
                <w:szCs w:val="1"/>
              </w:rPr>
            </w:pPr>
          </w:p>
        </w:tc>
      </w:tr>
      <w:tr w:rsidR="00D1587D" w14:paraId="4B5BA2A2" w14:textId="77777777">
        <w:trPr>
          <w:trHeight w:val="149"/>
        </w:trPr>
        <w:tc>
          <w:tcPr>
            <w:tcW w:w="880" w:type="dxa"/>
            <w:vAlign w:val="bottom"/>
          </w:tcPr>
          <w:p w14:paraId="0A3E7F98" w14:textId="77777777" w:rsidR="00D1587D" w:rsidRDefault="00D1587D">
            <w:pPr>
              <w:rPr>
                <w:sz w:val="12"/>
                <w:szCs w:val="12"/>
              </w:rPr>
            </w:pPr>
          </w:p>
        </w:tc>
        <w:tc>
          <w:tcPr>
            <w:tcW w:w="40" w:type="dxa"/>
            <w:vAlign w:val="bottom"/>
          </w:tcPr>
          <w:p w14:paraId="1AB1ADCF" w14:textId="77777777" w:rsidR="00D1587D" w:rsidRDefault="00D1587D">
            <w:pPr>
              <w:rPr>
                <w:sz w:val="12"/>
                <w:szCs w:val="12"/>
              </w:rPr>
            </w:pPr>
          </w:p>
        </w:tc>
        <w:tc>
          <w:tcPr>
            <w:tcW w:w="40" w:type="dxa"/>
            <w:vAlign w:val="bottom"/>
          </w:tcPr>
          <w:p w14:paraId="2D658B88" w14:textId="77777777" w:rsidR="00D1587D" w:rsidRDefault="00D1587D">
            <w:pPr>
              <w:rPr>
                <w:sz w:val="12"/>
                <w:szCs w:val="12"/>
              </w:rPr>
            </w:pPr>
          </w:p>
        </w:tc>
        <w:tc>
          <w:tcPr>
            <w:tcW w:w="580" w:type="dxa"/>
            <w:vAlign w:val="bottom"/>
          </w:tcPr>
          <w:p w14:paraId="2BA6B620" w14:textId="77777777" w:rsidR="00D1587D" w:rsidRDefault="00D1587D">
            <w:pPr>
              <w:rPr>
                <w:sz w:val="12"/>
                <w:szCs w:val="12"/>
              </w:rPr>
            </w:pPr>
          </w:p>
        </w:tc>
        <w:tc>
          <w:tcPr>
            <w:tcW w:w="40" w:type="dxa"/>
            <w:vAlign w:val="bottom"/>
          </w:tcPr>
          <w:p w14:paraId="35A5BBAC" w14:textId="77777777" w:rsidR="00D1587D" w:rsidRDefault="00D1587D">
            <w:pPr>
              <w:rPr>
                <w:sz w:val="12"/>
                <w:szCs w:val="12"/>
              </w:rPr>
            </w:pPr>
          </w:p>
        </w:tc>
        <w:tc>
          <w:tcPr>
            <w:tcW w:w="40" w:type="dxa"/>
            <w:vAlign w:val="bottom"/>
          </w:tcPr>
          <w:p w14:paraId="321D8B5A" w14:textId="77777777" w:rsidR="00D1587D" w:rsidRDefault="00D1587D">
            <w:pPr>
              <w:rPr>
                <w:sz w:val="12"/>
                <w:szCs w:val="12"/>
              </w:rPr>
            </w:pPr>
          </w:p>
        </w:tc>
        <w:tc>
          <w:tcPr>
            <w:tcW w:w="800" w:type="dxa"/>
            <w:gridSpan w:val="2"/>
            <w:vMerge w:val="restart"/>
            <w:vAlign w:val="bottom"/>
          </w:tcPr>
          <w:p w14:paraId="3277DBAE" w14:textId="77777777" w:rsidR="00D1587D" w:rsidRDefault="00410D07">
            <w:pPr>
              <w:ind w:right="60"/>
              <w:jc w:val="center"/>
              <w:rPr>
                <w:sz w:val="20"/>
                <w:szCs w:val="20"/>
              </w:rPr>
            </w:pPr>
            <w:r>
              <w:rPr>
                <w:rFonts w:ascii="Arial" w:eastAsia="Arial" w:hAnsi="Arial" w:cs="Arial"/>
                <w:b/>
                <w:bCs/>
                <w:w w:val="94"/>
                <w:sz w:val="14"/>
                <w:szCs w:val="14"/>
              </w:rPr>
              <w:t>Number of</w:t>
            </w:r>
          </w:p>
        </w:tc>
        <w:tc>
          <w:tcPr>
            <w:tcW w:w="40" w:type="dxa"/>
            <w:vAlign w:val="bottom"/>
          </w:tcPr>
          <w:p w14:paraId="3B336FD6" w14:textId="77777777" w:rsidR="00D1587D" w:rsidRDefault="00D1587D">
            <w:pPr>
              <w:rPr>
                <w:sz w:val="12"/>
                <w:szCs w:val="12"/>
              </w:rPr>
            </w:pPr>
          </w:p>
        </w:tc>
        <w:tc>
          <w:tcPr>
            <w:tcW w:w="900" w:type="dxa"/>
            <w:gridSpan w:val="2"/>
            <w:vMerge w:val="restart"/>
            <w:vAlign w:val="bottom"/>
          </w:tcPr>
          <w:p w14:paraId="3F56457A" w14:textId="77777777" w:rsidR="00D1587D" w:rsidRDefault="00410D07">
            <w:pPr>
              <w:ind w:right="60"/>
              <w:jc w:val="center"/>
              <w:rPr>
                <w:sz w:val="20"/>
                <w:szCs w:val="20"/>
              </w:rPr>
            </w:pPr>
            <w:r>
              <w:rPr>
                <w:rFonts w:ascii="Arial" w:eastAsia="Arial" w:hAnsi="Arial" w:cs="Arial"/>
                <w:b/>
                <w:bCs/>
                <w:w w:val="97"/>
                <w:sz w:val="14"/>
                <w:szCs w:val="14"/>
              </w:rPr>
              <w:t>Number of</w:t>
            </w:r>
          </w:p>
        </w:tc>
        <w:tc>
          <w:tcPr>
            <w:tcW w:w="40" w:type="dxa"/>
            <w:vAlign w:val="bottom"/>
          </w:tcPr>
          <w:p w14:paraId="6BB41FE7" w14:textId="77777777" w:rsidR="00D1587D" w:rsidRDefault="00D1587D">
            <w:pPr>
              <w:rPr>
                <w:sz w:val="12"/>
                <w:szCs w:val="12"/>
              </w:rPr>
            </w:pPr>
          </w:p>
        </w:tc>
        <w:tc>
          <w:tcPr>
            <w:tcW w:w="800" w:type="dxa"/>
            <w:gridSpan w:val="2"/>
            <w:vAlign w:val="bottom"/>
          </w:tcPr>
          <w:p w14:paraId="7838BECD" w14:textId="77777777" w:rsidR="00D1587D" w:rsidRDefault="00410D07">
            <w:pPr>
              <w:spacing w:line="149" w:lineRule="exact"/>
              <w:ind w:right="60"/>
              <w:jc w:val="center"/>
              <w:rPr>
                <w:sz w:val="20"/>
                <w:szCs w:val="20"/>
              </w:rPr>
            </w:pPr>
            <w:r>
              <w:rPr>
                <w:rFonts w:ascii="Arial" w:eastAsia="Arial" w:hAnsi="Arial" w:cs="Arial"/>
                <w:b/>
                <w:bCs/>
                <w:w w:val="90"/>
                <w:sz w:val="14"/>
                <w:szCs w:val="14"/>
              </w:rPr>
              <w:t>Awards:</w:t>
            </w:r>
          </w:p>
        </w:tc>
        <w:tc>
          <w:tcPr>
            <w:tcW w:w="40" w:type="dxa"/>
            <w:vAlign w:val="bottom"/>
          </w:tcPr>
          <w:p w14:paraId="33FCAF3E" w14:textId="77777777" w:rsidR="00D1587D" w:rsidRDefault="00D1587D">
            <w:pPr>
              <w:rPr>
                <w:sz w:val="12"/>
                <w:szCs w:val="12"/>
              </w:rPr>
            </w:pPr>
          </w:p>
        </w:tc>
        <w:tc>
          <w:tcPr>
            <w:tcW w:w="540" w:type="dxa"/>
            <w:vAlign w:val="bottom"/>
          </w:tcPr>
          <w:p w14:paraId="7FDB9F3B" w14:textId="77777777" w:rsidR="00D1587D" w:rsidRDefault="00D1587D">
            <w:pPr>
              <w:rPr>
                <w:sz w:val="12"/>
                <w:szCs w:val="12"/>
              </w:rPr>
            </w:pPr>
          </w:p>
        </w:tc>
        <w:tc>
          <w:tcPr>
            <w:tcW w:w="80" w:type="dxa"/>
            <w:vAlign w:val="bottom"/>
          </w:tcPr>
          <w:p w14:paraId="2778A61A" w14:textId="77777777" w:rsidR="00D1587D" w:rsidRDefault="00D1587D">
            <w:pPr>
              <w:rPr>
                <w:sz w:val="12"/>
                <w:szCs w:val="12"/>
              </w:rPr>
            </w:pPr>
          </w:p>
        </w:tc>
        <w:tc>
          <w:tcPr>
            <w:tcW w:w="660" w:type="dxa"/>
            <w:vAlign w:val="bottom"/>
          </w:tcPr>
          <w:p w14:paraId="5A88FD19" w14:textId="77777777" w:rsidR="00D1587D" w:rsidRDefault="00D1587D">
            <w:pPr>
              <w:rPr>
                <w:sz w:val="12"/>
                <w:szCs w:val="12"/>
              </w:rPr>
            </w:pPr>
          </w:p>
        </w:tc>
        <w:tc>
          <w:tcPr>
            <w:tcW w:w="100" w:type="dxa"/>
            <w:vAlign w:val="bottom"/>
          </w:tcPr>
          <w:p w14:paraId="54629720" w14:textId="77777777" w:rsidR="00D1587D" w:rsidRDefault="00D1587D">
            <w:pPr>
              <w:rPr>
                <w:sz w:val="12"/>
                <w:szCs w:val="12"/>
              </w:rPr>
            </w:pPr>
          </w:p>
        </w:tc>
        <w:tc>
          <w:tcPr>
            <w:tcW w:w="660" w:type="dxa"/>
            <w:vAlign w:val="bottom"/>
          </w:tcPr>
          <w:p w14:paraId="654C87CE" w14:textId="77777777" w:rsidR="00D1587D" w:rsidRDefault="00D1587D">
            <w:pPr>
              <w:rPr>
                <w:sz w:val="12"/>
                <w:szCs w:val="12"/>
              </w:rPr>
            </w:pPr>
          </w:p>
        </w:tc>
        <w:tc>
          <w:tcPr>
            <w:tcW w:w="80" w:type="dxa"/>
            <w:vAlign w:val="bottom"/>
          </w:tcPr>
          <w:p w14:paraId="4402DA3A" w14:textId="77777777" w:rsidR="00D1587D" w:rsidRDefault="00D1587D">
            <w:pPr>
              <w:rPr>
                <w:sz w:val="12"/>
                <w:szCs w:val="12"/>
              </w:rPr>
            </w:pPr>
          </w:p>
        </w:tc>
        <w:tc>
          <w:tcPr>
            <w:tcW w:w="740" w:type="dxa"/>
            <w:gridSpan w:val="2"/>
            <w:vMerge/>
            <w:vAlign w:val="bottom"/>
          </w:tcPr>
          <w:p w14:paraId="3C7ACE98" w14:textId="77777777" w:rsidR="00D1587D" w:rsidRDefault="00D1587D">
            <w:pPr>
              <w:rPr>
                <w:sz w:val="12"/>
                <w:szCs w:val="12"/>
              </w:rPr>
            </w:pPr>
          </w:p>
        </w:tc>
        <w:tc>
          <w:tcPr>
            <w:tcW w:w="680" w:type="dxa"/>
            <w:gridSpan w:val="2"/>
            <w:vAlign w:val="bottom"/>
          </w:tcPr>
          <w:p w14:paraId="4E5469CB" w14:textId="77777777" w:rsidR="00D1587D" w:rsidRDefault="00410D07">
            <w:pPr>
              <w:spacing w:line="149" w:lineRule="exact"/>
              <w:ind w:right="100"/>
              <w:jc w:val="center"/>
              <w:rPr>
                <w:sz w:val="20"/>
                <w:szCs w:val="20"/>
              </w:rPr>
            </w:pPr>
            <w:r>
              <w:rPr>
                <w:rFonts w:ascii="Arial" w:eastAsia="Arial" w:hAnsi="Arial" w:cs="Arial"/>
                <w:b/>
                <w:bCs/>
                <w:w w:val="91"/>
                <w:sz w:val="14"/>
                <w:szCs w:val="14"/>
              </w:rPr>
              <w:t>Value of</w:t>
            </w:r>
          </w:p>
        </w:tc>
        <w:tc>
          <w:tcPr>
            <w:tcW w:w="700" w:type="dxa"/>
            <w:gridSpan w:val="2"/>
            <w:vAlign w:val="bottom"/>
          </w:tcPr>
          <w:p w14:paraId="176B8304" w14:textId="77777777" w:rsidR="00D1587D" w:rsidRDefault="00410D07">
            <w:pPr>
              <w:spacing w:line="149" w:lineRule="exact"/>
              <w:ind w:right="120"/>
              <w:jc w:val="center"/>
              <w:rPr>
                <w:sz w:val="20"/>
                <w:szCs w:val="20"/>
              </w:rPr>
            </w:pPr>
            <w:r>
              <w:rPr>
                <w:rFonts w:ascii="Arial" w:eastAsia="Arial" w:hAnsi="Arial" w:cs="Arial"/>
                <w:b/>
                <w:bCs/>
                <w:w w:val="90"/>
                <w:sz w:val="14"/>
                <w:szCs w:val="14"/>
              </w:rPr>
              <w:t>Shares,</w:t>
            </w:r>
          </w:p>
        </w:tc>
        <w:tc>
          <w:tcPr>
            <w:tcW w:w="600" w:type="dxa"/>
            <w:vAlign w:val="bottom"/>
          </w:tcPr>
          <w:p w14:paraId="128DE402" w14:textId="77777777" w:rsidR="00D1587D" w:rsidRDefault="00410D07">
            <w:pPr>
              <w:spacing w:line="149" w:lineRule="exact"/>
              <w:jc w:val="center"/>
              <w:rPr>
                <w:sz w:val="20"/>
                <w:szCs w:val="20"/>
              </w:rPr>
            </w:pPr>
            <w:r>
              <w:rPr>
                <w:rFonts w:ascii="Arial" w:eastAsia="Arial" w:hAnsi="Arial" w:cs="Arial"/>
                <w:b/>
                <w:bCs/>
                <w:w w:val="86"/>
                <w:sz w:val="14"/>
                <w:szCs w:val="14"/>
              </w:rPr>
              <w:t>Shares,</w:t>
            </w:r>
          </w:p>
        </w:tc>
        <w:tc>
          <w:tcPr>
            <w:tcW w:w="0" w:type="dxa"/>
            <w:vAlign w:val="bottom"/>
          </w:tcPr>
          <w:p w14:paraId="6870D300" w14:textId="77777777" w:rsidR="00D1587D" w:rsidRDefault="00D1587D">
            <w:pPr>
              <w:rPr>
                <w:sz w:val="1"/>
                <w:szCs w:val="1"/>
              </w:rPr>
            </w:pPr>
          </w:p>
        </w:tc>
      </w:tr>
      <w:tr w:rsidR="00D1587D" w14:paraId="3AB435E7" w14:textId="77777777">
        <w:trPr>
          <w:trHeight w:val="148"/>
        </w:trPr>
        <w:tc>
          <w:tcPr>
            <w:tcW w:w="880" w:type="dxa"/>
            <w:vAlign w:val="bottom"/>
          </w:tcPr>
          <w:p w14:paraId="157AEF74" w14:textId="77777777" w:rsidR="00D1587D" w:rsidRDefault="00D1587D">
            <w:pPr>
              <w:rPr>
                <w:sz w:val="12"/>
                <w:szCs w:val="12"/>
              </w:rPr>
            </w:pPr>
          </w:p>
        </w:tc>
        <w:tc>
          <w:tcPr>
            <w:tcW w:w="40" w:type="dxa"/>
            <w:vAlign w:val="bottom"/>
          </w:tcPr>
          <w:p w14:paraId="2840FD60" w14:textId="77777777" w:rsidR="00D1587D" w:rsidRDefault="00D1587D">
            <w:pPr>
              <w:rPr>
                <w:sz w:val="12"/>
                <w:szCs w:val="12"/>
              </w:rPr>
            </w:pPr>
          </w:p>
        </w:tc>
        <w:tc>
          <w:tcPr>
            <w:tcW w:w="40" w:type="dxa"/>
            <w:vAlign w:val="bottom"/>
          </w:tcPr>
          <w:p w14:paraId="6045033F" w14:textId="77777777" w:rsidR="00D1587D" w:rsidRDefault="00D1587D">
            <w:pPr>
              <w:rPr>
                <w:sz w:val="12"/>
                <w:szCs w:val="12"/>
              </w:rPr>
            </w:pPr>
          </w:p>
        </w:tc>
        <w:tc>
          <w:tcPr>
            <w:tcW w:w="580" w:type="dxa"/>
            <w:vAlign w:val="bottom"/>
          </w:tcPr>
          <w:p w14:paraId="529A6AA4" w14:textId="77777777" w:rsidR="00D1587D" w:rsidRDefault="00D1587D">
            <w:pPr>
              <w:rPr>
                <w:sz w:val="12"/>
                <w:szCs w:val="12"/>
              </w:rPr>
            </w:pPr>
          </w:p>
        </w:tc>
        <w:tc>
          <w:tcPr>
            <w:tcW w:w="40" w:type="dxa"/>
            <w:vAlign w:val="bottom"/>
          </w:tcPr>
          <w:p w14:paraId="08F9FEDB" w14:textId="77777777" w:rsidR="00D1587D" w:rsidRDefault="00D1587D">
            <w:pPr>
              <w:rPr>
                <w:sz w:val="12"/>
                <w:szCs w:val="12"/>
              </w:rPr>
            </w:pPr>
          </w:p>
        </w:tc>
        <w:tc>
          <w:tcPr>
            <w:tcW w:w="40" w:type="dxa"/>
            <w:vAlign w:val="bottom"/>
          </w:tcPr>
          <w:p w14:paraId="79B2D2E6" w14:textId="77777777" w:rsidR="00D1587D" w:rsidRDefault="00D1587D">
            <w:pPr>
              <w:rPr>
                <w:sz w:val="12"/>
                <w:szCs w:val="12"/>
              </w:rPr>
            </w:pPr>
          </w:p>
        </w:tc>
        <w:tc>
          <w:tcPr>
            <w:tcW w:w="800" w:type="dxa"/>
            <w:gridSpan w:val="2"/>
            <w:vMerge/>
            <w:vAlign w:val="bottom"/>
          </w:tcPr>
          <w:p w14:paraId="5C51BC5C" w14:textId="77777777" w:rsidR="00D1587D" w:rsidRDefault="00D1587D">
            <w:pPr>
              <w:rPr>
                <w:sz w:val="12"/>
                <w:szCs w:val="12"/>
              </w:rPr>
            </w:pPr>
          </w:p>
        </w:tc>
        <w:tc>
          <w:tcPr>
            <w:tcW w:w="40" w:type="dxa"/>
            <w:vAlign w:val="bottom"/>
          </w:tcPr>
          <w:p w14:paraId="46B40A89" w14:textId="77777777" w:rsidR="00D1587D" w:rsidRDefault="00D1587D">
            <w:pPr>
              <w:rPr>
                <w:sz w:val="12"/>
                <w:szCs w:val="12"/>
              </w:rPr>
            </w:pPr>
          </w:p>
        </w:tc>
        <w:tc>
          <w:tcPr>
            <w:tcW w:w="900" w:type="dxa"/>
            <w:gridSpan w:val="2"/>
            <w:vMerge/>
            <w:vAlign w:val="bottom"/>
          </w:tcPr>
          <w:p w14:paraId="0404FFF1" w14:textId="77777777" w:rsidR="00D1587D" w:rsidRDefault="00D1587D">
            <w:pPr>
              <w:rPr>
                <w:sz w:val="12"/>
                <w:szCs w:val="12"/>
              </w:rPr>
            </w:pPr>
          </w:p>
        </w:tc>
        <w:tc>
          <w:tcPr>
            <w:tcW w:w="40" w:type="dxa"/>
            <w:vAlign w:val="bottom"/>
          </w:tcPr>
          <w:p w14:paraId="4EDB6FAE" w14:textId="77777777" w:rsidR="00D1587D" w:rsidRDefault="00D1587D">
            <w:pPr>
              <w:rPr>
                <w:sz w:val="12"/>
                <w:szCs w:val="12"/>
              </w:rPr>
            </w:pPr>
          </w:p>
        </w:tc>
        <w:tc>
          <w:tcPr>
            <w:tcW w:w="800" w:type="dxa"/>
            <w:gridSpan w:val="2"/>
            <w:vAlign w:val="bottom"/>
          </w:tcPr>
          <w:p w14:paraId="535849B7" w14:textId="77777777" w:rsidR="00D1587D" w:rsidRDefault="00410D07">
            <w:pPr>
              <w:spacing w:line="149" w:lineRule="exact"/>
              <w:ind w:right="60"/>
              <w:jc w:val="center"/>
              <w:rPr>
                <w:sz w:val="20"/>
                <w:szCs w:val="20"/>
              </w:rPr>
            </w:pPr>
            <w:r>
              <w:rPr>
                <w:rFonts w:ascii="Arial" w:eastAsia="Arial" w:hAnsi="Arial" w:cs="Arial"/>
                <w:b/>
                <w:bCs/>
                <w:w w:val="94"/>
                <w:sz w:val="14"/>
                <w:szCs w:val="14"/>
              </w:rPr>
              <w:t>Number of</w:t>
            </w:r>
          </w:p>
        </w:tc>
        <w:tc>
          <w:tcPr>
            <w:tcW w:w="40" w:type="dxa"/>
            <w:vAlign w:val="bottom"/>
          </w:tcPr>
          <w:p w14:paraId="7D10D3B5" w14:textId="77777777" w:rsidR="00D1587D" w:rsidRDefault="00D1587D">
            <w:pPr>
              <w:rPr>
                <w:sz w:val="12"/>
                <w:szCs w:val="12"/>
              </w:rPr>
            </w:pPr>
          </w:p>
        </w:tc>
        <w:tc>
          <w:tcPr>
            <w:tcW w:w="540" w:type="dxa"/>
            <w:vAlign w:val="bottom"/>
          </w:tcPr>
          <w:p w14:paraId="0996CBFB" w14:textId="77777777" w:rsidR="00D1587D" w:rsidRDefault="00D1587D">
            <w:pPr>
              <w:rPr>
                <w:sz w:val="12"/>
                <w:szCs w:val="12"/>
              </w:rPr>
            </w:pPr>
          </w:p>
        </w:tc>
        <w:tc>
          <w:tcPr>
            <w:tcW w:w="80" w:type="dxa"/>
            <w:vAlign w:val="bottom"/>
          </w:tcPr>
          <w:p w14:paraId="791C0E28" w14:textId="77777777" w:rsidR="00D1587D" w:rsidRDefault="00D1587D">
            <w:pPr>
              <w:rPr>
                <w:sz w:val="12"/>
                <w:szCs w:val="12"/>
              </w:rPr>
            </w:pPr>
          </w:p>
        </w:tc>
        <w:tc>
          <w:tcPr>
            <w:tcW w:w="660" w:type="dxa"/>
            <w:vAlign w:val="bottom"/>
          </w:tcPr>
          <w:p w14:paraId="44581AA7" w14:textId="77777777" w:rsidR="00D1587D" w:rsidRDefault="00D1587D">
            <w:pPr>
              <w:rPr>
                <w:sz w:val="12"/>
                <w:szCs w:val="12"/>
              </w:rPr>
            </w:pPr>
          </w:p>
        </w:tc>
        <w:tc>
          <w:tcPr>
            <w:tcW w:w="100" w:type="dxa"/>
            <w:vAlign w:val="bottom"/>
          </w:tcPr>
          <w:p w14:paraId="030357E8" w14:textId="77777777" w:rsidR="00D1587D" w:rsidRDefault="00D1587D">
            <w:pPr>
              <w:rPr>
                <w:sz w:val="12"/>
                <w:szCs w:val="12"/>
              </w:rPr>
            </w:pPr>
          </w:p>
        </w:tc>
        <w:tc>
          <w:tcPr>
            <w:tcW w:w="660" w:type="dxa"/>
            <w:vAlign w:val="bottom"/>
          </w:tcPr>
          <w:p w14:paraId="32500D97" w14:textId="77777777" w:rsidR="00D1587D" w:rsidRDefault="00D1587D">
            <w:pPr>
              <w:rPr>
                <w:sz w:val="12"/>
                <w:szCs w:val="12"/>
              </w:rPr>
            </w:pPr>
          </w:p>
        </w:tc>
        <w:tc>
          <w:tcPr>
            <w:tcW w:w="80" w:type="dxa"/>
            <w:vAlign w:val="bottom"/>
          </w:tcPr>
          <w:p w14:paraId="44261713" w14:textId="77777777" w:rsidR="00D1587D" w:rsidRDefault="00D1587D">
            <w:pPr>
              <w:rPr>
                <w:sz w:val="12"/>
                <w:szCs w:val="12"/>
              </w:rPr>
            </w:pPr>
          </w:p>
        </w:tc>
        <w:tc>
          <w:tcPr>
            <w:tcW w:w="740" w:type="dxa"/>
            <w:gridSpan w:val="2"/>
            <w:vAlign w:val="bottom"/>
          </w:tcPr>
          <w:p w14:paraId="04500DBF" w14:textId="77777777" w:rsidR="00D1587D" w:rsidRDefault="00410D07">
            <w:pPr>
              <w:spacing w:line="149" w:lineRule="exact"/>
              <w:ind w:right="120"/>
              <w:jc w:val="center"/>
              <w:rPr>
                <w:sz w:val="20"/>
                <w:szCs w:val="20"/>
              </w:rPr>
            </w:pPr>
            <w:r>
              <w:rPr>
                <w:rFonts w:ascii="Arial" w:eastAsia="Arial" w:hAnsi="Arial" w:cs="Arial"/>
                <w:b/>
                <w:bCs/>
                <w:w w:val="89"/>
                <w:sz w:val="14"/>
                <w:szCs w:val="14"/>
              </w:rPr>
              <w:t>Shares or</w:t>
            </w:r>
          </w:p>
        </w:tc>
        <w:tc>
          <w:tcPr>
            <w:tcW w:w="680" w:type="dxa"/>
            <w:gridSpan w:val="2"/>
            <w:vAlign w:val="bottom"/>
          </w:tcPr>
          <w:p w14:paraId="0E2C03B3" w14:textId="77777777" w:rsidR="00D1587D" w:rsidRDefault="00410D07">
            <w:pPr>
              <w:spacing w:line="149" w:lineRule="exact"/>
              <w:ind w:right="60"/>
              <w:jc w:val="center"/>
              <w:rPr>
                <w:sz w:val="20"/>
                <w:szCs w:val="20"/>
              </w:rPr>
            </w:pPr>
            <w:r>
              <w:rPr>
                <w:rFonts w:ascii="Arial" w:eastAsia="Arial" w:hAnsi="Arial" w:cs="Arial"/>
                <w:b/>
                <w:bCs/>
                <w:w w:val="89"/>
                <w:sz w:val="14"/>
                <w:szCs w:val="14"/>
              </w:rPr>
              <w:t>Shares or</w:t>
            </w:r>
          </w:p>
        </w:tc>
        <w:tc>
          <w:tcPr>
            <w:tcW w:w="700" w:type="dxa"/>
            <w:gridSpan w:val="2"/>
            <w:vAlign w:val="bottom"/>
          </w:tcPr>
          <w:p w14:paraId="49969D0E" w14:textId="77777777" w:rsidR="00D1587D" w:rsidRDefault="00410D07">
            <w:pPr>
              <w:spacing w:line="149" w:lineRule="exact"/>
              <w:ind w:right="120"/>
              <w:jc w:val="center"/>
              <w:rPr>
                <w:sz w:val="20"/>
                <w:szCs w:val="20"/>
              </w:rPr>
            </w:pPr>
            <w:r>
              <w:rPr>
                <w:rFonts w:ascii="Arial" w:eastAsia="Arial" w:hAnsi="Arial" w:cs="Arial"/>
                <w:b/>
                <w:bCs/>
                <w:w w:val="94"/>
                <w:sz w:val="14"/>
                <w:szCs w:val="14"/>
              </w:rPr>
              <w:t>Units or</w:t>
            </w:r>
          </w:p>
        </w:tc>
        <w:tc>
          <w:tcPr>
            <w:tcW w:w="600" w:type="dxa"/>
            <w:vAlign w:val="bottom"/>
          </w:tcPr>
          <w:p w14:paraId="3213F050" w14:textId="77777777" w:rsidR="00D1587D" w:rsidRDefault="00410D07">
            <w:pPr>
              <w:spacing w:line="149" w:lineRule="exact"/>
              <w:jc w:val="center"/>
              <w:rPr>
                <w:sz w:val="20"/>
                <w:szCs w:val="20"/>
              </w:rPr>
            </w:pPr>
            <w:r>
              <w:rPr>
                <w:rFonts w:ascii="Arial" w:eastAsia="Arial" w:hAnsi="Arial" w:cs="Arial"/>
                <w:b/>
                <w:bCs/>
                <w:w w:val="94"/>
                <w:sz w:val="14"/>
                <w:szCs w:val="14"/>
              </w:rPr>
              <w:t>Units or</w:t>
            </w:r>
          </w:p>
        </w:tc>
        <w:tc>
          <w:tcPr>
            <w:tcW w:w="0" w:type="dxa"/>
            <w:vAlign w:val="bottom"/>
          </w:tcPr>
          <w:p w14:paraId="41F6F8D1" w14:textId="77777777" w:rsidR="00D1587D" w:rsidRDefault="00D1587D">
            <w:pPr>
              <w:rPr>
                <w:sz w:val="1"/>
                <w:szCs w:val="1"/>
              </w:rPr>
            </w:pPr>
          </w:p>
        </w:tc>
      </w:tr>
      <w:tr w:rsidR="00D1587D" w14:paraId="13D62C77" w14:textId="77777777">
        <w:trPr>
          <w:trHeight w:val="148"/>
        </w:trPr>
        <w:tc>
          <w:tcPr>
            <w:tcW w:w="880" w:type="dxa"/>
            <w:vAlign w:val="bottom"/>
          </w:tcPr>
          <w:p w14:paraId="2E84BFCD" w14:textId="77777777" w:rsidR="00D1587D" w:rsidRDefault="00D1587D">
            <w:pPr>
              <w:rPr>
                <w:sz w:val="12"/>
                <w:szCs w:val="12"/>
              </w:rPr>
            </w:pPr>
          </w:p>
        </w:tc>
        <w:tc>
          <w:tcPr>
            <w:tcW w:w="40" w:type="dxa"/>
            <w:vAlign w:val="bottom"/>
          </w:tcPr>
          <w:p w14:paraId="35BEEFFE" w14:textId="77777777" w:rsidR="00D1587D" w:rsidRDefault="00D1587D">
            <w:pPr>
              <w:rPr>
                <w:sz w:val="12"/>
                <w:szCs w:val="12"/>
              </w:rPr>
            </w:pPr>
          </w:p>
        </w:tc>
        <w:tc>
          <w:tcPr>
            <w:tcW w:w="40" w:type="dxa"/>
            <w:vAlign w:val="bottom"/>
          </w:tcPr>
          <w:p w14:paraId="7909B8EA" w14:textId="77777777" w:rsidR="00D1587D" w:rsidRDefault="00D1587D">
            <w:pPr>
              <w:rPr>
                <w:sz w:val="12"/>
                <w:szCs w:val="12"/>
              </w:rPr>
            </w:pPr>
          </w:p>
        </w:tc>
        <w:tc>
          <w:tcPr>
            <w:tcW w:w="580" w:type="dxa"/>
            <w:vAlign w:val="bottom"/>
          </w:tcPr>
          <w:p w14:paraId="0507DA74" w14:textId="77777777" w:rsidR="00D1587D" w:rsidRDefault="00D1587D">
            <w:pPr>
              <w:rPr>
                <w:sz w:val="12"/>
                <w:szCs w:val="12"/>
              </w:rPr>
            </w:pPr>
          </w:p>
        </w:tc>
        <w:tc>
          <w:tcPr>
            <w:tcW w:w="40" w:type="dxa"/>
            <w:vAlign w:val="bottom"/>
          </w:tcPr>
          <w:p w14:paraId="195447EB" w14:textId="77777777" w:rsidR="00D1587D" w:rsidRDefault="00D1587D">
            <w:pPr>
              <w:rPr>
                <w:sz w:val="12"/>
                <w:szCs w:val="12"/>
              </w:rPr>
            </w:pPr>
          </w:p>
        </w:tc>
        <w:tc>
          <w:tcPr>
            <w:tcW w:w="40" w:type="dxa"/>
            <w:vAlign w:val="bottom"/>
          </w:tcPr>
          <w:p w14:paraId="5157C98D" w14:textId="77777777" w:rsidR="00D1587D" w:rsidRDefault="00D1587D">
            <w:pPr>
              <w:rPr>
                <w:sz w:val="12"/>
                <w:szCs w:val="12"/>
              </w:rPr>
            </w:pPr>
          </w:p>
        </w:tc>
        <w:tc>
          <w:tcPr>
            <w:tcW w:w="800" w:type="dxa"/>
            <w:gridSpan w:val="2"/>
            <w:vAlign w:val="bottom"/>
          </w:tcPr>
          <w:p w14:paraId="2FDC157E" w14:textId="77777777" w:rsidR="00D1587D" w:rsidRDefault="00410D07">
            <w:pPr>
              <w:spacing w:line="149" w:lineRule="exact"/>
              <w:ind w:right="80"/>
              <w:jc w:val="center"/>
              <w:rPr>
                <w:sz w:val="20"/>
                <w:szCs w:val="20"/>
              </w:rPr>
            </w:pPr>
            <w:r>
              <w:rPr>
                <w:rFonts w:ascii="Arial" w:eastAsia="Arial" w:hAnsi="Arial" w:cs="Arial"/>
                <w:b/>
                <w:bCs/>
                <w:w w:val="89"/>
                <w:sz w:val="14"/>
                <w:szCs w:val="14"/>
              </w:rPr>
              <w:t>Securities</w:t>
            </w:r>
          </w:p>
        </w:tc>
        <w:tc>
          <w:tcPr>
            <w:tcW w:w="40" w:type="dxa"/>
            <w:vAlign w:val="bottom"/>
          </w:tcPr>
          <w:p w14:paraId="29315280" w14:textId="77777777" w:rsidR="00D1587D" w:rsidRDefault="00D1587D">
            <w:pPr>
              <w:rPr>
                <w:sz w:val="12"/>
                <w:szCs w:val="12"/>
              </w:rPr>
            </w:pPr>
          </w:p>
        </w:tc>
        <w:tc>
          <w:tcPr>
            <w:tcW w:w="900" w:type="dxa"/>
            <w:gridSpan w:val="2"/>
            <w:vAlign w:val="bottom"/>
          </w:tcPr>
          <w:p w14:paraId="6436B62A" w14:textId="77777777" w:rsidR="00D1587D" w:rsidRDefault="00410D07">
            <w:pPr>
              <w:spacing w:line="149" w:lineRule="exact"/>
              <w:ind w:right="60"/>
              <w:jc w:val="center"/>
              <w:rPr>
                <w:sz w:val="20"/>
                <w:szCs w:val="20"/>
              </w:rPr>
            </w:pPr>
            <w:r>
              <w:rPr>
                <w:rFonts w:ascii="Arial" w:eastAsia="Arial" w:hAnsi="Arial" w:cs="Arial"/>
                <w:b/>
                <w:bCs/>
                <w:w w:val="89"/>
                <w:sz w:val="14"/>
                <w:szCs w:val="14"/>
              </w:rPr>
              <w:t>Securities</w:t>
            </w:r>
          </w:p>
        </w:tc>
        <w:tc>
          <w:tcPr>
            <w:tcW w:w="40" w:type="dxa"/>
            <w:vAlign w:val="bottom"/>
          </w:tcPr>
          <w:p w14:paraId="21F755E8" w14:textId="77777777" w:rsidR="00D1587D" w:rsidRDefault="00D1587D">
            <w:pPr>
              <w:rPr>
                <w:sz w:val="12"/>
                <w:szCs w:val="12"/>
              </w:rPr>
            </w:pPr>
          </w:p>
        </w:tc>
        <w:tc>
          <w:tcPr>
            <w:tcW w:w="800" w:type="dxa"/>
            <w:gridSpan w:val="2"/>
            <w:vAlign w:val="bottom"/>
          </w:tcPr>
          <w:p w14:paraId="28A7674B" w14:textId="77777777" w:rsidR="00D1587D" w:rsidRDefault="00410D07">
            <w:pPr>
              <w:spacing w:line="149" w:lineRule="exact"/>
              <w:ind w:right="60"/>
              <w:jc w:val="center"/>
              <w:rPr>
                <w:sz w:val="20"/>
                <w:szCs w:val="20"/>
              </w:rPr>
            </w:pPr>
            <w:r>
              <w:rPr>
                <w:rFonts w:ascii="Arial" w:eastAsia="Arial" w:hAnsi="Arial" w:cs="Arial"/>
                <w:b/>
                <w:bCs/>
                <w:w w:val="86"/>
                <w:sz w:val="14"/>
                <w:szCs w:val="14"/>
              </w:rPr>
              <w:t>Securities</w:t>
            </w:r>
          </w:p>
        </w:tc>
        <w:tc>
          <w:tcPr>
            <w:tcW w:w="40" w:type="dxa"/>
            <w:vAlign w:val="bottom"/>
          </w:tcPr>
          <w:p w14:paraId="3932830F" w14:textId="77777777" w:rsidR="00D1587D" w:rsidRDefault="00D1587D">
            <w:pPr>
              <w:rPr>
                <w:sz w:val="12"/>
                <w:szCs w:val="12"/>
              </w:rPr>
            </w:pPr>
          </w:p>
        </w:tc>
        <w:tc>
          <w:tcPr>
            <w:tcW w:w="540" w:type="dxa"/>
            <w:vAlign w:val="bottom"/>
          </w:tcPr>
          <w:p w14:paraId="61DAB5FB" w14:textId="77777777" w:rsidR="00D1587D" w:rsidRDefault="00D1587D">
            <w:pPr>
              <w:rPr>
                <w:sz w:val="12"/>
                <w:szCs w:val="12"/>
              </w:rPr>
            </w:pPr>
          </w:p>
        </w:tc>
        <w:tc>
          <w:tcPr>
            <w:tcW w:w="80" w:type="dxa"/>
            <w:vAlign w:val="bottom"/>
          </w:tcPr>
          <w:p w14:paraId="1E844EBA" w14:textId="77777777" w:rsidR="00D1587D" w:rsidRDefault="00D1587D">
            <w:pPr>
              <w:rPr>
                <w:sz w:val="12"/>
                <w:szCs w:val="12"/>
              </w:rPr>
            </w:pPr>
          </w:p>
        </w:tc>
        <w:tc>
          <w:tcPr>
            <w:tcW w:w="660" w:type="dxa"/>
            <w:vAlign w:val="bottom"/>
          </w:tcPr>
          <w:p w14:paraId="54CD08AA" w14:textId="77777777" w:rsidR="00D1587D" w:rsidRDefault="00D1587D">
            <w:pPr>
              <w:rPr>
                <w:sz w:val="12"/>
                <w:szCs w:val="12"/>
              </w:rPr>
            </w:pPr>
          </w:p>
        </w:tc>
        <w:tc>
          <w:tcPr>
            <w:tcW w:w="100" w:type="dxa"/>
            <w:vAlign w:val="bottom"/>
          </w:tcPr>
          <w:p w14:paraId="58D24C74" w14:textId="77777777" w:rsidR="00D1587D" w:rsidRDefault="00D1587D">
            <w:pPr>
              <w:rPr>
                <w:sz w:val="12"/>
                <w:szCs w:val="12"/>
              </w:rPr>
            </w:pPr>
          </w:p>
        </w:tc>
        <w:tc>
          <w:tcPr>
            <w:tcW w:w="660" w:type="dxa"/>
            <w:vAlign w:val="bottom"/>
          </w:tcPr>
          <w:p w14:paraId="16CBF129" w14:textId="77777777" w:rsidR="00D1587D" w:rsidRDefault="00D1587D">
            <w:pPr>
              <w:rPr>
                <w:sz w:val="12"/>
                <w:szCs w:val="12"/>
              </w:rPr>
            </w:pPr>
          </w:p>
        </w:tc>
        <w:tc>
          <w:tcPr>
            <w:tcW w:w="80" w:type="dxa"/>
            <w:vAlign w:val="bottom"/>
          </w:tcPr>
          <w:p w14:paraId="28EF5E67" w14:textId="77777777" w:rsidR="00D1587D" w:rsidRDefault="00D1587D">
            <w:pPr>
              <w:rPr>
                <w:sz w:val="12"/>
                <w:szCs w:val="12"/>
              </w:rPr>
            </w:pPr>
          </w:p>
        </w:tc>
        <w:tc>
          <w:tcPr>
            <w:tcW w:w="740" w:type="dxa"/>
            <w:gridSpan w:val="2"/>
            <w:vAlign w:val="bottom"/>
          </w:tcPr>
          <w:p w14:paraId="02056B37" w14:textId="77777777" w:rsidR="00D1587D" w:rsidRDefault="00410D07">
            <w:pPr>
              <w:spacing w:line="149" w:lineRule="exact"/>
              <w:ind w:right="100"/>
              <w:jc w:val="center"/>
              <w:rPr>
                <w:sz w:val="20"/>
                <w:szCs w:val="20"/>
              </w:rPr>
            </w:pPr>
            <w:r>
              <w:rPr>
                <w:rFonts w:ascii="Arial" w:eastAsia="Arial" w:hAnsi="Arial" w:cs="Arial"/>
                <w:b/>
                <w:bCs/>
                <w:w w:val="92"/>
                <w:sz w:val="14"/>
                <w:szCs w:val="14"/>
              </w:rPr>
              <w:t>Units of</w:t>
            </w:r>
          </w:p>
        </w:tc>
        <w:tc>
          <w:tcPr>
            <w:tcW w:w="680" w:type="dxa"/>
            <w:gridSpan w:val="2"/>
            <w:vAlign w:val="bottom"/>
          </w:tcPr>
          <w:p w14:paraId="24EECFA2" w14:textId="77777777" w:rsidR="00D1587D" w:rsidRDefault="00410D07">
            <w:pPr>
              <w:spacing w:line="149" w:lineRule="exact"/>
              <w:ind w:right="100"/>
              <w:jc w:val="center"/>
              <w:rPr>
                <w:sz w:val="20"/>
                <w:szCs w:val="20"/>
              </w:rPr>
            </w:pPr>
            <w:r>
              <w:rPr>
                <w:rFonts w:ascii="Arial" w:eastAsia="Arial" w:hAnsi="Arial" w:cs="Arial"/>
                <w:b/>
                <w:bCs/>
                <w:w w:val="95"/>
                <w:sz w:val="14"/>
                <w:szCs w:val="14"/>
              </w:rPr>
              <w:t>Units of</w:t>
            </w:r>
          </w:p>
        </w:tc>
        <w:tc>
          <w:tcPr>
            <w:tcW w:w="700" w:type="dxa"/>
            <w:gridSpan w:val="2"/>
            <w:vAlign w:val="bottom"/>
          </w:tcPr>
          <w:p w14:paraId="78A04B99" w14:textId="77777777" w:rsidR="00D1587D" w:rsidRDefault="00410D07">
            <w:pPr>
              <w:spacing w:line="149" w:lineRule="exact"/>
              <w:ind w:right="120"/>
              <w:jc w:val="center"/>
              <w:rPr>
                <w:sz w:val="20"/>
                <w:szCs w:val="20"/>
              </w:rPr>
            </w:pPr>
            <w:r>
              <w:rPr>
                <w:rFonts w:ascii="Arial" w:eastAsia="Arial" w:hAnsi="Arial" w:cs="Arial"/>
                <w:b/>
                <w:bCs/>
                <w:sz w:val="14"/>
                <w:szCs w:val="14"/>
              </w:rPr>
              <w:t>Other</w:t>
            </w:r>
          </w:p>
        </w:tc>
        <w:tc>
          <w:tcPr>
            <w:tcW w:w="600" w:type="dxa"/>
            <w:vAlign w:val="bottom"/>
          </w:tcPr>
          <w:p w14:paraId="388123F2" w14:textId="77777777" w:rsidR="00D1587D" w:rsidRDefault="00410D07">
            <w:pPr>
              <w:spacing w:line="149" w:lineRule="exact"/>
              <w:jc w:val="center"/>
              <w:rPr>
                <w:sz w:val="20"/>
                <w:szCs w:val="20"/>
              </w:rPr>
            </w:pPr>
            <w:r>
              <w:rPr>
                <w:rFonts w:ascii="Arial" w:eastAsia="Arial" w:hAnsi="Arial" w:cs="Arial"/>
                <w:b/>
                <w:bCs/>
                <w:w w:val="96"/>
                <w:sz w:val="14"/>
                <w:szCs w:val="14"/>
              </w:rPr>
              <w:t>Other</w:t>
            </w:r>
          </w:p>
        </w:tc>
        <w:tc>
          <w:tcPr>
            <w:tcW w:w="0" w:type="dxa"/>
            <w:vAlign w:val="bottom"/>
          </w:tcPr>
          <w:p w14:paraId="4D4CBC07" w14:textId="77777777" w:rsidR="00D1587D" w:rsidRDefault="00D1587D">
            <w:pPr>
              <w:rPr>
                <w:sz w:val="1"/>
                <w:szCs w:val="1"/>
              </w:rPr>
            </w:pPr>
          </w:p>
        </w:tc>
      </w:tr>
      <w:tr w:rsidR="00D1587D" w14:paraId="08C61545" w14:textId="77777777">
        <w:trPr>
          <w:trHeight w:val="148"/>
        </w:trPr>
        <w:tc>
          <w:tcPr>
            <w:tcW w:w="880" w:type="dxa"/>
            <w:vAlign w:val="bottom"/>
          </w:tcPr>
          <w:p w14:paraId="1A74957E" w14:textId="77777777" w:rsidR="00D1587D" w:rsidRDefault="00D1587D">
            <w:pPr>
              <w:rPr>
                <w:sz w:val="12"/>
                <w:szCs w:val="12"/>
              </w:rPr>
            </w:pPr>
          </w:p>
        </w:tc>
        <w:tc>
          <w:tcPr>
            <w:tcW w:w="40" w:type="dxa"/>
            <w:vAlign w:val="bottom"/>
          </w:tcPr>
          <w:p w14:paraId="0597C876" w14:textId="77777777" w:rsidR="00D1587D" w:rsidRDefault="00D1587D">
            <w:pPr>
              <w:rPr>
                <w:sz w:val="12"/>
                <w:szCs w:val="12"/>
              </w:rPr>
            </w:pPr>
          </w:p>
        </w:tc>
        <w:tc>
          <w:tcPr>
            <w:tcW w:w="40" w:type="dxa"/>
            <w:vAlign w:val="bottom"/>
          </w:tcPr>
          <w:p w14:paraId="2AF2077F" w14:textId="77777777" w:rsidR="00D1587D" w:rsidRDefault="00D1587D">
            <w:pPr>
              <w:rPr>
                <w:sz w:val="12"/>
                <w:szCs w:val="12"/>
              </w:rPr>
            </w:pPr>
          </w:p>
        </w:tc>
        <w:tc>
          <w:tcPr>
            <w:tcW w:w="580" w:type="dxa"/>
            <w:vAlign w:val="bottom"/>
          </w:tcPr>
          <w:p w14:paraId="2216688F" w14:textId="77777777" w:rsidR="00D1587D" w:rsidRDefault="00D1587D">
            <w:pPr>
              <w:rPr>
                <w:sz w:val="12"/>
                <w:szCs w:val="12"/>
              </w:rPr>
            </w:pPr>
          </w:p>
        </w:tc>
        <w:tc>
          <w:tcPr>
            <w:tcW w:w="40" w:type="dxa"/>
            <w:vAlign w:val="bottom"/>
          </w:tcPr>
          <w:p w14:paraId="50B5EC1F" w14:textId="77777777" w:rsidR="00D1587D" w:rsidRDefault="00D1587D">
            <w:pPr>
              <w:rPr>
                <w:sz w:val="12"/>
                <w:szCs w:val="12"/>
              </w:rPr>
            </w:pPr>
          </w:p>
        </w:tc>
        <w:tc>
          <w:tcPr>
            <w:tcW w:w="40" w:type="dxa"/>
            <w:vAlign w:val="bottom"/>
          </w:tcPr>
          <w:p w14:paraId="6E30479C" w14:textId="77777777" w:rsidR="00D1587D" w:rsidRDefault="00D1587D">
            <w:pPr>
              <w:rPr>
                <w:sz w:val="12"/>
                <w:szCs w:val="12"/>
              </w:rPr>
            </w:pPr>
          </w:p>
        </w:tc>
        <w:tc>
          <w:tcPr>
            <w:tcW w:w="800" w:type="dxa"/>
            <w:gridSpan w:val="2"/>
            <w:vAlign w:val="bottom"/>
          </w:tcPr>
          <w:p w14:paraId="4D383085" w14:textId="77777777" w:rsidR="00D1587D" w:rsidRDefault="00410D07">
            <w:pPr>
              <w:spacing w:line="149" w:lineRule="exact"/>
              <w:ind w:right="60"/>
              <w:jc w:val="center"/>
              <w:rPr>
                <w:sz w:val="20"/>
                <w:szCs w:val="20"/>
              </w:rPr>
            </w:pPr>
            <w:r>
              <w:rPr>
                <w:rFonts w:ascii="Arial" w:eastAsia="Arial" w:hAnsi="Arial" w:cs="Arial"/>
                <w:b/>
                <w:bCs/>
                <w:w w:val="95"/>
                <w:sz w:val="14"/>
                <w:szCs w:val="14"/>
              </w:rPr>
              <w:t>Underlying</w:t>
            </w:r>
          </w:p>
        </w:tc>
        <w:tc>
          <w:tcPr>
            <w:tcW w:w="40" w:type="dxa"/>
            <w:vAlign w:val="bottom"/>
          </w:tcPr>
          <w:p w14:paraId="7FAA3A1A" w14:textId="77777777" w:rsidR="00D1587D" w:rsidRDefault="00D1587D">
            <w:pPr>
              <w:rPr>
                <w:sz w:val="12"/>
                <w:szCs w:val="12"/>
              </w:rPr>
            </w:pPr>
          </w:p>
        </w:tc>
        <w:tc>
          <w:tcPr>
            <w:tcW w:w="900" w:type="dxa"/>
            <w:gridSpan w:val="2"/>
            <w:vAlign w:val="bottom"/>
          </w:tcPr>
          <w:p w14:paraId="4083E4D7" w14:textId="77777777" w:rsidR="00D1587D" w:rsidRDefault="00410D07">
            <w:pPr>
              <w:spacing w:line="149" w:lineRule="exact"/>
              <w:ind w:right="60"/>
              <w:jc w:val="center"/>
              <w:rPr>
                <w:sz w:val="20"/>
                <w:szCs w:val="20"/>
              </w:rPr>
            </w:pPr>
            <w:r>
              <w:rPr>
                <w:rFonts w:ascii="Arial" w:eastAsia="Arial" w:hAnsi="Arial" w:cs="Arial"/>
                <w:b/>
                <w:bCs/>
                <w:w w:val="92"/>
                <w:sz w:val="14"/>
                <w:szCs w:val="14"/>
              </w:rPr>
              <w:t>Underlying</w:t>
            </w:r>
          </w:p>
        </w:tc>
        <w:tc>
          <w:tcPr>
            <w:tcW w:w="40" w:type="dxa"/>
            <w:vAlign w:val="bottom"/>
          </w:tcPr>
          <w:p w14:paraId="1EEEED71" w14:textId="77777777" w:rsidR="00D1587D" w:rsidRDefault="00D1587D">
            <w:pPr>
              <w:rPr>
                <w:sz w:val="12"/>
                <w:szCs w:val="12"/>
              </w:rPr>
            </w:pPr>
          </w:p>
        </w:tc>
        <w:tc>
          <w:tcPr>
            <w:tcW w:w="800" w:type="dxa"/>
            <w:gridSpan w:val="2"/>
            <w:vAlign w:val="bottom"/>
          </w:tcPr>
          <w:p w14:paraId="4F17B9A7" w14:textId="77777777" w:rsidR="00D1587D" w:rsidRDefault="00410D07">
            <w:pPr>
              <w:spacing w:line="149" w:lineRule="exact"/>
              <w:ind w:right="60"/>
              <w:jc w:val="center"/>
              <w:rPr>
                <w:sz w:val="20"/>
                <w:szCs w:val="20"/>
              </w:rPr>
            </w:pPr>
            <w:r>
              <w:rPr>
                <w:rFonts w:ascii="Arial" w:eastAsia="Arial" w:hAnsi="Arial" w:cs="Arial"/>
                <w:b/>
                <w:bCs/>
                <w:w w:val="95"/>
                <w:sz w:val="14"/>
                <w:szCs w:val="14"/>
              </w:rPr>
              <w:t>Underlying</w:t>
            </w:r>
          </w:p>
        </w:tc>
        <w:tc>
          <w:tcPr>
            <w:tcW w:w="40" w:type="dxa"/>
            <w:vAlign w:val="bottom"/>
          </w:tcPr>
          <w:p w14:paraId="5C3A1EF2" w14:textId="77777777" w:rsidR="00D1587D" w:rsidRDefault="00D1587D">
            <w:pPr>
              <w:rPr>
                <w:sz w:val="12"/>
                <w:szCs w:val="12"/>
              </w:rPr>
            </w:pPr>
          </w:p>
        </w:tc>
        <w:tc>
          <w:tcPr>
            <w:tcW w:w="620" w:type="dxa"/>
            <w:gridSpan w:val="2"/>
            <w:vMerge w:val="restart"/>
            <w:vAlign w:val="bottom"/>
          </w:tcPr>
          <w:p w14:paraId="3CC21D9B" w14:textId="77777777" w:rsidR="00D1587D" w:rsidRDefault="00410D07">
            <w:pPr>
              <w:ind w:right="120"/>
              <w:jc w:val="center"/>
              <w:rPr>
                <w:sz w:val="20"/>
                <w:szCs w:val="20"/>
              </w:rPr>
            </w:pPr>
            <w:r>
              <w:rPr>
                <w:rFonts w:ascii="Arial" w:eastAsia="Arial" w:hAnsi="Arial" w:cs="Arial"/>
                <w:b/>
                <w:bCs/>
                <w:w w:val="93"/>
                <w:sz w:val="14"/>
                <w:szCs w:val="14"/>
              </w:rPr>
              <w:t>Option</w:t>
            </w:r>
          </w:p>
        </w:tc>
        <w:tc>
          <w:tcPr>
            <w:tcW w:w="660" w:type="dxa"/>
            <w:vAlign w:val="bottom"/>
          </w:tcPr>
          <w:p w14:paraId="7DF6882A" w14:textId="77777777" w:rsidR="00D1587D" w:rsidRDefault="00D1587D">
            <w:pPr>
              <w:rPr>
                <w:sz w:val="12"/>
                <w:szCs w:val="12"/>
              </w:rPr>
            </w:pPr>
          </w:p>
        </w:tc>
        <w:tc>
          <w:tcPr>
            <w:tcW w:w="100" w:type="dxa"/>
            <w:vAlign w:val="bottom"/>
          </w:tcPr>
          <w:p w14:paraId="75D2B0AF" w14:textId="77777777" w:rsidR="00D1587D" w:rsidRDefault="00D1587D">
            <w:pPr>
              <w:rPr>
                <w:sz w:val="12"/>
                <w:szCs w:val="12"/>
              </w:rPr>
            </w:pPr>
          </w:p>
        </w:tc>
        <w:tc>
          <w:tcPr>
            <w:tcW w:w="660" w:type="dxa"/>
            <w:vAlign w:val="bottom"/>
          </w:tcPr>
          <w:p w14:paraId="2ED12C7A" w14:textId="77777777" w:rsidR="00D1587D" w:rsidRDefault="00D1587D">
            <w:pPr>
              <w:rPr>
                <w:sz w:val="12"/>
                <w:szCs w:val="12"/>
              </w:rPr>
            </w:pPr>
          </w:p>
        </w:tc>
        <w:tc>
          <w:tcPr>
            <w:tcW w:w="80" w:type="dxa"/>
            <w:vAlign w:val="bottom"/>
          </w:tcPr>
          <w:p w14:paraId="29A40463" w14:textId="77777777" w:rsidR="00D1587D" w:rsidRDefault="00D1587D">
            <w:pPr>
              <w:rPr>
                <w:sz w:val="12"/>
                <w:szCs w:val="12"/>
              </w:rPr>
            </w:pPr>
          </w:p>
        </w:tc>
        <w:tc>
          <w:tcPr>
            <w:tcW w:w="740" w:type="dxa"/>
            <w:gridSpan w:val="2"/>
            <w:vAlign w:val="bottom"/>
          </w:tcPr>
          <w:p w14:paraId="1449090F" w14:textId="77777777" w:rsidR="00D1587D" w:rsidRDefault="00410D07">
            <w:pPr>
              <w:spacing w:line="149" w:lineRule="exact"/>
              <w:ind w:right="120"/>
              <w:jc w:val="center"/>
              <w:rPr>
                <w:sz w:val="20"/>
                <w:szCs w:val="20"/>
              </w:rPr>
            </w:pPr>
            <w:r>
              <w:rPr>
                <w:rFonts w:ascii="Arial" w:eastAsia="Arial" w:hAnsi="Arial" w:cs="Arial"/>
                <w:b/>
                <w:bCs/>
                <w:w w:val="89"/>
                <w:sz w:val="14"/>
                <w:szCs w:val="14"/>
              </w:rPr>
              <w:t>Stock</w:t>
            </w:r>
          </w:p>
        </w:tc>
        <w:tc>
          <w:tcPr>
            <w:tcW w:w="680" w:type="dxa"/>
            <w:gridSpan w:val="2"/>
            <w:vAlign w:val="bottom"/>
          </w:tcPr>
          <w:p w14:paraId="50ED35AD" w14:textId="77777777" w:rsidR="00D1587D" w:rsidRDefault="00410D07">
            <w:pPr>
              <w:spacing w:line="149" w:lineRule="exact"/>
              <w:ind w:right="100"/>
              <w:jc w:val="center"/>
              <w:rPr>
                <w:sz w:val="20"/>
                <w:szCs w:val="20"/>
              </w:rPr>
            </w:pPr>
            <w:r>
              <w:rPr>
                <w:rFonts w:ascii="Arial" w:eastAsia="Arial" w:hAnsi="Arial" w:cs="Arial"/>
                <w:b/>
                <w:bCs/>
                <w:w w:val="89"/>
                <w:sz w:val="14"/>
                <w:szCs w:val="14"/>
              </w:rPr>
              <w:t>Stock</w:t>
            </w:r>
          </w:p>
        </w:tc>
        <w:tc>
          <w:tcPr>
            <w:tcW w:w="700" w:type="dxa"/>
            <w:gridSpan w:val="2"/>
            <w:vAlign w:val="bottom"/>
          </w:tcPr>
          <w:p w14:paraId="373114A6" w14:textId="77777777" w:rsidR="00D1587D" w:rsidRDefault="00410D07">
            <w:pPr>
              <w:spacing w:line="149" w:lineRule="exact"/>
              <w:ind w:right="140"/>
              <w:jc w:val="center"/>
              <w:rPr>
                <w:sz w:val="20"/>
                <w:szCs w:val="20"/>
              </w:rPr>
            </w:pPr>
            <w:r>
              <w:rPr>
                <w:rFonts w:ascii="Arial" w:eastAsia="Arial" w:hAnsi="Arial" w:cs="Arial"/>
                <w:b/>
                <w:bCs/>
                <w:w w:val="91"/>
                <w:sz w:val="14"/>
                <w:szCs w:val="14"/>
              </w:rPr>
              <w:t>Rights</w:t>
            </w:r>
          </w:p>
        </w:tc>
        <w:tc>
          <w:tcPr>
            <w:tcW w:w="600" w:type="dxa"/>
            <w:vAlign w:val="bottom"/>
          </w:tcPr>
          <w:p w14:paraId="70F2063C" w14:textId="77777777" w:rsidR="00D1587D" w:rsidRDefault="00410D07">
            <w:pPr>
              <w:spacing w:line="149" w:lineRule="exact"/>
              <w:jc w:val="center"/>
              <w:rPr>
                <w:sz w:val="20"/>
                <w:szCs w:val="20"/>
              </w:rPr>
            </w:pPr>
            <w:r>
              <w:rPr>
                <w:rFonts w:ascii="Arial" w:eastAsia="Arial" w:hAnsi="Arial" w:cs="Arial"/>
                <w:b/>
                <w:bCs/>
                <w:w w:val="91"/>
                <w:sz w:val="14"/>
                <w:szCs w:val="14"/>
              </w:rPr>
              <w:t>Rights</w:t>
            </w:r>
          </w:p>
        </w:tc>
        <w:tc>
          <w:tcPr>
            <w:tcW w:w="0" w:type="dxa"/>
            <w:vAlign w:val="bottom"/>
          </w:tcPr>
          <w:p w14:paraId="0FE61526" w14:textId="77777777" w:rsidR="00D1587D" w:rsidRDefault="00D1587D">
            <w:pPr>
              <w:rPr>
                <w:sz w:val="1"/>
                <w:szCs w:val="1"/>
              </w:rPr>
            </w:pPr>
          </w:p>
        </w:tc>
      </w:tr>
      <w:tr w:rsidR="00D1587D" w14:paraId="26DA6D4E" w14:textId="77777777">
        <w:trPr>
          <w:trHeight w:val="148"/>
        </w:trPr>
        <w:tc>
          <w:tcPr>
            <w:tcW w:w="880" w:type="dxa"/>
            <w:vAlign w:val="bottom"/>
          </w:tcPr>
          <w:p w14:paraId="322AAFF7" w14:textId="77777777" w:rsidR="00D1587D" w:rsidRDefault="00D1587D">
            <w:pPr>
              <w:rPr>
                <w:sz w:val="12"/>
                <w:szCs w:val="12"/>
              </w:rPr>
            </w:pPr>
          </w:p>
        </w:tc>
        <w:tc>
          <w:tcPr>
            <w:tcW w:w="40" w:type="dxa"/>
            <w:vAlign w:val="bottom"/>
          </w:tcPr>
          <w:p w14:paraId="2AAD5D8A" w14:textId="77777777" w:rsidR="00D1587D" w:rsidRDefault="00D1587D">
            <w:pPr>
              <w:rPr>
                <w:sz w:val="12"/>
                <w:szCs w:val="12"/>
              </w:rPr>
            </w:pPr>
          </w:p>
        </w:tc>
        <w:tc>
          <w:tcPr>
            <w:tcW w:w="40" w:type="dxa"/>
            <w:vAlign w:val="bottom"/>
          </w:tcPr>
          <w:p w14:paraId="57EA438F" w14:textId="77777777" w:rsidR="00D1587D" w:rsidRDefault="00D1587D">
            <w:pPr>
              <w:rPr>
                <w:sz w:val="12"/>
                <w:szCs w:val="12"/>
              </w:rPr>
            </w:pPr>
          </w:p>
        </w:tc>
        <w:tc>
          <w:tcPr>
            <w:tcW w:w="580" w:type="dxa"/>
            <w:vAlign w:val="bottom"/>
          </w:tcPr>
          <w:p w14:paraId="512EA947" w14:textId="77777777" w:rsidR="00D1587D" w:rsidRDefault="00D1587D">
            <w:pPr>
              <w:rPr>
                <w:sz w:val="12"/>
                <w:szCs w:val="12"/>
              </w:rPr>
            </w:pPr>
          </w:p>
        </w:tc>
        <w:tc>
          <w:tcPr>
            <w:tcW w:w="40" w:type="dxa"/>
            <w:vAlign w:val="bottom"/>
          </w:tcPr>
          <w:p w14:paraId="0620EAF4" w14:textId="77777777" w:rsidR="00D1587D" w:rsidRDefault="00D1587D">
            <w:pPr>
              <w:rPr>
                <w:sz w:val="12"/>
                <w:szCs w:val="12"/>
              </w:rPr>
            </w:pPr>
          </w:p>
        </w:tc>
        <w:tc>
          <w:tcPr>
            <w:tcW w:w="40" w:type="dxa"/>
            <w:vAlign w:val="bottom"/>
          </w:tcPr>
          <w:p w14:paraId="37E2442B" w14:textId="77777777" w:rsidR="00D1587D" w:rsidRDefault="00D1587D">
            <w:pPr>
              <w:rPr>
                <w:sz w:val="12"/>
                <w:szCs w:val="12"/>
              </w:rPr>
            </w:pPr>
          </w:p>
        </w:tc>
        <w:tc>
          <w:tcPr>
            <w:tcW w:w="800" w:type="dxa"/>
            <w:gridSpan w:val="2"/>
            <w:vAlign w:val="bottom"/>
          </w:tcPr>
          <w:p w14:paraId="7E5E01EE" w14:textId="77777777" w:rsidR="00D1587D" w:rsidRDefault="00410D07">
            <w:pPr>
              <w:spacing w:line="149" w:lineRule="exact"/>
              <w:ind w:right="20"/>
              <w:jc w:val="center"/>
              <w:rPr>
                <w:sz w:val="20"/>
                <w:szCs w:val="20"/>
              </w:rPr>
            </w:pPr>
            <w:r>
              <w:rPr>
                <w:rFonts w:ascii="Arial" w:eastAsia="Arial" w:hAnsi="Arial" w:cs="Arial"/>
                <w:b/>
                <w:bCs/>
                <w:w w:val="88"/>
                <w:sz w:val="14"/>
                <w:szCs w:val="14"/>
              </w:rPr>
              <w:t>Unexercised</w:t>
            </w:r>
          </w:p>
        </w:tc>
        <w:tc>
          <w:tcPr>
            <w:tcW w:w="40" w:type="dxa"/>
            <w:vAlign w:val="bottom"/>
          </w:tcPr>
          <w:p w14:paraId="777CFF45" w14:textId="77777777" w:rsidR="00D1587D" w:rsidRDefault="00D1587D">
            <w:pPr>
              <w:rPr>
                <w:sz w:val="12"/>
                <w:szCs w:val="12"/>
              </w:rPr>
            </w:pPr>
          </w:p>
        </w:tc>
        <w:tc>
          <w:tcPr>
            <w:tcW w:w="900" w:type="dxa"/>
            <w:gridSpan w:val="2"/>
            <w:vAlign w:val="bottom"/>
          </w:tcPr>
          <w:p w14:paraId="1159E4FE" w14:textId="77777777" w:rsidR="00D1587D" w:rsidRDefault="00410D07">
            <w:pPr>
              <w:spacing w:line="149" w:lineRule="exact"/>
              <w:ind w:right="60"/>
              <w:jc w:val="center"/>
              <w:rPr>
                <w:sz w:val="20"/>
                <w:szCs w:val="20"/>
              </w:rPr>
            </w:pPr>
            <w:r>
              <w:rPr>
                <w:rFonts w:ascii="Arial" w:eastAsia="Arial" w:hAnsi="Arial" w:cs="Arial"/>
                <w:b/>
                <w:bCs/>
                <w:w w:val="91"/>
                <w:sz w:val="14"/>
                <w:szCs w:val="14"/>
              </w:rPr>
              <w:t>Unexercised</w:t>
            </w:r>
          </w:p>
        </w:tc>
        <w:tc>
          <w:tcPr>
            <w:tcW w:w="40" w:type="dxa"/>
            <w:vAlign w:val="bottom"/>
          </w:tcPr>
          <w:p w14:paraId="40B29F8B" w14:textId="77777777" w:rsidR="00D1587D" w:rsidRDefault="00D1587D">
            <w:pPr>
              <w:rPr>
                <w:sz w:val="12"/>
                <w:szCs w:val="12"/>
              </w:rPr>
            </w:pPr>
          </w:p>
        </w:tc>
        <w:tc>
          <w:tcPr>
            <w:tcW w:w="800" w:type="dxa"/>
            <w:gridSpan w:val="2"/>
            <w:vAlign w:val="bottom"/>
          </w:tcPr>
          <w:p w14:paraId="1F9F64F9" w14:textId="77777777" w:rsidR="00D1587D" w:rsidRDefault="00410D07">
            <w:pPr>
              <w:spacing w:line="149" w:lineRule="exact"/>
              <w:ind w:right="40"/>
              <w:jc w:val="right"/>
              <w:rPr>
                <w:sz w:val="20"/>
                <w:szCs w:val="20"/>
              </w:rPr>
            </w:pPr>
            <w:r>
              <w:rPr>
                <w:rFonts w:ascii="Arial" w:eastAsia="Arial" w:hAnsi="Arial" w:cs="Arial"/>
                <w:b/>
                <w:bCs/>
                <w:w w:val="88"/>
                <w:sz w:val="14"/>
                <w:szCs w:val="14"/>
              </w:rPr>
              <w:t>Unexercised</w:t>
            </w:r>
          </w:p>
        </w:tc>
        <w:tc>
          <w:tcPr>
            <w:tcW w:w="40" w:type="dxa"/>
            <w:vAlign w:val="bottom"/>
          </w:tcPr>
          <w:p w14:paraId="40F17741" w14:textId="77777777" w:rsidR="00D1587D" w:rsidRDefault="00D1587D">
            <w:pPr>
              <w:rPr>
                <w:sz w:val="12"/>
                <w:szCs w:val="12"/>
              </w:rPr>
            </w:pPr>
          </w:p>
        </w:tc>
        <w:tc>
          <w:tcPr>
            <w:tcW w:w="620" w:type="dxa"/>
            <w:gridSpan w:val="2"/>
            <w:vMerge/>
            <w:vAlign w:val="bottom"/>
          </w:tcPr>
          <w:p w14:paraId="0A78C771" w14:textId="77777777" w:rsidR="00D1587D" w:rsidRDefault="00D1587D">
            <w:pPr>
              <w:rPr>
                <w:sz w:val="12"/>
                <w:szCs w:val="12"/>
              </w:rPr>
            </w:pPr>
          </w:p>
        </w:tc>
        <w:tc>
          <w:tcPr>
            <w:tcW w:w="760" w:type="dxa"/>
            <w:gridSpan w:val="2"/>
            <w:vMerge w:val="restart"/>
            <w:vAlign w:val="bottom"/>
          </w:tcPr>
          <w:p w14:paraId="5687F0D3" w14:textId="77777777" w:rsidR="00D1587D" w:rsidRDefault="00410D07">
            <w:pPr>
              <w:ind w:right="240"/>
              <w:jc w:val="right"/>
              <w:rPr>
                <w:sz w:val="20"/>
                <w:szCs w:val="20"/>
              </w:rPr>
            </w:pPr>
            <w:r>
              <w:rPr>
                <w:rFonts w:ascii="Arial" w:eastAsia="Arial" w:hAnsi="Arial" w:cs="Arial"/>
                <w:b/>
                <w:bCs/>
                <w:sz w:val="14"/>
                <w:szCs w:val="14"/>
              </w:rPr>
              <w:t>Option</w:t>
            </w:r>
          </w:p>
        </w:tc>
        <w:tc>
          <w:tcPr>
            <w:tcW w:w="660" w:type="dxa"/>
            <w:vAlign w:val="bottom"/>
          </w:tcPr>
          <w:p w14:paraId="382EA006" w14:textId="77777777" w:rsidR="00D1587D" w:rsidRDefault="00D1587D">
            <w:pPr>
              <w:rPr>
                <w:sz w:val="12"/>
                <w:szCs w:val="12"/>
              </w:rPr>
            </w:pPr>
          </w:p>
        </w:tc>
        <w:tc>
          <w:tcPr>
            <w:tcW w:w="80" w:type="dxa"/>
            <w:vAlign w:val="bottom"/>
          </w:tcPr>
          <w:p w14:paraId="6FBDEA0E" w14:textId="77777777" w:rsidR="00D1587D" w:rsidRDefault="00D1587D">
            <w:pPr>
              <w:rPr>
                <w:sz w:val="12"/>
                <w:szCs w:val="12"/>
              </w:rPr>
            </w:pPr>
          </w:p>
        </w:tc>
        <w:tc>
          <w:tcPr>
            <w:tcW w:w="740" w:type="dxa"/>
            <w:gridSpan w:val="2"/>
            <w:vAlign w:val="bottom"/>
          </w:tcPr>
          <w:p w14:paraId="63C92028" w14:textId="77777777" w:rsidR="00D1587D" w:rsidRDefault="00410D07">
            <w:pPr>
              <w:spacing w:line="149" w:lineRule="exact"/>
              <w:ind w:right="120"/>
              <w:jc w:val="center"/>
              <w:rPr>
                <w:sz w:val="20"/>
                <w:szCs w:val="20"/>
              </w:rPr>
            </w:pPr>
            <w:r>
              <w:rPr>
                <w:rFonts w:ascii="Arial" w:eastAsia="Arial" w:hAnsi="Arial" w:cs="Arial"/>
                <w:b/>
                <w:bCs/>
                <w:sz w:val="14"/>
                <w:szCs w:val="14"/>
              </w:rPr>
              <w:t>That</w:t>
            </w:r>
          </w:p>
        </w:tc>
        <w:tc>
          <w:tcPr>
            <w:tcW w:w="680" w:type="dxa"/>
            <w:gridSpan w:val="2"/>
            <w:vAlign w:val="bottom"/>
          </w:tcPr>
          <w:p w14:paraId="35E38F26" w14:textId="77777777" w:rsidR="00D1587D" w:rsidRDefault="00410D07">
            <w:pPr>
              <w:spacing w:line="149" w:lineRule="exact"/>
              <w:ind w:right="100"/>
              <w:jc w:val="center"/>
              <w:rPr>
                <w:sz w:val="20"/>
                <w:szCs w:val="20"/>
              </w:rPr>
            </w:pPr>
            <w:r>
              <w:rPr>
                <w:rFonts w:ascii="Arial" w:eastAsia="Arial" w:hAnsi="Arial" w:cs="Arial"/>
                <w:b/>
                <w:bCs/>
                <w:sz w:val="14"/>
                <w:szCs w:val="14"/>
              </w:rPr>
              <w:t>That</w:t>
            </w:r>
          </w:p>
        </w:tc>
        <w:tc>
          <w:tcPr>
            <w:tcW w:w="700" w:type="dxa"/>
            <w:gridSpan w:val="2"/>
            <w:vAlign w:val="bottom"/>
          </w:tcPr>
          <w:p w14:paraId="75F77EDE" w14:textId="77777777" w:rsidR="00D1587D" w:rsidRDefault="00410D07">
            <w:pPr>
              <w:spacing w:line="149" w:lineRule="exact"/>
              <w:ind w:right="120"/>
              <w:jc w:val="center"/>
              <w:rPr>
                <w:sz w:val="20"/>
                <w:szCs w:val="20"/>
              </w:rPr>
            </w:pPr>
            <w:r>
              <w:rPr>
                <w:rFonts w:ascii="Arial" w:eastAsia="Arial" w:hAnsi="Arial" w:cs="Arial"/>
                <w:b/>
                <w:bCs/>
                <w:sz w:val="14"/>
                <w:szCs w:val="14"/>
              </w:rPr>
              <w:t>That</w:t>
            </w:r>
          </w:p>
        </w:tc>
        <w:tc>
          <w:tcPr>
            <w:tcW w:w="600" w:type="dxa"/>
            <w:vAlign w:val="bottom"/>
          </w:tcPr>
          <w:p w14:paraId="32CAF13A" w14:textId="77777777" w:rsidR="00D1587D" w:rsidRDefault="00410D07">
            <w:pPr>
              <w:spacing w:line="149" w:lineRule="exact"/>
              <w:jc w:val="center"/>
              <w:rPr>
                <w:sz w:val="20"/>
                <w:szCs w:val="20"/>
              </w:rPr>
            </w:pPr>
            <w:r>
              <w:rPr>
                <w:rFonts w:ascii="Arial" w:eastAsia="Arial" w:hAnsi="Arial" w:cs="Arial"/>
                <w:b/>
                <w:bCs/>
                <w:w w:val="94"/>
                <w:sz w:val="14"/>
                <w:szCs w:val="14"/>
              </w:rPr>
              <w:t>That</w:t>
            </w:r>
          </w:p>
        </w:tc>
        <w:tc>
          <w:tcPr>
            <w:tcW w:w="0" w:type="dxa"/>
            <w:vAlign w:val="bottom"/>
          </w:tcPr>
          <w:p w14:paraId="2E950B2C" w14:textId="77777777" w:rsidR="00D1587D" w:rsidRDefault="00D1587D">
            <w:pPr>
              <w:rPr>
                <w:sz w:val="1"/>
                <w:szCs w:val="1"/>
              </w:rPr>
            </w:pPr>
          </w:p>
        </w:tc>
      </w:tr>
      <w:tr w:rsidR="00D1587D" w14:paraId="3FB95126" w14:textId="77777777">
        <w:trPr>
          <w:trHeight w:val="149"/>
        </w:trPr>
        <w:tc>
          <w:tcPr>
            <w:tcW w:w="880" w:type="dxa"/>
            <w:vAlign w:val="bottom"/>
          </w:tcPr>
          <w:p w14:paraId="24A00668" w14:textId="77777777" w:rsidR="00D1587D" w:rsidRDefault="00D1587D">
            <w:pPr>
              <w:rPr>
                <w:sz w:val="12"/>
                <w:szCs w:val="12"/>
              </w:rPr>
            </w:pPr>
          </w:p>
        </w:tc>
        <w:tc>
          <w:tcPr>
            <w:tcW w:w="40" w:type="dxa"/>
            <w:vAlign w:val="bottom"/>
          </w:tcPr>
          <w:p w14:paraId="2A2278AF" w14:textId="77777777" w:rsidR="00D1587D" w:rsidRDefault="00D1587D">
            <w:pPr>
              <w:rPr>
                <w:sz w:val="12"/>
                <w:szCs w:val="12"/>
              </w:rPr>
            </w:pPr>
          </w:p>
        </w:tc>
        <w:tc>
          <w:tcPr>
            <w:tcW w:w="40" w:type="dxa"/>
            <w:vAlign w:val="bottom"/>
          </w:tcPr>
          <w:p w14:paraId="077C8E32" w14:textId="77777777" w:rsidR="00D1587D" w:rsidRDefault="00D1587D">
            <w:pPr>
              <w:rPr>
                <w:sz w:val="12"/>
                <w:szCs w:val="12"/>
              </w:rPr>
            </w:pPr>
          </w:p>
        </w:tc>
        <w:tc>
          <w:tcPr>
            <w:tcW w:w="620" w:type="dxa"/>
            <w:gridSpan w:val="2"/>
            <w:vMerge w:val="restart"/>
            <w:vAlign w:val="bottom"/>
          </w:tcPr>
          <w:p w14:paraId="5067C59E" w14:textId="77777777" w:rsidR="00D1587D" w:rsidRDefault="00410D07">
            <w:pPr>
              <w:ind w:left="80"/>
              <w:rPr>
                <w:sz w:val="20"/>
                <w:szCs w:val="20"/>
              </w:rPr>
            </w:pPr>
            <w:r>
              <w:rPr>
                <w:rFonts w:ascii="Arial" w:eastAsia="Arial" w:hAnsi="Arial" w:cs="Arial"/>
                <w:b/>
                <w:bCs/>
                <w:sz w:val="14"/>
                <w:szCs w:val="14"/>
              </w:rPr>
              <w:t>Grant</w:t>
            </w:r>
          </w:p>
        </w:tc>
        <w:tc>
          <w:tcPr>
            <w:tcW w:w="40" w:type="dxa"/>
            <w:vAlign w:val="bottom"/>
          </w:tcPr>
          <w:p w14:paraId="381513BE" w14:textId="77777777" w:rsidR="00D1587D" w:rsidRDefault="00D1587D">
            <w:pPr>
              <w:rPr>
                <w:sz w:val="12"/>
                <w:szCs w:val="12"/>
              </w:rPr>
            </w:pPr>
          </w:p>
        </w:tc>
        <w:tc>
          <w:tcPr>
            <w:tcW w:w="800" w:type="dxa"/>
            <w:gridSpan w:val="2"/>
            <w:vAlign w:val="bottom"/>
          </w:tcPr>
          <w:p w14:paraId="1BA33598" w14:textId="77777777" w:rsidR="00D1587D" w:rsidRDefault="00410D07">
            <w:pPr>
              <w:spacing w:line="149" w:lineRule="exact"/>
              <w:ind w:right="60"/>
              <w:jc w:val="center"/>
              <w:rPr>
                <w:sz w:val="20"/>
                <w:szCs w:val="20"/>
              </w:rPr>
            </w:pPr>
            <w:r>
              <w:rPr>
                <w:rFonts w:ascii="Arial" w:eastAsia="Arial" w:hAnsi="Arial" w:cs="Arial"/>
                <w:b/>
                <w:bCs/>
                <w:w w:val="94"/>
                <w:sz w:val="14"/>
                <w:szCs w:val="14"/>
              </w:rPr>
              <w:t>Options</w:t>
            </w:r>
          </w:p>
        </w:tc>
        <w:tc>
          <w:tcPr>
            <w:tcW w:w="40" w:type="dxa"/>
            <w:vAlign w:val="bottom"/>
          </w:tcPr>
          <w:p w14:paraId="5F4BCC54" w14:textId="77777777" w:rsidR="00D1587D" w:rsidRDefault="00D1587D">
            <w:pPr>
              <w:rPr>
                <w:sz w:val="12"/>
                <w:szCs w:val="12"/>
              </w:rPr>
            </w:pPr>
          </w:p>
        </w:tc>
        <w:tc>
          <w:tcPr>
            <w:tcW w:w="900" w:type="dxa"/>
            <w:gridSpan w:val="2"/>
            <w:vAlign w:val="bottom"/>
          </w:tcPr>
          <w:p w14:paraId="79EA909F" w14:textId="77777777" w:rsidR="00D1587D" w:rsidRDefault="00410D07">
            <w:pPr>
              <w:spacing w:line="149" w:lineRule="exact"/>
              <w:ind w:right="60"/>
              <w:jc w:val="center"/>
              <w:rPr>
                <w:sz w:val="20"/>
                <w:szCs w:val="20"/>
              </w:rPr>
            </w:pPr>
            <w:r>
              <w:rPr>
                <w:rFonts w:ascii="Arial" w:eastAsia="Arial" w:hAnsi="Arial" w:cs="Arial"/>
                <w:b/>
                <w:bCs/>
                <w:w w:val="90"/>
                <w:sz w:val="14"/>
                <w:szCs w:val="14"/>
              </w:rPr>
              <w:t>Options</w:t>
            </w:r>
          </w:p>
        </w:tc>
        <w:tc>
          <w:tcPr>
            <w:tcW w:w="40" w:type="dxa"/>
            <w:vAlign w:val="bottom"/>
          </w:tcPr>
          <w:p w14:paraId="36BB295C" w14:textId="77777777" w:rsidR="00D1587D" w:rsidRDefault="00D1587D">
            <w:pPr>
              <w:rPr>
                <w:sz w:val="12"/>
                <w:szCs w:val="12"/>
              </w:rPr>
            </w:pPr>
          </w:p>
        </w:tc>
        <w:tc>
          <w:tcPr>
            <w:tcW w:w="800" w:type="dxa"/>
            <w:gridSpan w:val="2"/>
            <w:vAlign w:val="bottom"/>
          </w:tcPr>
          <w:p w14:paraId="452E832A" w14:textId="77777777" w:rsidR="00D1587D" w:rsidRDefault="00410D07">
            <w:pPr>
              <w:spacing w:line="149" w:lineRule="exact"/>
              <w:ind w:right="60"/>
              <w:jc w:val="center"/>
              <w:rPr>
                <w:sz w:val="20"/>
                <w:szCs w:val="20"/>
              </w:rPr>
            </w:pPr>
            <w:r>
              <w:rPr>
                <w:rFonts w:ascii="Arial" w:eastAsia="Arial" w:hAnsi="Arial" w:cs="Arial"/>
                <w:b/>
                <w:bCs/>
                <w:w w:val="95"/>
                <w:sz w:val="14"/>
                <w:szCs w:val="14"/>
              </w:rPr>
              <w:t>Unearned</w:t>
            </w:r>
          </w:p>
        </w:tc>
        <w:tc>
          <w:tcPr>
            <w:tcW w:w="40" w:type="dxa"/>
            <w:vAlign w:val="bottom"/>
          </w:tcPr>
          <w:p w14:paraId="246ACCCF" w14:textId="77777777" w:rsidR="00D1587D" w:rsidRDefault="00D1587D">
            <w:pPr>
              <w:rPr>
                <w:sz w:val="12"/>
                <w:szCs w:val="12"/>
              </w:rPr>
            </w:pPr>
          </w:p>
        </w:tc>
        <w:tc>
          <w:tcPr>
            <w:tcW w:w="620" w:type="dxa"/>
            <w:gridSpan w:val="2"/>
            <w:vAlign w:val="bottom"/>
          </w:tcPr>
          <w:p w14:paraId="303FDFEA" w14:textId="77777777" w:rsidR="00D1587D" w:rsidRDefault="00410D07">
            <w:pPr>
              <w:spacing w:line="149" w:lineRule="exact"/>
              <w:ind w:right="100"/>
              <w:jc w:val="right"/>
              <w:rPr>
                <w:sz w:val="20"/>
                <w:szCs w:val="20"/>
              </w:rPr>
            </w:pPr>
            <w:r>
              <w:rPr>
                <w:rFonts w:ascii="Arial" w:eastAsia="Arial" w:hAnsi="Arial" w:cs="Arial"/>
                <w:b/>
                <w:bCs/>
                <w:w w:val="86"/>
                <w:sz w:val="14"/>
                <w:szCs w:val="14"/>
              </w:rPr>
              <w:t>Exercise</w:t>
            </w:r>
          </w:p>
        </w:tc>
        <w:tc>
          <w:tcPr>
            <w:tcW w:w="760" w:type="dxa"/>
            <w:gridSpan w:val="2"/>
            <w:vMerge/>
            <w:vAlign w:val="bottom"/>
          </w:tcPr>
          <w:p w14:paraId="1D7DEF20" w14:textId="77777777" w:rsidR="00D1587D" w:rsidRDefault="00D1587D">
            <w:pPr>
              <w:rPr>
                <w:sz w:val="12"/>
                <w:szCs w:val="12"/>
              </w:rPr>
            </w:pPr>
          </w:p>
        </w:tc>
        <w:tc>
          <w:tcPr>
            <w:tcW w:w="740" w:type="dxa"/>
            <w:gridSpan w:val="2"/>
            <w:vMerge w:val="restart"/>
            <w:vAlign w:val="bottom"/>
          </w:tcPr>
          <w:p w14:paraId="034B4D4F" w14:textId="77777777" w:rsidR="00D1587D" w:rsidRDefault="00410D07">
            <w:pPr>
              <w:ind w:right="120"/>
              <w:jc w:val="center"/>
              <w:rPr>
                <w:sz w:val="20"/>
                <w:szCs w:val="20"/>
              </w:rPr>
            </w:pPr>
            <w:r>
              <w:rPr>
                <w:rFonts w:ascii="Arial" w:eastAsia="Arial" w:hAnsi="Arial" w:cs="Arial"/>
                <w:b/>
                <w:bCs/>
                <w:sz w:val="14"/>
                <w:szCs w:val="14"/>
              </w:rPr>
              <w:t>Grant</w:t>
            </w:r>
          </w:p>
        </w:tc>
        <w:tc>
          <w:tcPr>
            <w:tcW w:w="740" w:type="dxa"/>
            <w:gridSpan w:val="2"/>
            <w:vAlign w:val="bottom"/>
          </w:tcPr>
          <w:p w14:paraId="7AE18964" w14:textId="77777777" w:rsidR="00D1587D" w:rsidRDefault="00410D07">
            <w:pPr>
              <w:spacing w:line="149" w:lineRule="exact"/>
              <w:ind w:right="120"/>
              <w:jc w:val="center"/>
              <w:rPr>
                <w:sz w:val="20"/>
                <w:szCs w:val="20"/>
              </w:rPr>
            </w:pPr>
            <w:r>
              <w:rPr>
                <w:rFonts w:ascii="Arial" w:eastAsia="Arial" w:hAnsi="Arial" w:cs="Arial"/>
                <w:b/>
                <w:bCs/>
                <w:w w:val="95"/>
                <w:sz w:val="14"/>
                <w:szCs w:val="14"/>
              </w:rPr>
              <w:t>Have Not</w:t>
            </w:r>
          </w:p>
        </w:tc>
        <w:tc>
          <w:tcPr>
            <w:tcW w:w="680" w:type="dxa"/>
            <w:gridSpan w:val="2"/>
            <w:vAlign w:val="bottom"/>
          </w:tcPr>
          <w:p w14:paraId="3960BC4A" w14:textId="77777777" w:rsidR="00D1587D" w:rsidRDefault="00410D07">
            <w:pPr>
              <w:spacing w:line="149" w:lineRule="exact"/>
              <w:ind w:right="60"/>
              <w:jc w:val="center"/>
              <w:rPr>
                <w:sz w:val="20"/>
                <w:szCs w:val="20"/>
              </w:rPr>
            </w:pPr>
            <w:r>
              <w:rPr>
                <w:rFonts w:ascii="Arial" w:eastAsia="Arial" w:hAnsi="Arial" w:cs="Arial"/>
                <w:b/>
                <w:bCs/>
                <w:w w:val="95"/>
                <w:sz w:val="14"/>
                <w:szCs w:val="14"/>
              </w:rPr>
              <w:t>Have Not</w:t>
            </w:r>
          </w:p>
        </w:tc>
        <w:tc>
          <w:tcPr>
            <w:tcW w:w="700" w:type="dxa"/>
            <w:gridSpan w:val="2"/>
            <w:vAlign w:val="bottom"/>
          </w:tcPr>
          <w:p w14:paraId="4F243022" w14:textId="77777777" w:rsidR="00D1587D" w:rsidRDefault="00410D07">
            <w:pPr>
              <w:spacing w:line="149" w:lineRule="exact"/>
              <w:ind w:right="80"/>
              <w:jc w:val="center"/>
              <w:rPr>
                <w:sz w:val="20"/>
                <w:szCs w:val="20"/>
              </w:rPr>
            </w:pPr>
            <w:r>
              <w:rPr>
                <w:rFonts w:ascii="Arial" w:eastAsia="Arial" w:hAnsi="Arial" w:cs="Arial"/>
                <w:b/>
                <w:bCs/>
                <w:w w:val="95"/>
                <w:sz w:val="14"/>
                <w:szCs w:val="14"/>
              </w:rPr>
              <w:t>Have Not</w:t>
            </w:r>
          </w:p>
        </w:tc>
        <w:tc>
          <w:tcPr>
            <w:tcW w:w="600" w:type="dxa"/>
            <w:vAlign w:val="bottom"/>
          </w:tcPr>
          <w:p w14:paraId="3A576C9B" w14:textId="77777777" w:rsidR="00D1587D" w:rsidRDefault="00410D07">
            <w:pPr>
              <w:spacing w:line="149" w:lineRule="exact"/>
              <w:jc w:val="center"/>
              <w:rPr>
                <w:sz w:val="20"/>
                <w:szCs w:val="20"/>
              </w:rPr>
            </w:pPr>
            <w:r>
              <w:rPr>
                <w:rFonts w:ascii="Arial" w:eastAsia="Arial" w:hAnsi="Arial" w:cs="Arial"/>
                <w:b/>
                <w:bCs/>
                <w:w w:val="95"/>
                <w:sz w:val="14"/>
                <w:szCs w:val="14"/>
              </w:rPr>
              <w:t>Have Not</w:t>
            </w:r>
          </w:p>
        </w:tc>
        <w:tc>
          <w:tcPr>
            <w:tcW w:w="0" w:type="dxa"/>
            <w:vAlign w:val="bottom"/>
          </w:tcPr>
          <w:p w14:paraId="46EE517F" w14:textId="77777777" w:rsidR="00D1587D" w:rsidRDefault="00D1587D">
            <w:pPr>
              <w:rPr>
                <w:sz w:val="1"/>
                <w:szCs w:val="1"/>
              </w:rPr>
            </w:pPr>
          </w:p>
        </w:tc>
      </w:tr>
      <w:tr w:rsidR="00D1587D" w14:paraId="1B270E06" w14:textId="77777777">
        <w:trPr>
          <w:trHeight w:val="148"/>
        </w:trPr>
        <w:tc>
          <w:tcPr>
            <w:tcW w:w="920" w:type="dxa"/>
            <w:gridSpan w:val="2"/>
            <w:vMerge w:val="restart"/>
            <w:vAlign w:val="bottom"/>
          </w:tcPr>
          <w:p w14:paraId="436AFABE" w14:textId="77777777" w:rsidR="00D1587D" w:rsidRDefault="00410D07">
            <w:pPr>
              <w:rPr>
                <w:sz w:val="20"/>
                <w:szCs w:val="20"/>
              </w:rPr>
            </w:pPr>
            <w:r>
              <w:rPr>
                <w:rFonts w:ascii="Arial" w:eastAsia="Arial" w:hAnsi="Arial" w:cs="Arial"/>
                <w:b/>
                <w:bCs/>
                <w:sz w:val="14"/>
                <w:szCs w:val="14"/>
              </w:rPr>
              <w:t>Name</w:t>
            </w:r>
          </w:p>
        </w:tc>
        <w:tc>
          <w:tcPr>
            <w:tcW w:w="40" w:type="dxa"/>
            <w:vAlign w:val="bottom"/>
          </w:tcPr>
          <w:p w14:paraId="7A221FFD" w14:textId="77777777" w:rsidR="00D1587D" w:rsidRDefault="00D1587D">
            <w:pPr>
              <w:rPr>
                <w:sz w:val="12"/>
                <w:szCs w:val="12"/>
              </w:rPr>
            </w:pPr>
          </w:p>
        </w:tc>
        <w:tc>
          <w:tcPr>
            <w:tcW w:w="620" w:type="dxa"/>
            <w:gridSpan w:val="2"/>
            <w:vMerge/>
            <w:vAlign w:val="bottom"/>
          </w:tcPr>
          <w:p w14:paraId="0A322C5E" w14:textId="77777777" w:rsidR="00D1587D" w:rsidRDefault="00D1587D">
            <w:pPr>
              <w:rPr>
                <w:sz w:val="12"/>
                <w:szCs w:val="12"/>
              </w:rPr>
            </w:pPr>
          </w:p>
        </w:tc>
        <w:tc>
          <w:tcPr>
            <w:tcW w:w="40" w:type="dxa"/>
            <w:vAlign w:val="bottom"/>
          </w:tcPr>
          <w:p w14:paraId="41DCC493" w14:textId="77777777" w:rsidR="00D1587D" w:rsidRDefault="00D1587D">
            <w:pPr>
              <w:rPr>
                <w:sz w:val="12"/>
                <w:szCs w:val="12"/>
              </w:rPr>
            </w:pPr>
          </w:p>
        </w:tc>
        <w:tc>
          <w:tcPr>
            <w:tcW w:w="800" w:type="dxa"/>
            <w:gridSpan w:val="2"/>
            <w:vAlign w:val="bottom"/>
          </w:tcPr>
          <w:p w14:paraId="4D6E1E9B" w14:textId="77777777" w:rsidR="00D1587D" w:rsidRDefault="00410D07">
            <w:pPr>
              <w:spacing w:line="149" w:lineRule="exact"/>
              <w:ind w:right="60"/>
              <w:jc w:val="center"/>
              <w:rPr>
                <w:sz w:val="20"/>
                <w:szCs w:val="20"/>
              </w:rPr>
            </w:pPr>
            <w:r>
              <w:rPr>
                <w:rFonts w:ascii="Arial" w:eastAsia="Arial" w:hAnsi="Arial" w:cs="Arial"/>
                <w:b/>
                <w:bCs/>
                <w:w w:val="89"/>
                <w:sz w:val="14"/>
                <w:szCs w:val="14"/>
              </w:rPr>
              <w:t>Exercisable</w:t>
            </w:r>
          </w:p>
        </w:tc>
        <w:tc>
          <w:tcPr>
            <w:tcW w:w="40" w:type="dxa"/>
            <w:vAlign w:val="bottom"/>
          </w:tcPr>
          <w:p w14:paraId="14990D08" w14:textId="77777777" w:rsidR="00D1587D" w:rsidRDefault="00D1587D">
            <w:pPr>
              <w:rPr>
                <w:sz w:val="12"/>
                <w:szCs w:val="12"/>
              </w:rPr>
            </w:pPr>
          </w:p>
        </w:tc>
        <w:tc>
          <w:tcPr>
            <w:tcW w:w="900" w:type="dxa"/>
            <w:gridSpan w:val="2"/>
            <w:vAlign w:val="bottom"/>
          </w:tcPr>
          <w:p w14:paraId="4E95B4E3" w14:textId="77777777" w:rsidR="00D1587D" w:rsidRDefault="00410D07">
            <w:pPr>
              <w:spacing w:line="149" w:lineRule="exact"/>
              <w:ind w:right="40"/>
              <w:jc w:val="center"/>
              <w:rPr>
                <w:sz w:val="20"/>
                <w:szCs w:val="20"/>
              </w:rPr>
            </w:pPr>
            <w:r>
              <w:rPr>
                <w:rFonts w:ascii="Arial" w:eastAsia="Arial" w:hAnsi="Arial" w:cs="Arial"/>
                <w:b/>
                <w:bCs/>
                <w:w w:val="90"/>
                <w:sz w:val="14"/>
                <w:szCs w:val="14"/>
              </w:rPr>
              <w:t>Unexercisable</w:t>
            </w:r>
          </w:p>
        </w:tc>
        <w:tc>
          <w:tcPr>
            <w:tcW w:w="40" w:type="dxa"/>
            <w:vAlign w:val="bottom"/>
          </w:tcPr>
          <w:p w14:paraId="60493F28" w14:textId="77777777" w:rsidR="00D1587D" w:rsidRDefault="00D1587D">
            <w:pPr>
              <w:rPr>
                <w:sz w:val="12"/>
                <w:szCs w:val="12"/>
              </w:rPr>
            </w:pPr>
          </w:p>
        </w:tc>
        <w:tc>
          <w:tcPr>
            <w:tcW w:w="800" w:type="dxa"/>
            <w:gridSpan w:val="2"/>
            <w:vAlign w:val="bottom"/>
          </w:tcPr>
          <w:p w14:paraId="7508C170" w14:textId="77777777" w:rsidR="00D1587D" w:rsidRDefault="00410D07">
            <w:pPr>
              <w:spacing w:line="149" w:lineRule="exact"/>
              <w:ind w:right="60"/>
              <w:jc w:val="center"/>
              <w:rPr>
                <w:sz w:val="20"/>
                <w:szCs w:val="20"/>
              </w:rPr>
            </w:pPr>
            <w:r>
              <w:rPr>
                <w:rFonts w:ascii="Arial" w:eastAsia="Arial" w:hAnsi="Arial" w:cs="Arial"/>
                <w:b/>
                <w:bCs/>
                <w:w w:val="94"/>
                <w:sz w:val="14"/>
                <w:szCs w:val="14"/>
              </w:rPr>
              <w:t>Options</w:t>
            </w:r>
          </w:p>
        </w:tc>
        <w:tc>
          <w:tcPr>
            <w:tcW w:w="40" w:type="dxa"/>
            <w:vAlign w:val="bottom"/>
          </w:tcPr>
          <w:p w14:paraId="6BF1D2B5" w14:textId="77777777" w:rsidR="00D1587D" w:rsidRDefault="00D1587D">
            <w:pPr>
              <w:rPr>
                <w:sz w:val="12"/>
                <w:szCs w:val="12"/>
              </w:rPr>
            </w:pPr>
          </w:p>
        </w:tc>
        <w:tc>
          <w:tcPr>
            <w:tcW w:w="620" w:type="dxa"/>
            <w:gridSpan w:val="2"/>
            <w:vAlign w:val="bottom"/>
          </w:tcPr>
          <w:p w14:paraId="372D4EAF" w14:textId="77777777" w:rsidR="00D1587D" w:rsidRDefault="00410D07">
            <w:pPr>
              <w:spacing w:line="149" w:lineRule="exact"/>
              <w:ind w:right="100"/>
              <w:jc w:val="center"/>
              <w:rPr>
                <w:sz w:val="20"/>
                <w:szCs w:val="20"/>
              </w:rPr>
            </w:pPr>
            <w:r>
              <w:rPr>
                <w:rFonts w:ascii="Arial" w:eastAsia="Arial" w:hAnsi="Arial" w:cs="Arial"/>
                <w:b/>
                <w:bCs/>
                <w:w w:val="93"/>
                <w:sz w:val="14"/>
                <w:szCs w:val="14"/>
              </w:rPr>
              <w:t>Price</w:t>
            </w:r>
          </w:p>
        </w:tc>
        <w:tc>
          <w:tcPr>
            <w:tcW w:w="760" w:type="dxa"/>
            <w:gridSpan w:val="2"/>
            <w:vAlign w:val="bottom"/>
          </w:tcPr>
          <w:p w14:paraId="60305CD3" w14:textId="77777777" w:rsidR="00D1587D" w:rsidRDefault="00410D07">
            <w:pPr>
              <w:spacing w:line="149" w:lineRule="exact"/>
              <w:ind w:right="100"/>
              <w:jc w:val="right"/>
              <w:rPr>
                <w:sz w:val="20"/>
                <w:szCs w:val="20"/>
              </w:rPr>
            </w:pPr>
            <w:r>
              <w:rPr>
                <w:rFonts w:ascii="Arial" w:eastAsia="Arial" w:hAnsi="Arial" w:cs="Arial"/>
                <w:b/>
                <w:bCs/>
                <w:w w:val="93"/>
                <w:sz w:val="14"/>
                <w:szCs w:val="14"/>
              </w:rPr>
              <w:t>Expiration</w:t>
            </w:r>
          </w:p>
        </w:tc>
        <w:tc>
          <w:tcPr>
            <w:tcW w:w="740" w:type="dxa"/>
            <w:gridSpan w:val="2"/>
            <w:vMerge/>
            <w:vAlign w:val="bottom"/>
          </w:tcPr>
          <w:p w14:paraId="3A65EEE8" w14:textId="77777777" w:rsidR="00D1587D" w:rsidRDefault="00D1587D">
            <w:pPr>
              <w:rPr>
                <w:sz w:val="12"/>
                <w:szCs w:val="12"/>
              </w:rPr>
            </w:pPr>
          </w:p>
        </w:tc>
        <w:tc>
          <w:tcPr>
            <w:tcW w:w="740" w:type="dxa"/>
            <w:gridSpan w:val="2"/>
            <w:vAlign w:val="bottom"/>
          </w:tcPr>
          <w:p w14:paraId="738B1577" w14:textId="77777777" w:rsidR="00D1587D" w:rsidRDefault="00410D07">
            <w:pPr>
              <w:spacing w:line="149" w:lineRule="exact"/>
              <w:ind w:right="100"/>
              <w:jc w:val="center"/>
              <w:rPr>
                <w:sz w:val="20"/>
                <w:szCs w:val="20"/>
              </w:rPr>
            </w:pPr>
            <w:r>
              <w:rPr>
                <w:rFonts w:ascii="Arial" w:eastAsia="Arial" w:hAnsi="Arial" w:cs="Arial"/>
                <w:b/>
                <w:bCs/>
                <w:w w:val="87"/>
                <w:sz w:val="14"/>
                <w:szCs w:val="14"/>
              </w:rPr>
              <w:t>Vested</w:t>
            </w:r>
          </w:p>
        </w:tc>
        <w:tc>
          <w:tcPr>
            <w:tcW w:w="680" w:type="dxa"/>
            <w:gridSpan w:val="2"/>
            <w:vAlign w:val="bottom"/>
          </w:tcPr>
          <w:p w14:paraId="39C3789B" w14:textId="77777777" w:rsidR="00D1587D" w:rsidRDefault="00410D07">
            <w:pPr>
              <w:spacing w:line="149" w:lineRule="exact"/>
              <w:ind w:right="120"/>
              <w:jc w:val="center"/>
              <w:rPr>
                <w:sz w:val="20"/>
                <w:szCs w:val="20"/>
              </w:rPr>
            </w:pPr>
            <w:r>
              <w:rPr>
                <w:rFonts w:ascii="Arial" w:eastAsia="Arial" w:hAnsi="Arial" w:cs="Arial"/>
                <w:b/>
                <w:bCs/>
                <w:w w:val="87"/>
                <w:sz w:val="14"/>
                <w:szCs w:val="14"/>
              </w:rPr>
              <w:t>Vested</w:t>
            </w:r>
          </w:p>
        </w:tc>
        <w:tc>
          <w:tcPr>
            <w:tcW w:w="700" w:type="dxa"/>
            <w:gridSpan w:val="2"/>
            <w:vAlign w:val="bottom"/>
          </w:tcPr>
          <w:p w14:paraId="1AF6AE40" w14:textId="77777777" w:rsidR="00D1587D" w:rsidRDefault="00410D07">
            <w:pPr>
              <w:spacing w:line="149" w:lineRule="exact"/>
              <w:ind w:right="120"/>
              <w:jc w:val="center"/>
              <w:rPr>
                <w:sz w:val="20"/>
                <w:szCs w:val="20"/>
              </w:rPr>
            </w:pPr>
            <w:r>
              <w:rPr>
                <w:rFonts w:ascii="Arial" w:eastAsia="Arial" w:hAnsi="Arial" w:cs="Arial"/>
                <w:b/>
                <w:bCs/>
                <w:w w:val="91"/>
                <w:sz w:val="14"/>
                <w:szCs w:val="14"/>
              </w:rPr>
              <w:t>Vested</w:t>
            </w:r>
          </w:p>
        </w:tc>
        <w:tc>
          <w:tcPr>
            <w:tcW w:w="600" w:type="dxa"/>
            <w:vAlign w:val="bottom"/>
          </w:tcPr>
          <w:p w14:paraId="04877BDC" w14:textId="77777777" w:rsidR="00D1587D" w:rsidRDefault="00410D07">
            <w:pPr>
              <w:spacing w:line="149" w:lineRule="exact"/>
              <w:jc w:val="center"/>
              <w:rPr>
                <w:sz w:val="20"/>
                <w:szCs w:val="20"/>
              </w:rPr>
            </w:pPr>
            <w:r>
              <w:rPr>
                <w:rFonts w:ascii="Arial" w:eastAsia="Arial" w:hAnsi="Arial" w:cs="Arial"/>
                <w:b/>
                <w:bCs/>
                <w:w w:val="87"/>
                <w:sz w:val="14"/>
                <w:szCs w:val="14"/>
              </w:rPr>
              <w:t>Vested</w:t>
            </w:r>
          </w:p>
        </w:tc>
        <w:tc>
          <w:tcPr>
            <w:tcW w:w="0" w:type="dxa"/>
            <w:vAlign w:val="bottom"/>
          </w:tcPr>
          <w:p w14:paraId="5CA759A6" w14:textId="77777777" w:rsidR="00D1587D" w:rsidRDefault="00D1587D">
            <w:pPr>
              <w:rPr>
                <w:sz w:val="1"/>
                <w:szCs w:val="1"/>
              </w:rPr>
            </w:pPr>
          </w:p>
        </w:tc>
      </w:tr>
      <w:tr w:rsidR="00D1587D" w14:paraId="4255864B" w14:textId="77777777">
        <w:trPr>
          <w:trHeight w:val="186"/>
        </w:trPr>
        <w:tc>
          <w:tcPr>
            <w:tcW w:w="920" w:type="dxa"/>
            <w:gridSpan w:val="2"/>
            <w:vMerge/>
            <w:vAlign w:val="bottom"/>
          </w:tcPr>
          <w:p w14:paraId="4451B20E" w14:textId="77777777" w:rsidR="00D1587D" w:rsidRDefault="00D1587D">
            <w:pPr>
              <w:rPr>
                <w:sz w:val="16"/>
                <w:szCs w:val="16"/>
              </w:rPr>
            </w:pPr>
          </w:p>
        </w:tc>
        <w:tc>
          <w:tcPr>
            <w:tcW w:w="40" w:type="dxa"/>
            <w:vAlign w:val="bottom"/>
          </w:tcPr>
          <w:p w14:paraId="0D288D91" w14:textId="77777777" w:rsidR="00D1587D" w:rsidRDefault="00D1587D">
            <w:pPr>
              <w:rPr>
                <w:sz w:val="16"/>
                <w:szCs w:val="16"/>
              </w:rPr>
            </w:pPr>
          </w:p>
        </w:tc>
        <w:tc>
          <w:tcPr>
            <w:tcW w:w="620" w:type="dxa"/>
            <w:gridSpan w:val="2"/>
            <w:vAlign w:val="bottom"/>
          </w:tcPr>
          <w:p w14:paraId="67CBBC47" w14:textId="77777777" w:rsidR="00D1587D" w:rsidRDefault="00410D07">
            <w:pPr>
              <w:ind w:left="140"/>
              <w:rPr>
                <w:sz w:val="20"/>
                <w:szCs w:val="20"/>
              </w:rPr>
            </w:pPr>
            <w:r>
              <w:rPr>
                <w:rFonts w:ascii="Arial" w:eastAsia="Arial" w:hAnsi="Arial" w:cs="Arial"/>
                <w:b/>
                <w:bCs/>
                <w:sz w:val="14"/>
                <w:szCs w:val="14"/>
              </w:rPr>
              <w:t>Date</w:t>
            </w:r>
          </w:p>
        </w:tc>
        <w:tc>
          <w:tcPr>
            <w:tcW w:w="800" w:type="dxa"/>
            <w:gridSpan w:val="2"/>
            <w:vAlign w:val="bottom"/>
          </w:tcPr>
          <w:p w14:paraId="0E02F060" w14:textId="77777777" w:rsidR="00D1587D" w:rsidRDefault="00410D07">
            <w:pPr>
              <w:jc w:val="center"/>
              <w:rPr>
                <w:sz w:val="20"/>
                <w:szCs w:val="20"/>
              </w:rPr>
            </w:pPr>
            <w:r>
              <w:rPr>
                <w:rFonts w:ascii="Arial" w:eastAsia="Arial" w:hAnsi="Arial" w:cs="Arial"/>
                <w:b/>
                <w:bCs/>
                <w:w w:val="93"/>
                <w:sz w:val="14"/>
                <w:szCs w:val="14"/>
              </w:rPr>
              <w:t>(#)</w:t>
            </w:r>
          </w:p>
        </w:tc>
        <w:tc>
          <w:tcPr>
            <w:tcW w:w="40" w:type="dxa"/>
            <w:vAlign w:val="bottom"/>
          </w:tcPr>
          <w:p w14:paraId="21CC3AAA" w14:textId="77777777" w:rsidR="00D1587D" w:rsidRDefault="00D1587D">
            <w:pPr>
              <w:rPr>
                <w:sz w:val="16"/>
                <w:szCs w:val="16"/>
              </w:rPr>
            </w:pPr>
          </w:p>
        </w:tc>
        <w:tc>
          <w:tcPr>
            <w:tcW w:w="900" w:type="dxa"/>
            <w:gridSpan w:val="2"/>
            <w:vAlign w:val="bottom"/>
          </w:tcPr>
          <w:p w14:paraId="32F3508B" w14:textId="77777777" w:rsidR="00D1587D" w:rsidRDefault="00410D07">
            <w:pPr>
              <w:jc w:val="center"/>
              <w:rPr>
                <w:sz w:val="20"/>
                <w:szCs w:val="20"/>
              </w:rPr>
            </w:pPr>
            <w:r>
              <w:rPr>
                <w:rFonts w:ascii="Arial" w:eastAsia="Arial" w:hAnsi="Arial" w:cs="Arial"/>
                <w:b/>
                <w:bCs/>
                <w:w w:val="93"/>
                <w:sz w:val="14"/>
                <w:szCs w:val="14"/>
              </w:rPr>
              <w:t>(#)</w:t>
            </w:r>
          </w:p>
        </w:tc>
        <w:tc>
          <w:tcPr>
            <w:tcW w:w="40" w:type="dxa"/>
            <w:vAlign w:val="bottom"/>
          </w:tcPr>
          <w:p w14:paraId="3B65B498" w14:textId="77777777" w:rsidR="00D1587D" w:rsidRDefault="00D1587D">
            <w:pPr>
              <w:rPr>
                <w:sz w:val="16"/>
                <w:szCs w:val="16"/>
              </w:rPr>
            </w:pPr>
          </w:p>
        </w:tc>
        <w:tc>
          <w:tcPr>
            <w:tcW w:w="800" w:type="dxa"/>
            <w:gridSpan w:val="2"/>
            <w:vAlign w:val="bottom"/>
          </w:tcPr>
          <w:p w14:paraId="47CE0BBA" w14:textId="77777777" w:rsidR="00D1587D" w:rsidRDefault="00410D07">
            <w:pPr>
              <w:jc w:val="center"/>
              <w:rPr>
                <w:sz w:val="20"/>
                <w:szCs w:val="20"/>
              </w:rPr>
            </w:pPr>
            <w:r>
              <w:rPr>
                <w:rFonts w:ascii="Arial" w:eastAsia="Arial" w:hAnsi="Arial" w:cs="Arial"/>
                <w:b/>
                <w:bCs/>
                <w:sz w:val="14"/>
                <w:szCs w:val="14"/>
              </w:rPr>
              <w:t>(#)</w:t>
            </w:r>
          </w:p>
        </w:tc>
        <w:tc>
          <w:tcPr>
            <w:tcW w:w="40" w:type="dxa"/>
            <w:vAlign w:val="bottom"/>
          </w:tcPr>
          <w:p w14:paraId="46A4B69C" w14:textId="77777777" w:rsidR="00D1587D" w:rsidRDefault="00D1587D">
            <w:pPr>
              <w:rPr>
                <w:sz w:val="16"/>
                <w:szCs w:val="16"/>
              </w:rPr>
            </w:pPr>
          </w:p>
        </w:tc>
        <w:tc>
          <w:tcPr>
            <w:tcW w:w="580" w:type="dxa"/>
            <w:gridSpan w:val="2"/>
            <w:vAlign w:val="bottom"/>
          </w:tcPr>
          <w:p w14:paraId="37FE68EC" w14:textId="77777777" w:rsidR="00D1587D" w:rsidRDefault="00410D07">
            <w:pPr>
              <w:jc w:val="center"/>
              <w:rPr>
                <w:sz w:val="20"/>
                <w:szCs w:val="20"/>
              </w:rPr>
            </w:pPr>
            <w:r>
              <w:rPr>
                <w:rFonts w:ascii="Arial" w:eastAsia="Arial" w:hAnsi="Arial" w:cs="Arial"/>
                <w:b/>
                <w:bCs/>
                <w:sz w:val="14"/>
                <w:szCs w:val="14"/>
              </w:rPr>
              <w:t>($)</w:t>
            </w:r>
          </w:p>
        </w:tc>
        <w:tc>
          <w:tcPr>
            <w:tcW w:w="80" w:type="dxa"/>
            <w:vAlign w:val="bottom"/>
          </w:tcPr>
          <w:p w14:paraId="360BEEF1" w14:textId="77777777" w:rsidR="00D1587D" w:rsidRDefault="00D1587D">
            <w:pPr>
              <w:rPr>
                <w:sz w:val="16"/>
                <w:szCs w:val="16"/>
              </w:rPr>
            </w:pPr>
          </w:p>
        </w:tc>
        <w:tc>
          <w:tcPr>
            <w:tcW w:w="760" w:type="dxa"/>
            <w:gridSpan w:val="2"/>
            <w:vAlign w:val="bottom"/>
          </w:tcPr>
          <w:p w14:paraId="02DA58CA" w14:textId="77777777" w:rsidR="00D1587D" w:rsidRDefault="00410D07">
            <w:pPr>
              <w:ind w:right="280"/>
              <w:jc w:val="right"/>
              <w:rPr>
                <w:sz w:val="20"/>
                <w:szCs w:val="20"/>
              </w:rPr>
            </w:pPr>
            <w:r>
              <w:rPr>
                <w:rFonts w:ascii="Arial" w:eastAsia="Arial" w:hAnsi="Arial" w:cs="Arial"/>
                <w:b/>
                <w:bCs/>
                <w:sz w:val="14"/>
                <w:szCs w:val="14"/>
              </w:rPr>
              <w:t>Date</w:t>
            </w:r>
          </w:p>
        </w:tc>
        <w:tc>
          <w:tcPr>
            <w:tcW w:w="740" w:type="dxa"/>
            <w:gridSpan w:val="2"/>
            <w:vAlign w:val="bottom"/>
          </w:tcPr>
          <w:p w14:paraId="0D8CEA91" w14:textId="77777777" w:rsidR="00D1587D" w:rsidRDefault="00410D07">
            <w:pPr>
              <w:ind w:right="100"/>
              <w:jc w:val="center"/>
              <w:rPr>
                <w:sz w:val="20"/>
                <w:szCs w:val="20"/>
              </w:rPr>
            </w:pPr>
            <w:r>
              <w:rPr>
                <w:rFonts w:ascii="Arial" w:eastAsia="Arial" w:hAnsi="Arial" w:cs="Arial"/>
                <w:b/>
                <w:bCs/>
                <w:w w:val="92"/>
                <w:sz w:val="14"/>
                <w:szCs w:val="14"/>
              </w:rPr>
              <w:t>Date</w:t>
            </w:r>
          </w:p>
        </w:tc>
        <w:tc>
          <w:tcPr>
            <w:tcW w:w="660" w:type="dxa"/>
            <w:vAlign w:val="bottom"/>
          </w:tcPr>
          <w:p w14:paraId="720F8475" w14:textId="77777777" w:rsidR="00D1587D" w:rsidRDefault="00410D07">
            <w:pPr>
              <w:jc w:val="center"/>
              <w:rPr>
                <w:sz w:val="20"/>
                <w:szCs w:val="20"/>
              </w:rPr>
            </w:pPr>
            <w:r>
              <w:rPr>
                <w:rFonts w:ascii="Arial" w:eastAsia="Arial" w:hAnsi="Arial" w:cs="Arial"/>
                <w:b/>
                <w:bCs/>
                <w:sz w:val="14"/>
                <w:szCs w:val="14"/>
              </w:rPr>
              <w:t>(#)</w:t>
            </w:r>
          </w:p>
        </w:tc>
        <w:tc>
          <w:tcPr>
            <w:tcW w:w="80" w:type="dxa"/>
            <w:vAlign w:val="bottom"/>
          </w:tcPr>
          <w:p w14:paraId="58596DCB" w14:textId="77777777" w:rsidR="00D1587D" w:rsidRDefault="00D1587D">
            <w:pPr>
              <w:rPr>
                <w:sz w:val="16"/>
                <w:szCs w:val="16"/>
              </w:rPr>
            </w:pPr>
          </w:p>
        </w:tc>
        <w:tc>
          <w:tcPr>
            <w:tcW w:w="600" w:type="dxa"/>
            <w:vAlign w:val="bottom"/>
          </w:tcPr>
          <w:p w14:paraId="79D5F729" w14:textId="77777777" w:rsidR="00D1587D" w:rsidRDefault="00410D07">
            <w:pPr>
              <w:jc w:val="center"/>
              <w:rPr>
                <w:sz w:val="20"/>
                <w:szCs w:val="20"/>
              </w:rPr>
            </w:pPr>
            <w:r>
              <w:rPr>
                <w:rFonts w:ascii="Arial" w:eastAsia="Arial" w:hAnsi="Arial" w:cs="Arial"/>
                <w:b/>
                <w:bCs/>
                <w:w w:val="93"/>
                <w:sz w:val="14"/>
                <w:szCs w:val="14"/>
              </w:rPr>
              <w:t>($)</w:t>
            </w:r>
          </w:p>
        </w:tc>
        <w:tc>
          <w:tcPr>
            <w:tcW w:w="80" w:type="dxa"/>
            <w:vAlign w:val="bottom"/>
          </w:tcPr>
          <w:p w14:paraId="2077C7BF" w14:textId="77777777" w:rsidR="00D1587D" w:rsidRDefault="00D1587D">
            <w:pPr>
              <w:rPr>
                <w:sz w:val="16"/>
                <w:szCs w:val="16"/>
              </w:rPr>
            </w:pPr>
          </w:p>
        </w:tc>
        <w:tc>
          <w:tcPr>
            <w:tcW w:w="620" w:type="dxa"/>
            <w:vAlign w:val="bottom"/>
          </w:tcPr>
          <w:p w14:paraId="2E36BAF0" w14:textId="77777777" w:rsidR="00D1587D" w:rsidRDefault="00410D07">
            <w:pPr>
              <w:jc w:val="center"/>
              <w:rPr>
                <w:sz w:val="20"/>
                <w:szCs w:val="20"/>
              </w:rPr>
            </w:pPr>
            <w:r>
              <w:rPr>
                <w:rFonts w:ascii="Arial" w:eastAsia="Arial" w:hAnsi="Arial" w:cs="Arial"/>
                <w:b/>
                <w:bCs/>
                <w:sz w:val="14"/>
                <w:szCs w:val="14"/>
              </w:rPr>
              <w:t>(#)</w:t>
            </w:r>
          </w:p>
        </w:tc>
        <w:tc>
          <w:tcPr>
            <w:tcW w:w="80" w:type="dxa"/>
            <w:vAlign w:val="bottom"/>
          </w:tcPr>
          <w:p w14:paraId="04AE46C8" w14:textId="77777777" w:rsidR="00D1587D" w:rsidRDefault="00D1587D">
            <w:pPr>
              <w:rPr>
                <w:sz w:val="16"/>
                <w:szCs w:val="16"/>
              </w:rPr>
            </w:pPr>
          </w:p>
        </w:tc>
        <w:tc>
          <w:tcPr>
            <w:tcW w:w="600" w:type="dxa"/>
            <w:vAlign w:val="bottom"/>
          </w:tcPr>
          <w:p w14:paraId="2CDE25F9" w14:textId="77777777" w:rsidR="00D1587D" w:rsidRDefault="00410D07">
            <w:pPr>
              <w:jc w:val="center"/>
              <w:rPr>
                <w:sz w:val="20"/>
                <w:szCs w:val="20"/>
              </w:rPr>
            </w:pPr>
            <w:r>
              <w:rPr>
                <w:rFonts w:ascii="Arial" w:eastAsia="Arial" w:hAnsi="Arial" w:cs="Arial"/>
                <w:b/>
                <w:bCs/>
                <w:w w:val="93"/>
                <w:sz w:val="14"/>
                <w:szCs w:val="14"/>
              </w:rPr>
              <w:t>($)</w:t>
            </w:r>
          </w:p>
        </w:tc>
        <w:tc>
          <w:tcPr>
            <w:tcW w:w="0" w:type="dxa"/>
            <w:vAlign w:val="bottom"/>
          </w:tcPr>
          <w:p w14:paraId="61638797" w14:textId="77777777" w:rsidR="00D1587D" w:rsidRDefault="00D1587D">
            <w:pPr>
              <w:rPr>
                <w:sz w:val="1"/>
                <w:szCs w:val="1"/>
              </w:rPr>
            </w:pPr>
          </w:p>
        </w:tc>
      </w:tr>
      <w:tr w:rsidR="00D1587D" w14:paraId="74015863" w14:textId="77777777">
        <w:trPr>
          <w:trHeight w:val="53"/>
        </w:trPr>
        <w:tc>
          <w:tcPr>
            <w:tcW w:w="880" w:type="dxa"/>
            <w:tcBorders>
              <w:bottom w:val="single" w:sz="8" w:space="0" w:color="auto"/>
            </w:tcBorders>
            <w:vAlign w:val="bottom"/>
          </w:tcPr>
          <w:p w14:paraId="660DCE4D" w14:textId="77777777" w:rsidR="00D1587D" w:rsidRDefault="00D1587D">
            <w:pPr>
              <w:rPr>
                <w:sz w:val="4"/>
                <w:szCs w:val="4"/>
              </w:rPr>
            </w:pPr>
          </w:p>
        </w:tc>
        <w:tc>
          <w:tcPr>
            <w:tcW w:w="40" w:type="dxa"/>
            <w:tcBorders>
              <w:bottom w:val="single" w:sz="8" w:space="0" w:color="CCEEFF"/>
            </w:tcBorders>
            <w:vAlign w:val="bottom"/>
          </w:tcPr>
          <w:p w14:paraId="3AB03EC2" w14:textId="77777777" w:rsidR="00D1587D" w:rsidRDefault="00D1587D">
            <w:pPr>
              <w:rPr>
                <w:sz w:val="4"/>
                <w:szCs w:val="4"/>
              </w:rPr>
            </w:pPr>
          </w:p>
        </w:tc>
        <w:tc>
          <w:tcPr>
            <w:tcW w:w="40" w:type="dxa"/>
            <w:tcBorders>
              <w:bottom w:val="single" w:sz="8" w:space="0" w:color="CCEEFF"/>
            </w:tcBorders>
            <w:vAlign w:val="bottom"/>
          </w:tcPr>
          <w:p w14:paraId="166469B4" w14:textId="77777777" w:rsidR="00D1587D" w:rsidRDefault="00D1587D">
            <w:pPr>
              <w:rPr>
                <w:sz w:val="4"/>
                <w:szCs w:val="4"/>
              </w:rPr>
            </w:pPr>
          </w:p>
        </w:tc>
        <w:tc>
          <w:tcPr>
            <w:tcW w:w="580" w:type="dxa"/>
            <w:tcBorders>
              <w:bottom w:val="single" w:sz="8" w:space="0" w:color="auto"/>
            </w:tcBorders>
            <w:vAlign w:val="bottom"/>
          </w:tcPr>
          <w:p w14:paraId="2537CDF9" w14:textId="77777777" w:rsidR="00D1587D" w:rsidRDefault="00D1587D">
            <w:pPr>
              <w:rPr>
                <w:sz w:val="4"/>
                <w:szCs w:val="4"/>
              </w:rPr>
            </w:pPr>
          </w:p>
        </w:tc>
        <w:tc>
          <w:tcPr>
            <w:tcW w:w="40" w:type="dxa"/>
            <w:tcBorders>
              <w:bottom w:val="single" w:sz="8" w:space="0" w:color="CCEEFF"/>
            </w:tcBorders>
            <w:vAlign w:val="bottom"/>
          </w:tcPr>
          <w:p w14:paraId="68E58A0B" w14:textId="77777777" w:rsidR="00D1587D" w:rsidRDefault="00D1587D">
            <w:pPr>
              <w:rPr>
                <w:sz w:val="4"/>
                <w:szCs w:val="4"/>
              </w:rPr>
            </w:pPr>
          </w:p>
        </w:tc>
        <w:tc>
          <w:tcPr>
            <w:tcW w:w="40" w:type="dxa"/>
            <w:tcBorders>
              <w:bottom w:val="single" w:sz="8" w:space="0" w:color="CCEEFF"/>
            </w:tcBorders>
            <w:vAlign w:val="bottom"/>
          </w:tcPr>
          <w:p w14:paraId="48EDB7DD" w14:textId="77777777" w:rsidR="00D1587D" w:rsidRDefault="00D1587D">
            <w:pPr>
              <w:rPr>
                <w:sz w:val="4"/>
                <w:szCs w:val="4"/>
              </w:rPr>
            </w:pPr>
          </w:p>
        </w:tc>
        <w:tc>
          <w:tcPr>
            <w:tcW w:w="760" w:type="dxa"/>
            <w:tcBorders>
              <w:bottom w:val="single" w:sz="8" w:space="0" w:color="auto"/>
            </w:tcBorders>
            <w:vAlign w:val="bottom"/>
          </w:tcPr>
          <w:p w14:paraId="62B37A64" w14:textId="77777777" w:rsidR="00D1587D" w:rsidRDefault="00D1587D">
            <w:pPr>
              <w:rPr>
                <w:sz w:val="4"/>
                <w:szCs w:val="4"/>
              </w:rPr>
            </w:pPr>
          </w:p>
        </w:tc>
        <w:tc>
          <w:tcPr>
            <w:tcW w:w="40" w:type="dxa"/>
            <w:tcBorders>
              <w:bottom w:val="single" w:sz="8" w:space="0" w:color="CCEEFF"/>
            </w:tcBorders>
            <w:vAlign w:val="bottom"/>
          </w:tcPr>
          <w:p w14:paraId="1A6B37C1" w14:textId="77777777" w:rsidR="00D1587D" w:rsidRDefault="00D1587D">
            <w:pPr>
              <w:rPr>
                <w:sz w:val="4"/>
                <w:szCs w:val="4"/>
              </w:rPr>
            </w:pPr>
          </w:p>
        </w:tc>
        <w:tc>
          <w:tcPr>
            <w:tcW w:w="40" w:type="dxa"/>
            <w:tcBorders>
              <w:bottom w:val="single" w:sz="8" w:space="0" w:color="CCEEFF"/>
            </w:tcBorders>
            <w:vAlign w:val="bottom"/>
          </w:tcPr>
          <w:p w14:paraId="1E46B065" w14:textId="77777777" w:rsidR="00D1587D" w:rsidRDefault="00D1587D">
            <w:pPr>
              <w:rPr>
                <w:sz w:val="4"/>
                <w:szCs w:val="4"/>
              </w:rPr>
            </w:pPr>
          </w:p>
        </w:tc>
        <w:tc>
          <w:tcPr>
            <w:tcW w:w="860" w:type="dxa"/>
            <w:tcBorders>
              <w:bottom w:val="single" w:sz="8" w:space="0" w:color="auto"/>
            </w:tcBorders>
            <w:vAlign w:val="bottom"/>
          </w:tcPr>
          <w:p w14:paraId="18E9DEE5" w14:textId="77777777" w:rsidR="00D1587D" w:rsidRDefault="00D1587D">
            <w:pPr>
              <w:rPr>
                <w:sz w:val="4"/>
                <w:szCs w:val="4"/>
              </w:rPr>
            </w:pPr>
          </w:p>
        </w:tc>
        <w:tc>
          <w:tcPr>
            <w:tcW w:w="40" w:type="dxa"/>
            <w:tcBorders>
              <w:bottom w:val="single" w:sz="8" w:space="0" w:color="CCEEFF"/>
            </w:tcBorders>
            <w:vAlign w:val="bottom"/>
          </w:tcPr>
          <w:p w14:paraId="5F18C69D" w14:textId="77777777" w:rsidR="00D1587D" w:rsidRDefault="00D1587D">
            <w:pPr>
              <w:rPr>
                <w:sz w:val="4"/>
                <w:szCs w:val="4"/>
              </w:rPr>
            </w:pPr>
          </w:p>
        </w:tc>
        <w:tc>
          <w:tcPr>
            <w:tcW w:w="40" w:type="dxa"/>
            <w:tcBorders>
              <w:bottom w:val="single" w:sz="8" w:space="0" w:color="CCEEFF"/>
            </w:tcBorders>
            <w:vAlign w:val="bottom"/>
          </w:tcPr>
          <w:p w14:paraId="5488638E" w14:textId="77777777" w:rsidR="00D1587D" w:rsidRDefault="00D1587D">
            <w:pPr>
              <w:rPr>
                <w:sz w:val="4"/>
                <w:szCs w:val="4"/>
              </w:rPr>
            </w:pPr>
          </w:p>
        </w:tc>
        <w:tc>
          <w:tcPr>
            <w:tcW w:w="760" w:type="dxa"/>
            <w:tcBorders>
              <w:bottom w:val="single" w:sz="8" w:space="0" w:color="auto"/>
            </w:tcBorders>
            <w:vAlign w:val="bottom"/>
          </w:tcPr>
          <w:p w14:paraId="0F60155B" w14:textId="77777777" w:rsidR="00D1587D" w:rsidRDefault="00D1587D">
            <w:pPr>
              <w:rPr>
                <w:sz w:val="4"/>
                <w:szCs w:val="4"/>
              </w:rPr>
            </w:pPr>
          </w:p>
        </w:tc>
        <w:tc>
          <w:tcPr>
            <w:tcW w:w="40" w:type="dxa"/>
            <w:tcBorders>
              <w:bottom w:val="single" w:sz="8" w:space="0" w:color="CCEEFF"/>
            </w:tcBorders>
            <w:vAlign w:val="bottom"/>
          </w:tcPr>
          <w:p w14:paraId="74200492" w14:textId="77777777" w:rsidR="00D1587D" w:rsidRDefault="00D1587D">
            <w:pPr>
              <w:rPr>
                <w:sz w:val="4"/>
                <w:szCs w:val="4"/>
              </w:rPr>
            </w:pPr>
          </w:p>
        </w:tc>
        <w:tc>
          <w:tcPr>
            <w:tcW w:w="40" w:type="dxa"/>
            <w:tcBorders>
              <w:bottom w:val="single" w:sz="8" w:space="0" w:color="CCEEFF"/>
            </w:tcBorders>
            <w:vAlign w:val="bottom"/>
          </w:tcPr>
          <w:p w14:paraId="0B5C3DF1" w14:textId="77777777" w:rsidR="00D1587D" w:rsidRDefault="00D1587D">
            <w:pPr>
              <w:rPr>
                <w:sz w:val="4"/>
                <w:szCs w:val="4"/>
              </w:rPr>
            </w:pPr>
          </w:p>
        </w:tc>
        <w:tc>
          <w:tcPr>
            <w:tcW w:w="540" w:type="dxa"/>
            <w:tcBorders>
              <w:bottom w:val="single" w:sz="8" w:space="0" w:color="auto"/>
            </w:tcBorders>
            <w:vAlign w:val="bottom"/>
          </w:tcPr>
          <w:p w14:paraId="6CC1056A" w14:textId="77777777" w:rsidR="00D1587D" w:rsidRDefault="00D1587D">
            <w:pPr>
              <w:rPr>
                <w:sz w:val="4"/>
                <w:szCs w:val="4"/>
              </w:rPr>
            </w:pPr>
          </w:p>
        </w:tc>
        <w:tc>
          <w:tcPr>
            <w:tcW w:w="80" w:type="dxa"/>
            <w:tcBorders>
              <w:bottom w:val="single" w:sz="8" w:space="0" w:color="CCEEFF"/>
            </w:tcBorders>
            <w:vAlign w:val="bottom"/>
          </w:tcPr>
          <w:p w14:paraId="43F99C8F" w14:textId="77777777" w:rsidR="00D1587D" w:rsidRDefault="00D1587D">
            <w:pPr>
              <w:rPr>
                <w:sz w:val="4"/>
                <w:szCs w:val="4"/>
              </w:rPr>
            </w:pPr>
          </w:p>
        </w:tc>
        <w:tc>
          <w:tcPr>
            <w:tcW w:w="660" w:type="dxa"/>
            <w:tcBorders>
              <w:bottom w:val="single" w:sz="8" w:space="0" w:color="auto"/>
            </w:tcBorders>
            <w:vAlign w:val="bottom"/>
          </w:tcPr>
          <w:p w14:paraId="59F7E6E6" w14:textId="77777777" w:rsidR="00D1587D" w:rsidRDefault="00D1587D">
            <w:pPr>
              <w:rPr>
                <w:sz w:val="4"/>
                <w:szCs w:val="4"/>
              </w:rPr>
            </w:pPr>
          </w:p>
        </w:tc>
        <w:tc>
          <w:tcPr>
            <w:tcW w:w="100" w:type="dxa"/>
            <w:tcBorders>
              <w:bottom w:val="single" w:sz="8" w:space="0" w:color="CCEEFF"/>
            </w:tcBorders>
            <w:vAlign w:val="bottom"/>
          </w:tcPr>
          <w:p w14:paraId="1661F44D" w14:textId="77777777" w:rsidR="00D1587D" w:rsidRDefault="00D1587D">
            <w:pPr>
              <w:rPr>
                <w:sz w:val="4"/>
                <w:szCs w:val="4"/>
              </w:rPr>
            </w:pPr>
          </w:p>
        </w:tc>
        <w:tc>
          <w:tcPr>
            <w:tcW w:w="660" w:type="dxa"/>
            <w:tcBorders>
              <w:bottom w:val="single" w:sz="8" w:space="0" w:color="auto"/>
            </w:tcBorders>
            <w:vAlign w:val="bottom"/>
          </w:tcPr>
          <w:p w14:paraId="46E5F348" w14:textId="77777777" w:rsidR="00D1587D" w:rsidRDefault="00D1587D">
            <w:pPr>
              <w:rPr>
                <w:sz w:val="4"/>
                <w:szCs w:val="4"/>
              </w:rPr>
            </w:pPr>
          </w:p>
        </w:tc>
        <w:tc>
          <w:tcPr>
            <w:tcW w:w="80" w:type="dxa"/>
            <w:tcBorders>
              <w:bottom w:val="single" w:sz="8" w:space="0" w:color="CCEEFF"/>
            </w:tcBorders>
            <w:vAlign w:val="bottom"/>
          </w:tcPr>
          <w:p w14:paraId="7EB2EBAB" w14:textId="77777777" w:rsidR="00D1587D" w:rsidRDefault="00D1587D">
            <w:pPr>
              <w:rPr>
                <w:sz w:val="4"/>
                <w:szCs w:val="4"/>
              </w:rPr>
            </w:pPr>
          </w:p>
        </w:tc>
        <w:tc>
          <w:tcPr>
            <w:tcW w:w="660" w:type="dxa"/>
            <w:tcBorders>
              <w:bottom w:val="single" w:sz="8" w:space="0" w:color="auto"/>
            </w:tcBorders>
            <w:vAlign w:val="bottom"/>
          </w:tcPr>
          <w:p w14:paraId="3107E925" w14:textId="77777777" w:rsidR="00D1587D" w:rsidRDefault="00D1587D">
            <w:pPr>
              <w:rPr>
                <w:sz w:val="4"/>
                <w:szCs w:val="4"/>
              </w:rPr>
            </w:pPr>
          </w:p>
        </w:tc>
        <w:tc>
          <w:tcPr>
            <w:tcW w:w="80" w:type="dxa"/>
            <w:tcBorders>
              <w:bottom w:val="single" w:sz="8" w:space="0" w:color="CCEEFF"/>
            </w:tcBorders>
            <w:vAlign w:val="bottom"/>
          </w:tcPr>
          <w:p w14:paraId="17880B2F" w14:textId="77777777" w:rsidR="00D1587D" w:rsidRDefault="00D1587D">
            <w:pPr>
              <w:rPr>
                <w:sz w:val="4"/>
                <w:szCs w:val="4"/>
              </w:rPr>
            </w:pPr>
          </w:p>
        </w:tc>
        <w:tc>
          <w:tcPr>
            <w:tcW w:w="600" w:type="dxa"/>
            <w:tcBorders>
              <w:bottom w:val="single" w:sz="8" w:space="0" w:color="auto"/>
            </w:tcBorders>
            <w:vAlign w:val="bottom"/>
          </w:tcPr>
          <w:p w14:paraId="5921BC46" w14:textId="77777777" w:rsidR="00D1587D" w:rsidRDefault="00D1587D">
            <w:pPr>
              <w:rPr>
                <w:sz w:val="4"/>
                <w:szCs w:val="4"/>
              </w:rPr>
            </w:pPr>
          </w:p>
        </w:tc>
        <w:tc>
          <w:tcPr>
            <w:tcW w:w="80" w:type="dxa"/>
            <w:tcBorders>
              <w:bottom w:val="single" w:sz="8" w:space="0" w:color="CCEEFF"/>
            </w:tcBorders>
            <w:vAlign w:val="bottom"/>
          </w:tcPr>
          <w:p w14:paraId="7E40BE17" w14:textId="77777777" w:rsidR="00D1587D" w:rsidRDefault="00D1587D">
            <w:pPr>
              <w:rPr>
                <w:sz w:val="4"/>
                <w:szCs w:val="4"/>
              </w:rPr>
            </w:pPr>
          </w:p>
        </w:tc>
        <w:tc>
          <w:tcPr>
            <w:tcW w:w="620" w:type="dxa"/>
            <w:tcBorders>
              <w:bottom w:val="single" w:sz="8" w:space="0" w:color="auto"/>
            </w:tcBorders>
            <w:vAlign w:val="bottom"/>
          </w:tcPr>
          <w:p w14:paraId="14C97171" w14:textId="77777777" w:rsidR="00D1587D" w:rsidRDefault="00D1587D">
            <w:pPr>
              <w:rPr>
                <w:sz w:val="4"/>
                <w:szCs w:val="4"/>
              </w:rPr>
            </w:pPr>
          </w:p>
        </w:tc>
        <w:tc>
          <w:tcPr>
            <w:tcW w:w="80" w:type="dxa"/>
            <w:tcBorders>
              <w:bottom w:val="single" w:sz="8" w:space="0" w:color="CCEEFF"/>
            </w:tcBorders>
            <w:vAlign w:val="bottom"/>
          </w:tcPr>
          <w:p w14:paraId="0F11C3E9" w14:textId="77777777" w:rsidR="00D1587D" w:rsidRDefault="00D1587D">
            <w:pPr>
              <w:rPr>
                <w:sz w:val="4"/>
                <w:szCs w:val="4"/>
              </w:rPr>
            </w:pPr>
          </w:p>
        </w:tc>
        <w:tc>
          <w:tcPr>
            <w:tcW w:w="600" w:type="dxa"/>
            <w:tcBorders>
              <w:bottom w:val="single" w:sz="8" w:space="0" w:color="auto"/>
            </w:tcBorders>
            <w:vAlign w:val="bottom"/>
          </w:tcPr>
          <w:p w14:paraId="37957C8A" w14:textId="77777777" w:rsidR="00D1587D" w:rsidRDefault="00D1587D">
            <w:pPr>
              <w:rPr>
                <w:sz w:val="4"/>
                <w:szCs w:val="4"/>
              </w:rPr>
            </w:pPr>
          </w:p>
        </w:tc>
        <w:tc>
          <w:tcPr>
            <w:tcW w:w="0" w:type="dxa"/>
            <w:vAlign w:val="bottom"/>
          </w:tcPr>
          <w:p w14:paraId="7CD78B20" w14:textId="77777777" w:rsidR="00D1587D" w:rsidRDefault="00D1587D">
            <w:pPr>
              <w:rPr>
                <w:sz w:val="1"/>
                <w:szCs w:val="1"/>
              </w:rPr>
            </w:pPr>
          </w:p>
        </w:tc>
      </w:tr>
      <w:tr w:rsidR="00D1587D" w14:paraId="0F01952C" w14:textId="77777777">
        <w:trPr>
          <w:trHeight w:val="224"/>
        </w:trPr>
        <w:tc>
          <w:tcPr>
            <w:tcW w:w="920" w:type="dxa"/>
            <w:gridSpan w:val="2"/>
            <w:shd w:val="clear" w:color="auto" w:fill="CCEEFF"/>
            <w:vAlign w:val="bottom"/>
          </w:tcPr>
          <w:p w14:paraId="72A8C147" w14:textId="77777777" w:rsidR="00D1587D" w:rsidRDefault="00410D07">
            <w:pPr>
              <w:rPr>
                <w:sz w:val="20"/>
                <w:szCs w:val="20"/>
              </w:rPr>
            </w:pPr>
            <w:r>
              <w:rPr>
                <w:rFonts w:ascii="Arial" w:eastAsia="Arial" w:hAnsi="Arial" w:cs="Arial"/>
                <w:sz w:val="14"/>
                <w:szCs w:val="14"/>
              </w:rPr>
              <w:t>Martin Waters</w:t>
            </w:r>
          </w:p>
        </w:tc>
        <w:tc>
          <w:tcPr>
            <w:tcW w:w="40" w:type="dxa"/>
            <w:shd w:val="clear" w:color="auto" w:fill="CCEEFF"/>
            <w:vAlign w:val="bottom"/>
          </w:tcPr>
          <w:p w14:paraId="4F0BAF9C" w14:textId="77777777" w:rsidR="00D1587D" w:rsidRDefault="00D1587D">
            <w:pPr>
              <w:rPr>
                <w:sz w:val="19"/>
                <w:szCs w:val="19"/>
              </w:rPr>
            </w:pPr>
          </w:p>
        </w:tc>
        <w:tc>
          <w:tcPr>
            <w:tcW w:w="620" w:type="dxa"/>
            <w:gridSpan w:val="2"/>
            <w:shd w:val="clear" w:color="auto" w:fill="CCEEFF"/>
            <w:vAlign w:val="bottom"/>
          </w:tcPr>
          <w:p w14:paraId="0E5CE664" w14:textId="77777777" w:rsidR="00D1587D" w:rsidRDefault="00410D07">
            <w:pPr>
              <w:rPr>
                <w:sz w:val="20"/>
                <w:szCs w:val="20"/>
              </w:rPr>
            </w:pPr>
            <w:r>
              <w:rPr>
                <w:rFonts w:ascii="Arial" w:eastAsia="Arial" w:hAnsi="Arial" w:cs="Arial"/>
                <w:w w:val="96"/>
                <w:sz w:val="14"/>
                <w:szCs w:val="14"/>
              </w:rPr>
              <w:t>3/31/2011</w:t>
            </w:r>
          </w:p>
        </w:tc>
        <w:tc>
          <w:tcPr>
            <w:tcW w:w="840" w:type="dxa"/>
            <w:gridSpan w:val="3"/>
            <w:shd w:val="clear" w:color="auto" w:fill="CCEEFF"/>
            <w:vAlign w:val="bottom"/>
          </w:tcPr>
          <w:p w14:paraId="1CFF4154" w14:textId="77777777" w:rsidR="00D1587D" w:rsidRDefault="00410D07">
            <w:pPr>
              <w:ind w:right="40"/>
              <w:jc w:val="right"/>
              <w:rPr>
                <w:sz w:val="20"/>
                <w:szCs w:val="20"/>
              </w:rPr>
            </w:pPr>
            <w:r>
              <w:rPr>
                <w:rFonts w:ascii="Arial" w:eastAsia="Arial" w:hAnsi="Arial" w:cs="Arial"/>
                <w:sz w:val="14"/>
                <w:szCs w:val="14"/>
              </w:rPr>
              <w:t>6,149</w:t>
            </w:r>
          </w:p>
        </w:tc>
        <w:tc>
          <w:tcPr>
            <w:tcW w:w="40" w:type="dxa"/>
            <w:shd w:val="clear" w:color="auto" w:fill="CCEEFF"/>
            <w:vAlign w:val="bottom"/>
          </w:tcPr>
          <w:p w14:paraId="0779F36F" w14:textId="77777777" w:rsidR="00D1587D" w:rsidRDefault="00D1587D">
            <w:pPr>
              <w:rPr>
                <w:sz w:val="19"/>
                <w:szCs w:val="19"/>
              </w:rPr>
            </w:pPr>
          </w:p>
        </w:tc>
        <w:tc>
          <w:tcPr>
            <w:tcW w:w="900" w:type="dxa"/>
            <w:gridSpan w:val="2"/>
            <w:shd w:val="clear" w:color="auto" w:fill="CCEEFF"/>
            <w:vAlign w:val="bottom"/>
          </w:tcPr>
          <w:p w14:paraId="6C7C9A7A" w14:textId="77777777" w:rsidR="00D1587D" w:rsidRDefault="00410D07">
            <w:pPr>
              <w:ind w:right="40"/>
              <w:jc w:val="right"/>
              <w:rPr>
                <w:sz w:val="20"/>
                <w:szCs w:val="20"/>
              </w:rPr>
            </w:pPr>
            <w:r>
              <w:rPr>
                <w:rFonts w:ascii="Arial" w:eastAsia="Arial" w:hAnsi="Arial" w:cs="Arial"/>
                <w:sz w:val="14"/>
                <w:szCs w:val="14"/>
              </w:rPr>
              <w:t>—</w:t>
            </w:r>
          </w:p>
        </w:tc>
        <w:tc>
          <w:tcPr>
            <w:tcW w:w="40" w:type="dxa"/>
            <w:shd w:val="clear" w:color="auto" w:fill="CCEEFF"/>
            <w:vAlign w:val="bottom"/>
          </w:tcPr>
          <w:p w14:paraId="033F1A28" w14:textId="77777777" w:rsidR="00D1587D" w:rsidRDefault="00D1587D">
            <w:pPr>
              <w:rPr>
                <w:sz w:val="19"/>
                <w:szCs w:val="19"/>
              </w:rPr>
            </w:pPr>
          </w:p>
        </w:tc>
        <w:tc>
          <w:tcPr>
            <w:tcW w:w="800" w:type="dxa"/>
            <w:gridSpan w:val="2"/>
            <w:shd w:val="clear" w:color="auto" w:fill="CCEEFF"/>
            <w:vAlign w:val="bottom"/>
          </w:tcPr>
          <w:p w14:paraId="26DB304C"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41D89D31" w14:textId="77777777" w:rsidR="00D1587D" w:rsidRDefault="00410D07">
            <w:pPr>
              <w:ind w:right="80"/>
              <w:jc w:val="right"/>
              <w:rPr>
                <w:sz w:val="20"/>
                <w:szCs w:val="20"/>
              </w:rPr>
            </w:pPr>
            <w:r>
              <w:rPr>
                <w:rFonts w:ascii="Arial" w:eastAsia="Arial" w:hAnsi="Arial" w:cs="Arial"/>
                <w:sz w:val="14"/>
                <w:szCs w:val="14"/>
              </w:rPr>
              <w:t>26.43</w:t>
            </w:r>
          </w:p>
        </w:tc>
        <w:tc>
          <w:tcPr>
            <w:tcW w:w="760" w:type="dxa"/>
            <w:gridSpan w:val="2"/>
            <w:shd w:val="clear" w:color="auto" w:fill="CCEEFF"/>
            <w:vAlign w:val="bottom"/>
          </w:tcPr>
          <w:p w14:paraId="2E133984" w14:textId="77777777" w:rsidR="00D1587D" w:rsidRDefault="00410D07">
            <w:pPr>
              <w:ind w:right="100"/>
              <w:jc w:val="right"/>
              <w:rPr>
                <w:sz w:val="20"/>
                <w:szCs w:val="20"/>
              </w:rPr>
            </w:pPr>
            <w:r>
              <w:rPr>
                <w:rFonts w:ascii="Arial" w:eastAsia="Arial" w:hAnsi="Arial" w:cs="Arial"/>
                <w:sz w:val="14"/>
                <w:szCs w:val="14"/>
              </w:rPr>
              <w:t>3/31/2021</w:t>
            </w:r>
          </w:p>
        </w:tc>
        <w:tc>
          <w:tcPr>
            <w:tcW w:w="660" w:type="dxa"/>
            <w:shd w:val="clear" w:color="auto" w:fill="CCEEFF"/>
            <w:vAlign w:val="bottom"/>
          </w:tcPr>
          <w:p w14:paraId="32925931" w14:textId="77777777" w:rsidR="00D1587D" w:rsidRDefault="00D1587D">
            <w:pPr>
              <w:rPr>
                <w:sz w:val="19"/>
                <w:szCs w:val="19"/>
              </w:rPr>
            </w:pPr>
          </w:p>
        </w:tc>
        <w:tc>
          <w:tcPr>
            <w:tcW w:w="80" w:type="dxa"/>
            <w:shd w:val="clear" w:color="auto" w:fill="CCEEFF"/>
            <w:vAlign w:val="bottom"/>
          </w:tcPr>
          <w:p w14:paraId="33747748" w14:textId="77777777" w:rsidR="00D1587D" w:rsidRDefault="00D1587D">
            <w:pPr>
              <w:rPr>
                <w:sz w:val="19"/>
                <w:szCs w:val="19"/>
              </w:rPr>
            </w:pPr>
          </w:p>
        </w:tc>
        <w:tc>
          <w:tcPr>
            <w:tcW w:w="660" w:type="dxa"/>
            <w:shd w:val="clear" w:color="auto" w:fill="CCEEFF"/>
            <w:vAlign w:val="bottom"/>
          </w:tcPr>
          <w:p w14:paraId="1610CDC4" w14:textId="77777777" w:rsidR="00D1587D" w:rsidRDefault="00D1587D">
            <w:pPr>
              <w:rPr>
                <w:sz w:val="19"/>
                <w:szCs w:val="19"/>
              </w:rPr>
            </w:pPr>
          </w:p>
        </w:tc>
        <w:tc>
          <w:tcPr>
            <w:tcW w:w="80" w:type="dxa"/>
            <w:shd w:val="clear" w:color="auto" w:fill="CCEEFF"/>
            <w:vAlign w:val="bottom"/>
          </w:tcPr>
          <w:p w14:paraId="1DB28C0E" w14:textId="77777777" w:rsidR="00D1587D" w:rsidRDefault="00D1587D">
            <w:pPr>
              <w:rPr>
                <w:sz w:val="19"/>
                <w:szCs w:val="19"/>
              </w:rPr>
            </w:pPr>
          </w:p>
        </w:tc>
        <w:tc>
          <w:tcPr>
            <w:tcW w:w="600" w:type="dxa"/>
            <w:shd w:val="clear" w:color="auto" w:fill="CCEEFF"/>
            <w:vAlign w:val="bottom"/>
          </w:tcPr>
          <w:p w14:paraId="65B3C33C" w14:textId="77777777" w:rsidR="00D1587D" w:rsidRDefault="00D1587D">
            <w:pPr>
              <w:rPr>
                <w:sz w:val="19"/>
                <w:szCs w:val="19"/>
              </w:rPr>
            </w:pPr>
          </w:p>
        </w:tc>
        <w:tc>
          <w:tcPr>
            <w:tcW w:w="80" w:type="dxa"/>
            <w:shd w:val="clear" w:color="auto" w:fill="CCEEFF"/>
            <w:vAlign w:val="bottom"/>
          </w:tcPr>
          <w:p w14:paraId="3C55BFF2" w14:textId="77777777" w:rsidR="00D1587D" w:rsidRDefault="00D1587D">
            <w:pPr>
              <w:rPr>
                <w:sz w:val="19"/>
                <w:szCs w:val="19"/>
              </w:rPr>
            </w:pPr>
          </w:p>
        </w:tc>
        <w:tc>
          <w:tcPr>
            <w:tcW w:w="620" w:type="dxa"/>
            <w:shd w:val="clear" w:color="auto" w:fill="CCEEFF"/>
            <w:vAlign w:val="bottom"/>
          </w:tcPr>
          <w:p w14:paraId="40B17703" w14:textId="77777777" w:rsidR="00D1587D" w:rsidRDefault="00D1587D">
            <w:pPr>
              <w:rPr>
                <w:sz w:val="19"/>
                <w:szCs w:val="19"/>
              </w:rPr>
            </w:pPr>
          </w:p>
        </w:tc>
        <w:tc>
          <w:tcPr>
            <w:tcW w:w="80" w:type="dxa"/>
            <w:shd w:val="clear" w:color="auto" w:fill="CCEEFF"/>
            <w:vAlign w:val="bottom"/>
          </w:tcPr>
          <w:p w14:paraId="732F8E98" w14:textId="77777777" w:rsidR="00D1587D" w:rsidRDefault="00D1587D">
            <w:pPr>
              <w:rPr>
                <w:sz w:val="19"/>
                <w:szCs w:val="19"/>
              </w:rPr>
            </w:pPr>
          </w:p>
        </w:tc>
        <w:tc>
          <w:tcPr>
            <w:tcW w:w="600" w:type="dxa"/>
            <w:shd w:val="clear" w:color="auto" w:fill="CCEEFF"/>
            <w:vAlign w:val="bottom"/>
          </w:tcPr>
          <w:p w14:paraId="027E5BA0" w14:textId="77777777" w:rsidR="00D1587D" w:rsidRDefault="00D1587D">
            <w:pPr>
              <w:rPr>
                <w:sz w:val="19"/>
                <w:szCs w:val="19"/>
              </w:rPr>
            </w:pPr>
          </w:p>
        </w:tc>
        <w:tc>
          <w:tcPr>
            <w:tcW w:w="0" w:type="dxa"/>
            <w:vAlign w:val="bottom"/>
          </w:tcPr>
          <w:p w14:paraId="448DCD16" w14:textId="77777777" w:rsidR="00D1587D" w:rsidRDefault="00D1587D">
            <w:pPr>
              <w:rPr>
                <w:sz w:val="1"/>
                <w:szCs w:val="1"/>
              </w:rPr>
            </w:pPr>
          </w:p>
        </w:tc>
      </w:tr>
      <w:tr w:rsidR="00D1587D" w14:paraId="335D3C62" w14:textId="77777777">
        <w:trPr>
          <w:trHeight w:val="257"/>
        </w:trPr>
        <w:tc>
          <w:tcPr>
            <w:tcW w:w="880" w:type="dxa"/>
            <w:shd w:val="clear" w:color="auto" w:fill="CCEEFF"/>
            <w:vAlign w:val="bottom"/>
          </w:tcPr>
          <w:p w14:paraId="4AC46ABD" w14:textId="77777777" w:rsidR="00D1587D" w:rsidRDefault="00D1587D"/>
        </w:tc>
        <w:tc>
          <w:tcPr>
            <w:tcW w:w="40" w:type="dxa"/>
            <w:shd w:val="clear" w:color="auto" w:fill="CCEEFF"/>
            <w:vAlign w:val="bottom"/>
          </w:tcPr>
          <w:p w14:paraId="6C3F9F83" w14:textId="77777777" w:rsidR="00D1587D" w:rsidRDefault="00D1587D"/>
        </w:tc>
        <w:tc>
          <w:tcPr>
            <w:tcW w:w="40" w:type="dxa"/>
            <w:shd w:val="clear" w:color="auto" w:fill="CCEEFF"/>
            <w:vAlign w:val="bottom"/>
          </w:tcPr>
          <w:p w14:paraId="5FD75009" w14:textId="77777777" w:rsidR="00D1587D" w:rsidRDefault="00D1587D"/>
        </w:tc>
        <w:tc>
          <w:tcPr>
            <w:tcW w:w="580" w:type="dxa"/>
            <w:shd w:val="clear" w:color="auto" w:fill="CCEEFF"/>
            <w:vAlign w:val="bottom"/>
          </w:tcPr>
          <w:p w14:paraId="62265564" w14:textId="77777777" w:rsidR="00D1587D" w:rsidRDefault="00410D07">
            <w:pPr>
              <w:rPr>
                <w:sz w:val="20"/>
                <w:szCs w:val="20"/>
              </w:rPr>
            </w:pPr>
            <w:r>
              <w:rPr>
                <w:rFonts w:ascii="Arial" w:eastAsia="Arial" w:hAnsi="Arial" w:cs="Arial"/>
                <w:w w:val="89"/>
                <w:sz w:val="14"/>
                <w:szCs w:val="14"/>
              </w:rPr>
              <w:t>3/30/2012</w:t>
            </w:r>
          </w:p>
        </w:tc>
        <w:tc>
          <w:tcPr>
            <w:tcW w:w="40" w:type="dxa"/>
            <w:shd w:val="clear" w:color="auto" w:fill="CCEEFF"/>
            <w:vAlign w:val="bottom"/>
          </w:tcPr>
          <w:p w14:paraId="73A6BB49" w14:textId="77777777" w:rsidR="00D1587D" w:rsidRDefault="00D1587D"/>
        </w:tc>
        <w:tc>
          <w:tcPr>
            <w:tcW w:w="840" w:type="dxa"/>
            <w:gridSpan w:val="3"/>
            <w:shd w:val="clear" w:color="auto" w:fill="CCEEFF"/>
            <w:vAlign w:val="bottom"/>
          </w:tcPr>
          <w:p w14:paraId="5E6BD72E" w14:textId="77777777" w:rsidR="00D1587D" w:rsidRDefault="00410D07">
            <w:pPr>
              <w:ind w:right="40"/>
              <w:jc w:val="right"/>
              <w:rPr>
                <w:sz w:val="20"/>
                <w:szCs w:val="20"/>
              </w:rPr>
            </w:pPr>
            <w:r>
              <w:rPr>
                <w:rFonts w:ascii="Arial" w:eastAsia="Arial" w:hAnsi="Arial" w:cs="Arial"/>
                <w:sz w:val="14"/>
                <w:szCs w:val="14"/>
              </w:rPr>
              <w:t>27,074</w:t>
            </w:r>
          </w:p>
        </w:tc>
        <w:tc>
          <w:tcPr>
            <w:tcW w:w="40" w:type="dxa"/>
            <w:shd w:val="clear" w:color="auto" w:fill="CCEEFF"/>
            <w:vAlign w:val="bottom"/>
          </w:tcPr>
          <w:p w14:paraId="6A2ADCB2" w14:textId="77777777" w:rsidR="00D1587D" w:rsidRDefault="00D1587D"/>
        </w:tc>
        <w:tc>
          <w:tcPr>
            <w:tcW w:w="900" w:type="dxa"/>
            <w:gridSpan w:val="2"/>
            <w:shd w:val="clear" w:color="auto" w:fill="CCEEFF"/>
            <w:vAlign w:val="bottom"/>
          </w:tcPr>
          <w:p w14:paraId="09618277" w14:textId="77777777" w:rsidR="00D1587D" w:rsidRDefault="00410D07">
            <w:pPr>
              <w:ind w:right="40"/>
              <w:jc w:val="right"/>
              <w:rPr>
                <w:sz w:val="20"/>
                <w:szCs w:val="20"/>
              </w:rPr>
            </w:pPr>
            <w:r>
              <w:rPr>
                <w:rFonts w:ascii="Arial" w:eastAsia="Arial" w:hAnsi="Arial" w:cs="Arial"/>
                <w:sz w:val="14"/>
                <w:szCs w:val="14"/>
              </w:rPr>
              <w:t>—</w:t>
            </w:r>
          </w:p>
        </w:tc>
        <w:tc>
          <w:tcPr>
            <w:tcW w:w="40" w:type="dxa"/>
            <w:shd w:val="clear" w:color="auto" w:fill="CCEEFF"/>
            <w:vAlign w:val="bottom"/>
          </w:tcPr>
          <w:p w14:paraId="7CD6D4FC" w14:textId="77777777" w:rsidR="00D1587D" w:rsidRDefault="00D1587D"/>
        </w:tc>
        <w:tc>
          <w:tcPr>
            <w:tcW w:w="800" w:type="dxa"/>
            <w:gridSpan w:val="2"/>
            <w:shd w:val="clear" w:color="auto" w:fill="CCEEFF"/>
            <w:vAlign w:val="bottom"/>
          </w:tcPr>
          <w:p w14:paraId="58B5CBDE"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515AFB75" w14:textId="77777777" w:rsidR="00D1587D" w:rsidRDefault="00410D07">
            <w:pPr>
              <w:ind w:right="80"/>
              <w:jc w:val="right"/>
              <w:rPr>
                <w:sz w:val="20"/>
                <w:szCs w:val="20"/>
              </w:rPr>
            </w:pPr>
            <w:r>
              <w:rPr>
                <w:rFonts w:ascii="Arial" w:eastAsia="Arial" w:hAnsi="Arial" w:cs="Arial"/>
                <w:sz w:val="14"/>
                <w:szCs w:val="14"/>
              </w:rPr>
              <w:t>41.54</w:t>
            </w:r>
          </w:p>
        </w:tc>
        <w:tc>
          <w:tcPr>
            <w:tcW w:w="760" w:type="dxa"/>
            <w:gridSpan w:val="2"/>
            <w:shd w:val="clear" w:color="auto" w:fill="CCEEFF"/>
            <w:vAlign w:val="bottom"/>
          </w:tcPr>
          <w:p w14:paraId="2A6DA25A" w14:textId="77777777" w:rsidR="00D1587D" w:rsidRDefault="00410D07">
            <w:pPr>
              <w:ind w:right="100"/>
              <w:jc w:val="right"/>
              <w:rPr>
                <w:sz w:val="20"/>
                <w:szCs w:val="20"/>
              </w:rPr>
            </w:pPr>
            <w:r>
              <w:rPr>
                <w:rFonts w:ascii="Arial" w:eastAsia="Arial" w:hAnsi="Arial" w:cs="Arial"/>
                <w:sz w:val="14"/>
                <w:szCs w:val="14"/>
              </w:rPr>
              <w:t>3/30/2022</w:t>
            </w:r>
          </w:p>
        </w:tc>
        <w:tc>
          <w:tcPr>
            <w:tcW w:w="660" w:type="dxa"/>
            <w:shd w:val="clear" w:color="auto" w:fill="CCEEFF"/>
            <w:vAlign w:val="bottom"/>
          </w:tcPr>
          <w:p w14:paraId="4AFA3149" w14:textId="77777777" w:rsidR="00D1587D" w:rsidRDefault="00D1587D"/>
        </w:tc>
        <w:tc>
          <w:tcPr>
            <w:tcW w:w="80" w:type="dxa"/>
            <w:shd w:val="clear" w:color="auto" w:fill="CCEEFF"/>
            <w:vAlign w:val="bottom"/>
          </w:tcPr>
          <w:p w14:paraId="7B418825" w14:textId="77777777" w:rsidR="00D1587D" w:rsidRDefault="00D1587D"/>
        </w:tc>
        <w:tc>
          <w:tcPr>
            <w:tcW w:w="660" w:type="dxa"/>
            <w:shd w:val="clear" w:color="auto" w:fill="CCEEFF"/>
            <w:vAlign w:val="bottom"/>
          </w:tcPr>
          <w:p w14:paraId="1C10F059" w14:textId="77777777" w:rsidR="00D1587D" w:rsidRDefault="00D1587D"/>
        </w:tc>
        <w:tc>
          <w:tcPr>
            <w:tcW w:w="80" w:type="dxa"/>
            <w:shd w:val="clear" w:color="auto" w:fill="CCEEFF"/>
            <w:vAlign w:val="bottom"/>
          </w:tcPr>
          <w:p w14:paraId="50E15861" w14:textId="77777777" w:rsidR="00D1587D" w:rsidRDefault="00D1587D"/>
        </w:tc>
        <w:tc>
          <w:tcPr>
            <w:tcW w:w="600" w:type="dxa"/>
            <w:shd w:val="clear" w:color="auto" w:fill="CCEEFF"/>
            <w:vAlign w:val="bottom"/>
          </w:tcPr>
          <w:p w14:paraId="7008571A" w14:textId="77777777" w:rsidR="00D1587D" w:rsidRDefault="00D1587D"/>
        </w:tc>
        <w:tc>
          <w:tcPr>
            <w:tcW w:w="80" w:type="dxa"/>
            <w:shd w:val="clear" w:color="auto" w:fill="CCEEFF"/>
            <w:vAlign w:val="bottom"/>
          </w:tcPr>
          <w:p w14:paraId="0B0286CC" w14:textId="77777777" w:rsidR="00D1587D" w:rsidRDefault="00D1587D"/>
        </w:tc>
        <w:tc>
          <w:tcPr>
            <w:tcW w:w="620" w:type="dxa"/>
            <w:shd w:val="clear" w:color="auto" w:fill="CCEEFF"/>
            <w:vAlign w:val="bottom"/>
          </w:tcPr>
          <w:p w14:paraId="7AF9E772" w14:textId="77777777" w:rsidR="00D1587D" w:rsidRDefault="00D1587D"/>
        </w:tc>
        <w:tc>
          <w:tcPr>
            <w:tcW w:w="80" w:type="dxa"/>
            <w:shd w:val="clear" w:color="auto" w:fill="CCEEFF"/>
            <w:vAlign w:val="bottom"/>
          </w:tcPr>
          <w:p w14:paraId="6030E81D" w14:textId="77777777" w:rsidR="00D1587D" w:rsidRDefault="00D1587D"/>
        </w:tc>
        <w:tc>
          <w:tcPr>
            <w:tcW w:w="600" w:type="dxa"/>
            <w:shd w:val="clear" w:color="auto" w:fill="CCEEFF"/>
            <w:vAlign w:val="bottom"/>
          </w:tcPr>
          <w:p w14:paraId="4F45895C" w14:textId="77777777" w:rsidR="00D1587D" w:rsidRDefault="00D1587D"/>
        </w:tc>
        <w:tc>
          <w:tcPr>
            <w:tcW w:w="0" w:type="dxa"/>
            <w:vAlign w:val="bottom"/>
          </w:tcPr>
          <w:p w14:paraId="39B36CAF" w14:textId="77777777" w:rsidR="00D1587D" w:rsidRDefault="00D1587D">
            <w:pPr>
              <w:rPr>
                <w:sz w:val="1"/>
                <w:szCs w:val="1"/>
              </w:rPr>
            </w:pPr>
          </w:p>
        </w:tc>
      </w:tr>
      <w:tr w:rsidR="00D1587D" w14:paraId="0CA448B0" w14:textId="77777777">
        <w:trPr>
          <w:trHeight w:val="257"/>
        </w:trPr>
        <w:tc>
          <w:tcPr>
            <w:tcW w:w="880" w:type="dxa"/>
            <w:shd w:val="clear" w:color="auto" w:fill="CCEEFF"/>
            <w:vAlign w:val="bottom"/>
          </w:tcPr>
          <w:p w14:paraId="1AE24808" w14:textId="77777777" w:rsidR="00D1587D" w:rsidRDefault="00D1587D"/>
        </w:tc>
        <w:tc>
          <w:tcPr>
            <w:tcW w:w="40" w:type="dxa"/>
            <w:shd w:val="clear" w:color="auto" w:fill="CCEEFF"/>
            <w:vAlign w:val="bottom"/>
          </w:tcPr>
          <w:p w14:paraId="75F218DE" w14:textId="77777777" w:rsidR="00D1587D" w:rsidRDefault="00D1587D"/>
        </w:tc>
        <w:tc>
          <w:tcPr>
            <w:tcW w:w="40" w:type="dxa"/>
            <w:shd w:val="clear" w:color="auto" w:fill="CCEEFF"/>
            <w:vAlign w:val="bottom"/>
          </w:tcPr>
          <w:p w14:paraId="63B1052A" w14:textId="77777777" w:rsidR="00D1587D" w:rsidRDefault="00D1587D"/>
        </w:tc>
        <w:tc>
          <w:tcPr>
            <w:tcW w:w="580" w:type="dxa"/>
            <w:shd w:val="clear" w:color="auto" w:fill="CCEEFF"/>
            <w:vAlign w:val="bottom"/>
          </w:tcPr>
          <w:p w14:paraId="19201AAA" w14:textId="77777777" w:rsidR="00D1587D" w:rsidRDefault="00410D07">
            <w:pPr>
              <w:rPr>
                <w:sz w:val="20"/>
                <w:szCs w:val="20"/>
              </w:rPr>
            </w:pPr>
            <w:r>
              <w:rPr>
                <w:rFonts w:ascii="Arial" w:eastAsia="Arial" w:hAnsi="Arial" w:cs="Arial"/>
                <w:w w:val="89"/>
                <w:sz w:val="14"/>
                <w:szCs w:val="14"/>
              </w:rPr>
              <w:t>3/29/2013</w:t>
            </w:r>
          </w:p>
        </w:tc>
        <w:tc>
          <w:tcPr>
            <w:tcW w:w="40" w:type="dxa"/>
            <w:shd w:val="clear" w:color="auto" w:fill="CCEEFF"/>
            <w:vAlign w:val="bottom"/>
          </w:tcPr>
          <w:p w14:paraId="7FABAFA4" w14:textId="77777777" w:rsidR="00D1587D" w:rsidRDefault="00D1587D"/>
        </w:tc>
        <w:tc>
          <w:tcPr>
            <w:tcW w:w="840" w:type="dxa"/>
            <w:gridSpan w:val="3"/>
            <w:shd w:val="clear" w:color="auto" w:fill="CCEEFF"/>
            <w:vAlign w:val="bottom"/>
          </w:tcPr>
          <w:p w14:paraId="787E1625" w14:textId="77777777" w:rsidR="00D1587D" w:rsidRDefault="00410D07">
            <w:pPr>
              <w:ind w:right="40"/>
              <w:jc w:val="right"/>
              <w:rPr>
                <w:sz w:val="20"/>
                <w:szCs w:val="20"/>
              </w:rPr>
            </w:pPr>
            <w:r>
              <w:rPr>
                <w:rFonts w:ascii="Arial" w:eastAsia="Arial" w:hAnsi="Arial" w:cs="Arial"/>
                <w:sz w:val="14"/>
                <w:szCs w:val="14"/>
              </w:rPr>
              <w:t>27,757</w:t>
            </w:r>
          </w:p>
        </w:tc>
        <w:tc>
          <w:tcPr>
            <w:tcW w:w="40" w:type="dxa"/>
            <w:shd w:val="clear" w:color="auto" w:fill="CCEEFF"/>
            <w:vAlign w:val="bottom"/>
          </w:tcPr>
          <w:p w14:paraId="1824751E" w14:textId="77777777" w:rsidR="00D1587D" w:rsidRDefault="00D1587D"/>
        </w:tc>
        <w:tc>
          <w:tcPr>
            <w:tcW w:w="900" w:type="dxa"/>
            <w:gridSpan w:val="2"/>
            <w:shd w:val="clear" w:color="auto" w:fill="CCEEFF"/>
            <w:vAlign w:val="bottom"/>
          </w:tcPr>
          <w:p w14:paraId="49ADB420" w14:textId="77777777" w:rsidR="00D1587D" w:rsidRDefault="00410D07">
            <w:pPr>
              <w:ind w:right="40"/>
              <w:jc w:val="right"/>
              <w:rPr>
                <w:sz w:val="20"/>
                <w:szCs w:val="20"/>
              </w:rPr>
            </w:pPr>
            <w:r>
              <w:rPr>
                <w:rFonts w:ascii="Arial" w:eastAsia="Arial" w:hAnsi="Arial" w:cs="Arial"/>
                <w:sz w:val="14"/>
                <w:szCs w:val="14"/>
              </w:rPr>
              <w:t>—</w:t>
            </w:r>
          </w:p>
        </w:tc>
        <w:tc>
          <w:tcPr>
            <w:tcW w:w="40" w:type="dxa"/>
            <w:shd w:val="clear" w:color="auto" w:fill="CCEEFF"/>
            <w:vAlign w:val="bottom"/>
          </w:tcPr>
          <w:p w14:paraId="27E3FA41" w14:textId="77777777" w:rsidR="00D1587D" w:rsidRDefault="00D1587D"/>
        </w:tc>
        <w:tc>
          <w:tcPr>
            <w:tcW w:w="800" w:type="dxa"/>
            <w:gridSpan w:val="2"/>
            <w:shd w:val="clear" w:color="auto" w:fill="CCEEFF"/>
            <w:vAlign w:val="bottom"/>
          </w:tcPr>
          <w:p w14:paraId="70046627"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73CFDE80" w14:textId="77777777" w:rsidR="00D1587D" w:rsidRDefault="00410D07">
            <w:pPr>
              <w:ind w:right="80"/>
              <w:jc w:val="right"/>
              <w:rPr>
                <w:sz w:val="20"/>
                <w:szCs w:val="20"/>
              </w:rPr>
            </w:pPr>
            <w:r>
              <w:rPr>
                <w:rFonts w:ascii="Arial" w:eastAsia="Arial" w:hAnsi="Arial" w:cs="Arial"/>
                <w:sz w:val="14"/>
                <w:szCs w:val="14"/>
              </w:rPr>
              <w:t>41.88</w:t>
            </w:r>
          </w:p>
        </w:tc>
        <w:tc>
          <w:tcPr>
            <w:tcW w:w="760" w:type="dxa"/>
            <w:gridSpan w:val="2"/>
            <w:shd w:val="clear" w:color="auto" w:fill="CCEEFF"/>
            <w:vAlign w:val="bottom"/>
          </w:tcPr>
          <w:p w14:paraId="0897C9EB" w14:textId="77777777" w:rsidR="00D1587D" w:rsidRDefault="00410D07">
            <w:pPr>
              <w:ind w:right="100"/>
              <w:jc w:val="right"/>
              <w:rPr>
                <w:sz w:val="20"/>
                <w:szCs w:val="20"/>
              </w:rPr>
            </w:pPr>
            <w:r>
              <w:rPr>
                <w:rFonts w:ascii="Arial" w:eastAsia="Arial" w:hAnsi="Arial" w:cs="Arial"/>
                <w:sz w:val="14"/>
                <w:szCs w:val="14"/>
              </w:rPr>
              <w:t>3/29/2023</w:t>
            </w:r>
          </w:p>
        </w:tc>
        <w:tc>
          <w:tcPr>
            <w:tcW w:w="660" w:type="dxa"/>
            <w:shd w:val="clear" w:color="auto" w:fill="CCEEFF"/>
            <w:vAlign w:val="bottom"/>
          </w:tcPr>
          <w:p w14:paraId="4229E1C3" w14:textId="77777777" w:rsidR="00D1587D" w:rsidRDefault="00D1587D"/>
        </w:tc>
        <w:tc>
          <w:tcPr>
            <w:tcW w:w="80" w:type="dxa"/>
            <w:shd w:val="clear" w:color="auto" w:fill="CCEEFF"/>
            <w:vAlign w:val="bottom"/>
          </w:tcPr>
          <w:p w14:paraId="5BC6C1D1" w14:textId="77777777" w:rsidR="00D1587D" w:rsidRDefault="00D1587D"/>
        </w:tc>
        <w:tc>
          <w:tcPr>
            <w:tcW w:w="660" w:type="dxa"/>
            <w:shd w:val="clear" w:color="auto" w:fill="CCEEFF"/>
            <w:vAlign w:val="bottom"/>
          </w:tcPr>
          <w:p w14:paraId="73064FCE" w14:textId="77777777" w:rsidR="00D1587D" w:rsidRDefault="00D1587D"/>
        </w:tc>
        <w:tc>
          <w:tcPr>
            <w:tcW w:w="80" w:type="dxa"/>
            <w:shd w:val="clear" w:color="auto" w:fill="CCEEFF"/>
            <w:vAlign w:val="bottom"/>
          </w:tcPr>
          <w:p w14:paraId="54308CB8" w14:textId="77777777" w:rsidR="00D1587D" w:rsidRDefault="00D1587D"/>
        </w:tc>
        <w:tc>
          <w:tcPr>
            <w:tcW w:w="600" w:type="dxa"/>
            <w:shd w:val="clear" w:color="auto" w:fill="CCEEFF"/>
            <w:vAlign w:val="bottom"/>
          </w:tcPr>
          <w:p w14:paraId="6593447C" w14:textId="77777777" w:rsidR="00D1587D" w:rsidRDefault="00D1587D"/>
        </w:tc>
        <w:tc>
          <w:tcPr>
            <w:tcW w:w="80" w:type="dxa"/>
            <w:shd w:val="clear" w:color="auto" w:fill="CCEEFF"/>
            <w:vAlign w:val="bottom"/>
          </w:tcPr>
          <w:p w14:paraId="5DB73A7D" w14:textId="77777777" w:rsidR="00D1587D" w:rsidRDefault="00D1587D"/>
        </w:tc>
        <w:tc>
          <w:tcPr>
            <w:tcW w:w="620" w:type="dxa"/>
            <w:shd w:val="clear" w:color="auto" w:fill="CCEEFF"/>
            <w:vAlign w:val="bottom"/>
          </w:tcPr>
          <w:p w14:paraId="594BA766" w14:textId="77777777" w:rsidR="00D1587D" w:rsidRDefault="00D1587D"/>
        </w:tc>
        <w:tc>
          <w:tcPr>
            <w:tcW w:w="80" w:type="dxa"/>
            <w:shd w:val="clear" w:color="auto" w:fill="CCEEFF"/>
            <w:vAlign w:val="bottom"/>
          </w:tcPr>
          <w:p w14:paraId="4661D3AA" w14:textId="77777777" w:rsidR="00D1587D" w:rsidRDefault="00D1587D"/>
        </w:tc>
        <w:tc>
          <w:tcPr>
            <w:tcW w:w="600" w:type="dxa"/>
            <w:shd w:val="clear" w:color="auto" w:fill="CCEEFF"/>
            <w:vAlign w:val="bottom"/>
          </w:tcPr>
          <w:p w14:paraId="3201F1E8" w14:textId="77777777" w:rsidR="00D1587D" w:rsidRDefault="00D1587D"/>
        </w:tc>
        <w:tc>
          <w:tcPr>
            <w:tcW w:w="0" w:type="dxa"/>
            <w:vAlign w:val="bottom"/>
          </w:tcPr>
          <w:p w14:paraId="0FAA2042" w14:textId="77777777" w:rsidR="00D1587D" w:rsidRDefault="00D1587D">
            <w:pPr>
              <w:rPr>
                <w:sz w:val="1"/>
                <w:szCs w:val="1"/>
              </w:rPr>
            </w:pPr>
          </w:p>
        </w:tc>
      </w:tr>
      <w:tr w:rsidR="00D1587D" w14:paraId="702E339C" w14:textId="77777777">
        <w:trPr>
          <w:trHeight w:val="256"/>
        </w:trPr>
        <w:tc>
          <w:tcPr>
            <w:tcW w:w="880" w:type="dxa"/>
            <w:shd w:val="clear" w:color="auto" w:fill="CCEEFF"/>
            <w:vAlign w:val="bottom"/>
          </w:tcPr>
          <w:p w14:paraId="15855112" w14:textId="77777777" w:rsidR="00D1587D" w:rsidRDefault="00D1587D"/>
        </w:tc>
        <w:tc>
          <w:tcPr>
            <w:tcW w:w="40" w:type="dxa"/>
            <w:shd w:val="clear" w:color="auto" w:fill="CCEEFF"/>
            <w:vAlign w:val="bottom"/>
          </w:tcPr>
          <w:p w14:paraId="3683DDCE" w14:textId="77777777" w:rsidR="00D1587D" w:rsidRDefault="00D1587D"/>
        </w:tc>
        <w:tc>
          <w:tcPr>
            <w:tcW w:w="40" w:type="dxa"/>
            <w:shd w:val="clear" w:color="auto" w:fill="CCEEFF"/>
            <w:vAlign w:val="bottom"/>
          </w:tcPr>
          <w:p w14:paraId="7BE0FF80" w14:textId="77777777" w:rsidR="00D1587D" w:rsidRDefault="00D1587D"/>
        </w:tc>
        <w:tc>
          <w:tcPr>
            <w:tcW w:w="580" w:type="dxa"/>
            <w:shd w:val="clear" w:color="auto" w:fill="CCEEFF"/>
            <w:vAlign w:val="bottom"/>
          </w:tcPr>
          <w:p w14:paraId="01B6BF46" w14:textId="77777777" w:rsidR="00D1587D" w:rsidRDefault="00410D07">
            <w:pPr>
              <w:rPr>
                <w:sz w:val="20"/>
                <w:szCs w:val="20"/>
              </w:rPr>
            </w:pPr>
            <w:r>
              <w:rPr>
                <w:rFonts w:ascii="Arial" w:eastAsia="Arial" w:hAnsi="Arial" w:cs="Arial"/>
                <w:w w:val="89"/>
                <w:sz w:val="14"/>
                <w:szCs w:val="14"/>
              </w:rPr>
              <w:t>3/31/2014</w:t>
            </w:r>
          </w:p>
        </w:tc>
        <w:tc>
          <w:tcPr>
            <w:tcW w:w="40" w:type="dxa"/>
            <w:shd w:val="clear" w:color="auto" w:fill="CCEEFF"/>
            <w:vAlign w:val="bottom"/>
          </w:tcPr>
          <w:p w14:paraId="5AD497F3" w14:textId="77777777" w:rsidR="00D1587D" w:rsidRDefault="00D1587D"/>
        </w:tc>
        <w:tc>
          <w:tcPr>
            <w:tcW w:w="40" w:type="dxa"/>
            <w:shd w:val="clear" w:color="auto" w:fill="CCEEFF"/>
            <w:vAlign w:val="bottom"/>
          </w:tcPr>
          <w:p w14:paraId="28D635F9" w14:textId="77777777" w:rsidR="00D1587D" w:rsidRDefault="00D1587D"/>
        </w:tc>
        <w:tc>
          <w:tcPr>
            <w:tcW w:w="800" w:type="dxa"/>
            <w:gridSpan w:val="2"/>
            <w:shd w:val="clear" w:color="auto" w:fill="CCEEFF"/>
            <w:vAlign w:val="bottom"/>
          </w:tcPr>
          <w:p w14:paraId="3CE16321" w14:textId="77777777" w:rsidR="00D1587D" w:rsidRDefault="00410D07">
            <w:pPr>
              <w:ind w:right="40"/>
              <w:jc w:val="right"/>
              <w:rPr>
                <w:sz w:val="20"/>
                <w:szCs w:val="20"/>
              </w:rPr>
            </w:pPr>
            <w:r>
              <w:rPr>
                <w:rFonts w:ascii="Arial" w:eastAsia="Arial" w:hAnsi="Arial" w:cs="Arial"/>
                <w:sz w:val="14"/>
                <w:szCs w:val="14"/>
              </w:rPr>
              <w:t>21,440</w:t>
            </w:r>
          </w:p>
        </w:tc>
        <w:tc>
          <w:tcPr>
            <w:tcW w:w="40" w:type="dxa"/>
            <w:shd w:val="clear" w:color="auto" w:fill="CCEEFF"/>
            <w:vAlign w:val="bottom"/>
          </w:tcPr>
          <w:p w14:paraId="2DA4C261" w14:textId="77777777" w:rsidR="00D1587D" w:rsidRDefault="00D1587D"/>
        </w:tc>
        <w:tc>
          <w:tcPr>
            <w:tcW w:w="900" w:type="dxa"/>
            <w:gridSpan w:val="2"/>
            <w:shd w:val="clear" w:color="auto" w:fill="CCEEFF"/>
            <w:vAlign w:val="bottom"/>
          </w:tcPr>
          <w:p w14:paraId="24C1D177" w14:textId="77777777" w:rsidR="00D1587D" w:rsidRDefault="00410D07">
            <w:pPr>
              <w:ind w:right="40"/>
              <w:jc w:val="right"/>
              <w:rPr>
                <w:sz w:val="20"/>
                <w:szCs w:val="20"/>
              </w:rPr>
            </w:pPr>
            <w:r>
              <w:rPr>
                <w:rFonts w:ascii="Arial" w:eastAsia="Arial" w:hAnsi="Arial" w:cs="Arial"/>
                <w:sz w:val="14"/>
                <w:szCs w:val="14"/>
              </w:rPr>
              <w:t>—</w:t>
            </w:r>
          </w:p>
        </w:tc>
        <w:tc>
          <w:tcPr>
            <w:tcW w:w="40" w:type="dxa"/>
            <w:shd w:val="clear" w:color="auto" w:fill="CCEEFF"/>
            <w:vAlign w:val="bottom"/>
          </w:tcPr>
          <w:p w14:paraId="3A8D8DFC" w14:textId="77777777" w:rsidR="00D1587D" w:rsidRDefault="00D1587D"/>
        </w:tc>
        <w:tc>
          <w:tcPr>
            <w:tcW w:w="800" w:type="dxa"/>
            <w:gridSpan w:val="2"/>
            <w:shd w:val="clear" w:color="auto" w:fill="CCEEFF"/>
            <w:vAlign w:val="bottom"/>
          </w:tcPr>
          <w:p w14:paraId="638CC886"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2AF59D90" w14:textId="77777777" w:rsidR="00D1587D" w:rsidRDefault="00410D07">
            <w:pPr>
              <w:ind w:right="80"/>
              <w:jc w:val="right"/>
              <w:rPr>
                <w:sz w:val="20"/>
                <w:szCs w:val="20"/>
              </w:rPr>
            </w:pPr>
            <w:r>
              <w:rPr>
                <w:rFonts w:ascii="Arial" w:eastAsia="Arial" w:hAnsi="Arial" w:cs="Arial"/>
                <w:sz w:val="14"/>
                <w:szCs w:val="14"/>
              </w:rPr>
              <w:t>54.21</w:t>
            </w:r>
          </w:p>
        </w:tc>
        <w:tc>
          <w:tcPr>
            <w:tcW w:w="760" w:type="dxa"/>
            <w:gridSpan w:val="2"/>
            <w:shd w:val="clear" w:color="auto" w:fill="CCEEFF"/>
            <w:vAlign w:val="bottom"/>
          </w:tcPr>
          <w:p w14:paraId="2BAA71D5" w14:textId="77777777" w:rsidR="00D1587D" w:rsidRDefault="00410D07">
            <w:pPr>
              <w:ind w:right="100"/>
              <w:jc w:val="right"/>
              <w:rPr>
                <w:sz w:val="20"/>
                <w:szCs w:val="20"/>
              </w:rPr>
            </w:pPr>
            <w:r>
              <w:rPr>
                <w:rFonts w:ascii="Arial" w:eastAsia="Arial" w:hAnsi="Arial" w:cs="Arial"/>
                <w:sz w:val="14"/>
                <w:szCs w:val="14"/>
              </w:rPr>
              <w:t>3/31/2024</w:t>
            </w:r>
          </w:p>
        </w:tc>
        <w:tc>
          <w:tcPr>
            <w:tcW w:w="660" w:type="dxa"/>
            <w:shd w:val="clear" w:color="auto" w:fill="CCEEFF"/>
            <w:vAlign w:val="bottom"/>
          </w:tcPr>
          <w:p w14:paraId="44DDCE06" w14:textId="77777777" w:rsidR="00D1587D" w:rsidRDefault="00D1587D"/>
        </w:tc>
        <w:tc>
          <w:tcPr>
            <w:tcW w:w="80" w:type="dxa"/>
            <w:shd w:val="clear" w:color="auto" w:fill="CCEEFF"/>
            <w:vAlign w:val="bottom"/>
          </w:tcPr>
          <w:p w14:paraId="0C358743" w14:textId="77777777" w:rsidR="00D1587D" w:rsidRDefault="00D1587D"/>
        </w:tc>
        <w:tc>
          <w:tcPr>
            <w:tcW w:w="660" w:type="dxa"/>
            <w:shd w:val="clear" w:color="auto" w:fill="CCEEFF"/>
            <w:vAlign w:val="bottom"/>
          </w:tcPr>
          <w:p w14:paraId="7C92C8F6" w14:textId="77777777" w:rsidR="00D1587D" w:rsidRDefault="00D1587D"/>
        </w:tc>
        <w:tc>
          <w:tcPr>
            <w:tcW w:w="80" w:type="dxa"/>
            <w:shd w:val="clear" w:color="auto" w:fill="CCEEFF"/>
            <w:vAlign w:val="bottom"/>
          </w:tcPr>
          <w:p w14:paraId="26348B57" w14:textId="77777777" w:rsidR="00D1587D" w:rsidRDefault="00D1587D"/>
        </w:tc>
        <w:tc>
          <w:tcPr>
            <w:tcW w:w="600" w:type="dxa"/>
            <w:shd w:val="clear" w:color="auto" w:fill="CCEEFF"/>
            <w:vAlign w:val="bottom"/>
          </w:tcPr>
          <w:p w14:paraId="48D259C1" w14:textId="77777777" w:rsidR="00D1587D" w:rsidRDefault="00D1587D"/>
        </w:tc>
        <w:tc>
          <w:tcPr>
            <w:tcW w:w="80" w:type="dxa"/>
            <w:shd w:val="clear" w:color="auto" w:fill="CCEEFF"/>
            <w:vAlign w:val="bottom"/>
          </w:tcPr>
          <w:p w14:paraId="48CA1016" w14:textId="77777777" w:rsidR="00D1587D" w:rsidRDefault="00D1587D"/>
        </w:tc>
        <w:tc>
          <w:tcPr>
            <w:tcW w:w="620" w:type="dxa"/>
            <w:shd w:val="clear" w:color="auto" w:fill="CCEEFF"/>
            <w:vAlign w:val="bottom"/>
          </w:tcPr>
          <w:p w14:paraId="0AD80711" w14:textId="77777777" w:rsidR="00D1587D" w:rsidRDefault="00D1587D"/>
        </w:tc>
        <w:tc>
          <w:tcPr>
            <w:tcW w:w="80" w:type="dxa"/>
            <w:shd w:val="clear" w:color="auto" w:fill="CCEEFF"/>
            <w:vAlign w:val="bottom"/>
          </w:tcPr>
          <w:p w14:paraId="1C93E04F" w14:textId="77777777" w:rsidR="00D1587D" w:rsidRDefault="00D1587D"/>
        </w:tc>
        <w:tc>
          <w:tcPr>
            <w:tcW w:w="600" w:type="dxa"/>
            <w:shd w:val="clear" w:color="auto" w:fill="CCEEFF"/>
            <w:vAlign w:val="bottom"/>
          </w:tcPr>
          <w:p w14:paraId="7010F4F6" w14:textId="77777777" w:rsidR="00D1587D" w:rsidRDefault="00D1587D"/>
        </w:tc>
        <w:tc>
          <w:tcPr>
            <w:tcW w:w="0" w:type="dxa"/>
            <w:vAlign w:val="bottom"/>
          </w:tcPr>
          <w:p w14:paraId="55927F65" w14:textId="77777777" w:rsidR="00D1587D" w:rsidRDefault="00D1587D">
            <w:pPr>
              <w:rPr>
                <w:sz w:val="1"/>
                <w:szCs w:val="1"/>
              </w:rPr>
            </w:pPr>
          </w:p>
        </w:tc>
      </w:tr>
      <w:tr w:rsidR="00D1587D" w14:paraId="18F35D48" w14:textId="77777777">
        <w:trPr>
          <w:trHeight w:val="257"/>
        </w:trPr>
        <w:tc>
          <w:tcPr>
            <w:tcW w:w="880" w:type="dxa"/>
            <w:shd w:val="clear" w:color="auto" w:fill="CCEEFF"/>
            <w:vAlign w:val="bottom"/>
          </w:tcPr>
          <w:p w14:paraId="377ED36B" w14:textId="77777777" w:rsidR="00D1587D" w:rsidRDefault="00D1587D"/>
        </w:tc>
        <w:tc>
          <w:tcPr>
            <w:tcW w:w="40" w:type="dxa"/>
            <w:shd w:val="clear" w:color="auto" w:fill="CCEEFF"/>
            <w:vAlign w:val="bottom"/>
          </w:tcPr>
          <w:p w14:paraId="17819181" w14:textId="77777777" w:rsidR="00D1587D" w:rsidRDefault="00D1587D"/>
        </w:tc>
        <w:tc>
          <w:tcPr>
            <w:tcW w:w="40" w:type="dxa"/>
            <w:shd w:val="clear" w:color="auto" w:fill="CCEEFF"/>
            <w:vAlign w:val="bottom"/>
          </w:tcPr>
          <w:p w14:paraId="60B7CF56" w14:textId="77777777" w:rsidR="00D1587D" w:rsidRDefault="00D1587D"/>
        </w:tc>
        <w:tc>
          <w:tcPr>
            <w:tcW w:w="580" w:type="dxa"/>
            <w:shd w:val="clear" w:color="auto" w:fill="CCEEFF"/>
            <w:vAlign w:val="bottom"/>
          </w:tcPr>
          <w:p w14:paraId="069A0F68" w14:textId="77777777" w:rsidR="00D1587D" w:rsidRDefault="00410D07">
            <w:pPr>
              <w:rPr>
                <w:sz w:val="20"/>
                <w:szCs w:val="20"/>
              </w:rPr>
            </w:pPr>
            <w:r>
              <w:rPr>
                <w:rFonts w:ascii="Arial" w:eastAsia="Arial" w:hAnsi="Arial" w:cs="Arial"/>
                <w:w w:val="89"/>
                <w:sz w:val="14"/>
                <w:szCs w:val="14"/>
              </w:rPr>
              <w:t>4/02</w:t>
            </w:r>
            <w:r>
              <w:rPr>
                <w:rFonts w:ascii="Arial" w:eastAsia="Arial" w:hAnsi="Arial" w:cs="Arial"/>
                <w:w w:val="89"/>
                <w:sz w:val="14"/>
                <w:szCs w:val="14"/>
              </w:rPr>
              <w:t>/2015</w:t>
            </w:r>
          </w:p>
        </w:tc>
        <w:tc>
          <w:tcPr>
            <w:tcW w:w="40" w:type="dxa"/>
            <w:shd w:val="clear" w:color="auto" w:fill="CCEEFF"/>
            <w:vAlign w:val="bottom"/>
          </w:tcPr>
          <w:p w14:paraId="5F4DB13E" w14:textId="77777777" w:rsidR="00D1587D" w:rsidRDefault="00D1587D"/>
        </w:tc>
        <w:tc>
          <w:tcPr>
            <w:tcW w:w="40" w:type="dxa"/>
            <w:shd w:val="clear" w:color="auto" w:fill="CCEEFF"/>
            <w:vAlign w:val="bottom"/>
          </w:tcPr>
          <w:p w14:paraId="429574A9" w14:textId="77777777" w:rsidR="00D1587D" w:rsidRDefault="00D1587D"/>
        </w:tc>
        <w:tc>
          <w:tcPr>
            <w:tcW w:w="760" w:type="dxa"/>
            <w:shd w:val="clear" w:color="auto" w:fill="CCEEFF"/>
            <w:vAlign w:val="bottom"/>
          </w:tcPr>
          <w:p w14:paraId="7AA948C3" w14:textId="77777777" w:rsidR="00D1587D" w:rsidRDefault="00410D07">
            <w:pPr>
              <w:jc w:val="right"/>
              <w:rPr>
                <w:sz w:val="20"/>
                <w:szCs w:val="20"/>
              </w:rPr>
            </w:pPr>
            <w:r>
              <w:rPr>
                <w:rFonts w:ascii="Arial" w:eastAsia="Arial" w:hAnsi="Arial" w:cs="Arial"/>
                <w:sz w:val="14"/>
                <w:szCs w:val="14"/>
              </w:rPr>
              <w:t>13,985</w:t>
            </w:r>
          </w:p>
        </w:tc>
        <w:tc>
          <w:tcPr>
            <w:tcW w:w="40" w:type="dxa"/>
            <w:shd w:val="clear" w:color="auto" w:fill="CCEEFF"/>
            <w:vAlign w:val="bottom"/>
          </w:tcPr>
          <w:p w14:paraId="4B596B15" w14:textId="77777777" w:rsidR="00D1587D" w:rsidRDefault="00D1587D"/>
        </w:tc>
        <w:tc>
          <w:tcPr>
            <w:tcW w:w="40" w:type="dxa"/>
            <w:shd w:val="clear" w:color="auto" w:fill="CCEEFF"/>
            <w:vAlign w:val="bottom"/>
          </w:tcPr>
          <w:p w14:paraId="406DE36A" w14:textId="77777777" w:rsidR="00D1587D" w:rsidRDefault="00D1587D"/>
        </w:tc>
        <w:tc>
          <w:tcPr>
            <w:tcW w:w="900" w:type="dxa"/>
            <w:gridSpan w:val="2"/>
            <w:shd w:val="clear" w:color="auto" w:fill="CCEEFF"/>
            <w:vAlign w:val="bottom"/>
          </w:tcPr>
          <w:p w14:paraId="52BA2ABB" w14:textId="77777777" w:rsidR="00D1587D" w:rsidRDefault="00410D07">
            <w:pPr>
              <w:ind w:right="40"/>
              <w:jc w:val="right"/>
              <w:rPr>
                <w:sz w:val="20"/>
                <w:szCs w:val="20"/>
              </w:rPr>
            </w:pPr>
            <w:r>
              <w:rPr>
                <w:rFonts w:ascii="Arial" w:eastAsia="Arial" w:hAnsi="Arial" w:cs="Arial"/>
                <w:sz w:val="14"/>
                <w:szCs w:val="14"/>
              </w:rPr>
              <w:t>—</w:t>
            </w:r>
          </w:p>
        </w:tc>
        <w:tc>
          <w:tcPr>
            <w:tcW w:w="40" w:type="dxa"/>
            <w:shd w:val="clear" w:color="auto" w:fill="CCEEFF"/>
            <w:vAlign w:val="bottom"/>
          </w:tcPr>
          <w:p w14:paraId="4B061DE0" w14:textId="77777777" w:rsidR="00D1587D" w:rsidRDefault="00D1587D"/>
        </w:tc>
        <w:tc>
          <w:tcPr>
            <w:tcW w:w="800" w:type="dxa"/>
            <w:gridSpan w:val="2"/>
            <w:shd w:val="clear" w:color="auto" w:fill="CCEEFF"/>
            <w:vAlign w:val="bottom"/>
          </w:tcPr>
          <w:p w14:paraId="44B50154"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6F00BD05" w14:textId="77777777" w:rsidR="00D1587D" w:rsidRDefault="00410D07">
            <w:pPr>
              <w:ind w:right="80"/>
              <w:jc w:val="right"/>
              <w:rPr>
                <w:sz w:val="20"/>
                <w:szCs w:val="20"/>
              </w:rPr>
            </w:pPr>
            <w:r>
              <w:rPr>
                <w:rFonts w:ascii="Arial" w:eastAsia="Arial" w:hAnsi="Arial" w:cs="Arial"/>
                <w:sz w:val="14"/>
                <w:szCs w:val="14"/>
              </w:rPr>
              <w:t>91.17</w:t>
            </w:r>
          </w:p>
        </w:tc>
        <w:tc>
          <w:tcPr>
            <w:tcW w:w="760" w:type="dxa"/>
            <w:gridSpan w:val="2"/>
            <w:shd w:val="clear" w:color="auto" w:fill="CCEEFF"/>
            <w:vAlign w:val="bottom"/>
          </w:tcPr>
          <w:p w14:paraId="0A6049ED" w14:textId="77777777" w:rsidR="00D1587D" w:rsidRDefault="00410D07">
            <w:pPr>
              <w:ind w:right="100"/>
              <w:jc w:val="right"/>
              <w:rPr>
                <w:sz w:val="20"/>
                <w:szCs w:val="20"/>
              </w:rPr>
            </w:pPr>
            <w:r>
              <w:rPr>
                <w:rFonts w:ascii="Arial" w:eastAsia="Arial" w:hAnsi="Arial" w:cs="Arial"/>
                <w:sz w:val="14"/>
                <w:szCs w:val="14"/>
              </w:rPr>
              <w:t>4/02/2025</w:t>
            </w:r>
          </w:p>
        </w:tc>
        <w:tc>
          <w:tcPr>
            <w:tcW w:w="660" w:type="dxa"/>
            <w:shd w:val="clear" w:color="auto" w:fill="CCEEFF"/>
            <w:vAlign w:val="bottom"/>
          </w:tcPr>
          <w:p w14:paraId="2B00CC29" w14:textId="77777777" w:rsidR="00D1587D" w:rsidRDefault="00D1587D"/>
        </w:tc>
        <w:tc>
          <w:tcPr>
            <w:tcW w:w="80" w:type="dxa"/>
            <w:shd w:val="clear" w:color="auto" w:fill="CCEEFF"/>
            <w:vAlign w:val="bottom"/>
          </w:tcPr>
          <w:p w14:paraId="58A50A2C" w14:textId="77777777" w:rsidR="00D1587D" w:rsidRDefault="00D1587D"/>
        </w:tc>
        <w:tc>
          <w:tcPr>
            <w:tcW w:w="660" w:type="dxa"/>
            <w:shd w:val="clear" w:color="auto" w:fill="CCEEFF"/>
            <w:vAlign w:val="bottom"/>
          </w:tcPr>
          <w:p w14:paraId="4E842C8D" w14:textId="77777777" w:rsidR="00D1587D" w:rsidRDefault="00D1587D"/>
        </w:tc>
        <w:tc>
          <w:tcPr>
            <w:tcW w:w="80" w:type="dxa"/>
            <w:shd w:val="clear" w:color="auto" w:fill="CCEEFF"/>
            <w:vAlign w:val="bottom"/>
          </w:tcPr>
          <w:p w14:paraId="3FADECA6" w14:textId="77777777" w:rsidR="00D1587D" w:rsidRDefault="00D1587D"/>
        </w:tc>
        <w:tc>
          <w:tcPr>
            <w:tcW w:w="600" w:type="dxa"/>
            <w:shd w:val="clear" w:color="auto" w:fill="CCEEFF"/>
            <w:vAlign w:val="bottom"/>
          </w:tcPr>
          <w:p w14:paraId="0E5C6477" w14:textId="77777777" w:rsidR="00D1587D" w:rsidRDefault="00D1587D"/>
        </w:tc>
        <w:tc>
          <w:tcPr>
            <w:tcW w:w="80" w:type="dxa"/>
            <w:shd w:val="clear" w:color="auto" w:fill="CCEEFF"/>
            <w:vAlign w:val="bottom"/>
          </w:tcPr>
          <w:p w14:paraId="0986D9A3" w14:textId="77777777" w:rsidR="00D1587D" w:rsidRDefault="00D1587D"/>
        </w:tc>
        <w:tc>
          <w:tcPr>
            <w:tcW w:w="620" w:type="dxa"/>
            <w:shd w:val="clear" w:color="auto" w:fill="CCEEFF"/>
            <w:vAlign w:val="bottom"/>
          </w:tcPr>
          <w:p w14:paraId="155802BB" w14:textId="77777777" w:rsidR="00D1587D" w:rsidRDefault="00D1587D"/>
        </w:tc>
        <w:tc>
          <w:tcPr>
            <w:tcW w:w="80" w:type="dxa"/>
            <w:shd w:val="clear" w:color="auto" w:fill="CCEEFF"/>
            <w:vAlign w:val="bottom"/>
          </w:tcPr>
          <w:p w14:paraId="6C6D8278" w14:textId="77777777" w:rsidR="00D1587D" w:rsidRDefault="00D1587D"/>
        </w:tc>
        <w:tc>
          <w:tcPr>
            <w:tcW w:w="600" w:type="dxa"/>
            <w:shd w:val="clear" w:color="auto" w:fill="CCEEFF"/>
            <w:vAlign w:val="bottom"/>
          </w:tcPr>
          <w:p w14:paraId="40331AD2" w14:textId="77777777" w:rsidR="00D1587D" w:rsidRDefault="00D1587D"/>
        </w:tc>
        <w:tc>
          <w:tcPr>
            <w:tcW w:w="0" w:type="dxa"/>
            <w:vAlign w:val="bottom"/>
          </w:tcPr>
          <w:p w14:paraId="0398D36B" w14:textId="77777777" w:rsidR="00D1587D" w:rsidRDefault="00D1587D">
            <w:pPr>
              <w:rPr>
                <w:sz w:val="1"/>
                <w:szCs w:val="1"/>
              </w:rPr>
            </w:pPr>
          </w:p>
        </w:tc>
      </w:tr>
      <w:tr w:rsidR="00D1587D" w14:paraId="4EFA1B2A" w14:textId="77777777">
        <w:trPr>
          <w:trHeight w:val="296"/>
        </w:trPr>
        <w:tc>
          <w:tcPr>
            <w:tcW w:w="880" w:type="dxa"/>
            <w:shd w:val="clear" w:color="auto" w:fill="CCEEFF"/>
            <w:vAlign w:val="bottom"/>
          </w:tcPr>
          <w:p w14:paraId="4B4E497B" w14:textId="77777777" w:rsidR="00D1587D" w:rsidRDefault="00D1587D">
            <w:pPr>
              <w:rPr>
                <w:sz w:val="24"/>
                <w:szCs w:val="24"/>
              </w:rPr>
            </w:pPr>
          </w:p>
        </w:tc>
        <w:tc>
          <w:tcPr>
            <w:tcW w:w="40" w:type="dxa"/>
            <w:shd w:val="clear" w:color="auto" w:fill="CCEEFF"/>
            <w:vAlign w:val="bottom"/>
          </w:tcPr>
          <w:p w14:paraId="1565C19D" w14:textId="77777777" w:rsidR="00D1587D" w:rsidRDefault="00D1587D">
            <w:pPr>
              <w:rPr>
                <w:sz w:val="24"/>
                <w:szCs w:val="24"/>
              </w:rPr>
            </w:pPr>
          </w:p>
        </w:tc>
        <w:tc>
          <w:tcPr>
            <w:tcW w:w="40" w:type="dxa"/>
            <w:shd w:val="clear" w:color="auto" w:fill="CCEEFF"/>
            <w:vAlign w:val="bottom"/>
          </w:tcPr>
          <w:p w14:paraId="7BC153E9" w14:textId="77777777" w:rsidR="00D1587D" w:rsidRDefault="00D1587D">
            <w:pPr>
              <w:rPr>
                <w:sz w:val="24"/>
                <w:szCs w:val="24"/>
              </w:rPr>
            </w:pPr>
          </w:p>
        </w:tc>
        <w:tc>
          <w:tcPr>
            <w:tcW w:w="580" w:type="dxa"/>
            <w:shd w:val="clear" w:color="auto" w:fill="CCEEFF"/>
            <w:vAlign w:val="bottom"/>
          </w:tcPr>
          <w:p w14:paraId="42BD1478" w14:textId="77777777" w:rsidR="00D1587D" w:rsidRDefault="00410D07">
            <w:pPr>
              <w:rPr>
                <w:sz w:val="20"/>
                <w:szCs w:val="20"/>
              </w:rPr>
            </w:pPr>
            <w:r>
              <w:rPr>
                <w:rFonts w:ascii="Arial" w:eastAsia="Arial" w:hAnsi="Arial" w:cs="Arial"/>
                <w:w w:val="89"/>
                <w:sz w:val="14"/>
                <w:szCs w:val="14"/>
              </w:rPr>
              <w:t>3/31</w:t>
            </w:r>
            <w:r>
              <w:rPr>
                <w:rFonts w:ascii="Arial" w:eastAsia="Arial" w:hAnsi="Arial" w:cs="Arial"/>
                <w:w w:val="89"/>
                <w:sz w:val="14"/>
                <w:szCs w:val="14"/>
              </w:rPr>
              <w:t>/2016</w:t>
            </w:r>
          </w:p>
        </w:tc>
        <w:tc>
          <w:tcPr>
            <w:tcW w:w="40" w:type="dxa"/>
            <w:shd w:val="clear" w:color="auto" w:fill="CCEEFF"/>
            <w:vAlign w:val="bottom"/>
          </w:tcPr>
          <w:p w14:paraId="6AC71F20" w14:textId="77777777" w:rsidR="00D1587D" w:rsidRDefault="00D1587D">
            <w:pPr>
              <w:rPr>
                <w:sz w:val="24"/>
                <w:szCs w:val="24"/>
              </w:rPr>
            </w:pPr>
          </w:p>
        </w:tc>
        <w:tc>
          <w:tcPr>
            <w:tcW w:w="40" w:type="dxa"/>
            <w:shd w:val="clear" w:color="auto" w:fill="CCEEFF"/>
            <w:vAlign w:val="bottom"/>
          </w:tcPr>
          <w:p w14:paraId="7401FF2A" w14:textId="77777777" w:rsidR="00D1587D" w:rsidRDefault="00D1587D">
            <w:pPr>
              <w:rPr>
                <w:sz w:val="24"/>
                <w:szCs w:val="24"/>
              </w:rPr>
            </w:pPr>
          </w:p>
        </w:tc>
        <w:tc>
          <w:tcPr>
            <w:tcW w:w="760" w:type="dxa"/>
            <w:shd w:val="clear" w:color="auto" w:fill="CCEEFF"/>
            <w:vAlign w:val="bottom"/>
          </w:tcPr>
          <w:p w14:paraId="0BA6E7DF" w14:textId="77777777" w:rsidR="00D1587D" w:rsidRDefault="00410D07">
            <w:pPr>
              <w:jc w:val="right"/>
              <w:rPr>
                <w:sz w:val="20"/>
                <w:szCs w:val="20"/>
              </w:rPr>
            </w:pPr>
            <w:r>
              <w:rPr>
                <w:rFonts w:ascii="Arial" w:eastAsia="Arial" w:hAnsi="Arial" w:cs="Arial"/>
                <w:sz w:val="14"/>
                <w:szCs w:val="14"/>
              </w:rPr>
              <w:t>5,978</w:t>
            </w:r>
          </w:p>
        </w:tc>
        <w:tc>
          <w:tcPr>
            <w:tcW w:w="40" w:type="dxa"/>
            <w:shd w:val="clear" w:color="auto" w:fill="CCEEFF"/>
            <w:vAlign w:val="bottom"/>
          </w:tcPr>
          <w:p w14:paraId="1D1A01FF" w14:textId="77777777" w:rsidR="00D1587D" w:rsidRDefault="00D1587D">
            <w:pPr>
              <w:rPr>
                <w:sz w:val="24"/>
                <w:szCs w:val="24"/>
              </w:rPr>
            </w:pPr>
          </w:p>
        </w:tc>
        <w:tc>
          <w:tcPr>
            <w:tcW w:w="940" w:type="dxa"/>
            <w:gridSpan w:val="3"/>
            <w:shd w:val="clear" w:color="auto" w:fill="CCEEFF"/>
            <w:vAlign w:val="bottom"/>
          </w:tcPr>
          <w:p w14:paraId="09CB5F05" w14:textId="77777777" w:rsidR="00D1587D" w:rsidRDefault="00410D07">
            <w:pPr>
              <w:ind w:right="40"/>
              <w:jc w:val="right"/>
              <w:rPr>
                <w:sz w:val="20"/>
                <w:szCs w:val="20"/>
              </w:rPr>
            </w:pPr>
            <w:r>
              <w:rPr>
                <w:rFonts w:ascii="Arial" w:eastAsia="Arial" w:hAnsi="Arial" w:cs="Arial"/>
                <w:sz w:val="14"/>
                <w:szCs w:val="14"/>
              </w:rPr>
              <w:t>2,563</w:t>
            </w:r>
            <w:r>
              <w:rPr>
                <w:rFonts w:ascii="Arial" w:eastAsia="Arial" w:hAnsi="Arial" w:cs="Arial"/>
                <w:sz w:val="23"/>
                <w:szCs w:val="23"/>
                <w:vertAlign w:val="superscript"/>
              </w:rPr>
              <w:t>(1)</w:t>
            </w:r>
          </w:p>
        </w:tc>
        <w:tc>
          <w:tcPr>
            <w:tcW w:w="40" w:type="dxa"/>
            <w:shd w:val="clear" w:color="auto" w:fill="CCEEFF"/>
            <w:vAlign w:val="bottom"/>
          </w:tcPr>
          <w:p w14:paraId="5A08EBF3" w14:textId="77777777" w:rsidR="00D1587D" w:rsidRDefault="00D1587D">
            <w:pPr>
              <w:rPr>
                <w:sz w:val="24"/>
                <w:szCs w:val="24"/>
              </w:rPr>
            </w:pPr>
          </w:p>
        </w:tc>
        <w:tc>
          <w:tcPr>
            <w:tcW w:w="800" w:type="dxa"/>
            <w:gridSpan w:val="2"/>
            <w:shd w:val="clear" w:color="auto" w:fill="CCEEFF"/>
            <w:vAlign w:val="bottom"/>
          </w:tcPr>
          <w:p w14:paraId="2350BEC4"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6BB337D9" w14:textId="77777777" w:rsidR="00D1587D" w:rsidRDefault="00410D07">
            <w:pPr>
              <w:ind w:right="80"/>
              <w:jc w:val="right"/>
              <w:rPr>
                <w:sz w:val="20"/>
                <w:szCs w:val="20"/>
              </w:rPr>
            </w:pPr>
            <w:r>
              <w:rPr>
                <w:rFonts w:ascii="Arial" w:eastAsia="Arial" w:hAnsi="Arial" w:cs="Arial"/>
                <w:sz w:val="14"/>
                <w:szCs w:val="14"/>
              </w:rPr>
              <w:t>87.81</w:t>
            </w:r>
          </w:p>
        </w:tc>
        <w:tc>
          <w:tcPr>
            <w:tcW w:w="760" w:type="dxa"/>
            <w:gridSpan w:val="2"/>
            <w:shd w:val="clear" w:color="auto" w:fill="CCEEFF"/>
            <w:vAlign w:val="bottom"/>
          </w:tcPr>
          <w:p w14:paraId="55726715" w14:textId="77777777" w:rsidR="00D1587D" w:rsidRDefault="00410D07">
            <w:pPr>
              <w:ind w:right="100"/>
              <w:jc w:val="right"/>
              <w:rPr>
                <w:sz w:val="20"/>
                <w:szCs w:val="20"/>
              </w:rPr>
            </w:pPr>
            <w:r>
              <w:rPr>
                <w:rFonts w:ascii="Arial" w:eastAsia="Arial" w:hAnsi="Arial" w:cs="Arial"/>
                <w:sz w:val="14"/>
                <w:szCs w:val="14"/>
              </w:rPr>
              <w:t>3/31/2026</w:t>
            </w:r>
          </w:p>
        </w:tc>
        <w:tc>
          <w:tcPr>
            <w:tcW w:w="660" w:type="dxa"/>
            <w:shd w:val="clear" w:color="auto" w:fill="CCEEFF"/>
            <w:vAlign w:val="bottom"/>
          </w:tcPr>
          <w:p w14:paraId="20E97629" w14:textId="77777777" w:rsidR="00D1587D" w:rsidRDefault="00D1587D">
            <w:pPr>
              <w:rPr>
                <w:sz w:val="24"/>
                <w:szCs w:val="24"/>
              </w:rPr>
            </w:pPr>
          </w:p>
        </w:tc>
        <w:tc>
          <w:tcPr>
            <w:tcW w:w="80" w:type="dxa"/>
            <w:shd w:val="clear" w:color="auto" w:fill="CCEEFF"/>
            <w:vAlign w:val="bottom"/>
          </w:tcPr>
          <w:p w14:paraId="3766BB17" w14:textId="77777777" w:rsidR="00D1587D" w:rsidRDefault="00D1587D">
            <w:pPr>
              <w:rPr>
                <w:sz w:val="24"/>
                <w:szCs w:val="24"/>
              </w:rPr>
            </w:pPr>
          </w:p>
        </w:tc>
        <w:tc>
          <w:tcPr>
            <w:tcW w:w="660" w:type="dxa"/>
            <w:shd w:val="clear" w:color="auto" w:fill="CCEEFF"/>
            <w:vAlign w:val="bottom"/>
          </w:tcPr>
          <w:p w14:paraId="7B244408" w14:textId="77777777" w:rsidR="00D1587D" w:rsidRDefault="00D1587D">
            <w:pPr>
              <w:rPr>
                <w:sz w:val="24"/>
                <w:szCs w:val="24"/>
              </w:rPr>
            </w:pPr>
          </w:p>
        </w:tc>
        <w:tc>
          <w:tcPr>
            <w:tcW w:w="80" w:type="dxa"/>
            <w:shd w:val="clear" w:color="auto" w:fill="CCEEFF"/>
            <w:vAlign w:val="bottom"/>
          </w:tcPr>
          <w:p w14:paraId="3952EF94" w14:textId="77777777" w:rsidR="00D1587D" w:rsidRDefault="00D1587D">
            <w:pPr>
              <w:rPr>
                <w:sz w:val="24"/>
                <w:szCs w:val="24"/>
              </w:rPr>
            </w:pPr>
          </w:p>
        </w:tc>
        <w:tc>
          <w:tcPr>
            <w:tcW w:w="600" w:type="dxa"/>
            <w:shd w:val="clear" w:color="auto" w:fill="CCEEFF"/>
            <w:vAlign w:val="bottom"/>
          </w:tcPr>
          <w:p w14:paraId="3DBDC03B" w14:textId="77777777" w:rsidR="00D1587D" w:rsidRDefault="00D1587D">
            <w:pPr>
              <w:rPr>
                <w:sz w:val="24"/>
                <w:szCs w:val="24"/>
              </w:rPr>
            </w:pPr>
          </w:p>
        </w:tc>
        <w:tc>
          <w:tcPr>
            <w:tcW w:w="80" w:type="dxa"/>
            <w:shd w:val="clear" w:color="auto" w:fill="CCEEFF"/>
            <w:vAlign w:val="bottom"/>
          </w:tcPr>
          <w:p w14:paraId="33846B81" w14:textId="77777777" w:rsidR="00D1587D" w:rsidRDefault="00D1587D">
            <w:pPr>
              <w:rPr>
                <w:sz w:val="24"/>
                <w:szCs w:val="24"/>
              </w:rPr>
            </w:pPr>
          </w:p>
        </w:tc>
        <w:tc>
          <w:tcPr>
            <w:tcW w:w="620" w:type="dxa"/>
            <w:shd w:val="clear" w:color="auto" w:fill="CCEEFF"/>
            <w:vAlign w:val="bottom"/>
          </w:tcPr>
          <w:p w14:paraId="7A1D060E" w14:textId="77777777" w:rsidR="00D1587D" w:rsidRDefault="00D1587D">
            <w:pPr>
              <w:rPr>
                <w:sz w:val="24"/>
                <w:szCs w:val="24"/>
              </w:rPr>
            </w:pPr>
          </w:p>
        </w:tc>
        <w:tc>
          <w:tcPr>
            <w:tcW w:w="80" w:type="dxa"/>
            <w:shd w:val="clear" w:color="auto" w:fill="CCEEFF"/>
            <w:vAlign w:val="bottom"/>
          </w:tcPr>
          <w:p w14:paraId="467E5141" w14:textId="77777777" w:rsidR="00D1587D" w:rsidRDefault="00D1587D">
            <w:pPr>
              <w:rPr>
                <w:sz w:val="24"/>
                <w:szCs w:val="24"/>
              </w:rPr>
            </w:pPr>
          </w:p>
        </w:tc>
        <w:tc>
          <w:tcPr>
            <w:tcW w:w="600" w:type="dxa"/>
            <w:shd w:val="clear" w:color="auto" w:fill="CCEEFF"/>
            <w:vAlign w:val="bottom"/>
          </w:tcPr>
          <w:p w14:paraId="7700025A" w14:textId="77777777" w:rsidR="00D1587D" w:rsidRDefault="00D1587D">
            <w:pPr>
              <w:rPr>
                <w:sz w:val="24"/>
                <w:szCs w:val="24"/>
              </w:rPr>
            </w:pPr>
          </w:p>
        </w:tc>
        <w:tc>
          <w:tcPr>
            <w:tcW w:w="0" w:type="dxa"/>
            <w:vAlign w:val="bottom"/>
          </w:tcPr>
          <w:p w14:paraId="56672B6F" w14:textId="77777777" w:rsidR="00D1587D" w:rsidRDefault="00D1587D">
            <w:pPr>
              <w:rPr>
                <w:sz w:val="1"/>
                <w:szCs w:val="1"/>
              </w:rPr>
            </w:pPr>
          </w:p>
        </w:tc>
      </w:tr>
      <w:tr w:rsidR="00D1587D" w14:paraId="38025C96" w14:textId="77777777">
        <w:trPr>
          <w:trHeight w:val="257"/>
        </w:trPr>
        <w:tc>
          <w:tcPr>
            <w:tcW w:w="880" w:type="dxa"/>
            <w:shd w:val="clear" w:color="auto" w:fill="CCEEFF"/>
            <w:vAlign w:val="bottom"/>
          </w:tcPr>
          <w:p w14:paraId="6BF0EBED" w14:textId="77777777" w:rsidR="00D1587D" w:rsidRDefault="00D1587D"/>
        </w:tc>
        <w:tc>
          <w:tcPr>
            <w:tcW w:w="40" w:type="dxa"/>
            <w:shd w:val="clear" w:color="auto" w:fill="CCEEFF"/>
            <w:vAlign w:val="bottom"/>
          </w:tcPr>
          <w:p w14:paraId="1497E2DA" w14:textId="77777777" w:rsidR="00D1587D" w:rsidRDefault="00D1587D"/>
        </w:tc>
        <w:tc>
          <w:tcPr>
            <w:tcW w:w="40" w:type="dxa"/>
            <w:shd w:val="clear" w:color="auto" w:fill="CCEEFF"/>
            <w:vAlign w:val="bottom"/>
          </w:tcPr>
          <w:p w14:paraId="21E6937F" w14:textId="77777777" w:rsidR="00D1587D" w:rsidRDefault="00D1587D"/>
        </w:tc>
        <w:tc>
          <w:tcPr>
            <w:tcW w:w="580" w:type="dxa"/>
            <w:shd w:val="clear" w:color="auto" w:fill="CCEEFF"/>
            <w:vAlign w:val="bottom"/>
          </w:tcPr>
          <w:p w14:paraId="25B541DC" w14:textId="77777777" w:rsidR="00D1587D" w:rsidRDefault="00410D07">
            <w:pPr>
              <w:rPr>
                <w:sz w:val="20"/>
                <w:szCs w:val="20"/>
              </w:rPr>
            </w:pPr>
            <w:r>
              <w:rPr>
                <w:rFonts w:ascii="Arial" w:eastAsia="Arial" w:hAnsi="Arial" w:cs="Arial"/>
                <w:w w:val="89"/>
                <w:sz w:val="14"/>
                <w:szCs w:val="14"/>
              </w:rPr>
              <w:t>3/31/2017</w:t>
            </w:r>
          </w:p>
        </w:tc>
        <w:tc>
          <w:tcPr>
            <w:tcW w:w="40" w:type="dxa"/>
            <w:shd w:val="clear" w:color="auto" w:fill="CCEEFF"/>
            <w:vAlign w:val="bottom"/>
          </w:tcPr>
          <w:p w14:paraId="35AC5CC7" w14:textId="77777777" w:rsidR="00D1587D" w:rsidRDefault="00D1587D"/>
        </w:tc>
        <w:tc>
          <w:tcPr>
            <w:tcW w:w="40" w:type="dxa"/>
            <w:shd w:val="clear" w:color="auto" w:fill="CCEEFF"/>
            <w:vAlign w:val="bottom"/>
          </w:tcPr>
          <w:p w14:paraId="30701F8D" w14:textId="77777777" w:rsidR="00D1587D" w:rsidRDefault="00D1587D"/>
        </w:tc>
        <w:tc>
          <w:tcPr>
            <w:tcW w:w="760" w:type="dxa"/>
            <w:shd w:val="clear" w:color="auto" w:fill="CCEEFF"/>
            <w:vAlign w:val="bottom"/>
          </w:tcPr>
          <w:p w14:paraId="58773538" w14:textId="77777777" w:rsidR="00D1587D" w:rsidRDefault="00410D07">
            <w:pPr>
              <w:jc w:val="right"/>
              <w:rPr>
                <w:sz w:val="20"/>
                <w:szCs w:val="20"/>
              </w:rPr>
            </w:pPr>
            <w:r>
              <w:rPr>
                <w:rFonts w:ascii="Arial" w:eastAsia="Arial" w:hAnsi="Arial" w:cs="Arial"/>
                <w:sz w:val="14"/>
                <w:szCs w:val="14"/>
              </w:rPr>
              <w:t>5,732</w:t>
            </w:r>
          </w:p>
        </w:tc>
        <w:tc>
          <w:tcPr>
            <w:tcW w:w="40" w:type="dxa"/>
            <w:shd w:val="clear" w:color="auto" w:fill="CCEEFF"/>
            <w:vAlign w:val="bottom"/>
          </w:tcPr>
          <w:p w14:paraId="70418CBE" w14:textId="77777777" w:rsidR="00D1587D" w:rsidRDefault="00D1587D"/>
        </w:tc>
        <w:tc>
          <w:tcPr>
            <w:tcW w:w="40" w:type="dxa"/>
            <w:shd w:val="clear" w:color="auto" w:fill="CCEEFF"/>
            <w:vAlign w:val="bottom"/>
          </w:tcPr>
          <w:p w14:paraId="1DC14857" w14:textId="77777777" w:rsidR="00D1587D" w:rsidRDefault="00D1587D"/>
        </w:tc>
        <w:tc>
          <w:tcPr>
            <w:tcW w:w="900" w:type="dxa"/>
            <w:gridSpan w:val="2"/>
            <w:shd w:val="clear" w:color="auto" w:fill="CCEEFF"/>
            <w:vAlign w:val="bottom"/>
          </w:tcPr>
          <w:p w14:paraId="1B00FA10" w14:textId="77777777" w:rsidR="00D1587D" w:rsidRDefault="00410D07">
            <w:pPr>
              <w:spacing w:line="256" w:lineRule="exact"/>
              <w:ind w:right="40"/>
              <w:jc w:val="right"/>
              <w:rPr>
                <w:sz w:val="20"/>
                <w:szCs w:val="20"/>
              </w:rPr>
            </w:pPr>
            <w:r>
              <w:rPr>
                <w:rFonts w:ascii="Arial" w:eastAsia="Arial" w:hAnsi="Arial" w:cs="Arial"/>
                <w:sz w:val="14"/>
                <w:szCs w:val="14"/>
              </w:rPr>
              <w:t>8,599</w:t>
            </w:r>
            <w:r>
              <w:rPr>
                <w:rFonts w:ascii="Arial" w:eastAsia="Arial" w:hAnsi="Arial" w:cs="Arial"/>
                <w:sz w:val="23"/>
                <w:szCs w:val="23"/>
                <w:vertAlign w:val="superscript"/>
              </w:rPr>
              <w:t>(2)</w:t>
            </w:r>
          </w:p>
        </w:tc>
        <w:tc>
          <w:tcPr>
            <w:tcW w:w="40" w:type="dxa"/>
            <w:shd w:val="clear" w:color="auto" w:fill="CCEEFF"/>
            <w:vAlign w:val="bottom"/>
          </w:tcPr>
          <w:p w14:paraId="0F860418" w14:textId="77777777" w:rsidR="00D1587D" w:rsidRDefault="00D1587D"/>
        </w:tc>
        <w:tc>
          <w:tcPr>
            <w:tcW w:w="800" w:type="dxa"/>
            <w:gridSpan w:val="2"/>
            <w:shd w:val="clear" w:color="auto" w:fill="CCEEFF"/>
            <w:vAlign w:val="bottom"/>
          </w:tcPr>
          <w:p w14:paraId="2357BCC0"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77F0D5C8" w14:textId="77777777" w:rsidR="00D1587D" w:rsidRDefault="00410D07">
            <w:pPr>
              <w:ind w:right="80"/>
              <w:jc w:val="right"/>
              <w:rPr>
                <w:sz w:val="20"/>
                <w:szCs w:val="20"/>
              </w:rPr>
            </w:pPr>
            <w:r>
              <w:rPr>
                <w:rFonts w:ascii="Arial" w:eastAsia="Arial" w:hAnsi="Arial" w:cs="Arial"/>
                <w:sz w:val="14"/>
                <w:szCs w:val="14"/>
              </w:rPr>
              <w:t>47.10</w:t>
            </w:r>
          </w:p>
        </w:tc>
        <w:tc>
          <w:tcPr>
            <w:tcW w:w="760" w:type="dxa"/>
            <w:gridSpan w:val="2"/>
            <w:shd w:val="clear" w:color="auto" w:fill="CCEEFF"/>
            <w:vAlign w:val="bottom"/>
          </w:tcPr>
          <w:p w14:paraId="6D465729" w14:textId="77777777" w:rsidR="00D1587D" w:rsidRDefault="00410D07">
            <w:pPr>
              <w:ind w:right="100"/>
              <w:jc w:val="right"/>
              <w:rPr>
                <w:sz w:val="20"/>
                <w:szCs w:val="20"/>
              </w:rPr>
            </w:pPr>
            <w:r>
              <w:rPr>
                <w:rFonts w:ascii="Arial" w:eastAsia="Arial" w:hAnsi="Arial" w:cs="Arial"/>
                <w:sz w:val="14"/>
                <w:szCs w:val="14"/>
              </w:rPr>
              <w:t>3/31/2027</w:t>
            </w:r>
          </w:p>
        </w:tc>
        <w:tc>
          <w:tcPr>
            <w:tcW w:w="660" w:type="dxa"/>
            <w:shd w:val="clear" w:color="auto" w:fill="CCEEFF"/>
            <w:vAlign w:val="bottom"/>
          </w:tcPr>
          <w:p w14:paraId="3E8AA353" w14:textId="77777777" w:rsidR="00D1587D" w:rsidRDefault="00D1587D"/>
        </w:tc>
        <w:tc>
          <w:tcPr>
            <w:tcW w:w="80" w:type="dxa"/>
            <w:shd w:val="clear" w:color="auto" w:fill="CCEEFF"/>
            <w:vAlign w:val="bottom"/>
          </w:tcPr>
          <w:p w14:paraId="67A8827D" w14:textId="77777777" w:rsidR="00D1587D" w:rsidRDefault="00D1587D"/>
        </w:tc>
        <w:tc>
          <w:tcPr>
            <w:tcW w:w="660" w:type="dxa"/>
            <w:shd w:val="clear" w:color="auto" w:fill="CCEEFF"/>
            <w:vAlign w:val="bottom"/>
          </w:tcPr>
          <w:p w14:paraId="46A2DF5C" w14:textId="77777777" w:rsidR="00D1587D" w:rsidRDefault="00D1587D"/>
        </w:tc>
        <w:tc>
          <w:tcPr>
            <w:tcW w:w="80" w:type="dxa"/>
            <w:shd w:val="clear" w:color="auto" w:fill="CCEEFF"/>
            <w:vAlign w:val="bottom"/>
          </w:tcPr>
          <w:p w14:paraId="715FA01D" w14:textId="77777777" w:rsidR="00D1587D" w:rsidRDefault="00D1587D"/>
        </w:tc>
        <w:tc>
          <w:tcPr>
            <w:tcW w:w="600" w:type="dxa"/>
            <w:shd w:val="clear" w:color="auto" w:fill="CCEEFF"/>
            <w:vAlign w:val="bottom"/>
          </w:tcPr>
          <w:p w14:paraId="7C8E749D" w14:textId="77777777" w:rsidR="00D1587D" w:rsidRDefault="00D1587D"/>
        </w:tc>
        <w:tc>
          <w:tcPr>
            <w:tcW w:w="80" w:type="dxa"/>
            <w:shd w:val="clear" w:color="auto" w:fill="CCEEFF"/>
            <w:vAlign w:val="bottom"/>
          </w:tcPr>
          <w:p w14:paraId="001CA373" w14:textId="77777777" w:rsidR="00D1587D" w:rsidRDefault="00D1587D"/>
        </w:tc>
        <w:tc>
          <w:tcPr>
            <w:tcW w:w="620" w:type="dxa"/>
            <w:shd w:val="clear" w:color="auto" w:fill="CCEEFF"/>
            <w:vAlign w:val="bottom"/>
          </w:tcPr>
          <w:p w14:paraId="65B7225B" w14:textId="77777777" w:rsidR="00D1587D" w:rsidRDefault="00D1587D"/>
        </w:tc>
        <w:tc>
          <w:tcPr>
            <w:tcW w:w="80" w:type="dxa"/>
            <w:shd w:val="clear" w:color="auto" w:fill="CCEEFF"/>
            <w:vAlign w:val="bottom"/>
          </w:tcPr>
          <w:p w14:paraId="3DADE403" w14:textId="77777777" w:rsidR="00D1587D" w:rsidRDefault="00D1587D"/>
        </w:tc>
        <w:tc>
          <w:tcPr>
            <w:tcW w:w="600" w:type="dxa"/>
            <w:shd w:val="clear" w:color="auto" w:fill="CCEEFF"/>
            <w:vAlign w:val="bottom"/>
          </w:tcPr>
          <w:p w14:paraId="53111EFB" w14:textId="77777777" w:rsidR="00D1587D" w:rsidRDefault="00D1587D"/>
        </w:tc>
        <w:tc>
          <w:tcPr>
            <w:tcW w:w="0" w:type="dxa"/>
            <w:vAlign w:val="bottom"/>
          </w:tcPr>
          <w:p w14:paraId="52DE5F7F" w14:textId="77777777" w:rsidR="00D1587D" w:rsidRDefault="00D1587D">
            <w:pPr>
              <w:rPr>
                <w:sz w:val="1"/>
                <w:szCs w:val="1"/>
              </w:rPr>
            </w:pPr>
          </w:p>
        </w:tc>
      </w:tr>
      <w:tr w:rsidR="00D1587D" w14:paraId="586B41C4" w14:textId="77777777">
        <w:trPr>
          <w:trHeight w:val="257"/>
        </w:trPr>
        <w:tc>
          <w:tcPr>
            <w:tcW w:w="880" w:type="dxa"/>
            <w:shd w:val="clear" w:color="auto" w:fill="CCEEFF"/>
            <w:vAlign w:val="bottom"/>
          </w:tcPr>
          <w:p w14:paraId="4DA6AAFA" w14:textId="77777777" w:rsidR="00D1587D" w:rsidRDefault="00D1587D"/>
        </w:tc>
        <w:tc>
          <w:tcPr>
            <w:tcW w:w="40" w:type="dxa"/>
            <w:shd w:val="clear" w:color="auto" w:fill="CCEEFF"/>
            <w:vAlign w:val="bottom"/>
          </w:tcPr>
          <w:p w14:paraId="0DFA1369" w14:textId="77777777" w:rsidR="00D1587D" w:rsidRDefault="00D1587D"/>
        </w:tc>
        <w:tc>
          <w:tcPr>
            <w:tcW w:w="40" w:type="dxa"/>
            <w:shd w:val="clear" w:color="auto" w:fill="CCEEFF"/>
            <w:vAlign w:val="bottom"/>
          </w:tcPr>
          <w:p w14:paraId="4DC76DC6" w14:textId="77777777" w:rsidR="00D1587D" w:rsidRDefault="00D1587D"/>
        </w:tc>
        <w:tc>
          <w:tcPr>
            <w:tcW w:w="580" w:type="dxa"/>
            <w:shd w:val="clear" w:color="auto" w:fill="CCEEFF"/>
            <w:vAlign w:val="bottom"/>
          </w:tcPr>
          <w:p w14:paraId="76CB1B78" w14:textId="77777777" w:rsidR="00D1587D" w:rsidRDefault="00410D07">
            <w:pPr>
              <w:rPr>
                <w:sz w:val="20"/>
                <w:szCs w:val="20"/>
              </w:rPr>
            </w:pPr>
            <w:r>
              <w:rPr>
                <w:rFonts w:ascii="Arial" w:eastAsia="Arial" w:hAnsi="Arial" w:cs="Arial"/>
                <w:w w:val="89"/>
                <w:sz w:val="14"/>
                <w:szCs w:val="14"/>
              </w:rPr>
              <w:t>3/21</w:t>
            </w:r>
            <w:r>
              <w:rPr>
                <w:rFonts w:ascii="Arial" w:eastAsia="Arial" w:hAnsi="Arial" w:cs="Arial"/>
                <w:w w:val="89"/>
                <w:sz w:val="14"/>
                <w:szCs w:val="14"/>
              </w:rPr>
              <w:t>/2018</w:t>
            </w:r>
          </w:p>
        </w:tc>
        <w:tc>
          <w:tcPr>
            <w:tcW w:w="40" w:type="dxa"/>
            <w:shd w:val="clear" w:color="auto" w:fill="CCEEFF"/>
            <w:vAlign w:val="bottom"/>
          </w:tcPr>
          <w:p w14:paraId="68E9C2ED" w14:textId="77777777" w:rsidR="00D1587D" w:rsidRDefault="00D1587D"/>
        </w:tc>
        <w:tc>
          <w:tcPr>
            <w:tcW w:w="40" w:type="dxa"/>
            <w:shd w:val="clear" w:color="auto" w:fill="CCEEFF"/>
            <w:vAlign w:val="bottom"/>
          </w:tcPr>
          <w:p w14:paraId="6AE7F382" w14:textId="77777777" w:rsidR="00D1587D" w:rsidRDefault="00D1587D"/>
        </w:tc>
        <w:tc>
          <w:tcPr>
            <w:tcW w:w="760" w:type="dxa"/>
            <w:shd w:val="clear" w:color="auto" w:fill="CCEEFF"/>
            <w:vAlign w:val="bottom"/>
          </w:tcPr>
          <w:p w14:paraId="5F75B444" w14:textId="77777777" w:rsidR="00D1587D" w:rsidRDefault="00410D07">
            <w:pPr>
              <w:jc w:val="right"/>
              <w:rPr>
                <w:sz w:val="20"/>
                <w:szCs w:val="20"/>
              </w:rPr>
            </w:pPr>
            <w:r>
              <w:rPr>
                <w:rFonts w:ascii="Arial" w:eastAsia="Arial" w:hAnsi="Arial" w:cs="Arial"/>
                <w:sz w:val="14"/>
                <w:szCs w:val="14"/>
              </w:rPr>
              <w:t>3,519</w:t>
            </w:r>
          </w:p>
        </w:tc>
        <w:tc>
          <w:tcPr>
            <w:tcW w:w="40" w:type="dxa"/>
            <w:shd w:val="clear" w:color="auto" w:fill="CCEEFF"/>
            <w:vAlign w:val="bottom"/>
          </w:tcPr>
          <w:p w14:paraId="4191803A" w14:textId="77777777" w:rsidR="00D1587D" w:rsidRDefault="00D1587D"/>
        </w:tc>
        <w:tc>
          <w:tcPr>
            <w:tcW w:w="40" w:type="dxa"/>
            <w:shd w:val="clear" w:color="auto" w:fill="CCEEFF"/>
            <w:vAlign w:val="bottom"/>
          </w:tcPr>
          <w:p w14:paraId="05F0FDA7" w14:textId="77777777" w:rsidR="00D1587D" w:rsidRDefault="00D1587D"/>
        </w:tc>
        <w:tc>
          <w:tcPr>
            <w:tcW w:w="860" w:type="dxa"/>
            <w:shd w:val="clear" w:color="auto" w:fill="CCEEFF"/>
            <w:vAlign w:val="bottom"/>
          </w:tcPr>
          <w:p w14:paraId="093F9536" w14:textId="77777777" w:rsidR="00D1587D" w:rsidRDefault="00410D07">
            <w:pPr>
              <w:spacing w:line="256" w:lineRule="exact"/>
              <w:jc w:val="right"/>
              <w:rPr>
                <w:sz w:val="20"/>
                <w:szCs w:val="20"/>
              </w:rPr>
            </w:pPr>
            <w:r>
              <w:rPr>
                <w:rFonts w:ascii="Arial" w:eastAsia="Arial" w:hAnsi="Arial" w:cs="Arial"/>
                <w:sz w:val="14"/>
                <w:szCs w:val="14"/>
              </w:rPr>
              <w:t>14,080</w:t>
            </w:r>
            <w:r>
              <w:rPr>
                <w:rFonts w:ascii="Arial" w:eastAsia="Arial" w:hAnsi="Arial" w:cs="Arial"/>
                <w:sz w:val="23"/>
                <w:szCs w:val="23"/>
                <w:vertAlign w:val="superscript"/>
              </w:rPr>
              <w:t>(3)</w:t>
            </w:r>
          </w:p>
        </w:tc>
        <w:tc>
          <w:tcPr>
            <w:tcW w:w="40" w:type="dxa"/>
            <w:shd w:val="clear" w:color="auto" w:fill="CCEEFF"/>
            <w:vAlign w:val="bottom"/>
          </w:tcPr>
          <w:p w14:paraId="674BEC2A" w14:textId="77777777" w:rsidR="00D1587D" w:rsidRDefault="00D1587D"/>
        </w:tc>
        <w:tc>
          <w:tcPr>
            <w:tcW w:w="40" w:type="dxa"/>
            <w:shd w:val="clear" w:color="auto" w:fill="CCEEFF"/>
            <w:vAlign w:val="bottom"/>
          </w:tcPr>
          <w:p w14:paraId="66B00642" w14:textId="77777777" w:rsidR="00D1587D" w:rsidRDefault="00D1587D"/>
        </w:tc>
        <w:tc>
          <w:tcPr>
            <w:tcW w:w="800" w:type="dxa"/>
            <w:gridSpan w:val="2"/>
            <w:shd w:val="clear" w:color="auto" w:fill="CCEEFF"/>
            <w:vAlign w:val="bottom"/>
          </w:tcPr>
          <w:p w14:paraId="09ED0D9D"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662FE845" w14:textId="77777777" w:rsidR="00D1587D" w:rsidRDefault="00410D07">
            <w:pPr>
              <w:ind w:right="80"/>
              <w:jc w:val="right"/>
              <w:rPr>
                <w:sz w:val="20"/>
                <w:szCs w:val="20"/>
              </w:rPr>
            </w:pPr>
            <w:r>
              <w:rPr>
                <w:rFonts w:ascii="Arial" w:eastAsia="Arial" w:hAnsi="Arial" w:cs="Arial"/>
                <w:sz w:val="14"/>
                <w:szCs w:val="14"/>
              </w:rPr>
              <w:t>39.42</w:t>
            </w:r>
          </w:p>
        </w:tc>
        <w:tc>
          <w:tcPr>
            <w:tcW w:w="760" w:type="dxa"/>
            <w:gridSpan w:val="2"/>
            <w:shd w:val="clear" w:color="auto" w:fill="CCEEFF"/>
            <w:vAlign w:val="bottom"/>
          </w:tcPr>
          <w:p w14:paraId="56EE8DA9" w14:textId="77777777" w:rsidR="00D1587D" w:rsidRDefault="00410D07">
            <w:pPr>
              <w:ind w:right="100"/>
              <w:jc w:val="right"/>
              <w:rPr>
                <w:sz w:val="20"/>
                <w:szCs w:val="20"/>
              </w:rPr>
            </w:pPr>
            <w:r>
              <w:rPr>
                <w:rFonts w:ascii="Arial" w:eastAsia="Arial" w:hAnsi="Arial" w:cs="Arial"/>
                <w:sz w:val="14"/>
                <w:szCs w:val="14"/>
              </w:rPr>
              <w:t>3/21/2028</w:t>
            </w:r>
          </w:p>
        </w:tc>
        <w:tc>
          <w:tcPr>
            <w:tcW w:w="660" w:type="dxa"/>
            <w:shd w:val="clear" w:color="auto" w:fill="CCEEFF"/>
            <w:vAlign w:val="bottom"/>
          </w:tcPr>
          <w:p w14:paraId="18BD6A22" w14:textId="77777777" w:rsidR="00D1587D" w:rsidRDefault="00D1587D"/>
        </w:tc>
        <w:tc>
          <w:tcPr>
            <w:tcW w:w="80" w:type="dxa"/>
            <w:shd w:val="clear" w:color="auto" w:fill="CCEEFF"/>
            <w:vAlign w:val="bottom"/>
          </w:tcPr>
          <w:p w14:paraId="359D56BF" w14:textId="77777777" w:rsidR="00D1587D" w:rsidRDefault="00D1587D"/>
        </w:tc>
        <w:tc>
          <w:tcPr>
            <w:tcW w:w="660" w:type="dxa"/>
            <w:shd w:val="clear" w:color="auto" w:fill="CCEEFF"/>
            <w:vAlign w:val="bottom"/>
          </w:tcPr>
          <w:p w14:paraId="7015A04C" w14:textId="77777777" w:rsidR="00D1587D" w:rsidRDefault="00D1587D"/>
        </w:tc>
        <w:tc>
          <w:tcPr>
            <w:tcW w:w="80" w:type="dxa"/>
            <w:shd w:val="clear" w:color="auto" w:fill="CCEEFF"/>
            <w:vAlign w:val="bottom"/>
          </w:tcPr>
          <w:p w14:paraId="08B36552" w14:textId="77777777" w:rsidR="00D1587D" w:rsidRDefault="00D1587D"/>
        </w:tc>
        <w:tc>
          <w:tcPr>
            <w:tcW w:w="600" w:type="dxa"/>
            <w:shd w:val="clear" w:color="auto" w:fill="CCEEFF"/>
            <w:vAlign w:val="bottom"/>
          </w:tcPr>
          <w:p w14:paraId="6542A8DE" w14:textId="77777777" w:rsidR="00D1587D" w:rsidRDefault="00D1587D"/>
        </w:tc>
        <w:tc>
          <w:tcPr>
            <w:tcW w:w="80" w:type="dxa"/>
            <w:shd w:val="clear" w:color="auto" w:fill="CCEEFF"/>
            <w:vAlign w:val="bottom"/>
          </w:tcPr>
          <w:p w14:paraId="495541B0" w14:textId="77777777" w:rsidR="00D1587D" w:rsidRDefault="00D1587D"/>
        </w:tc>
        <w:tc>
          <w:tcPr>
            <w:tcW w:w="620" w:type="dxa"/>
            <w:shd w:val="clear" w:color="auto" w:fill="CCEEFF"/>
            <w:vAlign w:val="bottom"/>
          </w:tcPr>
          <w:p w14:paraId="66C5CC22" w14:textId="77777777" w:rsidR="00D1587D" w:rsidRDefault="00D1587D"/>
        </w:tc>
        <w:tc>
          <w:tcPr>
            <w:tcW w:w="80" w:type="dxa"/>
            <w:shd w:val="clear" w:color="auto" w:fill="CCEEFF"/>
            <w:vAlign w:val="bottom"/>
          </w:tcPr>
          <w:p w14:paraId="4D353454" w14:textId="77777777" w:rsidR="00D1587D" w:rsidRDefault="00D1587D"/>
        </w:tc>
        <w:tc>
          <w:tcPr>
            <w:tcW w:w="600" w:type="dxa"/>
            <w:shd w:val="clear" w:color="auto" w:fill="CCEEFF"/>
            <w:vAlign w:val="bottom"/>
          </w:tcPr>
          <w:p w14:paraId="0D255DA6" w14:textId="77777777" w:rsidR="00D1587D" w:rsidRDefault="00D1587D"/>
        </w:tc>
        <w:tc>
          <w:tcPr>
            <w:tcW w:w="0" w:type="dxa"/>
            <w:vAlign w:val="bottom"/>
          </w:tcPr>
          <w:p w14:paraId="6D8668B1" w14:textId="77777777" w:rsidR="00D1587D" w:rsidRDefault="00D1587D">
            <w:pPr>
              <w:rPr>
                <w:sz w:val="1"/>
                <w:szCs w:val="1"/>
              </w:rPr>
            </w:pPr>
          </w:p>
        </w:tc>
      </w:tr>
      <w:tr w:rsidR="00D1587D" w14:paraId="6E5570B1" w14:textId="77777777">
        <w:trPr>
          <w:trHeight w:val="256"/>
        </w:trPr>
        <w:tc>
          <w:tcPr>
            <w:tcW w:w="880" w:type="dxa"/>
            <w:shd w:val="clear" w:color="auto" w:fill="CCEEFF"/>
            <w:vAlign w:val="bottom"/>
          </w:tcPr>
          <w:p w14:paraId="25C6D299" w14:textId="77777777" w:rsidR="00D1587D" w:rsidRDefault="00D1587D"/>
        </w:tc>
        <w:tc>
          <w:tcPr>
            <w:tcW w:w="40" w:type="dxa"/>
            <w:shd w:val="clear" w:color="auto" w:fill="CCEEFF"/>
            <w:vAlign w:val="bottom"/>
          </w:tcPr>
          <w:p w14:paraId="5789FB9E" w14:textId="77777777" w:rsidR="00D1587D" w:rsidRDefault="00D1587D"/>
        </w:tc>
        <w:tc>
          <w:tcPr>
            <w:tcW w:w="40" w:type="dxa"/>
            <w:shd w:val="clear" w:color="auto" w:fill="CCEEFF"/>
            <w:vAlign w:val="bottom"/>
          </w:tcPr>
          <w:p w14:paraId="6386B38A" w14:textId="77777777" w:rsidR="00D1587D" w:rsidRDefault="00D1587D"/>
        </w:tc>
        <w:tc>
          <w:tcPr>
            <w:tcW w:w="580" w:type="dxa"/>
            <w:shd w:val="clear" w:color="auto" w:fill="CCEEFF"/>
            <w:vAlign w:val="bottom"/>
          </w:tcPr>
          <w:p w14:paraId="41A2987D" w14:textId="77777777" w:rsidR="00D1587D" w:rsidRDefault="00410D07">
            <w:pPr>
              <w:rPr>
                <w:sz w:val="20"/>
                <w:szCs w:val="20"/>
              </w:rPr>
            </w:pPr>
            <w:r>
              <w:rPr>
                <w:rFonts w:ascii="Arial" w:eastAsia="Arial" w:hAnsi="Arial" w:cs="Arial"/>
                <w:w w:val="89"/>
                <w:sz w:val="14"/>
                <w:szCs w:val="14"/>
              </w:rPr>
              <w:t>3/28/</w:t>
            </w:r>
            <w:r>
              <w:rPr>
                <w:rFonts w:ascii="Arial" w:eastAsia="Arial" w:hAnsi="Arial" w:cs="Arial"/>
                <w:w w:val="89"/>
                <w:sz w:val="14"/>
                <w:szCs w:val="14"/>
              </w:rPr>
              <w:t>2019</w:t>
            </w:r>
          </w:p>
        </w:tc>
        <w:tc>
          <w:tcPr>
            <w:tcW w:w="40" w:type="dxa"/>
            <w:shd w:val="clear" w:color="auto" w:fill="CCEEFF"/>
            <w:vAlign w:val="bottom"/>
          </w:tcPr>
          <w:p w14:paraId="15C0C7B5" w14:textId="77777777" w:rsidR="00D1587D" w:rsidRDefault="00D1587D"/>
        </w:tc>
        <w:tc>
          <w:tcPr>
            <w:tcW w:w="40" w:type="dxa"/>
            <w:shd w:val="clear" w:color="auto" w:fill="CCEEFF"/>
            <w:vAlign w:val="bottom"/>
          </w:tcPr>
          <w:p w14:paraId="1FBA2B7F" w14:textId="77777777" w:rsidR="00D1587D" w:rsidRDefault="00D1587D"/>
        </w:tc>
        <w:tc>
          <w:tcPr>
            <w:tcW w:w="760" w:type="dxa"/>
            <w:shd w:val="clear" w:color="auto" w:fill="CCEEFF"/>
            <w:vAlign w:val="bottom"/>
          </w:tcPr>
          <w:p w14:paraId="44235837" w14:textId="77777777" w:rsidR="00D1587D" w:rsidRDefault="00410D07">
            <w:pPr>
              <w:jc w:val="right"/>
              <w:rPr>
                <w:sz w:val="20"/>
                <w:szCs w:val="20"/>
              </w:rPr>
            </w:pPr>
            <w:r>
              <w:rPr>
                <w:rFonts w:ascii="Arial" w:eastAsia="Arial" w:hAnsi="Arial" w:cs="Arial"/>
                <w:sz w:val="14"/>
                <w:szCs w:val="14"/>
              </w:rPr>
              <w:t>8,500</w:t>
            </w:r>
          </w:p>
        </w:tc>
        <w:tc>
          <w:tcPr>
            <w:tcW w:w="40" w:type="dxa"/>
            <w:shd w:val="clear" w:color="auto" w:fill="CCEEFF"/>
            <w:vAlign w:val="bottom"/>
          </w:tcPr>
          <w:p w14:paraId="1AFC0ED9" w14:textId="77777777" w:rsidR="00D1587D" w:rsidRDefault="00D1587D"/>
        </w:tc>
        <w:tc>
          <w:tcPr>
            <w:tcW w:w="40" w:type="dxa"/>
            <w:shd w:val="clear" w:color="auto" w:fill="CCEEFF"/>
            <w:vAlign w:val="bottom"/>
          </w:tcPr>
          <w:p w14:paraId="52D25EA4" w14:textId="77777777" w:rsidR="00D1587D" w:rsidRDefault="00D1587D"/>
        </w:tc>
        <w:tc>
          <w:tcPr>
            <w:tcW w:w="860" w:type="dxa"/>
            <w:shd w:val="clear" w:color="auto" w:fill="CCEEFF"/>
            <w:vAlign w:val="bottom"/>
          </w:tcPr>
          <w:p w14:paraId="6B85A22D" w14:textId="77777777" w:rsidR="00D1587D" w:rsidRDefault="00410D07">
            <w:pPr>
              <w:spacing w:line="256" w:lineRule="exact"/>
              <w:jc w:val="right"/>
              <w:rPr>
                <w:sz w:val="20"/>
                <w:szCs w:val="20"/>
              </w:rPr>
            </w:pPr>
            <w:r>
              <w:rPr>
                <w:rFonts w:ascii="Arial" w:eastAsia="Arial" w:hAnsi="Arial" w:cs="Arial"/>
                <w:sz w:val="14"/>
                <w:szCs w:val="14"/>
              </w:rPr>
              <w:t>17,001</w:t>
            </w:r>
            <w:r>
              <w:rPr>
                <w:rFonts w:ascii="Arial" w:eastAsia="Arial" w:hAnsi="Arial" w:cs="Arial"/>
                <w:sz w:val="23"/>
                <w:szCs w:val="23"/>
                <w:vertAlign w:val="superscript"/>
              </w:rPr>
              <w:t>(4)</w:t>
            </w:r>
          </w:p>
        </w:tc>
        <w:tc>
          <w:tcPr>
            <w:tcW w:w="40" w:type="dxa"/>
            <w:shd w:val="clear" w:color="auto" w:fill="CCEEFF"/>
            <w:vAlign w:val="bottom"/>
          </w:tcPr>
          <w:p w14:paraId="00AB8812" w14:textId="77777777" w:rsidR="00D1587D" w:rsidRDefault="00D1587D"/>
        </w:tc>
        <w:tc>
          <w:tcPr>
            <w:tcW w:w="40" w:type="dxa"/>
            <w:shd w:val="clear" w:color="auto" w:fill="CCEEFF"/>
            <w:vAlign w:val="bottom"/>
          </w:tcPr>
          <w:p w14:paraId="4F8FC76C" w14:textId="77777777" w:rsidR="00D1587D" w:rsidRDefault="00D1587D"/>
        </w:tc>
        <w:tc>
          <w:tcPr>
            <w:tcW w:w="800" w:type="dxa"/>
            <w:gridSpan w:val="2"/>
            <w:shd w:val="clear" w:color="auto" w:fill="CCEEFF"/>
            <w:vAlign w:val="bottom"/>
          </w:tcPr>
          <w:p w14:paraId="59E24C81"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599DE719" w14:textId="77777777" w:rsidR="00D1587D" w:rsidRDefault="00410D07">
            <w:pPr>
              <w:ind w:right="80"/>
              <w:jc w:val="right"/>
              <w:rPr>
                <w:sz w:val="20"/>
                <w:szCs w:val="20"/>
              </w:rPr>
            </w:pPr>
            <w:r>
              <w:rPr>
                <w:rFonts w:ascii="Arial" w:eastAsia="Arial" w:hAnsi="Arial" w:cs="Arial"/>
                <w:sz w:val="14"/>
                <w:szCs w:val="14"/>
              </w:rPr>
              <w:t>27.94</w:t>
            </w:r>
          </w:p>
        </w:tc>
        <w:tc>
          <w:tcPr>
            <w:tcW w:w="760" w:type="dxa"/>
            <w:gridSpan w:val="2"/>
            <w:shd w:val="clear" w:color="auto" w:fill="CCEEFF"/>
            <w:vAlign w:val="bottom"/>
          </w:tcPr>
          <w:p w14:paraId="19B79C0D" w14:textId="77777777" w:rsidR="00D1587D" w:rsidRDefault="00410D07">
            <w:pPr>
              <w:ind w:right="100"/>
              <w:jc w:val="right"/>
              <w:rPr>
                <w:sz w:val="20"/>
                <w:szCs w:val="20"/>
              </w:rPr>
            </w:pPr>
            <w:r>
              <w:rPr>
                <w:rFonts w:ascii="Arial" w:eastAsia="Arial" w:hAnsi="Arial" w:cs="Arial"/>
                <w:sz w:val="14"/>
                <w:szCs w:val="14"/>
              </w:rPr>
              <w:t>3/28/2029</w:t>
            </w:r>
          </w:p>
        </w:tc>
        <w:tc>
          <w:tcPr>
            <w:tcW w:w="660" w:type="dxa"/>
            <w:shd w:val="clear" w:color="auto" w:fill="CCEEFF"/>
            <w:vAlign w:val="bottom"/>
          </w:tcPr>
          <w:p w14:paraId="33EA5CC4" w14:textId="77777777" w:rsidR="00D1587D" w:rsidRDefault="00D1587D"/>
        </w:tc>
        <w:tc>
          <w:tcPr>
            <w:tcW w:w="80" w:type="dxa"/>
            <w:shd w:val="clear" w:color="auto" w:fill="CCEEFF"/>
            <w:vAlign w:val="bottom"/>
          </w:tcPr>
          <w:p w14:paraId="40F58DF7" w14:textId="77777777" w:rsidR="00D1587D" w:rsidRDefault="00D1587D"/>
        </w:tc>
        <w:tc>
          <w:tcPr>
            <w:tcW w:w="660" w:type="dxa"/>
            <w:shd w:val="clear" w:color="auto" w:fill="CCEEFF"/>
            <w:vAlign w:val="bottom"/>
          </w:tcPr>
          <w:p w14:paraId="27541081" w14:textId="77777777" w:rsidR="00D1587D" w:rsidRDefault="00D1587D"/>
        </w:tc>
        <w:tc>
          <w:tcPr>
            <w:tcW w:w="80" w:type="dxa"/>
            <w:shd w:val="clear" w:color="auto" w:fill="CCEEFF"/>
            <w:vAlign w:val="bottom"/>
          </w:tcPr>
          <w:p w14:paraId="5F09DB2F" w14:textId="77777777" w:rsidR="00D1587D" w:rsidRDefault="00D1587D"/>
        </w:tc>
        <w:tc>
          <w:tcPr>
            <w:tcW w:w="600" w:type="dxa"/>
            <w:shd w:val="clear" w:color="auto" w:fill="CCEEFF"/>
            <w:vAlign w:val="bottom"/>
          </w:tcPr>
          <w:p w14:paraId="182A8E5E" w14:textId="77777777" w:rsidR="00D1587D" w:rsidRDefault="00D1587D"/>
        </w:tc>
        <w:tc>
          <w:tcPr>
            <w:tcW w:w="80" w:type="dxa"/>
            <w:shd w:val="clear" w:color="auto" w:fill="CCEEFF"/>
            <w:vAlign w:val="bottom"/>
          </w:tcPr>
          <w:p w14:paraId="33A45C07" w14:textId="77777777" w:rsidR="00D1587D" w:rsidRDefault="00D1587D"/>
        </w:tc>
        <w:tc>
          <w:tcPr>
            <w:tcW w:w="620" w:type="dxa"/>
            <w:shd w:val="clear" w:color="auto" w:fill="CCEEFF"/>
            <w:vAlign w:val="bottom"/>
          </w:tcPr>
          <w:p w14:paraId="436B5501" w14:textId="77777777" w:rsidR="00D1587D" w:rsidRDefault="00D1587D"/>
        </w:tc>
        <w:tc>
          <w:tcPr>
            <w:tcW w:w="80" w:type="dxa"/>
            <w:shd w:val="clear" w:color="auto" w:fill="CCEEFF"/>
            <w:vAlign w:val="bottom"/>
          </w:tcPr>
          <w:p w14:paraId="07A8E6C0" w14:textId="77777777" w:rsidR="00D1587D" w:rsidRDefault="00D1587D"/>
        </w:tc>
        <w:tc>
          <w:tcPr>
            <w:tcW w:w="600" w:type="dxa"/>
            <w:shd w:val="clear" w:color="auto" w:fill="CCEEFF"/>
            <w:vAlign w:val="bottom"/>
          </w:tcPr>
          <w:p w14:paraId="75A90FFD" w14:textId="77777777" w:rsidR="00D1587D" w:rsidRDefault="00D1587D"/>
        </w:tc>
        <w:tc>
          <w:tcPr>
            <w:tcW w:w="0" w:type="dxa"/>
            <w:vAlign w:val="bottom"/>
          </w:tcPr>
          <w:p w14:paraId="71D75E9C" w14:textId="77777777" w:rsidR="00D1587D" w:rsidRDefault="00D1587D">
            <w:pPr>
              <w:rPr>
                <w:sz w:val="1"/>
                <w:szCs w:val="1"/>
              </w:rPr>
            </w:pPr>
          </w:p>
        </w:tc>
      </w:tr>
      <w:tr w:rsidR="00D1587D" w14:paraId="16F7A99C" w14:textId="77777777">
        <w:trPr>
          <w:trHeight w:val="257"/>
        </w:trPr>
        <w:tc>
          <w:tcPr>
            <w:tcW w:w="880" w:type="dxa"/>
            <w:shd w:val="clear" w:color="auto" w:fill="CCEEFF"/>
            <w:vAlign w:val="bottom"/>
          </w:tcPr>
          <w:p w14:paraId="5ED13767" w14:textId="77777777" w:rsidR="00D1587D" w:rsidRDefault="00D1587D"/>
        </w:tc>
        <w:tc>
          <w:tcPr>
            <w:tcW w:w="40" w:type="dxa"/>
            <w:shd w:val="clear" w:color="auto" w:fill="CCEEFF"/>
            <w:vAlign w:val="bottom"/>
          </w:tcPr>
          <w:p w14:paraId="1B474310" w14:textId="77777777" w:rsidR="00D1587D" w:rsidRDefault="00D1587D"/>
        </w:tc>
        <w:tc>
          <w:tcPr>
            <w:tcW w:w="40" w:type="dxa"/>
            <w:shd w:val="clear" w:color="auto" w:fill="CCEEFF"/>
            <w:vAlign w:val="bottom"/>
          </w:tcPr>
          <w:p w14:paraId="17E46BB8" w14:textId="77777777" w:rsidR="00D1587D" w:rsidRDefault="00D1587D"/>
        </w:tc>
        <w:tc>
          <w:tcPr>
            <w:tcW w:w="580" w:type="dxa"/>
            <w:shd w:val="clear" w:color="auto" w:fill="CCEEFF"/>
            <w:vAlign w:val="bottom"/>
          </w:tcPr>
          <w:p w14:paraId="31054072" w14:textId="77777777" w:rsidR="00D1587D" w:rsidRDefault="00D1587D"/>
        </w:tc>
        <w:tc>
          <w:tcPr>
            <w:tcW w:w="40" w:type="dxa"/>
            <w:shd w:val="clear" w:color="auto" w:fill="CCEEFF"/>
            <w:vAlign w:val="bottom"/>
          </w:tcPr>
          <w:p w14:paraId="31861DA5" w14:textId="77777777" w:rsidR="00D1587D" w:rsidRDefault="00D1587D"/>
        </w:tc>
        <w:tc>
          <w:tcPr>
            <w:tcW w:w="40" w:type="dxa"/>
            <w:shd w:val="clear" w:color="auto" w:fill="CCEEFF"/>
            <w:vAlign w:val="bottom"/>
          </w:tcPr>
          <w:p w14:paraId="012C20AE" w14:textId="77777777" w:rsidR="00D1587D" w:rsidRDefault="00D1587D"/>
        </w:tc>
        <w:tc>
          <w:tcPr>
            <w:tcW w:w="760" w:type="dxa"/>
            <w:shd w:val="clear" w:color="auto" w:fill="CCEEFF"/>
            <w:vAlign w:val="bottom"/>
          </w:tcPr>
          <w:p w14:paraId="14EE6F9B" w14:textId="77777777" w:rsidR="00D1587D" w:rsidRDefault="00D1587D"/>
        </w:tc>
        <w:tc>
          <w:tcPr>
            <w:tcW w:w="40" w:type="dxa"/>
            <w:shd w:val="clear" w:color="auto" w:fill="CCEEFF"/>
            <w:vAlign w:val="bottom"/>
          </w:tcPr>
          <w:p w14:paraId="1A3C5039" w14:textId="77777777" w:rsidR="00D1587D" w:rsidRDefault="00D1587D"/>
        </w:tc>
        <w:tc>
          <w:tcPr>
            <w:tcW w:w="40" w:type="dxa"/>
            <w:shd w:val="clear" w:color="auto" w:fill="CCEEFF"/>
            <w:vAlign w:val="bottom"/>
          </w:tcPr>
          <w:p w14:paraId="16DE618E" w14:textId="77777777" w:rsidR="00D1587D" w:rsidRDefault="00D1587D"/>
        </w:tc>
        <w:tc>
          <w:tcPr>
            <w:tcW w:w="860" w:type="dxa"/>
            <w:shd w:val="clear" w:color="auto" w:fill="CCEEFF"/>
            <w:vAlign w:val="bottom"/>
          </w:tcPr>
          <w:p w14:paraId="6C514150" w14:textId="77777777" w:rsidR="00D1587D" w:rsidRDefault="00D1587D"/>
        </w:tc>
        <w:tc>
          <w:tcPr>
            <w:tcW w:w="40" w:type="dxa"/>
            <w:shd w:val="clear" w:color="auto" w:fill="CCEEFF"/>
            <w:vAlign w:val="bottom"/>
          </w:tcPr>
          <w:p w14:paraId="04438F84" w14:textId="77777777" w:rsidR="00D1587D" w:rsidRDefault="00D1587D"/>
        </w:tc>
        <w:tc>
          <w:tcPr>
            <w:tcW w:w="40" w:type="dxa"/>
            <w:shd w:val="clear" w:color="auto" w:fill="CCEEFF"/>
            <w:vAlign w:val="bottom"/>
          </w:tcPr>
          <w:p w14:paraId="2EE576F9" w14:textId="77777777" w:rsidR="00D1587D" w:rsidRDefault="00D1587D"/>
        </w:tc>
        <w:tc>
          <w:tcPr>
            <w:tcW w:w="760" w:type="dxa"/>
            <w:shd w:val="clear" w:color="auto" w:fill="CCEEFF"/>
            <w:vAlign w:val="bottom"/>
          </w:tcPr>
          <w:p w14:paraId="3411F4E4" w14:textId="77777777" w:rsidR="00D1587D" w:rsidRDefault="00D1587D"/>
        </w:tc>
        <w:tc>
          <w:tcPr>
            <w:tcW w:w="40" w:type="dxa"/>
            <w:shd w:val="clear" w:color="auto" w:fill="CCEEFF"/>
            <w:vAlign w:val="bottom"/>
          </w:tcPr>
          <w:p w14:paraId="2FEC9EC7" w14:textId="77777777" w:rsidR="00D1587D" w:rsidRDefault="00D1587D"/>
        </w:tc>
        <w:tc>
          <w:tcPr>
            <w:tcW w:w="40" w:type="dxa"/>
            <w:shd w:val="clear" w:color="auto" w:fill="CCEEFF"/>
            <w:vAlign w:val="bottom"/>
          </w:tcPr>
          <w:p w14:paraId="23940ADE" w14:textId="77777777" w:rsidR="00D1587D" w:rsidRDefault="00D1587D"/>
        </w:tc>
        <w:tc>
          <w:tcPr>
            <w:tcW w:w="540" w:type="dxa"/>
            <w:shd w:val="clear" w:color="auto" w:fill="CCEEFF"/>
            <w:vAlign w:val="bottom"/>
          </w:tcPr>
          <w:p w14:paraId="0171A092" w14:textId="77777777" w:rsidR="00D1587D" w:rsidRDefault="00D1587D"/>
        </w:tc>
        <w:tc>
          <w:tcPr>
            <w:tcW w:w="80" w:type="dxa"/>
            <w:shd w:val="clear" w:color="auto" w:fill="CCEEFF"/>
            <w:vAlign w:val="bottom"/>
          </w:tcPr>
          <w:p w14:paraId="7F29C42C" w14:textId="77777777" w:rsidR="00D1587D" w:rsidRDefault="00D1587D"/>
        </w:tc>
        <w:tc>
          <w:tcPr>
            <w:tcW w:w="660" w:type="dxa"/>
            <w:shd w:val="clear" w:color="auto" w:fill="CCEEFF"/>
            <w:vAlign w:val="bottom"/>
          </w:tcPr>
          <w:p w14:paraId="0057C29A" w14:textId="77777777" w:rsidR="00D1587D" w:rsidRDefault="00D1587D"/>
        </w:tc>
        <w:tc>
          <w:tcPr>
            <w:tcW w:w="100" w:type="dxa"/>
            <w:shd w:val="clear" w:color="auto" w:fill="CCEEFF"/>
            <w:vAlign w:val="bottom"/>
          </w:tcPr>
          <w:p w14:paraId="41D13B47" w14:textId="77777777" w:rsidR="00D1587D" w:rsidRDefault="00D1587D"/>
        </w:tc>
        <w:tc>
          <w:tcPr>
            <w:tcW w:w="740" w:type="dxa"/>
            <w:gridSpan w:val="2"/>
            <w:shd w:val="clear" w:color="auto" w:fill="CCEEFF"/>
            <w:vAlign w:val="bottom"/>
          </w:tcPr>
          <w:p w14:paraId="12DBE884" w14:textId="77777777" w:rsidR="00D1587D" w:rsidRDefault="00410D07">
            <w:pPr>
              <w:ind w:right="80"/>
              <w:jc w:val="right"/>
              <w:rPr>
                <w:sz w:val="20"/>
                <w:szCs w:val="20"/>
              </w:rPr>
            </w:pPr>
            <w:r>
              <w:rPr>
                <w:rFonts w:ascii="Arial" w:eastAsia="Arial" w:hAnsi="Arial" w:cs="Arial"/>
                <w:sz w:val="14"/>
                <w:szCs w:val="14"/>
              </w:rPr>
              <w:t>3/31/2016</w:t>
            </w:r>
          </w:p>
        </w:tc>
        <w:tc>
          <w:tcPr>
            <w:tcW w:w="740" w:type="dxa"/>
            <w:gridSpan w:val="2"/>
            <w:shd w:val="clear" w:color="auto" w:fill="CCEEFF"/>
            <w:vAlign w:val="bottom"/>
          </w:tcPr>
          <w:p w14:paraId="1973CA06"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shd w:val="clear" w:color="auto" w:fill="CCEEFF"/>
            <w:vAlign w:val="bottom"/>
          </w:tcPr>
          <w:p w14:paraId="0A1A1941"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shd w:val="clear" w:color="auto" w:fill="CCEEFF"/>
            <w:vAlign w:val="bottom"/>
          </w:tcPr>
          <w:p w14:paraId="26479A9F" w14:textId="77777777" w:rsidR="00D1587D" w:rsidRDefault="00410D07">
            <w:pPr>
              <w:spacing w:line="256" w:lineRule="exact"/>
              <w:ind w:right="80"/>
              <w:jc w:val="right"/>
              <w:rPr>
                <w:sz w:val="20"/>
                <w:szCs w:val="20"/>
              </w:rPr>
            </w:pPr>
            <w:r>
              <w:rPr>
                <w:rFonts w:ascii="Arial" w:eastAsia="Arial" w:hAnsi="Arial" w:cs="Arial"/>
                <w:w w:val="96"/>
                <w:sz w:val="14"/>
                <w:szCs w:val="14"/>
              </w:rPr>
              <w:t>9,396</w:t>
            </w:r>
            <w:r>
              <w:rPr>
                <w:rFonts w:ascii="Arial" w:eastAsia="Arial" w:hAnsi="Arial" w:cs="Arial"/>
                <w:w w:val="96"/>
                <w:sz w:val="23"/>
                <w:szCs w:val="23"/>
                <w:vertAlign w:val="superscript"/>
              </w:rPr>
              <w:t>(15)</w:t>
            </w:r>
          </w:p>
        </w:tc>
        <w:tc>
          <w:tcPr>
            <w:tcW w:w="600" w:type="dxa"/>
            <w:shd w:val="clear" w:color="auto" w:fill="CCEEFF"/>
            <w:vAlign w:val="bottom"/>
          </w:tcPr>
          <w:p w14:paraId="24038E98" w14:textId="77777777" w:rsidR="00D1587D" w:rsidRDefault="00410D07">
            <w:pPr>
              <w:jc w:val="right"/>
              <w:rPr>
                <w:sz w:val="20"/>
                <w:szCs w:val="20"/>
              </w:rPr>
            </w:pPr>
            <w:r>
              <w:rPr>
                <w:rFonts w:ascii="Arial" w:eastAsia="Arial" w:hAnsi="Arial" w:cs="Arial"/>
                <w:sz w:val="14"/>
                <w:szCs w:val="14"/>
              </w:rPr>
              <w:t>382,981</w:t>
            </w:r>
          </w:p>
        </w:tc>
        <w:tc>
          <w:tcPr>
            <w:tcW w:w="0" w:type="dxa"/>
            <w:vAlign w:val="bottom"/>
          </w:tcPr>
          <w:p w14:paraId="378225FA" w14:textId="77777777" w:rsidR="00D1587D" w:rsidRDefault="00D1587D">
            <w:pPr>
              <w:rPr>
                <w:sz w:val="1"/>
                <w:szCs w:val="1"/>
              </w:rPr>
            </w:pPr>
          </w:p>
        </w:tc>
      </w:tr>
      <w:tr w:rsidR="00D1587D" w14:paraId="1AE82BD4" w14:textId="77777777">
        <w:trPr>
          <w:trHeight w:val="257"/>
        </w:trPr>
        <w:tc>
          <w:tcPr>
            <w:tcW w:w="880" w:type="dxa"/>
            <w:shd w:val="clear" w:color="auto" w:fill="CCEEFF"/>
            <w:vAlign w:val="bottom"/>
          </w:tcPr>
          <w:p w14:paraId="36328B95" w14:textId="77777777" w:rsidR="00D1587D" w:rsidRDefault="00D1587D"/>
        </w:tc>
        <w:tc>
          <w:tcPr>
            <w:tcW w:w="40" w:type="dxa"/>
            <w:shd w:val="clear" w:color="auto" w:fill="CCEEFF"/>
            <w:vAlign w:val="bottom"/>
          </w:tcPr>
          <w:p w14:paraId="4C2198A9" w14:textId="77777777" w:rsidR="00D1587D" w:rsidRDefault="00D1587D"/>
        </w:tc>
        <w:tc>
          <w:tcPr>
            <w:tcW w:w="40" w:type="dxa"/>
            <w:shd w:val="clear" w:color="auto" w:fill="CCEEFF"/>
            <w:vAlign w:val="bottom"/>
          </w:tcPr>
          <w:p w14:paraId="3FEA7AD0" w14:textId="77777777" w:rsidR="00D1587D" w:rsidRDefault="00D1587D"/>
        </w:tc>
        <w:tc>
          <w:tcPr>
            <w:tcW w:w="580" w:type="dxa"/>
            <w:shd w:val="clear" w:color="auto" w:fill="CCEEFF"/>
            <w:vAlign w:val="bottom"/>
          </w:tcPr>
          <w:p w14:paraId="21765B3A" w14:textId="77777777" w:rsidR="00D1587D" w:rsidRDefault="00D1587D"/>
        </w:tc>
        <w:tc>
          <w:tcPr>
            <w:tcW w:w="40" w:type="dxa"/>
            <w:shd w:val="clear" w:color="auto" w:fill="CCEEFF"/>
            <w:vAlign w:val="bottom"/>
          </w:tcPr>
          <w:p w14:paraId="5496757E" w14:textId="77777777" w:rsidR="00D1587D" w:rsidRDefault="00D1587D"/>
        </w:tc>
        <w:tc>
          <w:tcPr>
            <w:tcW w:w="40" w:type="dxa"/>
            <w:shd w:val="clear" w:color="auto" w:fill="CCEEFF"/>
            <w:vAlign w:val="bottom"/>
          </w:tcPr>
          <w:p w14:paraId="2B26502C" w14:textId="77777777" w:rsidR="00D1587D" w:rsidRDefault="00D1587D"/>
        </w:tc>
        <w:tc>
          <w:tcPr>
            <w:tcW w:w="760" w:type="dxa"/>
            <w:shd w:val="clear" w:color="auto" w:fill="CCEEFF"/>
            <w:vAlign w:val="bottom"/>
          </w:tcPr>
          <w:p w14:paraId="77DE62F3" w14:textId="77777777" w:rsidR="00D1587D" w:rsidRDefault="00D1587D"/>
        </w:tc>
        <w:tc>
          <w:tcPr>
            <w:tcW w:w="40" w:type="dxa"/>
            <w:shd w:val="clear" w:color="auto" w:fill="CCEEFF"/>
            <w:vAlign w:val="bottom"/>
          </w:tcPr>
          <w:p w14:paraId="2987029C" w14:textId="77777777" w:rsidR="00D1587D" w:rsidRDefault="00D1587D"/>
        </w:tc>
        <w:tc>
          <w:tcPr>
            <w:tcW w:w="40" w:type="dxa"/>
            <w:shd w:val="clear" w:color="auto" w:fill="CCEEFF"/>
            <w:vAlign w:val="bottom"/>
          </w:tcPr>
          <w:p w14:paraId="3B7BD7BD" w14:textId="77777777" w:rsidR="00D1587D" w:rsidRDefault="00D1587D"/>
        </w:tc>
        <w:tc>
          <w:tcPr>
            <w:tcW w:w="860" w:type="dxa"/>
            <w:shd w:val="clear" w:color="auto" w:fill="CCEEFF"/>
            <w:vAlign w:val="bottom"/>
          </w:tcPr>
          <w:p w14:paraId="191048ED" w14:textId="77777777" w:rsidR="00D1587D" w:rsidRDefault="00D1587D"/>
        </w:tc>
        <w:tc>
          <w:tcPr>
            <w:tcW w:w="40" w:type="dxa"/>
            <w:shd w:val="clear" w:color="auto" w:fill="CCEEFF"/>
            <w:vAlign w:val="bottom"/>
          </w:tcPr>
          <w:p w14:paraId="20CA68B8" w14:textId="77777777" w:rsidR="00D1587D" w:rsidRDefault="00D1587D"/>
        </w:tc>
        <w:tc>
          <w:tcPr>
            <w:tcW w:w="40" w:type="dxa"/>
            <w:shd w:val="clear" w:color="auto" w:fill="CCEEFF"/>
            <w:vAlign w:val="bottom"/>
          </w:tcPr>
          <w:p w14:paraId="10200C4D" w14:textId="77777777" w:rsidR="00D1587D" w:rsidRDefault="00D1587D"/>
        </w:tc>
        <w:tc>
          <w:tcPr>
            <w:tcW w:w="760" w:type="dxa"/>
            <w:shd w:val="clear" w:color="auto" w:fill="CCEEFF"/>
            <w:vAlign w:val="bottom"/>
          </w:tcPr>
          <w:p w14:paraId="388494F4" w14:textId="77777777" w:rsidR="00D1587D" w:rsidRDefault="00D1587D"/>
        </w:tc>
        <w:tc>
          <w:tcPr>
            <w:tcW w:w="40" w:type="dxa"/>
            <w:shd w:val="clear" w:color="auto" w:fill="CCEEFF"/>
            <w:vAlign w:val="bottom"/>
          </w:tcPr>
          <w:p w14:paraId="51532A35" w14:textId="77777777" w:rsidR="00D1587D" w:rsidRDefault="00D1587D"/>
        </w:tc>
        <w:tc>
          <w:tcPr>
            <w:tcW w:w="40" w:type="dxa"/>
            <w:shd w:val="clear" w:color="auto" w:fill="CCEEFF"/>
            <w:vAlign w:val="bottom"/>
          </w:tcPr>
          <w:p w14:paraId="7E871DB9" w14:textId="77777777" w:rsidR="00D1587D" w:rsidRDefault="00D1587D"/>
        </w:tc>
        <w:tc>
          <w:tcPr>
            <w:tcW w:w="540" w:type="dxa"/>
            <w:shd w:val="clear" w:color="auto" w:fill="CCEEFF"/>
            <w:vAlign w:val="bottom"/>
          </w:tcPr>
          <w:p w14:paraId="208C46AF" w14:textId="77777777" w:rsidR="00D1587D" w:rsidRDefault="00D1587D"/>
        </w:tc>
        <w:tc>
          <w:tcPr>
            <w:tcW w:w="80" w:type="dxa"/>
            <w:shd w:val="clear" w:color="auto" w:fill="CCEEFF"/>
            <w:vAlign w:val="bottom"/>
          </w:tcPr>
          <w:p w14:paraId="40806072" w14:textId="77777777" w:rsidR="00D1587D" w:rsidRDefault="00D1587D"/>
        </w:tc>
        <w:tc>
          <w:tcPr>
            <w:tcW w:w="660" w:type="dxa"/>
            <w:shd w:val="clear" w:color="auto" w:fill="CCEEFF"/>
            <w:vAlign w:val="bottom"/>
          </w:tcPr>
          <w:p w14:paraId="1800CA16" w14:textId="77777777" w:rsidR="00D1587D" w:rsidRDefault="00D1587D"/>
        </w:tc>
        <w:tc>
          <w:tcPr>
            <w:tcW w:w="100" w:type="dxa"/>
            <w:shd w:val="clear" w:color="auto" w:fill="CCEEFF"/>
            <w:vAlign w:val="bottom"/>
          </w:tcPr>
          <w:p w14:paraId="71556B35" w14:textId="77777777" w:rsidR="00D1587D" w:rsidRDefault="00D1587D"/>
        </w:tc>
        <w:tc>
          <w:tcPr>
            <w:tcW w:w="740" w:type="dxa"/>
            <w:gridSpan w:val="2"/>
            <w:shd w:val="clear" w:color="auto" w:fill="CCEEFF"/>
            <w:vAlign w:val="bottom"/>
          </w:tcPr>
          <w:p w14:paraId="74FEB973" w14:textId="77777777" w:rsidR="00D1587D" w:rsidRDefault="00410D07">
            <w:pPr>
              <w:ind w:right="80"/>
              <w:jc w:val="right"/>
              <w:rPr>
                <w:sz w:val="20"/>
                <w:szCs w:val="20"/>
              </w:rPr>
            </w:pPr>
            <w:r>
              <w:rPr>
                <w:rFonts w:ascii="Arial" w:eastAsia="Arial" w:hAnsi="Arial" w:cs="Arial"/>
                <w:sz w:val="14"/>
                <w:szCs w:val="14"/>
              </w:rPr>
              <w:t>3/31/2017</w:t>
            </w:r>
          </w:p>
        </w:tc>
        <w:tc>
          <w:tcPr>
            <w:tcW w:w="740" w:type="dxa"/>
            <w:gridSpan w:val="2"/>
            <w:shd w:val="clear" w:color="auto" w:fill="CCEEFF"/>
            <w:vAlign w:val="bottom"/>
          </w:tcPr>
          <w:p w14:paraId="6B1D71E0"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shd w:val="clear" w:color="auto" w:fill="CCEEFF"/>
            <w:vAlign w:val="bottom"/>
          </w:tcPr>
          <w:p w14:paraId="63A69D60"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shd w:val="clear" w:color="auto" w:fill="CCEEFF"/>
            <w:vAlign w:val="bottom"/>
          </w:tcPr>
          <w:p w14:paraId="09F06796" w14:textId="77777777" w:rsidR="00D1587D" w:rsidRDefault="00410D07">
            <w:pPr>
              <w:spacing w:line="256" w:lineRule="exact"/>
              <w:ind w:right="80"/>
              <w:jc w:val="right"/>
              <w:rPr>
                <w:sz w:val="20"/>
                <w:szCs w:val="20"/>
              </w:rPr>
            </w:pPr>
            <w:r>
              <w:rPr>
                <w:rFonts w:ascii="Arial" w:eastAsia="Arial" w:hAnsi="Arial" w:cs="Arial"/>
                <w:w w:val="85"/>
                <w:sz w:val="14"/>
                <w:szCs w:val="14"/>
              </w:rPr>
              <w:t>25,160</w:t>
            </w:r>
            <w:r>
              <w:rPr>
                <w:rFonts w:ascii="Arial" w:eastAsia="Arial" w:hAnsi="Arial" w:cs="Arial"/>
                <w:w w:val="85"/>
                <w:sz w:val="23"/>
                <w:szCs w:val="23"/>
                <w:vertAlign w:val="superscript"/>
              </w:rPr>
              <w:t>(16)</w:t>
            </w:r>
          </w:p>
        </w:tc>
        <w:tc>
          <w:tcPr>
            <w:tcW w:w="600" w:type="dxa"/>
            <w:shd w:val="clear" w:color="auto" w:fill="CCEEFF"/>
            <w:vAlign w:val="bottom"/>
          </w:tcPr>
          <w:p w14:paraId="66C294B2" w14:textId="77777777" w:rsidR="00D1587D" w:rsidRDefault="00410D07">
            <w:pPr>
              <w:jc w:val="right"/>
              <w:rPr>
                <w:sz w:val="20"/>
                <w:szCs w:val="20"/>
              </w:rPr>
            </w:pPr>
            <w:r>
              <w:rPr>
                <w:rFonts w:ascii="Arial" w:eastAsia="Arial" w:hAnsi="Arial" w:cs="Arial"/>
                <w:w w:val="93"/>
                <w:sz w:val="14"/>
                <w:szCs w:val="14"/>
              </w:rPr>
              <w:t>1,025,522</w:t>
            </w:r>
          </w:p>
        </w:tc>
        <w:tc>
          <w:tcPr>
            <w:tcW w:w="0" w:type="dxa"/>
            <w:vAlign w:val="bottom"/>
          </w:tcPr>
          <w:p w14:paraId="51CF5B23" w14:textId="77777777" w:rsidR="00D1587D" w:rsidRDefault="00D1587D">
            <w:pPr>
              <w:rPr>
                <w:sz w:val="1"/>
                <w:szCs w:val="1"/>
              </w:rPr>
            </w:pPr>
          </w:p>
        </w:tc>
      </w:tr>
      <w:tr w:rsidR="00D1587D" w14:paraId="672B0E40" w14:textId="77777777">
        <w:trPr>
          <w:trHeight w:val="257"/>
        </w:trPr>
        <w:tc>
          <w:tcPr>
            <w:tcW w:w="880" w:type="dxa"/>
            <w:shd w:val="clear" w:color="auto" w:fill="CCEEFF"/>
            <w:vAlign w:val="bottom"/>
          </w:tcPr>
          <w:p w14:paraId="57E61CE3" w14:textId="77777777" w:rsidR="00D1587D" w:rsidRDefault="00D1587D"/>
        </w:tc>
        <w:tc>
          <w:tcPr>
            <w:tcW w:w="40" w:type="dxa"/>
            <w:shd w:val="clear" w:color="auto" w:fill="CCEEFF"/>
            <w:vAlign w:val="bottom"/>
          </w:tcPr>
          <w:p w14:paraId="31EF0523" w14:textId="77777777" w:rsidR="00D1587D" w:rsidRDefault="00D1587D"/>
        </w:tc>
        <w:tc>
          <w:tcPr>
            <w:tcW w:w="40" w:type="dxa"/>
            <w:shd w:val="clear" w:color="auto" w:fill="CCEEFF"/>
            <w:vAlign w:val="bottom"/>
          </w:tcPr>
          <w:p w14:paraId="39A4CCEF" w14:textId="77777777" w:rsidR="00D1587D" w:rsidRDefault="00D1587D"/>
        </w:tc>
        <w:tc>
          <w:tcPr>
            <w:tcW w:w="580" w:type="dxa"/>
            <w:shd w:val="clear" w:color="auto" w:fill="CCEEFF"/>
            <w:vAlign w:val="bottom"/>
          </w:tcPr>
          <w:p w14:paraId="0256AFAA" w14:textId="77777777" w:rsidR="00D1587D" w:rsidRDefault="00D1587D"/>
        </w:tc>
        <w:tc>
          <w:tcPr>
            <w:tcW w:w="40" w:type="dxa"/>
            <w:shd w:val="clear" w:color="auto" w:fill="CCEEFF"/>
            <w:vAlign w:val="bottom"/>
          </w:tcPr>
          <w:p w14:paraId="529DC122" w14:textId="77777777" w:rsidR="00D1587D" w:rsidRDefault="00D1587D"/>
        </w:tc>
        <w:tc>
          <w:tcPr>
            <w:tcW w:w="40" w:type="dxa"/>
            <w:shd w:val="clear" w:color="auto" w:fill="CCEEFF"/>
            <w:vAlign w:val="bottom"/>
          </w:tcPr>
          <w:p w14:paraId="09070DEC" w14:textId="77777777" w:rsidR="00D1587D" w:rsidRDefault="00D1587D"/>
        </w:tc>
        <w:tc>
          <w:tcPr>
            <w:tcW w:w="760" w:type="dxa"/>
            <w:shd w:val="clear" w:color="auto" w:fill="CCEEFF"/>
            <w:vAlign w:val="bottom"/>
          </w:tcPr>
          <w:p w14:paraId="6EADD5AC" w14:textId="77777777" w:rsidR="00D1587D" w:rsidRDefault="00D1587D"/>
        </w:tc>
        <w:tc>
          <w:tcPr>
            <w:tcW w:w="40" w:type="dxa"/>
            <w:shd w:val="clear" w:color="auto" w:fill="CCEEFF"/>
            <w:vAlign w:val="bottom"/>
          </w:tcPr>
          <w:p w14:paraId="1DEB1781" w14:textId="77777777" w:rsidR="00D1587D" w:rsidRDefault="00D1587D"/>
        </w:tc>
        <w:tc>
          <w:tcPr>
            <w:tcW w:w="40" w:type="dxa"/>
            <w:shd w:val="clear" w:color="auto" w:fill="CCEEFF"/>
            <w:vAlign w:val="bottom"/>
          </w:tcPr>
          <w:p w14:paraId="5EF1789E" w14:textId="77777777" w:rsidR="00D1587D" w:rsidRDefault="00D1587D"/>
        </w:tc>
        <w:tc>
          <w:tcPr>
            <w:tcW w:w="860" w:type="dxa"/>
            <w:shd w:val="clear" w:color="auto" w:fill="CCEEFF"/>
            <w:vAlign w:val="bottom"/>
          </w:tcPr>
          <w:p w14:paraId="70AD2D8C" w14:textId="77777777" w:rsidR="00D1587D" w:rsidRDefault="00D1587D"/>
        </w:tc>
        <w:tc>
          <w:tcPr>
            <w:tcW w:w="40" w:type="dxa"/>
            <w:shd w:val="clear" w:color="auto" w:fill="CCEEFF"/>
            <w:vAlign w:val="bottom"/>
          </w:tcPr>
          <w:p w14:paraId="3EB94022" w14:textId="77777777" w:rsidR="00D1587D" w:rsidRDefault="00D1587D"/>
        </w:tc>
        <w:tc>
          <w:tcPr>
            <w:tcW w:w="40" w:type="dxa"/>
            <w:shd w:val="clear" w:color="auto" w:fill="CCEEFF"/>
            <w:vAlign w:val="bottom"/>
          </w:tcPr>
          <w:p w14:paraId="63DE1DF5" w14:textId="77777777" w:rsidR="00D1587D" w:rsidRDefault="00D1587D"/>
        </w:tc>
        <w:tc>
          <w:tcPr>
            <w:tcW w:w="760" w:type="dxa"/>
            <w:shd w:val="clear" w:color="auto" w:fill="CCEEFF"/>
            <w:vAlign w:val="bottom"/>
          </w:tcPr>
          <w:p w14:paraId="5B303664" w14:textId="77777777" w:rsidR="00D1587D" w:rsidRDefault="00D1587D"/>
        </w:tc>
        <w:tc>
          <w:tcPr>
            <w:tcW w:w="40" w:type="dxa"/>
            <w:shd w:val="clear" w:color="auto" w:fill="CCEEFF"/>
            <w:vAlign w:val="bottom"/>
          </w:tcPr>
          <w:p w14:paraId="63A373DE" w14:textId="77777777" w:rsidR="00D1587D" w:rsidRDefault="00D1587D"/>
        </w:tc>
        <w:tc>
          <w:tcPr>
            <w:tcW w:w="40" w:type="dxa"/>
            <w:shd w:val="clear" w:color="auto" w:fill="CCEEFF"/>
            <w:vAlign w:val="bottom"/>
          </w:tcPr>
          <w:p w14:paraId="10A0E7D0" w14:textId="77777777" w:rsidR="00D1587D" w:rsidRDefault="00D1587D"/>
        </w:tc>
        <w:tc>
          <w:tcPr>
            <w:tcW w:w="540" w:type="dxa"/>
            <w:shd w:val="clear" w:color="auto" w:fill="CCEEFF"/>
            <w:vAlign w:val="bottom"/>
          </w:tcPr>
          <w:p w14:paraId="07E9DA14" w14:textId="77777777" w:rsidR="00D1587D" w:rsidRDefault="00D1587D"/>
        </w:tc>
        <w:tc>
          <w:tcPr>
            <w:tcW w:w="80" w:type="dxa"/>
            <w:shd w:val="clear" w:color="auto" w:fill="CCEEFF"/>
            <w:vAlign w:val="bottom"/>
          </w:tcPr>
          <w:p w14:paraId="315FD7A1" w14:textId="77777777" w:rsidR="00D1587D" w:rsidRDefault="00D1587D"/>
        </w:tc>
        <w:tc>
          <w:tcPr>
            <w:tcW w:w="660" w:type="dxa"/>
            <w:shd w:val="clear" w:color="auto" w:fill="CCEEFF"/>
            <w:vAlign w:val="bottom"/>
          </w:tcPr>
          <w:p w14:paraId="44E01554" w14:textId="77777777" w:rsidR="00D1587D" w:rsidRDefault="00D1587D"/>
        </w:tc>
        <w:tc>
          <w:tcPr>
            <w:tcW w:w="100" w:type="dxa"/>
            <w:shd w:val="clear" w:color="auto" w:fill="CCEEFF"/>
            <w:vAlign w:val="bottom"/>
          </w:tcPr>
          <w:p w14:paraId="639F0930" w14:textId="77777777" w:rsidR="00D1587D" w:rsidRDefault="00D1587D"/>
        </w:tc>
        <w:tc>
          <w:tcPr>
            <w:tcW w:w="740" w:type="dxa"/>
            <w:gridSpan w:val="2"/>
            <w:shd w:val="clear" w:color="auto" w:fill="CCEEFF"/>
            <w:vAlign w:val="bottom"/>
          </w:tcPr>
          <w:p w14:paraId="67304FD3" w14:textId="77777777" w:rsidR="00D1587D" w:rsidRDefault="00410D07">
            <w:pPr>
              <w:ind w:right="80"/>
              <w:jc w:val="right"/>
              <w:rPr>
                <w:sz w:val="20"/>
                <w:szCs w:val="20"/>
              </w:rPr>
            </w:pPr>
            <w:r>
              <w:rPr>
                <w:rFonts w:ascii="Arial" w:eastAsia="Arial" w:hAnsi="Arial" w:cs="Arial"/>
                <w:sz w:val="14"/>
                <w:szCs w:val="14"/>
              </w:rPr>
              <w:t>3/21/2018</w:t>
            </w:r>
          </w:p>
        </w:tc>
        <w:tc>
          <w:tcPr>
            <w:tcW w:w="740" w:type="dxa"/>
            <w:gridSpan w:val="2"/>
            <w:shd w:val="clear" w:color="auto" w:fill="CCEEFF"/>
            <w:vAlign w:val="bottom"/>
          </w:tcPr>
          <w:p w14:paraId="4373463E"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shd w:val="clear" w:color="auto" w:fill="CCEEFF"/>
            <w:vAlign w:val="bottom"/>
          </w:tcPr>
          <w:p w14:paraId="385A8447"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shd w:val="clear" w:color="auto" w:fill="CCEEFF"/>
            <w:vAlign w:val="bottom"/>
          </w:tcPr>
          <w:p w14:paraId="039163C6" w14:textId="77777777" w:rsidR="00D1587D" w:rsidRDefault="00410D07">
            <w:pPr>
              <w:spacing w:line="256" w:lineRule="exact"/>
              <w:ind w:right="80"/>
              <w:jc w:val="right"/>
              <w:rPr>
                <w:sz w:val="20"/>
                <w:szCs w:val="20"/>
              </w:rPr>
            </w:pPr>
            <w:r>
              <w:rPr>
                <w:rFonts w:ascii="Arial" w:eastAsia="Arial" w:hAnsi="Arial" w:cs="Arial"/>
                <w:w w:val="85"/>
                <w:sz w:val="14"/>
                <w:szCs w:val="14"/>
              </w:rPr>
              <w:t>14,079</w:t>
            </w:r>
            <w:r>
              <w:rPr>
                <w:rFonts w:ascii="Arial" w:eastAsia="Arial" w:hAnsi="Arial" w:cs="Arial"/>
                <w:w w:val="85"/>
                <w:sz w:val="23"/>
                <w:szCs w:val="23"/>
                <w:vertAlign w:val="superscript"/>
              </w:rPr>
              <w:t>(17)</w:t>
            </w:r>
          </w:p>
        </w:tc>
        <w:tc>
          <w:tcPr>
            <w:tcW w:w="600" w:type="dxa"/>
            <w:shd w:val="clear" w:color="auto" w:fill="CCEEFF"/>
            <w:vAlign w:val="bottom"/>
          </w:tcPr>
          <w:p w14:paraId="7BAD5D72" w14:textId="77777777" w:rsidR="00D1587D" w:rsidRDefault="00410D07">
            <w:pPr>
              <w:jc w:val="right"/>
              <w:rPr>
                <w:sz w:val="20"/>
                <w:szCs w:val="20"/>
              </w:rPr>
            </w:pPr>
            <w:r>
              <w:rPr>
                <w:rFonts w:ascii="Arial" w:eastAsia="Arial" w:hAnsi="Arial" w:cs="Arial"/>
                <w:sz w:val="14"/>
                <w:szCs w:val="14"/>
              </w:rPr>
              <w:t>573,860</w:t>
            </w:r>
          </w:p>
        </w:tc>
        <w:tc>
          <w:tcPr>
            <w:tcW w:w="0" w:type="dxa"/>
            <w:vAlign w:val="bottom"/>
          </w:tcPr>
          <w:p w14:paraId="44E6D94C" w14:textId="77777777" w:rsidR="00D1587D" w:rsidRDefault="00D1587D">
            <w:pPr>
              <w:rPr>
                <w:sz w:val="1"/>
                <w:szCs w:val="1"/>
              </w:rPr>
            </w:pPr>
          </w:p>
        </w:tc>
      </w:tr>
      <w:tr w:rsidR="00D1587D" w14:paraId="3C20DBD0" w14:textId="77777777">
        <w:trPr>
          <w:trHeight w:val="256"/>
        </w:trPr>
        <w:tc>
          <w:tcPr>
            <w:tcW w:w="880" w:type="dxa"/>
            <w:shd w:val="clear" w:color="auto" w:fill="CCEEFF"/>
            <w:vAlign w:val="bottom"/>
          </w:tcPr>
          <w:p w14:paraId="79CE9EB0" w14:textId="77777777" w:rsidR="00D1587D" w:rsidRDefault="00D1587D"/>
        </w:tc>
        <w:tc>
          <w:tcPr>
            <w:tcW w:w="40" w:type="dxa"/>
            <w:shd w:val="clear" w:color="auto" w:fill="CCEEFF"/>
            <w:vAlign w:val="bottom"/>
          </w:tcPr>
          <w:p w14:paraId="06AAC64B" w14:textId="77777777" w:rsidR="00D1587D" w:rsidRDefault="00D1587D"/>
        </w:tc>
        <w:tc>
          <w:tcPr>
            <w:tcW w:w="40" w:type="dxa"/>
            <w:shd w:val="clear" w:color="auto" w:fill="CCEEFF"/>
            <w:vAlign w:val="bottom"/>
          </w:tcPr>
          <w:p w14:paraId="6085E491" w14:textId="77777777" w:rsidR="00D1587D" w:rsidRDefault="00D1587D"/>
        </w:tc>
        <w:tc>
          <w:tcPr>
            <w:tcW w:w="580" w:type="dxa"/>
            <w:shd w:val="clear" w:color="auto" w:fill="CCEEFF"/>
            <w:vAlign w:val="bottom"/>
          </w:tcPr>
          <w:p w14:paraId="0B9E66CC" w14:textId="77777777" w:rsidR="00D1587D" w:rsidRDefault="00D1587D"/>
        </w:tc>
        <w:tc>
          <w:tcPr>
            <w:tcW w:w="40" w:type="dxa"/>
            <w:shd w:val="clear" w:color="auto" w:fill="CCEEFF"/>
            <w:vAlign w:val="bottom"/>
          </w:tcPr>
          <w:p w14:paraId="56DA4499" w14:textId="77777777" w:rsidR="00D1587D" w:rsidRDefault="00D1587D"/>
        </w:tc>
        <w:tc>
          <w:tcPr>
            <w:tcW w:w="40" w:type="dxa"/>
            <w:shd w:val="clear" w:color="auto" w:fill="CCEEFF"/>
            <w:vAlign w:val="bottom"/>
          </w:tcPr>
          <w:p w14:paraId="0E868D08" w14:textId="77777777" w:rsidR="00D1587D" w:rsidRDefault="00D1587D"/>
        </w:tc>
        <w:tc>
          <w:tcPr>
            <w:tcW w:w="760" w:type="dxa"/>
            <w:shd w:val="clear" w:color="auto" w:fill="CCEEFF"/>
            <w:vAlign w:val="bottom"/>
          </w:tcPr>
          <w:p w14:paraId="5ADD3183" w14:textId="77777777" w:rsidR="00D1587D" w:rsidRDefault="00D1587D"/>
        </w:tc>
        <w:tc>
          <w:tcPr>
            <w:tcW w:w="40" w:type="dxa"/>
            <w:shd w:val="clear" w:color="auto" w:fill="CCEEFF"/>
            <w:vAlign w:val="bottom"/>
          </w:tcPr>
          <w:p w14:paraId="72C164F9" w14:textId="77777777" w:rsidR="00D1587D" w:rsidRDefault="00D1587D"/>
        </w:tc>
        <w:tc>
          <w:tcPr>
            <w:tcW w:w="40" w:type="dxa"/>
            <w:shd w:val="clear" w:color="auto" w:fill="CCEEFF"/>
            <w:vAlign w:val="bottom"/>
          </w:tcPr>
          <w:p w14:paraId="004BA45D" w14:textId="77777777" w:rsidR="00D1587D" w:rsidRDefault="00D1587D"/>
        </w:tc>
        <w:tc>
          <w:tcPr>
            <w:tcW w:w="860" w:type="dxa"/>
            <w:shd w:val="clear" w:color="auto" w:fill="CCEEFF"/>
            <w:vAlign w:val="bottom"/>
          </w:tcPr>
          <w:p w14:paraId="70ED39A8" w14:textId="77777777" w:rsidR="00D1587D" w:rsidRDefault="00D1587D"/>
        </w:tc>
        <w:tc>
          <w:tcPr>
            <w:tcW w:w="40" w:type="dxa"/>
            <w:shd w:val="clear" w:color="auto" w:fill="CCEEFF"/>
            <w:vAlign w:val="bottom"/>
          </w:tcPr>
          <w:p w14:paraId="57C9D2E0" w14:textId="77777777" w:rsidR="00D1587D" w:rsidRDefault="00D1587D"/>
        </w:tc>
        <w:tc>
          <w:tcPr>
            <w:tcW w:w="40" w:type="dxa"/>
            <w:shd w:val="clear" w:color="auto" w:fill="CCEEFF"/>
            <w:vAlign w:val="bottom"/>
          </w:tcPr>
          <w:p w14:paraId="74ABB25D" w14:textId="77777777" w:rsidR="00D1587D" w:rsidRDefault="00D1587D"/>
        </w:tc>
        <w:tc>
          <w:tcPr>
            <w:tcW w:w="760" w:type="dxa"/>
            <w:shd w:val="clear" w:color="auto" w:fill="CCEEFF"/>
            <w:vAlign w:val="bottom"/>
          </w:tcPr>
          <w:p w14:paraId="79E69590" w14:textId="77777777" w:rsidR="00D1587D" w:rsidRDefault="00D1587D"/>
        </w:tc>
        <w:tc>
          <w:tcPr>
            <w:tcW w:w="40" w:type="dxa"/>
            <w:shd w:val="clear" w:color="auto" w:fill="CCEEFF"/>
            <w:vAlign w:val="bottom"/>
          </w:tcPr>
          <w:p w14:paraId="1E04B837" w14:textId="77777777" w:rsidR="00D1587D" w:rsidRDefault="00D1587D"/>
        </w:tc>
        <w:tc>
          <w:tcPr>
            <w:tcW w:w="40" w:type="dxa"/>
            <w:shd w:val="clear" w:color="auto" w:fill="CCEEFF"/>
            <w:vAlign w:val="bottom"/>
          </w:tcPr>
          <w:p w14:paraId="361BD60C" w14:textId="77777777" w:rsidR="00D1587D" w:rsidRDefault="00D1587D"/>
        </w:tc>
        <w:tc>
          <w:tcPr>
            <w:tcW w:w="540" w:type="dxa"/>
            <w:shd w:val="clear" w:color="auto" w:fill="CCEEFF"/>
            <w:vAlign w:val="bottom"/>
          </w:tcPr>
          <w:p w14:paraId="64EF4972" w14:textId="77777777" w:rsidR="00D1587D" w:rsidRDefault="00D1587D"/>
        </w:tc>
        <w:tc>
          <w:tcPr>
            <w:tcW w:w="80" w:type="dxa"/>
            <w:shd w:val="clear" w:color="auto" w:fill="CCEEFF"/>
            <w:vAlign w:val="bottom"/>
          </w:tcPr>
          <w:p w14:paraId="4AE1985E" w14:textId="77777777" w:rsidR="00D1587D" w:rsidRDefault="00D1587D"/>
        </w:tc>
        <w:tc>
          <w:tcPr>
            <w:tcW w:w="660" w:type="dxa"/>
            <w:shd w:val="clear" w:color="auto" w:fill="CCEEFF"/>
            <w:vAlign w:val="bottom"/>
          </w:tcPr>
          <w:p w14:paraId="4B9F34F3" w14:textId="77777777" w:rsidR="00D1587D" w:rsidRDefault="00D1587D"/>
        </w:tc>
        <w:tc>
          <w:tcPr>
            <w:tcW w:w="100" w:type="dxa"/>
            <w:shd w:val="clear" w:color="auto" w:fill="CCEEFF"/>
            <w:vAlign w:val="bottom"/>
          </w:tcPr>
          <w:p w14:paraId="35BF3036" w14:textId="77777777" w:rsidR="00D1587D" w:rsidRDefault="00D1587D"/>
        </w:tc>
        <w:tc>
          <w:tcPr>
            <w:tcW w:w="740" w:type="dxa"/>
            <w:gridSpan w:val="2"/>
            <w:shd w:val="clear" w:color="auto" w:fill="CCEEFF"/>
            <w:vAlign w:val="bottom"/>
          </w:tcPr>
          <w:p w14:paraId="02A94A9B" w14:textId="77777777" w:rsidR="00D1587D" w:rsidRDefault="00410D07">
            <w:pPr>
              <w:ind w:right="80"/>
              <w:jc w:val="right"/>
              <w:rPr>
                <w:sz w:val="20"/>
                <w:szCs w:val="20"/>
              </w:rPr>
            </w:pPr>
            <w:r>
              <w:rPr>
                <w:rFonts w:ascii="Arial" w:eastAsia="Arial" w:hAnsi="Arial" w:cs="Arial"/>
                <w:sz w:val="14"/>
                <w:szCs w:val="14"/>
              </w:rPr>
              <w:t>4/25/2018</w:t>
            </w:r>
          </w:p>
        </w:tc>
        <w:tc>
          <w:tcPr>
            <w:tcW w:w="740" w:type="dxa"/>
            <w:gridSpan w:val="2"/>
            <w:shd w:val="clear" w:color="auto" w:fill="CCEEFF"/>
            <w:vAlign w:val="bottom"/>
          </w:tcPr>
          <w:p w14:paraId="339FDE9F"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shd w:val="clear" w:color="auto" w:fill="CCEEFF"/>
            <w:vAlign w:val="bottom"/>
          </w:tcPr>
          <w:p w14:paraId="172C4A17"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shd w:val="clear" w:color="auto" w:fill="CCEEFF"/>
            <w:vAlign w:val="bottom"/>
          </w:tcPr>
          <w:p w14:paraId="1923140C" w14:textId="77777777" w:rsidR="00D1587D" w:rsidRDefault="00410D07">
            <w:pPr>
              <w:spacing w:line="256" w:lineRule="exact"/>
              <w:ind w:right="80"/>
              <w:jc w:val="right"/>
              <w:rPr>
                <w:sz w:val="20"/>
                <w:szCs w:val="20"/>
              </w:rPr>
            </w:pPr>
            <w:r>
              <w:rPr>
                <w:rFonts w:ascii="Arial" w:eastAsia="Arial" w:hAnsi="Arial" w:cs="Arial"/>
                <w:w w:val="85"/>
                <w:sz w:val="14"/>
                <w:szCs w:val="14"/>
              </w:rPr>
              <w:t>20,869</w:t>
            </w:r>
            <w:r>
              <w:rPr>
                <w:rFonts w:ascii="Arial" w:eastAsia="Arial" w:hAnsi="Arial" w:cs="Arial"/>
                <w:w w:val="85"/>
                <w:sz w:val="23"/>
                <w:szCs w:val="23"/>
                <w:vertAlign w:val="superscript"/>
              </w:rPr>
              <w:t>(18)</w:t>
            </w:r>
          </w:p>
        </w:tc>
        <w:tc>
          <w:tcPr>
            <w:tcW w:w="600" w:type="dxa"/>
            <w:shd w:val="clear" w:color="auto" w:fill="CCEEFF"/>
            <w:vAlign w:val="bottom"/>
          </w:tcPr>
          <w:p w14:paraId="71C4D2F8" w14:textId="77777777" w:rsidR="00D1587D" w:rsidRDefault="00410D07">
            <w:pPr>
              <w:jc w:val="right"/>
              <w:rPr>
                <w:sz w:val="20"/>
                <w:szCs w:val="20"/>
              </w:rPr>
            </w:pPr>
            <w:r>
              <w:rPr>
                <w:rFonts w:ascii="Arial" w:eastAsia="Arial" w:hAnsi="Arial" w:cs="Arial"/>
                <w:sz w:val="14"/>
                <w:szCs w:val="14"/>
              </w:rPr>
              <w:t>850,620</w:t>
            </w:r>
          </w:p>
        </w:tc>
        <w:tc>
          <w:tcPr>
            <w:tcW w:w="0" w:type="dxa"/>
            <w:vAlign w:val="bottom"/>
          </w:tcPr>
          <w:p w14:paraId="26DE604B" w14:textId="77777777" w:rsidR="00D1587D" w:rsidRDefault="00D1587D">
            <w:pPr>
              <w:rPr>
                <w:sz w:val="1"/>
                <w:szCs w:val="1"/>
              </w:rPr>
            </w:pPr>
          </w:p>
        </w:tc>
      </w:tr>
      <w:tr w:rsidR="00D1587D" w14:paraId="22897FFE" w14:textId="77777777">
        <w:trPr>
          <w:trHeight w:val="257"/>
        </w:trPr>
        <w:tc>
          <w:tcPr>
            <w:tcW w:w="880" w:type="dxa"/>
            <w:shd w:val="clear" w:color="auto" w:fill="CCEEFF"/>
            <w:vAlign w:val="bottom"/>
          </w:tcPr>
          <w:p w14:paraId="539D87BD" w14:textId="77777777" w:rsidR="00D1587D" w:rsidRDefault="00D1587D"/>
        </w:tc>
        <w:tc>
          <w:tcPr>
            <w:tcW w:w="40" w:type="dxa"/>
            <w:shd w:val="clear" w:color="auto" w:fill="CCEEFF"/>
            <w:vAlign w:val="bottom"/>
          </w:tcPr>
          <w:p w14:paraId="5D6D3AF2" w14:textId="77777777" w:rsidR="00D1587D" w:rsidRDefault="00D1587D"/>
        </w:tc>
        <w:tc>
          <w:tcPr>
            <w:tcW w:w="40" w:type="dxa"/>
            <w:shd w:val="clear" w:color="auto" w:fill="CCEEFF"/>
            <w:vAlign w:val="bottom"/>
          </w:tcPr>
          <w:p w14:paraId="427B3539" w14:textId="77777777" w:rsidR="00D1587D" w:rsidRDefault="00D1587D"/>
        </w:tc>
        <w:tc>
          <w:tcPr>
            <w:tcW w:w="580" w:type="dxa"/>
            <w:shd w:val="clear" w:color="auto" w:fill="CCEEFF"/>
            <w:vAlign w:val="bottom"/>
          </w:tcPr>
          <w:p w14:paraId="0BB5A759" w14:textId="77777777" w:rsidR="00D1587D" w:rsidRDefault="00D1587D"/>
        </w:tc>
        <w:tc>
          <w:tcPr>
            <w:tcW w:w="40" w:type="dxa"/>
            <w:shd w:val="clear" w:color="auto" w:fill="CCEEFF"/>
            <w:vAlign w:val="bottom"/>
          </w:tcPr>
          <w:p w14:paraId="52E1BA6D" w14:textId="77777777" w:rsidR="00D1587D" w:rsidRDefault="00D1587D"/>
        </w:tc>
        <w:tc>
          <w:tcPr>
            <w:tcW w:w="40" w:type="dxa"/>
            <w:shd w:val="clear" w:color="auto" w:fill="CCEEFF"/>
            <w:vAlign w:val="bottom"/>
          </w:tcPr>
          <w:p w14:paraId="38B9D12C" w14:textId="77777777" w:rsidR="00D1587D" w:rsidRDefault="00D1587D"/>
        </w:tc>
        <w:tc>
          <w:tcPr>
            <w:tcW w:w="760" w:type="dxa"/>
            <w:shd w:val="clear" w:color="auto" w:fill="CCEEFF"/>
            <w:vAlign w:val="bottom"/>
          </w:tcPr>
          <w:p w14:paraId="4B9A5C33" w14:textId="77777777" w:rsidR="00D1587D" w:rsidRDefault="00D1587D"/>
        </w:tc>
        <w:tc>
          <w:tcPr>
            <w:tcW w:w="40" w:type="dxa"/>
            <w:shd w:val="clear" w:color="auto" w:fill="CCEEFF"/>
            <w:vAlign w:val="bottom"/>
          </w:tcPr>
          <w:p w14:paraId="7BCFFAD9" w14:textId="77777777" w:rsidR="00D1587D" w:rsidRDefault="00D1587D"/>
        </w:tc>
        <w:tc>
          <w:tcPr>
            <w:tcW w:w="40" w:type="dxa"/>
            <w:shd w:val="clear" w:color="auto" w:fill="CCEEFF"/>
            <w:vAlign w:val="bottom"/>
          </w:tcPr>
          <w:p w14:paraId="74D74D5E" w14:textId="77777777" w:rsidR="00D1587D" w:rsidRDefault="00D1587D"/>
        </w:tc>
        <w:tc>
          <w:tcPr>
            <w:tcW w:w="860" w:type="dxa"/>
            <w:shd w:val="clear" w:color="auto" w:fill="CCEEFF"/>
            <w:vAlign w:val="bottom"/>
          </w:tcPr>
          <w:p w14:paraId="02BFF6C7" w14:textId="77777777" w:rsidR="00D1587D" w:rsidRDefault="00D1587D"/>
        </w:tc>
        <w:tc>
          <w:tcPr>
            <w:tcW w:w="40" w:type="dxa"/>
            <w:shd w:val="clear" w:color="auto" w:fill="CCEEFF"/>
            <w:vAlign w:val="bottom"/>
          </w:tcPr>
          <w:p w14:paraId="196AEBDD" w14:textId="77777777" w:rsidR="00D1587D" w:rsidRDefault="00D1587D"/>
        </w:tc>
        <w:tc>
          <w:tcPr>
            <w:tcW w:w="40" w:type="dxa"/>
            <w:shd w:val="clear" w:color="auto" w:fill="CCEEFF"/>
            <w:vAlign w:val="bottom"/>
          </w:tcPr>
          <w:p w14:paraId="35E74046" w14:textId="77777777" w:rsidR="00D1587D" w:rsidRDefault="00D1587D"/>
        </w:tc>
        <w:tc>
          <w:tcPr>
            <w:tcW w:w="760" w:type="dxa"/>
            <w:shd w:val="clear" w:color="auto" w:fill="CCEEFF"/>
            <w:vAlign w:val="bottom"/>
          </w:tcPr>
          <w:p w14:paraId="039996C0" w14:textId="77777777" w:rsidR="00D1587D" w:rsidRDefault="00D1587D"/>
        </w:tc>
        <w:tc>
          <w:tcPr>
            <w:tcW w:w="40" w:type="dxa"/>
            <w:shd w:val="clear" w:color="auto" w:fill="CCEEFF"/>
            <w:vAlign w:val="bottom"/>
          </w:tcPr>
          <w:p w14:paraId="3638E4A5" w14:textId="77777777" w:rsidR="00D1587D" w:rsidRDefault="00D1587D"/>
        </w:tc>
        <w:tc>
          <w:tcPr>
            <w:tcW w:w="40" w:type="dxa"/>
            <w:shd w:val="clear" w:color="auto" w:fill="CCEEFF"/>
            <w:vAlign w:val="bottom"/>
          </w:tcPr>
          <w:p w14:paraId="3FA85DD1" w14:textId="77777777" w:rsidR="00D1587D" w:rsidRDefault="00D1587D"/>
        </w:tc>
        <w:tc>
          <w:tcPr>
            <w:tcW w:w="540" w:type="dxa"/>
            <w:shd w:val="clear" w:color="auto" w:fill="CCEEFF"/>
            <w:vAlign w:val="bottom"/>
          </w:tcPr>
          <w:p w14:paraId="3923E687" w14:textId="77777777" w:rsidR="00D1587D" w:rsidRDefault="00D1587D"/>
        </w:tc>
        <w:tc>
          <w:tcPr>
            <w:tcW w:w="80" w:type="dxa"/>
            <w:shd w:val="clear" w:color="auto" w:fill="CCEEFF"/>
            <w:vAlign w:val="bottom"/>
          </w:tcPr>
          <w:p w14:paraId="314FAD73" w14:textId="77777777" w:rsidR="00D1587D" w:rsidRDefault="00D1587D"/>
        </w:tc>
        <w:tc>
          <w:tcPr>
            <w:tcW w:w="660" w:type="dxa"/>
            <w:shd w:val="clear" w:color="auto" w:fill="CCEEFF"/>
            <w:vAlign w:val="bottom"/>
          </w:tcPr>
          <w:p w14:paraId="58BDD78A" w14:textId="77777777" w:rsidR="00D1587D" w:rsidRDefault="00D1587D"/>
        </w:tc>
        <w:tc>
          <w:tcPr>
            <w:tcW w:w="100" w:type="dxa"/>
            <w:shd w:val="clear" w:color="auto" w:fill="CCEEFF"/>
            <w:vAlign w:val="bottom"/>
          </w:tcPr>
          <w:p w14:paraId="06029CE8" w14:textId="77777777" w:rsidR="00D1587D" w:rsidRDefault="00D1587D"/>
        </w:tc>
        <w:tc>
          <w:tcPr>
            <w:tcW w:w="740" w:type="dxa"/>
            <w:gridSpan w:val="2"/>
            <w:shd w:val="clear" w:color="auto" w:fill="CCEEFF"/>
            <w:vAlign w:val="bottom"/>
          </w:tcPr>
          <w:p w14:paraId="2D4A269B" w14:textId="77777777" w:rsidR="00D1587D" w:rsidRDefault="00410D07">
            <w:pPr>
              <w:ind w:right="80"/>
              <w:jc w:val="right"/>
              <w:rPr>
                <w:sz w:val="20"/>
                <w:szCs w:val="20"/>
              </w:rPr>
            </w:pPr>
            <w:r>
              <w:rPr>
                <w:rFonts w:ascii="Arial" w:eastAsia="Arial" w:hAnsi="Arial" w:cs="Arial"/>
                <w:sz w:val="14"/>
                <w:szCs w:val="14"/>
              </w:rPr>
              <w:t>3/28/2019</w:t>
            </w:r>
          </w:p>
        </w:tc>
        <w:tc>
          <w:tcPr>
            <w:tcW w:w="740" w:type="dxa"/>
            <w:gridSpan w:val="2"/>
            <w:shd w:val="clear" w:color="auto" w:fill="CCEEFF"/>
            <w:vAlign w:val="bottom"/>
          </w:tcPr>
          <w:p w14:paraId="10B7D63D" w14:textId="77777777" w:rsidR="00D1587D" w:rsidRDefault="00410D07">
            <w:pPr>
              <w:spacing w:line="256" w:lineRule="exact"/>
              <w:ind w:right="80"/>
              <w:jc w:val="right"/>
              <w:rPr>
                <w:sz w:val="20"/>
                <w:szCs w:val="20"/>
              </w:rPr>
            </w:pPr>
            <w:r>
              <w:rPr>
                <w:rFonts w:ascii="Arial" w:eastAsia="Arial" w:hAnsi="Arial" w:cs="Arial"/>
                <w:sz w:val="14"/>
                <w:szCs w:val="14"/>
              </w:rPr>
              <w:t>59,502</w:t>
            </w:r>
            <w:r>
              <w:rPr>
                <w:rFonts w:ascii="Arial" w:eastAsia="Arial" w:hAnsi="Arial" w:cs="Arial"/>
                <w:sz w:val="23"/>
                <w:szCs w:val="23"/>
                <w:vertAlign w:val="superscript"/>
              </w:rPr>
              <w:t>(6)</w:t>
            </w:r>
          </w:p>
        </w:tc>
        <w:tc>
          <w:tcPr>
            <w:tcW w:w="680" w:type="dxa"/>
            <w:gridSpan w:val="2"/>
            <w:shd w:val="clear" w:color="auto" w:fill="CCEEFF"/>
            <w:vAlign w:val="bottom"/>
          </w:tcPr>
          <w:p w14:paraId="77A29209" w14:textId="77777777" w:rsidR="00D1587D" w:rsidRDefault="00410D07">
            <w:pPr>
              <w:ind w:right="80"/>
              <w:jc w:val="right"/>
              <w:rPr>
                <w:sz w:val="20"/>
                <w:szCs w:val="20"/>
              </w:rPr>
            </w:pPr>
            <w:r>
              <w:rPr>
                <w:rFonts w:ascii="Arial" w:eastAsia="Arial" w:hAnsi="Arial" w:cs="Arial"/>
                <w:w w:val="93"/>
                <w:sz w:val="14"/>
                <w:szCs w:val="14"/>
              </w:rPr>
              <w:t>2,425,302</w:t>
            </w:r>
          </w:p>
        </w:tc>
        <w:tc>
          <w:tcPr>
            <w:tcW w:w="700" w:type="dxa"/>
            <w:gridSpan w:val="2"/>
            <w:shd w:val="clear" w:color="auto" w:fill="CCEEFF"/>
            <w:vAlign w:val="bottom"/>
          </w:tcPr>
          <w:p w14:paraId="32C96618" w14:textId="77777777" w:rsidR="00D1587D" w:rsidRDefault="00410D07">
            <w:pPr>
              <w:ind w:right="80"/>
              <w:jc w:val="right"/>
              <w:rPr>
                <w:sz w:val="20"/>
                <w:szCs w:val="20"/>
              </w:rPr>
            </w:pPr>
            <w:r>
              <w:rPr>
                <w:rFonts w:ascii="Arial" w:eastAsia="Arial" w:hAnsi="Arial" w:cs="Arial"/>
                <w:sz w:val="14"/>
                <w:szCs w:val="14"/>
              </w:rPr>
              <w:t>—</w:t>
            </w:r>
          </w:p>
        </w:tc>
        <w:tc>
          <w:tcPr>
            <w:tcW w:w="600" w:type="dxa"/>
            <w:shd w:val="clear" w:color="auto" w:fill="CCEEFF"/>
            <w:vAlign w:val="bottom"/>
          </w:tcPr>
          <w:p w14:paraId="735E8640"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0C5135CC" w14:textId="77777777" w:rsidR="00D1587D" w:rsidRDefault="00D1587D">
            <w:pPr>
              <w:rPr>
                <w:sz w:val="1"/>
                <w:szCs w:val="1"/>
              </w:rPr>
            </w:pPr>
          </w:p>
        </w:tc>
      </w:tr>
      <w:tr w:rsidR="00D1587D" w14:paraId="2F76020F" w14:textId="77777777">
        <w:trPr>
          <w:trHeight w:val="256"/>
        </w:trPr>
        <w:tc>
          <w:tcPr>
            <w:tcW w:w="880" w:type="dxa"/>
            <w:shd w:val="clear" w:color="auto" w:fill="CCEEFF"/>
            <w:vAlign w:val="bottom"/>
          </w:tcPr>
          <w:p w14:paraId="1000058C" w14:textId="77777777" w:rsidR="00D1587D" w:rsidRDefault="00D1587D"/>
        </w:tc>
        <w:tc>
          <w:tcPr>
            <w:tcW w:w="40" w:type="dxa"/>
            <w:shd w:val="clear" w:color="auto" w:fill="CCEEFF"/>
            <w:vAlign w:val="bottom"/>
          </w:tcPr>
          <w:p w14:paraId="6BE19044" w14:textId="77777777" w:rsidR="00D1587D" w:rsidRDefault="00D1587D"/>
        </w:tc>
        <w:tc>
          <w:tcPr>
            <w:tcW w:w="40" w:type="dxa"/>
            <w:shd w:val="clear" w:color="auto" w:fill="CCEEFF"/>
            <w:vAlign w:val="bottom"/>
          </w:tcPr>
          <w:p w14:paraId="47687AB0" w14:textId="77777777" w:rsidR="00D1587D" w:rsidRDefault="00D1587D"/>
        </w:tc>
        <w:tc>
          <w:tcPr>
            <w:tcW w:w="580" w:type="dxa"/>
            <w:shd w:val="clear" w:color="auto" w:fill="CCEEFF"/>
            <w:vAlign w:val="bottom"/>
          </w:tcPr>
          <w:p w14:paraId="0E3780B1" w14:textId="77777777" w:rsidR="00D1587D" w:rsidRDefault="00D1587D"/>
        </w:tc>
        <w:tc>
          <w:tcPr>
            <w:tcW w:w="40" w:type="dxa"/>
            <w:shd w:val="clear" w:color="auto" w:fill="CCEEFF"/>
            <w:vAlign w:val="bottom"/>
          </w:tcPr>
          <w:p w14:paraId="0250B61C" w14:textId="77777777" w:rsidR="00D1587D" w:rsidRDefault="00D1587D"/>
        </w:tc>
        <w:tc>
          <w:tcPr>
            <w:tcW w:w="40" w:type="dxa"/>
            <w:shd w:val="clear" w:color="auto" w:fill="CCEEFF"/>
            <w:vAlign w:val="bottom"/>
          </w:tcPr>
          <w:p w14:paraId="6D66FF4D" w14:textId="77777777" w:rsidR="00D1587D" w:rsidRDefault="00D1587D"/>
        </w:tc>
        <w:tc>
          <w:tcPr>
            <w:tcW w:w="760" w:type="dxa"/>
            <w:shd w:val="clear" w:color="auto" w:fill="CCEEFF"/>
            <w:vAlign w:val="bottom"/>
          </w:tcPr>
          <w:p w14:paraId="235D107B" w14:textId="77777777" w:rsidR="00D1587D" w:rsidRDefault="00D1587D"/>
        </w:tc>
        <w:tc>
          <w:tcPr>
            <w:tcW w:w="40" w:type="dxa"/>
            <w:shd w:val="clear" w:color="auto" w:fill="CCEEFF"/>
            <w:vAlign w:val="bottom"/>
          </w:tcPr>
          <w:p w14:paraId="444E11A1" w14:textId="77777777" w:rsidR="00D1587D" w:rsidRDefault="00D1587D"/>
        </w:tc>
        <w:tc>
          <w:tcPr>
            <w:tcW w:w="40" w:type="dxa"/>
            <w:shd w:val="clear" w:color="auto" w:fill="CCEEFF"/>
            <w:vAlign w:val="bottom"/>
          </w:tcPr>
          <w:p w14:paraId="02072A41" w14:textId="77777777" w:rsidR="00D1587D" w:rsidRDefault="00D1587D"/>
        </w:tc>
        <w:tc>
          <w:tcPr>
            <w:tcW w:w="860" w:type="dxa"/>
            <w:shd w:val="clear" w:color="auto" w:fill="CCEEFF"/>
            <w:vAlign w:val="bottom"/>
          </w:tcPr>
          <w:p w14:paraId="67ECAE24" w14:textId="77777777" w:rsidR="00D1587D" w:rsidRDefault="00D1587D"/>
        </w:tc>
        <w:tc>
          <w:tcPr>
            <w:tcW w:w="40" w:type="dxa"/>
            <w:shd w:val="clear" w:color="auto" w:fill="CCEEFF"/>
            <w:vAlign w:val="bottom"/>
          </w:tcPr>
          <w:p w14:paraId="7DE19390" w14:textId="77777777" w:rsidR="00D1587D" w:rsidRDefault="00D1587D"/>
        </w:tc>
        <w:tc>
          <w:tcPr>
            <w:tcW w:w="40" w:type="dxa"/>
            <w:shd w:val="clear" w:color="auto" w:fill="CCEEFF"/>
            <w:vAlign w:val="bottom"/>
          </w:tcPr>
          <w:p w14:paraId="51E6EF27" w14:textId="77777777" w:rsidR="00D1587D" w:rsidRDefault="00D1587D"/>
        </w:tc>
        <w:tc>
          <w:tcPr>
            <w:tcW w:w="760" w:type="dxa"/>
            <w:shd w:val="clear" w:color="auto" w:fill="CCEEFF"/>
            <w:vAlign w:val="bottom"/>
          </w:tcPr>
          <w:p w14:paraId="23717E1E" w14:textId="77777777" w:rsidR="00D1587D" w:rsidRDefault="00D1587D"/>
        </w:tc>
        <w:tc>
          <w:tcPr>
            <w:tcW w:w="40" w:type="dxa"/>
            <w:shd w:val="clear" w:color="auto" w:fill="CCEEFF"/>
            <w:vAlign w:val="bottom"/>
          </w:tcPr>
          <w:p w14:paraId="53FFFB4C" w14:textId="77777777" w:rsidR="00D1587D" w:rsidRDefault="00D1587D"/>
        </w:tc>
        <w:tc>
          <w:tcPr>
            <w:tcW w:w="40" w:type="dxa"/>
            <w:shd w:val="clear" w:color="auto" w:fill="CCEEFF"/>
            <w:vAlign w:val="bottom"/>
          </w:tcPr>
          <w:p w14:paraId="1E586781" w14:textId="77777777" w:rsidR="00D1587D" w:rsidRDefault="00D1587D"/>
        </w:tc>
        <w:tc>
          <w:tcPr>
            <w:tcW w:w="540" w:type="dxa"/>
            <w:shd w:val="clear" w:color="auto" w:fill="CCEEFF"/>
            <w:vAlign w:val="bottom"/>
          </w:tcPr>
          <w:p w14:paraId="408791FC" w14:textId="77777777" w:rsidR="00D1587D" w:rsidRDefault="00D1587D"/>
        </w:tc>
        <w:tc>
          <w:tcPr>
            <w:tcW w:w="80" w:type="dxa"/>
            <w:shd w:val="clear" w:color="auto" w:fill="CCEEFF"/>
            <w:vAlign w:val="bottom"/>
          </w:tcPr>
          <w:p w14:paraId="2BF84D62" w14:textId="77777777" w:rsidR="00D1587D" w:rsidRDefault="00D1587D"/>
        </w:tc>
        <w:tc>
          <w:tcPr>
            <w:tcW w:w="660" w:type="dxa"/>
            <w:shd w:val="clear" w:color="auto" w:fill="CCEEFF"/>
            <w:vAlign w:val="bottom"/>
          </w:tcPr>
          <w:p w14:paraId="6FBD8476" w14:textId="77777777" w:rsidR="00D1587D" w:rsidRDefault="00D1587D"/>
        </w:tc>
        <w:tc>
          <w:tcPr>
            <w:tcW w:w="100" w:type="dxa"/>
            <w:shd w:val="clear" w:color="auto" w:fill="CCEEFF"/>
            <w:vAlign w:val="bottom"/>
          </w:tcPr>
          <w:p w14:paraId="548F973B" w14:textId="77777777" w:rsidR="00D1587D" w:rsidRDefault="00D1587D"/>
        </w:tc>
        <w:tc>
          <w:tcPr>
            <w:tcW w:w="740" w:type="dxa"/>
            <w:gridSpan w:val="2"/>
            <w:shd w:val="clear" w:color="auto" w:fill="CCEEFF"/>
            <w:vAlign w:val="bottom"/>
          </w:tcPr>
          <w:p w14:paraId="23A98FB9" w14:textId="77777777" w:rsidR="00D1587D" w:rsidRDefault="00410D07">
            <w:pPr>
              <w:ind w:right="80"/>
              <w:jc w:val="right"/>
              <w:rPr>
                <w:sz w:val="20"/>
                <w:szCs w:val="20"/>
              </w:rPr>
            </w:pPr>
            <w:r>
              <w:rPr>
                <w:rFonts w:ascii="Arial" w:eastAsia="Arial" w:hAnsi="Arial" w:cs="Arial"/>
                <w:w w:val="91"/>
                <w:sz w:val="14"/>
                <w:szCs w:val="14"/>
              </w:rPr>
              <w:t>12/11/2020</w:t>
            </w:r>
          </w:p>
        </w:tc>
        <w:tc>
          <w:tcPr>
            <w:tcW w:w="740" w:type="dxa"/>
            <w:gridSpan w:val="2"/>
            <w:shd w:val="clear" w:color="auto" w:fill="CCEEFF"/>
            <w:vAlign w:val="bottom"/>
          </w:tcPr>
          <w:p w14:paraId="3AFB6527" w14:textId="77777777" w:rsidR="00D1587D" w:rsidRDefault="00410D07">
            <w:pPr>
              <w:spacing w:line="256" w:lineRule="exact"/>
              <w:ind w:right="80"/>
              <w:jc w:val="right"/>
              <w:rPr>
                <w:sz w:val="20"/>
                <w:szCs w:val="20"/>
              </w:rPr>
            </w:pPr>
            <w:r>
              <w:rPr>
                <w:rFonts w:ascii="Arial" w:eastAsia="Arial" w:hAnsi="Arial" w:cs="Arial"/>
                <w:sz w:val="14"/>
                <w:szCs w:val="14"/>
              </w:rPr>
              <w:t>25,291</w:t>
            </w:r>
            <w:r>
              <w:rPr>
                <w:rFonts w:ascii="Arial" w:eastAsia="Arial" w:hAnsi="Arial" w:cs="Arial"/>
                <w:sz w:val="23"/>
                <w:szCs w:val="23"/>
                <w:vertAlign w:val="superscript"/>
              </w:rPr>
              <w:t>(7)</w:t>
            </w:r>
          </w:p>
        </w:tc>
        <w:tc>
          <w:tcPr>
            <w:tcW w:w="680" w:type="dxa"/>
            <w:gridSpan w:val="2"/>
            <w:shd w:val="clear" w:color="auto" w:fill="CCEEFF"/>
            <w:vAlign w:val="bottom"/>
          </w:tcPr>
          <w:p w14:paraId="596464CE" w14:textId="77777777" w:rsidR="00D1587D" w:rsidRDefault="00410D07">
            <w:pPr>
              <w:ind w:right="80"/>
              <w:jc w:val="right"/>
              <w:rPr>
                <w:sz w:val="20"/>
                <w:szCs w:val="20"/>
              </w:rPr>
            </w:pPr>
            <w:r>
              <w:rPr>
                <w:rFonts w:ascii="Arial" w:eastAsia="Arial" w:hAnsi="Arial" w:cs="Arial"/>
                <w:w w:val="93"/>
                <w:sz w:val="14"/>
                <w:szCs w:val="14"/>
              </w:rPr>
              <w:t>1,030,861</w:t>
            </w:r>
          </w:p>
        </w:tc>
        <w:tc>
          <w:tcPr>
            <w:tcW w:w="700" w:type="dxa"/>
            <w:gridSpan w:val="2"/>
            <w:shd w:val="clear" w:color="auto" w:fill="CCEEFF"/>
            <w:vAlign w:val="bottom"/>
          </w:tcPr>
          <w:p w14:paraId="7B7C124B" w14:textId="77777777" w:rsidR="00D1587D" w:rsidRDefault="00410D07">
            <w:pPr>
              <w:ind w:right="80"/>
              <w:jc w:val="right"/>
              <w:rPr>
                <w:sz w:val="20"/>
                <w:szCs w:val="20"/>
              </w:rPr>
            </w:pPr>
            <w:r>
              <w:rPr>
                <w:rFonts w:ascii="Arial" w:eastAsia="Arial" w:hAnsi="Arial" w:cs="Arial"/>
                <w:sz w:val="14"/>
                <w:szCs w:val="14"/>
              </w:rPr>
              <w:t>—</w:t>
            </w:r>
          </w:p>
        </w:tc>
        <w:tc>
          <w:tcPr>
            <w:tcW w:w="600" w:type="dxa"/>
            <w:shd w:val="clear" w:color="auto" w:fill="CCEEFF"/>
            <w:vAlign w:val="bottom"/>
          </w:tcPr>
          <w:p w14:paraId="61D6B0D1"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044A3F96" w14:textId="77777777" w:rsidR="00D1587D" w:rsidRDefault="00D1587D">
            <w:pPr>
              <w:rPr>
                <w:sz w:val="1"/>
                <w:szCs w:val="1"/>
              </w:rPr>
            </w:pPr>
          </w:p>
        </w:tc>
      </w:tr>
      <w:tr w:rsidR="00D1587D" w14:paraId="6D9356F6" w14:textId="77777777">
        <w:trPr>
          <w:trHeight w:val="218"/>
        </w:trPr>
        <w:tc>
          <w:tcPr>
            <w:tcW w:w="920" w:type="dxa"/>
            <w:gridSpan w:val="2"/>
            <w:vAlign w:val="bottom"/>
          </w:tcPr>
          <w:p w14:paraId="5D39C580" w14:textId="77777777" w:rsidR="00D1587D" w:rsidRDefault="00410D07">
            <w:pPr>
              <w:rPr>
                <w:sz w:val="20"/>
                <w:szCs w:val="20"/>
              </w:rPr>
            </w:pPr>
            <w:r>
              <w:rPr>
                <w:rFonts w:ascii="Arial" w:eastAsia="Arial" w:hAnsi="Arial" w:cs="Arial"/>
                <w:sz w:val="14"/>
                <w:szCs w:val="14"/>
              </w:rPr>
              <w:t>Amy Hauk</w:t>
            </w:r>
          </w:p>
        </w:tc>
        <w:tc>
          <w:tcPr>
            <w:tcW w:w="660" w:type="dxa"/>
            <w:gridSpan w:val="3"/>
            <w:vAlign w:val="bottom"/>
          </w:tcPr>
          <w:p w14:paraId="0C5AA75B" w14:textId="77777777" w:rsidR="00D1587D" w:rsidRDefault="00410D07">
            <w:pPr>
              <w:ind w:left="40"/>
              <w:rPr>
                <w:sz w:val="20"/>
                <w:szCs w:val="20"/>
              </w:rPr>
            </w:pPr>
            <w:r>
              <w:rPr>
                <w:rFonts w:ascii="Arial" w:eastAsia="Arial" w:hAnsi="Arial" w:cs="Arial"/>
                <w:w w:val="96"/>
                <w:sz w:val="14"/>
                <w:szCs w:val="14"/>
              </w:rPr>
              <w:t>3/30/2012</w:t>
            </w:r>
          </w:p>
        </w:tc>
        <w:tc>
          <w:tcPr>
            <w:tcW w:w="840" w:type="dxa"/>
            <w:gridSpan w:val="3"/>
            <w:vAlign w:val="bottom"/>
          </w:tcPr>
          <w:p w14:paraId="0CD2F819" w14:textId="77777777" w:rsidR="00D1587D" w:rsidRDefault="00410D07">
            <w:pPr>
              <w:ind w:right="40"/>
              <w:jc w:val="right"/>
              <w:rPr>
                <w:sz w:val="20"/>
                <w:szCs w:val="20"/>
              </w:rPr>
            </w:pPr>
            <w:r>
              <w:rPr>
                <w:rFonts w:ascii="Arial" w:eastAsia="Arial" w:hAnsi="Arial" w:cs="Arial"/>
                <w:sz w:val="14"/>
                <w:szCs w:val="14"/>
              </w:rPr>
              <w:t>1,596</w:t>
            </w:r>
          </w:p>
        </w:tc>
        <w:tc>
          <w:tcPr>
            <w:tcW w:w="40" w:type="dxa"/>
            <w:vAlign w:val="bottom"/>
          </w:tcPr>
          <w:p w14:paraId="148486BD" w14:textId="77777777" w:rsidR="00D1587D" w:rsidRDefault="00D1587D">
            <w:pPr>
              <w:rPr>
                <w:sz w:val="18"/>
                <w:szCs w:val="18"/>
              </w:rPr>
            </w:pPr>
          </w:p>
        </w:tc>
        <w:tc>
          <w:tcPr>
            <w:tcW w:w="900" w:type="dxa"/>
            <w:gridSpan w:val="2"/>
            <w:vAlign w:val="bottom"/>
          </w:tcPr>
          <w:p w14:paraId="3B31C838" w14:textId="77777777" w:rsidR="00D1587D" w:rsidRDefault="00410D07">
            <w:pPr>
              <w:ind w:right="40"/>
              <w:jc w:val="right"/>
              <w:rPr>
                <w:sz w:val="20"/>
                <w:szCs w:val="20"/>
              </w:rPr>
            </w:pPr>
            <w:r>
              <w:rPr>
                <w:rFonts w:ascii="Arial" w:eastAsia="Arial" w:hAnsi="Arial" w:cs="Arial"/>
                <w:sz w:val="14"/>
                <w:szCs w:val="14"/>
              </w:rPr>
              <w:t>—</w:t>
            </w:r>
          </w:p>
        </w:tc>
        <w:tc>
          <w:tcPr>
            <w:tcW w:w="40" w:type="dxa"/>
            <w:vAlign w:val="bottom"/>
          </w:tcPr>
          <w:p w14:paraId="7FDAD1B9" w14:textId="77777777" w:rsidR="00D1587D" w:rsidRDefault="00D1587D">
            <w:pPr>
              <w:rPr>
                <w:sz w:val="18"/>
                <w:szCs w:val="18"/>
              </w:rPr>
            </w:pPr>
          </w:p>
        </w:tc>
        <w:tc>
          <w:tcPr>
            <w:tcW w:w="800" w:type="dxa"/>
            <w:gridSpan w:val="2"/>
            <w:vAlign w:val="bottom"/>
          </w:tcPr>
          <w:p w14:paraId="08ACAE0E"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639E0EB3" w14:textId="77777777" w:rsidR="00D1587D" w:rsidRDefault="00410D07">
            <w:pPr>
              <w:ind w:right="80"/>
              <w:jc w:val="right"/>
              <w:rPr>
                <w:sz w:val="20"/>
                <w:szCs w:val="20"/>
              </w:rPr>
            </w:pPr>
            <w:r>
              <w:rPr>
                <w:rFonts w:ascii="Arial" w:eastAsia="Arial" w:hAnsi="Arial" w:cs="Arial"/>
                <w:sz w:val="14"/>
                <w:szCs w:val="14"/>
              </w:rPr>
              <w:t>41.54</w:t>
            </w:r>
          </w:p>
        </w:tc>
        <w:tc>
          <w:tcPr>
            <w:tcW w:w="760" w:type="dxa"/>
            <w:gridSpan w:val="2"/>
            <w:vAlign w:val="bottom"/>
          </w:tcPr>
          <w:p w14:paraId="41A6CB09" w14:textId="77777777" w:rsidR="00D1587D" w:rsidRDefault="00410D07">
            <w:pPr>
              <w:ind w:right="100"/>
              <w:jc w:val="right"/>
              <w:rPr>
                <w:sz w:val="20"/>
                <w:szCs w:val="20"/>
              </w:rPr>
            </w:pPr>
            <w:r>
              <w:rPr>
                <w:rFonts w:ascii="Arial" w:eastAsia="Arial" w:hAnsi="Arial" w:cs="Arial"/>
                <w:sz w:val="14"/>
                <w:szCs w:val="14"/>
              </w:rPr>
              <w:t>3/30/2022</w:t>
            </w:r>
          </w:p>
        </w:tc>
        <w:tc>
          <w:tcPr>
            <w:tcW w:w="660" w:type="dxa"/>
            <w:vAlign w:val="bottom"/>
          </w:tcPr>
          <w:p w14:paraId="36C7E23A" w14:textId="77777777" w:rsidR="00D1587D" w:rsidRDefault="00D1587D">
            <w:pPr>
              <w:rPr>
                <w:sz w:val="18"/>
                <w:szCs w:val="18"/>
              </w:rPr>
            </w:pPr>
          </w:p>
        </w:tc>
        <w:tc>
          <w:tcPr>
            <w:tcW w:w="80" w:type="dxa"/>
            <w:vAlign w:val="bottom"/>
          </w:tcPr>
          <w:p w14:paraId="2D3E8943" w14:textId="77777777" w:rsidR="00D1587D" w:rsidRDefault="00D1587D">
            <w:pPr>
              <w:rPr>
                <w:sz w:val="18"/>
                <w:szCs w:val="18"/>
              </w:rPr>
            </w:pPr>
          </w:p>
        </w:tc>
        <w:tc>
          <w:tcPr>
            <w:tcW w:w="660" w:type="dxa"/>
            <w:vAlign w:val="bottom"/>
          </w:tcPr>
          <w:p w14:paraId="5324A009" w14:textId="77777777" w:rsidR="00D1587D" w:rsidRDefault="00D1587D">
            <w:pPr>
              <w:rPr>
                <w:sz w:val="18"/>
                <w:szCs w:val="18"/>
              </w:rPr>
            </w:pPr>
          </w:p>
        </w:tc>
        <w:tc>
          <w:tcPr>
            <w:tcW w:w="80" w:type="dxa"/>
            <w:vAlign w:val="bottom"/>
          </w:tcPr>
          <w:p w14:paraId="3F1C6B29" w14:textId="77777777" w:rsidR="00D1587D" w:rsidRDefault="00D1587D">
            <w:pPr>
              <w:rPr>
                <w:sz w:val="18"/>
                <w:szCs w:val="18"/>
              </w:rPr>
            </w:pPr>
          </w:p>
        </w:tc>
        <w:tc>
          <w:tcPr>
            <w:tcW w:w="600" w:type="dxa"/>
            <w:vAlign w:val="bottom"/>
          </w:tcPr>
          <w:p w14:paraId="4047E155" w14:textId="77777777" w:rsidR="00D1587D" w:rsidRDefault="00D1587D">
            <w:pPr>
              <w:rPr>
                <w:sz w:val="18"/>
                <w:szCs w:val="18"/>
              </w:rPr>
            </w:pPr>
          </w:p>
        </w:tc>
        <w:tc>
          <w:tcPr>
            <w:tcW w:w="80" w:type="dxa"/>
            <w:vAlign w:val="bottom"/>
          </w:tcPr>
          <w:p w14:paraId="209C40C3" w14:textId="77777777" w:rsidR="00D1587D" w:rsidRDefault="00D1587D">
            <w:pPr>
              <w:rPr>
                <w:sz w:val="18"/>
                <w:szCs w:val="18"/>
              </w:rPr>
            </w:pPr>
          </w:p>
        </w:tc>
        <w:tc>
          <w:tcPr>
            <w:tcW w:w="620" w:type="dxa"/>
            <w:vAlign w:val="bottom"/>
          </w:tcPr>
          <w:p w14:paraId="256D4C3D" w14:textId="77777777" w:rsidR="00D1587D" w:rsidRDefault="00D1587D">
            <w:pPr>
              <w:rPr>
                <w:sz w:val="18"/>
                <w:szCs w:val="18"/>
              </w:rPr>
            </w:pPr>
          </w:p>
        </w:tc>
        <w:tc>
          <w:tcPr>
            <w:tcW w:w="80" w:type="dxa"/>
            <w:vAlign w:val="bottom"/>
          </w:tcPr>
          <w:p w14:paraId="6D127A01" w14:textId="77777777" w:rsidR="00D1587D" w:rsidRDefault="00D1587D">
            <w:pPr>
              <w:rPr>
                <w:sz w:val="18"/>
                <w:szCs w:val="18"/>
              </w:rPr>
            </w:pPr>
          </w:p>
        </w:tc>
        <w:tc>
          <w:tcPr>
            <w:tcW w:w="600" w:type="dxa"/>
            <w:vAlign w:val="bottom"/>
          </w:tcPr>
          <w:p w14:paraId="78DF5AE4" w14:textId="77777777" w:rsidR="00D1587D" w:rsidRDefault="00D1587D">
            <w:pPr>
              <w:rPr>
                <w:sz w:val="18"/>
                <w:szCs w:val="18"/>
              </w:rPr>
            </w:pPr>
          </w:p>
        </w:tc>
        <w:tc>
          <w:tcPr>
            <w:tcW w:w="0" w:type="dxa"/>
            <w:vAlign w:val="bottom"/>
          </w:tcPr>
          <w:p w14:paraId="2BAED7A3" w14:textId="77777777" w:rsidR="00D1587D" w:rsidRDefault="00D1587D">
            <w:pPr>
              <w:rPr>
                <w:sz w:val="1"/>
                <w:szCs w:val="1"/>
              </w:rPr>
            </w:pPr>
          </w:p>
        </w:tc>
      </w:tr>
      <w:tr w:rsidR="00D1587D" w14:paraId="33CFA25A" w14:textId="77777777">
        <w:trPr>
          <w:trHeight w:val="257"/>
        </w:trPr>
        <w:tc>
          <w:tcPr>
            <w:tcW w:w="880" w:type="dxa"/>
            <w:vAlign w:val="bottom"/>
          </w:tcPr>
          <w:p w14:paraId="487C17E6" w14:textId="77777777" w:rsidR="00D1587D" w:rsidRDefault="00D1587D"/>
        </w:tc>
        <w:tc>
          <w:tcPr>
            <w:tcW w:w="40" w:type="dxa"/>
            <w:vAlign w:val="bottom"/>
          </w:tcPr>
          <w:p w14:paraId="5BADA832" w14:textId="77777777" w:rsidR="00D1587D" w:rsidRDefault="00D1587D"/>
        </w:tc>
        <w:tc>
          <w:tcPr>
            <w:tcW w:w="660" w:type="dxa"/>
            <w:gridSpan w:val="3"/>
            <w:vAlign w:val="bottom"/>
          </w:tcPr>
          <w:p w14:paraId="301A779B" w14:textId="77777777" w:rsidR="00D1587D" w:rsidRDefault="00410D07">
            <w:pPr>
              <w:ind w:left="40"/>
              <w:rPr>
                <w:sz w:val="20"/>
                <w:szCs w:val="20"/>
              </w:rPr>
            </w:pPr>
            <w:r>
              <w:rPr>
                <w:rFonts w:ascii="Arial" w:eastAsia="Arial" w:hAnsi="Arial" w:cs="Arial"/>
                <w:w w:val="96"/>
                <w:sz w:val="14"/>
                <w:szCs w:val="14"/>
              </w:rPr>
              <w:t>3/29/2013</w:t>
            </w:r>
          </w:p>
        </w:tc>
        <w:tc>
          <w:tcPr>
            <w:tcW w:w="840" w:type="dxa"/>
            <w:gridSpan w:val="3"/>
            <w:vAlign w:val="bottom"/>
          </w:tcPr>
          <w:p w14:paraId="026B4F4D" w14:textId="77777777" w:rsidR="00D1587D" w:rsidRDefault="00410D07">
            <w:pPr>
              <w:ind w:right="40"/>
              <w:jc w:val="right"/>
              <w:rPr>
                <w:sz w:val="20"/>
                <w:szCs w:val="20"/>
              </w:rPr>
            </w:pPr>
            <w:r>
              <w:rPr>
                <w:rFonts w:ascii="Arial" w:eastAsia="Arial" w:hAnsi="Arial" w:cs="Arial"/>
                <w:sz w:val="14"/>
                <w:szCs w:val="14"/>
              </w:rPr>
              <w:t>3,281</w:t>
            </w:r>
          </w:p>
        </w:tc>
        <w:tc>
          <w:tcPr>
            <w:tcW w:w="40" w:type="dxa"/>
            <w:vAlign w:val="bottom"/>
          </w:tcPr>
          <w:p w14:paraId="69CDF637" w14:textId="77777777" w:rsidR="00D1587D" w:rsidRDefault="00D1587D"/>
        </w:tc>
        <w:tc>
          <w:tcPr>
            <w:tcW w:w="900" w:type="dxa"/>
            <w:gridSpan w:val="2"/>
            <w:vAlign w:val="bottom"/>
          </w:tcPr>
          <w:p w14:paraId="1D6B937F" w14:textId="77777777" w:rsidR="00D1587D" w:rsidRDefault="00410D07">
            <w:pPr>
              <w:ind w:right="40"/>
              <w:jc w:val="right"/>
              <w:rPr>
                <w:sz w:val="20"/>
                <w:szCs w:val="20"/>
              </w:rPr>
            </w:pPr>
            <w:r>
              <w:rPr>
                <w:rFonts w:ascii="Arial" w:eastAsia="Arial" w:hAnsi="Arial" w:cs="Arial"/>
                <w:sz w:val="14"/>
                <w:szCs w:val="14"/>
              </w:rPr>
              <w:t>—</w:t>
            </w:r>
          </w:p>
        </w:tc>
        <w:tc>
          <w:tcPr>
            <w:tcW w:w="40" w:type="dxa"/>
            <w:vAlign w:val="bottom"/>
          </w:tcPr>
          <w:p w14:paraId="43062EC0" w14:textId="77777777" w:rsidR="00D1587D" w:rsidRDefault="00D1587D"/>
        </w:tc>
        <w:tc>
          <w:tcPr>
            <w:tcW w:w="800" w:type="dxa"/>
            <w:gridSpan w:val="2"/>
            <w:vAlign w:val="bottom"/>
          </w:tcPr>
          <w:p w14:paraId="5F3C5DC1"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29E5A56F" w14:textId="77777777" w:rsidR="00D1587D" w:rsidRDefault="00410D07">
            <w:pPr>
              <w:ind w:right="80"/>
              <w:jc w:val="right"/>
              <w:rPr>
                <w:sz w:val="20"/>
                <w:szCs w:val="20"/>
              </w:rPr>
            </w:pPr>
            <w:r>
              <w:rPr>
                <w:rFonts w:ascii="Arial" w:eastAsia="Arial" w:hAnsi="Arial" w:cs="Arial"/>
                <w:sz w:val="14"/>
                <w:szCs w:val="14"/>
              </w:rPr>
              <w:t>41.88</w:t>
            </w:r>
          </w:p>
        </w:tc>
        <w:tc>
          <w:tcPr>
            <w:tcW w:w="760" w:type="dxa"/>
            <w:gridSpan w:val="2"/>
            <w:vAlign w:val="bottom"/>
          </w:tcPr>
          <w:p w14:paraId="6A085183" w14:textId="77777777" w:rsidR="00D1587D" w:rsidRDefault="00410D07">
            <w:pPr>
              <w:ind w:right="100"/>
              <w:jc w:val="right"/>
              <w:rPr>
                <w:sz w:val="20"/>
                <w:szCs w:val="20"/>
              </w:rPr>
            </w:pPr>
            <w:r>
              <w:rPr>
                <w:rFonts w:ascii="Arial" w:eastAsia="Arial" w:hAnsi="Arial" w:cs="Arial"/>
                <w:sz w:val="14"/>
                <w:szCs w:val="14"/>
              </w:rPr>
              <w:t>3/29/2023</w:t>
            </w:r>
          </w:p>
        </w:tc>
        <w:tc>
          <w:tcPr>
            <w:tcW w:w="660" w:type="dxa"/>
            <w:vAlign w:val="bottom"/>
          </w:tcPr>
          <w:p w14:paraId="5C2C05A6" w14:textId="77777777" w:rsidR="00D1587D" w:rsidRDefault="00D1587D"/>
        </w:tc>
        <w:tc>
          <w:tcPr>
            <w:tcW w:w="80" w:type="dxa"/>
            <w:vAlign w:val="bottom"/>
          </w:tcPr>
          <w:p w14:paraId="1FE1A333" w14:textId="77777777" w:rsidR="00D1587D" w:rsidRDefault="00D1587D"/>
        </w:tc>
        <w:tc>
          <w:tcPr>
            <w:tcW w:w="660" w:type="dxa"/>
            <w:vAlign w:val="bottom"/>
          </w:tcPr>
          <w:p w14:paraId="2E3E929A" w14:textId="77777777" w:rsidR="00D1587D" w:rsidRDefault="00D1587D"/>
        </w:tc>
        <w:tc>
          <w:tcPr>
            <w:tcW w:w="80" w:type="dxa"/>
            <w:vAlign w:val="bottom"/>
          </w:tcPr>
          <w:p w14:paraId="318AE4D4" w14:textId="77777777" w:rsidR="00D1587D" w:rsidRDefault="00D1587D"/>
        </w:tc>
        <w:tc>
          <w:tcPr>
            <w:tcW w:w="600" w:type="dxa"/>
            <w:vAlign w:val="bottom"/>
          </w:tcPr>
          <w:p w14:paraId="38796C69" w14:textId="77777777" w:rsidR="00D1587D" w:rsidRDefault="00D1587D"/>
        </w:tc>
        <w:tc>
          <w:tcPr>
            <w:tcW w:w="80" w:type="dxa"/>
            <w:vAlign w:val="bottom"/>
          </w:tcPr>
          <w:p w14:paraId="2540D85B" w14:textId="77777777" w:rsidR="00D1587D" w:rsidRDefault="00D1587D"/>
        </w:tc>
        <w:tc>
          <w:tcPr>
            <w:tcW w:w="620" w:type="dxa"/>
            <w:vAlign w:val="bottom"/>
          </w:tcPr>
          <w:p w14:paraId="43B8D73A" w14:textId="77777777" w:rsidR="00D1587D" w:rsidRDefault="00D1587D"/>
        </w:tc>
        <w:tc>
          <w:tcPr>
            <w:tcW w:w="80" w:type="dxa"/>
            <w:vAlign w:val="bottom"/>
          </w:tcPr>
          <w:p w14:paraId="2525A071" w14:textId="77777777" w:rsidR="00D1587D" w:rsidRDefault="00D1587D"/>
        </w:tc>
        <w:tc>
          <w:tcPr>
            <w:tcW w:w="600" w:type="dxa"/>
            <w:vAlign w:val="bottom"/>
          </w:tcPr>
          <w:p w14:paraId="2F88D6C2" w14:textId="77777777" w:rsidR="00D1587D" w:rsidRDefault="00D1587D"/>
        </w:tc>
        <w:tc>
          <w:tcPr>
            <w:tcW w:w="0" w:type="dxa"/>
            <w:vAlign w:val="bottom"/>
          </w:tcPr>
          <w:p w14:paraId="2FA3A3CC" w14:textId="77777777" w:rsidR="00D1587D" w:rsidRDefault="00D1587D">
            <w:pPr>
              <w:rPr>
                <w:sz w:val="1"/>
                <w:szCs w:val="1"/>
              </w:rPr>
            </w:pPr>
          </w:p>
        </w:tc>
      </w:tr>
      <w:tr w:rsidR="00D1587D" w14:paraId="02E17B09" w14:textId="77777777">
        <w:trPr>
          <w:trHeight w:val="256"/>
        </w:trPr>
        <w:tc>
          <w:tcPr>
            <w:tcW w:w="880" w:type="dxa"/>
            <w:vAlign w:val="bottom"/>
          </w:tcPr>
          <w:p w14:paraId="3F9416FC" w14:textId="77777777" w:rsidR="00D1587D" w:rsidRDefault="00D1587D"/>
        </w:tc>
        <w:tc>
          <w:tcPr>
            <w:tcW w:w="40" w:type="dxa"/>
            <w:vAlign w:val="bottom"/>
          </w:tcPr>
          <w:p w14:paraId="2F42958B" w14:textId="77777777" w:rsidR="00D1587D" w:rsidRDefault="00D1587D"/>
        </w:tc>
        <w:tc>
          <w:tcPr>
            <w:tcW w:w="660" w:type="dxa"/>
            <w:gridSpan w:val="3"/>
            <w:vAlign w:val="bottom"/>
          </w:tcPr>
          <w:p w14:paraId="286FC0BA" w14:textId="77777777" w:rsidR="00D1587D" w:rsidRDefault="00410D07">
            <w:pPr>
              <w:ind w:left="40"/>
              <w:rPr>
                <w:sz w:val="20"/>
                <w:szCs w:val="20"/>
              </w:rPr>
            </w:pPr>
            <w:r>
              <w:rPr>
                <w:rFonts w:ascii="Arial" w:eastAsia="Arial" w:hAnsi="Arial" w:cs="Arial"/>
                <w:w w:val="96"/>
                <w:sz w:val="14"/>
                <w:szCs w:val="14"/>
              </w:rPr>
              <w:t>3/31/2014</w:t>
            </w:r>
          </w:p>
        </w:tc>
        <w:tc>
          <w:tcPr>
            <w:tcW w:w="840" w:type="dxa"/>
            <w:gridSpan w:val="3"/>
            <w:vAlign w:val="bottom"/>
          </w:tcPr>
          <w:p w14:paraId="62416121" w14:textId="77777777" w:rsidR="00D1587D" w:rsidRDefault="00410D07">
            <w:pPr>
              <w:ind w:right="40"/>
              <w:jc w:val="right"/>
              <w:rPr>
                <w:sz w:val="20"/>
                <w:szCs w:val="20"/>
              </w:rPr>
            </w:pPr>
            <w:r>
              <w:rPr>
                <w:rFonts w:ascii="Arial" w:eastAsia="Arial" w:hAnsi="Arial" w:cs="Arial"/>
                <w:sz w:val="14"/>
                <w:szCs w:val="14"/>
              </w:rPr>
              <w:t>8,299</w:t>
            </w:r>
          </w:p>
        </w:tc>
        <w:tc>
          <w:tcPr>
            <w:tcW w:w="40" w:type="dxa"/>
            <w:vAlign w:val="bottom"/>
          </w:tcPr>
          <w:p w14:paraId="01382CB9" w14:textId="77777777" w:rsidR="00D1587D" w:rsidRDefault="00D1587D"/>
        </w:tc>
        <w:tc>
          <w:tcPr>
            <w:tcW w:w="900" w:type="dxa"/>
            <w:gridSpan w:val="2"/>
            <w:vAlign w:val="bottom"/>
          </w:tcPr>
          <w:p w14:paraId="631860BD" w14:textId="77777777" w:rsidR="00D1587D" w:rsidRDefault="00410D07">
            <w:pPr>
              <w:ind w:right="40"/>
              <w:jc w:val="right"/>
              <w:rPr>
                <w:sz w:val="20"/>
                <w:szCs w:val="20"/>
              </w:rPr>
            </w:pPr>
            <w:r>
              <w:rPr>
                <w:rFonts w:ascii="Arial" w:eastAsia="Arial" w:hAnsi="Arial" w:cs="Arial"/>
                <w:sz w:val="14"/>
                <w:szCs w:val="14"/>
              </w:rPr>
              <w:t>—</w:t>
            </w:r>
          </w:p>
        </w:tc>
        <w:tc>
          <w:tcPr>
            <w:tcW w:w="40" w:type="dxa"/>
            <w:vAlign w:val="bottom"/>
          </w:tcPr>
          <w:p w14:paraId="394420F5" w14:textId="77777777" w:rsidR="00D1587D" w:rsidRDefault="00D1587D"/>
        </w:tc>
        <w:tc>
          <w:tcPr>
            <w:tcW w:w="800" w:type="dxa"/>
            <w:gridSpan w:val="2"/>
            <w:vAlign w:val="bottom"/>
          </w:tcPr>
          <w:p w14:paraId="05B12455"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77CB95BC" w14:textId="77777777" w:rsidR="00D1587D" w:rsidRDefault="00410D07">
            <w:pPr>
              <w:ind w:right="80"/>
              <w:jc w:val="right"/>
              <w:rPr>
                <w:sz w:val="20"/>
                <w:szCs w:val="20"/>
              </w:rPr>
            </w:pPr>
            <w:r>
              <w:rPr>
                <w:rFonts w:ascii="Arial" w:eastAsia="Arial" w:hAnsi="Arial" w:cs="Arial"/>
                <w:sz w:val="14"/>
                <w:szCs w:val="14"/>
              </w:rPr>
              <w:t>54.21</w:t>
            </w:r>
          </w:p>
        </w:tc>
        <w:tc>
          <w:tcPr>
            <w:tcW w:w="760" w:type="dxa"/>
            <w:gridSpan w:val="2"/>
            <w:vAlign w:val="bottom"/>
          </w:tcPr>
          <w:p w14:paraId="583C4ABA" w14:textId="77777777" w:rsidR="00D1587D" w:rsidRDefault="00410D07">
            <w:pPr>
              <w:ind w:right="100"/>
              <w:jc w:val="right"/>
              <w:rPr>
                <w:sz w:val="20"/>
                <w:szCs w:val="20"/>
              </w:rPr>
            </w:pPr>
            <w:r>
              <w:rPr>
                <w:rFonts w:ascii="Arial" w:eastAsia="Arial" w:hAnsi="Arial" w:cs="Arial"/>
                <w:sz w:val="14"/>
                <w:szCs w:val="14"/>
              </w:rPr>
              <w:t>3/31/2024</w:t>
            </w:r>
          </w:p>
        </w:tc>
        <w:tc>
          <w:tcPr>
            <w:tcW w:w="660" w:type="dxa"/>
            <w:vAlign w:val="bottom"/>
          </w:tcPr>
          <w:p w14:paraId="1C0B9E1C" w14:textId="77777777" w:rsidR="00D1587D" w:rsidRDefault="00D1587D"/>
        </w:tc>
        <w:tc>
          <w:tcPr>
            <w:tcW w:w="80" w:type="dxa"/>
            <w:vAlign w:val="bottom"/>
          </w:tcPr>
          <w:p w14:paraId="04BD582A" w14:textId="77777777" w:rsidR="00D1587D" w:rsidRDefault="00D1587D"/>
        </w:tc>
        <w:tc>
          <w:tcPr>
            <w:tcW w:w="660" w:type="dxa"/>
            <w:vAlign w:val="bottom"/>
          </w:tcPr>
          <w:p w14:paraId="6EEBFB60" w14:textId="77777777" w:rsidR="00D1587D" w:rsidRDefault="00D1587D"/>
        </w:tc>
        <w:tc>
          <w:tcPr>
            <w:tcW w:w="80" w:type="dxa"/>
            <w:vAlign w:val="bottom"/>
          </w:tcPr>
          <w:p w14:paraId="6E1793F3" w14:textId="77777777" w:rsidR="00D1587D" w:rsidRDefault="00D1587D"/>
        </w:tc>
        <w:tc>
          <w:tcPr>
            <w:tcW w:w="600" w:type="dxa"/>
            <w:vAlign w:val="bottom"/>
          </w:tcPr>
          <w:p w14:paraId="1993B7B5" w14:textId="77777777" w:rsidR="00D1587D" w:rsidRDefault="00D1587D"/>
        </w:tc>
        <w:tc>
          <w:tcPr>
            <w:tcW w:w="80" w:type="dxa"/>
            <w:vAlign w:val="bottom"/>
          </w:tcPr>
          <w:p w14:paraId="52FB59EB" w14:textId="77777777" w:rsidR="00D1587D" w:rsidRDefault="00D1587D"/>
        </w:tc>
        <w:tc>
          <w:tcPr>
            <w:tcW w:w="620" w:type="dxa"/>
            <w:vAlign w:val="bottom"/>
          </w:tcPr>
          <w:p w14:paraId="0FB56AEF" w14:textId="77777777" w:rsidR="00D1587D" w:rsidRDefault="00D1587D"/>
        </w:tc>
        <w:tc>
          <w:tcPr>
            <w:tcW w:w="80" w:type="dxa"/>
            <w:vAlign w:val="bottom"/>
          </w:tcPr>
          <w:p w14:paraId="3DD40F24" w14:textId="77777777" w:rsidR="00D1587D" w:rsidRDefault="00D1587D"/>
        </w:tc>
        <w:tc>
          <w:tcPr>
            <w:tcW w:w="600" w:type="dxa"/>
            <w:vAlign w:val="bottom"/>
          </w:tcPr>
          <w:p w14:paraId="0B55BA63" w14:textId="77777777" w:rsidR="00D1587D" w:rsidRDefault="00D1587D"/>
        </w:tc>
        <w:tc>
          <w:tcPr>
            <w:tcW w:w="0" w:type="dxa"/>
            <w:vAlign w:val="bottom"/>
          </w:tcPr>
          <w:p w14:paraId="72DC276D" w14:textId="77777777" w:rsidR="00D1587D" w:rsidRDefault="00D1587D">
            <w:pPr>
              <w:rPr>
                <w:sz w:val="1"/>
                <w:szCs w:val="1"/>
              </w:rPr>
            </w:pPr>
          </w:p>
        </w:tc>
      </w:tr>
      <w:tr w:rsidR="00D1587D" w14:paraId="15917E27" w14:textId="77777777">
        <w:trPr>
          <w:trHeight w:val="257"/>
        </w:trPr>
        <w:tc>
          <w:tcPr>
            <w:tcW w:w="880" w:type="dxa"/>
            <w:vAlign w:val="bottom"/>
          </w:tcPr>
          <w:p w14:paraId="1F39B441" w14:textId="77777777" w:rsidR="00D1587D" w:rsidRDefault="00D1587D"/>
        </w:tc>
        <w:tc>
          <w:tcPr>
            <w:tcW w:w="40" w:type="dxa"/>
            <w:vAlign w:val="bottom"/>
          </w:tcPr>
          <w:p w14:paraId="03C4ECFF" w14:textId="77777777" w:rsidR="00D1587D" w:rsidRDefault="00D1587D"/>
        </w:tc>
        <w:tc>
          <w:tcPr>
            <w:tcW w:w="660" w:type="dxa"/>
            <w:gridSpan w:val="3"/>
            <w:vAlign w:val="bottom"/>
          </w:tcPr>
          <w:p w14:paraId="34C4B2C7" w14:textId="77777777" w:rsidR="00D1587D" w:rsidRDefault="00410D07">
            <w:pPr>
              <w:ind w:left="40"/>
              <w:rPr>
                <w:sz w:val="20"/>
                <w:szCs w:val="20"/>
              </w:rPr>
            </w:pPr>
            <w:r>
              <w:rPr>
                <w:rFonts w:ascii="Arial" w:eastAsia="Arial" w:hAnsi="Arial" w:cs="Arial"/>
                <w:w w:val="96"/>
                <w:sz w:val="14"/>
                <w:szCs w:val="14"/>
              </w:rPr>
              <w:t>4/02/2015</w:t>
            </w:r>
          </w:p>
        </w:tc>
        <w:tc>
          <w:tcPr>
            <w:tcW w:w="840" w:type="dxa"/>
            <w:gridSpan w:val="3"/>
            <w:vAlign w:val="bottom"/>
          </w:tcPr>
          <w:p w14:paraId="790B4259" w14:textId="77777777" w:rsidR="00D1587D" w:rsidRDefault="00410D07">
            <w:pPr>
              <w:ind w:right="40"/>
              <w:jc w:val="right"/>
              <w:rPr>
                <w:sz w:val="20"/>
                <w:szCs w:val="20"/>
              </w:rPr>
            </w:pPr>
            <w:r>
              <w:rPr>
                <w:rFonts w:ascii="Arial" w:eastAsia="Arial" w:hAnsi="Arial" w:cs="Arial"/>
                <w:sz w:val="14"/>
                <w:szCs w:val="14"/>
              </w:rPr>
              <w:t>5,346</w:t>
            </w:r>
          </w:p>
        </w:tc>
        <w:tc>
          <w:tcPr>
            <w:tcW w:w="40" w:type="dxa"/>
            <w:vAlign w:val="bottom"/>
          </w:tcPr>
          <w:p w14:paraId="3FFD4A2A" w14:textId="77777777" w:rsidR="00D1587D" w:rsidRDefault="00D1587D"/>
        </w:tc>
        <w:tc>
          <w:tcPr>
            <w:tcW w:w="900" w:type="dxa"/>
            <w:gridSpan w:val="2"/>
            <w:vAlign w:val="bottom"/>
          </w:tcPr>
          <w:p w14:paraId="73131495" w14:textId="77777777" w:rsidR="00D1587D" w:rsidRDefault="00410D07">
            <w:pPr>
              <w:ind w:right="40"/>
              <w:jc w:val="right"/>
              <w:rPr>
                <w:sz w:val="20"/>
                <w:szCs w:val="20"/>
              </w:rPr>
            </w:pPr>
            <w:r>
              <w:rPr>
                <w:rFonts w:ascii="Arial" w:eastAsia="Arial" w:hAnsi="Arial" w:cs="Arial"/>
                <w:sz w:val="14"/>
                <w:szCs w:val="14"/>
              </w:rPr>
              <w:t>—</w:t>
            </w:r>
          </w:p>
        </w:tc>
        <w:tc>
          <w:tcPr>
            <w:tcW w:w="40" w:type="dxa"/>
            <w:vAlign w:val="bottom"/>
          </w:tcPr>
          <w:p w14:paraId="3E09847A" w14:textId="77777777" w:rsidR="00D1587D" w:rsidRDefault="00D1587D"/>
        </w:tc>
        <w:tc>
          <w:tcPr>
            <w:tcW w:w="800" w:type="dxa"/>
            <w:gridSpan w:val="2"/>
            <w:vAlign w:val="bottom"/>
          </w:tcPr>
          <w:p w14:paraId="0E2C08FA"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4A610B54" w14:textId="77777777" w:rsidR="00D1587D" w:rsidRDefault="00410D07">
            <w:pPr>
              <w:ind w:right="80"/>
              <w:jc w:val="right"/>
              <w:rPr>
                <w:sz w:val="20"/>
                <w:szCs w:val="20"/>
              </w:rPr>
            </w:pPr>
            <w:r>
              <w:rPr>
                <w:rFonts w:ascii="Arial" w:eastAsia="Arial" w:hAnsi="Arial" w:cs="Arial"/>
                <w:sz w:val="14"/>
                <w:szCs w:val="14"/>
              </w:rPr>
              <w:t>91.17</w:t>
            </w:r>
          </w:p>
        </w:tc>
        <w:tc>
          <w:tcPr>
            <w:tcW w:w="760" w:type="dxa"/>
            <w:gridSpan w:val="2"/>
            <w:vAlign w:val="bottom"/>
          </w:tcPr>
          <w:p w14:paraId="07FC6B50" w14:textId="77777777" w:rsidR="00D1587D" w:rsidRDefault="00410D07">
            <w:pPr>
              <w:ind w:right="100"/>
              <w:jc w:val="right"/>
              <w:rPr>
                <w:sz w:val="20"/>
                <w:szCs w:val="20"/>
              </w:rPr>
            </w:pPr>
            <w:r>
              <w:rPr>
                <w:rFonts w:ascii="Arial" w:eastAsia="Arial" w:hAnsi="Arial" w:cs="Arial"/>
                <w:sz w:val="14"/>
                <w:szCs w:val="14"/>
              </w:rPr>
              <w:t>4/02/2025</w:t>
            </w:r>
          </w:p>
        </w:tc>
        <w:tc>
          <w:tcPr>
            <w:tcW w:w="660" w:type="dxa"/>
            <w:vAlign w:val="bottom"/>
          </w:tcPr>
          <w:p w14:paraId="79AD8EB6" w14:textId="77777777" w:rsidR="00D1587D" w:rsidRDefault="00D1587D"/>
        </w:tc>
        <w:tc>
          <w:tcPr>
            <w:tcW w:w="80" w:type="dxa"/>
            <w:vAlign w:val="bottom"/>
          </w:tcPr>
          <w:p w14:paraId="1248D43B" w14:textId="77777777" w:rsidR="00D1587D" w:rsidRDefault="00D1587D"/>
        </w:tc>
        <w:tc>
          <w:tcPr>
            <w:tcW w:w="660" w:type="dxa"/>
            <w:vAlign w:val="bottom"/>
          </w:tcPr>
          <w:p w14:paraId="0F029582" w14:textId="77777777" w:rsidR="00D1587D" w:rsidRDefault="00D1587D"/>
        </w:tc>
        <w:tc>
          <w:tcPr>
            <w:tcW w:w="80" w:type="dxa"/>
            <w:vAlign w:val="bottom"/>
          </w:tcPr>
          <w:p w14:paraId="712E46EF" w14:textId="77777777" w:rsidR="00D1587D" w:rsidRDefault="00D1587D"/>
        </w:tc>
        <w:tc>
          <w:tcPr>
            <w:tcW w:w="600" w:type="dxa"/>
            <w:vAlign w:val="bottom"/>
          </w:tcPr>
          <w:p w14:paraId="17642D32" w14:textId="77777777" w:rsidR="00D1587D" w:rsidRDefault="00D1587D"/>
        </w:tc>
        <w:tc>
          <w:tcPr>
            <w:tcW w:w="80" w:type="dxa"/>
            <w:vAlign w:val="bottom"/>
          </w:tcPr>
          <w:p w14:paraId="7926A011" w14:textId="77777777" w:rsidR="00D1587D" w:rsidRDefault="00D1587D"/>
        </w:tc>
        <w:tc>
          <w:tcPr>
            <w:tcW w:w="620" w:type="dxa"/>
            <w:vAlign w:val="bottom"/>
          </w:tcPr>
          <w:p w14:paraId="59D7A243" w14:textId="77777777" w:rsidR="00D1587D" w:rsidRDefault="00D1587D"/>
        </w:tc>
        <w:tc>
          <w:tcPr>
            <w:tcW w:w="80" w:type="dxa"/>
            <w:vAlign w:val="bottom"/>
          </w:tcPr>
          <w:p w14:paraId="4078C85F" w14:textId="77777777" w:rsidR="00D1587D" w:rsidRDefault="00D1587D"/>
        </w:tc>
        <w:tc>
          <w:tcPr>
            <w:tcW w:w="600" w:type="dxa"/>
            <w:vAlign w:val="bottom"/>
          </w:tcPr>
          <w:p w14:paraId="74ABAACB" w14:textId="77777777" w:rsidR="00D1587D" w:rsidRDefault="00D1587D"/>
        </w:tc>
        <w:tc>
          <w:tcPr>
            <w:tcW w:w="0" w:type="dxa"/>
            <w:vAlign w:val="bottom"/>
          </w:tcPr>
          <w:p w14:paraId="78C4161E" w14:textId="77777777" w:rsidR="00D1587D" w:rsidRDefault="00D1587D">
            <w:pPr>
              <w:rPr>
                <w:sz w:val="1"/>
                <w:szCs w:val="1"/>
              </w:rPr>
            </w:pPr>
          </w:p>
        </w:tc>
      </w:tr>
      <w:tr w:rsidR="00D1587D" w14:paraId="4E16A233" w14:textId="77777777">
        <w:trPr>
          <w:trHeight w:val="327"/>
        </w:trPr>
        <w:tc>
          <w:tcPr>
            <w:tcW w:w="880" w:type="dxa"/>
            <w:vAlign w:val="bottom"/>
          </w:tcPr>
          <w:p w14:paraId="09A15E63" w14:textId="77777777" w:rsidR="00D1587D" w:rsidRDefault="00D1587D">
            <w:pPr>
              <w:rPr>
                <w:sz w:val="24"/>
                <w:szCs w:val="24"/>
              </w:rPr>
            </w:pPr>
          </w:p>
        </w:tc>
        <w:tc>
          <w:tcPr>
            <w:tcW w:w="40" w:type="dxa"/>
            <w:vAlign w:val="bottom"/>
          </w:tcPr>
          <w:p w14:paraId="0EAEA2A2" w14:textId="77777777" w:rsidR="00D1587D" w:rsidRDefault="00D1587D">
            <w:pPr>
              <w:rPr>
                <w:sz w:val="24"/>
                <w:szCs w:val="24"/>
              </w:rPr>
            </w:pPr>
          </w:p>
        </w:tc>
        <w:tc>
          <w:tcPr>
            <w:tcW w:w="660" w:type="dxa"/>
            <w:gridSpan w:val="3"/>
            <w:vAlign w:val="bottom"/>
          </w:tcPr>
          <w:p w14:paraId="5CA1C9D6" w14:textId="77777777" w:rsidR="00D1587D" w:rsidRDefault="00410D07">
            <w:pPr>
              <w:ind w:left="40"/>
              <w:rPr>
                <w:sz w:val="20"/>
                <w:szCs w:val="20"/>
              </w:rPr>
            </w:pPr>
            <w:r>
              <w:rPr>
                <w:rFonts w:ascii="Arial" w:eastAsia="Arial" w:hAnsi="Arial" w:cs="Arial"/>
                <w:w w:val="96"/>
                <w:sz w:val="14"/>
                <w:szCs w:val="14"/>
              </w:rPr>
              <w:t>3/31/2016</w:t>
            </w:r>
          </w:p>
        </w:tc>
        <w:tc>
          <w:tcPr>
            <w:tcW w:w="840" w:type="dxa"/>
            <w:gridSpan w:val="3"/>
            <w:vAlign w:val="bottom"/>
          </w:tcPr>
          <w:p w14:paraId="45C8FE4B" w14:textId="77777777" w:rsidR="00D1587D" w:rsidRDefault="00410D07">
            <w:pPr>
              <w:ind w:right="40"/>
              <w:jc w:val="right"/>
              <w:rPr>
                <w:sz w:val="20"/>
                <w:szCs w:val="20"/>
              </w:rPr>
            </w:pPr>
            <w:r>
              <w:rPr>
                <w:rFonts w:ascii="Arial" w:eastAsia="Arial" w:hAnsi="Arial" w:cs="Arial"/>
                <w:sz w:val="14"/>
                <w:szCs w:val="14"/>
              </w:rPr>
              <w:t>4,095</w:t>
            </w:r>
          </w:p>
        </w:tc>
        <w:tc>
          <w:tcPr>
            <w:tcW w:w="940" w:type="dxa"/>
            <w:gridSpan w:val="3"/>
            <w:vAlign w:val="bottom"/>
          </w:tcPr>
          <w:p w14:paraId="4AD05E22" w14:textId="77777777" w:rsidR="00D1587D" w:rsidRDefault="00410D07">
            <w:pPr>
              <w:ind w:right="40"/>
              <w:jc w:val="right"/>
              <w:rPr>
                <w:sz w:val="20"/>
                <w:szCs w:val="20"/>
              </w:rPr>
            </w:pPr>
            <w:r>
              <w:rPr>
                <w:rFonts w:ascii="Arial" w:eastAsia="Arial" w:hAnsi="Arial" w:cs="Arial"/>
                <w:sz w:val="14"/>
                <w:szCs w:val="14"/>
              </w:rPr>
              <w:t>1,756</w:t>
            </w:r>
            <w:r>
              <w:rPr>
                <w:rFonts w:ascii="Arial" w:eastAsia="Arial" w:hAnsi="Arial" w:cs="Arial"/>
                <w:sz w:val="23"/>
                <w:szCs w:val="23"/>
                <w:vertAlign w:val="superscript"/>
              </w:rPr>
              <w:t>(1)</w:t>
            </w:r>
          </w:p>
        </w:tc>
        <w:tc>
          <w:tcPr>
            <w:tcW w:w="40" w:type="dxa"/>
            <w:vAlign w:val="bottom"/>
          </w:tcPr>
          <w:p w14:paraId="36B824DB" w14:textId="77777777" w:rsidR="00D1587D" w:rsidRDefault="00D1587D">
            <w:pPr>
              <w:rPr>
                <w:sz w:val="24"/>
                <w:szCs w:val="24"/>
              </w:rPr>
            </w:pPr>
          </w:p>
        </w:tc>
        <w:tc>
          <w:tcPr>
            <w:tcW w:w="800" w:type="dxa"/>
            <w:gridSpan w:val="2"/>
            <w:vAlign w:val="bottom"/>
          </w:tcPr>
          <w:p w14:paraId="516AAB9E"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04469FDF" w14:textId="77777777" w:rsidR="00D1587D" w:rsidRDefault="00410D07">
            <w:pPr>
              <w:ind w:right="80"/>
              <w:jc w:val="right"/>
              <w:rPr>
                <w:sz w:val="20"/>
                <w:szCs w:val="20"/>
              </w:rPr>
            </w:pPr>
            <w:r>
              <w:rPr>
                <w:rFonts w:ascii="Arial" w:eastAsia="Arial" w:hAnsi="Arial" w:cs="Arial"/>
                <w:sz w:val="14"/>
                <w:szCs w:val="14"/>
              </w:rPr>
              <w:t>87.81</w:t>
            </w:r>
          </w:p>
        </w:tc>
        <w:tc>
          <w:tcPr>
            <w:tcW w:w="760" w:type="dxa"/>
            <w:gridSpan w:val="2"/>
            <w:vAlign w:val="bottom"/>
          </w:tcPr>
          <w:p w14:paraId="246FEED4" w14:textId="77777777" w:rsidR="00D1587D" w:rsidRDefault="00410D07">
            <w:pPr>
              <w:ind w:right="100"/>
              <w:jc w:val="right"/>
              <w:rPr>
                <w:sz w:val="20"/>
                <w:szCs w:val="20"/>
              </w:rPr>
            </w:pPr>
            <w:r>
              <w:rPr>
                <w:rFonts w:ascii="Arial" w:eastAsia="Arial" w:hAnsi="Arial" w:cs="Arial"/>
                <w:sz w:val="14"/>
                <w:szCs w:val="14"/>
              </w:rPr>
              <w:t>3/31/2026</w:t>
            </w:r>
          </w:p>
        </w:tc>
        <w:tc>
          <w:tcPr>
            <w:tcW w:w="660" w:type="dxa"/>
            <w:vAlign w:val="bottom"/>
          </w:tcPr>
          <w:p w14:paraId="7529F30F" w14:textId="77777777" w:rsidR="00D1587D" w:rsidRDefault="00D1587D">
            <w:pPr>
              <w:rPr>
                <w:sz w:val="24"/>
                <w:szCs w:val="24"/>
              </w:rPr>
            </w:pPr>
          </w:p>
        </w:tc>
        <w:tc>
          <w:tcPr>
            <w:tcW w:w="80" w:type="dxa"/>
            <w:vAlign w:val="bottom"/>
          </w:tcPr>
          <w:p w14:paraId="655E818E" w14:textId="77777777" w:rsidR="00D1587D" w:rsidRDefault="00D1587D">
            <w:pPr>
              <w:rPr>
                <w:sz w:val="24"/>
                <w:szCs w:val="24"/>
              </w:rPr>
            </w:pPr>
          </w:p>
        </w:tc>
        <w:tc>
          <w:tcPr>
            <w:tcW w:w="660" w:type="dxa"/>
            <w:vAlign w:val="bottom"/>
          </w:tcPr>
          <w:p w14:paraId="759D0F35" w14:textId="77777777" w:rsidR="00D1587D" w:rsidRDefault="00D1587D">
            <w:pPr>
              <w:rPr>
                <w:sz w:val="24"/>
                <w:szCs w:val="24"/>
              </w:rPr>
            </w:pPr>
          </w:p>
        </w:tc>
        <w:tc>
          <w:tcPr>
            <w:tcW w:w="80" w:type="dxa"/>
            <w:vAlign w:val="bottom"/>
          </w:tcPr>
          <w:p w14:paraId="255D504D" w14:textId="77777777" w:rsidR="00D1587D" w:rsidRDefault="00D1587D">
            <w:pPr>
              <w:rPr>
                <w:sz w:val="24"/>
                <w:szCs w:val="24"/>
              </w:rPr>
            </w:pPr>
          </w:p>
        </w:tc>
        <w:tc>
          <w:tcPr>
            <w:tcW w:w="600" w:type="dxa"/>
            <w:vAlign w:val="bottom"/>
          </w:tcPr>
          <w:p w14:paraId="07DE711E" w14:textId="77777777" w:rsidR="00D1587D" w:rsidRDefault="00D1587D">
            <w:pPr>
              <w:rPr>
                <w:sz w:val="24"/>
                <w:szCs w:val="24"/>
              </w:rPr>
            </w:pPr>
          </w:p>
        </w:tc>
        <w:tc>
          <w:tcPr>
            <w:tcW w:w="80" w:type="dxa"/>
            <w:vAlign w:val="bottom"/>
          </w:tcPr>
          <w:p w14:paraId="7BA648E3" w14:textId="77777777" w:rsidR="00D1587D" w:rsidRDefault="00D1587D">
            <w:pPr>
              <w:rPr>
                <w:sz w:val="24"/>
                <w:szCs w:val="24"/>
              </w:rPr>
            </w:pPr>
          </w:p>
        </w:tc>
        <w:tc>
          <w:tcPr>
            <w:tcW w:w="620" w:type="dxa"/>
            <w:vAlign w:val="bottom"/>
          </w:tcPr>
          <w:p w14:paraId="35472720" w14:textId="77777777" w:rsidR="00D1587D" w:rsidRDefault="00D1587D">
            <w:pPr>
              <w:rPr>
                <w:sz w:val="24"/>
                <w:szCs w:val="24"/>
              </w:rPr>
            </w:pPr>
          </w:p>
        </w:tc>
        <w:tc>
          <w:tcPr>
            <w:tcW w:w="80" w:type="dxa"/>
            <w:vAlign w:val="bottom"/>
          </w:tcPr>
          <w:p w14:paraId="05B4B771" w14:textId="77777777" w:rsidR="00D1587D" w:rsidRDefault="00D1587D">
            <w:pPr>
              <w:rPr>
                <w:sz w:val="24"/>
                <w:szCs w:val="24"/>
              </w:rPr>
            </w:pPr>
          </w:p>
        </w:tc>
        <w:tc>
          <w:tcPr>
            <w:tcW w:w="600" w:type="dxa"/>
            <w:vAlign w:val="bottom"/>
          </w:tcPr>
          <w:p w14:paraId="00EE221A" w14:textId="77777777" w:rsidR="00D1587D" w:rsidRDefault="00D1587D">
            <w:pPr>
              <w:rPr>
                <w:sz w:val="24"/>
                <w:szCs w:val="24"/>
              </w:rPr>
            </w:pPr>
          </w:p>
        </w:tc>
        <w:tc>
          <w:tcPr>
            <w:tcW w:w="0" w:type="dxa"/>
            <w:vAlign w:val="bottom"/>
          </w:tcPr>
          <w:p w14:paraId="4A9EEDD3" w14:textId="77777777" w:rsidR="00D1587D" w:rsidRDefault="00D1587D">
            <w:pPr>
              <w:rPr>
                <w:sz w:val="1"/>
                <w:szCs w:val="1"/>
              </w:rPr>
            </w:pPr>
          </w:p>
        </w:tc>
      </w:tr>
      <w:tr w:rsidR="00D1587D" w14:paraId="1075749F" w14:textId="77777777">
        <w:trPr>
          <w:trHeight w:val="256"/>
        </w:trPr>
        <w:tc>
          <w:tcPr>
            <w:tcW w:w="880" w:type="dxa"/>
            <w:vAlign w:val="bottom"/>
          </w:tcPr>
          <w:p w14:paraId="55596F12" w14:textId="77777777" w:rsidR="00D1587D" w:rsidRDefault="00D1587D"/>
        </w:tc>
        <w:tc>
          <w:tcPr>
            <w:tcW w:w="40" w:type="dxa"/>
            <w:vAlign w:val="bottom"/>
          </w:tcPr>
          <w:p w14:paraId="6306D8A2" w14:textId="77777777" w:rsidR="00D1587D" w:rsidRDefault="00D1587D"/>
        </w:tc>
        <w:tc>
          <w:tcPr>
            <w:tcW w:w="660" w:type="dxa"/>
            <w:gridSpan w:val="3"/>
            <w:vAlign w:val="bottom"/>
          </w:tcPr>
          <w:p w14:paraId="18B1A98D" w14:textId="77777777" w:rsidR="00D1587D" w:rsidRDefault="00410D07">
            <w:pPr>
              <w:ind w:left="40"/>
              <w:rPr>
                <w:sz w:val="20"/>
                <w:szCs w:val="20"/>
              </w:rPr>
            </w:pPr>
            <w:r>
              <w:rPr>
                <w:rFonts w:ascii="Arial" w:eastAsia="Arial" w:hAnsi="Arial" w:cs="Arial"/>
                <w:w w:val="96"/>
                <w:sz w:val="14"/>
                <w:szCs w:val="14"/>
              </w:rPr>
              <w:t>3/31/2017</w:t>
            </w:r>
          </w:p>
        </w:tc>
        <w:tc>
          <w:tcPr>
            <w:tcW w:w="840" w:type="dxa"/>
            <w:gridSpan w:val="3"/>
            <w:vAlign w:val="bottom"/>
          </w:tcPr>
          <w:p w14:paraId="72C252DF" w14:textId="77777777" w:rsidR="00D1587D" w:rsidRDefault="00410D07">
            <w:pPr>
              <w:ind w:right="40"/>
              <w:jc w:val="right"/>
              <w:rPr>
                <w:sz w:val="20"/>
                <w:szCs w:val="20"/>
              </w:rPr>
            </w:pPr>
            <w:r>
              <w:rPr>
                <w:rFonts w:ascii="Arial" w:eastAsia="Arial" w:hAnsi="Arial" w:cs="Arial"/>
                <w:sz w:val="14"/>
                <w:szCs w:val="14"/>
              </w:rPr>
              <w:t>2,245</w:t>
            </w:r>
          </w:p>
        </w:tc>
        <w:tc>
          <w:tcPr>
            <w:tcW w:w="940" w:type="dxa"/>
            <w:gridSpan w:val="3"/>
            <w:vAlign w:val="bottom"/>
          </w:tcPr>
          <w:p w14:paraId="23F22E3F" w14:textId="77777777" w:rsidR="00D1587D" w:rsidRDefault="00410D07">
            <w:pPr>
              <w:spacing w:line="256" w:lineRule="exact"/>
              <w:ind w:right="40"/>
              <w:jc w:val="right"/>
              <w:rPr>
                <w:sz w:val="20"/>
                <w:szCs w:val="20"/>
              </w:rPr>
            </w:pPr>
            <w:r>
              <w:rPr>
                <w:rFonts w:ascii="Arial" w:eastAsia="Arial" w:hAnsi="Arial" w:cs="Arial"/>
                <w:sz w:val="14"/>
                <w:szCs w:val="14"/>
              </w:rPr>
              <w:t>3,368</w:t>
            </w:r>
            <w:r>
              <w:rPr>
                <w:rFonts w:ascii="Arial" w:eastAsia="Arial" w:hAnsi="Arial" w:cs="Arial"/>
                <w:sz w:val="23"/>
                <w:szCs w:val="23"/>
                <w:vertAlign w:val="superscript"/>
              </w:rPr>
              <w:t>(2)</w:t>
            </w:r>
          </w:p>
        </w:tc>
        <w:tc>
          <w:tcPr>
            <w:tcW w:w="40" w:type="dxa"/>
            <w:vAlign w:val="bottom"/>
          </w:tcPr>
          <w:p w14:paraId="1CE4FCD5" w14:textId="77777777" w:rsidR="00D1587D" w:rsidRDefault="00D1587D"/>
        </w:tc>
        <w:tc>
          <w:tcPr>
            <w:tcW w:w="800" w:type="dxa"/>
            <w:gridSpan w:val="2"/>
            <w:vAlign w:val="bottom"/>
          </w:tcPr>
          <w:p w14:paraId="17C437F8"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5DA3EE99" w14:textId="77777777" w:rsidR="00D1587D" w:rsidRDefault="00410D07">
            <w:pPr>
              <w:ind w:right="80"/>
              <w:jc w:val="right"/>
              <w:rPr>
                <w:sz w:val="20"/>
                <w:szCs w:val="20"/>
              </w:rPr>
            </w:pPr>
            <w:r>
              <w:rPr>
                <w:rFonts w:ascii="Arial" w:eastAsia="Arial" w:hAnsi="Arial" w:cs="Arial"/>
                <w:sz w:val="14"/>
                <w:szCs w:val="14"/>
              </w:rPr>
              <w:t>47.10</w:t>
            </w:r>
          </w:p>
        </w:tc>
        <w:tc>
          <w:tcPr>
            <w:tcW w:w="760" w:type="dxa"/>
            <w:gridSpan w:val="2"/>
            <w:vAlign w:val="bottom"/>
          </w:tcPr>
          <w:p w14:paraId="750544B0" w14:textId="77777777" w:rsidR="00D1587D" w:rsidRDefault="00410D07">
            <w:pPr>
              <w:ind w:right="100"/>
              <w:jc w:val="right"/>
              <w:rPr>
                <w:sz w:val="20"/>
                <w:szCs w:val="20"/>
              </w:rPr>
            </w:pPr>
            <w:r>
              <w:rPr>
                <w:rFonts w:ascii="Arial" w:eastAsia="Arial" w:hAnsi="Arial" w:cs="Arial"/>
                <w:sz w:val="14"/>
                <w:szCs w:val="14"/>
              </w:rPr>
              <w:t>3/31/2027</w:t>
            </w:r>
          </w:p>
        </w:tc>
        <w:tc>
          <w:tcPr>
            <w:tcW w:w="660" w:type="dxa"/>
            <w:vAlign w:val="bottom"/>
          </w:tcPr>
          <w:p w14:paraId="6628FD5C" w14:textId="77777777" w:rsidR="00D1587D" w:rsidRDefault="00D1587D"/>
        </w:tc>
        <w:tc>
          <w:tcPr>
            <w:tcW w:w="80" w:type="dxa"/>
            <w:vAlign w:val="bottom"/>
          </w:tcPr>
          <w:p w14:paraId="4D8CA224" w14:textId="77777777" w:rsidR="00D1587D" w:rsidRDefault="00D1587D"/>
        </w:tc>
        <w:tc>
          <w:tcPr>
            <w:tcW w:w="660" w:type="dxa"/>
            <w:vAlign w:val="bottom"/>
          </w:tcPr>
          <w:p w14:paraId="27351240" w14:textId="77777777" w:rsidR="00D1587D" w:rsidRDefault="00D1587D"/>
        </w:tc>
        <w:tc>
          <w:tcPr>
            <w:tcW w:w="80" w:type="dxa"/>
            <w:vAlign w:val="bottom"/>
          </w:tcPr>
          <w:p w14:paraId="3A09EC8E" w14:textId="77777777" w:rsidR="00D1587D" w:rsidRDefault="00D1587D"/>
        </w:tc>
        <w:tc>
          <w:tcPr>
            <w:tcW w:w="600" w:type="dxa"/>
            <w:vAlign w:val="bottom"/>
          </w:tcPr>
          <w:p w14:paraId="29C4CC1E" w14:textId="77777777" w:rsidR="00D1587D" w:rsidRDefault="00D1587D"/>
        </w:tc>
        <w:tc>
          <w:tcPr>
            <w:tcW w:w="80" w:type="dxa"/>
            <w:vAlign w:val="bottom"/>
          </w:tcPr>
          <w:p w14:paraId="7DD76E24" w14:textId="77777777" w:rsidR="00D1587D" w:rsidRDefault="00D1587D"/>
        </w:tc>
        <w:tc>
          <w:tcPr>
            <w:tcW w:w="620" w:type="dxa"/>
            <w:vAlign w:val="bottom"/>
          </w:tcPr>
          <w:p w14:paraId="4CA953B6" w14:textId="77777777" w:rsidR="00D1587D" w:rsidRDefault="00D1587D"/>
        </w:tc>
        <w:tc>
          <w:tcPr>
            <w:tcW w:w="80" w:type="dxa"/>
            <w:vAlign w:val="bottom"/>
          </w:tcPr>
          <w:p w14:paraId="16FD580B" w14:textId="77777777" w:rsidR="00D1587D" w:rsidRDefault="00D1587D"/>
        </w:tc>
        <w:tc>
          <w:tcPr>
            <w:tcW w:w="600" w:type="dxa"/>
            <w:vAlign w:val="bottom"/>
          </w:tcPr>
          <w:p w14:paraId="10275931" w14:textId="77777777" w:rsidR="00D1587D" w:rsidRDefault="00D1587D"/>
        </w:tc>
        <w:tc>
          <w:tcPr>
            <w:tcW w:w="0" w:type="dxa"/>
            <w:vAlign w:val="bottom"/>
          </w:tcPr>
          <w:p w14:paraId="5095734F" w14:textId="77777777" w:rsidR="00D1587D" w:rsidRDefault="00D1587D">
            <w:pPr>
              <w:rPr>
                <w:sz w:val="1"/>
                <w:szCs w:val="1"/>
              </w:rPr>
            </w:pPr>
          </w:p>
        </w:tc>
      </w:tr>
      <w:tr w:rsidR="00D1587D" w14:paraId="4BF5D9D7" w14:textId="77777777">
        <w:trPr>
          <w:trHeight w:val="257"/>
        </w:trPr>
        <w:tc>
          <w:tcPr>
            <w:tcW w:w="880" w:type="dxa"/>
            <w:vAlign w:val="bottom"/>
          </w:tcPr>
          <w:p w14:paraId="05079FDA" w14:textId="77777777" w:rsidR="00D1587D" w:rsidRDefault="00D1587D"/>
        </w:tc>
        <w:tc>
          <w:tcPr>
            <w:tcW w:w="40" w:type="dxa"/>
            <w:vAlign w:val="bottom"/>
          </w:tcPr>
          <w:p w14:paraId="108C287E" w14:textId="77777777" w:rsidR="00D1587D" w:rsidRDefault="00D1587D"/>
        </w:tc>
        <w:tc>
          <w:tcPr>
            <w:tcW w:w="660" w:type="dxa"/>
            <w:gridSpan w:val="3"/>
            <w:vAlign w:val="bottom"/>
          </w:tcPr>
          <w:p w14:paraId="6BFA2963" w14:textId="77777777" w:rsidR="00D1587D" w:rsidRDefault="00410D07">
            <w:pPr>
              <w:ind w:left="40"/>
              <w:rPr>
                <w:sz w:val="20"/>
                <w:szCs w:val="20"/>
              </w:rPr>
            </w:pPr>
            <w:r>
              <w:rPr>
                <w:rFonts w:ascii="Arial" w:eastAsia="Arial" w:hAnsi="Arial" w:cs="Arial"/>
                <w:w w:val="96"/>
                <w:sz w:val="14"/>
                <w:szCs w:val="14"/>
              </w:rPr>
              <w:t>3/21/2018</w:t>
            </w:r>
          </w:p>
        </w:tc>
        <w:tc>
          <w:tcPr>
            <w:tcW w:w="840" w:type="dxa"/>
            <w:gridSpan w:val="3"/>
            <w:vAlign w:val="bottom"/>
          </w:tcPr>
          <w:p w14:paraId="77129CF8" w14:textId="77777777" w:rsidR="00D1587D" w:rsidRDefault="00410D07">
            <w:pPr>
              <w:ind w:right="40"/>
              <w:jc w:val="right"/>
              <w:rPr>
                <w:sz w:val="20"/>
                <w:szCs w:val="20"/>
              </w:rPr>
            </w:pPr>
            <w:r>
              <w:rPr>
                <w:rFonts w:ascii="Arial" w:eastAsia="Arial" w:hAnsi="Arial" w:cs="Arial"/>
                <w:sz w:val="14"/>
                <w:szCs w:val="14"/>
              </w:rPr>
              <w:t>3,805</w:t>
            </w:r>
          </w:p>
        </w:tc>
        <w:tc>
          <w:tcPr>
            <w:tcW w:w="940" w:type="dxa"/>
            <w:gridSpan w:val="3"/>
            <w:vAlign w:val="bottom"/>
          </w:tcPr>
          <w:p w14:paraId="201CC66A" w14:textId="77777777" w:rsidR="00D1587D" w:rsidRDefault="00410D07">
            <w:pPr>
              <w:spacing w:line="256" w:lineRule="exact"/>
              <w:ind w:right="40"/>
              <w:jc w:val="right"/>
              <w:rPr>
                <w:sz w:val="20"/>
                <w:szCs w:val="20"/>
              </w:rPr>
            </w:pPr>
            <w:r>
              <w:rPr>
                <w:rFonts w:ascii="Arial" w:eastAsia="Arial" w:hAnsi="Arial" w:cs="Arial"/>
                <w:sz w:val="14"/>
                <w:szCs w:val="14"/>
              </w:rPr>
              <w:t>1,903</w:t>
            </w:r>
            <w:r>
              <w:rPr>
                <w:rFonts w:ascii="Arial" w:eastAsia="Arial" w:hAnsi="Arial" w:cs="Arial"/>
                <w:sz w:val="23"/>
                <w:szCs w:val="23"/>
                <w:vertAlign w:val="superscript"/>
              </w:rPr>
              <w:t>(5)</w:t>
            </w:r>
          </w:p>
        </w:tc>
        <w:tc>
          <w:tcPr>
            <w:tcW w:w="40" w:type="dxa"/>
            <w:vAlign w:val="bottom"/>
          </w:tcPr>
          <w:p w14:paraId="0AF48EC7" w14:textId="77777777" w:rsidR="00D1587D" w:rsidRDefault="00D1587D"/>
        </w:tc>
        <w:tc>
          <w:tcPr>
            <w:tcW w:w="800" w:type="dxa"/>
            <w:gridSpan w:val="2"/>
            <w:vAlign w:val="bottom"/>
          </w:tcPr>
          <w:p w14:paraId="63161998"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61E0C9FD" w14:textId="77777777" w:rsidR="00D1587D" w:rsidRDefault="00410D07">
            <w:pPr>
              <w:ind w:right="80"/>
              <w:jc w:val="right"/>
              <w:rPr>
                <w:sz w:val="20"/>
                <w:szCs w:val="20"/>
              </w:rPr>
            </w:pPr>
            <w:r>
              <w:rPr>
                <w:rFonts w:ascii="Arial" w:eastAsia="Arial" w:hAnsi="Arial" w:cs="Arial"/>
                <w:sz w:val="14"/>
                <w:szCs w:val="14"/>
              </w:rPr>
              <w:t>39.42</w:t>
            </w:r>
          </w:p>
        </w:tc>
        <w:tc>
          <w:tcPr>
            <w:tcW w:w="760" w:type="dxa"/>
            <w:gridSpan w:val="2"/>
            <w:vAlign w:val="bottom"/>
          </w:tcPr>
          <w:p w14:paraId="07B1CCB9" w14:textId="77777777" w:rsidR="00D1587D" w:rsidRDefault="00410D07">
            <w:pPr>
              <w:ind w:right="100"/>
              <w:jc w:val="right"/>
              <w:rPr>
                <w:sz w:val="20"/>
                <w:szCs w:val="20"/>
              </w:rPr>
            </w:pPr>
            <w:r>
              <w:rPr>
                <w:rFonts w:ascii="Arial" w:eastAsia="Arial" w:hAnsi="Arial" w:cs="Arial"/>
                <w:sz w:val="14"/>
                <w:szCs w:val="14"/>
              </w:rPr>
              <w:t>3/21/2028</w:t>
            </w:r>
          </w:p>
        </w:tc>
        <w:tc>
          <w:tcPr>
            <w:tcW w:w="660" w:type="dxa"/>
            <w:vAlign w:val="bottom"/>
          </w:tcPr>
          <w:p w14:paraId="4B079891" w14:textId="77777777" w:rsidR="00D1587D" w:rsidRDefault="00D1587D"/>
        </w:tc>
        <w:tc>
          <w:tcPr>
            <w:tcW w:w="80" w:type="dxa"/>
            <w:vAlign w:val="bottom"/>
          </w:tcPr>
          <w:p w14:paraId="7D74D7D3" w14:textId="77777777" w:rsidR="00D1587D" w:rsidRDefault="00D1587D"/>
        </w:tc>
        <w:tc>
          <w:tcPr>
            <w:tcW w:w="660" w:type="dxa"/>
            <w:vAlign w:val="bottom"/>
          </w:tcPr>
          <w:p w14:paraId="0688C21A" w14:textId="77777777" w:rsidR="00D1587D" w:rsidRDefault="00D1587D"/>
        </w:tc>
        <w:tc>
          <w:tcPr>
            <w:tcW w:w="80" w:type="dxa"/>
            <w:vAlign w:val="bottom"/>
          </w:tcPr>
          <w:p w14:paraId="478B0A14" w14:textId="77777777" w:rsidR="00D1587D" w:rsidRDefault="00D1587D"/>
        </w:tc>
        <w:tc>
          <w:tcPr>
            <w:tcW w:w="600" w:type="dxa"/>
            <w:vAlign w:val="bottom"/>
          </w:tcPr>
          <w:p w14:paraId="3C0E88AB" w14:textId="77777777" w:rsidR="00D1587D" w:rsidRDefault="00D1587D"/>
        </w:tc>
        <w:tc>
          <w:tcPr>
            <w:tcW w:w="80" w:type="dxa"/>
            <w:vAlign w:val="bottom"/>
          </w:tcPr>
          <w:p w14:paraId="149DD513" w14:textId="77777777" w:rsidR="00D1587D" w:rsidRDefault="00D1587D"/>
        </w:tc>
        <w:tc>
          <w:tcPr>
            <w:tcW w:w="620" w:type="dxa"/>
            <w:vAlign w:val="bottom"/>
          </w:tcPr>
          <w:p w14:paraId="06040249" w14:textId="77777777" w:rsidR="00D1587D" w:rsidRDefault="00D1587D"/>
        </w:tc>
        <w:tc>
          <w:tcPr>
            <w:tcW w:w="80" w:type="dxa"/>
            <w:vAlign w:val="bottom"/>
          </w:tcPr>
          <w:p w14:paraId="62D86FD4" w14:textId="77777777" w:rsidR="00D1587D" w:rsidRDefault="00D1587D"/>
        </w:tc>
        <w:tc>
          <w:tcPr>
            <w:tcW w:w="600" w:type="dxa"/>
            <w:vAlign w:val="bottom"/>
          </w:tcPr>
          <w:p w14:paraId="2446F288" w14:textId="77777777" w:rsidR="00D1587D" w:rsidRDefault="00D1587D"/>
        </w:tc>
        <w:tc>
          <w:tcPr>
            <w:tcW w:w="0" w:type="dxa"/>
            <w:vAlign w:val="bottom"/>
          </w:tcPr>
          <w:p w14:paraId="50D30F11" w14:textId="77777777" w:rsidR="00D1587D" w:rsidRDefault="00D1587D">
            <w:pPr>
              <w:rPr>
                <w:sz w:val="1"/>
                <w:szCs w:val="1"/>
              </w:rPr>
            </w:pPr>
          </w:p>
        </w:tc>
      </w:tr>
      <w:tr w:rsidR="00D1587D" w14:paraId="4FF10D77" w14:textId="77777777">
        <w:trPr>
          <w:trHeight w:val="256"/>
        </w:trPr>
        <w:tc>
          <w:tcPr>
            <w:tcW w:w="880" w:type="dxa"/>
            <w:vAlign w:val="bottom"/>
          </w:tcPr>
          <w:p w14:paraId="31B2DEB4" w14:textId="77777777" w:rsidR="00D1587D" w:rsidRDefault="00D1587D"/>
        </w:tc>
        <w:tc>
          <w:tcPr>
            <w:tcW w:w="40" w:type="dxa"/>
            <w:vAlign w:val="bottom"/>
          </w:tcPr>
          <w:p w14:paraId="361671D0" w14:textId="77777777" w:rsidR="00D1587D" w:rsidRDefault="00D1587D"/>
        </w:tc>
        <w:tc>
          <w:tcPr>
            <w:tcW w:w="660" w:type="dxa"/>
            <w:gridSpan w:val="3"/>
            <w:vAlign w:val="bottom"/>
          </w:tcPr>
          <w:p w14:paraId="16190AE9" w14:textId="77777777" w:rsidR="00D1587D" w:rsidRDefault="00410D07">
            <w:pPr>
              <w:ind w:left="40"/>
              <w:rPr>
                <w:sz w:val="20"/>
                <w:szCs w:val="20"/>
              </w:rPr>
            </w:pPr>
            <w:r>
              <w:rPr>
                <w:rFonts w:ascii="Arial" w:eastAsia="Arial" w:hAnsi="Arial" w:cs="Arial"/>
                <w:w w:val="96"/>
                <w:sz w:val="14"/>
                <w:szCs w:val="14"/>
              </w:rPr>
              <w:t>3/28/2019</w:t>
            </w:r>
          </w:p>
        </w:tc>
        <w:tc>
          <w:tcPr>
            <w:tcW w:w="840" w:type="dxa"/>
            <w:gridSpan w:val="3"/>
            <w:vAlign w:val="bottom"/>
          </w:tcPr>
          <w:p w14:paraId="59C45805" w14:textId="77777777" w:rsidR="00D1587D" w:rsidRDefault="00410D07">
            <w:pPr>
              <w:ind w:right="40"/>
              <w:jc w:val="right"/>
              <w:rPr>
                <w:sz w:val="20"/>
                <w:szCs w:val="20"/>
              </w:rPr>
            </w:pPr>
            <w:r>
              <w:rPr>
                <w:rFonts w:ascii="Arial" w:eastAsia="Arial" w:hAnsi="Arial" w:cs="Arial"/>
                <w:sz w:val="14"/>
                <w:szCs w:val="14"/>
              </w:rPr>
              <w:t>8,276</w:t>
            </w:r>
          </w:p>
        </w:tc>
        <w:tc>
          <w:tcPr>
            <w:tcW w:w="940" w:type="dxa"/>
            <w:gridSpan w:val="3"/>
            <w:vAlign w:val="bottom"/>
          </w:tcPr>
          <w:p w14:paraId="5C71ADAD" w14:textId="77777777" w:rsidR="00D1587D" w:rsidRDefault="00410D07">
            <w:pPr>
              <w:spacing w:line="256" w:lineRule="exact"/>
              <w:ind w:right="40"/>
              <w:jc w:val="right"/>
              <w:rPr>
                <w:sz w:val="20"/>
                <w:szCs w:val="20"/>
              </w:rPr>
            </w:pPr>
            <w:r>
              <w:rPr>
                <w:rFonts w:ascii="Arial" w:eastAsia="Arial" w:hAnsi="Arial" w:cs="Arial"/>
                <w:sz w:val="14"/>
                <w:szCs w:val="14"/>
              </w:rPr>
              <w:t>16,554</w:t>
            </w:r>
            <w:r>
              <w:rPr>
                <w:rFonts w:ascii="Arial" w:eastAsia="Arial" w:hAnsi="Arial" w:cs="Arial"/>
                <w:sz w:val="23"/>
                <w:szCs w:val="23"/>
                <w:vertAlign w:val="superscript"/>
              </w:rPr>
              <w:t>(4)</w:t>
            </w:r>
          </w:p>
        </w:tc>
        <w:tc>
          <w:tcPr>
            <w:tcW w:w="40" w:type="dxa"/>
            <w:vAlign w:val="bottom"/>
          </w:tcPr>
          <w:p w14:paraId="1020BB57" w14:textId="77777777" w:rsidR="00D1587D" w:rsidRDefault="00D1587D"/>
        </w:tc>
        <w:tc>
          <w:tcPr>
            <w:tcW w:w="800" w:type="dxa"/>
            <w:gridSpan w:val="2"/>
            <w:vAlign w:val="bottom"/>
          </w:tcPr>
          <w:p w14:paraId="52BFA4E3"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vAlign w:val="bottom"/>
          </w:tcPr>
          <w:p w14:paraId="1D257FB8" w14:textId="77777777" w:rsidR="00D1587D" w:rsidRDefault="00410D07">
            <w:pPr>
              <w:ind w:right="80"/>
              <w:jc w:val="right"/>
              <w:rPr>
                <w:sz w:val="20"/>
                <w:szCs w:val="20"/>
              </w:rPr>
            </w:pPr>
            <w:r>
              <w:rPr>
                <w:rFonts w:ascii="Arial" w:eastAsia="Arial" w:hAnsi="Arial" w:cs="Arial"/>
                <w:sz w:val="14"/>
                <w:szCs w:val="14"/>
              </w:rPr>
              <w:t>27.94</w:t>
            </w:r>
          </w:p>
        </w:tc>
        <w:tc>
          <w:tcPr>
            <w:tcW w:w="760" w:type="dxa"/>
            <w:gridSpan w:val="2"/>
            <w:vAlign w:val="bottom"/>
          </w:tcPr>
          <w:p w14:paraId="42A174DC" w14:textId="77777777" w:rsidR="00D1587D" w:rsidRDefault="00410D07">
            <w:pPr>
              <w:ind w:right="100"/>
              <w:jc w:val="right"/>
              <w:rPr>
                <w:sz w:val="20"/>
                <w:szCs w:val="20"/>
              </w:rPr>
            </w:pPr>
            <w:r>
              <w:rPr>
                <w:rFonts w:ascii="Arial" w:eastAsia="Arial" w:hAnsi="Arial" w:cs="Arial"/>
                <w:sz w:val="14"/>
                <w:szCs w:val="14"/>
              </w:rPr>
              <w:t>3/28/2029</w:t>
            </w:r>
          </w:p>
        </w:tc>
        <w:tc>
          <w:tcPr>
            <w:tcW w:w="660" w:type="dxa"/>
            <w:vAlign w:val="bottom"/>
          </w:tcPr>
          <w:p w14:paraId="470CEC8B" w14:textId="77777777" w:rsidR="00D1587D" w:rsidRDefault="00D1587D"/>
        </w:tc>
        <w:tc>
          <w:tcPr>
            <w:tcW w:w="80" w:type="dxa"/>
            <w:vAlign w:val="bottom"/>
          </w:tcPr>
          <w:p w14:paraId="55DB7B6B" w14:textId="77777777" w:rsidR="00D1587D" w:rsidRDefault="00D1587D"/>
        </w:tc>
        <w:tc>
          <w:tcPr>
            <w:tcW w:w="660" w:type="dxa"/>
            <w:vAlign w:val="bottom"/>
          </w:tcPr>
          <w:p w14:paraId="601A996D" w14:textId="77777777" w:rsidR="00D1587D" w:rsidRDefault="00D1587D"/>
        </w:tc>
        <w:tc>
          <w:tcPr>
            <w:tcW w:w="80" w:type="dxa"/>
            <w:vAlign w:val="bottom"/>
          </w:tcPr>
          <w:p w14:paraId="777CD777" w14:textId="77777777" w:rsidR="00D1587D" w:rsidRDefault="00D1587D"/>
        </w:tc>
        <w:tc>
          <w:tcPr>
            <w:tcW w:w="600" w:type="dxa"/>
            <w:vAlign w:val="bottom"/>
          </w:tcPr>
          <w:p w14:paraId="0B62ED84" w14:textId="77777777" w:rsidR="00D1587D" w:rsidRDefault="00D1587D"/>
        </w:tc>
        <w:tc>
          <w:tcPr>
            <w:tcW w:w="80" w:type="dxa"/>
            <w:vAlign w:val="bottom"/>
          </w:tcPr>
          <w:p w14:paraId="6D3E890A" w14:textId="77777777" w:rsidR="00D1587D" w:rsidRDefault="00D1587D"/>
        </w:tc>
        <w:tc>
          <w:tcPr>
            <w:tcW w:w="620" w:type="dxa"/>
            <w:vAlign w:val="bottom"/>
          </w:tcPr>
          <w:p w14:paraId="131C254B" w14:textId="77777777" w:rsidR="00D1587D" w:rsidRDefault="00D1587D"/>
        </w:tc>
        <w:tc>
          <w:tcPr>
            <w:tcW w:w="80" w:type="dxa"/>
            <w:vAlign w:val="bottom"/>
          </w:tcPr>
          <w:p w14:paraId="39CF6E03" w14:textId="77777777" w:rsidR="00D1587D" w:rsidRDefault="00D1587D"/>
        </w:tc>
        <w:tc>
          <w:tcPr>
            <w:tcW w:w="600" w:type="dxa"/>
            <w:vAlign w:val="bottom"/>
          </w:tcPr>
          <w:p w14:paraId="65BC32AB" w14:textId="77777777" w:rsidR="00D1587D" w:rsidRDefault="00D1587D"/>
        </w:tc>
        <w:tc>
          <w:tcPr>
            <w:tcW w:w="0" w:type="dxa"/>
            <w:vAlign w:val="bottom"/>
          </w:tcPr>
          <w:p w14:paraId="7FF0B231" w14:textId="77777777" w:rsidR="00D1587D" w:rsidRDefault="00D1587D">
            <w:pPr>
              <w:rPr>
                <w:sz w:val="1"/>
                <w:szCs w:val="1"/>
              </w:rPr>
            </w:pPr>
          </w:p>
        </w:tc>
      </w:tr>
      <w:tr w:rsidR="00D1587D" w14:paraId="76D3026B" w14:textId="77777777">
        <w:trPr>
          <w:trHeight w:val="257"/>
        </w:trPr>
        <w:tc>
          <w:tcPr>
            <w:tcW w:w="880" w:type="dxa"/>
            <w:vAlign w:val="bottom"/>
          </w:tcPr>
          <w:p w14:paraId="6D9E7E3F" w14:textId="77777777" w:rsidR="00D1587D" w:rsidRDefault="00D1587D"/>
        </w:tc>
        <w:tc>
          <w:tcPr>
            <w:tcW w:w="40" w:type="dxa"/>
            <w:vAlign w:val="bottom"/>
          </w:tcPr>
          <w:p w14:paraId="745E25ED" w14:textId="77777777" w:rsidR="00D1587D" w:rsidRDefault="00D1587D"/>
        </w:tc>
        <w:tc>
          <w:tcPr>
            <w:tcW w:w="40" w:type="dxa"/>
            <w:vAlign w:val="bottom"/>
          </w:tcPr>
          <w:p w14:paraId="5AE1FCCB" w14:textId="77777777" w:rsidR="00D1587D" w:rsidRDefault="00D1587D"/>
        </w:tc>
        <w:tc>
          <w:tcPr>
            <w:tcW w:w="580" w:type="dxa"/>
            <w:vAlign w:val="bottom"/>
          </w:tcPr>
          <w:p w14:paraId="2AABCFCA" w14:textId="77777777" w:rsidR="00D1587D" w:rsidRDefault="00D1587D"/>
        </w:tc>
        <w:tc>
          <w:tcPr>
            <w:tcW w:w="40" w:type="dxa"/>
            <w:vAlign w:val="bottom"/>
          </w:tcPr>
          <w:p w14:paraId="1C4F3C45" w14:textId="77777777" w:rsidR="00D1587D" w:rsidRDefault="00D1587D"/>
        </w:tc>
        <w:tc>
          <w:tcPr>
            <w:tcW w:w="40" w:type="dxa"/>
            <w:vAlign w:val="bottom"/>
          </w:tcPr>
          <w:p w14:paraId="26C7EC46" w14:textId="77777777" w:rsidR="00D1587D" w:rsidRDefault="00D1587D"/>
        </w:tc>
        <w:tc>
          <w:tcPr>
            <w:tcW w:w="760" w:type="dxa"/>
            <w:vAlign w:val="bottom"/>
          </w:tcPr>
          <w:p w14:paraId="5EBFFEA9" w14:textId="77777777" w:rsidR="00D1587D" w:rsidRDefault="00D1587D"/>
        </w:tc>
        <w:tc>
          <w:tcPr>
            <w:tcW w:w="40" w:type="dxa"/>
            <w:vAlign w:val="bottom"/>
          </w:tcPr>
          <w:p w14:paraId="0699934F" w14:textId="77777777" w:rsidR="00D1587D" w:rsidRDefault="00D1587D"/>
        </w:tc>
        <w:tc>
          <w:tcPr>
            <w:tcW w:w="40" w:type="dxa"/>
            <w:vAlign w:val="bottom"/>
          </w:tcPr>
          <w:p w14:paraId="4CB4DF1E" w14:textId="77777777" w:rsidR="00D1587D" w:rsidRDefault="00D1587D"/>
        </w:tc>
        <w:tc>
          <w:tcPr>
            <w:tcW w:w="860" w:type="dxa"/>
            <w:vAlign w:val="bottom"/>
          </w:tcPr>
          <w:p w14:paraId="51E05C30" w14:textId="77777777" w:rsidR="00D1587D" w:rsidRDefault="00D1587D"/>
        </w:tc>
        <w:tc>
          <w:tcPr>
            <w:tcW w:w="40" w:type="dxa"/>
            <w:vAlign w:val="bottom"/>
          </w:tcPr>
          <w:p w14:paraId="273D728F" w14:textId="77777777" w:rsidR="00D1587D" w:rsidRDefault="00D1587D"/>
        </w:tc>
        <w:tc>
          <w:tcPr>
            <w:tcW w:w="40" w:type="dxa"/>
            <w:vAlign w:val="bottom"/>
          </w:tcPr>
          <w:p w14:paraId="7B60989C" w14:textId="77777777" w:rsidR="00D1587D" w:rsidRDefault="00D1587D"/>
        </w:tc>
        <w:tc>
          <w:tcPr>
            <w:tcW w:w="760" w:type="dxa"/>
            <w:vAlign w:val="bottom"/>
          </w:tcPr>
          <w:p w14:paraId="43CB8F82" w14:textId="77777777" w:rsidR="00D1587D" w:rsidRDefault="00D1587D"/>
        </w:tc>
        <w:tc>
          <w:tcPr>
            <w:tcW w:w="40" w:type="dxa"/>
            <w:vAlign w:val="bottom"/>
          </w:tcPr>
          <w:p w14:paraId="734D4B5C" w14:textId="77777777" w:rsidR="00D1587D" w:rsidRDefault="00D1587D"/>
        </w:tc>
        <w:tc>
          <w:tcPr>
            <w:tcW w:w="40" w:type="dxa"/>
            <w:vAlign w:val="bottom"/>
          </w:tcPr>
          <w:p w14:paraId="77510027" w14:textId="77777777" w:rsidR="00D1587D" w:rsidRDefault="00D1587D"/>
        </w:tc>
        <w:tc>
          <w:tcPr>
            <w:tcW w:w="540" w:type="dxa"/>
            <w:vAlign w:val="bottom"/>
          </w:tcPr>
          <w:p w14:paraId="797FE28F" w14:textId="77777777" w:rsidR="00D1587D" w:rsidRDefault="00D1587D"/>
        </w:tc>
        <w:tc>
          <w:tcPr>
            <w:tcW w:w="80" w:type="dxa"/>
            <w:vAlign w:val="bottom"/>
          </w:tcPr>
          <w:p w14:paraId="3A2374AC" w14:textId="77777777" w:rsidR="00D1587D" w:rsidRDefault="00D1587D"/>
        </w:tc>
        <w:tc>
          <w:tcPr>
            <w:tcW w:w="660" w:type="dxa"/>
            <w:vAlign w:val="bottom"/>
          </w:tcPr>
          <w:p w14:paraId="7D3FB389" w14:textId="77777777" w:rsidR="00D1587D" w:rsidRDefault="00D1587D"/>
        </w:tc>
        <w:tc>
          <w:tcPr>
            <w:tcW w:w="100" w:type="dxa"/>
            <w:vAlign w:val="bottom"/>
          </w:tcPr>
          <w:p w14:paraId="0FD792CC" w14:textId="77777777" w:rsidR="00D1587D" w:rsidRDefault="00D1587D"/>
        </w:tc>
        <w:tc>
          <w:tcPr>
            <w:tcW w:w="740" w:type="dxa"/>
            <w:gridSpan w:val="2"/>
            <w:vAlign w:val="bottom"/>
          </w:tcPr>
          <w:p w14:paraId="5C2751AF" w14:textId="77777777" w:rsidR="00D1587D" w:rsidRDefault="00410D07">
            <w:pPr>
              <w:ind w:right="80"/>
              <w:jc w:val="right"/>
              <w:rPr>
                <w:sz w:val="20"/>
                <w:szCs w:val="20"/>
              </w:rPr>
            </w:pPr>
            <w:r>
              <w:rPr>
                <w:rFonts w:ascii="Arial" w:eastAsia="Arial" w:hAnsi="Arial" w:cs="Arial"/>
                <w:sz w:val="14"/>
                <w:szCs w:val="14"/>
              </w:rPr>
              <w:t>3/31/2016</w:t>
            </w:r>
          </w:p>
        </w:tc>
        <w:tc>
          <w:tcPr>
            <w:tcW w:w="740" w:type="dxa"/>
            <w:gridSpan w:val="2"/>
            <w:vAlign w:val="bottom"/>
          </w:tcPr>
          <w:p w14:paraId="6B757B8A" w14:textId="77777777" w:rsidR="00D1587D" w:rsidRDefault="00410D07">
            <w:pPr>
              <w:spacing w:line="256" w:lineRule="exact"/>
              <w:ind w:right="80"/>
              <w:jc w:val="right"/>
              <w:rPr>
                <w:sz w:val="20"/>
                <w:szCs w:val="20"/>
              </w:rPr>
            </w:pPr>
            <w:r>
              <w:rPr>
                <w:rFonts w:ascii="Arial" w:eastAsia="Arial" w:hAnsi="Arial" w:cs="Arial"/>
                <w:sz w:val="14"/>
                <w:szCs w:val="14"/>
              </w:rPr>
              <w:t>6,881</w:t>
            </w:r>
            <w:r>
              <w:rPr>
                <w:rFonts w:ascii="Arial" w:eastAsia="Arial" w:hAnsi="Arial" w:cs="Arial"/>
                <w:sz w:val="23"/>
                <w:szCs w:val="23"/>
                <w:vertAlign w:val="superscript"/>
              </w:rPr>
              <w:t>(8)</w:t>
            </w:r>
          </w:p>
        </w:tc>
        <w:tc>
          <w:tcPr>
            <w:tcW w:w="680" w:type="dxa"/>
            <w:gridSpan w:val="2"/>
            <w:vAlign w:val="bottom"/>
          </w:tcPr>
          <w:p w14:paraId="15115C97" w14:textId="77777777" w:rsidR="00D1587D" w:rsidRDefault="00410D07">
            <w:pPr>
              <w:ind w:right="80"/>
              <w:jc w:val="right"/>
              <w:rPr>
                <w:sz w:val="20"/>
                <w:szCs w:val="20"/>
              </w:rPr>
            </w:pPr>
            <w:r>
              <w:rPr>
                <w:rFonts w:ascii="Arial" w:eastAsia="Arial" w:hAnsi="Arial" w:cs="Arial"/>
                <w:sz w:val="14"/>
                <w:szCs w:val="14"/>
              </w:rPr>
              <w:t>280,470</w:t>
            </w:r>
          </w:p>
        </w:tc>
        <w:tc>
          <w:tcPr>
            <w:tcW w:w="700" w:type="dxa"/>
            <w:gridSpan w:val="2"/>
            <w:vAlign w:val="bottom"/>
          </w:tcPr>
          <w:p w14:paraId="5619BF48" w14:textId="77777777" w:rsidR="00D1587D" w:rsidRDefault="00410D07">
            <w:pPr>
              <w:ind w:right="80"/>
              <w:jc w:val="right"/>
              <w:rPr>
                <w:sz w:val="20"/>
                <w:szCs w:val="20"/>
              </w:rPr>
            </w:pPr>
            <w:r>
              <w:rPr>
                <w:rFonts w:ascii="Arial" w:eastAsia="Arial" w:hAnsi="Arial" w:cs="Arial"/>
                <w:sz w:val="14"/>
                <w:szCs w:val="14"/>
              </w:rPr>
              <w:t>—</w:t>
            </w:r>
          </w:p>
        </w:tc>
        <w:tc>
          <w:tcPr>
            <w:tcW w:w="600" w:type="dxa"/>
            <w:vAlign w:val="bottom"/>
          </w:tcPr>
          <w:p w14:paraId="34CC105D"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139C8625" w14:textId="77777777" w:rsidR="00D1587D" w:rsidRDefault="00D1587D">
            <w:pPr>
              <w:rPr>
                <w:sz w:val="1"/>
                <w:szCs w:val="1"/>
              </w:rPr>
            </w:pPr>
          </w:p>
        </w:tc>
      </w:tr>
      <w:tr w:rsidR="00D1587D" w14:paraId="19954DE0" w14:textId="77777777">
        <w:trPr>
          <w:trHeight w:val="257"/>
        </w:trPr>
        <w:tc>
          <w:tcPr>
            <w:tcW w:w="880" w:type="dxa"/>
            <w:vAlign w:val="bottom"/>
          </w:tcPr>
          <w:p w14:paraId="1810BFEE" w14:textId="77777777" w:rsidR="00D1587D" w:rsidRDefault="00D1587D"/>
        </w:tc>
        <w:tc>
          <w:tcPr>
            <w:tcW w:w="40" w:type="dxa"/>
            <w:vAlign w:val="bottom"/>
          </w:tcPr>
          <w:p w14:paraId="559FC714" w14:textId="77777777" w:rsidR="00D1587D" w:rsidRDefault="00D1587D"/>
        </w:tc>
        <w:tc>
          <w:tcPr>
            <w:tcW w:w="40" w:type="dxa"/>
            <w:vAlign w:val="bottom"/>
          </w:tcPr>
          <w:p w14:paraId="6DA53E41" w14:textId="77777777" w:rsidR="00D1587D" w:rsidRDefault="00D1587D"/>
        </w:tc>
        <w:tc>
          <w:tcPr>
            <w:tcW w:w="580" w:type="dxa"/>
            <w:vAlign w:val="bottom"/>
          </w:tcPr>
          <w:p w14:paraId="77522458" w14:textId="77777777" w:rsidR="00D1587D" w:rsidRDefault="00D1587D"/>
        </w:tc>
        <w:tc>
          <w:tcPr>
            <w:tcW w:w="40" w:type="dxa"/>
            <w:vAlign w:val="bottom"/>
          </w:tcPr>
          <w:p w14:paraId="254930FE" w14:textId="77777777" w:rsidR="00D1587D" w:rsidRDefault="00D1587D"/>
        </w:tc>
        <w:tc>
          <w:tcPr>
            <w:tcW w:w="40" w:type="dxa"/>
            <w:vAlign w:val="bottom"/>
          </w:tcPr>
          <w:p w14:paraId="03E93ED8" w14:textId="77777777" w:rsidR="00D1587D" w:rsidRDefault="00D1587D"/>
        </w:tc>
        <w:tc>
          <w:tcPr>
            <w:tcW w:w="760" w:type="dxa"/>
            <w:vAlign w:val="bottom"/>
          </w:tcPr>
          <w:p w14:paraId="261C8B49" w14:textId="77777777" w:rsidR="00D1587D" w:rsidRDefault="00D1587D"/>
        </w:tc>
        <w:tc>
          <w:tcPr>
            <w:tcW w:w="40" w:type="dxa"/>
            <w:vAlign w:val="bottom"/>
          </w:tcPr>
          <w:p w14:paraId="30182671" w14:textId="77777777" w:rsidR="00D1587D" w:rsidRDefault="00D1587D"/>
        </w:tc>
        <w:tc>
          <w:tcPr>
            <w:tcW w:w="40" w:type="dxa"/>
            <w:vAlign w:val="bottom"/>
          </w:tcPr>
          <w:p w14:paraId="29879C5C" w14:textId="77777777" w:rsidR="00D1587D" w:rsidRDefault="00D1587D"/>
        </w:tc>
        <w:tc>
          <w:tcPr>
            <w:tcW w:w="860" w:type="dxa"/>
            <w:vAlign w:val="bottom"/>
          </w:tcPr>
          <w:p w14:paraId="5286510F" w14:textId="77777777" w:rsidR="00D1587D" w:rsidRDefault="00D1587D"/>
        </w:tc>
        <w:tc>
          <w:tcPr>
            <w:tcW w:w="40" w:type="dxa"/>
            <w:vAlign w:val="bottom"/>
          </w:tcPr>
          <w:p w14:paraId="05E08BE9" w14:textId="77777777" w:rsidR="00D1587D" w:rsidRDefault="00D1587D"/>
        </w:tc>
        <w:tc>
          <w:tcPr>
            <w:tcW w:w="40" w:type="dxa"/>
            <w:vAlign w:val="bottom"/>
          </w:tcPr>
          <w:p w14:paraId="12642CDC" w14:textId="77777777" w:rsidR="00D1587D" w:rsidRDefault="00D1587D"/>
        </w:tc>
        <w:tc>
          <w:tcPr>
            <w:tcW w:w="760" w:type="dxa"/>
            <w:vAlign w:val="bottom"/>
          </w:tcPr>
          <w:p w14:paraId="2819A4C7" w14:textId="77777777" w:rsidR="00D1587D" w:rsidRDefault="00D1587D"/>
        </w:tc>
        <w:tc>
          <w:tcPr>
            <w:tcW w:w="40" w:type="dxa"/>
            <w:vAlign w:val="bottom"/>
          </w:tcPr>
          <w:p w14:paraId="7AD32A40" w14:textId="77777777" w:rsidR="00D1587D" w:rsidRDefault="00D1587D"/>
        </w:tc>
        <w:tc>
          <w:tcPr>
            <w:tcW w:w="40" w:type="dxa"/>
            <w:vAlign w:val="bottom"/>
          </w:tcPr>
          <w:p w14:paraId="1208CFCA" w14:textId="77777777" w:rsidR="00D1587D" w:rsidRDefault="00D1587D"/>
        </w:tc>
        <w:tc>
          <w:tcPr>
            <w:tcW w:w="540" w:type="dxa"/>
            <w:vAlign w:val="bottom"/>
          </w:tcPr>
          <w:p w14:paraId="771839A4" w14:textId="77777777" w:rsidR="00D1587D" w:rsidRDefault="00D1587D"/>
        </w:tc>
        <w:tc>
          <w:tcPr>
            <w:tcW w:w="80" w:type="dxa"/>
            <w:vAlign w:val="bottom"/>
          </w:tcPr>
          <w:p w14:paraId="776850CB" w14:textId="77777777" w:rsidR="00D1587D" w:rsidRDefault="00D1587D"/>
        </w:tc>
        <w:tc>
          <w:tcPr>
            <w:tcW w:w="660" w:type="dxa"/>
            <w:vAlign w:val="bottom"/>
          </w:tcPr>
          <w:p w14:paraId="77F084A3" w14:textId="77777777" w:rsidR="00D1587D" w:rsidRDefault="00D1587D"/>
        </w:tc>
        <w:tc>
          <w:tcPr>
            <w:tcW w:w="100" w:type="dxa"/>
            <w:vAlign w:val="bottom"/>
          </w:tcPr>
          <w:p w14:paraId="611D5C05" w14:textId="77777777" w:rsidR="00D1587D" w:rsidRDefault="00D1587D"/>
        </w:tc>
        <w:tc>
          <w:tcPr>
            <w:tcW w:w="740" w:type="dxa"/>
            <w:gridSpan w:val="2"/>
            <w:vAlign w:val="bottom"/>
          </w:tcPr>
          <w:p w14:paraId="3E6020EE" w14:textId="77777777" w:rsidR="00D1587D" w:rsidRDefault="00410D07">
            <w:pPr>
              <w:ind w:right="80"/>
              <w:jc w:val="right"/>
              <w:rPr>
                <w:sz w:val="20"/>
                <w:szCs w:val="20"/>
              </w:rPr>
            </w:pPr>
            <w:r>
              <w:rPr>
                <w:rFonts w:ascii="Arial" w:eastAsia="Arial" w:hAnsi="Arial" w:cs="Arial"/>
                <w:sz w:val="14"/>
                <w:szCs w:val="14"/>
              </w:rPr>
              <w:t>3/31/2017</w:t>
            </w:r>
          </w:p>
        </w:tc>
        <w:tc>
          <w:tcPr>
            <w:tcW w:w="740" w:type="dxa"/>
            <w:gridSpan w:val="2"/>
            <w:vAlign w:val="bottom"/>
          </w:tcPr>
          <w:p w14:paraId="08DC20A2" w14:textId="77777777" w:rsidR="00D1587D" w:rsidRDefault="00410D07">
            <w:pPr>
              <w:spacing w:line="256" w:lineRule="exact"/>
              <w:ind w:right="80"/>
              <w:jc w:val="right"/>
              <w:rPr>
                <w:sz w:val="20"/>
                <w:szCs w:val="20"/>
              </w:rPr>
            </w:pPr>
            <w:r>
              <w:rPr>
                <w:rFonts w:ascii="Arial" w:eastAsia="Arial" w:hAnsi="Arial" w:cs="Arial"/>
                <w:sz w:val="14"/>
                <w:szCs w:val="14"/>
              </w:rPr>
              <w:t>16,839</w:t>
            </w:r>
            <w:r>
              <w:rPr>
                <w:rFonts w:ascii="Arial" w:eastAsia="Arial" w:hAnsi="Arial" w:cs="Arial"/>
                <w:sz w:val="23"/>
                <w:szCs w:val="23"/>
                <w:vertAlign w:val="superscript"/>
              </w:rPr>
              <w:t>(9)</w:t>
            </w:r>
          </w:p>
        </w:tc>
        <w:tc>
          <w:tcPr>
            <w:tcW w:w="680" w:type="dxa"/>
            <w:gridSpan w:val="2"/>
            <w:vAlign w:val="bottom"/>
          </w:tcPr>
          <w:p w14:paraId="7FDC95FA" w14:textId="77777777" w:rsidR="00D1587D" w:rsidRDefault="00410D07">
            <w:pPr>
              <w:ind w:right="80"/>
              <w:jc w:val="right"/>
              <w:rPr>
                <w:sz w:val="20"/>
                <w:szCs w:val="20"/>
              </w:rPr>
            </w:pPr>
            <w:r>
              <w:rPr>
                <w:rFonts w:ascii="Arial" w:eastAsia="Arial" w:hAnsi="Arial" w:cs="Arial"/>
                <w:sz w:val="14"/>
                <w:szCs w:val="14"/>
              </w:rPr>
              <w:t>686,358</w:t>
            </w:r>
          </w:p>
        </w:tc>
        <w:tc>
          <w:tcPr>
            <w:tcW w:w="700" w:type="dxa"/>
            <w:gridSpan w:val="2"/>
            <w:vAlign w:val="bottom"/>
          </w:tcPr>
          <w:p w14:paraId="4C72A1B0" w14:textId="77777777" w:rsidR="00D1587D" w:rsidRDefault="00410D07">
            <w:pPr>
              <w:ind w:right="80"/>
              <w:jc w:val="right"/>
              <w:rPr>
                <w:sz w:val="20"/>
                <w:szCs w:val="20"/>
              </w:rPr>
            </w:pPr>
            <w:r>
              <w:rPr>
                <w:rFonts w:ascii="Arial" w:eastAsia="Arial" w:hAnsi="Arial" w:cs="Arial"/>
                <w:sz w:val="14"/>
                <w:szCs w:val="14"/>
              </w:rPr>
              <w:t>—</w:t>
            </w:r>
          </w:p>
        </w:tc>
        <w:tc>
          <w:tcPr>
            <w:tcW w:w="600" w:type="dxa"/>
            <w:vAlign w:val="bottom"/>
          </w:tcPr>
          <w:p w14:paraId="64B1BF2B"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11FFB37C" w14:textId="77777777" w:rsidR="00D1587D" w:rsidRDefault="00D1587D">
            <w:pPr>
              <w:rPr>
                <w:sz w:val="1"/>
                <w:szCs w:val="1"/>
              </w:rPr>
            </w:pPr>
          </w:p>
        </w:tc>
      </w:tr>
      <w:tr w:rsidR="00D1587D" w14:paraId="09DB9129" w14:textId="77777777">
        <w:trPr>
          <w:trHeight w:val="256"/>
        </w:trPr>
        <w:tc>
          <w:tcPr>
            <w:tcW w:w="880" w:type="dxa"/>
            <w:vAlign w:val="bottom"/>
          </w:tcPr>
          <w:p w14:paraId="0FD95C33" w14:textId="77777777" w:rsidR="00D1587D" w:rsidRDefault="00D1587D"/>
        </w:tc>
        <w:tc>
          <w:tcPr>
            <w:tcW w:w="40" w:type="dxa"/>
            <w:vAlign w:val="bottom"/>
          </w:tcPr>
          <w:p w14:paraId="20B2D17E" w14:textId="77777777" w:rsidR="00D1587D" w:rsidRDefault="00D1587D"/>
        </w:tc>
        <w:tc>
          <w:tcPr>
            <w:tcW w:w="40" w:type="dxa"/>
            <w:vAlign w:val="bottom"/>
          </w:tcPr>
          <w:p w14:paraId="071B94C3" w14:textId="77777777" w:rsidR="00D1587D" w:rsidRDefault="00D1587D"/>
        </w:tc>
        <w:tc>
          <w:tcPr>
            <w:tcW w:w="580" w:type="dxa"/>
            <w:vAlign w:val="bottom"/>
          </w:tcPr>
          <w:p w14:paraId="4826A2FA" w14:textId="77777777" w:rsidR="00D1587D" w:rsidRDefault="00D1587D"/>
        </w:tc>
        <w:tc>
          <w:tcPr>
            <w:tcW w:w="40" w:type="dxa"/>
            <w:vAlign w:val="bottom"/>
          </w:tcPr>
          <w:p w14:paraId="0D473C1F" w14:textId="77777777" w:rsidR="00D1587D" w:rsidRDefault="00D1587D"/>
        </w:tc>
        <w:tc>
          <w:tcPr>
            <w:tcW w:w="40" w:type="dxa"/>
            <w:vAlign w:val="bottom"/>
          </w:tcPr>
          <w:p w14:paraId="00DA28F0" w14:textId="77777777" w:rsidR="00D1587D" w:rsidRDefault="00D1587D"/>
        </w:tc>
        <w:tc>
          <w:tcPr>
            <w:tcW w:w="760" w:type="dxa"/>
            <w:vAlign w:val="bottom"/>
          </w:tcPr>
          <w:p w14:paraId="4C613117" w14:textId="77777777" w:rsidR="00D1587D" w:rsidRDefault="00D1587D"/>
        </w:tc>
        <w:tc>
          <w:tcPr>
            <w:tcW w:w="40" w:type="dxa"/>
            <w:vAlign w:val="bottom"/>
          </w:tcPr>
          <w:p w14:paraId="47A51826" w14:textId="77777777" w:rsidR="00D1587D" w:rsidRDefault="00D1587D"/>
        </w:tc>
        <w:tc>
          <w:tcPr>
            <w:tcW w:w="40" w:type="dxa"/>
            <w:vAlign w:val="bottom"/>
          </w:tcPr>
          <w:p w14:paraId="239C321D" w14:textId="77777777" w:rsidR="00D1587D" w:rsidRDefault="00D1587D"/>
        </w:tc>
        <w:tc>
          <w:tcPr>
            <w:tcW w:w="860" w:type="dxa"/>
            <w:vAlign w:val="bottom"/>
          </w:tcPr>
          <w:p w14:paraId="3A3B40E0" w14:textId="77777777" w:rsidR="00D1587D" w:rsidRDefault="00D1587D"/>
        </w:tc>
        <w:tc>
          <w:tcPr>
            <w:tcW w:w="40" w:type="dxa"/>
            <w:vAlign w:val="bottom"/>
          </w:tcPr>
          <w:p w14:paraId="0E34B003" w14:textId="77777777" w:rsidR="00D1587D" w:rsidRDefault="00D1587D"/>
        </w:tc>
        <w:tc>
          <w:tcPr>
            <w:tcW w:w="40" w:type="dxa"/>
            <w:vAlign w:val="bottom"/>
          </w:tcPr>
          <w:p w14:paraId="16512661" w14:textId="77777777" w:rsidR="00D1587D" w:rsidRDefault="00D1587D"/>
        </w:tc>
        <w:tc>
          <w:tcPr>
            <w:tcW w:w="760" w:type="dxa"/>
            <w:vAlign w:val="bottom"/>
          </w:tcPr>
          <w:p w14:paraId="423A0F0F" w14:textId="77777777" w:rsidR="00D1587D" w:rsidRDefault="00D1587D"/>
        </w:tc>
        <w:tc>
          <w:tcPr>
            <w:tcW w:w="40" w:type="dxa"/>
            <w:vAlign w:val="bottom"/>
          </w:tcPr>
          <w:p w14:paraId="486098A7" w14:textId="77777777" w:rsidR="00D1587D" w:rsidRDefault="00D1587D"/>
        </w:tc>
        <w:tc>
          <w:tcPr>
            <w:tcW w:w="40" w:type="dxa"/>
            <w:vAlign w:val="bottom"/>
          </w:tcPr>
          <w:p w14:paraId="3CCD0F37" w14:textId="77777777" w:rsidR="00D1587D" w:rsidRDefault="00D1587D"/>
        </w:tc>
        <w:tc>
          <w:tcPr>
            <w:tcW w:w="540" w:type="dxa"/>
            <w:vAlign w:val="bottom"/>
          </w:tcPr>
          <w:p w14:paraId="21CD94F0" w14:textId="77777777" w:rsidR="00D1587D" w:rsidRDefault="00D1587D"/>
        </w:tc>
        <w:tc>
          <w:tcPr>
            <w:tcW w:w="80" w:type="dxa"/>
            <w:vAlign w:val="bottom"/>
          </w:tcPr>
          <w:p w14:paraId="66D77A80" w14:textId="77777777" w:rsidR="00D1587D" w:rsidRDefault="00D1587D"/>
        </w:tc>
        <w:tc>
          <w:tcPr>
            <w:tcW w:w="660" w:type="dxa"/>
            <w:vAlign w:val="bottom"/>
          </w:tcPr>
          <w:p w14:paraId="73836CFE" w14:textId="77777777" w:rsidR="00D1587D" w:rsidRDefault="00D1587D"/>
        </w:tc>
        <w:tc>
          <w:tcPr>
            <w:tcW w:w="100" w:type="dxa"/>
            <w:vAlign w:val="bottom"/>
          </w:tcPr>
          <w:p w14:paraId="13F94D14" w14:textId="77777777" w:rsidR="00D1587D" w:rsidRDefault="00D1587D"/>
        </w:tc>
        <w:tc>
          <w:tcPr>
            <w:tcW w:w="740" w:type="dxa"/>
            <w:gridSpan w:val="2"/>
            <w:vAlign w:val="bottom"/>
          </w:tcPr>
          <w:p w14:paraId="5E0EB508" w14:textId="77777777" w:rsidR="00D1587D" w:rsidRDefault="00410D07">
            <w:pPr>
              <w:ind w:right="80"/>
              <w:jc w:val="right"/>
              <w:rPr>
                <w:sz w:val="20"/>
                <w:szCs w:val="20"/>
              </w:rPr>
            </w:pPr>
            <w:r>
              <w:rPr>
                <w:rFonts w:ascii="Arial" w:eastAsia="Arial" w:hAnsi="Arial" w:cs="Arial"/>
                <w:sz w:val="14"/>
                <w:szCs w:val="14"/>
              </w:rPr>
              <w:t>3/21/2018</w:t>
            </w:r>
          </w:p>
        </w:tc>
        <w:tc>
          <w:tcPr>
            <w:tcW w:w="740" w:type="dxa"/>
            <w:gridSpan w:val="2"/>
            <w:vAlign w:val="bottom"/>
          </w:tcPr>
          <w:p w14:paraId="7543D9A8" w14:textId="77777777" w:rsidR="00D1587D" w:rsidRDefault="00410D07">
            <w:pPr>
              <w:spacing w:line="256" w:lineRule="exact"/>
              <w:ind w:right="80"/>
              <w:jc w:val="right"/>
              <w:rPr>
                <w:sz w:val="20"/>
                <w:szCs w:val="20"/>
              </w:rPr>
            </w:pPr>
            <w:r>
              <w:rPr>
                <w:rFonts w:ascii="Arial" w:eastAsia="Arial" w:hAnsi="Arial" w:cs="Arial"/>
                <w:w w:val="91"/>
                <w:sz w:val="14"/>
                <w:szCs w:val="14"/>
              </w:rPr>
              <w:t>24,734</w:t>
            </w:r>
            <w:r>
              <w:rPr>
                <w:rFonts w:ascii="Arial" w:eastAsia="Arial" w:hAnsi="Arial" w:cs="Arial"/>
                <w:w w:val="91"/>
                <w:sz w:val="23"/>
                <w:szCs w:val="23"/>
                <w:vertAlign w:val="superscript"/>
              </w:rPr>
              <w:t>(10)</w:t>
            </w:r>
          </w:p>
        </w:tc>
        <w:tc>
          <w:tcPr>
            <w:tcW w:w="680" w:type="dxa"/>
            <w:gridSpan w:val="2"/>
            <w:vAlign w:val="bottom"/>
          </w:tcPr>
          <w:p w14:paraId="4701F57F" w14:textId="77777777" w:rsidR="00D1587D" w:rsidRDefault="00410D07">
            <w:pPr>
              <w:ind w:right="80"/>
              <w:jc w:val="right"/>
              <w:rPr>
                <w:sz w:val="20"/>
                <w:szCs w:val="20"/>
              </w:rPr>
            </w:pPr>
            <w:r>
              <w:rPr>
                <w:rFonts w:ascii="Arial" w:eastAsia="Arial" w:hAnsi="Arial" w:cs="Arial"/>
                <w:w w:val="93"/>
                <w:sz w:val="14"/>
                <w:szCs w:val="14"/>
              </w:rPr>
              <w:t>1,008,158</w:t>
            </w:r>
          </w:p>
        </w:tc>
        <w:tc>
          <w:tcPr>
            <w:tcW w:w="700" w:type="dxa"/>
            <w:gridSpan w:val="2"/>
            <w:vAlign w:val="bottom"/>
          </w:tcPr>
          <w:p w14:paraId="3133DF88" w14:textId="77777777" w:rsidR="00D1587D" w:rsidRDefault="00410D07">
            <w:pPr>
              <w:ind w:right="80"/>
              <w:jc w:val="right"/>
              <w:rPr>
                <w:sz w:val="20"/>
                <w:szCs w:val="20"/>
              </w:rPr>
            </w:pPr>
            <w:r>
              <w:rPr>
                <w:rFonts w:ascii="Arial" w:eastAsia="Arial" w:hAnsi="Arial" w:cs="Arial"/>
                <w:sz w:val="14"/>
                <w:szCs w:val="14"/>
              </w:rPr>
              <w:t>—</w:t>
            </w:r>
          </w:p>
        </w:tc>
        <w:tc>
          <w:tcPr>
            <w:tcW w:w="600" w:type="dxa"/>
            <w:vAlign w:val="bottom"/>
          </w:tcPr>
          <w:p w14:paraId="2E132871"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30034E32" w14:textId="77777777" w:rsidR="00D1587D" w:rsidRDefault="00D1587D">
            <w:pPr>
              <w:rPr>
                <w:sz w:val="1"/>
                <w:szCs w:val="1"/>
              </w:rPr>
            </w:pPr>
          </w:p>
        </w:tc>
      </w:tr>
      <w:tr w:rsidR="00D1587D" w14:paraId="2A14E652" w14:textId="77777777">
        <w:trPr>
          <w:trHeight w:val="257"/>
        </w:trPr>
        <w:tc>
          <w:tcPr>
            <w:tcW w:w="880" w:type="dxa"/>
            <w:vAlign w:val="bottom"/>
          </w:tcPr>
          <w:p w14:paraId="475C7FD3" w14:textId="77777777" w:rsidR="00D1587D" w:rsidRDefault="00D1587D"/>
        </w:tc>
        <w:tc>
          <w:tcPr>
            <w:tcW w:w="40" w:type="dxa"/>
            <w:vAlign w:val="bottom"/>
          </w:tcPr>
          <w:p w14:paraId="42A0A8C1" w14:textId="77777777" w:rsidR="00D1587D" w:rsidRDefault="00D1587D"/>
        </w:tc>
        <w:tc>
          <w:tcPr>
            <w:tcW w:w="40" w:type="dxa"/>
            <w:vAlign w:val="bottom"/>
          </w:tcPr>
          <w:p w14:paraId="2876CB8E" w14:textId="77777777" w:rsidR="00D1587D" w:rsidRDefault="00D1587D"/>
        </w:tc>
        <w:tc>
          <w:tcPr>
            <w:tcW w:w="580" w:type="dxa"/>
            <w:vAlign w:val="bottom"/>
          </w:tcPr>
          <w:p w14:paraId="706BDF73" w14:textId="77777777" w:rsidR="00D1587D" w:rsidRDefault="00D1587D"/>
        </w:tc>
        <w:tc>
          <w:tcPr>
            <w:tcW w:w="40" w:type="dxa"/>
            <w:vAlign w:val="bottom"/>
          </w:tcPr>
          <w:p w14:paraId="756828F3" w14:textId="77777777" w:rsidR="00D1587D" w:rsidRDefault="00D1587D"/>
        </w:tc>
        <w:tc>
          <w:tcPr>
            <w:tcW w:w="40" w:type="dxa"/>
            <w:vAlign w:val="bottom"/>
          </w:tcPr>
          <w:p w14:paraId="37F7DAF4" w14:textId="77777777" w:rsidR="00D1587D" w:rsidRDefault="00D1587D"/>
        </w:tc>
        <w:tc>
          <w:tcPr>
            <w:tcW w:w="760" w:type="dxa"/>
            <w:vAlign w:val="bottom"/>
          </w:tcPr>
          <w:p w14:paraId="3A97930A" w14:textId="77777777" w:rsidR="00D1587D" w:rsidRDefault="00D1587D"/>
        </w:tc>
        <w:tc>
          <w:tcPr>
            <w:tcW w:w="40" w:type="dxa"/>
            <w:vAlign w:val="bottom"/>
          </w:tcPr>
          <w:p w14:paraId="63F0BCA6" w14:textId="77777777" w:rsidR="00D1587D" w:rsidRDefault="00D1587D"/>
        </w:tc>
        <w:tc>
          <w:tcPr>
            <w:tcW w:w="40" w:type="dxa"/>
            <w:vAlign w:val="bottom"/>
          </w:tcPr>
          <w:p w14:paraId="25821A3A" w14:textId="77777777" w:rsidR="00D1587D" w:rsidRDefault="00D1587D"/>
        </w:tc>
        <w:tc>
          <w:tcPr>
            <w:tcW w:w="860" w:type="dxa"/>
            <w:vAlign w:val="bottom"/>
          </w:tcPr>
          <w:p w14:paraId="0B34E875" w14:textId="77777777" w:rsidR="00D1587D" w:rsidRDefault="00D1587D"/>
        </w:tc>
        <w:tc>
          <w:tcPr>
            <w:tcW w:w="40" w:type="dxa"/>
            <w:vAlign w:val="bottom"/>
          </w:tcPr>
          <w:p w14:paraId="07C68BA0" w14:textId="77777777" w:rsidR="00D1587D" w:rsidRDefault="00D1587D"/>
        </w:tc>
        <w:tc>
          <w:tcPr>
            <w:tcW w:w="40" w:type="dxa"/>
            <w:vAlign w:val="bottom"/>
          </w:tcPr>
          <w:p w14:paraId="66E738AA" w14:textId="77777777" w:rsidR="00D1587D" w:rsidRDefault="00D1587D"/>
        </w:tc>
        <w:tc>
          <w:tcPr>
            <w:tcW w:w="760" w:type="dxa"/>
            <w:vAlign w:val="bottom"/>
          </w:tcPr>
          <w:p w14:paraId="4F75ACCC" w14:textId="77777777" w:rsidR="00D1587D" w:rsidRDefault="00D1587D"/>
        </w:tc>
        <w:tc>
          <w:tcPr>
            <w:tcW w:w="40" w:type="dxa"/>
            <w:vAlign w:val="bottom"/>
          </w:tcPr>
          <w:p w14:paraId="7072DC2F" w14:textId="77777777" w:rsidR="00D1587D" w:rsidRDefault="00D1587D"/>
        </w:tc>
        <w:tc>
          <w:tcPr>
            <w:tcW w:w="40" w:type="dxa"/>
            <w:vAlign w:val="bottom"/>
          </w:tcPr>
          <w:p w14:paraId="0175DB42" w14:textId="77777777" w:rsidR="00D1587D" w:rsidRDefault="00D1587D"/>
        </w:tc>
        <w:tc>
          <w:tcPr>
            <w:tcW w:w="540" w:type="dxa"/>
            <w:vAlign w:val="bottom"/>
          </w:tcPr>
          <w:p w14:paraId="216920E9" w14:textId="77777777" w:rsidR="00D1587D" w:rsidRDefault="00D1587D"/>
        </w:tc>
        <w:tc>
          <w:tcPr>
            <w:tcW w:w="80" w:type="dxa"/>
            <w:vAlign w:val="bottom"/>
          </w:tcPr>
          <w:p w14:paraId="59204B62" w14:textId="77777777" w:rsidR="00D1587D" w:rsidRDefault="00D1587D"/>
        </w:tc>
        <w:tc>
          <w:tcPr>
            <w:tcW w:w="660" w:type="dxa"/>
            <w:vAlign w:val="bottom"/>
          </w:tcPr>
          <w:p w14:paraId="46F8D18B" w14:textId="77777777" w:rsidR="00D1587D" w:rsidRDefault="00D1587D"/>
        </w:tc>
        <w:tc>
          <w:tcPr>
            <w:tcW w:w="100" w:type="dxa"/>
            <w:vAlign w:val="bottom"/>
          </w:tcPr>
          <w:p w14:paraId="528BA90C" w14:textId="77777777" w:rsidR="00D1587D" w:rsidRDefault="00D1587D"/>
        </w:tc>
        <w:tc>
          <w:tcPr>
            <w:tcW w:w="740" w:type="dxa"/>
            <w:gridSpan w:val="2"/>
            <w:vAlign w:val="bottom"/>
          </w:tcPr>
          <w:p w14:paraId="52E10C3F" w14:textId="77777777" w:rsidR="00D1587D" w:rsidRDefault="00410D07">
            <w:pPr>
              <w:ind w:right="80"/>
              <w:jc w:val="right"/>
              <w:rPr>
                <w:sz w:val="20"/>
                <w:szCs w:val="20"/>
              </w:rPr>
            </w:pPr>
            <w:r>
              <w:rPr>
                <w:rFonts w:ascii="Arial" w:eastAsia="Arial" w:hAnsi="Arial" w:cs="Arial"/>
                <w:sz w:val="14"/>
                <w:szCs w:val="14"/>
              </w:rPr>
              <w:t>7/9/2018</w:t>
            </w:r>
          </w:p>
        </w:tc>
        <w:tc>
          <w:tcPr>
            <w:tcW w:w="740" w:type="dxa"/>
            <w:gridSpan w:val="2"/>
            <w:vAlign w:val="bottom"/>
          </w:tcPr>
          <w:p w14:paraId="1E9FB364" w14:textId="77777777" w:rsidR="00D1587D" w:rsidRDefault="00410D07">
            <w:pPr>
              <w:spacing w:line="256" w:lineRule="exact"/>
              <w:ind w:right="80"/>
              <w:jc w:val="right"/>
              <w:rPr>
                <w:sz w:val="20"/>
                <w:szCs w:val="20"/>
              </w:rPr>
            </w:pPr>
            <w:r>
              <w:rPr>
                <w:rFonts w:ascii="Arial" w:eastAsia="Arial" w:hAnsi="Arial" w:cs="Arial"/>
                <w:sz w:val="14"/>
                <w:szCs w:val="14"/>
              </w:rPr>
              <w:t>6,683</w:t>
            </w:r>
            <w:r>
              <w:rPr>
                <w:rFonts w:ascii="Arial" w:eastAsia="Arial" w:hAnsi="Arial" w:cs="Arial"/>
                <w:sz w:val="23"/>
                <w:szCs w:val="23"/>
                <w:vertAlign w:val="superscript"/>
              </w:rPr>
              <w:t>(11)</w:t>
            </w:r>
          </w:p>
        </w:tc>
        <w:tc>
          <w:tcPr>
            <w:tcW w:w="680" w:type="dxa"/>
            <w:gridSpan w:val="2"/>
            <w:vAlign w:val="bottom"/>
          </w:tcPr>
          <w:p w14:paraId="6FB1C962" w14:textId="77777777" w:rsidR="00D1587D" w:rsidRDefault="00410D07">
            <w:pPr>
              <w:ind w:right="80"/>
              <w:jc w:val="right"/>
              <w:rPr>
                <w:sz w:val="20"/>
                <w:szCs w:val="20"/>
              </w:rPr>
            </w:pPr>
            <w:r>
              <w:rPr>
                <w:rFonts w:ascii="Arial" w:eastAsia="Arial" w:hAnsi="Arial" w:cs="Arial"/>
                <w:sz w:val="14"/>
                <w:szCs w:val="14"/>
              </w:rPr>
              <w:t>272,399</w:t>
            </w:r>
          </w:p>
        </w:tc>
        <w:tc>
          <w:tcPr>
            <w:tcW w:w="700" w:type="dxa"/>
            <w:gridSpan w:val="2"/>
            <w:vAlign w:val="bottom"/>
          </w:tcPr>
          <w:p w14:paraId="1287AE70" w14:textId="77777777" w:rsidR="00D1587D" w:rsidRDefault="00410D07">
            <w:pPr>
              <w:ind w:right="80"/>
              <w:jc w:val="right"/>
              <w:rPr>
                <w:sz w:val="20"/>
                <w:szCs w:val="20"/>
              </w:rPr>
            </w:pPr>
            <w:r>
              <w:rPr>
                <w:rFonts w:ascii="Arial" w:eastAsia="Arial" w:hAnsi="Arial" w:cs="Arial"/>
                <w:sz w:val="14"/>
                <w:szCs w:val="14"/>
              </w:rPr>
              <w:t>—</w:t>
            </w:r>
          </w:p>
        </w:tc>
        <w:tc>
          <w:tcPr>
            <w:tcW w:w="600" w:type="dxa"/>
            <w:vAlign w:val="bottom"/>
          </w:tcPr>
          <w:p w14:paraId="7A3BBFA6"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61342FA6" w14:textId="77777777" w:rsidR="00D1587D" w:rsidRDefault="00D1587D">
            <w:pPr>
              <w:rPr>
                <w:sz w:val="1"/>
                <w:szCs w:val="1"/>
              </w:rPr>
            </w:pPr>
          </w:p>
        </w:tc>
      </w:tr>
      <w:tr w:rsidR="00D1587D" w14:paraId="1A1DE8DC" w14:textId="77777777">
        <w:trPr>
          <w:trHeight w:val="256"/>
        </w:trPr>
        <w:tc>
          <w:tcPr>
            <w:tcW w:w="880" w:type="dxa"/>
            <w:vAlign w:val="bottom"/>
          </w:tcPr>
          <w:p w14:paraId="7ED4AAA8" w14:textId="77777777" w:rsidR="00D1587D" w:rsidRDefault="00D1587D"/>
        </w:tc>
        <w:tc>
          <w:tcPr>
            <w:tcW w:w="40" w:type="dxa"/>
            <w:vAlign w:val="bottom"/>
          </w:tcPr>
          <w:p w14:paraId="3FA3EB30" w14:textId="77777777" w:rsidR="00D1587D" w:rsidRDefault="00D1587D"/>
        </w:tc>
        <w:tc>
          <w:tcPr>
            <w:tcW w:w="40" w:type="dxa"/>
            <w:vAlign w:val="bottom"/>
          </w:tcPr>
          <w:p w14:paraId="0E826988" w14:textId="77777777" w:rsidR="00D1587D" w:rsidRDefault="00D1587D"/>
        </w:tc>
        <w:tc>
          <w:tcPr>
            <w:tcW w:w="580" w:type="dxa"/>
            <w:vAlign w:val="bottom"/>
          </w:tcPr>
          <w:p w14:paraId="3C1738C2" w14:textId="77777777" w:rsidR="00D1587D" w:rsidRDefault="00D1587D"/>
        </w:tc>
        <w:tc>
          <w:tcPr>
            <w:tcW w:w="40" w:type="dxa"/>
            <w:vAlign w:val="bottom"/>
          </w:tcPr>
          <w:p w14:paraId="61E946B6" w14:textId="77777777" w:rsidR="00D1587D" w:rsidRDefault="00D1587D"/>
        </w:tc>
        <w:tc>
          <w:tcPr>
            <w:tcW w:w="40" w:type="dxa"/>
            <w:vAlign w:val="bottom"/>
          </w:tcPr>
          <w:p w14:paraId="4D4AA4F5" w14:textId="77777777" w:rsidR="00D1587D" w:rsidRDefault="00D1587D"/>
        </w:tc>
        <w:tc>
          <w:tcPr>
            <w:tcW w:w="760" w:type="dxa"/>
            <w:vAlign w:val="bottom"/>
          </w:tcPr>
          <w:p w14:paraId="43A739F9" w14:textId="77777777" w:rsidR="00D1587D" w:rsidRDefault="00D1587D"/>
        </w:tc>
        <w:tc>
          <w:tcPr>
            <w:tcW w:w="40" w:type="dxa"/>
            <w:vAlign w:val="bottom"/>
          </w:tcPr>
          <w:p w14:paraId="0167DFAD" w14:textId="77777777" w:rsidR="00D1587D" w:rsidRDefault="00D1587D"/>
        </w:tc>
        <w:tc>
          <w:tcPr>
            <w:tcW w:w="40" w:type="dxa"/>
            <w:vAlign w:val="bottom"/>
          </w:tcPr>
          <w:p w14:paraId="08FC97A3" w14:textId="77777777" w:rsidR="00D1587D" w:rsidRDefault="00D1587D"/>
        </w:tc>
        <w:tc>
          <w:tcPr>
            <w:tcW w:w="860" w:type="dxa"/>
            <w:vAlign w:val="bottom"/>
          </w:tcPr>
          <w:p w14:paraId="5D520D00" w14:textId="77777777" w:rsidR="00D1587D" w:rsidRDefault="00D1587D"/>
        </w:tc>
        <w:tc>
          <w:tcPr>
            <w:tcW w:w="40" w:type="dxa"/>
            <w:vAlign w:val="bottom"/>
          </w:tcPr>
          <w:p w14:paraId="2FC9949A" w14:textId="77777777" w:rsidR="00D1587D" w:rsidRDefault="00D1587D"/>
        </w:tc>
        <w:tc>
          <w:tcPr>
            <w:tcW w:w="40" w:type="dxa"/>
            <w:vAlign w:val="bottom"/>
          </w:tcPr>
          <w:p w14:paraId="6356A0C6" w14:textId="77777777" w:rsidR="00D1587D" w:rsidRDefault="00D1587D"/>
        </w:tc>
        <w:tc>
          <w:tcPr>
            <w:tcW w:w="760" w:type="dxa"/>
            <w:vAlign w:val="bottom"/>
          </w:tcPr>
          <w:p w14:paraId="0D62BB0D" w14:textId="77777777" w:rsidR="00D1587D" w:rsidRDefault="00D1587D"/>
        </w:tc>
        <w:tc>
          <w:tcPr>
            <w:tcW w:w="40" w:type="dxa"/>
            <w:vAlign w:val="bottom"/>
          </w:tcPr>
          <w:p w14:paraId="1FAEA383" w14:textId="77777777" w:rsidR="00D1587D" w:rsidRDefault="00D1587D"/>
        </w:tc>
        <w:tc>
          <w:tcPr>
            <w:tcW w:w="40" w:type="dxa"/>
            <w:vAlign w:val="bottom"/>
          </w:tcPr>
          <w:p w14:paraId="09C39E80" w14:textId="77777777" w:rsidR="00D1587D" w:rsidRDefault="00D1587D"/>
        </w:tc>
        <w:tc>
          <w:tcPr>
            <w:tcW w:w="540" w:type="dxa"/>
            <w:vAlign w:val="bottom"/>
          </w:tcPr>
          <w:p w14:paraId="30A45A09" w14:textId="77777777" w:rsidR="00D1587D" w:rsidRDefault="00D1587D"/>
        </w:tc>
        <w:tc>
          <w:tcPr>
            <w:tcW w:w="80" w:type="dxa"/>
            <w:vAlign w:val="bottom"/>
          </w:tcPr>
          <w:p w14:paraId="2C1ED453" w14:textId="77777777" w:rsidR="00D1587D" w:rsidRDefault="00D1587D"/>
        </w:tc>
        <w:tc>
          <w:tcPr>
            <w:tcW w:w="660" w:type="dxa"/>
            <w:vAlign w:val="bottom"/>
          </w:tcPr>
          <w:p w14:paraId="35C451D0" w14:textId="77777777" w:rsidR="00D1587D" w:rsidRDefault="00D1587D"/>
        </w:tc>
        <w:tc>
          <w:tcPr>
            <w:tcW w:w="100" w:type="dxa"/>
            <w:vAlign w:val="bottom"/>
          </w:tcPr>
          <w:p w14:paraId="47837459" w14:textId="77777777" w:rsidR="00D1587D" w:rsidRDefault="00D1587D"/>
        </w:tc>
        <w:tc>
          <w:tcPr>
            <w:tcW w:w="740" w:type="dxa"/>
            <w:gridSpan w:val="2"/>
            <w:vAlign w:val="bottom"/>
          </w:tcPr>
          <w:p w14:paraId="191367BB" w14:textId="77777777" w:rsidR="00D1587D" w:rsidRDefault="00410D07">
            <w:pPr>
              <w:ind w:right="80"/>
              <w:jc w:val="right"/>
              <w:rPr>
                <w:sz w:val="20"/>
                <w:szCs w:val="20"/>
              </w:rPr>
            </w:pPr>
            <w:r>
              <w:rPr>
                <w:rFonts w:ascii="Arial" w:eastAsia="Arial" w:hAnsi="Arial" w:cs="Arial"/>
                <w:sz w:val="14"/>
                <w:szCs w:val="14"/>
              </w:rPr>
              <w:t>10/9/2018</w:t>
            </w:r>
          </w:p>
        </w:tc>
        <w:tc>
          <w:tcPr>
            <w:tcW w:w="740" w:type="dxa"/>
            <w:gridSpan w:val="2"/>
            <w:vAlign w:val="bottom"/>
          </w:tcPr>
          <w:p w14:paraId="187F2BE8" w14:textId="77777777" w:rsidR="00D1587D" w:rsidRDefault="00410D07">
            <w:pPr>
              <w:spacing w:line="256" w:lineRule="exact"/>
              <w:ind w:right="80"/>
              <w:jc w:val="right"/>
              <w:rPr>
                <w:sz w:val="20"/>
                <w:szCs w:val="20"/>
              </w:rPr>
            </w:pPr>
            <w:r>
              <w:rPr>
                <w:rFonts w:ascii="Arial" w:eastAsia="Arial" w:hAnsi="Arial" w:cs="Arial"/>
                <w:w w:val="91"/>
                <w:sz w:val="14"/>
                <w:szCs w:val="14"/>
              </w:rPr>
              <w:t>34,686</w:t>
            </w:r>
            <w:r>
              <w:rPr>
                <w:rFonts w:ascii="Arial" w:eastAsia="Arial" w:hAnsi="Arial" w:cs="Arial"/>
                <w:w w:val="91"/>
                <w:sz w:val="23"/>
                <w:szCs w:val="23"/>
                <w:vertAlign w:val="superscript"/>
              </w:rPr>
              <w:t>(12)</w:t>
            </w:r>
          </w:p>
        </w:tc>
        <w:tc>
          <w:tcPr>
            <w:tcW w:w="680" w:type="dxa"/>
            <w:gridSpan w:val="2"/>
            <w:vAlign w:val="bottom"/>
          </w:tcPr>
          <w:p w14:paraId="61C414E2" w14:textId="77777777" w:rsidR="00D1587D" w:rsidRDefault="00410D07">
            <w:pPr>
              <w:ind w:right="80"/>
              <w:jc w:val="right"/>
              <w:rPr>
                <w:sz w:val="20"/>
                <w:szCs w:val="20"/>
              </w:rPr>
            </w:pPr>
            <w:r>
              <w:rPr>
                <w:rFonts w:ascii="Arial" w:eastAsia="Arial" w:hAnsi="Arial" w:cs="Arial"/>
                <w:w w:val="93"/>
                <w:sz w:val="14"/>
                <w:szCs w:val="14"/>
              </w:rPr>
              <w:t>1,413,801</w:t>
            </w:r>
          </w:p>
        </w:tc>
        <w:tc>
          <w:tcPr>
            <w:tcW w:w="700" w:type="dxa"/>
            <w:gridSpan w:val="2"/>
            <w:vAlign w:val="bottom"/>
          </w:tcPr>
          <w:p w14:paraId="3A620562" w14:textId="77777777" w:rsidR="00D1587D" w:rsidRDefault="00410D07">
            <w:pPr>
              <w:ind w:right="80"/>
              <w:jc w:val="right"/>
              <w:rPr>
                <w:sz w:val="20"/>
                <w:szCs w:val="20"/>
              </w:rPr>
            </w:pPr>
            <w:r>
              <w:rPr>
                <w:rFonts w:ascii="Arial" w:eastAsia="Arial" w:hAnsi="Arial" w:cs="Arial"/>
                <w:sz w:val="14"/>
                <w:szCs w:val="14"/>
              </w:rPr>
              <w:t>—</w:t>
            </w:r>
          </w:p>
        </w:tc>
        <w:tc>
          <w:tcPr>
            <w:tcW w:w="600" w:type="dxa"/>
            <w:vAlign w:val="bottom"/>
          </w:tcPr>
          <w:p w14:paraId="5D754DED"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783B6851" w14:textId="77777777" w:rsidR="00D1587D" w:rsidRDefault="00D1587D">
            <w:pPr>
              <w:rPr>
                <w:sz w:val="1"/>
                <w:szCs w:val="1"/>
              </w:rPr>
            </w:pPr>
          </w:p>
        </w:tc>
      </w:tr>
      <w:tr w:rsidR="00D1587D" w14:paraId="0A459C9A" w14:textId="77777777">
        <w:trPr>
          <w:trHeight w:val="313"/>
        </w:trPr>
        <w:tc>
          <w:tcPr>
            <w:tcW w:w="880" w:type="dxa"/>
            <w:vAlign w:val="bottom"/>
          </w:tcPr>
          <w:p w14:paraId="087AF619" w14:textId="77777777" w:rsidR="00D1587D" w:rsidRDefault="00D1587D">
            <w:pPr>
              <w:rPr>
                <w:sz w:val="24"/>
                <w:szCs w:val="24"/>
              </w:rPr>
            </w:pPr>
          </w:p>
        </w:tc>
        <w:tc>
          <w:tcPr>
            <w:tcW w:w="40" w:type="dxa"/>
            <w:vAlign w:val="bottom"/>
          </w:tcPr>
          <w:p w14:paraId="703FDD11" w14:textId="77777777" w:rsidR="00D1587D" w:rsidRDefault="00D1587D">
            <w:pPr>
              <w:rPr>
                <w:sz w:val="24"/>
                <w:szCs w:val="24"/>
              </w:rPr>
            </w:pPr>
          </w:p>
        </w:tc>
        <w:tc>
          <w:tcPr>
            <w:tcW w:w="40" w:type="dxa"/>
            <w:vAlign w:val="bottom"/>
          </w:tcPr>
          <w:p w14:paraId="5D10DA06" w14:textId="77777777" w:rsidR="00D1587D" w:rsidRDefault="00D1587D">
            <w:pPr>
              <w:rPr>
                <w:sz w:val="24"/>
                <w:szCs w:val="24"/>
              </w:rPr>
            </w:pPr>
          </w:p>
        </w:tc>
        <w:tc>
          <w:tcPr>
            <w:tcW w:w="580" w:type="dxa"/>
            <w:vAlign w:val="bottom"/>
          </w:tcPr>
          <w:p w14:paraId="6A88F3F7" w14:textId="77777777" w:rsidR="00D1587D" w:rsidRDefault="00D1587D">
            <w:pPr>
              <w:rPr>
                <w:sz w:val="24"/>
                <w:szCs w:val="24"/>
              </w:rPr>
            </w:pPr>
          </w:p>
        </w:tc>
        <w:tc>
          <w:tcPr>
            <w:tcW w:w="40" w:type="dxa"/>
            <w:vAlign w:val="bottom"/>
          </w:tcPr>
          <w:p w14:paraId="23043821" w14:textId="77777777" w:rsidR="00D1587D" w:rsidRDefault="00D1587D">
            <w:pPr>
              <w:rPr>
                <w:sz w:val="24"/>
                <w:szCs w:val="24"/>
              </w:rPr>
            </w:pPr>
          </w:p>
        </w:tc>
        <w:tc>
          <w:tcPr>
            <w:tcW w:w="40" w:type="dxa"/>
            <w:vAlign w:val="bottom"/>
          </w:tcPr>
          <w:p w14:paraId="73EA04F4" w14:textId="77777777" w:rsidR="00D1587D" w:rsidRDefault="00D1587D">
            <w:pPr>
              <w:rPr>
                <w:sz w:val="24"/>
                <w:szCs w:val="24"/>
              </w:rPr>
            </w:pPr>
          </w:p>
        </w:tc>
        <w:tc>
          <w:tcPr>
            <w:tcW w:w="760" w:type="dxa"/>
            <w:vAlign w:val="bottom"/>
          </w:tcPr>
          <w:p w14:paraId="73CD02F8" w14:textId="77777777" w:rsidR="00D1587D" w:rsidRDefault="00D1587D">
            <w:pPr>
              <w:rPr>
                <w:sz w:val="24"/>
                <w:szCs w:val="24"/>
              </w:rPr>
            </w:pPr>
          </w:p>
        </w:tc>
        <w:tc>
          <w:tcPr>
            <w:tcW w:w="40" w:type="dxa"/>
            <w:vAlign w:val="bottom"/>
          </w:tcPr>
          <w:p w14:paraId="1AF7C787" w14:textId="77777777" w:rsidR="00D1587D" w:rsidRDefault="00D1587D">
            <w:pPr>
              <w:rPr>
                <w:sz w:val="24"/>
                <w:szCs w:val="24"/>
              </w:rPr>
            </w:pPr>
          </w:p>
        </w:tc>
        <w:tc>
          <w:tcPr>
            <w:tcW w:w="40" w:type="dxa"/>
            <w:vAlign w:val="bottom"/>
          </w:tcPr>
          <w:p w14:paraId="2EAE3B05" w14:textId="77777777" w:rsidR="00D1587D" w:rsidRDefault="00D1587D">
            <w:pPr>
              <w:rPr>
                <w:sz w:val="24"/>
                <w:szCs w:val="24"/>
              </w:rPr>
            </w:pPr>
          </w:p>
        </w:tc>
        <w:tc>
          <w:tcPr>
            <w:tcW w:w="860" w:type="dxa"/>
            <w:vAlign w:val="bottom"/>
          </w:tcPr>
          <w:p w14:paraId="6D1AF266" w14:textId="77777777" w:rsidR="00D1587D" w:rsidRDefault="00D1587D">
            <w:pPr>
              <w:rPr>
                <w:sz w:val="24"/>
                <w:szCs w:val="24"/>
              </w:rPr>
            </w:pPr>
          </w:p>
        </w:tc>
        <w:tc>
          <w:tcPr>
            <w:tcW w:w="40" w:type="dxa"/>
            <w:vAlign w:val="bottom"/>
          </w:tcPr>
          <w:p w14:paraId="3DD22D1D" w14:textId="77777777" w:rsidR="00D1587D" w:rsidRDefault="00D1587D">
            <w:pPr>
              <w:rPr>
                <w:sz w:val="24"/>
                <w:szCs w:val="24"/>
              </w:rPr>
            </w:pPr>
          </w:p>
        </w:tc>
        <w:tc>
          <w:tcPr>
            <w:tcW w:w="40" w:type="dxa"/>
            <w:vAlign w:val="bottom"/>
          </w:tcPr>
          <w:p w14:paraId="43198754" w14:textId="77777777" w:rsidR="00D1587D" w:rsidRDefault="00D1587D">
            <w:pPr>
              <w:rPr>
                <w:sz w:val="24"/>
                <w:szCs w:val="24"/>
              </w:rPr>
            </w:pPr>
          </w:p>
        </w:tc>
        <w:tc>
          <w:tcPr>
            <w:tcW w:w="760" w:type="dxa"/>
            <w:vAlign w:val="bottom"/>
          </w:tcPr>
          <w:p w14:paraId="45697A88" w14:textId="77777777" w:rsidR="00D1587D" w:rsidRDefault="00D1587D">
            <w:pPr>
              <w:rPr>
                <w:sz w:val="24"/>
                <w:szCs w:val="24"/>
              </w:rPr>
            </w:pPr>
          </w:p>
        </w:tc>
        <w:tc>
          <w:tcPr>
            <w:tcW w:w="40" w:type="dxa"/>
            <w:vAlign w:val="bottom"/>
          </w:tcPr>
          <w:p w14:paraId="7A8E8526" w14:textId="77777777" w:rsidR="00D1587D" w:rsidRDefault="00D1587D">
            <w:pPr>
              <w:rPr>
                <w:sz w:val="24"/>
                <w:szCs w:val="24"/>
              </w:rPr>
            </w:pPr>
          </w:p>
        </w:tc>
        <w:tc>
          <w:tcPr>
            <w:tcW w:w="40" w:type="dxa"/>
            <w:vAlign w:val="bottom"/>
          </w:tcPr>
          <w:p w14:paraId="48970987" w14:textId="77777777" w:rsidR="00D1587D" w:rsidRDefault="00D1587D">
            <w:pPr>
              <w:rPr>
                <w:sz w:val="24"/>
                <w:szCs w:val="24"/>
              </w:rPr>
            </w:pPr>
          </w:p>
        </w:tc>
        <w:tc>
          <w:tcPr>
            <w:tcW w:w="540" w:type="dxa"/>
            <w:vAlign w:val="bottom"/>
          </w:tcPr>
          <w:p w14:paraId="65554A4C" w14:textId="77777777" w:rsidR="00D1587D" w:rsidRDefault="00D1587D">
            <w:pPr>
              <w:rPr>
                <w:sz w:val="24"/>
                <w:szCs w:val="24"/>
              </w:rPr>
            </w:pPr>
          </w:p>
        </w:tc>
        <w:tc>
          <w:tcPr>
            <w:tcW w:w="80" w:type="dxa"/>
            <w:vAlign w:val="bottom"/>
          </w:tcPr>
          <w:p w14:paraId="14101FAD" w14:textId="77777777" w:rsidR="00D1587D" w:rsidRDefault="00D1587D">
            <w:pPr>
              <w:rPr>
                <w:sz w:val="24"/>
                <w:szCs w:val="24"/>
              </w:rPr>
            </w:pPr>
          </w:p>
        </w:tc>
        <w:tc>
          <w:tcPr>
            <w:tcW w:w="660" w:type="dxa"/>
            <w:vAlign w:val="bottom"/>
          </w:tcPr>
          <w:p w14:paraId="499BF010" w14:textId="77777777" w:rsidR="00D1587D" w:rsidRDefault="00D1587D">
            <w:pPr>
              <w:rPr>
                <w:sz w:val="24"/>
                <w:szCs w:val="24"/>
              </w:rPr>
            </w:pPr>
          </w:p>
        </w:tc>
        <w:tc>
          <w:tcPr>
            <w:tcW w:w="100" w:type="dxa"/>
            <w:vAlign w:val="bottom"/>
          </w:tcPr>
          <w:p w14:paraId="7E5562D6" w14:textId="77777777" w:rsidR="00D1587D" w:rsidRDefault="00D1587D">
            <w:pPr>
              <w:rPr>
                <w:sz w:val="24"/>
                <w:szCs w:val="24"/>
              </w:rPr>
            </w:pPr>
          </w:p>
        </w:tc>
        <w:tc>
          <w:tcPr>
            <w:tcW w:w="740" w:type="dxa"/>
            <w:gridSpan w:val="2"/>
            <w:vAlign w:val="bottom"/>
          </w:tcPr>
          <w:p w14:paraId="2CBDA175" w14:textId="77777777" w:rsidR="00D1587D" w:rsidRDefault="00410D07">
            <w:pPr>
              <w:ind w:right="80"/>
              <w:jc w:val="right"/>
              <w:rPr>
                <w:sz w:val="20"/>
                <w:szCs w:val="20"/>
              </w:rPr>
            </w:pPr>
            <w:r>
              <w:rPr>
                <w:rFonts w:ascii="Arial" w:eastAsia="Arial" w:hAnsi="Arial" w:cs="Arial"/>
                <w:sz w:val="14"/>
                <w:szCs w:val="14"/>
              </w:rPr>
              <w:t>3/28/2019</w:t>
            </w:r>
          </w:p>
        </w:tc>
        <w:tc>
          <w:tcPr>
            <w:tcW w:w="740" w:type="dxa"/>
            <w:gridSpan w:val="2"/>
            <w:vAlign w:val="bottom"/>
          </w:tcPr>
          <w:p w14:paraId="01E7C6C5" w14:textId="77777777" w:rsidR="00D1587D" w:rsidRDefault="00410D07">
            <w:pPr>
              <w:ind w:right="80"/>
              <w:jc w:val="right"/>
              <w:rPr>
                <w:sz w:val="20"/>
                <w:szCs w:val="20"/>
              </w:rPr>
            </w:pPr>
            <w:r>
              <w:rPr>
                <w:rFonts w:ascii="Arial" w:eastAsia="Arial" w:hAnsi="Arial" w:cs="Arial"/>
                <w:sz w:val="14"/>
                <w:szCs w:val="14"/>
              </w:rPr>
              <w:t>57,937</w:t>
            </w:r>
            <w:r>
              <w:rPr>
                <w:rFonts w:ascii="Arial" w:eastAsia="Arial" w:hAnsi="Arial" w:cs="Arial"/>
                <w:sz w:val="23"/>
                <w:szCs w:val="23"/>
                <w:vertAlign w:val="superscript"/>
              </w:rPr>
              <w:t>(6)</w:t>
            </w:r>
          </w:p>
        </w:tc>
        <w:tc>
          <w:tcPr>
            <w:tcW w:w="680" w:type="dxa"/>
            <w:gridSpan w:val="2"/>
            <w:vAlign w:val="bottom"/>
          </w:tcPr>
          <w:p w14:paraId="33C12F0F" w14:textId="77777777" w:rsidR="00D1587D" w:rsidRDefault="00410D07">
            <w:pPr>
              <w:ind w:right="80"/>
              <w:jc w:val="right"/>
              <w:rPr>
                <w:sz w:val="20"/>
                <w:szCs w:val="20"/>
              </w:rPr>
            </w:pPr>
            <w:r>
              <w:rPr>
                <w:rFonts w:ascii="Arial" w:eastAsia="Arial" w:hAnsi="Arial" w:cs="Arial"/>
                <w:w w:val="93"/>
                <w:sz w:val="14"/>
                <w:szCs w:val="14"/>
              </w:rPr>
              <w:t>2,361,512</w:t>
            </w:r>
          </w:p>
        </w:tc>
        <w:tc>
          <w:tcPr>
            <w:tcW w:w="700" w:type="dxa"/>
            <w:gridSpan w:val="2"/>
            <w:vAlign w:val="bottom"/>
          </w:tcPr>
          <w:p w14:paraId="153734D6" w14:textId="77777777" w:rsidR="00D1587D" w:rsidRDefault="00410D07">
            <w:pPr>
              <w:ind w:right="80"/>
              <w:jc w:val="right"/>
              <w:rPr>
                <w:sz w:val="20"/>
                <w:szCs w:val="20"/>
              </w:rPr>
            </w:pPr>
            <w:r>
              <w:rPr>
                <w:rFonts w:ascii="Arial" w:eastAsia="Arial" w:hAnsi="Arial" w:cs="Arial"/>
                <w:sz w:val="14"/>
                <w:szCs w:val="14"/>
              </w:rPr>
              <w:t>—</w:t>
            </w:r>
          </w:p>
        </w:tc>
        <w:tc>
          <w:tcPr>
            <w:tcW w:w="600" w:type="dxa"/>
            <w:vAlign w:val="bottom"/>
          </w:tcPr>
          <w:p w14:paraId="01F2ACD2"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55DC94CF" w14:textId="77777777" w:rsidR="00D1587D" w:rsidRDefault="00D1587D">
            <w:pPr>
              <w:rPr>
                <w:sz w:val="1"/>
                <w:szCs w:val="1"/>
              </w:rPr>
            </w:pPr>
          </w:p>
        </w:tc>
      </w:tr>
      <w:tr w:rsidR="00D1587D" w14:paraId="0872ACE2" w14:textId="77777777">
        <w:trPr>
          <w:trHeight w:val="60"/>
        </w:trPr>
        <w:tc>
          <w:tcPr>
            <w:tcW w:w="880" w:type="dxa"/>
            <w:vAlign w:val="bottom"/>
          </w:tcPr>
          <w:p w14:paraId="2B956A6E" w14:textId="77777777" w:rsidR="00D1587D" w:rsidRDefault="00D1587D">
            <w:pPr>
              <w:rPr>
                <w:sz w:val="5"/>
                <w:szCs w:val="5"/>
              </w:rPr>
            </w:pPr>
          </w:p>
        </w:tc>
        <w:tc>
          <w:tcPr>
            <w:tcW w:w="40" w:type="dxa"/>
            <w:vAlign w:val="bottom"/>
          </w:tcPr>
          <w:p w14:paraId="1E20D76D" w14:textId="77777777" w:rsidR="00D1587D" w:rsidRDefault="00D1587D">
            <w:pPr>
              <w:rPr>
                <w:sz w:val="5"/>
                <w:szCs w:val="5"/>
              </w:rPr>
            </w:pPr>
          </w:p>
        </w:tc>
        <w:tc>
          <w:tcPr>
            <w:tcW w:w="660" w:type="dxa"/>
            <w:gridSpan w:val="3"/>
            <w:vAlign w:val="bottom"/>
          </w:tcPr>
          <w:p w14:paraId="6CF545CA" w14:textId="77777777" w:rsidR="00D1587D" w:rsidRDefault="00D1587D">
            <w:pPr>
              <w:rPr>
                <w:sz w:val="5"/>
                <w:szCs w:val="5"/>
              </w:rPr>
            </w:pPr>
          </w:p>
        </w:tc>
        <w:tc>
          <w:tcPr>
            <w:tcW w:w="840" w:type="dxa"/>
            <w:gridSpan w:val="3"/>
            <w:vAlign w:val="bottom"/>
          </w:tcPr>
          <w:p w14:paraId="18834461" w14:textId="77777777" w:rsidR="00D1587D" w:rsidRDefault="00D1587D">
            <w:pPr>
              <w:rPr>
                <w:sz w:val="5"/>
                <w:szCs w:val="5"/>
              </w:rPr>
            </w:pPr>
          </w:p>
        </w:tc>
        <w:tc>
          <w:tcPr>
            <w:tcW w:w="940" w:type="dxa"/>
            <w:gridSpan w:val="3"/>
            <w:vAlign w:val="bottom"/>
          </w:tcPr>
          <w:p w14:paraId="7EE30996" w14:textId="77777777" w:rsidR="00D1587D" w:rsidRDefault="00D1587D">
            <w:pPr>
              <w:rPr>
                <w:sz w:val="5"/>
                <w:szCs w:val="5"/>
              </w:rPr>
            </w:pPr>
          </w:p>
        </w:tc>
        <w:tc>
          <w:tcPr>
            <w:tcW w:w="40" w:type="dxa"/>
            <w:vAlign w:val="bottom"/>
          </w:tcPr>
          <w:p w14:paraId="66F3C337" w14:textId="77777777" w:rsidR="00D1587D" w:rsidRDefault="00D1587D">
            <w:pPr>
              <w:rPr>
                <w:sz w:val="5"/>
                <w:szCs w:val="5"/>
              </w:rPr>
            </w:pPr>
          </w:p>
        </w:tc>
        <w:tc>
          <w:tcPr>
            <w:tcW w:w="800" w:type="dxa"/>
            <w:gridSpan w:val="2"/>
            <w:vAlign w:val="bottom"/>
          </w:tcPr>
          <w:p w14:paraId="3094FB69" w14:textId="77777777" w:rsidR="00D1587D" w:rsidRDefault="00D1587D">
            <w:pPr>
              <w:rPr>
                <w:sz w:val="5"/>
                <w:szCs w:val="5"/>
              </w:rPr>
            </w:pPr>
          </w:p>
        </w:tc>
        <w:tc>
          <w:tcPr>
            <w:tcW w:w="660" w:type="dxa"/>
            <w:gridSpan w:val="3"/>
            <w:vAlign w:val="bottom"/>
          </w:tcPr>
          <w:p w14:paraId="5E7DAA3C" w14:textId="77777777" w:rsidR="00D1587D" w:rsidRDefault="00D1587D">
            <w:pPr>
              <w:rPr>
                <w:sz w:val="5"/>
                <w:szCs w:val="5"/>
              </w:rPr>
            </w:pPr>
          </w:p>
        </w:tc>
        <w:tc>
          <w:tcPr>
            <w:tcW w:w="660" w:type="dxa"/>
            <w:vAlign w:val="bottom"/>
          </w:tcPr>
          <w:p w14:paraId="15F89764" w14:textId="77777777" w:rsidR="00D1587D" w:rsidRDefault="00D1587D">
            <w:pPr>
              <w:rPr>
                <w:sz w:val="5"/>
                <w:szCs w:val="5"/>
              </w:rPr>
            </w:pPr>
          </w:p>
        </w:tc>
        <w:tc>
          <w:tcPr>
            <w:tcW w:w="100" w:type="dxa"/>
            <w:vAlign w:val="bottom"/>
          </w:tcPr>
          <w:p w14:paraId="7CD497C3" w14:textId="77777777" w:rsidR="00D1587D" w:rsidRDefault="00D1587D">
            <w:pPr>
              <w:rPr>
                <w:sz w:val="5"/>
                <w:szCs w:val="5"/>
              </w:rPr>
            </w:pPr>
          </w:p>
        </w:tc>
        <w:tc>
          <w:tcPr>
            <w:tcW w:w="660" w:type="dxa"/>
            <w:vAlign w:val="bottom"/>
          </w:tcPr>
          <w:p w14:paraId="02CF1C23" w14:textId="77777777" w:rsidR="00D1587D" w:rsidRDefault="00D1587D">
            <w:pPr>
              <w:rPr>
                <w:sz w:val="5"/>
                <w:szCs w:val="5"/>
              </w:rPr>
            </w:pPr>
          </w:p>
        </w:tc>
        <w:tc>
          <w:tcPr>
            <w:tcW w:w="80" w:type="dxa"/>
            <w:vAlign w:val="bottom"/>
          </w:tcPr>
          <w:p w14:paraId="5E772DC6" w14:textId="77777777" w:rsidR="00D1587D" w:rsidRDefault="00D1587D">
            <w:pPr>
              <w:rPr>
                <w:sz w:val="5"/>
                <w:szCs w:val="5"/>
              </w:rPr>
            </w:pPr>
          </w:p>
        </w:tc>
        <w:tc>
          <w:tcPr>
            <w:tcW w:w="660" w:type="dxa"/>
            <w:vAlign w:val="bottom"/>
          </w:tcPr>
          <w:p w14:paraId="1D23F494" w14:textId="77777777" w:rsidR="00D1587D" w:rsidRDefault="00D1587D">
            <w:pPr>
              <w:rPr>
                <w:sz w:val="5"/>
                <w:szCs w:val="5"/>
              </w:rPr>
            </w:pPr>
          </w:p>
        </w:tc>
        <w:tc>
          <w:tcPr>
            <w:tcW w:w="80" w:type="dxa"/>
            <w:vAlign w:val="bottom"/>
          </w:tcPr>
          <w:p w14:paraId="076A8E9C" w14:textId="77777777" w:rsidR="00D1587D" w:rsidRDefault="00D1587D">
            <w:pPr>
              <w:rPr>
                <w:sz w:val="5"/>
                <w:szCs w:val="5"/>
              </w:rPr>
            </w:pPr>
          </w:p>
        </w:tc>
        <w:tc>
          <w:tcPr>
            <w:tcW w:w="600" w:type="dxa"/>
            <w:vAlign w:val="bottom"/>
          </w:tcPr>
          <w:p w14:paraId="1DEDBD08" w14:textId="77777777" w:rsidR="00D1587D" w:rsidRDefault="00D1587D">
            <w:pPr>
              <w:rPr>
                <w:sz w:val="5"/>
                <w:szCs w:val="5"/>
              </w:rPr>
            </w:pPr>
          </w:p>
        </w:tc>
        <w:tc>
          <w:tcPr>
            <w:tcW w:w="80" w:type="dxa"/>
            <w:vAlign w:val="bottom"/>
          </w:tcPr>
          <w:p w14:paraId="4479A4E3" w14:textId="77777777" w:rsidR="00D1587D" w:rsidRDefault="00D1587D">
            <w:pPr>
              <w:rPr>
                <w:sz w:val="5"/>
                <w:szCs w:val="5"/>
              </w:rPr>
            </w:pPr>
          </w:p>
        </w:tc>
        <w:tc>
          <w:tcPr>
            <w:tcW w:w="620" w:type="dxa"/>
            <w:vAlign w:val="bottom"/>
          </w:tcPr>
          <w:p w14:paraId="09B76F29" w14:textId="77777777" w:rsidR="00D1587D" w:rsidRDefault="00D1587D">
            <w:pPr>
              <w:rPr>
                <w:sz w:val="5"/>
                <w:szCs w:val="5"/>
              </w:rPr>
            </w:pPr>
          </w:p>
        </w:tc>
        <w:tc>
          <w:tcPr>
            <w:tcW w:w="80" w:type="dxa"/>
            <w:vAlign w:val="bottom"/>
          </w:tcPr>
          <w:p w14:paraId="5D303170" w14:textId="77777777" w:rsidR="00D1587D" w:rsidRDefault="00D1587D">
            <w:pPr>
              <w:rPr>
                <w:sz w:val="5"/>
                <w:szCs w:val="5"/>
              </w:rPr>
            </w:pPr>
          </w:p>
        </w:tc>
        <w:tc>
          <w:tcPr>
            <w:tcW w:w="600" w:type="dxa"/>
            <w:vAlign w:val="bottom"/>
          </w:tcPr>
          <w:p w14:paraId="1CE582B6" w14:textId="77777777" w:rsidR="00D1587D" w:rsidRDefault="00D1587D">
            <w:pPr>
              <w:rPr>
                <w:sz w:val="5"/>
                <w:szCs w:val="5"/>
              </w:rPr>
            </w:pPr>
          </w:p>
        </w:tc>
        <w:tc>
          <w:tcPr>
            <w:tcW w:w="0" w:type="dxa"/>
            <w:vAlign w:val="bottom"/>
          </w:tcPr>
          <w:p w14:paraId="2BD43E9C" w14:textId="77777777" w:rsidR="00D1587D" w:rsidRDefault="00D1587D">
            <w:pPr>
              <w:rPr>
                <w:sz w:val="1"/>
                <w:szCs w:val="1"/>
              </w:rPr>
            </w:pPr>
          </w:p>
        </w:tc>
      </w:tr>
      <w:tr w:rsidR="00D1587D" w14:paraId="592AA91B" w14:textId="77777777">
        <w:trPr>
          <w:trHeight w:val="256"/>
        </w:trPr>
        <w:tc>
          <w:tcPr>
            <w:tcW w:w="920" w:type="dxa"/>
            <w:gridSpan w:val="2"/>
            <w:shd w:val="clear" w:color="auto" w:fill="CCEEFF"/>
            <w:vAlign w:val="bottom"/>
          </w:tcPr>
          <w:p w14:paraId="325F1525" w14:textId="77777777" w:rsidR="00D1587D" w:rsidRDefault="00410D07">
            <w:pPr>
              <w:rPr>
                <w:sz w:val="20"/>
                <w:szCs w:val="20"/>
              </w:rPr>
            </w:pPr>
            <w:r>
              <w:rPr>
                <w:rFonts w:ascii="Arial" w:eastAsia="Arial" w:hAnsi="Arial" w:cs="Arial"/>
                <w:sz w:val="14"/>
                <w:szCs w:val="14"/>
              </w:rPr>
              <w:t>Greg Unis</w:t>
            </w:r>
          </w:p>
        </w:tc>
        <w:tc>
          <w:tcPr>
            <w:tcW w:w="40" w:type="dxa"/>
            <w:shd w:val="clear" w:color="auto" w:fill="CCEEFF"/>
            <w:vAlign w:val="bottom"/>
          </w:tcPr>
          <w:p w14:paraId="04BB0B61" w14:textId="77777777" w:rsidR="00D1587D" w:rsidRDefault="00D1587D"/>
        </w:tc>
        <w:tc>
          <w:tcPr>
            <w:tcW w:w="620" w:type="dxa"/>
            <w:gridSpan w:val="2"/>
            <w:shd w:val="clear" w:color="auto" w:fill="CCEEFF"/>
            <w:vAlign w:val="bottom"/>
          </w:tcPr>
          <w:p w14:paraId="16B04109" w14:textId="77777777" w:rsidR="00D1587D" w:rsidRDefault="00410D07">
            <w:pPr>
              <w:rPr>
                <w:sz w:val="20"/>
                <w:szCs w:val="20"/>
              </w:rPr>
            </w:pPr>
            <w:r>
              <w:rPr>
                <w:rFonts w:ascii="Arial" w:eastAsia="Arial" w:hAnsi="Arial" w:cs="Arial"/>
                <w:w w:val="96"/>
                <w:sz w:val="14"/>
                <w:szCs w:val="14"/>
              </w:rPr>
              <w:t>3/31/2017</w:t>
            </w:r>
          </w:p>
        </w:tc>
        <w:tc>
          <w:tcPr>
            <w:tcW w:w="840" w:type="dxa"/>
            <w:gridSpan w:val="3"/>
            <w:shd w:val="clear" w:color="auto" w:fill="CCEEFF"/>
            <w:vAlign w:val="bottom"/>
          </w:tcPr>
          <w:p w14:paraId="02BBC3F9" w14:textId="77777777" w:rsidR="00D1587D" w:rsidRDefault="00410D07">
            <w:pPr>
              <w:ind w:right="40"/>
              <w:jc w:val="right"/>
              <w:rPr>
                <w:sz w:val="20"/>
                <w:szCs w:val="20"/>
              </w:rPr>
            </w:pPr>
            <w:r>
              <w:rPr>
                <w:rFonts w:ascii="Arial" w:eastAsia="Arial" w:hAnsi="Arial" w:cs="Arial"/>
                <w:sz w:val="14"/>
                <w:szCs w:val="14"/>
              </w:rPr>
              <w:t>4,299</w:t>
            </w:r>
          </w:p>
        </w:tc>
        <w:tc>
          <w:tcPr>
            <w:tcW w:w="940" w:type="dxa"/>
            <w:gridSpan w:val="3"/>
            <w:shd w:val="clear" w:color="auto" w:fill="CCEEFF"/>
            <w:vAlign w:val="bottom"/>
          </w:tcPr>
          <w:p w14:paraId="7859E8CB" w14:textId="77777777" w:rsidR="00D1587D" w:rsidRDefault="00410D07">
            <w:pPr>
              <w:spacing w:line="256" w:lineRule="exact"/>
              <w:ind w:right="40"/>
              <w:jc w:val="right"/>
              <w:rPr>
                <w:sz w:val="20"/>
                <w:szCs w:val="20"/>
              </w:rPr>
            </w:pPr>
            <w:r>
              <w:rPr>
                <w:rFonts w:ascii="Arial" w:eastAsia="Arial" w:hAnsi="Arial" w:cs="Arial"/>
                <w:sz w:val="14"/>
                <w:szCs w:val="14"/>
              </w:rPr>
              <w:t>6,449</w:t>
            </w:r>
            <w:r>
              <w:rPr>
                <w:rFonts w:ascii="Arial" w:eastAsia="Arial" w:hAnsi="Arial" w:cs="Arial"/>
                <w:sz w:val="23"/>
                <w:szCs w:val="23"/>
                <w:vertAlign w:val="superscript"/>
              </w:rPr>
              <w:t>(2)</w:t>
            </w:r>
          </w:p>
        </w:tc>
        <w:tc>
          <w:tcPr>
            <w:tcW w:w="40" w:type="dxa"/>
            <w:shd w:val="clear" w:color="auto" w:fill="CCEEFF"/>
            <w:vAlign w:val="bottom"/>
          </w:tcPr>
          <w:p w14:paraId="2C449C93" w14:textId="77777777" w:rsidR="00D1587D" w:rsidRDefault="00D1587D"/>
        </w:tc>
        <w:tc>
          <w:tcPr>
            <w:tcW w:w="800" w:type="dxa"/>
            <w:gridSpan w:val="2"/>
            <w:shd w:val="clear" w:color="auto" w:fill="CCEEFF"/>
            <w:vAlign w:val="bottom"/>
          </w:tcPr>
          <w:p w14:paraId="5F37824D"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6F8EA813" w14:textId="77777777" w:rsidR="00D1587D" w:rsidRDefault="00410D07">
            <w:pPr>
              <w:ind w:right="80"/>
              <w:jc w:val="right"/>
              <w:rPr>
                <w:sz w:val="20"/>
                <w:szCs w:val="20"/>
              </w:rPr>
            </w:pPr>
            <w:r>
              <w:rPr>
                <w:rFonts w:ascii="Arial" w:eastAsia="Arial" w:hAnsi="Arial" w:cs="Arial"/>
                <w:sz w:val="14"/>
                <w:szCs w:val="14"/>
              </w:rPr>
              <w:t>47.10</w:t>
            </w:r>
          </w:p>
        </w:tc>
        <w:tc>
          <w:tcPr>
            <w:tcW w:w="760" w:type="dxa"/>
            <w:gridSpan w:val="2"/>
            <w:shd w:val="clear" w:color="auto" w:fill="CCEEFF"/>
            <w:vAlign w:val="bottom"/>
          </w:tcPr>
          <w:p w14:paraId="4ED2D484" w14:textId="77777777" w:rsidR="00D1587D" w:rsidRDefault="00410D07">
            <w:pPr>
              <w:ind w:right="100"/>
              <w:jc w:val="right"/>
              <w:rPr>
                <w:sz w:val="20"/>
                <w:szCs w:val="20"/>
              </w:rPr>
            </w:pPr>
            <w:r>
              <w:rPr>
                <w:rFonts w:ascii="Arial" w:eastAsia="Arial" w:hAnsi="Arial" w:cs="Arial"/>
                <w:sz w:val="14"/>
                <w:szCs w:val="14"/>
              </w:rPr>
              <w:t>3/31/2027</w:t>
            </w:r>
          </w:p>
        </w:tc>
        <w:tc>
          <w:tcPr>
            <w:tcW w:w="660" w:type="dxa"/>
            <w:shd w:val="clear" w:color="auto" w:fill="CCEEFF"/>
            <w:vAlign w:val="bottom"/>
          </w:tcPr>
          <w:p w14:paraId="092FB049" w14:textId="77777777" w:rsidR="00D1587D" w:rsidRDefault="00D1587D"/>
        </w:tc>
        <w:tc>
          <w:tcPr>
            <w:tcW w:w="80" w:type="dxa"/>
            <w:shd w:val="clear" w:color="auto" w:fill="CCEEFF"/>
            <w:vAlign w:val="bottom"/>
          </w:tcPr>
          <w:p w14:paraId="058A9C51" w14:textId="77777777" w:rsidR="00D1587D" w:rsidRDefault="00D1587D"/>
        </w:tc>
        <w:tc>
          <w:tcPr>
            <w:tcW w:w="660" w:type="dxa"/>
            <w:shd w:val="clear" w:color="auto" w:fill="CCEEFF"/>
            <w:vAlign w:val="bottom"/>
          </w:tcPr>
          <w:p w14:paraId="319B80F4" w14:textId="77777777" w:rsidR="00D1587D" w:rsidRDefault="00D1587D"/>
        </w:tc>
        <w:tc>
          <w:tcPr>
            <w:tcW w:w="80" w:type="dxa"/>
            <w:shd w:val="clear" w:color="auto" w:fill="CCEEFF"/>
            <w:vAlign w:val="bottom"/>
          </w:tcPr>
          <w:p w14:paraId="35AEECF4" w14:textId="77777777" w:rsidR="00D1587D" w:rsidRDefault="00D1587D"/>
        </w:tc>
        <w:tc>
          <w:tcPr>
            <w:tcW w:w="600" w:type="dxa"/>
            <w:shd w:val="clear" w:color="auto" w:fill="CCEEFF"/>
            <w:vAlign w:val="bottom"/>
          </w:tcPr>
          <w:p w14:paraId="12C51E17" w14:textId="77777777" w:rsidR="00D1587D" w:rsidRDefault="00D1587D"/>
        </w:tc>
        <w:tc>
          <w:tcPr>
            <w:tcW w:w="80" w:type="dxa"/>
            <w:shd w:val="clear" w:color="auto" w:fill="CCEEFF"/>
            <w:vAlign w:val="bottom"/>
          </w:tcPr>
          <w:p w14:paraId="2F201CD7" w14:textId="77777777" w:rsidR="00D1587D" w:rsidRDefault="00D1587D"/>
        </w:tc>
        <w:tc>
          <w:tcPr>
            <w:tcW w:w="620" w:type="dxa"/>
            <w:shd w:val="clear" w:color="auto" w:fill="CCEEFF"/>
            <w:vAlign w:val="bottom"/>
          </w:tcPr>
          <w:p w14:paraId="7DFF3EB1" w14:textId="77777777" w:rsidR="00D1587D" w:rsidRDefault="00D1587D"/>
        </w:tc>
        <w:tc>
          <w:tcPr>
            <w:tcW w:w="80" w:type="dxa"/>
            <w:shd w:val="clear" w:color="auto" w:fill="CCEEFF"/>
            <w:vAlign w:val="bottom"/>
          </w:tcPr>
          <w:p w14:paraId="4414FD4B" w14:textId="77777777" w:rsidR="00D1587D" w:rsidRDefault="00D1587D"/>
        </w:tc>
        <w:tc>
          <w:tcPr>
            <w:tcW w:w="600" w:type="dxa"/>
            <w:shd w:val="clear" w:color="auto" w:fill="CCEEFF"/>
            <w:vAlign w:val="bottom"/>
          </w:tcPr>
          <w:p w14:paraId="7445FCC9" w14:textId="77777777" w:rsidR="00D1587D" w:rsidRDefault="00D1587D"/>
        </w:tc>
        <w:tc>
          <w:tcPr>
            <w:tcW w:w="0" w:type="dxa"/>
            <w:vAlign w:val="bottom"/>
          </w:tcPr>
          <w:p w14:paraId="3BFFA35B" w14:textId="77777777" w:rsidR="00D1587D" w:rsidRDefault="00D1587D">
            <w:pPr>
              <w:rPr>
                <w:sz w:val="1"/>
                <w:szCs w:val="1"/>
              </w:rPr>
            </w:pPr>
          </w:p>
        </w:tc>
      </w:tr>
      <w:tr w:rsidR="00D1587D" w14:paraId="0B0DD167" w14:textId="77777777">
        <w:trPr>
          <w:trHeight w:val="256"/>
        </w:trPr>
        <w:tc>
          <w:tcPr>
            <w:tcW w:w="880" w:type="dxa"/>
            <w:shd w:val="clear" w:color="auto" w:fill="CCEEFF"/>
            <w:vAlign w:val="bottom"/>
          </w:tcPr>
          <w:p w14:paraId="54A662D9" w14:textId="77777777" w:rsidR="00D1587D" w:rsidRDefault="00D1587D"/>
        </w:tc>
        <w:tc>
          <w:tcPr>
            <w:tcW w:w="40" w:type="dxa"/>
            <w:shd w:val="clear" w:color="auto" w:fill="CCEEFF"/>
            <w:vAlign w:val="bottom"/>
          </w:tcPr>
          <w:p w14:paraId="0E2B0A35" w14:textId="77777777" w:rsidR="00D1587D" w:rsidRDefault="00D1587D"/>
        </w:tc>
        <w:tc>
          <w:tcPr>
            <w:tcW w:w="40" w:type="dxa"/>
            <w:shd w:val="clear" w:color="auto" w:fill="CCEEFF"/>
            <w:vAlign w:val="bottom"/>
          </w:tcPr>
          <w:p w14:paraId="243351E5" w14:textId="77777777" w:rsidR="00D1587D" w:rsidRDefault="00D1587D"/>
        </w:tc>
        <w:tc>
          <w:tcPr>
            <w:tcW w:w="580" w:type="dxa"/>
            <w:shd w:val="clear" w:color="auto" w:fill="CCEEFF"/>
            <w:vAlign w:val="bottom"/>
          </w:tcPr>
          <w:p w14:paraId="5FD99256" w14:textId="77777777" w:rsidR="00D1587D" w:rsidRDefault="00410D07">
            <w:pPr>
              <w:rPr>
                <w:sz w:val="20"/>
                <w:szCs w:val="20"/>
              </w:rPr>
            </w:pPr>
            <w:r>
              <w:rPr>
                <w:rFonts w:ascii="Arial" w:eastAsia="Arial" w:hAnsi="Arial" w:cs="Arial"/>
                <w:w w:val="89"/>
                <w:sz w:val="14"/>
                <w:szCs w:val="14"/>
              </w:rPr>
              <w:t>3/21/2018</w:t>
            </w:r>
          </w:p>
        </w:tc>
        <w:tc>
          <w:tcPr>
            <w:tcW w:w="40" w:type="dxa"/>
            <w:shd w:val="clear" w:color="auto" w:fill="CCEEFF"/>
            <w:vAlign w:val="bottom"/>
          </w:tcPr>
          <w:p w14:paraId="38CFC668" w14:textId="77777777" w:rsidR="00D1587D" w:rsidRDefault="00D1587D"/>
        </w:tc>
        <w:tc>
          <w:tcPr>
            <w:tcW w:w="840" w:type="dxa"/>
            <w:gridSpan w:val="3"/>
            <w:shd w:val="clear" w:color="auto" w:fill="CCEEFF"/>
            <w:vAlign w:val="bottom"/>
          </w:tcPr>
          <w:p w14:paraId="15FB6378" w14:textId="77777777" w:rsidR="00D1587D" w:rsidRDefault="00410D07">
            <w:pPr>
              <w:ind w:right="40"/>
              <w:jc w:val="right"/>
              <w:rPr>
                <w:sz w:val="20"/>
                <w:szCs w:val="20"/>
              </w:rPr>
            </w:pPr>
            <w:r>
              <w:rPr>
                <w:rFonts w:ascii="Arial" w:eastAsia="Arial" w:hAnsi="Arial" w:cs="Arial"/>
                <w:sz w:val="14"/>
                <w:szCs w:val="14"/>
              </w:rPr>
              <w:t>2,853</w:t>
            </w:r>
          </w:p>
        </w:tc>
        <w:tc>
          <w:tcPr>
            <w:tcW w:w="940" w:type="dxa"/>
            <w:gridSpan w:val="3"/>
            <w:shd w:val="clear" w:color="auto" w:fill="CCEEFF"/>
            <w:vAlign w:val="bottom"/>
          </w:tcPr>
          <w:p w14:paraId="6823A458" w14:textId="77777777" w:rsidR="00D1587D" w:rsidRDefault="00410D07">
            <w:pPr>
              <w:spacing w:line="256" w:lineRule="exact"/>
              <w:ind w:right="40"/>
              <w:jc w:val="right"/>
              <w:rPr>
                <w:sz w:val="20"/>
                <w:szCs w:val="20"/>
              </w:rPr>
            </w:pPr>
            <w:r>
              <w:rPr>
                <w:rFonts w:ascii="Arial" w:eastAsia="Arial" w:hAnsi="Arial" w:cs="Arial"/>
                <w:sz w:val="14"/>
                <w:szCs w:val="14"/>
              </w:rPr>
              <w:t>11,416</w:t>
            </w:r>
            <w:r>
              <w:rPr>
                <w:rFonts w:ascii="Arial" w:eastAsia="Arial" w:hAnsi="Arial" w:cs="Arial"/>
                <w:sz w:val="23"/>
                <w:szCs w:val="23"/>
                <w:vertAlign w:val="superscript"/>
              </w:rPr>
              <w:t>(3)</w:t>
            </w:r>
          </w:p>
        </w:tc>
        <w:tc>
          <w:tcPr>
            <w:tcW w:w="40" w:type="dxa"/>
            <w:shd w:val="clear" w:color="auto" w:fill="CCEEFF"/>
            <w:vAlign w:val="bottom"/>
          </w:tcPr>
          <w:p w14:paraId="3A64B530" w14:textId="77777777" w:rsidR="00D1587D" w:rsidRDefault="00D1587D"/>
        </w:tc>
        <w:tc>
          <w:tcPr>
            <w:tcW w:w="800" w:type="dxa"/>
            <w:gridSpan w:val="2"/>
            <w:shd w:val="clear" w:color="auto" w:fill="CCEEFF"/>
            <w:vAlign w:val="bottom"/>
          </w:tcPr>
          <w:p w14:paraId="4487B785"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2598554A" w14:textId="77777777" w:rsidR="00D1587D" w:rsidRDefault="00410D07">
            <w:pPr>
              <w:ind w:right="80"/>
              <w:jc w:val="right"/>
              <w:rPr>
                <w:sz w:val="20"/>
                <w:szCs w:val="20"/>
              </w:rPr>
            </w:pPr>
            <w:r>
              <w:rPr>
                <w:rFonts w:ascii="Arial" w:eastAsia="Arial" w:hAnsi="Arial" w:cs="Arial"/>
                <w:sz w:val="14"/>
                <w:szCs w:val="14"/>
              </w:rPr>
              <w:t>39.42</w:t>
            </w:r>
          </w:p>
        </w:tc>
        <w:tc>
          <w:tcPr>
            <w:tcW w:w="760" w:type="dxa"/>
            <w:gridSpan w:val="2"/>
            <w:shd w:val="clear" w:color="auto" w:fill="CCEEFF"/>
            <w:vAlign w:val="bottom"/>
          </w:tcPr>
          <w:p w14:paraId="600CC7E8" w14:textId="77777777" w:rsidR="00D1587D" w:rsidRDefault="00410D07">
            <w:pPr>
              <w:ind w:right="100"/>
              <w:jc w:val="right"/>
              <w:rPr>
                <w:sz w:val="20"/>
                <w:szCs w:val="20"/>
              </w:rPr>
            </w:pPr>
            <w:r>
              <w:rPr>
                <w:rFonts w:ascii="Arial" w:eastAsia="Arial" w:hAnsi="Arial" w:cs="Arial"/>
                <w:sz w:val="14"/>
                <w:szCs w:val="14"/>
              </w:rPr>
              <w:t>3/21/2028</w:t>
            </w:r>
          </w:p>
        </w:tc>
        <w:tc>
          <w:tcPr>
            <w:tcW w:w="660" w:type="dxa"/>
            <w:shd w:val="clear" w:color="auto" w:fill="CCEEFF"/>
            <w:vAlign w:val="bottom"/>
          </w:tcPr>
          <w:p w14:paraId="655DE8D2" w14:textId="77777777" w:rsidR="00D1587D" w:rsidRDefault="00D1587D"/>
        </w:tc>
        <w:tc>
          <w:tcPr>
            <w:tcW w:w="80" w:type="dxa"/>
            <w:shd w:val="clear" w:color="auto" w:fill="CCEEFF"/>
            <w:vAlign w:val="bottom"/>
          </w:tcPr>
          <w:p w14:paraId="5EB99C73" w14:textId="77777777" w:rsidR="00D1587D" w:rsidRDefault="00D1587D"/>
        </w:tc>
        <w:tc>
          <w:tcPr>
            <w:tcW w:w="660" w:type="dxa"/>
            <w:shd w:val="clear" w:color="auto" w:fill="CCEEFF"/>
            <w:vAlign w:val="bottom"/>
          </w:tcPr>
          <w:p w14:paraId="11B3D1A7" w14:textId="77777777" w:rsidR="00D1587D" w:rsidRDefault="00D1587D"/>
        </w:tc>
        <w:tc>
          <w:tcPr>
            <w:tcW w:w="80" w:type="dxa"/>
            <w:shd w:val="clear" w:color="auto" w:fill="CCEEFF"/>
            <w:vAlign w:val="bottom"/>
          </w:tcPr>
          <w:p w14:paraId="3A7EC065" w14:textId="77777777" w:rsidR="00D1587D" w:rsidRDefault="00D1587D"/>
        </w:tc>
        <w:tc>
          <w:tcPr>
            <w:tcW w:w="600" w:type="dxa"/>
            <w:shd w:val="clear" w:color="auto" w:fill="CCEEFF"/>
            <w:vAlign w:val="bottom"/>
          </w:tcPr>
          <w:p w14:paraId="2BA7BC88" w14:textId="77777777" w:rsidR="00D1587D" w:rsidRDefault="00D1587D"/>
        </w:tc>
        <w:tc>
          <w:tcPr>
            <w:tcW w:w="80" w:type="dxa"/>
            <w:shd w:val="clear" w:color="auto" w:fill="CCEEFF"/>
            <w:vAlign w:val="bottom"/>
          </w:tcPr>
          <w:p w14:paraId="5CF87F14" w14:textId="77777777" w:rsidR="00D1587D" w:rsidRDefault="00D1587D"/>
        </w:tc>
        <w:tc>
          <w:tcPr>
            <w:tcW w:w="620" w:type="dxa"/>
            <w:shd w:val="clear" w:color="auto" w:fill="CCEEFF"/>
            <w:vAlign w:val="bottom"/>
          </w:tcPr>
          <w:p w14:paraId="442FFBA8" w14:textId="77777777" w:rsidR="00D1587D" w:rsidRDefault="00D1587D"/>
        </w:tc>
        <w:tc>
          <w:tcPr>
            <w:tcW w:w="80" w:type="dxa"/>
            <w:shd w:val="clear" w:color="auto" w:fill="CCEEFF"/>
            <w:vAlign w:val="bottom"/>
          </w:tcPr>
          <w:p w14:paraId="7FD62A41" w14:textId="77777777" w:rsidR="00D1587D" w:rsidRDefault="00D1587D"/>
        </w:tc>
        <w:tc>
          <w:tcPr>
            <w:tcW w:w="600" w:type="dxa"/>
            <w:shd w:val="clear" w:color="auto" w:fill="CCEEFF"/>
            <w:vAlign w:val="bottom"/>
          </w:tcPr>
          <w:p w14:paraId="561FF1BA" w14:textId="77777777" w:rsidR="00D1587D" w:rsidRDefault="00D1587D"/>
        </w:tc>
        <w:tc>
          <w:tcPr>
            <w:tcW w:w="0" w:type="dxa"/>
            <w:vAlign w:val="bottom"/>
          </w:tcPr>
          <w:p w14:paraId="22895EFD" w14:textId="77777777" w:rsidR="00D1587D" w:rsidRDefault="00D1587D">
            <w:pPr>
              <w:rPr>
                <w:sz w:val="1"/>
                <w:szCs w:val="1"/>
              </w:rPr>
            </w:pPr>
          </w:p>
        </w:tc>
      </w:tr>
      <w:tr w:rsidR="00D1587D" w14:paraId="506447FA" w14:textId="77777777">
        <w:trPr>
          <w:trHeight w:val="256"/>
        </w:trPr>
        <w:tc>
          <w:tcPr>
            <w:tcW w:w="880" w:type="dxa"/>
            <w:shd w:val="clear" w:color="auto" w:fill="CCEEFF"/>
            <w:vAlign w:val="bottom"/>
          </w:tcPr>
          <w:p w14:paraId="2C270674" w14:textId="77777777" w:rsidR="00D1587D" w:rsidRDefault="00D1587D"/>
        </w:tc>
        <w:tc>
          <w:tcPr>
            <w:tcW w:w="40" w:type="dxa"/>
            <w:shd w:val="clear" w:color="auto" w:fill="CCEEFF"/>
            <w:vAlign w:val="bottom"/>
          </w:tcPr>
          <w:p w14:paraId="702F6628" w14:textId="77777777" w:rsidR="00D1587D" w:rsidRDefault="00D1587D"/>
        </w:tc>
        <w:tc>
          <w:tcPr>
            <w:tcW w:w="40" w:type="dxa"/>
            <w:shd w:val="clear" w:color="auto" w:fill="CCEEFF"/>
            <w:vAlign w:val="bottom"/>
          </w:tcPr>
          <w:p w14:paraId="656EFA73" w14:textId="77777777" w:rsidR="00D1587D" w:rsidRDefault="00D1587D"/>
        </w:tc>
        <w:tc>
          <w:tcPr>
            <w:tcW w:w="580" w:type="dxa"/>
            <w:shd w:val="clear" w:color="auto" w:fill="CCEEFF"/>
            <w:vAlign w:val="bottom"/>
          </w:tcPr>
          <w:p w14:paraId="6D8AF999" w14:textId="77777777" w:rsidR="00D1587D" w:rsidRDefault="00410D07">
            <w:pPr>
              <w:rPr>
                <w:sz w:val="20"/>
                <w:szCs w:val="20"/>
              </w:rPr>
            </w:pPr>
            <w:r>
              <w:rPr>
                <w:rFonts w:ascii="Arial" w:eastAsia="Arial" w:hAnsi="Arial" w:cs="Arial"/>
                <w:w w:val="89"/>
                <w:sz w:val="14"/>
                <w:szCs w:val="14"/>
              </w:rPr>
              <w:t>3/28/2019</w:t>
            </w:r>
          </w:p>
        </w:tc>
        <w:tc>
          <w:tcPr>
            <w:tcW w:w="40" w:type="dxa"/>
            <w:shd w:val="clear" w:color="auto" w:fill="CCEEFF"/>
            <w:vAlign w:val="bottom"/>
          </w:tcPr>
          <w:p w14:paraId="07964B09" w14:textId="77777777" w:rsidR="00D1587D" w:rsidRDefault="00D1587D"/>
        </w:tc>
        <w:tc>
          <w:tcPr>
            <w:tcW w:w="840" w:type="dxa"/>
            <w:gridSpan w:val="3"/>
            <w:shd w:val="clear" w:color="auto" w:fill="CCEEFF"/>
            <w:vAlign w:val="bottom"/>
          </w:tcPr>
          <w:p w14:paraId="2BC953D7" w14:textId="77777777" w:rsidR="00D1587D" w:rsidRDefault="00410D07">
            <w:pPr>
              <w:ind w:right="40"/>
              <w:jc w:val="right"/>
              <w:rPr>
                <w:sz w:val="20"/>
                <w:szCs w:val="20"/>
              </w:rPr>
            </w:pPr>
            <w:r>
              <w:rPr>
                <w:rFonts w:ascii="Arial" w:eastAsia="Arial" w:hAnsi="Arial" w:cs="Arial"/>
                <w:sz w:val="14"/>
                <w:szCs w:val="14"/>
              </w:rPr>
              <w:t>7,605</w:t>
            </w:r>
          </w:p>
        </w:tc>
        <w:tc>
          <w:tcPr>
            <w:tcW w:w="940" w:type="dxa"/>
            <w:gridSpan w:val="3"/>
            <w:shd w:val="clear" w:color="auto" w:fill="CCEEFF"/>
            <w:vAlign w:val="bottom"/>
          </w:tcPr>
          <w:p w14:paraId="65A22217" w14:textId="77777777" w:rsidR="00D1587D" w:rsidRDefault="00410D07">
            <w:pPr>
              <w:spacing w:line="256" w:lineRule="exact"/>
              <w:ind w:right="40"/>
              <w:jc w:val="right"/>
              <w:rPr>
                <w:sz w:val="20"/>
                <w:szCs w:val="20"/>
              </w:rPr>
            </w:pPr>
            <w:r>
              <w:rPr>
                <w:rFonts w:ascii="Arial" w:eastAsia="Arial" w:hAnsi="Arial" w:cs="Arial"/>
                <w:sz w:val="14"/>
                <w:szCs w:val="14"/>
              </w:rPr>
              <w:t>15,212</w:t>
            </w:r>
            <w:r>
              <w:rPr>
                <w:rFonts w:ascii="Arial" w:eastAsia="Arial" w:hAnsi="Arial" w:cs="Arial"/>
                <w:sz w:val="23"/>
                <w:szCs w:val="23"/>
                <w:vertAlign w:val="superscript"/>
              </w:rPr>
              <w:t>(4)</w:t>
            </w:r>
          </w:p>
        </w:tc>
        <w:tc>
          <w:tcPr>
            <w:tcW w:w="40" w:type="dxa"/>
            <w:shd w:val="clear" w:color="auto" w:fill="CCEEFF"/>
            <w:vAlign w:val="bottom"/>
          </w:tcPr>
          <w:p w14:paraId="1802B508" w14:textId="77777777" w:rsidR="00D1587D" w:rsidRDefault="00D1587D"/>
        </w:tc>
        <w:tc>
          <w:tcPr>
            <w:tcW w:w="800" w:type="dxa"/>
            <w:gridSpan w:val="2"/>
            <w:shd w:val="clear" w:color="auto" w:fill="CCEEFF"/>
            <w:vAlign w:val="bottom"/>
          </w:tcPr>
          <w:p w14:paraId="3AE7C43B" w14:textId="77777777" w:rsidR="00D1587D" w:rsidRDefault="00410D07">
            <w:pPr>
              <w:ind w:right="40"/>
              <w:jc w:val="right"/>
              <w:rPr>
                <w:sz w:val="20"/>
                <w:szCs w:val="20"/>
              </w:rPr>
            </w:pPr>
            <w:r>
              <w:rPr>
                <w:rFonts w:ascii="Arial" w:eastAsia="Arial" w:hAnsi="Arial" w:cs="Arial"/>
                <w:sz w:val="14"/>
                <w:szCs w:val="14"/>
              </w:rPr>
              <w:t>—</w:t>
            </w:r>
          </w:p>
        </w:tc>
        <w:tc>
          <w:tcPr>
            <w:tcW w:w="660" w:type="dxa"/>
            <w:gridSpan w:val="3"/>
            <w:shd w:val="clear" w:color="auto" w:fill="CCEEFF"/>
            <w:vAlign w:val="bottom"/>
          </w:tcPr>
          <w:p w14:paraId="685FDA7B" w14:textId="77777777" w:rsidR="00D1587D" w:rsidRDefault="00410D07">
            <w:pPr>
              <w:ind w:right="80"/>
              <w:jc w:val="right"/>
              <w:rPr>
                <w:sz w:val="20"/>
                <w:szCs w:val="20"/>
              </w:rPr>
            </w:pPr>
            <w:r>
              <w:rPr>
                <w:rFonts w:ascii="Arial" w:eastAsia="Arial" w:hAnsi="Arial" w:cs="Arial"/>
                <w:sz w:val="14"/>
                <w:szCs w:val="14"/>
              </w:rPr>
              <w:t>27.94</w:t>
            </w:r>
          </w:p>
        </w:tc>
        <w:tc>
          <w:tcPr>
            <w:tcW w:w="760" w:type="dxa"/>
            <w:gridSpan w:val="2"/>
            <w:shd w:val="clear" w:color="auto" w:fill="CCEEFF"/>
            <w:vAlign w:val="bottom"/>
          </w:tcPr>
          <w:p w14:paraId="404D92BA" w14:textId="77777777" w:rsidR="00D1587D" w:rsidRDefault="00410D07">
            <w:pPr>
              <w:ind w:right="100"/>
              <w:jc w:val="right"/>
              <w:rPr>
                <w:sz w:val="20"/>
                <w:szCs w:val="20"/>
              </w:rPr>
            </w:pPr>
            <w:r>
              <w:rPr>
                <w:rFonts w:ascii="Arial" w:eastAsia="Arial" w:hAnsi="Arial" w:cs="Arial"/>
                <w:sz w:val="14"/>
                <w:szCs w:val="14"/>
              </w:rPr>
              <w:t>3/28/2029</w:t>
            </w:r>
          </w:p>
        </w:tc>
        <w:tc>
          <w:tcPr>
            <w:tcW w:w="660" w:type="dxa"/>
            <w:shd w:val="clear" w:color="auto" w:fill="CCEEFF"/>
            <w:vAlign w:val="bottom"/>
          </w:tcPr>
          <w:p w14:paraId="7B02AE93" w14:textId="77777777" w:rsidR="00D1587D" w:rsidRDefault="00D1587D"/>
        </w:tc>
        <w:tc>
          <w:tcPr>
            <w:tcW w:w="80" w:type="dxa"/>
            <w:shd w:val="clear" w:color="auto" w:fill="CCEEFF"/>
            <w:vAlign w:val="bottom"/>
          </w:tcPr>
          <w:p w14:paraId="30F048C5" w14:textId="77777777" w:rsidR="00D1587D" w:rsidRDefault="00D1587D"/>
        </w:tc>
        <w:tc>
          <w:tcPr>
            <w:tcW w:w="660" w:type="dxa"/>
            <w:shd w:val="clear" w:color="auto" w:fill="CCEEFF"/>
            <w:vAlign w:val="bottom"/>
          </w:tcPr>
          <w:p w14:paraId="0D2481B7" w14:textId="77777777" w:rsidR="00D1587D" w:rsidRDefault="00D1587D"/>
        </w:tc>
        <w:tc>
          <w:tcPr>
            <w:tcW w:w="80" w:type="dxa"/>
            <w:shd w:val="clear" w:color="auto" w:fill="CCEEFF"/>
            <w:vAlign w:val="bottom"/>
          </w:tcPr>
          <w:p w14:paraId="4C90FC48" w14:textId="77777777" w:rsidR="00D1587D" w:rsidRDefault="00D1587D"/>
        </w:tc>
        <w:tc>
          <w:tcPr>
            <w:tcW w:w="600" w:type="dxa"/>
            <w:shd w:val="clear" w:color="auto" w:fill="CCEEFF"/>
            <w:vAlign w:val="bottom"/>
          </w:tcPr>
          <w:p w14:paraId="712B35D6" w14:textId="77777777" w:rsidR="00D1587D" w:rsidRDefault="00D1587D"/>
        </w:tc>
        <w:tc>
          <w:tcPr>
            <w:tcW w:w="80" w:type="dxa"/>
            <w:shd w:val="clear" w:color="auto" w:fill="CCEEFF"/>
            <w:vAlign w:val="bottom"/>
          </w:tcPr>
          <w:p w14:paraId="21BD5139" w14:textId="77777777" w:rsidR="00D1587D" w:rsidRDefault="00D1587D"/>
        </w:tc>
        <w:tc>
          <w:tcPr>
            <w:tcW w:w="620" w:type="dxa"/>
            <w:shd w:val="clear" w:color="auto" w:fill="CCEEFF"/>
            <w:vAlign w:val="bottom"/>
          </w:tcPr>
          <w:p w14:paraId="76E1C28F" w14:textId="77777777" w:rsidR="00D1587D" w:rsidRDefault="00D1587D"/>
        </w:tc>
        <w:tc>
          <w:tcPr>
            <w:tcW w:w="80" w:type="dxa"/>
            <w:shd w:val="clear" w:color="auto" w:fill="CCEEFF"/>
            <w:vAlign w:val="bottom"/>
          </w:tcPr>
          <w:p w14:paraId="4DF1D365" w14:textId="77777777" w:rsidR="00D1587D" w:rsidRDefault="00D1587D"/>
        </w:tc>
        <w:tc>
          <w:tcPr>
            <w:tcW w:w="600" w:type="dxa"/>
            <w:shd w:val="clear" w:color="auto" w:fill="CCEEFF"/>
            <w:vAlign w:val="bottom"/>
          </w:tcPr>
          <w:p w14:paraId="5147B5D0" w14:textId="77777777" w:rsidR="00D1587D" w:rsidRDefault="00D1587D"/>
        </w:tc>
        <w:tc>
          <w:tcPr>
            <w:tcW w:w="0" w:type="dxa"/>
            <w:vAlign w:val="bottom"/>
          </w:tcPr>
          <w:p w14:paraId="4716CA86" w14:textId="77777777" w:rsidR="00D1587D" w:rsidRDefault="00D1587D">
            <w:pPr>
              <w:rPr>
                <w:sz w:val="1"/>
                <w:szCs w:val="1"/>
              </w:rPr>
            </w:pPr>
          </w:p>
        </w:tc>
      </w:tr>
      <w:tr w:rsidR="00D1587D" w14:paraId="0AE63511" w14:textId="77777777">
        <w:trPr>
          <w:trHeight w:val="256"/>
        </w:trPr>
        <w:tc>
          <w:tcPr>
            <w:tcW w:w="880" w:type="dxa"/>
            <w:shd w:val="clear" w:color="auto" w:fill="CCEEFF"/>
            <w:vAlign w:val="bottom"/>
          </w:tcPr>
          <w:p w14:paraId="322A1EBC" w14:textId="77777777" w:rsidR="00D1587D" w:rsidRDefault="00D1587D"/>
        </w:tc>
        <w:tc>
          <w:tcPr>
            <w:tcW w:w="40" w:type="dxa"/>
            <w:shd w:val="clear" w:color="auto" w:fill="CCEEFF"/>
            <w:vAlign w:val="bottom"/>
          </w:tcPr>
          <w:p w14:paraId="14E9CEC4" w14:textId="77777777" w:rsidR="00D1587D" w:rsidRDefault="00D1587D"/>
        </w:tc>
        <w:tc>
          <w:tcPr>
            <w:tcW w:w="40" w:type="dxa"/>
            <w:shd w:val="clear" w:color="auto" w:fill="CCEEFF"/>
            <w:vAlign w:val="bottom"/>
          </w:tcPr>
          <w:p w14:paraId="68ADFF15" w14:textId="77777777" w:rsidR="00D1587D" w:rsidRDefault="00D1587D"/>
        </w:tc>
        <w:tc>
          <w:tcPr>
            <w:tcW w:w="580" w:type="dxa"/>
            <w:shd w:val="clear" w:color="auto" w:fill="CCEEFF"/>
            <w:vAlign w:val="bottom"/>
          </w:tcPr>
          <w:p w14:paraId="761FA636" w14:textId="77777777" w:rsidR="00D1587D" w:rsidRDefault="00D1587D"/>
        </w:tc>
        <w:tc>
          <w:tcPr>
            <w:tcW w:w="40" w:type="dxa"/>
            <w:shd w:val="clear" w:color="auto" w:fill="CCEEFF"/>
            <w:vAlign w:val="bottom"/>
          </w:tcPr>
          <w:p w14:paraId="373860CD" w14:textId="77777777" w:rsidR="00D1587D" w:rsidRDefault="00D1587D"/>
        </w:tc>
        <w:tc>
          <w:tcPr>
            <w:tcW w:w="40" w:type="dxa"/>
            <w:shd w:val="clear" w:color="auto" w:fill="CCEEFF"/>
            <w:vAlign w:val="bottom"/>
          </w:tcPr>
          <w:p w14:paraId="08E663A1" w14:textId="77777777" w:rsidR="00D1587D" w:rsidRDefault="00D1587D"/>
        </w:tc>
        <w:tc>
          <w:tcPr>
            <w:tcW w:w="760" w:type="dxa"/>
            <w:shd w:val="clear" w:color="auto" w:fill="CCEEFF"/>
            <w:vAlign w:val="bottom"/>
          </w:tcPr>
          <w:p w14:paraId="0988D216" w14:textId="77777777" w:rsidR="00D1587D" w:rsidRDefault="00D1587D"/>
        </w:tc>
        <w:tc>
          <w:tcPr>
            <w:tcW w:w="40" w:type="dxa"/>
            <w:shd w:val="clear" w:color="auto" w:fill="CCEEFF"/>
            <w:vAlign w:val="bottom"/>
          </w:tcPr>
          <w:p w14:paraId="60F04B1D" w14:textId="77777777" w:rsidR="00D1587D" w:rsidRDefault="00D1587D"/>
        </w:tc>
        <w:tc>
          <w:tcPr>
            <w:tcW w:w="40" w:type="dxa"/>
            <w:shd w:val="clear" w:color="auto" w:fill="CCEEFF"/>
            <w:vAlign w:val="bottom"/>
          </w:tcPr>
          <w:p w14:paraId="7D7E8F6B" w14:textId="77777777" w:rsidR="00D1587D" w:rsidRDefault="00D1587D"/>
        </w:tc>
        <w:tc>
          <w:tcPr>
            <w:tcW w:w="860" w:type="dxa"/>
            <w:shd w:val="clear" w:color="auto" w:fill="CCEEFF"/>
            <w:vAlign w:val="bottom"/>
          </w:tcPr>
          <w:p w14:paraId="7B50EDAF" w14:textId="77777777" w:rsidR="00D1587D" w:rsidRDefault="00D1587D"/>
        </w:tc>
        <w:tc>
          <w:tcPr>
            <w:tcW w:w="40" w:type="dxa"/>
            <w:shd w:val="clear" w:color="auto" w:fill="CCEEFF"/>
            <w:vAlign w:val="bottom"/>
          </w:tcPr>
          <w:p w14:paraId="6ABB4F7A" w14:textId="77777777" w:rsidR="00D1587D" w:rsidRDefault="00D1587D"/>
        </w:tc>
        <w:tc>
          <w:tcPr>
            <w:tcW w:w="40" w:type="dxa"/>
            <w:shd w:val="clear" w:color="auto" w:fill="CCEEFF"/>
            <w:vAlign w:val="bottom"/>
          </w:tcPr>
          <w:p w14:paraId="2EE4F3BB" w14:textId="77777777" w:rsidR="00D1587D" w:rsidRDefault="00D1587D"/>
        </w:tc>
        <w:tc>
          <w:tcPr>
            <w:tcW w:w="760" w:type="dxa"/>
            <w:shd w:val="clear" w:color="auto" w:fill="CCEEFF"/>
            <w:vAlign w:val="bottom"/>
          </w:tcPr>
          <w:p w14:paraId="206722CE" w14:textId="77777777" w:rsidR="00D1587D" w:rsidRDefault="00D1587D"/>
        </w:tc>
        <w:tc>
          <w:tcPr>
            <w:tcW w:w="40" w:type="dxa"/>
            <w:shd w:val="clear" w:color="auto" w:fill="CCEEFF"/>
            <w:vAlign w:val="bottom"/>
          </w:tcPr>
          <w:p w14:paraId="2FAEF275" w14:textId="77777777" w:rsidR="00D1587D" w:rsidRDefault="00D1587D"/>
        </w:tc>
        <w:tc>
          <w:tcPr>
            <w:tcW w:w="40" w:type="dxa"/>
            <w:shd w:val="clear" w:color="auto" w:fill="CCEEFF"/>
            <w:vAlign w:val="bottom"/>
          </w:tcPr>
          <w:p w14:paraId="65984021" w14:textId="77777777" w:rsidR="00D1587D" w:rsidRDefault="00D1587D"/>
        </w:tc>
        <w:tc>
          <w:tcPr>
            <w:tcW w:w="540" w:type="dxa"/>
            <w:shd w:val="clear" w:color="auto" w:fill="CCEEFF"/>
            <w:vAlign w:val="bottom"/>
          </w:tcPr>
          <w:p w14:paraId="1CE112B9" w14:textId="77777777" w:rsidR="00D1587D" w:rsidRDefault="00D1587D"/>
        </w:tc>
        <w:tc>
          <w:tcPr>
            <w:tcW w:w="80" w:type="dxa"/>
            <w:shd w:val="clear" w:color="auto" w:fill="CCEEFF"/>
            <w:vAlign w:val="bottom"/>
          </w:tcPr>
          <w:p w14:paraId="019809CB" w14:textId="77777777" w:rsidR="00D1587D" w:rsidRDefault="00D1587D"/>
        </w:tc>
        <w:tc>
          <w:tcPr>
            <w:tcW w:w="660" w:type="dxa"/>
            <w:shd w:val="clear" w:color="auto" w:fill="CCEEFF"/>
            <w:vAlign w:val="bottom"/>
          </w:tcPr>
          <w:p w14:paraId="40BC6845" w14:textId="77777777" w:rsidR="00D1587D" w:rsidRDefault="00D1587D"/>
        </w:tc>
        <w:tc>
          <w:tcPr>
            <w:tcW w:w="100" w:type="dxa"/>
            <w:shd w:val="clear" w:color="auto" w:fill="CCEEFF"/>
            <w:vAlign w:val="bottom"/>
          </w:tcPr>
          <w:p w14:paraId="16F8E966" w14:textId="77777777" w:rsidR="00D1587D" w:rsidRDefault="00D1587D"/>
        </w:tc>
        <w:tc>
          <w:tcPr>
            <w:tcW w:w="740" w:type="dxa"/>
            <w:gridSpan w:val="2"/>
            <w:shd w:val="clear" w:color="auto" w:fill="CCEEFF"/>
            <w:vAlign w:val="bottom"/>
          </w:tcPr>
          <w:p w14:paraId="661EB430" w14:textId="77777777" w:rsidR="00D1587D" w:rsidRDefault="00410D07">
            <w:pPr>
              <w:ind w:right="80"/>
              <w:jc w:val="right"/>
              <w:rPr>
                <w:sz w:val="20"/>
                <w:szCs w:val="20"/>
              </w:rPr>
            </w:pPr>
            <w:r>
              <w:rPr>
                <w:rFonts w:ascii="Arial" w:eastAsia="Arial" w:hAnsi="Arial" w:cs="Arial"/>
                <w:sz w:val="14"/>
                <w:szCs w:val="14"/>
              </w:rPr>
              <w:t>3/31/2017</w:t>
            </w:r>
          </w:p>
        </w:tc>
        <w:tc>
          <w:tcPr>
            <w:tcW w:w="740" w:type="dxa"/>
            <w:gridSpan w:val="2"/>
            <w:shd w:val="clear" w:color="auto" w:fill="CCEEFF"/>
            <w:vAlign w:val="bottom"/>
          </w:tcPr>
          <w:p w14:paraId="42F36FE0" w14:textId="77777777" w:rsidR="00D1587D" w:rsidRDefault="00410D07">
            <w:pPr>
              <w:spacing w:line="256" w:lineRule="exact"/>
              <w:ind w:right="80"/>
              <w:jc w:val="right"/>
              <w:rPr>
                <w:sz w:val="20"/>
                <w:szCs w:val="20"/>
              </w:rPr>
            </w:pPr>
            <w:r>
              <w:rPr>
                <w:rFonts w:ascii="Arial" w:eastAsia="Arial" w:hAnsi="Arial" w:cs="Arial"/>
                <w:sz w:val="14"/>
                <w:szCs w:val="14"/>
              </w:rPr>
              <w:t>15,047</w:t>
            </w:r>
            <w:r>
              <w:rPr>
                <w:rFonts w:ascii="Arial" w:eastAsia="Arial" w:hAnsi="Arial" w:cs="Arial"/>
                <w:sz w:val="23"/>
                <w:szCs w:val="23"/>
                <w:vertAlign w:val="superscript"/>
              </w:rPr>
              <w:t>(9)</w:t>
            </w:r>
          </w:p>
        </w:tc>
        <w:tc>
          <w:tcPr>
            <w:tcW w:w="680" w:type="dxa"/>
            <w:gridSpan w:val="2"/>
            <w:shd w:val="clear" w:color="auto" w:fill="CCEEFF"/>
            <w:vAlign w:val="bottom"/>
          </w:tcPr>
          <w:p w14:paraId="1017C76F" w14:textId="77777777" w:rsidR="00D1587D" w:rsidRDefault="00410D07">
            <w:pPr>
              <w:ind w:right="80"/>
              <w:jc w:val="right"/>
              <w:rPr>
                <w:sz w:val="20"/>
                <w:szCs w:val="20"/>
              </w:rPr>
            </w:pPr>
            <w:r>
              <w:rPr>
                <w:rFonts w:ascii="Arial" w:eastAsia="Arial" w:hAnsi="Arial" w:cs="Arial"/>
                <w:sz w:val="14"/>
                <w:szCs w:val="14"/>
              </w:rPr>
              <w:t>613,316</w:t>
            </w:r>
          </w:p>
        </w:tc>
        <w:tc>
          <w:tcPr>
            <w:tcW w:w="700" w:type="dxa"/>
            <w:gridSpan w:val="2"/>
            <w:shd w:val="clear" w:color="auto" w:fill="CCEEFF"/>
            <w:vAlign w:val="bottom"/>
          </w:tcPr>
          <w:p w14:paraId="7B4AA5BE" w14:textId="77777777" w:rsidR="00D1587D" w:rsidRDefault="00410D07">
            <w:pPr>
              <w:ind w:right="80"/>
              <w:jc w:val="right"/>
              <w:rPr>
                <w:sz w:val="20"/>
                <w:szCs w:val="20"/>
              </w:rPr>
            </w:pPr>
            <w:r>
              <w:rPr>
                <w:rFonts w:ascii="Arial" w:eastAsia="Arial" w:hAnsi="Arial" w:cs="Arial"/>
                <w:sz w:val="14"/>
                <w:szCs w:val="14"/>
              </w:rPr>
              <w:t>—</w:t>
            </w:r>
          </w:p>
        </w:tc>
        <w:tc>
          <w:tcPr>
            <w:tcW w:w="600" w:type="dxa"/>
            <w:shd w:val="clear" w:color="auto" w:fill="CCEEFF"/>
            <w:vAlign w:val="bottom"/>
          </w:tcPr>
          <w:p w14:paraId="79C5619B"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243E739E" w14:textId="77777777" w:rsidR="00D1587D" w:rsidRDefault="00D1587D">
            <w:pPr>
              <w:rPr>
                <w:sz w:val="1"/>
                <w:szCs w:val="1"/>
              </w:rPr>
            </w:pPr>
          </w:p>
        </w:tc>
      </w:tr>
      <w:tr w:rsidR="00D1587D" w14:paraId="3B5CCEF9" w14:textId="77777777">
        <w:trPr>
          <w:trHeight w:val="256"/>
        </w:trPr>
        <w:tc>
          <w:tcPr>
            <w:tcW w:w="880" w:type="dxa"/>
            <w:shd w:val="clear" w:color="auto" w:fill="CCEEFF"/>
            <w:vAlign w:val="bottom"/>
          </w:tcPr>
          <w:p w14:paraId="3C8E7749" w14:textId="77777777" w:rsidR="00D1587D" w:rsidRDefault="00D1587D"/>
        </w:tc>
        <w:tc>
          <w:tcPr>
            <w:tcW w:w="40" w:type="dxa"/>
            <w:shd w:val="clear" w:color="auto" w:fill="CCEEFF"/>
            <w:vAlign w:val="bottom"/>
          </w:tcPr>
          <w:p w14:paraId="40830881" w14:textId="77777777" w:rsidR="00D1587D" w:rsidRDefault="00D1587D"/>
        </w:tc>
        <w:tc>
          <w:tcPr>
            <w:tcW w:w="40" w:type="dxa"/>
            <w:shd w:val="clear" w:color="auto" w:fill="CCEEFF"/>
            <w:vAlign w:val="bottom"/>
          </w:tcPr>
          <w:p w14:paraId="7DEA26A9" w14:textId="77777777" w:rsidR="00D1587D" w:rsidRDefault="00D1587D"/>
        </w:tc>
        <w:tc>
          <w:tcPr>
            <w:tcW w:w="580" w:type="dxa"/>
            <w:shd w:val="clear" w:color="auto" w:fill="CCEEFF"/>
            <w:vAlign w:val="bottom"/>
          </w:tcPr>
          <w:p w14:paraId="1ADA0D85" w14:textId="77777777" w:rsidR="00D1587D" w:rsidRDefault="00D1587D"/>
        </w:tc>
        <w:tc>
          <w:tcPr>
            <w:tcW w:w="40" w:type="dxa"/>
            <w:shd w:val="clear" w:color="auto" w:fill="CCEEFF"/>
            <w:vAlign w:val="bottom"/>
          </w:tcPr>
          <w:p w14:paraId="3A455EFD" w14:textId="77777777" w:rsidR="00D1587D" w:rsidRDefault="00D1587D"/>
        </w:tc>
        <w:tc>
          <w:tcPr>
            <w:tcW w:w="40" w:type="dxa"/>
            <w:shd w:val="clear" w:color="auto" w:fill="CCEEFF"/>
            <w:vAlign w:val="bottom"/>
          </w:tcPr>
          <w:p w14:paraId="1259E82E" w14:textId="77777777" w:rsidR="00D1587D" w:rsidRDefault="00D1587D"/>
        </w:tc>
        <w:tc>
          <w:tcPr>
            <w:tcW w:w="760" w:type="dxa"/>
            <w:shd w:val="clear" w:color="auto" w:fill="CCEEFF"/>
            <w:vAlign w:val="bottom"/>
          </w:tcPr>
          <w:p w14:paraId="1E2CDF24" w14:textId="77777777" w:rsidR="00D1587D" w:rsidRDefault="00D1587D"/>
        </w:tc>
        <w:tc>
          <w:tcPr>
            <w:tcW w:w="40" w:type="dxa"/>
            <w:shd w:val="clear" w:color="auto" w:fill="CCEEFF"/>
            <w:vAlign w:val="bottom"/>
          </w:tcPr>
          <w:p w14:paraId="3A7924EC" w14:textId="77777777" w:rsidR="00D1587D" w:rsidRDefault="00D1587D"/>
        </w:tc>
        <w:tc>
          <w:tcPr>
            <w:tcW w:w="40" w:type="dxa"/>
            <w:shd w:val="clear" w:color="auto" w:fill="CCEEFF"/>
            <w:vAlign w:val="bottom"/>
          </w:tcPr>
          <w:p w14:paraId="548A3817" w14:textId="77777777" w:rsidR="00D1587D" w:rsidRDefault="00D1587D"/>
        </w:tc>
        <w:tc>
          <w:tcPr>
            <w:tcW w:w="860" w:type="dxa"/>
            <w:shd w:val="clear" w:color="auto" w:fill="CCEEFF"/>
            <w:vAlign w:val="bottom"/>
          </w:tcPr>
          <w:p w14:paraId="5596B9B3" w14:textId="77777777" w:rsidR="00D1587D" w:rsidRDefault="00D1587D"/>
        </w:tc>
        <w:tc>
          <w:tcPr>
            <w:tcW w:w="40" w:type="dxa"/>
            <w:shd w:val="clear" w:color="auto" w:fill="CCEEFF"/>
            <w:vAlign w:val="bottom"/>
          </w:tcPr>
          <w:p w14:paraId="125EDEB9" w14:textId="77777777" w:rsidR="00D1587D" w:rsidRDefault="00D1587D"/>
        </w:tc>
        <w:tc>
          <w:tcPr>
            <w:tcW w:w="40" w:type="dxa"/>
            <w:shd w:val="clear" w:color="auto" w:fill="CCEEFF"/>
            <w:vAlign w:val="bottom"/>
          </w:tcPr>
          <w:p w14:paraId="5C9318C0" w14:textId="77777777" w:rsidR="00D1587D" w:rsidRDefault="00D1587D"/>
        </w:tc>
        <w:tc>
          <w:tcPr>
            <w:tcW w:w="760" w:type="dxa"/>
            <w:shd w:val="clear" w:color="auto" w:fill="CCEEFF"/>
            <w:vAlign w:val="bottom"/>
          </w:tcPr>
          <w:p w14:paraId="12296AC6" w14:textId="77777777" w:rsidR="00D1587D" w:rsidRDefault="00D1587D"/>
        </w:tc>
        <w:tc>
          <w:tcPr>
            <w:tcW w:w="40" w:type="dxa"/>
            <w:shd w:val="clear" w:color="auto" w:fill="CCEEFF"/>
            <w:vAlign w:val="bottom"/>
          </w:tcPr>
          <w:p w14:paraId="59F1EC6B" w14:textId="77777777" w:rsidR="00D1587D" w:rsidRDefault="00D1587D"/>
        </w:tc>
        <w:tc>
          <w:tcPr>
            <w:tcW w:w="40" w:type="dxa"/>
            <w:shd w:val="clear" w:color="auto" w:fill="CCEEFF"/>
            <w:vAlign w:val="bottom"/>
          </w:tcPr>
          <w:p w14:paraId="3107B172" w14:textId="77777777" w:rsidR="00D1587D" w:rsidRDefault="00D1587D"/>
        </w:tc>
        <w:tc>
          <w:tcPr>
            <w:tcW w:w="540" w:type="dxa"/>
            <w:shd w:val="clear" w:color="auto" w:fill="CCEEFF"/>
            <w:vAlign w:val="bottom"/>
          </w:tcPr>
          <w:p w14:paraId="0F2F1D76" w14:textId="77777777" w:rsidR="00D1587D" w:rsidRDefault="00D1587D"/>
        </w:tc>
        <w:tc>
          <w:tcPr>
            <w:tcW w:w="80" w:type="dxa"/>
            <w:shd w:val="clear" w:color="auto" w:fill="CCEEFF"/>
            <w:vAlign w:val="bottom"/>
          </w:tcPr>
          <w:p w14:paraId="1D89F071" w14:textId="77777777" w:rsidR="00D1587D" w:rsidRDefault="00D1587D"/>
        </w:tc>
        <w:tc>
          <w:tcPr>
            <w:tcW w:w="660" w:type="dxa"/>
            <w:shd w:val="clear" w:color="auto" w:fill="CCEEFF"/>
            <w:vAlign w:val="bottom"/>
          </w:tcPr>
          <w:p w14:paraId="4FD9D7D9" w14:textId="77777777" w:rsidR="00D1587D" w:rsidRDefault="00D1587D"/>
        </w:tc>
        <w:tc>
          <w:tcPr>
            <w:tcW w:w="100" w:type="dxa"/>
            <w:shd w:val="clear" w:color="auto" w:fill="CCEEFF"/>
            <w:vAlign w:val="bottom"/>
          </w:tcPr>
          <w:p w14:paraId="733A6D88" w14:textId="77777777" w:rsidR="00D1587D" w:rsidRDefault="00D1587D"/>
        </w:tc>
        <w:tc>
          <w:tcPr>
            <w:tcW w:w="740" w:type="dxa"/>
            <w:gridSpan w:val="2"/>
            <w:shd w:val="clear" w:color="auto" w:fill="CCEEFF"/>
            <w:vAlign w:val="bottom"/>
          </w:tcPr>
          <w:p w14:paraId="2388E21C" w14:textId="77777777" w:rsidR="00D1587D" w:rsidRDefault="00410D07">
            <w:pPr>
              <w:ind w:right="80"/>
              <w:jc w:val="right"/>
              <w:rPr>
                <w:sz w:val="20"/>
                <w:szCs w:val="20"/>
              </w:rPr>
            </w:pPr>
            <w:r>
              <w:rPr>
                <w:rFonts w:ascii="Arial" w:eastAsia="Arial" w:hAnsi="Arial" w:cs="Arial"/>
                <w:sz w:val="14"/>
                <w:szCs w:val="14"/>
              </w:rPr>
              <w:t>3/21/2018</w:t>
            </w:r>
          </w:p>
        </w:tc>
        <w:tc>
          <w:tcPr>
            <w:tcW w:w="740" w:type="dxa"/>
            <w:gridSpan w:val="2"/>
            <w:shd w:val="clear" w:color="auto" w:fill="CCEEFF"/>
            <w:vAlign w:val="bottom"/>
          </w:tcPr>
          <w:p w14:paraId="55570EA2" w14:textId="77777777" w:rsidR="00D1587D" w:rsidRDefault="00410D07">
            <w:pPr>
              <w:spacing w:line="256" w:lineRule="exact"/>
              <w:ind w:right="80"/>
              <w:jc w:val="right"/>
              <w:rPr>
                <w:sz w:val="20"/>
                <w:szCs w:val="20"/>
              </w:rPr>
            </w:pPr>
            <w:r>
              <w:rPr>
                <w:rFonts w:ascii="Arial" w:eastAsia="Arial" w:hAnsi="Arial" w:cs="Arial"/>
                <w:w w:val="91"/>
                <w:sz w:val="14"/>
                <w:szCs w:val="14"/>
              </w:rPr>
              <w:t>26,637</w:t>
            </w:r>
            <w:r>
              <w:rPr>
                <w:rFonts w:ascii="Arial" w:eastAsia="Arial" w:hAnsi="Arial" w:cs="Arial"/>
                <w:w w:val="91"/>
                <w:sz w:val="23"/>
                <w:szCs w:val="23"/>
                <w:vertAlign w:val="superscript"/>
              </w:rPr>
              <w:t>(10)</w:t>
            </w:r>
          </w:p>
        </w:tc>
        <w:tc>
          <w:tcPr>
            <w:tcW w:w="680" w:type="dxa"/>
            <w:gridSpan w:val="2"/>
            <w:shd w:val="clear" w:color="auto" w:fill="CCEEFF"/>
            <w:vAlign w:val="bottom"/>
          </w:tcPr>
          <w:p w14:paraId="07D93B1D" w14:textId="77777777" w:rsidR="00D1587D" w:rsidRDefault="00410D07">
            <w:pPr>
              <w:ind w:right="80"/>
              <w:jc w:val="right"/>
              <w:rPr>
                <w:sz w:val="20"/>
                <w:szCs w:val="20"/>
              </w:rPr>
            </w:pPr>
            <w:r>
              <w:rPr>
                <w:rFonts w:ascii="Arial" w:eastAsia="Arial" w:hAnsi="Arial" w:cs="Arial"/>
                <w:w w:val="93"/>
                <w:sz w:val="14"/>
                <w:szCs w:val="14"/>
              </w:rPr>
              <w:t>1,085,724</w:t>
            </w:r>
          </w:p>
        </w:tc>
        <w:tc>
          <w:tcPr>
            <w:tcW w:w="700" w:type="dxa"/>
            <w:gridSpan w:val="2"/>
            <w:shd w:val="clear" w:color="auto" w:fill="CCEEFF"/>
            <w:vAlign w:val="bottom"/>
          </w:tcPr>
          <w:p w14:paraId="33BD8E58" w14:textId="77777777" w:rsidR="00D1587D" w:rsidRDefault="00410D07">
            <w:pPr>
              <w:ind w:right="80"/>
              <w:jc w:val="right"/>
              <w:rPr>
                <w:sz w:val="20"/>
                <w:szCs w:val="20"/>
              </w:rPr>
            </w:pPr>
            <w:r>
              <w:rPr>
                <w:rFonts w:ascii="Arial" w:eastAsia="Arial" w:hAnsi="Arial" w:cs="Arial"/>
                <w:sz w:val="14"/>
                <w:szCs w:val="14"/>
              </w:rPr>
              <w:t>—</w:t>
            </w:r>
          </w:p>
        </w:tc>
        <w:tc>
          <w:tcPr>
            <w:tcW w:w="600" w:type="dxa"/>
            <w:shd w:val="clear" w:color="auto" w:fill="CCEEFF"/>
            <w:vAlign w:val="bottom"/>
          </w:tcPr>
          <w:p w14:paraId="0A0A9266"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529F1105" w14:textId="77777777" w:rsidR="00D1587D" w:rsidRDefault="00D1587D">
            <w:pPr>
              <w:rPr>
                <w:sz w:val="1"/>
                <w:szCs w:val="1"/>
              </w:rPr>
            </w:pPr>
          </w:p>
        </w:tc>
      </w:tr>
      <w:tr w:rsidR="00D1587D" w14:paraId="6C74FE23" w14:textId="77777777">
        <w:trPr>
          <w:trHeight w:val="256"/>
        </w:trPr>
        <w:tc>
          <w:tcPr>
            <w:tcW w:w="880" w:type="dxa"/>
            <w:shd w:val="clear" w:color="auto" w:fill="CCEEFF"/>
            <w:vAlign w:val="bottom"/>
          </w:tcPr>
          <w:p w14:paraId="727CFE58" w14:textId="77777777" w:rsidR="00D1587D" w:rsidRDefault="00D1587D"/>
        </w:tc>
        <w:tc>
          <w:tcPr>
            <w:tcW w:w="40" w:type="dxa"/>
            <w:shd w:val="clear" w:color="auto" w:fill="CCEEFF"/>
            <w:vAlign w:val="bottom"/>
          </w:tcPr>
          <w:p w14:paraId="403678A5" w14:textId="77777777" w:rsidR="00D1587D" w:rsidRDefault="00D1587D"/>
        </w:tc>
        <w:tc>
          <w:tcPr>
            <w:tcW w:w="40" w:type="dxa"/>
            <w:shd w:val="clear" w:color="auto" w:fill="CCEEFF"/>
            <w:vAlign w:val="bottom"/>
          </w:tcPr>
          <w:p w14:paraId="04BF2364" w14:textId="77777777" w:rsidR="00D1587D" w:rsidRDefault="00D1587D"/>
        </w:tc>
        <w:tc>
          <w:tcPr>
            <w:tcW w:w="580" w:type="dxa"/>
            <w:shd w:val="clear" w:color="auto" w:fill="CCEEFF"/>
            <w:vAlign w:val="bottom"/>
          </w:tcPr>
          <w:p w14:paraId="33BD77D0" w14:textId="77777777" w:rsidR="00D1587D" w:rsidRDefault="00D1587D"/>
        </w:tc>
        <w:tc>
          <w:tcPr>
            <w:tcW w:w="40" w:type="dxa"/>
            <w:shd w:val="clear" w:color="auto" w:fill="CCEEFF"/>
            <w:vAlign w:val="bottom"/>
          </w:tcPr>
          <w:p w14:paraId="06AA4128" w14:textId="77777777" w:rsidR="00D1587D" w:rsidRDefault="00D1587D"/>
        </w:tc>
        <w:tc>
          <w:tcPr>
            <w:tcW w:w="40" w:type="dxa"/>
            <w:shd w:val="clear" w:color="auto" w:fill="CCEEFF"/>
            <w:vAlign w:val="bottom"/>
          </w:tcPr>
          <w:p w14:paraId="4C923FCC" w14:textId="77777777" w:rsidR="00D1587D" w:rsidRDefault="00D1587D"/>
        </w:tc>
        <w:tc>
          <w:tcPr>
            <w:tcW w:w="760" w:type="dxa"/>
            <w:shd w:val="clear" w:color="auto" w:fill="CCEEFF"/>
            <w:vAlign w:val="bottom"/>
          </w:tcPr>
          <w:p w14:paraId="21A64BA7" w14:textId="77777777" w:rsidR="00D1587D" w:rsidRDefault="00D1587D"/>
        </w:tc>
        <w:tc>
          <w:tcPr>
            <w:tcW w:w="40" w:type="dxa"/>
            <w:shd w:val="clear" w:color="auto" w:fill="CCEEFF"/>
            <w:vAlign w:val="bottom"/>
          </w:tcPr>
          <w:p w14:paraId="03B117A5" w14:textId="77777777" w:rsidR="00D1587D" w:rsidRDefault="00D1587D"/>
        </w:tc>
        <w:tc>
          <w:tcPr>
            <w:tcW w:w="40" w:type="dxa"/>
            <w:shd w:val="clear" w:color="auto" w:fill="CCEEFF"/>
            <w:vAlign w:val="bottom"/>
          </w:tcPr>
          <w:p w14:paraId="3BE4BD7A" w14:textId="77777777" w:rsidR="00D1587D" w:rsidRDefault="00D1587D"/>
        </w:tc>
        <w:tc>
          <w:tcPr>
            <w:tcW w:w="860" w:type="dxa"/>
            <w:shd w:val="clear" w:color="auto" w:fill="CCEEFF"/>
            <w:vAlign w:val="bottom"/>
          </w:tcPr>
          <w:p w14:paraId="5145D56C" w14:textId="77777777" w:rsidR="00D1587D" w:rsidRDefault="00D1587D"/>
        </w:tc>
        <w:tc>
          <w:tcPr>
            <w:tcW w:w="40" w:type="dxa"/>
            <w:shd w:val="clear" w:color="auto" w:fill="CCEEFF"/>
            <w:vAlign w:val="bottom"/>
          </w:tcPr>
          <w:p w14:paraId="7F1983D8" w14:textId="77777777" w:rsidR="00D1587D" w:rsidRDefault="00D1587D"/>
        </w:tc>
        <w:tc>
          <w:tcPr>
            <w:tcW w:w="40" w:type="dxa"/>
            <w:shd w:val="clear" w:color="auto" w:fill="CCEEFF"/>
            <w:vAlign w:val="bottom"/>
          </w:tcPr>
          <w:p w14:paraId="10E40017" w14:textId="77777777" w:rsidR="00D1587D" w:rsidRDefault="00D1587D"/>
        </w:tc>
        <w:tc>
          <w:tcPr>
            <w:tcW w:w="760" w:type="dxa"/>
            <w:shd w:val="clear" w:color="auto" w:fill="CCEEFF"/>
            <w:vAlign w:val="bottom"/>
          </w:tcPr>
          <w:p w14:paraId="15E42755" w14:textId="77777777" w:rsidR="00D1587D" w:rsidRDefault="00D1587D"/>
        </w:tc>
        <w:tc>
          <w:tcPr>
            <w:tcW w:w="40" w:type="dxa"/>
            <w:shd w:val="clear" w:color="auto" w:fill="CCEEFF"/>
            <w:vAlign w:val="bottom"/>
          </w:tcPr>
          <w:p w14:paraId="6CC5AB76" w14:textId="77777777" w:rsidR="00D1587D" w:rsidRDefault="00D1587D"/>
        </w:tc>
        <w:tc>
          <w:tcPr>
            <w:tcW w:w="40" w:type="dxa"/>
            <w:shd w:val="clear" w:color="auto" w:fill="CCEEFF"/>
            <w:vAlign w:val="bottom"/>
          </w:tcPr>
          <w:p w14:paraId="764FC7EC" w14:textId="77777777" w:rsidR="00D1587D" w:rsidRDefault="00D1587D"/>
        </w:tc>
        <w:tc>
          <w:tcPr>
            <w:tcW w:w="540" w:type="dxa"/>
            <w:shd w:val="clear" w:color="auto" w:fill="CCEEFF"/>
            <w:vAlign w:val="bottom"/>
          </w:tcPr>
          <w:p w14:paraId="6DB5A4E3" w14:textId="77777777" w:rsidR="00D1587D" w:rsidRDefault="00D1587D"/>
        </w:tc>
        <w:tc>
          <w:tcPr>
            <w:tcW w:w="80" w:type="dxa"/>
            <w:shd w:val="clear" w:color="auto" w:fill="CCEEFF"/>
            <w:vAlign w:val="bottom"/>
          </w:tcPr>
          <w:p w14:paraId="6C8397EA" w14:textId="77777777" w:rsidR="00D1587D" w:rsidRDefault="00D1587D"/>
        </w:tc>
        <w:tc>
          <w:tcPr>
            <w:tcW w:w="660" w:type="dxa"/>
            <w:shd w:val="clear" w:color="auto" w:fill="CCEEFF"/>
            <w:vAlign w:val="bottom"/>
          </w:tcPr>
          <w:p w14:paraId="0F67EB2A" w14:textId="77777777" w:rsidR="00D1587D" w:rsidRDefault="00D1587D"/>
        </w:tc>
        <w:tc>
          <w:tcPr>
            <w:tcW w:w="100" w:type="dxa"/>
            <w:shd w:val="clear" w:color="auto" w:fill="CCEEFF"/>
            <w:vAlign w:val="bottom"/>
          </w:tcPr>
          <w:p w14:paraId="20B5672D" w14:textId="77777777" w:rsidR="00D1587D" w:rsidRDefault="00D1587D"/>
        </w:tc>
        <w:tc>
          <w:tcPr>
            <w:tcW w:w="740" w:type="dxa"/>
            <w:gridSpan w:val="2"/>
            <w:shd w:val="clear" w:color="auto" w:fill="CCEEFF"/>
            <w:vAlign w:val="bottom"/>
          </w:tcPr>
          <w:p w14:paraId="6A43F6AC" w14:textId="77777777" w:rsidR="00D1587D" w:rsidRDefault="00410D07">
            <w:pPr>
              <w:ind w:right="80"/>
              <w:jc w:val="right"/>
              <w:rPr>
                <w:sz w:val="20"/>
                <w:szCs w:val="20"/>
              </w:rPr>
            </w:pPr>
            <w:r>
              <w:rPr>
                <w:rFonts w:ascii="Arial" w:eastAsia="Arial" w:hAnsi="Arial" w:cs="Arial"/>
                <w:sz w:val="14"/>
                <w:szCs w:val="14"/>
              </w:rPr>
              <w:t>4/25/2018</w:t>
            </w:r>
          </w:p>
        </w:tc>
        <w:tc>
          <w:tcPr>
            <w:tcW w:w="740" w:type="dxa"/>
            <w:gridSpan w:val="2"/>
            <w:shd w:val="clear" w:color="auto" w:fill="CCEEFF"/>
            <w:vAlign w:val="bottom"/>
          </w:tcPr>
          <w:p w14:paraId="4C5B0FB5" w14:textId="77777777" w:rsidR="00D1587D" w:rsidRDefault="00410D07">
            <w:pPr>
              <w:spacing w:line="256" w:lineRule="exact"/>
              <w:ind w:right="80"/>
              <w:jc w:val="right"/>
              <w:rPr>
                <w:sz w:val="20"/>
                <w:szCs w:val="20"/>
              </w:rPr>
            </w:pPr>
            <w:r>
              <w:rPr>
                <w:rFonts w:ascii="Arial" w:eastAsia="Arial" w:hAnsi="Arial" w:cs="Arial"/>
                <w:w w:val="91"/>
                <w:sz w:val="14"/>
                <w:szCs w:val="14"/>
              </w:rPr>
              <w:t>11,280</w:t>
            </w:r>
            <w:r>
              <w:rPr>
                <w:rFonts w:ascii="Arial" w:eastAsia="Arial" w:hAnsi="Arial" w:cs="Arial"/>
                <w:w w:val="91"/>
                <w:sz w:val="23"/>
                <w:szCs w:val="23"/>
                <w:vertAlign w:val="superscript"/>
              </w:rPr>
              <w:t>(13)</w:t>
            </w:r>
          </w:p>
        </w:tc>
        <w:tc>
          <w:tcPr>
            <w:tcW w:w="680" w:type="dxa"/>
            <w:gridSpan w:val="2"/>
            <w:shd w:val="clear" w:color="auto" w:fill="CCEEFF"/>
            <w:vAlign w:val="bottom"/>
          </w:tcPr>
          <w:p w14:paraId="5C7669D2" w14:textId="77777777" w:rsidR="00D1587D" w:rsidRDefault="00410D07">
            <w:pPr>
              <w:ind w:right="80"/>
              <w:jc w:val="right"/>
              <w:rPr>
                <w:sz w:val="20"/>
                <w:szCs w:val="20"/>
              </w:rPr>
            </w:pPr>
            <w:r>
              <w:rPr>
                <w:rFonts w:ascii="Arial" w:eastAsia="Arial" w:hAnsi="Arial" w:cs="Arial"/>
                <w:sz w:val="14"/>
                <w:szCs w:val="14"/>
              </w:rPr>
              <w:t>459,773</w:t>
            </w:r>
          </w:p>
        </w:tc>
        <w:tc>
          <w:tcPr>
            <w:tcW w:w="700" w:type="dxa"/>
            <w:gridSpan w:val="2"/>
            <w:shd w:val="clear" w:color="auto" w:fill="CCEEFF"/>
            <w:vAlign w:val="bottom"/>
          </w:tcPr>
          <w:p w14:paraId="45C679AD" w14:textId="77777777" w:rsidR="00D1587D" w:rsidRDefault="00410D07">
            <w:pPr>
              <w:ind w:right="80"/>
              <w:jc w:val="right"/>
              <w:rPr>
                <w:sz w:val="20"/>
                <w:szCs w:val="20"/>
              </w:rPr>
            </w:pPr>
            <w:r>
              <w:rPr>
                <w:rFonts w:ascii="Arial" w:eastAsia="Arial" w:hAnsi="Arial" w:cs="Arial"/>
                <w:sz w:val="14"/>
                <w:szCs w:val="14"/>
              </w:rPr>
              <w:t>—</w:t>
            </w:r>
          </w:p>
        </w:tc>
        <w:tc>
          <w:tcPr>
            <w:tcW w:w="600" w:type="dxa"/>
            <w:shd w:val="clear" w:color="auto" w:fill="CCEEFF"/>
            <w:vAlign w:val="bottom"/>
          </w:tcPr>
          <w:p w14:paraId="6A36BA43"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50948311" w14:textId="77777777" w:rsidR="00D1587D" w:rsidRDefault="00D1587D">
            <w:pPr>
              <w:rPr>
                <w:sz w:val="1"/>
                <w:szCs w:val="1"/>
              </w:rPr>
            </w:pPr>
          </w:p>
        </w:tc>
      </w:tr>
      <w:tr w:rsidR="00D1587D" w14:paraId="79383B95" w14:textId="77777777">
        <w:trPr>
          <w:trHeight w:val="256"/>
        </w:trPr>
        <w:tc>
          <w:tcPr>
            <w:tcW w:w="880" w:type="dxa"/>
            <w:shd w:val="clear" w:color="auto" w:fill="CCEEFF"/>
            <w:vAlign w:val="bottom"/>
          </w:tcPr>
          <w:p w14:paraId="5F46722F" w14:textId="77777777" w:rsidR="00D1587D" w:rsidRDefault="00D1587D"/>
        </w:tc>
        <w:tc>
          <w:tcPr>
            <w:tcW w:w="40" w:type="dxa"/>
            <w:shd w:val="clear" w:color="auto" w:fill="CCEEFF"/>
            <w:vAlign w:val="bottom"/>
          </w:tcPr>
          <w:p w14:paraId="2C975D73" w14:textId="77777777" w:rsidR="00D1587D" w:rsidRDefault="00D1587D"/>
        </w:tc>
        <w:tc>
          <w:tcPr>
            <w:tcW w:w="40" w:type="dxa"/>
            <w:shd w:val="clear" w:color="auto" w:fill="CCEEFF"/>
            <w:vAlign w:val="bottom"/>
          </w:tcPr>
          <w:p w14:paraId="45E8DF97" w14:textId="77777777" w:rsidR="00D1587D" w:rsidRDefault="00D1587D"/>
        </w:tc>
        <w:tc>
          <w:tcPr>
            <w:tcW w:w="580" w:type="dxa"/>
            <w:shd w:val="clear" w:color="auto" w:fill="CCEEFF"/>
            <w:vAlign w:val="bottom"/>
          </w:tcPr>
          <w:p w14:paraId="11D68364" w14:textId="77777777" w:rsidR="00D1587D" w:rsidRDefault="00D1587D"/>
        </w:tc>
        <w:tc>
          <w:tcPr>
            <w:tcW w:w="40" w:type="dxa"/>
            <w:shd w:val="clear" w:color="auto" w:fill="CCEEFF"/>
            <w:vAlign w:val="bottom"/>
          </w:tcPr>
          <w:p w14:paraId="6D7B5D81" w14:textId="77777777" w:rsidR="00D1587D" w:rsidRDefault="00D1587D"/>
        </w:tc>
        <w:tc>
          <w:tcPr>
            <w:tcW w:w="40" w:type="dxa"/>
            <w:shd w:val="clear" w:color="auto" w:fill="CCEEFF"/>
            <w:vAlign w:val="bottom"/>
          </w:tcPr>
          <w:p w14:paraId="30BF1753" w14:textId="77777777" w:rsidR="00D1587D" w:rsidRDefault="00D1587D"/>
        </w:tc>
        <w:tc>
          <w:tcPr>
            <w:tcW w:w="760" w:type="dxa"/>
            <w:shd w:val="clear" w:color="auto" w:fill="CCEEFF"/>
            <w:vAlign w:val="bottom"/>
          </w:tcPr>
          <w:p w14:paraId="2DEE8F90" w14:textId="77777777" w:rsidR="00D1587D" w:rsidRDefault="00D1587D"/>
        </w:tc>
        <w:tc>
          <w:tcPr>
            <w:tcW w:w="40" w:type="dxa"/>
            <w:shd w:val="clear" w:color="auto" w:fill="CCEEFF"/>
            <w:vAlign w:val="bottom"/>
          </w:tcPr>
          <w:p w14:paraId="34065AEF" w14:textId="77777777" w:rsidR="00D1587D" w:rsidRDefault="00D1587D"/>
        </w:tc>
        <w:tc>
          <w:tcPr>
            <w:tcW w:w="40" w:type="dxa"/>
            <w:shd w:val="clear" w:color="auto" w:fill="CCEEFF"/>
            <w:vAlign w:val="bottom"/>
          </w:tcPr>
          <w:p w14:paraId="72DB5192" w14:textId="77777777" w:rsidR="00D1587D" w:rsidRDefault="00D1587D"/>
        </w:tc>
        <w:tc>
          <w:tcPr>
            <w:tcW w:w="860" w:type="dxa"/>
            <w:shd w:val="clear" w:color="auto" w:fill="CCEEFF"/>
            <w:vAlign w:val="bottom"/>
          </w:tcPr>
          <w:p w14:paraId="62D54A91" w14:textId="77777777" w:rsidR="00D1587D" w:rsidRDefault="00D1587D"/>
        </w:tc>
        <w:tc>
          <w:tcPr>
            <w:tcW w:w="40" w:type="dxa"/>
            <w:shd w:val="clear" w:color="auto" w:fill="CCEEFF"/>
            <w:vAlign w:val="bottom"/>
          </w:tcPr>
          <w:p w14:paraId="2B9A98AF" w14:textId="77777777" w:rsidR="00D1587D" w:rsidRDefault="00D1587D"/>
        </w:tc>
        <w:tc>
          <w:tcPr>
            <w:tcW w:w="40" w:type="dxa"/>
            <w:shd w:val="clear" w:color="auto" w:fill="CCEEFF"/>
            <w:vAlign w:val="bottom"/>
          </w:tcPr>
          <w:p w14:paraId="64E03CA7" w14:textId="77777777" w:rsidR="00D1587D" w:rsidRDefault="00D1587D"/>
        </w:tc>
        <w:tc>
          <w:tcPr>
            <w:tcW w:w="760" w:type="dxa"/>
            <w:shd w:val="clear" w:color="auto" w:fill="CCEEFF"/>
            <w:vAlign w:val="bottom"/>
          </w:tcPr>
          <w:p w14:paraId="0983ACA9" w14:textId="77777777" w:rsidR="00D1587D" w:rsidRDefault="00D1587D"/>
        </w:tc>
        <w:tc>
          <w:tcPr>
            <w:tcW w:w="40" w:type="dxa"/>
            <w:shd w:val="clear" w:color="auto" w:fill="CCEEFF"/>
            <w:vAlign w:val="bottom"/>
          </w:tcPr>
          <w:p w14:paraId="1B8388A4" w14:textId="77777777" w:rsidR="00D1587D" w:rsidRDefault="00D1587D"/>
        </w:tc>
        <w:tc>
          <w:tcPr>
            <w:tcW w:w="40" w:type="dxa"/>
            <w:shd w:val="clear" w:color="auto" w:fill="CCEEFF"/>
            <w:vAlign w:val="bottom"/>
          </w:tcPr>
          <w:p w14:paraId="201DCCBA" w14:textId="77777777" w:rsidR="00D1587D" w:rsidRDefault="00D1587D"/>
        </w:tc>
        <w:tc>
          <w:tcPr>
            <w:tcW w:w="540" w:type="dxa"/>
            <w:shd w:val="clear" w:color="auto" w:fill="CCEEFF"/>
            <w:vAlign w:val="bottom"/>
          </w:tcPr>
          <w:p w14:paraId="3243CA8C" w14:textId="77777777" w:rsidR="00D1587D" w:rsidRDefault="00D1587D"/>
        </w:tc>
        <w:tc>
          <w:tcPr>
            <w:tcW w:w="80" w:type="dxa"/>
            <w:shd w:val="clear" w:color="auto" w:fill="CCEEFF"/>
            <w:vAlign w:val="bottom"/>
          </w:tcPr>
          <w:p w14:paraId="6DBE2191" w14:textId="77777777" w:rsidR="00D1587D" w:rsidRDefault="00D1587D"/>
        </w:tc>
        <w:tc>
          <w:tcPr>
            <w:tcW w:w="660" w:type="dxa"/>
            <w:shd w:val="clear" w:color="auto" w:fill="CCEEFF"/>
            <w:vAlign w:val="bottom"/>
          </w:tcPr>
          <w:p w14:paraId="321AA72C" w14:textId="77777777" w:rsidR="00D1587D" w:rsidRDefault="00D1587D"/>
        </w:tc>
        <w:tc>
          <w:tcPr>
            <w:tcW w:w="100" w:type="dxa"/>
            <w:shd w:val="clear" w:color="auto" w:fill="CCEEFF"/>
            <w:vAlign w:val="bottom"/>
          </w:tcPr>
          <w:p w14:paraId="438C0140" w14:textId="77777777" w:rsidR="00D1587D" w:rsidRDefault="00D1587D"/>
        </w:tc>
        <w:tc>
          <w:tcPr>
            <w:tcW w:w="740" w:type="dxa"/>
            <w:gridSpan w:val="2"/>
            <w:shd w:val="clear" w:color="auto" w:fill="CCEEFF"/>
            <w:vAlign w:val="bottom"/>
          </w:tcPr>
          <w:p w14:paraId="6D18CBEA" w14:textId="77777777" w:rsidR="00D1587D" w:rsidRDefault="00410D07">
            <w:pPr>
              <w:ind w:right="80"/>
              <w:jc w:val="right"/>
              <w:rPr>
                <w:sz w:val="20"/>
                <w:szCs w:val="20"/>
              </w:rPr>
            </w:pPr>
            <w:r>
              <w:rPr>
                <w:rFonts w:ascii="Arial" w:eastAsia="Arial" w:hAnsi="Arial" w:cs="Arial"/>
                <w:sz w:val="14"/>
                <w:szCs w:val="14"/>
              </w:rPr>
              <w:t>3/28/2019</w:t>
            </w:r>
          </w:p>
        </w:tc>
        <w:tc>
          <w:tcPr>
            <w:tcW w:w="740" w:type="dxa"/>
            <w:gridSpan w:val="2"/>
            <w:shd w:val="clear" w:color="auto" w:fill="CCEEFF"/>
            <w:vAlign w:val="bottom"/>
          </w:tcPr>
          <w:p w14:paraId="6B53BDC7" w14:textId="77777777" w:rsidR="00D1587D" w:rsidRDefault="00410D07">
            <w:pPr>
              <w:spacing w:line="256" w:lineRule="exact"/>
              <w:ind w:right="80"/>
              <w:jc w:val="right"/>
              <w:rPr>
                <w:sz w:val="20"/>
                <w:szCs w:val="20"/>
              </w:rPr>
            </w:pPr>
            <w:r>
              <w:rPr>
                <w:rFonts w:ascii="Arial" w:eastAsia="Arial" w:hAnsi="Arial" w:cs="Arial"/>
                <w:sz w:val="14"/>
                <w:szCs w:val="14"/>
              </w:rPr>
              <w:t>53,239</w:t>
            </w:r>
            <w:r>
              <w:rPr>
                <w:rFonts w:ascii="Arial" w:eastAsia="Arial" w:hAnsi="Arial" w:cs="Arial"/>
                <w:sz w:val="23"/>
                <w:szCs w:val="23"/>
                <w:vertAlign w:val="superscript"/>
              </w:rPr>
              <w:t>(6)</w:t>
            </w:r>
          </w:p>
        </w:tc>
        <w:tc>
          <w:tcPr>
            <w:tcW w:w="680" w:type="dxa"/>
            <w:gridSpan w:val="2"/>
            <w:shd w:val="clear" w:color="auto" w:fill="CCEEFF"/>
            <w:vAlign w:val="bottom"/>
          </w:tcPr>
          <w:p w14:paraId="06A4592F" w14:textId="77777777" w:rsidR="00D1587D" w:rsidRDefault="00410D07">
            <w:pPr>
              <w:ind w:right="80"/>
              <w:jc w:val="right"/>
              <w:rPr>
                <w:sz w:val="20"/>
                <w:szCs w:val="20"/>
              </w:rPr>
            </w:pPr>
            <w:r>
              <w:rPr>
                <w:rFonts w:ascii="Arial" w:eastAsia="Arial" w:hAnsi="Arial" w:cs="Arial"/>
                <w:w w:val="93"/>
                <w:sz w:val="14"/>
                <w:szCs w:val="14"/>
              </w:rPr>
              <w:t>2,170,022</w:t>
            </w:r>
          </w:p>
        </w:tc>
        <w:tc>
          <w:tcPr>
            <w:tcW w:w="700" w:type="dxa"/>
            <w:gridSpan w:val="2"/>
            <w:shd w:val="clear" w:color="auto" w:fill="CCEEFF"/>
            <w:vAlign w:val="bottom"/>
          </w:tcPr>
          <w:p w14:paraId="69FE041D" w14:textId="77777777" w:rsidR="00D1587D" w:rsidRDefault="00410D07">
            <w:pPr>
              <w:ind w:right="80"/>
              <w:jc w:val="right"/>
              <w:rPr>
                <w:sz w:val="20"/>
                <w:szCs w:val="20"/>
              </w:rPr>
            </w:pPr>
            <w:r>
              <w:rPr>
                <w:rFonts w:ascii="Arial" w:eastAsia="Arial" w:hAnsi="Arial" w:cs="Arial"/>
                <w:sz w:val="14"/>
                <w:szCs w:val="14"/>
              </w:rPr>
              <w:t>—</w:t>
            </w:r>
          </w:p>
        </w:tc>
        <w:tc>
          <w:tcPr>
            <w:tcW w:w="600" w:type="dxa"/>
            <w:shd w:val="clear" w:color="auto" w:fill="CCEEFF"/>
            <w:vAlign w:val="bottom"/>
          </w:tcPr>
          <w:p w14:paraId="50F0B489"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3D4ACA1B" w14:textId="77777777" w:rsidR="00D1587D" w:rsidRDefault="00D1587D">
            <w:pPr>
              <w:rPr>
                <w:sz w:val="1"/>
                <w:szCs w:val="1"/>
              </w:rPr>
            </w:pPr>
          </w:p>
        </w:tc>
      </w:tr>
    </w:tbl>
    <w:p w14:paraId="7D52B1CB" w14:textId="77777777" w:rsidR="00D1587D" w:rsidRDefault="00410D07">
      <w:pPr>
        <w:spacing w:line="20" w:lineRule="exact"/>
        <w:rPr>
          <w:sz w:val="20"/>
          <w:szCs w:val="20"/>
        </w:rPr>
      </w:pPr>
      <w:r>
        <w:rPr>
          <w:noProof/>
          <w:sz w:val="20"/>
          <w:szCs w:val="20"/>
        </w:rPr>
        <w:drawing>
          <wp:anchor distT="0" distB="0" distL="114300" distR="114300" simplePos="0" relativeHeight="251886592" behindDoc="1" locked="0" layoutInCell="0" allowOverlap="1" wp14:anchorId="4449602D" wp14:editId="4DFB7138">
            <wp:simplePos x="0" y="0"/>
            <wp:positionH relativeFrom="column">
              <wp:posOffset>5328285</wp:posOffset>
            </wp:positionH>
            <wp:positionV relativeFrom="paragraph">
              <wp:posOffset>-5974080</wp:posOffset>
            </wp:positionV>
            <wp:extent cx="51435" cy="8255"/>
            <wp:effectExtent l="0" t="0" r="0" b="0"/>
            <wp:wrapNone/>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87616" behindDoc="1" locked="0" layoutInCell="0" allowOverlap="1" wp14:anchorId="42334723" wp14:editId="443CE2BB">
            <wp:simplePos x="0" y="0"/>
            <wp:positionH relativeFrom="column">
              <wp:posOffset>4891405</wp:posOffset>
            </wp:positionH>
            <wp:positionV relativeFrom="paragraph">
              <wp:posOffset>-5974080</wp:posOffset>
            </wp:positionV>
            <wp:extent cx="51435" cy="8255"/>
            <wp:effectExtent l="0" t="0" r="0" b="0"/>
            <wp:wrapNone/>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88640" behindDoc="1" locked="0" layoutInCell="0" allowOverlap="1" wp14:anchorId="6ED2F1AE" wp14:editId="2D8E8092">
            <wp:simplePos x="0" y="0"/>
            <wp:positionH relativeFrom="column">
              <wp:posOffset>4462780</wp:posOffset>
            </wp:positionH>
            <wp:positionV relativeFrom="paragraph">
              <wp:posOffset>-5974080</wp:posOffset>
            </wp:positionV>
            <wp:extent cx="51435" cy="8255"/>
            <wp:effectExtent l="0" t="0" r="0" b="0"/>
            <wp:wrapNone/>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89664" behindDoc="1" locked="0" layoutInCell="0" allowOverlap="1" wp14:anchorId="4EE72B4B" wp14:editId="1574B650">
            <wp:simplePos x="0" y="0"/>
            <wp:positionH relativeFrom="column">
              <wp:posOffset>3982720</wp:posOffset>
            </wp:positionH>
            <wp:positionV relativeFrom="paragraph">
              <wp:posOffset>-5974080</wp:posOffset>
            </wp:positionV>
            <wp:extent cx="51435" cy="8255"/>
            <wp:effectExtent l="0" t="0" r="0" b="0"/>
            <wp:wrapNone/>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90688" behindDoc="1" locked="0" layoutInCell="0" allowOverlap="1" wp14:anchorId="3982DB47" wp14:editId="6C22FFD1">
            <wp:simplePos x="0" y="0"/>
            <wp:positionH relativeFrom="column">
              <wp:posOffset>3510915</wp:posOffset>
            </wp:positionH>
            <wp:positionV relativeFrom="paragraph">
              <wp:posOffset>-5974080</wp:posOffset>
            </wp:positionV>
            <wp:extent cx="51435" cy="8255"/>
            <wp:effectExtent l="0" t="0" r="0" b="0"/>
            <wp:wrapNone/>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91712" behindDoc="1" locked="0" layoutInCell="0" allowOverlap="1" wp14:anchorId="15BCEAA4" wp14:editId="0B8256D8">
            <wp:simplePos x="0" y="0"/>
            <wp:positionH relativeFrom="column">
              <wp:posOffset>3030855</wp:posOffset>
            </wp:positionH>
            <wp:positionV relativeFrom="paragraph">
              <wp:posOffset>-5974080</wp:posOffset>
            </wp:positionV>
            <wp:extent cx="51435" cy="8255"/>
            <wp:effectExtent l="0" t="0" r="0" b="0"/>
            <wp:wrapNone/>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92736" behindDoc="1" locked="0" layoutInCell="0" allowOverlap="1" wp14:anchorId="224A57F7" wp14:editId="191D5AC0">
            <wp:simplePos x="0" y="0"/>
            <wp:positionH relativeFrom="column">
              <wp:posOffset>2645410</wp:posOffset>
            </wp:positionH>
            <wp:positionV relativeFrom="paragraph">
              <wp:posOffset>-5974080</wp:posOffset>
            </wp:positionV>
            <wp:extent cx="51435" cy="8255"/>
            <wp:effectExtent l="0" t="0" r="0" b="0"/>
            <wp:wrapNone/>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93760" behindDoc="1" locked="0" layoutInCell="0" allowOverlap="1" wp14:anchorId="162F3E2F" wp14:editId="2D716106">
            <wp:simplePos x="0" y="0"/>
            <wp:positionH relativeFrom="column">
              <wp:posOffset>2113915</wp:posOffset>
            </wp:positionH>
            <wp:positionV relativeFrom="paragraph">
              <wp:posOffset>-5974080</wp:posOffset>
            </wp:positionV>
            <wp:extent cx="51435" cy="8255"/>
            <wp:effectExtent l="0" t="0" r="0" b="0"/>
            <wp:wrapNone/>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94784" behindDoc="1" locked="0" layoutInCell="0" allowOverlap="1" wp14:anchorId="71A3F5BF" wp14:editId="3A17A709">
            <wp:simplePos x="0" y="0"/>
            <wp:positionH relativeFrom="column">
              <wp:posOffset>1513840</wp:posOffset>
            </wp:positionH>
            <wp:positionV relativeFrom="paragraph">
              <wp:posOffset>-5974080</wp:posOffset>
            </wp:positionV>
            <wp:extent cx="51435" cy="8255"/>
            <wp:effectExtent l="0" t="0" r="0" b="0"/>
            <wp:wrapNone/>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95808" behindDoc="1" locked="0" layoutInCell="0" allowOverlap="1" wp14:anchorId="386FC77B" wp14:editId="334490E7">
            <wp:simplePos x="0" y="0"/>
            <wp:positionH relativeFrom="column">
              <wp:posOffset>982345</wp:posOffset>
            </wp:positionH>
            <wp:positionV relativeFrom="paragraph">
              <wp:posOffset>-5974080</wp:posOffset>
            </wp:positionV>
            <wp:extent cx="51435" cy="8255"/>
            <wp:effectExtent l="0" t="0" r="0" b="0"/>
            <wp:wrapNone/>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1896832" behindDoc="1" locked="0" layoutInCell="0" allowOverlap="1" wp14:anchorId="6877B1E0" wp14:editId="52EFD4E9">
            <wp:simplePos x="0" y="0"/>
            <wp:positionH relativeFrom="column">
              <wp:posOffset>553720</wp:posOffset>
            </wp:positionH>
            <wp:positionV relativeFrom="paragraph">
              <wp:posOffset>-5974080</wp:posOffset>
            </wp:positionV>
            <wp:extent cx="51435" cy="8255"/>
            <wp:effectExtent l="0" t="0" r="0" b="0"/>
            <wp:wrapNone/>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p>
    <w:p w14:paraId="687BC3E3" w14:textId="77777777" w:rsidR="00D1587D" w:rsidRDefault="00D1587D">
      <w:pPr>
        <w:sectPr w:rsidR="00D1587D">
          <w:pgSz w:w="11900" w:h="16838"/>
          <w:pgMar w:top="265" w:right="1419" w:bottom="1440" w:left="1400" w:header="0" w:footer="0" w:gutter="0"/>
          <w:cols w:space="720" w:equalWidth="0">
            <w:col w:w="9080"/>
          </w:cols>
        </w:sectPr>
      </w:pPr>
    </w:p>
    <w:p w14:paraId="6F16C124" w14:textId="77777777" w:rsidR="00D1587D" w:rsidRDefault="00D1587D">
      <w:pPr>
        <w:spacing w:line="202" w:lineRule="exact"/>
        <w:rPr>
          <w:sz w:val="20"/>
          <w:szCs w:val="20"/>
        </w:rPr>
      </w:pPr>
    </w:p>
    <w:p w14:paraId="56FC6E93" w14:textId="77777777" w:rsidR="00D1587D" w:rsidRDefault="00410D07">
      <w:pPr>
        <w:ind w:right="-19"/>
        <w:jc w:val="center"/>
        <w:rPr>
          <w:sz w:val="20"/>
          <w:szCs w:val="20"/>
        </w:rPr>
      </w:pPr>
      <w:r>
        <w:rPr>
          <w:rFonts w:ascii="Arial" w:eastAsia="Arial" w:hAnsi="Arial" w:cs="Arial"/>
          <w:sz w:val="15"/>
          <w:szCs w:val="15"/>
        </w:rPr>
        <w:t>119</w:t>
      </w:r>
    </w:p>
    <w:p w14:paraId="2D2AD7D8" w14:textId="77777777" w:rsidR="00D1587D" w:rsidRDefault="00410D07">
      <w:pPr>
        <w:spacing w:line="20" w:lineRule="exact"/>
        <w:rPr>
          <w:sz w:val="20"/>
          <w:szCs w:val="20"/>
        </w:rPr>
      </w:pPr>
      <w:r>
        <w:rPr>
          <w:noProof/>
          <w:sz w:val="20"/>
          <w:szCs w:val="20"/>
        </w:rPr>
        <w:drawing>
          <wp:anchor distT="0" distB="0" distL="114300" distR="114300" simplePos="0" relativeHeight="251897856" behindDoc="1" locked="0" layoutInCell="0" allowOverlap="1" wp14:anchorId="55C7D61F" wp14:editId="6E6E372E">
            <wp:simplePos x="0" y="0"/>
            <wp:positionH relativeFrom="column">
              <wp:posOffset>-611505</wp:posOffset>
            </wp:positionH>
            <wp:positionV relativeFrom="paragraph">
              <wp:posOffset>147955</wp:posOffset>
            </wp:positionV>
            <wp:extent cx="6995160" cy="17145"/>
            <wp:effectExtent l="0" t="0" r="0" b="0"/>
            <wp:wrapNone/>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FA73629" w14:textId="77777777" w:rsidR="00D1587D" w:rsidRDefault="00D1587D">
      <w:pPr>
        <w:sectPr w:rsidR="00D1587D">
          <w:type w:val="continuous"/>
          <w:pgSz w:w="11900" w:h="16838"/>
          <w:pgMar w:top="265" w:right="1419" w:bottom="1440" w:left="1400" w:header="0" w:footer="0" w:gutter="0"/>
          <w:cols w:space="720" w:equalWidth="0">
            <w:col w:w="9080"/>
          </w:cols>
        </w:sectPr>
      </w:pPr>
    </w:p>
    <w:tbl>
      <w:tblPr>
        <w:tblW w:w="0" w:type="auto"/>
        <w:tblLayout w:type="fixed"/>
        <w:tblCellMar>
          <w:left w:w="0" w:type="dxa"/>
          <w:right w:w="0" w:type="dxa"/>
        </w:tblCellMar>
        <w:tblLook w:val="04A0" w:firstRow="1" w:lastRow="0" w:firstColumn="1" w:lastColumn="0" w:noHBand="0" w:noVBand="1"/>
      </w:tblPr>
      <w:tblGrid>
        <w:gridCol w:w="880"/>
        <w:gridCol w:w="80"/>
        <w:gridCol w:w="580"/>
        <w:gridCol w:w="20"/>
        <w:gridCol w:w="80"/>
        <w:gridCol w:w="760"/>
        <w:gridCol w:w="80"/>
        <w:gridCol w:w="860"/>
        <w:gridCol w:w="80"/>
        <w:gridCol w:w="760"/>
        <w:gridCol w:w="80"/>
        <w:gridCol w:w="520"/>
        <w:gridCol w:w="80"/>
        <w:gridCol w:w="680"/>
        <w:gridCol w:w="80"/>
        <w:gridCol w:w="660"/>
        <w:gridCol w:w="80"/>
        <w:gridCol w:w="660"/>
        <w:gridCol w:w="80"/>
        <w:gridCol w:w="600"/>
        <w:gridCol w:w="80"/>
        <w:gridCol w:w="620"/>
        <w:gridCol w:w="80"/>
        <w:gridCol w:w="600"/>
        <w:gridCol w:w="20"/>
      </w:tblGrid>
      <w:tr w:rsidR="00D1587D" w14:paraId="07236A95" w14:textId="77777777">
        <w:trPr>
          <w:trHeight w:val="161"/>
        </w:trPr>
        <w:tc>
          <w:tcPr>
            <w:tcW w:w="1640" w:type="dxa"/>
            <w:gridSpan w:val="5"/>
            <w:vAlign w:val="bottom"/>
          </w:tcPr>
          <w:bookmarkStart w:id="377" w:name="page378"/>
          <w:bookmarkEnd w:id="377"/>
          <w:p w14:paraId="2CD5A1AE" w14:textId="77777777" w:rsidR="00D1587D" w:rsidRDefault="00410D07">
            <w:pPr>
              <w:rPr>
                <w:rFonts w:ascii="Arial" w:eastAsia="Arial" w:hAnsi="Arial" w:cs="Arial"/>
                <w:b/>
                <w:bCs/>
                <w:color w:val="0000EE"/>
                <w:sz w:val="14"/>
                <w:szCs w:val="14"/>
              </w:rPr>
            </w:pPr>
            <w:r>
              <w:fldChar w:fldCharType="begin"/>
            </w:r>
            <w:r>
              <w:instrText xml:space="preserve"> HYPERLINK \l "page256" \h </w:instrText>
            </w:r>
            <w:r>
              <w:fldChar w:fldCharType="separate"/>
            </w:r>
            <w:r>
              <w:rPr>
                <w:rFonts w:ascii="Arial" w:eastAsia="Arial" w:hAnsi="Arial" w:cs="Arial"/>
                <w:b/>
                <w:bCs/>
                <w:color w:val="0000EE"/>
                <w:sz w:val="14"/>
                <w:szCs w:val="14"/>
              </w:rPr>
              <w:t>TABLE OF CONTENTS</w:t>
            </w:r>
            <w:r>
              <w:rPr>
                <w:rFonts w:ascii="Arial" w:eastAsia="Arial" w:hAnsi="Arial" w:cs="Arial"/>
                <w:b/>
                <w:bCs/>
                <w:color w:val="0000EE"/>
                <w:sz w:val="14"/>
                <w:szCs w:val="14"/>
              </w:rPr>
              <w:fldChar w:fldCharType="end"/>
            </w:r>
          </w:p>
        </w:tc>
        <w:tc>
          <w:tcPr>
            <w:tcW w:w="760" w:type="dxa"/>
            <w:vAlign w:val="bottom"/>
          </w:tcPr>
          <w:p w14:paraId="1AA86170" w14:textId="77777777" w:rsidR="00D1587D" w:rsidRDefault="00D1587D">
            <w:pPr>
              <w:rPr>
                <w:sz w:val="14"/>
                <w:szCs w:val="14"/>
              </w:rPr>
            </w:pPr>
          </w:p>
        </w:tc>
        <w:tc>
          <w:tcPr>
            <w:tcW w:w="80" w:type="dxa"/>
            <w:vAlign w:val="bottom"/>
          </w:tcPr>
          <w:p w14:paraId="48AEB544" w14:textId="77777777" w:rsidR="00D1587D" w:rsidRDefault="00D1587D">
            <w:pPr>
              <w:rPr>
                <w:sz w:val="14"/>
                <w:szCs w:val="14"/>
              </w:rPr>
            </w:pPr>
          </w:p>
        </w:tc>
        <w:tc>
          <w:tcPr>
            <w:tcW w:w="860" w:type="dxa"/>
            <w:vAlign w:val="bottom"/>
          </w:tcPr>
          <w:p w14:paraId="716CD8A7" w14:textId="77777777" w:rsidR="00D1587D" w:rsidRDefault="00D1587D">
            <w:pPr>
              <w:rPr>
                <w:sz w:val="14"/>
                <w:szCs w:val="14"/>
              </w:rPr>
            </w:pPr>
          </w:p>
        </w:tc>
        <w:tc>
          <w:tcPr>
            <w:tcW w:w="80" w:type="dxa"/>
            <w:vAlign w:val="bottom"/>
          </w:tcPr>
          <w:p w14:paraId="77C06E88" w14:textId="77777777" w:rsidR="00D1587D" w:rsidRDefault="00D1587D">
            <w:pPr>
              <w:rPr>
                <w:sz w:val="14"/>
                <w:szCs w:val="14"/>
              </w:rPr>
            </w:pPr>
          </w:p>
        </w:tc>
        <w:tc>
          <w:tcPr>
            <w:tcW w:w="760" w:type="dxa"/>
            <w:vAlign w:val="bottom"/>
          </w:tcPr>
          <w:p w14:paraId="2C5D5EF4" w14:textId="77777777" w:rsidR="00D1587D" w:rsidRDefault="00D1587D">
            <w:pPr>
              <w:rPr>
                <w:sz w:val="14"/>
                <w:szCs w:val="14"/>
              </w:rPr>
            </w:pPr>
          </w:p>
        </w:tc>
        <w:tc>
          <w:tcPr>
            <w:tcW w:w="80" w:type="dxa"/>
            <w:vAlign w:val="bottom"/>
          </w:tcPr>
          <w:p w14:paraId="151080BF" w14:textId="77777777" w:rsidR="00D1587D" w:rsidRDefault="00D1587D">
            <w:pPr>
              <w:rPr>
                <w:sz w:val="14"/>
                <w:szCs w:val="14"/>
              </w:rPr>
            </w:pPr>
          </w:p>
        </w:tc>
        <w:tc>
          <w:tcPr>
            <w:tcW w:w="520" w:type="dxa"/>
            <w:vAlign w:val="bottom"/>
          </w:tcPr>
          <w:p w14:paraId="3527EB84" w14:textId="77777777" w:rsidR="00D1587D" w:rsidRDefault="00D1587D">
            <w:pPr>
              <w:rPr>
                <w:sz w:val="14"/>
                <w:szCs w:val="14"/>
              </w:rPr>
            </w:pPr>
          </w:p>
        </w:tc>
        <w:tc>
          <w:tcPr>
            <w:tcW w:w="80" w:type="dxa"/>
            <w:vAlign w:val="bottom"/>
          </w:tcPr>
          <w:p w14:paraId="5782EF68" w14:textId="77777777" w:rsidR="00D1587D" w:rsidRDefault="00D1587D">
            <w:pPr>
              <w:rPr>
                <w:sz w:val="14"/>
                <w:szCs w:val="14"/>
              </w:rPr>
            </w:pPr>
          </w:p>
        </w:tc>
        <w:tc>
          <w:tcPr>
            <w:tcW w:w="680" w:type="dxa"/>
            <w:vAlign w:val="bottom"/>
          </w:tcPr>
          <w:p w14:paraId="55275B6C" w14:textId="77777777" w:rsidR="00D1587D" w:rsidRDefault="00D1587D">
            <w:pPr>
              <w:rPr>
                <w:sz w:val="14"/>
                <w:szCs w:val="14"/>
              </w:rPr>
            </w:pPr>
          </w:p>
        </w:tc>
        <w:tc>
          <w:tcPr>
            <w:tcW w:w="80" w:type="dxa"/>
            <w:vAlign w:val="bottom"/>
          </w:tcPr>
          <w:p w14:paraId="61EB14A0" w14:textId="77777777" w:rsidR="00D1587D" w:rsidRDefault="00D1587D">
            <w:pPr>
              <w:rPr>
                <w:sz w:val="14"/>
                <w:szCs w:val="14"/>
              </w:rPr>
            </w:pPr>
          </w:p>
        </w:tc>
        <w:tc>
          <w:tcPr>
            <w:tcW w:w="660" w:type="dxa"/>
            <w:vAlign w:val="bottom"/>
          </w:tcPr>
          <w:p w14:paraId="12832887" w14:textId="77777777" w:rsidR="00D1587D" w:rsidRDefault="00D1587D">
            <w:pPr>
              <w:rPr>
                <w:sz w:val="14"/>
                <w:szCs w:val="14"/>
              </w:rPr>
            </w:pPr>
          </w:p>
        </w:tc>
        <w:tc>
          <w:tcPr>
            <w:tcW w:w="80" w:type="dxa"/>
            <w:vAlign w:val="bottom"/>
          </w:tcPr>
          <w:p w14:paraId="4CB673D2" w14:textId="77777777" w:rsidR="00D1587D" w:rsidRDefault="00D1587D">
            <w:pPr>
              <w:rPr>
                <w:sz w:val="14"/>
                <w:szCs w:val="14"/>
              </w:rPr>
            </w:pPr>
          </w:p>
        </w:tc>
        <w:tc>
          <w:tcPr>
            <w:tcW w:w="660" w:type="dxa"/>
            <w:vAlign w:val="bottom"/>
          </w:tcPr>
          <w:p w14:paraId="0E8622A6" w14:textId="77777777" w:rsidR="00D1587D" w:rsidRDefault="00D1587D">
            <w:pPr>
              <w:rPr>
                <w:sz w:val="14"/>
                <w:szCs w:val="14"/>
              </w:rPr>
            </w:pPr>
          </w:p>
        </w:tc>
        <w:tc>
          <w:tcPr>
            <w:tcW w:w="80" w:type="dxa"/>
            <w:vAlign w:val="bottom"/>
          </w:tcPr>
          <w:p w14:paraId="4AEBE83C" w14:textId="77777777" w:rsidR="00D1587D" w:rsidRDefault="00D1587D">
            <w:pPr>
              <w:rPr>
                <w:sz w:val="14"/>
                <w:szCs w:val="14"/>
              </w:rPr>
            </w:pPr>
          </w:p>
        </w:tc>
        <w:tc>
          <w:tcPr>
            <w:tcW w:w="600" w:type="dxa"/>
            <w:vAlign w:val="bottom"/>
          </w:tcPr>
          <w:p w14:paraId="57392CE6" w14:textId="77777777" w:rsidR="00D1587D" w:rsidRDefault="00D1587D">
            <w:pPr>
              <w:rPr>
                <w:sz w:val="14"/>
                <w:szCs w:val="14"/>
              </w:rPr>
            </w:pPr>
          </w:p>
        </w:tc>
        <w:tc>
          <w:tcPr>
            <w:tcW w:w="80" w:type="dxa"/>
            <w:vAlign w:val="bottom"/>
          </w:tcPr>
          <w:p w14:paraId="477C4AFF" w14:textId="77777777" w:rsidR="00D1587D" w:rsidRDefault="00D1587D">
            <w:pPr>
              <w:rPr>
                <w:sz w:val="14"/>
                <w:szCs w:val="14"/>
              </w:rPr>
            </w:pPr>
          </w:p>
        </w:tc>
        <w:tc>
          <w:tcPr>
            <w:tcW w:w="620" w:type="dxa"/>
            <w:vAlign w:val="bottom"/>
          </w:tcPr>
          <w:p w14:paraId="0655F181" w14:textId="77777777" w:rsidR="00D1587D" w:rsidRDefault="00D1587D">
            <w:pPr>
              <w:rPr>
                <w:sz w:val="14"/>
                <w:szCs w:val="14"/>
              </w:rPr>
            </w:pPr>
          </w:p>
        </w:tc>
        <w:tc>
          <w:tcPr>
            <w:tcW w:w="80" w:type="dxa"/>
            <w:vAlign w:val="bottom"/>
          </w:tcPr>
          <w:p w14:paraId="2A1EA5AD" w14:textId="77777777" w:rsidR="00D1587D" w:rsidRDefault="00D1587D">
            <w:pPr>
              <w:rPr>
                <w:sz w:val="14"/>
                <w:szCs w:val="14"/>
              </w:rPr>
            </w:pPr>
          </w:p>
        </w:tc>
        <w:tc>
          <w:tcPr>
            <w:tcW w:w="600" w:type="dxa"/>
            <w:vAlign w:val="bottom"/>
          </w:tcPr>
          <w:p w14:paraId="74C6A015" w14:textId="77777777" w:rsidR="00D1587D" w:rsidRDefault="00D1587D">
            <w:pPr>
              <w:rPr>
                <w:sz w:val="14"/>
                <w:szCs w:val="14"/>
              </w:rPr>
            </w:pPr>
          </w:p>
        </w:tc>
        <w:tc>
          <w:tcPr>
            <w:tcW w:w="0" w:type="dxa"/>
            <w:vAlign w:val="bottom"/>
          </w:tcPr>
          <w:p w14:paraId="02F8355A" w14:textId="77777777" w:rsidR="00D1587D" w:rsidRDefault="00D1587D">
            <w:pPr>
              <w:rPr>
                <w:sz w:val="1"/>
                <w:szCs w:val="1"/>
              </w:rPr>
            </w:pPr>
          </w:p>
        </w:tc>
      </w:tr>
      <w:tr w:rsidR="00D1587D" w14:paraId="25D4842E" w14:textId="77777777">
        <w:trPr>
          <w:trHeight w:val="400"/>
        </w:trPr>
        <w:tc>
          <w:tcPr>
            <w:tcW w:w="880" w:type="dxa"/>
            <w:tcBorders>
              <w:top w:val="single" w:sz="8" w:space="0" w:color="0000EE"/>
            </w:tcBorders>
            <w:vAlign w:val="bottom"/>
          </w:tcPr>
          <w:p w14:paraId="74BC8209" w14:textId="77777777" w:rsidR="00D1587D" w:rsidRDefault="00D1587D">
            <w:pPr>
              <w:rPr>
                <w:sz w:val="24"/>
                <w:szCs w:val="24"/>
              </w:rPr>
            </w:pPr>
          </w:p>
        </w:tc>
        <w:tc>
          <w:tcPr>
            <w:tcW w:w="80" w:type="dxa"/>
            <w:tcBorders>
              <w:top w:val="single" w:sz="8" w:space="0" w:color="0000EE"/>
            </w:tcBorders>
            <w:vAlign w:val="bottom"/>
          </w:tcPr>
          <w:p w14:paraId="7ED59508" w14:textId="77777777" w:rsidR="00D1587D" w:rsidRDefault="00D1587D">
            <w:pPr>
              <w:rPr>
                <w:sz w:val="24"/>
                <w:szCs w:val="24"/>
              </w:rPr>
            </w:pPr>
          </w:p>
        </w:tc>
        <w:tc>
          <w:tcPr>
            <w:tcW w:w="580" w:type="dxa"/>
            <w:tcBorders>
              <w:top w:val="single" w:sz="8" w:space="0" w:color="0000EE"/>
            </w:tcBorders>
            <w:vAlign w:val="bottom"/>
          </w:tcPr>
          <w:p w14:paraId="62C35C0D" w14:textId="77777777" w:rsidR="00D1587D" w:rsidRDefault="00D1587D">
            <w:pPr>
              <w:rPr>
                <w:sz w:val="24"/>
                <w:szCs w:val="24"/>
              </w:rPr>
            </w:pPr>
          </w:p>
        </w:tc>
        <w:tc>
          <w:tcPr>
            <w:tcW w:w="20" w:type="dxa"/>
            <w:vAlign w:val="bottom"/>
          </w:tcPr>
          <w:p w14:paraId="7BAF3A35" w14:textId="77777777" w:rsidR="00D1587D" w:rsidRDefault="00D1587D">
            <w:pPr>
              <w:rPr>
                <w:sz w:val="24"/>
                <w:szCs w:val="24"/>
              </w:rPr>
            </w:pPr>
          </w:p>
        </w:tc>
        <w:tc>
          <w:tcPr>
            <w:tcW w:w="80" w:type="dxa"/>
            <w:vAlign w:val="bottom"/>
          </w:tcPr>
          <w:p w14:paraId="0C58FB25" w14:textId="77777777" w:rsidR="00D1587D" w:rsidRDefault="00D1587D">
            <w:pPr>
              <w:rPr>
                <w:sz w:val="24"/>
                <w:szCs w:val="24"/>
              </w:rPr>
            </w:pPr>
          </w:p>
        </w:tc>
        <w:tc>
          <w:tcPr>
            <w:tcW w:w="760" w:type="dxa"/>
            <w:vAlign w:val="bottom"/>
          </w:tcPr>
          <w:p w14:paraId="4CA75F88" w14:textId="77777777" w:rsidR="00D1587D" w:rsidRDefault="00D1587D">
            <w:pPr>
              <w:rPr>
                <w:sz w:val="24"/>
                <w:szCs w:val="24"/>
              </w:rPr>
            </w:pPr>
          </w:p>
        </w:tc>
        <w:tc>
          <w:tcPr>
            <w:tcW w:w="80" w:type="dxa"/>
            <w:vAlign w:val="bottom"/>
          </w:tcPr>
          <w:p w14:paraId="4C08BAE0" w14:textId="77777777" w:rsidR="00D1587D" w:rsidRDefault="00D1587D">
            <w:pPr>
              <w:rPr>
                <w:sz w:val="24"/>
                <w:szCs w:val="24"/>
              </w:rPr>
            </w:pPr>
          </w:p>
        </w:tc>
        <w:tc>
          <w:tcPr>
            <w:tcW w:w="1780" w:type="dxa"/>
            <w:gridSpan w:val="4"/>
            <w:vAlign w:val="bottom"/>
          </w:tcPr>
          <w:p w14:paraId="05F5EE62" w14:textId="77777777" w:rsidR="00D1587D" w:rsidRDefault="00410D07">
            <w:pPr>
              <w:ind w:left="300"/>
              <w:rPr>
                <w:sz w:val="20"/>
                <w:szCs w:val="20"/>
              </w:rPr>
            </w:pPr>
            <w:r>
              <w:rPr>
                <w:rFonts w:ascii="Arial" w:eastAsia="Arial" w:hAnsi="Arial" w:cs="Arial"/>
                <w:b/>
                <w:bCs/>
                <w:sz w:val="14"/>
                <w:szCs w:val="14"/>
              </w:rPr>
              <w:t>Option Awards</w:t>
            </w:r>
          </w:p>
        </w:tc>
        <w:tc>
          <w:tcPr>
            <w:tcW w:w="520" w:type="dxa"/>
            <w:vAlign w:val="bottom"/>
          </w:tcPr>
          <w:p w14:paraId="46C6D242" w14:textId="77777777" w:rsidR="00D1587D" w:rsidRDefault="00D1587D">
            <w:pPr>
              <w:rPr>
                <w:sz w:val="24"/>
                <w:szCs w:val="24"/>
              </w:rPr>
            </w:pPr>
          </w:p>
        </w:tc>
        <w:tc>
          <w:tcPr>
            <w:tcW w:w="80" w:type="dxa"/>
            <w:vAlign w:val="bottom"/>
          </w:tcPr>
          <w:p w14:paraId="547D11B5" w14:textId="77777777" w:rsidR="00D1587D" w:rsidRDefault="00D1587D">
            <w:pPr>
              <w:rPr>
                <w:sz w:val="24"/>
                <w:szCs w:val="24"/>
              </w:rPr>
            </w:pPr>
          </w:p>
        </w:tc>
        <w:tc>
          <w:tcPr>
            <w:tcW w:w="680" w:type="dxa"/>
            <w:vAlign w:val="bottom"/>
          </w:tcPr>
          <w:p w14:paraId="5D1D1D86" w14:textId="77777777" w:rsidR="00D1587D" w:rsidRDefault="00D1587D">
            <w:pPr>
              <w:rPr>
                <w:sz w:val="24"/>
                <w:szCs w:val="24"/>
              </w:rPr>
            </w:pPr>
          </w:p>
        </w:tc>
        <w:tc>
          <w:tcPr>
            <w:tcW w:w="80" w:type="dxa"/>
            <w:vAlign w:val="bottom"/>
          </w:tcPr>
          <w:p w14:paraId="4102968A" w14:textId="77777777" w:rsidR="00D1587D" w:rsidRDefault="00D1587D">
            <w:pPr>
              <w:rPr>
                <w:sz w:val="24"/>
                <w:szCs w:val="24"/>
              </w:rPr>
            </w:pPr>
          </w:p>
        </w:tc>
        <w:tc>
          <w:tcPr>
            <w:tcW w:w="660" w:type="dxa"/>
            <w:vAlign w:val="bottom"/>
          </w:tcPr>
          <w:p w14:paraId="1B560573" w14:textId="77777777" w:rsidR="00D1587D" w:rsidRDefault="00D1587D">
            <w:pPr>
              <w:rPr>
                <w:sz w:val="24"/>
                <w:szCs w:val="24"/>
              </w:rPr>
            </w:pPr>
          </w:p>
        </w:tc>
        <w:tc>
          <w:tcPr>
            <w:tcW w:w="80" w:type="dxa"/>
            <w:vAlign w:val="bottom"/>
          </w:tcPr>
          <w:p w14:paraId="4E1BD409" w14:textId="77777777" w:rsidR="00D1587D" w:rsidRDefault="00D1587D">
            <w:pPr>
              <w:rPr>
                <w:sz w:val="24"/>
                <w:szCs w:val="24"/>
              </w:rPr>
            </w:pPr>
          </w:p>
        </w:tc>
        <w:tc>
          <w:tcPr>
            <w:tcW w:w="2120" w:type="dxa"/>
            <w:gridSpan w:val="6"/>
            <w:vAlign w:val="bottom"/>
          </w:tcPr>
          <w:p w14:paraId="1CA22D25" w14:textId="77777777" w:rsidR="00D1587D" w:rsidRDefault="00410D07">
            <w:pPr>
              <w:ind w:left="240"/>
              <w:rPr>
                <w:sz w:val="20"/>
                <w:szCs w:val="20"/>
              </w:rPr>
            </w:pPr>
            <w:r>
              <w:rPr>
                <w:rFonts w:ascii="Arial" w:eastAsia="Arial" w:hAnsi="Arial" w:cs="Arial"/>
                <w:b/>
                <w:bCs/>
                <w:sz w:val="14"/>
                <w:szCs w:val="14"/>
              </w:rPr>
              <w:t>Restricted Stock Awards</w:t>
            </w:r>
          </w:p>
        </w:tc>
        <w:tc>
          <w:tcPr>
            <w:tcW w:w="600" w:type="dxa"/>
            <w:vAlign w:val="bottom"/>
          </w:tcPr>
          <w:p w14:paraId="14AAB00C" w14:textId="77777777" w:rsidR="00D1587D" w:rsidRDefault="00D1587D">
            <w:pPr>
              <w:rPr>
                <w:sz w:val="24"/>
                <w:szCs w:val="24"/>
              </w:rPr>
            </w:pPr>
          </w:p>
        </w:tc>
        <w:tc>
          <w:tcPr>
            <w:tcW w:w="0" w:type="dxa"/>
            <w:vAlign w:val="bottom"/>
          </w:tcPr>
          <w:p w14:paraId="73307A66" w14:textId="77777777" w:rsidR="00D1587D" w:rsidRDefault="00D1587D">
            <w:pPr>
              <w:rPr>
                <w:sz w:val="1"/>
                <w:szCs w:val="1"/>
              </w:rPr>
            </w:pPr>
          </w:p>
        </w:tc>
      </w:tr>
      <w:tr w:rsidR="00D1587D" w14:paraId="1AB1BD75" w14:textId="77777777">
        <w:trPr>
          <w:trHeight w:val="53"/>
        </w:trPr>
        <w:tc>
          <w:tcPr>
            <w:tcW w:w="880" w:type="dxa"/>
            <w:vAlign w:val="bottom"/>
          </w:tcPr>
          <w:p w14:paraId="64DFAC8E" w14:textId="77777777" w:rsidR="00D1587D" w:rsidRDefault="00D1587D">
            <w:pPr>
              <w:rPr>
                <w:sz w:val="4"/>
                <w:szCs w:val="4"/>
              </w:rPr>
            </w:pPr>
          </w:p>
        </w:tc>
        <w:tc>
          <w:tcPr>
            <w:tcW w:w="80" w:type="dxa"/>
            <w:vAlign w:val="bottom"/>
          </w:tcPr>
          <w:p w14:paraId="73EBA73D" w14:textId="77777777" w:rsidR="00D1587D" w:rsidRDefault="00D1587D">
            <w:pPr>
              <w:rPr>
                <w:sz w:val="4"/>
                <w:szCs w:val="4"/>
              </w:rPr>
            </w:pPr>
          </w:p>
        </w:tc>
        <w:tc>
          <w:tcPr>
            <w:tcW w:w="580" w:type="dxa"/>
            <w:tcBorders>
              <w:bottom w:val="single" w:sz="8" w:space="0" w:color="auto"/>
            </w:tcBorders>
            <w:vAlign w:val="bottom"/>
          </w:tcPr>
          <w:p w14:paraId="327BBF54" w14:textId="77777777" w:rsidR="00D1587D" w:rsidRDefault="00D1587D">
            <w:pPr>
              <w:rPr>
                <w:sz w:val="4"/>
                <w:szCs w:val="4"/>
              </w:rPr>
            </w:pPr>
          </w:p>
        </w:tc>
        <w:tc>
          <w:tcPr>
            <w:tcW w:w="20" w:type="dxa"/>
            <w:tcBorders>
              <w:bottom w:val="single" w:sz="8" w:space="0" w:color="auto"/>
            </w:tcBorders>
            <w:vAlign w:val="bottom"/>
          </w:tcPr>
          <w:p w14:paraId="5067D035" w14:textId="77777777" w:rsidR="00D1587D" w:rsidRDefault="00D1587D">
            <w:pPr>
              <w:rPr>
                <w:sz w:val="4"/>
                <w:szCs w:val="4"/>
              </w:rPr>
            </w:pPr>
          </w:p>
        </w:tc>
        <w:tc>
          <w:tcPr>
            <w:tcW w:w="80" w:type="dxa"/>
            <w:tcBorders>
              <w:bottom w:val="single" w:sz="8" w:space="0" w:color="auto"/>
            </w:tcBorders>
            <w:vAlign w:val="bottom"/>
          </w:tcPr>
          <w:p w14:paraId="39AB612A" w14:textId="77777777" w:rsidR="00D1587D" w:rsidRDefault="00D1587D">
            <w:pPr>
              <w:rPr>
                <w:sz w:val="4"/>
                <w:szCs w:val="4"/>
              </w:rPr>
            </w:pPr>
          </w:p>
        </w:tc>
        <w:tc>
          <w:tcPr>
            <w:tcW w:w="760" w:type="dxa"/>
            <w:tcBorders>
              <w:bottom w:val="single" w:sz="8" w:space="0" w:color="auto"/>
            </w:tcBorders>
            <w:vAlign w:val="bottom"/>
          </w:tcPr>
          <w:p w14:paraId="7EBB4EE9" w14:textId="77777777" w:rsidR="00D1587D" w:rsidRDefault="00D1587D">
            <w:pPr>
              <w:rPr>
                <w:sz w:val="4"/>
                <w:szCs w:val="4"/>
              </w:rPr>
            </w:pPr>
          </w:p>
        </w:tc>
        <w:tc>
          <w:tcPr>
            <w:tcW w:w="80" w:type="dxa"/>
            <w:tcBorders>
              <w:bottom w:val="single" w:sz="8" w:space="0" w:color="auto"/>
            </w:tcBorders>
            <w:vAlign w:val="bottom"/>
          </w:tcPr>
          <w:p w14:paraId="72CF4BDC" w14:textId="77777777" w:rsidR="00D1587D" w:rsidRDefault="00D1587D">
            <w:pPr>
              <w:rPr>
                <w:sz w:val="4"/>
                <w:szCs w:val="4"/>
              </w:rPr>
            </w:pPr>
          </w:p>
        </w:tc>
        <w:tc>
          <w:tcPr>
            <w:tcW w:w="860" w:type="dxa"/>
            <w:tcBorders>
              <w:bottom w:val="single" w:sz="8" w:space="0" w:color="auto"/>
            </w:tcBorders>
            <w:vAlign w:val="bottom"/>
          </w:tcPr>
          <w:p w14:paraId="159E23A5" w14:textId="77777777" w:rsidR="00D1587D" w:rsidRDefault="00D1587D">
            <w:pPr>
              <w:rPr>
                <w:sz w:val="4"/>
                <w:szCs w:val="4"/>
              </w:rPr>
            </w:pPr>
          </w:p>
        </w:tc>
        <w:tc>
          <w:tcPr>
            <w:tcW w:w="80" w:type="dxa"/>
            <w:tcBorders>
              <w:bottom w:val="single" w:sz="8" w:space="0" w:color="auto"/>
            </w:tcBorders>
            <w:vAlign w:val="bottom"/>
          </w:tcPr>
          <w:p w14:paraId="6ECA39FE" w14:textId="77777777" w:rsidR="00D1587D" w:rsidRDefault="00D1587D">
            <w:pPr>
              <w:rPr>
                <w:sz w:val="4"/>
                <w:szCs w:val="4"/>
              </w:rPr>
            </w:pPr>
          </w:p>
        </w:tc>
        <w:tc>
          <w:tcPr>
            <w:tcW w:w="760" w:type="dxa"/>
            <w:tcBorders>
              <w:bottom w:val="single" w:sz="8" w:space="0" w:color="auto"/>
            </w:tcBorders>
            <w:vAlign w:val="bottom"/>
          </w:tcPr>
          <w:p w14:paraId="5F1FC94C" w14:textId="77777777" w:rsidR="00D1587D" w:rsidRDefault="00D1587D">
            <w:pPr>
              <w:rPr>
                <w:sz w:val="4"/>
                <w:szCs w:val="4"/>
              </w:rPr>
            </w:pPr>
          </w:p>
        </w:tc>
        <w:tc>
          <w:tcPr>
            <w:tcW w:w="80" w:type="dxa"/>
            <w:tcBorders>
              <w:bottom w:val="single" w:sz="8" w:space="0" w:color="auto"/>
            </w:tcBorders>
            <w:vAlign w:val="bottom"/>
          </w:tcPr>
          <w:p w14:paraId="617A448B" w14:textId="77777777" w:rsidR="00D1587D" w:rsidRDefault="00D1587D">
            <w:pPr>
              <w:rPr>
                <w:sz w:val="4"/>
                <w:szCs w:val="4"/>
              </w:rPr>
            </w:pPr>
          </w:p>
        </w:tc>
        <w:tc>
          <w:tcPr>
            <w:tcW w:w="520" w:type="dxa"/>
            <w:tcBorders>
              <w:bottom w:val="single" w:sz="8" w:space="0" w:color="auto"/>
            </w:tcBorders>
            <w:vAlign w:val="bottom"/>
          </w:tcPr>
          <w:p w14:paraId="2AA483D4" w14:textId="77777777" w:rsidR="00D1587D" w:rsidRDefault="00D1587D">
            <w:pPr>
              <w:rPr>
                <w:sz w:val="4"/>
                <w:szCs w:val="4"/>
              </w:rPr>
            </w:pPr>
          </w:p>
        </w:tc>
        <w:tc>
          <w:tcPr>
            <w:tcW w:w="80" w:type="dxa"/>
            <w:tcBorders>
              <w:bottom w:val="single" w:sz="8" w:space="0" w:color="auto"/>
            </w:tcBorders>
            <w:vAlign w:val="bottom"/>
          </w:tcPr>
          <w:p w14:paraId="0462351C" w14:textId="77777777" w:rsidR="00D1587D" w:rsidRDefault="00D1587D">
            <w:pPr>
              <w:rPr>
                <w:sz w:val="4"/>
                <w:szCs w:val="4"/>
              </w:rPr>
            </w:pPr>
          </w:p>
        </w:tc>
        <w:tc>
          <w:tcPr>
            <w:tcW w:w="680" w:type="dxa"/>
            <w:tcBorders>
              <w:bottom w:val="single" w:sz="8" w:space="0" w:color="auto"/>
            </w:tcBorders>
            <w:vAlign w:val="bottom"/>
          </w:tcPr>
          <w:p w14:paraId="469C2586" w14:textId="77777777" w:rsidR="00D1587D" w:rsidRDefault="00D1587D">
            <w:pPr>
              <w:rPr>
                <w:sz w:val="4"/>
                <w:szCs w:val="4"/>
              </w:rPr>
            </w:pPr>
          </w:p>
        </w:tc>
        <w:tc>
          <w:tcPr>
            <w:tcW w:w="80" w:type="dxa"/>
            <w:vAlign w:val="bottom"/>
          </w:tcPr>
          <w:p w14:paraId="6F5861EA" w14:textId="77777777" w:rsidR="00D1587D" w:rsidRDefault="00D1587D">
            <w:pPr>
              <w:rPr>
                <w:sz w:val="4"/>
                <w:szCs w:val="4"/>
              </w:rPr>
            </w:pPr>
          </w:p>
        </w:tc>
        <w:tc>
          <w:tcPr>
            <w:tcW w:w="660" w:type="dxa"/>
            <w:tcBorders>
              <w:bottom w:val="single" w:sz="8" w:space="0" w:color="auto"/>
            </w:tcBorders>
            <w:vAlign w:val="bottom"/>
          </w:tcPr>
          <w:p w14:paraId="2CB13EDA" w14:textId="77777777" w:rsidR="00D1587D" w:rsidRDefault="00D1587D">
            <w:pPr>
              <w:rPr>
                <w:sz w:val="4"/>
                <w:szCs w:val="4"/>
              </w:rPr>
            </w:pPr>
          </w:p>
        </w:tc>
        <w:tc>
          <w:tcPr>
            <w:tcW w:w="80" w:type="dxa"/>
            <w:tcBorders>
              <w:bottom w:val="single" w:sz="8" w:space="0" w:color="auto"/>
            </w:tcBorders>
            <w:vAlign w:val="bottom"/>
          </w:tcPr>
          <w:p w14:paraId="26C4F9F4" w14:textId="77777777" w:rsidR="00D1587D" w:rsidRDefault="00D1587D">
            <w:pPr>
              <w:rPr>
                <w:sz w:val="4"/>
                <w:szCs w:val="4"/>
              </w:rPr>
            </w:pPr>
          </w:p>
        </w:tc>
        <w:tc>
          <w:tcPr>
            <w:tcW w:w="660" w:type="dxa"/>
            <w:tcBorders>
              <w:bottom w:val="single" w:sz="8" w:space="0" w:color="auto"/>
            </w:tcBorders>
            <w:vAlign w:val="bottom"/>
          </w:tcPr>
          <w:p w14:paraId="6DB5C76D" w14:textId="77777777" w:rsidR="00D1587D" w:rsidRDefault="00D1587D">
            <w:pPr>
              <w:rPr>
                <w:sz w:val="4"/>
                <w:szCs w:val="4"/>
              </w:rPr>
            </w:pPr>
          </w:p>
        </w:tc>
        <w:tc>
          <w:tcPr>
            <w:tcW w:w="80" w:type="dxa"/>
            <w:tcBorders>
              <w:bottom w:val="single" w:sz="8" w:space="0" w:color="auto"/>
            </w:tcBorders>
            <w:vAlign w:val="bottom"/>
          </w:tcPr>
          <w:p w14:paraId="71B08CDE" w14:textId="77777777" w:rsidR="00D1587D" w:rsidRDefault="00D1587D">
            <w:pPr>
              <w:rPr>
                <w:sz w:val="4"/>
                <w:szCs w:val="4"/>
              </w:rPr>
            </w:pPr>
          </w:p>
        </w:tc>
        <w:tc>
          <w:tcPr>
            <w:tcW w:w="600" w:type="dxa"/>
            <w:tcBorders>
              <w:bottom w:val="single" w:sz="8" w:space="0" w:color="auto"/>
            </w:tcBorders>
            <w:vAlign w:val="bottom"/>
          </w:tcPr>
          <w:p w14:paraId="1D190C9F" w14:textId="77777777" w:rsidR="00D1587D" w:rsidRDefault="00D1587D">
            <w:pPr>
              <w:rPr>
                <w:sz w:val="4"/>
                <w:szCs w:val="4"/>
              </w:rPr>
            </w:pPr>
          </w:p>
        </w:tc>
        <w:tc>
          <w:tcPr>
            <w:tcW w:w="80" w:type="dxa"/>
            <w:tcBorders>
              <w:bottom w:val="single" w:sz="8" w:space="0" w:color="auto"/>
            </w:tcBorders>
            <w:vAlign w:val="bottom"/>
          </w:tcPr>
          <w:p w14:paraId="6505FFDC" w14:textId="77777777" w:rsidR="00D1587D" w:rsidRDefault="00D1587D">
            <w:pPr>
              <w:rPr>
                <w:sz w:val="4"/>
                <w:szCs w:val="4"/>
              </w:rPr>
            </w:pPr>
          </w:p>
        </w:tc>
        <w:tc>
          <w:tcPr>
            <w:tcW w:w="700" w:type="dxa"/>
            <w:gridSpan w:val="2"/>
            <w:tcBorders>
              <w:bottom w:val="single" w:sz="8" w:space="0" w:color="auto"/>
            </w:tcBorders>
            <w:vAlign w:val="bottom"/>
          </w:tcPr>
          <w:p w14:paraId="32357B6E" w14:textId="77777777" w:rsidR="00D1587D" w:rsidRDefault="00D1587D">
            <w:pPr>
              <w:rPr>
                <w:sz w:val="4"/>
                <w:szCs w:val="4"/>
              </w:rPr>
            </w:pPr>
          </w:p>
        </w:tc>
        <w:tc>
          <w:tcPr>
            <w:tcW w:w="600" w:type="dxa"/>
            <w:tcBorders>
              <w:bottom w:val="single" w:sz="8" w:space="0" w:color="auto"/>
            </w:tcBorders>
            <w:vAlign w:val="bottom"/>
          </w:tcPr>
          <w:p w14:paraId="48CD0300" w14:textId="77777777" w:rsidR="00D1587D" w:rsidRDefault="00D1587D">
            <w:pPr>
              <w:rPr>
                <w:sz w:val="4"/>
                <w:szCs w:val="4"/>
              </w:rPr>
            </w:pPr>
          </w:p>
        </w:tc>
        <w:tc>
          <w:tcPr>
            <w:tcW w:w="0" w:type="dxa"/>
            <w:vAlign w:val="bottom"/>
          </w:tcPr>
          <w:p w14:paraId="7BF9013F" w14:textId="77777777" w:rsidR="00D1587D" w:rsidRDefault="00D1587D">
            <w:pPr>
              <w:rPr>
                <w:sz w:val="1"/>
                <w:szCs w:val="1"/>
              </w:rPr>
            </w:pPr>
          </w:p>
        </w:tc>
      </w:tr>
      <w:tr w:rsidR="00D1587D" w14:paraId="5EAD824E" w14:textId="77777777">
        <w:trPr>
          <w:trHeight w:val="187"/>
        </w:trPr>
        <w:tc>
          <w:tcPr>
            <w:tcW w:w="880" w:type="dxa"/>
            <w:vAlign w:val="bottom"/>
          </w:tcPr>
          <w:p w14:paraId="2FBDF6D0" w14:textId="77777777" w:rsidR="00D1587D" w:rsidRDefault="00D1587D">
            <w:pPr>
              <w:rPr>
                <w:sz w:val="16"/>
                <w:szCs w:val="16"/>
              </w:rPr>
            </w:pPr>
          </w:p>
        </w:tc>
        <w:tc>
          <w:tcPr>
            <w:tcW w:w="80" w:type="dxa"/>
            <w:vAlign w:val="bottom"/>
          </w:tcPr>
          <w:p w14:paraId="25B26414" w14:textId="77777777" w:rsidR="00D1587D" w:rsidRDefault="00D1587D">
            <w:pPr>
              <w:rPr>
                <w:sz w:val="16"/>
                <w:szCs w:val="16"/>
              </w:rPr>
            </w:pPr>
          </w:p>
        </w:tc>
        <w:tc>
          <w:tcPr>
            <w:tcW w:w="580" w:type="dxa"/>
            <w:vAlign w:val="bottom"/>
          </w:tcPr>
          <w:p w14:paraId="47B616ED" w14:textId="77777777" w:rsidR="00D1587D" w:rsidRDefault="00D1587D">
            <w:pPr>
              <w:rPr>
                <w:sz w:val="16"/>
                <w:szCs w:val="16"/>
              </w:rPr>
            </w:pPr>
          </w:p>
        </w:tc>
        <w:tc>
          <w:tcPr>
            <w:tcW w:w="20" w:type="dxa"/>
            <w:vAlign w:val="bottom"/>
          </w:tcPr>
          <w:p w14:paraId="2F9A5CC3" w14:textId="77777777" w:rsidR="00D1587D" w:rsidRDefault="00D1587D">
            <w:pPr>
              <w:rPr>
                <w:sz w:val="16"/>
                <w:szCs w:val="16"/>
              </w:rPr>
            </w:pPr>
          </w:p>
        </w:tc>
        <w:tc>
          <w:tcPr>
            <w:tcW w:w="80" w:type="dxa"/>
            <w:vAlign w:val="bottom"/>
          </w:tcPr>
          <w:p w14:paraId="4FE57670" w14:textId="77777777" w:rsidR="00D1587D" w:rsidRDefault="00D1587D">
            <w:pPr>
              <w:rPr>
                <w:sz w:val="16"/>
                <w:szCs w:val="16"/>
              </w:rPr>
            </w:pPr>
          </w:p>
        </w:tc>
        <w:tc>
          <w:tcPr>
            <w:tcW w:w="760" w:type="dxa"/>
            <w:vAlign w:val="bottom"/>
          </w:tcPr>
          <w:p w14:paraId="30FD791C" w14:textId="77777777" w:rsidR="00D1587D" w:rsidRDefault="00D1587D">
            <w:pPr>
              <w:rPr>
                <w:sz w:val="16"/>
                <w:szCs w:val="16"/>
              </w:rPr>
            </w:pPr>
          </w:p>
        </w:tc>
        <w:tc>
          <w:tcPr>
            <w:tcW w:w="80" w:type="dxa"/>
            <w:vAlign w:val="bottom"/>
          </w:tcPr>
          <w:p w14:paraId="071BF986" w14:textId="77777777" w:rsidR="00D1587D" w:rsidRDefault="00D1587D">
            <w:pPr>
              <w:rPr>
                <w:sz w:val="16"/>
                <w:szCs w:val="16"/>
              </w:rPr>
            </w:pPr>
          </w:p>
        </w:tc>
        <w:tc>
          <w:tcPr>
            <w:tcW w:w="860" w:type="dxa"/>
            <w:vAlign w:val="bottom"/>
          </w:tcPr>
          <w:p w14:paraId="57402EB1" w14:textId="77777777" w:rsidR="00D1587D" w:rsidRDefault="00D1587D">
            <w:pPr>
              <w:rPr>
                <w:sz w:val="16"/>
                <w:szCs w:val="16"/>
              </w:rPr>
            </w:pPr>
          </w:p>
        </w:tc>
        <w:tc>
          <w:tcPr>
            <w:tcW w:w="80" w:type="dxa"/>
            <w:vAlign w:val="bottom"/>
          </w:tcPr>
          <w:p w14:paraId="544C3229" w14:textId="77777777" w:rsidR="00D1587D" w:rsidRDefault="00D1587D">
            <w:pPr>
              <w:rPr>
                <w:sz w:val="16"/>
                <w:szCs w:val="16"/>
              </w:rPr>
            </w:pPr>
          </w:p>
        </w:tc>
        <w:tc>
          <w:tcPr>
            <w:tcW w:w="760" w:type="dxa"/>
            <w:vAlign w:val="bottom"/>
          </w:tcPr>
          <w:p w14:paraId="0A2D4463" w14:textId="77777777" w:rsidR="00D1587D" w:rsidRDefault="00D1587D">
            <w:pPr>
              <w:rPr>
                <w:sz w:val="16"/>
                <w:szCs w:val="16"/>
              </w:rPr>
            </w:pPr>
          </w:p>
        </w:tc>
        <w:tc>
          <w:tcPr>
            <w:tcW w:w="80" w:type="dxa"/>
            <w:vAlign w:val="bottom"/>
          </w:tcPr>
          <w:p w14:paraId="05A53640" w14:textId="77777777" w:rsidR="00D1587D" w:rsidRDefault="00D1587D">
            <w:pPr>
              <w:rPr>
                <w:sz w:val="16"/>
                <w:szCs w:val="16"/>
              </w:rPr>
            </w:pPr>
          </w:p>
        </w:tc>
        <w:tc>
          <w:tcPr>
            <w:tcW w:w="520" w:type="dxa"/>
            <w:vAlign w:val="bottom"/>
          </w:tcPr>
          <w:p w14:paraId="2E1EF624" w14:textId="77777777" w:rsidR="00D1587D" w:rsidRDefault="00D1587D">
            <w:pPr>
              <w:rPr>
                <w:sz w:val="16"/>
                <w:szCs w:val="16"/>
              </w:rPr>
            </w:pPr>
          </w:p>
        </w:tc>
        <w:tc>
          <w:tcPr>
            <w:tcW w:w="80" w:type="dxa"/>
            <w:vAlign w:val="bottom"/>
          </w:tcPr>
          <w:p w14:paraId="74D58217" w14:textId="77777777" w:rsidR="00D1587D" w:rsidRDefault="00D1587D">
            <w:pPr>
              <w:rPr>
                <w:sz w:val="16"/>
                <w:szCs w:val="16"/>
              </w:rPr>
            </w:pPr>
          </w:p>
        </w:tc>
        <w:tc>
          <w:tcPr>
            <w:tcW w:w="680" w:type="dxa"/>
            <w:vAlign w:val="bottom"/>
          </w:tcPr>
          <w:p w14:paraId="3DECA358" w14:textId="77777777" w:rsidR="00D1587D" w:rsidRDefault="00D1587D">
            <w:pPr>
              <w:rPr>
                <w:sz w:val="16"/>
                <w:szCs w:val="16"/>
              </w:rPr>
            </w:pPr>
          </w:p>
        </w:tc>
        <w:tc>
          <w:tcPr>
            <w:tcW w:w="80" w:type="dxa"/>
            <w:vAlign w:val="bottom"/>
          </w:tcPr>
          <w:p w14:paraId="3A432B87" w14:textId="77777777" w:rsidR="00D1587D" w:rsidRDefault="00D1587D">
            <w:pPr>
              <w:rPr>
                <w:sz w:val="16"/>
                <w:szCs w:val="16"/>
              </w:rPr>
            </w:pPr>
          </w:p>
        </w:tc>
        <w:tc>
          <w:tcPr>
            <w:tcW w:w="660" w:type="dxa"/>
            <w:vAlign w:val="bottom"/>
          </w:tcPr>
          <w:p w14:paraId="3DE9BB9A" w14:textId="77777777" w:rsidR="00D1587D" w:rsidRDefault="00D1587D">
            <w:pPr>
              <w:rPr>
                <w:sz w:val="16"/>
                <w:szCs w:val="16"/>
              </w:rPr>
            </w:pPr>
          </w:p>
        </w:tc>
        <w:tc>
          <w:tcPr>
            <w:tcW w:w="80" w:type="dxa"/>
            <w:vAlign w:val="bottom"/>
          </w:tcPr>
          <w:p w14:paraId="4ACEC974" w14:textId="77777777" w:rsidR="00D1587D" w:rsidRDefault="00D1587D">
            <w:pPr>
              <w:rPr>
                <w:sz w:val="16"/>
                <w:szCs w:val="16"/>
              </w:rPr>
            </w:pPr>
          </w:p>
        </w:tc>
        <w:tc>
          <w:tcPr>
            <w:tcW w:w="660" w:type="dxa"/>
            <w:vAlign w:val="bottom"/>
          </w:tcPr>
          <w:p w14:paraId="7A133E0E" w14:textId="77777777" w:rsidR="00D1587D" w:rsidRDefault="00D1587D">
            <w:pPr>
              <w:rPr>
                <w:sz w:val="16"/>
                <w:szCs w:val="16"/>
              </w:rPr>
            </w:pPr>
          </w:p>
        </w:tc>
        <w:tc>
          <w:tcPr>
            <w:tcW w:w="80" w:type="dxa"/>
            <w:vAlign w:val="bottom"/>
          </w:tcPr>
          <w:p w14:paraId="4F4093E6" w14:textId="77777777" w:rsidR="00D1587D" w:rsidRDefault="00D1587D">
            <w:pPr>
              <w:rPr>
                <w:sz w:val="16"/>
                <w:szCs w:val="16"/>
              </w:rPr>
            </w:pPr>
          </w:p>
        </w:tc>
        <w:tc>
          <w:tcPr>
            <w:tcW w:w="600" w:type="dxa"/>
            <w:vAlign w:val="bottom"/>
          </w:tcPr>
          <w:p w14:paraId="7B76BF49" w14:textId="77777777" w:rsidR="00D1587D" w:rsidRDefault="00D1587D">
            <w:pPr>
              <w:rPr>
                <w:sz w:val="16"/>
                <w:szCs w:val="16"/>
              </w:rPr>
            </w:pPr>
          </w:p>
        </w:tc>
        <w:tc>
          <w:tcPr>
            <w:tcW w:w="80" w:type="dxa"/>
            <w:vAlign w:val="bottom"/>
          </w:tcPr>
          <w:p w14:paraId="15954078" w14:textId="77777777" w:rsidR="00D1587D" w:rsidRDefault="00D1587D">
            <w:pPr>
              <w:rPr>
                <w:sz w:val="16"/>
                <w:szCs w:val="16"/>
              </w:rPr>
            </w:pPr>
          </w:p>
        </w:tc>
        <w:tc>
          <w:tcPr>
            <w:tcW w:w="700" w:type="dxa"/>
            <w:gridSpan w:val="2"/>
            <w:vAlign w:val="bottom"/>
          </w:tcPr>
          <w:p w14:paraId="19D6F345" w14:textId="77777777" w:rsidR="00D1587D" w:rsidRDefault="00410D07">
            <w:pPr>
              <w:ind w:right="120"/>
              <w:jc w:val="center"/>
              <w:rPr>
                <w:sz w:val="20"/>
                <w:szCs w:val="20"/>
              </w:rPr>
            </w:pPr>
            <w:r>
              <w:rPr>
                <w:rFonts w:ascii="Arial" w:eastAsia="Arial" w:hAnsi="Arial" w:cs="Arial"/>
                <w:b/>
                <w:bCs/>
                <w:w w:val="98"/>
                <w:sz w:val="14"/>
                <w:szCs w:val="14"/>
              </w:rPr>
              <w:t>Equity</w:t>
            </w:r>
          </w:p>
        </w:tc>
        <w:tc>
          <w:tcPr>
            <w:tcW w:w="600" w:type="dxa"/>
            <w:vAlign w:val="bottom"/>
          </w:tcPr>
          <w:p w14:paraId="663F4FF7" w14:textId="77777777" w:rsidR="00D1587D" w:rsidRDefault="00410D07">
            <w:pPr>
              <w:jc w:val="center"/>
              <w:rPr>
                <w:sz w:val="20"/>
                <w:szCs w:val="20"/>
              </w:rPr>
            </w:pPr>
            <w:r>
              <w:rPr>
                <w:rFonts w:ascii="Arial" w:eastAsia="Arial" w:hAnsi="Arial" w:cs="Arial"/>
                <w:b/>
                <w:bCs/>
                <w:w w:val="92"/>
                <w:sz w:val="14"/>
                <w:szCs w:val="14"/>
              </w:rPr>
              <w:t>Incentive</w:t>
            </w:r>
          </w:p>
        </w:tc>
        <w:tc>
          <w:tcPr>
            <w:tcW w:w="0" w:type="dxa"/>
            <w:vAlign w:val="bottom"/>
          </w:tcPr>
          <w:p w14:paraId="25EBB5E3" w14:textId="77777777" w:rsidR="00D1587D" w:rsidRDefault="00D1587D">
            <w:pPr>
              <w:rPr>
                <w:sz w:val="1"/>
                <w:szCs w:val="1"/>
              </w:rPr>
            </w:pPr>
          </w:p>
        </w:tc>
      </w:tr>
      <w:tr w:rsidR="00D1587D" w14:paraId="4E980113" w14:textId="77777777">
        <w:trPr>
          <w:trHeight w:val="148"/>
        </w:trPr>
        <w:tc>
          <w:tcPr>
            <w:tcW w:w="880" w:type="dxa"/>
            <w:vAlign w:val="bottom"/>
          </w:tcPr>
          <w:p w14:paraId="416CD70F" w14:textId="77777777" w:rsidR="00D1587D" w:rsidRDefault="00D1587D">
            <w:pPr>
              <w:rPr>
                <w:sz w:val="12"/>
                <w:szCs w:val="12"/>
              </w:rPr>
            </w:pPr>
          </w:p>
        </w:tc>
        <w:tc>
          <w:tcPr>
            <w:tcW w:w="80" w:type="dxa"/>
            <w:vAlign w:val="bottom"/>
          </w:tcPr>
          <w:p w14:paraId="0783236F" w14:textId="77777777" w:rsidR="00D1587D" w:rsidRDefault="00D1587D">
            <w:pPr>
              <w:rPr>
                <w:sz w:val="12"/>
                <w:szCs w:val="12"/>
              </w:rPr>
            </w:pPr>
          </w:p>
        </w:tc>
        <w:tc>
          <w:tcPr>
            <w:tcW w:w="580" w:type="dxa"/>
            <w:vAlign w:val="bottom"/>
          </w:tcPr>
          <w:p w14:paraId="4CF309A7" w14:textId="77777777" w:rsidR="00D1587D" w:rsidRDefault="00D1587D">
            <w:pPr>
              <w:rPr>
                <w:sz w:val="12"/>
                <w:szCs w:val="12"/>
              </w:rPr>
            </w:pPr>
          </w:p>
        </w:tc>
        <w:tc>
          <w:tcPr>
            <w:tcW w:w="20" w:type="dxa"/>
            <w:vAlign w:val="bottom"/>
          </w:tcPr>
          <w:p w14:paraId="22C62B94" w14:textId="77777777" w:rsidR="00D1587D" w:rsidRDefault="00D1587D">
            <w:pPr>
              <w:rPr>
                <w:sz w:val="12"/>
                <w:szCs w:val="12"/>
              </w:rPr>
            </w:pPr>
          </w:p>
        </w:tc>
        <w:tc>
          <w:tcPr>
            <w:tcW w:w="80" w:type="dxa"/>
            <w:vAlign w:val="bottom"/>
          </w:tcPr>
          <w:p w14:paraId="2782936D" w14:textId="77777777" w:rsidR="00D1587D" w:rsidRDefault="00D1587D">
            <w:pPr>
              <w:rPr>
                <w:sz w:val="12"/>
                <w:szCs w:val="12"/>
              </w:rPr>
            </w:pPr>
          </w:p>
        </w:tc>
        <w:tc>
          <w:tcPr>
            <w:tcW w:w="760" w:type="dxa"/>
            <w:vAlign w:val="bottom"/>
          </w:tcPr>
          <w:p w14:paraId="575E7B16" w14:textId="77777777" w:rsidR="00D1587D" w:rsidRDefault="00D1587D">
            <w:pPr>
              <w:rPr>
                <w:sz w:val="12"/>
                <w:szCs w:val="12"/>
              </w:rPr>
            </w:pPr>
          </w:p>
        </w:tc>
        <w:tc>
          <w:tcPr>
            <w:tcW w:w="80" w:type="dxa"/>
            <w:vAlign w:val="bottom"/>
          </w:tcPr>
          <w:p w14:paraId="5EA4E790" w14:textId="77777777" w:rsidR="00D1587D" w:rsidRDefault="00D1587D">
            <w:pPr>
              <w:rPr>
                <w:sz w:val="12"/>
                <w:szCs w:val="12"/>
              </w:rPr>
            </w:pPr>
          </w:p>
        </w:tc>
        <w:tc>
          <w:tcPr>
            <w:tcW w:w="860" w:type="dxa"/>
            <w:vAlign w:val="bottom"/>
          </w:tcPr>
          <w:p w14:paraId="775460B7" w14:textId="77777777" w:rsidR="00D1587D" w:rsidRDefault="00D1587D">
            <w:pPr>
              <w:rPr>
                <w:sz w:val="12"/>
                <w:szCs w:val="12"/>
              </w:rPr>
            </w:pPr>
          </w:p>
        </w:tc>
        <w:tc>
          <w:tcPr>
            <w:tcW w:w="80" w:type="dxa"/>
            <w:vAlign w:val="bottom"/>
          </w:tcPr>
          <w:p w14:paraId="7B0F51C6" w14:textId="77777777" w:rsidR="00D1587D" w:rsidRDefault="00D1587D">
            <w:pPr>
              <w:rPr>
                <w:sz w:val="12"/>
                <w:szCs w:val="12"/>
              </w:rPr>
            </w:pPr>
          </w:p>
        </w:tc>
        <w:tc>
          <w:tcPr>
            <w:tcW w:w="760" w:type="dxa"/>
            <w:vAlign w:val="bottom"/>
          </w:tcPr>
          <w:p w14:paraId="15C11E88" w14:textId="77777777" w:rsidR="00D1587D" w:rsidRDefault="00D1587D">
            <w:pPr>
              <w:rPr>
                <w:sz w:val="12"/>
                <w:szCs w:val="12"/>
              </w:rPr>
            </w:pPr>
          </w:p>
        </w:tc>
        <w:tc>
          <w:tcPr>
            <w:tcW w:w="80" w:type="dxa"/>
            <w:vAlign w:val="bottom"/>
          </w:tcPr>
          <w:p w14:paraId="2CBCF5CA" w14:textId="77777777" w:rsidR="00D1587D" w:rsidRDefault="00D1587D">
            <w:pPr>
              <w:rPr>
                <w:sz w:val="12"/>
                <w:szCs w:val="12"/>
              </w:rPr>
            </w:pPr>
          </w:p>
        </w:tc>
        <w:tc>
          <w:tcPr>
            <w:tcW w:w="520" w:type="dxa"/>
            <w:vAlign w:val="bottom"/>
          </w:tcPr>
          <w:p w14:paraId="682E0A91" w14:textId="77777777" w:rsidR="00D1587D" w:rsidRDefault="00D1587D">
            <w:pPr>
              <w:rPr>
                <w:sz w:val="12"/>
                <w:szCs w:val="12"/>
              </w:rPr>
            </w:pPr>
          </w:p>
        </w:tc>
        <w:tc>
          <w:tcPr>
            <w:tcW w:w="80" w:type="dxa"/>
            <w:vAlign w:val="bottom"/>
          </w:tcPr>
          <w:p w14:paraId="495841C1" w14:textId="77777777" w:rsidR="00D1587D" w:rsidRDefault="00D1587D">
            <w:pPr>
              <w:rPr>
                <w:sz w:val="12"/>
                <w:szCs w:val="12"/>
              </w:rPr>
            </w:pPr>
          </w:p>
        </w:tc>
        <w:tc>
          <w:tcPr>
            <w:tcW w:w="680" w:type="dxa"/>
            <w:vAlign w:val="bottom"/>
          </w:tcPr>
          <w:p w14:paraId="59DF643A" w14:textId="77777777" w:rsidR="00D1587D" w:rsidRDefault="00D1587D">
            <w:pPr>
              <w:rPr>
                <w:sz w:val="12"/>
                <w:szCs w:val="12"/>
              </w:rPr>
            </w:pPr>
          </w:p>
        </w:tc>
        <w:tc>
          <w:tcPr>
            <w:tcW w:w="80" w:type="dxa"/>
            <w:vAlign w:val="bottom"/>
          </w:tcPr>
          <w:p w14:paraId="6A14DA1D" w14:textId="77777777" w:rsidR="00D1587D" w:rsidRDefault="00D1587D">
            <w:pPr>
              <w:rPr>
                <w:sz w:val="12"/>
                <w:szCs w:val="12"/>
              </w:rPr>
            </w:pPr>
          </w:p>
        </w:tc>
        <w:tc>
          <w:tcPr>
            <w:tcW w:w="660" w:type="dxa"/>
            <w:vAlign w:val="bottom"/>
          </w:tcPr>
          <w:p w14:paraId="3D006A98" w14:textId="77777777" w:rsidR="00D1587D" w:rsidRDefault="00D1587D">
            <w:pPr>
              <w:rPr>
                <w:sz w:val="12"/>
                <w:szCs w:val="12"/>
              </w:rPr>
            </w:pPr>
          </w:p>
        </w:tc>
        <w:tc>
          <w:tcPr>
            <w:tcW w:w="80" w:type="dxa"/>
            <w:vAlign w:val="bottom"/>
          </w:tcPr>
          <w:p w14:paraId="54061DD0" w14:textId="77777777" w:rsidR="00D1587D" w:rsidRDefault="00D1587D">
            <w:pPr>
              <w:rPr>
                <w:sz w:val="12"/>
                <w:szCs w:val="12"/>
              </w:rPr>
            </w:pPr>
          </w:p>
        </w:tc>
        <w:tc>
          <w:tcPr>
            <w:tcW w:w="660" w:type="dxa"/>
            <w:vAlign w:val="bottom"/>
          </w:tcPr>
          <w:p w14:paraId="09B2912D" w14:textId="77777777" w:rsidR="00D1587D" w:rsidRDefault="00D1587D">
            <w:pPr>
              <w:rPr>
                <w:sz w:val="12"/>
                <w:szCs w:val="12"/>
              </w:rPr>
            </w:pPr>
          </w:p>
        </w:tc>
        <w:tc>
          <w:tcPr>
            <w:tcW w:w="80" w:type="dxa"/>
            <w:vAlign w:val="bottom"/>
          </w:tcPr>
          <w:p w14:paraId="2278324F" w14:textId="77777777" w:rsidR="00D1587D" w:rsidRDefault="00D1587D">
            <w:pPr>
              <w:rPr>
                <w:sz w:val="12"/>
                <w:szCs w:val="12"/>
              </w:rPr>
            </w:pPr>
          </w:p>
        </w:tc>
        <w:tc>
          <w:tcPr>
            <w:tcW w:w="600" w:type="dxa"/>
            <w:vAlign w:val="bottom"/>
          </w:tcPr>
          <w:p w14:paraId="782EB4B2" w14:textId="77777777" w:rsidR="00D1587D" w:rsidRDefault="00D1587D">
            <w:pPr>
              <w:rPr>
                <w:sz w:val="12"/>
                <w:szCs w:val="12"/>
              </w:rPr>
            </w:pPr>
          </w:p>
        </w:tc>
        <w:tc>
          <w:tcPr>
            <w:tcW w:w="80" w:type="dxa"/>
            <w:vAlign w:val="bottom"/>
          </w:tcPr>
          <w:p w14:paraId="32D7131E" w14:textId="77777777" w:rsidR="00D1587D" w:rsidRDefault="00D1587D">
            <w:pPr>
              <w:rPr>
                <w:sz w:val="12"/>
                <w:szCs w:val="12"/>
              </w:rPr>
            </w:pPr>
          </w:p>
        </w:tc>
        <w:tc>
          <w:tcPr>
            <w:tcW w:w="700" w:type="dxa"/>
            <w:gridSpan w:val="2"/>
            <w:vAlign w:val="bottom"/>
          </w:tcPr>
          <w:p w14:paraId="00052285" w14:textId="77777777" w:rsidR="00D1587D" w:rsidRDefault="00410D07">
            <w:pPr>
              <w:spacing w:line="149" w:lineRule="exact"/>
              <w:ind w:right="120"/>
              <w:jc w:val="center"/>
              <w:rPr>
                <w:sz w:val="20"/>
                <w:szCs w:val="20"/>
              </w:rPr>
            </w:pPr>
            <w:r>
              <w:rPr>
                <w:rFonts w:ascii="Arial" w:eastAsia="Arial" w:hAnsi="Arial" w:cs="Arial"/>
                <w:b/>
                <w:bCs/>
                <w:w w:val="95"/>
                <w:sz w:val="14"/>
                <w:szCs w:val="14"/>
              </w:rPr>
              <w:t>Incentive</w:t>
            </w:r>
          </w:p>
        </w:tc>
        <w:tc>
          <w:tcPr>
            <w:tcW w:w="600" w:type="dxa"/>
            <w:vAlign w:val="bottom"/>
          </w:tcPr>
          <w:p w14:paraId="6009F9C4" w14:textId="77777777" w:rsidR="00D1587D" w:rsidRDefault="00410D07">
            <w:pPr>
              <w:spacing w:line="149" w:lineRule="exact"/>
              <w:jc w:val="center"/>
              <w:rPr>
                <w:sz w:val="20"/>
                <w:szCs w:val="20"/>
              </w:rPr>
            </w:pPr>
            <w:r>
              <w:rPr>
                <w:rFonts w:ascii="Arial" w:eastAsia="Arial" w:hAnsi="Arial" w:cs="Arial"/>
                <w:b/>
                <w:bCs/>
                <w:w w:val="94"/>
                <w:sz w:val="14"/>
                <w:szCs w:val="14"/>
              </w:rPr>
              <w:t>Plan</w:t>
            </w:r>
          </w:p>
        </w:tc>
        <w:tc>
          <w:tcPr>
            <w:tcW w:w="0" w:type="dxa"/>
            <w:vAlign w:val="bottom"/>
          </w:tcPr>
          <w:p w14:paraId="79BFCFE8" w14:textId="77777777" w:rsidR="00D1587D" w:rsidRDefault="00D1587D">
            <w:pPr>
              <w:rPr>
                <w:sz w:val="1"/>
                <w:szCs w:val="1"/>
              </w:rPr>
            </w:pPr>
          </w:p>
        </w:tc>
      </w:tr>
      <w:tr w:rsidR="00D1587D" w14:paraId="12343E2D" w14:textId="77777777">
        <w:trPr>
          <w:trHeight w:val="148"/>
        </w:trPr>
        <w:tc>
          <w:tcPr>
            <w:tcW w:w="880" w:type="dxa"/>
            <w:vAlign w:val="bottom"/>
          </w:tcPr>
          <w:p w14:paraId="386E113E" w14:textId="77777777" w:rsidR="00D1587D" w:rsidRDefault="00D1587D">
            <w:pPr>
              <w:rPr>
                <w:sz w:val="12"/>
                <w:szCs w:val="12"/>
              </w:rPr>
            </w:pPr>
          </w:p>
        </w:tc>
        <w:tc>
          <w:tcPr>
            <w:tcW w:w="80" w:type="dxa"/>
            <w:vAlign w:val="bottom"/>
          </w:tcPr>
          <w:p w14:paraId="71983B1B" w14:textId="77777777" w:rsidR="00D1587D" w:rsidRDefault="00D1587D">
            <w:pPr>
              <w:rPr>
                <w:sz w:val="12"/>
                <w:szCs w:val="12"/>
              </w:rPr>
            </w:pPr>
          </w:p>
        </w:tc>
        <w:tc>
          <w:tcPr>
            <w:tcW w:w="580" w:type="dxa"/>
            <w:vAlign w:val="bottom"/>
          </w:tcPr>
          <w:p w14:paraId="782074DD" w14:textId="77777777" w:rsidR="00D1587D" w:rsidRDefault="00D1587D">
            <w:pPr>
              <w:rPr>
                <w:sz w:val="12"/>
                <w:szCs w:val="12"/>
              </w:rPr>
            </w:pPr>
          </w:p>
        </w:tc>
        <w:tc>
          <w:tcPr>
            <w:tcW w:w="20" w:type="dxa"/>
            <w:vAlign w:val="bottom"/>
          </w:tcPr>
          <w:p w14:paraId="10303E72" w14:textId="77777777" w:rsidR="00D1587D" w:rsidRDefault="00D1587D">
            <w:pPr>
              <w:rPr>
                <w:sz w:val="12"/>
                <w:szCs w:val="12"/>
              </w:rPr>
            </w:pPr>
          </w:p>
        </w:tc>
        <w:tc>
          <w:tcPr>
            <w:tcW w:w="80" w:type="dxa"/>
            <w:vAlign w:val="bottom"/>
          </w:tcPr>
          <w:p w14:paraId="25D84E24" w14:textId="77777777" w:rsidR="00D1587D" w:rsidRDefault="00D1587D">
            <w:pPr>
              <w:rPr>
                <w:sz w:val="12"/>
                <w:szCs w:val="12"/>
              </w:rPr>
            </w:pPr>
          </w:p>
        </w:tc>
        <w:tc>
          <w:tcPr>
            <w:tcW w:w="760" w:type="dxa"/>
            <w:vAlign w:val="bottom"/>
          </w:tcPr>
          <w:p w14:paraId="763A93CA" w14:textId="77777777" w:rsidR="00D1587D" w:rsidRDefault="00D1587D">
            <w:pPr>
              <w:rPr>
                <w:sz w:val="12"/>
                <w:szCs w:val="12"/>
              </w:rPr>
            </w:pPr>
          </w:p>
        </w:tc>
        <w:tc>
          <w:tcPr>
            <w:tcW w:w="80" w:type="dxa"/>
            <w:vAlign w:val="bottom"/>
          </w:tcPr>
          <w:p w14:paraId="4044AEFC" w14:textId="77777777" w:rsidR="00D1587D" w:rsidRDefault="00D1587D">
            <w:pPr>
              <w:rPr>
                <w:sz w:val="12"/>
                <w:szCs w:val="12"/>
              </w:rPr>
            </w:pPr>
          </w:p>
        </w:tc>
        <w:tc>
          <w:tcPr>
            <w:tcW w:w="860" w:type="dxa"/>
            <w:vAlign w:val="bottom"/>
          </w:tcPr>
          <w:p w14:paraId="25F9C41A" w14:textId="77777777" w:rsidR="00D1587D" w:rsidRDefault="00D1587D">
            <w:pPr>
              <w:rPr>
                <w:sz w:val="12"/>
                <w:szCs w:val="12"/>
              </w:rPr>
            </w:pPr>
          </w:p>
        </w:tc>
        <w:tc>
          <w:tcPr>
            <w:tcW w:w="80" w:type="dxa"/>
            <w:vAlign w:val="bottom"/>
          </w:tcPr>
          <w:p w14:paraId="79E4E904" w14:textId="77777777" w:rsidR="00D1587D" w:rsidRDefault="00D1587D">
            <w:pPr>
              <w:rPr>
                <w:sz w:val="12"/>
                <w:szCs w:val="12"/>
              </w:rPr>
            </w:pPr>
          </w:p>
        </w:tc>
        <w:tc>
          <w:tcPr>
            <w:tcW w:w="760" w:type="dxa"/>
            <w:vAlign w:val="bottom"/>
          </w:tcPr>
          <w:p w14:paraId="5DCC3AE8" w14:textId="77777777" w:rsidR="00D1587D" w:rsidRDefault="00D1587D">
            <w:pPr>
              <w:rPr>
                <w:sz w:val="12"/>
                <w:szCs w:val="12"/>
              </w:rPr>
            </w:pPr>
          </w:p>
        </w:tc>
        <w:tc>
          <w:tcPr>
            <w:tcW w:w="80" w:type="dxa"/>
            <w:vAlign w:val="bottom"/>
          </w:tcPr>
          <w:p w14:paraId="7EFCCB3E" w14:textId="77777777" w:rsidR="00D1587D" w:rsidRDefault="00D1587D">
            <w:pPr>
              <w:rPr>
                <w:sz w:val="12"/>
                <w:szCs w:val="12"/>
              </w:rPr>
            </w:pPr>
          </w:p>
        </w:tc>
        <w:tc>
          <w:tcPr>
            <w:tcW w:w="520" w:type="dxa"/>
            <w:vAlign w:val="bottom"/>
          </w:tcPr>
          <w:p w14:paraId="430DF81E" w14:textId="77777777" w:rsidR="00D1587D" w:rsidRDefault="00D1587D">
            <w:pPr>
              <w:rPr>
                <w:sz w:val="12"/>
                <w:szCs w:val="12"/>
              </w:rPr>
            </w:pPr>
          </w:p>
        </w:tc>
        <w:tc>
          <w:tcPr>
            <w:tcW w:w="80" w:type="dxa"/>
            <w:vAlign w:val="bottom"/>
          </w:tcPr>
          <w:p w14:paraId="09F474A3" w14:textId="77777777" w:rsidR="00D1587D" w:rsidRDefault="00D1587D">
            <w:pPr>
              <w:rPr>
                <w:sz w:val="12"/>
                <w:szCs w:val="12"/>
              </w:rPr>
            </w:pPr>
          </w:p>
        </w:tc>
        <w:tc>
          <w:tcPr>
            <w:tcW w:w="680" w:type="dxa"/>
            <w:vAlign w:val="bottom"/>
          </w:tcPr>
          <w:p w14:paraId="022B4D9C" w14:textId="77777777" w:rsidR="00D1587D" w:rsidRDefault="00D1587D">
            <w:pPr>
              <w:rPr>
                <w:sz w:val="12"/>
                <w:szCs w:val="12"/>
              </w:rPr>
            </w:pPr>
          </w:p>
        </w:tc>
        <w:tc>
          <w:tcPr>
            <w:tcW w:w="80" w:type="dxa"/>
            <w:vAlign w:val="bottom"/>
          </w:tcPr>
          <w:p w14:paraId="524D1C95" w14:textId="77777777" w:rsidR="00D1587D" w:rsidRDefault="00D1587D">
            <w:pPr>
              <w:rPr>
                <w:sz w:val="12"/>
                <w:szCs w:val="12"/>
              </w:rPr>
            </w:pPr>
          </w:p>
        </w:tc>
        <w:tc>
          <w:tcPr>
            <w:tcW w:w="660" w:type="dxa"/>
            <w:vAlign w:val="bottom"/>
          </w:tcPr>
          <w:p w14:paraId="734E61D6" w14:textId="77777777" w:rsidR="00D1587D" w:rsidRDefault="00D1587D">
            <w:pPr>
              <w:rPr>
                <w:sz w:val="12"/>
                <w:szCs w:val="12"/>
              </w:rPr>
            </w:pPr>
          </w:p>
        </w:tc>
        <w:tc>
          <w:tcPr>
            <w:tcW w:w="80" w:type="dxa"/>
            <w:vAlign w:val="bottom"/>
          </w:tcPr>
          <w:p w14:paraId="210C3A31" w14:textId="77777777" w:rsidR="00D1587D" w:rsidRDefault="00D1587D">
            <w:pPr>
              <w:rPr>
                <w:sz w:val="12"/>
                <w:szCs w:val="12"/>
              </w:rPr>
            </w:pPr>
          </w:p>
        </w:tc>
        <w:tc>
          <w:tcPr>
            <w:tcW w:w="660" w:type="dxa"/>
            <w:vAlign w:val="bottom"/>
          </w:tcPr>
          <w:p w14:paraId="6D212F8E" w14:textId="77777777" w:rsidR="00D1587D" w:rsidRDefault="00D1587D">
            <w:pPr>
              <w:rPr>
                <w:sz w:val="12"/>
                <w:szCs w:val="12"/>
              </w:rPr>
            </w:pPr>
          </w:p>
        </w:tc>
        <w:tc>
          <w:tcPr>
            <w:tcW w:w="80" w:type="dxa"/>
            <w:vAlign w:val="bottom"/>
          </w:tcPr>
          <w:p w14:paraId="2D2A5EE9" w14:textId="77777777" w:rsidR="00D1587D" w:rsidRDefault="00D1587D">
            <w:pPr>
              <w:rPr>
                <w:sz w:val="12"/>
                <w:szCs w:val="12"/>
              </w:rPr>
            </w:pPr>
          </w:p>
        </w:tc>
        <w:tc>
          <w:tcPr>
            <w:tcW w:w="600" w:type="dxa"/>
            <w:vAlign w:val="bottom"/>
          </w:tcPr>
          <w:p w14:paraId="4D87E217" w14:textId="77777777" w:rsidR="00D1587D" w:rsidRDefault="00D1587D">
            <w:pPr>
              <w:rPr>
                <w:sz w:val="12"/>
                <w:szCs w:val="12"/>
              </w:rPr>
            </w:pPr>
          </w:p>
        </w:tc>
        <w:tc>
          <w:tcPr>
            <w:tcW w:w="80" w:type="dxa"/>
            <w:vAlign w:val="bottom"/>
          </w:tcPr>
          <w:p w14:paraId="70F97733" w14:textId="77777777" w:rsidR="00D1587D" w:rsidRDefault="00D1587D">
            <w:pPr>
              <w:rPr>
                <w:sz w:val="12"/>
                <w:szCs w:val="12"/>
              </w:rPr>
            </w:pPr>
          </w:p>
        </w:tc>
        <w:tc>
          <w:tcPr>
            <w:tcW w:w="700" w:type="dxa"/>
            <w:gridSpan w:val="2"/>
            <w:vAlign w:val="bottom"/>
          </w:tcPr>
          <w:p w14:paraId="2D5EE07B" w14:textId="77777777" w:rsidR="00D1587D" w:rsidRDefault="00410D07">
            <w:pPr>
              <w:spacing w:line="149" w:lineRule="exact"/>
              <w:ind w:right="120"/>
              <w:jc w:val="center"/>
              <w:rPr>
                <w:sz w:val="20"/>
                <w:szCs w:val="20"/>
              </w:rPr>
            </w:pPr>
            <w:r>
              <w:rPr>
                <w:rFonts w:ascii="Arial" w:eastAsia="Arial" w:hAnsi="Arial" w:cs="Arial"/>
                <w:b/>
                <w:bCs/>
                <w:w w:val="87"/>
                <w:sz w:val="14"/>
                <w:szCs w:val="14"/>
              </w:rPr>
              <w:t>Plan</w:t>
            </w:r>
          </w:p>
        </w:tc>
        <w:tc>
          <w:tcPr>
            <w:tcW w:w="600" w:type="dxa"/>
            <w:vAlign w:val="bottom"/>
          </w:tcPr>
          <w:p w14:paraId="2BD69963" w14:textId="77777777" w:rsidR="00D1587D" w:rsidRDefault="00410D07">
            <w:pPr>
              <w:spacing w:line="149" w:lineRule="exact"/>
              <w:jc w:val="center"/>
              <w:rPr>
                <w:sz w:val="20"/>
                <w:szCs w:val="20"/>
              </w:rPr>
            </w:pPr>
            <w:r>
              <w:rPr>
                <w:rFonts w:ascii="Arial" w:eastAsia="Arial" w:hAnsi="Arial" w:cs="Arial"/>
                <w:b/>
                <w:bCs/>
                <w:w w:val="94"/>
                <w:sz w:val="14"/>
                <w:szCs w:val="14"/>
              </w:rPr>
              <w:t>Awards:</w:t>
            </w:r>
          </w:p>
        </w:tc>
        <w:tc>
          <w:tcPr>
            <w:tcW w:w="0" w:type="dxa"/>
            <w:vAlign w:val="bottom"/>
          </w:tcPr>
          <w:p w14:paraId="62C74879" w14:textId="77777777" w:rsidR="00D1587D" w:rsidRDefault="00D1587D">
            <w:pPr>
              <w:rPr>
                <w:sz w:val="1"/>
                <w:szCs w:val="1"/>
              </w:rPr>
            </w:pPr>
          </w:p>
        </w:tc>
      </w:tr>
      <w:tr w:rsidR="00D1587D" w14:paraId="722E4A7B" w14:textId="77777777">
        <w:trPr>
          <w:trHeight w:val="149"/>
        </w:trPr>
        <w:tc>
          <w:tcPr>
            <w:tcW w:w="880" w:type="dxa"/>
            <w:vAlign w:val="bottom"/>
          </w:tcPr>
          <w:p w14:paraId="7941ED41" w14:textId="77777777" w:rsidR="00D1587D" w:rsidRDefault="00D1587D">
            <w:pPr>
              <w:rPr>
                <w:sz w:val="12"/>
                <w:szCs w:val="12"/>
              </w:rPr>
            </w:pPr>
          </w:p>
        </w:tc>
        <w:tc>
          <w:tcPr>
            <w:tcW w:w="80" w:type="dxa"/>
            <w:vAlign w:val="bottom"/>
          </w:tcPr>
          <w:p w14:paraId="7137DD8E" w14:textId="77777777" w:rsidR="00D1587D" w:rsidRDefault="00D1587D">
            <w:pPr>
              <w:rPr>
                <w:sz w:val="12"/>
                <w:szCs w:val="12"/>
              </w:rPr>
            </w:pPr>
          </w:p>
        </w:tc>
        <w:tc>
          <w:tcPr>
            <w:tcW w:w="580" w:type="dxa"/>
            <w:vAlign w:val="bottom"/>
          </w:tcPr>
          <w:p w14:paraId="073B9609" w14:textId="77777777" w:rsidR="00D1587D" w:rsidRDefault="00D1587D">
            <w:pPr>
              <w:rPr>
                <w:sz w:val="12"/>
                <w:szCs w:val="12"/>
              </w:rPr>
            </w:pPr>
          </w:p>
        </w:tc>
        <w:tc>
          <w:tcPr>
            <w:tcW w:w="20" w:type="dxa"/>
            <w:vAlign w:val="bottom"/>
          </w:tcPr>
          <w:p w14:paraId="13F79E14" w14:textId="77777777" w:rsidR="00D1587D" w:rsidRDefault="00D1587D">
            <w:pPr>
              <w:rPr>
                <w:sz w:val="12"/>
                <w:szCs w:val="12"/>
              </w:rPr>
            </w:pPr>
          </w:p>
        </w:tc>
        <w:tc>
          <w:tcPr>
            <w:tcW w:w="80" w:type="dxa"/>
            <w:vAlign w:val="bottom"/>
          </w:tcPr>
          <w:p w14:paraId="1D7831B2" w14:textId="77777777" w:rsidR="00D1587D" w:rsidRDefault="00D1587D">
            <w:pPr>
              <w:rPr>
                <w:sz w:val="12"/>
                <w:szCs w:val="12"/>
              </w:rPr>
            </w:pPr>
          </w:p>
        </w:tc>
        <w:tc>
          <w:tcPr>
            <w:tcW w:w="760" w:type="dxa"/>
            <w:vAlign w:val="bottom"/>
          </w:tcPr>
          <w:p w14:paraId="271737A2" w14:textId="77777777" w:rsidR="00D1587D" w:rsidRDefault="00D1587D">
            <w:pPr>
              <w:rPr>
                <w:sz w:val="12"/>
                <w:szCs w:val="12"/>
              </w:rPr>
            </w:pPr>
          </w:p>
        </w:tc>
        <w:tc>
          <w:tcPr>
            <w:tcW w:w="80" w:type="dxa"/>
            <w:vAlign w:val="bottom"/>
          </w:tcPr>
          <w:p w14:paraId="40BDFDA5" w14:textId="77777777" w:rsidR="00D1587D" w:rsidRDefault="00D1587D">
            <w:pPr>
              <w:rPr>
                <w:sz w:val="12"/>
                <w:szCs w:val="12"/>
              </w:rPr>
            </w:pPr>
          </w:p>
        </w:tc>
        <w:tc>
          <w:tcPr>
            <w:tcW w:w="860" w:type="dxa"/>
            <w:vAlign w:val="bottom"/>
          </w:tcPr>
          <w:p w14:paraId="53B87AD5" w14:textId="77777777" w:rsidR="00D1587D" w:rsidRDefault="00D1587D">
            <w:pPr>
              <w:rPr>
                <w:sz w:val="12"/>
                <w:szCs w:val="12"/>
              </w:rPr>
            </w:pPr>
          </w:p>
        </w:tc>
        <w:tc>
          <w:tcPr>
            <w:tcW w:w="80" w:type="dxa"/>
            <w:vAlign w:val="bottom"/>
          </w:tcPr>
          <w:p w14:paraId="674D19B0" w14:textId="77777777" w:rsidR="00D1587D" w:rsidRDefault="00D1587D">
            <w:pPr>
              <w:rPr>
                <w:sz w:val="12"/>
                <w:szCs w:val="12"/>
              </w:rPr>
            </w:pPr>
          </w:p>
        </w:tc>
        <w:tc>
          <w:tcPr>
            <w:tcW w:w="840" w:type="dxa"/>
            <w:gridSpan w:val="2"/>
            <w:vMerge w:val="restart"/>
            <w:vAlign w:val="bottom"/>
          </w:tcPr>
          <w:p w14:paraId="13DF6CC0" w14:textId="77777777" w:rsidR="00D1587D" w:rsidRDefault="00410D07">
            <w:pPr>
              <w:ind w:right="100"/>
              <w:jc w:val="center"/>
              <w:rPr>
                <w:sz w:val="20"/>
                <w:szCs w:val="20"/>
              </w:rPr>
            </w:pPr>
            <w:r>
              <w:rPr>
                <w:rFonts w:ascii="Arial" w:eastAsia="Arial" w:hAnsi="Arial" w:cs="Arial"/>
                <w:b/>
                <w:bCs/>
                <w:w w:val="98"/>
                <w:sz w:val="14"/>
                <w:szCs w:val="14"/>
              </w:rPr>
              <w:t>Equity</w:t>
            </w:r>
          </w:p>
        </w:tc>
        <w:tc>
          <w:tcPr>
            <w:tcW w:w="520" w:type="dxa"/>
            <w:vAlign w:val="bottom"/>
          </w:tcPr>
          <w:p w14:paraId="7D5BC63B" w14:textId="77777777" w:rsidR="00D1587D" w:rsidRDefault="00D1587D">
            <w:pPr>
              <w:rPr>
                <w:sz w:val="12"/>
                <w:szCs w:val="12"/>
              </w:rPr>
            </w:pPr>
          </w:p>
        </w:tc>
        <w:tc>
          <w:tcPr>
            <w:tcW w:w="80" w:type="dxa"/>
            <w:vAlign w:val="bottom"/>
          </w:tcPr>
          <w:p w14:paraId="44D0C663" w14:textId="77777777" w:rsidR="00D1587D" w:rsidRDefault="00D1587D">
            <w:pPr>
              <w:rPr>
                <w:sz w:val="12"/>
                <w:szCs w:val="12"/>
              </w:rPr>
            </w:pPr>
          </w:p>
        </w:tc>
        <w:tc>
          <w:tcPr>
            <w:tcW w:w="680" w:type="dxa"/>
            <w:vAlign w:val="bottom"/>
          </w:tcPr>
          <w:p w14:paraId="18578EAC" w14:textId="77777777" w:rsidR="00D1587D" w:rsidRDefault="00D1587D">
            <w:pPr>
              <w:rPr>
                <w:sz w:val="12"/>
                <w:szCs w:val="12"/>
              </w:rPr>
            </w:pPr>
          </w:p>
        </w:tc>
        <w:tc>
          <w:tcPr>
            <w:tcW w:w="80" w:type="dxa"/>
            <w:vAlign w:val="bottom"/>
          </w:tcPr>
          <w:p w14:paraId="720913A1" w14:textId="77777777" w:rsidR="00D1587D" w:rsidRDefault="00D1587D">
            <w:pPr>
              <w:rPr>
                <w:sz w:val="12"/>
                <w:szCs w:val="12"/>
              </w:rPr>
            </w:pPr>
          </w:p>
        </w:tc>
        <w:tc>
          <w:tcPr>
            <w:tcW w:w="660" w:type="dxa"/>
            <w:vAlign w:val="bottom"/>
          </w:tcPr>
          <w:p w14:paraId="6142FBB3" w14:textId="77777777" w:rsidR="00D1587D" w:rsidRDefault="00D1587D">
            <w:pPr>
              <w:rPr>
                <w:sz w:val="12"/>
                <w:szCs w:val="12"/>
              </w:rPr>
            </w:pPr>
          </w:p>
        </w:tc>
        <w:tc>
          <w:tcPr>
            <w:tcW w:w="80" w:type="dxa"/>
            <w:vAlign w:val="bottom"/>
          </w:tcPr>
          <w:p w14:paraId="61BEF7BD" w14:textId="77777777" w:rsidR="00D1587D" w:rsidRDefault="00D1587D">
            <w:pPr>
              <w:rPr>
                <w:sz w:val="12"/>
                <w:szCs w:val="12"/>
              </w:rPr>
            </w:pPr>
          </w:p>
        </w:tc>
        <w:tc>
          <w:tcPr>
            <w:tcW w:w="660" w:type="dxa"/>
            <w:vAlign w:val="bottom"/>
          </w:tcPr>
          <w:p w14:paraId="7632F535" w14:textId="77777777" w:rsidR="00D1587D" w:rsidRDefault="00D1587D">
            <w:pPr>
              <w:rPr>
                <w:sz w:val="12"/>
                <w:szCs w:val="12"/>
              </w:rPr>
            </w:pPr>
          </w:p>
        </w:tc>
        <w:tc>
          <w:tcPr>
            <w:tcW w:w="80" w:type="dxa"/>
            <w:vAlign w:val="bottom"/>
          </w:tcPr>
          <w:p w14:paraId="1BF5F382" w14:textId="77777777" w:rsidR="00D1587D" w:rsidRDefault="00D1587D">
            <w:pPr>
              <w:rPr>
                <w:sz w:val="12"/>
                <w:szCs w:val="12"/>
              </w:rPr>
            </w:pPr>
          </w:p>
        </w:tc>
        <w:tc>
          <w:tcPr>
            <w:tcW w:w="600" w:type="dxa"/>
            <w:vAlign w:val="bottom"/>
          </w:tcPr>
          <w:p w14:paraId="458B8271" w14:textId="77777777" w:rsidR="00D1587D" w:rsidRDefault="00D1587D">
            <w:pPr>
              <w:rPr>
                <w:sz w:val="12"/>
                <w:szCs w:val="12"/>
              </w:rPr>
            </w:pPr>
          </w:p>
        </w:tc>
        <w:tc>
          <w:tcPr>
            <w:tcW w:w="80" w:type="dxa"/>
            <w:vAlign w:val="bottom"/>
          </w:tcPr>
          <w:p w14:paraId="1417F614" w14:textId="77777777" w:rsidR="00D1587D" w:rsidRDefault="00D1587D">
            <w:pPr>
              <w:rPr>
                <w:sz w:val="12"/>
                <w:szCs w:val="12"/>
              </w:rPr>
            </w:pPr>
          </w:p>
        </w:tc>
        <w:tc>
          <w:tcPr>
            <w:tcW w:w="700" w:type="dxa"/>
            <w:gridSpan w:val="2"/>
            <w:vAlign w:val="bottom"/>
          </w:tcPr>
          <w:p w14:paraId="76482C9D" w14:textId="77777777" w:rsidR="00D1587D" w:rsidRDefault="00410D07">
            <w:pPr>
              <w:spacing w:line="149" w:lineRule="exact"/>
              <w:ind w:right="120"/>
              <w:jc w:val="center"/>
              <w:rPr>
                <w:sz w:val="20"/>
                <w:szCs w:val="20"/>
              </w:rPr>
            </w:pPr>
            <w:r>
              <w:rPr>
                <w:rFonts w:ascii="Arial" w:eastAsia="Arial" w:hAnsi="Arial" w:cs="Arial"/>
                <w:b/>
                <w:bCs/>
                <w:w w:val="90"/>
                <w:sz w:val="14"/>
                <w:szCs w:val="14"/>
              </w:rPr>
              <w:t>Awards:</w:t>
            </w:r>
          </w:p>
        </w:tc>
        <w:tc>
          <w:tcPr>
            <w:tcW w:w="600" w:type="dxa"/>
            <w:vAlign w:val="bottom"/>
          </w:tcPr>
          <w:p w14:paraId="49E46A96" w14:textId="77777777" w:rsidR="00D1587D" w:rsidRDefault="00410D07">
            <w:pPr>
              <w:spacing w:line="149" w:lineRule="exact"/>
              <w:jc w:val="center"/>
              <w:rPr>
                <w:sz w:val="20"/>
                <w:szCs w:val="20"/>
              </w:rPr>
            </w:pPr>
            <w:r>
              <w:rPr>
                <w:rFonts w:ascii="Arial" w:eastAsia="Arial" w:hAnsi="Arial" w:cs="Arial"/>
                <w:b/>
                <w:bCs/>
                <w:sz w:val="14"/>
                <w:szCs w:val="14"/>
              </w:rPr>
              <w:t>Market</w:t>
            </w:r>
          </w:p>
        </w:tc>
        <w:tc>
          <w:tcPr>
            <w:tcW w:w="0" w:type="dxa"/>
            <w:vAlign w:val="bottom"/>
          </w:tcPr>
          <w:p w14:paraId="5AD9D787" w14:textId="77777777" w:rsidR="00D1587D" w:rsidRDefault="00D1587D">
            <w:pPr>
              <w:rPr>
                <w:sz w:val="1"/>
                <w:szCs w:val="1"/>
              </w:rPr>
            </w:pPr>
          </w:p>
        </w:tc>
      </w:tr>
      <w:tr w:rsidR="00D1587D" w14:paraId="1D7CFD2B" w14:textId="77777777">
        <w:trPr>
          <w:trHeight w:val="148"/>
        </w:trPr>
        <w:tc>
          <w:tcPr>
            <w:tcW w:w="880" w:type="dxa"/>
            <w:vAlign w:val="bottom"/>
          </w:tcPr>
          <w:p w14:paraId="74EC34DC" w14:textId="77777777" w:rsidR="00D1587D" w:rsidRDefault="00D1587D">
            <w:pPr>
              <w:rPr>
                <w:sz w:val="12"/>
                <w:szCs w:val="12"/>
              </w:rPr>
            </w:pPr>
          </w:p>
        </w:tc>
        <w:tc>
          <w:tcPr>
            <w:tcW w:w="80" w:type="dxa"/>
            <w:vAlign w:val="bottom"/>
          </w:tcPr>
          <w:p w14:paraId="24B4D695" w14:textId="77777777" w:rsidR="00D1587D" w:rsidRDefault="00D1587D">
            <w:pPr>
              <w:rPr>
                <w:sz w:val="12"/>
                <w:szCs w:val="12"/>
              </w:rPr>
            </w:pPr>
          </w:p>
        </w:tc>
        <w:tc>
          <w:tcPr>
            <w:tcW w:w="580" w:type="dxa"/>
            <w:vAlign w:val="bottom"/>
          </w:tcPr>
          <w:p w14:paraId="4898D2F1" w14:textId="77777777" w:rsidR="00D1587D" w:rsidRDefault="00D1587D">
            <w:pPr>
              <w:rPr>
                <w:sz w:val="12"/>
                <w:szCs w:val="12"/>
              </w:rPr>
            </w:pPr>
          </w:p>
        </w:tc>
        <w:tc>
          <w:tcPr>
            <w:tcW w:w="20" w:type="dxa"/>
            <w:vAlign w:val="bottom"/>
          </w:tcPr>
          <w:p w14:paraId="29E145F6" w14:textId="77777777" w:rsidR="00D1587D" w:rsidRDefault="00D1587D">
            <w:pPr>
              <w:rPr>
                <w:sz w:val="12"/>
                <w:szCs w:val="12"/>
              </w:rPr>
            </w:pPr>
          </w:p>
        </w:tc>
        <w:tc>
          <w:tcPr>
            <w:tcW w:w="80" w:type="dxa"/>
            <w:vAlign w:val="bottom"/>
          </w:tcPr>
          <w:p w14:paraId="4245C31C" w14:textId="77777777" w:rsidR="00D1587D" w:rsidRDefault="00D1587D">
            <w:pPr>
              <w:rPr>
                <w:sz w:val="12"/>
                <w:szCs w:val="12"/>
              </w:rPr>
            </w:pPr>
          </w:p>
        </w:tc>
        <w:tc>
          <w:tcPr>
            <w:tcW w:w="760" w:type="dxa"/>
            <w:vAlign w:val="bottom"/>
          </w:tcPr>
          <w:p w14:paraId="095AF3B9" w14:textId="77777777" w:rsidR="00D1587D" w:rsidRDefault="00D1587D">
            <w:pPr>
              <w:rPr>
                <w:sz w:val="12"/>
                <w:szCs w:val="12"/>
              </w:rPr>
            </w:pPr>
          </w:p>
        </w:tc>
        <w:tc>
          <w:tcPr>
            <w:tcW w:w="80" w:type="dxa"/>
            <w:vAlign w:val="bottom"/>
          </w:tcPr>
          <w:p w14:paraId="0144BEED" w14:textId="77777777" w:rsidR="00D1587D" w:rsidRDefault="00D1587D">
            <w:pPr>
              <w:rPr>
                <w:sz w:val="12"/>
                <w:szCs w:val="12"/>
              </w:rPr>
            </w:pPr>
          </w:p>
        </w:tc>
        <w:tc>
          <w:tcPr>
            <w:tcW w:w="860" w:type="dxa"/>
            <w:vAlign w:val="bottom"/>
          </w:tcPr>
          <w:p w14:paraId="455D3ED9" w14:textId="77777777" w:rsidR="00D1587D" w:rsidRDefault="00D1587D">
            <w:pPr>
              <w:rPr>
                <w:sz w:val="12"/>
                <w:szCs w:val="12"/>
              </w:rPr>
            </w:pPr>
          </w:p>
        </w:tc>
        <w:tc>
          <w:tcPr>
            <w:tcW w:w="80" w:type="dxa"/>
            <w:vAlign w:val="bottom"/>
          </w:tcPr>
          <w:p w14:paraId="2540DFE1" w14:textId="77777777" w:rsidR="00D1587D" w:rsidRDefault="00D1587D">
            <w:pPr>
              <w:rPr>
                <w:sz w:val="12"/>
                <w:szCs w:val="12"/>
              </w:rPr>
            </w:pPr>
          </w:p>
        </w:tc>
        <w:tc>
          <w:tcPr>
            <w:tcW w:w="840" w:type="dxa"/>
            <w:gridSpan w:val="2"/>
            <w:vMerge/>
            <w:vAlign w:val="bottom"/>
          </w:tcPr>
          <w:p w14:paraId="44D97FE6" w14:textId="77777777" w:rsidR="00D1587D" w:rsidRDefault="00D1587D">
            <w:pPr>
              <w:rPr>
                <w:sz w:val="12"/>
                <w:szCs w:val="12"/>
              </w:rPr>
            </w:pPr>
          </w:p>
        </w:tc>
        <w:tc>
          <w:tcPr>
            <w:tcW w:w="520" w:type="dxa"/>
            <w:vAlign w:val="bottom"/>
          </w:tcPr>
          <w:p w14:paraId="670C6721" w14:textId="77777777" w:rsidR="00D1587D" w:rsidRDefault="00D1587D">
            <w:pPr>
              <w:rPr>
                <w:sz w:val="12"/>
                <w:szCs w:val="12"/>
              </w:rPr>
            </w:pPr>
          </w:p>
        </w:tc>
        <w:tc>
          <w:tcPr>
            <w:tcW w:w="80" w:type="dxa"/>
            <w:vAlign w:val="bottom"/>
          </w:tcPr>
          <w:p w14:paraId="61DD4F41" w14:textId="77777777" w:rsidR="00D1587D" w:rsidRDefault="00D1587D">
            <w:pPr>
              <w:rPr>
                <w:sz w:val="12"/>
                <w:szCs w:val="12"/>
              </w:rPr>
            </w:pPr>
          </w:p>
        </w:tc>
        <w:tc>
          <w:tcPr>
            <w:tcW w:w="680" w:type="dxa"/>
            <w:vAlign w:val="bottom"/>
          </w:tcPr>
          <w:p w14:paraId="02364A88" w14:textId="77777777" w:rsidR="00D1587D" w:rsidRDefault="00D1587D">
            <w:pPr>
              <w:rPr>
                <w:sz w:val="12"/>
                <w:szCs w:val="12"/>
              </w:rPr>
            </w:pPr>
          </w:p>
        </w:tc>
        <w:tc>
          <w:tcPr>
            <w:tcW w:w="80" w:type="dxa"/>
            <w:vAlign w:val="bottom"/>
          </w:tcPr>
          <w:p w14:paraId="77D5F5AE" w14:textId="77777777" w:rsidR="00D1587D" w:rsidRDefault="00D1587D">
            <w:pPr>
              <w:rPr>
                <w:sz w:val="12"/>
                <w:szCs w:val="12"/>
              </w:rPr>
            </w:pPr>
          </w:p>
        </w:tc>
        <w:tc>
          <w:tcPr>
            <w:tcW w:w="660" w:type="dxa"/>
            <w:vAlign w:val="bottom"/>
          </w:tcPr>
          <w:p w14:paraId="663F0FD8" w14:textId="77777777" w:rsidR="00D1587D" w:rsidRDefault="00D1587D">
            <w:pPr>
              <w:rPr>
                <w:sz w:val="12"/>
                <w:szCs w:val="12"/>
              </w:rPr>
            </w:pPr>
          </w:p>
        </w:tc>
        <w:tc>
          <w:tcPr>
            <w:tcW w:w="80" w:type="dxa"/>
            <w:vAlign w:val="bottom"/>
          </w:tcPr>
          <w:p w14:paraId="1C4FB726" w14:textId="77777777" w:rsidR="00D1587D" w:rsidRDefault="00D1587D">
            <w:pPr>
              <w:rPr>
                <w:sz w:val="12"/>
                <w:szCs w:val="12"/>
              </w:rPr>
            </w:pPr>
          </w:p>
        </w:tc>
        <w:tc>
          <w:tcPr>
            <w:tcW w:w="660" w:type="dxa"/>
            <w:vAlign w:val="bottom"/>
          </w:tcPr>
          <w:p w14:paraId="3931F2F0" w14:textId="77777777" w:rsidR="00D1587D" w:rsidRDefault="00D1587D">
            <w:pPr>
              <w:rPr>
                <w:sz w:val="12"/>
                <w:szCs w:val="12"/>
              </w:rPr>
            </w:pPr>
          </w:p>
        </w:tc>
        <w:tc>
          <w:tcPr>
            <w:tcW w:w="80" w:type="dxa"/>
            <w:vAlign w:val="bottom"/>
          </w:tcPr>
          <w:p w14:paraId="4C41BBA0" w14:textId="77777777" w:rsidR="00D1587D" w:rsidRDefault="00D1587D">
            <w:pPr>
              <w:rPr>
                <w:sz w:val="12"/>
                <w:szCs w:val="12"/>
              </w:rPr>
            </w:pPr>
          </w:p>
        </w:tc>
        <w:tc>
          <w:tcPr>
            <w:tcW w:w="600" w:type="dxa"/>
            <w:vAlign w:val="bottom"/>
          </w:tcPr>
          <w:p w14:paraId="10C7CC2F" w14:textId="77777777" w:rsidR="00D1587D" w:rsidRDefault="00D1587D">
            <w:pPr>
              <w:rPr>
                <w:sz w:val="12"/>
                <w:szCs w:val="12"/>
              </w:rPr>
            </w:pPr>
          </w:p>
        </w:tc>
        <w:tc>
          <w:tcPr>
            <w:tcW w:w="80" w:type="dxa"/>
            <w:vAlign w:val="bottom"/>
          </w:tcPr>
          <w:p w14:paraId="5BF0DF7E" w14:textId="77777777" w:rsidR="00D1587D" w:rsidRDefault="00D1587D">
            <w:pPr>
              <w:rPr>
                <w:sz w:val="12"/>
                <w:szCs w:val="12"/>
              </w:rPr>
            </w:pPr>
          </w:p>
        </w:tc>
        <w:tc>
          <w:tcPr>
            <w:tcW w:w="700" w:type="dxa"/>
            <w:gridSpan w:val="2"/>
            <w:vAlign w:val="bottom"/>
          </w:tcPr>
          <w:p w14:paraId="42BADC5C" w14:textId="77777777" w:rsidR="00D1587D" w:rsidRDefault="00410D07">
            <w:pPr>
              <w:spacing w:line="149" w:lineRule="exact"/>
              <w:ind w:right="120"/>
              <w:jc w:val="center"/>
              <w:rPr>
                <w:sz w:val="20"/>
                <w:szCs w:val="20"/>
              </w:rPr>
            </w:pPr>
            <w:r>
              <w:rPr>
                <w:rFonts w:ascii="Arial" w:eastAsia="Arial" w:hAnsi="Arial" w:cs="Arial"/>
                <w:b/>
                <w:bCs/>
                <w:w w:val="94"/>
                <w:sz w:val="14"/>
                <w:szCs w:val="14"/>
              </w:rPr>
              <w:t>Number</w:t>
            </w:r>
          </w:p>
        </w:tc>
        <w:tc>
          <w:tcPr>
            <w:tcW w:w="600" w:type="dxa"/>
            <w:vAlign w:val="bottom"/>
          </w:tcPr>
          <w:p w14:paraId="15A48B5E" w14:textId="77777777" w:rsidR="00D1587D" w:rsidRDefault="00410D07">
            <w:pPr>
              <w:spacing w:line="149" w:lineRule="exact"/>
              <w:jc w:val="center"/>
              <w:rPr>
                <w:sz w:val="20"/>
                <w:szCs w:val="20"/>
              </w:rPr>
            </w:pPr>
            <w:r>
              <w:rPr>
                <w:rFonts w:ascii="Arial" w:eastAsia="Arial" w:hAnsi="Arial" w:cs="Arial"/>
                <w:b/>
                <w:bCs/>
                <w:w w:val="92"/>
                <w:sz w:val="14"/>
                <w:szCs w:val="14"/>
              </w:rPr>
              <w:t>or Payout</w:t>
            </w:r>
          </w:p>
        </w:tc>
        <w:tc>
          <w:tcPr>
            <w:tcW w:w="0" w:type="dxa"/>
            <w:vAlign w:val="bottom"/>
          </w:tcPr>
          <w:p w14:paraId="648355BC" w14:textId="77777777" w:rsidR="00D1587D" w:rsidRDefault="00D1587D">
            <w:pPr>
              <w:rPr>
                <w:sz w:val="1"/>
                <w:szCs w:val="1"/>
              </w:rPr>
            </w:pPr>
          </w:p>
        </w:tc>
      </w:tr>
      <w:tr w:rsidR="00D1587D" w14:paraId="6F384BE0" w14:textId="77777777">
        <w:trPr>
          <w:trHeight w:val="148"/>
        </w:trPr>
        <w:tc>
          <w:tcPr>
            <w:tcW w:w="880" w:type="dxa"/>
            <w:vAlign w:val="bottom"/>
          </w:tcPr>
          <w:p w14:paraId="5F09155D" w14:textId="77777777" w:rsidR="00D1587D" w:rsidRDefault="00D1587D">
            <w:pPr>
              <w:rPr>
                <w:sz w:val="12"/>
                <w:szCs w:val="12"/>
              </w:rPr>
            </w:pPr>
          </w:p>
        </w:tc>
        <w:tc>
          <w:tcPr>
            <w:tcW w:w="80" w:type="dxa"/>
            <w:vAlign w:val="bottom"/>
          </w:tcPr>
          <w:p w14:paraId="7A857A35" w14:textId="77777777" w:rsidR="00D1587D" w:rsidRDefault="00D1587D">
            <w:pPr>
              <w:rPr>
                <w:sz w:val="12"/>
                <w:szCs w:val="12"/>
              </w:rPr>
            </w:pPr>
          </w:p>
        </w:tc>
        <w:tc>
          <w:tcPr>
            <w:tcW w:w="580" w:type="dxa"/>
            <w:vAlign w:val="bottom"/>
          </w:tcPr>
          <w:p w14:paraId="6DAE32E5" w14:textId="77777777" w:rsidR="00D1587D" w:rsidRDefault="00D1587D">
            <w:pPr>
              <w:rPr>
                <w:sz w:val="12"/>
                <w:szCs w:val="12"/>
              </w:rPr>
            </w:pPr>
          </w:p>
        </w:tc>
        <w:tc>
          <w:tcPr>
            <w:tcW w:w="20" w:type="dxa"/>
            <w:vAlign w:val="bottom"/>
          </w:tcPr>
          <w:p w14:paraId="4EE36DE8" w14:textId="77777777" w:rsidR="00D1587D" w:rsidRDefault="00D1587D">
            <w:pPr>
              <w:rPr>
                <w:sz w:val="12"/>
                <w:szCs w:val="12"/>
              </w:rPr>
            </w:pPr>
          </w:p>
        </w:tc>
        <w:tc>
          <w:tcPr>
            <w:tcW w:w="80" w:type="dxa"/>
            <w:vAlign w:val="bottom"/>
          </w:tcPr>
          <w:p w14:paraId="05FC3AB8" w14:textId="77777777" w:rsidR="00D1587D" w:rsidRDefault="00D1587D">
            <w:pPr>
              <w:rPr>
                <w:sz w:val="12"/>
                <w:szCs w:val="12"/>
              </w:rPr>
            </w:pPr>
          </w:p>
        </w:tc>
        <w:tc>
          <w:tcPr>
            <w:tcW w:w="760" w:type="dxa"/>
            <w:vAlign w:val="bottom"/>
          </w:tcPr>
          <w:p w14:paraId="38656BBA" w14:textId="77777777" w:rsidR="00D1587D" w:rsidRDefault="00D1587D">
            <w:pPr>
              <w:rPr>
                <w:sz w:val="12"/>
                <w:szCs w:val="12"/>
              </w:rPr>
            </w:pPr>
          </w:p>
        </w:tc>
        <w:tc>
          <w:tcPr>
            <w:tcW w:w="80" w:type="dxa"/>
            <w:vAlign w:val="bottom"/>
          </w:tcPr>
          <w:p w14:paraId="25E291F8" w14:textId="77777777" w:rsidR="00D1587D" w:rsidRDefault="00D1587D">
            <w:pPr>
              <w:rPr>
                <w:sz w:val="12"/>
                <w:szCs w:val="12"/>
              </w:rPr>
            </w:pPr>
          </w:p>
        </w:tc>
        <w:tc>
          <w:tcPr>
            <w:tcW w:w="860" w:type="dxa"/>
            <w:vAlign w:val="bottom"/>
          </w:tcPr>
          <w:p w14:paraId="000690F1" w14:textId="77777777" w:rsidR="00D1587D" w:rsidRDefault="00D1587D">
            <w:pPr>
              <w:rPr>
                <w:sz w:val="12"/>
                <w:szCs w:val="12"/>
              </w:rPr>
            </w:pPr>
          </w:p>
        </w:tc>
        <w:tc>
          <w:tcPr>
            <w:tcW w:w="80" w:type="dxa"/>
            <w:vAlign w:val="bottom"/>
          </w:tcPr>
          <w:p w14:paraId="16F329B9" w14:textId="77777777" w:rsidR="00D1587D" w:rsidRDefault="00D1587D">
            <w:pPr>
              <w:rPr>
                <w:sz w:val="12"/>
                <w:szCs w:val="12"/>
              </w:rPr>
            </w:pPr>
          </w:p>
        </w:tc>
        <w:tc>
          <w:tcPr>
            <w:tcW w:w="840" w:type="dxa"/>
            <w:gridSpan w:val="2"/>
            <w:vAlign w:val="bottom"/>
          </w:tcPr>
          <w:p w14:paraId="09944C38" w14:textId="77777777" w:rsidR="00D1587D" w:rsidRDefault="00410D07">
            <w:pPr>
              <w:spacing w:line="149" w:lineRule="exact"/>
              <w:ind w:right="120"/>
              <w:jc w:val="center"/>
              <w:rPr>
                <w:sz w:val="20"/>
                <w:szCs w:val="20"/>
              </w:rPr>
            </w:pPr>
            <w:r>
              <w:rPr>
                <w:rFonts w:ascii="Arial" w:eastAsia="Arial" w:hAnsi="Arial" w:cs="Arial"/>
                <w:b/>
                <w:bCs/>
                <w:w w:val="92"/>
                <w:sz w:val="14"/>
                <w:szCs w:val="14"/>
              </w:rPr>
              <w:t>Incentive</w:t>
            </w:r>
          </w:p>
        </w:tc>
        <w:tc>
          <w:tcPr>
            <w:tcW w:w="520" w:type="dxa"/>
            <w:vAlign w:val="bottom"/>
          </w:tcPr>
          <w:p w14:paraId="193CAF58" w14:textId="77777777" w:rsidR="00D1587D" w:rsidRDefault="00D1587D">
            <w:pPr>
              <w:rPr>
                <w:sz w:val="12"/>
                <w:szCs w:val="12"/>
              </w:rPr>
            </w:pPr>
          </w:p>
        </w:tc>
        <w:tc>
          <w:tcPr>
            <w:tcW w:w="80" w:type="dxa"/>
            <w:vAlign w:val="bottom"/>
          </w:tcPr>
          <w:p w14:paraId="481F90B0" w14:textId="77777777" w:rsidR="00D1587D" w:rsidRDefault="00D1587D">
            <w:pPr>
              <w:rPr>
                <w:sz w:val="12"/>
                <w:szCs w:val="12"/>
              </w:rPr>
            </w:pPr>
          </w:p>
        </w:tc>
        <w:tc>
          <w:tcPr>
            <w:tcW w:w="680" w:type="dxa"/>
            <w:vAlign w:val="bottom"/>
          </w:tcPr>
          <w:p w14:paraId="7DFE8FC9" w14:textId="77777777" w:rsidR="00D1587D" w:rsidRDefault="00D1587D">
            <w:pPr>
              <w:rPr>
                <w:sz w:val="12"/>
                <w:szCs w:val="12"/>
              </w:rPr>
            </w:pPr>
          </w:p>
        </w:tc>
        <w:tc>
          <w:tcPr>
            <w:tcW w:w="80" w:type="dxa"/>
            <w:vAlign w:val="bottom"/>
          </w:tcPr>
          <w:p w14:paraId="29DF1692" w14:textId="77777777" w:rsidR="00D1587D" w:rsidRDefault="00D1587D">
            <w:pPr>
              <w:rPr>
                <w:sz w:val="12"/>
                <w:szCs w:val="12"/>
              </w:rPr>
            </w:pPr>
          </w:p>
        </w:tc>
        <w:tc>
          <w:tcPr>
            <w:tcW w:w="660" w:type="dxa"/>
            <w:vAlign w:val="bottom"/>
          </w:tcPr>
          <w:p w14:paraId="6E719EF3" w14:textId="77777777" w:rsidR="00D1587D" w:rsidRDefault="00D1587D">
            <w:pPr>
              <w:rPr>
                <w:sz w:val="12"/>
                <w:szCs w:val="12"/>
              </w:rPr>
            </w:pPr>
          </w:p>
        </w:tc>
        <w:tc>
          <w:tcPr>
            <w:tcW w:w="80" w:type="dxa"/>
            <w:vAlign w:val="bottom"/>
          </w:tcPr>
          <w:p w14:paraId="17EBCE29" w14:textId="77777777" w:rsidR="00D1587D" w:rsidRDefault="00D1587D">
            <w:pPr>
              <w:rPr>
                <w:sz w:val="12"/>
                <w:szCs w:val="12"/>
              </w:rPr>
            </w:pPr>
          </w:p>
        </w:tc>
        <w:tc>
          <w:tcPr>
            <w:tcW w:w="660" w:type="dxa"/>
            <w:vAlign w:val="bottom"/>
          </w:tcPr>
          <w:p w14:paraId="4C50B45D" w14:textId="77777777" w:rsidR="00D1587D" w:rsidRDefault="00D1587D">
            <w:pPr>
              <w:rPr>
                <w:sz w:val="12"/>
                <w:szCs w:val="12"/>
              </w:rPr>
            </w:pPr>
          </w:p>
        </w:tc>
        <w:tc>
          <w:tcPr>
            <w:tcW w:w="80" w:type="dxa"/>
            <w:vAlign w:val="bottom"/>
          </w:tcPr>
          <w:p w14:paraId="4F2439D6" w14:textId="77777777" w:rsidR="00D1587D" w:rsidRDefault="00D1587D">
            <w:pPr>
              <w:rPr>
                <w:sz w:val="12"/>
                <w:szCs w:val="12"/>
              </w:rPr>
            </w:pPr>
          </w:p>
        </w:tc>
        <w:tc>
          <w:tcPr>
            <w:tcW w:w="680" w:type="dxa"/>
            <w:gridSpan w:val="2"/>
            <w:vMerge w:val="restart"/>
            <w:vAlign w:val="bottom"/>
          </w:tcPr>
          <w:p w14:paraId="3BCBAFB8" w14:textId="77777777" w:rsidR="00D1587D" w:rsidRDefault="00410D07">
            <w:pPr>
              <w:ind w:right="100"/>
              <w:jc w:val="center"/>
              <w:rPr>
                <w:sz w:val="20"/>
                <w:szCs w:val="20"/>
              </w:rPr>
            </w:pPr>
            <w:r>
              <w:rPr>
                <w:rFonts w:ascii="Arial" w:eastAsia="Arial" w:hAnsi="Arial" w:cs="Arial"/>
                <w:b/>
                <w:bCs/>
                <w:sz w:val="14"/>
                <w:szCs w:val="14"/>
              </w:rPr>
              <w:t>Market</w:t>
            </w:r>
          </w:p>
        </w:tc>
        <w:tc>
          <w:tcPr>
            <w:tcW w:w="700" w:type="dxa"/>
            <w:gridSpan w:val="2"/>
            <w:vAlign w:val="bottom"/>
          </w:tcPr>
          <w:p w14:paraId="1020EBAE" w14:textId="77777777" w:rsidR="00D1587D" w:rsidRDefault="00410D07">
            <w:pPr>
              <w:spacing w:line="149" w:lineRule="exact"/>
              <w:ind w:right="120"/>
              <w:jc w:val="center"/>
              <w:rPr>
                <w:sz w:val="20"/>
                <w:szCs w:val="20"/>
              </w:rPr>
            </w:pPr>
            <w:r>
              <w:rPr>
                <w:rFonts w:ascii="Arial" w:eastAsia="Arial" w:hAnsi="Arial" w:cs="Arial"/>
                <w:b/>
                <w:bCs/>
                <w:w w:val="75"/>
                <w:sz w:val="14"/>
                <w:szCs w:val="14"/>
              </w:rPr>
              <w:t>of</w:t>
            </w:r>
          </w:p>
        </w:tc>
        <w:tc>
          <w:tcPr>
            <w:tcW w:w="600" w:type="dxa"/>
            <w:vAlign w:val="bottom"/>
          </w:tcPr>
          <w:p w14:paraId="59FE30C6" w14:textId="77777777" w:rsidR="00D1587D" w:rsidRDefault="00410D07">
            <w:pPr>
              <w:spacing w:line="149" w:lineRule="exact"/>
              <w:jc w:val="center"/>
              <w:rPr>
                <w:sz w:val="20"/>
                <w:szCs w:val="20"/>
              </w:rPr>
            </w:pPr>
            <w:r>
              <w:rPr>
                <w:rFonts w:ascii="Arial" w:eastAsia="Arial" w:hAnsi="Arial" w:cs="Arial"/>
                <w:b/>
                <w:bCs/>
                <w:w w:val="91"/>
                <w:sz w:val="14"/>
                <w:szCs w:val="14"/>
              </w:rPr>
              <w:t>Value of</w:t>
            </w:r>
          </w:p>
        </w:tc>
        <w:tc>
          <w:tcPr>
            <w:tcW w:w="0" w:type="dxa"/>
            <w:vAlign w:val="bottom"/>
          </w:tcPr>
          <w:p w14:paraId="07A20F79" w14:textId="77777777" w:rsidR="00D1587D" w:rsidRDefault="00D1587D">
            <w:pPr>
              <w:rPr>
                <w:sz w:val="1"/>
                <w:szCs w:val="1"/>
              </w:rPr>
            </w:pPr>
          </w:p>
        </w:tc>
      </w:tr>
      <w:tr w:rsidR="00D1587D" w14:paraId="26E92389" w14:textId="77777777">
        <w:trPr>
          <w:trHeight w:val="148"/>
        </w:trPr>
        <w:tc>
          <w:tcPr>
            <w:tcW w:w="880" w:type="dxa"/>
            <w:vAlign w:val="bottom"/>
          </w:tcPr>
          <w:p w14:paraId="5DC3D60C" w14:textId="77777777" w:rsidR="00D1587D" w:rsidRDefault="00D1587D">
            <w:pPr>
              <w:rPr>
                <w:sz w:val="12"/>
                <w:szCs w:val="12"/>
              </w:rPr>
            </w:pPr>
          </w:p>
        </w:tc>
        <w:tc>
          <w:tcPr>
            <w:tcW w:w="80" w:type="dxa"/>
            <w:vAlign w:val="bottom"/>
          </w:tcPr>
          <w:p w14:paraId="3CF765FF" w14:textId="77777777" w:rsidR="00D1587D" w:rsidRDefault="00D1587D">
            <w:pPr>
              <w:rPr>
                <w:sz w:val="12"/>
                <w:szCs w:val="12"/>
              </w:rPr>
            </w:pPr>
          </w:p>
        </w:tc>
        <w:tc>
          <w:tcPr>
            <w:tcW w:w="580" w:type="dxa"/>
            <w:vAlign w:val="bottom"/>
          </w:tcPr>
          <w:p w14:paraId="7A10C718" w14:textId="77777777" w:rsidR="00D1587D" w:rsidRDefault="00D1587D">
            <w:pPr>
              <w:rPr>
                <w:sz w:val="12"/>
                <w:szCs w:val="12"/>
              </w:rPr>
            </w:pPr>
          </w:p>
        </w:tc>
        <w:tc>
          <w:tcPr>
            <w:tcW w:w="20" w:type="dxa"/>
            <w:vAlign w:val="bottom"/>
          </w:tcPr>
          <w:p w14:paraId="70B2CD4A" w14:textId="77777777" w:rsidR="00D1587D" w:rsidRDefault="00D1587D">
            <w:pPr>
              <w:rPr>
                <w:sz w:val="12"/>
                <w:szCs w:val="12"/>
              </w:rPr>
            </w:pPr>
          </w:p>
        </w:tc>
        <w:tc>
          <w:tcPr>
            <w:tcW w:w="80" w:type="dxa"/>
            <w:vAlign w:val="bottom"/>
          </w:tcPr>
          <w:p w14:paraId="167A8D8A" w14:textId="77777777" w:rsidR="00D1587D" w:rsidRDefault="00D1587D">
            <w:pPr>
              <w:rPr>
                <w:sz w:val="12"/>
                <w:szCs w:val="12"/>
              </w:rPr>
            </w:pPr>
          </w:p>
        </w:tc>
        <w:tc>
          <w:tcPr>
            <w:tcW w:w="760" w:type="dxa"/>
            <w:vAlign w:val="bottom"/>
          </w:tcPr>
          <w:p w14:paraId="7694B222" w14:textId="77777777" w:rsidR="00D1587D" w:rsidRDefault="00D1587D">
            <w:pPr>
              <w:rPr>
                <w:sz w:val="12"/>
                <w:szCs w:val="12"/>
              </w:rPr>
            </w:pPr>
          </w:p>
        </w:tc>
        <w:tc>
          <w:tcPr>
            <w:tcW w:w="80" w:type="dxa"/>
            <w:vAlign w:val="bottom"/>
          </w:tcPr>
          <w:p w14:paraId="4182BBBC" w14:textId="77777777" w:rsidR="00D1587D" w:rsidRDefault="00D1587D">
            <w:pPr>
              <w:rPr>
                <w:sz w:val="12"/>
                <w:szCs w:val="12"/>
              </w:rPr>
            </w:pPr>
          </w:p>
        </w:tc>
        <w:tc>
          <w:tcPr>
            <w:tcW w:w="860" w:type="dxa"/>
            <w:vAlign w:val="bottom"/>
          </w:tcPr>
          <w:p w14:paraId="4F68FF07" w14:textId="77777777" w:rsidR="00D1587D" w:rsidRDefault="00D1587D">
            <w:pPr>
              <w:rPr>
                <w:sz w:val="12"/>
                <w:szCs w:val="12"/>
              </w:rPr>
            </w:pPr>
          </w:p>
        </w:tc>
        <w:tc>
          <w:tcPr>
            <w:tcW w:w="80" w:type="dxa"/>
            <w:vAlign w:val="bottom"/>
          </w:tcPr>
          <w:p w14:paraId="0A0C8052" w14:textId="77777777" w:rsidR="00D1587D" w:rsidRDefault="00D1587D">
            <w:pPr>
              <w:rPr>
                <w:sz w:val="12"/>
                <w:szCs w:val="12"/>
              </w:rPr>
            </w:pPr>
          </w:p>
        </w:tc>
        <w:tc>
          <w:tcPr>
            <w:tcW w:w="840" w:type="dxa"/>
            <w:gridSpan w:val="2"/>
            <w:vAlign w:val="bottom"/>
          </w:tcPr>
          <w:p w14:paraId="1CA375ED" w14:textId="77777777" w:rsidR="00D1587D" w:rsidRDefault="00410D07">
            <w:pPr>
              <w:spacing w:line="149" w:lineRule="exact"/>
              <w:ind w:right="120"/>
              <w:jc w:val="center"/>
              <w:rPr>
                <w:sz w:val="20"/>
                <w:szCs w:val="20"/>
              </w:rPr>
            </w:pPr>
            <w:r>
              <w:rPr>
                <w:rFonts w:ascii="Arial" w:eastAsia="Arial" w:hAnsi="Arial" w:cs="Arial"/>
                <w:b/>
                <w:bCs/>
                <w:w w:val="94"/>
                <w:sz w:val="14"/>
                <w:szCs w:val="14"/>
              </w:rPr>
              <w:t>Plan</w:t>
            </w:r>
          </w:p>
        </w:tc>
        <w:tc>
          <w:tcPr>
            <w:tcW w:w="520" w:type="dxa"/>
            <w:vAlign w:val="bottom"/>
          </w:tcPr>
          <w:p w14:paraId="45EFB80D" w14:textId="77777777" w:rsidR="00D1587D" w:rsidRDefault="00D1587D">
            <w:pPr>
              <w:rPr>
                <w:sz w:val="12"/>
                <w:szCs w:val="12"/>
              </w:rPr>
            </w:pPr>
          </w:p>
        </w:tc>
        <w:tc>
          <w:tcPr>
            <w:tcW w:w="80" w:type="dxa"/>
            <w:vAlign w:val="bottom"/>
          </w:tcPr>
          <w:p w14:paraId="187491FB" w14:textId="77777777" w:rsidR="00D1587D" w:rsidRDefault="00D1587D">
            <w:pPr>
              <w:rPr>
                <w:sz w:val="12"/>
                <w:szCs w:val="12"/>
              </w:rPr>
            </w:pPr>
          </w:p>
        </w:tc>
        <w:tc>
          <w:tcPr>
            <w:tcW w:w="680" w:type="dxa"/>
            <w:vAlign w:val="bottom"/>
          </w:tcPr>
          <w:p w14:paraId="4B111A0F" w14:textId="77777777" w:rsidR="00D1587D" w:rsidRDefault="00D1587D">
            <w:pPr>
              <w:rPr>
                <w:sz w:val="12"/>
                <w:szCs w:val="12"/>
              </w:rPr>
            </w:pPr>
          </w:p>
        </w:tc>
        <w:tc>
          <w:tcPr>
            <w:tcW w:w="80" w:type="dxa"/>
            <w:vAlign w:val="bottom"/>
          </w:tcPr>
          <w:p w14:paraId="6A217D0D" w14:textId="77777777" w:rsidR="00D1587D" w:rsidRDefault="00D1587D">
            <w:pPr>
              <w:rPr>
                <w:sz w:val="12"/>
                <w:szCs w:val="12"/>
              </w:rPr>
            </w:pPr>
          </w:p>
        </w:tc>
        <w:tc>
          <w:tcPr>
            <w:tcW w:w="660" w:type="dxa"/>
            <w:vAlign w:val="bottom"/>
          </w:tcPr>
          <w:p w14:paraId="21C74021" w14:textId="77777777" w:rsidR="00D1587D" w:rsidRDefault="00D1587D">
            <w:pPr>
              <w:rPr>
                <w:sz w:val="12"/>
                <w:szCs w:val="12"/>
              </w:rPr>
            </w:pPr>
          </w:p>
        </w:tc>
        <w:tc>
          <w:tcPr>
            <w:tcW w:w="80" w:type="dxa"/>
            <w:vAlign w:val="bottom"/>
          </w:tcPr>
          <w:p w14:paraId="73F3F4BF" w14:textId="77777777" w:rsidR="00D1587D" w:rsidRDefault="00D1587D">
            <w:pPr>
              <w:rPr>
                <w:sz w:val="12"/>
                <w:szCs w:val="12"/>
              </w:rPr>
            </w:pPr>
          </w:p>
        </w:tc>
        <w:tc>
          <w:tcPr>
            <w:tcW w:w="740" w:type="dxa"/>
            <w:gridSpan w:val="2"/>
            <w:vMerge w:val="restart"/>
            <w:vAlign w:val="bottom"/>
          </w:tcPr>
          <w:p w14:paraId="71013D84" w14:textId="77777777" w:rsidR="00D1587D" w:rsidRDefault="00410D07">
            <w:pPr>
              <w:ind w:right="80"/>
              <w:jc w:val="right"/>
              <w:rPr>
                <w:sz w:val="20"/>
                <w:szCs w:val="20"/>
              </w:rPr>
            </w:pPr>
            <w:r>
              <w:rPr>
                <w:rFonts w:ascii="Arial" w:eastAsia="Arial" w:hAnsi="Arial" w:cs="Arial"/>
                <w:b/>
                <w:bCs/>
                <w:w w:val="91"/>
                <w:sz w:val="14"/>
                <w:szCs w:val="14"/>
              </w:rPr>
              <w:t>Number of</w:t>
            </w:r>
          </w:p>
        </w:tc>
        <w:tc>
          <w:tcPr>
            <w:tcW w:w="680" w:type="dxa"/>
            <w:gridSpan w:val="2"/>
            <w:vMerge/>
            <w:vAlign w:val="bottom"/>
          </w:tcPr>
          <w:p w14:paraId="57A1F427" w14:textId="77777777" w:rsidR="00D1587D" w:rsidRDefault="00D1587D">
            <w:pPr>
              <w:rPr>
                <w:sz w:val="12"/>
                <w:szCs w:val="12"/>
              </w:rPr>
            </w:pPr>
          </w:p>
        </w:tc>
        <w:tc>
          <w:tcPr>
            <w:tcW w:w="1300" w:type="dxa"/>
            <w:gridSpan w:val="3"/>
            <w:vAlign w:val="bottom"/>
          </w:tcPr>
          <w:p w14:paraId="7B20581A" w14:textId="77777777" w:rsidR="00D1587D" w:rsidRDefault="00410D07">
            <w:pPr>
              <w:spacing w:line="149" w:lineRule="exact"/>
              <w:jc w:val="right"/>
              <w:rPr>
                <w:sz w:val="20"/>
                <w:szCs w:val="20"/>
              </w:rPr>
            </w:pPr>
            <w:r>
              <w:rPr>
                <w:rFonts w:ascii="Arial" w:eastAsia="Arial" w:hAnsi="Arial" w:cs="Arial"/>
                <w:b/>
                <w:bCs/>
                <w:w w:val="96"/>
                <w:sz w:val="14"/>
                <w:szCs w:val="14"/>
              </w:rPr>
              <w:t>Unearned Unearned</w:t>
            </w:r>
          </w:p>
        </w:tc>
        <w:tc>
          <w:tcPr>
            <w:tcW w:w="0" w:type="dxa"/>
            <w:vAlign w:val="bottom"/>
          </w:tcPr>
          <w:p w14:paraId="22E0D8C8" w14:textId="77777777" w:rsidR="00D1587D" w:rsidRDefault="00D1587D">
            <w:pPr>
              <w:rPr>
                <w:sz w:val="1"/>
                <w:szCs w:val="1"/>
              </w:rPr>
            </w:pPr>
          </w:p>
        </w:tc>
      </w:tr>
      <w:tr w:rsidR="00D1587D" w14:paraId="381F7EF6" w14:textId="77777777">
        <w:trPr>
          <w:trHeight w:val="148"/>
        </w:trPr>
        <w:tc>
          <w:tcPr>
            <w:tcW w:w="880" w:type="dxa"/>
            <w:vAlign w:val="bottom"/>
          </w:tcPr>
          <w:p w14:paraId="5904FF0F" w14:textId="77777777" w:rsidR="00D1587D" w:rsidRDefault="00D1587D">
            <w:pPr>
              <w:rPr>
                <w:sz w:val="12"/>
                <w:szCs w:val="12"/>
              </w:rPr>
            </w:pPr>
          </w:p>
        </w:tc>
        <w:tc>
          <w:tcPr>
            <w:tcW w:w="80" w:type="dxa"/>
            <w:vAlign w:val="bottom"/>
          </w:tcPr>
          <w:p w14:paraId="2FB9B672" w14:textId="77777777" w:rsidR="00D1587D" w:rsidRDefault="00D1587D">
            <w:pPr>
              <w:rPr>
                <w:sz w:val="12"/>
                <w:szCs w:val="12"/>
              </w:rPr>
            </w:pPr>
          </w:p>
        </w:tc>
        <w:tc>
          <w:tcPr>
            <w:tcW w:w="580" w:type="dxa"/>
            <w:vAlign w:val="bottom"/>
          </w:tcPr>
          <w:p w14:paraId="0298FEA5" w14:textId="77777777" w:rsidR="00D1587D" w:rsidRDefault="00D1587D">
            <w:pPr>
              <w:rPr>
                <w:sz w:val="12"/>
                <w:szCs w:val="12"/>
              </w:rPr>
            </w:pPr>
          </w:p>
        </w:tc>
        <w:tc>
          <w:tcPr>
            <w:tcW w:w="20" w:type="dxa"/>
            <w:vAlign w:val="bottom"/>
          </w:tcPr>
          <w:p w14:paraId="426DC181" w14:textId="77777777" w:rsidR="00D1587D" w:rsidRDefault="00D1587D">
            <w:pPr>
              <w:rPr>
                <w:sz w:val="12"/>
                <w:szCs w:val="12"/>
              </w:rPr>
            </w:pPr>
          </w:p>
        </w:tc>
        <w:tc>
          <w:tcPr>
            <w:tcW w:w="80" w:type="dxa"/>
            <w:vAlign w:val="bottom"/>
          </w:tcPr>
          <w:p w14:paraId="07A5493C" w14:textId="77777777" w:rsidR="00D1587D" w:rsidRDefault="00D1587D">
            <w:pPr>
              <w:rPr>
                <w:sz w:val="12"/>
                <w:szCs w:val="12"/>
              </w:rPr>
            </w:pPr>
          </w:p>
        </w:tc>
        <w:tc>
          <w:tcPr>
            <w:tcW w:w="840" w:type="dxa"/>
            <w:gridSpan w:val="2"/>
            <w:vMerge w:val="restart"/>
            <w:vAlign w:val="bottom"/>
          </w:tcPr>
          <w:p w14:paraId="6AF74555" w14:textId="77777777" w:rsidR="00D1587D" w:rsidRDefault="00410D07">
            <w:pPr>
              <w:ind w:right="120"/>
              <w:jc w:val="center"/>
              <w:rPr>
                <w:sz w:val="20"/>
                <w:szCs w:val="20"/>
              </w:rPr>
            </w:pPr>
            <w:r>
              <w:rPr>
                <w:rFonts w:ascii="Arial" w:eastAsia="Arial" w:hAnsi="Arial" w:cs="Arial"/>
                <w:b/>
                <w:bCs/>
                <w:w w:val="97"/>
                <w:sz w:val="14"/>
                <w:szCs w:val="14"/>
              </w:rPr>
              <w:t>Number of</w:t>
            </w:r>
          </w:p>
        </w:tc>
        <w:tc>
          <w:tcPr>
            <w:tcW w:w="940" w:type="dxa"/>
            <w:gridSpan w:val="2"/>
            <w:vMerge w:val="restart"/>
            <w:vAlign w:val="bottom"/>
          </w:tcPr>
          <w:p w14:paraId="2B2BB31C" w14:textId="77777777" w:rsidR="00D1587D" w:rsidRDefault="00410D07">
            <w:pPr>
              <w:ind w:right="120"/>
              <w:jc w:val="center"/>
              <w:rPr>
                <w:sz w:val="20"/>
                <w:szCs w:val="20"/>
              </w:rPr>
            </w:pPr>
            <w:r>
              <w:rPr>
                <w:rFonts w:ascii="Arial" w:eastAsia="Arial" w:hAnsi="Arial" w:cs="Arial"/>
                <w:b/>
                <w:bCs/>
                <w:w w:val="94"/>
                <w:sz w:val="14"/>
                <w:szCs w:val="14"/>
              </w:rPr>
              <w:t>Number of</w:t>
            </w:r>
          </w:p>
        </w:tc>
        <w:tc>
          <w:tcPr>
            <w:tcW w:w="840" w:type="dxa"/>
            <w:gridSpan w:val="2"/>
            <w:vAlign w:val="bottom"/>
          </w:tcPr>
          <w:p w14:paraId="4682FBEF" w14:textId="77777777" w:rsidR="00D1587D" w:rsidRDefault="00410D07">
            <w:pPr>
              <w:spacing w:line="149" w:lineRule="exact"/>
              <w:ind w:right="120"/>
              <w:jc w:val="center"/>
              <w:rPr>
                <w:sz w:val="20"/>
                <w:szCs w:val="20"/>
              </w:rPr>
            </w:pPr>
            <w:r>
              <w:rPr>
                <w:rFonts w:ascii="Arial" w:eastAsia="Arial" w:hAnsi="Arial" w:cs="Arial"/>
                <w:b/>
                <w:bCs/>
                <w:w w:val="94"/>
                <w:sz w:val="14"/>
                <w:szCs w:val="14"/>
              </w:rPr>
              <w:t>Awards:</w:t>
            </w:r>
          </w:p>
        </w:tc>
        <w:tc>
          <w:tcPr>
            <w:tcW w:w="520" w:type="dxa"/>
            <w:vAlign w:val="bottom"/>
          </w:tcPr>
          <w:p w14:paraId="2A07D399" w14:textId="77777777" w:rsidR="00D1587D" w:rsidRDefault="00D1587D">
            <w:pPr>
              <w:rPr>
                <w:sz w:val="12"/>
                <w:szCs w:val="12"/>
              </w:rPr>
            </w:pPr>
          </w:p>
        </w:tc>
        <w:tc>
          <w:tcPr>
            <w:tcW w:w="80" w:type="dxa"/>
            <w:vAlign w:val="bottom"/>
          </w:tcPr>
          <w:p w14:paraId="094D4AE9" w14:textId="77777777" w:rsidR="00D1587D" w:rsidRDefault="00D1587D">
            <w:pPr>
              <w:rPr>
                <w:sz w:val="12"/>
                <w:szCs w:val="12"/>
              </w:rPr>
            </w:pPr>
          </w:p>
        </w:tc>
        <w:tc>
          <w:tcPr>
            <w:tcW w:w="680" w:type="dxa"/>
            <w:vAlign w:val="bottom"/>
          </w:tcPr>
          <w:p w14:paraId="753F7434" w14:textId="77777777" w:rsidR="00D1587D" w:rsidRDefault="00D1587D">
            <w:pPr>
              <w:rPr>
                <w:sz w:val="12"/>
                <w:szCs w:val="12"/>
              </w:rPr>
            </w:pPr>
          </w:p>
        </w:tc>
        <w:tc>
          <w:tcPr>
            <w:tcW w:w="80" w:type="dxa"/>
            <w:vAlign w:val="bottom"/>
          </w:tcPr>
          <w:p w14:paraId="1E59EB80" w14:textId="77777777" w:rsidR="00D1587D" w:rsidRDefault="00D1587D">
            <w:pPr>
              <w:rPr>
                <w:sz w:val="12"/>
                <w:szCs w:val="12"/>
              </w:rPr>
            </w:pPr>
          </w:p>
        </w:tc>
        <w:tc>
          <w:tcPr>
            <w:tcW w:w="660" w:type="dxa"/>
            <w:vAlign w:val="bottom"/>
          </w:tcPr>
          <w:p w14:paraId="7AAC43AB" w14:textId="77777777" w:rsidR="00D1587D" w:rsidRDefault="00D1587D">
            <w:pPr>
              <w:rPr>
                <w:sz w:val="12"/>
                <w:szCs w:val="12"/>
              </w:rPr>
            </w:pPr>
          </w:p>
        </w:tc>
        <w:tc>
          <w:tcPr>
            <w:tcW w:w="80" w:type="dxa"/>
            <w:vAlign w:val="bottom"/>
          </w:tcPr>
          <w:p w14:paraId="3DAD03D6" w14:textId="77777777" w:rsidR="00D1587D" w:rsidRDefault="00D1587D">
            <w:pPr>
              <w:rPr>
                <w:sz w:val="12"/>
                <w:szCs w:val="12"/>
              </w:rPr>
            </w:pPr>
          </w:p>
        </w:tc>
        <w:tc>
          <w:tcPr>
            <w:tcW w:w="740" w:type="dxa"/>
            <w:gridSpan w:val="2"/>
            <w:vMerge/>
            <w:vAlign w:val="bottom"/>
          </w:tcPr>
          <w:p w14:paraId="31790761" w14:textId="77777777" w:rsidR="00D1587D" w:rsidRDefault="00D1587D">
            <w:pPr>
              <w:rPr>
                <w:sz w:val="12"/>
                <w:szCs w:val="12"/>
              </w:rPr>
            </w:pPr>
          </w:p>
        </w:tc>
        <w:tc>
          <w:tcPr>
            <w:tcW w:w="680" w:type="dxa"/>
            <w:gridSpan w:val="2"/>
            <w:vAlign w:val="bottom"/>
          </w:tcPr>
          <w:p w14:paraId="0B1CD787" w14:textId="77777777" w:rsidR="00D1587D" w:rsidRDefault="00410D07">
            <w:pPr>
              <w:spacing w:line="149" w:lineRule="exact"/>
              <w:ind w:right="100"/>
              <w:jc w:val="center"/>
              <w:rPr>
                <w:sz w:val="20"/>
                <w:szCs w:val="20"/>
              </w:rPr>
            </w:pPr>
            <w:r>
              <w:rPr>
                <w:rFonts w:ascii="Arial" w:eastAsia="Arial" w:hAnsi="Arial" w:cs="Arial"/>
                <w:b/>
                <w:bCs/>
                <w:w w:val="91"/>
                <w:sz w:val="14"/>
                <w:szCs w:val="14"/>
              </w:rPr>
              <w:t>Value of</w:t>
            </w:r>
          </w:p>
        </w:tc>
        <w:tc>
          <w:tcPr>
            <w:tcW w:w="700" w:type="dxa"/>
            <w:gridSpan w:val="2"/>
            <w:vAlign w:val="bottom"/>
          </w:tcPr>
          <w:p w14:paraId="6C850DDD" w14:textId="77777777" w:rsidR="00D1587D" w:rsidRDefault="00410D07">
            <w:pPr>
              <w:spacing w:line="149" w:lineRule="exact"/>
              <w:ind w:right="120"/>
              <w:jc w:val="center"/>
              <w:rPr>
                <w:sz w:val="20"/>
                <w:szCs w:val="20"/>
              </w:rPr>
            </w:pPr>
            <w:r>
              <w:rPr>
                <w:rFonts w:ascii="Arial" w:eastAsia="Arial" w:hAnsi="Arial" w:cs="Arial"/>
                <w:b/>
                <w:bCs/>
                <w:w w:val="90"/>
                <w:sz w:val="14"/>
                <w:szCs w:val="14"/>
              </w:rPr>
              <w:t>Shares,</w:t>
            </w:r>
          </w:p>
        </w:tc>
        <w:tc>
          <w:tcPr>
            <w:tcW w:w="600" w:type="dxa"/>
            <w:vAlign w:val="bottom"/>
          </w:tcPr>
          <w:p w14:paraId="4771BD7D" w14:textId="77777777" w:rsidR="00D1587D" w:rsidRDefault="00410D07">
            <w:pPr>
              <w:spacing w:line="149" w:lineRule="exact"/>
              <w:jc w:val="center"/>
              <w:rPr>
                <w:sz w:val="20"/>
                <w:szCs w:val="20"/>
              </w:rPr>
            </w:pPr>
            <w:r>
              <w:rPr>
                <w:rFonts w:ascii="Arial" w:eastAsia="Arial" w:hAnsi="Arial" w:cs="Arial"/>
                <w:b/>
                <w:bCs/>
                <w:w w:val="86"/>
                <w:sz w:val="14"/>
                <w:szCs w:val="14"/>
              </w:rPr>
              <w:t>Shares,</w:t>
            </w:r>
          </w:p>
        </w:tc>
        <w:tc>
          <w:tcPr>
            <w:tcW w:w="0" w:type="dxa"/>
            <w:vAlign w:val="bottom"/>
          </w:tcPr>
          <w:p w14:paraId="717F34F5" w14:textId="77777777" w:rsidR="00D1587D" w:rsidRDefault="00D1587D">
            <w:pPr>
              <w:rPr>
                <w:sz w:val="1"/>
                <w:szCs w:val="1"/>
              </w:rPr>
            </w:pPr>
          </w:p>
        </w:tc>
      </w:tr>
      <w:tr w:rsidR="00D1587D" w14:paraId="7A756820" w14:textId="77777777">
        <w:trPr>
          <w:trHeight w:val="148"/>
        </w:trPr>
        <w:tc>
          <w:tcPr>
            <w:tcW w:w="880" w:type="dxa"/>
            <w:vAlign w:val="bottom"/>
          </w:tcPr>
          <w:p w14:paraId="2B5662D5" w14:textId="77777777" w:rsidR="00D1587D" w:rsidRDefault="00D1587D">
            <w:pPr>
              <w:rPr>
                <w:sz w:val="12"/>
                <w:szCs w:val="12"/>
              </w:rPr>
            </w:pPr>
          </w:p>
        </w:tc>
        <w:tc>
          <w:tcPr>
            <w:tcW w:w="80" w:type="dxa"/>
            <w:vAlign w:val="bottom"/>
          </w:tcPr>
          <w:p w14:paraId="2C1A5973" w14:textId="77777777" w:rsidR="00D1587D" w:rsidRDefault="00D1587D">
            <w:pPr>
              <w:rPr>
                <w:sz w:val="12"/>
                <w:szCs w:val="12"/>
              </w:rPr>
            </w:pPr>
          </w:p>
        </w:tc>
        <w:tc>
          <w:tcPr>
            <w:tcW w:w="580" w:type="dxa"/>
            <w:vAlign w:val="bottom"/>
          </w:tcPr>
          <w:p w14:paraId="09E662FA" w14:textId="77777777" w:rsidR="00D1587D" w:rsidRDefault="00D1587D">
            <w:pPr>
              <w:rPr>
                <w:sz w:val="12"/>
                <w:szCs w:val="12"/>
              </w:rPr>
            </w:pPr>
          </w:p>
        </w:tc>
        <w:tc>
          <w:tcPr>
            <w:tcW w:w="20" w:type="dxa"/>
            <w:vAlign w:val="bottom"/>
          </w:tcPr>
          <w:p w14:paraId="666FCE42" w14:textId="77777777" w:rsidR="00D1587D" w:rsidRDefault="00D1587D">
            <w:pPr>
              <w:rPr>
                <w:sz w:val="12"/>
                <w:szCs w:val="12"/>
              </w:rPr>
            </w:pPr>
          </w:p>
        </w:tc>
        <w:tc>
          <w:tcPr>
            <w:tcW w:w="80" w:type="dxa"/>
            <w:vAlign w:val="bottom"/>
          </w:tcPr>
          <w:p w14:paraId="6A48B814" w14:textId="77777777" w:rsidR="00D1587D" w:rsidRDefault="00D1587D">
            <w:pPr>
              <w:rPr>
                <w:sz w:val="12"/>
                <w:szCs w:val="12"/>
              </w:rPr>
            </w:pPr>
          </w:p>
        </w:tc>
        <w:tc>
          <w:tcPr>
            <w:tcW w:w="840" w:type="dxa"/>
            <w:gridSpan w:val="2"/>
            <w:vMerge/>
            <w:vAlign w:val="bottom"/>
          </w:tcPr>
          <w:p w14:paraId="02CACC02" w14:textId="77777777" w:rsidR="00D1587D" w:rsidRDefault="00D1587D">
            <w:pPr>
              <w:rPr>
                <w:sz w:val="12"/>
                <w:szCs w:val="12"/>
              </w:rPr>
            </w:pPr>
          </w:p>
        </w:tc>
        <w:tc>
          <w:tcPr>
            <w:tcW w:w="940" w:type="dxa"/>
            <w:gridSpan w:val="2"/>
            <w:vMerge/>
            <w:vAlign w:val="bottom"/>
          </w:tcPr>
          <w:p w14:paraId="39011C0E" w14:textId="77777777" w:rsidR="00D1587D" w:rsidRDefault="00D1587D">
            <w:pPr>
              <w:rPr>
                <w:sz w:val="12"/>
                <w:szCs w:val="12"/>
              </w:rPr>
            </w:pPr>
          </w:p>
        </w:tc>
        <w:tc>
          <w:tcPr>
            <w:tcW w:w="840" w:type="dxa"/>
            <w:gridSpan w:val="2"/>
            <w:vAlign w:val="bottom"/>
          </w:tcPr>
          <w:p w14:paraId="7A9E08D2" w14:textId="77777777" w:rsidR="00D1587D" w:rsidRDefault="00410D07">
            <w:pPr>
              <w:spacing w:line="149" w:lineRule="exact"/>
              <w:ind w:right="120"/>
              <w:jc w:val="center"/>
              <w:rPr>
                <w:sz w:val="20"/>
                <w:szCs w:val="20"/>
              </w:rPr>
            </w:pPr>
            <w:r>
              <w:rPr>
                <w:rFonts w:ascii="Arial" w:eastAsia="Arial" w:hAnsi="Arial" w:cs="Arial"/>
                <w:b/>
                <w:bCs/>
                <w:w w:val="97"/>
                <w:sz w:val="14"/>
                <w:szCs w:val="14"/>
              </w:rPr>
              <w:t>Number of</w:t>
            </w:r>
          </w:p>
        </w:tc>
        <w:tc>
          <w:tcPr>
            <w:tcW w:w="520" w:type="dxa"/>
            <w:vAlign w:val="bottom"/>
          </w:tcPr>
          <w:p w14:paraId="1BC558ED" w14:textId="77777777" w:rsidR="00D1587D" w:rsidRDefault="00D1587D">
            <w:pPr>
              <w:rPr>
                <w:sz w:val="12"/>
                <w:szCs w:val="12"/>
              </w:rPr>
            </w:pPr>
          </w:p>
        </w:tc>
        <w:tc>
          <w:tcPr>
            <w:tcW w:w="80" w:type="dxa"/>
            <w:vAlign w:val="bottom"/>
          </w:tcPr>
          <w:p w14:paraId="7CF140A7" w14:textId="77777777" w:rsidR="00D1587D" w:rsidRDefault="00D1587D">
            <w:pPr>
              <w:rPr>
                <w:sz w:val="12"/>
                <w:szCs w:val="12"/>
              </w:rPr>
            </w:pPr>
          </w:p>
        </w:tc>
        <w:tc>
          <w:tcPr>
            <w:tcW w:w="680" w:type="dxa"/>
            <w:vAlign w:val="bottom"/>
          </w:tcPr>
          <w:p w14:paraId="4E4A4E96" w14:textId="77777777" w:rsidR="00D1587D" w:rsidRDefault="00D1587D">
            <w:pPr>
              <w:rPr>
                <w:sz w:val="12"/>
                <w:szCs w:val="12"/>
              </w:rPr>
            </w:pPr>
          </w:p>
        </w:tc>
        <w:tc>
          <w:tcPr>
            <w:tcW w:w="80" w:type="dxa"/>
            <w:vAlign w:val="bottom"/>
          </w:tcPr>
          <w:p w14:paraId="13B5BD84" w14:textId="77777777" w:rsidR="00D1587D" w:rsidRDefault="00D1587D">
            <w:pPr>
              <w:rPr>
                <w:sz w:val="12"/>
                <w:szCs w:val="12"/>
              </w:rPr>
            </w:pPr>
          </w:p>
        </w:tc>
        <w:tc>
          <w:tcPr>
            <w:tcW w:w="660" w:type="dxa"/>
            <w:vAlign w:val="bottom"/>
          </w:tcPr>
          <w:p w14:paraId="3E342F72" w14:textId="77777777" w:rsidR="00D1587D" w:rsidRDefault="00D1587D">
            <w:pPr>
              <w:rPr>
                <w:sz w:val="12"/>
                <w:szCs w:val="12"/>
              </w:rPr>
            </w:pPr>
          </w:p>
        </w:tc>
        <w:tc>
          <w:tcPr>
            <w:tcW w:w="80" w:type="dxa"/>
            <w:vAlign w:val="bottom"/>
          </w:tcPr>
          <w:p w14:paraId="730CEE9E" w14:textId="77777777" w:rsidR="00D1587D" w:rsidRDefault="00D1587D">
            <w:pPr>
              <w:rPr>
                <w:sz w:val="12"/>
                <w:szCs w:val="12"/>
              </w:rPr>
            </w:pPr>
          </w:p>
        </w:tc>
        <w:tc>
          <w:tcPr>
            <w:tcW w:w="740" w:type="dxa"/>
            <w:gridSpan w:val="2"/>
            <w:vAlign w:val="bottom"/>
          </w:tcPr>
          <w:p w14:paraId="522B2B2B" w14:textId="77777777" w:rsidR="00D1587D" w:rsidRDefault="00410D07">
            <w:pPr>
              <w:spacing w:line="149" w:lineRule="exact"/>
              <w:ind w:right="120"/>
              <w:jc w:val="center"/>
              <w:rPr>
                <w:sz w:val="20"/>
                <w:szCs w:val="20"/>
              </w:rPr>
            </w:pPr>
            <w:r>
              <w:rPr>
                <w:rFonts w:ascii="Arial" w:eastAsia="Arial" w:hAnsi="Arial" w:cs="Arial"/>
                <w:b/>
                <w:bCs/>
                <w:w w:val="89"/>
                <w:sz w:val="14"/>
                <w:szCs w:val="14"/>
              </w:rPr>
              <w:t>Shares or</w:t>
            </w:r>
          </w:p>
        </w:tc>
        <w:tc>
          <w:tcPr>
            <w:tcW w:w="680" w:type="dxa"/>
            <w:gridSpan w:val="2"/>
            <w:vAlign w:val="bottom"/>
          </w:tcPr>
          <w:p w14:paraId="5D23EF8E" w14:textId="77777777" w:rsidR="00D1587D" w:rsidRDefault="00410D07">
            <w:pPr>
              <w:spacing w:line="149" w:lineRule="exact"/>
              <w:ind w:right="60"/>
              <w:jc w:val="center"/>
              <w:rPr>
                <w:sz w:val="20"/>
                <w:szCs w:val="20"/>
              </w:rPr>
            </w:pPr>
            <w:r>
              <w:rPr>
                <w:rFonts w:ascii="Arial" w:eastAsia="Arial" w:hAnsi="Arial" w:cs="Arial"/>
                <w:b/>
                <w:bCs/>
                <w:w w:val="89"/>
                <w:sz w:val="14"/>
                <w:szCs w:val="14"/>
              </w:rPr>
              <w:t>Shares or</w:t>
            </w:r>
          </w:p>
        </w:tc>
        <w:tc>
          <w:tcPr>
            <w:tcW w:w="700" w:type="dxa"/>
            <w:gridSpan w:val="2"/>
            <w:vAlign w:val="bottom"/>
          </w:tcPr>
          <w:p w14:paraId="46A9F9BF" w14:textId="77777777" w:rsidR="00D1587D" w:rsidRDefault="00410D07">
            <w:pPr>
              <w:spacing w:line="149" w:lineRule="exact"/>
              <w:ind w:right="120"/>
              <w:jc w:val="center"/>
              <w:rPr>
                <w:sz w:val="20"/>
                <w:szCs w:val="20"/>
              </w:rPr>
            </w:pPr>
            <w:r>
              <w:rPr>
                <w:rFonts w:ascii="Arial" w:eastAsia="Arial" w:hAnsi="Arial" w:cs="Arial"/>
                <w:b/>
                <w:bCs/>
                <w:w w:val="94"/>
                <w:sz w:val="14"/>
                <w:szCs w:val="14"/>
              </w:rPr>
              <w:t>Units or</w:t>
            </w:r>
          </w:p>
        </w:tc>
        <w:tc>
          <w:tcPr>
            <w:tcW w:w="600" w:type="dxa"/>
            <w:vAlign w:val="bottom"/>
          </w:tcPr>
          <w:p w14:paraId="01DEE217" w14:textId="77777777" w:rsidR="00D1587D" w:rsidRDefault="00410D07">
            <w:pPr>
              <w:spacing w:line="149" w:lineRule="exact"/>
              <w:jc w:val="center"/>
              <w:rPr>
                <w:sz w:val="20"/>
                <w:szCs w:val="20"/>
              </w:rPr>
            </w:pPr>
            <w:r>
              <w:rPr>
                <w:rFonts w:ascii="Arial" w:eastAsia="Arial" w:hAnsi="Arial" w:cs="Arial"/>
                <w:b/>
                <w:bCs/>
                <w:w w:val="94"/>
                <w:sz w:val="14"/>
                <w:szCs w:val="14"/>
              </w:rPr>
              <w:t>Units or</w:t>
            </w:r>
          </w:p>
        </w:tc>
        <w:tc>
          <w:tcPr>
            <w:tcW w:w="0" w:type="dxa"/>
            <w:vAlign w:val="bottom"/>
          </w:tcPr>
          <w:p w14:paraId="5E944DB1" w14:textId="77777777" w:rsidR="00D1587D" w:rsidRDefault="00D1587D">
            <w:pPr>
              <w:rPr>
                <w:sz w:val="1"/>
                <w:szCs w:val="1"/>
              </w:rPr>
            </w:pPr>
          </w:p>
        </w:tc>
      </w:tr>
      <w:tr w:rsidR="00D1587D" w14:paraId="46B67FBA" w14:textId="77777777">
        <w:trPr>
          <w:trHeight w:val="149"/>
        </w:trPr>
        <w:tc>
          <w:tcPr>
            <w:tcW w:w="880" w:type="dxa"/>
            <w:vAlign w:val="bottom"/>
          </w:tcPr>
          <w:p w14:paraId="052888E4" w14:textId="77777777" w:rsidR="00D1587D" w:rsidRDefault="00D1587D">
            <w:pPr>
              <w:rPr>
                <w:sz w:val="12"/>
                <w:szCs w:val="12"/>
              </w:rPr>
            </w:pPr>
          </w:p>
        </w:tc>
        <w:tc>
          <w:tcPr>
            <w:tcW w:w="80" w:type="dxa"/>
            <w:vAlign w:val="bottom"/>
          </w:tcPr>
          <w:p w14:paraId="7F1850A4" w14:textId="77777777" w:rsidR="00D1587D" w:rsidRDefault="00D1587D">
            <w:pPr>
              <w:rPr>
                <w:sz w:val="12"/>
                <w:szCs w:val="12"/>
              </w:rPr>
            </w:pPr>
          </w:p>
        </w:tc>
        <w:tc>
          <w:tcPr>
            <w:tcW w:w="580" w:type="dxa"/>
            <w:vAlign w:val="bottom"/>
          </w:tcPr>
          <w:p w14:paraId="62DA9E29" w14:textId="77777777" w:rsidR="00D1587D" w:rsidRDefault="00D1587D">
            <w:pPr>
              <w:rPr>
                <w:sz w:val="12"/>
                <w:szCs w:val="12"/>
              </w:rPr>
            </w:pPr>
          </w:p>
        </w:tc>
        <w:tc>
          <w:tcPr>
            <w:tcW w:w="20" w:type="dxa"/>
            <w:vAlign w:val="bottom"/>
          </w:tcPr>
          <w:p w14:paraId="77F26B06" w14:textId="77777777" w:rsidR="00D1587D" w:rsidRDefault="00D1587D">
            <w:pPr>
              <w:rPr>
                <w:sz w:val="12"/>
                <w:szCs w:val="12"/>
              </w:rPr>
            </w:pPr>
          </w:p>
        </w:tc>
        <w:tc>
          <w:tcPr>
            <w:tcW w:w="80" w:type="dxa"/>
            <w:vAlign w:val="bottom"/>
          </w:tcPr>
          <w:p w14:paraId="2A00C71B" w14:textId="77777777" w:rsidR="00D1587D" w:rsidRDefault="00D1587D">
            <w:pPr>
              <w:rPr>
                <w:sz w:val="12"/>
                <w:szCs w:val="12"/>
              </w:rPr>
            </w:pPr>
          </w:p>
        </w:tc>
        <w:tc>
          <w:tcPr>
            <w:tcW w:w="840" w:type="dxa"/>
            <w:gridSpan w:val="2"/>
            <w:vAlign w:val="bottom"/>
          </w:tcPr>
          <w:p w14:paraId="7AE32F72" w14:textId="77777777" w:rsidR="00D1587D" w:rsidRDefault="00410D07">
            <w:pPr>
              <w:spacing w:line="149" w:lineRule="exact"/>
              <w:ind w:right="120"/>
              <w:jc w:val="center"/>
              <w:rPr>
                <w:sz w:val="20"/>
                <w:szCs w:val="20"/>
              </w:rPr>
            </w:pPr>
            <w:r>
              <w:rPr>
                <w:rFonts w:ascii="Arial" w:eastAsia="Arial" w:hAnsi="Arial" w:cs="Arial"/>
                <w:b/>
                <w:bCs/>
                <w:w w:val="89"/>
                <w:sz w:val="14"/>
                <w:szCs w:val="14"/>
              </w:rPr>
              <w:t>Securities</w:t>
            </w:r>
          </w:p>
        </w:tc>
        <w:tc>
          <w:tcPr>
            <w:tcW w:w="940" w:type="dxa"/>
            <w:gridSpan w:val="2"/>
            <w:vAlign w:val="bottom"/>
          </w:tcPr>
          <w:p w14:paraId="78A0240B" w14:textId="77777777" w:rsidR="00D1587D" w:rsidRDefault="00410D07">
            <w:pPr>
              <w:spacing w:line="149" w:lineRule="exact"/>
              <w:ind w:right="100"/>
              <w:jc w:val="center"/>
              <w:rPr>
                <w:sz w:val="20"/>
                <w:szCs w:val="20"/>
              </w:rPr>
            </w:pPr>
            <w:r>
              <w:rPr>
                <w:rFonts w:ascii="Arial" w:eastAsia="Arial" w:hAnsi="Arial" w:cs="Arial"/>
                <w:b/>
                <w:bCs/>
                <w:w w:val="89"/>
                <w:sz w:val="14"/>
                <w:szCs w:val="14"/>
              </w:rPr>
              <w:t>Securities</w:t>
            </w:r>
          </w:p>
        </w:tc>
        <w:tc>
          <w:tcPr>
            <w:tcW w:w="840" w:type="dxa"/>
            <w:gridSpan w:val="2"/>
            <w:vAlign w:val="bottom"/>
          </w:tcPr>
          <w:p w14:paraId="3293AF1C" w14:textId="77777777" w:rsidR="00D1587D" w:rsidRDefault="00410D07">
            <w:pPr>
              <w:spacing w:line="149" w:lineRule="exact"/>
              <w:ind w:right="120"/>
              <w:jc w:val="center"/>
              <w:rPr>
                <w:sz w:val="20"/>
                <w:szCs w:val="20"/>
              </w:rPr>
            </w:pPr>
            <w:r>
              <w:rPr>
                <w:rFonts w:ascii="Arial" w:eastAsia="Arial" w:hAnsi="Arial" w:cs="Arial"/>
                <w:b/>
                <w:bCs/>
                <w:w w:val="89"/>
                <w:sz w:val="14"/>
                <w:szCs w:val="14"/>
              </w:rPr>
              <w:t>Securities</w:t>
            </w:r>
          </w:p>
        </w:tc>
        <w:tc>
          <w:tcPr>
            <w:tcW w:w="520" w:type="dxa"/>
            <w:vAlign w:val="bottom"/>
          </w:tcPr>
          <w:p w14:paraId="66B19B6A" w14:textId="77777777" w:rsidR="00D1587D" w:rsidRDefault="00D1587D">
            <w:pPr>
              <w:rPr>
                <w:sz w:val="12"/>
                <w:szCs w:val="12"/>
              </w:rPr>
            </w:pPr>
          </w:p>
        </w:tc>
        <w:tc>
          <w:tcPr>
            <w:tcW w:w="80" w:type="dxa"/>
            <w:vAlign w:val="bottom"/>
          </w:tcPr>
          <w:p w14:paraId="46A40DF8" w14:textId="77777777" w:rsidR="00D1587D" w:rsidRDefault="00D1587D">
            <w:pPr>
              <w:rPr>
                <w:sz w:val="12"/>
                <w:szCs w:val="12"/>
              </w:rPr>
            </w:pPr>
          </w:p>
        </w:tc>
        <w:tc>
          <w:tcPr>
            <w:tcW w:w="680" w:type="dxa"/>
            <w:vAlign w:val="bottom"/>
          </w:tcPr>
          <w:p w14:paraId="1EB8C27B" w14:textId="77777777" w:rsidR="00D1587D" w:rsidRDefault="00D1587D">
            <w:pPr>
              <w:rPr>
                <w:sz w:val="12"/>
                <w:szCs w:val="12"/>
              </w:rPr>
            </w:pPr>
          </w:p>
        </w:tc>
        <w:tc>
          <w:tcPr>
            <w:tcW w:w="80" w:type="dxa"/>
            <w:vAlign w:val="bottom"/>
          </w:tcPr>
          <w:p w14:paraId="3109A4ED" w14:textId="77777777" w:rsidR="00D1587D" w:rsidRDefault="00D1587D">
            <w:pPr>
              <w:rPr>
                <w:sz w:val="12"/>
                <w:szCs w:val="12"/>
              </w:rPr>
            </w:pPr>
          </w:p>
        </w:tc>
        <w:tc>
          <w:tcPr>
            <w:tcW w:w="660" w:type="dxa"/>
            <w:vAlign w:val="bottom"/>
          </w:tcPr>
          <w:p w14:paraId="5A08F36F" w14:textId="77777777" w:rsidR="00D1587D" w:rsidRDefault="00D1587D">
            <w:pPr>
              <w:rPr>
                <w:sz w:val="12"/>
                <w:szCs w:val="12"/>
              </w:rPr>
            </w:pPr>
          </w:p>
        </w:tc>
        <w:tc>
          <w:tcPr>
            <w:tcW w:w="80" w:type="dxa"/>
            <w:vAlign w:val="bottom"/>
          </w:tcPr>
          <w:p w14:paraId="246FD346" w14:textId="77777777" w:rsidR="00D1587D" w:rsidRDefault="00D1587D">
            <w:pPr>
              <w:rPr>
                <w:sz w:val="12"/>
                <w:szCs w:val="12"/>
              </w:rPr>
            </w:pPr>
          </w:p>
        </w:tc>
        <w:tc>
          <w:tcPr>
            <w:tcW w:w="740" w:type="dxa"/>
            <w:gridSpan w:val="2"/>
            <w:vAlign w:val="bottom"/>
          </w:tcPr>
          <w:p w14:paraId="7108F81F" w14:textId="77777777" w:rsidR="00D1587D" w:rsidRDefault="00410D07">
            <w:pPr>
              <w:spacing w:line="149" w:lineRule="exact"/>
              <w:ind w:right="100"/>
              <w:jc w:val="center"/>
              <w:rPr>
                <w:sz w:val="20"/>
                <w:szCs w:val="20"/>
              </w:rPr>
            </w:pPr>
            <w:r>
              <w:rPr>
                <w:rFonts w:ascii="Arial" w:eastAsia="Arial" w:hAnsi="Arial" w:cs="Arial"/>
                <w:b/>
                <w:bCs/>
                <w:w w:val="92"/>
                <w:sz w:val="14"/>
                <w:szCs w:val="14"/>
              </w:rPr>
              <w:t>Units of</w:t>
            </w:r>
          </w:p>
        </w:tc>
        <w:tc>
          <w:tcPr>
            <w:tcW w:w="680" w:type="dxa"/>
            <w:gridSpan w:val="2"/>
            <w:vAlign w:val="bottom"/>
          </w:tcPr>
          <w:p w14:paraId="0023B959" w14:textId="77777777" w:rsidR="00D1587D" w:rsidRDefault="00410D07">
            <w:pPr>
              <w:spacing w:line="149" w:lineRule="exact"/>
              <w:ind w:right="100"/>
              <w:jc w:val="center"/>
              <w:rPr>
                <w:sz w:val="20"/>
                <w:szCs w:val="20"/>
              </w:rPr>
            </w:pPr>
            <w:r>
              <w:rPr>
                <w:rFonts w:ascii="Arial" w:eastAsia="Arial" w:hAnsi="Arial" w:cs="Arial"/>
                <w:b/>
                <w:bCs/>
                <w:w w:val="95"/>
                <w:sz w:val="14"/>
                <w:szCs w:val="14"/>
              </w:rPr>
              <w:t>Units of</w:t>
            </w:r>
          </w:p>
        </w:tc>
        <w:tc>
          <w:tcPr>
            <w:tcW w:w="700" w:type="dxa"/>
            <w:gridSpan w:val="2"/>
            <w:vAlign w:val="bottom"/>
          </w:tcPr>
          <w:p w14:paraId="758A3703" w14:textId="77777777" w:rsidR="00D1587D" w:rsidRDefault="00410D07">
            <w:pPr>
              <w:spacing w:line="149" w:lineRule="exact"/>
              <w:ind w:right="120"/>
              <w:jc w:val="center"/>
              <w:rPr>
                <w:sz w:val="20"/>
                <w:szCs w:val="20"/>
              </w:rPr>
            </w:pPr>
            <w:r>
              <w:rPr>
                <w:rFonts w:ascii="Arial" w:eastAsia="Arial" w:hAnsi="Arial" w:cs="Arial"/>
                <w:b/>
                <w:bCs/>
                <w:sz w:val="14"/>
                <w:szCs w:val="14"/>
              </w:rPr>
              <w:t>Other</w:t>
            </w:r>
          </w:p>
        </w:tc>
        <w:tc>
          <w:tcPr>
            <w:tcW w:w="600" w:type="dxa"/>
            <w:vAlign w:val="bottom"/>
          </w:tcPr>
          <w:p w14:paraId="526D6A52" w14:textId="77777777" w:rsidR="00D1587D" w:rsidRDefault="00410D07">
            <w:pPr>
              <w:spacing w:line="149" w:lineRule="exact"/>
              <w:jc w:val="center"/>
              <w:rPr>
                <w:sz w:val="20"/>
                <w:szCs w:val="20"/>
              </w:rPr>
            </w:pPr>
            <w:r>
              <w:rPr>
                <w:rFonts w:ascii="Arial" w:eastAsia="Arial" w:hAnsi="Arial" w:cs="Arial"/>
                <w:b/>
                <w:bCs/>
                <w:w w:val="96"/>
                <w:sz w:val="14"/>
                <w:szCs w:val="14"/>
              </w:rPr>
              <w:t>Other</w:t>
            </w:r>
          </w:p>
        </w:tc>
        <w:tc>
          <w:tcPr>
            <w:tcW w:w="0" w:type="dxa"/>
            <w:vAlign w:val="bottom"/>
          </w:tcPr>
          <w:p w14:paraId="4A94BA28" w14:textId="77777777" w:rsidR="00D1587D" w:rsidRDefault="00D1587D">
            <w:pPr>
              <w:rPr>
                <w:sz w:val="1"/>
                <w:szCs w:val="1"/>
              </w:rPr>
            </w:pPr>
          </w:p>
        </w:tc>
      </w:tr>
      <w:tr w:rsidR="00D1587D" w14:paraId="6DEF963B" w14:textId="77777777">
        <w:trPr>
          <w:trHeight w:val="148"/>
        </w:trPr>
        <w:tc>
          <w:tcPr>
            <w:tcW w:w="880" w:type="dxa"/>
            <w:vAlign w:val="bottom"/>
          </w:tcPr>
          <w:p w14:paraId="624ECB53" w14:textId="77777777" w:rsidR="00D1587D" w:rsidRDefault="00D1587D">
            <w:pPr>
              <w:rPr>
                <w:sz w:val="12"/>
                <w:szCs w:val="12"/>
              </w:rPr>
            </w:pPr>
          </w:p>
        </w:tc>
        <w:tc>
          <w:tcPr>
            <w:tcW w:w="80" w:type="dxa"/>
            <w:vAlign w:val="bottom"/>
          </w:tcPr>
          <w:p w14:paraId="03DB174F" w14:textId="77777777" w:rsidR="00D1587D" w:rsidRDefault="00D1587D">
            <w:pPr>
              <w:rPr>
                <w:sz w:val="12"/>
                <w:szCs w:val="12"/>
              </w:rPr>
            </w:pPr>
          </w:p>
        </w:tc>
        <w:tc>
          <w:tcPr>
            <w:tcW w:w="580" w:type="dxa"/>
            <w:vAlign w:val="bottom"/>
          </w:tcPr>
          <w:p w14:paraId="0719D13F" w14:textId="77777777" w:rsidR="00D1587D" w:rsidRDefault="00D1587D">
            <w:pPr>
              <w:rPr>
                <w:sz w:val="12"/>
                <w:szCs w:val="12"/>
              </w:rPr>
            </w:pPr>
          </w:p>
        </w:tc>
        <w:tc>
          <w:tcPr>
            <w:tcW w:w="20" w:type="dxa"/>
            <w:vAlign w:val="bottom"/>
          </w:tcPr>
          <w:p w14:paraId="047D236D" w14:textId="77777777" w:rsidR="00D1587D" w:rsidRDefault="00D1587D">
            <w:pPr>
              <w:rPr>
                <w:sz w:val="12"/>
                <w:szCs w:val="12"/>
              </w:rPr>
            </w:pPr>
          </w:p>
        </w:tc>
        <w:tc>
          <w:tcPr>
            <w:tcW w:w="80" w:type="dxa"/>
            <w:vAlign w:val="bottom"/>
          </w:tcPr>
          <w:p w14:paraId="4FC4AF4A" w14:textId="77777777" w:rsidR="00D1587D" w:rsidRDefault="00D1587D">
            <w:pPr>
              <w:rPr>
                <w:sz w:val="12"/>
                <w:szCs w:val="12"/>
              </w:rPr>
            </w:pPr>
          </w:p>
        </w:tc>
        <w:tc>
          <w:tcPr>
            <w:tcW w:w="840" w:type="dxa"/>
            <w:gridSpan w:val="2"/>
            <w:vAlign w:val="bottom"/>
          </w:tcPr>
          <w:p w14:paraId="4785878B" w14:textId="77777777" w:rsidR="00D1587D" w:rsidRDefault="00410D07">
            <w:pPr>
              <w:spacing w:line="149" w:lineRule="exact"/>
              <w:ind w:right="120"/>
              <w:jc w:val="center"/>
              <w:rPr>
                <w:sz w:val="20"/>
                <w:szCs w:val="20"/>
              </w:rPr>
            </w:pPr>
            <w:r>
              <w:rPr>
                <w:rFonts w:ascii="Arial" w:eastAsia="Arial" w:hAnsi="Arial" w:cs="Arial"/>
                <w:b/>
                <w:bCs/>
                <w:w w:val="92"/>
                <w:sz w:val="14"/>
                <w:szCs w:val="14"/>
              </w:rPr>
              <w:t>Underlying</w:t>
            </w:r>
          </w:p>
        </w:tc>
        <w:tc>
          <w:tcPr>
            <w:tcW w:w="940" w:type="dxa"/>
            <w:gridSpan w:val="2"/>
            <w:vAlign w:val="bottom"/>
          </w:tcPr>
          <w:p w14:paraId="68ADBB48" w14:textId="77777777" w:rsidR="00D1587D" w:rsidRDefault="00410D07">
            <w:pPr>
              <w:spacing w:line="149" w:lineRule="exact"/>
              <w:ind w:right="120"/>
              <w:jc w:val="center"/>
              <w:rPr>
                <w:sz w:val="20"/>
                <w:szCs w:val="20"/>
              </w:rPr>
            </w:pPr>
            <w:r>
              <w:rPr>
                <w:rFonts w:ascii="Arial" w:eastAsia="Arial" w:hAnsi="Arial" w:cs="Arial"/>
                <w:b/>
                <w:bCs/>
                <w:w w:val="95"/>
                <w:sz w:val="14"/>
                <w:szCs w:val="14"/>
              </w:rPr>
              <w:t>Underlying</w:t>
            </w:r>
          </w:p>
        </w:tc>
        <w:tc>
          <w:tcPr>
            <w:tcW w:w="840" w:type="dxa"/>
            <w:gridSpan w:val="2"/>
            <w:vAlign w:val="bottom"/>
          </w:tcPr>
          <w:p w14:paraId="6BF6A68D" w14:textId="77777777" w:rsidR="00D1587D" w:rsidRDefault="00410D07">
            <w:pPr>
              <w:spacing w:line="149" w:lineRule="exact"/>
              <w:ind w:right="100"/>
              <w:jc w:val="center"/>
              <w:rPr>
                <w:sz w:val="20"/>
                <w:szCs w:val="20"/>
              </w:rPr>
            </w:pPr>
            <w:r>
              <w:rPr>
                <w:rFonts w:ascii="Arial" w:eastAsia="Arial" w:hAnsi="Arial" w:cs="Arial"/>
                <w:b/>
                <w:bCs/>
                <w:w w:val="95"/>
                <w:sz w:val="14"/>
                <w:szCs w:val="14"/>
              </w:rPr>
              <w:t>Underlying</w:t>
            </w:r>
          </w:p>
        </w:tc>
        <w:tc>
          <w:tcPr>
            <w:tcW w:w="600" w:type="dxa"/>
            <w:gridSpan w:val="2"/>
            <w:vMerge w:val="restart"/>
            <w:vAlign w:val="bottom"/>
          </w:tcPr>
          <w:p w14:paraId="7060508D" w14:textId="77777777" w:rsidR="00D1587D" w:rsidRDefault="00410D07">
            <w:pPr>
              <w:ind w:right="120"/>
              <w:jc w:val="center"/>
              <w:rPr>
                <w:sz w:val="20"/>
                <w:szCs w:val="20"/>
              </w:rPr>
            </w:pPr>
            <w:r>
              <w:rPr>
                <w:rFonts w:ascii="Arial" w:eastAsia="Arial" w:hAnsi="Arial" w:cs="Arial"/>
                <w:b/>
                <w:bCs/>
                <w:w w:val="97"/>
                <w:sz w:val="14"/>
                <w:szCs w:val="14"/>
              </w:rPr>
              <w:t>Option</w:t>
            </w:r>
          </w:p>
        </w:tc>
        <w:tc>
          <w:tcPr>
            <w:tcW w:w="680" w:type="dxa"/>
            <w:vAlign w:val="bottom"/>
          </w:tcPr>
          <w:p w14:paraId="39FF2FA1" w14:textId="77777777" w:rsidR="00D1587D" w:rsidRDefault="00D1587D">
            <w:pPr>
              <w:rPr>
                <w:sz w:val="12"/>
                <w:szCs w:val="12"/>
              </w:rPr>
            </w:pPr>
          </w:p>
        </w:tc>
        <w:tc>
          <w:tcPr>
            <w:tcW w:w="80" w:type="dxa"/>
            <w:vAlign w:val="bottom"/>
          </w:tcPr>
          <w:p w14:paraId="0DD2F774" w14:textId="77777777" w:rsidR="00D1587D" w:rsidRDefault="00D1587D">
            <w:pPr>
              <w:rPr>
                <w:sz w:val="12"/>
                <w:szCs w:val="12"/>
              </w:rPr>
            </w:pPr>
          </w:p>
        </w:tc>
        <w:tc>
          <w:tcPr>
            <w:tcW w:w="660" w:type="dxa"/>
            <w:vAlign w:val="bottom"/>
          </w:tcPr>
          <w:p w14:paraId="716BC6F3" w14:textId="77777777" w:rsidR="00D1587D" w:rsidRDefault="00D1587D">
            <w:pPr>
              <w:rPr>
                <w:sz w:val="12"/>
                <w:szCs w:val="12"/>
              </w:rPr>
            </w:pPr>
          </w:p>
        </w:tc>
        <w:tc>
          <w:tcPr>
            <w:tcW w:w="80" w:type="dxa"/>
            <w:vAlign w:val="bottom"/>
          </w:tcPr>
          <w:p w14:paraId="4EBC3FC1" w14:textId="77777777" w:rsidR="00D1587D" w:rsidRDefault="00D1587D">
            <w:pPr>
              <w:rPr>
                <w:sz w:val="12"/>
                <w:szCs w:val="12"/>
              </w:rPr>
            </w:pPr>
          </w:p>
        </w:tc>
        <w:tc>
          <w:tcPr>
            <w:tcW w:w="740" w:type="dxa"/>
            <w:gridSpan w:val="2"/>
            <w:vAlign w:val="bottom"/>
          </w:tcPr>
          <w:p w14:paraId="26E6A31C" w14:textId="77777777" w:rsidR="00D1587D" w:rsidRDefault="00410D07">
            <w:pPr>
              <w:spacing w:line="149" w:lineRule="exact"/>
              <w:ind w:right="120"/>
              <w:jc w:val="center"/>
              <w:rPr>
                <w:sz w:val="20"/>
                <w:szCs w:val="20"/>
              </w:rPr>
            </w:pPr>
            <w:r>
              <w:rPr>
                <w:rFonts w:ascii="Arial" w:eastAsia="Arial" w:hAnsi="Arial" w:cs="Arial"/>
                <w:b/>
                <w:bCs/>
                <w:w w:val="89"/>
                <w:sz w:val="14"/>
                <w:szCs w:val="14"/>
              </w:rPr>
              <w:t>Stock</w:t>
            </w:r>
          </w:p>
        </w:tc>
        <w:tc>
          <w:tcPr>
            <w:tcW w:w="680" w:type="dxa"/>
            <w:gridSpan w:val="2"/>
            <w:vAlign w:val="bottom"/>
          </w:tcPr>
          <w:p w14:paraId="790C3466" w14:textId="77777777" w:rsidR="00D1587D" w:rsidRDefault="00410D07">
            <w:pPr>
              <w:spacing w:line="149" w:lineRule="exact"/>
              <w:ind w:right="100"/>
              <w:jc w:val="center"/>
              <w:rPr>
                <w:sz w:val="20"/>
                <w:szCs w:val="20"/>
              </w:rPr>
            </w:pPr>
            <w:r>
              <w:rPr>
                <w:rFonts w:ascii="Arial" w:eastAsia="Arial" w:hAnsi="Arial" w:cs="Arial"/>
                <w:b/>
                <w:bCs/>
                <w:w w:val="89"/>
                <w:sz w:val="14"/>
                <w:szCs w:val="14"/>
              </w:rPr>
              <w:t>Stock</w:t>
            </w:r>
          </w:p>
        </w:tc>
        <w:tc>
          <w:tcPr>
            <w:tcW w:w="700" w:type="dxa"/>
            <w:gridSpan w:val="2"/>
            <w:vAlign w:val="bottom"/>
          </w:tcPr>
          <w:p w14:paraId="644314FA" w14:textId="77777777" w:rsidR="00D1587D" w:rsidRDefault="00410D07">
            <w:pPr>
              <w:spacing w:line="149" w:lineRule="exact"/>
              <w:ind w:right="140"/>
              <w:jc w:val="center"/>
              <w:rPr>
                <w:sz w:val="20"/>
                <w:szCs w:val="20"/>
              </w:rPr>
            </w:pPr>
            <w:r>
              <w:rPr>
                <w:rFonts w:ascii="Arial" w:eastAsia="Arial" w:hAnsi="Arial" w:cs="Arial"/>
                <w:b/>
                <w:bCs/>
                <w:w w:val="91"/>
                <w:sz w:val="14"/>
                <w:szCs w:val="14"/>
              </w:rPr>
              <w:t>Rights</w:t>
            </w:r>
          </w:p>
        </w:tc>
        <w:tc>
          <w:tcPr>
            <w:tcW w:w="600" w:type="dxa"/>
            <w:vAlign w:val="bottom"/>
          </w:tcPr>
          <w:p w14:paraId="7C88B89F" w14:textId="77777777" w:rsidR="00D1587D" w:rsidRDefault="00410D07">
            <w:pPr>
              <w:spacing w:line="149" w:lineRule="exact"/>
              <w:jc w:val="center"/>
              <w:rPr>
                <w:sz w:val="20"/>
                <w:szCs w:val="20"/>
              </w:rPr>
            </w:pPr>
            <w:r>
              <w:rPr>
                <w:rFonts w:ascii="Arial" w:eastAsia="Arial" w:hAnsi="Arial" w:cs="Arial"/>
                <w:b/>
                <w:bCs/>
                <w:w w:val="91"/>
                <w:sz w:val="14"/>
                <w:szCs w:val="14"/>
              </w:rPr>
              <w:t>Rights</w:t>
            </w:r>
          </w:p>
        </w:tc>
        <w:tc>
          <w:tcPr>
            <w:tcW w:w="0" w:type="dxa"/>
            <w:vAlign w:val="bottom"/>
          </w:tcPr>
          <w:p w14:paraId="241FAAFE" w14:textId="77777777" w:rsidR="00D1587D" w:rsidRDefault="00D1587D">
            <w:pPr>
              <w:rPr>
                <w:sz w:val="1"/>
                <w:szCs w:val="1"/>
              </w:rPr>
            </w:pPr>
          </w:p>
        </w:tc>
      </w:tr>
      <w:tr w:rsidR="00D1587D" w14:paraId="4C454D10" w14:textId="77777777">
        <w:trPr>
          <w:trHeight w:val="148"/>
        </w:trPr>
        <w:tc>
          <w:tcPr>
            <w:tcW w:w="880" w:type="dxa"/>
            <w:vAlign w:val="bottom"/>
          </w:tcPr>
          <w:p w14:paraId="1B634BF9" w14:textId="77777777" w:rsidR="00D1587D" w:rsidRDefault="00D1587D">
            <w:pPr>
              <w:rPr>
                <w:sz w:val="12"/>
                <w:szCs w:val="12"/>
              </w:rPr>
            </w:pPr>
          </w:p>
        </w:tc>
        <w:tc>
          <w:tcPr>
            <w:tcW w:w="80" w:type="dxa"/>
            <w:vAlign w:val="bottom"/>
          </w:tcPr>
          <w:p w14:paraId="4B6650B8" w14:textId="77777777" w:rsidR="00D1587D" w:rsidRDefault="00D1587D">
            <w:pPr>
              <w:rPr>
                <w:sz w:val="12"/>
                <w:szCs w:val="12"/>
              </w:rPr>
            </w:pPr>
          </w:p>
        </w:tc>
        <w:tc>
          <w:tcPr>
            <w:tcW w:w="580" w:type="dxa"/>
            <w:vAlign w:val="bottom"/>
          </w:tcPr>
          <w:p w14:paraId="2F3384B4" w14:textId="77777777" w:rsidR="00D1587D" w:rsidRDefault="00D1587D">
            <w:pPr>
              <w:rPr>
                <w:sz w:val="12"/>
                <w:szCs w:val="12"/>
              </w:rPr>
            </w:pPr>
          </w:p>
        </w:tc>
        <w:tc>
          <w:tcPr>
            <w:tcW w:w="20" w:type="dxa"/>
            <w:vAlign w:val="bottom"/>
          </w:tcPr>
          <w:p w14:paraId="6676A968" w14:textId="77777777" w:rsidR="00D1587D" w:rsidRDefault="00D1587D">
            <w:pPr>
              <w:rPr>
                <w:sz w:val="12"/>
                <w:szCs w:val="12"/>
              </w:rPr>
            </w:pPr>
          </w:p>
        </w:tc>
        <w:tc>
          <w:tcPr>
            <w:tcW w:w="80" w:type="dxa"/>
            <w:vAlign w:val="bottom"/>
          </w:tcPr>
          <w:p w14:paraId="714DE793" w14:textId="77777777" w:rsidR="00D1587D" w:rsidRDefault="00D1587D">
            <w:pPr>
              <w:rPr>
                <w:sz w:val="12"/>
                <w:szCs w:val="12"/>
              </w:rPr>
            </w:pPr>
          </w:p>
        </w:tc>
        <w:tc>
          <w:tcPr>
            <w:tcW w:w="840" w:type="dxa"/>
            <w:gridSpan w:val="2"/>
            <w:vAlign w:val="bottom"/>
          </w:tcPr>
          <w:p w14:paraId="54B9E8B7" w14:textId="77777777" w:rsidR="00D1587D" w:rsidRDefault="00410D07">
            <w:pPr>
              <w:spacing w:line="149" w:lineRule="exact"/>
              <w:ind w:right="80"/>
              <w:jc w:val="center"/>
              <w:rPr>
                <w:sz w:val="20"/>
                <w:szCs w:val="20"/>
              </w:rPr>
            </w:pPr>
            <w:r>
              <w:rPr>
                <w:rFonts w:ascii="Arial" w:eastAsia="Arial" w:hAnsi="Arial" w:cs="Arial"/>
                <w:b/>
                <w:bCs/>
                <w:w w:val="91"/>
                <w:sz w:val="14"/>
                <w:szCs w:val="14"/>
              </w:rPr>
              <w:t>Unexercised</w:t>
            </w:r>
          </w:p>
        </w:tc>
        <w:tc>
          <w:tcPr>
            <w:tcW w:w="940" w:type="dxa"/>
            <w:gridSpan w:val="2"/>
            <w:vAlign w:val="bottom"/>
          </w:tcPr>
          <w:p w14:paraId="7B218720" w14:textId="77777777" w:rsidR="00D1587D" w:rsidRDefault="00410D07">
            <w:pPr>
              <w:spacing w:line="149" w:lineRule="exact"/>
              <w:ind w:right="120"/>
              <w:jc w:val="center"/>
              <w:rPr>
                <w:sz w:val="20"/>
                <w:szCs w:val="20"/>
              </w:rPr>
            </w:pPr>
            <w:r>
              <w:rPr>
                <w:rFonts w:ascii="Arial" w:eastAsia="Arial" w:hAnsi="Arial" w:cs="Arial"/>
                <w:b/>
                <w:bCs/>
                <w:w w:val="88"/>
                <w:sz w:val="14"/>
                <w:szCs w:val="14"/>
              </w:rPr>
              <w:t>Unexercised</w:t>
            </w:r>
          </w:p>
        </w:tc>
        <w:tc>
          <w:tcPr>
            <w:tcW w:w="840" w:type="dxa"/>
            <w:gridSpan w:val="2"/>
            <w:vAlign w:val="bottom"/>
          </w:tcPr>
          <w:p w14:paraId="5049BDE0" w14:textId="77777777" w:rsidR="00D1587D" w:rsidRDefault="00410D07">
            <w:pPr>
              <w:spacing w:line="149" w:lineRule="exact"/>
              <w:ind w:right="80"/>
              <w:jc w:val="center"/>
              <w:rPr>
                <w:sz w:val="20"/>
                <w:szCs w:val="20"/>
              </w:rPr>
            </w:pPr>
            <w:r>
              <w:rPr>
                <w:rFonts w:ascii="Arial" w:eastAsia="Arial" w:hAnsi="Arial" w:cs="Arial"/>
                <w:b/>
                <w:bCs/>
                <w:w w:val="91"/>
                <w:sz w:val="14"/>
                <w:szCs w:val="14"/>
              </w:rPr>
              <w:t>Unexercised</w:t>
            </w:r>
          </w:p>
        </w:tc>
        <w:tc>
          <w:tcPr>
            <w:tcW w:w="600" w:type="dxa"/>
            <w:gridSpan w:val="2"/>
            <w:vMerge/>
            <w:vAlign w:val="bottom"/>
          </w:tcPr>
          <w:p w14:paraId="38061FE7" w14:textId="77777777" w:rsidR="00D1587D" w:rsidRDefault="00D1587D">
            <w:pPr>
              <w:rPr>
                <w:sz w:val="12"/>
                <w:szCs w:val="12"/>
              </w:rPr>
            </w:pPr>
          </w:p>
        </w:tc>
        <w:tc>
          <w:tcPr>
            <w:tcW w:w="760" w:type="dxa"/>
            <w:gridSpan w:val="2"/>
            <w:vMerge w:val="restart"/>
            <w:vAlign w:val="bottom"/>
          </w:tcPr>
          <w:p w14:paraId="5E02BF7A" w14:textId="77777777" w:rsidR="00D1587D" w:rsidRDefault="00410D07">
            <w:pPr>
              <w:ind w:right="220"/>
              <w:jc w:val="right"/>
              <w:rPr>
                <w:sz w:val="20"/>
                <w:szCs w:val="20"/>
              </w:rPr>
            </w:pPr>
            <w:r>
              <w:rPr>
                <w:rFonts w:ascii="Arial" w:eastAsia="Arial" w:hAnsi="Arial" w:cs="Arial"/>
                <w:b/>
                <w:bCs/>
                <w:sz w:val="14"/>
                <w:szCs w:val="14"/>
              </w:rPr>
              <w:t>Option</w:t>
            </w:r>
          </w:p>
        </w:tc>
        <w:tc>
          <w:tcPr>
            <w:tcW w:w="660" w:type="dxa"/>
            <w:vAlign w:val="bottom"/>
          </w:tcPr>
          <w:p w14:paraId="2A788E01" w14:textId="77777777" w:rsidR="00D1587D" w:rsidRDefault="00D1587D">
            <w:pPr>
              <w:rPr>
                <w:sz w:val="12"/>
                <w:szCs w:val="12"/>
              </w:rPr>
            </w:pPr>
          </w:p>
        </w:tc>
        <w:tc>
          <w:tcPr>
            <w:tcW w:w="80" w:type="dxa"/>
            <w:vAlign w:val="bottom"/>
          </w:tcPr>
          <w:p w14:paraId="6DEC784E" w14:textId="77777777" w:rsidR="00D1587D" w:rsidRDefault="00D1587D">
            <w:pPr>
              <w:rPr>
                <w:sz w:val="12"/>
                <w:szCs w:val="12"/>
              </w:rPr>
            </w:pPr>
          </w:p>
        </w:tc>
        <w:tc>
          <w:tcPr>
            <w:tcW w:w="740" w:type="dxa"/>
            <w:gridSpan w:val="2"/>
            <w:vAlign w:val="bottom"/>
          </w:tcPr>
          <w:p w14:paraId="23D02E2A" w14:textId="77777777" w:rsidR="00D1587D" w:rsidRDefault="00410D07">
            <w:pPr>
              <w:spacing w:line="149" w:lineRule="exact"/>
              <w:ind w:right="120"/>
              <w:jc w:val="center"/>
              <w:rPr>
                <w:sz w:val="20"/>
                <w:szCs w:val="20"/>
              </w:rPr>
            </w:pPr>
            <w:r>
              <w:rPr>
                <w:rFonts w:ascii="Arial" w:eastAsia="Arial" w:hAnsi="Arial" w:cs="Arial"/>
                <w:b/>
                <w:bCs/>
                <w:sz w:val="14"/>
                <w:szCs w:val="14"/>
              </w:rPr>
              <w:t>That</w:t>
            </w:r>
          </w:p>
        </w:tc>
        <w:tc>
          <w:tcPr>
            <w:tcW w:w="680" w:type="dxa"/>
            <w:gridSpan w:val="2"/>
            <w:vAlign w:val="bottom"/>
          </w:tcPr>
          <w:p w14:paraId="0487D568" w14:textId="77777777" w:rsidR="00D1587D" w:rsidRDefault="00410D07">
            <w:pPr>
              <w:spacing w:line="149" w:lineRule="exact"/>
              <w:ind w:right="100"/>
              <w:jc w:val="center"/>
              <w:rPr>
                <w:sz w:val="20"/>
                <w:szCs w:val="20"/>
              </w:rPr>
            </w:pPr>
            <w:r>
              <w:rPr>
                <w:rFonts w:ascii="Arial" w:eastAsia="Arial" w:hAnsi="Arial" w:cs="Arial"/>
                <w:b/>
                <w:bCs/>
                <w:sz w:val="14"/>
                <w:szCs w:val="14"/>
              </w:rPr>
              <w:t>That</w:t>
            </w:r>
          </w:p>
        </w:tc>
        <w:tc>
          <w:tcPr>
            <w:tcW w:w="700" w:type="dxa"/>
            <w:gridSpan w:val="2"/>
            <w:vAlign w:val="bottom"/>
          </w:tcPr>
          <w:p w14:paraId="6A12A995" w14:textId="77777777" w:rsidR="00D1587D" w:rsidRDefault="00410D07">
            <w:pPr>
              <w:spacing w:line="149" w:lineRule="exact"/>
              <w:ind w:right="120"/>
              <w:jc w:val="center"/>
              <w:rPr>
                <w:sz w:val="20"/>
                <w:szCs w:val="20"/>
              </w:rPr>
            </w:pPr>
            <w:r>
              <w:rPr>
                <w:rFonts w:ascii="Arial" w:eastAsia="Arial" w:hAnsi="Arial" w:cs="Arial"/>
                <w:b/>
                <w:bCs/>
                <w:sz w:val="14"/>
                <w:szCs w:val="14"/>
              </w:rPr>
              <w:t>That</w:t>
            </w:r>
          </w:p>
        </w:tc>
        <w:tc>
          <w:tcPr>
            <w:tcW w:w="600" w:type="dxa"/>
            <w:vAlign w:val="bottom"/>
          </w:tcPr>
          <w:p w14:paraId="690098CF" w14:textId="77777777" w:rsidR="00D1587D" w:rsidRDefault="00410D07">
            <w:pPr>
              <w:spacing w:line="149" w:lineRule="exact"/>
              <w:jc w:val="center"/>
              <w:rPr>
                <w:sz w:val="20"/>
                <w:szCs w:val="20"/>
              </w:rPr>
            </w:pPr>
            <w:r>
              <w:rPr>
                <w:rFonts w:ascii="Arial" w:eastAsia="Arial" w:hAnsi="Arial" w:cs="Arial"/>
                <w:b/>
                <w:bCs/>
                <w:w w:val="94"/>
                <w:sz w:val="14"/>
                <w:szCs w:val="14"/>
              </w:rPr>
              <w:t>That</w:t>
            </w:r>
          </w:p>
        </w:tc>
        <w:tc>
          <w:tcPr>
            <w:tcW w:w="0" w:type="dxa"/>
            <w:vAlign w:val="bottom"/>
          </w:tcPr>
          <w:p w14:paraId="56F33BAD" w14:textId="77777777" w:rsidR="00D1587D" w:rsidRDefault="00D1587D">
            <w:pPr>
              <w:rPr>
                <w:sz w:val="1"/>
                <w:szCs w:val="1"/>
              </w:rPr>
            </w:pPr>
          </w:p>
        </w:tc>
      </w:tr>
      <w:tr w:rsidR="00D1587D" w14:paraId="6F05DC92" w14:textId="77777777">
        <w:trPr>
          <w:trHeight w:val="148"/>
        </w:trPr>
        <w:tc>
          <w:tcPr>
            <w:tcW w:w="880" w:type="dxa"/>
            <w:vAlign w:val="bottom"/>
          </w:tcPr>
          <w:p w14:paraId="19AA4A43" w14:textId="77777777" w:rsidR="00D1587D" w:rsidRDefault="00D1587D">
            <w:pPr>
              <w:rPr>
                <w:sz w:val="12"/>
                <w:szCs w:val="12"/>
              </w:rPr>
            </w:pPr>
          </w:p>
        </w:tc>
        <w:tc>
          <w:tcPr>
            <w:tcW w:w="80" w:type="dxa"/>
            <w:vAlign w:val="bottom"/>
          </w:tcPr>
          <w:p w14:paraId="34EFB1F3" w14:textId="77777777" w:rsidR="00D1587D" w:rsidRDefault="00D1587D">
            <w:pPr>
              <w:rPr>
                <w:sz w:val="12"/>
                <w:szCs w:val="12"/>
              </w:rPr>
            </w:pPr>
          </w:p>
        </w:tc>
        <w:tc>
          <w:tcPr>
            <w:tcW w:w="680" w:type="dxa"/>
            <w:gridSpan w:val="3"/>
            <w:vMerge w:val="restart"/>
            <w:vAlign w:val="bottom"/>
          </w:tcPr>
          <w:p w14:paraId="6A8A874C" w14:textId="77777777" w:rsidR="00D1587D" w:rsidRDefault="00410D07">
            <w:pPr>
              <w:ind w:right="100"/>
              <w:jc w:val="center"/>
              <w:rPr>
                <w:sz w:val="20"/>
                <w:szCs w:val="20"/>
              </w:rPr>
            </w:pPr>
            <w:r>
              <w:rPr>
                <w:rFonts w:ascii="Arial" w:eastAsia="Arial" w:hAnsi="Arial" w:cs="Arial"/>
                <w:b/>
                <w:bCs/>
                <w:sz w:val="14"/>
                <w:szCs w:val="14"/>
              </w:rPr>
              <w:t>Grant</w:t>
            </w:r>
          </w:p>
        </w:tc>
        <w:tc>
          <w:tcPr>
            <w:tcW w:w="840" w:type="dxa"/>
            <w:gridSpan w:val="2"/>
            <w:vAlign w:val="bottom"/>
          </w:tcPr>
          <w:p w14:paraId="5F756E83" w14:textId="77777777" w:rsidR="00D1587D" w:rsidRDefault="00410D07">
            <w:pPr>
              <w:spacing w:line="149" w:lineRule="exact"/>
              <w:ind w:right="120"/>
              <w:jc w:val="center"/>
              <w:rPr>
                <w:sz w:val="20"/>
                <w:szCs w:val="20"/>
              </w:rPr>
            </w:pPr>
            <w:r>
              <w:rPr>
                <w:rFonts w:ascii="Arial" w:eastAsia="Arial" w:hAnsi="Arial" w:cs="Arial"/>
                <w:b/>
                <w:bCs/>
                <w:w w:val="90"/>
                <w:sz w:val="14"/>
                <w:szCs w:val="14"/>
              </w:rPr>
              <w:t>Options</w:t>
            </w:r>
          </w:p>
        </w:tc>
        <w:tc>
          <w:tcPr>
            <w:tcW w:w="940" w:type="dxa"/>
            <w:gridSpan w:val="2"/>
            <w:vAlign w:val="bottom"/>
          </w:tcPr>
          <w:p w14:paraId="371D73C1" w14:textId="77777777" w:rsidR="00D1587D" w:rsidRDefault="00410D07">
            <w:pPr>
              <w:spacing w:line="149" w:lineRule="exact"/>
              <w:ind w:right="120"/>
              <w:jc w:val="center"/>
              <w:rPr>
                <w:sz w:val="20"/>
                <w:szCs w:val="20"/>
              </w:rPr>
            </w:pPr>
            <w:r>
              <w:rPr>
                <w:rFonts w:ascii="Arial" w:eastAsia="Arial" w:hAnsi="Arial" w:cs="Arial"/>
                <w:b/>
                <w:bCs/>
                <w:w w:val="94"/>
                <w:sz w:val="14"/>
                <w:szCs w:val="14"/>
              </w:rPr>
              <w:t>Options</w:t>
            </w:r>
          </w:p>
        </w:tc>
        <w:tc>
          <w:tcPr>
            <w:tcW w:w="840" w:type="dxa"/>
            <w:gridSpan w:val="2"/>
            <w:vAlign w:val="bottom"/>
          </w:tcPr>
          <w:p w14:paraId="7FEE769F" w14:textId="77777777" w:rsidR="00D1587D" w:rsidRDefault="00410D07">
            <w:pPr>
              <w:spacing w:line="149" w:lineRule="exact"/>
              <w:ind w:right="120"/>
              <w:jc w:val="center"/>
              <w:rPr>
                <w:sz w:val="20"/>
                <w:szCs w:val="20"/>
              </w:rPr>
            </w:pPr>
            <w:r>
              <w:rPr>
                <w:rFonts w:ascii="Arial" w:eastAsia="Arial" w:hAnsi="Arial" w:cs="Arial"/>
                <w:b/>
                <w:bCs/>
                <w:w w:val="92"/>
                <w:sz w:val="14"/>
                <w:szCs w:val="14"/>
              </w:rPr>
              <w:t>Unearned</w:t>
            </w:r>
          </w:p>
        </w:tc>
        <w:tc>
          <w:tcPr>
            <w:tcW w:w="600" w:type="dxa"/>
            <w:gridSpan w:val="2"/>
            <w:vAlign w:val="bottom"/>
          </w:tcPr>
          <w:p w14:paraId="7A49A4D9" w14:textId="77777777" w:rsidR="00D1587D" w:rsidRDefault="00410D07">
            <w:pPr>
              <w:spacing w:line="149" w:lineRule="exact"/>
              <w:ind w:right="80"/>
              <w:jc w:val="right"/>
              <w:rPr>
                <w:sz w:val="20"/>
                <w:szCs w:val="20"/>
              </w:rPr>
            </w:pPr>
            <w:r>
              <w:rPr>
                <w:rFonts w:ascii="Arial" w:eastAsia="Arial" w:hAnsi="Arial" w:cs="Arial"/>
                <w:b/>
                <w:bCs/>
                <w:w w:val="86"/>
                <w:sz w:val="14"/>
                <w:szCs w:val="14"/>
              </w:rPr>
              <w:t>Exercise</w:t>
            </w:r>
          </w:p>
        </w:tc>
        <w:tc>
          <w:tcPr>
            <w:tcW w:w="760" w:type="dxa"/>
            <w:gridSpan w:val="2"/>
            <w:vMerge/>
            <w:vAlign w:val="bottom"/>
          </w:tcPr>
          <w:p w14:paraId="76461908" w14:textId="77777777" w:rsidR="00D1587D" w:rsidRDefault="00D1587D">
            <w:pPr>
              <w:rPr>
                <w:sz w:val="12"/>
                <w:szCs w:val="12"/>
              </w:rPr>
            </w:pPr>
          </w:p>
        </w:tc>
        <w:tc>
          <w:tcPr>
            <w:tcW w:w="740" w:type="dxa"/>
            <w:gridSpan w:val="2"/>
            <w:vMerge w:val="restart"/>
            <w:vAlign w:val="bottom"/>
          </w:tcPr>
          <w:p w14:paraId="7A3B4003" w14:textId="77777777" w:rsidR="00D1587D" w:rsidRDefault="00410D07">
            <w:pPr>
              <w:ind w:right="120"/>
              <w:jc w:val="center"/>
              <w:rPr>
                <w:sz w:val="20"/>
                <w:szCs w:val="20"/>
              </w:rPr>
            </w:pPr>
            <w:r>
              <w:rPr>
                <w:rFonts w:ascii="Arial" w:eastAsia="Arial" w:hAnsi="Arial" w:cs="Arial"/>
                <w:b/>
                <w:bCs/>
                <w:sz w:val="14"/>
                <w:szCs w:val="14"/>
              </w:rPr>
              <w:t>Grant</w:t>
            </w:r>
          </w:p>
        </w:tc>
        <w:tc>
          <w:tcPr>
            <w:tcW w:w="740" w:type="dxa"/>
            <w:gridSpan w:val="2"/>
            <w:vAlign w:val="bottom"/>
          </w:tcPr>
          <w:p w14:paraId="4E13B9E3" w14:textId="77777777" w:rsidR="00D1587D" w:rsidRDefault="00410D07">
            <w:pPr>
              <w:spacing w:line="149" w:lineRule="exact"/>
              <w:ind w:right="120"/>
              <w:jc w:val="center"/>
              <w:rPr>
                <w:sz w:val="20"/>
                <w:szCs w:val="20"/>
              </w:rPr>
            </w:pPr>
            <w:r>
              <w:rPr>
                <w:rFonts w:ascii="Arial" w:eastAsia="Arial" w:hAnsi="Arial" w:cs="Arial"/>
                <w:b/>
                <w:bCs/>
                <w:w w:val="95"/>
                <w:sz w:val="14"/>
                <w:szCs w:val="14"/>
              </w:rPr>
              <w:t>Have Not</w:t>
            </w:r>
          </w:p>
        </w:tc>
        <w:tc>
          <w:tcPr>
            <w:tcW w:w="680" w:type="dxa"/>
            <w:gridSpan w:val="2"/>
            <w:vAlign w:val="bottom"/>
          </w:tcPr>
          <w:p w14:paraId="65CF0A9C" w14:textId="77777777" w:rsidR="00D1587D" w:rsidRDefault="00410D07">
            <w:pPr>
              <w:spacing w:line="149" w:lineRule="exact"/>
              <w:ind w:right="60"/>
              <w:jc w:val="center"/>
              <w:rPr>
                <w:sz w:val="20"/>
                <w:szCs w:val="20"/>
              </w:rPr>
            </w:pPr>
            <w:r>
              <w:rPr>
                <w:rFonts w:ascii="Arial" w:eastAsia="Arial" w:hAnsi="Arial" w:cs="Arial"/>
                <w:b/>
                <w:bCs/>
                <w:w w:val="95"/>
                <w:sz w:val="14"/>
                <w:szCs w:val="14"/>
              </w:rPr>
              <w:t>Have Not</w:t>
            </w:r>
          </w:p>
        </w:tc>
        <w:tc>
          <w:tcPr>
            <w:tcW w:w="700" w:type="dxa"/>
            <w:gridSpan w:val="2"/>
            <w:vAlign w:val="bottom"/>
          </w:tcPr>
          <w:p w14:paraId="52D6F802" w14:textId="77777777" w:rsidR="00D1587D" w:rsidRDefault="00410D07">
            <w:pPr>
              <w:spacing w:line="149" w:lineRule="exact"/>
              <w:ind w:right="80"/>
              <w:jc w:val="center"/>
              <w:rPr>
                <w:sz w:val="20"/>
                <w:szCs w:val="20"/>
              </w:rPr>
            </w:pPr>
            <w:r>
              <w:rPr>
                <w:rFonts w:ascii="Arial" w:eastAsia="Arial" w:hAnsi="Arial" w:cs="Arial"/>
                <w:b/>
                <w:bCs/>
                <w:w w:val="95"/>
                <w:sz w:val="14"/>
                <w:szCs w:val="14"/>
              </w:rPr>
              <w:t>Have Not</w:t>
            </w:r>
          </w:p>
        </w:tc>
        <w:tc>
          <w:tcPr>
            <w:tcW w:w="600" w:type="dxa"/>
            <w:vAlign w:val="bottom"/>
          </w:tcPr>
          <w:p w14:paraId="1BF54FCD" w14:textId="77777777" w:rsidR="00D1587D" w:rsidRDefault="00410D07">
            <w:pPr>
              <w:spacing w:line="149" w:lineRule="exact"/>
              <w:jc w:val="center"/>
              <w:rPr>
                <w:sz w:val="20"/>
                <w:szCs w:val="20"/>
              </w:rPr>
            </w:pPr>
            <w:r>
              <w:rPr>
                <w:rFonts w:ascii="Arial" w:eastAsia="Arial" w:hAnsi="Arial" w:cs="Arial"/>
                <w:b/>
                <w:bCs/>
                <w:w w:val="95"/>
                <w:sz w:val="14"/>
                <w:szCs w:val="14"/>
              </w:rPr>
              <w:t>Have Not</w:t>
            </w:r>
          </w:p>
        </w:tc>
        <w:tc>
          <w:tcPr>
            <w:tcW w:w="0" w:type="dxa"/>
            <w:vAlign w:val="bottom"/>
          </w:tcPr>
          <w:p w14:paraId="2D03349B" w14:textId="77777777" w:rsidR="00D1587D" w:rsidRDefault="00D1587D">
            <w:pPr>
              <w:rPr>
                <w:sz w:val="1"/>
                <w:szCs w:val="1"/>
              </w:rPr>
            </w:pPr>
          </w:p>
        </w:tc>
      </w:tr>
      <w:tr w:rsidR="00D1587D" w14:paraId="746B6650" w14:textId="77777777">
        <w:trPr>
          <w:trHeight w:val="148"/>
        </w:trPr>
        <w:tc>
          <w:tcPr>
            <w:tcW w:w="880" w:type="dxa"/>
            <w:vMerge w:val="restart"/>
            <w:vAlign w:val="bottom"/>
          </w:tcPr>
          <w:p w14:paraId="4EEBCB11" w14:textId="77777777" w:rsidR="00D1587D" w:rsidRDefault="00410D07">
            <w:pPr>
              <w:rPr>
                <w:sz w:val="20"/>
                <w:szCs w:val="20"/>
              </w:rPr>
            </w:pPr>
            <w:r>
              <w:rPr>
                <w:rFonts w:ascii="Arial" w:eastAsia="Arial" w:hAnsi="Arial" w:cs="Arial"/>
                <w:b/>
                <w:bCs/>
                <w:sz w:val="14"/>
                <w:szCs w:val="14"/>
              </w:rPr>
              <w:t>Name</w:t>
            </w:r>
          </w:p>
        </w:tc>
        <w:tc>
          <w:tcPr>
            <w:tcW w:w="80" w:type="dxa"/>
            <w:vAlign w:val="bottom"/>
          </w:tcPr>
          <w:p w14:paraId="46DA3918" w14:textId="77777777" w:rsidR="00D1587D" w:rsidRDefault="00D1587D">
            <w:pPr>
              <w:rPr>
                <w:sz w:val="12"/>
                <w:szCs w:val="12"/>
              </w:rPr>
            </w:pPr>
          </w:p>
        </w:tc>
        <w:tc>
          <w:tcPr>
            <w:tcW w:w="680" w:type="dxa"/>
            <w:gridSpan w:val="3"/>
            <w:vMerge/>
            <w:vAlign w:val="bottom"/>
          </w:tcPr>
          <w:p w14:paraId="3CCD3977" w14:textId="77777777" w:rsidR="00D1587D" w:rsidRDefault="00D1587D">
            <w:pPr>
              <w:rPr>
                <w:sz w:val="12"/>
                <w:szCs w:val="12"/>
              </w:rPr>
            </w:pPr>
          </w:p>
        </w:tc>
        <w:tc>
          <w:tcPr>
            <w:tcW w:w="840" w:type="dxa"/>
            <w:gridSpan w:val="2"/>
            <w:vAlign w:val="bottom"/>
          </w:tcPr>
          <w:p w14:paraId="28226BB7" w14:textId="77777777" w:rsidR="00D1587D" w:rsidRDefault="00410D07">
            <w:pPr>
              <w:spacing w:line="149" w:lineRule="exact"/>
              <w:ind w:right="120"/>
              <w:jc w:val="center"/>
              <w:rPr>
                <w:sz w:val="20"/>
                <w:szCs w:val="20"/>
              </w:rPr>
            </w:pPr>
            <w:r>
              <w:rPr>
                <w:rFonts w:ascii="Arial" w:eastAsia="Arial" w:hAnsi="Arial" w:cs="Arial"/>
                <w:b/>
                <w:bCs/>
                <w:w w:val="92"/>
                <w:sz w:val="14"/>
                <w:szCs w:val="14"/>
              </w:rPr>
              <w:t>Exercisable</w:t>
            </w:r>
          </w:p>
        </w:tc>
        <w:tc>
          <w:tcPr>
            <w:tcW w:w="940" w:type="dxa"/>
            <w:gridSpan w:val="2"/>
            <w:vAlign w:val="bottom"/>
          </w:tcPr>
          <w:p w14:paraId="4B8B0B05" w14:textId="77777777" w:rsidR="00D1587D" w:rsidRDefault="00410D07">
            <w:pPr>
              <w:spacing w:line="149" w:lineRule="exact"/>
              <w:ind w:right="80"/>
              <w:jc w:val="center"/>
              <w:rPr>
                <w:sz w:val="20"/>
                <w:szCs w:val="20"/>
              </w:rPr>
            </w:pPr>
            <w:r>
              <w:rPr>
                <w:rFonts w:ascii="Arial" w:eastAsia="Arial" w:hAnsi="Arial" w:cs="Arial"/>
                <w:b/>
                <w:bCs/>
                <w:w w:val="90"/>
                <w:sz w:val="14"/>
                <w:szCs w:val="14"/>
              </w:rPr>
              <w:t>Unexercisable</w:t>
            </w:r>
          </w:p>
        </w:tc>
        <w:tc>
          <w:tcPr>
            <w:tcW w:w="840" w:type="dxa"/>
            <w:gridSpan w:val="2"/>
            <w:vAlign w:val="bottom"/>
          </w:tcPr>
          <w:p w14:paraId="303299DB" w14:textId="77777777" w:rsidR="00D1587D" w:rsidRDefault="00410D07">
            <w:pPr>
              <w:spacing w:line="149" w:lineRule="exact"/>
              <w:ind w:right="120"/>
              <w:jc w:val="center"/>
              <w:rPr>
                <w:sz w:val="20"/>
                <w:szCs w:val="20"/>
              </w:rPr>
            </w:pPr>
            <w:r>
              <w:rPr>
                <w:rFonts w:ascii="Arial" w:eastAsia="Arial" w:hAnsi="Arial" w:cs="Arial"/>
                <w:b/>
                <w:bCs/>
                <w:w w:val="90"/>
                <w:sz w:val="14"/>
                <w:szCs w:val="14"/>
              </w:rPr>
              <w:t>Options</w:t>
            </w:r>
          </w:p>
        </w:tc>
        <w:tc>
          <w:tcPr>
            <w:tcW w:w="600" w:type="dxa"/>
            <w:gridSpan w:val="2"/>
            <w:vAlign w:val="bottom"/>
          </w:tcPr>
          <w:p w14:paraId="204534A3" w14:textId="77777777" w:rsidR="00D1587D" w:rsidRDefault="00410D07">
            <w:pPr>
              <w:spacing w:line="149" w:lineRule="exact"/>
              <w:ind w:right="120"/>
              <w:jc w:val="center"/>
              <w:rPr>
                <w:sz w:val="20"/>
                <w:szCs w:val="20"/>
              </w:rPr>
            </w:pPr>
            <w:r>
              <w:rPr>
                <w:rFonts w:ascii="Arial" w:eastAsia="Arial" w:hAnsi="Arial" w:cs="Arial"/>
                <w:b/>
                <w:bCs/>
                <w:w w:val="93"/>
                <w:sz w:val="14"/>
                <w:szCs w:val="14"/>
              </w:rPr>
              <w:t>Price</w:t>
            </w:r>
          </w:p>
        </w:tc>
        <w:tc>
          <w:tcPr>
            <w:tcW w:w="760" w:type="dxa"/>
            <w:gridSpan w:val="2"/>
            <w:vAlign w:val="bottom"/>
          </w:tcPr>
          <w:p w14:paraId="1A010F09" w14:textId="77777777" w:rsidR="00D1587D" w:rsidRDefault="00410D07">
            <w:pPr>
              <w:spacing w:line="149" w:lineRule="exact"/>
              <w:ind w:right="80"/>
              <w:jc w:val="right"/>
              <w:rPr>
                <w:sz w:val="20"/>
                <w:szCs w:val="20"/>
              </w:rPr>
            </w:pPr>
            <w:r>
              <w:rPr>
                <w:rFonts w:ascii="Arial" w:eastAsia="Arial" w:hAnsi="Arial" w:cs="Arial"/>
                <w:b/>
                <w:bCs/>
                <w:w w:val="96"/>
                <w:sz w:val="14"/>
                <w:szCs w:val="14"/>
              </w:rPr>
              <w:t>Expiration</w:t>
            </w:r>
          </w:p>
        </w:tc>
        <w:tc>
          <w:tcPr>
            <w:tcW w:w="740" w:type="dxa"/>
            <w:gridSpan w:val="2"/>
            <w:vMerge/>
            <w:vAlign w:val="bottom"/>
          </w:tcPr>
          <w:p w14:paraId="35AA7A20" w14:textId="77777777" w:rsidR="00D1587D" w:rsidRDefault="00D1587D">
            <w:pPr>
              <w:rPr>
                <w:sz w:val="12"/>
                <w:szCs w:val="12"/>
              </w:rPr>
            </w:pPr>
          </w:p>
        </w:tc>
        <w:tc>
          <w:tcPr>
            <w:tcW w:w="740" w:type="dxa"/>
            <w:gridSpan w:val="2"/>
            <w:vAlign w:val="bottom"/>
          </w:tcPr>
          <w:p w14:paraId="681BFDC2" w14:textId="77777777" w:rsidR="00D1587D" w:rsidRDefault="00410D07">
            <w:pPr>
              <w:spacing w:line="149" w:lineRule="exact"/>
              <w:ind w:right="100"/>
              <w:jc w:val="center"/>
              <w:rPr>
                <w:sz w:val="20"/>
                <w:szCs w:val="20"/>
              </w:rPr>
            </w:pPr>
            <w:r>
              <w:rPr>
                <w:rFonts w:ascii="Arial" w:eastAsia="Arial" w:hAnsi="Arial" w:cs="Arial"/>
                <w:b/>
                <w:bCs/>
                <w:w w:val="87"/>
                <w:sz w:val="14"/>
                <w:szCs w:val="14"/>
              </w:rPr>
              <w:t>Vested</w:t>
            </w:r>
          </w:p>
        </w:tc>
        <w:tc>
          <w:tcPr>
            <w:tcW w:w="680" w:type="dxa"/>
            <w:gridSpan w:val="2"/>
            <w:vAlign w:val="bottom"/>
          </w:tcPr>
          <w:p w14:paraId="14E2D70B" w14:textId="77777777" w:rsidR="00D1587D" w:rsidRDefault="00410D07">
            <w:pPr>
              <w:spacing w:line="149" w:lineRule="exact"/>
              <w:ind w:right="120"/>
              <w:jc w:val="center"/>
              <w:rPr>
                <w:sz w:val="20"/>
                <w:szCs w:val="20"/>
              </w:rPr>
            </w:pPr>
            <w:r>
              <w:rPr>
                <w:rFonts w:ascii="Arial" w:eastAsia="Arial" w:hAnsi="Arial" w:cs="Arial"/>
                <w:b/>
                <w:bCs/>
                <w:w w:val="87"/>
                <w:sz w:val="14"/>
                <w:szCs w:val="14"/>
              </w:rPr>
              <w:t>Vested</w:t>
            </w:r>
          </w:p>
        </w:tc>
        <w:tc>
          <w:tcPr>
            <w:tcW w:w="700" w:type="dxa"/>
            <w:gridSpan w:val="2"/>
            <w:vAlign w:val="bottom"/>
          </w:tcPr>
          <w:p w14:paraId="5D60731F" w14:textId="77777777" w:rsidR="00D1587D" w:rsidRDefault="00410D07">
            <w:pPr>
              <w:spacing w:line="149" w:lineRule="exact"/>
              <w:ind w:right="120"/>
              <w:jc w:val="center"/>
              <w:rPr>
                <w:sz w:val="20"/>
                <w:szCs w:val="20"/>
              </w:rPr>
            </w:pPr>
            <w:r>
              <w:rPr>
                <w:rFonts w:ascii="Arial" w:eastAsia="Arial" w:hAnsi="Arial" w:cs="Arial"/>
                <w:b/>
                <w:bCs/>
                <w:w w:val="91"/>
                <w:sz w:val="14"/>
                <w:szCs w:val="14"/>
              </w:rPr>
              <w:t>Vested</w:t>
            </w:r>
          </w:p>
        </w:tc>
        <w:tc>
          <w:tcPr>
            <w:tcW w:w="600" w:type="dxa"/>
            <w:vAlign w:val="bottom"/>
          </w:tcPr>
          <w:p w14:paraId="582D59F5" w14:textId="77777777" w:rsidR="00D1587D" w:rsidRDefault="00410D07">
            <w:pPr>
              <w:spacing w:line="149" w:lineRule="exact"/>
              <w:jc w:val="center"/>
              <w:rPr>
                <w:sz w:val="20"/>
                <w:szCs w:val="20"/>
              </w:rPr>
            </w:pPr>
            <w:r>
              <w:rPr>
                <w:rFonts w:ascii="Arial" w:eastAsia="Arial" w:hAnsi="Arial" w:cs="Arial"/>
                <w:b/>
                <w:bCs/>
                <w:w w:val="87"/>
                <w:sz w:val="14"/>
                <w:szCs w:val="14"/>
              </w:rPr>
              <w:t>Vested</w:t>
            </w:r>
          </w:p>
        </w:tc>
        <w:tc>
          <w:tcPr>
            <w:tcW w:w="0" w:type="dxa"/>
            <w:vAlign w:val="bottom"/>
          </w:tcPr>
          <w:p w14:paraId="5EE0E2D8" w14:textId="77777777" w:rsidR="00D1587D" w:rsidRDefault="00D1587D">
            <w:pPr>
              <w:rPr>
                <w:sz w:val="1"/>
                <w:szCs w:val="1"/>
              </w:rPr>
            </w:pPr>
          </w:p>
        </w:tc>
      </w:tr>
      <w:tr w:rsidR="00D1587D" w14:paraId="61DEBA23" w14:textId="77777777">
        <w:trPr>
          <w:trHeight w:val="186"/>
        </w:trPr>
        <w:tc>
          <w:tcPr>
            <w:tcW w:w="880" w:type="dxa"/>
            <w:vMerge/>
            <w:vAlign w:val="bottom"/>
          </w:tcPr>
          <w:p w14:paraId="5740EFD7" w14:textId="77777777" w:rsidR="00D1587D" w:rsidRDefault="00D1587D">
            <w:pPr>
              <w:rPr>
                <w:sz w:val="16"/>
                <w:szCs w:val="16"/>
              </w:rPr>
            </w:pPr>
          </w:p>
        </w:tc>
        <w:tc>
          <w:tcPr>
            <w:tcW w:w="80" w:type="dxa"/>
            <w:vAlign w:val="bottom"/>
          </w:tcPr>
          <w:p w14:paraId="713DF0C8" w14:textId="77777777" w:rsidR="00D1587D" w:rsidRDefault="00D1587D">
            <w:pPr>
              <w:rPr>
                <w:sz w:val="16"/>
                <w:szCs w:val="16"/>
              </w:rPr>
            </w:pPr>
          </w:p>
        </w:tc>
        <w:tc>
          <w:tcPr>
            <w:tcW w:w="680" w:type="dxa"/>
            <w:gridSpan w:val="3"/>
            <w:vAlign w:val="bottom"/>
          </w:tcPr>
          <w:p w14:paraId="704B1526" w14:textId="77777777" w:rsidR="00D1587D" w:rsidRDefault="00410D07">
            <w:pPr>
              <w:ind w:right="80"/>
              <w:jc w:val="center"/>
              <w:rPr>
                <w:sz w:val="20"/>
                <w:szCs w:val="20"/>
              </w:rPr>
            </w:pPr>
            <w:r>
              <w:rPr>
                <w:rFonts w:ascii="Arial" w:eastAsia="Arial" w:hAnsi="Arial" w:cs="Arial"/>
                <w:b/>
                <w:bCs/>
                <w:w w:val="92"/>
                <w:sz w:val="14"/>
                <w:szCs w:val="14"/>
              </w:rPr>
              <w:t>Date</w:t>
            </w:r>
          </w:p>
        </w:tc>
        <w:tc>
          <w:tcPr>
            <w:tcW w:w="760" w:type="dxa"/>
            <w:vAlign w:val="bottom"/>
          </w:tcPr>
          <w:p w14:paraId="0B77539C" w14:textId="77777777" w:rsidR="00D1587D" w:rsidRDefault="00410D07">
            <w:pPr>
              <w:jc w:val="center"/>
              <w:rPr>
                <w:sz w:val="20"/>
                <w:szCs w:val="20"/>
              </w:rPr>
            </w:pPr>
            <w:r>
              <w:rPr>
                <w:rFonts w:ascii="Arial" w:eastAsia="Arial" w:hAnsi="Arial" w:cs="Arial"/>
                <w:b/>
                <w:bCs/>
                <w:w w:val="93"/>
                <w:sz w:val="14"/>
                <w:szCs w:val="14"/>
              </w:rPr>
              <w:t>(#)</w:t>
            </w:r>
          </w:p>
        </w:tc>
        <w:tc>
          <w:tcPr>
            <w:tcW w:w="80" w:type="dxa"/>
            <w:vAlign w:val="bottom"/>
          </w:tcPr>
          <w:p w14:paraId="7BCF446F" w14:textId="77777777" w:rsidR="00D1587D" w:rsidRDefault="00D1587D">
            <w:pPr>
              <w:rPr>
                <w:sz w:val="16"/>
                <w:szCs w:val="16"/>
              </w:rPr>
            </w:pPr>
          </w:p>
        </w:tc>
        <w:tc>
          <w:tcPr>
            <w:tcW w:w="860" w:type="dxa"/>
            <w:vAlign w:val="bottom"/>
          </w:tcPr>
          <w:p w14:paraId="59816270" w14:textId="77777777" w:rsidR="00D1587D" w:rsidRDefault="00410D07">
            <w:pPr>
              <w:jc w:val="center"/>
              <w:rPr>
                <w:sz w:val="20"/>
                <w:szCs w:val="20"/>
              </w:rPr>
            </w:pPr>
            <w:r>
              <w:rPr>
                <w:rFonts w:ascii="Arial" w:eastAsia="Arial" w:hAnsi="Arial" w:cs="Arial"/>
                <w:b/>
                <w:bCs/>
                <w:sz w:val="14"/>
                <w:szCs w:val="14"/>
              </w:rPr>
              <w:t>(#)</w:t>
            </w:r>
          </w:p>
        </w:tc>
        <w:tc>
          <w:tcPr>
            <w:tcW w:w="80" w:type="dxa"/>
            <w:vAlign w:val="bottom"/>
          </w:tcPr>
          <w:p w14:paraId="53AA564D" w14:textId="77777777" w:rsidR="00D1587D" w:rsidRDefault="00D1587D">
            <w:pPr>
              <w:rPr>
                <w:sz w:val="16"/>
                <w:szCs w:val="16"/>
              </w:rPr>
            </w:pPr>
          </w:p>
        </w:tc>
        <w:tc>
          <w:tcPr>
            <w:tcW w:w="760" w:type="dxa"/>
            <w:vAlign w:val="bottom"/>
          </w:tcPr>
          <w:p w14:paraId="48BDAC3A" w14:textId="77777777" w:rsidR="00D1587D" w:rsidRDefault="00410D07">
            <w:pPr>
              <w:jc w:val="center"/>
              <w:rPr>
                <w:sz w:val="20"/>
                <w:szCs w:val="20"/>
              </w:rPr>
            </w:pPr>
            <w:r>
              <w:rPr>
                <w:rFonts w:ascii="Arial" w:eastAsia="Arial" w:hAnsi="Arial" w:cs="Arial"/>
                <w:b/>
                <w:bCs/>
                <w:w w:val="93"/>
                <w:sz w:val="14"/>
                <w:szCs w:val="14"/>
              </w:rPr>
              <w:t>(#)</w:t>
            </w:r>
          </w:p>
        </w:tc>
        <w:tc>
          <w:tcPr>
            <w:tcW w:w="80" w:type="dxa"/>
            <w:vAlign w:val="bottom"/>
          </w:tcPr>
          <w:p w14:paraId="2F850842" w14:textId="77777777" w:rsidR="00D1587D" w:rsidRDefault="00D1587D">
            <w:pPr>
              <w:rPr>
                <w:sz w:val="16"/>
                <w:szCs w:val="16"/>
              </w:rPr>
            </w:pPr>
          </w:p>
        </w:tc>
        <w:tc>
          <w:tcPr>
            <w:tcW w:w="520" w:type="dxa"/>
            <w:vAlign w:val="bottom"/>
          </w:tcPr>
          <w:p w14:paraId="1D9AA7FE" w14:textId="77777777" w:rsidR="00D1587D" w:rsidRDefault="00410D07">
            <w:pPr>
              <w:jc w:val="center"/>
              <w:rPr>
                <w:sz w:val="20"/>
                <w:szCs w:val="20"/>
              </w:rPr>
            </w:pPr>
            <w:r>
              <w:rPr>
                <w:rFonts w:ascii="Arial" w:eastAsia="Arial" w:hAnsi="Arial" w:cs="Arial"/>
                <w:b/>
                <w:bCs/>
                <w:w w:val="93"/>
                <w:sz w:val="14"/>
                <w:szCs w:val="14"/>
              </w:rPr>
              <w:t>($)</w:t>
            </w:r>
          </w:p>
        </w:tc>
        <w:tc>
          <w:tcPr>
            <w:tcW w:w="80" w:type="dxa"/>
            <w:vAlign w:val="bottom"/>
          </w:tcPr>
          <w:p w14:paraId="512B70D9" w14:textId="77777777" w:rsidR="00D1587D" w:rsidRDefault="00D1587D">
            <w:pPr>
              <w:rPr>
                <w:sz w:val="16"/>
                <w:szCs w:val="16"/>
              </w:rPr>
            </w:pPr>
          </w:p>
        </w:tc>
        <w:tc>
          <w:tcPr>
            <w:tcW w:w="760" w:type="dxa"/>
            <w:gridSpan w:val="2"/>
            <w:vAlign w:val="bottom"/>
          </w:tcPr>
          <w:p w14:paraId="0A9509CE" w14:textId="77777777" w:rsidR="00D1587D" w:rsidRDefault="00410D07">
            <w:pPr>
              <w:ind w:right="280"/>
              <w:jc w:val="right"/>
              <w:rPr>
                <w:sz w:val="20"/>
                <w:szCs w:val="20"/>
              </w:rPr>
            </w:pPr>
            <w:r>
              <w:rPr>
                <w:rFonts w:ascii="Arial" w:eastAsia="Arial" w:hAnsi="Arial" w:cs="Arial"/>
                <w:b/>
                <w:bCs/>
                <w:sz w:val="14"/>
                <w:szCs w:val="14"/>
              </w:rPr>
              <w:t>Date</w:t>
            </w:r>
          </w:p>
        </w:tc>
        <w:tc>
          <w:tcPr>
            <w:tcW w:w="740" w:type="dxa"/>
            <w:gridSpan w:val="2"/>
            <w:vAlign w:val="bottom"/>
          </w:tcPr>
          <w:p w14:paraId="12A5D691" w14:textId="77777777" w:rsidR="00D1587D" w:rsidRDefault="00410D07">
            <w:pPr>
              <w:ind w:right="80"/>
              <w:jc w:val="center"/>
              <w:rPr>
                <w:sz w:val="20"/>
                <w:szCs w:val="20"/>
              </w:rPr>
            </w:pPr>
            <w:r>
              <w:rPr>
                <w:rFonts w:ascii="Arial" w:eastAsia="Arial" w:hAnsi="Arial" w:cs="Arial"/>
                <w:b/>
                <w:bCs/>
                <w:w w:val="98"/>
                <w:sz w:val="14"/>
                <w:szCs w:val="14"/>
              </w:rPr>
              <w:t>Date</w:t>
            </w:r>
          </w:p>
        </w:tc>
        <w:tc>
          <w:tcPr>
            <w:tcW w:w="660" w:type="dxa"/>
            <w:vAlign w:val="bottom"/>
          </w:tcPr>
          <w:p w14:paraId="7F252B06" w14:textId="77777777" w:rsidR="00D1587D" w:rsidRDefault="00410D07">
            <w:pPr>
              <w:jc w:val="center"/>
              <w:rPr>
                <w:sz w:val="20"/>
                <w:szCs w:val="20"/>
              </w:rPr>
            </w:pPr>
            <w:r>
              <w:rPr>
                <w:rFonts w:ascii="Arial" w:eastAsia="Arial" w:hAnsi="Arial" w:cs="Arial"/>
                <w:b/>
                <w:bCs/>
                <w:sz w:val="14"/>
                <w:szCs w:val="14"/>
              </w:rPr>
              <w:t>(#)</w:t>
            </w:r>
          </w:p>
        </w:tc>
        <w:tc>
          <w:tcPr>
            <w:tcW w:w="80" w:type="dxa"/>
            <w:vAlign w:val="bottom"/>
          </w:tcPr>
          <w:p w14:paraId="4FF087C7" w14:textId="77777777" w:rsidR="00D1587D" w:rsidRDefault="00D1587D">
            <w:pPr>
              <w:rPr>
                <w:sz w:val="16"/>
                <w:szCs w:val="16"/>
              </w:rPr>
            </w:pPr>
          </w:p>
        </w:tc>
        <w:tc>
          <w:tcPr>
            <w:tcW w:w="600" w:type="dxa"/>
            <w:vAlign w:val="bottom"/>
          </w:tcPr>
          <w:p w14:paraId="5995CE35" w14:textId="77777777" w:rsidR="00D1587D" w:rsidRDefault="00410D07">
            <w:pPr>
              <w:jc w:val="center"/>
              <w:rPr>
                <w:sz w:val="20"/>
                <w:szCs w:val="20"/>
              </w:rPr>
            </w:pPr>
            <w:r>
              <w:rPr>
                <w:rFonts w:ascii="Arial" w:eastAsia="Arial" w:hAnsi="Arial" w:cs="Arial"/>
                <w:b/>
                <w:bCs/>
                <w:w w:val="93"/>
                <w:sz w:val="14"/>
                <w:szCs w:val="14"/>
              </w:rPr>
              <w:t>($)</w:t>
            </w:r>
          </w:p>
        </w:tc>
        <w:tc>
          <w:tcPr>
            <w:tcW w:w="80" w:type="dxa"/>
            <w:vAlign w:val="bottom"/>
          </w:tcPr>
          <w:p w14:paraId="6314BD30" w14:textId="77777777" w:rsidR="00D1587D" w:rsidRDefault="00D1587D">
            <w:pPr>
              <w:rPr>
                <w:sz w:val="16"/>
                <w:szCs w:val="16"/>
              </w:rPr>
            </w:pPr>
          </w:p>
        </w:tc>
        <w:tc>
          <w:tcPr>
            <w:tcW w:w="620" w:type="dxa"/>
            <w:vAlign w:val="bottom"/>
          </w:tcPr>
          <w:p w14:paraId="2DAAD6E5" w14:textId="77777777" w:rsidR="00D1587D" w:rsidRDefault="00410D07">
            <w:pPr>
              <w:jc w:val="center"/>
              <w:rPr>
                <w:sz w:val="20"/>
                <w:szCs w:val="20"/>
              </w:rPr>
            </w:pPr>
            <w:r>
              <w:rPr>
                <w:rFonts w:ascii="Arial" w:eastAsia="Arial" w:hAnsi="Arial" w:cs="Arial"/>
                <w:b/>
                <w:bCs/>
                <w:sz w:val="14"/>
                <w:szCs w:val="14"/>
              </w:rPr>
              <w:t>(#)</w:t>
            </w:r>
          </w:p>
        </w:tc>
        <w:tc>
          <w:tcPr>
            <w:tcW w:w="80" w:type="dxa"/>
            <w:vAlign w:val="bottom"/>
          </w:tcPr>
          <w:p w14:paraId="0E02DDB8" w14:textId="77777777" w:rsidR="00D1587D" w:rsidRDefault="00D1587D">
            <w:pPr>
              <w:rPr>
                <w:sz w:val="16"/>
                <w:szCs w:val="16"/>
              </w:rPr>
            </w:pPr>
          </w:p>
        </w:tc>
        <w:tc>
          <w:tcPr>
            <w:tcW w:w="600" w:type="dxa"/>
            <w:vAlign w:val="bottom"/>
          </w:tcPr>
          <w:p w14:paraId="1F009D1C" w14:textId="77777777" w:rsidR="00D1587D" w:rsidRDefault="00410D07">
            <w:pPr>
              <w:jc w:val="center"/>
              <w:rPr>
                <w:sz w:val="20"/>
                <w:szCs w:val="20"/>
              </w:rPr>
            </w:pPr>
            <w:r>
              <w:rPr>
                <w:rFonts w:ascii="Arial" w:eastAsia="Arial" w:hAnsi="Arial" w:cs="Arial"/>
                <w:b/>
                <w:bCs/>
                <w:w w:val="93"/>
                <w:sz w:val="14"/>
                <w:szCs w:val="14"/>
              </w:rPr>
              <w:t>($)</w:t>
            </w:r>
          </w:p>
        </w:tc>
        <w:tc>
          <w:tcPr>
            <w:tcW w:w="0" w:type="dxa"/>
            <w:vAlign w:val="bottom"/>
          </w:tcPr>
          <w:p w14:paraId="7597F6A9" w14:textId="77777777" w:rsidR="00D1587D" w:rsidRDefault="00D1587D">
            <w:pPr>
              <w:rPr>
                <w:sz w:val="1"/>
                <w:szCs w:val="1"/>
              </w:rPr>
            </w:pPr>
          </w:p>
        </w:tc>
      </w:tr>
      <w:tr w:rsidR="00D1587D" w14:paraId="2DC1DBB7" w14:textId="77777777">
        <w:trPr>
          <w:trHeight w:val="53"/>
        </w:trPr>
        <w:tc>
          <w:tcPr>
            <w:tcW w:w="880" w:type="dxa"/>
            <w:tcBorders>
              <w:bottom w:val="single" w:sz="8" w:space="0" w:color="auto"/>
            </w:tcBorders>
            <w:vAlign w:val="bottom"/>
          </w:tcPr>
          <w:p w14:paraId="3897BD96" w14:textId="77777777" w:rsidR="00D1587D" w:rsidRDefault="00D1587D">
            <w:pPr>
              <w:rPr>
                <w:sz w:val="4"/>
                <w:szCs w:val="4"/>
              </w:rPr>
            </w:pPr>
          </w:p>
        </w:tc>
        <w:tc>
          <w:tcPr>
            <w:tcW w:w="80" w:type="dxa"/>
            <w:vAlign w:val="bottom"/>
          </w:tcPr>
          <w:p w14:paraId="3050FA69" w14:textId="77777777" w:rsidR="00D1587D" w:rsidRDefault="00D1587D">
            <w:pPr>
              <w:rPr>
                <w:sz w:val="4"/>
                <w:szCs w:val="4"/>
              </w:rPr>
            </w:pPr>
          </w:p>
        </w:tc>
        <w:tc>
          <w:tcPr>
            <w:tcW w:w="580" w:type="dxa"/>
            <w:tcBorders>
              <w:bottom w:val="single" w:sz="8" w:space="0" w:color="auto"/>
            </w:tcBorders>
            <w:vAlign w:val="bottom"/>
          </w:tcPr>
          <w:p w14:paraId="2DA35C99" w14:textId="77777777" w:rsidR="00D1587D" w:rsidRDefault="00D1587D">
            <w:pPr>
              <w:rPr>
                <w:sz w:val="4"/>
                <w:szCs w:val="4"/>
              </w:rPr>
            </w:pPr>
          </w:p>
        </w:tc>
        <w:tc>
          <w:tcPr>
            <w:tcW w:w="20" w:type="dxa"/>
            <w:tcBorders>
              <w:bottom w:val="single" w:sz="8" w:space="0" w:color="auto"/>
            </w:tcBorders>
            <w:vAlign w:val="bottom"/>
          </w:tcPr>
          <w:p w14:paraId="6F2413E0" w14:textId="77777777" w:rsidR="00D1587D" w:rsidRDefault="00D1587D">
            <w:pPr>
              <w:rPr>
                <w:sz w:val="4"/>
                <w:szCs w:val="4"/>
              </w:rPr>
            </w:pPr>
          </w:p>
        </w:tc>
        <w:tc>
          <w:tcPr>
            <w:tcW w:w="80" w:type="dxa"/>
            <w:vAlign w:val="bottom"/>
          </w:tcPr>
          <w:p w14:paraId="561B5E5A" w14:textId="77777777" w:rsidR="00D1587D" w:rsidRDefault="00D1587D">
            <w:pPr>
              <w:rPr>
                <w:sz w:val="4"/>
                <w:szCs w:val="4"/>
              </w:rPr>
            </w:pPr>
          </w:p>
        </w:tc>
        <w:tc>
          <w:tcPr>
            <w:tcW w:w="760" w:type="dxa"/>
            <w:tcBorders>
              <w:bottom w:val="single" w:sz="8" w:space="0" w:color="auto"/>
            </w:tcBorders>
            <w:vAlign w:val="bottom"/>
          </w:tcPr>
          <w:p w14:paraId="72FF84C6" w14:textId="77777777" w:rsidR="00D1587D" w:rsidRDefault="00D1587D">
            <w:pPr>
              <w:rPr>
                <w:sz w:val="4"/>
                <w:szCs w:val="4"/>
              </w:rPr>
            </w:pPr>
          </w:p>
        </w:tc>
        <w:tc>
          <w:tcPr>
            <w:tcW w:w="80" w:type="dxa"/>
            <w:vAlign w:val="bottom"/>
          </w:tcPr>
          <w:p w14:paraId="4F959737" w14:textId="77777777" w:rsidR="00D1587D" w:rsidRDefault="00D1587D">
            <w:pPr>
              <w:rPr>
                <w:sz w:val="4"/>
                <w:szCs w:val="4"/>
              </w:rPr>
            </w:pPr>
          </w:p>
        </w:tc>
        <w:tc>
          <w:tcPr>
            <w:tcW w:w="860" w:type="dxa"/>
            <w:tcBorders>
              <w:bottom w:val="single" w:sz="8" w:space="0" w:color="auto"/>
            </w:tcBorders>
            <w:vAlign w:val="bottom"/>
          </w:tcPr>
          <w:p w14:paraId="38D6F96A" w14:textId="77777777" w:rsidR="00D1587D" w:rsidRDefault="00D1587D">
            <w:pPr>
              <w:rPr>
                <w:sz w:val="4"/>
                <w:szCs w:val="4"/>
              </w:rPr>
            </w:pPr>
          </w:p>
        </w:tc>
        <w:tc>
          <w:tcPr>
            <w:tcW w:w="80" w:type="dxa"/>
            <w:vAlign w:val="bottom"/>
          </w:tcPr>
          <w:p w14:paraId="2A2B2895" w14:textId="77777777" w:rsidR="00D1587D" w:rsidRDefault="00D1587D">
            <w:pPr>
              <w:rPr>
                <w:sz w:val="4"/>
                <w:szCs w:val="4"/>
              </w:rPr>
            </w:pPr>
          </w:p>
        </w:tc>
        <w:tc>
          <w:tcPr>
            <w:tcW w:w="760" w:type="dxa"/>
            <w:tcBorders>
              <w:bottom w:val="single" w:sz="8" w:space="0" w:color="auto"/>
            </w:tcBorders>
            <w:vAlign w:val="bottom"/>
          </w:tcPr>
          <w:p w14:paraId="54C0A422" w14:textId="77777777" w:rsidR="00D1587D" w:rsidRDefault="00D1587D">
            <w:pPr>
              <w:rPr>
                <w:sz w:val="4"/>
                <w:szCs w:val="4"/>
              </w:rPr>
            </w:pPr>
          </w:p>
        </w:tc>
        <w:tc>
          <w:tcPr>
            <w:tcW w:w="80" w:type="dxa"/>
            <w:vAlign w:val="bottom"/>
          </w:tcPr>
          <w:p w14:paraId="7D659B8B" w14:textId="77777777" w:rsidR="00D1587D" w:rsidRDefault="00D1587D">
            <w:pPr>
              <w:rPr>
                <w:sz w:val="4"/>
                <w:szCs w:val="4"/>
              </w:rPr>
            </w:pPr>
          </w:p>
        </w:tc>
        <w:tc>
          <w:tcPr>
            <w:tcW w:w="520" w:type="dxa"/>
            <w:tcBorders>
              <w:bottom w:val="single" w:sz="8" w:space="0" w:color="auto"/>
            </w:tcBorders>
            <w:vAlign w:val="bottom"/>
          </w:tcPr>
          <w:p w14:paraId="3E0D129D" w14:textId="77777777" w:rsidR="00D1587D" w:rsidRDefault="00D1587D">
            <w:pPr>
              <w:rPr>
                <w:sz w:val="4"/>
                <w:szCs w:val="4"/>
              </w:rPr>
            </w:pPr>
          </w:p>
        </w:tc>
        <w:tc>
          <w:tcPr>
            <w:tcW w:w="80" w:type="dxa"/>
            <w:vAlign w:val="bottom"/>
          </w:tcPr>
          <w:p w14:paraId="168FF943" w14:textId="77777777" w:rsidR="00D1587D" w:rsidRDefault="00D1587D">
            <w:pPr>
              <w:rPr>
                <w:sz w:val="4"/>
                <w:szCs w:val="4"/>
              </w:rPr>
            </w:pPr>
          </w:p>
        </w:tc>
        <w:tc>
          <w:tcPr>
            <w:tcW w:w="680" w:type="dxa"/>
            <w:tcBorders>
              <w:bottom w:val="single" w:sz="8" w:space="0" w:color="auto"/>
            </w:tcBorders>
            <w:vAlign w:val="bottom"/>
          </w:tcPr>
          <w:p w14:paraId="2C5A4C38" w14:textId="77777777" w:rsidR="00D1587D" w:rsidRDefault="00D1587D">
            <w:pPr>
              <w:rPr>
                <w:sz w:val="4"/>
                <w:szCs w:val="4"/>
              </w:rPr>
            </w:pPr>
          </w:p>
        </w:tc>
        <w:tc>
          <w:tcPr>
            <w:tcW w:w="80" w:type="dxa"/>
            <w:vAlign w:val="bottom"/>
          </w:tcPr>
          <w:p w14:paraId="1F2AC1C2" w14:textId="77777777" w:rsidR="00D1587D" w:rsidRDefault="00D1587D">
            <w:pPr>
              <w:rPr>
                <w:sz w:val="4"/>
                <w:szCs w:val="4"/>
              </w:rPr>
            </w:pPr>
          </w:p>
        </w:tc>
        <w:tc>
          <w:tcPr>
            <w:tcW w:w="660" w:type="dxa"/>
            <w:tcBorders>
              <w:bottom w:val="single" w:sz="8" w:space="0" w:color="auto"/>
            </w:tcBorders>
            <w:vAlign w:val="bottom"/>
          </w:tcPr>
          <w:p w14:paraId="4657F8E8" w14:textId="77777777" w:rsidR="00D1587D" w:rsidRDefault="00D1587D">
            <w:pPr>
              <w:rPr>
                <w:sz w:val="4"/>
                <w:szCs w:val="4"/>
              </w:rPr>
            </w:pPr>
          </w:p>
        </w:tc>
        <w:tc>
          <w:tcPr>
            <w:tcW w:w="80" w:type="dxa"/>
            <w:vAlign w:val="bottom"/>
          </w:tcPr>
          <w:p w14:paraId="37F4B66C" w14:textId="77777777" w:rsidR="00D1587D" w:rsidRDefault="00D1587D">
            <w:pPr>
              <w:rPr>
                <w:sz w:val="4"/>
                <w:szCs w:val="4"/>
              </w:rPr>
            </w:pPr>
          </w:p>
        </w:tc>
        <w:tc>
          <w:tcPr>
            <w:tcW w:w="660" w:type="dxa"/>
            <w:tcBorders>
              <w:bottom w:val="single" w:sz="8" w:space="0" w:color="auto"/>
            </w:tcBorders>
            <w:vAlign w:val="bottom"/>
          </w:tcPr>
          <w:p w14:paraId="4207146B" w14:textId="77777777" w:rsidR="00D1587D" w:rsidRDefault="00D1587D">
            <w:pPr>
              <w:rPr>
                <w:sz w:val="4"/>
                <w:szCs w:val="4"/>
              </w:rPr>
            </w:pPr>
          </w:p>
        </w:tc>
        <w:tc>
          <w:tcPr>
            <w:tcW w:w="80" w:type="dxa"/>
            <w:vAlign w:val="bottom"/>
          </w:tcPr>
          <w:p w14:paraId="24A715C7" w14:textId="77777777" w:rsidR="00D1587D" w:rsidRDefault="00D1587D">
            <w:pPr>
              <w:rPr>
                <w:sz w:val="4"/>
                <w:szCs w:val="4"/>
              </w:rPr>
            </w:pPr>
          </w:p>
        </w:tc>
        <w:tc>
          <w:tcPr>
            <w:tcW w:w="600" w:type="dxa"/>
            <w:tcBorders>
              <w:bottom w:val="single" w:sz="8" w:space="0" w:color="auto"/>
            </w:tcBorders>
            <w:vAlign w:val="bottom"/>
          </w:tcPr>
          <w:p w14:paraId="38FB4304" w14:textId="77777777" w:rsidR="00D1587D" w:rsidRDefault="00D1587D">
            <w:pPr>
              <w:rPr>
                <w:sz w:val="4"/>
                <w:szCs w:val="4"/>
              </w:rPr>
            </w:pPr>
          </w:p>
        </w:tc>
        <w:tc>
          <w:tcPr>
            <w:tcW w:w="80" w:type="dxa"/>
            <w:vAlign w:val="bottom"/>
          </w:tcPr>
          <w:p w14:paraId="1A46D47C" w14:textId="77777777" w:rsidR="00D1587D" w:rsidRDefault="00D1587D">
            <w:pPr>
              <w:rPr>
                <w:sz w:val="4"/>
                <w:szCs w:val="4"/>
              </w:rPr>
            </w:pPr>
          </w:p>
        </w:tc>
        <w:tc>
          <w:tcPr>
            <w:tcW w:w="620" w:type="dxa"/>
            <w:tcBorders>
              <w:bottom w:val="single" w:sz="8" w:space="0" w:color="auto"/>
            </w:tcBorders>
            <w:vAlign w:val="bottom"/>
          </w:tcPr>
          <w:p w14:paraId="2A525F55" w14:textId="77777777" w:rsidR="00D1587D" w:rsidRDefault="00D1587D">
            <w:pPr>
              <w:rPr>
                <w:sz w:val="4"/>
                <w:szCs w:val="4"/>
              </w:rPr>
            </w:pPr>
          </w:p>
        </w:tc>
        <w:tc>
          <w:tcPr>
            <w:tcW w:w="80" w:type="dxa"/>
            <w:vAlign w:val="bottom"/>
          </w:tcPr>
          <w:p w14:paraId="352001E4" w14:textId="77777777" w:rsidR="00D1587D" w:rsidRDefault="00D1587D">
            <w:pPr>
              <w:rPr>
                <w:sz w:val="4"/>
                <w:szCs w:val="4"/>
              </w:rPr>
            </w:pPr>
          </w:p>
        </w:tc>
        <w:tc>
          <w:tcPr>
            <w:tcW w:w="600" w:type="dxa"/>
            <w:tcBorders>
              <w:bottom w:val="single" w:sz="8" w:space="0" w:color="auto"/>
            </w:tcBorders>
            <w:vAlign w:val="bottom"/>
          </w:tcPr>
          <w:p w14:paraId="27F562A5" w14:textId="77777777" w:rsidR="00D1587D" w:rsidRDefault="00D1587D">
            <w:pPr>
              <w:rPr>
                <w:sz w:val="4"/>
                <w:szCs w:val="4"/>
              </w:rPr>
            </w:pPr>
          </w:p>
        </w:tc>
        <w:tc>
          <w:tcPr>
            <w:tcW w:w="0" w:type="dxa"/>
            <w:vAlign w:val="bottom"/>
          </w:tcPr>
          <w:p w14:paraId="0BD60D1D" w14:textId="77777777" w:rsidR="00D1587D" w:rsidRDefault="00D1587D">
            <w:pPr>
              <w:rPr>
                <w:sz w:val="1"/>
                <w:szCs w:val="1"/>
              </w:rPr>
            </w:pPr>
          </w:p>
        </w:tc>
      </w:tr>
      <w:tr w:rsidR="00D1587D" w14:paraId="29A78D7E" w14:textId="77777777">
        <w:trPr>
          <w:trHeight w:val="191"/>
        </w:trPr>
        <w:tc>
          <w:tcPr>
            <w:tcW w:w="880" w:type="dxa"/>
            <w:vAlign w:val="bottom"/>
          </w:tcPr>
          <w:p w14:paraId="0116CE95" w14:textId="77777777" w:rsidR="00D1587D" w:rsidRDefault="00410D07">
            <w:pPr>
              <w:rPr>
                <w:sz w:val="20"/>
                <w:szCs w:val="20"/>
              </w:rPr>
            </w:pPr>
            <w:r>
              <w:rPr>
                <w:rFonts w:ascii="Arial" w:eastAsia="Arial" w:hAnsi="Arial" w:cs="Arial"/>
                <w:sz w:val="14"/>
                <w:szCs w:val="14"/>
              </w:rPr>
              <w:t>Stuart B.</w:t>
            </w:r>
          </w:p>
        </w:tc>
        <w:tc>
          <w:tcPr>
            <w:tcW w:w="760" w:type="dxa"/>
            <w:gridSpan w:val="4"/>
            <w:vAlign w:val="bottom"/>
          </w:tcPr>
          <w:p w14:paraId="62FFC819" w14:textId="77777777" w:rsidR="00D1587D" w:rsidRDefault="00410D07">
            <w:pPr>
              <w:ind w:right="80"/>
              <w:jc w:val="right"/>
              <w:rPr>
                <w:sz w:val="20"/>
                <w:szCs w:val="20"/>
              </w:rPr>
            </w:pPr>
            <w:r>
              <w:rPr>
                <w:rFonts w:ascii="Arial" w:eastAsia="Arial" w:hAnsi="Arial" w:cs="Arial"/>
                <w:sz w:val="14"/>
                <w:szCs w:val="14"/>
              </w:rPr>
              <w:t>3/31/2011</w:t>
            </w:r>
          </w:p>
        </w:tc>
        <w:tc>
          <w:tcPr>
            <w:tcW w:w="840" w:type="dxa"/>
            <w:gridSpan w:val="2"/>
            <w:vAlign w:val="bottom"/>
          </w:tcPr>
          <w:p w14:paraId="09AC5A1A" w14:textId="77777777" w:rsidR="00D1587D" w:rsidRDefault="00410D07">
            <w:pPr>
              <w:ind w:right="80"/>
              <w:jc w:val="right"/>
              <w:rPr>
                <w:sz w:val="20"/>
                <w:szCs w:val="20"/>
              </w:rPr>
            </w:pPr>
            <w:r>
              <w:rPr>
                <w:rFonts w:ascii="Arial" w:eastAsia="Arial" w:hAnsi="Arial" w:cs="Arial"/>
                <w:sz w:val="14"/>
                <w:szCs w:val="14"/>
              </w:rPr>
              <w:t>12,773</w:t>
            </w:r>
          </w:p>
        </w:tc>
        <w:tc>
          <w:tcPr>
            <w:tcW w:w="940" w:type="dxa"/>
            <w:gridSpan w:val="2"/>
            <w:vAlign w:val="bottom"/>
          </w:tcPr>
          <w:p w14:paraId="34094F6B" w14:textId="77777777" w:rsidR="00D1587D" w:rsidRDefault="00410D07">
            <w:pPr>
              <w:ind w:right="80"/>
              <w:jc w:val="right"/>
              <w:rPr>
                <w:sz w:val="20"/>
                <w:szCs w:val="20"/>
              </w:rPr>
            </w:pPr>
            <w:r>
              <w:rPr>
                <w:rFonts w:ascii="Arial" w:eastAsia="Arial" w:hAnsi="Arial" w:cs="Arial"/>
                <w:sz w:val="14"/>
                <w:szCs w:val="14"/>
              </w:rPr>
              <w:t>—</w:t>
            </w:r>
          </w:p>
        </w:tc>
        <w:tc>
          <w:tcPr>
            <w:tcW w:w="840" w:type="dxa"/>
            <w:gridSpan w:val="2"/>
            <w:vAlign w:val="bottom"/>
          </w:tcPr>
          <w:p w14:paraId="643889A5"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68056D9C" w14:textId="77777777" w:rsidR="00D1587D" w:rsidRDefault="00410D07">
            <w:pPr>
              <w:ind w:right="80"/>
              <w:jc w:val="right"/>
              <w:rPr>
                <w:sz w:val="20"/>
                <w:szCs w:val="20"/>
              </w:rPr>
            </w:pPr>
            <w:r>
              <w:rPr>
                <w:rFonts w:ascii="Arial" w:eastAsia="Arial" w:hAnsi="Arial" w:cs="Arial"/>
                <w:sz w:val="14"/>
                <w:szCs w:val="14"/>
              </w:rPr>
              <w:t>26.43</w:t>
            </w:r>
          </w:p>
        </w:tc>
        <w:tc>
          <w:tcPr>
            <w:tcW w:w="760" w:type="dxa"/>
            <w:gridSpan w:val="2"/>
            <w:vAlign w:val="bottom"/>
          </w:tcPr>
          <w:p w14:paraId="334ADE60" w14:textId="77777777" w:rsidR="00D1587D" w:rsidRDefault="00410D07">
            <w:pPr>
              <w:ind w:right="80"/>
              <w:jc w:val="right"/>
              <w:rPr>
                <w:sz w:val="20"/>
                <w:szCs w:val="20"/>
              </w:rPr>
            </w:pPr>
            <w:r>
              <w:rPr>
                <w:rFonts w:ascii="Arial" w:eastAsia="Arial" w:hAnsi="Arial" w:cs="Arial"/>
                <w:sz w:val="14"/>
                <w:szCs w:val="14"/>
              </w:rPr>
              <w:t>3/31/2021</w:t>
            </w:r>
          </w:p>
        </w:tc>
        <w:tc>
          <w:tcPr>
            <w:tcW w:w="660" w:type="dxa"/>
            <w:vAlign w:val="bottom"/>
          </w:tcPr>
          <w:p w14:paraId="5A41E782" w14:textId="77777777" w:rsidR="00D1587D" w:rsidRDefault="00D1587D">
            <w:pPr>
              <w:rPr>
                <w:sz w:val="16"/>
                <w:szCs w:val="16"/>
              </w:rPr>
            </w:pPr>
          </w:p>
        </w:tc>
        <w:tc>
          <w:tcPr>
            <w:tcW w:w="80" w:type="dxa"/>
            <w:vAlign w:val="bottom"/>
          </w:tcPr>
          <w:p w14:paraId="2D5B4FE0" w14:textId="77777777" w:rsidR="00D1587D" w:rsidRDefault="00D1587D">
            <w:pPr>
              <w:rPr>
                <w:sz w:val="16"/>
                <w:szCs w:val="16"/>
              </w:rPr>
            </w:pPr>
          </w:p>
        </w:tc>
        <w:tc>
          <w:tcPr>
            <w:tcW w:w="660" w:type="dxa"/>
            <w:vAlign w:val="bottom"/>
          </w:tcPr>
          <w:p w14:paraId="23142290" w14:textId="77777777" w:rsidR="00D1587D" w:rsidRDefault="00D1587D">
            <w:pPr>
              <w:rPr>
                <w:sz w:val="16"/>
                <w:szCs w:val="16"/>
              </w:rPr>
            </w:pPr>
          </w:p>
        </w:tc>
        <w:tc>
          <w:tcPr>
            <w:tcW w:w="80" w:type="dxa"/>
            <w:vAlign w:val="bottom"/>
          </w:tcPr>
          <w:p w14:paraId="567EAE26" w14:textId="77777777" w:rsidR="00D1587D" w:rsidRDefault="00D1587D">
            <w:pPr>
              <w:rPr>
                <w:sz w:val="16"/>
                <w:szCs w:val="16"/>
              </w:rPr>
            </w:pPr>
          </w:p>
        </w:tc>
        <w:tc>
          <w:tcPr>
            <w:tcW w:w="600" w:type="dxa"/>
            <w:vAlign w:val="bottom"/>
          </w:tcPr>
          <w:p w14:paraId="54EBDEB7" w14:textId="77777777" w:rsidR="00D1587D" w:rsidRDefault="00D1587D">
            <w:pPr>
              <w:rPr>
                <w:sz w:val="16"/>
                <w:szCs w:val="16"/>
              </w:rPr>
            </w:pPr>
          </w:p>
        </w:tc>
        <w:tc>
          <w:tcPr>
            <w:tcW w:w="80" w:type="dxa"/>
            <w:vAlign w:val="bottom"/>
          </w:tcPr>
          <w:p w14:paraId="77CBF66F" w14:textId="77777777" w:rsidR="00D1587D" w:rsidRDefault="00D1587D">
            <w:pPr>
              <w:rPr>
                <w:sz w:val="16"/>
                <w:szCs w:val="16"/>
              </w:rPr>
            </w:pPr>
          </w:p>
        </w:tc>
        <w:tc>
          <w:tcPr>
            <w:tcW w:w="620" w:type="dxa"/>
            <w:vAlign w:val="bottom"/>
          </w:tcPr>
          <w:p w14:paraId="66B9E600" w14:textId="77777777" w:rsidR="00D1587D" w:rsidRDefault="00D1587D">
            <w:pPr>
              <w:rPr>
                <w:sz w:val="16"/>
                <w:szCs w:val="16"/>
              </w:rPr>
            </w:pPr>
          </w:p>
        </w:tc>
        <w:tc>
          <w:tcPr>
            <w:tcW w:w="80" w:type="dxa"/>
            <w:vAlign w:val="bottom"/>
          </w:tcPr>
          <w:p w14:paraId="04B97A93" w14:textId="77777777" w:rsidR="00D1587D" w:rsidRDefault="00D1587D">
            <w:pPr>
              <w:rPr>
                <w:sz w:val="16"/>
                <w:szCs w:val="16"/>
              </w:rPr>
            </w:pPr>
          </w:p>
        </w:tc>
        <w:tc>
          <w:tcPr>
            <w:tcW w:w="600" w:type="dxa"/>
            <w:vAlign w:val="bottom"/>
          </w:tcPr>
          <w:p w14:paraId="5AA01472" w14:textId="77777777" w:rsidR="00D1587D" w:rsidRDefault="00D1587D">
            <w:pPr>
              <w:rPr>
                <w:sz w:val="16"/>
                <w:szCs w:val="16"/>
              </w:rPr>
            </w:pPr>
          </w:p>
        </w:tc>
        <w:tc>
          <w:tcPr>
            <w:tcW w:w="0" w:type="dxa"/>
            <w:vAlign w:val="bottom"/>
          </w:tcPr>
          <w:p w14:paraId="4A3D3859" w14:textId="77777777" w:rsidR="00D1587D" w:rsidRDefault="00D1587D">
            <w:pPr>
              <w:rPr>
                <w:sz w:val="1"/>
                <w:szCs w:val="1"/>
              </w:rPr>
            </w:pPr>
          </w:p>
        </w:tc>
      </w:tr>
      <w:tr w:rsidR="00D1587D" w14:paraId="7F10B588" w14:textId="77777777">
        <w:trPr>
          <w:trHeight w:val="290"/>
        </w:trPr>
        <w:tc>
          <w:tcPr>
            <w:tcW w:w="880" w:type="dxa"/>
            <w:vAlign w:val="bottom"/>
          </w:tcPr>
          <w:p w14:paraId="1BEBE87A" w14:textId="77777777" w:rsidR="00D1587D" w:rsidRDefault="00410D07">
            <w:pPr>
              <w:ind w:left="160"/>
              <w:rPr>
                <w:sz w:val="20"/>
                <w:szCs w:val="20"/>
              </w:rPr>
            </w:pPr>
            <w:r>
              <w:rPr>
                <w:rFonts w:ascii="Arial" w:eastAsia="Arial" w:hAnsi="Arial" w:cs="Arial"/>
                <w:w w:val="94"/>
                <w:sz w:val="14"/>
                <w:szCs w:val="14"/>
              </w:rPr>
              <w:t>Burgdoerfer</w:t>
            </w:r>
          </w:p>
        </w:tc>
        <w:tc>
          <w:tcPr>
            <w:tcW w:w="680" w:type="dxa"/>
            <w:gridSpan w:val="3"/>
            <w:vAlign w:val="bottom"/>
          </w:tcPr>
          <w:p w14:paraId="444251A8" w14:textId="77777777" w:rsidR="00D1587D" w:rsidRDefault="00410D07">
            <w:pPr>
              <w:ind w:left="8"/>
              <w:jc w:val="center"/>
              <w:rPr>
                <w:sz w:val="20"/>
                <w:szCs w:val="20"/>
              </w:rPr>
            </w:pPr>
            <w:r>
              <w:rPr>
                <w:rFonts w:ascii="Arial" w:eastAsia="Arial" w:hAnsi="Arial" w:cs="Arial"/>
                <w:w w:val="96"/>
                <w:sz w:val="14"/>
                <w:szCs w:val="14"/>
              </w:rPr>
              <w:t>3/30/2012</w:t>
            </w:r>
          </w:p>
        </w:tc>
        <w:tc>
          <w:tcPr>
            <w:tcW w:w="80" w:type="dxa"/>
            <w:vAlign w:val="bottom"/>
          </w:tcPr>
          <w:p w14:paraId="3F4382DB" w14:textId="77777777" w:rsidR="00D1587D" w:rsidRDefault="00D1587D">
            <w:pPr>
              <w:rPr>
                <w:sz w:val="24"/>
                <w:szCs w:val="24"/>
              </w:rPr>
            </w:pPr>
          </w:p>
        </w:tc>
        <w:tc>
          <w:tcPr>
            <w:tcW w:w="840" w:type="dxa"/>
            <w:gridSpan w:val="2"/>
            <w:vAlign w:val="bottom"/>
          </w:tcPr>
          <w:p w14:paraId="1BFFE9D2" w14:textId="77777777" w:rsidR="00D1587D" w:rsidRDefault="00410D07">
            <w:pPr>
              <w:ind w:right="80"/>
              <w:jc w:val="right"/>
              <w:rPr>
                <w:sz w:val="20"/>
                <w:szCs w:val="20"/>
              </w:rPr>
            </w:pPr>
            <w:r>
              <w:rPr>
                <w:rFonts w:ascii="Arial" w:eastAsia="Arial" w:hAnsi="Arial" w:cs="Arial"/>
                <w:sz w:val="14"/>
                <w:szCs w:val="14"/>
              </w:rPr>
              <w:t>17,329</w:t>
            </w:r>
          </w:p>
        </w:tc>
        <w:tc>
          <w:tcPr>
            <w:tcW w:w="940" w:type="dxa"/>
            <w:gridSpan w:val="2"/>
            <w:vAlign w:val="bottom"/>
          </w:tcPr>
          <w:p w14:paraId="43B9E419" w14:textId="77777777" w:rsidR="00D1587D" w:rsidRDefault="00410D07">
            <w:pPr>
              <w:ind w:right="80"/>
              <w:jc w:val="right"/>
              <w:rPr>
                <w:sz w:val="20"/>
                <w:szCs w:val="20"/>
              </w:rPr>
            </w:pPr>
            <w:r>
              <w:rPr>
                <w:rFonts w:ascii="Arial" w:eastAsia="Arial" w:hAnsi="Arial" w:cs="Arial"/>
                <w:sz w:val="14"/>
                <w:szCs w:val="14"/>
              </w:rPr>
              <w:t>—</w:t>
            </w:r>
          </w:p>
        </w:tc>
        <w:tc>
          <w:tcPr>
            <w:tcW w:w="840" w:type="dxa"/>
            <w:gridSpan w:val="2"/>
            <w:vAlign w:val="bottom"/>
          </w:tcPr>
          <w:p w14:paraId="4D705F82"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6B0CE28E" w14:textId="77777777" w:rsidR="00D1587D" w:rsidRDefault="00410D07">
            <w:pPr>
              <w:ind w:right="80"/>
              <w:jc w:val="right"/>
              <w:rPr>
                <w:sz w:val="20"/>
                <w:szCs w:val="20"/>
              </w:rPr>
            </w:pPr>
            <w:r>
              <w:rPr>
                <w:rFonts w:ascii="Arial" w:eastAsia="Arial" w:hAnsi="Arial" w:cs="Arial"/>
                <w:sz w:val="14"/>
                <w:szCs w:val="14"/>
              </w:rPr>
              <w:t>41.54</w:t>
            </w:r>
          </w:p>
        </w:tc>
        <w:tc>
          <w:tcPr>
            <w:tcW w:w="760" w:type="dxa"/>
            <w:gridSpan w:val="2"/>
            <w:vAlign w:val="bottom"/>
          </w:tcPr>
          <w:p w14:paraId="685C43BD" w14:textId="77777777" w:rsidR="00D1587D" w:rsidRDefault="00410D07">
            <w:pPr>
              <w:ind w:right="80"/>
              <w:jc w:val="right"/>
              <w:rPr>
                <w:sz w:val="20"/>
                <w:szCs w:val="20"/>
              </w:rPr>
            </w:pPr>
            <w:r>
              <w:rPr>
                <w:rFonts w:ascii="Arial" w:eastAsia="Arial" w:hAnsi="Arial" w:cs="Arial"/>
                <w:sz w:val="14"/>
                <w:szCs w:val="14"/>
              </w:rPr>
              <w:t>3/30/2022</w:t>
            </w:r>
          </w:p>
        </w:tc>
        <w:tc>
          <w:tcPr>
            <w:tcW w:w="660" w:type="dxa"/>
            <w:vAlign w:val="bottom"/>
          </w:tcPr>
          <w:p w14:paraId="369FA811" w14:textId="77777777" w:rsidR="00D1587D" w:rsidRDefault="00D1587D">
            <w:pPr>
              <w:rPr>
                <w:sz w:val="24"/>
                <w:szCs w:val="24"/>
              </w:rPr>
            </w:pPr>
          </w:p>
        </w:tc>
        <w:tc>
          <w:tcPr>
            <w:tcW w:w="80" w:type="dxa"/>
            <w:vAlign w:val="bottom"/>
          </w:tcPr>
          <w:p w14:paraId="25FF5810" w14:textId="77777777" w:rsidR="00D1587D" w:rsidRDefault="00D1587D">
            <w:pPr>
              <w:rPr>
                <w:sz w:val="24"/>
                <w:szCs w:val="24"/>
              </w:rPr>
            </w:pPr>
          </w:p>
        </w:tc>
        <w:tc>
          <w:tcPr>
            <w:tcW w:w="660" w:type="dxa"/>
            <w:vAlign w:val="bottom"/>
          </w:tcPr>
          <w:p w14:paraId="4FE22704" w14:textId="77777777" w:rsidR="00D1587D" w:rsidRDefault="00D1587D">
            <w:pPr>
              <w:rPr>
                <w:sz w:val="24"/>
                <w:szCs w:val="24"/>
              </w:rPr>
            </w:pPr>
          </w:p>
        </w:tc>
        <w:tc>
          <w:tcPr>
            <w:tcW w:w="80" w:type="dxa"/>
            <w:vAlign w:val="bottom"/>
          </w:tcPr>
          <w:p w14:paraId="31FFB00D" w14:textId="77777777" w:rsidR="00D1587D" w:rsidRDefault="00D1587D">
            <w:pPr>
              <w:rPr>
                <w:sz w:val="24"/>
                <w:szCs w:val="24"/>
              </w:rPr>
            </w:pPr>
          </w:p>
        </w:tc>
        <w:tc>
          <w:tcPr>
            <w:tcW w:w="600" w:type="dxa"/>
            <w:vAlign w:val="bottom"/>
          </w:tcPr>
          <w:p w14:paraId="3911B645" w14:textId="77777777" w:rsidR="00D1587D" w:rsidRDefault="00D1587D">
            <w:pPr>
              <w:rPr>
                <w:sz w:val="24"/>
                <w:szCs w:val="24"/>
              </w:rPr>
            </w:pPr>
          </w:p>
        </w:tc>
        <w:tc>
          <w:tcPr>
            <w:tcW w:w="80" w:type="dxa"/>
            <w:vAlign w:val="bottom"/>
          </w:tcPr>
          <w:p w14:paraId="778A3CD8" w14:textId="77777777" w:rsidR="00D1587D" w:rsidRDefault="00D1587D">
            <w:pPr>
              <w:rPr>
                <w:sz w:val="24"/>
                <w:szCs w:val="24"/>
              </w:rPr>
            </w:pPr>
          </w:p>
        </w:tc>
        <w:tc>
          <w:tcPr>
            <w:tcW w:w="620" w:type="dxa"/>
            <w:vAlign w:val="bottom"/>
          </w:tcPr>
          <w:p w14:paraId="0D4D2B20" w14:textId="77777777" w:rsidR="00D1587D" w:rsidRDefault="00D1587D">
            <w:pPr>
              <w:rPr>
                <w:sz w:val="24"/>
                <w:szCs w:val="24"/>
              </w:rPr>
            </w:pPr>
          </w:p>
        </w:tc>
        <w:tc>
          <w:tcPr>
            <w:tcW w:w="80" w:type="dxa"/>
            <w:vAlign w:val="bottom"/>
          </w:tcPr>
          <w:p w14:paraId="647C1974" w14:textId="77777777" w:rsidR="00D1587D" w:rsidRDefault="00D1587D">
            <w:pPr>
              <w:rPr>
                <w:sz w:val="24"/>
                <w:szCs w:val="24"/>
              </w:rPr>
            </w:pPr>
          </w:p>
        </w:tc>
        <w:tc>
          <w:tcPr>
            <w:tcW w:w="600" w:type="dxa"/>
            <w:vAlign w:val="bottom"/>
          </w:tcPr>
          <w:p w14:paraId="07E96524" w14:textId="77777777" w:rsidR="00D1587D" w:rsidRDefault="00D1587D">
            <w:pPr>
              <w:rPr>
                <w:sz w:val="24"/>
                <w:szCs w:val="24"/>
              </w:rPr>
            </w:pPr>
          </w:p>
        </w:tc>
        <w:tc>
          <w:tcPr>
            <w:tcW w:w="0" w:type="dxa"/>
            <w:vAlign w:val="bottom"/>
          </w:tcPr>
          <w:p w14:paraId="1FD9BC12" w14:textId="77777777" w:rsidR="00D1587D" w:rsidRDefault="00D1587D">
            <w:pPr>
              <w:rPr>
                <w:sz w:val="1"/>
                <w:szCs w:val="1"/>
              </w:rPr>
            </w:pPr>
          </w:p>
        </w:tc>
      </w:tr>
      <w:tr w:rsidR="00D1587D" w14:paraId="39362DD4" w14:textId="77777777">
        <w:trPr>
          <w:trHeight w:val="256"/>
        </w:trPr>
        <w:tc>
          <w:tcPr>
            <w:tcW w:w="880" w:type="dxa"/>
            <w:vAlign w:val="bottom"/>
          </w:tcPr>
          <w:p w14:paraId="3F112F0C" w14:textId="77777777" w:rsidR="00D1587D" w:rsidRDefault="00D1587D"/>
        </w:tc>
        <w:tc>
          <w:tcPr>
            <w:tcW w:w="680" w:type="dxa"/>
            <w:gridSpan w:val="3"/>
            <w:vAlign w:val="bottom"/>
          </w:tcPr>
          <w:p w14:paraId="1146B6F4" w14:textId="77777777" w:rsidR="00D1587D" w:rsidRDefault="00410D07">
            <w:pPr>
              <w:ind w:left="8"/>
              <w:jc w:val="center"/>
              <w:rPr>
                <w:sz w:val="20"/>
                <w:szCs w:val="20"/>
              </w:rPr>
            </w:pPr>
            <w:r>
              <w:rPr>
                <w:rFonts w:ascii="Arial" w:eastAsia="Arial" w:hAnsi="Arial" w:cs="Arial"/>
                <w:w w:val="96"/>
                <w:sz w:val="14"/>
                <w:szCs w:val="14"/>
              </w:rPr>
              <w:t>3/29/2013</w:t>
            </w:r>
          </w:p>
        </w:tc>
        <w:tc>
          <w:tcPr>
            <w:tcW w:w="80" w:type="dxa"/>
            <w:vAlign w:val="bottom"/>
          </w:tcPr>
          <w:p w14:paraId="60E56F14" w14:textId="77777777" w:rsidR="00D1587D" w:rsidRDefault="00D1587D"/>
        </w:tc>
        <w:tc>
          <w:tcPr>
            <w:tcW w:w="840" w:type="dxa"/>
            <w:gridSpan w:val="2"/>
            <w:vAlign w:val="bottom"/>
          </w:tcPr>
          <w:p w14:paraId="5CE33432" w14:textId="77777777" w:rsidR="00D1587D" w:rsidRDefault="00410D07">
            <w:pPr>
              <w:ind w:right="80"/>
              <w:jc w:val="right"/>
              <w:rPr>
                <w:sz w:val="20"/>
                <w:szCs w:val="20"/>
              </w:rPr>
            </w:pPr>
            <w:r>
              <w:rPr>
                <w:rFonts w:ascii="Arial" w:eastAsia="Arial" w:hAnsi="Arial" w:cs="Arial"/>
                <w:sz w:val="14"/>
                <w:szCs w:val="14"/>
              </w:rPr>
              <w:t>23,611</w:t>
            </w:r>
          </w:p>
        </w:tc>
        <w:tc>
          <w:tcPr>
            <w:tcW w:w="940" w:type="dxa"/>
            <w:gridSpan w:val="2"/>
            <w:vAlign w:val="bottom"/>
          </w:tcPr>
          <w:p w14:paraId="13564B84" w14:textId="77777777" w:rsidR="00D1587D" w:rsidRDefault="00410D07">
            <w:pPr>
              <w:ind w:right="80"/>
              <w:jc w:val="right"/>
              <w:rPr>
                <w:sz w:val="20"/>
                <w:szCs w:val="20"/>
              </w:rPr>
            </w:pPr>
            <w:r>
              <w:rPr>
                <w:rFonts w:ascii="Arial" w:eastAsia="Arial" w:hAnsi="Arial" w:cs="Arial"/>
                <w:sz w:val="14"/>
                <w:szCs w:val="14"/>
              </w:rPr>
              <w:t>—</w:t>
            </w:r>
          </w:p>
        </w:tc>
        <w:tc>
          <w:tcPr>
            <w:tcW w:w="840" w:type="dxa"/>
            <w:gridSpan w:val="2"/>
            <w:vAlign w:val="bottom"/>
          </w:tcPr>
          <w:p w14:paraId="709BC943"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23850607" w14:textId="77777777" w:rsidR="00D1587D" w:rsidRDefault="00410D07">
            <w:pPr>
              <w:ind w:right="80"/>
              <w:jc w:val="right"/>
              <w:rPr>
                <w:sz w:val="20"/>
                <w:szCs w:val="20"/>
              </w:rPr>
            </w:pPr>
            <w:r>
              <w:rPr>
                <w:rFonts w:ascii="Arial" w:eastAsia="Arial" w:hAnsi="Arial" w:cs="Arial"/>
                <w:sz w:val="14"/>
                <w:szCs w:val="14"/>
              </w:rPr>
              <w:t>41.88</w:t>
            </w:r>
          </w:p>
        </w:tc>
        <w:tc>
          <w:tcPr>
            <w:tcW w:w="760" w:type="dxa"/>
            <w:gridSpan w:val="2"/>
            <w:vAlign w:val="bottom"/>
          </w:tcPr>
          <w:p w14:paraId="41450998" w14:textId="77777777" w:rsidR="00D1587D" w:rsidRDefault="00410D07">
            <w:pPr>
              <w:ind w:right="80"/>
              <w:jc w:val="right"/>
              <w:rPr>
                <w:sz w:val="20"/>
                <w:szCs w:val="20"/>
              </w:rPr>
            </w:pPr>
            <w:r>
              <w:rPr>
                <w:rFonts w:ascii="Arial" w:eastAsia="Arial" w:hAnsi="Arial" w:cs="Arial"/>
                <w:sz w:val="14"/>
                <w:szCs w:val="14"/>
              </w:rPr>
              <w:t>3/29/2023</w:t>
            </w:r>
          </w:p>
        </w:tc>
        <w:tc>
          <w:tcPr>
            <w:tcW w:w="660" w:type="dxa"/>
            <w:vAlign w:val="bottom"/>
          </w:tcPr>
          <w:p w14:paraId="108DD7E6" w14:textId="77777777" w:rsidR="00D1587D" w:rsidRDefault="00D1587D"/>
        </w:tc>
        <w:tc>
          <w:tcPr>
            <w:tcW w:w="80" w:type="dxa"/>
            <w:vAlign w:val="bottom"/>
          </w:tcPr>
          <w:p w14:paraId="2CA05791" w14:textId="77777777" w:rsidR="00D1587D" w:rsidRDefault="00D1587D"/>
        </w:tc>
        <w:tc>
          <w:tcPr>
            <w:tcW w:w="660" w:type="dxa"/>
            <w:vAlign w:val="bottom"/>
          </w:tcPr>
          <w:p w14:paraId="1E4C1451" w14:textId="77777777" w:rsidR="00D1587D" w:rsidRDefault="00D1587D"/>
        </w:tc>
        <w:tc>
          <w:tcPr>
            <w:tcW w:w="80" w:type="dxa"/>
            <w:vAlign w:val="bottom"/>
          </w:tcPr>
          <w:p w14:paraId="67B43B91" w14:textId="77777777" w:rsidR="00D1587D" w:rsidRDefault="00D1587D"/>
        </w:tc>
        <w:tc>
          <w:tcPr>
            <w:tcW w:w="600" w:type="dxa"/>
            <w:vAlign w:val="bottom"/>
          </w:tcPr>
          <w:p w14:paraId="085E2935" w14:textId="77777777" w:rsidR="00D1587D" w:rsidRDefault="00D1587D"/>
        </w:tc>
        <w:tc>
          <w:tcPr>
            <w:tcW w:w="80" w:type="dxa"/>
            <w:vAlign w:val="bottom"/>
          </w:tcPr>
          <w:p w14:paraId="1F5F8F94" w14:textId="77777777" w:rsidR="00D1587D" w:rsidRDefault="00D1587D"/>
        </w:tc>
        <w:tc>
          <w:tcPr>
            <w:tcW w:w="620" w:type="dxa"/>
            <w:vAlign w:val="bottom"/>
          </w:tcPr>
          <w:p w14:paraId="3013D285" w14:textId="77777777" w:rsidR="00D1587D" w:rsidRDefault="00D1587D"/>
        </w:tc>
        <w:tc>
          <w:tcPr>
            <w:tcW w:w="80" w:type="dxa"/>
            <w:vAlign w:val="bottom"/>
          </w:tcPr>
          <w:p w14:paraId="0380032C" w14:textId="77777777" w:rsidR="00D1587D" w:rsidRDefault="00D1587D"/>
        </w:tc>
        <w:tc>
          <w:tcPr>
            <w:tcW w:w="600" w:type="dxa"/>
            <w:vAlign w:val="bottom"/>
          </w:tcPr>
          <w:p w14:paraId="61067411" w14:textId="77777777" w:rsidR="00D1587D" w:rsidRDefault="00D1587D"/>
        </w:tc>
        <w:tc>
          <w:tcPr>
            <w:tcW w:w="0" w:type="dxa"/>
            <w:vAlign w:val="bottom"/>
          </w:tcPr>
          <w:p w14:paraId="4F9F9C26" w14:textId="77777777" w:rsidR="00D1587D" w:rsidRDefault="00D1587D">
            <w:pPr>
              <w:rPr>
                <w:sz w:val="1"/>
                <w:szCs w:val="1"/>
              </w:rPr>
            </w:pPr>
          </w:p>
        </w:tc>
      </w:tr>
      <w:tr w:rsidR="00D1587D" w14:paraId="1E10D9BD" w14:textId="77777777">
        <w:trPr>
          <w:trHeight w:val="257"/>
        </w:trPr>
        <w:tc>
          <w:tcPr>
            <w:tcW w:w="880" w:type="dxa"/>
            <w:vAlign w:val="bottom"/>
          </w:tcPr>
          <w:p w14:paraId="6E88F78D" w14:textId="77777777" w:rsidR="00D1587D" w:rsidRDefault="00D1587D"/>
        </w:tc>
        <w:tc>
          <w:tcPr>
            <w:tcW w:w="680" w:type="dxa"/>
            <w:gridSpan w:val="3"/>
            <w:vAlign w:val="bottom"/>
          </w:tcPr>
          <w:p w14:paraId="178DDEC0" w14:textId="77777777" w:rsidR="00D1587D" w:rsidRDefault="00410D07">
            <w:pPr>
              <w:ind w:left="8"/>
              <w:jc w:val="center"/>
              <w:rPr>
                <w:sz w:val="20"/>
                <w:szCs w:val="20"/>
              </w:rPr>
            </w:pPr>
            <w:r>
              <w:rPr>
                <w:rFonts w:ascii="Arial" w:eastAsia="Arial" w:hAnsi="Arial" w:cs="Arial"/>
                <w:w w:val="96"/>
                <w:sz w:val="14"/>
                <w:szCs w:val="14"/>
              </w:rPr>
              <w:t>3/31/2014</w:t>
            </w:r>
          </w:p>
        </w:tc>
        <w:tc>
          <w:tcPr>
            <w:tcW w:w="80" w:type="dxa"/>
            <w:vAlign w:val="bottom"/>
          </w:tcPr>
          <w:p w14:paraId="38A72F69" w14:textId="77777777" w:rsidR="00D1587D" w:rsidRDefault="00D1587D"/>
        </w:tc>
        <w:tc>
          <w:tcPr>
            <w:tcW w:w="840" w:type="dxa"/>
            <w:gridSpan w:val="2"/>
            <w:vAlign w:val="bottom"/>
          </w:tcPr>
          <w:p w14:paraId="00D2A9D0" w14:textId="77777777" w:rsidR="00D1587D" w:rsidRDefault="00410D07">
            <w:pPr>
              <w:ind w:right="80"/>
              <w:jc w:val="right"/>
              <w:rPr>
                <w:sz w:val="20"/>
                <w:szCs w:val="20"/>
              </w:rPr>
            </w:pPr>
            <w:r>
              <w:rPr>
                <w:rFonts w:ascii="Arial" w:eastAsia="Arial" w:hAnsi="Arial" w:cs="Arial"/>
                <w:sz w:val="14"/>
                <w:szCs w:val="14"/>
              </w:rPr>
              <w:t>22,797</w:t>
            </w:r>
          </w:p>
        </w:tc>
        <w:tc>
          <w:tcPr>
            <w:tcW w:w="940" w:type="dxa"/>
            <w:gridSpan w:val="2"/>
            <w:vAlign w:val="bottom"/>
          </w:tcPr>
          <w:p w14:paraId="2CC93BCC" w14:textId="77777777" w:rsidR="00D1587D" w:rsidRDefault="00410D07">
            <w:pPr>
              <w:ind w:right="80"/>
              <w:jc w:val="right"/>
              <w:rPr>
                <w:sz w:val="20"/>
                <w:szCs w:val="20"/>
              </w:rPr>
            </w:pPr>
            <w:r>
              <w:rPr>
                <w:rFonts w:ascii="Arial" w:eastAsia="Arial" w:hAnsi="Arial" w:cs="Arial"/>
                <w:sz w:val="14"/>
                <w:szCs w:val="14"/>
              </w:rPr>
              <w:t>—</w:t>
            </w:r>
          </w:p>
        </w:tc>
        <w:tc>
          <w:tcPr>
            <w:tcW w:w="840" w:type="dxa"/>
            <w:gridSpan w:val="2"/>
            <w:vAlign w:val="bottom"/>
          </w:tcPr>
          <w:p w14:paraId="3F07D388"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2A4AE641" w14:textId="77777777" w:rsidR="00D1587D" w:rsidRDefault="00410D07">
            <w:pPr>
              <w:ind w:right="80"/>
              <w:jc w:val="right"/>
              <w:rPr>
                <w:sz w:val="20"/>
                <w:szCs w:val="20"/>
              </w:rPr>
            </w:pPr>
            <w:r>
              <w:rPr>
                <w:rFonts w:ascii="Arial" w:eastAsia="Arial" w:hAnsi="Arial" w:cs="Arial"/>
                <w:sz w:val="14"/>
                <w:szCs w:val="14"/>
              </w:rPr>
              <w:t>54.21</w:t>
            </w:r>
          </w:p>
        </w:tc>
        <w:tc>
          <w:tcPr>
            <w:tcW w:w="760" w:type="dxa"/>
            <w:gridSpan w:val="2"/>
            <w:vAlign w:val="bottom"/>
          </w:tcPr>
          <w:p w14:paraId="167025AE" w14:textId="77777777" w:rsidR="00D1587D" w:rsidRDefault="00410D07">
            <w:pPr>
              <w:ind w:right="80"/>
              <w:jc w:val="right"/>
              <w:rPr>
                <w:sz w:val="20"/>
                <w:szCs w:val="20"/>
              </w:rPr>
            </w:pPr>
            <w:r>
              <w:rPr>
                <w:rFonts w:ascii="Arial" w:eastAsia="Arial" w:hAnsi="Arial" w:cs="Arial"/>
                <w:sz w:val="14"/>
                <w:szCs w:val="14"/>
              </w:rPr>
              <w:t>3/31/2024</w:t>
            </w:r>
          </w:p>
        </w:tc>
        <w:tc>
          <w:tcPr>
            <w:tcW w:w="660" w:type="dxa"/>
            <w:vAlign w:val="bottom"/>
          </w:tcPr>
          <w:p w14:paraId="6762446C" w14:textId="77777777" w:rsidR="00D1587D" w:rsidRDefault="00D1587D"/>
        </w:tc>
        <w:tc>
          <w:tcPr>
            <w:tcW w:w="80" w:type="dxa"/>
            <w:vAlign w:val="bottom"/>
          </w:tcPr>
          <w:p w14:paraId="3FE7D6A0" w14:textId="77777777" w:rsidR="00D1587D" w:rsidRDefault="00D1587D"/>
        </w:tc>
        <w:tc>
          <w:tcPr>
            <w:tcW w:w="660" w:type="dxa"/>
            <w:vAlign w:val="bottom"/>
          </w:tcPr>
          <w:p w14:paraId="3C21877A" w14:textId="77777777" w:rsidR="00D1587D" w:rsidRDefault="00D1587D"/>
        </w:tc>
        <w:tc>
          <w:tcPr>
            <w:tcW w:w="80" w:type="dxa"/>
            <w:vAlign w:val="bottom"/>
          </w:tcPr>
          <w:p w14:paraId="6D571481" w14:textId="77777777" w:rsidR="00D1587D" w:rsidRDefault="00D1587D"/>
        </w:tc>
        <w:tc>
          <w:tcPr>
            <w:tcW w:w="600" w:type="dxa"/>
            <w:vAlign w:val="bottom"/>
          </w:tcPr>
          <w:p w14:paraId="40BA9A1D" w14:textId="77777777" w:rsidR="00D1587D" w:rsidRDefault="00D1587D"/>
        </w:tc>
        <w:tc>
          <w:tcPr>
            <w:tcW w:w="80" w:type="dxa"/>
            <w:vAlign w:val="bottom"/>
          </w:tcPr>
          <w:p w14:paraId="51B7311C" w14:textId="77777777" w:rsidR="00D1587D" w:rsidRDefault="00D1587D"/>
        </w:tc>
        <w:tc>
          <w:tcPr>
            <w:tcW w:w="620" w:type="dxa"/>
            <w:vAlign w:val="bottom"/>
          </w:tcPr>
          <w:p w14:paraId="7BE3F28F" w14:textId="77777777" w:rsidR="00D1587D" w:rsidRDefault="00D1587D"/>
        </w:tc>
        <w:tc>
          <w:tcPr>
            <w:tcW w:w="80" w:type="dxa"/>
            <w:vAlign w:val="bottom"/>
          </w:tcPr>
          <w:p w14:paraId="72DD4DA9" w14:textId="77777777" w:rsidR="00D1587D" w:rsidRDefault="00D1587D"/>
        </w:tc>
        <w:tc>
          <w:tcPr>
            <w:tcW w:w="600" w:type="dxa"/>
            <w:vAlign w:val="bottom"/>
          </w:tcPr>
          <w:p w14:paraId="2EF93406" w14:textId="77777777" w:rsidR="00D1587D" w:rsidRDefault="00D1587D"/>
        </w:tc>
        <w:tc>
          <w:tcPr>
            <w:tcW w:w="0" w:type="dxa"/>
            <w:vAlign w:val="bottom"/>
          </w:tcPr>
          <w:p w14:paraId="294D85C0" w14:textId="77777777" w:rsidR="00D1587D" w:rsidRDefault="00D1587D">
            <w:pPr>
              <w:rPr>
                <w:sz w:val="1"/>
                <w:szCs w:val="1"/>
              </w:rPr>
            </w:pPr>
          </w:p>
        </w:tc>
      </w:tr>
      <w:tr w:rsidR="00D1587D" w14:paraId="15502F95" w14:textId="77777777">
        <w:trPr>
          <w:trHeight w:val="257"/>
        </w:trPr>
        <w:tc>
          <w:tcPr>
            <w:tcW w:w="880" w:type="dxa"/>
            <w:vAlign w:val="bottom"/>
          </w:tcPr>
          <w:p w14:paraId="077DE9FA" w14:textId="77777777" w:rsidR="00D1587D" w:rsidRDefault="00D1587D"/>
        </w:tc>
        <w:tc>
          <w:tcPr>
            <w:tcW w:w="680" w:type="dxa"/>
            <w:gridSpan w:val="3"/>
            <w:vAlign w:val="bottom"/>
          </w:tcPr>
          <w:p w14:paraId="0485C5C9" w14:textId="77777777" w:rsidR="00D1587D" w:rsidRDefault="00410D07">
            <w:pPr>
              <w:ind w:left="8"/>
              <w:jc w:val="center"/>
              <w:rPr>
                <w:sz w:val="20"/>
                <w:szCs w:val="20"/>
              </w:rPr>
            </w:pPr>
            <w:r>
              <w:rPr>
                <w:rFonts w:ascii="Arial" w:eastAsia="Arial" w:hAnsi="Arial" w:cs="Arial"/>
                <w:w w:val="96"/>
                <w:sz w:val="14"/>
                <w:szCs w:val="14"/>
              </w:rPr>
              <w:t>4/02/2015</w:t>
            </w:r>
          </w:p>
        </w:tc>
        <w:tc>
          <w:tcPr>
            <w:tcW w:w="80" w:type="dxa"/>
            <w:vAlign w:val="bottom"/>
          </w:tcPr>
          <w:p w14:paraId="1B0158B5" w14:textId="77777777" w:rsidR="00D1587D" w:rsidRDefault="00D1587D"/>
        </w:tc>
        <w:tc>
          <w:tcPr>
            <w:tcW w:w="840" w:type="dxa"/>
            <w:gridSpan w:val="2"/>
            <w:vAlign w:val="bottom"/>
          </w:tcPr>
          <w:p w14:paraId="1DB4E36F" w14:textId="77777777" w:rsidR="00D1587D" w:rsidRDefault="00410D07">
            <w:pPr>
              <w:ind w:right="80"/>
              <w:jc w:val="right"/>
              <w:rPr>
                <w:sz w:val="20"/>
                <w:szCs w:val="20"/>
              </w:rPr>
            </w:pPr>
            <w:r>
              <w:rPr>
                <w:rFonts w:ascii="Arial" w:eastAsia="Arial" w:hAnsi="Arial" w:cs="Arial"/>
                <w:sz w:val="14"/>
                <w:szCs w:val="14"/>
              </w:rPr>
              <w:t>14,030</w:t>
            </w:r>
          </w:p>
        </w:tc>
        <w:tc>
          <w:tcPr>
            <w:tcW w:w="940" w:type="dxa"/>
            <w:gridSpan w:val="2"/>
            <w:vAlign w:val="bottom"/>
          </w:tcPr>
          <w:p w14:paraId="3F85DE55" w14:textId="77777777" w:rsidR="00D1587D" w:rsidRDefault="00410D07">
            <w:pPr>
              <w:ind w:right="80"/>
              <w:jc w:val="right"/>
              <w:rPr>
                <w:sz w:val="20"/>
                <w:szCs w:val="20"/>
              </w:rPr>
            </w:pPr>
            <w:r>
              <w:rPr>
                <w:rFonts w:ascii="Arial" w:eastAsia="Arial" w:hAnsi="Arial" w:cs="Arial"/>
                <w:sz w:val="14"/>
                <w:szCs w:val="14"/>
              </w:rPr>
              <w:t>—</w:t>
            </w:r>
          </w:p>
        </w:tc>
        <w:tc>
          <w:tcPr>
            <w:tcW w:w="840" w:type="dxa"/>
            <w:gridSpan w:val="2"/>
            <w:vAlign w:val="bottom"/>
          </w:tcPr>
          <w:p w14:paraId="0DAF47E3"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18657D40" w14:textId="77777777" w:rsidR="00D1587D" w:rsidRDefault="00410D07">
            <w:pPr>
              <w:ind w:right="80"/>
              <w:jc w:val="right"/>
              <w:rPr>
                <w:sz w:val="20"/>
                <w:szCs w:val="20"/>
              </w:rPr>
            </w:pPr>
            <w:r>
              <w:rPr>
                <w:rFonts w:ascii="Arial" w:eastAsia="Arial" w:hAnsi="Arial" w:cs="Arial"/>
                <w:sz w:val="14"/>
                <w:szCs w:val="14"/>
              </w:rPr>
              <w:t>91.17</w:t>
            </w:r>
          </w:p>
        </w:tc>
        <w:tc>
          <w:tcPr>
            <w:tcW w:w="760" w:type="dxa"/>
            <w:gridSpan w:val="2"/>
            <w:vAlign w:val="bottom"/>
          </w:tcPr>
          <w:p w14:paraId="0882B30E" w14:textId="77777777" w:rsidR="00D1587D" w:rsidRDefault="00410D07">
            <w:pPr>
              <w:ind w:right="80"/>
              <w:jc w:val="right"/>
              <w:rPr>
                <w:sz w:val="20"/>
                <w:szCs w:val="20"/>
              </w:rPr>
            </w:pPr>
            <w:r>
              <w:rPr>
                <w:rFonts w:ascii="Arial" w:eastAsia="Arial" w:hAnsi="Arial" w:cs="Arial"/>
                <w:sz w:val="14"/>
                <w:szCs w:val="14"/>
              </w:rPr>
              <w:t>4/02/2025</w:t>
            </w:r>
          </w:p>
        </w:tc>
        <w:tc>
          <w:tcPr>
            <w:tcW w:w="660" w:type="dxa"/>
            <w:vAlign w:val="bottom"/>
          </w:tcPr>
          <w:p w14:paraId="191BD969" w14:textId="77777777" w:rsidR="00D1587D" w:rsidRDefault="00D1587D"/>
        </w:tc>
        <w:tc>
          <w:tcPr>
            <w:tcW w:w="80" w:type="dxa"/>
            <w:vAlign w:val="bottom"/>
          </w:tcPr>
          <w:p w14:paraId="5C7042E5" w14:textId="77777777" w:rsidR="00D1587D" w:rsidRDefault="00D1587D"/>
        </w:tc>
        <w:tc>
          <w:tcPr>
            <w:tcW w:w="660" w:type="dxa"/>
            <w:vAlign w:val="bottom"/>
          </w:tcPr>
          <w:p w14:paraId="59C33C68" w14:textId="77777777" w:rsidR="00D1587D" w:rsidRDefault="00D1587D"/>
        </w:tc>
        <w:tc>
          <w:tcPr>
            <w:tcW w:w="80" w:type="dxa"/>
            <w:vAlign w:val="bottom"/>
          </w:tcPr>
          <w:p w14:paraId="31F14D3B" w14:textId="77777777" w:rsidR="00D1587D" w:rsidRDefault="00D1587D"/>
        </w:tc>
        <w:tc>
          <w:tcPr>
            <w:tcW w:w="600" w:type="dxa"/>
            <w:vAlign w:val="bottom"/>
          </w:tcPr>
          <w:p w14:paraId="112C960C" w14:textId="77777777" w:rsidR="00D1587D" w:rsidRDefault="00D1587D"/>
        </w:tc>
        <w:tc>
          <w:tcPr>
            <w:tcW w:w="80" w:type="dxa"/>
            <w:vAlign w:val="bottom"/>
          </w:tcPr>
          <w:p w14:paraId="7684F404" w14:textId="77777777" w:rsidR="00D1587D" w:rsidRDefault="00D1587D"/>
        </w:tc>
        <w:tc>
          <w:tcPr>
            <w:tcW w:w="620" w:type="dxa"/>
            <w:vAlign w:val="bottom"/>
          </w:tcPr>
          <w:p w14:paraId="65923D5B" w14:textId="77777777" w:rsidR="00D1587D" w:rsidRDefault="00D1587D"/>
        </w:tc>
        <w:tc>
          <w:tcPr>
            <w:tcW w:w="80" w:type="dxa"/>
            <w:vAlign w:val="bottom"/>
          </w:tcPr>
          <w:p w14:paraId="3648A84C" w14:textId="77777777" w:rsidR="00D1587D" w:rsidRDefault="00D1587D"/>
        </w:tc>
        <w:tc>
          <w:tcPr>
            <w:tcW w:w="600" w:type="dxa"/>
            <w:vAlign w:val="bottom"/>
          </w:tcPr>
          <w:p w14:paraId="1C6D3617" w14:textId="77777777" w:rsidR="00D1587D" w:rsidRDefault="00D1587D"/>
        </w:tc>
        <w:tc>
          <w:tcPr>
            <w:tcW w:w="0" w:type="dxa"/>
            <w:vAlign w:val="bottom"/>
          </w:tcPr>
          <w:p w14:paraId="24C0D8F7" w14:textId="77777777" w:rsidR="00D1587D" w:rsidRDefault="00D1587D">
            <w:pPr>
              <w:rPr>
                <w:sz w:val="1"/>
                <w:szCs w:val="1"/>
              </w:rPr>
            </w:pPr>
          </w:p>
        </w:tc>
      </w:tr>
      <w:tr w:rsidR="00D1587D" w14:paraId="1B502EA2" w14:textId="77777777">
        <w:trPr>
          <w:trHeight w:val="327"/>
        </w:trPr>
        <w:tc>
          <w:tcPr>
            <w:tcW w:w="880" w:type="dxa"/>
            <w:vAlign w:val="bottom"/>
          </w:tcPr>
          <w:p w14:paraId="403E3548" w14:textId="77777777" w:rsidR="00D1587D" w:rsidRDefault="00D1587D">
            <w:pPr>
              <w:rPr>
                <w:sz w:val="24"/>
                <w:szCs w:val="24"/>
              </w:rPr>
            </w:pPr>
          </w:p>
        </w:tc>
        <w:tc>
          <w:tcPr>
            <w:tcW w:w="680" w:type="dxa"/>
            <w:gridSpan w:val="3"/>
            <w:vAlign w:val="bottom"/>
          </w:tcPr>
          <w:p w14:paraId="2D8ECFF1" w14:textId="77777777" w:rsidR="00D1587D" w:rsidRDefault="00410D07">
            <w:pPr>
              <w:ind w:left="8"/>
              <w:jc w:val="center"/>
              <w:rPr>
                <w:sz w:val="20"/>
                <w:szCs w:val="20"/>
              </w:rPr>
            </w:pPr>
            <w:r>
              <w:rPr>
                <w:rFonts w:ascii="Arial" w:eastAsia="Arial" w:hAnsi="Arial" w:cs="Arial"/>
                <w:w w:val="96"/>
                <w:sz w:val="14"/>
                <w:szCs w:val="14"/>
              </w:rPr>
              <w:t>3/31/2016</w:t>
            </w:r>
          </w:p>
        </w:tc>
        <w:tc>
          <w:tcPr>
            <w:tcW w:w="80" w:type="dxa"/>
            <w:vAlign w:val="bottom"/>
          </w:tcPr>
          <w:p w14:paraId="5ACC20A6" w14:textId="77777777" w:rsidR="00D1587D" w:rsidRDefault="00D1587D">
            <w:pPr>
              <w:rPr>
                <w:sz w:val="24"/>
                <w:szCs w:val="24"/>
              </w:rPr>
            </w:pPr>
          </w:p>
        </w:tc>
        <w:tc>
          <w:tcPr>
            <w:tcW w:w="840" w:type="dxa"/>
            <w:gridSpan w:val="2"/>
            <w:vAlign w:val="bottom"/>
          </w:tcPr>
          <w:p w14:paraId="640D60CF" w14:textId="77777777" w:rsidR="00D1587D" w:rsidRDefault="00410D07">
            <w:pPr>
              <w:ind w:right="80"/>
              <w:jc w:val="right"/>
              <w:rPr>
                <w:sz w:val="20"/>
                <w:szCs w:val="20"/>
              </w:rPr>
            </w:pPr>
            <w:r>
              <w:rPr>
                <w:rFonts w:ascii="Arial" w:eastAsia="Arial" w:hAnsi="Arial" w:cs="Arial"/>
                <w:sz w:val="14"/>
                <w:szCs w:val="14"/>
              </w:rPr>
              <w:t>5,978</w:t>
            </w:r>
          </w:p>
        </w:tc>
        <w:tc>
          <w:tcPr>
            <w:tcW w:w="940" w:type="dxa"/>
            <w:gridSpan w:val="2"/>
            <w:vAlign w:val="bottom"/>
          </w:tcPr>
          <w:p w14:paraId="7047E39A" w14:textId="77777777" w:rsidR="00D1587D" w:rsidRDefault="00410D07">
            <w:pPr>
              <w:ind w:right="80"/>
              <w:jc w:val="right"/>
              <w:rPr>
                <w:sz w:val="20"/>
                <w:szCs w:val="20"/>
              </w:rPr>
            </w:pPr>
            <w:r>
              <w:rPr>
                <w:rFonts w:ascii="Arial" w:eastAsia="Arial" w:hAnsi="Arial" w:cs="Arial"/>
                <w:sz w:val="14"/>
                <w:szCs w:val="14"/>
              </w:rPr>
              <w:t>2,563</w:t>
            </w:r>
            <w:r>
              <w:rPr>
                <w:rFonts w:ascii="Arial" w:eastAsia="Arial" w:hAnsi="Arial" w:cs="Arial"/>
                <w:sz w:val="23"/>
                <w:szCs w:val="23"/>
                <w:vertAlign w:val="superscript"/>
              </w:rPr>
              <w:t>(1)</w:t>
            </w:r>
          </w:p>
        </w:tc>
        <w:tc>
          <w:tcPr>
            <w:tcW w:w="840" w:type="dxa"/>
            <w:gridSpan w:val="2"/>
            <w:vAlign w:val="bottom"/>
          </w:tcPr>
          <w:p w14:paraId="10F37532"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66E3C884" w14:textId="77777777" w:rsidR="00D1587D" w:rsidRDefault="00410D07">
            <w:pPr>
              <w:ind w:right="80"/>
              <w:jc w:val="right"/>
              <w:rPr>
                <w:sz w:val="20"/>
                <w:szCs w:val="20"/>
              </w:rPr>
            </w:pPr>
            <w:r>
              <w:rPr>
                <w:rFonts w:ascii="Arial" w:eastAsia="Arial" w:hAnsi="Arial" w:cs="Arial"/>
                <w:sz w:val="14"/>
                <w:szCs w:val="14"/>
              </w:rPr>
              <w:t>87.81</w:t>
            </w:r>
          </w:p>
        </w:tc>
        <w:tc>
          <w:tcPr>
            <w:tcW w:w="760" w:type="dxa"/>
            <w:gridSpan w:val="2"/>
            <w:vAlign w:val="bottom"/>
          </w:tcPr>
          <w:p w14:paraId="4B90697D" w14:textId="77777777" w:rsidR="00D1587D" w:rsidRDefault="00410D07">
            <w:pPr>
              <w:ind w:right="80"/>
              <w:jc w:val="right"/>
              <w:rPr>
                <w:sz w:val="20"/>
                <w:szCs w:val="20"/>
              </w:rPr>
            </w:pPr>
            <w:r>
              <w:rPr>
                <w:rFonts w:ascii="Arial" w:eastAsia="Arial" w:hAnsi="Arial" w:cs="Arial"/>
                <w:sz w:val="14"/>
                <w:szCs w:val="14"/>
              </w:rPr>
              <w:t>3/31/2026</w:t>
            </w:r>
          </w:p>
        </w:tc>
        <w:tc>
          <w:tcPr>
            <w:tcW w:w="660" w:type="dxa"/>
            <w:vAlign w:val="bottom"/>
          </w:tcPr>
          <w:p w14:paraId="7E2BABB6" w14:textId="77777777" w:rsidR="00D1587D" w:rsidRDefault="00D1587D">
            <w:pPr>
              <w:rPr>
                <w:sz w:val="24"/>
                <w:szCs w:val="24"/>
              </w:rPr>
            </w:pPr>
          </w:p>
        </w:tc>
        <w:tc>
          <w:tcPr>
            <w:tcW w:w="80" w:type="dxa"/>
            <w:vAlign w:val="bottom"/>
          </w:tcPr>
          <w:p w14:paraId="6C675402" w14:textId="77777777" w:rsidR="00D1587D" w:rsidRDefault="00D1587D">
            <w:pPr>
              <w:rPr>
                <w:sz w:val="24"/>
                <w:szCs w:val="24"/>
              </w:rPr>
            </w:pPr>
          </w:p>
        </w:tc>
        <w:tc>
          <w:tcPr>
            <w:tcW w:w="660" w:type="dxa"/>
            <w:vAlign w:val="bottom"/>
          </w:tcPr>
          <w:p w14:paraId="530ECA56" w14:textId="77777777" w:rsidR="00D1587D" w:rsidRDefault="00D1587D">
            <w:pPr>
              <w:rPr>
                <w:sz w:val="24"/>
                <w:szCs w:val="24"/>
              </w:rPr>
            </w:pPr>
          </w:p>
        </w:tc>
        <w:tc>
          <w:tcPr>
            <w:tcW w:w="80" w:type="dxa"/>
            <w:vAlign w:val="bottom"/>
          </w:tcPr>
          <w:p w14:paraId="79751796" w14:textId="77777777" w:rsidR="00D1587D" w:rsidRDefault="00D1587D">
            <w:pPr>
              <w:rPr>
                <w:sz w:val="24"/>
                <w:szCs w:val="24"/>
              </w:rPr>
            </w:pPr>
          </w:p>
        </w:tc>
        <w:tc>
          <w:tcPr>
            <w:tcW w:w="600" w:type="dxa"/>
            <w:vAlign w:val="bottom"/>
          </w:tcPr>
          <w:p w14:paraId="1C16C73C" w14:textId="77777777" w:rsidR="00D1587D" w:rsidRDefault="00D1587D">
            <w:pPr>
              <w:rPr>
                <w:sz w:val="24"/>
                <w:szCs w:val="24"/>
              </w:rPr>
            </w:pPr>
          </w:p>
        </w:tc>
        <w:tc>
          <w:tcPr>
            <w:tcW w:w="80" w:type="dxa"/>
            <w:vAlign w:val="bottom"/>
          </w:tcPr>
          <w:p w14:paraId="30E61872" w14:textId="77777777" w:rsidR="00D1587D" w:rsidRDefault="00D1587D">
            <w:pPr>
              <w:rPr>
                <w:sz w:val="24"/>
                <w:szCs w:val="24"/>
              </w:rPr>
            </w:pPr>
          </w:p>
        </w:tc>
        <w:tc>
          <w:tcPr>
            <w:tcW w:w="620" w:type="dxa"/>
            <w:vAlign w:val="bottom"/>
          </w:tcPr>
          <w:p w14:paraId="0644AA7B" w14:textId="77777777" w:rsidR="00D1587D" w:rsidRDefault="00D1587D">
            <w:pPr>
              <w:rPr>
                <w:sz w:val="24"/>
                <w:szCs w:val="24"/>
              </w:rPr>
            </w:pPr>
          </w:p>
        </w:tc>
        <w:tc>
          <w:tcPr>
            <w:tcW w:w="80" w:type="dxa"/>
            <w:vAlign w:val="bottom"/>
          </w:tcPr>
          <w:p w14:paraId="134CD4BA" w14:textId="77777777" w:rsidR="00D1587D" w:rsidRDefault="00D1587D">
            <w:pPr>
              <w:rPr>
                <w:sz w:val="24"/>
                <w:szCs w:val="24"/>
              </w:rPr>
            </w:pPr>
          </w:p>
        </w:tc>
        <w:tc>
          <w:tcPr>
            <w:tcW w:w="600" w:type="dxa"/>
            <w:vAlign w:val="bottom"/>
          </w:tcPr>
          <w:p w14:paraId="0589A536" w14:textId="77777777" w:rsidR="00D1587D" w:rsidRDefault="00D1587D">
            <w:pPr>
              <w:rPr>
                <w:sz w:val="24"/>
                <w:szCs w:val="24"/>
              </w:rPr>
            </w:pPr>
          </w:p>
        </w:tc>
        <w:tc>
          <w:tcPr>
            <w:tcW w:w="0" w:type="dxa"/>
            <w:vAlign w:val="bottom"/>
          </w:tcPr>
          <w:p w14:paraId="0C93C098" w14:textId="77777777" w:rsidR="00D1587D" w:rsidRDefault="00D1587D">
            <w:pPr>
              <w:rPr>
                <w:sz w:val="1"/>
                <w:szCs w:val="1"/>
              </w:rPr>
            </w:pPr>
          </w:p>
        </w:tc>
      </w:tr>
      <w:tr w:rsidR="00D1587D" w14:paraId="0569E66D" w14:textId="77777777">
        <w:trPr>
          <w:trHeight w:val="257"/>
        </w:trPr>
        <w:tc>
          <w:tcPr>
            <w:tcW w:w="880" w:type="dxa"/>
            <w:vAlign w:val="bottom"/>
          </w:tcPr>
          <w:p w14:paraId="6E19C528" w14:textId="77777777" w:rsidR="00D1587D" w:rsidRDefault="00D1587D"/>
        </w:tc>
        <w:tc>
          <w:tcPr>
            <w:tcW w:w="680" w:type="dxa"/>
            <w:gridSpan w:val="3"/>
            <w:vAlign w:val="bottom"/>
          </w:tcPr>
          <w:p w14:paraId="6DAD743B" w14:textId="77777777" w:rsidR="00D1587D" w:rsidRDefault="00410D07">
            <w:pPr>
              <w:ind w:left="8"/>
              <w:jc w:val="center"/>
              <w:rPr>
                <w:sz w:val="20"/>
                <w:szCs w:val="20"/>
              </w:rPr>
            </w:pPr>
            <w:r>
              <w:rPr>
                <w:rFonts w:ascii="Arial" w:eastAsia="Arial" w:hAnsi="Arial" w:cs="Arial"/>
                <w:w w:val="96"/>
                <w:sz w:val="14"/>
                <w:szCs w:val="14"/>
              </w:rPr>
              <w:t>3/31/2017</w:t>
            </w:r>
          </w:p>
        </w:tc>
        <w:tc>
          <w:tcPr>
            <w:tcW w:w="80" w:type="dxa"/>
            <w:vAlign w:val="bottom"/>
          </w:tcPr>
          <w:p w14:paraId="3251006F" w14:textId="77777777" w:rsidR="00D1587D" w:rsidRDefault="00D1587D"/>
        </w:tc>
        <w:tc>
          <w:tcPr>
            <w:tcW w:w="840" w:type="dxa"/>
            <w:gridSpan w:val="2"/>
            <w:vAlign w:val="bottom"/>
          </w:tcPr>
          <w:p w14:paraId="688A65AF" w14:textId="77777777" w:rsidR="00D1587D" w:rsidRDefault="00410D07">
            <w:pPr>
              <w:ind w:right="80"/>
              <w:jc w:val="right"/>
              <w:rPr>
                <w:sz w:val="20"/>
                <w:szCs w:val="20"/>
              </w:rPr>
            </w:pPr>
            <w:r>
              <w:rPr>
                <w:rFonts w:ascii="Arial" w:eastAsia="Arial" w:hAnsi="Arial" w:cs="Arial"/>
                <w:sz w:val="14"/>
                <w:szCs w:val="14"/>
              </w:rPr>
              <w:t>5,732</w:t>
            </w:r>
          </w:p>
        </w:tc>
        <w:tc>
          <w:tcPr>
            <w:tcW w:w="940" w:type="dxa"/>
            <w:gridSpan w:val="2"/>
            <w:vAlign w:val="bottom"/>
          </w:tcPr>
          <w:p w14:paraId="206BCFBB" w14:textId="77777777" w:rsidR="00D1587D" w:rsidRDefault="00410D07">
            <w:pPr>
              <w:spacing w:line="256" w:lineRule="exact"/>
              <w:ind w:right="80"/>
              <w:jc w:val="right"/>
              <w:rPr>
                <w:sz w:val="20"/>
                <w:szCs w:val="20"/>
              </w:rPr>
            </w:pPr>
            <w:r>
              <w:rPr>
                <w:rFonts w:ascii="Arial" w:eastAsia="Arial" w:hAnsi="Arial" w:cs="Arial"/>
                <w:sz w:val="14"/>
                <w:szCs w:val="14"/>
              </w:rPr>
              <w:t>8,599</w:t>
            </w:r>
            <w:r>
              <w:rPr>
                <w:rFonts w:ascii="Arial" w:eastAsia="Arial" w:hAnsi="Arial" w:cs="Arial"/>
                <w:sz w:val="23"/>
                <w:szCs w:val="23"/>
                <w:vertAlign w:val="superscript"/>
              </w:rPr>
              <w:t>(2)</w:t>
            </w:r>
          </w:p>
        </w:tc>
        <w:tc>
          <w:tcPr>
            <w:tcW w:w="840" w:type="dxa"/>
            <w:gridSpan w:val="2"/>
            <w:vAlign w:val="bottom"/>
          </w:tcPr>
          <w:p w14:paraId="630CF4A6"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03127B98" w14:textId="77777777" w:rsidR="00D1587D" w:rsidRDefault="00410D07">
            <w:pPr>
              <w:ind w:right="80"/>
              <w:jc w:val="right"/>
              <w:rPr>
                <w:sz w:val="20"/>
                <w:szCs w:val="20"/>
              </w:rPr>
            </w:pPr>
            <w:r>
              <w:rPr>
                <w:rFonts w:ascii="Arial" w:eastAsia="Arial" w:hAnsi="Arial" w:cs="Arial"/>
                <w:sz w:val="14"/>
                <w:szCs w:val="14"/>
              </w:rPr>
              <w:t>47.10</w:t>
            </w:r>
          </w:p>
        </w:tc>
        <w:tc>
          <w:tcPr>
            <w:tcW w:w="760" w:type="dxa"/>
            <w:gridSpan w:val="2"/>
            <w:vAlign w:val="bottom"/>
          </w:tcPr>
          <w:p w14:paraId="771C3049" w14:textId="77777777" w:rsidR="00D1587D" w:rsidRDefault="00410D07">
            <w:pPr>
              <w:ind w:right="80"/>
              <w:jc w:val="right"/>
              <w:rPr>
                <w:sz w:val="20"/>
                <w:szCs w:val="20"/>
              </w:rPr>
            </w:pPr>
            <w:r>
              <w:rPr>
                <w:rFonts w:ascii="Arial" w:eastAsia="Arial" w:hAnsi="Arial" w:cs="Arial"/>
                <w:sz w:val="14"/>
                <w:szCs w:val="14"/>
              </w:rPr>
              <w:t>3/31/2027</w:t>
            </w:r>
          </w:p>
        </w:tc>
        <w:tc>
          <w:tcPr>
            <w:tcW w:w="660" w:type="dxa"/>
            <w:vAlign w:val="bottom"/>
          </w:tcPr>
          <w:p w14:paraId="0F7557F6" w14:textId="77777777" w:rsidR="00D1587D" w:rsidRDefault="00D1587D"/>
        </w:tc>
        <w:tc>
          <w:tcPr>
            <w:tcW w:w="80" w:type="dxa"/>
            <w:vAlign w:val="bottom"/>
          </w:tcPr>
          <w:p w14:paraId="23BC3117" w14:textId="77777777" w:rsidR="00D1587D" w:rsidRDefault="00D1587D"/>
        </w:tc>
        <w:tc>
          <w:tcPr>
            <w:tcW w:w="660" w:type="dxa"/>
            <w:vAlign w:val="bottom"/>
          </w:tcPr>
          <w:p w14:paraId="05B40617" w14:textId="77777777" w:rsidR="00D1587D" w:rsidRDefault="00D1587D"/>
        </w:tc>
        <w:tc>
          <w:tcPr>
            <w:tcW w:w="80" w:type="dxa"/>
            <w:vAlign w:val="bottom"/>
          </w:tcPr>
          <w:p w14:paraId="665A65D0" w14:textId="77777777" w:rsidR="00D1587D" w:rsidRDefault="00D1587D"/>
        </w:tc>
        <w:tc>
          <w:tcPr>
            <w:tcW w:w="600" w:type="dxa"/>
            <w:vAlign w:val="bottom"/>
          </w:tcPr>
          <w:p w14:paraId="3500C503" w14:textId="77777777" w:rsidR="00D1587D" w:rsidRDefault="00D1587D"/>
        </w:tc>
        <w:tc>
          <w:tcPr>
            <w:tcW w:w="80" w:type="dxa"/>
            <w:vAlign w:val="bottom"/>
          </w:tcPr>
          <w:p w14:paraId="7992E5DE" w14:textId="77777777" w:rsidR="00D1587D" w:rsidRDefault="00D1587D"/>
        </w:tc>
        <w:tc>
          <w:tcPr>
            <w:tcW w:w="620" w:type="dxa"/>
            <w:vAlign w:val="bottom"/>
          </w:tcPr>
          <w:p w14:paraId="1389776D" w14:textId="77777777" w:rsidR="00D1587D" w:rsidRDefault="00D1587D"/>
        </w:tc>
        <w:tc>
          <w:tcPr>
            <w:tcW w:w="80" w:type="dxa"/>
            <w:vAlign w:val="bottom"/>
          </w:tcPr>
          <w:p w14:paraId="1BB75B27" w14:textId="77777777" w:rsidR="00D1587D" w:rsidRDefault="00D1587D"/>
        </w:tc>
        <w:tc>
          <w:tcPr>
            <w:tcW w:w="600" w:type="dxa"/>
            <w:vAlign w:val="bottom"/>
          </w:tcPr>
          <w:p w14:paraId="6430B6BD" w14:textId="77777777" w:rsidR="00D1587D" w:rsidRDefault="00D1587D"/>
        </w:tc>
        <w:tc>
          <w:tcPr>
            <w:tcW w:w="0" w:type="dxa"/>
            <w:vAlign w:val="bottom"/>
          </w:tcPr>
          <w:p w14:paraId="3BDF6D1E" w14:textId="77777777" w:rsidR="00D1587D" w:rsidRDefault="00D1587D">
            <w:pPr>
              <w:rPr>
                <w:sz w:val="1"/>
                <w:szCs w:val="1"/>
              </w:rPr>
            </w:pPr>
          </w:p>
        </w:tc>
      </w:tr>
      <w:tr w:rsidR="00D1587D" w14:paraId="007E6198" w14:textId="77777777">
        <w:trPr>
          <w:trHeight w:val="256"/>
        </w:trPr>
        <w:tc>
          <w:tcPr>
            <w:tcW w:w="880" w:type="dxa"/>
            <w:vAlign w:val="bottom"/>
          </w:tcPr>
          <w:p w14:paraId="4AB9A4DC" w14:textId="77777777" w:rsidR="00D1587D" w:rsidRDefault="00D1587D"/>
        </w:tc>
        <w:tc>
          <w:tcPr>
            <w:tcW w:w="680" w:type="dxa"/>
            <w:gridSpan w:val="3"/>
            <w:vAlign w:val="bottom"/>
          </w:tcPr>
          <w:p w14:paraId="4EF66DC7" w14:textId="77777777" w:rsidR="00D1587D" w:rsidRDefault="00410D07">
            <w:pPr>
              <w:ind w:left="8"/>
              <w:jc w:val="center"/>
              <w:rPr>
                <w:sz w:val="20"/>
                <w:szCs w:val="20"/>
              </w:rPr>
            </w:pPr>
            <w:r>
              <w:rPr>
                <w:rFonts w:ascii="Arial" w:eastAsia="Arial" w:hAnsi="Arial" w:cs="Arial"/>
                <w:w w:val="96"/>
                <w:sz w:val="14"/>
                <w:szCs w:val="14"/>
              </w:rPr>
              <w:t>3/21/2018</w:t>
            </w:r>
          </w:p>
        </w:tc>
        <w:tc>
          <w:tcPr>
            <w:tcW w:w="80" w:type="dxa"/>
            <w:vAlign w:val="bottom"/>
          </w:tcPr>
          <w:p w14:paraId="5EDE4DAC" w14:textId="77777777" w:rsidR="00D1587D" w:rsidRDefault="00D1587D"/>
        </w:tc>
        <w:tc>
          <w:tcPr>
            <w:tcW w:w="840" w:type="dxa"/>
            <w:gridSpan w:val="2"/>
            <w:vAlign w:val="bottom"/>
          </w:tcPr>
          <w:p w14:paraId="1156AC49" w14:textId="77777777" w:rsidR="00D1587D" w:rsidRDefault="00410D07">
            <w:pPr>
              <w:ind w:right="80"/>
              <w:jc w:val="right"/>
              <w:rPr>
                <w:sz w:val="20"/>
                <w:szCs w:val="20"/>
              </w:rPr>
            </w:pPr>
            <w:r>
              <w:rPr>
                <w:rFonts w:ascii="Arial" w:eastAsia="Arial" w:hAnsi="Arial" w:cs="Arial"/>
                <w:sz w:val="14"/>
                <w:szCs w:val="14"/>
              </w:rPr>
              <w:t>3,519</w:t>
            </w:r>
          </w:p>
        </w:tc>
        <w:tc>
          <w:tcPr>
            <w:tcW w:w="940" w:type="dxa"/>
            <w:gridSpan w:val="2"/>
            <w:vAlign w:val="bottom"/>
          </w:tcPr>
          <w:p w14:paraId="451C161B" w14:textId="77777777" w:rsidR="00D1587D" w:rsidRDefault="00410D07">
            <w:pPr>
              <w:spacing w:line="256" w:lineRule="exact"/>
              <w:ind w:right="80"/>
              <w:jc w:val="right"/>
              <w:rPr>
                <w:sz w:val="20"/>
                <w:szCs w:val="20"/>
              </w:rPr>
            </w:pPr>
            <w:r>
              <w:rPr>
                <w:rFonts w:ascii="Arial" w:eastAsia="Arial" w:hAnsi="Arial" w:cs="Arial"/>
                <w:sz w:val="14"/>
                <w:szCs w:val="14"/>
              </w:rPr>
              <w:t>14,080</w:t>
            </w:r>
            <w:r>
              <w:rPr>
                <w:rFonts w:ascii="Arial" w:eastAsia="Arial" w:hAnsi="Arial" w:cs="Arial"/>
                <w:sz w:val="23"/>
                <w:szCs w:val="23"/>
                <w:vertAlign w:val="superscript"/>
              </w:rPr>
              <w:t>(3)</w:t>
            </w:r>
          </w:p>
        </w:tc>
        <w:tc>
          <w:tcPr>
            <w:tcW w:w="840" w:type="dxa"/>
            <w:gridSpan w:val="2"/>
            <w:vAlign w:val="bottom"/>
          </w:tcPr>
          <w:p w14:paraId="6188DC61"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5A7B5585" w14:textId="77777777" w:rsidR="00D1587D" w:rsidRDefault="00410D07">
            <w:pPr>
              <w:ind w:right="80"/>
              <w:jc w:val="right"/>
              <w:rPr>
                <w:sz w:val="20"/>
                <w:szCs w:val="20"/>
              </w:rPr>
            </w:pPr>
            <w:r>
              <w:rPr>
                <w:rFonts w:ascii="Arial" w:eastAsia="Arial" w:hAnsi="Arial" w:cs="Arial"/>
                <w:sz w:val="14"/>
                <w:szCs w:val="14"/>
              </w:rPr>
              <w:t>39.42</w:t>
            </w:r>
          </w:p>
        </w:tc>
        <w:tc>
          <w:tcPr>
            <w:tcW w:w="760" w:type="dxa"/>
            <w:gridSpan w:val="2"/>
            <w:vAlign w:val="bottom"/>
          </w:tcPr>
          <w:p w14:paraId="488CB8D1" w14:textId="77777777" w:rsidR="00D1587D" w:rsidRDefault="00410D07">
            <w:pPr>
              <w:ind w:right="80"/>
              <w:jc w:val="right"/>
              <w:rPr>
                <w:sz w:val="20"/>
                <w:szCs w:val="20"/>
              </w:rPr>
            </w:pPr>
            <w:r>
              <w:rPr>
                <w:rFonts w:ascii="Arial" w:eastAsia="Arial" w:hAnsi="Arial" w:cs="Arial"/>
                <w:sz w:val="14"/>
                <w:szCs w:val="14"/>
              </w:rPr>
              <w:t>3/21/2028</w:t>
            </w:r>
          </w:p>
        </w:tc>
        <w:tc>
          <w:tcPr>
            <w:tcW w:w="660" w:type="dxa"/>
            <w:vAlign w:val="bottom"/>
          </w:tcPr>
          <w:p w14:paraId="599AFA2C" w14:textId="77777777" w:rsidR="00D1587D" w:rsidRDefault="00D1587D"/>
        </w:tc>
        <w:tc>
          <w:tcPr>
            <w:tcW w:w="80" w:type="dxa"/>
            <w:vAlign w:val="bottom"/>
          </w:tcPr>
          <w:p w14:paraId="297C586E" w14:textId="77777777" w:rsidR="00D1587D" w:rsidRDefault="00D1587D"/>
        </w:tc>
        <w:tc>
          <w:tcPr>
            <w:tcW w:w="660" w:type="dxa"/>
            <w:vAlign w:val="bottom"/>
          </w:tcPr>
          <w:p w14:paraId="225943C3" w14:textId="77777777" w:rsidR="00D1587D" w:rsidRDefault="00D1587D"/>
        </w:tc>
        <w:tc>
          <w:tcPr>
            <w:tcW w:w="80" w:type="dxa"/>
            <w:vAlign w:val="bottom"/>
          </w:tcPr>
          <w:p w14:paraId="55895479" w14:textId="77777777" w:rsidR="00D1587D" w:rsidRDefault="00D1587D"/>
        </w:tc>
        <w:tc>
          <w:tcPr>
            <w:tcW w:w="600" w:type="dxa"/>
            <w:vAlign w:val="bottom"/>
          </w:tcPr>
          <w:p w14:paraId="107A8E7C" w14:textId="77777777" w:rsidR="00D1587D" w:rsidRDefault="00D1587D"/>
        </w:tc>
        <w:tc>
          <w:tcPr>
            <w:tcW w:w="80" w:type="dxa"/>
            <w:vAlign w:val="bottom"/>
          </w:tcPr>
          <w:p w14:paraId="48B8ED6F" w14:textId="77777777" w:rsidR="00D1587D" w:rsidRDefault="00D1587D"/>
        </w:tc>
        <w:tc>
          <w:tcPr>
            <w:tcW w:w="620" w:type="dxa"/>
            <w:vAlign w:val="bottom"/>
          </w:tcPr>
          <w:p w14:paraId="7979929D" w14:textId="77777777" w:rsidR="00D1587D" w:rsidRDefault="00D1587D"/>
        </w:tc>
        <w:tc>
          <w:tcPr>
            <w:tcW w:w="80" w:type="dxa"/>
            <w:vAlign w:val="bottom"/>
          </w:tcPr>
          <w:p w14:paraId="47FA8254" w14:textId="77777777" w:rsidR="00D1587D" w:rsidRDefault="00D1587D"/>
        </w:tc>
        <w:tc>
          <w:tcPr>
            <w:tcW w:w="600" w:type="dxa"/>
            <w:vAlign w:val="bottom"/>
          </w:tcPr>
          <w:p w14:paraId="70669C91" w14:textId="77777777" w:rsidR="00D1587D" w:rsidRDefault="00D1587D"/>
        </w:tc>
        <w:tc>
          <w:tcPr>
            <w:tcW w:w="0" w:type="dxa"/>
            <w:vAlign w:val="bottom"/>
          </w:tcPr>
          <w:p w14:paraId="2B914E87" w14:textId="77777777" w:rsidR="00D1587D" w:rsidRDefault="00D1587D">
            <w:pPr>
              <w:rPr>
                <w:sz w:val="1"/>
                <w:szCs w:val="1"/>
              </w:rPr>
            </w:pPr>
          </w:p>
        </w:tc>
      </w:tr>
      <w:tr w:rsidR="00D1587D" w14:paraId="23C3A122" w14:textId="77777777">
        <w:trPr>
          <w:trHeight w:val="257"/>
        </w:trPr>
        <w:tc>
          <w:tcPr>
            <w:tcW w:w="880" w:type="dxa"/>
            <w:vAlign w:val="bottom"/>
          </w:tcPr>
          <w:p w14:paraId="0B72C1D0" w14:textId="77777777" w:rsidR="00D1587D" w:rsidRDefault="00D1587D"/>
        </w:tc>
        <w:tc>
          <w:tcPr>
            <w:tcW w:w="680" w:type="dxa"/>
            <w:gridSpan w:val="3"/>
            <w:vAlign w:val="bottom"/>
          </w:tcPr>
          <w:p w14:paraId="4C8207E1" w14:textId="77777777" w:rsidR="00D1587D" w:rsidRDefault="00410D07">
            <w:pPr>
              <w:ind w:left="8"/>
              <w:jc w:val="center"/>
              <w:rPr>
                <w:sz w:val="20"/>
                <w:szCs w:val="20"/>
              </w:rPr>
            </w:pPr>
            <w:r>
              <w:rPr>
                <w:rFonts w:ascii="Arial" w:eastAsia="Arial" w:hAnsi="Arial" w:cs="Arial"/>
                <w:w w:val="96"/>
                <w:sz w:val="14"/>
                <w:szCs w:val="14"/>
              </w:rPr>
              <w:t>3/28/2019</w:t>
            </w:r>
          </w:p>
        </w:tc>
        <w:tc>
          <w:tcPr>
            <w:tcW w:w="80" w:type="dxa"/>
            <w:vAlign w:val="bottom"/>
          </w:tcPr>
          <w:p w14:paraId="33751460" w14:textId="77777777" w:rsidR="00D1587D" w:rsidRDefault="00D1587D"/>
        </w:tc>
        <w:tc>
          <w:tcPr>
            <w:tcW w:w="840" w:type="dxa"/>
            <w:gridSpan w:val="2"/>
            <w:vAlign w:val="bottom"/>
          </w:tcPr>
          <w:p w14:paraId="2D9B6990" w14:textId="77777777" w:rsidR="00D1587D" w:rsidRDefault="00410D07">
            <w:pPr>
              <w:ind w:right="80"/>
              <w:jc w:val="right"/>
              <w:rPr>
                <w:sz w:val="20"/>
                <w:szCs w:val="20"/>
              </w:rPr>
            </w:pPr>
            <w:r>
              <w:rPr>
                <w:rFonts w:ascii="Arial" w:eastAsia="Arial" w:hAnsi="Arial" w:cs="Arial"/>
                <w:sz w:val="14"/>
                <w:szCs w:val="14"/>
              </w:rPr>
              <w:t>12,884</w:t>
            </w:r>
          </w:p>
        </w:tc>
        <w:tc>
          <w:tcPr>
            <w:tcW w:w="940" w:type="dxa"/>
            <w:gridSpan w:val="2"/>
            <w:vAlign w:val="bottom"/>
          </w:tcPr>
          <w:p w14:paraId="3E2D861D" w14:textId="77777777" w:rsidR="00D1587D" w:rsidRDefault="00410D07">
            <w:pPr>
              <w:spacing w:line="256" w:lineRule="exact"/>
              <w:ind w:right="80"/>
              <w:jc w:val="right"/>
              <w:rPr>
                <w:sz w:val="20"/>
                <w:szCs w:val="20"/>
              </w:rPr>
            </w:pPr>
            <w:r>
              <w:rPr>
                <w:rFonts w:ascii="Arial" w:eastAsia="Arial" w:hAnsi="Arial" w:cs="Arial"/>
                <w:sz w:val="14"/>
                <w:szCs w:val="14"/>
              </w:rPr>
              <w:t>25,770</w:t>
            </w:r>
            <w:r>
              <w:rPr>
                <w:rFonts w:ascii="Arial" w:eastAsia="Arial" w:hAnsi="Arial" w:cs="Arial"/>
                <w:sz w:val="23"/>
                <w:szCs w:val="23"/>
                <w:vertAlign w:val="superscript"/>
              </w:rPr>
              <w:t>(4)</w:t>
            </w:r>
          </w:p>
        </w:tc>
        <w:tc>
          <w:tcPr>
            <w:tcW w:w="840" w:type="dxa"/>
            <w:gridSpan w:val="2"/>
            <w:vAlign w:val="bottom"/>
          </w:tcPr>
          <w:p w14:paraId="737EE757" w14:textId="77777777" w:rsidR="00D1587D" w:rsidRDefault="00410D07">
            <w:pPr>
              <w:ind w:left="620"/>
              <w:rPr>
                <w:sz w:val="20"/>
                <w:szCs w:val="20"/>
              </w:rPr>
            </w:pPr>
            <w:r>
              <w:rPr>
                <w:rFonts w:ascii="Arial" w:eastAsia="Arial" w:hAnsi="Arial" w:cs="Arial"/>
                <w:sz w:val="14"/>
                <w:szCs w:val="14"/>
              </w:rPr>
              <w:t>—</w:t>
            </w:r>
          </w:p>
        </w:tc>
        <w:tc>
          <w:tcPr>
            <w:tcW w:w="600" w:type="dxa"/>
            <w:gridSpan w:val="2"/>
            <w:vAlign w:val="bottom"/>
          </w:tcPr>
          <w:p w14:paraId="667DE884" w14:textId="77777777" w:rsidR="00D1587D" w:rsidRDefault="00410D07">
            <w:pPr>
              <w:ind w:right="80"/>
              <w:jc w:val="right"/>
              <w:rPr>
                <w:sz w:val="20"/>
                <w:szCs w:val="20"/>
              </w:rPr>
            </w:pPr>
            <w:r>
              <w:rPr>
                <w:rFonts w:ascii="Arial" w:eastAsia="Arial" w:hAnsi="Arial" w:cs="Arial"/>
                <w:sz w:val="14"/>
                <w:szCs w:val="14"/>
              </w:rPr>
              <w:t>27.94</w:t>
            </w:r>
          </w:p>
        </w:tc>
        <w:tc>
          <w:tcPr>
            <w:tcW w:w="760" w:type="dxa"/>
            <w:gridSpan w:val="2"/>
            <w:vAlign w:val="bottom"/>
          </w:tcPr>
          <w:p w14:paraId="074E1029" w14:textId="77777777" w:rsidR="00D1587D" w:rsidRDefault="00410D07">
            <w:pPr>
              <w:ind w:right="80"/>
              <w:jc w:val="right"/>
              <w:rPr>
                <w:sz w:val="20"/>
                <w:szCs w:val="20"/>
              </w:rPr>
            </w:pPr>
            <w:r>
              <w:rPr>
                <w:rFonts w:ascii="Arial" w:eastAsia="Arial" w:hAnsi="Arial" w:cs="Arial"/>
                <w:sz w:val="14"/>
                <w:szCs w:val="14"/>
              </w:rPr>
              <w:t>3/28/2029</w:t>
            </w:r>
          </w:p>
        </w:tc>
        <w:tc>
          <w:tcPr>
            <w:tcW w:w="660" w:type="dxa"/>
            <w:vAlign w:val="bottom"/>
          </w:tcPr>
          <w:p w14:paraId="58CEA034" w14:textId="77777777" w:rsidR="00D1587D" w:rsidRDefault="00D1587D"/>
        </w:tc>
        <w:tc>
          <w:tcPr>
            <w:tcW w:w="80" w:type="dxa"/>
            <w:vAlign w:val="bottom"/>
          </w:tcPr>
          <w:p w14:paraId="09E4C449" w14:textId="77777777" w:rsidR="00D1587D" w:rsidRDefault="00D1587D"/>
        </w:tc>
        <w:tc>
          <w:tcPr>
            <w:tcW w:w="660" w:type="dxa"/>
            <w:vAlign w:val="bottom"/>
          </w:tcPr>
          <w:p w14:paraId="284ACC62" w14:textId="77777777" w:rsidR="00D1587D" w:rsidRDefault="00D1587D"/>
        </w:tc>
        <w:tc>
          <w:tcPr>
            <w:tcW w:w="80" w:type="dxa"/>
            <w:vAlign w:val="bottom"/>
          </w:tcPr>
          <w:p w14:paraId="588F975A" w14:textId="77777777" w:rsidR="00D1587D" w:rsidRDefault="00D1587D"/>
        </w:tc>
        <w:tc>
          <w:tcPr>
            <w:tcW w:w="600" w:type="dxa"/>
            <w:vAlign w:val="bottom"/>
          </w:tcPr>
          <w:p w14:paraId="17AE4A0A" w14:textId="77777777" w:rsidR="00D1587D" w:rsidRDefault="00D1587D"/>
        </w:tc>
        <w:tc>
          <w:tcPr>
            <w:tcW w:w="80" w:type="dxa"/>
            <w:vAlign w:val="bottom"/>
          </w:tcPr>
          <w:p w14:paraId="145B1C28" w14:textId="77777777" w:rsidR="00D1587D" w:rsidRDefault="00D1587D"/>
        </w:tc>
        <w:tc>
          <w:tcPr>
            <w:tcW w:w="620" w:type="dxa"/>
            <w:vAlign w:val="bottom"/>
          </w:tcPr>
          <w:p w14:paraId="0653D8B1" w14:textId="77777777" w:rsidR="00D1587D" w:rsidRDefault="00D1587D"/>
        </w:tc>
        <w:tc>
          <w:tcPr>
            <w:tcW w:w="80" w:type="dxa"/>
            <w:vAlign w:val="bottom"/>
          </w:tcPr>
          <w:p w14:paraId="59ACAD94" w14:textId="77777777" w:rsidR="00D1587D" w:rsidRDefault="00D1587D"/>
        </w:tc>
        <w:tc>
          <w:tcPr>
            <w:tcW w:w="600" w:type="dxa"/>
            <w:vAlign w:val="bottom"/>
          </w:tcPr>
          <w:p w14:paraId="508BF835" w14:textId="77777777" w:rsidR="00D1587D" w:rsidRDefault="00D1587D"/>
        </w:tc>
        <w:tc>
          <w:tcPr>
            <w:tcW w:w="0" w:type="dxa"/>
            <w:vAlign w:val="bottom"/>
          </w:tcPr>
          <w:p w14:paraId="24BDE33F" w14:textId="77777777" w:rsidR="00D1587D" w:rsidRDefault="00D1587D">
            <w:pPr>
              <w:rPr>
                <w:sz w:val="1"/>
                <w:szCs w:val="1"/>
              </w:rPr>
            </w:pPr>
          </w:p>
        </w:tc>
      </w:tr>
      <w:tr w:rsidR="00D1587D" w14:paraId="3E84DCD2" w14:textId="77777777">
        <w:trPr>
          <w:trHeight w:val="257"/>
        </w:trPr>
        <w:tc>
          <w:tcPr>
            <w:tcW w:w="880" w:type="dxa"/>
            <w:vAlign w:val="bottom"/>
          </w:tcPr>
          <w:p w14:paraId="23096680" w14:textId="77777777" w:rsidR="00D1587D" w:rsidRDefault="00D1587D"/>
        </w:tc>
        <w:tc>
          <w:tcPr>
            <w:tcW w:w="80" w:type="dxa"/>
            <w:vAlign w:val="bottom"/>
          </w:tcPr>
          <w:p w14:paraId="3AAE0B7A" w14:textId="77777777" w:rsidR="00D1587D" w:rsidRDefault="00D1587D"/>
        </w:tc>
        <w:tc>
          <w:tcPr>
            <w:tcW w:w="580" w:type="dxa"/>
            <w:vAlign w:val="bottom"/>
          </w:tcPr>
          <w:p w14:paraId="41FB0C08" w14:textId="77777777" w:rsidR="00D1587D" w:rsidRDefault="00D1587D"/>
        </w:tc>
        <w:tc>
          <w:tcPr>
            <w:tcW w:w="20" w:type="dxa"/>
            <w:vAlign w:val="bottom"/>
          </w:tcPr>
          <w:p w14:paraId="57095809" w14:textId="77777777" w:rsidR="00D1587D" w:rsidRDefault="00D1587D"/>
        </w:tc>
        <w:tc>
          <w:tcPr>
            <w:tcW w:w="80" w:type="dxa"/>
            <w:vAlign w:val="bottom"/>
          </w:tcPr>
          <w:p w14:paraId="1C8335E7" w14:textId="77777777" w:rsidR="00D1587D" w:rsidRDefault="00D1587D"/>
        </w:tc>
        <w:tc>
          <w:tcPr>
            <w:tcW w:w="760" w:type="dxa"/>
            <w:vAlign w:val="bottom"/>
          </w:tcPr>
          <w:p w14:paraId="70B79038" w14:textId="77777777" w:rsidR="00D1587D" w:rsidRDefault="00D1587D"/>
        </w:tc>
        <w:tc>
          <w:tcPr>
            <w:tcW w:w="80" w:type="dxa"/>
            <w:vAlign w:val="bottom"/>
          </w:tcPr>
          <w:p w14:paraId="4D24A21D" w14:textId="77777777" w:rsidR="00D1587D" w:rsidRDefault="00D1587D"/>
        </w:tc>
        <w:tc>
          <w:tcPr>
            <w:tcW w:w="860" w:type="dxa"/>
            <w:vAlign w:val="bottom"/>
          </w:tcPr>
          <w:p w14:paraId="116C106C" w14:textId="77777777" w:rsidR="00D1587D" w:rsidRDefault="00D1587D"/>
        </w:tc>
        <w:tc>
          <w:tcPr>
            <w:tcW w:w="80" w:type="dxa"/>
            <w:vAlign w:val="bottom"/>
          </w:tcPr>
          <w:p w14:paraId="79BEC98F" w14:textId="77777777" w:rsidR="00D1587D" w:rsidRDefault="00D1587D"/>
        </w:tc>
        <w:tc>
          <w:tcPr>
            <w:tcW w:w="760" w:type="dxa"/>
            <w:vAlign w:val="bottom"/>
          </w:tcPr>
          <w:p w14:paraId="27477A59" w14:textId="77777777" w:rsidR="00D1587D" w:rsidRDefault="00D1587D"/>
        </w:tc>
        <w:tc>
          <w:tcPr>
            <w:tcW w:w="80" w:type="dxa"/>
            <w:vAlign w:val="bottom"/>
          </w:tcPr>
          <w:p w14:paraId="7C2D647F" w14:textId="77777777" w:rsidR="00D1587D" w:rsidRDefault="00D1587D"/>
        </w:tc>
        <w:tc>
          <w:tcPr>
            <w:tcW w:w="520" w:type="dxa"/>
            <w:vAlign w:val="bottom"/>
          </w:tcPr>
          <w:p w14:paraId="747556DE" w14:textId="77777777" w:rsidR="00D1587D" w:rsidRDefault="00D1587D"/>
        </w:tc>
        <w:tc>
          <w:tcPr>
            <w:tcW w:w="80" w:type="dxa"/>
            <w:vAlign w:val="bottom"/>
          </w:tcPr>
          <w:p w14:paraId="549270DE" w14:textId="77777777" w:rsidR="00D1587D" w:rsidRDefault="00D1587D"/>
        </w:tc>
        <w:tc>
          <w:tcPr>
            <w:tcW w:w="680" w:type="dxa"/>
            <w:vAlign w:val="bottom"/>
          </w:tcPr>
          <w:p w14:paraId="1100D5FC" w14:textId="77777777" w:rsidR="00D1587D" w:rsidRDefault="00D1587D"/>
        </w:tc>
        <w:tc>
          <w:tcPr>
            <w:tcW w:w="80" w:type="dxa"/>
            <w:vAlign w:val="bottom"/>
          </w:tcPr>
          <w:p w14:paraId="681DD626" w14:textId="77777777" w:rsidR="00D1587D" w:rsidRDefault="00D1587D"/>
        </w:tc>
        <w:tc>
          <w:tcPr>
            <w:tcW w:w="740" w:type="dxa"/>
            <w:gridSpan w:val="2"/>
            <w:vAlign w:val="bottom"/>
          </w:tcPr>
          <w:p w14:paraId="5BAD5315" w14:textId="77777777" w:rsidR="00D1587D" w:rsidRDefault="00410D07">
            <w:pPr>
              <w:ind w:right="80"/>
              <w:jc w:val="right"/>
              <w:rPr>
                <w:sz w:val="20"/>
                <w:szCs w:val="20"/>
              </w:rPr>
            </w:pPr>
            <w:r>
              <w:rPr>
                <w:rFonts w:ascii="Arial" w:eastAsia="Arial" w:hAnsi="Arial" w:cs="Arial"/>
                <w:sz w:val="14"/>
                <w:szCs w:val="14"/>
              </w:rPr>
              <w:t>3/31/2016</w:t>
            </w:r>
          </w:p>
        </w:tc>
        <w:tc>
          <w:tcPr>
            <w:tcW w:w="740" w:type="dxa"/>
            <w:gridSpan w:val="2"/>
            <w:vAlign w:val="bottom"/>
          </w:tcPr>
          <w:p w14:paraId="23594052"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vAlign w:val="bottom"/>
          </w:tcPr>
          <w:p w14:paraId="32054EA6"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vAlign w:val="bottom"/>
          </w:tcPr>
          <w:p w14:paraId="10A70D60" w14:textId="77777777" w:rsidR="00D1587D" w:rsidRDefault="00410D07">
            <w:pPr>
              <w:spacing w:line="256" w:lineRule="exact"/>
              <w:ind w:right="80"/>
              <w:jc w:val="right"/>
              <w:rPr>
                <w:sz w:val="20"/>
                <w:szCs w:val="20"/>
              </w:rPr>
            </w:pPr>
            <w:r>
              <w:rPr>
                <w:rFonts w:ascii="Arial" w:eastAsia="Arial" w:hAnsi="Arial" w:cs="Arial"/>
                <w:w w:val="96"/>
                <w:sz w:val="14"/>
                <w:szCs w:val="14"/>
              </w:rPr>
              <w:t>9,396</w:t>
            </w:r>
            <w:r>
              <w:rPr>
                <w:rFonts w:ascii="Arial" w:eastAsia="Arial" w:hAnsi="Arial" w:cs="Arial"/>
                <w:w w:val="96"/>
                <w:sz w:val="23"/>
                <w:szCs w:val="23"/>
                <w:vertAlign w:val="superscript"/>
              </w:rPr>
              <w:t>(15)</w:t>
            </w:r>
          </w:p>
        </w:tc>
        <w:tc>
          <w:tcPr>
            <w:tcW w:w="600" w:type="dxa"/>
            <w:vAlign w:val="bottom"/>
          </w:tcPr>
          <w:p w14:paraId="73B8D1E5" w14:textId="77777777" w:rsidR="00D1587D" w:rsidRDefault="00410D07">
            <w:pPr>
              <w:jc w:val="right"/>
              <w:rPr>
                <w:sz w:val="20"/>
                <w:szCs w:val="20"/>
              </w:rPr>
            </w:pPr>
            <w:r>
              <w:rPr>
                <w:rFonts w:ascii="Arial" w:eastAsia="Arial" w:hAnsi="Arial" w:cs="Arial"/>
                <w:sz w:val="14"/>
                <w:szCs w:val="14"/>
              </w:rPr>
              <w:t>382,981</w:t>
            </w:r>
          </w:p>
        </w:tc>
        <w:tc>
          <w:tcPr>
            <w:tcW w:w="0" w:type="dxa"/>
            <w:vAlign w:val="bottom"/>
          </w:tcPr>
          <w:p w14:paraId="14593CF9" w14:textId="77777777" w:rsidR="00D1587D" w:rsidRDefault="00D1587D">
            <w:pPr>
              <w:rPr>
                <w:sz w:val="1"/>
                <w:szCs w:val="1"/>
              </w:rPr>
            </w:pPr>
          </w:p>
        </w:tc>
      </w:tr>
      <w:tr w:rsidR="00D1587D" w14:paraId="260640CC" w14:textId="77777777">
        <w:trPr>
          <w:trHeight w:val="257"/>
        </w:trPr>
        <w:tc>
          <w:tcPr>
            <w:tcW w:w="880" w:type="dxa"/>
            <w:vAlign w:val="bottom"/>
          </w:tcPr>
          <w:p w14:paraId="0A183F41" w14:textId="77777777" w:rsidR="00D1587D" w:rsidRDefault="00D1587D"/>
        </w:tc>
        <w:tc>
          <w:tcPr>
            <w:tcW w:w="80" w:type="dxa"/>
            <w:vAlign w:val="bottom"/>
          </w:tcPr>
          <w:p w14:paraId="5F3F67B8" w14:textId="77777777" w:rsidR="00D1587D" w:rsidRDefault="00D1587D"/>
        </w:tc>
        <w:tc>
          <w:tcPr>
            <w:tcW w:w="580" w:type="dxa"/>
            <w:vAlign w:val="bottom"/>
          </w:tcPr>
          <w:p w14:paraId="1E7AE625" w14:textId="77777777" w:rsidR="00D1587D" w:rsidRDefault="00D1587D"/>
        </w:tc>
        <w:tc>
          <w:tcPr>
            <w:tcW w:w="20" w:type="dxa"/>
            <w:vAlign w:val="bottom"/>
          </w:tcPr>
          <w:p w14:paraId="6BDBED49" w14:textId="77777777" w:rsidR="00D1587D" w:rsidRDefault="00D1587D"/>
        </w:tc>
        <w:tc>
          <w:tcPr>
            <w:tcW w:w="80" w:type="dxa"/>
            <w:vAlign w:val="bottom"/>
          </w:tcPr>
          <w:p w14:paraId="6F2AED2C" w14:textId="77777777" w:rsidR="00D1587D" w:rsidRDefault="00D1587D"/>
        </w:tc>
        <w:tc>
          <w:tcPr>
            <w:tcW w:w="760" w:type="dxa"/>
            <w:vAlign w:val="bottom"/>
          </w:tcPr>
          <w:p w14:paraId="5CD9A14D" w14:textId="77777777" w:rsidR="00D1587D" w:rsidRDefault="00D1587D"/>
        </w:tc>
        <w:tc>
          <w:tcPr>
            <w:tcW w:w="80" w:type="dxa"/>
            <w:vAlign w:val="bottom"/>
          </w:tcPr>
          <w:p w14:paraId="240DEB9A" w14:textId="77777777" w:rsidR="00D1587D" w:rsidRDefault="00D1587D"/>
        </w:tc>
        <w:tc>
          <w:tcPr>
            <w:tcW w:w="860" w:type="dxa"/>
            <w:vAlign w:val="bottom"/>
          </w:tcPr>
          <w:p w14:paraId="45144A9D" w14:textId="77777777" w:rsidR="00D1587D" w:rsidRDefault="00D1587D"/>
        </w:tc>
        <w:tc>
          <w:tcPr>
            <w:tcW w:w="80" w:type="dxa"/>
            <w:vAlign w:val="bottom"/>
          </w:tcPr>
          <w:p w14:paraId="367F3071" w14:textId="77777777" w:rsidR="00D1587D" w:rsidRDefault="00D1587D"/>
        </w:tc>
        <w:tc>
          <w:tcPr>
            <w:tcW w:w="760" w:type="dxa"/>
            <w:vAlign w:val="bottom"/>
          </w:tcPr>
          <w:p w14:paraId="48723CDC" w14:textId="77777777" w:rsidR="00D1587D" w:rsidRDefault="00D1587D"/>
        </w:tc>
        <w:tc>
          <w:tcPr>
            <w:tcW w:w="80" w:type="dxa"/>
            <w:vAlign w:val="bottom"/>
          </w:tcPr>
          <w:p w14:paraId="6195ADA5" w14:textId="77777777" w:rsidR="00D1587D" w:rsidRDefault="00D1587D"/>
        </w:tc>
        <w:tc>
          <w:tcPr>
            <w:tcW w:w="520" w:type="dxa"/>
            <w:vAlign w:val="bottom"/>
          </w:tcPr>
          <w:p w14:paraId="46337818" w14:textId="77777777" w:rsidR="00D1587D" w:rsidRDefault="00D1587D"/>
        </w:tc>
        <w:tc>
          <w:tcPr>
            <w:tcW w:w="80" w:type="dxa"/>
            <w:vAlign w:val="bottom"/>
          </w:tcPr>
          <w:p w14:paraId="3F9312CD" w14:textId="77777777" w:rsidR="00D1587D" w:rsidRDefault="00D1587D"/>
        </w:tc>
        <w:tc>
          <w:tcPr>
            <w:tcW w:w="680" w:type="dxa"/>
            <w:vAlign w:val="bottom"/>
          </w:tcPr>
          <w:p w14:paraId="08451366" w14:textId="77777777" w:rsidR="00D1587D" w:rsidRDefault="00D1587D"/>
        </w:tc>
        <w:tc>
          <w:tcPr>
            <w:tcW w:w="80" w:type="dxa"/>
            <w:vAlign w:val="bottom"/>
          </w:tcPr>
          <w:p w14:paraId="5D05EA1F" w14:textId="77777777" w:rsidR="00D1587D" w:rsidRDefault="00D1587D"/>
        </w:tc>
        <w:tc>
          <w:tcPr>
            <w:tcW w:w="740" w:type="dxa"/>
            <w:gridSpan w:val="2"/>
            <w:vAlign w:val="bottom"/>
          </w:tcPr>
          <w:p w14:paraId="46F39EB3" w14:textId="77777777" w:rsidR="00D1587D" w:rsidRDefault="00410D07">
            <w:pPr>
              <w:ind w:right="80"/>
              <w:jc w:val="right"/>
              <w:rPr>
                <w:sz w:val="20"/>
                <w:szCs w:val="20"/>
              </w:rPr>
            </w:pPr>
            <w:r>
              <w:rPr>
                <w:rFonts w:ascii="Arial" w:eastAsia="Arial" w:hAnsi="Arial" w:cs="Arial"/>
                <w:sz w:val="14"/>
                <w:szCs w:val="14"/>
              </w:rPr>
              <w:t>3/31/2017</w:t>
            </w:r>
          </w:p>
        </w:tc>
        <w:tc>
          <w:tcPr>
            <w:tcW w:w="740" w:type="dxa"/>
            <w:gridSpan w:val="2"/>
            <w:vAlign w:val="bottom"/>
          </w:tcPr>
          <w:p w14:paraId="0B1C0109"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vAlign w:val="bottom"/>
          </w:tcPr>
          <w:p w14:paraId="4C607F19"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vAlign w:val="bottom"/>
          </w:tcPr>
          <w:p w14:paraId="2CF8D134" w14:textId="77777777" w:rsidR="00D1587D" w:rsidRDefault="00410D07">
            <w:pPr>
              <w:spacing w:line="256" w:lineRule="exact"/>
              <w:ind w:right="80"/>
              <w:jc w:val="right"/>
              <w:rPr>
                <w:sz w:val="20"/>
                <w:szCs w:val="20"/>
              </w:rPr>
            </w:pPr>
            <w:r>
              <w:rPr>
                <w:rFonts w:ascii="Arial" w:eastAsia="Arial" w:hAnsi="Arial" w:cs="Arial"/>
                <w:w w:val="85"/>
                <w:sz w:val="14"/>
                <w:szCs w:val="14"/>
              </w:rPr>
              <w:t>25,160</w:t>
            </w:r>
            <w:r>
              <w:rPr>
                <w:rFonts w:ascii="Arial" w:eastAsia="Arial" w:hAnsi="Arial" w:cs="Arial"/>
                <w:w w:val="85"/>
                <w:sz w:val="23"/>
                <w:szCs w:val="23"/>
                <w:vertAlign w:val="superscript"/>
              </w:rPr>
              <w:t>(16)</w:t>
            </w:r>
          </w:p>
        </w:tc>
        <w:tc>
          <w:tcPr>
            <w:tcW w:w="600" w:type="dxa"/>
            <w:vAlign w:val="bottom"/>
          </w:tcPr>
          <w:p w14:paraId="607E79AD" w14:textId="77777777" w:rsidR="00D1587D" w:rsidRDefault="00410D07">
            <w:pPr>
              <w:jc w:val="right"/>
              <w:rPr>
                <w:sz w:val="20"/>
                <w:szCs w:val="20"/>
              </w:rPr>
            </w:pPr>
            <w:r>
              <w:rPr>
                <w:rFonts w:ascii="Arial" w:eastAsia="Arial" w:hAnsi="Arial" w:cs="Arial"/>
                <w:w w:val="93"/>
                <w:sz w:val="14"/>
                <w:szCs w:val="14"/>
              </w:rPr>
              <w:t>1,025,522</w:t>
            </w:r>
          </w:p>
        </w:tc>
        <w:tc>
          <w:tcPr>
            <w:tcW w:w="0" w:type="dxa"/>
            <w:vAlign w:val="bottom"/>
          </w:tcPr>
          <w:p w14:paraId="6F0ECE1E" w14:textId="77777777" w:rsidR="00D1587D" w:rsidRDefault="00D1587D">
            <w:pPr>
              <w:rPr>
                <w:sz w:val="1"/>
                <w:szCs w:val="1"/>
              </w:rPr>
            </w:pPr>
          </w:p>
        </w:tc>
      </w:tr>
      <w:tr w:rsidR="00D1587D" w14:paraId="13720806" w14:textId="77777777">
        <w:trPr>
          <w:trHeight w:val="256"/>
        </w:trPr>
        <w:tc>
          <w:tcPr>
            <w:tcW w:w="880" w:type="dxa"/>
            <w:vAlign w:val="bottom"/>
          </w:tcPr>
          <w:p w14:paraId="58F09B2A" w14:textId="77777777" w:rsidR="00D1587D" w:rsidRDefault="00D1587D"/>
        </w:tc>
        <w:tc>
          <w:tcPr>
            <w:tcW w:w="80" w:type="dxa"/>
            <w:vAlign w:val="bottom"/>
          </w:tcPr>
          <w:p w14:paraId="217D77EC" w14:textId="77777777" w:rsidR="00D1587D" w:rsidRDefault="00D1587D"/>
        </w:tc>
        <w:tc>
          <w:tcPr>
            <w:tcW w:w="580" w:type="dxa"/>
            <w:vAlign w:val="bottom"/>
          </w:tcPr>
          <w:p w14:paraId="656E4E28" w14:textId="77777777" w:rsidR="00D1587D" w:rsidRDefault="00D1587D"/>
        </w:tc>
        <w:tc>
          <w:tcPr>
            <w:tcW w:w="20" w:type="dxa"/>
            <w:vAlign w:val="bottom"/>
          </w:tcPr>
          <w:p w14:paraId="53B941ED" w14:textId="77777777" w:rsidR="00D1587D" w:rsidRDefault="00D1587D"/>
        </w:tc>
        <w:tc>
          <w:tcPr>
            <w:tcW w:w="80" w:type="dxa"/>
            <w:vAlign w:val="bottom"/>
          </w:tcPr>
          <w:p w14:paraId="0523026F" w14:textId="77777777" w:rsidR="00D1587D" w:rsidRDefault="00D1587D"/>
        </w:tc>
        <w:tc>
          <w:tcPr>
            <w:tcW w:w="760" w:type="dxa"/>
            <w:vAlign w:val="bottom"/>
          </w:tcPr>
          <w:p w14:paraId="2B210DEE" w14:textId="77777777" w:rsidR="00D1587D" w:rsidRDefault="00D1587D"/>
        </w:tc>
        <w:tc>
          <w:tcPr>
            <w:tcW w:w="80" w:type="dxa"/>
            <w:vAlign w:val="bottom"/>
          </w:tcPr>
          <w:p w14:paraId="2E202061" w14:textId="77777777" w:rsidR="00D1587D" w:rsidRDefault="00D1587D"/>
        </w:tc>
        <w:tc>
          <w:tcPr>
            <w:tcW w:w="860" w:type="dxa"/>
            <w:vAlign w:val="bottom"/>
          </w:tcPr>
          <w:p w14:paraId="2186F691" w14:textId="77777777" w:rsidR="00D1587D" w:rsidRDefault="00D1587D"/>
        </w:tc>
        <w:tc>
          <w:tcPr>
            <w:tcW w:w="80" w:type="dxa"/>
            <w:vAlign w:val="bottom"/>
          </w:tcPr>
          <w:p w14:paraId="51ADDD89" w14:textId="77777777" w:rsidR="00D1587D" w:rsidRDefault="00D1587D"/>
        </w:tc>
        <w:tc>
          <w:tcPr>
            <w:tcW w:w="760" w:type="dxa"/>
            <w:vAlign w:val="bottom"/>
          </w:tcPr>
          <w:p w14:paraId="1618A7D7" w14:textId="77777777" w:rsidR="00D1587D" w:rsidRDefault="00D1587D"/>
        </w:tc>
        <w:tc>
          <w:tcPr>
            <w:tcW w:w="80" w:type="dxa"/>
            <w:vAlign w:val="bottom"/>
          </w:tcPr>
          <w:p w14:paraId="4AEB9921" w14:textId="77777777" w:rsidR="00D1587D" w:rsidRDefault="00D1587D"/>
        </w:tc>
        <w:tc>
          <w:tcPr>
            <w:tcW w:w="520" w:type="dxa"/>
            <w:vAlign w:val="bottom"/>
          </w:tcPr>
          <w:p w14:paraId="4B5E5F67" w14:textId="77777777" w:rsidR="00D1587D" w:rsidRDefault="00D1587D"/>
        </w:tc>
        <w:tc>
          <w:tcPr>
            <w:tcW w:w="80" w:type="dxa"/>
            <w:vAlign w:val="bottom"/>
          </w:tcPr>
          <w:p w14:paraId="7E7ED924" w14:textId="77777777" w:rsidR="00D1587D" w:rsidRDefault="00D1587D"/>
        </w:tc>
        <w:tc>
          <w:tcPr>
            <w:tcW w:w="680" w:type="dxa"/>
            <w:vAlign w:val="bottom"/>
          </w:tcPr>
          <w:p w14:paraId="635D3B67" w14:textId="77777777" w:rsidR="00D1587D" w:rsidRDefault="00D1587D"/>
        </w:tc>
        <w:tc>
          <w:tcPr>
            <w:tcW w:w="80" w:type="dxa"/>
            <w:vAlign w:val="bottom"/>
          </w:tcPr>
          <w:p w14:paraId="0ABCCC0B" w14:textId="77777777" w:rsidR="00D1587D" w:rsidRDefault="00D1587D"/>
        </w:tc>
        <w:tc>
          <w:tcPr>
            <w:tcW w:w="740" w:type="dxa"/>
            <w:gridSpan w:val="2"/>
            <w:vAlign w:val="bottom"/>
          </w:tcPr>
          <w:p w14:paraId="07EC6B83" w14:textId="77777777" w:rsidR="00D1587D" w:rsidRDefault="00410D07">
            <w:pPr>
              <w:ind w:right="80"/>
              <w:jc w:val="right"/>
              <w:rPr>
                <w:sz w:val="20"/>
                <w:szCs w:val="20"/>
              </w:rPr>
            </w:pPr>
            <w:r>
              <w:rPr>
                <w:rFonts w:ascii="Arial" w:eastAsia="Arial" w:hAnsi="Arial" w:cs="Arial"/>
                <w:sz w:val="14"/>
                <w:szCs w:val="14"/>
              </w:rPr>
              <w:t>3/21/2018</w:t>
            </w:r>
          </w:p>
        </w:tc>
        <w:tc>
          <w:tcPr>
            <w:tcW w:w="740" w:type="dxa"/>
            <w:gridSpan w:val="2"/>
            <w:vAlign w:val="bottom"/>
          </w:tcPr>
          <w:p w14:paraId="13E525D5"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vAlign w:val="bottom"/>
          </w:tcPr>
          <w:p w14:paraId="58E91A6B"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vAlign w:val="bottom"/>
          </w:tcPr>
          <w:p w14:paraId="01A76400" w14:textId="77777777" w:rsidR="00D1587D" w:rsidRDefault="00410D07">
            <w:pPr>
              <w:spacing w:line="256" w:lineRule="exact"/>
              <w:ind w:right="80"/>
              <w:jc w:val="right"/>
              <w:rPr>
                <w:sz w:val="20"/>
                <w:szCs w:val="20"/>
              </w:rPr>
            </w:pPr>
            <w:r>
              <w:rPr>
                <w:rFonts w:ascii="Arial" w:eastAsia="Arial" w:hAnsi="Arial" w:cs="Arial"/>
                <w:w w:val="85"/>
                <w:sz w:val="14"/>
                <w:szCs w:val="14"/>
              </w:rPr>
              <w:t>14,079</w:t>
            </w:r>
            <w:r>
              <w:rPr>
                <w:rFonts w:ascii="Arial" w:eastAsia="Arial" w:hAnsi="Arial" w:cs="Arial"/>
                <w:w w:val="85"/>
                <w:sz w:val="23"/>
                <w:szCs w:val="23"/>
                <w:vertAlign w:val="superscript"/>
              </w:rPr>
              <w:t>(17)</w:t>
            </w:r>
          </w:p>
        </w:tc>
        <w:tc>
          <w:tcPr>
            <w:tcW w:w="600" w:type="dxa"/>
            <w:vAlign w:val="bottom"/>
          </w:tcPr>
          <w:p w14:paraId="0DB40169" w14:textId="77777777" w:rsidR="00D1587D" w:rsidRDefault="00410D07">
            <w:pPr>
              <w:jc w:val="right"/>
              <w:rPr>
                <w:sz w:val="20"/>
                <w:szCs w:val="20"/>
              </w:rPr>
            </w:pPr>
            <w:r>
              <w:rPr>
                <w:rFonts w:ascii="Arial" w:eastAsia="Arial" w:hAnsi="Arial" w:cs="Arial"/>
                <w:sz w:val="14"/>
                <w:szCs w:val="14"/>
              </w:rPr>
              <w:t>573,860</w:t>
            </w:r>
          </w:p>
        </w:tc>
        <w:tc>
          <w:tcPr>
            <w:tcW w:w="0" w:type="dxa"/>
            <w:vAlign w:val="bottom"/>
          </w:tcPr>
          <w:p w14:paraId="4DA6CF78" w14:textId="77777777" w:rsidR="00D1587D" w:rsidRDefault="00D1587D">
            <w:pPr>
              <w:rPr>
                <w:sz w:val="1"/>
                <w:szCs w:val="1"/>
              </w:rPr>
            </w:pPr>
          </w:p>
        </w:tc>
      </w:tr>
      <w:tr w:rsidR="00D1587D" w14:paraId="207E24EC" w14:textId="77777777">
        <w:trPr>
          <w:trHeight w:val="257"/>
        </w:trPr>
        <w:tc>
          <w:tcPr>
            <w:tcW w:w="880" w:type="dxa"/>
            <w:vAlign w:val="bottom"/>
          </w:tcPr>
          <w:p w14:paraId="18AA8CAC" w14:textId="77777777" w:rsidR="00D1587D" w:rsidRDefault="00D1587D"/>
        </w:tc>
        <w:tc>
          <w:tcPr>
            <w:tcW w:w="80" w:type="dxa"/>
            <w:vAlign w:val="bottom"/>
          </w:tcPr>
          <w:p w14:paraId="61E368B1" w14:textId="77777777" w:rsidR="00D1587D" w:rsidRDefault="00D1587D"/>
        </w:tc>
        <w:tc>
          <w:tcPr>
            <w:tcW w:w="580" w:type="dxa"/>
            <w:vAlign w:val="bottom"/>
          </w:tcPr>
          <w:p w14:paraId="6C342FB5" w14:textId="77777777" w:rsidR="00D1587D" w:rsidRDefault="00D1587D"/>
        </w:tc>
        <w:tc>
          <w:tcPr>
            <w:tcW w:w="20" w:type="dxa"/>
            <w:vAlign w:val="bottom"/>
          </w:tcPr>
          <w:p w14:paraId="291711B1" w14:textId="77777777" w:rsidR="00D1587D" w:rsidRDefault="00D1587D"/>
        </w:tc>
        <w:tc>
          <w:tcPr>
            <w:tcW w:w="80" w:type="dxa"/>
            <w:vAlign w:val="bottom"/>
          </w:tcPr>
          <w:p w14:paraId="750E6C2B" w14:textId="77777777" w:rsidR="00D1587D" w:rsidRDefault="00D1587D"/>
        </w:tc>
        <w:tc>
          <w:tcPr>
            <w:tcW w:w="760" w:type="dxa"/>
            <w:vAlign w:val="bottom"/>
          </w:tcPr>
          <w:p w14:paraId="4558A8A7" w14:textId="77777777" w:rsidR="00D1587D" w:rsidRDefault="00D1587D"/>
        </w:tc>
        <w:tc>
          <w:tcPr>
            <w:tcW w:w="80" w:type="dxa"/>
            <w:vAlign w:val="bottom"/>
          </w:tcPr>
          <w:p w14:paraId="754AF265" w14:textId="77777777" w:rsidR="00D1587D" w:rsidRDefault="00D1587D"/>
        </w:tc>
        <w:tc>
          <w:tcPr>
            <w:tcW w:w="860" w:type="dxa"/>
            <w:vAlign w:val="bottom"/>
          </w:tcPr>
          <w:p w14:paraId="574203D4" w14:textId="77777777" w:rsidR="00D1587D" w:rsidRDefault="00D1587D"/>
        </w:tc>
        <w:tc>
          <w:tcPr>
            <w:tcW w:w="80" w:type="dxa"/>
            <w:vAlign w:val="bottom"/>
          </w:tcPr>
          <w:p w14:paraId="1A99AEAA" w14:textId="77777777" w:rsidR="00D1587D" w:rsidRDefault="00D1587D"/>
        </w:tc>
        <w:tc>
          <w:tcPr>
            <w:tcW w:w="760" w:type="dxa"/>
            <w:vAlign w:val="bottom"/>
          </w:tcPr>
          <w:p w14:paraId="14CE70A6" w14:textId="77777777" w:rsidR="00D1587D" w:rsidRDefault="00D1587D"/>
        </w:tc>
        <w:tc>
          <w:tcPr>
            <w:tcW w:w="80" w:type="dxa"/>
            <w:vAlign w:val="bottom"/>
          </w:tcPr>
          <w:p w14:paraId="4EC44F52" w14:textId="77777777" w:rsidR="00D1587D" w:rsidRDefault="00D1587D"/>
        </w:tc>
        <w:tc>
          <w:tcPr>
            <w:tcW w:w="520" w:type="dxa"/>
            <w:vAlign w:val="bottom"/>
          </w:tcPr>
          <w:p w14:paraId="5C23CD69" w14:textId="77777777" w:rsidR="00D1587D" w:rsidRDefault="00D1587D"/>
        </w:tc>
        <w:tc>
          <w:tcPr>
            <w:tcW w:w="80" w:type="dxa"/>
            <w:vAlign w:val="bottom"/>
          </w:tcPr>
          <w:p w14:paraId="648C2011" w14:textId="77777777" w:rsidR="00D1587D" w:rsidRDefault="00D1587D"/>
        </w:tc>
        <w:tc>
          <w:tcPr>
            <w:tcW w:w="680" w:type="dxa"/>
            <w:vAlign w:val="bottom"/>
          </w:tcPr>
          <w:p w14:paraId="6EB70DBB" w14:textId="77777777" w:rsidR="00D1587D" w:rsidRDefault="00D1587D"/>
        </w:tc>
        <w:tc>
          <w:tcPr>
            <w:tcW w:w="80" w:type="dxa"/>
            <w:vAlign w:val="bottom"/>
          </w:tcPr>
          <w:p w14:paraId="7F96ABCD" w14:textId="77777777" w:rsidR="00D1587D" w:rsidRDefault="00D1587D"/>
        </w:tc>
        <w:tc>
          <w:tcPr>
            <w:tcW w:w="740" w:type="dxa"/>
            <w:gridSpan w:val="2"/>
            <w:vAlign w:val="bottom"/>
          </w:tcPr>
          <w:p w14:paraId="5249D4D4" w14:textId="77777777" w:rsidR="00D1587D" w:rsidRDefault="00410D07">
            <w:pPr>
              <w:ind w:right="80"/>
              <w:jc w:val="right"/>
              <w:rPr>
                <w:sz w:val="20"/>
                <w:szCs w:val="20"/>
              </w:rPr>
            </w:pPr>
            <w:r>
              <w:rPr>
                <w:rFonts w:ascii="Arial" w:eastAsia="Arial" w:hAnsi="Arial" w:cs="Arial"/>
                <w:sz w:val="14"/>
                <w:szCs w:val="14"/>
              </w:rPr>
              <w:t>4/25/2018</w:t>
            </w:r>
          </w:p>
        </w:tc>
        <w:tc>
          <w:tcPr>
            <w:tcW w:w="740" w:type="dxa"/>
            <w:gridSpan w:val="2"/>
            <w:vAlign w:val="bottom"/>
          </w:tcPr>
          <w:p w14:paraId="75769E82" w14:textId="77777777" w:rsidR="00D1587D" w:rsidRDefault="00410D07">
            <w:pPr>
              <w:ind w:right="80"/>
              <w:jc w:val="right"/>
              <w:rPr>
                <w:sz w:val="20"/>
                <w:szCs w:val="20"/>
              </w:rPr>
            </w:pPr>
            <w:r>
              <w:rPr>
                <w:rFonts w:ascii="Arial" w:eastAsia="Arial" w:hAnsi="Arial" w:cs="Arial"/>
                <w:sz w:val="14"/>
                <w:szCs w:val="14"/>
              </w:rPr>
              <w:t>—</w:t>
            </w:r>
          </w:p>
        </w:tc>
        <w:tc>
          <w:tcPr>
            <w:tcW w:w="680" w:type="dxa"/>
            <w:gridSpan w:val="2"/>
            <w:vAlign w:val="bottom"/>
          </w:tcPr>
          <w:p w14:paraId="62ABC4BB" w14:textId="77777777" w:rsidR="00D1587D" w:rsidRDefault="00410D07">
            <w:pPr>
              <w:ind w:right="80"/>
              <w:jc w:val="right"/>
              <w:rPr>
                <w:sz w:val="20"/>
                <w:szCs w:val="20"/>
              </w:rPr>
            </w:pPr>
            <w:r>
              <w:rPr>
                <w:rFonts w:ascii="Arial" w:eastAsia="Arial" w:hAnsi="Arial" w:cs="Arial"/>
                <w:sz w:val="14"/>
                <w:szCs w:val="14"/>
              </w:rPr>
              <w:t>—</w:t>
            </w:r>
          </w:p>
        </w:tc>
        <w:tc>
          <w:tcPr>
            <w:tcW w:w="700" w:type="dxa"/>
            <w:gridSpan w:val="2"/>
            <w:vAlign w:val="bottom"/>
          </w:tcPr>
          <w:p w14:paraId="72A71C29" w14:textId="77777777" w:rsidR="00D1587D" w:rsidRDefault="00410D07">
            <w:pPr>
              <w:spacing w:line="256" w:lineRule="exact"/>
              <w:ind w:right="80"/>
              <w:jc w:val="right"/>
              <w:rPr>
                <w:sz w:val="20"/>
                <w:szCs w:val="20"/>
              </w:rPr>
            </w:pPr>
            <w:r>
              <w:rPr>
                <w:rFonts w:ascii="Arial" w:eastAsia="Arial" w:hAnsi="Arial" w:cs="Arial"/>
                <w:w w:val="85"/>
                <w:sz w:val="14"/>
                <w:szCs w:val="14"/>
              </w:rPr>
              <w:t>35,533</w:t>
            </w:r>
            <w:r>
              <w:rPr>
                <w:rFonts w:ascii="Arial" w:eastAsia="Arial" w:hAnsi="Arial" w:cs="Arial"/>
                <w:w w:val="85"/>
                <w:sz w:val="23"/>
                <w:szCs w:val="23"/>
                <w:vertAlign w:val="superscript"/>
              </w:rPr>
              <w:t>(18)</w:t>
            </w:r>
          </w:p>
        </w:tc>
        <w:tc>
          <w:tcPr>
            <w:tcW w:w="600" w:type="dxa"/>
            <w:vAlign w:val="bottom"/>
          </w:tcPr>
          <w:p w14:paraId="0FF0561F" w14:textId="77777777" w:rsidR="00D1587D" w:rsidRDefault="00410D07">
            <w:pPr>
              <w:jc w:val="right"/>
              <w:rPr>
                <w:sz w:val="20"/>
                <w:szCs w:val="20"/>
              </w:rPr>
            </w:pPr>
            <w:r>
              <w:rPr>
                <w:rFonts w:ascii="Arial" w:eastAsia="Arial" w:hAnsi="Arial" w:cs="Arial"/>
                <w:w w:val="93"/>
                <w:sz w:val="14"/>
                <w:szCs w:val="14"/>
              </w:rPr>
              <w:t>1,448,325</w:t>
            </w:r>
          </w:p>
        </w:tc>
        <w:tc>
          <w:tcPr>
            <w:tcW w:w="0" w:type="dxa"/>
            <w:vAlign w:val="bottom"/>
          </w:tcPr>
          <w:p w14:paraId="1224953E" w14:textId="77777777" w:rsidR="00D1587D" w:rsidRDefault="00D1587D">
            <w:pPr>
              <w:rPr>
                <w:sz w:val="1"/>
                <w:szCs w:val="1"/>
              </w:rPr>
            </w:pPr>
          </w:p>
        </w:tc>
      </w:tr>
      <w:tr w:rsidR="00D1587D" w14:paraId="1C158F5E" w14:textId="77777777">
        <w:trPr>
          <w:trHeight w:val="225"/>
        </w:trPr>
        <w:tc>
          <w:tcPr>
            <w:tcW w:w="880" w:type="dxa"/>
            <w:vAlign w:val="bottom"/>
          </w:tcPr>
          <w:p w14:paraId="225B2A75" w14:textId="77777777" w:rsidR="00D1587D" w:rsidRDefault="00D1587D">
            <w:pPr>
              <w:rPr>
                <w:sz w:val="19"/>
                <w:szCs w:val="19"/>
              </w:rPr>
            </w:pPr>
          </w:p>
        </w:tc>
        <w:tc>
          <w:tcPr>
            <w:tcW w:w="80" w:type="dxa"/>
            <w:vAlign w:val="bottom"/>
          </w:tcPr>
          <w:p w14:paraId="1E78913D" w14:textId="77777777" w:rsidR="00D1587D" w:rsidRDefault="00D1587D">
            <w:pPr>
              <w:rPr>
                <w:sz w:val="19"/>
                <w:szCs w:val="19"/>
              </w:rPr>
            </w:pPr>
          </w:p>
        </w:tc>
        <w:tc>
          <w:tcPr>
            <w:tcW w:w="580" w:type="dxa"/>
            <w:vAlign w:val="bottom"/>
          </w:tcPr>
          <w:p w14:paraId="1268969F" w14:textId="77777777" w:rsidR="00D1587D" w:rsidRDefault="00D1587D">
            <w:pPr>
              <w:rPr>
                <w:sz w:val="19"/>
                <w:szCs w:val="19"/>
              </w:rPr>
            </w:pPr>
          </w:p>
        </w:tc>
        <w:tc>
          <w:tcPr>
            <w:tcW w:w="20" w:type="dxa"/>
            <w:vAlign w:val="bottom"/>
          </w:tcPr>
          <w:p w14:paraId="516713D9" w14:textId="77777777" w:rsidR="00D1587D" w:rsidRDefault="00D1587D">
            <w:pPr>
              <w:rPr>
                <w:sz w:val="19"/>
                <w:szCs w:val="19"/>
              </w:rPr>
            </w:pPr>
          </w:p>
        </w:tc>
        <w:tc>
          <w:tcPr>
            <w:tcW w:w="80" w:type="dxa"/>
            <w:vAlign w:val="bottom"/>
          </w:tcPr>
          <w:p w14:paraId="7A714D9C" w14:textId="77777777" w:rsidR="00D1587D" w:rsidRDefault="00D1587D">
            <w:pPr>
              <w:rPr>
                <w:sz w:val="19"/>
                <w:szCs w:val="19"/>
              </w:rPr>
            </w:pPr>
          </w:p>
        </w:tc>
        <w:tc>
          <w:tcPr>
            <w:tcW w:w="760" w:type="dxa"/>
            <w:vAlign w:val="bottom"/>
          </w:tcPr>
          <w:p w14:paraId="67BB5B72" w14:textId="77777777" w:rsidR="00D1587D" w:rsidRDefault="00D1587D">
            <w:pPr>
              <w:rPr>
                <w:sz w:val="19"/>
                <w:szCs w:val="19"/>
              </w:rPr>
            </w:pPr>
          </w:p>
        </w:tc>
        <w:tc>
          <w:tcPr>
            <w:tcW w:w="80" w:type="dxa"/>
            <w:vAlign w:val="bottom"/>
          </w:tcPr>
          <w:p w14:paraId="19B01555" w14:textId="77777777" w:rsidR="00D1587D" w:rsidRDefault="00D1587D">
            <w:pPr>
              <w:rPr>
                <w:sz w:val="19"/>
                <w:szCs w:val="19"/>
              </w:rPr>
            </w:pPr>
          </w:p>
        </w:tc>
        <w:tc>
          <w:tcPr>
            <w:tcW w:w="860" w:type="dxa"/>
            <w:vAlign w:val="bottom"/>
          </w:tcPr>
          <w:p w14:paraId="132F2D75" w14:textId="77777777" w:rsidR="00D1587D" w:rsidRDefault="00D1587D">
            <w:pPr>
              <w:rPr>
                <w:sz w:val="19"/>
                <w:szCs w:val="19"/>
              </w:rPr>
            </w:pPr>
          </w:p>
        </w:tc>
        <w:tc>
          <w:tcPr>
            <w:tcW w:w="80" w:type="dxa"/>
            <w:vAlign w:val="bottom"/>
          </w:tcPr>
          <w:p w14:paraId="13EF913C" w14:textId="77777777" w:rsidR="00D1587D" w:rsidRDefault="00D1587D">
            <w:pPr>
              <w:rPr>
                <w:sz w:val="19"/>
                <w:szCs w:val="19"/>
              </w:rPr>
            </w:pPr>
          </w:p>
        </w:tc>
        <w:tc>
          <w:tcPr>
            <w:tcW w:w="760" w:type="dxa"/>
            <w:vAlign w:val="bottom"/>
          </w:tcPr>
          <w:p w14:paraId="68A37952" w14:textId="77777777" w:rsidR="00D1587D" w:rsidRDefault="00D1587D">
            <w:pPr>
              <w:rPr>
                <w:sz w:val="19"/>
                <w:szCs w:val="19"/>
              </w:rPr>
            </w:pPr>
          </w:p>
        </w:tc>
        <w:tc>
          <w:tcPr>
            <w:tcW w:w="80" w:type="dxa"/>
            <w:vAlign w:val="bottom"/>
          </w:tcPr>
          <w:p w14:paraId="6272266A" w14:textId="77777777" w:rsidR="00D1587D" w:rsidRDefault="00D1587D">
            <w:pPr>
              <w:rPr>
                <w:sz w:val="19"/>
                <w:szCs w:val="19"/>
              </w:rPr>
            </w:pPr>
          </w:p>
        </w:tc>
        <w:tc>
          <w:tcPr>
            <w:tcW w:w="520" w:type="dxa"/>
            <w:vAlign w:val="bottom"/>
          </w:tcPr>
          <w:p w14:paraId="5038925D" w14:textId="77777777" w:rsidR="00D1587D" w:rsidRDefault="00D1587D">
            <w:pPr>
              <w:rPr>
                <w:sz w:val="19"/>
                <w:szCs w:val="19"/>
              </w:rPr>
            </w:pPr>
          </w:p>
        </w:tc>
        <w:tc>
          <w:tcPr>
            <w:tcW w:w="80" w:type="dxa"/>
            <w:vAlign w:val="bottom"/>
          </w:tcPr>
          <w:p w14:paraId="2553DC2B" w14:textId="77777777" w:rsidR="00D1587D" w:rsidRDefault="00D1587D">
            <w:pPr>
              <w:rPr>
                <w:sz w:val="19"/>
                <w:szCs w:val="19"/>
              </w:rPr>
            </w:pPr>
          </w:p>
        </w:tc>
        <w:tc>
          <w:tcPr>
            <w:tcW w:w="680" w:type="dxa"/>
            <w:vAlign w:val="bottom"/>
          </w:tcPr>
          <w:p w14:paraId="1D32240E" w14:textId="77777777" w:rsidR="00D1587D" w:rsidRDefault="00D1587D">
            <w:pPr>
              <w:rPr>
                <w:sz w:val="19"/>
                <w:szCs w:val="19"/>
              </w:rPr>
            </w:pPr>
          </w:p>
        </w:tc>
        <w:tc>
          <w:tcPr>
            <w:tcW w:w="80" w:type="dxa"/>
            <w:vAlign w:val="bottom"/>
          </w:tcPr>
          <w:p w14:paraId="279DFD09" w14:textId="77777777" w:rsidR="00D1587D" w:rsidRDefault="00D1587D">
            <w:pPr>
              <w:rPr>
                <w:sz w:val="19"/>
                <w:szCs w:val="19"/>
              </w:rPr>
            </w:pPr>
          </w:p>
        </w:tc>
        <w:tc>
          <w:tcPr>
            <w:tcW w:w="740" w:type="dxa"/>
            <w:gridSpan w:val="2"/>
            <w:vAlign w:val="bottom"/>
          </w:tcPr>
          <w:p w14:paraId="730114D6" w14:textId="77777777" w:rsidR="00D1587D" w:rsidRDefault="00410D07">
            <w:pPr>
              <w:ind w:right="80"/>
              <w:jc w:val="right"/>
              <w:rPr>
                <w:sz w:val="20"/>
                <w:szCs w:val="20"/>
              </w:rPr>
            </w:pPr>
            <w:r>
              <w:rPr>
                <w:rFonts w:ascii="Arial" w:eastAsia="Arial" w:hAnsi="Arial" w:cs="Arial"/>
                <w:sz w:val="14"/>
                <w:szCs w:val="14"/>
              </w:rPr>
              <w:t>3/28/2019</w:t>
            </w:r>
          </w:p>
        </w:tc>
        <w:tc>
          <w:tcPr>
            <w:tcW w:w="740" w:type="dxa"/>
            <w:gridSpan w:val="2"/>
            <w:vAlign w:val="bottom"/>
          </w:tcPr>
          <w:p w14:paraId="0B895C64" w14:textId="77777777" w:rsidR="00D1587D" w:rsidRDefault="00410D07">
            <w:pPr>
              <w:spacing w:line="225" w:lineRule="exact"/>
              <w:ind w:right="80"/>
              <w:jc w:val="right"/>
              <w:rPr>
                <w:sz w:val="20"/>
                <w:szCs w:val="20"/>
              </w:rPr>
            </w:pPr>
            <w:r>
              <w:rPr>
                <w:rFonts w:ascii="Arial" w:eastAsia="Arial" w:hAnsi="Arial" w:cs="Arial"/>
                <w:sz w:val="14"/>
                <w:szCs w:val="14"/>
              </w:rPr>
              <w:t>19,327</w:t>
            </w:r>
            <w:r>
              <w:rPr>
                <w:rFonts w:ascii="Arial" w:eastAsia="Arial" w:hAnsi="Arial" w:cs="Arial"/>
                <w:sz w:val="23"/>
                <w:szCs w:val="23"/>
                <w:vertAlign w:val="superscript"/>
              </w:rPr>
              <w:t>(6)</w:t>
            </w:r>
          </w:p>
        </w:tc>
        <w:tc>
          <w:tcPr>
            <w:tcW w:w="680" w:type="dxa"/>
            <w:gridSpan w:val="2"/>
            <w:vAlign w:val="bottom"/>
          </w:tcPr>
          <w:p w14:paraId="2FAA2B8A" w14:textId="77777777" w:rsidR="00D1587D" w:rsidRDefault="00410D07">
            <w:pPr>
              <w:ind w:right="80"/>
              <w:jc w:val="right"/>
              <w:rPr>
                <w:sz w:val="20"/>
                <w:szCs w:val="20"/>
              </w:rPr>
            </w:pPr>
            <w:r>
              <w:rPr>
                <w:rFonts w:ascii="Arial" w:eastAsia="Arial" w:hAnsi="Arial" w:cs="Arial"/>
                <w:sz w:val="14"/>
                <w:szCs w:val="14"/>
              </w:rPr>
              <w:t>787,769</w:t>
            </w:r>
          </w:p>
        </w:tc>
        <w:tc>
          <w:tcPr>
            <w:tcW w:w="700" w:type="dxa"/>
            <w:gridSpan w:val="2"/>
            <w:vAlign w:val="bottom"/>
          </w:tcPr>
          <w:p w14:paraId="2E55245A" w14:textId="77777777" w:rsidR="00D1587D" w:rsidRDefault="00410D07">
            <w:pPr>
              <w:spacing w:line="225" w:lineRule="exact"/>
              <w:ind w:right="80"/>
              <w:jc w:val="right"/>
              <w:rPr>
                <w:sz w:val="20"/>
                <w:szCs w:val="20"/>
              </w:rPr>
            </w:pPr>
            <w:r>
              <w:rPr>
                <w:rFonts w:ascii="Arial" w:eastAsia="Arial" w:hAnsi="Arial" w:cs="Arial"/>
                <w:w w:val="85"/>
                <w:sz w:val="14"/>
                <w:szCs w:val="14"/>
              </w:rPr>
              <w:t>32,212</w:t>
            </w:r>
            <w:r>
              <w:rPr>
                <w:rFonts w:ascii="Arial" w:eastAsia="Arial" w:hAnsi="Arial" w:cs="Arial"/>
                <w:w w:val="85"/>
                <w:sz w:val="23"/>
                <w:szCs w:val="23"/>
                <w:vertAlign w:val="superscript"/>
              </w:rPr>
              <w:t>(19)</w:t>
            </w:r>
          </w:p>
        </w:tc>
        <w:tc>
          <w:tcPr>
            <w:tcW w:w="600" w:type="dxa"/>
            <w:vAlign w:val="bottom"/>
          </w:tcPr>
          <w:p w14:paraId="136054A9" w14:textId="77777777" w:rsidR="00D1587D" w:rsidRDefault="00410D07">
            <w:pPr>
              <w:jc w:val="right"/>
              <w:rPr>
                <w:sz w:val="20"/>
                <w:szCs w:val="20"/>
              </w:rPr>
            </w:pPr>
            <w:r>
              <w:rPr>
                <w:rFonts w:ascii="Arial" w:eastAsia="Arial" w:hAnsi="Arial" w:cs="Arial"/>
                <w:w w:val="93"/>
                <w:sz w:val="14"/>
                <w:szCs w:val="14"/>
              </w:rPr>
              <w:t>1,312,961</w:t>
            </w:r>
          </w:p>
        </w:tc>
        <w:tc>
          <w:tcPr>
            <w:tcW w:w="0" w:type="dxa"/>
            <w:vAlign w:val="bottom"/>
          </w:tcPr>
          <w:p w14:paraId="719C8134" w14:textId="77777777" w:rsidR="00D1587D" w:rsidRDefault="00D1587D">
            <w:pPr>
              <w:rPr>
                <w:sz w:val="1"/>
                <w:szCs w:val="1"/>
              </w:rPr>
            </w:pPr>
          </w:p>
        </w:tc>
      </w:tr>
      <w:tr w:rsidR="00D1587D" w14:paraId="1389E168" w14:textId="77777777">
        <w:trPr>
          <w:trHeight w:val="257"/>
        </w:trPr>
        <w:tc>
          <w:tcPr>
            <w:tcW w:w="880" w:type="dxa"/>
            <w:shd w:val="clear" w:color="auto" w:fill="CCEEFF"/>
            <w:vAlign w:val="bottom"/>
          </w:tcPr>
          <w:p w14:paraId="0229DD26" w14:textId="77777777" w:rsidR="00D1587D" w:rsidRDefault="00410D07">
            <w:pPr>
              <w:rPr>
                <w:sz w:val="20"/>
                <w:szCs w:val="20"/>
              </w:rPr>
            </w:pPr>
            <w:r>
              <w:rPr>
                <w:rFonts w:ascii="Arial" w:eastAsia="Arial" w:hAnsi="Arial" w:cs="Arial"/>
                <w:sz w:val="14"/>
                <w:szCs w:val="14"/>
              </w:rPr>
              <w:t>John Mehas</w:t>
            </w:r>
          </w:p>
        </w:tc>
        <w:tc>
          <w:tcPr>
            <w:tcW w:w="80" w:type="dxa"/>
            <w:shd w:val="clear" w:color="auto" w:fill="CCEEFF"/>
            <w:vAlign w:val="bottom"/>
          </w:tcPr>
          <w:p w14:paraId="1B159FAC" w14:textId="77777777" w:rsidR="00D1587D" w:rsidRDefault="00D1587D"/>
        </w:tc>
        <w:tc>
          <w:tcPr>
            <w:tcW w:w="580" w:type="dxa"/>
            <w:shd w:val="clear" w:color="auto" w:fill="CCEEFF"/>
            <w:vAlign w:val="bottom"/>
          </w:tcPr>
          <w:p w14:paraId="279B4B0D" w14:textId="77777777" w:rsidR="00D1587D" w:rsidRDefault="00D1587D"/>
        </w:tc>
        <w:tc>
          <w:tcPr>
            <w:tcW w:w="20" w:type="dxa"/>
            <w:shd w:val="clear" w:color="auto" w:fill="CCEEFF"/>
            <w:vAlign w:val="bottom"/>
          </w:tcPr>
          <w:p w14:paraId="0B9AF9BB" w14:textId="77777777" w:rsidR="00D1587D" w:rsidRDefault="00D1587D"/>
        </w:tc>
        <w:tc>
          <w:tcPr>
            <w:tcW w:w="80" w:type="dxa"/>
            <w:shd w:val="clear" w:color="auto" w:fill="CCEEFF"/>
            <w:vAlign w:val="bottom"/>
          </w:tcPr>
          <w:p w14:paraId="536B43C3" w14:textId="77777777" w:rsidR="00D1587D" w:rsidRDefault="00D1587D"/>
        </w:tc>
        <w:tc>
          <w:tcPr>
            <w:tcW w:w="760" w:type="dxa"/>
            <w:shd w:val="clear" w:color="auto" w:fill="CCEEFF"/>
            <w:vAlign w:val="bottom"/>
          </w:tcPr>
          <w:p w14:paraId="55137EF5" w14:textId="77777777" w:rsidR="00D1587D" w:rsidRDefault="00D1587D"/>
        </w:tc>
        <w:tc>
          <w:tcPr>
            <w:tcW w:w="80" w:type="dxa"/>
            <w:shd w:val="clear" w:color="auto" w:fill="CCEEFF"/>
            <w:vAlign w:val="bottom"/>
          </w:tcPr>
          <w:p w14:paraId="67FA6527" w14:textId="77777777" w:rsidR="00D1587D" w:rsidRDefault="00D1587D"/>
        </w:tc>
        <w:tc>
          <w:tcPr>
            <w:tcW w:w="860" w:type="dxa"/>
            <w:shd w:val="clear" w:color="auto" w:fill="CCEEFF"/>
            <w:vAlign w:val="bottom"/>
          </w:tcPr>
          <w:p w14:paraId="0C077571" w14:textId="77777777" w:rsidR="00D1587D" w:rsidRDefault="00D1587D"/>
        </w:tc>
        <w:tc>
          <w:tcPr>
            <w:tcW w:w="80" w:type="dxa"/>
            <w:shd w:val="clear" w:color="auto" w:fill="CCEEFF"/>
            <w:vAlign w:val="bottom"/>
          </w:tcPr>
          <w:p w14:paraId="15313596" w14:textId="77777777" w:rsidR="00D1587D" w:rsidRDefault="00D1587D"/>
        </w:tc>
        <w:tc>
          <w:tcPr>
            <w:tcW w:w="760" w:type="dxa"/>
            <w:shd w:val="clear" w:color="auto" w:fill="CCEEFF"/>
            <w:vAlign w:val="bottom"/>
          </w:tcPr>
          <w:p w14:paraId="1BE1848D" w14:textId="77777777" w:rsidR="00D1587D" w:rsidRDefault="00D1587D"/>
        </w:tc>
        <w:tc>
          <w:tcPr>
            <w:tcW w:w="80" w:type="dxa"/>
            <w:shd w:val="clear" w:color="auto" w:fill="CCEEFF"/>
            <w:vAlign w:val="bottom"/>
          </w:tcPr>
          <w:p w14:paraId="35A6CC85" w14:textId="77777777" w:rsidR="00D1587D" w:rsidRDefault="00D1587D"/>
        </w:tc>
        <w:tc>
          <w:tcPr>
            <w:tcW w:w="520" w:type="dxa"/>
            <w:shd w:val="clear" w:color="auto" w:fill="CCEEFF"/>
            <w:vAlign w:val="bottom"/>
          </w:tcPr>
          <w:p w14:paraId="5B00E61A" w14:textId="77777777" w:rsidR="00D1587D" w:rsidRDefault="00D1587D"/>
        </w:tc>
        <w:tc>
          <w:tcPr>
            <w:tcW w:w="80" w:type="dxa"/>
            <w:shd w:val="clear" w:color="auto" w:fill="CCEEFF"/>
            <w:vAlign w:val="bottom"/>
          </w:tcPr>
          <w:p w14:paraId="4C8860D7" w14:textId="77777777" w:rsidR="00D1587D" w:rsidRDefault="00D1587D"/>
        </w:tc>
        <w:tc>
          <w:tcPr>
            <w:tcW w:w="680" w:type="dxa"/>
            <w:shd w:val="clear" w:color="auto" w:fill="CCEEFF"/>
            <w:vAlign w:val="bottom"/>
          </w:tcPr>
          <w:p w14:paraId="26F7F970" w14:textId="77777777" w:rsidR="00D1587D" w:rsidRDefault="00D1587D"/>
        </w:tc>
        <w:tc>
          <w:tcPr>
            <w:tcW w:w="80" w:type="dxa"/>
            <w:shd w:val="clear" w:color="auto" w:fill="CCEEFF"/>
            <w:vAlign w:val="bottom"/>
          </w:tcPr>
          <w:p w14:paraId="122915A8" w14:textId="77777777" w:rsidR="00D1587D" w:rsidRDefault="00D1587D"/>
        </w:tc>
        <w:tc>
          <w:tcPr>
            <w:tcW w:w="740" w:type="dxa"/>
            <w:gridSpan w:val="2"/>
            <w:shd w:val="clear" w:color="auto" w:fill="CCEEFF"/>
            <w:vAlign w:val="bottom"/>
          </w:tcPr>
          <w:p w14:paraId="4D308AF3" w14:textId="77777777" w:rsidR="00D1587D" w:rsidRDefault="00410D07">
            <w:pPr>
              <w:ind w:right="80"/>
              <w:jc w:val="right"/>
              <w:rPr>
                <w:sz w:val="20"/>
                <w:szCs w:val="20"/>
              </w:rPr>
            </w:pPr>
            <w:r>
              <w:rPr>
                <w:rFonts w:ascii="Arial" w:eastAsia="Arial" w:hAnsi="Arial" w:cs="Arial"/>
                <w:sz w:val="14"/>
                <w:szCs w:val="14"/>
              </w:rPr>
              <w:t>2/11/2019</w:t>
            </w:r>
          </w:p>
        </w:tc>
        <w:tc>
          <w:tcPr>
            <w:tcW w:w="740" w:type="dxa"/>
            <w:gridSpan w:val="2"/>
            <w:shd w:val="clear" w:color="auto" w:fill="CCEEFF"/>
            <w:vAlign w:val="bottom"/>
          </w:tcPr>
          <w:p w14:paraId="5A4F599A" w14:textId="77777777" w:rsidR="00D1587D" w:rsidRDefault="00410D07">
            <w:pPr>
              <w:spacing w:line="256" w:lineRule="exact"/>
              <w:ind w:right="80"/>
              <w:jc w:val="right"/>
              <w:rPr>
                <w:sz w:val="20"/>
                <w:szCs w:val="20"/>
              </w:rPr>
            </w:pPr>
            <w:r>
              <w:rPr>
                <w:rFonts w:ascii="Arial" w:eastAsia="Arial" w:hAnsi="Arial" w:cs="Arial"/>
                <w:w w:val="91"/>
                <w:sz w:val="14"/>
                <w:szCs w:val="14"/>
              </w:rPr>
              <w:t>32,264</w:t>
            </w:r>
            <w:r>
              <w:rPr>
                <w:rFonts w:ascii="Arial" w:eastAsia="Arial" w:hAnsi="Arial" w:cs="Arial"/>
                <w:w w:val="91"/>
                <w:sz w:val="23"/>
                <w:szCs w:val="23"/>
                <w:vertAlign w:val="superscript"/>
              </w:rPr>
              <w:t>(14)</w:t>
            </w:r>
          </w:p>
        </w:tc>
        <w:tc>
          <w:tcPr>
            <w:tcW w:w="680" w:type="dxa"/>
            <w:gridSpan w:val="2"/>
            <w:shd w:val="clear" w:color="auto" w:fill="CCEEFF"/>
            <w:vAlign w:val="bottom"/>
          </w:tcPr>
          <w:p w14:paraId="312D542B" w14:textId="77777777" w:rsidR="00D1587D" w:rsidRDefault="00410D07">
            <w:pPr>
              <w:ind w:right="80"/>
              <w:jc w:val="right"/>
              <w:rPr>
                <w:sz w:val="20"/>
                <w:szCs w:val="20"/>
              </w:rPr>
            </w:pPr>
            <w:r>
              <w:rPr>
                <w:rFonts w:ascii="Arial" w:eastAsia="Arial" w:hAnsi="Arial" w:cs="Arial"/>
                <w:w w:val="93"/>
                <w:sz w:val="14"/>
                <w:szCs w:val="14"/>
              </w:rPr>
              <w:t>1,315,081</w:t>
            </w:r>
          </w:p>
        </w:tc>
        <w:tc>
          <w:tcPr>
            <w:tcW w:w="700" w:type="dxa"/>
            <w:gridSpan w:val="2"/>
            <w:shd w:val="clear" w:color="auto" w:fill="CCEEFF"/>
            <w:vAlign w:val="bottom"/>
          </w:tcPr>
          <w:p w14:paraId="3302CCB0" w14:textId="77777777" w:rsidR="00D1587D" w:rsidRDefault="00410D07">
            <w:pPr>
              <w:ind w:right="80"/>
              <w:jc w:val="right"/>
              <w:rPr>
                <w:sz w:val="20"/>
                <w:szCs w:val="20"/>
              </w:rPr>
            </w:pPr>
            <w:r>
              <w:rPr>
                <w:rFonts w:ascii="Arial" w:eastAsia="Arial" w:hAnsi="Arial" w:cs="Arial"/>
                <w:sz w:val="14"/>
                <w:szCs w:val="14"/>
              </w:rPr>
              <w:t>—</w:t>
            </w:r>
          </w:p>
        </w:tc>
        <w:tc>
          <w:tcPr>
            <w:tcW w:w="600" w:type="dxa"/>
            <w:shd w:val="clear" w:color="auto" w:fill="CCEEFF"/>
            <w:vAlign w:val="bottom"/>
          </w:tcPr>
          <w:p w14:paraId="0D735854" w14:textId="77777777" w:rsidR="00D1587D" w:rsidRDefault="00410D07">
            <w:pPr>
              <w:jc w:val="right"/>
              <w:rPr>
                <w:sz w:val="20"/>
                <w:szCs w:val="20"/>
              </w:rPr>
            </w:pPr>
            <w:r>
              <w:rPr>
                <w:rFonts w:ascii="Arial" w:eastAsia="Arial" w:hAnsi="Arial" w:cs="Arial"/>
                <w:sz w:val="14"/>
                <w:szCs w:val="14"/>
              </w:rPr>
              <w:t>—</w:t>
            </w:r>
          </w:p>
        </w:tc>
        <w:tc>
          <w:tcPr>
            <w:tcW w:w="0" w:type="dxa"/>
            <w:vAlign w:val="bottom"/>
          </w:tcPr>
          <w:p w14:paraId="1D104092" w14:textId="77777777" w:rsidR="00D1587D" w:rsidRDefault="00D1587D">
            <w:pPr>
              <w:rPr>
                <w:sz w:val="1"/>
                <w:szCs w:val="1"/>
              </w:rPr>
            </w:pPr>
          </w:p>
        </w:tc>
      </w:tr>
    </w:tbl>
    <w:p w14:paraId="2B990762" w14:textId="77777777" w:rsidR="00D1587D" w:rsidRDefault="00410D07">
      <w:pPr>
        <w:spacing w:line="20" w:lineRule="exact"/>
        <w:rPr>
          <w:sz w:val="20"/>
          <w:szCs w:val="20"/>
        </w:rPr>
      </w:pPr>
      <w:r>
        <w:rPr>
          <w:noProof/>
          <w:sz w:val="20"/>
          <w:szCs w:val="20"/>
        </w:rPr>
        <w:drawing>
          <wp:anchor distT="0" distB="0" distL="114300" distR="114300" simplePos="0" relativeHeight="251898880" behindDoc="1" locked="0" layoutInCell="0" allowOverlap="1" wp14:anchorId="1547CA56" wp14:editId="7E2A0AFF">
            <wp:simplePos x="0" y="0"/>
            <wp:positionH relativeFrom="column">
              <wp:posOffset>5080</wp:posOffset>
            </wp:positionH>
            <wp:positionV relativeFrom="paragraph">
              <wp:posOffset>154305</wp:posOffset>
            </wp:positionV>
            <wp:extent cx="822960" cy="8255"/>
            <wp:effectExtent l="0" t="0" r="0" b="0"/>
            <wp:wrapNone/>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28BD01B6" w14:textId="77777777" w:rsidR="00D1587D" w:rsidRDefault="00D1587D">
      <w:pPr>
        <w:spacing w:line="272" w:lineRule="exact"/>
        <w:rPr>
          <w:sz w:val="20"/>
          <w:szCs w:val="20"/>
        </w:rPr>
      </w:pPr>
    </w:p>
    <w:p w14:paraId="75F7650D"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Options vest on March 31, 2021.</w:t>
      </w:r>
    </w:p>
    <w:p w14:paraId="2EEC9DEF" w14:textId="77777777" w:rsidR="00D1587D" w:rsidRDefault="00D1587D">
      <w:pPr>
        <w:spacing w:line="41" w:lineRule="exact"/>
        <w:rPr>
          <w:rFonts w:ascii="Arial" w:eastAsia="Arial" w:hAnsi="Arial" w:cs="Arial"/>
          <w:sz w:val="14"/>
          <w:szCs w:val="14"/>
        </w:rPr>
      </w:pPr>
    </w:p>
    <w:p w14:paraId="46739731"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 xml:space="preserve">Options vest 50% on </w:t>
      </w:r>
      <w:r>
        <w:rPr>
          <w:rFonts w:ascii="Arial" w:eastAsia="Arial" w:hAnsi="Arial" w:cs="Arial"/>
          <w:sz w:val="14"/>
          <w:szCs w:val="14"/>
        </w:rPr>
        <w:t>March 31, 2021 and 50% on March 31, 2022.</w:t>
      </w:r>
    </w:p>
    <w:p w14:paraId="5B7C0392" w14:textId="77777777" w:rsidR="00D1587D" w:rsidRDefault="00D1587D">
      <w:pPr>
        <w:spacing w:line="41" w:lineRule="exact"/>
        <w:rPr>
          <w:rFonts w:ascii="Arial" w:eastAsia="Arial" w:hAnsi="Arial" w:cs="Arial"/>
          <w:sz w:val="14"/>
          <w:szCs w:val="14"/>
        </w:rPr>
      </w:pPr>
    </w:p>
    <w:p w14:paraId="3FA1F0E6"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Options vest 25% on March 21, 2021, 37.5% on March 21, 2022 and 37.5% on March 21, 2023.</w:t>
      </w:r>
    </w:p>
    <w:p w14:paraId="42A380DF" w14:textId="77777777" w:rsidR="00D1587D" w:rsidRDefault="00D1587D">
      <w:pPr>
        <w:spacing w:line="41" w:lineRule="exact"/>
        <w:rPr>
          <w:rFonts w:ascii="Arial" w:eastAsia="Arial" w:hAnsi="Arial" w:cs="Arial"/>
          <w:sz w:val="14"/>
          <w:szCs w:val="14"/>
        </w:rPr>
      </w:pPr>
    </w:p>
    <w:p w14:paraId="1593B245"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Options vest 50% on March 28, 2021 and 50% on March 28, 2022.</w:t>
      </w:r>
    </w:p>
    <w:p w14:paraId="5E2AD0F0" w14:textId="77777777" w:rsidR="00D1587D" w:rsidRDefault="00D1587D">
      <w:pPr>
        <w:spacing w:line="41" w:lineRule="exact"/>
        <w:rPr>
          <w:rFonts w:ascii="Arial" w:eastAsia="Arial" w:hAnsi="Arial" w:cs="Arial"/>
          <w:sz w:val="14"/>
          <w:szCs w:val="14"/>
        </w:rPr>
      </w:pPr>
    </w:p>
    <w:p w14:paraId="2B9E7928"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Options vest 100% on March 21, 2021.</w:t>
      </w:r>
    </w:p>
    <w:p w14:paraId="799AB192" w14:textId="77777777" w:rsidR="00D1587D" w:rsidRDefault="00D1587D">
      <w:pPr>
        <w:spacing w:line="41" w:lineRule="exact"/>
        <w:rPr>
          <w:rFonts w:ascii="Arial" w:eastAsia="Arial" w:hAnsi="Arial" w:cs="Arial"/>
          <w:sz w:val="14"/>
          <w:szCs w:val="14"/>
        </w:rPr>
      </w:pPr>
    </w:p>
    <w:p w14:paraId="3E9B172A"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on March 2</w:t>
      </w:r>
      <w:r>
        <w:rPr>
          <w:rFonts w:ascii="Arial" w:eastAsia="Arial" w:hAnsi="Arial" w:cs="Arial"/>
          <w:sz w:val="14"/>
          <w:szCs w:val="14"/>
        </w:rPr>
        <w:t>8, 2022.</w:t>
      </w:r>
    </w:p>
    <w:p w14:paraId="5ED47A1A" w14:textId="77777777" w:rsidR="00D1587D" w:rsidRDefault="00D1587D">
      <w:pPr>
        <w:spacing w:line="41" w:lineRule="exact"/>
        <w:rPr>
          <w:rFonts w:ascii="Arial" w:eastAsia="Arial" w:hAnsi="Arial" w:cs="Arial"/>
          <w:sz w:val="14"/>
          <w:szCs w:val="14"/>
        </w:rPr>
      </w:pPr>
    </w:p>
    <w:p w14:paraId="185D1B1A"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on December 11, 2023.</w:t>
      </w:r>
    </w:p>
    <w:p w14:paraId="46E57E40" w14:textId="77777777" w:rsidR="00D1587D" w:rsidRDefault="00D1587D">
      <w:pPr>
        <w:spacing w:line="41" w:lineRule="exact"/>
        <w:rPr>
          <w:rFonts w:ascii="Arial" w:eastAsia="Arial" w:hAnsi="Arial" w:cs="Arial"/>
          <w:sz w:val="14"/>
          <w:szCs w:val="14"/>
        </w:rPr>
      </w:pPr>
    </w:p>
    <w:p w14:paraId="6D2933DD"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on March 31, 2021.</w:t>
      </w:r>
    </w:p>
    <w:p w14:paraId="60B7A496" w14:textId="77777777" w:rsidR="00D1587D" w:rsidRDefault="00D1587D">
      <w:pPr>
        <w:spacing w:line="41" w:lineRule="exact"/>
        <w:rPr>
          <w:rFonts w:ascii="Arial" w:eastAsia="Arial" w:hAnsi="Arial" w:cs="Arial"/>
          <w:sz w:val="14"/>
          <w:szCs w:val="14"/>
        </w:rPr>
      </w:pPr>
    </w:p>
    <w:p w14:paraId="0031FFB7"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50% on March 31, 2021 and 50% on March 31, 2022.</w:t>
      </w:r>
    </w:p>
    <w:p w14:paraId="192BAE34" w14:textId="77777777" w:rsidR="00D1587D" w:rsidRDefault="00D1587D">
      <w:pPr>
        <w:spacing w:line="41" w:lineRule="exact"/>
        <w:rPr>
          <w:rFonts w:ascii="Arial" w:eastAsia="Arial" w:hAnsi="Arial" w:cs="Arial"/>
          <w:sz w:val="14"/>
          <w:szCs w:val="14"/>
        </w:rPr>
      </w:pPr>
    </w:p>
    <w:p w14:paraId="3BC6C680"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on March 21, 2021.</w:t>
      </w:r>
    </w:p>
    <w:p w14:paraId="53B9FAE4" w14:textId="77777777" w:rsidR="00D1587D" w:rsidRDefault="00D1587D">
      <w:pPr>
        <w:spacing w:line="41" w:lineRule="exact"/>
        <w:rPr>
          <w:rFonts w:ascii="Arial" w:eastAsia="Arial" w:hAnsi="Arial" w:cs="Arial"/>
          <w:sz w:val="14"/>
          <w:szCs w:val="14"/>
        </w:rPr>
      </w:pPr>
    </w:p>
    <w:p w14:paraId="20DAD971"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on July 9, 2021.</w:t>
      </w:r>
    </w:p>
    <w:p w14:paraId="06D48B03" w14:textId="77777777" w:rsidR="00D1587D" w:rsidRDefault="00D1587D">
      <w:pPr>
        <w:spacing w:line="41" w:lineRule="exact"/>
        <w:rPr>
          <w:rFonts w:ascii="Arial" w:eastAsia="Arial" w:hAnsi="Arial" w:cs="Arial"/>
          <w:sz w:val="14"/>
          <w:szCs w:val="14"/>
        </w:rPr>
      </w:pPr>
    </w:p>
    <w:p w14:paraId="22E5A618"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on October 9, 2021.</w:t>
      </w:r>
    </w:p>
    <w:p w14:paraId="5F219C71" w14:textId="77777777" w:rsidR="00D1587D" w:rsidRDefault="00D1587D">
      <w:pPr>
        <w:spacing w:line="41" w:lineRule="exact"/>
        <w:rPr>
          <w:rFonts w:ascii="Arial" w:eastAsia="Arial" w:hAnsi="Arial" w:cs="Arial"/>
          <w:sz w:val="14"/>
          <w:szCs w:val="14"/>
        </w:rPr>
      </w:pPr>
    </w:p>
    <w:p w14:paraId="277B7DF5"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25% on Apr</w:t>
      </w:r>
      <w:r>
        <w:rPr>
          <w:rFonts w:ascii="Arial" w:eastAsia="Arial" w:hAnsi="Arial" w:cs="Arial"/>
          <w:sz w:val="14"/>
          <w:szCs w:val="14"/>
        </w:rPr>
        <w:t>il 25, 2021, 37.5% on April 25, 2022 and 37.5% on April 25, 2023.</w:t>
      </w:r>
    </w:p>
    <w:p w14:paraId="479BF0DA" w14:textId="77777777" w:rsidR="00D1587D" w:rsidRDefault="00D1587D">
      <w:pPr>
        <w:spacing w:line="41" w:lineRule="exact"/>
        <w:rPr>
          <w:rFonts w:ascii="Arial" w:eastAsia="Arial" w:hAnsi="Arial" w:cs="Arial"/>
          <w:sz w:val="14"/>
          <w:szCs w:val="14"/>
        </w:rPr>
      </w:pPr>
    </w:p>
    <w:p w14:paraId="4473B4A9"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Shares vest on February 11, 2022.</w:t>
      </w:r>
    </w:p>
    <w:p w14:paraId="25E68C97" w14:textId="77777777" w:rsidR="00D1587D" w:rsidRDefault="00D1587D">
      <w:pPr>
        <w:spacing w:line="41" w:lineRule="exact"/>
        <w:rPr>
          <w:rFonts w:ascii="Arial" w:eastAsia="Arial" w:hAnsi="Arial" w:cs="Arial"/>
          <w:sz w:val="14"/>
          <w:szCs w:val="14"/>
        </w:rPr>
      </w:pPr>
    </w:p>
    <w:p w14:paraId="18AC447D"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Subject to achievement of a performance condition, shares vest 100% on March 31, 2021.</w:t>
      </w:r>
    </w:p>
    <w:p w14:paraId="23CC3BC4" w14:textId="77777777" w:rsidR="00D1587D" w:rsidRDefault="00D1587D">
      <w:pPr>
        <w:spacing w:line="41" w:lineRule="exact"/>
        <w:rPr>
          <w:rFonts w:ascii="Arial" w:eastAsia="Arial" w:hAnsi="Arial" w:cs="Arial"/>
          <w:sz w:val="14"/>
          <w:szCs w:val="14"/>
        </w:rPr>
      </w:pPr>
    </w:p>
    <w:p w14:paraId="6D1D8533"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 xml:space="preserve">Subject to achievement of a performance condition, shares vest </w:t>
      </w:r>
      <w:r>
        <w:rPr>
          <w:rFonts w:ascii="Arial" w:eastAsia="Arial" w:hAnsi="Arial" w:cs="Arial"/>
          <w:sz w:val="14"/>
          <w:szCs w:val="14"/>
        </w:rPr>
        <w:t>50% on March 31, 2021 and 50% on March 31, 2022.</w:t>
      </w:r>
    </w:p>
    <w:p w14:paraId="208BDBCF" w14:textId="77777777" w:rsidR="00D1587D" w:rsidRDefault="00D1587D">
      <w:pPr>
        <w:spacing w:line="41" w:lineRule="exact"/>
        <w:rPr>
          <w:rFonts w:ascii="Arial" w:eastAsia="Arial" w:hAnsi="Arial" w:cs="Arial"/>
          <w:sz w:val="14"/>
          <w:szCs w:val="14"/>
        </w:rPr>
      </w:pPr>
    </w:p>
    <w:p w14:paraId="307C456E" w14:textId="77777777" w:rsidR="00D1587D" w:rsidRDefault="00410D07" w:rsidP="00410D07">
      <w:pPr>
        <w:numPr>
          <w:ilvl w:val="0"/>
          <w:numId w:val="323"/>
        </w:numPr>
        <w:tabs>
          <w:tab w:val="left" w:pos="360"/>
        </w:tabs>
        <w:ind w:left="360" w:hanging="352"/>
        <w:rPr>
          <w:rFonts w:ascii="Arial" w:eastAsia="Arial" w:hAnsi="Arial" w:cs="Arial"/>
          <w:sz w:val="13"/>
          <w:szCs w:val="13"/>
        </w:rPr>
      </w:pPr>
      <w:r>
        <w:rPr>
          <w:rFonts w:ascii="Arial" w:eastAsia="Arial" w:hAnsi="Arial" w:cs="Arial"/>
          <w:sz w:val="13"/>
          <w:szCs w:val="13"/>
        </w:rPr>
        <w:t>Subject to achievement of a performance condition, shares vest 25% on March 21, 2021, 37.5% on March 21, 2022 and 37.5% on March 21, 2023.</w:t>
      </w:r>
    </w:p>
    <w:p w14:paraId="2A804D67" w14:textId="77777777" w:rsidR="00D1587D" w:rsidRDefault="00D1587D">
      <w:pPr>
        <w:spacing w:line="53" w:lineRule="exact"/>
        <w:rPr>
          <w:rFonts w:ascii="Arial" w:eastAsia="Arial" w:hAnsi="Arial" w:cs="Arial"/>
          <w:sz w:val="13"/>
          <w:szCs w:val="13"/>
        </w:rPr>
      </w:pPr>
    </w:p>
    <w:p w14:paraId="172623FD" w14:textId="77777777" w:rsidR="00D1587D" w:rsidRDefault="00410D07" w:rsidP="00410D07">
      <w:pPr>
        <w:numPr>
          <w:ilvl w:val="0"/>
          <w:numId w:val="323"/>
        </w:numPr>
        <w:tabs>
          <w:tab w:val="left" w:pos="360"/>
        </w:tabs>
        <w:ind w:left="360" w:hanging="352"/>
        <w:rPr>
          <w:rFonts w:ascii="Arial" w:eastAsia="Arial" w:hAnsi="Arial" w:cs="Arial"/>
          <w:sz w:val="13"/>
          <w:szCs w:val="13"/>
        </w:rPr>
      </w:pPr>
      <w:r>
        <w:rPr>
          <w:rFonts w:ascii="Arial" w:eastAsia="Arial" w:hAnsi="Arial" w:cs="Arial"/>
          <w:sz w:val="13"/>
          <w:szCs w:val="13"/>
        </w:rPr>
        <w:t xml:space="preserve">Subject to achievement of a performance condition, shares vest </w:t>
      </w:r>
      <w:r>
        <w:rPr>
          <w:rFonts w:ascii="Arial" w:eastAsia="Arial" w:hAnsi="Arial" w:cs="Arial"/>
          <w:sz w:val="13"/>
          <w:szCs w:val="13"/>
        </w:rPr>
        <w:t>25% on April 25, 2021, 37.5% on April 25, 2022 and 37.5% on April 25, 2023.</w:t>
      </w:r>
    </w:p>
    <w:p w14:paraId="2D3F63E6" w14:textId="77777777" w:rsidR="00D1587D" w:rsidRDefault="00D1587D">
      <w:pPr>
        <w:spacing w:line="53" w:lineRule="exact"/>
        <w:rPr>
          <w:rFonts w:ascii="Arial" w:eastAsia="Arial" w:hAnsi="Arial" w:cs="Arial"/>
          <w:sz w:val="13"/>
          <w:szCs w:val="13"/>
        </w:rPr>
      </w:pPr>
    </w:p>
    <w:p w14:paraId="73E830DD" w14:textId="77777777" w:rsidR="00D1587D" w:rsidRDefault="00410D07" w:rsidP="00410D07">
      <w:pPr>
        <w:numPr>
          <w:ilvl w:val="0"/>
          <w:numId w:val="323"/>
        </w:numPr>
        <w:tabs>
          <w:tab w:val="left" w:pos="360"/>
        </w:tabs>
        <w:ind w:left="360" w:hanging="352"/>
        <w:rPr>
          <w:rFonts w:ascii="Arial" w:eastAsia="Arial" w:hAnsi="Arial" w:cs="Arial"/>
          <w:sz w:val="14"/>
          <w:szCs w:val="14"/>
        </w:rPr>
      </w:pPr>
      <w:r>
        <w:rPr>
          <w:rFonts w:ascii="Arial" w:eastAsia="Arial" w:hAnsi="Arial" w:cs="Arial"/>
          <w:sz w:val="14"/>
          <w:szCs w:val="14"/>
        </w:rPr>
        <w:t>Subject to achievement of a performance condition, 100% of these shares vest on March 28, 2023.</w:t>
      </w:r>
    </w:p>
    <w:p w14:paraId="2DA784F9" w14:textId="77777777" w:rsidR="00D1587D" w:rsidRDefault="00D1587D">
      <w:pPr>
        <w:spacing w:line="208" w:lineRule="exact"/>
        <w:rPr>
          <w:sz w:val="20"/>
          <w:szCs w:val="20"/>
        </w:rPr>
      </w:pPr>
    </w:p>
    <w:p w14:paraId="0EA51382" w14:textId="77777777" w:rsidR="00D1587D" w:rsidRDefault="00410D07">
      <w:pPr>
        <w:jc w:val="center"/>
        <w:rPr>
          <w:sz w:val="20"/>
          <w:szCs w:val="20"/>
        </w:rPr>
      </w:pPr>
      <w:r>
        <w:rPr>
          <w:rFonts w:ascii="Arial" w:eastAsia="Arial" w:hAnsi="Arial" w:cs="Arial"/>
          <w:sz w:val="18"/>
          <w:szCs w:val="18"/>
        </w:rPr>
        <w:t>120</w:t>
      </w:r>
    </w:p>
    <w:p w14:paraId="6DEA2DE7" w14:textId="77777777" w:rsidR="00D1587D" w:rsidRDefault="00410D07">
      <w:pPr>
        <w:spacing w:line="20" w:lineRule="exact"/>
        <w:rPr>
          <w:sz w:val="20"/>
          <w:szCs w:val="20"/>
        </w:rPr>
      </w:pPr>
      <w:r>
        <w:rPr>
          <w:noProof/>
          <w:sz w:val="20"/>
          <w:szCs w:val="20"/>
        </w:rPr>
        <w:drawing>
          <wp:anchor distT="0" distB="0" distL="114300" distR="114300" simplePos="0" relativeHeight="251899904" behindDoc="1" locked="0" layoutInCell="0" allowOverlap="1" wp14:anchorId="2DF4DCF6" wp14:editId="25CD9AD1">
            <wp:simplePos x="0" y="0"/>
            <wp:positionH relativeFrom="column">
              <wp:posOffset>-611505</wp:posOffset>
            </wp:positionH>
            <wp:positionV relativeFrom="paragraph">
              <wp:posOffset>126365</wp:posOffset>
            </wp:positionV>
            <wp:extent cx="6995160" cy="17145"/>
            <wp:effectExtent l="0" t="0" r="0" b="0"/>
            <wp:wrapNone/>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BEFE24A" w14:textId="77777777" w:rsidR="00D1587D" w:rsidRDefault="00D1587D">
      <w:pPr>
        <w:sectPr w:rsidR="00D1587D">
          <w:pgSz w:w="11900" w:h="16838"/>
          <w:pgMar w:top="262" w:right="1419" w:bottom="1440" w:left="1400" w:header="0" w:footer="0" w:gutter="0"/>
          <w:cols w:space="720" w:equalWidth="0">
            <w:col w:w="9080"/>
          </w:cols>
        </w:sectPr>
      </w:pPr>
    </w:p>
    <w:bookmarkStart w:id="378" w:name="page379"/>
    <w:bookmarkEnd w:id="378"/>
    <w:p w14:paraId="4CC915F6"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95C597B" w14:textId="77777777" w:rsidR="00D1587D" w:rsidRDefault="00D1587D">
      <w:pPr>
        <w:spacing w:line="127" w:lineRule="exact"/>
        <w:rPr>
          <w:sz w:val="20"/>
          <w:szCs w:val="20"/>
        </w:rPr>
      </w:pPr>
    </w:p>
    <w:p w14:paraId="46E198BA" w14:textId="77777777" w:rsidR="00D1587D" w:rsidRDefault="00410D07">
      <w:pPr>
        <w:jc w:val="center"/>
        <w:rPr>
          <w:sz w:val="20"/>
          <w:szCs w:val="20"/>
        </w:rPr>
      </w:pPr>
      <w:r>
        <w:rPr>
          <w:rFonts w:ascii="Arial" w:eastAsia="Arial" w:hAnsi="Arial" w:cs="Arial"/>
          <w:b/>
          <w:bCs/>
          <w:sz w:val="18"/>
          <w:szCs w:val="18"/>
        </w:rPr>
        <w:t xml:space="preserve">Option </w:t>
      </w:r>
      <w:r>
        <w:rPr>
          <w:rFonts w:ascii="Arial" w:eastAsia="Arial" w:hAnsi="Arial" w:cs="Arial"/>
          <w:b/>
          <w:bCs/>
          <w:sz w:val="18"/>
          <w:szCs w:val="18"/>
        </w:rPr>
        <w:t>Exercises and Stock Vested Information for Fiscal 2020</w:t>
      </w:r>
    </w:p>
    <w:p w14:paraId="57ACF7A1" w14:textId="77777777" w:rsidR="00D1587D" w:rsidRDefault="00D1587D">
      <w:pPr>
        <w:spacing w:line="121" w:lineRule="exact"/>
        <w:rPr>
          <w:sz w:val="20"/>
          <w:szCs w:val="20"/>
        </w:rPr>
      </w:pPr>
    </w:p>
    <w:p w14:paraId="21A4B016" w14:textId="77777777" w:rsidR="00D1587D" w:rsidRDefault="00410D07">
      <w:pPr>
        <w:spacing w:line="277" w:lineRule="auto"/>
        <w:ind w:left="300" w:right="499" w:firstLine="360"/>
        <w:rPr>
          <w:sz w:val="20"/>
          <w:szCs w:val="20"/>
        </w:rPr>
      </w:pPr>
      <w:r>
        <w:rPr>
          <w:rFonts w:ascii="Arial" w:eastAsia="Arial" w:hAnsi="Arial" w:cs="Arial"/>
          <w:sz w:val="18"/>
          <w:szCs w:val="18"/>
        </w:rPr>
        <w:t>The following table provides information relating to Option awards that were exercised and RSU awards that vested during the fiscal year ended January 30, 2021.</w:t>
      </w:r>
    </w:p>
    <w:p w14:paraId="4603F23D"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020"/>
        <w:gridCol w:w="680"/>
        <w:gridCol w:w="280"/>
        <w:gridCol w:w="540"/>
        <w:gridCol w:w="240"/>
        <w:gridCol w:w="760"/>
        <w:gridCol w:w="240"/>
        <w:gridCol w:w="660"/>
        <w:gridCol w:w="20"/>
      </w:tblGrid>
      <w:tr w:rsidR="00D1587D" w14:paraId="453472A3" w14:textId="77777777">
        <w:trPr>
          <w:trHeight w:val="186"/>
        </w:trPr>
        <w:tc>
          <w:tcPr>
            <w:tcW w:w="5020" w:type="dxa"/>
            <w:vAlign w:val="bottom"/>
          </w:tcPr>
          <w:p w14:paraId="2070FB7C" w14:textId="77777777" w:rsidR="00D1587D" w:rsidRDefault="00D1587D">
            <w:pPr>
              <w:rPr>
                <w:sz w:val="16"/>
                <w:szCs w:val="16"/>
              </w:rPr>
            </w:pPr>
          </w:p>
        </w:tc>
        <w:tc>
          <w:tcPr>
            <w:tcW w:w="1740" w:type="dxa"/>
            <w:gridSpan w:val="4"/>
            <w:vAlign w:val="bottom"/>
          </w:tcPr>
          <w:p w14:paraId="296C780C" w14:textId="77777777" w:rsidR="00D1587D" w:rsidRDefault="00410D07">
            <w:pPr>
              <w:ind w:left="280"/>
              <w:rPr>
                <w:sz w:val="20"/>
                <w:szCs w:val="20"/>
              </w:rPr>
            </w:pPr>
            <w:r>
              <w:rPr>
                <w:rFonts w:ascii="Arial" w:eastAsia="Arial" w:hAnsi="Arial" w:cs="Arial"/>
                <w:b/>
                <w:bCs/>
                <w:sz w:val="14"/>
                <w:szCs w:val="14"/>
              </w:rPr>
              <w:t>Option Awards</w:t>
            </w:r>
          </w:p>
        </w:tc>
        <w:tc>
          <w:tcPr>
            <w:tcW w:w="1660" w:type="dxa"/>
            <w:gridSpan w:val="3"/>
            <w:vAlign w:val="bottom"/>
          </w:tcPr>
          <w:p w14:paraId="41464072" w14:textId="77777777" w:rsidR="00D1587D" w:rsidRDefault="00410D07">
            <w:pPr>
              <w:jc w:val="right"/>
              <w:rPr>
                <w:sz w:val="20"/>
                <w:szCs w:val="20"/>
              </w:rPr>
            </w:pPr>
            <w:r>
              <w:rPr>
                <w:rFonts w:ascii="Arial" w:eastAsia="Arial" w:hAnsi="Arial" w:cs="Arial"/>
                <w:b/>
                <w:bCs/>
                <w:w w:val="94"/>
                <w:sz w:val="14"/>
                <w:szCs w:val="14"/>
              </w:rPr>
              <w:t xml:space="preserve">Restricted Stock </w:t>
            </w:r>
            <w:r>
              <w:rPr>
                <w:rFonts w:ascii="Arial" w:eastAsia="Arial" w:hAnsi="Arial" w:cs="Arial"/>
                <w:b/>
                <w:bCs/>
                <w:w w:val="94"/>
                <w:sz w:val="14"/>
                <w:szCs w:val="14"/>
              </w:rPr>
              <w:t>Awards</w:t>
            </w:r>
          </w:p>
        </w:tc>
        <w:tc>
          <w:tcPr>
            <w:tcW w:w="0" w:type="dxa"/>
            <w:vAlign w:val="bottom"/>
          </w:tcPr>
          <w:p w14:paraId="3F233852" w14:textId="77777777" w:rsidR="00D1587D" w:rsidRDefault="00D1587D">
            <w:pPr>
              <w:rPr>
                <w:sz w:val="1"/>
                <w:szCs w:val="1"/>
              </w:rPr>
            </w:pPr>
          </w:p>
        </w:tc>
      </w:tr>
      <w:tr w:rsidR="00D1587D" w14:paraId="29A87B8A" w14:textId="77777777">
        <w:trPr>
          <w:trHeight w:val="53"/>
        </w:trPr>
        <w:tc>
          <w:tcPr>
            <w:tcW w:w="5020" w:type="dxa"/>
            <w:vAlign w:val="bottom"/>
          </w:tcPr>
          <w:p w14:paraId="081EB0AF" w14:textId="77777777" w:rsidR="00D1587D" w:rsidRDefault="00D1587D">
            <w:pPr>
              <w:rPr>
                <w:sz w:val="4"/>
                <w:szCs w:val="4"/>
              </w:rPr>
            </w:pPr>
          </w:p>
        </w:tc>
        <w:tc>
          <w:tcPr>
            <w:tcW w:w="960" w:type="dxa"/>
            <w:gridSpan w:val="2"/>
            <w:tcBorders>
              <w:bottom w:val="single" w:sz="8" w:space="0" w:color="auto"/>
            </w:tcBorders>
            <w:vAlign w:val="bottom"/>
          </w:tcPr>
          <w:p w14:paraId="1C6CD868" w14:textId="77777777" w:rsidR="00D1587D" w:rsidRDefault="00D1587D">
            <w:pPr>
              <w:rPr>
                <w:sz w:val="4"/>
                <w:szCs w:val="4"/>
              </w:rPr>
            </w:pPr>
          </w:p>
        </w:tc>
        <w:tc>
          <w:tcPr>
            <w:tcW w:w="540" w:type="dxa"/>
            <w:tcBorders>
              <w:bottom w:val="single" w:sz="8" w:space="0" w:color="auto"/>
            </w:tcBorders>
            <w:vAlign w:val="bottom"/>
          </w:tcPr>
          <w:p w14:paraId="16B6D56A" w14:textId="77777777" w:rsidR="00D1587D" w:rsidRDefault="00D1587D">
            <w:pPr>
              <w:rPr>
                <w:sz w:val="4"/>
                <w:szCs w:val="4"/>
              </w:rPr>
            </w:pPr>
          </w:p>
        </w:tc>
        <w:tc>
          <w:tcPr>
            <w:tcW w:w="240" w:type="dxa"/>
            <w:vAlign w:val="bottom"/>
          </w:tcPr>
          <w:p w14:paraId="7F260FDB" w14:textId="77777777" w:rsidR="00D1587D" w:rsidRDefault="00D1587D">
            <w:pPr>
              <w:rPr>
                <w:sz w:val="4"/>
                <w:szCs w:val="4"/>
              </w:rPr>
            </w:pPr>
          </w:p>
        </w:tc>
        <w:tc>
          <w:tcPr>
            <w:tcW w:w="760" w:type="dxa"/>
            <w:tcBorders>
              <w:bottom w:val="single" w:sz="8" w:space="0" w:color="auto"/>
            </w:tcBorders>
            <w:vAlign w:val="bottom"/>
          </w:tcPr>
          <w:p w14:paraId="723B4848" w14:textId="77777777" w:rsidR="00D1587D" w:rsidRDefault="00D1587D">
            <w:pPr>
              <w:rPr>
                <w:sz w:val="4"/>
                <w:szCs w:val="4"/>
              </w:rPr>
            </w:pPr>
          </w:p>
        </w:tc>
        <w:tc>
          <w:tcPr>
            <w:tcW w:w="240" w:type="dxa"/>
            <w:tcBorders>
              <w:bottom w:val="single" w:sz="8" w:space="0" w:color="auto"/>
            </w:tcBorders>
            <w:vAlign w:val="bottom"/>
          </w:tcPr>
          <w:p w14:paraId="6750D895" w14:textId="77777777" w:rsidR="00D1587D" w:rsidRDefault="00D1587D">
            <w:pPr>
              <w:rPr>
                <w:sz w:val="4"/>
                <w:szCs w:val="4"/>
              </w:rPr>
            </w:pPr>
          </w:p>
        </w:tc>
        <w:tc>
          <w:tcPr>
            <w:tcW w:w="660" w:type="dxa"/>
            <w:tcBorders>
              <w:bottom w:val="single" w:sz="8" w:space="0" w:color="auto"/>
            </w:tcBorders>
            <w:vAlign w:val="bottom"/>
          </w:tcPr>
          <w:p w14:paraId="2391B1A9" w14:textId="77777777" w:rsidR="00D1587D" w:rsidRDefault="00D1587D">
            <w:pPr>
              <w:rPr>
                <w:sz w:val="4"/>
                <w:szCs w:val="4"/>
              </w:rPr>
            </w:pPr>
          </w:p>
        </w:tc>
        <w:tc>
          <w:tcPr>
            <w:tcW w:w="0" w:type="dxa"/>
            <w:vAlign w:val="bottom"/>
          </w:tcPr>
          <w:p w14:paraId="27595898" w14:textId="77777777" w:rsidR="00D1587D" w:rsidRDefault="00D1587D">
            <w:pPr>
              <w:rPr>
                <w:sz w:val="1"/>
                <w:szCs w:val="1"/>
              </w:rPr>
            </w:pPr>
          </w:p>
        </w:tc>
      </w:tr>
      <w:tr w:rsidR="00D1587D" w14:paraId="346038EF" w14:textId="77777777">
        <w:trPr>
          <w:trHeight w:val="187"/>
        </w:trPr>
        <w:tc>
          <w:tcPr>
            <w:tcW w:w="5020" w:type="dxa"/>
            <w:vAlign w:val="bottom"/>
          </w:tcPr>
          <w:p w14:paraId="3F981913" w14:textId="77777777" w:rsidR="00D1587D" w:rsidRDefault="00D1587D">
            <w:pPr>
              <w:rPr>
                <w:sz w:val="16"/>
                <w:szCs w:val="16"/>
              </w:rPr>
            </w:pPr>
          </w:p>
        </w:tc>
        <w:tc>
          <w:tcPr>
            <w:tcW w:w="960" w:type="dxa"/>
            <w:gridSpan w:val="2"/>
            <w:vAlign w:val="bottom"/>
          </w:tcPr>
          <w:p w14:paraId="4906D3BB" w14:textId="77777777" w:rsidR="00D1587D" w:rsidRDefault="00410D07">
            <w:pPr>
              <w:ind w:right="280"/>
              <w:jc w:val="center"/>
              <w:rPr>
                <w:sz w:val="20"/>
                <w:szCs w:val="20"/>
              </w:rPr>
            </w:pPr>
            <w:r>
              <w:rPr>
                <w:rFonts w:ascii="Arial" w:eastAsia="Arial" w:hAnsi="Arial" w:cs="Arial"/>
                <w:b/>
                <w:bCs/>
                <w:w w:val="97"/>
                <w:sz w:val="14"/>
                <w:szCs w:val="14"/>
              </w:rPr>
              <w:t>Number of</w:t>
            </w:r>
          </w:p>
        </w:tc>
        <w:tc>
          <w:tcPr>
            <w:tcW w:w="780" w:type="dxa"/>
            <w:gridSpan w:val="2"/>
            <w:vMerge w:val="restart"/>
            <w:vAlign w:val="bottom"/>
          </w:tcPr>
          <w:p w14:paraId="25F58101" w14:textId="77777777" w:rsidR="00D1587D" w:rsidRDefault="00410D07">
            <w:pPr>
              <w:ind w:right="280"/>
              <w:jc w:val="center"/>
              <w:rPr>
                <w:sz w:val="20"/>
                <w:szCs w:val="20"/>
              </w:rPr>
            </w:pPr>
            <w:r>
              <w:rPr>
                <w:rFonts w:ascii="Arial" w:eastAsia="Arial" w:hAnsi="Arial" w:cs="Arial"/>
                <w:b/>
                <w:bCs/>
                <w:w w:val="90"/>
                <w:sz w:val="14"/>
                <w:szCs w:val="14"/>
              </w:rPr>
              <w:t>Value</w:t>
            </w:r>
          </w:p>
        </w:tc>
        <w:tc>
          <w:tcPr>
            <w:tcW w:w="1000" w:type="dxa"/>
            <w:gridSpan w:val="2"/>
            <w:vMerge w:val="restart"/>
            <w:vAlign w:val="bottom"/>
          </w:tcPr>
          <w:p w14:paraId="5662D58F" w14:textId="77777777" w:rsidR="00D1587D" w:rsidRDefault="00410D07">
            <w:pPr>
              <w:ind w:right="300"/>
              <w:jc w:val="center"/>
              <w:rPr>
                <w:sz w:val="20"/>
                <w:szCs w:val="20"/>
              </w:rPr>
            </w:pPr>
            <w:r>
              <w:rPr>
                <w:rFonts w:ascii="Arial" w:eastAsia="Arial" w:hAnsi="Arial" w:cs="Arial"/>
                <w:b/>
                <w:bCs/>
                <w:w w:val="94"/>
                <w:sz w:val="14"/>
                <w:szCs w:val="14"/>
              </w:rPr>
              <w:t>Number of</w:t>
            </w:r>
          </w:p>
        </w:tc>
        <w:tc>
          <w:tcPr>
            <w:tcW w:w="660" w:type="dxa"/>
            <w:vMerge w:val="restart"/>
            <w:vAlign w:val="bottom"/>
          </w:tcPr>
          <w:p w14:paraId="28A7B2C1" w14:textId="77777777" w:rsidR="00D1587D" w:rsidRDefault="00410D07">
            <w:pPr>
              <w:jc w:val="center"/>
              <w:rPr>
                <w:sz w:val="20"/>
                <w:szCs w:val="20"/>
              </w:rPr>
            </w:pPr>
            <w:r>
              <w:rPr>
                <w:rFonts w:ascii="Arial" w:eastAsia="Arial" w:hAnsi="Arial" w:cs="Arial"/>
                <w:b/>
                <w:bCs/>
                <w:w w:val="90"/>
                <w:sz w:val="14"/>
                <w:szCs w:val="14"/>
              </w:rPr>
              <w:t>Value</w:t>
            </w:r>
          </w:p>
        </w:tc>
        <w:tc>
          <w:tcPr>
            <w:tcW w:w="0" w:type="dxa"/>
            <w:vAlign w:val="bottom"/>
          </w:tcPr>
          <w:p w14:paraId="44816DDB" w14:textId="77777777" w:rsidR="00D1587D" w:rsidRDefault="00D1587D">
            <w:pPr>
              <w:rPr>
                <w:sz w:val="1"/>
                <w:szCs w:val="1"/>
              </w:rPr>
            </w:pPr>
          </w:p>
        </w:tc>
      </w:tr>
      <w:tr w:rsidR="00D1587D" w14:paraId="0795CA6A" w14:textId="77777777">
        <w:trPr>
          <w:trHeight w:val="149"/>
        </w:trPr>
        <w:tc>
          <w:tcPr>
            <w:tcW w:w="5020" w:type="dxa"/>
            <w:vAlign w:val="bottom"/>
          </w:tcPr>
          <w:p w14:paraId="6A750283" w14:textId="77777777" w:rsidR="00D1587D" w:rsidRDefault="00D1587D">
            <w:pPr>
              <w:rPr>
                <w:sz w:val="12"/>
                <w:szCs w:val="12"/>
              </w:rPr>
            </w:pPr>
          </w:p>
        </w:tc>
        <w:tc>
          <w:tcPr>
            <w:tcW w:w="960" w:type="dxa"/>
            <w:gridSpan w:val="2"/>
            <w:vAlign w:val="bottom"/>
          </w:tcPr>
          <w:p w14:paraId="25EE45B1" w14:textId="77777777" w:rsidR="00D1587D" w:rsidRDefault="00410D07">
            <w:pPr>
              <w:spacing w:line="149" w:lineRule="exact"/>
              <w:ind w:right="320"/>
              <w:jc w:val="center"/>
              <w:rPr>
                <w:sz w:val="20"/>
                <w:szCs w:val="20"/>
              </w:rPr>
            </w:pPr>
            <w:r>
              <w:rPr>
                <w:rFonts w:ascii="Arial" w:eastAsia="Arial" w:hAnsi="Arial" w:cs="Arial"/>
                <w:b/>
                <w:bCs/>
                <w:w w:val="85"/>
                <w:sz w:val="14"/>
                <w:szCs w:val="14"/>
              </w:rPr>
              <w:t>Shares</w:t>
            </w:r>
          </w:p>
        </w:tc>
        <w:tc>
          <w:tcPr>
            <w:tcW w:w="780" w:type="dxa"/>
            <w:gridSpan w:val="2"/>
            <w:vMerge/>
            <w:vAlign w:val="bottom"/>
          </w:tcPr>
          <w:p w14:paraId="40F45292" w14:textId="77777777" w:rsidR="00D1587D" w:rsidRDefault="00D1587D">
            <w:pPr>
              <w:rPr>
                <w:sz w:val="12"/>
                <w:szCs w:val="12"/>
              </w:rPr>
            </w:pPr>
          </w:p>
        </w:tc>
        <w:tc>
          <w:tcPr>
            <w:tcW w:w="1000" w:type="dxa"/>
            <w:gridSpan w:val="2"/>
            <w:vMerge/>
            <w:vAlign w:val="bottom"/>
          </w:tcPr>
          <w:p w14:paraId="78107883" w14:textId="77777777" w:rsidR="00D1587D" w:rsidRDefault="00D1587D">
            <w:pPr>
              <w:rPr>
                <w:sz w:val="12"/>
                <w:szCs w:val="12"/>
              </w:rPr>
            </w:pPr>
          </w:p>
        </w:tc>
        <w:tc>
          <w:tcPr>
            <w:tcW w:w="660" w:type="dxa"/>
            <w:vMerge/>
            <w:vAlign w:val="bottom"/>
          </w:tcPr>
          <w:p w14:paraId="2AEC32C0" w14:textId="77777777" w:rsidR="00D1587D" w:rsidRDefault="00D1587D">
            <w:pPr>
              <w:rPr>
                <w:sz w:val="12"/>
                <w:szCs w:val="12"/>
              </w:rPr>
            </w:pPr>
          </w:p>
        </w:tc>
        <w:tc>
          <w:tcPr>
            <w:tcW w:w="0" w:type="dxa"/>
            <w:vAlign w:val="bottom"/>
          </w:tcPr>
          <w:p w14:paraId="4263BEA6" w14:textId="77777777" w:rsidR="00D1587D" w:rsidRDefault="00D1587D">
            <w:pPr>
              <w:rPr>
                <w:sz w:val="1"/>
                <w:szCs w:val="1"/>
              </w:rPr>
            </w:pPr>
          </w:p>
        </w:tc>
      </w:tr>
      <w:tr w:rsidR="00D1587D" w14:paraId="5DB4361C" w14:textId="77777777">
        <w:trPr>
          <w:trHeight w:val="148"/>
        </w:trPr>
        <w:tc>
          <w:tcPr>
            <w:tcW w:w="5020" w:type="dxa"/>
            <w:vAlign w:val="bottom"/>
          </w:tcPr>
          <w:p w14:paraId="1882EB66" w14:textId="77777777" w:rsidR="00D1587D" w:rsidRDefault="00D1587D">
            <w:pPr>
              <w:rPr>
                <w:sz w:val="12"/>
                <w:szCs w:val="12"/>
              </w:rPr>
            </w:pPr>
          </w:p>
        </w:tc>
        <w:tc>
          <w:tcPr>
            <w:tcW w:w="960" w:type="dxa"/>
            <w:gridSpan w:val="2"/>
            <w:vAlign w:val="bottom"/>
          </w:tcPr>
          <w:p w14:paraId="718D65F1" w14:textId="77777777" w:rsidR="00D1587D" w:rsidRDefault="00410D07">
            <w:pPr>
              <w:spacing w:line="149" w:lineRule="exact"/>
              <w:ind w:right="320"/>
              <w:jc w:val="center"/>
              <w:rPr>
                <w:sz w:val="20"/>
                <w:szCs w:val="20"/>
              </w:rPr>
            </w:pPr>
            <w:r>
              <w:rPr>
                <w:rFonts w:ascii="Arial" w:eastAsia="Arial" w:hAnsi="Arial" w:cs="Arial"/>
                <w:b/>
                <w:bCs/>
                <w:w w:val="92"/>
                <w:sz w:val="14"/>
                <w:szCs w:val="14"/>
              </w:rPr>
              <w:t>Acquired</w:t>
            </w:r>
          </w:p>
        </w:tc>
        <w:tc>
          <w:tcPr>
            <w:tcW w:w="780" w:type="dxa"/>
            <w:gridSpan w:val="2"/>
            <w:vAlign w:val="bottom"/>
          </w:tcPr>
          <w:p w14:paraId="588CD01A" w14:textId="77777777" w:rsidR="00D1587D" w:rsidRDefault="00410D07">
            <w:pPr>
              <w:spacing w:line="149" w:lineRule="exact"/>
              <w:ind w:right="260"/>
              <w:jc w:val="center"/>
              <w:rPr>
                <w:sz w:val="20"/>
                <w:szCs w:val="20"/>
              </w:rPr>
            </w:pPr>
            <w:r>
              <w:rPr>
                <w:rFonts w:ascii="Arial" w:eastAsia="Arial" w:hAnsi="Arial" w:cs="Arial"/>
                <w:b/>
                <w:bCs/>
                <w:w w:val="91"/>
                <w:sz w:val="14"/>
                <w:szCs w:val="14"/>
              </w:rPr>
              <w:t>Realized</w:t>
            </w:r>
          </w:p>
        </w:tc>
        <w:tc>
          <w:tcPr>
            <w:tcW w:w="1000" w:type="dxa"/>
            <w:gridSpan w:val="2"/>
            <w:vAlign w:val="bottom"/>
          </w:tcPr>
          <w:p w14:paraId="2D185189" w14:textId="77777777" w:rsidR="00D1587D" w:rsidRDefault="00410D07">
            <w:pPr>
              <w:spacing w:line="149" w:lineRule="exact"/>
              <w:ind w:right="300"/>
              <w:jc w:val="center"/>
              <w:rPr>
                <w:sz w:val="20"/>
                <w:szCs w:val="20"/>
              </w:rPr>
            </w:pPr>
            <w:r>
              <w:rPr>
                <w:rFonts w:ascii="Arial" w:eastAsia="Arial" w:hAnsi="Arial" w:cs="Arial"/>
                <w:b/>
                <w:bCs/>
                <w:w w:val="89"/>
                <w:sz w:val="14"/>
                <w:szCs w:val="14"/>
              </w:rPr>
              <w:t>Shares</w:t>
            </w:r>
          </w:p>
        </w:tc>
        <w:tc>
          <w:tcPr>
            <w:tcW w:w="660" w:type="dxa"/>
            <w:vAlign w:val="bottom"/>
          </w:tcPr>
          <w:p w14:paraId="18FCB150" w14:textId="77777777" w:rsidR="00D1587D" w:rsidRDefault="00410D07">
            <w:pPr>
              <w:spacing w:line="149" w:lineRule="exact"/>
              <w:jc w:val="center"/>
              <w:rPr>
                <w:sz w:val="20"/>
                <w:szCs w:val="20"/>
              </w:rPr>
            </w:pPr>
            <w:r>
              <w:rPr>
                <w:rFonts w:ascii="Arial" w:eastAsia="Arial" w:hAnsi="Arial" w:cs="Arial"/>
                <w:b/>
                <w:bCs/>
                <w:w w:val="94"/>
                <w:sz w:val="14"/>
                <w:szCs w:val="14"/>
              </w:rPr>
              <w:t>Realized</w:t>
            </w:r>
          </w:p>
        </w:tc>
        <w:tc>
          <w:tcPr>
            <w:tcW w:w="0" w:type="dxa"/>
            <w:vAlign w:val="bottom"/>
          </w:tcPr>
          <w:p w14:paraId="312B1AE9" w14:textId="77777777" w:rsidR="00D1587D" w:rsidRDefault="00D1587D">
            <w:pPr>
              <w:rPr>
                <w:sz w:val="1"/>
                <w:szCs w:val="1"/>
              </w:rPr>
            </w:pPr>
          </w:p>
        </w:tc>
      </w:tr>
      <w:tr w:rsidR="00D1587D" w14:paraId="493A88F6" w14:textId="77777777">
        <w:trPr>
          <w:trHeight w:val="148"/>
        </w:trPr>
        <w:tc>
          <w:tcPr>
            <w:tcW w:w="5020" w:type="dxa"/>
            <w:vAlign w:val="bottom"/>
          </w:tcPr>
          <w:p w14:paraId="658CA55D" w14:textId="77777777" w:rsidR="00D1587D" w:rsidRDefault="00D1587D">
            <w:pPr>
              <w:rPr>
                <w:sz w:val="12"/>
                <w:szCs w:val="12"/>
              </w:rPr>
            </w:pPr>
          </w:p>
        </w:tc>
        <w:tc>
          <w:tcPr>
            <w:tcW w:w="960" w:type="dxa"/>
            <w:gridSpan w:val="2"/>
            <w:vAlign w:val="bottom"/>
          </w:tcPr>
          <w:p w14:paraId="5FB0CEC7" w14:textId="77777777" w:rsidR="00D1587D" w:rsidRDefault="00410D07">
            <w:pPr>
              <w:spacing w:line="149" w:lineRule="exact"/>
              <w:ind w:right="320"/>
              <w:jc w:val="center"/>
              <w:rPr>
                <w:sz w:val="20"/>
                <w:szCs w:val="20"/>
              </w:rPr>
            </w:pPr>
            <w:r>
              <w:rPr>
                <w:rFonts w:ascii="Arial" w:eastAsia="Arial" w:hAnsi="Arial" w:cs="Arial"/>
                <w:b/>
                <w:bCs/>
                <w:w w:val="93"/>
                <w:sz w:val="14"/>
                <w:szCs w:val="14"/>
              </w:rPr>
              <w:t>on</w:t>
            </w:r>
          </w:p>
        </w:tc>
        <w:tc>
          <w:tcPr>
            <w:tcW w:w="780" w:type="dxa"/>
            <w:gridSpan w:val="2"/>
            <w:vAlign w:val="bottom"/>
          </w:tcPr>
          <w:p w14:paraId="1CF99B03" w14:textId="77777777" w:rsidR="00D1587D" w:rsidRDefault="00410D07">
            <w:pPr>
              <w:spacing w:line="149" w:lineRule="exact"/>
              <w:ind w:right="300"/>
              <w:jc w:val="center"/>
              <w:rPr>
                <w:sz w:val="20"/>
                <w:szCs w:val="20"/>
              </w:rPr>
            </w:pPr>
            <w:r>
              <w:rPr>
                <w:rFonts w:ascii="Arial" w:eastAsia="Arial" w:hAnsi="Arial" w:cs="Arial"/>
                <w:b/>
                <w:bCs/>
                <w:w w:val="93"/>
                <w:sz w:val="14"/>
                <w:szCs w:val="14"/>
              </w:rPr>
              <w:t>on</w:t>
            </w:r>
          </w:p>
        </w:tc>
        <w:tc>
          <w:tcPr>
            <w:tcW w:w="1000" w:type="dxa"/>
            <w:gridSpan w:val="2"/>
            <w:vAlign w:val="bottom"/>
          </w:tcPr>
          <w:p w14:paraId="2EBC7917" w14:textId="77777777" w:rsidR="00D1587D" w:rsidRDefault="00410D07">
            <w:pPr>
              <w:spacing w:line="149" w:lineRule="exact"/>
              <w:ind w:right="300"/>
              <w:jc w:val="center"/>
              <w:rPr>
                <w:sz w:val="20"/>
                <w:szCs w:val="20"/>
              </w:rPr>
            </w:pPr>
            <w:r>
              <w:rPr>
                <w:rFonts w:ascii="Arial" w:eastAsia="Arial" w:hAnsi="Arial" w:cs="Arial"/>
                <w:b/>
                <w:bCs/>
                <w:w w:val="95"/>
                <w:sz w:val="14"/>
                <w:szCs w:val="14"/>
              </w:rPr>
              <w:t>Acquired</w:t>
            </w:r>
          </w:p>
        </w:tc>
        <w:tc>
          <w:tcPr>
            <w:tcW w:w="660" w:type="dxa"/>
            <w:vAlign w:val="bottom"/>
          </w:tcPr>
          <w:p w14:paraId="0F7E2746" w14:textId="77777777" w:rsidR="00D1587D" w:rsidRDefault="00410D07">
            <w:pPr>
              <w:spacing w:line="149" w:lineRule="exact"/>
              <w:jc w:val="center"/>
              <w:rPr>
                <w:sz w:val="20"/>
                <w:szCs w:val="20"/>
              </w:rPr>
            </w:pPr>
            <w:r>
              <w:rPr>
                <w:rFonts w:ascii="Arial" w:eastAsia="Arial" w:hAnsi="Arial" w:cs="Arial"/>
                <w:b/>
                <w:bCs/>
                <w:w w:val="81"/>
                <w:sz w:val="14"/>
                <w:szCs w:val="14"/>
              </w:rPr>
              <w:t>on</w:t>
            </w:r>
          </w:p>
        </w:tc>
        <w:tc>
          <w:tcPr>
            <w:tcW w:w="0" w:type="dxa"/>
            <w:vAlign w:val="bottom"/>
          </w:tcPr>
          <w:p w14:paraId="75B55994" w14:textId="77777777" w:rsidR="00D1587D" w:rsidRDefault="00D1587D">
            <w:pPr>
              <w:rPr>
                <w:sz w:val="1"/>
                <w:szCs w:val="1"/>
              </w:rPr>
            </w:pPr>
          </w:p>
        </w:tc>
      </w:tr>
      <w:tr w:rsidR="00D1587D" w14:paraId="1194B60D" w14:textId="77777777">
        <w:trPr>
          <w:trHeight w:val="145"/>
        </w:trPr>
        <w:tc>
          <w:tcPr>
            <w:tcW w:w="5020" w:type="dxa"/>
            <w:vAlign w:val="bottom"/>
          </w:tcPr>
          <w:p w14:paraId="65A52B7E" w14:textId="77777777" w:rsidR="00D1587D" w:rsidRDefault="00D1587D">
            <w:pPr>
              <w:rPr>
                <w:sz w:val="12"/>
                <w:szCs w:val="12"/>
              </w:rPr>
            </w:pPr>
          </w:p>
        </w:tc>
        <w:tc>
          <w:tcPr>
            <w:tcW w:w="960" w:type="dxa"/>
            <w:gridSpan w:val="2"/>
            <w:vAlign w:val="bottom"/>
          </w:tcPr>
          <w:p w14:paraId="0C8270B8" w14:textId="77777777" w:rsidR="00D1587D" w:rsidRDefault="00410D07">
            <w:pPr>
              <w:spacing w:line="145" w:lineRule="exact"/>
              <w:ind w:right="320"/>
              <w:jc w:val="center"/>
              <w:rPr>
                <w:sz w:val="20"/>
                <w:szCs w:val="20"/>
              </w:rPr>
            </w:pPr>
            <w:r>
              <w:rPr>
                <w:rFonts w:ascii="Arial" w:eastAsia="Arial" w:hAnsi="Arial" w:cs="Arial"/>
                <w:b/>
                <w:bCs/>
                <w:w w:val="90"/>
                <w:sz w:val="14"/>
                <w:szCs w:val="14"/>
              </w:rPr>
              <w:t>Exercise</w:t>
            </w:r>
          </w:p>
        </w:tc>
        <w:tc>
          <w:tcPr>
            <w:tcW w:w="780" w:type="dxa"/>
            <w:gridSpan w:val="2"/>
            <w:vAlign w:val="bottom"/>
          </w:tcPr>
          <w:p w14:paraId="032B048F" w14:textId="77777777" w:rsidR="00D1587D" w:rsidRDefault="00410D07">
            <w:pPr>
              <w:spacing w:line="145" w:lineRule="exact"/>
              <w:ind w:right="260"/>
              <w:jc w:val="center"/>
              <w:rPr>
                <w:sz w:val="20"/>
                <w:szCs w:val="20"/>
              </w:rPr>
            </w:pPr>
            <w:r>
              <w:rPr>
                <w:rFonts w:ascii="Arial" w:eastAsia="Arial" w:hAnsi="Arial" w:cs="Arial"/>
                <w:b/>
                <w:bCs/>
                <w:w w:val="90"/>
                <w:sz w:val="14"/>
                <w:szCs w:val="14"/>
              </w:rPr>
              <w:t>Exercise</w:t>
            </w:r>
          </w:p>
        </w:tc>
        <w:tc>
          <w:tcPr>
            <w:tcW w:w="1000" w:type="dxa"/>
            <w:gridSpan w:val="2"/>
            <w:vAlign w:val="bottom"/>
          </w:tcPr>
          <w:p w14:paraId="245AA0E4" w14:textId="77777777" w:rsidR="00D1587D" w:rsidRDefault="00410D07">
            <w:pPr>
              <w:spacing w:line="145" w:lineRule="exact"/>
              <w:ind w:right="280"/>
              <w:jc w:val="center"/>
              <w:rPr>
                <w:sz w:val="20"/>
                <w:szCs w:val="20"/>
              </w:rPr>
            </w:pPr>
            <w:r>
              <w:rPr>
                <w:rFonts w:ascii="Arial" w:eastAsia="Arial" w:hAnsi="Arial" w:cs="Arial"/>
                <w:b/>
                <w:bCs/>
                <w:w w:val="93"/>
                <w:sz w:val="14"/>
                <w:szCs w:val="14"/>
              </w:rPr>
              <w:t>on</w:t>
            </w:r>
          </w:p>
        </w:tc>
        <w:tc>
          <w:tcPr>
            <w:tcW w:w="660" w:type="dxa"/>
            <w:vAlign w:val="bottom"/>
          </w:tcPr>
          <w:p w14:paraId="43DB147C" w14:textId="77777777" w:rsidR="00D1587D" w:rsidRDefault="00410D07">
            <w:pPr>
              <w:spacing w:line="145" w:lineRule="exact"/>
              <w:jc w:val="center"/>
              <w:rPr>
                <w:sz w:val="20"/>
                <w:szCs w:val="20"/>
              </w:rPr>
            </w:pPr>
            <w:r>
              <w:rPr>
                <w:rFonts w:ascii="Arial" w:eastAsia="Arial" w:hAnsi="Arial" w:cs="Arial"/>
                <w:b/>
                <w:bCs/>
                <w:w w:val="90"/>
                <w:sz w:val="14"/>
                <w:szCs w:val="14"/>
              </w:rPr>
              <w:t>Vesting</w:t>
            </w:r>
          </w:p>
        </w:tc>
        <w:tc>
          <w:tcPr>
            <w:tcW w:w="0" w:type="dxa"/>
            <w:vAlign w:val="bottom"/>
          </w:tcPr>
          <w:p w14:paraId="46ADB8BB" w14:textId="77777777" w:rsidR="00D1587D" w:rsidRDefault="00D1587D">
            <w:pPr>
              <w:rPr>
                <w:sz w:val="1"/>
                <w:szCs w:val="1"/>
              </w:rPr>
            </w:pPr>
          </w:p>
        </w:tc>
      </w:tr>
      <w:tr w:rsidR="00D1587D" w14:paraId="31A8DA2F" w14:textId="77777777">
        <w:trPr>
          <w:trHeight w:val="242"/>
        </w:trPr>
        <w:tc>
          <w:tcPr>
            <w:tcW w:w="5020" w:type="dxa"/>
            <w:tcBorders>
              <w:bottom w:val="single" w:sz="8" w:space="0" w:color="CCEEFF"/>
            </w:tcBorders>
            <w:vAlign w:val="bottom"/>
          </w:tcPr>
          <w:p w14:paraId="1118DB94" w14:textId="77777777" w:rsidR="00D1587D" w:rsidRDefault="00D1587D">
            <w:pPr>
              <w:rPr>
                <w:sz w:val="21"/>
                <w:szCs w:val="21"/>
              </w:rPr>
            </w:pPr>
          </w:p>
        </w:tc>
        <w:tc>
          <w:tcPr>
            <w:tcW w:w="680" w:type="dxa"/>
            <w:tcBorders>
              <w:bottom w:val="single" w:sz="8" w:space="0" w:color="auto"/>
            </w:tcBorders>
            <w:vAlign w:val="bottom"/>
          </w:tcPr>
          <w:p w14:paraId="01AC81DB" w14:textId="77777777" w:rsidR="00D1587D" w:rsidRDefault="00410D07">
            <w:pPr>
              <w:ind w:right="181"/>
              <w:jc w:val="right"/>
              <w:rPr>
                <w:sz w:val="20"/>
                <w:szCs w:val="20"/>
              </w:rPr>
            </w:pPr>
            <w:r>
              <w:rPr>
                <w:rFonts w:ascii="Arial" w:eastAsia="Arial" w:hAnsi="Arial" w:cs="Arial"/>
                <w:b/>
                <w:bCs/>
                <w:sz w:val="14"/>
                <w:szCs w:val="14"/>
              </w:rPr>
              <w:t>(#)</w:t>
            </w:r>
          </w:p>
        </w:tc>
        <w:tc>
          <w:tcPr>
            <w:tcW w:w="280" w:type="dxa"/>
            <w:tcBorders>
              <w:bottom w:val="single" w:sz="8" w:space="0" w:color="CCEEFF"/>
            </w:tcBorders>
            <w:vAlign w:val="bottom"/>
          </w:tcPr>
          <w:p w14:paraId="51FE4DCE" w14:textId="77777777" w:rsidR="00D1587D" w:rsidRDefault="00D1587D">
            <w:pPr>
              <w:rPr>
                <w:sz w:val="21"/>
                <w:szCs w:val="21"/>
              </w:rPr>
            </w:pPr>
          </w:p>
        </w:tc>
        <w:tc>
          <w:tcPr>
            <w:tcW w:w="540" w:type="dxa"/>
            <w:tcBorders>
              <w:bottom w:val="single" w:sz="8" w:space="0" w:color="auto"/>
            </w:tcBorders>
            <w:vAlign w:val="bottom"/>
          </w:tcPr>
          <w:p w14:paraId="23FBA7DD" w14:textId="77777777" w:rsidR="00D1587D" w:rsidRDefault="00410D07">
            <w:pPr>
              <w:spacing w:line="242" w:lineRule="exact"/>
              <w:jc w:val="center"/>
              <w:rPr>
                <w:sz w:val="20"/>
                <w:szCs w:val="20"/>
              </w:rPr>
            </w:pPr>
            <w:r>
              <w:rPr>
                <w:rFonts w:ascii="Arial" w:eastAsia="Arial" w:hAnsi="Arial" w:cs="Arial"/>
                <w:b/>
                <w:bCs/>
                <w:w w:val="89"/>
                <w:sz w:val="14"/>
                <w:szCs w:val="14"/>
              </w:rPr>
              <w:t>($)</w:t>
            </w:r>
            <w:r>
              <w:rPr>
                <w:rFonts w:ascii="Arial" w:eastAsia="Arial" w:hAnsi="Arial" w:cs="Arial"/>
                <w:b/>
                <w:bCs/>
                <w:w w:val="89"/>
                <w:sz w:val="23"/>
                <w:szCs w:val="23"/>
                <w:vertAlign w:val="superscript"/>
              </w:rPr>
              <w:t>(1)</w:t>
            </w:r>
          </w:p>
        </w:tc>
        <w:tc>
          <w:tcPr>
            <w:tcW w:w="240" w:type="dxa"/>
            <w:tcBorders>
              <w:bottom w:val="single" w:sz="8" w:space="0" w:color="CCEEFF"/>
            </w:tcBorders>
            <w:vAlign w:val="bottom"/>
          </w:tcPr>
          <w:p w14:paraId="08639378" w14:textId="77777777" w:rsidR="00D1587D" w:rsidRDefault="00D1587D">
            <w:pPr>
              <w:rPr>
                <w:sz w:val="21"/>
                <w:szCs w:val="21"/>
              </w:rPr>
            </w:pPr>
          </w:p>
        </w:tc>
        <w:tc>
          <w:tcPr>
            <w:tcW w:w="760" w:type="dxa"/>
            <w:tcBorders>
              <w:bottom w:val="single" w:sz="8" w:space="0" w:color="auto"/>
            </w:tcBorders>
            <w:vAlign w:val="bottom"/>
          </w:tcPr>
          <w:p w14:paraId="6F1D0F53" w14:textId="77777777" w:rsidR="00D1587D" w:rsidRDefault="00410D07">
            <w:pPr>
              <w:jc w:val="center"/>
              <w:rPr>
                <w:sz w:val="20"/>
                <w:szCs w:val="20"/>
              </w:rPr>
            </w:pPr>
            <w:r>
              <w:rPr>
                <w:rFonts w:ascii="Arial" w:eastAsia="Arial" w:hAnsi="Arial" w:cs="Arial"/>
                <w:b/>
                <w:bCs/>
                <w:w w:val="92"/>
                <w:sz w:val="14"/>
                <w:szCs w:val="14"/>
              </w:rPr>
              <w:t>Vesting (#)</w:t>
            </w:r>
          </w:p>
        </w:tc>
        <w:tc>
          <w:tcPr>
            <w:tcW w:w="240" w:type="dxa"/>
            <w:tcBorders>
              <w:bottom w:val="single" w:sz="8" w:space="0" w:color="CCEEFF"/>
            </w:tcBorders>
            <w:vAlign w:val="bottom"/>
          </w:tcPr>
          <w:p w14:paraId="48E1CDDA" w14:textId="77777777" w:rsidR="00D1587D" w:rsidRDefault="00D1587D">
            <w:pPr>
              <w:rPr>
                <w:sz w:val="21"/>
                <w:szCs w:val="21"/>
              </w:rPr>
            </w:pPr>
          </w:p>
        </w:tc>
        <w:tc>
          <w:tcPr>
            <w:tcW w:w="660" w:type="dxa"/>
            <w:tcBorders>
              <w:bottom w:val="single" w:sz="8" w:space="0" w:color="auto"/>
            </w:tcBorders>
            <w:vAlign w:val="bottom"/>
          </w:tcPr>
          <w:p w14:paraId="19A2F0DA" w14:textId="77777777" w:rsidR="00D1587D" w:rsidRDefault="00410D07">
            <w:pPr>
              <w:spacing w:line="242" w:lineRule="exact"/>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(2)</w:t>
            </w:r>
          </w:p>
        </w:tc>
        <w:tc>
          <w:tcPr>
            <w:tcW w:w="0" w:type="dxa"/>
            <w:vAlign w:val="bottom"/>
          </w:tcPr>
          <w:p w14:paraId="1AFE87B5" w14:textId="77777777" w:rsidR="00D1587D" w:rsidRDefault="00D1587D">
            <w:pPr>
              <w:rPr>
                <w:sz w:val="1"/>
                <w:szCs w:val="1"/>
              </w:rPr>
            </w:pPr>
          </w:p>
        </w:tc>
      </w:tr>
      <w:tr w:rsidR="00D1587D" w14:paraId="6BF726A6" w14:textId="77777777">
        <w:trPr>
          <w:trHeight w:val="311"/>
        </w:trPr>
        <w:tc>
          <w:tcPr>
            <w:tcW w:w="5020" w:type="dxa"/>
            <w:tcBorders>
              <w:bottom w:val="single" w:sz="8" w:space="0" w:color="CCEEFF"/>
            </w:tcBorders>
            <w:shd w:val="clear" w:color="auto" w:fill="CCEEFF"/>
            <w:vAlign w:val="bottom"/>
          </w:tcPr>
          <w:p w14:paraId="35C71617" w14:textId="77777777" w:rsidR="00D1587D" w:rsidRDefault="00410D07">
            <w:pPr>
              <w:rPr>
                <w:sz w:val="20"/>
                <w:szCs w:val="20"/>
              </w:rPr>
            </w:pPr>
            <w:r>
              <w:rPr>
                <w:rFonts w:ascii="Arial" w:eastAsia="Arial" w:hAnsi="Arial" w:cs="Arial"/>
                <w:sz w:val="18"/>
                <w:szCs w:val="18"/>
              </w:rPr>
              <w:t>Martin Waters</w:t>
            </w:r>
          </w:p>
        </w:tc>
        <w:tc>
          <w:tcPr>
            <w:tcW w:w="960" w:type="dxa"/>
            <w:gridSpan w:val="2"/>
            <w:tcBorders>
              <w:bottom w:val="single" w:sz="8" w:space="0" w:color="CCEEFF"/>
            </w:tcBorders>
            <w:shd w:val="clear" w:color="auto" w:fill="CCEEFF"/>
            <w:vAlign w:val="bottom"/>
          </w:tcPr>
          <w:p w14:paraId="31A7421A" w14:textId="77777777" w:rsidR="00D1587D" w:rsidRDefault="00410D07">
            <w:pPr>
              <w:ind w:right="540"/>
              <w:jc w:val="right"/>
              <w:rPr>
                <w:sz w:val="20"/>
                <w:szCs w:val="20"/>
              </w:rPr>
            </w:pPr>
            <w:r>
              <w:rPr>
                <w:rFonts w:ascii="Arial" w:eastAsia="Arial" w:hAnsi="Arial" w:cs="Arial"/>
                <w:sz w:val="18"/>
                <w:szCs w:val="18"/>
              </w:rPr>
              <w:t>—</w:t>
            </w:r>
          </w:p>
        </w:tc>
        <w:tc>
          <w:tcPr>
            <w:tcW w:w="780" w:type="dxa"/>
            <w:gridSpan w:val="2"/>
            <w:tcBorders>
              <w:bottom w:val="single" w:sz="8" w:space="0" w:color="CCEEFF"/>
            </w:tcBorders>
            <w:shd w:val="clear" w:color="auto" w:fill="CCEEFF"/>
            <w:vAlign w:val="bottom"/>
          </w:tcPr>
          <w:p w14:paraId="789FBFCD" w14:textId="77777777" w:rsidR="00D1587D" w:rsidRDefault="00410D07">
            <w:pPr>
              <w:ind w:right="280"/>
              <w:jc w:val="center"/>
              <w:rPr>
                <w:sz w:val="20"/>
                <w:szCs w:val="20"/>
              </w:rPr>
            </w:pPr>
            <w:r>
              <w:rPr>
                <w:rFonts w:ascii="Arial" w:eastAsia="Arial" w:hAnsi="Arial" w:cs="Arial"/>
                <w:w w:val="99"/>
                <w:sz w:val="18"/>
                <w:szCs w:val="18"/>
              </w:rPr>
              <w:t>—</w:t>
            </w:r>
          </w:p>
        </w:tc>
        <w:tc>
          <w:tcPr>
            <w:tcW w:w="760" w:type="dxa"/>
            <w:tcBorders>
              <w:bottom w:val="single" w:sz="8" w:space="0" w:color="CCEEFF"/>
            </w:tcBorders>
            <w:shd w:val="clear" w:color="auto" w:fill="CCEEFF"/>
            <w:vAlign w:val="bottom"/>
          </w:tcPr>
          <w:p w14:paraId="238E0BF1" w14:textId="77777777" w:rsidR="00D1587D" w:rsidRDefault="00410D07">
            <w:pPr>
              <w:ind w:right="60"/>
              <w:jc w:val="right"/>
              <w:rPr>
                <w:sz w:val="20"/>
                <w:szCs w:val="20"/>
              </w:rPr>
            </w:pPr>
            <w:r>
              <w:rPr>
                <w:rFonts w:ascii="Arial" w:eastAsia="Arial" w:hAnsi="Arial" w:cs="Arial"/>
                <w:sz w:val="18"/>
                <w:szCs w:val="18"/>
              </w:rPr>
              <w:t>27,572</w:t>
            </w:r>
          </w:p>
        </w:tc>
        <w:tc>
          <w:tcPr>
            <w:tcW w:w="240" w:type="dxa"/>
            <w:tcBorders>
              <w:bottom w:val="single" w:sz="8" w:space="0" w:color="CCEEFF"/>
            </w:tcBorders>
            <w:shd w:val="clear" w:color="auto" w:fill="CCEEFF"/>
            <w:vAlign w:val="bottom"/>
          </w:tcPr>
          <w:p w14:paraId="1B6CE8C1" w14:textId="77777777" w:rsidR="00D1587D" w:rsidRDefault="00D1587D">
            <w:pPr>
              <w:rPr>
                <w:sz w:val="24"/>
                <w:szCs w:val="24"/>
              </w:rPr>
            </w:pPr>
          </w:p>
        </w:tc>
        <w:tc>
          <w:tcPr>
            <w:tcW w:w="660" w:type="dxa"/>
            <w:tcBorders>
              <w:bottom w:val="single" w:sz="8" w:space="0" w:color="CCEEFF"/>
            </w:tcBorders>
            <w:shd w:val="clear" w:color="auto" w:fill="CCEEFF"/>
            <w:vAlign w:val="bottom"/>
          </w:tcPr>
          <w:p w14:paraId="3C2A038A" w14:textId="77777777" w:rsidR="00D1587D" w:rsidRDefault="00410D07">
            <w:pPr>
              <w:jc w:val="right"/>
              <w:rPr>
                <w:sz w:val="20"/>
                <w:szCs w:val="20"/>
              </w:rPr>
            </w:pPr>
            <w:r>
              <w:rPr>
                <w:rFonts w:ascii="Arial" w:eastAsia="Arial" w:hAnsi="Arial" w:cs="Arial"/>
                <w:w w:val="92"/>
                <w:sz w:val="18"/>
                <w:szCs w:val="18"/>
              </w:rPr>
              <w:t>292,263</w:t>
            </w:r>
          </w:p>
        </w:tc>
        <w:tc>
          <w:tcPr>
            <w:tcW w:w="0" w:type="dxa"/>
            <w:vAlign w:val="bottom"/>
          </w:tcPr>
          <w:p w14:paraId="32D68D4A" w14:textId="77777777" w:rsidR="00D1587D" w:rsidRDefault="00D1587D">
            <w:pPr>
              <w:rPr>
                <w:sz w:val="1"/>
                <w:szCs w:val="1"/>
              </w:rPr>
            </w:pPr>
          </w:p>
        </w:tc>
      </w:tr>
      <w:tr w:rsidR="00D1587D" w14:paraId="5DEE4866" w14:textId="77777777">
        <w:trPr>
          <w:trHeight w:val="270"/>
        </w:trPr>
        <w:tc>
          <w:tcPr>
            <w:tcW w:w="5020" w:type="dxa"/>
            <w:vAlign w:val="bottom"/>
          </w:tcPr>
          <w:p w14:paraId="0392952F" w14:textId="77777777" w:rsidR="00D1587D" w:rsidRDefault="00410D07">
            <w:pPr>
              <w:rPr>
                <w:sz w:val="20"/>
                <w:szCs w:val="20"/>
              </w:rPr>
            </w:pPr>
            <w:r>
              <w:rPr>
                <w:rFonts w:ascii="Arial" w:eastAsia="Arial" w:hAnsi="Arial" w:cs="Arial"/>
                <w:sz w:val="18"/>
                <w:szCs w:val="18"/>
              </w:rPr>
              <w:t>Amy Hauk</w:t>
            </w:r>
          </w:p>
        </w:tc>
        <w:tc>
          <w:tcPr>
            <w:tcW w:w="960" w:type="dxa"/>
            <w:gridSpan w:val="2"/>
            <w:vAlign w:val="bottom"/>
          </w:tcPr>
          <w:p w14:paraId="2971EEB0" w14:textId="77777777" w:rsidR="00D1587D" w:rsidRDefault="00410D07">
            <w:pPr>
              <w:ind w:right="540"/>
              <w:jc w:val="right"/>
              <w:rPr>
                <w:sz w:val="20"/>
                <w:szCs w:val="20"/>
              </w:rPr>
            </w:pPr>
            <w:r>
              <w:rPr>
                <w:rFonts w:ascii="Arial" w:eastAsia="Arial" w:hAnsi="Arial" w:cs="Arial"/>
                <w:sz w:val="18"/>
                <w:szCs w:val="18"/>
              </w:rPr>
              <w:t>—</w:t>
            </w:r>
          </w:p>
        </w:tc>
        <w:tc>
          <w:tcPr>
            <w:tcW w:w="780" w:type="dxa"/>
            <w:gridSpan w:val="2"/>
            <w:vAlign w:val="bottom"/>
          </w:tcPr>
          <w:p w14:paraId="12DE9BC6" w14:textId="77777777" w:rsidR="00D1587D" w:rsidRDefault="00410D07">
            <w:pPr>
              <w:ind w:right="280"/>
              <w:jc w:val="center"/>
              <w:rPr>
                <w:sz w:val="20"/>
                <w:szCs w:val="20"/>
              </w:rPr>
            </w:pPr>
            <w:r>
              <w:rPr>
                <w:rFonts w:ascii="Arial" w:eastAsia="Arial" w:hAnsi="Arial" w:cs="Arial"/>
                <w:w w:val="99"/>
                <w:sz w:val="18"/>
                <w:szCs w:val="18"/>
              </w:rPr>
              <w:t>—</w:t>
            </w:r>
          </w:p>
        </w:tc>
        <w:tc>
          <w:tcPr>
            <w:tcW w:w="760" w:type="dxa"/>
            <w:vAlign w:val="bottom"/>
          </w:tcPr>
          <w:p w14:paraId="010AB980" w14:textId="77777777" w:rsidR="00D1587D" w:rsidRDefault="00410D07">
            <w:pPr>
              <w:ind w:right="60"/>
              <w:jc w:val="right"/>
              <w:rPr>
                <w:sz w:val="20"/>
                <w:szCs w:val="20"/>
              </w:rPr>
            </w:pPr>
            <w:r>
              <w:rPr>
                <w:rFonts w:ascii="Arial" w:eastAsia="Arial" w:hAnsi="Arial" w:cs="Arial"/>
                <w:sz w:val="18"/>
                <w:szCs w:val="18"/>
              </w:rPr>
              <w:t>18,378</w:t>
            </w:r>
          </w:p>
        </w:tc>
        <w:tc>
          <w:tcPr>
            <w:tcW w:w="240" w:type="dxa"/>
            <w:vAlign w:val="bottom"/>
          </w:tcPr>
          <w:p w14:paraId="137B0A51" w14:textId="77777777" w:rsidR="00D1587D" w:rsidRDefault="00D1587D">
            <w:pPr>
              <w:rPr>
                <w:sz w:val="23"/>
                <w:szCs w:val="23"/>
              </w:rPr>
            </w:pPr>
          </w:p>
        </w:tc>
        <w:tc>
          <w:tcPr>
            <w:tcW w:w="660" w:type="dxa"/>
            <w:vAlign w:val="bottom"/>
          </w:tcPr>
          <w:p w14:paraId="72477C59" w14:textId="77777777" w:rsidR="00D1587D" w:rsidRDefault="00410D07">
            <w:pPr>
              <w:jc w:val="right"/>
              <w:rPr>
                <w:sz w:val="20"/>
                <w:szCs w:val="20"/>
              </w:rPr>
            </w:pPr>
            <w:r>
              <w:rPr>
                <w:rFonts w:ascii="Arial" w:eastAsia="Arial" w:hAnsi="Arial" w:cs="Arial"/>
                <w:w w:val="92"/>
                <w:sz w:val="18"/>
                <w:szCs w:val="18"/>
              </w:rPr>
              <w:t>204,152</w:t>
            </w:r>
          </w:p>
        </w:tc>
        <w:tc>
          <w:tcPr>
            <w:tcW w:w="0" w:type="dxa"/>
            <w:vAlign w:val="bottom"/>
          </w:tcPr>
          <w:p w14:paraId="3B7A4D25" w14:textId="77777777" w:rsidR="00D1587D" w:rsidRDefault="00D1587D">
            <w:pPr>
              <w:rPr>
                <w:sz w:val="1"/>
                <w:szCs w:val="1"/>
              </w:rPr>
            </w:pPr>
          </w:p>
        </w:tc>
      </w:tr>
      <w:tr w:rsidR="00D1587D" w14:paraId="6314C893" w14:textId="77777777">
        <w:trPr>
          <w:trHeight w:val="54"/>
        </w:trPr>
        <w:tc>
          <w:tcPr>
            <w:tcW w:w="5020" w:type="dxa"/>
            <w:vAlign w:val="bottom"/>
          </w:tcPr>
          <w:p w14:paraId="195C6798" w14:textId="77777777" w:rsidR="00D1587D" w:rsidRDefault="00D1587D">
            <w:pPr>
              <w:rPr>
                <w:sz w:val="4"/>
                <w:szCs w:val="4"/>
              </w:rPr>
            </w:pPr>
          </w:p>
        </w:tc>
        <w:tc>
          <w:tcPr>
            <w:tcW w:w="680" w:type="dxa"/>
            <w:vAlign w:val="bottom"/>
          </w:tcPr>
          <w:p w14:paraId="08FEF356" w14:textId="77777777" w:rsidR="00D1587D" w:rsidRDefault="00D1587D">
            <w:pPr>
              <w:rPr>
                <w:sz w:val="4"/>
                <w:szCs w:val="4"/>
              </w:rPr>
            </w:pPr>
          </w:p>
        </w:tc>
        <w:tc>
          <w:tcPr>
            <w:tcW w:w="280" w:type="dxa"/>
            <w:vAlign w:val="bottom"/>
          </w:tcPr>
          <w:p w14:paraId="37C9D7CD" w14:textId="77777777" w:rsidR="00D1587D" w:rsidRDefault="00D1587D">
            <w:pPr>
              <w:rPr>
                <w:sz w:val="4"/>
                <w:szCs w:val="4"/>
              </w:rPr>
            </w:pPr>
          </w:p>
        </w:tc>
        <w:tc>
          <w:tcPr>
            <w:tcW w:w="540" w:type="dxa"/>
            <w:vAlign w:val="bottom"/>
          </w:tcPr>
          <w:p w14:paraId="556897BB" w14:textId="77777777" w:rsidR="00D1587D" w:rsidRDefault="00D1587D">
            <w:pPr>
              <w:rPr>
                <w:sz w:val="4"/>
                <w:szCs w:val="4"/>
              </w:rPr>
            </w:pPr>
          </w:p>
        </w:tc>
        <w:tc>
          <w:tcPr>
            <w:tcW w:w="240" w:type="dxa"/>
            <w:vAlign w:val="bottom"/>
          </w:tcPr>
          <w:p w14:paraId="2891CCFB" w14:textId="77777777" w:rsidR="00D1587D" w:rsidRDefault="00D1587D">
            <w:pPr>
              <w:rPr>
                <w:sz w:val="4"/>
                <w:szCs w:val="4"/>
              </w:rPr>
            </w:pPr>
          </w:p>
        </w:tc>
        <w:tc>
          <w:tcPr>
            <w:tcW w:w="760" w:type="dxa"/>
            <w:vAlign w:val="bottom"/>
          </w:tcPr>
          <w:p w14:paraId="7C71902C" w14:textId="77777777" w:rsidR="00D1587D" w:rsidRDefault="00D1587D">
            <w:pPr>
              <w:rPr>
                <w:sz w:val="4"/>
                <w:szCs w:val="4"/>
              </w:rPr>
            </w:pPr>
          </w:p>
        </w:tc>
        <w:tc>
          <w:tcPr>
            <w:tcW w:w="240" w:type="dxa"/>
            <w:vAlign w:val="bottom"/>
          </w:tcPr>
          <w:p w14:paraId="2BB4E3C4" w14:textId="77777777" w:rsidR="00D1587D" w:rsidRDefault="00D1587D">
            <w:pPr>
              <w:rPr>
                <w:sz w:val="4"/>
                <w:szCs w:val="4"/>
              </w:rPr>
            </w:pPr>
          </w:p>
        </w:tc>
        <w:tc>
          <w:tcPr>
            <w:tcW w:w="660" w:type="dxa"/>
            <w:vAlign w:val="bottom"/>
          </w:tcPr>
          <w:p w14:paraId="5592B2BD" w14:textId="77777777" w:rsidR="00D1587D" w:rsidRDefault="00D1587D">
            <w:pPr>
              <w:rPr>
                <w:sz w:val="4"/>
                <w:szCs w:val="4"/>
              </w:rPr>
            </w:pPr>
          </w:p>
        </w:tc>
        <w:tc>
          <w:tcPr>
            <w:tcW w:w="0" w:type="dxa"/>
            <w:vAlign w:val="bottom"/>
          </w:tcPr>
          <w:p w14:paraId="77DFE302" w14:textId="77777777" w:rsidR="00D1587D" w:rsidRDefault="00D1587D">
            <w:pPr>
              <w:rPr>
                <w:sz w:val="1"/>
                <w:szCs w:val="1"/>
              </w:rPr>
            </w:pPr>
          </w:p>
        </w:tc>
      </w:tr>
      <w:tr w:rsidR="00D1587D" w14:paraId="6B59045C" w14:textId="77777777">
        <w:trPr>
          <w:trHeight w:val="304"/>
        </w:trPr>
        <w:tc>
          <w:tcPr>
            <w:tcW w:w="5020" w:type="dxa"/>
            <w:tcBorders>
              <w:bottom w:val="single" w:sz="8" w:space="0" w:color="CCEEFF"/>
            </w:tcBorders>
            <w:shd w:val="clear" w:color="auto" w:fill="CCEEFF"/>
            <w:vAlign w:val="bottom"/>
          </w:tcPr>
          <w:p w14:paraId="2F5F8B31" w14:textId="77777777" w:rsidR="00D1587D" w:rsidRDefault="00410D07">
            <w:pPr>
              <w:rPr>
                <w:sz w:val="20"/>
                <w:szCs w:val="20"/>
              </w:rPr>
            </w:pPr>
            <w:r>
              <w:rPr>
                <w:rFonts w:ascii="Arial" w:eastAsia="Arial" w:hAnsi="Arial" w:cs="Arial"/>
                <w:sz w:val="18"/>
                <w:szCs w:val="18"/>
              </w:rPr>
              <w:t>Gregory Unis</w:t>
            </w:r>
          </w:p>
        </w:tc>
        <w:tc>
          <w:tcPr>
            <w:tcW w:w="960" w:type="dxa"/>
            <w:gridSpan w:val="2"/>
            <w:tcBorders>
              <w:bottom w:val="single" w:sz="8" w:space="0" w:color="CCEEFF"/>
            </w:tcBorders>
            <w:shd w:val="clear" w:color="auto" w:fill="CCEEFF"/>
            <w:vAlign w:val="bottom"/>
          </w:tcPr>
          <w:p w14:paraId="7F6B9DD4" w14:textId="77777777" w:rsidR="00D1587D" w:rsidRDefault="00410D07">
            <w:pPr>
              <w:ind w:right="540"/>
              <w:jc w:val="right"/>
              <w:rPr>
                <w:sz w:val="20"/>
                <w:szCs w:val="20"/>
              </w:rPr>
            </w:pPr>
            <w:r>
              <w:rPr>
                <w:rFonts w:ascii="Arial" w:eastAsia="Arial" w:hAnsi="Arial" w:cs="Arial"/>
                <w:sz w:val="18"/>
                <w:szCs w:val="18"/>
              </w:rPr>
              <w:t>—</w:t>
            </w:r>
          </w:p>
        </w:tc>
        <w:tc>
          <w:tcPr>
            <w:tcW w:w="780" w:type="dxa"/>
            <w:gridSpan w:val="2"/>
            <w:tcBorders>
              <w:bottom w:val="single" w:sz="8" w:space="0" w:color="CCEEFF"/>
            </w:tcBorders>
            <w:shd w:val="clear" w:color="auto" w:fill="CCEEFF"/>
            <w:vAlign w:val="bottom"/>
          </w:tcPr>
          <w:p w14:paraId="5E92D5B6" w14:textId="77777777" w:rsidR="00D1587D" w:rsidRDefault="00410D07">
            <w:pPr>
              <w:ind w:right="280"/>
              <w:jc w:val="center"/>
              <w:rPr>
                <w:sz w:val="20"/>
                <w:szCs w:val="20"/>
              </w:rPr>
            </w:pPr>
            <w:r>
              <w:rPr>
                <w:rFonts w:ascii="Arial" w:eastAsia="Arial" w:hAnsi="Arial" w:cs="Arial"/>
                <w:w w:val="99"/>
                <w:sz w:val="18"/>
                <w:szCs w:val="18"/>
              </w:rPr>
              <w:t>—</w:t>
            </w:r>
          </w:p>
        </w:tc>
        <w:tc>
          <w:tcPr>
            <w:tcW w:w="760" w:type="dxa"/>
            <w:tcBorders>
              <w:bottom w:val="single" w:sz="8" w:space="0" w:color="CCEEFF"/>
            </w:tcBorders>
            <w:shd w:val="clear" w:color="auto" w:fill="CCEEFF"/>
            <w:vAlign w:val="bottom"/>
          </w:tcPr>
          <w:p w14:paraId="421D7F28" w14:textId="77777777" w:rsidR="00D1587D" w:rsidRDefault="00410D07">
            <w:pPr>
              <w:ind w:right="60"/>
              <w:jc w:val="right"/>
              <w:rPr>
                <w:sz w:val="20"/>
                <w:szCs w:val="20"/>
              </w:rPr>
            </w:pPr>
            <w:r>
              <w:rPr>
                <w:rFonts w:ascii="Arial" w:eastAsia="Arial" w:hAnsi="Arial" w:cs="Arial"/>
                <w:sz w:val="18"/>
                <w:szCs w:val="18"/>
              </w:rPr>
              <w:t>14,494</w:t>
            </w:r>
          </w:p>
        </w:tc>
        <w:tc>
          <w:tcPr>
            <w:tcW w:w="240" w:type="dxa"/>
            <w:tcBorders>
              <w:bottom w:val="single" w:sz="8" w:space="0" w:color="CCEEFF"/>
            </w:tcBorders>
            <w:shd w:val="clear" w:color="auto" w:fill="CCEEFF"/>
            <w:vAlign w:val="bottom"/>
          </w:tcPr>
          <w:p w14:paraId="00A40BC9" w14:textId="77777777" w:rsidR="00D1587D" w:rsidRDefault="00D1587D">
            <w:pPr>
              <w:rPr>
                <w:sz w:val="24"/>
                <w:szCs w:val="24"/>
              </w:rPr>
            </w:pPr>
          </w:p>
        </w:tc>
        <w:tc>
          <w:tcPr>
            <w:tcW w:w="660" w:type="dxa"/>
            <w:tcBorders>
              <w:bottom w:val="single" w:sz="8" w:space="0" w:color="CCEEFF"/>
            </w:tcBorders>
            <w:shd w:val="clear" w:color="auto" w:fill="CCEEFF"/>
            <w:vAlign w:val="bottom"/>
          </w:tcPr>
          <w:p w14:paraId="3064C0DD" w14:textId="77777777" w:rsidR="00D1587D" w:rsidRDefault="00410D07">
            <w:pPr>
              <w:jc w:val="right"/>
              <w:rPr>
                <w:sz w:val="20"/>
                <w:szCs w:val="20"/>
              </w:rPr>
            </w:pPr>
            <w:r>
              <w:rPr>
                <w:rFonts w:ascii="Arial" w:eastAsia="Arial" w:hAnsi="Arial" w:cs="Arial"/>
                <w:w w:val="92"/>
                <w:sz w:val="18"/>
                <w:szCs w:val="18"/>
              </w:rPr>
              <w:t>152,174</w:t>
            </w:r>
          </w:p>
        </w:tc>
        <w:tc>
          <w:tcPr>
            <w:tcW w:w="0" w:type="dxa"/>
            <w:vAlign w:val="bottom"/>
          </w:tcPr>
          <w:p w14:paraId="2447A386" w14:textId="77777777" w:rsidR="00D1587D" w:rsidRDefault="00D1587D">
            <w:pPr>
              <w:rPr>
                <w:sz w:val="1"/>
                <w:szCs w:val="1"/>
              </w:rPr>
            </w:pPr>
          </w:p>
        </w:tc>
      </w:tr>
      <w:tr w:rsidR="00D1587D" w14:paraId="6FF7BF9B" w14:textId="77777777">
        <w:trPr>
          <w:trHeight w:val="270"/>
        </w:trPr>
        <w:tc>
          <w:tcPr>
            <w:tcW w:w="5020" w:type="dxa"/>
            <w:vAlign w:val="bottom"/>
          </w:tcPr>
          <w:p w14:paraId="51093A37" w14:textId="77777777" w:rsidR="00D1587D" w:rsidRDefault="00410D07">
            <w:pPr>
              <w:rPr>
                <w:sz w:val="20"/>
                <w:szCs w:val="20"/>
              </w:rPr>
            </w:pPr>
            <w:r>
              <w:rPr>
                <w:rFonts w:ascii="Arial" w:eastAsia="Arial" w:hAnsi="Arial" w:cs="Arial"/>
                <w:sz w:val="18"/>
                <w:szCs w:val="18"/>
              </w:rPr>
              <w:t>Stuart B. Burgdoerfer</w:t>
            </w:r>
          </w:p>
        </w:tc>
        <w:tc>
          <w:tcPr>
            <w:tcW w:w="960" w:type="dxa"/>
            <w:gridSpan w:val="2"/>
            <w:vAlign w:val="bottom"/>
          </w:tcPr>
          <w:p w14:paraId="6A0B2AB7" w14:textId="77777777" w:rsidR="00D1587D" w:rsidRDefault="00410D07">
            <w:pPr>
              <w:ind w:right="540"/>
              <w:jc w:val="right"/>
              <w:rPr>
                <w:sz w:val="20"/>
                <w:szCs w:val="20"/>
              </w:rPr>
            </w:pPr>
            <w:r>
              <w:rPr>
                <w:rFonts w:ascii="Arial" w:eastAsia="Arial" w:hAnsi="Arial" w:cs="Arial"/>
                <w:sz w:val="18"/>
                <w:szCs w:val="18"/>
              </w:rPr>
              <w:t>—</w:t>
            </w:r>
          </w:p>
        </w:tc>
        <w:tc>
          <w:tcPr>
            <w:tcW w:w="780" w:type="dxa"/>
            <w:gridSpan w:val="2"/>
            <w:vAlign w:val="bottom"/>
          </w:tcPr>
          <w:p w14:paraId="4972AD69" w14:textId="77777777" w:rsidR="00D1587D" w:rsidRDefault="00410D07">
            <w:pPr>
              <w:ind w:right="280"/>
              <w:jc w:val="center"/>
              <w:rPr>
                <w:sz w:val="20"/>
                <w:szCs w:val="20"/>
              </w:rPr>
            </w:pPr>
            <w:r>
              <w:rPr>
                <w:rFonts w:ascii="Arial" w:eastAsia="Arial" w:hAnsi="Arial" w:cs="Arial"/>
                <w:w w:val="99"/>
                <w:sz w:val="18"/>
                <w:szCs w:val="18"/>
              </w:rPr>
              <w:t>—</w:t>
            </w:r>
          </w:p>
        </w:tc>
        <w:tc>
          <w:tcPr>
            <w:tcW w:w="760" w:type="dxa"/>
            <w:vAlign w:val="bottom"/>
          </w:tcPr>
          <w:p w14:paraId="4F736372" w14:textId="77777777" w:rsidR="00D1587D" w:rsidRDefault="00410D07">
            <w:pPr>
              <w:ind w:right="60"/>
              <w:jc w:val="right"/>
              <w:rPr>
                <w:sz w:val="20"/>
                <w:szCs w:val="20"/>
              </w:rPr>
            </w:pPr>
            <w:r>
              <w:rPr>
                <w:rFonts w:ascii="Arial" w:eastAsia="Arial" w:hAnsi="Arial" w:cs="Arial"/>
                <w:sz w:val="18"/>
                <w:szCs w:val="18"/>
              </w:rPr>
              <w:t>27,606</w:t>
            </w:r>
          </w:p>
        </w:tc>
        <w:tc>
          <w:tcPr>
            <w:tcW w:w="240" w:type="dxa"/>
            <w:vAlign w:val="bottom"/>
          </w:tcPr>
          <w:p w14:paraId="18BADF23" w14:textId="77777777" w:rsidR="00D1587D" w:rsidRDefault="00D1587D">
            <w:pPr>
              <w:rPr>
                <w:sz w:val="23"/>
                <w:szCs w:val="23"/>
              </w:rPr>
            </w:pPr>
          </w:p>
        </w:tc>
        <w:tc>
          <w:tcPr>
            <w:tcW w:w="660" w:type="dxa"/>
            <w:vAlign w:val="bottom"/>
          </w:tcPr>
          <w:p w14:paraId="540F0992" w14:textId="77777777" w:rsidR="00D1587D" w:rsidRDefault="00410D07">
            <w:pPr>
              <w:jc w:val="right"/>
              <w:rPr>
                <w:sz w:val="20"/>
                <w:szCs w:val="20"/>
              </w:rPr>
            </w:pPr>
            <w:r>
              <w:rPr>
                <w:rFonts w:ascii="Arial" w:eastAsia="Arial" w:hAnsi="Arial" w:cs="Arial"/>
                <w:w w:val="92"/>
                <w:sz w:val="18"/>
                <w:szCs w:val="18"/>
              </w:rPr>
              <w:t>292,624</w:t>
            </w:r>
          </w:p>
        </w:tc>
        <w:tc>
          <w:tcPr>
            <w:tcW w:w="0" w:type="dxa"/>
            <w:vAlign w:val="bottom"/>
          </w:tcPr>
          <w:p w14:paraId="5FEF074B" w14:textId="77777777" w:rsidR="00D1587D" w:rsidRDefault="00D1587D">
            <w:pPr>
              <w:rPr>
                <w:sz w:val="1"/>
                <w:szCs w:val="1"/>
              </w:rPr>
            </w:pPr>
          </w:p>
        </w:tc>
      </w:tr>
      <w:tr w:rsidR="00D1587D" w14:paraId="00B37811" w14:textId="77777777">
        <w:trPr>
          <w:trHeight w:val="54"/>
        </w:trPr>
        <w:tc>
          <w:tcPr>
            <w:tcW w:w="5020" w:type="dxa"/>
            <w:vAlign w:val="bottom"/>
          </w:tcPr>
          <w:p w14:paraId="0E7E84B7" w14:textId="77777777" w:rsidR="00D1587D" w:rsidRDefault="00D1587D">
            <w:pPr>
              <w:rPr>
                <w:sz w:val="4"/>
                <w:szCs w:val="4"/>
              </w:rPr>
            </w:pPr>
          </w:p>
        </w:tc>
        <w:tc>
          <w:tcPr>
            <w:tcW w:w="680" w:type="dxa"/>
            <w:vAlign w:val="bottom"/>
          </w:tcPr>
          <w:p w14:paraId="26B60712" w14:textId="77777777" w:rsidR="00D1587D" w:rsidRDefault="00D1587D">
            <w:pPr>
              <w:rPr>
                <w:sz w:val="4"/>
                <w:szCs w:val="4"/>
              </w:rPr>
            </w:pPr>
          </w:p>
        </w:tc>
        <w:tc>
          <w:tcPr>
            <w:tcW w:w="280" w:type="dxa"/>
            <w:vAlign w:val="bottom"/>
          </w:tcPr>
          <w:p w14:paraId="303A05EC" w14:textId="77777777" w:rsidR="00D1587D" w:rsidRDefault="00D1587D">
            <w:pPr>
              <w:rPr>
                <w:sz w:val="4"/>
                <w:szCs w:val="4"/>
              </w:rPr>
            </w:pPr>
          </w:p>
        </w:tc>
        <w:tc>
          <w:tcPr>
            <w:tcW w:w="540" w:type="dxa"/>
            <w:vAlign w:val="bottom"/>
          </w:tcPr>
          <w:p w14:paraId="3D01F40B" w14:textId="77777777" w:rsidR="00D1587D" w:rsidRDefault="00D1587D">
            <w:pPr>
              <w:rPr>
                <w:sz w:val="4"/>
                <w:szCs w:val="4"/>
              </w:rPr>
            </w:pPr>
          </w:p>
        </w:tc>
        <w:tc>
          <w:tcPr>
            <w:tcW w:w="240" w:type="dxa"/>
            <w:vAlign w:val="bottom"/>
          </w:tcPr>
          <w:p w14:paraId="0EFC2483" w14:textId="77777777" w:rsidR="00D1587D" w:rsidRDefault="00D1587D">
            <w:pPr>
              <w:rPr>
                <w:sz w:val="4"/>
                <w:szCs w:val="4"/>
              </w:rPr>
            </w:pPr>
          </w:p>
        </w:tc>
        <w:tc>
          <w:tcPr>
            <w:tcW w:w="760" w:type="dxa"/>
            <w:vAlign w:val="bottom"/>
          </w:tcPr>
          <w:p w14:paraId="7A11793F" w14:textId="77777777" w:rsidR="00D1587D" w:rsidRDefault="00D1587D">
            <w:pPr>
              <w:rPr>
                <w:sz w:val="4"/>
                <w:szCs w:val="4"/>
              </w:rPr>
            </w:pPr>
          </w:p>
        </w:tc>
        <w:tc>
          <w:tcPr>
            <w:tcW w:w="240" w:type="dxa"/>
            <w:vAlign w:val="bottom"/>
          </w:tcPr>
          <w:p w14:paraId="0B6566EB" w14:textId="77777777" w:rsidR="00D1587D" w:rsidRDefault="00D1587D">
            <w:pPr>
              <w:rPr>
                <w:sz w:val="4"/>
                <w:szCs w:val="4"/>
              </w:rPr>
            </w:pPr>
          </w:p>
        </w:tc>
        <w:tc>
          <w:tcPr>
            <w:tcW w:w="660" w:type="dxa"/>
            <w:vAlign w:val="bottom"/>
          </w:tcPr>
          <w:p w14:paraId="4C29F0C1" w14:textId="77777777" w:rsidR="00D1587D" w:rsidRDefault="00D1587D">
            <w:pPr>
              <w:rPr>
                <w:sz w:val="4"/>
                <w:szCs w:val="4"/>
              </w:rPr>
            </w:pPr>
          </w:p>
        </w:tc>
        <w:tc>
          <w:tcPr>
            <w:tcW w:w="0" w:type="dxa"/>
            <w:vAlign w:val="bottom"/>
          </w:tcPr>
          <w:p w14:paraId="0005FC7A" w14:textId="77777777" w:rsidR="00D1587D" w:rsidRDefault="00D1587D">
            <w:pPr>
              <w:rPr>
                <w:sz w:val="1"/>
                <w:szCs w:val="1"/>
              </w:rPr>
            </w:pPr>
          </w:p>
        </w:tc>
      </w:tr>
      <w:tr w:rsidR="00D1587D" w14:paraId="6D451700" w14:textId="77777777">
        <w:trPr>
          <w:trHeight w:val="270"/>
        </w:trPr>
        <w:tc>
          <w:tcPr>
            <w:tcW w:w="5020" w:type="dxa"/>
            <w:shd w:val="clear" w:color="auto" w:fill="CCEEFF"/>
            <w:vAlign w:val="bottom"/>
          </w:tcPr>
          <w:p w14:paraId="0011C9F2" w14:textId="77777777" w:rsidR="00D1587D" w:rsidRDefault="00410D07">
            <w:pPr>
              <w:rPr>
                <w:sz w:val="20"/>
                <w:szCs w:val="20"/>
              </w:rPr>
            </w:pPr>
            <w:r>
              <w:rPr>
                <w:rFonts w:ascii="Arial" w:eastAsia="Arial" w:hAnsi="Arial" w:cs="Arial"/>
                <w:sz w:val="18"/>
                <w:szCs w:val="18"/>
              </w:rPr>
              <w:t>John Mehas</w:t>
            </w:r>
          </w:p>
        </w:tc>
        <w:tc>
          <w:tcPr>
            <w:tcW w:w="960" w:type="dxa"/>
            <w:gridSpan w:val="2"/>
            <w:shd w:val="clear" w:color="auto" w:fill="CCEEFF"/>
            <w:vAlign w:val="bottom"/>
          </w:tcPr>
          <w:p w14:paraId="457CF8A9" w14:textId="77777777" w:rsidR="00D1587D" w:rsidRDefault="00410D07">
            <w:pPr>
              <w:ind w:right="540"/>
              <w:jc w:val="right"/>
              <w:rPr>
                <w:sz w:val="20"/>
                <w:szCs w:val="20"/>
              </w:rPr>
            </w:pPr>
            <w:r>
              <w:rPr>
                <w:rFonts w:ascii="Arial" w:eastAsia="Arial" w:hAnsi="Arial" w:cs="Arial"/>
                <w:sz w:val="18"/>
                <w:szCs w:val="18"/>
              </w:rPr>
              <w:t>—</w:t>
            </w:r>
          </w:p>
        </w:tc>
        <w:tc>
          <w:tcPr>
            <w:tcW w:w="780" w:type="dxa"/>
            <w:gridSpan w:val="2"/>
            <w:shd w:val="clear" w:color="auto" w:fill="CCEEFF"/>
            <w:vAlign w:val="bottom"/>
          </w:tcPr>
          <w:p w14:paraId="665C52AF" w14:textId="77777777" w:rsidR="00D1587D" w:rsidRDefault="00410D07">
            <w:pPr>
              <w:ind w:right="280"/>
              <w:jc w:val="center"/>
              <w:rPr>
                <w:sz w:val="20"/>
                <w:szCs w:val="20"/>
              </w:rPr>
            </w:pPr>
            <w:r>
              <w:rPr>
                <w:rFonts w:ascii="Arial" w:eastAsia="Arial" w:hAnsi="Arial" w:cs="Arial"/>
                <w:w w:val="99"/>
                <w:sz w:val="18"/>
                <w:szCs w:val="18"/>
              </w:rPr>
              <w:t>—</w:t>
            </w:r>
          </w:p>
        </w:tc>
        <w:tc>
          <w:tcPr>
            <w:tcW w:w="1000" w:type="dxa"/>
            <w:gridSpan w:val="2"/>
            <w:shd w:val="clear" w:color="auto" w:fill="CCEEFF"/>
            <w:vAlign w:val="bottom"/>
          </w:tcPr>
          <w:p w14:paraId="7EDCF829" w14:textId="77777777" w:rsidR="00D1587D" w:rsidRDefault="00410D07">
            <w:pPr>
              <w:ind w:right="380"/>
              <w:jc w:val="right"/>
              <w:rPr>
                <w:sz w:val="20"/>
                <w:szCs w:val="20"/>
              </w:rPr>
            </w:pPr>
            <w:r>
              <w:rPr>
                <w:rFonts w:ascii="Arial" w:eastAsia="Arial" w:hAnsi="Arial" w:cs="Arial"/>
                <w:sz w:val="18"/>
                <w:szCs w:val="18"/>
              </w:rPr>
              <w:t>—</w:t>
            </w:r>
          </w:p>
        </w:tc>
        <w:tc>
          <w:tcPr>
            <w:tcW w:w="660" w:type="dxa"/>
            <w:shd w:val="clear" w:color="auto" w:fill="CCEEFF"/>
            <w:vAlign w:val="bottom"/>
          </w:tcPr>
          <w:p w14:paraId="7E292F02" w14:textId="77777777" w:rsidR="00D1587D" w:rsidRDefault="00410D07">
            <w:pPr>
              <w:jc w:val="right"/>
              <w:rPr>
                <w:sz w:val="20"/>
                <w:szCs w:val="20"/>
              </w:rPr>
            </w:pPr>
            <w:r>
              <w:rPr>
                <w:rFonts w:ascii="Arial" w:eastAsia="Arial" w:hAnsi="Arial" w:cs="Arial"/>
                <w:sz w:val="18"/>
                <w:szCs w:val="18"/>
              </w:rPr>
              <w:t>—</w:t>
            </w:r>
          </w:p>
        </w:tc>
        <w:tc>
          <w:tcPr>
            <w:tcW w:w="0" w:type="dxa"/>
            <w:vAlign w:val="bottom"/>
          </w:tcPr>
          <w:p w14:paraId="0CFD5225" w14:textId="77777777" w:rsidR="00D1587D" w:rsidRDefault="00D1587D">
            <w:pPr>
              <w:rPr>
                <w:sz w:val="1"/>
                <w:szCs w:val="1"/>
              </w:rPr>
            </w:pPr>
          </w:p>
        </w:tc>
      </w:tr>
      <w:tr w:rsidR="00D1587D" w14:paraId="78622CF8" w14:textId="77777777">
        <w:trPr>
          <w:trHeight w:val="54"/>
        </w:trPr>
        <w:tc>
          <w:tcPr>
            <w:tcW w:w="5020" w:type="dxa"/>
            <w:shd w:val="clear" w:color="auto" w:fill="CCEEFF"/>
            <w:vAlign w:val="bottom"/>
          </w:tcPr>
          <w:p w14:paraId="0E9058BC" w14:textId="77777777" w:rsidR="00D1587D" w:rsidRDefault="00D1587D">
            <w:pPr>
              <w:rPr>
                <w:sz w:val="4"/>
                <w:szCs w:val="4"/>
              </w:rPr>
            </w:pPr>
          </w:p>
        </w:tc>
        <w:tc>
          <w:tcPr>
            <w:tcW w:w="680" w:type="dxa"/>
            <w:shd w:val="clear" w:color="auto" w:fill="CCEEFF"/>
            <w:vAlign w:val="bottom"/>
          </w:tcPr>
          <w:p w14:paraId="52A8CFFB" w14:textId="77777777" w:rsidR="00D1587D" w:rsidRDefault="00D1587D">
            <w:pPr>
              <w:rPr>
                <w:sz w:val="4"/>
                <w:szCs w:val="4"/>
              </w:rPr>
            </w:pPr>
          </w:p>
        </w:tc>
        <w:tc>
          <w:tcPr>
            <w:tcW w:w="280" w:type="dxa"/>
            <w:shd w:val="clear" w:color="auto" w:fill="CCEEFF"/>
            <w:vAlign w:val="bottom"/>
          </w:tcPr>
          <w:p w14:paraId="313FA60D" w14:textId="77777777" w:rsidR="00D1587D" w:rsidRDefault="00D1587D">
            <w:pPr>
              <w:rPr>
                <w:sz w:val="4"/>
                <w:szCs w:val="4"/>
              </w:rPr>
            </w:pPr>
          </w:p>
        </w:tc>
        <w:tc>
          <w:tcPr>
            <w:tcW w:w="540" w:type="dxa"/>
            <w:shd w:val="clear" w:color="auto" w:fill="CCEEFF"/>
            <w:vAlign w:val="bottom"/>
          </w:tcPr>
          <w:p w14:paraId="71D220B4" w14:textId="77777777" w:rsidR="00D1587D" w:rsidRDefault="00D1587D">
            <w:pPr>
              <w:rPr>
                <w:sz w:val="4"/>
                <w:szCs w:val="4"/>
              </w:rPr>
            </w:pPr>
          </w:p>
        </w:tc>
        <w:tc>
          <w:tcPr>
            <w:tcW w:w="240" w:type="dxa"/>
            <w:shd w:val="clear" w:color="auto" w:fill="CCEEFF"/>
            <w:vAlign w:val="bottom"/>
          </w:tcPr>
          <w:p w14:paraId="253D8D62" w14:textId="77777777" w:rsidR="00D1587D" w:rsidRDefault="00D1587D">
            <w:pPr>
              <w:rPr>
                <w:sz w:val="4"/>
                <w:szCs w:val="4"/>
              </w:rPr>
            </w:pPr>
          </w:p>
        </w:tc>
        <w:tc>
          <w:tcPr>
            <w:tcW w:w="760" w:type="dxa"/>
            <w:shd w:val="clear" w:color="auto" w:fill="CCEEFF"/>
            <w:vAlign w:val="bottom"/>
          </w:tcPr>
          <w:p w14:paraId="4565A2F8" w14:textId="77777777" w:rsidR="00D1587D" w:rsidRDefault="00D1587D">
            <w:pPr>
              <w:rPr>
                <w:sz w:val="4"/>
                <w:szCs w:val="4"/>
              </w:rPr>
            </w:pPr>
          </w:p>
        </w:tc>
        <w:tc>
          <w:tcPr>
            <w:tcW w:w="240" w:type="dxa"/>
            <w:shd w:val="clear" w:color="auto" w:fill="CCEEFF"/>
            <w:vAlign w:val="bottom"/>
          </w:tcPr>
          <w:p w14:paraId="6729F10A" w14:textId="77777777" w:rsidR="00D1587D" w:rsidRDefault="00D1587D">
            <w:pPr>
              <w:rPr>
                <w:sz w:val="4"/>
                <w:szCs w:val="4"/>
              </w:rPr>
            </w:pPr>
          </w:p>
        </w:tc>
        <w:tc>
          <w:tcPr>
            <w:tcW w:w="660" w:type="dxa"/>
            <w:shd w:val="clear" w:color="auto" w:fill="CCEEFF"/>
            <w:vAlign w:val="bottom"/>
          </w:tcPr>
          <w:p w14:paraId="4F10EA84" w14:textId="77777777" w:rsidR="00D1587D" w:rsidRDefault="00D1587D">
            <w:pPr>
              <w:rPr>
                <w:sz w:val="4"/>
                <w:szCs w:val="4"/>
              </w:rPr>
            </w:pPr>
          </w:p>
        </w:tc>
        <w:tc>
          <w:tcPr>
            <w:tcW w:w="0" w:type="dxa"/>
            <w:vAlign w:val="bottom"/>
          </w:tcPr>
          <w:p w14:paraId="5701BAA5" w14:textId="77777777" w:rsidR="00D1587D" w:rsidRDefault="00D1587D">
            <w:pPr>
              <w:rPr>
                <w:sz w:val="1"/>
                <w:szCs w:val="1"/>
              </w:rPr>
            </w:pPr>
          </w:p>
        </w:tc>
      </w:tr>
    </w:tbl>
    <w:p w14:paraId="69642EE9" w14:textId="77777777" w:rsidR="00D1587D" w:rsidRDefault="00410D07">
      <w:pPr>
        <w:spacing w:line="20" w:lineRule="exact"/>
        <w:rPr>
          <w:sz w:val="20"/>
          <w:szCs w:val="20"/>
        </w:rPr>
      </w:pPr>
      <w:r>
        <w:rPr>
          <w:noProof/>
          <w:sz w:val="20"/>
          <w:szCs w:val="20"/>
        </w:rPr>
        <w:drawing>
          <wp:anchor distT="0" distB="0" distL="114300" distR="114300" simplePos="0" relativeHeight="251900928" behindDoc="1" locked="0" layoutInCell="0" allowOverlap="1" wp14:anchorId="5BB90869" wp14:editId="64847EBB">
            <wp:simplePos x="0" y="0"/>
            <wp:positionH relativeFrom="column">
              <wp:posOffset>4959985</wp:posOffset>
            </wp:positionH>
            <wp:positionV relativeFrom="paragraph">
              <wp:posOffset>-1045210</wp:posOffset>
            </wp:positionV>
            <wp:extent cx="154305" cy="8890"/>
            <wp:effectExtent l="0" t="0" r="0" b="0"/>
            <wp:wrapNone/>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59"/>
                    <a:srcRect/>
                    <a:stretch>
                      <a:fillRect/>
                    </a:stretch>
                  </pic:blipFill>
                  <pic:spPr bwMode="auto">
                    <a:xfrm>
                      <a:off x="0" y="0"/>
                      <a:ext cx="154305" cy="8890"/>
                    </a:xfrm>
                    <a:prstGeom prst="rect">
                      <a:avLst/>
                    </a:prstGeom>
                    <a:noFill/>
                  </pic:spPr>
                </pic:pic>
              </a:graphicData>
            </a:graphic>
          </wp:anchor>
        </w:drawing>
      </w:r>
      <w:r>
        <w:rPr>
          <w:noProof/>
          <w:sz w:val="20"/>
          <w:szCs w:val="20"/>
        </w:rPr>
        <w:drawing>
          <wp:anchor distT="0" distB="0" distL="114300" distR="114300" simplePos="0" relativeHeight="251901952" behindDoc="1" locked="0" layoutInCell="0" allowOverlap="1" wp14:anchorId="49FEBCED" wp14:editId="4CA2A6A4">
            <wp:simplePos x="0" y="0"/>
            <wp:positionH relativeFrom="column">
              <wp:posOffset>4325620</wp:posOffset>
            </wp:positionH>
            <wp:positionV relativeFrom="paragraph">
              <wp:posOffset>-1045210</wp:posOffset>
            </wp:positionV>
            <wp:extent cx="154305" cy="8890"/>
            <wp:effectExtent l="0" t="0" r="0" b="0"/>
            <wp:wrapNone/>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59"/>
                    <a:srcRect/>
                    <a:stretch>
                      <a:fillRect/>
                    </a:stretch>
                  </pic:blipFill>
                  <pic:spPr bwMode="auto">
                    <a:xfrm>
                      <a:off x="0" y="0"/>
                      <a:ext cx="154305" cy="8890"/>
                    </a:xfrm>
                    <a:prstGeom prst="rect">
                      <a:avLst/>
                    </a:prstGeom>
                    <a:noFill/>
                  </pic:spPr>
                </pic:pic>
              </a:graphicData>
            </a:graphic>
          </wp:anchor>
        </w:drawing>
      </w:r>
      <w:r>
        <w:rPr>
          <w:noProof/>
          <w:sz w:val="20"/>
          <w:szCs w:val="20"/>
        </w:rPr>
        <w:drawing>
          <wp:anchor distT="0" distB="0" distL="114300" distR="114300" simplePos="0" relativeHeight="251902976" behindDoc="1" locked="0" layoutInCell="0" allowOverlap="1" wp14:anchorId="16DFB38D" wp14:editId="1EF7F720">
            <wp:simplePos x="0" y="0"/>
            <wp:positionH relativeFrom="column">
              <wp:posOffset>3811270</wp:posOffset>
            </wp:positionH>
            <wp:positionV relativeFrom="paragraph">
              <wp:posOffset>-1045210</wp:posOffset>
            </wp:positionV>
            <wp:extent cx="171450" cy="8890"/>
            <wp:effectExtent l="0" t="0" r="0" b="0"/>
            <wp:wrapNone/>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60"/>
                    <a:srcRect/>
                    <a:stretch>
                      <a:fillRect/>
                    </a:stretch>
                  </pic:blipFill>
                  <pic:spPr bwMode="auto">
                    <a:xfrm>
                      <a:off x="0" y="0"/>
                      <a:ext cx="171450" cy="8890"/>
                    </a:xfrm>
                    <a:prstGeom prst="rect">
                      <a:avLst/>
                    </a:prstGeom>
                    <a:noFill/>
                  </pic:spPr>
                </pic:pic>
              </a:graphicData>
            </a:graphic>
          </wp:anchor>
        </w:drawing>
      </w:r>
      <w:r>
        <w:rPr>
          <w:noProof/>
          <w:sz w:val="20"/>
          <w:szCs w:val="20"/>
        </w:rPr>
        <w:drawing>
          <wp:anchor distT="0" distB="0" distL="114300" distR="114300" simplePos="0" relativeHeight="251904000" behindDoc="1" locked="0" layoutInCell="0" allowOverlap="1" wp14:anchorId="29D0445E" wp14:editId="35DB9767">
            <wp:simplePos x="0" y="0"/>
            <wp:positionH relativeFrom="column">
              <wp:posOffset>3288665</wp:posOffset>
            </wp:positionH>
            <wp:positionV relativeFrom="paragraph">
              <wp:posOffset>-1045210</wp:posOffset>
            </wp:positionV>
            <wp:extent cx="85725" cy="8890"/>
            <wp:effectExtent l="0" t="0" r="0" b="0"/>
            <wp:wrapNone/>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1905024" behindDoc="1" locked="0" layoutInCell="0" allowOverlap="1" wp14:anchorId="444C084F" wp14:editId="33E799E3">
            <wp:simplePos x="0" y="0"/>
            <wp:positionH relativeFrom="column">
              <wp:posOffset>185420</wp:posOffset>
            </wp:positionH>
            <wp:positionV relativeFrom="paragraph">
              <wp:posOffset>154305</wp:posOffset>
            </wp:positionV>
            <wp:extent cx="822960" cy="8255"/>
            <wp:effectExtent l="0" t="0" r="0" b="0"/>
            <wp:wrapNone/>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4368948F" w14:textId="77777777" w:rsidR="00D1587D" w:rsidRDefault="00D1587D">
      <w:pPr>
        <w:spacing w:line="272" w:lineRule="exact"/>
        <w:rPr>
          <w:sz w:val="20"/>
          <w:szCs w:val="20"/>
        </w:rPr>
      </w:pPr>
    </w:p>
    <w:p w14:paraId="1E180BB7" w14:textId="77777777" w:rsidR="00D1587D" w:rsidRDefault="00410D07" w:rsidP="00410D07">
      <w:pPr>
        <w:numPr>
          <w:ilvl w:val="0"/>
          <w:numId w:val="324"/>
        </w:numPr>
        <w:tabs>
          <w:tab w:val="left" w:pos="640"/>
        </w:tabs>
        <w:ind w:left="640" w:hanging="348"/>
        <w:rPr>
          <w:rFonts w:ascii="Arial" w:eastAsia="Arial" w:hAnsi="Arial" w:cs="Arial"/>
          <w:sz w:val="14"/>
          <w:szCs w:val="14"/>
        </w:rPr>
      </w:pPr>
      <w:r>
        <w:rPr>
          <w:rFonts w:ascii="Arial" w:eastAsia="Arial" w:hAnsi="Arial" w:cs="Arial"/>
          <w:sz w:val="14"/>
          <w:szCs w:val="14"/>
        </w:rPr>
        <w:t xml:space="preserve">Option Award Value Realized is calculated based on the difference between the sale price and the option </w:t>
      </w:r>
      <w:r>
        <w:rPr>
          <w:rFonts w:ascii="Arial" w:eastAsia="Arial" w:hAnsi="Arial" w:cs="Arial"/>
          <w:sz w:val="14"/>
          <w:szCs w:val="14"/>
        </w:rPr>
        <w:t>exercise price.</w:t>
      </w:r>
    </w:p>
    <w:p w14:paraId="1B863630" w14:textId="77777777" w:rsidR="00D1587D" w:rsidRDefault="00D1587D">
      <w:pPr>
        <w:spacing w:line="41" w:lineRule="exact"/>
        <w:rPr>
          <w:rFonts w:ascii="Arial" w:eastAsia="Arial" w:hAnsi="Arial" w:cs="Arial"/>
          <w:sz w:val="14"/>
          <w:szCs w:val="14"/>
        </w:rPr>
      </w:pPr>
    </w:p>
    <w:p w14:paraId="06D98697" w14:textId="77777777" w:rsidR="00D1587D" w:rsidRDefault="00410D07" w:rsidP="00410D07">
      <w:pPr>
        <w:numPr>
          <w:ilvl w:val="0"/>
          <w:numId w:val="324"/>
        </w:numPr>
        <w:tabs>
          <w:tab w:val="left" w:pos="640"/>
        </w:tabs>
        <w:ind w:left="640" w:hanging="348"/>
        <w:rPr>
          <w:rFonts w:ascii="Arial" w:eastAsia="Arial" w:hAnsi="Arial" w:cs="Arial"/>
          <w:sz w:val="14"/>
          <w:szCs w:val="14"/>
        </w:rPr>
      </w:pPr>
      <w:r>
        <w:rPr>
          <w:rFonts w:ascii="Arial" w:eastAsia="Arial" w:hAnsi="Arial" w:cs="Arial"/>
          <w:sz w:val="14"/>
          <w:szCs w:val="14"/>
        </w:rPr>
        <w:t>Restricted Stock Award Value Realized is calculated based on the closing stock price on the date the RSUs vested.</w:t>
      </w:r>
    </w:p>
    <w:p w14:paraId="620CF657" w14:textId="77777777" w:rsidR="00D1587D" w:rsidRDefault="00D1587D">
      <w:pPr>
        <w:spacing w:line="339" w:lineRule="exact"/>
        <w:rPr>
          <w:sz w:val="20"/>
          <w:szCs w:val="20"/>
        </w:rPr>
      </w:pPr>
    </w:p>
    <w:p w14:paraId="26535D3F" w14:textId="77777777" w:rsidR="00D1587D" w:rsidRDefault="00410D07">
      <w:pPr>
        <w:jc w:val="center"/>
        <w:rPr>
          <w:sz w:val="20"/>
          <w:szCs w:val="20"/>
        </w:rPr>
      </w:pPr>
      <w:r>
        <w:rPr>
          <w:rFonts w:ascii="Arial" w:eastAsia="Arial" w:hAnsi="Arial" w:cs="Arial"/>
          <w:b/>
          <w:bCs/>
          <w:sz w:val="18"/>
          <w:szCs w:val="18"/>
        </w:rPr>
        <w:t>Retirement and Other Post-Employment Benefits</w:t>
      </w:r>
    </w:p>
    <w:p w14:paraId="672CF41B" w14:textId="77777777" w:rsidR="00D1587D" w:rsidRDefault="00D1587D">
      <w:pPr>
        <w:spacing w:line="15" w:lineRule="exact"/>
        <w:rPr>
          <w:sz w:val="20"/>
          <w:szCs w:val="20"/>
        </w:rPr>
      </w:pPr>
    </w:p>
    <w:p w14:paraId="429D8ED1" w14:textId="77777777" w:rsidR="00D1587D" w:rsidRDefault="00410D07">
      <w:pPr>
        <w:jc w:val="center"/>
        <w:rPr>
          <w:sz w:val="20"/>
          <w:szCs w:val="20"/>
        </w:rPr>
      </w:pPr>
      <w:r>
        <w:rPr>
          <w:rFonts w:ascii="Arial" w:eastAsia="Arial" w:hAnsi="Arial" w:cs="Arial"/>
          <w:b/>
          <w:bCs/>
          <w:sz w:val="18"/>
          <w:szCs w:val="18"/>
        </w:rPr>
        <w:t>Non-qualified Deferred Compensation for Fiscal 2020</w:t>
      </w:r>
      <w:r>
        <w:rPr>
          <w:rFonts w:ascii="Arial" w:eastAsia="Arial" w:hAnsi="Arial" w:cs="Arial"/>
          <w:b/>
          <w:bCs/>
          <w:sz w:val="29"/>
          <w:szCs w:val="29"/>
          <w:vertAlign w:val="superscript"/>
        </w:rPr>
        <w:t>(1)</w:t>
      </w:r>
    </w:p>
    <w:p w14:paraId="317CCE0E" w14:textId="77777777" w:rsidR="00D1587D" w:rsidRDefault="00D1587D">
      <w:pPr>
        <w:spacing w:line="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3440"/>
        <w:gridCol w:w="200"/>
        <w:gridCol w:w="860"/>
        <w:gridCol w:w="180"/>
        <w:gridCol w:w="880"/>
        <w:gridCol w:w="180"/>
        <w:gridCol w:w="720"/>
        <w:gridCol w:w="180"/>
        <w:gridCol w:w="840"/>
        <w:gridCol w:w="200"/>
        <w:gridCol w:w="740"/>
        <w:gridCol w:w="20"/>
      </w:tblGrid>
      <w:tr w:rsidR="00D1587D" w14:paraId="674283F8" w14:textId="77777777">
        <w:trPr>
          <w:trHeight w:val="161"/>
        </w:trPr>
        <w:tc>
          <w:tcPr>
            <w:tcW w:w="3440" w:type="dxa"/>
            <w:vAlign w:val="bottom"/>
          </w:tcPr>
          <w:p w14:paraId="1BF9B8AB" w14:textId="77777777" w:rsidR="00D1587D" w:rsidRDefault="00D1587D">
            <w:pPr>
              <w:rPr>
                <w:sz w:val="14"/>
                <w:szCs w:val="14"/>
              </w:rPr>
            </w:pPr>
          </w:p>
        </w:tc>
        <w:tc>
          <w:tcPr>
            <w:tcW w:w="200" w:type="dxa"/>
            <w:vAlign w:val="bottom"/>
          </w:tcPr>
          <w:p w14:paraId="562E39D5" w14:textId="77777777" w:rsidR="00D1587D" w:rsidRDefault="00D1587D">
            <w:pPr>
              <w:rPr>
                <w:sz w:val="14"/>
                <w:szCs w:val="14"/>
              </w:rPr>
            </w:pPr>
          </w:p>
        </w:tc>
        <w:tc>
          <w:tcPr>
            <w:tcW w:w="1040" w:type="dxa"/>
            <w:gridSpan w:val="2"/>
            <w:vMerge w:val="restart"/>
            <w:vAlign w:val="bottom"/>
          </w:tcPr>
          <w:p w14:paraId="466D85AF" w14:textId="77777777" w:rsidR="00D1587D" w:rsidRDefault="00410D07">
            <w:pPr>
              <w:ind w:right="200"/>
              <w:jc w:val="center"/>
              <w:rPr>
                <w:sz w:val="20"/>
                <w:szCs w:val="20"/>
              </w:rPr>
            </w:pPr>
            <w:r>
              <w:rPr>
                <w:rFonts w:ascii="Arial" w:eastAsia="Arial" w:hAnsi="Arial" w:cs="Arial"/>
                <w:b/>
                <w:bCs/>
                <w:w w:val="91"/>
                <w:sz w:val="14"/>
                <w:szCs w:val="14"/>
              </w:rPr>
              <w:t>Executive</w:t>
            </w:r>
          </w:p>
        </w:tc>
        <w:tc>
          <w:tcPr>
            <w:tcW w:w="1060" w:type="dxa"/>
            <w:gridSpan w:val="2"/>
            <w:vMerge w:val="restart"/>
            <w:vAlign w:val="bottom"/>
          </w:tcPr>
          <w:p w14:paraId="72AE543A" w14:textId="77777777" w:rsidR="00D1587D" w:rsidRDefault="00410D07">
            <w:pPr>
              <w:ind w:right="220"/>
              <w:jc w:val="center"/>
              <w:rPr>
                <w:sz w:val="20"/>
                <w:szCs w:val="20"/>
              </w:rPr>
            </w:pPr>
            <w:r>
              <w:rPr>
                <w:rFonts w:ascii="Arial" w:eastAsia="Arial" w:hAnsi="Arial" w:cs="Arial"/>
                <w:b/>
                <w:bCs/>
                <w:w w:val="92"/>
                <w:sz w:val="14"/>
                <w:szCs w:val="14"/>
              </w:rPr>
              <w:t>Registrant</w:t>
            </w:r>
          </w:p>
        </w:tc>
        <w:tc>
          <w:tcPr>
            <w:tcW w:w="900" w:type="dxa"/>
            <w:gridSpan w:val="2"/>
            <w:vMerge w:val="restart"/>
            <w:vAlign w:val="bottom"/>
          </w:tcPr>
          <w:p w14:paraId="24E2241E" w14:textId="77777777" w:rsidR="00D1587D" w:rsidRDefault="00410D07">
            <w:pPr>
              <w:ind w:right="220"/>
              <w:jc w:val="center"/>
              <w:rPr>
                <w:sz w:val="20"/>
                <w:szCs w:val="20"/>
              </w:rPr>
            </w:pPr>
            <w:r>
              <w:rPr>
                <w:rFonts w:ascii="Arial" w:eastAsia="Arial" w:hAnsi="Arial" w:cs="Arial"/>
                <w:b/>
                <w:bCs/>
                <w:w w:val="92"/>
                <w:sz w:val="14"/>
                <w:szCs w:val="14"/>
              </w:rPr>
              <w:t>Aggregate</w:t>
            </w:r>
          </w:p>
        </w:tc>
        <w:tc>
          <w:tcPr>
            <w:tcW w:w="840" w:type="dxa"/>
            <w:vMerge w:val="restart"/>
            <w:vAlign w:val="bottom"/>
          </w:tcPr>
          <w:p w14:paraId="12904DDF" w14:textId="77777777" w:rsidR="00D1587D" w:rsidRDefault="00410D07">
            <w:pPr>
              <w:jc w:val="center"/>
              <w:rPr>
                <w:sz w:val="20"/>
                <w:szCs w:val="20"/>
              </w:rPr>
            </w:pPr>
            <w:r>
              <w:rPr>
                <w:rFonts w:ascii="Arial" w:eastAsia="Arial" w:hAnsi="Arial" w:cs="Arial"/>
                <w:b/>
                <w:bCs/>
                <w:w w:val="89"/>
                <w:sz w:val="14"/>
                <w:szCs w:val="14"/>
              </w:rPr>
              <w:t>Aggregate</w:t>
            </w:r>
          </w:p>
        </w:tc>
        <w:tc>
          <w:tcPr>
            <w:tcW w:w="200" w:type="dxa"/>
            <w:vAlign w:val="bottom"/>
          </w:tcPr>
          <w:p w14:paraId="4508159D" w14:textId="77777777" w:rsidR="00D1587D" w:rsidRDefault="00D1587D">
            <w:pPr>
              <w:rPr>
                <w:sz w:val="14"/>
                <w:szCs w:val="14"/>
              </w:rPr>
            </w:pPr>
          </w:p>
        </w:tc>
        <w:tc>
          <w:tcPr>
            <w:tcW w:w="740" w:type="dxa"/>
            <w:vAlign w:val="bottom"/>
          </w:tcPr>
          <w:p w14:paraId="62320B50" w14:textId="77777777" w:rsidR="00D1587D" w:rsidRDefault="00410D07">
            <w:pPr>
              <w:jc w:val="center"/>
              <w:rPr>
                <w:sz w:val="20"/>
                <w:szCs w:val="20"/>
              </w:rPr>
            </w:pPr>
            <w:r>
              <w:rPr>
                <w:rFonts w:ascii="Arial" w:eastAsia="Arial" w:hAnsi="Arial" w:cs="Arial"/>
                <w:b/>
                <w:bCs/>
                <w:w w:val="89"/>
                <w:sz w:val="14"/>
                <w:szCs w:val="14"/>
              </w:rPr>
              <w:t>Aggregate</w:t>
            </w:r>
          </w:p>
        </w:tc>
        <w:tc>
          <w:tcPr>
            <w:tcW w:w="0" w:type="dxa"/>
            <w:vAlign w:val="bottom"/>
          </w:tcPr>
          <w:p w14:paraId="34E8EFC1" w14:textId="77777777" w:rsidR="00D1587D" w:rsidRDefault="00D1587D">
            <w:pPr>
              <w:rPr>
                <w:sz w:val="1"/>
                <w:szCs w:val="1"/>
              </w:rPr>
            </w:pPr>
          </w:p>
        </w:tc>
      </w:tr>
      <w:tr w:rsidR="00D1587D" w14:paraId="1C8ACD7D" w14:textId="77777777">
        <w:trPr>
          <w:trHeight w:val="148"/>
        </w:trPr>
        <w:tc>
          <w:tcPr>
            <w:tcW w:w="3440" w:type="dxa"/>
            <w:vAlign w:val="bottom"/>
          </w:tcPr>
          <w:p w14:paraId="7DCDBE85" w14:textId="77777777" w:rsidR="00D1587D" w:rsidRDefault="00D1587D">
            <w:pPr>
              <w:rPr>
                <w:sz w:val="12"/>
                <w:szCs w:val="12"/>
              </w:rPr>
            </w:pPr>
          </w:p>
        </w:tc>
        <w:tc>
          <w:tcPr>
            <w:tcW w:w="200" w:type="dxa"/>
            <w:vAlign w:val="bottom"/>
          </w:tcPr>
          <w:p w14:paraId="5912F711" w14:textId="77777777" w:rsidR="00D1587D" w:rsidRDefault="00D1587D">
            <w:pPr>
              <w:rPr>
                <w:sz w:val="12"/>
                <w:szCs w:val="12"/>
              </w:rPr>
            </w:pPr>
          </w:p>
        </w:tc>
        <w:tc>
          <w:tcPr>
            <w:tcW w:w="1040" w:type="dxa"/>
            <w:gridSpan w:val="2"/>
            <w:vMerge/>
            <w:vAlign w:val="bottom"/>
          </w:tcPr>
          <w:p w14:paraId="479D1FAA" w14:textId="77777777" w:rsidR="00D1587D" w:rsidRDefault="00D1587D">
            <w:pPr>
              <w:rPr>
                <w:sz w:val="12"/>
                <w:szCs w:val="12"/>
              </w:rPr>
            </w:pPr>
          </w:p>
        </w:tc>
        <w:tc>
          <w:tcPr>
            <w:tcW w:w="1060" w:type="dxa"/>
            <w:gridSpan w:val="2"/>
            <w:vMerge/>
            <w:vAlign w:val="bottom"/>
          </w:tcPr>
          <w:p w14:paraId="71D4AA73" w14:textId="77777777" w:rsidR="00D1587D" w:rsidRDefault="00D1587D">
            <w:pPr>
              <w:rPr>
                <w:sz w:val="12"/>
                <w:szCs w:val="12"/>
              </w:rPr>
            </w:pPr>
          </w:p>
        </w:tc>
        <w:tc>
          <w:tcPr>
            <w:tcW w:w="900" w:type="dxa"/>
            <w:gridSpan w:val="2"/>
            <w:vMerge/>
            <w:vAlign w:val="bottom"/>
          </w:tcPr>
          <w:p w14:paraId="069BFAFD" w14:textId="77777777" w:rsidR="00D1587D" w:rsidRDefault="00D1587D">
            <w:pPr>
              <w:rPr>
                <w:sz w:val="12"/>
                <w:szCs w:val="12"/>
              </w:rPr>
            </w:pPr>
          </w:p>
        </w:tc>
        <w:tc>
          <w:tcPr>
            <w:tcW w:w="840" w:type="dxa"/>
            <w:vMerge/>
            <w:vAlign w:val="bottom"/>
          </w:tcPr>
          <w:p w14:paraId="28F85D1B" w14:textId="77777777" w:rsidR="00D1587D" w:rsidRDefault="00D1587D">
            <w:pPr>
              <w:rPr>
                <w:sz w:val="12"/>
                <w:szCs w:val="12"/>
              </w:rPr>
            </w:pPr>
          </w:p>
        </w:tc>
        <w:tc>
          <w:tcPr>
            <w:tcW w:w="200" w:type="dxa"/>
            <w:vAlign w:val="bottom"/>
          </w:tcPr>
          <w:p w14:paraId="5B189A31" w14:textId="77777777" w:rsidR="00D1587D" w:rsidRDefault="00D1587D">
            <w:pPr>
              <w:rPr>
                <w:sz w:val="12"/>
                <w:szCs w:val="12"/>
              </w:rPr>
            </w:pPr>
          </w:p>
        </w:tc>
        <w:tc>
          <w:tcPr>
            <w:tcW w:w="740" w:type="dxa"/>
            <w:vAlign w:val="bottom"/>
          </w:tcPr>
          <w:p w14:paraId="59E02B48" w14:textId="77777777" w:rsidR="00D1587D" w:rsidRDefault="00410D07">
            <w:pPr>
              <w:spacing w:line="149" w:lineRule="exact"/>
              <w:jc w:val="center"/>
              <w:rPr>
                <w:sz w:val="20"/>
                <w:szCs w:val="20"/>
              </w:rPr>
            </w:pPr>
            <w:r>
              <w:rPr>
                <w:rFonts w:ascii="Arial" w:eastAsia="Arial" w:hAnsi="Arial" w:cs="Arial"/>
                <w:b/>
                <w:bCs/>
                <w:w w:val="91"/>
                <w:sz w:val="14"/>
                <w:szCs w:val="14"/>
              </w:rPr>
              <w:t>Balance at</w:t>
            </w:r>
          </w:p>
        </w:tc>
        <w:tc>
          <w:tcPr>
            <w:tcW w:w="0" w:type="dxa"/>
            <w:vAlign w:val="bottom"/>
          </w:tcPr>
          <w:p w14:paraId="07E94F10" w14:textId="77777777" w:rsidR="00D1587D" w:rsidRDefault="00D1587D">
            <w:pPr>
              <w:rPr>
                <w:sz w:val="1"/>
                <w:szCs w:val="1"/>
              </w:rPr>
            </w:pPr>
          </w:p>
        </w:tc>
      </w:tr>
      <w:tr w:rsidR="00D1587D" w14:paraId="76A0E36F" w14:textId="77777777">
        <w:trPr>
          <w:trHeight w:val="148"/>
        </w:trPr>
        <w:tc>
          <w:tcPr>
            <w:tcW w:w="3440" w:type="dxa"/>
            <w:vAlign w:val="bottom"/>
          </w:tcPr>
          <w:p w14:paraId="13FA027D" w14:textId="77777777" w:rsidR="00D1587D" w:rsidRDefault="00D1587D">
            <w:pPr>
              <w:rPr>
                <w:sz w:val="12"/>
                <w:szCs w:val="12"/>
              </w:rPr>
            </w:pPr>
          </w:p>
        </w:tc>
        <w:tc>
          <w:tcPr>
            <w:tcW w:w="200" w:type="dxa"/>
            <w:vAlign w:val="bottom"/>
          </w:tcPr>
          <w:p w14:paraId="793E3339" w14:textId="77777777" w:rsidR="00D1587D" w:rsidRDefault="00D1587D">
            <w:pPr>
              <w:rPr>
                <w:sz w:val="12"/>
                <w:szCs w:val="12"/>
              </w:rPr>
            </w:pPr>
          </w:p>
        </w:tc>
        <w:tc>
          <w:tcPr>
            <w:tcW w:w="1040" w:type="dxa"/>
            <w:gridSpan w:val="2"/>
            <w:vAlign w:val="bottom"/>
          </w:tcPr>
          <w:p w14:paraId="62400C4A" w14:textId="77777777" w:rsidR="00D1587D" w:rsidRDefault="00410D07">
            <w:pPr>
              <w:spacing w:line="149" w:lineRule="exact"/>
              <w:ind w:right="180"/>
              <w:jc w:val="center"/>
              <w:rPr>
                <w:sz w:val="20"/>
                <w:szCs w:val="20"/>
              </w:rPr>
            </w:pPr>
            <w:r>
              <w:rPr>
                <w:rFonts w:ascii="Arial" w:eastAsia="Arial" w:hAnsi="Arial" w:cs="Arial"/>
                <w:b/>
                <w:bCs/>
                <w:w w:val="93"/>
                <w:sz w:val="14"/>
                <w:szCs w:val="14"/>
              </w:rPr>
              <w:t>Contributions</w:t>
            </w:r>
          </w:p>
        </w:tc>
        <w:tc>
          <w:tcPr>
            <w:tcW w:w="1060" w:type="dxa"/>
            <w:gridSpan w:val="2"/>
            <w:vAlign w:val="bottom"/>
          </w:tcPr>
          <w:p w14:paraId="4E245304" w14:textId="77777777" w:rsidR="00D1587D" w:rsidRDefault="00410D07">
            <w:pPr>
              <w:spacing w:line="149" w:lineRule="exact"/>
              <w:ind w:right="160"/>
              <w:jc w:val="center"/>
              <w:rPr>
                <w:sz w:val="20"/>
                <w:szCs w:val="20"/>
              </w:rPr>
            </w:pPr>
            <w:r>
              <w:rPr>
                <w:rFonts w:ascii="Arial" w:eastAsia="Arial" w:hAnsi="Arial" w:cs="Arial"/>
                <w:b/>
                <w:bCs/>
                <w:w w:val="93"/>
                <w:sz w:val="14"/>
                <w:szCs w:val="14"/>
              </w:rPr>
              <w:t>Contributions</w:t>
            </w:r>
          </w:p>
        </w:tc>
        <w:tc>
          <w:tcPr>
            <w:tcW w:w="900" w:type="dxa"/>
            <w:gridSpan w:val="2"/>
            <w:vAlign w:val="bottom"/>
          </w:tcPr>
          <w:p w14:paraId="62919C04" w14:textId="77777777" w:rsidR="00D1587D" w:rsidRDefault="00410D07">
            <w:pPr>
              <w:spacing w:line="149" w:lineRule="exact"/>
              <w:ind w:right="180"/>
              <w:jc w:val="center"/>
              <w:rPr>
                <w:sz w:val="20"/>
                <w:szCs w:val="20"/>
              </w:rPr>
            </w:pPr>
            <w:r>
              <w:rPr>
                <w:rFonts w:ascii="Arial" w:eastAsia="Arial" w:hAnsi="Arial" w:cs="Arial"/>
                <w:b/>
                <w:bCs/>
                <w:w w:val="94"/>
                <w:sz w:val="14"/>
                <w:szCs w:val="14"/>
              </w:rPr>
              <w:t>Earnings in</w:t>
            </w:r>
          </w:p>
        </w:tc>
        <w:tc>
          <w:tcPr>
            <w:tcW w:w="840" w:type="dxa"/>
            <w:vAlign w:val="bottom"/>
          </w:tcPr>
          <w:p w14:paraId="071B1DF2" w14:textId="77777777" w:rsidR="00D1587D" w:rsidRDefault="00410D07">
            <w:pPr>
              <w:spacing w:line="149" w:lineRule="exact"/>
              <w:jc w:val="center"/>
              <w:rPr>
                <w:sz w:val="20"/>
                <w:szCs w:val="20"/>
              </w:rPr>
            </w:pPr>
            <w:r>
              <w:rPr>
                <w:rFonts w:ascii="Arial" w:eastAsia="Arial" w:hAnsi="Arial" w:cs="Arial"/>
                <w:b/>
                <w:bCs/>
                <w:w w:val="97"/>
                <w:sz w:val="14"/>
                <w:szCs w:val="14"/>
              </w:rPr>
              <w:t>Withdrawals/</w:t>
            </w:r>
          </w:p>
        </w:tc>
        <w:tc>
          <w:tcPr>
            <w:tcW w:w="200" w:type="dxa"/>
            <w:vAlign w:val="bottom"/>
          </w:tcPr>
          <w:p w14:paraId="3658943F" w14:textId="77777777" w:rsidR="00D1587D" w:rsidRDefault="00D1587D">
            <w:pPr>
              <w:rPr>
                <w:sz w:val="12"/>
                <w:szCs w:val="12"/>
              </w:rPr>
            </w:pPr>
          </w:p>
        </w:tc>
        <w:tc>
          <w:tcPr>
            <w:tcW w:w="740" w:type="dxa"/>
            <w:vAlign w:val="bottom"/>
          </w:tcPr>
          <w:p w14:paraId="7F3C0BBA" w14:textId="77777777" w:rsidR="00D1587D" w:rsidRDefault="00410D07">
            <w:pPr>
              <w:spacing w:line="149" w:lineRule="exact"/>
              <w:jc w:val="center"/>
              <w:rPr>
                <w:sz w:val="20"/>
                <w:szCs w:val="20"/>
              </w:rPr>
            </w:pPr>
            <w:r>
              <w:rPr>
                <w:rFonts w:ascii="Arial" w:eastAsia="Arial" w:hAnsi="Arial" w:cs="Arial"/>
                <w:b/>
                <w:bCs/>
                <w:w w:val="91"/>
                <w:sz w:val="14"/>
                <w:szCs w:val="14"/>
              </w:rPr>
              <w:t>Last Fiscal</w:t>
            </w:r>
          </w:p>
        </w:tc>
        <w:tc>
          <w:tcPr>
            <w:tcW w:w="0" w:type="dxa"/>
            <w:vAlign w:val="bottom"/>
          </w:tcPr>
          <w:p w14:paraId="3D9ACC6A" w14:textId="77777777" w:rsidR="00D1587D" w:rsidRDefault="00D1587D">
            <w:pPr>
              <w:rPr>
                <w:sz w:val="1"/>
                <w:szCs w:val="1"/>
              </w:rPr>
            </w:pPr>
          </w:p>
        </w:tc>
      </w:tr>
      <w:tr w:rsidR="00D1587D" w14:paraId="7CC6969F" w14:textId="77777777">
        <w:trPr>
          <w:trHeight w:val="145"/>
        </w:trPr>
        <w:tc>
          <w:tcPr>
            <w:tcW w:w="3440" w:type="dxa"/>
            <w:vMerge w:val="restart"/>
            <w:vAlign w:val="bottom"/>
          </w:tcPr>
          <w:p w14:paraId="15420CDE" w14:textId="77777777" w:rsidR="00D1587D" w:rsidRDefault="00410D07">
            <w:pPr>
              <w:rPr>
                <w:sz w:val="20"/>
                <w:szCs w:val="20"/>
              </w:rPr>
            </w:pPr>
            <w:r>
              <w:rPr>
                <w:rFonts w:ascii="Arial" w:eastAsia="Arial" w:hAnsi="Arial" w:cs="Arial"/>
                <w:b/>
                <w:bCs/>
                <w:sz w:val="14"/>
                <w:szCs w:val="14"/>
              </w:rPr>
              <w:t>Name</w:t>
            </w:r>
          </w:p>
        </w:tc>
        <w:tc>
          <w:tcPr>
            <w:tcW w:w="200" w:type="dxa"/>
            <w:vMerge w:val="restart"/>
            <w:vAlign w:val="bottom"/>
          </w:tcPr>
          <w:p w14:paraId="21F457B9" w14:textId="77777777" w:rsidR="00D1587D" w:rsidRDefault="00D1587D">
            <w:pPr>
              <w:rPr>
                <w:sz w:val="12"/>
                <w:szCs w:val="12"/>
              </w:rPr>
            </w:pPr>
          </w:p>
        </w:tc>
        <w:tc>
          <w:tcPr>
            <w:tcW w:w="1040" w:type="dxa"/>
            <w:gridSpan w:val="2"/>
            <w:vAlign w:val="bottom"/>
          </w:tcPr>
          <w:p w14:paraId="35D61B17" w14:textId="77777777" w:rsidR="00D1587D" w:rsidRDefault="00410D07">
            <w:pPr>
              <w:spacing w:line="145" w:lineRule="exact"/>
              <w:ind w:right="220"/>
              <w:jc w:val="center"/>
              <w:rPr>
                <w:sz w:val="20"/>
                <w:szCs w:val="20"/>
              </w:rPr>
            </w:pPr>
            <w:r>
              <w:rPr>
                <w:rFonts w:ascii="Arial" w:eastAsia="Arial" w:hAnsi="Arial" w:cs="Arial"/>
                <w:b/>
                <w:bCs/>
                <w:w w:val="92"/>
                <w:sz w:val="14"/>
                <w:szCs w:val="14"/>
              </w:rPr>
              <w:t>in Last Fiscal</w:t>
            </w:r>
          </w:p>
        </w:tc>
        <w:tc>
          <w:tcPr>
            <w:tcW w:w="1060" w:type="dxa"/>
            <w:gridSpan w:val="2"/>
            <w:vAlign w:val="bottom"/>
          </w:tcPr>
          <w:p w14:paraId="71DA14BF" w14:textId="77777777" w:rsidR="00D1587D" w:rsidRDefault="00410D07">
            <w:pPr>
              <w:spacing w:line="145" w:lineRule="exact"/>
              <w:ind w:right="200"/>
              <w:jc w:val="center"/>
              <w:rPr>
                <w:sz w:val="20"/>
                <w:szCs w:val="20"/>
              </w:rPr>
            </w:pPr>
            <w:r>
              <w:rPr>
                <w:rFonts w:ascii="Arial" w:eastAsia="Arial" w:hAnsi="Arial" w:cs="Arial"/>
                <w:b/>
                <w:bCs/>
                <w:w w:val="92"/>
                <w:sz w:val="14"/>
                <w:szCs w:val="14"/>
              </w:rPr>
              <w:t>in Last Fiscal</w:t>
            </w:r>
          </w:p>
        </w:tc>
        <w:tc>
          <w:tcPr>
            <w:tcW w:w="900" w:type="dxa"/>
            <w:gridSpan w:val="2"/>
            <w:vAlign w:val="bottom"/>
          </w:tcPr>
          <w:p w14:paraId="565AE9F5" w14:textId="77777777" w:rsidR="00D1587D" w:rsidRDefault="00410D07">
            <w:pPr>
              <w:spacing w:line="145" w:lineRule="exact"/>
              <w:ind w:right="220"/>
              <w:jc w:val="center"/>
              <w:rPr>
                <w:sz w:val="20"/>
                <w:szCs w:val="20"/>
              </w:rPr>
            </w:pPr>
            <w:r>
              <w:rPr>
                <w:rFonts w:ascii="Arial" w:eastAsia="Arial" w:hAnsi="Arial" w:cs="Arial"/>
                <w:b/>
                <w:bCs/>
                <w:w w:val="93"/>
                <w:sz w:val="14"/>
                <w:szCs w:val="14"/>
              </w:rPr>
              <w:t>Last Fiscal</w:t>
            </w:r>
          </w:p>
        </w:tc>
        <w:tc>
          <w:tcPr>
            <w:tcW w:w="840" w:type="dxa"/>
            <w:vAlign w:val="bottom"/>
          </w:tcPr>
          <w:p w14:paraId="78CE3E88" w14:textId="77777777" w:rsidR="00D1587D" w:rsidRDefault="00410D07">
            <w:pPr>
              <w:spacing w:line="145" w:lineRule="exact"/>
              <w:jc w:val="center"/>
              <w:rPr>
                <w:sz w:val="20"/>
                <w:szCs w:val="20"/>
              </w:rPr>
            </w:pPr>
            <w:r>
              <w:rPr>
                <w:rFonts w:ascii="Arial" w:eastAsia="Arial" w:hAnsi="Arial" w:cs="Arial"/>
                <w:b/>
                <w:bCs/>
                <w:w w:val="92"/>
                <w:sz w:val="14"/>
                <w:szCs w:val="14"/>
              </w:rPr>
              <w:t>Distributions</w:t>
            </w:r>
          </w:p>
        </w:tc>
        <w:tc>
          <w:tcPr>
            <w:tcW w:w="200" w:type="dxa"/>
            <w:vAlign w:val="bottom"/>
          </w:tcPr>
          <w:p w14:paraId="1B41E224" w14:textId="77777777" w:rsidR="00D1587D" w:rsidRDefault="00D1587D">
            <w:pPr>
              <w:rPr>
                <w:sz w:val="12"/>
                <w:szCs w:val="12"/>
              </w:rPr>
            </w:pPr>
          </w:p>
        </w:tc>
        <w:tc>
          <w:tcPr>
            <w:tcW w:w="740" w:type="dxa"/>
            <w:vAlign w:val="bottom"/>
          </w:tcPr>
          <w:p w14:paraId="498D46EF" w14:textId="77777777" w:rsidR="00D1587D" w:rsidRDefault="00410D07">
            <w:pPr>
              <w:spacing w:line="145" w:lineRule="exact"/>
              <w:jc w:val="center"/>
              <w:rPr>
                <w:sz w:val="20"/>
                <w:szCs w:val="20"/>
              </w:rPr>
            </w:pPr>
            <w:r>
              <w:rPr>
                <w:rFonts w:ascii="Arial" w:eastAsia="Arial" w:hAnsi="Arial" w:cs="Arial"/>
                <w:b/>
                <w:bCs/>
                <w:w w:val="95"/>
                <w:sz w:val="14"/>
                <w:szCs w:val="14"/>
              </w:rPr>
              <w:t>Year End</w:t>
            </w:r>
          </w:p>
        </w:tc>
        <w:tc>
          <w:tcPr>
            <w:tcW w:w="0" w:type="dxa"/>
            <w:vAlign w:val="bottom"/>
          </w:tcPr>
          <w:p w14:paraId="4BE72015" w14:textId="77777777" w:rsidR="00D1587D" w:rsidRDefault="00D1587D">
            <w:pPr>
              <w:rPr>
                <w:sz w:val="1"/>
                <w:szCs w:val="1"/>
              </w:rPr>
            </w:pPr>
          </w:p>
        </w:tc>
      </w:tr>
      <w:tr w:rsidR="00D1587D" w14:paraId="06614932" w14:textId="77777777">
        <w:trPr>
          <w:trHeight w:val="242"/>
        </w:trPr>
        <w:tc>
          <w:tcPr>
            <w:tcW w:w="3440" w:type="dxa"/>
            <w:vMerge/>
            <w:tcBorders>
              <w:bottom w:val="single" w:sz="8" w:space="0" w:color="auto"/>
            </w:tcBorders>
            <w:vAlign w:val="bottom"/>
          </w:tcPr>
          <w:p w14:paraId="698D5F86" w14:textId="77777777" w:rsidR="00D1587D" w:rsidRDefault="00D1587D">
            <w:pPr>
              <w:rPr>
                <w:sz w:val="21"/>
                <w:szCs w:val="21"/>
              </w:rPr>
            </w:pPr>
          </w:p>
        </w:tc>
        <w:tc>
          <w:tcPr>
            <w:tcW w:w="200" w:type="dxa"/>
            <w:vMerge/>
            <w:tcBorders>
              <w:bottom w:val="single" w:sz="8" w:space="0" w:color="CCEEFF"/>
            </w:tcBorders>
            <w:vAlign w:val="bottom"/>
          </w:tcPr>
          <w:p w14:paraId="6F968AFE" w14:textId="77777777" w:rsidR="00D1587D" w:rsidRDefault="00D1587D">
            <w:pPr>
              <w:rPr>
                <w:sz w:val="21"/>
                <w:szCs w:val="21"/>
              </w:rPr>
            </w:pPr>
          </w:p>
        </w:tc>
        <w:tc>
          <w:tcPr>
            <w:tcW w:w="860" w:type="dxa"/>
            <w:tcBorders>
              <w:bottom w:val="single" w:sz="8" w:space="0" w:color="auto"/>
            </w:tcBorders>
            <w:vAlign w:val="bottom"/>
          </w:tcPr>
          <w:p w14:paraId="7D5F2104" w14:textId="77777777" w:rsidR="00D1587D" w:rsidRDefault="00410D07">
            <w:pPr>
              <w:spacing w:line="242" w:lineRule="exact"/>
              <w:jc w:val="center"/>
              <w:rPr>
                <w:sz w:val="20"/>
                <w:szCs w:val="20"/>
              </w:rPr>
            </w:pPr>
            <w:r>
              <w:rPr>
                <w:rFonts w:ascii="Arial" w:eastAsia="Arial" w:hAnsi="Arial" w:cs="Arial"/>
                <w:b/>
                <w:bCs/>
                <w:w w:val="88"/>
                <w:sz w:val="14"/>
                <w:szCs w:val="14"/>
              </w:rPr>
              <w:t>Year ($)</w:t>
            </w:r>
            <w:r>
              <w:rPr>
                <w:rFonts w:ascii="Arial" w:eastAsia="Arial" w:hAnsi="Arial" w:cs="Arial"/>
                <w:b/>
                <w:bCs/>
                <w:w w:val="88"/>
                <w:sz w:val="23"/>
                <w:szCs w:val="23"/>
                <w:vertAlign w:val="superscript"/>
              </w:rPr>
              <w:t>(2)</w:t>
            </w:r>
          </w:p>
        </w:tc>
        <w:tc>
          <w:tcPr>
            <w:tcW w:w="180" w:type="dxa"/>
            <w:tcBorders>
              <w:bottom w:val="single" w:sz="8" w:space="0" w:color="CCEEFF"/>
            </w:tcBorders>
            <w:vAlign w:val="bottom"/>
          </w:tcPr>
          <w:p w14:paraId="45828246" w14:textId="77777777" w:rsidR="00D1587D" w:rsidRDefault="00D1587D">
            <w:pPr>
              <w:rPr>
                <w:sz w:val="21"/>
                <w:szCs w:val="21"/>
              </w:rPr>
            </w:pPr>
          </w:p>
        </w:tc>
        <w:tc>
          <w:tcPr>
            <w:tcW w:w="880" w:type="dxa"/>
            <w:tcBorders>
              <w:bottom w:val="single" w:sz="8" w:space="0" w:color="auto"/>
            </w:tcBorders>
            <w:vAlign w:val="bottom"/>
          </w:tcPr>
          <w:p w14:paraId="3ACC9FF5" w14:textId="77777777" w:rsidR="00D1587D" w:rsidRDefault="00410D07">
            <w:pPr>
              <w:spacing w:line="242" w:lineRule="exact"/>
              <w:jc w:val="center"/>
              <w:rPr>
                <w:sz w:val="20"/>
                <w:szCs w:val="20"/>
              </w:rPr>
            </w:pPr>
            <w:r>
              <w:rPr>
                <w:rFonts w:ascii="Arial" w:eastAsia="Arial" w:hAnsi="Arial" w:cs="Arial"/>
                <w:b/>
                <w:bCs/>
                <w:w w:val="91"/>
                <w:sz w:val="14"/>
                <w:szCs w:val="14"/>
              </w:rPr>
              <w:t>Year ($)</w:t>
            </w:r>
            <w:r>
              <w:rPr>
                <w:rFonts w:ascii="Arial" w:eastAsia="Arial" w:hAnsi="Arial" w:cs="Arial"/>
                <w:b/>
                <w:bCs/>
                <w:w w:val="91"/>
                <w:sz w:val="23"/>
                <w:szCs w:val="23"/>
                <w:vertAlign w:val="superscript"/>
              </w:rPr>
              <w:t>(3)</w:t>
            </w:r>
          </w:p>
        </w:tc>
        <w:tc>
          <w:tcPr>
            <w:tcW w:w="180" w:type="dxa"/>
            <w:tcBorders>
              <w:bottom w:val="single" w:sz="8" w:space="0" w:color="CCEEFF"/>
            </w:tcBorders>
            <w:vAlign w:val="bottom"/>
          </w:tcPr>
          <w:p w14:paraId="57213C64" w14:textId="77777777" w:rsidR="00D1587D" w:rsidRDefault="00D1587D">
            <w:pPr>
              <w:rPr>
                <w:sz w:val="21"/>
                <w:szCs w:val="21"/>
              </w:rPr>
            </w:pPr>
          </w:p>
        </w:tc>
        <w:tc>
          <w:tcPr>
            <w:tcW w:w="720" w:type="dxa"/>
            <w:tcBorders>
              <w:bottom w:val="single" w:sz="8" w:space="0" w:color="auto"/>
            </w:tcBorders>
            <w:vAlign w:val="bottom"/>
          </w:tcPr>
          <w:p w14:paraId="31169F9F" w14:textId="77777777" w:rsidR="00D1587D" w:rsidRDefault="00410D07">
            <w:pPr>
              <w:spacing w:line="242" w:lineRule="exact"/>
              <w:jc w:val="center"/>
              <w:rPr>
                <w:sz w:val="20"/>
                <w:szCs w:val="20"/>
              </w:rPr>
            </w:pPr>
            <w:r>
              <w:rPr>
                <w:rFonts w:ascii="Arial" w:eastAsia="Arial" w:hAnsi="Arial" w:cs="Arial"/>
                <w:b/>
                <w:bCs/>
                <w:w w:val="91"/>
                <w:sz w:val="14"/>
                <w:szCs w:val="14"/>
              </w:rPr>
              <w:t>Year ($)</w:t>
            </w:r>
            <w:r>
              <w:rPr>
                <w:rFonts w:ascii="Arial" w:eastAsia="Arial" w:hAnsi="Arial" w:cs="Arial"/>
                <w:b/>
                <w:bCs/>
                <w:w w:val="91"/>
                <w:sz w:val="23"/>
                <w:szCs w:val="23"/>
                <w:vertAlign w:val="superscript"/>
              </w:rPr>
              <w:t>(4)</w:t>
            </w:r>
          </w:p>
        </w:tc>
        <w:tc>
          <w:tcPr>
            <w:tcW w:w="180" w:type="dxa"/>
            <w:tcBorders>
              <w:bottom w:val="single" w:sz="8" w:space="0" w:color="CCEEFF"/>
            </w:tcBorders>
            <w:vAlign w:val="bottom"/>
          </w:tcPr>
          <w:p w14:paraId="4BF661B1" w14:textId="77777777" w:rsidR="00D1587D" w:rsidRDefault="00D1587D">
            <w:pPr>
              <w:rPr>
                <w:sz w:val="21"/>
                <w:szCs w:val="21"/>
              </w:rPr>
            </w:pPr>
          </w:p>
        </w:tc>
        <w:tc>
          <w:tcPr>
            <w:tcW w:w="840" w:type="dxa"/>
            <w:tcBorders>
              <w:bottom w:val="single" w:sz="8" w:space="0" w:color="auto"/>
            </w:tcBorders>
            <w:vAlign w:val="bottom"/>
          </w:tcPr>
          <w:p w14:paraId="460E8F5A" w14:textId="77777777" w:rsidR="00D1587D" w:rsidRDefault="00410D07">
            <w:pPr>
              <w:spacing w:line="242" w:lineRule="exact"/>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(5)</w:t>
            </w:r>
          </w:p>
        </w:tc>
        <w:tc>
          <w:tcPr>
            <w:tcW w:w="200" w:type="dxa"/>
            <w:tcBorders>
              <w:bottom w:val="single" w:sz="8" w:space="0" w:color="CCEEFF"/>
            </w:tcBorders>
            <w:vAlign w:val="bottom"/>
          </w:tcPr>
          <w:p w14:paraId="379E578C" w14:textId="77777777" w:rsidR="00D1587D" w:rsidRDefault="00D1587D">
            <w:pPr>
              <w:rPr>
                <w:sz w:val="21"/>
                <w:szCs w:val="21"/>
              </w:rPr>
            </w:pPr>
          </w:p>
        </w:tc>
        <w:tc>
          <w:tcPr>
            <w:tcW w:w="740" w:type="dxa"/>
            <w:tcBorders>
              <w:bottom w:val="single" w:sz="8" w:space="0" w:color="auto"/>
            </w:tcBorders>
            <w:vAlign w:val="bottom"/>
          </w:tcPr>
          <w:p w14:paraId="50916642" w14:textId="77777777" w:rsidR="00D1587D" w:rsidRDefault="00410D07">
            <w:pPr>
              <w:spacing w:line="242" w:lineRule="exact"/>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(6)</w:t>
            </w:r>
          </w:p>
        </w:tc>
        <w:tc>
          <w:tcPr>
            <w:tcW w:w="0" w:type="dxa"/>
            <w:vAlign w:val="bottom"/>
          </w:tcPr>
          <w:p w14:paraId="750CC7FE" w14:textId="77777777" w:rsidR="00D1587D" w:rsidRDefault="00D1587D">
            <w:pPr>
              <w:rPr>
                <w:sz w:val="1"/>
                <w:szCs w:val="1"/>
              </w:rPr>
            </w:pPr>
          </w:p>
        </w:tc>
      </w:tr>
      <w:tr w:rsidR="00D1587D" w14:paraId="77BA0050" w14:textId="77777777">
        <w:trPr>
          <w:trHeight w:val="311"/>
        </w:trPr>
        <w:tc>
          <w:tcPr>
            <w:tcW w:w="3640" w:type="dxa"/>
            <w:gridSpan w:val="2"/>
            <w:tcBorders>
              <w:bottom w:val="single" w:sz="8" w:space="0" w:color="CCEEFF"/>
            </w:tcBorders>
            <w:shd w:val="clear" w:color="auto" w:fill="CCEEFF"/>
            <w:vAlign w:val="bottom"/>
          </w:tcPr>
          <w:p w14:paraId="5D41C89F" w14:textId="77777777" w:rsidR="00D1587D" w:rsidRDefault="00410D07">
            <w:pPr>
              <w:rPr>
                <w:sz w:val="20"/>
                <w:szCs w:val="20"/>
              </w:rPr>
            </w:pPr>
            <w:r>
              <w:rPr>
                <w:rFonts w:ascii="Arial" w:eastAsia="Arial" w:hAnsi="Arial" w:cs="Arial"/>
                <w:sz w:val="18"/>
                <w:szCs w:val="18"/>
              </w:rPr>
              <w:t>Martin Waters</w:t>
            </w:r>
          </w:p>
        </w:tc>
        <w:tc>
          <w:tcPr>
            <w:tcW w:w="860" w:type="dxa"/>
            <w:tcBorders>
              <w:bottom w:val="single" w:sz="8" w:space="0" w:color="CCEEFF"/>
            </w:tcBorders>
            <w:shd w:val="clear" w:color="auto" w:fill="CCEEFF"/>
            <w:vAlign w:val="bottom"/>
          </w:tcPr>
          <w:p w14:paraId="3FBA6436" w14:textId="77777777" w:rsidR="00D1587D" w:rsidRDefault="00410D07">
            <w:pPr>
              <w:jc w:val="center"/>
              <w:rPr>
                <w:sz w:val="20"/>
                <w:szCs w:val="20"/>
              </w:rPr>
            </w:pPr>
            <w:r>
              <w:rPr>
                <w:rFonts w:ascii="Arial" w:eastAsia="Arial" w:hAnsi="Arial" w:cs="Arial"/>
                <w:w w:val="90"/>
                <w:sz w:val="18"/>
                <w:szCs w:val="18"/>
              </w:rPr>
              <w:t>80,918</w:t>
            </w:r>
          </w:p>
        </w:tc>
        <w:tc>
          <w:tcPr>
            <w:tcW w:w="180" w:type="dxa"/>
            <w:tcBorders>
              <w:bottom w:val="single" w:sz="8" w:space="0" w:color="CCEEFF"/>
            </w:tcBorders>
            <w:shd w:val="clear" w:color="auto" w:fill="CCEEFF"/>
            <w:vAlign w:val="bottom"/>
          </w:tcPr>
          <w:p w14:paraId="6CA34D65" w14:textId="77777777" w:rsidR="00D1587D" w:rsidRDefault="00D1587D">
            <w:pPr>
              <w:rPr>
                <w:sz w:val="24"/>
                <w:szCs w:val="24"/>
              </w:rPr>
            </w:pPr>
          </w:p>
        </w:tc>
        <w:tc>
          <w:tcPr>
            <w:tcW w:w="880" w:type="dxa"/>
            <w:tcBorders>
              <w:bottom w:val="single" w:sz="8" w:space="0" w:color="CCEEFF"/>
            </w:tcBorders>
            <w:shd w:val="clear" w:color="auto" w:fill="CCEEFF"/>
            <w:vAlign w:val="bottom"/>
          </w:tcPr>
          <w:p w14:paraId="4FDD1D77" w14:textId="77777777" w:rsidR="00D1587D" w:rsidRDefault="00410D07">
            <w:pPr>
              <w:jc w:val="center"/>
              <w:rPr>
                <w:sz w:val="20"/>
                <w:szCs w:val="20"/>
              </w:rPr>
            </w:pPr>
            <w:r>
              <w:rPr>
                <w:rFonts w:ascii="Arial" w:eastAsia="Arial" w:hAnsi="Arial" w:cs="Arial"/>
                <w:w w:val="92"/>
                <w:sz w:val="18"/>
                <w:szCs w:val="18"/>
              </w:rPr>
              <w:t>246,893</w:t>
            </w:r>
          </w:p>
        </w:tc>
        <w:tc>
          <w:tcPr>
            <w:tcW w:w="180" w:type="dxa"/>
            <w:tcBorders>
              <w:bottom w:val="single" w:sz="8" w:space="0" w:color="CCEEFF"/>
            </w:tcBorders>
            <w:shd w:val="clear" w:color="auto" w:fill="CCEEFF"/>
            <w:vAlign w:val="bottom"/>
          </w:tcPr>
          <w:p w14:paraId="70C04F25" w14:textId="77777777" w:rsidR="00D1587D" w:rsidRDefault="00D1587D">
            <w:pPr>
              <w:rPr>
                <w:sz w:val="24"/>
                <w:szCs w:val="24"/>
              </w:rPr>
            </w:pPr>
          </w:p>
        </w:tc>
        <w:tc>
          <w:tcPr>
            <w:tcW w:w="720" w:type="dxa"/>
            <w:tcBorders>
              <w:bottom w:val="single" w:sz="8" w:space="0" w:color="CCEEFF"/>
            </w:tcBorders>
            <w:shd w:val="clear" w:color="auto" w:fill="CCEEFF"/>
            <w:vAlign w:val="bottom"/>
          </w:tcPr>
          <w:p w14:paraId="1CA93462" w14:textId="77777777" w:rsidR="00D1587D" w:rsidRDefault="00410D07">
            <w:pPr>
              <w:jc w:val="right"/>
              <w:rPr>
                <w:sz w:val="20"/>
                <w:szCs w:val="20"/>
              </w:rPr>
            </w:pPr>
            <w:r>
              <w:rPr>
                <w:rFonts w:ascii="Arial" w:eastAsia="Arial" w:hAnsi="Arial" w:cs="Arial"/>
                <w:w w:val="98"/>
                <w:sz w:val="18"/>
                <w:szCs w:val="18"/>
              </w:rPr>
              <w:t>159,652</w:t>
            </w:r>
          </w:p>
        </w:tc>
        <w:tc>
          <w:tcPr>
            <w:tcW w:w="180" w:type="dxa"/>
            <w:tcBorders>
              <w:bottom w:val="single" w:sz="8" w:space="0" w:color="CCEEFF"/>
            </w:tcBorders>
            <w:shd w:val="clear" w:color="auto" w:fill="CCEEFF"/>
            <w:vAlign w:val="bottom"/>
          </w:tcPr>
          <w:p w14:paraId="224B437C" w14:textId="77777777" w:rsidR="00D1587D" w:rsidRDefault="00D1587D">
            <w:pPr>
              <w:rPr>
                <w:sz w:val="24"/>
                <w:szCs w:val="24"/>
              </w:rPr>
            </w:pPr>
          </w:p>
        </w:tc>
        <w:tc>
          <w:tcPr>
            <w:tcW w:w="840" w:type="dxa"/>
            <w:tcBorders>
              <w:bottom w:val="single" w:sz="8" w:space="0" w:color="CCEEFF"/>
            </w:tcBorders>
            <w:shd w:val="clear" w:color="auto" w:fill="CCEEFF"/>
            <w:vAlign w:val="bottom"/>
          </w:tcPr>
          <w:p w14:paraId="3C68A225" w14:textId="77777777" w:rsidR="00D1587D" w:rsidRDefault="00410D07">
            <w:pPr>
              <w:jc w:val="center"/>
              <w:rPr>
                <w:sz w:val="20"/>
                <w:szCs w:val="20"/>
              </w:rPr>
            </w:pPr>
            <w:r>
              <w:rPr>
                <w:rFonts w:ascii="Arial" w:eastAsia="Arial" w:hAnsi="Arial" w:cs="Arial"/>
                <w:w w:val="99"/>
                <w:sz w:val="18"/>
                <w:szCs w:val="18"/>
              </w:rPr>
              <w:t>—</w:t>
            </w:r>
          </w:p>
        </w:tc>
        <w:tc>
          <w:tcPr>
            <w:tcW w:w="940" w:type="dxa"/>
            <w:gridSpan w:val="2"/>
            <w:tcBorders>
              <w:bottom w:val="single" w:sz="8" w:space="0" w:color="CCEEFF"/>
            </w:tcBorders>
            <w:shd w:val="clear" w:color="auto" w:fill="CCEEFF"/>
            <w:vAlign w:val="bottom"/>
          </w:tcPr>
          <w:p w14:paraId="152144D4" w14:textId="77777777" w:rsidR="00D1587D" w:rsidRDefault="00410D07">
            <w:pPr>
              <w:jc w:val="right"/>
              <w:rPr>
                <w:sz w:val="20"/>
                <w:szCs w:val="20"/>
              </w:rPr>
            </w:pPr>
            <w:r>
              <w:rPr>
                <w:rFonts w:ascii="Arial" w:eastAsia="Arial" w:hAnsi="Arial" w:cs="Arial"/>
                <w:sz w:val="18"/>
                <w:szCs w:val="18"/>
              </w:rPr>
              <w:t>5,047,602</w:t>
            </w:r>
          </w:p>
        </w:tc>
        <w:tc>
          <w:tcPr>
            <w:tcW w:w="0" w:type="dxa"/>
            <w:vAlign w:val="bottom"/>
          </w:tcPr>
          <w:p w14:paraId="385A3542" w14:textId="77777777" w:rsidR="00D1587D" w:rsidRDefault="00D1587D">
            <w:pPr>
              <w:rPr>
                <w:sz w:val="1"/>
                <w:szCs w:val="1"/>
              </w:rPr>
            </w:pPr>
          </w:p>
        </w:tc>
      </w:tr>
      <w:tr w:rsidR="00D1587D" w14:paraId="25368DEC" w14:textId="77777777">
        <w:trPr>
          <w:trHeight w:val="270"/>
        </w:trPr>
        <w:tc>
          <w:tcPr>
            <w:tcW w:w="3640" w:type="dxa"/>
            <w:gridSpan w:val="2"/>
            <w:vAlign w:val="bottom"/>
          </w:tcPr>
          <w:p w14:paraId="35AAE703" w14:textId="77777777" w:rsidR="00D1587D" w:rsidRDefault="00410D07">
            <w:pPr>
              <w:rPr>
                <w:sz w:val="20"/>
                <w:szCs w:val="20"/>
              </w:rPr>
            </w:pPr>
            <w:r>
              <w:rPr>
                <w:rFonts w:ascii="Arial" w:eastAsia="Arial" w:hAnsi="Arial" w:cs="Arial"/>
                <w:sz w:val="18"/>
                <w:szCs w:val="18"/>
              </w:rPr>
              <w:t>Amy Hauk</w:t>
            </w:r>
          </w:p>
        </w:tc>
        <w:tc>
          <w:tcPr>
            <w:tcW w:w="860" w:type="dxa"/>
            <w:vAlign w:val="bottom"/>
          </w:tcPr>
          <w:p w14:paraId="786D31EE" w14:textId="77777777" w:rsidR="00D1587D" w:rsidRDefault="00410D07">
            <w:pPr>
              <w:jc w:val="center"/>
              <w:rPr>
                <w:sz w:val="20"/>
                <w:szCs w:val="20"/>
              </w:rPr>
            </w:pPr>
            <w:r>
              <w:rPr>
                <w:rFonts w:ascii="Arial" w:eastAsia="Arial" w:hAnsi="Arial" w:cs="Arial"/>
                <w:w w:val="90"/>
                <w:sz w:val="18"/>
                <w:szCs w:val="18"/>
              </w:rPr>
              <w:t>18,432</w:t>
            </w:r>
          </w:p>
        </w:tc>
        <w:tc>
          <w:tcPr>
            <w:tcW w:w="180" w:type="dxa"/>
            <w:vAlign w:val="bottom"/>
          </w:tcPr>
          <w:p w14:paraId="1021817B" w14:textId="77777777" w:rsidR="00D1587D" w:rsidRDefault="00D1587D">
            <w:pPr>
              <w:rPr>
                <w:sz w:val="23"/>
                <w:szCs w:val="23"/>
              </w:rPr>
            </w:pPr>
          </w:p>
        </w:tc>
        <w:tc>
          <w:tcPr>
            <w:tcW w:w="880" w:type="dxa"/>
            <w:vAlign w:val="bottom"/>
          </w:tcPr>
          <w:p w14:paraId="707115A3" w14:textId="77777777" w:rsidR="00D1587D" w:rsidRDefault="00410D07">
            <w:pPr>
              <w:jc w:val="center"/>
              <w:rPr>
                <w:sz w:val="20"/>
                <w:szCs w:val="20"/>
              </w:rPr>
            </w:pPr>
            <w:r>
              <w:rPr>
                <w:rFonts w:ascii="Arial" w:eastAsia="Arial" w:hAnsi="Arial" w:cs="Arial"/>
                <w:w w:val="92"/>
                <w:sz w:val="18"/>
                <w:szCs w:val="18"/>
              </w:rPr>
              <w:t>204,000</w:t>
            </w:r>
          </w:p>
        </w:tc>
        <w:tc>
          <w:tcPr>
            <w:tcW w:w="180" w:type="dxa"/>
            <w:vAlign w:val="bottom"/>
          </w:tcPr>
          <w:p w14:paraId="3D57F2C5" w14:textId="77777777" w:rsidR="00D1587D" w:rsidRDefault="00D1587D">
            <w:pPr>
              <w:rPr>
                <w:sz w:val="23"/>
                <w:szCs w:val="23"/>
              </w:rPr>
            </w:pPr>
          </w:p>
        </w:tc>
        <w:tc>
          <w:tcPr>
            <w:tcW w:w="720" w:type="dxa"/>
            <w:vAlign w:val="bottom"/>
          </w:tcPr>
          <w:p w14:paraId="72094069" w14:textId="77777777" w:rsidR="00D1587D" w:rsidRDefault="00410D07">
            <w:pPr>
              <w:jc w:val="right"/>
              <w:rPr>
                <w:sz w:val="20"/>
                <w:szCs w:val="20"/>
              </w:rPr>
            </w:pPr>
            <w:r>
              <w:rPr>
                <w:rFonts w:ascii="Arial" w:eastAsia="Arial" w:hAnsi="Arial" w:cs="Arial"/>
                <w:w w:val="98"/>
                <w:sz w:val="18"/>
                <w:szCs w:val="18"/>
              </w:rPr>
              <w:t>109,459</w:t>
            </w:r>
          </w:p>
        </w:tc>
        <w:tc>
          <w:tcPr>
            <w:tcW w:w="180" w:type="dxa"/>
            <w:vAlign w:val="bottom"/>
          </w:tcPr>
          <w:p w14:paraId="67F8FBF8" w14:textId="77777777" w:rsidR="00D1587D" w:rsidRDefault="00D1587D">
            <w:pPr>
              <w:rPr>
                <w:sz w:val="23"/>
                <w:szCs w:val="23"/>
              </w:rPr>
            </w:pPr>
          </w:p>
        </w:tc>
        <w:tc>
          <w:tcPr>
            <w:tcW w:w="840" w:type="dxa"/>
            <w:vAlign w:val="bottom"/>
          </w:tcPr>
          <w:p w14:paraId="55E754CD" w14:textId="77777777" w:rsidR="00D1587D" w:rsidRDefault="00410D07">
            <w:pPr>
              <w:jc w:val="center"/>
              <w:rPr>
                <w:sz w:val="20"/>
                <w:szCs w:val="20"/>
              </w:rPr>
            </w:pPr>
            <w:r>
              <w:rPr>
                <w:rFonts w:ascii="Arial" w:eastAsia="Arial" w:hAnsi="Arial" w:cs="Arial"/>
                <w:w w:val="99"/>
                <w:sz w:val="18"/>
                <w:szCs w:val="18"/>
              </w:rPr>
              <w:t>—</w:t>
            </w:r>
          </w:p>
        </w:tc>
        <w:tc>
          <w:tcPr>
            <w:tcW w:w="940" w:type="dxa"/>
            <w:gridSpan w:val="2"/>
            <w:vAlign w:val="bottom"/>
          </w:tcPr>
          <w:p w14:paraId="26AD120B" w14:textId="77777777" w:rsidR="00D1587D" w:rsidRDefault="00410D07">
            <w:pPr>
              <w:jc w:val="right"/>
              <w:rPr>
                <w:sz w:val="20"/>
                <w:szCs w:val="20"/>
              </w:rPr>
            </w:pPr>
            <w:r>
              <w:rPr>
                <w:rFonts w:ascii="Arial" w:eastAsia="Arial" w:hAnsi="Arial" w:cs="Arial"/>
                <w:sz w:val="18"/>
                <w:szCs w:val="18"/>
              </w:rPr>
              <w:t>2,747,510</w:t>
            </w:r>
          </w:p>
        </w:tc>
        <w:tc>
          <w:tcPr>
            <w:tcW w:w="0" w:type="dxa"/>
            <w:vAlign w:val="bottom"/>
          </w:tcPr>
          <w:p w14:paraId="5899F41B" w14:textId="77777777" w:rsidR="00D1587D" w:rsidRDefault="00D1587D">
            <w:pPr>
              <w:rPr>
                <w:sz w:val="1"/>
                <w:szCs w:val="1"/>
              </w:rPr>
            </w:pPr>
          </w:p>
        </w:tc>
      </w:tr>
      <w:tr w:rsidR="00D1587D" w14:paraId="0641E2F5" w14:textId="77777777">
        <w:trPr>
          <w:trHeight w:val="54"/>
        </w:trPr>
        <w:tc>
          <w:tcPr>
            <w:tcW w:w="3440" w:type="dxa"/>
            <w:vAlign w:val="bottom"/>
          </w:tcPr>
          <w:p w14:paraId="38EF4F9B" w14:textId="77777777" w:rsidR="00D1587D" w:rsidRDefault="00D1587D">
            <w:pPr>
              <w:rPr>
                <w:sz w:val="4"/>
                <w:szCs w:val="4"/>
              </w:rPr>
            </w:pPr>
          </w:p>
        </w:tc>
        <w:tc>
          <w:tcPr>
            <w:tcW w:w="200" w:type="dxa"/>
            <w:vAlign w:val="bottom"/>
          </w:tcPr>
          <w:p w14:paraId="4FCDC1FA" w14:textId="77777777" w:rsidR="00D1587D" w:rsidRDefault="00D1587D">
            <w:pPr>
              <w:rPr>
                <w:sz w:val="4"/>
                <w:szCs w:val="4"/>
              </w:rPr>
            </w:pPr>
          </w:p>
        </w:tc>
        <w:tc>
          <w:tcPr>
            <w:tcW w:w="860" w:type="dxa"/>
            <w:vAlign w:val="bottom"/>
          </w:tcPr>
          <w:p w14:paraId="23977767" w14:textId="77777777" w:rsidR="00D1587D" w:rsidRDefault="00D1587D">
            <w:pPr>
              <w:rPr>
                <w:sz w:val="4"/>
                <w:szCs w:val="4"/>
              </w:rPr>
            </w:pPr>
          </w:p>
        </w:tc>
        <w:tc>
          <w:tcPr>
            <w:tcW w:w="180" w:type="dxa"/>
            <w:vAlign w:val="bottom"/>
          </w:tcPr>
          <w:p w14:paraId="04CC6D42" w14:textId="77777777" w:rsidR="00D1587D" w:rsidRDefault="00D1587D">
            <w:pPr>
              <w:rPr>
                <w:sz w:val="4"/>
                <w:szCs w:val="4"/>
              </w:rPr>
            </w:pPr>
          </w:p>
        </w:tc>
        <w:tc>
          <w:tcPr>
            <w:tcW w:w="880" w:type="dxa"/>
            <w:vAlign w:val="bottom"/>
          </w:tcPr>
          <w:p w14:paraId="3188315A" w14:textId="77777777" w:rsidR="00D1587D" w:rsidRDefault="00D1587D">
            <w:pPr>
              <w:rPr>
                <w:sz w:val="4"/>
                <w:szCs w:val="4"/>
              </w:rPr>
            </w:pPr>
          </w:p>
        </w:tc>
        <w:tc>
          <w:tcPr>
            <w:tcW w:w="180" w:type="dxa"/>
            <w:vAlign w:val="bottom"/>
          </w:tcPr>
          <w:p w14:paraId="50DA2243" w14:textId="77777777" w:rsidR="00D1587D" w:rsidRDefault="00D1587D">
            <w:pPr>
              <w:rPr>
                <w:sz w:val="4"/>
                <w:szCs w:val="4"/>
              </w:rPr>
            </w:pPr>
          </w:p>
        </w:tc>
        <w:tc>
          <w:tcPr>
            <w:tcW w:w="720" w:type="dxa"/>
            <w:vAlign w:val="bottom"/>
          </w:tcPr>
          <w:p w14:paraId="5B6132A3" w14:textId="77777777" w:rsidR="00D1587D" w:rsidRDefault="00D1587D">
            <w:pPr>
              <w:rPr>
                <w:sz w:val="4"/>
                <w:szCs w:val="4"/>
              </w:rPr>
            </w:pPr>
          </w:p>
        </w:tc>
        <w:tc>
          <w:tcPr>
            <w:tcW w:w="180" w:type="dxa"/>
            <w:vAlign w:val="bottom"/>
          </w:tcPr>
          <w:p w14:paraId="3AE0904D" w14:textId="77777777" w:rsidR="00D1587D" w:rsidRDefault="00D1587D">
            <w:pPr>
              <w:rPr>
                <w:sz w:val="4"/>
                <w:szCs w:val="4"/>
              </w:rPr>
            </w:pPr>
          </w:p>
        </w:tc>
        <w:tc>
          <w:tcPr>
            <w:tcW w:w="840" w:type="dxa"/>
            <w:vAlign w:val="bottom"/>
          </w:tcPr>
          <w:p w14:paraId="540CA1D4" w14:textId="77777777" w:rsidR="00D1587D" w:rsidRDefault="00D1587D">
            <w:pPr>
              <w:rPr>
                <w:sz w:val="4"/>
                <w:szCs w:val="4"/>
              </w:rPr>
            </w:pPr>
          </w:p>
        </w:tc>
        <w:tc>
          <w:tcPr>
            <w:tcW w:w="200" w:type="dxa"/>
            <w:vAlign w:val="bottom"/>
          </w:tcPr>
          <w:p w14:paraId="03A92347" w14:textId="77777777" w:rsidR="00D1587D" w:rsidRDefault="00D1587D">
            <w:pPr>
              <w:rPr>
                <w:sz w:val="4"/>
                <w:szCs w:val="4"/>
              </w:rPr>
            </w:pPr>
          </w:p>
        </w:tc>
        <w:tc>
          <w:tcPr>
            <w:tcW w:w="740" w:type="dxa"/>
            <w:vAlign w:val="bottom"/>
          </w:tcPr>
          <w:p w14:paraId="0ABB056E" w14:textId="77777777" w:rsidR="00D1587D" w:rsidRDefault="00D1587D">
            <w:pPr>
              <w:rPr>
                <w:sz w:val="4"/>
                <w:szCs w:val="4"/>
              </w:rPr>
            </w:pPr>
          </w:p>
        </w:tc>
        <w:tc>
          <w:tcPr>
            <w:tcW w:w="0" w:type="dxa"/>
            <w:vAlign w:val="bottom"/>
          </w:tcPr>
          <w:p w14:paraId="43CC0E00" w14:textId="77777777" w:rsidR="00D1587D" w:rsidRDefault="00D1587D">
            <w:pPr>
              <w:rPr>
                <w:sz w:val="1"/>
                <w:szCs w:val="1"/>
              </w:rPr>
            </w:pPr>
          </w:p>
        </w:tc>
      </w:tr>
      <w:tr w:rsidR="00D1587D" w14:paraId="35725FDB" w14:textId="77777777">
        <w:trPr>
          <w:trHeight w:val="304"/>
        </w:trPr>
        <w:tc>
          <w:tcPr>
            <w:tcW w:w="3640" w:type="dxa"/>
            <w:gridSpan w:val="2"/>
            <w:tcBorders>
              <w:bottom w:val="single" w:sz="8" w:space="0" w:color="CCEEFF"/>
            </w:tcBorders>
            <w:shd w:val="clear" w:color="auto" w:fill="CCEEFF"/>
            <w:vAlign w:val="bottom"/>
          </w:tcPr>
          <w:p w14:paraId="28AC7306" w14:textId="77777777" w:rsidR="00D1587D" w:rsidRDefault="00410D07">
            <w:pPr>
              <w:rPr>
                <w:sz w:val="20"/>
                <w:szCs w:val="20"/>
              </w:rPr>
            </w:pPr>
            <w:r>
              <w:rPr>
                <w:rFonts w:ascii="Arial" w:eastAsia="Arial" w:hAnsi="Arial" w:cs="Arial"/>
                <w:sz w:val="18"/>
                <w:szCs w:val="18"/>
              </w:rPr>
              <w:t>Gregory Unis</w:t>
            </w:r>
          </w:p>
        </w:tc>
        <w:tc>
          <w:tcPr>
            <w:tcW w:w="860" w:type="dxa"/>
            <w:tcBorders>
              <w:bottom w:val="single" w:sz="8" w:space="0" w:color="CCEEFF"/>
            </w:tcBorders>
            <w:shd w:val="clear" w:color="auto" w:fill="CCEEFF"/>
            <w:vAlign w:val="bottom"/>
          </w:tcPr>
          <w:p w14:paraId="7AC5727C" w14:textId="77777777" w:rsidR="00D1587D" w:rsidRDefault="00410D07">
            <w:pPr>
              <w:jc w:val="center"/>
              <w:rPr>
                <w:sz w:val="20"/>
                <w:szCs w:val="20"/>
              </w:rPr>
            </w:pPr>
            <w:r>
              <w:rPr>
                <w:rFonts w:ascii="Arial" w:eastAsia="Arial" w:hAnsi="Arial" w:cs="Arial"/>
                <w:w w:val="90"/>
                <w:sz w:val="18"/>
                <w:szCs w:val="18"/>
              </w:rPr>
              <w:t>56,024</w:t>
            </w:r>
          </w:p>
        </w:tc>
        <w:tc>
          <w:tcPr>
            <w:tcW w:w="180" w:type="dxa"/>
            <w:tcBorders>
              <w:bottom w:val="single" w:sz="8" w:space="0" w:color="CCEEFF"/>
            </w:tcBorders>
            <w:shd w:val="clear" w:color="auto" w:fill="CCEEFF"/>
            <w:vAlign w:val="bottom"/>
          </w:tcPr>
          <w:p w14:paraId="03C5FFED" w14:textId="77777777" w:rsidR="00D1587D" w:rsidRDefault="00D1587D">
            <w:pPr>
              <w:rPr>
                <w:sz w:val="24"/>
                <w:szCs w:val="24"/>
              </w:rPr>
            </w:pPr>
          </w:p>
        </w:tc>
        <w:tc>
          <w:tcPr>
            <w:tcW w:w="880" w:type="dxa"/>
            <w:tcBorders>
              <w:bottom w:val="single" w:sz="8" w:space="0" w:color="CCEEFF"/>
            </w:tcBorders>
            <w:shd w:val="clear" w:color="auto" w:fill="CCEEFF"/>
            <w:vAlign w:val="bottom"/>
          </w:tcPr>
          <w:p w14:paraId="5DF7EAC2" w14:textId="77777777" w:rsidR="00D1587D" w:rsidRDefault="00410D07">
            <w:pPr>
              <w:jc w:val="center"/>
              <w:rPr>
                <w:sz w:val="20"/>
                <w:szCs w:val="20"/>
              </w:rPr>
            </w:pPr>
            <w:r>
              <w:rPr>
                <w:rFonts w:ascii="Arial" w:eastAsia="Arial" w:hAnsi="Arial" w:cs="Arial"/>
                <w:w w:val="92"/>
                <w:sz w:val="18"/>
                <w:szCs w:val="18"/>
              </w:rPr>
              <w:t>198,140</w:t>
            </w:r>
          </w:p>
        </w:tc>
        <w:tc>
          <w:tcPr>
            <w:tcW w:w="180" w:type="dxa"/>
            <w:tcBorders>
              <w:bottom w:val="single" w:sz="8" w:space="0" w:color="CCEEFF"/>
            </w:tcBorders>
            <w:shd w:val="clear" w:color="auto" w:fill="CCEEFF"/>
            <w:vAlign w:val="bottom"/>
          </w:tcPr>
          <w:p w14:paraId="0AF5EF25" w14:textId="77777777" w:rsidR="00D1587D" w:rsidRDefault="00D1587D">
            <w:pPr>
              <w:rPr>
                <w:sz w:val="24"/>
                <w:szCs w:val="24"/>
              </w:rPr>
            </w:pPr>
          </w:p>
        </w:tc>
        <w:tc>
          <w:tcPr>
            <w:tcW w:w="720" w:type="dxa"/>
            <w:tcBorders>
              <w:bottom w:val="single" w:sz="8" w:space="0" w:color="CCEEFF"/>
            </w:tcBorders>
            <w:shd w:val="clear" w:color="auto" w:fill="CCEEFF"/>
            <w:vAlign w:val="bottom"/>
          </w:tcPr>
          <w:p w14:paraId="17E409AE" w14:textId="77777777" w:rsidR="00D1587D" w:rsidRDefault="00410D07">
            <w:pPr>
              <w:jc w:val="right"/>
              <w:rPr>
                <w:sz w:val="20"/>
                <w:szCs w:val="20"/>
              </w:rPr>
            </w:pPr>
            <w:r>
              <w:rPr>
                <w:rFonts w:ascii="Arial" w:eastAsia="Arial" w:hAnsi="Arial" w:cs="Arial"/>
                <w:sz w:val="18"/>
                <w:szCs w:val="18"/>
              </w:rPr>
              <w:t>19,455</w:t>
            </w:r>
          </w:p>
        </w:tc>
        <w:tc>
          <w:tcPr>
            <w:tcW w:w="180" w:type="dxa"/>
            <w:tcBorders>
              <w:bottom w:val="single" w:sz="8" w:space="0" w:color="CCEEFF"/>
            </w:tcBorders>
            <w:shd w:val="clear" w:color="auto" w:fill="CCEEFF"/>
            <w:vAlign w:val="bottom"/>
          </w:tcPr>
          <w:p w14:paraId="22540445" w14:textId="77777777" w:rsidR="00D1587D" w:rsidRDefault="00D1587D">
            <w:pPr>
              <w:rPr>
                <w:sz w:val="24"/>
                <w:szCs w:val="24"/>
              </w:rPr>
            </w:pPr>
          </w:p>
        </w:tc>
        <w:tc>
          <w:tcPr>
            <w:tcW w:w="840" w:type="dxa"/>
            <w:tcBorders>
              <w:bottom w:val="single" w:sz="8" w:space="0" w:color="CCEEFF"/>
            </w:tcBorders>
            <w:shd w:val="clear" w:color="auto" w:fill="CCEEFF"/>
            <w:vAlign w:val="bottom"/>
          </w:tcPr>
          <w:p w14:paraId="0C349D6B" w14:textId="77777777" w:rsidR="00D1587D" w:rsidRDefault="00410D07">
            <w:pPr>
              <w:jc w:val="center"/>
              <w:rPr>
                <w:sz w:val="20"/>
                <w:szCs w:val="20"/>
              </w:rPr>
            </w:pPr>
            <w:r>
              <w:rPr>
                <w:rFonts w:ascii="Arial" w:eastAsia="Arial" w:hAnsi="Arial" w:cs="Arial"/>
                <w:w w:val="99"/>
                <w:sz w:val="18"/>
                <w:szCs w:val="18"/>
              </w:rPr>
              <w:t>—</w:t>
            </w:r>
          </w:p>
        </w:tc>
        <w:tc>
          <w:tcPr>
            <w:tcW w:w="940" w:type="dxa"/>
            <w:gridSpan w:val="2"/>
            <w:tcBorders>
              <w:bottom w:val="single" w:sz="8" w:space="0" w:color="CCEEFF"/>
            </w:tcBorders>
            <w:shd w:val="clear" w:color="auto" w:fill="CCEEFF"/>
            <w:vAlign w:val="bottom"/>
          </w:tcPr>
          <w:p w14:paraId="5987B6E2" w14:textId="77777777" w:rsidR="00D1587D" w:rsidRDefault="00410D07">
            <w:pPr>
              <w:jc w:val="right"/>
              <w:rPr>
                <w:sz w:val="20"/>
                <w:szCs w:val="20"/>
              </w:rPr>
            </w:pPr>
            <w:r>
              <w:rPr>
                <w:rFonts w:ascii="Arial" w:eastAsia="Arial" w:hAnsi="Arial" w:cs="Arial"/>
                <w:sz w:val="18"/>
                <w:szCs w:val="18"/>
              </w:rPr>
              <w:t>533,069</w:t>
            </w:r>
          </w:p>
        </w:tc>
        <w:tc>
          <w:tcPr>
            <w:tcW w:w="0" w:type="dxa"/>
            <w:vAlign w:val="bottom"/>
          </w:tcPr>
          <w:p w14:paraId="467FF1F7" w14:textId="77777777" w:rsidR="00D1587D" w:rsidRDefault="00D1587D">
            <w:pPr>
              <w:rPr>
                <w:sz w:val="1"/>
                <w:szCs w:val="1"/>
              </w:rPr>
            </w:pPr>
          </w:p>
        </w:tc>
      </w:tr>
      <w:tr w:rsidR="00D1587D" w14:paraId="26BD8FAE" w14:textId="77777777">
        <w:trPr>
          <w:trHeight w:val="270"/>
        </w:trPr>
        <w:tc>
          <w:tcPr>
            <w:tcW w:w="3640" w:type="dxa"/>
            <w:gridSpan w:val="2"/>
            <w:vAlign w:val="bottom"/>
          </w:tcPr>
          <w:p w14:paraId="7FD42733" w14:textId="77777777" w:rsidR="00D1587D" w:rsidRDefault="00410D07">
            <w:pPr>
              <w:rPr>
                <w:sz w:val="20"/>
                <w:szCs w:val="20"/>
              </w:rPr>
            </w:pPr>
            <w:r>
              <w:rPr>
                <w:rFonts w:ascii="Arial" w:eastAsia="Arial" w:hAnsi="Arial" w:cs="Arial"/>
                <w:sz w:val="18"/>
                <w:szCs w:val="18"/>
              </w:rPr>
              <w:t>Stuart B. Burgdoerfer</w:t>
            </w:r>
          </w:p>
        </w:tc>
        <w:tc>
          <w:tcPr>
            <w:tcW w:w="860" w:type="dxa"/>
            <w:vAlign w:val="bottom"/>
          </w:tcPr>
          <w:p w14:paraId="08F0DD25" w14:textId="77777777" w:rsidR="00D1587D" w:rsidRDefault="00410D07">
            <w:pPr>
              <w:jc w:val="center"/>
              <w:rPr>
                <w:sz w:val="20"/>
                <w:szCs w:val="20"/>
              </w:rPr>
            </w:pPr>
            <w:r>
              <w:rPr>
                <w:rFonts w:ascii="Arial" w:eastAsia="Arial" w:hAnsi="Arial" w:cs="Arial"/>
                <w:w w:val="90"/>
                <w:sz w:val="18"/>
                <w:szCs w:val="18"/>
              </w:rPr>
              <w:t>23,958</w:t>
            </w:r>
          </w:p>
        </w:tc>
        <w:tc>
          <w:tcPr>
            <w:tcW w:w="180" w:type="dxa"/>
            <w:vAlign w:val="bottom"/>
          </w:tcPr>
          <w:p w14:paraId="1B60939C" w14:textId="77777777" w:rsidR="00D1587D" w:rsidRDefault="00D1587D">
            <w:pPr>
              <w:rPr>
                <w:sz w:val="23"/>
                <w:szCs w:val="23"/>
              </w:rPr>
            </w:pPr>
          </w:p>
        </w:tc>
        <w:tc>
          <w:tcPr>
            <w:tcW w:w="880" w:type="dxa"/>
            <w:vAlign w:val="bottom"/>
          </w:tcPr>
          <w:p w14:paraId="630B7FDE" w14:textId="77777777" w:rsidR="00D1587D" w:rsidRDefault="00410D07">
            <w:pPr>
              <w:jc w:val="center"/>
              <w:rPr>
                <w:sz w:val="20"/>
                <w:szCs w:val="20"/>
              </w:rPr>
            </w:pPr>
            <w:r>
              <w:rPr>
                <w:rFonts w:ascii="Arial" w:eastAsia="Arial" w:hAnsi="Arial" w:cs="Arial"/>
                <w:w w:val="92"/>
                <w:sz w:val="18"/>
                <w:szCs w:val="18"/>
              </w:rPr>
              <w:t>210,169</w:t>
            </w:r>
          </w:p>
        </w:tc>
        <w:tc>
          <w:tcPr>
            <w:tcW w:w="180" w:type="dxa"/>
            <w:vAlign w:val="bottom"/>
          </w:tcPr>
          <w:p w14:paraId="4B354A54" w14:textId="77777777" w:rsidR="00D1587D" w:rsidRDefault="00D1587D">
            <w:pPr>
              <w:rPr>
                <w:sz w:val="23"/>
                <w:szCs w:val="23"/>
              </w:rPr>
            </w:pPr>
          </w:p>
        </w:tc>
        <w:tc>
          <w:tcPr>
            <w:tcW w:w="720" w:type="dxa"/>
            <w:vAlign w:val="bottom"/>
          </w:tcPr>
          <w:p w14:paraId="56715AD2" w14:textId="77777777" w:rsidR="00D1587D" w:rsidRDefault="00410D07">
            <w:pPr>
              <w:jc w:val="right"/>
              <w:rPr>
                <w:sz w:val="20"/>
                <w:szCs w:val="20"/>
              </w:rPr>
            </w:pPr>
            <w:r>
              <w:rPr>
                <w:rFonts w:ascii="Arial" w:eastAsia="Arial" w:hAnsi="Arial" w:cs="Arial"/>
                <w:w w:val="98"/>
                <w:sz w:val="18"/>
                <w:szCs w:val="18"/>
              </w:rPr>
              <w:t>211,770</w:t>
            </w:r>
          </w:p>
        </w:tc>
        <w:tc>
          <w:tcPr>
            <w:tcW w:w="180" w:type="dxa"/>
            <w:vAlign w:val="bottom"/>
          </w:tcPr>
          <w:p w14:paraId="55B6101E" w14:textId="77777777" w:rsidR="00D1587D" w:rsidRDefault="00D1587D">
            <w:pPr>
              <w:rPr>
                <w:sz w:val="23"/>
                <w:szCs w:val="23"/>
              </w:rPr>
            </w:pPr>
          </w:p>
        </w:tc>
        <w:tc>
          <w:tcPr>
            <w:tcW w:w="840" w:type="dxa"/>
            <w:vAlign w:val="bottom"/>
          </w:tcPr>
          <w:p w14:paraId="449522F8" w14:textId="77777777" w:rsidR="00D1587D" w:rsidRDefault="00410D07">
            <w:pPr>
              <w:jc w:val="center"/>
              <w:rPr>
                <w:sz w:val="20"/>
                <w:szCs w:val="20"/>
              </w:rPr>
            </w:pPr>
            <w:r>
              <w:rPr>
                <w:rFonts w:ascii="Arial" w:eastAsia="Arial" w:hAnsi="Arial" w:cs="Arial"/>
                <w:w w:val="99"/>
                <w:sz w:val="18"/>
                <w:szCs w:val="18"/>
              </w:rPr>
              <w:t>—</w:t>
            </w:r>
          </w:p>
        </w:tc>
        <w:tc>
          <w:tcPr>
            <w:tcW w:w="940" w:type="dxa"/>
            <w:gridSpan w:val="2"/>
            <w:vAlign w:val="bottom"/>
          </w:tcPr>
          <w:p w14:paraId="286B564B" w14:textId="77777777" w:rsidR="00D1587D" w:rsidRDefault="00410D07">
            <w:pPr>
              <w:jc w:val="right"/>
              <w:rPr>
                <w:sz w:val="20"/>
                <w:szCs w:val="20"/>
              </w:rPr>
            </w:pPr>
            <w:r>
              <w:rPr>
                <w:rFonts w:ascii="Arial" w:eastAsia="Arial" w:hAnsi="Arial" w:cs="Arial"/>
                <w:sz w:val="18"/>
                <w:szCs w:val="18"/>
              </w:rPr>
              <w:t>5,271,529</w:t>
            </w:r>
          </w:p>
        </w:tc>
        <w:tc>
          <w:tcPr>
            <w:tcW w:w="0" w:type="dxa"/>
            <w:vAlign w:val="bottom"/>
          </w:tcPr>
          <w:p w14:paraId="38DA38B0" w14:textId="77777777" w:rsidR="00D1587D" w:rsidRDefault="00D1587D">
            <w:pPr>
              <w:rPr>
                <w:sz w:val="1"/>
                <w:szCs w:val="1"/>
              </w:rPr>
            </w:pPr>
          </w:p>
        </w:tc>
      </w:tr>
      <w:tr w:rsidR="00D1587D" w14:paraId="41647400" w14:textId="77777777">
        <w:trPr>
          <w:trHeight w:val="54"/>
        </w:trPr>
        <w:tc>
          <w:tcPr>
            <w:tcW w:w="3440" w:type="dxa"/>
            <w:vAlign w:val="bottom"/>
          </w:tcPr>
          <w:p w14:paraId="513DD496" w14:textId="77777777" w:rsidR="00D1587D" w:rsidRDefault="00D1587D">
            <w:pPr>
              <w:rPr>
                <w:sz w:val="4"/>
                <w:szCs w:val="4"/>
              </w:rPr>
            </w:pPr>
          </w:p>
        </w:tc>
        <w:tc>
          <w:tcPr>
            <w:tcW w:w="200" w:type="dxa"/>
            <w:vAlign w:val="bottom"/>
          </w:tcPr>
          <w:p w14:paraId="4C11582E" w14:textId="77777777" w:rsidR="00D1587D" w:rsidRDefault="00D1587D">
            <w:pPr>
              <w:rPr>
                <w:sz w:val="4"/>
                <w:szCs w:val="4"/>
              </w:rPr>
            </w:pPr>
          </w:p>
        </w:tc>
        <w:tc>
          <w:tcPr>
            <w:tcW w:w="860" w:type="dxa"/>
            <w:vAlign w:val="bottom"/>
          </w:tcPr>
          <w:p w14:paraId="5070C6CF" w14:textId="77777777" w:rsidR="00D1587D" w:rsidRDefault="00D1587D">
            <w:pPr>
              <w:rPr>
                <w:sz w:val="4"/>
                <w:szCs w:val="4"/>
              </w:rPr>
            </w:pPr>
          </w:p>
        </w:tc>
        <w:tc>
          <w:tcPr>
            <w:tcW w:w="180" w:type="dxa"/>
            <w:vAlign w:val="bottom"/>
          </w:tcPr>
          <w:p w14:paraId="1187D4D5" w14:textId="77777777" w:rsidR="00D1587D" w:rsidRDefault="00D1587D">
            <w:pPr>
              <w:rPr>
                <w:sz w:val="4"/>
                <w:szCs w:val="4"/>
              </w:rPr>
            </w:pPr>
          </w:p>
        </w:tc>
        <w:tc>
          <w:tcPr>
            <w:tcW w:w="880" w:type="dxa"/>
            <w:vAlign w:val="bottom"/>
          </w:tcPr>
          <w:p w14:paraId="22FCBCDB" w14:textId="77777777" w:rsidR="00D1587D" w:rsidRDefault="00D1587D">
            <w:pPr>
              <w:rPr>
                <w:sz w:val="4"/>
                <w:szCs w:val="4"/>
              </w:rPr>
            </w:pPr>
          </w:p>
        </w:tc>
        <w:tc>
          <w:tcPr>
            <w:tcW w:w="180" w:type="dxa"/>
            <w:vAlign w:val="bottom"/>
          </w:tcPr>
          <w:p w14:paraId="54E5F05A" w14:textId="77777777" w:rsidR="00D1587D" w:rsidRDefault="00D1587D">
            <w:pPr>
              <w:rPr>
                <w:sz w:val="4"/>
                <w:szCs w:val="4"/>
              </w:rPr>
            </w:pPr>
          </w:p>
        </w:tc>
        <w:tc>
          <w:tcPr>
            <w:tcW w:w="720" w:type="dxa"/>
            <w:vAlign w:val="bottom"/>
          </w:tcPr>
          <w:p w14:paraId="1442A1E3" w14:textId="77777777" w:rsidR="00D1587D" w:rsidRDefault="00D1587D">
            <w:pPr>
              <w:rPr>
                <w:sz w:val="4"/>
                <w:szCs w:val="4"/>
              </w:rPr>
            </w:pPr>
          </w:p>
        </w:tc>
        <w:tc>
          <w:tcPr>
            <w:tcW w:w="180" w:type="dxa"/>
            <w:vAlign w:val="bottom"/>
          </w:tcPr>
          <w:p w14:paraId="5B49383C" w14:textId="77777777" w:rsidR="00D1587D" w:rsidRDefault="00D1587D">
            <w:pPr>
              <w:rPr>
                <w:sz w:val="4"/>
                <w:szCs w:val="4"/>
              </w:rPr>
            </w:pPr>
          </w:p>
        </w:tc>
        <w:tc>
          <w:tcPr>
            <w:tcW w:w="840" w:type="dxa"/>
            <w:vAlign w:val="bottom"/>
          </w:tcPr>
          <w:p w14:paraId="22FF4D89" w14:textId="77777777" w:rsidR="00D1587D" w:rsidRDefault="00D1587D">
            <w:pPr>
              <w:rPr>
                <w:sz w:val="4"/>
                <w:szCs w:val="4"/>
              </w:rPr>
            </w:pPr>
          </w:p>
        </w:tc>
        <w:tc>
          <w:tcPr>
            <w:tcW w:w="200" w:type="dxa"/>
            <w:vAlign w:val="bottom"/>
          </w:tcPr>
          <w:p w14:paraId="374E3E49" w14:textId="77777777" w:rsidR="00D1587D" w:rsidRDefault="00D1587D">
            <w:pPr>
              <w:rPr>
                <w:sz w:val="4"/>
                <w:szCs w:val="4"/>
              </w:rPr>
            </w:pPr>
          </w:p>
        </w:tc>
        <w:tc>
          <w:tcPr>
            <w:tcW w:w="740" w:type="dxa"/>
            <w:vAlign w:val="bottom"/>
          </w:tcPr>
          <w:p w14:paraId="4FB8553A" w14:textId="77777777" w:rsidR="00D1587D" w:rsidRDefault="00D1587D">
            <w:pPr>
              <w:rPr>
                <w:sz w:val="4"/>
                <w:szCs w:val="4"/>
              </w:rPr>
            </w:pPr>
          </w:p>
        </w:tc>
        <w:tc>
          <w:tcPr>
            <w:tcW w:w="0" w:type="dxa"/>
            <w:vAlign w:val="bottom"/>
          </w:tcPr>
          <w:p w14:paraId="6DAA82AF" w14:textId="77777777" w:rsidR="00D1587D" w:rsidRDefault="00D1587D">
            <w:pPr>
              <w:rPr>
                <w:sz w:val="1"/>
                <w:szCs w:val="1"/>
              </w:rPr>
            </w:pPr>
          </w:p>
        </w:tc>
      </w:tr>
      <w:tr w:rsidR="00D1587D" w14:paraId="4FB84A3A" w14:textId="77777777">
        <w:trPr>
          <w:trHeight w:val="270"/>
        </w:trPr>
        <w:tc>
          <w:tcPr>
            <w:tcW w:w="3640" w:type="dxa"/>
            <w:gridSpan w:val="2"/>
            <w:shd w:val="clear" w:color="auto" w:fill="CCEEFF"/>
            <w:vAlign w:val="bottom"/>
          </w:tcPr>
          <w:p w14:paraId="45C30ABA" w14:textId="77777777" w:rsidR="00D1587D" w:rsidRDefault="00410D07">
            <w:pPr>
              <w:rPr>
                <w:sz w:val="20"/>
                <w:szCs w:val="20"/>
              </w:rPr>
            </w:pPr>
            <w:r>
              <w:rPr>
                <w:rFonts w:ascii="Arial" w:eastAsia="Arial" w:hAnsi="Arial" w:cs="Arial"/>
                <w:sz w:val="18"/>
                <w:szCs w:val="18"/>
              </w:rPr>
              <w:t>John Mehas</w:t>
            </w:r>
          </w:p>
        </w:tc>
        <w:tc>
          <w:tcPr>
            <w:tcW w:w="860" w:type="dxa"/>
            <w:shd w:val="clear" w:color="auto" w:fill="CCEEFF"/>
            <w:vAlign w:val="bottom"/>
          </w:tcPr>
          <w:p w14:paraId="667F5C88" w14:textId="77777777" w:rsidR="00D1587D" w:rsidRDefault="00410D07">
            <w:pPr>
              <w:jc w:val="center"/>
              <w:rPr>
                <w:sz w:val="20"/>
                <w:szCs w:val="20"/>
              </w:rPr>
            </w:pPr>
            <w:r>
              <w:rPr>
                <w:rFonts w:ascii="Arial" w:eastAsia="Arial" w:hAnsi="Arial" w:cs="Arial"/>
                <w:w w:val="90"/>
                <w:sz w:val="18"/>
                <w:szCs w:val="18"/>
              </w:rPr>
              <w:t>41,130</w:t>
            </w:r>
          </w:p>
        </w:tc>
        <w:tc>
          <w:tcPr>
            <w:tcW w:w="180" w:type="dxa"/>
            <w:shd w:val="clear" w:color="auto" w:fill="CCEEFF"/>
            <w:vAlign w:val="bottom"/>
          </w:tcPr>
          <w:p w14:paraId="3F0DBAE0" w14:textId="77777777" w:rsidR="00D1587D" w:rsidRDefault="00D1587D">
            <w:pPr>
              <w:rPr>
                <w:sz w:val="23"/>
                <w:szCs w:val="23"/>
              </w:rPr>
            </w:pPr>
          </w:p>
        </w:tc>
        <w:tc>
          <w:tcPr>
            <w:tcW w:w="880" w:type="dxa"/>
            <w:shd w:val="clear" w:color="auto" w:fill="CCEEFF"/>
            <w:vAlign w:val="bottom"/>
          </w:tcPr>
          <w:p w14:paraId="0CC70BAE" w14:textId="77777777" w:rsidR="00D1587D" w:rsidRDefault="00410D07">
            <w:pPr>
              <w:ind w:right="78"/>
              <w:jc w:val="right"/>
              <w:rPr>
                <w:sz w:val="20"/>
                <w:szCs w:val="20"/>
              </w:rPr>
            </w:pPr>
            <w:r>
              <w:rPr>
                <w:rFonts w:ascii="Arial" w:eastAsia="Arial" w:hAnsi="Arial" w:cs="Arial"/>
                <w:sz w:val="18"/>
                <w:szCs w:val="18"/>
              </w:rPr>
              <w:t>82,260</w:t>
            </w:r>
          </w:p>
        </w:tc>
        <w:tc>
          <w:tcPr>
            <w:tcW w:w="180" w:type="dxa"/>
            <w:shd w:val="clear" w:color="auto" w:fill="CCEEFF"/>
            <w:vAlign w:val="bottom"/>
          </w:tcPr>
          <w:p w14:paraId="4B17BFB1" w14:textId="77777777" w:rsidR="00D1587D" w:rsidRDefault="00D1587D">
            <w:pPr>
              <w:rPr>
                <w:sz w:val="23"/>
                <w:szCs w:val="23"/>
              </w:rPr>
            </w:pPr>
          </w:p>
        </w:tc>
        <w:tc>
          <w:tcPr>
            <w:tcW w:w="720" w:type="dxa"/>
            <w:shd w:val="clear" w:color="auto" w:fill="CCEEFF"/>
            <w:vAlign w:val="bottom"/>
          </w:tcPr>
          <w:p w14:paraId="6921CCF4" w14:textId="77777777" w:rsidR="00D1587D" w:rsidRDefault="00410D07">
            <w:pPr>
              <w:jc w:val="right"/>
              <w:rPr>
                <w:sz w:val="20"/>
                <w:szCs w:val="20"/>
              </w:rPr>
            </w:pPr>
            <w:r>
              <w:rPr>
                <w:rFonts w:ascii="Arial" w:eastAsia="Arial" w:hAnsi="Arial" w:cs="Arial"/>
                <w:sz w:val="18"/>
                <w:szCs w:val="18"/>
              </w:rPr>
              <w:t>4,016</w:t>
            </w:r>
          </w:p>
        </w:tc>
        <w:tc>
          <w:tcPr>
            <w:tcW w:w="180" w:type="dxa"/>
            <w:shd w:val="clear" w:color="auto" w:fill="CCEEFF"/>
            <w:vAlign w:val="bottom"/>
          </w:tcPr>
          <w:p w14:paraId="50C09CCF" w14:textId="77777777" w:rsidR="00D1587D" w:rsidRDefault="00D1587D">
            <w:pPr>
              <w:rPr>
                <w:sz w:val="23"/>
                <w:szCs w:val="23"/>
              </w:rPr>
            </w:pPr>
          </w:p>
        </w:tc>
        <w:tc>
          <w:tcPr>
            <w:tcW w:w="840" w:type="dxa"/>
            <w:shd w:val="clear" w:color="auto" w:fill="CCEEFF"/>
            <w:vAlign w:val="bottom"/>
          </w:tcPr>
          <w:p w14:paraId="084C87D2" w14:textId="77777777" w:rsidR="00D1587D" w:rsidRDefault="00410D07">
            <w:pPr>
              <w:jc w:val="center"/>
              <w:rPr>
                <w:sz w:val="20"/>
                <w:szCs w:val="20"/>
              </w:rPr>
            </w:pPr>
            <w:r>
              <w:rPr>
                <w:rFonts w:ascii="Arial" w:eastAsia="Arial" w:hAnsi="Arial" w:cs="Arial"/>
                <w:w w:val="99"/>
                <w:sz w:val="18"/>
                <w:szCs w:val="18"/>
              </w:rPr>
              <w:t>—</w:t>
            </w:r>
          </w:p>
        </w:tc>
        <w:tc>
          <w:tcPr>
            <w:tcW w:w="940" w:type="dxa"/>
            <w:gridSpan w:val="2"/>
            <w:shd w:val="clear" w:color="auto" w:fill="CCEEFF"/>
            <w:vAlign w:val="bottom"/>
          </w:tcPr>
          <w:p w14:paraId="7B0335DD" w14:textId="77777777" w:rsidR="00D1587D" w:rsidRDefault="00410D07">
            <w:pPr>
              <w:jc w:val="right"/>
              <w:rPr>
                <w:sz w:val="20"/>
                <w:szCs w:val="20"/>
              </w:rPr>
            </w:pPr>
            <w:r>
              <w:rPr>
                <w:rFonts w:ascii="Arial" w:eastAsia="Arial" w:hAnsi="Arial" w:cs="Arial"/>
                <w:sz w:val="18"/>
                <w:szCs w:val="18"/>
              </w:rPr>
              <w:t>127,406</w:t>
            </w:r>
          </w:p>
        </w:tc>
        <w:tc>
          <w:tcPr>
            <w:tcW w:w="0" w:type="dxa"/>
            <w:vAlign w:val="bottom"/>
          </w:tcPr>
          <w:p w14:paraId="4536506D" w14:textId="77777777" w:rsidR="00D1587D" w:rsidRDefault="00D1587D">
            <w:pPr>
              <w:rPr>
                <w:sz w:val="1"/>
                <w:szCs w:val="1"/>
              </w:rPr>
            </w:pPr>
          </w:p>
        </w:tc>
      </w:tr>
      <w:tr w:rsidR="00D1587D" w14:paraId="5FC997E0" w14:textId="77777777">
        <w:trPr>
          <w:trHeight w:val="54"/>
        </w:trPr>
        <w:tc>
          <w:tcPr>
            <w:tcW w:w="3440" w:type="dxa"/>
            <w:shd w:val="clear" w:color="auto" w:fill="CCEEFF"/>
            <w:vAlign w:val="bottom"/>
          </w:tcPr>
          <w:p w14:paraId="6C046ABC" w14:textId="77777777" w:rsidR="00D1587D" w:rsidRDefault="00D1587D">
            <w:pPr>
              <w:rPr>
                <w:sz w:val="4"/>
                <w:szCs w:val="4"/>
              </w:rPr>
            </w:pPr>
          </w:p>
        </w:tc>
        <w:tc>
          <w:tcPr>
            <w:tcW w:w="200" w:type="dxa"/>
            <w:shd w:val="clear" w:color="auto" w:fill="CCEEFF"/>
            <w:vAlign w:val="bottom"/>
          </w:tcPr>
          <w:p w14:paraId="007F9C12" w14:textId="77777777" w:rsidR="00D1587D" w:rsidRDefault="00D1587D">
            <w:pPr>
              <w:rPr>
                <w:sz w:val="4"/>
                <w:szCs w:val="4"/>
              </w:rPr>
            </w:pPr>
          </w:p>
        </w:tc>
        <w:tc>
          <w:tcPr>
            <w:tcW w:w="860" w:type="dxa"/>
            <w:shd w:val="clear" w:color="auto" w:fill="CCEEFF"/>
            <w:vAlign w:val="bottom"/>
          </w:tcPr>
          <w:p w14:paraId="3A931610" w14:textId="77777777" w:rsidR="00D1587D" w:rsidRDefault="00D1587D">
            <w:pPr>
              <w:rPr>
                <w:sz w:val="4"/>
                <w:szCs w:val="4"/>
              </w:rPr>
            </w:pPr>
          </w:p>
        </w:tc>
        <w:tc>
          <w:tcPr>
            <w:tcW w:w="180" w:type="dxa"/>
            <w:shd w:val="clear" w:color="auto" w:fill="CCEEFF"/>
            <w:vAlign w:val="bottom"/>
          </w:tcPr>
          <w:p w14:paraId="37C22E25" w14:textId="77777777" w:rsidR="00D1587D" w:rsidRDefault="00D1587D">
            <w:pPr>
              <w:rPr>
                <w:sz w:val="4"/>
                <w:szCs w:val="4"/>
              </w:rPr>
            </w:pPr>
          </w:p>
        </w:tc>
        <w:tc>
          <w:tcPr>
            <w:tcW w:w="880" w:type="dxa"/>
            <w:shd w:val="clear" w:color="auto" w:fill="CCEEFF"/>
            <w:vAlign w:val="bottom"/>
          </w:tcPr>
          <w:p w14:paraId="2F710793" w14:textId="77777777" w:rsidR="00D1587D" w:rsidRDefault="00D1587D">
            <w:pPr>
              <w:rPr>
                <w:sz w:val="4"/>
                <w:szCs w:val="4"/>
              </w:rPr>
            </w:pPr>
          </w:p>
        </w:tc>
        <w:tc>
          <w:tcPr>
            <w:tcW w:w="180" w:type="dxa"/>
            <w:shd w:val="clear" w:color="auto" w:fill="CCEEFF"/>
            <w:vAlign w:val="bottom"/>
          </w:tcPr>
          <w:p w14:paraId="1E3C6CD8" w14:textId="77777777" w:rsidR="00D1587D" w:rsidRDefault="00D1587D">
            <w:pPr>
              <w:rPr>
                <w:sz w:val="4"/>
                <w:szCs w:val="4"/>
              </w:rPr>
            </w:pPr>
          </w:p>
        </w:tc>
        <w:tc>
          <w:tcPr>
            <w:tcW w:w="720" w:type="dxa"/>
            <w:shd w:val="clear" w:color="auto" w:fill="CCEEFF"/>
            <w:vAlign w:val="bottom"/>
          </w:tcPr>
          <w:p w14:paraId="0F28572A" w14:textId="77777777" w:rsidR="00D1587D" w:rsidRDefault="00D1587D">
            <w:pPr>
              <w:rPr>
                <w:sz w:val="4"/>
                <w:szCs w:val="4"/>
              </w:rPr>
            </w:pPr>
          </w:p>
        </w:tc>
        <w:tc>
          <w:tcPr>
            <w:tcW w:w="180" w:type="dxa"/>
            <w:shd w:val="clear" w:color="auto" w:fill="CCEEFF"/>
            <w:vAlign w:val="bottom"/>
          </w:tcPr>
          <w:p w14:paraId="19A49EAE" w14:textId="77777777" w:rsidR="00D1587D" w:rsidRDefault="00D1587D">
            <w:pPr>
              <w:rPr>
                <w:sz w:val="4"/>
                <w:szCs w:val="4"/>
              </w:rPr>
            </w:pPr>
          </w:p>
        </w:tc>
        <w:tc>
          <w:tcPr>
            <w:tcW w:w="840" w:type="dxa"/>
            <w:shd w:val="clear" w:color="auto" w:fill="CCEEFF"/>
            <w:vAlign w:val="bottom"/>
          </w:tcPr>
          <w:p w14:paraId="5B684A6F" w14:textId="77777777" w:rsidR="00D1587D" w:rsidRDefault="00D1587D">
            <w:pPr>
              <w:rPr>
                <w:sz w:val="4"/>
                <w:szCs w:val="4"/>
              </w:rPr>
            </w:pPr>
          </w:p>
        </w:tc>
        <w:tc>
          <w:tcPr>
            <w:tcW w:w="200" w:type="dxa"/>
            <w:shd w:val="clear" w:color="auto" w:fill="CCEEFF"/>
            <w:vAlign w:val="bottom"/>
          </w:tcPr>
          <w:p w14:paraId="4AFC5A44" w14:textId="77777777" w:rsidR="00D1587D" w:rsidRDefault="00D1587D">
            <w:pPr>
              <w:rPr>
                <w:sz w:val="4"/>
                <w:szCs w:val="4"/>
              </w:rPr>
            </w:pPr>
          </w:p>
        </w:tc>
        <w:tc>
          <w:tcPr>
            <w:tcW w:w="740" w:type="dxa"/>
            <w:shd w:val="clear" w:color="auto" w:fill="CCEEFF"/>
            <w:vAlign w:val="bottom"/>
          </w:tcPr>
          <w:p w14:paraId="4E1FC9A7" w14:textId="77777777" w:rsidR="00D1587D" w:rsidRDefault="00D1587D">
            <w:pPr>
              <w:rPr>
                <w:sz w:val="4"/>
                <w:szCs w:val="4"/>
              </w:rPr>
            </w:pPr>
          </w:p>
        </w:tc>
        <w:tc>
          <w:tcPr>
            <w:tcW w:w="0" w:type="dxa"/>
            <w:vAlign w:val="bottom"/>
          </w:tcPr>
          <w:p w14:paraId="3487FB89" w14:textId="77777777" w:rsidR="00D1587D" w:rsidRDefault="00D1587D">
            <w:pPr>
              <w:rPr>
                <w:sz w:val="1"/>
                <w:szCs w:val="1"/>
              </w:rPr>
            </w:pPr>
          </w:p>
        </w:tc>
      </w:tr>
    </w:tbl>
    <w:p w14:paraId="53D455CC" w14:textId="77777777" w:rsidR="00D1587D" w:rsidRDefault="00410D07">
      <w:pPr>
        <w:spacing w:line="20" w:lineRule="exact"/>
        <w:rPr>
          <w:sz w:val="20"/>
          <w:szCs w:val="20"/>
        </w:rPr>
      </w:pPr>
      <w:r>
        <w:rPr>
          <w:noProof/>
          <w:sz w:val="20"/>
          <w:szCs w:val="20"/>
        </w:rPr>
        <w:drawing>
          <wp:anchor distT="0" distB="0" distL="114300" distR="114300" simplePos="0" relativeHeight="251906048" behindDoc="1" locked="0" layoutInCell="0" allowOverlap="1" wp14:anchorId="5707757A" wp14:editId="5432A542">
            <wp:simplePos x="0" y="0"/>
            <wp:positionH relativeFrom="column">
              <wp:posOffset>4942840</wp:posOffset>
            </wp:positionH>
            <wp:positionV relativeFrom="paragraph">
              <wp:posOffset>-1045210</wp:posOffset>
            </wp:positionV>
            <wp:extent cx="120015" cy="8255"/>
            <wp:effectExtent l="0" t="0" r="0" b="0"/>
            <wp:wrapNone/>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07072" behindDoc="1" locked="0" layoutInCell="0" allowOverlap="1" wp14:anchorId="35FAA9F2" wp14:editId="6C568200">
            <wp:simplePos x="0" y="0"/>
            <wp:positionH relativeFrom="column">
              <wp:posOffset>4291330</wp:posOffset>
            </wp:positionH>
            <wp:positionV relativeFrom="paragraph">
              <wp:posOffset>-1045210</wp:posOffset>
            </wp:positionV>
            <wp:extent cx="120015" cy="8255"/>
            <wp:effectExtent l="0" t="0" r="0" b="0"/>
            <wp:wrapNone/>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08096" behindDoc="1" locked="0" layoutInCell="0" allowOverlap="1" wp14:anchorId="4DC63914" wp14:editId="48889081">
            <wp:simplePos x="0" y="0"/>
            <wp:positionH relativeFrom="column">
              <wp:posOffset>3717290</wp:posOffset>
            </wp:positionH>
            <wp:positionV relativeFrom="paragraph">
              <wp:posOffset>-1045210</wp:posOffset>
            </wp:positionV>
            <wp:extent cx="120015" cy="8255"/>
            <wp:effectExtent l="0" t="0" r="0" b="0"/>
            <wp:wrapNone/>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09120" behindDoc="1" locked="0" layoutInCell="0" allowOverlap="1" wp14:anchorId="3A1C6F58" wp14:editId="6FE84B92">
            <wp:simplePos x="0" y="0"/>
            <wp:positionH relativeFrom="column">
              <wp:posOffset>3048635</wp:posOffset>
            </wp:positionH>
            <wp:positionV relativeFrom="paragraph">
              <wp:posOffset>-1045210</wp:posOffset>
            </wp:positionV>
            <wp:extent cx="120015" cy="8255"/>
            <wp:effectExtent l="0" t="0" r="0" b="0"/>
            <wp:wrapNone/>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10144" behindDoc="1" locked="0" layoutInCell="0" allowOverlap="1" wp14:anchorId="3DA8209E" wp14:editId="75F81B8C">
            <wp:simplePos x="0" y="0"/>
            <wp:positionH relativeFrom="column">
              <wp:posOffset>2379980</wp:posOffset>
            </wp:positionH>
            <wp:positionV relativeFrom="paragraph">
              <wp:posOffset>-1045210</wp:posOffset>
            </wp:positionV>
            <wp:extent cx="120015" cy="8255"/>
            <wp:effectExtent l="0" t="0" r="0" b="0"/>
            <wp:wrapNone/>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11168" behindDoc="1" locked="0" layoutInCell="0" allowOverlap="1" wp14:anchorId="4A45B502" wp14:editId="6F3DDDF9">
            <wp:simplePos x="0" y="0"/>
            <wp:positionH relativeFrom="column">
              <wp:posOffset>185420</wp:posOffset>
            </wp:positionH>
            <wp:positionV relativeFrom="paragraph">
              <wp:posOffset>154305</wp:posOffset>
            </wp:positionV>
            <wp:extent cx="822960" cy="8255"/>
            <wp:effectExtent l="0" t="0" r="0" b="0"/>
            <wp:wrapNone/>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13EC62C1" w14:textId="77777777" w:rsidR="00D1587D" w:rsidRDefault="00D1587D">
      <w:pPr>
        <w:spacing w:line="272" w:lineRule="exact"/>
        <w:rPr>
          <w:sz w:val="20"/>
          <w:szCs w:val="20"/>
        </w:rPr>
      </w:pPr>
    </w:p>
    <w:p w14:paraId="6E955250" w14:textId="77777777" w:rsidR="00D1587D" w:rsidRDefault="00410D07" w:rsidP="00410D07">
      <w:pPr>
        <w:numPr>
          <w:ilvl w:val="0"/>
          <w:numId w:val="325"/>
        </w:numPr>
        <w:tabs>
          <w:tab w:val="left" w:pos="640"/>
        </w:tabs>
        <w:spacing w:line="229" w:lineRule="auto"/>
        <w:ind w:left="640" w:right="459" w:hanging="348"/>
        <w:rPr>
          <w:rFonts w:ascii="Arial" w:eastAsia="Arial" w:hAnsi="Arial" w:cs="Arial"/>
          <w:sz w:val="14"/>
          <w:szCs w:val="14"/>
        </w:rPr>
      </w:pPr>
      <w:r>
        <w:rPr>
          <w:rFonts w:ascii="Arial" w:eastAsia="Arial" w:hAnsi="Arial" w:cs="Arial"/>
          <w:sz w:val="14"/>
          <w:szCs w:val="14"/>
        </w:rPr>
        <w:t xml:space="preserve">Amounts disclosed include non-qualified cash deferrals, company matching contributions, retirement credits and earnings under the LB SRP and stock deferrals and related reinvested </w:t>
      </w:r>
      <w:r>
        <w:rPr>
          <w:rFonts w:ascii="Arial" w:eastAsia="Arial" w:hAnsi="Arial" w:cs="Arial"/>
          <w:sz w:val="14"/>
          <w:szCs w:val="14"/>
        </w:rPr>
        <w:t>dividend earnings under the Limited Brands, Inc. 1993 Stock Option and Performance Incentive Plan (the “LB 1993 Plan”), the Limited Brands, Inc. 2011 Stock Option and Performance Incentive Plan (the “LB 2011 Plan”) and the LB 2015 Plan. Executive Contribut</w:t>
      </w:r>
      <w:r>
        <w:rPr>
          <w:rFonts w:ascii="Arial" w:eastAsia="Arial" w:hAnsi="Arial" w:cs="Arial"/>
          <w:sz w:val="14"/>
          <w:szCs w:val="14"/>
        </w:rPr>
        <w:t>ions and related matching Registrant Contributions represent 2020 calendar year deferrals and matches on incentive compensation payments earned based on performance for the Fall 2019 season, which was paid in March 2020, and for the Spring 2020 season, whi</w:t>
      </w:r>
      <w:r>
        <w:rPr>
          <w:rFonts w:ascii="Arial" w:eastAsia="Arial" w:hAnsi="Arial" w:cs="Arial"/>
          <w:sz w:val="14"/>
          <w:szCs w:val="14"/>
        </w:rPr>
        <w:t>ch was paid in August 2020.</w:t>
      </w:r>
    </w:p>
    <w:p w14:paraId="7183BCD9" w14:textId="77777777" w:rsidR="00D1587D" w:rsidRDefault="00D1587D">
      <w:pPr>
        <w:spacing w:line="23" w:lineRule="exact"/>
        <w:rPr>
          <w:rFonts w:ascii="Arial" w:eastAsia="Arial" w:hAnsi="Arial" w:cs="Arial"/>
          <w:sz w:val="14"/>
          <w:szCs w:val="14"/>
        </w:rPr>
      </w:pPr>
    </w:p>
    <w:p w14:paraId="65F0BF59" w14:textId="77777777" w:rsidR="00D1587D" w:rsidRDefault="00410D07" w:rsidP="00410D07">
      <w:pPr>
        <w:numPr>
          <w:ilvl w:val="0"/>
          <w:numId w:val="325"/>
        </w:numPr>
        <w:tabs>
          <w:tab w:val="left" w:pos="640"/>
        </w:tabs>
        <w:spacing w:line="253" w:lineRule="auto"/>
        <w:ind w:left="640" w:right="659" w:hanging="348"/>
        <w:rPr>
          <w:rFonts w:ascii="Arial" w:eastAsia="Arial" w:hAnsi="Arial" w:cs="Arial"/>
          <w:sz w:val="14"/>
          <w:szCs w:val="14"/>
        </w:rPr>
      </w:pPr>
      <w:r>
        <w:rPr>
          <w:rFonts w:ascii="Arial" w:eastAsia="Arial" w:hAnsi="Arial" w:cs="Arial"/>
          <w:sz w:val="14"/>
          <w:szCs w:val="14"/>
        </w:rPr>
        <w:t>All of the contributions are reported in the 2020 Summary Compensation Table under the “Salary” and/or “Non-Equity Incentive Plan Compensation” columns.</w:t>
      </w:r>
    </w:p>
    <w:p w14:paraId="5FE9B689" w14:textId="77777777" w:rsidR="00D1587D" w:rsidRDefault="00D1587D">
      <w:pPr>
        <w:spacing w:line="11" w:lineRule="exact"/>
        <w:rPr>
          <w:rFonts w:ascii="Arial" w:eastAsia="Arial" w:hAnsi="Arial" w:cs="Arial"/>
          <w:sz w:val="14"/>
          <w:szCs w:val="14"/>
        </w:rPr>
      </w:pPr>
    </w:p>
    <w:p w14:paraId="240C939E" w14:textId="77777777" w:rsidR="00D1587D" w:rsidRDefault="00410D07" w:rsidP="00410D07">
      <w:pPr>
        <w:numPr>
          <w:ilvl w:val="0"/>
          <w:numId w:val="325"/>
        </w:numPr>
        <w:tabs>
          <w:tab w:val="left" w:pos="640"/>
        </w:tabs>
        <w:spacing w:line="231" w:lineRule="auto"/>
        <w:ind w:left="640" w:right="479" w:hanging="348"/>
        <w:rPr>
          <w:rFonts w:ascii="Arial" w:eastAsia="Arial" w:hAnsi="Arial" w:cs="Arial"/>
          <w:sz w:val="14"/>
          <w:szCs w:val="14"/>
        </w:rPr>
      </w:pPr>
      <w:r>
        <w:rPr>
          <w:rFonts w:ascii="Arial" w:eastAsia="Arial" w:hAnsi="Arial" w:cs="Arial"/>
          <w:sz w:val="14"/>
          <w:szCs w:val="14"/>
        </w:rPr>
        <w:t xml:space="preserve">Reflects LB’s 200% match of associate contributions of up to 3% of </w:t>
      </w:r>
      <w:r>
        <w:rPr>
          <w:rFonts w:ascii="Arial" w:eastAsia="Arial" w:hAnsi="Arial" w:cs="Arial"/>
          <w:sz w:val="14"/>
          <w:szCs w:val="14"/>
        </w:rPr>
        <w:t>base salary and bonus above the IRS qualified plan maximum compensation limit and LB’s retirement contribution of 6% for less than five years of service or 8% for five or more years of service of compensation above the IRS qualified plan maximum compensati</w:t>
      </w:r>
      <w:r>
        <w:rPr>
          <w:rFonts w:ascii="Arial" w:eastAsia="Arial" w:hAnsi="Arial" w:cs="Arial"/>
          <w:sz w:val="14"/>
          <w:szCs w:val="14"/>
        </w:rPr>
        <w:t>on limit. Associates become fully vested in these contributions after six years of service. These contributions are also included under the “All Other Compensation” column of the 2020 Summary Compensation Table.</w:t>
      </w:r>
    </w:p>
    <w:p w14:paraId="1187D2D1" w14:textId="77777777" w:rsidR="00D1587D" w:rsidRDefault="00D1587D">
      <w:pPr>
        <w:spacing w:line="21" w:lineRule="exact"/>
        <w:rPr>
          <w:rFonts w:ascii="Arial" w:eastAsia="Arial" w:hAnsi="Arial" w:cs="Arial"/>
          <w:sz w:val="14"/>
          <w:szCs w:val="14"/>
        </w:rPr>
      </w:pPr>
    </w:p>
    <w:p w14:paraId="22AF5B2B" w14:textId="77777777" w:rsidR="00D1587D" w:rsidRDefault="00410D07" w:rsidP="00410D07">
      <w:pPr>
        <w:numPr>
          <w:ilvl w:val="0"/>
          <w:numId w:val="325"/>
        </w:numPr>
        <w:tabs>
          <w:tab w:val="left" w:pos="640"/>
        </w:tabs>
        <w:ind w:left="640" w:hanging="348"/>
        <w:rPr>
          <w:rFonts w:ascii="Arial" w:eastAsia="Arial" w:hAnsi="Arial" w:cs="Arial"/>
          <w:sz w:val="14"/>
          <w:szCs w:val="14"/>
        </w:rPr>
      </w:pPr>
      <w:r>
        <w:rPr>
          <w:rFonts w:ascii="Arial" w:eastAsia="Arial" w:hAnsi="Arial" w:cs="Arial"/>
          <w:sz w:val="14"/>
          <w:szCs w:val="14"/>
        </w:rPr>
        <w:t>Non-qualified deferred cash compensation ba</w:t>
      </w:r>
      <w:r>
        <w:rPr>
          <w:rFonts w:ascii="Arial" w:eastAsia="Arial" w:hAnsi="Arial" w:cs="Arial"/>
          <w:sz w:val="14"/>
          <w:szCs w:val="14"/>
        </w:rPr>
        <w:t>lances earn a fixed rate of interest determined prior to the beginning of each year.</w:t>
      </w:r>
    </w:p>
    <w:p w14:paraId="3C493FC9" w14:textId="77777777" w:rsidR="00D1587D" w:rsidRDefault="00D1587D">
      <w:pPr>
        <w:spacing w:line="41" w:lineRule="exact"/>
        <w:rPr>
          <w:rFonts w:ascii="Arial" w:eastAsia="Arial" w:hAnsi="Arial" w:cs="Arial"/>
          <w:sz w:val="14"/>
          <w:szCs w:val="14"/>
        </w:rPr>
      </w:pPr>
    </w:p>
    <w:p w14:paraId="6120E094" w14:textId="77777777" w:rsidR="00D1587D" w:rsidRDefault="00410D07">
      <w:pPr>
        <w:spacing w:line="233" w:lineRule="auto"/>
        <w:ind w:left="660" w:right="599"/>
        <w:rPr>
          <w:rFonts w:ascii="Arial" w:eastAsia="Arial" w:hAnsi="Arial" w:cs="Arial"/>
          <w:sz w:val="14"/>
          <w:szCs w:val="14"/>
        </w:rPr>
      </w:pPr>
      <w:r>
        <w:rPr>
          <w:rFonts w:ascii="Arial" w:eastAsia="Arial" w:hAnsi="Arial" w:cs="Arial"/>
          <w:sz w:val="14"/>
          <w:szCs w:val="14"/>
        </w:rPr>
        <w:t>The portion of the earnings on deferred cash compensation that exceeds 120% of the applicable federal long-term rate in the amount of $71,126, $51,754, $9,199, $100,128 a</w:t>
      </w:r>
      <w:r>
        <w:rPr>
          <w:rFonts w:ascii="Arial" w:eastAsia="Arial" w:hAnsi="Arial" w:cs="Arial"/>
          <w:sz w:val="14"/>
          <w:szCs w:val="14"/>
        </w:rPr>
        <w:t>nd $1,899 for Mr. Waters, Ms. Hauk, Mr. Unis, Mr. Burgdoerfer and Mr. Mehas, respectively, is disclosed in the “Change in Pension Value and Non-qualified Deferred Compensation Earnings” column of the 2020 Summary Compensation Table.</w:t>
      </w:r>
    </w:p>
    <w:p w14:paraId="45547072" w14:textId="77777777" w:rsidR="00D1587D" w:rsidRDefault="00D1587D">
      <w:pPr>
        <w:spacing w:line="22" w:lineRule="exact"/>
        <w:rPr>
          <w:rFonts w:ascii="Arial" w:eastAsia="Arial" w:hAnsi="Arial" w:cs="Arial"/>
          <w:sz w:val="14"/>
          <w:szCs w:val="14"/>
        </w:rPr>
      </w:pPr>
    </w:p>
    <w:p w14:paraId="536AA7B8" w14:textId="77777777" w:rsidR="00D1587D" w:rsidRDefault="00410D07">
      <w:pPr>
        <w:spacing w:line="253" w:lineRule="auto"/>
        <w:ind w:left="660" w:right="459"/>
        <w:rPr>
          <w:rFonts w:ascii="Arial" w:eastAsia="Arial" w:hAnsi="Arial" w:cs="Arial"/>
          <w:sz w:val="14"/>
          <w:szCs w:val="14"/>
        </w:rPr>
      </w:pPr>
      <w:r>
        <w:rPr>
          <w:rFonts w:ascii="Arial" w:eastAsia="Arial" w:hAnsi="Arial" w:cs="Arial"/>
          <w:sz w:val="14"/>
          <w:szCs w:val="14"/>
        </w:rPr>
        <w:t>Amount includes divide</w:t>
      </w:r>
      <w:r>
        <w:rPr>
          <w:rFonts w:ascii="Arial" w:eastAsia="Arial" w:hAnsi="Arial" w:cs="Arial"/>
          <w:sz w:val="14"/>
          <w:szCs w:val="14"/>
        </w:rPr>
        <w:t>nds earned on deferred stock and RSU balances in the amount of $9,220 for Mr. Waters. Dividends are reinvested into additional stock units based on the closing market price of LB common stock on the dividend payment date.</w:t>
      </w:r>
    </w:p>
    <w:p w14:paraId="3DB123AC" w14:textId="77777777" w:rsidR="00D1587D" w:rsidRDefault="00D1587D">
      <w:pPr>
        <w:spacing w:line="11" w:lineRule="exact"/>
        <w:rPr>
          <w:rFonts w:ascii="Arial" w:eastAsia="Arial" w:hAnsi="Arial" w:cs="Arial"/>
          <w:sz w:val="14"/>
          <w:szCs w:val="14"/>
        </w:rPr>
      </w:pPr>
    </w:p>
    <w:p w14:paraId="4FB2518E" w14:textId="77777777" w:rsidR="00D1587D" w:rsidRDefault="00410D07" w:rsidP="00410D07">
      <w:pPr>
        <w:numPr>
          <w:ilvl w:val="0"/>
          <w:numId w:val="325"/>
        </w:numPr>
        <w:tabs>
          <w:tab w:val="left" w:pos="640"/>
        </w:tabs>
        <w:spacing w:line="238" w:lineRule="auto"/>
        <w:ind w:left="640" w:right="499" w:hanging="348"/>
        <w:rPr>
          <w:rFonts w:ascii="Arial" w:eastAsia="Arial" w:hAnsi="Arial" w:cs="Arial"/>
          <w:sz w:val="14"/>
          <w:szCs w:val="14"/>
        </w:rPr>
      </w:pPr>
      <w:r>
        <w:rPr>
          <w:rFonts w:ascii="Arial" w:eastAsia="Arial" w:hAnsi="Arial" w:cs="Arial"/>
          <w:sz w:val="14"/>
          <w:szCs w:val="14"/>
        </w:rPr>
        <w:t>Participants may elect to receive</w:t>
      </w:r>
      <w:r>
        <w:rPr>
          <w:rFonts w:ascii="Arial" w:eastAsia="Arial" w:hAnsi="Arial" w:cs="Arial"/>
          <w:sz w:val="14"/>
          <w:szCs w:val="14"/>
        </w:rPr>
        <w:t xml:space="preserve"> the funds in a lump sum or in up to ten annual installments following termination of employment, but generally may not make withdrawals during their employment. Deferrals under the LB SRP, the LB 1993 Plan, the LB 2011 Plan and the LB 2015 Plan are unfund</w:t>
      </w:r>
      <w:r>
        <w:rPr>
          <w:rFonts w:ascii="Arial" w:eastAsia="Arial" w:hAnsi="Arial" w:cs="Arial"/>
          <w:sz w:val="14"/>
          <w:szCs w:val="14"/>
        </w:rPr>
        <w:t>ed.</w:t>
      </w:r>
    </w:p>
    <w:p w14:paraId="06EF86C9" w14:textId="77777777" w:rsidR="00D1587D" w:rsidRDefault="00D1587D">
      <w:pPr>
        <w:spacing w:line="20" w:lineRule="exact"/>
        <w:rPr>
          <w:rFonts w:ascii="Arial" w:eastAsia="Arial" w:hAnsi="Arial" w:cs="Arial"/>
          <w:sz w:val="14"/>
          <w:szCs w:val="14"/>
        </w:rPr>
      </w:pPr>
    </w:p>
    <w:p w14:paraId="2E128A76" w14:textId="77777777" w:rsidR="00D1587D" w:rsidRDefault="00410D07" w:rsidP="00410D07">
      <w:pPr>
        <w:numPr>
          <w:ilvl w:val="0"/>
          <w:numId w:val="325"/>
        </w:numPr>
        <w:tabs>
          <w:tab w:val="left" w:pos="640"/>
        </w:tabs>
        <w:spacing w:line="253" w:lineRule="auto"/>
        <w:ind w:left="640" w:right="319" w:hanging="348"/>
        <w:rPr>
          <w:rFonts w:ascii="Arial" w:eastAsia="Arial" w:hAnsi="Arial" w:cs="Arial"/>
          <w:sz w:val="14"/>
          <w:szCs w:val="14"/>
        </w:rPr>
      </w:pPr>
      <w:r>
        <w:rPr>
          <w:rFonts w:ascii="Arial" w:eastAsia="Arial" w:hAnsi="Arial" w:cs="Arial"/>
          <w:sz w:val="14"/>
          <w:szCs w:val="14"/>
        </w:rPr>
        <w:t>Balance includes the value of deferred stock and RSUs at calendar year-end in the amount of $1,269,625 for Mr. Waters. Value is calculated based on a stock price of $40.76 per share of Common Stock on January 29, 2021.</w:t>
      </w:r>
    </w:p>
    <w:p w14:paraId="1856A89C" w14:textId="77777777" w:rsidR="00D1587D" w:rsidRDefault="00D1587D">
      <w:pPr>
        <w:spacing w:line="178" w:lineRule="exact"/>
        <w:rPr>
          <w:sz w:val="20"/>
          <w:szCs w:val="20"/>
        </w:rPr>
      </w:pPr>
    </w:p>
    <w:p w14:paraId="4F8F370C" w14:textId="77777777" w:rsidR="00D1587D" w:rsidRDefault="00410D07">
      <w:pPr>
        <w:jc w:val="center"/>
        <w:rPr>
          <w:sz w:val="20"/>
          <w:szCs w:val="20"/>
        </w:rPr>
      </w:pPr>
      <w:r>
        <w:rPr>
          <w:rFonts w:ascii="Arial" w:eastAsia="Arial" w:hAnsi="Arial" w:cs="Arial"/>
          <w:sz w:val="18"/>
          <w:szCs w:val="18"/>
        </w:rPr>
        <w:t>121</w:t>
      </w:r>
    </w:p>
    <w:p w14:paraId="443FA10C" w14:textId="77777777" w:rsidR="00D1587D" w:rsidRDefault="00410D07">
      <w:pPr>
        <w:spacing w:line="20" w:lineRule="exact"/>
        <w:rPr>
          <w:sz w:val="20"/>
          <w:szCs w:val="20"/>
        </w:rPr>
      </w:pPr>
      <w:r>
        <w:rPr>
          <w:noProof/>
          <w:sz w:val="20"/>
          <w:szCs w:val="20"/>
        </w:rPr>
        <w:drawing>
          <wp:anchor distT="0" distB="0" distL="114300" distR="114300" simplePos="0" relativeHeight="251912192" behindDoc="1" locked="0" layoutInCell="0" allowOverlap="1" wp14:anchorId="337987E7" wp14:editId="585F78DE">
            <wp:simplePos x="0" y="0"/>
            <wp:positionH relativeFrom="column">
              <wp:posOffset>-636905</wp:posOffset>
            </wp:positionH>
            <wp:positionV relativeFrom="paragraph">
              <wp:posOffset>126365</wp:posOffset>
            </wp:positionV>
            <wp:extent cx="6995160" cy="17145"/>
            <wp:effectExtent l="0" t="0" r="0" b="0"/>
            <wp:wrapNone/>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8123375" w14:textId="77777777" w:rsidR="00D1587D" w:rsidRDefault="00D1587D">
      <w:pPr>
        <w:sectPr w:rsidR="00D1587D">
          <w:pgSz w:w="11900" w:h="16838"/>
          <w:pgMar w:top="265" w:right="1440" w:bottom="1440" w:left="1440" w:header="0" w:footer="0" w:gutter="0"/>
          <w:cols w:space="720" w:equalWidth="0">
            <w:col w:w="9019"/>
          </w:cols>
        </w:sectPr>
      </w:pPr>
    </w:p>
    <w:bookmarkStart w:id="379" w:name="page380"/>
    <w:bookmarkEnd w:id="379"/>
    <w:p w14:paraId="4D4CF12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BCB9931" w14:textId="77777777" w:rsidR="00D1587D" w:rsidRDefault="00D1587D">
      <w:pPr>
        <w:spacing w:line="127" w:lineRule="exact"/>
        <w:rPr>
          <w:sz w:val="20"/>
          <w:szCs w:val="20"/>
        </w:rPr>
      </w:pPr>
    </w:p>
    <w:p w14:paraId="6CC0BF98" w14:textId="77777777" w:rsidR="00D1587D" w:rsidRDefault="00410D07">
      <w:pPr>
        <w:ind w:left="300"/>
        <w:rPr>
          <w:sz w:val="20"/>
          <w:szCs w:val="20"/>
        </w:rPr>
      </w:pPr>
      <w:r>
        <w:rPr>
          <w:rFonts w:ascii="Arial" w:eastAsia="Arial" w:hAnsi="Arial" w:cs="Arial"/>
          <w:b/>
          <w:bCs/>
          <w:sz w:val="18"/>
          <w:szCs w:val="18"/>
        </w:rPr>
        <w:t>Estimated Post-Employment Payments and Benefits</w:t>
      </w:r>
    </w:p>
    <w:p w14:paraId="39831F68" w14:textId="77777777" w:rsidR="00D1587D" w:rsidRDefault="00D1587D">
      <w:pPr>
        <w:spacing w:line="121" w:lineRule="exact"/>
        <w:rPr>
          <w:sz w:val="20"/>
          <w:szCs w:val="20"/>
        </w:rPr>
      </w:pPr>
    </w:p>
    <w:p w14:paraId="7658B5EA" w14:textId="77777777" w:rsidR="00D1587D" w:rsidRDefault="00410D07">
      <w:pPr>
        <w:spacing w:line="255" w:lineRule="auto"/>
        <w:ind w:left="300" w:right="499" w:firstLine="360"/>
        <w:rPr>
          <w:sz w:val="20"/>
          <w:szCs w:val="20"/>
        </w:rPr>
      </w:pPr>
      <w:r>
        <w:rPr>
          <w:rFonts w:ascii="Arial" w:eastAsia="Arial" w:hAnsi="Arial" w:cs="Arial"/>
          <w:sz w:val="18"/>
          <w:szCs w:val="18"/>
        </w:rPr>
        <w:t>LB has entered into certain agreements with Messrs. Waters, Unis and Burgdoerfer that will require LB to provide compensation in the event of a qualifying termi</w:t>
      </w:r>
      <w:r>
        <w:rPr>
          <w:rFonts w:ascii="Arial" w:eastAsia="Arial" w:hAnsi="Arial" w:cs="Arial"/>
          <w:sz w:val="18"/>
          <w:szCs w:val="18"/>
        </w:rPr>
        <w:t xml:space="preserve">nation of employment, including a termination following a change in control of LB. In addition, participants in the LB 2015 Plan and the LB 2020 Plan receive accelerated vesting of equity awards upon a “change in control” in the event of the participant’s </w:t>
      </w:r>
      <w:r>
        <w:rPr>
          <w:rFonts w:ascii="Arial" w:eastAsia="Arial" w:hAnsi="Arial" w:cs="Arial"/>
          <w:sz w:val="18"/>
          <w:szCs w:val="18"/>
        </w:rPr>
        <w:t>termination of employment (other than for “cause”) within 24 months of the change in control (commonly referred to as “double-trigger” vesting).</w:t>
      </w:r>
    </w:p>
    <w:p w14:paraId="4447C9BE" w14:textId="77777777" w:rsidR="00D1587D" w:rsidRDefault="00D1587D">
      <w:pPr>
        <w:spacing w:line="84" w:lineRule="exact"/>
        <w:rPr>
          <w:sz w:val="20"/>
          <w:szCs w:val="20"/>
        </w:rPr>
      </w:pPr>
    </w:p>
    <w:p w14:paraId="1113620E" w14:textId="77777777" w:rsidR="00D1587D" w:rsidRDefault="00410D07">
      <w:pPr>
        <w:spacing w:line="342" w:lineRule="auto"/>
        <w:ind w:left="300" w:right="899" w:firstLine="360"/>
        <w:rPr>
          <w:sz w:val="20"/>
          <w:szCs w:val="20"/>
        </w:rPr>
      </w:pPr>
      <w:r>
        <w:rPr>
          <w:rFonts w:ascii="Arial" w:eastAsia="Arial" w:hAnsi="Arial" w:cs="Arial"/>
          <w:sz w:val="16"/>
          <w:szCs w:val="16"/>
        </w:rPr>
        <w:t>However, the LB HCC Committee retains discretion to provide, and in the past has provided, additional benefits</w:t>
      </w:r>
      <w:r>
        <w:rPr>
          <w:rFonts w:ascii="Arial" w:eastAsia="Arial" w:hAnsi="Arial" w:cs="Arial"/>
          <w:sz w:val="16"/>
          <w:szCs w:val="16"/>
        </w:rPr>
        <w:t xml:space="preserve"> to NEOs upon termination or resignation if it determines the circumstances so warrant.</w:t>
      </w:r>
    </w:p>
    <w:p w14:paraId="2FA5795F" w14:textId="77777777" w:rsidR="00D1587D" w:rsidRDefault="00D1587D">
      <w:pPr>
        <w:spacing w:line="16" w:lineRule="exact"/>
        <w:rPr>
          <w:sz w:val="20"/>
          <w:szCs w:val="20"/>
        </w:rPr>
      </w:pPr>
    </w:p>
    <w:p w14:paraId="7A2DF385" w14:textId="77777777" w:rsidR="00D1587D" w:rsidRDefault="00410D07">
      <w:pPr>
        <w:spacing w:line="301" w:lineRule="auto"/>
        <w:ind w:left="300" w:right="379" w:firstLine="360"/>
        <w:rPr>
          <w:sz w:val="20"/>
          <w:szCs w:val="20"/>
        </w:rPr>
      </w:pPr>
      <w:r>
        <w:rPr>
          <w:rFonts w:ascii="Arial" w:eastAsia="Arial" w:hAnsi="Arial" w:cs="Arial"/>
          <w:sz w:val="16"/>
          <w:szCs w:val="16"/>
        </w:rPr>
        <w:t xml:space="preserve">The following tables set forth the expected benefits that would be received by each of the NEOs in the event of termination resulting from various scenarios, assuming </w:t>
      </w:r>
      <w:r>
        <w:rPr>
          <w:rFonts w:ascii="Arial" w:eastAsia="Arial" w:hAnsi="Arial" w:cs="Arial"/>
          <w:sz w:val="16"/>
          <w:szCs w:val="16"/>
        </w:rPr>
        <w:t>a termination date of January 30, 2021 and a stock price of $40.76, the price of LB’s Common Stock on January 29, 2021. Each scenario relates to the single termination event described and amounts are not cumulative in situations where multiple scenarios ma</w:t>
      </w:r>
      <w:r>
        <w:rPr>
          <w:rFonts w:ascii="Arial" w:eastAsia="Arial" w:hAnsi="Arial" w:cs="Arial"/>
          <w:sz w:val="16"/>
          <w:szCs w:val="16"/>
        </w:rPr>
        <w:t>y apply.</w:t>
      </w:r>
    </w:p>
    <w:p w14:paraId="4FE4367E" w14:textId="77777777" w:rsidR="00D1587D" w:rsidRDefault="00D1587D">
      <w:pPr>
        <w:spacing w:line="49" w:lineRule="exact"/>
        <w:rPr>
          <w:sz w:val="20"/>
          <w:szCs w:val="20"/>
        </w:rPr>
      </w:pPr>
    </w:p>
    <w:p w14:paraId="010B5F50" w14:textId="77777777" w:rsidR="00D1587D" w:rsidRDefault="00410D07">
      <w:pPr>
        <w:spacing w:line="330" w:lineRule="auto"/>
        <w:ind w:left="300" w:right="679" w:firstLine="360"/>
        <w:rPr>
          <w:sz w:val="20"/>
          <w:szCs w:val="20"/>
        </w:rPr>
      </w:pPr>
      <w:r>
        <w:rPr>
          <w:rFonts w:ascii="Arial" w:eastAsia="Arial" w:hAnsi="Arial" w:cs="Arial"/>
          <w:sz w:val="16"/>
          <w:szCs w:val="16"/>
        </w:rPr>
        <w:t>The tables below do not include the payment of the aggregate balance of the NEO’s non-qualified deferred compensation that is disclosed in the Non-qualified Deferred Compensation for Fiscal 2020 table above.</w:t>
      </w:r>
      <w:r>
        <w:rPr>
          <w:rFonts w:ascii="Arial" w:eastAsia="Arial" w:hAnsi="Arial" w:cs="Arial"/>
          <w:sz w:val="26"/>
          <w:szCs w:val="26"/>
          <w:vertAlign w:val="superscript"/>
        </w:rPr>
        <w:t>(1)(2)</w:t>
      </w:r>
    </w:p>
    <w:p w14:paraId="2C5423E1" w14:textId="77777777" w:rsidR="00D1587D" w:rsidRDefault="00D1587D">
      <w:pPr>
        <w:spacing w:line="132" w:lineRule="exact"/>
        <w:rPr>
          <w:sz w:val="20"/>
          <w:szCs w:val="20"/>
        </w:rPr>
      </w:pPr>
    </w:p>
    <w:p w14:paraId="32F141D6" w14:textId="77777777" w:rsidR="00D1587D" w:rsidRDefault="00410D07">
      <w:pPr>
        <w:ind w:left="300"/>
        <w:rPr>
          <w:sz w:val="20"/>
          <w:szCs w:val="20"/>
        </w:rPr>
      </w:pPr>
      <w:r>
        <w:rPr>
          <w:rFonts w:ascii="Arial" w:eastAsia="Arial" w:hAnsi="Arial" w:cs="Arial"/>
          <w:b/>
          <w:bCs/>
          <w:i/>
          <w:iCs/>
          <w:sz w:val="18"/>
          <w:szCs w:val="18"/>
        </w:rPr>
        <w:t>Martin Waters</w:t>
      </w:r>
    </w:p>
    <w:p w14:paraId="6C777E93" w14:textId="77777777" w:rsidR="00D1587D" w:rsidRDefault="00D1587D">
      <w:pPr>
        <w:spacing w:line="16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260"/>
        <w:gridCol w:w="100"/>
        <w:gridCol w:w="200"/>
        <w:gridCol w:w="600"/>
        <w:gridCol w:w="100"/>
        <w:gridCol w:w="80"/>
        <w:gridCol w:w="100"/>
        <w:gridCol w:w="900"/>
        <w:gridCol w:w="180"/>
        <w:gridCol w:w="940"/>
        <w:gridCol w:w="180"/>
        <w:gridCol w:w="160"/>
        <w:gridCol w:w="660"/>
        <w:gridCol w:w="180"/>
        <w:gridCol w:w="100"/>
        <w:gridCol w:w="720"/>
        <w:gridCol w:w="180"/>
        <w:gridCol w:w="300"/>
        <w:gridCol w:w="480"/>
        <w:gridCol w:w="20"/>
      </w:tblGrid>
      <w:tr w:rsidR="00D1587D" w14:paraId="683E47F7" w14:textId="77777777">
        <w:trPr>
          <w:trHeight w:val="161"/>
        </w:trPr>
        <w:tc>
          <w:tcPr>
            <w:tcW w:w="2260" w:type="dxa"/>
            <w:vAlign w:val="bottom"/>
          </w:tcPr>
          <w:p w14:paraId="3F3FCF11" w14:textId="77777777" w:rsidR="00D1587D" w:rsidRDefault="00D1587D">
            <w:pPr>
              <w:rPr>
                <w:sz w:val="14"/>
                <w:szCs w:val="14"/>
              </w:rPr>
            </w:pPr>
          </w:p>
        </w:tc>
        <w:tc>
          <w:tcPr>
            <w:tcW w:w="100" w:type="dxa"/>
            <w:vAlign w:val="bottom"/>
          </w:tcPr>
          <w:p w14:paraId="0DF79293" w14:textId="77777777" w:rsidR="00D1587D" w:rsidRDefault="00D1587D">
            <w:pPr>
              <w:rPr>
                <w:sz w:val="14"/>
                <w:szCs w:val="14"/>
              </w:rPr>
            </w:pPr>
          </w:p>
        </w:tc>
        <w:tc>
          <w:tcPr>
            <w:tcW w:w="2160" w:type="dxa"/>
            <w:gridSpan w:val="7"/>
            <w:vAlign w:val="bottom"/>
          </w:tcPr>
          <w:p w14:paraId="6DBECB3F" w14:textId="77777777" w:rsidR="00D1587D" w:rsidRDefault="00410D07">
            <w:pPr>
              <w:ind w:right="260"/>
              <w:jc w:val="right"/>
              <w:rPr>
                <w:sz w:val="20"/>
                <w:szCs w:val="20"/>
              </w:rPr>
            </w:pPr>
            <w:r>
              <w:rPr>
                <w:rFonts w:ascii="Arial" w:eastAsia="Arial" w:hAnsi="Arial" w:cs="Arial"/>
                <w:b/>
                <w:bCs/>
                <w:w w:val="96"/>
                <w:sz w:val="14"/>
                <w:szCs w:val="14"/>
              </w:rPr>
              <w:t>Involuntary Without Cause or</w:t>
            </w:r>
          </w:p>
        </w:tc>
        <w:tc>
          <w:tcPr>
            <w:tcW w:w="940" w:type="dxa"/>
            <w:vAlign w:val="bottom"/>
          </w:tcPr>
          <w:p w14:paraId="4B88126B" w14:textId="77777777" w:rsidR="00D1587D" w:rsidRDefault="00410D07">
            <w:pPr>
              <w:jc w:val="center"/>
              <w:rPr>
                <w:sz w:val="20"/>
                <w:szCs w:val="20"/>
              </w:rPr>
            </w:pPr>
            <w:r>
              <w:rPr>
                <w:rFonts w:ascii="Arial" w:eastAsia="Arial" w:hAnsi="Arial" w:cs="Arial"/>
                <w:b/>
                <w:bCs/>
                <w:w w:val="98"/>
                <w:sz w:val="14"/>
                <w:szCs w:val="14"/>
              </w:rPr>
              <w:t>Involuntary</w:t>
            </w:r>
          </w:p>
        </w:tc>
        <w:tc>
          <w:tcPr>
            <w:tcW w:w="180" w:type="dxa"/>
            <w:vAlign w:val="bottom"/>
          </w:tcPr>
          <w:p w14:paraId="3E376751" w14:textId="77777777" w:rsidR="00D1587D" w:rsidRDefault="00D1587D">
            <w:pPr>
              <w:rPr>
                <w:sz w:val="14"/>
                <w:szCs w:val="14"/>
              </w:rPr>
            </w:pPr>
          </w:p>
        </w:tc>
        <w:tc>
          <w:tcPr>
            <w:tcW w:w="160" w:type="dxa"/>
            <w:vAlign w:val="bottom"/>
          </w:tcPr>
          <w:p w14:paraId="6E835D19" w14:textId="77777777" w:rsidR="00D1587D" w:rsidRDefault="00D1587D">
            <w:pPr>
              <w:rPr>
                <w:sz w:val="14"/>
                <w:szCs w:val="14"/>
              </w:rPr>
            </w:pPr>
          </w:p>
        </w:tc>
        <w:tc>
          <w:tcPr>
            <w:tcW w:w="660" w:type="dxa"/>
            <w:vAlign w:val="bottom"/>
          </w:tcPr>
          <w:p w14:paraId="40977DA5" w14:textId="77777777" w:rsidR="00D1587D" w:rsidRDefault="00D1587D">
            <w:pPr>
              <w:rPr>
                <w:sz w:val="14"/>
                <w:szCs w:val="14"/>
              </w:rPr>
            </w:pPr>
          </w:p>
        </w:tc>
        <w:tc>
          <w:tcPr>
            <w:tcW w:w="180" w:type="dxa"/>
            <w:vAlign w:val="bottom"/>
          </w:tcPr>
          <w:p w14:paraId="0EBBFCA2" w14:textId="77777777" w:rsidR="00D1587D" w:rsidRDefault="00D1587D">
            <w:pPr>
              <w:rPr>
                <w:sz w:val="14"/>
                <w:szCs w:val="14"/>
              </w:rPr>
            </w:pPr>
          </w:p>
        </w:tc>
        <w:tc>
          <w:tcPr>
            <w:tcW w:w="100" w:type="dxa"/>
            <w:vAlign w:val="bottom"/>
          </w:tcPr>
          <w:p w14:paraId="5CD79696" w14:textId="77777777" w:rsidR="00D1587D" w:rsidRDefault="00D1587D">
            <w:pPr>
              <w:rPr>
                <w:sz w:val="14"/>
                <w:szCs w:val="14"/>
              </w:rPr>
            </w:pPr>
          </w:p>
        </w:tc>
        <w:tc>
          <w:tcPr>
            <w:tcW w:w="720" w:type="dxa"/>
            <w:vAlign w:val="bottom"/>
          </w:tcPr>
          <w:p w14:paraId="55B8DA1F" w14:textId="77777777" w:rsidR="00D1587D" w:rsidRDefault="00D1587D">
            <w:pPr>
              <w:rPr>
                <w:sz w:val="14"/>
                <w:szCs w:val="14"/>
              </w:rPr>
            </w:pPr>
          </w:p>
        </w:tc>
        <w:tc>
          <w:tcPr>
            <w:tcW w:w="180" w:type="dxa"/>
            <w:vAlign w:val="bottom"/>
          </w:tcPr>
          <w:p w14:paraId="2F94CB1A" w14:textId="77777777" w:rsidR="00D1587D" w:rsidRDefault="00D1587D">
            <w:pPr>
              <w:rPr>
                <w:sz w:val="14"/>
                <w:szCs w:val="14"/>
              </w:rPr>
            </w:pPr>
          </w:p>
        </w:tc>
        <w:tc>
          <w:tcPr>
            <w:tcW w:w="300" w:type="dxa"/>
            <w:vAlign w:val="bottom"/>
          </w:tcPr>
          <w:p w14:paraId="7A40773D" w14:textId="77777777" w:rsidR="00D1587D" w:rsidRDefault="00D1587D">
            <w:pPr>
              <w:rPr>
                <w:sz w:val="14"/>
                <w:szCs w:val="14"/>
              </w:rPr>
            </w:pPr>
          </w:p>
        </w:tc>
        <w:tc>
          <w:tcPr>
            <w:tcW w:w="480" w:type="dxa"/>
            <w:vAlign w:val="bottom"/>
          </w:tcPr>
          <w:p w14:paraId="162B545A" w14:textId="77777777" w:rsidR="00D1587D" w:rsidRDefault="00D1587D">
            <w:pPr>
              <w:rPr>
                <w:sz w:val="14"/>
                <w:szCs w:val="14"/>
              </w:rPr>
            </w:pPr>
          </w:p>
        </w:tc>
        <w:tc>
          <w:tcPr>
            <w:tcW w:w="0" w:type="dxa"/>
            <w:vAlign w:val="bottom"/>
          </w:tcPr>
          <w:p w14:paraId="174FB779" w14:textId="77777777" w:rsidR="00D1587D" w:rsidRDefault="00D1587D">
            <w:pPr>
              <w:rPr>
                <w:sz w:val="1"/>
                <w:szCs w:val="1"/>
              </w:rPr>
            </w:pPr>
          </w:p>
        </w:tc>
      </w:tr>
      <w:tr w:rsidR="00D1587D" w14:paraId="21C73D5B" w14:textId="77777777">
        <w:trPr>
          <w:trHeight w:val="148"/>
        </w:trPr>
        <w:tc>
          <w:tcPr>
            <w:tcW w:w="2260" w:type="dxa"/>
            <w:vAlign w:val="bottom"/>
          </w:tcPr>
          <w:p w14:paraId="385BB29C" w14:textId="77777777" w:rsidR="00D1587D" w:rsidRDefault="00D1587D">
            <w:pPr>
              <w:rPr>
                <w:sz w:val="12"/>
                <w:szCs w:val="12"/>
              </w:rPr>
            </w:pPr>
          </w:p>
        </w:tc>
        <w:tc>
          <w:tcPr>
            <w:tcW w:w="100" w:type="dxa"/>
            <w:vAlign w:val="bottom"/>
          </w:tcPr>
          <w:p w14:paraId="30DFE962" w14:textId="77777777" w:rsidR="00D1587D" w:rsidRDefault="00D1587D">
            <w:pPr>
              <w:rPr>
                <w:sz w:val="12"/>
                <w:szCs w:val="12"/>
              </w:rPr>
            </w:pPr>
          </w:p>
        </w:tc>
        <w:tc>
          <w:tcPr>
            <w:tcW w:w="2160" w:type="dxa"/>
            <w:gridSpan w:val="7"/>
            <w:vAlign w:val="bottom"/>
          </w:tcPr>
          <w:p w14:paraId="19091EDC" w14:textId="77777777" w:rsidR="00D1587D" w:rsidRDefault="00410D07">
            <w:pPr>
              <w:spacing w:line="149" w:lineRule="exact"/>
              <w:ind w:right="260"/>
              <w:jc w:val="right"/>
              <w:rPr>
                <w:sz w:val="20"/>
                <w:szCs w:val="20"/>
              </w:rPr>
            </w:pPr>
            <w:r>
              <w:rPr>
                <w:rFonts w:ascii="Arial" w:eastAsia="Arial" w:hAnsi="Arial" w:cs="Arial"/>
                <w:b/>
                <w:bCs/>
                <w:w w:val="97"/>
                <w:sz w:val="14"/>
                <w:szCs w:val="14"/>
              </w:rPr>
              <w:t>Voluntary With Good Reason</w:t>
            </w:r>
          </w:p>
        </w:tc>
        <w:tc>
          <w:tcPr>
            <w:tcW w:w="940" w:type="dxa"/>
            <w:vAlign w:val="bottom"/>
          </w:tcPr>
          <w:p w14:paraId="0DF191A0" w14:textId="77777777" w:rsidR="00D1587D" w:rsidRDefault="00410D07">
            <w:pPr>
              <w:spacing w:line="149" w:lineRule="exact"/>
              <w:jc w:val="center"/>
              <w:rPr>
                <w:sz w:val="20"/>
                <w:szCs w:val="20"/>
              </w:rPr>
            </w:pPr>
            <w:r>
              <w:rPr>
                <w:rFonts w:ascii="Arial" w:eastAsia="Arial" w:hAnsi="Arial" w:cs="Arial"/>
                <w:b/>
                <w:bCs/>
                <w:w w:val="93"/>
                <w:sz w:val="14"/>
                <w:szCs w:val="14"/>
              </w:rPr>
              <w:t>Without Cause</w:t>
            </w:r>
          </w:p>
        </w:tc>
        <w:tc>
          <w:tcPr>
            <w:tcW w:w="180" w:type="dxa"/>
            <w:vAlign w:val="bottom"/>
          </w:tcPr>
          <w:p w14:paraId="076C6758" w14:textId="77777777" w:rsidR="00D1587D" w:rsidRDefault="00D1587D">
            <w:pPr>
              <w:rPr>
                <w:sz w:val="12"/>
                <w:szCs w:val="12"/>
              </w:rPr>
            </w:pPr>
          </w:p>
        </w:tc>
        <w:tc>
          <w:tcPr>
            <w:tcW w:w="160" w:type="dxa"/>
            <w:vAlign w:val="bottom"/>
          </w:tcPr>
          <w:p w14:paraId="64C541A1" w14:textId="77777777" w:rsidR="00D1587D" w:rsidRDefault="00D1587D">
            <w:pPr>
              <w:rPr>
                <w:sz w:val="12"/>
                <w:szCs w:val="12"/>
              </w:rPr>
            </w:pPr>
          </w:p>
        </w:tc>
        <w:tc>
          <w:tcPr>
            <w:tcW w:w="660" w:type="dxa"/>
            <w:vAlign w:val="bottom"/>
          </w:tcPr>
          <w:p w14:paraId="7E73B332" w14:textId="77777777" w:rsidR="00D1587D" w:rsidRDefault="00D1587D">
            <w:pPr>
              <w:rPr>
                <w:sz w:val="12"/>
                <w:szCs w:val="12"/>
              </w:rPr>
            </w:pPr>
          </w:p>
        </w:tc>
        <w:tc>
          <w:tcPr>
            <w:tcW w:w="180" w:type="dxa"/>
            <w:vAlign w:val="bottom"/>
          </w:tcPr>
          <w:p w14:paraId="37AE9314" w14:textId="77777777" w:rsidR="00D1587D" w:rsidRDefault="00D1587D">
            <w:pPr>
              <w:rPr>
                <w:sz w:val="12"/>
                <w:szCs w:val="12"/>
              </w:rPr>
            </w:pPr>
          </w:p>
        </w:tc>
        <w:tc>
          <w:tcPr>
            <w:tcW w:w="100" w:type="dxa"/>
            <w:vAlign w:val="bottom"/>
          </w:tcPr>
          <w:p w14:paraId="3F4D414E" w14:textId="77777777" w:rsidR="00D1587D" w:rsidRDefault="00D1587D">
            <w:pPr>
              <w:rPr>
                <w:sz w:val="12"/>
                <w:szCs w:val="12"/>
              </w:rPr>
            </w:pPr>
          </w:p>
        </w:tc>
        <w:tc>
          <w:tcPr>
            <w:tcW w:w="720" w:type="dxa"/>
            <w:vAlign w:val="bottom"/>
          </w:tcPr>
          <w:p w14:paraId="11CF1B6A" w14:textId="77777777" w:rsidR="00D1587D" w:rsidRDefault="00D1587D">
            <w:pPr>
              <w:rPr>
                <w:sz w:val="12"/>
                <w:szCs w:val="12"/>
              </w:rPr>
            </w:pPr>
          </w:p>
        </w:tc>
        <w:tc>
          <w:tcPr>
            <w:tcW w:w="180" w:type="dxa"/>
            <w:vAlign w:val="bottom"/>
          </w:tcPr>
          <w:p w14:paraId="515B6F53" w14:textId="77777777" w:rsidR="00D1587D" w:rsidRDefault="00D1587D">
            <w:pPr>
              <w:rPr>
                <w:sz w:val="12"/>
                <w:szCs w:val="12"/>
              </w:rPr>
            </w:pPr>
          </w:p>
        </w:tc>
        <w:tc>
          <w:tcPr>
            <w:tcW w:w="300" w:type="dxa"/>
            <w:vAlign w:val="bottom"/>
          </w:tcPr>
          <w:p w14:paraId="3BCA975F" w14:textId="77777777" w:rsidR="00D1587D" w:rsidRDefault="00D1587D">
            <w:pPr>
              <w:rPr>
                <w:sz w:val="12"/>
                <w:szCs w:val="12"/>
              </w:rPr>
            </w:pPr>
          </w:p>
        </w:tc>
        <w:tc>
          <w:tcPr>
            <w:tcW w:w="480" w:type="dxa"/>
            <w:vAlign w:val="bottom"/>
          </w:tcPr>
          <w:p w14:paraId="661DF7A5" w14:textId="77777777" w:rsidR="00D1587D" w:rsidRDefault="00D1587D">
            <w:pPr>
              <w:rPr>
                <w:sz w:val="12"/>
                <w:szCs w:val="12"/>
              </w:rPr>
            </w:pPr>
          </w:p>
        </w:tc>
        <w:tc>
          <w:tcPr>
            <w:tcW w:w="0" w:type="dxa"/>
            <w:vAlign w:val="bottom"/>
          </w:tcPr>
          <w:p w14:paraId="26B25081" w14:textId="77777777" w:rsidR="00D1587D" w:rsidRDefault="00D1587D">
            <w:pPr>
              <w:rPr>
                <w:sz w:val="1"/>
                <w:szCs w:val="1"/>
              </w:rPr>
            </w:pPr>
          </w:p>
        </w:tc>
      </w:tr>
      <w:tr w:rsidR="00D1587D" w14:paraId="0A52DDB2" w14:textId="77777777">
        <w:trPr>
          <w:trHeight w:val="90"/>
        </w:trPr>
        <w:tc>
          <w:tcPr>
            <w:tcW w:w="2260" w:type="dxa"/>
            <w:vAlign w:val="bottom"/>
          </w:tcPr>
          <w:p w14:paraId="73899363" w14:textId="77777777" w:rsidR="00D1587D" w:rsidRDefault="00D1587D">
            <w:pPr>
              <w:rPr>
                <w:sz w:val="7"/>
                <w:szCs w:val="7"/>
              </w:rPr>
            </w:pPr>
          </w:p>
        </w:tc>
        <w:tc>
          <w:tcPr>
            <w:tcW w:w="100" w:type="dxa"/>
            <w:vAlign w:val="bottom"/>
          </w:tcPr>
          <w:p w14:paraId="7FE83A2B" w14:textId="77777777" w:rsidR="00D1587D" w:rsidRDefault="00D1587D">
            <w:pPr>
              <w:rPr>
                <w:sz w:val="7"/>
                <w:szCs w:val="7"/>
              </w:rPr>
            </w:pPr>
          </w:p>
        </w:tc>
        <w:tc>
          <w:tcPr>
            <w:tcW w:w="200" w:type="dxa"/>
            <w:tcBorders>
              <w:bottom w:val="single" w:sz="8" w:space="0" w:color="auto"/>
            </w:tcBorders>
            <w:vAlign w:val="bottom"/>
          </w:tcPr>
          <w:p w14:paraId="0B0C718B" w14:textId="77777777" w:rsidR="00D1587D" w:rsidRDefault="00D1587D">
            <w:pPr>
              <w:rPr>
                <w:sz w:val="7"/>
                <w:szCs w:val="7"/>
              </w:rPr>
            </w:pPr>
          </w:p>
        </w:tc>
        <w:tc>
          <w:tcPr>
            <w:tcW w:w="600" w:type="dxa"/>
            <w:tcBorders>
              <w:bottom w:val="single" w:sz="8" w:space="0" w:color="auto"/>
            </w:tcBorders>
            <w:vAlign w:val="bottom"/>
          </w:tcPr>
          <w:p w14:paraId="776CA6F4" w14:textId="77777777" w:rsidR="00D1587D" w:rsidRDefault="00D1587D">
            <w:pPr>
              <w:rPr>
                <w:sz w:val="7"/>
                <w:szCs w:val="7"/>
              </w:rPr>
            </w:pPr>
          </w:p>
        </w:tc>
        <w:tc>
          <w:tcPr>
            <w:tcW w:w="100" w:type="dxa"/>
            <w:tcBorders>
              <w:bottom w:val="single" w:sz="8" w:space="0" w:color="auto"/>
            </w:tcBorders>
            <w:vAlign w:val="bottom"/>
          </w:tcPr>
          <w:p w14:paraId="1E4DC718" w14:textId="77777777" w:rsidR="00D1587D" w:rsidRDefault="00D1587D">
            <w:pPr>
              <w:rPr>
                <w:sz w:val="7"/>
                <w:szCs w:val="7"/>
              </w:rPr>
            </w:pPr>
          </w:p>
        </w:tc>
        <w:tc>
          <w:tcPr>
            <w:tcW w:w="80" w:type="dxa"/>
            <w:tcBorders>
              <w:bottom w:val="single" w:sz="8" w:space="0" w:color="auto"/>
            </w:tcBorders>
            <w:vAlign w:val="bottom"/>
          </w:tcPr>
          <w:p w14:paraId="28DB9F4A" w14:textId="77777777" w:rsidR="00D1587D" w:rsidRDefault="00D1587D">
            <w:pPr>
              <w:rPr>
                <w:sz w:val="7"/>
                <w:szCs w:val="7"/>
              </w:rPr>
            </w:pPr>
          </w:p>
        </w:tc>
        <w:tc>
          <w:tcPr>
            <w:tcW w:w="100" w:type="dxa"/>
            <w:tcBorders>
              <w:bottom w:val="single" w:sz="8" w:space="0" w:color="auto"/>
            </w:tcBorders>
            <w:vAlign w:val="bottom"/>
          </w:tcPr>
          <w:p w14:paraId="0C7A9CDF" w14:textId="77777777" w:rsidR="00D1587D" w:rsidRDefault="00D1587D">
            <w:pPr>
              <w:rPr>
                <w:sz w:val="7"/>
                <w:szCs w:val="7"/>
              </w:rPr>
            </w:pPr>
          </w:p>
        </w:tc>
        <w:tc>
          <w:tcPr>
            <w:tcW w:w="900" w:type="dxa"/>
            <w:tcBorders>
              <w:bottom w:val="single" w:sz="8" w:space="0" w:color="auto"/>
            </w:tcBorders>
            <w:vAlign w:val="bottom"/>
          </w:tcPr>
          <w:p w14:paraId="56E0D952" w14:textId="77777777" w:rsidR="00D1587D" w:rsidRDefault="00D1587D">
            <w:pPr>
              <w:rPr>
                <w:sz w:val="7"/>
                <w:szCs w:val="7"/>
              </w:rPr>
            </w:pPr>
          </w:p>
        </w:tc>
        <w:tc>
          <w:tcPr>
            <w:tcW w:w="180" w:type="dxa"/>
            <w:vAlign w:val="bottom"/>
          </w:tcPr>
          <w:p w14:paraId="0AFE157B" w14:textId="77777777" w:rsidR="00D1587D" w:rsidRDefault="00D1587D">
            <w:pPr>
              <w:rPr>
                <w:sz w:val="7"/>
                <w:szCs w:val="7"/>
              </w:rPr>
            </w:pPr>
          </w:p>
        </w:tc>
        <w:tc>
          <w:tcPr>
            <w:tcW w:w="940" w:type="dxa"/>
            <w:vMerge w:val="restart"/>
            <w:vAlign w:val="bottom"/>
          </w:tcPr>
          <w:p w14:paraId="508AB85E" w14:textId="77777777" w:rsidR="00D1587D" w:rsidRDefault="00410D07">
            <w:pPr>
              <w:spacing w:line="149" w:lineRule="exact"/>
              <w:jc w:val="center"/>
              <w:rPr>
                <w:sz w:val="20"/>
                <w:szCs w:val="20"/>
              </w:rPr>
            </w:pPr>
            <w:r>
              <w:rPr>
                <w:rFonts w:ascii="Arial" w:eastAsia="Arial" w:hAnsi="Arial" w:cs="Arial"/>
                <w:b/>
                <w:bCs/>
                <w:w w:val="91"/>
                <w:sz w:val="14"/>
                <w:szCs w:val="14"/>
              </w:rPr>
              <w:t>following</w:t>
            </w:r>
          </w:p>
        </w:tc>
        <w:tc>
          <w:tcPr>
            <w:tcW w:w="180" w:type="dxa"/>
            <w:vAlign w:val="bottom"/>
          </w:tcPr>
          <w:p w14:paraId="74CFE030" w14:textId="77777777" w:rsidR="00D1587D" w:rsidRDefault="00D1587D">
            <w:pPr>
              <w:rPr>
                <w:sz w:val="7"/>
                <w:szCs w:val="7"/>
              </w:rPr>
            </w:pPr>
          </w:p>
        </w:tc>
        <w:tc>
          <w:tcPr>
            <w:tcW w:w="160" w:type="dxa"/>
            <w:vAlign w:val="bottom"/>
          </w:tcPr>
          <w:p w14:paraId="65D87CCF" w14:textId="77777777" w:rsidR="00D1587D" w:rsidRDefault="00D1587D">
            <w:pPr>
              <w:rPr>
                <w:sz w:val="7"/>
                <w:szCs w:val="7"/>
              </w:rPr>
            </w:pPr>
          </w:p>
        </w:tc>
        <w:tc>
          <w:tcPr>
            <w:tcW w:w="660" w:type="dxa"/>
            <w:vAlign w:val="bottom"/>
          </w:tcPr>
          <w:p w14:paraId="3D38F647" w14:textId="77777777" w:rsidR="00D1587D" w:rsidRDefault="00D1587D">
            <w:pPr>
              <w:rPr>
                <w:sz w:val="7"/>
                <w:szCs w:val="7"/>
              </w:rPr>
            </w:pPr>
          </w:p>
        </w:tc>
        <w:tc>
          <w:tcPr>
            <w:tcW w:w="180" w:type="dxa"/>
            <w:vAlign w:val="bottom"/>
          </w:tcPr>
          <w:p w14:paraId="4D4CDCE8" w14:textId="77777777" w:rsidR="00D1587D" w:rsidRDefault="00D1587D">
            <w:pPr>
              <w:rPr>
                <w:sz w:val="7"/>
                <w:szCs w:val="7"/>
              </w:rPr>
            </w:pPr>
          </w:p>
        </w:tc>
        <w:tc>
          <w:tcPr>
            <w:tcW w:w="100" w:type="dxa"/>
            <w:vAlign w:val="bottom"/>
          </w:tcPr>
          <w:p w14:paraId="18C38554" w14:textId="77777777" w:rsidR="00D1587D" w:rsidRDefault="00D1587D">
            <w:pPr>
              <w:rPr>
                <w:sz w:val="7"/>
                <w:szCs w:val="7"/>
              </w:rPr>
            </w:pPr>
          </w:p>
        </w:tc>
        <w:tc>
          <w:tcPr>
            <w:tcW w:w="720" w:type="dxa"/>
            <w:vAlign w:val="bottom"/>
          </w:tcPr>
          <w:p w14:paraId="1FDEA136" w14:textId="77777777" w:rsidR="00D1587D" w:rsidRDefault="00D1587D">
            <w:pPr>
              <w:rPr>
                <w:sz w:val="7"/>
                <w:szCs w:val="7"/>
              </w:rPr>
            </w:pPr>
          </w:p>
        </w:tc>
        <w:tc>
          <w:tcPr>
            <w:tcW w:w="180" w:type="dxa"/>
            <w:vAlign w:val="bottom"/>
          </w:tcPr>
          <w:p w14:paraId="3ADB6936" w14:textId="77777777" w:rsidR="00D1587D" w:rsidRDefault="00D1587D">
            <w:pPr>
              <w:rPr>
                <w:sz w:val="7"/>
                <w:szCs w:val="7"/>
              </w:rPr>
            </w:pPr>
          </w:p>
        </w:tc>
        <w:tc>
          <w:tcPr>
            <w:tcW w:w="780" w:type="dxa"/>
            <w:gridSpan w:val="2"/>
            <w:vMerge w:val="restart"/>
            <w:vAlign w:val="bottom"/>
          </w:tcPr>
          <w:p w14:paraId="0E60193B" w14:textId="77777777" w:rsidR="00D1587D" w:rsidRDefault="00410D07">
            <w:pPr>
              <w:spacing w:line="149" w:lineRule="exact"/>
              <w:jc w:val="center"/>
              <w:rPr>
                <w:sz w:val="20"/>
                <w:szCs w:val="20"/>
              </w:rPr>
            </w:pPr>
            <w:r>
              <w:rPr>
                <w:rFonts w:ascii="Arial" w:eastAsia="Arial" w:hAnsi="Arial" w:cs="Arial"/>
                <w:b/>
                <w:bCs/>
                <w:w w:val="95"/>
                <w:sz w:val="14"/>
                <w:szCs w:val="14"/>
              </w:rPr>
              <w:t>Voluntary</w:t>
            </w:r>
          </w:p>
        </w:tc>
        <w:tc>
          <w:tcPr>
            <w:tcW w:w="0" w:type="dxa"/>
            <w:vAlign w:val="bottom"/>
          </w:tcPr>
          <w:p w14:paraId="17B4B365" w14:textId="77777777" w:rsidR="00D1587D" w:rsidRDefault="00D1587D">
            <w:pPr>
              <w:rPr>
                <w:sz w:val="1"/>
                <w:szCs w:val="1"/>
              </w:rPr>
            </w:pPr>
          </w:p>
        </w:tc>
      </w:tr>
      <w:tr w:rsidR="00D1587D" w14:paraId="7894C974" w14:textId="77777777">
        <w:trPr>
          <w:trHeight w:val="38"/>
        </w:trPr>
        <w:tc>
          <w:tcPr>
            <w:tcW w:w="2260" w:type="dxa"/>
            <w:vAlign w:val="bottom"/>
          </w:tcPr>
          <w:p w14:paraId="280FAB64" w14:textId="77777777" w:rsidR="00D1587D" w:rsidRDefault="00D1587D">
            <w:pPr>
              <w:rPr>
                <w:sz w:val="3"/>
                <w:szCs w:val="3"/>
              </w:rPr>
            </w:pPr>
          </w:p>
        </w:tc>
        <w:tc>
          <w:tcPr>
            <w:tcW w:w="100" w:type="dxa"/>
            <w:vAlign w:val="bottom"/>
          </w:tcPr>
          <w:p w14:paraId="7C2ED7DE" w14:textId="77777777" w:rsidR="00D1587D" w:rsidRDefault="00D1587D">
            <w:pPr>
              <w:rPr>
                <w:sz w:val="3"/>
                <w:szCs w:val="3"/>
              </w:rPr>
            </w:pPr>
          </w:p>
        </w:tc>
        <w:tc>
          <w:tcPr>
            <w:tcW w:w="200" w:type="dxa"/>
            <w:vAlign w:val="bottom"/>
          </w:tcPr>
          <w:p w14:paraId="2C1C56DC" w14:textId="77777777" w:rsidR="00D1587D" w:rsidRDefault="00D1587D">
            <w:pPr>
              <w:rPr>
                <w:sz w:val="3"/>
                <w:szCs w:val="3"/>
              </w:rPr>
            </w:pPr>
          </w:p>
        </w:tc>
        <w:tc>
          <w:tcPr>
            <w:tcW w:w="700" w:type="dxa"/>
            <w:gridSpan w:val="2"/>
            <w:vMerge w:val="restart"/>
            <w:vAlign w:val="bottom"/>
          </w:tcPr>
          <w:p w14:paraId="563D0F76" w14:textId="77777777" w:rsidR="00D1587D" w:rsidRDefault="00410D07">
            <w:pPr>
              <w:ind w:right="240"/>
              <w:jc w:val="center"/>
              <w:rPr>
                <w:sz w:val="20"/>
                <w:szCs w:val="20"/>
              </w:rPr>
            </w:pPr>
            <w:r>
              <w:rPr>
                <w:rFonts w:ascii="Arial" w:eastAsia="Arial" w:hAnsi="Arial" w:cs="Arial"/>
                <w:b/>
                <w:bCs/>
                <w:w w:val="92"/>
                <w:sz w:val="14"/>
                <w:szCs w:val="14"/>
              </w:rPr>
              <w:t>w/out</w:t>
            </w:r>
          </w:p>
        </w:tc>
        <w:tc>
          <w:tcPr>
            <w:tcW w:w="80" w:type="dxa"/>
            <w:vAlign w:val="bottom"/>
          </w:tcPr>
          <w:p w14:paraId="7F86FE07" w14:textId="77777777" w:rsidR="00D1587D" w:rsidRDefault="00D1587D">
            <w:pPr>
              <w:rPr>
                <w:sz w:val="3"/>
                <w:szCs w:val="3"/>
              </w:rPr>
            </w:pPr>
          </w:p>
        </w:tc>
        <w:tc>
          <w:tcPr>
            <w:tcW w:w="100" w:type="dxa"/>
            <w:vAlign w:val="bottom"/>
          </w:tcPr>
          <w:p w14:paraId="78CC3C6A" w14:textId="77777777" w:rsidR="00D1587D" w:rsidRDefault="00D1587D">
            <w:pPr>
              <w:rPr>
                <w:sz w:val="3"/>
                <w:szCs w:val="3"/>
              </w:rPr>
            </w:pPr>
          </w:p>
        </w:tc>
        <w:tc>
          <w:tcPr>
            <w:tcW w:w="1080" w:type="dxa"/>
            <w:gridSpan w:val="2"/>
            <w:vMerge w:val="restart"/>
            <w:vAlign w:val="bottom"/>
          </w:tcPr>
          <w:p w14:paraId="4E36A1AC" w14:textId="77777777" w:rsidR="00D1587D" w:rsidRDefault="00410D07">
            <w:pPr>
              <w:ind w:right="220"/>
              <w:jc w:val="center"/>
              <w:rPr>
                <w:sz w:val="20"/>
                <w:szCs w:val="20"/>
              </w:rPr>
            </w:pPr>
            <w:r>
              <w:rPr>
                <w:rFonts w:ascii="Arial" w:eastAsia="Arial" w:hAnsi="Arial" w:cs="Arial"/>
                <w:b/>
                <w:bCs/>
                <w:w w:val="95"/>
                <w:sz w:val="14"/>
                <w:szCs w:val="14"/>
              </w:rPr>
              <w:t>&amp; Signed</w:t>
            </w:r>
          </w:p>
        </w:tc>
        <w:tc>
          <w:tcPr>
            <w:tcW w:w="940" w:type="dxa"/>
            <w:vMerge/>
            <w:vAlign w:val="bottom"/>
          </w:tcPr>
          <w:p w14:paraId="20E5245E" w14:textId="77777777" w:rsidR="00D1587D" w:rsidRDefault="00D1587D">
            <w:pPr>
              <w:rPr>
                <w:sz w:val="3"/>
                <w:szCs w:val="3"/>
              </w:rPr>
            </w:pPr>
          </w:p>
        </w:tc>
        <w:tc>
          <w:tcPr>
            <w:tcW w:w="180" w:type="dxa"/>
            <w:vAlign w:val="bottom"/>
          </w:tcPr>
          <w:p w14:paraId="11B0FEAC" w14:textId="77777777" w:rsidR="00D1587D" w:rsidRDefault="00D1587D">
            <w:pPr>
              <w:rPr>
                <w:sz w:val="3"/>
                <w:szCs w:val="3"/>
              </w:rPr>
            </w:pPr>
          </w:p>
        </w:tc>
        <w:tc>
          <w:tcPr>
            <w:tcW w:w="160" w:type="dxa"/>
            <w:vAlign w:val="bottom"/>
          </w:tcPr>
          <w:p w14:paraId="4E26BBC3" w14:textId="77777777" w:rsidR="00D1587D" w:rsidRDefault="00D1587D">
            <w:pPr>
              <w:rPr>
                <w:sz w:val="3"/>
                <w:szCs w:val="3"/>
              </w:rPr>
            </w:pPr>
          </w:p>
        </w:tc>
        <w:tc>
          <w:tcPr>
            <w:tcW w:w="660" w:type="dxa"/>
            <w:vAlign w:val="bottom"/>
          </w:tcPr>
          <w:p w14:paraId="3EFE1948" w14:textId="77777777" w:rsidR="00D1587D" w:rsidRDefault="00D1587D">
            <w:pPr>
              <w:rPr>
                <w:sz w:val="3"/>
                <w:szCs w:val="3"/>
              </w:rPr>
            </w:pPr>
          </w:p>
        </w:tc>
        <w:tc>
          <w:tcPr>
            <w:tcW w:w="180" w:type="dxa"/>
            <w:vAlign w:val="bottom"/>
          </w:tcPr>
          <w:p w14:paraId="351CB925" w14:textId="77777777" w:rsidR="00D1587D" w:rsidRDefault="00D1587D">
            <w:pPr>
              <w:rPr>
                <w:sz w:val="3"/>
                <w:szCs w:val="3"/>
              </w:rPr>
            </w:pPr>
          </w:p>
        </w:tc>
        <w:tc>
          <w:tcPr>
            <w:tcW w:w="100" w:type="dxa"/>
            <w:vAlign w:val="bottom"/>
          </w:tcPr>
          <w:p w14:paraId="29F7A00D" w14:textId="77777777" w:rsidR="00D1587D" w:rsidRDefault="00D1587D">
            <w:pPr>
              <w:rPr>
                <w:sz w:val="3"/>
                <w:szCs w:val="3"/>
              </w:rPr>
            </w:pPr>
          </w:p>
        </w:tc>
        <w:tc>
          <w:tcPr>
            <w:tcW w:w="720" w:type="dxa"/>
            <w:vAlign w:val="bottom"/>
          </w:tcPr>
          <w:p w14:paraId="1BC3E3DF" w14:textId="77777777" w:rsidR="00D1587D" w:rsidRDefault="00D1587D">
            <w:pPr>
              <w:rPr>
                <w:sz w:val="3"/>
                <w:szCs w:val="3"/>
              </w:rPr>
            </w:pPr>
          </w:p>
        </w:tc>
        <w:tc>
          <w:tcPr>
            <w:tcW w:w="180" w:type="dxa"/>
            <w:vAlign w:val="bottom"/>
          </w:tcPr>
          <w:p w14:paraId="4509B0FC" w14:textId="77777777" w:rsidR="00D1587D" w:rsidRDefault="00D1587D">
            <w:pPr>
              <w:rPr>
                <w:sz w:val="3"/>
                <w:szCs w:val="3"/>
              </w:rPr>
            </w:pPr>
          </w:p>
        </w:tc>
        <w:tc>
          <w:tcPr>
            <w:tcW w:w="780" w:type="dxa"/>
            <w:gridSpan w:val="2"/>
            <w:vMerge/>
            <w:vAlign w:val="bottom"/>
          </w:tcPr>
          <w:p w14:paraId="1FD79E9F" w14:textId="77777777" w:rsidR="00D1587D" w:rsidRDefault="00D1587D">
            <w:pPr>
              <w:rPr>
                <w:sz w:val="3"/>
                <w:szCs w:val="3"/>
              </w:rPr>
            </w:pPr>
          </w:p>
        </w:tc>
        <w:tc>
          <w:tcPr>
            <w:tcW w:w="0" w:type="dxa"/>
            <w:vAlign w:val="bottom"/>
          </w:tcPr>
          <w:p w14:paraId="2DED02E5" w14:textId="77777777" w:rsidR="00D1587D" w:rsidRDefault="00D1587D">
            <w:pPr>
              <w:spacing w:line="20" w:lineRule="exact"/>
              <w:rPr>
                <w:sz w:val="1"/>
                <w:szCs w:val="1"/>
              </w:rPr>
            </w:pPr>
          </w:p>
        </w:tc>
      </w:tr>
      <w:tr w:rsidR="00D1587D" w14:paraId="602F5193" w14:textId="77777777">
        <w:trPr>
          <w:trHeight w:val="148"/>
        </w:trPr>
        <w:tc>
          <w:tcPr>
            <w:tcW w:w="2260" w:type="dxa"/>
            <w:vAlign w:val="bottom"/>
          </w:tcPr>
          <w:p w14:paraId="7F01652B" w14:textId="77777777" w:rsidR="00D1587D" w:rsidRDefault="00D1587D">
            <w:pPr>
              <w:rPr>
                <w:sz w:val="12"/>
                <w:szCs w:val="12"/>
              </w:rPr>
            </w:pPr>
          </w:p>
        </w:tc>
        <w:tc>
          <w:tcPr>
            <w:tcW w:w="100" w:type="dxa"/>
            <w:vAlign w:val="bottom"/>
          </w:tcPr>
          <w:p w14:paraId="7393108A" w14:textId="77777777" w:rsidR="00D1587D" w:rsidRDefault="00D1587D">
            <w:pPr>
              <w:rPr>
                <w:sz w:val="12"/>
                <w:szCs w:val="12"/>
              </w:rPr>
            </w:pPr>
          </w:p>
        </w:tc>
        <w:tc>
          <w:tcPr>
            <w:tcW w:w="200" w:type="dxa"/>
            <w:vAlign w:val="bottom"/>
          </w:tcPr>
          <w:p w14:paraId="6BEE69F4" w14:textId="77777777" w:rsidR="00D1587D" w:rsidRDefault="00D1587D">
            <w:pPr>
              <w:rPr>
                <w:sz w:val="12"/>
                <w:szCs w:val="12"/>
              </w:rPr>
            </w:pPr>
          </w:p>
        </w:tc>
        <w:tc>
          <w:tcPr>
            <w:tcW w:w="700" w:type="dxa"/>
            <w:gridSpan w:val="2"/>
            <w:vMerge/>
            <w:vAlign w:val="bottom"/>
          </w:tcPr>
          <w:p w14:paraId="34639E2B" w14:textId="77777777" w:rsidR="00D1587D" w:rsidRDefault="00D1587D">
            <w:pPr>
              <w:rPr>
                <w:sz w:val="12"/>
                <w:szCs w:val="12"/>
              </w:rPr>
            </w:pPr>
          </w:p>
        </w:tc>
        <w:tc>
          <w:tcPr>
            <w:tcW w:w="80" w:type="dxa"/>
            <w:vAlign w:val="bottom"/>
          </w:tcPr>
          <w:p w14:paraId="6CB79A15" w14:textId="77777777" w:rsidR="00D1587D" w:rsidRDefault="00D1587D">
            <w:pPr>
              <w:rPr>
                <w:sz w:val="12"/>
                <w:szCs w:val="12"/>
              </w:rPr>
            </w:pPr>
          </w:p>
        </w:tc>
        <w:tc>
          <w:tcPr>
            <w:tcW w:w="100" w:type="dxa"/>
            <w:vAlign w:val="bottom"/>
          </w:tcPr>
          <w:p w14:paraId="5A9EF5E3" w14:textId="77777777" w:rsidR="00D1587D" w:rsidRDefault="00D1587D">
            <w:pPr>
              <w:rPr>
                <w:sz w:val="12"/>
                <w:szCs w:val="12"/>
              </w:rPr>
            </w:pPr>
          </w:p>
        </w:tc>
        <w:tc>
          <w:tcPr>
            <w:tcW w:w="1080" w:type="dxa"/>
            <w:gridSpan w:val="2"/>
            <w:vMerge/>
            <w:vAlign w:val="bottom"/>
          </w:tcPr>
          <w:p w14:paraId="1F4BF2CA" w14:textId="77777777" w:rsidR="00D1587D" w:rsidRDefault="00D1587D">
            <w:pPr>
              <w:rPr>
                <w:sz w:val="12"/>
                <w:szCs w:val="12"/>
              </w:rPr>
            </w:pPr>
          </w:p>
        </w:tc>
        <w:tc>
          <w:tcPr>
            <w:tcW w:w="940" w:type="dxa"/>
            <w:vAlign w:val="bottom"/>
          </w:tcPr>
          <w:p w14:paraId="3FADE362" w14:textId="77777777" w:rsidR="00D1587D" w:rsidRDefault="00410D07">
            <w:pPr>
              <w:spacing w:line="149" w:lineRule="exact"/>
              <w:jc w:val="center"/>
              <w:rPr>
                <w:sz w:val="20"/>
                <w:szCs w:val="20"/>
              </w:rPr>
            </w:pPr>
            <w:r>
              <w:rPr>
                <w:rFonts w:ascii="Arial" w:eastAsia="Arial" w:hAnsi="Arial" w:cs="Arial"/>
                <w:b/>
                <w:bCs/>
                <w:w w:val="91"/>
                <w:sz w:val="14"/>
                <w:szCs w:val="14"/>
              </w:rPr>
              <w:t>Change in</w:t>
            </w:r>
          </w:p>
        </w:tc>
        <w:tc>
          <w:tcPr>
            <w:tcW w:w="180" w:type="dxa"/>
            <w:vAlign w:val="bottom"/>
          </w:tcPr>
          <w:p w14:paraId="0CF902B1" w14:textId="77777777" w:rsidR="00D1587D" w:rsidRDefault="00D1587D">
            <w:pPr>
              <w:rPr>
                <w:sz w:val="12"/>
                <w:szCs w:val="12"/>
              </w:rPr>
            </w:pPr>
          </w:p>
        </w:tc>
        <w:tc>
          <w:tcPr>
            <w:tcW w:w="160" w:type="dxa"/>
            <w:vAlign w:val="bottom"/>
          </w:tcPr>
          <w:p w14:paraId="47E8FCD8" w14:textId="77777777" w:rsidR="00D1587D" w:rsidRDefault="00D1587D">
            <w:pPr>
              <w:rPr>
                <w:sz w:val="12"/>
                <w:szCs w:val="12"/>
              </w:rPr>
            </w:pPr>
          </w:p>
        </w:tc>
        <w:tc>
          <w:tcPr>
            <w:tcW w:w="660" w:type="dxa"/>
            <w:vMerge w:val="restart"/>
            <w:vAlign w:val="bottom"/>
          </w:tcPr>
          <w:p w14:paraId="5038BB51" w14:textId="77777777" w:rsidR="00D1587D" w:rsidRDefault="00410D07">
            <w:pPr>
              <w:ind w:right="98"/>
              <w:jc w:val="center"/>
              <w:rPr>
                <w:sz w:val="20"/>
                <w:szCs w:val="20"/>
              </w:rPr>
            </w:pPr>
            <w:r>
              <w:rPr>
                <w:rFonts w:ascii="Arial" w:eastAsia="Arial" w:hAnsi="Arial" w:cs="Arial"/>
                <w:b/>
                <w:bCs/>
                <w:w w:val="92"/>
                <w:sz w:val="14"/>
                <w:szCs w:val="14"/>
              </w:rPr>
              <w:t>Death</w:t>
            </w:r>
          </w:p>
        </w:tc>
        <w:tc>
          <w:tcPr>
            <w:tcW w:w="180" w:type="dxa"/>
            <w:vAlign w:val="bottom"/>
          </w:tcPr>
          <w:p w14:paraId="2B76EBE4" w14:textId="77777777" w:rsidR="00D1587D" w:rsidRDefault="00D1587D">
            <w:pPr>
              <w:rPr>
                <w:sz w:val="12"/>
                <w:szCs w:val="12"/>
              </w:rPr>
            </w:pPr>
          </w:p>
        </w:tc>
        <w:tc>
          <w:tcPr>
            <w:tcW w:w="100" w:type="dxa"/>
            <w:vAlign w:val="bottom"/>
          </w:tcPr>
          <w:p w14:paraId="0C445F06" w14:textId="77777777" w:rsidR="00D1587D" w:rsidRDefault="00D1587D">
            <w:pPr>
              <w:rPr>
                <w:sz w:val="12"/>
                <w:szCs w:val="12"/>
              </w:rPr>
            </w:pPr>
          </w:p>
        </w:tc>
        <w:tc>
          <w:tcPr>
            <w:tcW w:w="900" w:type="dxa"/>
            <w:gridSpan w:val="2"/>
            <w:vMerge w:val="restart"/>
            <w:vAlign w:val="bottom"/>
          </w:tcPr>
          <w:p w14:paraId="35FE30D0" w14:textId="77777777" w:rsidR="00D1587D" w:rsidRDefault="00410D07">
            <w:pPr>
              <w:ind w:right="300"/>
              <w:jc w:val="center"/>
              <w:rPr>
                <w:sz w:val="20"/>
                <w:szCs w:val="20"/>
              </w:rPr>
            </w:pPr>
            <w:r>
              <w:rPr>
                <w:rFonts w:ascii="Arial" w:eastAsia="Arial" w:hAnsi="Arial" w:cs="Arial"/>
                <w:b/>
                <w:bCs/>
                <w:w w:val="96"/>
                <w:sz w:val="14"/>
                <w:szCs w:val="14"/>
              </w:rPr>
              <w:t>Disability</w:t>
            </w:r>
          </w:p>
        </w:tc>
        <w:tc>
          <w:tcPr>
            <w:tcW w:w="780" w:type="dxa"/>
            <w:gridSpan w:val="2"/>
            <w:vAlign w:val="bottom"/>
          </w:tcPr>
          <w:p w14:paraId="73A367E9" w14:textId="77777777" w:rsidR="00D1587D" w:rsidRDefault="00410D07">
            <w:pPr>
              <w:spacing w:line="149" w:lineRule="exact"/>
              <w:jc w:val="center"/>
              <w:rPr>
                <w:sz w:val="20"/>
                <w:szCs w:val="20"/>
              </w:rPr>
            </w:pPr>
            <w:r>
              <w:rPr>
                <w:rFonts w:ascii="Arial" w:eastAsia="Arial" w:hAnsi="Arial" w:cs="Arial"/>
                <w:b/>
                <w:bCs/>
                <w:w w:val="92"/>
                <w:sz w:val="14"/>
                <w:szCs w:val="14"/>
              </w:rPr>
              <w:t>Resignation/</w:t>
            </w:r>
          </w:p>
        </w:tc>
        <w:tc>
          <w:tcPr>
            <w:tcW w:w="0" w:type="dxa"/>
            <w:vAlign w:val="bottom"/>
          </w:tcPr>
          <w:p w14:paraId="5ED6595E" w14:textId="77777777" w:rsidR="00D1587D" w:rsidRDefault="00D1587D">
            <w:pPr>
              <w:rPr>
                <w:sz w:val="1"/>
                <w:szCs w:val="1"/>
              </w:rPr>
            </w:pPr>
          </w:p>
        </w:tc>
      </w:tr>
      <w:tr w:rsidR="00D1587D" w14:paraId="363A4DA1" w14:textId="77777777">
        <w:trPr>
          <w:trHeight w:val="145"/>
        </w:trPr>
        <w:tc>
          <w:tcPr>
            <w:tcW w:w="2260" w:type="dxa"/>
            <w:vAlign w:val="bottom"/>
          </w:tcPr>
          <w:p w14:paraId="125959DC" w14:textId="77777777" w:rsidR="00D1587D" w:rsidRDefault="00D1587D">
            <w:pPr>
              <w:rPr>
                <w:sz w:val="12"/>
                <w:szCs w:val="12"/>
              </w:rPr>
            </w:pPr>
          </w:p>
        </w:tc>
        <w:tc>
          <w:tcPr>
            <w:tcW w:w="100" w:type="dxa"/>
            <w:vAlign w:val="bottom"/>
          </w:tcPr>
          <w:p w14:paraId="08D8FE27" w14:textId="77777777" w:rsidR="00D1587D" w:rsidRDefault="00D1587D">
            <w:pPr>
              <w:rPr>
                <w:sz w:val="12"/>
                <w:szCs w:val="12"/>
              </w:rPr>
            </w:pPr>
          </w:p>
        </w:tc>
        <w:tc>
          <w:tcPr>
            <w:tcW w:w="200" w:type="dxa"/>
            <w:vAlign w:val="bottom"/>
          </w:tcPr>
          <w:p w14:paraId="079ADE9C" w14:textId="77777777" w:rsidR="00D1587D" w:rsidRDefault="00D1587D">
            <w:pPr>
              <w:rPr>
                <w:sz w:val="12"/>
                <w:szCs w:val="12"/>
              </w:rPr>
            </w:pPr>
          </w:p>
        </w:tc>
        <w:tc>
          <w:tcPr>
            <w:tcW w:w="700" w:type="dxa"/>
            <w:gridSpan w:val="2"/>
            <w:vAlign w:val="bottom"/>
          </w:tcPr>
          <w:p w14:paraId="5B5AC23D" w14:textId="77777777" w:rsidR="00D1587D" w:rsidRDefault="00410D07">
            <w:pPr>
              <w:spacing w:line="145" w:lineRule="exact"/>
              <w:ind w:right="240"/>
              <w:jc w:val="center"/>
              <w:rPr>
                <w:sz w:val="20"/>
                <w:szCs w:val="20"/>
              </w:rPr>
            </w:pPr>
            <w:r>
              <w:rPr>
                <w:rFonts w:ascii="Arial" w:eastAsia="Arial" w:hAnsi="Arial" w:cs="Arial"/>
                <w:b/>
                <w:bCs/>
                <w:w w:val="86"/>
                <w:sz w:val="14"/>
                <w:szCs w:val="14"/>
              </w:rPr>
              <w:t>Release</w:t>
            </w:r>
          </w:p>
        </w:tc>
        <w:tc>
          <w:tcPr>
            <w:tcW w:w="80" w:type="dxa"/>
            <w:vAlign w:val="bottom"/>
          </w:tcPr>
          <w:p w14:paraId="43DA8782" w14:textId="77777777" w:rsidR="00D1587D" w:rsidRDefault="00D1587D">
            <w:pPr>
              <w:rPr>
                <w:sz w:val="12"/>
                <w:szCs w:val="12"/>
              </w:rPr>
            </w:pPr>
          </w:p>
        </w:tc>
        <w:tc>
          <w:tcPr>
            <w:tcW w:w="100" w:type="dxa"/>
            <w:vAlign w:val="bottom"/>
          </w:tcPr>
          <w:p w14:paraId="318D6EE7" w14:textId="77777777" w:rsidR="00D1587D" w:rsidRDefault="00D1587D">
            <w:pPr>
              <w:rPr>
                <w:sz w:val="12"/>
                <w:szCs w:val="12"/>
              </w:rPr>
            </w:pPr>
          </w:p>
        </w:tc>
        <w:tc>
          <w:tcPr>
            <w:tcW w:w="1080" w:type="dxa"/>
            <w:gridSpan w:val="2"/>
            <w:vAlign w:val="bottom"/>
          </w:tcPr>
          <w:p w14:paraId="19E4643E" w14:textId="77777777" w:rsidR="00D1587D" w:rsidRDefault="00410D07">
            <w:pPr>
              <w:spacing w:line="145" w:lineRule="exact"/>
              <w:ind w:right="220"/>
              <w:jc w:val="center"/>
              <w:rPr>
                <w:sz w:val="20"/>
                <w:szCs w:val="20"/>
              </w:rPr>
            </w:pPr>
            <w:r>
              <w:rPr>
                <w:rFonts w:ascii="Arial" w:eastAsia="Arial" w:hAnsi="Arial" w:cs="Arial"/>
                <w:b/>
                <w:bCs/>
                <w:w w:val="86"/>
                <w:sz w:val="14"/>
                <w:szCs w:val="14"/>
              </w:rPr>
              <w:t>Release</w:t>
            </w:r>
          </w:p>
        </w:tc>
        <w:tc>
          <w:tcPr>
            <w:tcW w:w="940" w:type="dxa"/>
            <w:vAlign w:val="bottom"/>
          </w:tcPr>
          <w:p w14:paraId="69E66D92" w14:textId="77777777" w:rsidR="00D1587D" w:rsidRDefault="00410D07">
            <w:pPr>
              <w:spacing w:line="145" w:lineRule="exact"/>
              <w:jc w:val="center"/>
              <w:rPr>
                <w:sz w:val="20"/>
                <w:szCs w:val="20"/>
              </w:rPr>
            </w:pPr>
            <w:r>
              <w:rPr>
                <w:rFonts w:ascii="Arial" w:eastAsia="Arial" w:hAnsi="Arial" w:cs="Arial"/>
                <w:b/>
                <w:bCs/>
                <w:w w:val="96"/>
                <w:sz w:val="14"/>
                <w:szCs w:val="14"/>
              </w:rPr>
              <w:t>Control</w:t>
            </w:r>
          </w:p>
        </w:tc>
        <w:tc>
          <w:tcPr>
            <w:tcW w:w="180" w:type="dxa"/>
            <w:vAlign w:val="bottom"/>
          </w:tcPr>
          <w:p w14:paraId="48066C14" w14:textId="77777777" w:rsidR="00D1587D" w:rsidRDefault="00D1587D">
            <w:pPr>
              <w:rPr>
                <w:sz w:val="12"/>
                <w:szCs w:val="12"/>
              </w:rPr>
            </w:pPr>
          </w:p>
        </w:tc>
        <w:tc>
          <w:tcPr>
            <w:tcW w:w="160" w:type="dxa"/>
            <w:vAlign w:val="bottom"/>
          </w:tcPr>
          <w:p w14:paraId="396D26A3" w14:textId="77777777" w:rsidR="00D1587D" w:rsidRDefault="00D1587D">
            <w:pPr>
              <w:rPr>
                <w:sz w:val="12"/>
                <w:szCs w:val="12"/>
              </w:rPr>
            </w:pPr>
          </w:p>
        </w:tc>
        <w:tc>
          <w:tcPr>
            <w:tcW w:w="660" w:type="dxa"/>
            <w:vMerge/>
            <w:vAlign w:val="bottom"/>
          </w:tcPr>
          <w:p w14:paraId="2B702038" w14:textId="77777777" w:rsidR="00D1587D" w:rsidRDefault="00D1587D">
            <w:pPr>
              <w:rPr>
                <w:sz w:val="12"/>
                <w:szCs w:val="12"/>
              </w:rPr>
            </w:pPr>
          </w:p>
        </w:tc>
        <w:tc>
          <w:tcPr>
            <w:tcW w:w="180" w:type="dxa"/>
            <w:vAlign w:val="bottom"/>
          </w:tcPr>
          <w:p w14:paraId="0790D87E" w14:textId="77777777" w:rsidR="00D1587D" w:rsidRDefault="00D1587D">
            <w:pPr>
              <w:rPr>
                <w:sz w:val="12"/>
                <w:szCs w:val="12"/>
              </w:rPr>
            </w:pPr>
          </w:p>
        </w:tc>
        <w:tc>
          <w:tcPr>
            <w:tcW w:w="100" w:type="dxa"/>
            <w:vAlign w:val="bottom"/>
          </w:tcPr>
          <w:p w14:paraId="5ACE0C93" w14:textId="77777777" w:rsidR="00D1587D" w:rsidRDefault="00D1587D">
            <w:pPr>
              <w:rPr>
                <w:sz w:val="12"/>
                <w:szCs w:val="12"/>
              </w:rPr>
            </w:pPr>
          </w:p>
        </w:tc>
        <w:tc>
          <w:tcPr>
            <w:tcW w:w="900" w:type="dxa"/>
            <w:gridSpan w:val="2"/>
            <w:vMerge/>
            <w:vAlign w:val="bottom"/>
          </w:tcPr>
          <w:p w14:paraId="2DC54316" w14:textId="77777777" w:rsidR="00D1587D" w:rsidRDefault="00D1587D">
            <w:pPr>
              <w:rPr>
                <w:sz w:val="12"/>
                <w:szCs w:val="12"/>
              </w:rPr>
            </w:pPr>
          </w:p>
        </w:tc>
        <w:tc>
          <w:tcPr>
            <w:tcW w:w="780" w:type="dxa"/>
            <w:gridSpan w:val="2"/>
            <w:vAlign w:val="bottom"/>
          </w:tcPr>
          <w:p w14:paraId="03AB7B1D" w14:textId="77777777" w:rsidR="00D1587D" w:rsidRDefault="00410D07">
            <w:pPr>
              <w:spacing w:line="145" w:lineRule="exact"/>
              <w:jc w:val="center"/>
              <w:rPr>
                <w:sz w:val="20"/>
                <w:szCs w:val="20"/>
              </w:rPr>
            </w:pPr>
            <w:r>
              <w:rPr>
                <w:rFonts w:ascii="Arial" w:eastAsia="Arial" w:hAnsi="Arial" w:cs="Arial"/>
                <w:b/>
                <w:bCs/>
                <w:w w:val="95"/>
                <w:sz w:val="14"/>
                <w:szCs w:val="14"/>
              </w:rPr>
              <w:t>Retirement</w:t>
            </w:r>
          </w:p>
        </w:tc>
        <w:tc>
          <w:tcPr>
            <w:tcW w:w="0" w:type="dxa"/>
            <w:vAlign w:val="bottom"/>
          </w:tcPr>
          <w:p w14:paraId="649EAC06" w14:textId="77777777" w:rsidR="00D1587D" w:rsidRDefault="00D1587D">
            <w:pPr>
              <w:rPr>
                <w:sz w:val="1"/>
                <w:szCs w:val="1"/>
              </w:rPr>
            </w:pPr>
          </w:p>
        </w:tc>
      </w:tr>
      <w:tr w:rsidR="00D1587D" w14:paraId="023BC9C0" w14:textId="77777777">
        <w:trPr>
          <w:trHeight w:val="242"/>
        </w:trPr>
        <w:tc>
          <w:tcPr>
            <w:tcW w:w="2260" w:type="dxa"/>
            <w:tcBorders>
              <w:bottom w:val="single" w:sz="8" w:space="0" w:color="CCEEFF"/>
            </w:tcBorders>
            <w:vAlign w:val="bottom"/>
          </w:tcPr>
          <w:p w14:paraId="75C0DF18" w14:textId="77777777" w:rsidR="00D1587D" w:rsidRDefault="00D1587D">
            <w:pPr>
              <w:rPr>
                <w:sz w:val="21"/>
                <w:szCs w:val="21"/>
              </w:rPr>
            </w:pPr>
          </w:p>
        </w:tc>
        <w:tc>
          <w:tcPr>
            <w:tcW w:w="100" w:type="dxa"/>
            <w:tcBorders>
              <w:bottom w:val="single" w:sz="8" w:space="0" w:color="CCEEFF"/>
            </w:tcBorders>
            <w:vAlign w:val="bottom"/>
          </w:tcPr>
          <w:p w14:paraId="033B921C" w14:textId="77777777" w:rsidR="00D1587D" w:rsidRDefault="00D1587D">
            <w:pPr>
              <w:rPr>
                <w:sz w:val="21"/>
                <w:szCs w:val="21"/>
              </w:rPr>
            </w:pPr>
          </w:p>
        </w:tc>
        <w:tc>
          <w:tcPr>
            <w:tcW w:w="200" w:type="dxa"/>
            <w:tcBorders>
              <w:bottom w:val="single" w:sz="8" w:space="0" w:color="auto"/>
            </w:tcBorders>
            <w:vAlign w:val="bottom"/>
          </w:tcPr>
          <w:p w14:paraId="1F60EF5A" w14:textId="77777777" w:rsidR="00D1587D" w:rsidRDefault="00D1587D">
            <w:pPr>
              <w:rPr>
                <w:sz w:val="21"/>
                <w:szCs w:val="21"/>
              </w:rPr>
            </w:pPr>
          </w:p>
        </w:tc>
        <w:tc>
          <w:tcPr>
            <w:tcW w:w="600" w:type="dxa"/>
            <w:tcBorders>
              <w:bottom w:val="single" w:sz="8" w:space="0" w:color="auto"/>
            </w:tcBorders>
            <w:vAlign w:val="bottom"/>
          </w:tcPr>
          <w:p w14:paraId="64CB057F" w14:textId="77777777" w:rsidR="00D1587D" w:rsidRDefault="00410D07">
            <w:pPr>
              <w:ind w:right="16"/>
              <w:jc w:val="center"/>
              <w:rPr>
                <w:sz w:val="20"/>
                <w:szCs w:val="20"/>
              </w:rPr>
            </w:pPr>
            <w:r>
              <w:rPr>
                <w:rFonts w:ascii="Arial" w:eastAsia="Arial" w:hAnsi="Arial" w:cs="Arial"/>
                <w:b/>
                <w:bCs/>
                <w:sz w:val="14"/>
                <w:szCs w:val="14"/>
              </w:rPr>
              <w:t>($)</w:t>
            </w:r>
          </w:p>
        </w:tc>
        <w:tc>
          <w:tcPr>
            <w:tcW w:w="100" w:type="dxa"/>
            <w:tcBorders>
              <w:bottom w:val="single" w:sz="8" w:space="0" w:color="auto"/>
            </w:tcBorders>
            <w:vAlign w:val="bottom"/>
          </w:tcPr>
          <w:p w14:paraId="5B9EB3A6" w14:textId="77777777" w:rsidR="00D1587D" w:rsidRDefault="00D1587D">
            <w:pPr>
              <w:rPr>
                <w:sz w:val="21"/>
                <w:szCs w:val="21"/>
              </w:rPr>
            </w:pPr>
          </w:p>
        </w:tc>
        <w:tc>
          <w:tcPr>
            <w:tcW w:w="180" w:type="dxa"/>
            <w:gridSpan w:val="2"/>
            <w:tcBorders>
              <w:bottom w:val="single" w:sz="8" w:space="0" w:color="CCEEFF"/>
            </w:tcBorders>
            <w:vAlign w:val="bottom"/>
          </w:tcPr>
          <w:p w14:paraId="725ED153" w14:textId="77777777" w:rsidR="00D1587D" w:rsidRDefault="00D1587D">
            <w:pPr>
              <w:rPr>
                <w:sz w:val="21"/>
                <w:szCs w:val="21"/>
              </w:rPr>
            </w:pPr>
          </w:p>
        </w:tc>
        <w:tc>
          <w:tcPr>
            <w:tcW w:w="900" w:type="dxa"/>
            <w:tcBorders>
              <w:bottom w:val="single" w:sz="8" w:space="0" w:color="auto"/>
            </w:tcBorders>
            <w:vAlign w:val="bottom"/>
          </w:tcPr>
          <w:p w14:paraId="3A915E2E" w14:textId="77777777" w:rsidR="00D1587D" w:rsidRDefault="00410D07">
            <w:pPr>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75D6DC74" w14:textId="77777777" w:rsidR="00D1587D" w:rsidRDefault="00D1587D">
            <w:pPr>
              <w:rPr>
                <w:sz w:val="21"/>
                <w:szCs w:val="21"/>
              </w:rPr>
            </w:pPr>
          </w:p>
        </w:tc>
        <w:tc>
          <w:tcPr>
            <w:tcW w:w="940" w:type="dxa"/>
            <w:tcBorders>
              <w:bottom w:val="single" w:sz="8" w:space="0" w:color="auto"/>
            </w:tcBorders>
            <w:vAlign w:val="bottom"/>
          </w:tcPr>
          <w:p w14:paraId="4ED454DC" w14:textId="77777777" w:rsidR="00D1587D" w:rsidRDefault="00410D07">
            <w:pPr>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42C86C8A" w14:textId="77777777" w:rsidR="00D1587D" w:rsidRDefault="00D1587D">
            <w:pPr>
              <w:rPr>
                <w:sz w:val="21"/>
                <w:szCs w:val="21"/>
              </w:rPr>
            </w:pPr>
          </w:p>
        </w:tc>
        <w:tc>
          <w:tcPr>
            <w:tcW w:w="160" w:type="dxa"/>
            <w:tcBorders>
              <w:bottom w:val="single" w:sz="8" w:space="0" w:color="auto"/>
            </w:tcBorders>
            <w:vAlign w:val="bottom"/>
          </w:tcPr>
          <w:p w14:paraId="1DF8C433" w14:textId="77777777" w:rsidR="00D1587D" w:rsidRDefault="00D1587D">
            <w:pPr>
              <w:rPr>
                <w:sz w:val="21"/>
                <w:szCs w:val="21"/>
              </w:rPr>
            </w:pPr>
          </w:p>
        </w:tc>
        <w:tc>
          <w:tcPr>
            <w:tcW w:w="660" w:type="dxa"/>
            <w:tcBorders>
              <w:bottom w:val="single" w:sz="8" w:space="0" w:color="auto"/>
            </w:tcBorders>
            <w:vAlign w:val="bottom"/>
          </w:tcPr>
          <w:p w14:paraId="6B8B98BD" w14:textId="77777777" w:rsidR="00D1587D" w:rsidRDefault="00410D07">
            <w:pPr>
              <w:spacing w:line="242" w:lineRule="exact"/>
              <w:ind w:right="78"/>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(6)</w:t>
            </w:r>
          </w:p>
        </w:tc>
        <w:tc>
          <w:tcPr>
            <w:tcW w:w="180" w:type="dxa"/>
            <w:tcBorders>
              <w:bottom w:val="single" w:sz="8" w:space="0" w:color="CCEEFF"/>
            </w:tcBorders>
            <w:vAlign w:val="bottom"/>
          </w:tcPr>
          <w:p w14:paraId="656F7E0C" w14:textId="77777777" w:rsidR="00D1587D" w:rsidRDefault="00D1587D">
            <w:pPr>
              <w:rPr>
                <w:sz w:val="21"/>
                <w:szCs w:val="21"/>
              </w:rPr>
            </w:pPr>
          </w:p>
        </w:tc>
        <w:tc>
          <w:tcPr>
            <w:tcW w:w="100" w:type="dxa"/>
            <w:tcBorders>
              <w:bottom w:val="single" w:sz="8" w:space="0" w:color="auto"/>
            </w:tcBorders>
            <w:vAlign w:val="bottom"/>
          </w:tcPr>
          <w:p w14:paraId="01438813" w14:textId="77777777" w:rsidR="00D1587D" w:rsidRDefault="00D1587D">
            <w:pPr>
              <w:rPr>
                <w:sz w:val="21"/>
                <w:szCs w:val="21"/>
              </w:rPr>
            </w:pPr>
          </w:p>
        </w:tc>
        <w:tc>
          <w:tcPr>
            <w:tcW w:w="720" w:type="dxa"/>
            <w:tcBorders>
              <w:bottom w:val="single" w:sz="8" w:space="0" w:color="auto"/>
            </w:tcBorders>
            <w:vAlign w:val="bottom"/>
          </w:tcPr>
          <w:p w14:paraId="16C80218" w14:textId="77777777" w:rsidR="00D1587D" w:rsidRDefault="00410D07">
            <w:pPr>
              <w:ind w:right="16"/>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1205073F" w14:textId="77777777" w:rsidR="00D1587D" w:rsidRDefault="00D1587D">
            <w:pPr>
              <w:rPr>
                <w:sz w:val="21"/>
                <w:szCs w:val="21"/>
              </w:rPr>
            </w:pPr>
          </w:p>
        </w:tc>
        <w:tc>
          <w:tcPr>
            <w:tcW w:w="300" w:type="dxa"/>
            <w:tcBorders>
              <w:bottom w:val="single" w:sz="8" w:space="0" w:color="auto"/>
            </w:tcBorders>
            <w:vAlign w:val="bottom"/>
          </w:tcPr>
          <w:p w14:paraId="65F3C786" w14:textId="77777777" w:rsidR="00D1587D" w:rsidRDefault="00D1587D">
            <w:pPr>
              <w:rPr>
                <w:sz w:val="21"/>
                <w:szCs w:val="21"/>
              </w:rPr>
            </w:pPr>
          </w:p>
        </w:tc>
        <w:tc>
          <w:tcPr>
            <w:tcW w:w="480" w:type="dxa"/>
            <w:tcBorders>
              <w:bottom w:val="single" w:sz="8" w:space="0" w:color="auto"/>
            </w:tcBorders>
            <w:vAlign w:val="bottom"/>
          </w:tcPr>
          <w:p w14:paraId="543A5AC0" w14:textId="77777777" w:rsidR="00D1587D" w:rsidRDefault="00410D07">
            <w:pPr>
              <w:ind w:right="213"/>
              <w:jc w:val="center"/>
              <w:rPr>
                <w:sz w:val="20"/>
                <w:szCs w:val="20"/>
              </w:rPr>
            </w:pPr>
            <w:r>
              <w:rPr>
                <w:rFonts w:ascii="Arial" w:eastAsia="Arial" w:hAnsi="Arial" w:cs="Arial"/>
                <w:b/>
                <w:bCs/>
                <w:sz w:val="14"/>
                <w:szCs w:val="14"/>
              </w:rPr>
              <w:t>($)</w:t>
            </w:r>
          </w:p>
        </w:tc>
        <w:tc>
          <w:tcPr>
            <w:tcW w:w="0" w:type="dxa"/>
            <w:vAlign w:val="bottom"/>
          </w:tcPr>
          <w:p w14:paraId="5DB84BAB" w14:textId="77777777" w:rsidR="00D1587D" w:rsidRDefault="00D1587D">
            <w:pPr>
              <w:rPr>
                <w:sz w:val="1"/>
                <w:szCs w:val="1"/>
              </w:rPr>
            </w:pPr>
          </w:p>
        </w:tc>
      </w:tr>
      <w:tr w:rsidR="00D1587D" w14:paraId="732A12C2" w14:textId="77777777">
        <w:trPr>
          <w:trHeight w:val="311"/>
        </w:trPr>
        <w:tc>
          <w:tcPr>
            <w:tcW w:w="2360" w:type="dxa"/>
            <w:gridSpan w:val="2"/>
            <w:tcBorders>
              <w:bottom w:val="single" w:sz="8" w:space="0" w:color="CCEEFF"/>
            </w:tcBorders>
            <w:shd w:val="clear" w:color="auto" w:fill="CCEEFF"/>
            <w:vAlign w:val="bottom"/>
          </w:tcPr>
          <w:p w14:paraId="4AB76A12" w14:textId="77777777" w:rsidR="00D1587D" w:rsidRDefault="00410D07">
            <w:pPr>
              <w:rPr>
                <w:sz w:val="20"/>
                <w:szCs w:val="20"/>
              </w:rPr>
            </w:pPr>
            <w:r>
              <w:rPr>
                <w:rFonts w:ascii="Arial" w:eastAsia="Arial" w:hAnsi="Arial" w:cs="Arial"/>
                <w:sz w:val="18"/>
                <w:szCs w:val="18"/>
              </w:rPr>
              <w:t>Base Salary</w:t>
            </w:r>
          </w:p>
        </w:tc>
        <w:tc>
          <w:tcPr>
            <w:tcW w:w="900" w:type="dxa"/>
            <w:gridSpan w:val="3"/>
            <w:tcBorders>
              <w:bottom w:val="single" w:sz="8" w:space="0" w:color="CCEEFF"/>
            </w:tcBorders>
            <w:shd w:val="clear" w:color="auto" w:fill="CCEEFF"/>
            <w:vAlign w:val="bottom"/>
          </w:tcPr>
          <w:p w14:paraId="796D0B88" w14:textId="77777777" w:rsidR="00D1587D" w:rsidRDefault="00410D07">
            <w:pPr>
              <w:ind w:right="40"/>
              <w:jc w:val="right"/>
              <w:rPr>
                <w:sz w:val="20"/>
                <w:szCs w:val="20"/>
              </w:rPr>
            </w:pPr>
            <w:r>
              <w:rPr>
                <w:rFonts w:ascii="Arial" w:eastAsia="Arial" w:hAnsi="Arial" w:cs="Arial"/>
                <w:w w:val="93"/>
                <w:sz w:val="18"/>
                <w:szCs w:val="18"/>
              </w:rPr>
              <w:t>$1,050,000</w:t>
            </w:r>
          </w:p>
        </w:tc>
        <w:tc>
          <w:tcPr>
            <w:tcW w:w="1080" w:type="dxa"/>
            <w:gridSpan w:val="3"/>
            <w:tcBorders>
              <w:bottom w:val="single" w:sz="8" w:space="0" w:color="CCEEFF"/>
            </w:tcBorders>
            <w:shd w:val="clear" w:color="auto" w:fill="CCEEFF"/>
            <w:vAlign w:val="bottom"/>
          </w:tcPr>
          <w:p w14:paraId="67604CD3" w14:textId="77777777" w:rsidR="00D1587D" w:rsidRDefault="00410D07">
            <w:pPr>
              <w:jc w:val="right"/>
              <w:rPr>
                <w:sz w:val="20"/>
                <w:szCs w:val="20"/>
              </w:rPr>
            </w:pPr>
            <w:r>
              <w:rPr>
                <w:rFonts w:ascii="Arial" w:eastAsia="Arial" w:hAnsi="Arial" w:cs="Arial"/>
                <w:sz w:val="18"/>
                <w:szCs w:val="18"/>
              </w:rPr>
              <w:t>$2,100,000</w:t>
            </w:r>
          </w:p>
        </w:tc>
        <w:tc>
          <w:tcPr>
            <w:tcW w:w="180" w:type="dxa"/>
            <w:tcBorders>
              <w:bottom w:val="single" w:sz="8" w:space="0" w:color="CCEEFF"/>
            </w:tcBorders>
            <w:shd w:val="clear" w:color="auto" w:fill="CCEEFF"/>
            <w:vAlign w:val="bottom"/>
          </w:tcPr>
          <w:p w14:paraId="7470348F" w14:textId="77777777" w:rsidR="00D1587D" w:rsidRDefault="00D1587D">
            <w:pPr>
              <w:rPr>
                <w:sz w:val="24"/>
                <w:szCs w:val="24"/>
              </w:rPr>
            </w:pPr>
          </w:p>
        </w:tc>
        <w:tc>
          <w:tcPr>
            <w:tcW w:w="940" w:type="dxa"/>
            <w:tcBorders>
              <w:bottom w:val="single" w:sz="8" w:space="0" w:color="CCEEFF"/>
            </w:tcBorders>
            <w:shd w:val="clear" w:color="auto" w:fill="CCEEFF"/>
            <w:vAlign w:val="bottom"/>
          </w:tcPr>
          <w:p w14:paraId="0F9D4019" w14:textId="77777777" w:rsidR="00D1587D" w:rsidRDefault="00410D07">
            <w:pPr>
              <w:jc w:val="right"/>
              <w:rPr>
                <w:sz w:val="20"/>
                <w:szCs w:val="20"/>
              </w:rPr>
            </w:pPr>
            <w:r>
              <w:rPr>
                <w:rFonts w:ascii="Arial" w:eastAsia="Arial" w:hAnsi="Arial" w:cs="Arial"/>
                <w:w w:val="94"/>
                <w:sz w:val="18"/>
                <w:szCs w:val="18"/>
              </w:rPr>
              <w:t>$ 2,100,000</w:t>
            </w:r>
          </w:p>
        </w:tc>
        <w:tc>
          <w:tcPr>
            <w:tcW w:w="340" w:type="dxa"/>
            <w:gridSpan w:val="2"/>
            <w:tcBorders>
              <w:bottom w:val="single" w:sz="8" w:space="0" w:color="CCEEFF"/>
            </w:tcBorders>
            <w:shd w:val="clear" w:color="auto" w:fill="CCEEFF"/>
            <w:vAlign w:val="bottom"/>
          </w:tcPr>
          <w:p w14:paraId="1EB0B329" w14:textId="77777777" w:rsidR="00D1587D" w:rsidRDefault="00410D07">
            <w:pPr>
              <w:ind w:right="60"/>
              <w:jc w:val="right"/>
              <w:rPr>
                <w:sz w:val="20"/>
                <w:szCs w:val="20"/>
              </w:rPr>
            </w:pPr>
            <w:r>
              <w:rPr>
                <w:rFonts w:ascii="Arial" w:eastAsia="Arial" w:hAnsi="Arial" w:cs="Arial"/>
                <w:sz w:val="18"/>
                <w:szCs w:val="18"/>
              </w:rPr>
              <w:t>$</w:t>
            </w:r>
          </w:p>
        </w:tc>
        <w:tc>
          <w:tcPr>
            <w:tcW w:w="660" w:type="dxa"/>
            <w:tcBorders>
              <w:bottom w:val="single" w:sz="8" w:space="0" w:color="CCEEFF"/>
            </w:tcBorders>
            <w:shd w:val="clear" w:color="auto" w:fill="CCEEFF"/>
            <w:vAlign w:val="bottom"/>
          </w:tcPr>
          <w:p w14:paraId="7BD5E895" w14:textId="77777777" w:rsidR="00D1587D" w:rsidRDefault="00410D07">
            <w:pPr>
              <w:jc w:val="right"/>
              <w:rPr>
                <w:sz w:val="20"/>
                <w:szCs w:val="20"/>
              </w:rPr>
            </w:pPr>
            <w:r>
              <w:rPr>
                <w:rFonts w:ascii="Arial" w:eastAsia="Arial" w:hAnsi="Arial" w:cs="Arial"/>
                <w:sz w:val="18"/>
                <w:szCs w:val="18"/>
              </w:rPr>
              <w:t>—</w:t>
            </w:r>
          </w:p>
        </w:tc>
        <w:tc>
          <w:tcPr>
            <w:tcW w:w="280" w:type="dxa"/>
            <w:gridSpan w:val="2"/>
            <w:tcBorders>
              <w:bottom w:val="single" w:sz="8" w:space="0" w:color="CCEEFF"/>
            </w:tcBorders>
            <w:shd w:val="clear" w:color="auto" w:fill="CCEEFF"/>
            <w:vAlign w:val="bottom"/>
          </w:tcPr>
          <w:p w14:paraId="5848A146" w14:textId="77777777" w:rsidR="00D1587D" w:rsidRDefault="00410D07">
            <w:pPr>
              <w:jc w:val="right"/>
              <w:rPr>
                <w:sz w:val="20"/>
                <w:szCs w:val="20"/>
              </w:rPr>
            </w:pPr>
            <w:r>
              <w:rPr>
                <w:rFonts w:ascii="Arial" w:eastAsia="Arial" w:hAnsi="Arial" w:cs="Arial"/>
                <w:sz w:val="18"/>
                <w:szCs w:val="18"/>
              </w:rPr>
              <w:t>$</w:t>
            </w:r>
          </w:p>
        </w:tc>
        <w:tc>
          <w:tcPr>
            <w:tcW w:w="900" w:type="dxa"/>
            <w:gridSpan w:val="2"/>
            <w:tcBorders>
              <w:bottom w:val="single" w:sz="8" w:space="0" w:color="CCEEFF"/>
            </w:tcBorders>
            <w:shd w:val="clear" w:color="auto" w:fill="CCEEFF"/>
            <w:vAlign w:val="bottom"/>
          </w:tcPr>
          <w:p w14:paraId="755FF216" w14:textId="77777777" w:rsidR="00D1587D" w:rsidRDefault="00410D07">
            <w:pPr>
              <w:ind w:right="180"/>
              <w:jc w:val="right"/>
              <w:rPr>
                <w:sz w:val="20"/>
                <w:szCs w:val="20"/>
              </w:rPr>
            </w:pPr>
            <w:r>
              <w:rPr>
                <w:rFonts w:ascii="Arial" w:eastAsia="Arial" w:hAnsi="Arial" w:cs="Arial"/>
                <w:sz w:val="18"/>
                <w:szCs w:val="18"/>
              </w:rPr>
              <w:t>—</w:t>
            </w:r>
          </w:p>
        </w:tc>
        <w:tc>
          <w:tcPr>
            <w:tcW w:w="300" w:type="dxa"/>
            <w:tcBorders>
              <w:bottom w:val="single" w:sz="8" w:space="0" w:color="CCEEFF"/>
            </w:tcBorders>
            <w:shd w:val="clear" w:color="auto" w:fill="CCEEFF"/>
            <w:vAlign w:val="bottom"/>
          </w:tcPr>
          <w:p w14:paraId="7CD73943" w14:textId="77777777" w:rsidR="00D1587D" w:rsidRDefault="00410D07">
            <w:pPr>
              <w:ind w:right="39"/>
              <w:jc w:val="right"/>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67BCC888" w14:textId="77777777" w:rsidR="00D1587D" w:rsidRDefault="00410D07">
            <w:pPr>
              <w:ind w:right="13"/>
              <w:jc w:val="right"/>
              <w:rPr>
                <w:sz w:val="20"/>
                <w:szCs w:val="20"/>
              </w:rPr>
            </w:pPr>
            <w:r>
              <w:rPr>
                <w:rFonts w:ascii="Arial" w:eastAsia="Arial" w:hAnsi="Arial" w:cs="Arial"/>
                <w:sz w:val="18"/>
                <w:szCs w:val="18"/>
              </w:rPr>
              <w:t>—</w:t>
            </w:r>
          </w:p>
        </w:tc>
        <w:tc>
          <w:tcPr>
            <w:tcW w:w="0" w:type="dxa"/>
            <w:vAlign w:val="bottom"/>
          </w:tcPr>
          <w:p w14:paraId="5065F9B9" w14:textId="77777777" w:rsidR="00D1587D" w:rsidRDefault="00D1587D">
            <w:pPr>
              <w:rPr>
                <w:sz w:val="1"/>
                <w:szCs w:val="1"/>
              </w:rPr>
            </w:pPr>
          </w:p>
        </w:tc>
      </w:tr>
      <w:tr w:rsidR="00D1587D" w14:paraId="3C3670FE" w14:textId="77777777">
        <w:trPr>
          <w:trHeight w:val="324"/>
        </w:trPr>
        <w:tc>
          <w:tcPr>
            <w:tcW w:w="2360" w:type="dxa"/>
            <w:gridSpan w:val="2"/>
            <w:vAlign w:val="bottom"/>
          </w:tcPr>
          <w:p w14:paraId="301E938A" w14:textId="77777777" w:rsidR="00D1587D" w:rsidRDefault="00410D07">
            <w:pPr>
              <w:spacing w:line="324" w:lineRule="exact"/>
              <w:rPr>
                <w:sz w:val="20"/>
                <w:szCs w:val="20"/>
              </w:rPr>
            </w:pPr>
            <w:r>
              <w:rPr>
                <w:rFonts w:ascii="Arial" w:eastAsia="Arial" w:hAnsi="Arial" w:cs="Arial"/>
                <w:sz w:val="18"/>
                <w:szCs w:val="18"/>
              </w:rPr>
              <w:t>Bonus</w:t>
            </w:r>
            <w:r>
              <w:rPr>
                <w:rFonts w:ascii="Arial" w:eastAsia="Arial" w:hAnsi="Arial" w:cs="Arial"/>
                <w:sz w:val="29"/>
                <w:szCs w:val="29"/>
                <w:vertAlign w:val="superscript"/>
              </w:rPr>
              <w:t>(3)</w:t>
            </w:r>
          </w:p>
        </w:tc>
        <w:tc>
          <w:tcPr>
            <w:tcW w:w="200" w:type="dxa"/>
            <w:vAlign w:val="bottom"/>
          </w:tcPr>
          <w:p w14:paraId="200EE0BD" w14:textId="77777777" w:rsidR="00D1587D" w:rsidRDefault="00D1587D">
            <w:pPr>
              <w:rPr>
                <w:sz w:val="24"/>
                <w:szCs w:val="24"/>
              </w:rPr>
            </w:pPr>
          </w:p>
        </w:tc>
        <w:tc>
          <w:tcPr>
            <w:tcW w:w="600" w:type="dxa"/>
            <w:vAlign w:val="bottom"/>
          </w:tcPr>
          <w:p w14:paraId="75D070B3" w14:textId="77777777" w:rsidR="00D1587D" w:rsidRDefault="00D1587D">
            <w:pPr>
              <w:rPr>
                <w:sz w:val="24"/>
                <w:szCs w:val="24"/>
              </w:rPr>
            </w:pPr>
          </w:p>
        </w:tc>
        <w:tc>
          <w:tcPr>
            <w:tcW w:w="100" w:type="dxa"/>
            <w:vAlign w:val="bottom"/>
          </w:tcPr>
          <w:p w14:paraId="58806C27" w14:textId="77777777" w:rsidR="00D1587D" w:rsidRDefault="00D1587D">
            <w:pPr>
              <w:rPr>
                <w:sz w:val="24"/>
                <w:szCs w:val="24"/>
              </w:rPr>
            </w:pPr>
          </w:p>
        </w:tc>
        <w:tc>
          <w:tcPr>
            <w:tcW w:w="1080" w:type="dxa"/>
            <w:gridSpan w:val="3"/>
            <w:vAlign w:val="bottom"/>
          </w:tcPr>
          <w:p w14:paraId="51C1E803" w14:textId="77777777" w:rsidR="00D1587D" w:rsidRDefault="00410D07">
            <w:pPr>
              <w:jc w:val="right"/>
              <w:rPr>
                <w:sz w:val="20"/>
                <w:szCs w:val="20"/>
              </w:rPr>
            </w:pPr>
            <w:r>
              <w:rPr>
                <w:rFonts w:ascii="Arial" w:eastAsia="Arial" w:hAnsi="Arial" w:cs="Arial"/>
                <w:sz w:val="18"/>
                <w:szCs w:val="18"/>
              </w:rPr>
              <w:t>1,890,000</w:t>
            </w:r>
          </w:p>
        </w:tc>
        <w:tc>
          <w:tcPr>
            <w:tcW w:w="180" w:type="dxa"/>
            <w:vAlign w:val="bottom"/>
          </w:tcPr>
          <w:p w14:paraId="16EE9EBF" w14:textId="77777777" w:rsidR="00D1587D" w:rsidRDefault="00D1587D">
            <w:pPr>
              <w:rPr>
                <w:sz w:val="24"/>
                <w:szCs w:val="24"/>
              </w:rPr>
            </w:pPr>
          </w:p>
        </w:tc>
        <w:tc>
          <w:tcPr>
            <w:tcW w:w="940" w:type="dxa"/>
            <w:vAlign w:val="bottom"/>
          </w:tcPr>
          <w:p w14:paraId="5B4CCF31" w14:textId="77777777" w:rsidR="00D1587D" w:rsidRDefault="00410D07">
            <w:pPr>
              <w:jc w:val="right"/>
              <w:rPr>
                <w:sz w:val="20"/>
                <w:szCs w:val="20"/>
              </w:rPr>
            </w:pPr>
            <w:r>
              <w:rPr>
                <w:rFonts w:ascii="Arial" w:eastAsia="Arial" w:hAnsi="Arial" w:cs="Arial"/>
                <w:sz w:val="18"/>
                <w:szCs w:val="18"/>
              </w:rPr>
              <w:t>4,026,214</w:t>
            </w:r>
          </w:p>
        </w:tc>
        <w:tc>
          <w:tcPr>
            <w:tcW w:w="180" w:type="dxa"/>
            <w:vAlign w:val="bottom"/>
          </w:tcPr>
          <w:p w14:paraId="2CB5616B" w14:textId="77777777" w:rsidR="00D1587D" w:rsidRDefault="00D1587D">
            <w:pPr>
              <w:rPr>
                <w:sz w:val="24"/>
                <w:szCs w:val="24"/>
              </w:rPr>
            </w:pPr>
          </w:p>
        </w:tc>
        <w:tc>
          <w:tcPr>
            <w:tcW w:w="160" w:type="dxa"/>
            <w:vAlign w:val="bottom"/>
          </w:tcPr>
          <w:p w14:paraId="45671ED0" w14:textId="77777777" w:rsidR="00D1587D" w:rsidRDefault="00D1587D">
            <w:pPr>
              <w:rPr>
                <w:sz w:val="24"/>
                <w:szCs w:val="24"/>
              </w:rPr>
            </w:pPr>
          </w:p>
        </w:tc>
        <w:tc>
          <w:tcPr>
            <w:tcW w:w="660" w:type="dxa"/>
            <w:vAlign w:val="bottom"/>
          </w:tcPr>
          <w:p w14:paraId="2015DC58" w14:textId="77777777" w:rsidR="00D1587D" w:rsidRDefault="00D1587D">
            <w:pPr>
              <w:rPr>
                <w:sz w:val="24"/>
                <w:szCs w:val="24"/>
              </w:rPr>
            </w:pPr>
          </w:p>
        </w:tc>
        <w:tc>
          <w:tcPr>
            <w:tcW w:w="180" w:type="dxa"/>
            <w:vAlign w:val="bottom"/>
          </w:tcPr>
          <w:p w14:paraId="01B2DA17" w14:textId="77777777" w:rsidR="00D1587D" w:rsidRDefault="00D1587D">
            <w:pPr>
              <w:rPr>
                <w:sz w:val="24"/>
                <w:szCs w:val="24"/>
              </w:rPr>
            </w:pPr>
          </w:p>
        </w:tc>
        <w:tc>
          <w:tcPr>
            <w:tcW w:w="100" w:type="dxa"/>
            <w:vAlign w:val="bottom"/>
          </w:tcPr>
          <w:p w14:paraId="456547B9" w14:textId="77777777" w:rsidR="00D1587D" w:rsidRDefault="00D1587D">
            <w:pPr>
              <w:rPr>
                <w:sz w:val="24"/>
                <w:szCs w:val="24"/>
              </w:rPr>
            </w:pPr>
          </w:p>
        </w:tc>
        <w:tc>
          <w:tcPr>
            <w:tcW w:w="720" w:type="dxa"/>
            <w:vAlign w:val="bottom"/>
          </w:tcPr>
          <w:p w14:paraId="597D53DB" w14:textId="77777777" w:rsidR="00D1587D" w:rsidRDefault="00D1587D">
            <w:pPr>
              <w:rPr>
                <w:sz w:val="24"/>
                <w:szCs w:val="24"/>
              </w:rPr>
            </w:pPr>
          </w:p>
        </w:tc>
        <w:tc>
          <w:tcPr>
            <w:tcW w:w="180" w:type="dxa"/>
            <w:vAlign w:val="bottom"/>
          </w:tcPr>
          <w:p w14:paraId="3806ECA0" w14:textId="77777777" w:rsidR="00D1587D" w:rsidRDefault="00D1587D">
            <w:pPr>
              <w:rPr>
                <w:sz w:val="24"/>
                <w:szCs w:val="24"/>
              </w:rPr>
            </w:pPr>
          </w:p>
        </w:tc>
        <w:tc>
          <w:tcPr>
            <w:tcW w:w="300" w:type="dxa"/>
            <w:vAlign w:val="bottom"/>
          </w:tcPr>
          <w:p w14:paraId="7CB07776" w14:textId="77777777" w:rsidR="00D1587D" w:rsidRDefault="00D1587D">
            <w:pPr>
              <w:rPr>
                <w:sz w:val="24"/>
                <w:szCs w:val="24"/>
              </w:rPr>
            </w:pPr>
          </w:p>
        </w:tc>
        <w:tc>
          <w:tcPr>
            <w:tcW w:w="480" w:type="dxa"/>
            <w:vAlign w:val="bottom"/>
          </w:tcPr>
          <w:p w14:paraId="18E3D2B2" w14:textId="77777777" w:rsidR="00D1587D" w:rsidRDefault="00D1587D">
            <w:pPr>
              <w:rPr>
                <w:sz w:val="24"/>
                <w:szCs w:val="24"/>
              </w:rPr>
            </w:pPr>
          </w:p>
        </w:tc>
        <w:tc>
          <w:tcPr>
            <w:tcW w:w="0" w:type="dxa"/>
            <w:vAlign w:val="bottom"/>
          </w:tcPr>
          <w:p w14:paraId="7716AEA2" w14:textId="77777777" w:rsidR="00D1587D" w:rsidRDefault="00D1587D">
            <w:pPr>
              <w:rPr>
                <w:sz w:val="1"/>
                <w:szCs w:val="1"/>
              </w:rPr>
            </w:pPr>
          </w:p>
        </w:tc>
      </w:tr>
      <w:tr w:rsidR="00D1587D" w14:paraId="36A1C8CA" w14:textId="77777777">
        <w:trPr>
          <w:trHeight w:val="246"/>
        </w:trPr>
        <w:tc>
          <w:tcPr>
            <w:tcW w:w="2360" w:type="dxa"/>
            <w:gridSpan w:val="2"/>
            <w:shd w:val="clear" w:color="auto" w:fill="CCEEFF"/>
            <w:vAlign w:val="bottom"/>
          </w:tcPr>
          <w:p w14:paraId="0F9988BB" w14:textId="77777777" w:rsidR="00D1587D" w:rsidRDefault="00410D07">
            <w:pPr>
              <w:rPr>
                <w:sz w:val="20"/>
                <w:szCs w:val="20"/>
              </w:rPr>
            </w:pPr>
            <w:r>
              <w:rPr>
                <w:rFonts w:ascii="Arial" w:eastAsia="Arial" w:hAnsi="Arial" w:cs="Arial"/>
                <w:sz w:val="18"/>
                <w:szCs w:val="18"/>
              </w:rPr>
              <w:t>Gain of Accelerated Stock</w:t>
            </w:r>
          </w:p>
        </w:tc>
        <w:tc>
          <w:tcPr>
            <w:tcW w:w="200" w:type="dxa"/>
            <w:shd w:val="clear" w:color="auto" w:fill="CCEEFF"/>
            <w:vAlign w:val="bottom"/>
          </w:tcPr>
          <w:p w14:paraId="101F3A37" w14:textId="77777777" w:rsidR="00D1587D" w:rsidRDefault="00D1587D">
            <w:pPr>
              <w:rPr>
                <w:sz w:val="21"/>
                <w:szCs w:val="21"/>
              </w:rPr>
            </w:pPr>
          </w:p>
        </w:tc>
        <w:tc>
          <w:tcPr>
            <w:tcW w:w="600" w:type="dxa"/>
            <w:shd w:val="clear" w:color="auto" w:fill="CCEEFF"/>
            <w:vAlign w:val="bottom"/>
          </w:tcPr>
          <w:p w14:paraId="19090003" w14:textId="77777777" w:rsidR="00D1587D" w:rsidRDefault="00D1587D">
            <w:pPr>
              <w:rPr>
                <w:sz w:val="21"/>
                <w:szCs w:val="21"/>
              </w:rPr>
            </w:pPr>
          </w:p>
        </w:tc>
        <w:tc>
          <w:tcPr>
            <w:tcW w:w="100" w:type="dxa"/>
            <w:shd w:val="clear" w:color="auto" w:fill="CCEEFF"/>
            <w:vAlign w:val="bottom"/>
          </w:tcPr>
          <w:p w14:paraId="09523721" w14:textId="77777777" w:rsidR="00D1587D" w:rsidRDefault="00D1587D">
            <w:pPr>
              <w:rPr>
                <w:sz w:val="21"/>
                <w:szCs w:val="21"/>
              </w:rPr>
            </w:pPr>
          </w:p>
        </w:tc>
        <w:tc>
          <w:tcPr>
            <w:tcW w:w="80" w:type="dxa"/>
            <w:shd w:val="clear" w:color="auto" w:fill="CCEEFF"/>
            <w:vAlign w:val="bottom"/>
          </w:tcPr>
          <w:p w14:paraId="32199DC5" w14:textId="77777777" w:rsidR="00D1587D" w:rsidRDefault="00D1587D">
            <w:pPr>
              <w:rPr>
                <w:sz w:val="21"/>
                <w:szCs w:val="21"/>
              </w:rPr>
            </w:pPr>
          </w:p>
        </w:tc>
        <w:tc>
          <w:tcPr>
            <w:tcW w:w="100" w:type="dxa"/>
            <w:shd w:val="clear" w:color="auto" w:fill="CCEEFF"/>
            <w:vAlign w:val="bottom"/>
          </w:tcPr>
          <w:p w14:paraId="1BC64B90" w14:textId="77777777" w:rsidR="00D1587D" w:rsidRDefault="00D1587D">
            <w:pPr>
              <w:rPr>
                <w:sz w:val="21"/>
                <w:szCs w:val="21"/>
              </w:rPr>
            </w:pPr>
          </w:p>
        </w:tc>
        <w:tc>
          <w:tcPr>
            <w:tcW w:w="900" w:type="dxa"/>
            <w:shd w:val="clear" w:color="auto" w:fill="CCEEFF"/>
            <w:vAlign w:val="bottom"/>
          </w:tcPr>
          <w:p w14:paraId="214D813F" w14:textId="77777777" w:rsidR="00D1587D" w:rsidRDefault="00D1587D">
            <w:pPr>
              <w:rPr>
                <w:sz w:val="21"/>
                <w:szCs w:val="21"/>
              </w:rPr>
            </w:pPr>
          </w:p>
        </w:tc>
        <w:tc>
          <w:tcPr>
            <w:tcW w:w="180" w:type="dxa"/>
            <w:shd w:val="clear" w:color="auto" w:fill="CCEEFF"/>
            <w:vAlign w:val="bottom"/>
          </w:tcPr>
          <w:p w14:paraId="35640EA0" w14:textId="77777777" w:rsidR="00D1587D" w:rsidRDefault="00D1587D">
            <w:pPr>
              <w:rPr>
                <w:sz w:val="21"/>
                <w:szCs w:val="21"/>
              </w:rPr>
            </w:pPr>
          </w:p>
        </w:tc>
        <w:tc>
          <w:tcPr>
            <w:tcW w:w="940" w:type="dxa"/>
            <w:shd w:val="clear" w:color="auto" w:fill="CCEEFF"/>
            <w:vAlign w:val="bottom"/>
          </w:tcPr>
          <w:p w14:paraId="5A91E791" w14:textId="77777777" w:rsidR="00D1587D" w:rsidRDefault="00D1587D">
            <w:pPr>
              <w:rPr>
                <w:sz w:val="21"/>
                <w:szCs w:val="21"/>
              </w:rPr>
            </w:pPr>
          </w:p>
        </w:tc>
        <w:tc>
          <w:tcPr>
            <w:tcW w:w="180" w:type="dxa"/>
            <w:shd w:val="clear" w:color="auto" w:fill="CCEEFF"/>
            <w:vAlign w:val="bottom"/>
          </w:tcPr>
          <w:p w14:paraId="2A6D7E8B" w14:textId="77777777" w:rsidR="00D1587D" w:rsidRDefault="00D1587D">
            <w:pPr>
              <w:rPr>
                <w:sz w:val="21"/>
                <w:szCs w:val="21"/>
              </w:rPr>
            </w:pPr>
          </w:p>
        </w:tc>
        <w:tc>
          <w:tcPr>
            <w:tcW w:w="160" w:type="dxa"/>
            <w:shd w:val="clear" w:color="auto" w:fill="CCEEFF"/>
            <w:vAlign w:val="bottom"/>
          </w:tcPr>
          <w:p w14:paraId="459C5E4E" w14:textId="77777777" w:rsidR="00D1587D" w:rsidRDefault="00D1587D">
            <w:pPr>
              <w:rPr>
                <w:sz w:val="21"/>
                <w:szCs w:val="21"/>
              </w:rPr>
            </w:pPr>
          </w:p>
        </w:tc>
        <w:tc>
          <w:tcPr>
            <w:tcW w:w="660" w:type="dxa"/>
            <w:shd w:val="clear" w:color="auto" w:fill="CCEEFF"/>
            <w:vAlign w:val="bottom"/>
          </w:tcPr>
          <w:p w14:paraId="1ADABEF0" w14:textId="77777777" w:rsidR="00D1587D" w:rsidRDefault="00D1587D">
            <w:pPr>
              <w:rPr>
                <w:sz w:val="21"/>
                <w:szCs w:val="21"/>
              </w:rPr>
            </w:pPr>
          </w:p>
        </w:tc>
        <w:tc>
          <w:tcPr>
            <w:tcW w:w="180" w:type="dxa"/>
            <w:shd w:val="clear" w:color="auto" w:fill="CCEEFF"/>
            <w:vAlign w:val="bottom"/>
          </w:tcPr>
          <w:p w14:paraId="54DBC68B" w14:textId="77777777" w:rsidR="00D1587D" w:rsidRDefault="00D1587D">
            <w:pPr>
              <w:rPr>
                <w:sz w:val="21"/>
                <w:szCs w:val="21"/>
              </w:rPr>
            </w:pPr>
          </w:p>
        </w:tc>
        <w:tc>
          <w:tcPr>
            <w:tcW w:w="100" w:type="dxa"/>
            <w:shd w:val="clear" w:color="auto" w:fill="CCEEFF"/>
            <w:vAlign w:val="bottom"/>
          </w:tcPr>
          <w:p w14:paraId="0E5C95AB" w14:textId="77777777" w:rsidR="00D1587D" w:rsidRDefault="00D1587D">
            <w:pPr>
              <w:rPr>
                <w:sz w:val="21"/>
                <w:szCs w:val="21"/>
              </w:rPr>
            </w:pPr>
          </w:p>
        </w:tc>
        <w:tc>
          <w:tcPr>
            <w:tcW w:w="720" w:type="dxa"/>
            <w:shd w:val="clear" w:color="auto" w:fill="CCEEFF"/>
            <w:vAlign w:val="bottom"/>
          </w:tcPr>
          <w:p w14:paraId="10E68C6D" w14:textId="77777777" w:rsidR="00D1587D" w:rsidRDefault="00D1587D">
            <w:pPr>
              <w:rPr>
                <w:sz w:val="21"/>
                <w:szCs w:val="21"/>
              </w:rPr>
            </w:pPr>
          </w:p>
        </w:tc>
        <w:tc>
          <w:tcPr>
            <w:tcW w:w="180" w:type="dxa"/>
            <w:shd w:val="clear" w:color="auto" w:fill="CCEEFF"/>
            <w:vAlign w:val="bottom"/>
          </w:tcPr>
          <w:p w14:paraId="77A5FA20" w14:textId="77777777" w:rsidR="00D1587D" w:rsidRDefault="00D1587D">
            <w:pPr>
              <w:rPr>
                <w:sz w:val="21"/>
                <w:szCs w:val="21"/>
              </w:rPr>
            </w:pPr>
          </w:p>
        </w:tc>
        <w:tc>
          <w:tcPr>
            <w:tcW w:w="300" w:type="dxa"/>
            <w:shd w:val="clear" w:color="auto" w:fill="CCEEFF"/>
            <w:vAlign w:val="bottom"/>
          </w:tcPr>
          <w:p w14:paraId="3579973C" w14:textId="77777777" w:rsidR="00D1587D" w:rsidRDefault="00D1587D">
            <w:pPr>
              <w:rPr>
                <w:sz w:val="21"/>
                <w:szCs w:val="21"/>
              </w:rPr>
            </w:pPr>
          </w:p>
        </w:tc>
        <w:tc>
          <w:tcPr>
            <w:tcW w:w="480" w:type="dxa"/>
            <w:shd w:val="clear" w:color="auto" w:fill="CCEEFF"/>
            <w:vAlign w:val="bottom"/>
          </w:tcPr>
          <w:p w14:paraId="14ABAB25" w14:textId="77777777" w:rsidR="00D1587D" w:rsidRDefault="00D1587D">
            <w:pPr>
              <w:rPr>
                <w:sz w:val="21"/>
                <w:szCs w:val="21"/>
              </w:rPr>
            </w:pPr>
          </w:p>
        </w:tc>
        <w:tc>
          <w:tcPr>
            <w:tcW w:w="0" w:type="dxa"/>
            <w:vAlign w:val="bottom"/>
          </w:tcPr>
          <w:p w14:paraId="18D175D2" w14:textId="77777777" w:rsidR="00D1587D" w:rsidRDefault="00D1587D">
            <w:pPr>
              <w:rPr>
                <w:sz w:val="1"/>
                <w:szCs w:val="1"/>
              </w:rPr>
            </w:pPr>
          </w:p>
        </w:tc>
      </w:tr>
      <w:tr w:rsidR="00D1587D" w14:paraId="6D10D996" w14:textId="77777777">
        <w:trPr>
          <w:trHeight w:val="294"/>
        </w:trPr>
        <w:tc>
          <w:tcPr>
            <w:tcW w:w="2360" w:type="dxa"/>
            <w:gridSpan w:val="2"/>
            <w:shd w:val="clear" w:color="auto" w:fill="CCEEFF"/>
            <w:vAlign w:val="bottom"/>
          </w:tcPr>
          <w:p w14:paraId="77A0BC81" w14:textId="77777777" w:rsidR="00D1587D" w:rsidRDefault="00410D07">
            <w:pPr>
              <w:spacing w:line="294" w:lineRule="exact"/>
              <w:ind w:left="180"/>
              <w:rPr>
                <w:sz w:val="20"/>
                <w:szCs w:val="20"/>
              </w:rPr>
            </w:pPr>
            <w:r>
              <w:rPr>
                <w:rFonts w:ascii="Arial" w:eastAsia="Arial" w:hAnsi="Arial" w:cs="Arial"/>
                <w:sz w:val="18"/>
                <w:szCs w:val="18"/>
              </w:rPr>
              <w:t>Options</w:t>
            </w:r>
            <w:r>
              <w:rPr>
                <w:rFonts w:ascii="Arial" w:eastAsia="Arial" w:hAnsi="Arial" w:cs="Arial"/>
                <w:sz w:val="29"/>
                <w:szCs w:val="29"/>
                <w:vertAlign w:val="superscript"/>
              </w:rPr>
              <w:t>(4)</w:t>
            </w:r>
          </w:p>
        </w:tc>
        <w:tc>
          <w:tcPr>
            <w:tcW w:w="200" w:type="dxa"/>
            <w:shd w:val="clear" w:color="auto" w:fill="CCEEFF"/>
            <w:vAlign w:val="bottom"/>
          </w:tcPr>
          <w:p w14:paraId="6C6C99DF" w14:textId="77777777" w:rsidR="00D1587D" w:rsidRDefault="00D1587D">
            <w:pPr>
              <w:rPr>
                <w:sz w:val="24"/>
                <w:szCs w:val="24"/>
              </w:rPr>
            </w:pPr>
          </w:p>
        </w:tc>
        <w:tc>
          <w:tcPr>
            <w:tcW w:w="700" w:type="dxa"/>
            <w:gridSpan w:val="2"/>
            <w:shd w:val="clear" w:color="auto" w:fill="CCEEFF"/>
            <w:vAlign w:val="bottom"/>
          </w:tcPr>
          <w:p w14:paraId="1D57E757" w14:textId="77777777" w:rsidR="00D1587D" w:rsidRDefault="00410D07">
            <w:pPr>
              <w:ind w:right="40"/>
              <w:jc w:val="right"/>
              <w:rPr>
                <w:sz w:val="20"/>
                <w:szCs w:val="20"/>
              </w:rPr>
            </w:pPr>
            <w:r>
              <w:rPr>
                <w:rFonts w:ascii="Arial" w:eastAsia="Arial" w:hAnsi="Arial" w:cs="Arial"/>
                <w:sz w:val="18"/>
                <w:szCs w:val="18"/>
              </w:rPr>
              <w:t>—</w:t>
            </w:r>
          </w:p>
        </w:tc>
        <w:tc>
          <w:tcPr>
            <w:tcW w:w="80" w:type="dxa"/>
            <w:shd w:val="clear" w:color="auto" w:fill="CCEEFF"/>
            <w:vAlign w:val="bottom"/>
          </w:tcPr>
          <w:p w14:paraId="5052BAAA" w14:textId="77777777" w:rsidR="00D1587D" w:rsidRDefault="00D1587D">
            <w:pPr>
              <w:rPr>
                <w:sz w:val="24"/>
                <w:szCs w:val="24"/>
              </w:rPr>
            </w:pPr>
          </w:p>
        </w:tc>
        <w:tc>
          <w:tcPr>
            <w:tcW w:w="100" w:type="dxa"/>
            <w:shd w:val="clear" w:color="auto" w:fill="CCEEFF"/>
            <w:vAlign w:val="bottom"/>
          </w:tcPr>
          <w:p w14:paraId="10CFDF3B" w14:textId="77777777" w:rsidR="00D1587D" w:rsidRDefault="00D1587D">
            <w:pPr>
              <w:rPr>
                <w:sz w:val="24"/>
                <w:szCs w:val="24"/>
              </w:rPr>
            </w:pPr>
          </w:p>
        </w:tc>
        <w:tc>
          <w:tcPr>
            <w:tcW w:w="1080" w:type="dxa"/>
            <w:gridSpan w:val="2"/>
            <w:shd w:val="clear" w:color="auto" w:fill="CCEEFF"/>
            <w:vAlign w:val="bottom"/>
          </w:tcPr>
          <w:p w14:paraId="11B39B40" w14:textId="77777777" w:rsidR="00D1587D" w:rsidRDefault="00410D07">
            <w:pPr>
              <w:ind w:right="220"/>
              <w:jc w:val="right"/>
              <w:rPr>
                <w:sz w:val="20"/>
                <w:szCs w:val="20"/>
              </w:rPr>
            </w:pPr>
            <w:r>
              <w:rPr>
                <w:rFonts w:ascii="Arial" w:eastAsia="Arial" w:hAnsi="Arial" w:cs="Arial"/>
                <w:sz w:val="18"/>
                <w:szCs w:val="18"/>
              </w:rPr>
              <w:t>—</w:t>
            </w:r>
          </w:p>
        </w:tc>
        <w:tc>
          <w:tcPr>
            <w:tcW w:w="940" w:type="dxa"/>
            <w:shd w:val="clear" w:color="auto" w:fill="CCEEFF"/>
            <w:vAlign w:val="bottom"/>
          </w:tcPr>
          <w:p w14:paraId="32579E4C" w14:textId="77777777" w:rsidR="00D1587D" w:rsidRDefault="00410D07">
            <w:pPr>
              <w:jc w:val="right"/>
              <w:rPr>
                <w:sz w:val="20"/>
                <w:szCs w:val="20"/>
              </w:rPr>
            </w:pPr>
            <w:r>
              <w:rPr>
                <w:rFonts w:ascii="Arial" w:eastAsia="Arial" w:hAnsi="Arial" w:cs="Arial"/>
                <w:sz w:val="18"/>
                <w:szCs w:val="18"/>
              </w:rPr>
              <w:t>236,820</w:t>
            </w:r>
          </w:p>
        </w:tc>
        <w:tc>
          <w:tcPr>
            <w:tcW w:w="180" w:type="dxa"/>
            <w:shd w:val="clear" w:color="auto" w:fill="CCEEFF"/>
            <w:vAlign w:val="bottom"/>
          </w:tcPr>
          <w:p w14:paraId="66609E5A" w14:textId="77777777" w:rsidR="00D1587D" w:rsidRDefault="00D1587D">
            <w:pPr>
              <w:rPr>
                <w:sz w:val="24"/>
                <w:szCs w:val="24"/>
              </w:rPr>
            </w:pPr>
          </w:p>
        </w:tc>
        <w:tc>
          <w:tcPr>
            <w:tcW w:w="160" w:type="dxa"/>
            <w:shd w:val="clear" w:color="auto" w:fill="CCEEFF"/>
            <w:vAlign w:val="bottom"/>
          </w:tcPr>
          <w:p w14:paraId="23A7CD3F" w14:textId="77777777" w:rsidR="00D1587D" w:rsidRDefault="00D1587D">
            <w:pPr>
              <w:rPr>
                <w:sz w:val="24"/>
                <w:szCs w:val="24"/>
              </w:rPr>
            </w:pPr>
          </w:p>
        </w:tc>
        <w:tc>
          <w:tcPr>
            <w:tcW w:w="660" w:type="dxa"/>
            <w:shd w:val="clear" w:color="auto" w:fill="CCEEFF"/>
            <w:vAlign w:val="bottom"/>
          </w:tcPr>
          <w:p w14:paraId="7779A899" w14:textId="77777777" w:rsidR="00D1587D" w:rsidRDefault="00410D07">
            <w:pPr>
              <w:jc w:val="right"/>
              <w:rPr>
                <w:sz w:val="20"/>
                <w:szCs w:val="20"/>
              </w:rPr>
            </w:pPr>
            <w:r>
              <w:rPr>
                <w:rFonts w:ascii="Arial" w:eastAsia="Arial" w:hAnsi="Arial" w:cs="Arial"/>
                <w:w w:val="95"/>
                <w:sz w:val="18"/>
                <w:szCs w:val="18"/>
              </w:rPr>
              <w:t>236,820</w:t>
            </w:r>
          </w:p>
        </w:tc>
        <w:tc>
          <w:tcPr>
            <w:tcW w:w="180" w:type="dxa"/>
            <w:shd w:val="clear" w:color="auto" w:fill="CCEEFF"/>
            <w:vAlign w:val="bottom"/>
          </w:tcPr>
          <w:p w14:paraId="1145F710" w14:textId="77777777" w:rsidR="00D1587D" w:rsidRDefault="00D1587D">
            <w:pPr>
              <w:rPr>
                <w:sz w:val="24"/>
                <w:szCs w:val="24"/>
              </w:rPr>
            </w:pPr>
          </w:p>
        </w:tc>
        <w:tc>
          <w:tcPr>
            <w:tcW w:w="100" w:type="dxa"/>
            <w:shd w:val="clear" w:color="auto" w:fill="CCEEFF"/>
            <w:vAlign w:val="bottom"/>
          </w:tcPr>
          <w:p w14:paraId="4423CF7E" w14:textId="77777777" w:rsidR="00D1587D" w:rsidRDefault="00D1587D">
            <w:pPr>
              <w:rPr>
                <w:sz w:val="24"/>
                <w:szCs w:val="24"/>
              </w:rPr>
            </w:pPr>
          </w:p>
        </w:tc>
        <w:tc>
          <w:tcPr>
            <w:tcW w:w="720" w:type="dxa"/>
            <w:shd w:val="clear" w:color="auto" w:fill="CCEEFF"/>
            <w:vAlign w:val="bottom"/>
          </w:tcPr>
          <w:p w14:paraId="2CDBF4D5" w14:textId="77777777" w:rsidR="00D1587D" w:rsidRDefault="00410D07">
            <w:pPr>
              <w:jc w:val="right"/>
              <w:rPr>
                <w:sz w:val="20"/>
                <w:szCs w:val="20"/>
              </w:rPr>
            </w:pPr>
            <w:r>
              <w:rPr>
                <w:rFonts w:ascii="Arial" w:eastAsia="Arial" w:hAnsi="Arial" w:cs="Arial"/>
                <w:sz w:val="18"/>
                <w:szCs w:val="18"/>
              </w:rPr>
              <w:t>236,820</w:t>
            </w:r>
          </w:p>
        </w:tc>
        <w:tc>
          <w:tcPr>
            <w:tcW w:w="180" w:type="dxa"/>
            <w:shd w:val="clear" w:color="auto" w:fill="CCEEFF"/>
            <w:vAlign w:val="bottom"/>
          </w:tcPr>
          <w:p w14:paraId="0D4C63FA" w14:textId="77777777" w:rsidR="00D1587D" w:rsidRDefault="00D1587D">
            <w:pPr>
              <w:rPr>
                <w:sz w:val="24"/>
                <w:szCs w:val="24"/>
              </w:rPr>
            </w:pPr>
          </w:p>
        </w:tc>
        <w:tc>
          <w:tcPr>
            <w:tcW w:w="300" w:type="dxa"/>
            <w:shd w:val="clear" w:color="auto" w:fill="CCEEFF"/>
            <w:vAlign w:val="bottom"/>
          </w:tcPr>
          <w:p w14:paraId="46A42411" w14:textId="77777777" w:rsidR="00D1587D" w:rsidRDefault="00D1587D">
            <w:pPr>
              <w:rPr>
                <w:sz w:val="24"/>
                <w:szCs w:val="24"/>
              </w:rPr>
            </w:pPr>
          </w:p>
        </w:tc>
        <w:tc>
          <w:tcPr>
            <w:tcW w:w="480" w:type="dxa"/>
            <w:shd w:val="clear" w:color="auto" w:fill="CCEEFF"/>
            <w:vAlign w:val="bottom"/>
          </w:tcPr>
          <w:p w14:paraId="22088D80" w14:textId="77777777" w:rsidR="00D1587D" w:rsidRDefault="00410D07">
            <w:pPr>
              <w:ind w:right="13"/>
              <w:jc w:val="right"/>
              <w:rPr>
                <w:sz w:val="20"/>
                <w:szCs w:val="20"/>
              </w:rPr>
            </w:pPr>
            <w:r>
              <w:rPr>
                <w:rFonts w:ascii="Arial" w:eastAsia="Arial" w:hAnsi="Arial" w:cs="Arial"/>
                <w:sz w:val="18"/>
                <w:szCs w:val="18"/>
              </w:rPr>
              <w:t>—</w:t>
            </w:r>
          </w:p>
        </w:tc>
        <w:tc>
          <w:tcPr>
            <w:tcW w:w="0" w:type="dxa"/>
            <w:vAlign w:val="bottom"/>
          </w:tcPr>
          <w:p w14:paraId="3D291B80" w14:textId="77777777" w:rsidR="00D1587D" w:rsidRDefault="00D1587D">
            <w:pPr>
              <w:rPr>
                <w:sz w:val="1"/>
                <w:szCs w:val="1"/>
              </w:rPr>
            </w:pPr>
          </w:p>
        </w:tc>
      </w:tr>
      <w:tr w:rsidR="00D1587D" w14:paraId="351051FA" w14:textId="77777777">
        <w:trPr>
          <w:trHeight w:val="246"/>
        </w:trPr>
        <w:tc>
          <w:tcPr>
            <w:tcW w:w="2360" w:type="dxa"/>
            <w:gridSpan w:val="2"/>
            <w:vAlign w:val="bottom"/>
          </w:tcPr>
          <w:p w14:paraId="3A783266" w14:textId="77777777" w:rsidR="00D1587D" w:rsidRDefault="00410D07">
            <w:pPr>
              <w:rPr>
                <w:sz w:val="20"/>
                <w:szCs w:val="20"/>
              </w:rPr>
            </w:pPr>
            <w:r>
              <w:rPr>
                <w:rFonts w:ascii="Arial" w:eastAsia="Arial" w:hAnsi="Arial" w:cs="Arial"/>
                <w:sz w:val="18"/>
                <w:szCs w:val="18"/>
              </w:rPr>
              <w:t>Value of Pro-rated or</w:t>
            </w:r>
          </w:p>
        </w:tc>
        <w:tc>
          <w:tcPr>
            <w:tcW w:w="200" w:type="dxa"/>
            <w:vAlign w:val="bottom"/>
          </w:tcPr>
          <w:p w14:paraId="303243E7" w14:textId="77777777" w:rsidR="00D1587D" w:rsidRDefault="00D1587D">
            <w:pPr>
              <w:rPr>
                <w:sz w:val="21"/>
                <w:szCs w:val="21"/>
              </w:rPr>
            </w:pPr>
          </w:p>
        </w:tc>
        <w:tc>
          <w:tcPr>
            <w:tcW w:w="600" w:type="dxa"/>
            <w:vAlign w:val="bottom"/>
          </w:tcPr>
          <w:p w14:paraId="1363CE63" w14:textId="77777777" w:rsidR="00D1587D" w:rsidRDefault="00D1587D">
            <w:pPr>
              <w:rPr>
                <w:sz w:val="21"/>
                <w:szCs w:val="21"/>
              </w:rPr>
            </w:pPr>
          </w:p>
        </w:tc>
        <w:tc>
          <w:tcPr>
            <w:tcW w:w="100" w:type="dxa"/>
            <w:vAlign w:val="bottom"/>
          </w:tcPr>
          <w:p w14:paraId="76F15ACB" w14:textId="77777777" w:rsidR="00D1587D" w:rsidRDefault="00D1587D">
            <w:pPr>
              <w:rPr>
                <w:sz w:val="21"/>
                <w:szCs w:val="21"/>
              </w:rPr>
            </w:pPr>
          </w:p>
        </w:tc>
        <w:tc>
          <w:tcPr>
            <w:tcW w:w="80" w:type="dxa"/>
            <w:vAlign w:val="bottom"/>
          </w:tcPr>
          <w:p w14:paraId="24350BBE" w14:textId="77777777" w:rsidR="00D1587D" w:rsidRDefault="00D1587D">
            <w:pPr>
              <w:rPr>
                <w:sz w:val="21"/>
                <w:szCs w:val="21"/>
              </w:rPr>
            </w:pPr>
          </w:p>
        </w:tc>
        <w:tc>
          <w:tcPr>
            <w:tcW w:w="100" w:type="dxa"/>
            <w:vAlign w:val="bottom"/>
          </w:tcPr>
          <w:p w14:paraId="22104461" w14:textId="77777777" w:rsidR="00D1587D" w:rsidRDefault="00D1587D">
            <w:pPr>
              <w:rPr>
                <w:sz w:val="21"/>
                <w:szCs w:val="21"/>
              </w:rPr>
            </w:pPr>
          </w:p>
        </w:tc>
        <w:tc>
          <w:tcPr>
            <w:tcW w:w="900" w:type="dxa"/>
            <w:vAlign w:val="bottom"/>
          </w:tcPr>
          <w:p w14:paraId="651BF43C" w14:textId="77777777" w:rsidR="00D1587D" w:rsidRDefault="00D1587D">
            <w:pPr>
              <w:rPr>
                <w:sz w:val="21"/>
                <w:szCs w:val="21"/>
              </w:rPr>
            </w:pPr>
          </w:p>
        </w:tc>
        <w:tc>
          <w:tcPr>
            <w:tcW w:w="180" w:type="dxa"/>
            <w:vAlign w:val="bottom"/>
          </w:tcPr>
          <w:p w14:paraId="7C758812" w14:textId="77777777" w:rsidR="00D1587D" w:rsidRDefault="00D1587D">
            <w:pPr>
              <w:rPr>
                <w:sz w:val="21"/>
                <w:szCs w:val="21"/>
              </w:rPr>
            </w:pPr>
          </w:p>
        </w:tc>
        <w:tc>
          <w:tcPr>
            <w:tcW w:w="940" w:type="dxa"/>
            <w:vAlign w:val="bottom"/>
          </w:tcPr>
          <w:p w14:paraId="43F2186B" w14:textId="77777777" w:rsidR="00D1587D" w:rsidRDefault="00D1587D">
            <w:pPr>
              <w:rPr>
                <w:sz w:val="21"/>
                <w:szCs w:val="21"/>
              </w:rPr>
            </w:pPr>
          </w:p>
        </w:tc>
        <w:tc>
          <w:tcPr>
            <w:tcW w:w="180" w:type="dxa"/>
            <w:vAlign w:val="bottom"/>
          </w:tcPr>
          <w:p w14:paraId="399FA0B5" w14:textId="77777777" w:rsidR="00D1587D" w:rsidRDefault="00D1587D">
            <w:pPr>
              <w:rPr>
                <w:sz w:val="21"/>
                <w:szCs w:val="21"/>
              </w:rPr>
            </w:pPr>
          </w:p>
        </w:tc>
        <w:tc>
          <w:tcPr>
            <w:tcW w:w="160" w:type="dxa"/>
            <w:vAlign w:val="bottom"/>
          </w:tcPr>
          <w:p w14:paraId="3BE4FF72" w14:textId="77777777" w:rsidR="00D1587D" w:rsidRDefault="00D1587D">
            <w:pPr>
              <w:rPr>
                <w:sz w:val="21"/>
                <w:szCs w:val="21"/>
              </w:rPr>
            </w:pPr>
          </w:p>
        </w:tc>
        <w:tc>
          <w:tcPr>
            <w:tcW w:w="660" w:type="dxa"/>
            <w:vAlign w:val="bottom"/>
          </w:tcPr>
          <w:p w14:paraId="5B287B06" w14:textId="77777777" w:rsidR="00D1587D" w:rsidRDefault="00D1587D">
            <w:pPr>
              <w:rPr>
                <w:sz w:val="21"/>
                <w:szCs w:val="21"/>
              </w:rPr>
            </w:pPr>
          </w:p>
        </w:tc>
        <w:tc>
          <w:tcPr>
            <w:tcW w:w="180" w:type="dxa"/>
            <w:vAlign w:val="bottom"/>
          </w:tcPr>
          <w:p w14:paraId="3B048160" w14:textId="77777777" w:rsidR="00D1587D" w:rsidRDefault="00D1587D">
            <w:pPr>
              <w:rPr>
                <w:sz w:val="21"/>
                <w:szCs w:val="21"/>
              </w:rPr>
            </w:pPr>
          </w:p>
        </w:tc>
        <w:tc>
          <w:tcPr>
            <w:tcW w:w="100" w:type="dxa"/>
            <w:vAlign w:val="bottom"/>
          </w:tcPr>
          <w:p w14:paraId="36E424CE" w14:textId="77777777" w:rsidR="00D1587D" w:rsidRDefault="00D1587D">
            <w:pPr>
              <w:rPr>
                <w:sz w:val="21"/>
                <w:szCs w:val="21"/>
              </w:rPr>
            </w:pPr>
          </w:p>
        </w:tc>
        <w:tc>
          <w:tcPr>
            <w:tcW w:w="720" w:type="dxa"/>
            <w:vAlign w:val="bottom"/>
          </w:tcPr>
          <w:p w14:paraId="6964C003" w14:textId="77777777" w:rsidR="00D1587D" w:rsidRDefault="00D1587D">
            <w:pPr>
              <w:rPr>
                <w:sz w:val="21"/>
                <w:szCs w:val="21"/>
              </w:rPr>
            </w:pPr>
          </w:p>
        </w:tc>
        <w:tc>
          <w:tcPr>
            <w:tcW w:w="180" w:type="dxa"/>
            <w:vAlign w:val="bottom"/>
          </w:tcPr>
          <w:p w14:paraId="59271060" w14:textId="77777777" w:rsidR="00D1587D" w:rsidRDefault="00D1587D">
            <w:pPr>
              <w:rPr>
                <w:sz w:val="21"/>
                <w:szCs w:val="21"/>
              </w:rPr>
            </w:pPr>
          </w:p>
        </w:tc>
        <w:tc>
          <w:tcPr>
            <w:tcW w:w="300" w:type="dxa"/>
            <w:vAlign w:val="bottom"/>
          </w:tcPr>
          <w:p w14:paraId="4AAC122F" w14:textId="77777777" w:rsidR="00D1587D" w:rsidRDefault="00D1587D">
            <w:pPr>
              <w:rPr>
                <w:sz w:val="21"/>
                <w:szCs w:val="21"/>
              </w:rPr>
            </w:pPr>
          </w:p>
        </w:tc>
        <w:tc>
          <w:tcPr>
            <w:tcW w:w="480" w:type="dxa"/>
            <w:vAlign w:val="bottom"/>
          </w:tcPr>
          <w:p w14:paraId="464270B6" w14:textId="77777777" w:rsidR="00D1587D" w:rsidRDefault="00D1587D">
            <w:pPr>
              <w:rPr>
                <w:sz w:val="21"/>
                <w:szCs w:val="21"/>
              </w:rPr>
            </w:pPr>
          </w:p>
        </w:tc>
        <w:tc>
          <w:tcPr>
            <w:tcW w:w="0" w:type="dxa"/>
            <w:vAlign w:val="bottom"/>
          </w:tcPr>
          <w:p w14:paraId="7DEAD593" w14:textId="77777777" w:rsidR="00D1587D" w:rsidRDefault="00D1587D">
            <w:pPr>
              <w:rPr>
                <w:sz w:val="1"/>
                <w:szCs w:val="1"/>
              </w:rPr>
            </w:pPr>
          </w:p>
        </w:tc>
      </w:tr>
      <w:tr w:rsidR="00D1587D" w14:paraId="680FE72A" w14:textId="77777777">
        <w:trPr>
          <w:trHeight w:val="294"/>
        </w:trPr>
        <w:tc>
          <w:tcPr>
            <w:tcW w:w="2360" w:type="dxa"/>
            <w:gridSpan w:val="2"/>
            <w:vAlign w:val="bottom"/>
          </w:tcPr>
          <w:p w14:paraId="4E25BB1C" w14:textId="77777777" w:rsidR="00D1587D" w:rsidRDefault="00410D07">
            <w:pPr>
              <w:spacing w:line="294" w:lineRule="exact"/>
              <w:ind w:left="180"/>
              <w:rPr>
                <w:sz w:val="20"/>
                <w:szCs w:val="20"/>
              </w:rPr>
            </w:pPr>
            <w:r>
              <w:rPr>
                <w:rFonts w:ascii="Arial" w:eastAsia="Arial" w:hAnsi="Arial" w:cs="Arial"/>
                <w:w w:val="97"/>
                <w:sz w:val="18"/>
                <w:szCs w:val="18"/>
              </w:rPr>
              <w:t>Accelerated PSUs/RSUs</w:t>
            </w:r>
            <w:r>
              <w:rPr>
                <w:rFonts w:ascii="Arial" w:eastAsia="Arial" w:hAnsi="Arial" w:cs="Arial"/>
                <w:w w:val="97"/>
                <w:sz w:val="29"/>
                <w:szCs w:val="29"/>
                <w:vertAlign w:val="superscript"/>
              </w:rPr>
              <w:t>(4)</w:t>
            </w:r>
          </w:p>
        </w:tc>
        <w:tc>
          <w:tcPr>
            <w:tcW w:w="200" w:type="dxa"/>
            <w:vAlign w:val="bottom"/>
          </w:tcPr>
          <w:p w14:paraId="18881277" w14:textId="77777777" w:rsidR="00D1587D" w:rsidRDefault="00D1587D">
            <w:pPr>
              <w:rPr>
                <w:sz w:val="24"/>
                <w:szCs w:val="24"/>
              </w:rPr>
            </w:pPr>
          </w:p>
        </w:tc>
        <w:tc>
          <w:tcPr>
            <w:tcW w:w="700" w:type="dxa"/>
            <w:gridSpan w:val="2"/>
            <w:vAlign w:val="bottom"/>
          </w:tcPr>
          <w:p w14:paraId="37392B49" w14:textId="77777777" w:rsidR="00D1587D" w:rsidRDefault="00410D07">
            <w:pPr>
              <w:ind w:right="40"/>
              <w:jc w:val="right"/>
              <w:rPr>
                <w:sz w:val="20"/>
                <w:szCs w:val="20"/>
              </w:rPr>
            </w:pPr>
            <w:r>
              <w:rPr>
                <w:rFonts w:ascii="Arial" w:eastAsia="Arial" w:hAnsi="Arial" w:cs="Arial"/>
                <w:sz w:val="18"/>
                <w:szCs w:val="18"/>
              </w:rPr>
              <w:t>—</w:t>
            </w:r>
          </w:p>
        </w:tc>
        <w:tc>
          <w:tcPr>
            <w:tcW w:w="1080" w:type="dxa"/>
            <w:gridSpan w:val="3"/>
            <w:vAlign w:val="bottom"/>
          </w:tcPr>
          <w:p w14:paraId="273E5102" w14:textId="77777777" w:rsidR="00D1587D" w:rsidRDefault="00410D07">
            <w:pPr>
              <w:jc w:val="right"/>
              <w:rPr>
                <w:sz w:val="20"/>
                <w:szCs w:val="20"/>
              </w:rPr>
            </w:pPr>
            <w:r>
              <w:rPr>
                <w:rFonts w:ascii="Arial" w:eastAsia="Arial" w:hAnsi="Arial" w:cs="Arial"/>
                <w:sz w:val="18"/>
                <w:szCs w:val="18"/>
              </w:rPr>
              <w:t>3,063,318</w:t>
            </w:r>
          </w:p>
        </w:tc>
        <w:tc>
          <w:tcPr>
            <w:tcW w:w="180" w:type="dxa"/>
            <w:vAlign w:val="bottom"/>
          </w:tcPr>
          <w:p w14:paraId="1CB68A21" w14:textId="77777777" w:rsidR="00D1587D" w:rsidRDefault="00D1587D">
            <w:pPr>
              <w:rPr>
                <w:sz w:val="24"/>
                <w:szCs w:val="24"/>
              </w:rPr>
            </w:pPr>
          </w:p>
        </w:tc>
        <w:tc>
          <w:tcPr>
            <w:tcW w:w="940" w:type="dxa"/>
            <w:vAlign w:val="bottom"/>
          </w:tcPr>
          <w:p w14:paraId="21DDC3A5" w14:textId="77777777" w:rsidR="00D1587D" w:rsidRDefault="00410D07">
            <w:pPr>
              <w:jc w:val="right"/>
              <w:rPr>
                <w:sz w:val="20"/>
                <w:szCs w:val="20"/>
              </w:rPr>
            </w:pPr>
            <w:r>
              <w:rPr>
                <w:rFonts w:ascii="Arial" w:eastAsia="Arial" w:hAnsi="Arial" w:cs="Arial"/>
                <w:sz w:val="18"/>
                <w:szCs w:val="18"/>
              </w:rPr>
              <w:t>6,289,146</w:t>
            </w:r>
          </w:p>
        </w:tc>
        <w:tc>
          <w:tcPr>
            <w:tcW w:w="1000" w:type="dxa"/>
            <w:gridSpan w:val="3"/>
            <w:vAlign w:val="bottom"/>
          </w:tcPr>
          <w:p w14:paraId="53A7587F" w14:textId="77777777" w:rsidR="00D1587D" w:rsidRDefault="00410D07">
            <w:pPr>
              <w:jc w:val="right"/>
              <w:rPr>
                <w:sz w:val="20"/>
                <w:szCs w:val="20"/>
              </w:rPr>
            </w:pPr>
            <w:r>
              <w:rPr>
                <w:rFonts w:ascii="Arial" w:eastAsia="Arial" w:hAnsi="Arial" w:cs="Arial"/>
                <w:sz w:val="18"/>
                <w:szCs w:val="18"/>
              </w:rPr>
              <w:t>6,289,146</w:t>
            </w:r>
          </w:p>
        </w:tc>
        <w:tc>
          <w:tcPr>
            <w:tcW w:w="1000" w:type="dxa"/>
            <w:gridSpan w:val="3"/>
            <w:vAlign w:val="bottom"/>
          </w:tcPr>
          <w:p w14:paraId="55FAEBE2" w14:textId="77777777" w:rsidR="00D1587D" w:rsidRDefault="00410D07">
            <w:pPr>
              <w:jc w:val="right"/>
              <w:rPr>
                <w:sz w:val="20"/>
                <w:szCs w:val="20"/>
              </w:rPr>
            </w:pPr>
            <w:r>
              <w:rPr>
                <w:rFonts w:ascii="Arial" w:eastAsia="Arial" w:hAnsi="Arial" w:cs="Arial"/>
                <w:sz w:val="18"/>
                <w:szCs w:val="18"/>
              </w:rPr>
              <w:t>6,289,146</w:t>
            </w:r>
          </w:p>
        </w:tc>
        <w:tc>
          <w:tcPr>
            <w:tcW w:w="180" w:type="dxa"/>
            <w:vAlign w:val="bottom"/>
          </w:tcPr>
          <w:p w14:paraId="16381E96" w14:textId="77777777" w:rsidR="00D1587D" w:rsidRDefault="00D1587D">
            <w:pPr>
              <w:rPr>
                <w:sz w:val="24"/>
                <w:szCs w:val="24"/>
              </w:rPr>
            </w:pPr>
          </w:p>
        </w:tc>
        <w:tc>
          <w:tcPr>
            <w:tcW w:w="300" w:type="dxa"/>
            <w:vAlign w:val="bottom"/>
          </w:tcPr>
          <w:p w14:paraId="01FA2009" w14:textId="77777777" w:rsidR="00D1587D" w:rsidRDefault="00D1587D">
            <w:pPr>
              <w:rPr>
                <w:sz w:val="24"/>
                <w:szCs w:val="24"/>
              </w:rPr>
            </w:pPr>
          </w:p>
        </w:tc>
        <w:tc>
          <w:tcPr>
            <w:tcW w:w="480" w:type="dxa"/>
            <w:vAlign w:val="bottom"/>
          </w:tcPr>
          <w:p w14:paraId="73ABADF1" w14:textId="77777777" w:rsidR="00D1587D" w:rsidRDefault="00410D07">
            <w:pPr>
              <w:ind w:right="13"/>
              <w:jc w:val="right"/>
              <w:rPr>
                <w:sz w:val="20"/>
                <w:szCs w:val="20"/>
              </w:rPr>
            </w:pPr>
            <w:r>
              <w:rPr>
                <w:rFonts w:ascii="Arial" w:eastAsia="Arial" w:hAnsi="Arial" w:cs="Arial"/>
                <w:sz w:val="18"/>
                <w:szCs w:val="18"/>
              </w:rPr>
              <w:t>—</w:t>
            </w:r>
          </w:p>
        </w:tc>
        <w:tc>
          <w:tcPr>
            <w:tcW w:w="0" w:type="dxa"/>
            <w:vAlign w:val="bottom"/>
          </w:tcPr>
          <w:p w14:paraId="1C3CEAFF" w14:textId="77777777" w:rsidR="00D1587D" w:rsidRDefault="00D1587D">
            <w:pPr>
              <w:rPr>
                <w:sz w:val="1"/>
                <w:szCs w:val="1"/>
              </w:rPr>
            </w:pPr>
          </w:p>
        </w:tc>
      </w:tr>
      <w:tr w:rsidR="00D1587D" w14:paraId="19622852" w14:textId="77777777">
        <w:trPr>
          <w:trHeight w:val="324"/>
        </w:trPr>
        <w:tc>
          <w:tcPr>
            <w:tcW w:w="2360" w:type="dxa"/>
            <w:gridSpan w:val="2"/>
            <w:shd w:val="clear" w:color="auto" w:fill="CCEEFF"/>
            <w:vAlign w:val="bottom"/>
          </w:tcPr>
          <w:p w14:paraId="45242EBE" w14:textId="77777777" w:rsidR="00D1587D" w:rsidRDefault="00410D07">
            <w:pPr>
              <w:spacing w:line="324" w:lineRule="exact"/>
              <w:rPr>
                <w:sz w:val="20"/>
                <w:szCs w:val="20"/>
              </w:rPr>
            </w:pPr>
            <w:r>
              <w:rPr>
                <w:rFonts w:ascii="Arial" w:eastAsia="Arial" w:hAnsi="Arial" w:cs="Arial"/>
                <w:sz w:val="18"/>
                <w:szCs w:val="18"/>
              </w:rPr>
              <w:t>Benefits and Perquisites</w:t>
            </w:r>
            <w:r>
              <w:rPr>
                <w:rFonts w:ascii="Arial" w:eastAsia="Arial" w:hAnsi="Arial" w:cs="Arial"/>
                <w:sz w:val="29"/>
                <w:szCs w:val="29"/>
                <w:vertAlign w:val="superscript"/>
              </w:rPr>
              <w:t>(5)</w:t>
            </w:r>
          </w:p>
        </w:tc>
        <w:tc>
          <w:tcPr>
            <w:tcW w:w="200" w:type="dxa"/>
            <w:shd w:val="clear" w:color="auto" w:fill="CCEEFF"/>
            <w:vAlign w:val="bottom"/>
          </w:tcPr>
          <w:p w14:paraId="18220BDD" w14:textId="77777777" w:rsidR="00D1587D" w:rsidRDefault="00D1587D">
            <w:pPr>
              <w:rPr>
                <w:sz w:val="24"/>
                <w:szCs w:val="24"/>
              </w:rPr>
            </w:pPr>
          </w:p>
        </w:tc>
        <w:tc>
          <w:tcPr>
            <w:tcW w:w="700" w:type="dxa"/>
            <w:gridSpan w:val="2"/>
            <w:shd w:val="clear" w:color="auto" w:fill="CCEEFF"/>
            <w:vAlign w:val="bottom"/>
          </w:tcPr>
          <w:p w14:paraId="6D2DD2C8" w14:textId="77777777" w:rsidR="00D1587D" w:rsidRDefault="00410D07">
            <w:pPr>
              <w:ind w:right="40"/>
              <w:jc w:val="right"/>
              <w:rPr>
                <w:sz w:val="20"/>
                <w:szCs w:val="20"/>
              </w:rPr>
            </w:pPr>
            <w:r>
              <w:rPr>
                <w:rFonts w:ascii="Arial" w:eastAsia="Arial" w:hAnsi="Arial" w:cs="Arial"/>
                <w:sz w:val="18"/>
                <w:szCs w:val="18"/>
              </w:rPr>
              <w:t>30,648</w:t>
            </w:r>
          </w:p>
        </w:tc>
        <w:tc>
          <w:tcPr>
            <w:tcW w:w="1080" w:type="dxa"/>
            <w:gridSpan w:val="3"/>
            <w:shd w:val="clear" w:color="auto" w:fill="CCEEFF"/>
            <w:vAlign w:val="bottom"/>
          </w:tcPr>
          <w:p w14:paraId="11FC3706" w14:textId="77777777" w:rsidR="00D1587D" w:rsidRDefault="00410D07">
            <w:pPr>
              <w:jc w:val="right"/>
              <w:rPr>
                <w:sz w:val="20"/>
                <w:szCs w:val="20"/>
              </w:rPr>
            </w:pPr>
            <w:r>
              <w:rPr>
                <w:rFonts w:ascii="Arial" w:eastAsia="Arial" w:hAnsi="Arial" w:cs="Arial"/>
                <w:sz w:val="18"/>
                <w:szCs w:val="18"/>
              </w:rPr>
              <w:t>37,228</w:t>
            </w:r>
          </w:p>
        </w:tc>
        <w:tc>
          <w:tcPr>
            <w:tcW w:w="180" w:type="dxa"/>
            <w:shd w:val="clear" w:color="auto" w:fill="CCEEFF"/>
            <w:vAlign w:val="bottom"/>
          </w:tcPr>
          <w:p w14:paraId="13D7981B" w14:textId="77777777" w:rsidR="00D1587D" w:rsidRDefault="00D1587D">
            <w:pPr>
              <w:rPr>
                <w:sz w:val="24"/>
                <w:szCs w:val="24"/>
              </w:rPr>
            </w:pPr>
          </w:p>
        </w:tc>
        <w:tc>
          <w:tcPr>
            <w:tcW w:w="940" w:type="dxa"/>
            <w:shd w:val="clear" w:color="auto" w:fill="CCEEFF"/>
            <w:vAlign w:val="bottom"/>
          </w:tcPr>
          <w:p w14:paraId="50F2FCC1" w14:textId="77777777" w:rsidR="00D1587D" w:rsidRDefault="00410D07">
            <w:pPr>
              <w:jc w:val="right"/>
              <w:rPr>
                <w:sz w:val="20"/>
                <w:szCs w:val="20"/>
              </w:rPr>
            </w:pPr>
            <w:r>
              <w:rPr>
                <w:rFonts w:ascii="Arial" w:eastAsia="Arial" w:hAnsi="Arial" w:cs="Arial"/>
                <w:sz w:val="18"/>
                <w:szCs w:val="18"/>
              </w:rPr>
              <w:t>37,228</w:t>
            </w:r>
          </w:p>
        </w:tc>
        <w:tc>
          <w:tcPr>
            <w:tcW w:w="1000" w:type="dxa"/>
            <w:gridSpan w:val="3"/>
            <w:shd w:val="clear" w:color="auto" w:fill="CCEEFF"/>
            <w:vAlign w:val="bottom"/>
          </w:tcPr>
          <w:p w14:paraId="14D753C1" w14:textId="77777777" w:rsidR="00D1587D" w:rsidRDefault="00410D07">
            <w:pPr>
              <w:jc w:val="right"/>
              <w:rPr>
                <w:sz w:val="20"/>
                <w:szCs w:val="20"/>
              </w:rPr>
            </w:pPr>
            <w:r>
              <w:rPr>
                <w:rFonts w:ascii="Arial" w:eastAsia="Arial" w:hAnsi="Arial" w:cs="Arial"/>
                <w:sz w:val="18"/>
                <w:szCs w:val="18"/>
              </w:rPr>
              <w:t>2,017,488</w:t>
            </w:r>
          </w:p>
        </w:tc>
        <w:tc>
          <w:tcPr>
            <w:tcW w:w="180" w:type="dxa"/>
            <w:shd w:val="clear" w:color="auto" w:fill="CCEEFF"/>
            <w:vAlign w:val="bottom"/>
          </w:tcPr>
          <w:p w14:paraId="23B4CC36" w14:textId="77777777" w:rsidR="00D1587D" w:rsidRDefault="00D1587D">
            <w:pPr>
              <w:rPr>
                <w:sz w:val="24"/>
                <w:szCs w:val="24"/>
              </w:rPr>
            </w:pPr>
          </w:p>
        </w:tc>
        <w:tc>
          <w:tcPr>
            <w:tcW w:w="100" w:type="dxa"/>
            <w:shd w:val="clear" w:color="auto" w:fill="CCEEFF"/>
            <w:vAlign w:val="bottom"/>
          </w:tcPr>
          <w:p w14:paraId="6A0AF6D3" w14:textId="77777777" w:rsidR="00D1587D" w:rsidRDefault="00D1587D">
            <w:pPr>
              <w:rPr>
                <w:sz w:val="24"/>
                <w:szCs w:val="24"/>
              </w:rPr>
            </w:pPr>
          </w:p>
        </w:tc>
        <w:tc>
          <w:tcPr>
            <w:tcW w:w="720" w:type="dxa"/>
            <w:shd w:val="clear" w:color="auto" w:fill="CCEEFF"/>
            <w:vAlign w:val="bottom"/>
          </w:tcPr>
          <w:p w14:paraId="41ABFA3B" w14:textId="77777777" w:rsidR="00D1587D" w:rsidRDefault="00410D07">
            <w:pPr>
              <w:jc w:val="right"/>
              <w:rPr>
                <w:sz w:val="20"/>
                <w:szCs w:val="20"/>
              </w:rPr>
            </w:pPr>
            <w:r>
              <w:rPr>
                <w:rFonts w:ascii="Arial" w:eastAsia="Arial" w:hAnsi="Arial" w:cs="Arial"/>
                <w:sz w:val="18"/>
                <w:szCs w:val="18"/>
              </w:rPr>
              <w:t>508,279</w:t>
            </w:r>
          </w:p>
        </w:tc>
        <w:tc>
          <w:tcPr>
            <w:tcW w:w="180" w:type="dxa"/>
            <w:shd w:val="clear" w:color="auto" w:fill="CCEEFF"/>
            <w:vAlign w:val="bottom"/>
          </w:tcPr>
          <w:p w14:paraId="7DAB93C1" w14:textId="77777777" w:rsidR="00D1587D" w:rsidRDefault="00D1587D">
            <w:pPr>
              <w:rPr>
                <w:sz w:val="24"/>
                <w:szCs w:val="24"/>
              </w:rPr>
            </w:pPr>
          </w:p>
        </w:tc>
        <w:tc>
          <w:tcPr>
            <w:tcW w:w="780" w:type="dxa"/>
            <w:gridSpan w:val="2"/>
            <w:shd w:val="clear" w:color="auto" w:fill="CCEEFF"/>
            <w:vAlign w:val="bottom"/>
          </w:tcPr>
          <w:p w14:paraId="3A5049A7" w14:textId="77777777" w:rsidR="00D1587D" w:rsidRDefault="00410D07">
            <w:pPr>
              <w:ind w:right="13"/>
              <w:jc w:val="right"/>
              <w:rPr>
                <w:sz w:val="20"/>
                <w:szCs w:val="20"/>
              </w:rPr>
            </w:pPr>
            <w:r>
              <w:rPr>
                <w:rFonts w:ascii="Arial" w:eastAsia="Arial" w:hAnsi="Arial" w:cs="Arial"/>
                <w:sz w:val="18"/>
                <w:szCs w:val="18"/>
              </w:rPr>
              <w:t>17,488</w:t>
            </w:r>
          </w:p>
        </w:tc>
        <w:tc>
          <w:tcPr>
            <w:tcW w:w="0" w:type="dxa"/>
            <w:vAlign w:val="bottom"/>
          </w:tcPr>
          <w:p w14:paraId="35264CEE" w14:textId="77777777" w:rsidR="00D1587D" w:rsidRDefault="00D1587D">
            <w:pPr>
              <w:rPr>
                <w:sz w:val="1"/>
                <w:szCs w:val="1"/>
              </w:rPr>
            </w:pPr>
          </w:p>
        </w:tc>
      </w:tr>
      <w:tr w:rsidR="00D1587D" w14:paraId="4398E37F" w14:textId="77777777">
        <w:trPr>
          <w:trHeight w:val="270"/>
        </w:trPr>
        <w:tc>
          <w:tcPr>
            <w:tcW w:w="2360" w:type="dxa"/>
            <w:gridSpan w:val="2"/>
            <w:vAlign w:val="bottom"/>
          </w:tcPr>
          <w:p w14:paraId="65B18DCE" w14:textId="77777777" w:rsidR="00D1587D" w:rsidRDefault="00410D07">
            <w:pPr>
              <w:rPr>
                <w:sz w:val="20"/>
                <w:szCs w:val="20"/>
              </w:rPr>
            </w:pPr>
            <w:r>
              <w:rPr>
                <w:rFonts w:ascii="Arial" w:eastAsia="Arial" w:hAnsi="Arial" w:cs="Arial"/>
                <w:sz w:val="18"/>
                <w:szCs w:val="18"/>
              </w:rPr>
              <w:t>Tax Gross-Up</w:t>
            </w:r>
          </w:p>
        </w:tc>
        <w:tc>
          <w:tcPr>
            <w:tcW w:w="200" w:type="dxa"/>
            <w:vAlign w:val="bottom"/>
          </w:tcPr>
          <w:p w14:paraId="679A04A1" w14:textId="77777777" w:rsidR="00D1587D" w:rsidRDefault="00D1587D">
            <w:pPr>
              <w:rPr>
                <w:sz w:val="23"/>
                <w:szCs w:val="23"/>
              </w:rPr>
            </w:pPr>
          </w:p>
        </w:tc>
        <w:tc>
          <w:tcPr>
            <w:tcW w:w="700" w:type="dxa"/>
            <w:gridSpan w:val="2"/>
            <w:vAlign w:val="bottom"/>
          </w:tcPr>
          <w:p w14:paraId="1AB08ACD" w14:textId="77777777" w:rsidR="00D1587D" w:rsidRDefault="00410D07">
            <w:pPr>
              <w:ind w:right="40"/>
              <w:jc w:val="right"/>
              <w:rPr>
                <w:sz w:val="20"/>
                <w:szCs w:val="20"/>
              </w:rPr>
            </w:pPr>
            <w:r>
              <w:rPr>
                <w:rFonts w:ascii="Arial" w:eastAsia="Arial" w:hAnsi="Arial" w:cs="Arial"/>
                <w:sz w:val="18"/>
                <w:szCs w:val="18"/>
              </w:rPr>
              <w:t>N/A</w:t>
            </w:r>
          </w:p>
        </w:tc>
        <w:tc>
          <w:tcPr>
            <w:tcW w:w="80" w:type="dxa"/>
            <w:vAlign w:val="bottom"/>
          </w:tcPr>
          <w:p w14:paraId="01C9AD0C" w14:textId="77777777" w:rsidR="00D1587D" w:rsidRDefault="00D1587D">
            <w:pPr>
              <w:rPr>
                <w:sz w:val="23"/>
                <w:szCs w:val="23"/>
              </w:rPr>
            </w:pPr>
          </w:p>
        </w:tc>
        <w:tc>
          <w:tcPr>
            <w:tcW w:w="100" w:type="dxa"/>
            <w:vAlign w:val="bottom"/>
          </w:tcPr>
          <w:p w14:paraId="31005F48" w14:textId="77777777" w:rsidR="00D1587D" w:rsidRDefault="00D1587D">
            <w:pPr>
              <w:rPr>
                <w:sz w:val="23"/>
                <w:szCs w:val="23"/>
              </w:rPr>
            </w:pPr>
          </w:p>
        </w:tc>
        <w:tc>
          <w:tcPr>
            <w:tcW w:w="1080" w:type="dxa"/>
            <w:gridSpan w:val="2"/>
            <w:vAlign w:val="bottom"/>
          </w:tcPr>
          <w:p w14:paraId="7654104B" w14:textId="77777777" w:rsidR="00D1587D" w:rsidRDefault="00410D07">
            <w:pPr>
              <w:ind w:left="560"/>
              <w:rPr>
                <w:sz w:val="20"/>
                <w:szCs w:val="20"/>
              </w:rPr>
            </w:pPr>
            <w:r>
              <w:rPr>
                <w:rFonts w:ascii="Arial" w:eastAsia="Arial" w:hAnsi="Arial" w:cs="Arial"/>
                <w:sz w:val="18"/>
                <w:szCs w:val="18"/>
              </w:rPr>
              <w:t>N/A</w:t>
            </w:r>
          </w:p>
        </w:tc>
        <w:tc>
          <w:tcPr>
            <w:tcW w:w="940" w:type="dxa"/>
            <w:vAlign w:val="bottom"/>
          </w:tcPr>
          <w:p w14:paraId="1201F480"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700D91A9" w14:textId="77777777" w:rsidR="00D1587D" w:rsidRDefault="00D1587D">
            <w:pPr>
              <w:rPr>
                <w:sz w:val="23"/>
                <w:szCs w:val="23"/>
              </w:rPr>
            </w:pPr>
          </w:p>
        </w:tc>
        <w:tc>
          <w:tcPr>
            <w:tcW w:w="160" w:type="dxa"/>
            <w:vAlign w:val="bottom"/>
          </w:tcPr>
          <w:p w14:paraId="539A0551" w14:textId="77777777" w:rsidR="00D1587D" w:rsidRDefault="00D1587D">
            <w:pPr>
              <w:rPr>
                <w:sz w:val="23"/>
                <w:szCs w:val="23"/>
              </w:rPr>
            </w:pPr>
          </w:p>
        </w:tc>
        <w:tc>
          <w:tcPr>
            <w:tcW w:w="660" w:type="dxa"/>
            <w:vAlign w:val="bottom"/>
          </w:tcPr>
          <w:p w14:paraId="56CAD741"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3EB0C8DB" w14:textId="77777777" w:rsidR="00D1587D" w:rsidRDefault="00D1587D">
            <w:pPr>
              <w:rPr>
                <w:sz w:val="23"/>
                <w:szCs w:val="23"/>
              </w:rPr>
            </w:pPr>
          </w:p>
        </w:tc>
        <w:tc>
          <w:tcPr>
            <w:tcW w:w="100" w:type="dxa"/>
            <w:vAlign w:val="bottom"/>
          </w:tcPr>
          <w:p w14:paraId="1F165725" w14:textId="77777777" w:rsidR="00D1587D" w:rsidRDefault="00D1587D">
            <w:pPr>
              <w:rPr>
                <w:sz w:val="23"/>
                <w:szCs w:val="23"/>
              </w:rPr>
            </w:pPr>
          </w:p>
        </w:tc>
        <w:tc>
          <w:tcPr>
            <w:tcW w:w="900" w:type="dxa"/>
            <w:gridSpan w:val="2"/>
            <w:vAlign w:val="bottom"/>
          </w:tcPr>
          <w:p w14:paraId="3719FB43" w14:textId="77777777" w:rsidR="00D1587D" w:rsidRDefault="00410D07">
            <w:pPr>
              <w:ind w:left="400"/>
              <w:rPr>
                <w:sz w:val="20"/>
                <w:szCs w:val="20"/>
              </w:rPr>
            </w:pPr>
            <w:r>
              <w:rPr>
                <w:rFonts w:ascii="Arial" w:eastAsia="Arial" w:hAnsi="Arial" w:cs="Arial"/>
                <w:sz w:val="18"/>
                <w:szCs w:val="18"/>
              </w:rPr>
              <w:t>N/A</w:t>
            </w:r>
          </w:p>
        </w:tc>
        <w:tc>
          <w:tcPr>
            <w:tcW w:w="300" w:type="dxa"/>
            <w:vAlign w:val="bottom"/>
          </w:tcPr>
          <w:p w14:paraId="7AC9047D" w14:textId="77777777" w:rsidR="00D1587D" w:rsidRDefault="00D1587D">
            <w:pPr>
              <w:rPr>
                <w:sz w:val="23"/>
                <w:szCs w:val="23"/>
              </w:rPr>
            </w:pPr>
          </w:p>
        </w:tc>
        <w:tc>
          <w:tcPr>
            <w:tcW w:w="480" w:type="dxa"/>
            <w:vAlign w:val="bottom"/>
          </w:tcPr>
          <w:p w14:paraId="0CBE36BC" w14:textId="77777777" w:rsidR="00D1587D" w:rsidRDefault="00410D07">
            <w:pPr>
              <w:ind w:right="13"/>
              <w:jc w:val="right"/>
              <w:rPr>
                <w:sz w:val="20"/>
                <w:szCs w:val="20"/>
              </w:rPr>
            </w:pPr>
            <w:r>
              <w:rPr>
                <w:rFonts w:ascii="Arial" w:eastAsia="Arial" w:hAnsi="Arial" w:cs="Arial"/>
                <w:sz w:val="18"/>
                <w:szCs w:val="18"/>
              </w:rPr>
              <w:t>N/A</w:t>
            </w:r>
          </w:p>
        </w:tc>
        <w:tc>
          <w:tcPr>
            <w:tcW w:w="0" w:type="dxa"/>
            <w:vAlign w:val="bottom"/>
          </w:tcPr>
          <w:p w14:paraId="78467F91" w14:textId="77777777" w:rsidR="00D1587D" w:rsidRDefault="00D1587D">
            <w:pPr>
              <w:rPr>
                <w:sz w:val="1"/>
                <w:szCs w:val="1"/>
              </w:rPr>
            </w:pPr>
          </w:p>
        </w:tc>
      </w:tr>
      <w:tr w:rsidR="00D1587D" w14:paraId="4E428DCB" w14:textId="77777777">
        <w:trPr>
          <w:trHeight w:val="68"/>
        </w:trPr>
        <w:tc>
          <w:tcPr>
            <w:tcW w:w="2260" w:type="dxa"/>
            <w:tcBorders>
              <w:bottom w:val="single" w:sz="8" w:space="0" w:color="CCEEFF"/>
            </w:tcBorders>
            <w:vAlign w:val="bottom"/>
          </w:tcPr>
          <w:p w14:paraId="5B5C68DC" w14:textId="77777777" w:rsidR="00D1587D" w:rsidRDefault="00D1587D">
            <w:pPr>
              <w:rPr>
                <w:sz w:val="5"/>
                <w:szCs w:val="5"/>
              </w:rPr>
            </w:pPr>
          </w:p>
        </w:tc>
        <w:tc>
          <w:tcPr>
            <w:tcW w:w="100" w:type="dxa"/>
            <w:tcBorders>
              <w:bottom w:val="single" w:sz="8" w:space="0" w:color="CCEEFF"/>
            </w:tcBorders>
            <w:vAlign w:val="bottom"/>
          </w:tcPr>
          <w:p w14:paraId="032FA514" w14:textId="77777777" w:rsidR="00D1587D" w:rsidRDefault="00D1587D">
            <w:pPr>
              <w:rPr>
                <w:sz w:val="5"/>
                <w:szCs w:val="5"/>
              </w:rPr>
            </w:pPr>
          </w:p>
        </w:tc>
        <w:tc>
          <w:tcPr>
            <w:tcW w:w="800" w:type="dxa"/>
            <w:gridSpan w:val="2"/>
            <w:tcBorders>
              <w:bottom w:val="single" w:sz="8" w:space="0" w:color="auto"/>
            </w:tcBorders>
            <w:vAlign w:val="bottom"/>
          </w:tcPr>
          <w:p w14:paraId="55DCABFC" w14:textId="77777777" w:rsidR="00D1587D" w:rsidRDefault="00D1587D">
            <w:pPr>
              <w:rPr>
                <w:sz w:val="5"/>
                <w:szCs w:val="5"/>
              </w:rPr>
            </w:pPr>
          </w:p>
        </w:tc>
        <w:tc>
          <w:tcPr>
            <w:tcW w:w="100" w:type="dxa"/>
            <w:tcBorders>
              <w:bottom w:val="single" w:sz="8" w:space="0" w:color="auto"/>
            </w:tcBorders>
            <w:vAlign w:val="bottom"/>
          </w:tcPr>
          <w:p w14:paraId="0DBEB37A" w14:textId="77777777" w:rsidR="00D1587D" w:rsidRDefault="00D1587D">
            <w:pPr>
              <w:rPr>
                <w:sz w:val="5"/>
                <w:szCs w:val="5"/>
              </w:rPr>
            </w:pPr>
          </w:p>
        </w:tc>
        <w:tc>
          <w:tcPr>
            <w:tcW w:w="80" w:type="dxa"/>
            <w:tcBorders>
              <w:bottom w:val="single" w:sz="8" w:space="0" w:color="CCEEFF"/>
            </w:tcBorders>
            <w:vAlign w:val="bottom"/>
          </w:tcPr>
          <w:p w14:paraId="67F7FA07" w14:textId="77777777" w:rsidR="00D1587D" w:rsidRDefault="00D1587D">
            <w:pPr>
              <w:rPr>
                <w:sz w:val="5"/>
                <w:szCs w:val="5"/>
              </w:rPr>
            </w:pPr>
          </w:p>
        </w:tc>
        <w:tc>
          <w:tcPr>
            <w:tcW w:w="100" w:type="dxa"/>
            <w:tcBorders>
              <w:bottom w:val="single" w:sz="8" w:space="0" w:color="CCEEFF"/>
            </w:tcBorders>
            <w:vAlign w:val="bottom"/>
          </w:tcPr>
          <w:p w14:paraId="2F3FCCEA" w14:textId="77777777" w:rsidR="00D1587D" w:rsidRDefault="00D1587D">
            <w:pPr>
              <w:rPr>
                <w:sz w:val="5"/>
                <w:szCs w:val="5"/>
              </w:rPr>
            </w:pPr>
          </w:p>
        </w:tc>
        <w:tc>
          <w:tcPr>
            <w:tcW w:w="900" w:type="dxa"/>
            <w:tcBorders>
              <w:bottom w:val="single" w:sz="8" w:space="0" w:color="auto"/>
            </w:tcBorders>
            <w:vAlign w:val="bottom"/>
          </w:tcPr>
          <w:p w14:paraId="3DA4F5D7" w14:textId="77777777" w:rsidR="00D1587D" w:rsidRDefault="00D1587D">
            <w:pPr>
              <w:rPr>
                <w:sz w:val="5"/>
                <w:szCs w:val="5"/>
              </w:rPr>
            </w:pPr>
          </w:p>
        </w:tc>
        <w:tc>
          <w:tcPr>
            <w:tcW w:w="180" w:type="dxa"/>
            <w:tcBorders>
              <w:bottom w:val="single" w:sz="8" w:space="0" w:color="CCEEFF"/>
            </w:tcBorders>
            <w:vAlign w:val="bottom"/>
          </w:tcPr>
          <w:p w14:paraId="7C7801DC" w14:textId="77777777" w:rsidR="00D1587D" w:rsidRDefault="00D1587D">
            <w:pPr>
              <w:rPr>
                <w:sz w:val="5"/>
                <w:szCs w:val="5"/>
              </w:rPr>
            </w:pPr>
          </w:p>
        </w:tc>
        <w:tc>
          <w:tcPr>
            <w:tcW w:w="940" w:type="dxa"/>
            <w:tcBorders>
              <w:bottom w:val="single" w:sz="8" w:space="0" w:color="auto"/>
            </w:tcBorders>
            <w:vAlign w:val="bottom"/>
          </w:tcPr>
          <w:p w14:paraId="22EC3D13" w14:textId="77777777" w:rsidR="00D1587D" w:rsidRDefault="00D1587D">
            <w:pPr>
              <w:rPr>
                <w:sz w:val="5"/>
                <w:szCs w:val="5"/>
              </w:rPr>
            </w:pPr>
          </w:p>
        </w:tc>
        <w:tc>
          <w:tcPr>
            <w:tcW w:w="180" w:type="dxa"/>
            <w:tcBorders>
              <w:bottom w:val="single" w:sz="8" w:space="0" w:color="CCEEFF"/>
            </w:tcBorders>
            <w:vAlign w:val="bottom"/>
          </w:tcPr>
          <w:p w14:paraId="5BEFC7F5" w14:textId="77777777" w:rsidR="00D1587D" w:rsidRDefault="00D1587D">
            <w:pPr>
              <w:rPr>
                <w:sz w:val="5"/>
                <w:szCs w:val="5"/>
              </w:rPr>
            </w:pPr>
          </w:p>
        </w:tc>
        <w:tc>
          <w:tcPr>
            <w:tcW w:w="820" w:type="dxa"/>
            <w:gridSpan w:val="2"/>
            <w:tcBorders>
              <w:bottom w:val="single" w:sz="8" w:space="0" w:color="auto"/>
            </w:tcBorders>
            <w:vAlign w:val="bottom"/>
          </w:tcPr>
          <w:p w14:paraId="18D6FBD7" w14:textId="77777777" w:rsidR="00D1587D" w:rsidRDefault="00D1587D">
            <w:pPr>
              <w:rPr>
                <w:sz w:val="5"/>
                <w:szCs w:val="5"/>
              </w:rPr>
            </w:pPr>
          </w:p>
        </w:tc>
        <w:tc>
          <w:tcPr>
            <w:tcW w:w="180" w:type="dxa"/>
            <w:tcBorders>
              <w:bottom w:val="single" w:sz="8" w:space="0" w:color="CCEEFF"/>
            </w:tcBorders>
            <w:vAlign w:val="bottom"/>
          </w:tcPr>
          <w:p w14:paraId="0A8827EC" w14:textId="77777777" w:rsidR="00D1587D" w:rsidRDefault="00D1587D">
            <w:pPr>
              <w:rPr>
                <w:sz w:val="5"/>
                <w:szCs w:val="5"/>
              </w:rPr>
            </w:pPr>
          </w:p>
        </w:tc>
        <w:tc>
          <w:tcPr>
            <w:tcW w:w="820" w:type="dxa"/>
            <w:gridSpan w:val="2"/>
            <w:tcBorders>
              <w:bottom w:val="single" w:sz="8" w:space="0" w:color="auto"/>
            </w:tcBorders>
            <w:vAlign w:val="bottom"/>
          </w:tcPr>
          <w:p w14:paraId="247040C8" w14:textId="77777777" w:rsidR="00D1587D" w:rsidRDefault="00D1587D">
            <w:pPr>
              <w:rPr>
                <w:sz w:val="5"/>
                <w:szCs w:val="5"/>
              </w:rPr>
            </w:pPr>
          </w:p>
        </w:tc>
        <w:tc>
          <w:tcPr>
            <w:tcW w:w="180" w:type="dxa"/>
            <w:tcBorders>
              <w:bottom w:val="single" w:sz="8" w:space="0" w:color="CCEEFF"/>
            </w:tcBorders>
            <w:vAlign w:val="bottom"/>
          </w:tcPr>
          <w:p w14:paraId="01720D67" w14:textId="77777777" w:rsidR="00D1587D" w:rsidRDefault="00D1587D">
            <w:pPr>
              <w:rPr>
                <w:sz w:val="5"/>
                <w:szCs w:val="5"/>
              </w:rPr>
            </w:pPr>
          </w:p>
        </w:tc>
        <w:tc>
          <w:tcPr>
            <w:tcW w:w="780" w:type="dxa"/>
            <w:gridSpan w:val="2"/>
            <w:tcBorders>
              <w:bottom w:val="single" w:sz="8" w:space="0" w:color="auto"/>
            </w:tcBorders>
            <w:vAlign w:val="bottom"/>
          </w:tcPr>
          <w:p w14:paraId="0F78EC9B" w14:textId="77777777" w:rsidR="00D1587D" w:rsidRDefault="00D1587D">
            <w:pPr>
              <w:rPr>
                <w:sz w:val="5"/>
                <w:szCs w:val="5"/>
              </w:rPr>
            </w:pPr>
          </w:p>
        </w:tc>
        <w:tc>
          <w:tcPr>
            <w:tcW w:w="0" w:type="dxa"/>
            <w:vAlign w:val="bottom"/>
          </w:tcPr>
          <w:p w14:paraId="2D19B507" w14:textId="77777777" w:rsidR="00D1587D" w:rsidRDefault="00D1587D">
            <w:pPr>
              <w:rPr>
                <w:sz w:val="1"/>
                <w:szCs w:val="1"/>
              </w:rPr>
            </w:pPr>
          </w:p>
        </w:tc>
      </w:tr>
      <w:tr w:rsidR="00D1587D" w14:paraId="16BC6715" w14:textId="77777777">
        <w:trPr>
          <w:trHeight w:val="396"/>
        </w:trPr>
        <w:tc>
          <w:tcPr>
            <w:tcW w:w="2360" w:type="dxa"/>
            <w:gridSpan w:val="2"/>
            <w:tcBorders>
              <w:bottom w:val="single" w:sz="8" w:space="0" w:color="CCEEFF"/>
            </w:tcBorders>
            <w:shd w:val="clear" w:color="auto" w:fill="CCEEFF"/>
            <w:vAlign w:val="bottom"/>
          </w:tcPr>
          <w:p w14:paraId="6A468870" w14:textId="77777777" w:rsidR="00D1587D" w:rsidRDefault="00410D07">
            <w:pPr>
              <w:rPr>
                <w:sz w:val="20"/>
                <w:szCs w:val="20"/>
              </w:rPr>
            </w:pPr>
            <w:r>
              <w:rPr>
                <w:rFonts w:ascii="Arial" w:eastAsia="Arial" w:hAnsi="Arial" w:cs="Arial"/>
                <w:sz w:val="18"/>
                <w:szCs w:val="18"/>
              </w:rPr>
              <w:t>Total</w:t>
            </w:r>
          </w:p>
        </w:tc>
        <w:tc>
          <w:tcPr>
            <w:tcW w:w="900" w:type="dxa"/>
            <w:gridSpan w:val="3"/>
            <w:tcBorders>
              <w:bottom w:val="single" w:sz="8" w:space="0" w:color="CCEEFF"/>
            </w:tcBorders>
            <w:shd w:val="clear" w:color="auto" w:fill="CCEEFF"/>
            <w:vAlign w:val="bottom"/>
          </w:tcPr>
          <w:p w14:paraId="2EED1132" w14:textId="77777777" w:rsidR="00D1587D" w:rsidRDefault="00410D07">
            <w:pPr>
              <w:ind w:right="40"/>
              <w:jc w:val="right"/>
              <w:rPr>
                <w:sz w:val="20"/>
                <w:szCs w:val="20"/>
              </w:rPr>
            </w:pPr>
            <w:r>
              <w:rPr>
                <w:rFonts w:ascii="Arial" w:eastAsia="Arial" w:hAnsi="Arial" w:cs="Arial"/>
                <w:w w:val="93"/>
                <w:sz w:val="18"/>
                <w:szCs w:val="18"/>
              </w:rPr>
              <w:t>$1,080,648</w:t>
            </w:r>
          </w:p>
        </w:tc>
        <w:tc>
          <w:tcPr>
            <w:tcW w:w="1080" w:type="dxa"/>
            <w:gridSpan w:val="3"/>
            <w:tcBorders>
              <w:bottom w:val="single" w:sz="8" w:space="0" w:color="CCEEFF"/>
            </w:tcBorders>
            <w:shd w:val="clear" w:color="auto" w:fill="CCEEFF"/>
            <w:vAlign w:val="bottom"/>
          </w:tcPr>
          <w:p w14:paraId="57B98334" w14:textId="77777777" w:rsidR="00D1587D" w:rsidRDefault="00410D07">
            <w:pPr>
              <w:jc w:val="right"/>
              <w:rPr>
                <w:sz w:val="20"/>
                <w:szCs w:val="20"/>
              </w:rPr>
            </w:pPr>
            <w:r>
              <w:rPr>
                <w:rFonts w:ascii="Arial" w:eastAsia="Arial" w:hAnsi="Arial" w:cs="Arial"/>
                <w:sz w:val="18"/>
                <w:szCs w:val="18"/>
              </w:rPr>
              <w:t>$7,090,546</w:t>
            </w:r>
          </w:p>
        </w:tc>
        <w:tc>
          <w:tcPr>
            <w:tcW w:w="180" w:type="dxa"/>
            <w:tcBorders>
              <w:bottom w:val="single" w:sz="8" w:space="0" w:color="CCEEFF"/>
            </w:tcBorders>
            <w:shd w:val="clear" w:color="auto" w:fill="CCEEFF"/>
            <w:vAlign w:val="bottom"/>
          </w:tcPr>
          <w:p w14:paraId="02EB4C25" w14:textId="77777777" w:rsidR="00D1587D" w:rsidRDefault="00D1587D">
            <w:pPr>
              <w:rPr>
                <w:sz w:val="24"/>
                <w:szCs w:val="24"/>
              </w:rPr>
            </w:pPr>
          </w:p>
        </w:tc>
        <w:tc>
          <w:tcPr>
            <w:tcW w:w="940" w:type="dxa"/>
            <w:tcBorders>
              <w:bottom w:val="single" w:sz="8" w:space="0" w:color="CCEEFF"/>
            </w:tcBorders>
            <w:shd w:val="clear" w:color="auto" w:fill="CCEEFF"/>
            <w:vAlign w:val="bottom"/>
          </w:tcPr>
          <w:p w14:paraId="17D4CA49" w14:textId="77777777" w:rsidR="00D1587D" w:rsidRDefault="00410D07">
            <w:pPr>
              <w:jc w:val="right"/>
              <w:rPr>
                <w:sz w:val="20"/>
                <w:szCs w:val="20"/>
              </w:rPr>
            </w:pPr>
            <w:r>
              <w:rPr>
                <w:rFonts w:ascii="Arial" w:eastAsia="Arial" w:hAnsi="Arial" w:cs="Arial"/>
                <w:w w:val="89"/>
                <w:sz w:val="18"/>
                <w:szCs w:val="18"/>
              </w:rPr>
              <w:t>$12,689,408</w:t>
            </w:r>
          </w:p>
        </w:tc>
        <w:tc>
          <w:tcPr>
            <w:tcW w:w="1000" w:type="dxa"/>
            <w:gridSpan w:val="3"/>
            <w:tcBorders>
              <w:bottom w:val="single" w:sz="8" w:space="0" w:color="CCEEFF"/>
            </w:tcBorders>
            <w:shd w:val="clear" w:color="auto" w:fill="CCEEFF"/>
            <w:vAlign w:val="bottom"/>
          </w:tcPr>
          <w:p w14:paraId="596117C1" w14:textId="77777777" w:rsidR="00D1587D" w:rsidRDefault="00410D07">
            <w:pPr>
              <w:jc w:val="right"/>
              <w:rPr>
                <w:sz w:val="20"/>
                <w:szCs w:val="20"/>
              </w:rPr>
            </w:pPr>
            <w:r>
              <w:rPr>
                <w:rFonts w:ascii="Arial" w:eastAsia="Arial" w:hAnsi="Arial" w:cs="Arial"/>
                <w:sz w:val="18"/>
                <w:szCs w:val="18"/>
              </w:rPr>
              <w:t>$8,543,454</w:t>
            </w:r>
          </w:p>
        </w:tc>
        <w:tc>
          <w:tcPr>
            <w:tcW w:w="1000" w:type="dxa"/>
            <w:gridSpan w:val="3"/>
            <w:tcBorders>
              <w:bottom w:val="single" w:sz="8" w:space="0" w:color="CCEEFF"/>
            </w:tcBorders>
            <w:shd w:val="clear" w:color="auto" w:fill="CCEEFF"/>
            <w:vAlign w:val="bottom"/>
          </w:tcPr>
          <w:p w14:paraId="7CD931A8" w14:textId="77777777" w:rsidR="00D1587D" w:rsidRDefault="00410D07">
            <w:pPr>
              <w:jc w:val="right"/>
              <w:rPr>
                <w:sz w:val="20"/>
                <w:szCs w:val="20"/>
              </w:rPr>
            </w:pPr>
            <w:r>
              <w:rPr>
                <w:rFonts w:ascii="Arial" w:eastAsia="Arial" w:hAnsi="Arial" w:cs="Arial"/>
                <w:sz w:val="18"/>
                <w:szCs w:val="18"/>
              </w:rPr>
              <w:t>$7,034,245</w:t>
            </w:r>
          </w:p>
        </w:tc>
        <w:tc>
          <w:tcPr>
            <w:tcW w:w="180" w:type="dxa"/>
            <w:tcBorders>
              <w:bottom w:val="single" w:sz="8" w:space="0" w:color="CCEEFF"/>
            </w:tcBorders>
            <w:shd w:val="clear" w:color="auto" w:fill="CCEEFF"/>
            <w:vAlign w:val="bottom"/>
          </w:tcPr>
          <w:p w14:paraId="33530579" w14:textId="77777777" w:rsidR="00D1587D" w:rsidRDefault="00D1587D">
            <w:pPr>
              <w:rPr>
                <w:sz w:val="24"/>
                <w:szCs w:val="24"/>
              </w:rPr>
            </w:pPr>
          </w:p>
        </w:tc>
        <w:tc>
          <w:tcPr>
            <w:tcW w:w="780" w:type="dxa"/>
            <w:gridSpan w:val="2"/>
            <w:tcBorders>
              <w:bottom w:val="single" w:sz="8" w:space="0" w:color="CCEEFF"/>
            </w:tcBorders>
            <w:shd w:val="clear" w:color="auto" w:fill="CCEEFF"/>
            <w:vAlign w:val="bottom"/>
          </w:tcPr>
          <w:p w14:paraId="1305CE26" w14:textId="77777777" w:rsidR="00D1587D" w:rsidRDefault="00410D07">
            <w:pPr>
              <w:ind w:right="13"/>
              <w:jc w:val="right"/>
              <w:rPr>
                <w:sz w:val="20"/>
                <w:szCs w:val="20"/>
              </w:rPr>
            </w:pPr>
            <w:r>
              <w:rPr>
                <w:rFonts w:ascii="Arial" w:eastAsia="Arial" w:hAnsi="Arial" w:cs="Arial"/>
                <w:sz w:val="18"/>
                <w:szCs w:val="18"/>
              </w:rPr>
              <w:t>$17,488</w:t>
            </w:r>
          </w:p>
        </w:tc>
        <w:tc>
          <w:tcPr>
            <w:tcW w:w="0" w:type="dxa"/>
            <w:vAlign w:val="bottom"/>
          </w:tcPr>
          <w:p w14:paraId="60C23D74" w14:textId="77777777" w:rsidR="00D1587D" w:rsidRDefault="00D1587D">
            <w:pPr>
              <w:rPr>
                <w:sz w:val="1"/>
                <w:szCs w:val="1"/>
              </w:rPr>
            </w:pPr>
          </w:p>
        </w:tc>
      </w:tr>
      <w:tr w:rsidR="00D1587D" w14:paraId="50EE4653" w14:textId="77777777">
        <w:trPr>
          <w:trHeight w:val="514"/>
        </w:trPr>
        <w:tc>
          <w:tcPr>
            <w:tcW w:w="2360" w:type="dxa"/>
            <w:gridSpan w:val="2"/>
            <w:tcBorders>
              <w:top w:val="single" w:sz="8" w:space="0" w:color="CCEEFF"/>
            </w:tcBorders>
            <w:vAlign w:val="bottom"/>
          </w:tcPr>
          <w:p w14:paraId="54CB3F3C" w14:textId="77777777" w:rsidR="00D1587D" w:rsidRDefault="00410D07">
            <w:pPr>
              <w:rPr>
                <w:sz w:val="20"/>
                <w:szCs w:val="20"/>
              </w:rPr>
            </w:pPr>
            <w:r>
              <w:rPr>
                <w:rFonts w:ascii="Arial" w:eastAsia="Arial" w:hAnsi="Arial" w:cs="Arial"/>
                <w:b/>
                <w:bCs/>
                <w:i/>
                <w:iCs/>
                <w:sz w:val="18"/>
                <w:szCs w:val="18"/>
              </w:rPr>
              <w:t>Amy Hauk</w:t>
            </w:r>
          </w:p>
        </w:tc>
        <w:tc>
          <w:tcPr>
            <w:tcW w:w="200" w:type="dxa"/>
            <w:tcBorders>
              <w:top w:val="single" w:sz="8" w:space="0" w:color="auto"/>
            </w:tcBorders>
            <w:vAlign w:val="bottom"/>
          </w:tcPr>
          <w:p w14:paraId="1445B9E4" w14:textId="77777777" w:rsidR="00D1587D" w:rsidRDefault="00D1587D">
            <w:pPr>
              <w:rPr>
                <w:sz w:val="24"/>
                <w:szCs w:val="24"/>
              </w:rPr>
            </w:pPr>
          </w:p>
        </w:tc>
        <w:tc>
          <w:tcPr>
            <w:tcW w:w="600" w:type="dxa"/>
            <w:tcBorders>
              <w:top w:val="single" w:sz="8" w:space="0" w:color="auto"/>
            </w:tcBorders>
            <w:vAlign w:val="bottom"/>
          </w:tcPr>
          <w:p w14:paraId="51F9122E" w14:textId="77777777" w:rsidR="00D1587D" w:rsidRDefault="00D1587D">
            <w:pPr>
              <w:rPr>
                <w:sz w:val="24"/>
                <w:szCs w:val="24"/>
              </w:rPr>
            </w:pPr>
          </w:p>
        </w:tc>
        <w:tc>
          <w:tcPr>
            <w:tcW w:w="100" w:type="dxa"/>
            <w:tcBorders>
              <w:top w:val="single" w:sz="8" w:space="0" w:color="auto"/>
            </w:tcBorders>
            <w:vAlign w:val="bottom"/>
          </w:tcPr>
          <w:p w14:paraId="5B3B4AF2" w14:textId="77777777" w:rsidR="00D1587D" w:rsidRDefault="00D1587D">
            <w:pPr>
              <w:rPr>
                <w:sz w:val="24"/>
                <w:szCs w:val="24"/>
              </w:rPr>
            </w:pPr>
          </w:p>
        </w:tc>
        <w:tc>
          <w:tcPr>
            <w:tcW w:w="80" w:type="dxa"/>
            <w:tcBorders>
              <w:top w:val="single" w:sz="8" w:space="0" w:color="CCEEFF"/>
            </w:tcBorders>
            <w:vAlign w:val="bottom"/>
          </w:tcPr>
          <w:p w14:paraId="0CB716C2" w14:textId="77777777" w:rsidR="00D1587D" w:rsidRDefault="00D1587D">
            <w:pPr>
              <w:rPr>
                <w:sz w:val="24"/>
                <w:szCs w:val="24"/>
              </w:rPr>
            </w:pPr>
          </w:p>
        </w:tc>
        <w:tc>
          <w:tcPr>
            <w:tcW w:w="100" w:type="dxa"/>
            <w:tcBorders>
              <w:top w:val="single" w:sz="8" w:space="0" w:color="CCEEFF"/>
            </w:tcBorders>
            <w:vAlign w:val="bottom"/>
          </w:tcPr>
          <w:p w14:paraId="66F0D914" w14:textId="77777777" w:rsidR="00D1587D" w:rsidRDefault="00D1587D">
            <w:pPr>
              <w:rPr>
                <w:sz w:val="24"/>
                <w:szCs w:val="24"/>
              </w:rPr>
            </w:pPr>
          </w:p>
        </w:tc>
        <w:tc>
          <w:tcPr>
            <w:tcW w:w="900" w:type="dxa"/>
            <w:tcBorders>
              <w:top w:val="single" w:sz="8" w:space="0" w:color="auto"/>
            </w:tcBorders>
            <w:vAlign w:val="bottom"/>
          </w:tcPr>
          <w:p w14:paraId="40C4D4D8" w14:textId="77777777" w:rsidR="00D1587D" w:rsidRDefault="00D1587D">
            <w:pPr>
              <w:rPr>
                <w:sz w:val="24"/>
                <w:szCs w:val="24"/>
              </w:rPr>
            </w:pPr>
          </w:p>
        </w:tc>
        <w:tc>
          <w:tcPr>
            <w:tcW w:w="180" w:type="dxa"/>
            <w:tcBorders>
              <w:top w:val="single" w:sz="8" w:space="0" w:color="CCEEFF"/>
            </w:tcBorders>
            <w:vAlign w:val="bottom"/>
          </w:tcPr>
          <w:p w14:paraId="5A26309E" w14:textId="77777777" w:rsidR="00D1587D" w:rsidRDefault="00D1587D">
            <w:pPr>
              <w:rPr>
                <w:sz w:val="24"/>
                <w:szCs w:val="24"/>
              </w:rPr>
            </w:pPr>
          </w:p>
        </w:tc>
        <w:tc>
          <w:tcPr>
            <w:tcW w:w="940" w:type="dxa"/>
            <w:tcBorders>
              <w:top w:val="single" w:sz="8" w:space="0" w:color="auto"/>
            </w:tcBorders>
            <w:vAlign w:val="bottom"/>
          </w:tcPr>
          <w:p w14:paraId="0624088D" w14:textId="77777777" w:rsidR="00D1587D" w:rsidRDefault="00D1587D">
            <w:pPr>
              <w:rPr>
                <w:sz w:val="24"/>
                <w:szCs w:val="24"/>
              </w:rPr>
            </w:pPr>
          </w:p>
        </w:tc>
        <w:tc>
          <w:tcPr>
            <w:tcW w:w="180" w:type="dxa"/>
            <w:tcBorders>
              <w:top w:val="single" w:sz="8" w:space="0" w:color="CCEEFF"/>
            </w:tcBorders>
            <w:vAlign w:val="bottom"/>
          </w:tcPr>
          <w:p w14:paraId="2F68B2F6" w14:textId="77777777" w:rsidR="00D1587D" w:rsidRDefault="00D1587D">
            <w:pPr>
              <w:rPr>
                <w:sz w:val="24"/>
                <w:szCs w:val="24"/>
              </w:rPr>
            </w:pPr>
          </w:p>
        </w:tc>
        <w:tc>
          <w:tcPr>
            <w:tcW w:w="160" w:type="dxa"/>
            <w:tcBorders>
              <w:top w:val="single" w:sz="8" w:space="0" w:color="auto"/>
            </w:tcBorders>
            <w:vAlign w:val="bottom"/>
          </w:tcPr>
          <w:p w14:paraId="5EA64183" w14:textId="77777777" w:rsidR="00D1587D" w:rsidRDefault="00D1587D">
            <w:pPr>
              <w:rPr>
                <w:sz w:val="24"/>
                <w:szCs w:val="24"/>
              </w:rPr>
            </w:pPr>
          </w:p>
        </w:tc>
        <w:tc>
          <w:tcPr>
            <w:tcW w:w="660" w:type="dxa"/>
            <w:tcBorders>
              <w:top w:val="single" w:sz="8" w:space="0" w:color="auto"/>
            </w:tcBorders>
            <w:vAlign w:val="bottom"/>
          </w:tcPr>
          <w:p w14:paraId="2B2C16A2" w14:textId="77777777" w:rsidR="00D1587D" w:rsidRDefault="00D1587D">
            <w:pPr>
              <w:rPr>
                <w:sz w:val="24"/>
                <w:szCs w:val="24"/>
              </w:rPr>
            </w:pPr>
          </w:p>
        </w:tc>
        <w:tc>
          <w:tcPr>
            <w:tcW w:w="180" w:type="dxa"/>
            <w:tcBorders>
              <w:top w:val="single" w:sz="8" w:space="0" w:color="CCEEFF"/>
            </w:tcBorders>
            <w:vAlign w:val="bottom"/>
          </w:tcPr>
          <w:p w14:paraId="556D08BC" w14:textId="77777777" w:rsidR="00D1587D" w:rsidRDefault="00D1587D">
            <w:pPr>
              <w:rPr>
                <w:sz w:val="24"/>
                <w:szCs w:val="24"/>
              </w:rPr>
            </w:pPr>
          </w:p>
        </w:tc>
        <w:tc>
          <w:tcPr>
            <w:tcW w:w="100" w:type="dxa"/>
            <w:tcBorders>
              <w:top w:val="single" w:sz="8" w:space="0" w:color="auto"/>
            </w:tcBorders>
            <w:vAlign w:val="bottom"/>
          </w:tcPr>
          <w:p w14:paraId="52F503DD" w14:textId="77777777" w:rsidR="00D1587D" w:rsidRDefault="00D1587D">
            <w:pPr>
              <w:rPr>
                <w:sz w:val="24"/>
                <w:szCs w:val="24"/>
              </w:rPr>
            </w:pPr>
          </w:p>
        </w:tc>
        <w:tc>
          <w:tcPr>
            <w:tcW w:w="720" w:type="dxa"/>
            <w:tcBorders>
              <w:top w:val="single" w:sz="8" w:space="0" w:color="auto"/>
            </w:tcBorders>
            <w:vAlign w:val="bottom"/>
          </w:tcPr>
          <w:p w14:paraId="1CA220E2" w14:textId="77777777" w:rsidR="00D1587D" w:rsidRDefault="00D1587D">
            <w:pPr>
              <w:rPr>
                <w:sz w:val="24"/>
                <w:szCs w:val="24"/>
              </w:rPr>
            </w:pPr>
          </w:p>
        </w:tc>
        <w:tc>
          <w:tcPr>
            <w:tcW w:w="180" w:type="dxa"/>
            <w:tcBorders>
              <w:top w:val="single" w:sz="8" w:space="0" w:color="CCEEFF"/>
            </w:tcBorders>
            <w:vAlign w:val="bottom"/>
          </w:tcPr>
          <w:p w14:paraId="12D451A6" w14:textId="77777777" w:rsidR="00D1587D" w:rsidRDefault="00D1587D">
            <w:pPr>
              <w:rPr>
                <w:sz w:val="24"/>
                <w:szCs w:val="24"/>
              </w:rPr>
            </w:pPr>
          </w:p>
        </w:tc>
        <w:tc>
          <w:tcPr>
            <w:tcW w:w="300" w:type="dxa"/>
            <w:tcBorders>
              <w:top w:val="single" w:sz="8" w:space="0" w:color="auto"/>
            </w:tcBorders>
            <w:vAlign w:val="bottom"/>
          </w:tcPr>
          <w:p w14:paraId="764D1515" w14:textId="77777777" w:rsidR="00D1587D" w:rsidRDefault="00D1587D">
            <w:pPr>
              <w:rPr>
                <w:sz w:val="24"/>
                <w:szCs w:val="24"/>
              </w:rPr>
            </w:pPr>
          </w:p>
        </w:tc>
        <w:tc>
          <w:tcPr>
            <w:tcW w:w="480" w:type="dxa"/>
            <w:tcBorders>
              <w:top w:val="single" w:sz="8" w:space="0" w:color="auto"/>
            </w:tcBorders>
            <w:vAlign w:val="bottom"/>
          </w:tcPr>
          <w:p w14:paraId="062EC749" w14:textId="77777777" w:rsidR="00D1587D" w:rsidRDefault="00D1587D">
            <w:pPr>
              <w:rPr>
                <w:sz w:val="24"/>
                <w:szCs w:val="24"/>
              </w:rPr>
            </w:pPr>
          </w:p>
        </w:tc>
        <w:tc>
          <w:tcPr>
            <w:tcW w:w="0" w:type="dxa"/>
            <w:vAlign w:val="bottom"/>
          </w:tcPr>
          <w:p w14:paraId="4B9FEA59" w14:textId="77777777" w:rsidR="00D1587D" w:rsidRDefault="00D1587D">
            <w:pPr>
              <w:rPr>
                <w:sz w:val="1"/>
                <w:szCs w:val="1"/>
              </w:rPr>
            </w:pPr>
          </w:p>
        </w:tc>
      </w:tr>
      <w:tr w:rsidR="00D1587D" w14:paraId="4042C154" w14:textId="77777777">
        <w:trPr>
          <w:trHeight w:val="315"/>
        </w:trPr>
        <w:tc>
          <w:tcPr>
            <w:tcW w:w="2260" w:type="dxa"/>
            <w:vAlign w:val="bottom"/>
          </w:tcPr>
          <w:p w14:paraId="600CD0DE" w14:textId="77777777" w:rsidR="00D1587D" w:rsidRDefault="00D1587D">
            <w:pPr>
              <w:rPr>
                <w:sz w:val="24"/>
                <w:szCs w:val="24"/>
              </w:rPr>
            </w:pPr>
          </w:p>
        </w:tc>
        <w:tc>
          <w:tcPr>
            <w:tcW w:w="100" w:type="dxa"/>
            <w:vAlign w:val="bottom"/>
          </w:tcPr>
          <w:p w14:paraId="66B5B202" w14:textId="77777777" w:rsidR="00D1587D" w:rsidRDefault="00D1587D">
            <w:pPr>
              <w:rPr>
                <w:sz w:val="24"/>
                <w:szCs w:val="24"/>
              </w:rPr>
            </w:pPr>
          </w:p>
        </w:tc>
        <w:tc>
          <w:tcPr>
            <w:tcW w:w="2160" w:type="dxa"/>
            <w:gridSpan w:val="7"/>
            <w:vAlign w:val="bottom"/>
          </w:tcPr>
          <w:p w14:paraId="637ADD00" w14:textId="77777777" w:rsidR="00D1587D" w:rsidRDefault="00410D07">
            <w:pPr>
              <w:ind w:right="260"/>
              <w:jc w:val="right"/>
              <w:rPr>
                <w:sz w:val="20"/>
                <w:szCs w:val="20"/>
              </w:rPr>
            </w:pPr>
            <w:r>
              <w:rPr>
                <w:rFonts w:ascii="Arial" w:eastAsia="Arial" w:hAnsi="Arial" w:cs="Arial"/>
                <w:b/>
                <w:bCs/>
                <w:w w:val="96"/>
                <w:sz w:val="14"/>
                <w:szCs w:val="14"/>
              </w:rPr>
              <w:t>Involuntary Without Cause or</w:t>
            </w:r>
          </w:p>
        </w:tc>
        <w:tc>
          <w:tcPr>
            <w:tcW w:w="940" w:type="dxa"/>
            <w:vAlign w:val="bottom"/>
          </w:tcPr>
          <w:p w14:paraId="7B7D46E0" w14:textId="77777777" w:rsidR="00D1587D" w:rsidRDefault="00410D07">
            <w:pPr>
              <w:jc w:val="center"/>
              <w:rPr>
                <w:sz w:val="20"/>
                <w:szCs w:val="20"/>
              </w:rPr>
            </w:pPr>
            <w:r>
              <w:rPr>
                <w:rFonts w:ascii="Arial" w:eastAsia="Arial" w:hAnsi="Arial" w:cs="Arial"/>
                <w:b/>
                <w:bCs/>
                <w:w w:val="98"/>
                <w:sz w:val="14"/>
                <w:szCs w:val="14"/>
              </w:rPr>
              <w:t>Involuntary</w:t>
            </w:r>
          </w:p>
        </w:tc>
        <w:tc>
          <w:tcPr>
            <w:tcW w:w="180" w:type="dxa"/>
            <w:vAlign w:val="bottom"/>
          </w:tcPr>
          <w:p w14:paraId="10150593" w14:textId="77777777" w:rsidR="00D1587D" w:rsidRDefault="00D1587D">
            <w:pPr>
              <w:rPr>
                <w:sz w:val="24"/>
                <w:szCs w:val="24"/>
              </w:rPr>
            </w:pPr>
          </w:p>
        </w:tc>
        <w:tc>
          <w:tcPr>
            <w:tcW w:w="160" w:type="dxa"/>
            <w:vAlign w:val="bottom"/>
          </w:tcPr>
          <w:p w14:paraId="1183982B" w14:textId="77777777" w:rsidR="00D1587D" w:rsidRDefault="00D1587D">
            <w:pPr>
              <w:rPr>
                <w:sz w:val="24"/>
                <w:szCs w:val="24"/>
              </w:rPr>
            </w:pPr>
          </w:p>
        </w:tc>
        <w:tc>
          <w:tcPr>
            <w:tcW w:w="660" w:type="dxa"/>
            <w:vAlign w:val="bottom"/>
          </w:tcPr>
          <w:p w14:paraId="00717334" w14:textId="77777777" w:rsidR="00D1587D" w:rsidRDefault="00D1587D">
            <w:pPr>
              <w:rPr>
                <w:sz w:val="24"/>
                <w:szCs w:val="24"/>
              </w:rPr>
            </w:pPr>
          </w:p>
        </w:tc>
        <w:tc>
          <w:tcPr>
            <w:tcW w:w="180" w:type="dxa"/>
            <w:vAlign w:val="bottom"/>
          </w:tcPr>
          <w:p w14:paraId="1B5D539B" w14:textId="77777777" w:rsidR="00D1587D" w:rsidRDefault="00D1587D">
            <w:pPr>
              <w:rPr>
                <w:sz w:val="24"/>
                <w:szCs w:val="24"/>
              </w:rPr>
            </w:pPr>
          </w:p>
        </w:tc>
        <w:tc>
          <w:tcPr>
            <w:tcW w:w="100" w:type="dxa"/>
            <w:vAlign w:val="bottom"/>
          </w:tcPr>
          <w:p w14:paraId="665D203F" w14:textId="77777777" w:rsidR="00D1587D" w:rsidRDefault="00D1587D">
            <w:pPr>
              <w:rPr>
                <w:sz w:val="24"/>
                <w:szCs w:val="24"/>
              </w:rPr>
            </w:pPr>
          </w:p>
        </w:tc>
        <w:tc>
          <w:tcPr>
            <w:tcW w:w="720" w:type="dxa"/>
            <w:vAlign w:val="bottom"/>
          </w:tcPr>
          <w:p w14:paraId="1DAB0C69" w14:textId="77777777" w:rsidR="00D1587D" w:rsidRDefault="00D1587D">
            <w:pPr>
              <w:rPr>
                <w:sz w:val="24"/>
                <w:szCs w:val="24"/>
              </w:rPr>
            </w:pPr>
          </w:p>
        </w:tc>
        <w:tc>
          <w:tcPr>
            <w:tcW w:w="180" w:type="dxa"/>
            <w:vAlign w:val="bottom"/>
          </w:tcPr>
          <w:p w14:paraId="4607C926" w14:textId="77777777" w:rsidR="00D1587D" w:rsidRDefault="00D1587D">
            <w:pPr>
              <w:rPr>
                <w:sz w:val="24"/>
                <w:szCs w:val="24"/>
              </w:rPr>
            </w:pPr>
          </w:p>
        </w:tc>
        <w:tc>
          <w:tcPr>
            <w:tcW w:w="300" w:type="dxa"/>
            <w:vAlign w:val="bottom"/>
          </w:tcPr>
          <w:p w14:paraId="33BC88B4" w14:textId="77777777" w:rsidR="00D1587D" w:rsidRDefault="00D1587D">
            <w:pPr>
              <w:rPr>
                <w:sz w:val="24"/>
                <w:szCs w:val="24"/>
              </w:rPr>
            </w:pPr>
          </w:p>
        </w:tc>
        <w:tc>
          <w:tcPr>
            <w:tcW w:w="480" w:type="dxa"/>
            <w:vAlign w:val="bottom"/>
          </w:tcPr>
          <w:p w14:paraId="62D52952" w14:textId="77777777" w:rsidR="00D1587D" w:rsidRDefault="00D1587D">
            <w:pPr>
              <w:rPr>
                <w:sz w:val="24"/>
                <w:szCs w:val="24"/>
              </w:rPr>
            </w:pPr>
          </w:p>
        </w:tc>
        <w:tc>
          <w:tcPr>
            <w:tcW w:w="0" w:type="dxa"/>
            <w:vAlign w:val="bottom"/>
          </w:tcPr>
          <w:p w14:paraId="269F1704" w14:textId="77777777" w:rsidR="00D1587D" w:rsidRDefault="00D1587D">
            <w:pPr>
              <w:rPr>
                <w:sz w:val="1"/>
                <w:szCs w:val="1"/>
              </w:rPr>
            </w:pPr>
          </w:p>
        </w:tc>
      </w:tr>
      <w:tr w:rsidR="00D1587D" w14:paraId="6736C707" w14:textId="77777777">
        <w:trPr>
          <w:trHeight w:val="149"/>
        </w:trPr>
        <w:tc>
          <w:tcPr>
            <w:tcW w:w="2260" w:type="dxa"/>
            <w:vAlign w:val="bottom"/>
          </w:tcPr>
          <w:p w14:paraId="5BFF9B4A" w14:textId="77777777" w:rsidR="00D1587D" w:rsidRDefault="00D1587D">
            <w:pPr>
              <w:rPr>
                <w:sz w:val="12"/>
                <w:szCs w:val="12"/>
              </w:rPr>
            </w:pPr>
          </w:p>
        </w:tc>
        <w:tc>
          <w:tcPr>
            <w:tcW w:w="100" w:type="dxa"/>
            <w:vAlign w:val="bottom"/>
          </w:tcPr>
          <w:p w14:paraId="77F555AC" w14:textId="77777777" w:rsidR="00D1587D" w:rsidRDefault="00D1587D">
            <w:pPr>
              <w:rPr>
                <w:sz w:val="12"/>
                <w:szCs w:val="12"/>
              </w:rPr>
            </w:pPr>
          </w:p>
        </w:tc>
        <w:tc>
          <w:tcPr>
            <w:tcW w:w="2160" w:type="dxa"/>
            <w:gridSpan w:val="7"/>
            <w:vAlign w:val="bottom"/>
          </w:tcPr>
          <w:p w14:paraId="19E4A7FD" w14:textId="77777777" w:rsidR="00D1587D" w:rsidRDefault="00410D07">
            <w:pPr>
              <w:spacing w:line="149" w:lineRule="exact"/>
              <w:ind w:right="260"/>
              <w:jc w:val="right"/>
              <w:rPr>
                <w:sz w:val="20"/>
                <w:szCs w:val="20"/>
              </w:rPr>
            </w:pPr>
            <w:r>
              <w:rPr>
                <w:rFonts w:ascii="Arial" w:eastAsia="Arial" w:hAnsi="Arial" w:cs="Arial"/>
                <w:b/>
                <w:bCs/>
                <w:w w:val="97"/>
                <w:sz w:val="14"/>
                <w:szCs w:val="14"/>
              </w:rPr>
              <w:t>Voluntary With Good Reason</w:t>
            </w:r>
          </w:p>
        </w:tc>
        <w:tc>
          <w:tcPr>
            <w:tcW w:w="940" w:type="dxa"/>
            <w:vAlign w:val="bottom"/>
          </w:tcPr>
          <w:p w14:paraId="740D5C2A" w14:textId="77777777" w:rsidR="00D1587D" w:rsidRDefault="00410D07">
            <w:pPr>
              <w:spacing w:line="149" w:lineRule="exact"/>
              <w:jc w:val="center"/>
              <w:rPr>
                <w:sz w:val="20"/>
                <w:szCs w:val="20"/>
              </w:rPr>
            </w:pPr>
            <w:r>
              <w:rPr>
                <w:rFonts w:ascii="Arial" w:eastAsia="Arial" w:hAnsi="Arial" w:cs="Arial"/>
                <w:b/>
                <w:bCs/>
                <w:w w:val="93"/>
                <w:sz w:val="14"/>
                <w:szCs w:val="14"/>
              </w:rPr>
              <w:t>Without Cause</w:t>
            </w:r>
          </w:p>
        </w:tc>
        <w:tc>
          <w:tcPr>
            <w:tcW w:w="180" w:type="dxa"/>
            <w:vAlign w:val="bottom"/>
          </w:tcPr>
          <w:p w14:paraId="3F95AD7F" w14:textId="77777777" w:rsidR="00D1587D" w:rsidRDefault="00D1587D">
            <w:pPr>
              <w:rPr>
                <w:sz w:val="12"/>
                <w:szCs w:val="12"/>
              </w:rPr>
            </w:pPr>
          </w:p>
        </w:tc>
        <w:tc>
          <w:tcPr>
            <w:tcW w:w="160" w:type="dxa"/>
            <w:vAlign w:val="bottom"/>
          </w:tcPr>
          <w:p w14:paraId="6C2DACE3" w14:textId="77777777" w:rsidR="00D1587D" w:rsidRDefault="00D1587D">
            <w:pPr>
              <w:rPr>
                <w:sz w:val="12"/>
                <w:szCs w:val="12"/>
              </w:rPr>
            </w:pPr>
          </w:p>
        </w:tc>
        <w:tc>
          <w:tcPr>
            <w:tcW w:w="660" w:type="dxa"/>
            <w:vAlign w:val="bottom"/>
          </w:tcPr>
          <w:p w14:paraId="2F4E72CF" w14:textId="77777777" w:rsidR="00D1587D" w:rsidRDefault="00D1587D">
            <w:pPr>
              <w:rPr>
                <w:sz w:val="12"/>
                <w:szCs w:val="12"/>
              </w:rPr>
            </w:pPr>
          </w:p>
        </w:tc>
        <w:tc>
          <w:tcPr>
            <w:tcW w:w="180" w:type="dxa"/>
            <w:vAlign w:val="bottom"/>
          </w:tcPr>
          <w:p w14:paraId="6F9729DE" w14:textId="77777777" w:rsidR="00D1587D" w:rsidRDefault="00D1587D">
            <w:pPr>
              <w:rPr>
                <w:sz w:val="12"/>
                <w:szCs w:val="12"/>
              </w:rPr>
            </w:pPr>
          </w:p>
        </w:tc>
        <w:tc>
          <w:tcPr>
            <w:tcW w:w="100" w:type="dxa"/>
            <w:vAlign w:val="bottom"/>
          </w:tcPr>
          <w:p w14:paraId="152E0C1B" w14:textId="77777777" w:rsidR="00D1587D" w:rsidRDefault="00D1587D">
            <w:pPr>
              <w:rPr>
                <w:sz w:val="12"/>
                <w:szCs w:val="12"/>
              </w:rPr>
            </w:pPr>
          </w:p>
        </w:tc>
        <w:tc>
          <w:tcPr>
            <w:tcW w:w="720" w:type="dxa"/>
            <w:vAlign w:val="bottom"/>
          </w:tcPr>
          <w:p w14:paraId="2293355D" w14:textId="77777777" w:rsidR="00D1587D" w:rsidRDefault="00D1587D">
            <w:pPr>
              <w:rPr>
                <w:sz w:val="12"/>
                <w:szCs w:val="12"/>
              </w:rPr>
            </w:pPr>
          </w:p>
        </w:tc>
        <w:tc>
          <w:tcPr>
            <w:tcW w:w="180" w:type="dxa"/>
            <w:vAlign w:val="bottom"/>
          </w:tcPr>
          <w:p w14:paraId="0472E431" w14:textId="77777777" w:rsidR="00D1587D" w:rsidRDefault="00D1587D">
            <w:pPr>
              <w:rPr>
                <w:sz w:val="12"/>
                <w:szCs w:val="12"/>
              </w:rPr>
            </w:pPr>
          </w:p>
        </w:tc>
        <w:tc>
          <w:tcPr>
            <w:tcW w:w="300" w:type="dxa"/>
            <w:vAlign w:val="bottom"/>
          </w:tcPr>
          <w:p w14:paraId="46A8D024" w14:textId="77777777" w:rsidR="00D1587D" w:rsidRDefault="00D1587D">
            <w:pPr>
              <w:rPr>
                <w:sz w:val="12"/>
                <w:szCs w:val="12"/>
              </w:rPr>
            </w:pPr>
          </w:p>
        </w:tc>
        <w:tc>
          <w:tcPr>
            <w:tcW w:w="480" w:type="dxa"/>
            <w:vAlign w:val="bottom"/>
          </w:tcPr>
          <w:p w14:paraId="5545D296" w14:textId="77777777" w:rsidR="00D1587D" w:rsidRDefault="00D1587D">
            <w:pPr>
              <w:rPr>
                <w:sz w:val="12"/>
                <w:szCs w:val="12"/>
              </w:rPr>
            </w:pPr>
          </w:p>
        </w:tc>
        <w:tc>
          <w:tcPr>
            <w:tcW w:w="0" w:type="dxa"/>
            <w:vAlign w:val="bottom"/>
          </w:tcPr>
          <w:p w14:paraId="72ACB8B4" w14:textId="77777777" w:rsidR="00D1587D" w:rsidRDefault="00D1587D">
            <w:pPr>
              <w:rPr>
                <w:sz w:val="1"/>
                <w:szCs w:val="1"/>
              </w:rPr>
            </w:pPr>
          </w:p>
        </w:tc>
      </w:tr>
      <w:tr w:rsidR="00D1587D" w14:paraId="0F9CA526" w14:textId="77777777">
        <w:trPr>
          <w:trHeight w:val="90"/>
        </w:trPr>
        <w:tc>
          <w:tcPr>
            <w:tcW w:w="2260" w:type="dxa"/>
            <w:vAlign w:val="bottom"/>
          </w:tcPr>
          <w:p w14:paraId="3B7E3847" w14:textId="77777777" w:rsidR="00D1587D" w:rsidRDefault="00D1587D">
            <w:pPr>
              <w:rPr>
                <w:sz w:val="7"/>
                <w:szCs w:val="7"/>
              </w:rPr>
            </w:pPr>
          </w:p>
        </w:tc>
        <w:tc>
          <w:tcPr>
            <w:tcW w:w="100" w:type="dxa"/>
            <w:vAlign w:val="bottom"/>
          </w:tcPr>
          <w:p w14:paraId="7441C25F" w14:textId="77777777" w:rsidR="00D1587D" w:rsidRDefault="00D1587D">
            <w:pPr>
              <w:rPr>
                <w:sz w:val="7"/>
                <w:szCs w:val="7"/>
              </w:rPr>
            </w:pPr>
          </w:p>
        </w:tc>
        <w:tc>
          <w:tcPr>
            <w:tcW w:w="200" w:type="dxa"/>
            <w:tcBorders>
              <w:bottom w:val="single" w:sz="8" w:space="0" w:color="auto"/>
            </w:tcBorders>
            <w:vAlign w:val="bottom"/>
          </w:tcPr>
          <w:p w14:paraId="19CABAC3" w14:textId="77777777" w:rsidR="00D1587D" w:rsidRDefault="00D1587D">
            <w:pPr>
              <w:rPr>
                <w:sz w:val="7"/>
                <w:szCs w:val="7"/>
              </w:rPr>
            </w:pPr>
          </w:p>
        </w:tc>
        <w:tc>
          <w:tcPr>
            <w:tcW w:w="600" w:type="dxa"/>
            <w:tcBorders>
              <w:bottom w:val="single" w:sz="8" w:space="0" w:color="auto"/>
            </w:tcBorders>
            <w:vAlign w:val="bottom"/>
          </w:tcPr>
          <w:p w14:paraId="116B953F" w14:textId="77777777" w:rsidR="00D1587D" w:rsidRDefault="00D1587D">
            <w:pPr>
              <w:rPr>
                <w:sz w:val="7"/>
                <w:szCs w:val="7"/>
              </w:rPr>
            </w:pPr>
          </w:p>
        </w:tc>
        <w:tc>
          <w:tcPr>
            <w:tcW w:w="100" w:type="dxa"/>
            <w:tcBorders>
              <w:bottom w:val="single" w:sz="8" w:space="0" w:color="auto"/>
            </w:tcBorders>
            <w:vAlign w:val="bottom"/>
          </w:tcPr>
          <w:p w14:paraId="67495386" w14:textId="77777777" w:rsidR="00D1587D" w:rsidRDefault="00D1587D">
            <w:pPr>
              <w:rPr>
                <w:sz w:val="7"/>
                <w:szCs w:val="7"/>
              </w:rPr>
            </w:pPr>
          </w:p>
        </w:tc>
        <w:tc>
          <w:tcPr>
            <w:tcW w:w="80" w:type="dxa"/>
            <w:tcBorders>
              <w:bottom w:val="single" w:sz="8" w:space="0" w:color="auto"/>
            </w:tcBorders>
            <w:vAlign w:val="bottom"/>
          </w:tcPr>
          <w:p w14:paraId="03161A05" w14:textId="77777777" w:rsidR="00D1587D" w:rsidRDefault="00D1587D">
            <w:pPr>
              <w:rPr>
                <w:sz w:val="7"/>
                <w:szCs w:val="7"/>
              </w:rPr>
            </w:pPr>
          </w:p>
        </w:tc>
        <w:tc>
          <w:tcPr>
            <w:tcW w:w="100" w:type="dxa"/>
            <w:tcBorders>
              <w:bottom w:val="single" w:sz="8" w:space="0" w:color="auto"/>
            </w:tcBorders>
            <w:vAlign w:val="bottom"/>
          </w:tcPr>
          <w:p w14:paraId="01F0D93C" w14:textId="77777777" w:rsidR="00D1587D" w:rsidRDefault="00D1587D">
            <w:pPr>
              <w:rPr>
                <w:sz w:val="7"/>
                <w:szCs w:val="7"/>
              </w:rPr>
            </w:pPr>
          </w:p>
        </w:tc>
        <w:tc>
          <w:tcPr>
            <w:tcW w:w="900" w:type="dxa"/>
            <w:tcBorders>
              <w:bottom w:val="single" w:sz="8" w:space="0" w:color="auto"/>
            </w:tcBorders>
            <w:vAlign w:val="bottom"/>
          </w:tcPr>
          <w:p w14:paraId="0FCA74BF" w14:textId="77777777" w:rsidR="00D1587D" w:rsidRDefault="00D1587D">
            <w:pPr>
              <w:rPr>
                <w:sz w:val="7"/>
                <w:szCs w:val="7"/>
              </w:rPr>
            </w:pPr>
          </w:p>
        </w:tc>
        <w:tc>
          <w:tcPr>
            <w:tcW w:w="180" w:type="dxa"/>
            <w:vAlign w:val="bottom"/>
          </w:tcPr>
          <w:p w14:paraId="64ED725C" w14:textId="77777777" w:rsidR="00D1587D" w:rsidRDefault="00D1587D">
            <w:pPr>
              <w:rPr>
                <w:sz w:val="7"/>
                <w:szCs w:val="7"/>
              </w:rPr>
            </w:pPr>
          </w:p>
        </w:tc>
        <w:tc>
          <w:tcPr>
            <w:tcW w:w="940" w:type="dxa"/>
            <w:vMerge w:val="restart"/>
            <w:vAlign w:val="bottom"/>
          </w:tcPr>
          <w:p w14:paraId="044927BC" w14:textId="77777777" w:rsidR="00D1587D" w:rsidRDefault="00410D07">
            <w:pPr>
              <w:spacing w:line="149" w:lineRule="exact"/>
              <w:jc w:val="center"/>
              <w:rPr>
                <w:sz w:val="20"/>
                <w:szCs w:val="20"/>
              </w:rPr>
            </w:pPr>
            <w:r>
              <w:rPr>
                <w:rFonts w:ascii="Arial" w:eastAsia="Arial" w:hAnsi="Arial" w:cs="Arial"/>
                <w:b/>
                <w:bCs/>
                <w:w w:val="91"/>
                <w:sz w:val="14"/>
                <w:szCs w:val="14"/>
              </w:rPr>
              <w:t>following</w:t>
            </w:r>
          </w:p>
        </w:tc>
        <w:tc>
          <w:tcPr>
            <w:tcW w:w="180" w:type="dxa"/>
            <w:vAlign w:val="bottom"/>
          </w:tcPr>
          <w:p w14:paraId="0585FF50" w14:textId="77777777" w:rsidR="00D1587D" w:rsidRDefault="00D1587D">
            <w:pPr>
              <w:rPr>
                <w:sz w:val="7"/>
                <w:szCs w:val="7"/>
              </w:rPr>
            </w:pPr>
          </w:p>
        </w:tc>
        <w:tc>
          <w:tcPr>
            <w:tcW w:w="160" w:type="dxa"/>
            <w:vAlign w:val="bottom"/>
          </w:tcPr>
          <w:p w14:paraId="00A05364" w14:textId="77777777" w:rsidR="00D1587D" w:rsidRDefault="00D1587D">
            <w:pPr>
              <w:rPr>
                <w:sz w:val="7"/>
                <w:szCs w:val="7"/>
              </w:rPr>
            </w:pPr>
          </w:p>
        </w:tc>
        <w:tc>
          <w:tcPr>
            <w:tcW w:w="660" w:type="dxa"/>
            <w:vAlign w:val="bottom"/>
          </w:tcPr>
          <w:p w14:paraId="21ABE711" w14:textId="77777777" w:rsidR="00D1587D" w:rsidRDefault="00D1587D">
            <w:pPr>
              <w:rPr>
                <w:sz w:val="7"/>
                <w:szCs w:val="7"/>
              </w:rPr>
            </w:pPr>
          </w:p>
        </w:tc>
        <w:tc>
          <w:tcPr>
            <w:tcW w:w="180" w:type="dxa"/>
            <w:vAlign w:val="bottom"/>
          </w:tcPr>
          <w:p w14:paraId="5ACC3272" w14:textId="77777777" w:rsidR="00D1587D" w:rsidRDefault="00D1587D">
            <w:pPr>
              <w:rPr>
                <w:sz w:val="7"/>
                <w:szCs w:val="7"/>
              </w:rPr>
            </w:pPr>
          </w:p>
        </w:tc>
        <w:tc>
          <w:tcPr>
            <w:tcW w:w="100" w:type="dxa"/>
            <w:vAlign w:val="bottom"/>
          </w:tcPr>
          <w:p w14:paraId="66B81864" w14:textId="77777777" w:rsidR="00D1587D" w:rsidRDefault="00D1587D">
            <w:pPr>
              <w:rPr>
                <w:sz w:val="7"/>
                <w:szCs w:val="7"/>
              </w:rPr>
            </w:pPr>
          </w:p>
        </w:tc>
        <w:tc>
          <w:tcPr>
            <w:tcW w:w="720" w:type="dxa"/>
            <w:vAlign w:val="bottom"/>
          </w:tcPr>
          <w:p w14:paraId="3F8C95BC" w14:textId="77777777" w:rsidR="00D1587D" w:rsidRDefault="00D1587D">
            <w:pPr>
              <w:rPr>
                <w:sz w:val="7"/>
                <w:szCs w:val="7"/>
              </w:rPr>
            </w:pPr>
          </w:p>
        </w:tc>
        <w:tc>
          <w:tcPr>
            <w:tcW w:w="180" w:type="dxa"/>
            <w:vAlign w:val="bottom"/>
          </w:tcPr>
          <w:p w14:paraId="0F592C3C" w14:textId="77777777" w:rsidR="00D1587D" w:rsidRDefault="00D1587D">
            <w:pPr>
              <w:rPr>
                <w:sz w:val="7"/>
                <w:szCs w:val="7"/>
              </w:rPr>
            </w:pPr>
          </w:p>
        </w:tc>
        <w:tc>
          <w:tcPr>
            <w:tcW w:w="780" w:type="dxa"/>
            <w:gridSpan w:val="2"/>
            <w:vMerge w:val="restart"/>
            <w:vAlign w:val="bottom"/>
          </w:tcPr>
          <w:p w14:paraId="6B02B297" w14:textId="77777777" w:rsidR="00D1587D" w:rsidRDefault="00410D07">
            <w:pPr>
              <w:spacing w:line="149" w:lineRule="exact"/>
              <w:jc w:val="center"/>
              <w:rPr>
                <w:sz w:val="20"/>
                <w:szCs w:val="20"/>
              </w:rPr>
            </w:pPr>
            <w:r>
              <w:rPr>
                <w:rFonts w:ascii="Arial" w:eastAsia="Arial" w:hAnsi="Arial" w:cs="Arial"/>
                <w:b/>
                <w:bCs/>
                <w:w w:val="95"/>
                <w:sz w:val="14"/>
                <w:szCs w:val="14"/>
              </w:rPr>
              <w:t>Voluntary</w:t>
            </w:r>
          </w:p>
        </w:tc>
        <w:tc>
          <w:tcPr>
            <w:tcW w:w="0" w:type="dxa"/>
            <w:vAlign w:val="bottom"/>
          </w:tcPr>
          <w:p w14:paraId="618A3EEB" w14:textId="77777777" w:rsidR="00D1587D" w:rsidRDefault="00D1587D">
            <w:pPr>
              <w:rPr>
                <w:sz w:val="1"/>
                <w:szCs w:val="1"/>
              </w:rPr>
            </w:pPr>
          </w:p>
        </w:tc>
      </w:tr>
      <w:tr w:rsidR="00D1587D" w14:paraId="714D6220" w14:textId="77777777">
        <w:trPr>
          <w:trHeight w:val="38"/>
        </w:trPr>
        <w:tc>
          <w:tcPr>
            <w:tcW w:w="2260" w:type="dxa"/>
            <w:vAlign w:val="bottom"/>
          </w:tcPr>
          <w:p w14:paraId="07786C3D" w14:textId="77777777" w:rsidR="00D1587D" w:rsidRDefault="00D1587D">
            <w:pPr>
              <w:rPr>
                <w:sz w:val="3"/>
                <w:szCs w:val="3"/>
              </w:rPr>
            </w:pPr>
          </w:p>
        </w:tc>
        <w:tc>
          <w:tcPr>
            <w:tcW w:w="100" w:type="dxa"/>
            <w:vAlign w:val="bottom"/>
          </w:tcPr>
          <w:p w14:paraId="31DD13F0" w14:textId="77777777" w:rsidR="00D1587D" w:rsidRDefault="00D1587D">
            <w:pPr>
              <w:rPr>
                <w:sz w:val="3"/>
                <w:szCs w:val="3"/>
              </w:rPr>
            </w:pPr>
          </w:p>
        </w:tc>
        <w:tc>
          <w:tcPr>
            <w:tcW w:w="200" w:type="dxa"/>
            <w:vAlign w:val="bottom"/>
          </w:tcPr>
          <w:p w14:paraId="0952A55F" w14:textId="77777777" w:rsidR="00D1587D" w:rsidRDefault="00D1587D">
            <w:pPr>
              <w:rPr>
                <w:sz w:val="3"/>
                <w:szCs w:val="3"/>
              </w:rPr>
            </w:pPr>
          </w:p>
        </w:tc>
        <w:tc>
          <w:tcPr>
            <w:tcW w:w="700" w:type="dxa"/>
            <w:gridSpan w:val="2"/>
            <w:vMerge w:val="restart"/>
            <w:vAlign w:val="bottom"/>
          </w:tcPr>
          <w:p w14:paraId="429EF66B" w14:textId="77777777" w:rsidR="00D1587D" w:rsidRDefault="00410D07">
            <w:pPr>
              <w:ind w:right="340"/>
              <w:jc w:val="center"/>
              <w:rPr>
                <w:sz w:val="20"/>
                <w:szCs w:val="20"/>
              </w:rPr>
            </w:pPr>
            <w:r>
              <w:rPr>
                <w:rFonts w:ascii="Arial" w:eastAsia="Arial" w:hAnsi="Arial" w:cs="Arial"/>
                <w:b/>
                <w:bCs/>
                <w:w w:val="98"/>
                <w:sz w:val="14"/>
                <w:szCs w:val="14"/>
              </w:rPr>
              <w:t>w/out</w:t>
            </w:r>
          </w:p>
        </w:tc>
        <w:tc>
          <w:tcPr>
            <w:tcW w:w="80" w:type="dxa"/>
            <w:vAlign w:val="bottom"/>
          </w:tcPr>
          <w:p w14:paraId="67603698" w14:textId="77777777" w:rsidR="00D1587D" w:rsidRDefault="00D1587D">
            <w:pPr>
              <w:rPr>
                <w:sz w:val="3"/>
                <w:szCs w:val="3"/>
              </w:rPr>
            </w:pPr>
          </w:p>
        </w:tc>
        <w:tc>
          <w:tcPr>
            <w:tcW w:w="100" w:type="dxa"/>
            <w:vAlign w:val="bottom"/>
          </w:tcPr>
          <w:p w14:paraId="711B493F" w14:textId="77777777" w:rsidR="00D1587D" w:rsidRDefault="00D1587D">
            <w:pPr>
              <w:rPr>
                <w:sz w:val="3"/>
                <w:szCs w:val="3"/>
              </w:rPr>
            </w:pPr>
          </w:p>
        </w:tc>
        <w:tc>
          <w:tcPr>
            <w:tcW w:w="1080" w:type="dxa"/>
            <w:gridSpan w:val="2"/>
            <w:vMerge w:val="restart"/>
            <w:vAlign w:val="bottom"/>
          </w:tcPr>
          <w:p w14:paraId="3ED5E288" w14:textId="77777777" w:rsidR="00D1587D" w:rsidRDefault="00410D07">
            <w:pPr>
              <w:ind w:right="320"/>
              <w:jc w:val="center"/>
              <w:rPr>
                <w:sz w:val="20"/>
                <w:szCs w:val="20"/>
              </w:rPr>
            </w:pPr>
            <w:r>
              <w:rPr>
                <w:rFonts w:ascii="Arial" w:eastAsia="Arial" w:hAnsi="Arial" w:cs="Arial"/>
                <w:b/>
                <w:bCs/>
                <w:w w:val="92"/>
                <w:sz w:val="14"/>
                <w:szCs w:val="14"/>
              </w:rPr>
              <w:t>&amp; Signed</w:t>
            </w:r>
          </w:p>
        </w:tc>
        <w:tc>
          <w:tcPr>
            <w:tcW w:w="940" w:type="dxa"/>
            <w:vMerge/>
            <w:vAlign w:val="bottom"/>
          </w:tcPr>
          <w:p w14:paraId="2E6063EF" w14:textId="77777777" w:rsidR="00D1587D" w:rsidRDefault="00D1587D">
            <w:pPr>
              <w:rPr>
                <w:sz w:val="3"/>
                <w:szCs w:val="3"/>
              </w:rPr>
            </w:pPr>
          </w:p>
        </w:tc>
        <w:tc>
          <w:tcPr>
            <w:tcW w:w="180" w:type="dxa"/>
            <w:vAlign w:val="bottom"/>
          </w:tcPr>
          <w:p w14:paraId="42E68A36" w14:textId="77777777" w:rsidR="00D1587D" w:rsidRDefault="00D1587D">
            <w:pPr>
              <w:rPr>
                <w:sz w:val="3"/>
                <w:szCs w:val="3"/>
              </w:rPr>
            </w:pPr>
          </w:p>
        </w:tc>
        <w:tc>
          <w:tcPr>
            <w:tcW w:w="160" w:type="dxa"/>
            <w:vAlign w:val="bottom"/>
          </w:tcPr>
          <w:p w14:paraId="215110E9" w14:textId="77777777" w:rsidR="00D1587D" w:rsidRDefault="00D1587D">
            <w:pPr>
              <w:rPr>
                <w:sz w:val="3"/>
                <w:szCs w:val="3"/>
              </w:rPr>
            </w:pPr>
          </w:p>
        </w:tc>
        <w:tc>
          <w:tcPr>
            <w:tcW w:w="660" w:type="dxa"/>
            <w:vAlign w:val="bottom"/>
          </w:tcPr>
          <w:p w14:paraId="3E028593" w14:textId="77777777" w:rsidR="00D1587D" w:rsidRDefault="00D1587D">
            <w:pPr>
              <w:rPr>
                <w:sz w:val="3"/>
                <w:szCs w:val="3"/>
              </w:rPr>
            </w:pPr>
          </w:p>
        </w:tc>
        <w:tc>
          <w:tcPr>
            <w:tcW w:w="180" w:type="dxa"/>
            <w:vAlign w:val="bottom"/>
          </w:tcPr>
          <w:p w14:paraId="01CB2475" w14:textId="77777777" w:rsidR="00D1587D" w:rsidRDefault="00D1587D">
            <w:pPr>
              <w:rPr>
                <w:sz w:val="3"/>
                <w:szCs w:val="3"/>
              </w:rPr>
            </w:pPr>
          </w:p>
        </w:tc>
        <w:tc>
          <w:tcPr>
            <w:tcW w:w="100" w:type="dxa"/>
            <w:vAlign w:val="bottom"/>
          </w:tcPr>
          <w:p w14:paraId="69425DFD" w14:textId="77777777" w:rsidR="00D1587D" w:rsidRDefault="00D1587D">
            <w:pPr>
              <w:rPr>
                <w:sz w:val="3"/>
                <w:szCs w:val="3"/>
              </w:rPr>
            </w:pPr>
          </w:p>
        </w:tc>
        <w:tc>
          <w:tcPr>
            <w:tcW w:w="720" w:type="dxa"/>
            <w:vAlign w:val="bottom"/>
          </w:tcPr>
          <w:p w14:paraId="321CA9AD" w14:textId="77777777" w:rsidR="00D1587D" w:rsidRDefault="00D1587D">
            <w:pPr>
              <w:rPr>
                <w:sz w:val="3"/>
                <w:szCs w:val="3"/>
              </w:rPr>
            </w:pPr>
          </w:p>
        </w:tc>
        <w:tc>
          <w:tcPr>
            <w:tcW w:w="180" w:type="dxa"/>
            <w:vAlign w:val="bottom"/>
          </w:tcPr>
          <w:p w14:paraId="10A61882" w14:textId="77777777" w:rsidR="00D1587D" w:rsidRDefault="00D1587D">
            <w:pPr>
              <w:rPr>
                <w:sz w:val="3"/>
                <w:szCs w:val="3"/>
              </w:rPr>
            </w:pPr>
          </w:p>
        </w:tc>
        <w:tc>
          <w:tcPr>
            <w:tcW w:w="780" w:type="dxa"/>
            <w:gridSpan w:val="2"/>
            <w:vMerge/>
            <w:vAlign w:val="bottom"/>
          </w:tcPr>
          <w:p w14:paraId="4F06F1B7" w14:textId="77777777" w:rsidR="00D1587D" w:rsidRDefault="00D1587D">
            <w:pPr>
              <w:rPr>
                <w:sz w:val="3"/>
                <w:szCs w:val="3"/>
              </w:rPr>
            </w:pPr>
          </w:p>
        </w:tc>
        <w:tc>
          <w:tcPr>
            <w:tcW w:w="0" w:type="dxa"/>
            <w:vAlign w:val="bottom"/>
          </w:tcPr>
          <w:p w14:paraId="5873E60D" w14:textId="77777777" w:rsidR="00D1587D" w:rsidRDefault="00D1587D">
            <w:pPr>
              <w:spacing w:line="20" w:lineRule="exact"/>
              <w:rPr>
                <w:sz w:val="1"/>
                <w:szCs w:val="1"/>
              </w:rPr>
            </w:pPr>
          </w:p>
        </w:tc>
      </w:tr>
      <w:tr w:rsidR="00D1587D" w14:paraId="051BFC59" w14:textId="77777777">
        <w:trPr>
          <w:trHeight w:val="148"/>
        </w:trPr>
        <w:tc>
          <w:tcPr>
            <w:tcW w:w="2260" w:type="dxa"/>
            <w:vAlign w:val="bottom"/>
          </w:tcPr>
          <w:p w14:paraId="40BA6AEC" w14:textId="77777777" w:rsidR="00D1587D" w:rsidRDefault="00D1587D">
            <w:pPr>
              <w:rPr>
                <w:sz w:val="12"/>
                <w:szCs w:val="12"/>
              </w:rPr>
            </w:pPr>
          </w:p>
        </w:tc>
        <w:tc>
          <w:tcPr>
            <w:tcW w:w="100" w:type="dxa"/>
            <w:vAlign w:val="bottom"/>
          </w:tcPr>
          <w:p w14:paraId="4AA4BEF8" w14:textId="77777777" w:rsidR="00D1587D" w:rsidRDefault="00D1587D">
            <w:pPr>
              <w:rPr>
                <w:sz w:val="12"/>
                <w:szCs w:val="12"/>
              </w:rPr>
            </w:pPr>
          </w:p>
        </w:tc>
        <w:tc>
          <w:tcPr>
            <w:tcW w:w="200" w:type="dxa"/>
            <w:vAlign w:val="bottom"/>
          </w:tcPr>
          <w:p w14:paraId="2D3F04C4" w14:textId="77777777" w:rsidR="00D1587D" w:rsidRDefault="00D1587D">
            <w:pPr>
              <w:rPr>
                <w:sz w:val="12"/>
                <w:szCs w:val="12"/>
              </w:rPr>
            </w:pPr>
          </w:p>
        </w:tc>
        <w:tc>
          <w:tcPr>
            <w:tcW w:w="700" w:type="dxa"/>
            <w:gridSpan w:val="2"/>
            <w:vMerge/>
            <w:vAlign w:val="bottom"/>
          </w:tcPr>
          <w:p w14:paraId="65A6906B" w14:textId="77777777" w:rsidR="00D1587D" w:rsidRDefault="00D1587D">
            <w:pPr>
              <w:rPr>
                <w:sz w:val="12"/>
                <w:szCs w:val="12"/>
              </w:rPr>
            </w:pPr>
          </w:p>
        </w:tc>
        <w:tc>
          <w:tcPr>
            <w:tcW w:w="80" w:type="dxa"/>
            <w:vAlign w:val="bottom"/>
          </w:tcPr>
          <w:p w14:paraId="41FF4212" w14:textId="77777777" w:rsidR="00D1587D" w:rsidRDefault="00D1587D">
            <w:pPr>
              <w:rPr>
                <w:sz w:val="12"/>
                <w:szCs w:val="12"/>
              </w:rPr>
            </w:pPr>
          </w:p>
        </w:tc>
        <w:tc>
          <w:tcPr>
            <w:tcW w:w="100" w:type="dxa"/>
            <w:vAlign w:val="bottom"/>
          </w:tcPr>
          <w:p w14:paraId="78968746" w14:textId="77777777" w:rsidR="00D1587D" w:rsidRDefault="00D1587D">
            <w:pPr>
              <w:rPr>
                <w:sz w:val="12"/>
                <w:szCs w:val="12"/>
              </w:rPr>
            </w:pPr>
          </w:p>
        </w:tc>
        <w:tc>
          <w:tcPr>
            <w:tcW w:w="1080" w:type="dxa"/>
            <w:gridSpan w:val="2"/>
            <w:vMerge/>
            <w:vAlign w:val="bottom"/>
          </w:tcPr>
          <w:p w14:paraId="41D0875C" w14:textId="77777777" w:rsidR="00D1587D" w:rsidRDefault="00D1587D">
            <w:pPr>
              <w:rPr>
                <w:sz w:val="12"/>
                <w:szCs w:val="12"/>
              </w:rPr>
            </w:pPr>
          </w:p>
        </w:tc>
        <w:tc>
          <w:tcPr>
            <w:tcW w:w="940" w:type="dxa"/>
            <w:vAlign w:val="bottom"/>
          </w:tcPr>
          <w:p w14:paraId="77E5A2DE" w14:textId="77777777" w:rsidR="00D1587D" w:rsidRDefault="00410D07">
            <w:pPr>
              <w:spacing w:line="149" w:lineRule="exact"/>
              <w:jc w:val="center"/>
              <w:rPr>
                <w:sz w:val="20"/>
                <w:szCs w:val="20"/>
              </w:rPr>
            </w:pPr>
            <w:r>
              <w:rPr>
                <w:rFonts w:ascii="Arial" w:eastAsia="Arial" w:hAnsi="Arial" w:cs="Arial"/>
                <w:b/>
                <w:bCs/>
                <w:w w:val="91"/>
                <w:sz w:val="14"/>
                <w:szCs w:val="14"/>
              </w:rPr>
              <w:t>Change in</w:t>
            </w:r>
          </w:p>
        </w:tc>
        <w:tc>
          <w:tcPr>
            <w:tcW w:w="180" w:type="dxa"/>
            <w:vAlign w:val="bottom"/>
          </w:tcPr>
          <w:p w14:paraId="3FA625AB" w14:textId="77777777" w:rsidR="00D1587D" w:rsidRDefault="00D1587D">
            <w:pPr>
              <w:rPr>
                <w:sz w:val="12"/>
                <w:szCs w:val="12"/>
              </w:rPr>
            </w:pPr>
          </w:p>
        </w:tc>
        <w:tc>
          <w:tcPr>
            <w:tcW w:w="160" w:type="dxa"/>
            <w:vAlign w:val="bottom"/>
          </w:tcPr>
          <w:p w14:paraId="63FFF73F" w14:textId="77777777" w:rsidR="00D1587D" w:rsidRDefault="00D1587D">
            <w:pPr>
              <w:rPr>
                <w:sz w:val="12"/>
                <w:szCs w:val="12"/>
              </w:rPr>
            </w:pPr>
          </w:p>
        </w:tc>
        <w:tc>
          <w:tcPr>
            <w:tcW w:w="660" w:type="dxa"/>
            <w:vMerge w:val="restart"/>
            <w:vAlign w:val="bottom"/>
          </w:tcPr>
          <w:p w14:paraId="6DBD1BD4" w14:textId="77777777" w:rsidR="00D1587D" w:rsidRDefault="00410D07">
            <w:pPr>
              <w:ind w:right="98"/>
              <w:jc w:val="center"/>
              <w:rPr>
                <w:sz w:val="20"/>
                <w:szCs w:val="20"/>
              </w:rPr>
            </w:pPr>
            <w:r>
              <w:rPr>
                <w:rFonts w:ascii="Arial" w:eastAsia="Arial" w:hAnsi="Arial" w:cs="Arial"/>
                <w:b/>
                <w:bCs/>
                <w:w w:val="92"/>
                <w:sz w:val="14"/>
                <w:szCs w:val="14"/>
              </w:rPr>
              <w:t>Death</w:t>
            </w:r>
          </w:p>
        </w:tc>
        <w:tc>
          <w:tcPr>
            <w:tcW w:w="180" w:type="dxa"/>
            <w:vAlign w:val="bottom"/>
          </w:tcPr>
          <w:p w14:paraId="0AE17C18" w14:textId="77777777" w:rsidR="00D1587D" w:rsidRDefault="00D1587D">
            <w:pPr>
              <w:rPr>
                <w:sz w:val="12"/>
                <w:szCs w:val="12"/>
              </w:rPr>
            </w:pPr>
          </w:p>
        </w:tc>
        <w:tc>
          <w:tcPr>
            <w:tcW w:w="100" w:type="dxa"/>
            <w:vAlign w:val="bottom"/>
          </w:tcPr>
          <w:p w14:paraId="076263BD" w14:textId="77777777" w:rsidR="00D1587D" w:rsidRDefault="00D1587D">
            <w:pPr>
              <w:rPr>
                <w:sz w:val="12"/>
                <w:szCs w:val="12"/>
              </w:rPr>
            </w:pPr>
          </w:p>
        </w:tc>
        <w:tc>
          <w:tcPr>
            <w:tcW w:w="900" w:type="dxa"/>
            <w:gridSpan w:val="2"/>
            <w:vMerge w:val="restart"/>
            <w:vAlign w:val="bottom"/>
          </w:tcPr>
          <w:p w14:paraId="6498F3EB" w14:textId="77777777" w:rsidR="00D1587D" w:rsidRDefault="00410D07">
            <w:pPr>
              <w:ind w:right="300"/>
              <w:jc w:val="center"/>
              <w:rPr>
                <w:sz w:val="20"/>
                <w:szCs w:val="20"/>
              </w:rPr>
            </w:pPr>
            <w:r>
              <w:rPr>
                <w:rFonts w:ascii="Arial" w:eastAsia="Arial" w:hAnsi="Arial" w:cs="Arial"/>
                <w:b/>
                <w:bCs/>
                <w:w w:val="96"/>
                <w:sz w:val="14"/>
                <w:szCs w:val="14"/>
              </w:rPr>
              <w:t>Disability</w:t>
            </w:r>
          </w:p>
        </w:tc>
        <w:tc>
          <w:tcPr>
            <w:tcW w:w="780" w:type="dxa"/>
            <w:gridSpan w:val="2"/>
            <w:vAlign w:val="bottom"/>
          </w:tcPr>
          <w:p w14:paraId="5AD2694B" w14:textId="77777777" w:rsidR="00D1587D" w:rsidRDefault="00410D07">
            <w:pPr>
              <w:spacing w:line="149" w:lineRule="exact"/>
              <w:jc w:val="center"/>
              <w:rPr>
                <w:sz w:val="20"/>
                <w:szCs w:val="20"/>
              </w:rPr>
            </w:pPr>
            <w:r>
              <w:rPr>
                <w:rFonts w:ascii="Arial" w:eastAsia="Arial" w:hAnsi="Arial" w:cs="Arial"/>
                <w:b/>
                <w:bCs/>
                <w:w w:val="92"/>
                <w:sz w:val="14"/>
                <w:szCs w:val="14"/>
              </w:rPr>
              <w:t>Resignation/</w:t>
            </w:r>
          </w:p>
        </w:tc>
        <w:tc>
          <w:tcPr>
            <w:tcW w:w="0" w:type="dxa"/>
            <w:vAlign w:val="bottom"/>
          </w:tcPr>
          <w:p w14:paraId="551E43CD" w14:textId="77777777" w:rsidR="00D1587D" w:rsidRDefault="00D1587D">
            <w:pPr>
              <w:rPr>
                <w:sz w:val="1"/>
                <w:szCs w:val="1"/>
              </w:rPr>
            </w:pPr>
          </w:p>
        </w:tc>
      </w:tr>
      <w:tr w:rsidR="00D1587D" w14:paraId="3171EE37" w14:textId="77777777">
        <w:trPr>
          <w:trHeight w:val="145"/>
        </w:trPr>
        <w:tc>
          <w:tcPr>
            <w:tcW w:w="2260" w:type="dxa"/>
            <w:vAlign w:val="bottom"/>
          </w:tcPr>
          <w:p w14:paraId="1DAC92E3" w14:textId="77777777" w:rsidR="00D1587D" w:rsidRDefault="00D1587D">
            <w:pPr>
              <w:rPr>
                <w:sz w:val="12"/>
                <w:szCs w:val="12"/>
              </w:rPr>
            </w:pPr>
          </w:p>
        </w:tc>
        <w:tc>
          <w:tcPr>
            <w:tcW w:w="100" w:type="dxa"/>
            <w:vAlign w:val="bottom"/>
          </w:tcPr>
          <w:p w14:paraId="008BDCEB" w14:textId="77777777" w:rsidR="00D1587D" w:rsidRDefault="00D1587D">
            <w:pPr>
              <w:rPr>
                <w:sz w:val="12"/>
                <w:szCs w:val="12"/>
              </w:rPr>
            </w:pPr>
          </w:p>
        </w:tc>
        <w:tc>
          <w:tcPr>
            <w:tcW w:w="900" w:type="dxa"/>
            <w:gridSpan w:val="3"/>
            <w:vAlign w:val="bottom"/>
          </w:tcPr>
          <w:p w14:paraId="10A6DDAB" w14:textId="77777777" w:rsidR="00D1587D" w:rsidRDefault="00410D07">
            <w:pPr>
              <w:spacing w:line="145" w:lineRule="exact"/>
              <w:ind w:right="140"/>
              <w:jc w:val="center"/>
              <w:rPr>
                <w:sz w:val="20"/>
                <w:szCs w:val="20"/>
              </w:rPr>
            </w:pPr>
            <w:r>
              <w:rPr>
                <w:rFonts w:ascii="Arial" w:eastAsia="Arial" w:hAnsi="Arial" w:cs="Arial"/>
                <w:b/>
                <w:bCs/>
                <w:w w:val="90"/>
                <w:sz w:val="14"/>
                <w:szCs w:val="14"/>
              </w:rPr>
              <w:t>Release</w:t>
            </w:r>
          </w:p>
        </w:tc>
        <w:tc>
          <w:tcPr>
            <w:tcW w:w="80" w:type="dxa"/>
            <w:vAlign w:val="bottom"/>
          </w:tcPr>
          <w:p w14:paraId="6C92A8BC" w14:textId="77777777" w:rsidR="00D1587D" w:rsidRDefault="00D1587D">
            <w:pPr>
              <w:rPr>
                <w:sz w:val="12"/>
                <w:szCs w:val="12"/>
              </w:rPr>
            </w:pPr>
          </w:p>
        </w:tc>
        <w:tc>
          <w:tcPr>
            <w:tcW w:w="100" w:type="dxa"/>
            <w:vAlign w:val="bottom"/>
          </w:tcPr>
          <w:p w14:paraId="516021CE" w14:textId="77777777" w:rsidR="00D1587D" w:rsidRDefault="00D1587D">
            <w:pPr>
              <w:rPr>
                <w:sz w:val="12"/>
                <w:szCs w:val="12"/>
              </w:rPr>
            </w:pPr>
          </w:p>
        </w:tc>
        <w:tc>
          <w:tcPr>
            <w:tcW w:w="1080" w:type="dxa"/>
            <w:gridSpan w:val="2"/>
            <w:vAlign w:val="bottom"/>
          </w:tcPr>
          <w:p w14:paraId="6FFDB479" w14:textId="77777777" w:rsidR="00D1587D" w:rsidRDefault="00410D07">
            <w:pPr>
              <w:spacing w:line="145" w:lineRule="exact"/>
              <w:ind w:right="320"/>
              <w:jc w:val="center"/>
              <w:rPr>
                <w:sz w:val="20"/>
                <w:szCs w:val="20"/>
              </w:rPr>
            </w:pPr>
            <w:r>
              <w:rPr>
                <w:rFonts w:ascii="Arial" w:eastAsia="Arial" w:hAnsi="Arial" w:cs="Arial"/>
                <w:b/>
                <w:bCs/>
                <w:w w:val="90"/>
                <w:sz w:val="14"/>
                <w:szCs w:val="14"/>
              </w:rPr>
              <w:t>Release</w:t>
            </w:r>
          </w:p>
        </w:tc>
        <w:tc>
          <w:tcPr>
            <w:tcW w:w="940" w:type="dxa"/>
            <w:vAlign w:val="bottom"/>
          </w:tcPr>
          <w:p w14:paraId="73018196" w14:textId="77777777" w:rsidR="00D1587D" w:rsidRDefault="00410D07">
            <w:pPr>
              <w:spacing w:line="145" w:lineRule="exact"/>
              <w:jc w:val="center"/>
              <w:rPr>
                <w:sz w:val="20"/>
                <w:szCs w:val="20"/>
              </w:rPr>
            </w:pPr>
            <w:r>
              <w:rPr>
                <w:rFonts w:ascii="Arial" w:eastAsia="Arial" w:hAnsi="Arial" w:cs="Arial"/>
                <w:b/>
                <w:bCs/>
                <w:w w:val="96"/>
                <w:sz w:val="14"/>
                <w:szCs w:val="14"/>
              </w:rPr>
              <w:t>Control</w:t>
            </w:r>
          </w:p>
        </w:tc>
        <w:tc>
          <w:tcPr>
            <w:tcW w:w="180" w:type="dxa"/>
            <w:vAlign w:val="bottom"/>
          </w:tcPr>
          <w:p w14:paraId="1BD54C9C" w14:textId="77777777" w:rsidR="00D1587D" w:rsidRDefault="00D1587D">
            <w:pPr>
              <w:rPr>
                <w:sz w:val="12"/>
                <w:szCs w:val="12"/>
              </w:rPr>
            </w:pPr>
          </w:p>
        </w:tc>
        <w:tc>
          <w:tcPr>
            <w:tcW w:w="160" w:type="dxa"/>
            <w:vAlign w:val="bottom"/>
          </w:tcPr>
          <w:p w14:paraId="60E8AC8D" w14:textId="77777777" w:rsidR="00D1587D" w:rsidRDefault="00D1587D">
            <w:pPr>
              <w:rPr>
                <w:sz w:val="12"/>
                <w:szCs w:val="12"/>
              </w:rPr>
            </w:pPr>
          </w:p>
        </w:tc>
        <w:tc>
          <w:tcPr>
            <w:tcW w:w="660" w:type="dxa"/>
            <w:vMerge/>
            <w:vAlign w:val="bottom"/>
          </w:tcPr>
          <w:p w14:paraId="593079AF" w14:textId="77777777" w:rsidR="00D1587D" w:rsidRDefault="00D1587D">
            <w:pPr>
              <w:rPr>
                <w:sz w:val="12"/>
                <w:szCs w:val="12"/>
              </w:rPr>
            </w:pPr>
          </w:p>
        </w:tc>
        <w:tc>
          <w:tcPr>
            <w:tcW w:w="180" w:type="dxa"/>
            <w:vAlign w:val="bottom"/>
          </w:tcPr>
          <w:p w14:paraId="33B90DF6" w14:textId="77777777" w:rsidR="00D1587D" w:rsidRDefault="00D1587D">
            <w:pPr>
              <w:rPr>
                <w:sz w:val="12"/>
                <w:szCs w:val="12"/>
              </w:rPr>
            </w:pPr>
          </w:p>
        </w:tc>
        <w:tc>
          <w:tcPr>
            <w:tcW w:w="100" w:type="dxa"/>
            <w:vAlign w:val="bottom"/>
          </w:tcPr>
          <w:p w14:paraId="5D59529C" w14:textId="77777777" w:rsidR="00D1587D" w:rsidRDefault="00D1587D">
            <w:pPr>
              <w:rPr>
                <w:sz w:val="12"/>
                <w:szCs w:val="12"/>
              </w:rPr>
            </w:pPr>
          </w:p>
        </w:tc>
        <w:tc>
          <w:tcPr>
            <w:tcW w:w="900" w:type="dxa"/>
            <w:gridSpan w:val="2"/>
            <w:vMerge/>
            <w:vAlign w:val="bottom"/>
          </w:tcPr>
          <w:p w14:paraId="46C30602" w14:textId="77777777" w:rsidR="00D1587D" w:rsidRDefault="00D1587D">
            <w:pPr>
              <w:rPr>
                <w:sz w:val="12"/>
                <w:szCs w:val="12"/>
              </w:rPr>
            </w:pPr>
          </w:p>
        </w:tc>
        <w:tc>
          <w:tcPr>
            <w:tcW w:w="780" w:type="dxa"/>
            <w:gridSpan w:val="2"/>
            <w:vAlign w:val="bottom"/>
          </w:tcPr>
          <w:p w14:paraId="42CA64AD" w14:textId="77777777" w:rsidR="00D1587D" w:rsidRDefault="00410D07">
            <w:pPr>
              <w:spacing w:line="145" w:lineRule="exact"/>
              <w:jc w:val="center"/>
              <w:rPr>
                <w:sz w:val="20"/>
                <w:szCs w:val="20"/>
              </w:rPr>
            </w:pPr>
            <w:r>
              <w:rPr>
                <w:rFonts w:ascii="Arial" w:eastAsia="Arial" w:hAnsi="Arial" w:cs="Arial"/>
                <w:b/>
                <w:bCs/>
                <w:w w:val="95"/>
                <w:sz w:val="14"/>
                <w:szCs w:val="14"/>
              </w:rPr>
              <w:t>Retirement</w:t>
            </w:r>
          </w:p>
        </w:tc>
        <w:tc>
          <w:tcPr>
            <w:tcW w:w="0" w:type="dxa"/>
            <w:vAlign w:val="bottom"/>
          </w:tcPr>
          <w:p w14:paraId="6985148A" w14:textId="77777777" w:rsidR="00D1587D" w:rsidRDefault="00D1587D">
            <w:pPr>
              <w:rPr>
                <w:sz w:val="1"/>
                <w:szCs w:val="1"/>
              </w:rPr>
            </w:pPr>
          </w:p>
        </w:tc>
      </w:tr>
      <w:tr w:rsidR="00D1587D" w14:paraId="732A5544" w14:textId="77777777">
        <w:trPr>
          <w:trHeight w:val="242"/>
        </w:trPr>
        <w:tc>
          <w:tcPr>
            <w:tcW w:w="2260" w:type="dxa"/>
            <w:tcBorders>
              <w:bottom w:val="single" w:sz="8" w:space="0" w:color="CCEEFF"/>
            </w:tcBorders>
            <w:vAlign w:val="bottom"/>
          </w:tcPr>
          <w:p w14:paraId="7ACC8606" w14:textId="77777777" w:rsidR="00D1587D" w:rsidRDefault="00D1587D">
            <w:pPr>
              <w:rPr>
                <w:sz w:val="21"/>
                <w:szCs w:val="21"/>
              </w:rPr>
            </w:pPr>
          </w:p>
        </w:tc>
        <w:tc>
          <w:tcPr>
            <w:tcW w:w="100" w:type="dxa"/>
            <w:tcBorders>
              <w:bottom w:val="single" w:sz="8" w:space="0" w:color="CCEEFF"/>
            </w:tcBorders>
            <w:vAlign w:val="bottom"/>
          </w:tcPr>
          <w:p w14:paraId="133E906A" w14:textId="77777777" w:rsidR="00D1587D" w:rsidRDefault="00D1587D">
            <w:pPr>
              <w:rPr>
                <w:sz w:val="21"/>
                <w:szCs w:val="21"/>
              </w:rPr>
            </w:pPr>
          </w:p>
        </w:tc>
        <w:tc>
          <w:tcPr>
            <w:tcW w:w="200" w:type="dxa"/>
            <w:tcBorders>
              <w:bottom w:val="single" w:sz="8" w:space="0" w:color="auto"/>
            </w:tcBorders>
            <w:vAlign w:val="bottom"/>
          </w:tcPr>
          <w:p w14:paraId="6236EC47" w14:textId="77777777" w:rsidR="00D1587D" w:rsidRDefault="00D1587D">
            <w:pPr>
              <w:rPr>
                <w:sz w:val="21"/>
                <w:szCs w:val="21"/>
              </w:rPr>
            </w:pPr>
          </w:p>
        </w:tc>
        <w:tc>
          <w:tcPr>
            <w:tcW w:w="600" w:type="dxa"/>
            <w:tcBorders>
              <w:bottom w:val="single" w:sz="8" w:space="0" w:color="auto"/>
            </w:tcBorders>
            <w:vAlign w:val="bottom"/>
          </w:tcPr>
          <w:p w14:paraId="70133B5A" w14:textId="77777777" w:rsidR="00D1587D" w:rsidRDefault="00410D07">
            <w:pPr>
              <w:ind w:right="116"/>
              <w:jc w:val="center"/>
              <w:rPr>
                <w:sz w:val="20"/>
                <w:szCs w:val="20"/>
              </w:rPr>
            </w:pPr>
            <w:r>
              <w:rPr>
                <w:rFonts w:ascii="Arial" w:eastAsia="Arial" w:hAnsi="Arial" w:cs="Arial"/>
                <w:b/>
                <w:bCs/>
                <w:w w:val="93"/>
                <w:sz w:val="14"/>
                <w:szCs w:val="14"/>
              </w:rPr>
              <w:t>($)</w:t>
            </w:r>
          </w:p>
        </w:tc>
        <w:tc>
          <w:tcPr>
            <w:tcW w:w="100" w:type="dxa"/>
            <w:tcBorders>
              <w:bottom w:val="single" w:sz="8" w:space="0" w:color="CCEEFF"/>
            </w:tcBorders>
            <w:vAlign w:val="bottom"/>
          </w:tcPr>
          <w:p w14:paraId="2CD8EA8D" w14:textId="77777777" w:rsidR="00D1587D" w:rsidRDefault="00D1587D">
            <w:pPr>
              <w:rPr>
                <w:sz w:val="21"/>
                <w:szCs w:val="21"/>
              </w:rPr>
            </w:pPr>
          </w:p>
        </w:tc>
        <w:tc>
          <w:tcPr>
            <w:tcW w:w="80" w:type="dxa"/>
            <w:tcBorders>
              <w:bottom w:val="single" w:sz="8" w:space="0" w:color="CCEEFF"/>
            </w:tcBorders>
            <w:vAlign w:val="bottom"/>
          </w:tcPr>
          <w:p w14:paraId="18AAEAA2" w14:textId="77777777" w:rsidR="00D1587D" w:rsidRDefault="00D1587D">
            <w:pPr>
              <w:rPr>
                <w:sz w:val="21"/>
                <w:szCs w:val="21"/>
              </w:rPr>
            </w:pPr>
          </w:p>
        </w:tc>
        <w:tc>
          <w:tcPr>
            <w:tcW w:w="1000" w:type="dxa"/>
            <w:gridSpan w:val="2"/>
            <w:tcBorders>
              <w:bottom w:val="single" w:sz="8" w:space="0" w:color="auto"/>
            </w:tcBorders>
            <w:vAlign w:val="bottom"/>
          </w:tcPr>
          <w:p w14:paraId="6FF8004C" w14:textId="77777777" w:rsidR="00D1587D" w:rsidRDefault="00410D07">
            <w:pPr>
              <w:jc w:val="center"/>
              <w:rPr>
                <w:sz w:val="20"/>
                <w:szCs w:val="20"/>
              </w:rPr>
            </w:pPr>
            <w:r>
              <w:rPr>
                <w:rFonts w:ascii="Arial" w:eastAsia="Arial" w:hAnsi="Arial" w:cs="Arial"/>
                <w:b/>
                <w:bCs/>
                <w:w w:val="93"/>
                <w:sz w:val="14"/>
                <w:szCs w:val="14"/>
              </w:rPr>
              <w:t>($)</w:t>
            </w:r>
          </w:p>
        </w:tc>
        <w:tc>
          <w:tcPr>
            <w:tcW w:w="180" w:type="dxa"/>
            <w:tcBorders>
              <w:bottom w:val="single" w:sz="8" w:space="0" w:color="CCEEFF"/>
            </w:tcBorders>
            <w:vAlign w:val="bottom"/>
          </w:tcPr>
          <w:p w14:paraId="18304D56" w14:textId="77777777" w:rsidR="00D1587D" w:rsidRDefault="00D1587D">
            <w:pPr>
              <w:rPr>
                <w:sz w:val="21"/>
                <w:szCs w:val="21"/>
              </w:rPr>
            </w:pPr>
          </w:p>
        </w:tc>
        <w:tc>
          <w:tcPr>
            <w:tcW w:w="940" w:type="dxa"/>
            <w:tcBorders>
              <w:bottom w:val="single" w:sz="8" w:space="0" w:color="auto"/>
            </w:tcBorders>
            <w:vAlign w:val="bottom"/>
          </w:tcPr>
          <w:p w14:paraId="10139B1C" w14:textId="77777777" w:rsidR="00D1587D" w:rsidRDefault="00410D07">
            <w:pPr>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5B3243DB" w14:textId="77777777" w:rsidR="00D1587D" w:rsidRDefault="00D1587D">
            <w:pPr>
              <w:rPr>
                <w:sz w:val="21"/>
                <w:szCs w:val="21"/>
              </w:rPr>
            </w:pPr>
          </w:p>
        </w:tc>
        <w:tc>
          <w:tcPr>
            <w:tcW w:w="160" w:type="dxa"/>
            <w:tcBorders>
              <w:bottom w:val="single" w:sz="8" w:space="0" w:color="auto"/>
            </w:tcBorders>
            <w:vAlign w:val="bottom"/>
          </w:tcPr>
          <w:p w14:paraId="32621BB9" w14:textId="77777777" w:rsidR="00D1587D" w:rsidRDefault="00D1587D">
            <w:pPr>
              <w:rPr>
                <w:sz w:val="21"/>
                <w:szCs w:val="21"/>
              </w:rPr>
            </w:pPr>
          </w:p>
        </w:tc>
        <w:tc>
          <w:tcPr>
            <w:tcW w:w="660" w:type="dxa"/>
            <w:tcBorders>
              <w:bottom w:val="single" w:sz="8" w:space="0" w:color="auto"/>
            </w:tcBorders>
            <w:vAlign w:val="bottom"/>
          </w:tcPr>
          <w:p w14:paraId="78CE6903" w14:textId="77777777" w:rsidR="00D1587D" w:rsidRDefault="00410D07">
            <w:pPr>
              <w:spacing w:line="242" w:lineRule="exact"/>
              <w:ind w:right="78"/>
              <w:jc w:val="center"/>
              <w:rPr>
                <w:sz w:val="20"/>
                <w:szCs w:val="20"/>
              </w:rPr>
            </w:pPr>
            <w:r>
              <w:rPr>
                <w:rFonts w:ascii="Arial" w:eastAsia="Arial" w:hAnsi="Arial" w:cs="Arial"/>
                <w:b/>
                <w:bCs/>
                <w:w w:val="79"/>
                <w:sz w:val="28"/>
                <w:szCs w:val="28"/>
                <w:vertAlign w:val="subscript"/>
              </w:rPr>
              <w:t>($)</w:t>
            </w:r>
            <w:r>
              <w:rPr>
                <w:rFonts w:ascii="Arial" w:eastAsia="Arial" w:hAnsi="Arial" w:cs="Arial"/>
                <w:b/>
                <w:bCs/>
                <w:w w:val="79"/>
                <w:sz w:val="12"/>
                <w:szCs w:val="12"/>
              </w:rPr>
              <w:t>(6)</w:t>
            </w:r>
          </w:p>
        </w:tc>
        <w:tc>
          <w:tcPr>
            <w:tcW w:w="180" w:type="dxa"/>
            <w:tcBorders>
              <w:bottom w:val="single" w:sz="8" w:space="0" w:color="CCEEFF"/>
            </w:tcBorders>
            <w:vAlign w:val="bottom"/>
          </w:tcPr>
          <w:p w14:paraId="219F8C02" w14:textId="77777777" w:rsidR="00D1587D" w:rsidRDefault="00D1587D">
            <w:pPr>
              <w:rPr>
                <w:sz w:val="21"/>
                <w:szCs w:val="21"/>
              </w:rPr>
            </w:pPr>
          </w:p>
        </w:tc>
        <w:tc>
          <w:tcPr>
            <w:tcW w:w="100" w:type="dxa"/>
            <w:tcBorders>
              <w:bottom w:val="single" w:sz="8" w:space="0" w:color="auto"/>
            </w:tcBorders>
            <w:vAlign w:val="bottom"/>
          </w:tcPr>
          <w:p w14:paraId="00CADC35" w14:textId="77777777" w:rsidR="00D1587D" w:rsidRDefault="00D1587D">
            <w:pPr>
              <w:rPr>
                <w:sz w:val="21"/>
                <w:szCs w:val="21"/>
              </w:rPr>
            </w:pPr>
          </w:p>
        </w:tc>
        <w:tc>
          <w:tcPr>
            <w:tcW w:w="720" w:type="dxa"/>
            <w:tcBorders>
              <w:bottom w:val="single" w:sz="8" w:space="0" w:color="auto"/>
            </w:tcBorders>
            <w:vAlign w:val="bottom"/>
          </w:tcPr>
          <w:p w14:paraId="016E8891" w14:textId="77777777" w:rsidR="00D1587D" w:rsidRDefault="00410D07">
            <w:pPr>
              <w:ind w:right="16"/>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0879D5B5" w14:textId="77777777" w:rsidR="00D1587D" w:rsidRDefault="00D1587D">
            <w:pPr>
              <w:rPr>
                <w:sz w:val="21"/>
                <w:szCs w:val="21"/>
              </w:rPr>
            </w:pPr>
          </w:p>
        </w:tc>
        <w:tc>
          <w:tcPr>
            <w:tcW w:w="300" w:type="dxa"/>
            <w:tcBorders>
              <w:bottom w:val="single" w:sz="8" w:space="0" w:color="auto"/>
            </w:tcBorders>
            <w:vAlign w:val="bottom"/>
          </w:tcPr>
          <w:p w14:paraId="4508341D" w14:textId="77777777" w:rsidR="00D1587D" w:rsidRDefault="00D1587D">
            <w:pPr>
              <w:rPr>
                <w:sz w:val="21"/>
                <w:szCs w:val="21"/>
              </w:rPr>
            </w:pPr>
          </w:p>
        </w:tc>
        <w:tc>
          <w:tcPr>
            <w:tcW w:w="480" w:type="dxa"/>
            <w:tcBorders>
              <w:bottom w:val="single" w:sz="8" w:space="0" w:color="auto"/>
            </w:tcBorders>
            <w:vAlign w:val="bottom"/>
          </w:tcPr>
          <w:p w14:paraId="66C4264E" w14:textId="77777777" w:rsidR="00D1587D" w:rsidRDefault="00410D07">
            <w:pPr>
              <w:ind w:right="213"/>
              <w:jc w:val="center"/>
              <w:rPr>
                <w:sz w:val="20"/>
                <w:szCs w:val="20"/>
              </w:rPr>
            </w:pPr>
            <w:r>
              <w:rPr>
                <w:rFonts w:ascii="Arial" w:eastAsia="Arial" w:hAnsi="Arial" w:cs="Arial"/>
                <w:b/>
                <w:bCs/>
                <w:sz w:val="14"/>
                <w:szCs w:val="14"/>
              </w:rPr>
              <w:t>($)</w:t>
            </w:r>
          </w:p>
        </w:tc>
        <w:tc>
          <w:tcPr>
            <w:tcW w:w="0" w:type="dxa"/>
            <w:vAlign w:val="bottom"/>
          </w:tcPr>
          <w:p w14:paraId="0DFE630B" w14:textId="77777777" w:rsidR="00D1587D" w:rsidRDefault="00D1587D">
            <w:pPr>
              <w:rPr>
                <w:sz w:val="1"/>
                <w:szCs w:val="1"/>
              </w:rPr>
            </w:pPr>
          </w:p>
        </w:tc>
      </w:tr>
      <w:tr w:rsidR="00D1587D" w14:paraId="15628CC6" w14:textId="77777777">
        <w:trPr>
          <w:trHeight w:val="311"/>
        </w:trPr>
        <w:tc>
          <w:tcPr>
            <w:tcW w:w="2360" w:type="dxa"/>
            <w:gridSpan w:val="2"/>
            <w:tcBorders>
              <w:bottom w:val="single" w:sz="8" w:space="0" w:color="CCEEFF"/>
            </w:tcBorders>
            <w:shd w:val="clear" w:color="auto" w:fill="CCEEFF"/>
            <w:vAlign w:val="bottom"/>
          </w:tcPr>
          <w:p w14:paraId="3A15FB5A" w14:textId="77777777" w:rsidR="00D1587D" w:rsidRDefault="00410D07">
            <w:pPr>
              <w:rPr>
                <w:sz w:val="20"/>
                <w:szCs w:val="20"/>
              </w:rPr>
            </w:pPr>
            <w:r>
              <w:rPr>
                <w:rFonts w:ascii="Arial" w:eastAsia="Arial" w:hAnsi="Arial" w:cs="Arial"/>
                <w:sz w:val="18"/>
                <w:szCs w:val="18"/>
              </w:rPr>
              <w:t>Base Salary</w:t>
            </w:r>
          </w:p>
        </w:tc>
        <w:tc>
          <w:tcPr>
            <w:tcW w:w="200" w:type="dxa"/>
            <w:tcBorders>
              <w:bottom w:val="single" w:sz="8" w:space="0" w:color="CCEEFF"/>
            </w:tcBorders>
            <w:shd w:val="clear" w:color="auto" w:fill="CCEEFF"/>
            <w:vAlign w:val="bottom"/>
          </w:tcPr>
          <w:p w14:paraId="78588A07" w14:textId="77777777" w:rsidR="00D1587D" w:rsidRDefault="00410D07">
            <w:pPr>
              <w:jc w:val="right"/>
              <w:rPr>
                <w:sz w:val="20"/>
                <w:szCs w:val="20"/>
              </w:rPr>
            </w:pPr>
            <w:r>
              <w:rPr>
                <w:rFonts w:ascii="Arial" w:eastAsia="Arial" w:hAnsi="Arial" w:cs="Arial"/>
                <w:sz w:val="18"/>
                <w:szCs w:val="18"/>
              </w:rPr>
              <w:t>$</w:t>
            </w:r>
          </w:p>
        </w:tc>
        <w:tc>
          <w:tcPr>
            <w:tcW w:w="700" w:type="dxa"/>
            <w:gridSpan w:val="2"/>
            <w:tcBorders>
              <w:bottom w:val="single" w:sz="8" w:space="0" w:color="CCEEFF"/>
            </w:tcBorders>
            <w:shd w:val="clear" w:color="auto" w:fill="CCEEFF"/>
            <w:vAlign w:val="bottom"/>
          </w:tcPr>
          <w:p w14:paraId="77B422AE" w14:textId="77777777" w:rsidR="00D1587D" w:rsidRDefault="00410D07">
            <w:pPr>
              <w:ind w:right="220"/>
              <w:jc w:val="right"/>
              <w:rPr>
                <w:sz w:val="20"/>
                <w:szCs w:val="20"/>
              </w:rPr>
            </w:pPr>
            <w:r>
              <w:rPr>
                <w:rFonts w:ascii="Arial" w:eastAsia="Arial" w:hAnsi="Arial" w:cs="Arial"/>
                <w:sz w:val="18"/>
                <w:szCs w:val="18"/>
              </w:rPr>
              <w:t>—</w:t>
            </w:r>
          </w:p>
        </w:tc>
        <w:tc>
          <w:tcPr>
            <w:tcW w:w="1080" w:type="dxa"/>
            <w:gridSpan w:val="3"/>
            <w:tcBorders>
              <w:bottom w:val="single" w:sz="8" w:space="0" w:color="CCEEFF"/>
            </w:tcBorders>
            <w:shd w:val="clear" w:color="auto" w:fill="CCEEFF"/>
            <w:vAlign w:val="bottom"/>
          </w:tcPr>
          <w:p w14:paraId="54A35C07" w14:textId="77777777" w:rsidR="00D1587D" w:rsidRDefault="00410D07">
            <w:pPr>
              <w:ind w:right="19"/>
              <w:jc w:val="right"/>
              <w:rPr>
                <w:sz w:val="20"/>
                <w:szCs w:val="20"/>
              </w:rPr>
            </w:pPr>
            <w:r>
              <w:rPr>
                <w:rFonts w:ascii="Arial" w:eastAsia="Arial" w:hAnsi="Arial" w:cs="Arial"/>
                <w:sz w:val="18"/>
                <w:szCs w:val="18"/>
              </w:rPr>
              <w:t>$1,850,000</w:t>
            </w:r>
          </w:p>
        </w:tc>
        <w:tc>
          <w:tcPr>
            <w:tcW w:w="180" w:type="dxa"/>
            <w:tcBorders>
              <w:bottom w:val="single" w:sz="8" w:space="0" w:color="CCEEFF"/>
            </w:tcBorders>
            <w:shd w:val="clear" w:color="auto" w:fill="CCEEFF"/>
            <w:vAlign w:val="bottom"/>
          </w:tcPr>
          <w:p w14:paraId="1A0E6B43" w14:textId="77777777" w:rsidR="00D1587D" w:rsidRDefault="00D1587D">
            <w:pPr>
              <w:rPr>
                <w:sz w:val="24"/>
                <w:szCs w:val="24"/>
              </w:rPr>
            </w:pPr>
          </w:p>
        </w:tc>
        <w:tc>
          <w:tcPr>
            <w:tcW w:w="940" w:type="dxa"/>
            <w:tcBorders>
              <w:bottom w:val="single" w:sz="8" w:space="0" w:color="CCEEFF"/>
            </w:tcBorders>
            <w:shd w:val="clear" w:color="auto" w:fill="CCEEFF"/>
            <w:vAlign w:val="bottom"/>
          </w:tcPr>
          <w:p w14:paraId="3635A057" w14:textId="77777777" w:rsidR="00D1587D" w:rsidRDefault="00410D07">
            <w:pPr>
              <w:jc w:val="right"/>
              <w:rPr>
                <w:sz w:val="20"/>
                <w:szCs w:val="20"/>
              </w:rPr>
            </w:pPr>
            <w:r>
              <w:rPr>
                <w:rFonts w:ascii="Arial" w:eastAsia="Arial" w:hAnsi="Arial" w:cs="Arial"/>
                <w:w w:val="95"/>
                <w:sz w:val="18"/>
                <w:szCs w:val="18"/>
              </w:rPr>
              <w:t>$1,850,000</w:t>
            </w:r>
          </w:p>
        </w:tc>
        <w:tc>
          <w:tcPr>
            <w:tcW w:w="340" w:type="dxa"/>
            <w:gridSpan w:val="2"/>
            <w:tcBorders>
              <w:bottom w:val="single" w:sz="8" w:space="0" w:color="CCEEFF"/>
            </w:tcBorders>
            <w:shd w:val="clear" w:color="auto" w:fill="CCEEFF"/>
            <w:vAlign w:val="bottom"/>
          </w:tcPr>
          <w:p w14:paraId="4254E985" w14:textId="77777777" w:rsidR="00D1587D" w:rsidRDefault="00410D07">
            <w:pPr>
              <w:ind w:right="60"/>
              <w:jc w:val="right"/>
              <w:rPr>
                <w:sz w:val="20"/>
                <w:szCs w:val="20"/>
              </w:rPr>
            </w:pPr>
            <w:r>
              <w:rPr>
                <w:rFonts w:ascii="Arial" w:eastAsia="Arial" w:hAnsi="Arial" w:cs="Arial"/>
                <w:sz w:val="18"/>
                <w:szCs w:val="18"/>
              </w:rPr>
              <w:t>$</w:t>
            </w:r>
          </w:p>
        </w:tc>
        <w:tc>
          <w:tcPr>
            <w:tcW w:w="660" w:type="dxa"/>
            <w:tcBorders>
              <w:bottom w:val="single" w:sz="8" w:space="0" w:color="CCEEFF"/>
            </w:tcBorders>
            <w:shd w:val="clear" w:color="auto" w:fill="CCEEFF"/>
            <w:vAlign w:val="bottom"/>
          </w:tcPr>
          <w:p w14:paraId="4E8F6AD5" w14:textId="77777777" w:rsidR="00D1587D" w:rsidRDefault="00410D07">
            <w:pPr>
              <w:jc w:val="right"/>
              <w:rPr>
                <w:sz w:val="20"/>
                <w:szCs w:val="20"/>
              </w:rPr>
            </w:pPr>
            <w:r>
              <w:rPr>
                <w:rFonts w:ascii="Arial" w:eastAsia="Arial" w:hAnsi="Arial" w:cs="Arial"/>
                <w:sz w:val="18"/>
                <w:szCs w:val="18"/>
              </w:rPr>
              <w:t>—</w:t>
            </w:r>
          </w:p>
        </w:tc>
        <w:tc>
          <w:tcPr>
            <w:tcW w:w="280" w:type="dxa"/>
            <w:gridSpan w:val="2"/>
            <w:tcBorders>
              <w:bottom w:val="single" w:sz="8" w:space="0" w:color="CCEEFF"/>
            </w:tcBorders>
            <w:shd w:val="clear" w:color="auto" w:fill="CCEEFF"/>
            <w:vAlign w:val="bottom"/>
          </w:tcPr>
          <w:p w14:paraId="6F024D36" w14:textId="77777777" w:rsidR="00D1587D" w:rsidRDefault="00410D07">
            <w:pPr>
              <w:jc w:val="right"/>
              <w:rPr>
                <w:sz w:val="20"/>
                <w:szCs w:val="20"/>
              </w:rPr>
            </w:pPr>
            <w:r>
              <w:rPr>
                <w:rFonts w:ascii="Arial" w:eastAsia="Arial" w:hAnsi="Arial" w:cs="Arial"/>
                <w:sz w:val="18"/>
                <w:szCs w:val="18"/>
              </w:rPr>
              <w:t>$</w:t>
            </w:r>
          </w:p>
        </w:tc>
        <w:tc>
          <w:tcPr>
            <w:tcW w:w="900" w:type="dxa"/>
            <w:gridSpan w:val="2"/>
            <w:tcBorders>
              <w:bottom w:val="single" w:sz="8" w:space="0" w:color="CCEEFF"/>
            </w:tcBorders>
            <w:shd w:val="clear" w:color="auto" w:fill="CCEEFF"/>
            <w:vAlign w:val="bottom"/>
          </w:tcPr>
          <w:p w14:paraId="4658F6AB" w14:textId="77777777" w:rsidR="00D1587D" w:rsidRDefault="00410D07">
            <w:pPr>
              <w:ind w:right="180"/>
              <w:jc w:val="right"/>
              <w:rPr>
                <w:sz w:val="20"/>
                <w:szCs w:val="20"/>
              </w:rPr>
            </w:pPr>
            <w:r>
              <w:rPr>
                <w:rFonts w:ascii="Arial" w:eastAsia="Arial" w:hAnsi="Arial" w:cs="Arial"/>
                <w:sz w:val="18"/>
                <w:szCs w:val="18"/>
              </w:rPr>
              <w:t>—</w:t>
            </w:r>
          </w:p>
        </w:tc>
        <w:tc>
          <w:tcPr>
            <w:tcW w:w="300" w:type="dxa"/>
            <w:tcBorders>
              <w:bottom w:val="single" w:sz="8" w:space="0" w:color="CCEEFF"/>
            </w:tcBorders>
            <w:shd w:val="clear" w:color="auto" w:fill="CCEEFF"/>
            <w:vAlign w:val="bottom"/>
          </w:tcPr>
          <w:p w14:paraId="5DFBE73E" w14:textId="77777777" w:rsidR="00D1587D" w:rsidRDefault="00410D07">
            <w:pPr>
              <w:jc w:val="right"/>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23E32FA9"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5DA81CB7" w14:textId="77777777" w:rsidR="00D1587D" w:rsidRDefault="00D1587D">
            <w:pPr>
              <w:rPr>
                <w:sz w:val="1"/>
                <w:szCs w:val="1"/>
              </w:rPr>
            </w:pPr>
          </w:p>
        </w:tc>
      </w:tr>
      <w:tr w:rsidR="00D1587D" w14:paraId="0F2FECCF" w14:textId="77777777">
        <w:trPr>
          <w:trHeight w:val="324"/>
        </w:trPr>
        <w:tc>
          <w:tcPr>
            <w:tcW w:w="2360" w:type="dxa"/>
            <w:gridSpan w:val="2"/>
            <w:vAlign w:val="bottom"/>
          </w:tcPr>
          <w:p w14:paraId="00BF37D0" w14:textId="77777777" w:rsidR="00D1587D" w:rsidRDefault="00410D07">
            <w:pPr>
              <w:spacing w:line="324" w:lineRule="exact"/>
              <w:rPr>
                <w:sz w:val="20"/>
                <w:szCs w:val="20"/>
              </w:rPr>
            </w:pPr>
            <w:r>
              <w:rPr>
                <w:rFonts w:ascii="Arial" w:eastAsia="Arial" w:hAnsi="Arial" w:cs="Arial"/>
                <w:sz w:val="18"/>
                <w:szCs w:val="18"/>
              </w:rPr>
              <w:t>Bonus</w:t>
            </w:r>
            <w:r>
              <w:rPr>
                <w:rFonts w:ascii="Arial" w:eastAsia="Arial" w:hAnsi="Arial" w:cs="Arial"/>
                <w:sz w:val="29"/>
                <w:szCs w:val="29"/>
                <w:vertAlign w:val="superscript"/>
              </w:rPr>
              <w:t>(3)</w:t>
            </w:r>
          </w:p>
        </w:tc>
        <w:tc>
          <w:tcPr>
            <w:tcW w:w="200" w:type="dxa"/>
            <w:vAlign w:val="bottom"/>
          </w:tcPr>
          <w:p w14:paraId="42CCDCA9" w14:textId="77777777" w:rsidR="00D1587D" w:rsidRDefault="00D1587D">
            <w:pPr>
              <w:rPr>
                <w:sz w:val="24"/>
                <w:szCs w:val="24"/>
              </w:rPr>
            </w:pPr>
          </w:p>
        </w:tc>
        <w:tc>
          <w:tcPr>
            <w:tcW w:w="700" w:type="dxa"/>
            <w:gridSpan w:val="2"/>
            <w:vAlign w:val="bottom"/>
          </w:tcPr>
          <w:p w14:paraId="483A1EC7" w14:textId="77777777" w:rsidR="00D1587D" w:rsidRDefault="00410D07">
            <w:pPr>
              <w:ind w:right="200"/>
              <w:jc w:val="right"/>
              <w:rPr>
                <w:sz w:val="20"/>
                <w:szCs w:val="20"/>
              </w:rPr>
            </w:pPr>
            <w:r>
              <w:rPr>
                <w:rFonts w:ascii="Arial" w:eastAsia="Arial" w:hAnsi="Arial" w:cs="Arial"/>
                <w:sz w:val="18"/>
                <w:szCs w:val="18"/>
              </w:rPr>
              <w:t>—</w:t>
            </w:r>
          </w:p>
        </w:tc>
        <w:tc>
          <w:tcPr>
            <w:tcW w:w="80" w:type="dxa"/>
            <w:vAlign w:val="bottom"/>
          </w:tcPr>
          <w:p w14:paraId="78BBA65C" w14:textId="77777777" w:rsidR="00D1587D" w:rsidRDefault="00D1587D">
            <w:pPr>
              <w:rPr>
                <w:sz w:val="24"/>
                <w:szCs w:val="24"/>
              </w:rPr>
            </w:pPr>
          </w:p>
        </w:tc>
        <w:tc>
          <w:tcPr>
            <w:tcW w:w="100" w:type="dxa"/>
            <w:vAlign w:val="bottom"/>
          </w:tcPr>
          <w:p w14:paraId="51EA111B" w14:textId="77777777" w:rsidR="00D1587D" w:rsidRDefault="00D1587D">
            <w:pPr>
              <w:rPr>
                <w:sz w:val="24"/>
                <w:szCs w:val="24"/>
              </w:rPr>
            </w:pPr>
          </w:p>
        </w:tc>
        <w:tc>
          <w:tcPr>
            <w:tcW w:w="1080" w:type="dxa"/>
            <w:gridSpan w:val="2"/>
            <w:vAlign w:val="bottom"/>
          </w:tcPr>
          <w:p w14:paraId="1B9F120D" w14:textId="77777777" w:rsidR="00D1587D" w:rsidRDefault="00410D07">
            <w:pPr>
              <w:ind w:right="280"/>
              <w:jc w:val="right"/>
              <w:rPr>
                <w:sz w:val="20"/>
                <w:szCs w:val="20"/>
              </w:rPr>
            </w:pPr>
            <w:r>
              <w:rPr>
                <w:rFonts w:ascii="Arial" w:eastAsia="Arial" w:hAnsi="Arial" w:cs="Arial"/>
                <w:sz w:val="18"/>
                <w:szCs w:val="18"/>
              </w:rPr>
              <w:t>—</w:t>
            </w:r>
          </w:p>
        </w:tc>
        <w:tc>
          <w:tcPr>
            <w:tcW w:w="940" w:type="dxa"/>
            <w:vAlign w:val="bottom"/>
          </w:tcPr>
          <w:p w14:paraId="40843D03" w14:textId="77777777" w:rsidR="00D1587D" w:rsidRDefault="00410D07">
            <w:pPr>
              <w:jc w:val="right"/>
              <w:rPr>
                <w:sz w:val="20"/>
                <w:szCs w:val="20"/>
              </w:rPr>
            </w:pPr>
            <w:r>
              <w:rPr>
                <w:rFonts w:ascii="Arial" w:eastAsia="Arial" w:hAnsi="Arial" w:cs="Arial"/>
                <w:sz w:val="18"/>
                <w:szCs w:val="18"/>
              </w:rPr>
              <w:t>—</w:t>
            </w:r>
          </w:p>
        </w:tc>
        <w:tc>
          <w:tcPr>
            <w:tcW w:w="180" w:type="dxa"/>
            <w:vAlign w:val="bottom"/>
          </w:tcPr>
          <w:p w14:paraId="2C257016" w14:textId="77777777" w:rsidR="00D1587D" w:rsidRDefault="00D1587D">
            <w:pPr>
              <w:rPr>
                <w:sz w:val="24"/>
                <w:szCs w:val="24"/>
              </w:rPr>
            </w:pPr>
          </w:p>
        </w:tc>
        <w:tc>
          <w:tcPr>
            <w:tcW w:w="160" w:type="dxa"/>
            <w:vAlign w:val="bottom"/>
          </w:tcPr>
          <w:p w14:paraId="3349C739" w14:textId="77777777" w:rsidR="00D1587D" w:rsidRDefault="00D1587D">
            <w:pPr>
              <w:rPr>
                <w:sz w:val="24"/>
                <w:szCs w:val="24"/>
              </w:rPr>
            </w:pPr>
          </w:p>
        </w:tc>
        <w:tc>
          <w:tcPr>
            <w:tcW w:w="660" w:type="dxa"/>
            <w:vAlign w:val="bottom"/>
          </w:tcPr>
          <w:p w14:paraId="306C9745" w14:textId="77777777" w:rsidR="00D1587D" w:rsidRDefault="00410D07">
            <w:pPr>
              <w:jc w:val="right"/>
              <w:rPr>
                <w:sz w:val="20"/>
                <w:szCs w:val="20"/>
              </w:rPr>
            </w:pPr>
            <w:r>
              <w:rPr>
                <w:rFonts w:ascii="Arial" w:eastAsia="Arial" w:hAnsi="Arial" w:cs="Arial"/>
                <w:sz w:val="18"/>
                <w:szCs w:val="18"/>
              </w:rPr>
              <w:t>—</w:t>
            </w:r>
          </w:p>
        </w:tc>
        <w:tc>
          <w:tcPr>
            <w:tcW w:w="180" w:type="dxa"/>
            <w:vAlign w:val="bottom"/>
          </w:tcPr>
          <w:p w14:paraId="50F4096F" w14:textId="77777777" w:rsidR="00D1587D" w:rsidRDefault="00D1587D">
            <w:pPr>
              <w:rPr>
                <w:sz w:val="24"/>
                <w:szCs w:val="24"/>
              </w:rPr>
            </w:pPr>
          </w:p>
        </w:tc>
        <w:tc>
          <w:tcPr>
            <w:tcW w:w="100" w:type="dxa"/>
            <w:vAlign w:val="bottom"/>
          </w:tcPr>
          <w:p w14:paraId="3D1AB939" w14:textId="77777777" w:rsidR="00D1587D" w:rsidRDefault="00D1587D">
            <w:pPr>
              <w:rPr>
                <w:sz w:val="24"/>
                <w:szCs w:val="24"/>
              </w:rPr>
            </w:pPr>
          </w:p>
        </w:tc>
        <w:tc>
          <w:tcPr>
            <w:tcW w:w="900" w:type="dxa"/>
            <w:gridSpan w:val="2"/>
            <w:vAlign w:val="bottom"/>
          </w:tcPr>
          <w:p w14:paraId="454087A3" w14:textId="77777777" w:rsidR="00D1587D" w:rsidRDefault="00410D07">
            <w:pPr>
              <w:ind w:right="200"/>
              <w:jc w:val="right"/>
              <w:rPr>
                <w:sz w:val="20"/>
                <w:szCs w:val="20"/>
              </w:rPr>
            </w:pPr>
            <w:r>
              <w:rPr>
                <w:rFonts w:ascii="Arial" w:eastAsia="Arial" w:hAnsi="Arial" w:cs="Arial"/>
                <w:sz w:val="18"/>
                <w:szCs w:val="18"/>
              </w:rPr>
              <w:t>—</w:t>
            </w:r>
          </w:p>
        </w:tc>
        <w:tc>
          <w:tcPr>
            <w:tcW w:w="300" w:type="dxa"/>
            <w:vAlign w:val="bottom"/>
          </w:tcPr>
          <w:p w14:paraId="57A06070" w14:textId="77777777" w:rsidR="00D1587D" w:rsidRDefault="00D1587D">
            <w:pPr>
              <w:rPr>
                <w:sz w:val="24"/>
                <w:szCs w:val="24"/>
              </w:rPr>
            </w:pPr>
          </w:p>
        </w:tc>
        <w:tc>
          <w:tcPr>
            <w:tcW w:w="480" w:type="dxa"/>
            <w:vAlign w:val="bottom"/>
          </w:tcPr>
          <w:p w14:paraId="3EA09BED"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328ABAE0" w14:textId="77777777" w:rsidR="00D1587D" w:rsidRDefault="00D1587D">
            <w:pPr>
              <w:rPr>
                <w:sz w:val="1"/>
                <w:szCs w:val="1"/>
              </w:rPr>
            </w:pPr>
          </w:p>
        </w:tc>
      </w:tr>
      <w:tr w:rsidR="00D1587D" w14:paraId="2C62FC27" w14:textId="77777777">
        <w:trPr>
          <w:trHeight w:val="246"/>
        </w:trPr>
        <w:tc>
          <w:tcPr>
            <w:tcW w:w="2360" w:type="dxa"/>
            <w:gridSpan w:val="2"/>
            <w:shd w:val="clear" w:color="auto" w:fill="CCEEFF"/>
            <w:vAlign w:val="bottom"/>
          </w:tcPr>
          <w:p w14:paraId="3C9C74FA" w14:textId="77777777" w:rsidR="00D1587D" w:rsidRDefault="00410D07">
            <w:pPr>
              <w:rPr>
                <w:sz w:val="20"/>
                <w:szCs w:val="20"/>
              </w:rPr>
            </w:pPr>
            <w:r>
              <w:rPr>
                <w:rFonts w:ascii="Arial" w:eastAsia="Arial" w:hAnsi="Arial" w:cs="Arial"/>
                <w:sz w:val="18"/>
                <w:szCs w:val="18"/>
              </w:rPr>
              <w:t>Gain of Accelerated Stock</w:t>
            </w:r>
          </w:p>
        </w:tc>
        <w:tc>
          <w:tcPr>
            <w:tcW w:w="200" w:type="dxa"/>
            <w:shd w:val="clear" w:color="auto" w:fill="CCEEFF"/>
            <w:vAlign w:val="bottom"/>
          </w:tcPr>
          <w:p w14:paraId="59406200" w14:textId="77777777" w:rsidR="00D1587D" w:rsidRDefault="00D1587D">
            <w:pPr>
              <w:rPr>
                <w:sz w:val="21"/>
                <w:szCs w:val="21"/>
              </w:rPr>
            </w:pPr>
          </w:p>
        </w:tc>
        <w:tc>
          <w:tcPr>
            <w:tcW w:w="600" w:type="dxa"/>
            <w:shd w:val="clear" w:color="auto" w:fill="CCEEFF"/>
            <w:vAlign w:val="bottom"/>
          </w:tcPr>
          <w:p w14:paraId="15FC8945" w14:textId="77777777" w:rsidR="00D1587D" w:rsidRDefault="00D1587D">
            <w:pPr>
              <w:rPr>
                <w:sz w:val="21"/>
                <w:szCs w:val="21"/>
              </w:rPr>
            </w:pPr>
          </w:p>
        </w:tc>
        <w:tc>
          <w:tcPr>
            <w:tcW w:w="100" w:type="dxa"/>
            <w:shd w:val="clear" w:color="auto" w:fill="CCEEFF"/>
            <w:vAlign w:val="bottom"/>
          </w:tcPr>
          <w:p w14:paraId="142AEBCB" w14:textId="77777777" w:rsidR="00D1587D" w:rsidRDefault="00D1587D">
            <w:pPr>
              <w:rPr>
                <w:sz w:val="21"/>
                <w:szCs w:val="21"/>
              </w:rPr>
            </w:pPr>
          </w:p>
        </w:tc>
        <w:tc>
          <w:tcPr>
            <w:tcW w:w="80" w:type="dxa"/>
            <w:shd w:val="clear" w:color="auto" w:fill="CCEEFF"/>
            <w:vAlign w:val="bottom"/>
          </w:tcPr>
          <w:p w14:paraId="4DA48869" w14:textId="77777777" w:rsidR="00D1587D" w:rsidRDefault="00D1587D">
            <w:pPr>
              <w:rPr>
                <w:sz w:val="21"/>
                <w:szCs w:val="21"/>
              </w:rPr>
            </w:pPr>
          </w:p>
        </w:tc>
        <w:tc>
          <w:tcPr>
            <w:tcW w:w="100" w:type="dxa"/>
            <w:shd w:val="clear" w:color="auto" w:fill="CCEEFF"/>
            <w:vAlign w:val="bottom"/>
          </w:tcPr>
          <w:p w14:paraId="3C1210CB" w14:textId="77777777" w:rsidR="00D1587D" w:rsidRDefault="00D1587D">
            <w:pPr>
              <w:rPr>
                <w:sz w:val="21"/>
                <w:szCs w:val="21"/>
              </w:rPr>
            </w:pPr>
          </w:p>
        </w:tc>
        <w:tc>
          <w:tcPr>
            <w:tcW w:w="900" w:type="dxa"/>
            <w:shd w:val="clear" w:color="auto" w:fill="CCEEFF"/>
            <w:vAlign w:val="bottom"/>
          </w:tcPr>
          <w:p w14:paraId="1C1AFDC3" w14:textId="77777777" w:rsidR="00D1587D" w:rsidRDefault="00D1587D">
            <w:pPr>
              <w:rPr>
                <w:sz w:val="21"/>
                <w:szCs w:val="21"/>
              </w:rPr>
            </w:pPr>
          </w:p>
        </w:tc>
        <w:tc>
          <w:tcPr>
            <w:tcW w:w="180" w:type="dxa"/>
            <w:shd w:val="clear" w:color="auto" w:fill="CCEEFF"/>
            <w:vAlign w:val="bottom"/>
          </w:tcPr>
          <w:p w14:paraId="5285D64A" w14:textId="77777777" w:rsidR="00D1587D" w:rsidRDefault="00D1587D">
            <w:pPr>
              <w:rPr>
                <w:sz w:val="21"/>
                <w:szCs w:val="21"/>
              </w:rPr>
            </w:pPr>
          </w:p>
        </w:tc>
        <w:tc>
          <w:tcPr>
            <w:tcW w:w="940" w:type="dxa"/>
            <w:shd w:val="clear" w:color="auto" w:fill="CCEEFF"/>
            <w:vAlign w:val="bottom"/>
          </w:tcPr>
          <w:p w14:paraId="737AB46A" w14:textId="77777777" w:rsidR="00D1587D" w:rsidRDefault="00D1587D">
            <w:pPr>
              <w:rPr>
                <w:sz w:val="21"/>
                <w:szCs w:val="21"/>
              </w:rPr>
            </w:pPr>
          </w:p>
        </w:tc>
        <w:tc>
          <w:tcPr>
            <w:tcW w:w="180" w:type="dxa"/>
            <w:shd w:val="clear" w:color="auto" w:fill="CCEEFF"/>
            <w:vAlign w:val="bottom"/>
          </w:tcPr>
          <w:p w14:paraId="4568370D" w14:textId="77777777" w:rsidR="00D1587D" w:rsidRDefault="00D1587D">
            <w:pPr>
              <w:rPr>
                <w:sz w:val="21"/>
                <w:szCs w:val="21"/>
              </w:rPr>
            </w:pPr>
          </w:p>
        </w:tc>
        <w:tc>
          <w:tcPr>
            <w:tcW w:w="160" w:type="dxa"/>
            <w:shd w:val="clear" w:color="auto" w:fill="CCEEFF"/>
            <w:vAlign w:val="bottom"/>
          </w:tcPr>
          <w:p w14:paraId="4A14C0F8" w14:textId="77777777" w:rsidR="00D1587D" w:rsidRDefault="00D1587D">
            <w:pPr>
              <w:rPr>
                <w:sz w:val="21"/>
                <w:szCs w:val="21"/>
              </w:rPr>
            </w:pPr>
          </w:p>
        </w:tc>
        <w:tc>
          <w:tcPr>
            <w:tcW w:w="660" w:type="dxa"/>
            <w:shd w:val="clear" w:color="auto" w:fill="CCEEFF"/>
            <w:vAlign w:val="bottom"/>
          </w:tcPr>
          <w:p w14:paraId="193BBC5E" w14:textId="77777777" w:rsidR="00D1587D" w:rsidRDefault="00D1587D">
            <w:pPr>
              <w:rPr>
                <w:sz w:val="21"/>
                <w:szCs w:val="21"/>
              </w:rPr>
            </w:pPr>
          </w:p>
        </w:tc>
        <w:tc>
          <w:tcPr>
            <w:tcW w:w="180" w:type="dxa"/>
            <w:shd w:val="clear" w:color="auto" w:fill="CCEEFF"/>
            <w:vAlign w:val="bottom"/>
          </w:tcPr>
          <w:p w14:paraId="23B6268F" w14:textId="77777777" w:rsidR="00D1587D" w:rsidRDefault="00D1587D">
            <w:pPr>
              <w:rPr>
                <w:sz w:val="21"/>
                <w:szCs w:val="21"/>
              </w:rPr>
            </w:pPr>
          </w:p>
        </w:tc>
        <w:tc>
          <w:tcPr>
            <w:tcW w:w="100" w:type="dxa"/>
            <w:shd w:val="clear" w:color="auto" w:fill="CCEEFF"/>
            <w:vAlign w:val="bottom"/>
          </w:tcPr>
          <w:p w14:paraId="1DF20F92" w14:textId="77777777" w:rsidR="00D1587D" w:rsidRDefault="00D1587D">
            <w:pPr>
              <w:rPr>
                <w:sz w:val="21"/>
                <w:szCs w:val="21"/>
              </w:rPr>
            </w:pPr>
          </w:p>
        </w:tc>
        <w:tc>
          <w:tcPr>
            <w:tcW w:w="720" w:type="dxa"/>
            <w:shd w:val="clear" w:color="auto" w:fill="CCEEFF"/>
            <w:vAlign w:val="bottom"/>
          </w:tcPr>
          <w:p w14:paraId="6A4C22C9" w14:textId="77777777" w:rsidR="00D1587D" w:rsidRDefault="00D1587D">
            <w:pPr>
              <w:rPr>
                <w:sz w:val="21"/>
                <w:szCs w:val="21"/>
              </w:rPr>
            </w:pPr>
          </w:p>
        </w:tc>
        <w:tc>
          <w:tcPr>
            <w:tcW w:w="180" w:type="dxa"/>
            <w:shd w:val="clear" w:color="auto" w:fill="CCEEFF"/>
            <w:vAlign w:val="bottom"/>
          </w:tcPr>
          <w:p w14:paraId="05DF758E" w14:textId="77777777" w:rsidR="00D1587D" w:rsidRDefault="00D1587D">
            <w:pPr>
              <w:rPr>
                <w:sz w:val="21"/>
                <w:szCs w:val="21"/>
              </w:rPr>
            </w:pPr>
          </w:p>
        </w:tc>
        <w:tc>
          <w:tcPr>
            <w:tcW w:w="300" w:type="dxa"/>
            <w:shd w:val="clear" w:color="auto" w:fill="CCEEFF"/>
            <w:vAlign w:val="bottom"/>
          </w:tcPr>
          <w:p w14:paraId="68AD77B7" w14:textId="77777777" w:rsidR="00D1587D" w:rsidRDefault="00D1587D">
            <w:pPr>
              <w:rPr>
                <w:sz w:val="21"/>
                <w:szCs w:val="21"/>
              </w:rPr>
            </w:pPr>
          </w:p>
        </w:tc>
        <w:tc>
          <w:tcPr>
            <w:tcW w:w="480" w:type="dxa"/>
            <w:shd w:val="clear" w:color="auto" w:fill="CCEEFF"/>
            <w:vAlign w:val="bottom"/>
          </w:tcPr>
          <w:p w14:paraId="61D68AFC" w14:textId="77777777" w:rsidR="00D1587D" w:rsidRDefault="00D1587D">
            <w:pPr>
              <w:rPr>
                <w:sz w:val="21"/>
                <w:szCs w:val="21"/>
              </w:rPr>
            </w:pPr>
          </w:p>
        </w:tc>
        <w:tc>
          <w:tcPr>
            <w:tcW w:w="0" w:type="dxa"/>
            <w:vAlign w:val="bottom"/>
          </w:tcPr>
          <w:p w14:paraId="7E9EC7C6" w14:textId="77777777" w:rsidR="00D1587D" w:rsidRDefault="00D1587D">
            <w:pPr>
              <w:rPr>
                <w:sz w:val="1"/>
                <w:szCs w:val="1"/>
              </w:rPr>
            </w:pPr>
          </w:p>
        </w:tc>
      </w:tr>
      <w:tr w:rsidR="00D1587D" w14:paraId="7ED519C1" w14:textId="77777777">
        <w:trPr>
          <w:trHeight w:val="294"/>
        </w:trPr>
        <w:tc>
          <w:tcPr>
            <w:tcW w:w="2360" w:type="dxa"/>
            <w:gridSpan w:val="2"/>
            <w:shd w:val="clear" w:color="auto" w:fill="CCEEFF"/>
            <w:vAlign w:val="bottom"/>
          </w:tcPr>
          <w:p w14:paraId="6C703C82" w14:textId="77777777" w:rsidR="00D1587D" w:rsidRDefault="00410D07">
            <w:pPr>
              <w:spacing w:line="294" w:lineRule="exact"/>
              <w:ind w:left="180"/>
              <w:rPr>
                <w:sz w:val="20"/>
                <w:szCs w:val="20"/>
              </w:rPr>
            </w:pPr>
            <w:r>
              <w:rPr>
                <w:rFonts w:ascii="Arial" w:eastAsia="Arial" w:hAnsi="Arial" w:cs="Arial"/>
                <w:sz w:val="18"/>
                <w:szCs w:val="18"/>
              </w:rPr>
              <w:t>Options</w:t>
            </w:r>
            <w:r>
              <w:rPr>
                <w:rFonts w:ascii="Arial" w:eastAsia="Arial" w:hAnsi="Arial" w:cs="Arial"/>
                <w:sz w:val="29"/>
                <w:szCs w:val="29"/>
                <w:vertAlign w:val="superscript"/>
              </w:rPr>
              <w:t>(4)</w:t>
            </w:r>
          </w:p>
        </w:tc>
        <w:tc>
          <w:tcPr>
            <w:tcW w:w="200" w:type="dxa"/>
            <w:shd w:val="clear" w:color="auto" w:fill="CCEEFF"/>
            <w:vAlign w:val="bottom"/>
          </w:tcPr>
          <w:p w14:paraId="28CE26FD" w14:textId="77777777" w:rsidR="00D1587D" w:rsidRDefault="00D1587D">
            <w:pPr>
              <w:rPr>
                <w:sz w:val="24"/>
                <w:szCs w:val="24"/>
              </w:rPr>
            </w:pPr>
          </w:p>
        </w:tc>
        <w:tc>
          <w:tcPr>
            <w:tcW w:w="700" w:type="dxa"/>
            <w:gridSpan w:val="2"/>
            <w:shd w:val="clear" w:color="auto" w:fill="CCEEFF"/>
            <w:vAlign w:val="bottom"/>
          </w:tcPr>
          <w:p w14:paraId="07BA70C9" w14:textId="77777777" w:rsidR="00D1587D" w:rsidRDefault="00410D07">
            <w:pPr>
              <w:ind w:right="200"/>
              <w:jc w:val="right"/>
              <w:rPr>
                <w:sz w:val="20"/>
                <w:szCs w:val="20"/>
              </w:rPr>
            </w:pPr>
            <w:r>
              <w:rPr>
                <w:rFonts w:ascii="Arial" w:eastAsia="Arial" w:hAnsi="Arial" w:cs="Arial"/>
                <w:sz w:val="18"/>
                <w:szCs w:val="18"/>
              </w:rPr>
              <w:t>—</w:t>
            </w:r>
          </w:p>
        </w:tc>
        <w:tc>
          <w:tcPr>
            <w:tcW w:w="80" w:type="dxa"/>
            <w:shd w:val="clear" w:color="auto" w:fill="CCEEFF"/>
            <w:vAlign w:val="bottom"/>
          </w:tcPr>
          <w:p w14:paraId="16857D54" w14:textId="77777777" w:rsidR="00D1587D" w:rsidRDefault="00D1587D">
            <w:pPr>
              <w:rPr>
                <w:sz w:val="24"/>
                <w:szCs w:val="24"/>
              </w:rPr>
            </w:pPr>
          </w:p>
        </w:tc>
        <w:tc>
          <w:tcPr>
            <w:tcW w:w="100" w:type="dxa"/>
            <w:shd w:val="clear" w:color="auto" w:fill="CCEEFF"/>
            <w:vAlign w:val="bottom"/>
          </w:tcPr>
          <w:p w14:paraId="1A25BCBC" w14:textId="77777777" w:rsidR="00D1587D" w:rsidRDefault="00D1587D">
            <w:pPr>
              <w:rPr>
                <w:sz w:val="24"/>
                <w:szCs w:val="24"/>
              </w:rPr>
            </w:pPr>
          </w:p>
        </w:tc>
        <w:tc>
          <w:tcPr>
            <w:tcW w:w="1080" w:type="dxa"/>
            <w:gridSpan w:val="2"/>
            <w:shd w:val="clear" w:color="auto" w:fill="CCEEFF"/>
            <w:vAlign w:val="bottom"/>
          </w:tcPr>
          <w:p w14:paraId="34C63B22" w14:textId="77777777" w:rsidR="00D1587D" w:rsidRDefault="00410D07">
            <w:pPr>
              <w:ind w:right="280"/>
              <w:jc w:val="right"/>
              <w:rPr>
                <w:sz w:val="20"/>
                <w:szCs w:val="20"/>
              </w:rPr>
            </w:pPr>
            <w:r>
              <w:rPr>
                <w:rFonts w:ascii="Arial" w:eastAsia="Arial" w:hAnsi="Arial" w:cs="Arial"/>
                <w:sz w:val="18"/>
                <w:szCs w:val="18"/>
              </w:rPr>
              <w:t>—</w:t>
            </w:r>
          </w:p>
        </w:tc>
        <w:tc>
          <w:tcPr>
            <w:tcW w:w="940" w:type="dxa"/>
            <w:shd w:val="clear" w:color="auto" w:fill="CCEEFF"/>
            <w:vAlign w:val="bottom"/>
          </w:tcPr>
          <w:p w14:paraId="33D76217" w14:textId="77777777" w:rsidR="00D1587D" w:rsidRDefault="00410D07">
            <w:pPr>
              <w:jc w:val="right"/>
              <w:rPr>
                <w:sz w:val="20"/>
                <w:szCs w:val="20"/>
              </w:rPr>
            </w:pPr>
            <w:r>
              <w:rPr>
                <w:rFonts w:ascii="Arial" w:eastAsia="Arial" w:hAnsi="Arial" w:cs="Arial"/>
                <w:sz w:val="18"/>
                <w:szCs w:val="18"/>
              </w:rPr>
              <w:t>214,772</w:t>
            </w:r>
          </w:p>
        </w:tc>
        <w:tc>
          <w:tcPr>
            <w:tcW w:w="180" w:type="dxa"/>
            <w:shd w:val="clear" w:color="auto" w:fill="CCEEFF"/>
            <w:vAlign w:val="bottom"/>
          </w:tcPr>
          <w:p w14:paraId="68DAE4EB" w14:textId="77777777" w:rsidR="00D1587D" w:rsidRDefault="00D1587D">
            <w:pPr>
              <w:rPr>
                <w:sz w:val="24"/>
                <w:szCs w:val="24"/>
              </w:rPr>
            </w:pPr>
          </w:p>
        </w:tc>
        <w:tc>
          <w:tcPr>
            <w:tcW w:w="160" w:type="dxa"/>
            <w:shd w:val="clear" w:color="auto" w:fill="CCEEFF"/>
            <w:vAlign w:val="bottom"/>
          </w:tcPr>
          <w:p w14:paraId="308D0009" w14:textId="77777777" w:rsidR="00D1587D" w:rsidRDefault="00D1587D">
            <w:pPr>
              <w:rPr>
                <w:sz w:val="24"/>
                <w:szCs w:val="24"/>
              </w:rPr>
            </w:pPr>
          </w:p>
        </w:tc>
        <w:tc>
          <w:tcPr>
            <w:tcW w:w="660" w:type="dxa"/>
            <w:shd w:val="clear" w:color="auto" w:fill="CCEEFF"/>
            <w:vAlign w:val="bottom"/>
          </w:tcPr>
          <w:p w14:paraId="2C472BFE" w14:textId="77777777" w:rsidR="00D1587D" w:rsidRDefault="00410D07">
            <w:pPr>
              <w:jc w:val="right"/>
              <w:rPr>
                <w:sz w:val="20"/>
                <w:szCs w:val="20"/>
              </w:rPr>
            </w:pPr>
            <w:r>
              <w:rPr>
                <w:rFonts w:ascii="Arial" w:eastAsia="Arial" w:hAnsi="Arial" w:cs="Arial"/>
                <w:w w:val="95"/>
                <w:sz w:val="18"/>
                <w:szCs w:val="18"/>
              </w:rPr>
              <w:t>214,772</w:t>
            </w:r>
          </w:p>
        </w:tc>
        <w:tc>
          <w:tcPr>
            <w:tcW w:w="180" w:type="dxa"/>
            <w:shd w:val="clear" w:color="auto" w:fill="CCEEFF"/>
            <w:vAlign w:val="bottom"/>
          </w:tcPr>
          <w:p w14:paraId="416F7721" w14:textId="77777777" w:rsidR="00D1587D" w:rsidRDefault="00D1587D">
            <w:pPr>
              <w:rPr>
                <w:sz w:val="24"/>
                <w:szCs w:val="24"/>
              </w:rPr>
            </w:pPr>
          </w:p>
        </w:tc>
        <w:tc>
          <w:tcPr>
            <w:tcW w:w="100" w:type="dxa"/>
            <w:shd w:val="clear" w:color="auto" w:fill="CCEEFF"/>
            <w:vAlign w:val="bottom"/>
          </w:tcPr>
          <w:p w14:paraId="6C3A0E3E" w14:textId="77777777" w:rsidR="00D1587D" w:rsidRDefault="00D1587D">
            <w:pPr>
              <w:rPr>
                <w:sz w:val="24"/>
                <w:szCs w:val="24"/>
              </w:rPr>
            </w:pPr>
          </w:p>
        </w:tc>
        <w:tc>
          <w:tcPr>
            <w:tcW w:w="720" w:type="dxa"/>
            <w:shd w:val="clear" w:color="auto" w:fill="CCEEFF"/>
            <w:vAlign w:val="bottom"/>
          </w:tcPr>
          <w:p w14:paraId="0A4157E3" w14:textId="77777777" w:rsidR="00D1587D" w:rsidRDefault="00410D07">
            <w:pPr>
              <w:jc w:val="right"/>
              <w:rPr>
                <w:sz w:val="20"/>
                <w:szCs w:val="20"/>
              </w:rPr>
            </w:pPr>
            <w:r>
              <w:rPr>
                <w:rFonts w:ascii="Arial" w:eastAsia="Arial" w:hAnsi="Arial" w:cs="Arial"/>
                <w:sz w:val="18"/>
                <w:szCs w:val="18"/>
              </w:rPr>
              <w:t>214,772</w:t>
            </w:r>
          </w:p>
        </w:tc>
        <w:tc>
          <w:tcPr>
            <w:tcW w:w="180" w:type="dxa"/>
            <w:shd w:val="clear" w:color="auto" w:fill="CCEEFF"/>
            <w:vAlign w:val="bottom"/>
          </w:tcPr>
          <w:p w14:paraId="07D56095" w14:textId="77777777" w:rsidR="00D1587D" w:rsidRDefault="00D1587D">
            <w:pPr>
              <w:rPr>
                <w:sz w:val="24"/>
                <w:szCs w:val="24"/>
              </w:rPr>
            </w:pPr>
          </w:p>
        </w:tc>
        <w:tc>
          <w:tcPr>
            <w:tcW w:w="300" w:type="dxa"/>
            <w:shd w:val="clear" w:color="auto" w:fill="CCEEFF"/>
            <w:vAlign w:val="bottom"/>
          </w:tcPr>
          <w:p w14:paraId="1FE6E1B0" w14:textId="77777777" w:rsidR="00D1587D" w:rsidRDefault="00D1587D">
            <w:pPr>
              <w:rPr>
                <w:sz w:val="24"/>
                <w:szCs w:val="24"/>
              </w:rPr>
            </w:pPr>
          </w:p>
        </w:tc>
        <w:tc>
          <w:tcPr>
            <w:tcW w:w="480" w:type="dxa"/>
            <w:shd w:val="clear" w:color="auto" w:fill="CCEEFF"/>
            <w:vAlign w:val="bottom"/>
          </w:tcPr>
          <w:p w14:paraId="776CE132"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27082736" w14:textId="77777777" w:rsidR="00D1587D" w:rsidRDefault="00D1587D">
            <w:pPr>
              <w:rPr>
                <w:sz w:val="1"/>
                <w:szCs w:val="1"/>
              </w:rPr>
            </w:pPr>
          </w:p>
        </w:tc>
      </w:tr>
      <w:tr w:rsidR="00D1587D" w14:paraId="3D7AEE8B" w14:textId="77777777">
        <w:trPr>
          <w:trHeight w:val="246"/>
        </w:trPr>
        <w:tc>
          <w:tcPr>
            <w:tcW w:w="2360" w:type="dxa"/>
            <w:gridSpan w:val="2"/>
            <w:vAlign w:val="bottom"/>
          </w:tcPr>
          <w:p w14:paraId="504A0AD5" w14:textId="77777777" w:rsidR="00D1587D" w:rsidRDefault="00410D07">
            <w:pPr>
              <w:rPr>
                <w:sz w:val="20"/>
                <w:szCs w:val="20"/>
              </w:rPr>
            </w:pPr>
            <w:r>
              <w:rPr>
                <w:rFonts w:ascii="Arial" w:eastAsia="Arial" w:hAnsi="Arial" w:cs="Arial"/>
                <w:sz w:val="18"/>
                <w:szCs w:val="18"/>
              </w:rPr>
              <w:t>Value of Pro-rated or</w:t>
            </w:r>
          </w:p>
        </w:tc>
        <w:tc>
          <w:tcPr>
            <w:tcW w:w="200" w:type="dxa"/>
            <w:vAlign w:val="bottom"/>
          </w:tcPr>
          <w:p w14:paraId="438E61D3" w14:textId="77777777" w:rsidR="00D1587D" w:rsidRDefault="00D1587D">
            <w:pPr>
              <w:rPr>
                <w:sz w:val="21"/>
                <w:szCs w:val="21"/>
              </w:rPr>
            </w:pPr>
          </w:p>
        </w:tc>
        <w:tc>
          <w:tcPr>
            <w:tcW w:w="600" w:type="dxa"/>
            <w:vAlign w:val="bottom"/>
          </w:tcPr>
          <w:p w14:paraId="484BAA54" w14:textId="77777777" w:rsidR="00D1587D" w:rsidRDefault="00D1587D">
            <w:pPr>
              <w:rPr>
                <w:sz w:val="21"/>
                <w:szCs w:val="21"/>
              </w:rPr>
            </w:pPr>
          </w:p>
        </w:tc>
        <w:tc>
          <w:tcPr>
            <w:tcW w:w="100" w:type="dxa"/>
            <w:vAlign w:val="bottom"/>
          </w:tcPr>
          <w:p w14:paraId="19D227B8" w14:textId="77777777" w:rsidR="00D1587D" w:rsidRDefault="00D1587D">
            <w:pPr>
              <w:rPr>
                <w:sz w:val="21"/>
                <w:szCs w:val="21"/>
              </w:rPr>
            </w:pPr>
          </w:p>
        </w:tc>
        <w:tc>
          <w:tcPr>
            <w:tcW w:w="80" w:type="dxa"/>
            <w:vAlign w:val="bottom"/>
          </w:tcPr>
          <w:p w14:paraId="2E4A7119" w14:textId="77777777" w:rsidR="00D1587D" w:rsidRDefault="00D1587D">
            <w:pPr>
              <w:rPr>
                <w:sz w:val="21"/>
                <w:szCs w:val="21"/>
              </w:rPr>
            </w:pPr>
          </w:p>
        </w:tc>
        <w:tc>
          <w:tcPr>
            <w:tcW w:w="100" w:type="dxa"/>
            <w:vAlign w:val="bottom"/>
          </w:tcPr>
          <w:p w14:paraId="78E188D9" w14:textId="77777777" w:rsidR="00D1587D" w:rsidRDefault="00D1587D">
            <w:pPr>
              <w:rPr>
                <w:sz w:val="21"/>
                <w:szCs w:val="21"/>
              </w:rPr>
            </w:pPr>
          </w:p>
        </w:tc>
        <w:tc>
          <w:tcPr>
            <w:tcW w:w="900" w:type="dxa"/>
            <w:vAlign w:val="bottom"/>
          </w:tcPr>
          <w:p w14:paraId="7F4BD295" w14:textId="77777777" w:rsidR="00D1587D" w:rsidRDefault="00D1587D">
            <w:pPr>
              <w:rPr>
                <w:sz w:val="21"/>
                <w:szCs w:val="21"/>
              </w:rPr>
            </w:pPr>
          </w:p>
        </w:tc>
        <w:tc>
          <w:tcPr>
            <w:tcW w:w="180" w:type="dxa"/>
            <w:vAlign w:val="bottom"/>
          </w:tcPr>
          <w:p w14:paraId="1ADA91BF" w14:textId="77777777" w:rsidR="00D1587D" w:rsidRDefault="00D1587D">
            <w:pPr>
              <w:rPr>
                <w:sz w:val="21"/>
                <w:szCs w:val="21"/>
              </w:rPr>
            </w:pPr>
          </w:p>
        </w:tc>
        <w:tc>
          <w:tcPr>
            <w:tcW w:w="940" w:type="dxa"/>
            <w:vAlign w:val="bottom"/>
          </w:tcPr>
          <w:p w14:paraId="4E160A5A" w14:textId="77777777" w:rsidR="00D1587D" w:rsidRDefault="00D1587D">
            <w:pPr>
              <w:rPr>
                <w:sz w:val="21"/>
                <w:szCs w:val="21"/>
              </w:rPr>
            </w:pPr>
          </w:p>
        </w:tc>
        <w:tc>
          <w:tcPr>
            <w:tcW w:w="180" w:type="dxa"/>
            <w:vAlign w:val="bottom"/>
          </w:tcPr>
          <w:p w14:paraId="3E9800DA" w14:textId="77777777" w:rsidR="00D1587D" w:rsidRDefault="00D1587D">
            <w:pPr>
              <w:rPr>
                <w:sz w:val="21"/>
                <w:szCs w:val="21"/>
              </w:rPr>
            </w:pPr>
          </w:p>
        </w:tc>
        <w:tc>
          <w:tcPr>
            <w:tcW w:w="160" w:type="dxa"/>
            <w:vAlign w:val="bottom"/>
          </w:tcPr>
          <w:p w14:paraId="68658316" w14:textId="77777777" w:rsidR="00D1587D" w:rsidRDefault="00D1587D">
            <w:pPr>
              <w:rPr>
                <w:sz w:val="21"/>
                <w:szCs w:val="21"/>
              </w:rPr>
            </w:pPr>
          </w:p>
        </w:tc>
        <w:tc>
          <w:tcPr>
            <w:tcW w:w="660" w:type="dxa"/>
            <w:vAlign w:val="bottom"/>
          </w:tcPr>
          <w:p w14:paraId="1962BF4E" w14:textId="77777777" w:rsidR="00D1587D" w:rsidRDefault="00D1587D">
            <w:pPr>
              <w:rPr>
                <w:sz w:val="21"/>
                <w:szCs w:val="21"/>
              </w:rPr>
            </w:pPr>
          </w:p>
        </w:tc>
        <w:tc>
          <w:tcPr>
            <w:tcW w:w="180" w:type="dxa"/>
            <w:vAlign w:val="bottom"/>
          </w:tcPr>
          <w:p w14:paraId="7C51E4C8" w14:textId="77777777" w:rsidR="00D1587D" w:rsidRDefault="00D1587D">
            <w:pPr>
              <w:rPr>
                <w:sz w:val="21"/>
                <w:szCs w:val="21"/>
              </w:rPr>
            </w:pPr>
          </w:p>
        </w:tc>
        <w:tc>
          <w:tcPr>
            <w:tcW w:w="100" w:type="dxa"/>
            <w:vAlign w:val="bottom"/>
          </w:tcPr>
          <w:p w14:paraId="6CC2B780" w14:textId="77777777" w:rsidR="00D1587D" w:rsidRDefault="00D1587D">
            <w:pPr>
              <w:rPr>
                <w:sz w:val="21"/>
                <w:szCs w:val="21"/>
              </w:rPr>
            </w:pPr>
          </w:p>
        </w:tc>
        <w:tc>
          <w:tcPr>
            <w:tcW w:w="720" w:type="dxa"/>
            <w:vAlign w:val="bottom"/>
          </w:tcPr>
          <w:p w14:paraId="0506AA9B" w14:textId="77777777" w:rsidR="00D1587D" w:rsidRDefault="00D1587D">
            <w:pPr>
              <w:rPr>
                <w:sz w:val="21"/>
                <w:szCs w:val="21"/>
              </w:rPr>
            </w:pPr>
          </w:p>
        </w:tc>
        <w:tc>
          <w:tcPr>
            <w:tcW w:w="180" w:type="dxa"/>
            <w:vAlign w:val="bottom"/>
          </w:tcPr>
          <w:p w14:paraId="6BCBAE95" w14:textId="77777777" w:rsidR="00D1587D" w:rsidRDefault="00D1587D">
            <w:pPr>
              <w:rPr>
                <w:sz w:val="21"/>
                <w:szCs w:val="21"/>
              </w:rPr>
            </w:pPr>
          </w:p>
        </w:tc>
        <w:tc>
          <w:tcPr>
            <w:tcW w:w="300" w:type="dxa"/>
            <w:vAlign w:val="bottom"/>
          </w:tcPr>
          <w:p w14:paraId="7FF585C2" w14:textId="77777777" w:rsidR="00D1587D" w:rsidRDefault="00D1587D">
            <w:pPr>
              <w:rPr>
                <w:sz w:val="21"/>
                <w:szCs w:val="21"/>
              </w:rPr>
            </w:pPr>
          </w:p>
        </w:tc>
        <w:tc>
          <w:tcPr>
            <w:tcW w:w="480" w:type="dxa"/>
            <w:vAlign w:val="bottom"/>
          </w:tcPr>
          <w:p w14:paraId="09195898" w14:textId="77777777" w:rsidR="00D1587D" w:rsidRDefault="00D1587D">
            <w:pPr>
              <w:rPr>
                <w:sz w:val="21"/>
                <w:szCs w:val="21"/>
              </w:rPr>
            </w:pPr>
          </w:p>
        </w:tc>
        <w:tc>
          <w:tcPr>
            <w:tcW w:w="0" w:type="dxa"/>
            <w:vAlign w:val="bottom"/>
          </w:tcPr>
          <w:p w14:paraId="2C686F19" w14:textId="77777777" w:rsidR="00D1587D" w:rsidRDefault="00D1587D">
            <w:pPr>
              <w:rPr>
                <w:sz w:val="1"/>
                <w:szCs w:val="1"/>
              </w:rPr>
            </w:pPr>
          </w:p>
        </w:tc>
      </w:tr>
      <w:tr w:rsidR="00D1587D" w14:paraId="533A6324" w14:textId="77777777">
        <w:trPr>
          <w:trHeight w:val="294"/>
        </w:trPr>
        <w:tc>
          <w:tcPr>
            <w:tcW w:w="2360" w:type="dxa"/>
            <w:gridSpan w:val="2"/>
            <w:vAlign w:val="bottom"/>
          </w:tcPr>
          <w:p w14:paraId="301E29E2" w14:textId="77777777" w:rsidR="00D1587D" w:rsidRDefault="00410D07">
            <w:pPr>
              <w:spacing w:line="294" w:lineRule="exact"/>
              <w:ind w:left="180"/>
              <w:rPr>
                <w:sz w:val="20"/>
                <w:szCs w:val="20"/>
              </w:rPr>
            </w:pPr>
            <w:r>
              <w:rPr>
                <w:rFonts w:ascii="Arial" w:eastAsia="Arial" w:hAnsi="Arial" w:cs="Arial"/>
                <w:w w:val="97"/>
                <w:sz w:val="18"/>
                <w:szCs w:val="18"/>
              </w:rPr>
              <w:t>Accelerated PSUs/RSUs</w:t>
            </w:r>
            <w:r>
              <w:rPr>
                <w:rFonts w:ascii="Arial" w:eastAsia="Arial" w:hAnsi="Arial" w:cs="Arial"/>
                <w:w w:val="97"/>
                <w:sz w:val="29"/>
                <w:szCs w:val="29"/>
                <w:vertAlign w:val="superscript"/>
              </w:rPr>
              <w:t>(4)</w:t>
            </w:r>
          </w:p>
        </w:tc>
        <w:tc>
          <w:tcPr>
            <w:tcW w:w="200" w:type="dxa"/>
            <w:vAlign w:val="bottom"/>
          </w:tcPr>
          <w:p w14:paraId="10397F59" w14:textId="77777777" w:rsidR="00D1587D" w:rsidRDefault="00D1587D">
            <w:pPr>
              <w:rPr>
                <w:sz w:val="24"/>
                <w:szCs w:val="24"/>
              </w:rPr>
            </w:pPr>
          </w:p>
        </w:tc>
        <w:tc>
          <w:tcPr>
            <w:tcW w:w="700" w:type="dxa"/>
            <w:gridSpan w:val="2"/>
            <w:vAlign w:val="bottom"/>
          </w:tcPr>
          <w:p w14:paraId="08D72E4F" w14:textId="77777777" w:rsidR="00D1587D" w:rsidRDefault="00410D07">
            <w:pPr>
              <w:ind w:right="200"/>
              <w:jc w:val="right"/>
              <w:rPr>
                <w:sz w:val="20"/>
                <w:szCs w:val="20"/>
              </w:rPr>
            </w:pPr>
            <w:r>
              <w:rPr>
                <w:rFonts w:ascii="Arial" w:eastAsia="Arial" w:hAnsi="Arial" w:cs="Arial"/>
                <w:sz w:val="18"/>
                <w:szCs w:val="18"/>
              </w:rPr>
              <w:t>—</w:t>
            </w:r>
          </w:p>
        </w:tc>
        <w:tc>
          <w:tcPr>
            <w:tcW w:w="1080" w:type="dxa"/>
            <w:gridSpan w:val="3"/>
            <w:vAlign w:val="bottom"/>
          </w:tcPr>
          <w:p w14:paraId="42185049" w14:textId="77777777" w:rsidR="00D1587D" w:rsidRDefault="00410D07">
            <w:pPr>
              <w:ind w:right="19"/>
              <w:jc w:val="right"/>
              <w:rPr>
                <w:sz w:val="20"/>
                <w:szCs w:val="20"/>
              </w:rPr>
            </w:pPr>
            <w:r>
              <w:rPr>
                <w:rFonts w:ascii="Arial" w:eastAsia="Arial" w:hAnsi="Arial" w:cs="Arial"/>
                <w:sz w:val="18"/>
                <w:szCs w:val="18"/>
              </w:rPr>
              <w:t>4,316,769</w:t>
            </w:r>
          </w:p>
        </w:tc>
        <w:tc>
          <w:tcPr>
            <w:tcW w:w="180" w:type="dxa"/>
            <w:vAlign w:val="bottom"/>
          </w:tcPr>
          <w:p w14:paraId="39CCD437" w14:textId="77777777" w:rsidR="00D1587D" w:rsidRDefault="00D1587D">
            <w:pPr>
              <w:rPr>
                <w:sz w:val="24"/>
                <w:szCs w:val="24"/>
              </w:rPr>
            </w:pPr>
          </w:p>
        </w:tc>
        <w:tc>
          <w:tcPr>
            <w:tcW w:w="940" w:type="dxa"/>
            <w:vAlign w:val="bottom"/>
          </w:tcPr>
          <w:p w14:paraId="01F617B4" w14:textId="77777777" w:rsidR="00D1587D" w:rsidRDefault="00410D07">
            <w:pPr>
              <w:jc w:val="right"/>
              <w:rPr>
                <w:sz w:val="20"/>
                <w:szCs w:val="20"/>
              </w:rPr>
            </w:pPr>
            <w:r>
              <w:rPr>
                <w:rFonts w:ascii="Arial" w:eastAsia="Arial" w:hAnsi="Arial" w:cs="Arial"/>
                <w:sz w:val="18"/>
                <w:szCs w:val="18"/>
              </w:rPr>
              <w:t>6,022,698</w:t>
            </w:r>
          </w:p>
        </w:tc>
        <w:tc>
          <w:tcPr>
            <w:tcW w:w="1000" w:type="dxa"/>
            <w:gridSpan w:val="3"/>
            <w:vAlign w:val="bottom"/>
          </w:tcPr>
          <w:p w14:paraId="58F80013" w14:textId="77777777" w:rsidR="00D1587D" w:rsidRDefault="00410D07">
            <w:pPr>
              <w:jc w:val="right"/>
              <w:rPr>
                <w:sz w:val="20"/>
                <w:szCs w:val="20"/>
              </w:rPr>
            </w:pPr>
            <w:r>
              <w:rPr>
                <w:rFonts w:ascii="Arial" w:eastAsia="Arial" w:hAnsi="Arial" w:cs="Arial"/>
                <w:sz w:val="18"/>
                <w:szCs w:val="18"/>
              </w:rPr>
              <w:t>6,022,698</w:t>
            </w:r>
          </w:p>
        </w:tc>
        <w:tc>
          <w:tcPr>
            <w:tcW w:w="1000" w:type="dxa"/>
            <w:gridSpan w:val="3"/>
            <w:vAlign w:val="bottom"/>
          </w:tcPr>
          <w:p w14:paraId="3D27AEC6" w14:textId="77777777" w:rsidR="00D1587D" w:rsidRDefault="00410D07">
            <w:pPr>
              <w:jc w:val="right"/>
              <w:rPr>
                <w:sz w:val="20"/>
                <w:szCs w:val="20"/>
              </w:rPr>
            </w:pPr>
            <w:r>
              <w:rPr>
                <w:rFonts w:ascii="Arial" w:eastAsia="Arial" w:hAnsi="Arial" w:cs="Arial"/>
                <w:sz w:val="18"/>
                <w:szCs w:val="18"/>
              </w:rPr>
              <w:t>6,022,698</w:t>
            </w:r>
          </w:p>
        </w:tc>
        <w:tc>
          <w:tcPr>
            <w:tcW w:w="180" w:type="dxa"/>
            <w:vAlign w:val="bottom"/>
          </w:tcPr>
          <w:p w14:paraId="3668B28E" w14:textId="77777777" w:rsidR="00D1587D" w:rsidRDefault="00D1587D">
            <w:pPr>
              <w:rPr>
                <w:sz w:val="24"/>
                <w:szCs w:val="24"/>
              </w:rPr>
            </w:pPr>
          </w:p>
        </w:tc>
        <w:tc>
          <w:tcPr>
            <w:tcW w:w="300" w:type="dxa"/>
            <w:vAlign w:val="bottom"/>
          </w:tcPr>
          <w:p w14:paraId="6996B625" w14:textId="77777777" w:rsidR="00D1587D" w:rsidRDefault="00D1587D">
            <w:pPr>
              <w:rPr>
                <w:sz w:val="24"/>
                <w:szCs w:val="24"/>
              </w:rPr>
            </w:pPr>
          </w:p>
        </w:tc>
        <w:tc>
          <w:tcPr>
            <w:tcW w:w="480" w:type="dxa"/>
            <w:vAlign w:val="bottom"/>
          </w:tcPr>
          <w:p w14:paraId="55D68AFF"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229F4582" w14:textId="77777777" w:rsidR="00D1587D" w:rsidRDefault="00D1587D">
            <w:pPr>
              <w:rPr>
                <w:sz w:val="1"/>
                <w:szCs w:val="1"/>
              </w:rPr>
            </w:pPr>
          </w:p>
        </w:tc>
      </w:tr>
      <w:tr w:rsidR="00D1587D" w14:paraId="511766FC" w14:textId="77777777">
        <w:trPr>
          <w:trHeight w:val="324"/>
        </w:trPr>
        <w:tc>
          <w:tcPr>
            <w:tcW w:w="2360" w:type="dxa"/>
            <w:gridSpan w:val="2"/>
            <w:shd w:val="clear" w:color="auto" w:fill="CCEEFF"/>
            <w:vAlign w:val="bottom"/>
          </w:tcPr>
          <w:p w14:paraId="01FA50E5" w14:textId="77777777" w:rsidR="00D1587D" w:rsidRDefault="00410D07">
            <w:pPr>
              <w:spacing w:line="324" w:lineRule="exact"/>
              <w:rPr>
                <w:sz w:val="20"/>
                <w:szCs w:val="20"/>
              </w:rPr>
            </w:pPr>
            <w:r>
              <w:rPr>
                <w:rFonts w:ascii="Arial" w:eastAsia="Arial" w:hAnsi="Arial" w:cs="Arial"/>
                <w:sz w:val="18"/>
                <w:szCs w:val="18"/>
              </w:rPr>
              <w:t>Benefits and Perquisites</w:t>
            </w:r>
            <w:r>
              <w:rPr>
                <w:rFonts w:ascii="Arial" w:eastAsia="Arial" w:hAnsi="Arial" w:cs="Arial"/>
                <w:sz w:val="29"/>
                <w:szCs w:val="29"/>
                <w:vertAlign w:val="superscript"/>
              </w:rPr>
              <w:t>(5)</w:t>
            </w:r>
          </w:p>
        </w:tc>
        <w:tc>
          <w:tcPr>
            <w:tcW w:w="800" w:type="dxa"/>
            <w:gridSpan w:val="2"/>
            <w:shd w:val="clear" w:color="auto" w:fill="CCEEFF"/>
            <w:vAlign w:val="bottom"/>
          </w:tcPr>
          <w:p w14:paraId="7AFE1B7B" w14:textId="77777777" w:rsidR="00D1587D" w:rsidRDefault="00410D07">
            <w:pPr>
              <w:ind w:right="36"/>
              <w:jc w:val="right"/>
              <w:rPr>
                <w:sz w:val="20"/>
                <w:szCs w:val="20"/>
              </w:rPr>
            </w:pPr>
            <w:r>
              <w:rPr>
                <w:rFonts w:ascii="Arial" w:eastAsia="Arial" w:hAnsi="Arial" w:cs="Arial"/>
                <w:sz w:val="18"/>
                <w:szCs w:val="18"/>
              </w:rPr>
              <w:t>17,488</w:t>
            </w:r>
          </w:p>
        </w:tc>
        <w:tc>
          <w:tcPr>
            <w:tcW w:w="100" w:type="dxa"/>
            <w:shd w:val="clear" w:color="auto" w:fill="CCEEFF"/>
            <w:vAlign w:val="bottom"/>
          </w:tcPr>
          <w:p w14:paraId="01714A08" w14:textId="77777777" w:rsidR="00D1587D" w:rsidRDefault="00D1587D">
            <w:pPr>
              <w:rPr>
                <w:sz w:val="24"/>
                <w:szCs w:val="24"/>
              </w:rPr>
            </w:pPr>
          </w:p>
        </w:tc>
        <w:tc>
          <w:tcPr>
            <w:tcW w:w="1080" w:type="dxa"/>
            <w:gridSpan w:val="3"/>
            <w:shd w:val="clear" w:color="auto" w:fill="CCEEFF"/>
            <w:vAlign w:val="bottom"/>
          </w:tcPr>
          <w:p w14:paraId="7231C130" w14:textId="77777777" w:rsidR="00D1587D" w:rsidRDefault="00410D07">
            <w:pPr>
              <w:ind w:right="19"/>
              <w:jc w:val="right"/>
              <w:rPr>
                <w:sz w:val="20"/>
                <w:szCs w:val="20"/>
              </w:rPr>
            </w:pPr>
            <w:r>
              <w:rPr>
                <w:rFonts w:ascii="Arial" w:eastAsia="Arial" w:hAnsi="Arial" w:cs="Arial"/>
                <w:sz w:val="18"/>
                <w:szCs w:val="18"/>
              </w:rPr>
              <w:t>17,488</w:t>
            </w:r>
          </w:p>
        </w:tc>
        <w:tc>
          <w:tcPr>
            <w:tcW w:w="180" w:type="dxa"/>
            <w:shd w:val="clear" w:color="auto" w:fill="CCEEFF"/>
            <w:vAlign w:val="bottom"/>
          </w:tcPr>
          <w:p w14:paraId="79CD35B0" w14:textId="77777777" w:rsidR="00D1587D" w:rsidRDefault="00D1587D">
            <w:pPr>
              <w:rPr>
                <w:sz w:val="24"/>
                <w:szCs w:val="24"/>
              </w:rPr>
            </w:pPr>
          </w:p>
        </w:tc>
        <w:tc>
          <w:tcPr>
            <w:tcW w:w="940" w:type="dxa"/>
            <w:shd w:val="clear" w:color="auto" w:fill="CCEEFF"/>
            <w:vAlign w:val="bottom"/>
          </w:tcPr>
          <w:p w14:paraId="509191DB" w14:textId="77777777" w:rsidR="00D1587D" w:rsidRDefault="00410D07">
            <w:pPr>
              <w:jc w:val="right"/>
              <w:rPr>
                <w:sz w:val="20"/>
                <w:szCs w:val="20"/>
              </w:rPr>
            </w:pPr>
            <w:r>
              <w:rPr>
                <w:rFonts w:ascii="Arial" w:eastAsia="Arial" w:hAnsi="Arial" w:cs="Arial"/>
                <w:sz w:val="18"/>
                <w:szCs w:val="18"/>
              </w:rPr>
              <w:t>17,488</w:t>
            </w:r>
          </w:p>
        </w:tc>
        <w:tc>
          <w:tcPr>
            <w:tcW w:w="1000" w:type="dxa"/>
            <w:gridSpan w:val="3"/>
            <w:shd w:val="clear" w:color="auto" w:fill="CCEEFF"/>
            <w:vAlign w:val="bottom"/>
          </w:tcPr>
          <w:p w14:paraId="7B954E34" w14:textId="77777777" w:rsidR="00D1587D" w:rsidRDefault="00410D07">
            <w:pPr>
              <w:jc w:val="right"/>
              <w:rPr>
                <w:sz w:val="20"/>
                <w:szCs w:val="20"/>
              </w:rPr>
            </w:pPr>
            <w:r>
              <w:rPr>
                <w:rFonts w:ascii="Arial" w:eastAsia="Arial" w:hAnsi="Arial" w:cs="Arial"/>
                <w:sz w:val="18"/>
                <w:szCs w:val="18"/>
              </w:rPr>
              <w:t>1,867,488</w:t>
            </w:r>
          </w:p>
        </w:tc>
        <w:tc>
          <w:tcPr>
            <w:tcW w:w="180" w:type="dxa"/>
            <w:shd w:val="clear" w:color="auto" w:fill="CCEEFF"/>
            <w:vAlign w:val="bottom"/>
          </w:tcPr>
          <w:p w14:paraId="29E62451" w14:textId="77777777" w:rsidR="00D1587D" w:rsidRDefault="00D1587D">
            <w:pPr>
              <w:rPr>
                <w:sz w:val="24"/>
                <w:szCs w:val="24"/>
              </w:rPr>
            </w:pPr>
          </w:p>
        </w:tc>
        <w:tc>
          <w:tcPr>
            <w:tcW w:w="100" w:type="dxa"/>
            <w:shd w:val="clear" w:color="auto" w:fill="CCEEFF"/>
            <w:vAlign w:val="bottom"/>
          </w:tcPr>
          <w:p w14:paraId="7D0C01FA" w14:textId="77777777" w:rsidR="00D1587D" w:rsidRDefault="00D1587D">
            <w:pPr>
              <w:rPr>
                <w:sz w:val="24"/>
                <w:szCs w:val="24"/>
              </w:rPr>
            </w:pPr>
          </w:p>
        </w:tc>
        <w:tc>
          <w:tcPr>
            <w:tcW w:w="720" w:type="dxa"/>
            <w:shd w:val="clear" w:color="auto" w:fill="CCEEFF"/>
            <w:vAlign w:val="bottom"/>
          </w:tcPr>
          <w:p w14:paraId="50B4C9C2" w14:textId="77777777" w:rsidR="00D1587D" w:rsidRDefault="00410D07">
            <w:pPr>
              <w:jc w:val="right"/>
              <w:rPr>
                <w:sz w:val="20"/>
                <w:szCs w:val="20"/>
              </w:rPr>
            </w:pPr>
            <w:r>
              <w:rPr>
                <w:rFonts w:ascii="Arial" w:eastAsia="Arial" w:hAnsi="Arial" w:cs="Arial"/>
                <w:sz w:val="18"/>
                <w:szCs w:val="18"/>
              </w:rPr>
              <w:t>477,021</w:t>
            </w:r>
          </w:p>
        </w:tc>
        <w:tc>
          <w:tcPr>
            <w:tcW w:w="180" w:type="dxa"/>
            <w:shd w:val="clear" w:color="auto" w:fill="CCEEFF"/>
            <w:vAlign w:val="bottom"/>
          </w:tcPr>
          <w:p w14:paraId="42ACEDB8" w14:textId="77777777" w:rsidR="00D1587D" w:rsidRDefault="00D1587D">
            <w:pPr>
              <w:rPr>
                <w:sz w:val="24"/>
                <w:szCs w:val="24"/>
              </w:rPr>
            </w:pPr>
          </w:p>
        </w:tc>
        <w:tc>
          <w:tcPr>
            <w:tcW w:w="300" w:type="dxa"/>
            <w:shd w:val="clear" w:color="auto" w:fill="CCEEFF"/>
            <w:vAlign w:val="bottom"/>
          </w:tcPr>
          <w:p w14:paraId="7F28884D" w14:textId="77777777" w:rsidR="00D1587D" w:rsidRDefault="00D1587D">
            <w:pPr>
              <w:rPr>
                <w:sz w:val="24"/>
                <w:szCs w:val="24"/>
              </w:rPr>
            </w:pPr>
          </w:p>
        </w:tc>
        <w:tc>
          <w:tcPr>
            <w:tcW w:w="480" w:type="dxa"/>
            <w:shd w:val="clear" w:color="auto" w:fill="CCEEFF"/>
            <w:vAlign w:val="bottom"/>
          </w:tcPr>
          <w:p w14:paraId="5101F7B8"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53893086" w14:textId="77777777" w:rsidR="00D1587D" w:rsidRDefault="00D1587D">
            <w:pPr>
              <w:rPr>
                <w:sz w:val="1"/>
                <w:szCs w:val="1"/>
              </w:rPr>
            </w:pPr>
          </w:p>
        </w:tc>
      </w:tr>
      <w:tr w:rsidR="00D1587D" w14:paraId="4011C3B1" w14:textId="77777777">
        <w:trPr>
          <w:trHeight w:val="270"/>
        </w:trPr>
        <w:tc>
          <w:tcPr>
            <w:tcW w:w="2360" w:type="dxa"/>
            <w:gridSpan w:val="2"/>
            <w:vAlign w:val="bottom"/>
          </w:tcPr>
          <w:p w14:paraId="09D6B761" w14:textId="77777777" w:rsidR="00D1587D" w:rsidRDefault="00410D07">
            <w:pPr>
              <w:rPr>
                <w:sz w:val="20"/>
                <w:szCs w:val="20"/>
              </w:rPr>
            </w:pPr>
            <w:r>
              <w:rPr>
                <w:rFonts w:ascii="Arial" w:eastAsia="Arial" w:hAnsi="Arial" w:cs="Arial"/>
                <w:sz w:val="18"/>
                <w:szCs w:val="18"/>
              </w:rPr>
              <w:t>Tax Gross-Up</w:t>
            </w:r>
          </w:p>
        </w:tc>
        <w:tc>
          <w:tcPr>
            <w:tcW w:w="200" w:type="dxa"/>
            <w:vAlign w:val="bottom"/>
          </w:tcPr>
          <w:p w14:paraId="0D45B1F3" w14:textId="77777777" w:rsidR="00D1587D" w:rsidRDefault="00D1587D">
            <w:pPr>
              <w:rPr>
                <w:sz w:val="23"/>
                <w:szCs w:val="23"/>
              </w:rPr>
            </w:pPr>
          </w:p>
        </w:tc>
        <w:tc>
          <w:tcPr>
            <w:tcW w:w="700" w:type="dxa"/>
            <w:gridSpan w:val="2"/>
            <w:vAlign w:val="bottom"/>
          </w:tcPr>
          <w:p w14:paraId="45C8631C" w14:textId="77777777" w:rsidR="00D1587D" w:rsidRDefault="00410D07">
            <w:pPr>
              <w:ind w:right="220"/>
              <w:jc w:val="right"/>
              <w:rPr>
                <w:sz w:val="20"/>
                <w:szCs w:val="20"/>
              </w:rPr>
            </w:pPr>
            <w:r>
              <w:rPr>
                <w:rFonts w:ascii="Arial" w:eastAsia="Arial" w:hAnsi="Arial" w:cs="Arial"/>
                <w:sz w:val="18"/>
                <w:szCs w:val="18"/>
              </w:rPr>
              <w:t>N/A</w:t>
            </w:r>
          </w:p>
        </w:tc>
        <w:tc>
          <w:tcPr>
            <w:tcW w:w="80" w:type="dxa"/>
            <w:vAlign w:val="bottom"/>
          </w:tcPr>
          <w:p w14:paraId="338F0CFA" w14:textId="77777777" w:rsidR="00D1587D" w:rsidRDefault="00D1587D">
            <w:pPr>
              <w:rPr>
                <w:sz w:val="23"/>
                <w:szCs w:val="23"/>
              </w:rPr>
            </w:pPr>
          </w:p>
        </w:tc>
        <w:tc>
          <w:tcPr>
            <w:tcW w:w="100" w:type="dxa"/>
            <w:vAlign w:val="bottom"/>
          </w:tcPr>
          <w:p w14:paraId="11F1AA91" w14:textId="77777777" w:rsidR="00D1587D" w:rsidRDefault="00D1587D">
            <w:pPr>
              <w:rPr>
                <w:sz w:val="23"/>
                <w:szCs w:val="23"/>
              </w:rPr>
            </w:pPr>
          </w:p>
        </w:tc>
        <w:tc>
          <w:tcPr>
            <w:tcW w:w="1080" w:type="dxa"/>
            <w:gridSpan w:val="2"/>
            <w:vAlign w:val="bottom"/>
          </w:tcPr>
          <w:p w14:paraId="7F2924AF" w14:textId="77777777" w:rsidR="00D1587D" w:rsidRDefault="00410D07">
            <w:pPr>
              <w:ind w:right="280"/>
              <w:jc w:val="right"/>
              <w:rPr>
                <w:sz w:val="20"/>
                <w:szCs w:val="20"/>
              </w:rPr>
            </w:pPr>
            <w:r>
              <w:rPr>
                <w:rFonts w:ascii="Arial" w:eastAsia="Arial" w:hAnsi="Arial" w:cs="Arial"/>
                <w:sz w:val="18"/>
                <w:szCs w:val="18"/>
              </w:rPr>
              <w:t>N/A</w:t>
            </w:r>
          </w:p>
        </w:tc>
        <w:tc>
          <w:tcPr>
            <w:tcW w:w="940" w:type="dxa"/>
            <w:vAlign w:val="bottom"/>
          </w:tcPr>
          <w:p w14:paraId="68714DA0"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5DBBDD4C" w14:textId="77777777" w:rsidR="00D1587D" w:rsidRDefault="00D1587D">
            <w:pPr>
              <w:rPr>
                <w:sz w:val="23"/>
                <w:szCs w:val="23"/>
              </w:rPr>
            </w:pPr>
          </w:p>
        </w:tc>
        <w:tc>
          <w:tcPr>
            <w:tcW w:w="160" w:type="dxa"/>
            <w:vAlign w:val="bottom"/>
          </w:tcPr>
          <w:p w14:paraId="0B259536" w14:textId="77777777" w:rsidR="00D1587D" w:rsidRDefault="00D1587D">
            <w:pPr>
              <w:rPr>
                <w:sz w:val="23"/>
                <w:szCs w:val="23"/>
              </w:rPr>
            </w:pPr>
          </w:p>
        </w:tc>
        <w:tc>
          <w:tcPr>
            <w:tcW w:w="660" w:type="dxa"/>
            <w:vAlign w:val="bottom"/>
          </w:tcPr>
          <w:p w14:paraId="3BDA01F9"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358A80A1" w14:textId="77777777" w:rsidR="00D1587D" w:rsidRDefault="00D1587D">
            <w:pPr>
              <w:rPr>
                <w:sz w:val="23"/>
                <w:szCs w:val="23"/>
              </w:rPr>
            </w:pPr>
          </w:p>
        </w:tc>
        <w:tc>
          <w:tcPr>
            <w:tcW w:w="100" w:type="dxa"/>
            <w:vAlign w:val="bottom"/>
          </w:tcPr>
          <w:p w14:paraId="1D756BCB" w14:textId="77777777" w:rsidR="00D1587D" w:rsidRDefault="00D1587D">
            <w:pPr>
              <w:rPr>
                <w:sz w:val="23"/>
                <w:szCs w:val="23"/>
              </w:rPr>
            </w:pPr>
          </w:p>
        </w:tc>
        <w:tc>
          <w:tcPr>
            <w:tcW w:w="900" w:type="dxa"/>
            <w:gridSpan w:val="2"/>
            <w:vAlign w:val="bottom"/>
          </w:tcPr>
          <w:p w14:paraId="3CB51347" w14:textId="77777777" w:rsidR="00D1587D" w:rsidRDefault="00410D07">
            <w:pPr>
              <w:ind w:left="400"/>
              <w:rPr>
                <w:sz w:val="20"/>
                <w:szCs w:val="20"/>
              </w:rPr>
            </w:pPr>
            <w:r>
              <w:rPr>
                <w:rFonts w:ascii="Arial" w:eastAsia="Arial" w:hAnsi="Arial" w:cs="Arial"/>
                <w:sz w:val="18"/>
                <w:szCs w:val="18"/>
              </w:rPr>
              <w:t>N/A</w:t>
            </w:r>
          </w:p>
        </w:tc>
        <w:tc>
          <w:tcPr>
            <w:tcW w:w="780" w:type="dxa"/>
            <w:gridSpan w:val="2"/>
            <w:vAlign w:val="bottom"/>
          </w:tcPr>
          <w:p w14:paraId="09B15E0B" w14:textId="77777777" w:rsidR="00D1587D" w:rsidRDefault="00410D07">
            <w:pPr>
              <w:ind w:right="113"/>
              <w:jc w:val="right"/>
              <w:rPr>
                <w:sz w:val="20"/>
                <w:szCs w:val="20"/>
              </w:rPr>
            </w:pPr>
            <w:r>
              <w:rPr>
                <w:rFonts w:ascii="Arial" w:eastAsia="Arial" w:hAnsi="Arial" w:cs="Arial"/>
                <w:sz w:val="18"/>
                <w:szCs w:val="18"/>
              </w:rPr>
              <w:t>N/A</w:t>
            </w:r>
          </w:p>
        </w:tc>
        <w:tc>
          <w:tcPr>
            <w:tcW w:w="0" w:type="dxa"/>
            <w:vAlign w:val="bottom"/>
          </w:tcPr>
          <w:p w14:paraId="747177E7" w14:textId="77777777" w:rsidR="00D1587D" w:rsidRDefault="00D1587D">
            <w:pPr>
              <w:rPr>
                <w:sz w:val="1"/>
                <w:szCs w:val="1"/>
              </w:rPr>
            </w:pPr>
          </w:p>
        </w:tc>
      </w:tr>
      <w:tr w:rsidR="00D1587D" w14:paraId="54A450E0" w14:textId="77777777">
        <w:trPr>
          <w:trHeight w:val="68"/>
        </w:trPr>
        <w:tc>
          <w:tcPr>
            <w:tcW w:w="2360" w:type="dxa"/>
            <w:gridSpan w:val="2"/>
            <w:tcBorders>
              <w:bottom w:val="single" w:sz="8" w:space="0" w:color="CCEEFF"/>
            </w:tcBorders>
            <w:vAlign w:val="bottom"/>
          </w:tcPr>
          <w:p w14:paraId="048D3100" w14:textId="77777777" w:rsidR="00D1587D" w:rsidRDefault="00D1587D">
            <w:pPr>
              <w:rPr>
                <w:sz w:val="5"/>
                <w:szCs w:val="5"/>
              </w:rPr>
            </w:pPr>
          </w:p>
        </w:tc>
        <w:tc>
          <w:tcPr>
            <w:tcW w:w="800" w:type="dxa"/>
            <w:gridSpan w:val="2"/>
            <w:tcBorders>
              <w:bottom w:val="single" w:sz="8" w:space="0" w:color="auto"/>
            </w:tcBorders>
            <w:vAlign w:val="bottom"/>
          </w:tcPr>
          <w:p w14:paraId="379D7C5B" w14:textId="77777777" w:rsidR="00D1587D" w:rsidRDefault="00D1587D">
            <w:pPr>
              <w:rPr>
                <w:sz w:val="5"/>
                <w:szCs w:val="5"/>
              </w:rPr>
            </w:pPr>
          </w:p>
        </w:tc>
        <w:tc>
          <w:tcPr>
            <w:tcW w:w="100" w:type="dxa"/>
            <w:tcBorders>
              <w:bottom w:val="single" w:sz="8" w:space="0" w:color="CCEEFF"/>
            </w:tcBorders>
            <w:vAlign w:val="bottom"/>
          </w:tcPr>
          <w:p w14:paraId="2FB8811B" w14:textId="77777777" w:rsidR="00D1587D" w:rsidRDefault="00D1587D">
            <w:pPr>
              <w:rPr>
                <w:sz w:val="5"/>
                <w:szCs w:val="5"/>
              </w:rPr>
            </w:pPr>
          </w:p>
        </w:tc>
        <w:tc>
          <w:tcPr>
            <w:tcW w:w="80" w:type="dxa"/>
            <w:tcBorders>
              <w:bottom w:val="single" w:sz="8" w:space="0" w:color="CCEEFF"/>
            </w:tcBorders>
            <w:vAlign w:val="bottom"/>
          </w:tcPr>
          <w:p w14:paraId="543DBEAD" w14:textId="77777777" w:rsidR="00D1587D" w:rsidRDefault="00D1587D">
            <w:pPr>
              <w:rPr>
                <w:sz w:val="5"/>
                <w:szCs w:val="5"/>
              </w:rPr>
            </w:pPr>
          </w:p>
        </w:tc>
        <w:tc>
          <w:tcPr>
            <w:tcW w:w="1000" w:type="dxa"/>
            <w:gridSpan w:val="2"/>
            <w:tcBorders>
              <w:bottom w:val="single" w:sz="8" w:space="0" w:color="auto"/>
            </w:tcBorders>
            <w:vAlign w:val="bottom"/>
          </w:tcPr>
          <w:p w14:paraId="5FC8D2D4" w14:textId="77777777" w:rsidR="00D1587D" w:rsidRDefault="00D1587D">
            <w:pPr>
              <w:rPr>
                <w:sz w:val="5"/>
                <w:szCs w:val="5"/>
              </w:rPr>
            </w:pPr>
          </w:p>
        </w:tc>
        <w:tc>
          <w:tcPr>
            <w:tcW w:w="180" w:type="dxa"/>
            <w:tcBorders>
              <w:bottom w:val="single" w:sz="8" w:space="0" w:color="CCEEFF"/>
            </w:tcBorders>
            <w:vAlign w:val="bottom"/>
          </w:tcPr>
          <w:p w14:paraId="364D0301" w14:textId="77777777" w:rsidR="00D1587D" w:rsidRDefault="00D1587D">
            <w:pPr>
              <w:rPr>
                <w:sz w:val="5"/>
                <w:szCs w:val="5"/>
              </w:rPr>
            </w:pPr>
          </w:p>
        </w:tc>
        <w:tc>
          <w:tcPr>
            <w:tcW w:w="940" w:type="dxa"/>
            <w:tcBorders>
              <w:bottom w:val="single" w:sz="8" w:space="0" w:color="auto"/>
            </w:tcBorders>
            <w:vAlign w:val="bottom"/>
          </w:tcPr>
          <w:p w14:paraId="43791E19" w14:textId="77777777" w:rsidR="00D1587D" w:rsidRDefault="00D1587D">
            <w:pPr>
              <w:rPr>
                <w:sz w:val="5"/>
                <w:szCs w:val="5"/>
              </w:rPr>
            </w:pPr>
          </w:p>
        </w:tc>
        <w:tc>
          <w:tcPr>
            <w:tcW w:w="180" w:type="dxa"/>
            <w:tcBorders>
              <w:bottom w:val="single" w:sz="8" w:space="0" w:color="CCEEFF"/>
            </w:tcBorders>
            <w:vAlign w:val="bottom"/>
          </w:tcPr>
          <w:p w14:paraId="18846BAB" w14:textId="77777777" w:rsidR="00D1587D" w:rsidRDefault="00D1587D">
            <w:pPr>
              <w:rPr>
                <w:sz w:val="5"/>
                <w:szCs w:val="5"/>
              </w:rPr>
            </w:pPr>
          </w:p>
        </w:tc>
        <w:tc>
          <w:tcPr>
            <w:tcW w:w="820" w:type="dxa"/>
            <w:gridSpan w:val="2"/>
            <w:tcBorders>
              <w:bottom w:val="single" w:sz="8" w:space="0" w:color="auto"/>
            </w:tcBorders>
            <w:vAlign w:val="bottom"/>
          </w:tcPr>
          <w:p w14:paraId="2B2336A5" w14:textId="77777777" w:rsidR="00D1587D" w:rsidRDefault="00D1587D">
            <w:pPr>
              <w:rPr>
                <w:sz w:val="5"/>
                <w:szCs w:val="5"/>
              </w:rPr>
            </w:pPr>
          </w:p>
        </w:tc>
        <w:tc>
          <w:tcPr>
            <w:tcW w:w="180" w:type="dxa"/>
            <w:tcBorders>
              <w:bottom w:val="single" w:sz="8" w:space="0" w:color="CCEEFF"/>
            </w:tcBorders>
            <w:vAlign w:val="bottom"/>
          </w:tcPr>
          <w:p w14:paraId="00F42246" w14:textId="77777777" w:rsidR="00D1587D" w:rsidRDefault="00D1587D">
            <w:pPr>
              <w:rPr>
                <w:sz w:val="5"/>
                <w:szCs w:val="5"/>
              </w:rPr>
            </w:pPr>
          </w:p>
        </w:tc>
        <w:tc>
          <w:tcPr>
            <w:tcW w:w="820" w:type="dxa"/>
            <w:gridSpan w:val="2"/>
            <w:tcBorders>
              <w:bottom w:val="single" w:sz="8" w:space="0" w:color="auto"/>
            </w:tcBorders>
            <w:vAlign w:val="bottom"/>
          </w:tcPr>
          <w:p w14:paraId="30D3921A" w14:textId="77777777" w:rsidR="00D1587D" w:rsidRDefault="00D1587D">
            <w:pPr>
              <w:rPr>
                <w:sz w:val="5"/>
                <w:szCs w:val="5"/>
              </w:rPr>
            </w:pPr>
          </w:p>
        </w:tc>
        <w:tc>
          <w:tcPr>
            <w:tcW w:w="180" w:type="dxa"/>
            <w:tcBorders>
              <w:bottom w:val="single" w:sz="8" w:space="0" w:color="CCEEFF"/>
            </w:tcBorders>
            <w:vAlign w:val="bottom"/>
          </w:tcPr>
          <w:p w14:paraId="3F98AB8A" w14:textId="77777777" w:rsidR="00D1587D" w:rsidRDefault="00D1587D">
            <w:pPr>
              <w:rPr>
                <w:sz w:val="5"/>
                <w:szCs w:val="5"/>
              </w:rPr>
            </w:pPr>
          </w:p>
        </w:tc>
        <w:tc>
          <w:tcPr>
            <w:tcW w:w="300" w:type="dxa"/>
            <w:tcBorders>
              <w:bottom w:val="single" w:sz="8" w:space="0" w:color="auto"/>
            </w:tcBorders>
            <w:vAlign w:val="bottom"/>
          </w:tcPr>
          <w:p w14:paraId="5EF9A609" w14:textId="77777777" w:rsidR="00D1587D" w:rsidRDefault="00D1587D">
            <w:pPr>
              <w:rPr>
                <w:sz w:val="5"/>
                <w:szCs w:val="5"/>
              </w:rPr>
            </w:pPr>
          </w:p>
        </w:tc>
        <w:tc>
          <w:tcPr>
            <w:tcW w:w="480" w:type="dxa"/>
            <w:tcBorders>
              <w:bottom w:val="single" w:sz="8" w:space="0" w:color="auto"/>
            </w:tcBorders>
            <w:vAlign w:val="bottom"/>
          </w:tcPr>
          <w:p w14:paraId="2A6381C9" w14:textId="77777777" w:rsidR="00D1587D" w:rsidRDefault="00D1587D">
            <w:pPr>
              <w:rPr>
                <w:sz w:val="5"/>
                <w:szCs w:val="5"/>
              </w:rPr>
            </w:pPr>
          </w:p>
        </w:tc>
        <w:tc>
          <w:tcPr>
            <w:tcW w:w="0" w:type="dxa"/>
            <w:vAlign w:val="bottom"/>
          </w:tcPr>
          <w:p w14:paraId="4676BFAE" w14:textId="77777777" w:rsidR="00D1587D" w:rsidRDefault="00D1587D">
            <w:pPr>
              <w:rPr>
                <w:sz w:val="1"/>
                <w:szCs w:val="1"/>
              </w:rPr>
            </w:pPr>
          </w:p>
        </w:tc>
      </w:tr>
      <w:tr w:rsidR="00D1587D" w14:paraId="4807F413" w14:textId="77777777">
        <w:trPr>
          <w:trHeight w:val="376"/>
        </w:trPr>
        <w:tc>
          <w:tcPr>
            <w:tcW w:w="2360" w:type="dxa"/>
            <w:gridSpan w:val="2"/>
            <w:tcBorders>
              <w:bottom w:val="single" w:sz="8" w:space="0" w:color="CCEEFF"/>
            </w:tcBorders>
            <w:shd w:val="clear" w:color="auto" w:fill="CCEEFF"/>
            <w:vAlign w:val="bottom"/>
          </w:tcPr>
          <w:p w14:paraId="3EBF72F9" w14:textId="77777777" w:rsidR="00D1587D" w:rsidRDefault="00410D07">
            <w:pPr>
              <w:rPr>
                <w:sz w:val="20"/>
                <w:szCs w:val="20"/>
              </w:rPr>
            </w:pPr>
            <w:r>
              <w:rPr>
                <w:rFonts w:ascii="Arial" w:eastAsia="Arial" w:hAnsi="Arial" w:cs="Arial"/>
                <w:sz w:val="18"/>
                <w:szCs w:val="18"/>
              </w:rPr>
              <w:t>Total</w:t>
            </w:r>
          </w:p>
        </w:tc>
        <w:tc>
          <w:tcPr>
            <w:tcW w:w="800" w:type="dxa"/>
            <w:gridSpan w:val="2"/>
            <w:tcBorders>
              <w:bottom w:val="single" w:sz="8" w:space="0" w:color="CCEEFF"/>
            </w:tcBorders>
            <w:shd w:val="clear" w:color="auto" w:fill="CCEEFF"/>
            <w:vAlign w:val="bottom"/>
          </w:tcPr>
          <w:p w14:paraId="51AA8CE1" w14:textId="77777777" w:rsidR="00D1587D" w:rsidRDefault="00410D07">
            <w:pPr>
              <w:ind w:right="16"/>
              <w:jc w:val="right"/>
              <w:rPr>
                <w:sz w:val="20"/>
                <w:szCs w:val="20"/>
              </w:rPr>
            </w:pPr>
            <w:r>
              <w:rPr>
                <w:rFonts w:ascii="Arial" w:eastAsia="Arial" w:hAnsi="Arial" w:cs="Arial"/>
                <w:sz w:val="18"/>
                <w:szCs w:val="18"/>
              </w:rPr>
              <w:t>$17,488</w:t>
            </w:r>
          </w:p>
        </w:tc>
        <w:tc>
          <w:tcPr>
            <w:tcW w:w="100" w:type="dxa"/>
            <w:tcBorders>
              <w:bottom w:val="single" w:sz="8" w:space="0" w:color="CCEEFF"/>
            </w:tcBorders>
            <w:shd w:val="clear" w:color="auto" w:fill="CCEEFF"/>
            <w:vAlign w:val="bottom"/>
          </w:tcPr>
          <w:p w14:paraId="16EB6616" w14:textId="77777777" w:rsidR="00D1587D" w:rsidRDefault="00D1587D">
            <w:pPr>
              <w:rPr>
                <w:sz w:val="24"/>
                <w:szCs w:val="24"/>
              </w:rPr>
            </w:pPr>
          </w:p>
        </w:tc>
        <w:tc>
          <w:tcPr>
            <w:tcW w:w="1080" w:type="dxa"/>
            <w:gridSpan w:val="3"/>
            <w:tcBorders>
              <w:bottom w:val="single" w:sz="8" w:space="0" w:color="CCEEFF"/>
            </w:tcBorders>
            <w:shd w:val="clear" w:color="auto" w:fill="CCEEFF"/>
            <w:vAlign w:val="bottom"/>
          </w:tcPr>
          <w:p w14:paraId="5FB8255E" w14:textId="77777777" w:rsidR="00D1587D" w:rsidRDefault="00410D07">
            <w:pPr>
              <w:ind w:right="19"/>
              <w:jc w:val="right"/>
              <w:rPr>
                <w:sz w:val="20"/>
                <w:szCs w:val="20"/>
              </w:rPr>
            </w:pPr>
            <w:r>
              <w:rPr>
                <w:rFonts w:ascii="Arial" w:eastAsia="Arial" w:hAnsi="Arial" w:cs="Arial"/>
                <w:sz w:val="18"/>
                <w:szCs w:val="18"/>
              </w:rPr>
              <w:t>$6,184,257</w:t>
            </w:r>
          </w:p>
        </w:tc>
        <w:tc>
          <w:tcPr>
            <w:tcW w:w="180" w:type="dxa"/>
            <w:tcBorders>
              <w:bottom w:val="single" w:sz="8" w:space="0" w:color="CCEEFF"/>
            </w:tcBorders>
            <w:shd w:val="clear" w:color="auto" w:fill="CCEEFF"/>
            <w:vAlign w:val="bottom"/>
          </w:tcPr>
          <w:p w14:paraId="367E7D03" w14:textId="77777777" w:rsidR="00D1587D" w:rsidRDefault="00D1587D">
            <w:pPr>
              <w:rPr>
                <w:sz w:val="24"/>
                <w:szCs w:val="24"/>
              </w:rPr>
            </w:pPr>
          </w:p>
        </w:tc>
        <w:tc>
          <w:tcPr>
            <w:tcW w:w="940" w:type="dxa"/>
            <w:tcBorders>
              <w:bottom w:val="single" w:sz="8" w:space="0" w:color="CCEEFF"/>
            </w:tcBorders>
            <w:shd w:val="clear" w:color="auto" w:fill="CCEEFF"/>
            <w:vAlign w:val="bottom"/>
          </w:tcPr>
          <w:p w14:paraId="2D8EAB37" w14:textId="77777777" w:rsidR="00D1587D" w:rsidRDefault="00410D07">
            <w:pPr>
              <w:jc w:val="right"/>
              <w:rPr>
                <w:sz w:val="20"/>
                <w:szCs w:val="20"/>
              </w:rPr>
            </w:pPr>
            <w:r>
              <w:rPr>
                <w:rFonts w:ascii="Arial" w:eastAsia="Arial" w:hAnsi="Arial" w:cs="Arial"/>
                <w:w w:val="95"/>
                <w:sz w:val="18"/>
                <w:szCs w:val="18"/>
              </w:rPr>
              <w:t>$8,104,958</w:t>
            </w:r>
          </w:p>
        </w:tc>
        <w:tc>
          <w:tcPr>
            <w:tcW w:w="1000" w:type="dxa"/>
            <w:gridSpan w:val="3"/>
            <w:tcBorders>
              <w:bottom w:val="single" w:sz="8" w:space="0" w:color="CCEEFF"/>
            </w:tcBorders>
            <w:shd w:val="clear" w:color="auto" w:fill="CCEEFF"/>
            <w:vAlign w:val="bottom"/>
          </w:tcPr>
          <w:p w14:paraId="554B2FA0" w14:textId="77777777" w:rsidR="00D1587D" w:rsidRDefault="00410D07">
            <w:pPr>
              <w:jc w:val="right"/>
              <w:rPr>
                <w:sz w:val="20"/>
                <w:szCs w:val="20"/>
              </w:rPr>
            </w:pPr>
            <w:r>
              <w:rPr>
                <w:rFonts w:ascii="Arial" w:eastAsia="Arial" w:hAnsi="Arial" w:cs="Arial"/>
                <w:sz w:val="18"/>
                <w:szCs w:val="18"/>
              </w:rPr>
              <w:t>$8,104,958</w:t>
            </w:r>
          </w:p>
        </w:tc>
        <w:tc>
          <w:tcPr>
            <w:tcW w:w="1000" w:type="dxa"/>
            <w:gridSpan w:val="3"/>
            <w:tcBorders>
              <w:bottom w:val="single" w:sz="8" w:space="0" w:color="CCEEFF"/>
            </w:tcBorders>
            <w:shd w:val="clear" w:color="auto" w:fill="CCEEFF"/>
            <w:vAlign w:val="bottom"/>
          </w:tcPr>
          <w:p w14:paraId="406EF460" w14:textId="77777777" w:rsidR="00D1587D" w:rsidRDefault="00410D07">
            <w:pPr>
              <w:jc w:val="right"/>
              <w:rPr>
                <w:sz w:val="20"/>
                <w:szCs w:val="20"/>
              </w:rPr>
            </w:pPr>
            <w:r>
              <w:rPr>
                <w:rFonts w:ascii="Arial" w:eastAsia="Arial" w:hAnsi="Arial" w:cs="Arial"/>
                <w:sz w:val="18"/>
                <w:szCs w:val="18"/>
              </w:rPr>
              <w:t>$6,714,491</w:t>
            </w:r>
          </w:p>
        </w:tc>
        <w:tc>
          <w:tcPr>
            <w:tcW w:w="180" w:type="dxa"/>
            <w:tcBorders>
              <w:bottom w:val="single" w:sz="8" w:space="0" w:color="CCEEFF"/>
            </w:tcBorders>
            <w:shd w:val="clear" w:color="auto" w:fill="CCEEFF"/>
            <w:vAlign w:val="bottom"/>
          </w:tcPr>
          <w:p w14:paraId="7BA1EC40" w14:textId="77777777" w:rsidR="00D1587D" w:rsidRDefault="00D1587D">
            <w:pPr>
              <w:rPr>
                <w:sz w:val="24"/>
                <w:szCs w:val="24"/>
              </w:rPr>
            </w:pPr>
          </w:p>
        </w:tc>
        <w:tc>
          <w:tcPr>
            <w:tcW w:w="300" w:type="dxa"/>
            <w:tcBorders>
              <w:bottom w:val="single" w:sz="8" w:space="0" w:color="CCEEFF"/>
            </w:tcBorders>
            <w:shd w:val="clear" w:color="auto" w:fill="CCEEFF"/>
            <w:vAlign w:val="bottom"/>
          </w:tcPr>
          <w:p w14:paraId="0DF14A3D" w14:textId="77777777" w:rsidR="00D1587D" w:rsidRDefault="00410D07">
            <w:pPr>
              <w:jc w:val="right"/>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7CB9CAB7"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7EA2D666" w14:textId="77777777" w:rsidR="00D1587D" w:rsidRDefault="00D1587D">
            <w:pPr>
              <w:rPr>
                <w:sz w:val="1"/>
                <w:szCs w:val="1"/>
              </w:rPr>
            </w:pPr>
          </w:p>
        </w:tc>
      </w:tr>
      <w:tr w:rsidR="00D1587D" w14:paraId="28C34A6E" w14:textId="77777777">
        <w:trPr>
          <w:trHeight w:val="20"/>
        </w:trPr>
        <w:tc>
          <w:tcPr>
            <w:tcW w:w="2260" w:type="dxa"/>
            <w:tcBorders>
              <w:top w:val="single" w:sz="8" w:space="0" w:color="CCEEFF"/>
            </w:tcBorders>
            <w:vAlign w:val="bottom"/>
          </w:tcPr>
          <w:p w14:paraId="742B61D4" w14:textId="77777777" w:rsidR="00D1587D" w:rsidRDefault="00D1587D">
            <w:pPr>
              <w:spacing w:line="20" w:lineRule="exact"/>
              <w:rPr>
                <w:sz w:val="1"/>
                <w:szCs w:val="1"/>
              </w:rPr>
            </w:pPr>
          </w:p>
        </w:tc>
        <w:tc>
          <w:tcPr>
            <w:tcW w:w="100" w:type="dxa"/>
            <w:tcBorders>
              <w:top w:val="single" w:sz="8" w:space="0" w:color="CCEEFF"/>
            </w:tcBorders>
            <w:vAlign w:val="bottom"/>
          </w:tcPr>
          <w:p w14:paraId="3F54F58E" w14:textId="77777777" w:rsidR="00D1587D" w:rsidRDefault="00D1587D">
            <w:pPr>
              <w:spacing w:line="20" w:lineRule="exact"/>
              <w:rPr>
                <w:sz w:val="1"/>
                <w:szCs w:val="1"/>
              </w:rPr>
            </w:pPr>
          </w:p>
        </w:tc>
        <w:tc>
          <w:tcPr>
            <w:tcW w:w="200" w:type="dxa"/>
            <w:tcBorders>
              <w:top w:val="single" w:sz="8" w:space="0" w:color="auto"/>
            </w:tcBorders>
            <w:shd w:val="clear" w:color="auto" w:fill="000000"/>
            <w:vAlign w:val="bottom"/>
          </w:tcPr>
          <w:p w14:paraId="395D2606" w14:textId="77777777" w:rsidR="00D1587D" w:rsidRDefault="00D1587D">
            <w:pPr>
              <w:spacing w:line="20" w:lineRule="exact"/>
              <w:rPr>
                <w:sz w:val="1"/>
                <w:szCs w:val="1"/>
              </w:rPr>
            </w:pPr>
          </w:p>
        </w:tc>
        <w:tc>
          <w:tcPr>
            <w:tcW w:w="600" w:type="dxa"/>
            <w:tcBorders>
              <w:top w:val="single" w:sz="8" w:space="0" w:color="auto"/>
            </w:tcBorders>
            <w:shd w:val="clear" w:color="auto" w:fill="000000"/>
            <w:vAlign w:val="bottom"/>
          </w:tcPr>
          <w:p w14:paraId="45887B10" w14:textId="77777777" w:rsidR="00D1587D" w:rsidRDefault="00D1587D">
            <w:pPr>
              <w:spacing w:line="20" w:lineRule="exact"/>
              <w:rPr>
                <w:sz w:val="1"/>
                <w:szCs w:val="1"/>
              </w:rPr>
            </w:pPr>
          </w:p>
        </w:tc>
        <w:tc>
          <w:tcPr>
            <w:tcW w:w="100" w:type="dxa"/>
            <w:tcBorders>
              <w:top w:val="single" w:sz="8" w:space="0" w:color="CCEEFF"/>
            </w:tcBorders>
            <w:vAlign w:val="bottom"/>
          </w:tcPr>
          <w:p w14:paraId="1FE5E836" w14:textId="77777777" w:rsidR="00D1587D" w:rsidRDefault="00D1587D">
            <w:pPr>
              <w:spacing w:line="20" w:lineRule="exact"/>
              <w:rPr>
                <w:sz w:val="1"/>
                <w:szCs w:val="1"/>
              </w:rPr>
            </w:pPr>
          </w:p>
        </w:tc>
        <w:tc>
          <w:tcPr>
            <w:tcW w:w="80" w:type="dxa"/>
            <w:tcBorders>
              <w:top w:val="single" w:sz="8" w:space="0" w:color="CCEEFF"/>
            </w:tcBorders>
            <w:vAlign w:val="bottom"/>
          </w:tcPr>
          <w:p w14:paraId="520A1976" w14:textId="77777777" w:rsidR="00D1587D" w:rsidRDefault="00D1587D">
            <w:pPr>
              <w:spacing w:line="20" w:lineRule="exact"/>
              <w:rPr>
                <w:sz w:val="1"/>
                <w:szCs w:val="1"/>
              </w:rPr>
            </w:pPr>
          </w:p>
        </w:tc>
        <w:tc>
          <w:tcPr>
            <w:tcW w:w="100" w:type="dxa"/>
            <w:tcBorders>
              <w:top w:val="single" w:sz="8" w:space="0" w:color="auto"/>
            </w:tcBorders>
            <w:shd w:val="clear" w:color="auto" w:fill="000000"/>
            <w:vAlign w:val="bottom"/>
          </w:tcPr>
          <w:p w14:paraId="687FA665" w14:textId="77777777" w:rsidR="00D1587D" w:rsidRDefault="00D1587D">
            <w:pPr>
              <w:spacing w:line="20" w:lineRule="exact"/>
              <w:rPr>
                <w:sz w:val="1"/>
                <w:szCs w:val="1"/>
              </w:rPr>
            </w:pPr>
          </w:p>
        </w:tc>
        <w:tc>
          <w:tcPr>
            <w:tcW w:w="900" w:type="dxa"/>
            <w:tcBorders>
              <w:top w:val="single" w:sz="8" w:space="0" w:color="auto"/>
            </w:tcBorders>
            <w:shd w:val="clear" w:color="auto" w:fill="000000"/>
            <w:vAlign w:val="bottom"/>
          </w:tcPr>
          <w:p w14:paraId="041F6B6E" w14:textId="77777777" w:rsidR="00D1587D" w:rsidRDefault="00D1587D">
            <w:pPr>
              <w:spacing w:line="20" w:lineRule="exact"/>
              <w:rPr>
                <w:sz w:val="1"/>
                <w:szCs w:val="1"/>
              </w:rPr>
            </w:pPr>
          </w:p>
        </w:tc>
        <w:tc>
          <w:tcPr>
            <w:tcW w:w="180" w:type="dxa"/>
            <w:tcBorders>
              <w:top w:val="single" w:sz="8" w:space="0" w:color="CCEEFF"/>
            </w:tcBorders>
            <w:vAlign w:val="bottom"/>
          </w:tcPr>
          <w:p w14:paraId="4468FC4E" w14:textId="77777777" w:rsidR="00D1587D" w:rsidRDefault="00D1587D">
            <w:pPr>
              <w:spacing w:line="20" w:lineRule="exact"/>
              <w:rPr>
                <w:sz w:val="1"/>
                <w:szCs w:val="1"/>
              </w:rPr>
            </w:pPr>
          </w:p>
        </w:tc>
        <w:tc>
          <w:tcPr>
            <w:tcW w:w="940" w:type="dxa"/>
            <w:tcBorders>
              <w:top w:val="single" w:sz="8" w:space="0" w:color="auto"/>
            </w:tcBorders>
            <w:shd w:val="clear" w:color="auto" w:fill="000000"/>
            <w:vAlign w:val="bottom"/>
          </w:tcPr>
          <w:p w14:paraId="0AA40FA9" w14:textId="77777777" w:rsidR="00D1587D" w:rsidRDefault="00D1587D">
            <w:pPr>
              <w:spacing w:line="20" w:lineRule="exact"/>
              <w:rPr>
                <w:sz w:val="1"/>
                <w:szCs w:val="1"/>
              </w:rPr>
            </w:pPr>
          </w:p>
        </w:tc>
        <w:tc>
          <w:tcPr>
            <w:tcW w:w="180" w:type="dxa"/>
            <w:tcBorders>
              <w:top w:val="single" w:sz="8" w:space="0" w:color="CCEEFF"/>
            </w:tcBorders>
            <w:vAlign w:val="bottom"/>
          </w:tcPr>
          <w:p w14:paraId="52F97945" w14:textId="77777777" w:rsidR="00D1587D" w:rsidRDefault="00D1587D">
            <w:pPr>
              <w:spacing w:line="20" w:lineRule="exact"/>
              <w:rPr>
                <w:sz w:val="1"/>
                <w:szCs w:val="1"/>
              </w:rPr>
            </w:pPr>
          </w:p>
        </w:tc>
        <w:tc>
          <w:tcPr>
            <w:tcW w:w="160" w:type="dxa"/>
            <w:tcBorders>
              <w:top w:val="single" w:sz="8" w:space="0" w:color="auto"/>
            </w:tcBorders>
            <w:shd w:val="clear" w:color="auto" w:fill="000000"/>
            <w:vAlign w:val="bottom"/>
          </w:tcPr>
          <w:p w14:paraId="47AE32B8" w14:textId="77777777" w:rsidR="00D1587D" w:rsidRDefault="00D1587D">
            <w:pPr>
              <w:spacing w:line="20" w:lineRule="exact"/>
              <w:rPr>
                <w:sz w:val="1"/>
                <w:szCs w:val="1"/>
              </w:rPr>
            </w:pPr>
          </w:p>
        </w:tc>
        <w:tc>
          <w:tcPr>
            <w:tcW w:w="660" w:type="dxa"/>
            <w:tcBorders>
              <w:top w:val="single" w:sz="8" w:space="0" w:color="auto"/>
            </w:tcBorders>
            <w:shd w:val="clear" w:color="auto" w:fill="000000"/>
            <w:vAlign w:val="bottom"/>
          </w:tcPr>
          <w:p w14:paraId="00DC90D8" w14:textId="77777777" w:rsidR="00D1587D" w:rsidRDefault="00D1587D">
            <w:pPr>
              <w:spacing w:line="20" w:lineRule="exact"/>
              <w:rPr>
                <w:sz w:val="1"/>
                <w:szCs w:val="1"/>
              </w:rPr>
            </w:pPr>
          </w:p>
        </w:tc>
        <w:tc>
          <w:tcPr>
            <w:tcW w:w="180" w:type="dxa"/>
            <w:tcBorders>
              <w:top w:val="single" w:sz="8" w:space="0" w:color="CCEEFF"/>
            </w:tcBorders>
            <w:vAlign w:val="bottom"/>
          </w:tcPr>
          <w:p w14:paraId="28AD5356" w14:textId="77777777" w:rsidR="00D1587D" w:rsidRDefault="00D1587D">
            <w:pPr>
              <w:spacing w:line="20" w:lineRule="exact"/>
              <w:rPr>
                <w:sz w:val="1"/>
                <w:szCs w:val="1"/>
              </w:rPr>
            </w:pPr>
          </w:p>
        </w:tc>
        <w:tc>
          <w:tcPr>
            <w:tcW w:w="100" w:type="dxa"/>
            <w:tcBorders>
              <w:top w:val="single" w:sz="8" w:space="0" w:color="auto"/>
            </w:tcBorders>
            <w:shd w:val="clear" w:color="auto" w:fill="000000"/>
            <w:vAlign w:val="bottom"/>
          </w:tcPr>
          <w:p w14:paraId="1C62CBCF" w14:textId="77777777" w:rsidR="00D1587D" w:rsidRDefault="00D1587D">
            <w:pPr>
              <w:spacing w:line="20" w:lineRule="exact"/>
              <w:rPr>
                <w:sz w:val="1"/>
                <w:szCs w:val="1"/>
              </w:rPr>
            </w:pPr>
          </w:p>
        </w:tc>
        <w:tc>
          <w:tcPr>
            <w:tcW w:w="720" w:type="dxa"/>
            <w:tcBorders>
              <w:top w:val="single" w:sz="8" w:space="0" w:color="auto"/>
            </w:tcBorders>
            <w:shd w:val="clear" w:color="auto" w:fill="000000"/>
            <w:vAlign w:val="bottom"/>
          </w:tcPr>
          <w:p w14:paraId="153180B5" w14:textId="77777777" w:rsidR="00D1587D" w:rsidRDefault="00D1587D">
            <w:pPr>
              <w:spacing w:line="20" w:lineRule="exact"/>
              <w:rPr>
                <w:sz w:val="1"/>
                <w:szCs w:val="1"/>
              </w:rPr>
            </w:pPr>
          </w:p>
        </w:tc>
        <w:tc>
          <w:tcPr>
            <w:tcW w:w="180" w:type="dxa"/>
            <w:tcBorders>
              <w:top w:val="single" w:sz="8" w:space="0" w:color="CCEEFF"/>
            </w:tcBorders>
            <w:vAlign w:val="bottom"/>
          </w:tcPr>
          <w:p w14:paraId="272359F0" w14:textId="77777777" w:rsidR="00D1587D" w:rsidRDefault="00D1587D">
            <w:pPr>
              <w:spacing w:line="20" w:lineRule="exact"/>
              <w:rPr>
                <w:sz w:val="1"/>
                <w:szCs w:val="1"/>
              </w:rPr>
            </w:pPr>
          </w:p>
        </w:tc>
        <w:tc>
          <w:tcPr>
            <w:tcW w:w="300" w:type="dxa"/>
            <w:tcBorders>
              <w:top w:val="single" w:sz="8" w:space="0" w:color="auto"/>
            </w:tcBorders>
            <w:shd w:val="clear" w:color="auto" w:fill="000000"/>
            <w:vAlign w:val="bottom"/>
          </w:tcPr>
          <w:p w14:paraId="123E1489" w14:textId="77777777" w:rsidR="00D1587D" w:rsidRDefault="00D1587D">
            <w:pPr>
              <w:spacing w:line="20" w:lineRule="exact"/>
              <w:rPr>
                <w:sz w:val="1"/>
                <w:szCs w:val="1"/>
              </w:rPr>
            </w:pPr>
          </w:p>
        </w:tc>
        <w:tc>
          <w:tcPr>
            <w:tcW w:w="480" w:type="dxa"/>
            <w:tcBorders>
              <w:top w:val="single" w:sz="8" w:space="0" w:color="auto"/>
            </w:tcBorders>
            <w:shd w:val="clear" w:color="auto" w:fill="000000"/>
            <w:vAlign w:val="bottom"/>
          </w:tcPr>
          <w:p w14:paraId="72A67A69" w14:textId="77777777" w:rsidR="00D1587D" w:rsidRDefault="00D1587D">
            <w:pPr>
              <w:spacing w:line="20" w:lineRule="exact"/>
              <w:rPr>
                <w:sz w:val="1"/>
                <w:szCs w:val="1"/>
              </w:rPr>
            </w:pPr>
          </w:p>
        </w:tc>
        <w:tc>
          <w:tcPr>
            <w:tcW w:w="0" w:type="dxa"/>
            <w:vAlign w:val="bottom"/>
          </w:tcPr>
          <w:p w14:paraId="77B2FDE6" w14:textId="77777777" w:rsidR="00D1587D" w:rsidRDefault="00D1587D">
            <w:pPr>
              <w:spacing w:line="20" w:lineRule="exact"/>
              <w:rPr>
                <w:sz w:val="1"/>
                <w:szCs w:val="1"/>
              </w:rPr>
            </w:pPr>
          </w:p>
        </w:tc>
      </w:tr>
    </w:tbl>
    <w:p w14:paraId="670B2AC3" w14:textId="77777777" w:rsidR="00D1587D" w:rsidRDefault="00410D07">
      <w:pPr>
        <w:spacing w:line="20" w:lineRule="exact"/>
        <w:rPr>
          <w:sz w:val="20"/>
          <w:szCs w:val="20"/>
        </w:rPr>
      </w:pPr>
      <w:r>
        <w:rPr>
          <w:noProof/>
          <w:sz w:val="20"/>
          <w:szCs w:val="20"/>
        </w:rPr>
        <w:drawing>
          <wp:anchor distT="0" distB="0" distL="114300" distR="114300" simplePos="0" relativeHeight="251913216" behindDoc="1" locked="0" layoutInCell="0" allowOverlap="1" wp14:anchorId="61ACAF38" wp14:editId="38CAD7A1">
            <wp:simplePos x="0" y="0"/>
            <wp:positionH relativeFrom="column">
              <wp:posOffset>4925695</wp:posOffset>
            </wp:positionH>
            <wp:positionV relativeFrom="paragraph">
              <wp:posOffset>-3119755</wp:posOffset>
            </wp:positionV>
            <wp:extent cx="120015" cy="8255"/>
            <wp:effectExtent l="0" t="0" r="0" b="0"/>
            <wp:wrapNone/>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14240" behindDoc="1" locked="0" layoutInCell="0" allowOverlap="1" wp14:anchorId="58BEFE9F" wp14:editId="323B1060">
            <wp:simplePos x="0" y="0"/>
            <wp:positionH relativeFrom="column">
              <wp:posOffset>4291330</wp:posOffset>
            </wp:positionH>
            <wp:positionV relativeFrom="paragraph">
              <wp:posOffset>-3119755</wp:posOffset>
            </wp:positionV>
            <wp:extent cx="120015" cy="8255"/>
            <wp:effectExtent l="0" t="0" r="0" b="0"/>
            <wp:wrapNone/>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15264" behindDoc="1" locked="0" layoutInCell="0" allowOverlap="1" wp14:anchorId="1EEFFAF5" wp14:editId="777B58CD">
            <wp:simplePos x="0" y="0"/>
            <wp:positionH relativeFrom="column">
              <wp:posOffset>3656965</wp:posOffset>
            </wp:positionH>
            <wp:positionV relativeFrom="paragraph">
              <wp:posOffset>-3119755</wp:posOffset>
            </wp:positionV>
            <wp:extent cx="120015" cy="8255"/>
            <wp:effectExtent l="0" t="0" r="0" b="0"/>
            <wp:wrapNone/>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16288" behindDoc="1" locked="0" layoutInCell="0" allowOverlap="1" wp14:anchorId="520A9B78" wp14:editId="7BFB331E">
            <wp:simplePos x="0" y="0"/>
            <wp:positionH relativeFrom="column">
              <wp:posOffset>2945765</wp:posOffset>
            </wp:positionH>
            <wp:positionV relativeFrom="paragraph">
              <wp:posOffset>-3119755</wp:posOffset>
            </wp:positionV>
            <wp:extent cx="120015" cy="8255"/>
            <wp:effectExtent l="0" t="0" r="0" b="0"/>
            <wp:wrapNone/>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17312" behindDoc="1" locked="0" layoutInCell="0" allowOverlap="1" wp14:anchorId="6EE4EEA5" wp14:editId="5FA42DBF">
            <wp:simplePos x="0" y="0"/>
            <wp:positionH relativeFrom="column">
              <wp:posOffset>2259965</wp:posOffset>
            </wp:positionH>
            <wp:positionV relativeFrom="paragraph">
              <wp:posOffset>-3119755</wp:posOffset>
            </wp:positionV>
            <wp:extent cx="120015" cy="8255"/>
            <wp:effectExtent l="0" t="0" r="0" b="0"/>
            <wp:wrapNone/>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18336" behindDoc="1" locked="0" layoutInCell="0" allowOverlap="1" wp14:anchorId="387BD154" wp14:editId="011A4E4C">
            <wp:simplePos x="0" y="0"/>
            <wp:positionH relativeFrom="column">
              <wp:posOffset>1625600</wp:posOffset>
            </wp:positionH>
            <wp:positionV relativeFrom="paragraph">
              <wp:posOffset>-3119755</wp:posOffset>
            </wp:positionV>
            <wp:extent cx="68580" cy="8255"/>
            <wp:effectExtent l="0" t="0" r="0" b="0"/>
            <wp:wrapNone/>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919360" behindDoc="1" locked="0" layoutInCell="0" allowOverlap="1" wp14:anchorId="693A77B9" wp14:editId="030FE44E">
            <wp:simplePos x="0" y="0"/>
            <wp:positionH relativeFrom="column">
              <wp:posOffset>2259965</wp:posOffset>
            </wp:positionH>
            <wp:positionV relativeFrom="paragraph">
              <wp:posOffset>-4653915</wp:posOffset>
            </wp:positionV>
            <wp:extent cx="120015" cy="8890"/>
            <wp:effectExtent l="0" t="0" r="0" b="0"/>
            <wp:wrapNone/>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0384" behindDoc="1" locked="0" layoutInCell="0" allowOverlap="1" wp14:anchorId="13B63917" wp14:editId="50B8D60A">
            <wp:simplePos x="0" y="0"/>
            <wp:positionH relativeFrom="column">
              <wp:posOffset>1625600</wp:posOffset>
            </wp:positionH>
            <wp:positionV relativeFrom="paragraph">
              <wp:posOffset>-4653915</wp:posOffset>
            </wp:positionV>
            <wp:extent cx="68580" cy="8890"/>
            <wp:effectExtent l="0" t="0" r="0" b="0"/>
            <wp:wrapNone/>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921408" behindDoc="1" locked="0" layoutInCell="0" allowOverlap="1" wp14:anchorId="5DF80E54" wp14:editId="104A9E69">
            <wp:simplePos x="0" y="0"/>
            <wp:positionH relativeFrom="column">
              <wp:posOffset>4925695</wp:posOffset>
            </wp:positionH>
            <wp:positionV relativeFrom="paragraph">
              <wp:posOffset>-4653915</wp:posOffset>
            </wp:positionV>
            <wp:extent cx="120015" cy="8890"/>
            <wp:effectExtent l="0" t="0" r="0" b="0"/>
            <wp:wrapNone/>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2432" behindDoc="1" locked="0" layoutInCell="0" allowOverlap="1" wp14:anchorId="19ABD938" wp14:editId="70B90039">
            <wp:simplePos x="0" y="0"/>
            <wp:positionH relativeFrom="column">
              <wp:posOffset>4291330</wp:posOffset>
            </wp:positionH>
            <wp:positionV relativeFrom="paragraph">
              <wp:posOffset>-4653915</wp:posOffset>
            </wp:positionV>
            <wp:extent cx="120015" cy="8890"/>
            <wp:effectExtent l="0" t="0" r="0" b="0"/>
            <wp:wrapNone/>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3456" behindDoc="1" locked="0" layoutInCell="0" allowOverlap="1" wp14:anchorId="044A8478" wp14:editId="39C8A984">
            <wp:simplePos x="0" y="0"/>
            <wp:positionH relativeFrom="column">
              <wp:posOffset>3656965</wp:posOffset>
            </wp:positionH>
            <wp:positionV relativeFrom="paragraph">
              <wp:posOffset>-4653915</wp:posOffset>
            </wp:positionV>
            <wp:extent cx="120015" cy="8890"/>
            <wp:effectExtent l="0" t="0" r="0" b="0"/>
            <wp:wrapNone/>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4480" behindDoc="1" locked="0" layoutInCell="0" allowOverlap="1" wp14:anchorId="621BF016" wp14:editId="64D6729A">
            <wp:simplePos x="0" y="0"/>
            <wp:positionH relativeFrom="column">
              <wp:posOffset>2945765</wp:posOffset>
            </wp:positionH>
            <wp:positionV relativeFrom="paragraph">
              <wp:posOffset>-4653915</wp:posOffset>
            </wp:positionV>
            <wp:extent cx="120015" cy="8890"/>
            <wp:effectExtent l="0" t="0" r="0" b="0"/>
            <wp:wrapNone/>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5504" behindDoc="1" locked="0" layoutInCell="0" allowOverlap="1" wp14:anchorId="11F76C65" wp14:editId="5C060820">
            <wp:simplePos x="0" y="0"/>
            <wp:positionH relativeFrom="column">
              <wp:posOffset>4925695</wp:posOffset>
            </wp:positionH>
            <wp:positionV relativeFrom="paragraph">
              <wp:posOffset>-256540</wp:posOffset>
            </wp:positionV>
            <wp:extent cx="120015" cy="8890"/>
            <wp:effectExtent l="0" t="0" r="0" b="0"/>
            <wp:wrapNone/>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6528" behindDoc="1" locked="0" layoutInCell="0" allowOverlap="1" wp14:anchorId="6E729E9F" wp14:editId="3E3C224A">
            <wp:simplePos x="0" y="0"/>
            <wp:positionH relativeFrom="column">
              <wp:posOffset>4291330</wp:posOffset>
            </wp:positionH>
            <wp:positionV relativeFrom="paragraph">
              <wp:posOffset>-256540</wp:posOffset>
            </wp:positionV>
            <wp:extent cx="120015" cy="8890"/>
            <wp:effectExtent l="0" t="0" r="0" b="0"/>
            <wp:wrapNone/>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7552" behindDoc="1" locked="0" layoutInCell="0" allowOverlap="1" wp14:anchorId="23FC3359" wp14:editId="1D4A953B">
            <wp:simplePos x="0" y="0"/>
            <wp:positionH relativeFrom="column">
              <wp:posOffset>3656965</wp:posOffset>
            </wp:positionH>
            <wp:positionV relativeFrom="paragraph">
              <wp:posOffset>-256540</wp:posOffset>
            </wp:positionV>
            <wp:extent cx="120015" cy="8890"/>
            <wp:effectExtent l="0" t="0" r="0" b="0"/>
            <wp:wrapNone/>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8576" behindDoc="1" locked="0" layoutInCell="0" allowOverlap="1" wp14:anchorId="514BBF3D" wp14:editId="61F479F3">
            <wp:simplePos x="0" y="0"/>
            <wp:positionH relativeFrom="column">
              <wp:posOffset>2945765</wp:posOffset>
            </wp:positionH>
            <wp:positionV relativeFrom="paragraph">
              <wp:posOffset>-256540</wp:posOffset>
            </wp:positionV>
            <wp:extent cx="120015" cy="8890"/>
            <wp:effectExtent l="0" t="0" r="0" b="0"/>
            <wp:wrapNone/>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29600" behindDoc="1" locked="0" layoutInCell="0" allowOverlap="1" wp14:anchorId="7AF7439A" wp14:editId="7AE97376">
            <wp:simplePos x="0" y="0"/>
            <wp:positionH relativeFrom="column">
              <wp:posOffset>2191385</wp:posOffset>
            </wp:positionH>
            <wp:positionV relativeFrom="paragraph">
              <wp:posOffset>-256540</wp:posOffset>
            </wp:positionV>
            <wp:extent cx="120015" cy="8890"/>
            <wp:effectExtent l="0" t="0" r="0" b="0"/>
            <wp:wrapNone/>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41"/>
                    <a:srcRect/>
                    <a:stretch>
                      <a:fillRect/>
                    </a:stretch>
                  </pic:blipFill>
                  <pic:spPr bwMode="auto">
                    <a:xfrm>
                      <a:off x="0" y="0"/>
                      <a:ext cx="120015" cy="8890"/>
                    </a:xfrm>
                    <a:prstGeom prst="rect">
                      <a:avLst/>
                    </a:prstGeom>
                    <a:noFill/>
                  </pic:spPr>
                </pic:pic>
              </a:graphicData>
            </a:graphic>
          </wp:anchor>
        </w:drawing>
      </w:r>
      <w:r>
        <w:rPr>
          <w:noProof/>
          <w:sz w:val="20"/>
          <w:szCs w:val="20"/>
        </w:rPr>
        <w:drawing>
          <wp:anchor distT="0" distB="0" distL="114300" distR="114300" simplePos="0" relativeHeight="251930624" behindDoc="1" locked="0" layoutInCell="0" allowOverlap="1" wp14:anchorId="68FF7445" wp14:editId="2B1C6564">
            <wp:simplePos x="0" y="0"/>
            <wp:positionH relativeFrom="column">
              <wp:posOffset>1625600</wp:posOffset>
            </wp:positionH>
            <wp:positionV relativeFrom="paragraph">
              <wp:posOffset>-256540</wp:posOffset>
            </wp:positionV>
            <wp:extent cx="68580" cy="8890"/>
            <wp:effectExtent l="0" t="0" r="0" b="0"/>
            <wp:wrapNone/>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931648" behindDoc="1" locked="0" layoutInCell="0" allowOverlap="1" wp14:anchorId="7B6A7D80" wp14:editId="3F5D7EFA">
            <wp:simplePos x="0" y="0"/>
            <wp:positionH relativeFrom="column">
              <wp:posOffset>2191385</wp:posOffset>
            </wp:positionH>
            <wp:positionV relativeFrom="paragraph">
              <wp:posOffset>-1790700</wp:posOffset>
            </wp:positionV>
            <wp:extent cx="120015" cy="8255"/>
            <wp:effectExtent l="0" t="0" r="0" b="0"/>
            <wp:wrapNone/>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32672" behindDoc="1" locked="0" layoutInCell="0" allowOverlap="1" wp14:anchorId="00DD10D2" wp14:editId="3BDAED28">
            <wp:simplePos x="0" y="0"/>
            <wp:positionH relativeFrom="column">
              <wp:posOffset>1625600</wp:posOffset>
            </wp:positionH>
            <wp:positionV relativeFrom="paragraph">
              <wp:posOffset>-1790700</wp:posOffset>
            </wp:positionV>
            <wp:extent cx="68580" cy="8255"/>
            <wp:effectExtent l="0" t="0" r="0" b="0"/>
            <wp:wrapNone/>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933696" behindDoc="1" locked="0" layoutInCell="0" allowOverlap="1" wp14:anchorId="58C8D918" wp14:editId="2C3D508D">
            <wp:simplePos x="0" y="0"/>
            <wp:positionH relativeFrom="column">
              <wp:posOffset>4925695</wp:posOffset>
            </wp:positionH>
            <wp:positionV relativeFrom="paragraph">
              <wp:posOffset>-1790700</wp:posOffset>
            </wp:positionV>
            <wp:extent cx="120015" cy="8255"/>
            <wp:effectExtent l="0" t="0" r="0" b="0"/>
            <wp:wrapNone/>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34720" behindDoc="1" locked="0" layoutInCell="0" allowOverlap="1" wp14:anchorId="4747FB1A" wp14:editId="2F78F208">
            <wp:simplePos x="0" y="0"/>
            <wp:positionH relativeFrom="column">
              <wp:posOffset>4291330</wp:posOffset>
            </wp:positionH>
            <wp:positionV relativeFrom="paragraph">
              <wp:posOffset>-1790700</wp:posOffset>
            </wp:positionV>
            <wp:extent cx="120015" cy="8255"/>
            <wp:effectExtent l="0" t="0" r="0" b="0"/>
            <wp:wrapNone/>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35744" behindDoc="1" locked="0" layoutInCell="0" allowOverlap="1" wp14:anchorId="4DE9F1B9" wp14:editId="22EB37BA">
            <wp:simplePos x="0" y="0"/>
            <wp:positionH relativeFrom="column">
              <wp:posOffset>3656965</wp:posOffset>
            </wp:positionH>
            <wp:positionV relativeFrom="paragraph">
              <wp:posOffset>-1790700</wp:posOffset>
            </wp:positionV>
            <wp:extent cx="120015" cy="8255"/>
            <wp:effectExtent l="0" t="0" r="0" b="0"/>
            <wp:wrapNone/>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36768" behindDoc="1" locked="0" layoutInCell="0" allowOverlap="1" wp14:anchorId="34C5952A" wp14:editId="1AF847BF">
            <wp:simplePos x="0" y="0"/>
            <wp:positionH relativeFrom="column">
              <wp:posOffset>2945765</wp:posOffset>
            </wp:positionH>
            <wp:positionV relativeFrom="paragraph">
              <wp:posOffset>-1790700</wp:posOffset>
            </wp:positionV>
            <wp:extent cx="120015" cy="8255"/>
            <wp:effectExtent l="0" t="0" r="0" b="0"/>
            <wp:wrapNone/>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p>
    <w:p w14:paraId="32745BA6" w14:textId="77777777" w:rsidR="00D1587D" w:rsidRDefault="00D1587D">
      <w:pPr>
        <w:sectPr w:rsidR="00D1587D">
          <w:pgSz w:w="11900" w:h="16838"/>
          <w:pgMar w:top="265" w:right="1440" w:bottom="1440" w:left="1440" w:header="0" w:footer="0" w:gutter="0"/>
          <w:cols w:space="720" w:equalWidth="0">
            <w:col w:w="9019"/>
          </w:cols>
        </w:sectPr>
      </w:pPr>
    </w:p>
    <w:p w14:paraId="34ECBCDB" w14:textId="77777777" w:rsidR="00D1587D" w:rsidRDefault="00D1587D">
      <w:pPr>
        <w:spacing w:line="202" w:lineRule="exact"/>
        <w:rPr>
          <w:sz w:val="20"/>
          <w:szCs w:val="20"/>
        </w:rPr>
      </w:pPr>
    </w:p>
    <w:p w14:paraId="7915F752" w14:textId="77777777" w:rsidR="00D1587D" w:rsidRDefault="00410D07">
      <w:pPr>
        <w:ind w:right="19"/>
        <w:jc w:val="center"/>
        <w:rPr>
          <w:sz w:val="20"/>
          <w:szCs w:val="20"/>
        </w:rPr>
      </w:pPr>
      <w:r>
        <w:rPr>
          <w:rFonts w:ascii="Arial" w:eastAsia="Arial" w:hAnsi="Arial" w:cs="Arial"/>
          <w:sz w:val="16"/>
          <w:szCs w:val="16"/>
        </w:rPr>
        <w:t>122</w:t>
      </w:r>
    </w:p>
    <w:p w14:paraId="5ABDF5DB" w14:textId="77777777" w:rsidR="00D1587D" w:rsidRDefault="00410D07">
      <w:pPr>
        <w:spacing w:line="20" w:lineRule="exact"/>
        <w:rPr>
          <w:sz w:val="20"/>
          <w:szCs w:val="20"/>
        </w:rPr>
      </w:pPr>
      <w:r>
        <w:rPr>
          <w:noProof/>
          <w:sz w:val="20"/>
          <w:szCs w:val="20"/>
        </w:rPr>
        <w:drawing>
          <wp:anchor distT="0" distB="0" distL="114300" distR="114300" simplePos="0" relativeHeight="251937792" behindDoc="1" locked="0" layoutInCell="0" allowOverlap="1" wp14:anchorId="41E53BE9" wp14:editId="1238251A">
            <wp:simplePos x="0" y="0"/>
            <wp:positionH relativeFrom="column">
              <wp:posOffset>-636905</wp:posOffset>
            </wp:positionH>
            <wp:positionV relativeFrom="paragraph">
              <wp:posOffset>140970</wp:posOffset>
            </wp:positionV>
            <wp:extent cx="6995160" cy="17145"/>
            <wp:effectExtent l="0" t="0" r="0" b="0"/>
            <wp:wrapNone/>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48DB025"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380" w:name="page381"/>
    <w:bookmarkEnd w:id="380"/>
    <w:p w14:paraId="0AAB504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932E57E" w14:textId="77777777" w:rsidR="00D1587D" w:rsidRDefault="00D1587D">
      <w:pPr>
        <w:spacing w:line="131" w:lineRule="exact"/>
        <w:rPr>
          <w:sz w:val="20"/>
          <w:szCs w:val="20"/>
        </w:rPr>
      </w:pPr>
    </w:p>
    <w:p w14:paraId="609AF3BB" w14:textId="77777777" w:rsidR="00D1587D" w:rsidRDefault="00410D07">
      <w:pPr>
        <w:ind w:left="300"/>
        <w:rPr>
          <w:sz w:val="20"/>
          <w:szCs w:val="20"/>
        </w:rPr>
      </w:pPr>
      <w:r>
        <w:rPr>
          <w:rFonts w:ascii="Arial" w:eastAsia="Arial" w:hAnsi="Arial" w:cs="Arial"/>
          <w:b/>
          <w:bCs/>
          <w:i/>
          <w:iCs/>
          <w:sz w:val="18"/>
          <w:szCs w:val="18"/>
        </w:rPr>
        <w:t>Gregory Unis</w:t>
      </w:r>
    </w:p>
    <w:p w14:paraId="3385286C" w14:textId="77777777" w:rsidR="00D1587D" w:rsidRDefault="00D1587D">
      <w:pPr>
        <w:spacing w:line="177"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1280"/>
        <w:gridCol w:w="980"/>
        <w:gridCol w:w="100"/>
        <w:gridCol w:w="840"/>
        <w:gridCol w:w="60"/>
        <w:gridCol w:w="120"/>
        <w:gridCol w:w="60"/>
        <w:gridCol w:w="900"/>
        <w:gridCol w:w="180"/>
        <w:gridCol w:w="940"/>
        <w:gridCol w:w="180"/>
        <w:gridCol w:w="160"/>
        <w:gridCol w:w="660"/>
        <w:gridCol w:w="180"/>
        <w:gridCol w:w="100"/>
        <w:gridCol w:w="720"/>
        <w:gridCol w:w="180"/>
        <w:gridCol w:w="300"/>
        <w:gridCol w:w="480"/>
        <w:gridCol w:w="20"/>
      </w:tblGrid>
      <w:tr w:rsidR="00D1587D" w14:paraId="05B390F5" w14:textId="77777777">
        <w:trPr>
          <w:trHeight w:val="161"/>
        </w:trPr>
        <w:tc>
          <w:tcPr>
            <w:tcW w:w="1280" w:type="dxa"/>
            <w:vAlign w:val="bottom"/>
          </w:tcPr>
          <w:p w14:paraId="166C88C2" w14:textId="77777777" w:rsidR="00D1587D" w:rsidRDefault="00D1587D">
            <w:pPr>
              <w:rPr>
                <w:sz w:val="14"/>
                <w:szCs w:val="14"/>
              </w:rPr>
            </w:pPr>
          </w:p>
        </w:tc>
        <w:tc>
          <w:tcPr>
            <w:tcW w:w="980" w:type="dxa"/>
            <w:vAlign w:val="bottom"/>
          </w:tcPr>
          <w:p w14:paraId="5CC745EE" w14:textId="77777777" w:rsidR="00D1587D" w:rsidRDefault="00D1587D">
            <w:pPr>
              <w:rPr>
                <w:sz w:val="14"/>
                <w:szCs w:val="14"/>
              </w:rPr>
            </w:pPr>
          </w:p>
        </w:tc>
        <w:tc>
          <w:tcPr>
            <w:tcW w:w="100" w:type="dxa"/>
            <w:vAlign w:val="bottom"/>
          </w:tcPr>
          <w:p w14:paraId="63D291ED" w14:textId="77777777" w:rsidR="00D1587D" w:rsidRDefault="00D1587D">
            <w:pPr>
              <w:rPr>
                <w:sz w:val="14"/>
                <w:szCs w:val="14"/>
              </w:rPr>
            </w:pPr>
          </w:p>
        </w:tc>
        <w:tc>
          <w:tcPr>
            <w:tcW w:w="2160" w:type="dxa"/>
            <w:gridSpan w:val="6"/>
            <w:vAlign w:val="bottom"/>
          </w:tcPr>
          <w:p w14:paraId="20352277" w14:textId="77777777" w:rsidR="00D1587D" w:rsidRDefault="00410D07">
            <w:pPr>
              <w:ind w:right="260"/>
              <w:jc w:val="right"/>
              <w:rPr>
                <w:sz w:val="20"/>
                <w:szCs w:val="20"/>
              </w:rPr>
            </w:pPr>
            <w:r>
              <w:rPr>
                <w:rFonts w:ascii="Arial" w:eastAsia="Arial" w:hAnsi="Arial" w:cs="Arial"/>
                <w:b/>
                <w:bCs/>
                <w:w w:val="96"/>
                <w:sz w:val="14"/>
                <w:szCs w:val="14"/>
              </w:rPr>
              <w:t>Involuntary Without Cause or</w:t>
            </w:r>
          </w:p>
        </w:tc>
        <w:tc>
          <w:tcPr>
            <w:tcW w:w="940" w:type="dxa"/>
            <w:vAlign w:val="bottom"/>
          </w:tcPr>
          <w:p w14:paraId="31780241" w14:textId="77777777" w:rsidR="00D1587D" w:rsidRDefault="00410D07">
            <w:pPr>
              <w:jc w:val="center"/>
              <w:rPr>
                <w:sz w:val="20"/>
                <w:szCs w:val="20"/>
              </w:rPr>
            </w:pPr>
            <w:r>
              <w:rPr>
                <w:rFonts w:ascii="Arial" w:eastAsia="Arial" w:hAnsi="Arial" w:cs="Arial"/>
                <w:b/>
                <w:bCs/>
                <w:w w:val="98"/>
                <w:sz w:val="14"/>
                <w:szCs w:val="14"/>
              </w:rPr>
              <w:t>Involuntary</w:t>
            </w:r>
          </w:p>
        </w:tc>
        <w:tc>
          <w:tcPr>
            <w:tcW w:w="180" w:type="dxa"/>
            <w:vAlign w:val="bottom"/>
          </w:tcPr>
          <w:p w14:paraId="63FB34FA" w14:textId="77777777" w:rsidR="00D1587D" w:rsidRDefault="00D1587D">
            <w:pPr>
              <w:rPr>
                <w:sz w:val="14"/>
                <w:szCs w:val="14"/>
              </w:rPr>
            </w:pPr>
          </w:p>
        </w:tc>
        <w:tc>
          <w:tcPr>
            <w:tcW w:w="160" w:type="dxa"/>
            <w:vAlign w:val="bottom"/>
          </w:tcPr>
          <w:p w14:paraId="372C51F5" w14:textId="77777777" w:rsidR="00D1587D" w:rsidRDefault="00D1587D">
            <w:pPr>
              <w:rPr>
                <w:sz w:val="14"/>
                <w:szCs w:val="14"/>
              </w:rPr>
            </w:pPr>
          </w:p>
        </w:tc>
        <w:tc>
          <w:tcPr>
            <w:tcW w:w="660" w:type="dxa"/>
            <w:vAlign w:val="bottom"/>
          </w:tcPr>
          <w:p w14:paraId="3A50F680" w14:textId="77777777" w:rsidR="00D1587D" w:rsidRDefault="00D1587D">
            <w:pPr>
              <w:rPr>
                <w:sz w:val="14"/>
                <w:szCs w:val="14"/>
              </w:rPr>
            </w:pPr>
          </w:p>
        </w:tc>
        <w:tc>
          <w:tcPr>
            <w:tcW w:w="180" w:type="dxa"/>
            <w:vAlign w:val="bottom"/>
          </w:tcPr>
          <w:p w14:paraId="4F0D65D0" w14:textId="77777777" w:rsidR="00D1587D" w:rsidRDefault="00D1587D">
            <w:pPr>
              <w:rPr>
                <w:sz w:val="14"/>
                <w:szCs w:val="14"/>
              </w:rPr>
            </w:pPr>
          </w:p>
        </w:tc>
        <w:tc>
          <w:tcPr>
            <w:tcW w:w="100" w:type="dxa"/>
            <w:vAlign w:val="bottom"/>
          </w:tcPr>
          <w:p w14:paraId="5007CA2F" w14:textId="77777777" w:rsidR="00D1587D" w:rsidRDefault="00D1587D">
            <w:pPr>
              <w:rPr>
                <w:sz w:val="14"/>
                <w:szCs w:val="14"/>
              </w:rPr>
            </w:pPr>
          </w:p>
        </w:tc>
        <w:tc>
          <w:tcPr>
            <w:tcW w:w="720" w:type="dxa"/>
            <w:vAlign w:val="bottom"/>
          </w:tcPr>
          <w:p w14:paraId="55E43CF2" w14:textId="77777777" w:rsidR="00D1587D" w:rsidRDefault="00D1587D">
            <w:pPr>
              <w:rPr>
                <w:sz w:val="14"/>
                <w:szCs w:val="14"/>
              </w:rPr>
            </w:pPr>
          </w:p>
        </w:tc>
        <w:tc>
          <w:tcPr>
            <w:tcW w:w="180" w:type="dxa"/>
            <w:vAlign w:val="bottom"/>
          </w:tcPr>
          <w:p w14:paraId="300301E2" w14:textId="77777777" w:rsidR="00D1587D" w:rsidRDefault="00D1587D">
            <w:pPr>
              <w:rPr>
                <w:sz w:val="14"/>
                <w:szCs w:val="14"/>
              </w:rPr>
            </w:pPr>
          </w:p>
        </w:tc>
        <w:tc>
          <w:tcPr>
            <w:tcW w:w="300" w:type="dxa"/>
            <w:vAlign w:val="bottom"/>
          </w:tcPr>
          <w:p w14:paraId="7E6BF924" w14:textId="77777777" w:rsidR="00D1587D" w:rsidRDefault="00D1587D">
            <w:pPr>
              <w:rPr>
                <w:sz w:val="14"/>
                <w:szCs w:val="14"/>
              </w:rPr>
            </w:pPr>
          </w:p>
        </w:tc>
        <w:tc>
          <w:tcPr>
            <w:tcW w:w="480" w:type="dxa"/>
            <w:vAlign w:val="bottom"/>
          </w:tcPr>
          <w:p w14:paraId="0F41C335" w14:textId="77777777" w:rsidR="00D1587D" w:rsidRDefault="00D1587D">
            <w:pPr>
              <w:rPr>
                <w:sz w:val="14"/>
                <w:szCs w:val="14"/>
              </w:rPr>
            </w:pPr>
          </w:p>
        </w:tc>
        <w:tc>
          <w:tcPr>
            <w:tcW w:w="0" w:type="dxa"/>
            <w:vAlign w:val="bottom"/>
          </w:tcPr>
          <w:p w14:paraId="68EA75BC" w14:textId="77777777" w:rsidR="00D1587D" w:rsidRDefault="00D1587D">
            <w:pPr>
              <w:rPr>
                <w:sz w:val="1"/>
                <w:szCs w:val="1"/>
              </w:rPr>
            </w:pPr>
          </w:p>
        </w:tc>
      </w:tr>
      <w:tr w:rsidR="00D1587D" w14:paraId="5C194F93" w14:textId="77777777">
        <w:trPr>
          <w:trHeight w:val="148"/>
        </w:trPr>
        <w:tc>
          <w:tcPr>
            <w:tcW w:w="1280" w:type="dxa"/>
            <w:vAlign w:val="bottom"/>
          </w:tcPr>
          <w:p w14:paraId="54CCAA72" w14:textId="77777777" w:rsidR="00D1587D" w:rsidRDefault="00D1587D">
            <w:pPr>
              <w:rPr>
                <w:sz w:val="12"/>
                <w:szCs w:val="12"/>
              </w:rPr>
            </w:pPr>
          </w:p>
        </w:tc>
        <w:tc>
          <w:tcPr>
            <w:tcW w:w="980" w:type="dxa"/>
            <w:vAlign w:val="bottom"/>
          </w:tcPr>
          <w:p w14:paraId="4AB3AE08" w14:textId="77777777" w:rsidR="00D1587D" w:rsidRDefault="00D1587D">
            <w:pPr>
              <w:rPr>
                <w:sz w:val="12"/>
                <w:szCs w:val="12"/>
              </w:rPr>
            </w:pPr>
          </w:p>
        </w:tc>
        <w:tc>
          <w:tcPr>
            <w:tcW w:w="100" w:type="dxa"/>
            <w:vAlign w:val="bottom"/>
          </w:tcPr>
          <w:p w14:paraId="6A2841D8" w14:textId="77777777" w:rsidR="00D1587D" w:rsidRDefault="00D1587D">
            <w:pPr>
              <w:rPr>
                <w:sz w:val="12"/>
                <w:szCs w:val="12"/>
              </w:rPr>
            </w:pPr>
          </w:p>
        </w:tc>
        <w:tc>
          <w:tcPr>
            <w:tcW w:w="2160" w:type="dxa"/>
            <w:gridSpan w:val="6"/>
            <w:vAlign w:val="bottom"/>
          </w:tcPr>
          <w:p w14:paraId="2572EC9D" w14:textId="77777777" w:rsidR="00D1587D" w:rsidRDefault="00410D07">
            <w:pPr>
              <w:spacing w:line="149" w:lineRule="exact"/>
              <w:ind w:right="260"/>
              <w:jc w:val="right"/>
              <w:rPr>
                <w:sz w:val="20"/>
                <w:szCs w:val="20"/>
              </w:rPr>
            </w:pPr>
            <w:r>
              <w:rPr>
                <w:rFonts w:ascii="Arial" w:eastAsia="Arial" w:hAnsi="Arial" w:cs="Arial"/>
                <w:b/>
                <w:bCs/>
                <w:w w:val="97"/>
                <w:sz w:val="14"/>
                <w:szCs w:val="14"/>
              </w:rPr>
              <w:t xml:space="preserve">Voluntary With Good </w:t>
            </w:r>
            <w:r>
              <w:rPr>
                <w:rFonts w:ascii="Arial" w:eastAsia="Arial" w:hAnsi="Arial" w:cs="Arial"/>
                <w:b/>
                <w:bCs/>
                <w:w w:val="97"/>
                <w:sz w:val="14"/>
                <w:szCs w:val="14"/>
              </w:rPr>
              <w:t>Reason</w:t>
            </w:r>
          </w:p>
        </w:tc>
        <w:tc>
          <w:tcPr>
            <w:tcW w:w="940" w:type="dxa"/>
            <w:vAlign w:val="bottom"/>
          </w:tcPr>
          <w:p w14:paraId="44EC0127" w14:textId="77777777" w:rsidR="00D1587D" w:rsidRDefault="00410D07">
            <w:pPr>
              <w:spacing w:line="149" w:lineRule="exact"/>
              <w:jc w:val="center"/>
              <w:rPr>
                <w:sz w:val="20"/>
                <w:szCs w:val="20"/>
              </w:rPr>
            </w:pPr>
            <w:r>
              <w:rPr>
                <w:rFonts w:ascii="Arial" w:eastAsia="Arial" w:hAnsi="Arial" w:cs="Arial"/>
                <w:b/>
                <w:bCs/>
                <w:w w:val="93"/>
                <w:sz w:val="14"/>
                <w:szCs w:val="14"/>
              </w:rPr>
              <w:t>Without Cause</w:t>
            </w:r>
          </w:p>
        </w:tc>
        <w:tc>
          <w:tcPr>
            <w:tcW w:w="180" w:type="dxa"/>
            <w:vAlign w:val="bottom"/>
          </w:tcPr>
          <w:p w14:paraId="2CF4FEE6" w14:textId="77777777" w:rsidR="00D1587D" w:rsidRDefault="00D1587D">
            <w:pPr>
              <w:rPr>
                <w:sz w:val="12"/>
                <w:szCs w:val="12"/>
              </w:rPr>
            </w:pPr>
          </w:p>
        </w:tc>
        <w:tc>
          <w:tcPr>
            <w:tcW w:w="160" w:type="dxa"/>
            <w:vAlign w:val="bottom"/>
          </w:tcPr>
          <w:p w14:paraId="4DE38D34" w14:textId="77777777" w:rsidR="00D1587D" w:rsidRDefault="00D1587D">
            <w:pPr>
              <w:rPr>
                <w:sz w:val="12"/>
                <w:szCs w:val="12"/>
              </w:rPr>
            </w:pPr>
          </w:p>
        </w:tc>
        <w:tc>
          <w:tcPr>
            <w:tcW w:w="660" w:type="dxa"/>
            <w:vAlign w:val="bottom"/>
          </w:tcPr>
          <w:p w14:paraId="2DACE0F4" w14:textId="77777777" w:rsidR="00D1587D" w:rsidRDefault="00D1587D">
            <w:pPr>
              <w:rPr>
                <w:sz w:val="12"/>
                <w:szCs w:val="12"/>
              </w:rPr>
            </w:pPr>
          </w:p>
        </w:tc>
        <w:tc>
          <w:tcPr>
            <w:tcW w:w="180" w:type="dxa"/>
            <w:vAlign w:val="bottom"/>
          </w:tcPr>
          <w:p w14:paraId="5C3EBB0B" w14:textId="77777777" w:rsidR="00D1587D" w:rsidRDefault="00D1587D">
            <w:pPr>
              <w:rPr>
                <w:sz w:val="12"/>
                <w:szCs w:val="12"/>
              </w:rPr>
            </w:pPr>
          </w:p>
        </w:tc>
        <w:tc>
          <w:tcPr>
            <w:tcW w:w="100" w:type="dxa"/>
            <w:vAlign w:val="bottom"/>
          </w:tcPr>
          <w:p w14:paraId="6D9A7CFE" w14:textId="77777777" w:rsidR="00D1587D" w:rsidRDefault="00D1587D">
            <w:pPr>
              <w:rPr>
                <w:sz w:val="12"/>
                <w:szCs w:val="12"/>
              </w:rPr>
            </w:pPr>
          </w:p>
        </w:tc>
        <w:tc>
          <w:tcPr>
            <w:tcW w:w="720" w:type="dxa"/>
            <w:vAlign w:val="bottom"/>
          </w:tcPr>
          <w:p w14:paraId="5ABA20F8" w14:textId="77777777" w:rsidR="00D1587D" w:rsidRDefault="00D1587D">
            <w:pPr>
              <w:rPr>
                <w:sz w:val="12"/>
                <w:szCs w:val="12"/>
              </w:rPr>
            </w:pPr>
          </w:p>
        </w:tc>
        <w:tc>
          <w:tcPr>
            <w:tcW w:w="180" w:type="dxa"/>
            <w:vAlign w:val="bottom"/>
          </w:tcPr>
          <w:p w14:paraId="318FBE4F" w14:textId="77777777" w:rsidR="00D1587D" w:rsidRDefault="00D1587D">
            <w:pPr>
              <w:rPr>
                <w:sz w:val="12"/>
                <w:szCs w:val="12"/>
              </w:rPr>
            </w:pPr>
          </w:p>
        </w:tc>
        <w:tc>
          <w:tcPr>
            <w:tcW w:w="300" w:type="dxa"/>
            <w:vAlign w:val="bottom"/>
          </w:tcPr>
          <w:p w14:paraId="7284ABF8" w14:textId="77777777" w:rsidR="00D1587D" w:rsidRDefault="00D1587D">
            <w:pPr>
              <w:rPr>
                <w:sz w:val="12"/>
                <w:szCs w:val="12"/>
              </w:rPr>
            </w:pPr>
          </w:p>
        </w:tc>
        <w:tc>
          <w:tcPr>
            <w:tcW w:w="480" w:type="dxa"/>
            <w:vAlign w:val="bottom"/>
          </w:tcPr>
          <w:p w14:paraId="66C6500A" w14:textId="77777777" w:rsidR="00D1587D" w:rsidRDefault="00D1587D">
            <w:pPr>
              <w:rPr>
                <w:sz w:val="12"/>
                <w:szCs w:val="12"/>
              </w:rPr>
            </w:pPr>
          </w:p>
        </w:tc>
        <w:tc>
          <w:tcPr>
            <w:tcW w:w="0" w:type="dxa"/>
            <w:vAlign w:val="bottom"/>
          </w:tcPr>
          <w:p w14:paraId="60F96EB7" w14:textId="77777777" w:rsidR="00D1587D" w:rsidRDefault="00D1587D">
            <w:pPr>
              <w:rPr>
                <w:sz w:val="1"/>
                <w:szCs w:val="1"/>
              </w:rPr>
            </w:pPr>
          </w:p>
        </w:tc>
      </w:tr>
      <w:tr w:rsidR="00D1587D" w14:paraId="2B112F08" w14:textId="77777777">
        <w:trPr>
          <w:trHeight w:val="90"/>
        </w:trPr>
        <w:tc>
          <w:tcPr>
            <w:tcW w:w="1280" w:type="dxa"/>
            <w:vAlign w:val="bottom"/>
          </w:tcPr>
          <w:p w14:paraId="520EA639" w14:textId="77777777" w:rsidR="00D1587D" w:rsidRDefault="00D1587D">
            <w:pPr>
              <w:rPr>
                <w:sz w:val="7"/>
                <w:szCs w:val="7"/>
              </w:rPr>
            </w:pPr>
          </w:p>
        </w:tc>
        <w:tc>
          <w:tcPr>
            <w:tcW w:w="980" w:type="dxa"/>
            <w:vAlign w:val="bottom"/>
          </w:tcPr>
          <w:p w14:paraId="170BC129" w14:textId="77777777" w:rsidR="00D1587D" w:rsidRDefault="00D1587D">
            <w:pPr>
              <w:rPr>
                <w:sz w:val="7"/>
                <w:szCs w:val="7"/>
              </w:rPr>
            </w:pPr>
          </w:p>
        </w:tc>
        <w:tc>
          <w:tcPr>
            <w:tcW w:w="100" w:type="dxa"/>
            <w:vAlign w:val="bottom"/>
          </w:tcPr>
          <w:p w14:paraId="38FDFD50" w14:textId="77777777" w:rsidR="00D1587D" w:rsidRDefault="00D1587D">
            <w:pPr>
              <w:rPr>
                <w:sz w:val="7"/>
                <w:szCs w:val="7"/>
              </w:rPr>
            </w:pPr>
          </w:p>
        </w:tc>
        <w:tc>
          <w:tcPr>
            <w:tcW w:w="840" w:type="dxa"/>
            <w:tcBorders>
              <w:bottom w:val="single" w:sz="8" w:space="0" w:color="auto"/>
            </w:tcBorders>
            <w:vAlign w:val="bottom"/>
          </w:tcPr>
          <w:p w14:paraId="02EBC17B" w14:textId="77777777" w:rsidR="00D1587D" w:rsidRDefault="00D1587D">
            <w:pPr>
              <w:rPr>
                <w:sz w:val="7"/>
                <w:szCs w:val="7"/>
              </w:rPr>
            </w:pPr>
          </w:p>
        </w:tc>
        <w:tc>
          <w:tcPr>
            <w:tcW w:w="60" w:type="dxa"/>
            <w:tcBorders>
              <w:bottom w:val="single" w:sz="8" w:space="0" w:color="auto"/>
            </w:tcBorders>
            <w:vAlign w:val="bottom"/>
          </w:tcPr>
          <w:p w14:paraId="296A2FE0" w14:textId="77777777" w:rsidR="00D1587D" w:rsidRDefault="00D1587D">
            <w:pPr>
              <w:rPr>
                <w:sz w:val="7"/>
                <w:szCs w:val="7"/>
              </w:rPr>
            </w:pPr>
          </w:p>
        </w:tc>
        <w:tc>
          <w:tcPr>
            <w:tcW w:w="120" w:type="dxa"/>
            <w:tcBorders>
              <w:bottom w:val="single" w:sz="8" w:space="0" w:color="auto"/>
            </w:tcBorders>
            <w:vAlign w:val="bottom"/>
          </w:tcPr>
          <w:p w14:paraId="69BB73F3" w14:textId="77777777" w:rsidR="00D1587D" w:rsidRDefault="00D1587D">
            <w:pPr>
              <w:rPr>
                <w:sz w:val="7"/>
                <w:szCs w:val="7"/>
              </w:rPr>
            </w:pPr>
          </w:p>
        </w:tc>
        <w:tc>
          <w:tcPr>
            <w:tcW w:w="60" w:type="dxa"/>
            <w:tcBorders>
              <w:bottom w:val="single" w:sz="8" w:space="0" w:color="auto"/>
            </w:tcBorders>
            <w:vAlign w:val="bottom"/>
          </w:tcPr>
          <w:p w14:paraId="575C1E5F" w14:textId="77777777" w:rsidR="00D1587D" w:rsidRDefault="00D1587D">
            <w:pPr>
              <w:rPr>
                <w:sz w:val="7"/>
                <w:szCs w:val="7"/>
              </w:rPr>
            </w:pPr>
          </w:p>
        </w:tc>
        <w:tc>
          <w:tcPr>
            <w:tcW w:w="900" w:type="dxa"/>
            <w:tcBorders>
              <w:bottom w:val="single" w:sz="8" w:space="0" w:color="auto"/>
            </w:tcBorders>
            <w:vAlign w:val="bottom"/>
          </w:tcPr>
          <w:p w14:paraId="04060E56" w14:textId="77777777" w:rsidR="00D1587D" w:rsidRDefault="00D1587D">
            <w:pPr>
              <w:rPr>
                <w:sz w:val="7"/>
                <w:szCs w:val="7"/>
              </w:rPr>
            </w:pPr>
          </w:p>
        </w:tc>
        <w:tc>
          <w:tcPr>
            <w:tcW w:w="180" w:type="dxa"/>
            <w:vAlign w:val="bottom"/>
          </w:tcPr>
          <w:p w14:paraId="7760BB53" w14:textId="77777777" w:rsidR="00D1587D" w:rsidRDefault="00D1587D">
            <w:pPr>
              <w:rPr>
                <w:sz w:val="7"/>
                <w:szCs w:val="7"/>
              </w:rPr>
            </w:pPr>
          </w:p>
        </w:tc>
        <w:tc>
          <w:tcPr>
            <w:tcW w:w="940" w:type="dxa"/>
            <w:vMerge w:val="restart"/>
            <w:vAlign w:val="bottom"/>
          </w:tcPr>
          <w:p w14:paraId="54FF674C" w14:textId="77777777" w:rsidR="00D1587D" w:rsidRDefault="00410D07">
            <w:pPr>
              <w:spacing w:line="149" w:lineRule="exact"/>
              <w:jc w:val="center"/>
              <w:rPr>
                <w:sz w:val="20"/>
                <w:szCs w:val="20"/>
              </w:rPr>
            </w:pPr>
            <w:r>
              <w:rPr>
                <w:rFonts w:ascii="Arial" w:eastAsia="Arial" w:hAnsi="Arial" w:cs="Arial"/>
                <w:b/>
                <w:bCs/>
                <w:w w:val="91"/>
                <w:sz w:val="14"/>
                <w:szCs w:val="14"/>
              </w:rPr>
              <w:t>following</w:t>
            </w:r>
          </w:p>
        </w:tc>
        <w:tc>
          <w:tcPr>
            <w:tcW w:w="180" w:type="dxa"/>
            <w:vAlign w:val="bottom"/>
          </w:tcPr>
          <w:p w14:paraId="652AAA18" w14:textId="77777777" w:rsidR="00D1587D" w:rsidRDefault="00D1587D">
            <w:pPr>
              <w:rPr>
                <w:sz w:val="7"/>
                <w:szCs w:val="7"/>
              </w:rPr>
            </w:pPr>
          </w:p>
        </w:tc>
        <w:tc>
          <w:tcPr>
            <w:tcW w:w="160" w:type="dxa"/>
            <w:vAlign w:val="bottom"/>
          </w:tcPr>
          <w:p w14:paraId="30CC529B" w14:textId="77777777" w:rsidR="00D1587D" w:rsidRDefault="00D1587D">
            <w:pPr>
              <w:rPr>
                <w:sz w:val="7"/>
                <w:szCs w:val="7"/>
              </w:rPr>
            </w:pPr>
          </w:p>
        </w:tc>
        <w:tc>
          <w:tcPr>
            <w:tcW w:w="660" w:type="dxa"/>
            <w:vAlign w:val="bottom"/>
          </w:tcPr>
          <w:p w14:paraId="2989CFC3" w14:textId="77777777" w:rsidR="00D1587D" w:rsidRDefault="00D1587D">
            <w:pPr>
              <w:rPr>
                <w:sz w:val="7"/>
                <w:szCs w:val="7"/>
              </w:rPr>
            </w:pPr>
          </w:p>
        </w:tc>
        <w:tc>
          <w:tcPr>
            <w:tcW w:w="180" w:type="dxa"/>
            <w:vAlign w:val="bottom"/>
          </w:tcPr>
          <w:p w14:paraId="26F4424F" w14:textId="77777777" w:rsidR="00D1587D" w:rsidRDefault="00D1587D">
            <w:pPr>
              <w:rPr>
                <w:sz w:val="7"/>
                <w:szCs w:val="7"/>
              </w:rPr>
            </w:pPr>
          </w:p>
        </w:tc>
        <w:tc>
          <w:tcPr>
            <w:tcW w:w="100" w:type="dxa"/>
            <w:vAlign w:val="bottom"/>
          </w:tcPr>
          <w:p w14:paraId="03A09BB5" w14:textId="77777777" w:rsidR="00D1587D" w:rsidRDefault="00D1587D">
            <w:pPr>
              <w:rPr>
                <w:sz w:val="7"/>
                <w:szCs w:val="7"/>
              </w:rPr>
            </w:pPr>
          </w:p>
        </w:tc>
        <w:tc>
          <w:tcPr>
            <w:tcW w:w="720" w:type="dxa"/>
            <w:vAlign w:val="bottom"/>
          </w:tcPr>
          <w:p w14:paraId="43821B69" w14:textId="77777777" w:rsidR="00D1587D" w:rsidRDefault="00D1587D">
            <w:pPr>
              <w:rPr>
                <w:sz w:val="7"/>
                <w:szCs w:val="7"/>
              </w:rPr>
            </w:pPr>
          </w:p>
        </w:tc>
        <w:tc>
          <w:tcPr>
            <w:tcW w:w="180" w:type="dxa"/>
            <w:vAlign w:val="bottom"/>
          </w:tcPr>
          <w:p w14:paraId="71626EDF" w14:textId="77777777" w:rsidR="00D1587D" w:rsidRDefault="00D1587D">
            <w:pPr>
              <w:rPr>
                <w:sz w:val="7"/>
                <w:szCs w:val="7"/>
              </w:rPr>
            </w:pPr>
          </w:p>
        </w:tc>
        <w:tc>
          <w:tcPr>
            <w:tcW w:w="780" w:type="dxa"/>
            <w:gridSpan w:val="2"/>
            <w:vMerge w:val="restart"/>
            <w:vAlign w:val="bottom"/>
          </w:tcPr>
          <w:p w14:paraId="68445825" w14:textId="77777777" w:rsidR="00D1587D" w:rsidRDefault="00410D07">
            <w:pPr>
              <w:spacing w:line="149" w:lineRule="exact"/>
              <w:jc w:val="center"/>
              <w:rPr>
                <w:sz w:val="20"/>
                <w:szCs w:val="20"/>
              </w:rPr>
            </w:pPr>
            <w:r>
              <w:rPr>
                <w:rFonts w:ascii="Arial" w:eastAsia="Arial" w:hAnsi="Arial" w:cs="Arial"/>
                <w:b/>
                <w:bCs/>
                <w:w w:val="95"/>
                <w:sz w:val="14"/>
                <w:szCs w:val="14"/>
              </w:rPr>
              <w:t>Voluntary</w:t>
            </w:r>
          </w:p>
        </w:tc>
        <w:tc>
          <w:tcPr>
            <w:tcW w:w="0" w:type="dxa"/>
            <w:vAlign w:val="bottom"/>
          </w:tcPr>
          <w:p w14:paraId="20F67C74" w14:textId="77777777" w:rsidR="00D1587D" w:rsidRDefault="00D1587D">
            <w:pPr>
              <w:rPr>
                <w:sz w:val="1"/>
                <w:szCs w:val="1"/>
              </w:rPr>
            </w:pPr>
          </w:p>
        </w:tc>
      </w:tr>
      <w:tr w:rsidR="00D1587D" w14:paraId="76E232D0" w14:textId="77777777">
        <w:trPr>
          <w:trHeight w:val="38"/>
        </w:trPr>
        <w:tc>
          <w:tcPr>
            <w:tcW w:w="1280" w:type="dxa"/>
            <w:vAlign w:val="bottom"/>
          </w:tcPr>
          <w:p w14:paraId="4D4604EC" w14:textId="77777777" w:rsidR="00D1587D" w:rsidRDefault="00D1587D">
            <w:pPr>
              <w:rPr>
                <w:sz w:val="3"/>
                <w:szCs w:val="3"/>
              </w:rPr>
            </w:pPr>
          </w:p>
        </w:tc>
        <w:tc>
          <w:tcPr>
            <w:tcW w:w="980" w:type="dxa"/>
            <w:vAlign w:val="bottom"/>
          </w:tcPr>
          <w:p w14:paraId="1237A25C" w14:textId="77777777" w:rsidR="00D1587D" w:rsidRDefault="00D1587D">
            <w:pPr>
              <w:rPr>
                <w:sz w:val="3"/>
                <w:szCs w:val="3"/>
              </w:rPr>
            </w:pPr>
          </w:p>
        </w:tc>
        <w:tc>
          <w:tcPr>
            <w:tcW w:w="100" w:type="dxa"/>
            <w:vAlign w:val="bottom"/>
          </w:tcPr>
          <w:p w14:paraId="7B5C67FA" w14:textId="77777777" w:rsidR="00D1587D" w:rsidRDefault="00D1587D">
            <w:pPr>
              <w:rPr>
                <w:sz w:val="3"/>
                <w:szCs w:val="3"/>
              </w:rPr>
            </w:pPr>
          </w:p>
        </w:tc>
        <w:tc>
          <w:tcPr>
            <w:tcW w:w="1020" w:type="dxa"/>
            <w:gridSpan w:val="3"/>
            <w:vMerge w:val="restart"/>
            <w:vAlign w:val="bottom"/>
          </w:tcPr>
          <w:p w14:paraId="230DE9BE" w14:textId="77777777" w:rsidR="00D1587D" w:rsidRDefault="00410D07">
            <w:pPr>
              <w:ind w:right="200"/>
              <w:jc w:val="center"/>
              <w:rPr>
                <w:sz w:val="20"/>
                <w:szCs w:val="20"/>
              </w:rPr>
            </w:pPr>
            <w:r>
              <w:rPr>
                <w:rFonts w:ascii="Arial" w:eastAsia="Arial" w:hAnsi="Arial" w:cs="Arial"/>
                <w:b/>
                <w:bCs/>
                <w:w w:val="92"/>
                <w:sz w:val="14"/>
                <w:szCs w:val="14"/>
              </w:rPr>
              <w:t>w/out</w:t>
            </w:r>
          </w:p>
        </w:tc>
        <w:tc>
          <w:tcPr>
            <w:tcW w:w="60" w:type="dxa"/>
            <w:vAlign w:val="bottom"/>
          </w:tcPr>
          <w:p w14:paraId="67CCE4AE" w14:textId="77777777" w:rsidR="00D1587D" w:rsidRDefault="00D1587D">
            <w:pPr>
              <w:rPr>
                <w:sz w:val="3"/>
                <w:szCs w:val="3"/>
              </w:rPr>
            </w:pPr>
          </w:p>
        </w:tc>
        <w:tc>
          <w:tcPr>
            <w:tcW w:w="1080" w:type="dxa"/>
            <w:gridSpan w:val="2"/>
            <w:vMerge w:val="restart"/>
            <w:vAlign w:val="bottom"/>
          </w:tcPr>
          <w:p w14:paraId="3A6DCC11" w14:textId="77777777" w:rsidR="00D1587D" w:rsidRDefault="00410D07">
            <w:pPr>
              <w:ind w:right="280"/>
              <w:jc w:val="center"/>
              <w:rPr>
                <w:sz w:val="20"/>
                <w:szCs w:val="20"/>
              </w:rPr>
            </w:pPr>
            <w:r>
              <w:rPr>
                <w:rFonts w:ascii="Arial" w:eastAsia="Arial" w:hAnsi="Arial" w:cs="Arial"/>
                <w:b/>
                <w:bCs/>
                <w:w w:val="92"/>
                <w:sz w:val="14"/>
                <w:szCs w:val="14"/>
              </w:rPr>
              <w:t>&amp; Signed</w:t>
            </w:r>
          </w:p>
        </w:tc>
        <w:tc>
          <w:tcPr>
            <w:tcW w:w="940" w:type="dxa"/>
            <w:vMerge/>
            <w:vAlign w:val="bottom"/>
          </w:tcPr>
          <w:p w14:paraId="213A6E63" w14:textId="77777777" w:rsidR="00D1587D" w:rsidRDefault="00D1587D">
            <w:pPr>
              <w:rPr>
                <w:sz w:val="3"/>
                <w:szCs w:val="3"/>
              </w:rPr>
            </w:pPr>
          </w:p>
        </w:tc>
        <w:tc>
          <w:tcPr>
            <w:tcW w:w="180" w:type="dxa"/>
            <w:vAlign w:val="bottom"/>
          </w:tcPr>
          <w:p w14:paraId="59A98702" w14:textId="77777777" w:rsidR="00D1587D" w:rsidRDefault="00D1587D">
            <w:pPr>
              <w:rPr>
                <w:sz w:val="3"/>
                <w:szCs w:val="3"/>
              </w:rPr>
            </w:pPr>
          </w:p>
        </w:tc>
        <w:tc>
          <w:tcPr>
            <w:tcW w:w="160" w:type="dxa"/>
            <w:vAlign w:val="bottom"/>
          </w:tcPr>
          <w:p w14:paraId="57AD36A9" w14:textId="77777777" w:rsidR="00D1587D" w:rsidRDefault="00D1587D">
            <w:pPr>
              <w:rPr>
                <w:sz w:val="3"/>
                <w:szCs w:val="3"/>
              </w:rPr>
            </w:pPr>
          </w:p>
        </w:tc>
        <w:tc>
          <w:tcPr>
            <w:tcW w:w="660" w:type="dxa"/>
            <w:vAlign w:val="bottom"/>
          </w:tcPr>
          <w:p w14:paraId="2B16D08E" w14:textId="77777777" w:rsidR="00D1587D" w:rsidRDefault="00D1587D">
            <w:pPr>
              <w:rPr>
                <w:sz w:val="3"/>
                <w:szCs w:val="3"/>
              </w:rPr>
            </w:pPr>
          </w:p>
        </w:tc>
        <w:tc>
          <w:tcPr>
            <w:tcW w:w="180" w:type="dxa"/>
            <w:vAlign w:val="bottom"/>
          </w:tcPr>
          <w:p w14:paraId="254BA54A" w14:textId="77777777" w:rsidR="00D1587D" w:rsidRDefault="00D1587D">
            <w:pPr>
              <w:rPr>
                <w:sz w:val="3"/>
                <w:szCs w:val="3"/>
              </w:rPr>
            </w:pPr>
          </w:p>
        </w:tc>
        <w:tc>
          <w:tcPr>
            <w:tcW w:w="100" w:type="dxa"/>
            <w:vAlign w:val="bottom"/>
          </w:tcPr>
          <w:p w14:paraId="6210C938" w14:textId="77777777" w:rsidR="00D1587D" w:rsidRDefault="00D1587D">
            <w:pPr>
              <w:rPr>
                <w:sz w:val="3"/>
                <w:szCs w:val="3"/>
              </w:rPr>
            </w:pPr>
          </w:p>
        </w:tc>
        <w:tc>
          <w:tcPr>
            <w:tcW w:w="720" w:type="dxa"/>
            <w:vAlign w:val="bottom"/>
          </w:tcPr>
          <w:p w14:paraId="3904522B" w14:textId="77777777" w:rsidR="00D1587D" w:rsidRDefault="00D1587D">
            <w:pPr>
              <w:rPr>
                <w:sz w:val="3"/>
                <w:szCs w:val="3"/>
              </w:rPr>
            </w:pPr>
          </w:p>
        </w:tc>
        <w:tc>
          <w:tcPr>
            <w:tcW w:w="180" w:type="dxa"/>
            <w:vAlign w:val="bottom"/>
          </w:tcPr>
          <w:p w14:paraId="75D119E1" w14:textId="77777777" w:rsidR="00D1587D" w:rsidRDefault="00D1587D">
            <w:pPr>
              <w:rPr>
                <w:sz w:val="3"/>
                <w:szCs w:val="3"/>
              </w:rPr>
            </w:pPr>
          </w:p>
        </w:tc>
        <w:tc>
          <w:tcPr>
            <w:tcW w:w="780" w:type="dxa"/>
            <w:gridSpan w:val="2"/>
            <w:vMerge/>
            <w:vAlign w:val="bottom"/>
          </w:tcPr>
          <w:p w14:paraId="71DAB9E8" w14:textId="77777777" w:rsidR="00D1587D" w:rsidRDefault="00D1587D">
            <w:pPr>
              <w:rPr>
                <w:sz w:val="3"/>
                <w:szCs w:val="3"/>
              </w:rPr>
            </w:pPr>
          </w:p>
        </w:tc>
        <w:tc>
          <w:tcPr>
            <w:tcW w:w="0" w:type="dxa"/>
            <w:vAlign w:val="bottom"/>
          </w:tcPr>
          <w:p w14:paraId="6F1AEC25" w14:textId="77777777" w:rsidR="00D1587D" w:rsidRDefault="00D1587D">
            <w:pPr>
              <w:spacing w:line="20" w:lineRule="exact"/>
              <w:rPr>
                <w:sz w:val="1"/>
                <w:szCs w:val="1"/>
              </w:rPr>
            </w:pPr>
          </w:p>
        </w:tc>
      </w:tr>
      <w:tr w:rsidR="00D1587D" w14:paraId="6EAB4174" w14:textId="77777777">
        <w:trPr>
          <w:trHeight w:val="149"/>
        </w:trPr>
        <w:tc>
          <w:tcPr>
            <w:tcW w:w="1280" w:type="dxa"/>
            <w:vAlign w:val="bottom"/>
          </w:tcPr>
          <w:p w14:paraId="5EC43AA4" w14:textId="77777777" w:rsidR="00D1587D" w:rsidRDefault="00D1587D">
            <w:pPr>
              <w:rPr>
                <w:sz w:val="12"/>
                <w:szCs w:val="12"/>
              </w:rPr>
            </w:pPr>
          </w:p>
        </w:tc>
        <w:tc>
          <w:tcPr>
            <w:tcW w:w="980" w:type="dxa"/>
            <w:vAlign w:val="bottom"/>
          </w:tcPr>
          <w:p w14:paraId="290A80C5" w14:textId="77777777" w:rsidR="00D1587D" w:rsidRDefault="00D1587D">
            <w:pPr>
              <w:rPr>
                <w:sz w:val="12"/>
                <w:szCs w:val="12"/>
              </w:rPr>
            </w:pPr>
          </w:p>
        </w:tc>
        <w:tc>
          <w:tcPr>
            <w:tcW w:w="100" w:type="dxa"/>
            <w:vAlign w:val="bottom"/>
          </w:tcPr>
          <w:p w14:paraId="12FABB38" w14:textId="77777777" w:rsidR="00D1587D" w:rsidRDefault="00D1587D">
            <w:pPr>
              <w:rPr>
                <w:sz w:val="12"/>
                <w:szCs w:val="12"/>
              </w:rPr>
            </w:pPr>
          </w:p>
        </w:tc>
        <w:tc>
          <w:tcPr>
            <w:tcW w:w="1020" w:type="dxa"/>
            <w:gridSpan w:val="3"/>
            <w:vMerge/>
            <w:vAlign w:val="bottom"/>
          </w:tcPr>
          <w:p w14:paraId="37ED08EB" w14:textId="77777777" w:rsidR="00D1587D" w:rsidRDefault="00D1587D">
            <w:pPr>
              <w:rPr>
                <w:sz w:val="12"/>
                <w:szCs w:val="12"/>
              </w:rPr>
            </w:pPr>
          </w:p>
        </w:tc>
        <w:tc>
          <w:tcPr>
            <w:tcW w:w="60" w:type="dxa"/>
            <w:vAlign w:val="bottom"/>
          </w:tcPr>
          <w:p w14:paraId="1B7BF458" w14:textId="77777777" w:rsidR="00D1587D" w:rsidRDefault="00D1587D">
            <w:pPr>
              <w:rPr>
                <w:sz w:val="12"/>
                <w:szCs w:val="12"/>
              </w:rPr>
            </w:pPr>
          </w:p>
        </w:tc>
        <w:tc>
          <w:tcPr>
            <w:tcW w:w="1080" w:type="dxa"/>
            <w:gridSpan w:val="2"/>
            <w:vMerge/>
            <w:vAlign w:val="bottom"/>
          </w:tcPr>
          <w:p w14:paraId="7D5986B1" w14:textId="77777777" w:rsidR="00D1587D" w:rsidRDefault="00D1587D">
            <w:pPr>
              <w:rPr>
                <w:sz w:val="12"/>
                <w:szCs w:val="12"/>
              </w:rPr>
            </w:pPr>
          </w:p>
        </w:tc>
        <w:tc>
          <w:tcPr>
            <w:tcW w:w="940" w:type="dxa"/>
            <w:vAlign w:val="bottom"/>
          </w:tcPr>
          <w:p w14:paraId="6E913360" w14:textId="77777777" w:rsidR="00D1587D" w:rsidRDefault="00410D07">
            <w:pPr>
              <w:spacing w:line="149" w:lineRule="exact"/>
              <w:jc w:val="center"/>
              <w:rPr>
                <w:sz w:val="20"/>
                <w:szCs w:val="20"/>
              </w:rPr>
            </w:pPr>
            <w:r>
              <w:rPr>
                <w:rFonts w:ascii="Arial" w:eastAsia="Arial" w:hAnsi="Arial" w:cs="Arial"/>
                <w:b/>
                <w:bCs/>
                <w:w w:val="91"/>
                <w:sz w:val="14"/>
                <w:szCs w:val="14"/>
              </w:rPr>
              <w:t>Change in</w:t>
            </w:r>
          </w:p>
        </w:tc>
        <w:tc>
          <w:tcPr>
            <w:tcW w:w="180" w:type="dxa"/>
            <w:vAlign w:val="bottom"/>
          </w:tcPr>
          <w:p w14:paraId="536CEC79" w14:textId="77777777" w:rsidR="00D1587D" w:rsidRDefault="00D1587D">
            <w:pPr>
              <w:rPr>
                <w:sz w:val="12"/>
                <w:szCs w:val="12"/>
              </w:rPr>
            </w:pPr>
          </w:p>
        </w:tc>
        <w:tc>
          <w:tcPr>
            <w:tcW w:w="160" w:type="dxa"/>
            <w:vAlign w:val="bottom"/>
          </w:tcPr>
          <w:p w14:paraId="14B8CEE0" w14:textId="77777777" w:rsidR="00D1587D" w:rsidRDefault="00D1587D">
            <w:pPr>
              <w:rPr>
                <w:sz w:val="12"/>
                <w:szCs w:val="12"/>
              </w:rPr>
            </w:pPr>
          </w:p>
        </w:tc>
        <w:tc>
          <w:tcPr>
            <w:tcW w:w="660" w:type="dxa"/>
            <w:vMerge w:val="restart"/>
            <w:vAlign w:val="bottom"/>
          </w:tcPr>
          <w:p w14:paraId="10E536F4" w14:textId="77777777" w:rsidR="00D1587D" w:rsidRDefault="00410D07">
            <w:pPr>
              <w:ind w:right="96"/>
              <w:jc w:val="center"/>
              <w:rPr>
                <w:sz w:val="20"/>
                <w:szCs w:val="20"/>
              </w:rPr>
            </w:pPr>
            <w:r>
              <w:rPr>
                <w:rFonts w:ascii="Arial" w:eastAsia="Arial" w:hAnsi="Arial" w:cs="Arial"/>
                <w:b/>
                <w:bCs/>
                <w:w w:val="92"/>
                <w:sz w:val="14"/>
                <w:szCs w:val="14"/>
              </w:rPr>
              <w:t>Death</w:t>
            </w:r>
          </w:p>
        </w:tc>
        <w:tc>
          <w:tcPr>
            <w:tcW w:w="180" w:type="dxa"/>
            <w:vAlign w:val="bottom"/>
          </w:tcPr>
          <w:p w14:paraId="4479DE5F" w14:textId="77777777" w:rsidR="00D1587D" w:rsidRDefault="00D1587D">
            <w:pPr>
              <w:rPr>
                <w:sz w:val="12"/>
                <w:szCs w:val="12"/>
              </w:rPr>
            </w:pPr>
          </w:p>
        </w:tc>
        <w:tc>
          <w:tcPr>
            <w:tcW w:w="100" w:type="dxa"/>
            <w:vAlign w:val="bottom"/>
          </w:tcPr>
          <w:p w14:paraId="1254B10A" w14:textId="77777777" w:rsidR="00D1587D" w:rsidRDefault="00D1587D">
            <w:pPr>
              <w:rPr>
                <w:sz w:val="12"/>
                <w:szCs w:val="12"/>
              </w:rPr>
            </w:pPr>
          </w:p>
        </w:tc>
        <w:tc>
          <w:tcPr>
            <w:tcW w:w="900" w:type="dxa"/>
            <w:gridSpan w:val="2"/>
            <w:vMerge w:val="restart"/>
            <w:vAlign w:val="bottom"/>
          </w:tcPr>
          <w:p w14:paraId="56188DE5" w14:textId="77777777" w:rsidR="00D1587D" w:rsidRDefault="00410D07">
            <w:pPr>
              <w:ind w:right="300"/>
              <w:jc w:val="center"/>
              <w:rPr>
                <w:sz w:val="20"/>
                <w:szCs w:val="20"/>
              </w:rPr>
            </w:pPr>
            <w:r>
              <w:rPr>
                <w:rFonts w:ascii="Arial" w:eastAsia="Arial" w:hAnsi="Arial" w:cs="Arial"/>
                <w:b/>
                <w:bCs/>
                <w:w w:val="96"/>
                <w:sz w:val="14"/>
                <w:szCs w:val="14"/>
              </w:rPr>
              <w:t>Disability</w:t>
            </w:r>
          </w:p>
        </w:tc>
        <w:tc>
          <w:tcPr>
            <w:tcW w:w="780" w:type="dxa"/>
            <w:gridSpan w:val="2"/>
            <w:vAlign w:val="bottom"/>
          </w:tcPr>
          <w:p w14:paraId="07086C0D" w14:textId="77777777" w:rsidR="00D1587D" w:rsidRDefault="00410D07">
            <w:pPr>
              <w:spacing w:line="149" w:lineRule="exact"/>
              <w:jc w:val="center"/>
              <w:rPr>
                <w:sz w:val="20"/>
                <w:szCs w:val="20"/>
              </w:rPr>
            </w:pPr>
            <w:r>
              <w:rPr>
                <w:rFonts w:ascii="Arial" w:eastAsia="Arial" w:hAnsi="Arial" w:cs="Arial"/>
                <w:b/>
                <w:bCs/>
                <w:w w:val="92"/>
                <w:sz w:val="14"/>
                <w:szCs w:val="14"/>
              </w:rPr>
              <w:t>Resignation/</w:t>
            </w:r>
          </w:p>
        </w:tc>
        <w:tc>
          <w:tcPr>
            <w:tcW w:w="0" w:type="dxa"/>
            <w:vAlign w:val="bottom"/>
          </w:tcPr>
          <w:p w14:paraId="6925EABD" w14:textId="77777777" w:rsidR="00D1587D" w:rsidRDefault="00D1587D">
            <w:pPr>
              <w:rPr>
                <w:sz w:val="1"/>
                <w:szCs w:val="1"/>
              </w:rPr>
            </w:pPr>
          </w:p>
        </w:tc>
      </w:tr>
      <w:tr w:rsidR="00D1587D" w14:paraId="08801CA6" w14:textId="77777777">
        <w:trPr>
          <w:trHeight w:val="145"/>
        </w:trPr>
        <w:tc>
          <w:tcPr>
            <w:tcW w:w="1280" w:type="dxa"/>
            <w:vAlign w:val="bottom"/>
          </w:tcPr>
          <w:p w14:paraId="3AFAF574" w14:textId="77777777" w:rsidR="00D1587D" w:rsidRDefault="00D1587D">
            <w:pPr>
              <w:rPr>
                <w:sz w:val="12"/>
                <w:szCs w:val="12"/>
              </w:rPr>
            </w:pPr>
          </w:p>
        </w:tc>
        <w:tc>
          <w:tcPr>
            <w:tcW w:w="980" w:type="dxa"/>
            <w:vAlign w:val="bottom"/>
          </w:tcPr>
          <w:p w14:paraId="48A735C9" w14:textId="77777777" w:rsidR="00D1587D" w:rsidRDefault="00D1587D">
            <w:pPr>
              <w:rPr>
                <w:sz w:val="12"/>
                <w:szCs w:val="12"/>
              </w:rPr>
            </w:pPr>
          </w:p>
        </w:tc>
        <w:tc>
          <w:tcPr>
            <w:tcW w:w="100" w:type="dxa"/>
            <w:vAlign w:val="bottom"/>
          </w:tcPr>
          <w:p w14:paraId="51C74745" w14:textId="77777777" w:rsidR="00D1587D" w:rsidRDefault="00D1587D">
            <w:pPr>
              <w:rPr>
                <w:sz w:val="12"/>
                <w:szCs w:val="12"/>
              </w:rPr>
            </w:pPr>
          </w:p>
        </w:tc>
        <w:tc>
          <w:tcPr>
            <w:tcW w:w="1020" w:type="dxa"/>
            <w:gridSpan w:val="3"/>
            <w:vAlign w:val="bottom"/>
          </w:tcPr>
          <w:p w14:paraId="65060771" w14:textId="77777777" w:rsidR="00D1587D" w:rsidRDefault="00410D07">
            <w:pPr>
              <w:spacing w:line="145" w:lineRule="exact"/>
              <w:ind w:right="200"/>
              <w:jc w:val="center"/>
              <w:rPr>
                <w:sz w:val="20"/>
                <w:szCs w:val="20"/>
              </w:rPr>
            </w:pPr>
            <w:r>
              <w:rPr>
                <w:rFonts w:ascii="Arial" w:eastAsia="Arial" w:hAnsi="Arial" w:cs="Arial"/>
                <w:b/>
                <w:bCs/>
                <w:w w:val="86"/>
                <w:sz w:val="14"/>
                <w:szCs w:val="14"/>
              </w:rPr>
              <w:t>Release</w:t>
            </w:r>
          </w:p>
        </w:tc>
        <w:tc>
          <w:tcPr>
            <w:tcW w:w="60" w:type="dxa"/>
            <w:vAlign w:val="bottom"/>
          </w:tcPr>
          <w:p w14:paraId="3358710A" w14:textId="77777777" w:rsidR="00D1587D" w:rsidRDefault="00D1587D">
            <w:pPr>
              <w:rPr>
                <w:sz w:val="12"/>
                <w:szCs w:val="12"/>
              </w:rPr>
            </w:pPr>
          </w:p>
        </w:tc>
        <w:tc>
          <w:tcPr>
            <w:tcW w:w="1080" w:type="dxa"/>
            <w:gridSpan w:val="2"/>
            <w:vAlign w:val="bottom"/>
          </w:tcPr>
          <w:p w14:paraId="62F55131" w14:textId="77777777" w:rsidR="00D1587D" w:rsidRDefault="00410D07">
            <w:pPr>
              <w:spacing w:line="145" w:lineRule="exact"/>
              <w:ind w:right="260"/>
              <w:jc w:val="center"/>
              <w:rPr>
                <w:sz w:val="20"/>
                <w:szCs w:val="20"/>
              </w:rPr>
            </w:pPr>
            <w:r>
              <w:rPr>
                <w:rFonts w:ascii="Arial" w:eastAsia="Arial" w:hAnsi="Arial" w:cs="Arial"/>
                <w:b/>
                <w:bCs/>
                <w:w w:val="86"/>
                <w:sz w:val="14"/>
                <w:szCs w:val="14"/>
              </w:rPr>
              <w:t>Release</w:t>
            </w:r>
          </w:p>
        </w:tc>
        <w:tc>
          <w:tcPr>
            <w:tcW w:w="940" w:type="dxa"/>
            <w:vAlign w:val="bottom"/>
          </w:tcPr>
          <w:p w14:paraId="7838A65B" w14:textId="77777777" w:rsidR="00D1587D" w:rsidRDefault="00410D07">
            <w:pPr>
              <w:spacing w:line="145" w:lineRule="exact"/>
              <w:jc w:val="center"/>
              <w:rPr>
                <w:sz w:val="20"/>
                <w:szCs w:val="20"/>
              </w:rPr>
            </w:pPr>
            <w:r>
              <w:rPr>
                <w:rFonts w:ascii="Arial" w:eastAsia="Arial" w:hAnsi="Arial" w:cs="Arial"/>
                <w:b/>
                <w:bCs/>
                <w:w w:val="96"/>
                <w:sz w:val="14"/>
                <w:szCs w:val="14"/>
              </w:rPr>
              <w:t>Control</w:t>
            </w:r>
          </w:p>
        </w:tc>
        <w:tc>
          <w:tcPr>
            <w:tcW w:w="180" w:type="dxa"/>
            <w:vAlign w:val="bottom"/>
          </w:tcPr>
          <w:p w14:paraId="3052DDEE" w14:textId="77777777" w:rsidR="00D1587D" w:rsidRDefault="00D1587D">
            <w:pPr>
              <w:rPr>
                <w:sz w:val="12"/>
                <w:szCs w:val="12"/>
              </w:rPr>
            </w:pPr>
          </w:p>
        </w:tc>
        <w:tc>
          <w:tcPr>
            <w:tcW w:w="160" w:type="dxa"/>
            <w:vAlign w:val="bottom"/>
          </w:tcPr>
          <w:p w14:paraId="7618CA73" w14:textId="77777777" w:rsidR="00D1587D" w:rsidRDefault="00D1587D">
            <w:pPr>
              <w:rPr>
                <w:sz w:val="12"/>
                <w:szCs w:val="12"/>
              </w:rPr>
            </w:pPr>
          </w:p>
        </w:tc>
        <w:tc>
          <w:tcPr>
            <w:tcW w:w="660" w:type="dxa"/>
            <w:vMerge/>
            <w:vAlign w:val="bottom"/>
          </w:tcPr>
          <w:p w14:paraId="301B998F" w14:textId="77777777" w:rsidR="00D1587D" w:rsidRDefault="00D1587D">
            <w:pPr>
              <w:rPr>
                <w:sz w:val="12"/>
                <w:szCs w:val="12"/>
              </w:rPr>
            </w:pPr>
          </w:p>
        </w:tc>
        <w:tc>
          <w:tcPr>
            <w:tcW w:w="180" w:type="dxa"/>
            <w:vAlign w:val="bottom"/>
          </w:tcPr>
          <w:p w14:paraId="2DDEDF7D" w14:textId="77777777" w:rsidR="00D1587D" w:rsidRDefault="00D1587D">
            <w:pPr>
              <w:rPr>
                <w:sz w:val="12"/>
                <w:szCs w:val="12"/>
              </w:rPr>
            </w:pPr>
          </w:p>
        </w:tc>
        <w:tc>
          <w:tcPr>
            <w:tcW w:w="100" w:type="dxa"/>
            <w:vAlign w:val="bottom"/>
          </w:tcPr>
          <w:p w14:paraId="5A307E66" w14:textId="77777777" w:rsidR="00D1587D" w:rsidRDefault="00D1587D">
            <w:pPr>
              <w:rPr>
                <w:sz w:val="12"/>
                <w:szCs w:val="12"/>
              </w:rPr>
            </w:pPr>
          </w:p>
        </w:tc>
        <w:tc>
          <w:tcPr>
            <w:tcW w:w="900" w:type="dxa"/>
            <w:gridSpan w:val="2"/>
            <w:vMerge/>
            <w:vAlign w:val="bottom"/>
          </w:tcPr>
          <w:p w14:paraId="116DED8B" w14:textId="77777777" w:rsidR="00D1587D" w:rsidRDefault="00D1587D">
            <w:pPr>
              <w:rPr>
                <w:sz w:val="12"/>
                <w:szCs w:val="12"/>
              </w:rPr>
            </w:pPr>
          </w:p>
        </w:tc>
        <w:tc>
          <w:tcPr>
            <w:tcW w:w="780" w:type="dxa"/>
            <w:gridSpan w:val="2"/>
            <w:vAlign w:val="bottom"/>
          </w:tcPr>
          <w:p w14:paraId="413EA2D8" w14:textId="77777777" w:rsidR="00D1587D" w:rsidRDefault="00410D07">
            <w:pPr>
              <w:spacing w:line="145" w:lineRule="exact"/>
              <w:jc w:val="center"/>
              <w:rPr>
                <w:sz w:val="20"/>
                <w:szCs w:val="20"/>
              </w:rPr>
            </w:pPr>
            <w:r>
              <w:rPr>
                <w:rFonts w:ascii="Arial" w:eastAsia="Arial" w:hAnsi="Arial" w:cs="Arial"/>
                <w:b/>
                <w:bCs/>
                <w:w w:val="95"/>
                <w:sz w:val="14"/>
                <w:szCs w:val="14"/>
              </w:rPr>
              <w:t>Retirement</w:t>
            </w:r>
          </w:p>
        </w:tc>
        <w:tc>
          <w:tcPr>
            <w:tcW w:w="0" w:type="dxa"/>
            <w:vAlign w:val="bottom"/>
          </w:tcPr>
          <w:p w14:paraId="1AFA1EE6" w14:textId="77777777" w:rsidR="00D1587D" w:rsidRDefault="00D1587D">
            <w:pPr>
              <w:rPr>
                <w:sz w:val="1"/>
                <w:szCs w:val="1"/>
              </w:rPr>
            </w:pPr>
          </w:p>
        </w:tc>
      </w:tr>
      <w:tr w:rsidR="00D1587D" w14:paraId="3DE0B6BF" w14:textId="77777777">
        <w:trPr>
          <w:trHeight w:val="242"/>
        </w:trPr>
        <w:tc>
          <w:tcPr>
            <w:tcW w:w="1280" w:type="dxa"/>
            <w:tcBorders>
              <w:bottom w:val="single" w:sz="8" w:space="0" w:color="CCEEFF"/>
            </w:tcBorders>
            <w:vAlign w:val="bottom"/>
          </w:tcPr>
          <w:p w14:paraId="35D7BD89" w14:textId="77777777" w:rsidR="00D1587D" w:rsidRDefault="00D1587D">
            <w:pPr>
              <w:rPr>
                <w:sz w:val="21"/>
                <w:szCs w:val="21"/>
              </w:rPr>
            </w:pPr>
          </w:p>
        </w:tc>
        <w:tc>
          <w:tcPr>
            <w:tcW w:w="980" w:type="dxa"/>
            <w:tcBorders>
              <w:bottom w:val="single" w:sz="8" w:space="0" w:color="CCEEFF"/>
            </w:tcBorders>
            <w:vAlign w:val="bottom"/>
          </w:tcPr>
          <w:p w14:paraId="308EF136" w14:textId="77777777" w:rsidR="00D1587D" w:rsidRDefault="00D1587D">
            <w:pPr>
              <w:rPr>
                <w:sz w:val="21"/>
                <w:szCs w:val="21"/>
              </w:rPr>
            </w:pPr>
          </w:p>
        </w:tc>
        <w:tc>
          <w:tcPr>
            <w:tcW w:w="100" w:type="dxa"/>
            <w:tcBorders>
              <w:bottom w:val="single" w:sz="8" w:space="0" w:color="CCEEFF"/>
            </w:tcBorders>
            <w:vAlign w:val="bottom"/>
          </w:tcPr>
          <w:p w14:paraId="76C8602F" w14:textId="77777777" w:rsidR="00D1587D" w:rsidRDefault="00D1587D">
            <w:pPr>
              <w:rPr>
                <w:sz w:val="21"/>
                <w:szCs w:val="21"/>
              </w:rPr>
            </w:pPr>
          </w:p>
        </w:tc>
        <w:tc>
          <w:tcPr>
            <w:tcW w:w="840" w:type="dxa"/>
            <w:tcBorders>
              <w:bottom w:val="single" w:sz="8" w:space="0" w:color="auto"/>
            </w:tcBorders>
            <w:vAlign w:val="bottom"/>
          </w:tcPr>
          <w:p w14:paraId="001ED46D" w14:textId="77777777" w:rsidR="00D1587D" w:rsidRDefault="00410D07">
            <w:pPr>
              <w:jc w:val="center"/>
              <w:rPr>
                <w:sz w:val="20"/>
                <w:szCs w:val="20"/>
              </w:rPr>
            </w:pPr>
            <w:r>
              <w:rPr>
                <w:rFonts w:ascii="Arial" w:eastAsia="Arial" w:hAnsi="Arial" w:cs="Arial"/>
                <w:b/>
                <w:bCs/>
                <w:w w:val="93"/>
                <w:sz w:val="14"/>
                <w:szCs w:val="14"/>
              </w:rPr>
              <w:t>($)</w:t>
            </w:r>
          </w:p>
        </w:tc>
        <w:tc>
          <w:tcPr>
            <w:tcW w:w="60" w:type="dxa"/>
            <w:tcBorders>
              <w:bottom w:val="single" w:sz="8" w:space="0" w:color="CCEEFF"/>
            </w:tcBorders>
            <w:vAlign w:val="bottom"/>
          </w:tcPr>
          <w:p w14:paraId="39C81C0F" w14:textId="77777777" w:rsidR="00D1587D" w:rsidRDefault="00D1587D">
            <w:pPr>
              <w:rPr>
                <w:sz w:val="21"/>
                <w:szCs w:val="21"/>
              </w:rPr>
            </w:pPr>
          </w:p>
        </w:tc>
        <w:tc>
          <w:tcPr>
            <w:tcW w:w="120" w:type="dxa"/>
            <w:tcBorders>
              <w:bottom w:val="single" w:sz="8" w:space="0" w:color="CCEEFF"/>
            </w:tcBorders>
            <w:vAlign w:val="bottom"/>
          </w:tcPr>
          <w:p w14:paraId="4CE949B6" w14:textId="77777777" w:rsidR="00D1587D" w:rsidRDefault="00D1587D">
            <w:pPr>
              <w:rPr>
                <w:sz w:val="21"/>
                <w:szCs w:val="21"/>
              </w:rPr>
            </w:pPr>
          </w:p>
        </w:tc>
        <w:tc>
          <w:tcPr>
            <w:tcW w:w="960" w:type="dxa"/>
            <w:gridSpan w:val="2"/>
            <w:tcBorders>
              <w:bottom w:val="single" w:sz="8" w:space="0" w:color="auto"/>
            </w:tcBorders>
            <w:vAlign w:val="bottom"/>
          </w:tcPr>
          <w:p w14:paraId="2CBDA050" w14:textId="77777777" w:rsidR="00D1587D" w:rsidRDefault="00410D07">
            <w:pPr>
              <w:jc w:val="center"/>
              <w:rPr>
                <w:sz w:val="20"/>
                <w:szCs w:val="20"/>
              </w:rPr>
            </w:pPr>
            <w:r>
              <w:rPr>
                <w:rFonts w:ascii="Arial" w:eastAsia="Arial" w:hAnsi="Arial" w:cs="Arial"/>
                <w:b/>
                <w:bCs/>
                <w:w w:val="93"/>
                <w:sz w:val="14"/>
                <w:szCs w:val="14"/>
              </w:rPr>
              <w:t>($)</w:t>
            </w:r>
          </w:p>
        </w:tc>
        <w:tc>
          <w:tcPr>
            <w:tcW w:w="180" w:type="dxa"/>
            <w:tcBorders>
              <w:bottom w:val="single" w:sz="8" w:space="0" w:color="CCEEFF"/>
            </w:tcBorders>
            <w:vAlign w:val="bottom"/>
          </w:tcPr>
          <w:p w14:paraId="01BBE4B3" w14:textId="77777777" w:rsidR="00D1587D" w:rsidRDefault="00D1587D">
            <w:pPr>
              <w:rPr>
                <w:sz w:val="21"/>
                <w:szCs w:val="21"/>
              </w:rPr>
            </w:pPr>
          </w:p>
        </w:tc>
        <w:tc>
          <w:tcPr>
            <w:tcW w:w="940" w:type="dxa"/>
            <w:tcBorders>
              <w:bottom w:val="single" w:sz="8" w:space="0" w:color="auto"/>
            </w:tcBorders>
            <w:vAlign w:val="bottom"/>
          </w:tcPr>
          <w:p w14:paraId="20414D05" w14:textId="77777777" w:rsidR="00D1587D" w:rsidRDefault="00410D07">
            <w:pPr>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04346FD2" w14:textId="77777777" w:rsidR="00D1587D" w:rsidRDefault="00D1587D">
            <w:pPr>
              <w:rPr>
                <w:sz w:val="21"/>
                <w:szCs w:val="21"/>
              </w:rPr>
            </w:pPr>
          </w:p>
        </w:tc>
        <w:tc>
          <w:tcPr>
            <w:tcW w:w="160" w:type="dxa"/>
            <w:tcBorders>
              <w:bottom w:val="single" w:sz="8" w:space="0" w:color="auto"/>
            </w:tcBorders>
            <w:vAlign w:val="bottom"/>
          </w:tcPr>
          <w:p w14:paraId="6AB27BD7" w14:textId="77777777" w:rsidR="00D1587D" w:rsidRDefault="00D1587D">
            <w:pPr>
              <w:rPr>
                <w:sz w:val="21"/>
                <w:szCs w:val="21"/>
              </w:rPr>
            </w:pPr>
          </w:p>
        </w:tc>
        <w:tc>
          <w:tcPr>
            <w:tcW w:w="660" w:type="dxa"/>
            <w:tcBorders>
              <w:bottom w:val="single" w:sz="8" w:space="0" w:color="auto"/>
            </w:tcBorders>
            <w:vAlign w:val="bottom"/>
          </w:tcPr>
          <w:p w14:paraId="5C45DBEB" w14:textId="77777777" w:rsidR="00D1587D" w:rsidRDefault="00410D07">
            <w:pPr>
              <w:spacing w:line="242" w:lineRule="exact"/>
              <w:ind w:right="76"/>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(6)</w:t>
            </w:r>
          </w:p>
        </w:tc>
        <w:tc>
          <w:tcPr>
            <w:tcW w:w="180" w:type="dxa"/>
            <w:tcBorders>
              <w:bottom w:val="single" w:sz="8" w:space="0" w:color="CCEEFF"/>
            </w:tcBorders>
            <w:vAlign w:val="bottom"/>
          </w:tcPr>
          <w:p w14:paraId="7F12A706" w14:textId="77777777" w:rsidR="00D1587D" w:rsidRDefault="00D1587D">
            <w:pPr>
              <w:rPr>
                <w:sz w:val="21"/>
                <w:szCs w:val="21"/>
              </w:rPr>
            </w:pPr>
          </w:p>
        </w:tc>
        <w:tc>
          <w:tcPr>
            <w:tcW w:w="100" w:type="dxa"/>
            <w:tcBorders>
              <w:bottom w:val="single" w:sz="8" w:space="0" w:color="auto"/>
            </w:tcBorders>
            <w:vAlign w:val="bottom"/>
          </w:tcPr>
          <w:p w14:paraId="099E9D86" w14:textId="77777777" w:rsidR="00D1587D" w:rsidRDefault="00D1587D">
            <w:pPr>
              <w:rPr>
                <w:sz w:val="21"/>
                <w:szCs w:val="21"/>
              </w:rPr>
            </w:pPr>
          </w:p>
        </w:tc>
        <w:tc>
          <w:tcPr>
            <w:tcW w:w="720" w:type="dxa"/>
            <w:tcBorders>
              <w:bottom w:val="single" w:sz="8" w:space="0" w:color="auto"/>
            </w:tcBorders>
            <w:vAlign w:val="bottom"/>
          </w:tcPr>
          <w:p w14:paraId="250DD966" w14:textId="77777777" w:rsidR="00D1587D" w:rsidRDefault="00410D07">
            <w:pPr>
              <w:ind w:right="15"/>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1F59EEFB" w14:textId="77777777" w:rsidR="00D1587D" w:rsidRDefault="00D1587D">
            <w:pPr>
              <w:rPr>
                <w:sz w:val="21"/>
                <w:szCs w:val="21"/>
              </w:rPr>
            </w:pPr>
          </w:p>
        </w:tc>
        <w:tc>
          <w:tcPr>
            <w:tcW w:w="300" w:type="dxa"/>
            <w:tcBorders>
              <w:bottom w:val="single" w:sz="8" w:space="0" w:color="auto"/>
            </w:tcBorders>
            <w:vAlign w:val="bottom"/>
          </w:tcPr>
          <w:p w14:paraId="5831CD40" w14:textId="77777777" w:rsidR="00D1587D" w:rsidRDefault="00D1587D">
            <w:pPr>
              <w:rPr>
                <w:sz w:val="21"/>
                <w:szCs w:val="21"/>
              </w:rPr>
            </w:pPr>
          </w:p>
        </w:tc>
        <w:tc>
          <w:tcPr>
            <w:tcW w:w="480" w:type="dxa"/>
            <w:tcBorders>
              <w:bottom w:val="single" w:sz="8" w:space="0" w:color="auto"/>
            </w:tcBorders>
            <w:vAlign w:val="bottom"/>
          </w:tcPr>
          <w:p w14:paraId="099C07B0" w14:textId="77777777" w:rsidR="00D1587D" w:rsidRDefault="00410D07">
            <w:pPr>
              <w:ind w:right="213"/>
              <w:jc w:val="center"/>
              <w:rPr>
                <w:sz w:val="20"/>
                <w:szCs w:val="20"/>
              </w:rPr>
            </w:pPr>
            <w:r>
              <w:rPr>
                <w:rFonts w:ascii="Arial" w:eastAsia="Arial" w:hAnsi="Arial" w:cs="Arial"/>
                <w:b/>
                <w:bCs/>
                <w:sz w:val="14"/>
                <w:szCs w:val="14"/>
              </w:rPr>
              <w:t>($)</w:t>
            </w:r>
          </w:p>
        </w:tc>
        <w:tc>
          <w:tcPr>
            <w:tcW w:w="0" w:type="dxa"/>
            <w:vAlign w:val="bottom"/>
          </w:tcPr>
          <w:p w14:paraId="41DFB2F2" w14:textId="77777777" w:rsidR="00D1587D" w:rsidRDefault="00D1587D">
            <w:pPr>
              <w:rPr>
                <w:sz w:val="1"/>
                <w:szCs w:val="1"/>
              </w:rPr>
            </w:pPr>
          </w:p>
        </w:tc>
      </w:tr>
      <w:tr w:rsidR="00D1587D" w14:paraId="170DF4D4" w14:textId="77777777">
        <w:trPr>
          <w:trHeight w:val="311"/>
        </w:trPr>
        <w:tc>
          <w:tcPr>
            <w:tcW w:w="2360" w:type="dxa"/>
            <w:gridSpan w:val="3"/>
            <w:tcBorders>
              <w:bottom w:val="single" w:sz="8" w:space="0" w:color="CCEEFF"/>
            </w:tcBorders>
            <w:shd w:val="clear" w:color="auto" w:fill="CCEEFF"/>
            <w:vAlign w:val="bottom"/>
          </w:tcPr>
          <w:p w14:paraId="70CF8624" w14:textId="77777777" w:rsidR="00D1587D" w:rsidRDefault="00410D07">
            <w:pPr>
              <w:rPr>
                <w:sz w:val="20"/>
                <w:szCs w:val="20"/>
              </w:rPr>
            </w:pPr>
            <w:r>
              <w:rPr>
                <w:rFonts w:ascii="Arial" w:eastAsia="Arial" w:hAnsi="Arial" w:cs="Arial"/>
                <w:sz w:val="18"/>
                <w:szCs w:val="18"/>
              </w:rPr>
              <w:t xml:space="preserve">Base </w:t>
            </w:r>
            <w:r>
              <w:rPr>
                <w:rFonts w:ascii="Arial" w:eastAsia="Arial" w:hAnsi="Arial" w:cs="Arial"/>
                <w:sz w:val="18"/>
                <w:szCs w:val="18"/>
              </w:rPr>
              <w:t>Salary</w:t>
            </w:r>
          </w:p>
        </w:tc>
        <w:tc>
          <w:tcPr>
            <w:tcW w:w="840" w:type="dxa"/>
            <w:tcBorders>
              <w:bottom w:val="single" w:sz="8" w:space="0" w:color="CCEEFF"/>
            </w:tcBorders>
            <w:shd w:val="clear" w:color="auto" w:fill="CCEEFF"/>
            <w:vAlign w:val="bottom"/>
          </w:tcPr>
          <w:p w14:paraId="6459FB3A" w14:textId="77777777" w:rsidR="00D1587D" w:rsidRDefault="00410D07">
            <w:pPr>
              <w:jc w:val="right"/>
              <w:rPr>
                <w:sz w:val="20"/>
                <w:szCs w:val="20"/>
              </w:rPr>
            </w:pPr>
            <w:r>
              <w:rPr>
                <w:rFonts w:ascii="Arial" w:eastAsia="Arial" w:hAnsi="Arial" w:cs="Arial"/>
                <w:w w:val="98"/>
                <w:sz w:val="18"/>
                <w:szCs w:val="18"/>
              </w:rPr>
              <w:t>$850,000</w:t>
            </w:r>
          </w:p>
        </w:tc>
        <w:tc>
          <w:tcPr>
            <w:tcW w:w="60" w:type="dxa"/>
            <w:tcBorders>
              <w:bottom w:val="single" w:sz="8" w:space="0" w:color="CCEEFF"/>
            </w:tcBorders>
            <w:shd w:val="clear" w:color="auto" w:fill="CCEEFF"/>
            <w:vAlign w:val="bottom"/>
          </w:tcPr>
          <w:p w14:paraId="6B07CC7D" w14:textId="77777777" w:rsidR="00D1587D" w:rsidRDefault="00D1587D">
            <w:pPr>
              <w:rPr>
                <w:sz w:val="24"/>
                <w:szCs w:val="24"/>
              </w:rPr>
            </w:pPr>
          </w:p>
        </w:tc>
        <w:tc>
          <w:tcPr>
            <w:tcW w:w="120" w:type="dxa"/>
            <w:tcBorders>
              <w:bottom w:val="single" w:sz="8" w:space="0" w:color="CCEEFF"/>
            </w:tcBorders>
            <w:shd w:val="clear" w:color="auto" w:fill="CCEEFF"/>
            <w:vAlign w:val="bottom"/>
          </w:tcPr>
          <w:p w14:paraId="253CD13F" w14:textId="77777777" w:rsidR="00D1587D" w:rsidRDefault="00D1587D">
            <w:pPr>
              <w:rPr>
                <w:sz w:val="24"/>
                <w:szCs w:val="24"/>
              </w:rPr>
            </w:pPr>
          </w:p>
        </w:tc>
        <w:tc>
          <w:tcPr>
            <w:tcW w:w="960" w:type="dxa"/>
            <w:gridSpan w:val="2"/>
            <w:tcBorders>
              <w:bottom w:val="single" w:sz="8" w:space="0" w:color="CCEEFF"/>
            </w:tcBorders>
            <w:shd w:val="clear" w:color="auto" w:fill="CCEEFF"/>
            <w:vAlign w:val="bottom"/>
          </w:tcPr>
          <w:p w14:paraId="29341EDA" w14:textId="77777777" w:rsidR="00D1587D" w:rsidRDefault="00410D07">
            <w:pPr>
              <w:jc w:val="center"/>
              <w:rPr>
                <w:sz w:val="20"/>
                <w:szCs w:val="20"/>
              </w:rPr>
            </w:pPr>
            <w:r>
              <w:rPr>
                <w:rFonts w:ascii="Arial" w:eastAsia="Arial" w:hAnsi="Arial" w:cs="Arial"/>
                <w:w w:val="88"/>
                <w:sz w:val="18"/>
                <w:szCs w:val="18"/>
              </w:rPr>
              <w:t>$1,700,000</w:t>
            </w:r>
          </w:p>
        </w:tc>
        <w:tc>
          <w:tcPr>
            <w:tcW w:w="180" w:type="dxa"/>
            <w:tcBorders>
              <w:bottom w:val="single" w:sz="8" w:space="0" w:color="CCEEFF"/>
            </w:tcBorders>
            <w:shd w:val="clear" w:color="auto" w:fill="CCEEFF"/>
            <w:vAlign w:val="bottom"/>
          </w:tcPr>
          <w:p w14:paraId="4F90572D" w14:textId="77777777" w:rsidR="00D1587D" w:rsidRDefault="00D1587D">
            <w:pPr>
              <w:rPr>
                <w:sz w:val="24"/>
                <w:szCs w:val="24"/>
              </w:rPr>
            </w:pPr>
          </w:p>
        </w:tc>
        <w:tc>
          <w:tcPr>
            <w:tcW w:w="940" w:type="dxa"/>
            <w:tcBorders>
              <w:bottom w:val="single" w:sz="8" w:space="0" w:color="CCEEFF"/>
            </w:tcBorders>
            <w:shd w:val="clear" w:color="auto" w:fill="CCEEFF"/>
            <w:vAlign w:val="bottom"/>
          </w:tcPr>
          <w:p w14:paraId="6F6D4C36" w14:textId="77777777" w:rsidR="00D1587D" w:rsidRDefault="00410D07">
            <w:pPr>
              <w:jc w:val="center"/>
              <w:rPr>
                <w:sz w:val="20"/>
                <w:szCs w:val="20"/>
              </w:rPr>
            </w:pPr>
            <w:r>
              <w:rPr>
                <w:rFonts w:ascii="Arial" w:eastAsia="Arial" w:hAnsi="Arial" w:cs="Arial"/>
                <w:w w:val="90"/>
                <w:sz w:val="18"/>
                <w:szCs w:val="18"/>
              </w:rPr>
              <w:t>$1,700,000</w:t>
            </w:r>
          </w:p>
        </w:tc>
        <w:tc>
          <w:tcPr>
            <w:tcW w:w="340" w:type="dxa"/>
            <w:gridSpan w:val="2"/>
            <w:tcBorders>
              <w:bottom w:val="single" w:sz="8" w:space="0" w:color="CCEEFF"/>
            </w:tcBorders>
            <w:shd w:val="clear" w:color="auto" w:fill="CCEEFF"/>
            <w:vAlign w:val="bottom"/>
          </w:tcPr>
          <w:p w14:paraId="4F119EEA" w14:textId="77777777" w:rsidR="00D1587D" w:rsidRDefault="00410D07">
            <w:pPr>
              <w:ind w:right="60"/>
              <w:jc w:val="right"/>
              <w:rPr>
                <w:sz w:val="20"/>
                <w:szCs w:val="20"/>
              </w:rPr>
            </w:pPr>
            <w:r>
              <w:rPr>
                <w:rFonts w:ascii="Arial" w:eastAsia="Arial" w:hAnsi="Arial" w:cs="Arial"/>
                <w:sz w:val="18"/>
                <w:szCs w:val="18"/>
              </w:rPr>
              <w:t>$</w:t>
            </w:r>
          </w:p>
        </w:tc>
        <w:tc>
          <w:tcPr>
            <w:tcW w:w="660" w:type="dxa"/>
            <w:tcBorders>
              <w:bottom w:val="single" w:sz="8" w:space="0" w:color="CCEEFF"/>
            </w:tcBorders>
            <w:shd w:val="clear" w:color="auto" w:fill="CCEEFF"/>
            <w:vAlign w:val="bottom"/>
          </w:tcPr>
          <w:p w14:paraId="720A550A" w14:textId="77777777" w:rsidR="00D1587D" w:rsidRDefault="00410D07">
            <w:pPr>
              <w:jc w:val="right"/>
              <w:rPr>
                <w:sz w:val="20"/>
                <w:szCs w:val="20"/>
              </w:rPr>
            </w:pPr>
            <w:r>
              <w:rPr>
                <w:rFonts w:ascii="Arial" w:eastAsia="Arial" w:hAnsi="Arial" w:cs="Arial"/>
                <w:sz w:val="18"/>
                <w:szCs w:val="18"/>
              </w:rPr>
              <w:t>—</w:t>
            </w:r>
          </w:p>
        </w:tc>
        <w:tc>
          <w:tcPr>
            <w:tcW w:w="280" w:type="dxa"/>
            <w:gridSpan w:val="2"/>
            <w:tcBorders>
              <w:bottom w:val="single" w:sz="8" w:space="0" w:color="CCEEFF"/>
            </w:tcBorders>
            <w:shd w:val="clear" w:color="auto" w:fill="CCEEFF"/>
            <w:vAlign w:val="bottom"/>
          </w:tcPr>
          <w:p w14:paraId="116D5F44" w14:textId="77777777" w:rsidR="00D1587D" w:rsidRDefault="00410D07">
            <w:pPr>
              <w:jc w:val="right"/>
              <w:rPr>
                <w:sz w:val="20"/>
                <w:szCs w:val="20"/>
              </w:rPr>
            </w:pPr>
            <w:r>
              <w:rPr>
                <w:rFonts w:ascii="Arial" w:eastAsia="Arial" w:hAnsi="Arial" w:cs="Arial"/>
                <w:sz w:val="18"/>
                <w:szCs w:val="18"/>
              </w:rPr>
              <w:t>$</w:t>
            </w:r>
          </w:p>
        </w:tc>
        <w:tc>
          <w:tcPr>
            <w:tcW w:w="900" w:type="dxa"/>
            <w:gridSpan w:val="2"/>
            <w:tcBorders>
              <w:bottom w:val="single" w:sz="8" w:space="0" w:color="CCEEFF"/>
            </w:tcBorders>
            <w:shd w:val="clear" w:color="auto" w:fill="CCEEFF"/>
            <w:vAlign w:val="bottom"/>
          </w:tcPr>
          <w:p w14:paraId="2BEC6648" w14:textId="77777777" w:rsidR="00D1587D" w:rsidRDefault="00410D07">
            <w:pPr>
              <w:ind w:right="180"/>
              <w:jc w:val="right"/>
              <w:rPr>
                <w:sz w:val="20"/>
                <w:szCs w:val="20"/>
              </w:rPr>
            </w:pPr>
            <w:r>
              <w:rPr>
                <w:rFonts w:ascii="Arial" w:eastAsia="Arial" w:hAnsi="Arial" w:cs="Arial"/>
                <w:sz w:val="18"/>
                <w:szCs w:val="18"/>
              </w:rPr>
              <w:t>—</w:t>
            </w:r>
          </w:p>
        </w:tc>
        <w:tc>
          <w:tcPr>
            <w:tcW w:w="300" w:type="dxa"/>
            <w:tcBorders>
              <w:bottom w:val="single" w:sz="8" w:space="0" w:color="CCEEFF"/>
            </w:tcBorders>
            <w:shd w:val="clear" w:color="auto" w:fill="CCEEFF"/>
            <w:vAlign w:val="bottom"/>
          </w:tcPr>
          <w:p w14:paraId="271CA2F0" w14:textId="77777777" w:rsidR="00D1587D" w:rsidRDefault="00410D07">
            <w:pPr>
              <w:jc w:val="right"/>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10A38F4E"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6DBD6D10" w14:textId="77777777" w:rsidR="00D1587D" w:rsidRDefault="00D1587D">
            <w:pPr>
              <w:rPr>
                <w:sz w:val="1"/>
                <w:szCs w:val="1"/>
              </w:rPr>
            </w:pPr>
          </w:p>
        </w:tc>
      </w:tr>
      <w:tr w:rsidR="00D1587D" w14:paraId="322ECA2A" w14:textId="77777777">
        <w:trPr>
          <w:trHeight w:val="324"/>
        </w:trPr>
        <w:tc>
          <w:tcPr>
            <w:tcW w:w="2360" w:type="dxa"/>
            <w:gridSpan w:val="3"/>
            <w:vAlign w:val="bottom"/>
          </w:tcPr>
          <w:p w14:paraId="0D761FCB" w14:textId="77777777" w:rsidR="00D1587D" w:rsidRDefault="00410D07">
            <w:pPr>
              <w:spacing w:line="324" w:lineRule="exact"/>
              <w:rPr>
                <w:sz w:val="20"/>
                <w:szCs w:val="20"/>
              </w:rPr>
            </w:pPr>
            <w:r>
              <w:rPr>
                <w:rFonts w:ascii="Arial" w:eastAsia="Arial" w:hAnsi="Arial" w:cs="Arial"/>
                <w:sz w:val="18"/>
                <w:szCs w:val="18"/>
              </w:rPr>
              <w:t>Bonus</w:t>
            </w:r>
            <w:r>
              <w:rPr>
                <w:rFonts w:ascii="Arial" w:eastAsia="Arial" w:hAnsi="Arial" w:cs="Arial"/>
                <w:sz w:val="29"/>
                <w:szCs w:val="29"/>
                <w:vertAlign w:val="superscript"/>
              </w:rPr>
              <w:t>(3)</w:t>
            </w:r>
          </w:p>
        </w:tc>
        <w:tc>
          <w:tcPr>
            <w:tcW w:w="1020" w:type="dxa"/>
            <w:gridSpan w:val="3"/>
            <w:vAlign w:val="bottom"/>
          </w:tcPr>
          <w:p w14:paraId="07AE59C2" w14:textId="77777777" w:rsidR="00D1587D" w:rsidRDefault="00410D07">
            <w:pPr>
              <w:ind w:right="260"/>
              <w:jc w:val="right"/>
              <w:rPr>
                <w:sz w:val="20"/>
                <w:szCs w:val="20"/>
              </w:rPr>
            </w:pPr>
            <w:r>
              <w:rPr>
                <w:rFonts w:ascii="Arial" w:eastAsia="Arial" w:hAnsi="Arial" w:cs="Arial"/>
                <w:sz w:val="18"/>
                <w:szCs w:val="18"/>
              </w:rPr>
              <w:t>—</w:t>
            </w:r>
          </w:p>
        </w:tc>
        <w:tc>
          <w:tcPr>
            <w:tcW w:w="60" w:type="dxa"/>
            <w:vAlign w:val="bottom"/>
          </w:tcPr>
          <w:p w14:paraId="46B624FE" w14:textId="77777777" w:rsidR="00D1587D" w:rsidRDefault="00D1587D">
            <w:pPr>
              <w:rPr>
                <w:sz w:val="24"/>
                <w:szCs w:val="24"/>
              </w:rPr>
            </w:pPr>
          </w:p>
        </w:tc>
        <w:tc>
          <w:tcPr>
            <w:tcW w:w="1080" w:type="dxa"/>
            <w:gridSpan w:val="2"/>
            <w:vAlign w:val="bottom"/>
          </w:tcPr>
          <w:p w14:paraId="54B602FB" w14:textId="77777777" w:rsidR="00D1587D" w:rsidRDefault="00410D07">
            <w:pPr>
              <w:ind w:right="260"/>
              <w:jc w:val="right"/>
              <w:rPr>
                <w:sz w:val="20"/>
                <w:szCs w:val="20"/>
              </w:rPr>
            </w:pPr>
            <w:r>
              <w:rPr>
                <w:rFonts w:ascii="Arial" w:eastAsia="Arial" w:hAnsi="Arial" w:cs="Arial"/>
                <w:sz w:val="18"/>
                <w:szCs w:val="18"/>
              </w:rPr>
              <w:t>—</w:t>
            </w:r>
          </w:p>
        </w:tc>
        <w:tc>
          <w:tcPr>
            <w:tcW w:w="940" w:type="dxa"/>
            <w:vAlign w:val="bottom"/>
          </w:tcPr>
          <w:p w14:paraId="659D47CD" w14:textId="77777777" w:rsidR="00D1587D" w:rsidRDefault="00410D07">
            <w:pPr>
              <w:jc w:val="right"/>
              <w:rPr>
                <w:sz w:val="20"/>
                <w:szCs w:val="20"/>
              </w:rPr>
            </w:pPr>
            <w:r>
              <w:rPr>
                <w:rFonts w:ascii="Arial" w:eastAsia="Arial" w:hAnsi="Arial" w:cs="Arial"/>
                <w:sz w:val="18"/>
                <w:szCs w:val="18"/>
              </w:rPr>
              <w:t>—</w:t>
            </w:r>
          </w:p>
        </w:tc>
        <w:tc>
          <w:tcPr>
            <w:tcW w:w="180" w:type="dxa"/>
            <w:vAlign w:val="bottom"/>
          </w:tcPr>
          <w:p w14:paraId="5DD85D89" w14:textId="77777777" w:rsidR="00D1587D" w:rsidRDefault="00D1587D">
            <w:pPr>
              <w:rPr>
                <w:sz w:val="24"/>
                <w:szCs w:val="24"/>
              </w:rPr>
            </w:pPr>
          </w:p>
        </w:tc>
        <w:tc>
          <w:tcPr>
            <w:tcW w:w="160" w:type="dxa"/>
            <w:vAlign w:val="bottom"/>
          </w:tcPr>
          <w:p w14:paraId="50893758" w14:textId="77777777" w:rsidR="00D1587D" w:rsidRDefault="00D1587D">
            <w:pPr>
              <w:rPr>
                <w:sz w:val="24"/>
                <w:szCs w:val="24"/>
              </w:rPr>
            </w:pPr>
          </w:p>
        </w:tc>
        <w:tc>
          <w:tcPr>
            <w:tcW w:w="660" w:type="dxa"/>
            <w:vAlign w:val="bottom"/>
          </w:tcPr>
          <w:p w14:paraId="3B1D1E5C" w14:textId="77777777" w:rsidR="00D1587D" w:rsidRDefault="00410D07">
            <w:pPr>
              <w:jc w:val="right"/>
              <w:rPr>
                <w:sz w:val="20"/>
                <w:szCs w:val="20"/>
              </w:rPr>
            </w:pPr>
            <w:r>
              <w:rPr>
                <w:rFonts w:ascii="Arial" w:eastAsia="Arial" w:hAnsi="Arial" w:cs="Arial"/>
                <w:sz w:val="18"/>
                <w:szCs w:val="18"/>
              </w:rPr>
              <w:t>—</w:t>
            </w:r>
          </w:p>
        </w:tc>
        <w:tc>
          <w:tcPr>
            <w:tcW w:w="180" w:type="dxa"/>
            <w:vAlign w:val="bottom"/>
          </w:tcPr>
          <w:p w14:paraId="67227EC5" w14:textId="77777777" w:rsidR="00D1587D" w:rsidRDefault="00D1587D">
            <w:pPr>
              <w:rPr>
                <w:sz w:val="24"/>
                <w:szCs w:val="24"/>
              </w:rPr>
            </w:pPr>
          </w:p>
        </w:tc>
        <w:tc>
          <w:tcPr>
            <w:tcW w:w="100" w:type="dxa"/>
            <w:vAlign w:val="bottom"/>
          </w:tcPr>
          <w:p w14:paraId="3166331E" w14:textId="77777777" w:rsidR="00D1587D" w:rsidRDefault="00D1587D">
            <w:pPr>
              <w:rPr>
                <w:sz w:val="24"/>
                <w:szCs w:val="24"/>
              </w:rPr>
            </w:pPr>
          </w:p>
        </w:tc>
        <w:tc>
          <w:tcPr>
            <w:tcW w:w="900" w:type="dxa"/>
            <w:gridSpan w:val="2"/>
            <w:vAlign w:val="bottom"/>
          </w:tcPr>
          <w:p w14:paraId="38C3E0CA" w14:textId="77777777" w:rsidR="00D1587D" w:rsidRDefault="00410D07">
            <w:pPr>
              <w:ind w:right="200"/>
              <w:jc w:val="right"/>
              <w:rPr>
                <w:sz w:val="20"/>
                <w:szCs w:val="20"/>
              </w:rPr>
            </w:pPr>
            <w:r>
              <w:rPr>
                <w:rFonts w:ascii="Arial" w:eastAsia="Arial" w:hAnsi="Arial" w:cs="Arial"/>
                <w:sz w:val="18"/>
                <w:szCs w:val="18"/>
              </w:rPr>
              <w:t>—</w:t>
            </w:r>
          </w:p>
        </w:tc>
        <w:tc>
          <w:tcPr>
            <w:tcW w:w="300" w:type="dxa"/>
            <w:vAlign w:val="bottom"/>
          </w:tcPr>
          <w:p w14:paraId="4D936585" w14:textId="77777777" w:rsidR="00D1587D" w:rsidRDefault="00D1587D">
            <w:pPr>
              <w:rPr>
                <w:sz w:val="24"/>
                <w:szCs w:val="24"/>
              </w:rPr>
            </w:pPr>
          </w:p>
        </w:tc>
        <w:tc>
          <w:tcPr>
            <w:tcW w:w="480" w:type="dxa"/>
            <w:vAlign w:val="bottom"/>
          </w:tcPr>
          <w:p w14:paraId="2AAA8BBD"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6BBFA521" w14:textId="77777777" w:rsidR="00D1587D" w:rsidRDefault="00D1587D">
            <w:pPr>
              <w:rPr>
                <w:sz w:val="1"/>
                <w:szCs w:val="1"/>
              </w:rPr>
            </w:pPr>
          </w:p>
        </w:tc>
      </w:tr>
      <w:tr w:rsidR="00D1587D" w14:paraId="010B126E" w14:textId="77777777">
        <w:trPr>
          <w:trHeight w:val="246"/>
        </w:trPr>
        <w:tc>
          <w:tcPr>
            <w:tcW w:w="2360" w:type="dxa"/>
            <w:gridSpan w:val="3"/>
            <w:shd w:val="clear" w:color="auto" w:fill="CCEEFF"/>
            <w:vAlign w:val="bottom"/>
          </w:tcPr>
          <w:p w14:paraId="480E8BBE" w14:textId="77777777" w:rsidR="00D1587D" w:rsidRDefault="00410D07">
            <w:pPr>
              <w:rPr>
                <w:sz w:val="20"/>
                <w:szCs w:val="20"/>
              </w:rPr>
            </w:pPr>
            <w:r>
              <w:rPr>
                <w:rFonts w:ascii="Arial" w:eastAsia="Arial" w:hAnsi="Arial" w:cs="Arial"/>
                <w:sz w:val="18"/>
                <w:szCs w:val="18"/>
              </w:rPr>
              <w:t>Gain of Accelerated Stock</w:t>
            </w:r>
          </w:p>
        </w:tc>
        <w:tc>
          <w:tcPr>
            <w:tcW w:w="840" w:type="dxa"/>
            <w:shd w:val="clear" w:color="auto" w:fill="CCEEFF"/>
            <w:vAlign w:val="bottom"/>
          </w:tcPr>
          <w:p w14:paraId="7113D3BC" w14:textId="77777777" w:rsidR="00D1587D" w:rsidRDefault="00D1587D">
            <w:pPr>
              <w:rPr>
                <w:sz w:val="21"/>
                <w:szCs w:val="21"/>
              </w:rPr>
            </w:pPr>
          </w:p>
        </w:tc>
        <w:tc>
          <w:tcPr>
            <w:tcW w:w="60" w:type="dxa"/>
            <w:shd w:val="clear" w:color="auto" w:fill="CCEEFF"/>
            <w:vAlign w:val="bottom"/>
          </w:tcPr>
          <w:p w14:paraId="20AEB9BA" w14:textId="77777777" w:rsidR="00D1587D" w:rsidRDefault="00D1587D">
            <w:pPr>
              <w:rPr>
                <w:sz w:val="21"/>
                <w:szCs w:val="21"/>
              </w:rPr>
            </w:pPr>
          </w:p>
        </w:tc>
        <w:tc>
          <w:tcPr>
            <w:tcW w:w="120" w:type="dxa"/>
            <w:shd w:val="clear" w:color="auto" w:fill="CCEEFF"/>
            <w:vAlign w:val="bottom"/>
          </w:tcPr>
          <w:p w14:paraId="6A17D3BC" w14:textId="77777777" w:rsidR="00D1587D" w:rsidRDefault="00D1587D">
            <w:pPr>
              <w:rPr>
                <w:sz w:val="21"/>
                <w:szCs w:val="21"/>
              </w:rPr>
            </w:pPr>
          </w:p>
        </w:tc>
        <w:tc>
          <w:tcPr>
            <w:tcW w:w="60" w:type="dxa"/>
            <w:shd w:val="clear" w:color="auto" w:fill="CCEEFF"/>
            <w:vAlign w:val="bottom"/>
          </w:tcPr>
          <w:p w14:paraId="2F22B1DC" w14:textId="77777777" w:rsidR="00D1587D" w:rsidRDefault="00D1587D">
            <w:pPr>
              <w:rPr>
                <w:sz w:val="21"/>
                <w:szCs w:val="21"/>
              </w:rPr>
            </w:pPr>
          </w:p>
        </w:tc>
        <w:tc>
          <w:tcPr>
            <w:tcW w:w="900" w:type="dxa"/>
            <w:shd w:val="clear" w:color="auto" w:fill="CCEEFF"/>
            <w:vAlign w:val="bottom"/>
          </w:tcPr>
          <w:p w14:paraId="610E013D" w14:textId="77777777" w:rsidR="00D1587D" w:rsidRDefault="00D1587D">
            <w:pPr>
              <w:rPr>
                <w:sz w:val="21"/>
                <w:szCs w:val="21"/>
              </w:rPr>
            </w:pPr>
          </w:p>
        </w:tc>
        <w:tc>
          <w:tcPr>
            <w:tcW w:w="180" w:type="dxa"/>
            <w:shd w:val="clear" w:color="auto" w:fill="CCEEFF"/>
            <w:vAlign w:val="bottom"/>
          </w:tcPr>
          <w:p w14:paraId="71526377" w14:textId="77777777" w:rsidR="00D1587D" w:rsidRDefault="00D1587D">
            <w:pPr>
              <w:rPr>
                <w:sz w:val="21"/>
                <w:szCs w:val="21"/>
              </w:rPr>
            </w:pPr>
          </w:p>
        </w:tc>
        <w:tc>
          <w:tcPr>
            <w:tcW w:w="940" w:type="dxa"/>
            <w:shd w:val="clear" w:color="auto" w:fill="CCEEFF"/>
            <w:vAlign w:val="bottom"/>
          </w:tcPr>
          <w:p w14:paraId="00BEB210" w14:textId="77777777" w:rsidR="00D1587D" w:rsidRDefault="00D1587D">
            <w:pPr>
              <w:rPr>
                <w:sz w:val="21"/>
                <w:szCs w:val="21"/>
              </w:rPr>
            </w:pPr>
          </w:p>
        </w:tc>
        <w:tc>
          <w:tcPr>
            <w:tcW w:w="180" w:type="dxa"/>
            <w:shd w:val="clear" w:color="auto" w:fill="CCEEFF"/>
            <w:vAlign w:val="bottom"/>
          </w:tcPr>
          <w:p w14:paraId="2EC1BD98" w14:textId="77777777" w:rsidR="00D1587D" w:rsidRDefault="00D1587D">
            <w:pPr>
              <w:rPr>
                <w:sz w:val="21"/>
                <w:szCs w:val="21"/>
              </w:rPr>
            </w:pPr>
          </w:p>
        </w:tc>
        <w:tc>
          <w:tcPr>
            <w:tcW w:w="160" w:type="dxa"/>
            <w:shd w:val="clear" w:color="auto" w:fill="CCEEFF"/>
            <w:vAlign w:val="bottom"/>
          </w:tcPr>
          <w:p w14:paraId="59934962" w14:textId="77777777" w:rsidR="00D1587D" w:rsidRDefault="00D1587D">
            <w:pPr>
              <w:rPr>
                <w:sz w:val="21"/>
                <w:szCs w:val="21"/>
              </w:rPr>
            </w:pPr>
          </w:p>
        </w:tc>
        <w:tc>
          <w:tcPr>
            <w:tcW w:w="660" w:type="dxa"/>
            <w:shd w:val="clear" w:color="auto" w:fill="CCEEFF"/>
            <w:vAlign w:val="bottom"/>
          </w:tcPr>
          <w:p w14:paraId="02731FCA" w14:textId="77777777" w:rsidR="00D1587D" w:rsidRDefault="00D1587D">
            <w:pPr>
              <w:rPr>
                <w:sz w:val="21"/>
                <w:szCs w:val="21"/>
              </w:rPr>
            </w:pPr>
          </w:p>
        </w:tc>
        <w:tc>
          <w:tcPr>
            <w:tcW w:w="180" w:type="dxa"/>
            <w:shd w:val="clear" w:color="auto" w:fill="CCEEFF"/>
            <w:vAlign w:val="bottom"/>
          </w:tcPr>
          <w:p w14:paraId="159748D3" w14:textId="77777777" w:rsidR="00D1587D" w:rsidRDefault="00D1587D">
            <w:pPr>
              <w:rPr>
                <w:sz w:val="21"/>
                <w:szCs w:val="21"/>
              </w:rPr>
            </w:pPr>
          </w:p>
        </w:tc>
        <w:tc>
          <w:tcPr>
            <w:tcW w:w="100" w:type="dxa"/>
            <w:shd w:val="clear" w:color="auto" w:fill="CCEEFF"/>
            <w:vAlign w:val="bottom"/>
          </w:tcPr>
          <w:p w14:paraId="67D18238" w14:textId="77777777" w:rsidR="00D1587D" w:rsidRDefault="00D1587D">
            <w:pPr>
              <w:rPr>
                <w:sz w:val="21"/>
                <w:szCs w:val="21"/>
              </w:rPr>
            </w:pPr>
          </w:p>
        </w:tc>
        <w:tc>
          <w:tcPr>
            <w:tcW w:w="720" w:type="dxa"/>
            <w:shd w:val="clear" w:color="auto" w:fill="CCEEFF"/>
            <w:vAlign w:val="bottom"/>
          </w:tcPr>
          <w:p w14:paraId="6B7D9EB2" w14:textId="77777777" w:rsidR="00D1587D" w:rsidRDefault="00D1587D">
            <w:pPr>
              <w:rPr>
                <w:sz w:val="21"/>
                <w:szCs w:val="21"/>
              </w:rPr>
            </w:pPr>
          </w:p>
        </w:tc>
        <w:tc>
          <w:tcPr>
            <w:tcW w:w="180" w:type="dxa"/>
            <w:shd w:val="clear" w:color="auto" w:fill="CCEEFF"/>
            <w:vAlign w:val="bottom"/>
          </w:tcPr>
          <w:p w14:paraId="4D3DF246" w14:textId="77777777" w:rsidR="00D1587D" w:rsidRDefault="00D1587D">
            <w:pPr>
              <w:rPr>
                <w:sz w:val="21"/>
                <w:szCs w:val="21"/>
              </w:rPr>
            </w:pPr>
          </w:p>
        </w:tc>
        <w:tc>
          <w:tcPr>
            <w:tcW w:w="300" w:type="dxa"/>
            <w:shd w:val="clear" w:color="auto" w:fill="CCEEFF"/>
            <w:vAlign w:val="bottom"/>
          </w:tcPr>
          <w:p w14:paraId="5C843893" w14:textId="77777777" w:rsidR="00D1587D" w:rsidRDefault="00D1587D">
            <w:pPr>
              <w:rPr>
                <w:sz w:val="21"/>
                <w:szCs w:val="21"/>
              </w:rPr>
            </w:pPr>
          </w:p>
        </w:tc>
        <w:tc>
          <w:tcPr>
            <w:tcW w:w="480" w:type="dxa"/>
            <w:shd w:val="clear" w:color="auto" w:fill="CCEEFF"/>
            <w:vAlign w:val="bottom"/>
          </w:tcPr>
          <w:p w14:paraId="577B54BD" w14:textId="77777777" w:rsidR="00D1587D" w:rsidRDefault="00D1587D">
            <w:pPr>
              <w:rPr>
                <w:sz w:val="21"/>
                <w:szCs w:val="21"/>
              </w:rPr>
            </w:pPr>
          </w:p>
        </w:tc>
        <w:tc>
          <w:tcPr>
            <w:tcW w:w="0" w:type="dxa"/>
            <w:vAlign w:val="bottom"/>
          </w:tcPr>
          <w:p w14:paraId="316EC1BC" w14:textId="77777777" w:rsidR="00D1587D" w:rsidRDefault="00D1587D">
            <w:pPr>
              <w:rPr>
                <w:sz w:val="1"/>
                <w:szCs w:val="1"/>
              </w:rPr>
            </w:pPr>
          </w:p>
        </w:tc>
      </w:tr>
      <w:tr w:rsidR="00D1587D" w14:paraId="5EF91764" w14:textId="77777777">
        <w:trPr>
          <w:trHeight w:val="294"/>
        </w:trPr>
        <w:tc>
          <w:tcPr>
            <w:tcW w:w="2360" w:type="dxa"/>
            <w:gridSpan w:val="3"/>
            <w:shd w:val="clear" w:color="auto" w:fill="CCEEFF"/>
            <w:vAlign w:val="bottom"/>
          </w:tcPr>
          <w:p w14:paraId="20CEC43B" w14:textId="77777777" w:rsidR="00D1587D" w:rsidRDefault="00410D07">
            <w:pPr>
              <w:spacing w:line="294" w:lineRule="exact"/>
              <w:ind w:left="180"/>
              <w:rPr>
                <w:sz w:val="20"/>
                <w:szCs w:val="20"/>
              </w:rPr>
            </w:pPr>
            <w:r>
              <w:rPr>
                <w:rFonts w:ascii="Arial" w:eastAsia="Arial" w:hAnsi="Arial" w:cs="Arial"/>
                <w:sz w:val="18"/>
                <w:szCs w:val="18"/>
              </w:rPr>
              <w:t>Options</w:t>
            </w:r>
            <w:r>
              <w:rPr>
                <w:rFonts w:ascii="Arial" w:eastAsia="Arial" w:hAnsi="Arial" w:cs="Arial"/>
                <w:sz w:val="29"/>
                <w:szCs w:val="29"/>
                <w:vertAlign w:val="superscript"/>
              </w:rPr>
              <w:t>(4)</w:t>
            </w:r>
          </w:p>
        </w:tc>
        <w:tc>
          <w:tcPr>
            <w:tcW w:w="1020" w:type="dxa"/>
            <w:gridSpan w:val="3"/>
            <w:shd w:val="clear" w:color="auto" w:fill="CCEEFF"/>
            <w:vAlign w:val="bottom"/>
          </w:tcPr>
          <w:p w14:paraId="374ABCBD" w14:textId="77777777" w:rsidR="00D1587D" w:rsidRDefault="00410D07">
            <w:pPr>
              <w:ind w:right="260"/>
              <w:jc w:val="right"/>
              <w:rPr>
                <w:sz w:val="20"/>
                <w:szCs w:val="20"/>
              </w:rPr>
            </w:pPr>
            <w:r>
              <w:rPr>
                <w:rFonts w:ascii="Arial" w:eastAsia="Arial" w:hAnsi="Arial" w:cs="Arial"/>
                <w:sz w:val="18"/>
                <w:szCs w:val="18"/>
              </w:rPr>
              <w:t>—</w:t>
            </w:r>
          </w:p>
        </w:tc>
        <w:tc>
          <w:tcPr>
            <w:tcW w:w="60" w:type="dxa"/>
            <w:shd w:val="clear" w:color="auto" w:fill="CCEEFF"/>
            <w:vAlign w:val="bottom"/>
          </w:tcPr>
          <w:p w14:paraId="49377191" w14:textId="77777777" w:rsidR="00D1587D" w:rsidRDefault="00D1587D">
            <w:pPr>
              <w:rPr>
                <w:sz w:val="24"/>
                <w:szCs w:val="24"/>
              </w:rPr>
            </w:pPr>
          </w:p>
        </w:tc>
        <w:tc>
          <w:tcPr>
            <w:tcW w:w="1080" w:type="dxa"/>
            <w:gridSpan w:val="2"/>
            <w:shd w:val="clear" w:color="auto" w:fill="CCEEFF"/>
            <w:vAlign w:val="bottom"/>
          </w:tcPr>
          <w:p w14:paraId="6F0CB42B" w14:textId="77777777" w:rsidR="00D1587D" w:rsidRDefault="00410D07">
            <w:pPr>
              <w:ind w:right="260"/>
              <w:jc w:val="right"/>
              <w:rPr>
                <w:sz w:val="20"/>
                <w:szCs w:val="20"/>
              </w:rPr>
            </w:pPr>
            <w:r>
              <w:rPr>
                <w:rFonts w:ascii="Arial" w:eastAsia="Arial" w:hAnsi="Arial" w:cs="Arial"/>
                <w:sz w:val="18"/>
                <w:szCs w:val="18"/>
              </w:rPr>
              <w:t>—</w:t>
            </w:r>
          </w:p>
        </w:tc>
        <w:tc>
          <w:tcPr>
            <w:tcW w:w="940" w:type="dxa"/>
            <w:shd w:val="clear" w:color="auto" w:fill="CCEEFF"/>
            <w:vAlign w:val="bottom"/>
          </w:tcPr>
          <w:p w14:paraId="5568D66C" w14:textId="77777777" w:rsidR="00D1587D" w:rsidRDefault="00410D07">
            <w:pPr>
              <w:jc w:val="right"/>
              <w:rPr>
                <w:sz w:val="20"/>
                <w:szCs w:val="20"/>
              </w:rPr>
            </w:pPr>
            <w:r>
              <w:rPr>
                <w:rFonts w:ascii="Arial" w:eastAsia="Arial" w:hAnsi="Arial" w:cs="Arial"/>
                <w:sz w:val="18"/>
                <w:szCs w:val="18"/>
              </w:rPr>
              <w:t>210,315</w:t>
            </w:r>
          </w:p>
        </w:tc>
        <w:tc>
          <w:tcPr>
            <w:tcW w:w="180" w:type="dxa"/>
            <w:shd w:val="clear" w:color="auto" w:fill="CCEEFF"/>
            <w:vAlign w:val="bottom"/>
          </w:tcPr>
          <w:p w14:paraId="31F6D05E" w14:textId="77777777" w:rsidR="00D1587D" w:rsidRDefault="00D1587D">
            <w:pPr>
              <w:rPr>
                <w:sz w:val="24"/>
                <w:szCs w:val="24"/>
              </w:rPr>
            </w:pPr>
          </w:p>
        </w:tc>
        <w:tc>
          <w:tcPr>
            <w:tcW w:w="160" w:type="dxa"/>
            <w:shd w:val="clear" w:color="auto" w:fill="CCEEFF"/>
            <w:vAlign w:val="bottom"/>
          </w:tcPr>
          <w:p w14:paraId="64A46589" w14:textId="77777777" w:rsidR="00D1587D" w:rsidRDefault="00D1587D">
            <w:pPr>
              <w:rPr>
                <w:sz w:val="24"/>
                <w:szCs w:val="24"/>
              </w:rPr>
            </w:pPr>
          </w:p>
        </w:tc>
        <w:tc>
          <w:tcPr>
            <w:tcW w:w="660" w:type="dxa"/>
            <w:shd w:val="clear" w:color="auto" w:fill="CCEEFF"/>
            <w:vAlign w:val="bottom"/>
          </w:tcPr>
          <w:p w14:paraId="11D82C3D" w14:textId="77777777" w:rsidR="00D1587D" w:rsidRDefault="00410D07">
            <w:pPr>
              <w:jc w:val="right"/>
              <w:rPr>
                <w:sz w:val="20"/>
                <w:szCs w:val="20"/>
              </w:rPr>
            </w:pPr>
            <w:r>
              <w:rPr>
                <w:rFonts w:ascii="Arial" w:eastAsia="Arial" w:hAnsi="Arial" w:cs="Arial"/>
                <w:w w:val="95"/>
                <w:sz w:val="18"/>
                <w:szCs w:val="18"/>
              </w:rPr>
              <w:t>210,315</w:t>
            </w:r>
          </w:p>
        </w:tc>
        <w:tc>
          <w:tcPr>
            <w:tcW w:w="180" w:type="dxa"/>
            <w:shd w:val="clear" w:color="auto" w:fill="CCEEFF"/>
            <w:vAlign w:val="bottom"/>
          </w:tcPr>
          <w:p w14:paraId="2D25D01E" w14:textId="77777777" w:rsidR="00D1587D" w:rsidRDefault="00D1587D">
            <w:pPr>
              <w:rPr>
                <w:sz w:val="24"/>
                <w:szCs w:val="24"/>
              </w:rPr>
            </w:pPr>
          </w:p>
        </w:tc>
        <w:tc>
          <w:tcPr>
            <w:tcW w:w="100" w:type="dxa"/>
            <w:shd w:val="clear" w:color="auto" w:fill="CCEEFF"/>
            <w:vAlign w:val="bottom"/>
          </w:tcPr>
          <w:p w14:paraId="1EADCBF8" w14:textId="77777777" w:rsidR="00D1587D" w:rsidRDefault="00D1587D">
            <w:pPr>
              <w:rPr>
                <w:sz w:val="24"/>
                <w:szCs w:val="24"/>
              </w:rPr>
            </w:pPr>
          </w:p>
        </w:tc>
        <w:tc>
          <w:tcPr>
            <w:tcW w:w="720" w:type="dxa"/>
            <w:shd w:val="clear" w:color="auto" w:fill="CCEEFF"/>
            <w:vAlign w:val="bottom"/>
          </w:tcPr>
          <w:p w14:paraId="0C769DFF" w14:textId="77777777" w:rsidR="00D1587D" w:rsidRDefault="00410D07">
            <w:pPr>
              <w:jc w:val="right"/>
              <w:rPr>
                <w:sz w:val="20"/>
                <w:szCs w:val="20"/>
              </w:rPr>
            </w:pPr>
            <w:r>
              <w:rPr>
                <w:rFonts w:ascii="Arial" w:eastAsia="Arial" w:hAnsi="Arial" w:cs="Arial"/>
                <w:sz w:val="18"/>
                <w:szCs w:val="18"/>
              </w:rPr>
              <w:t>210,315</w:t>
            </w:r>
          </w:p>
        </w:tc>
        <w:tc>
          <w:tcPr>
            <w:tcW w:w="180" w:type="dxa"/>
            <w:shd w:val="clear" w:color="auto" w:fill="CCEEFF"/>
            <w:vAlign w:val="bottom"/>
          </w:tcPr>
          <w:p w14:paraId="3D97FC41" w14:textId="77777777" w:rsidR="00D1587D" w:rsidRDefault="00D1587D">
            <w:pPr>
              <w:rPr>
                <w:sz w:val="24"/>
                <w:szCs w:val="24"/>
              </w:rPr>
            </w:pPr>
          </w:p>
        </w:tc>
        <w:tc>
          <w:tcPr>
            <w:tcW w:w="300" w:type="dxa"/>
            <w:shd w:val="clear" w:color="auto" w:fill="CCEEFF"/>
            <w:vAlign w:val="bottom"/>
          </w:tcPr>
          <w:p w14:paraId="0AB5216F" w14:textId="77777777" w:rsidR="00D1587D" w:rsidRDefault="00D1587D">
            <w:pPr>
              <w:rPr>
                <w:sz w:val="24"/>
                <w:szCs w:val="24"/>
              </w:rPr>
            </w:pPr>
          </w:p>
        </w:tc>
        <w:tc>
          <w:tcPr>
            <w:tcW w:w="480" w:type="dxa"/>
            <w:shd w:val="clear" w:color="auto" w:fill="CCEEFF"/>
            <w:vAlign w:val="bottom"/>
          </w:tcPr>
          <w:p w14:paraId="61D04E4D"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0F58DBE8" w14:textId="77777777" w:rsidR="00D1587D" w:rsidRDefault="00D1587D">
            <w:pPr>
              <w:rPr>
                <w:sz w:val="1"/>
                <w:szCs w:val="1"/>
              </w:rPr>
            </w:pPr>
          </w:p>
        </w:tc>
      </w:tr>
      <w:tr w:rsidR="00D1587D" w14:paraId="54B6B3D1" w14:textId="77777777">
        <w:trPr>
          <w:trHeight w:val="246"/>
        </w:trPr>
        <w:tc>
          <w:tcPr>
            <w:tcW w:w="2360" w:type="dxa"/>
            <w:gridSpan w:val="3"/>
            <w:vAlign w:val="bottom"/>
          </w:tcPr>
          <w:p w14:paraId="15033571" w14:textId="77777777" w:rsidR="00D1587D" w:rsidRDefault="00410D07">
            <w:pPr>
              <w:rPr>
                <w:sz w:val="20"/>
                <w:szCs w:val="20"/>
              </w:rPr>
            </w:pPr>
            <w:r>
              <w:rPr>
                <w:rFonts w:ascii="Arial" w:eastAsia="Arial" w:hAnsi="Arial" w:cs="Arial"/>
                <w:sz w:val="18"/>
                <w:szCs w:val="18"/>
              </w:rPr>
              <w:t>Value of Pro-rated or</w:t>
            </w:r>
          </w:p>
        </w:tc>
        <w:tc>
          <w:tcPr>
            <w:tcW w:w="840" w:type="dxa"/>
            <w:vAlign w:val="bottom"/>
          </w:tcPr>
          <w:p w14:paraId="3725E8EC" w14:textId="77777777" w:rsidR="00D1587D" w:rsidRDefault="00D1587D">
            <w:pPr>
              <w:rPr>
                <w:sz w:val="21"/>
                <w:szCs w:val="21"/>
              </w:rPr>
            </w:pPr>
          </w:p>
        </w:tc>
        <w:tc>
          <w:tcPr>
            <w:tcW w:w="60" w:type="dxa"/>
            <w:vAlign w:val="bottom"/>
          </w:tcPr>
          <w:p w14:paraId="44657A67" w14:textId="77777777" w:rsidR="00D1587D" w:rsidRDefault="00D1587D">
            <w:pPr>
              <w:rPr>
                <w:sz w:val="21"/>
                <w:szCs w:val="21"/>
              </w:rPr>
            </w:pPr>
          </w:p>
        </w:tc>
        <w:tc>
          <w:tcPr>
            <w:tcW w:w="120" w:type="dxa"/>
            <w:vAlign w:val="bottom"/>
          </w:tcPr>
          <w:p w14:paraId="0415A500" w14:textId="77777777" w:rsidR="00D1587D" w:rsidRDefault="00D1587D">
            <w:pPr>
              <w:rPr>
                <w:sz w:val="21"/>
                <w:szCs w:val="21"/>
              </w:rPr>
            </w:pPr>
          </w:p>
        </w:tc>
        <w:tc>
          <w:tcPr>
            <w:tcW w:w="60" w:type="dxa"/>
            <w:vAlign w:val="bottom"/>
          </w:tcPr>
          <w:p w14:paraId="4D67B3D6" w14:textId="77777777" w:rsidR="00D1587D" w:rsidRDefault="00D1587D">
            <w:pPr>
              <w:rPr>
                <w:sz w:val="21"/>
                <w:szCs w:val="21"/>
              </w:rPr>
            </w:pPr>
          </w:p>
        </w:tc>
        <w:tc>
          <w:tcPr>
            <w:tcW w:w="900" w:type="dxa"/>
            <w:vAlign w:val="bottom"/>
          </w:tcPr>
          <w:p w14:paraId="1E6AF37C" w14:textId="77777777" w:rsidR="00D1587D" w:rsidRDefault="00D1587D">
            <w:pPr>
              <w:rPr>
                <w:sz w:val="21"/>
                <w:szCs w:val="21"/>
              </w:rPr>
            </w:pPr>
          </w:p>
        </w:tc>
        <w:tc>
          <w:tcPr>
            <w:tcW w:w="180" w:type="dxa"/>
            <w:vAlign w:val="bottom"/>
          </w:tcPr>
          <w:p w14:paraId="080B8E41" w14:textId="77777777" w:rsidR="00D1587D" w:rsidRDefault="00D1587D">
            <w:pPr>
              <w:rPr>
                <w:sz w:val="21"/>
                <w:szCs w:val="21"/>
              </w:rPr>
            </w:pPr>
          </w:p>
        </w:tc>
        <w:tc>
          <w:tcPr>
            <w:tcW w:w="940" w:type="dxa"/>
            <w:vAlign w:val="bottom"/>
          </w:tcPr>
          <w:p w14:paraId="3E5CFB8D" w14:textId="77777777" w:rsidR="00D1587D" w:rsidRDefault="00D1587D">
            <w:pPr>
              <w:rPr>
                <w:sz w:val="21"/>
                <w:szCs w:val="21"/>
              </w:rPr>
            </w:pPr>
          </w:p>
        </w:tc>
        <w:tc>
          <w:tcPr>
            <w:tcW w:w="180" w:type="dxa"/>
            <w:vAlign w:val="bottom"/>
          </w:tcPr>
          <w:p w14:paraId="102B22F2" w14:textId="77777777" w:rsidR="00D1587D" w:rsidRDefault="00D1587D">
            <w:pPr>
              <w:rPr>
                <w:sz w:val="21"/>
                <w:szCs w:val="21"/>
              </w:rPr>
            </w:pPr>
          </w:p>
        </w:tc>
        <w:tc>
          <w:tcPr>
            <w:tcW w:w="160" w:type="dxa"/>
            <w:vAlign w:val="bottom"/>
          </w:tcPr>
          <w:p w14:paraId="61E865C5" w14:textId="77777777" w:rsidR="00D1587D" w:rsidRDefault="00D1587D">
            <w:pPr>
              <w:rPr>
                <w:sz w:val="21"/>
                <w:szCs w:val="21"/>
              </w:rPr>
            </w:pPr>
          </w:p>
        </w:tc>
        <w:tc>
          <w:tcPr>
            <w:tcW w:w="660" w:type="dxa"/>
            <w:vAlign w:val="bottom"/>
          </w:tcPr>
          <w:p w14:paraId="2B9517D3" w14:textId="77777777" w:rsidR="00D1587D" w:rsidRDefault="00D1587D">
            <w:pPr>
              <w:rPr>
                <w:sz w:val="21"/>
                <w:szCs w:val="21"/>
              </w:rPr>
            </w:pPr>
          </w:p>
        </w:tc>
        <w:tc>
          <w:tcPr>
            <w:tcW w:w="180" w:type="dxa"/>
            <w:vAlign w:val="bottom"/>
          </w:tcPr>
          <w:p w14:paraId="11BFCAA7" w14:textId="77777777" w:rsidR="00D1587D" w:rsidRDefault="00D1587D">
            <w:pPr>
              <w:rPr>
                <w:sz w:val="21"/>
                <w:szCs w:val="21"/>
              </w:rPr>
            </w:pPr>
          </w:p>
        </w:tc>
        <w:tc>
          <w:tcPr>
            <w:tcW w:w="100" w:type="dxa"/>
            <w:vAlign w:val="bottom"/>
          </w:tcPr>
          <w:p w14:paraId="05CE29B6" w14:textId="77777777" w:rsidR="00D1587D" w:rsidRDefault="00D1587D">
            <w:pPr>
              <w:rPr>
                <w:sz w:val="21"/>
                <w:szCs w:val="21"/>
              </w:rPr>
            </w:pPr>
          </w:p>
        </w:tc>
        <w:tc>
          <w:tcPr>
            <w:tcW w:w="720" w:type="dxa"/>
            <w:vAlign w:val="bottom"/>
          </w:tcPr>
          <w:p w14:paraId="5122D1B4" w14:textId="77777777" w:rsidR="00D1587D" w:rsidRDefault="00D1587D">
            <w:pPr>
              <w:rPr>
                <w:sz w:val="21"/>
                <w:szCs w:val="21"/>
              </w:rPr>
            </w:pPr>
          </w:p>
        </w:tc>
        <w:tc>
          <w:tcPr>
            <w:tcW w:w="180" w:type="dxa"/>
            <w:vAlign w:val="bottom"/>
          </w:tcPr>
          <w:p w14:paraId="3FD3D523" w14:textId="77777777" w:rsidR="00D1587D" w:rsidRDefault="00D1587D">
            <w:pPr>
              <w:rPr>
                <w:sz w:val="21"/>
                <w:szCs w:val="21"/>
              </w:rPr>
            </w:pPr>
          </w:p>
        </w:tc>
        <w:tc>
          <w:tcPr>
            <w:tcW w:w="300" w:type="dxa"/>
            <w:vAlign w:val="bottom"/>
          </w:tcPr>
          <w:p w14:paraId="3CA46506" w14:textId="77777777" w:rsidR="00D1587D" w:rsidRDefault="00D1587D">
            <w:pPr>
              <w:rPr>
                <w:sz w:val="21"/>
                <w:szCs w:val="21"/>
              </w:rPr>
            </w:pPr>
          </w:p>
        </w:tc>
        <w:tc>
          <w:tcPr>
            <w:tcW w:w="480" w:type="dxa"/>
            <w:vAlign w:val="bottom"/>
          </w:tcPr>
          <w:p w14:paraId="09C471B2" w14:textId="77777777" w:rsidR="00D1587D" w:rsidRDefault="00D1587D">
            <w:pPr>
              <w:rPr>
                <w:sz w:val="21"/>
                <w:szCs w:val="21"/>
              </w:rPr>
            </w:pPr>
          </w:p>
        </w:tc>
        <w:tc>
          <w:tcPr>
            <w:tcW w:w="0" w:type="dxa"/>
            <w:vAlign w:val="bottom"/>
          </w:tcPr>
          <w:p w14:paraId="504A7D53" w14:textId="77777777" w:rsidR="00D1587D" w:rsidRDefault="00D1587D">
            <w:pPr>
              <w:rPr>
                <w:sz w:val="1"/>
                <w:szCs w:val="1"/>
              </w:rPr>
            </w:pPr>
          </w:p>
        </w:tc>
      </w:tr>
      <w:tr w:rsidR="00D1587D" w14:paraId="366843C3" w14:textId="77777777">
        <w:trPr>
          <w:trHeight w:val="294"/>
        </w:trPr>
        <w:tc>
          <w:tcPr>
            <w:tcW w:w="2360" w:type="dxa"/>
            <w:gridSpan w:val="3"/>
            <w:vAlign w:val="bottom"/>
          </w:tcPr>
          <w:p w14:paraId="001D2A87" w14:textId="77777777" w:rsidR="00D1587D" w:rsidRDefault="00410D07">
            <w:pPr>
              <w:spacing w:line="294" w:lineRule="exact"/>
              <w:ind w:left="180"/>
              <w:rPr>
                <w:sz w:val="20"/>
                <w:szCs w:val="20"/>
              </w:rPr>
            </w:pPr>
            <w:r>
              <w:rPr>
                <w:rFonts w:ascii="Arial" w:eastAsia="Arial" w:hAnsi="Arial" w:cs="Arial"/>
                <w:w w:val="97"/>
                <w:sz w:val="18"/>
                <w:szCs w:val="18"/>
              </w:rPr>
              <w:t>Accelerated PSUs/RSUs</w:t>
            </w:r>
            <w:r>
              <w:rPr>
                <w:rFonts w:ascii="Arial" w:eastAsia="Arial" w:hAnsi="Arial" w:cs="Arial"/>
                <w:w w:val="97"/>
                <w:sz w:val="29"/>
                <w:szCs w:val="29"/>
                <w:vertAlign w:val="superscript"/>
              </w:rPr>
              <w:t>(4)</w:t>
            </w:r>
          </w:p>
        </w:tc>
        <w:tc>
          <w:tcPr>
            <w:tcW w:w="1020" w:type="dxa"/>
            <w:gridSpan w:val="3"/>
            <w:vAlign w:val="bottom"/>
          </w:tcPr>
          <w:p w14:paraId="79F52919" w14:textId="77777777" w:rsidR="00D1587D" w:rsidRDefault="00410D07">
            <w:pPr>
              <w:ind w:right="260"/>
              <w:jc w:val="right"/>
              <w:rPr>
                <w:sz w:val="20"/>
                <w:szCs w:val="20"/>
              </w:rPr>
            </w:pPr>
            <w:r>
              <w:rPr>
                <w:rFonts w:ascii="Arial" w:eastAsia="Arial" w:hAnsi="Arial" w:cs="Arial"/>
                <w:sz w:val="18"/>
                <w:szCs w:val="18"/>
              </w:rPr>
              <w:t>—</w:t>
            </w:r>
          </w:p>
        </w:tc>
        <w:tc>
          <w:tcPr>
            <w:tcW w:w="960" w:type="dxa"/>
            <w:gridSpan w:val="2"/>
            <w:vAlign w:val="bottom"/>
          </w:tcPr>
          <w:p w14:paraId="4D369CCB" w14:textId="77777777" w:rsidR="00D1587D" w:rsidRDefault="00410D07">
            <w:pPr>
              <w:jc w:val="right"/>
              <w:rPr>
                <w:sz w:val="20"/>
                <w:szCs w:val="20"/>
              </w:rPr>
            </w:pPr>
            <w:r>
              <w:rPr>
                <w:rFonts w:ascii="Arial" w:eastAsia="Arial" w:hAnsi="Arial" w:cs="Arial"/>
                <w:sz w:val="18"/>
                <w:szCs w:val="18"/>
              </w:rPr>
              <w:t>2,382,667</w:t>
            </w:r>
          </w:p>
        </w:tc>
        <w:tc>
          <w:tcPr>
            <w:tcW w:w="180" w:type="dxa"/>
            <w:vAlign w:val="bottom"/>
          </w:tcPr>
          <w:p w14:paraId="4329F196" w14:textId="77777777" w:rsidR="00D1587D" w:rsidRDefault="00D1587D">
            <w:pPr>
              <w:rPr>
                <w:sz w:val="24"/>
                <w:szCs w:val="24"/>
              </w:rPr>
            </w:pPr>
          </w:p>
        </w:tc>
        <w:tc>
          <w:tcPr>
            <w:tcW w:w="940" w:type="dxa"/>
            <w:vAlign w:val="bottom"/>
          </w:tcPr>
          <w:p w14:paraId="3B25D92A" w14:textId="77777777" w:rsidR="00D1587D" w:rsidRDefault="00410D07">
            <w:pPr>
              <w:jc w:val="right"/>
              <w:rPr>
                <w:sz w:val="20"/>
                <w:szCs w:val="20"/>
              </w:rPr>
            </w:pPr>
            <w:r>
              <w:rPr>
                <w:rFonts w:ascii="Arial" w:eastAsia="Arial" w:hAnsi="Arial" w:cs="Arial"/>
                <w:sz w:val="18"/>
                <w:szCs w:val="18"/>
              </w:rPr>
              <w:t>4,328,834</w:t>
            </w:r>
          </w:p>
        </w:tc>
        <w:tc>
          <w:tcPr>
            <w:tcW w:w="1000" w:type="dxa"/>
            <w:gridSpan w:val="3"/>
            <w:vAlign w:val="bottom"/>
          </w:tcPr>
          <w:p w14:paraId="3608F9A6" w14:textId="77777777" w:rsidR="00D1587D" w:rsidRDefault="00410D07">
            <w:pPr>
              <w:jc w:val="right"/>
              <w:rPr>
                <w:sz w:val="20"/>
                <w:szCs w:val="20"/>
              </w:rPr>
            </w:pPr>
            <w:r>
              <w:rPr>
                <w:rFonts w:ascii="Arial" w:eastAsia="Arial" w:hAnsi="Arial" w:cs="Arial"/>
                <w:sz w:val="18"/>
                <w:szCs w:val="18"/>
              </w:rPr>
              <w:t>4,328,834</w:t>
            </w:r>
          </w:p>
        </w:tc>
        <w:tc>
          <w:tcPr>
            <w:tcW w:w="1000" w:type="dxa"/>
            <w:gridSpan w:val="3"/>
            <w:vAlign w:val="bottom"/>
          </w:tcPr>
          <w:p w14:paraId="115E2388" w14:textId="77777777" w:rsidR="00D1587D" w:rsidRDefault="00410D07">
            <w:pPr>
              <w:jc w:val="right"/>
              <w:rPr>
                <w:sz w:val="20"/>
                <w:szCs w:val="20"/>
              </w:rPr>
            </w:pPr>
            <w:r>
              <w:rPr>
                <w:rFonts w:ascii="Arial" w:eastAsia="Arial" w:hAnsi="Arial" w:cs="Arial"/>
                <w:sz w:val="18"/>
                <w:szCs w:val="18"/>
              </w:rPr>
              <w:t>4,328,834</w:t>
            </w:r>
          </w:p>
        </w:tc>
        <w:tc>
          <w:tcPr>
            <w:tcW w:w="180" w:type="dxa"/>
            <w:vAlign w:val="bottom"/>
          </w:tcPr>
          <w:p w14:paraId="6385E428" w14:textId="77777777" w:rsidR="00D1587D" w:rsidRDefault="00D1587D">
            <w:pPr>
              <w:rPr>
                <w:sz w:val="24"/>
                <w:szCs w:val="24"/>
              </w:rPr>
            </w:pPr>
          </w:p>
        </w:tc>
        <w:tc>
          <w:tcPr>
            <w:tcW w:w="300" w:type="dxa"/>
            <w:vAlign w:val="bottom"/>
          </w:tcPr>
          <w:p w14:paraId="228EC4E0" w14:textId="77777777" w:rsidR="00D1587D" w:rsidRDefault="00D1587D">
            <w:pPr>
              <w:rPr>
                <w:sz w:val="24"/>
                <w:szCs w:val="24"/>
              </w:rPr>
            </w:pPr>
          </w:p>
        </w:tc>
        <w:tc>
          <w:tcPr>
            <w:tcW w:w="480" w:type="dxa"/>
            <w:vAlign w:val="bottom"/>
          </w:tcPr>
          <w:p w14:paraId="5A237FE5"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1EEE48B6" w14:textId="77777777" w:rsidR="00D1587D" w:rsidRDefault="00D1587D">
            <w:pPr>
              <w:rPr>
                <w:sz w:val="1"/>
                <w:szCs w:val="1"/>
              </w:rPr>
            </w:pPr>
          </w:p>
        </w:tc>
      </w:tr>
      <w:tr w:rsidR="00D1587D" w14:paraId="45752298" w14:textId="77777777">
        <w:trPr>
          <w:trHeight w:val="324"/>
        </w:trPr>
        <w:tc>
          <w:tcPr>
            <w:tcW w:w="2360" w:type="dxa"/>
            <w:gridSpan w:val="3"/>
            <w:shd w:val="clear" w:color="auto" w:fill="CCEEFF"/>
            <w:vAlign w:val="bottom"/>
          </w:tcPr>
          <w:p w14:paraId="58FC5AEB" w14:textId="77777777" w:rsidR="00D1587D" w:rsidRDefault="00410D07">
            <w:pPr>
              <w:spacing w:line="324" w:lineRule="exact"/>
              <w:rPr>
                <w:sz w:val="20"/>
                <w:szCs w:val="20"/>
              </w:rPr>
            </w:pPr>
            <w:r>
              <w:rPr>
                <w:rFonts w:ascii="Arial" w:eastAsia="Arial" w:hAnsi="Arial" w:cs="Arial"/>
                <w:sz w:val="18"/>
                <w:szCs w:val="18"/>
              </w:rPr>
              <w:t>Benefits and Perquisites</w:t>
            </w:r>
            <w:r>
              <w:rPr>
                <w:rFonts w:ascii="Arial" w:eastAsia="Arial" w:hAnsi="Arial" w:cs="Arial"/>
                <w:sz w:val="29"/>
                <w:szCs w:val="29"/>
                <w:vertAlign w:val="superscript"/>
              </w:rPr>
              <w:t>(5)</w:t>
            </w:r>
          </w:p>
        </w:tc>
        <w:tc>
          <w:tcPr>
            <w:tcW w:w="840" w:type="dxa"/>
            <w:shd w:val="clear" w:color="auto" w:fill="CCEEFF"/>
            <w:vAlign w:val="bottom"/>
          </w:tcPr>
          <w:p w14:paraId="6438C35C" w14:textId="77777777" w:rsidR="00D1587D" w:rsidRDefault="00410D07">
            <w:pPr>
              <w:ind w:right="18"/>
              <w:jc w:val="right"/>
              <w:rPr>
                <w:sz w:val="20"/>
                <w:szCs w:val="20"/>
              </w:rPr>
            </w:pPr>
            <w:r>
              <w:rPr>
                <w:rFonts w:ascii="Arial" w:eastAsia="Arial" w:hAnsi="Arial" w:cs="Arial"/>
                <w:sz w:val="18"/>
                <w:szCs w:val="18"/>
              </w:rPr>
              <w:t>13,116</w:t>
            </w:r>
          </w:p>
        </w:tc>
        <w:tc>
          <w:tcPr>
            <w:tcW w:w="60" w:type="dxa"/>
            <w:shd w:val="clear" w:color="auto" w:fill="CCEEFF"/>
            <w:vAlign w:val="bottom"/>
          </w:tcPr>
          <w:p w14:paraId="70AB8007" w14:textId="77777777" w:rsidR="00D1587D" w:rsidRDefault="00D1587D">
            <w:pPr>
              <w:rPr>
                <w:sz w:val="24"/>
                <w:szCs w:val="24"/>
              </w:rPr>
            </w:pPr>
          </w:p>
        </w:tc>
        <w:tc>
          <w:tcPr>
            <w:tcW w:w="120" w:type="dxa"/>
            <w:shd w:val="clear" w:color="auto" w:fill="CCEEFF"/>
            <w:vAlign w:val="bottom"/>
          </w:tcPr>
          <w:p w14:paraId="7E5B840D" w14:textId="77777777" w:rsidR="00D1587D" w:rsidRDefault="00D1587D">
            <w:pPr>
              <w:rPr>
                <w:sz w:val="24"/>
                <w:szCs w:val="24"/>
              </w:rPr>
            </w:pPr>
          </w:p>
        </w:tc>
        <w:tc>
          <w:tcPr>
            <w:tcW w:w="960" w:type="dxa"/>
            <w:gridSpan w:val="2"/>
            <w:shd w:val="clear" w:color="auto" w:fill="CCEEFF"/>
            <w:vAlign w:val="bottom"/>
          </w:tcPr>
          <w:p w14:paraId="17E5DC23" w14:textId="77777777" w:rsidR="00D1587D" w:rsidRDefault="00410D07">
            <w:pPr>
              <w:jc w:val="right"/>
              <w:rPr>
                <w:sz w:val="20"/>
                <w:szCs w:val="20"/>
              </w:rPr>
            </w:pPr>
            <w:r>
              <w:rPr>
                <w:rFonts w:ascii="Arial" w:eastAsia="Arial" w:hAnsi="Arial" w:cs="Arial"/>
                <w:sz w:val="18"/>
                <w:szCs w:val="18"/>
              </w:rPr>
              <w:t>13,116</w:t>
            </w:r>
          </w:p>
        </w:tc>
        <w:tc>
          <w:tcPr>
            <w:tcW w:w="180" w:type="dxa"/>
            <w:shd w:val="clear" w:color="auto" w:fill="CCEEFF"/>
            <w:vAlign w:val="bottom"/>
          </w:tcPr>
          <w:p w14:paraId="683AF677" w14:textId="77777777" w:rsidR="00D1587D" w:rsidRDefault="00D1587D">
            <w:pPr>
              <w:rPr>
                <w:sz w:val="24"/>
                <w:szCs w:val="24"/>
              </w:rPr>
            </w:pPr>
          </w:p>
        </w:tc>
        <w:tc>
          <w:tcPr>
            <w:tcW w:w="940" w:type="dxa"/>
            <w:shd w:val="clear" w:color="auto" w:fill="CCEEFF"/>
            <w:vAlign w:val="bottom"/>
          </w:tcPr>
          <w:p w14:paraId="390E2592" w14:textId="77777777" w:rsidR="00D1587D" w:rsidRDefault="00410D07">
            <w:pPr>
              <w:jc w:val="right"/>
              <w:rPr>
                <w:sz w:val="20"/>
                <w:szCs w:val="20"/>
              </w:rPr>
            </w:pPr>
            <w:r>
              <w:rPr>
                <w:rFonts w:ascii="Arial" w:eastAsia="Arial" w:hAnsi="Arial" w:cs="Arial"/>
                <w:sz w:val="18"/>
                <w:szCs w:val="18"/>
              </w:rPr>
              <w:t>13,116</w:t>
            </w:r>
          </w:p>
        </w:tc>
        <w:tc>
          <w:tcPr>
            <w:tcW w:w="1000" w:type="dxa"/>
            <w:gridSpan w:val="3"/>
            <w:shd w:val="clear" w:color="auto" w:fill="CCEEFF"/>
            <w:vAlign w:val="bottom"/>
          </w:tcPr>
          <w:p w14:paraId="6EC432EB" w14:textId="77777777" w:rsidR="00D1587D" w:rsidRDefault="00410D07">
            <w:pPr>
              <w:jc w:val="right"/>
              <w:rPr>
                <w:sz w:val="20"/>
                <w:szCs w:val="20"/>
              </w:rPr>
            </w:pPr>
            <w:r>
              <w:rPr>
                <w:rFonts w:ascii="Arial" w:eastAsia="Arial" w:hAnsi="Arial" w:cs="Arial"/>
                <w:sz w:val="18"/>
                <w:szCs w:val="18"/>
              </w:rPr>
              <w:t>1,723,683</w:t>
            </w:r>
          </w:p>
        </w:tc>
        <w:tc>
          <w:tcPr>
            <w:tcW w:w="180" w:type="dxa"/>
            <w:shd w:val="clear" w:color="auto" w:fill="CCEEFF"/>
            <w:vAlign w:val="bottom"/>
          </w:tcPr>
          <w:p w14:paraId="77E25C40" w14:textId="77777777" w:rsidR="00D1587D" w:rsidRDefault="00D1587D">
            <w:pPr>
              <w:rPr>
                <w:sz w:val="24"/>
                <w:szCs w:val="24"/>
              </w:rPr>
            </w:pPr>
          </w:p>
        </w:tc>
        <w:tc>
          <w:tcPr>
            <w:tcW w:w="100" w:type="dxa"/>
            <w:shd w:val="clear" w:color="auto" w:fill="CCEEFF"/>
            <w:vAlign w:val="bottom"/>
          </w:tcPr>
          <w:p w14:paraId="41F9FF42" w14:textId="77777777" w:rsidR="00D1587D" w:rsidRDefault="00D1587D">
            <w:pPr>
              <w:rPr>
                <w:sz w:val="24"/>
                <w:szCs w:val="24"/>
              </w:rPr>
            </w:pPr>
          </w:p>
        </w:tc>
        <w:tc>
          <w:tcPr>
            <w:tcW w:w="720" w:type="dxa"/>
            <w:shd w:val="clear" w:color="auto" w:fill="CCEEFF"/>
            <w:vAlign w:val="bottom"/>
          </w:tcPr>
          <w:p w14:paraId="2EC25222" w14:textId="77777777" w:rsidR="00D1587D" w:rsidRDefault="00410D07">
            <w:pPr>
              <w:jc w:val="right"/>
              <w:rPr>
                <w:sz w:val="20"/>
                <w:szCs w:val="20"/>
              </w:rPr>
            </w:pPr>
            <w:r>
              <w:rPr>
                <w:rFonts w:ascii="Arial" w:eastAsia="Arial" w:hAnsi="Arial" w:cs="Arial"/>
                <w:sz w:val="18"/>
                <w:szCs w:val="18"/>
              </w:rPr>
              <w:t>464,442</w:t>
            </w:r>
          </w:p>
        </w:tc>
        <w:tc>
          <w:tcPr>
            <w:tcW w:w="180" w:type="dxa"/>
            <w:shd w:val="clear" w:color="auto" w:fill="CCEEFF"/>
            <w:vAlign w:val="bottom"/>
          </w:tcPr>
          <w:p w14:paraId="6FD59CF1" w14:textId="77777777" w:rsidR="00D1587D" w:rsidRDefault="00D1587D">
            <w:pPr>
              <w:rPr>
                <w:sz w:val="24"/>
                <w:szCs w:val="24"/>
              </w:rPr>
            </w:pPr>
          </w:p>
        </w:tc>
        <w:tc>
          <w:tcPr>
            <w:tcW w:w="300" w:type="dxa"/>
            <w:shd w:val="clear" w:color="auto" w:fill="CCEEFF"/>
            <w:vAlign w:val="bottom"/>
          </w:tcPr>
          <w:p w14:paraId="70F2CB66" w14:textId="77777777" w:rsidR="00D1587D" w:rsidRDefault="00D1587D">
            <w:pPr>
              <w:rPr>
                <w:sz w:val="24"/>
                <w:szCs w:val="24"/>
              </w:rPr>
            </w:pPr>
          </w:p>
        </w:tc>
        <w:tc>
          <w:tcPr>
            <w:tcW w:w="480" w:type="dxa"/>
            <w:shd w:val="clear" w:color="auto" w:fill="CCEEFF"/>
            <w:vAlign w:val="bottom"/>
          </w:tcPr>
          <w:p w14:paraId="2D720004"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09776BF4" w14:textId="77777777" w:rsidR="00D1587D" w:rsidRDefault="00D1587D">
            <w:pPr>
              <w:rPr>
                <w:sz w:val="1"/>
                <w:szCs w:val="1"/>
              </w:rPr>
            </w:pPr>
          </w:p>
        </w:tc>
      </w:tr>
      <w:tr w:rsidR="00D1587D" w14:paraId="423F5A7F" w14:textId="77777777">
        <w:trPr>
          <w:trHeight w:val="270"/>
        </w:trPr>
        <w:tc>
          <w:tcPr>
            <w:tcW w:w="2360" w:type="dxa"/>
            <w:gridSpan w:val="3"/>
            <w:vAlign w:val="bottom"/>
          </w:tcPr>
          <w:p w14:paraId="39BCE87A" w14:textId="77777777" w:rsidR="00D1587D" w:rsidRDefault="00410D07">
            <w:pPr>
              <w:rPr>
                <w:sz w:val="20"/>
                <w:szCs w:val="20"/>
              </w:rPr>
            </w:pPr>
            <w:r>
              <w:rPr>
                <w:rFonts w:ascii="Arial" w:eastAsia="Arial" w:hAnsi="Arial" w:cs="Arial"/>
                <w:sz w:val="18"/>
                <w:szCs w:val="18"/>
              </w:rPr>
              <w:t>Tax Gross-Up</w:t>
            </w:r>
          </w:p>
        </w:tc>
        <w:tc>
          <w:tcPr>
            <w:tcW w:w="1020" w:type="dxa"/>
            <w:gridSpan w:val="3"/>
            <w:vAlign w:val="bottom"/>
          </w:tcPr>
          <w:p w14:paraId="1F2F6032" w14:textId="77777777" w:rsidR="00D1587D" w:rsidRDefault="00410D07">
            <w:pPr>
              <w:ind w:left="440"/>
              <w:rPr>
                <w:sz w:val="20"/>
                <w:szCs w:val="20"/>
              </w:rPr>
            </w:pPr>
            <w:r>
              <w:rPr>
                <w:rFonts w:ascii="Arial" w:eastAsia="Arial" w:hAnsi="Arial" w:cs="Arial"/>
                <w:sz w:val="18"/>
                <w:szCs w:val="18"/>
              </w:rPr>
              <w:t>N/A</w:t>
            </w:r>
          </w:p>
        </w:tc>
        <w:tc>
          <w:tcPr>
            <w:tcW w:w="60" w:type="dxa"/>
            <w:vAlign w:val="bottom"/>
          </w:tcPr>
          <w:p w14:paraId="778A29C3" w14:textId="77777777" w:rsidR="00D1587D" w:rsidRDefault="00D1587D">
            <w:pPr>
              <w:rPr>
                <w:sz w:val="23"/>
                <w:szCs w:val="23"/>
              </w:rPr>
            </w:pPr>
          </w:p>
        </w:tc>
        <w:tc>
          <w:tcPr>
            <w:tcW w:w="1080" w:type="dxa"/>
            <w:gridSpan w:val="2"/>
            <w:vAlign w:val="bottom"/>
          </w:tcPr>
          <w:p w14:paraId="0A71289C" w14:textId="77777777" w:rsidR="00D1587D" w:rsidRDefault="00410D07">
            <w:pPr>
              <w:ind w:right="260"/>
              <w:jc w:val="right"/>
              <w:rPr>
                <w:sz w:val="20"/>
                <w:szCs w:val="20"/>
              </w:rPr>
            </w:pPr>
            <w:r>
              <w:rPr>
                <w:rFonts w:ascii="Arial" w:eastAsia="Arial" w:hAnsi="Arial" w:cs="Arial"/>
                <w:sz w:val="18"/>
                <w:szCs w:val="18"/>
              </w:rPr>
              <w:t>N/A</w:t>
            </w:r>
          </w:p>
        </w:tc>
        <w:tc>
          <w:tcPr>
            <w:tcW w:w="940" w:type="dxa"/>
            <w:vAlign w:val="bottom"/>
          </w:tcPr>
          <w:p w14:paraId="322FAB6F"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69D09518" w14:textId="77777777" w:rsidR="00D1587D" w:rsidRDefault="00D1587D">
            <w:pPr>
              <w:rPr>
                <w:sz w:val="23"/>
                <w:szCs w:val="23"/>
              </w:rPr>
            </w:pPr>
          </w:p>
        </w:tc>
        <w:tc>
          <w:tcPr>
            <w:tcW w:w="160" w:type="dxa"/>
            <w:vAlign w:val="bottom"/>
          </w:tcPr>
          <w:p w14:paraId="01F49669" w14:textId="77777777" w:rsidR="00D1587D" w:rsidRDefault="00D1587D">
            <w:pPr>
              <w:rPr>
                <w:sz w:val="23"/>
                <w:szCs w:val="23"/>
              </w:rPr>
            </w:pPr>
          </w:p>
        </w:tc>
        <w:tc>
          <w:tcPr>
            <w:tcW w:w="660" w:type="dxa"/>
            <w:vAlign w:val="bottom"/>
          </w:tcPr>
          <w:p w14:paraId="1F3AE1B6"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30F1B300" w14:textId="77777777" w:rsidR="00D1587D" w:rsidRDefault="00D1587D">
            <w:pPr>
              <w:rPr>
                <w:sz w:val="23"/>
                <w:szCs w:val="23"/>
              </w:rPr>
            </w:pPr>
          </w:p>
        </w:tc>
        <w:tc>
          <w:tcPr>
            <w:tcW w:w="100" w:type="dxa"/>
            <w:vAlign w:val="bottom"/>
          </w:tcPr>
          <w:p w14:paraId="436CD41A" w14:textId="77777777" w:rsidR="00D1587D" w:rsidRDefault="00D1587D">
            <w:pPr>
              <w:rPr>
                <w:sz w:val="23"/>
                <w:szCs w:val="23"/>
              </w:rPr>
            </w:pPr>
          </w:p>
        </w:tc>
        <w:tc>
          <w:tcPr>
            <w:tcW w:w="900" w:type="dxa"/>
            <w:gridSpan w:val="2"/>
            <w:vAlign w:val="bottom"/>
          </w:tcPr>
          <w:p w14:paraId="4111BFC3" w14:textId="77777777" w:rsidR="00D1587D" w:rsidRDefault="00410D07">
            <w:pPr>
              <w:ind w:left="400"/>
              <w:rPr>
                <w:sz w:val="20"/>
                <w:szCs w:val="20"/>
              </w:rPr>
            </w:pPr>
            <w:r>
              <w:rPr>
                <w:rFonts w:ascii="Arial" w:eastAsia="Arial" w:hAnsi="Arial" w:cs="Arial"/>
                <w:sz w:val="18"/>
                <w:szCs w:val="18"/>
              </w:rPr>
              <w:t>N/A</w:t>
            </w:r>
          </w:p>
        </w:tc>
        <w:tc>
          <w:tcPr>
            <w:tcW w:w="780" w:type="dxa"/>
            <w:gridSpan w:val="2"/>
            <w:vAlign w:val="bottom"/>
          </w:tcPr>
          <w:p w14:paraId="60F67F45" w14:textId="77777777" w:rsidR="00D1587D" w:rsidRDefault="00410D07">
            <w:pPr>
              <w:ind w:right="113"/>
              <w:jc w:val="right"/>
              <w:rPr>
                <w:sz w:val="20"/>
                <w:szCs w:val="20"/>
              </w:rPr>
            </w:pPr>
            <w:r>
              <w:rPr>
                <w:rFonts w:ascii="Arial" w:eastAsia="Arial" w:hAnsi="Arial" w:cs="Arial"/>
                <w:sz w:val="18"/>
                <w:szCs w:val="18"/>
              </w:rPr>
              <w:t>N/A</w:t>
            </w:r>
          </w:p>
        </w:tc>
        <w:tc>
          <w:tcPr>
            <w:tcW w:w="0" w:type="dxa"/>
            <w:vAlign w:val="bottom"/>
          </w:tcPr>
          <w:p w14:paraId="6B7D5554" w14:textId="77777777" w:rsidR="00D1587D" w:rsidRDefault="00D1587D">
            <w:pPr>
              <w:rPr>
                <w:sz w:val="1"/>
                <w:szCs w:val="1"/>
              </w:rPr>
            </w:pPr>
          </w:p>
        </w:tc>
      </w:tr>
      <w:tr w:rsidR="00D1587D" w14:paraId="001E08AE" w14:textId="77777777">
        <w:trPr>
          <w:trHeight w:val="68"/>
        </w:trPr>
        <w:tc>
          <w:tcPr>
            <w:tcW w:w="1280" w:type="dxa"/>
            <w:tcBorders>
              <w:bottom w:val="single" w:sz="8" w:space="0" w:color="CCEEFF"/>
            </w:tcBorders>
            <w:vAlign w:val="bottom"/>
          </w:tcPr>
          <w:p w14:paraId="137F9208" w14:textId="77777777" w:rsidR="00D1587D" w:rsidRDefault="00D1587D">
            <w:pPr>
              <w:rPr>
                <w:sz w:val="5"/>
                <w:szCs w:val="5"/>
              </w:rPr>
            </w:pPr>
          </w:p>
        </w:tc>
        <w:tc>
          <w:tcPr>
            <w:tcW w:w="980" w:type="dxa"/>
            <w:tcBorders>
              <w:bottom w:val="single" w:sz="8" w:space="0" w:color="CCEEFF"/>
            </w:tcBorders>
            <w:vAlign w:val="bottom"/>
          </w:tcPr>
          <w:p w14:paraId="2011F2DB" w14:textId="77777777" w:rsidR="00D1587D" w:rsidRDefault="00D1587D">
            <w:pPr>
              <w:rPr>
                <w:sz w:val="5"/>
                <w:szCs w:val="5"/>
              </w:rPr>
            </w:pPr>
          </w:p>
        </w:tc>
        <w:tc>
          <w:tcPr>
            <w:tcW w:w="100" w:type="dxa"/>
            <w:tcBorders>
              <w:bottom w:val="single" w:sz="8" w:space="0" w:color="CCEEFF"/>
            </w:tcBorders>
            <w:vAlign w:val="bottom"/>
          </w:tcPr>
          <w:p w14:paraId="6B9E8D01" w14:textId="77777777" w:rsidR="00D1587D" w:rsidRDefault="00D1587D">
            <w:pPr>
              <w:rPr>
                <w:sz w:val="5"/>
                <w:szCs w:val="5"/>
              </w:rPr>
            </w:pPr>
          </w:p>
        </w:tc>
        <w:tc>
          <w:tcPr>
            <w:tcW w:w="840" w:type="dxa"/>
            <w:tcBorders>
              <w:bottom w:val="single" w:sz="8" w:space="0" w:color="auto"/>
            </w:tcBorders>
            <w:vAlign w:val="bottom"/>
          </w:tcPr>
          <w:p w14:paraId="3C944A36" w14:textId="77777777" w:rsidR="00D1587D" w:rsidRDefault="00D1587D">
            <w:pPr>
              <w:rPr>
                <w:sz w:val="5"/>
                <w:szCs w:val="5"/>
              </w:rPr>
            </w:pPr>
          </w:p>
        </w:tc>
        <w:tc>
          <w:tcPr>
            <w:tcW w:w="60" w:type="dxa"/>
            <w:tcBorders>
              <w:bottom w:val="single" w:sz="8" w:space="0" w:color="CCEEFF"/>
            </w:tcBorders>
            <w:vAlign w:val="bottom"/>
          </w:tcPr>
          <w:p w14:paraId="1FEFD45C" w14:textId="77777777" w:rsidR="00D1587D" w:rsidRDefault="00D1587D">
            <w:pPr>
              <w:rPr>
                <w:sz w:val="5"/>
                <w:szCs w:val="5"/>
              </w:rPr>
            </w:pPr>
          </w:p>
        </w:tc>
        <w:tc>
          <w:tcPr>
            <w:tcW w:w="120" w:type="dxa"/>
            <w:tcBorders>
              <w:bottom w:val="single" w:sz="8" w:space="0" w:color="CCEEFF"/>
            </w:tcBorders>
            <w:vAlign w:val="bottom"/>
          </w:tcPr>
          <w:p w14:paraId="4EB27FA0" w14:textId="77777777" w:rsidR="00D1587D" w:rsidRDefault="00D1587D">
            <w:pPr>
              <w:rPr>
                <w:sz w:val="5"/>
                <w:szCs w:val="5"/>
              </w:rPr>
            </w:pPr>
          </w:p>
        </w:tc>
        <w:tc>
          <w:tcPr>
            <w:tcW w:w="60" w:type="dxa"/>
            <w:tcBorders>
              <w:bottom w:val="single" w:sz="8" w:space="0" w:color="auto"/>
            </w:tcBorders>
            <w:vAlign w:val="bottom"/>
          </w:tcPr>
          <w:p w14:paraId="30D6EB6D" w14:textId="77777777" w:rsidR="00D1587D" w:rsidRDefault="00D1587D">
            <w:pPr>
              <w:rPr>
                <w:sz w:val="5"/>
                <w:szCs w:val="5"/>
              </w:rPr>
            </w:pPr>
          </w:p>
        </w:tc>
        <w:tc>
          <w:tcPr>
            <w:tcW w:w="900" w:type="dxa"/>
            <w:tcBorders>
              <w:bottom w:val="single" w:sz="8" w:space="0" w:color="auto"/>
            </w:tcBorders>
            <w:vAlign w:val="bottom"/>
          </w:tcPr>
          <w:p w14:paraId="40128752" w14:textId="77777777" w:rsidR="00D1587D" w:rsidRDefault="00D1587D">
            <w:pPr>
              <w:rPr>
                <w:sz w:val="5"/>
                <w:szCs w:val="5"/>
              </w:rPr>
            </w:pPr>
          </w:p>
        </w:tc>
        <w:tc>
          <w:tcPr>
            <w:tcW w:w="180" w:type="dxa"/>
            <w:tcBorders>
              <w:bottom w:val="single" w:sz="8" w:space="0" w:color="CCEEFF"/>
            </w:tcBorders>
            <w:vAlign w:val="bottom"/>
          </w:tcPr>
          <w:p w14:paraId="21DE1CA6" w14:textId="77777777" w:rsidR="00D1587D" w:rsidRDefault="00D1587D">
            <w:pPr>
              <w:rPr>
                <w:sz w:val="5"/>
                <w:szCs w:val="5"/>
              </w:rPr>
            </w:pPr>
          </w:p>
        </w:tc>
        <w:tc>
          <w:tcPr>
            <w:tcW w:w="940" w:type="dxa"/>
            <w:tcBorders>
              <w:bottom w:val="single" w:sz="8" w:space="0" w:color="auto"/>
            </w:tcBorders>
            <w:vAlign w:val="bottom"/>
          </w:tcPr>
          <w:p w14:paraId="60FDC732" w14:textId="77777777" w:rsidR="00D1587D" w:rsidRDefault="00D1587D">
            <w:pPr>
              <w:rPr>
                <w:sz w:val="5"/>
                <w:szCs w:val="5"/>
              </w:rPr>
            </w:pPr>
          </w:p>
        </w:tc>
        <w:tc>
          <w:tcPr>
            <w:tcW w:w="180" w:type="dxa"/>
            <w:tcBorders>
              <w:bottom w:val="single" w:sz="8" w:space="0" w:color="CCEEFF"/>
            </w:tcBorders>
            <w:vAlign w:val="bottom"/>
          </w:tcPr>
          <w:p w14:paraId="02CFC087" w14:textId="77777777" w:rsidR="00D1587D" w:rsidRDefault="00D1587D">
            <w:pPr>
              <w:rPr>
                <w:sz w:val="5"/>
                <w:szCs w:val="5"/>
              </w:rPr>
            </w:pPr>
          </w:p>
        </w:tc>
        <w:tc>
          <w:tcPr>
            <w:tcW w:w="820" w:type="dxa"/>
            <w:gridSpan w:val="2"/>
            <w:tcBorders>
              <w:bottom w:val="single" w:sz="8" w:space="0" w:color="auto"/>
            </w:tcBorders>
            <w:vAlign w:val="bottom"/>
          </w:tcPr>
          <w:p w14:paraId="7719BC14" w14:textId="77777777" w:rsidR="00D1587D" w:rsidRDefault="00D1587D">
            <w:pPr>
              <w:rPr>
                <w:sz w:val="5"/>
                <w:szCs w:val="5"/>
              </w:rPr>
            </w:pPr>
          </w:p>
        </w:tc>
        <w:tc>
          <w:tcPr>
            <w:tcW w:w="180" w:type="dxa"/>
            <w:tcBorders>
              <w:bottom w:val="single" w:sz="8" w:space="0" w:color="CCEEFF"/>
            </w:tcBorders>
            <w:vAlign w:val="bottom"/>
          </w:tcPr>
          <w:p w14:paraId="31513E95" w14:textId="77777777" w:rsidR="00D1587D" w:rsidRDefault="00D1587D">
            <w:pPr>
              <w:rPr>
                <w:sz w:val="5"/>
                <w:szCs w:val="5"/>
              </w:rPr>
            </w:pPr>
          </w:p>
        </w:tc>
        <w:tc>
          <w:tcPr>
            <w:tcW w:w="820" w:type="dxa"/>
            <w:gridSpan w:val="2"/>
            <w:tcBorders>
              <w:bottom w:val="single" w:sz="8" w:space="0" w:color="auto"/>
            </w:tcBorders>
            <w:vAlign w:val="bottom"/>
          </w:tcPr>
          <w:p w14:paraId="14DAB984" w14:textId="77777777" w:rsidR="00D1587D" w:rsidRDefault="00D1587D">
            <w:pPr>
              <w:rPr>
                <w:sz w:val="5"/>
                <w:szCs w:val="5"/>
              </w:rPr>
            </w:pPr>
          </w:p>
        </w:tc>
        <w:tc>
          <w:tcPr>
            <w:tcW w:w="180" w:type="dxa"/>
            <w:tcBorders>
              <w:bottom w:val="single" w:sz="8" w:space="0" w:color="CCEEFF"/>
            </w:tcBorders>
            <w:vAlign w:val="bottom"/>
          </w:tcPr>
          <w:p w14:paraId="260BB933" w14:textId="77777777" w:rsidR="00D1587D" w:rsidRDefault="00D1587D">
            <w:pPr>
              <w:rPr>
                <w:sz w:val="5"/>
                <w:szCs w:val="5"/>
              </w:rPr>
            </w:pPr>
          </w:p>
        </w:tc>
        <w:tc>
          <w:tcPr>
            <w:tcW w:w="300" w:type="dxa"/>
            <w:tcBorders>
              <w:bottom w:val="single" w:sz="8" w:space="0" w:color="auto"/>
            </w:tcBorders>
            <w:vAlign w:val="bottom"/>
          </w:tcPr>
          <w:p w14:paraId="2ACC8E81" w14:textId="77777777" w:rsidR="00D1587D" w:rsidRDefault="00D1587D">
            <w:pPr>
              <w:rPr>
                <w:sz w:val="5"/>
                <w:szCs w:val="5"/>
              </w:rPr>
            </w:pPr>
          </w:p>
        </w:tc>
        <w:tc>
          <w:tcPr>
            <w:tcW w:w="480" w:type="dxa"/>
            <w:tcBorders>
              <w:bottom w:val="single" w:sz="8" w:space="0" w:color="auto"/>
            </w:tcBorders>
            <w:vAlign w:val="bottom"/>
          </w:tcPr>
          <w:p w14:paraId="0483AE74" w14:textId="77777777" w:rsidR="00D1587D" w:rsidRDefault="00D1587D">
            <w:pPr>
              <w:rPr>
                <w:sz w:val="5"/>
                <w:szCs w:val="5"/>
              </w:rPr>
            </w:pPr>
          </w:p>
        </w:tc>
        <w:tc>
          <w:tcPr>
            <w:tcW w:w="0" w:type="dxa"/>
            <w:vAlign w:val="bottom"/>
          </w:tcPr>
          <w:p w14:paraId="4AC84579" w14:textId="77777777" w:rsidR="00D1587D" w:rsidRDefault="00D1587D">
            <w:pPr>
              <w:rPr>
                <w:sz w:val="1"/>
                <w:szCs w:val="1"/>
              </w:rPr>
            </w:pPr>
          </w:p>
        </w:tc>
      </w:tr>
      <w:tr w:rsidR="00D1587D" w14:paraId="59D1DFFC" w14:textId="77777777">
        <w:trPr>
          <w:trHeight w:val="396"/>
        </w:trPr>
        <w:tc>
          <w:tcPr>
            <w:tcW w:w="2360" w:type="dxa"/>
            <w:gridSpan w:val="3"/>
            <w:tcBorders>
              <w:bottom w:val="single" w:sz="8" w:space="0" w:color="CCEEFF"/>
            </w:tcBorders>
            <w:shd w:val="clear" w:color="auto" w:fill="CCEEFF"/>
            <w:vAlign w:val="bottom"/>
          </w:tcPr>
          <w:p w14:paraId="1B3FA6E6" w14:textId="77777777" w:rsidR="00D1587D" w:rsidRDefault="00410D07">
            <w:pPr>
              <w:rPr>
                <w:sz w:val="20"/>
                <w:szCs w:val="20"/>
              </w:rPr>
            </w:pPr>
            <w:r>
              <w:rPr>
                <w:rFonts w:ascii="Arial" w:eastAsia="Arial" w:hAnsi="Arial" w:cs="Arial"/>
                <w:sz w:val="18"/>
                <w:szCs w:val="18"/>
              </w:rPr>
              <w:t>Total</w:t>
            </w:r>
          </w:p>
        </w:tc>
        <w:tc>
          <w:tcPr>
            <w:tcW w:w="840" w:type="dxa"/>
            <w:tcBorders>
              <w:bottom w:val="single" w:sz="8" w:space="0" w:color="CCEEFF"/>
            </w:tcBorders>
            <w:shd w:val="clear" w:color="auto" w:fill="CCEEFF"/>
            <w:vAlign w:val="bottom"/>
          </w:tcPr>
          <w:p w14:paraId="73F2750F" w14:textId="77777777" w:rsidR="00D1587D" w:rsidRDefault="00410D07">
            <w:pPr>
              <w:jc w:val="right"/>
              <w:rPr>
                <w:sz w:val="20"/>
                <w:szCs w:val="20"/>
              </w:rPr>
            </w:pPr>
            <w:r>
              <w:rPr>
                <w:rFonts w:ascii="Arial" w:eastAsia="Arial" w:hAnsi="Arial" w:cs="Arial"/>
                <w:w w:val="98"/>
                <w:sz w:val="18"/>
                <w:szCs w:val="18"/>
              </w:rPr>
              <w:t>$863,116</w:t>
            </w:r>
          </w:p>
        </w:tc>
        <w:tc>
          <w:tcPr>
            <w:tcW w:w="60" w:type="dxa"/>
            <w:tcBorders>
              <w:bottom w:val="single" w:sz="8" w:space="0" w:color="CCEEFF"/>
            </w:tcBorders>
            <w:shd w:val="clear" w:color="auto" w:fill="CCEEFF"/>
            <w:vAlign w:val="bottom"/>
          </w:tcPr>
          <w:p w14:paraId="3781AED2" w14:textId="77777777" w:rsidR="00D1587D" w:rsidRDefault="00D1587D">
            <w:pPr>
              <w:rPr>
                <w:sz w:val="24"/>
                <w:szCs w:val="24"/>
              </w:rPr>
            </w:pPr>
          </w:p>
        </w:tc>
        <w:tc>
          <w:tcPr>
            <w:tcW w:w="120" w:type="dxa"/>
            <w:tcBorders>
              <w:bottom w:val="single" w:sz="8" w:space="0" w:color="CCEEFF"/>
            </w:tcBorders>
            <w:shd w:val="clear" w:color="auto" w:fill="CCEEFF"/>
            <w:vAlign w:val="bottom"/>
          </w:tcPr>
          <w:p w14:paraId="051C7733" w14:textId="77777777" w:rsidR="00D1587D" w:rsidRDefault="00D1587D">
            <w:pPr>
              <w:rPr>
                <w:sz w:val="24"/>
                <w:szCs w:val="24"/>
              </w:rPr>
            </w:pPr>
          </w:p>
        </w:tc>
        <w:tc>
          <w:tcPr>
            <w:tcW w:w="960" w:type="dxa"/>
            <w:gridSpan w:val="2"/>
            <w:tcBorders>
              <w:bottom w:val="single" w:sz="8" w:space="0" w:color="CCEEFF"/>
            </w:tcBorders>
            <w:shd w:val="clear" w:color="auto" w:fill="CCEEFF"/>
            <w:vAlign w:val="bottom"/>
          </w:tcPr>
          <w:p w14:paraId="301588E4" w14:textId="77777777" w:rsidR="00D1587D" w:rsidRDefault="00410D07">
            <w:pPr>
              <w:jc w:val="center"/>
              <w:rPr>
                <w:sz w:val="20"/>
                <w:szCs w:val="20"/>
              </w:rPr>
            </w:pPr>
            <w:r>
              <w:rPr>
                <w:rFonts w:ascii="Arial" w:eastAsia="Arial" w:hAnsi="Arial" w:cs="Arial"/>
                <w:w w:val="88"/>
                <w:sz w:val="18"/>
                <w:szCs w:val="18"/>
              </w:rPr>
              <w:t>$4,095,783</w:t>
            </w:r>
          </w:p>
        </w:tc>
        <w:tc>
          <w:tcPr>
            <w:tcW w:w="180" w:type="dxa"/>
            <w:tcBorders>
              <w:bottom w:val="single" w:sz="8" w:space="0" w:color="CCEEFF"/>
            </w:tcBorders>
            <w:shd w:val="clear" w:color="auto" w:fill="CCEEFF"/>
            <w:vAlign w:val="bottom"/>
          </w:tcPr>
          <w:p w14:paraId="4531507E" w14:textId="77777777" w:rsidR="00D1587D" w:rsidRDefault="00D1587D">
            <w:pPr>
              <w:rPr>
                <w:sz w:val="24"/>
                <w:szCs w:val="24"/>
              </w:rPr>
            </w:pPr>
          </w:p>
        </w:tc>
        <w:tc>
          <w:tcPr>
            <w:tcW w:w="940" w:type="dxa"/>
            <w:tcBorders>
              <w:bottom w:val="single" w:sz="8" w:space="0" w:color="CCEEFF"/>
            </w:tcBorders>
            <w:shd w:val="clear" w:color="auto" w:fill="CCEEFF"/>
            <w:vAlign w:val="bottom"/>
          </w:tcPr>
          <w:p w14:paraId="0FE9DE6C" w14:textId="77777777" w:rsidR="00D1587D" w:rsidRDefault="00410D07">
            <w:pPr>
              <w:jc w:val="center"/>
              <w:rPr>
                <w:sz w:val="20"/>
                <w:szCs w:val="20"/>
              </w:rPr>
            </w:pPr>
            <w:r>
              <w:rPr>
                <w:rFonts w:ascii="Arial" w:eastAsia="Arial" w:hAnsi="Arial" w:cs="Arial"/>
                <w:w w:val="90"/>
                <w:sz w:val="18"/>
                <w:szCs w:val="18"/>
              </w:rPr>
              <w:t>$6,252,265</w:t>
            </w:r>
          </w:p>
        </w:tc>
        <w:tc>
          <w:tcPr>
            <w:tcW w:w="1000" w:type="dxa"/>
            <w:gridSpan w:val="3"/>
            <w:tcBorders>
              <w:bottom w:val="single" w:sz="8" w:space="0" w:color="CCEEFF"/>
            </w:tcBorders>
            <w:shd w:val="clear" w:color="auto" w:fill="CCEEFF"/>
            <w:vAlign w:val="bottom"/>
          </w:tcPr>
          <w:p w14:paraId="1A069740" w14:textId="77777777" w:rsidR="00D1587D" w:rsidRDefault="00410D07">
            <w:pPr>
              <w:jc w:val="right"/>
              <w:rPr>
                <w:sz w:val="20"/>
                <w:szCs w:val="20"/>
              </w:rPr>
            </w:pPr>
            <w:r>
              <w:rPr>
                <w:rFonts w:ascii="Arial" w:eastAsia="Arial" w:hAnsi="Arial" w:cs="Arial"/>
                <w:sz w:val="18"/>
                <w:szCs w:val="18"/>
              </w:rPr>
              <w:t>$6,262,832</w:t>
            </w:r>
          </w:p>
        </w:tc>
        <w:tc>
          <w:tcPr>
            <w:tcW w:w="1000" w:type="dxa"/>
            <w:gridSpan w:val="3"/>
            <w:tcBorders>
              <w:bottom w:val="single" w:sz="8" w:space="0" w:color="CCEEFF"/>
            </w:tcBorders>
            <w:shd w:val="clear" w:color="auto" w:fill="CCEEFF"/>
            <w:vAlign w:val="bottom"/>
          </w:tcPr>
          <w:p w14:paraId="09E526B4" w14:textId="77777777" w:rsidR="00D1587D" w:rsidRDefault="00410D07">
            <w:pPr>
              <w:jc w:val="right"/>
              <w:rPr>
                <w:sz w:val="20"/>
                <w:szCs w:val="20"/>
              </w:rPr>
            </w:pPr>
            <w:r>
              <w:rPr>
                <w:rFonts w:ascii="Arial" w:eastAsia="Arial" w:hAnsi="Arial" w:cs="Arial"/>
                <w:sz w:val="18"/>
                <w:szCs w:val="18"/>
              </w:rPr>
              <w:t>$5,003,591</w:t>
            </w:r>
          </w:p>
        </w:tc>
        <w:tc>
          <w:tcPr>
            <w:tcW w:w="180" w:type="dxa"/>
            <w:tcBorders>
              <w:bottom w:val="single" w:sz="8" w:space="0" w:color="CCEEFF"/>
            </w:tcBorders>
            <w:shd w:val="clear" w:color="auto" w:fill="CCEEFF"/>
            <w:vAlign w:val="bottom"/>
          </w:tcPr>
          <w:p w14:paraId="370A8090" w14:textId="77777777" w:rsidR="00D1587D" w:rsidRDefault="00D1587D">
            <w:pPr>
              <w:rPr>
                <w:sz w:val="24"/>
                <w:szCs w:val="24"/>
              </w:rPr>
            </w:pPr>
          </w:p>
        </w:tc>
        <w:tc>
          <w:tcPr>
            <w:tcW w:w="300" w:type="dxa"/>
            <w:tcBorders>
              <w:bottom w:val="single" w:sz="8" w:space="0" w:color="CCEEFF"/>
            </w:tcBorders>
            <w:shd w:val="clear" w:color="auto" w:fill="CCEEFF"/>
            <w:vAlign w:val="bottom"/>
          </w:tcPr>
          <w:p w14:paraId="28F2DE7E" w14:textId="77777777" w:rsidR="00D1587D" w:rsidRDefault="00410D07">
            <w:pPr>
              <w:jc w:val="right"/>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084E5ADF" w14:textId="77777777" w:rsidR="00D1587D" w:rsidRDefault="00410D07">
            <w:pPr>
              <w:ind w:right="113"/>
              <w:jc w:val="right"/>
              <w:rPr>
                <w:sz w:val="20"/>
                <w:szCs w:val="20"/>
              </w:rPr>
            </w:pPr>
            <w:r>
              <w:rPr>
                <w:rFonts w:ascii="Arial" w:eastAsia="Arial" w:hAnsi="Arial" w:cs="Arial"/>
                <w:sz w:val="18"/>
                <w:szCs w:val="18"/>
              </w:rPr>
              <w:t>—</w:t>
            </w:r>
          </w:p>
        </w:tc>
        <w:tc>
          <w:tcPr>
            <w:tcW w:w="0" w:type="dxa"/>
            <w:vAlign w:val="bottom"/>
          </w:tcPr>
          <w:p w14:paraId="4100E159" w14:textId="77777777" w:rsidR="00D1587D" w:rsidRDefault="00D1587D">
            <w:pPr>
              <w:rPr>
                <w:sz w:val="1"/>
                <w:szCs w:val="1"/>
              </w:rPr>
            </w:pPr>
          </w:p>
        </w:tc>
      </w:tr>
      <w:tr w:rsidR="00D1587D" w14:paraId="0FC63E0F" w14:textId="77777777">
        <w:trPr>
          <w:trHeight w:val="406"/>
        </w:trPr>
        <w:tc>
          <w:tcPr>
            <w:tcW w:w="2360" w:type="dxa"/>
            <w:gridSpan w:val="3"/>
            <w:tcBorders>
              <w:top w:val="single" w:sz="8" w:space="0" w:color="CCEEFF"/>
            </w:tcBorders>
            <w:vAlign w:val="bottom"/>
          </w:tcPr>
          <w:p w14:paraId="638A996A" w14:textId="77777777" w:rsidR="00D1587D" w:rsidRDefault="00410D07">
            <w:pPr>
              <w:rPr>
                <w:sz w:val="20"/>
                <w:szCs w:val="20"/>
              </w:rPr>
            </w:pPr>
            <w:r>
              <w:rPr>
                <w:rFonts w:ascii="Arial" w:eastAsia="Arial" w:hAnsi="Arial" w:cs="Arial"/>
                <w:b/>
                <w:bCs/>
                <w:i/>
                <w:iCs/>
                <w:sz w:val="18"/>
                <w:szCs w:val="18"/>
              </w:rPr>
              <w:t>Stuart B. Burgdoerfer</w:t>
            </w:r>
          </w:p>
        </w:tc>
        <w:tc>
          <w:tcPr>
            <w:tcW w:w="840" w:type="dxa"/>
            <w:tcBorders>
              <w:top w:val="single" w:sz="8" w:space="0" w:color="auto"/>
            </w:tcBorders>
            <w:vAlign w:val="bottom"/>
          </w:tcPr>
          <w:p w14:paraId="572C73AA" w14:textId="77777777" w:rsidR="00D1587D" w:rsidRDefault="00D1587D">
            <w:pPr>
              <w:rPr>
                <w:sz w:val="24"/>
                <w:szCs w:val="24"/>
              </w:rPr>
            </w:pPr>
          </w:p>
        </w:tc>
        <w:tc>
          <w:tcPr>
            <w:tcW w:w="60" w:type="dxa"/>
            <w:tcBorders>
              <w:top w:val="single" w:sz="8" w:space="0" w:color="CCEEFF"/>
            </w:tcBorders>
            <w:vAlign w:val="bottom"/>
          </w:tcPr>
          <w:p w14:paraId="5F5E19C5" w14:textId="77777777" w:rsidR="00D1587D" w:rsidRDefault="00D1587D">
            <w:pPr>
              <w:rPr>
                <w:sz w:val="24"/>
                <w:szCs w:val="24"/>
              </w:rPr>
            </w:pPr>
          </w:p>
        </w:tc>
        <w:tc>
          <w:tcPr>
            <w:tcW w:w="120" w:type="dxa"/>
            <w:tcBorders>
              <w:top w:val="single" w:sz="8" w:space="0" w:color="CCEEFF"/>
            </w:tcBorders>
            <w:vAlign w:val="bottom"/>
          </w:tcPr>
          <w:p w14:paraId="380F92AD" w14:textId="77777777" w:rsidR="00D1587D" w:rsidRDefault="00D1587D">
            <w:pPr>
              <w:rPr>
                <w:sz w:val="24"/>
                <w:szCs w:val="24"/>
              </w:rPr>
            </w:pPr>
          </w:p>
        </w:tc>
        <w:tc>
          <w:tcPr>
            <w:tcW w:w="60" w:type="dxa"/>
            <w:tcBorders>
              <w:top w:val="single" w:sz="8" w:space="0" w:color="auto"/>
            </w:tcBorders>
            <w:vAlign w:val="bottom"/>
          </w:tcPr>
          <w:p w14:paraId="487AD735" w14:textId="77777777" w:rsidR="00D1587D" w:rsidRDefault="00D1587D">
            <w:pPr>
              <w:rPr>
                <w:sz w:val="24"/>
                <w:szCs w:val="24"/>
              </w:rPr>
            </w:pPr>
          </w:p>
        </w:tc>
        <w:tc>
          <w:tcPr>
            <w:tcW w:w="900" w:type="dxa"/>
            <w:tcBorders>
              <w:top w:val="single" w:sz="8" w:space="0" w:color="auto"/>
            </w:tcBorders>
            <w:vAlign w:val="bottom"/>
          </w:tcPr>
          <w:p w14:paraId="2B9ED65C" w14:textId="77777777" w:rsidR="00D1587D" w:rsidRDefault="00D1587D">
            <w:pPr>
              <w:rPr>
                <w:sz w:val="24"/>
                <w:szCs w:val="24"/>
              </w:rPr>
            </w:pPr>
          </w:p>
        </w:tc>
        <w:tc>
          <w:tcPr>
            <w:tcW w:w="180" w:type="dxa"/>
            <w:tcBorders>
              <w:top w:val="single" w:sz="8" w:space="0" w:color="CCEEFF"/>
            </w:tcBorders>
            <w:vAlign w:val="bottom"/>
          </w:tcPr>
          <w:p w14:paraId="0792538E" w14:textId="77777777" w:rsidR="00D1587D" w:rsidRDefault="00D1587D">
            <w:pPr>
              <w:rPr>
                <w:sz w:val="24"/>
                <w:szCs w:val="24"/>
              </w:rPr>
            </w:pPr>
          </w:p>
        </w:tc>
        <w:tc>
          <w:tcPr>
            <w:tcW w:w="940" w:type="dxa"/>
            <w:tcBorders>
              <w:top w:val="single" w:sz="8" w:space="0" w:color="auto"/>
            </w:tcBorders>
            <w:vAlign w:val="bottom"/>
          </w:tcPr>
          <w:p w14:paraId="139C10AE" w14:textId="77777777" w:rsidR="00D1587D" w:rsidRDefault="00D1587D">
            <w:pPr>
              <w:rPr>
                <w:sz w:val="24"/>
                <w:szCs w:val="24"/>
              </w:rPr>
            </w:pPr>
          </w:p>
        </w:tc>
        <w:tc>
          <w:tcPr>
            <w:tcW w:w="180" w:type="dxa"/>
            <w:tcBorders>
              <w:top w:val="single" w:sz="8" w:space="0" w:color="CCEEFF"/>
            </w:tcBorders>
            <w:vAlign w:val="bottom"/>
          </w:tcPr>
          <w:p w14:paraId="6538AF7C" w14:textId="77777777" w:rsidR="00D1587D" w:rsidRDefault="00D1587D">
            <w:pPr>
              <w:rPr>
                <w:sz w:val="24"/>
                <w:szCs w:val="24"/>
              </w:rPr>
            </w:pPr>
          </w:p>
        </w:tc>
        <w:tc>
          <w:tcPr>
            <w:tcW w:w="160" w:type="dxa"/>
            <w:tcBorders>
              <w:top w:val="single" w:sz="8" w:space="0" w:color="auto"/>
            </w:tcBorders>
            <w:vAlign w:val="bottom"/>
          </w:tcPr>
          <w:p w14:paraId="4AB124CD" w14:textId="77777777" w:rsidR="00D1587D" w:rsidRDefault="00D1587D">
            <w:pPr>
              <w:rPr>
                <w:sz w:val="24"/>
                <w:szCs w:val="24"/>
              </w:rPr>
            </w:pPr>
          </w:p>
        </w:tc>
        <w:tc>
          <w:tcPr>
            <w:tcW w:w="660" w:type="dxa"/>
            <w:tcBorders>
              <w:top w:val="single" w:sz="8" w:space="0" w:color="auto"/>
            </w:tcBorders>
            <w:vAlign w:val="bottom"/>
          </w:tcPr>
          <w:p w14:paraId="08DDB6E0" w14:textId="77777777" w:rsidR="00D1587D" w:rsidRDefault="00D1587D">
            <w:pPr>
              <w:rPr>
                <w:sz w:val="24"/>
                <w:szCs w:val="24"/>
              </w:rPr>
            </w:pPr>
          </w:p>
        </w:tc>
        <w:tc>
          <w:tcPr>
            <w:tcW w:w="180" w:type="dxa"/>
            <w:tcBorders>
              <w:top w:val="single" w:sz="8" w:space="0" w:color="CCEEFF"/>
            </w:tcBorders>
            <w:vAlign w:val="bottom"/>
          </w:tcPr>
          <w:p w14:paraId="3CBD6027" w14:textId="77777777" w:rsidR="00D1587D" w:rsidRDefault="00D1587D">
            <w:pPr>
              <w:rPr>
                <w:sz w:val="24"/>
                <w:szCs w:val="24"/>
              </w:rPr>
            </w:pPr>
          </w:p>
        </w:tc>
        <w:tc>
          <w:tcPr>
            <w:tcW w:w="100" w:type="dxa"/>
            <w:tcBorders>
              <w:top w:val="single" w:sz="8" w:space="0" w:color="auto"/>
            </w:tcBorders>
            <w:vAlign w:val="bottom"/>
          </w:tcPr>
          <w:p w14:paraId="481E9B86" w14:textId="77777777" w:rsidR="00D1587D" w:rsidRDefault="00D1587D">
            <w:pPr>
              <w:rPr>
                <w:sz w:val="24"/>
                <w:szCs w:val="24"/>
              </w:rPr>
            </w:pPr>
          </w:p>
        </w:tc>
        <w:tc>
          <w:tcPr>
            <w:tcW w:w="720" w:type="dxa"/>
            <w:tcBorders>
              <w:top w:val="single" w:sz="8" w:space="0" w:color="auto"/>
            </w:tcBorders>
            <w:vAlign w:val="bottom"/>
          </w:tcPr>
          <w:p w14:paraId="594137F9" w14:textId="77777777" w:rsidR="00D1587D" w:rsidRDefault="00D1587D">
            <w:pPr>
              <w:rPr>
                <w:sz w:val="24"/>
                <w:szCs w:val="24"/>
              </w:rPr>
            </w:pPr>
          </w:p>
        </w:tc>
        <w:tc>
          <w:tcPr>
            <w:tcW w:w="180" w:type="dxa"/>
            <w:tcBorders>
              <w:top w:val="single" w:sz="8" w:space="0" w:color="CCEEFF"/>
            </w:tcBorders>
            <w:vAlign w:val="bottom"/>
          </w:tcPr>
          <w:p w14:paraId="360D328F" w14:textId="77777777" w:rsidR="00D1587D" w:rsidRDefault="00D1587D">
            <w:pPr>
              <w:rPr>
                <w:sz w:val="24"/>
                <w:szCs w:val="24"/>
              </w:rPr>
            </w:pPr>
          </w:p>
        </w:tc>
        <w:tc>
          <w:tcPr>
            <w:tcW w:w="300" w:type="dxa"/>
            <w:tcBorders>
              <w:top w:val="single" w:sz="8" w:space="0" w:color="auto"/>
            </w:tcBorders>
            <w:vAlign w:val="bottom"/>
          </w:tcPr>
          <w:p w14:paraId="33596F64" w14:textId="77777777" w:rsidR="00D1587D" w:rsidRDefault="00D1587D">
            <w:pPr>
              <w:rPr>
                <w:sz w:val="24"/>
                <w:szCs w:val="24"/>
              </w:rPr>
            </w:pPr>
          </w:p>
        </w:tc>
        <w:tc>
          <w:tcPr>
            <w:tcW w:w="480" w:type="dxa"/>
            <w:tcBorders>
              <w:top w:val="single" w:sz="8" w:space="0" w:color="auto"/>
            </w:tcBorders>
            <w:vAlign w:val="bottom"/>
          </w:tcPr>
          <w:p w14:paraId="09132832" w14:textId="77777777" w:rsidR="00D1587D" w:rsidRDefault="00D1587D">
            <w:pPr>
              <w:rPr>
                <w:sz w:val="24"/>
                <w:szCs w:val="24"/>
              </w:rPr>
            </w:pPr>
          </w:p>
        </w:tc>
        <w:tc>
          <w:tcPr>
            <w:tcW w:w="0" w:type="dxa"/>
            <w:vAlign w:val="bottom"/>
          </w:tcPr>
          <w:p w14:paraId="3EF9C9F9" w14:textId="77777777" w:rsidR="00D1587D" w:rsidRDefault="00D1587D">
            <w:pPr>
              <w:rPr>
                <w:sz w:val="1"/>
                <w:szCs w:val="1"/>
              </w:rPr>
            </w:pPr>
          </w:p>
        </w:tc>
      </w:tr>
      <w:tr w:rsidR="00D1587D" w14:paraId="7D71BD18" w14:textId="77777777">
        <w:trPr>
          <w:trHeight w:val="301"/>
        </w:trPr>
        <w:tc>
          <w:tcPr>
            <w:tcW w:w="1280" w:type="dxa"/>
            <w:vAlign w:val="bottom"/>
          </w:tcPr>
          <w:p w14:paraId="43478ECE" w14:textId="77777777" w:rsidR="00D1587D" w:rsidRDefault="00D1587D">
            <w:pPr>
              <w:rPr>
                <w:sz w:val="24"/>
                <w:szCs w:val="24"/>
              </w:rPr>
            </w:pPr>
          </w:p>
        </w:tc>
        <w:tc>
          <w:tcPr>
            <w:tcW w:w="980" w:type="dxa"/>
            <w:vAlign w:val="bottom"/>
          </w:tcPr>
          <w:p w14:paraId="2B3E4802" w14:textId="77777777" w:rsidR="00D1587D" w:rsidRDefault="00D1587D">
            <w:pPr>
              <w:rPr>
                <w:sz w:val="24"/>
                <w:szCs w:val="24"/>
              </w:rPr>
            </w:pPr>
          </w:p>
        </w:tc>
        <w:tc>
          <w:tcPr>
            <w:tcW w:w="100" w:type="dxa"/>
            <w:vAlign w:val="bottom"/>
          </w:tcPr>
          <w:p w14:paraId="0F5D4008" w14:textId="77777777" w:rsidR="00D1587D" w:rsidRDefault="00D1587D">
            <w:pPr>
              <w:rPr>
                <w:sz w:val="24"/>
                <w:szCs w:val="24"/>
              </w:rPr>
            </w:pPr>
          </w:p>
        </w:tc>
        <w:tc>
          <w:tcPr>
            <w:tcW w:w="2160" w:type="dxa"/>
            <w:gridSpan w:val="6"/>
            <w:vAlign w:val="bottom"/>
          </w:tcPr>
          <w:p w14:paraId="076E3B71" w14:textId="77777777" w:rsidR="00D1587D" w:rsidRDefault="00410D07">
            <w:pPr>
              <w:ind w:right="260"/>
              <w:jc w:val="right"/>
              <w:rPr>
                <w:sz w:val="20"/>
                <w:szCs w:val="20"/>
              </w:rPr>
            </w:pPr>
            <w:r>
              <w:rPr>
                <w:rFonts w:ascii="Arial" w:eastAsia="Arial" w:hAnsi="Arial" w:cs="Arial"/>
                <w:b/>
                <w:bCs/>
                <w:w w:val="96"/>
                <w:sz w:val="14"/>
                <w:szCs w:val="14"/>
              </w:rPr>
              <w:t>Involuntary Without Cause or</w:t>
            </w:r>
          </w:p>
        </w:tc>
        <w:tc>
          <w:tcPr>
            <w:tcW w:w="940" w:type="dxa"/>
            <w:vAlign w:val="bottom"/>
          </w:tcPr>
          <w:p w14:paraId="2AEB0AEF" w14:textId="77777777" w:rsidR="00D1587D" w:rsidRDefault="00410D07">
            <w:pPr>
              <w:jc w:val="center"/>
              <w:rPr>
                <w:sz w:val="20"/>
                <w:szCs w:val="20"/>
              </w:rPr>
            </w:pPr>
            <w:r>
              <w:rPr>
                <w:rFonts w:ascii="Arial" w:eastAsia="Arial" w:hAnsi="Arial" w:cs="Arial"/>
                <w:b/>
                <w:bCs/>
                <w:w w:val="98"/>
                <w:sz w:val="14"/>
                <w:szCs w:val="14"/>
              </w:rPr>
              <w:t>Involuntary</w:t>
            </w:r>
          </w:p>
        </w:tc>
        <w:tc>
          <w:tcPr>
            <w:tcW w:w="180" w:type="dxa"/>
            <w:vAlign w:val="bottom"/>
          </w:tcPr>
          <w:p w14:paraId="160F4519" w14:textId="77777777" w:rsidR="00D1587D" w:rsidRDefault="00D1587D">
            <w:pPr>
              <w:rPr>
                <w:sz w:val="24"/>
                <w:szCs w:val="24"/>
              </w:rPr>
            </w:pPr>
          </w:p>
        </w:tc>
        <w:tc>
          <w:tcPr>
            <w:tcW w:w="160" w:type="dxa"/>
            <w:vAlign w:val="bottom"/>
          </w:tcPr>
          <w:p w14:paraId="62DA947D" w14:textId="77777777" w:rsidR="00D1587D" w:rsidRDefault="00D1587D">
            <w:pPr>
              <w:rPr>
                <w:sz w:val="24"/>
                <w:szCs w:val="24"/>
              </w:rPr>
            </w:pPr>
          </w:p>
        </w:tc>
        <w:tc>
          <w:tcPr>
            <w:tcW w:w="660" w:type="dxa"/>
            <w:vAlign w:val="bottom"/>
          </w:tcPr>
          <w:p w14:paraId="767F7964" w14:textId="77777777" w:rsidR="00D1587D" w:rsidRDefault="00D1587D">
            <w:pPr>
              <w:rPr>
                <w:sz w:val="24"/>
                <w:szCs w:val="24"/>
              </w:rPr>
            </w:pPr>
          </w:p>
        </w:tc>
        <w:tc>
          <w:tcPr>
            <w:tcW w:w="180" w:type="dxa"/>
            <w:vAlign w:val="bottom"/>
          </w:tcPr>
          <w:p w14:paraId="1360E672" w14:textId="77777777" w:rsidR="00D1587D" w:rsidRDefault="00D1587D">
            <w:pPr>
              <w:rPr>
                <w:sz w:val="24"/>
                <w:szCs w:val="24"/>
              </w:rPr>
            </w:pPr>
          </w:p>
        </w:tc>
        <w:tc>
          <w:tcPr>
            <w:tcW w:w="100" w:type="dxa"/>
            <w:vAlign w:val="bottom"/>
          </w:tcPr>
          <w:p w14:paraId="0775534C" w14:textId="77777777" w:rsidR="00D1587D" w:rsidRDefault="00D1587D">
            <w:pPr>
              <w:rPr>
                <w:sz w:val="24"/>
                <w:szCs w:val="24"/>
              </w:rPr>
            </w:pPr>
          </w:p>
        </w:tc>
        <w:tc>
          <w:tcPr>
            <w:tcW w:w="720" w:type="dxa"/>
            <w:vAlign w:val="bottom"/>
          </w:tcPr>
          <w:p w14:paraId="3B0940B5" w14:textId="77777777" w:rsidR="00D1587D" w:rsidRDefault="00D1587D">
            <w:pPr>
              <w:rPr>
                <w:sz w:val="24"/>
                <w:szCs w:val="24"/>
              </w:rPr>
            </w:pPr>
          </w:p>
        </w:tc>
        <w:tc>
          <w:tcPr>
            <w:tcW w:w="180" w:type="dxa"/>
            <w:vAlign w:val="bottom"/>
          </w:tcPr>
          <w:p w14:paraId="6D043F23" w14:textId="77777777" w:rsidR="00D1587D" w:rsidRDefault="00D1587D">
            <w:pPr>
              <w:rPr>
                <w:sz w:val="24"/>
                <w:szCs w:val="24"/>
              </w:rPr>
            </w:pPr>
          </w:p>
        </w:tc>
        <w:tc>
          <w:tcPr>
            <w:tcW w:w="300" w:type="dxa"/>
            <w:vAlign w:val="bottom"/>
          </w:tcPr>
          <w:p w14:paraId="56F70452" w14:textId="77777777" w:rsidR="00D1587D" w:rsidRDefault="00D1587D">
            <w:pPr>
              <w:rPr>
                <w:sz w:val="24"/>
                <w:szCs w:val="24"/>
              </w:rPr>
            </w:pPr>
          </w:p>
        </w:tc>
        <w:tc>
          <w:tcPr>
            <w:tcW w:w="480" w:type="dxa"/>
            <w:vAlign w:val="bottom"/>
          </w:tcPr>
          <w:p w14:paraId="5D6D9920" w14:textId="77777777" w:rsidR="00D1587D" w:rsidRDefault="00D1587D">
            <w:pPr>
              <w:rPr>
                <w:sz w:val="24"/>
                <w:szCs w:val="24"/>
              </w:rPr>
            </w:pPr>
          </w:p>
        </w:tc>
        <w:tc>
          <w:tcPr>
            <w:tcW w:w="0" w:type="dxa"/>
            <w:vAlign w:val="bottom"/>
          </w:tcPr>
          <w:p w14:paraId="50984A93" w14:textId="77777777" w:rsidR="00D1587D" w:rsidRDefault="00D1587D">
            <w:pPr>
              <w:rPr>
                <w:sz w:val="1"/>
                <w:szCs w:val="1"/>
              </w:rPr>
            </w:pPr>
          </w:p>
        </w:tc>
      </w:tr>
      <w:tr w:rsidR="00D1587D" w14:paraId="12BF6DA7" w14:textId="77777777">
        <w:trPr>
          <w:trHeight w:val="148"/>
        </w:trPr>
        <w:tc>
          <w:tcPr>
            <w:tcW w:w="1280" w:type="dxa"/>
            <w:vAlign w:val="bottom"/>
          </w:tcPr>
          <w:p w14:paraId="0F703DCE" w14:textId="77777777" w:rsidR="00D1587D" w:rsidRDefault="00D1587D">
            <w:pPr>
              <w:rPr>
                <w:sz w:val="12"/>
                <w:szCs w:val="12"/>
              </w:rPr>
            </w:pPr>
          </w:p>
        </w:tc>
        <w:tc>
          <w:tcPr>
            <w:tcW w:w="980" w:type="dxa"/>
            <w:vAlign w:val="bottom"/>
          </w:tcPr>
          <w:p w14:paraId="5FFFB384" w14:textId="77777777" w:rsidR="00D1587D" w:rsidRDefault="00D1587D">
            <w:pPr>
              <w:rPr>
                <w:sz w:val="12"/>
                <w:szCs w:val="12"/>
              </w:rPr>
            </w:pPr>
          </w:p>
        </w:tc>
        <w:tc>
          <w:tcPr>
            <w:tcW w:w="100" w:type="dxa"/>
            <w:vAlign w:val="bottom"/>
          </w:tcPr>
          <w:p w14:paraId="6F96CB2F" w14:textId="77777777" w:rsidR="00D1587D" w:rsidRDefault="00D1587D">
            <w:pPr>
              <w:rPr>
                <w:sz w:val="12"/>
                <w:szCs w:val="12"/>
              </w:rPr>
            </w:pPr>
          </w:p>
        </w:tc>
        <w:tc>
          <w:tcPr>
            <w:tcW w:w="2160" w:type="dxa"/>
            <w:gridSpan w:val="6"/>
            <w:vAlign w:val="bottom"/>
          </w:tcPr>
          <w:p w14:paraId="06FDAA10" w14:textId="77777777" w:rsidR="00D1587D" w:rsidRDefault="00410D07">
            <w:pPr>
              <w:spacing w:line="149" w:lineRule="exact"/>
              <w:ind w:right="260"/>
              <w:jc w:val="right"/>
              <w:rPr>
                <w:sz w:val="20"/>
                <w:szCs w:val="20"/>
              </w:rPr>
            </w:pPr>
            <w:r>
              <w:rPr>
                <w:rFonts w:ascii="Arial" w:eastAsia="Arial" w:hAnsi="Arial" w:cs="Arial"/>
                <w:b/>
                <w:bCs/>
                <w:w w:val="97"/>
                <w:sz w:val="14"/>
                <w:szCs w:val="14"/>
              </w:rPr>
              <w:t>Voluntary With Good Reason</w:t>
            </w:r>
          </w:p>
        </w:tc>
        <w:tc>
          <w:tcPr>
            <w:tcW w:w="940" w:type="dxa"/>
            <w:vAlign w:val="bottom"/>
          </w:tcPr>
          <w:p w14:paraId="4C71CF26" w14:textId="77777777" w:rsidR="00D1587D" w:rsidRDefault="00410D07">
            <w:pPr>
              <w:spacing w:line="149" w:lineRule="exact"/>
              <w:jc w:val="center"/>
              <w:rPr>
                <w:sz w:val="20"/>
                <w:szCs w:val="20"/>
              </w:rPr>
            </w:pPr>
            <w:r>
              <w:rPr>
                <w:rFonts w:ascii="Arial" w:eastAsia="Arial" w:hAnsi="Arial" w:cs="Arial"/>
                <w:b/>
                <w:bCs/>
                <w:w w:val="93"/>
                <w:sz w:val="14"/>
                <w:szCs w:val="14"/>
              </w:rPr>
              <w:t>Without Cause</w:t>
            </w:r>
          </w:p>
        </w:tc>
        <w:tc>
          <w:tcPr>
            <w:tcW w:w="180" w:type="dxa"/>
            <w:vAlign w:val="bottom"/>
          </w:tcPr>
          <w:p w14:paraId="4524CC81" w14:textId="77777777" w:rsidR="00D1587D" w:rsidRDefault="00D1587D">
            <w:pPr>
              <w:rPr>
                <w:sz w:val="12"/>
                <w:szCs w:val="12"/>
              </w:rPr>
            </w:pPr>
          </w:p>
        </w:tc>
        <w:tc>
          <w:tcPr>
            <w:tcW w:w="160" w:type="dxa"/>
            <w:vAlign w:val="bottom"/>
          </w:tcPr>
          <w:p w14:paraId="2FC659B0" w14:textId="77777777" w:rsidR="00D1587D" w:rsidRDefault="00D1587D">
            <w:pPr>
              <w:rPr>
                <w:sz w:val="12"/>
                <w:szCs w:val="12"/>
              </w:rPr>
            </w:pPr>
          </w:p>
        </w:tc>
        <w:tc>
          <w:tcPr>
            <w:tcW w:w="660" w:type="dxa"/>
            <w:vAlign w:val="bottom"/>
          </w:tcPr>
          <w:p w14:paraId="676B9332" w14:textId="77777777" w:rsidR="00D1587D" w:rsidRDefault="00D1587D">
            <w:pPr>
              <w:rPr>
                <w:sz w:val="12"/>
                <w:szCs w:val="12"/>
              </w:rPr>
            </w:pPr>
          </w:p>
        </w:tc>
        <w:tc>
          <w:tcPr>
            <w:tcW w:w="180" w:type="dxa"/>
            <w:vAlign w:val="bottom"/>
          </w:tcPr>
          <w:p w14:paraId="24FAD256" w14:textId="77777777" w:rsidR="00D1587D" w:rsidRDefault="00D1587D">
            <w:pPr>
              <w:rPr>
                <w:sz w:val="12"/>
                <w:szCs w:val="12"/>
              </w:rPr>
            </w:pPr>
          </w:p>
        </w:tc>
        <w:tc>
          <w:tcPr>
            <w:tcW w:w="100" w:type="dxa"/>
            <w:vAlign w:val="bottom"/>
          </w:tcPr>
          <w:p w14:paraId="4563F9AB" w14:textId="77777777" w:rsidR="00D1587D" w:rsidRDefault="00D1587D">
            <w:pPr>
              <w:rPr>
                <w:sz w:val="12"/>
                <w:szCs w:val="12"/>
              </w:rPr>
            </w:pPr>
          </w:p>
        </w:tc>
        <w:tc>
          <w:tcPr>
            <w:tcW w:w="720" w:type="dxa"/>
            <w:vAlign w:val="bottom"/>
          </w:tcPr>
          <w:p w14:paraId="276DF974" w14:textId="77777777" w:rsidR="00D1587D" w:rsidRDefault="00D1587D">
            <w:pPr>
              <w:rPr>
                <w:sz w:val="12"/>
                <w:szCs w:val="12"/>
              </w:rPr>
            </w:pPr>
          </w:p>
        </w:tc>
        <w:tc>
          <w:tcPr>
            <w:tcW w:w="180" w:type="dxa"/>
            <w:vAlign w:val="bottom"/>
          </w:tcPr>
          <w:p w14:paraId="410792EF" w14:textId="77777777" w:rsidR="00D1587D" w:rsidRDefault="00D1587D">
            <w:pPr>
              <w:rPr>
                <w:sz w:val="12"/>
                <w:szCs w:val="12"/>
              </w:rPr>
            </w:pPr>
          </w:p>
        </w:tc>
        <w:tc>
          <w:tcPr>
            <w:tcW w:w="300" w:type="dxa"/>
            <w:vAlign w:val="bottom"/>
          </w:tcPr>
          <w:p w14:paraId="5A9CB2B7" w14:textId="77777777" w:rsidR="00D1587D" w:rsidRDefault="00D1587D">
            <w:pPr>
              <w:rPr>
                <w:sz w:val="12"/>
                <w:szCs w:val="12"/>
              </w:rPr>
            </w:pPr>
          </w:p>
        </w:tc>
        <w:tc>
          <w:tcPr>
            <w:tcW w:w="480" w:type="dxa"/>
            <w:vAlign w:val="bottom"/>
          </w:tcPr>
          <w:p w14:paraId="4880F2CB" w14:textId="77777777" w:rsidR="00D1587D" w:rsidRDefault="00D1587D">
            <w:pPr>
              <w:rPr>
                <w:sz w:val="12"/>
                <w:szCs w:val="12"/>
              </w:rPr>
            </w:pPr>
          </w:p>
        </w:tc>
        <w:tc>
          <w:tcPr>
            <w:tcW w:w="0" w:type="dxa"/>
            <w:vAlign w:val="bottom"/>
          </w:tcPr>
          <w:p w14:paraId="15EF2732" w14:textId="77777777" w:rsidR="00D1587D" w:rsidRDefault="00D1587D">
            <w:pPr>
              <w:rPr>
                <w:sz w:val="1"/>
                <w:szCs w:val="1"/>
              </w:rPr>
            </w:pPr>
          </w:p>
        </w:tc>
      </w:tr>
      <w:tr w:rsidR="00D1587D" w14:paraId="46A1D3AD" w14:textId="77777777">
        <w:trPr>
          <w:trHeight w:val="90"/>
        </w:trPr>
        <w:tc>
          <w:tcPr>
            <w:tcW w:w="1280" w:type="dxa"/>
            <w:vAlign w:val="bottom"/>
          </w:tcPr>
          <w:p w14:paraId="54DE53E4" w14:textId="77777777" w:rsidR="00D1587D" w:rsidRDefault="00D1587D">
            <w:pPr>
              <w:rPr>
                <w:sz w:val="7"/>
                <w:szCs w:val="7"/>
              </w:rPr>
            </w:pPr>
          </w:p>
        </w:tc>
        <w:tc>
          <w:tcPr>
            <w:tcW w:w="980" w:type="dxa"/>
            <w:vAlign w:val="bottom"/>
          </w:tcPr>
          <w:p w14:paraId="704542D1" w14:textId="77777777" w:rsidR="00D1587D" w:rsidRDefault="00D1587D">
            <w:pPr>
              <w:rPr>
                <w:sz w:val="7"/>
                <w:szCs w:val="7"/>
              </w:rPr>
            </w:pPr>
          </w:p>
        </w:tc>
        <w:tc>
          <w:tcPr>
            <w:tcW w:w="100" w:type="dxa"/>
            <w:vAlign w:val="bottom"/>
          </w:tcPr>
          <w:p w14:paraId="2C2148D5" w14:textId="77777777" w:rsidR="00D1587D" w:rsidRDefault="00D1587D">
            <w:pPr>
              <w:rPr>
                <w:sz w:val="7"/>
                <w:szCs w:val="7"/>
              </w:rPr>
            </w:pPr>
          </w:p>
        </w:tc>
        <w:tc>
          <w:tcPr>
            <w:tcW w:w="840" w:type="dxa"/>
            <w:tcBorders>
              <w:bottom w:val="single" w:sz="8" w:space="0" w:color="auto"/>
            </w:tcBorders>
            <w:vAlign w:val="bottom"/>
          </w:tcPr>
          <w:p w14:paraId="13F3E56E" w14:textId="77777777" w:rsidR="00D1587D" w:rsidRDefault="00D1587D">
            <w:pPr>
              <w:rPr>
                <w:sz w:val="7"/>
                <w:szCs w:val="7"/>
              </w:rPr>
            </w:pPr>
          </w:p>
        </w:tc>
        <w:tc>
          <w:tcPr>
            <w:tcW w:w="60" w:type="dxa"/>
            <w:tcBorders>
              <w:bottom w:val="single" w:sz="8" w:space="0" w:color="auto"/>
            </w:tcBorders>
            <w:vAlign w:val="bottom"/>
          </w:tcPr>
          <w:p w14:paraId="0EB55C78" w14:textId="77777777" w:rsidR="00D1587D" w:rsidRDefault="00D1587D">
            <w:pPr>
              <w:rPr>
                <w:sz w:val="7"/>
                <w:szCs w:val="7"/>
              </w:rPr>
            </w:pPr>
          </w:p>
        </w:tc>
        <w:tc>
          <w:tcPr>
            <w:tcW w:w="120" w:type="dxa"/>
            <w:tcBorders>
              <w:bottom w:val="single" w:sz="8" w:space="0" w:color="auto"/>
            </w:tcBorders>
            <w:vAlign w:val="bottom"/>
          </w:tcPr>
          <w:p w14:paraId="5EA92136" w14:textId="77777777" w:rsidR="00D1587D" w:rsidRDefault="00D1587D">
            <w:pPr>
              <w:rPr>
                <w:sz w:val="7"/>
                <w:szCs w:val="7"/>
              </w:rPr>
            </w:pPr>
          </w:p>
        </w:tc>
        <w:tc>
          <w:tcPr>
            <w:tcW w:w="60" w:type="dxa"/>
            <w:tcBorders>
              <w:bottom w:val="single" w:sz="8" w:space="0" w:color="auto"/>
            </w:tcBorders>
            <w:vAlign w:val="bottom"/>
          </w:tcPr>
          <w:p w14:paraId="196C089C" w14:textId="77777777" w:rsidR="00D1587D" w:rsidRDefault="00D1587D">
            <w:pPr>
              <w:rPr>
                <w:sz w:val="7"/>
                <w:szCs w:val="7"/>
              </w:rPr>
            </w:pPr>
          </w:p>
        </w:tc>
        <w:tc>
          <w:tcPr>
            <w:tcW w:w="900" w:type="dxa"/>
            <w:tcBorders>
              <w:bottom w:val="single" w:sz="8" w:space="0" w:color="auto"/>
            </w:tcBorders>
            <w:vAlign w:val="bottom"/>
          </w:tcPr>
          <w:p w14:paraId="6093030A" w14:textId="77777777" w:rsidR="00D1587D" w:rsidRDefault="00D1587D">
            <w:pPr>
              <w:rPr>
                <w:sz w:val="7"/>
                <w:szCs w:val="7"/>
              </w:rPr>
            </w:pPr>
          </w:p>
        </w:tc>
        <w:tc>
          <w:tcPr>
            <w:tcW w:w="180" w:type="dxa"/>
            <w:vAlign w:val="bottom"/>
          </w:tcPr>
          <w:p w14:paraId="02E88395" w14:textId="77777777" w:rsidR="00D1587D" w:rsidRDefault="00D1587D">
            <w:pPr>
              <w:rPr>
                <w:sz w:val="7"/>
                <w:szCs w:val="7"/>
              </w:rPr>
            </w:pPr>
          </w:p>
        </w:tc>
        <w:tc>
          <w:tcPr>
            <w:tcW w:w="940" w:type="dxa"/>
            <w:vMerge w:val="restart"/>
            <w:vAlign w:val="bottom"/>
          </w:tcPr>
          <w:p w14:paraId="2D0CA2A7" w14:textId="77777777" w:rsidR="00D1587D" w:rsidRDefault="00410D07">
            <w:pPr>
              <w:spacing w:line="149" w:lineRule="exact"/>
              <w:jc w:val="center"/>
              <w:rPr>
                <w:sz w:val="20"/>
                <w:szCs w:val="20"/>
              </w:rPr>
            </w:pPr>
            <w:r>
              <w:rPr>
                <w:rFonts w:ascii="Arial" w:eastAsia="Arial" w:hAnsi="Arial" w:cs="Arial"/>
                <w:b/>
                <w:bCs/>
                <w:w w:val="91"/>
                <w:sz w:val="14"/>
                <w:szCs w:val="14"/>
              </w:rPr>
              <w:t>following</w:t>
            </w:r>
          </w:p>
        </w:tc>
        <w:tc>
          <w:tcPr>
            <w:tcW w:w="180" w:type="dxa"/>
            <w:vAlign w:val="bottom"/>
          </w:tcPr>
          <w:p w14:paraId="58C8AAFF" w14:textId="77777777" w:rsidR="00D1587D" w:rsidRDefault="00D1587D">
            <w:pPr>
              <w:rPr>
                <w:sz w:val="7"/>
                <w:szCs w:val="7"/>
              </w:rPr>
            </w:pPr>
          </w:p>
        </w:tc>
        <w:tc>
          <w:tcPr>
            <w:tcW w:w="160" w:type="dxa"/>
            <w:vAlign w:val="bottom"/>
          </w:tcPr>
          <w:p w14:paraId="2554F0AC" w14:textId="77777777" w:rsidR="00D1587D" w:rsidRDefault="00D1587D">
            <w:pPr>
              <w:rPr>
                <w:sz w:val="7"/>
                <w:szCs w:val="7"/>
              </w:rPr>
            </w:pPr>
          </w:p>
        </w:tc>
        <w:tc>
          <w:tcPr>
            <w:tcW w:w="660" w:type="dxa"/>
            <w:vAlign w:val="bottom"/>
          </w:tcPr>
          <w:p w14:paraId="46A1CFE0" w14:textId="77777777" w:rsidR="00D1587D" w:rsidRDefault="00D1587D">
            <w:pPr>
              <w:rPr>
                <w:sz w:val="7"/>
                <w:szCs w:val="7"/>
              </w:rPr>
            </w:pPr>
          </w:p>
        </w:tc>
        <w:tc>
          <w:tcPr>
            <w:tcW w:w="180" w:type="dxa"/>
            <w:vAlign w:val="bottom"/>
          </w:tcPr>
          <w:p w14:paraId="48B0929A" w14:textId="77777777" w:rsidR="00D1587D" w:rsidRDefault="00D1587D">
            <w:pPr>
              <w:rPr>
                <w:sz w:val="7"/>
                <w:szCs w:val="7"/>
              </w:rPr>
            </w:pPr>
          </w:p>
        </w:tc>
        <w:tc>
          <w:tcPr>
            <w:tcW w:w="100" w:type="dxa"/>
            <w:vAlign w:val="bottom"/>
          </w:tcPr>
          <w:p w14:paraId="38F4E9B3" w14:textId="77777777" w:rsidR="00D1587D" w:rsidRDefault="00D1587D">
            <w:pPr>
              <w:rPr>
                <w:sz w:val="7"/>
                <w:szCs w:val="7"/>
              </w:rPr>
            </w:pPr>
          </w:p>
        </w:tc>
        <w:tc>
          <w:tcPr>
            <w:tcW w:w="720" w:type="dxa"/>
            <w:vAlign w:val="bottom"/>
          </w:tcPr>
          <w:p w14:paraId="26B64402" w14:textId="77777777" w:rsidR="00D1587D" w:rsidRDefault="00D1587D">
            <w:pPr>
              <w:rPr>
                <w:sz w:val="7"/>
                <w:szCs w:val="7"/>
              </w:rPr>
            </w:pPr>
          </w:p>
        </w:tc>
        <w:tc>
          <w:tcPr>
            <w:tcW w:w="180" w:type="dxa"/>
            <w:vAlign w:val="bottom"/>
          </w:tcPr>
          <w:p w14:paraId="395BBB3F" w14:textId="77777777" w:rsidR="00D1587D" w:rsidRDefault="00D1587D">
            <w:pPr>
              <w:rPr>
                <w:sz w:val="7"/>
                <w:szCs w:val="7"/>
              </w:rPr>
            </w:pPr>
          </w:p>
        </w:tc>
        <w:tc>
          <w:tcPr>
            <w:tcW w:w="780" w:type="dxa"/>
            <w:gridSpan w:val="2"/>
            <w:vMerge w:val="restart"/>
            <w:vAlign w:val="bottom"/>
          </w:tcPr>
          <w:p w14:paraId="0F2B3469" w14:textId="77777777" w:rsidR="00D1587D" w:rsidRDefault="00410D07">
            <w:pPr>
              <w:spacing w:line="149" w:lineRule="exact"/>
              <w:jc w:val="center"/>
              <w:rPr>
                <w:sz w:val="20"/>
                <w:szCs w:val="20"/>
              </w:rPr>
            </w:pPr>
            <w:r>
              <w:rPr>
                <w:rFonts w:ascii="Arial" w:eastAsia="Arial" w:hAnsi="Arial" w:cs="Arial"/>
                <w:b/>
                <w:bCs/>
                <w:w w:val="95"/>
                <w:sz w:val="14"/>
                <w:szCs w:val="14"/>
              </w:rPr>
              <w:t>Voluntary</w:t>
            </w:r>
          </w:p>
        </w:tc>
        <w:tc>
          <w:tcPr>
            <w:tcW w:w="0" w:type="dxa"/>
            <w:vAlign w:val="bottom"/>
          </w:tcPr>
          <w:p w14:paraId="07864F6E" w14:textId="77777777" w:rsidR="00D1587D" w:rsidRDefault="00D1587D">
            <w:pPr>
              <w:rPr>
                <w:sz w:val="1"/>
                <w:szCs w:val="1"/>
              </w:rPr>
            </w:pPr>
          </w:p>
        </w:tc>
      </w:tr>
      <w:tr w:rsidR="00D1587D" w14:paraId="7C232935" w14:textId="77777777">
        <w:trPr>
          <w:trHeight w:val="38"/>
        </w:trPr>
        <w:tc>
          <w:tcPr>
            <w:tcW w:w="1280" w:type="dxa"/>
            <w:vAlign w:val="bottom"/>
          </w:tcPr>
          <w:p w14:paraId="49426DD6" w14:textId="77777777" w:rsidR="00D1587D" w:rsidRDefault="00D1587D">
            <w:pPr>
              <w:rPr>
                <w:sz w:val="3"/>
                <w:szCs w:val="3"/>
              </w:rPr>
            </w:pPr>
          </w:p>
        </w:tc>
        <w:tc>
          <w:tcPr>
            <w:tcW w:w="980" w:type="dxa"/>
            <w:vAlign w:val="bottom"/>
          </w:tcPr>
          <w:p w14:paraId="147C8A5B" w14:textId="77777777" w:rsidR="00D1587D" w:rsidRDefault="00D1587D">
            <w:pPr>
              <w:rPr>
                <w:sz w:val="3"/>
                <w:szCs w:val="3"/>
              </w:rPr>
            </w:pPr>
          </w:p>
        </w:tc>
        <w:tc>
          <w:tcPr>
            <w:tcW w:w="100" w:type="dxa"/>
            <w:vAlign w:val="bottom"/>
          </w:tcPr>
          <w:p w14:paraId="08D46FD9" w14:textId="77777777" w:rsidR="00D1587D" w:rsidRDefault="00D1587D">
            <w:pPr>
              <w:rPr>
                <w:sz w:val="3"/>
                <w:szCs w:val="3"/>
              </w:rPr>
            </w:pPr>
          </w:p>
        </w:tc>
        <w:tc>
          <w:tcPr>
            <w:tcW w:w="1020" w:type="dxa"/>
            <w:gridSpan w:val="3"/>
            <w:vMerge w:val="restart"/>
            <w:vAlign w:val="bottom"/>
          </w:tcPr>
          <w:p w14:paraId="58D38071" w14:textId="77777777" w:rsidR="00D1587D" w:rsidRDefault="00410D07">
            <w:pPr>
              <w:ind w:right="160"/>
              <w:jc w:val="center"/>
              <w:rPr>
                <w:sz w:val="20"/>
                <w:szCs w:val="20"/>
              </w:rPr>
            </w:pPr>
            <w:r>
              <w:rPr>
                <w:rFonts w:ascii="Arial" w:eastAsia="Arial" w:hAnsi="Arial" w:cs="Arial"/>
                <w:b/>
                <w:bCs/>
                <w:w w:val="92"/>
                <w:sz w:val="14"/>
                <w:szCs w:val="14"/>
              </w:rPr>
              <w:t>w/out</w:t>
            </w:r>
          </w:p>
        </w:tc>
        <w:tc>
          <w:tcPr>
            <w:tcW w:w="60" w:type="dxa"/>
            <w:vAlign w:val="bottom"/>
          </w:tcPr>
          <w:p w14:paraId="44F35A20" w14:textId="77777777" w:rsidR="00D1587D" w:rsidRDefault="00D1587D">
            <w:pPr>
              <w:rPr>
                <w:sz w:val="3"/>
                <w:szCs w:val="3"/>
              </w:rPr>
            </w:pPr>
          </w:p>
        </w:tc>
        <w:tc>
          <w:tcPr>
            <w:tcW w:w="1080" w:type="dxa"/>
            <w:gridSpan w:val="2"/>
            <w:vMerge w:val="restart"/>
            <w:vAlign w:val="bottom"/>
          </w:tcPr>
          <w:p w14:paraId="46D546C1" w14:textId="77777777" w:rsidR="00D1587D" w:rsidRDefault="00410D07">
            <w:pPr>
              <w:ind w:right="220"/>
              <w:jc w:val="center"/>
              <w:rPr>
                <w:sz w:val="20"/>
                <w:szCs w:val="20"/>
              </w:rPr>
            </w:pPr>
            <w:r>
              <w:rPr>
                <w:rFonts w:ascii="Arial" w:eastAsia="Arial" w:hAnsi="Arial" w:cs="Arial"/>
                <w:b/>
                <w:bCs/>
                <w:w w:val="95"/>
                <w:sz w:val="14"/>
                <w:szCs w:val="14"/>
              </w:rPr>
              <w:t>&amp; Signed</w:t>
            </w:r>
          </w:p>
        </w:tc>
        <w:tc>
          <w:tcPr>
            <w:tcW w:w="940" w:type="dxa"/>
            <w:vMerge/>
            <w:vAlign w:val="bottom"/>
          </w:tcPr>
          <w:p w14:paraId="7F083EBD" w14:textId="77777777" w:rsidR="00D1587D" w:rsidRDefault="00D1587D">
            <w:pPr>
              <w:rPr>
                <w:sz w:val="3"/>
                <w:szCs w:val="3"/>
              </w:rPr>
            </w:pPr>
          </w:p>
        </w:tc>
        <w:tc>
          <w:tcPr>
            <w:tcW w:w="180" w:type="dxa"/>
            <w:vAlign w:val="bottom"/>
          </w:tcPr>
          <w:p w14:paraId="7A5BD6B0" w14:textId="77777777" w:rsidR="00D1587D" w:rsidRDefault="00D1587D">
            <w:pPr>
              <w:rPr>
                <w:sz w:val="3"/>
                <w:szCs w:val="3"/>
              </w:rPr>
            </w:pPr>
          </w:p>
        </w:tc>
        <w:tc>
          <w:tcPr>
            <w:tcW w:w="160" w:type="dxa"/>
            <w:vAlign w:val="bottom"/>
          </w:tcPr>
          <w:p w14:paraId="30480BDC" w14:textId="77777777" w:rsidR="00D1587D" w:rsidRDefault="00D1587D">
            <w:pPr>
              <w:rPr>
                <w:sz w:val="3"/>
                <w:szCs w:val="3"/>
              </w:rPr>
            </w:pPr>
          </w:p>
        </w:tc>
        <w:tc>
          <w:tcPr>
            <w:tcW w:w="660" w:type="dxa"/>
            <w:vAlign w:val="bottom"/>
          </w:tcPr>
          <w:p w14:paraId="56FBBC61" w14:textId="77777777" w:rsidR="00D1587D" w:rsidRDefault="00D1587D">
            <w:pPr>
              <w:rPr>
                <w:sz w:val="3"/>
                <w:szCs w:val="3"/>
              </w:rPr>
            </w:pPr>
          </w:p>
        </w:tc>
        <w:tc>
          <w:tcPr>
            <w:tcW w:w="180" w:type="dxa"/>
            <w:vAlign w:val="bottom"/>
          </w:tcPr>
          <w:p w14:paraId="1276BDB1" w14:textId="77777777" w:rsidR="00D1587D" w:rsidRDefault="00D1587D">
            <w:pPr>
              <w:rPr>
                <w:sz w:val="3"/>
                <w:szCs w:val="3"/>
              </w:rPr>
            </w:pPr>
          </w:p>
        </w:tc>
        <w:tc>
          <w:tcPr>
            <w:tcW w:w="100" w:type="dxa"/>
            <w:vAlign w:val="bottom"/>
          </w:tcPr>
          <w:p w14:paraId="7057EAB7" w14:textId="77777777" w:rsidR="00D1587D" w:rsidRDefault="00D1587D">
            <w:pPr>
              <w:rPr>
                <w:sz w:val="3"/>
                <w:szCs w:val="3"/>
              </w:rPr>
            </w:pPr>
          </w:p>
        </w:tc>
        <w:tc>
          <w:tcPr>
            <w:tcW w:w="720" w:type="dxa"/>
            <w:vAlign w:val="bottom"/>
          </w:tcPr>
          <w:p w14:paraId="77D47041" w14:textId="77777777" w:rsidR="00D1587D" w:rsidRDefault="00D1587D">
            <w:pPr>
              <w:rPr>
                <w:sz w:val="3"/>
                <w:szCs w:val="3"/>
              </w:rPr>
            </w:pPr>
          </w:p>
        </w:tc>
        <w:tc>
          <w:tcPr>
            <w:tcW w:w="180" w:type="dxa"/>
            <w:vAlign w:val="bottom"/>
          </w:tcPr>
          <w:p w14:paraId="2BE35E88" w14:textId="77777777" w:rsidR="00D1587D" w:rsidRDefault="00D1587D">
            <w:pPr>
              <w:rPr>
                <w:sz w:val="3"/>
                <w:szCs w:val="3"/>
              </w:rPr>
            </w:pPr>
          </w:p>
        </w:tc>
        <w:tc>
          <w:tcPr>
            <w:tcW w:w="780" w:type="dxa"/>
            <w:gridSpan w:val="2"/>
            <w:vMerge/>
            <w:vAlign w:val="bottom"/>
          </w:tcPr>
          <w:p w14:paraId="4CAE570E" w14:textId="77777777" w:rsidR="00D1587D" w:rsidRDefault="00D1587D">
            <w:pPr>
              <w:rPr>
                <w:sz w:val="3"/>
                <w:szCs w:val="3"/>
              </w:rPr>
            </w:pPr>
          </w:p>
        </w:tc>
        <w:tc>
          <w:tcPr>
            <w:tcW w:w="0" w:type="dxa"/>
            <w:vAlign w:val="bottom"/>
          </w:tcPr>
          <w:p w14:paraId="574E9125" w14:textId="77777777" w:rsidR="00D1587D" w:rsidRDefault="00D1587D">
            <w:pPr>
              <w:spacing w:line="20" w:lineRule="exact"/>
              <w:rPr>
                <w:sz w:val="1"/>
                <w:szCs w:val="1"/>
              </w:rPr>
            </w:pPr>
          </w:p>
        </w:tc>
      </w:tr>
      <w:tr w:rsidR="00D1587D" w14:paraId="4099D0A1" w14:textId="77777777">
        <w:trPr>
          <w:trHeight w:val="148"/>
        </w:trPr>
        <w:tc>
          <w:tcPr>
            <w:tcW w:w="1280" w:type="dxa"/>
            <w:vAlign w:val="bottom"/>
          </w:tcPr>
          <w:p w14:paraId="6BF0BE41" w14:textId="77777777" w:rsidR="00D1587D" w:rsidRDefault="00D1587D">
            <w:pPr>
              <w:rPr>
                <w:sz w:val="12"/>
                <w:szCs w:val="12"/>
              </w:rPr>
            </w:pPr>
          </w:p>
        </w:tc>
        <w:tc>
          <w:tcPr>
            <w:tcW w:w="980" w:type="dxa"/>
            <w:vAlign w:val="bottom"/>
          </w:tcPr>
          <w:p w14:paraId="0DBFA1F4" w14:textId="77777777" w:rsidR="00D1587D" w:rsidRDefault="00D1587D">
            <w:pPr>
              <w:rPr>
                <w:sz w:val="12"/>
                <w:szCs w:val="12"/>
              </w:rPr>
            </w:pPr>
          </w:p>
        </w:tc>
        <w:tc>
          <w:tcPr>
            <w:tcW w:w="100" w:type="dxa"/>
            <w:vAlign w:val="bottom"/>
          </w:tcPr>
          <w:p w14:paraId="0BB4B522" w14:textId="77777777" w:rsidR="00D1587D" w:rsidRDefault="00D1587D">
            <w:pPr>
              <w:rPr>
                <w:sz w:val="12"/>
                <w:szCs w:val="12"/>
              </w:rPr>
            </w:pPr>
          </w:p>
        </w:tc>
        <w:tc>
          <w:tcPr>
            <w:tcW w:w="1020" w:type="dxa"/>
            <w:gridSpan w:val="3"/>
            <w:vMerge/>
            <w:vAlign w:val="bottom"/>
          </w:tcPr>
          <w:p w14:paraId="2E958244" w14:textId="77777777" w:rsidR="00D1587D" w:rsidRDefault="00D1587D">
            <w:pPr>
              <w:rPr>
                <w:sz w:val="12"/>
                <w:szCs w:val="12"/>
              </w:rPr>
            </w:pPr>
          </w:p>
        </w:tc>
        <w:tc>
          <w:tcPr>
            <w:tcW w:w="60" w:type="dxa"/>
            <w:vAlign w:val="bottom"/>
          </w:tcPr>
          <w:p w14:paraId="38B324EC" w14:textId="77777777" w:rsidR="00D1587D" w:rsidRDefault="00D1587D">
            <w:pPr>
              <w:rPr>
                <w:sz w:val="12"/>
                <w:szCs w:val="12"/>
              </w:rPr>
            </w:pPr>
          </w:p>
        </w:tc>
        <w:tc>
          <w:tcPr>
            <w:tcW w:w="1080" w:type="dxa"/>
            <w:gridSpan w:val="2"/>
            <w:vMerge/>
            <w:vAlign w:val="bottom"/>
          </w:tcPr>
          <w:p w14:paraId="4B9C50BE" w14:textId="77777777" w:rsidR="00D1587D" w:rsidRDefault="00D1587D">
            <w:pPr>
              <w:rPr>
                <w:sz w:val="12"/>
                <w:szCs w:val="12"/>
              </w:rPr>
            </w:pPr>
          </w:p>
        </w:tc>
        <w:tc>
          <w:tcPr>
            <w:tcW w:w="940" w:type="dxa"/>
            <w:vAlign w:val="bottom"/>
          </w:tcPr>
          <w:p w14:paraId="46D26F27" w14:textId="77777777" w:rsidR="00D1587D" w:rsidRDefault="00410D07">
            <w:pPr>
              <w:spacing w:line="149" w:lineRule="exact"/>
              <w:jc w:val="center"/>
              <w:rPr>
                <w:sz w:val="20"/>
                <w:szCs w:val="20"/>
              </w:rPr>
            </w:pPr>
            <w:r>
              <w:rPr>
                <w:rFonts w:ascii="Arial" w:eastAsia="Arial" w:hAnsi="Arial" w:cs="Arial"/>
                <w:b/>
                <w:bCs/>
                <w:w w:val="91"/>
                <w:sz w:val="14"/>
                <w:szCs w:val="14"/>
              </w:rPr>
              <w:t>Change in</w:t>
            </w:r>
          </w:p>
        </w:tc>
        <w:tc>
          <w:tcPr>
            <w:tcW w:w="180" w:type="dxa"/>
            <w:vAlign w:val="bottom"/>
          </w:tcPr>
          <w:p w14:paraId="11FEF4C0" w14:textId="77777777" w:rsidR="00D1587D" w:rsidRDefault="00D1587D">
            <w:pPr>
              <w:rPr>
                <w:sz w:val="12"/>
                <w:szCs w:val="12"/>
              </w:rPr>
            </w:pPr>
          </w:p>
        </w:tc>
        <w:tc>
          <w:tcPr>
            <w:tcW w:w="160" w:type="dxa"/>
            <w:vAlign w:val="bottom"/>
          </w:tcPr>
          <w:p w14:paraId="7D002B75" w14:textId="77777777" w:rsidR="00D1587D" w:rsidRDefault="00D1587D">
            <w:pPr>
              <w:rPr>
                <w:sz w:val="12"/>
                <w:szCs w:val="12"/>
              </w:rPr>
            </w:pPr>
          </w:p>
        </w:tc>
        <w:tc>
          <w:tcPr>
            <w:tcW w:w="660" w:type="dxa"/>
            <w:vMerge w:val="restart"/>
            <w:vAlign w:val="bottom"/>
          </w:tcPr>
          <w:p w14:paraId="0A90332C" w14:textId="77777777" w:rsidR="00D1587D" w:rsidRDefault="00410D07">
            <w:pPr>
              <w:ind w:right="96"/>
              <w:jc w:val="center"/>
              <w:rPr>
                <w:sz w:val="20"/>
                <w:szCs w:val="20"/>
              </w:rPr>
            </w:pPr>
            <w:r>
              <w:rPr>
                <w:rFonts w:ascii="Arial" w:eastAsia="Arial" w:hAnsi="Arial" w:cs="Arial"/>
                <w:b/>
                <w:bCs/>
                <w:w w:val="92"/>
                <w:sz w:val="14"/>
                <w:szCs w:val="14"/>
              </w:rPr>
              <w:t>Death</w:t>
            </w:r>
          </w:p>
        </w:tc>
        <w:tc>
          <w:tcPr>
            <w:tcW w:w="180" w:type="dxa"/>
            <w:vAlign w:val="bottom"/>
          </w:tcPr>
          <w:p w14:paraId="5907E8A3" w14:textId="77777777" w:rsidR="00D1587D" w:rsidRDefault="00D1587D">
            <w:pPr>
              <w:rPr>
                <w:sz w:val="12"/>
                <w:szCs w:val="12"/>
              </w:rPr>
            </w:pPr>
          </w:p>
        </w:tc>
        <w:tc>
          <w:tcPr>
            <w:tcW w:w="100" w:type="dxa"/>
            <w:vAlign w:val="bottom"/>
          </w:tcPr>
          <w:p w14:paraId="1F74A443" w14:textId="77777777" w:rsidR="00D1587D" w:rsidRDefault="00D1587D">
            <w:pPr>
              <w:rPr>
                <w:sz w:val="12"/>
                <w:szCs w:val="12"/>
              </w:rPr>
            </w:pPr>
          </w:p>
        </w:tc>
        <w:tc>
          <w:tcPr>
            <w:tcW w:w="900" w:type="dxa"/>
            <w:gridSpan w:val="2"/>
            <w:vMerge w:val="restart"/>
            <w:vAlign w:val="bottom"/>
          </w:tcPr>
          <w:p w14:paraId="58CE5928" w14:textId="77777777" w:rsidR="00D1587D" w:rsidRDefault="00410D07">
            <w:pPr>
              <w:ind w:right="300"/>
              <w:jc w:val="center"/>
              <w:rPr>
                <w:sz w:val="20"/>
                <w:szCs w:val="20"/>
              </w:rPr>
            </w:pPr>
            <w:r>
              <w:rPr>
                <w:rFonts w:ascii="Arial" w:eastAsia="Arial" w:hAnsi="Arial" w:cs="Arial"/>
                <w:b/>
                <w:bCs/>
                <w:w w:val="96"/>
                <w:sz w:val="14"/>
                <w:szCs w:val="14"/>
              </w:rPr>
              <w:t>Disability</w:t>
            </w:r>
          </w:p>
        </w:tc>
        <w:tc>
          <w:tcPr>
            <w:tcW w:w="780" w:type="dxa"/>
            <w:gridSpan w:val="2"/>
            <w:vAlign w:val="bottom"/>
          </w:tcPr>
          <w:p w14:paraId="7F3F43EC" w14:textId="77777777" w:rsidR="00D1587D" w:rsidRDefault="00410D07">
            <w:pPr>
              <w:spacing w:line="149" w:lineRule="exact"/>
              <w:jc w:val="center"/>
              <w:rPr>
                <w:sz w:val="20"/>
                <w:szCs w:val="20"/>
              </w:rPr>
            </w:pPr>
            <w:r>
              <w:rPr>
                <w:rFonts w:ascii="Arial" w:eastAsia="Arial" w:hAnsi="Arial" w:cs="Arial"/>
                <w:b/>
                <w:bCs/>
                <w:w w:val="92"/>
                <w:sz w:val="14"/>
                <w:szCs w:val="14"/>
              </w:rPr>
              <w:t>Resignation/</w:t>
            </w:r>
          </w:p>
        </w:tc>
        <w:tc>
          <w:tcPr>
            <w:tcW w:w="0" w:type="dxa"/>
            <w:vAlign w:val="bottom"/>
          </w:tcPr>
          <w:p w14:paraId="391DA042" w14:textId="77777777" w:rsidR="00D1587D" w:rsidRDefault="00D1587D">
            <w:pPr>
              <w:rPr>
                <w:sz w:val="1"/>
                <w:szCs w:val="1"/>
              </w:rPr>
            </w:pPr>
          </w:p>
        </w:tc>
      </w:tr>
      <w:tr w:rsidR="00D1587D" w14:paraId="54CEA42B" w14:textId="77777777">
        <w:trPr>
          <w:trHeight w:val="145"/>
        </w:trPr>
        <w:tc>
          <w:tcPr>
            <w:tcW w:w="1280" w:type="dxa"/>
            <w:vAlign w:val="bottom"/>
          </w:tcPr>
          <w:p w14:paraId="67E5835B" w14:textId="77777777" w:rsidR="00D1587D" w:rsidRDefault="00D1587D">
            <w:pPr>
              <w:rPr>
                <w:sz w:val="12"/>
                <w:szCs w:val="12"/>
              </w:rPr>
            </w:pPr>
          </w:p>
        </w:tc>
        <w:tc>
          <w:tcPr>
            <w:tcW w:w="980" w:type="dxa"/>
            <w:vAlign w:val="bottom"/>
          </w:tcPr>
          <w:p w14:paraId="6AED3636" w14:textId="77777777" w:rsidR="00D1587D" w:rsidRDefault="00D1587D">
            <w:pPr>
              <w:rPr>
                <w:sz w:val="12"/>
                <w:szCs w:val="12"/>
              </w:rPr>
            </w:pPr>
          </w:p>
        </w:tc>
        <w:tc>
          <w:tcPr>
            <w:tcW w:w="100" w:type="dxa"/>
            <w:vAlign w:val="bottom"/>
          </w:tcPr>
          <w:p w14:paraId="2945B4FF" w14:textId="77777777" w:rsidR="00D1587D" w:rsidRDefault="00D1587D">
            <w:pPr>
              <w:rPr>
                <w:sz w:val="12"/>
                <w:szCs w:val="12"/>
              </w:rPr>
            </w:pPr>
          </w:p>
        </w:tc>
        <w:tc>
          <w:tcPr>
            <w:tcW w:w="1020" w:type="dxa"/>
            <w:gridSpan w:val="3"/>
            <w:vAlign w:val="bottom"/>
          </w:tcPr>
          <w:p w14:paraId="723D6C61" w14:textId="77777777" w:rsidR="00D1587D" w:rsidRDefault="00410D07">
            <w:pPr>
              <w:spacing w:line="145" w:lineRule="exact"/>
              <w:ind w:right="160"/>
              <w:jc w:val="center"/>
              <w:rPr>
                <w:sz w:val="20"/>
                <w:szCs w:val="20"/>
              </w:rPr>
            </w:pPr>
            <w:r>
              <w:rPr>
                <w:rFonts w:ascii="Arial" w:eastAsia="Arial" w:hAnsi="Arial" w:cs="Arial"/>
                <w:b/>
                <w:bCs/>
                <w:w w:val="86"/>
                <w:sz w:val="14"/>
                <w:szCs w:val="14"/>
              </w:rPr>
              <w:t>Release</w:t>
            </w:r>
          </w:p>
        </w:tc>
        <w:tc>
          <w:tcPr>
            <w:tcW w:w="60" w:type="dxa"/>
            <w:vAlign w:val="bottom"/>
          </w:tcPr>
          <w:p w14:paraId="3973CBF6" w14:textId="77777777" w:rsidR="00D1587D" w:rsidRDefault="00D1587D">
            <w:pPr>
              <w:rPr>
                <w:sz w:val="12"/>
                <w:szCs w:val="12"/>
              </w:rPr>
            </w:pPr>
          </w:p>
        </w:tc>
        <w:tc>
          <w:tcPr>
            <w:tcW w:w="1080" w:type="dxa"/>
            <w:gridSpan w:val="2"/>
            <w:vAlign w:val="bottom"/>
          </w:tcPr>
          <w:p w14:paraId="2A64669F" w14:textId="77777777" w:rsidR="00D1587D" w:rsidRDefault="00410D07">
            <w:pPr>
              <w:spacing w:line="145" w:lineRule="exact"/>
              <w:ind w:right="220"/>
              <w:jc w:val="center"/>
              <w:rPr>
                <w:sz w:val="20"/>
                <w:szCs w:val="20"/>
              </w:rPr>
            </w:pPr>
            <w:r>
              <w:rPr>
                <w:rFonts w:ascii="Arial" w:eastAsia="Arial" w:hAnsi="Arial" w:cs="Arial"/>
                <w:b/>
                <w:bCs/>
                <w:w w:val="86"/>
                <w:sz w:val="14"/>
                <w:szCs w:val="14"/>
              </w:rPr>
              <w:t>Release</w:t>
            </w:r>
          </w:p>
        </w:tc>
        <w:tc>
          <w:tcPr>
            <w:tcW w:w="940" w:type="dxa"/>
            <w:vAlign w:val="bottom"/>
          </w:tcPr>
          <w:p w14:paraId="68C1BBD3" w14:textId="77777777" w:rsidR="00D1587D" w:rsidRDefault="00410D07">
            <w:pPr>
              <w:spacing w:line="145" w:lineRule="exact"/>
              <w:jc w:val="center"/>
              <w:rPr>
                <w:sz w:val="20"/>
                <w:szCs w:val="20"/>
              </w:rPr>
            </w:pPr>
            <w:r>
              <w:rPr>
                <w:rFonts w:ascii="Arial" w:eastAsia="Arial" w:hAnsi="Arial" w:cs="Arial"/>
                <w:b/>
                <w:bCs/>
                <w:w w:val="96"/>
                <w:sz w:val="14"/>
                <w:szCs w:val="14"/>
              </w:rPr>
              <w:t>Control</w:t>
            </w:r>
          </w:p>
        </w:tc>
        <w:tc>
          <w:tcPr>
            <w:tcW w:w="180" w:type="dxa"/>
            <w:vAlign w:val="bottom"/>
          </w:tcPr>
          <w:p w14:paraId="6B4F743A" w14:textId="77777777" w:rsidR="00D1587D" w:rsidRDefault="00D1587D">
            <w:pPr>
              <w:rPr>
                <w:sz w:val="12"/>
                <w:szCs w:val="12"/>
              </w:rPr>
            </w:pPr>
          </w:p>
        </w:tc>
        <w:tc>
          <w:tcPr>
            <w:tcW w:w="160" w:type="dxa"/>
            <w:vAlign w:val="bottom"/>
          </w:tcPr>
          <w:p w14:paraId="622AC875" w14:textId="77777777" w:rsidR="00D1587D" w:rsidRDefault="00D1587D">
            <w:pPr>
              <w:rPr>
                <w:sz w:val="12"/>
                <w:szCs w:val="12"/>
              </w:rPr>
            </w:pPr>
          </w:p>
        </w:tc>
        <w:tc>
          <w:tcPr>
            <w:tcW w:w="660" w:type="dxa"/>
            <w:vMerge/>
            <w:vAlign w:val="bottom"/>
          </w:tcPr>
          <w:p w14:paraId="1E592638" w14:textId="77777777" w:rsidR="00D1587D" w:rsidRDefault="00D1587D">
            <w:pPr>
              <w:rPr>
                <w:sz w:val="12"/>
                <w:szCs w:val="12"/>
              </w:rPr>
            </w:pPr>
          </w:p>
        </w:tc>
        <w:tc>
          <w:tcPr>
            <w:tcW w:w="180" w:type="dxa"/>
            <w:vAlign w:val="bottom"/>
          </w:tcPr>
          <w:p w14:paraId="5D1BF388" w14:textId="77777777" w:rsidR="00D1587D" w:rsidRDefault="00D1587D">
            <w:pPr>
              <w:rPr>
                <w:sz w:val="12"/>
                <w:szCs w:val="12"/>
              </w:rPr>
            </w:pPr>
          </w:p>
        </w:tc>
        <w:tc>
          <w:tcPr>
            <w:tcW w:w="100" w:type="dxa"/>
            <w:vAlign w:val="bottom"/>
          </w:tcPr>
          <w:p w14:paraId="145A834C" w14:textId="77777777" w:rsidR="00D1587D" w:rsidRDefault="00D1587D">
            <w:pPr>
              <w:rPr>
                <w:sz w:val="12"/>
                <w:szCs w:val="12"/>
              </w:rPr>
            </w:pPr>
          </w:p>
        </w:tc>
        <w:tc>
          <w:tcPr>
            <w:tcW w:w="900" w:type="dxa"/>
            <w:gridSpan w:val="2"/>
            <w:vMerge/>
            <w:vAlign w:val="bottom"/>
          </w:tcPr>
          <w:p w14:paraId="6F6BBABF" w14:textId="77777777" w:rsidR="00D1587D" w:rsidRDefault="00D1587D">
            <w:pPr>
              <w:rPr>
                <w:sz w:val="12"/>
                <w:szCs w:val="12"/>
              </w:rPr>
            </w:pPr>
          </w:p>
        </w:tc>
        <w:tc>
          <w:tcPr>
            <w:tcW w:w="780" w:type="dxa"/>
            <w:gridSpan w:val="2"/>
            <w:vAlign w:val="bottom"/>
          </w:tcPr>
          <w:p w14:paraId="12E81DD0" w14:textId="77777777" w:rsidR="00D1587D" w:rsidRDefault="00410D07">
            <w:pPr>
              <w:spacing w:line="145" w:lineRule="exact"/>
              <w:jc w:val="center"/>
              <w:rPr>
                <w:sz w:val="20"/>
                <w:szCs w:val="20"/>
              </w:rPr>
            </w:pPr>
            <w:r>
              <w:rPr>
                <w:rFonts w:ascii="Arial" w:eastAsia="Arial" w:hAnsi="Arial" w:cs="Arial"/>
                <w:b/>
                <w:bCs/>
                <w:w w:val="95"/>
                <w:sz w:val="14"/>
                <w:szCs w:val="14"/>
              </w:rPr>
              <w:t>Retirement</w:t>
            </w:r>
          </w:p>
        </w:tc>
        <w:tc>
          <w:tcPr>
            <w:tcW w:w="0" w:type="dxa"/>
            <w:vAlign w:val="bottom"/>
          </w:tcPr>
          <w:p w14:paraId="6DCC61BE" w14:textId="77777777" w:rsidR="00D1587D" w:rsidRDefault="00D1587D">
            <w:pPr>
              <w:rPr>
                <w:sz w:val="1"/>
                <w:szCs w:val="1"/>
              </w:rPr>
            </w:pPr>
          </w:p>
        </w:tc>
      </w:tr>
      <w:tr w:rsidR="00D1587D" w14:paraId="488AB6BA" w14:textId="77777777">
        <w:trPr>
          <w:trHeight w:val="242"/>
        </w:trPr>
        <w:tc>
          <w:tcPr>
            <w:tcW w:w="1280" w:type="dxa"/>
            <w:tcBorders>
              <w:bottom w:val="single" w:sz="8" w:space="0" w:color="CCEEFF"/>
            </w:tcBorders>
            <w:vAlign w:val="bottom"/>
          </w:tcPr>
          <w:p w14:paraId="167CE010" w14:textId="77777777" w:rsidR="00D1587D" w:rsidRDefault="00D1587D">
            <w:pPr>
              <w:rPr>
                <w:sz w:val="21"/>
                <w:szCs w:val="21"/>
              </w:rPr>
            </w:pPr>
          </w:p>
        </w:tc>
        <w:tc>
          <w:tcPr>
            <w:tcW w:w="980" w:type="dxa"/>
            <w:tcBorders>
              <w:bottom w:val="single" w:sz="8" w:space="0" w:color="CCEEFF"/>
            </w:tcBorders>
            <w:vAlign w:val="bottom"/>
          </w:tcPr>
          <w:p w14:paraId="4FAC8281" w14:textId="77777777" w:rsidR="00D1587D" w:rsidRDefault="00D1587D">
            <w:pPr>
              <w:rPr>
                <w:sz w:val="21"/>
                <w:szCs w:val="21"/>
              </w:rPr>
            </w:pPr>
          </w:p>
        </w:tc>
        <w:tc>
          <w:tcPr>
            <w:tcW w:w="100" w:type="dxa"/>
            <w:tcBorders>
              <w:bottom w:val="single" w:sz="8" w:space="0" w:color="CCEEFF"/>
            </w:tcBorders>
            <w:vAlign w:val="bottom"/>
          </w:tcPr>
          <w:p w14:paraId="28176DA6" w14:textId="77777777" w:rsidR="00D1587D" w:rsidRDefault="00D1587D">
            <w:pPr>
              <w:rPr>
                <w:sz w:val="21"/>
                <w:szCs w:val="21"/>
              </w:rPr>
            </w:pPr>
          </w:p>
        </w:tc>
        <w:tc>
          <w:tcPr>
            <w:tcW w:w="840" w:type="dxa"/>
            <w:tcBorders>
              <w:bottom w:val="single" w:sz="8" w:space="0" w:color="auto"/>
            </w:tcBorders>
            <w:vAlign w:val="bottom"/>
          </w:tcPr>
          <w:p w14:paraId="25D64A87" w14:textId="77777777" w:rsidR="00D1587D" w:rsidRDefault="00410D07">
            <w:pPr>
              <w:jc w:val="center"/>
              <w:rPr>
                <w:sz w:val="20"/>
                <w:szCs w:val="20"/>
              </w:rPr>
            </w:pPr>
            <w:r>
              <w:rPr>
                <w:rFonts w:ascii="Arial" w:eastAsia="Arial" w:hAnsi="Arial" w:cs="Arial"/>
                <w:b/>
                <w:bCs/>
                <w:sz w:val="14"/>
                <w:szCs w:val="14"/>
              </w:rPr>
              <w:t>($)</w:t>
            </w:r>
          </w:p>
        </w:tc>
        <w:tc>
          <w:tcPr>
            <w:tcW w:w="60" w:type="dxa"/>
            <w:tcBorders>
              <w:bottom w:val="single" w:sz="8" w:space="0" w:color="auto"/>
            </w:tcBorders>
            <w:vAlign w:val="bottom"/>
          </w:tcPr>
          <w:p w14:paraId="28F5F2FD" w14:textId="77777777" w:rsidR="00D1587D" w:rsidRDefault="00D1587D">
            <w:pPr>
              <w:rPr>
                <w:sz w:val="21"/>
                <w:szCs w:val="21"/>
              </w:rPr>
            </w:pPr>
          </w:p>
        </w:tc>
        <w:tc>
          <w:tcPr>
            <w:tcW w:w="120" w:type="dxa"/>
            <w:tcBorders>
              <w:bottom w:val="single" w:sz="8" w:space="0" w:color="CCEEFF"/>
            </w:tcBorders>
            <w:vAlign w:val="bottom"/>
          </w:tcPr>
          <w:p w14:paraId="7E77947F" w14:textId="77777777" w:rsidR="00D1587D" w:rsidRDefault="00D1587D">
            <w:pPr>
              <w:rPr>
                <w:sz w:val="21"/>
                <w:szCs w:val="21"/>
              </w:rPr>
            </w:pPr>
          </w:p>
        </w:tc>
        <w:tc>
          <w:tcPr>
            <w:tcW w:w="60" w:type="dxa"/>
            <w:tcBorders>
              <w:bottom w:val="single" w:sz="8" w:space="0" w:color="CCEEFF"/>
            </w:tcBorders>
            <w:vAlign w:val="bottom"/>
          </w:tcPr>
          <w:p w14:paraId="4C88BC01" w14:textId="77777777" w:rsidR="00D1587D" w:rsidRDefault="00D1587D">
            <w:pPr>
              <w:rPr>
                <w:sz w:val="21"/>
                <w:szCs w:val="21"/>
              </w:rPr>
            </w:pPr>
          </w:p>
        </w:tc>
        <w:tc>
          <w:tcPr>
            <w:tcW w:w="900" w:type="dxa"/>
            <w:tcBorders>
              <w:bottom w:val="single" w:sz="8" w:space="0" w:color="auto"/>
            </w:tcBorders>
            <w:vAlign w:val="bottom"/>
          </w:tcPr>
          <w:p w14:paraId="34A1538C" w14:textId="77777777" w:rsidR="00D1587D" w:rsidRDefault="00410D07">
            <w:pPr>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2C0EEBE4" w14:textId="77777777" w:rsidR="00D1587D" w:rsidRDefault="00D1587D">
            <w:pPr>
              <w:rPr>
                <w:sz w:val="21"/>
                <w:szCs w:val="21"/>
              </w:rPr>
            </w:pPr>
          </w:p>
        </w:tc>
        <w:tc>
          <w:tcPr>
            <w:tcW w:w="940" w:type="dxa"/>
            <w:tcBorders>
              <w:bottom w:val="single" w:sz="8" w:space="0" w:color="auto"/>
            </w:tcBorders>
            <w:vAlign w:val="bottom"/>
          </w:tcPr>
          <w:p w14:paraId="537C4EFC" w14:textId="77777777" w:rsidR="00D1587D" w:rsidRDefault="00410D07">
            <w:pPr>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62EF0C7C" w14:textId="77777777" w:rsidR="00D1587D" w:rsidRDefault="00D1587D">
            <w:pPr>
              <w:rPr>
                <w:sz w:val="21"/>
                <w:szCs w:val="21"/>
              </w:rPr>
            </w:pPr>
          </w:p>
        </w:tc>
        <w:tc>
          <w:tcPr>
            <w:tcW w:w="160" w:type="dxa"/>
            <w:tcBorders>
              <w:bottom w:val="single" w:sz="8" w:space="0" w:color="auto"/>
            </w:tcBorders>
            <w:vAlign w:val="bottom"/>
          </w:tcPr>
          <w:p w14:paraId="07BEE351" w14:textId="77777777" w:rsidR="00D1587D" w:rsidRDefault="00D1587D">
            <w:pPr>
              <w:rPr>
                <w:sz w:val="21"/>
                <w:szCs w:val="21"/>
              </w:rPr>
            </w:pPr>
          </w:p>
        </w:tc>
        <w:tc>
          <w:tcPr>
            <w:tcW w:w="660" w:type="dxa"/>
            <w:tcBorders>
              <w:bottom w:val="single" w:sz="8" w:space="0" w:color="auto"/>
            </w:tcBorders>
            <w:vAlign w:val="bottom"/>
          </w:tcPr>
          <w:p w14:paraId="41234DFA" w14:textId="77777777" w:rsidR="00D1587D" w:rsidRDefault="00410D07">
            <w:pPr>
              <w:spacing w:line="242" w:lineRule="exact"/>
              <w:ind w:right="76"/>
              <w:jc w:val="center"/>
              <w:rPr>
                <w:sz w:val="20"/>
                <w:szCs w:val="20"/>
              </w:rPr>
            </w:pPr>
            <w:r>
              <w:rPr>
                <w:rFonts w:ascii="Arial" w:eastAsia="Arial" w:hAnsi="Arial" w:cs="Arial"/>
                <w:b/>
                <w:bCs/>
                <w:w w:val="83"/>
                <w:sz w:val="14"/>
                <w:szCs w:val="14"/>
              </w:rPr>
              <w:t>($)</w:t>
            </w:r>
            <w:r>
              <w:rPr>
                <w:rFonts w:ascii="Arial" w:eastAsia="Arial" w:hAnsi="Arial" w:cs="Arial"/>
                <w:b/>
                <w:bCs/>
                <w:w w:val="83"/>
                <w:sz w:val="23"/>
                <w:szCs w:val="23"/>
                <w:vertAlign w:val="superscript"/>
              </w:rPr>
              <w:t>(6)</w:t>
            </w:r>
          </w:p>
        </w:tc>
        <w:tc>
          <w:tcPr>
            <w:tcW w:w="180" w:type="dxa"/>
            <w:tcBorders>
              <w:bottom w:val="single" w:sz="8" w:space="0" w:color="CCEEFF"/>
            </w:tcBorders>
            <w:vAlign w:val="bottom"/>
          </w:tcPr>
          <w:p w14:paraId="02734877" w14:textId="77777777" w:rsidR="00D1587D" w:rsidRDefault="00D1587D">
            <w:pPr>
              <w:rPr>
                <w:sz w:val="21"/>
                <w:szCs w:val="21"/>
              </w:rPr>
            </w:pPr>
          </w:p>
        </w:tc>
        <w:tc>
          <w:tcPr>
            <w:tcW w:w="100" w:type="dxa"/>
            <w:tcBorders>
              <w:bottom w:val="single" w:sz="8" w:space="0" w:color="auto"/>
            </w:tcBorders>
            <w:vAlign w:val="bottom"/>
          </w:tcPr>
          <w:p w14:paraId="1BAFAC23" w14:textId="77777777" w:rsidR="00D1587D" w:rsidRDefault="00D1587D">
            <w:pPr>
              <w:rPr>
                <w:sz w:val="21"/>
                <w:szCs w:val="21"/>
              </w:rPr>
            </w:pPr>
          </w:p>
        </w:tc>
        <w:tc>
          <w:tcPr>
            <w:tcW w:w="720" w:type="dxa"/>
            <w:tcBorders>
              <w:bottom w:val="single" w:sz="8" w:space="0" w:color="auto"/>
            </w:tcBorders>
            <w:vAlign w:val="bottom"/>
          </w:tcPr>
          <w:p w14:paraId="3D6B8951" w14:textId="77777777" w:rsidR="00D1587D" w:rsidRDefault="00410D07">
            <w:pPr>
              <w:ind w:right="15"/>
              <w:jc w:val="center"/>
              <w:rPr>
                <w:sz w:val="20"/>
                <w:szCs w:val="20"/>
              </w:rPr>
            </w:pPr>
            <w:r>
              <w:rPr>
                <w:rFonts w:ascii="Arial" w:eastAsia="Arial" w:hAnsi="Arial" w:cs="Arial"/>
                <w:b/>
                <w:bCs/>
                <w:sz w:val="14"/>
                <w:szCs w:val="14"/>
              </w:rPr>
              <w:t>($)</w:t>
            </w:r>
          </w:p>
        </w:tc>
        <w:tc>
          <w:tcPr>
            <w:tcW w:w="180" w:type="dxa"/>
            <w:tcBorders>
              <w:bottom w:val="single" w:sz="8" w:space="0" w:color="CCEEFF"/>
            </w:tcBorders>
            <w:vAlign w:val="bottom"/>
          </w:tcPr>
          <w:p w14:paraId="617FC7A8" w14:textId="77777777" w:rsidR="00D1587D" w:rsidRDefault="00D1587D">
            <w:pPr>
              <w:rPr>
                <w:sz w:val="21"/>
                <w:szCs w:val="21"/>
              </w:rPr>
            </w:pPr>
          </w:p>
        </w:tc>
        <w:tc>
          <w:tcPr>
            <w:tcW w:w="300" w:type="dxa"/>
            <w:tcBorders>
              <w:bottom w:val="single" w:sz="8" w:space="0" w:color="auto"/>
            </w:tcBorders>
            <w:vAlign w:val="bottom"/>
          </w:tcPr>
          <w:p w14:paraId="7E1B730F" w14:textId="77777777" w:rsidR="00D1587D" w:rsidRDefault="00D1587D">
            <w:pPr>
              <w:rPr>
                <w:sz w:val="21"/>
                <w:szCs w:val="21"/>
              </w:rPr>
            </w:pPr>
          </w:p>
        </w:tc>
        <w:tc>
          <w:tcPr>
            <w:tcW w:w="480" w:type="dxa"/>
            <w:tcBorders>
              <w:bottom w:val="single" w:sz="8" w:space="0" w:color="auto"/>
            </w:tcBorders>
            <w:vAlign w:val="bottom"/>
          </w:tcPr>
          <w:p w14:paraId="7E1A1064" w14:textId="77777777" w:rsidR="00D1587D" w:rsidRDefault="00410D07">
            <w:pPr>
              <w:ind w:right="213"/>
              <w:jc w:val="center"/>
              <w:rPr>
                <w:sz w:val="20"/>
                <w:szCs w:val="20"/>
              </w:rPr>
            </w:pPr>
            <w:r>
              <w:rPr>
                <w:rFonts w:ascii="Arial" w:eastAsia="Arial" w:hAnsi="Arial" w:cs="Arial"/>
                <w:b/>
                <w:bCs/>
                <w:sz w:val="14"/>
                <w:szCs w:val="14"/>
              </w:rPr>
              <w:t>($)</w:t>
            </w:r>
          </w:p>
        </w:tc>
        <w:tc>
          <w:tcPr>
            <w:tcW w:w="0" w:type="dxa"/>
            <w:vAlign w:val="bottom"/>
          </w:tcPr>
          <w:p w14:paraId="48F3B59A" w14:textId="77777777" w:rsidR="00D1587D" w:rsidRDefault="00D1587D">
            <w:pPr>
              <w:rPr>
                <w:sz w:val="1"/>
                <w:szCs w:val="1"/>
              </w:rPr>
            </w:pPr>
          </w:p>
        </w:tc>
      </w:tr>
      <w:tr w:rsidR="00D1587D" w14:paraId="4BAEC794" w14:textId="77777777">
        <w:trPr>
          <w:trHeight w:val="311"/>
        </w:trPr>
        <w:tc>
          <w:tcPr>
            <w:tcW w:w="2360" w:type="dxa"/>
            <w:gridSpan w:val="3"/>
            <w:tcBorders>
              <w:bottom w:val="single" w:sz="8" w:space="0" w:color="CCEEFF"/>
            </w:tcBorders>
            <w:shd w:val="clear" w:color="auto" w:fill="CCEEFF"/>
            <w:vAlign w:val="bottom"/>
          </w:tcPr>
          <w:p w14:paraId="0C90D8FC" w14:textId="77777777" w:rsidR="00D1587D" w:rsidRDefault="00410D07">
            <w:pPr>
              <w:rPr>
                <w:sz w:val="20"/>
                <w:szCs w:val="20"/>
              </w:rPr>
            </w:pPr>
            <w:r>
              <w:rPr>
                <w:rFonts w:ascii="Arial" w:eastAsia="Arial" w:hAnsi="Arial" w:cs="Arial"/>
                <w:sz w:val="18"/>
                <w:szCs w:val="18"/>
              </w:rPr>
              <w:t>Base Salary</w:t>
            </w:r>
          </w:p>
        </w:tc>
        <w:tc>
          <w:tcPr>
            <w:tcW w:w="900" w:type="dxa"/>
            <w:gridSpan w:val="2"/>
            <w:tcBorders>
              <w:bottom w:val="single" w:sz="8" w:space="0" w:color="CCEEFF"/>
            </w:tcBorders>
            <w:shd w:val="clear" w:color="auto" w:fill="CCEEFF"/>
            <w:vAlign w:val="bottom"/>
          </w:tcPr>
          <w:p w14:paraId="2BE1061A" w14:textId="77777777" w:rsidR="00D1587D" w:rsidRDefault="00410D07">
            <w:pPr>
              <w:ind w:right="40"/>
              <w:jc w:val="right"/>
              <w:rPr>
                <w:sz w:val="20"/>
                <w:szCs w:val="20"/>
              </w:rPr>
            </w:pPr>
            <w:r>
              <w:rPr>
                <w:rFonts w:ascii="Arial" w:eastAsia="Arial" w:hAnsi="Arial" w:cs="Arial"/>
                <w:w w:val="93"/>
                <w:sz w:val="18"/>
                <w:szCs w:val="18"/>
              </w:rPr>
              <w:t>$1,200,000</w:t>
            </w:r>
          </w:p>
        </w:tc>
        <w:tc>
          <w:tcPr>
            <w:tcW w:w="120" w:type="dxa"/>
            <w:tcBorders>
              <w:bottom w:val="single" w:sz="8" w:space="0" w:color="CCEEFF"/>
            </w:tcBorders>
            <w:shd w:val="clear" w:color="auto" w:fill="CCEEFF"/>
            <w:vAlign w:val="bottom"/>
          </w:tcPr>
          <w:p w14:paraId="72B3E304" w14:textId="77777777" w:rsidR="00D1587D" w:rsidRDefault="00D1587D">
            <w:pPr>
              <w:rPr>
                <w:sz w:val="24"/>
                <w:szCs w:val="24"/>
              </w:rPr>
            </w:pPr>
          </w:p>
        </w:tc>
        <w:tc>
          <w:tcPr>
            <w:tcW w:w="960" w:type="dxa"/>
            <w:gridSpan w:val="2"/>
            <w:tcBorders>
              <w:bottom w:val="single" w:sz="8" w:space="0" w:color="CCEEFF"/>
            </w:tcBorders>
            <w:shd w:val="clear" w:color="auto" w:fill="CCEEFF"/>
            <w:vAlign w:val="bottom"/>
          </w:tcPr>
          <w:p w14:paraId="7A190CE8" w14:textId="77777777" w:rsidR="00D1587D" w:rsidRDefault="00410D07">
            <w:pPr>
              <w:jc w:val="right"/>
              <w:rPr>
                <w:sz w:val="20"/>
                <w:szCs w:val="20"/>
              </w:rPr>
            </w:pPr>
            <w:r>
              <w:rPr>
                <w:rFonts w:ascii="Arial" w:eastAsia="Arial" w:hAnsi="Arial" w:cs="Arial"/>
                <w:w w:val="99"/>
                <w:sz w:val="18"/>
                <w:szCs w:val="18"/>
              </w:rPr>
              <w:t>$2,400,000</w:t>
            </w:r>
          </w:p>
        </w:tc>
        <w:tc>
          <w:tcPr>
            <w:tcW w:w="180" w:type="dxa"/>
            <w:tcBorders>
              <w:bottom w:val="single" w:sz="8" w:space="0" w:color="CCEEFF"/>
            </w:tcBorders>
            <w:shd w:val="clear" w:color="auto" w:fill="CCEEFF"/>
            <w:vAlign w:val="bottom"/>
          </w:tcPr>
          <w:p w14:paraId="2E11153F" w14:textId="77777777" w:rsidR="00D1587D" w:rsidRDefault="00D1587D">
            <w:pPr>
              <w:rPr>
                <w:sz w:val="24"/>
                <w:szCs w:val="24"/>
              </w:rPr>
            </w:pPr>
          </w:p>
        </w:tc>
        <w:tc>
          <w:tcPr>
            <w:tcW w:w="940" w:type="dxa"/>
            <w:tcBorders>
              <w:bottom w:val="single" w:sz="8" w:space="0" w:color="CCEEFF"/>
            </w:tcBorders>
            <w:shd w:val="clear" w:color="auto" w:fill="CCEEFF"/>
            <w:vAlign w:val="bottom"/>
          </w:tcPr>
          <w:p w14:paraId="6068DA31" w14:textId="77777777" w:rsidR="00D1587D" w:rsidRDefault="00410D07">
            <w:pPr>
              <w:jc w:val="right"/>
              <w:rPr>
                <w:sz w:val="20"/>
                <w:szCs w:val="20"/>
              </w:rPr>
            </w:pPr>
            <w:r>
              <w:rPr>
                <w:rFonts w:ascii="Arial" w:eastAsia="Arial" w:hAnsi="Arial" w:cs="Arial"/>
                <w:w w:val="94"/>
                <w:sz w:val="18"/>
                <w:szCs w:val="18"/>
              </w:rPr>
              <w:t>$ 2,400,000</w:t>
            </w:r>
          </w:p>
        </w:tc>
        <w:tc>
          <w:tcPr>
            <w:tcW w:w="340" w:type="dxa"/>
            <w:gridSpan w:val="2"/>
            <w:tcBorders>
              <w:bottom w:val="single" w:sz="8" w:space="0" w:color="CCEEFF"/>
            </w:tcBorders>
            <w:shd w:val="clear" w:color="auto" w:fill="CCEEFF"/>
            <w:vAlign w:val="bottom"/>
          </w:tcPr>
          <w:p w14:paraId="31876E81" w14:textId="77777777" w:rsidR="00D1587D" w:rsidRDefault="00410D07">
            <w:pPr>
              <w:ind w:right="60"/>
              <w:jc w:val="right"/>
              <w:rPr>
                <w:sz w:val="20"/>
                <w:szCs w:val="20"/>
              </w:rPr>
            </w:pPr>
            <w:r>
              <w:rPr>
                <w:rFonts w:ascii="Arial" w:eastAsia="Arial" w:hAnsi="Arial" w:cs="Arial"/>
                <w:sz w:val="18"/>
                <w:szCs w:val="18"/>
              </w:rPr>
              <w:t>$</w:t>
            </w:r>
          </w:p>
        </w:tc>
        <w:tc>
          <w:tcPr>
            <w:tcW w:w="660" w:type="dxa"/>
            <w:tcBorders>
              <w:bottom w:val="single" w:sz="8" w:space="0" w:color="CCEEFF"/>
            </w:tcBorders>
            <w:shd w:val="clear" w:color="auto" w:fill="CCEEFF"/>
            <w:vAlign w:val="bottom"/>
          </w:tcPr>
          <w:p w14:paraId="33A72980" w14:textId="77777777" w:rsidR="00D1587D" w:rsidRDefault="00410D07">
            <w:pPr>
              <w:jc w:val="right"/>
              <w:rPr>
                <w:sz w:val="20"/>
                <w:szCs w:val="20"/>
              </w:rPr>
            </w:pPr>
            <w:r>
              <w:rPr>
                <w:rFonts w:ascii="Arial" w:eastAsia="Arial" w:hAnsi="Arial" w:cs="Arial"/>
                <w:sz w:val="18"/>
                <w:szCs w:val="18"/>
              </w:rPr>
              <w:t>—</w:t>
            </w:r>
          </w:p>
        </w:tc>
        <w:tc>
          <w:tcPr>
            <w:tcW w:w="280" w:type="dxa"/>
            <w:gridSpan w:val="2"/>
            <w:tcBorders>
              <w:bottom w:val="single" w:sz="8" w:space="0" w:color="CCEEFF"/>
            </w:tcBorders>
            <w:shd w:val="clear" w:color="auto" w:fill="CCEEFF"/>
            <w:vAlign w:val="bottom"/>
          </w:tcPr>
          <w:p w14:paraId="2EEFD6C9" w14:textId="77777777" w:rsidR="00D1587D" w:rsidRDefault="00410D07">
            <w:pPr>
              <w:jc w:val="right"/>
              <w:rPr>
                <w:sz w:val="20"/>
                <w:szCs w:val="20"/>
              </w:rPr>
            </w:pPr>
            <w:r>
              <w:rPr>
                <w:rFonts w:ascii="Arial" w:eastAsia="Arial" w:hAnsi="Arial" w:cs="Arial"/>
                <w:sz w:val="18"/>
                <w:szCs w:val="18"/>
              </w:rPr>
              <w:t>$</w:t>
            </w:r>
          </w:p>
        </w:tc>
        <w:tc>
          <w:tcPr>
            <w:tcW w:w="900" w:type="dxa"/>
            <w:gridSpan w:val="2"/>
            <w:tcBorders>
              <w:bottom w:val="single" w:sz="8" w:space="0" w:color="CCEEFF"/>
            </w:tcBorders>
            <w:shd w:val="clear" w:color="auto" w:fill="CCEEFF"/>
            <w:vAlign w:val="bottom"/>
          </w:tcPr>
          <w:p w14:paraId="420FBB34" w14:textId="77777777" w:rsidR="00D1587D" w:rsidRDefault="00410D07">
            <w:pPr>
              <w:ind w:right="180"/>
              <w:jc w:val="right"/>
              <w:rPr>
                <w:sz w:val="20"/>
                <w:szCs w:val="20"/>
              </w:rPr>
            </w:pPr>
            <w:r>
              <w:rPr>
                <w:rFonts w:ascii="Arial" w:eastAsia="Arial" w:hAnsi="Arial" w:cs="Arial"/>
                <w:sz w:val="18"/>
                <w:szCs w:val="18"/>
              </w:rPr>
              <w:t>—</w:t>
            </w:r>
          </w:p>
        </w:tc>
        <w:tc>
          <w:tcPr>
            <w:tcW w:w="300" w:type="dxa"/>
            <w:tcBorders>
              <w:bottom w:val="single" w:sz="8" w:space="0" w:color="CCEEFF"/>
            </w:tcBorders>
            <w:shd w:val="clear" w:color="auto" w:fill="CCEEFF"/>
            <w:vAlign w:val="bottom"/>
          </w:tcPr>
          <w:p w14:paraId="708DA017" w14:textId="77777777" w:rsidR="00D1587D" w:rsidRDefault="00410D07">
            <w:pPr>
              <w:ind w:right="78"/>
              <w:jc w:val="right"/>
              <w:rPr>
                <w:sz w:val="20"/>
                <w:szCs w:val="20"/>
              </w:rPr>
            </w:pPr>
            <w:r>
              <w:rPr>
                <w:rFonts w:ascii="Arial" w:eastAsia="Arial" w:hAnsi="Arial" w:cs="Arial"/>
                <w:sz w:val="18"/>
                <w:szCs w:val="18"/>
              </w:rPr>
              <w:t>$</w:t>
            </w:r>
          </w:p>
        </w:tc>
        <w:tc>
          <w:tcPr>
            <w:tcW w:w="480" w:type="dxa"/>
            <w:tcBorders>
              <w:bottom w:val="single" w:sz="8" w:space="0" w:color="CCEEFF"/>
            </w:tcBorders>
            <w:shd w:val="clear" w:color="auto" w:fill="CCEEFF"/>
            <w:vAlign w:val="bottom"/>
          </w:tcPr>
          <w:p w14:paraId="04438945" w14:textId="77777777" w:rsidR="00D1587D" w:rsidRDefault="00410D07">
            <w:pPr>
              <w:jc w:val="right"/>
              <w:rPr>
                <w:sz w:val="20"/>
                <w:szCs w:val="20"/>
              </w:rPr>
            </w:pPr>
            <w:r>
              <w:rPr>
                <w:rFonts w:ascii="Arial" w:eastAsia="Arial" w:hAnsi="Arial" w:cs="Arial"/>
                <w:sz w:val="18"/>
                <w:szCs w:val="18"/>
              </w:rPr>
              <w:t>—</w:t>
            </w:r>
          </w:p>
        </w:tc>
        <w:tc>
          <w:tcPr>
            <w:tcW w:w="0" w:type="dxa"/>
            <w:vAlign w:val="bottom"/>
          </w:tcPr>
          <w:p w14:paraId="2DF5D9BC" w14:textId="77777777" w:rsidR="00D1587D" w:rsidRDefault="00D1587D">
            <w:pPr>
              <w:rPr>
                <w:sz w:val="1"/>
                <w:szCs w:val="1"/>
              </w:rPr>
            </w:pPr>
          </w:p>
        </w:tc>
      </w:tr>
      <w:tr w:rsidR="00D1587D" w14:paraId="6F7EEA2A" w14:textId="77777777">
        <w:trPr>
          <w:trHeight w:val="324"/>
        </w:trPr>
        <w:tc>
          <w:tcPr>
            <w:tcW w:w="2360" w:type="dxa"/>
            <w:gridSpan w:val="3"/>
            <w:vAlign w:val="bottom"/>
          </w:tcPr>
          <w:p w14:paraId="0B2B6125" w14:textId="77777777" w:rsidR="00D1587D" w:rsidRDefault="00410D07">
            <w:pPr>
              <w:spacing w:line="324" w:lineRule="exact"/>
              <w:rPr>
                <w:sz w:val="20"/>
                <w:szCs w:val="20"/>
              </w:rPr>
            </w:pPr>
            <w:r>
              <w:rPr>
                <w:rFonts w:ascii="Arial" w:eastAsia="Arial" w:hAnsi="Arial" w:cs="Arial"/>
                <w:sz w:val="18"/>
                <w:szCs w:val="18"/>
              </w:rPr>
              <w:t>Bonus</w:t>
            </w:r>
            <w:r>
              <w:rPr>
                <w:rFonts w:ascii="Arial" w:eastAsia="Arial" w:hAnsi="Arial" w:cs="Arial"/>
                <w:sz w:val="29"/>
                <w:szCs w:val="29"/>
                <w:vertAlign w:val="superscript"/>
              </w:rPr>
              <w:t>(3)</w:t>
            </w:r>
          </w:p>
        </w:tc>
        <w:tc>
          <w:tcPr>
            <w:tcW w:w="1020" w:type="dxa"/>
            <w:gridSpan w:val="3"/>
            <w:vAlign w:val="bottom"/>
          </w:tcPr>
          <w:p w14:paraId="1A3A7CE5" w14:textId="77777777" w:rsidR="00D1587D" w:rsidRDefault="00410D07">
            <w:pPr>
              <w:ind w:right="160"/>
              <w:jc w:val="right"/>
              <w:rPr>
                <w:sz w:val="20"/>
                <w:szCs w:val="20"/>
              </w:rPr>
            </w:pPr>
            <w:r>
              <w:rPr>
                <w:rFonts w:ascii="Arial" w:eastAsia="Arial" w:hAnsi="Arial" w:cs="Arial"/>
                <w:sz w:val="18"/>
                <w:szCs w:val="18"/>
              </w:rPr>
              <w:t>—</w:t>
            </w:r>
          </w:p>
        </w:tc>
        <w:tc>
          <w:tcPr>
            <w:tcW w:w="960" w:type="dxa"/>
            <w:gridSpan w:val="2"/>
            <w:vAlign w:val="bottom"/>
          </w:tcPr>
          <w:p w14:paraId="50D6165C" w14:textId="77777777" w:rsidR="00D1587D" w:rsidRDefault="00410D07">
            <w:pPr>
              <w:jc w:val="right"/>
              <w:rPr>
                <w:sz w:val="20"/>
                <w:szCs w:val="20"/>
              </w:rPr>
            </w:pPr>
            <w:r>
              <w:rPr>
                <w:rFonts w:ascii="Arial" w:eastAsia="Arial" w:hAnsi="Arial" w:cs="Arial"/>
                <w:sz w:val="18"/>
                <w:szCs w:val="18"/>
              </w:rPr>
              <w:t>2,160,000</w:t>
            </w:r>
          </w:p>
        </w:tc>
        <w:tc>
          <w:tcPr>
            <w:tcW w:w="180" w:type="dxa"/>
            <w:vAlign w:val="bottom"/>
          </w:tcPr>
          <w:p w14:paraId="4024B7F7" w14:textId="77777777" w:rsidR="00D1587D" w:rsidRDefault="00D1587D">
            <w:pPr>
              <w:rPr>
                <w:sz w:val="24"/>
                <w:szCs w:val="24"/>
              </w:rPr>
            </w:pPr>
          </w:p>
        </w:tc>
        <w:tc>
          <w:tcPr>
            <w:tcW w:w="940" w:type="dxa"/>
            <w:vAlign w:val="bottom"/>
          </w:tcPr>
          <w:p w14:paraId="5BB251D3" w14:textId="77777777" w:rsidR="00D1587D" w:rsidRDefault="00410D07">
            <w:pPr>
              <w:jc w:val="right"/>
              <w:rPr>
                <w:sz w:val="20"/>
                <w:szCs w:val="20"/>
              </w:rPr>
            </w:pPr>
            <w:r>
              <w:rPr>
                <w:rFonts w:ascii="Arial" w:eastAsia="Arial" w:hAnsi="Arial" w:cs="Arial"/>
                <w:sz w:val="18"/>
                <w:szCs w:val="18"/>
              </w:rPr>
              <w:t>4,124,520</w:t>
            </w:r>
          </w:p>
        </w:tc>
        <w:tc>
          <w:tcPr>
            <w:tcW w:w="180" w:type="dxa"/>
            <w:vAlign w:val="bottom"/>
          </w:tcPr>
          <w:p w14:paraId="62F9F659" w14:textId="77777777" w:rsidR="00D1587D" w:rsidRDefault="00D1587D">
            <w:pPr>
              <w:rPr>
                <w:sz w:val="24"/>
                <w:szCs w:val="24"/>
              </w:rPr>
            </w:pPr>
          </w:p>
        </w:tc>
        <w:tc>
          <w:tcPr>
            <w:tcW w:w="160" w:type="dxa"/>
            <w:vAlign w:val="bottom"/>
          </w:tcPr>
          <w:p w14:paraId="2A6CA759" w14:textId="77777777" w:rsidR="00D1587D" w:rsidRDefault="00D1587D">
            <w:pPr>
              <w:rPr>
                <w:sz w:val="24"/>
                <w:szCs w:val="24"/>
              </w:rPr>
            </w:pPr>
          </w:p>
        </w:tc>
        <w:tc>
          <w:tcPr>
            <w:tcW w:w="660" w:type="dxa"/>
            <w:vAlign w:val="bottom"/>
          </w:tcPr>
          <w:p w14:paraId="255CD434" w14:textId="77777777" w:rsidR="00D1587D" w:rsidRDefault="00410D07">
            <w:pPr>
              <w:jc w:val="right"/>
              <w:rPr>
                <w:sz w:val="20"/>
                <w:szCs w:val="20"/>
              </w:rPr>
            </w:pPr>
            <w:r>
              <w:rPr>
                <w:rFonts w:ascii="Arial" w:eastAsia="Arial" w:hAnsi="Arial" w:cs="Arial"/>
                <w:sz w:val="18"/>
                <w:szCs w:val="18"/>
              </w:rPr>
              <w:t>—</w:t>
            </w:r>
          </w:p>
        </w:tc>
        <w:tc>
          <w:tcPr>
            <w:tcW w:w="180" w:type="dxa"/>
            <w:vAlign w:val="bottom"/>
          </w:tcPr>
          <w:p w14:paraId="7545A4AE" w14:textId="77777777" w:rsidR="00D1587D" w:rsidRDefault="00D1587D">
            <w:pPr>
              <w:rPr>
                <w:sz w:val="24"/>
                <w:szCs w:val="24"/>
              </w:rPr>
            </w:pPr>
          </w:p>
        </w:tc>
        <w:tc>
          <w:tcPr>
            <w:tcW w:w="100" w:type="dxa"/>
            <w:vAlign w:val="bottom"/>
          </w:tcPr>
          <w:p w14:paraId="0BCBA698" w14:textId="77777777" w:rsidR="00D1587D" w:rsidRDefault="00D1587D">
            <w:pPr>
              <w:rPr>
                <w:sz w:val="24"/>
                <w:szCs w:val="24"/>
              </w:rPr>
            </w:pPr>
          </w:p>
        </w:tc>
        <w:tc>
          <w:tcPr>
            <w:tcW w:w="900" w:type="dxa"/>
            <w:gridSpan w:val="2"/>
            <w:vAlign w:val="bottom"/>
          </w:tcPr>
          <w:p w14:paraId="1EC2C09B" w14:textId="77777777" w:rsidR="00D1587D" w:rsidRDefault="00410D07">
            <w:pPr>
              <w:ind w:right="200"/>
              <w:jc w:val="right"/>
              <w:rPr>
                <w:sz w:val="20"/>
                <w:szCs w:val="20"/>
              </w:rPr>
            </w:pPr>
            <w:r>
              <w:rPr>
                <w:rFonts w:ascii="Arial" w:eastAsia="Arial" w:hAnsi="Arial" w:cs="Arial"/>
                <w:sz w:val="18"/>
                <w:szCs w:val="18"/>
              </w:rPr>
              <w:t>—</w:t>
            </w:r>
          </w:p>
        </w:tc>
        <w:tc>
          <w:tcPr>
            <w:tcW w:w="300" w:type="dxa"/>
            <w:vAlign w:val="bottom"/>
          </w:tcPr>
          <w:p w14:paraId="3063B44E" w14:textId="77777777" w:rsidR="00D1587D" w:rsidRDefault="00D1587D">
            <w:pPr>
              <w:rPr>
                <w:sz w:val="24"/>
                <w:szCs w:val="24"/>
              </w:rPr>
            </w:pPr>
          </w:p>
        </w:tc>
        <w:tc>
          <w:tcPr>
            <w:tcW w:w="480" w:type="dxa"/>
            <w:vAlign w:val="bottom"/>
          </w:tcPr>
          <w:p w14:paraId="7C08DE70" w14:textId="77777777" w:rsidR="00D1587D" w:rsidRDefault="00410D07">
            <w:pPr>
              <w:jc w:val="right"/>
              <w:rPr>
                <w:sz w:val="20"/>
                <w:szCs w:val="20"/>
              </w:rPr>
            </w:pPr>
            <w:r>
              <w:rPr>
                <w:rFonts w:ascii="Arial" w:eastAsia="Arial" w:hAnsi="Arial" w:cs="Arial"/>
                <w:sz w:val="18"/>
                <w:szCs w:val="18"/>
              </w:rPr>
              <w:t>—</w:t>
            </w:r>
          </w:p>
        </w:tc>
        <w:tc>
          <w:tcPr>
            <w:tcW w:w="0" w:type="dxa"/>
            <w:vAlign w:val="bottom"/>
          </w:tcPr>
          <w:p w14:paraId="7B4A612D" w14:textId="77777777" w:rsidR="00D1587D" w:rsidRDefault="00D1587D">
            <w:pPr>
              <w:rPr>
                <w:sz w:val="1"/>
                <w:szCs w:val="1"/>
              </w:rPr>
            </w:pPr>
          </w:p>
        </w:tc>
      </w:tr>
      <w:tr w:rsidR="00D1587D" w14:paraId="6935DC34" w14:textId="77777777">
        <w:trPr>
          <w:trHeight w:val="246"/>
        </w:trPr>
        <w:tc>
          <w:tcPr>
            <w:tcW w:w="2360" w:type="dxa"/>
            <w:gridSpan w:val="3"/>
            <w:shd w:val="clear" w:color="auto" w:fill="CCEEFF"/>
            <w:vAlign w:val="bottom"/>
          </w:tcPr>
          <w:p w14:paraId="72EA3FF8" w14:textId="77777777" w:rsidR="00D1587D" w:rsidRDefault="00410D07">
            <w:pPr>
              <w:rPr>
                <w:sz w:val="20"/>
                <w:szCs w:val="20"/>
              </w:rPr>
            </w:pPr>
            <w:r>
              <w:rPr>
                <w:rFonts w:ascii="Arial" w:eastAsia="Arial" w:hAnsi="Arial" w:cs="Arial"/>
                <w:sz w:val="18"/>
                <w:szCs w:val="18"/>
              </w:rPr>
              <w:t xml:space="preserve">Gain of </w:t>
            </w:r>
            <w:r>
              <w:rPr>
                <w:rFonts w:ascii="Arial" w:eastAsia="Arial" w:hAnsi="Arial" w:cs="Arial"/>
                <w:sz w:val="18"/>
                <w:szCs w:val="18"/>
              </w:rPr>
              <w:t>Accelerated Stock</w:t>
            </w:r>
          </w:p>
        </w:tc>
        <w:tc>
          <w:tcPr>
            <w:tcW w:w="840" w:type="dxa"/>
            <w:shd w:val="clear" w:color="auto" w:fill="CCEEFF"/>
            <w:vAlign w:val="bottom"/>
          </w:tcPr>
          <w:p w14:paraId="1FA510E5" w14:textId="77777777" w:rsidR="00D1587D" w:rsidRDefault="00D1587D">
            <w:pPr>
              <w:rPr>
                <w:sz w:val="21"/>
                <w:szCs w:val="21"/>
              </w:rPr>
            </w:pPr>
          </w:p>
        </w:tc>
        <w:tc>
          <w:tcPr>
            <w:tcW w:w="60" w:type="dxa"/>
            <w:shd w:val="clear" w:color="auto" w:fill="CCEEFF"/>
            <w:vAlign w:val="bottom"/>
          </w:tcPr>
          <w:p w14:paraId="1A85E827" w14:textId="77777777" w:rsidR="00D1587D" w:rsidRDefault="00D1587D">
            <w:pPr>
              <w:rPr>
                <w:sz w:val="21"/>
                <w:szCs w:val="21"/>
              </w:rPr>
            </w:pPr>
          </w:p>
        </w:tc>
        <w:tc>
          <w:tcPr>
            <w:tcW w:w="120" w:type="dxa"/>
            <w:shd w:val="clear" w:color="auto" w:fill="CCEEFF"/>
            <w:vAlign w:val="bottom"/>
          </w:tcPr>
          <w:p w14:paraId="1E27D42C" w14:textId="77777777" w:rsidR="00D1587D" w:rsidRDefault="00D1587D">
            <w:pPr>
              <w:rPr>
                <w:sz w:val="21"/>
                <w:szCs w:val="21"/>
              </w:rPr>
            </w:pPr>
          </w:p>
        </w:tc>
        <w:tc>
          <w:tcPr>
            <w:tcW w:w="60" w:type="dxa"/>
            <w:shd w:val="clear" w:color="auto" w:fill="CCEEFF"/>
            <w:vAlign w:val="bottom"/>
          </w:tcPr>
          <w:p w14:paraId="790351B4" w14:textId="77777777" w:rsidR="00D1587D" w:rsidRDefault="00D1587D">
            <w:pPr>
              <w:rPr>
                <w:sz w:val="21"/>
                <w:szCs w:val="21"/>
              </w:rPr>
            </w:pPr>
          </w:p>
        </w:tc>
        <w:tc>
          <w:tcPr>
            <w:tcW w:w="900" w:type="dxa"/>
            <w:shd w:val="clear" w:color="auto" w:fill="CCEEFF"/>
            <w:vAlign w:val="bottom"/>
          </w:tcPr>
          <w:p w14:paraId="0F626FAA" w14:textId="77777777" w:rsidR="00D1587D" w:rsidRDefault="00D1587D">
            <w:pPr>
              <w:rPr>
                <w:sz w:val="21"/>
                <w:szCs w:val="21"/>
              </w:rPr>
            </w:pPr>
          </w:p>
        </w:tc>
        <w:tc>
          <w:tcPr>
            <w:tcW w:w="180" w:type="dxa"/>
            <w:shd w:val="clear" w:color="auto" w:fill="CCEEFF"/>
            <w:vAlign w:val="bottom"/>
          </w:tcPr>
          <w:p w14:paraId="4E62773E" w14:textId="77777777" w:rsidR="00D1587D" w:rsidRDefault="00D1587D">
            <w:pPr>
              <w:rPr>
                <w:sz w:val="21"/>
                <w:szCs w:val="21"/>
              </w:rPr>
            </w:pPr>
          </w:p>
        </w:tc>
        <w:tc>
          <w:tcPr>
            <w:tcW w:w="940" w:type="dxa"/>
            <w:shd w:val="clear" w:color="auto" w:fill="CCEEFF"/>
            <w:vAlign w:val="bottom"/>
          </w:tcPr>
          <w:p w14:paraId="32855EFD" w14:textId="77777777" w:rsidR="00D1587D" w:rsidRDefault="00D1587D">
            <w:pPr>
              <w:rPr>
                <w:sz w:val="21"/>
                <w:szCs w:val="21"/>
              </w:rPr>
            </w:pPr>
          </w:p>
        </w:tc>
        <w:tc>
          <w:tcPr>
            <w:tcW w:w="180" w:type="dxa"/>
            <w:shd w:val="clear" w:color="auto" w:fill="CCEEFF"/>
            <w:vAlign w:val="bottom"/>
          </w:tcPr>
          <w:p w14:paraId="4199E51B" w14:textId="77777777" w:rsidR="00D1587D" w:rsidRDefault="00D1587D">
            <w:pPr>
              <w:rPr>
                <w:sz w:val="21"/>
                <w:szCs w:val="21"/>
              </w:rPr>
            </w:pPr>
          </w:p>
        </w:tc>
        <w:tc>
          <w:tcPr>
            <w:tcW w:w="160" w:type="dxa"/>
            <w:shd w:val="clear" w:color="auto" w:fill="CCEEFF"/>
            <w:vAlign w:val="bottom"/>
          </w:tcPr>
          <w:p w14:paraId="47F70471" w14:textId="77777777" w:rsidR="00D1587D" w:rsidRDefault="00D1587D">
            <w:pPr>
              <w:rPr>
                <w:sz w:val="21"/>
                <w:szCs w:val="21"/>
              </w:rPr>
            </w:pPr>
          </w:p>
        </w:tc>
        <w:tc>
          <w:tcPr>
            <w:tcW w:w="660" w:type="dxa"/>
            <w:shd w:val="clear" w:color="auto" w:fill="CCEEFF"/>
            <w:vAlign w:val="bottom"/>
          </w:tcPr>
          <w:p w14:paraId="6A722F67" w14:textId="77777777" w:rsidR="00D1587D" w:rsidRDefault="00D1587D">
            <w:pPr>
              <w:rPr>
                <w:sz w:val="21"/>
                <w:szCs w:val="21"/>
              </w:rPr>
            </w:pPr>
          </w:p>
        </w:tc>
        <w:tc>
          <w:tcPr>
            <w:tcW w:w="180" w:type="dxa"/>
            <w:shd w:val="clear" w:color="auto" w:fill="CCEEFF"/>
            <w:vAlign w:val="bottom"/>
          </w:tcPr>
          <w:p w14:paraId="39915FC8" w14:textId="77777777" w:rsidR="00D1587D" w:rsidRDefault="00D1587D">
            <w:pPr>
              <w:rPr>
                <w:sz w:val="21"/>
                <w:szCs w:val="21"/>
              </w:rPr>
            </w:pPr>
          </w:p>
        </w:tc>
        <w:tc>
          <w:tcPr>
            <w:tcW w:w="100" w:type="dxa"/>
            <w:shd w:val="clear" w:color="auto" w:fill="CCEEFF"/>
            <w:vAlign w:val="bottom"/>
          </w:tcPr>
          <w:p w14:paraId="19143B93" w14:textId="77777777" w:rsidR="00D1587D" w:rsidRDefault="00D1587D">
            <w:pPr>
              <w:rPr>
                <w:sz w:val="21"/>
                <w:szCs w:val="21"/>
              </w:rPr>
            </w:pPr>
          </w:p>
        </w:tc>
        <w:tc>
          <w:tcPr>
            <w:tcW w:w="720" w:type="dxa"/>
            <w:shd w:val="clear" w:color="auto" w:fill="CCEEFF"/>
            <w:vAlign w:val="bottom"/>
          </w:tcPr>
          <w:p w14:paraId="383E278E" w14:textId="77777777" w:rsidR="00D1587D" w:rsidRDefault="00D1587D">
            <w:pPr>
              <w:rPr>
                <w:sz w:val="21"/>
                <w:szCs w:val="21"/>
              </w:rPr>
            </w:pPr>
          </w:p>
        </w:tc>
        <w:tc>
          <w:tcPr>
            <w:tcW w:w="180" w:type="dxa"/>
            <w:shd w:val="clear" w:color="auto" w:fill="CCEEFF"/>
            <w:vAlign w:val="bottom"/>
          </w:tcPr>
          <w:p w14:paraId="4380526B" w14:textId="77777777" w:rsidR="00D1587D" w:rsidRDefault="00D1587D">
            <w:pPr>
              <w:rPr>
                <w:sz w:val="21"/>
                <w:szCs w:val="21"/>
              </w:rPr>
            </w:pPr>
          </w:p>
        </w:tc>
        <w:tc>
          <w:tcPr>
            <w:tcW w:w="300" w:type="dxa"/>
            <w:shd w:val="clear" w:color="auto" w:fill="CCEEFF"/>
            <w:vAlign w:val="bottom"/>
          </w:tcPr>
          <w:p w14:paraId="2CE6B8ED" w14:textId="77777777" w:rsidR="00D1587D" w:rsidRDefault="00D1587D">
            <w:pPr>
              <w:rPr>
                <w:sz w:val="21"/>
                <w:szCs w:val="21"/>
              </w:rPr>
            </w:pPr>
          </w:p>
        </w:tc>
        <w:tc>
          <w:tcPr>
            <w:tcW w:w="480" w:type="dxa"/>
            <w:shd w:val="clear" w:color="auto" w:fill="CCEEFF"/>
            <w:vAlign w:val="bottom"/>
          </w:tcPr>
          <w:p w14:paraId="2A511EB6" w14:textId="77777777" w:rsidR="00D1587D" w:rsidRDefault="00D1587D">
            <w:pPr>
              <w:rPr>
                <w:sz w:val="21"/>
                <w:szCs w:val="21"/>
              </w:rPr>
            </w:pPr>
          </w:p>
        </w:tc>
        <w:tc>
          <w:tcPr>
            <w:tcW w:w="0" w:type="dxa"/>
            <w:vAlign w:val="bottom"/>
          </w:tcPr>
          <w:p w14:paraId="0513F1F4" w14:textId="77777777" w:rsidR="00D1587D" w:rsidRDefault="00D1587D">
            <w:pPr>
              <w:rPr>
                <w:sz w:val="1"/>
                <w:szCs w:val="1"/>
              </w:rPr>
            </w:pPr>
          </w:p>
        </w:tc>
      </w:tr>
      <w:tr w:rsidR="00D1587D" w14:paraId="4AA0D804" w14:textId="77777777">
        <w:trPr>
          <w:trHeight w:val="294"/>
        </w:trPr>
        <w:tc>
          <w:tcPr>
            <w:tcW w:w="2360" w:type="dxa"/>
            <w:gridSpan w:val="3"/>
            <w:shd w:val="clear" w:color="auto" w:fill="CCEEFF"/>
            <w:vAlign w:val="bottom"/>
          </w:tcPr>
          <w:p w14:paraId="524DAA6E" w14:textId="77777777" w:rsidR="00D1587D" w:rsidRDefault="00410D07">
            <w:pPr>
              <w:spacing w:line="294" w:lineRule="exact"/>
              <w:ind w:left="180"/>
              <w:rPr>
                <w:sz w:val="20"/>
                <w:szCs w:val="20"/>
              </w:rPr>
            </w:pPr>
            <w:r>
              <w:rPr>
                <w:rFonts w:ascii="Arial" w:eastAsia="Arial" w:hAnsi="Arial" w:cs="Arial"/>
                <w:sz w:val="18"/>
                <w:szCs w:val="18"/>
              </w:rPr>
              <w:t>Options</w:t>
            </w:r>
            <w:r>
              <w:rPr>
                <w:rFonts w:ascii="Arial" w:eastAsia="Arial" w:hAnsi="Arial" w:cs="Arial"/>
                <w:sz w:val="29"/>
                <w:szCs w:val="29"/>
                <w:vertAlign w:val="superscript"/>
              </w:rPr>
              <w:t>(4)</w:t>
            </w:r>
          </w:p>
        </w:tc>
        <w:tc>
          <w:tcPr>
            <w:tcW w:w="1020" w:type="dxa"/>
            <w:gridSpan w:val="3"/>
            <w:shd w:val="clear" w:color="auto" w:fill="CCEEFF"/>
            <w:vAlign w:val="bottom"/>
          </w:tcPr>
          <w:p w14:paraId="08901B40" w14:textId="77777777" w:rsidR="00D1587D" w:rsidRDefault="00410D07">
            <w:pPr>
              <w:ind w:right="160"/>
              <w:jc w:val="right"/>
              <w:rPr>
                <w:sz w:val="20"/>
                <w:szCs w:val="20"/>
              </w:rPr>
            </w:pPr>
            <w:r>
              <w:rPr>
                <w:rFonts w:ascii="Arial" w:eastAsia="Arial" w:hAnsi="Arial" w:cs="Arial"/>
                <w:sz w:val="18"/>
                <w:szCs w:val="18"/>
              </w:rPr>
              <w:t>—</w:t>
            </w:r>
          </w:p>
        </w:tc>
        <w:tc>
          <w:tcPr>
            <w:tcW w:w="60" w:type="dxa"/>
            <w:shd w:val="clear" w:color="auto" w:fill="CCEEFF"/>
            <w:vAlign w:val="bottom"/>
          </w:tcPr>
          <w:p w14:paraId="1B721F33" w14:textId="77777777" w:rsidR="00D1587D" w:rsidRDefault="00D1587D">
            <w:pPr>
              <w:rPr>
                <w:sz w:val="24"/>
                <w:szCs w:val="24"/>
              </w:rPr>
            </w:pPr>
          </w:p>
        </w:tc>
        <w:tc>
          <w:tcPr>
            <w:tcW w:w="1080" w:type="dxa"/>
            <w:gridSpan w:val="2"/>
            <w:shd w:val="clear" w:color="auto" w:fill="CCEEFF"/>
            <w:vAlign w:val="bottom"/>
          </w:tcPr>
          <w:p w14:paraId="04239CCE" w14:textId="77777777" w:rsidR="00D1587D" w:rsidRDefault="00410D07">
            <w:pPr>
              <w:ind w:right="220"/>
              <w:jc w:val="right"/>
              <w:rPr>
                <w:sz w:val="20"/>
                <w:szCs w:val="20"/>
              </w:rPr>
            </w:pPr>
            <w:r>
              <w:rPr>
                <w:rFonts w:ascii="Arial" w:eastAsia="Arial" w:hAnsi="Arial" w:cs="Arial"/>
                <w:sz w:val="18"/>
                <w:szCs w:val="18"/>
              </w:rPr>
              <w:t>—</w:t>
            </w:r>
          </w:p>
        </w:tc>
        <w:tc>
          <w:tcPr>
            <w:tcW w:w="940" w:type="dxa"/>
            <w:shd w:val="clear" w:color="auto" w:fill="CCEEFF"/>
            <w:vAlign w:val="bottom"/>
          </w:tcPr>
          <w:p w14:paraId="654343EE" w14:textId="77777777" w:rsidR="00D1587D" w:rsidRDefault="00410D07">
            <w:pPr>
              <w:jc w:val="right"/>
              <w:rPr>
                <w:sz w:val="20"/>
                <w:szCs w:val="20"/>
              </w:rPr>
            </w:pPr>
            <w:r>
              <w:rPr>
                <w:rFonts w:ascii="Arial" w:eastAsia="Arial" w:hAnsi="Arial" w:cs="Arial"/>
                <w:sz w:val="18"/>
                <w:szCs w:val="18"/>
              </w:rPr>
              <w:t>349,239</w:t>
            </w:r>
          </w:p>
        </w:tc>
        <w:tc>
          <w:tcPr>
            <w:tcW w:w="180" w:type="dxa"/>
            <w:shd w:val="clear" w:color="auto" w:fill="CCEEFF"/>
            <w:vAlign w:val="bottom"/>
          </w:tcPr>
          <w:p w14:paraId="6091EB09" w14:textId="77777777" w:rsidR="00D1587D" w:rsidRDefault="00D1587D">
            <w:pPr>
              <w:rPr>
                <w:sz w:val="24"/>
                <w:szCs w:val="24"/>
              </w:rPr>
            </w:pPr>
          </w:p>
        </w:tc>
        <w:tc>
          <w:tcPr>
            <w:tcW w:w="160" w:type="dxa"/>
            <w:shd w:val="clear" w:color="auto" w:fill="CCEEFF"/>
            <w:vAlign w:val="bottom"/>
          </w:tcPr>
          <w:p w14:paraId="58F28F7C" w14:textId="77777777" w:rsidR="00D1587D" w:rsidRDefault="00D1587D">
            <w:pPr>
              <w:rPr>
                <w:sz w:val="24"/>
                <w:szCs w:val="24"/>
              </w:rPr>
            </w:pPr>
          </w:p>
        </w:tc>
        <w:tc>
          <w:tcPr>
            <w:tcW w:w="660" w:type="dxa"/>
            <w:shd w:val="clear" w:color="auto" w:fill="CCEEFF"/>
            <w:vAlign w:val="bottom"/>
          </w:tcPr>
          <w:p w14:paraId="6C77725E" w14:textId="77777777" w:rsidR="00D1587D" w:rsidRDefault="00410D07">
            <w:pPr>
              <w:jc w:val="right"/>
              <w:rPr>
                <w:sz w:val="20"/>
                <w:szCs w:val="20"/>
              </w:rPr>
            </w:pPr>
            <w:r>
              <w:rPr>
                <w:rFonts w:ascii="Arial" w:eastAsia="Arial" w:hAnsi="Arial" w:cs="Arial"/>
                <w:w w:val="95"/>
                <w:sz w:val="18"/>
                <w:szCs w:val="18"/>
              </w:rPr>
              <w:t>349,239</w:t>
            </w:r>
          </w:p>
        </w:tc>
        <w:tc>
          <w:tcPr>
            <w:tcW w:w="180" w:type="dxa"/>
            <w:shd w:val="clear" w:color="auto" w:fill="CCEEFF"/>
            <w:vAlign w:val="bottom"/>
          </w:tcPr>
          <w:p w14:paraId="3D6B76AF" w14:textId="77777777" w:rsidR="00D1587D" w:rsidRDefault="00D1587D">
            <w:pPr>
              <w:rPr>
                <w:sz w:val="24"/>
                <w:szCs w:val="24"/>
              </w:rPr>
            </w:pPr>
          </w:p>
        </w:tc>
        <w:tc>
          <w:tcPr>
            <w:tcW w:w="100" w:type="dxa"/>
            <w:shd w:val="clear" w:color="auto" w:fill="CCEEFF"/>
            <w:vAlign w:val="bottom"/>
          </w:tcPr>
          <w:p w14:paraId="5EB4FF33" w14:textId="77777777" w:rsidR="00D1587D" w:rsidRDefault="00D1587D">
            <w:pPr>
              <w:rPr>
                <w:sz w:val="24"/>
                <w:szCs w:val="24"/>
              </w:rPr>
            </w:pPr>
          </w:p>
        </w:tc>
        <w:tc>
          <w:tcPr>
            <w:tcW w:w="720" w:type="dxa"/>
            <w:shd w:val="clear" w:color="auto" w:fill="CCEEFF"/>
            <w:vAlign w:val="bottom"/>
          </w:tcPr>
          <w:p w14:paraId="60AF2962" w14:textId="77777777" w:rsidR="00D1587D" w:rsidRDefault="00410D07">
            <w:pPr>
              <w:jc w:val="right"/>
              <w:rPr>
                <w:sz w:val="20"/>
                <w:szCs w:val="20"/>
              </w:rPr>
            </w:pPr>
            <w:r>
              <w:rPr>
                <w:rFonts w:ascii="Arial" w:eastAsia="Arial" w:hAnsi="Arial" w:cs="Arial"/>
                <w:sz w:val="18"/>
                <w:szCs w:val="18"/>
              </w:rPr>
              <w:t>349,239</w:t>
            </w:r>
          </w:p>
        </w:tc>
        <w:tc>
          <w:tcPr>
            <w:tcW w:w="180" w:type="dxa"/>
            <w:shd w:val="clear" w:color="auto" w:fill="CCEEFF"/>
            <w:vAlign w:val="bottom"/>
          </w:tcPr>
          <w:p w14:paraId="3AD376FC" w14:textId="77777777" w:rsidR="00D1587D" w:rsidRDefault="00D1587D">
            <w:pPr>
              <w:rPr>
                <w:sz w:val="24"/>
                <w:szCs w:val="24"/>
              </w:rPr>
            </w:pPr>
          </w:p>
        </w:tc>
        <w:tc>
          <w:tcPr>
            <w:tcW w:w="300" w:type="dxa"/>
            <w:shd w:val="clear" w:color="auto" w:fill="CCEEFF"/>
            <w:vAlign w:val="bottom"/>
          </w:tcPr>
          <w:p w14:paraId="5D8867FA" w14:textId="77777777" w:rsidR="00D1587D" w:rsidRDefault="00D1587D">
            <w:pPr>
              <w:rPr>
                <w:sz w:val="24"/>
                <w:szCs w:val="24"/>
              </w:rPr>
            </w:pPr>
          </w:p>
        </w:tc>
        <w:tc>
          <w:tcPr>
            <w:tcW w:w="480" w:type="dxa"/>
            <w:shd w:val="clear" w:color="auto" w:fill="CCEEFF"/>
            <w:vAlign w:val="bottom"/>
          </w:tcPr>
          <w:p w14:paraId="5509D822" w14:textId="77777777" w:rsidR="00D1587D" w:rsidRDefault="00410D07">
            <w:pPr>
              <w:jc w:val="right"/>
              <w:rPr>
                <w:sz w:val="20"/>
                <w:szCs w:val="20"/>
              </w:rPr>
            </w:pPr>
            <w:r>
              <w:rPr>
                <w:rFonts w:ascii="Arial" w:eastAsia="Arial" w:hAnsi="Arial" w:cs="Arial"/>
                <w:sz w:val="18"/>
                <w:szCs w:val="18"/>
              </w:rPr>
              <w:t>—</w:t>
            </w:r>
          </w:p>
        </w:tc>
        <w:tc>
          <w:tcPr>
            <w:tcW w:w="0" w:type="dxa"/>
            <w:vAlign w:val="bottom"/>
          </w:tcPr>
          <w:p w14:paraId="75B562EB" w14:textId="77777777" w:rsidR="00D1587D" w:rsidRDefault="00D1587D">
            <w:pPr>
              <w:rPr>
                <w:sz w:val="1"/>
                <w:szCs w:val="1"/>
              </w:rPr>
            </w:pPr>
          </w:p>
        </w:tc>
      </w:tr>
      <w:tr w:rsidR="00D1587D" w14:paraId="2D66A54C" w14:textId="77777777">
        <w:trPr>
          <w:trHeight w:val="246"/>
        </w:trPr>
        <w:tc>
          <w:tcPr>
            <w:tcW w:w="2360" w:type="dxa"/>
            <w:gridSpan w:val="3"/>
            <w:vAlign w:val="bottom"/>
          </w:tcPr>
          <w:p w14:paraId="178BFB08" w14:textId="77777777" w:rsidR="00D1587D" w:rsidRDefault="00410D07">
            <w:pPr>
              <w:rPr>
                <w:sz w:val="20"/>
                <w:szCs w:val="20"/>
              </w:rPr>
            </w:pPr>
            <w:r>
              <w:rPr>
                <w:rFonts w:ascii="Arial" w:eastAsia="Arial" w:hAnsi="Arial" w:cs="Arial"/>
                <w:sz w:val="18"/>
                <w:szCs w:val="18"/>
              </w:rPr>
              <w:t>Value of Pro-rated or</w:t>
            </w:r>
          </w:p>
        </w:tc>
        <w:tc>
          <w:tcPr>
            <w:tcW w:w="840" w:type="dxa"/>
            <w:vAlign w:val="bottom"/>
          </w:tcPr>
          <w:p w14:paraId="702A12C2" w14:textId="77777777" w:rsidR="00D1587D" w:rsidRDefault="00D1587D">
            <w:pPr>
              <w:rPr>
                <w:sz w:val="21"/>
                <w:szCs w:val="21"/>
              </w:rPr>
            </w:pPr>
          </w:p>
        </w:tc>
        <w:tc>
          <w:tcPr>
            <w:tcW w:w="60" w:type="dxa"/>
            <w:vAlign w:val="bottom"/>
          </w:tcPr>
          <w:p w14:paraId="191E86CD" w14:textId="77777777" w:rsidR="00D1587D" w:rsidRDefault="00D1587D">
            <w:pPr>
              <w:rPr>
                <w:sz w:val="21"/>
                <w:szCs w:val="21"/>
              </w:rPr>
            </w:pPr>
          </w:p>
        </w:tc>
        <w:tc>
          <w:tcPr>
            <w:tcW w:w="120" w:type="dxa"/>
            <w:vAlign w:val="bottom"/>
          </w:tcPr>
          <w:p w14:paraId="432636B9" w14:textId="77777777" w:rsidR="00D1587D" w:rsidRDefault="00D1587D">
            <w:pPr>
              <w:rPr>
                <w:sz w:val="21"/>
                <w:szCs w:val="21"/>
              </w:rPr>
            </w:pPr>
          </w:p>
        </w:tc>
        <w:tc>
          <w:tcPr>
            <w:tcW w:w="60" w:type="dxa"/>
            <w:vAlign w:val="bottom"/>
          </w:tcPr>
          <w:p w14:paraId="2C0E1F4A" w14:textId="77777777" w:rsidR="00D1587D" w:rsidRDefault="00D1587D">
            <w:pPr>
              <w:rPr>
                <w:sz w:val="21"/>
                <w:szCs w:val="21"/>
              </w:rPr>
            </w:pPr>
          </w:p>
        </w:tc>
        <w:tc>
          <w:tcPr>
            <w:tcW w:w="900" w:type="dxa"/>
            <w:vAlign w:val="bottom"/>
          </w:tcPr>
          <w:p w14:paraId="34D329AF" w14:textId="77777777" w:rsidR="00D1587D" w:rsidRDefault="00D1587D">
            <w:pPr>
              <w:rPr>
                <w:sz w:val="21"/>
                <w:szCs w:val="21"/>
              </w:rPr>
            </w:pPr>
          </w:p>
        </w:tc>
        <w:tc>
          <w:tcPr>
            <w:tcW w:w="180" w:type="dxa"/>
            <w:vAlign w:val="bottom"/>
          </w:tcPr>
          <w:p w14:paraId="23F2E336" w14:textId="77777777" w:rsidR="00D1587D" w:rsidRDefault="00D1587D">
            <w:pPr>
              <w:rPr>
                <w:sz w:val="21"/>
                <w:szCs w:val="21"/>
              </w:rPr>
            </w:pPr>
          </w:p>
        </w:tc>
        <w:tc>
          <w:tcPr>
            <w:tcW w:w="940" w:type="dxa"/>
            <w:vAlign w:val="bottom"/>
          </w:tcPr>
          <w:p w14:paraId="380350C8" w14:textId="77777777" w:rsidR="00D1587D" w:rsidRDefault="00D1587D">
            <w:pPr>
              <w:rPr>
                <w:sz w:val="21"/>
                <w:szCs w:val="21"/>
              </w:rPr>
            </w:pPr>
          </w:p>
        </w:tc>
        <w:tc>
          <w:tcPr>
            <w:tcW w:w="180" w:type="dxa"/>
            <w:vAlign w:val="bottom"/>
          </w:tcPr>
          <w:p w14:paraId="723ECB0A" w14:textId="77777777" w:rsidR="00D1587D" w:rsidRDefault="00D1587D">
            <w:pPr>
              <w:rPr>
                <w:sz w:val="21"/>
                <w:szCs w:val="21"/>
              </w:rPr>
            </w:pPr>
          </w:p>
        </w:tc>
        <w:tc>
          <w:tcPr>
            <w:tcW w:w="160" w:type="dxa"/>
            <w:vAlign w:val="bottom"/>
          </w:tcPr>
          <w:p w14:paraId="6E003C49" w14:textId="77777777" w:rsidR="00D1587D" w:rsidRDefault="00D1587D">
            <w:pPr>
              <w:rPr>
                <w:sz w:val="21"/>
                <w:szCs w:val="21"/>
              </w:rPr>
            </w:pPr>
          </w:p>
        </w:tc>
        <w:tc>
          <w:tcPr>
            <w:tcW w:w="660" w:type="dxa"/>
            <w:vAlign w:val="bottom"/>
          </w:tcPr>
          <w:p w14:paraId="1A15ADE4" w14:textId="77777777" w:rsidR="00D1587D" w:rsidRDefault="00D1587D">
            <w:pPr>
              <w:rPr>
                <w:sz w:val="21"/>
                <w:szCs w:val="21"/>
              </w:rPr>
            </w:pPr>
          </w:p>
        </w:tc>
        <w:tc>
          <w:tcPr>
            <w:tcW w:w="180" w:type="dxa"/>
            <w:vAlign w:val="bottom"/>
          </w:tcPr>
          <w:p w14:paraId="4CBCB08F" w14:textId="77777777" w:rsidR="00D1587D" w:rsidRDefault="00D1587D">
            <w:pPr>
              <w:rPr>
                <w:sz w:val="21"/>
                <w:szCs w:val="21"/>
              </w:rPr>
            </w:pPr>
          </w:p>
        </w:tc>
        <w:tc>
          <w:tcPr>
            <w:tcW w:w="100" w:type="dxa"/>
            <w:vAlign w:val="bottom"/>
          </w:tcPr>
          <w:p w14:paraId="7DCE48A5" w14:textId="77777777" w:rsidR="00D1587D" w:rsidRDefault="00D1587D">
            <w:pPr>
              <w:rPr>
                <w:sz w:val="21"/>
                <w:szCs w:val="21"/>
              </w:rPr>
            </w:pPr>
          </w:p>
        </w:tc>
        <w:tc>
          <w:tcPr>
            <w:tcW w:w="720" w:type="dxa"/>
            <w:vAlign w:val="bottom"/>
          </w:tcPr>
          <w:p w14:paraId="6DC5D4F4" w14:textId="77777777" w:rsidR="00D1587D" w:rsidRDefault="00D1587D">
            <w:pPr>
              <w:rPr>
                <w:sz w:val="21"/>
                <w:szCs w:val="21"/>
              </w:rPr>
            </w:pPr>
          </w:p>
        </w:tc>
        <w:tc>
          <w:tcPr>
            <w:tcW w:w="180" w:type="dxa"/>
            <w:vAlign w:val="bottom"/>
          </w:tcPr>
          <w:p w14:paraId="59878DF3" w14:textId="77777777" w:rsidR="00D1587D" w:rsidRDefault="00D1587D">
            <w:pPr>
              <w:rPr>
                <w:sz w:val="21"/>
                <w:szCs w:val="21"/>
              </w:rPr>
            </w:pPr>
          </w:p>
        </w:tc>
        <w:tc>
          <w:tcPr>
            <w:tcW w:w="300" w:type="dxa"/>
            <w:vAlign w:val="bottom"/>
          </w:tcPr>
          <w:p w14:paraId="405D801D" w14:textId="77777777" w:rsidR="00D1587D" w:rsidRDefault="00D1587D">
            <w:pPr>
              <w:rPr>
                <w:sz w:val="21"/>
                <w:szCs w:val="21"/>
              </w:rPr>
            </w:pPr>
          </w:p>
        </w:tc>
        <w:tc>
          <w:tcPr>
            <w:tcW w:w="480" w:type="dxa"/>
            <w:vAlign w:val="bottom"/>
          </w:tcPr>
          <w:p w14:paraId="5E08B465" w14:textId="77777777" w:rsidR="00D1587D" w:rsidRDefault="00D1587D">
            <w:pPr>
              <w:rPr>
                <w:sz w:val="21"/>
                <w:szCs w:val="21"/>
              </w:rPr>
            </w:pPr>
          </w:p>
        </w:tc>
        <w:tc>
          <w:tcPr>
            <w:tcW w:w="0" w:type="dxa"/>
            <w:vAlign w:val="bottom"/>
          </w:tcPr>
          <w:p w14:paraId="0EFD7B0F" w14:textId="77777777" w:rsidR="00D1587D" w:rsidRDefault="00D1587D">
            <w:pPr>
              <w:rPr>
                <w:sz w:val="1"/>
                <w:szCs w:val="1"/>
              </w:rPr>
            </w:pPr>
          </w:p>
        </w:tc>
      </w:tr>
      <w:tr w:rsidR="00D1587D" w14:paraId="1AF28CE2" w14:textId="77777777">
        <w:trPr>
          <w:trHeight w:val="294"/>
        </w:trPr>
        <w:tc>
          <w:tcPr>
            <w:tcW w:w="2360" w:type="dxa"/>
            <w:gridSpan w:val="3"/>
            <w:vAlign w:val="bottom"/>
          </w:tcPr>
          <w:p w14:paraId="55E02CF3" w14:textId="77777777" w:rsidR="00D1587D" w:rsidRDefault="00410D07">
            <w:pPr>
              <w:spacing w:line="294" w:lineRule="exact"/>
              <w:ind w:left="180"/>
              <w:rPr>
                <w:sz w:val="20"/>
                <w:szCs w:val="20"/>
              </w:rPr>
            </w:pPr>
            <w:r>
              <w:rPr>
                <w:rFonts w:ascii="Arial" w:eastAsia="Arial" w:hAnsi="Arial" w:cs="Arial"/>
                <w:w w:val="97"/>
                <w:sz w:val="18"/>
                <w:szCs w:val="18"/>
              </w:rPr>
              <w:t>Accelerated PSUs/RSUs</w:t>
            </w:r>
            <w:r>
              <w:rPr>
                <w:rFonts w:ascii="Arial" w:eastAsia="Arial" w:hAnsi="Arial" w:cs="Arial"/>
                <w:w w:val="97"/>
                <w:sz w:val="29"/>
                <w:szCs w:val="29"/>
                <w:vertAlign w:val="superscript"/>
              </w:rPr>
              <w:t>(4)</w:t>
            </w:r>
          </w:p>
        </w:tc>
        <w:tc>
          <w:tcPr>
            <w:tcW w:w="1020" w:type="dxa"/>
            <w:gridSpan w:val="3"/>
            <w:vAlign w:val="bottom"/>
          </w:tcPr>
          <w:p w14:paraId="1429460A" w14:textId="77777777" w:rsidR="00D1587D" w:rsidRDefault="00410D07">
            <w:pPr>
              <w:ind w:right="160"/>
              <w:jc w:val="right"/>
              <w:rPr>
                <w:sz w:val="20"/>
                <w:szCs w:val="20"/>
              </w:rPr>
            </w:pPr>
            <w:r>
              <w:rPr>
                <w:rFonts w:ascii="Arial" w:eastAsia="Arial" w:hAnsi="Arial" w:cs="Arial"/>
                <w:sz w:val="18"/>
                <w:szCs w:val="18"/>
              </w:rPr>
              <w:t>—</w:t>
            </w:r>
          </w:p>
        </w:tc>
        <w:tc>
          <w:tcPr>
            <w:tcW w:w="960" w:type="dxa"/>
            <w:gridSpan w:val="2"/>
            <w:vAlign w:val="bottom"/>
          </w:tcPr>
          <w:p w14:paraId="0E70A65B" w14:textId="77777777" w:rsidR="00D1587D" w:rsidRDefault="00410D07">
            <w:pPr>
              <w:jc w:val="right"/>
              <w:rPr>
                <w:sz w:val="20"/>
                <w:szCs w:val="20"/>
              </w:rPr>
            </w:pPr>
            <w:r>
              <w:rPr>
                <w:rFonts w:ascii="Arial" w:eastAsia="Arial" w:hAnsi="Arial" w:cs="Arial"/>
                <w:sz w:val="18"/>
                <w:szCs w:val="18"/>
              </w:rPr>
              <w:t>3,097,842</w:t>
            </w:r>
          </w:p>
        </w:tc>
        <w:tc>
          <w:tcPr>
            <w:tcW w:w="180" w:type="dxa"/>
            <w:vAlign w:val="bottom"/>
          </w:tcPr>
          <w:p w14:paraId="12AAB7CB" w14:textId="77777777" w:rsidR="00D1587D" w:rsidRDefault="00D1587D">
            <w:pPr>
              <w:rPr>
                <w:sz w:val="24"/>
                <w:szCs w:val="24"/>
              </w:rPr>
            </w:pPr>
          </w:p>
        </w:tc>
        <w:tc>
          <w:tcPr>
            <w:tcW w:w="940" w:type="dxa"/>
            <w:vAlign w:val="bottom"/>
          </w:tcPr>
          <w:p w14:paraId="3A59AC35" w14:textId="77777777" w:rsidR="00D1587D" w:rsidRDefault="00410D07">
            <w:pPr>
              <w:jc w:val="right"/>
              <w:rPr>
                <w:sz w:val="20"/>
                <w:szCs w:val="20"/>
              </w:rPr>
            </w:pPr>
            <w:r>
              <w:rPr>
                <w:rFonts w:ascii="Arial" w:eastAsia="Arial" w:hAnsi="Arial" w:cs="Arial"/>
                <w:sz w:val="18"/>
                <w:szCs w:val="18"/>
              </w:rPr>
              <w:t>5,531,417</w:t>
            </w:r>
          </w:p>
        </w:tc>
        <w:tc>
          <w:tcPr>
            <w:tcW w:w="1000" w:type="dxa"/>
            <w:gridSpan w:val="3"/>
            <w:vAlign w:val="bottom"/>
          </w:tcPr>
          <w:p w14:paraId="1D302F58" w14:textId="77777777" w:rsidR="00D1587D" w:rsidRDefault="00410D07">
            <w:pPr>
              <w:jc w:val="right"/>
              <w:rPr>
                <w:sz w:val="20"/>
                <w:szCs w:val="20"/>
              </w:rPr>
            </w:pPr>
            <w:r>
              <w:rPr>
                <w:rFonts w:ascii="Arial" w:eastAsia="Arial" w:hAnsi="Arial" w:cs="Arial"/>
                <w:sz w:val="18"/>
                <w:szCs w:val="18"/>
              </w:rPr>
              <w:t>5,531,417</w:t>
            </w:r>
          </w:p>
        </w:tc>
        <w:tc>
          <w:tcPr>
            <w:tcW w:w="1000" w:type="dxa"/>
            <w:gridSpan w:val="3"/>
            <w:vAlign w:val="bottom"/>
          </w:tcPr>
          <w:p w14:paraId="5C94FE63" w14:textId="77777777" w:rsidR="00D1587D" w:rsidRDefault="00410D07">
            <w:pPr>
              <w:jc w:val="right"/>
              <w:rPr>
                <w:sz w:val="20"/>
                <w:szCs w:val="20"/>
              </w:rPr>
            </w:pPr>
            <w:r>
              <w:rPr>
                <w:rFonts w:ascii="Arial" w:eastAsia="Arial" w:hAnsi="Arial" w:cs="Arial"/>
                <w:sz w:val="18"/>
                <w:szCs w:val="18"/>
              </w:rPr>
              <w:t>5,531,417</w:t>
            </w:r>
          </w:p>
        </w:tc>
        <w:tc>
          <w:tcPr>
            <w:tcW w:w="180" w:type="dxa"/>
            <w:vAlign w:val="bottom"/>
          </w:tcPr>
          <w:p w14:paraId="5AEFF760" w14:textId="77777777" w:rsidR="00D1587D" w:rsidRDefault="00D1587D">
            <w:pPr>
              <w:rPr>
                <w:sz w:val="24"/>
                <w:szCs w:val="24"/>
              </w:rPr>
            </w:pPr>
          </w:p>
        </w:tc>
        <w:tc>
          <w:tcPr>
            <w:tcW w:w="780" w:type="dxa"/>
            <w:gridSpan w:val="2"/>
            <w:vAlign w:val="bottom"/>
          </w:tcPr>
          <w:p w14:paraId="42F20ECB" w14:textId="77777777" w:rsidR="00D1587D" w:rsidRDefault="00410D07">
            <w:pPr>
              <w:jc w:val="right"/>
              <w:rPr>
                <w:sz w:val="20"/>
                <w:szCs w:val="20"/>
              </w:rPr>
            </w:pPr>
            <w:r>
              <w:rPr>
                <w:rFonts w:ascii="Arial" w:eastAsia="Arial" w:hAnsi="Arial" w:cs="Arial"/>
                <w:sz w:val="18"/>
                <w:szCs w:val="18"/>
              </w:rPr>
              <w:t>306,352</w:t>
            </w:r>
          </w:p>
        </w:tc>
        <w:tc>
          <w:tcPr>
            <w:tcW w:w="0" w:type="dxa"/>
            <w:vAlign w:val="bottom"/>
          </w:tcPr>
          <w:p w14:paraId="5B2E5152" w14:textId="77777777" w:rsidR="00D1587D" w:rsidRDefault="00D1587D">
            <w:pPr>
              <w:rPr>
                <w:sz w:val="1"/>
                <w:szCs w:val="1"/>
              </w:rPr>
            </w:pPr>
          </w:p>
        </w:tc>
      </w:tr>
      <w:tr w:rsidR="00D1587D" w14:paraId="3F426B99" w14:textId="77777777">
        <w:trPr>
          <w:trHeight w:val="324"/>
        </w:trPr>
        <w:tc>
          <w:tcPr>
            <w:tcW w:w="2360" w:type="dxa"/>
            <w:gridSpan w:val="3"/>
            <w:shd w:val="clear" w:color="auto" w:fill="CCEEFF"/>
            <w:vAlign w:val="bottom"/>
          </w:tcPr>
          <w:p w14:paraId="661388A0" w14:textId="77777777" w:rsidR="00D1587D" w:rsidRDefault="00410D07">
            <w:pPr>
              <w:spacing w:line="324" w:lineRule="exact"/>
              <w:rPr>
                <w:sz w:val="20"/>
                <w:szCs w:val="20"/>
              </w:rPr>
            </w:pPr>
            <w:r>
              <w:rPr>
                <w:rFonts w:ascii="Arial" w:eastAsia="Arial" w:hAnsi="Arial" w:cs="Arial"/>
                <w:sz w:val="18"/>
                <w:szCs w:val="18"/>
              </w:rPr>
              <w:t>Benefits and Perquisites</w:t>
            </w:r>
            <w:r>
              <w:rPr>
                <w:rFonts w:ascii="Arial" w:eastAsia="Arial" w:hAnsi="Arial" w:cs="Arial"/>
                <w:sz w:val="29"/>
                <w:szCs w:val="29"/>
                <w:vertAlign w:val="superscript"/>
              </w:rPr>
              <w:t>(5)</w:t>
            </w:r>
          </w:p>
        </w:tc>
        <w:tc>
          <w:tcPr>
            <w:tcW w:w="900" w:type="dxa"/>
            <w:gridSpan w:val="2"/>
            <w:shd w:val="clear" w:color="auto" w:fill="CCEEFF"/>
            <w:vAlign w:val="bottom"/>
          </w:tcPr>
          <w:p w14:paraId="166D49C1" w14:textId="77777777" w:rsidR="00D1587D" w:rsidRDefault="00410D07">
            <w:pPr>
              <w:ind w:right="40"/>
              <w:jc w:val="right"/>
              <w:rPr>
                <w:sz w:val="20"/>
                <w:szCs w:val="20"/>
              </w:rPr>
            </w:pPr>
            <w:r>
              <w:rPr>
                <w:rFonts w:ascii="Arial" w:eastAsia="Arial" w:hAnsi="Arial" w:cs="Arial"/>
                <w:sz w:val="18"/>
                <w:szCs w:val="18"/>
              </w:rPr>
              <w:t>30,974</w:t>
            </w:r>
          </w:p>
        </w:tc>
        <w:tc>
          <w:tcPr>
            <w:tcW w:w="120" w:type="dxa"/>
            <w:shd w:val="clear" w:color="auto" w:fill="CCEEFF"/>
            <w:vAlign w:val="bottom"/>
          </w:tcPr>
          <w:p w14:paraId="79B32C9A" w14:textId="77777777" w:rsidR="00D1587D" w:rsidRDefault="00D1587D">
            <w:pPr>
              <w:rPr>
                <w:sz w:val="24"/>
                <w:szCs w:val="24"/>
              </w:rPr>
            </w:pPr>
          </w:p>
        </w:tc>
        <w:tc>
          <w:tcPr>
            <w:tcW w:w="960" w:type="dxa"/>
            <w:gridSpan w:val="2"/>
            <w:shd w:val="clear" w:color="auto" w:fill="CCEEFF"/>
            <w:vAlign w:val="bottom"/>
          </w:tcPr>
          <w:p w14:paraId="69C318B0" w14:textId="77777777" w:rsidR="00D1587D" w:rsidRDefault="00410D07">
            <w:pPr>
              <w:jc w:val="right"/>
              <w:rPr>
                <w:sz w:val="20"/>
                <w:szCs w:val="20"/>
              </w:rPr>
            </w:pPr>
            <w:r>
              <w:rPr>
                <w:rFonts w:ascii="Arial" w:eastAsia="Arial" w:hAnsi="Arial" w:cs="Arial"/>
                <w:sz w:val="18"/>
                <w:szCs w:val="18"/>
              </w:rPr>
              <w:t>37,717</w:t>
            </w:r>
          </w:p>
        </w:tc>
        <w:tc>
          <w:tcPr>
            <w:tcW w:w="180" w:type="dxa"/>
            <w:shd w:val="clear" w:color="auto" w:fill="CCEEFF"/>
            <w:vAlign w:val="bottom"/>
          </w:tcPr>
          <w:p w14:paraId="7C9704CE" w14:textId="77777777" w:rsidR="00D1587D" w:rsidRDefault="00D1587D">
            <w:pPr>
              <w:rPr>
                <w:sz w:val="24"/>
                <w:szCs w:val="24"/>
              </w:rPr>
            </w:pPr>
          </w:p>
        </w:tc>
        <w:tc>
          <w:tcPr>
            <w:tcW w:w="940" w:type="dxa"/>
            <w:shd w:val="clear" w:color="auto" w:fill="CCEEFF"/>
            <w:vAlign w:val="bottom"/>
          </w:tcPr>
          <w:p w14:paraId="48A0501E" w14:textId="77777777" w:rsidR="00D1587D" w:rsidRDefault="00410D07">
            <w:pPr>
              <w:jc w:val="right"/>
              <w:rPr>
                <w:sz w:val="20"/>
                <w:szCs w:val="20"/>
              </w:rPr>
            </w:pPr>
            <w:r>
              <w:rPr>
                <w:rFonts w:ascii="Arial" w:eastAsia="Arial" w:hAnsi="Arial" w:cs="Arial"/>
                <w:sz w:val="18"/>
                <w:szCs w:val="18"/>
              </w:rPr>
              <w:t>37,717</w:t>
            </w:r>
          </w:p>
        </w:tc>
        <w:tc>
          <w:tcPr>
            <w:tcW w:w="1000" w:type="dxa"/>
            <w:gridSpan w:val="3"/>
            <w:shd w:val="clear" w:color="auto" w:fill="CCEEFF"/>
            <w:vAlign w:val="bottom"/>
          </w:tcPr>
          <w:p w14:paraId="492E5D59" w14:textId="77777777" w:rsidR="00D1587D" w:rsidRDefault="00410D07">
            <w:pPr>
              <w:jc w:val="right"/>
              <w:rPr>
                <w:sz w:val="20"/>
                <w:szCs w:val="20"/>
              </w:rPr>
            </w:pPr>
            <w:r>
              <w:rPr>
                <w:rFonts w:ascii="Arial" w:eastAsia="Arial" w:hAnsi="Arial" w:cs="Arial"/>
                <w:sz w:val="18"/>
                <w:szCs w:val="18"/>
              </w:rPr>
              <w:t>2,017,488</w:t>
            </w:r>
          </w:p>
        </w:tc>
        <w:tc>
          <w:tcPr>
            <w:tcW w:w="180" w:type="dxa"/>
            <w:shd w:val="clear" w:color="auto" w:fill="CCEEFF"/>
            <w:vAlign w:val="bottom"/>
          </w:tcPr>
          <w:p w14:paraId="12BFFFFE" w14:textId="77777777" w:rsidR="00D1587D" w:rsidRDefault="00D1587D">
            <w:pPr>
              <w:rPr>
                <w:sz w:val="24"/>
                <w:szCs w:val="24"/>
              </w:rPr>
            </w:pPr>
          </w:p>
        </w:tc>
        <w:tc>
          <w:tcPr>
            <w:tcW w:w="100" w:type="dxa"/>
            <w:shd w:val="clear" w:color="auto" w:fill="CCEEFF"/>
            <w:vAlign w:val="bottom"/>
          </w:tcPr>
          <w:p w14:paraId="6ACC72E3" w14:textId="77777777" w:rsidR="00D1587D" w:rsidRDefault="00D1587D">
            <w:pPr>
              <w:rPr>
                <w:sz w:val="24"/>
                <w:szCs w:val="24"/>
              </w:rPr>
            </w:pPr>
          </w:p>
        </w:tc>
        <w:tc>
          <w:tcPr>
            <w:tcW w:w="720" w:type="dxa"/>
            <w:shd w:val="clear" w:color="auto" w:fill="CCEEFF"/>
            <w:vAlign w:val="bottom"/>
          </w:tcPr>
          <w:p w14:paraId="40605079" w14:textId="77777777" w:rsidR="00D1587D" w:rsidRDefault="00410D07">
            <w:pPr>
              <w:jc w:val="right"/>
              <w:rPr>
                <w:sz w:val="20"/>
                <w:szCs w:val="20"/>
              </w:rPr>
            </w:pPr>
            <w:r>
              <w:rPr>
                <w:rFonts w:ascii="Arial" w:eastAsia="Arial" w:hAnsi="Arial" w:cs="Arial"/>
                <w:sz w:val="18"/>
                <w:szCs w:val="18"/>
              </w:rPr>
              <w:t>545,860</w:t>
            </w:r>
          </w:p>
        </w:tc>
        <w:tc>
          <w:tcPr>
            <w:tcW w:w="180" w:type="dxa"/>
            <w:shd w:val="clear" w:color="auto" w:fill="CCEEFF"/>
            <w:vAlign w:val="bottom"/>
          </w:tcPr>
          <w:p w14:paraId="49FBFBE9" w14:textId="77777777" w:rsidR="00D1587D" w:rsidRDefault="00D1587D">
            <w:pPr>
              <w:rPr>
                <w:sz w:val="24"/>
                <w:szCs w:val="24"/>
              </w:rPr>
            </w:pPr>
          </w:p>
        </w:tc>
        <w:tc>
          <w:tcPr>
            <w:tcW w:w="780" w:type="dxa"/>
            <w:gridSpan w:val="2"/>
            <w:shd w:val="clear" w:color="auto" w:fill="CCEEFF"/>
            <w:vAlign w:val="bottom"/>
          </w:tcPr>
          <w:p w14:paraId="62FBFE32" w14:textId="77777777" w:rsidR="00D1587D" w:rsidRDefault="00410D07">
            <w:pPr>
              <w:jc w:val="right"/>
              <w:rPr>
                <w:sz w:val="20"/>
                <w:szCs w:val="20"/>
              </w:rPr>
            </w:pPr>
            <w:r>
              <w:rPr>
                <w:rFonts w:ascii="Arial" w:eastAsia="Arial" w:hAnsi="Arial" w:cs="Arial"/>
                <w:sz w:val="18"/>
                <w:szCs w:val="18"/>
              </w:rPr>
              <w:t>17,488</w:t>
            </w:r>
          </w:p>
        </w:tc>
        <w:tc>
          <w:tcPr>
            <w:tcW w:w="0" w:type="dxa"/>
            <w:vAlign w:val="bottom"/>
          </w:tcPr>
          <w:p w14:paraId="7853BB39" w14:textId="77777777" w:rsidR="00D1587D" w:rsidRDefault="00D1587D">
            <w:pPr>
              <w:rPr>
                <w:sz w:val="1"/>
                <w:szCs w:val="1"/>
              </w:rPr>
            </w:pPr>
          </w:p>
        </w:tc>
      </w:tr>
      <w:tr w:rsidR="00D1587D" w14:paraId="7881CDCE" w14:textId="77777777">
        <w:trPr>
          <w:trHeight w:val="270"/>
        </w:trPr>
        <w:tc>
          <w:tcPr>
            <w:tcW w:w="2360" w:type="dxa"/>
            <w:gridSpan w:val="3"/>
            <w:vAlign w:val="bottom"/>
          </w:tcPr>
          <w:p w14:paraId="7226AA04" w14:textId="77777777" w:rsidR="00D1587D" w:rsidRDefault="00410D07">
            <w:pPr>
              <w:rPr>
                <w:sz w:val="20"/>
                <w:szCs w:val="20"/>
              </w:rPr>
            </w:pPr>
            <w:r>
              <w:rPr>
                <w:rFonts w:ascii="Arial" w:eastAsia="Arial" w:hAnsi="Arial" w:cs="Arial"/>
                <w:sz w:val="18"/>
                <w:szCs w:val="18"/>
              </w:rPr>
              <w:t>Tax Gross-Up</w:t>
            </w:r>
          </w:p>
        </w:tc>
        <w:tc>
          <w:tcPr>
            <w:tcW w:w="1020" w:type="dxa"/>
            <w:gridSpan w:val="3"/>
            <w:vAlign w:val="bottom"/>
          </w:tcPr>
          <w:p w14:paraId="505548B3" w14:textId="77777777" w:rsidR="00D1587D" w:rsidRDefault="00410D07">
            <w:pPr>
              <w:ind w:left="560"/>
              <w:rPr>
                <w:sz w:val="20"/>
                <w:szCs w:val="20"/>
              </w:rPr>
            </w:pPr>
            <w:r>
              <w:rPr>
                <w:rFonts w:ascii="Arial" w:eastAsia="Arial" w:hAnsi="Arial" w:cs="Arial"/>
                <w:sz w:val="18"/>
                <w:szCs w:val="18"/>
              </w:rPr>
              <w:t>N/A</w:t>
            </w:r>
          </w:p>
        </w:tc>
        <w:tc>
          <w:tcPr>
            <w:tcW w:w="60" w:type="dxa"/>
            <w:vAlign w:val="bottom"/>
          </w:tcPr>
          <w:p w14:paraId="72D2CE92" w14:textId="77777777" w:rsidR="00D1587D" w:rsidRDefault="00D1587D">
            <w:pPr>
              <w:rPr>
                <w:sz w:val="23"/>
                <w:szCs w:val="23"/>
              </w:rPr>
            </w:pPr>
          </w:p>
        </w:tc>
        <w:tc>
          <w:tcPr>
            <w:tcW w:w="1080" w:type="dxa"/>
            <w:gridSpan w:val="2"/>
            <w:vAlign w:val="bottom"/>
          </w:tcPr>
          <w:p w14:paraId="1C4BA530" w14:textId="77777777" w:rsidR="00D1587D" w:rsidRDefault="00410D07">
            <w:pPr>
              <w:ind w:left="560"/>
              <w:rPr>
                <w:sz w:val="20"/>
                <w:szCs w:val="20"/>
              </w:rPr>
            </w:pPr>
            <w:r>
              <w:rPr>
                <w:rFonts w:ascii="Arial" w:eastAsia="Arial" w:hAnsi="Arial" w:cs="Arial"/>
                <w:sz w:val="18"/>
                <w:szCs w:val="18"/>
              </w:rPr>
              <w:t>N/A</w:t>
            </w:r>
          </w:p>
        </w:tc>
        <w:tc>
          <w:tcPr>
            <w:tcW w:w="940" w:type="dxa"/>
            <w:vAlign w:val="bottom"/>
          </w:tcPr>
          <w:p w14:paraId="1D0CD684"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108E42A6" w14:textId="77777777" w:rsidR="00D1587D" w:rsidRDefault="00D1587D">
            <w:pPr>
              <w:rPr>
                <w:sz w:val="23"/>
                <w:szCs w:val="23"/>
              </w:rPr>
            </w:pPr>
          </w:p>
        </w:tc>
        <w:tc>
          <w:tcPr>
            <w:tcW w:w="160" w:type="dxa"/>
            <w:vAlign w:val="bottom"/>
          </w:tcPr>
          <w:p w14:paraId="3C9F92BA" w14:textId="77777777" w:rsidR="00D1587D" w:rsidRDefault="00D1587D">
            <w:pPr>
              <w:rPr>
                <w:sz w:val="23"/>
                <w:szCs w:val="23"/>
              </w:rPr>
            </w:pPr>
          </w:p>
        </w:tc>
        <w:tc>
          <w:tcPr>
            <w:tcW w:w="660" w:type="dxa"/>
            <w:vAlign w:val="bottom"/>
          </w:tcPr>
          <w:p w14:paraId="50CCBACB" w14:textId="77777777" w:rsidR="00D1587D" w:rsidRDefault="00410D07">
            <w:pPr>
              <w:jc w:val="right"/>
              <w:rPr>
                <w:sz w:val="20"/>
                <w:szCs w:val="20"/>
              </w:rPr>
            </w:pPr>
            <w:r>
              <w:rPr>
                <w:rFonts w:ascii="Arial" w:eastAsia="Arial" w:hAnsi="Arial" w:cs="Arial"/>
                <w:sz w:val="18"/>
                <w:szCs w:val="18"/>
              </w:rPr>
              <w:t>N/A</w:t>
            </w:r>
          </w:p>
        </w:tc>
        <w:tc>
          <w:tcPr>
            <w:tcW w:w="180" w:type="dxa"/>
            <w:vAlign w:val="bottom"/>
          </w:tcPr>
          <w:p w14:paraId="5926D3B0" w14:textId="77777777" w:rsidR="00D1587D" w:rsidRDefault="00D1587D">
            <w:pPr>
              <w:rPr>
                <w:sz w:val="23"/>
                <w:szCs w:val="23"/>
              </w:rPr>
            </w:pPr>
          </w:p>
        </w:tc>
        <w:tc>
          <w:tcPr>
            <w:tcW w:w="100" w:type="dxa"/>
            <w:vAlign w:val="bottom"/>
          </w:tcPr>
          <w:p w14:paraId="4193EDE4" w14:textId="77777777" w:rsidR="00D1587D" w:rsidRDefault="00D1587D">
            <w:pPr>
              <w:rPr>
                <w:sz w:val="23"/>
                <w:szCs w:val="23"/>
              </w:rPr>
            </w:pPr>
          </w:p>
        </w:tc>
        <w:tc>
          <w:tcPr>
            <w:tcW w:w="900" w:type="dxa"/>
            <w:gridSpan w:val="2"/>
            <w:vAlign w:val="bottom"/>
          </w:tcPr>
          <w:p w14:paraId="631A0D55" w14:textId="77777777" w:rsidR="00D1587D" w:rsidRDefault="00410D07">
            <w:pPr>
              <w:ind w:left="400"/>
              <w:rPr>
                <w:sz w:val="20"/>
                <w:szCs w:val="20"/>
              </w:rPr>
            </w:pPr>
            <w:r>
              <w:rPr>
                <w:rFonts w:ascii="Arial" w:eastAsia="Arial" w:hAnsi="Arial" w:cs="Arial"/>
                <w:sz w:val="18"/>
                <w:szCs w:val="18"/>
              </w:rPr>
              <w:t>N/A</w:t>
            </w:r>
          </w:p>
        </w:tc>
        <w:tc>
          <w:tcPr>
            <w:tcW w:w="300" w:type="dxa"/>
            <w:vAlign w:val="bottom"/>
          </w:tcPr>
          <w:p w14:paraId="797E56FC" w14:textId="77777777" w:rsidR="00D1587D" w:rsidRDefault="00D1587D">
            <w:pPr>
              <w:rPr>
                <w:sz w:val="23"/>
                <w:szCs w:val="23"/>
              </w:rPr>
            </w:pPr>
          </w:p>
        </w:tc>
        <w:tc>
          <w:tcPr>
            <w:tcW w:w="480" w:type="dxa"/>
            <w:vAlign w:val="bottom"/>
          </w:tcPr>
          <w:p w14:paraId="7EDBEAF8" w14:textId="77777777" w:rsidR="00D1587D" w:rsidRDefault="00410D07">
            <w:pPr>
              <w:jc w:val="right"/>
              <w:rPr>
                <w:sz w:val="20"/>
                <w:szCs w:val="20"/>
              </w:rPr>
            </w:pPr>
            <w:r>
              <w:rPr>
                <w:rFonts w:ascii="Arial" w:eastAsia="Arial" w:hAnsi="Arial" w:cs="Arial"/>
                <w:sz w:val="18"/>
                <w:szCs w:val="18"/>
              </w:rPr>
              <w:t>N/A</w:t>
            </w:r>
          </w:p>
        </w:tc>
        <w:tc>
          <w:tcPr>
            <w:tcW w:w="0" w:type="dxa"/>
            <w:vAlign w:val="bottom"/>
          </w:tcPr>
          <w:p w14:paraId="55D21BD0" w14:textId="77777777" w:rsidR="00D1587D" w:rsidRDefault="00D1587D">
            <w:pPr>
              <w:rPr>
                <w:sz w:val="1"/>
                <w:szCs w:val="1"/>
              </w:rPr>
            </w:pPr>
          </w:p>
        </w:tc>
      </w:tr>
      <w:tr w:rsidR="00D1587D" w14:paraId="1A7A74EF" w14:textId="77777777">
        <w:trPr>
          <w:trHeight w:val="68"/>
        </w:trPr>
        <w:tc>
          <w:tcPr>
            <w:tcW w:w="1280" w:type="dxa"/>
            <w:tcBorders>
              <w:bottom w:val="single" w:sz="8" w:space="0" w:color="CCEEFF"/>
            </w:tcBorders>
            <w:vAlign w:val="bottom"/>
          </w:tcPr>
          <w:p w14:paraId="26C15079" w14:textId="77777777" w:rsidR="00D1587D" w:rsidRDefault="00D1587D">
            <w:pPr>
              <w:rPr>
                <w:sz w:val="5"/>
                <w:szCs w:val="5"/>
              </w:rPr>
            </w:pPr>
          </w:p>
        </w:tc>
        <w:tc>
          <w:tcPr>
            <w:tcW w:w="1080" w:type="dxa"/>
            <w:gridSpan w:val="2"/>
            <w:tcBorders>
              <w:bottom w:val="single" w:sz="8" w:space="0" w:color="CCEEFF"/>
            </w:tcBorders>
            <w:vAlign w:val="bottom"/>
          </w:tcPr>
          <w:p w14:paraId="6138F684" w14:textId="77777777" w:rsidR="00D1587D" w:rsidRDefault="00D1587D">
            <w:pPr>
              <w:rPr>
                <w:sz w:val="5"/>
                <w:szCs w:val="5"/>
              </w:rPr>
            </w:pPr>
          </w:p>
        </w:tc>
        <w:tc>
          <w:tcPr>
            <w:tcW w:w="900" w:type="dxa"/>
            <w:gridSpan w:val="2"/>
            <w:tcBorders>
              <w:bottom w:val="single" w:sz="8" w:space="0" w:color="auto"/>
            </w:tcBorders>
            <w:vAlign w:val="bottom"/>
          </w:tcPr>
          <w:p w14:paraId="61560782" w14:textId="77777777" w:rsidR="00D1587D" w:rsidRDefault="00D1587D">
            <w:pPr>
              <w:rPr>
                <w:sz w:val="5"/>
                <w:szCs w:val="5"/>
              </w:rPr>
            </w:pPr>
          </w:p>
        </w:tc>
        <w:tc>
          <w:tcPr>
            <w:tcW w:w="120" w:type="dxa"/>
            <w:tcBorders>
              <w:bottom w:val="single" w:sz="8" w:space="0" w:color="CCEEFF"/>
            </w:tcBorders>
            <w:vAlign w:val="bottom"/>
          </w:tcPr>
          <w:p w14:paraId="3C6AF319" w14:textId="77777777" w:rsidR="00D1587D" w:rsidRDefault="00D1587D">
            <w:pPr>
              <w:rPr>
                <w:sz w:val="5"/>
                <w:szCs w:val="5"/>
              </w:rPr>
            </w:pPr>
          </w:p>
        </w:tc>
        <w:tc>
          <w:tcPr>
            <w:tcW w:w="60" w:type="dxa"/>
            <w:tcBorders>
              <w:bottom w:val="single" w:sz="8" w:space="0" w:color="CCEEFF"/>
            </w:tcBorders>
            <w:vAlign w:val="bottom"/>
          </w:tcPr>
          <w:p w14:paraId="6DFCDCFF" w14:textId="77777777" w:rsidR="00D1587D" w:rsidRDefault="00D1587D">
            <w:pPr>
              <w:rPr>
                <w:sz w:val="5"/>
                <w:szCs w:val="5"/>
              </w:rPr>
            </w:pPr>
          </w:p>
        </w:tc>
        <w:tc>
          <w:tcPr>
            <w:tcW w:w="900" w:type="dxa"/>
            <w:tcBorders>
              <w:bottom w:val="single" w:sz="8" w:space="0" w:color="auto"/>
            </w:tcBorders>
            <w:vAlign w:val="bottom"/>
          </w:tcPr>
          <w:p w14:paraId="18B71774" w14:textId="77777777" w:rsidR="00D1587D" w:rsidRDefault="00D1587D">
            <w:pPr>
              <w:rPr>
                <w:sz w:val="5"/>
                <w:szCs w:val="5"/>
              </w:rPr>
            </w:pPr>
          </w:p>
        </w:tc>
        <w:tc>
          <w:tcPr>
            <w:tcW w:w="180" w:type="dxa"/>
            <w:tcBorders>
              <w:bottom w:val="single" w:sz="8" w:space="0" w:color="CCEEFF"/>
            </w:tcBorders>
            <w:vAlign w:val="bottom"/>
          </w:tcPr>
          <w:p w14:paraId="430B7783" w14:textId="77777777" w:rsidR="00D1587D" w:rsidRDefault="00D1587D">
            <w:pPr>
              <w:rPr>
                <w:sz w:val="5"/>
                <w:szCs w:val="5"/>
              </w:rPr>
            </w:pPr>
          </w:p>
        </w:tc>
        <w:tc>
          <w:tcPr>
            <w:tcW w:w="940" w:type="dxa"/>
            <w:tcBorders>
              <w:bottom w:val="single" w:sz="8" w:space="0" w:color="auto"/>
            </w:tcBorders>
            <w:vAlign w:val="bottom"/>
          </w:tcPr>
          <w:p w14:paraId="29F4A32D" w14:textId="77777777" w:rsidR="00D1587D" w:rsidRDefault="00D1587D">
            <w:pPr>
              <w:rPr>
                <w:sz w:val="5"/>
                <w:szCs w:val="5"/>
              </w:rPr>
            </w:pPr>
          </w:p>
        </w:tc>
        <w:tc>
          <w:tcPr>
            <w:tcW w:w="180" w:type="dxa"/>
            <w:tcBorders>
              <w:bottom w:val="single" w:sz="8" w:space="0" w:color="CCEEFF"/>
            </w:tcBorders>
            <w:vAlign w:val="bottom"/>
          </w:tcPr>
          <w:p w14:paraId="2924ACDF" w14:textId="77777777" w:rsidR="00D1587D" w:rsidRDefault="00D1587D">
            <w:pPr>
              <w:rPr>
                <w:sz w:val="5"/>
                <w:szCs w:val="5"/>
              </w:rPr>
            </w:pPr>
          </w:p>
        </w:tc>
        <w:tc>
          <w:tcPr>
            <w:tcW w:w="820" w:type="dxa"/>
            <w:gridSpan w:val="2"/>
            <w:tcBorders>
              <w:bottom w:val="single" w:sz="8" w:space="0" w:color="auto"/>
            </w:tcBorders>
            <w:vAlign w:val="bottom"/>
          </w:tcPr>
          <w:p w14:paraId="7F08B156" w14:textId="77777777" w:rsidR="00D1587D" w:rsidRDefault="00D1587D">
            <w:pPr>
              <w:rPr>
                <w:sz w:val="5"/>
                <w:szCs w:val="5"/>
              </w:rPr>
            </w:pPr>
          </w:p>
        </w:tc>
        <w:tc>
          <w:tcPr>
            <w:tcW w:w="180" w:type="dxa"/>
            <w:tcBorders>
              <w:bottom w:val="single" w:sz="8" w:space="0" w:color="CCEEFF"/>
            </w:tcBorders>
            <w:vAlign w:val="bottom"/>
          </w:tcPr>
          <w:p w14:paraId="0B8837A4" w14:textId="77777777" w:rsidR="00D1587D" w:rsidRDefault="00D1587D">
            <w:pPr>
              <w:rPr>
                <w:sz w:val="5"/>
                <w:szCs w:val="5"/>
              </w:rPr>
            </w:pPr>
          </w:p>
        </w:tc>
        <w:tc>
          <w:tcPr>
            <w:tcW w:w="820" w:type="dxa"/>
            <w:gridSpan w:val="2"/>
            <w:tcBorders>
              <w:bottom w:val="single" w:sz="8" w:space="0" w:color="auto"/>
            </w:tcBorders>
            <w:vAlign w:val="bottom"/>
          </w:tcPr>
          <w:p w14:paraId="03CB4AC0" w14:textId="77777777" w:rsidR="00D1587D" w:rsidRDefault="00D1587D">
            <w:pPr>
              <w:rPr>
                <w:sz w:val="5"/>
                <w:szCs w:val="5"/>
              </w:rPr>
            </w:pPr>
          </w:p>
        </w:tc>
        <w:tc>
          <w:tcPr>
            <w:tcW w:w="180" w:type="dxa"/>
            <w:tcBorders>
              <w:bottom w:val="single" w:sz="8" w:space="0" w:color="CCEEFF"/>
            </w:tcBorders>
            <w:vAlign w:val="bottom"/>
          </w:tcPr>
          <w:p w14:paraId="28FF55C2" w14:textId="77777777" w:rsidR="00D1587D" w:rsidRDefault="00D1587D">
            <w:pPr>
              <w:rPr>
                <w:sz w:val="5"/>
                <w:szCs w:val="5"/>
              </w:rPr>
            </w:pPr>
          </w:p>
        </w:tc>
        <w:tc>
          <w:tcPr>
            <w:tcW w:w="780" w:type="dxa"/>
            <w:gridSpan w:val="2"/>
            <w:tcBorders>
              <w:bottom w:val="single" w:sz="8" w:space="0" w:color="auto"/>
            </w:tcBorders>
            <w:vAlign w:val="bottom"/>
          </w:tcPr>
          <w:p w14:paraId="6689BB2E" w14:textId="77777777" w:rsidR="00D1587D" w:rsidRDefault="00D1587D">
            <w:pPr>
              <w:rPr>
                <w:sz w:val="5"/>
                <w:szCs w:val="5"/>
              </w:rPr>
            </w:pPr>
          </w:p>
        </w:tc>
        <w:tc>
          <w:tcPr>
            <w:tcW w:w="0" w:type="dxa"/>
            <w:vAlign w:val="bottom"/>
          </w:tcPr>
          <w:p w14:paraId="4CDECD65" w14:textId="77777777" w:rsidR="00D1587D" w:rsidRDefault="00D1587D">
            <w:pPr>
              <w:rPr>
                <w:sz w:val="1"/>
                <w:szCs w:val="1"/>
              </w:rPr>
            </w:pPr>
          </w:p>
        </w:tc>
      </w:tr>
      <w:tr w:rsidR="00D1587D" w14:paraId="7EB6CB87" w14:textId="77777777">
        <w:trPr>
          <w:trHeight w:val="396"/>
        </w:trPr>
        <w:tc>
          <w:tcPr>
            <w:tcW w:w="2360" w:type="dxa"/>
            <w:gridSpan w:val="3"/>
            <w:tcBorders>
              <w:bottom w:val="single" w:sz="8" w:space="0" w:color="CCEEFF"/>
            </w:tcBorders>
            <w:shd w:val="clear" w:color="auto" w:fill="CCEEFF"/>
            <w:vAlign w:val="bottom"/>
          </w:tcPr>
          <w:p w14:paraId="66E4B51C" w14:textId="77777777" w:rsidR="00D1587D" w:rsidRDefault="00410D07">
            <w:pPr>
              <w:rPr>
                <w:sz w:val="20"/>
                <w:szCs w:val="20"/>
              </w:rPr>
            </w:pPr>
            <w:r>
              <w:rPr>
                <w:rFonts w:ascii="Arial" w:eastAsia="Arial" w:hAnsi="Arial" w:cs="Arial"/>
                <w:sz w:val="18"/>
                <w:szCs w:val="18"/>
              </w:rPr>
              <w:t>Total</w:t>
            </w:r>
          </w:p>
        </w:tc>
        <w:tc>
          <w:tcPr>
            <w:tcW w:w="900" w:type="dxa"/>
            <w:gridSpan w:val="2"/>
            <w:tcBorders>
              <w:bottom w:val="single" w:sz="8" w:space="0" w:color="CCEEFF"/>
            </w:tcBorders>
            <w:shd w:val="clear" w:color="auto" w:fill="CCEEFF"/>
            <w:vAlign w:val="bottom"/>
          </w:tcPr>
          <w:p w14:paraId="6F04ED87" w14:textId="77777777" w:rsidR="00D1587D" w:rsidRDefault="00410D07">
            <w:pPr>
              <w:ind w:right="40"/>
              <w:jc w:val="right"/>
              <w:rPr>
                <w:sz w:val="20"/>
                <w:szCs w:val="20"/>
              </w:rPr>
            </w:pPr>
            <w:r>
              <w:rPr>
                <w:rFonts w:ascii="Arial" w:eastAsia="Arial" w:hAnsi="Arial" w:cs="Arial"/>
                <w:w w:val="93"/>
                <w:sz w:val="18"/>
                <w:szCs w:val="18"/>
              </w:rPr>
              <w:t>$1,230,974</w:t>
            </w:r>
          </w:p>
        </w:tc>
        <w:tc>
          <w:tcPr>
            <w:tcW w:w="120" w:type="dxa"/>
            <w:tcBorders>
              <w:bottom w:val="single" w:sz="8" w:space="0" w:color="CCEEFF"/>
            </w:tcBorders>
            <w:shd w:val="clear" w:color="auto" w:fill="CCEEFF"/>
            <w:vAlign w:val="bottom"/>
          </w:tcPr>
          <w:p w14:paraId="2B1945A3" w14:textId="77777777" w:rsidR="00D1587D" w:rsidRDefault="00D1587D">
            <w:pPr>
              <w:rPr>
                <w:sz w:val="24"/>
                <w:szCs w:val="24"/>
              </w:rPr>
            </w:pPr>
          </w:p>
        </w:tc>
        <w:tc>
          <w:tcPr>
            <w:tcW w:w="960" w:type="dxa"/>
            <w:gridSpan w:val="2"/>
            <w:tcBorders>
              <w:bottom w:val="single" w:sz="8" w:space="0" w:color="CCEEFF"/>
            </w:tcBorders>
            <w:shd w:val="clear" w:color="auto" w:fill="CCEEFF"/>
            <w:vAlign w:val="bottom"/>
          </w:tcPr>
          <w:p w14:paraId="03913FC8" w14:textId="77777777" w:rsidR="00D1587D" w:rsidRDefault="00410D07">
            <w:pPr>
              <w:jc w:val="right"/>
              <w:rPr>
                <w:sz w:val="20"/>
                <w:szCs w:val="20"/>
              </w:rPr>
            </w:pPr>
            <w:r>
              <w:rPr>
                <w:rFonts w:ascii="Arial" w:eastAsia="Arial" w:hAnsi="Arial" w:cs="Arial"/>
                <w:w w:val="99"/>
                <w:sz w:val="18"/>
                <w:szCs w:val="18"/>
              </w:rPr>
              <w:t>$7,695,559</w:t>
            </w:r>
          </w:p>
        </w:tc>
        <w:tc>
          <w:tcPr>
            <w:tcW w:w="180" w:type="dxa"/>
            <w:tcBorders>
              <w:bottom w:val="single" w:sz="8" w:space="0" w:color="CCEEFF"/>
            </w:tcBorders>
            <w:shd w:val="clear" w:color="auto" w:fill="CCEEFF"/>
            <w:vAlign w:val="bottom"/>
          </w:tcPr>
          <w:p w14:paraId="76488CA8" w14:textId="77777777" w:rsidR="00D1587D" w:rsidRDefault="00D1587D">
            <w:pPr>
              <w:rPr>
                <w:sz w:val="24"/>
                <w:szCs w:val="24"/>
              </w:rPr>
            </w:pPr>
          </w:p>
        </w:tc>
        <w:tc>
          <w:tcPr>
            <w:tcW w:w="940" w:type="dxa"/>
            <w:tcBorders>
              <w:bottom w:val="single" w:sz="8" w:space="0" w:color="CCEEFF"/>
            </w:tcBorders>
            <w:shd w:val="clear" w:color="auto" w:fill="CCEEFF"/>
            <w:vAlign w:val="bottom"/>
          </w:tcPr>
          <w:p w14:paraId="5849014A" w14:textId="77777777" w:rsidR="00D1587D" w:rsidRDefault="00410D07">
            <w:pPr>
              <w:jc w:val="right"/>
              <w:rPr>
                <w:sz w:val="20"/>
                <w:szCs w:val="20"/>
              </w:rPr>
            </w:pPr>
            <w:r>
              <w:rPr>
                <w:rFonts w:ascii="Arial" w:eastAsia="Arial" w:hAnsi="Arial" w:cs="Arial"/>
                <w:w w:val="89"/>
                <w:sz w:val="18"/>
                <w:szCs w:val="18"/>
              </w:rPr>
              <w:t>$12,442,893</w:t>
            </w:r>
          </w:p>
        </w:tc>
        <w:tc>
          <w:tcPr>
            <w:tcW w:w="1000" w:type="dxa"/>
            <w:gridSpan w:val="3"/>
            <w:tcBorders>
              <w:bottom w:val="single" w:sz="8" w:space="0" w:color="CCEEFF"/>
            </w:tcBorders>
            <w:shd w:val="clear" w:color="auto" w:fill="CCEEFF"/>
            <w:vAlign w:val="bottom"/>
          </w:tcPr>
          <w:p w14:paraId="03C36242" w14:textId="77777777" w:rsidR="00D1587D" w:rsidRDefault="00410D07">
            <w:pPr>
              <w:jc w:val="right"/>
              <w:rPr>
                <w:sz w:val="20"/>
                <w:szCs w:val="20"/>
              </w:rPr>
            </w:pPr>
            <w:r>
              <w:rPr>
                <w:rFonts w:ascii="Arial" w:eastAsia="Arial" w:hAnsi="Arial" w:cs="Arial"/>
                <w:sz w:val="18"/>
                <w:szCs w:val="18"/>
              </w:rPr>
              <w:t>$7,898,144</w:t>
            </w:r>
          </w:p>
        </w:tc>
        <w:tc>
          <w:tcPr>
            <w:tcW w:w="1000" w:type="dxa"/>
            <w:gridSpan w:val="3"/>
            <w:tcBorders>
              <w:bottom w:val="single" w:sz="8" w:space="0" w:color="CCEEFF"/>
            </w:tcBorders>
            <w:shd w:val="clear" w:color="auto" w:fill="CCEEFF"/>
            <w:vAlign w:val="bottom"/>
          </w:tcPr>
          <w:p w14:paraId="799D2071" w14:textId="77777777" w:rsidR="00D1587D" w:rsidRDefault="00410D07">
            <w:pPr>
              <w:jc w:val="right"/>
              <w:rPr>
                <w:sz w:val="20"/>
                <w:szCs w:val="20"/>
              </w:rPr>
            </w:pPr>
            <w:r>
              <w:rPr>
                <w:rFonts w:ascii="Arial" w:eastAsia="Arial" w:hAnsi="Arial" w:cs="Arial"/>
                <w:sz w:val="18"/>
                <w:szCs w:val="18"/>
              </w:rPr>
              <w:t>$6,426,516</w:t>
            </w:r>
          </w:p>
        </w:tc>
        <w:tc>
          <w:tcPr>
            <w:tcW w:w="180" w:type="dxa"/>
            <w:tcBorders>
              <w:bottom w:val="single" w:sz="8" w:space="0" w:color="CCEEFF"/>
            </w:tcBorders>
            <w:shd w:val="clear" w:color="auto" w:fill="CCEEFF"/>
            <w:vAlign w:val="bottom"/>
          </w:tcPr>
          <w:p w14:paraId="1BF27E2C" w14:textId="77777777" w:rsidR="00D1587D" w:rsidRDefault="00D1587D">
            <w:pPr>
              <w:rPr>
                <w:sz w:val="24"/>
                <w:szCs w:val="24"/>
              </w:rPr>
            </w:pPr>
          </w:p>
        </w:tc>
        <w:tc>
          <w:tcPr>
            <w:tcW w:w="780" w:type="dxa"/>
            <w:gridSpan w:val="2"/>
            <w:tcBorders>
              <w:bottom w:val="single" w:sz="8" w:space="0" w:color="CCEEFF"/>
            </w:tcBorders>
            <w:shd w:val="clear" w:color="auto" w:fill="CCEEFF"/>
            <w:vAlign w:val="bottom"/>
          </w:tcPr>
          <w:p w14:paraId="40DF1FD9" w14:textId="77777777" w:rsidR="00D1587D" w:rsidRDefault="00410D07">
            <w:pPr>
              <w:jc w:val="right"/>
              <w:rPr>
                <w:sz w:val="20"/>
                <w:szCs w:val="20"/>
              </w:rPr>
            </w:pPr>
            <w:r>
              <w:rPr>
                <w:rFonts w:ascii="Arial" w:eastAsia="Arial" w:hAnsi="Arial" w:cs="Arial"/>
                <w:w w:val="93"/>
                <w:sz w:val="18"/>
                <w:szCs w:val="18"/>
              </w:rPr>
              <w:t>$323,840</w:t>
            </w:r>
          </w:p>
        </w:tc>
        <w:tc>
          <w:tcPr>
            <w:tcW w:w="0" w:type="dxa"/>
            <w:vAlign w:val="bottom"/>
          </w:tcPr>
          <w:p w14:paraId="4AD594B5" w14:textId="77777777" w:rsidR="00D1587D" w:rsidRDefault="00D1587D">
            <w:pPr>
              <w:rPr>
                <w:sz w:val="1"/>
                <w:szCs w:val="1"/>
              </w:rPr>
            </w:pPr>
          </w:p>
        </w:tc>
      </w:tr>
      <w:tr w:rsidR="00D1587D" w14:paraId="6FEC8460" w14:textId="77777777">
        <w:trPr>
          <w:trHeight w:val="123"/>
        </w:trPr>
        <w:tc>
          <w:tcPr>
            <w:tcW w:w="1280" w:type="dxa"/>
            <w:tcBorders>
              <w:top w:val="single" w:sz="8" w:space="0" w:color="CCEEFF"/>
              <w:bottom w:val="single" w:sz="8" w:space="0" w:color="auto"/>
            </w:tcBorders>
            <w:vAlign w:val="bottom"/>
          </w:tcPr>
          <w:p w14:paraId="45AAE9D6" w14:textId="77777777" w:rsidR="00D1587D" w:rsidRDefault="00D1587D">
            <w:pPr>
              <w:rPr>
                <w:sz w:val="10"/>
                <w:szCs w:val="10"/>
              </w:rPr>
            </w:pPr>
          </w:p>
        </w:tc>
        <w:tc>
          <w:tcPr>
            <w:tcW w:w="980" w:type="dxa"/>
            <w:tcBorders>
              <w:top w:val="single" w:sz="8" w:space="0" w:color="CCEEFF"/>
            </w:tcBorders>
            <w:vAlign w:val="bottom"/>
          </w:tcPr>
          <w:p w14:paraId="48D990E1" w14:textId="77777777" w:rsidR="00D1587D" w:rsidRDefault="00D1587D">
            <w:pPr>
              <w:rPr>
                <w:sz w:val="10"/>
                <w:szCs w:val="10"/>
              </w:rPr>
            </w:pPr>
          </w:p>
        </w:tc>
        <w:tc>
          <w:tcPr>
            <w:tcW w:w="100" w:type="dxa"/>
            <w:tcBorders>
              <w:top w:val="single" w:sz="8" w:space="0" w:color="CCEEFF"/>
            </w:tcBorders>
            <w:vAlign w:val="bottom"/>
          </w:tcPr>
          <w:p w14:paraId="5D97F548" w14:textId="77777777" w:rsidR="00D1587D" w:rsidRDefault="00D1587D">
            <w:pPr>
              <w:rPr>
                <w:sz w:val="10"/>
                <w:szCs w:val="10"/>
              </w:rPr>
            </w:pPr>
          </w:p>
        </w:tc>
        <w:tc>
          <w:tcPr>
            <w:tcW w:w="840" w:type="dxa"/>
            <w:tcBorders>
              <w:top w:val="single" w:sz="8" w:space="0" w:color="auto"/>
            </w:tcBorders>
            <w:vAlign w:val="bottom"/>
          </w:tcPr>
          <w:p w14:paraId="29A9BA6D" w14:textId="77777777" w:rsidR="00D1587D" w:rsidRDefault="00D1587D">
            <w:pPr>
              <w:rPr>
                <w:sz w:val="10"/>
                <w:szCs w:val="10"/>
              </w:rPr>
            </w:pPr>
          </w:p>
        </w:tc>
        <w:tc>
          <w:tcPr>
            <w:tcW w:w="60" w:type="dxa"/>
            <w:tcBorders>
              <w:top w:val="single" w:sz="8" w:space="0" w:color="auto"/>
            </w:tcBorders>
            <w:vAlign w:val="bottom"/>
          </w:tcPr>
          <w:p w14:paraId="6F61B752" w14:textId="77777777" w:rsidR="00D1587D" w:rsidRDefault="00D1587D">
            <w:pPr>
              <w:rPr>
                <w:sz w:val="10"/>
                <w:szCs w:val="10"/>
              </w:rPr>
            </w:pPr>
          </w:p>
        </w:tc>
        <w:tc>
          <w:tcPr>
            <w:tcW w:w="120" w:type="dxa"/>
            <w:tcBorders>
              <w:top w:val="single" w:sz="8" w:space="0" w:color="CCEEFF"/>
            </w:tcBorders>
            <w:vAlign w:val="bottom"/>
          </w:tcPr>
          <w:p w14:paraId="12C2A8D2" w14:textId="77777777" w:rsidR="00D1587D" w:rsidRDefault="00D1587D">
            <w:pPr>
              <w:rPr>
                <w:sz w:val="10"/>
                <w:szCs w:val="10"/>
              </w:rPr>
            </w:pPr>
          </w:p>
        </w:tc>
        <w:tc>
          <w:tcPr>
            <w:tcW w:w="60" w:type="dxa"/>
            <w:tcBorders>
              <w:top w:val="single" w:sz="8" w:space="0" w:color="CCEEFF"/>
            </w:tcBorders>
            <w:vAlign w:val="bottom"/>
          </w:tcPr>
          <w:p w14:paraId="50D346A5" w14:textId="77777777" w:rsidR="00D1587D" w:rsidRDefault="00D1587D">
            <w:pPr>
              <w:rPr>
                <w:sz w:val="10"/>
                <w:szCs w:val="10"/>
              </w:rPr>
            </w:pPr>
          </w:p>
        </w:tc>
        <w:tc>
          <w:tcPr>
            <w:tcW w:w="900" w:type="dxa"/>
            <w:tcBorders>
              <w:top w:val="single" w:sz="8" w:space="0" w:color="auto"/>
            </w:tcBorders>
            <w:vAlign w:val="bottom"/>
          </w:tcPr>
          <w:p w14:paraId="544A1749" w14:textId="77777777" w:rsidR="00D1587D" w:rsidRDefault="00D1587D">
            <w:pPr>
              <w:rPr>
                <w:sz w:val="10"/>
                <w:szCs w:val="10"/>
              </w:rPr>
            </w:pPr>
          </w:p>
        </w:tc>
        <w:tc>
          <w:tcPr>
            <w:tcW w:w="180" w:type="dxa"/>
            <w:tcBorders>
              <w:top w:val="single" w:sz="8" w:space="0" w:color="CCEEFF"/>
            </w:tcBorders>
            <w:vAlign w:val="bottom"/>
          </w:tcPr>
          <w:p w14:paraId="396C2236" w14:textId="77777777" w:rsidR="00D1587D" w:rsidRDefault="00D1587D">
            <w:pPr>
              <w:rPr>
                <w:sz w:val="10"/>
                <w:szCs w:val="10"/>
              </w:rPr>
            </w:pPr>
          </w:p>
        </w:tc>
        <w:tc>
          <w:tcPr>
            <w:tcW w:w="940" w:type="dxa"/>
            <w:tcBorders>
              <w:top w:val="single" w:sz="8" w:space="0" w:color="auto"/>
            </w:tcBorders>
            <w:vAlign w:val="bottom"/>
          </w:tcPr>
          <w:p w14:paraId="04695188" w14:textId="77777777" w:rsidR="00D1587D" w:rsidRDefault="00D1587D">
            <w:pPr>
              <w:rPr>
                <w:sz w:val="10"/>
                <w:szCs w:val="10"/>
              </w:rPr>
            </w:pPr>
          </w:p>
        </w:tc>
        <w:tc>
          <w:tcPr>
            <w:tcW w:w="180" w:type="dxa"/>
            <w:tcBorders>
              <w:top w:val="single" w:sz="8" w:space="0" w:color="CCEEFF"/>
            </w:tcBorders>
            <w:vAlign w:val="bottom"/>
          </w:tcPr>
          <w:p w14:paraId="57696EB3" w14:textId="77777777" w:rsidR="00D1587D" w:rsidRDefault="00D1587D">
            <w:pPr>
              <w:rPr>
                <w:sz w:val="10"/>
                <w:szCs w:val="10"/>
              </w:rPr>
            </w:pPr>
          </w:p>
        </w:tc>
        <w:tc>
          <w:tcPr>
            <w:tcW w:w="160" w:type="dxa"/>
            <w:tcBorders>
              <w:top w:val="single" w:sz="8" w:space="0" w:color="auto"/>
            </w:tcBorders>
            <w:vAlign w:val="bottom"/>
          </w:tcPr>
          <w:p w14:paraId="02C8ADE3" w14:textId="77777777" w:rsidR="00D1587D" w:rsidRDefault="00D1587D">
            <w:pPr>
              <w:rPr>
                <w:sz w:val="10"/>
                <w:szCs w:val="10"/>
              </w:rPr>
            </w:pPr>
          </w:p>
        </w:tc>
        <w:tc>
          <w:tcPr>
            <w:tcW w:w="660" w:type="dxa"/>
            <w:tcBorders>
              <w:top w:val="single" w:sz="8" w:space="0" w:color="auto"/>
            </w:tcBorders>
            <w:vAlign w:val="bottom"/>
          </w:tcPr>
          <w:p w14:paraId="67C37D4F" w14:textId="77777777" w:rsidR="00D1587D" w:rsidRDefault="00D1587D">
            <w:pPr>
              <w:rPr>
                <w:sz w:val="10"/>
                <w:szCs w:val="10"/>
              </w:rPr>
            </w:pPr>
          </w:p>
        </w:tc>
        <w:tc>
          <w:tcPr>
            <w:tcW w:w="180" w:type="dxa"/>
            <w:tcBorders>
              <w:top w:val="single" w:sz="8" w:space="0" w:color="CCEEFF"/>
            </w:tcBorders>
            <w:vAlign w:val="bottom"/>
          </w:tcPr>
          <w:p w14:paraId="51AB211C" w14:textId="77777777" w:rsidR="00D1587D" w:rsidRDefault="00D1587D">
            <w:pPr>
              <w:rPr>
                <w:sz w:val="10"/>
                <w:szCs w:val="10"/>
              </w:rPr>
            </w:pPr>
          </w:p>
        </w:tc>
        <w:tc>
          <w:tcPr>
            <w:tcW w:w="100" w:type="dxa"/>
            <w:tcBorders>
              <w:top w:val="single" w:sz="8" w:space="0" w:color="auto"/>
            </w:tcBorders>
            <w:vAlign w:val="bottom"/>
          </w:tcPr>
          <w:p w14:paraId="2D21FEBF" w14:textId="77777777" w:rsidR="00D1587D" w:rsidRDefault="00D1587D">
            <w:pPr>
              <w:rPr>
                <w:sz w:val="10"/>
                <w:szCs w:val="10"/>
              </w:rPr>
            </w:pPr>
          </w:p>
        </w:tc>
        <w:tc>
          <w:tcPr>
            <w:tcW w:w="720" w:type="dxa"/>
            <w:tcBorders>
              <w:top w:val="single" w:sz="8" w:space="0" w:color="auto"/>
            </w:tcBorders>
            <w:vAlign w:val="bottom"/>
          </w:tcPr>
          <w:p w14:paraId="0C36BB7C" w14:textId="77777777" w:rsidR="00D1587D" w:rsidRDefault="00D1587D">
            <w:pPr>
              <w:rPr>
                <w:sz w:val="10"/>
                <w:szCs w:val="10"/>
              </w:rPr>
            </w:pPr>
          </w:p>
        </w:tc>
        <w:tc>
          <w:tcPr>
            <w:tcW w:w="180" w:type="dxa"/>
            <w:tcBorders>
              <w:top w:val="single" w:sz="8" w:space="0" w:color="CCEEFF"/>
            </w:tcBorders>
            <w:vAlign w:val="bottom"/>
          </w:tcPr>
          <w:p w14:paraId="2AC32C36" w14:textId="77777777" w:rsidR="00D1587D" w:rsidRDefault="00D1587D">
            <w:pPr>
              <w:rPr>
                <w:sz w:val="10"/>
                <w:szCs w:val="10"/>
              </w:rPr>
            </w:pPr>
          </w:p>
        </w:tc>
        <w:tc>
          <w:tcPr>
            <w:tcW w:w="300" w:type="dxa"/>
            <w:tcBorders>
              <w:top w:val="single" w:sz="8" w:space="0" w:color="auto"/>
            </w:tcBorders>
            <w:vAlign w:val="bottom"/>
          </w:tcPr>
          <w:p w14:paraId="1C83D4E2" w14:textId="77777777" w:rsidR="00D1587D" w:rsidRDefault="00D1587D">
            <w:pPr>
              <w:rPr>
                <w:sz w:val="10"/>
                <w:szCs w:val="10"/>
              </w:rPr>
            </w:pPr>
          </w:p>
        </w:tc>
        <w:tc>
          <w:tcPr>
            <w:tcW w:w="480" w:type="dxa"/>
            <w:tcBorders>
              <w:top w:val="single" w:sz="8" w:space="0" w:color="auto"/>
            </w:tcBorders>
            <w:vAlign w:val="bottom"/>
          </w:tcPr>
          <w:p w14:paraId="088A9D99" w14:textId="77777777" w:rsidR="00D1587D" w:rsidRDefault="00D1587D">
            <w:pPr>
              <w:rPr>
                <w:sz w:val="10"/>
                <w:szCs w:val="10"/>
              </w:rPr>
            </w:pPr>
          </w:p>
        </w:tc>
        <w:tc>
          <w:tcPr>
            <w:tcW w:w="0" w:type="dxa"/>
            <w:vAlign w:val="bottom"/>
          </w:tcPr>
          <w:p w14:paraId="48CCB299" w14:textId="77777777" w:rsidR="00D1587D" w:rsidRDefault="00D1587D">
            <w:pPr>
              <w:rPr>
                <w:sz w:val="1"/>
                <w:szCs w:val="1"/>
              </w:rPr>
            </w:pPr>
          </w:p>
        </w:tc>
      </w:tr>
    </w:tbl>
    <w:p w14:paraId="5F9F4D2F" w14:textId="77777777" w:rsidR="00D1587D" w:rsidRDefault="00410D07">
      <w:pPr>
        <w:spacing w:line="20" w:lineRule="exact"/>
        <w:rPr>
          <w:sz w:val="20"/>
          <w:szCs w:val="20"/>
        </w:rPr>
      </w:pPr>
      <w:r>
        <w:rPr>
          <w:noProof/>
          <w:sz w:val="20"/>
          <w:szCs w:val="20"/>
        </w:rPr>
        <w:drawing>
          <wp:anchor distT="0" distB="0" distL="114300" distR="114300" simplePos="0" relativeHeight="251938816" behindDoc="1" locked="0" layoutInCell="0" allowOverlap="1" wp14:anchorId="0EF4068D" wp14:editId="42AC1A3A">
            <wp:simplePos x="0" y="0"/>
            <wp:positionH relativeFrom="column">
              <wp:posOffset>4925695</wp:posOffset>
            </wp:positionH>
            <wp:positionV relativeFrom="paragraph">
              <wp:posOffset>-3145155</wp:posOffset>
            </wp:positionV>
            <wp:extent cx="120015" cy="8255"/>
            <wp:effectExtent l="0" t="0" r="0" b="0"/>
            <wp:wrapNone/>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39840" behindDoc="1" locked="0" layoutInCell="0" allowOverlap="1" wp14:anchorId="5F76F617" wp14:editId="71CBB415">
            <wp:simplePos x="0" y="0"/>
            <wp:positionH relativeFrom="column">
              <wp:posOffset>4291330</wp:posOffset>
            </wp:positionH>
            <wp:positionV relativeFrom="paragraph">
              <wp:posOffset>-3145155</wp:posOffset>
            </wp:positionV>
            <wp:extent cx="120015" cy="8255"/>
            <wp:effectExtent l="0" t="0" r="0" b="0"/>
            <wp:wrapNone/>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40864" behindDoc="1" locked="0" layoutInCell="0" allowOverlap="1" wp14:anchorId="2EC880C4" wp14:editId="5D00B1D9">
            <wp:simplePos x="0" y="0"/>
            <wp:positionH relativeFrom="column">
              <wp:posOffset>3656965</wp:posOffset>
            </wp:positionH>
            <wp:positionV relativeFrom="paragraph">
              <wp:posOffset>-3145155</wp:posOffset>
            </wp:positionV>
            <wp:extent cx="120015" cy="8255"/>
            <wp:effectExtent l="0" t="0" r="0" b="0"/>
            <wp:wrapNone/>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41888" behindDoc="1" locked="0" layoutInCell="0" allowOverlap="1" wp14:anchorId="7EB3B914" wp14:editId="4FD04002">
            <wp:simplePos x="0" y="0"/>
            <wp:positionH relativeFrom="column">
              <wp:posOffset>2945765</wp:posOffset>
            </wp:positionH>
            <wp:positionV relativeFrom="paragraph">
              <wp:posOffset>-3145155</wp:posOffset>
            </wp:positionV>
            <wp:extent cx="120015" cy="8255"/>
            <wp:effectExtent l="0" t="0" r="0" b="0"/>
            <wp:wrapNone/>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42912" behindDoc="1" locked="0" layoutInCell="0" allowOverlap="1" wp14:anchorId="03345D6E" wp14:editId="0AF0EA21">
            <wp:simplePos x="0" y="0"/>
            <wp:positionH relativeFrom="column">
              <wp:posOffset>2216785</wp:posOffset>
            </wp:positionH>
            <wp:positionV relativeFrom="paragraph">
              <wp:posOffset>-3145155</wp:posOffset>
            </wp:positionV>
            <wp:extent cx="120015" cy="8255"/>
            <wp:effectExtent l="0" t="0" r="0" b="0"/>
            <wp:wrapNone/>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43936" behindDoc="1" locked="0" layoutInCell="0" allowOverlap="1" wp14:anchorId="5752AB10" wp14:editId="197962B1">
            <wp:simplePos x="0" y="0"/>
            <wp:positionH relativeFrom="column">
              <wp:posOffset>1625600</wp:posOffset>
            </wp:positionH>
            <wp:positionV relativeFrom="paragraph">
              <wp:posOffset>-3145155</wp:posOffset>
            </wp:positionV>
            <wp:extent cx="68580" cy="8255"/>
            <wp:effectExtent l="0" t="0" r="0" b="0"/>
            <wp:wrapNone/>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944960" behindDoc="1" locked="0" layoutInCell="0" allowOverlap="1" wp14:anchorId="60CBDB58" wp14:editId="07AA9DE8">
            <wp:simplePos x="0" y="0"/>
            <wp:positionH relativeFrom="column">
              <wp:posOffset>2216785</wp:posOffset>
            </wp:positionH>
            <wp:positionV relativeFrom="paragraph">
              <wp:posOffset>-4679950</wp:posOffset>
            </wp:positionV>
            <wp:extent cx="120015" cy="8255"/>
            <wp:effectExtent l="0" t="0" r="0" b="0"/>
            <wp:wrapNone/>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45984" behindDoc="1" locked="0" layoutInCell="0" allowOverlap="1" wp14:anchorId="37788614" wp14:editId="25BC7AF8">
            <wp:simplePos x="0" y="0"/>
            <wp:positionH relativeFrom="column">
              <wp:posOffset>1625600</wp:posOffset>
            </wp:positionH>
            <wp:positionV relativeFrom="paragraph">
              <wp:posOffset>-4679950</wp:posOffset>
            </wp:positionV>
            <wp:extent cx="68580" cy="8255"/>
            <wp:effectExtent l="0" t="0" r="0" b="0"/>
            <wp:wrapNone/>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947008" behindDoc="1" locked="0" layoutInCell="0" allowOverlap="1" wp14:anchorId="4AC63D6E" wp14:editId="322F8DC9">
            <wp:simplePos x="0" y="0"/>
            <wp:positionH relativeFrom="column">
              <wp:posOffset>4925695</wp:posOffset>
            </wp:positionH>
            <wp:positionV relativeFrom="paragraph">
              <wp:posOffset>-4679950</wp:posOffset>
            </wp:positionV>
            <wp:extent cx="120015" cy="8255"/>
            <wp:effectExtent l="0" t="0" r="0" b="0"/>
            <wp:wrapNone/>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48032" behindDoc="1" locked="0" layoutInCell="0" allowOverlap="1" wp14:anchorId="655F3647" wp14:editId="10B22EF7">
            <wp:simplePos x="0" y="0"/>
            <wp:positionH relativeFrom="column">
              <wp:posOffset>4291330</wp:posOffset>
            </wp:positionH>
            <wp:positionV relativeFrom="paragraph">
              <wp:posOffset>-4679950</wp:posOffset>
            </wp:positionV>
            <wp:extent cx="120015" cy="8255"/>
            <wp:effectExtent l="0" t="0" r="0" b="0"/>
            <wp:wrapNone/>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49056" behindDoc="1" locked="0" layoutInCell="0" allowOverlap="1" wp14:anchorId="1EC08629" wp14:editId="5AE790DC">
            <wp:simplePos x="0" y="0"/>
            <wp:positionH relativeFrom="column">
              <wp:posOffset>3656965</wp:posOffset>
            </wp:positionH>
            <wp:positionV relativeFrom="paragraph">
              <wp:posOffset>-4679950</wp:posOffset>
            </wp:positionV>
            <wp:extent cx="120015" cy="8255"/>
            <wp:effectExtent l="0" t="0" r="0" b="0"/>
            <wp:wrapNone/>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0080" behindDoc="1" locked="0" layoutInCell="0" allowOverlap="1" wp14:anchorId="00AD2A15" wp14:editId="0E341929">
            <wp:simplePos x="0" y="0"/>
            <wp:positionH relativeFrom="column">
              <wp:posOffset>2945765</wp:posOffset>
            </wp:positionH>
            <wp:positionV relativeFrom="paragraph">
              <wp:posOffset>-4679950</wp:posOffset>
            </wp:positionV>
            <wp:extent cx="120015" cy="8255"/>
            <wp:effectExtent l="0" t="0" r="0" b="0"/>
            <wp:wrapNone/>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1104" behindDoc="1" locked="0" layoutInCell="0" allowOverlap="1" wp14:anchorId="7FB5EFD7" wp14:editId="01BF0E6C">
            <wp:simplePos x="0" y="0"/>
            <wp:positionH relativeFrom="column">
              <wp:posOffset>4925695</wp:posOffset>
            </wp:positionH>
            <wp:positionV relativeFrom="paragraph">
              <wp:posOffset>-359410</wp:posOffset>
            </wp:positionV>
            <wp:extent cx="120015" cy="8255"/>
            <wp:effectExtent l="0" t="0" r="0" b="0"/>
            <wp:wrapNone/>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2128" behindDoc="1" locked="0" layoutInCell="0" allowOverlap="1" wp14:anchorId="1998F21E" wp14:editId="1B8D3B2D">
            <wp:simplePos x="0" y="0"/>
            <wp:positionH relativeFrom="column">
              <wp:posOffset>4291330</wp:posOffset>
            </wp:positionH>
            <wp:positionV relativeFrom="paragraph">
              <wp:posOffset>-359410</wp:posOffset>
            </wp:positionV>
            <wp:extent cx="120015" cy="8255"/>
            <wp:effectExtent l="0" t="0" r="0" b="0"/>
            <wp:wrapNone/>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3152" behindDoc="1" locked="0" layoutInCell="0" allowOverlap="1" wp14:anchorId="1423E266" wp14:editId="3FB12D9C">
            <wp:simplePos x="0" y="0"/>
            <wp:positionH relativeFrom="column">
              <wp:posOffset>3656965</wp:posOffset>
            </wp:positionH>
            <wp:positionV relativeFrom="paragraph">
              <wp:posOffset>-359410</wp:posOffset>
            </wp:positionV>
            <wp:extent cx="120015" cy="8255"/>
            <wp:effectExtent l="0" t="0" r="0" b="0"/>
            <wp:wrapNone/>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4176" behindDoc="1" locked="0" layoutInCell="0" allowOverlap="1" wp14:anchorId="0B2F8940" wp14:editId="39B10BFB">
            <wp:simplePos x="0" y="0"/>
            <wp:positionH relativeFrom="column">
              <wp:posOffset>2945765</wp:posOffset>
            </wp:positionH>
            <wp:positionV relativeFrom="paragraph">
              <wp:posOffset>-359410</wp:posOffset>
            </wp:positionV>
            <wp:extent cx="120015" cy="8255"/>
            <wp:effectExtent l="0" t="0" r="0" b="0"/>
            <wp:wrapNone/>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5200" behindDoc="1" locked="0" layoutInCell="0" allowOverlap="1" wp14:anchorId="58256AB5" wp14:editId="2E7B8962">
            <wp:simplePos x="0" y="0"/>
            <wp:positionH relativeFrom="column">
              <wp:posOffset>2259965</wp:posOffset>
            </wp:positionH>
            <wp:positionV relativeFrom="paragraph">
              <wp:posOffset>-359410</wp:posOffset>
            </wp:positionV>
            <wp:extent cx="120015" cy="8255"/>
            <wp:effectExtent l="0" t="0" r="0" b="0"/>
            <wp:wrapNone/>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6224" behindDoc="1" locked="0" layoutInCell="0" allowOverlap="1" wp14:anchorId="54523018" wp14:editId="700BEB19">
            <wp:simplePos x="0" y="0"/>
            <wp:positionH relativeFrom="column">
              <wp:posOffset>1625600</wp:posOffset>
            </wp:positionH>
            <wp:positionV relativeFrom="paragraph">
              <wp:posOffset>-359410</wp:posOffset>
            </wp:positionV>
            <wp:extent cx="68580" cy="8255"/>
            <wp:effectExtent l="0" t="0" r="0" b="0"/>
            <wp:wrapNone/>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957248" behindDoc="1" locked="0" layoutInCell="0" allowOverlap="1" wp14:anchorId="14470AE2" wp14:editId="047929B1">
            <wp:simplePos x="0" y="0"/>
            <wp:positionH relativeFrom="column">
              <wp:posOffset>2259965</wp:posOffset>
            </wp:positionH>
            <wp:positionV relativeFrom="paragraph">
              <wp:posOffset>-1893570</wp:posOffset>
            </wp:positionV>
            <wp:extent cx="120015" cy="8255"/>
            <wp:effectExtent l="0" t="0" r="0" b="0"/>
            <wp:wrapNone/>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58272" behindDoc="1" locked="0" layoutInCell="0" allowOverlap="1" wp14:anchorId="37411782" wp14:editId="572FB682">
            <wp:simplePos x="0" y="0"/>
            <wp:positionH relativeFrom="column">
              <wp:posOffset>1625600</wp:posOffset>
            </wp:positionH>
            <wp:positionV relativeFrom="paragraph">
              <wp:posOffset>-1893570</wp:posOffset>
            </wp:positionV>
            <wp:extent cx="68580" cy="8255"/>
            <wp:effectExtent l="0" t="0" r="0" b="0"/>
            <wp:wrapNone/>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1959296" behindDoc="1" locked="0" layoutInCell="0" allowOverlap="1" wp14:anchorId="5C7982B9" wp14:editId="3C98E9D2">
            <wp:simplePos x="0" y="0"/>
            <wp:positionH relativeFrom="column">
              <wp:posOffset>4925695</wp:posOffset>
            </wp:positionH>
            <wp:positionV relativeFrom="paragraph">
              <wp:posOffset>-1893570</wp:posOffset>
            </wp:positionV>
            <wp:extent cx="120015" cy="8255"/>
            <wp:effectExtent l="0" t="0" r="0" b="0"/>
            <wp:wrapNone/>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60320" behindDoc="1" locked="0" layoutInCell="0" allowOverlap="1" wp14:anchorId="514EE55F" wp14:editId="5AC23D4F">
            <wp:simplePos x="0" y="0"/>
            <wp:positionH relativeFrom="column">
              <wp:posOffset>4291330</wp:posOffset>
            </wp:positionH>
            <wp:positionV relativeFrom="paragraph">
              <wp:posOffset>-1893570</wp:posOffset>
            </wp:positionV>
            <wp:extent cx="120015" cy="8255"/>
            <wp:effectExtent l="0" t="0" r="0" b="0"/>
            <wp:wrapNone/>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61344" behindDoc="1" locked="0" layoutInCell="0" allowOverlap="1" wp14:anchorId="68B6EAB2" wp14:editId="4C569730">
            <wp:simplePos x="0" y="0"/>
            <wp:positionH relativeFrom="column">
              <wp:posOffset>3656965</wp:posOffset>
            </wp:positionH>
            <wp:positionV relativeFrom="paragraph">
              <wp:posOffset>-1893570</wp:posOffset>
            </wp:positionV>
            <wp:extent cx="120015" cy="8255"/>
            <wp:effectExtent l="0" t="0" r="0" b="0"/>
            <wp:wrapNone/>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1962368" behindDoc="1" locked="0" layoutInCell="0" allowOverlap="1" wp14:anchorId="30F2F530" wp14:editId="73B509BA">
            <wp:simplePos x="0" y="0"/>
            <wp:positionH relativeFrom="column">
              <wp:posOffset>2945765</wp:posOffset>
            </wp:positionH>
            <wp:positionV relativeFrom="paragraph">
              <wp:posOffset>-1893570</wp:posOffset>
            </wp:positionV>
            <wp:extent cx="120015" cy="8255"/>
            <wp:effectExtent l="0" t="0" r="0" b="0"/>
            <wp:wrapNone/>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p>
    <w:p w14:paraId="7D60FD14" w14:textId="77777777" w:rsidR="00D1587D" w:rsidRDefault="00D1587D">
      <w:pPr>
        <w:spacing w:line="15" w:lineRule="exact"/>
        <w:rPr>
          <w:sz w:val="20"/>
          <w:szCs w:val="20"/>
        </w:rPr>
      </w:pPr>
    </w:p>
    <w:p w14:paraId="0CD9F5E2" w14:textId="77777777" w:rsidR="00D1587D" w:rsidRDefault="00410D07" w:rsidP="00410D07">
      <w:pPr>
        <w:numPr>
          <w:ilvl w:val="0"/>
          <w:numId w:val="326"/>
        </w:numPr>
        <w:tabs>
          <w:tab w:val="left" w:pos="640"/>
        </w:tabs>
        <w:ind w:left="640" w:hanging="348"/>
        <w:rPr>
          <w:rFonts w:ascii="Arial" w:eastAsia="Arial" w:hAnsi="Arial" w:cs="Arial"/>
          <w:sz w:val="14"/>
          <w:szCs w:val="14"/>
        </w:rPr>
      </w:pPr>
      <w:r>
        <w:rPr>
          <w:rFonts w:ascii="Arial" w:eastAsia="Arial" w:hAnsi="Arial" w:cs="Arial"/>
          <w:sz w:val="14"/>
          <w:szCs w:val="14"/>
        </w:rPr>
        <w:t xml:space="preserve">Assumes a termination date of </w:t>
      </w:r>
      <w:r>
        <w:rPr>
          <w:rFonts w:ascii="Arial" w:eastAsia="Arial" w:hAnsi="Arial" w:cs="Arial"/>
          <w:sz w:val="14"/>
          <w:szCs w:val="14"/>
        </w:rPr>
        <w:t>January 30, 2021.</w:t>
      </w:r>
    </w:p>
    <w:p w14:paraId="20BA9E45" w14:textId="77777777" w:rsidR="00D1587D" w:rsidRDefault="00D1587D">
      <w:pPr>
        <w:spacing w:line="41" w:lineRule="exact"/>
        <w:rPr>
          <w:rFonts w:ascii="Arial" w:eastAsia="Arial" w:hAnsi="Arial" w:cs="Arial"/>
          <w:sz w:val="14"/>
          <w:szCs w:val="14"/>
        </w:rPr>
      </w:pPr>
    </w:p>
    <w:p w14:paraId="32567544" w14:textId="77777777" w:rsidR="00D1587D" w:rsidRDefault="00410D07" w:rsidP="00410D07">
      <w:pPr>
        <w:numPr>
          <w:ilvl w:val="0"/>
          <w:numId w:val="326"/>
        </w:numPr>
        <w:tabs>
          <w:tab w:val="left" w:pos="640"/>
        </w:tabs>
        <w:spacing w:line="253" w:lineRule="auto"/>
        <w:ind w:left="640" w:right="359" w:hanging="348"/>
        <w:rPr>
          <w:rFonts w:ascii="Arial" w:eastAsia="Arial" w:hAnsi="Arial" w:cs="Arial"/>
          <w:sz w:val="14"/>
          <w:szCs w:val="14"/>
        </w:rPr>
      </w:pPr>
      <w:r>
        <w:rPr>
          <w:rFonts w:ascii="Arial" w:eastAsia="Arial" w:hAnsi="Arial" w:cs="Arial"/>
          <w:sz w:val="14"/>
          <w:szCs w:val="14"/>
        </w:rPr>
        <w:t>In addition, certain of the NEOs would be entitled to receive the unpaid portion of his or her cash retention bonus award in connection with certain qualifying terminations of employment as described below.</w:t>
      </w:r>
    </w:p>
    <w:p w14:paraId="39DD6E05" w14:textId="77777777" w:rsidR="00D1587D" w:rsidRDefault="00D1587D">
      <w:pPr>
        <w:spacing w:line="11" w:lineRule="exact"/>
        <w:rPr>
          <w:rFonts w:ascii="Arial" w:eastAsia="Arial" w:hAnsi="Arial" w:cs="Arial"/>
          <w:sz w:val="14"/>
          <w:szCs w:val="14"/>
        </w:rPr>
      </w:pPr>
    </w:p>
    <w:p w14:paraId="7ED2981E" w14:textId="77777777" w:rsidR="00D1587D" w:rsidRDefault="00410D07" w:rsidP="00410D07">
      <w:pPr>
        <w:numPr>
          <w:ilvl w:val="0"/>
          <w:numId w:val="326"/>
        </w:numPr>
        <w:tabs>
          <w:tab w:val="left" w:pos="640"/>
        </w:tabs>
        <w:spacing w:line="255" w:lineRule="auto"/>
        <w:ind w:left="640" w:right="379" w:hanging="348"/>
        <w:rPr>
          <w:rFonts w:ascii="Arial" w:eastAsia="Arial" w:hAnsi="Arial" w:cs="Arial"/>
          <w:sz w:val="13"/>
          <w:szCs w:val="13"/>
        </w:rPr>
      </w:pPr>
      <w:r>
        <w:rPr>
          <w:rFonts w:ascii="Arial" w:eastAsia="Arial" w:hAnsi="Arial" w:cs="Arial"/>
          <w:sz w:val="13"/>
          <w:szCs w:val="13"/>
        </w:rPr>
        <w:t xml:space="preserve">Bonus amounts assumed at </w:t>
      </w:r>
      <w:r>
        <w:rPr>
          <w:rFonts w:ascii="Arial" w:eastAsia="Arial" w:hAnsi="Arial" w:cs="Arial"/>
          <w:sz w:val="13"/>
          <w:szCs w:val="13"/>
        </w:rPr>
        <w:t>target. Under “Involuntary without Cause or Voluntary with Good Reason” termination scenarios, actual bonus payments would be equal to the bonus payment the NEO would have received if he or she had remained employed with the Company for a period of one yea</w:t>
      </w:r>
      <w:r>
        <w:rPr>
          <w:rFonts w:ascii="Arial" w:eastAsia="Arial" w:hAnsi="Arial" w:cs="Arial"/>
          <w:sz w:val="13"/>
          <w:szCs w:val="13"/>
        </w:rPr>
        <w:t>r after the termination date of January 30, 2021. Under an “Involuntary Without Cause following Change in Control” termination scenario, bonus payments will be equal to the sum of the last four seasonal bonus payments received.</w:t>
      </w:r>
    </w:p>
    <w:p w14:paraId="7022C316" w14:textId="77777777" w:rsidR="00D1587D" w:rsidRDefault="00D1587D">
      <w:pPr>
        <w:spacing w:line="12" w:lineRule="exact"/>
        <w:rPr>
          <w:rFonts w:ascii="Arial" w:eastAsia="Arial" w:hAnsi="Arial" w:cs="Arial"/>
          <w:sz w:val="13"/>
          <w:szCs w:val="13"/>
        </w:rPr>
      </w:pPr>
    </w:p>
    <w:p w14:paraId="00A31D81" w14:textId="77777777" w:rsidR="00D1587D" w:rsidRDefault="00410D07" w:rsidP="00410D07">
      <w:pPr>
        <w:numPr>
          <w:ilvl w:val="0"/>
          <w:numId w:val="326"/>
        </w:numPr>
        <w:tabs>
          <w:tab w:val="left" w:pos="640"/>
        </w:tabs>
        <w:spacing w:line="238" w:lineRule="auto"/>
        <w:ind w:left="640" w:right="319" w:hanging="348"/>
        <w:rPr>
          <w:rFonts w:ascii="Arial" w:eastAsia="Arial" w:hAnsi="Arial" w:cs="Arial"/>
          <w:sz w:val="14"/>
          <w:szCs w:val="14"/>
        </w:rPr>
      </w:pPr>
      <w:r>
        <w:rPr>
          <w:rFonts w:ascii="Arial" w:eastAsia="Arial" w:hAnsi="Arial" w:cs="Arial"/>
          <w:sz w:val="14"/>
          <w:szCs w:val="14"/>
        </w:rPr>
        <w:t>Reflects the value of unves</w:t>
      </w:r>
      <w:r>
        <w:rPr>
          <w:rFonts w:ascii="Arial" w:eastAsia="Arial" w:hAnsi="Arial" w:cs="Arial"/>
          <w:sz w:val="14"/>
          <w:szCs w:val="14"/>
        </w:rPr>
        <w:t>ted RSUs, PSUs at target and stock options that, subject to achievement of pre-established performance conditions, if applicable, would become vested based on the $40.76 fair market value of a share of Common Stock on the last trading day of the fiscal yea</w:t>
      </w:r>
      <w:r>
        <w:rPr>
          <w:rFonts w:ascii="Arial" w:eastAsia="Arial" w:hAnsi="Arial" w:cs="Arial"/>
          <w:sz w:val="14"/>
          <w:szCs w:val="14"/>
        </w:rPr>
        <w:t>r (January 29, 2021).</w:t>
      </w:r>
    </w:p>
    <w:p w14:paraId="0CAF90BE" w14:textId="77777777" w:rsidR="00D1587D" w:rsidRDefault="00D1587D">
      <w:pPr>
        <w:spacing w:line="20" w:lineRule="exact"/>
        <w:rPr>
          <w:rFonts w:ascii="Arial" w:eastAsia="Arial" w:hAnsi="Arial" w:cs="Arial"/>
          <w:sz w:val="14"/>
          <w:szCs w:val="14"/>
        </w:rPr>
      </w:pPr>
    </w:p>
    <w:p w14:paraId="46508950" w14:textId="77777777" w:rsidR="00D1587D" w:rsidRDefault="00410D07" w:rsidP="00410D07">
      <w:pPr>
        <w:numPr>
          <w:ilvl w:val="0"/>
          <w:numId w:val="326"/>
        </w:numPr>
        <w:tabs>
          <w:tab w:val="left" w:pos="640"/>
        </w:tabs>
        <w:spacing w:line="264" w:lineRule="auto"/>
        <w:ind w:left="640" w:right="399" w:hanging="348"/>
        <w:jc w:val="both"/>
        <w:rPr>
          <w:rFonts w:ascii="Arial" w:eastAsia="Arial" w:hAnsi="Arial" w:cs="Arial"/>
          <w:sz w:val="13"/>
          <w:szCs w:val="13"/>
        </w:rPr>
      </w:pPr>
      <w:r>
        <w:rPr>
          <w:rFonts w:ascii="Arial" w:eastAsia="Arial" w:hAnsi="Arial" w:cs="Arial"/>
          <w:sz w:val="13"/>
          <w:szCs w:val="13"/>
        </w:rPr>
        <w:t>Estimates for benefits and perquisites include the pro rata value of retirement plan contributions on earnings accrued up to the termination date and the continuation of medical, dental and other insurance benefits. Under the “Death”</w:t>
      </w:r>
      <w:r>
        <w:rPr>
          <w:rFonts w:ascii="Arial" w:eastAsia="Arial" w:hAnsi="Arial" w:cs="Arial"/>
          <w:sz w:val="13"/>
          <w:szCs w:val="13"/>
        </w:rPr>
        <w:t xml:space="preserve"> and “Disability” scenarios, includes proceeds from life and disability insurance policies and the value of unvested retirement plan balances that would become vested.</w:t>
      </w:r>
    </w:p>
    <w:p w14:paraId="1AB0A190" w14:textId="77777777" w:rsidR="00D1587D" w:rsidRDefault="00D1587D">
      <w:pPr>
        <w:spacing w:line="6" w:lineRule="exact"/>
        <w:rPr>
          <w:rFonts w:ascii="Arial" w:eastAsia="Arial" w:hAnsi="Arial" w:cs="Arial"/>
          <w:sz w:val="13"/>
          <w:szCs w:val="13"/>
        </w:rPr>
      </w:pPr>
    </w:p>
    <w:p w14:paraId="0532C4DE" w14:textId="77777777" w:rsidR="00D1587D" w:rsidRDefault="00410D07" w:rsidP="00410D07">
      <w:pPr>
        <w:numPr>
          <w:ilvl w:val="0"/>
          <w:numId w:val="326"/>
        </w:numPr>
        <w:tabs>
          <w:tab w:val="left" w:pos="640"/>
        </w:tabs>
        <w:spacing w:line="253" w:lineRule="auto"/>
        <w:ind w:left="640" w:right="879" w:hanging="348"/>
        <w:rPr>
          <w:rFonts w:ascii="Arial" w:eastAsia="Arial" w:hAnsi="Arial" w:cs="Arial"/>
          <w:sz w:val="14"/>
          <w:szCs w:val="14"/>
        </w:rPr>
      </w:pPr>
      <w:r>
        <w:rPr>
          <w:rFonts w:ascii="Arial" w:eastAsia="Arial" w:hAnsi="Arial" w:cs="Arial"/>
          <w:sz w:val="14"/>
          <w:szCs w:val="14"/>
        </w:rPr>
        <w:t xml:space="preserve">Generally, in the event of an NEO’s death, subject to the achievement of any </w:t>
      </w:r>
      <w:r>
        <w:rPr>
          <w:rFonts w:ascii="Arial" w:eastAsia="Arial" w:hAnsi="Arial" w:cs="Arial"/>
          <w:sz w:val="14"/>
          <w:szCs w:val="14"/>
        </w:rPr>
        <w:t>underlying performance conditions, any time-vesting conditions are deemed satisfied.</w:t>
      </w:r>
    </w:p>
    <w:p w14:paraId="07B72AEE" w14:textId="77777777" w:rsidR="00D1587D" w:rsidRDefault="00D1587D">
      <w:pPr>
        <w:spacing w:line="178" w:lineRule="exact"/>
        <w:rPr>
          <w:sz w:val="20"/>
          <w:szCs w:val="20"/>
        </w:rPr>
      </w:pPr>
    </w:p>
    <w:p w14:paraId="18F69B5E" w14:textId="77777777" w:rsidR="00D1587D" w:rsidRDefault="00410D07">
      <w:pPr>
        <w:ind w:left="660"/>
        <w:rPr>
          <w:sz w:val="20"/>
          <w:szCs w:val="20"/>
        </w:rPr>
      </w:pPr>
      <w:r>
        <w:rPr>
          <w:rFonts w:ascii="Arial" w:eastAsia="Arial" w:hAnsi="Arial" w:cs="Arial"/>
          <w:i/>
          <w:iCs/>
          <w:sz w:val="18"/>
          <w:szCs w:val="18"/>
        </w:rPr>
        <w:t>Mr. Waters’ Employment Agreement</w:t>
      </w:r>
    </w:p>
    <w:p w14:paraId="47B333C0" w14:textId="77777777" w:rsidR="00D1587D" w:rsidRDefault="00D1587D">
      <w:pPr>
        <w:spacing w:line="117" w:lineRule="exact"/>
        <w:rPr>
          <w:sz w:val="20"/>
          <w:szCs w:val="20"/>
        </w:rPr>
      </w:pPr>
    </w:p>
    <w:p w14:paraId="40D514FB" w14:textId="77777777" w:rsidR="00D1587D" w:rsidRDefault="00410D07">
      <w:pPr>
        <w:spacing w:line="286" w:lineRule="auto"/>
        <w:ind w:left="300" w:right="479" w:firstLine="360"/>
        <w:rPr>
          <w:sz w:val="20"/>
          <w:szCs w:val="20"/>
        </w:rPr>
      </w:pPr>
      <w:r>
        <w:rPr>
          <w:rFonts w:ascii="Arial" w:eastAsia="Arial" w:hAnsi="Arial" w:cs="Arial"/>
          <w:sz w:val="17"/>
          <w:szCs w:val="17"/>
        </w:rPr>
        <w:t>Pursuant to Mr. Waters’ employment agreement with LB effective as of July 23, 2009 (as subsequently amended), in the event of a terminat</w:t>
      </w:r>
      <w:r>
        <w:rPr>
          <w:rFonts w:ascii="Arial" w:eastAsia="Arial" w:hAnsi="Arial" w:cs="Arial"/>
          <w:sz w:val="17"/>
          <w:szCs w:val="17"/>
        </w:rPr>
        <w:t>ion of Mr. Waters’ employment by LB other than for “cause” or by Mr. Waters for “good reason”, other than during the 24-month period following a “change in control”, LB will</w:t>
      </w:r>
    </w:p>
    <w:p w14:paraId="4992BEEB" w14:textId="77777777" w:rsidR="00D1587D" w:rsidRDefault="00D1587D">
      <w:pPr>
        <w:spacing w:line="165" w:lineRule="exact"/>
        <w:rPr>
          <w:sz w:val="20"/>
          <w:szCs w:val="20"/>
        </w:rPr>
      </w:pPr>
    </w:p>
    <w:p w14:paraId="1DB32021" w14:textId="77777777" w:rsidR="00D1587D" w:rsidRDefault="00410D07">
      <w:pPr>
        <w:jc w:val="center"/>
        <w:rPr>
          <w:sz w:val="20"/>
          <w:szCs w:val="20"/>
        </w:rPr>
      </w:pPr>
      <w:r>
        <w:rPr>
          <w:rFonts w:ascii="Arial" w:eastAsia="Arial" w:hAnsi="Arial" w:cs="Arial"/>
          <w:sz w:val="18"/>
          <w:szCs w:val="18"/>
        </w:rPr>
        <w:t>123</w:t>
      </w:r>
    </w:p>
    <w:p w14:paraId="7BE454E5" w14:textId="77777777" w:rsidR="00D1587D" w:rsidRDefault="00410D07">
      <w:pPr>
        <w:spacing w:line="20" w:lineRule="exact"/>
        <w:rPr>
          <w:sz w:val="20"/>
          <w:szCs w:val="20"/>
        </w:rPr>
      </w:pPr>
      <w:r>
        <w:rPr>
          <w:noProof/>
          <w:sz w:val="20"/>
          <w:szCs w:val="20"/>
        </w:rPr>
        <w:drawing>
          <wp:anchor distT="0" distB="0" distL="114300" distR="114300" simplePos="0" relativeHeight="251963392" behindDoc="1" locked="0" layoutInCell="0" allowOverlap="1" wp14:anchorId="034315DE" wp14:editId="3FAA8B56">
            <wp:simplePos x="0" y="0"/>
            <wp:positionH relativeFrom="column">
              <wp:posOffset>-636905</wp:posOffset>
            </wp:positionH>
            <wp:positionV relativeFrom="paragraph">
              <wp:posOffset>134620</wp:posOffset>
            </wp:positionV>
            <wp:extent cx="6995160" cy="17145"/>
            <wp:effectExtent l="0" t="0" r="0" b="0"/>
            <wp:wrapNone/>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199DD44" w14:textId="77777777" w:rsidR="00D1587D" w:rsidRDefault="00D1587D">
      <w:pPr>
        <w:sectPr w:rsidR="00D1587D">
          <w:pgSz w:w="11900" w:h="16838"/>
          <w:pgMar w:top="265" w:right="1440" w:bottom="1440" w:left="1440" w:header="0" w:footer="0" w:gutter="0"/>
          <w:cols w:space="720" w:equalWidth="0">
            <w:col w:w="9019"/>
          </w:cols>
        </w:sectPr>
      </w:pPr>
    </w:p>
    <w:bookmarkStart w:id="381" w:name="page382"/>
    <w:bookmarkEnd w:id="381"/>
    <w:p w14:paraId="06CA27CA"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46518B3" w14:textId="77777777" w:rsidR="00D1587D" w:rsidRDefault="00D1587D">
      <w:pPr>
        <w:spacing w:line="131" w:lineRule="exact"/>
        <w:rPr>
          <w:sz w:val="20"/>
          <w:szCs w:val="20"/>
        </w:rPr>
      </w:pPr>
    </w:p>
    <w:p w14:paraId="05713F5E" w14:textId="77777777" w:rsidR="00D1587D" w:rsidRDefault="00410D07">
      <w:pPr>
        <w:spacing w:line="267" w:lineRule="auto"/>
        <w:ind w:left="300" w:right="319"/>
        <w:rPr>
          <w:sz w:val="20"/>
          <w:szCs w:val="20"/>
        </w:rPr>
      </w:pPr>
      <w:r>
        <w:rPr>
          <w:rFonts w:ascii="Arial" w:eastAsia="Arial" w:hAnsi="Arial" w:cs="Arial"/>
          <w:sz w:val="17"/>
          <w:szCs w:val="17"/>
        </w:rPr>
        <w:t>provide to Mr. Waters (i) continued payment of Mr. Waters’ base salary for 12 months following the termination date, (ii) if Mr. Waters executes and does not revoke a general waiver and release in favor of LB, (x) continued payment of Mr. Waters’ base sala</w:t>
      </w:r>
      <w:r>
        <w:rPr>
          <w:rFonts w:ascii="Arial" w:eastAsia="Arial" w:hAnsi="Arial" w:cs="Arial"/>
          <w:sz w:val="17"/>
          <w:szCs w:val="17"/>
        </w:rPr>
        <w:t>ry for an additional 12 months following the termination date and (y) the incentive compensation Mr. Waters would have received if he had remained an employee of LB for one year following the termination date and (iii) for a period of up to 18 months follo</w:t>
      </w:r>
      <w:r>
        <w:rPr>
          <w:rFonts w:ascii="Arial" w:eastAsia="Arial" w:hAnsi="Arial" w:cs="Arial"/>
          <w:sz w:val="17"/>
          <w:szCs w:val="17"/>
        </w:rPr>
        <w:t>wing the termination of employment, LB will provide Mr. Waters and his beneficiaries (at LB’s expense) medical and dental benefits substantially similar in the aggregate to those provided to Mr. Waters prior to the date of his termination of employment. If</w:t>
      </w:r>
      <w:r>
        <w:rPr>
          <w:rFonts w:ascii="Arial" w:eastAsia="Arial" w:hAnsi="Arial" w:cs="Arial"/>
          <w:sz w:val="17"/>
          <w:szCs w:val="17"/>
        </w:rPr>
        <w:t xml:space="preserve"> such termination occurs within the 24-month period following a “change in control”, subject to Mr. Waters’ execution and nonrevocation of a general waiver and release of claims in favor of LB, LB will provide to Mr. Waters (i) an amount equal to two times</w:t>
      </w:r>
      <w:r>
        <w:rPr>
          <w:rFonts w:ascii="Arial" w:eastAsia="Arial" w:hAnsi="Arial" w:cs="Arial"/>
          <w:sz w:val="17"/>
          <w:szCs w:val="17"/>
        </w:rPr>
        <w:t xml:space="preserve"> his base salary, (ii) an amount equal to the sum of the last four bonus payments under LB’s incentive compensation program </w:t>
      </w:r>
      <w:r>
        <w:rPr>
          <w:rFonts w:ascii="Arial" w:eastAsia="Arial" w:hAnsi="Arial" w:cs="Arial"/>
          <w:i/>
          <w:iCs/>
          <w:sz w:val="17"/>
          <w:szCs w:val="17"/>
        </w:rPr>
        <w:t>plus</w:t>
      </w:r>
      <w:r>
        <w:rPr>
          <w:rFonts w:ascii="Arial" w:eastAsia="Arial" w:hAnsi="Arial" w:cs="Arial"/>
          <w:sz w:val="17"/>
          <w:szCs w:val="17"/>
        </w:rPr>
        <w:t xml:space="preserve"> a prorated amount for the season in which his employment is terminated (based on the average of such four prior bonus payments)</w:t>
      </w:r>
      <w:r>
        <w:rPr>
          <w:rFonts w:ascii="Arial" w:eastAsia="Arial" w:hAnsi="Arial" w:cs="Arial"/>
          <w:sz w:val="17"/>
          <w:szCs w:val="17"/>
        </w:rPr>
        <w:t>, (iii) reimbursement for all documented legal fees and expenses incurred in seeking to obtain or enforce any rights provided in the Waters Agreement and (iv) for a period of 18 months following the termination of employment (or earlier if Mr. Waters becom</w:t>
      </w:r>
      <w:r>
        <w:rPr>
          <w:rFonts w:ascii="Arial" w:eastAsia="Arial" w:hAnsi="Arial" w:cs="Arial"/>
          <w:sz w:val="17"/>
          <w:szCs w:val="17"/>
        </w:rPr>
        <w:t>es subsequently employed), LB will provide Mr. Waters and his beneficiaries (at LB’s expense) medical and dental benefits substantially similar in the aggregate to those provided to Mr. Waters prior to the date of his termination of employment. Following a</w:t>
      </w:r>
      <w:r>
        <w:rPr>
          <w:rFonts w:ascii="Arial" w:eastAsia="Arial" w:hAnsi="Arial" w:cs="Arial"/>
          <w:sz w:val="17"/>
          <w:szCs w:val="17"/>
        </w:rPr>
        <w:t xml:space="preserve"> termination of employment for any reason, Mr. Waters will be subject to non-competition and non-solicitation covenants during the period Mr. Waters receives severance payments.</w:t>
      </w:r>
    </w:p>
    <w:p w14:paraId="6498BB0C" w14:textId="77777777" w:rsidR="00D1587D" w:rsidRDefault="00D1587D">
      <w:pPr>
        <w:spacing w:line="82" w:lineRule="exact"/>
        <w:rPr>
          <w:sz w:val="20"/>
          <w:szCs w:val="20"/>
        </w:rPr>
      </w:pPr>
    </w:p>
    <w:p w14:paraId="524C9EE7" w14:textId="77777777" w:rsidR="00D1587D" w:rsidRDefault="00410D07">
      <w:pPr>
        <w:spacing w:line="269" w:lineRule="auto"/>
        <w:ind w:left="300" w:right="319" w:firstLine="360"/>
        <w:rPr>
          <w:sz w:val="20"/>
          <w:szCs w:val="20"/>
        </w:rPr>
      </w:pPr>
      <w:r>
        <w:rPr>
          <w:rFonts w:ascii="Arial" w:eastAsia="Arial" w:hAnsi="Arial" w:cs="Arial"/>
          <w:sz w:val="17"/>
          <w:szCs w:val="17"/>
        </w:rPr>
        <w:t>In addition, under the Retention and Performance Bonus Agreement entered into</w:t>
      </w:r>
      <w:r>
        <w:rPr>
          <w:rFonts w:ascii="Arial" w:eastAsia="Arial" w:hAnsi="Arial" w:cs="Arial"/>
          <w:sz w:val="17"/>
          <w:szCs w:val="17"/>
        </w:rPr>
        <w:t xml:space="preserve"> with Mr. Waters, effective as of July 14, 2020, if Mr. Waters remained employed by LB through January 31, 2021, he is entitled to receive a retention bonus award in the amount of $800,000. In the event he left LB prior to January 31, 2021 for any reason, </w:t>
      </w:r>
      <w:r>
        <w:rPr>
          <w:rFonts w:ascii="Arial" w:eastAsia="Arial" w:hAnsi="Arial" w:cs="Arial"/>
          <w:sz w:val="17"/>
          <w:szCs w:val="17"/>
        </w:rPr>
        <w:t>he was entitled to receive a prorated amount of the retention bonus award, determined by multiplying $800,000 by a fraction, the numerator being the number of months worked from July 14, 2020 and the denominator being seven, with any partial months being r</w:t>
      </w:r>
      <w:r>
        <w:rPr>
          <w:rFonts w:ascii="Arial" w:eastAsia="Arial" w:hAnsi="Arial" w:cs="Arial"/>
          <w:sz w:val="17"/>
          <w:szCs w:val="17"/>
        </w:rPr>
        <w:t xml:space="preserve">ounded up to the nearest whole number. The retention bonus award for Mr. Waters that was scheduled to vest on January 31, 2021 was paid by LB in February 2021. In addition, if Mr. Waters implements actions to reduce EBITDA losses in the United Kingdom and </w:t>
      </w:r>
      <w:r>
        <w:rPr>
          <w:rFonts w:ascii="Arial" w:eastAsia="Arial" w:hAnsi="Arial" w:cs="Arial"/>
          <w:sz w:val="17"/>
          <w:szCs w:val="17"/>
        </w:rPr>
        <w:t xml:space="preserve">China, retain key talent and establish a platform for future growth and profitability (as determined in the discretion of the LB HCC Committee and certain members of management), Mr. Waters will be entitled to receive an additional $800,000 bonus payment. </w:t>
      </w:r>
      <w:r>
        <w:rPr>
          <w:rFonts w:ascii="Arial" w:eastAsia="Arial" w:hAnsi="Arial" w:cs="Arial"/>
          <w:sz w:val="17"/>
          <w:szCs w:val="17"/>
        </w:rPr>
        <w:t>In February 2021, it was determined by the LB HCC Committee that the requirements for payment of this additional bonus were satisfied and the bonus was paid.</w:t>
      </w:r>
    </w:p>
    <w:p w14:paraId="6078D67D" w14:textId="77777777" w:rsidR="00D1587D" w:rsidRDefault="00D1587D">
      <w:pPr>
        <w:spacing w:line="233" w:lineRule="exact"/>
        <w:rPr>
          <w:sz w:val="20"/>
          <w:szCs w:val="20"/>
        </w:rPr>
      </w:pPr>
    </w:p>
    <w:p w14:paraId="16C959B2" w14:textId="77777777" w:rsidR="00D1587D" w:rsidRDefault="00410D07">
      <w:pPr>
        <w:ind w:left="660"/>
        <w:rPr>
          <w:sz w:val="20"/>
          <w:szCs w:val="20"/>
        </w:rPr>
      </w:pPr>
      <w:r>
        <w:rPr>
          <w:rFonts w:ascii="Arial" w:eastAsia="Arial" w:hAnsi="Arial" w:cs="Arial"/>
          <w:i/>
          <w:iCs/>
          <w:sz w:val="18"/>
          <w:szCs w:val="18"/>
        </w:rPr>
        <w:t>Ms.Hauk’s Retention Agreement and Estimated Post-Employment Payments</w:t>
      </w:r>
    </w:p>
    <w:p w14:paraId="4582C4CD" w14:textId="77777777" w:rsidR="00D1587D" w:rsidRDefault="00D1587D">
      <w:pPr>
        <w:spacing w:line="117" w:lineRule="exact"/>
        <w:rPr>
          <w:sz w:val="20"/>
          <w:szCs w:val="20"/>
        </w:rPr>
      </w:pPr>
    </w:p>
    <w:p w14:paraId="44C4BCB9" w14:textId="77777777" w:rsidR="00D1587D" w:rsidRDefault="00410D07">
      <w:pPr>
        <w:ind w:left="660"/>
        <w:rPr>
          <w:sz w:val="20"/>
          <w:szCs w:val="20"/>
        </w:rPr>
      </w:pPr>
      <w:r>
        <w:rPr>
          <w:rFonts w:ascii="Arial" w:eastAsia="Arial" w:hAnsi="Arial" w:cs="Arial"/>
          <w:sz w:val="17"/>
          <w:szCs w:val="17"/>
        </w:rPr>
        <w:t xml:space="preserve">Pursuant to the </w:t>
      </w:r>
      <w:r>
        <w:rPr>
          <w:rFonts w:ascii="Arial" w:eastAsia="Arial" w:hAnsi="Arial" w:cs="Arial"/>
          <w:sz w:val="17"/>
          <w:szCs w:val="17"/>
        </w:rPr>
        <w:t>retention agreement entered into between LB and Ms. Hauk effective as of June 1, 2020,</w:t>
      </w:r>
    </w:p>
    <w:p w14:paraId="4A88CD4A" w14:textId="77777777" w:rsidR="00D1587D" w:rsidRDefault="00D1587D">
      <w:pPr>
        <w:spacing w:line="35" w:lineRule="exact"/>
        <w:rPr>
          <w:sz w:val="20"/>
          <w:szCs w:val="20"/>
        </w:rPr>
      </w:pPr>
    </w:p>
    <w:p w14:paraId="7D385FAE" w14:textId="77777777" w:rsidR="00D1587D" w:rsidRDefault="00410D07">
      <w:pPr>
        <w:ind w:left="300"/>
        <w:rPr>
          <w:sz w:val="20"/>
          <w:szCs w:val="20"/>
        </w:rPr>
      </w:pPr>
      <w:r>
        <w:rPr>
          <w:rFonts w:ascii="Arial" w:eastAsia="Arial" w:hAnsi="Arial" w:cs="Arial"/>
          <w:sz w:val="16"/>
          <w:szCs w:val="16"/>
        </w:rPr>
        <w:t>Ms. Hauk is eligible to receive a cash retention bonus award in three installments, each in the amount of $800,000,</w:t>
      </w:r>
    </w:p>
    <w:p w14:paraId="76BB8135" w14:textId="77777777" w:rsidR="00D1587D" w:rsidRDefault="00D1587D">
      <w:pPr>
        <w:spacing w:line="32" w:lineRule="exact"/>
        <w:rPr>
          <w:sz w:val="20"/>
          <w:szCs w:val="20"/>
        </w:rPr>
      </w:pPr>
    </w:p>
    <w:p w14:paraId="1258B6C8" w14:textId="77777777" w:rsidR="00D1587D" w:rsidRDefault="00410D07">
      <w:pPr>
        <w:ind w:left="300"/>
        <w:rPr>
          <w:sz w:val="20"/>
          <w:szCs w:val="20"/>
        </w:rPr>
      </w:pPr>
      <w:r>
        <w:rPr>
          <w:rFonts w:ascii="Arial" w:eastAsia="Arial" w:hAnsi="Arial" w:cs="Arial"/>
          <w:sz w:val="17"/>
          <w:szCs w:val="17"/>
        </w:rPr>
        <w:t xml:space="preserve">provided that Ms. Hauk continues to be employed by </w:t>
      </w:r>
      <w:r>
        <w:rPr>
          <w:rFonts w:ascii="Arial" w:eastAsia="Arial" w:hAnsi="Arial" w:cs="Arial"/>
          <w:sz w:val="17"/>
          <w:szCs w:val="17"/>
        </w:rPr>
        <w:t>LB through each of January 31, 2021, July 31, 2021 and</w:t>
      </w:r>
    </w:p>
    <w:p w14:paraId="7068D91D" w14:textId="77777777" w:rsidR="00D1587D" w:rsidRDefault="00D1587D">
      <w:pPr>
        <w:spacing w:line="21" w:lineRule="exact"/>
        <w:rPr>
          <w:sz w:val="20"/>
          <w:szCs w:val="20"/>
        </w:rPr>
      </w:pPr>
    </w:p>
    <w:p w14:paraId="015E322A" w14:textId="77777777" w:rsidR="00D1587D" w:rsidRDefault="00410D07">
      <w:pPr>
        <w:ind w:left="300"/>
        <w:rPr>
          <w:sz w:val="20"/>
          <w:szCs w:val="20"/>
        </w:rPr>
      </w:pPr>
      <w:r>
        <w:rPr>
          <w:rFonts w:ascii="Arial" w:eastAsia="Arial" w:hAnsi="Arial" w:cs="Arial"/>
          <w:sz w:val="16"/>
          <w:szCs w:val="16"/>
        </w:rPr>
        <w:t>January 31, 2022. The retention bonus award for Ms. Hauk that was scheduled to vest on January 31, 2021 was paid</w:t>
      </w:r>
    </w:p>
    <w:p w14:paraId="15B715DB" w14:textId="77777777" w:rsidR="00D1587D" w:rsidRDefault="00D1587D">
      <w:pPr>
        <w:spacing w:line="32" w:lineRule="exact"/>
        <w:rPr>
          <w:sz w:val="20"/>
          <w:szCs w:val="20"/>
        </w:rPr>
      </w:pPr>
    </w:p>
    <w:p w14:paraId="2BCE2690" w14:textId="77777777" w:rsidR="00D1587D" w:rsidRDefault="00410D07">
      <w:pPr>
        <w:ind w:left="300"/>
        <w:rPr>
          <w:sz w:val="20"/>
          <w:szCs w:val="20"/>
        </w:rPr>
      </w:pPr>
      <w:r>
        <w:rPr>
          <w:rFonts w:ascii="Arial" w:eastAsia="Arial" w:hAnsi="Arial" w:cs="Arial"/>
          <w:sz w:val="17"/>
          <w:szCs w:val="17"/>
        </w:rPr>
        <w:t xml:space="preserve">by LB in February 2021. See “NEO Compensation Components—Cash Retention Awards” above </w:t>
      </w:r>
      <w:r>
        <w:rPr>
          <w:rFonts w:ascii="Arial" w:eastAsia="Arial" w:hAnsi="Arial" w:cs="Arial"/>
          <w:sz w:val="17"/>
          <w:szCs w:val="17"/>
        </w:rPr>
        <w:t>for additional</w:t>
      </w:r>
    </w:p>
    <w:p w14:paraId="1EAA238A" w14:textId="77777777" w:rsidR="00D1587D" w:rsidRDefault="00D1587D">
      <w:pPr>
        <w:spacing w:line="21" w:lineRule="exact"/>
        <w:rPr>
          <w:sz w:val="20"/>
          <w:szCs w:val="20"/>
        </w:rPr>
      </w:pPr>
    </w:p>
    <w:p w14:paraId="00223054" w14:textId="77777777" w:rsidR="00D1587D" w:rsidRDefault="00410D07">
      <w:pPr>
        <w:ind w:left="300"/>
        <w:rPr>
          <w:sz w:val="20"/>
          <w:szCs w:val="20"/>
        </w:rPr>
      </w:pPr>
      <w:r>
        <w:rPr>
          <w:rFonts w:ascii="Arial" w:eastAsia="Arial" w:hAnsi="Arial" w:cs="Arial"/>
          <w:sz w:val="18"/>
          <w:szCs w:val="18"/>
        </w:rPr>
        <w:t>details regarding Ms. Hauk’s retention bonus award.</w:t>
      </w:r>
    </w:p>
    <w:p w14:paraId="3AA4B16A" w14:textId="77777777" w:rsidR="00D1587D" w:rsidRDefault="00D1587D">
      <w:pPr>
        <w:spacing w:line="103" w:lineRule="exact"/>
        <w:rPr>
          <w:sz w:val="20"/>
          <w:szCs w:val="20"/>
        </w:rPr>
      </w:pPr>
    </w:p>
    <w:p w14:paraId="5B36F5C1" w14:textId="77777777" w:rsidR="00D1587D" w:rsidRDefault="00410D07">
      <w:pPr>
        <w:spacing w:line="311" w:lineRule="auto"/>
        <w:ind w:left="300" w:right="519" w:firstLine="360"/>
        <w:rPr>
          <w:sz w:val="20"/>
          <w:szCs w:val="20"/>
        </w:rPr>
      </w:pPr>
      <w:r>
        <w:rPr>
          <w:rFonts w:ascii="Arial" w:eastAsia="Arial" w:hAnsi="Arial" w:cs="Arial"/>
          <w:sz w:val="16"/>
          <w:szCs w:val="16"/>
        </w:rPr>
        <w:t>Pursuant to LB’s severance payment practice, in the event Ms. Hauk’s employment is terminated by LB without “cause”, subject to Ms. Hauk’s execution and nonrevocation of a release of clai</w:t>
      </w:r>
      <w:r>
        <w:rPr>
          <w:rFonts w:ascii="Arial" w:eastAsia="Arial" w:hAnsi="Arial" w:cs="Arial"/>
          <w:sz w:val="16"/>
          <w:szCs w:val="16"/>
        </w:rPr>
        <w:t>ms, Ms. Hauk will receive base salary continuation for a period of 24 months following the date on which her employment is terminated.</w:t>
      </w:r>
    </w:p>
    <w:p w14:paraId="667ECD2B" w14:textId="77777777" w:rsidR="00D1587D" w:rsidRDefault="00D1587D">
      <w:pPr>
        <w:spacing w:line="189" w:lineRule="exact"/>
        <w:rPr>
          <w:sz w:val="20"/>
          <w:szCs w:val="20"/>
        </w:rPr>
      </w:pPr>
    </w:p>
    <w:p w14:paraId="2991E595" w14:textId="77777777" w:rsidR="00D1587D" w:rsidRDefault="00410D07">
      <w:pPr>
        <w:ind w:left="660"/>
        <w:rPr>
          <w:sz w:val="20"/>
          <w:szCs w:val="20"/>
        </w:rPr>
      </w:pPr>
      <w:r>
        <w:rPr>
          <w:rFonts w:ascii="Arial" w:eastAsia="Arial" w:hAnsi="Arial" w:cs="Arial"/>
          <w:i/>
          <w:iCs/>
          <w:sz w:val="18"/>
          <w:szCs w:val="18"/>
        </w:rPr>
        <w:t>Mr. Unis’ Retention Agreement</w:t>
      </w:r>
    </w:p>
    <w:p w14:paraId="5D213B60" w14:textId="77777777" w:rsidR="00D1587D" w:rsidRDefault="00D1587D">
      <w:pPr>
        <w:spacing w:line="117" w:lineRule="exact"/>
        <w:rPr>
          <w:sz w:val="20"/>
          <w:szCs w:val="20"/>
        </w:rPr>
      </w:pPr>
    </w:p>
    <w:p w14:paraId="5EEFBF32" w14:textId="77777777" w:rsidR="00D1587D" w:rsidRDefault="00410D07">
      <w:pPr>
        <w:spacing w:line="270" w:lineRule="auto"/>
        <w:ind w:left="300" w:right="319" w:firstLine="360"/>
        <w:rPr>
          <w:sz w:val="20"/>
          <w:szCs w:val="20"/>
        </w:rPr>
      </w:pPr>
      <w:r>
        <w:rPr>
          <w:rFonts w:ascii="Arial" w:eastAsia="Arial" w:hAnsi="Arial" w:cs="Arial"/>
          <w:sz w:val="17"/>
          <w:szCs w:val="17"/>
        </w:rPr>
        <w:t xml:space="preserve">Pursuant to the retention agreement entered into between LB and Mr. Unis effective as of </w:t>
      </w:r>
      <w:r>
        <w:rPr>
          <w:rFonts w:ascii="Arial" w:eastAsia="Arial" w:hAnsi="Arial" w:cs="Arial"/>
          <w:sz w:val="17"/>
          <w:szCs w:val="17"/>
        </w:rPr>
        <w:t>September 15, 2020, Mr. Unis is eligible to receive a cash retention bonus award in three installments, each in the amount of $700,000, provided that Mr. Unis continues to be employed by LB through each of January 31, 2021, July 31, 2021 and January 31, 20</w:t>
      </w:r>
      <w:r>
        <w:rPr>
          <w:rFonts w:ascii="Arial" w:eastAsia="Arial" w:hAnsi="Arial" w:cs="Arial"/>
          <w:sz w:val="17"/>
          <w:szCs w:val="17"/>
        </w:rPr>
        <w:t xml:space="preserve">22. In the event Mr. Unis’ employment is terminated by LB without “cause” or by Mr. Unis for “good reason”, Mr. Unis will continue to receive an amount equal to his base salary for one year from the date on which his employment is terminated. In addition, </w:t>
      </w:r>
      <w:r>
        <w:rPr>
          <w:rFonts w:ascii="Arial" w:eastAsia="Arial" w:hAnsi="Arial" w:cs="Arial"/>
          <w:sz w:val="17"/>
          <w:szCs w:val="17"/>
        </w:rPr>
        <w:t>subject to Mr. Unis’ execution and nonrevocation of a release of claims, LB will pay an amount equal to Mr. Unis’ base salary for an additional 12 months. If Mr. Unis’ employment is terminated by LB without “cause”, Mr. Unis will also be entitled to receiv</w:t>
      </w:r>
      <w:r>
        <w:rPr>
          <w:rFonts w:ascii="Arial" w:eastAsia="Arial" w:hAnsi="Arial" w:cs="Arial"/>
          <w:sz w:val="17"/>
          <w:szCs w:val="17"/>
        </w:rPr>
        <w:t>e the next scheduled retention bonus award payment immediately following the termination date. If</w:t>
      </w:r>
    </w:p>
    <w:p w14:paraId="2E86BB87" w14:textId="77777777" w:rsidR="00D1587D" w:rsidRDefault="00D1587D">
      <w:pPr>
        <w:spacing w:line="181" w:lineRule="exact"/>
        <w:rPr>
          <w:sz w:val="20"/>
          <w:szCs w:val="20"/>
        </w:rPr>
      </w:pPr>
    </w:p>
    <w:p w14:paraId="01D50622" w14:textId="77777777" w:rsidR="00D1587D" w:rsidRDefault="00410D07">
      <w:pPr>
        <w:ind w:right="19"/>
        <w:jc w:val="center"/>
        <w:rPr>
          <w:sz w:val="20"/>
          <w:szCs w:val="20"/>
        </w:rPr>
      </w:pPr>
      <w:r>
        <w:rPr>
          <w:rFonts w:ascii="Arial" w:eastAsia="Arial" w:hAnsi="Arial" w:cs="Arial"/>
          <w:sz w:val="18"/>
          <w:szCs w:val="18"/>
        </w:rPr>
        <w:t>124</w:t>
      </w:r>
    </w:p>
    <w:p w14:paraId="645902E4" w14:textId="77777777" w:rsidR="00D1587D" w:rsidRDefault="00410D07">
      <w:pPr>
        <w:spacing w:line="20" w:lineRule="exact"/>
        <w:rPr>
          <w:sz w:val="20"/>
          <w:szCs w:val="20"/>
        </w:rPr>
      </w:pPr>
      <w:r>
        <w:rPr>
          <w:noProof/>
          <w:sz w:val="20"/>
          <w:szCs w:val="20"/>
        </w:rPr>
        <w:drawing>
          <wp:anchor distT="0" distB="0" distL="114300" distR="114300" simplePos="0" relativeHeight="251964416" behindDoc="1" locked="0" layoutInCell="0" allowOverlap="1" wp14:anchorId="0CB04A19" wp14:editId="6217621E">
            <wp:simplePos x="0" y="0"/>
            <wp:positionH relativeFrom="column">
              <wp:posOffset>-636905</wp:posOffset>
            </wp:positionH>
            <wp:positionV relativeFrom="paragraph">
              <wp:posOffset>126365</wp:posOffset>
            </wp:positionV>
            <wp:extent cx="6995160" cy="17145"/>
            <wp:effectExtent l="0" t="0" r="0" b="0"/>
            <wp:wrapNone/>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5D0DC0B" w14:textId="77777777" w:rsidR="00D1587D" w:rsidRDefault="00D1587D">
      <w:pPr>
        <w:sectPr w:rsidR="00D1587D">
          <w:pgSz w:w="11900" w:h="16838"/>
          <w:pgMar w:top="265" w:right="1440" w:bottom="1440" w:left="1440" w:header="0" w:footer="0" w:gutter="0"/>
          <w:cols w:space="720" w:equalWidth="0">
            <w:col w:w="9019"/>
          </w:cols>
        </w:sectPr>
      </w:pPr>
    </w:p>
    <w:bookmarkStart w:id="382" w:name="page383"/>
    <w:bookmarkEnd w:id="382"/>
    <w:p w14:paraId="78965C1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B581D93" w14:textId="77777777" w:rsidR="00D1587D" w:rsidRDefault="00D1587D">
      <w:pPr>
        <w:spacing w:line="131" w:lineRule="exact"/>
        <w:rPr>
          <w:sz w:val="20"/>
          <w:szCs w:val="20"/>
        </w:rPr>
      </w:pPr>
    </w:p>
    <w:p w14:paraId="3E7358DC" w14:textId="77777777" w:rsidR="00D1587D" w:rsidRDefault="00410D07">
      <w:pPr>
        <w:spacing w:line="296" w:lineRule="auto"/>
        <w:ind w:left="300" w:right="319"/>
        <w:rPr>
          <w:sz w:val="20"/>
          <w:szCs w:val="20"/>
        </w:rPr>
      </w:pPr>
      <w:r>
        <w:rPr>
          <w:rFonts w:ascii="Arial" w:eastAsia="Arial" w:hAnsi="Arial" w:cs="Arial"/>
          <w:sz w:val="16"/>
          <w:szCs w:val="16"/>
        </w:rPr>
        <w:t xml:space="preserve">Mr. Unis’ employment is terminated by LB or its successor without “cause” or by Mr. </w:t>
      </w:r>
      <w:r>
        <w:rPr>
          <w:rFonts w:ascii="Arial" w:eastAsia="Arial" w:hAnsi="Arial" w:cs="Arial"/>
          <w:sz w:val="16"/>
          <w:szCs w:val="16"/>
        </w:rPr>
        <w:t xml:space="preserve">Unis for “good reason” within the 24 months following a “change in control”, then Mr. Unis will be eligible to receive the next scheduled retention bonus award payment immediately following the termination date. The retention bonus award for Mr. Unis that </w:t>
      </w:r>
      <w:r>
        <w:rPr>
          <w:rFonts w:ascii="Arial" w:eastAsia="Arial" w:hAnsi="Arial" w:cs="Arial"/>
          <w:sz w:val="16"/>
          <w:szCs w:val="16"/>
        </w:rPr>
        <w:t>was scheduled to vest on January 31, 2021 was paid by LB in February 2021. See “</w:t>
      </w:r>
      <w:r>
        <w:rPr>
          <w:rFonts w:ascii="Arial" w:eastAsia="Arial" w:hAnsi="Arial" w:cs="Arial"/>
          <w:i/>
          <w:iCs/>
          <w:sz w:val="16"/>
          <w:szCs w:val="16"/>
        </w:rPr>
        <w:t>NEO Compensation Components—</w:t>
      </w:r>
      <w:r>
        <w:rPr>
          <w:rFonts w:ascii="Arial" w:eastAsia="Arial" w:hAnsi="Arial" w:cs="Arial"/>
          <w:sz w:val="16"/>
          <w:szCs w:val="16"/>
        </w:rPr>
        <w:t xml:space="preserve"> </w:t>
      </w:r>
      <w:r>
        <w:rPr>
          <w:rFonts w:ascii="Arial" w:eastAsia="Arial" w:hAnsi="Arial" w:cs="Arial"/>
          <w:i/>
          <w:iCs/>
          <w:sz w:val="16"/>
          <w:szCs w:val="16"/>
        </w:rPr>
        <w:t>Cash Retention Awards</w:t>
      </w:r>
      <w:r>
        <w:rPr>
          <w:rFonts w:ascii="Arial" w:eastAsia="Arial" w:hAnsi="Arial" w:cs="Arial"/>
          <w:sz w:val="16"/>
          <w:szCs w:val="16"/>
        </w:rPr>
        <w:t>” above for additional details regarding Mr. Unis’ retention bonus award payment.</w:t>
      </w:r>
    </w:p>
    <w:p w14:paraId="6A24BC32" w14:textId="77777777" w:rsidR="00D1587D" w:rsidRDefault="00D1587D">
      <w:pPr>
        <w:spacing w:line="283" w:lineRule="exact"/>
        <w:rPr>
          <w:sz w:val="20"/>
          <w:szCs w:val="20"/>
        </w:rPr>
      </w:pPr>
    </w:p>
    <w:p w14:paraId="1E54C6EC" w14:textId="77777777" w:rsidR="00D1587D" w:rsidRDefault="00410D07">
      <w:pPr>
        <w:ind w:left="660"/>
        <w:rPr>
          <w:sz w:val="20"/>
          <w:szCs w:val="20"/>
        </w:rPr>
      </w:pPr>
      <w:r>
        <w:rPr>
          <w:rFonts w:ascii="Arial" w:eastAsia="Arial" w:hAnsi="Arial" w:cs="Arial"/>
          <w:i/>
          <w:iCs/>
          <w:sz w:val="18"/>
          <w:szCs w:val="18"/>
        </w:rPr>
        <w:t xml:space="preserve">Mr. Burgdoerfer’s Employment and Retention </w:t>
      </w:r>
      <w:r>
        <w:rPr>
          <w:rFonts w:ascii="Arial" w:eastAsia="Arial" w:hAnsi="Arial" w:cs="Arial"/>
          <w:i/>
          <w:iCs/>
          <w:sz w:val="18"/>
          <w:szCs w:val="18"/>
        </w:rPr>
        <w:t>Bonus Agreements</w:t>
      </w:r>
    </w:p>
    <w:p w14:paraId="35600FC5" w14:textId="77777777" w:rsidR="00D1587D" w:rsidRDefault="00D1587D">
      <w:pPr>
        <w:spacing w:line="117" w:lineRule="exact"/>
        <w:rPr>
          <w:sz w:val="20"/>
          <w:szCs w:val="20"/>
        </w:rPr>
      </w:pPr>
    </w:p>
    <w:p w14:paraId="4149CFB5" w14:textId="77777777" w:rsidR="00D1587D" w:rsidRDefault="00410D07">
      <w:pPr>
        <w:spacing w:line="291" w:lineRule="auto"/>
        <w:ind w:left="300" w:right="479" w:firstLine="360"/>
        <w:rPr>
          <w:sz w:val="20"/>
          <w:szCs w:val="20"/>
        </w:rPr>
      </w:pPr>
      <w:r>
        <w:rPr>
          <w:rFonts w:ascii="Arial" w:eastAsia="Arial" w:hAnsi="Arial" w:cs="Arial"/>
          <w:sz w:val="16"/>
          <w:szCs w:val="16"/>
        </w:rPr>
        <w:t>Pursuant to Mr. Burgdoerfer’s employment agreement with LB, effective as of April 9, 2007 (as subsequently amended), in the event of a termination of Mr. Burgdoerfer’s employment by LB other than for “cause” or by</w:t>
      </w:r>
    </w:p>
    <w:p w14:paraId="47B2361C" w14:textId="77777777" w:rsidR="00D1587D" w:rsidRDefault="00410D07">
      <w:pPr>
        <w:spacing w:line="265" w:lineRule="auto"/>
        <w:ind w:left="300" w:right="399"/>
        <w:rPr>
          <w:sz w:val="20"/>
          <w:szCs w:val="20"/>
        </w:rPr>
      </w:pPr>
      <w:r>
        <w:rPr>
          <w:rFonts w:ascii="Arial" w:eastAsia="Arial" w:hAnsi="Arial" w:cs="Arial"/>
          <w:sz w:val="17"/>
          <w:szCs w:val="17"/>
        </w:rPr>
        <w:t>Mr. Burgdoerfer for “goo</w:t>
      </w:r>
      <w:r>
        <w:rPr>
          <w:rFonts w:ascii="Arial" w:eastAsia="Arial" w:hAnsi="Arial" w:cs="Arial"/>
          <w:sz w:val="17"/>
          <w:szCs w:val="17"/>
        </w:rPr>
        <w:t>d reason”, other than during the 24-month period following a “change in control”, LB will provide to Mr. Burgdoerfer (i) continued payment of Mr. Burgdoerfer’s base salary for 12 months following the termination date, (ii) for a period up to 18 months foll</w:t>
      </w:r>
      <w:r>
        <w:rPr>
          <w:rFonts w:ascii="Arial" w:eastAsia="Arial" w:hAnsi="Arial" w:cs="Arial"/>
          <w:sz w:val="17"/>
          <w:szCs w:val="17"/>
        </w:rPr>
        <w:t>owing the termination of employment, LB will provide</w:t>
      </w:r>
    </w:p>
    <w:p w14:paraId="1AD2A478" w14:textId="77777777" w:rsidR="00D1587D" w:rsidRDefault="00410D07">
      <w:pPr>
        <w:spacing w:line="281" w:lineRule="auto"/>
        <w:ind w:left="300" w:right="739"/>
        <w:rPr>
          <w:sz w:val="20"/>
          <w:szCs w:val="20"/>
        </w:rPr>
      </w:pPr>
      <w:r>
        <w:rPr>
          <w:rFonts w:ascii="Arial" w:eastAsia="Arial" w:hAnsi="Arial" w:cs="Arial"/>
          <w:sz w:val="16"/>
          <w:szCs w:val="16"/>
        </w:rPr>
        <w:t>Mr. Burgdoerfer and his beneficiaries (at LB’s expense) medical and dental benefits substantially similar in the aggregate to those provided to Mr. Burgdoerfer prior to the date of his termination of emp</w:t>
      </w:r>
      <w:r>
        <w:rPr>
          <w:rFonts w:ascii="Arial" w:eastAsia="Arial" w:hAnsi="Arial" w:cs="Arial"/>
          <w:sz w:val="16"/>
          <w:szCs w:val="16"/>
        </w:rPr>
        <w:t>loyment and (iii) if</w:t>
      </w:r>
    </w:p>
    <w:p w14:paraId="1DFC5056" w14:textId="77777777" w:rsidR="00D1587D" w:rsidRDefault="00D1587D">
      <w:pPr>
        <w:spacing w:line="1" w:lineRule="exact"/>
        <w:rPr>
          <w:sz w:val="20"/>
          <w:szCs w:val="20"/>
        </w:rPr>
      </w:pPr>
    </w:p>
    <w:p w14:paraId="73A2A451" w14:textId="77777777" w:rsidR="00D1587D" w:rsidRDefault="00410D07">
      <w:pPr>
        <w:spacing w:line="284" w:lineRule="auto"/>
        <w:ind w:left="300" w:right="319"/>
        <w:rPr>
          <w:sz w:val="20"/>
          <w:szCs w:val="20"/>
        </w:rPr>
      </w:pPr>
      <w:r>
        <w:rPr>
          <w:rFonts w:ascii="Arial" w:eastAsia="Arial" w:hAnsi="Arial" w:cs="Arial"/>
          <w:sz w:val="16"/>
          <w:szCs w:val="16"/>
        </w:rPr>
        <w:t>Mr. Burgdoerfer executes and does not revoke a general waiver and release in favor of LB, (x) continued payment of Mr. Burgdoerfer’s base salary for an additional 12 months following the termination date and (y) the incentive compensa</w:t>
      </w:r>
      <w:r>
        <w:rPr>
          <w:rFonts w:ascii="Arial" w:eastAsia="Arial" w:hAnsi="Arial" w:cs="Arial"/>
          <w:sz w:val="16"/>
          <w:szCs w:val="16"/>
        </w:rPr>
        <w:t>tion Mr. Burgdoerfer would have received if he had remained an employee of LB for one year following the termination date. If such termination occurs within the 24-month period following a “change in control”, subject to Mr. Burgdoerfer’s execution and non</w:t>
      </w:r>
      <w:r>
        <w:rPr>
          <w:rFonts w:ascii="Arial" w:eastAsia="Arial" w:hAnsi="Arial" w:cs="Arial"/>
          <w:sz w:val="16"/>
          <w:szCs w:val="16"/>
        </w:rPr>
        <w:t xml:space="preserve">revocation of a general waiver and release of claims in favor of LB, LB will provide to Mr. Burgdoerfer (i) an amount equal to two times his base salary, (ii) an amount equal to the sum of the last four bonus payments </w:t>
      </w:r>
      <w:r>
        <w:rPr>
          <w:rFonts w:ascii="Arial" w:eastAsia="Arial" w:hAnsi="Arial" w:cs="Arial"/>
          <w:i/>
          <w:iCs/>
          <w:sz w:val="16"/>
          <w:szCs w:val="16"/>
        </w:rPr>
        <w:t>plus</w:t>
      </w:r>
      <w:r>
        <w:rPr>
          <w:rFonts w:ascii="Arial" w:eastAsia="Arial" w:hAnsi="Arial" w:cs="Arial"/>
          <w:sz w:val="16"/>
          <w:szCs w:val="16"/>
        </w:rPr>
        <w:t xml:space="preserve"> a prorated amount for the season </w:t>
      </w:r>
      <w:r>
        <w:rPr>
          <w:rFonts w:ascii="Arial" w:eastAsia="Arial" w:hAnsi="Arial" w:cs="Arial"/>
          <w:sz w:val="16"/>
          <w:szCs w:val="16"/>
        </w:rPr>
        <w:t>in which his employment is terminated (based on the average of such four prior bonus payments), (iii) reimbursement for all documented legal fees and expenses incurred in seeking to obtain or enforce any rights provided in the Burgdoerfer Agreement and (iv</w:t>
      </w:r>
      <w:r>
        <w:rPr>
          <w:rFonts w:ascii="Arial" w:eastAsia="Arial" w:hAnsi="Arial" w:cs="Arial"/>
          <w:sz w:val="16"/>
          <w:szCs w:val="16"/>
        </w:rPr>
        <w:t xml:space="preserve">) for a period of 18 months following the termination of employment (or earlier if Mr. Burgdoerfer becomes subsequently employed), LB will provide Mr. Burgdoerfer and his beneficiaries (at LB’s expense) medical and dental benefits substantially similar in </w:t>
      </w:r>
      <w:r>
        <w:rPr>
          <w:rFonts w:ascii="Arial" w:eastAsia="Arial" w:hAnsi="Arial" w:cs="Arial"/>
          <w:sz w:val="16"/>
          <w:szCs w:val="16"/>
        </w:rPr>
        <w:t>the aggregate to those provided to Mr. Burgdoerfer prior to the date of his termination of employment. Following a termination of employment for any reason, Mr. Burgdoerfer will be subject to non-competition and non-solicitation covenants for 12 months fol</w:t>
      </w:r>
      <w:r>
        <w:rPr>
          <w:rFonts w:ascii="Arial" w:eastAsia="Arial" w:hAnsi="Arial" w:cs="Arial"/>
          <w:sz w:val="16"/>
          <w:szCs w:val="16"/>
        </w:rPr>
        <w:t>lowing the termination date.</w:t>
      </w:r>
    </w:p>
    <w:p w14:paraId="4186B6A7" w14:textId="77777777" w:rsidR="00D1587D" w:rsidRDefault="00D1587D">
      <w:pPr>
        <w:spacing w:line="70" w:lineRule="exact"/>
        <w:rPr>
          <w:sz w:val="20"/>
          <w:szCs w:val="20"/>
        </w:rPr>
      </w:pPr>
    </w:p>
    <w:p w14:paraId="681A0EFD" w14:textId="77777777" w:rsidR="00D1587D" w:rsidRDefault="00410D07">
      <w:pPr>
        <w:ind w:right="439"/>
        <w:jc w:val="center"/>
        <w:rPr>
          <w:sz w:val="20"/>
          <w:szCs w:val="20"/>
        </w:rPr>
      </w:pPr>
      <w:r>
        <w:rPr>
          <w:rFonts w:ascii="Arial" w:eastAsia="Arial" w:hAnsi="Arial" w:cs="Arial"/>
          <w:sz w:val="18"/>
          <w:szCs w:val="18"/>
        </w:rPr>
        <w:t>In addition, upon a termination of Mr. Burgdoerfer’s employment by LB other than for “cause” or by</w:t>
      </w:r>
    </w:p>
    <w:p w14:paraId="4ABDF672" w14:textId="77777777" w:rsidR="00D1587D" w:rsidRDefault="00D1587D">
      <w:pPr>
        <w:spacing w:line="23" w:lineRule="exact"/>
        <w:rPr>
          <w:sz w:val="20"/>
          <w:szCs w:val="20"/>
        </w:rPr>
      </w:pPr>
    </w:p>
    <w:p w14:paraId="74A45AE3" w14:textId="77777777" w:rsidR="00D1587D" w:rsidRDefault="00410D07">
      <w:pPr>
        <w:spacing w:line="281" w:lineRule="auto"/>
        <w:ind w:left="300" w:right="459"/>
        <w:rPr>
          <w:sz w:val="20"/>
          <w:szCs w:val="20"/>
        </w:rPr>
      </w:pPr>
      <w:r>
        <w:rPr>
          <w:rFonts w:ascii="Arial" w:eastAsia="Arial" w:hAnsi="Arial" w:cs="Arial"/>
          <w:sz w:val="16"/>
          <w:szCs w:val="16"/>
        </w:rPr>
        <w:t xml:space="preserve">Mr. Burgdoerfer for “good reason” in connection with a “change in control,” a prorated amount of his retention bonus award determined based on (i) the product of (a) the total amount of his retention bonus award </w:t>
      </w:r>
      <w:r>
        <w:rPr>
          <w:rFonts w:ascii="Arial" w:eastAsia="Arial" w:hAnsi="Arial" w:cs="Arial"/>
          <w:i/>
          <w:iCs/>
          <w:sz w:val="16"/>
          <w:szCs w:val="16"/>
        </w:rPr>
        <w:t>multiplied by</w:t>
      </w:r>
    </w:p>
    <w:p w14:paraId="603FB0BF" w14:textId="77777777" w:rsidR="00D1587D" w:rsidRDefault="00D1587D">
      <w:pPr>
        <w:spacing w:line="1" w:lineRule="exact"/>
        <w:rPr>
          <w:sz w:val="20"/>
          <w:szCs w:val="20"/>
        </w:rPr>
      </w:pPr>
    </w:p>
    <w:p w14:paraId="066C7A03" w14:textId="77777777" w:rsidR="00D1587D" w:rsidRDefault="00410D07" w:rsidP="00410D07">
      <w:pPr>
        <w:numPr>
          <w:ilvl w:val="0"/>
          <w:numId w:val="327"/>
        </w:numPr>
        <w:tabs>
          <w:tab w:val="left" w:pos="555"/>
        </w:tabs>
        <w:spacing w:line="271" w:lineRule="auto"/>
        <w:ind w:left="300" w:right="319" w:hanging="8"/>
        <w:rPr>
          <w:rFonts w:ascii="Arial" w:eastAsia="Arial" w:hAnsi="Arial" w:cs="Arial"/>
          <w:sz w:val="17"/>
          <w:szCs w:val="17"/>
        </w:rPr>
      </w:pPr>
      <w:r>
        <w:rPr>
          <w:rFonts w:ascii="Arial" w:eastAsia="Arial" w:hAnsi="Arial" w:cs="Arial"/>
          <w:sz w:val="17"/>
          <w:szCs w:val="17"/>
        </w:rPr>
        <w:t xml:space="preserve">a fraction, the numerator of </w:t>
      </w:r>
      <w:r>
        <w:rPr>
          <w:rFonts w:ascii="Arial" w:eastAsia="Arial" w:hAnsi="Arial" w:cs="Arial"/>
          <w:sz w:val="17"/>
          <w:szCs w:val="17"/>
        </w:rPr>
        <w:t xml:space="preserve">which is the number of days elapsed from May 14, 2020 through the date of termination and the denominator of which is 627 </w:t>
      </w:r>
      <w:r>
        <w:rPr>
          <w:rFonts w:ascii="Arial" w:eastAsia="Arial" w:hAnsi="Arial" w:cs="Arial"/>
          <w:i/>
          <w:iCs/>
          <w:sz w:val="17"/>
          <w:szCs w:val="17"/>
        </w:rPr>
        <w:t>minus</w:t>
      </w:r>
      <w:r>
        <w:rPr>
          <w:rFonts w:ascii="Arial" w:eastAsia="Arial" w:hAnsi="Arial" w:cs="Arial"/>
          <w:sz w:val="17"/>
          <w:szCs w:val="17"/>
        </w:rPr>
        <w:t xml:space="preserve"> (ii) any amount of the retention bonus award previously paid to Mr. Burgdoerfer. The retention bonus award for Mr. Burgdoerfer t</w:t>
      </w:r>
      <w:r>
        <w:rPr>
          <w:rFonts w:ascii="Arial" w:eastAsia="Arial" w:hAnsi="Arial" w:cs="Arial"/>
          <w:sz w:val="17"/>
          <w:szCs w:val="17"/>
        </w:rPr>
        <w:t>hat was scheduled to vest on January 31, 2021 was paid by LB in February 2021. See “</w:t>
      </w:r>
      <w:r>
        <w:rPr>
          <w:rFonts w:ascii="Arial" w:eastAsia="Arial" w:hAnsi="Arial" w:cs="Arial"/>
          <w:i/>
          <w:iCs/>
          <w:sz w:val="17"/>
          <w:szCs w:val="17"/>
        </w:rPr>
        <w:t>NEO Compensation Components—Cash Retention Awards</w:t>
      </w:r>
      <w:r>
        <w:rPr>
          <w:rFonts w:ascii="Arial" w:eastAsia="Arial" w:hAnsi="Arial" w:cs="Arial"/>
          <w:sz w:val="17"/>
          <w:szCs w:val="17"/>
        </w:rPr>
        <w:t>” above for additional details regarding Mr. Burgdoerfer’s retention bonus award payment.</w:t>
      </w:r>
    </w:p>
    <w:p w14:paraId="0A918AC7" w14:textId="77777777" w:rsidR="00D1587D" w:rsidRDefault="00D1587D">
      <w:pPr>
        <w:spacing w:line="300" w:lineRule="exact"/>
        <w:rPr>
          <w:sz w:val="20"/>
          <w:szCs w:val="20"/>
        </w:rPr>
      </w:pPr>
    </w:p>
    <w:p w14:paraId="0C85A4ED" w14:textId="77777777" w:rsidR="00D1587D" w:rsidRDefault="00410D07">
      <w:pPr>
        <w:ind w:left="660"/>
        <w:rPr>
          <w:sz w:val="20"/>
          <w:szCs w:val="20"/>
        </w:rPr>
      </w:pPr>
      <w:r>
        <w:rPr>
          <w:rFonts w:ascii="Arial" w:eastAsia="Arial" w:hAnsi="Arial" w:cs="Arial"/>
          <w:i/>
          <w:iCs/>
          <w:sz w:val="18"/>
          <w:szCs w:val="18"/>
        </w:rPr>
        <w:t>Mr. Mehas’ Release Agreement</w:t>
      </w:r>
    </w:p>
    <w:p w14:paraId="7E14C726" w14:textId="77777777" w:rsidR="00D1587D" w:rsidRDefault="00D1587D">
      <w:pPr>
        <w:spacing w:line="117" w:lineRule="exact"/>
        <w:rPr>
          <w:sz w:val="20"/>
          <w:szCs w:val="20"/>
        </w:rPr>
      </w:pPr>
    </w:p>
    <w:p w14:paraId="7E28FFB3" w14:textId="77777777" w:rsidR="00D1587D" w:rsidRDefault="00410D07">
      <w:pPr>
        <w:spacing w:line="272" w:lineRule="auto"/>
        <w:ind w:left="300" w:right="379" w:firstLine="360"/>
        <w:rPr>
          <w:sz w:val="20"/>
          <w:szCs w:val="20"/>
        </w:rPr>
      </w:pPr>
      <w:r>
        <w:rPr>
          <w:rFonts w:ascii="Arial" w:eastAsia="Arial" w:hAnsi="Arial" w:cs="Arial"/>
          <w:sz w:val="17"/>
          <w:szCs w:val="17"/>
        </w:rPr>
        <w:t>Pursuant to the Release Agreement entered into between LB and Mr. Mehas in connection with his termination of employment effective as of November 24, 2020, subject to Mr. Mehas’ execution and nonrevocation of a release of claims and his compliance with app</w:t>
      </w:r>
      <w:r>
        <w:rPr>
          <w:rFonts w:ascii="Arial" w:eastAsia="Arial" w:hAnsi="Arial" w:cs="Arial"/>
          <w:sz w:val="17"/>
          <w:szCs w:val="17"/>
        </w:rPr>
        <w:t>licable restrictive covenants, Mr. Mehas received the following benefits from LB: (i) continued payment of his base salary for 24 months following the termination date; (ii) incentive compensation that Mr. Mehas would have received had Mr. Mehas remained a</w:t>
      </w:r>
      <w:r>
        <w:rPr>
          <w:rFonts w:ascii="Arial" w:eastAsia="Arial" w:hAnsi="Arial" w:cs="Arial"/>
          <w:sz w:val="17"/>
          <w:szCs w:val="17"/>
        </w:rPr>
        <w:t>n employee of LB for one year following the termination date and (iii) the vesting of a prorated number of RSUs, to be settled following the end of the restricted period as of February 11, 2022.</w:t>
      </w:r>
    </w:p>
    <w:p w14:paraId="05E682D2" w14:textId="77777777" w:rsidR="00D1587D" w:rsidRDefault="00D1587D">
      <w:pPr>
        <w:spacing w:line="299" w:lineRule="exact"/>
        <w:rPr>
          <w:sz w:val="20"/>
          <w:szCs w:val="20"/>
        </w:rPr>
      </w:pPr>
    </w:p>
    <w:p w14:paraId="77357173" w14:textId="77777777" w:rsidR="00D1587D" w:rsidRDefault="00410D07">
      <w:pPr>
        <w:ind w:left="660"/>
        <w:rPr>
          <w:sz w:val="20"/>
          <w:szCs w:val="20"/>
        </w:rPr>
      </w:pPr>
      <w:r>
        <w:rPr>
          <w:rFonts w:ascii="Arial" w:eastAsia="Arial" w:hAnsi="Arial" w:cs="Arial"/>
          <w:i/>
          <w:iCs/>
          <w:sz w:val="18"/>
          <w:szCs w:val="18"/>
        </w:rPr>
        <w:t>Definitions of “Cause” and “Good Reason”</w:t>
      </w:r>
    </w:p>
    <w:p w14:paraId="584E4DB3" w14:textId="77777777" w:rsidR="00D1587D" w:rsidRDefault="00D1587D">
      <w:pPr>
        <w:spacing w:line="117" w:lineRule="exact"/>
        <w:rPr>
          <w:sz w:val="20"/>
          <w:szCs w:val="20"/>
        </w:rPr>
      </w:pPr>
    </w:p>
    <w:p w14:paraId="4F07AEDB" w14:textId="77777777" w:rsidR="00D1587D" w:rsidRDefault="00410D07">
      <w:pPr>
        <w:spacing w:line="301" w:lineRule="auto"/>
        <w:ind w:left="300" w:right="399" w:firstLine="360"/>
        <w:rPr>
          <w:sz w:val="20"/>
          <w:szCs w:val="20"/>
        </w:rPr>
      </w:pPr>
      <w:r>
        <w:rPr>
          <w:rFonts w:ascii="Arial" w:eastAsia="Arial" w:hAnsi="Arial" w:cs="Arial"/>
          <w:sz w:val="16"/>
          <w:szCs w:val="16"/>
        </w:rPr>
        <w:t>The agreements for</w:t>
      </w:r>
      <w:r>
        <w:rPr>
          <w:rFonts w:ascii="Arial" w:eastAsia="Arial" w:hAnsi="Arial" w:cs="Arial"/>
          <w:sz w:val="16"/>
          <w:szCs w:val="16"/>
        </w:rPr>
        <w:t xml:space="preserve"> Messrs. Waters, Unis and Burgdoerfer contain customary definitions of “cause” and “good reason”. “Cause” generally means that (1) the NEO was grossly negligent in the performance of his duties with LB (or, in Mr. Burgdoerfer’s case, he willfully failed to</w:t>
      </w:r>
      <w:r>
        <w:rPr>
          <w:rFonts w:ascii="Arial" w:eastAsia="Arial" w:hAnsi="Arial" w:cs="Arial"/>
          <w:sz w:val="16"/>
          <w:szCs w:val="16"/>
        </w:rPr>
        <w:t xml:space="preserve"> perform his duties with LB) (in each case other than a failure resulting from the NEO’s incapacity due to physical or mental illness); (2) the NEO has pled</w:t>
      </w:r>
    </w:p>
    <w:p w14:paraId="74CBF7CC" w14:textId="77777777" w:rsidR="00D1587D" w:rsidRDefault="00D1587D">
      <w:pPr>
        <w:spacing w:line="157" w:lineRule="exact"/>
        <w:rPr>
          <w:sz w:val="20"/>
          <w:szCs w:val="20"/>
        </w:rPr>
      </w:pPr>
    </w:p>
    <w:p w14:paraId="4FEE510F" w14:textId="77777777" w:rsidR="00D1587D" w:rsidRDefault="00410D07">
      <w:pPr>
        <w:ind w:right="19"/>
        <w:jc w:val="center"/>
        <w:rPr>
          <w:sz w:val="20"/>
          <w:szCs w:val="20"/>
        </w:rPr>
      </w:pPr>
      <w:r>
        <w:rPr>
          <w:rFonts w:ascii="Arial" w:eastAsia="Arial" w:hAnsi="Arial" w:cs="Arial"/>
          <w:sz w:val="18"/>
          <w:szCs w:val="18"/>
        </w:rPr>
        <w:t>125</w:t>
      </w:r>
    </w:p>
    <w:p w14:paraId="04A88159" w14:textId="77777777" w:rsidR="00D1587D" w:rsidRDefault="00410D07">
      <w:pPr>
        <w:spacing w:line="20" w:lineRule="exact"/>
        <w:rPr>
          <w:sz w:val="20"/>
          <w:szCs w:val="20"/>
        </w:rPr>
      </w:pPr>
      <w:r>
        <w:rPr>
          <w:noProof/>
          <w:sz w:val="20"/>
          <w:szCs w:val="20"/>
        </w:rPr>
        <w:drawing>
          <wp:anchor distT="0" distB="0" distL="114300" distR="114300" simplePos="0" relativeHeight="251965440" behindDoc="1" locked="0" layoutInCell="0" allowOverlap="1" wp14:anchorId="361C0C37" wp14:editId="6D0D625C">
            <wp:simplePos x="0" y="0"/>
            <wp:positionH relativeFrom="column">
              <wp:posOffset>-636905</wp:posOffset>
            </wp:positionH>
            <wp:positionV relativeFrom="paragraph">
              <wp:posOffset>126365</wp:posOffset>
            </wp:positionV>
            <wp:extent cx="6995160" cy="17145"/>
            <wp:effectExtent l="0" t="0" r="0" b="0"/>
            <wp:wrapNone/>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F76DF17" w14:textId="77777777" w:rsidR="00D1587D" w:rsidRDefault="00D1587D">
      <w:pPr>
        <w:sectPr w:rsidR="00D1587D">
          <w:pgSz w:w="11900" w:h="16838"/>
          <w:pgMar w:top="265" w:right="1440" w:bottom="1440" w:left="1440" w:header="0" w:footer="0" w:gutter="0"/>
          <w:cols w:space="720" w:equalWidth="0">
            <w:col w:w="9019"/>
          </w:cols>
        </w:sectPr>
      </w:pPr>
    </w:p>
    <w:bookmarkStart w:id="383" w:name="page384"/>
    <w:bookmarkEnd w:id="383"/>
    <w:p w14:paraId="1E59523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3B2FDA9" w14:textId="77777777" w:rsidR="00D1587D" w:rsidRDefault="00D1587D">
      <w:pPr>
        <w:spacing w:line="131" w:lineRule="exact"/>
        <w:rPr>
          <w:sz w:val="20"/>
          <w:szCs w:val="20"/>
        </w:rPr>
      </w:pPr>
    </w:p>
    <w:p w14:paraId="64BA30C2" w14:textId="77777777" w:rsidR="00D1587D" w:rsidRDefault="00410D07">
      <w:pPr>
        <w:ind w:left="300"/>
        <w:rPr>
          <w:sz w:val="20"/>
          <w:szCs w:val="20"/>
        </w:rPr>
      </w:pPr>
      <w:r>
        <w:rPr>
          <w:rFonts w:ascii="Arial" w:eastAsia="Arial" w:hAnsi="Arial" w:cs="Arial"/>
          <w:sz w:val="16"/>
          <w:szCs w:val="16"/>
        </w:rPr>
        <w:t xml:space="preserve">“guilty” or “no </w:t>
      </w:r>
      <w:r>
        <w:rPr>
          <w:rFonts w:ascii="Arial" w:eastAsia="Arial" w:hAnsi="Arial" w:cs="Arial"/>
          <w:sz w:val="16"/>
          <w:szCs w:val="16"/>
        </w:rPr>
        <w:t>contest” to or has been convicted of an act which is defined as a felony under federal or state law; or</w:t>
      </w:r>
    </w:p>
    <w:p w14:paraId="55ED5FB0" w14:textId="77777777" w:rsidR="00D1587D" w:rsidRDefault="00D1587D">
      <w:pPr>
        <w:spacing w:line="46" w:lineRule="exact"/>
        <w:rPr>
          <w:sz w:val="20"/>
          <w:szCs w:val="20"/>
        </w:rPr>
      </w:pPr>
    </w:p>
    <w:p w14:paraId="0E7CBB48" w14:textId="77777777" w:rsidR="00D1587D" w:rsidRDefault="00410D07" w:rsidP="00410D07">
      <w:pPr>
        <w:numPr>
          <w:ilvl w:val="0"/>
          <w:numId w:val="328"/>
        </w:numPr>
        <w:tabs>
          <w:tab w:val="left" w:pos="555"/>
        </w:tabs>
        <w:spacing w:line="260" w:lineRule="auto"/>
        <w:ind w:left="300" w:right="539" w:hanging="8"/>
        <w:rPr>
          <w:rFonts w:ascii="Arial" w:eastAsia="Arial" w:hAnsi="Arial" w:cs="Arial"/>
          <w:sz w:val="18"/>
          <w:szCs w:val="18"/>
        </w:rPr>
      </w:pPr>
      <w:r>
        <w:rPr>
          <w:rFonts w:ascii="Arial" w:eastAsia="Arial" w:hAnsi="Arial" w:cs="Arial"/>
          <w:sz w:val="18"/>
          <w:szCs w:val="18"/>
        </w:rPr>
        <w:t>the NEO engaged in misconduct in bad faith (or, in Mr. Burgdoerfer’s case “willful misconduct”) which could reasonably be expected to materially harm L</w:t>
      </w:r>
      <w:r>
        <w:rPr>
          <w:rFonts w:ascii="Arial" w:eastAsia="Arial" w:hAnsi="Arial" w:cs="Arial"/>
          <w:sz w:val="18"/>
          <w:szCs w:val="18"/>
        </w:rPr>
        <w:t>B’s business or its reputation.</w:t>
      </w:r>
    </w:p>
    <w:p w14:paraId="6229728D" w14:textId="77777777" w:rsidR="00D1587D" w:rsidRDefault="00D1587D">
      <w:pPr>
        <w:spacing w:line="77" w:lineRule="exact"/>
        <w:rPr>
          <w:sz w:val="20"/>
          <w:szCs w:val="20"/>
        </w:rPr>
      </w:pPr>
    </w:p>
    <w:p w14:paraId="6B1C6A4E" w14:textId="77777777" w:rsidR="00D1587D" w:rsidRDefault="00410D07">
      <w:pPr>
        <w:spacing w:line="268" w:lineRule="auto"/>
        <w:ind w:left="300" w:right="319" w:firstLine="360"/>
        <w:rPr>
          <w:sz w:val="20"/>
          <w:szCs w:val="20"/>
        </w:rPr>
      </w:pPr>
      <w:r>
        <w:rPr>
          <w:rFonts w:ascii="Arial" w:eastAsia="Arial" w:hAnsi="Arial" w:cs="Arial"/>
          <w:sz w:val="17"/>
          <w:szCs w:val="17"/>
        </w:rPr>
        <w:t xml:space="preserve">In addition, Messrs. Waters, Unis and Burgdoerfer have the right to resign for “good reason” in case of certain events. “Good Reason” generally means (1) for Messrs. Waters and Burgdoerfer, the NEO’s failure to continue in </w:t>
      </w:r>
      <w:r>
        <w:rPr>
          <w:rFonts w:ascii="Arial" w:eastAsia="Arial" w:hAnsi="Arial" w:cs="Arial"/>
          <w:sz w:val="17"/>
          <w:szCs w:val="17"/>
        </w:rPr>
        <w:t>a capacity originally contemplated in the NEO’s agreement; (2) for Messrs. Waters and Burgdoerfer, the assignment to the NEO of any duties materially inconsistent with the NEO’s position, duties, authority, responsibilities or reporting requirements, as se</w:t>
      </w:r>
      <w:r>
        <w:rPr>
          <w:rFonts w:ascii="Arial" w:eastAsia="Arial" w:hAnsi="Arial" w:cs="Arial"/>
          <w:sz w:val="17"/>
          <w:szCs w:val="17"/>
        </w:rPr>
        <w:t>t out in his or her agreement or, for Mr. Unis, a material diminution in his duties or responsibilities representing a demonstrable and significant demotion for Mr. Unis or a change in reporting relationship such that Mr. Unis no longer directly reports to</w:t>
      </w:r>
      <w:r>
        <w:rPr>
          <w:rFonts w:ascii="Arial" w:eastAsia="Arial" w:hAnsi="Arial" w:cs="Arial"/>
          <w:sz w:val="17"/>
          <w:szCs w:val="17"/>
        </w:rPr>
        <w:t xml:space="preserve"> the Chief Executive Officer of VS; (3) for Messrs. Waters and Burgdoerfer, a material reduction of or a delay in payment of the NEO’s total cash compensation and benefits from those required to be provided or, for Mr. Unis, a material reduction in his bas</w:t>
      </w:r>
      <w:r>
        <w:rPr>
          <w:rFonts w:ascii="Arial" w:eastAsia="Arial" w:hAnsi="Arial" w:cs="Arial"/>
          <w:sz w:val="17"/>
          <w:szCs w:val="17"/>
        </w:rPr>
        <w:t>e salary or annual bonus opportunity (other than pursuant to an across-the-board reduction applicable to all similarly situated employees); (4) for Mr. Unis, the relocation of Mr. Unis’ principal place of employment more than 50 miles from its current loca</w:t>
      </w:r>
      <w:r>
        <w:rPr>
          <w:rFonts w:ascii="Arial" w:eastAsia="Arial" w:hAnsi="Arial" w:cs="Arial"/>
          <w:sz w:val="17"/>
          <w:szCs w:val="17"/>
        </w:rPr>
        <w:t>tion or, for Mr. Burgdoerfer, the requirement that he be based outside of Columbus, Ohio; or (5) for Messrs. Waters and Burgdoerfer, the failure by LB to obtain the assumption in writing of its obligation to perform the agreement by a successor.</w:t>
      </w:r>
    </w:p>
    <w:p w14:paraId="3C271F6F" w14:textId="77777777" w:rsidR="00D1587D" w:rsidRDefault="00D1587D">
      <w:pPr>
        <w:spacing w:line="184" w:lineRule="exact"/>
        <w:rPr>
          <w:sz w:val="20"/>
          <w:szCs w:val="20"/>
        </w:rPr>
      </w:pPr>
    </w:p>
    <w:p w14:paraId="43EDAAC8" w14:textId="77777777" w:rsidR="00D1587D" w:rsidRDefault="00410D07">
      <w:pPr>
        <w:ind w:left="660"/>
        <w:rPr>
          <w:sz w:val="20"/>
          <w:szCs w:val="20"/>
        </w:rPr>
      </w:pPr>
      <w:r>
        <w:rPr>
          <w:rFonts w:ascii="Arial" w:eastAsia="Arial" w:hAnsi="Arial" w:cs="Arial"/>
          <w:i/>
          <w:iCs/>
          <w:sz w:val="18"/>
          <w:szCs w:val="18"/>
        </w:rPr>
        <w:t>Definitio</w:t>
      </w:r>
      <w:r>
        <w:rPr>
          <w:rFonts w:ascii="Arial" w:eastAsia="Arial" w:hAnsi="Arial" w:cs="Arial"/>
          <w:i/>
          <w:iCs/>
          <w:sz w:val="18"/>
          <w:szCs w:val="18"/>
        </w:rPr>
        <w:t>n of “Change in Control”</w:t>
      </w:r>
    </w:p>
    <w:p w14:paraId="0FBDA31C" w14:textId="77777777" w:rsidR="00D1587D" w:rsidRDefault="00D1587D">
      <w:pPr>
        <w:spacing w:line="117" w:lineRule="exact"/>
        <w:rPr>
          <w:sz w:val="20"/>
          <w:szCs w:val="20"/>
        </w:rPr>
      </w:pPr>
    </w:p>
    <w:p w14:paraId="79272496" w14:textId="77777777" w:rsidR="00D1587D" w:rsidRDefault="00410D07">
      <w:pPr>
        <w:spacing w:line="277" w:lineRule="auto"/>
        <w:ind w:left="300" w:right="439" w:firstLine="360"/>
        <w:rPr>
          <w:sz w:val="20"/>
          <w:szCs w:val="20"/>
        </w:rPr>
      </w:pPr>
      <w:r>
        <w:rPr>
          <w:rFonts w:ascii="Arial" w:eastAsia="Arial" w:hAnsi="Arial" w:cs="Arial"/>
          <w:sz w:val="18"/>
          <w:szCs w:val="18"/>
        </w:rPr>
        <w:t>A “Change in Control” of LB will be deemed to have occurred upon the first of any of the following events to occur:</w:t>
      </w:r>
    </w:p>
    <w:p w14:paraId="6DB39044" w14:textId="77777777" w:rsidR="00D1587D" w:rsidRDefault="00D1587D">
      <w:pPr>
        <w:spacing w:line="62" w:lineRule="exact"/>
        <w:rPr>
          <w:sz w:val="20"/>
          <w:szCs w:val="20"/>
        </w:rPr>
      </w:pPr>
    </w:p>
    <w:p w14:paraId="1CB2719F" w14:textId="77777777" w:rsidR="00D1587D" w:rsidRDefault="00410D07" w:rsidP="00410D07">
      <w:pPr>
        <w:numPr>
          <w:ilvl w:val="0"/>
          <w:numId w:val="329"/>
        </w:numPr>
        <w:tabs>
          <w:tab w:val="left" w:pos="1000"/>
        </w:tabs>
        <w:spacing w:line="277" w:lineRule="auto"/>
        <w:ind w:left="1000" w:right="359" w:hanging="348"/>
        <w:rPr>
          <w:rFonts w:ascii="Arial" w:eastAsia="Arial" w:hAnsi="Arial" w:cs="Arial"/>
          <w:sz w:val="18"/>
          <w:szCs w:val="18"/>
        </w:rPr>
      </w:pPr>
      <w:r>
        <w:rPr>
          <w:rFonts w:ascii="Arial" w:eastAsia="Arial" w:hAnsi="Arial" w:cs="Arial"/>
          <w:sz w:val="18"/>
          <w:szCs w:val="18"/>
        </w:rPr>
        <w:t xml:space="preserve">any person, together with all affiliates, becomes a beneficial owner of securities representing 33% or more of </w:t>
      </w:r>
      <w:r>
        <w:rPr>
          <w:rFonts w:ascii="Arial" w:eastAsia="Arial" w:hAnsi="Arial" w:cs="Arial"/>
          <w:sz w:val="18"/>
          <w:szCs w:val="18"/>
        </w:rPr>
        <w:t>the combined voting power of the voting stock then outstanding;</w:t>
      </w:r>
    </w:p>
    <w:p w14:paraId="04BDB06A" w14:textId="77777777" w:rsidR="00D1587D" w:rsidRDefault="00D1587D">
      <w:pPr>
        <w:spacing w:line="62" w:lineRule="exact"/>
        <w:rPr>
          <w:rFonts w:ascii="Arial" w:eastAsia="Arial" w:hAnsi="Arial" w:cs="Arial"/>
          <w:sz w:val="18"/>
          <w:szCs w:val="18"/>
        </w:rPr>
      </w:pPr>
    </w:p>
    <w:p w14:paraId="7C258934" w14:textId="77777777" w:rsidR="00D1587D" w:rsidRDefault="00410D07" w:rsidP="00410D07">
      <w:pPr>
        <w:numPr>
          <w:ilvl w:val="0"/>
          <w:numId w:val="329"/>
        </w:numPr>
        <w:tabs>
          <w:tab w:val="left" w:pos="1000"/>
        </w:tabs>
        <w:spacing w:line="255" w:lineRule="auto"/>
        <w:ind w:left="1000" w:right="319" w:hanging="348"/>
        <w:rPr>
          <w:rFonts w:ascii="Arial" w:eastAsia="Arial" w:hAnsi="Arial" w:cs="Arial"/>
          <w:sz w:val="18"/>
          <w:szCs w:val="18"/>
        </w:rPr>
      </w:pPr>
      <w:r>
        <w:rPr>
          <w:rFonts w:ascii="Arial" w:eastAsia="Arial" w:hAnsi="Arial" w:cs="Arial"/>
          <w:sz w:val="18"/>
          <w:szCs w:val="18"/>
        </w:rPr>
        <w:t>during any period of 24 consecutive months, individuals who at the beginning of such period constitute LB’s Board of Directors (and any new director, whose election by LB’s Board of Directors</w:t>
      </w:r>
      <w:r>
        <w:rPr>
          <w:rFonts w:ascii="Arial" w:eastAsia="Arial" w:hAnsi="Arial" w:cs="Arial"/>
          <w:sz w:val="18"/>
          <w:szCs w:val="18"/>
        </w:rPr>
        <w:t xml:space="preserve"> or nomination for election by the stockholders of LB was approved by a vote of at least two-thirds of the directors then in office who either were directors at the beginning of the period or whose election or nomination for election was so approved) cease</w:t>
      </w:r>
      <w:r>
        <w:rPr>
          <w:rFonts w:ascii="Arial" w:eastAsia="Arial" w:hAnsi="Arial" w:cs="Arial"/>
          <w:sz w:val="18"/>
          <w:szCs w:val="18"/>
        </w:rPr>
        <w:t xml:space="preserve"> for any reason to constitute a majority of directors then constituting LB’s Board of Directors;</w:t>
      </w:r>
    </w:p>
    <w:p w14:paraId="470D80A8" w14:textId="77777777" w:rsidR="00D1587D" w:rsidRDefault="00D1587D">
      <w:pPr>
        <w:spacing w:line="84" w:lineRule="exact"/>
        <w:rPr>
          <w:rFonts w:ascii="Arial" w:eastAsia="Arial" w:hAnsi="Arial" w:cs="Arial"/>
          <w:sz w:val="18"/>
          <w:szCs w:val="18"/>
        </w:rPr>
      </w:pPr>
    </w:p>
    <w:p w14:paraId="6C0D951B" w14:textId="77777777" w:rsidR="00D1587D" w:rsidRDefault="00410D07" w:rsidP="00410D07">
      <w:pPr>
        <w:numPr>
          <w:ilvl w:val="0"/>
          <w:numId w:val="329"/>
        </w:numPr>
        <w:tabs>
          <w:tab w:val="left" w:pos="1000"/>
        </w:tabs>
        <w:spacing w:line="263" w:lineRule="auto"/>
        <w:ind w:left="1000" w:right="339" w:hanging="348"/>
        <w:rPr>
          <w:rFonts w:ascii="Arial" w:eastAsia="Arial" w:hAnsi="Arial" w:cs="Arial"/>
          <w:sz w:val="18"/>
          <w:szCs w:val="18"/>
        </w:rPr>
      </w:pPr>
      <w:r>
        <w:rPr>
          <w:rFonts w:ascii="Arial" w:eastAsia="Arial" w:hAnsi="Arial" w:cs="Arial"/>
          <w:sz w:val="18"/>
          <w:szCs w:val="18"/>
        </w:rPr>
        <w:t xml:space="preserve">a reorganization, merger or consolidation of LB is consummated, unless more than 50% of the outstanding shares of Common Stock are beneficially owned by </w:t>
      </w:r>
      <w:r>
        <w:rPr>
          <w:rFonts w:ascii="Arial" w:eastAsia="Arial" w:hAnsi="Arial" w:cs="Arial"/>
          <w:sz w:val="18"/>
          <w:szCs w:val="18"/>
        </w:rPr>
        <w:t>individuals and entities who owned Common Stock just prior to such reorganization, merger or consolidation;</w:t>
      </w:r>
    </w:p>
    <w:p w14:paraId="601E121C" w14:textId="77777777" w:rsidR="00D1587D" w:rsidRDefault="00D1587D">
      <w:pPr>
        <w:spacing w:line="75" w:lineRule="exact"/>
        <w:rPr>
          <w:rFonts w:ascii="Arial" w:eastAsia="Arial" w:hAnsi="Arial" w:cs="Arial"/>
          <w:sz w:val="18"/>
          <w:szCs w:val="18"/>
        </w:rPr>
      </w:pPr>
    </w:p>
    <w:p w14:paraId="7CA9AC30" w14:textId="77777777" w:rsidR="00D1587D" w:rsidRDefault="00410D07" w:rsidP="00410D07">
      <w:pPr>
        <w:numPr>
          <w:ilvl w:val="0"/>
          <w:numId w:val="329"/>
        </w:numPr>
        <w:tabs>
          <w:tab w:val="left" w:pos="1000"/>
        </w:tabs>
        <w:spacing w:line="277" w:lineRule="auto"/>
        <w:ind w:left="1000" w:right="639" w:hanging="348"/>
        <w:rPr>
          <w:rFonts w:ascii="Arial" w:eastAsia="Arial" w:hAnsi="Arial" w:cs="Arial"/>
          <w:sz w:val="18"/>
          <w:szCs w:val="18"/>
        </w:rPr>
      </w:pPr>
      <w:r>
        <w:rPr>
          <w:rFonts w:ascii="Arial" w:eastAsia="Arial" w:hAnsi="Arial" w:cs="Arial"/>
          <w:sz w:val="18"/>
          <w:szCs w:val="18"/>
        </w:rPr>
        <w:t>the consummation of a complete liquidation or dissolution of LB or a sale or other disposition of all or substantially all of the assets of LB; or</w:t>
      </w:r>
    </w:p>
    <w:p w14:paraId="143F9C7C" w14:textId="77777777" w:rsidR="00D1587D" w:rsidRDefault="00D1587D">
      <w:pPr>
        <w:spacing w:line="62" w:lineRule="exact"/>
        <w:rPr>
          <w:rFonts w:ascii="Arial" w:eastAsia="Arial" w:hAnsi="Arial" w:cs="Arial"/>
          <w:sz w:val="18"/>
          <w:szCs w:val="18"/>
        </w:rPr>
      </w:pPr>
    </w:p>
    <w:p w14:paraId="6762FC03" w14:textId="77777777" w:rsidR="00D1587D" w:rsidRDefault="00410D07" w:rsidP="00410D07">
      <w:pPr>
        <w:numPr>
          <w:ilvl w:val="0"/>
          <w:numId w:val="329"/>
        </w:numPr>
        <w:tabs>
          <w:tab w:val="left" w:pos="1000"/>
        </w:tabs>
        <w:spacing w:line="284" w:lineRule="auto"/>
        <w:ind w:left="1000" w:right="319" w:hanging="348"/>
        <w:rPr>
          <w:rFonts w:ascii="Arial" w:eastAsia="Arial" w:hAnsi="Arial" w:cs="Arial"/>
          <w:sz w:val="16"/>
          <w:szCs w:val="16"/>
        </w:rPr>
      </w:pPr>
      <w:r>
        <w:rPr>
          <w:rFonts w:ascii="Arial" w:eastAsia="Arial" w:hAnsi="Arial" w:cs="Arial"/>
          <w:sz w:val="16"/>
          <w:szCs w:val="16"/>
        </w:rPr>
        <w:t>for Mr. Unis only, (i) the sale of all or substantially all of the assets of any subsidiary of LB by which Mr. Unis was employed, (ii) the sale or series of sales by LB to any person of more than 50% of the combined voting power of the securities of the s</w:t>
      </w:r>
      <w:r>
        <w:rPr>
          <w:rFonts w:ascii="Arial" w:eastAsia="Arial" w:hAnsi="Arial" w:cs="Arial"/>
          <w:sz w:val="16"/>
          <w:szCs w:val="16"/>
        </w:rPr>
        <w:t>ubsidiary or (iii) the consummation of a reorganization, merger or consolidation involving the subsidiary unless, immediately following such reorganization, merger or consolidation, LB continues to directly control more than 50% of the combined voting powe</w:t>
      </w:r>
      <w:r>
        <w:rPr>
          <w:rFonts w:ascii="Arial" w:eastAsia="Arial" w:hAnsi="Arial" w:cs="Arial"/>
          <w:sz w:val="16"/>
          <w:szCs w:val="16"/>
        </w:rPr>
        <w:t>r of the securities of such subsidiary (each of (i), (ii) and (iii), a “Subsidiary Change in Control”); provided that</w:t>
      </w:r>
    </w:p>
    <w:p w14:paraId="5B6AFD6B" w14:textId="77777777" w:rsidR="00D1587D" w:rsidRDefault="00D1587D">
      <w:pPr>
        <w:spacing w:line="4" w:lineRule="exact"/>
        <w:rPr>
          <w:rFonts w:ascii="Arial" w:eastAsia="Arial" w:hAnsi="Arial" w:cs="Arial"/>
          <w:sz w:val="16"/>
          <w:szCs w:val="16"/>
        </w:rPr>
      </w:pPr>
    </w:p>
    <w:p w14:paraId="3288D527" w14:textId="77777777" w:rsidR="00D1587D" w:rsidRDefault="00410D07" w:rsidP="00410D07">
      <w:pPr>
        <w:numPr>
          <w:ilvl w:val="1"/>
          <w:numId w:val="329"/>
        </w:numPr>
        <w:tabs>
          <w:tab w:val="left" w:pos="1260"/>
        </w:tabs>
        <w:ind w:left="1260" w:hanging="257"/>
        <w:rPr>
          <w:rFonts w:ascii="Arial" w:eastAsia="Arial" w:hAnsi="Arial" w:cs="Arial"/>
          <w:sz w:val="16"/>
          <w:szCs w:val="16"/>
        </w:rPr>
      </w:pPr>
      <w:r>
        <w:rPr>
          <w:rFonts w:ascii="Arial" w:eastAsia="Arial" w:hAnsi="Arial" w:cs="Arial"/>
          <w:sz w:val="16"/>
          <w:szCs w:val="16"/>
        </w:rPr>
        <w:t>Mr. Unis was employed by the subsidiary immediately prior to the Subsidiary Change in Control and</w:t>
      </w:r>
    </w:p>
    <w:p w14:paraId="4666067E" w14:textId="77777777" w:rsidR="00D1587D" w:rsidRDefault="00D1587D">
      <w:pPr>
        <w:spacing w:line="32" w:lineRule="exact"/>
        <w:rPr>
          <w:rFonts w:ascii="Arial" w:eastAsia="Arial" w:hAnsi="Arial" w:cs="Arial"/>
          <w:sz w:val="16"/>
          <w:szCs w:val="16"/>
        </w:rPr>
      </w:pPr>
    </w:p>
    <w:p w14:paraId="5313FAFF" w14:textId="77777777" w:rsidR="00D1587D" w:rsidRDefault="00410D07" w:rsidP="00410D07">
      <w:pPr>
        <w:numPr>
          <w:ilvl w:val="1"/>
          <w:numId w:val="329"/>
        </w:numPr>
        <w:tabs>
          <w:tab w:val="left" w:pos="1255"/>
        </w:tabs>
        <w:spacing w:line="255" w:lineRule="auto"/>
        <w:ind w:left="1000" w:right="639" w:firstLine="3"/>
        <w:jc w:val="both"/>
        <w:rPr>
          <w:rFonts w:ascii="Arial" w:eastAsia="Arial" w:hAnsi="Arial" w:cs="Arial"/>
          <w:sz w:val="18"/>
          <w:szCs w:val="18"/>
        </w:rPr>
      </w:pPr>
      <w:r>
        <w:rPr>
          <w:rFonts w:ascii="Arial" w:eastAsia="Arial" w:hAnsi="Arial" w:cs="Arial"/>
          <w:sz w:val="18"/>
          <w:szCs w:val="18"/>
        </w:rPr>
        <w:t xml:space="preserve">immediately following the </w:t>
      </w:r>
      <w:r>
        <w:rPr>
          <w:rFonts w:ascii="Arial" w:eastAsia="Arial" w:hAnsi="Arial" w:cs="Arial"/>
          <w:sz w:val="18"/>
          <w:szCs w:val="18"/>
        </w:rPr>
        <w:t>Subsidiary Change in Control, Mr. Unis is not, directly or indirectly, an employee of LB or another subsidiary of LB and has not been offered employment with LB or another subsidiary of LB.</w:t>
      </w:r>
    </w:p>
    <w:p w14:paraId="4090DFB4" w14:textId="77777777" w:rsidR="00D1587D" w:rsidRDefault="00D1587D">
      <w:pPr>
        <w:spacing w:line="190" w:lineRule="exact"/>
        <w:rPr>
          <w:sz w:val="20"/>
          <w:szCs w:val="20"/>
        </w:rPr>
      </w:pPr>
    </w:p>
    <w:p w14:paraId="10E2D8C8" w14:textId="77777777" w:rsidR="00D1587D" w:rsidRDefault="00410D07">
      <w:pPr>
        <w:ind w:left="660"/>
        <w:rPr>
          <w:sz w:val="20"/>
          <w:szCs w:val="20"/>
        </w:rPr>
      </w:pPr>
      <w:r>
        <w:rPr>
          <w:rFonts w:ascii="Arial" w:eastAsia="Arial" w:hAnsi="Arial" w:cs="Arial"/>
          <w:i/>
          <w:iCs/>
          <w:sz w:val="18"/>
          <w:szCs w:val="18"/>
        </w:rPr>
        <w:t>No Tax Gross-ups</w:t>
      </w:r>
    </w:p>
    <w:p w14:paraId="69A322B5" w14:textId="77777777" w:rsidR="00D1587D" w:rsidRDefault="00D1587D">
      <w:pPr>
        <w:spacing w:line="117" w:lineRule="exact"/>
        <w:rPr>
          <w:sz w:val="20"/>
          <w:szCs w:val="20"/>
        </w:rPr>
      </w:pPr>
    </w:p>
    <w:p w14:paraId="3277607B" w14:textId="77777777" w:rsidR="00D1587D" w:rsidRDefault="00410D07">
      <w:pPr>
        <w:spacing w:line="277" w:lineRule="auto"/>
        <w:ind w:left="300" w:right="439" w:firstLine="360"/>
        <w:rPr>
          <w:sz w:val="20"/>
          <w:szCs w:val="20"/>
        </w:rPr>
      </w:pPr>
      <w:r>
        <w:rPr>
          <w:rFonts w:ascii="Arial" w:eastAsia="Arial" w:hAnsi="Arial" w:cs="Arial"/>
          <w:sz w:val="18"/>
          <w:szCs w:val="18"/>
        </w:rPr>
        <w:t>In the event of a termination following a “chan</w:t>
      </w:r>
      <w:r>
        <w:rPr>
          <w:rFonts w:ascii="Arial" w:eastAsia="Arial" w:hAnsi="Arial" w:cs="Arial"/>
          <w:sz w:val="18"/>
          <w:szCs w:val="18"/>
        </w:rPr>
        <w:t>ge in control”, none of our NEOs are entitled to reimbursement or gross-up for any excise taxes that may be imposed under Section 280G of the Code.</w:t>
      </w:r>
    </w:p>
    <w:p w14:paraId="28BD29A6" w14:textId="77777777" w:rsidR="00D1587D" w:rsidRDefault="00D1587D">
      <w:pPr>
        <w:spacing w:line="170" w:lineRule="exact"/>
        <w:rPr>
          <w:sz w:val="20"/>
          <w:szCs w:val="20"/>
        </w:rPr>
      </w:pPr>
    </w:p>
    <w:p w14:paraId="7BF38C69" w14:textId="77777777" w:rsidR="00D1587D" w:rsidRDefault="00410D07">
      <w:pPr>
        <w:ind w:left="660"/>
        <w:rPr>
          <w:sz w:val="20"/>
          <w:szCs w:val="20"/>
        </w:rPr>
      </w:pPr>
      <w:r>
        <w:rPr>
          <w:rFonts w:ascii="Arial" w:eastAsia="Arial" w:hAnsi="Arial" w:cs="Arial"/>
          <w:i/>
          <w:iCs/>
          <w:sz w:val="18"/>
          <w:szCs w:val="18"/>
        </w:rPr>
        <w:t>Going forward</w:t>
      </w:r>
    </w:p>
    <w:p w14:paraId="495E8072" w14:textId="77777777" w:rsidR="00D1587D" w:rsidRDefault="00D1587D">
      <w:pPr>
        <w:spacing w:line="117" w:lineRule="exact"/>
        <w:rPr>
          <w:sz w:val="20"/>
          <w:szCs w:val="20"/>
        </w:rPr>
      </w:pPr>
    </w:p>
    <w:p w14:paraId="49726942" w14:textId="77777777" w:rsidR="00D1587D" w:rsidRDefault="00410D07">
      <w:pPr>
        <w:spacing w:line="286" w:lineRule="auto"/>
        <w:ind w:left="300" w:right="319" w:firstLine="360"/>
        <w:rPr>
          <w:sz w:val="20"/>
          <w:szCs w:val="20"/>
        </w:rPr>
      </w:pPr>
      <w:r>
        <w:rPr>
          <w:rFonts w:ascii="Arial" w:eastAsia="Arial" w:hAnsi="Arial" w:cs="Arial"/>
          <w:sz w:val="17"/>
          <w:szCs w:val="17"/>
        </w:rPr>
        <w:t>Prior to the Separation, LB intends to enter into a new arrangement with Mr. Waters which wi</w:t>
      </w:r>
      <w:r>
        <w:rPr>
          <w:rFonts w:ascii="Arial" w:eastAsia="Arial" w:hAnsi="Arial" w:cs="Arial"/>
          <w:sz w:val="17"/>
          <w:szCs w:val="17"/>
        </w:rPr>
        <w:t>ll generally provide that, in the event of a termination of Mr. Waters’ employment by LB other than for “cause” or by Mr. Waters for “good reason,” other than during the 24-month period following a “change in control” or within the</w:t>
      </w:r>
    </w:p>
    <w:p w14:paraId="453CECA2" w14:textId="77777777" w:rsidR="00D1587D" w:rsidRDefault="00D1587D">
      <w:pPr>
        <w:spacing w:line="165" w:lineRule="exact"/>
        <w:rPr>
          <w:sz w:val="20"/>
          <w:szCs w:val="20"/>
        </w:rPr>
      </w:pPr>
    </w:p>
    <w:p w14:paraId="4D4ECCA8" w14:textId="77777777" w:rsidR="00D1587D" w:rsidRDefault="00410D07">
      <w:pPr>
        <w:ind w:right="19"/>
        <w:jc w:val="center"/>
        <w:rPr>
          <w:sz w:val="20"/>
          <w:szCs w:val="20"/>
        </w:rPr>
      </w:pPr>
      <w:r>
        <w:rPr>
          <w:rFonts w:ascii="Arial" w:eastAsia="Arial" w:hAnsi="Arial" w:cs="Arial"/>
          <w:sz w:val="18"/>
          <w:szCs w:val="18"/>
        </w:rPr>
        <w:t>126</w:t>
      </w:r>
    </w:p>
    <w:p w14:paraId="630E1FA6" w14:textId="77777777" w:rsidR="00D1587D" w:rsidRDefault="00410D07">
      <w:pPr>
        <w:spacing w:line="20" w:lineRule="exact"/>
        <w:rPr>
          <w:sz w:val="20"/>
          <w:szCs w:val="20"/>
        </w:rPr>
      </w:pPr>
      <w:r>
        <w:rPr>
          <w:noProof/>
          <w:sz w:val="20"/>
          <w:szCs w:val="20"/>
        </w:rPr>
        <w:drawing>
          <wp:anchor distT="0" distB="0" distL="114300" distR="114300" simplePos="0" relativeHeight="251966464" behindDoc="1" locked="0" layoutInCell="0" allowOverlap="1" wp14:anchorId="35834F18" wp14:editId="097E2650">
            <wp:simplePos x="0" y="0"/>
            <wp:positionH relativeFrom="column">
              <wp:posOffset>-636905</wp:posOffset>
            </wp:positionH>
            <wp:positionV relativeFrom="paragraph">
              <wp:posOffset>134620</wp:posOffset>
            </wp:positionV>
            <wp:extent cx="6995160" cy="17145"/>
            <wp:effectExtent l="0" t="0" r="0" b="0"/>
            <wp:wrapNone/>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FE0FC3F" w14:textId="77777777" w:rsidR="00D1587D" w:rsidRDefault="00D1587D">
      <w:pPr>
        <w:sectPr w:rsidR="00D1587D">
          <w:pgSz w:w="11900" w:h="16838"/>
          <w:pgMar w:top="265" w:right="1440" w:bottom="1440" w:left="1440" w:header="0" w:footer="0" w:gutter="0"/>
          <w:cols w:space="720" w:equalWidth="0">
            <w:col w:w="9019"/>
          </w:cols>
        </w:sectPr>
      </w:pPr>
    </w:p>
    <w:bookmarkStart w:id="384" w:name="page385"/>
    <w:bookmarkEnd w:id="384"/>
    <w:p w14:paraId="6539C7AA"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4ADA93C" w14:textId="77777777" w:rsidR="00D1587D" w:rsidRDefault="00D1587D">
      <w:pPr>
        <w:spacing w:line="131" w:lineRule="exact"/>
        <w:rPr>
          <w:sz w:val="20"/>
          <w:szCs w:val="20"/>
        </w:rPr>
      </w:pPr>
    </w:p>
    <w:p w14:paraId="454252E4" w14:textId="77777777" w:rsidR="00D1587D" w:rsidRDefault="00410D07">
      <w:pPr>
        <w:spacing w:line="268" w:lineRule="auto"/>
        <w:ind w:left="300" w:right="319"/>
        <w:rPr>
          <w:sz w:val="20"/>
          <w:szCs w:val="20"/>
        </w:rPr>
      </w:pPr>
      <w:r>
        <w:rPr>
          <w:rFonts w:ascii="Arial" w:eastAsia="Arial" w:hAnsi="Arial" w:cs="Arial"/>
          <w:sz w:val="17"/>
          <w:szCs w:val="17"/>
        </w:rPr>
        <w:t xml:space="preserve">three months preceding or 24 months following a sale or spinoff of VS, subject to Mr. Waters’ execution and nonrevocation of a general waiver and release of claims, (i) Mr. Waters will be entitled to </w:t>
      </w:r>
      <w:r>
        <w:rPr>
          <w:rFonts w:ascii="Arial" w:eastAsia="Arial" w:hAnsi="Arial" w:cs="Arial"/>
          <w:sz w:val="17"/>
          <w:szCs w:val="17"/>
        </w:rPr>
        <w:t>receive (A) continued payment of Mr. Waters’ base salary for 24 months following the termination date and (B) the incentive compensation Mr. Waters would have received if he had remained an employee of LB for one year following the termination date and (ii</w:t>
      </w:r>
      <w:r>
        <w:rPr>
          <w:rFonts w:ascii="Arial" w:eastAsia="Arial" w:hAnsi="Arial" w:cs="Arial"/>
          <w:sz w:val="17"/>
          <w:szCs w:val="17"/>
        </w:rPr>
        <w:t>) for a period of up to 24 months following the termination of employment, LB will provide Mr. Waters and his beneficiaries medical and dental benefits substantially similar in the aggregate to those provided to Mr. Waters prior to the date of his terminat</w:t>
      </w:r>
      <w:r>
        <w:rPr>
          <w:rFonts w:ascii="Arial" w:eastAsia="Arial" w:hAnsi="Arial" w:cs="Arial"/>
          <w:sz w:val="17"/>
          <w:szCs w:val="17"/>
        </w:rPr>
        <w:t>ion of employment. In addition, LB intends that this new arrangement with Mr. Waters will also provide that if such termination of Mr. Waters’ employment occurs within the 24-month period following a “change in control” or within the three months preceding</w:t>
      </w:r>
      <w:r>
        <w:rPr>
          <w:rFonts w:ascii="Arial" w:eastAsia="Arial" w:hAnsi="Arial" w:cs="Arial"/>
          <w:sz w:val="17"/>
          <w:szCs w:val="17"/>
        </w:rPr>
        <w:t xml:space="preserve"> or 24 months following a sale or spinoff of VS, subject to Mr. Waters’ execution and nonrevocation of a general waiver and release of claims, (i) Mr. Waters will be entitled to receive (A) an amount equal to three times his (a) base salary and (b) target </w:t>
      </w:r>
      <w:r>
        <w:rPr>
          <w:rFonts w:ascii="Arial" w:eastAsia="Arial" w:hAnsi="Arial" w:cs="Arial"/>
          <w:sz w:val="17"/>
          <w:szCs w:val="17"/>
        </w:rPr>
        <w:t>incentive compensation and (B) for a period of 36 months following the termination of employment (or earlier if Mr. Waters becomes subsequently employed), Mr. Waters and his beneficiaries will be entitled to receive medical and dental benefits substantiall</w:t>
      </w:r>
      <w:r>
        <w:rPr>
          <w:rFonts w:ascii="Arial" w:eastAsia="Arial" w:hAnsi="Arial" w:cs="Arial"/>
          <w:sz w:val="17"/>
          <w:szCs w:val="17"/>
        </w:rPr>
        <w:t>y similar in the aggregate to those provided to Mr. Waters prior to the date of his termination of employment and (ii) Mr. Waters will be entitled to accelerated vesting of any outstanding unvested equity awards held by Mr. Waters as of the termination dat</w:t>
      </w:r>
      <w:r>
        <w:rPr>
          <w:rFonts w:ascii="Arial" w:eastAsia="Arial" w:hAnsi="Arial" w:cs="Arial"/>
          <w:sz w:val="17"/>
          <w:szCs w:val="17"/>
        </w:rPr>
        <w:t>e.</w:t>
      </w:r>
    </w:p>
    <w:p w14:paraId="1C72C47B" w14:textId="77777777" w:rsidR="00D1587D" w:rsidRDefault="00D1587D">
      <w:pPr>
        <w:spacing w:line="72" w:lineRule="exact"/>
        <w:rPr>
          <w:sz w:val="20"/>
          <w:szCs w:val="20"/>
        </w:rPr>
      </w:pPr>
    </w:p>
    <w:p w14:paraId="79E85961" w14:textId="77777777" w:rsidR="00D1587D" w:rsidRDefault="00410D07">
      <w:pPr>
        <w:spacing w:line="267" w:lineRule="auto"/>
        <w:ind w:left="300" w:right="299" w:firstLine="360"/>
        <w:rPr>
          <w:sz w:val="20"/>
          <w:szCs w:val="20"/>
        </w:rPr>
      </w:pPr>
      <w:r>
        <w:rPr>
          <w:rFonts w:ascii="Arial" w:eastAsia="Arial" w:hAnsi="Arial" w:cs="Arial"/>
          <w:sz w:val="17"/>
          <w:szCs w:val="17"/>
        </w:rPr>
        <w:t>In addition, prior to the Separation, LB intends to enter into a new arrangement with each of Ms. Hauk and Mr. Unis which will generally provide that, in the event of a termination of the executive’s employment by LB other than for “cause” or by the ex</w:t>
      </w:r>
      <w:r>
        <w:rPr>
          <w:rFonts w:ascii="Arial" w:eastAsia="Arial" w:hAnsi="Arial" w:cs="Arial"/>
          <w:sz w:val="17"/>
          <w:szCs w:val="17"/>
        </w:rPr>
        <w:t>ecutive for “good reason,” other than during the 24-month period following a “change in control” or within the three months preceding or 24 months following a sale or spinoff of VS, subject to the executive’s execution and nonrevocation of a general waiver</w:t>
      </w:r>
      <w:r>
        <w:rPr>
          <w:rFonts w:ascii="Arial" w:eastAsia="Arial" w:hAnsi="Arial" w:cs="Arial"/>
          <w:sz w:val="17"/>
          <w:szCs w:val="17"/>
        </w:rPr>
        <w:t xml:space="preserve"> and release of claims, (i) each of Ms. Hauk and Mr. Unis will be entitled to receive (A) continued payment of the executive’s base salary for 24 months following the termination date and (B) the incentive compensation such executive would have received if</w:t>
      </w:r>
      <w:r>
        <w:rPr>
          <w:rFonts w:ascii="Arial" w:eastAsia="Arial" w:hAnsi="Arial" w:cs="Arial"/>
          <w:sz w:val="17"/>
          <w:szCs w:val="17"/>
        </w:rPr>
        <w:t xml:space="preserve"> she or he had remained an employee of LB for one year following the termination date and (ii) for a period of up to 24 months following the termination of employment, LB will provide the executive and her or his beneficiaries medical and dental benefits s</w:t>
      </w:r>
      <w:r>
        <w:rPr>
          <w:rFonts w:ascii="Arial" w:eastAsia="Arial" w:hAnsi="Arial" w:cs="Arial"/>
          <w:sz w:val="17"/>
          <w:szCs w:val="17"/>
        </w:rPr>
        <w:t>ubstantially similar in the aggregate to those provided to the executive prior to the date of termination. In addition, LB intends that these new arrangements with each of Ms. Hauk and Mr. Unis will also provide that if such termination of her or his emplo</w:t>
      </w:r>
      <w:r>
        <w:rPr>
          <w:rFonts w:ascii="Arial" w:eastAsia="Arial" w:hAnsi="Arial" w:cs="Arial"/>
          <w:sz w:val="17"/>
          <w:szCs w:val="17"/>
        </w:rPr>
        <w:t>yment occurs within the 24-month period following a “change in control” or within the three months preceding or 24 months following a sale or spinoff of VS, subject to the executive’s execution and nonrevocation of a general waiver and release of claims, (</w:t>
      </w:r>
      <w:r>
        <w:rPr>
          <w:rFonts w:ascii="Arial" w:eastAsia="Arial" w:hAnsi="Arial" w:cs="Arial"/>
          <w:sz w:val="17"/>
          <w:szCs w:val="17"/>
        </w:rPr>
        <w:t xml:space="preserve">i) each of Ms. Hauk and Mr. Unis will be entitled to receive (A) an amount equal to two times the executive’s base salary and (B) an amount equal to the sum of the last four bonus payments under LB’s incentive compensation program </w:t>
      </w:r>
      <w:r>
        <w:rPr>
          <w:rFonts w:ascii="Arial" w:eastAsia="Arial" w:hAnsi="Arial" w:cs="Arial"/>
          <w:i/>
          <w:iCs/>
          <w:sz w:val="17"/>
          <w:szCs w:val="17"/>
        </w:rPr>
        <w:t>plus</w:t>
      </w:r>
      <w:r>
        <w:rPr>
          <w:rFonts w:ascii="Arial" w:eastAsia="Arial" w:hAnsi="Arial" w:cs="Arial"/>
          <w:sz w:val="17"/>
          <w:szCs w:val="17"/>
        </w:rPr>
        <w:t xml:space="preserve"> a prorated amount fo</w:t>
      </w:r>
      <w:r>
        <w:rPr>
          <w:rFonts w:ascii="Arial" w:eastAsia="Arial" w:hAnsi="Arial" w:cs="Arial"/>
          <w:sz w:val="17"/>
          <w:szCs w:val="17"/>
        </w:rPr>
        <w:t>r the season in which her or his employment is terminated (based on the average of such four prior bonus payments), (ii) for a period of 24 months following the termination of employment (or earlier if the executive becomes subsequently employed), each exe</w:t>
      </w:r>
      <w:r>
        <w:rPr>
          <w:rFonts w:ascii="Arial" w:eastAsia="Arial" w:hAnsi="Arial" w:cs="Arial"/>
          <w:sz w:val="17"/>
          <w:szCs w:val="17"/>
        </w:rPr>
        <w:t xml:space="preserve">cutive and her or his beneficiaries will be entitled to receive medical and dental benefits substantially similar in the aggregate to those provided to the executive prior to the date of termination and (iii) each of Ms. Hauk and Mr. Unis will be entitled </w:t>
      </w:r>
      <w:r>
        <w:rPr>
          <w:rFonts w:ascii="Arial" w:eastAsia="Arial" w:hAnsi="Arial" w:cs="Arial"/>
          <w:sz w:val="17"/>
          <w:szCs w:val="17"/>
        </w:rPr>
        <w:t>to accelerated vesting of any outstanding unvested equity awards held by the executive as of the termination date.</w:t>
      </w:r>
    </w:p>
    <w:p w14:paraId="61B9CF01" w14:textId="77777777" w:rsidR="00D1587D" w:rsidRDefault="00D1587D">
      <w:pPr>
        <w:spacing w:line="184" w:lineRule="exact"/>
        <w:rPr>
          <w:sz w:val="20"/>
          <w:szCs w:val="20"/>
        </w:rPr>
      </w:pPr>
    </w:p>
    <w:p w14:paraId="30474171" w14:textId="77777777" w:rsidR="00D1587D" w:rsidRDefault="00410D07">
      <w:pPr>
        <w:jc w:val="center"/>
        <w:rPr>
          <w:sz w:val="20"/>
          <w:szCs w:val="20"/>
        </w:rPr>
      </w:pPr>
      <w:r>
        <w:rPr>
          <w:rFonts w:ascii="Arial" w:eastAsia="Arial" w:hAnsi="Arial" w:cs="Arial"/>
          <w:sz w:val="18"/>
          <w:szCs w:val="18"/>
        </w:rPr>
        <w:t>127</w:t>
      </w:r>
    </w:p>
    <w:p w14:paraId="38A64AFE" w14:textId="77777777" w:rsidR="00D1587D" w:rsidRDefault="00410D07">
      <w:pPr>
        <w:spacing w:line="20" w:lineRule="exact"/>
        <w:rPr>
          <w:sz w:val="20"/>
          <w:szCs w:val="20"/>
        </w:rPr>
      </w:pPr>
      <w:r>
        <w:rPr>
          <w:noProof/>
          <w:sz w:val="20"/>
          <w:szCs w:val="20"/>
        </w:rPr>
        <w:drawing>
          <wp:anchor distT="0" distB="0" distL="114300" distR="114300" simplePos="0" relativeHeight="251967488" behindDoc="1" locked="0" layoutInCell="0" allowOverlap="1" wp14:anchorId="47906F54" wp14:editId="0B0BC010">
            <wp:simplePos x="0" y="0"/>
            <wp:positionH relativeFrom="column">
              <wp:posOffset>-636905</wp:posOffset>
            </wp:positionH>
            <wp:positionV relativeFrom="paragraph">
              <wp:posOffset>134620</wp:posOffset>
            </wp:positionV>
            <wp:extent cx="6995160" cy="17145"/>
            <wp:effectExtent l="0" t="0" r="0" b="0"/>
            <wp:wrapNone/>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E97BBED" w14:textId="77777777" w:rsidR="00D1587D" w:rsidRDefault="00D1587D">
      <w:pPr>
        <w:sectPr w:rsidR="00D1587D">
          <w:pgSz w:w="11900" w:h="16838"/>
          <w:pgMar w:top="265" w:right="1440" w:bottom="1440" w:left="1440" w:header="0" w:footer="0" w:gutter="0"/>
          <w:cols w:space="720" w:equalWidth="0">
            <w:col w:w="9019"/>
          </w:cols>
        </w:sectPr>
      </w:pPr>
    </w:p>
    <w:bookmarkStart w:id="385" w:name="page386"/>
    <w:bookmarkEnd w:id="385"/>
    <w:p w14:paraId="7E11622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BEEE042" w14:textId="77777777" w:rsidR="00D1587D" w:rsidRDefault="00D1587D">
      <w:pPr>
        <w:spacing w:line="127" w:lineRule="exact"/>
        <w:rPr>
          <w:sz w:val="20"/>
          <w:szCs w:val="20"/>
        </w:rPr>
      </w:pPr>
    </w:p>
    <w:p w14:paraId="161E3472" w14:textId="77777777" w:rsidR="00D1587D" w:rsidRDefault="00410D07">
      <w:pPr>
        <w:jc w:val="center"/>
        <w:rPr>
          <w:sz w:val="20"/>
          <w:szCs w:val="20"/>
        </w:rPr>
      </w:pPr>
      <w:r>
        <w:rPr>
          <w:rFonts w:ascii="Arial" w:eastAsia="Arial" w:hAnsi="Arial" w:cs="Arial"/>
          <w:b/>
          <w:bCs/>
          <w:sz w:val="18"/>
          <w:szCs w:val="18"/>
        </w:rPr>
        <w:t>CERTAIN RELATIONSHIPS AND RELATED PARTY TRANSACTIONS</w:t>
      </w:r>
    </w:p>
    <w:p w14:paraId="1FCEC59E" w14:textId="77777777" w:rsidR="00D1587D" w:rsidRDefault="00D1587D">
      <w:pPr>
        <w:spacing w:line="121" w:lineRule="exact"/>
        <w:rPr>
          <w:sz w:val="20"/>
          <w:szCs w:val="20"/>
        </w:rPr>
      </w:pPr>
    </w:p>
    <w:p w14:paraId="5A800DD2" w14:textId="77777777" w:rsidR="00D1587D" w:rsidRDefault="00410D07">
      <w:pPr>
        <w:spacing w:line="277" w:lineRule="auto"/>
        <w:ind w:left="300" w:right="399" w:firstLine="360"/>
        <w:rPr>
          <w:sz w:val="20"/>
          <w:szCs w:val="20"/>
        </w:rPr>
      </w:pPr>
      <w:r>
        <w:rPr>
          <w:rFonts w:ascii="Arial" w:eastAsia="Arial" w:hAnsi="Arial" w:cs="Arial"/>
          <w:sz w:val="18"/>
          <w:szCs w:val="18"/>
        </w:rPr>
        <w:t>We describe bel</w:t>
      </w:r>
      <w:r>
        <w:rPr>
          <w:rFonts w:ascii="Arial" w:eastAsia="Arial" w:hAnsi="Arial" w:cs="Arial"/>
          <w:sz w:val="18"/>
          <w:szCs w:val="18"/>
        </w:rPr>
        <w:t>ow transactions and series of similar transactions, during our last three fiscal years or currently proposed, to which we were a party or will be a party, in which:</w:t>
      </w:r>
    </w:p>
    <w:p w14:paraId="7D9F1FCE" w14:textId="77777777" w:rsidR="00D1587D" w:rsidRDefault="00D1587D">
      <w:pPr>
        <w:spacing w:line="62" w:lineRule="exact"/>
        <w:rPr>
          <w:sz w:val="20"/>
          <w:szCs w:val="20"/>
        </w:rPr>
      </w:pPr>
    </w:p>
    <w:p w14:paraId="5C941EF7" w14:textId="77777777" w:rsidR="00D1587D" w:rsidRDefault="00410D07" w:rsidP="00410D07">
      <w:pPr>
        <w:numPr>
          <w:ilvl w:val="0"/>
          <w:numId w:val="330"/>
        </w:numPr>
        <w:tabs>
          <w:tab w:val="left" w:pos="1000"/>
        </w:tabs>
        <w:ind w:left="1000" w:hanging="348"/>
        <w:rPr>
          <w:rFonts w:ascii="Arial" w:eastAsia="Arial" w:hAnsi="Arial" w:cs="Arial"/>
          <w:sz w:val="18"/>
          <w:szCs w:val="18"/>
        </w:rPr>
      </w:pPr>
      <w:r>
        <w:rPr>
          <w:rFonts w:ascii="Arial" w:eastAsia="Arial" w:hAnsi="Arial" w:cs="Arial"/>
          <w:sz w:val="18"/>
          <w:szCs w:val="18"/>
        </w:rPr>
        <w:t>The amounts involved exceeded or will exceed $120,000; and</w:t>
      </w:r>
    </w:p>
    <w:p w14:paraId="3974D0C2" w14:textId="77777777" w:rsidR="00D1587D" w:rsidRDefault="00D1587D">
      <w:pPr>
        <w:spacing w:line="117" w:lineRule="exact"/>
        <w:rPr>
          <w:rFonts w:ascii="Arial" w:eastAsia="Arial" w:hAnsi="Arial" w:cs="Arial"/>
          <w:sz w:val="18"/>
          <w:szCs w:val="18"/>
        </w:rPr>
      </w:pPr>
    </w:p>
    <w:p w14:paraId="517972F3" w14:textId="77777777" w:rsidR="00D1587D" w:rsidRDefault="00410D07" w:rsidP="00410D07">
      <w:pPr>
        <w:numPr>
          <w:ilvl w:val="0"/>
          <w:numId w:val="330"/>
        </w:numPr>
        <w:tabs>
          <w:tab w:val="left" w:pos="1000"/>
        </w:tabs>
        <w:spacing w:line="277" w:lineRule="auto"/>
        <w:ind w:left="1000" w:right="519" w:hanging="348"/>
        <w:rPr>
          <w:rFonts w:ascii="Arial" w:eastAsia="Arial" w:hAnsi="Arial" w:cs="Arial"/>
          <w:sz w:val="18"/>
          <w:szCs w:val="18"/>
        </w:rPr>
      </w:pPr>
      <w:r>
        <w:rPr>
          <w:rFonts w:ascii="Arial" w:eastAsia="Arial" w:hAnsi="Arial" w:cs="Arial"/>
          <w:sz w:val="18"/>
          <w:szCs w:val="18"/>
        </w:rPr>
        <w:t xml:space="preserve">Any of our </w:t>
      </w:r>
      <w:r>
        <w:rPr>
          <w:rFonts w:ascii="Arial" w:eastAsia="Arial" w:hAnsi="Arial" w:cs="Arial"/>
          <w:sz w:val="18"/>
          <w:szCs w:val="18"/>
        </w:rPr>
        <w:t>directors, executive officers or beneficial holders of more than 5% of any class of our capital stock had or will have a direct or indirect material interest.</w:t>
      </w:r>
    </w:p>
    <w:p w14:paraId="3B3BB144" w14:textId="77777777" w:rsidR="00D1587D" w:rsidRDefault="00D1587D">
      <w:pPr>
        <w:spacing w:line="62" w:lineRule="exact"/>
        <w:rPr>
          <w:sz w:val="20"/>
          <w:szCs w:val="20"/>
        </w:rPr>
      </w:pPr>
    </w:p>
    <w:p w14:paraId="7C0C4123" w14:textId="77777777" w:rsidR="00D1587D" w:rsidRDefault="00410D07">
      <w:pPr>
        <w:spacing w:line="279" w:lineRule="auto"/>
        <w:ind w:left="300" w:right="399" w:firstLine="360"/>
        <w:rPr>
          <w:sz w:val="20"/>
          <w:szCs w:val="20"/>
        </w:rPr>
      </w:pPr>
      <w:r>
        <w:rPr>
          <w:rFonts w:ascii="Arial" w:eastAsia="Arial" w:hAnsi="Arial" w:cs="Arial"/>
          <w:sz w:val="17"/>
          <w:szCs w:val="17"/>
        </w:rPr>
        <w:t>Other than as described below, there have not been, nor are there any currently proposed, transa</w:t>
      </w:r>
      <w:r>
        <w:rPr>
          <w:rFonts w:ascii="Arial" w:eastAsia="Arial" w:hAnsi="Arial" w:cs="Arial"/>
          <w:sz w:val="17"/>
          <w:szCs w:val="17"/>
        </w:rPr>
        <w:t>ctions or series of similar transactions meeting this criteria to which we have been or will be a party other than compensation arrangements, which are described where required under “Management—Board Structure,” “Management— Compensation of Directors” and</w:t>
      </w:r>
      <w:r>
        <w:rPr>
          <w:rFonts w:ascii="Arial" w:eastAsia="Arial" w:hAnsi="Arial" w:cs="Arial"/>
          <w:sz w:val="17"/>
          <w:szCs w:val="17"/>
        </w:rPr>
        <w:t xml:space="preserve"> “Compensation Discussion and Analysis.”</w:t>
      </w:r>
    </w:p>
    <w:p w14:paraId="7D2BC7D5" w14:textId="77777777" w:rsidR="00D1587D" w:rsidRDefault="00D1587D">
      <w:pPr>
        <w:spacing w:line="262" w:lineRule="exact"/>
        <w:rPr>
          <w:sz w:val="20"/>
          <w:szCs w:val="20"/>
        </w:rPr>
      </w:pPr>
    </w:p>
    <w:p w14:paraId="139E3AC8" w14:textId="77777777" w:rsidR="00D1587D" w:rsidRDefault="00410D07">
      <w:pPr>
        <w:ind w:left="300"/>
        <w:rPr>
          <w:sz w:val="20"/>
          <w:szCs w:val="20"/>
        </w:rPr>
      </w:pPr>
      <w:r>
        <w:rPr>
          <w:rFonts w:ascii="Arial" w:eastAsia="Arial" w:hAnsi="Arial" w:cs="Arial"/>
          <w:b/>
          <w:bCs/>
          <w:sz w:val="18"/>
          <w:szCs w:val="18"/>
        </w:rPr>
        <w:t>The Separation from LB</w:t>
      </w:r>
    </w:p>
    <w:p w14:paraId="3841BCA2" w14:textId="77777777" w:rsidR="00D1587D" w:rsidRDefault="00D1587D">
      <w:pPr>
        <w:spacing w:line="121" w:lineRule="exact"/>
        <w:rPr>
          <w:sz w:val="20"/>
          <w:szCs w:val="20"/>
        </w:rPr>
      </w:pPr>
    </w:p>
    <w:p w14:paraId="4CEE729C" w14:textId="77777777" w:rsidR="00D1587D" w:rsidRDefault="00410D07">
      <w:pPr>
        <w:spacing w:line="279" w:lineRule="auto"/>
        <w:ind w:left="300" w:right="379" w:firstLine="360"/>
        <w:rPr>
          <w:sz w:val="20"/>
          <w:szCs w:val="20"/>
        </w:rPr>
      </w:pPr>
      <w:r>
        <w:rPr>
          <w:rFonts w:ascii="Arial" w:eastAsia="Arial" w:hAnsi="Arial" w:cs="Arial"/>
          <w:sz w:val="17"/>
          <w:szCs w:val="17"/>
        </w:rPr>
        <w:t>The Separation will be accomplished by LB distributing all of its shares of VS common stock to holders of LB common stock entitled to such distribution, as described in “The Separation” incl</w:t>
      </w:r>
      <w:r>
        <w:rPr>
          <w:rFonts w:ascii="Arial" w:eastAsia="Arial" w:hAnsi="Arial" w:cs="Arial"/>
          <w:sz w:val="17"/>
          <w:szCs w:val="17"/>
        </w:rPr>
        <w:t>uded elsewhere in this information statement. Completion of the Separation will be subject to satisfaction or waiver by LB of the conditions to the Distribution described under “The Separation—Conditions to the Distribution.”</w:t>
      </w:r>
    </w:p>
    <w:p w14:paraId="72AFA9C1" w14:textId="77777777" w:rsidR="00D1587D" w:rsidRDefault="00D1587D">
      <w:pPr>
        <w:spacing w:line="63" w:lineRule="exact"/>
        <w:rPr>
          <w:sz w:val="20"/>
          <w:szCs w:val="20"/>
        </w:rPr>
      </w:pPr>
    </w:p>
    <w:p w14:paraId="58103E35" w14:textId="77777777" w:rsidR="00D1587D" w:rsidRDefault="00410D07">
      <w:pPr>
        <w:spacing w:line="311" w:lineRule="auto"/>
        <w:ind w:left="300" w:right="919" w:firstLine="360"/>
        <w:jc w:val="both"/>
        <w:rPr>
          <w:sz w:val="20"/>
          <w:szCs w:val="20"/>
        </w:rPr>
      </w:pPr>
      <w:r>
        <w:rPr>
          <w:rFonts w:ascii="Arial" w:eastAsia="Arial" w:hAnsi="Arial" w:cs="Arial"/>
          <w:sz w:val="16"/>
          <w:szCs w:val="16"/>
        </w:rPr>
        <w:t xml:space="preserve">As part of the </w:t>
      </w:r>
      <w:r>
        <w:rPr>
          <w:rFonts w:ascii="Arial" w:eastAsia="Arial" w:hAnsi="Arial" w:cs="Arial"/>
          <w:sz w:val="16"/>
          <w:szCs w:val="16"/>
        </w:rPr>
        <w:t>Separation, we will enter into a Separation and Distribution Agreement and several other agreements with LB to effect the Separation and provide a framework for our relationships with LB after the Separation. See “The Separation—Agreements with LB” for inf</w:t>
      </w:r>
      <w:r>
        <w:rPr>
          <w:rFonts w:ascii="Arial" w:eastAsia="Arial" w:hAnsi="Arial" w:cs="Arial"/>
          <w:sz w:val="16"/>
          <w:szCs w:val="16"/>
        </w:rPr>
        <w:t>ormation regarding these agreements.</w:t>
      </w:r>
    </w:p>
    <w:p w14:paraId="022F6314" w14:textId="77777777" w:rsidR="00D1587D" w:rsidRDefault="00D1587D">
      <w:pPr>
        <w:spacing w:line="239" w:lineRule="exact"/>
        <w:rPr>
          <w:sz w:val="20"/>
          <w:szCs w:val="20"/>
        </w:rPr>
      </w:pPr>
    </w:p>
    <w:p w14:paraId="6EF8B85A" w14:textId="77777777" w:rsidR="00D1587D" w:rsidRDefault="00410D07">
      <w:pPr>
        <w:ind w:left="300"/>
        <w:rPr>
          <w:sz w:val="20"/>
          <w:szCs w:val="20"/>
        </w:rPr>
      </w:pPr>
      <w:r>
        <w:rPr>
          <w:rFonts w:ascii="Arial" w:eastAsia="Arial" w:hAnsi="Arial" w:cs="Arial"/>
          <w:b/>
          <w:bCs/>
          <w:sz w:val="18"/>
          <w:szCs w:val="18"/>
        </w:rPr>
        <w:t>Related Party Transactions</w:t>
      </w:r>
    </w:p>
    <w:p w14:paraId="56C5367A" w14:textId="77777777" w:rsidR="00D1587D" w:rsidRDefault="00D1587D">
      <w:pPr>
        <w:spacing w:line="121" w:lineRule="exact"/>
        <w:rPr>
          <w:sz w:val="20"/>
          <w:szCs w:val="20"/>
        </w:rPr>
      </w:pPr>
    </w:p>
    <w:p w14:paraId="66C7D8BC" w14:textId="77777777" w:rsidR="00D1587D" w:rsidRDefault="00410D07">
      <w:pPr>
        <w:spacing w:line="263" w:lineRule="auto"/>
        <w:ind w:left="300" w:right="479" w:firstLine="360"/>
        <w:rPr>
          <w:sz w:val="20"/>
          <w:szCs w:val="20"/>
        </w:rPr>
      </w:pPr>
      <w:r>
        <w:rPr>
          <w:rFonts w:ascii="Arial" w:eastAsia="Arial" w:hAnsi="Arial" w:cs="Arial"/>
          <w:sz w:val="18"/>
          <w:szCs w:val="18"/>
        </w:rPr>
        <w:t>As a current business segment of LB, we engage in related party transactions with LB. Those transactions are described in more detail in Note 3 to the accompanying audited combined financial</w:t>
      </w:r>
      <w:r>
        <w:rPr>
          <w:rFonts w:ascii="Arial" w:eastAsia="Arial" w:hAnsi="Arial" w:cs="Arial"/>
          <w:sz w:val="18"/>
          <w:szCs w:val="18"/>
        </w:rPr>
        <w:t xml:space="preserve"> statements, and Note 2 to the accompanying unaudited interim combined financial statements.</w:t>
      </w:r>
    </w:p>
    <w:p w14:paraId="1BD28C26" w14:textId="77777777" w:rsidR="00D1587D" w:rsidRDefault="00D1587D">
      <w:pPr>
        <w:spacing w:line="292" w:lineRule="exact"/>
        <w:rPr>
          <w:sz w:val="20"/>
          <w:szCs w:val="20"/>
        </w:rPr>
      </w:pPr>
    </w:p>
    <w:p w14:paraId="77575E33" w14:textId="77777777" w:rsidR="00D1587D" w:rsidRDefault="00410D07">
      <w:pPr>
        <w:ind w:left="300"/>
        <w:rPr>
          <w:sz w:val="20"/>
          <w:szCs w:val="20"/>
        </w:rPr>
      </w:pPr>
      <w:r>
        <w:rPr>
          <w:rFonts w:ascii="Arial" w:eastAsia="Arial" w:hAnsi="Arial" w:cs="Arial"/>
          <w:b/>
          <w:bCs/>
          <w:i/>
          <w:iCs/>
          <w:sz w:val="18"/>
          <w:szCs w:val="18"/>
        </w:rPr>
        <w:t>Registration Rights Agreement</w:t>
      </w:r>
    </w:p>
    <w:p w14:paraId="6DC5C6E8" w14:textId="77777777" w:rsidR="00D1587D" w:rsidRDefault="00D1587D">
      <w:pPr>
        <w:spacing w:line="117" w:lineRule="exact"/>
        <w:rPr>
          <w:sz w:val="20"/>
          <w:szCs w:val="20"/>
        </w:rPr>
      </w:pPr>
    </w:p>
    <w:p w14:paraId="576CA033" w14:textId="77777777" w:rsidR="00D1587D" w:rsidRDefault="00410D07">
      <w:pPr>
        <w:spacing w:line="293" w:lineRule="auto"/>
        <w:ind w:left="300" w:right="479" w:firstLine="360"/>
        <w:rPr>
          <w:sz w:val="20"/>
          <w:szCs w:val="20"/>
        </w:rPr>
      </w:pPr>
      <w:r>
        <w:rPr>
          <w:rFonts w:ascii="Arial" w:eastAsia="Arial" w:hAnsi="Arial" w:cs="Arial"/>
          <w:sz w:val="16"/>
          <w:szCs w:val="16"/>
        </w:rPr>
        <w:t xml:space="preserve">On March 17, 2021, LB, Leslie H. Wexner and Abigail S. Wexner entered into a registration rights agreement (the “LB </w:t>
      </w:r>
      <w:r>
        <w:rPr>
          <w:rFonts w:ascii="Arial" w:eastAsia="Arial" w:hAnsi="Arial" w:cs="Arial"/>
          <w:sz w:val="16"/>
          <w:szCs w:val="16"/>
        </w:rPr>
        <w:t>Registration Rights Agreement”) providing each of Mr. Wexner and Mrs. Wexner and certain of their affiliated and related entities (collectively, the “Holders”) with certain customary registration rights with respect to their respective shares of LB’s commo</w:t>
      </w:r>
      <w:r>
        <w:rPr>
          <w:rFonts w:ascii="Arial" w:eastAsia="Arial" w:hAnsi="Arial" w:cs="Arial"/>
          <w:sz w:val="16"/>
          <w:szCs w:val="16"/>
        </w:rPr>
        <w:t>n stock. Pursuant to the terms of the LB Registration Rights Agreement, VS intends to enter into a substantially similar agreement with the Holders prior to the completion of the Separation, which agreement will be described in an amendment to this informa</w:t>
      </w:r>
      <w:r>
        <w:rPr>
          <w:rFonts w:ascii="Arial" w:eastAsia="Arial" w:hAnsi="Arial" w:cs="Arial"/>
          <w:sz w:val="16"/>
          <w:szCs w:val="16"/>
        </w:rPr>
        <w:t>tion statement.</w:t>
      </w:r>
    </w:p>
    <w:p w14:paraId="7D4AB059" w14:textId="77777777" w:rsidR="00D1587D" w:rsidRDefault="00D1587D">
      <w:pPr>
        <w:spacing w:line="259" w:lineRule="exact"/>
        <w:rPr>
          <w:sz w:val="20"/>
          <w:szCs w:val="20"/>
        </w:rPr>
      </w:pPr>
    </w:p>
    <w:p w14:paraId="355C2EC8" w14:textId="77777777" w:rsidR="00D1587D" w:rsidRDefault="00410D07">
      <w:pPr>
        <w:ind w:left="300"/>
        <w:rPr>
          <w:sz w:val="20"/>
          <w:szCs w:val="20"/>
        </w:rPr>
      </w:pPr>
      <w:r>
        <w:rPr>
          <w:rFonts w:ascii="Arial" w:eastAsia="Arial" w:hAnsi="Arial" w:cs="Arial"/>
          <w:b/>
          <w:bCs/>
          <w:i/>
          <w:iCs/>
          <w:sz w:val="18"/>
          <w:szCs w:val="18"/>
        </w:rPr>
        <w:t>Long-term Debt Due to Related Party</w:t>
      </w:r>
    </w:p>
    <w:p w14:paraId="2C7B9097" w14:textId="77777777" w:rsidR="00D1587D" w:rsidRDefault="00D1587D">
      <w:pPr>
        <w:spacing w:line="117" w:lineRule="exact"/>
        <w:rPr>
          <w:sz w:val="20"/>
          <w:szCs w:val="20"/>
        </w:rPr>
      </w:pPr>
    </w:p>
    <w:p w14:paraId="1B66B3D8" w14:textId="77777777" w:rsidR="00D1587D" w:rsidRDefault="00410D07">
      <w:pPr>
        <w:spacing w:line="311" w:lineRule="auto"/>
        <w:ind w:left="300" w:right="339" w:firstLine="360"/>
        <w:rPr>
          <w:sz w:val="20"/>
          <w:szCs w:val="20"/>
        </w:rPr>
      </w:pPr>
      <w:r>
        <w:rPr>
          <w:rFonts w:ascii="Arial" w:eastAsia="Arial" w:hAnsi="Arial" w:cs="Arial"/>
          <w:sz w:val="16"/>
          <w:szCs w:val="16"/>
        </w:rPr>
        <w:t>During 2020, we borrowed $97 million from LB to pay down outstanding debt with external parties. This borrowing is due in September 2025 and has a variable interest rate based on the China Loan Prime Ra</w:t>
      </w:r>
      <w:r>
        <w:rPr>
          <w:rFonts w:ascii="Arial" w:eastAsia="Arial" w:hAnsi="Arial" w:cs="Arial"/>
          <w:sz w:val="16"/>
          <w:szCs w:val="16"/>
        </w:rPr>
        <w:t>te, which was 3.85% as of May 1, 2021. At the time of the Separation, we will no longer have the related party note.</w:t>
      </w:r>
    </w:p>
    <w:p w14:paraId="4E0E27C8" w14:textId="77777777" w:rsidR="00D1587D" w:rsidRDefault="00D1587D">
      <w:pPr>
        <w:spacing w:line="243" w:lineRule="exact"/>
        <w:rPr>
          <w:sz w:val="20"/>
          <w:szCs w:val="20"/>
        </w:rPr>
      </w:pPr>
    </w:p>
    <w:p w14:paraId="1018F3FC" w14:textId="77777777" w:rsidR="00D1587D" w:rsidRDefault="00410D07">
      <w:pPr>
        <w:ind w:left="300"/>
        <w:rPr>
          <w:sz w:val="20"/>
          <w:szCs w:val="20"/>
        </w:rPr>
      </w:pPr>
      <w:r>
        <w:rPr>
          <w:rFonts w:ascii="Arial" w:eastAsia="Arial" w:hAnsi="Arial" w:cs="Arial"/>
          <w:b/>
          <w:bCs/>
          <w:i/>
          <w:iCs/>
          <w:sz w:val="18"/>
          <w:szCs w:val="18"/>
        </w:rPr>
        <w:t>Victoria’s Secret Guarantees</w:t>
      </w:r>
    </w:p>
    <w:p w14:paraId="2854B33C" w14:textId="77777777" w:rsidR="00D1587D" w:rsidRDefault="00D1587D">
      <w:pPr>
        <w:spacing w:line="117" w:lineRule="exact"/>
        <w:rPr>
          <w:sz w:val="20"/>
          <w:szCs w:val="20"/>
        </w:rPr>
      </w:pPr>
    </w:p>
    <w:p w14:paraId="546CD079" w14:textId="77777777" w:rsidR="00D1587D" w:rsidRDefault="00410D07">
      <w:pPr>
        <w:spacing w:line="259" w:lineRule="auto"/>
        <w:ind w:left="300" w:right="359" w:firstLine="360"/>
        <w:rPr>
          <w:sz w:val="20"/>
          <w:szCs w:val="20"/>
        </w:rPr>
      </w:pPr>
      <w:r>
        <w:rPr>
          <w:rFonts w:ascii="Arial" w:eastAsia="Arial" w:hAnsi="Arial" w:cs="Arial"/>
          <w:sz w:val="18"/>
          <w:szCs w:val="18"/>
        </w:rPr>
        <w:t>Certain Victoria’s Secret subsidiaries, along with other wholly-owned subsidiaries of LB, guarantee and pled</w:t>
      </w:r>
      <w:r>
        <w:rPr>
          <w:rFonts w:ascii="Arial" w:eastAsia="Arial" w:hAnsi="Arial" w:cs="Arial"/>
          <w:sz w:val="18"/>
          <w:szCs w:val="18"/>
        </w:rPr>
        <w:t>ge collateral to secure LB’s asset-backed revolving credit facility. The ABL Facility has aggregate commitments at $1 billion and has an expiration date in August 2024. As of May 1, 2021, there were no borrowings outstanding under the ABL Facility.</w:t>
      </w:r>
    </w:p>
    <w:p w14:paraId="6D869D54" w14:textId="77777777" w:rsidR="00D1587D" w:rsidRDefault="00D1587D">
      <w:pPr>
        <w:spacing w:line="79" w:lineRule="exact"/>
        <w:rPr>
          <w:sz w:val="20"/>
          <w:szCs w:val="20"/>
        </w:rPr>
      </w:pPr>
    </w:p>
    <w:p w14:paraId="604E8484" w14:textId="77777777" w:rsidR="00D1587D" w:rsidRDefault="00410D07">
      <w:pPr>
        <w:spacing w:line="263" w:lineRule="auto"/>
        <w:ind w:left="300" w:right="379" w:firstLine="360"/>
        <w:rPr>
          <w:sz w:val="20"/>
          <w:szCs w:val="20"/>
        </w:rPr>
      </w:pPr>
      <w:r>
        <w:rPr>
          <w:rFonts w:ascii="Arial" w:eastAsia="Arial" w:hAnsi="Arial" w:cs="Arial"/>
          <w:sz w:val="18"/>
          <w:szCs w:val="18"/>
        </w:rPr>
        <w:t>Certai</w:t>
      </w:r>
      <w:r>
        <w:rPr>
          <w:rFonts w:ascii="Arial" w:eastAsia="Arial" w:hAnsi="Arial" w:cs="Arial"/>
          <w:sz w:val="18"/>
          <w:szCs w:val="18"/>
        </w:rPr>
        <w:t>n Victoria’s Secret subsidiaries, along with other wholly-owned subsidiaries of LB, have also guaranteed LB’s obligations under certain of LB’s long-term notes. The guarantees are full and unconditional on a joint and several basis.</w:t>
      </w:r>
    </w:p>
    <w:p w14:paraId="3F3EB676" w14:textId="77777777" w:rsidR="00D1587D" w:rsidRDefault="00D1587D">
      <w:pPr>
        <w:spacing w:line="76" w:lineRule="exact"/>
        <w:rPr>
          <w:sz w:val="20"/>
          <w:szCs w:val="20"/>
        </w:rPr>
      </w:pPr>
    </w:p>
    <w:p w14:paraId="63EAA608" w14:textId="77777777" w:rsidR="00D1587D" w:rsidRDefault="00410D07">
      <w:pPr>
        <w:spacing w:line="286" w:lineRule="auto"/>
        <w:ind w:left="300" w:right="319" w:firstLine="360"/>
        <w:rPr>
          <w:sz w:val="20"/>
          <w:szCs w:val="20"/>
        </w:rPr>
      </w:pPr>
      <w:r>
        <w:rPr>
          <w:rFonts w:ascii="Arial" w:eastAsia="Arial" w:hAnsi="Arial" w:cs="Arial"/>
          <w:sz w:val="17"/>
          <w:szCs w:val="17"/>
        </w:rPr>
        <w:t>Our guarantees of obli</w:t>
      </w:r>
      <w:r>
        <w:rPr>
          <w:rFonts w:ascii="Arial" w:eastAsia="Arial" w:hAnsi="Arial" w:cs="Arial"/>
          <w:sz w:val="17"/>
          <w:szCs w:val="17"/>
        </w:rPr>
        <w:t>gations under LB’s long-term notes are expected to terminate concurrently with the Separation, subject to standard notice provisions to the trustee. Our guarantees of obligations under the ABL Facility are also expected to terminate concurrently with the S</w:t>
      </w:r>
      <w:r>
        <w:rPr>
          <w:rFonts w:ascii="Arial" w:eastAsia="Arial" w:hAnsi="Arial" w:cs="Arial"/>
          <w:sz w:val="17"/>
          <w:szCs w:val="17"/>
        </w:rPr>
        <w:t>eparation, subject to consent of the lenders.</w:t>
      </w:r>
    </w:p>
    <w:p w14:paraId="3BF06097" w14:textId="77777777" w:rsidR="00D1587D" w:rsidRDefault="00D1587D">
      <w:pPr>
        <w:spacing w:line="165" w:lineRule="exact"/>
        <w:rPr>
          <w:sz w:val="20"/>
          <w:szCs w:val="20"/>
        </w:rPr>
      </w:pPr>
    </w:p>
    <w:p w14:paraId="0FB658F9" w14:textId="77777777" w:rsidR="00D1587D" w:rsidRDefault="00410D07">
      <w:pPr>
        <w:jc w:val="center"/>
        <w:rPr>
          <w:sz w:val="20"/>
          <w:szCs w:val="20"/>
        </w:rPr>
      </w:pPr>
      <w:r>
        <w:rPr>
          <w:rFonts w:ascii="Arial" w:eastAsia="Arial" w:hAnsi="Arial" w:cs="Arial"/>
          <w:sz w:val="18"/>
          <w:szCs w:val="18"/>
        </w:rPr>
        <w:t>128</w:t>
      </w:r>
    </w:p>
    <w:p w14:paraId="6180134F" w14:textId="77777777" w:rsidR="00D1587D" w:rsidRDefault="00410D07">
      <w:pPr>
        <w:spacing w:line="20" w:lineRule="exact"/>
        <w:rPr>
          <w:sz w:val="20"/>
          <w:szCs w:val="20"/>
        </w:rPr>
      </w:pPr>
      <w:r>
        <w:rPr>
          <w:noProof/>
          <w:sz w:val="20"/>
          <w:szCs w:val="20"/>
        </w:rPr>
        <w:drawing>
          <wp:anchor distT="0" distB="0" distL="114300" distR="114300" simplePos="0" relativeHeight="251968512" behindDoc="1" locked="0" layoutInCell="0" allowOverlap="1" wp14:anchorId="5CD3D16B" wp14:editId="4515EB22">
            <wp:simplePos x="0" y="0"/>
            <wp:positionH relativeFrom="column">
              <wp:posOffset>-636905</wp:posOffset>
            </wp:positionH>
            <wp:positionV relativeFrom="paragraph">
              <wp:posOffset>134620</wp:posOffset>
            </wp:positionV>
            <wp:extent cx="6995160" cy="17145"/>
            <wp:effectExtent l="0" t="0" r="0" b="0"/>
            <wp:wrapNone/>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971A926" w14:textId="77777777" w:rsidR="00D1587D" w:rsidRDefault="00D1587D">
      <w:pPr>
        <w:sectPr w:rsidR="00D1587D">
          <w:pgSz w:w="11900" w:h="16838"/>
          <w:pgMar w:top="265" w:right="1440" w:bottom="1440" w:left="1440" w:header="0" w:footer="0" w:gutter="0"/>
          <w:cols w:space="720" w:equalWidth="0">
            <w:col w:w="9019"/>
          </w:cols>
        </w:sectPr>
      </w:pPr>
    </w:p>
    <w:bookmarkStart w:id="386" w:name="page387"/>
    <w:bookmarkEnd w:id="386"/>
    <w:p w14:paraId="6872DC6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97E9E89" w14:textId="77777777" w:rsidR="00D1587D" w:rsidRDefault="00D1587D">
      <w:pPr>
        <w:spacing w:line="131" w:lineRule="exact"/>
        <w:rPr>
          <w:sz w:val="20"/>
          <w:szCs w:val="20"/>
        </w:rPr>
      </w:pPr>
    </w:p>
    <w:p w14:paraId="2994A0F2" w14:textId="77777777" w:rsidR="00D1587D" w:rsidRDefault="00410D07">
      <w:pPr>
        <w:ind w:left="300"/>
        <w:rPr>
          <w:sz w:val="20"/>
          <w:szCs w:val="20"/>
        </w:rPr>
      </w:pPr>
      <w:r>
        <w:rPr>
          <w:rFonts w:ascii="Arial" w:eastAsia="Arial" w:hAnsi="Arial" w:cs="Arial"/>
          <w:b/>
          <w:bCs/>
          <w:i/>
          <w:iCs/>
          <w:sz w:val="18"/>
          <w:szCs w:val="18"/>
        </w:rPr>
        <w:t>LB Guarantees</w:t>
      </w:r>
    </w:p>
    <w:p w14:paraId="45EF4013" w14:textId="77777777" w:rsidR="00D1587D" w:rsidRDefault="00D1587D">
      <w:pPr>
        <w:spacing w:line="117" w:lineRule="exact"/>
        <w:rPr>
          <w:sz w:val="20"/>
          <w:szCs w:val="20"/>
        </w:rPr>
      </w:pPr>
    </w:p>
    <w:p w14:paraId="067A02C8" w14:textId="77777777" w:rsidR="00D1587D" w:rsidRDefault="00410D07">
      <w:pPr>
        <w:spacing w:line="286" w:lineRule="auto"/>
        <w:ind w:left="300" w:right="559" w:firstLine="360"/>
        <w:rPr>
          <w:sz w:val="20"/>
          <w:szCs w:val="20"/>
        </w:rPr>
      </w:pPr>
      <w:r>
        <w:rPr>
          <w:rFonts w:ascii="Arial" w:eastAsia="Arial" w:hAnsi="Arial" w:cs="Arial"/>
          <w:sz w:val="17"/>
          <w:szCs w:val="17"/>
        </w:rPr>
        <w:t xml:space="preserve">LB has provided guarantees related to certain of the Company’s store and office lease payments under the current terms of </w:t>
      </w:r>
      <w:r>
        <w:rPr>
          <w:rFonts w:ascii="Arial" w:eastAsia="Arial" w:hAnsi="Arial" w:cs="Arial"/>
          <w:sz w:val="17"/>
          <w:szCs w:val="17"/>
        </w:rPr>
        <w:t>noncancelable leases expiring at various dates through 2037. These guarantees include minimum rent and additional payments covering taxes, common area costs and certain other expenses.</w:t>
      </w:r>
    </w:p>
    <w:p w14:paraId="11C95906" w14:textId="77777777" w:rsidR="00D1587D" w:rsidRDefault="00D1587D">
      <w:pPr>
        <w:spacing w:line="57" w:lineRule="exact"/>
        <w:rPr>
          <w:sz w:val="20"/>
          <w:szCs w:val="20"/>
        </w:rPr>
      </w:pPr>
    </w:p>
    <w:p w14:paraId="7468EEA7" w14:textId="77777777" w:rsidR="00D1587D" w:rsidRDefault="00410D07">
      <w:pPr>
        <w:spacing w:line="255" w:lineRule="auto"/>
        <w:ind w:left="300" w:right="399" w:firstLine="360"/>
        <w:rPr>
          <w:sz w:val="20"/>
          <w:szCs w:val="20"/>
        </w:rPr>
      </w:pPr>
      <w:r>
        <w:rPr>
          <w:rFonts w:ascii="Arial" w:eastAsia="Arial" w:hAnsi="Arial" w:cs="Arial"/>
          <w:sz w:val="18"/>
          <w:szCs w:val="18"/>
        </w:rPr>
        <w:t>Certain of our China subsidiaries utilize revolving and term loan bank</w:t>
      </w:r>
      <w:r>
        <w:rPr>
          <w:rFonts w:ascii="Arial" w:eastAsia="Arial" w:hAnsi="Arial" w:cs="Arial"/>
          <w:sz w:val="18"/>
          <w:szCs w:val="18"/>
        </w:rPr>
        <w:t xml:space="preserve"> facilities to support their operations. These facilities are guaranteed by LB and certain of LB’s and our 100% owned subsidiaries. As of May 1, 2021, there were no outstanding borrowings under the Foreign Facilities. Further, during 2020, LB placed cash o</w:t>
      </w:r>
      <w:r>
        <w:rPr>
          <w:rFonts w:ascii="Arial" w:eastAsia="Arial" w:hAnsi="Arial" w:cs="Arial"/>
          <w:sz w:val="18"/>
          <w:szCs w:val="18"/>
        </w:rPr>
        <w:t>n deposit with certain financial institutions as collateral for the Foreign Facilities. The amount of collateral required was dependent upon the aggregate lending commitments and totaled $30 million as of May 1, 2021. We expect to terminate the Foreign Fac</w:t>
      </w:r>
      <w:r>
        <w:rPr>
          <w:rFonts w:ascii="Arial" w:eastAsia="Arial" w:hAnsi="Arial" w:cs="Arial"/>
          <w:sz w:val="18"/>
          <w:szCs w:val="18"/>
        </w:rPr>
        <w:t>ilities prior to the Separation.</w:t>
      </w:r>
    </w:p>
    <w:p w14:paraId="789874B3" w14:textId="77777777" w:rsidR="00D1587D" w:rsidRDefault="00D1587D">
      <w:pPr>
        <w:spacing w:line="84" w:lineRule="exact"/>
        <w:rPr>
          <w:sz w:val="20"/>
          <w:szCs w:val="20"/>
        </w:rPr>
      </w:pPr>
    </w:p>
    <w:p w14:paraId="0BC1F6EF" w14:textId="77777777" w:rsidR="00D1587D" w:rsidRDefault="00410D07">
      <w:pPr>
        <w:spacing w:line="257" w:lineRule="auto"/>
        <w:ind w:left="300" w:right="439" w:firstLine="360"/>
        <w:rPr>
          <w:sz w:val="20"/>
          <w:szCs w:val="20"/>
        </w:rPr>
      </w:pPr>
      <w:r>
        <w:rPr>
          <w:rFonts w:ascii="Arial" w:eastAsia="Arial" w:hAnsi="Arial" w:cs="Arial"/>
          <w:sz w:val="18"/>
          <w:szCs w:val="18"/>
        </w:rPr>
        <w:t>Under the Separation and Distribution Agreement, the Company is required to use commercially reasonable efforts to, effective as of the Distribution, terminate any guarantee provided by LB or any of its subsidiaries for th</w:t>
      </w:r>
      <w:r>
        <w:rPr>
          <w:rFonts w:ascii="Arial" w:eastAsia="Arial" w:hAnsi="Arial" w:cs="Arial"/>
          <w:sz w:val="18"/>
          <w:szCs w:val="18"/>
        </w:rPr>
        <w:t>e benefit of the Company or its subsidiaries, or remove or substitute LB and its subsidiaries as guarantors under such guarantees and, if not effected by the Distribution, to effect such termination, removal or substitution as soon as reasonably practicabl</w:t>
      </w:r>
      <w:r>
        <w:rPr>
          <w:rFonts w:ascii="Arial" w:eastAsia="Arial" w:hAnsi="Arial" w:cs="Arial"/>
          <w:sz w:val="18"/>
          <w:szCs w:val="18"/>
        </w:rPr>
        <w:t>e after the Distribution.</w:t>
      </w:r>
    </w:p>
    <w:p w14:paraId="2B2AE4B3" w14:textId="77777777" w:rsidR="00D1587D" w:rsidRDefault="00D1587D">
      <w:pPr>
        <w:spacing w:line="346" w:lineRule="exact"/>
        <w:rPr>
          <w:sz w:val="20"/>
          <w:szCs w:val="20"/>
        </w:rPr>
      </w:pPr>
    </w:p>
    <w:p w14:paraId="27947182" w14:textId="77777777" w:rsidR="00D1587D" w:rsidRDefault="00410D07">
      <w:pPr>
        <w:ind w:left="300"/>
        <w:rPr>
          <w:sz w:val="20"/>
          <w:szCs w:val="20"/>
        </w:rPr>
      </w:pPr>
      <w:r>
        <w:rPr>
          <w:rFonts w:ascii="Arial" w:eastAsia="Arial" w:hAnsi="Arial" w:cs="Arial"/>
          <w:b/>
          <w:bCs/>
          <w:sz w:val="18"/>
          <w:szCs w:val="18"/>
        </w:rPr>
        <w:t>Review, Approval or Ratification of Transactions with Related Persons</w:t>
      </w:r>
    </w:p>
    <w:p w14:paraId="04D350D6" w14:textId="77777777" w:rsidR="00D1587D" w:rsidRDefault="00D1587D">
      <w:pPr>
        <w:spacing w:line="121" w:lineRule="exact"/>
        <w:rPr>
          <w:sz w:val="20"/>
          <w:szCs w:val="20"/>
        </w:rPr>
      </w:pPr>
    </w:p>
    <w:p w14:paraId="39D0D598" w14:textId="77777777" w:rsidR="00D1587D" w:rsidRDefault="00410D07">
      <w:pPr>
        <w:spacing w:line="269" w:lineRule="auto"/>
        <w:ind w:left="300" w:right="319" w:firstLine="360"/>
        <w:rPr>
          <w:sz w:val="20"/>
          <w:szCs w:val="20"/>
        </w:rPr>
      </w:pPr>
      <w:r>
        <w:rPr>
          <w:rFonts w:ascii="Arial" w:eastAsia="Arial" w:hAnsi="Arial" w:cs="Arial"/>
          <w:sz w:val="17"/>
          <w:szCs w:val="17"/>
        </w:rPr>
        <w:t xml:space="preserve">We expect that our Board of Directors will adopt procedures for the review of any transactions and relationships in which we and any of our </w:t>
      </w:r>
      <w:r>
        <w:rPr>
          <w:rFonts w:ascii="Arial" w:eastAsia="Arial" w:hAnsi="Arial" w:cs="Arial"/>
          <w:sz w:val="17"/>
          <w:szCs w:val="17"/>
        </w:rPr>
        <w:t>directors, nominees for director or executive officers, or any of their immediate family members, are participants, to determine whether any of these individuals have a direct or indirect material interest in any such transaction. We expect that we will de</w:t>
      </w:r>
      <w:r>
        <w:rPr>
          <w:rFonts w:ascii="Arial" w:eastAsia="Arial" w:hAnsi="Arial" w:cs="Arial"/>
          <w:sz w:val="17"/>
          <w:szCs w:val="17"/>
        </w:rPr>
        <w:t>velop and implement processes and controls to obtain information from the directors and executive officers about related person transactions, and for determining, based on the facts and circumstances, whether a related person has a direct or indirect mater</w:t>
      </w:r>
      <w:r>
        <w:rPr>
          <w:rFonts w:ascii="Arial" w:eastAsia="Arial" w:hAnsi="Arial" w:cs="Arial"/>
          <w:sz w:val="17"/>
          <w:szCs w:val="17"/>
        </w:rPr>
        <w:t>ial interest in any such transaction. Transactions that are determined to be directly or indirectly material to a related person will be disclosed by us as required. Pursuant to these processes, we expect that all directors and executive officers will annu</w:t>
      </w:r>
      <w:r>
        <w:rPr>
          <w:rFonts w:ascii="Arial" w:eastAsia="Arial" w:hAnsi="Arial" w:cs="Arial"/>
          <w:sz w:val="17"/>
          <w:szCs w:val="17"/>
        </w:rPr>
        <w:t>ally complete, sign and submit a Director and Executive Officer Questionnaire designed to identify related person transactions and both actual and potential conflicts of interest.</w:t>
      </w:r>
    </w:p>
    <w:p w14:paraId="1B9EF65F" w14:textId="77777777" w:rsidR="00D1587D" w:rsidRDefault="00D1587D">
      <w:pPr>
        <w:spacing w:line="77" w:lineRule="exact"/>
        <w:rPr>
          <w:sz w:val="20"/>
          <w:szCs w:val="20"/>
        </w:rPr>
      </w:pPr>
    </w:p>
    <w:p w14:paraId="3C5E5F4C" w14:textId="77777777" w:rsidR="00D1587D" w:rsidRDefault="00410D07">
      <w:pPr>
        <w:spacing w:line="301" w:lineRule="auto"/>
        <w:ind w:left="300" w:right="319" w:firstLine="360"/>
        <w:jc w:val="both"/>
        <w:rPr>
          <w:sz w:val="20"/>
          <w:szCs w:val="20"/>
        </w:rPr>
      </w:pPr>
      <w:r>
        <w:rPr>
          <w:rFonts w:ascii="Arial" w:eastAsia="Arial" w:hAnsi="Arial" w:cs="Arial"/>
          <w:sz w:val="16"/>
          <w:szCs w:val="16"/>
        </w:rPr>
        <w:t>As described above, we expect that the Board of Directors will adopt one or</w:t>
      </w:r>
      <w:r>
        <w:rPr>
          <w:rFonts w:ascii="Arial" w:eastAsia="Arial" w:hAnsi="Arial" w:cs="Arial"/>
          <w:sz w:val="16"/>
          <w:szCs w:val="16"/>
        </w:rPr>
        <w:t xml:space="preserve"> more codes of ethics applicable to our directors and executive officers that will prohibit directors and executive officers from entering into transactions, or having any relationships, that would result in a conflict of interest with us. Any waivers of t</w:t>
      </w:r>
      <w:r>
        <w:rPr>
          <w:rFonts w:ascii="Arial" w:eastAsia="Arial" w:hAnsi="Arial" w:cs="Arial"/>
          <w:sz w:val="16"/>
          <w:szCs w:val="16"/>
        </w:rPr>
        <w:t>he codes of ethics for directors and executive officers will only be granted by the Board of Directors or a Committee of the Board.</w:t>
      </w:r>
    </w:p>
    <w:p w14:paraId="0B7AB6B6" w14:textId="77777777" w:rsidR="00D1587D" w:rsidRDefault="00D1587D">
      <w:pPr>
        <w:spacing w:line="157" w:lineRule="exact"/>
        <w:rPr>
          <w:sz w:val="20"/>
          <w:szCs w:val="20"/>
        </w:rPr>
      </w:pPr>
    </w:p>
    <w:p w14:paraId="7DC01E42" w14:textId="77777777" w:rsidR="00D1587D" w:rsidRDefault="00410D07">
      <w:pPr>
        <w:ind w:right="19"/>
        <w:jc w:val="center"/>
        <w:rPr>
          <w:sz w:val="20"/>
          <w:szCs w:val="20"/>
        </w:rPr>
      </w:pPr>
      <w:r>
        <w:rPr>
          <w:rFonts w:ascii="Arial" w:eastAsia="Arial" w:hAnsi="Arial" w:cs="Arial"/>
          <w:sz w:val="18"/>
          <w:szCs w:val="18"/>
        </w:rPr>
        <w:t>129</w:t>
      </w:r>
    </w:p>
    <w:p w14:paraId="4E55C861" w14:textId="77777777" w:rsidR="00D1587D" w:rsidRDefault="00410D07">
      <w:pPr>
        <w:spacing w:line="20" w:lineRule="exact"/>
        <w:rPr>
          <w:sz w:val="20"/>
          <w:szCs w:val="20"/>
        </w:rPr>
      </w:pPr>
      <w:r>
        <w:rPr>
          <w:noProof/>
          <w:sz w:val="20"/>
          <w:szCs w:val="20"/>
        </w:rPr>
        <w:drawing>
          <wp:anchor distT="0" distB="0" distL="114300" distR="114300" simplePos="0" relativeHeight="251969536" behindDoc="1" locked="0" layoutInCell="0" allowOverlap="1" wp14:anchorId="74EA5B74" wp14:editId="5DC364C1">
            <wp:simplePos x="0" y="0"/>
            <wp:positionH relativeFrom="column">
              <wp:posOffset>-636905</wp:posOffset>
            </wp:positionH>
            <wp:positionV relativeFrom="paragraph">
              <wp:posOffset>126365</wp:posOffset>
            </wp:positionV>
            <wp:extent cx="6995160" cy="17145"/>
            <wp:effectExtent l="0" t="0" r="0" b="0"/>
            <wp:wrapNone/>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BF51B90" w14:textId="77777777" w:rsidR="00D1587D" w:rsidRDefault="00D1587D">
      <w:pPr>
        <w:sectPr w:rsidR="00D1587D">
          <w:pgSz w:w="11900" w:h="16838"/>
          <w:pgMar w:top="265" w:right="1440" w:bottom="1440" w:left="1440" w:header="0" w:footer="0" w:gutter="0"/>
          <w:cols w:space="720" w:equalWidth="0">
            <w:col w:w="9019"/>
          </w:cols>
        </w:sectPr>
      </w:pPr>
    </w:p>
    <w:bookmarkStart w:id="387" w:name="page388"/>
    <w:bookmarkEnd w:id="387"/>
    <w:p w14:paraId="152F337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ED70386" w14:textId="77777777" w:rsidR="00D1587D" w:rsidRDefault="00D1587D">
      <w:pPr>
        <w:spacing w:line="127" w:lineRule="exact"/>
        <w:rPr>
          <w:sz w:val="20"/>
          <w:szCs w:val="20"/>
        </w:rPr>
      </w:pPr>
    </w:p>
    <w:p w14:paraId="29AEFF9A" w14:textId="77777777" w:rsidR="00D1587D" w:rsidRDefault="00410D07">
      <w:pPr>
        <w:ind w:left="500"/>
        <w:rPr>
          <w:sz w:val="20"/>
          <w:szCs w:val="20"/>
        </w:rPr>
      </w:pPr>
      <w:r>
        <w:rPr>
          <w:rFonts w:ascii="Arial" w:eastAsia="Arial" w:hAnsi="Arial" w:cs="Arial"/>
          <w:b/>
          <w:bCs/>
          <w:sz w:val="18"/>
          <w:szCs w:val="18"/>
        </w:rPr>
        <w:t>OWNERSHIP OF COMMON STOCK BY CERTAIN BENEFICIAL OWNE</w:t>
      </w:r>
      <w:r>
        <w:rPr>
          <w:rFonts w:ascii="Arial" w:eastAsia="Arial" w:hAnsi="Arial" w:cs="Arial"/>
          <w:b/>
          <w:bCs/>
          <w:sz w:val="18"/>
          <w:szCs w:val="18"/>
        </w:rPr>
        <w:t>RS AND MANAGEMENT</w:t>
      </w:r>
    </w:p>
    <w:p w14:paraId="39907B35" w14:textId="77777777" w:rsidR="00D1587D" w:rsidRDefault="00D1587D">
      <w:pPr>
        <w:spacing w:line="121" w:lineRule="exact"/>
        <w:rPr>
          <w:sz w:val="20"/>
          <w:szCs w:val="20"/>
        </w:rPr>
      </w:pPr>
    </w:p>
    <w:p w14:paraId="76D365EF" w14:textId="77777777" w:rsidR="00D1587D" w:rsidRDefault="00410D07">
      <w:pPr>
        <w:spacing w:line="284" w:lineRule="auto"/>
        <w:ind w:left="300" w:right="379" w:firstLine="360"/>
        <w:rPr>
          <w:sz w:val="20"/>
          <w:szCs w:val="20"/>
        </w:rPr>
      </w:pPr>
      <w:r>
        <w:rPr>
          <w:rFonts w:ascii="Arial" w:eastAsia="Arial" w:hAnsi="Arial" w:cs="Arial"/>
          <w:sz w:val="16"/>
          <w:szCs w:val="16"/>
        </w:rPr>
        <w:t>As of the date of this information statement, all of the outstanding shares of VS common stock are owned by LB. After the Separation, LB will not directly or indirectly own any of our common stock. The following tables provide informatio</w:t>
      </w:r>
      <w:r>
        <w:rPr>
          <w:rFonts w:ascii="Arial" w:eastAsia="Arial" w:hAnsi="Arial" w:cs="Arial"/>
          <w:sz w:val="16"/>
          <w:szCs w:val="16"/>
        </w:rPr>
        <w:t>n with respect to the expected beneficial ownership of VS common stock by (1) each person who is known by us who we believe will be a beneficial owner of more than 5% of VS outstanding common stock immediately after the Distribution (assuming they maintain</w:t>
      </w:r>
      <w:r>
        <w:rPr>
          <w:rFonts w:ascii="Arial" w:eastAsia="Arial" w:hAnsi="Arial" w:cs="Arial"/>
          <w:sz w:val="16"/>
          <w:szCs w:val="16"/>
        </w:rPr>
        <w:t xml:space="preserve"> such ownership positions when the Distribution occurs) based on current publicly available information, (2) each identified director of VS, (3) each NEO and (4) all identified VS executive officers and directors as a group. We based the share amounts on e</w:t>
      </w:r>
      <w:r>
        <w:rPr>
          <w:rFonts w:ascii="Arial" w:eastAsia="Arial" w:hAnsi="Arial" w:cs="Arial"/>
          <w:sz w:val="16"/>
          <w:szCs w:val="16"/>
        </w:rPr>
        <w:t>ach person’s beneficial</w:t>
      </w:r>
    </w:p>
    <w:p w14:paraId="26FA7F2E" w14:textId="77777777" w:rsidR="00D1587D" w:rsidRDefault="00D1587D">
      <w:pPr>
        <w:spacing w:line="2" w:lineRule="exact"/>
        <w:rPr>
          <w:sz w:val="20"/>
          <w:szCs w:val="20"/>
        </w:rPr>
      </w:pPr>
    </w:p>
    <w:p w14:paraId="72EDDD34" w14:textId="77777777" w:rsidR="00D1587D" w:rsidRDefault="00410D07">
      <w:pPr>
        <w:spacing w:line="277" w:lineRule="auto"/>
        <w:ind w:left="300" w:right="359"/>
        <w:jc w:val="both"/>
        <w:rPr>
          <w:sz w:val="20"/>
          <w:szCs w:val="20"/>
        </w:rPr>
      </w:pPr>
      <w:r>
        <w:rPr>
          <w:rFonts w:ascii="Arial" w:eastAsia="Arial" w:hAnsi="Arial" w:cs="Arial"/>
          <w:sz w:val="17"/>
          <w:szCs w:val="17"/>
        </w:rPr>
        <w:t xml:space="preserve">ownership of LB common stock as of the close of business on , 2021 and applying the distribution ratio of one share of our common stock for every shares of LB common stock held as of the record date for the Distribution, unless we </w:t>
      </w:r>
      <w:r>
        <w:rPr>
          <w:rFonts w:ascii="Arial" w:eastAsia="Arial" w:hAnsi="Arial" w:cs="Arial"/>
          <w:sz w:val="17"/>
          <w:szCs w:val="17"/>
        </w:rPr>
        <w:t>indicate some other date or basis for the share amounts in the applicable footnotes.</w:t>
      </w:r>
    </w:p>
    <w:p w14:paraId="2A4BF766" w14:textId="77777777" w:rsidR="00D1587D" w:rsidRDefault="00D1587D">
      <w:pPr>
        <w:spacing w:line="65" w:lineRule="exact"/>
        <w:rPr>
          <w:sz w:val="20"/>
          <w:szCs w:val="20"/>
        </w:rPr>
      </w:pPr>
    </w:p>
    <w:p w14:paraId="3F5EBFEC" w14:textId="77777777" w:rsidR="00D1587D" w:rsidRDefault="00410D07">
      <w:pPr>
        <w:spacing w:line="291" w:lineRule="auto"/>
        <w:ind w:left="300" w:right="619" w:firstLine="360"/>
        <w:rPr>
          <w:sz w:val="20"/>
          <w:szCs w:val="20"/>
        </w:rPr>
      </w:pPr>
      <w:r>
        <w:rPr>
          <w:rFonts w:ascii="Arial" w:eastAsia="Arial" w:hAnsi="Arial" w:cs="Arial"/>
          <w:sz w:val="16"/>
          <w:szCs w:val="16"/>
        </w:rPr>
        <w:t xml:space="preserve">Except as otherwise noted in the footnotes below, each person or entity identified below is expected to have sole voting and investment power with respect to such </w:t>
      </w:r>
      <w:r>
        <w:rPr>
          <w:rFonts w:ascii="Arial" w:eastAsia="Arial" w:hAnsi="Arial" w:cs="Arial"/>
          <w:sz w:val="16"/>
          <w:szCs w:val="16"/>
        </w:rPr>
        <w:t>securities. Following the Separation, VS will have</w:t>
      </w:r>
    </w:p>
    <w:p w14:paraId="30F59F98" w14:textId="77777777" w:rsidR="00D1587D" w:rsidRDefault="00410D07">
      <w:pPr>
        <w:tabs>
          <w:tab w:val="left" w:pos="4120"/>
        </w:tabs>
        <w:ind w:left="300"/>
        <w:rPr>
          <w:sz w:val="20"/>
          <w:szCs w:val="20"/>
        </w:rPr>
      </w:pPr>
      <w:r>
        <w:rPr>
          <w:rFonts w:ascii="Arial" w:eastAsia="Arial" w:hAnsi="Arial" w:cs="Arial"/>
          <w:sz w:val="18"/>
          <w:szCs w:val="18"/>
        </w:rPr>
        <w:t>outstanding an aggregate of approximately</w:t>
      </w:r>
      <w:r>
        <w:rPr>
          <w:sz w:val="20"/>
          <w:szCs w:val="20"/>
        </w:rPr>
        <w:tab/>
      </w:r>
      <w:r>
        <w:rPr>
          <w:rFonts w:ascii="Arial" w:eastAsia="Arial" w:hAnsi="Arial" w:cs="Arial"/>
          <w:sz w:val="16"/>
          <w:szCs w:val="16"/>
        </w:rPr>
        <w:t>shares of common stock based upon approximately</w:t>
      </w:r>
    </w:p>
    <w:p w14:paraId="59F86268" w14:textId="77777777" w:rsidR="00D1587D" w:rsidRDefault="00D1587D">
      <w:pPr>
        <w:spacing w:line="9" w:lineRule="exact"/>
        <w:rPr>
          <w:sz w:val="20"/>
          <w:szCs w:val="20"/>
        </w:rPr>
      </w:pPr>
    </w:p>
    <w:p w14:paraId="28E427F8" w14:textId="77777777" w:rsidR="00D1587D" w:rsidRDefault="00410D07">
      <w:pPr>
        <w:tabs>
          <w:tab w:val="left" w:pos="4160"/>
        </w:tabs>
        <w:ind w:left="300"/>
        <w:rPr>
          <w:sz w:val="20"/>
          <w:szCs w:val="20"/>
        </w:rPr>
      </w:pPr>
      <w:r>
        <w:rPr>
          <w:rFonts w:ascii="Arial" w:eastAsia="Arial" w:hAnsi="Arial" w:cs="Arial"/>
          <w:sz w:val="18"/>
          <w:szCs w:val="18"/>
        </w:rPr>
        <w:t>shares of LB common stock outstanding on</w:t>
      </w:r>
      <w:r>
        <w:rPr>
          <w:sz w:val="20"/>
          <w:szCs w:val="20"/>
        </w:rPr>
        <w:tab/>
      </w:r>
      <w:r>
        <w:rPr>
          <w:rFonts w:ascii="Arial" w:eastAsia="Arial" w:hAnsi="Arial" w:cs="Arial"/>
          <w:sz w:val="16"/>
          <w:szCs w:val="16"/>
        </w:rPr>
        <w:t>, 2021 assuming no exercise of LB stock options, and applying</w:t>
      </w:r>
    </w:p>
    <w:p w14:paraId="53DE160E" w14:textId="77777777" w:rsidR="00D1587D" w:rsidRDefault="00D1587D">
      <w:pPr>
        <w:spacing w:line="9" w:lineRule="exact"/>
        <w:rPr>
          <w:sz w:val="20"/>
          <w:szCs w:val="20"/>
        </w:rPr>
      </w:pPr>
    </w:p>
    <w:p w14:paraId="0A010370" w14:textId="77777777" w:rsidR="00D1587D" w:rsidRDefault="00410D07">
      <w:pPr>
        <w:tabs>
          <w:tab w:val="left" w:pos="5700"/>
        </w:tabs>
        <w:ind w:left="300"/>
        <w:rPr>
          <w:sz w:val="20"/>
          <w:szCs w:val="20"/>
        </w:rPr>
      </w:pPr>
      <w:r>
        <w:rPr>
          <w:rFonts w:ascii="Arial" w:eastAsia="Arial" w:hAnsi="Arial" w:cs="Arial"/>
          <w:sz w:val="18"/>
          <w:szCs w:val="18"/>
        </w:rPr>
        <w:t>the distri</w:t>
      </w:r>
      <w:r>
        <w:rPr>
          <w:rFonts w:ascii="Arial" w:eastAsia="Arial" w:hAnsi="Arial" w:cs="Arial"/>
          <w:sz w:val="18"/>
          <w:szCs w:val="18"/>
        </w:rPr>
        <w:t>bution ratio of one share of our common stock for every</w:t>
      </w:r>
      <w:r>
        <w:rPr>
          <w:sz w:val="20"/>
          <w:szCs w:val="20"/>
        </w:rPr>
        <w:tab/>
      </w:r>
      <w:r>
        <w:rPr>
          <w:rFonts w:ascii="Arial" w:eastAsia="Arial" w:hAnsi="Arial" w:cs="Arial"/>
          <w:sz w:val="16"/>
          <w:szCs w:val="16"/>
        </w:rPr>
        <w:t>shares of LB common stock.</w:t>
      </w:r>
    </w:p>
    <w:p w14:paraId="63ED85D3" w14:textId="77777777" w:rsidR="00D1587D" w:rsidRDefault="00D1587D">
      <w:pPr>
        <w:spacing w:line="103" w:lineRule="exact"/>
        <w:rPr>
          <w:sz w:val="20"/>
          <w:szCs w:val="20"/>
        </w:rPr>
      </w:pPr>
    </w:p>
    <w:p w14:paraId="2A33DAF4" w14:textId="77777777" w:rsidR="00D1587D" w:rsidRDefault="00410D07">
      <w:pPr>
        <w:spacing w:line="308" w:lineRule="auto"/>
        <w:ind w:left="300" w:right="339" w:firstLine="360"/>
        <w:rPr>
          <w:sz w:val="20"/>
          <w:szCs w:val="20"/>
        </w:rPr>
      </w:pPr>
      <w:r>
        <w:rPr>
          <w:rFonts w:ascii="Arial" w:eastAsia="Arial" w:hAnsi="Arial" w:cs="Arial"/>
          <w:sz w:val="17"/>
          <w:szCs w:val="17"/>
        </w:rPr>
        <w:t xml:space="preserve">To the extent our directors and executive officers own LB common stock at the record date for the Distribution, they will participate in the Distribution on the same terms </w:t>
      </w:r>
      <w:r>
        <w:rPr>
          <w:rFonts w:ascii="Arial" w:eastAsia="Arial" w:hAnsi="Arial" w:cs="Arial"/>
          <w:sz w:val="17"/>
          <w:szCs w:val="17"/>
        </w:rPr>
        <w:t>as other holders of LB common stock.</w:t>
      </w:r>
    </w:p>
    <w:p w14:paraId="22637A51" w14:textId="77777777" w:rsidR="00D1587D" w:rsidRDefault="00D1587D">
      <w:pPr>
        <w:spacing w:line="38" w:lineRule="exact"/>
        <w:rPr>
          <w:sz w:val="20"/>
          <w:szCs w:val="20"/>
        </w:rPr>
      </w:pPr>
    </w:p>
    <w:p w14:paraId="5D582754" w14:textId="77777777" w:rsidR="00D1587D" w:rsidRDefault="00410D07">
      <w:pPr>
        <w:spacing w:line="342" w:lineRule="auto"/>
        <w:ind w:left="300" w:right="319" w:firstLine="360"/>
        <w:rPr>
          <w:sz w:val="20"/>
          <w:szCs w:val="20"/>
        </w:rPr>
      </w:pPr>
      <w:r>
        <w:rPr>
          <w:rFonts w:ascii="Arial" w:eastAsia="Arial" w:hAnsi="Arial" w:cs="Arial"/>
          <w:sz w:val="16"/>
          <w:szCs w:val="16"/>
        </w:rPr>
        <w:t>The number of shares beneficially owned by each stockholder, director or officer is determined according to the rules of the SEC and the information is not necessarily indicative of beneficial ownership for any other p</w:t>
      </w:r>
      <w:r>
        <w:rPr>
          <w:rFonts w:ascii="Arial" w:eastAsia="Arial" w:hAnsi="Arial" w:cs="Arial"/>
          <w:sz w:val="16"/>
          <w:szCs w:val="16"/>
        </w:rPr>
        <w:t>urpose.</w:t>
      </w:r>
    </w:p>
    <w:p w14:paraId="19E99A4F" w14:textId="77777777" w:rsidR="00D1587D" w:rsidRDefault="00D1587D">
      <w:pPr>
        <w:spacing w:line="268" w:lineRule="exact"/>
        <w:rPr>
          <w:sz w:val="20"/>
          <w:szCs w:val="20"/>
        </w:rPr>
      </w:pPr>
    </w:p>
    <w:p w14:paraId="31D1858B" w14:textId="77777777" w:rsidR="00D1587D" w:rsidRDefault="00410D07">
      <w:pPr>
        <w:ind w:left="300"/>
        <w:rPr>
          <w:sz w:val="20"/>
          <w:szCs w:val="20"/>
        </w:rPr>
      </w:pPr>
      <w:r>
        <w:rPr>
          <w:rFonts w:ascii="Arial" w:eastAsia="Arial" w:hAnsi="Arial" w:cs="Arial"/>
          <w:b/>
          <w:bCs/>
          <w:sz w:val="18"/>
          <w:szCs w:val="18"/>
        </w:rPr>
        <w:t>Holdings of Certain Beneficial Owners</w:t>
      </w:r>
    </w:p>
    <w:p w14:paraId="4DFCEBDA" w14:textId="77777777" w:rsidR="00D1587D" w:rsidRDefault="00D1587D">
      <w:pPr>
        <w:spacing w:line="121" w:lineRule="exact"/>
        <w:rPr>
          <w:sz w:val="20"/>
          <w:szCs w:val="20"/>
        </w:rPr>
      </w:pPr>
    </w:p>
    <w:p w14:paraId="7AF0F989" w14:textId="77777777" w:rsidR="00D1587D" w:rsidRDefault="00410D07">
      <w:pPr>
        <w:spacing w:line="287" w:lineRule="auto"/>
        <w:ind w:left="300" w:right="339" w:firstLine="360"/>
        <w:rPr>
          <w:sz w:val="20"/>
          <w:szCs w:val="20"/>
        </w:rPr>
      </w:pPr>
      <w:r>
        <w:rPr>
          <w:rFonts w:ascii="Arial" w:eastAsia="Arial" w:hAnsi="Arial" w:cs="Arial"/>
          <w:sz w:val="16"/>
          <w:szCs w:val="16"/>
        </w:rPr>
        <w:t xml:space="preserve">As of the date of this information statement, all of the outstanding shares of VS common stock are owned by LB. The following table sets forth information regarding each stockholder who is expected to </w:t>
      </w:r>
      <w:r>
        <w:rPr>
          <w:rFonts w:ascii="Arial" w:eastAsia="Arial" w:hAnsi="Arial" w:cs="Arial"/>
          <w:sz w:val="16"/>
          <w:szCs w:val="16"/>
        </w:rPr>
        <w:t>beneficially own more than 5% of our common stock immediately following the Separation. The table is based upon an assumption that,</w:t>
      </w:r>
    </w:p>
    <w:p w14:paraId="09A1F9D4" w14:textId="77777777" w:rsidR="00D1587D" w:rsidRDefault="00D1587D">
      <w:pPr>
        <w:spacing w:line="2" w:lineRule="exact"/>
        <w:rPr>
          <w:sz w:val="20"/>
          <w:szCs w:val="20"/>
        </w:rPr>
      </w:pPr>
    </w:p>
    <w:p w14:paraId="25F9F3A3" w14:textId="77777777" w:rsidR="00D1587D" w:rsidRDefault="00410D07">
      <w:pPr>
        <w:spacing w:line="260" w:lineRule="auto"/>
        <w:ind w:left="300" w:right="579"/>
        <w:rPr>
          <w:sz w:val="20"/>
          <w:szCs w:val="20"/>
        </w:rPr>
      </w:pPr>
      <w:r>
        <w:rPr>
          <w:rFonts w:ascii="Arial" w:eastAsia="Arial" w:hAnsi="Arial" w:cs="Arial"/>
          <w:sz w:val="18"/>
          <w:szCs w:val="18"/>
        </w:rPr>
        <w:t>for every shares of LB common stock held by such persons, they will receive one share of VS common stock:</w:t>
      </w:r>
    </w:p>
    <w:p w14:paraId="010481D8" w14:textId="77777777" w:rsidR="00D1587D" w:rsidRDefault="00D1587D">
      <w:pPr>
        <w:spacing w:line="12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200"/>
        <w:gridCol w:w="3420"/>
        <w:gridCol w:w="780"/>
        <w:gridCol w:w="20"/>
      </w:tblGrid>
      <w:tr w:rsidR="00D1587D" w14:paraId="4885A46F" w14:textId="77777777">
        <w:trPr>
          <w:trHeight w:val="161"/>
        </w:trPr>
        <w:tc>
          <w:tcPr>
            <w:tcW w:w="4200" w:type="dxa"/>
            <w:vAlign w:val="bottom"/>
          </w:tcPr>
          <w:p w14:paraId="24F5F5D7" w14:textId="77777777" w:rsidR="00D1587D" w:rsidRDefault="00D1587D">
            <w:pPr>
              <w:rPr>
                <w:sz w:val="14"/>
                <w:szCs w:val="14"/>
              </w:rPr>
            </w:pPr>
          </w:p>
        </w:tc>
        <w:tc>
          <w:tcPr>
            <w:tcW w:w="3420" w:type="dxa"/>
            <w:vAlign w:val="bottom"/>
          </w:tcPr>
          <w:p w14:paraId="0AE4FFB1" w14:textId="77777777" w:rsidR="00D1587D" w:rsidRDefault="00410D07">
            <w:pPr>
              <w:ind w:left="2600"/>
              <w:rPr>
                <w:sz w:val="20"/>
                <w:szCs w:val="20"/>
              </w:rPr>
            </w:pPr>
            <w:r>
              <w:rPr>
                <w:rFonts w:ascii="Arial" w:eastAsia="Arial" w:hAnsi="Arial" w:cs="Arial"/>
                <w:b/>
                <w:bCs/>
                <w:sz w:val="14"/>
                <w:szCs w:val="14"/>
              </w:rPr>
              <w:t>Amount of</w:t>
            </w:r>
          </w:p>
        </w:tc>
        <w:tc>
          <w:tcPr>
            <w:tcW w:w="780" w:type="dxa"/>
            <w:vMerge w:val="restart"/>
            <w:vAlign w:val="bottom"/>
          </w:tcPr>
          <w:p w14:paraId="0E31EC54" w14:textId="77777777" w:rsidR="00D1587D" w:rsidRDefault="00410D07">
            <w:pPr>
              <w:ind w:left="88"/>
              <w:jc w:val="center"/>
              <w:rPr>
                <w:sz w:val="20"/>
                <w:szCs w:val="20"/>
              </w:rPr>
            </w:pPr>
            <w:r>
              <w:rPr>
                <w:rFonts w:ascii="Arial" w:eastAsia="Arial" w:hAnsi="Arial" w:cs="Arial"/>
                <w:b/>
                <w:bCs/>
                <w:w w:val="90"/>
                <w:sz w:val="14"/>
                <w:szCs w:val="14"/>
              </w:rPr>
              <w:t>Perce</w:t>
            </w:r>
            <w:r>
              <w:rPr>
                <w:rFonts w:ascii="Arial" w:eastAsia="Arial" w:hAnsi="Arial" w:cs="Arial"/>
                <w:b/>
                <w:bCs/>
                <w:w w:val="90"/>
                <w:sz w:val="14"/>
                <w:szCs w:val="14"/>
              </w:rPr>
              <w:t>nt of</w:t>
            </w:r>
          </w:p>
        </w:tc>
        <w:tc>
          <w:tcPr>
            <w:tcW w:w="0" w:type="dxa"/>
            <w:vAlign w:val="bottom"/>
          </w:tcPr>
          <w:p w14:paraId="2C440522" w14:textId="77777777" w:rsidR="00D1587D" w:rsidRDefault="00D1587D">
            <w:pPr>
              <w:rPr>
                <w:sz w:val="1"/>
                <w:szCs w:val="1"/>
              </w:rPr>
            </w:pPr>
          </w:p>
        </w:tc>
      </w:tr>
      <w:tr w:rsidR="00D1587D" w14:paraId="7F37342B" w14:textId="77777777">
        <w:trPr>
          <w:trHeight w:val="148"/>
        </w:trPr>
        <w:tc>
          <w:tcPr>
            <w:tcW w:w="4200" w:type="dxa"/>
            <w:vMerge w:val="restart"/>
            <w:vAlign w:val="bottom"/>
          </w:tcPr>
          <w:p w14:paraId="4A020590" w14:textId="77777777" w:rsidR="00D1587D" w:rsidRDefault="00410D07">
            <w:pPr>
              <w:rPr>
                <w:sz w:val="20"/>
                <w:szCs w:val="20"/>
              </w:rPr>
            </w:pPr>
            <w:r>
              <w:rPr>
                <w:rFonts w:ascii="Arial" w:eastAsia="Arial" w:hAnsi="Arial" w:cs="Arial"/>
                <w:b/>
                <w:bCs/>
                <w:sz w:val="14"/>
                <w:szCs w:val="14"/>
              </w:rPr>
              <w:t>Name of Beneficial Owner</w:t>
            </w:r>
          </w:p>
        </w:tc>
        <w:tc>
          <w:tcPr>
            <w:tcW w:w="3420" w:type="dxa"/>
            <w:vAlign w:val="bottom"/>
          </w:tcPr>
          <w:p w14:paraId="4A9C2F31" w14:textId="77777777" w:rsidR="00D1587D" w:rsidRDefault="00410D07">
            <w:pPr>
              <w:spacing w:line="149" w:lineRule="exact"/>
              <w:ind w:left="2600"/>
              <w:rPr>
                <w:sz w:val="20"/>
                <w:szCs w:val="20"/>
              </w:rPr>
            </w:pPr>
            <w:r>
              <w:rPr>
                <w:rFonts w:ascii="Arial" w:eastAsia="Arial" w:hAnsi="Arial" w:cs="Arial"/>
                <w:b/>
                <w:bCs/>
                <w:sz w:val="14"/>
                <w:szCs w:val="14"/>
              </w:rPr>
              <w:t>Beneficial</w:t>
            </w:r>
          </w:p>
        </w:tc>
        <w:tc>
          <w:tcPr>
            <w:tcW w:w="780" w:type="dxa"/>
            <w:vMerge/>
            <w:vAlign w:val="bottom"/>
          </w:tcPr>
          <w:p w14:paraId="64CB4862" w14:textId="77777777" w:rsidR="00D1587D" w:rsidRDefault="00D1587D">
            <w:pPr>
              <w:rPr>
                <w:sz w:val="12"/>
                <w:szCs w:val="12"/>
              </w:rPr>
            </w:pPr>
          </w:p>
        </w:tc>
        <w:tc>
          <w:tcPr>
            <w:tcW w:w="0" w:type="dxa"/>
            <w:vAlign w:val="bottom"/>
          </w:tcPr>
          <w:p w14:paraId="65A4D2C8" w14:textId="77777777" w:rsidR="00D1587D" w:rsidRDefault="00D1587D">
            <w:pPr>
              <w:rPr>
                <w:sz w:val="1"/>
                <w:szCs w:val="1"/>
              </w:rPr>
            </w:pPr>
          </w:p>
        </w:tc>
      </w:tr>
      <w:tr w:rsidR="00D1587D" w14:paraId="1E73D16C" w14:textId="77777777">
        <w:trPr>
          <w:trHeight w:val="186"/>
        </w:trPr>
        <w:tc>
          <w:tcPr>
            <w:tcW w:w="4200" w:type="dxa"/>
            <w:vMerge/>
            <w:vAlign w:val="bottom"/>
          </w:tcPr>
          <w:p w14:paraId="03D95CF2" w14:textId="77777777" w:rsidR="00D1587D" w:rsidRDefault="00D1587D">
            <w:pPr>
              <w:rPr>
                <w:sz w:val="16"/>
                <w:szCs w:val="16"/>
              </w:rPr>
            </w:pPr>
          </w:p>
        </w:tc>
        <w:tc>
          <w:tcPr>
            <w:tcW w:w="3420" w:type="dxa"/>
            <w:vAlign w:val="bottom"/>
          </w:tcPr>
          <w:p w14:paraId="44CF6530" w14:textId="77777777" w:rsidR="00D1587D" w:rsidRDefault="00410D07">
            <w:pPr>
              <w:ind w:left="2580"/>
              <w:rPr>
                <w:sz w:val="20"/>
                <w:szCs w:val="20"/>
              </w:rPr>
            </w:pPr>
            <w:r>
              <w:rPr>
                <w:rFonts w:ascii="Arial" w:eastAsia="Arial" w:hAnsi="Arial" w:cs="Arial"/>
                <w:b/>
                <w:bCs/>
                <w:sz w:val="14"/>
                <w:szCs w:val="14"/>
              </w:rPr>
              <w:t>Ownership</w:t>
            </w:r>
          </w:p>
        </w:tc>
        <w:tc>
          <w:tcPr>
            <w:tcW w:w="780" w:type="dxa"/>
            <w:vAlign w:val="bottom"/>
          </w:tcPr>
          <w:p w14:paraId="6369C1E5" w14:textId="77777777" w:rsidR="00D1587D" w:rsidRDefault="00410D07">
            <w:pPr>
              <w:ind w:left="88"/>
              <w:jc w:val="center"/>
              <w:rPr>
                <w:sz w:val="20"/>
                <w:szCs w:val="20"/>
              </w:rPr>
            </w:pPr>
            <w:r>
              <w:rPr>
                <w:rFonts w:ascii="Arial" w:eastAsia="Arial" w:hAnsi="Arial" w:cs="Arial"/>
                <w:b/>
                <w:bCs/>
                <w:w w:val="90"/>
                <w:sz w:val="14"/>
                <w:szCs w:val="14"/>
              </w:rPr>
              <w:t>Class</w:t>
            </w:r>
          </w:p>
        </w:tc>
        <w:tc>
          <w:tcPr>
            <w:tcW w:w="0" w:type="dxa"/>
            <w:vAlign w:val="bottom"/>
          </w:tcPr>
          <w:p w14:paraId="6B4057C3" w14:textId="77777777" w:rsidR="00D1587D" w:rsidRDefault="00D1587D">
            <w:pPr>
              <w:rPr>
                <w:sz w:val="1"/>
                <w:szCs w:val="1"/>
              </w:rPr>
            </w:pPr>
          </w:p>
        </w:tc>
      </w:tr>
    </w:tbl>
    <w:p w14:paraId="5C35E031" w14:textId="77777777" w:rsidR="00D1587D" w:rsidRDefault="00410D07">
      <w:pPr>
        <w:spacing w:line="20" w:lineRule="exact"/>
        <w:rPr>
          <w:sz w:val="20"/>
          <w:szCs w:val="20"/>
        </w:rPr>
      </w:pPr>
      <w:r>
        <w:rPr>
          <w:noProof/>
          <w:sz w:val="20"/>
          <w:szCs w:val="20"/>
        </w:rPr>
        <w:drawing>
          <wp:anchor distT="0" distB="0" distL="114300" distR="114300" simplePos="0" relativeHeight="251970560" behindDoc="1" locked="0" layoutInCell="0" allowOverlap="1" wp14:anchorId="2BFD2472" wp14:editId="296BE535">
            <wp:simplePos x="0" y="0"/>
            <wp:positionH relativeFrom="column">
              <wp:posOffset>185420</wp:posOffset>
            </wp:positionH>
            <wp:positionV relativeFrom="paragraph">
              <wp:posOffset>33655</wp:posOffset>
            </wp:positionV>
            <wp:extent cx="5349240" cy="222885"/>
            <wp:effectExtent l="0" t="0" r="0" b="0"/>
            <wp:wrapNone/>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67"/>
                    <a:srcRect/>
                    <a:stretch>
                      <a:fillRect/>
                    </a:stretch>
                  </pic:blipFill>
                  <pic:spPr bwMode="auto">
                    <a:xfrm>
                      <a:off x="0" y="0"/>
                      <a:ext cx="5349240" cy="222885"/>
                    </a:xfrm>
                    <a:prstGeom prst="rect">
                      <a:avLst/>
                    </a:prstGeom>
                    <a:noFill/>
                  </pic:spPr>
                </pic:pic>
              </a:graphicData>
            </a:graphic>
          </wp:anchor>
        </w:drawing>
      </w:r>
    </w:p>
    <w:p w14:paraId="19E6AE57" w14:textId="77777777" w:rsidR="00D1587D" w:rsidRDefault="00D1587D">
      <w:pPr>
        <w:spacing w:line="89" w:lineRule="exact"/>
        <w:rPr>
          <w:sz w:val="20"/>
          <w:szCs w:val="20"/>
        </w:rPr>
      </w:pPr>
    </w:p>
    <w:p w14:paraId="41BB00B8" w14:textId="77777777" w:rsidR="00D1587D" w:rsidRDefault="00410D07">
      <w:pPr>
        <w:ind w:left="300"/>
        <w:rPr>
          <w:sz w:val="20"/>
          <w:szCs w:val="20"/>
        </w:rPr>
      </w:pPr>
      <w:r>
        <w:rPr>
          <w:rFonts w:ascii="Arial" w:eastAsia="Arial" w:hAnsi="Arial" w:cs="Arial"/>
          <w:sz w:val="18"/>
          <w:szCs w:val="18"/>
        </w:rPr>
        <w:t>Leslie H. Wexner</w:t>
      </w:r>
      <w:r>
        <w:rPr>
          <w:rFonts w:ascii="Arial" w:eastAsia="Arial" w:hAnsi="Arial" w:cs="Arial"/>
          <w:sz w:val="29"/>
          <w:szCs w:val="29"/>
          <w:vertAlign w:val="superscript"/>
        </w:rPr>
        <w:t>(1)</w:t>
      </w:r>
    </w:p>
    <w:p w14:paraId="3E1766C4" w14:textId="77777777" w:rsidR="00D1587D" w:rsidRDefault="00D1587D">
      <w:pPr>
        <w:spacing w:line="12" w:lineRule="exact"/>
        <w:rPr>
          <w:sz w:val="20"/>
          <w:szCs w:val="20"/>
        </w:rPr>
      </w:pPr>
    </w:p>
    <w:p w14:paraId="22CE3177" w14:textId="77777777" w:rsidR="00D1587D" w:rsidRDefault="00410D07">
      <w:pPr>
        <w:ind w:left="300"/>
        <w:rPr>
          <w:sz w:val="20"/>
          <w:szCs w:val="20"/>
        </w:rPr>
      </w:pPr>
      <w:r>
        <w:rPr>
          <w:rFonts w:ascii="Arial" w:eastAsia="Arial" w:hAnsi="Arial" w:cs="Arial"/>
          <w:sz w:val="18"/>
          <w:szCs w:val="18"/>
        </w:rPr>
        <w:t>Lone Pine Capital LLC, David F. Craver, Brian F. Doherty, Mala Gaonkar, Kelly A.</w:t>
      </w:r>
    </w:p>
    <w:p w14:paraId="5B4C67EA" w14:textId="77777777" w:rsidR="00D1587D" w:rsidRDefault="00410D07">
      <w:pPr>
        <w:spacing w:line="233" w:lineRule="auto"/>
        <w:ind w:left="480"/>
        <w:rPr>
          <w:sz w:val="20"/>
          <w:szCs w:val="20"/>
        </w:rPr>
      </w:pPr>
      <w:r>
        <w:rPr>
          <w:rFonts w:ascii="Arial" w:eastAsia="Arial" w:hAnsi="Arial" w:cs="Arial"/>
          <w:sz w:val="18"/>
          <w:szCs w:val="18"/>
        </w:rPr>
        <w:t>Granat, Stephen F. Mandel, Jr. and Kerry A. Tyler</w:t>
      </w:r>
      <w:r>
        <w:rPr>
          <w:rFonts w:ascii="Arial" w:eastAsia="Arial" w:hAnsi="Arial" w:cs="Arial"/>
          <w:sz w:val="29"/>
          <w:szCs w:val="29"/>
          <w:vertAlign w:val="superscript"/>
        </w:rPr>
        <w:t>(2)</w:t>
      </w:r>
    </w:p>
    <w:p w14:paraId="1D3B5301" w14:textId="77777777" w:rsidR="00D1587D" w:rsidRDefault="00410D07">
      <w:pPr>
        <w:spacing w:line="20" w:lineRule="exact"/>
        <w:rPr>
          <w:sz w:val="20"/>
          <w:szCs w:val="20"/>
        </w:rPr>
      </w:pPr>
      <w:r>
        <w:rPr>
          <w:noProof/>
          <w:sz w:val="20"/>
          <w:szCs w:val="20"/>
        </w:rPr>
        <w:drawing>
          <wp:anchor distT="0" distB="0" distL="114300" distR="114300" simplePos="0" relativeHeight="251971584" behindDoc="1" locked="0" layoutInCell="0" allowOverlap="1" wp14:anchorId="2B44FA25" wp14:editId="103D39C2">
            <wp:simplePos x="0" y="0"/>
            <wp:positionH relativeFrom="column">
              <wp:posOffset>185420</wp:posOffset>
            </wp:positionH>
            <wp:positionV relativeFrom="paragraph">
              <wp:posOffset>-26035</wp:posOffset>
            </wp:positionV>
            <wp:extent cx="5349240" cy="205740"/>
            <wp:effectExtent l="0" t="0" r="0" b="0"/>
            <wp:wrapNone/>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07EBFC6C" w14:textId="77777777" w:rsidR="00D1587D" w:rsidRDefault="00410D07">
      <w:pPr>
        <w:spacing w:line="233" w:lineRule="auto"/>
        <w:ind w:left="300"/>
        <w:rPr>
          <w:sz w:val="20"/>
          <w:szCs w:val="20"/>
        </w:rPr>
      </w:pPr>
      <w:r>
        <w:rPr>
          <w:rFonts w:ascii="Arial" w:eastAsia="Arial" w:hAnsi="Arial" w:cs="Arial"/>
          <w:sz w:val="18"/>
          <w:szCs w:val="18"/>
        </w:rPr>
        <w:t>The Vanguard Group</w:t>
      </w:r>
      <w:r>
        <w:rPr>
          <w:rFonts w:ascii="Arial" w:eastAsia="Arial" w:hAnsi="Arial" w:cs="Arial"/>
          <w:sz w:val="29"/>
          <w:szCs w:val="29"/>
          <w:vertAlign w:val="superscript"/>
        </w:rPr>
        <w:t>(3)</w:t>
      </w:r>
    </w:p>
    <w:p w14:paraId="033F7169" w14:textId="77777777" w:rsidR="00D1587D" w:rsidRDefault="00410D07">
      <w:pPr>
        <w:spacing w:line="233" w:lineRule="auto"/>
        <w:ind w:left="300"/>
        <w:rPr>
          <w:sz w:val="20"/>
          <w:szCs w:val="20"/>
        </w:rPr>
      </w:pPr>
      <w:r>
        <w:rPr>
          <w:rFonts w:ascii="Arial" w:eastAsia="Arial" w:hAnsi="Arial" w:cs="Arial"/>
          <w:sz w:val="18"/>
          <w:szCs w:val="18"/>
        </w:rPr>
        <w:t>Melvin Capital Management LP</w:t>
      </w:r>
      <w:r>
        <w:rPr>
          <w:rFonts w:ascii="Arial" w:eastAsia="Arial" w:hAnsi="Arial" w:cs="Arial"/>
          <w:sz w:val="29"/>
          <w:szCs w:val="29"/>
          <w:vertAlign w:val="superscript"/>
        </w:rPr>
        <w:t>(4)</w:t>
      </w:r>
    </w:p>
    <w:p w14:paraId="33EE8922" w14:textId="77777777" w:rsidR="00D1587D" w:rsidRDefault="00410D07">
      <w:pPr>
        <w:spacing w:line="20" w:lineRule="exact"/>
        <w:rPr>
          <w:sz w:val="20"/>
          <w:szCs w:val="20"/>
        </w:rPr>
      </w:pPr>
      <w:r>
        <w:rPr>
          <w:noProof/>
          <w:sz w:val="20"/>
          <w:szCs w:val="20"/>
        </w:rPr>
        <w:drawing>
          <wp:anchor distT="0" distB="0" distL="114300" distR="114300" simplePos="0" relativeHeight="251972608" behindDoc="1" locked="0" layoutInCell="0" allowOverlap="1" wp14:anchorId="17DD7290" wp14:editId="2580C2CD">
            <wp:simplePos x="0" y="0"/>
            <wp:positionH relativeFrom="column">
              <wp:posOffset>185420</wp:posOffset>
            </wp:positionH>
            <wp:positionV relativeFrom="paragraph">
              <wp:posOffset>-25400</wp:posOffset>
            </wp:positionV>
            <wp:extent cx="5349240" cy="205740"/>
            <wp:effectExtent l="0" t="0" r="0" b="0"/>
            <wp:wrapNone/>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610FBBD6" w14:textId="77777777" w:rsidR="00D1587D" w:rsidRDefault="00410D07">
      <w:pPr>
        <w:spacing w:line="233" w:lineRule="auto"/>
        <w:ind w:left="300"/>
        <w:rPr>
          <w:sz w:val="20"/>
          <w:szCs w:val="20"/>
        </w:rPr>
      </w:pPr>
      <w:r>
        <w:rPr>
          <w:rFonts w:ascii="Arial" w:eastAsia="Arial" w:hAnsi="Arial" w:cs="Arial"/>
          <w:sz w:val="18"/>
          <w:szCs w:val="18"/>
        </w:rPr>
        <w:t>Egerton Capital (UK) LLP</w:t>
      </w:r>
      <w:r>
        <w:rPr>
          <w:rFonts w:ascii="Arial" w:eastAsia="Arial" w:hAnsi="Arial" w:cs="Arial"/>
          <w:sz w:val="29"/>
          <w:szCs w:val="29"/>
          <w:vertAlign w:val="superscript"/>
        </w:rPr>
        <w:t>(5)</w:t>
      </w:r>
    </w:p>
    <w:p w14:paraId="33A5F375" w14:textId="77777777" w:rsidR="00D1587D" w:rsidRDefault="00D1587D">
      <w:pPr>
        <w:spacing w:line="1" w:lineRule="exact"/>
        <w:rPr>
          <w:sz w:val="20"/>
          <w:szCs w:val="20"/>
        </w:rPr>
      </w:pPr>
    </w:p>
    <w:p w14:paraId="0079ACDE" w14:textId="77777777" w:rsidR="00D1587D" w:rsidRDefault="00410D07">
      <w:pPr>
        <w:ind w:left="300"/>
        <w:rPr>
          <w:sz w:val="20"/>
          <w:szCs w:val="20"/>
        </w:rPr>
      </w:pPr>
      <w:r>
        <w:rPr>
          <w:rFonts w:ascii="Arial" w:eastAsia="Arial" w:hAnsi="Arial" w:cs="Arial"/>
          <w:sz w:val="18"/>
          <w:szCs w:val="18"/>
        </w:rPr>
        <w:t>Abigail S. Wexner</w:t>
      </w:r>
      <w:r>
        <w:rPr>
          <w:rFonts w:ascii="Arial" w:eastAsia="Arial" w:hAnsi="Arial" w:cs="Arial"/>
          <w:sz w:val="29"/>
          <w:szCs w:val="29"/>
          <w:vertAlign w:val="superscript"/>
        </w:rPr>
        <w:t>(1)</w:t>
      </w:r>
    </w:p>
    <w:p w14:paraId="56E98090" w14:textId="77777777" w:rsidR="00D1587D" w:rsidRDefault="00410D07">
      <w:pPr>
        <w:spacing w:line="20" w:lineRule="exact"/>
        <w:rPr>
          <w:sz w:val="20"/>
          <w:szCs w:val="20"/>
        </w:rPr>
      </w:pPr>
      <w:r>
        <w:rPr>
          <w:noProof/>
          <w:sz w:val="20"/>
          <w:szCs w:val="20"/>
        </w:rPr>
        <w:drawing>
          <wp:anchor distT="0" distB="0" distL="114300" distR="114300" simplePos="0" relativeHeight="251973632" behindDoc="1" locked="0" layoutInCell="0" allowOverlap="1" wp14:anchorId="57BDE6B2" wp14:editId="2B482BA8">
            <wp:simplePos x="0" y="0"/>
            <wp:positionH relativeFrom="column">
              <wp:posOffset>185420</wp:posOffset>
            </wp:positionH>
            <wp:positionV relativeFrom="paragraph">
              <wp:posOffset>121920</wp:posOffset>
            </wp:positionV>
            <wp:extent cx="822960" cy="8255"/>
            <wp:effectExtent l="0" t="0" r="0" b="0"/>
            <wp:wrapNone/>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56F5EBD4" w14:textId="77777777" w:rsidR="00D1587D" w:rsidRDefault="00D1587D">
      <w:pPr>
        <w:spacing w:line="220" w:lineRule="exact"/>
        <w:rPr>
          <w:sz w:val="20"/>
          <w:szCs w:val="20"/>
        </w:rPr>
      </w:pPr>
    </w:p>
    <w:p w14:paraId="33650F50" w14:textId="77777777" w:rsidR="00D1587D" w:rsidRDefault="00410D07" w:rsidP="00410D07">
      <w:pPr>
        <w:numPr>
          <w:ilvl w:val="0"/>
          <w:numId w:val="331"/>
        </w:numPr>
        <w:tabs>
          <w:tab w:val="left" w:pos="640"/>
        </w:tabs>
        <w:spacing w:line="253" w:lineRule="auto"/>
        <w:ind w:left="640" w:right="399" w:hanging="348"/>
        <w:rPr>
          <w:rFonts w:ascii="Arial" w:eastAsia="Arial" w:hAnsi="Arial" w:cs="Arial"/>
          <w:sz w:val="14"/>
          <w:szCs w:val="14"/>
        </w:rPr>
      </w:pPr>
      <w:r>
        <w:rPr>
          <w:rFonts w:ascii="Arial" w:eastAsia="Arial" w:hAnsi="Arial" w:cs="Arial"/>
          <w:sz w:val="14"/>
          <w:szCs w:val="14"/>
        </w:rPr>
        <w:t>As of March 24, 2021, based solely on information set forth in the Schedule 13D/A filed March 24, 2021 by Leslie H. Wexner and Abigail S. Wexner. Mr. and Mrs. Wexner’s a</w:t>
      </w:r>
      <w:r>
        <w:rPr>
          <w:rFonts w:ascii="Arial" w:eastAsia="Arial" w:hAnsi="Arial" w:cs="Arial"/>
          <w:sz w:val="14"/>
          <w:szCs w:val="14"/>
        </w:rPr>
        <w:t>ddress is Three Limited Parkway, P.O. Box 16000, Columbus, OH 43216.</w:t>
      </w:r>
    </w:p>
    <w:p w14:paraId="47094E19" w14:textId="77777777" w:rsidR="00D1587D" w:rsidRDefault="00D1587D">
      <w:pPr>
        <w:spacing w:line="11" w:lineRule="exact"/>
        <w:rPr>
          <w:rFonts w:ascii="Arial" w:eastAsia="Arial" w:hAnsi="Arial" w:cs="Arial"/>
          <w:sz w:val="14"/>
          <w:szCs w:val="14"/>
        </w:rPr>
      </w:pPr>
    </w:p>
    <w:p w14:paraId="4B05ED59" w14:textId="77777777" w:rsidR="00D1587D" w:rsidRDefault="00410D07" w:rsidP="00410D07">
      <w:pPr>
        <w:numPr>
          <w:ilvl w:val="0"/>
          <w:numId w:val="331"/>
        </w:numPr>
        <w:tabs>
          <w:tab w:val="left" w:pos="640"/>
        </w:tabs>
        <w:ind w:left="640" w:hanging="348"/>
        <w:rPr>
          <w:rFonts w:ascii="Arial" w:eastAsia="Arial" w:hAnsi="Arial" w:cs="Arial"/>
          <w:sz w:val="13"/>
          <w:szCs w:val="13"/>
        </w:rPr>
      </w:pPr>
      <w:r>
        <w:rPr>
          <w:rFonts w:ascii="Arial" w:eastAsia="Arial" w:hAnsi="Arial" w:cs="Arial"/>
          <w:sz w:val="13"/>
          <w:szCs w:val="13"/>
        </w:rPr>
        <w:t>As of December 31, 2020, based solely on information set forth in the Schedule 13G filed February 16, 2021 by Lone Pine Capital LLC,</w:t>
      </w:r>
    </w:p>
    <w:p w14:paraId="3D6F481F" w14:textId="77777777" w:rsidR="00D1587D" w:rsidRDefault="00410D07">
      <w:pPr>
        <w:spacing w:line="237" w:lineRule="auto"/>
        <w:ind w:left="640"/>
        <w:rPr>
          <w:sz w:val="20"/>
          <w:szCs w:val="20"/>
        </w:rPr>
      </w:pPr>
      <w:r>
        <w:rPr>
          <w:rFonts w:ascii="Arial" w:eastAsia="Arial" w:hAnsi="Arial" w:cs="Arial"/>
          <w:sz w:val="14"/>
          <w:szCs w:val="14"/>
        </w:rPr>
        <w:t xml:space="preserve">David F. Craver, Brian F. Doherty, Mala </w:t>
      </w:r>
      <w:r>
        <w:rPr>
          <w:rFonts w:ascii="Arial" w:eastAsia="Arial" w:hAnsi="Arial" w:cs="Arial"/>
          <w:sz w:val="14"/>
          <w:szCs w:val="14"/>
        </w:rPr>
        <w:t>Gaonkar, Kelly A. Granat, Stephen F. Mandel, Jr. and Kerry A. Tyler (each, a “Lone Pine</w:t>
      </w:r>
    </w:p>
    <w:p w14:paraId="712EB077" w14:textId="77777777" w:rsidR="00D1587D" w:rsidRDefault="00D1587D">
      <w:pPr>
        <w:spacing w:line="1" w:lineRule="exact"/>
        <w:rPr>
          <w:sz w:val="20"/>
          <w:szCs w:val="20"/>
        </w:rPr>
      </w:pPr>
    </w:p>
    <w:p w14:paraId="2734B1F4" w14:textId="77777777" w:rsidR="00D1587D" w:rsidRDefault="00410D07">
      <w:pPr>
        <w:spacing w:line="237" w:lineRule="auto"/>
        <w:ind w:left="1120" w:right="639" w:hanging="467"/>
        <w:rPr>
          <w:sz w:val="20"/>
          <w:szCs w:val="20"/>
        </w:rPr>
      </w:pPr>
      <w:r>
        <w:rPr>
          <w:rFonts w:ascii="Arial" w:eastAsia="Arial" w:hAnsi="Arial" w:cs="Arial"/>
          <w:sz w:val="14"/>
          <w:szCs w:val="14"/>
        </w:rPr>
        <w:t>Reporting Person”). Each Lone Pine Reporting Person has shared dispositive power over</w:t>
      </w:r>
      <w:r>
        <w:rPr>
          <w:sz w:val="20"/>
          <w:szCs w:val="20"/>
        </w:rPr>
        <w:t xml:space="preserve"> </w:t>
      </w:r>
      <w:r>
        <w:rPr>
          <w:rFonts w:ascii="Arial" w:eastAsia="Arial" w:hAnsi="Arial" w:cs="Arial"/>
          <w:sz w:val="14"/>
          <w:szCs w:val="14"/>
        </w:rPr>
        <w:t xml:space="preserve">shares and shared voting power over shares. Each Lone Pine Reporting </w:t>
      </w:r>
      <w:r>
        <w:rPr>
          <w:rFonts w:ascii="Arial" w:eastAsia="Arial" w:hAnsi="Arial" w:cs="Arial"/>
          <w:sz w:val="14"/>
          <w:szCs w:val="14"/>
        </w:rPr>
        <w:t>Person’s address is Two Greenwich Plaza Greenwich, CT 06830.</w:t>
      </w:r>
    </w:p>
    <w:p w14:paraId="2B9BA6B3" w14:textId="77777777" w:rsidR="00D1587D" w:rsidRDefault="00410D07" w:rsidP="00410D07">
      <w:pPr>
        <w:numPr>
          <w:ilvl w:val="0"/>
          <w:numId w:val="332"/>
        </w:numPr>
        <w:tabs>
          <w:tab w:val="left" w:pos="640"/>
        </w:tabs>
        <w:spacing w:line="229" w:lineRule="auto"/>
        <w:ind w:left="640" w:hanging="348"/>
        <w:rPr>
          <w:rFonts w:ascii="Arial" w:eastAsia="Arial" w:hAnsi="Arial" w:cs="Arial"/>
          <w:sz w:val="3"/>
          <w:szCs w:val="3"/>
        </w:rPr>
      </w:pPr>
      <w:r>
        <w:rPr>
          <w:rFonts w:ascii="Arial" w:eastAsia="Arial" w:hAnsi="Arial" w:cs="Arial"/>
          <w:sz w:val="3"/>
          <w:szCs w:val="3"/>
        </w:rPr>
        <w:t>As of December 31, 2020, based solely on information set forth in the Schedule 13G/A filed February 10, 2021 by The Vanguard Group</w:t>
      </w:r>
    </w:p>
    <w:p w14:paraId="0D56D854" w14:textId="77777777" w:rsidR="00D1587D" w:rsidRDefault="00D1587D">
      <w:pPr>
        <w:spacing w:line="137" w:lineRule="exact"/>
        <w:rPr>
          <w:sz w:val="20"/>
          <w:szCs w:val="20"/>
        </w:rPr>
      </w:pPr>
    </w:p>
    <w:p w14:paraId="57B5C3F0" w14:textId="77777777" w:rsidR="00D1587D" w:rsidRDefault="00410D07">
      <w:pPr>
        <w:spacing w:line="253" w:lineRule="auto"/>
        <w:ind w:left="640" w:right="499"/>
        <w:rPr>
          <w:sz w:val="20"/>
          <w:szCs w:val="20"/>
        </w:rPr>
      </w:pPr>
      <w:r>
        <w:rPr>
          <w:rFonts w:ascii="Arial" w:eastAsia="Arial" w:hAnsi="Arial" w:cs="Arial"/>
          <w:sz w:val="14"/>
          <w:szCs w:val="14"/>
        </w:rPr>
        <w:t xml:space="preserve">(“Vanguard”). Vanguard has sole dispositive power over shares, </w:t>
      </w:r>
      <w:r>
        <w:rPr>
          <w:rFonts w:ascii="Arial" w:eastAsia="Arial" w:hAnsi="Arial" w:cs="Arial"/>
          <w:sz w:val="14"/>
          <w:szCs w:val="14"/>
        </w:rPr>
        <w:t>and has shared dispositive power over shares and shared voting power over shares. Vanguard’s address is 100 Vanguard Blvd., Malvern, Pennsylvania 19355.</w:t>
      </w:r>
    </w:p>
    <w:p w14:paraId="732ABB94" w14:textId="77777777" w:rsidR="00D1587D" w:rsidRDefault="00D1587D">
      <w:pPr>
        <w:spacing w:line="11" w:lineRule="exact"/>
        <w:rPr>
          <w:sz w:val="20"/>
          <w:szCs w:val="20"/>
        </w:rPr>
      </w:pPr>
    </w:p>
    <w:p w14:paraId="496B2476" w14:textId="77777777" w:rsidR="00D1587D" w:rsidRDefault="00410D07" w:rsidP="00410D07">
      <w:pPr>
        <w:numPr>
          <w:ilvl w:val="0"/>
          <w:numId w:val="333"/>
        </w:numPr>
        <w:tabs>
          <w:tab w:val="left" w:pos="640"/>
        </w:tabs>
        <w:ind w:left="640" w:hanging="348"/>
        <w:rPr>
          <w:rFonts w:ascii="Arial" w:eastAsia="Arial" w:hAnsi="Arial" w:cs="Arial"/>
          <w:sz w:val="14"/>
          <w:szCs w:val="14"/>
        </w:rPr>
      </w:pPr>
      <w:r>
        <w:rPr>
          <w:rFonts w:ascii="Arial" w:eastAsia="Arial" w:hAnsi="Arial" w:cs="Arial"/>
          <w:sz w:val="14"/>
          <w:szCs w:val="14"/>
        </w:rPr>
        <w:t xml:space="preserve">As of December 31, 2020, based solely on information set forth in the Schedule 13G filed February 16, </w:t>
      </w:r>
      <w:r>
        <w:rPr>
          <w:rFonts w:ascii="Arial" w:eastAsia="Arial" w:hAnsi="Arial" w:cs="Arial"/>
          <w:sz w:val="14"/>
          <w:szCs w:val="14"/>
        </w:rPr>
        <w:t>2021 by Melvin Capital</w:t>
      </w:r>
    </w:p>
    <w:p w14:paraId="2E629AE9" w14:textId="77777777" w:rsidR="00D1587D" w:rsidRDefault="00410D07">
      <w:pPr>
        <w:tabs>
          <w:tab w:val="left" w:pos="5220"/>
          <w:tab w:val="left" w:pos="7840"/>
        </w:tabs>
        <w:ind w:left="640"/>
        <w:rPr>
          <w:sz w:val="20"/>
          <w:szCs w:val="20"/>
        </w:rPr>
      </w:pPr>
      <w:r>
        <w:rPr>
          <w:rFonts w:ascii="Arial" w:eastAsia="Arial" w:hAnsi="Arial" w:cs="Arial"/>
          <w:sz w:val="14"/>
          <w:szCs w:val="14"/>
        </w:rPr>
        <w:t>Management LP (“Melvin”). Melvin has shared dispositive power over</w:t>
      </w:r>
      <w:r>
        <w:rPr>
          <w:sz w:val="20"/>
          <w:szCs w:val="20"/>
        </w:rPr>
        <w:tab/>
      </w:r>
      <w:r>
        <w:rPr>
          <w:rFonts w:ascii="Arial" w:eastAsia="Arial" w:hAnsi="Arial" w:cs="Arial"/>
          <w:sz w:val="14"/>
          <w:szCs w:val="14"/>
        </w:rPr>
        <w:t>shares and shared voting power over</w:t>
      </w:r>
      <w:r>
        <w:rPr>
          <w:sz w:val="20"/>
          <w:szCs w:val="20"/>
        </w:rPr>
        <w:tab/>
      </w:r>
      <w:r>
        <w:rPr>
          <w:rFonts w:ascii="Arial" w:eastAsia="Arial" w:hAnsi="Arial" w:cs="Arial"/>
          <w:sz w:val="12"/>
          <w:szCs w:val="12"/>
        </w:rPr>
        <w:t>shares.</w:t>
      </w:r>
    </w:p>
    <w:p w14:paraId="17DDA088" w14:textId="77777777" w:rsidR="00D1587D" w:rsidRDefault="00410D07">
      <w:pPr>
        <w:ind w:left="640"/>
        <w:rPr>
          <w:sz w:val="20"/>
          <w:szCs w:val="20"/>
        </w:rPr>
      </w:pPr>
      <w:r>
        <w:rPr>
          <w:rFonts w:ascii="Arial" w:eastAsia="Arial" w:hAnsi="Arial" w:cs="Arial"/>
          <w:sz w:val="14"/>
          <w:szCs w:val="14"/>
        </w:rPr>
        <w:t>Melvin’s address is 535 Madison Avenue, 22nd Floor, New York, NY 10022.</w:t>
      </w:r>
    </w:p>
    <w:p w14:paraId="2C644A9D" w14:textId="77777777" w:rsidR="00D1587D" w:rsidRDefault="00D1587D">
      <w:pPr>
        <w:spacing w:line="196" w:lineRule="exact"/>
        <w:rPr>
          <w:sz w:val="20"/>
          <w:szCs w:val="20"/>
        </w:rPr>
      </w:pPr>
    </w:p>
    <w:p w14:paraId="1E8F2E45" w14:textId="77777777" w:rsidR="00D1587D" w:rsidRDefault="00410D07">
      <w:pPr>
        <w:jc w:val="center"/>
        <w:rPr>
          <w:sz w:val="20"/>
          <w:szCs w:val="20"/>
        </w:rPr>
      </w:pPr>
      <w:r>
        <w:rPr>
          <w:rFonts w:ascii="Arial" w:eastAsia="Arial" w:hAnsi="Arial" w:cs="Arial"/>
          <w:sz w:val="18"/>
          <w:szCs w:val="18"/>
        </w:rPr>
        <w:t>130</w:t>
      </w:r>
    </w:p>
    <w:p w14:paraId="75EEE09C" w14:textId="77777777" w:rsidR="00D1587D" w:rsidRDefault="00410D07">
      <w:pPr>
        <w:spacing w:line="20" w:lineRule="exact"/>
        <w:rPr>
          <w:sz w:val="20"/>
          <w:szCs w:val="20"/>
        </w:rPr>
      </w:pPr>
      <w:r>
        <w:rPr>
          <w:noProof/>
          <w:sz w:val="20"/>
          <w:szCs w:val="20"/>
        </w:rPr>
        <w:drawing>
          <wp:anchor distT="0" distB="0" distL="114300" distR="114300" simplePos="0" relativeHeight="251974656" behindDoc="1" locked="0" layoutInCell="0" allowOverlap="1" wp14:anchorId="0ABFA294" wp14:editId="74CCB35F">
            <wp:simplePos x="0" y="0"/>
            <wp:positionH relativeFrom="column">
              <wp:posOffset>-636905</wp:posOffset>
            </wp:positionH>
            <wp:positionV relativeFrom="paragraph">
              <wp:posOffset>126365</wp:posOffset>
            </wp:positionV>
            <wp:extent cx="6995160" cy="17145"/>
            <wp:effectExtent l="0" t="0" r="0" b="0"/>
            <wp:wrapNone/>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82BAED0" w14:textId="77777777" w:rsidR="00D1587D" w:rsidRDefault="00D1587D">
      <w:pPr>
        <w:sectPr w:rsidR="00D1587D">
          <w:pgSz w:w="11900" w:h="16838"/>
          <w:pgMar w:top="265" w:right="1440" w:bottom="1440" w:left="1440" w:header="0" w:footer="0" w:gutter="0"/>
          <w:cols w:space="720" w:equalWidth="0">
            <w:col w:w="9019"/>
          </w:cols>
        </w:sectPr>
      </w:pPr>
    </w:p>
    <w:bookmarkStart w:id="388" w:name="page389"/>
    <w:bookmarkEnd w:id="388"/>
    <w:p w14:paraId="6EDE625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4706CD7" w14:textId="77777777" w:rsidR="00D1587D" w:rsidRDefault="00410D07" w:rsidP="00410D07">
      <w:pPr>
        <w:numPr>
          <w:ilvl w:val="0"/>
          <w:numId w:val="334"/>
        </w:numPr>
        <w:tabs>
          <w:tab w:val="left" w:pos="640"/>
        </w:tabs>
        <w:spacing w:line="222" w:lineRule="auto"/>
        <w:ind w:left="640" w:hanging="348"/>
        <w:rPr>
          <w:rFonts w:ascii="Arial" w:eastAsia="Arial" w:hAnsi="Arial" w:cs="Arial"/>
          <w:sz w:val="13"/>
          <w:szCs w:val="13"/>
        </w:rPr>
      </w:pPr>
      <w:r>
        <w:rPr>
          <w:rFonts w:ascii="Arial" w:eastAsia="Arial" w:hAnsi="Arial" w:cs="Arial"/>
          <w:sz w:val="13"/>
          <w:szCs w:val="13"/>
        </w:rPr>
        <w:t>As of December 31, 2020, based solely on information set forth in the Schedule 13G filed February 10, 2021 by Egerton Capital (UK) LLP</w:t>
      </w:r>
    </w:p>
    <w:p w14:paraId="480C530A" w14:textId="77777777" w:rsidR="00D1587D" w:rsidRDefault="00D1587D">
      <w:pPr>
        <w:spacing w:line="137" w:lineRule="exact"/>
        <w:rPr>
          <w:sz w:val="20"/>
          <w:szCs w:val="20"/>
        </w:rPr>
      </w:pPr>
    </w:p>
    <w:p w14:paraId="1BDA85CB" w14:textId="77777777" w:rsidR="00D1587D" w:rsidRDefault="00410D07">
      <w:pPr>
        <w:spacing w:line="253" w:lineRule="auto"/>
        <w:ind w:left="640" w:right="659"/>
        <w:rPr>
          <w:sz w:val="20"/>
          <w:szCs w:val="20"/>
        </w:rPr>
      </w:pPr>
      <w:r>
        <w:rPr>
          <w:rFonts w:ascii="Arial" w:eastAsia="Arial" w:hAnsi="Arial" w:cs="Arial"/>
          <w:sz w:val="14"/>
          <w:szCs w:val="14"/>
        </w:rPr>
        <w:t xml:space="preserve">(“Egerton”). Egerton has sole dispositive power over shares and sole </w:t>
      </w:r>
      <w:r>
        <w:rPr>
          <w:rFonts w:ascii="Arial" w:eastAsia="Arial" w:hAnsi="Arial" w:cs="Arial"/>
          <w:sz w:val="14"/>
          <w:szCs w:val="14"/>
        </w:rPr>
        <w:t>voting power over shares. Egerton’s address is 5 Stratton Street, London, W1J 8LA, United Kingdom.</w:t>
      </w:r>
    </w:p>
    <w:p w14:paraId="294B8A73" w14:textId="77777777" w:rsidR="00D1587D" w:rsidRDefault="00D1587D">
      <w:pPr>
        <w:spacing w:line="309" w:lineRule="exact"/>
        <w:rPr>
          <w:sz w:val="20"/>
          <w:szCs w:val="20"/>
        </w:rPr>
      </w:pPr>
    </w:p>
    <w:p w14:paraId="520B1F1D" w14:textId="77777777" w:rsidR="00D1587D" w:rsidRDefault="00410D07">
      <w:pPr>
        <w:ind w:left="300"/>
        <w:rPr>
          <w:sz w:val="20"/>
          <w:szCs w:val="20"/>
        </w:rPr>
      </w:pPr>
      <w:r>
        <w:rPr>
          <w:rFonts w:ascii="Arial" w:eastAsia="Arial" w:hAnsi="Arial" w:cs="Arial"/>
          <w:b/>
          <w:bCs/>
          <w:sz w:val="18"/>
          <w:szCs w:val="18"/>
        </w:rPr>
        <w:t>Holdings of Directors and Executive Officers</w:t>
      </w:r>
    </w:p>
    <w:p w14:paraId="0FB5845D" w14:textId="77777777" w:rsidR="00D1587D" w:rsidRDefault="00D1587D">
      <w:pPr>
        <w:spacing w:line="121" w:lineRule="exact"/>
        <w:rPr>
          <w:sz w:val="20"/>
          <w:szCs w:val="20"/>
        </w:rPr>
      </w:pPr>
    </w:p>
    <w:p w14:paraId="41A39BAF" w14:textId="77777777" w:rsidR="00D1587D" w:rsidRDefault="00410D07">
      <w:pPr>
        <w:spacing w:line="291" w:lineRule="auto"/>
        <w:ind w:left="300" w:right="539" w:firstLine="360"/>
        <w:rPr>
          <w:sz w:val="20"/>
          <w:szCs w:val="20"/>
        </w:rPr>
      </w:pPr>
      <w:r>
        <w:rPr>
          <w:rFonts w:ascii="Arial" w:eastAsia="Arial" w:hAnsi="Arial" w:cs="Arial"/>
          <w:sz w:val="16"/>
          <w:szCs w:val="16"/>
        </w:rPr>
        <w:t>As of the date of this information statement, all of the outstanding shares of VS common stock are owned by LB</w:t>
      </w:r>
      <w:r>
        <w:rPr>
          <w:rFonts w:ascii="Arial" w:eastAsia="Arial" w:hAnsi="Arial" w:cs="Arial"/>
          <w:sz w:val="16"/>
          <w:szCs w:val="16"/>
        </w:rPr>
        <w:t>. The following table sets forth the number of shares of our common stock beneficially owned, based on the</w:t>
      </w:r>
    </w:p>
    <w:p w14:paraId="3C984F62" w14:textId="77777777" w:rsidR="00D1587D" w:rsidRDefault="00410D07">
      <w:pPr>
        <w:spacing w:line="265" w:lineRule="auto"/>
        <w:ind w:left="300" w:right="399"/>
        <w:rPr>
          <w:sz w:val="20"/>
          <w:szCs w:val="20"/>
        </w:rPr>
      </w:pPr>
      <w:r>
        <w:rPr>
          <w:rFonts w:ascii="Arial" w:eastAsia="Arial" w:hAnsi="Arial" w:cs="Arial"/>
          <w:sz w:val="17"/>
          <w:szCs w:val="17"/>
        </w:rPr>
        <w:t>presentation previously described, as of , 2021 by each of the identified directors of VS, NEOs in the Summary Compensation Table in “Compensation Di</w:t>
      </w:r>
      <w:r>
        <w:rPr>
          <w:rFonts w:ascii="Arial" w:eastAsia="Arial" w:hAnsi="Arial" w:cs="Arial"/>
          <w:sz w:val="17"/>
          <w:szCs w:val="17"/>
        </w:rPr>
        <w:t>scussion and Analysis” and all identified VS executive officers</w:t>
      </w:r>
    </w:p>
    <w:p w14:paraId="3A2A2F07" w14:textId="77777777" w:rsidR="00D1587D" w:rsidRDefault="00410D07">
      <w:pPr>
        <w:spacing w:line="260" w:lineRule="auto"/>
        <w:ind w:left="300" w:right="399"/>
        <w:rPr>
          <w:sz w:val="20"/>
          <w:szCs w:val="20"/>
        </w:rPr>
      </w:pPr>
      <w:r>
        <w:rPr>
          <w:rFonts w:ascii="Arial" w:eastAsia="Arial" w:hAnsi="Arial" w:cs="Arial"/>
          <w:sz w:val="18"/>
          <w:szCs w:val="18"/>
        </w:rPr>
        <w:t>and directors as a group. The table is based upon an assumption that, for every shares of LB stock held by such person, they will receive one share of VS common stock.</w:t>
      </w:r>
    </w:p>
    <w:p w14:paraId="7F5B03DE" w14:textId="77777777" w:rsidR="00D1587D" w:rsidRDefault="00D1587D">
      <w:pPr>
        <w:spacing w:line="77" w:lineRule="exact"/>
        <w:rPr>
          <w:sz w:val="20"/>
          <w:szCs w:val="20"/>
        </w:rPr>
      </w:pPr>
    </w:p>
    <w:p w14:paraId="61B0642B" w14:textId="77777777" w:rsidR="00D1587D" w:rsidRDefault="00410D07">
      <w:pPr>
        <w:spacing w:line="291" w:lineRule="auto"/>
        <w:ind w:left="300" w:right="379" w:firstLine="360"/>
        <w:rPr>
          <w:sz w:val="20"/>
          <w:szCs w:val="20"/>
        </w:rPr>
      </w:pPr>
      <w:r>
        <w:rPr>
          <w:rFonts w:ascii="Arial" w:eastAsia="Arial" w:hAnsi="Arial" w:cs="Arial"/>
          <w:sz w:val="16"/>
          <w:szCs w:val="16"/>
        </w:rPr>
        <w:t>For purposes of this ta</w:t>
      </w:r>
      <w:r>
        <w:rPr>
          <w:rFonts w:ascii="Arial" w:eastAsia="Arial" w:hAnsi="Arial" w:cs="Arial"/>
          <w:sz w:val="16"/>
          <w:szCs w:val="16"/>
        </w:rPr>
        <w:t>ble, shares are considered to be “beneficially” owned if the person, directly or indirectly, has sole or shared voting or investment power with respect to such shares. In addition, a person is deemed to</w:t>
      </w:r>
    </w:p>
    <w:p w14:paraId="46FF9DA9" w14:textId="77777777" w:rsidR="00D1587D" w:rsidRDefault="00410D07">
      <w:pPr>
        <w:spacing w:line="295" w:lineRule="auto"/>
        <w:ind w:left="300" w:right="379"/>
        <w:rPr>
          <w:sz w:val="20"/>
          <w:szCs w:val="20"/>
        </w:rPr>
      </w:pPr>
      <w:r>
        <w:rPr>
          <w:rFonts w:ascii="Arial" w:eastAsia="Arial" w:hAnsi="Arial" w:cs="Arial"/>
          <w:sz w:val="16"/>
          <w:szCs w:val="16"/>
        </w:rPr>
        <w:t xml:space="preserve">beneficially own shares if that person has the right </w:t>
      </w:r>
      <w:r>
        <w:rPr>
          <w:rFonts w:ascii="Arial" w:eastAsia="Arial" w:hAnsi="Arial" w:cs="Arial"/>
          <w:sz w:val="16"/>
          <w:szCs w:val="16"/>
        </w:rPr>
        <w:t>to acquire such shares within 60 days of , 2021. No executive officer or director holds any class of equity securities other than LB common stock or LB equity awards that may give them the right to acquire beneficial ownership of LB common stock, and it is</w:t>
      </w:r>
      <w:r>
        <w:rPr>
          <w:rFonts w:ascii="Arial" w:eastAsia="Arial" w:hAnsi="Arial" w:cs="Arial"/>
          <w:sz w:val="16"/>
          <w:szCs w:val="16"/>
        </w:rPr>
        <w:t xml:space="preserve"> not expected that any of them will own any class of equity securities of VS other than common stock following the Distribution.</w:t>
      </w:r>
    </w:p>
    <w:p w14:paraId="575046A4" w14:textId="77777777" w:rsidR="00D1587D" w:rsidRDefault="00D1587D">
      <w:pPr>
        <w:spacing w:line="113"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680"/>
        <w:gridCol w:w="4360"/>
        <w:gridCol w:w="1360"/>
        <w:gridCol w:w="20"/>
      </w:tblGrid>
      <w:tr w:rsidR="00D1587D" w14:paraId="22B57710" w14:textId="77777777">
        <w:trPr>
          <w:trHeight w:val="161"/>
        </w:trPr>
        <w:tc>
          <w:tcPr>
            <w:tcW w:w="2680" w:type="dxa"/>
            <w:vAlign w:val="bottom"/>
          </w:tcPr>
          <w:p w14:paraId="3DB2F126" w14:textId="77777777" w:rsidR="00D1587D" w:rsidRDefault="00D1587D">
            <w:pPr>
              <w:rPr>
                <w:sz w:val="14"/>
                <w:szCs w:val="14"/>
              </w:rPr>
            </w:pPr>
          </w:p>
        </w:tc>
        <w:tc>
          <w:tcPr>
            <w:tcW w:w="4360" w:type="dxa"/>
            <w:vAlign w:val="bottom"/>
          </w:tcPr>
          <w:p w14:paraId="14DA040B" w14:textId="77777777" w:rsidR="00D1587D" w:rsidRDefault="00410D07">
            <w:pPr>
              <w:ind w:left="2108"/>
              <w:jc w:val="center"/>
              <w:rPr>
                <w:sz w:val="20"/>
                <w:szCs w:val="20"/>
              </w:rPr>
            </w:pPr>
            <w:r>
              <w:rPr>
                <w:rFonts w:ascii="Arial" w:eastAsia="Arial" w:hAnsi="Arial" w:cs="Arial"/>
                <w:b/>
                <w:bCs/>
                <w:w w:val="91"/>
                <w:sz w:val="14"/>
                <w:szCs w:val="14"/>
              </w:rPr>
              <w:t>Number of Shares of Common</w:t>
            </w:r>
          </w:p>
        </w:tc>
        <w:tc>
          <w:tcPr>
            <w:tcW w:w="1360" w:type="dxa"/>
            <w:vAlign w:val="bottom"/>
          </w:tcPr>
          <w:p w14:paraId="0AD9C72E" w14:textId="77777777" w:rsidR="00D1587D" w:rsidRDefault="00D1587D">
            <w:pPr>
              <w:rPr>
                <w:sz w:val="14"/>
                <w:szCs w:val="14"/>
              </w:rPr>
            </w:pPr>
          </w:p>
        </w:tc>
        <w:tc>
          <w:tcPr>
            <w:tcW w:w="0" w:type="dxa"/>
            <w:vAlign w:val="bottom"/>
          </w:tcPr>
          <w:p w14:paraId="5FBAF77E" w14:textId="77777777" w:rsidR="00D1587D" w:rsidRDefault="00D1587D">
            <w:pPr>
              <w:rPr>
                <w:sz w:val="1"/>
                <w:szCs w:val="1"/>
              </w:rPr>
            </w:pPr>
          </w:p>
        </w:tc>
      </w:tr>
      <w:tr w:rsidR="00D1587D" w14:paraId="7091A1DD" w14:textId="77777777">
        <w:trPr>
          <w:trHeight w:val="145"/>
        </w:trPr>
        <w:tc>
          <w:tcPr>
            <w:tcW w:w="2680" w:type="dxa"/>
            <w:vMerge w:val="restart"/>
            <w:vAlign w:val="bottom"/>
          </w:tcPr>
          <w:p w14:paraId="26A575EF" w14:textId="77777777" w:rsidR="00D1587D" w:rsidRDefault="00410D07">
            <w:pPr>
              <w:rPr>
                <w:sz w:val="20"/>
                <w:szCs w:val="20"/>
              </w:rPr>
            </w:pPr>
            <w:r>
              <w:rPr>
                <w:rFonts w:ascii="Arial" w:eastAsia="Arial" w:hAnsi="Arial" w:cs="Arial"/>
                <w:b/>
                <w:bCs/>
                <w:sz w:val="14"/>
                <w:szCs w:val="14"/>
              </w:rPr>
              <w:t>Name</w:t>
            </w:r>
          </w:p>
        </w:tc>
        <w:tc>
          <w:tcPr>
            <w:tcW w:w="4360" w:type="dxa"/>
            <w:vAlign w:val="bottom"/>
          </w:tcPr>
          <w:p w14:paraId="34AA127D" w14:textId="77777777" w:rsidR="00D1587D" w:rsidRDefault="00410D07">
            <w:pPr>
              <w:spacing w:line="145" w:lineRule="exact"/>
              <w:ind w:left="2108"/>
              <w:jc w:val="center"/>
              <w:rPr>
                <w:sz w:val="20"/>
                <w:szCs w:val="20"/>
              </w:rPr>
            </w:pPr>
            <w:r>
              <w:rPr>
                <w:rFonts w:ascii="Arial" w:eastAsia="Arial" w:hAnsi="Arial" w:cs="Arial"/>
                <w:b/>
                <w:bCs/>
                <w:w w:val="91"/>
                <w:sz w:val="14"/>
                <w:szCs w:val="14"/>
              </w:rPr>
              <w:t>Stock Beneficially</w:t>
            </w:r>
          </w:p>
        </w:tc>
        <w:tc>
          <w:tcPr>
            <w:tcW w:w="1360" w:type="dxa"/>
            <w:vMerge w:val="restart"/>
            <w:vAlign w:val="bottom"/>
          </w:tcPr>
          <w:p w14:paraId="7B9415E1" w14:textId="77777777" w:rsidR="00D1587D" w:rsidRDefault="00410D07">
            <w:pPr>
              <w:ind w:left="160"/>
              <w:rPr>
                <w:sz w:val="20"/>
                <w:szCs w:val="20"/>
              </w:rPr>
            </w:pPr>
            <w:r>
              <w:rPr>
                <w:rFonts w:ascii="Arial" w:eastAsia="Arial" w:hAnsi="Arial" w:cs="Arial"/>
                <w:b/>
                <w:bCs/>
                <w:w w:val="88"/>
                <w:sz w:val="14"/>
                <w:szCs w:val="14"/>
              </w:rPr>
              <w:t>Percentage of Class</w:t>
            </w:r>
          </w:p>
        </w:tc>
        <w:tc>
          <w:tcPr>
            <w:tcW w:w="0" w:type="dxa"/>
            <w:vAlign w:val="bottom"/>
          </w:tcPr>
          <w:p w14:paraId="7B185C16" w14:textId="77777777" w:rsidR="00D1587D" w:rsidRDefault="00D1587D">
            <w:pPr>
              <w:rPr>
                <w:sz w:val="1"/>
                <w:szCs w:val="1"/>
              </w:rPr>
            </w:pPr>
          </w:p>
        </w:tc>
      </w:tr>
      <w:tr w:rsidR="00D1587D" w14:paraId="3E6778BF" w14:textId="77777777">
        <w:trPr>
          <w:trHeight w:val="317"/>
        </w:trPr>
        <w:tc>
          <w:tcPr>
            <w:tcW w:w="2680" w:type="dxa"/>
            <w:vMerge/>
            <w:vAlign w:val="bottom"/>
          </w:tcPr>
          <w:p w14:paraId="1DFB8E74" w14:textId="77777777" w:rsidR="00D1587D" w:rsidRDefault="00D1587D">
            <w:pPr>
              <w:rPr>
                <w:sz w:val="24"/>
                <w:szCs w:val="24"/>
              </w:rPr>
            </w:pPr>
          </w:p>
        </w:tc>
        <w:tc>
          <w:tcPr>
            <w:tcW w:w="4360" w:type="dxa"/>
            <w:vAlign w:val="bottom"/>
          </w:tcPr>
          <w:p w14:paraId="5694B2A9" w14:textId="77777777" w:rsidR="00D1587D" w:rsidRDefault="00410D07">
            <w:pPr>
              <w:ind w:left="2148"/>
              <w:jc w:val="center"/>
              <w:rPr>
                <w:sz w:val="20"/>
                <w:szCs w:val="20"/>
              </w:rPr>
            </w:pPr>
            <w:r>
              <w:rPr>
                <w:rFonts w:ascii="Arial" w:eastAsia="Arial" w:hAnsi="Arial" w:cs="Arial"/>
                <w:b/>
                <w:bCs/>
                <w:w w:val="88"/>
                <w:sz w:val="14"/>
                <w:szCs w:val="14"/>
              </w:rPr>
              <w:t>Owned</w:t>
            </w:r>
            <w:r>
              <w:rPr>
                <w:rFonts w:ascii="Arial" w:eastAsia="Arial" w:hAnsi="Arial" w:cs="Arial"/>
                <w:b/>
                <w:bCs/>
                <w:w w:val="88"/>
                <w:sz w:val="23"/>
                <w:szCs w:val="23"/>
                <w:vertAlign w:val="superscript"/>
              </w:rPr>
              <w:t>(a)</w:t>
            </w:r>
          </w:p>
        </w:tc>
        <w:tc>
          <w:tcPr>
            <w:tcW w:w="1360" w:type="dxa"/>
            <w:vMerge/>
            <w:vAlign w:val="bottom"/>
          </w:tcPr>
          <w:p w14:paraId="2196D1EA" w14:textId="77777777" w:rsidR="00D1587D" w:rsidRDefault="00D1587D">
            <w:pPr>
              <w:rPr>
                <w:sz w:val="24"/>
                <w:szCs w:val="24"/>
              </w:rPr>
            </w:pPr>
          </w:p>
        </w:tc>
        <w:tc>
          <w:tcPr>
            <w:tcW w:w="0" w:type="dxa"/>
            <w:vAlign w:val="bottom"/>
          </w:tcPr>
          <w:p w14:paraId="31FFD3A7" w14:textId="77777777" w:rsidR="00D1587D" w:rsidRDefault="00D1587D">
            <w:pPr>
              <w:rPr>
                <w:sz w:val="1"/>
                <w:szCs w:val="1"/>
              </w:rPr>
            </w:pPr>
          </w:p>
        </w:tc>
      </w:tr>
    </w:tbl>
    <w:p w14:paraId="22901161" w14:textId="77777777" w:rsidR="00D1587D" w:rsidRDefault="00410D07">
      <w:pPr>
        <w:spacing w:line="20" w:lineRule="exact"/>
        <w:rPr>
          <w:sz w:val="20"/>
          <w:szCs w:val="20"/>
        </w:rPr>
      </w:pPr>
      <w:r>
        <w:rPr>
          <w:noProof/>
          <w:sz w:val="20"/>
          <w:szCs w:val="20"/>
        </w:rPr>
        <w:drawing>
          <wp:anchor distT="0" distB="0" distL="114300" distR="114300" simplePos="0" relativeHeight="251975680" behindDoc="1" locked="0" layoutInCell="0" allowOverlap="1" wp14:anchorId="6C0A38C6" wp14:editId="5F30E81B">
            <wp:simplePos x="0" y="0"/>
            <wp:positionH relativeFrom="column">
              <wp:posOffset>185420</wp:posOffset>
            </wp:positionH>
            <wp:positionV relativeFrom="paragraph">
              <wp:posOffset>-46990</wp:posOffset>
            </wp:positionV>
            <wp:extent cx="5349240" cy="222885"/>
            <wp:effectExtent l="0" t="0" r="0" b="0"/>
            <wp:wrapNone/>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69"/>
                    <a:srcRect/>
                    <a:stretch>
                      <a:fillRect/>
                    </a:stretch>
                  </pic:blipFill>
                  <pic:spPr bwMode="auto">
                    <a:xfrm>
                      <a:off x="0" y="0"/>
                      <a:ext cx="5349240" cy="222885"/>
                    </a:xfrm>
                    <a:prstGeom prst="rect">
                      <a:avLst/>
                    </a:prstGeom>
                    <a:noFill/>
                  </pic:spPr>
                </pic:pic>
              </a:graphicData>
            </a:graphic>
          </wp:anchor>
        </w:drawing>
      </w:r>
    </w:p>
    <w:p w14:paraId="0BF76F7D" w14:textId="77777777" w:rsidR="00D1587D" w:rsidRDefault="00410D07">
      <w:pPr>
        <w:ind w:left="300"/>
        <w:rPr>
          <w:sz w:val="20"/>
          <w:szCs w:val="20"/>
        </w:rPr>
      </w:pPr>
      <w:r>
        <w:rPr>
          <w:rFonts w:ascii="Arial" w:eastAsia="Arial" w:hAnsi="Arial" w:cs="Arial"/>
          <w:sz w:val="18"/>
          <w:szCs w:val="18"/>
        </w:rPr>
        <w:t>Irene Chang Britt</w:t>
      </w:r>
    </w:p>
    <w:p w14:paraId="2E7CB932" w14:textId="77777777" w:rsidR="00D1587D" w:rsidRDefault="00D1587D">
      <w:pPr>
        <w:spacing w:line="109" w:lineRule="exact"/>
        <w:rPr>
          <w:sz w:val="20"/>
          <w:szCs w:val="20"/>
        </w:rPr>
      </w:pPr>
    </w:p>
    <w:p w14:paraId="01D98225" w14:textId="77777777" w:rsidR="00D1587D" w:rsidRDefault="00410D07">
      <w:pPr>
        <w:ind w:left="300"/>
        <w:rPr>
          <w:sz w:val="20"/>
          <w:szCs w:val="20"/>
        </w:rPr>
      </w:pPr>
      <w:r>
        <w:rPr>
          <w:rFonts w:ascii="Arial" w:eastAsia="Arial" w:hAnsi="Arial" w:cs="Arial"/>
          <w:sz w:val="18"/>
          <w:szCs w:val="18"/>
        </w:rPr>
        <w:t xml:space="preserve">Sarah </w:t>
      </w:r>
      <w:r>
        <w:rPr>
          <w:rFonts w:ascii="Arial" w:eastAsia="Arial" w:hAnsi="Arial" w:cs="Arial"/>
          <w:sz w:val="18"/>
          <w:szCs w:val="18"/>
        </w:rPr>
        <w:t>Davis</w:t>
      </w:r>
    </w:p>
    <w:p w14:paraId="106263CA" w14:textId="77777777" w:rsidR="00D1587D" w:rsidRDefault="00410D07">
      <w:pPr>
        <w:spacing w:line="20" w:lineRule="exact"/>
        <w:rPr>
          <w:sz w:val="20"/>
          <w:szCs w:val="20"/>
        </w:rPr>
      </w:pPr>
      <w:r>
        <w:rPr>
          <w:noProof/>
          <w:sz w:val="20"/>
          <w:szCs w:val="20"/>
        </w:rPr>
        <w:drawing>
          <wp:anchor distT="0" distB="0" distL="114300" distR="114300" simplePos="0" relativeHeight="251976704" behindDoc="1" locked="0" layoutInCell="0" allowOverlap="1" wp14:anchorId="72454E77" wp14:editId="67E01254">
            <wp:simplePos x="0" y="0"/>
            <wp:positionH relativeFrom="column">
              <wp:posOffset>185420</wp:posOffset>
            </wp:positionH>
            <wp:positionV relativeFrom="paragraph">
              <wp:posOffset>48895</wp:posOffset>
            </wp:positionV>
            <wp:extent cx="5349240" cy="205740"/>
            <wp:effectExtent l="0" t="0" r="0" b="0"/>
            <wp:wrapNone/>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299B0584" w14:textId="77777777" w:rsidR="00D1587D" w:rsidRDefault="00D1587D">
      <w:pPr>
        <w:spacing w:line="97" w:lineRule="exact"/>
        <w:rPr>
          <w:sz w:val="20"/>
          <w:szCs w:val="20"/>
        </w:rPr>
      </w:pPr>
    </w:p>
    <w:p w14:paraId="3B2F6E39" w14:textId="77777777" w:rsidR="00D1587D" w:rsidRDefault="00410D07">
      <w:pPr>
        <w:ind w:left="300"/>
        <w:rPr>
          <w:sz w:val="20"/>
          <w:szCs w:val="20"/>
        </w:rPr>
      </w:pPr>
      <w:r>
        <w:rPr>
          <w:rFonts w:ascii="Arial" w:eastAsia="Arial" w:hAnsi="Arial" w:cs="Arial"/>
          <w:sz w:val="18"/>
          <w:szCs w:val="18"/>
        </w:rPr>
        <w:t>Jacqueline Hernandez</w:t>
      </w:r>
    </w:p>
    <w:p w14:paraId="25A44F4F" w14:textId="77777777" w:rsidR="00D1587D" w:rsidRDefault="00D1587D">
      <w:pPr>
        <w:spacing w:line="117" w:lineRule="exact"/>
        <w:rPr>
          <w:sz w:val="20"/>
          <w:szCs w:val="20"/>
        </w:rPr>
      </w:pPr>
    </w:p>
    <w:p w14:paraId="2B8351EF" w14:textId="77777777" w:rsidR="00D1587D" w:rsidRDefault="00410D07">
      <w:pPr>
        <w:ind w:left="300"/>
        <w:rPr>
          <w:sz w:val="20"/>
          <w:szCs w:val="20"/>
        </w:rPr>
      </w:pPr>
      <w:r>
        <w:rPr>
          <w:rFonts w:ascii="Arial" w:eastAsia="Arial" w:hAnsi="Arial" w:cs="Arial"/>
          <w:sz w:val="18"/>
          <w:szCs w:val="18"/>
        </w:rPr>
        <w:t>Donna A. James</w:t>
      </w:r>
    </w:p>
    <w:p w14:paraId="67EAF532" w14:textId="77777777" w:rsidR="00D1587D" w:rsidRDefault="00410D07">
      <w:pPr>
        <w:spacing w:line="20" w:lineRule="exact"/>
        <w:rPr>
          <w:sz w:val="20"/>
          <w:szCs w:val="20"/>
        </w:rPr>
      </w:pPr>
      <w:r>
        <w:rPr>
          <w:noProof/>
          <w:sz w:val="20"/>
          <w:szCs w:val="20"/>
        </w:rPr>
        <w:drawing>
          <wp:anchor distT="0" distB="0" distL="114300" distR="114300" simplePos="0" relativeHeight="251977728" behindDoc="1" locked="0" layoutInCell="0" allowOverlap="1" wp14:anchorId="1A2C1E53" wp14:editId="299408A8">
            <wp:simplePos x="0" y="0"/>
            <wp:positionH relativeFrom="column">
              <wp:posOffset>185420</wp:posOffset>
            </wp:positionH>
            <wp:positionV relativeFrom="paragraph">
              <wp:posOffset>48895</wp:posOffset>
            </wp:positionV>
            <wp:extent cx="5349240" cy="205740"/>
            <wp:effectExtent l="0" t="0" r="0" b="0"/>
            <wp:wrapNone/>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3BCD61EC" w14:textId="77777777" w:rsidR="00D1587D" w:rsidRDefault="00D1587D">
      <w:pPr>
        <w:spacing w:line="97" w:lineRule="exact"/>
        <w:rPr>
          <w:sz w:val="20"/>
          <w:szCs w:val="20"/>
        </w:rPr>
      </w:pPr>
    </w:p>
    <w:p w14:paraId="51325DA5" w14:textId="77777777" w:rsidR="00D1587D" w:rsidRDefault="00410D07">
      <w:pPr>
        <w:ind w:left="300"/>
        <w:rPr>
          <w:sz w:val="20"/>
          <w:szCs w:val="20"/>
        </w:rPr>
      </w:pPr>
      <w:r>
        <w:rPr>
          <w:rFonts w:ascii="Arial" w:eastAsia="Arial" w:hAnsi="Arial" w:cs="Arial"/>
          <w:sz w:val="18"/>
          <w:szCs w:val="18"/>
        </w:rPr>
        <w:t>Lauren B. Peters</w:t>
      </w:r>
    </w:p>
    <w:p w14:paraId="143F64A7" w14:textId="77777777" w:rsidR="00D1587D" w:rsidRDefault="00D1587D">
      <w:pPr>
        <w:spacing w:line="117" w:lineRule="exact"/>
        <w:rPr>
          <w:sz w:val="20"/>
          <w:szCs w:val="20"/>
        </w:rPr>
      </w:pPr>
    </w:p>
    <w:p w14:paraId="5F0508BF" w14:textId="77777777" w:rsidR="00D1587D" w:rsidRDefault="00410D07">
      <w:pPr>
        <w:ind w:left="300"/>
        <w:rPr>
          <w:sz w:val="20"/>
          <w:szCs w:val="20"/>
        </w:rPr>
      </w:pPr>
      <w:r>
        <w:rPr>
          <w:rFonts w:ascii="Arial" w:eastAsia="Arial" w:hAnsi="Arial" w:cs="Arial"/>
          <w:sz w:val="18"/>
          <w:szCs w:val="18"/>
        </w:rPr>
        <w:t>Anne Sheehan</w:t>
      </w:r>
    </w:p>
    <w:p w14:paraId="5F2D7C6C" w14:textId="77777777" w:rsidR="00D1587D" w:rsidRDefault="00410D07">
      <w:pPr>
        <w:spacing w:line="20" w:lineRule="exact"/>
        <w:rPr>
          <w:sz w:val="20"/>
          <w:szCs w:val="20"/>
        </w:rPr>
      </w:pPr>
      <w:r>
        <w:rPr>
          <w:noProof/>
          <w:sz w:val="20"/>
          <w:szCs w:val="20"/>
        </w:rPr>
        <w:drawing>
          <wp:anchor distT="0" distB="0" distL="114300" distR="114300" simplePos="0" relativeHeight="251978752" behindDoc="1" locked="0" layoutInCell="0" allowOverlap="1" wp14:anchorId="2F1CD8D8" wp14:editId="00B798B6">
            <wp:simplePos x="0" y="0"/>
            <wp:positionH relativeFrom="column">
              <wp:posOffset>185420</wp:posOffset>
            </wp:positionH>
            <wp:positionV relativeFrom="paragraph">
              <wp:posOffset>48895</wp:posOffset>
            </wp:positionV>
            <wp:extent cx="5349240" cy="205740"/>
            <wp:effectExtent l="0" t="0" r="0" b="0"/>
            <wp:wrapNone/>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6F0B30CB" w14:textId="77777777" w:rsidR="00D1587D" w:rsidRDefault="00D1587D">
      <w:pPr>
        <w:spacing w:line="97" w:lineRule="exact"/>
        <w:rPr>
          <w:sz w:val="20"/>
          <w:szCs w:val="20"/>
        </w:rPr>
      </w:pPr>
    </w:p>
    <w:p w14:paraId="1B5BDBBA" w14:textId="77777777" w:rsidR="00D1587D" w:rsidRDefault="00410D07">
      <w:pPr>
        <w:ind w:left="300"/>
        <w:rPr>
          <w:sz w:val="20"/>
          <w:szCs w:val="20"/>
        </w:rPr>
      </w:pPr>
      <w:r>
        <w:rPr>
          <w:rFonts w:ascii="Arial" w:eastAsia="Arial" w:hAnsi="Arial" w:cs="Arial"/>
          <w:sz w:val="18"/>
          <w:szCs w:val="18"/>
        </w:rPr>
        <w:t>Martin Waters</w:t>
      </w:r>
    </w:p>
    <w:p w14:paraId="2E092B57" w14:textId="77777777" w:rsidR="00D1587D" w:rsidRDefault="00D1587D">
      <w:pPr>
        <w:spacing w:line="117" w:lineRule="exact"/>
        <w:rPr>
          <w:sz w:val="20"/>
          <w:szCs w:val="20"/>
        </w:rPr>
      </w:pPr>
    </w:p>
    <w:p w14:paraId="30D067FF" w14:textId="77777777" w:rsidR="00D1587D" w:rsidRDefault="00410D07">
      <w:pPr>
        <w:ind w:left="300"/>
        <w:rPr>
          <w:sz w:val="20"/>
          <w:szCs w:val="20"/>
        </w:rPr>
      </w:pPr>
      <w:r>
        <w:rPr>
          <w:rFonts w:ascii="Arial" w:eastAsia="Arial" w:hAnsi="Arial" w:cs="Arial"/>
          <w:sz w:val="18"/>
          <w:szCs w:val="18"/>
        </w:rPr>
        <w:t>Tim Johnson</w:t>
      </w:r>
    </w:p>
    <w:p w14:paraId="46326EBD" w14:textId="77777777" w:rsidR="00D1587D" w:rsidRDefault="00410D07">
      <w:pPr>
        <w:spacing w:line="20" w:lineRule="exact"/>
        <w:rPr>
          <w:sz w:val="20"/>
          <w:szCs w:val="20"/>
        </w:rPr>
      </w:pPr>
      <w:r>
        <w:rPr>
          <w:noProof/>
          <w:sz w:val="20"/>
          <w:szCs w:val="20"/>
        </w:rPr>
        <w:drawing>
          <wp:anchor distT="0" distB="0" distL="114300" distR="114300" simplePos="0" relativeHeight="251979776" behindDoc="1" locked="0" layoutInCell="0" allowOverlap="1" wp14:anchorId="1E6A211C" wp14:editId="68850257">
            <wp:simplePos x="0" y="0"/>
            <wp:positionH relativeFrom="column">
              <wp:posOffset>185420</wp:posOffset>
            </wp:positionH>
            <wp:positionV relativeFrom="paragraph">
              <wp:posOffset>48895</wp:posOffset>
            </wp:positionV>
            <wp:extent cx="5349240" cy="205740"/>
            <wp:effectExtent l="0" t="0" r="0" b="0"/>
            <wp:wrapNone/>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17CF1EFB" w14:textId="77777777" w:rsidR="00D1587D" w:rsidRDefault="00D1587D">
      <w:pPr>
        <w:spacing w:line="97" w:lineRule="exact"/>
        <w:rPr>
          <w:sz w:val="20"/>
          <w:szCs w:val="20"/>
        </w:rPr>
      </w:pPr>
    </w:p>
    <w:p w14:paraId="7FE4403F" w14:textId="77777777" w:rsidR="00D1587D" w:rsidRDefault="00410D07">
      <w:pPr>
        <w:ind w:left="300"/>
        <w:rPr>
          <w:sz w:val="20"/>
          <w:szCs w:val="20"/>
        </w:rPr>
      </w:pPr>
      <w:r>
        <w:rPr>
          <w:rFonts w:ascii="Arial" w:eastAsia="Arial" w:hAnsi="Arial" w:cs="Arial"/>
          <w:sz w:val="18"/>
          <w:szCs w:val="18"/>
        </w:rPr>
        <w:t>Amy Hauk</w:t>
      </w:r>
    </w:p>
    <w:p w14:paraId="7281B283" w14:textId="77777777" w:rsidR="00D1587D" w:rsidRDefault="00D1587D">
      <w:pPr>
        <w:spacing w:line="117" w:lineRule="exact"/>
        <w:rPr>
          <w:sz w:val="20"/>
          <w:szCs w:val="20"/>
        </w:rPr>
      </w:pPr>
    </w:p>
    <w:p w14:paraId="74AA2EB8" w14:textId="77777777" w:rsidR="00D1587D" w:rsidRDefault="00410D07">
      <w:pPr>
        <w:ind w:left="300"/>
        <w:rPr>
          <w:sz w:val="20"/>
          <w:szCs w:val="20"/>
        </w:rPr>
      </w:pPr>
      <w:r>
        <w:rPr>
          <w:rFonts w:ascii="Arial" w:eastAsia="Arial" w:hAnsi="Arial" w:cs="Arial"/>
          <w:sz w:val="18"/>
          <w:szCs w:val="18"/>
        </w:rPr>
        <w:t>Gregory Unis</w:t>
      </w:r>
    </w:p>
    <w:p w14:paraId="3FCF2EAC" w14:textId="77777777" w:rsidR="00D1587D" w:rsidRDefault="00410D07">
      <w:pPr>
        <w:spacing w:line="20" w:lineRule="exact"/>
        <w:rPr>
          <w:sz w:val="20"/>
          <w:szCs w:val="20"/>
        </w:rPr>
      </w:pPr>
      <w:r>
        <w:rPr>
          <w:noProof/>
          <w:sz w:val="20"/>
          <w:szCs w:val="20"/>
        </w:rPr>
        <w:drawing>
          <wp:anchor distT="0" distB="0" distL="114300" distR="114300" simplePos="0" relativeHeight="251980800" behindDoc="1" locked="0" layoutInCell="0" allowOverlap="1" wp14:anchorId="51B7C0C6" wp14:editId="116B4326">
            <wp:simplePos x="0" y="0"/>
            <wp:positionH relativeFrom="column">
              <wp:posOffset>185420</wp:posOffset>
            </wp:positionH>
            <wp:positionV relativeFrom="paragraph">
              <wp:posOffset>48895</wp:posOffset>
            </wp:positionV>
            <wp:extent cx="5349240" cy="205740"/>
            <wp:effectExtent l="0" t="0" r="0" b="0"/>
            <wp:wrapNone/>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0A3E50A2" w14:textId="77777777" w:rsidR="00D1587D" w:rsidRDefault="00D1587D">
      <w:pPr>
        <w:spacing w:line="97" w:lineRule="exact"/>
        <w:rPr>
          <w:sz w:val="20"/>
          <w:szCs w:val="20"/>
        </w:rPr>
      </w:pPr>
    </w:p>
    <w:p w14:paraId="13A809A8" w14:textId="77777777" w:rsidR="00D1587D" w:rsidRDefault="00410D07">
      <w:pPr>
        <w:ind w:left="300"/>
        <w:rPr>
          <w:sz w:val="20"/>
          <w:szCs w:val="20"/>
        </w:rPr>
      </w:pPr>
      <w:r>
        <w:rPr>
          <w:rFonts w:ascii="Arial" w:eastAsia="Arial" w:hAnsi="Arial" w:cs="Arial"/>
          <w:sz w:val="18"/>
          <w:szCs w:val="18"/>
        </w:rPr>
        <w:t>Stuart Burgdoerfer</w:t>
      </w:r>
    </w:p>
    <w:p w14:paraId="30872B5A" w14:textId="77777777" w:rsidR="00D1587D" w:rsidRDefault="00D1587D">
      <w:pPr>
        <w:spacing w:line="117" w:lineRule="exact"/>
        <w:rPr>
          <w:sz w:val="20"/>
          <w:szCs w:val="20"/>
        </w:rPr>
      </w:pPr>
    </w:p>
    <w:p w14:paraId="4C96F3CF" w14:textId="77777777" w:rsidR="00D1587D" w:rsidRDefault="00410D07">
      <w:pPr>
        <w:ind w:left="300"/>
        <w:rPr>
          <w:sz w:val="20"/>
          <w:szCs w:val="20"/>
        </w:rPr>
      </w:pPr>
      <w:r>
        <w:rPr>
          <w:rFonts w:ascii="Arial" w:eastAsia="Arial" w:hAnsi="Arial" w:cs="Arial"/>
          <w:sz w:val="18"/>
          <w:szCs w:val="18"/>
        </w:rPr>
        <w:t>John Mehas</w:t>
      </w:r>
    </w:p>
    <w:p w14:paraId="56143D6A" w14:textId="77777777" w:rsidR="00D1587D" w:rsidRDefault="00410D07">
      <w:pPr>
        <w:spacing w:line="20" w:lineRule="exact"/>
        <w:rPr>
          <w:sz w:val="20"/>
          <w:szCs w:val="20"/>
        </w:rPr>
      </w:pPr>
      <w:r>
        <w:rPr>
          <w:noProof/>
          <w:sz w:val="20"/>
          <w:szCs w:val="20"/>
        </w:rPr>
        <w:drawing>
          <wp:anchor distT="0" distB="0" distL="114300" distR="114300" simplePos="0" relativeHeight="251981824" behindDoc="1" locked="0" layoutInCell="0" allowOverlap="1" wp14:anchorId="5AFBCCC3" wp14:editId="08EB4B61">
            <wp:simplePos x="0" y="0"/>
            <wp:positionH relativeFrom="column">
              <wp:posOffset>185420</wp:posOffset>
            </wp:positionH>
            <wp:positionV relativeFrom="paragraph">
              <wp:posOffset>48895</wp:posOffset>
            </wp:positionV>
            <wp:extent cx="5349240" cy="205740"/>
            <wp:effectExtent l="0" t="0" r="0" b="0"/>
            <wp:wrapNone/>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68"/>
                    <a:srcRect/>
                    <a:stretch>
                      <a:fillRect/>
                    </a:stretch>
                  </pic:blipFill>
                  <pic:spPr bwMode="auto">
                    <a:xfrm>
                      <a:off x="0" y="0"/>
                      <a:ext cx="5349240" cy="205740"/>
                    </a:xfrm>
                    <a:prstGeom prst="rect">
                      <a:avLst/>
                    </a:prstGeom>
                    <a:noFill/>
                  </pic:spPr>
                </pic:pic>
              </a:graphicData>
            </a:graphic>
          </wp:anchor>
        </w:drawing>
      </w:r>
    </w:p>
    <w:p w14:paraId="6184F6F4" w14:textId="77777777" w:rsidR="00D1587D" w:rsidRDefault="00D1587D">
      <w:pPr>
        <w:spacing w:line="97" w:lineRule="exact"/>
        <w:rPr>
          <w:sz w:val="20"/>
          <w:szCs w:val="20"/>
        </w:rPr>
      </w:pPr>
    </w:p>
    <w:p w14:paraId="4502DA9D" w14:textId="77777777" w:rsidR="00D1587D" w:rsidRDefault="00410D07">
      <w:pPr>
        <w:ind w:left="300"/>
        <w:rPr>
          <w:sz w:val="20"/>
          <w:szCs w:val="20"/>
        </w:rPr>
      </w:pPr>
      <w:r>
        <w:rPr>
          <w:rFonts w:ascii="Arial" w:eastAsia="Arial" w:hAnsi="Arial" w:cs="Arial"/>
          <w:sz w:val="18"/>
          <w:szCs w:val="18"/>
        </w:rPr>
        <w:t>All executive officers and directors (11 persons)</w:t>
      </w:r>
    </w:p>
    <w:p w14:paraId="19898910" w14:textId="77777777" w:rsidR="00D1587D" w:rsidRDefault="00410D07">
      <w:pPr>
        <w:spacing w:line="20" w:lineRule="exact"/>
        <w:rPr>
          <w:sz w:val="20"/>
          <w:szCs w:val="20"/>
        </w:rPr>
      </w:pPr>
      <w:r>
        <w:rPr>
          <w:noProof/>
          <w:sz w:val="20"/>
          <w:szCs w:val="20"/>
        </w:rPr>
        <w:drawing>
          <wp:anchor distT="0" distB="0" distL="114300" distR="114300" simplePos="0" relativeHeight="251982848" behindDoc="1" locked="0" layoutInCell="0" allowOverlap="1" wp14:anchorId="45B7895A" wp14:editId="2D1D159E">
            <wp:simplePos x="0" y="0"/>
            <wp:positionH relativeFrom="column">
              <wp:posOffset>185420</wp:posOffset>
            </wp:positionH>
            <wp:positionV relativeFrom="paragraph">
              <wp:posOffset>203200</wp:posOffset>
            </wp:positionV>
            <wp:extent cx="822960" cy="8255"/>
            <wp:effectExtent l="0" t="0" r="0" b="0"/>
            <wp:wrapNone/>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4C5BDDFD" w14:textId="77777777" w:rsidR="00D1587D" w:rsidRDefault="00D1587D">
      <w:pPr>
        <w:spacing w:line="349" w:lineRule="exact"/>
        <w:rPr>
          <w:sz w:val="20"/>
          <w:szCs w:val="20"/>
        </w:rPr>
      </w:pPr>
    </w:p>
    <w:p w14:paraId="7B600F12" w14:textId="77777777" w:rsidR="00D1587D" w:rsidRDefault="00410D07" w:rsidP="00410D07">
      <w:pPr>
        <w:numPr>
          <w:ilvl w:val="0"/>
          <w:numId w:val="335"/>
        </w:numPr>
        <w:tabs>
          <w:tab w:val="left" w:pos="640"/>
        </w:tabs>
        <w:ind w:left="640" w:hanging="348"/>
        <w:rPr>
          <w:rFonts w:ascii="Arial" w:eastAsia="Arial" w:hAnsi="Arial" w:cs="Arial"/>
          <w:sz w:val="14"/>
          <w:szCs w:val="14"/>
        </w:rPr>
      </w:pPr>
      <w:r>
        <w:rPr>
          <w:rFonts w:ascii="Arial" w:eastAsia="Arial" w:hAnsi="Arial" w:cs="Arial"/>
          <w:sz w:val="14"/>
          <w:szCs w:val="14"/>
        </w:rPr>
        <w:t>Less than 1%</w:t>
      </w:r>
    </w:p>
    <w:p w14:paraId="2F2F0F6A" w14:textId="77777777" w:rsidR="00D1587D" w:rsidRDefault="00D1587D">
      <w:pPr>
        <w:spacing w:line="42" w:lineRule="exact"/>
        <w:rPr>
          <w:sz w:val="20"/>
          <w:szCs w:val="20"/>
        </w:rPr>
      </w:pPr>
    </w:p>
    <w:p w14:paraId="3B6F224F" w14:textId="77777777" w:rsidR="00D1587D" w:rsidRDefault="00410D07" w:rsidP="00410D07">
      <w:pPr>
        <w:numPr>
          <w:ilvl w:val="0"/>
          <w:numId w:val="336"/>
        </w:numPr>
        <w:tabs>
          <w:tab w:val="left" w:pos="640"/>
        </w:tabs>
        <w:spacing w:line="238" w:lineRule="auto"/>
        <w:ind w:left="640" w:right="319" w:hanging="348"/>
        <w:rPr>
          <w:rFonts w:ascii="Arial" w:eastAsia="Arial" w:hAnsi="Arial" w:cs="Arial"/>
          <w:sz w:val="14"/>
          <w:szCs w:val="14"/>
        </w:rPr>
      </w:pPr>
      <w:r>
        <w:rPr>
          <w:rFonts w:ascii="Arial" w:eastAsia="Arial" w:hAnsi="Arial" w:cs="Arial"/>
          <w:sz w:val="14"/>
          <w:szCs w:val="14"/>
        </w:rPr>
        <w:t xml:space="preserve">Unless </w:t>
      </w:r>
      <w:r>
        <w:rPr>
          <w:rFonts w:ascii="Arial" w:eastAsia="Arial" w:hAnsi="Arial" w:cs="Arial"/>
          <w:sz w:val="14"/>
          <w:szCs w:val="14"/>
        </w:rPr>
        <w:t>otherwise indicated, each named person has voting and investment power over the listed shares and such voting and investment power is exercised solely by the named person or shared with a spouse. None of the listed shares have been pledged as security or o</w:t>
      </w:r>
      <w:r>
        <w:rPr>
          <w:rFonts w:ascii="Arial" w:eastAsia="Arial" w:hAnsi="Arial" w:cs="Arial"/>
          <w:sz w:val="14"/>
          <w:szCs w:val="14"/>
        </w:rPr>
        <w:t>therwise deposited as collateral.</w:t>
      </w:r>
    </w:p>
    <w:p w14:paraId="31841182" w14:textId="77777777" w:rsidR="00D1587D" w:rsidRDefault="00D1587D">
      <w:pPr>
        <w:spacing w:line="187" w:lineRule="exact"/>
        <w:rPr>
          <w:sz w:val="20"/>
          <w:szCs w:val="20"/>
        </w:rPr>
      </w:pPr>
    </w:p>
    <w:p w14:paraId="32A075C7" w14:textId="77777777" w:rsidR="00D1587D" w:rsidRDefault="00410D07">
      <w:pPr>
        <w:ind w:right="19"/>
        <w:jc w:val="center"/>
        <w:rPr>
          <w:sz w:val="20"/>
          <w:szCs w:val="20"/>
        </w:rPr>
      </w:pPr>
      <w:r>
        <w:rPr>
          <w:rFonts w:ascii="Arial" w:eastAsia="Arial" w:hAnsi="Arial" w:cs="Arial"/>
          <w:sz w:val="18"/>
          <w:szCs w:val="18"/>
        </w:rPr>
        <w:t>131</w:t>
      </w:r>
    </w:p>
    <w:p w14:paraId="50D32D0E" w14:textId="77777777" w:rsidR="00D1587D" w:rsidRDefault="00410D07">
      <w:pPr>
        <w:spacing w:line="20" w:lineRule="exact"/>
        <w:rPr>
          <w:sz w:val="20"/>
          <w:szCs w:val="20"/>
        </w:rPr>
      </w:pPr>
      <w:r>
        <w:rPr>
          <w:noProof/>
          <w:sz w:val="20"/>
          <w:szCs w:val="20"/>
        </w:rPr>
        <w:drawing>
          <wp:anchor distT="0" distB="0" distL="114300" distR="114300" simplePos="0" relativeHeight="251983872" behindDoc="1" locked="0" layoutInCell="0" allowOverlap="1" wp14:anchorId="4FD312A8" wp14:editId="6F7FA313">
            <wp:simplePos x="0" y="0"/>
            <wp:positionH relativeFrom="column">
              <wp:posOffset>-636905</wp:posOffset>
            </wp:positionH>
            <wp:positionV relativeFrom="paragraph">
              <wp:posOffset>126365</wp:posOffset>
            </wp:positionV>
            <wp:extent cx="6995160" cy="17145"/>
            <wp:effectExtent l="0" t="0" r="0" b="0"/>
            <wp:wrapNone/>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0746327" w14:textId="77777777" w:rsidR="00D1587D" w:rsidRDefault="00D1587D">
      <w:pPr>
        <w:sectPr w:rsidR="00D1587D">
          <w:pgSz w:w="11900" w:h="16838"/>
          <w:pgMar w:top="265" w:right="1440" w:bottom="1440" w:left="1440" w:header="0" w:footer="0" w:gutter="0"/>
          <w:cols w:space="720" w:equalWidth="0">
            <w:col w:w="9019"/>
          </w:cols>
        </w:sectPr>
      </w:pPr>
    </w:p>
    <w:bookmarkStart w:id="389" w:name="page390"/>
    <w:bookmarkEnd w:id="389"/>
    <w:p w14:paraId="1C0CACA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D495D10" w14:textId="77777777" w:rsidR="00D1587D" w:rsidRDefault="00D1587D">
      <w:pPr>
        <w:spacing w:line="127" w:lineRule="exact"/>
        <w:rPr>
          <w:sz w:val="20"/>
          <w:szCs w:val="20"/>
        </w:rPr>
      </w:pPr>
    </w:p>
    <w:p w14:paraId="7283FE15" w14:textId="77777777" w:rsidR="00D1587D" w:rsidRDefault="00410D07">
      <w:pPr>
        <w:jc w:val="center"/>
        <w:rPr>
          <w:sz w:val="20"/>
          <w:szCs w:val="20"/>
        </w:rPr>
      </w:pPr>
      <w:r>
        <w:rPr>
          <w:rFonts w:ascii="Arial" w:eastAsia="Arial" w:hAnsi="Arial" w:cs="Arial"/>
          <w:b/>
          <w:bCs/>
          <w:sz w:val="18"/>
          <w:szCs w:val="18"/>
        </w:rPr>
        <w:t>DESCRIPTION OF CAPITAL STOCK</w:t>
      </w:r>
    </w:p>
    <w:p w14:paraId="4CB77293" w14:textId="77777777" w:rsidR="00D1587D" w:rsidRDefault="00D1587D">
      <w:pPr>
        <w:spacing w:line="121" w:lineRule="exact"/>
        <w:rPr>
          <w:sz w:val="20"/>
          <w:szCs w:val="20"/>
        </w:rPr>
      </w:pPr>
    </w:p>
    <w:p w14:paraId="34B3507D" w14:textId="77777777" w:rsidR="00D1587D" w:rsidRDefault="00410D07">
      <w:pPr>
        <w:spacing w:line="289" w:lineRule="auto"/>
        <w:ind w:left="300" w:right="319" w:firstLine="360"/>
        <w:rPr>
          <w:sz w:val="20"/>
          <w:szCs w:val="20"/>
        </w:rPr>
      </w:pPr>
      <w:r>
        <w:rPr>
          <w:rFonts w:ascii="Arial" w:eastAsia="Arial" w:hAnsi="Arial" w:cs="Arial"/>
          <w:i/>
          <w:iCs/>
          <w:sz w:val="16"/>
          <w:szCs w:val="16"/>
        </w:rPr>
        <w:t xml:space="preserve">Our certificate of incorporation and bylaws will be amended and restated prior to the Separation. The following </w:t>
      </w:r>
      <w:r>
        <w:rPr>
          <w:rFonts w:ascii="Arial" w:eastAsia="Arial" w:hAnsi="Arial" w:cs="Arial"/>
          <w:i/>
          <w:iCs/>
          <w:sz w:val="16"/>
          <w:szCs w:val="16"/>
        </w:rPr>
        <w:t>descriptions are summaries of the material terms of our capital stock based on the applicable provisions of Delaware law and our amended and restated certificate of incorporation and our amended and restated bylaws that will be in effect at the time of the</w:t>
      </w:r>
      <w:r>
        <w:rPr>
          <w:rFonts w:ascii="Arial" w:eastAsia="Arial" w:hAnsi="Arial" w:cs="Arial"/>
          <w:i/>
          <w:iCs/>
          <w:sz w:val="16"/>
          <w:szCs w:val="16"/>
        </w:rPr>
        <w:t xml:space="preserve"> Separation. The summaries and descriptions below do not purport to be complete statements of the relevant provisions of the applicable provisions of Delaware law or of our amended and restated certificate of incorporation or our amended and restated bylaw</w:t>
      </w:r>
      <w:r>
        <w:rPr>
          <w:rFonts w:ascii="Arial" w:eastAsia="Arial" w:hAnsi="Arial" w:cs="Arial"/>
          <w:i/>
          <w:iCs/>
          <w:sz w:val="16"/>
          <w:szCs w:val="16"/>
        </w:rPr>
        <w:t>s to be in effect at the time of the Separation. The summary is qualified in its entirety by reference to our amended and restated certificate of incorporation and our amended and restated bylaws, which we recommend that you read (along with the applicable</w:t>
      </w:r>
      <w:r>
        <w:rPr>
          <w:rFonts w:ascii="Arial" w:eastAsia="Arial" w:hAnsi="Arial" w:cs="Arial"/>
          <w:i/>
          <w:iCs/>
          <w:sz w:val="16"/>
          <w:szCs w:val="16"/>
        </w:rPr>
        <w:t xml:space="preserve"> provisions of Delaware law) for additional information on our capital stock as of the time of the Separation.</w:t>
      </w:r>
    </w:p>
    <w:p w14:paraId="5E239224" w14:textId="77777777" w:rsidR="00D1587D" w:rsidRDefault="00D1587D">
      <w:pPr>
        <w:spacing w:line="297" w:lineRule="exact"/>
        <w:rPr>
          <w:sz w:val="20"/>
          <w:szCs w:val="20"/>
        </w:rPr>
      </w:pPr>
    </w:p>
    <w:p w14:paraId="15AA5AE7" w14:textId="77777777" w:rsidR="00D1587D" w:rsidRDefault="00410D07">
      <w:pPr>
        <w:ind w:left="300"/>
        <w:rPr>
          <w:sz w:val="20"/>
          <w:szCs w:val="20"/>
        </w:rPr>
      </w:pPr>
      <w:r>
        <w:rPr>
          <w:rFonts w:ascii="Arial" w:eastAsia="Arial" w:hAnsi="Arial" w:cs="Arial"/>
          <w:b/>
          <w:bCs/>
          <w:sz w:val="18"/>
          <w:szCs w:val="18"/>
        </w:rPr>
        <w:t>General</w:t>
      </w:r>
    </w:p>
    <w:p w14:paraId="436E1201" w14:textId="77777777" w:rsidR="00D1587D" w:rsidRDefault="00D1587D">
      <w:pPr>
        <w:spacing w:line="121" w:lineRule="exact"/>
        <w:rPr>
          <w:sz w:val="20"/>
          <w:szCs w:val="20"/>
        </w:rPr>
      </w:pPr>
    </w:p>
    <w:p w14:paraId="70B59224" w14:textId="77777777" w:rsidR="00D1587D" w:rsidRDefault="00410D07">
      <w:pPr>
        <w:spacing w:line="279" w:lineRule="auto"/>
        <w:ind w:left="300" w:right="339" w:firstLine="360"/>
        <w:rPr>
          <w:sz w:val="20"/>
          <w:szCs w:val="20"/>
        </w:rPr>
      </w:pPr>
      <w:r>
        <w:rPr>
          <w:rFonts w:ascii="Arial" w:eastAsia="Arial" w:hAnsi="Arial" w:cs="Arial"/>
          <w:sz w:val="17"/>
          <w:szCs w:val="17"/>
        </w:rPr>
        <w:t xml:space="preserve">Upon completion of the Separation, we will be authorized to issue shares of common stock, par value $0.01 per shares, and shares of </w:t>
      </w:r>
      <w:r>
        <w:rPr>
          <w:rFonts w:ascii="Arial" w:eastAsia="Arial" w:hAnsi="Arial" w:cs="Arial"/>
          <w:sz w:val="17"/>
          <w:szCs w:val="17"/>
        </w:rPr>
        <w:t>preferred stock, par value $0.01 per share. Our Board of Directors may authorize the issuance of one or more series of preferred stock and establish, among other things, the rights, preferences and privileges of any such series of preferred stock from time</w:t>
      </w:r>
      <w:r>
        <w:rPr>
          <w:rFonts w:ascii="Arial" w:eastAsia="Arial" w:hAnsi="Arial" w:cs="Arial"/>
          <w:sz w:val="17"/>
          <w:szCs w:val="17"/>
        </w:rPr>
        <w:t xml:space="preserve"> to time without stockholder approval.</w:t>
      </w:r>
    </w:p>
    <w:p w14:paraId="00B470DC" w14:textId="77777777" w:rsidR="00D1587D" w:rsidRDefault="00D1587D">
      <w:pPr>
        <w:spacing w:line="289" w:lineRule="exact"/>
        <w:rPr>
          <w:sz w:val="20"/>
          <w:szCs w:val="20"/>
        </w:rPr>
      </w:pPr>
    </w:p>
    <w:p w14:paraId="255A4C1D" w14:textId="77777777" w:rsidR="00D1587D" w:rsidRDefault="00410D07">
      <w:pPr>
        <w:ind w:left="300"/>
        <w:rPr>
          <w:sz w:val="20"/>
          <w:szCs w:val="20"/>
        </w:rPr>
      </w:pPr>
      <w:r>
        <w:rPr>
          <w:rFonts w:ascii="Arial" w:eastAsia="Arial" w:hAnsi="Arial" w:cs="Arial"/>
          <w:b/>
          <w:bCs/>
          <w:sz w:val="18"/>
          <w:szCs w:val="18"/>
        </w:rPr>
        <w:t>Common Stock</w:t>
      </w:r>
    </w:p>
    <w:p w14:paraId="1426C41D" w14:textId="77777777" w:rsidR="00D1587D" w:rsidRDefault="00D1587D">
      <w:pPr>
        <w:spacing w:line="121" w:lineRule="exact"/>
        <w:rPr>
          <w:sz w:val="20"/>
          <w:szCs w:val="20"/>
        </w:rPr>
      </w:pPr>
    </w:p>
    <w:p w14:paraId="2E3E47C4" w14:textId="77777777" w:rsidR="00D1587D" w:rsidRDefault="00410D07">
      <w:pPr>
        <w:spacing w:line="291" w:lineRule="auto"/>
        <w:ind w:left="1060" w:right="419" w:hanging="404"/>
        <w:rPr>
          <w:sz w:val="20"/>
          <w:szCs w:val="20"/>
        </w:rPr>
      </w:pPr>
      <w:r>
        <w:rPr>
          <w:rFonts w:ascii="Arial" w:eastAsia="Arial" w:hAnsi="Arial" w:cs="Arial"/>
          <w:i/>
          <w:iCs/>
          <w:sz w:val="16"/>
          <w:szCs w:val="16"/>
        </w:rPr>
        <w:t>Common stock outstanding</w:t>
      </w:r>
      <w:r>
        <w:rPr>
          <w:rFonts w:ascii="Arial" w:eastAsia="Arial" w:hAnsi="Arial" w:cs="Arial"/>
          <w:sz w:val="16"/>
          <w:szCs w:val="16"/>
        </w:rPr>
        <w:t>. Upon completion of the Separation, we expect there will be approximately</w:t>
      </w:r>
      <w:r>
        <w:rPr>
          <w:rFonts w:ascii="Arial" w:eastAsia="Arial" w:hAnsi="Arial" w:cs="Arial"/>
          <w:i/>
          <w:iCs/>
          <w:sz w:val="16"/>
          <w:szCs w:val="16"/>
        </w:rPr>
        <w:t xml:space="preserve"> </w:t>
      </w:r>
      <w:r>
        <w:rPr>
          <w:rFonts w:ascii="Arial" w:eastAsia="Arial" w:hAnsi="Arial" w:cs="Arial"/>
          <w:sz w:val="16"/>
          <w:szCs w:val="16"/>
        </w:rPr>
        <w:t>shares of our common stock outstanding, to be held of record by stockholders based upon approximately</w:t>
      </w:r>
    </w:p>
    <w:p w14:paraId="26540761" w14:textId="77777777" w:rsidR="00D1587D" w:rsidRDefault="00410D07">
      <w:pPr>
        <w:spacing w:line="253" w:lineRule="auto"/>
        <w:ind w:left="300" w:right="439" w:firstLine="765"/>
        <w:rPr>
          <w:sz w:val="20"/>
          <w:szCs w:val="20"/>
        </w:rPr>
      </w:pPr>
      <w:r>
        <w:rPr>
          <w:rFonts w:ascii="Arial" w:eastAsia="Arial" w:hAnsi="Arial" w:cs="Arial"/>
          <w:sz w:val="18"/>
          <w:szCs w:val="18"/>
        </w:rPr>
        <w:t>s</w:t>
      </w:r>
      <w:r>
        <w:rPr>
          <w:rFonts w:ascii="Arial" w:eastAsia="Arial" w:hAnsi="Arial" w:cs="Arial"/>
          <w:sz w:val="18"/>
          <w:szCs w:val="18"/>
        </w:rPr>
        <w:t>hares of LB common stock outstanding as of , applying the distribution ratio of one share of our common stock for every shares of LB common stock. All outstanding shares of common stock are fully paid and non-assessable, and the shares of common stock to b</w:t>
      </w:r>
      <w:r>
        <w:rPr>
          <w:rFonts w:ascii="Arial" w:eastAsia="Arial" w:hAnsi="Arial" w:cs="Arial"/>
          <w:sz w:val="18"/>
          <w:szCs w:val="18"/>
        </w:rPr>
        <w:t>e issued upon completion of the Distribution will be fully paid and non-assessable.</w:t>
      </w:r>
    </w:p>
    <w:p w14:paraId="00ABD5EB" w14:textId="77777777" w:rsidR="00D1587D" w:rsidRDefault="00D1587D">
      <w:pPr>
        <w:spacing w:line="85" w:lineRule="exact"/>
        <w:rPr>
          <w:sz w:val="20"/>
          <w:szCs w:val="20"/>
        </w:rPr>
      </w:pPr>
    </w:p>
    <w:p w14:paraId="5B3A40A5" w14:textId="77777777" w:rsidR="00D1587D" w:rsidRDefault="00410D07">
      <w:pPr>
        <w:spacing w:line="293" w:lineRule="auto"/>
        <w:ind w:left="300" w:right="399" w:firstLine="360"/>
        <w:rPr>
          <w:sz w:val="20"/>
          <w:szCs w:val="20"/>
        </w:rPr>
      </w:pPr>
      <w:r>
        <w:rPr>
          <w:rFonts w:ascii="Arial" w:eastAsia="Arial" w:hAnsi="Arial" w:cs="Arial"/>
          <w:i/>
          <w:iCs/>
          <w:sz w:val="16"/>
          <w:szCs w:val="16"/>
        </w:rPr>
        <w:t>Voting rights</w:t>
      </w:r>
      <w:r>
        <w:rPr>
          <w:rFonts w:ascii="Arial" w:eastAsia="Arial" w:hAnsi="Arial" w:cs="Arial"/>
          <w:sz w:val="16"/>
          <w:szCs w:val="16"/>
        </w:rPr>
        <w:t>. The holders of common stock will be entitled to one vote per share on all matters to be voted on</w:t>
      </w:r>
      <w:r>
        <w:rPr>
          <w:rFonts w:ascii="Arial" w:eastAsia="Arial" w:hAnsi="Arial" w:cs="Arial"/>
          <w:i/>
          <w:iCs/>
          <w:sz w:val="16"/>
          <w:szCs w:val="16"/>
        </w:rPr>
        <w:t xml:space="preserve"> </w:t>
      </w:r>
      <w:r>
        <w:rPr>
          <w:rFonts w:ascii="Arial" w:eastAsia="Arial" w:hAnsi="Arial" w:cs="Arial"/>
          <w:sz w:val="16"/>
          <w:szCs w:val="16"/>
        </w:rPr>
        <w:t>by stockholders. Generally, all matters to be voted on by s</w:t>
      </w:r>
      <w:r>
        <w:rPr>
          <w:rFonts w:ascii="Arial" w:eastAsia="Arial" w:hAnsi="Arial" w:cs="Arial"/>
          <w:sz w:val="16"/>
          <w:szCs w:val="16"/>
        </w:rPr>
        <w:t xml:space="preserve">tockholders must be approved by the affirmative vote of the holders of a majority of the votes cast at the meeting on such matter. Directors will be elected by the affirmative vote of the holders of a majority of the votes cast at the meeting with respect </w:t>
      </w:r>
      <w:r>
        <w:rPr>
          <w:rFonts w:ascii="Arial" w:eastAsia="Arial" w:hAnsi="Arial" w:cs="Arial"/>
          <w:sz w:val="16"/>
          <w:szCs w:val="16"/>
        </w:rPr>
        <w:t xml:space="preserve">to such director’s election, except that if the number of nominees in any given election exceeds the number of directors to be elected, the directors will be elected by a plurality of the votes cast by holders of shares entitled to vote in the election at </w:t>
      </w:r>
      <w:r>
        <w:rPr>
          <w:rFonts w:ascii="Arial" w:eastAsia="Arial" w:hAnsi="Arial" w:cs="Arial"/>
          <w:sz w:val="16"/>
          <w:szCs w:val="16"/>
        </w:rPr>
        <w:t>the meeting.</w:t>
      </w:r>
    </w:p>
    <w:p w14:paraId="64CED8D6" w14:textId="77777777" w:rsidR="00D1587D" w:rsidRDefault="00D1587D">
      <w:pPr>
        <w:spacing w:line="56" w:lineRule="exact"/>
        <w:rPr>
          <w:sz w:val="20"/>
          <w:szCs w:val="20"/>
        </w:rPr>
      </w:pPr>
    </w:p>
    <w:p w14:paraId="6E618419" w14:textId="77777777" w:rsidR="00D1587D" w:rsidRDefault="00410D07">
      <w:pPr>
        <w:spacing w:line="263" w:lineRule="auto"/>
        <w:ind w:left="300" w:right="419" w:firstLine="360"/>
        <w:jc w:val="both"/>
        <w:rPr>
          <w:sz w:val="20"/>
          <w:szCs w:val="20"/>
        </w:rPr>
      </w:pPr>
      <w:r>
        <w:rPr>
          <w:rFonts w:ascii="Arial" w:eastAsia="Arial" w:hAnsi="Arial" w:cs="Arial"/>
          <w:i/>
          <w:iCs/>
          <w:sz w:val="18"/>
          <w:szCs w:val="18"/>
        </w:rPr>
        <w:t>Dividends</w:t>
      </w:r>
      <w:r>
        <w:rPr>
          <w:rFonts w:ascii="Arial" w:eastAsia="Arial" w:hAnsi="Arial" w:cs="Arial"/>
          <w:sz w:val="18"/>
          <w:szCs w:val="18"/>
        </w:rPr>
        <w:t>. Subject to the rights of any shares of preferred stock which may at the time be outstanding, holders</w:t>
      </w:r>
      <w:r>
        <w:rPr>
          <w:rFonts w:ascii="Arial" w:eastAsia="Arial" w:hAnsi="Arial" w:cs="Arial"/>
          <w:i/>
          <w:iCs/>
          <w:sz w:val="18"/>
          <w:szCs w:val="18"/>
        </w:rPr>
        <w:t xml:space="preserve"> </w:t>
      </w:r>
      <w:r>
        <w:rPr>
          <w:rFonts w:ascii="Arial" w:eastAsia="Arial" w:hAnsi="Arial" w:cs="Arial"/>
          <w:sz w:val="18"/>
          <w:szCs w:val="18"/>
        </w:rPr>
        <w:t>of common stock are entitled to receive dividends as may be declared from time to time by our Board of Directors out of funds lega</w:t>
      </w:r>
      <w:r>
        <w:rPr>
          <w:rFonts w:ascii="Arial" w:eastAsia="Arial" w:hAnsi="Arial" w:cs="Arial"/>
          <w:sz w:val="18"/>
          <w:szCs w:val="18"/>
        </w:rPr>
        <w:t>lly available therefor.</w:t>
      </w:r>
    </w:p>
    <w:p w14:paraId="2E15A4AD" w14:textId="77777777" w:rsidR="00D1587D" w:rsidRDefault="00D1587D">
      <w:pPr>
        <w:spacing w:line="76" w:lineRule="exact"/>
        <w:rPr>
          <w:sz w:val="20"/>
          <w:szCs w:val="20"/>
        </w:rPr>
      </w:pPr>
    </w:p>
    <w:p w14:paraId="0F5B426A" w14:textId="77777777" w:rsidR="00D1587D" w:rsidRDefault="00410D07">
      <w:pPr>
        <w:spacing w:line="263" w:lineRule="auto"/>
        <w:ind w:left="300" w:right="359" w:firstLine="360"/>
        <w:rPr>
          <w:sz w:val="20"/>
          <w:szCs w:val="20"/>
        </w:rPr>
      </w:pPr>
      <w:r>
        <w:rPr>
          <w:rFonts w:ascii="Arial" w:eastAsia="Arial" w:hAnsi="Arial" w:cs="Arial"/>
          <w:i/>
          <w:iCs/>
          <w:sz w:val="18"/>
          <w:szCs w:val="18"/>
        </w:rPr>
        <w:t>Rights upon liquidation</w:t>
      </w:r>
      <w:r>
        <w:rPr>
          <w:rFonts w:ascii="Arial" w:eastAsia="Arial" w:hAnsi="Arial" w:cs="Arial"/>
          <w:sz w:val="18"/>
          <w:szCs w:val="18"/>
        </w:rPr>
        <w:t>. In the event of liquidation or dissolution of our company, each share of common stock</w:t>
      </w:r>
      <w:r>
        <w:rPr>
          <w:rFonts w:ascii="Arial" w:eastAsia="Arial" w:hAnsi="Arial" w:cs="Arial"/>
          <w:i/>
          <w:iCs/>
          <w:sz w:val="18"/>
          <w:szCs w:val="18"/>
        </w:rPr>
        <w:t xml:space="preserve"> </w:t>
      </w:r>
      <w:r>
        <w:rPr>
          <w:rFonts w:ascii="Arial" w:eastAsia="Arial" w:hAnsi="Arial" w:cs="Arial"/>
          <w:sz w:val="18"/>
          <w:szCs w:val="18"/>
        </w:rPr>
        <w:t>is entitled to share ratably in any distribution of our assets after payment or providing for the payment of liabilities</w:t>
      </w:r>
      <w:r>
        <w:rPr>
          <w:rFonts w:ascii="Arial" w:eastAsia="Arial" w:hAnsi="Arial" w:cs="Arial"/>
          <w:sz w:val="18"/>
          <w:szCs w:val="18"/>
        </w:rPr>
        <w:t xml:space="preserve"> and the liquidation preference of any outstanding preferred stock.</w:t>
      </w:r>
    </w:p>
    <w:p w14:paraId="3B0F8D83" w14:textId="77777777" w:rsidR="00D1587D" w:rsidRDefault="00D1587D">
      <w:pPr>
        <w:spacing w:line="76" w:lineRule="exact"/>
        <w:rPr>
          <w:sz w:val="20"/>
          <w:szCs w:val="20"/>
        </w:rPr>
      </w:pPr>
    </w:p>
    <w:p w14:paraId="5EB4AC7C" w14:textId="77777777" w:rsidR="00D1587D" w:rsidRDefault="00410D07">
      <w:pPr>
        <w:spacing w:line="259" w:lineRule="auto"/>
        <w:ind w:left="300" w:right="419" w:firstLine="360"/>
        <w:rPr>
          <w:sz w:val="20"/>
          <w:szCs w:val="20"/>
        </w:rPr>
      </w:pPr>
      <w:r>
        <w:rPr>
          <w:rFonts w:ascii="Arial" w:eastAsia="Arial" w:hAnsi="Arial" w:cs="Arial"/>
          <w:i/>
          <w:iCs/>
          <w:sz w:val="18"/>
          <w:szCs w:val="18"/>
        </w:rPr>
        <w:t>Other rights</w:t>
      </w:r>
      <w:r>
        <w:rPr>
          <w:rFonts w:ascii="Arial" w:eastAsia="Arial" w:hAnsi="Arial" w:cs="Arial"/>
          <w:sz w:val="18"/>
          <w:szCs w:val="18"/>
        </w:rPr>
        <w:t>. Holders of our common stock have no preferential, preemptive, conversion or redemption rights.</w:t>
      </w:r>
      <w:r>
        <w:rPr>
          <w:rFonts w:ascii="Arial" w:eastAsia="Arial" w:hAnsi="Arial" w:cs="Arial"/>
          <w:i/>
          <w:iCs/>
          <w:sz w:val="18"/>
          <w:szCs w:val="18"/>
        </w:rPr>
        <w:t xml:space="preserve"> </w:t>
      </w:r>
      <w:r>
        <w:rPr>
          <w:rFonts w:ascii="Arial" w:eastAsia="Arial" w:hAnsi="Arial" w:cs="Arial"/>
          <w:sz w:val="18"/>
          <w:szCs w:val="18"/>
        </w:rPr>
        <w:t xml:space="preserve">The rights, preferences and privileges of the holders of our common stock </w:t>
      </w:r>
      <w:r>
        <w:rPr>
          <w:rFonts w:ascii="Arial" w:eastAsia="Arial" w:hAnsi="Arial" w:cs="Arial"/>
          <w:sz w:val="18"/>
          <w:szCs w:val="18"/>
        </w:rPr>
        <w:t>will be subject to, and may be adversely affected by, the rights of the holders of shares of any series of preferred stock that our Board of Directors may authorize and issue in the future.</w:t>
      </w:r>
    </w:p>
    <w:p w14:paraId="5449FF57" w14:textId="77777777" w:rsidR="00D1587D" w:rsidRDefault="00D1587D">
      <w:pPr>
        <w:spacing w:line="304" w:lineRule="exact"/>
        <w:rPr>
          <w:sz w:val="20"/>
          <w:szCs w:val="20"/>
        </w:rPr>
      </w:pPr>
    </w:p>
    <w:p w14:paraId="35D594D5" w14:textId="77777777" w:rsidR="00D1587D" w:rsidRDefault="00410D07">
      <w:pPr>
        <w:ind w:left="300"/>
        <w:rPr>
          <w:sz w:val="20"/>
          <w:szCs w:val="20"/>
        </w:rPr>
      </w:pPr>
      <w:r>
        <w:rPr>
          <w:rFonts w:ascii="Arial" w:eastAsia="Arial" w:hAnsi="Arial" w:cs="Arial"/>
          <w:b/>
          <w:bCs/>
          <w:sz w:val="18"/>
          <w:szCs w:val="18"/>
        </w:rPr>
        <w:t>Preferred Stock</w:t>
      </w:r>
    </w:p>
    <w:p w14:paraId="5DBB7C41" w14:textId="77777777" w:rsidR="00D1587D" w:rsidRDefault="00D1587D">
      <w:pPr>
        <w:spacing w:line="121" w:lineRule="exact"/>
        <w:rPr>
          <w:sz w:val="20"/>
          <w:szCs w:val="20"/>
        </w:rPr>
      </w:pPr>
    </w:p>
    <w:p w14:paraId="7C9AB163" w14:textId="77777777" w:rsidR="00D1587D" w:rsidRDefault="00410D07">
      <w:pPr>
        <w:spacing w:line="293" w:lineRule="auto"/>
        <w:ind w:left="300" w:right="499" w:firstLine="360"/>
        <w:rPr>
          <w:sz w:val="20"/>
          <w:szCs w:val="20"/>
        </w:rPr>
      </w:pPr>
      <w:r>
        <w:rPr>
          <w:rFonts w:ascii="Arial" w:eastAsia="Arial" w:hAnsi="Arial" w:cs="Arial"/>
          <w:sz w:val="16"/>
          <w:szCs w:val="16"/>
        </w:rPr>
        <w:t>Our Board of Directors will have the authority t</w:t>
      </w:r>
      <w:r>
        <w:rPr>
          <w:rFonts w:ascii="Arial" w:eastAsia="Arial" w:hAnsi="Arial" w:cs="Arial"/>
          <w:sz w:val="16"/>
          <w:szCs w:val="16"/>
        </w:rPr>
        <w:t>o issue, without further vote or action by our stockholders, preferred stock in one or more series. Subject to the limitations prescribed by Delaware law and our amended and restated certificate of incorporation, our Board of Directors may fix the designat</w:t>
      </w:r>
      <w:r>
        <w:rPr>
          <w:rFonts w:ascii="Arial" w:eastAsia="Arial" w:hAnsi="Arial" w:cs="Arial"/>
          <w:sz w:val="16"/>
          <w:szCs w:val="16"/>
        </w:rPr>
        <w:t>ions, powers, preferences and relative, participating, optional or other rights, if any, and the qualifications, limitations or restrictions thereof, including dividend rights, dividend rates, conversion rights, voting rights, terms of redemption, redempti</w:t>
      </w:r>
      <w:r>
        <w:rPr>
          <w:rFonts w:ascii="Arial" w:eastAsia="Arial" w:hAnsi="Arial" w:cs="Arial"/>
          <w:sz w:val="16"/>
          <w:szCs w:val="16"/>
        </w:rPr>
        <w:t>on prices, liquidation preferences and the number of shares constituting any series or the designation of such series.</w:t>
      </w:r>
    </w:p>
    <w:p w14:paraId="559412C2" w14:textId="77777777" w:rsidR="00D1587D" w:rsidRDefault="00D1587D">
      <w:pPr>
        <w:spacing w:line="164" w:lineRule="exact"/>
        <w:rPr>
          <w:sz w:val="20"/>
          <w:szCs w:val="20"/>
        </w:rPr>
      </w:pPr>
    </w:p>
    <w:p w14:paraId="2CA0769E" w14:textId="77777777" w:rsidR="00D1587D" w:rsidRDefault="00410D07">
      <w:pPr>
        <w:jc w:val="center"/>
        <w:rPr>
          <w:sz w:val="20"/>
          <w:szCs w:val="20"/>
        </w:rPr>
      </w:pPr>
      <w:r>
        <w:rPr>
          <w:rFonts w:ascii="Arial" w:eastAsia="Arial" w:hAnsi="Arial" w:cs="Arial"/>
          <w:sz w:val="18"/>
          <w:szCs w:val="18"/>
        </w:rPr>
        <w:t>132</w:t>
      </w:r>
    </w:p>
    <w:p w14:paraId="22F35295" w14:textId="77777777" w:rsidR="00D1587D" w:rsidRDefault="00410D07">
      <w:pPr>
        <w:spacing w:line="20" w:lineRule="exact"/>
        <w:rPr>
          <w:sz w:val="20"/>
          <w:szCs w:val="20"/>
        </w:rPr>
      </w:pPr>
      <w:r>
        <w:rPr>
          <w:noProof/>
          <w:sz w:val="20"/>
          <w:szCs w:val="20"/>
        </w:rPr>
        <w:drawing>
          <wp:anchor distT="0" distB="0" distL="114300" distR="114300" simplePos="0" relativeHeight="251984896" behindDoc="1" locked="0" layoutInCell="0" allowOverlap="1" wp14:anchorId="0EA00D43" wp14:editId="2D297279">
            <wp:simplePos x="0" y="0"/>
            <wp:positionH relativeFrom="column">
              <wp:posOffset>-636905</wp:posOffset>
            </wp:positionH>
            <wp:positionV relativeFrom="paragraph">
              <wp:posOffset>134620</wp:posOffset>
            </wp:positionV>
            <wp:extent cx="6995160" cy="17145"/>
            <wp:effectExtent l="0" t="0" r="0" b="0"/>
            <wp:wrapNone/>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BB3E708" w14:textId="77777777" w:rsidR="00D1587D" w:rsidRDefault="00D1587D">
      <w:pPr>
        <w:sectPr w:rsidR="00D1587D">
          <w:pgSz w:w="11900" w:h="16838"/>
          <w:pgMar w:top="265" w:right="1440" w:bottom="1440" w:left="1440" w:header="0" w:footer="0" w:gutter="0"/>
          <w:cols w:space="720" w:equalWidth="0">
            <w:col w:w="9019"/>
          </w:cols>
        </w:sectPr>
      </w:pPr>
    </w:p>
    <w:bookmarkStart w:id="390" w:name="page391"/>
    <w:bookmarkEnd w:id="390"/>
    <w:p w14:paraId="6FB313F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412DB4E" w14:textId="77777777" w:rsidR="00D1587D" w:rsidRDefault="00D1587D">
      <w:pPr>
        <w:spacing w:line="131" w:lineRule="exact"/>
        <w:rPr>
          <w:sz w:val="20"/>
          <w:szCs w:val="20"/>
        </w:rPr>
      </w:pPr>
    </w:p>
    <w:p w14:paraId="227405B2" w14:textId="77777777" w:rsidR="00D1587D" w:rsidRDefault="00410D07">
      <w:pPr>
        <w:spacing w:line="275" w:lineRule="auto"/>
        <w:ind w:left="300" w:right="319" w:firstLine="360"/>
        <w:rPr>
          <w:sz w:val="20"/>
          <w:szCs w:val="20"/>
        </w:rPr>
      </w:pPr>
      <w:r>
        <w:rPr>
          <w:rFonts w:ascii="Arial" w:eastAsia="Arial" w:hAnsi="Arial" w:cs="Arial"/>
          <w:sz w:val="17"/>
          <w:szCs w:val="17"/>
        </w:rPr>
        <w:t xml:space="preserve">The issuance of preferred stock could adversely affect the </w:t>
      </w:r>
      <w:r>
        <w:rPr>
          <w:rFonts w:ascii="Arial" w:eastAsia="Arial" w:hAnsi="Arial" w:cs="Arial"/>
          <w:sz w:val="17"/>
          <w:szCs w:val="17"/>
        </w:rPr>
        <w:t>voting power of the holders of the common stock and the likelihood that such holders will receive dividend payments and payments upon liquidation. In addition, the issuance of preferred stock may have the effect of delaying, deferring or preventing a chang</w:t>
      </w:r>
      <w:r>
        <w:rPr>
          <w:rFonts w:ascii="Arial" w:eastAsia="Arial" w:hAnsi="Arial" w:cs="Arial"/>
          <w:sz w:val="17"/>
          <w:szCs w:val="17"/>
        </w:rPr>
        <w:t>e in control of VS without further action by our stockholders and may adversely affect the voting and other rights of the holders of common stock. At present, VS has no plans to issue any of the preferred stock.</w:t>
      </w:r>
    </w:p>
    <w:p w14:paraId="580B46A5" w14:textId="77777777" w:rsidR="00D1587D" w:rsidRDefault="00D1587D">
      <w:pPr>
        <w:spacing w:line="172" w:lineRule="exact"/>
        <w:rPr>
          <w:sz w:val="20"/>
          <w:szCs w:val="20"/>
        </w:rPr>
      </w:pPr>
    </w:p>
    <w:p w14:paraId="43A1FEA2" w14:textId="77777777" w:rsidR="00D1587D" w:rsidRDefault="00410D07">
      <w:pPr>
        <w:ind w:left="300"/>
        <w:rPr>
          <w:sz w:val="20"/>
          <w:szCs w:val="20"/>
        </w:rPr>
      </w:pPr>
      <w:r>
        <w:rPr>
          <w:rFonts w:ascii="Arial" w:eastAsia="Arial" w:hAnsi="Arial" w:cs="Arial"/>
          <w:b/>
          <w:bCs/>
          <w:sz w:val="18"/>
          <w:szCs w:val="18"/>
        </w:rPr>
        <w:t>Election and Removal of Directors</w:t>
      </w:r>
    </w:p>
    <w:p w14:paraId="38B26CC3" w14:textId="77777777" w:rsidR="00D1587D" w:rsidRDefault="00D1587D">
      <w:pPr>
        <w:spacing w:line="121" w:lineRule="exact"/>
        <w:rPr>
          <w:sz w:val="20"/>
          <w:szCs w:val="20"/>
        </w:rPr>
      </w:pPr>
    </w:p>
    <w:p w14:paraId="30033B80" w14:textId="77777777" w:rsidR="00D1587D" w:rsidRDefault="00410D07">
      <w:pPr>
        <w:spacing w:line="269" w:lineRule="auto"/>
        <w:ind w:left="300" w:right="339" w:firstLine="360"/>
        <w:rPr>
          <w:sz w:val="20"/>
          <w:szCs w:val="20"/>
        </w:rPr>
      </w:pPr>
      <w:r>
        <w:rPr>
          <w:rFonts w:ascii="Arial" w:eastAsia="Arial" w:hAnsi="Arial" w:cs="Arial"/>
          <w:sz w:val="17"/>
          <w:szCs w:val="17"/>
        </w:rPr>
        <w:t xml:space="preserve">We </w:t>
      </w:r>
      <w:r>
        <w:rPr>
          <w:rFonts w:ascii="Arial" w:eastAsia="Arial" w:hAnsi="Arial" w:cs="Arial"/>
          <w:sz w:val="17"/>
          <w:szCs w:val="17"/>
        </w:rPr>
        <w:t>expect that our Board of Directors will initially consist of seven directors, and thereafter, the number of directors will be fixed exclusively by one or more resolutions adopted from time to time solely by the affirmative vote of a majority of the Board o</w:t>
      </w:r>
      <w:r>
        <w:rPr>
          <w:rFonts w:ascii="Arial" w:eastAsia="Arial" w:hAnsi="Arial" w:cs="Arial"/>
          <w:sz w:val="17"/>
          <w:szCs w:val="17"/>
        </w:rPr>
        <w:t>f Directors. Each director shall be elected by the affirmative vote of the holders of a majority of the votes cast at the meeting with respect to such director’s election at which a quorum is present, except that if the number of nominees exceeds the numbe</w:t>
      </w:r>
      <w:r>
        <w:rPr>
          <w:rFonts w:ascii="Arial" w:eastAsia="Arial" w:hAnsi="Arial" w:cs="Arial"/>
          <w:sz w:val="17"/>
          <w:szCs w:val="17"/>
        </w:rPr>
        <w:t>r of directors to be elected, the directors shall be elected by a plurality of the votes cast by holders of shares entitled to vote in the election at the meeting. In order for an incumbent director to become a nominee for further service on the Board of D</w:t>
      </w:r>
      <w:r>
        <w:rPr>
          <w:rFonts w:ascii="Arial" w:eastAsia="Arial" w:hAnsi="Arial" w:cs="Arial"/>
          <w:sz w:val="17"/>
          <w:szCs w:val="17"/>
        </w:rPr>
        <w:t xml:space="preserve">irectors, or for any other person to become a nominee for service on the Board of Directors, such director or other person must submit an irrevocable resignation that will be effective upon (a) such director or other person not receiving a majority of the </w:t>
      </w:r>
      <w:r>
        <w:rPr>
          <w:rFonts w:ascii="Arial" w:eastAsia="Arial" w:hAnsi="Arial" w:cs="Arial"/>
          <w:sz w:val="17"/>
          <w:szCs w:val="17"/>
        </w:rPr>
        <w:t>votes cast in an election that is not a contested election, and (b) the acceptance of such director’s or other person’s resignation by the Board of Directors.</w:t>
      </w:r>
    </w:p>
    <w:p w14:paraId="070E5BFE" w14:textId="77777777" w:rsidR="00D1587D" w:rsidRDefault="00D1587D">
      <w:pPr>
        <w:spacing w:line="74" w:lineRule="exact"/>
        <w:rPr>
          <w:sz w:val="20"/>
          <w:szCs w:val="20"/>
        </w:rPr>
      </w:pPr>
    </w:p>
    <w:p w14:paraId="4CEBE57B" w14:textId="77777777" w:rsidR="00D1587D" w:rsidRDefault="00410D07">
      <w:pPr>
        <w:spacing w:line="279" w:lineRule="auto"/>
        <w:ind w:left="300" w:right="379" w:firstLine="360"/>
        <w:rPr>
          <w:sz w:val="20"/>
          <w:szCs w:val="20"/>
        </w:rPr>
      </w:pPr>
      <w:r>
        <w:rPr>
          <w:rFonts w:ascii="Arial" w:eastAsia="Arial" w:hAnsi="Arial" w:cs="Arial"/>
          <w:sz w:val="17"/>
          <w:szCs w:val="17"/>
        </w:rPr>
        <w:t>Directors will be removable, with or without cause, by the affirmative vote of the holders of no</w:t>
      </w:r>
      <w:r>
        <w:rPr>
          <w:rFonts w:ascii="Arial" w:eastAsia="Arial" w:hAnsi="Arial" w:cs="Arial"/>
          <w:sz w:val="17"/>
          <w:szCs w:val="17"/>
        </w:rPr>
        <w:t>t less than a majority of the outstanding shares of our capital stock entitled to vote generally in the election of directors, voting together as a single class. Any vacancy occurring on the Board of Directors and any newly created directorship may be fill</w:t>
      </w:r>
      <w:r>
        <w:rPr>
          <w:rFonts w:ascii="Arial" w:eastAsia="Arial" w:hAnsi="Arial" w:cs="Arial"/>
          <w:sz w:val="17"/>
          <w:szCs w:val="17"/>
        </w:rPr>
        <w:t>ed only by a majority of the remaining directors in office (although less than a quorum).</w:t>
      </w:r>
    </w:p>
    <w:p w14:paraId="10CF8118" w14:textId="77777777" w:rsidR="00D1587D" w:rsidRDefault="00D1587D">
      <w:pPr>
        <w:spacing w:line="167" w:lineRule="exact"/>
        <w:rPr>
          <w:sz w:val="20"/>
          <w:szCs w:val="20"/>
        </w:rPr>
      </w:pPr>
    </w:p>
    <w:p w14:paraId="03982E4B" w14:textId="77777777" w:rsidR="00D1587D" w:rsidRDefault="00410D07">
      <w:pPr>
        <w:ind w:left="300"/>
        <w:rPr>
          <w:sz w:val="20"/>
          <w:szCs w:val="20"/>
        </w:rPr>
      </w:pPr>
      <w:r>
        <w:rPr>
          <w:rFonts w:ascii="Arial" w:eastAsia="Arial" w:hAnsi="Arial" w:cs="Arial"/>
          <w:b/>
          <w:bCs/>
          <w:sz w:val="18"/>
          <w:szCs w:val="18"/>
        </w:rPr>
        <w:t>Annual Election of Directors</w:t>
      </w:r>
    </w:p>
    <w:p w14:paraId="0034AC0C" w14:textId="77777777" w:rsidR="00D1587D" w:rsidRDefault="00D1587D">
      <w:pPr>
        <w:spacing w:line="121" w:lineRule="exact"/>
        <w:rPr>
          <w:sz w:val="20"/>
          <w:szCs w:val="20"/>
        </w:rPr>
      </w:pPr>
    </w:p>
    <w:p w14:paraId="7FB8EFB1" w14:textId="77777777" w:rsidR="00D1587D" w:rsidRDefault="00410D07">
      <w:pPr>
        <w:spacing w:line="263" w:lineRule="auto"/>
        <w:ind w:left="300" w:right="599" w:firstLine="360"/>
        <w:rPr>
          <w:sz w:val="20"/>
          <w:szCs w:val="20"/>
        </w:rPr>
      </w:pPr>
      <w:r>
        <w:rPr>
          <w:rFonts w:ascii="Arial" w:eastAsia="Arial" w:hAnsi="Arial" w:cs="Arial"/>
          <w:sz w:val="18"/>
          <w:szCs w:val="18"/>
        </w:rPr>
        <w:t>Each director will be elected annually by the stockholders at each annual meeting of stockholders for a term expiring at the next annua</w:t>
      </w:r>
      <w:r>
        <w:rPr>
          <w:rFonts w:ascii="Arial" w:eastAsia="Arial" w:hAnsi="Arial" w:cs="Arial"/>
          <w:sz w:val="18"/>
          <w:szCs w:val="18"/>
        </w:rPr>
        <w:t>l meeting of stockholders. See “Management—Board of Directors Following the Separation.”</w:t>
      </w:r>
    </w:p>
    <w:p w14:paraId="74D0675D" w14:textId="77777777" w:rsidR="00D1587D" w:rsidRDefault="00D1587D">
      <w:pPr>
        <w:spacing w:line="180" w:lineRule="exact"/>
        <w:rPr>
          <w:sz w:val="20"/>
          <w:szCs w:val="20"/>
        </w:rPr>
      </w:pPr>
    </w:p>
    <w:p w14:paraId="7A1A51FE" w14:textId="77777777" w:rsidR="00D1587D" w:rsidRDefault="00410D07">
      <w:pPr>
        <w:ind w:left="300"/>
        <w:rPr>
          <w:sz w:val="20"/>
          <w:szCs w:val="20"/>
        </w:rPr>
      </w:pPr>
      <w:r>
        <w:rPr>
          <w:rFonts w:ascii="Arial" w:eastAsia="Arial" w:hAnsi="Arial" w:cs="Arial"/>
          <w:b/>
          <w:bCs/>
          <w:sz w:val="18"/>
          <w:szCs w:val="18"/>
        </w:rPr>
        <w:t>Limits on Stockholder Action by Written Consent</w:t>
      </w:r>
    </w:p>
    <w:p w14:paraId="5EC87D2D" w14:textId="77777777" w:rsidR="00D1587D" w:rsidRDefault="00D1587D">
      <w:pPr>
        <w:spacing w:line="121" w:lineRule="exact"/>
        <w:rPr>
          <w:sz w:val="20"/>
          <w:szCs w:val="20"/>
        </w:rPr>
      </w:pPr>
    </w:p>
    <w:p w14:paraId="4C770395" w14:textId="77777777" w:rsidR="00D1587D" w:rsidRDefault="00410D07">
      <w:pPr>
        <w:spacing w:line="342" w:lineRule="auto"/>
        <w:ind w:left="300" w:right="819" w:firstLine="360"/>
        <w:rPr>
          <w:sz w:val="20"/>
          <w:szCs w:val="20"/>
        </w:rPr>
      </w:pPr>
      <w:r>
        <w:rPr>
          <w:rFonts w:ascii="Arial" w:eastAsia="Arial" w:hAnsi="Arial" w:cs="Arial"/>
          <w:sz w:val="16"/>
          <w:szCs w:val="16"/>
        </w:rPr>
        <w:t>Our amended and restated certificate of incorporation and amended and restated bylaws will provide that holders of ou</w:t>
      </w:r>
      <w:r>
        <w:rPr>
          <w:rFonts w:ascii="Arial" w:eastAsia="Arial" w:hAnsi="Arial" w:cs="Arial"/>
          <w:sz w:val="16"/>
          <w:szCs w:val="16"/>
        </w:rPr>
        <w:t>r common stock will not be able to act by written consent without a stockholder meeting.</w:t>
      </w:r>
    </w:p>
    <w:p w14:paraId="0CD15BF9" w14:textId="77777777" w:rsidR="00D1587D" w:rsidRDefault="00D1587D">
      <w:pPr>
        <w:spacing w:line="120" w:lineRule="exact"/>
        <w:rPr>
          <w:sz w:val="20"/>
          <w:szCs w:val="20"/>
        </w:rPr>
      </w:pPr>
    </w:p>
    <w:p w14:paraId="56C22810" w14:textId="77777777" w:rsidR="00D1587D" w:rsidRDefault="00410D07">
      <w:pPr>
        <w:ind w:left="300"/>
        <w:rPr>
          <w:sz w:val="20"/>
          <w:szCs w:val="20"/>
        </w:rPr>
      </w:pPr>
      <w:r>
        <w:rPr>
          <w:rFonts w:ascii="Arial" w:eastAsia="Arial" w:hAnsi="Arial" w:cs="Arial"/>
          <w:b/>
          <w:bCs/>
          <w:sz w:val="18"/>
          <w:szCs w:val="18"/>
        </w:rPr>
        <w:t>Special Meetings</w:t>
      </w:r>
    </w:p>
    <w:p w14:paraId="7187C806" w14:textId="77777777" w:rsidR="00D1587D" w:rsidRDefault="00D1587D">
      <w:pPr>
        <w:spacing w:line="121" w:lineRule="exact"/>
        <w:rPr>
          <w:sz w:val="20"/>
          <w:szCs w:val="20"/>
        </w:rPr>
      </w:pPr>
    </w:p>
    <w:p w14:paraId="011182B3" w14:textId="77777777" w:rsidR="00D1587D" w:rsidRDefault="00410D07">
      <w:pPr>
        <w:spacing w:line="257" w:lineRule="auto"/>
        <w:ind w:left="300" w:right="499" w:firstLine="360"/>
        <w:rPr>
          <w:sz w:val="20"/>
          <w:szCs w:val="20"/>
        </w:rPr>
      </w:pPr>
      <w:r>
        <w:rPr>
          <w:rFonts w:ascii="Arial" w:eastAsia="Arial" w:hAnsi="Arial" w:cs="Arial"/>
          <w:sz w:val="18"/>
          <w:szCs w:val="18"/>
        </w:rPr>
        <w:t>Our amended and restated bylaws will provide that special meetings of the stockholders may be called by the chair of the Board of Directors, the Boa</w:t>
      </w:r>
      <w:r>
        <w:rPr>
          <w:rFonts w:ascii="Arial" w:eastAsia="Arial" w:hAnsi="Arial" w:cs="Arial"/>
          <w:sz w:val="18"/>
          <w:szCs w:val="18"/>
        </w:rPr>
        <w:t>rd of Directors pursuant to a resolution adopted by a majority of the total number of directors or, subject to certain procedural requirements, the Board of Directors at the written request to our secretary by the holders of at least 25% of the outstanding</w:t>
      </w:r>
      <w:r>
        <w:rPr>
          <w:rFonts w:ascii="Arial" w:eastAsia="Arial" w:hAnsi="Arial" w:cs="Arial"/>
          <w:sz w:val="18"/>
          <w:szCs w:val="18"/>
        </w:rPr>
        <w:t xml:space="preserve"> shares of VS common stock entitled to vote on the matter or matters entitled to vote at the meeting.</w:t>
      </w:r>
    </w:p>
    <w:p w14:paraId="17CFAB87" w14:textId="77777777" w:rsidR="00D1587D" w:rsidRDefault="00D1587D">
      <w:pPr>
        <w:spacing w:line="80" w:lineRule="exact"/>
        <w:rPr>
          <w:sz w:val="20"/>
          <w:szCs w:val="20"/>
        </w:rPr>
      </w:pPr>
    </w:p>
    <w:p w14:paraId="14F40AC0" w14:textId="77777777" w:rsidR="00D1587D" w:rsidRDefault="00410D07">
      <w:pPr>
        <w:ind w:left="660"/>
        <w:rPr>
          <w:sz w:val="20"/>
          <w:szCs w:val="20"/>
        </w:rPr>
      </w:pPr>
      <w:r>
        <w:rPr>
          <w:rFonts w:ascii="Arial" w:eastAsia="Arial" w:hAnsi="Arial" w:cs="Arial"/>
          <w:sz w:val="16"/>
          <w:szCs w:val="16"/>
        </w:rPr>
        <w:t>Our amended and restated bylaws will not permit a special meeting to be held at the request of stockholders if</w:t>
      </w:r>
    </w:p>
    <w:p w14:paraId="714D2946" w14:textId="77777777" w:rsidR="00D1587D" w:rsidRDefault="00D1587D">
      <w:pPr>
        <w:spacing w:line="46" w:lineRule="exact"/>
        <w:rPr>
          <w:sz w:val="20"/>
          <w:szCs w:val="20"/>
        </w:rPr>
      </w:pPr>
    </w:p>
    <w:p w14:paraId="3835497F" w14:textId="77777777" w:rsidR="00D1587D" w:rsidRDefault="00410D07" w:rsidP="00410D07">
      <w:pPr>
        <w:numPr>
          <w:ilvl w:val="0"/>
          <w:numId w:val="337"/>
        </w:numPr>
        <w:tabs>
          <w:tab w:val="left" w:pos="545"/>
        </w:tabs>
        <w:spacing w:line="286" w:lineRule="auto"/>
        <w:ind w:left="300" w:right="319" w:hanging="8"/>
        <w:rPr>
          <w:rFonts w:ascii="Arial" w:eastAsia="Arial" w:hAnsi="Arial" w:cs="Arial"/>
          <w:sz w:val="16"/>
          <w:szCs w:val="16"/>
        </w:rPr>
      </w:pPr>
      <w:r>
        <w:rPr>
          <w:rFonts w:ascii="Arial" w:eastAsia="Arial" w:hAnsi="Arial" w:cs="Arial"/>
          <w:sz w:val="16"/>
          <w:szCs w:val="16"/>
        </w:rPr>
        <w:t xml:space="preserve">the request does not comply with the </w:t>
      </w:r>
      <w:r>
        <w:rPr>
          <w:rFonts w:ascii="Arial" w:eastAsia="Arial" w:hAnsi="Arial" w:cs="Arial"/>
          <w:sz w:val="16"/>
          <w:szCs w:val="16"/>
        </w:rPr>
        <w:t>procedural requirements set forth in our amended and restated bylaws, (b) the request relates to an item of business that is not a proper subject for stockholder action under the certificate of incorporation or applicable law, (c) the request is received b</w:t>
      </w:r>
      <w:r>
        <w:rPr>
          <w:rFonts w:ascii="Arial" w:eastAsia="Arial" w:hAnsi="Arial" w:cs="Arial"/>
          <w:sz w:val="16"/>
          <w:szCs w:val="16"/>
        </w:rPr>
        <w:t>y VS during the period commencing 90 days prior to the first anniversary of the date of the immediately preceding annual meeting of stockholders and ending on the date of the next annual meeting of stockholders, (d) an annual or special meeting of stockhol</w:t>
      </w:r>
      <w:r>
        <w:rPr>
          <w:rFonts w:ascii="Arial" w:eastAsia="Arial" w:hAnsi="Arial" w:cs="Arial"/>
          <w:sz w:val="16"/>
          <w:szCs w:val="16"/>
        </w:rPr>
        <w:t>ders that included an identical or substantially similar item of business was held not more than 120 days before the request was received by our secretary, (e) the Board of Directors has called or calls for an annual or special meeting of stockholders to b</w:t>
      </w:r>
      <w:r>
        <w:rPr>
          <w:rFonts w:ascii="Arial" w:eastAsia="Arial" w:hAnsi="Arial" w:cs="Arial"/>
          <w:sz w:val="16"/>
          <w:szCs w:val="16"/>
        </w:rPr>
        <w:t>e held within 90 days after the request is received by our secretary and the business to be conducted at such meeting includes an identical or substantially similar item of business or (f) the request was made in a manner that involved a violation of Regul</w:t>
      </w:r>
      <w:r>
        <w:rPr>
          <w:rFonts w:ascii="Arial" w:eastAsia="Arial" w:hAnsi="Arial" w:cs="Arial"/>
          <w:sz w:val="16"/>
          <w:szCs w:val="16"/>
        </w:rPr>
        <w:t>ation 14A under the Exchange Act or other applicable law.</w:t>
      </w:r>
    </w:p>
    <w:p w14:paraId="6F514DF2" w14:textId="77777777" w:rsidR="00D1587D" w:rsidRDefault="00D1587D">
      <w:pPr>
        <w:spacing w:line="165" w:lineRule="exact"/>
        <w:rPr>
          <w:sz w:val="20"/>
          <w:szCs w:val="20"/>
        </w:rPr>
      </w:pPr>
    </w:p>
    <w:p w14:paraId="1D2841B0" w14:textId="77777777" w:rsidR="00D1587D" w:rsidRDefault="00410D07">
      <w:pPr>
        <w:ind w:left="300"/>
        <w:rPr>
          <w:sz w:val="20"/>
          <w:szCs w:val="20"/>
        </w:rPr>
      </w:pPr>
      <w:r>
        <w:rPr>
          <w:rFonts w:ascii="Arial" w:eastAsia="Arial" w:hAnsi="Arial" w:cs="Arial"/>
          <w:b/>
          <w:bCs/>
          <w:sz w:val="18"/>
          <w:szCs w:val="18"/>
        </w:rPr>
        <w:t>Amendment of the Certificate of Incorporation</w:t>
      </w:r>
    </w:p>
    <w:p w14:paraId="2C6CD1AF" w14:textId="77777777" w:rsidR="00D1587D" w:rsidRDefault="00D1587D">
      <w:pPr>
        <w:spacing w:line="121" w:lineRule="exact"/>
        <w:rPr>
          <w:sz w:val="20"/>
          <w:szCs w:val="20"/>
        </w:rPr>
      </w:pPr>
    </w:p>
    <w:p w14:paraId="65B4EAC2" w14:textId="77777777" w:rsidR="00D1587D" w:rsidRDefault="00410D07">
      <w:pPr>
        <w:spacing w:line="277" w:lineRule="auto"/>
        <w:ind w:left="300" w:right="379" w:firstLine="360"/>
        <w:rPr>
          <w:sz w:val="20"/>
          <w:szCs w:val="20"/>
        </w:rPr>
      </w:pPr>
      <w:r>
        <w:rPr>
          <w:rFonts w:ascii="Arial" w:eastAsia="Arial" w:hAnsi="Arial" w:cs="Arial"/>
          <w:sz w:val="18"/>
          <w:szCs w:val="18"/>
        </w:rPr>
        <w:t>Our certificate of incorporation may be amended by stockholders upon the affirmative vote of a majority of the outstanding stock entitled to vote ther</w:t>
      </w:r>
      <w:r>
        <w:rPr>
          <w:rFonts w:ascii="Arial" w:eastAsia="Arial" w:hAnsi="Arial" w:cs="Arial"/>
          <w:sz w:val="18"/>
          <w:szCs w:val="18"/>
        </w:rPr>
        <w:t>eon.</w:t>
      </w:r>
    </w:p>
    <w:p w14:paraId="689EF98D" w14:textId="77777777" w:rsidR="00D1587D" w:rsidRDefault="00D1587D">
      <w:pPr>
        <w:spacing w:line="170" w:lineRule="exact"/>
        <w:rPr>
          <w:sz w:val="20"/>
          <w:szCs w:val="20"/>
        </w:rPr>
      </w:pPr>
    </w:p>
    <w:p w14:paraId="35D897B3" w14:textId="77777777" w:rsidR="00D1587D" w:rsidRDefault="00410D07">
      <w:pPr>
        <w:ind w:right="19"/>
        <w:jc w:val="center"/>
        <w:rPr>
          <w:sz w:val="20"/>
          <w:szCs w:val="20"/>
        </w:rPr>
      </w:pPr>
      <w:r>
        <w:rPr>
          <w:rFonts w:ascii="Arial" w:eastAsia="Arial" w:hAnsi="Arial" w:cs="Arial"/>
          <w:sz w:val="18"/>
          <w:szCs w:val="18"/>
        </w:rPr>
        <w:t>133</w:t>
      </w:r>
    </w:p>
    <w:p w14:paraId="51408312" w14:textId="77777777" w:rsidR="00D1587D" w:rsidRDefault="00410D07">
      <w:pPr>
        <w:spacing w:line="20" w:lineRule="exact"/>
        <w:rPr>
          <w:sz w:val="20"/>
          <w:szCs w:val="20"/>
        </w:rPr>
      </w:pPr>
      <w:r>
        <w:rPr>
          <w:noProof/>
          <w:sz w:val="20"/>
          <w:szCs w:val="20"/>
        </w:rPr>
        <w:drawing>
          <wp:anchor distT="0" distB="0" distL="114300" distR="114300" simplePos="0" relativeHeight="251985920" behindDoc="1" locked="0" layoutInCell="0" allowOverlap="1" wp14:anchorId="2A19491A" wp14:editId="27162651">
            <wp:simplePos x="0" y="0"/>
            <wp:positionH relativeFrom="column">
              <wp:posOffset>-636905</wp:posOffset>
            </wp:positionH>
            <wp:positionV relativeFrom="paragraph">
              <wp:posOffset>134620</wp:posOffset>
            </wp:positionV>
            <wp:extent cx="6995160" cy="17145"/>
            <wp:effectExtent l="0" t="0" r="0" b="0"/>
            <wp:wrapNone/>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2F12999" w14:textId="77777777" w:rsidR="00D1587D" w:rsidRDefault="00D1587D">
      <w:pPr>
        <w:sectPr w:rsidR="00D1587D">
          <w:pgSz w:w="11900" w:h="16838"/>
          <w:pgMar w:top="265" w:right="1440" w:bottom="1440" w:left="1440" w:header="0" w:footer="0" w:gutter="0"/>
          <w:cols w:space="720" w:equalWidth="0">
            <w:col w:w="9019"/>
          </w:cols>
        </w:sectPr>
      </w:pPr>
    </w:p>
    <w:bookmarkStart w:id="391" w:name="page392"/>
    <w:bookmarkEnd w:id="391"/>
    <w:p w14:paraId="68D5A72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77B45F5" w14:textId="77777777" w:rsidR="00D1587D" w:rsidRDefault="00D1587D">
      <w:pPr>
        <w:spacing w:line="127" w:lineRule="exact"/>
        <w:rPr>
          <w:sz w:val="20"/>
          <w:szCs w:val="20"/>
        </w:rPr>
      </w:pPr>
    </w:p>
    <w:p w14:paraId="7F37B552" w14:textId="77777777" w:rsidR="00D1587D" w:rsidRDefault="00410D07">
      <w:pPr>
        <w:ind w:left="300"/>
        <w:rPr>
          <w:sz w:val="20"/>
          <w:szCs w:val="20"/>
        </w:rPr>
      </w:pPr>
      <w:r>
        <w:rPr>
          <w:rFonts w:ascii="Arial" w:eastAsia="Arial" w:hAnsi="Arial" w:cs="Arial"/>
          <w:b/>
          <w:bCs/>
          <w:sz w:val="18"/>
          <w:szCs w:val="18"/>
        </w:rPr>
        <w:t>Amendment of Bylaws</w:t>
      </w:r>
    </w:p>
    <w:p w14:paraId="17340B85" w14:textId="77777777" w:rsidR="00D1587D" w:rsidRDefault="00D1587D">
      <w:pPr>
        <w:spacing w:line="121" w:lineRule="exact"/>
        <w:rPr>
          <w:sz w:val="20"/>
          <w:szCs w:val="20"/>
        </w:rPr>
      </w:pPr>
    </w:p>
    <w:p w14:paraId="42AAA331" w14:textId="77777777" w:rsidR="00D1587D" w:rsidRDefault="00410D07">
      <w:pPr>
        <w:spacing w:line="277" w:lineRule="auto"/>
        <w:ind w:left="300" w:right="919" w:firstLine="360"/>
        <w:rPr>
          <w:sz w:val="20"/>
          <w:szCs w:val="20"/>
        </w:rPr>
      </w:pPr>
      <w:r>
        <w:rPr>
          <w:rFonts w:ascii="Arial" w:eastAsia="Arial" w:hAnsi="Arial" w:cs="Arial"/>
          <w:sz w:val="18"/>
          <w:szCs w:val="18"/>
        </w:rPr>
        <w:t>Our certificate of incorporation grants our Board of Directors the power to amend our bylaws without a stockholder vote.</w:t>
      </w:r>
    </w:p>
    <w:p w14:paraId="27435948" w14:textId="77777777" w:rsidR="00D1587D" w:rsidRDefault="00D1587D">
      <w:pPr>
        <w:spacing w:line="193" w:lineRule="exact"/>
        <w:rPr>
          <w:sz w:val="20"/>
          <w:szCs w:val="20"/>
        </w:rPr>
      </w:pPr>
    </w:p>
    <w:p w14:paraId="5DC4E7C3" w14:textId="77777777" w:rsidR="00D1587D" w:rsidRDefault="00410D07">
      <w:pPr>
        <w:ind w:left="300"/>
        <w:rPr>
          <w:sz w:val="20"/>
          <w:szCs w:val="20"/>
        </w:rPr>
      </w:pPr>
      <w:r>
        <w:rPr>
          <w:rFonts w:ascii="Arial" w:eastAsia="Arial" w:hAnsi="Arial" w:cs="Arial"/>
          <w:b/>
          <w:bCs/>
          <w:sz w:val="18"/>
          <w:szCs w:val="18"/>
        </w:rPr>
        <w:t xml:space="preserve">Requirements for Advance </w:t>
      </w:r>
      <w:r>
        <w:rPr>
          <w:rFonts w:ascii="Arial" w:eastAsia="Arial" w:hAnsi="Arial" w:cs="Arial"/>
          <w:b/>
          <w:bCs/>
          <w:sz w:val="18"/>
          <w:szCs w:val="18"/>
        </w:rPr>
        <w:t>Notification of Stockholder Nomination and Proposals</w:t>
      </w:r>
    </w:p>
    <w:p w14:paraId="65FBFE0D" w14:textId="77777777" w:rsidR="00D1587D" w:rsidRDefault="00D1587D">
      <w:pPr>
        <w:spacing w:line="121" w:lineRule="exact"/>
        <w:rPr>
          <w:sz w:val="20"/>
          <w:szCs w:val="20"/>
        </w:rPr>
      </w:pPr>
    </w:p>
    <w:p w14:paraId="0F4E2D3D" w14:textId="77777777" w:rsidR="00D1587D" w:rsidRDefault="00410D07">
      <w:pPr>
        <w:spacing w:line="268" w:lineRule="auto"/>
        <w:ind w:left="300" w:right="319" w:firstLine="360"/>
        <w:rPr>
          <w:sz w:val="20"/>
          <w:szCs w:val="20"/>
        </w:rPr>
      </w:pPr>
      <w:r>
        <w:rPr>
          <w:rFonts w:ascii="Arial" w:eastAsia="Arial" w:hAnsi="Arial" w:cs="Arial"/>
          <w:sz w:val="17"/>
          <w:szCs w:val="17"/>
        </w:rPr>
        <w:t>Under our amended and restated bylaws, stockholders of record will be able to nominate persons for election to our Board of Directors or bring other business constituting a proper matter for stockholder</w:t>
      </w:r>
      <w:r>
        <w:rPr>
          <w:rFonts w:ascii="Arial" w:eastAsia="Arial" w:hAnsi="Arial" w:cs="Arial"/>
          <w:sz w:val="17"/>
          <w:szCs w:val="17"/>
        </w:rPr>
        <w:t xml:space="preserve"> action only by providing proper notice to our secretary. Proper notice must be generally received not less 90 days nor more than 120 days prior to the first anniversary date of the annual meeting for the preceding year; provided, however, that in the even</w:t>
      </w:r>
      <w:r>
        <w:rPr>
          <w:rFonts w:ascii="Arial" w:eastAsia="Arial" w:hAnsi="Arial" w:cs="Arial"/>
          <w:sz w:val="17"/>
          <w:szCs w:val="17"/>
        </w:rPr>
        <w:t xml:space="preserve">t that the date of the annual meeting is advanced by more than 30 days prior to such anniversary or delayed more than 90 days after such anniversary, then to be timely, such notice must be received no earlier than 120 days prior to such annual meeting and </w:t>
      </w:r>
      <w:r>
        <w:rPr>
          <w:rFonts w:ascii="Arial" w:eastAsia="Arial" w:hAnsi="Arial" w:cs="Arial"/>
          <w:sz w:val="17"/>
          <w:szCs w:val="17"/>
        </w:rPr>
        <w:t>no later than the later of 90 days prior to the date of the meeting or the 10th day following the day on which announcement of the date of the meeting was first made. The notice must include, among other information, the name and address of the stockholder</w:t>
      </w:r>
      <w:r>
        <w:rPr>
          <w:rFonts w:ascii="Arial" w:eastAsia="Arial" w:hAnsi="Arial" w:cs="Arial"/>
          <w:sz w:val="17"/>
          <w:szCs w:val="17"/>
        </w:rPr>
        <w:t xml:space="preserve"> giving the notice, information about the stockholder’s ownership of securities in the company, certain information relating to each person whom such stockholder proposes to nominate for election as a director and a brief description of any business such s</w:t>
      </w:r>
      <w:r>
        <w:rPr>
          <w:rFonts w:ascii="Arial" w:eastAsia="Arial" w:hAnsi="Arial" w:cs="Arial"/>
          <w:sz w:val="17"/>
          <w:szCs w:val="17"/>
        </w:rPr>
        <w:t>tockholder proposes to bring before the meeting and the reason for bringing such proposal. For the purposes of these advance notice provisions of our amended and restated bylaws, the first anniversary date of our 2021 annual meeting shall be deemed to be M</w:t>
      </w:r>
      <w:r>
        <w:rPr>
          <w:rFonts w:ascii="Arial" w:eastAsia="Arial" w:hAnsi="Arial" w:cs="Arial"/>
          <w:sz w:val="17"/>
          <w:szCs w:val="17"/>
        </w:rPr>
        <w:t>ay 20, 2022.</w:t>
      </w:r>
    </w:p>
    <w:p w14:paraId="452A41F2" w14:textId="77777777" w:rsidR="00D1587D" w:rsidRDefault="00D1587D">
      <w:pPr>
        <w:spacing w:line="207" w:lineRule="exact"/>
        <w:rPr>
          <w:sz w:val="20"/>
          <w:szCs w:val="20"/>
        </w:rPr>
      </w:pPr>
    </w:p>
    <w:p w14:paraId="0130B104" w14:textId="77777777" w:rsidR="00D1587D" w:rsidRDefault="00410D07">
      <w:pPr>
        <w:ind w:left="300"/>
        <w:rPr>
          <w:sz w:val="20"/>
          <w:szCs w:val="20"/>
        </w:rPr>
      </w:pPr>
      <w:r>
        <w:rPr>
          <w:rFonts w:ascii="Arial" w:eastAsia="Arial" w:hAnsi="Arial" w:cs="Arial"/>
          <w:b/>
          <w:bCs/>
          <w:sz w:val="18"/>
          <w:szCs w:val="18"/>
        </w:rPr>
        <w:t>Proxy Access</w:t>
      </w:r>
    </w:p>
    <w:p w14:paraId="4403A099" w14:textId="77777777" w:rsidR="00D1587D" w:rsidRDefault="00D1587D">
      <w:pPr>
        <w:spacing w:line="121" w:lineRule="exact"/>
        <w:rPr>
          <w:sz w:val="20"/>
          <w:szCs w:val="20"/>
        </w:rPr>
      </w:pPr>
    </w:p>
    <w:p w14:paraId="5A34E59F" w14:textId="77777777" w:rsidR="00D1587D" w:rsidRDefault="00410D07">
      <w:pPr>
        <w:spacing w:line="272" w:lineRule="auto"/>
        <w:ind w:left="300" w:right="319" w:firstLine="360"/>
        <w:rPr>
          <w:sz w:val="20"/>
          <w:szCs w:val="20"/>
        </w:rPr>
      </w:pPr>
      <w:r>
        <w:rPr>
          <w:rFonts w:ascii="Arial" w:eastAsia="Arial" w:hAnsi="Arial" w:cs="Arial"/>
          <w:sz w:val="17"/>
          <w:szCs w:val="17"/>
        </w:rPr>
        <w:t>Under our amended and restated bylaws, up to 20 stockholders owning 3% or more of the outstanding shares of our common stock continuously for at least three years may nominate the greater of two directors or up to 20% of our Boa</w:t>
      </w:r>
      <w:r>
        <w:rPr>
          <w:rFonts w:ascii="Arial" w:eastAsia="Arial" w:hAnsi="Arial" w:cs="Arial"/>
          <w:sz w:val="17"/>
          <w:szCs w:val="17"/>
        </w:rPr>
        <w:t xml:space="preserve">rd of Directors, and include those nominees in our proxy materials. Notice of stockholder nominations for persons for election as a director that are to be included in our proxy statement must be delivered or mailed and received at our principal executive </w:t>
      </w:r>
      <w:r>
        <w:rPr>
          <w:rFonts w:ascii="Arial" w:eastAsia="Arial" w:hAnsi="Arial" w:cs="Arial"/>
          <w:sz w:val="17"/>
          <w:szCs w:val="17"/>
        </w:rPr>
        <w:t>offices, not less than 120 days nor more than 150 days prior to the first anniversary of the date that we first distributed our proxy statement to stockholders for the immediately preceding annual meeting of stockholders.</w:t>
      </w:r>
    </w:p>
    <w:p w14:paraId="3A59FA7A" w14:textId="77777777" w:rsidR="00D1587D" w:rsidRDefault="00D1587D">
      <w:pPr>
        <w:spacing w:line="187" w:lineRule="exact"/>
        <w:rPr>
          <w:sz w:val="20"/>
          <w:szCs w:val="20"/>
        </w:rPr>
      </w:pPr>
    </w:p>
    <w:p w14:paraId="28EADB82" w14:textId="77777777" w:rsidR="00D1587D" w:rsidRDefault="00410D07">
      <w:pPr>
        <w:ind w:left="300"/>
        <w:rPr>
          <w:sz w:val="20"/>
          <w:szCs w:val="20"/>
        </w:rPr>
      </w:pPr>
      <w:r>
        <w:rPr>
          <w:rFonts w:ascii="Arial" w:eastAsia="Arial" w:hAnsi="Arial" w:cs="Arial"/>
          <w:b/>
          <w:bCs/>
          <w:sz w:val="18"/>
          <w:szCs w:val="18"/>
        </w:rPr>
        <w:t>Limitation of Liability of Direct</w:t>
      </w:r>
      <w:r>
        <w:rPr>
          <w:rFonts w:ascii="Arial" w:eastAsia="Arial" w:hAnsi="Arial" w:cs="Arial"/>
          <w:b/>
          <w:bCs/>
          <w:sz w:val="18"/>
          <w:szCs w:val="18"/>
        </w:rPr>
        <w:t>ors and Officers</w:t>
      </w:r>
    </w:p>
    <w:p w14:paraId="54F3E51D" w14:textId="77777777" w:rsidR="00D1587D" w:rsidRDefault="00D1587D">
      <w:pPr>
        <w:spacing w:line="121" w:lineRule="exact"/>
        <w:rPr>
          <w:sz w:val="20"/>
          <w:szCs w:val="20"/>
        </w:rPr>
      </w:pPr>
    </w:p>
    <w:p w14:paraId="2BA9700A" w14:textId="77777777" w:rsidR="00D1587D" w:rsidRDefault="00410D07">
      <w:pPr>
        <w:spacing w:line="308" w:lineRule="auto"/>
        <w:ind w:left="300" w:right="399" w:firstLine="360"/>
        <w:rPr>
          <w:sz w:val="20"/>
          <w:szCs w:val="20"/>
        </w:rPr>
      </w:pPr>
      <w:r>
        <w:rPr>
          <w:rFonts w:ascii="Arial" w:eastAsia="Arial" w:hAnsi="Arial" w:cs="Arial"/>
          <w:sz w:val="17"/>
          <w:szCs w:val="17"/>
        </w:rPr>
        <w:t>Our amended and restated certificate of incorporation provide that no director will be personally liable to us or our stockholders for monetary damages for breach of any duty as a director, except for the following:</w:t>
      </w:r>
    </w:p>
    <w:p w14:paraId="1E3BF5B1" w14:textId="77777777" w:rsidR="00D1587D" w:rsidRDefault="00D1587D">
      <w:pPr>
        <w:spacing w:line="38" w:lineRule="exact"/>
        <w:rPr>
          <w:sz w:val="20"/>
          <w:szCs w:val="20"/>
        </w:rPr>
      </w:pPr>
    </w:p>
    <w:p w14:paraId="7D4D5AC4" w14:textId="77777777" w:rsidR="00D1587D" w:rsidRDefault="00410D07" w:rsidP="00410D07">
      <w:pPr>
        <w:numPr>
          <w:ilvl w:val="0"/>
          <w:numId w:val="338"/>
        </w:numPr>
        <w:tabs>
          <w:tab w:val="left" w:pos="1000"/>
        </w:tabs>
        <w:ind w:left="1000" w:hanging="348"/>
        <w:rPr>
          <w:rFonts w:ascii="Arial" w:eastAsia="Arial" w:hAnsi="Arial" w:cs="Arial"/>
          <w:sz w:val="18"/>
          <w:szCs w:val="18"/>
        </w:rPr>
      </w:pPr>
      <w:r>
        <w:rPr>
          <w:rFonts w:ascii="Arial" w:eastAsia="Arial" w:hAnsi="Arial" w:cs="Arial"/>
          <w:sz w:val="18"/>
          <w:szCs w:val="18"/>
        </w:rPr>
        <w:t>Any breach of the dir</w:t>
      </w:r>
      <w:r>
        <w:rPr>
          <w:rFonts w:ascii="Arial" w:eastAsia="Arial" w:hAnsi="Arial" w:cs="Arial"/>
          <w:sz w:val="18"/>
          <w:szCs w:val="18"/>
        </w:rPr>
        <w:t>ector’s duty of loyalty to our company or our stockholders;</w:t>
      </w:r>
    </w:p>
    <w:p w14:paraId="1BA01EBF" w14:textId="77777777" w:rsidR="00D1587D" w:rsidRDefault="00D1587D">
      <w:pPr>
        <w:spacing w:line="117" w:lineRule="exact"/>
        <w:rPr>
          <w:rFonts w:ascii="Arial" w:eastAsia="Arial" w:hAnsi="Arial" w:cs="Arial"/>
          <w:sz w:val="18"/>
          <w:szCs w:val="18"/>
        </w:rPr>
      </w:pPr>
    </w:p>
    <w:p w14:paraId="68C83D81" w14:textId="77777777" w:rsidR="00D1587D" w:rsidRDefault="00410D07" w:rsidP="00410D07">
      <w:pPr>
        <w:numPr>
          <w:ilvl w:val="0"/>
          <w:numId w:val="338"/>
        </w:numPr>
        <w:tabs>
          <w:tab w:val="left" w:pos="1000"/>
        </w:tabs>
        <w:spacing w:line="277" w:lineRule="auto"/>
        <w:ind w:left="1000" w:right="399" w:hanging="348"/>
        <w:rPr>
          <w:rFonts w:ascii="Arial" w:eastAsia="Arial" w:hAnsi="Arial" w:cs="Arial"/>
          <w:sz w:val="18"/>
          <w:szCs w:val="18"/>
        </w:rPr>
      </w:pPr>
      <w:r>
        <w:rPr>
          <w:rFonts w:ascii="Arial" w:eastAsia="Arial" w:hAnsi="Arial" w:cs="Arial"/>
          <w:sz w:val="18"/>
          <w:szCs w:val="18"/>
        </w:rPr>
        <w:t>Any act or omission not in good faith or which involved intentional misconduct of a knowing violation of law;</w:t>
      </w:r>
    </w:p>
    <w:p w14:paraId="64EC7FF0" w14:textId="77777777" w:rsidR="00D1587D" w:rsidRDefault="00D1587D">
      <w:pPr>
        <w:spacing w:line="62" w:lineRule="exact"/>
        <w:rPr>
          <w:rFonts w:ascii="Arial" w:eastAsia="Arial" w:hAnsi="Arial" w:cs="Arial"/>
          <w:sz w:val="18"/>
          <w:szCs w:val="18"/>
        </w:rPr>
      </w:pPr>
    </w:p>
    <w:p w14:paraId="5FF5009D" w14:textId="77777777" w:rsidR="00D1587D" w:rsidRDefault="00410D07" w:rsidP="00410D07">
      <w:pPr>
        <w:numPr>
          <w:ilvl w:val="0"/>
          <w:numId w:val="338"/>
        </w:numPr>
        <w:tabs>
          <w:tab w:val="left" w:pos="1000"/>
        </w:tabs>
        <w:spacing w:line="277" w:lineRule="auto"/>
        <w:ind w:left="1000" w:right="379" w:hanging="348"/>
        <w:rPr>
          <w:rFonts w:ascii="Arial" w:eastAsia="Arial" w:hAnsi="Arial" w:cs="Arial"/>
          <w:sz w:val="18"/>
          <w:szCs w:val="18"/>
        </w:rPr>
      </w:pPr>
      <w:r>
        <w:rPr>
          <w:rFonts w:ascii="Arial" w:eastAsia="Arial" w:hAnsi="Arial" w:cs="Arial"/>
          <w:sz w:val="18"/>
          <w:szCs w:val="18"/>
        </w:rPr>
        <w:t xml:space="preserve">Unlawful payments of dividends or unlawful stock repurchases or </w:t>
      </w:r>
      <w:r>
        <w:rPr>
          <w:rFonts w:ascii="Arial" w:eastAsia="Arial" w:hAnsi="Arial" w:cs="Arial"/>
          <w:sz w:val="18"/>
          <w:szCs w:val="18"/>
        </w:rPr>
        <w:t>redemptions as provided in Section 174 of the Delaware General Corporation Law; and</w:t>
      </w:r>
    </w:p>
    <w:p w14:paraId="55256C7D" w14:textId="77777777" w:rsidR="00D1587D" w:rsidRDefault="00D1587D">
      <w:pPr>
        <w:spacing w:line="62" w:lineRule="exact"/>
        <w:rPr>
          <w:rFonts w:ascii="Arial" w:eastAsia="Arial" w:hAnsi="Arial" w:cs="Arial"/>
          <w:sz w:val="18"/>
          <w:szCs w:val="18"/>
        </w:rPr>
      </w:pPr>
    </w:p>
    <w:p w14:paraId="17BFCF01" w14:textId="77777777" w:rsidR="00D1587D" w:rsidRDefault="00410D07" w:rsidP="00410D07">
      <w:pPr>
        <w:numPr>
          <w:ilvl w:val="0"/>
          <w:numId w:val="338"/>
        </w:numPr>
        <w:tabs>
          <w:tab w:val="left" w:pos="1000"/>
        </w:tabs>
        <w:ind w:left="1000" w:hanging="348"/>
        <w:rPr>
          <w:rFonts w:ascii="Arial" w:eastAsia="Arial" w:hAnsi="Arial" w:cs="Arial"/>
          <w:sz w:val="18"/>
          <w:szCs w:val="18"/>
        </w:rPr>
      </w:pPr>
      <w:r>
        <w:rPr>
          <w:rFonts w:ascii="Arial" w:eastAsia="Arial" w:hAnsi="Arial" w:cs="Arial"/>
          <w:sz w:val="18"/>
          <w:szCs w:val="18"/>
        </w:rPr>
        <w:t>Any transaction from which the director derived an improper personal benefit.</w:t>
      </w:r>
    </w:p>
    <w:p w14:paraId="347519CD" w14:textId="77777777" w:rsidR="00D1587D" w:rsidRDefault="00D1587D">
      <w:pPr>
        <w:spacing w:line="117" w:lineRule="exact"/>
        <w:rPr>
          <w:sz w:val="20"/>
          <w:szCs w:val="20"/>
        </w:rPr>
      </w:pPr>
    </w:p>
    <w:p w14:paraId="0B6BAF68" w14:textId="77777777" w:rsidR="00D1587D" w:rsidRDefault="00410D07">
      <w:pPr>
        <w:spacing w:line="286" w:lineRule="auto"/>
        <w:ind w:left="300" w:right="439" w:firstLine="360"/>
        <w:jc w:val="both"/>
        <w:rPr>
          <w:sz w:val="20"/>
          <w:szCs w:val="20"/>
        </w:rPr>
      </w:pPr>
      <w:r>
        <w:rPr>
          <w:rFonts w:ascii="Arial" w:eastAsia="Arial" w:hAnsi="Arial" w:cs="Arial"/>
          <w:sz w:val="17"/>
          <w:szCs w:val="17"/>
        </w:rPr>
        <w:t>As a result, neither we nor our stockholders have the right, including through stockholders’</w:t>
      </w:r>
      <w:r>
        <w:rPr>
          <w:rFonts w:ascii="Arial" w:eastAsia="Arial" w:hAnsi="Arial" w:cs="Arial"/>
          <w:sz w:val="17"/>
          <w:szCs w:val="17"/>
        </w:rPr>
        <w:t xml:space="preserve"> derivative suits on our behalf, to recover monetary damages against a director for breach of any duty as a director, including breaches resulting from grossly negligent behavior, except in the situations described above.</w:t>
      </w:r>
    </w:p>
    <w:p w14:paraId="3D34EBC5" w14:textId="77777777" w:rsidR="00D1587D" w:rsidRDefault="00D1587D">
      <w:pPr>
        <w:spacing w:line="57" w:lineRule="exact"/>
        <w:rPr>
          <w:sz w:val="20"/>
          <w:szCs w:val="20"/>
        </w:rPr>
      </w:pPr>
    </w:p>
    <w:p w14:paraId="3245A6E1" w14:textId="77777777" w:rsidR="00D1587D" w:rsidRDefault="00410D07">
      <w:pPr>
        <w:spacing w:line="257" w:lineRule="auto"/>
        <w:ind w:left="300" w:right="379" w:firstLine="360"/>
        <w:rPr>
          <w:sz w:val="20"/>
          <w:szCs w:val="20"/>
        </w:rPr>
      </w:pPr>
      <w:r>
        <w:rPr>
          <w:rFonts w:ascii="Arial" w:eastAsia="Arial" w:hAnsi="Arial" w:cs="Arial"/>
          <w:sz w:val="18"/>
          <w:szCs w:val="18"/>
        </w:rPr>
        <w:t>Our amended and restated bylaws w</w:t>
      </w:r>
      <w:r>
        <w:rPr>
          <w:rFonts w:ascii="Arial" w:eastAsia="Arial" w:hAnsi="Arial" w:cs="Arial"/>
          <w:sz w:val="18"/>
          <w:szCs w:val="18"/>
        </w:rPr>
        <w:t xml:space="preserve">ill provide that, to the fullest extent permitted by Delaware law, we will indemnify any of our officers and directors in connection with any threatened, pending or completed action, suit or proceeding to which such person is, or is threatened to be made, </w:t>
      </w:r>
      <w:r>
        <w:rPr>
          <w:rFonts w:ascii="Arial" w:eastAsia="Arial" w:hAnsi="Arial" w:cs="Arial"/>
          <w:sz w:val="18"/>
          <w:szCs w:val="18"/>
        </w:rPr>
        <w:t>a party, whether civil, criminal, administrative or investigative, arising out of the fact that the person is or was our director or officer, or served any other enterprise at our request as a director or officer.</w:t>
      </w:r>
    </w:p>
    <w:p w14:paraId="351FD610" w14:textId="77777777" w:rsidR="00D1587D" w:rsidRDefault="00D1587D">
      <w:pPr>
        <w:spacing w:line="80" w:lineRule="exact"/>
        <w:rPr>
          <w:sz w:val="20"/>
          <w:szCs w:val="20"/>
        </w:rPr>
      </w:pPr>
    </w:p>
    <w:p w14:paraId="2163F2DD" w14:textId="77777777" w:rsidR="00D1587D" w:rsidRDefault="00410D07">
      <w:pPr>
        <w:spacing w:line="257" w:lineRule="auto"/>
        <w:ind w:left="300" w:right="319" w:firstLine="360"/>
        <w:rPr>
          <w:sz w:val="20"/>
          <w:szCs w:val="20"/>
        </w:rPr>
      </w:pPr>
      <w:r>
        <w:rPr>
          <w:rFonts w:ascii="Arial" w:eastAsia="Arial" w:hAnsi="Arial" w:cs="Arial"/>
          <w:sz w:val="18"/>
          <w:szCs w:val="18"/>
        </w:rPr>
        <w:t>We expect to maintain insurance for our o</w:t>
      </w:r>
      <w:r>
        <w:rPr>
          <w:rFonts w:ascii="Arial" w:eastAsia="Arial" w:hAnsi="Arial" w:cs="Arial"/>
          <w:sz w:val="18"/>
          <w:szCs w:val="18"/>
        </w:rPr>
        <w:t>fficers and directors against certain liabilities, including liabilities under the Securities Act, under insurance policies, the premiums of which will be paid by us. The effect of these will be to indemnify any of our officers or directors against expense</w:t>
      </w:r>
      <w:r>
        <w:rPr>
          <w:rFonts w:ascii="Arial" w:eastAsia="Arial" w:hAnsi="Arial" w:cs="Arial"/>
          <w:sz w:val="18"/>
          <w:szCs w:val="18"/>
        </w:rPr>
        <w:t>s, judgments, attorneys’ fees and other amounts paid in settlements incurred by an officer or director arising from claims against such persons for conduct in their capacities as officers or directors of VS.</w:t>
      </w:r>
    </w:p>
    <w:p w14:paraId="1268D3F7" w14:textId="77777777" w:rsidR="00D1587D" w:rsidRDefault="00D1587D">
      <w:pPr>
        <w:spacing w:line="188" w:lineRule="exact"/>
        <w:rPr>
          <w:sz w:val="20"/>
          <w:szCs w:val="20"/>
        </w:rPr>
      </w:pPr>
    </w:p>
    <w:p w14:paraId="5A986FBD" w14:textId="77777777" w:rsidR="00D1587D" w:rsidRDefault="00410D07">
      <w:pPr>
        <w:jc w:val="center"/>
        <w:rPr>
          <w:sz w:val="20"/>
          <w:szCs w:val="20"/>
        </w:rPr>
      </w:pPr>
      <w:r>
        <w:rPr>
          <w:rFonts w:ascii="Arial" w:eastAsia="Arial" w:hAnsi="Arial" w:cs="Arial"/>
          <w:sz w:val="18"/>
          <w:szCs w:val="18"/>
        </w:rPr>
        <w:t>134</w:t>
      </w:r>
    </w:p>
    <w:p w14:paraId="25038AAA" w14:textId="77777777" w:rsidR="00D1587D" w:rsidRDefault="00410D07">
      <w:pPr>
        <w:spacing w:line="20" w:lineRule="exact"/>
        <w:rPr>
          <w:sz w:val="20"/>
          <w:szCs w:val="20"/>
        </w:rPr>
      </w:pPr>
      <w:r>
        <w:rPr>
          <w:noProof/>
          <w:sz w:val="20"/>
          <w:szCs w:val="20"/>
        </w:rPr>
        <w:drawing>
          <wp:anchor distT="0" distB="0" distL="114300" distR="114300" simplePos="0" relativeHeight="251986944" behindDoc="1" locked="0" layoutInCell="0" allowOverlap="1" wp14:anchorId="17C8A9ED" wp14:editId="082B9AEE">
            <wp:simplePos x="0" y="0"/>
            <wp:positionH relativeFrom="column">
              <wp:posOffset>-636905</wp:posOffset>
            </wp:positionH>
            <wp:positionV relativeFrom="paragraph">
              <wp:posOffset>126365</wp:posOffset>
            </wp:positionV>
            <wp:extent cx="6995160" cy="17145"/>
            <wp:effectExtent l="0" t="0" r="0" b="0"/>
            <wp:wrapNone/>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3EB6FE8" w14:textId="77777777" w:rsidR="00D1587D" w:rsidRDefault="00D1587D">
      <w:pPr>
        <w:sectPr w:rsidR="00D1587D">
          <w:pgSz w:w="11900" w:h="16838"/>
          <w:pgMar w:top="265" w:right="1440" w:bottom="1440" w:left="1440" w:header="0" w:footer="0" w:gutter="0"/>
          <w:cols w:space="720" w:equalWidth="0">
            <w:col w:w="9019"/>
          </w:cols>
        </w:sectPr>
      </w:pPr>
    </w:p>
    <w:bookmarkStart w:id="392" w:name="page393"/>
    <w:bookmarkEnd w:id="392"/>
    <w:p w14:paraId="4A30CA15"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CC56750" w14:textId="77777777" w:rsidR="00D1587D" w:rsidRDefault="00D1587D">
      <w:pPr>
        <w:spacing w:line="131" w:lineRule="exact"/>
        <w:rPr>
          <w:sz w:val="20"/>
          <w:szCs w:val="20"/>
        </w:rPr>
      </w:pPr>
    </w:p>
    <w:p w14:paraId="4C19402E" w14:textId="77777777" w:rsidR="00D1587D" w:rsidRDefault="00410D07">
      <w:pPr>
        <w:spacing w:line="290" w:lineRule="auto"/>
        <w:ind w:left="300" w:right="379" w:firstLine="360"/>
        <w:rPr>
          <w:sz w:val="20"/>
          <w:szCs w:val="20"/>
        </w:rPr>
      </w:pPr>
      <w:r>
        <w:rPr>
          <w:rFonts w:ascii="Arial" w:eastAsia="Arial" w:hAnsi="Arial" w:cs="Arial"/>
          <w:sz w:val="16"/>
          <w:szCs w:val="16"/>
        </w:rPr>
        <w:t xml:space="preserve">The limitation of liability and indemnification provisions that will be in our amended and restated certificate of incorporation and our amended and restated bylaws may discourage stockholders from bringing a </w:t>
      </w:r>
      <w:r>
        <w:rPr>
          <w:rFonts w:ascii="Arial" w:eastAsia="Arial" w:hAnsi="Arial" w:cs="Arial"/>
          <w:sz w:val="16"/>
          <w:szCs w:val="16"/>
        </w:rPr>
        <w:t>lawsuit against directors for breach of their fiduciary duties. These provisions may also have the effect of reducing the likelihood of derivative litigation against our directors and officers, even though such an action, if successful, might otherwise ben</w:t>
      </w:r>
      <w:r>
        <w:rPr>
          <w:rFonts w:ascii="Arial" w:eastAsia="Arial" w:hAnsi="Arial" w:cs="Arial"/>
          <w:sz w:val="16"/>
          <w:szCs w:val="16"/>
        </w:rPr>
        <w:t>efit us and our stockholders. In addition, the indemnification provisions may adversely affect your investment to the extent that, in a class action or direct suit, we are required to pay the costs of settlement and damage awards against directors and offi</w:t>
      </w:r>
      <w:r>
        <w:rPr>
          <w:rFonts w:ascii="Arial" w:eastAsia="Arial" w:hAnsi="Arial" w:cs="Arial"/>
          <w:sz w:val="16"/>
          <w:szCs w:val="16"/>
        </w:rPr>
        <w:t>cers pursuant to these indemnification provisions. There is currently no pending material litigation or proceeding against any VS directors, officers or employees for which indemnification is sought.</w:t>
      </w:r>
    </w:p>
    <w:p w14:paraId="7FBFEF90" w14:textId="77777777" w:rsidR="00D1587D" w:rsidRDefault="00D1587D">
      <w:pPr>
        <w:spacing w:line="161" w:lineRule="exact"/>
        <w:rPr>
          <w:sz w:val="20"/>
          <w:szCs w:val="20"/>
        </w:rPr>
      </w:pPr>
    </w:p>
    <w:p w14:paraId="015652C4" w14:textId="77777777" w:rsidR="00D1587D" w:rsidRDefault="00410D07">
      <w:pPr>
        <w:ind w:left="300"/>
        <w:rPr>
          <w:sz w:val="20"/>
          <w:szCs w:val="20"/>
        </w:rPr>
      </w:pPr>
      <w:r>
        <w:rPr>
          <w:rFonts w:ascii="Arial" w:eastAsia="Arial" w:hAnsi="Arial" w:cs="Arial"/>
          <w:b/>
          <w:bCs/>
          <w:sz w:val="18"/>
          <w:szCs w:val="18"/>
        </w:rPr>
        <w:t>Forum Selection</w:t>
      </w:r>
    </w:p>
    <w:p w14:paraId="67B1C899" w14:textId="77777777" w:rsidR="00D1587D" w:rsidRDefault="00D1587D">
      <w:pPr>
        <w:spacing w:line="121" w:lineRule="exact"/>
        <w:rPr>
          <w:sz w:val="20"/>
          <w:szCs w:val="20"/>
        </w:rPr>
      </w:pPr>
    </w:p>
    <w:p w14:paraId="2A69738B" w14:textId="77777777" w:rsidR="00D1587D" w:rsidRDefault="00410D07">
      <w:pPr>
        <w:spacing w:line="268" w:lineRule="auto"/>
        <w:ind w:left="300" w:right="299" w:firstLine="360"/>
        <w:rPr>
          <w:sz w:val="20"/>
          <w:szCs w:val="20"/>
        </w:rPr>
      </w:pPr>
      <w:r>
        <w:rPr>
          <w:rFonts w:ascii="Arial" w:eastAsia="Arial" w:hAnsi="Arial" w:cs="Arial"/>
          <w:sz w:val="17"/>
          <w:szCs w:val="17"/>
        </w:rPr>
        <w:t>Pursuant to our amended and restated b</w:t>
      </w:r>
      <w:r>
        <w:rPr>
          <w:rFonts w:ascii="Arial" w:eastAsia="Arial" w:hAnsi="Arial" w:cs="Arial"/>
          <w:sz w:val="17"/>
          <w:szCs w:val="17"/>
        </w:rPr>
        <w:t>ylaws, as will be in effect upon the completion of the Separation, unless we consent in writing to the selection of an alternative forum, a state court located within the State of Delaware (or, if no state court located within the State of Delaware has jur</w:t>
      </w:r>
      <w:r>
        <w:rPr>
          <w:rFonts w:ascii="Arial" w:eastAsia="Arial" w:hAnsi="Arial" w:cs="Arial"/>
          <w:sz w:val="17"/>
          <w:szCs w:val="17"/>
        </w:rPr>
        <w:t>isdiction, the federal court for the District of Delaware) shall be the sole and exclusive forum for (i) any derivative action or proceeding brought on our behalf; (ii) any action asserting a claim for or based on a breach of a fiduciary duty owed by any o</w:t>
      </w:r>
      <w:r>
        <w:rPr>
          <w:rFonts w:ascii="Arial" w:eastAsia="Arial" w:hAnsi="Arial" w:cs="Arial"/>
          <w:sz w:val="17"/>
          <w:szCs w:val="17"/>
        </w:rPr>
        <w:t>f our director or officer or other employee or agent to us or to our stockholders, including a claim alleging the aiding and abetting of such a breach of fiduciary duty; (iii) any action asserting a claim against us or any of our director or officer or oth</w:t>
      </w:r>
      <w:r>
        <w:rPr>
          <w:rFonts w:ascii="Arial" w:eastAsia="Arial" w:hAnsi="Arial" w:cs="Arial"/>
          <w:sz w:val="17"/>
          <w:szCs w:val="17"/>
        </w:rPr>
        <w:t>er employee or agent arising pursuant to any provision of the Delaware General Corporation Law or our certificate of incorporation or bylaws; (iv) any action asserting a claim related to or involving us that is governed by the internal affairs doctrine; or</w:t>
      </w:r>
      <w:r>
        <w:rPr>
          <w:rFonts w:ascii="Arial" w:eastAsia="Arial" w:hAnsi="Arial" w:cs="Arial"/>
          <w:sz w:val="17"/>
          <w:szCs w:val="17"/>
        </w:rPr>
        <w:t xml:space="preserve"> (v) any action asserting an “internal corporate claim” as that term is defined in Section 115 of the Delaware General Corporation Law. These exclusive forum provisions will apply to all covered actions, including any covered action in which the plaintiff </w:t>
      </w:r>
      <w:r>
        <w:rPr>
          <w:rFonts w:ascii="Arial" w:eastAsia="Arial" w:hAnsi="Arial" w:cs="Arial"/>
          <w:sz w:val="17"/>
          <w:szCs w:val="17"/>
        </w:rPr>
        <w:t xml:space="preserve">chooses to assert a claim or claims under federal law in addition to a claim or claims under Delaware law. These exclusive forum provisions, however, will not apply to actions asserting only federal law claims under the Securities Act or the Exchange Act, </w:t>
      </w:r>
      <w:r>
        <w:rPr>
          <w:rFonts w:ascii="Arial" w:eastAsia="Arial" w:hAnsi="Arial" w:cs="Arial"/>
          <w:sz w:val="17"/>
          <w:szCs w:val="17"/>
        </w:rPr>
        <w:t>regardless of whether the state courts in the State of Delaware have jurisdiction over those claims.</w:t>
      </w:r>
    </w:p>
    <w:p w14:paraId="2A827842" w14:textId="77777777" w:rsidR="00D1587D" w:rsidRDefault="00D1587D">
      <w:pPr>
        <w:spacing w:line="178" w:lineRule="exact"/>
        <w:rPr>
          <w:sz w:val="20"/>
          <w:szCs w:val="20"/>
        </w:rPr>
      </w:pPr>
    </w:p>
    <w:p w14:paraId="6A4C50DE" w14:textId="77777777" w:rsidR="00D1587D" w:rsidRDefault="00410D07">
      <w:pPr>
        <w:ind w:left="300"/>
        <w:rPr>
          <w:sz w:val="20"/>
          <w:szCs w:val="20"/>
        </w:rPr>
      </w:pPr>
      <w:r>
        <w:rPr>
          <w:rFonts w:ascii="Arial" w:eastAsia="Arial" w:hAnsi="Arial" w:cs="Arial"/>
          <w:b/>
          <w:bCs/>
          <w:sz w:val="18"/>
          <w:szCs w:val="18"/>
        </w:rPr>
        <w:t>Anti-Takeover Effects of Some Provisions</w:t>
      </w:r>
    </w:p>
    <w:p w14:paraId="0CC74D23" w14:textId="77777777" w:rsidR="00D1587D" w:rsidRDefault="00D1587D">
      <w:pPr>
        <w:spacing w:line="121" w:lineRule="exact"/>
        <w:rPr>
          <w:sz w:val="20"/>
          <w:szCs w:val="20"/>
        </w:rPr>
      </w:pPr>
    </w:p>
    <w:p w14:paraId="54E6EE30" w14:textId="77777777" w:rsidR="00D1587D" w:rsidRDefault="00410D07">
      <w:pPr>
        <w:spacing w:line="263" w:lineRule="auto"/>
        <w:ind w:left="300" w:right="399" w:firstLine="360"/>
        <w:rPr>
          <w:sz w:val="20"/>
          <w:szCs w:val="20"/>
        </w:rPr>
      </w:pPr>
      <w:r>
        <w:rPr>
          <w:rFonts w:ascii="Arial" w:eastAsia="Arial" w:hAnsi="Arial" w:cs="Arial"/>
          <w:sz w:val="18"/>
          <w:szCs w:val="18"/>
        </w:rPr>
        <w:t xml:space="preserve">Some of the provisions of our amended and restated certificate of incorporation and amended and restated bylaws </w:t>
      </w:r>
      <w:r>
        <w:rPr>
          <w:rFonts w:ascii="Arial" w:eastAsia="Arial" w:hAnsi="Arial" w:cs="Arial"/>
          <w:sz w:val="18"/>
          <w:szCs w:val="18"/>
        </w:rPr>
        <w:t>(as described above), including the stockholder approval requirements for certain business combinations (as described below), could make the following more difficult:</w:t>
      </w:r>
    </w:p>
    <w:p w14:paraId="3A4C834D" w14:textId="77777777" w:rsidR="00D1587D" w:rsidRDefault="00D1587D">
      <w:pPr>
        <w:spacing w:line="76" w:lineRule="exact"/>
        <w:rPr>
          <w:sz w:val="20"/>
          <w:szCs w:val="20"/>
        </w:rPr>
      </w:pPr>
    </w:p>
    <w:p w14:paraId="2455EEFA" w14:textId="77777777" w:rsidR="00D1587D" w:rsidRDefault="00410D07" w:rsidP="00410D07">
      <w:pPr>
        <w:numPr>
          <w:ilvl w:val="0"/>
          <w:numId w:val="339"/>
        </w:numPr>
        <w:tabs>
          <w:tab w:val="left" w:pos="1000"/>
        </w:tabs>
        <w:ind w:left="1000" w:hanging="348"/>
        <w:rPr>
          <w:rFonts w:ascii="Arial" w:eastAsia="Arial" w:hAnsi="Arial" w:cs="Arial"/>
          <w:sz w:val="18"/>
          <w:szCs w:val="18"/>
        </w:rPr>
      </w:pPr>
      <w:r>
        <w:rPr>
          <w:rFonts w:ascii="Arial" w:eastAsia="Arial" w:hAnsi="Arial" w:cs="Arial"/>
          <w:sz w:val="18"/>
          <w:szCs w:val="18"/>
        </w:rPr>
        <w:t>Acquisition of control of us by means of a proxy contest or otherwise, or</w:t>
      </w:r>
    </w:p>
    <w:p w14:paraId="0FBDA3AC" w14:textId="77777777" w:rsidR="00D1587D" w:rsidRDefault="00D1587D">
      <w:pPr>
        <w:spacing w:line="117" w:lineRule="exact"/>
        <w:rPr>
          <w:rFonts w:ascii="Arial" w:eastAsia="Arial" w:hAnsi="Arial" w:cs="Arial"/>
          <w:sz w:val="18"/>
          <w:szCs w:val="18"/>
        </w:rPr>
      </w:pPr>
    </w:p>
    <w:p w14:paraId="793CAF75" w14:textId="77777777" w:rsidR="00D1587D" w:rsidRDefault="00410D07" w:rsidP="00410D07">
      <w:pPr>
        <w:numPr>
          <w:ilvl w:val="0"/>
          <w:numId w:val="339"/>
        </w:numPr>
        <w:tabs>
          <w:tab w:val="left" w:pos="1000"/>
        </w:tabs>
        <w:ind w:left="1000" w:hanging="348"/>
        <w:rPr>
          <w:rFonts w:ascii="Arial" w:eastAsia="Arial" w:hAnsi="Arial" w:cs="Arial"/>
          <w:sz w:val="18"/>
          <w:szCs w:val="18"/>
        </w:rPr>
      </w:pPr>
      <w:r>
        <w:rPr>
          <w:rFonts w:ascii="Arial" w:eastAsia="Arial" w:hAnsi="Arial" w:cs="Arial"/>
          <w:sz w:val="18"/>
          <w:szCs w:val="18"/>
        </w:rPr>
        <w:t>Removal of our incumbent officers and directors.</w:t>
      </w:r>
    </w:p>
    <w:p w14:paraId="282421A1" w14:textId="77777777" w:rsidR="00D1587D" w:rsidRDefault="00D1587D">
      <w:pPr>
        <w:spacing w:line="117" w:lineRule="exact"/>
        <w:rPr>
          <w:sz w:val="20"/>
          <w:szCs w:val="20"/>
        </w:rPr>
      </w:pPr>
    </w:p>
    <w:p w14:paraId="0D2AD65D" w14:textId="77777777" w:rsidR="00D1587D" w:rsidRDefault="00410D07">
      <w:pPr>
        <w:spacing w:line="293" w:lineRule="auto"/>
        <w:ind w:left="300" w:right="439" w:firstLine="360"/>
        <w:rPr>
          <w:sz w:val="20"/>
          <w:szCs w:val="20"/>
        </w:rPr>
      </w:pPr>
      <w:r>
        <w:rPr>
          <w:rFonts w:ascii="Arial" w:eastAsia="Arial" w:hAnsi="Arial" w:cs="Arial"/>
          <w:sz w:val="16"/>
          <w:szCs w:val="16"/>
        </w:rPr>
        <w:t>These provisions, including our ability to issue preferred stock, are designed to discourage coercive takeover practices and inadequate takeover bids. These provisions are also designed to encourage persons</w:t>
      </w:r>
      <w:r>
        <w:rPr>
          <w:rFonts w:ascii="Arial" w:eastAsia="Arial" w:hAnsi="Arial" w:cs="Arial"/>
          <w:sz w:val="16"/>
          <w:szCs w:val="16"/>
        </w:rPr>
        <w:t xml:space="preserve"> seeking to acquire control of us to first negotiate with our Board of Directors. We believe that the benefits of increased protection will give us the potential ability to negotiate with the proponent of an unfriendly or unsolicited proposal to acquire or</w:t>
      </w:r>
      <w:r>
        <w:rPr>
          <w:rFonts w:ascii="Arial" w:eastAsia="Arial" w:hAnsi="Arial" w:cs="Arial"/>
          <w:sz w:val="16"/>
          <w:szCs w:val="16"/>
        </w:rPr>
        <w:t xml:space="preserve"> restructure us, and that the benefits of this increased protection will outweigh the disadvantages of discouraging those proposals, because negotiation of those proposals could result in an improvement of their terms.</w:t>
      </w:r>
    </w:p>
    <w:p w14:paraId="3F6E5C17" w14:textId="77777777" w:rsidR="00D1587D" w:rsidRDefault="00D1587D">
      <w:pPr>
        <w:spacing w:line="160" w:lineRule="exact"/>
        <w:rPr>
          <w:sz w:val="20"/>
          <w:szCs w:val="20"/>
        </w:rPr>
      </w:pPr>
    </w:p>
    <w:p w14:paraId="07CFC1F0" w14:textId="77777777" w:rsidR="00D1587D" w:rsidRDefault="00410D07">
      <w:pPr>
        <w:ind w:left="300"/>
        <w:rPr>
          <w:sz w:val="20"/>
          <w:szCs w:val="20"/>
        </w:rPr>
      </w:pPr>
      <w:r>
        <w:rPr>
          <w:rFonts w:ascii="Arial" w:eastAsia="Arial" w:hAnsi="Arial" w:cs="Arial"/>
          <w:b/>
          <w:bCs/>
          <w:sz w:val="18"/>
          <w:szCs w:val="18"/>
        </w:rPr>
        <w:t>Delaware Business Combinations</w:t>
      </w:r>
    </w:p>
    <w:p w14:paraId="484FD706" w14:textId="77777777" w:rsidR="00D1587D" w:rsidRDefault="00D1587D">
      <w:pPr>
        <w:spacing w:line="121" w:lineRule="exact"/>
        <w:rPr>
          <w:sz w:val="20"/>
          <w:szCs w:val="20"/>
        </w:rPr>
      </w:pPr>
    </w:p>
    <w:p w14:paraId="39F8DBEB" w14:textId="77777777" w:rsidR="00D1587D" w:rsidRDefault="00410D07">
      <w:pPr>
        <w:spacing w:line="257" w:lineRule="auto"/>
        <w:ind w:left="300" w:right="439" w:firstLine="360"/>
        <w:rPr>
          <w:sz w:val="20"/>
          <w:szCs w:val="20"/>
        </w:rPr>
      </w:pPr>
      <w:r>
        <w:rPr>
          <w:rFonts w:ascii="Arial" w:eastAsia="Arial" w:hAnsi="Arial" w:cs="Arial"/>
          <w:sz w:val="18"/>
          <w:szCs w:val="18"/>
        </w:rPr>
        <w:t>We h</w:t>
      </w:r>
      <w:r>
        <w:rPr>
          <w:rFonts w:ascii="Arial" w:eastAsia="Arial" w:hAnsi="Arial" w:cs="Arial"/>
          <w:sz w:val="18"/>
          <w:szCs w:val="18"/>
        </w:rPr>
        <w:t xml:space="preserve">ave elected to be subject to Section 203 of the Delaware General Corporation Law, which regulates corporate acquisitions. Section 203 prevents an “interested stockholder,” which is defined generally as a person owning 15% or more of a corporation’s voting </w:t>
      </w:r>
      <w:r>
        <w:rPr>
          <w:rFonts w:ascii="Arial" w:eastAsia="Arial" w:hAnsi="Arial" w:cs="Arial"/>
          <w:sz w:val="18"/>
          <w:szCs w:val="18"/>
        </w:rPr>
        <w:t>stock, or any affiliate or associate of that person, from engaging in a broad range of “business combinations” with the corporation for three years after becoming an interested stockholder unless:</w:t>
      </w:r>
    </w:p>
    <w:p w14:paraId="1B199EF0" w14:textId="77777777" w:rsidR="00D1587D" w:rsidRDefault="00D1587D">
      <w:pPr>
        <w:spacing w:line="80" w:lineRule="exact"/>
        <w:rPr>
          <w:sz w:val="20"/>
          <w:szCs w:val="20"/>
        </w:rPr>
      </w:pPr>
    </w:p>
    <w:p w14:paraId="40F32B7D" w14:textId="77777777" w:rsidR="00D1587D" w:rsidRDefault="00410D07" w:rsidP="00410D07">
      <w:pPr>
        <w:numPr>
          <w:ilvl w:val="0"/>
          <w:numId w:val="340"/>
        </w:numPr>
        <w:tabs>
          <w:tab w:val="left" w:pos="1000"/>
        </w:tabs>
        <w:spacing w:line="263" w:lineRule="auto"/>
        <w:ind w:left="1000" w:right="379" w:hanging="348"/>
        <w:rPr>
          <w:rFonts w:ascii="Arial" w:eastAsia="Arial" w:hAnsi="Arial" w:cs="Arial"/>
          <w:sz w:val="18"/>
          <w:szCs w:val="18"/>
        </w:rPr>
      </w:pPr>
      <w:r>
        <w:rPr>
          <w:rFonts w:ascii="Arial" w:eastAsia="Arial" w:hAnsi="Arial" w:cs="Arial"/>
          <w:sz w:val="18"/>
          <w:szCs w:val="18"/>
        </w:rPr>
        <w:t>the board of directors of the corporation had, prior to th</w:t>
      </w:r>
      <w:r>
        <w:rPr>
          <w:rFonts w:ascii="Arial" w:eastAsia="Arial" w:hAnsi="Arial" w:cs="Arial"/>
          <w:sz w:val="18"/>
          <w:szCs w:val="18"/>
        </w:rPr>
        <w:t>e person becoming an interested stockholder, approved either the business combination or the transaction that resulted in the stockholder’s becoming an interested stockholder;</w:t>
      </w:r>
    </w:p>
    <w:p w14:paraId="4BD82D21" w14:textId="77777777" w:rsidR="00D1587D" w:rsidRDefault="00D1587D">
      <w:pPr>
        <w:spacing w:line="75" w:lineRule="exact"/>
        <w:rPr>
          <w:rFonts w:ascii="Arial" w:eastAsia="Arial" w:hAnsi="Arial" w:cs="Arial"/>
          <w:sz w:val="18"/>
          <w:szCs w:val="18"/>
        </w:rPr>
      </w:pPr>
    </w:p>
    <w:p w14:paraId="3F483935" w14:textId="77777777" w:rsidR="00D1587D" w:rsidRDefault="00410D07" w:rsidP="00410D07">
      <w:pPr>
        <w:numPr>
          <w:ilvl w:val="0"/>
          <w:numId w:val="340"/>
        </w:numPr>
        <w:tabs>
          <w:tab w:val="left" w:pos="1000"/>
        </w:tabs>
        <w:spacing w:line="263" w:lineRule="auto"/>
        <w:ind w:left="1000" w:right="479" w:hanging="348"/>
        <w:rPr>
          <w:rFonts w:ascii="Arial" w:eastAsia="Arial" w:hAnsi="Arial" w:cs="Arial"/>
          <w:sz w:val="18"/>
          <w:szCs w:val="18"/>
        </w:rPr>
      </w:pPr>
      <w:r>
        <w:rPr>
          <w:rFonts w:ascii="Arial" w:eastAsia="Arial" w:hAnsi="Arial" w:cs="Arial"/>
          <w:sz w:val="18"/>
          <w:szCs w:val="18"/>
        </w:rPr>
        <w:t xml:space="preserve">upon completion of the transaction that resulted in the stockholder’s becoming </w:t>
      </w:r>
      <w:r>
        <w:rPr>
          <w:rFonts w:ascii="Arial" w:eastAsia="Arial" w:hAnsi="Arial" w:cs="Arial"/>
          <w:sz w:val="18"/>
          <w:szCs w:val="18"/>
        </w:rPr>
        <w:t>an interested stockholder, that person owned at least 85% of the voting stock of the corporation outstanding at the time the transaction commenced, other than statutorily excluded shares; or</w:t>
      </w:r>
    </w:p>
    <w:p w14:paraId="50C78783" w14:textId="77777777" w:rsidR="00D1587D" w:rsidRDefault="00D1587D">
      <w:pPr>
        <w:spacing w:line="184" w:lineRule="exact"/>
        <w:rPr>
          <w:sz w:val="20"/>
          <w:szCs w:val="20"/>
        </w:rPr>
      </w:pPr>
    </w:p>
    <w:p w14:paraId="11A67D97" w14:textId="77777777" w:rsidR="00D1587D" w:rsidRDefault="00410D07">
      <w:pPr>
        <w:jc w:val="center"/>
        <w:rPr>
          <w:sz w:val="20"/>
          <w:szCs w:val="20"/>
        </w:rPr>
      </w:pPr>
      <w:r>
        <w:rPr>
          <w:rFonts w:ascii="Arial" w:eastAsia="Arial" w:hAnsi="Arial" w:cs="Arial"/>
          <w:sz w:val="18"/>
          <w:szCs w:val="18"/>
        </w:rPr>
        <w:t>135</w:t>
      </w:r>
    </w:p>
    <w:p w14:paraId="3B2CCAE5" w14:textId="77777777" w:rsidR="00D1587D" w:rsidRDefault="00410D07">
      <w:pPr>
        <w:spacing w:line="20" w:lineRule="exact"/>
        <w:rPr>
          <w:sz w:val="20"/>
          <w:szCs w:val="20"/>
        </w:rPr>
      </w:pPr>
      <w:r>
        <w:rPr>
          <w:noProof/>
          <w:sz w:val="20"/>
          <w:szCs w:val="20"/>
        </w:rPr>
        <w:drawing>
          <wp:anchor distT="0" distB="0" distL="114300" distR="114300" simplePos="0" relativeHeight="251987968" behindDoc="1" locked="0" layoutInCell="0" allowOverlap="1" wp14:anchorId="0BE347EC" wp14:editId="294AE9B3">
            <wp:simplePos x="0" y="0"/>
            <wp:positionH relativeFrom="column">
              <wp:posOffset>-636905</wp:posOffset>
            </wp:positionH>
            <wp:positionV relativeFrom="paragraph">
              <wp:posOffset>134620</wp:posOffset>
            </wp:positionV>
            <wp:extent cx="6995160" cy="17145"/>
            <wp:effectExtent l="0" t="0" r="0" b="0"/>
            <wp:wrapNone/>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0708025" w14:textId="77777777" w:rsidR="00D1587D" w:rsidRDefault="00D1587D">
      <w:pPr>
        <w:sectPr w:rsidR="00D1587D">
          <w:pgSz w:w="11900" w:h="16838"/>
          <w:pgMar w:top="265" w:right="1440" w:bottom="1440" w:left="1440" w:header="0" w:footer="0" w:gutter="0"/>
          <w:cols w:space="720" w:equalWidth="0">
            <w:col w:w="9019"/>
          </w:cols>
        </w:sectPr>
      </w:pPr>
    </w:p>
    <w:bookmarkStart w:id="393" w:name="page394"/>
    <w:bookmarkEnd w:id="393"/>
    <w:p w14:paraId="36F0D3D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FFB0AF6" w14:textId="77777777" w:rsidR="00D1587D" w:rsidRDefault="00D1587D">
      <w:pPr>
        <w:spacing w:line="131" w:lineRule="exact"/>
        <w:rPr>
          <w:sz w:val="20"/>
          <w:szCs w:val="20"/>
        </w:rPr>
      </w:pPr>
    </w:p>
    <w:p w14:paraId="6CE059E1" w14:textId="77777777" w:rsidR="00D1587D" w:rsidRDefault="00410D07" w:rsidP="00410D07">
      <w:pPr>
        <w:numPr>
          <w:ilvl w:val="0"/>
          <w:numId w:val="341"/>
        </w:numPr>
        <w:tabs>
          <w:tab w:val="left" w:pos="1000"/>
        </w:tabs>
        <w:spacing w:line="263" w:lineRule="auto"/>
        <w:ind w:left="1000" w:right="359" w:hanging="348"/>
        <w:rPr>
          <w:rFonts w:ascii="Arial" w:eastAsia="Arial" w:hAnsi="Arial" w:cs="Arial"/>
          <w:sz w:val="18"/>
          <w:szCs w:val="18"/>
        </w:rPr>
      </w:pPr>
      <w:r>
        <w:rPr>
          <w:rFonts w:ascii="Arial" w:eastAsia="Arial" w:hAnsi="Arial" w:cs="Arial"/>
          <w:sz w:val="18"/>
          <w:szCs w:val="18"/>
        </w:rPr>
        <w:t>following the transaction in which that person became an interested stockholder, the business combination is approved by the board of directors of the corporation and holders of at least two-thirds of the outs</w:t>
      </w:r>
      <w:r>
        <w:rPr>
          <w:rFonts w:ascii="Arial" w:eastAsia="Arial" w:hAnsi="Arial" w:cs="Arial"/>
          <w:sz w:val="18"/>
          <w:szCs w:val="18"/>
        </w:rPr>
        <w:t>tanding voting stock not owned by the interested stockholder.</w:t>
      </w:r>
    </w:p>
    <w:p w14:paraId="75E4F6C2" w14:textId="77777777" w:rsidR="00D1587D" w:rsidRDefault="00D1587D">
      <w:pPr>
        <w:spacing w:line="76" w:lineRule="exact"/>
        <w:rPr>
          <w:sz w:val="20"/>
          <w:szCs w:val="20"/>
        </w:rPr>
      </w:pPr>
    </w:p>
    <w:p w14:paraId="6BDB7193" w14:textId="77777777" w:rsidR="00D1587D" w:rsidRDefault="00410D07">
      <w:pPr>
        <w:spacing w:line="272" w:lineRule="auto"/>
        <w:ind w:left="300" w:right="339" w:firstLine="360"/>
        <w:rPr>
          <w:sz w:val="20"/>
          <w:szCs w:val="20"/>
        </w:rPr>
      </w:pPr>
      <w:r>
        <w:rPr>
          <w:rFonts w:ascii="Arial" w:eastAsia="Arial" w:hAnsi="Arial" w:cs="Arial"/>
          <w:sz w:val="17"/>
          <w:szCs w:val="17"/>
        </w:rPr>
        <w:t>Under Section 203, the restrictions described above also do not apply to specific business combinations proposed by an interested stockholder following the announcement or notification of desig</w:t>
      </w:r>
      <w:r>
        <w:rPr>
          <w:rFonts w:ascii="Arial" w:eastAsia="Arial" w:hAnsi="Arial" w:cs="Arial"/>
          <w:sz w:val="17"/>
          <w:szCs w:val="17"/>
        </w:rPr>
        <w:t>nated extraordinary transactions involving the corporation and a person who had not been an interested stockholder during the previous three years or who became an interested stockholder with the approval of a majority of the corporation’s directors, if su</w:t>
      </w:r>
      <w:r>
        <w:rPr>
          <w:rFonts w:ascii="Arial" w:eastAsia="Arial" w:hAnsi="Arial" w:cs="Arial"/>
          <w:sz w:val="17"/>
          <w:szCs w:val="17"/>
        </w:rPr>
        <w:t>ch extraordinary transaction is approved or not opposed by a majority of the directors who were directors prior to any person becoming an interested stockholder during the previous three years or were recommended for election or elected to succeed such dir</w:t>
      </w:r>
      <w:r>
        <w:rPr>
          <w:rFonts w:ascii="Arial" w:eastAsia="Arial" w:hAnsi="Arial" w:cs="Arial"/>
          <w:sz w:val="17"/>
          <w:szCs w:val="17"/>
        </w:rPr>
        <w:t>ectors by a majority of such directors.</w:t>
      </w:r>
    </w:p>
    <w:p w14:paraId="5CA11368" w14:textId="77777777" w:rsidR="00D1587D" w:rsidRDefault="00D1587D">
      <w:pPr>
        <w:spacing w:line="69" w:lineRule="exact"/>
        <w:rPr>
          <w:sz w:val="20"/>
          <w:szCs w:val="20"/>
        </w:rPr>
      </w:pPr>
    </w:p>
    <w:p w14:paraId="2A725220" w14:textId="77777777" w:rsidR="00D1587D" w:rsidRDefault="00410D07">
      <w:pPr>
        <w:spacing w:line="259" w:lineRule="auto"/>
        <w:ind w:left="300" w:right="319" w:firstLine="360"/>
        <w:rPr>
          <w:sz w:val="20"/>
          <w:szCs w:val="20"/>
        </w:rPr>
      </w:pPr>
      <w:r>
        <w:rPr>
          <w:rFonts w:ascii="Arial" w:eastAsia="Arial" w:hAnsi="Arial" w:cs="Arial"/>
          <w:sz w:val="18"/>
          <w:szCs w:val="18"/>
        </w:rPr>
        <w:t xml:space="preserve">Section 203 may make it more difficult for a person who would be an interested stockholder to effect various business combinations with a corporation for a three-year period. Section 203 also may have the effect of </w:t>
      </w:r>
      <w:r>
        <w:rPr>
          <w:rFonts w:ascii="Arial" w:eastAsia="Arial" w:hAnsi="Arial" w:cs="Arial"/>
          <w:sz w:val="18"/>
          <w:szCs w:val="18"/>
        </w:rPr>
        <w:t>preventing changes in our management and could make it more difficult to accomplish transactions which our stockholders may otherwise deem to be in their best interests.</w:t>
      </w:r>
    </w:p>
    <w:p w14:paraId="7EC56B31" w14:textId="77777777" w:rsidR="00D1587D" w:rsidRDefault="00D1587D">
      <w:pPr>
        <w:spacing w:line="345" w:lineRule="exact"/>
        <w:rPr>
          <w:sz w:val="20"/>
          <w:szCs w:val="20"/>
        </w:rPr>
      </w:pPr>
    </w:p>
    <w:p w14:paraId="76AE2145" w14:textId="77777777" w:rsidR="00D1587D" w:rsidRDefault="00410D07">
      <w:pPr>
        <w:ind w:left="300"/>
        <w:rPr>
          <w:sz w:val="20"/>
          <w:szCs w:val="20"/>
        </w:rPr>
      </w:pPr>
      <w:r>
        <w:rPr>
          <w:rFonts w:ascii="Arial" w:eastAsia="Arial" w:hAnsi="Arial" w:cs="Arial"/>
          <w:b/>
          <w:bCs/>
          <w:sz w:val="18"/>
          <w:szCs w:val="18"/>
        </w:rPr>
        <w:t>Distributions of Securities</w:t>
      </w:r>
    </w:p>
    <w:p w14:paraId="113F589E" w14:textId="77777777" w:rsidR="00D1587D" w:rsidRDefault="00D1587D">
      <w:pPr>
        <w:spacing w:line="121" w:lineRule="exact"/>
        <w:rPr>
          <w:sz w:val="20"/>
          <w:szCs w:val="20"/>
        </w:rPr>
      </w:pPr>
    </w:p>
    <w:p w14:paraId="46376550" w14:textId="77777777" w:rsidR="00D1587D" w:rsidRDefault="00410D07">
      <w:pPr>
        <w:spacing w:line="275" w:lineRule="auto"/>
        <w:ind w:left="300" w:right="579" w:firstLine="360"/>
        <w:rPr>
          <w:sz w:val="20"/>
          <w:szCs w:val="20"/>
        </w:rPr>
      </w:pPr>
      <w:r>
        <w:rPr>
          <w:rFonts w:ascii="Arial" w:eastAsia="Arial" w:hAnsi="Arial" w:cs="Arial"/>
          <w:sz w:val="17"/>
          <w:szCs w:val="17"/>
        </w:rPr>
        <w:t>VS was formed on April 9, 2021, and since its formation,</w:t>
      </w:r>
      <w:r>
        <w:rPr>
          <w:rFonts w:ascii="Arial" w:eastAsia="Arial" w:hAnsi="Arial" w:cs="Arial"/>
          <w:sz w:val="17"/>
          <w:szCs w:val="17"/>
        </w:rPr>
        <w:t xml:space="preserve"> it has not sold any securities, including sales of reacquired securities, new issues (other than to LB pursuant to Section 4(a)(2) of the Securities Act in connection with its formation, which VS did not register under the Securities Act because such issu</w:t>
      </w:r>
      <w:r>
        <w:rPr>
          <w:rFonts w:ascii="Arial" w:eastAsia="Arial" w:hAnsi="Arial" w:cs="Arial"/>
          <w:sz w:val="17"/>
          <w:szCs w:val="17"/>
        </w:rPr>
        <w:t>ance did not constitute a public offer), securities issued in exchange for property, services or other securities, and new securities resulting from the modification of outstanding securities.</w:t>
      </w:r>
    </w:p>
    <w:p w14:paraId="56368594" w14:textId="77777777" w:rsidR="00D1587D" w:rsidRDefault="00D1587D">
      <w:pPr>
        <w:spacing w:line="321" w:lineRule="exact"/>
        <w:rPr>
          <w:sz w:val="20"/>
          <w:szCs w:val="20"/>
        </w:rPr>
      </w:pPr>
    </w:p>
    <w:p w14:paraId="04AF5E9A" w14:textId="77777777" w:rsidR="00D1587D" w:rsidRDefault="00410D07">
      <w:pPr>
        <w:ind w:left="300"/>
        <w:rPr>
          <w:sz w:val="20"/>
          <w:szCs w:val="20"/>
        </w:rPr>
      </w:pPr>
      <w:r>
        <w:rPr>
          <w:rFonts w:ascii="Arial" w:eastAsia="Arial" w:hAnsi="Arial" w:cs="Arial"/>
          <w:b/>
          <w:bCs/>
          <w:sz w:val="18"/>
          <w:szCs w:val="18"/>
        </w:rPr>
        <w:t>Authorized But Unissued Shares</w:t>
      </w:r>
    </w:p>
    <w:p w14:paraId="56CCF9A2" w14:textId="77777777" w:rsidR="00D1587D" w:rsidRDefault="00D1587D">
      <w:pPr>
        <w:spacing w:line="121" w:lineRule="exact"/>
        <w:rPr>
          <w:sz w:val="20"/>
          <w:szCs w:val="20"/>
        </w:rPr>
      </w:pPr>
    </w:p>
    <w:p w14:paraId="1091A4D4" w14:textId="77777777" w:rsidR="00D1587D" w:rsidRDefault="00410D07">
      <w:pPr>
        <w:spacing w:line="275" w:lineRule="auto"/>
        <w:ind w:left="300" w:right="399" w:firstLine="360"/>
        <w:rPr>
          <w:sz w:val="20"/>
          <w:szCs w:val="20"/>
        </w:rPr>
      </w:pPr>
      <w:r>
        <w:rPr>
          <w:rFonts w:ascii="Arial" w:eastAsia="Arial" w:hAnsi="Arial" w:cs="Arial"/>
          <w:sz w:val="17"/>
          <w:szCs w:val="17"/>
        </w:rPr>
        <w:t xml:space="preserve">Our authorized but </w:t>
      </w:r>
      <w:r>
        <w:rPr>
          <w:rFonts w:ascii="Arial" w:eastAsia="Arial" w:hAnsi="Arial" w:cs="Arial"/>
          <w:sz w:val="17"/>
          <w:szCs w:val="17"/>
        </w:rPr>
        <w:t>unissued shares of common stock and preferred stock will be available for future issuance without your approval. We may use additional shares for a variety of purposes, including future public offerings to raise additional capital, to fund acquisitions and</w:t>
      </w:r>
      <w:r>
        <w:rPr>
          <w:rFonts w:ascii="Arial" w:eastAsia="Arial" w:hAnsi="Arial" w:cs="Arial"/>
          <w:sz w:val="17"/>
          <w:szCs w:val="17"/>
        </w:rPr>
        <w:t xml:space="preserve"> as employee compensation. The existence of authorized but unissued shares of common stock and preferred stock could render more difficult or discourage an attempt to obtain control of VS by means of a proxy contest, tender offer, merger or otherwise.</w:t>
      </w:r>
    </w:p>
    <w:p w14:paraId="3E6D1ED9" w14:textId="77777777" w:rsidR="00D1587D" w:rsidRDefault="00D1587D">
      <w:pPr>
        <w:spacing w:line="321" w:lineRule="exact"/>
        <w:rPr>
          <w:sz w:val="20"/>
          <w:szCs w:val="20"/>
        </w:rPr>
      </w:pPr>
    </w:p>
    <w:p w14:paraId="7B454FC2" w14:textId="77777777" w:rsidR="00D1587D" w:rsidRDefault="00410D07">
      <w:pPr>
        <w:ind w:left="300"/>
        <w:rPr>
          <w:sz w:val="20"/>
          <w:szCs w:val="20"/>
        </w:rPr>
      </w:pPr>
      <w:r>
        <w:rPr>
          <w:rFonts w:ascii="Arial" w:eastAsia="Arial" w:hAnsi="Arial" w:cs="Arial"/>
          <w:b/>
          <w:bCs/>
          <w:sz w:val="18"/>
          <w:szCs w:val="18"/>
        </w:rPr>
        <w:t>Tra</w:t>
      </w:r>
      <w:r>
        <w:rPr>
          <w:rFonts w:ascii="Arial" w:eastAsia="Arial" w:hAnsi="Arial" w:cs="Arial"/>
          <w:b/>
          <w:bCs/>
          <w:sz w:val="18"/>
          <w:szCs w:val="18"/>
        </w:rPr>
        <w:t>nsfer Agent and Registrar</w:t>
      </w:r>
    </w:p>
    <w:p w14:paraId="2D11B904" w14:textId="77777777" w:rsidR="00D1587D" w:rsidRDefault="00D1587D">
      <w:pPr>
        <w:spacing w:line="148" w:lineRule="exact"/>
        <w:rPr>
          <w:sz w:val="20"/>
          <w:szCs w:val="20"/>
        </w:rPr>
      </w:pPr>
    </w:p>
    <w:p w14:paraId="1BF3ABE4" w14:textId="77777777" w:rsidR="00D1587D" w:rsidRDefault="00410D07">
      <w:pPr>
        <w:ind w:left="660"/>
        <w:rPr>
          <w:sz w:val="20"/>
          <w:szCs w:val="20"/>
        </w:rPr>
      </w:pPr>
      <w:r>
        <w:rPr>
          <w:rFonts w:ascii="Arial" w:eastAsia="Arial" w:hAnsi="Arial" w:cs="Arial"/>
          <w:sz w:val="18"/>
          <w:szCs w:val="18"/>
        </w:rPr>
        <w:t>The transfer agent and registrar for the common stock will be American Stock Transfer.</w:t>
      </w:r>
    </w:p>
    <w:p w14:paraId="6E1610B5" w14:textId="77777777" w:rsidR="00D1587D" w:rsidRDefault="00D1587D">
      <w:pPr>
        <w:spacing w:line="383" w:lineRule="exact"/>
        <w:rPr>
          <w:sz w:val="20"/>
          <w:szCs w:val="20"/>
        </w:rPr>
      </w:pPr>
    </w:p>
    <w:p w14:paraId="5F8BE983" w14:textId="77777777" w:rsidR="00D1587D" w:rsidRDefault="00410D07">
      <w:pPr>
        <w:ind w:left="300"/>
        <w:rPr>
          <w:sz w:val="20"/>
          <w:szCs w:val="20"/>
        </w:rPr>
      </w:pPr>
      <w:r>
        <w:rPr>
          <w:rFonts w:ascii="Arial" w:eastAsia="Arial" w:hAnsi="Arial" w:cs="Arial"/>
          <w:b/>
          <w:bCs/>
          <w:sz w:val="18"/>
          <w:szCs w:val="18"/>
        </w:rPr>
        <w:t>Listing</w:t>
      </w:r>
    </w:p>
    <w:p w14:paraId="158A26E0" w14:textId="77777777" w:rsidR="00D1587D" w:rsidRDefault="00D1587D">
      <w:pPr>
        <w:spacing w:line="148" w:lineRule="exact"/>
        <w:rPr>
          <w:sz w:val="20"/>
          <w:szCs w:val="20"/>
        </w:rPr>
      </w:pPr>
    </w:p>
    <w:p w14:paraId="70022282" w14:textId="77777777" w:rsidR="00D1587D" w:rsidRDefault="00410D07">
      <w:pPr>
        <w:ind w:left="660"/>
        <w:rPr>
          <w:sz w:val="20"/>
          <w:szCs w:val="20"/>
        </w:rPr>
      </w:pPr>
      <w:r>
        <w:rPr>
          <w:rFonts w:ascii="Arial" w:eastAsia="Arial" w:hAnsi="Arial" w:cs="Arial"/>
          <w:sz w:val="18"/>
          <w:szCs w:val="18"/>
        </w:rPr>
        <w:t>We have applied to list our common stock on the NYSE under the ticker symbol “VSCO.”</w:t>
      </w:r>
    </w:p>
    <w:p w14:paraId="1CF2CBD7" w14:textId="77777777" w:rsidR="00D1587D" w:rsidRDefault="00D1587D">
      <w:pPr>
        <w:spacing w:line="225" w:lineRule="exact"/>
        <w:rPr>
          <w:sz w:val="20"/>
          <w:szCs w:val="20"/>
        </w:rPr>
      </w:pPr>
    </w:p>
    <w:p w14:paraId="2982BF43" w14:textId="77777777" w:rsidR="00D1587D" w:rsidRDefault="00410D07">
      <w:pPr>
        <w:ind w:right="19"/>
        <w:jc w:val="center"/>
        <w:rPr>
          <w:sz w:val="20"/>
          <w:szCs w:val="20"/>
        </w:rPr>
      </w:pPr>
      <w:r>
        <w:rPr>
          <w:rFonts w:ascii="Arial" w:eastAsia="Arial" w:hAnsi="Arial" w:cs="Arial"/>
          <w:sz w:val="18"/>
          <w:szCs w:val="18"/>
        </w:rPr>
        <w:t>136</w:t>
      </w:r>
    </w:p>
    <w:p w14:paraId="17F0441C" w14:textId="77777777" w:rsidR="00D1587D" w:rsidRDefault="00410D07">
      <w:pPr>
        <w:spacing w:line="20" w:lineRule="exact"/>
        <w:rPr>
          <w:sz w:val="20"/>
          <w:szCs w:val="20"/>
        </w:rPr>
      </w:pPr>
      <w:r>
        <w:rPr>
          <w:noProof/>
          <w:sz w:val="20"/>
          <w:szCs w:val="20"/>
        </w:rPr>
        <w:drawing>
          <wp:anchor distT="0" distB="0" distL="114300" distR="114300" simplePos="0" relativeHeight="251988992" behindDoc="1" locked="0" layoutInCell="0" allowOverlap="1" wp14:anchorId="39F43E03" wp14:editId="69FBC597">
            <wp:simplePos x="0" y="0"/>
            <wp:positionH relativeFrom="column">
              <wp:posOffset>-636905</wp:posOffset>
            </wp:positionH>
            <wp:positionV relativeFrom="paragraph">
              <wp:posOffset>126365</wp:posOffset>
            </wp:positionV>
            <wp:extent cx="6995160" cy="17145"/>
            <wp:effectExtent l="0" t="0" r="0" b="0"/>
            <wp:wrapNone/>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771A6AF" w14:textId="77777777" w:rsidR="00D1587D" w:rsidRDefault="00D1587D">
      <w:pPr>
        <w:sectPr w:rsidR="00D1587D">
          <w:pgSz w:w="11900" w:h="16838"/>
          <w:pgMar w:top="265" w:right="1440" w:bottom="1440" w:left="1440" w:header="0" w:footer="0" w:gutter="0"/>
          <w:cols w:space="720" w:equalWidth="0">
            <w:col w:w="9019"/>
          </w:cols>
        </w:sectPr>
      </w:pPr>
    </w:p>
    <w:bookmarkStart w:id="394" w:name="page395"/>
    <w:bookmarkEnd w:id="394"/>
    <w:p w14:paraId="5E14707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w:instrText>
      </w:r>
      <w:r>
        <w:instrText xml:space="preserve">"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12BB72F" w14:textId="77777777" w:rsidR="00D1587D" w:rsidRDefault="00D1587D">
      <w:pPr>
        <w:spacing w:line="127" w:lineRule="exact"/>
        <w:rPr>
          <w:sz w:val="20"/>
          <w:szCs w:val="20"/>
        </w:rPr>
      </w:pPr>
    </w:p>
    <w:p w14:paraId="151F6F20" w14:textId="77777777" w:rsidR="00D1587D" w:rsidRDefault="00410D07">
      <w:pPr>
        <w:ind w:right="19"/>
        <w:jc w:val="center"/>
        <w:rPr>
          <w:sz w:val="20"/>
          <w:szCs w:val="20"/>
        </w:rPr>
      </w:pPr>
      <w:r>
        <w:rPr>
          <w:rFonts w:ascii="Arial" w:eastAsia="Arial" w:hAnsi="Arial" w:cs="Arial"/>
          <w:b/>
          <w:bCs/>
          <w:sz w:val="18"/>
          <w:szCs w:val="18"/>
        </w:rPr>
        <w:t>WHERE YOU CAN FIND MORE INFORMATION</w:t>
      </w:r>
    </w:p>
    <w:p w14:paraId="71F6EB6C" w14:textId="77777777" w:rsidR="00D1587D" w:rsidRDefault="00D1587D">
      <w:pPr>
        <w:spacing w:line="121" w:lineRule="exact"/>
        <w:rPr>
          <w:sz w:val="20"/>
          <w:szCs w:val="20"/>
        </w:rPr>
      </w:pPr>
    </w:p>
    <w:p w14:paraId="28B29568" w14:textId="77777777" w:rsidR="00D1587D" w:rsidRDefault="00410D07">
      <w:pPr>
        <w:spacing w:line="288" w:lineRule="auto"/>
        <w:ind w:left="300" w:right="319" w:firstLine="360"/>
        <w:rPr>
          <w:sz w:val="20"/>
          <w:szCs w:val="20"/>
        </w:rPr>
      </w:pPr>
      <w:r>
        <w:rPr>
          <w:rFonts w:ascii="Arial" w:eastAsia="Arial" w:hAnsi="Arial" w:cs="Arial"/>
          <w:sz w:val="16"/>
          <w:szCs w:val="16"/>
        </w:rPr>
        <w:t xml:space="preserve">We have filed a registration statement on Form 10 with the SEC with respect to the shares of our common stock being distributed in the Separation as contemplated by this information </w:t>
      </w:r>
      <w:r>
        <w:rPr>
          <w:rFonts w:ascii="Arial" w:eastAsia="Arial" w:hAnsi="Arial" w:cs="Arial"/>
          <w:sz w:val="16"/>
          <w:szCs w:val="16"/>
        </w:rPr>
        <w:t>statement. This information statement is a part of, and does not contain all of the information set forth in, the registration statement and the exhibits to the registration statement. For further information with respect to our company and our common stoc</w:t>
      </w:r>
      <w:r>
        <w:rPr>
          <w:rFonts w:ascii="Arial" w:eastAsia="Arial" w:hAnsi="Arial" w:cs="Arial"/>
          <w:sz w:val="16"/>
          <w:szCs w:val="16"/>
        </w:rPr>
        <w:t xml:space="preserve">k, please refer to the registration statement, including its exhibits. Statements made in this information statement relating to any contract or other document are not necessarily complete, and you should refer to the exhibits attached to the registration </w:t>
      </w:r>
      <w:r>
        <w:rPr>
          <w:rFonts w:ascii="Arial" w:eastAsia="Arial" w:hAnsi="Arial" w:cs="Arial"/>
          <w:sz w:val="16"/>
          <w:szCs w:val="16"/>
        </w:rPr>
        <w:t>statement for the full text of the actual contract or document. You may review a copy of the registration statement, including its exhibits, at the Internet website maintained by the SEC at www.sec.gov. Information contained on any website referenced in th</w:t>
      </w:r>
      <w:r>
        <w:rPr>
          <w:rFonts w:ascii="Arial" w:eastAsia="Arial" w:hAnsi="Arial" w:cs="Arial"/>
          <w:sz w:val="16"/>
          <w:szCs w:val="16"/>
        </w:rPr>
        <w:t>is information statement is not incorporated by reference into this information statement or the registration statement of which this information statement forms a part.</w:t>
      </w:r>
    </w:p>
    <w:p w14:paraId="661A8454" w14:textId="77777777" w:rsidR="00D1587D" w:rsidRDefault="00D1587D">
      <w:pPr>
        <w:spacing w:line="60" w:lineRule="exact"/>
        <w:rPr>
          <w:sz w:val="20"/>
          <w:szCs w:val="20"/>
        </w:rPr>
      </w:pPr>
    </w:p>
    <w:p w14:paraId="22538AA5" w14:textId="77777777" w:rsidR="00D1587D" w:rsidRDefault="00410D07">
      <w:pPr>
        <w:spacing w:line="263" w:lineRule="auto"/>
        <w:ind w:left="300" w:right="319" w:firstLine="360"/>
        <w:rPr>
          <w:sz w:val="20"/>
          <w:szCs w:val="20"/>
        </w:rPr>
      </w:pPr>
      <w:r>
        <w:rPr>
          <w:rFonts w:ascii="Arial" w:eastAsia="Arial" w:hAnsi="Arial" w:cs="Arial"/>
          <w:sz w:val="18"/>
          <w:szCs w:val="18"/>
        </w:rPr>
        <w:t>After the Separation, we will become subject to the information and reporting require</w:t>
      </w:r>
      <w:r>
        <w:rPr>
          <w:rFonts w:ascii="Arial" w:eastAsia="Arial" w:hAnsi="Arial" w:cs="Arial"/>
          <w:sz w:val="18"/>
          <w:szCs w:val="18"/>
        </w:rPr>
        <w:t>ments of the Exchange Act, and, in accordance with the Exchange Act, we will file periodic reports, proxy statements and other information with the SEC. Our future filings will be available from the SEC as described above.</w:t>
      </w:r>
    </w:p>
    <w:p w14:paraId="79FAA6A4" w14:textId="77777777" w:rsidR="00D1587D" w:rsidRDefault="00D1587D">
      <w:pPr>
        <w:spacing w:line="184" w:lineRule="exact"/>
        <w:rPr>
          <w:sz w:val="20"/>
          <w:szCs w:val="20"/>
        </w:rPr>
      </w:pPr>
    </w:p>
    <w:p w14:paraId="1FD7E574" w14:textId="77777777" w:rsidR="00D1587D" w:rsidRDefault="00410D07">
      <w:pPr>
        <w:ind w:right="19"/>
        <w:jc w:val="center"/>
        <w:rPr>
          <w:sz w:val="20"/>
          <w:szCs w:val="20"/>
        </w:rPr>
      </w:pPr>
      <w:r>
        <w:rPr>
          <w:rFonts w:ascii="Arial" w:eastAsia="Arial" w:hAnsi="Arial" w:cs="Arial"/>
          <w:sz w:val="18"/>
          <w:szCs w:val="18"/>
        </w:rPr>
        <w:t>137</w:t>
      </w:r>
    </w:p>
    <w:p w14:paraId="388A60FE" w14:textId="77777777" w:rsidR="00D1587D" w:rsidRDefault="00410D07">
      <w:pPr>
        <w:spacing w:line="20" w:lineRule="exact"/>
        <w:rPr>
          <w:sz w:val="20"/>
          <w:szCs w:val="20"/>
        </w:rPr>
      </w:pPr>
      <w:r>
        <w:rPr>
          <w:noProof/>
          <w:sz w:val="20"/>
          <w:szCs w:val="20"/>
        </w:rPr>
        <w:drawing>
          <wp:anchor distT="0" distB="0" distL="114300" distR="114300" simplePos="0" relativeHeight="251990016" behindDoc="1" locked="0" layoutInCell="0" allowOverlap="1" wp14:anchorId="7AD81D26" wp14:editId="4FE33F34">
            <wp:simplePos x="0" y="0"/>
            <wp:positionH relativeFrom="column">
              <wp:posOffset>-636905</wp:posOffset>
            </wp:positionH>
            <wp:positionV relativeFrom="paragraph">
              <wp:posOffset>134620</wp:posOffset>
            </wp:positionV>
            <wp:extent cx="6995160" cy="17145"/>
            <wp:effectExtent l="0" t="0" r="0" b="0"/>
            <wp:wrapNone/>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FB7BF8D" w14:textId="77777777" w:rsidR="00D1587D" w:rsidRDefault="00D1587D">
      <w:pPr>
        <w:sectPr w:rsidR="00D1587D">
          <w:pgSz w:w="11900" w:h="16838"/>
          <w:pgMar w:top="265" w:right="1440" w:bottom="1440" w:left="1440" w:header="0" w:footer="0" w:gutter="0"/>
          <w:cols w:space="720" w:equalWidth="0">
            <w:col w:w="9019"/>
          </w:cols>
        </w:sectPr>
      </w:pPr>
    </w:p>
    <w:bookmarkStart w:id="395" w:name="page396"/>
    <w:bookmarkEnd w:id="395"/>
    <w:p w14:paraId="373C3E7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w:instrText>
      </w:r>
      <w:r>
        <w:instrText xml:space="preserve">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D345410" w14:textId="77777777" w:rsidR="00D1587D" w:rsidRDefault="00D1587D">
      <w:pPr>
        <w:spacing w:line="127" w:lineRule="exact"/>
        <w:rPr>
          <w:sz w:val="20"/>
          <w:szCs w:val="20"/>
        </w:rPr>
      </w:pPr>
    </w:p>
    <w:p w14:paraId="7B89A993"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6B3B5C58" w14:textId="77777777" w:rsidR="00D1587D" w:rsidRDefault="00D1587D">
      <w:pPr>
        <w:spacing w:line="225" w:lineRule="exact"/>
        <w:rPr>
          <w:sz w:val="20"/>
          <w:szCs w:val="20"/>
        </w:rPr>
      </w:pPr>
    </w:p>
    <w:p w14:paraId="5F528431" w14:textId="77777777" w:rsidR="00D1587D" w:rsidRDefault="00410D07">
      <w:pPr>
        <w:jc w:val="center"/>
        <w:rPr>
          <w:sz w:val="20"/>
          <w:szCs w:val="20"/>
        </w:rPr>
      </w:pPr>
      <w:r>
        <w:rPr>
          <w:rFonts w:ascii="Arial" w:eastAsia="Arial" w:hAnsi="Arial" w:cs="Arial"/>
          <w:b/>
          <w:bCs/>
          <w:sz w:val="18"/>
          <w:szCs w:val="18"/>
        </w:rPr>
        <w:t>Index to Combined Financial Statements</w:t>
      </w:r>
    </w:p>
    <w:p w14:paraId="7BA63F1D" w14:textId="77777777" w:rsidR="00D1587D" w:rsidRDefault="00D1587D">
      <w:pPr>
        <w:spacing w:line="360" w:lineRule="exact"/>
        <w:rPr>
          <w:sz w:val="20"/>
          <w:szCs w:val="20"/>
        </w:rPr>
      </w:pPr>
    </w:p>
    <w:p w14:paraId="33D02A48" w14:textId="77777777" w:rsidR="00D1587D" w:rsidRDefault="00410D07">
      <w:pPr>
        <w:jc w:val="center"/>
        <w:rPr>
          <w:sz w:val="20"/>
          <w:szCs w:val="20"/>
        </w:rPr>
      </w:pPr>
      <w:r>
        <w:rPr>
          <w:rFonts w:ascii="Arial" w:eastAsia="Arial" w:hAnsi="Arial" w:cs="Arial"/>
          <w:b/>
          <w:bCs/>
          <w:sz w:val="18"/>
          <w:szCs w:val="18"/>
        </w:rPr>
        <w:t>TABLE OF CONTENTS</w:t>
      </w:r>
    </w:p>
    <w:p w14:paraId="53F2D19D" w14:textId="77777777" w:rsidR="00D1587D" w:rsidRDefault="00D1587D">
      <w:pPr>
        <w:spacing w:line="360" w:lineRule="exact"/>
        <w:rPr>
          <w:sz w:val="20"/>
          <w:szCs w:val="20"/>
        </w:rPr>
      </w:pPr>
    </w:p>
    <w:p w14:paraId="25605C7D" w14:textId="77777777" w:rsidR="00D1587D" w:rsidRDefault="00410D07">
      <w:pPr>
        <w:jc w:val="center"/>
        <w:rPr>
          <w:sz w:val="20"/>
          <w:szCs w:val="20"/>
        </w:rPr>
      </w:pPr>
      <w:r>
        <w:rPr>
          <w:rFonts w:ascii="Arial" w:eastAsia="Arial" w:hAnsi="Arial" w:cs="Arial"/>
          <w:b/>
          <w:bCs/>
          <w:sz w:val="18"/>
          <w:szCs w:val="18"/>
        </w:rPr>
        <w:t>Years Ended January 30, 2021, February 1, 2020 and February 2, 2019</w:t>
      </w:r>
    </w:p>
    <w:p w14:paraId="7CC8E2D3" w14:textId="77777777" w:rsidR="00D1587D" w:rsidRDefault="00D1587D">
      <w:pPr>
        <w:spacing w:line="19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2940"/>
        <w:gridCol w:w="440"/>
        <w:gridCol w:w="820"/>
        <w:gridCol w:w="1080"/>
        <w:gridCol w:w="360"/>
        <w:gridCol w:w="200"/>
        <w:gridCol w:w="1180"/>
        <w:gridCol w:w="1100"/>
        <w:gridCol w:w="20"/>
        <w:gridCol w:w="260"/>
        <w:gridCol w:w="20"/>
      </w:tblGrid>
      <w:tr w:rsidR="00D1587D" w14:paraId="54CCABD5" w14:textId="77777777">
        <w:trPr>
          <w:trHeight w:val="186"/>
        </w:trPr>
        <w:tc>
          <w:tcPr>
            <w:tcW w:w="2940" w:type="dxa"/>
            <w:vAlign w:val="bottom"/>
          </w:tcPr>
          <w:p w14:paraId="41B2BA6E" w14:textId="77777777" w:rsidR="00D1587D" w:rsidRDefault="00D1587D">
            <w:pPr>
              <w:rPr>
                <w:sz w:val="16"/>
                <w:szCs w:val="16"/>
              </w:rPr>
            </w:pPr>
          </w:p>
        </w:tc>
        <w:tc>
          <w:tcPr>
            <w:tcW w:w="440" w:type="dxa"/>
            <w:vAlign w:val="bottom"/>
          </w:tcPr>
          <w:p w14:paraId="00A6D885" w14:textId="77777777" w:rsidR="00D1587D" w:rsidRDefault="00D1587D">
            <w:pPr>
              <w:rPr>
                <w:sz w:val="16"/>
                <w:szCs w:val="16"/>
              </w:rPr>
            </w:pPr>
          </w:p>
        </w:tc>
        <w:tc>
          <w:tcPr>
            <w:tcW w:w="820" w:type="dxa"/>
            <w:vAlign w:val="bottom"/>
          </w:tcPr>
          <w:p w14:paraId="1BCD0F88" w14:textId="77777777" w:rsidR="00D1587D" w:rsidRDefault="00D1587D">
            <w:pPr>
              <w:rPr>
                <w:sz w:val="16"/>
                <w:szCs w:val="16"/>
              </w:rPr>
            </w:pPr>
          </w:p>
        </w:tc>
        <w:tc>
          <w:tcPr>
            <w:tcW w:w="1080" w:type="dxa"/>
            <w:vAlign w:val="bottom"/>
          </w:tcPr>
          <w:p w14:paraId="24D98424" w14:textId="77777777" w:rsidR="00D1587D" w:rsidRDefault="00D1587D">
            <w:pPr>
              <w:rPr>
                <w:sz w:val="16"/>
                <w:szCs w:val="16"/>
              </w:rPr>
            </w:pPr>
          </w:p>
        </w:tc>
        <w:tc>
          <w:tcPr>
            <w:tcW w:w="360" w:type="dxa"/>
            <w:vAlign w:val="bottom"/>
          </w:tcPr>
          <w:p w14:paraId="47AF0CBE" w14:textId="77777777" w:rsidR="00D1587D" w:rsidRDefault="00D1587D">
            <w:pPr>
              <w:rPr>
                <w:sz w:val="16"/>
                <w:szCs w:val="16"/>
              </w:rPr>
            </w:pPr>
          </w:p>
        </w:tc>
        <w:tc>
          <w:tcPr>
            <w:tcW w:w="200" w:type="dxa"/>
            <w:vAlign w:val="bottom"/>
          </w:tcPr>
          <w:p w14:paraId="2188A4F0" w14:textId="77777777" w:rsidR="00D1587D" w:rsidRDefault="00D1587D">
            <w:pPr>
              <w:rPr>
                <w:sz w:val="16"/>
                <w:szCs w:val="16"/>
              </w:rPr>
            </w:pPr>
          </w:p>
        </w:tc>
        <w:tc>
          <w:tcPr>
            <w:tcW w:w="1180" w:type="dxa"/>
            <w:vAlign w:val="bottom"/>
          </w:tcPr>
          <w:p w14:paraId="122C4722" w14:textId="77777777" w:rsidR="00D1587D" w:rsidRDefault="00D1587D">
            <w:pPr>
              <w:rPr>
                <w:sz w:val="16"/>
                <w:szCs w:val="16"/>
              </w:rPr>
            </w:pPr>
          </w:p>
        </w:tc>
        <w:tc>
          <w:tcPr>
            <w:tcW w:w="1100" w:type="dxa"/>
            <w:vAlign w:val="bottom"/>
          </w:tcPr>
          <w:p w14:paraId="47B1A2D1" w14:textId="77777777" w:rsidR="00D1587D" w:rsidRDefault="00D1587D">
            <w:pPr>
              <w:rPr>
                <w:sz w:val="16"/>
                <w:szCs w:val="16"/>
              </w:rPr>
            </w:pPr>
          </w:p>
        </w:tc>
        <w:tc>
          <w:tcPr>
            <w:tcW w:w="300" w:type="dxa"/>
            <w:gridSpan w:val="3"/>
            <w:vAlign w:val="bottom"/>
          </w:tcPr>
          <w:p w14:paraId="04C00000" w14:textId="77777777" w:rsidR="00D1587D" w:rsidRDefault="00410D07">
            <w:pPr>
              <w:rPr>
                <w:sz w:val="20"/>
                <w:szCs w:val="20"/>
              </w:rPr>
            </w:pPr>
            <w:r>
              <w:rPr>
                <w:rFonts w:ascii="Arial" w:eastAsia="Arial" w:hAnsi="Arial" w:cs="Arial"/>
                <w:b/>
                <w:bCs/>
                <w:w w:val="83"/>
                <w:sz w:val="14"/>
                <w:szCs w:val="14"/>
              </w:rPr>
              <w:t>Page</w:t>
            </w:r>
          </w:p>
        </w:tc>
      </w:tr>
      <w:tr w:rsidR="00D1587D" w14:paraId="4BDCF6A4" w14:textId="77777777">
        <w:trPr>
          <w:trHeight w:val="53"/>
        </w:trPr>
        <w:tc>
          <w:tcPr>
            <w:tcW w:w="2940" w:type="dxa"/>
            <w:tcBorders>
              <w:bottom w:val="single" w:sz="8" w:space="0" w:color="CCEEFF"/>
            </w:tcBorders>
            <w:vAlign w:val="bottom"/>
          </w:tcPr>
          <w:p w14:paraId="4AE8EE2F" w14:textId="77777777" w:rsidR="00D1587D" w:rsidRDefault="00D1587D">
            <w:pPr>
              <w:rPr>
                <w:sz w:val="4"/>
                <w:szCs w:val="4"/>
              </w:rPr>
            </w:pPr>
          </w:p>
        </w:tc>
        <w:tc>
          <w:tcPr>
            <w:tcW w:w="440" w:type="dxa"/>
            <w:tcBorders>
              <w:bottom w:val="single" w:sz="8" w:space="0" w:color="CCEEFF"/>
            </w:tcBorders>
            <w:vAlign w:val="bottom"/>
          </w:tcPr>
          <w:p w14:paraId="650658D0" w14:textId="77777777" w:rsidR="00D1587D" w:rsidRDefault="00D1587D">
            <w:pPr>
              <w:rPr>
                <w:sz w:val="4"/>
                <w:szCs w:val="4"/>
              </w:rPr>
            </w:pPr>
          </w:p>
        </w:tc>
        <w:tc>
          <w:tcPr>
            <w:tcW w:w="820" w:type="dxa"/>
            <w:tcBorders>
              <w:bottom w:val="single" w:sz="8" w:space="0" w:color="CCEEFF"/>
            </w:tcBorders>
            <w:vAlign w:val="bottom"/>
          </w:tcPr>
          <w:p w14:paraId="3F8A184D" w14:textId="77777777" w:rsidR="00D1587D" w:rsidRDefault="00D1587D">
            <w:pPr>
              <w:rPr>
                <w:sz w:val="4"/>
                <w:szCs w:val="4"/>
              </w:rPr>
            </w:pPr>
          </w:p>
        </w:tc>
        <w:tc>
          <w:tcPr>
            <w:tcW w:w="1080" w:type="dxa"/>
            <w:tcBorders>
              <w:bottom w:val="single" w:sz="8" w:space="0" w:color="CCEEFF"/>
            </w:tcBorders>
            <w:vAlign w:val="bottom"/>
          </w:tcPr>
          <w:p w14:paraId="2FD31BAA" w14:textId="77777777" w:rsidR="00D1587D" w:rsidRDefault="00D1587D">
            <w:pPr>
              <w:rPr>
                <w:sz w:val="4"/>
                <w:szCs w:val="4"/>
              </w:rPr>
            </w:pPr>
          </w:p>
        </w:tc>
        <w:tc>
          <w:tcPr>
            <w:tcW w:w="360" w:type="dxa"/>
            <w:tcBorders>
              <w:bottom w:val="single" w:sz="8" w:space="0" w:color="CCEEFF"/>
            </w:tcBorders>
            <w:vAlign w:val="bottom"/>
          </w:tcPr>
          <w:p w14:paraId="50D90C7E" w14:textId="77777777" w:rsidR="00D1587D" w:rsidRDefault="00D1587D">
            <w:pPr>
              <w:rPr>
                <w:sz w:val="4"/>
                <w:szCs w:val="4"/>
              </w:rPr>
            </w:pPr>
          </w:p>
        </w:tc>
        <w:tc>
          <w:tcPr>
            <w:tcW w:w="200" w:type="dxa"/>
            <w:tcBorders>
              <w:bottom w:val="single" w:sz="8" w:space="0" w:color="CCEEFF"/>
            </w:tcBorders>
            <w:vAlign w:val="bottom"/>
          </w:tcPr>
          <w:p w14:paraId="31C11F68" w14:textId="77777777" w:rsidR="00D1587D" w:rsidRDefault="00D1587D">
            <w:pPr>
              <w:rPr>
                <w:sz w:val="4"/>
                <w:szCs w:val="4"/>
              </w:rPr>
            </w:pPr>
          </w:p>
        </w:tc>
        <w:tc>
          <w:tcPr>
            <w:tcW w:w="1180" w:type="dxa"/>
            <w:tcBorders>
              <w:bottom w:val="single" w:sz="8" w:space="0" w:color="CCEEFF"/>
            </w:tcBorders>
            <w:vAlign w:val="bottom"/>
          </w:tcPr>
          <w:p w14:paraId="58DEA642" w14:textId="77777777" w:rsidR="00D1587D" w:rsidRDefault="00D1587D">
            <w:pPr>
              <w:rPr>
                <w:sz w:val="4"/>
                <w:szCs w:val="4"/>
              </w:rPr>
            </w:pPr>
          </w:p>
        </w:tc>
        <w:tc>
          <w:tcPr>
            <w:tcW w:w="1100" w:type="dxa"/>
            <w:tcBorders>
              <w:bottom w:val="single" w:sz="8" w:space="0" w:color="CCEEFF"/>
            </w:tcBorders>
            <w:vAlign w:val="bottom"/>
          </w:tcPr>
          <w:p w14:paraId="709D04C5" w14:textId="77777777" w:rsidR="00D1587D" w:rsidRDefault="00D1587D">
            <w:pPr>
              <w:rPr>
                <w:sz w:val="4"/>
                <w:szCs w:val="4"/>
              </w:rPr>
            </w:pPr>
          </w:p>
        </w:tc>
        <w:tc>
          <w:tcPr>
            <w:tcW w:w="20" w:type="dxa"/>
            <w:tcBorders>
              <w:bottom w:val="single" w:sz="8" w:space="0" w:color="auto"/>
            </w:tcBorders>
            <w:vAlign w:val="bottom"/>
          </w:tcPr>
          <w:p w14:paraId="52CCEEC1" w14:textId="77777777" w:rsidR="00D1587D" w:rsidRDefault="00D1587D">
            <w:pPr>
              <w:rPr>
                <w:sz w:val="4"/>
                <w:szCs w:val="4"/>
              </w:rPr>
            </w:pPr>
          </w:p>
        </w:tc>
        <w:tc>
          <w:tcPr>
            <w:tcW w:w="260" w:type="dxa"/>
            <w:tcBorders>
              <w:bottom w:val="single" w:sz="8" w:space="0" w:color="auto"/>
            </w:tcBorders>
            <w:vAlign w:val="bottom"/>
          </w:tcPr>
          <w:p w14:paraId="1AF03F40" w14:textId="77777777" w:rsidR="00D1587D" w:rsidRDefault="00D1587D">
            <w:pPr>
              <w:rPr>
                <w:sz w:val="4"/>
                <w:szCs w:val="4"/>
              </w:rPr>
            </w:pPr>
          </w:p>
        </w:tc>
        <w:tc>
          <w:tcPr>
            <w:tcW w:w="20" w:type="dxa"/>
            <w:tcBorders>
              <w:bottom w:val="single" w:sz="8" w:space="0" w:color="auto"/>
            </w:tcBorders>
            <w:vAlign w:val="bottom"/>
          </w:tcPr>
          <w:p w14:paraId="0DB74BA0" w14:textId="77777777" w:rsidR="00D1587D" w:rsidRDefault="00D1587D">
            <w:pPr>
              <w:rPr>
                <w:sz w:val="4"/>
                <w:szCs w:val="4"/>
              </w:rPr>
            </w:pPr>
          </w:p>
        </w:tc>
      </w:tr>
      <w:tr w:rsidR="00D1587D" w14:paraId="3B5709BE" w14:textId="77777777">
        <w:trPr>
          <w:trHeight w:val="237"/>
        </w:trPr>
        <w:tc>
          <w:tcPr>
            <w:tcW w:w="8120" w:type="dxa"/>
            <w:gridSpan w:val="8"/>
            <w:shd w:val="clear" w:color="auto" w:fill="CCEEFF"/>
            <w:vAlign w:val="bottom"/>
          </w:tcPr>
          <w:p w14:paraId="76EED049" w14:textId="77777777" w:rsidR="00D1587D" w:rsidRDefault="00410D07">
            <w:pPr>
              <w:rPr>
                <w:rFonts w:ascii="Arial" w:eastAsia="Arial" w:hAnsi="Arial" w:cs="Arial"/>
                <w:color w:val="0000EE"/>
                <w:sz w:val="18"/>
                <w:szCs w:val="18"/>
              </w:rPr>
            </w:pPr>
            <w:hyperlink w:anchor="page397">
              <w:r>
                <w:rPr>
                  <w:rFonts w:ascii="Arial" w:eastAsia="Arial" w:hAnsi="Arial" w:cs="Arial"/>
                  <w:color w:val="0000EE"/>
                  <w:sz w:val="18"/>
                  <w:szCs w:val="18"/>
                </w:rPr>
                <w:t>Report of Independent Registered Public Accounting Firm</w:t>
              </w:r>
            </w:hyperlink>
          </w:p>
        </w:tc>
        <w:tc>
          <w:tcPr>
            <w:tcW w:w="20" w:type="dxa"/>
            <w:shd w:val="clear" w:color="auto" w:fill="CCEEFF"/>
            <w:vAlign w:val="bottom"/>
          </w:tcPr>
          <w:p w14:paraId="42B97123" w14:textId="77777777" w:rsidR="00D1587D" w:rsidRDefault="00D1587D">
            <w:pPr>
              <w:rPr>
                <w:sz w:val="20"/>
                <w:szCs w:val="20"/>
              </w:rPr>
            </w:pPr>
          </w:p>
        </w:tc>
        <w:tc>
          <w:tcPr>
            <w:tcW w:w="280" w:type="dxa"/>
            <w:gridSpan w:val="2"/>
            <w:shd w:val="clear" w:color="auto" w:fill="CCEEFF"/>
            <w:vAlign w:val="bottom"/>
          </w:tcPr>
          <w:p w14:paraId="5F3625DA" w14:textId="77777777" w:rsidR="00D1587D" w:rsidRDefault="00410D07">
            <w:pPr>
              <w:rPr>
                <w:rFonts w:ascii="Arial" w:eastAsia="Arial" w:hAnsi="Arial" w:cs="Arial"/>
                <w:color w:val="0000EE"/>
                <w:w w:val="96"/>
                <w:sz w:val="18"/>
                <w:szCs w:val="18"/>
              </w:rPr>
            </w:pPr>
            <w:hyperlink w:anchor="page397">
              <w:r>
                <w:rPr>
                  <w:rFonts w:ascii="Arial" w:eastAsia="Arial" w:hAnsi="Arial" w:cs="Arial"/>
                  <w:color w:val="0000EE"/>
                  <w:w w:val="96"/>
                  <w:sz w:val="18"/>
                  <w:szCs w:val="18"/>
                </w:rPr>
                <w:t>F-1</w:t>
              </w:r>
            </w:hyperlink>
          </w:p>
        </w:tc>
      </w:tr>
      <w:tr w:rsidR="00D1587D" w14:paraId="0AADD3BF" w14:textId="77777777">
        <w:trPr>
          <w:trHeight w:val="74"/>
        </w:trPr>
        <w:tc>
          <w:tcPr>
            <w:tcW w:w="2940" w:type="dxa"/>
            <w:tcBorders>
              <w:top w:val="single" w:sz="8" w:space="0" w:color="0000EE"/>
            </w:tcBorders>
            <w:shd w:val="clear" w:color="auto" w:fill="CCEEFF"/>
            <w:vAlign w:val="bottom"/>
          </w:tcPr>
          <w:p w14:paraId="151D86EE" w14:textId="77777777" w:rsidR="00D1587D" w:rsidRDefault="00D1587D">
            <w:pPr>
              <w:rPr>
                <w:sz w:val="6"/>
                <w:szCs w:val="6"/>
              </w:rPr>
            </w:pPr>
          </w:p>
        </w:tc>
        <w:tc>
          <w:tcPr>
            <w:tcW w:w="440" w:type="dxa"/>
            <w:tcBorders>
              <w:top w:val="single" w:sz="8" w:space="0" w:color="0000EE"/>
            </w:tcBorders>
            <w:shd w:val="clear" w:color="auto" w:fill="CCEEFF"/>
            <w:vAlign w:val="bottom"/>
          </w:tcPr>
          <w:p w14:paraId="28CE2830" w14:textId="77777777" w:rsidR="00D1587D" w:rsidRDefault="00D1587D">
            <w:pPr>
              <w:rPr>
                <w:sz w:val="6"/>
                <w:szCs w:val="6"/>
              </w:rPr>
            </w:pPr>
          </w:p>
        </w:tc>
        <w:tc>
          <w:tcPr>
            <w:tcW w:w="820" w:type="dxa"/>
            <w:tcBorders>
              <w:top w:val="single" w:sz="8" w:space="0" w:color="0000EE"/>
            </w:tcBorders>
            <w:shd w:val="clear" w:color="auto" w:fill="CCEEFF"/>
            <w:vAlign w:val="bottom"/>
          </w:tcPr>
          <w:p w14:paraId="07E8771B" w14:textId="77777777" w:rsidR="00D1587D" w:rsidRDefault="00D1587D">
            <w:pPr>
              <w:rPr>
                <w:sz w:val="6"/>
                <w:szCs w:val="6"/>
              </w:rPr>
            </w:pPr>
          </w:p>
        </w:tc>
        <w:tc>
          <w:tcPr>
            <w:tcW w:w="1080" w:type="dxa"/>
            <w:tcBorders>
              <w:top w:val="single" w:sz="8" w:space="0" w:color="CCEEFF"/>
            </w:tcBorders>
            <w:shd w:val="clear" w:color="auto" w:fill="CCEEFF"/>
            <w:vAlign w:val="bottom"/>
          </w:tcPr>
          <w:p w14:paraId="7C2E0D17" w14:textId="77777777" w:rsidR="00D1587D" w:rsidRDefault="00D1587D">
            <w:pPr>
              <w:rPr>
                <w:sz w:val="6"/>
                <w:szCs w:val="6"/>
              </w:rPr>
            </w:pPr>
          </w:p>
        </w:tc>
        <w:tc>
          <w:tcPr>
            <w:tcW w:w="360" w:type="dxa"/>
            <w:tcBorders>
              <w:top w:val="single" w:sz="8" w:space="0" w:color="CCEEFF"/>
            </w:tcBorders>
            <w:shd w:val="clear" w:color="auto" w:fill="CCEEFF"/>
            <w:vAlign w:val="bottom"/>
          </w:tcPr>
          <w:p w14:paraId="0DB913BC" w14:textId="77777777" w:rsidR="00D1587D" w:rsidRDefault="00D1587D">
            <w:pPr>
              <w:rPr>
                <w:sz w:val="6"/>
                <w:szCs w:val="6"/>
              </w:rPr>
            </w:pPr>
          </w:p>
        </w:tc>
        <w:tc>
          <w:tcPr>
            <w:tcW w:w="200" w:type="dxa"/>
            <w:tcBorders>
              <w:top w:val="single" w:sz="8" w:space="0" w:color="CCEEFF"/>
            </w:tcBorders>
            <w:shd w:val="clear" w:color="auto" w:fill="CCEEFF"/>
            <w:vAlign w:val="bottom"/>
          </w:tcPr>
          <w:p w14:paraId="1036C7D3" w14:textId="77777777" w:rsidR="00D1587D" w:rsidRDefault="00D1587D">
            <w:pPr>
              <w:rPr>
                <w:sz w:val="6"/>
                <w:szCs w:val="6"/>
              </w:rPr>
            </w:pPr>
          </w:p>
        </w:tc>
        <w:tc>
          <w:tcPr>
            <w:tcW w:w="1180" w:type="dxa"/>
            <w:tcBorders>
              <w:top w:val="single" w:sz="8" w:space="0" w:color="CCEEFF"/>
            </w:tcBorders>
            <w:shd w:val="clear" w:color="auto" w:fill="CCEEFF"/>
            <w:vAlign w:val="bottom"/>
          </w:tcPr>
          <w:p w14:paraId="209CA9CB" w14:textId="77777777" w:rsidR="00D1587D" w:rsidRDefault="00D1587D">
            <w:pPr>
              <w:rPr>
                <w:sz w:val="6"/>
                <w:szCs w:val="6"/>
              </w:rPr>
            </w:pPr>
          </w:p>
        </w:tc>
        <w:tc>
          <w:tcPr>
            <w:tcW w:w="1100" w:type="dxa"/>
            <w:tcBorders>
              <w:top w:val="single" w:sz="8" w:space="0" w:color="CCEEFF"/>
            </w:tcBorders>
            <w:shd w:val="clear" w:color="auto" w:fill="CCEEFF"/>
            <w:vAlign w:val="bottom"/>
          </w:tcPr>
          <w:p w14:paraId="352A96CE" w14:textId="77777777" w:rsidR="00D1587D" w:rsidRDefault="00D1587D">
            <w:pPr>
              <w:rPr>
                <w:sz w:val="6"/>
                <w:szCs w:val="6"/>
              </w:rPr>
            </w:pPr>
          </w:p>
        </w:tc>
        <w:tc>
          <w:tcPr>
            <w:tcW w:w="20" w:type="dxa"/>
            <w:tcBorders>
              <w:top w:val="single" w:sz="8" w:space="0" w:color="CCEEFF"/>
            </w:tcBorders>
            <w:shd w:val="clear" w:color="auto" w:fill="CCEEFF"/>
            <w:vAlign w:val="bottom"/>
          </w:tcPr>
          <w:p w14:paraId="3DE8304E" w14:textId="77777777" w:rsidR="00D1587D" w:rsidRDefault="00D1587D">
            <w:pPr>
              <w:rPr>
                <w:sz w:val="6"/>
                <w:szCs w:val="6"/>
              </w:rPr>
            </w:pPr>
          </w:p>
        </w:tc>
        <w:tc>
          <w:tcPr>
            <w:tcW w:w="260" w:type="dxa"/>
            <w:tcBorders>
              <w:top w:val="single" w:sz="8" w:space="0" w:color="0000EE"/>
            </w:tcBorders>
            <w:shd w:val="clear" w:color="auto" w:fill="CCEEFF"/>
            <w:vAlign w:val="bottom"/>
          </w:tcPr>
          <w:p w14:paraId="0F920784" w14:textId="77777777" w:rsidR="00D1587D" w:rsidRDefault="00D1587D">
            <w:pPr>
              <w:rPr>
                <w:sz w:val="6"/>
                <w:szCs w:val="6"/>
              </w:rPr>
            </w:pPr>
          </w:p>
        </w:tc>
        <w:tc>
          <w:tcPr>
            <w:tcW w:w="20" w:type="dxa"/>
            <w:tcBorders>
              <w:top w:val="single" w:sz="8" w:space="0" w:color="CCEEFF"/>
            </w:tcBorders>
            <w:shd w:val="clear" w:color="auto" w:fill="CCEEFF"/>
            <w:vAlign w:val="bottom"/>
          </w:tcPr>
          <w:p w14:paraId="70370AFF" w14:textId="77777777" w:rsidR="00D1587D" w:rsidRDefault="00D1587D">
            <w:pPr>
              <w:rPr>
                <w:sz w:val="6"/>
                <w:szCs w:val="6"/>
              </w:rPr>
            </w:pPr>
          </w:p>
        </w:tc>
      </w:tr>
      <w:tr w:rsidR="00D1587D" w14:paraId="3973F256" w14:textId="77777777">
        <w:trPr>
          <w:trHeight w:val="229"/>
        </w:trPr>
        <w:tc>
          <w:tcPr>
            <w:tcW w:w="8120" w:type="dxa"/>
            <w:gridSpan w:val="8"/>
            <w:vAlign w:val="bottom"/>
          </w:tcPr>
          <w:p w14:paraId="49A10AA5" w14:textId="77777777" w:rsidR="00D1587D" w:rsidRDefault="00410D07">
            <w:pPr>
              <w:rPr>
                <w:rFonts w:ascii="Arial" w:eastAsia="Arial" w:hAnsi="Arial" w:cs="Arial"/>
                <w:color w:val="0000EE"/>
                <w:sz w:val="18"/>
                <w:szCs w:val="18"/>
              </w:rPr>
            </w:pPr>
            <w:hyperlink w:anchor="page399">
              <w:r>
                <w:rPr>
                  <w:rFonts w:ascii="Arial" w:eastAsia="Arial" w:hAnsi="Arial" w:cs="Arial"/>
                  <w:color w:val="0000EE"/>
                  <w:sz w:val="18"/>
                  <w:szCs w:val="18"/>
                </w:rPr>
                <w:t>Combined Balance Sheets as of 2019 and 2020</w:t>
              </w:r>
            </w:hyperlink>
          </w:p>
        </w:tc>
        <w:tc>
          <w:tcPr>
            <w:tcW w:w="20" w:type="dxa"/>
            <w:vAlign w:val="bottom"/>
          </w:tcPr>
          <w:p w14:paraId="422247FD" w14:textId="77777777" w:rsidR="00D1587D" w:rsidRDefault="00D1587D">
            <w:pPr>
              <w:rPr>
                <w:sz w:val="19"/>
                <w:szCs w:val="19"/>
              </w:rPr>
            </w:pPr>
          </w:p>
        </w:tc>
        <w:tc>
          <w:tcPr>
            <w:tcW w:w="280" w:type="dxa"/>
            <w:gridSpan w:val="2"/>
            <w:vAlign w:val="bottom"/>
          </w:tcPr>
          <w:p w14:paraId="38308BE7" w14:textId="77777777" w:rsidR="00D1587D" w:rsidRDefault="00410D07">
            <w:pPr>
              <w:rPr>
                <w:rFonts w:ascii="Arial" w:eastAsia="Arial" w:hAnsi="Arial" w:cs="Arial"/>
                <w:color w:val="0000EE"/>
                <w:w w:val="96"/>
                <w:sz w:val="18"/>
                <w:szCs w:val="18"/>
              </w:rPr>
            </w:pPr>
            <w:hyperlink w:anchor="page399">
              <w:r>
                <w:rPr>
                  <w:rFonts w:ascii="Arial" w:eastAsia="Arial" w:hAnsi="Arial" w:cs="Arial"/>
                  <w:color w:val="0000EE"/>
                  <w:w w:val="96"/>
                  <w:sz w:val="18"/>
                  <w:szCs w:val="18"/>
                </w:rPr>
                <w:t>F-3</w:t>
              </w:r>
            </w:hyperlink>
          </w:p>
        </w:tc>
      </w:tr>
      <w:tr w:rsidR="00D1587D" w14:paraId="032D5E49" w14:textId="77777777">
        <w:trPr>
          <w:trHeight w:val="75"/>
        </w:trPr>
        <w:tc>
          <w:tcPr>
            <w:tcW w:w="2940" w:type="dxa"/>
            <w:tcBorders>
              <w:top w:val="single" w:sz="8" w:space="0" w:color="0000EE"/>
            </w:tcBorders>
            <w:vAlign w:val="bottom"/>
          </w:tcPr>
          <w:p w14:paraId="3024A9C8" w14:textId="77777777" w:rsidR="00D1587D" w:rsidRDefault="00D1587D">
            <w:pPr>
              <w:rPr>
                <w:sz w:val="6"/>
                <w:szCs w:val="6"/>
              </w:rPr>
            </w:pPr>
          </w:p>
        </w:tc>
        <w:tc>
          <w:tcPr>
            <w:tcW w:w="440" w:type="dxa"/>
            <w:tcBorders>
              <w:top w:val="single" w:sz="8" w:space="0" w:color="0000EE"/>
            </w:tcBorders>
            <w:vAlign w:val="bottom"/>
          </w:tcPr>
          <w:p w14:paraId="09921DA6" w14:textId="77777777" w:rsidR="00D1587D" w:rsidRDefault="00D1587D">
            <w:pPr>
              <w:rPr>
                <w:sz w:val="6"/>
                <w:szCs w:val="6"/>
              </w:rPr>
            </w:pPr>
          </w:p>
        </w:tc>
        <w:tc>
          <w:tcPr>
            <w:tcW w:w="820" w:type="dxa"/>
            <w:vAlign w:val="bottom"/>
          </w:tcPr>
          <w:p w14:paraId="4588216D" w14:textId="77777777" w:rsidR="00D1587D" w:rsidRDefault="00D1587D">
            <w:pPr>
              <w:rPr>
                <w:sz w:val="6"/>
                <w:szCs w:val="6"/>
              </w:rPr>
            </w:pPr>
          </w:p>
        </w:tc>
        <w:tc>
          <w:tcPr>
            <w:tcW w:w="1080" w:type="dxa"/>
            <w:vAlign w:val="bottom"/>
          </w:tcPr>
          <w:p w14:paraId="12772E50" w14:textId="77777777" w:rsidR="00D1587D" w:rsidRDefault="00D1587D">
            <w:pPr>
              <w:rPr>
                <w:sz w:val="6"/>
                <w:szCs w:val="6"/>
              </w:rPr>
            </w:pPr>
          </w:p>
        </w:tc>
        <w:tc>
          <w:tcPr>
            <w:tcW w:w="360" w:type="dxa"/>
            <w:vAlign w:val="bottom"/>
          </w:tcPr>
          <w:p w14:paraId="01387321" w14:textId="77777777" w:rsidR="00D1587D" w:rsidRDefault="00D1587D">
            <w:pPr>
              <w:rPr>
                <w:sz w:val="6"/>
                <w:szCs w:val="6"/>
              </w:rPr>
            </w:pPr>
          </w:p>
        </w:tc>
        <w:tc>
          <w:tcPr>
            <w:tcW w:w="200" w:type="dxa"/>
            <w:vAlign w:val="bottom"/>
          </w:tcPr>
          <w:p w14:paraId="6DA57813" w14:textId="77777777" w:rsidR="00D1587D" w:rsidRDefault="00D1587D">
            <w:pPr>
              <w:rPr>
                <w:sz w:val="6"/>
                <w:szCs w:val="6"/>
              </w:rPr>
            </w:pPr>
          </w:p>
        </w:tc>
        <w:tc>
          <w:tcPr>
            <w:tcW w:w="1180" w:type="dxa"/>
            <w:vAlign w:val="bottom"/>
          </w:tcPr>
          <w:p w14:paraId="7FFC6EDB" w14:textId="77777777" w:rsidR="00D1587D" w:rsidRDefault="00D1587D">
            <w:pPr>
              <w:rPr>
                <w:sz w:val="6"/>
                <w:szCs w:val="6"/>
              </w:rPr>
            </w:pPr>
          </w:p>
        </w:tc>
        <w:tc>
          <w:tcPr>
            <w:tcW w:w="1100" w:type="dxa"/>
            <w:vAlign w:val="bottom"/>
          </w:tcPr>
          <w:p w14:paraId="1235B9FA" w14:textId="77777777" w:rsidR="00D1587D" w:rsidRDefault="00D1587D">
            <w:pPr>
              <w:rPr>
                <w:sz w:val="6"/>
                <w:szCs w:val="6"/>
              </w:rPr>
            </w:pPr>
          </w:p>
        </w:tc>
        <w:tc>
          <w:tcPr>
            <w:tcW w:w="20" w:type="dxa"/>
            <w:vAlign w:val="bottom"/>
          </w:tcPr>
          <w:p w14:paraId="322C6D62" w14:textId="77777777" w:rsidR="00D1587D" w:rsidRDefault="00D1587D">
            <w:pPr>
              <w:rPr>
                <w:sz w:val="6"/>
                <w:szCs w:val="6"/>
              </w:rPr>
            </w:pPr>
          </w:p>
        </w:tc>
        <w:tc>
          <w:tcPr>
            <w:tcW w:w="260" w:type="dxa"/>
            <w:tcBorders>
              <w:top w:val="single" w:sz="8" w:space="0" w:color="0000EE"/>
            </w:tcBorders>
            <w:vAlign w:val="bottom"/>
          </w:tcPr>
          <w:p w14:paraId="6D6D1FF7" w14:textId="77777777" w:rsidR="00D1587D" w:rsidRDefault="00D1587D">
            <w:pPr>
              <w:rPr>
                <w:sz w:val="6"/>
                <w:szCs w:val="6"/>
              </w:rPr>
            </w:pPr>
          </w:p>
        </w:tc>
        <w:tc>
          <w:tcPr>
            <w:tcW w:w="20" w:type="dxa"/>
            <w:vAlign w:val="bottom"/>
          </w:tcPr>
          <w:p w14:paraId="0E703EFE" w14:textId="77777777" w:rsidR="00D1587D" w:rsidRDefault="00D1587D">
            <w:pPr>
              <w:rPr>
                <w:sz w:val="6"/>
                <w:szCs w:val="6"/>
              </w:rPr>
            </w:pPr>
          </w:p>
        </w:tc>
      </w:tr>
      <w:tr w:rsidR="00D1587D" w14:paraId="2492BFDA" w14:textId="77777777">
        <w:trPr>
          <w:trHeight w:val="229"/>
        </w:trPr>
        <w:tc>
          <w:tcPr>
            <w:tcW w:w="8120" w:type="dxa"/>
            <w:gridSpan w:val="8"/>
            <w:shd w:val="clear" w:color="auto" w:fill="CCEEFF"/>
            <w:vAlign w:val="bottom"/>
          </w:tcPr>
          <w:p w14:paraId="7E86B8FC" w14:textId="77777777" w:rsidR="00D1587D" w:rsidRDefault="00410D07">
            <w:pPr>
              <w:rPr>
                <w:rFonts w:ascii="Arial" w:eastAsia="Arial" w:hAnsi="Arial" w:cs="Arial"/>
                <w:color w:val="0000EE"/>
                <w:sz w:val="18"/>
                <w:szCs w:val="18"/>
              </w:rPr>
            </w:pPr>
            <w:hyperlink w:anchor="page400">
              <w:r>
                <w:rPr>
                  <w:rFonts w:ascii="Arial" w:eastAsia="Arial" w:hAnsi="Arial" w:cs="Arial"/>
                  <w:color w:val="0000EE"/>
                  <w:sz w:val="18"/>
                  <w:szCs w:val="18"/>
                </w:rPr>
                <w:t>Combined Statements of Income (Loss) for the years ended 2018, 2019 and 2020</w:t>
              </w:r>
            </w:hyperlink>
          </w:p>
        </w:tc>
        <w:tc>
          <w:tcPr>
            <w:tcW w:w="20" w:type="dxa"/>
            <w:shd w:val="clear" w:color="auto" w:fill="CCEEFF"/>
            <w:vAlign w:val="bottom"/>
          </w:tcPr>
          <w:p w14:paraId="11738AAC" w14:textId="77777777" w:rsidR="00D1587D" w:rsidRDefault="00D1587D">
            <w:pPr>
              <w:rPr>
                <w:sz w:val="19"/>
                <w:szCs w:val="19"/>
              </w:rPr>
            </w:pPr>
          </w:p>
        </w:tc>
        <w:tc>
          <w:tcPr>
            <w:tcW w:w="280" w:type="dxa"/>
            <w:gridSpan w:val="2"/>
            <w:shd w:val="clear" w:color="auto" w:fill="CCEEFF"/>
            <w:vAlign w:val="bottom"/>
          </w:tcPr>
          <w:p w14:paraId="189B9AEA" w14:textId="77777777" w:rsidR="00D1587D" w:rsidRDefault="00410D07">
            <w:pPr>
              <w:rPr>
                <w:rFonts w:ascii="Arial" w:eastAsia="Arial" w:hAnsi="Arial" w:cs="Arial"/>
                <w:color w:val="0000EE"/>
                <w:w w:val="96"/>
                <w:sz w:val="18"/>
                <w:szCs w:val="18"/>
              </w:rPr>
            </w:pPr>
            <w:hyperlink w:anchor="page400">
              <w:r>
                <w:rPr>
                  <w:rFonts w:ascii="Arial" w:eastAsia="Arial" w:hAnsi="Arial" w:cs="Arial"/>
                  <w:color w:val="0000EE"/>
                  <w:w w:val="96"/>
                  <w:sz w:val="18"/>
                  <w:szCs w:val="18"/>
                </w:rPr>
                <w:t>F-4</w:t>
              </w:r>
            </w:hyperlink>
          </w:p>
        </w:tc>
      </w:tr>
      <w:tr w:rsidR="00D1587D" w14:paraId="16523D6E" w14:textId="77777777">
        <w:trPr>
          <w:trHeight w:val="75"/>
        </w:trPr>
        <w:tc>
          <w:tcPr>
            <w:tcW w:w="2940" w:type="dxa"/>
            <w:tcBorders>
              <w:top w:val="single" w:sz="8" w:space="0" w:color="0000EE"/>
            </w:tcBorders>
            <w:shd w:val="clear" w:color="auto" w:fill="CCEEFF"/>
            <w:vAlign w:val="bottom"/>
          </w:tcPr>
          <w:p w14:paraId="2CD6D48E" w14:textId="77777777" w:rsidR="00D1587D" w:rsidRDefault="00D1587D">
            <w:pPr>
              <w:rPr>
                <w:sz w:val="6"/>
                <w:szCs w:val="6"/>
              </w:rPr>
            </w:pPr>
          </w:p>
        </w:tc>
        <w:tc>
          <w:tcPr>
            <w:tcW w:w="440" w:type="dxa"/>
            <w:tcBorders>
              <w:top w:val="single" w:sz="8" w:space="0" w:color="0000EE"/>
            </w:tcBorders>
            <w:shd w:val="clear" w:color="auto" w:fill="CCEEFF"/>
            <w:vAlign w:val="bottom"/>
          </w:tcPr>
          <w:p w14:paraId="48A51491" w14:textId="77777777" w:rsidR="00D1587D" w:rsidRDefault="00D1587D">
            <w:pPr>
              <w:rPr>
                <w:sz w:val="6"/>
                <w:szCs w:val="6"/>
              </w:rPr>
            </w:pPr>
          </w:p>
        </w:tc>
        <w:tc>
          <w:tcPr>
            <w:tcW w:w="820" w:type="dxa"/>
            <w:tcBorders>
              <w:top w:val="single" w:sz="8" w:space="0" w:color="0000EE"/>
            </w:tcBorders>
            <w:shd w:val="clear" w:color="auto" w:fill="CCEEFF"/>
            <w:vAlign w:val="bottom"/>
          </w:tcPr>
          <w:p w14:paraId="0012D55F" w14:textId="77777777" w:rsidR="00D1587D" w:rsidRDefault="00D1587D">
            <w:pPr>
              <w:rPr>
                <w:sz w:val="6"/>
                <w:szCs w:val="6"/>
              </w:rPr>
            </w:pPr>
          </w:p>
        </w:tc>
        <w:tc>
          <w:tcPr>
            <w:tcW w:w="1080" w:type="dxa"/>
            <w:tcBorders>
              <w:top w:val="single" w:sz="8" w:space="0" w:color="0000EE"/>
            </w:tcBorders>
            <w:shd w:val="clear" w:color="auto" w:fill="CCEEFF"/>
            <w:vAlign w:val="bottom"/>
          </w:tcPr>
          <w:p w14:paraId="6D90570E" w14:textId="77777777" w:rsidR="00D1587D" w:rsidRDefault="00D1587D">
            <w:pPr>
              <w:rPr>
                <w:sz w:val="6"/>
                <w:szCs w:val="6"/>
              </w:rPr>
            </w:pPr>
          </w:p>
        </w:tc>
        <w:tc>
          <w:tcPr>
            <w:tcW w:w="360" w:type="dxa"/>
            <w:tcBorders>
              <w:top w:val="single" w:sz="8" w:space="0" w:color="0000EE"/>
            </w:tcBorders>
            <w:shd w:val="clear" w:color="auto" w:fill="CCEEFF"/>
            <w:vAlign w:val="bottom"/>
          </w:tcPr>
          <w:p w14:paraId="5568A11B" w14:textId="77777777" w:rsidR="00D1587D" w:rsidRDefault="00D1587D">
            <w:pPr>
              <w:rPr>
                <w:sz w:val="6"/>
                <w:szCs w:val="6"/>
              </w:rPr>
            </w:pPr>
          </w:p>
        </w:tc>
        <w:tc>
          <w:tcPr>
            <w:tcW w:w="200" w:type="dxa"/>
            <w:tcBorders>
              <w:top w:val="single" w:sz="8" w:space="0" w:color="0000EE"/>
            </w:tcBorders>
            <w:shd w:val="clear" w:color="auto" w:fill="CCEEFF"/>
            <w:vAlign w:val="bottom"/>
          </w:tcPr>
          <w:p w14:paraId="29F97B60" w14:textId="77777777" w:rsidR="00D1587D" w:rsidRDefault="00D1587D">
            <w:pPr>
              <w:rPr>
                <w:sz w:val="6"/>
                <w:szCs w:val="6"/>
              </w:rPr>
            </w:pPr>
          </w:p>
        </w:tc>
        <w:tc>
          <w:tcPr>
            <w:tcW w:w="1180" w:type="dxa"/>
            <w:tcBorders>
              <w:top w:val="single" w:sz="8" w:space="0" w:color="CCEEFF"/>
            </w:tcBorders>
            <w:shd w:val="clear" w:color="auto" w:fill="CCEEFF"/>
            <w:vAlign w:val="bottom"/>
          </w:tcPr>
          <w:p w14:paraId="62FEE14C" w14:textId="77777777" w:rsidR="00D1587D" w:rsidRDefault="00D1587D">
            <w:pPr>
              <w:rPr>
                <w:sz w:val="6"/>
                <w:szCs w:val="6"/>
              </w:rPr>
            </w:pPr>
          </w:p>
        </w:tc>
        <w:tc>
          <w:tcPr>
            <w:tcW w:w="1100" w:type="dxa"/>
            <w:tcBorders>
              <w:top w:val="single" w:sz="8" w:space="0" w:color="CCEEFF"/>
            </w:tcBorders>
            <w:shd w:val="clear" w:color="auto" w:fill="CCEEFF"/>
            <w:vAlign w:val="bottom"/>
          </w:tcPr>
          <w:p w14:paraId="67160F20" w14:textId="77777777" w:rsidR="00D1587D" w:rsidRDefault="00D1587D">
            <w:pPr>
              <w:rPr>
                <w:sz w:val="6"/>
                <w:szCs w:val="6"/>
              </w:rPr>
            </w:pPr>
          </w:p>
        </w:tc>
        <w:tc>
          <w:tcPr>
            <w:tcW w:w="20" w:type="dxa"/>
            <w:tcBorders>
              <w:top w:val="single" w:sz="8" w:space="0" w:color="CCEEFF"/>
            </w:tcBorders>
            <w:shd w:val="clear" w:color="auto" w:fill="CCEEFF"/>
            <w:vAlign w:val="bottom"/>
          </w:tcPr>
          <w:p w14:paraId="544F3BC1" w14:textId="77777777" w:rsidR="00D1587D" w:rsidRDefault="00D1587D">
            <w:pPr>
              <w:rPr>
                <w:sz w:val="6"/>
                <w:szCs w:val="6"/>
              </w:rPr>
            </w:pPr>
          </w:p>
        </w:tc>
        <w:tc>
          <w:tcPr>
            <w:tcW w:w="260" w:type="dxa"/>
            <w:tcBorders>
              <w:top w:val="single" w:sz="8" w:space="0" w:color="0000EE"/>
            </w:tcBorders>
            <w:shd w:val="clear" w:color="auto" w:fill="CCEEFF"/>
            <w:vAlign w:val="bottom"/>
          </w:tcPr>
          <w:p w14:paraId="7EB441FC" w14:textId="77777777" w:rsidR="00D1587D" w:rsidRDefault="00D1587D">
            <w:pPr>
              <w:rPr>
                <w:sz w:val="6"/>
                <w:szCs w:val="6"/>
              </w:rPr>
            </w:pPr>
          </w:p>
        </w:tc>
        <w:tc>
          <w:tcPr>
            <w:tcW w:w="20" w:type="dxa"/>
            <w:tcBorders>
              <w:top w:val="single" w:sz="8" w:space="0" w:color="CCEEFF"/>
            </w:tcBorders>
            <w:shd w:val="clear" w:color="auto" w:fill="CCEEFF"/>
            <w:vAlign w:val="bottom"/>
          </w:tcPr>
          <w:p w14:paraId="64546FCF" w14:textId="77777777" w:rsidR="00D1587D" w:rsidRDefault="00D1587D">
            <w:pPr>
              <w:rPr>
                <w:sz w:val="6"/>
                <w:szCs w:val="6"/>
              </w:rPr>
            </w:pPr>
          </w:p>
        </w:tc>
      </w:tr>
      <w:tr w:rsidR="00D1587D" w14:paraId="1153EED3" w14:textId="77777777">
        <w:trPr>
          <w:trHeight w:val="229"/>
        </w:trPr>
        <w:tc>
          <w:tcPr>
            <w:tcW w:w="8120" w:type="dxa"/>
            <w:gridSpan w:val="8"/>
            <w:vAlign w:val="bottom"/>
          </w:tcPr>
          <w:p w14:paraId="6C0B67A5" w14:textId="77777777" w:rsidR="00D1587D" w:rsidRDefault="00410D07">
            <w:pPr>
              <w:rPr>
                <w:rFonts w:ascii="Arial" w:eastAsia="Arial" w:hAnsi="Arial" w:cs="Arial"/>
                <w:color w:val="0000EE"/>
                <w:sz w:val="18"/>
                <w:szCs w:val="18"/>
              </w:rPr>
            </w:pPr>
            <w:hyperlink w:anchor="page400">
              <w:r>
                <w:rPr>
                  <w:rFonts w:ascii="Arial" w:eastAsia="Arial" w:hAnsi="Arial" w:cs="Arial"/>
                  <w:color w:val="0000EE"/>
                  <w:sz w:val="18"/>
                  <w:szCs w:val="18"/>
                </w:rPr>
                <w:t xml:space="preserve">Combined </w:t>
              </w:r>
              <w:r>
                <w:rPr>
                  <w:rFonts w:ascii="Arial" w:eastAsia="Arial" w:hAnsi="Arial" w:cs="Arial"/>
                  <w:color w:val="0000EE"/>
                  <w:sz w:val="18"/>
                  <w:szCs w:val="18"/>
                </w:rPr>
                <w:t>Statements of Comprehensive Income (Loss) for the years ended 2018, 2019 and 2020</w:t>
              </w:r>
            </w:hyperlink>
          </w:p>
        </w:tc>
        <w:tc>
          <w:tcPr>
            <w:tcW w:w="20" w:type="dxa"/>
            <w:vAlign w:val="bottom"/>
          </w:tcPr>
          <w:p w14:paraId="0C94181C" w14:textId="77777777" w:rsidR="00D1587D" w:rsidRDefault="00D1587D">
            <w:pPr>
              <w:rPr>
                <w:sz w:val="19"/>
                <w:szCs w:val="19"/>
              </w:rPr>
            </w:pPr>
          </w:p>
        </w:tc>
        <w:tc>
          <w:tcPr>
            <w:tcW w:w="280" w:type="dxa"/>
            <w:gridSpan w:val="2"/>
            <w:vAlign w:val="bottom"/>
          </w:tcPr>
          <w:p w14:paraId="286DA4B1" w14:textId="77777777" w:rsidR="00D1587D" w:rsidRDefault="00410D07">
            <w:pPr>
              <w:rPr>
                <w:rFonts w:ascii="Arial" w:eastAsia="Arial" w:hAnsi="Arial" w:cs="Arial"/>
                <w:color w:val="0000EE"/>
                <w:w w:val="96"/>
                <w:sz w:val="18"/>
                <w:szCs w:val="18"/>
              </w:rPr>
            </w:pPr>
            <w:hyperlink w:anchor="page400">
              <w:r>
                <w:rPr>
                  <w:rFonts w:ascii="Arial" w:eastAsia="Arial" w:hAnsi="Arial" w:cs="Arial"/>
                  <w:color w:val="0000EE"/>
                  <w:w w:val="96"/>
                  <w:sz w:val="18"/>
                  <w:szCs w:val="18"/>
                </w:rPr>
                <w:t>F-4</w:t>
              </w:r>
            </w:hyperlink>
          </w:p>
        </w:tc>
      </w:tr>
      <w:tr w:rsidR="00D1587D" w14:paraId="479C30B9" w14:textId="77777777">
        <w:trPr>
          <w:trHeight w:val="74"/>
        </w:trPr>
        <w:tc>
          <w:tcPr>
            <w:tcW w:w="2940" w:type="dxa"/>
            <w:tcBorders>
              <w:top w:val="single" w:sz="8" w:space="0" w:color="0000EE"/>
            </w:tcBorders>
            <w:vAlign w:val="bottom"/>
          </w:tcPr>
          <w:p w14:paraId="5BFDC3EE" w14:textId="77777777" w:rsidR="00D1587D" w:rsidRDefault="00D1587D">
            <w:pPr>
              <w:rPr>
                <w:sz w:val="6"/>
                <w:szCs w:val="6"/>
              </w:rPr>
            </w:pPr>
          </w:p>
        </w:tc>
        <w:tc>
          <w:tcPr>
            <w:tcW w:w="440" w:type="dxa"/>
            <w:tcBorders>
              <w:top w:val="single" w:sz="8" w:space="0" w:color="0000EE"/>
            </w:tcBorders>
            <w:vAlign w:val="bottom"/>
          </w:tcPr>
          <w:p w14:paraId="315272E7" w14:textId="77777777" w:rsidR="00D1587D" w:rsidRDefault="00D1587D">
            <w:pPr>
              <w:rPr>
                <w:sz w:val="6"/>
                <w:szCs w:val="6"/>
              </w:rPr>
            </w:pPr>
          </w:p>
        </w:tc>
        <w:tc>
          <w:tcPr>
            <w:tcW w:w="820" w:type="dxa"/>
            <w:tcBorders>
              <w:top w:val="single" w:sz="8" w:space="0" w:color="0000EE"/>
            </w:tcBorders>
            <w:vAlign w:val="bottom"/>
          </w:tcPr>
          <w:p w14:paraId="430EE1E8" w14:textId="77777777" w:rsidR="00D1587D" w:rsidRDefault="00D1587D">
            <w:pPr>
              <w:rPr>
                <w:sz w:val="6"/>
                <w:szCs w:val="6"/>
              </w:rPr>
            </w:pPr>
          </w:p>
        </w:tc>
        <w:tc>
          <w:tcPr>
            <w:tcW w:w="1080" w:type="dxa"/>
            <w:tcBorders>
              <w:top w:val="single" w:sz="8" w:space="0" w:color="0000EE"/>
            </w:tcBorders>
            <w:vAlign w:val="bottom"/>
          </w:tcPr>
          <w:p w14:paraId="2CFD60E4" w14:textId="77777777" w:rsidR="00D1587D" w:rsidRDefault="00D1587D">
            <w:pPr>
              <w:rPr>
                <w:sz w:val="6"/>
                <w:szCs w:val="6"/>
              </w:rPr>
            </w:pPr>
          </w:p>
        </w:tc>
        <w:tc>
          <w:tcPr>
            <w:tcW w:w="360" w:type="dxa"/>
            <w:tcBorders>
              <w:top w:val="single" w:sz="8" w:space="0" w:color="0000EE"/>
            </w:tcBorders>
            <w:vAlign w:val="bottom"/>
          </w:tcPr>
          <w:p w14:paraId="0F7ADBFB" w14:textId="77777777" w:rsidR="00D1587D" w:rsidRDefault="00D1587D">
            <w:pPr>
              <w:rPr>
                <w:sz w:val="6"/>
                <w:szCs w:val="6"/>
              </w:rPr>
            </w:pPr>
          </w:p>
        </w:tc>
        <w:tc>
          <w:tcPr>
            <w:tcW w:w="200" w:type="dxa"/>
            <w:tcBorders>
              <w:top w:val="single" w:sz="8" w:space="0" w:color="0000EE"/>
            </w:tcBorders>
            <w:vAlign w:val="bottom"/>
          </w:tcPr>
          <w:p w14:paraId="7755D4CB" w14:textId="77777777" w:rsidR="00D1587D" w:rsidRDefault="00D1587D">
            <w:pPr>
              <w:rPr>
                <w:sz w:val="6"/>
                <w:szCs w:val="6"/>
              </w:rPr>
            </w:pPr>
          </w:p>
        </w:tc>
        <w:tc>
          <w:tcPr>
            <w:tcW w:w="1180" w:type="dxa"/>
            <w:tcBorders>
              <w:top w:val="single" w:sz="8" w:space="0" w:color="0000EE"/>
            </w:tcBorders>
            <w:vAlign w:val="bottom"/>
          </w:tcPr>
          <w:p w14:paraId="32D15AD2" w14:textId="77777777" w:rsidR="00D1587D" w:rsidRDefault="00D1587D">
            <w:pPr>
              <w:rPr>
                <w:sz w:val="6"/>
                <w:szCs w:val="6"/>
              </w:rPr>
            </w:pPr>
          </w:p>
        </w:tc>
        <w:tc>
          <w:tcPr>
            <w:tcW w:w="1100" w:type="dxa"/>
            <w:vAlign w:val="bottom"/>
          </w:tcPr>
          <w:p w14:paraId="2495F37F" w14:textId="77777777" w:rsidR="00D1587D" w:rsidRDefault="00D1587D">
            <w:pPr>
              <w:rPr>
                <w:sz w:val="6"/>
                <w:szCs w:val="6"/>
              </w:rPr>
            </w:pPr>
          </w:p>
        </w:tc>
        <w:tc>
          <w:tcPr>
            <w:tcW w:w="20" w:type="dxa"/>
            <w:vAlign w:val="bottom"/>
          </w:tcPr>
          <w:p w14:paraId="27AB145F" w14:textId="77777777" w:rsidR="00D1587D" w:rsidRDefault="00D1587D">
            <w:pPr>
              <w:rPr>
                <w:sz w:val="6"/>
                <w:szCs w:val="6"/>
              </w:rPr>
            </w:pPr>
          </w:p>
        </w:tc>
        <w:tc>
          <w:tcPr>
            <w:tcW w:w="260" w:type="dxa"/>
            <w:tcBorders>
              <w:top w:val="single" w:sz="8" w:space="0" w:color="0000EE"/>
            </w:tcBorders>
            <w:vAlign w:val="bottom"/>
          </w:tcPr>
          <w:p w14:paraId="6939540E" w14:textId="77777777" w:rsidR="00D1587D" w:rsidRDefault="00D1587D">
            <w:pPr>
              <w:rPr>
                <w:sz w:val="6"/>
                <w:szCs w:val="6"/>
              </w:rPr>
            </w:pPr>
          </w:p>
        </w:tc>
        <w:tc>
          <w:tcPr>
            <w:tcW w:w="20" w:type="dxa"/>
            <w:vAlign w:val="bottom"/>
          </w:tcPr>
          <w:p w14:paraId="575A8B3B" w14:textId="77777777" w:rsidR="00D1587D" w:rsidRDefault="00D1587D">
            <w:pPr>
              <w:rPr>
                <w:sz w:val="6"/>
                <w:szCs w:val="6"/>
              </w:rPr>
            </w:pPr>
          </w:p>
        </w:tc>
      </w:tr>
      <w:tr w:rsidR="00D1587D" w14:paraId="51C8EE0F" w14:textId="77777777">
        <w:trPr>
          <w:trHeight w:val="230"/>
        </w:trPr>
        <w:tc>
          <w:tcPr>
            <w:tcW w:w="8120" w:type="dxa"/>
            <w:gridSpan w:val="8"/>
            <w:shd w:val="clear" w:color="auto" w:fill="CCEEFF"/>
            <w:vAlign w:val="bottom"/>
          </w:tcPr>
          <w:p w14:paraId="4E05FE53" w14:textId="77777777" w:rsidR="00D1587D" w:rsidRDefault="00410D07">
            <w:pPr>
              <w:rPr>
                <w:rFonts w:ascii="Arial" w:eastAsia="Arial" w:hAnsi="Arial" w:cs="Arial"/>
                <w:color w:val="0000EE"/>
                <w:sz w:val="18"/>
                <w:szCs w:val="18"/>
              </w:rPr>
            </w:pPr>
            <w:hyperlink w:anchor="page401">
              <w:r>
                <w:rPr>
                  <w:rFonts w:ascii="Arial" w:eastAsia="Arial" w:hAnsi="Arial" w:cs="Arial"/>
                  <w:color w:val="0000EE"/>
                  <w:sz w:val="18"/>
                  <w:szCs w:val="18"/>
                </w:rPr>
                <w:t>Combined Statements of Cash Flows for the years ended 2018, 2019 and 2020</w:t>
              </w:r>
            </w:hyperlink>
          </w:p>
        </w:tc>
        <w:tc>
          <w:tcPr>
            <w:tcW w:w="20" w:type="dxa"/>
            <w:shd w:val="clear" w:color="auto" w:fill="CCEEFF"/>
            <w:vAlign w:val="bottom"/>
          </w:tcPr>
          <w:p w14:paraId="56FA9D2D" w14:textId="77777777" w:rsidR="00D1587D" w:rsidRDefault="00D1587D">
            <w:pPr>
              <w:rPr>
                <w:sz w:val="19"/>
                <w:szCs w:val="19"/>
              </w:rPr>
            </w:pPr>
          </w:p>
        </w:tc>
        <w:tc>
          <w:tcPr>
            <w:tcW w:w="280" w:type="dxa"/>
            <w:gridSpan w:val="2"/>
            <w:shd w:val="clear" w:color="auto" w:fill="CCEEFF"/>
            <w:vAlign w:val="bottom"/>
          </w:tcPr>
          <w:p w14:paraId="676CBE2F" w14:textId="77777777" w:rsidR="00D1587D" w:rsidRDefault="00410D07">
            <w:pPr>
              <w:rPr>
                <w:rFonts w:ascii="Arial" w:eastAsia="Arial" w:hAnsi="Arial" w:cs="Arial"/>
                <w:color w:val="0000EE"/>
                <w:w w:val="96"/>
                <w:sz w:val="18"/>
                <w:szCs w:val="18"/>
              </w:rPr>
            </w:pPr>
            <w:hyperlink w:anchor="page401">
              <w:r>
                <w:rPr>
                  <w:rFonts w:ascii="Arial" w:eastAsia="Arial" w:hAnsi="Arial" w:cs="Arial"/>
                  <w:color w:val="0000EE"/>
                  <w:w w:val="96"/>
                  <w:sz w:val="18"/>
                  <w:szCs w:val="18"/>
                </w:rPr>
                <w:t>F-5</w:t>
              </w:r>
            </w:hyperlink>
          </w:p>
        </w:tc>
      </w:tr>
      <w:tr w:rsidR="00D1587D" w14:paraId="48104FA0" w14:textId="77777777">
        <w:trPr>
          <w:trHeight w:val="74"/>
        </w:trPr>
        <w:tc>
          <w:tcPr>
            <w:tcW w:w="2940" w:type="dxa"/>
            <w:tcBorders>
              <w:top w:val="single" w:sz="8" w:space="0" w:color="0000EE"/>
            </w:tcBorders>
            <w:shd w:val="clear" w:color="auto" w:fill="CCEEFF"/>
            <w:vAlign w:val="bottom"/>
          </w:tcPr>
          <w:p w14:paraId="24619F40" w14:textId="77777777" w:rsidR="00D1587D" w:rsidRDefault="00D1587D">
            <w:pPr>
              <w:rPr>
                <w:sz w:val="6"/>
                <w:szCs w:val="6"/>
              </w:rPr>
            </w:pPr>
          </w:p>
        </w:tc>
        <w:tc>
          <w:tcPr>
            <w:tcW w:w="440" w:type="dxa"/>
            <w:tcBorders>
              <w:top w:val="single" w:sz="8" w:space="0" w:color="0000EE"/>
            </w:tcBorders>
            <w:shd w:val="clear" w:color="auto" w:fill="CCEEFF"/>
            <w:vAlign w:val="bottom"/>
          </w:tcPr>
          <w:p w14:paraId="50272002" w14:textId="77777777" w:rsidR="00D1587D" w:rsidRDefault="00D1587D">
            <w:pPr>
              <w:rPr>
                <w:sz w:val="6"/>
                <w:szCs w:val="6"/>
              </w:rPr>
            </w:pPr>
          </w:p>
        </w:tc>
        <w:tc>
          <w:tcPr>
            <w:tcW w:w="820" w:type="dxa"/>
            <w:tcBorders>
              <w:top w:val="single" w:sz="8" w:space="0" w:color="0000EE"/>
            </w:tcBorders>
            <w:shd w:val="clear" w:color="auto" w:fill="CCEEFF"/>
            <w:vAlign w:val="bottom"/>
          </w:tcPr>
          <w:p w14:paraId="0803CAB1" w14:textId="77777777" w:rsidR="00D1587D" w:rsidRDefault="00D1587D">
            <w:pPr>
              <w:rPr>
                <w:sz w:val="6"/>
                <w:szCs w:val="6"/>
              </w:rPr>
            </w:pPr>
          </w:p>
        </w:tc>
        <w:tc>
          <w:tcPr>
            <w:tcW w:w="1080" w:type="dxa"/>
            <w:tcBorders>
              <w:top w:val="single" w:sz="8" w:space="0" w:color="0000EE"/>
            </w:tcBorders>
            <w:shd w:val="clear" w:color="auto" w:fill="CCEEFF"/>
            <w:vAlign w:val="bottom"/>
          </w:tcPr>
          <w:p w14:paraId="1483933D" w14:textId="77777777" w:rsidR="00D1587D" w:rsidRDefault="00D1587D">
            <w:pPr>
              <w:rPr>
                <w:sz w:val="6"/>
                <w:szCs w:val="6"/>
              </w:rPr>
            </w:pPr>
          </w:p>
        </w:tc>
        <w:tc>
          <w:tcPr>
            <w:tcW w:w="360" w:type="dxa"/>
            <w:tcBorders>
              <w:top w:val="single" w:sz="8" w:space="0" w:color="0000EE"/>
            </w:tcBorders>
            <w:shd w:val="clear" w:color="auto" w:fill="CCEEFF"/>
            <w:vAlign w:val="bottom"/>
          </w:tcPr>
          <w:p w14:paraId="16B441B6" w14:textId="77777777" w:rsidR="00D1587D" w:rsidRDefault="00D1587D">
            <w:pPr>
              <w:rPr>
                <w:sz w:val="6"/>
                <w:szCs w:val="6"/>
              </w:rPr>
            </w:pPr>
          </w:p>
        </w:tc>
        <w:tc>
          <w:tcPr>
            <w:tcW w:w="200" w:type="dxa"/>
            <w:tcBorders>
              <w:top w:val="single" w:sz="8" w:space="0" w:color="CCEEFF"/>
            </w:tcBorders>
            <w:shd w:val="clear" w:color="auto" w:fill="CCEEFF"/>
            <w:vAlign w:val="bottom"/>
          </w:tcPr>
          <w:p w14:paraId="1C499F96" w14:textId="77777777" w:rsidR="00D1587D" w:rsidRDefault="00D1587D">
            <w:pPr>
              <w:rPr>
                <w:sz w:val="6"/>
                <w:szCs w:val="6"/>
              </w:rPr>
            </w:pPr>
          </w:p>
        </w:tc>
        <w:tc>
          <w:tcPr>
            <w:tcW w:w="1180" w:type="dxa"/>
            <w:tcBorders>
              <w:top w:val="single" w:sz="8" w:space="0" w:color="CCEEFF"/>
            </w:tcBorders>
            <w:shd w:val="clear" w:color="auto" w:fill="CCEEFF"/>
            <w:vAlign w:val="bottom"/>
          </w:tcPr>
          <w:p w14:paraId="4F7C075F" w14:textId="77777777" w:rsidR="00D1587D" w:rsidRDefault="00D1587D">
            <w:pPr>
              <w:rPr>
                <w:sz w:val="6"/>
                <w:szCs w:val="6"/>
              </w:rPr>
            </w:pPr>
          </w:p>
        </w:tc>
        <w:tc>
          <w:tcPr>
            <w:tcW w:w="1100" w:type="dxa"/>
            <w:tcBorders>
              <w:top w:val="single" w:sz="8" w:space="0" w:color="CCEEFF"/>
            </w:tcBorders>
            <w:shd w:val="clear" w:color="auto" w:fill="CCEEFF"/>
            <w:vAlign w:val="bottom"/>
          </w:tcPr>
          <w:p w14:paraId="6433A518" w14:textId="77777777" w:rsidR="00D1587D" w:rsidRDefault="00D1587D">
            <w:pPr>
              <w:rPr>
                <w:sz w:val="6"/>
                <w:szCs w:val="6"/>
              </w:rPr>
            </w:pPr>
          </w:p>
        </w:tc>
        <w:tc>
          <w:tcPr>
            <w:tcW w:w="20" w:type="dxa"/>
            <w:tcBorders>
              <w:top w:val="single" w:sz="8" w:space="0" w:color="CCEEFF"/>
            </w:tcBorders>
            <w:shd w:val="clear" w:color="auto" w:fill="CCEEFF"/>
            <w:vAlign w:val="bottom"/>
          </w:tcPr>
          <w:p w14:paraId="2C5184E7" w14:textId="77777777" w:rsidR="00D1587D" w:rsidRDefault="00D1587D">
            <w:pPr>
              <w:rPr>
                <w:sz w:val="6"/>
                <w:szCs w:val="6"/>
              </w:rPr>
            </w:pPr>
          </w:p>
        </w:tc>
        <w:tc>
          <w:tcPr>
            <w:tcW w:w="260" w:type="dxa"/>
            <w:tcBorders>
              <w:top w:val="single" w:sz="8" w:space="0" w:color="0000EE"/>
            </w:tcBorders>
            <w:shd w:val="clear" w:color="auto" w:fill="CCEEFF"/>
            <w:vAlign w:val="bottom"/>
          </w:tcPr>
          <w:p w14:paraId="4E645D12" w14:textId="77777777" w:rsidR="00D1587D" w:rsidRDefault="00D1587D">
            <w:pPr>
              <w:rPr>
                <w:sz w:val="6"/>
                <w:szCs w:val="6"/>
              </w:rPr>
            </w:pPr>
          </w:p>
        </w:tc>
        <w:tc>
          <w:tcPr>
            <w:tcW w:w="20" w:type="dxa"/>
            <w:tcBorders>
              <w:top w:val="single" w:sz="8" w:space="0" w:color="CCEEFF"/>
            </w:tcBorders>
            <w:shd w:val="clear" w:color="auto" w:fill="CCEEFF"/>
            <w:vAlign w:val="bottom"/>
          </w:tcPr>
          <w:p w14:paraId="7B535C7E" w14:textId="77777777" w:rsidR="00D1587D" w:rsidRDefault="00D1587D">
            <w:pPr>
              <w:rPr>
                <w:sz w:val="6"/>
                <w:szCs w:val="6"/>
              </w:rPr>
            </w:pPr>
          </w:p>
        </w:tc>
      </w:tr>
      <w:tr w:rsidR="00D1587D" w14:paraId="46626032" w14:textId="77777777">
        <w:trPr>
          <w:trHeight w:val="229"/>
        </w:trPr>
        <w:tc>
          <w:tcPr>
            <w:tcW w:w="8120" w:type="dxa"/>
            <w:gridSpan w:val="8"/>
            <w:vAlign w:val="bottom"/>
          </w:tcPr>
          <w:p w14:paraId="34CB7EB9" w14:textId="77777777" w:rsidR="00D1587D" w:rsidRDefault="00410D07">
            <w:pPr>
              <w:rPr>
                <w:rFonts w:ascii="Arial" w:eastAsia="Arial" w:hAnsi="Arial" w:cs="Arial"/>
                <w:color w:val="0000EE"/>
                <w:sz w:val="18"/>
                <w:szCs w:val="18"/>
              </w:rPr>
            </w:pPr>
            <w:hyperlink w:anchor="page402">
              <w:r>
                <w:rPr>
                  <w:rFonts w:ascii="Arial" w:eastAsia="Arial" w:hAnsi="Arial" w:cs="Arial"/>
                  <w:color w:val="0000EE"/>
                  <w:sz w:val="18"/>
                  <w:szCs w:val="18"/>
                </w:rPr>
                <w:t>Combined Statements of Equity for the years ended 2018, 2019 and 2020</w:t>
              </w:r>
            </w:hyperlink>
          </w:p>
        </w:tc>
        <w:tc>
          <w:tcPr>
            <w:tcW w:w="20" w:type="dxa"/>
            <w:vAlign w:val="bottom"/>
          </w:tcPr>
          <w:p w14:paraId="7DC951A0" w14:textId="77777777" w:rsidR="00D1587D" w:rsidRDefault="00D1587D">
            <w:pPr>
              <w:rPr>
                <w:sz w:val="19"/>
                <w:szCs w:val="19"/>
              </w:rPr>
            </w:pPr>
          </w:p>
        </w:tc>
        <w:tc>
          <w:tcPr>
            <w:tcW w:w="280" w:type="dxa"/>
            <w:gridSpan w:val="2"/>
            <w:vAlign w:val="bottom"/>
          </w:tcPr>
          <w:p w14:paraId="2F4D5FD6" w14:textId="77777777" w:rsidR="00D1587D" w:rsidRDefault="00410D07">
            <w:pPr>
              <w:rPr>
                <w:rFonts w:ascii="Arial" w:eastAsia="Arial" w:hAnsi="Arial" w:cs="Arial"/>
                <w:color w:val="0000EE"/>
                <w:w w:val="96"/>
                <w:sz w:val="18"/>
                <w:szCs w:val="18"/>
              </w:rPr>
            </w:pPr>
            <w:hyperlink w:anchor="page402">
              <w:r>
                <w:rPr>
                  <w:rFonts w:ascii="Arial" w:eastAsia="Arial" w:hAnsi="Arial" w:cs="Arial"/>
                  <w:color w:val="0000EE"/>
                  <w:w w:val="96"/>
                  <w:sz w:val="18"/>
                  <w:szCs w:val="18"/>
                </w:rPr>
                <w:t>F-6</w:t>
              </w:r>
            </w:hyperlink>
          </w:p>
        </w:tc>
      </w:tr>
      <w:tr w:rsidR="00D1587D" w14:paraId="60C9646F" w14:textId="77777777">
        <w:trPr>
          <w:trHeight w:val="75"/>
        </w:trPr>
        <w:tc>
          <w:tcPr>
            <w:tcW w:w="2940" w:type="dxa"/>
            <w:tcBorders>
              <w:top w:val="single" w:sz="8" w:space="0" w:color="0000EE"/>
            </w:tcBorders>
            <w:vAlign w:val="bottom"/>
          </w:tcPr>
          <w:p w14:paraId="471134A2" w14:textId="77777777" w:rsidR="00D1587D" w:rsidRDefault="00D1587D">
            <w:pPr>
              <w:rPr>
                <w:sz w:val="6"/>
                <w:szCs w:val="6"/>
              </w:rPr>
            </w:pPr>
          </w:p>
        </w:tc>
        <w:tc>
          <w:tcPr>
            <w:tcW w:w="440" w:type="dxa"/>
            <w:tcBorders>
              <w:top w:val="single" w:sz="8" w:space="0" w:color="0000EE"/>
            </w:tcBorders>
            <w:vAlign w:val="bottom"/>
          </w:tcPr>
          <w:p w14:paraId="7A1CF5DA" w14:textId="77777777" w:rsidR="00D1587D" w:rsidRDefault="00D1587D">
            <w:pPr>
              <w:rPr>
                <w:sz w:val="6"/>
                <w:szCs w:val="6"/>
              </w:rPr>
            </w:pPr>
          </w:p>
        </w:tc>
        <w:tc>
          <w:tcPr>
            <w:tcW w:w="820" w:type="dxa"/>
            <w:tcBorders>
              <w:top w:val="single" w:sz="8" w:space="0" w:color="0000EE"/>
            </w:tcBorders>
            <w:vAlign w:val="bottom"/>
          </w:tcPr>
          <w:p w14:paraId="4410A594" w14:textId="77777777" w:rsidR="00D1587D" w:rsidRDefault="00D1587D">
            <w:pPr>
              <w:rPr>
                <w:sz w:val="6"/>
                <w:szCs w:val="6"/>
              </w:rPr>
            </w:pPr>
          </w:p>
        </w:tc>
        <w:tc>
          <w:tcPr>
            <w:tcW w:w="1080" w:type="dxa"/>
            <w:tcBorders>
              <w:top w:val="single" w:sz="8" w:space="0" w:color="0000EE"/>
            </w:tcBorders>
            <w:vAlign w:val="bottom"/>
          </w:tcPr>
          <w:p w14:paraId="4DAD027F" w14:textId="77777777" w:rsidR="00D1587D" w:rsidRDefault="00D1587D">
            <w:pPr>
              <w:rPr>
                <w:sz w:val="6"/>
                <w:szCs w:val="6"/>
              </w:rPr>
            </w:pPr>
          </w:p>
        </w:tc>
        <w:tc>
          <w:tcPr>
            <w:tcW w:w="360" w:type="dxa"/>
            <w:vAlign w:val="bottom"/>
          </w:tcPr>
          <w:p w14:paraId="014592EA" w14:textId="77777777" w:rsidR="00D1587D" w:rsidRDefault="00D1587D">
            <w:pPr>
              <w:rPr>
                <w:sz w:val="6"/>
                <w:szCs w:val="6"/>
              </w:rPr>
            </w:pPr>
          </w:p>
        </w:tc>
        <w:tc>
          <w:tcPr>
            <w:tcW w:w="200" w:type="dxa"/>
            <w:vAlign w:val="bottom"/>
          </w:tcPr>
          <w:p w14:paraId="6521C723" w14:textId="77777777" w:rsidR="00D1587D" w:rsidRDefault="00D1587D">
            <w:pPr>
              <w:rPr>
                <w:sz w:val="6"/>
                <w:szCs w:val="6"/>
              </w:rPr>
            </w:pPr>
          </w:p>
        </w:tc>
        <w:tc>
          <w:tcPr>
            <w:tcW w:w="1180" w:type="dxa"/>
            <w:vAlign w:val="bottom"/>
          </w:tcPr>
          <w:p w14:paraId="5BE18964" w14:textId="77777777" w:rsidR="00D1587D" w:rsidRDefault="00D1587D">
            <w:pPr>
              <w:rPr>
                <w:sz w:val="6"/>
                <w:szCs w:val="6"/>
              </w:rPr>
            </w:pPr>
          </w:p>
        </w:tc>
        <w:tc>
          <w:tcPr>
            <w:tcW w:w="1100" w:type="dxa"/>
            <w:vAlign w:val="bottom"/>
          </w:tcPr>
          <w:p w14:paraId="7660BA69" w14:textId="77777777" w:rsidR="00D1587D" w:rsidRDefault="00D1587D">
            <w:pPr>
              <w:rPr>
                <w:sz w:val="6"/>
                <w:szCs w:val="6"/>
              </w:rPr>
            </w:pPr>
          </w:p>
        </w:tc>
        <w:tc>
          <w:tcPr>
            <w:tcW w:w="20" w:type="dxa"/>
            <w:vAlign w:val="bottom"/>
          </w:tcPr>
          <w:p w14:paraId="77DC3C5C" w14:textId="77777777" w:rsidR="00D1587D" w:rsidRDefault="00D1587D">
            <w:pPr>
              <w:rPr>
                <w:sz w:val="6"/>
                <w:szCs w:val="6"/>
              </w:rPr>
            </w:pPr>
          </w:p>
        </w:tc>
        <w:tc>
          <w:tcPr>
            <w:tcW w:w="260" w:type="dxa"/>
            <w:tcBorders>
              <w:top w:val="single" w:sz="8" w:space="0" w:color="0000EE"/>
            </w:tcBorders>
            <w:vAlign w:val="bottom"/>
          </w:tcPr>
          <w:p w14:paraId="57049D1E" w14:textId="77777777" w:rsidR="00D1587D" w:rsidRDefault="00D1587D">
            <w:pPr>
              <w:rPr>
                <w:sz w:val="6"/>
                <w:szCs w:val="6"/>
              </w:rPr>
            </w:pPr>
          </w:p>
        </w:tc>
        <w:tc>
          <w:tcPr>
            <w:tcW w:w="20" w:type="dxa"/>
            <w:vAlign w:val="bottom"/>
          </w:tcPr>
          <w:p w14:paraId="670C5FF0" w14:textId="77777777" w:rsidR="00D1587D" w:rsidRDefault="00D1587D">
            <w:pPr>
              <w:rPr>
                <w:sz w:val="6"/>
                <w:szCs w:val="6"/>
              </w:rPr>
            </w:pPr>
          </w:p>
        </w:tc>
      </w:tr>
      <w:tr w:rsidR="00D1587D" w14:paraId="7D78F738" w14:textId="77777777">
        <w:trPr>
          <w:trHeight w:val="229"/>
        </w:trPr>
        <w:tc>
          <w:tcPr>
            <w:tcW w:w="8120" w:type="dxa"/>
            <w:gridSpan w:val="8"/>
            <w:shd w:val="clear" w:color="auto" w:fill="CCEEFF"/>
            <w:vAlign w:val="bottom"/>
          </w:tcPr>
          <w:p w14:paraId="291EE5E5" w14:textId="77777777" w:rsidR="00D1587D" w:rsidRDefault="00410D07">
            <w:pPr>
              <w:rPr>
                <w:rFonts w:ascii="Arial" w:eastAsia="Arial" w:hAnsi="Arial" w:cs="Arial"/>
                <w:color w:val="0000EE"/>
                <w:sz w:val="18"/>
                <w:szCs w:val="18"/>
              </w:rPr>
            </w:pPr>
            <w:hyperlink w:anchor="page403">
              <w:r>
                <w:rPr>
                  <w:rFonts w:ascii="Arial" w:eastAsia="Arial" w:hAnsi="Arial" w:cs="Arial"/>
                  <w:color w:val="0000EE"/>
                  <w:sz w:val="18"/>
                  <w:szCs w:val="18"/>
                </w:rPr>
                <w:t xml:space="preserve">Notes to Combined </w:t>
              </w:r>
              <w:r>
                <w:rPr>
                  <w:rFonts w:ascii="Arial" w:eastAsia="Arial" w:hAnsi="Arial" w:cs="Arial"/>
                  <w:color w:val="0000EE"/>
                  <w:sz w:val="18"/>
                  <w:szCs w:val="18"/>
                </w:rPr>
                <w:t>Financial Statements</w:t>
              </w:r>
            </w:hyperlink>
          </w:p>
        </w:tc>
        <w:tc>
          <w:tcPr>
            <w:tcW w:w="20" w:type="dxa"/>
            <w:shd w:val="clear" w:color="auto" w:fill="CCEEFF"/>
            <w:vAlign w:val="bottom"/>
          </w:tcPr>
          <w:p w14:paraId="2166476D" w14:textId="77777777" w:rsidR="00D1587D" w:rsidRDefault="00D1587D">
            <w:pPr>
              <w:rPr>
                <w:sz w:val="19"/>
                <w:szCs w:val="19"/>
              </w:rPr>
            </w:pPr>
          </w:p>
        </w:tc>
        <w:tc>
          <w:tcPr>
            <w:tcW w:w="280" w:type="dxa"/>
            <w:gridSpan w:val="2"/>
            <w:shd w:val="clear" w:color="auto" w:fill="CCEEFF"/>
            <w:vAlign w:val="bottom"/>
          </w:tcPr>
          <w:p w14:paraId="6BCEF424" w14:textId="77777777" w:rsidR="00D1587D" w:rsidRDefault="00410D07">
            <w:pPr>
              <w:rPr>
                <w:rFonts w:ascii="Arial" w:eastAsia="Arial" w:hAnsi="Arial" w:cs="Arial"/>
                <w:color w:val="0000EE"/>
                <w:w w:val="96"/>
                <w:sz w:val="18"/>
                <w:szCs w:val="18"/>
              </w:rPr>
            </w:pPr>
            <w:hyperlink w:anchor="page403">
              <w:r>
                <w:rPr>
                  <w:rFonts w:ascii="Arial" w:eastAsia="Arial" w:hAnsi="Arial" w:cs="Arial"/>
                  <w:color w:val="0000EE"/>
                  <w:w w:val="96"/>
                  <w:sz w:val="18"/>
                  <w:szCs w:val="18"/>
                </w:rPr>
                <w:t>F-7</w:t>
              </w:r>
            </w:hyperlink>
          </w:p>
        </w:tc>
      </w:tr>
      <w:tr w:rsidR="00D1587D" w14:paraId="25EDCA00" w14:textId="77777777">
        <w:trPr>
          <w:trHeight w:val="75"/>
        </w:trPr>
        <w:tc>
          <w:tcPr>
            <w:tcW w:w="2940" w:type="dxa"/>
            <w:tcBorders>
              <w:top w:val="single" w:sz="8" w:space="0" w:color="0000EE"/>
            </w:tcBorders>
            <w:shd w:val="clear" w:color="auto" w:fill="CCEEFF"/>
            <w:vAlign w:val="bottom"/>
          </w:tcPr>
          <w:p w14:paraId="24B12026" w14:textId="77777777" w:rsidR="00D1587D" w:rsidRDefault="00D1587D">
            <w:pPr>
              <w:rPr>
                <w:sz w:val="6"/>
                <w:szCs w:val="6"/>
              </w:rPr>
            </w:pPr>
          </w:p>
        </w:tc>
        <w:tc>
          <w:tcPr>
            <w:tcW w:w="440" w:type="dxa"/>
            <w:tcBorders>
              <w:top w:val="single" w:sz="8" w:space="0" w:color="CCEEFF"/>
            </w:tcBorders>
            <w:shd w:val="clear" w:color="auto" w:fill="CCEEFF"/>
            <w:vAlign w:val="bottom"/>
          </w:tcPr>
          <w:p w14:paraId="3A2B0E92" w14:textId="77777777" w:rsidR="00D1587D" w:rsidRDefault="00D1587D">
            <w:pPr>
              <w:rPr>
                <w:sz w:val="6"/>
                <w:szCs w:val="6"/>
              </w:rPr>
            </w:pPr>
          </w:p>
        </w:tc>
        <w:tc>
          <w:tcPr>
            <w:tcW w:w="820" w:type="dxa"/>
            <w:tcBorders>
              <w:top w:val="single" w:sz="8" w:space="0" w:color="CCEEFF"/>
            </w:tcBorders>
            <w:shd w:val="clear" w:color="auto" w:fill="CCEEFF"/>
            <w:vAlign w:val="bottom"/>
          </w:tcPr>
          <w:p w14:paraId="20DADCCB" w14:textId="77777777" w:rsidR="00D1587D" w:rsidRDefault="00D1587D">
            <w:pPr>
              <w:rPr>
                <w:sz w:val="6"/>
                <w:szCs w:val="6"/>
              </w:rPr>
            </w:pPr>
          </w:p>
        </w:tc>
        <w:tc>
          <w:tcPr>
            <w:tcW w:w="1080" w:type="dxa"/>
            <w:tcBorders>
              <w:top w:val="single" w:sz="8" w:space="0" w:color="CCEEFF"/>
            </w:tcBorders>
            <w:shd w:val="clear" w:color="auto" w:fill="CCEEFF"/>
            <w:vAlign w:val="bottom"/>
          </w:tcPr>
          <w:p w14:paraId="075524DA" w14:textId="77777777" w:rsidR="00D1587D" w:rsidRDefault="00D1587D">
            <w:pPr>
              <w:rPr>
                <w:sz w:val="6"/>
                <w:szCs w:val="6"/>
              </w:rPr>
            </w:pPr>
          </w:p>
        </w:tc>
        <w:tc>
          <w:tcPr>
            <w:tcW w:w="360" w:type="dxa"/>
            <w:tcBorders>
              <w:top w:val="single" w:sz="8" w:space="0" w:color="CCEEFF"/>
            </w:tcBorders>
            <w:shd w:val="clear" w:color="auto" w:fill="CCEEFF"/>
            <w:vAlign w:val="bottom"/>
          </w:tcPr>
          <w:p w14:paraId="68736F26" w14:textId="77777777" w:rsidR="00D1587D" w:rsidRDefault="00D1587D">
            <w:pPr>
              <w:rPr>
                <w:sz w:val="6"/>
                <w:szCs w:val="6"/>
              </w:rPr>
            </w:pPr>
          </w:p>
        </w:tc>
        <w:tc>
          <w:tcPr>
            <w:tcW w:w="200" w:type="dxa"/>
            <w:tcBorders>
              <w:top w:val="single" w:sz="8" w:space="0" w:color="CCEEFF"/>
            </w:tcBorders>
            <w:shd w:val="clear" w:color="auto" w:fill="CCEEFF"/>
            <w:vAlign w:val="bottom"/>
          </w:tcPr>
          <w:p w14:paraId="2F7BE83C" w14:textId="77777777" w:rsidR="00D1587D" w:rsidRDefault="00D1587D">
            <w:pPr>
              <w:rPr>
                <w:sz w:val="6"/>
                <w:szCs w:val="6"/>
              </w:rPr>
            </w:pPr>
          </w:p>
        </w:tc>
        <w:tc>
          <w:tcPr>
            <w:tcW w:w="1180" w:type="dxa"/>
            <w:tcBorders>
              <w:top w:val="single" w:sz="8" w:space="0" w:color="CCEEFF"/>
            </w:tcBorders>
            <w:shd w:val="clear" w:color="auto" w:fill="CCEEFF"/>
            <w:vAlign w:val="bottom"/>
          </w:tcPr>
          <w:p w14:paraId="3F89210F" w14:textId="77777777" w:rsidR="00D1587D" w:rsidRDefault="00D1587D">
            <w:pPr>
              <w:rPr>
                <w:sz w:val="6"/>
                <w:szCs w:val="6"/>
              </w:rPr>
            </w:pPr>
          </w:p>
        </w:tc>
        <w:tc>
          <w:tcPr>
            <w:tcW w:w="1100" w:type="dxa"/>
            <w:tcBorders>
              <w:top w:val="single" w:sz="8" w:space="0" w:color="CCEEFF"/>
            </w:tcBorders>
            <w:shd w:val="clear" w:color="auto" w:fill="CCEEFF"/>
            <w:vAlign w:val="bottom"/>
          </w:tcPr>
          <w:p w14:paraId="0AC61F6F" w14:textId="77777777" w:rsidR="00D1587D" w:rsidRDefault="00D1587D">
            <w:pPr>
              <w:rPr>
                <w:sz w:val="6"/>
                <w:szCs w:val="6"/>
              </w:rPr>
            </w:pPr>
          </w:p>
        </w:tc>
        <w:tc>
          <w:tcPr>
            <w:tcW w:w="20" w:type="dxa"/>
            <w:tcBorders>
              <w:top w:val="single" w:sz="8" w:space="0" w:color="CCEEFF"/>
            </w:tcBorders>
            <w:shd w:val="clear" w:color="auto" w:fill="CCEEFF"/>
            <w:vAlign w:val="bottom"/>
          </w:tcPr>
          <w:p w14:paraId="6DB096C6" w14:textId="77777777" w:rsidR="00D1587D" w:rsidRDefault="00D1587D">
            <w:pPr>
              <w:rPr>
                <w:sz w:val="6"/>
                <w:szCs w:val="6"/>
              </w:rPr>
            </w:pPr>
          </w:p>
        </w:tc>
        <w:tc>
          <w:tcPr>
            <w:tcW w:w="260" w:type="dxa"/>
            <w:tcBorders>
              <w:top w:val="single" w:sz="8" w:space="0" w:color="0000EE"/>
            </w:tcBorders>
            <w:shd w:val="clear" w:color="auto" w:fill="CCEEFF"/>
            <w:vAlign w:val="bottom"/>
          </w:tcPr>
          <w:p w14:paraId="2A9525A3" w14:textId="77777777" w:rsidR="00D1587D" w:rsidRDefault="00D1587D">
            <w:pPr>
              <w:rPr>
                <w:sz w:val="6"/>
                <w:szCs w:val="6"/>
              </w:rPr>
            </w:pPr>
          </w:p>
        </w:tc>
        <w:tc>
          <w:tcPr>
            <w:tcW w:w="20" w:type="dxa"/>
            <w:tcBorders>
              <w:top w:val="single" w:sz="8" w:space="0" w:color="CCEEFF"/>
            </w:tcBorders>
            <w:shd w:val="clear" w:color="auto" w:fill="CCEEFF"/>
            <w:vAlign w:val="bottom"/>
          </w:tcPr>
          <w:p w14:paraId="36D1B3DC" w14:textId="77777777" w:rsidR="00D1587D" w:rsidRDefault="00D1587D">
            <w:pPr>
              <w:rPr>
                <w:sz w:val="6"/>
                <w:szCs w:val="6"/>
              </w:rPr>
            </w:pPr>
          </w:p>
        </w:tc>
      </w:tr>
    </w:tbl>
    <w:p w14:paraId="2E6B3BFE" w14:textId="77777777" w:rsidR="00D1587D" w:rsidRDefault="00410D07">
      <w:pPr>
        <w:spacing w:line="20" w:lineRule="exact"/>
        <w:rPr>
          <w:sz w:val="20"/>
          <w:szCs w:val="20"/>
        </w:rPr>
      </w:pPr>
      <w:r>
        <w:rPr>
          <w:noProof/>
          <w:sz w:val="20"/>
          <w:szCs w:val="20"/>
        </w:rPr>
        <w:drawing>
          <wp:anchor distT="0" distB="0" distL="114300" distR="114300" simplePos="0" relativeHeight="251991040" behindDoc="1" locked="0" layoutInCell="0" allowOverlap="1" wp14:anchorId="5BFC863B" wp14:editId="01B66532">
            <wp:simplePos x="0" y="0"/>
            <wp:positionH relativeFrom="column">
              <wp:posOffset>5234305</wp:posOffset>
            </wp:positionH>
            <wp:positionV relativeFrom="paragraph">
              <wp:posOffset>-1456690</wp:posOffset>
            </wp:positionV>
            <wp:extent cx="111125" cy="8255"/>
            <wp:effectExtent l="0" t="0" r="0" b="0"/>
            <wp:wrapNone/>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8"/>
                    <a:srcRect/>
                    <a:stretch>
                      <a:fillRect/>
                    </a:stretch>
                  </pic:blipFill>
                  <pic:spPr bwMode="auto">
                    <a:xfrm>
                      <a:off x="0" y="0"/>
                      <a:ext cx="111125" cy="8255"/>
                    </a:xfrm>
                    <a:prstGeom prst="rect">
                      <a:avLst/>
                    </a:prstGeom>
                    <a:noFill/>
                  </pic:spPr>
                </pic:pic>
              </a:graphicData>
            </a:graphic>
          </wp:anchor>
        </w:drawing>
      </w:r>
    </w:p>
    <w:p w14:paraId="62E93884" w14:textId="77777777" w:rsidR="00D1587D" w:rsidRDefault="00D1587D">
      <w:pPr>
        <w:spacing w:line="74" w:lineRule="exact"/>
        <w:rPr>
          <w:sz w:val="20"/>
          <w:szCs w:val="20"/>
        </w:rPr>
      </w:pPr>
    </w:p>
    <w:p w14:paraId="282A1777" w14:textId="77777777" w:rsidR="00D1587D" w:rsidRDefault="00410D07">
      <w:pPr>
        <w:spacing w:line="311" w:lineRule="auto"/>
        <w:ind w:left="300" w:right="339" w:firstLine="360"/>
        <w:rPr>
          <w:sz w:val="20"/>
          <w:szCs w:val="20"/>
        </w:rPr>
      </w:pPr>
      <w:r>
        <w:rPr>
          <w:rFonts w:ascii="Arial" w:eastAsia="Arial" w:hAnsi="Arial" w:cs="Arial"/>
          <w:sz w:val="16"/>
          <w:szCs w:val="16"/>
        </w:rPr>
        <w:t xml:space="preserve">Our fiscal year ends on the Saturday nearest to January 31. Fiscal years are designated in the Combined Financial Statements and Notes by the calendar year in which the fiscal year </w:t>
      </w:r>
      <w:r>
        <w:rPr>
          <w:rFonts w:ascii="Arial" w:eastAsia="Arial" w:hAnsi="Arial" w:cs="Arial"/>
          <w:sz w:val="16"/>
          <w:szCs w:val="16"/>
        </w:rPr>
        <w:t>commences. The results for 2020, 2019 and 2018 refer to the 52-week periods ended January 30, 2021, February 1, 2020 and February 2, 2019, respectively.</w:t>
      </w:r>
    </w:p>
    <w:p w14:paraId="71D2FF34" w14:textId="77777777" w:rsidR="00D1587D" w:rsidRDefault="00D1587D">
      <w:pPr>
        <w:spacing w:line="293" w:lineRule="exact"/>
        <w:rPr>
          <w:sz w:val="20"/>
          <w:szCs w:val="20"/>
        </w:rPr>
      </w:pPr>
    </w:p>
    <w:p w14:paraId="469558F7" w14:textId="77777777" w:rsidR="00D1587D" w:rsidRDefault="00410D07">
      <w:pPr>
        <w:jc w:val="center"/>
        <w:rPr>
          <w:sz w:val="20"/>
          <w:szCs w:val="20"/>
        </w:rPr>
      </w:pPr>
      <w:r>
        <w:rPr>
          <w:rFonts w:ascii="Arial" w:eastAsia="Arial" w:hAnsi="Arial" w:cs="Arial"/>
          <w:b/>
          <w:bCs/>
          <w:sz w:val="18"/>
          <w:szCs w:val="18"/>
        </w:rPr>
        <w:t>Thirteen Weeks Ended May 1, 2021 and May 2, 2020 (Unaudited)</w:t>
      </w:r>
    </w:p>
    <w:p w14:paraId="6A82C4EF" w14:textId="77777777" w:rsidR="00D1587D" w:rsidRDefault="00D1587D">
      <w:pPr>
        <w:spacing w:line="23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180"/>
        <w:gridCol w:w="860"/>
        <w:gridCol w:w="960"/>
        <w:gridCol w:w="1860"/>
        <w:gridCol w:w="3220"/>
        <w:gridCol w:w="200"/>
        <w:gridCol w:w="220"/>
        <w:gridCol w:w="140"/>
        <w:gridCol w:w="420"/>
        <w:gridCol w:w="340"/>
        <w:gridCol w:w="20"/>
      </w:tblGrid>
      <w:tr w:rsidR="00D1587D" w14:paraId="1A318A98" w14:textId="77777777">
        <w:trPr>
          <w:trHeight w:val="186"/>
        </w:trPr>
        <w:tc>
          <w:tcPr>
            <w:tcW w:w="180" w:type="dxa"/>
            <w:vAlign w:val="bottom"/>
          </w:tcPr>
          <w:p w14:paraId="35C9F06C" w14:textId="77777777" w:rsidR="00D1587D" w:rsidRDefault="00D1587D">
            <w:pPr>
              <w:rPr>
                <w:sz w:val="16"/>
                <w:szCs w:val="16"/>
              </w:rPr>
            </w:pPr>
          </w:p>
        </w:tc>
        <w:tc>
          <w:tcPr>
            <w:tcW w:w="860" w:type="dxa"/>
            <w:vAlign w:val="bottom"/>
          </w:tcPr>
          <w:p w14:paraId="1F1932C8" w14:textId="77777777" w:rsidR="00D1587D" w:rsidRDefault="00D1587D">
            <w:pPr>
              <w:rPr>
                <w:sz w:val="16"/>
                <w:szCs w:val="16"/>
              </w:rPr>
            </w:pPr>
          </w:p>
        </w:tc>
        <w:tc>
          <w:tcPr>
            <w:tcW w:w="960" w:type="dxa"/>
            <w:vAlign w:val="bottom"/>
          </w:tcPr>
          <w:p w14:paraId="24BDEA71" w14:textId="77777777" w:rsidR="00D1587D" w:rsidRDefault="00D1587D">
            <w:pPr>
              <w:rPr>
                <w:sz w:val="16"/>
                <w:szCs w:val="16"/>
              </w:rPr>
            </w:pPr>
          </w:p>
        </w:tc>
        <w:tc>
          <w:tcPr>
            <w:tcW w:w="1860" w:type="dxa"/>
            <w:vAlign w:val="bottom"/>
          </w:tcPr>
          <w:p w14:paraId="24D7A4FA" w14:textId="77777777" w:rsidR="00D1587D" w:rsidRDefault="00D1587D">
            <w:pPr>
              <w:rPr>
                <w:sz w:val="16"/>
                <w:szCs w:val="16"/>
              </w:rPr>
            </w:pPr>
          </w:p>
        </w:tc>
        <w:tc>
          <w:tcPr>
            <w:tcW w:w="3220" w:type="dxa"/>
            <w:vAlign w:val="bottom"/>
          </w:tcPr>
          <w:p w14:paraId="7FE0DFEF" w14:textId="77777777" w:rsidR="00D1587D" w:rsidRDefault="00D1587D">
            <w:pPr>
              <w:rPr>
                <w:sz w:val="16"/>
                <w:szCs w:val="16"/>
              </w:rPr>
            </w:pPr>
          </w:p>
        </w:tc>
        <w:tc>
          <w:tcPr>
            <w:tcW w:w="200" w:type="dxa"/>
            <w:vAlign w:val="bottom"/>
          </w:tcPr>
          <w:p w14:paraId="70FBE136" w14:textId="77777777" w:rsidR="00D1587D" w:rsidRDefault="00D1587D">
            <w:pPr>
              <w:rPr>
                <w:sz w:val="16"/>
                <w:szCs w:val="16"/>
              </w:rPr>
            </w:pPr>
          </w:p>
        </w:tc>
        <w:tc>
          <w:tcPr>
            <w:tcW w:w="220" w:type="dxa"/>
            <w:vAlign w:val="bottom"/>
          </w:tcPr>
          <w:p w14:paraId="09FBCB88" w14:textId="77777777" w:rsidR="00D1587D" w:rsidRDefault="00D1587D">
            <w:pPr>
              <w:rPr>
                <w:sz w:val="16"/>
                <w:szCs w:val="16"/>
              </w:rPr>
            </w:pPr>
          </w:p>
        </w:tc>
        <w:tc>
          <w:tcPr>
            <w:tcW w:w="140" w:type="dxa"/>
            <w:vAlign w:val="bottom"/>
          </w:tcPr>
          <w:p w14:paraId="1BBBDE13" w14:textId="77777777" w:rsidR="00D1587D" w:rsidRDefault="00D1587D">
            <w:pPr>
              <w:rPr>
                <w:sz w:val="16"/>
                <w:szCs w:val="16"/>
              </w:rPr>
            </w:pPr>
          </w:p>
        </w:tc>
        <w:tc>
          <w:tcPr>
            <w:tcW w:w="420" w:type="dxa"/>
            <w:vAlign w:val="bottom"/>
          </w:tcPr>
          <w:p w14:paraId="11434530" w14:textId="77777777" w:rsidR="00D1587D" w:rsidRDefault="00D1587D">
            <w:pPr>
              <w:rPr>
                <w:sz w:val="16"/>
                <w:szCs w:val="16"/>
              </w:rPr>
            </w:pPr>
          </w:p>
        </w:tc>
        <w:tc>
          <w:tcPr>
            <w:tcW w:w="360" w:type="dxa"/>
            <w:gridSpan w:val="2"/>
            <w:vAlign w:val="bottom"/>
          </w:tcPr>
          <w:p w14:paraId="5CC20473" w14:textId="77777777" w:rsidR="00D1587D" w:rsidRDefault="00410D07">
            <w:pPr>
              <w:jc w:val="center"/>
              <w:rPr>
                <w:sz w:val="20"/>
                <w:szCs w:val="20"/>
              </w:rPr>
            </w:pPr>
            <w:r>
              <w:rPr>
                <w:rFonts w:ascii="Arial" w:eastAsia="Arial" w:hAnsi="Arial" w:cs="Arial"/>
                <w:b/>
                <w:bCs/>
                <w:w w:val="83"/>
                <w:sz w:val="14"/>
                <w:szCs w:val="14"/>
              </w:rPr>
              <w:t>Page</w:t>
            </w:r>
          </w:p>
        </w:tc>
      </w:tr>
      <w:tr w:rsidR="00D1587D" w14:paraId="16C995E8" w14:textId="77777777">
        <w:trPr>
          <w:trHeight w:val="53"/>
        </w:trPr>
        <w:tc>
          <w:tcPr>
            <w:tcW w:w="180" w:type="dxa"/>
            <w:tcBorders>
              <w:bottom w:val="single" w:sz="8" w:space="0" w:color="CCEEFF"/>
            </w:tcBorders>
            <w:vAlign w:val="bottom"/>
          </w:tcPr>
          <w:p w14:paraId="799EA263" w14:textId="77777777" w:rsidR="00D1587D" w:rsidRDefault="00D1587D">
            <w:pPr>
              <w:rPr>
                <w:sz w:val="4"/>
                <w:szCs w:val="4"/>
              </w:rPr>
            </w:pPr>
          </w:p>
        </w:tc>
        <w:tc>
          <w:tcPr>
            <w:tcW w:w="860" w:type="dxa"/>
            <w:tcBorders>
              <w:bottom w:val="single" w:sz="8" w:space="0" w:color="CCEEFF"/>
            </w:tcBorders>
            <w:vAlign w:val="bottom"/>
          </w:tcPr>
          <w:p w14:paraId="55C8A082" w14:textId="77777777" w:rsidR="00D1587D" w:rsidRDefault="00D1587D">
            <w:pPr>
              <w:rPr>
                <w:sz w:val="4"/>
                <w:szCs w:val="4"/>
              </w:rPr>
            </w:pPr>
          </w:p>
        </w:tc>
        <w:tc>
          <w:tcPr>
            <w:tcW w:w="960" w:type="dxa"/>
            <w:tcBorders>
              <w:bottom w:val="single" w:sz="8" w:space="0" w:color="CCEEFF"/>
            </w:tcBorders>
            <w:vAlign w:val="bottom"/>
          </w:tcPr>
          <w:p w14:paraId="0CC26E7A" w14:textId="77777777" w:rsidR="00D1587D" w:rsidRDefault="00D1587D">
            <w:pPr>
              <w:rPr>
                <w:sz w:val="4"/>
                <w:szCs w:val="4"/>
              </w:rPr>
            </w:pPr>
          </w:p>
        </w:tc>
        <w:tc>
          <w:tcPr>
            <w:tcW w:w="1860" w:type="dxa"/>
            <w:tcBorders>
              <w:bottom w:val="single" w:sz="8" w:space="0" w:color="CCEEFF"/>
            </w:tcBorders>
            <w:vAlign w:val="bottom"/>
          </w:tcPr>
          <w:p w14:paraId="1A14EA3B" w14:textId="77777777" w:rsidR="00D1587D" w:rsidRDefault="00D1587D">
            <w:pPr>
              <w:rPr>
                <w:sz w:val="4"/>
                <w:szCs w:val="4"/>
              </w:rPr>
            </w:pPr>
          </w:p>
        </w:tc>
        <w:tc>
          <w:tcPr>
            <w:tcW w:w="3220" w:type="dxa"/>
            <w:tcBorders>
              <w:bottom w:val="single" w:sz="8" w:space="0" w:color="CCEEFF"/>
            </w:tcBorders>
            <w:vAlign w:val="bottom"/>
          </w:tcPr>
          <w:p w14:paraId="2F6A9DD8" w14:textId="77777777" w:rsidR="00D1587D" w:rsidRDefault="00D1587D">
            <w:pPr>
              <w:rPr>
                <w:sz w:val="4"/>
                <w:szCs w:val="4"/>
              </w:rPr>
            </w:pPr>
          </w:p>
        </w:tc>
        <w:tc>
          <w:tcPr>
            <w:tcW w:w="200" w:type="dxa"/>
            <w:tcBorders>
              <w:bottom w:val="single" w:sz="8" w:space="0" w:color="CCEEFF"/>
            </w:tcBorders>
            <w:vAlign w:val="bottom"/>
          </w:tcPr>
          <w:p w14:paraId="28363B17" w14:textId="77777777" w:rsidR="00D1587D" w:rsidRDefault="00D1587D">
            <w:pPr>
              <w:rPr>
                <w:sz w:val="4"/>
                <w:szCs w:val="4"/>
              </w:rPr>
            </w:pPr>
          </w:p>
        </w:tc>
        <w:tc>
          <w:tcPr>
            <w:tcW w:w="220" w:type="dxa"/>
            <w:tcBorders>
              <w:bottom w:val="single" w:sz="8" w:space="0" w:color="CCEEFF"/>
            </w:tcBorders>
            <w:vAlign w:val="bottom"/>
          </w:tcPr>
          <w:p w14:paraId="4385B01B" w14:textId="77777777" w:rsidR="00D1587D" w:rsidRDefault="00D1587D">
            <w:pPr>
              <w:rPr>
                <w:sz w:val="4"/>
                <w:szCs w:val="4"/>
              </w:rPr>
            </w:pPr>
          </w:p>
        </w:tc>
        <w:tc>
          <w:tcPr>
            <w:tcW w:w="140" w:type="dxa"/>
            <w:tcBorders>
              <w:bottom w:val="single" w:sz="8" w:space="0" w:color="CCEEFF"/>
            </w:tcBorders>
            <w:vAlign w:val="bottom"/>
          </w:tcPr>
          <w:p w14:paraId="7AC1D1F9" w14:textId="77777777" w:rsidR="00D1587D" w:rsidRDefault="00D1587D">
            <w:pPr>
              <w:rPr>
                <w:sz w:val="4"/>
                <w:szCs w:val="4"/>
              </w:rPr>
            </w:pPr>
          </w:p>
        </w:tc>
        <w:tc>
          <w:tcPr>
            <w:tcW w:w="420" w:type="dxa"/>
            <w:tcBorders>
              <w:bottom w:val="single" w:sz="8" w:space="0" w:color="CCEEFF"/>
            </w:tcBorders>
            <w:vAlign w:val="bottom"/>
          </w:tcPr>
          <w:p w14:paraId="78A1394F" w14:textId="77777777" w:rsidR="00D1587D" w:rsidRDefault="00D1587D">
            <w:pPr>
              <w:rPr>
                <w:sz w:val="4"/>
                <w:szCs w:val="4"/>
              </w:rPr>
            </w:pPr>
          </w:p>
        </w:tc>
        <w:tc>
          <w:tcPr>
            <w:tcW w:w="340" w:type="dxa"/>
            <w:tcBorders>
              <w:bottom w:val="single" w:sz="8" w:space="0" w:color="auto"/>
            </w:tcBorders>
            <w:vAlign w:val="bottom"/>
          </w:tcPr>
          <w:p w14:paraId="5C2095A4" w14:textId="77777777" w:rsidR="00D1587D" w:rsidRDefault="00D1587D">
            <w:pPr>
              <w:rPr>
                <w:sz w:val="4"/>
                <w:szCs w:val="4"/>
              </w:rPr>
            </w:pPr>
          </w:p>
        </w:tc>
        <w:tc>
          <w:tcPr>
            <w:tcW w:w="20" w:type="dxa"/>
            <w:tcBorders>
              <w:bottom w:val="single" w:sz="8" w:space="0" w:color="auto"/>
            </w:tcBorders>
            <w:vAlign w:val="bottom"/>
          </w:tcPr>
          <w:p w14:paraId="69199DDA" w14:textId="77777777" w:rsidR="00D1587D" w:rsidRDefault="00D1587D">
            <w:pPr>
              <w:rPr>
                <w:sz w:val="4"/>
                <w:szCs w:val="4"/>
              </w:rPr>
            </w:pPr>
          </w:p>
        </w:tc>
      </w:tr>
      <w:tr w:rsidR="00D1587D" w14:paraId="289F38CB" w14:textId="77777777">
        <w:trPr>
          <w:trHeight w:val="311"/>
        </w:trPr>
        <w:tc>
          <w:tcPr>
            <w:tcW w:w="8060" w:type="dxa"/>
            <w:gridSpan w:val="9"/>
            <w:tcBorders>
              <w:bottom w:val="single" w:sz="8" w:space="0" w:color="CCEEFF"/>
            </w:tcBorders>
            <w:shd w:val="clear" w:color="auto" w:fill="CCEEFF"/>
            <w:vAlign w:val="bottom"/>
          </w:tcPr>
          <w:p w14:paraId="4E88935D" w14:textId="77777777" w:rsidR="00D1587D" w:rsidRDefault="00410D07">
            <w:pPr>
              <w:rPr>
                <w:sz w:val="20"/>
                <w:szCs w:val="20"/>
              </w:rPr>
            </w:pPr>
            <w:r>
              <w:rPr>
                <w:rFonts w:ascii="Arial" w:eastAsia="Arial" w:hAnsi="Arial" w:cs="Arial"/>
                <w:sz w:val="18"/>
                <w:szCs w:val="18"/>
              </w:rPr>
              <w:t>Financial Statements</w:t>
            </w:r>
          </w:p>
        </w:tc>
        <w:tc>
          <w:tcPr>
            <w:tcW w:w="340" w:type="dxa"/>
            <w:tcBorders>
              <w:bottom w:val="single" w:sz="8" w:space="0" w:color="CCEEFF"/>
            </w:tcBorders>
            <w:shd w:val="clear" w:color="auto" w:fill="CCEEFF"/>
            <w:vAlign w:val="bottom"/>
          </w:tcPr>
          <w:p w14:paraId="688A2575" w14:textId="77777777" w:rsidR="00D1587D" w:rsidRDefault="00D1587D">
            <w:pPr>
              <w:rPr>
                <w:sz w:val="24"/>
                <w:szCs w:val="24"/>
              </w:rPr>
            </w:pPr>
          </w:p>
        </w:tc>
        <w:tc>
          <w:tcPr>
            <w:tcW w:w="20" w:type="dxa"/>
            <w:tcBorders>
              <w:bottom w:val="single" w:sz="8" w:space="0" w:color="CCEEFF"/>
            </w:tcBorders>
            <w:shd w:val="clear" w:color="auto" w:fill="CCEEFF"/>
            <w:vAlign w:val="bottom"/>
          </w:tcPr>
          <w:p w14:paraId="16CBEF12" w14:textId="77777777" w:rsidR="00D1587D" w:rsidRDefault="00D1587D">
            <w:pPr>
              <w:rPr>
                <w:sz w:val="24"/>
                <w:szCs w:val="24"/>
              </w:rPr>
            </w:pPr>
          </w:p>
        </w:tc>
      </w:tr>
      <w:tr w:rsidR="00D1587D" w14:paraId="2A3B8839" w14:textId="77777777">
        <w:trPr>
          <w:trHeight w:val="230"/>
        </w:trPr>
        <w:tc>
          <w:tcPr>
            <w:tcW w:w="8060" w:type="dxa"/>
            <w:gridSpan w:val="9"/>
            <w:vAlign w:val="bottom"/>
          </w:tcPr>
          <w:p w14:paraId="7F528082" w14:textId="77777777" w:rsidR="00D1587D" w:rsidRDefault="00410D07">
            <w:pPr>
              <w:rPr>
                <w:rFonts w:ascii="Arial" w:eastAsia="Arial" w:hAnsi="Arial" w:cs="Arial"/>
                <w:color w:val="0000EE"/>
                <w:w w:val="94"/>
                <w:sz w:val="18"/>
                <w:szCs w:val="18"/>
              </w:rPr>
            </w:pPr>
            <w:hyperlink w:anchor="page425">
              <w:r>
                <w:rPr>
                  <w:rFonts w:ascii="Arial" w:eastAsia="Arial" w:hAnsi="Arial" w:cs="Arial"/>
                  <w:color w:val="0000EE"/>
                  <w:w w:val="94"/>
                  <w:sz w:val="18"/>
                  <w:szCs w:val="18"/>
                </w:rPr>
                <w:t>Combined Balance Sheets as of May 1, 2021 (Unaudited), January 30, 2021 and May 2, 2020 (Unaudited)</w:t>
              </w:r>
            </w:hyperlink>
          </w:p>
        </w:tc>
        <w:tc>
          <w:tcPr>
            <w:tcW w:w="360" w:type="dxa"/>
            <w:gridSpan w:val="2"/>
            <w:vAlign w:val="bottom"/>
          </w:tcPr>
          <w:p w14:paraId="1B190758" w14:textId="77777777" w:rsidR="00D1587D" w:rsidRDefault="00410D07">
            <w:pPr>
              <w:ind w:right="20"/>
              <w:jc w:val="center"/>
              <w:rPr>
                <w:rFonts w:ascii="Arial" w:eastAsia="Arial" w:hAnsi="Arial" w:cs="Arial"/>
                <w:color w:val="0000EE"/>
                <w:w w:val="91"/>
                <w:sz w:val="18"/>
                <w:szCs w:val="18"/>
              </w:rPr>
            </w:pPr>
            <w:hyperlink w:anchor="page425">
              <w:r>
                <w:rPr>
                  <w:rFonts w:ascii="Arial" w:eastAsia="Arial" w:hAnsi="Arial" w:cs="Arial"/>
                  <w:color w:val="0000EE"/>
                  <w:w w:val="91"/>
                  <w:sz w:val="18"/>
                  <w:szCs w:val="18"/>
                </w:rPr>
                <w:t>F-29</w:t>
              </w:r>
            </w:hyperlink>
          </w:p>
        </w:tc>
      </w:tr>
      <w:tr w:rsidR="00D1587D" w14:paraId="6FE69C72" w14:textId="77777777">
        <w:trPr>
          <w:trHeight w:val="75"/>
        </w:trPr>
        <w:tc>
          <w:tcPr>
            <w:tcW w:w="180" w:type="dxa"/>
            <w:tcBorders>
              <w:top w:val="single" w:sz="8" w:space="0" w:color="0000EE"/>
            </w:tcBorders>
            <w:vAlign w:val="bottom"/>
          </w:tcPr>
          <w:p w14:paraId="48E5B099" w14:textId="77777777" w:rsidR="00D1587D" w:rsidRDefault="00D1587D">
            <w:pPr>
              <w:rPr>
                <w:sz w:val="6"/>
                <w:szCs w:val="6"/>
              </w:rPr>
            </w:pPr>
          </w:p>
        </w:tc>
        <w:tc>
          <w:tcPr>
            <w:tcW w:w="860" w:type="dxa"/>
            <w:tcBorders>
              <w:top w:val="single" w:sz="8" w:space="0" w:color="0000EE"/>
            </w:tcBorders>
            <w:vAlign w:val="bottom"/>
          </w:tcPr>
          <w:p w14:paraId="2EB4B8C5" w14:textId="77777777" w:rsidR="00D1587D" w:rsidRDefault="00D1587D">
            <w:pPr>
              <w:rPr>
                <w:sz w:val="6"/>
                <w:szCs w:val="6"/>
              </w:rPr>
            </w:pPr>
          </w:p>
        </w:tc>
        <w:tc>
          <w:tcPr>
            <w:tcW w:w="960" w:type="dxa"/>
            <w:tcBorders>
              <w:top w:val="single" w:sz="8" w:space="0" w:color="0000EE"/>
            </w:tcBorders>
            <w:vAlign w:val="bottom"/>
          </w:tcPr>
          <w:p w14:paraId="66213994" w14:textId="77777777" w:rsidR="00D1587D" w:rsidRDefault="00D1587D">
            <w:pPr>
              <w:rPr>
                <w:sz w:val="6"/>
                <w:szCs w:val="6"/>
              </w:rPr>
            </w:pPr>
          </w:p>
        </w:tc>
        <w:tc>
          <w:tcPr>
            <w:tcW w:w="1860" w:type="dxa"/>
            <w:tcBorders>
              <w:top w:val="single" w:sz="8" w:space="0" w:color="0000EE"/>
            </w:tcBorders>
            <w:vAlign w:val="bottom"/>
          </w:tcPr>
          <w:p w14:paraId="23AABEB4" w14:textId="77777777" w:rsidR="00D1587D" w:rsidRDefault="00D1587D">
            <w:pPr>
              <w:rPr>
                <w:sz w:val="6"/>
                <w:szCs w:val="6"/>
              </w:rPr>
            </w:pPr>
          </w:p>
        </w:tc>
        <w:tc>
          <w:tcPr>
            <w:tcW w:w="3220" w:type="dxa"/>
            <w:tcBorders>
              <w:top w:val="single" w:sz="8" w:space="0" w:color="0000EE"/>
            </w:tcBorders>
            <w:vAlign w:val="bottom"/>
          </w:tcPr>
          <w:p w14:paraId="6862D45B" w14:textId="77777777" w:rsidR="00D1587D" w:rsidRDefault="00D1587D">
            <w:pPr>
              <w:rPr>
                <w:sz w:val="6"/>
                <w:szCs w:val="6"/>
              </w:rPr>
            </w:pPr>
          </w:p>
        </w:tc>
        <w:tc>
          <w:tcPr>
            <w:tcW w:w="200" w:type="dxa"/>
            <w:tcBorders>
              <w:top w:val="single" w:sz="8" w:space="0" w:color="0000EE"/>
            </w:tcBorders>
            <w:vAlign w:val="bottom"/>
          </w:tcPr>
          <w:p w14:paraId="3279A683" w14:textId="77777777" w:rsidR="00D1587D" w:rsidRDefault="00D1587D">
            <w:pPr>
              <w:rPr>
                <w:sz w:val="6"/>
                <w:szCs w:val="6"/>
              </w:rPr>
            </w:pPr>
          </w:p>
        </w:tc>
        <w:tc>
          <w:tcPr>
            <w:tcW w:w="220" w:type="dxa"/>
            <w:tcBorders>
              <w:top w:val="single" w:sz="8" w:space="0" w:color="0000EE"/>
            </w:tcBorders>
            <w:vAlign w:val="bottom"/>
          </w:tcPr>
          <w:p w14:paraId="7FF5C84D" w14:textId="77777777" w:rsidR="00D1587D" w:rsidRDefault="00D1587D">
            <w:pPr>
              <w:rPr>
                <w:sz w:val="6"/>
                <w:szCs w:val="6"/>
              </w:rPr>
            </w:pPr>
          </w:p>
        </w:tc>
        <w:tc>
          <w:tcPr>
            <w:tcW w:w="140" w:type="dxa"/>
            <w:tcBorders>
              <w:top w:val="single" w:sz="8" w:space="0" w:color="0000EE"/>
            </w:tcBorders>
            <w:vAlign w:val="bottom"/>
          </w:tcPr>
          <w:p w14:paraId="13123493" w14:textId="77777777" w:rsidR="00D1587D" w:rsidRDefault="00D1587D">
            <w:pPr>
              <w:rPr>
                <w:sz w:val="6"/>
                <w:szCs w:val="6"/>
              </w:rPr>
            </w:pPr>
          </w:p>
        </w:tc>
        <w:tc>
          <w:tcPr>
            <w:tcW w:w="420" w:type="dxa"/>
            <w:vAlign w:val="bottom"/>
          </w:tcPr>
          <w:p w14:paraId="3C77B5F5" w14:textId="77777777" w:rsidR="00D1587D" w:rsidRDefault="00D1587D">
            <w:pPr>
              <w:rPr>
                <w:sz w:val="6"/>
                <w:szCs w:val="6"/>
              </w:rPr>
            </w:pPr>
          </w:p>
        </w:tc>
        <w:tc>
          <w:tcPr>
            <w:tcW w:w="340" w:type="dxa"/>
            <w:tcBorders>
              <w:top w:val="single" w:sz="8" w:space="0" w:color="0000EE"/>
            </w:tcBorders>
            <w:vAlign w:val="bottom"/>
          </w:tcPr>
          <w:p w14:paraId="578C4794" w14:textId="77777777" w:rsidR="00D1587D" w:rsidRDefault="00D1587D">
            <w:pPr>
              <w:rPr>
                <w:sz w:val="6"/>
                <w:szCs w:val="6"/>
              </w:rPr>
            </w:pPr>
          </w:p>
        </w:tc>
        <w:tc>
          <w:tcPr>
            <w:tcW w:w="20" w:type="dxa"/>
            <w:vAlign w:val="bottom"/>
          </w:tcPr>
          <w:p w14:paraId="3BA2CEDC" w14:textId="77777777" w:rsidR="00D1587D" w:rsidRDefault="00D1587D">
            <w:pPr>
              <w:rPr>
                <w:sz w:val="6"/>
                <w:szCs w:val="6"/>
              </w:rPr>
            </w:pPr>
          </w:p>
        </w:tc>
      </w:tr>
      <w:tr w:rsidR="00D1587D" w14:paraId="706CFAF0" w14:textId="77777777">
        <w:trPr>
          <w:trHeight w:val="229"/>
        </w:trPr>
        <w:tc>
          <w:tcPr>
            <w:tcW w:w="8060" w:type="dxa"/>
            <w:gridSpan w:val="9"/>
            <w:shd w:val="clear" w:color="auto" w:fill="CCEEFF"/>
            <w:vAlign w:val="bottom"/>
          </w:tcPr>
          <w:p w14:paraId="7D0CA909" w14:textId="77777777" w:rsidR="00D1587D" w:rsidRDefault="00410D07">
            <w:pPr>
              <w:rPr>
                <w:rFonts w:ascii="Arial" w:eastAsia="Arial" w:hAnsi="Arial" w:cs="Arial"/>
                <w:color w:val="0000EE"/>
                <w:w w:val="99"/>
                <w:sz w:val="18"/>
                <w:szCs w:val="18"/>
              </w:rPr>
            </w:pPr>
            <w:hyperlink w:anchor="page426">
              <w:r>
                <w:rPr>
                  <w:rFonts w:ascii="Arial" w:eastAsia="Arial" w:hAnsi="Arial" w:cs="Arial"/>
                  <w:color w:val="0000EE"/>
                  <w:w w:val="99"/>
                  <w:sz w:val="18"/>
                  <w:szCs w:val="18"/>
                </w:rPr>
                <w:t>Combined Statements of Income (Loss) for the Thirteen Weeks Ended May 1, 2021 and May 2, 2020</w:t>
              </w:r>
            </w:hyperlink>
          </w:p>
        </w:tc>
        <w:tc>
          <w:tcPr>
            <w:tcW w:w="340" w:type="dxa"/>
            <w:shd w:val="clear" w:color="auto" w:fill="CCEEFF"/>
            <w:vAlign w:val="bottom"/>
          </w:tcPr>
          <w:p w14:paraId="69BDC690" w14:textId="77777777" w:rsidR="00D1587D" w:rsidRDefault="00D1587D">
            <w:pPr>
              <w:rPr>
                <w:sz w:val="19"/>
                <w:szCs w:val="19"/>
              </w:rPr>
            </w:pPr>
          </w:p>
        </w:tc>
        <w:tc>
          <w:tcPr>
            <w:tcW w:w="20" w:type="dxa"/>
            <w:shd w:val="clear" w:color="auto" w:fill="CCEEFF"/>
            <w:vAlign w:val="bottom"/>
          </w:tcPr>
          <w:p w14:paraId="30776BBD" w14:textId="77777777" w:rsidR="00D1587D" w:rsidRDefault="00D1587D">
            <w:pPr>
              <w:rPr>
                <w:sz w:val="19"/>
                <w:szCs w:val="19"/>
              </w:rPr>
            </w:pPr>
          </w:p>
        </w:tc>
      </w:tr>
      <w:tr w:rsidR="00D1587D" w14:paraId="5AC62862" w14:textId="77777777">
        <w:trPr>
          <w:trHeight w:val="196"/>
        </w:trPr>
        <w:tc>
          <w:tcPr>
            <w:tcW w:w="180" w:type="dxa"/>
            <w:tcBorders>
              <w:top w:val="single" w:sz="8" w:space="0" w:color="0000EE"/>
            </w:tcBorders>
            <w:shd w:val="clear" w:color="auto" w:fill="CCEEFF"/>
            <w:vAlign w:val="bottom"/>
          </w:tcPr>
          <w:p w14:paraId="1FE3BBC1" w14:textId="77777777" w:rsidR="00D1587D" w:rsidRDefault="00D1587D">
            <w:pPr>
              <w:rPr>
                <w:sz w:val="17"/>
                <w:szCs w:val="17"/>
              </w:rPr>
            </w:pPr>
          </w:p>
        </w:tc>
        <w:tc>
          <w:tcPr>
            <w:tcW w:w="7100" w:type="dxa"/>
            <w:gridSpan w:val="5"/>
            <w:tcBorders>
              <w:top w:val="single" w:sz="8" w:space="0" w:color="0000EE"/>
            </w:tcBorders>
            <w:shd w:val="clear" w:color="auto" w:fill="CCEEFF"/>
            <w:vAlign w:val="bottom"/>
          </w:tcPr>
          <w:p w14:paraId="7EA6AA9C" w14:textId="77777777" w:rsidR="00D1587D" w:rsidRDefault="00410D07">
            <w:pPr>
              <w:spacing w:line="196" w:lineRule="exact"/>
              <w:rPr>
                <w:rFonts w:ascii="Arial" w:eastAsia="Arial" w:hAnsi="Arial" w:cs="Arial"/>
                <w:color w:val="0000EE"/>
                <w:sz w:val="18"/>
                <w:szCs w:val="18"/>
              </w:rPr>
            </w:pPr>
            <w:hyperlink w:anchor="page426">
              <w:r>
                <w:rPr>
                  <w:rFonts w:ascii="Arial" w:eastAsia="Arial" w:hAnsi="Arial" w:cs="Arial"/>
                  <w:color w:val="0000EE"/>
                  <w:sz w:val="18"/>
                  <w:szCs w:val="18"/>
                </w:rPr>
                <w:t>(Unaudited)</w:t>
              </w:r>
            </w:hyperlink>
          </w:p>
        </w:tc>
        <w:tc>
          <w:tcPr>
            <w:tcW w:w="780" w:type="dxa"/>
            <w:gridSpan w:val="3"/>
            <w:tcBorders>
              <w:top w:val="single" w:sz="8" w:space="0" w:color="CCEEFF"/>
            </w:tcBorders>
            <w:shd w:val="clear" w:color="auto" w:fill="CCEEFF"/>
            <w:vAlign w:val="bottom"/>
          </w:tcPr>
          <w:p w14:paraId="5AEC1828" w14:textId="77777777" w:rsidR="00D1587D" w:rsidRDefault="00D1587D">
            <w:pPr>
              <w:rPr>
                <w:sz w:val="17"/>
                <w:szCs w:val="17"/>
              </w:rPr>
            </w:pPr>
          </w:p>
        </w:tc>
        <w:tc>
          <w:tcPr>
            <w:tcW w:w="360" w:type="dxa"/>
            <w:gridSpan w:val="2"/>
            <w:tcBorders>
              <w:top w:val="single" w:sz="8" w:space="0" w:color="CCEEFF"/>
            </w:tcBorders>
            <w:shd w:val="clear" w:color="auto" w:fill="CCEEFF"/>
            <w:vAlign w:val="bottom"/>
          </w:tcPr>
          <w:p w14:paraId="2E67AF8B" w14:textId="77777777" w:rsidR="00D1587D" w:rsidRDefault="00410D07">
            <w:pPr>
              <w:spacing w:line="196" w:lineRule="exact"/>
              <w:ind w:right="20"/>
              <w:jc w:val="center"/>
              <w:rPr>
                <w:rFonts w:ascii="Arial" w:eastAsia="Arial" w:hAnsi="Arial" w:cs="Arial"/>
                <w:color w:val="0000EE"/>
                <w:w w:val="91"/>
                <w:sz w:val="18"/>
                <w:szCs w:val="18"/>
              </w:rPr>
            </w:pPr>
            <w:hyperlink w:anchor="page426">
              <w:r>
                <w:rPr>
                  <w:rFonts w:ascii="Arial" w:eastAsia="Arial" w:hAnsi="Arial" w:cs="Arial"/>
                  <w:color w:val="0000EE"/>
                  <w:w w:val="91"/>
                  <w:sz w:val="18"/>
                  <w:szCs w:val="18"/>
                </w:rPr>
                <w:t>F-30</w:t>
              </w:r>
            </w:hyperlink>
          </w:p>
        </w:tc>
      </w:tr>
      <w:tr w:rsidR="00D1587D" w14:paraId="1011FC58" w14:textId="77777777">
        <w:trPr>
          <w:trHeight w:val="74"/>
        </w:trPr>
        <w:tc>
          <w:tcPr>
            <w:tcW w:w="180" w:type="dxa"/>
            <w:tcBorders>
              <w:top w:val="single" w:sz="8" w:space="0" w:color="CCEEFF"/>
            </w:tcBorders>
            <w:shd w:val="clear" w:color="auto" w:fill="CCEEFF"/>
            <w:vAlign w:val="bottom"/>
          </w:tcPr>
          <w:p w14:paraId="7F081CFA" w14:textId="77777777" w:rsidR="00D1587D" w:rsidRDefault="00D1587D">
            <w:pPr>
              <w:rPr>
                <w:sz w:val="6"/>
                <w:szCs w:val="6"/>
              </w:rPr>
            </w:pPr>
          </w:p>
        </w:tc>
        <w:tc>
          <w:tcPr>
            <w:tcW w:w="860" w:type="dxa"/>
            <w:tcBorders>
              <w:top w:val="single" w:sz="8" w:space="0" w:color="0000EE"/>
            </w:tcBorders>
            <w:shd w:val="clear" w:color="auto" w:fill="CCEEFF"/>
            <w:vAlign w:val="bottom"/>
          </w:tcPr>
          <w:p w14:paraId="754C99CE" w14:textId="77777777" w:rsidR="00D1587D" w:rsidRDefault="00D1587D">
            <w:pPr>
              <w:rPr>
                <w:sz w:val="6"/>
                <w:szCs w:val="6"/>
              </w:rPr>
            </w:pPr>
          </w:p>
        </w:tc>
        <w:tc>
          <w:tcPr>
            <w:tcW w:w="960" w:type="dxa"/>
            <w:tcBorders>
              <w:top w:val="single" w:sz="8" w:space="0" w:color="CCEEFF"/>
            </w:tcBorders>
            <w:shd w:val="clear" w:color="auto" w:fill="CCEEFF"/>
            <w:vAlign w:val="bottom"/>
          </w:tcPr>
          <w:p w14:paraId="16B55EC3" w14:textId="77777777" w:rsidR="00D1587D" w:rsidRDefault="00D1587D">
            <w:pPr>
              <w:rPr>
                <w:sz w:val="6"/>
                <w:szCs w:val="6"/>
              </w:rPr>
            </w:pPr>
          </w:p>
        </w:tc>
        <w:tc>
          <w:tcPr>
            <w:tcW w:w="1860" w:type="dxa"/>
            <w:tcBorders>
              <w:top w:val="single" w:sz="8" w:space="0" w:color="CCEEFF"/>
            </w:tcBorders>
            <w:shd w:val="clear" w:color="auto" w:fill="CCEEFF"/>
            <w:vAlign w:val="bottom"/>
          </w:tcPr>
          <w:p w14:paraId="47011A1C" w14:textId="77777777" w:rsidR="00D1587D" w:rsidRDefault="00D1587D">
            <w:pPr>
              <w:rPr>
                <w:sz w:val="6"/>
                <w:szCs w:val="6"/>
              </w:rPr>
            </w:pPr>
          </w:p>
        </w:tc>
        <w:tc>
          <w:tcPr>
            <w:tcW w:w="3220" w:type="dxa"/>
            <w:tcBorders>
              <w:top w:val="single" w:sz="8" w:space="0" w:color="CCEEFF"/>
            </w:tcBorders>
            <w:shd w:val="clear" w:color="auto" w:fill="CCEEFF"/>
            <w:vAlign w:val="bottom"/>
          </w:tcPr>
          <w:p w14:paraId="105371A7" w14:textId="77777777" w:rsidR="00D1587D" w:rsidRDefault="00D1587D">
            <w:pPr>
              <w:rPr>
                <w:sz w:val="6"/>
                <w:szCs w:val="6"/>
              </w:rPr>
            </w:pPr>
          </w:p>
        </w:tc>
        <w:tc>
          <w:tcPr>
            <w:tcW w:w="200" w:type="dxa"/>
            <w:tcBorders>
              <w:top w:val="single" w:sz="8" w:space="0" w:color="CCEEFF"/>
            </w:tcBorders>
            <w:shd w:val="clear" w:color="auto" w:fill="CCEEFF"/>
            <w:vAlign w:val="bottom"/>
          </w:tcPr>
          <w:p w14:paraId="6C3BC019" w14:textId="77777777" w:rsidR="00D1587D" w:rsidRDefault="00D1587D">
            <w:pPr>
              <w:rPr>
                <w:sz w:val="6"/>
                <w:szCs w:val="6"/>
              </w:rPr>
            </w:pPr>
          </w:p>
        </w:tc>
        <w:tc>
          <w:tcPr>
            <w:tcW w:w="220" w:type="dxa"/>
            <w:tcBorders>
              <w:top w:val="single" w:sz="8" w:space="0" w:color="CCEEFF"/>
            </w:tcBorders>
            <w:shd w:val="clear" w:color="auto" w:fill="CCEEFF"/>
            <w:vAlign w:val="bottom"/>
          </w:tcPr>
          <w:p w14:paraId="4B457445" w14:textId="77777777" w:rsidR="00D1587D" w:rsidRDefault="00D1587D">
            <w:pPr>
              <w:rPr>
                <w:sz w:val="6"/>
                <w:szCs w:val="6"/>
              </w:rPr>
            </w:pPr>
          </w:p>
        </w:tc>
        <w:tc>
          <w:tcPr>
            <w:tcW w:w="140" w:type="dxa"/>
            <w:tcBorders>
              <w:top w:val="single" w:sz="8" w:space="0" w:color="CCEEFF"/>
            </w:tcBorders>
            <w:shd w:val="clear" w:color="auto" w:fill="CCEEFF"/>
            <w:vAlign w:val="bottom"/>
          </w:tcPr>
          <w:p w14:paraId="428A5834" w14:textId="77777777" w:rsidR="00D1587D" w:rsidRDefault="00D1587D">
            <w:pPr>
              <w:rPr>
                <w:sz w:val="6"/>
                <w:szCs w:val="6"/>
              </w:rPr>
            </w:pPr>
          </w:p>
        </w:tc>
        <w:tc>
          <w:tcPr>
            <w:tcW w:w="420" w:type="dxa"/>
            <w:tcBorders>
              <w:top w:val="single" w:sz="8" w:space="0" w:color="CCEEFF"/>
            </w:tcBorders>
            <w:shd w:val="clear" w:color="auto" w:fill="CCEEFF"/>
            <w:vAlign w:val="bottom"/>
          </w:tcPr>
          <w:p w14:paraId="50669443" w14:textId="77777777" w:rsidR="00D1587D" w:rsidRDefault="00D1587D">
            <w:pPr>
              <w:rPr>
                <w:sz w:val="6"/>
                <w:szCs w:val="6"/>
              </w:rPr>
            </w:pPr>
          </w:p>
        </w:tc>
        <w:tc>
          <w:tcPr>
            <w:tcW w:w="340" w:type="dxa"/>
            <w:tcBorders>
              <w:top w:val="single" w:sz="8" w:space="0" w:color="0000EE"/>
            </w:tcBorders>
            <w:shd w:val="clear" w:color="auto" w:fill="CCEEFF"/>
            <w:vAlign w:val="bottom"/>
          </w:tcPr>
          <w:p w14:paraId="0A52B239" w14:textId="77777777" w:rsidR="00D1587D" w:rsidRDefault="00D1587D">
            <w:pPr>
              <w:rPr>
                <w:sz w:val="6"/>
                <w:szCs w:val="6"/>
              </w:rPr>
            </w:pPr>
          </w:p>
        </w:tc>
        <w:tc>
          <w:tcPr>
            <w:tcW w:w="20" w:type="dxa"/>
            <w:tcBorders>
              <w:top w:val="single" w:sz="8" w:space="0" w:color="CCEEFF"/>
            </w:tcBorders>
            <w:shd w:val="clear" w:color="auto" w:fill="CCEEFF"/>
            <w:vAlign w:val="bottom"/>
          </w:tcPr>
          <w:p w14:paraId="218BED0E" w14:textId="77777777" w:rsidR="00D1587D" w:rsidRDefault="00D1587D">
            <w:pPr>
              <w:rPr>
                <w:sz w:val="6"/>
                <w:szCs w:val="6"/>
              </w:rPr>
            </w:pPr>
          </w:p>
        </w:tc>
      </w:tr>
      <w:tr w:rsidR="00D1587D" w14:paraId="73D2AEE0" w14:textId="77777777">
        <w:trPr>
          <w:trHeight w:val="230"/>
        </w:trPr>
        <w:tc>
          <w:tcPr>
            <w:tcW w:w="7500" w:type="dxa"/>
            <w:gridSpan w:val="7"/>
            <w:tcBorders>
              <w:bottom w:val="single" w:sz="8" w:space="0" w:color="0000EE"/>
            </w:tcBorders>
            <w:vAlign w:val="bottom"/>
          </w:tcPr>
          <w:p w14:paraId="1D0A6FAC" w14:textId="77777777" w:rsidR="00D1587D" w:rsidRDefault="00410D07">
            <w:pPr>
              <w:rPr>
                <w:rFonts w:ascii="Arial" w:eastAsia="Arial" w:hAnsi="Arial" w:cs="Arial"/>
                <w:color w:val="0000EE"/>
                <w:w w:val="89"/>
                <w:sz w:val="18"/>
                <w:szCs w:val="18"/>
              </w:rPr>
            </w:pPr>
            <w:hyperlink w:anchor="page426">
              <w:r>
                <w:rPr>
                  <w:rFonts w:ascii="Arial" w:eastAsia="Arial" w:hAnsi="Arial" w:cs="Arial"/>
                  <w:color w:val="0000EE"/>
                  <w:w w:val="89"/>
                  <w:sz w:val="18"/>
                  <w:szCs w:val="18"/>
                </w:rPr>
                <w:t>Combined Statements of Comprehensive Income (Loss) for the Thirteen Weeks Ended May 1, 2021 and</w:t>
              </w:r>
            </w:hyperlink>
          </w:p>
        </w:tc>
        <w:tc>
          <w:tcPr>
            <w:tcW w:w="560" w:type="dxa"/>
            <w:gridSpan w:val="2"/>
            <w:vAlign w:val="bottom"/>
          </w:tcPr>
          <w:p w14:paraId="346AD9B3" w14:textId="77777777" w:rsidR="00D1587D" w:rsidRDefault="00D1587D">
            <w:pPr>
              <w:rPr>
                <w:sz w:val="19"/>
                <w:szCs w:val="19"/>
              </w:rPr>
            </w:pPr>
          </w:p>
        </w:tc>
        <w:tc>
          <w:tcPr>
            <w:tcW w:w="340" w:type="dxa"/>
            <w:vAlign w:val="bottom"/>
          </w:tcPr>
          <w:p w14:paraId="022E750F" w14:textId="77777777" w:rsidR="00D1587D" w:rsidRDefault="00D1587D">
            <w:pPr>
              <w:rPr>
                <w:sz w:val="19"/>
                <w:szCs w:val="19"/>
              </w:rPr>
            </w:pPr>
          </w:p>
        </w:tc>
        <w:tc>
          <w:tcPr>
            <w:tcW w:w="20" w:type="dxa"/>
            <w:vAlign w:val="bottom"/>
          </w:tcPr>
          <w:p w14:paraId="4B4D696F" w14:textId="77777777" w:rsidR="00D1587D" w:rsidRDefault="00D1587D">
            <w:pPr>
              <w:rPr>
                <w:sz w:val="19"/>
                <w:szCs w:val="19"/>
              </w:rPr>
            </w:pPr>
          </w:p>
        </w:tc>
      </w:tr>
      <w:tr w:rsidR="00D1587D" w14:paraId="49E2CAA2" w14:textId="77777777">
        <w:trPr>
          <w:trHeight w:val="196"/>
        </w:trPr>
        <w:tc>
          <w:tcPr>
            <w:tcW w:w="180" w:type="dxa"/>
            <w:vAlign w:val="bottom"/>
          </w:tcPr>
          <w:p w14:paraId="748BB943" w14:textId="77777777" w:rsidR="00D1587D" w:rsidRDefault="00D1587D">
            <w:pPr>
              <w:rPr>
                <w:sz w:val="17"/>
                <w:szCs w:val="17"/>
              </w:rPr>
            </w:pPr>
          </w:p>
        </w:tc>
        <w:tc>
          <w:tcPr>
            <w:tcW w:w="7880" w:type="dxa"/>
            <w:gridSpan w:val="8"/>
            <w:vAlign w:val="bottom"/>
          </w:tcPr>
          <w:p w14:paraId="2F4F4324" w14:textId="77777777" w:rsidR="00D1587D" w:rsidRDefault="00410D07">
            <w:pPr>
              <w:spacing w:line="196" w:lineRule="exact"/>
              <w:rPr>
                <w:rFonts w:ascii="Arial" w:eastAsia="Arial" w:hAnsi="Arial" w:cs="Arial"/>
                <w:color w:val="0000EE"/>
                <w:sz w:val="18"/>
                <w:szCs w:val="18"/>
              </w:rPr>
            </w:pPr>
            <w:hyperlink w:anchor="page426">
              <w:r>
                <w:rPr>
                  <w:rFonts w:ascii="Arial" w:eastAsia="Arial" w:hAnsi="Arial" w:cs="Arial"/>
                  <w:color w:val="0000EE"/>
                  <w:sz w:val="18"/>
                  <w:szCs w:val="18"/>
                </w:rPr>
                <w:t>May 2, 2020 (Unaudited)</w:t>
              </w:r>
            </w:hyperlink>
          </w:p>
        </w:tc>
        <w:tc>
          <w:tcPr>
            <w:tcW w:w="360" w:type="dxa"/>
            <w:gridSpan w:val="2"/>
            <w:vAlign w:val="bottom"/>
          </w:tcPr>
          <w:p w14:paraId="0ECF830A" w14:textId="77777777" w:rsidR="00D1587D" w:rsidRDefault="00410D07">
            <w:pPr>
              <w:spacing w:line="196" w:lineRule="exact"/>
              <w:ind w:right="20"/>
              <w:jc w:val="center"/>
              <w:rPr>
                <w:rFonts w:ascii="Arial" w:eastAsia="Arial" w:hAnsi="Arial" w:cs="Arial"/>
                <w:color w:val="0000EE"/>
                <w:w w:val="91"/>
                <w:sz w:val="18"/>
                <w:szCs w:val="18"/>
              </w:rPr>
            </w:pPr>
            <w:hyperlink w:anchor="page426">
              <w:r>
                <w:rPr>
                  <w:rFonts w:ascii="Arial" w:eastAsia="Arial" w:hAnsi="Arial" w:cs="Arial"/>
                  <w:color w:val="0000EE"/>
                  <w:w w:val="91"/>
                  <w:sz w:val="18"/>
                  <w:szCs w:val="18"/>
                </w:rPr>
                <w:t>F-30</w:t>
              </w:r>
            </w:hyperlink>
          </w:p>
        </w:tc>
      </w:tr>
      <w:tr w:rsidR="00D1587D" w14:paraId="0957EB0B" w14:textId="77777777">
        <w:trPr>
          <w:trHeight w:val="74"/>
        </w:trPr>
        <w:tc>
          <w:tcPr>
            <w:tcW w:w="180" w:type="dxa"/>
            <w:vAlign w:val="bottom"/>
          </w:tcPr>
          <w:p w14:paraId="1C8484F1" w14:textId="77777777" w:rsidR="00D1587D" w:rsidRDefault="00D1587D">
            <w:pPr>
              <w:rPr>
                <w:sz w:val="6"/>
                <w:szCs w:val="6"/>
              </w:rPr>
            </w:pPr>
          </w:p>
        </w:tc>
        <w:tc>
          <w:tcPr>
            <w:tcW w:w="860" w:type="dxa"/>
            <w:tcBorders>
              <w:top w:val="single" w:sz="8" w:space="0" w:color="0000EE"/>
            </w:tcBorders>
            <w:vAlign w:val="bottom"/>
          </w:tcPr>
          <w:p w14:paraId="22ECCE18" w14:textId="77777777" w:rsidR="00D1587D" w:rsidRDefault="00D1587D">
            <w:pPr>
              <w:rPr>
                <w:sz w:val="6"/>
                <w:szCs w:val="6"/>
              </w:rPr>
            </w:pPr>
          </w:p>
        </w:tc>
        <w:tc>
          <w:tcPr>
            <w:tcW w:w="960" w:type="dxa"/>
            <w:tcBorders>
              <w:top w:val="single" w:sz="8" w:space="0" w:color="0000EE"/>
            </w:tcBorders>
            <w:vAlign w:val="bottom"/>
          </w:tcPr>
          <w:p w14:paraId="71AB3F90" w14:textId="77777777" w:rsidR="00D1587D" w:rsidRDefault="00D1587D">
            <w:pPr>
              <w:rPr>
                <w:sz w:val="6"/>
                <w:szCs w:val="6"/>
              </w:rPr>
            </w:pPr>
          </w:p>
        </w:tc>
        <w:tc>
          <w:tcPr>
            <w:tcW w:w="1860" w:type="dxa"/>
            <w:vAlign w:val="bottom"/>
          </w:tcPr>
          <w:p w14:paraId="51B27724" w14:textId="77777777" w:rsidR="00D1587D" w:rsidRDefault="00D1587D">
            <w:pPr>
              <w:rPr>
                <w:sz w:val="6"/>
                <w:szCs w:val="6"/>
              </w:rPr>
            </w:pPr>
          </w:p>
        </w:tc>
        <w:tc>
          <w:tcPr>
            <w:tcW w:w="3220" w:type="dxa"/>
            <w:vAlign w:val="bottom"/>
          </w:tcPr>
          <w:p w14:paraId="4691756C" w14:textId="77777777" w:rsidR="00D1587D" w:rsidRDefault="00D1587D">
            <w:pPr>
              <w:rPr>
                <w:sz w:val="6"/>
                <w:szCs w:val="6"/>
              </w:rPr>
            </w:pPr>
          </w:p>
        </w:tc>
        <w:tc>
          <w:tcPr>
            <w:tcW w:w="200" w:type="dxa"/>
            <w:vAlign w:val="bottom"/>
          </w:tcPr>
          <w:p w14:paraId="555285CD" w14:textId="77777777" w:rsidR="00D1587D" w:rsidRDefault="00D1587D">
            <w:pPr>
              <w:rPr>
                <w:sz w:val="6"/>
                <w:szCs w:val="6"/>
              </w:rPr>
            </w:pPr>
          </w:p>
        </w:tc>
        <w:tc>
          <w:tcPr>
            <w:tcW w:w="220" w:type="dxa"/>
            <w:vAlign w:val="bottom"/>
          </w:tcPr>
          <w:p w14:paraId="59E3F3F2" w14:textId="77777777" w:rsidR="00D1587D" w:rsidRDefault="00D1587D">
            <w:pPr>
              <w:rPr>
                <w:sz w:val="6"/>
                <w:szCs w:val="6"/>
              </w:rPr>
            </w:pPr>
          </w:p>
        </w:tc>
        <w:tc>
          <w:tcPr>
            <w:tcW w:w="140" w:type="dxa"/>
            <w:vAlign w:val="bottom"/>
          </w:tcPr>
          <w:p w14:paraId="19126907" w14:textId="77777777" w:rsidR="00D1587D" w:rsidRDefault="00D1587D">
            <w:pPr>
              <w:rPr>
                <w:sz w:val="6"/>
                <w:szCs w:val="6"/>
              </w:rPr>
            </w:pPr>
          </w:p>
        </w:tc>
        <w:tc>
          <w:tcPr>
            <w:tcW w:w="420" w:type="dxa"/>
            <w:vAlign w:val="bottom"/>
          </w:tcPr>
          <w:p w14:paraId="7253EA69" w14:textId="77777777" w:rsidR="00D1587D" w:rsidRDefault="00D1587D">
            <w:pPr>
              <w:rPr>
                <w:sz w:val="6"/>
                <w:szCs w:val="6"/>
              </w:rPr>
            </w:pPr>
          </w:p>
        </w:tc>
        <w:tc>
          <w:tcPr>
            <w:tcW w:w="340" w:type="dxa"/>
            <w:tcBorders>
              <w:top w:val="single" w:sz="8" w:space="0" w:color="0000EE"/>
            </w:tcBorders>
            <w:vAlign w:val="bottom"/>
          </w:tcPr>
          <w:p w14:paraId="1854B92E" w14:textId="77777777" w:rsidR="00D1587D" w:rsidRDefault="00D1587D">
            <w:pPr>
              <w:rPr>
                <w:sz w:val="6"/>
                <w:szCs w:val="6"/>
              </w:rPr>
            </w:pPr>
          </w:p>
        </w:tc>
        <w:tc>
          <w:tcPr>
            <w:tcW w:w="20" w:type="dxa"/>
            <w:vAlign w:val="bottom"/>
          </w:tcPr>
          <w:p w14:paraId="0550D715" w14:textId="77777777" w:rsidR="00D1587D" w:rsidRDefault="00D1587D">
            <w:pPr>
              <w:rPr>
                <w:sz w:val="6"/>
                <w:szCs w:val="6"/>
              </w:rPr>
            </w:pPr>
          </w:p>
        </w:tc>
      </w:tr>
      <w:tr w:rsidR="00D1587D" w14:paraId="1B33AA18" w14:textId="77777777">
        <w:trPr>
          <w:trHeight w:val="230"/>
        </w:trPr>
        <w:tc>
          <w:tcPr>
            <w:tcW w:w="8060" w:type="dxa"/>
            <w:gridSpan w:val="9"/>
            <w:shd w:val="clear" w:color="auto" w:fill="CCEEFF"/>
            <w:vAlign w:val="bottom"/>
          </w:tcPr>
          <w:p w14:paraId="0CE0B122" w14:textId="77777777" w:rsidR="00D1587D" w:rsidRDefault="00410D07">
            <w:pPr>
              <w:rPr>
                <w:rFonts w:ascii="Arial" w:eastAsia="Arial" w:hAnsi="Arial" w:cs="Arial"/>
                <w:color w:val="0000EE"/>
                <w:sz w:val="18"/>
                <w:szCs w:val="18"/>
              </w:rPr>
            </w:pPr>
            <w:hyperlink w:anchor="page427">
              <w:r>
                <w:rPr>
                  <w:rFonts w:ascii="Arial" w:eastAsia="Arial" w:hAnsi="Arial" w:cs="Arial"/>
                  <w:color w:val="0000EE"/>
                  <w:sz w:val="18"/>
                  <w:szCs w:val="18"/>
                </w:rPr>
                <w:t>Combined Statements of Cash Flows for the Thirteen Weeks Ended May 1, 2021 and May 2, 2020</w:t>
              </w:r>
            </w:hyperlink>
          </w:p>
        </w:tc>
        <w:tc>
          <w:tcPr>
            <w:tcW w:w="340" w:type="dxa"/>
            <w:shd w:val="clear" w:color="auto" w:fill="CCEEFF"/>
            <w:vAlign w:val="bottom"/>
          </w:tcPr>
          <w:p w14:paraId="22F8184E" w14:textId="77777777" w:rsidR="00D1587D" w:rsidRDefault="00D1587D">
            <w:pPr>
              <w:rPr>
                <w:sz w:val="19"/>
                <w:szCs w:val="19"/>
              </w:rPr>
            </w:pPr>
          </w:p>
        </w:tc>
        <w:tc>
          <w:tcPr>
            <w:tcW w:w="20" w:type="dxa"/>
            <w:shd w:val="clear" w:color="auto" w:fill="CCEEFF"/>
            <w:vAlign w:val="bottom"/>
          </w:tcPr>
          <w:p w14:paraId="22C92F98" w14:textId="77777777" w:rsidR="00D1587D" w:rsidRDefault="00D1587D">
            <w:pPr>
              <w:rPr>
                <w:sz w:val="19"/>
                <w:szCs w:val="19"/>
              </w:rPr>
            </w:pPr>
          </w:p>
        </w:tc>
      </w:tr>
      <w:tr w:rsidR="00D1587D" w14:paraId="1885E856" w14:textId="77777777">
        <w:trPr>
          <w:trHeight w:val="196"/>
        </w:trPr>
        <w:tc>
          <w:tcPr>
            <w:tcW w:w="180" w:type="dxa"/>
            <w:tcBorders>
              <w:top w:val="single" w:sz="8" w:space="0" w:color="0000EE"/>
            </w:tcBorders>
            <w:shd w:val="clear" w:color="auto" w:fill="CCEEFF"/>
            <w:vAlign w:val="bottom"/>
          </w:tcPr>
          <w:p w14:paraId="28112653" w14:textId="77777777" w:rsidR="00D1587D" w:rsidRDefault="00D1587D">
            <w:pPr>
              <w:rPr>
                <w:sz w:val="17"/>
                <w:szCs w:val="17"/>
              </w:rPr>
            </w:pPr>
          </w:p>
        </w:tc>
        <w:tc>
          <w:tcPr>
            <w:tcW w:w="6900" w:type="dxa"/>
            <w:gridSpan w:val="4"/>
            <w:tcBorders>
              <w:top w:val="single" w:sz="8" w:space="0" w:color="0000EE"/>
            </w:tcBorders>
            <w:shd w:val="clear" w:color="auto" w:fill="CCEEFF"/>
            <w:vAlign w:val="bottom"/>
          </w:tcPr>
          <w:p w14:paraId="34F7FC32" w14:textId="77777777" w:rsidR="00D1587D" w:rsidRDefault="00410D07">
            <w:pPr>
              <w:spacing w:line="196" w:lineRule="exact"/>
              <w:rPr>
                <w:rFonts w:ascii="Arial" w:eastAsia="Arial" w:hAnsi="Arial" w:cs="Arial"/>
                <w:color w:val="0000EE"/>
                <w:sz w:val="18"/>
                <w:szCs w:val="18"/>
              </w:rPr>
            </w:pPr>
            <w:hyperlink w:anchor="page427">
              <w:r>
                <w:rPr>
                  <w:rFonts w:ascii="Arial" w:eastAsia="Arial" w:hAnsi="Arial" w:cs="Arial"/>
                  <w:color w:val="0000EE"/>
                  <w:sz w:val="18"/>
                  <w:szCs w:val="18"/>
                </w:rPr>
                <w:t>(Unaudited)</w:t>
              </w:r>
            </w:hyperlink>
          </w:p>
        </w:tc>
        <w:tc>
          <w:tcPr>
            <w:tcW w:w="980" w:type="dxa"/>
            <w:gridSpan w:val="4"/>
            <w:tcBorders>
              <w:top w:val="single" w:sz="8" w:space="0" w:color="CCEEFF"/>
            </w:tcBorders>
            <w:shd w:val="clear" w:color="auto" w:fill="CCEEFF"/>
            <w:vAlign w:val="bottom"/>
          </w:tcPr>
          <w:p w14:paraId="2892CCED" w14:textId="77777777" w:rsidR="00D1587D" w:rsidRDefault="00D1587D">
            <w:pPr>
              <w:rPr>
                <w:sz w:val="17"/>
                <w:szCs w:val="17"/>
              </w:rPr>
            </w:pPr>
          </w:p>
        </w:tc>
        <w:tc>
          <w:tcPr>
            <w:tcW w:w="360" w:type="dxa"/>
            <w:gridSpan w:val="2"/>
            <w:tcBorders>
              <w:top w:val="single" w:sz="8" w:space="0" w:color="CCEEFF"/>
            </w:tcBorders>
            <w:shd w:val="clear" w:color="auto" w:fill="CCEEFF"/>
            <w:vAlign w:val="bottom"/>
          </w:tcPr>
          <w:p w14:paraId="22CC73DF" w14:textId="77777777" w:rsidR="00D1587D" w:rsidRDefault="00410D07">
            <w:pPr>
              <w:spacing w:line="196" w:lineRule="exact"/>
              <w:ind w:right="20"/>
              <w:jc w:val="center"/>
              <w:rPr>
                <w:rFonts w:ascii="Arial" w:eastAsia="Arial" w:hAnsi="Arial" w:cs="Arial"/>
                <w:color w:val="0000EE"/>
                <w:w w:val="91"/>
                <w:sz w:val="18"/>
                <w:szCs w:val="18"/>
              </w:rPr>
            </w:pPr>
            <w:hyperlink w:anchor="page427">
              <w:r>
                <w:rPr>
                  <w:rFonts w:ascii="Arial" w:eastAsia="Arial" w:hAnsi="Arial" w:cs="Arial"/>
                  <w:color w:val="0000EE"/>
                  <w:w w:val="91"/>
                  <w:sz w:val="18"/>
                  <w:szCs w:val="18"/>
                </w:rPr>
                <w:t>F-31</w:t>
              </w:r>
            </w:hyperlink>
          </w:p>
        </w:tc>
      </w:tr>
      <w:tr w:rsidR="00D1587D" w14:paraId="2A626F5A" w14:textId="77777777">
        <w:trPr>
          <w:trHeight w:val="75"/>
        </w:trPr>
        <w:tc>
          <w:tcPr>
            <w:tcW w:w="180" w:type="dxa"/>
            <w:tcBorders>
              <w:top w:val="single" w:sz="8" w:space="0" w:color="CCEEFF"/>
            </w:tcBorders>
            <w:shd w:val="clear" w:color="auto" w:fill="CCEEFF"/>
            <w:vAlign w:val="bottom"/>
          </w:tcPr>
          <w:p w14:paraId="642EF92A" w14:textId="77777777" w:rsidR="00D1587D" w:rsidRDefault="00D1587D">
            <w:pPr>
              <w:rPr>
                <w:sz w:val="6"/>
                <w:szCs w:val="6"/>
              </w:rPr>
            </w:pPr>
          </w:p>
        </w:tc>
        <w:tc>
          <w:tcPr>
            <w:tcW w:w="860" w:type="dxa"/>
            <w:tcBorders>
              <w:top w:val="single" w:sz="8" w:space="0" w:color="0000EE"/>
            </w:tcBorders>
            <w:shd w:val="clear" w:color="auto" w:fill="CCEEFF"/>
            <w:vAlign w:val="bottom"/>
          </w:tcPr>
          <w:p w14:paraId="7919BCDC" w14:textId="77777777" w:rsidR="00D1587D" w:rsidRDefault="00D1587D">
            <w:pPr>
              <w:rPr>
                <w:sz w:val="6"/>
                <w:szCs w:val="6"/>
              </w:rPr>
            </w:pPr>
          </w:p>
        </w:tc>
        <w:tc>
          <w:tcPr>
            <w:tcW w:w="960" w:type="dxa"/>
            <w:tcBorders>
              <w:top w:val="single" w:sz="8" w:space="0" w:color="CCEEFF"/>
            </w:tcBorders>
            <w:shd w:val="clear" w:color="auto" w:fill="CCEEFF"/>
            <w:vAlign w:val="bottom"/>
          </w:tcPr>
          <w:p w14:paraId="6B6F46BF" w14:textId="77777777" w:rsidR="00D1587D" w:rsidRDefault="00D1587D">
            <w:pPr>
              <w:rPr>
                <w:sz w:val="6"/>
                <w:szCs w:val="6"/>
              </w:rPr>
            </w:pPr>
          </w:p>
        </w:tc>
        <w:tc>
          <w:tcPr>
            <w:tcW w:w="1860" w:type="dxa"/>
            <w:tcBorders>
              <w:top w:val="single" w:sz="8" w:space="0" w:color="CCEEFF"/>
            </w:tcBorders>
            <w:shd w:val="clear" w:color="auto" w:fill="CCEEFF"/>
            <w:vAlign w:val="bottom"/>
          </w:tcPr>
          <w:p w14:paraId="26F9ECEC" w14:textId="77777777" w:rsidR="00D1587D" w:rsidRDefault="00D1587D">
            <w:pPr>
              <w:rPr>
                <w:sz w:val="6"/>
                <w:szCs w:val="6"/>
              </w:rPr>
            </w:pPr>
          </w:p>
        </w:tc>
        <w:tc>
          <w:tcPr>
            <w:tcW w:w="3220" w:type="dxa"/>
            <w:tcBorders>
              <w:top w:val="single" w:sz="8" w:space="0" w:color="CCEEFF"/>
            </w:tcBorders>
            <w:shd w:val="clear" w:color="auto" w:fill="CCEEFF"/>
            <w:vAlign w:val="bottom"/>
          </w:tcPr>
          <w:p w14:paraId="5D02E3FD" w14:textId="77777777" w:rsidR="00D1587D" w:rsidRDefault="00D1587D">
            <w:pPr>
              <w:rPr>
                <w:sz w:val="6"/>
                <w:szCs w:val="6"/>
              </w:rPr>
            </w:pPr>
          </w:p>
        </w:tc>
        <w:tc>
          <w:tcPr>
            <w:tcW w:w="200" w:type="dxa"/>
            <w:tcBorders>
              <w:top w:val="single" w:sz="8" w:space="0" w:color="CCEEFF"/>
            </w:tcBorders>
            <w:shd w:val="clear" w:color="auto" w:fill="CCEEFF"/>
            <w:vAlign w:val="bottom"/>
          </w:tcPr>
          <w:p w14:paraId="52F13AF9" w14:textId="77777777" w:rsidR="00D1587D" w:rsidRDefault="00D1587D">
            <w:pPr>
              <w:rPr>
                <w:sz w:val="6"/>
                <w:szCs w:val="6"/>
              </w:rPr>
            </w:pPr>
          </w:p>
        </w:tc>
        <w:tc>
          <w:tcPr>
            <w:tcW w:w="220" w:type="dxa"/>
            <w:tcBorders>
              <w:top w:val="single" w:sz="8" w:space="0" w:color="CCEEFF"/>
            </w:tcBorders>
            <w:shd w:val="clear" w:color="auto" w:fill="CCEEFF"/>
            <w:vAlign w:val="bottom"/>
          </w:tcPr>
          <w:p w14:paraId="0B70490A" w14:textId="77777777" w:rsidR="00D1587D" w:rsidRDefault="00D1587D">
            <w:pPr>
              <w:rPr>
                <w:sz w:val="6"/>
                <w:szCs w:val="6"/>
              </w:rPr>
            </w:pPr>
          </w:p>
        </w:tc>
        <w:tc>
          <w:tcPr>
            <w:tcW w:w="140" w:type="dxa"/>
            <w:tcBorders>
              <w:top w:val="single" w:sz="8" w:space="0" w:color="CCEEFF"/>
            </w:tcBorders>
            <w:shd w:val="clear" w:color="auto" w:fill="CCEEFF"/>
            <w:vAlign w:val="bottom"/>
          </w:tcPr>
          <w:p w14:paraId="6DAEAB4B" w14:textId="77777777" w:rsidR="00D1587D" w:rsidRDefault="00D1587D">
            <w:pPr>
              <w:rPr>
                <w:sz w:val="6"/>
                <w:szCs w:val="6"/>
              </w:rPr>
            </w:pPr>
          </w:p>
        </w:tc>
        <w:tc>
          <w:tcPr>
            <w:tcW w:w="420" w:type="dxa"/>
            <w:tcBorders>
              <w:top w:val="single" w:sz="8" w:space="0" w:color="CCEEFF"/>
            </w:tcBorders>
            <w:shd w:val="clear" w:color="auto" w:fill="CCEEFF"/>
            <w:vAlign w:val="bottom"/>
          </w:tcPr>
          <w:p w14:paraId="60EE51F5" w14:textId="77777777" w:rsidR="00D1587D" w:rsidRDefault="00D1587D">
            <w:pPr>
              <w:rPr>
                <w:sz w:val="6"/>
                <w:szCs w:val="6"/>
              </w:rPr>
            </w:pPr>
          </w:p>
        </w:tc>
        <w:tc>
          <w:tcPr>
            <w:tcW w:w="340" w:type="dxa"/>
            <w:tcBorders>
              <w:top w:val="single" w:sz="8" w:space="0" w:color="0000EE"/>
            </w:tcBorders>
            <w:shd w:val="clear" w:color="auto" w:fill="CCEEFF"/>
            <w:vAlign w:val="bottom"/>
          </w:tcPr>
          <w:p w14:paraId="31CB0BA2" w14:textId="77777777" w:rsidR="00D1587D" w:rsidRDefault="00D1587D">
            <w:pPr>
              <w:rPr>
                <w:sz w:val="6"/>
                <w:szCs w:val="6"/>
              </w:rPr>
            </w:pPr>
          </w:p>
        </w:tc>
        <w:tc>
          <w:tcPr>
            <w:tcW w:w="20" w:type="dxa"/>
            <w:tcBorders>
              <w:top w:val="single" w:sz="8" w:space="0" w:color="CCEEFF"/>
            </w:tcBorders>
            <w:shd w:val="clear" w:color="auto" w:fill="CCEEFF"/>
            <w:vAlign w:val="bottom"/>
          </w:tcPr>
          <w:p w14:paraId="558A0158" w14:textId="77777777" w:rsidR="00D1587D" w:rsidRDefault="00D1587D">
            <w:pPr>
              <w:rPr>
                <w:sz w:val="6"/>
                <w:szCs w:val="6"/>
              </w:rPr>
            </w:pPr>
          </w:p>
        </w:tc>
      </w:tr>
      <w:tr w:rsidR="00D1587D" w14:paraId="7303ACC1" w14:textId="77777777">
        <w:trPr>
          <w:trHeight w:val="230"/>
        </w:trPr>
        <w:tc>
          <w:tcPr>
            <w:tcW w:w="8060" w:type="dxa"/>
            <w:gridSpan w:val="9"/>
            <w:vAlign w:val="bottom"/>
          </w:tcPr>
          <w:p w14:paraId="1D569621" w14:textId="77777777" w:rsidR="00D1587D" w:rsidRDefault="00410D07">
            <w:pPr>
              <w:rPr>
                <w:rFonts w:ascii="Arial" w:eastAsia="Arial" w:hAnsi="Arial" w:cs="Arial"/>
                <w:color w:val="0000EE"/>
                <w:w w:val="95"/>
                <w:sz w:val="18"/>
                <w:szCs w:val="18"/>
              </w:rPr>
            </w:pPr>
            <w:hyperlink w:anchor="page428">
              <w:r>
                <w:rPr>
                  <w:rFonts w:ascii="Arial" w:eastAsia="Arial" w:hAnsi="Arial" w:cs="Arial"/>
                  <w:color w:val="0000EE"/>
                  <w:w w:val="95"/>
                  <w:sz w:val="18"/>
                  <w:szCs w:val="18"/>
                </w:rPr>
                <w:t>Combined Statements of Equity for the Thirteen Weeks Ended May 1, 2021 and May 2, 2020 (Unaudited)</w:t>
              </w:r>
            </w:hyperlink>
          </w:p>
        </w:tc>
        <w:tc>
          <w:tcPr>
            <w:tcW w:w="360" w:type="dxa"/>
            <w:gridSpan w:val="2"/>
            <w:vAlign w:val="bottom"/>
          </w:tcPr>
          <w:p w14:paraId="1DCA3FF0" w14:textId="77777777" w:rsidR="00D1587D" w:rsidRDefault="00410D07">
            <w:pPr>
              <w:ind w:right="20"/>
              <w:jc w:val="center"/>
              <w:rPr>
                <w:rFonts w:ascii="Arial" w:eastAsia="Arial" w:hAnsi="Arial" w:cs="Arial"/>
                <w:color w:val="0000EE"/>
                <w:w w:val="91"/>
                <w:sz w:val="18"/>
                <w:szCs w:val="18"/>
              </w:rPr>
            </w:pPr>
            <w:hyperlink w:anchor="page428">
              <w:r>
                <w:rPr>
                  <w:rFonts w:ascii="Arial" w:eastAsia="Arial" w:hAnsi="Arial" w:cs="Arial"/>
                  <w:color w:val="0000EE"/>
                  <w:w w:val="91"/>
                  <w:sz w:val="18"/>
                  <w:szCs w:val="18"/>
                </w:rPr>
                <w:t>F-32</w:t>
              </w:r>
            </w:hyperlink>
          </w:p>
        </w:tc>
      </w:tr>
      <w:tr w:rsidR="00D1587D" w14:paraId="7782F865" w14:textId="77777777">
        <w:trPr>
          <w:trHeight w:val="75"/>
        </w:trPr>
        <w:tc>
          <w:tcPr>
            <w:tcW w:w="180" w:type="dxa"/>
            <w:tcBorders>
              <w:top w:val="single" w:sz="8" w:space="0" w:color="0000EE"/>
            </w:tcBorders>
            <w:vAlign w:val="bottom"/>
          </w:tcPr>
          <w:p w14:paraId="6F076EC2" w14:textId="77777777" w:rsidR="00D1587D" w:rsidRDefault="00D1587D">
            <w:pPr>
              <w:rPr>
                <w:sz w:val="6"/>
                <w:szCs w:val="6"/>
              </w:rPr>
            </w:pPr>
          </w:p>
        </w:tc>
        <w:tc>
          <w:tcPr>
            <w:tcW w:w="860" w:type="dxa"/>
            <w:tcBorders>
              <w:top w:val="single" w:sz="8" w:space="0" w:color="0000EE"/>
            </w:tcBorders>
            <w:vAlign w:val="bottom"/>
          </w:tcPr>
          <w:p w14:paraId="0B30F20E" w14:textId="77777777" w:rsidR="00D1587D" w:rsidRDefault="00D1587D">
            <w:pPr>
              <w:rPr>
                <w:sz w:val="6"/>
                <w:szCs w:val="6"/>
              </w:rPr>
            </w:pPr>
          </w:p>
        </w:tc>
        <w:tc>
          <w:tcPr>
            <w:tcW w:w="960" w:type="dxa"/>
            <w:tcBorders>
              <w:top w:val="single" w:sz="8" w:space="0" w:color="0000EE"/>
            </w:tcBorders>
            <w:vAlign w:val="bottom"/>
          </w:tcPr>
          <w:p w14:paraId="6FC2B403" w14:textId="77777777" w:rsidR="00D1587D" w:rsidRDefault="00D1587D">
            <w:pPr>
              <w:rPr>
                <w:sz w:val="6"/>
                <w:szCs w:val="6"/>
              </w:rPr>
            </w:pPr>
          </w:p>
        </w:tc>
        <w:tc>
          <w:tcPr>
            <w:tcW w:w="1860" w:type="dxa"/>
            <w:tcBorders>
              <w:top w:val="single" w:sz="8" w:space="0" w:color="0000EE"/>
            </w:tcBorders>
            <w:vAlign w:val="bottom"/>
          </w:tcPr>
          <w:p w14:paraId="1B80C862" w14:textId="77777777" w:rsidR="00D1587D" w:rsidRDefault="00D1587D">
            <w:pPr>
              <w:rPr>
                <w:sz w:val="6"/>
                <w:szCs w:val="6"/>
              </w:rPr>
            </w:pPr>
          </w:p>
        </w:tc>
        <w:tc>
          <w:tcPr>
            <w:tcW w:w="3220" w:type="dxa"/>
            <w:tcBorders>
              <w:top w:val="single" w:sz="8" w:space="0" w:color="0000EE"/>
            </w:tcBorders>
            <w:vAlign w:val="bottom"/>
          </w:tcPr>
          <w:p w14:paraId="369423A8" w14:textId="77777777" w:rsidR="00D1587D" w:rsidRDefault="00D1587D">
            <w:pPr>
              <w:rPr>
                <w:sz w:val="6"/>
                <w:szCs w:val="6"/>
              </w:rPr>
            </w:pPr>
          </w:p>
        </w:tc>
        <w:tc>
          <w:tcPr>
            <w:tcW w:w="200" w:type="dxa"/>
            <w:tcBorders>
              <w:top w:val="single" w:sz="8" w:space="0" w:color="0000EE"/>
            </w:tcBorders>
            <w:vAlign w:val="bottom"/>
          </w:tcPr>
          <w:p w14:paraId="6C28A584" w14:textId="77777777" w:rsidR="00D1587D" w:rsidRDefault="00D1587D">
            <w:pPr>
              <w:rPr>
                <w:sz w:val="6"/>
                <w:szCs w:val="6"/>
              </w:rPr>
            </w:pPr>
          </w:p>
        </w:tc>
        <w:tc>
          <w:tcPr>
            <w:tcW w:w="220" w:type="dxa"/>
            <w:tcBorders>
              <w:top w:val="single" w:sz="8" w:space="0" w:color="0000EE"/>
            </w:tcBorders>
            <w:vAlign w:val="bottom"/>
          </w:tcPr>
          <w:p w14:paraId="6E62AFB6" w14:textId="77777777" w:rsidR="00D1587D" w:rsidRDefault="00D1587D">
            <w:pPr>
              <w:rPr>
                <w:sz w:val="6"/>
                <w:szCs w:val="6"/>
              </w:rPr>
            </w:pPr>
          </w:p>
        </w:tc>
        <w:tc>
          <w:tcPr>
            <w:tcW w:w="140" w:type="dxa"/>
            <w:tcBorders>
              <w:top w:val="single" w:sz="8" w:space="0" w:color="0000EE"/>
            </w:tcBorders>
            <w:vAlign w:val="bottom"/>
          </w:tcPr>
          <w:p w14:paraId="5AFBD592" w14:textId="77777777" w:rsidR="00D1587D" w:rsidRDefault="00D1587D">
            <w:pPr>
              <w:rPr>
                <w:sz w:val="6"/>
                <w:szCs w:val="6"/>
              </w:rPr>
            </w:pPr>
          </w:p>
        </w:tc>
        <w:tc>
          <w:tcPr>
            <w:tcW w:w="420" w:type="dxa"/>
            <w:vAlign w:val="bottom"/>
          </w:tcPr>
          <w:p w14:paraId="0A3D3701" w14:textId="77777777" w:rsidR="00D1587D" w:rsidRDefault="00D1587D">
            <w:pPr>
              <w:rPr>
                <w:sz w:val="6"/>
                <w:szCs w:val="6"/>
              </w:rPr>
            </w:pPr>
          </w:p>
        </w:tc>
        <w:tc>
          <w:tcPr>
            <w:tcW w:w="340" w:type="dxa"/>
            <w:tcBorders>
              <w:top w:val="single" w:sz="8" w:space="0" w:color="0000EE"/>
            </w:tcBorders>
            <w:vAlign w:val="bottom"/>
          </w:tcPr>
          <w:p w14:paraId="6973E998" w14:textId="77777777" w:rsidR="00D1587D" w:rsidRDefault="00D1587D">
            <w:pPr>
              <w:rPr>
                <w:sz w:val="6"/>
                <w:szCs w:val="6"/>
              </w:rPr>
            </w:pPr>
          </w:p>
        </w:tc>
        <w:tc>
          <w:tcPr>
            <w:tcW w:w="20" w:type="dxa"/>
            <w:vAlign w:val="bottom"/>
          </w:tcPr>
          <w:p w14:paraId="1ED549F5" w14:textId="77777777" w:rsidR="00D1587D" w:rsidRDefault="00D1587D">
            <w:pPr>
              <w:rPr>
                <w:sz w:val="6"/>
                <w:szCs w:val="6"/>
              </w:rPr>
            </w:pPr>
          </w:p>
        </w:tc>
      </w:tr>
      <w:tr w:rsidR="00D1587D" w14:paraId="25B12914" w14:textId="77777777">
        <w:trPr>
          <w:trHeight w:val="230"/>
        </w:trPr>
        <w:tc>
          <w:tcPr>
            <w:tcW w:w="8060" w:type="dxa"/>
            <w:gridSpan w:val="9"/>
            <w:shd w:val="clear" w:color="auto" w:fill="CCEEFF"/>
            <w:vAlign w:val="bottom"/>
          </w:tcPr>
          <w:p w14:paraId="768023F6" w14:textId="77777777" w:rsidR="00D1587D" w:rsidRDefault="00410D07">
            <w:pPr>
              <w:rPr>
                <w:rFonts w:ascii="Arial" w:eastAsia="Arial" w:hAnsi="Arial" w:cs="Arial"/>
                <w:color w:val="0000EE"/>
                <w:sz w:val="18"/>
                <w:szCs w:val="18"/>
              </w:rPr>
            </w:pPr>
            <w:hyperlink w:anchor="page429">
              <w:r>
                <w:rPr>
                  <w:rFonts w:ascii="Arial" w:eastAsia="Arial" w:hAnsi="Arial" w:cs="Arial"/>
                  <w:color w:val="0000EE"/>
                  <w:sz w:val="18"/>
                  <w:szCs w:val="18"/>
                </w:rPr>
                <w:t xml:space="preserve">Notes to Combined Financial Statements </w:t>
              </w:r>
              <w:r>
                <w:rPr>
                  <w:rFonts w:ascii="Arial" w:eastAsia="Arial" w:hAnsi="Arial" w:cs="Arial"/>
                  <w:color w:val="0000EE"/>
                  <w:sz w:val="18"/>
                  <w:szCs w:val="18"/>
                </w:rPr>
                <w:t>(Unaudited)</w:t>
              </w:r>
            </w:hyperlink>
          </w:p>
        </w:tc>
        <w:tc>
          <w:tcPr>
            <w:tcW w:w="360" w:type="dxa"/>
            <w:gridSpan w:val="2"/>
            <w:shd w:val="clear" w:color="auto" w:fill="CCEEFF"/>
            <w:vAlign w:val="bottom"/>
          </w:tcPr>
          <w:p w14:paraId="2CF09C83" w14:textId="77777777" w:rsidR="00D1587D" w:rsidRDefault="00410D07">
            <w:pPr>
              <w:ind w:right="20"/>
              <w:jc w:val="center"/>
              <w:rPr>
                <w:rFonts w:ascii="Arial" w:eastAsia="Arial" w:hAnsi="Arial" w:cs="Arial"/>
                <w:color w:val="0000EE"/>
                <w:w w:val="91"/>
                <w:sz w:val="18"/>
                <w:szCs w:val="18"/>
              </w:rPr>
            </w:pPr>
            <w:hyperlink w:anchor="page429">
              <w:r>
                <w:rPr>
                  <w:rFonts w:ascii="Arial" w:eastAsia="Arial" w:hAnsi="Arial" w:cs="Arial"/>
                  <w:color w:val="0000EE"/>
                  <w:w w:val="91"/>
                  <w:sz w:val="18"/>
                  <w:szCs w:val="18"/>
                </w:rPr>
                <w:t>F-33</w:t>
              </w:r>
            </w:hyperlink>
          </w:p>
        </w:tc>
      </w:tr>
      <w:tr w:rsidR="00D1587D" w14:paraId="30ADCA49" w14:textId="77777777">
        <w:trPr>
          <w:trHeight w:val="74"/>
        </w:trPr>
        <w:tc>
          <w:tcPr>
            <w:tcW w:w="180" w:type="dxa"/>
            <w:tcBorders>
              <w:top w:val="single" w:sz="8" w:space="0" w:color="0000EE"/>
            </w:tcBorders>
            <w:shd w:val="clear" w:color="auto" w:fill="CCEEFF"/>
            <w:vAlign w:val="bottom"/>
          </w:tcPr>
          <w:p w14:paraId="1881B5CA" w14:textId="77777777" w:rsidR="00D1587D" w:rsidRDefault="00D1587D">
            <w:pPr>
              <w:rPr>
                <w:sz w:val="6"/>
                <w:szCs w:val="6"/>
              </w:rPr>
            </w:pPr>
          </w:p>
        </w:tc>
        <w:tc>
          <w:tcPr>
            <w:tcW w:w="860" w:type="dxa"/>
            <w:tcBorders>
              <w:top w:val="single" w:sz="8" w:space="0" w:color="0000EE"/>
            </w:tcBorders>
            <w:shd w:val="clear" w:color="auto" w:fill="CCEEFF"/>
            <w:vAlign w:val="bottom"/>
          </w:tcPr>
          <w:p w14:paraId="4327D1D6" w14:textId="77777777" w:rsidR="00D1587D" w:rsidRDefault="00D1587D">
            <w:pPr>
              <w:rPr>
                <w:sz w:val="6"/>
                <w:szCs w:val="6"/>
              </w:rPr>
            </w:pPr>
          </w:p>
        </w:tc>
        <w:tc>
          <w:tcPr>
            <w:tcW w:w="960" w:type="dxa"/>
            <w:tcBorders>
              <w:top w:val="single" w:sz="8" w:space="0" w:color="0000EE"/>
            </w:tcBorders>
            <w:shd w:val="clear" w:color="auto" w:fill="CCEEFF"/>
            <w:vAlign w:val="bottom"/>
          </w:tcPr>
          <w:p w14:paraId="69A9D535" w14:textId="77777777" w:rsidR="00D1587D" w:rsidRDefault="00D1587D">
            <w:pPr>
              <w:rPr>
                <w:sz w:val="6"/>
                <w:szCs w:val="6"/>
              </w:rPr>
            </w:pPr>
          </w:p>
        </w:tc>
        <w:tc>
          <w:tcPr>
            <w:tcW w:w="1860" w:type="dxa"/>
            <w:tcBorders>
              <w:top w:val="single" w:sz="8" w:space="0" w:color="0000EE"/>
            </w:tcBorders>
            <w:shd w:val="clear" w:color="auto" w:fill="CCEEFF"/>
            <w:vAlign w:val="bottom"/>
          </w:tcPr>
          <w:p w14:paraId="3365439F" w14:textId="77777777" w:rsidR="00D1587D" w:rsidRDefault="00D1587D">
            <w:pPr>
              <w:rPr>
                <w:sz w:val="6"/>
                <w:szCs w:val="6"/>
              </w:rPr>
            </w:pPr>
          </w:p>
        </w:tc>
        <w:tc>
          <w:tcPr>
            <w:tcW w:w="3220" w:type="dxa"/>
            <w:tcBorders>
              <w:top w:val="single" w:sz="8" w:space="0" w:color="CCEEFF"/>
            </w:tcBorders>
            <w:shd w:val="clear" w:color="auto" w:fill="CCEEFF"/>
            <w:vAlign w:val="bottom"/>
          </w:tcPr>
          <w:p w14:paraId="4EDFFDC8" w14:textId="77777777" w:rsidR="00D1587D" w:rsidRDefault="00D1587D">
            <w:pPr>
              <w:rPr>
                <w:sz w:val="6"/>
                <w:szCs w:val="6"/>
              </w:rPr>
            </w:pPr>
          </w:p>
        </w:tc>
        <w:tc>
          <w:tcPr>
            <w:tcW w:w="200" w:type="dxa"/>
            <w:tcBorders>
              <w:top w:val="single" w:sz="8" w:space="0" w:color="CCEEFF"/>
            </w:tcBorders>
            <w:shd w:val="clear" w:color="auto" w:fill="CCEEFF"/>
            <w:vAlign w:val="bottom"/>
          </w:tcPr>
          <w:p w14:paraId="0217C564" w14:textId="77777777" w:rsidR="00D1587D" w:rsidRDefault="00D1587D">
            <w:pPr>
              <w:rPr>
                <w:sz w:val="6"/>
                <w:szCs w:val="6"/>
              </w:rPr>
            </w:pPr>
          </w:p>
        </w:tc>
        <w:tc>
          <w:tcPr>
            <w:tcW w:w="220" w:type="dxa"/>
            <w:tcBorders>
              <w:top w:val="single" w:sz="8" w:space="0" w:color="CCEEFF"/>
            </w:tcBorders>
            <w:shd w:val="clear" w:color="auto" w:fill="CCEEFF"/>
            <w:vAlign w:val="bottom"/>
          </w:tcPr>
          <w:p w14:paraId="64FC37BC" w14:textId="77777777" w:rsidR="00D1587D" w:rsidRDefault="00D1587D">
            <w:pPr>
              <w:rPr>
                <w:sz w:val="6"/>
                <w:szCs w:val="6"/>
              </w:rPr>
            </w:pPr>
          </w:p>
        </w:tc>
        <w:tc>
          <w:tcPr>
            <w:tcW w:w="140" w:type="dxa"/>
            <w:tcBorders>
              <w:top w:val="single" w:sz="8" w:space="0" w:color="CCEEFF"/>
            </w:tcBorders>
            <w:shd w:val="clear" w:color="auto" w:fill="CCEEFF"/>
            <w:vAlign w:val="bottom"/>
          </w:tcPr>
          <w:p w14:paraId="3AF32029" w14:textId="77777777" w:rsidR="00D1587D" w:rsidRDefault="00D1587D">
            <w:pPr>
              <w:rPr>
                <w:sz w:val="6"/>
                <w:szCs w:val="6"/>
              </w:rPr>
            </w:pPr>
          </w:p>
        </w:tc>
        <w:tc>
          <w:tcPr>
            <w:tcW w:w="420" w:type="dxa"/>
            <w:tcBorders>
              <w:top w:val="single" w:sz="8" w:space="0" w:color="CCEEFF"/>
            </w:tcBorders>
            <w:shd w:val="clear" w:color="auto" w:fill="CCEEFF"/>
            <w:vAlign w:val="bottom"/>
          </w:tcPr>
          <w:p w14:paraId="1C258EDA" w14:textId="77777777" w:rsidR="00D1587D" w:rsidRDefault="00D1587D">
            <w:pPr>
              <w:rPr>
                <w:sz w:val="6"/>
                <w:szCs w:val="6"/>
              </w:rPr>
            </w:pPr>
          </w:p>
        </w:tc>
        <w:tc>
          <w:tcPr>
            <w:tcW w:w="340" w:type="dxa"/>
            <w:tcBorders>
              <w:top w:val="single" w:sz="8" w:space="0" w:color="0000EE"/>
            </w:tcBorders>
            <w:shd w:val="clear" w:color="auto" w:fill="CCEEFF"/>
            <w:vAlign w:val="bottom"/>
          </w:tcPr>
          <w:p w14:paraId="67E5FF62" w14:textId="77777777" w:rsidR="00D1587D" w:rsidRDefault="00D1587D">
            <w:pPr>
              <w:rPr>
                <w:sz w:val="6"/>
                <w:szCs w:val="6"/>
              </w:rPr>
            </w:pPr>
          </w:p>
        </w:tc>
        <w:tc>
          <w:tcPr>
            <w:tcW w:w="20" w:type="dxa"/>
            <w:tcBorders>
              <w:top w:val="single" w:sz="8" w:space="0" w:color="CCEEFF"/>
            </w:tcBorders>
            <w:shd w:val="clear" w:color="auto" w:fill="CCEEFF"/>
            <w:vAlign w:val="bottom"/>
          </w:tcPr>
          <w:p w14:paraId="7D8349A9" w14:textId="77777777" w:rsidR="00D1587D" w:rsidRDefault="00D1587D">
            <w:pPr>
              <w:rPr>
                <w:sz w:val="6"/>
                <w:szCs w:val="6"/>
              </w:rPr>
            </w:pPr>
          </w:p>
        </w:tc>
      </w:tr>
    </w:tbl>
    <w:p w14:paraId="16362FF5" w14:textId="77777777" w:rsidR="00D1587D" w:rsidRDefault="00410D07">
      <w:pPr>
        <w:spacing w:line="20" w:lineRule="exact"/>
        <w:rPr>
          <w:sz w:val="20"/>
          <w:szCs w:val="20"/>
        </w:rPr>
      </w:pPr>
      <w:r>
        <w:rPr>
          <w:noProof/>
          <w:sz w:val="20"/>
          <w:szCs w:val="20"/>
        </w:rPr>
        <w:drawing>
          <wp:anchor distT="0" distB="0" distL="114300" distR="114300" simplePos="0" relativeHeight="251992064" behindDoc="1" locked="0" layoutInCell="0" allowOverlap="1" wp14:anchorId="4D54E7E2" wp14:editId="4D50B633">
            <wp:simplePos x="0" y="0"/>
            <wp:positionH relativeFrom="column">
              <wp:posOffset>5217160</wp:posOffset>
            </wp:positionH>
            <wp:positionV relativeFrom="paragraph">
              <wp:posOffset>-1868170</wp:posOffset>
            </wp:positionV>
            <wp:extent cx="93980" cy="8255"/>
            <wp:effectExtent l="0" t="0" r="0" b="0"/>
            <wp:wrapNone/>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65"/>
                    <a:srcRect/>
                    <a:stretch>
                      <a:fillRect/>
                    </a:stretch>
                  </pic:blipFill>
                  <pic:spPr bwMode="auto">
                    <a:xfrm>
                      <a:off x="0" y="0"/>
                      <a:ext cx="93980" cy="8255"/>
                    </a:xfrm>
                    <a:prstGeom prst="rect">
                      <a:avLst/>
                    </a:prstGeom>
                    <a:noFill/>
                  </pic:spPr>
                </pic:pic>
              </a:graphicData>
            </a:graphic>
          </wp:anchor>
        </w:drawing>
      </w:r>
    </w:p>
    <w:p w14:paraId="37DA90E3" w14:textId="77777777" w:rsidR="00D1587D" w:rsidRDefault="00D1587D">
      <w:pPr>
        <w:spacing w:line="74" w:lineRule="exact"/>
        <w:rPr>
          <w:sz w:val="20"/>
          <w:szCs w:val="20"/>
        </w:rPr>
      </w:pPr>
    </w:p>
    <w:p w14:paraId="56F527DC" w14:textId="77777777" w:rsidR="00D1587D" w:rsidRDefault="00410D07">
      <w:pPr>
        <w:spacing w:line="308" w:lineRule="auto"/>
        <w:ind w:left="300" w:right="599" w:firstLine="360"/>
        <w:rPr>
          <w:sz w:val="20"/>
          <w:szCs w:val="20"/>
        </w:rPr>
      </w:pPr>
      <w:r>
        <w:rPr>
          <w:rFonts w:ascii="Arial" w:eastAsia="Arial" w:hAnsi="Arial" w:cs="Arial"/>
          <w:sz w:val="17"/>
          <w:szCs w:val="17"/>
        </w:rPr>
        <w:t xml:space="preserve">Our fiscal year ends on the Saturday nearest to January 31. As used herein, “first quarter of 2021” and “first quarter of 2020” refer to the thirteen-week periods ended May 1, 2021 and May 2, </w:t>
      </w:r>
      <w:r>
        <w:rPr>
          <w:rFonts w:ascii="Arial" w:eastAsia="Arial" w:hAnsi="Arial" w:cs="Arial"/>
          <w:sz w:val="17"/>
          <w:szCs w:val="17"/>
        </w:rPr>
        <w:t>2020, respectively.</w:t>
      </w:r>
    </w:p>
    <w:p w14:paraId="16070322" w14:textId="77777777" w:rsidR="00D1587D" w:rsidRDefault="00D1587D">
      <w:pPr>
        <w:spacing w:line="146" w:lineRule="exact"/>
        <w:rPr>
          <w:sz w:val="20"/>
          <w:szCs w:val="20"/>
        </w:rPr>
      </w:pPr>
    </w:p>
    <w:p w14:paraId="260FEB85" w14:textId="77777777" w:rsidR="00D1587D" w:rsidRDefault="00410D07">
      <w:pPr>
        <w:jc w:val="center"/>
        <w:rPr>
          <w:sz w:val="20"/>
          <w:szCs w:val="20"/>
        </w:rPr>
      </w:pPr>
      <w:r>
        <w:rPr>
          <w:rFonts w:ascii="Arial" w:eastAsia="Arial" w:hAnsi="Arial" w:cs="Arial"/>
          <w:sz w:val="18"/>
          <w:szCs w:val="18"/>
        </w:rPr>
        <w:t>F-i</w:t>
      </w:r>
    </w:p>
    <w:p w14:paraId="4BCB21AF" w14:textId="77777777" w:rsidR="00D1587D" w:rsidRDefault="00410D07">
      <w:pPr>
        <w:spacing w:line="20" w:lineRule="exact"/>
        <w:rPr>
          <w:sz w:val="20"/>
          <w:szCs w:val="20"/>
        </w:rPr>
      </w:pPr>
      <w:r>
        <w:rPr>
          <w:noProof/>
          <w:sz w:val="20"/>
          <w:szCs w:val="20"/>
        </w:rPr>
        <w:drawing>
          <wp:anchor distT="0" distB="0" distL="114300" distR="114300" simplePos="0" relativeHeight="251993088" behindDoc="1" locked="0" layoutInCell="0" allowOverlap="1" wp14:anchorId="2C6A9EFE" wp14:editId="11622F4C">
            <wp:simplePos x="0" y="0"/>
            <wp:positionH relativeFrom="column">
              <wp:posOffset>-636905</wp:posOffset>
            </wp:positionH>
            <wp:positionV relativeFrom="paragraph">
              <wp:posOffset>134620</wp:posOffset>
            </wp:positionV>
            <wp:extent cx="6995160" cy="17145"/>
            <wp:effectExtent l="0" t="0" r="0" b="0"/>
            <wp:wrapNone/>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AD824A5" w14:textId="77777777" w:rsidR="00D1587D" w:rsidRDefault="00D1587D">
      <w:pPr>
        <w:sectPr w:rsidR="00D1587D">
          <w:pgSz w:w="11900" w:h="16838"/>
          <w:pgMar w:top="265" w:right="1440" w:bottom="1440" w:left="1440" w:header="0" w:footer="0" w:gutter="0"/>
          <w:cols w:space="720" w:equalWidth="0">
            <w:col w:w="9019"/>
          </w:cols>
        </w:sectPr>
      </w:pPr>
    </w:p>
    <w:bookmarkStart w:id="396" w:name="page397"/>
    <w:bookmarkEnd w:id="396"/>
    <w:p w14:paraId="6102A14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CF16094" w14:textId="77777777" w:rsidR="00D1587D" w:rsidRDefault="00D1587D">
      <w:pPr>
        <w:spacing w:line="127" w:lineRule="exact"/>
        <w:rPr>
          <w:sz w:val="20"/>
          <w:szCs w:val="20"/>
        </w:rPr>
      </w:pPr>
    </w:p>
    <w:p w14:paraId="1312F46C" w14:textId="77777777" w:rsidR="00D1587D" w:rsidRDefault="00410D07">
      <w:pPr>
        <w:spacing w:line="438" w:lineRule="auto"/>
        <w:ind w:left="300" w:right="2259" w:firstLine="1960"/>
        <w:rPr>
          <w:sz w:val="20"/>
          <w:szCs w:val="20"/>
        </w:rPr>
      </w:pPr>
      <w:r>
        <w:rPr>
          <w:rFonts w:ascii="Arial" w:eastAsia="Arial" w:hAnsi="Arial" w:cs="Arial"/>
          <w:b/>
          <w:bCs/>
          <w:sz w:val="18"/>
          <w:szCs w:val="18"/>
        </w:rPr>
        <w:t xml:space="preserve">Report of Independent Registered Public Accounting Firm </w:t>
      </w:r>
      <w:r>
        <w:rPr>
          <w:rFonts w:ascii="Arial" w:eastAsia="Arial" w:hAnsi="Arial" w:cs="Arial"/>
          <w:sz w:val="18"/>
          <w:szCs w:val="18"/>
        </w:rPr>
        <w:t>To the Board of Directors and Shareholders of L Brands, Inc.</w:t>
      </w:r>
    </w:p>
    <w:p w14:paraId="593780DD" w14:textId="77777777" w:rsidR="00D1587D" w:rsidRDefault="00D1587D">
      <w:pPr>
        <w:spacing w:line="190" w:lineRule="exact"/>
        <w:rPr>
          <w:sz w:val="20"/>
          <w:szCs w:val="20"/>
        </w:rPr>
      </w:pPr>
    </w:p>
    <w:p w14:paraId="41578FE0" w14:textId="77777777" w:rsidR="00D1587D" w:rsidRDefault="00410D07">
      <w:pPr>
        <w:ind w:left="300"/>
        <w:rPr>
          <w:sz w:val="20"/>
          <w:szCs w:val="20"/>
        </w:rPr>
      </w:pPr>
      <w:r>
        <w:rPr>
          <w:rFonts w:ascii="Arial" w:eastAsia="Arial" w:hAnsi="Arial" w:cs="Arial"/>
          <w:b/>
          <w:bCs/>
          <w:sz w:val="18"/>
          <w:szCs w:val="18"/>
        </w:rPr>
        <w:t>Opinion on the Financial Statements</w:t>
      </w:r>
    </w:p>
    <w:p w14:paraId="57376C4D" w14:textId="77777777" w:rsidR="00D1587D" w:rsidRDefault="00D1587D">
      <w:pPr>
        <w:spacing w:line="121" w:lineRule="exact"/>
        <w:rPr>
          <w:sz w:val="20"/>
          <w:szCs w:val="20"/>
        </w:rPr>
      </w:pPr>
    </w:p>
    <w:p w14:paraId="04429D58" w14:textId="77777777" w:rsidR="00D1587D" w:rsidRDefault="00410D07">
      <w:pPr>
        <w:spacing w:line="254" w:lineRule="auto"/>
        <w:ind w:left="300" w:right="459" w:firstLine="360"/>
        <w:rPr>
          <w:sz w:val="20"/>
          <w:szCs w:val="20"/>
        </w:rPr>
      </w:pPr>
      <w:r>
        <w:rPr>
          <w:rFonts w:ascii="Arial" w:eastAsia="Arial" w:hAnsi="Arial" w:cs="Arial"/>
          <w:sz w:val="18"/>
          <w:szCs w:val="18"/>
        </w:rPr>
        <w:t xml:space="preserve">We </w:t>
      </w:r>
      <w:r>
        <w:rPr>
          <w:rFonts w:ascii="Arial" w:eastAsia="Arial" w:hAnsi="Arial" w:cs="Arial"/>
          <w:sz w:val="18"/>
          <w:szCs w:val="18"/>
        </w:rPr>
        <w:t>have audited the accompanying Combined Balance Sheets of the Victoria’s Secret Business of L Brands, Inc. (the Company) as of January 30, 2021, and February 1, 2020, the related Combined Statements of Income (Loss), Comprehensive Income (Loss), Total Equit</w:t>
      </w:r>
      <w:r>
        <w:rPr>
          <w:rFonts w:ascii="Arial" w:eastAsia="Arial" w:hAnsi="Arial" w:cs="Arial"/>
          <w:sz w:val="18"/>
          <w:szCs w:val="18"/>
        </w:rPr>
        <w:t xml:space="preserve">y (Deficit), and Cash Flows for each of the three years in the period ended January 30, 2021, and the related notes (collectively referred to as the “combined financial statements”). In our opinion, the combined financial statements present fairly, in all </w:t>
      </w:r>
      <w:r>
        <w:rPr>
          <w:rFonts w:ascii="Arial" w:eastAsia="Arial" w:hAnsi="Arial" w:cs="Arial"/>
          <w:sz w:val="18"/>
          <w:szCs w:val="18"/>
        </w:rPr>
        <w:t>material respects, the financial position of the Company at January 30, 2021 and February 1, 2020, and the results of its operations and cash flows for each of the three years in the period ended January 30, 2021, in conformity with U.S. generally accepted</w:t>
      </w:r>
      <w:r>
        <w:rPr>
          <w:rFonts w:ascii="Arial" w:eastAsia="Arial" w:hAnsi="Arial" w:cs="Arial"/>
          <w:sz w:val="18"/>
          <w:szCs w:val="18"/>
        </w:rPr>
        <w:t xml:space="preserve"> accounting principles.</w:t>
      </w:r>
    </w:p>
    <w:p w14:paraId="0A9AE481" w14:textId="77777777" w:rsidR="00D1587D" w:rsidRDefault="00D1587D">
      <w:pPr>
        <w:spacing w:line="336" w:lineRule="exact"/>
        <w:rPr>
          <w:sz w:val="20"/>
          <w:szCs w:val="20"/>
        </w:rPr>
      </w:pPr>
    </w:p>
    <w:p w14:paraId="733CF0CB" w14:textId="77777777" w:rsidR="00D1587D" w:rsidRDefault="00410D07">
      <w:pPr>
        <w:ind w:left="300"/>
        <w:rPr>
          <w:sz w:val="20"/>
          <w:szCs w:val="20"/>
        </w:rPr>
      </w:pPr>
      <w:r>
        <w:rPr>
          <w:rFonts w:ascii="Arial" w:eastAsia="Arial" w:hAnsi="Arial" w:cs="Arial"/>
          <w:b/>
          <w:bCs/>
          <w:sz w:val="18"/>
          <w:szCs w:val="18"/>
        </w:rPr>
        <w:t>Adoption of New Accounting Standard</w:t>
      </w:r>
    </w:p>
    <w:p w14:paraId="03EE83FA" w14:textId="77777777" w:rsidR="00D1587D" w:rsidRDefault="00D1587D">
      <w:pPr>
        <w:spacing w:line="121" w:lineRule="exact"/>
        <w:rPr>
          <w:sz w:val="20"/>
          <w:szCs w:val="20"/>
        </w:rPr>
      </w:pPr>
    </w:p>
    <w:p w14:paraId="7049B468" w14:textId="77777777" w:rsidR="00D1587D" w:rsidRDefault="00410D07">
      <w:pPr>
        <w:spacing w:line="342" w:lineRule="auto"/>
        <w:ind w:left="300" w:right="999" w:firstLine="360"/>
        <w:rPr>
          <w:sz w:val="20"/>
          <w:szCs w:val="20"/>
        </w:rPr>
      </w:pPr>
      <w:r>
        <w:rPr>
          <w:rFonts w:ascii="Arial" w:eastAsia="Arial" w:hAnsi="Arial" w:cs="Arial"/>
          <w:sz w:val="16"/>
          <w:szCs w:val="16"/>
        </w:rPr>
        <w:t xml:space="preserve">As discussed in Note 1 to the combined financial statements, the Company has changed its method for accounting for leases as of February 3, 2019 due to the adoption of the ASU 2016-02, </w:t>
      </w:r>
      <w:r>
        <w:rPr>
          <w:rFonts w:ascii="Arial" w:eastAsia="Arial" w:hAnsi="Arial" w:cs="Arial"/>
          <w:i/>
          <w:iCs/>
          <w:sz w:val="16"/>
          <w:szCs w:val="16"/>
        </w:rPr>
        <w:t>Leases</w:t>
      </w:r>
      <w:r>
        <w:rPr>
          <w:rFonts w:ascii="Arial" w:eastAsia="Arial" w:hAnsi="Arial" w:cs="Arial"/>
          <w:sz w:val="16"/>
          <w:szCs w:val="16"/>
        </w:rPr>
        <w:t xml:space="preserve"> (Topic 842).</w:t>
      </w:r>
    </w:p>
    <w:p w14:paraId="569AE886" w14:textId="77777777" w:rsidR="00D1587D" w:rsidRDefault="00D1587D">
      <w:pPr>
        <w:spacing w:line="268" w:lineRule="exact"/>
        <w:rPr>
          <w:sz w:val="20"/>
          <w:szCs w:val="20"/>
        </w:rPr>
      </w:pPr>
    </w:p>
    <w:p w14:paraId="0FD74881" w14:textId="77777777" w:rsidR="00D1587D" w:rsidRDefault="00410D07">
      <w:pPr>
        <w:ind w:left="300"/>
        <w:rPr>
          <w:sz w:val="20"/>
          <w:szCs w:val="20"/>
        </w:rPr>
      </w:pPr>
      <w:r>
        <w:rPr>
          <w:rFonts w:ascii="Arial" w:eastAsia="Arial" w:hAnsi="Arial" w:cs="Arial"/>
          <w:b/>
          <w:bCs/>
          <w:sz w:val="18"/>
          <w:szCs w:val="18"/>
        </w:rPr>
        <w:t>Basis for Opinion</w:t>
      </w:r>
    </w:p>
    <w:p w14:paraId="51053EF3" w14:textId="77777777" w:rsidR="00D1587D" w:rsidRDefault="00D1587D">
      <w:pPr>
        <w:spacing w:line="121" w:lineRule="exact"/>
        <w:rPr>
          <w:sz w:val="20"/>
          <w:szCs w:val="20"/>
        </w:rPr>
      </w:pPr>
    </w:p>
    <w:p w14:paraId="514CD20F" w14:textId="77777777" w:rsidR="00D1587D" w:rsidRDefault="00410D07">
      <w:pPr>
        <w:spacing w:line="275" w:lineRule="auto"/>
        <w:ind w:left="300" w:right="299" w:firstLine="360"/>
        <w:rPr>
          <w:sz w:val="20"/>
          <w:szCs w:val="20"/>
        </w:rPr>
      </w:pPr>
      <w:r>
        <w:rPr>
          <w:rFonts w:ascii="Arial" w:eastAsia="Arial" w:hAnsi="Arial" w:cs="Arial"/>
          <w:sz w:val="17"/>
          <w:szCs w:val="17"/>
        </w:rPr>
        <w:t xml:space="preserve">These financial statements are </w:t>
      </w:r>
      <w:r>
        <w:rPr>
          <w:rFonts w:ascii="Arial" w:eastAsia="Arial" w:hAnsi="Arial" w:cs="Arial"/>
          <w:sz w:val="17"/>
          <w:szCs w:val="17"/>
        </w:rPr>
        <w:t>the responsibility of the Company’s management. Our responsibility is to express an opinion on the Company’s financial statements based on our audits. We are a public accounting firm registered with the Public Company Accounting Oversight Board (United Sta</w:t>
      </w:r>
      <w:r>
        <w:rPr>
          <w:rFonts w:ascii="Arial" w:eastAsia="Arial" w:hAnsi="Arial" w:cs="Arial"/>
          <w:sz w:val="17"/>
          <w:szCs w:val="17"/>
        </w:rPr>
        <w:t>ted) (PCAOB) and are required to be independent with respect to the Company in accordance with the U.S. federal securities laws and the applicable rules and regulations of the Securities and Exchange Commission and the PCAOB.</w:t>
      </w:r>
    </w:p>
    <w:p w14:paraId="0B2364DE" w14:textId="77777777" w:rsidR="00D1587D" w:rsidRDefault="00D1587D">
      <w:pPr>
        <w:spacing w:line="68" w:lineRule="exact"/>
        <w:rPr>
          <w:sz w:val="20"/>
          <w:szCs w:val="20"/>
        </w:rPr>
      </w:pPr>
    </w:p>
    <w:p w14:paraId="67E13CD6" w14:textId="77777777" w:rsidR="00D1587D" w:rsidRDefault="00410D07">
      <w:pPr>
        <w:spacing w:line="291" w:lineRule="auto"/>
        <w:ind w:left="300" w:right="359" w:firstLine="360"/>
        <w:rPr>
          <w:sz w:val="20"/>
          <w:szCs w:val="20"/>
        </w:rPr>
      </w:pPr>
      <w:r>
        <w:rPr>
          <w:rFonts w:ascii="Arial" w:eastAsia="Arial" w:hAnsi="Arial" w:cs="Arial"/>
          <w:sz w:val="16"/>
          <w:szCs w:val="16"/>
        </w:rPr>
        <w:t>We conducted our audits in ac</w:t>
      </w:r>
      <w:r>
        <w:rPr>
          <w:rFonts w:ascii="Arial" w:eastAsia="Arial" w:hAnsi="Arial" w:cs="Arial"/>
          <w:sz w:val="16"/>
          <w:szCs w:val="16"/>
        </w:rPr>
        <w:t>cordance with the standards of the PCAOB and in accordance with auditing standards generally accepted in the United States of America. Those standards require that we plan and perform the audit to obtain reasonable assurance about whether the financial sta</w:t>
      </w:r>
      <w:r>
        <w:rPr>
          <w:rFonts w:ascii="Arial" w:eastAsia="Arial" w:hAnsi="Arial" w:cs="Arial"/>
          <w:sz w:val="16"/>
          <w:szCs w:val="16"/>
        </w:rPr>
        <w:t>tements are free of material misstatement, whether due to error or fraud. The Company is not required to have, nor were we engaged to perform, an audit of its internal control over financial reporting. As part of our audits we are required to obtain an und</w:t>
      </w:r>
      <w:r>
        <w:rPr>
          <w:rFonts w:ascii="Arial" w:eastAsia="Arial" w:hAnsi="Arial" w:cs="Arial"/>
          <w:sz w:val="16"/>
          <w:szCs w:val="16"/>
        </w:rPr>
        <w:t>erstanding of internal control over financial reporting but not for the purpose of expressing an opinion on the effectiveness of the Company’s internal control over financial reporting. Accordingly, we express no such opinion.</w:t>
      </w:r>
    </w:p>
    <w:p w14:paraId="46E7D3AE" w14:textId="77777777" w:rsidR="00D1587D" w:rsidRDefault="00D1587D">
      <w:pPr>
        <w:spacing w:line="58" w:lineRule="exact"/>
        <w:rPr>
          <w:sz w:val="20"/>
          <w:szCs w:val="20"/>
        </w:rPr>
      </w:pPr>
    </w:p>
    <w:p w14:paraId="46B0904E" w14:textId="77777777" w:rsidR="00D1587D" w:rsidRDefault="00410D07">
      <w:pPr>
        <w:spacing w:line="255" w:lineRule="auto"/>
        <w:ind w:left="300" w:right="379" w:firstLine="360"/>
        <w:rPr>
          <w:sz w:val="20"/>
          <w:szCs w:val="20"/>
        </w:rPr>
      </w:pPr>
      <w:r>
        <w:rPr>
          <w:rFonts w:ascii="Arial" w:eastAsia="Arial" w:hAnsi="Arial" w:cs="Arial"/>
          <w:sz w:val="18"/>
          <w:szCs w:val="18"/>
        </w:rPr>
        <w:t>Our audits included performi</w:t>
      </w:r>
      <w:r>
        <w:rPr>
          <w:rFonts w:ascii="Arial" w:eastAsia="Arial" w:hAnsi="Arial" w:cs="Arial"/>
          <w:sz w:val="18"/>
          <w:szCs w:val="18"/>
        </w:rPr>
        <w:t>ng procedures to assess the risks of material misstatement of the financial statements, whether due to error or fraud, and performing procedures that respond to those risks. Such procedures included examining, on a test basis, evidence regarding the amount</w:t>
      </w:r>
      <w:r>
        <w:rPr>
          <w:rFonts w:ascii="Arial" w:eastAsia="Arial" w:hAnsi="Arial" w:cs="Arial"/>
          <w:sz w:val="18"/>
          <w:szCs w:val="18"/>
        </w:rPr>
        <w:t xml:space="preserve">s and disclosures in the financial statements. Our audits also included evaluating the accounting principles used and significant estimates made by management, as well as evaluating the overall presentation of the financial statements. We believe that our </w:t>
      </w:r>
      <w:r>
        <w:rPr>
          <w:rFonts w:ascii="Arial" w:eastAsia="Arial" w:hAnsi="Arial" w:cs="Arial"/>
          <w:sz w:val="18"/>
          <w:szCs w:val="18"/>
        </w:rPr>
        <w:t>audits provide a reasonable basis for our opinion.</w:t>
      </w:r>
    </w:p>
    <w:p w14:paraId="7E9CCEDB" w14:textId="77777777" w:rsidR="00D1587D" w:rsidRDefault="00D1587D">
      <w:pPr>
        <w:spacing w:line="350" w:lineRule="exact"/>
        <w:rPr>
          <w:sz w:val="20"/>
          <w:szCs w:val="20"/>
        </w:rPr>
      </w:pPr>
    </w:p>
    <w:p w14:paraId="60B8B58C" w14:textId="77777777" w:rsidR="00D1587D" w:rsidRDefault="00410D07">
      <w:pPr>
        <w:ind w:left="300"/>
        <w:rPr>
          <w:sz w:val="20"/>
          <w:szCs w:val="20"/>
        </w:rPr>
      </w:pPr>
      <w:r>
        <w:rPr>
          <w:rFonts w:ascii="Arial" w:eastAsia="Arial" w:hAnsi="Arial" w:cs="Arial"/>
          <w:b/>
          <w:bCs/>
          <w:sz w:val="18"/>
          <w:szCs w:val="18"/>
        </w:rPr>
        <w:t>Critical Audit Matter</w:t>
      </w:r>
    </w:p>
    <w:p w14:paraId="29199DCB" w14:textId="77777777" w:rsidR="00D1587D" w:rsidRDefault="00D1587D">
      <w:pPr>
        <w:spacing w:line="121" w:lineRule="exact"/>
        <w:rPr>
          <w:sz w:val="20"/>
          <w:szCs w:val="20"/>
        </w:rPr>
      </w:pPr>
    </w:p>
    <w:p w14:paraId="56C737BB" w14:textId="77777777" w:rsidR="00D1587D" w:rsidRDefault="00410D07">
      <w:pPr>
        <w:spacing w:line="254" w:lineRule="auto"/>
        <w:ind w:left="300" w:right="379" w:firstLine="360"/>
        <w:rPr>
          <w:sz w:val="20"/>
          <w:szCs w:val="20"/>
        </w:rPr>
      </w:pPr>
      <w:r>
        <w:rPr>
          <w:rFonts w:ascii="Arial" w:eastAsia="Arial" w:hAnsi="Arial" w:cs="Arial"/>
          <w:sz w:val="18"/>
          <w:szCs w:val="18"/>
        </w:rPr>
        <w:t>The critical audit matter communicated below is a matter arising from the current period audit of the financial statements that was communicated or required to be communicated to th</w:t>
      </w:r>
      <w:r>
        <w:rPr>
          <w:rFonts w:ascii="Arial" w:eastAsia="Arial" w:hAnsi="Arial" w:cs="Arial"/>
          <w:sz w:val="18"/>
          <w:szCs w:val="18"/>
        </w:rPr>
        <w:t xml:space="preserve">e audit committee and that: (1) relates to accounts or disclosures that are material to the financial statements and (2) involved our especially challenging, subjective or complex judgments. The communication of the critical audit matter does not alter in </w:t>
      </w:r>
      <w:r>
        <w:rPr>
          <w:rFonts w:ascii="Arial" w:eastAsia="Arial" w:hAnsi="Arial" w:cs="Arial"/>
          <w:sz w:val="18"/>
          <w:szCs w:val="18"/>
        </w:rPr>
        <w:t>any way our opinion on the combined financial statements, taken as a whole, and we are not, by communicating the critical audit matter below, providing a separate opinion on the critical audit matter or on the accounts or disclosures to which it relates.</w:t>
      </w:r>
    </w:p>
    <w:p w14:paraId="33B1E99C" w14:textId="77777777" w:rsidR="00D1587D" w:rsidRDefault="00D1587D">
      <w:pPr>
        <w:spacing w:line="195" w:lineRule="exact"/>
        <w:rPr>
          <w:sz w:val="20"/>
          <w:szCs w:val="20"/>
        </w:rPr>
      </w:pPr>
    </w:p>
    <w:p w14:paraId="4B5BD5FF" w14:textId="77777777" w:rsidR="00D1587D" w:rsidRDefault="00410D07">
      <w:pPr>
        <w:jc w:val="center"/>
        <w:rPr>
          <w:sz w:val="20"/>
          <w:szCs w:val="20"/>
        </w:rPr>
      </w:pPr>
      <w:r>
        <w:rPr>
          <w:rFonts w:ascii="Arial" w:eastAsia="Arial" w:hAnsi="Arial" w:cs="Arial"/>
          <w:sz w:val="18"/>
          <w:szCs w:val="18"/>
        </w:rPr>
        <w:t>F-1</w:t>
      </w:r>
    </w:p>
    <w:p w14:paraId="1D2D66B0" w14:textId="77777777" w:rsidR="00D1587D" w:rsidRDefault="00410D07">
      <w:pPr>
        <w:spacing w:line="20" w:lineRule="exact"/>
        <w:rPr>
          <w:sz w:val="20"/>
          <w:szCs w:val="20"/>
        </w:rPr>
      </w:pPr>
      <w:r>
        <w:rPr>
          <w:noProof/>
          <w:sz w:val="20"/>
          <w:szCs w:val="20"/>
        </w:rPr>
        <w:drawing>
          <wp:anchor distT="0" distB="0" distL="114300" distR="114300" simplePos="0" relativeHeight="251994112" behindDoc="1" locked="0" layoutInCell="0" allowOverlap="1" wp14:anchorId="7EBD32D9" wp14:editId="3B54B089">
            <wp:simplePos x="0" y="0"/>
            <wp:positionH relativeFrom="column">
              <wp:posOffset>-636905</wp:posOffset>
            </wp:positionH>
            <wp:positionV relativeFrom="paragraph">
              <wp:posOffset>126365</wp:posOffset>
            </wp:positionV>
            <wp:extent cx="6995160" cy="17145"/>
            <wp:effectExtent l="0" t="0" r="0" b="0"/>
            <wp:wrapNone/>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1C9399D" w14:textId="77777777" w:rsidR="00D1587D" w:rsidRDefault="00D1587D">
      <w:pPr>
        <w:sectPr w:rsidR="00D1587D">
          <w:pgSz w:w="11900" w:h="16838"/>
          <w:pgMar w:top="265" w:right="1440" w:bottom="1440" w:left="1440" w:header="0" w:footer="0" w:gutter="0"/>
          <w:cols w:space="720" w:equalWidth="0">
            <w:col w:w="9019"/>
          </w:cols>
        </w:sectPr>
      </w:pPr>
    </w:p>
    <w:tbl>
      <w:tblPr>
        <w:tblW w:w="0" w:type="auto"/>
        <w:tblInd w:w="300" w:type="dxa"/>
        <w:tblLayout w:type="fixed"/>
        <w:tblCellMar>
          <w:left w:w="0" w:type="dxa"/>
          <w:right w:w="0" w:type="dxa"/>
        </w:tblCellMar>
        <w:tblLook w:val="04A0" w:firstRow="1" w:lastRow="0" w:firstColumn="1" w:lastColumn="0" w:noHBand="0" w:noVBand="1"/>
      </w:tblPr>
      <w:tblGrid>
        <w:gridCol w:w="1540"/>
        <w:gridCol w:w="540"/>
        <w:gridCol w:w="6320"/>
      </w:tblGrid>
      <w:tr w:rsidR="00D1587D" w14:paraId="5CDFC409" w14:textId="77777777">
        <w:trPr>
          <w:trHeight w:val="161"/>
        </w:trPr>
        <w:tc>
          <w:tcPr>
            <w:tcW w:w="2080" w:type="dxa"/>
            <w:gridSpan w:val="2"/>
            <w:vAlign w:val="bottom"/>
          </w:tcPr>
          <w:bookmarkStart w:id="397" w:name="page398"/>
          <w:bookmarkEnd w:id="397"/>
          <w:p w14:paraId="4FB42768" w14:textId="77777777" w:rsidR="00D1587D" w:rsidRDefault="00410D07">
            <w:pPr>
              <w:rPr>
                <w:rFonts w:ascii="Arial" w:eastAsia="Arial" w:hAnsi="Arial" w:cs="Arial"/>
                <w:b/>
                <w:bCs/>
                <w:color w:val="0000EE"/>
                <w:sz w:val="14"/>
                <w:szCs w:val="14"/>
              </w:rPr>
            </w:pPr>
            <w:r>
              <w:fldChar w:fldCharType="begin"/>
            </w:r>
            <w:r>
              <w:instrText xml:space="preserve"> HYPERLINK \l "page256" \h </w:instrText>
            </w:r>
            <w:r>
              <w:fldChar w:fldCharType="separate"/>
            </w:r>
            <w:r>
              <w:rPr>
                <w:rFonts w:ascii="Arial" w:eastAsia="Arial" w:hAnsi="Arial" w:cs="Arial"/>
                <w:b/>
                <w:bCs/>
                <w:color w:val="0000EE"/>
                <w:sz w:val="14"/>
                <w:szCs w:val="14"/>
              </w:rPr>
              <w:t>TABLE OF CONTENTS</w:t>
            </w:r>
            <w:r>
              <w:rPr>
                <w:rFonts w:ascii="Arial" w:eastAsia="Arial" w:hAnsi="Arial" w:cs="Arial"/>
                <w:b/>
                <w:bCs/>
                <w:color w:val="0000EE"/>
                <w:sz w:val="14"/>
                <w:szCs w:val="14"/>
              </w:rPr>
              <w:fldChar w:fldCharType="end"/>
            </w:r>
          </w:p>
        </w:tc>
        <w:tc>
          <w:tcPr>
            <w:tcW w:w="6320" w:type="dxa"/>
            <w:vAlign w:val="bottom"/>
          </w:tcPr>
          <w:p w14:paraId="4D58A5DC" w14:textId="77777777" w:rsidR="00D1587D" w:rsidRDefault="00D1587D">
            <w:pPr>
              <w:rPr>
                <w:sz w:val="14"/>
                <w:szCs w:val="14"/>
              </w:rPr>
            </w:pPr>
          </w:p>
        </w:tc>
      </w:tr>
      <w:tr w:rsidR="00D1587D" w14:paraId="6CED122B" w14:textId="77777777">
        <w:trPr>
          <w:trHeight w:val="345"/>
        </w:trPr>
        <w:tc>
          <w:tcPr>
            <w:tcW w:w="1540" w:type="dxa"/>
            <w:tcBorders>
              <w:top w:val="single" w:sz="8" w:space="0" w:color="0000EE"/>
            </w:tcBorders>
            <w:vAlign w:val="bottom"/>
          </w:tcPr>
          <w:p w14:paraId="0F706251" w14:textId="77777777" w:rsidR="00D1587D" w:rsidRDefault="00D1587D">
            <w:pPr>
              <w:rPr>
                <w:sz w:val="24"/>
                <w:szCs w:val="24"/>
              </w:rPr>
            </w:pPr>
          </w:p>
        </w:tc>
        <w:tc>
          <w:tcPr>
            <w:tcW w:w="540" w:type="dxa"/>
            <w:vAlign w:val="bottom"/>
          </w:tcPr>
          <w:p w14:paraId="6578771E" w14:textId="77777777" w:rsidR="00D1587D" w:rsidRDefault="00D1587D">
            <w:pPr>
              <w:rPr>
                <w:sz w:val="24"/>
                <w:szCs w:val="24"/>
              </w:rPr>
            </w:pPr>
          </w:p>
        </w:tc>
        <w:tc>
          <w:tcPr>
            <w:tcW w:w="6320" w:type="dxa"/>
            <w:vAlign w:val="bottom"/>
          </w:tcPr>
          <w:p w14:paraId="597EB4DB" w14:textId="77777777" w:rsidR="00D1587D" w:rsidRDefault="00410D07">
            <w:pPr>
              <w:ind w:left="1080"/>
              <w:rPr>
                <w:sz w:val="20"/>
                <w:szCs w:val="20"/>
              </w:rPr>
            </w:pPr>
            <w:r>
              <w:rPr>
                <w:rFonts w:ascii="Arial" w:eastAsia="Arial" w:hAnsi="Arial" w:cs="Arial"/>
                <w:b/>
                <w:bCs/>
                <w:sz w:val="18"/>
                <w:szCs w:val="18"/>
              </w:rPr>
              <w:t>Impairment of Store Assets</w:t>
            </w:r>
          </w:p>
        </w:tc>
      </w:tr>
      <w:tr w:rsidR="00D1587D" w14:paraId="1DF2AFF8" w14:textId="77777777">
        <w:trPr>
          <w:trHeight w:val="391"/>
        </w:trPr>
        <w:tc>
          <w:tcPr>
            <w:tcW w:w="2080" w:type="dxa"/>
            <w:gridSpan w:val="2"/>
            <w:vAlign w:val="bottom"/>
          </w:tcPr>
          <w:p w14:paraId="5DDEE8F1" w14:textId="77777777" w:rsidR="00D1587D" w:rsidRDefault="00410D07">
            <w:pPr>
              <w:rPr>
                <w:sz w:val="20"/>
                <w:szCs w:val="20"/>
              </w:rPr>
            </w:pPr>
            <w:r>
              <w:rPr>
                <w:rFonts w:ascii="Arial" w:eastAsia="Arial" w:hAnsi="Arial" w:cs="Arial"/>
                <w:sz w:val="18"/>
                <w:szCs w:val="18"/>
              </w:rPr>
              <w:t>Description of the Matter</w:t>
            </w:r>
          </w:p>
        </w:tc>
        <w:tc>
          <w:tcPr>
            <w:tcW w:w="6320" w:type="dxa"/>
            <w:vAlign w:val="bottom"/>
          </w:tcPr>
          <w:p w14:paraId="4B9B3FFD" w14:textId="77777777" w:rsidR="00D1587D" w:rsidRDefault="00410D07">
            <w:pPr>
              <w:ind w:left="280"/>
              <w:rPr>
                <w:sz w:val="20"/>
                <w:szCs w:val="20"/>
              </w:rPr>
            </w:pPr>
            <w:r>
              <w:rPr>
                <w:rFonts w:ascii="Arial" w:eastAsia="Arial" w:hAnsi="Arial" w:cs="Arial"/>
                <w:w w:val="90"/>
                <w:sz w:val="18"/>
                <w:szCs w:val="18"/>
              </w:rPr>
              <w:t>As discussed in Note 1 to the combined financial statements, the Company reviews</w:t>
            </w:r>
          </w:p>
        </w:tc>
      </w:tr>
      <w:tr w:rsidR="00D1587D" w14:paraId="1BCD42D7" w14:textId="77777777">
        <w:trPr>
          <w:trHeight w:val="216"/>
        </w:trPr>
        <w:tc>
          <w:tcPr>
            <w:tcW w:w="1540" w:type="dxa"/>
            <w:vAlign w:val="bottom"/>
          </w:tcPr>
          <w:p w14:paraId="02557585" w14:textId="77777777" w:rsidR="00D1587D" w:rsidRDefault="00D1587D">
            <w:pPr>
              <w:rPr>
                <w:sz w:val="18"/>
                <w:szCs w:val="18"/>
              </w:rPr>
            </w:pPr>
          </w:p>
        </w:tc>
        <w:tc>
          <w:tcPr>
            <w:tcW w:w="540" w:type="dxa"/>
            <w:vAlign w:val="bottom"/>
          </w:tcPr>
          <w:p w14:paraId="238A1A2D" w14:textId="77777777" w:rsidR="00D1587D" w:rsidRDefault="00D1587D">
            <w:pPr>
              <w:rPr>
                <w:sz w:val="18"/>
                <w:szCs w:val="18"/>
              </w:rPr>
            </w:pPr>
          </w:p>
        </w:tc>
        <w:tc>
          <w:tcPr>
            <w:tcW w:w="6320" w:type="dxa"/>
            <w:vAlign w:val="bottom"/>
          </w:tcPr>
          <w:p w14:paraId="041B064C" w14:textId="77777777" w:rsidR="00D1587D" w:rsidRDefault="00410D07">
            <w:pPr>
              <w:ind w:left="280"/>
              <w:rPr>
                <w:sz w:val="20"/>
                <w:szCs w:val="20"/>
              </w:rPr>
            </w:pPr>
            <w:r>
              <w:rPr>
                <w:rFonts w:ascii="Arial" w:eastAsia="Arial" w:hAnsi="Arial" w:cs="Arial"/>
                <w:w w:val="89"/>
                <w:sz w:val="18"/>
                <w:szCs w:val="18"/>
              </w:rPr>
              <w:t xml:space="preserve">long-lived store assets for </w:t>
            </w:r>
            <w:r>
              <w:rPr>
                <w:rFonts w:ascii="Arial" w:eastAsia="Arial" w:hAnsi="Arial" w:cs="Arial"/>
                <w:w w:val="89"/>
                <w:sz w:val="18"/>
                <w:szCs w:val="18"/>
              </w:rPr>
              <w:t>impairment whenever events or changes in circumstances</w:t>
            </w:r>
          </w:p>
        </w:tc>
      </w:tr>
      <w:tr w:rsidR="00D1587D" w14:paraId="609C5296" w14:textId="77777777">
        <w:trPr>
          <w:trHeight w:val="216"/>
        </w:trPr>
        <w:tc>
          <w:tcPr>
            <w:tcW w:w="1540" w:type="dxa"/>
            <w:vAlign w:val="bottom"/>
          </w:tcPr>
          <w:p w14:paraId="2C89F28C" w14:textId="77777777" w:rsidR="00D1587D" w:rsidRDefault="00D1587D">
            <w:pPr>
              <w:rPr>
                <w:sz w:val="18"/>
                <w:szCs w:val="18"/>
              </w:rPr>
            </w:pPr>
          </w:p>
        </w:tc>
        <w:tc>
          <w:tcPr>
            <w:tcW w:w="540" w:type="dxa"/>
            <w:vAlign w:val="bottom"/>
          </w:tcPr>
          <w:p w14:paraId="432AA06D" w14:textId="77777777" w:rsidR="00D1587D" w:rsidRDefault="00D1587D">
            <w:pPr>
              <w:rPr>
                <w:sz w:val="18"/>
                <w:szCs w:val="18"/>
              </w:rPr>
            </w:pPr>
          </w:p>
        </w:tc>
        <w:tc>
          <w:tcPr>
            <w:tcW w:w="6320" w:type="dxa"/>
            <w:vAlign w:val="bottom"/>
          </w:tcPr>
          <w:p w14:paraId="55595EF2" w14:textId="77777777" w:rsidR="00D1587D" w:rsidRDefault="00410D07">
            <w:pPr>
              <w:ind w:left="280"/>
              <w:rPr>
                <w:sz w:val="20"/>
                <w:szCs w:val="20"/>
              </w:rPr>
            </w:pPr>
            <w:r>
              <w:rPr>
                <w:rFonts w:ascii="Arial" w:eastAsia="Arial" w:hAnsi="Arial" w:cs="Arial"/>
                <w:w w:val="90"/>
                <w:sz w:val="18"/>
                <w:szCs w:val="18"/>
              </w:rPr>
              <w:t>indicate that the carrying amount of the asset may not be recoverable. Store assets</w:t>
            </w:r>
          </w:p>
        </w:tc>
      </w:tr>
      <w:tr w:rsidR="00D1587D" w14:paraId="7030D953" w14:textId="77777777">
        <w:trPr>
          <w:trHeight w:val="216"/>
        </w:trPr>
        <w:tc>
          <w:tcPr>
            <w:tcW w:w="1540" w:type="dxa"/>
            <w:vAlign w:val="bottom"/>
          </w:tcPr>
          <w:p w14:paraId="68193B2D" w14:textId="77777777" w:rsidR="00D1587D" w:rsidRDefault="00D1587D">
            <w:pPr>
              <w:rPr>
                <w:sz w:val="18"/>
                <w:szCs w:val="18"/>
              </w:rPr>
            </w:pPr>
          </w:p>
        </w:tc>
        <w:tc>
          <w:tcPr>
            <w:tcW w:w="540" w:type="dxa"/>
            <w:vAlign w:val="bottom"/>
          </w:tcPr>
          <w:p w14:paraId="2B0022C3" w14:textId="77777777" w:rsidR="00D1587D" w:rsidRDefault="00D1587D">
            <w:pPr>
              <w:rPr>
                <w:sz w:val="18"/>
                <w:szCs w:val="18"/>
              </w:rPr>
            </w:pPr>
          </w:p>
        </w:tc>
        <w:tc>
          <w:tcPr>
            <w:tcW w:w="6320" w:type="dxa"/>
            <w:vAlign w:val="bottom"/>
          </w:tcPr>
          <w:p w14:paraId="3F425E85" w14:textId="77777777" w:rsidR="00D1587D" w:rsidRDefault="00410D07">
            <w:pPr>
              <w:ind w:left="280"/>
              <w:rPr>
                <w:sz w:val="20"/>
                <w:szCs w:val="20"/>
              </w:rPr>
            </w:pPr>
            <w:r>
              <w:rPr>
                <w:rFonts w:ascii="Arial" w:eastAsia="Arial" w:hAnsi="Arial" w:cs="Arial"/>
                <w:w w:val="97"/>
                <w:sz w:val="18"/>
                <w:szCs w:val="18"/>
              </w:rPr>
              <w:t>are grouped at the lowest level for which they are largely independent of other</w:t>
            </w:r>
          </w:p>
        </w:tc>
      </w:tr>
      <w:tr w:rsidR="00D1587D" w14:paraId="4E6EF4C6" w14:textId="77777777">
        <w:trPr>
          <w:trHeight w:val="216"/>
        </w:trPr>
        <w:tc>
          <w:tcPr>
            <w:tcW w:w="1540" w:type="dxa"/>
            <w:vAlign w:val="bottom"/>
          </w:tcPr>
          <w:p w14:paraId="1D0E2A28" w14:textId="77777777" w:rsidR="00D1587D" w:rsidRDefault="00D1587D">
            <w:pPr>
              <w:rPr>
                <w:sz w:val="18"/>
                <w:szCs w:val="18"/>
              </w:rPr>
            </w:pPr>
          </w:p>
        </w:tc>
        <w:tc>
          <w:tcPr>
            <w:tcW w:w="540" w:type="dxa"/>
            <w:vAlign w:val="bottom"/>
          </w:tcPr>
          <w:p w14:paraId="437414AD" w14:textId="77777777" w:rsidR="00D1587D" w:rsidRDefault="00D1587D">
            <w:pPr>
              <w:rPr>
                <w:sz w:val="18"/>
                <w:szCs w:val="18"/>
              </w:rPr>
            </w:pPr>
          </w:p>
        </w:tc>
        <w:tc>
          <w:tcPr>
            <w:tcW w:w="6320" w:type="dxa"/>
            <w:vAlign w:val="bottom"/>
          </w:tcPr>
          <w:p w14:paraId="574A0A03" w14:textId="77777777" w:rsidR="00D1587D" w:rsidRDefault="00410D07">
            <w:pPr>
              <w:ind w:left="280"/>
              <w:rPr>
                <w:sz w:val="20"/>
                <w:szCs w:val="20"/>
              </w:rPr>
            </w:pPr>
            <w:r>
              <w:rPr>
                <w:rFonts w:ascii="Arial" w:eastAsia="Arial" w:hAnsi="Arial" w:cs="Arial"/>
                <w:w w:val="89"/>
                <w:sz w:val="18"/>
                <w:szCs w:val="18"/>
              </w:rPr>
              <w:t xml:space="preserve">assets or asset </w:t>
            </w:r>
            <w:r>
              <w:rPr>
                <w:rFonts w:ascii="Arial" w:eastAsia="Arial" w:hAnsi="Arial" w:cs="Arial"/>
                <w:w w:val="89"/>
                <w:sz w:val="18"/>
                <w:szCs w:val="18"/>
              </w:rPr>
              <w:t>groups. If the estimated undiscounted future cash flows related to the</w:t>
            </w:r>
          </w:p>
        </w:tc>
      </w:tr>
      <w:tr w:rsidR="00D1587D" w14:paraId="74C8BFC8" w14:textId="77777777">
        <w:trPr>
          <w:trHeight w:val="216"/>
        </w:trPr>
        <w:tc>
          <w:tcPr>
            <w:tcW w:w="1540" w:type="dxa"/>
            <w:vAlign w:val="bottom"/>
          </w:tcPr>
          <w:p w14:paraId="11B1280C" w14:textId="77777777" w:rsidR="00D1587D" w:rsidRDefault="00D1587D">
            <w:pPr>
              <w:rPr>
                <w:sz w:val="18"/>
                <w:szCs w:val="18"/>
              </w:rPr>
            </w:pPr>
          </w:p>
        </w:tc>
        <w:tc>
          <w:tcPr>
            <w:tcW w:w="540" w:type="dxa"/>
            <w:vAlign w:val="bottom"/>
          </w:tcPr>
          <w:p w14:paraId="545A1F36" w14:textId="77777777" w:rsidR="00D1587D" w:rsidRDefault="00D1587D">
            <w:pPr>
              <w:rPr>
                <w:sz w:val="18"/>
                <w:szCs w:val="18"/>
              </w:rPr>
            </w:pPr>
          </w:p>
        </w:tc>
        <w:tc>
          <w:tcPr>
            <w:tcW w:w="6320" w:type="dxa"/>
            <w:vAlign w:val="bottom"/>
          </w:tcPr>
          <w:p w14:paraId="206C4611" w14:textId="77777777" w:rsidR="00D1587D" w:rsidRDefault="00410D07">
            <w:pPr>
              <w:ind w:left="280"/>
              <w:rPr>
                <w:sz w:val="20"/>
                <w:szCs w:val="20"/>
              </w:rPr>
            </w:pPr>
            <w:r>
              <w:rPr>
                <w:rFonts w:ascii="Arial" w:eastAsia="Arial" w:hAnsi="Arial" w:cs="Arial"/>
                <w:w w:val="88"/>
                <w:sz w:val="18"/>
                <w:szCs w:val="18"/>
              </w:rPr>
              <w:t>asset group are less than the carrying value, the Company recognizes a loss equal to</w:t>
            </w:r>
          </w:p>
        </w:tc>
      </w:tr>
      <w:tr w:rsidR="00D1587D" w14:paraId="2A73DC56" w14:textId="77777777">
        <w:trPr>
          <w:trHeight w:val="216"/>
        </w:trPr>
        <w:tc>
          <w:tcPr>
            <w:tcW w:w="1540" w:type="dxa"/>
            <w:vAlign w:val="bottom"/>
          </w:tcPr>
          <w:p w14:paraId="5472520B" w14:textId="77777777" w:rsidR="00D1587D" w:rsidRDefault="00D1587D">
            <w:pPr>
              <w:rPr>
                <w:sz w:val="18"/>
                <w:szCs w:val="18"/>
              </w:rPr>
            </w:pPr>
          </w:p>
        </w:tc>
        <w:tc>
          <w:tcPr>
            <w:tcW w:w="540" w:type="dxa"/>
            <w:vAlign w:val="bottom"/>
          </w:tcPr>
          <w:p w14:paraId="40C24989" w14:textId="77777777" w:rsidR="00D1587D" w:rsidRDefault="00D1587D">
            <w:pPr>
              <w:rPr>
                <w:sz w:val="18"/>
                <w:szCs w:val="18"/>
              </w:rPr>
            </w:pPr>
          </w:p>
        </w:tc>
        <w:tc>
          <w:tcPr>
            <w:tcW w:w="6320" w:type="dxa"/>
            <w:vAlign w:val="bottom"/>
          </w:tcPr>
          <w:p w14:paraId="788BE8EE" w14:textId="77777777" w:rsidR="00D1587D" w:rsidRDefault="00410D07">
            <w:pPr>
              <w:ind w:left="280"/>
              <w:rPr>
                <w:sz w:val="20"/>
                <w:szCs w:val="20"/>
              </w:rPr>
            </w:pPr>
            <w:r>
              <w:rPr>
                <w:rFonts w:ascii="Arial" w:eastAsia="Arial" w:hAnsi="Arial" w:cs="Arial"/>
                <w:w w:val="91"/>
                <w:sz w:val="18"/>
                <w:szCs w:val="18"/>
              </w:rPr>
              <w:t>the difference between the carrying value and the estimated fair value, determined</w:t>
            </w:r>
          </w:p>
        </w:tc>
      </w:tr>
      <w:tr w:rsidR="00D1587D" w14:paraId="55F16DBA" w14:textId="77777777">
        <w:trPr>
          <w:trHeight w:val="230"/>
        </w:trPr>
        <w:tc>
          <w:tcPr>
            <w:tcW w:w="1540" w:type="dxa"/>
            <w:vAlign w:val="bottom"/>
          </w:tcPr>
          <w:p w14:paraId="39D89C0B" w14:textId="77777777" w:rsidR="00D1587D" w:rsidRDefault="00D1587D">
            <w:pPr>
              <w:rPr>
                <w:sz w:val="20"/>
                <w:szCs w:val="20"/>
              </w:rPr>
            </w:pPr>
          </w:p>
        </w:tc>
        <w:tc>
          <w:tcPr>
            <w:tcW w:w="540" w:type="dxa"/>
            <w:vAlign w:val="bottom"/>
          </w:tcPr>
          <w:p w14:paraId="45E732CE" w14:textId="77777777" w:rsidR="00D1587D" w:rsidRDefault="00D1587D">
            <w:pPr>
              <w:rPr>
                <w:sz w:val="20"/>
                <w:szCs w:val="20"/>
              </w:rPr>
            </w:pPr>
          </w:p>
        </w:tc>
        <w:tc>
          <w:tcPr>
            <w:tcW w:w="6320" w:type="dxa"/>
            <w:vAlign w:val="bottom"/>
          </w:tcPr>
          <w:p w14:paraId="5194D663" w14:textId="77777777" w:rsidR="00D1587D" w:rsidRDefault="00410D07">
            <w:pPr>
              <w:ind w:left="280"/>
              <w:rPr>
                <w:sz w:val="20"/>
                <w:szCs w:val="20"/>
              </w:rPr>
            </w:pPr>
            <w:r>
              <w:rPr>
                <w:rFonts w:ascii="Arial" w:eastAsia="Arial" w:hAnsi="Arial" w:cs="Arial"/>
                <w:sz w:val="18"/>
                <w:szCs w:val="18"/>
              </w:rPr>
              <w:t xml:space="preserve">by </w:t>
            </w:r>
            <w:r>
              <w:rPr>
                <w:rFonts w:ascii="Arial" w:eastAsia="Arial" w:hAnsi="Arial" w:cs="Arial"/>
                <w:sz w:val="18"/>
                <w:szCs w:val="18"/>
              </w:rPr>
              <w:t>the estimated discounted future cash flows of the asset group.</w:t>
            </w:r>
          </w:p>
        </w:tc>
      </w:tr>
      <w:tr w:rsidR="00D1587D" w14:paraId="57BBFE82" w14:textId="77777777">
        <w:trPr>
          <w:trHeight w:val="634"/>
        </w:trPr>
        <w:tc>
          <w:tcPr>
            <w:tcW w:w="1540" w:type="dxa"/>
            <w:vAlign w:val="bottom"/>
          </w:tcPr>
          <w:p w14:paraId="2A0B69A4" w14:textId="77777777" w:rsidR="00D1587D" w:rsidRDefault="00D1587D">
            <w:pPr>
              <w:rPr>
                <w:sz w:val="24"/>
                <w:szCs w:val="24"/>
              </w:rPr>
            </w:pPr>
          </w:p>
        </w:tc>
        <w:tc>
          <w:tcPr>
            <w:tcW w:w="540" w:type="dxa"/>
            <w:vAlign w:val="bottom"/>
          </w:tcPr>
          <w:p w14:paraId="12E06FBA" w14:textId="77777777" w:rsidR="00D1587D" w:rsidRDefault="00D1587D">
            <w:pPr>
              <w:rPr>
                <w:sz w:val="24"/>
                <w:szCs w:val="24"/>
              </w:rPr>
            </w:pPr>
          </w:p>
        </w:tc>
        <w:tc>
          <w:tcPr>
            <w:tcW w:w="6320" w:type="dxa"/>
            <w:vAlign w:val="bottom"/>
          </w:tcPr>
          <w:p w14:paraId="472B006C" w14:textId="77777777" w:rsidR="00D1587D" w:rsidRDefault="00410D07">
            <w:pPr>
              <w:ind w:left="280"/>
              <w:rPr>
                <w:sz w:val="20"/>
                <w:szCs w:val="20"/>
              </w:rPr>
            </w:pPr>
            <w:r>
              <w:rPr>
                <w:rFonts w:ascii="Arial" w:eastAsia="Arial" w:hAnsi="Arial" w:cs="Arial"/>
                <w:w w:val="91"/>
                <w:sz w:val="18"/>
                <w:szCs w:val="18"/>
              </w:rPr>
              <w:t>The Company concluded that negative operating results for certain of the Victoria’s</w:t>
            </w:r>
          </w:p>
        </w:tc>
      </w:tr>
      <w:tr w:rsidR="00D1587D" w14:paraId="35C7BD42" w14:textId="77777777">
        <w:trPr>
          <w:trHeight w:val="216"/>
        </w:trPr>
        <w:tc>
          <w:tcPr>
            <w:tcW w:w="1540" w:type="dxa"/>
            <w:vAlign w:val="bottom"/>
          </w:tcPr>
          <w:p w14:paraId="621FA1CF" w14:textId="77777777" w:rsidR="00D1587D" w:rsidRDefault="00D1587D">
            <w:pPr>
              <w:rPr>
                <w:sz w:val="18"/>
                <w:szCs w:val="18"/>
              </w:rPr>
            </w:pPr>
          </w:p>
        </w:tc>
        <w:tc>
          <w:tcPr>
            <w:tcW w:w="540" w:type="dxa"/>
            <w:vAlign w:val="bottom"/>
          </w:tcPr>
          <w:p w14:paraId="728F6135" w14:textId="77777777" w:rsidR="00D1587D" w:rsidRDefault="00D1587D">
            <w:pPr>
              <w:rPr>
                <w:sz w:val="18"/>
                <w:szCs w:val="18"/>
              </w:rPr>
            </w:pPr>
          </w:p>
        </w:tc>
        <w:tc>
          <w:tcPr>
            <w:tcW w:w="6320" w:type="dxa"/>
            <w:vAlign w:val="bottom"/>
          </w:tcPr>
          <w:p w14:paraId="01911463" w14:textId="77777777" w:rsidR="00D1587D" w:rsidRDefault="00410D07">
            <w:pPr>
              <w:ind w:left="280"/>
              <w:rPr>
                <w:sz w:val="20"/>
                <w:szCs w:val="20"/>
              </w:rPr>
            </w:pPr>
            <w:r>
              <w:rPr>
                <w:rFonts w:ascii="Arial" w:eastAsia="Arial" w:hAnsi="Arial" w:cs="Arial"/>
                <w:w w:val="94"/>
                <w:sz w:val="18"/>
                <w:szCs w:val="18"/>
              </w:rPr>
              <w:t>Secret stores were an indicator of potential impairment of the related store asset</w:t>
            </w:r>
          </w:p>
        </w:tc>
      </w:tr>
      <w:tr w:rsidR="00D1587D" w14:paraId="3B1B1086" w14:textId="77777777">
        <w:trPr>
          <w:trHeight w:val="216"/>
        </w:trPr>
        <w:tc>
          <w:tcPr>
            <w:tcW w:w="1540" w:type="dxa"/>
            <w:vAlign w:val="bottom"/>
          </w:tcPr>
          <w:p w14:paraId="4AB455A8" w14:textId="77777777" w:rsidR="00D1587D" w:rsidRDefault="00D1587D">
            <w:pPr>
              <w:rPr>
                <w:sz w:val="18"/>
                <w:szCs w:val="18"/>
              </w:rPr>
            </w:pPr>
          </w:p>
        </w:tc>
        <w:tc>
          <w:tcPr>
            <w:tcW w:w="540" w:type="dxa"/>
            <w:vAlign w:val="bottom"/>
          </w:tcPr>
          <w:p w14:paraId="0346FAAE" w14:textId="77777777" w:rsidR="00D1587D" w:rsidRDefault="00D1587D">
            <w:pPr>
              <w:rPr>
                <w:sz w:val="18"/>
                <w:szCs w:val="18"/>
              </w:rPr>
            </w:pPr>
          </w:p>
        </w:tc>
        <w:tc>
          <w:tcPr>
            <w:tcW w:w="6320" w:type="dxa"/>
            <w:vAlign w:val="bottom"/>
          </w:tcPr>
          <w:p w14:paraId="550BA739" w14:textId="77777777" w:rsidR="00D1587D" w:rsidRDefault="00410D07">
            <w:pPr>
              <w:ind w:left="280"/>
              <w:rPr>
                <w:sz w:val="20"/>
                <w:szCs w:val="20"/>
              </w:rPr>
            </w:pPr>
            <w:r>
              <w:rPr>
                <w:rFonts w:ascii="Arial" w:eastAsia="Arial" w:hAnsi="Arial" w:cs="Arial"/>
                <w:w w:val="96"/>
                <w:sz w:val="18"/>
                <w:szCs w:val="18"/>
              </w:rPr>
              <w:t xml:space="preserve">groups. As a </w:t>
            </w:r>
            <w:r>
              <w:rPr>
                <w:rFonts w:ascii="Arial" w:eastAsia="Arial" w:hAnsi="Arial" w:cs="Arial"/>
                <w:w w:val="96"/>
                <w:sz w:val="18"/>
                <w:szCs w:val="18"/>
              </w:rPr>
              <w:t>result, the Company recognized an impairment loss on leasehold</w:t>
            </w:r>
          </w:p>
        </w:tc>
      </w:tr>
      <w:tr w:rsidR="00D1587D" w14:paraId="66DC720A" w14:textId="77777777">
        <w:trPr>
          <w:trHeight w:val="216"/>
        </w:trPr>
        <w:tc>
          <w:tcPr>
            <w:tcW w:w="1540" w:type="dxa"/>
            <w:vAlign w:val="bottom"/>
          </w:tcPr>
          <w:p w14:paraId="1855B4DB" w14:textId="77777777" w:rsidR="00D1587D" w:rsidRDefault="00D1587D">
            <w:pPr>
              <w:rPr>
                <w:sz w:val="18"/>
                <w:szCs w:val="18"/>
              </w:rPr>
            </w:pPr>
          </w:p>
        </w:tc>
        <w:tc>
          <w:tcPr>
            <w:tcW w:w="540" w:type="dxa"/>
            <w:vAlign w:val="bottom"/>
          </w:tcPr>
          <w:p w14:paraId="2B07F6AC" w14:textId="77777777" w:rsidR="00D1587D" w:rsidRDefault="00D1587D">
            <w:pPr>
              <w:rPr>
                <w:sz w:val="18"/>
                <w:szCs w:val="18"/>
              </w:rPr>
            </w:pPr>
          </w:p>
        </w:tc>
        <w:tc>
          <w:tcPr>
            <w:tcW w:w="6320" w:type="dxa"/>
            <w:vAlign w:val="bottom"/>
          </w:tcPr>
          <w:p w14:paraId="6B8EF867" w14:textId="77777777" w:rsidR="00D1587D" w:rsidRDefault="00410D07">
            <w:pPr>
              <w:ind w:left="280"/>
              <w:rPr>
                <w:sz w:val="20"/>
                <w:szCs w:val="20"/>
              </w:rPr>
            </w:pPr>
            <w:r>
              <w:rPr>
                <w:rFonts w:ascii="Arial" w:eastAsia="Arial" w:hAnsi="Arial" w:cs="Arial"/>
                <w:w w:val="93"/>
                <w:sz w:val="18"/>
                <w:szCs w:val="18"/>
              </w:rPr>
              <w:t>improvements and store related assets of approximately $136 million for the year</w:t>
            </w:r>
          </w:p>
        </w:tc>
      </w:tr>
      <w:tr w:rsidR="00D1587D" w14:paraId="0EAA0671" w14:textId="77777777">
        <w:trPr>
          <w:trHeight w:val="216"/>
        </w:trPr>
        <w:tc>
          <w:tcPr>
            <w:tcW w:w="1540" w:type="dxa"/>
            <w:vAlign w:val="bottom"/>
          </w:tcPr>
          <w:p w14:paraId="320FD5C1" w14:textId="77777777" w:rsidR="00D1587D" w:rsidRDefault="00D1587D">
            <w:pPr>
              <w:rPr>
                <w:sz w:val="18"/>
                <w:szCs w:val="18"/>
              </w:rPr>
            </w:pPr>
          </w:p>
        </w:tc>
        <w:tc>
          <w:tcPr>
            <w:tcW w:w="540" w:type="dxa"/>
            <w:vAlign w:val="bottom"/>
          </w:tcPr>
          <w:p w14:paraId="24882B13" w14:textId="77777777" w:rsidR="00D1587D" w:rsidRDefault="00D1587D">
            <w:pPr>
              <w:rPr>
                <w:sz w:val="18"/>
                <w:szCs w:val="18"/>
              </w:rPr>
            </w:pPr>
          </w:p>
        </w:tc>
        <w:tc>
          <w:tcPr>
            <w:tcW w:w="6320" w:type="dxa"/>
            <w:vAlign w:val="bottom"/>
          </w:tcPr>
          <w:p w14:paraId="16E94934" w14:textId="77777777" w:rsidR="00D1587D" w:rsidRDefault="00410D07">
            <w:pPr>
              <w:ind w:left="280"/>
              <w:rPr>
                <w:sz w:val="20"/>
                <w:szCs w:val="20"/>
              </w:rPr>
            </w:pPr>
            <w:r>
              <w:rPr>
                <w:rFonts w:ascii="Arial" w:eastAsia="Arial" w:hAnsi="Arial" w:cs="Arial"/>
                <w:w w:val="92"/>
                <w:sz w:val="18"/>
                <w:szCs w:val="18"/>
              </w:rPr>
              <w:t>ended January 30, 2021. In addition, the Company recognized an impairment loss</w:t>
            </w:r>
          </w:p>
        </w:tc>
      </w:tr>
      <w:tr w:rsidR="00D1587D" w14:paraId="7AFE5E91" w14:textId="77777777">
        <w:trPr>
          <w:trHeight w:val="230"/>
        </w:trPr>
        <w:tc>
          <w:tcPr>
            <w:tcW w:w="1540" w:type="dxa"/>
            <w:vAlign w:val="bottom"/>
          </w:tcPr>
          <w:p w14:paraId="2BC5D985" w14:textId="77777777" w:rsidR="00D1587D" w:rsidRDefault="00D1587D">
            <w:pPr>
              <w:rPr>
                <w:sz w:val="20"/>
                <w:szCs w:val="20"/>
              </w:rPr>
            </w:pPr>
          </w:p>
        </w:tc>
        <w:tc>
          <w:tcPr>
            <w:tcW w:w="540" w:type="dxa"/>
            <w:vAlign w:val="bottom"/>
          </w:tcPr>
          <w:p w14:paraId="60368D32" w14:textId="77777777" w:rsidR="00D1587D" w:rsidRDefault="00D1587D">
            <w:pPr>
              <w:rPr>
                <w:sz w:val="20"/>
                <w:szCs w:val="20"/>
              </w:rPr>
            </w:pPr>
          </w:p>
        </w:tc>
        <w:tc>
          <w:tcPr>
            <w:tcW w:w="6320" w:type="dxa"/>
            <w:vAlign w:val="bottom"/>
          </w:tcPr>
          <w:p w14:paraId="27D394C0" w14:textId="77777777" w:rsidR="00D1587D" w:rsidRDefault="00410D07">
            <w:pPr>
              <w:ind w:left="280"/>
              <w:rPr>
                <w:sz w:val="20"/>
                <w:szCs w:val="20"/>
              </w:rPr>
            </w:pPr>
            <w:r>
              <w:rPr>
                <w:rFonts w:ascii="Arial" w:eastAsia="Arial" w:hAnsi="Arial" w:cs="Arial"/>
                <w:sz w:val="18"/>
                <w:szCs w:val="18"/>
              </w:rPr>
              <w:t xml:space="preserve">of $118 million for </w:t>
            </w:r>
            <w:r>
              <w:rPr>
                <w:rFonts w:ascii="Arial" w:eastAsia="Arial" w:hAnsi="Arial" w:cs="Arial"/>
                <w:sz w:val="18"/>
                <w:szCs w:val="18"/>
              </w:rPr>
              <w:t>the operating lease assets.</w:t>
            </w:r>
          </w:p>
        </w:tc>
      </w:tr>
      <w:tr w:rsidR="00D1587D" w14:paraId="7CA36A24" w14:textId="77777777">
        <w:trPr>
          <w:trHeight w:val="634"/>
        </w:trPr>
        <w:tc>
          <w:tcPr>
            <w:tcW w:w="1540" w:type="dxa"/>
            <w:vAlign w:val="bottom"/>
          </w:tcPr>
          <w:p w14:paraId="0B7ED232" w14:textId="77777777" w:rsidR="00D1587D" w:rsidRDefault="00D1587D">
            <w:pPr>
              <w:rPr>
                <w:sz w:val="24"/>
                <w:szCs w:val="24"/>
              </w:rPr>
            </w:pPr>
          </w:p>
        </w:tc>
        <w:tc>
          <w:tcPr>
            <w:tcW w:w="540" w:type="dxa"/>
            <w:vAlign w:val="bottom"/>
          </w:tcPr>
          <w:p w14:paraId="1B5282D6" w14:textId="77777777" w:rsidR="00D1587D" w:rsidRDefault="00D1587D">
            <w:pPr>
              <w:rPr>
                <w:sz w:val="24"/>
                <w:szCs w:val="24"/>
              </w:rPr>
            </w:pPr>
          </w:p>
        </w:tc>
        <w:tc>
          <w:tcPr>
            <w:tcW w:w="6320" w:type="dxa"/>
            <w:vAlign w:val="bottom"/>
          </w:tcPr>
          <w:p w14:paraId="477207D6" w14:textId="77777777" w:rsidR="00D1587D" w:rsidRDefault="00410D07">
            <w:pPr>
              <w:ind w:left="280"/>
              <w:rPr>
                <w:sz w:val="20"/>
                <w:szCs w:val="20"/>
              </w:rPr>
            </w:pPr>
            <w:r>
              <w:rPr>
                <w:rFonts w:ascii="Arial" w:eastAsia="Arial" w:hAnsi="Arial" w:cs="Arial"/>
                <w:w w:val="98"/>
                <w:sz w:val="18"/>
                <w:szCs w:val="18"/>
              </w:rPr>
              <w:t>Auditing management’s long-lived store asset impairment analysis, including</w:t>
            </w:r>
          </w:p>
        </w:tc>
      </w:tr>
      <w:tr w:rsidR="00D1587D" w14:paraId="6F526A16" w14:textId="77777777">
        <w:trPr>
          <w:trHeight w:val="216"/>
        </w:trPr>
        <w:tc>
          <w:tcPr>
            <w:tcW w:w="1540" w:type="dxa"/>
            <w:vAlign w:val="bottom"/>
          </w:tcPr>
          <w:p w14:paraId="242BD945" w14:textId="77777777" w:rsidR="00D1587D" w:rsidRDefault="00D1587D">
            <w:pPr>
              <w:rPr>
                <w:sz w:val="18"/>
                <w:szCs w:val="18"/>
              </w:rPr>
            </w:pPr>
          </w:p>
        </w:tc>
        <w:tc>
          <w:tcPr>
            <w:tcW w:w="540" w:type="dxa"/>
            <w:vAlign w:val="bottom"/>
          </w:tcPr>
          <w:p w14:paraId="413AFF03" w14:textId="77777777" w:rsidR="00D1587D" w:rsidRDefault="00D1587D">
            <w:pPr>
              <w:rPr>
                <w:sz w:val="18"/>
                <w:szCs w:val="18"/>
              </w:rPr>
            </w:pPr>
          </w:p>
        </w:tc>
        <w:tc>
          <w:tcPr>
            <w:tcW w:w="6320" w:type="dxa"/>
            <w:vAlign w:val="bottom"/>
          </w:tcPr>
          <w:p w14:paraId="0F55F2DB" w14:textId="77777777" w:rsidR="00D1587D" w:rsidRDefault="00410D07">
            <w:pPr>
              <w:ind w:left="280"/>
              <w:rPr>
                <w:sz w:val="20"/>
                <w:szCs w:val="20"/>
              </w:rPr>
            </w:pPr>
            <w:r>
              <w:rPr>
                <w:rFonts w:ascii="Arial" w:eastAsia="Arial" w:hAnsi="Arial" w:cs="Arial"/>
                <w:w w:val="95"/>
                <w:sz w:val="18"/>
                <w:szCs w:val="18"/>
              </w:rPr>
              <w:t>operating lease assets, is complex and highly judgmental due to the estimation</w:t>
            </w:r>
          </w:p>
        </w:tc>
      </w:tr>
      <w:tr w:rsidR="00D1587D" w14:paraId="35760DB1" w14:textId="77777777">
        <w:trPr>
          <w:trHeight w:val="216"/>
        </w:trPr>
        <w:tc>
          <w:tcPr>
            <w:tcW w:w="1540" w:type="dxa"/>
            <w:vAlign w:val="bottom"/>
          </w:tcPr>
          <w:p w14:paraId="47BCC67A" w14:textId="77777777" w:rsidR="00D1587D" w:rsidRDefault="00D1587D">
            <w:pPr>
              <w:rPr>
                <w:sz w:val="18"/>
                <w:szCs w:val="18"/>
              </w:rPr>
            </w:pPr>
          </w:p>
        </w:tc>
        <w:tc>
          <w:tcPr>
            <w:tcW w:w="540" w:type="dxa"/>
            <w:vAlign w:val="bottom"/>
          </w:tcPr>
          <w:p w14:paraId="30171328" w14:textId="77777777" w:rsidR="00D1587D" w:rsidRDefault="00D1587D">
            <w:pPr>
              <w:rPr>
                <w:sz w:val="18"/>
                <w:szCs w:val="18"/>
              </w:rPr>
            </w:pPr>
          </w:p>
        </w:tc>
        <w:tc>
          <w:tcPr>
            <w:tcW w:w="6320" w:type="dxa"/>
            <w:vAlign w:val="bottom"/>
          </w:tcPr>
          <w:p w14:paraId="0046C166" w14:textId="77777777" w:rsidR="00D1587D" w:rsidRDefault="00410D07">
            <w:pPr>
              <w:ind w:left="280"/>
              <w:rPr>
                <w:sz w:val="20"/>
                <w:szCs w:val="20"/>
              </w:rPr>
            </w:pPr>
            <w:r>
              <w:rPr>
                <w:rFonts w:ascii="Arial" w:eastAsia="Arial" w:hAnsi="Arial" w:cs="Arial"/>
                <w:w w:val="94"/>
                <w:sz w:val="18"/>
                <w:szCs w:val="18"/>
              </w:rPr>
              <w:t xml:space="preserve">required in determining the future cash flows used to </w:t>
            </w:r>
            <w:r>
              <w:rPr>
                <w:rFonts w:ascii="Arial" w:eastAsia="Arial" w:hAnsi="Arial" w:cs="Arial"/>
                <w:w w:val="94"/>
                <w:sz w:val="18"/>
                <w:szCs w:val="18"/>
              </w:rPr>
              <w:t>assess recoverability of the</w:t>
            </w:r>
          </w:p>
        </w:tc>
      </w:tr>
      <w:tr w:rsidR="00D1587D" w14:paraId="1C8F5D70" w14:textId="77777777">
        <w:trPr>
          <w:trHeight w:val="216"/>
        </w:trPr>
        <w:tc>
          <w:tcPr>
            <w:tcW w:w="1540" w:type="dxa"/>
            <w:vAlign w:val="bottom"/>
          </w:tcPr>
          <w:p w14:paraId="0CF81C84" w14:textId="77777777" w:rsidR="00D1587D" w:rsidRDefault="00D1587D">
            <w:pPr>
              <w:rPr>
                <w:sz w:val="18"/>
                <w:szCs w:val="18"/>
              </w:rPr>
            </w:pPr>
          </w:p>
        </w:tc>
        <w:tc>
          <w:tcPr>
            <w:tcW w:w="540" w:type="dxa"/>
            <w:vAlign w:val="bottom"/>
          </w:tcPr>
          <w:p w14:paraId="256AB452" w14:textId="77777777" w:rsidR="00D1587D" w:rsidRDefault="00D1587D">
            <w:pPr>
              <w:rPr>
                <w:sz w:val="18"/>
                <w:szCs w:val="18"/>
              </w:rPr>
            </w:pPr>
          </w:p>
        </w:tc>
        <w:tc>
          <w:tcPr>
            <w:tcW w:w="6320" w:type="dxa"/>
            <w:vAlign w:val="bottom"/>
          </w:tcPr>
          <w:p w14:paraId="09946264" w14:textId="77777777" w:rsidR="00D1587D" w:rsidRDefault="00410D07">
            <w:pPr>
              <w:ind w:left="280"/>
              <w:rPr>
                <w:sz w:val="20"/>
                <w:szCs w:val="20"/>
              </w:rPr>
            </w:pPr>
            <w:r>
              <w:rPr>
                <w:rFonts w:ascii="Arial" w:eastAsia="Arial" w:hAnsi="Arial" w:cs="Arial"/>
                <w:w w:val="98"/>
                <w:sz w:val="18"/>
                <w:szCs w:val="18"/>
              </w:rPr>
              <w:t>store assets (undiscounted) and determining the fair value (discounted). The</w:t>
            </w:r>
          </w:p>
        </w:tc>
      </w:tr>
      <w:tr w:rsidR="00D1587D" w14:paraId="515DDCB4" w14:textId="77777777">
        <w:trPr>
          <w:trHeight w:val="216"/>
        </w:trPr>
        <w:tc>
          <w:tcPr>
            <w:tcW w:w="1540" w:type="dxa"/>
            <w:vAlign w:val="bottom"/>
          </w:tcPr>
          <w:p w14:paraId="430053A0" w14:textId="77777777" w:rsidR="00D1587D" w:rsidRDefault="00D1587D">
            <w:pPr>
              <w:rPr>
                <w:sz w:val="18"/>
                <w:szCs w:val="18"/>
              </w:rPr>
            </w:pPr>
          </w:p>
        </w:tc>
        <w:tc>
          <w:tcPr>
            <w:tcW w:w="540" w:type="dxa"/>
            <w:vAlign w:val="bottom"/>
          </w:tcPr>
          <w:p w14:paraId="7E94F4F7" w14:textId="77777777" w:rsidR="00D1587D" w:rsidRDefault="00D1587D">
            <w:pPr>
              <w:rPr>
                <w:sz w:val="18"/>
                <w:szCs w:val="18"/>
              </w:rPr>
            </w:pPr>
          </w:p>
        </w:tc>
        <w:tc>
          <w:tcPr>
            <w:tcW w:w="6320" w:type="dxa"/>
            <w:vAlign w:val="bottom"/>
          </w:tcPr>
          <w:p w14:paraId="3386B1C0" w14:textId="77777777" w:rsidR="00D1587D" w:rsidRDefault="00410D07">
            <w:pPr>
              <w:ind w:left="280"/>
              <w:rPr>
                <w:sz w:val="20"/>
                <w:szCs w:val="20"/>
              </w:rPr>
            </w:pPr>
            <w:r>
              <w:rPr>
                <w:rFonts w:ascii="Arial" w:eastAsia="Arial" w:hAnsi="Arial" w:cs="Arial"/>
                <w:w w:val="91"/>
                <w:sz w:val="18"/>
                <w:szCs w:val="18"/>
              </w:rPr>
              <w:t>significant assumptions used include estimated future cash flows directly related to</w:t>
            </w:r>
          </w:p>
        </w:tc>
      </w:tr>
      <w:tr w:rsidR="00D1587D" w14:paraId="6160DCBF" w14:textId="77777777">
        <w:trPr>
          <w:trHeight w:val="216"/>
        </w:trPr>
        <w:tc>
          <w:tcPr>
            <w:tcW w:w="1540" w:type="dxa"/>
            <w:vAlign w:val="bottom"/>
          </w:tcPr>
          <w:p w14:paraId="18E8C9F2" w14:textId="77777777" w:rsidR="00D1587D" w:rsidRDefault="00D1587D">
            <w:pPr>
              <w:rPr>
                <w:sz w:val="18"/>
                <w:szCs w:val="18"/>
              </w:rPr>
            </w:pPr>
          </w:p>
        </w:tc>
        <w:tc>
          <w:tcPr>
            <w:tcW w:w="540" w:type="dxa"/>
            <w:vAlign w:val="bottom"/>
          </w:tcPr>
          <w:p w14:paraId="3598199D" w14:textId="77777777" w:rsidR="00D1587D" w:rsidRDefault="00D1587D">
            <w:pPr>
              <w:rPr>
                <w:sz w:val="18"/>
                <w:szCs w:val="18"/>
              </w:rPr>
            </w:pPr>
          </w:p>
        </w:tc>
        <w:tc>
          <w:tcPr>
            <w:tcW w:w="6320" w:type="dxa"/>
            <w:vAlign w:val="bottom"/>
          </w:tcPr>
          <w:p w14:paraId="271B6791" w14:textId="77777777" w:rsidR="00D1587D" w:rsidRDefault="00410D07">
            <w:pPr>
              <w:ind w:left="280"/>
              <w:rPr>
                <w:sz w:val="20"/>
                <w:szCs w:val="20"/>
              </w:rPr>
            </w:pPr>
            <w:r>
              <w:rPr>
                <w:rFonts w:ascii="Arial" w:eastAsia="Arial" w:hAnsi="Arial" w:cs="Arial"/>
                <w:w w:val="95"/>
                <w:sz w:val="18"/>
                <w:szCs w:val="18"/>
              </w:rPr>
              <w:t>the future operation of the stores (including sales grow</w:t>
            </w:r>
            <w:r>
              <w:rPr>
                <w:rFonts w:ascii="Arial" w:eastAsia="Arial" w:hAnsi="Arial" w:cs="Arial"/>
                <w:w w:val="95"/>
                <w:sz w:val="18"/>
                <w:szCs w:val="18"/>
              </w:rPr>
              <w:t>th rate and gross margin</w:t>
            </w:r>
          </w:p>
        </w:tc>
      </w:tr>
      <w:tr w:rsidR="00D1587D" w14:paraId="364CAA40" w14:textId="77777777">
        <w:trPr>
          <w:trHeight w:val="216"/>
        </w:trPr>
        <w:tc>
          <w:tcPr>
            <w:tcW w:w="1540" w:type="dxa"/>
            <w:vAlign w:val="bottom"/>
          </w:tcPr>
          <w:p w14:paraId="5C0178A1" w14:textId="77777777" w:rsidR="00D1587D" w:rsidRDefault="00D1587D">
            <w:pPr>
              <w:rPr>
                <w:sz w:val="18"/>
                <w:szCs w:val="18"/>
              </w:rPr>
            </w:pPr>
          </w:p>
        </w:tc>
        <w:tc>
          <w:tcPr>
            <w:tcW w:w="540" w:type="dxa"/>
            <w:vAlign w:val="bottom"/>
          </w:tcPr>
          <w:p w14:paraId="3F7DB23F" w14:textId="77777777" w:rsidR="00D1587D" w:rsidRDefault="00D1587D">
            <w:pPr>
              <w:rPr>
                <w:sz w:val="18"/>
                <w:szCs w:val="18"/>
              </w:rPr>
            </w:pPr>
          </w:p>
        </w:tc>
        <w:tc>
          <w:tcPr>
            <w:tcW w:w="6320" w:type="dxa"/>
            <w:vAlign w:val="bottom"/>
          </w:tcPr>
          <w:p w14:paraId="542BFB18" w14:textId="77777777" w:rsidR="00D1587D" w:rsidRDefault="00410D07">
            <w:pPr>
              <w:ind w:left="280"/>
              <w:rPr>
                <w:sz w:val="20"/>
                <w:szCs w:val="20"/>
              </w:rPr>
            </w:pPr>
            <w:r>
              <w:rPr>
                <w:rFonts w:ascii="Arial" w:eastAsia="Arial" w:hAnsi="Arial" w:cs="Arial"/>
                <w:sz w:val="18"/>
                <w:szCs w:val="18"/>
              </w:rPr>
              <w:t>rate), as well as the discount rate used to determine fair value. Significant</w:t>
            </w:r>
          </w:p>
        </w:tc>
      </w:tr>
      <w:tr w:rsidR="00D1587D" w14:paraId="2C265440" w14:textId="77777777">
        <w:trPr>
          <w:trHeight w:val="216"/>
        </w:trPr>
        <w:tc>
          <w:tcPr>
            <w:tcW w:w="1540" w:type="dxa"/>
            <w:vAlign w:val="bottom"/>
          </w:tcPr>
          <w:p w14:paraId="362C2D9F" w14:textId="77777777" w:rsidR="00D1587D" w:rsidRDefault="00D1587D">
            <w:pPr>
              <w:rPr>
                <w:sz w:val="18"/>
                <w:szCs w:val="18"/>
              </w:rPr>
            </w:pPr>
          </w:p>
        </w:tc>
        <w:tc>
          <w:tcPr>
            <w:tcW w:w="540" w:type="dxa"/>
            <w:vAlign w:val="bottom"/>
          </w:tcPr>
          <w:p w14:paraId="57DEF478" w14:textId="77777777" w:rsidR="00D1587D" w:rsidRDefault="00D1587D">
            <w:pPr>
              <w:rPr>
                <w:sz w:val="18"/>
                <w:szCs w:val="18"/>
              </w:rPr>
            </w:pPr>
          </w:p>
        </w:tc>
        <w:tc>
          <w:tcPr>
            <w:tcW w:w="6320" w:type="dxa"/>
            <w:vAlign w:val="bottom"/>
          </w:tcPr>
          <w:p w14:paraId="1F5572EB" w14:textId="77777777" w:rsidR="00D1587D" w:rsidRDefault="00410D07">
            <w:pPr>
              <w:ind w:left="280"/>
              <w:rPr>
                <w:sz w:val="20"/>
                <w:szCs w:val="20"/>
              </w:rPr>
            </w:pPr>
            <w:r>
              <w:rPr>
                <w:rFonts w:ascii="Arial" w:eastAsia="Arial" w:hAnsi="Arial" w:cs="Arial"/>
                <w:w w:val="90"/>
                <w:sz w:val="18"/>
                <w:szCs w:val="18"/>
              </w:rPr>
              <w:t>assumptions used in determining the fair value of the operating lease assets include</w:t>
            </w:r>
          </w:p>
        </w:tc>
      </w:tr>
      <w:tr w:rsidR="00D1587D" w14:paraId="425C27E8" w14:textId="77777777">
        <w:trPr>
          <w:trHeight w:val="216"/>
        </w:trPr>
        <w:tc>
          <w:tcPr>
            <w:tcW w:w="1540" w:type="dxa"/>
            <w:vAlign w:val="bottom"/>
          </w:tcPr>
          <w:p w14:paraId="557ADB8A" w14:textId="77777777" w:rsidR="00D1587D" w:rsidRDefault="00D1587D">
            <w:pPr>
              <w:rPr>
                <w:sz w:val="18"/>
                <w:szCs w:val="18"/>
              </w:rPr>
            </w:pPr>
          </w:p>
        </w:tc>
        <w:tc>
          <w:tcPr>
            <w:tcW w:w="540" w:type="dxa"/>
            <w:vAlign w:val="bottom"/>
          </w:tcPr>
          <w:p w14:paraId="65451120" w14:textId="77777777" w:rsidR="00D1587D" w:rsidRDefault="00D1587D">
            <w:pPr>
              <w:rPr>
                <w:sz w:val="18"/>
                <w:szCs w:val="18"/>
              </w:rPr>
            </w:pPr>
          </w:p>
        </w:tc>
        <w:tc>
          <w:tcPr>
            <w:tcW w:w="6320" w:type="dxa"/>
            <w:vAlign w:val="bottom"/>
          </w:tcPr>
          <w:p w14:paraId="25AEEA38" w14:textId="77777777" w:rsidR="00D1587D" w:rsidRDefault="00410D07">
            <w:pPr>
              <w:ind w:left="280"/>
              <w:rPr>
                <w:sz w:val="20"/>
                <w:szCs w:val="20"/>
              </w:rPr>
            </w:pPr>
            <w:r>
              <w:rPr>
                <w:rFonts w:ascii="Arial" w:eastAsia="Arial" w:hAnsi="Arial" w:cs="Arial"/>
                <w:w w:val="94"/>
                <w:sz w:val="18"/>
                <w:szCs w:val="18"/>
              </w:rPr>
              <w:t xml:space="preserve">the current market rent for the remaining lease term of </w:t>
            </w:r>
            <w:r>
              <w:rPr>
                <w:rFonts w:ascii="Arial" w:eastAsia="Arial" w:hAnsi="Arial" w:cs="Arial"/>
                <w:w w:val="94"/>
                <w:sz w:val="18"/>
                <w:szCs w:val="18"/>
              </w:rPr>
              <w:t>the related stores. These</w:t>
            </w:r>
          </w:p>
        </w:tc>
      </w:tr>
      <w:tr w:rsidR="00D1587D" w14:paraId="0D470A85" w14:textId="77777777">
        <w:trPr>
          <w:trHeight w:val="216"/>
        </w:trPr>
        <w:tc>
          <w:tcPr>
            <w:tcW w:w="1540" w:type="dxa"/>
            <w:vAlign w:val="bottom"/>
          </w:tcPr>
          <w:p w14:paraId="6473C6A5" w14:textId="77777777" w:rsidR="00D1587D" w:rsidRDefault="00D1587D">
            <w:pPr>
              <w:rPr>
                <w:sz w:val="18"/>
                <w:szCs w:val="18"/>
              </w:rPr>
            </w:pPr>
          </w:p>
        </w:tc>
        <w:tc>
          <w:tcPr>
            <w:tcW w:w="540" w:type="dxa"/>
            <w:vAlign w:val="bottom"/>
          </w:tcPr>
          <w:p w14:paraId="4898A033" w14:textId="77777777" w:rsidR="00D1587D" w:rsidRDefault="00D1587D">
            <w:pPr>
              <w:rPr>
                <w:sz w:val="18"/>
                <w:szCs w:val="18"/>
              </w:rPr>
            </w:pPr>
          </w:p>
        </w:tc>
        <w:tc>
          <w:tcPr>
            <w:tcW w:w="6320" w:type="dxa"/>
            <w:vAlign w:val="bottom"/>
          </w:tcPr>
          <w:p w14:paraId="2246B2D3" w14:textId="77777777" w:rsidR="00D1587D" w:rsidRDefault="00410D07">
            <w:pPr>
              <w:ind w:left="280"/>
              <w:rPr>
                <w:sz w:val="20"/>
                <w:szCs w:val="20"/>
              </w:rPr>
            </w:pPr>
            <w:r>
              <w:rPr>
                <w:rFonts w:ascii="Arial" w:eastAsia="Arial" w:hAnsi="Arial" w:cs="Arial"/>
                <w:w w:val="91"/>
                <w:sz w:val="18"/>
                <w:szCs w:val="18"/>
              </w:rPr>
              <w:t>assumptions are subjective in nature and are affected by expectations about future</w:t>
            </w:r>
          </w:p>
        </w:tc>
      </w:tr>
      <w:tr w:rsidR="00D1587D" w14:paraId="2BFDD35C" w14:textId="77777777">
        <w:trPr>
          <w:trHeight w:val="230"/>
        </w:trPr>
        <w:tc>
          <w:tcPr>
            <w:tcW w:w="1540" w:type="dxa"/>
            <w:vAlign w:val="bottom"/>
          </w:tcPr>
          <w:p w14:paraId="796B36D4" w14:textId="77777777" w:rsidR="00D1587D" w:rsidRDefault="00D1587D">
            <w:pPr>
              <w:rPr>
                <w:sz w:val="20"/>
                <w:szCs w:val="20"/>
              </w:rPr>
            </w:pPr>
          </w:p>
        </w:tc>
        <w:tc>
          <w:tcPr>
            <w:tcW w:w="540" w:type="dxa"/>
            <w:vAlign w:val="bottom"/>
          </w:tcPr>
          <w:p w14:paraId="21234ACB" w14:textId="77777777" w:rsidR="00D1587D" w:rsidRDefault="00D1587D">
            <w:pPr>
              <w:rPr>
                <w:sz w:val="20"/>
                <w:szCs w:val="20"/>
              </w:rPr>
            </w:pPr>
          </w:p>
        </w:tc>
        <w:tc>
          <w:tcPr>
            <w:tcW w:w="6320" w:type="dxa"/>
            <w:vAlign w:val="bottom"/>
          </w:tcPr>
          <w:p w14:paraId="61F91740" w14:textId="77777777" w:rsidR="00D1587D" w:rsidRDefault="00410D07">
            <w:pPr>
              <w:ind w:left="280"/>
              <w:rPr>
                <w:sz w:val="20"/>
                <w:szCs w:val="20"/>
              </w:rPr>
            </w:pPr>
            <w:r>
              <w:rPr>
                <w:rFonts w:ascii="Arial" w:eastAsia="Arial" w:hAnsi="Arial" w:cs="Arial"/>
                <w:sz w:val="18"/>
                <w:szCs w:val="18"/>
              </w:rPr>
              <w:t>market or economic conditions.</w:t>
            </w:r>
          </w:p>
        </w:tc>
      </w:tr>
      <w:tr w:rsidR="00D1587D" w14:paraId="047393B9" w14:textId="77777777">
        <w:trPr>
          <w:trHeight w:val="634"/>
        </w:trPr>
        <w:tc>
          <w:tcPr>
            <w:tcW w:w="2080" w:type="dxa"/>
            <w:gridSpan w:val="2"/>
            <w:vAlign w:val="bottom"/>
          </w:tcPr>
          <w:p w14:paraId="43A2337C" w14:textId="77777777" w:rsidR="00D1587D" w:rsidRDefault="00410D07">
            <w:pPr>
              <w:rPr>
                <w:sz w:val="20"/>
                <w:szCs w:val="20"/>
              </w:rPr>
            </w:pPr>
            <w:r>
              <w:rPr>
                <w:rFonts w:ascii="Arial" w:eastAsia="Arial" w:hAnsi="Arial" w:cs="Arial"/>
                <w:sz w:val="18"/>
                <w:szCs w:val="18"/>
              </w:rPr>
              <w:t>How We Addressed the</w:t>
            </w:r>
          </w:p>
        </w:tc>
        <w:tc>
          <w:tcPr>
            <w:tcW w:w="6320" w:type="dxa"/>
            <w:vAlign w:val="bottom"/>
          </w:tcPr>
          <w:p w14:paraId="409DE554" w14:textId="77777777" w:rsidR="00D1587D" w:rsidRDefault="00410D07">
            <w:pPr>
              <w:ind w:left="280"/>
              <w:rPr>
                <w:sz w:val="20"/>
                <w:szCs w:val="20"/>
              </w:rPr>
            </w:pPr>
            <w:r>
              <w:rPr>
                <w:rFonts w:ascii="Arial" w:eastAsia="Arial" w:hAnsi="Arial" w:cs="Arial"/>
                <w:w w:val="92"/>
                <w:sz w:val="18"/>
                <w:szCs w:val="18"/>
              </w:rPr>
              <w:t>We tested the design and operating effectiveness of controls over the Company’s</w:t>
            </w:r>
          </w:p>
        </w:tc>
      </w:tr>
      <w:tr w:rsidR="00D1587D" w14:paraId="2C3E757A" w14:textId="77777777">
        <w:trPr>
          <w:trHeight w:val="216"/>
        </w:trPr>
        <w:tc>
          <w:tcPr>
            <w:tcW w:w="2080" w:type="dxa"/>
            <w:gridSpan w:val="2"/>
            <w:vAlign w:val="bottom"/>
          </w:tcPr>
          <w:p w14:paraId="60F6C944" w14:textId="77777777" w:rsidR="00D1587D" w:rsidRDefault="00410D07">
            <w:pPr>
              <w:ind w:left="180"/>
              <w:rPr>
                <w:sz w:val="20"/>
                <w:szCs w:val="20"/>
              </w:rPr>
            </w:pPr>
            <w:r>
              <w:rPr>
                <w:rFonts w:ascii="Arial" w:eastAsia="Arial" w:hAnsi="Arial" w:cs="Arial"/>
                <w:sz w:val="18"/>
                <w:szCs w:val="18"/>
              </w:rPr>
              <w:t>Matter in Our Audit</w:t>
            </w:r>
          </w:p>
        </w:tc>
        <w:tc>
          <w:tcPr>
            <w:tcW w:w="6320" w:type="dxa"/>
            <w:vAlign w:val="bottom"/>
          </w:tcPr>
          <w:p w14:paraId="76942438" w14:textId="77777777" w:rsidR="00D1587D" w:rsidRDefault="00410D07">
            <w:pPr>
              <w:ind w:left="280"/>
              <w:rPr>
                <w:sz w:val="20"/>
                <w:szCs w:val="20"/>
              </w:rPr>
            </w:pPr>
            <w:r>
              <w:rPr>
                <w:rFonts w:ascii="Arial" w:eastAsia="Arial" w:hAnsi="Arial" w:cs="Arial"/>
                <w:w w:val="92"/>
                <w:sz w:val="18"/>
                <w:szCs w:val="18"/>
              </w:rPr>
              <w:t>process to identify impairment indicators, determine the undiscounted future cash</w:t>
            </w:r>
          </w:p>
        </w:tc>
      </w:tr>
      <w:tr w:rsidR="00D1587D" w14:paraId="5030EF03" w14:textId="77777777">
        <w:trPr>
          <w:trHeight w:val="216"/>
        </w:trPr>
        <w:tc>
          <w:tcPr>
            <w:tcW w:w="1540" w:type="dxa"/>
            <w:vAlign w:val="bottom"/>
          </w:tcPr>
          <w:p w14:paraId="732D89FB" w14:textId="77777777" w:rsidR="00D1587D" w:rsidRDefault="00D1587D">
            <w:pPr>
              <w:rPr>
                <w:sz w:val="18"/>
                <w:szCs w:val="18"/>
              </w:rPr>
            </w:pPr>
          </w:p>
        </w:tc>
        <w:tc>
          <w:tcPr>
            <w:tcW w:w="540" w:type="dxa"/>
            <w:vAlign w:val="bottom"/>
          </w:tcPr>
          <w:p w14:paraId="35135905" w14:textId="77777777" w:rsidR="00D1587D" w:rsidRDefault="00D1587D">
            <w:pPr>
              <w:rPr>
                <w:sz w:val="18"/>
                <w:szCs w:val="18"/>
              </w:rPr>
            </w:pPr>
          </w:p>
        </w:tc>
        <w:tc>
          <w:tcPr>
            <w:tcW w:w="6320" w:type="dxa"/>
            <w:vAlign w:val="bottom"/>
          </w:tcPr>
          <w:p w14:paraId="424AF1F4" w14:textId="77777777" w:rsidR="00D1587D" w:rsidRDefault="00410D07">
            <w:pPr>
              <w:ind w:left="280"/>
              <w:rPr>
                <w:sz w:val="20"/>
                <w:szCs w:val="20"/>
              </w:rPr>
            </w:pPr>
            <w:r>
              <w:rPr>
                <w:rFonts w:ascii="Arial" w:eastAsia="Arial" w:hAnsi="Arial" w:cs="Arial"/>
                <w:w w:val="93"/>
                <w:sz w:val="18"/>
                <w:szCs w:val="18"/>
              </w:rPr>
              <w:t>flows for the stores, and determine the fair value for those store assets (including</w:t>
            </w:r>
          </w:p>
        </w:tc>
      </w:tr>
      <w:tr w:rsidR="00D1587D" w14:paraId="13C1D4CF" w14:textId="77777777">
        <w:trPr>
          <w:trHeight w:val="216"/>
        </w:trPr>
        <w:tc>
          <w:tcPr>
            <w:tcW w:w="1540" w:type="dxa"/>
            <w:vAlign w:val="bottom"/>
          </w:tcPr>
          <w:p w14:paraId="004E29F9" w14:textId="77777777" w:rsidR="00D1587D" w:rsidRDefault="00D1587D">
            <w:pPr>
              <w:rPr>
                <w:sz w:val="18"/>
                <w:szCs w:val="18"/>
              </w:rPr>
            </w:pPr>
          </w:p>
        </w:tc>
        <w:tc>
          <w:tcPr>
            <w:tcW w:w="540" w:type="dxa"/>
            <w:vAlign w:val="bottom"/>
          </w:tcPr>
          <w:p w14:paraId="51ACEDCD" w14:textId="77777777" w:rsidR="00D1587D" w:rsidRDefault="00D1587D">
            <w:pPr>
              <w:rPr>
                <w:sz w:val="18"/>
                <w:szCs w:val="18"/>
              </w:rPr>
            </w:pPr>
          </w:p>
        </w:tc>
        <w:tc>
          <w:tcPr>
            <w:tcW w:w="6320" w:type="dxa"/>
            <w:vAlign w:val="bottom"/>
          </w:tcPr>
          <w:p w14:paraId="722BC217" w14:textId="77777777" w:rsidR="00D1587D" w:rsidRDefault="00410D07">
            <w:pPr>
              <w:ind w:left="280"/>
              <w:rPr>
                <w:sz w:val="20"/>
                <w:szCs w:val="20"/>
              </w:rPr>
            </w:pPr>
            <w:r>
              <w:rPr>
                <w:rFonts w:ascii="Arial" w:eastAsia="Arial" w:hAnsi="Arial" w:cs="Arial"/>
                <w:w w:val="95"/>
                <w:sz w:val="18"/>
                <w:szCs w:val="18"/>
              </w:rPr>
              <w:t xml:space="preserve">those related to operating leases) that were deemed to be </w:t>
            </w:r>
            <w:r>
              <w:rPr>
                <w:rFonts w:ascii="Arial" w:eastAsia="Arial" w:hAnsi="Arial" w:cs="Arial"/>
                <w:w w:val="95"/>
                <w:sz w:val="18"/>
                <w:szCs w:val="18"/>
              </w:rPr>
              <w:t>impaired. Our testing</w:t>
            </w:r>
          </w:p>
        </w:tc>
      </w:tr>
      <w:tr w:rsidR="00D1587D" w14:paraId="5AA1E8E0" w14:textId="77777777">
        <w:trPr>
          <w:trHeight w:val="216"/>
        </w:trPr>
        <w:tc>
          <w:tcPr>
            <w:tcW w:w="1540" w:type="dxa"/>
            <w:vAlign w:val="bottom"/>
          </w:tcPr>
          <w:p w14:paraId="0E0DC4C5" w14:textId="77777777" w:rsidR="00D1587D" w:rsidRDefault="00D1587D">
            <w:pPr>
              <w:rPr>
                <w:sz w:val="18"/>
                <w:szCs w:val="18"/>
              </w:rPr>
            </w:pPr>
          </w:p>
        </w:tc>
        <w:tc>
          <w:tcPr>
            <w:tcW w:w="540" w:type="dxa"/>
            <w:vAlign w:val="bottom"/>
          </w:tcPr>
          <w:p w14:paraId="41427C8D" w14:textId="77777777" w:rsidR="00D1587D" w:rsidRDefault="00D1587D">
            <w:pPr>
              <w:rPr>
                <w:sz w:val="18"/>
                <w:szCs w:val="18"/>
              </w:rPr>
            </w:pPr>
          </w:p>
        </w:tc>
        <w:tc>
          <w:tcPr>
            <w:tcW w:w="6320" w:type="dxa"/>
            <w:vAlign w:val="bottom"/>
          </w:tcPr>
          <w:p w14:paraId="2EB115E6" w14:textId="77777777" w:rsidR="00D1587D" w:rsidRDefault="00410D07">
            <w:pPr>
              <w:ind w:left="280"/>
              <w:rPr>
                <w:sz w:val="20"/>
                <w:szCs w:val="20"/>
              </w:rPr>
            </w:pPr>
            <w:r>
              <w:rPr>
                <w:rFonts w:ascii="Arial" w:eastAsia="Arial" w:hAnsi="Arial" w:cs="Arial"/>
                <w:sz w:val="18"/>
                <w:szCs w:val="18"/>
              </w:rPr>
              <w:t>included controls over management’s review of the significant assumptions</w:t>
            </w:r>
          </w:p>
        </w:tc>
      </w:tr>
      <w:tr w:rsidR="00D1587D" w14:paraId="7466FE4A" w14:textId="77777777">
        <w:trPr>
          <w:trHeight w:val="230"/>
        </w:trPr>
        <w:tc>
          <w:tcPr>
            <w:tcW w:w="1540" w:type="dxa"/>
            <w:vAlign w:val="bottom"/>
          </w:tcPr>
          <w:p w14:paraId="106FCECA" w14:textId="77777777" w:rsidR="00D1587D" w:rsidRDefault="00D1587D">
            <w:pPr>
              <w:rPr>
                <w:sz w:val="20"/>
                <w:szCs w:val="20"/>
              </w:rPr>
            </w:pPr>
          </w:p>
        </w:tc>
        <w:tc>
          <w:tcPr>
            <w:tcW w:w="540" w:type="dxa"/>
            <w:vAlign w:val="bottom"/>
          </w:tcPr>
          <w:p w14:paraId="2C5CE710" w14:textId="77777777" w:rsidR="00D1587D" w:rsidRDefault="00D1587D">
            <w:pPr>
              <w:rPr>
                <w:sz w:val="20"/>
                <w:szCs w:val="20"/>
              </w:rPr>
            </w:pPr>
          </w:p>
        </w:tc>
        <w:tc>
          <w:tcPr>
            <w:tcW w:w="6320" w:type="dxa"/>
            <w:vAlign w:val="bottom"/>
          </w:tcPr>
          <w:p w14:paraId="031915D3" w14:textId="77777777" w:rsidR="00D1587D" w:rsidRDefault="00410D07">
            <w:pPr>
              <w:ind w:left="280"/>
              <w:rPr>
                <w:sz w:val="20"/>
                <w:szCs w:val="20"/>
              </w:rPr>
            </w:pPr>
            <w:r>
              <w:rPr>
                <w:rFonts w:ascii="Arial" w:eastAsia="Arial" w:hAnsi="Arial" w:cs="Arial"/>
                <w:sz w:val="18"/>
                <w:szCs w:val="18"/>
              </w:rPr>
              <w:t>described above.</w:t>
            </w:r>
          </w:p>
        </w:tc>
      </w:tr>
    </w:tbl>
    <w:p w14:paraId="2E365765" w14:textId="77777777" w:rsidR="00D1587D" w:rsidRDefault="00D1587D">
      <w:pPr>
        <w:spacing w:line="200" w:lineRule="exact"/>
        <w:rPr>
          <w:sz w:val="20"/>
          <w:szCs w:val="20"/>
        </w:rPr>
      </w:pPr>
    </w:p>
    <w:p w14:paraId="75C3877E" w14:textId="77777777" w:rsidR="00D1587D" w:rsidRDefault="00D1587D">
      <w:pPr>
        <w:spacing w:line="218" w:lineRule="exact"/>
        <w:rPr>
          <w:sz w:val="20"/>
          <w:szCs w:val="20"/>
        </w:rPr>
      </w:pPr>
    </w:p>
    <w:p w14:paraId="6931E9C0" w14:textId="77777777" w:rsidR="00D1587D" w:rsidRDefault="00410D07">
      <w:pPr>
        <w:spacing w:line="287" w:lineRule="auto"/>
        <w:ind w:left="2660" w:right="359"/>
        <w:rPr>
          <w:sz w:val="20"/>
          <w:szCs w:val="20"/>
        </w:rPr>
      </w:pPr>
      <w:r>
        <w:rPr>
          <w:rFonts w:ascii="Arial" w:eastAsia="Arial" w:hAnsi="Arial" w:cs="Arial"/>
          <w:sz w:val="16"/>
          <w:szCs w:val="16"/>
        </w:rPr>
        <w:t xml:space="preserve">Our testing of the Company’s impairment measurement included, among other procedures, evaluating the significant </w:t>
      </w:r>
      <w:r>
        <w:rPr>
          <w:rFonts w:ascii="Arial" w:eastAsia="Arial" w:hAnsi="Arial" w:cs="Arial"/>
          <w:sz w:val="16"/>
          <w:szCs w:val="16"/>
        </w:rPr>
        <w:t xml:space="preserve">assumptions and operating data used to calculate the estimated future cash flows, as well as the estimated fair value. For example, we assessed the Company’s long-range plan that is developed by management and reviewed by the Board of Directors and serves </w:t>
      </w:r>
      <w:r>
        <w:rPr>
          <w:rFonts w:ascii="Arial" w:eastAsia="Arial" w:hAnsi="Arial" w:cs="Arial"/>
          <w:sz w:val="16"/>
          <w:szCs w:val="16"/>
        </w:rPr>
        <w:t>as the basis for the future cash flows in the analysis. We inquired of the Company’s executives to understand the underlying assumptions in the future cash flows and compared the future cash flows to the Company’s actual performance. We performed a sensiti</w:t>
      </w:r>
      <w:r>
        <w:rPr>
          <w:rFonts w:ascii="Arial" w:eastAsia="Arial" w:hAnsi="Arial" w:cs="Arial"/>
          <w:sz w:val="16"/>
          <w:szCs w:val="16"/>
        </w:rPr>
        <w:t>vity analysis on the significant assumptions to evaluate the changes in the fair value of the store assets that would result from changes in the assumptions. We also involved internal specialists to assist in testing the estimated market rental rates of th</w:t>
      </w:r>
      <w:r>
        <w:rPr>
          <w:rFonts w:ascii="Arial" w:eastAsia="Arial" w:hAnsi="Arial" w:cs="Arial"/>
          <w:sz w:val="16"/>
          <w:szCs w:val="16"/>
        </w:rPr>
        <w:t>e store leases by comparing them to market rates from comparable leases.</w:t>
      </w:r>
    </w:p>
    <w:p w14:paraId="3AE16A0E" w14:textId="77777777" w:rsidR="00D1587D" w:rsidRDefault="00D1587D">
      <w:pPr>
        <w:spacing w:line="73" w:lineRule="exact"/>
        <w:rPr>
          <w:sz w:val="20"/>
          <w:szCs w:val="20"/>
        </w:rPr>
      </w:pPr>
    </w:p>
    <w:p w14:paraId="74AE65DD" w14:textId="77777777" w:rsidR="00D1587D" w:rsidRDefault="00410D07">
      <w:pPr>
        <w:ind w:left="300"/>
        <w:rPr>
          <w:sz w:val="20"/>
          <w:szCs w:val="20"/>
        </w:rPr>
      </w:pPr>
      <w:r>
        <w:rPr>
          <w:rFonts w:ascii="Arial" w:eastAsia="Arial" w:hAnsi="Arial" w:cs="Arial"/>
          <w:sz w:val="18"/>
          <w:szCs w:val="18"/>
        </w:rPr>
        <w:t>/s/ Ernst &amp; Young LLP</w:t>
      </w:r>
    </w:p>
    <w:p w14:paraId="6186B3C3" w14:textId="77777777" w:rsidR="00D1587D" w:rsidRDefault="00D1587D">
      <w:pPr>
        <w:spacing w:line="23" w:lineRule="exact"/>
        <w:rPr>
          <w:sz w:val="20"/>
          <w:szCs w:val="20"/>
        </w:rPr>
      </w:pPr>
    </w:p>
    <w:p w14:paraId="07AB3003" w14:textId="77777777" w:rsidR="00D1587D" w:rsidRDefault="00410D07">
      <w:pPr>
        <w:ind w:left="300"/>
        <w:rPr>
          <w:sz w:val="20"/>
          <w:szCs w:val="20"/>
        </w:rPr>
      </w:pPr>
      <w:r>
        <w:rPr>
          <w:rFonts w:ascii="Arial" w:eastAsia="Arial" w:hAnsi="Arial" w:cs="Arial"/>
          <w:sz w:val="18"/>
          <w:szCs w:val="18"/>
        </w:rPr>
        <w:t>We have served as the Company’s auditor since 2020.</w:t>
      </w:r>
    </w:p>
    <w:p w14:paraId="4D5D9358" w14:textId="77777777" w:rsidR="00D1587D" w:rsidRDefault="00D1587D">
      <w:pPr>
        <w:spacing w:line="157" w:lineRule="exact"/>
        <w:rPr>
          <w:sz w:val="20"/>
          <w:szCs w:val="20"/>
        </w:rPr>
      </w:pPr>
    </w:p>
    <w:p w14:paraId="19EA6FE9" w14:textId="77777777" w:rsidR="00D1587D" w:rsidRDefault="00410D07">
      <w:pPr>
        <w:ind w:left="300"/>
        <w:rPr>
          <w:sz w:val="20"/>
          <w:szCs w:val="20"/>
        </w:rPr>
      </w:pPr>
      <w:r>
        <w:rPr>
          <w:rFonts w:ascii="Arial" w:eastAsia="Arial" w:hAnsi="Arial" w:cs="Arial"/>
          <w:sz w:val="18"/>
          <w:szCs w:val="18"/>
        </w:rPr>
        <w:t>Grandview Heights, Ohio</w:t>
      </w:r>
    </w:p>
    <w:p w14:paraId="51D4086C" w14:textId="77777777" w:rsidR="00D1587D" w:rsidRDefault="00D1587D">
      <w:pPr>
        <w:spacing w:line="23" w:lineRule="exact"/>
        <w:rPr>
          <w:sz w:val="20"/>
          <w:szCs w:val="20"/>
        </w:rPr>
      </w:pPr>
    </w:p>
    <w:p w14:paraId="4E53FBB6" w14:textId="77777777" w:rsidR="00D1587D" w:rsidRDefault="00410D07">
      <w:pPr>
        <w:ind w:left="300"/>
        <w:rPr>
          <w:sz w:val="20"/>
          <w:szCs w:val="20"/>
        </w:rPr>
      </w:pPr>
      <w:r>
        <w:rPr>
          <w:rFonts w:ascii="Arial" w:eastAsia="Arial" w:hAnsi="Arial" w:cs="Arial"/>
          <w:sz w:val="18"/>
          <w:szCs w:val="18"/>
        </w:rPr>
        <w:t>April 16, 2021</w:t>
      </w:r>
    </w:p>
    <w:p w14:paraId="06EC6537" w14:textId="77777777" w:rsidR="00D1587D" w:rsidRDefault="00D1587D">
      <w:pPr>
        <w:spacing w:line="211" w:lineRule="exact"/>
        <w:rPr>
          <w:sz w:val="20"/>
          <w:szCs w:val="20"/>
        </w:rPr>
      </w:pPr>
    </w:p>
    <w:p w14:paraId="35F39844" w14:textId="77777777" w:rsidR="00D1587D" w:rsidRDefault="00410D07">
      <w:pPr>
        <w:ind w:right="19"/>
        <w:jc w:val="center"/>
        <w:rPr>
          <w:sz w:val="20"/>
          <w:szCs w:val="20"/>
        </w:rPr>
      </w:pPr>
      <w:r>
        <w:rPr>
          <w:rFonts w:ascii="Arial" w:eastAsia="Arial" w:hAnsi="Arial" w:cs="Arial"/>
          <w:sz w:val="18"/>
          <w:szCs w:val="18"/>
        </w:rPr>
        <w:t>F-2</w:t>
      </w:r>
    </w:p>
    <w:p w14:paraId="5D2545C3" w14:textId="77777777" w:rsidR="00D1587D" w:rsidRDefault="00410D07">
      <w:pPr>
        <w:spacing w:line="20" w:lineRule="exact"/>
        <w:rPr>
          <w:sz w:val="20"/>
          <w:szCs w:val="20"/>
        </w:rPr>
      </w:pPr>
      <w:r>
        <w:rPr>
          <w:noProof/>
          <w:sz w:val="20"/>
          <w:szCs w:val="20"/>
        </w:rPr>
        <w:drawing>
          <wp:anchor distT="0" distB="0" distL="114300" distR="114300" simplePos="0" relativeHeight="251995136" behindDoc="1" locked="0" layoutInCell="0" allowOverlap="1" wp14:anchorId="3B053B6E" wp14:editId="52C5C5A0">
            <wp:simplePos x="0" y="0"/>
            <wp:positionH relativeFrom="column">
              <wp:posOffset>-636905</wp:posOffset>
            </wp:positionH>
            <wp:positionV relativeFrom="paragraph">
              <wp:posOffset>126365</wp:posOffset>
            </wp:positionV>
            <wp:extent cx="6995160" cy="17145"/>
            <wp:effectExtent l="0" t="0" r="0" b="0"/>
            <wp:wrapNone/>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9F23A9B" w14:textId="77777777" w:rsidR="00D1587D" w:rsidRDefault="00D1587D">
      <w:pPr>
        <w:sectPr w:rsidR="00D1587D">
          <w:pgSz w:w="11900" w:h="16838"/>
          <w:pgMar w:top="262" w:right="1440" w:bottom="1440" w:left="1440" w:header="0" w:footer="0" w:gutter="0"/>
          <w:cols w:space="720" w:equalWidth="0">
            <w:col w:w="9019"/>
          </w:cols>
        </w:sectPr>
      </w:pPr>
    </w:p>
    <w:bookmarkStart w:id="398" w:name="page399"/>
    <w:bookmarkEnd w:id="398"/>
    <w:p w14:paraId="5CBF344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E469909" w14:textId="77777777" w:rsidR="00D1587D" w:rsidRDefault="00D1587D">
      <w:pPr>
        <w:spacing w:line="127" w:lineRule="exact"/>
        <w:rPr>
          <w:sz w:val="20"/>
          <w:szCs w:val="20"/>
        </w:rPr>
      </w:pPr>
    </w:p>
    <w:p w14:paraId="6569BC0B"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245FE0AB" w14:textId="77777777" w:rsidR="00D1587D" w:rsidRDefault="00D1587D">
      <w:pPr>
        <w:spacing w:line="27" w:lineRule="exact"/>
        <w:rPr>
          <w:sz w:val="20"/>
          <w:szCs w:val="20"/>
        </w:rPr>
      </w:pPr>
    </w:p>
    <w:p w14:paraId="0D3ABE77" w14:textId="77777777" w:rsidR="00D1587D" w:rsidRDefault="00410D07">
      <w:pPr>
        <w:jc w:val="center"/>
        <w:rPr>
          <w:sz w:val="20"/>
          <w:szCs w:val="20"/>
        </w:rPr>
      </w:pPr>
      <w:r>
        <w:rPr>
          <w:rFonts w:ascii="Arial" w:eastAsia="Arial" w:hAnsi="Arial" w:cs="Arial"/>
          <w:b/>
          <w:bCs/>
          <w:sz w:val="18"/>
          <w:szCs w:val="18"/>
        </w:rPr>
        <w:t>COMBINED BALANCE SHEETS</w:t>
      </w:r>
    </w:p>
    <w:p w14:paraId="21A99381" w14:textId="77777777" w:rsidR="00D1587D" w:rsidRDefault="00D1587D">
      <w:pPr>
        <w:spacing w:line="207" w:lineRule="exact"/>
        <w:rPr>
          <w:sz w:val="20"/>
          <w:szCs w:val="20"/>
        </w:rPr>
      </w:pPr>
    </w:p>
    <w:p w14:paraId="018C7F27" w14:textId="77777777" w:rsidR="00D1587D" w:rsidRDefault="00410D07">
      <w:pPr>
        <w:jc w:val="center"/>
        <w:rPr>
          <w:sz w:val="20"/>
          <w:szCs w:val="20"/>
        </w:rPr>
      </w:pPr>
      <w:r>
        <w:rPr>
          <w:rFonts w:ascii="Arial" w:eastAsia="Arial" w:hAnsi="Arial" w:cs="Arial"/>
          <w:b/>
          <w:bCs/>
          <w:sz w:val="18"/>
          <w:szCs w:val="18"/>
        </w:rPr>
        <w:t>(in millions)</w:t>
      </w:r>
    </w:p>
    <w:p w14:paraId="05F6B2FE" w14:textId="77777777" w:rsidR="00D1587D" w:rsidRDefault="00D1587D">
      <w:pPr>
        <w:spacing w:line="181"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600"/>
        <w:gridCol w:w="120"/>
        <w:gridCol w:w="720"/>
        <w:gridCol w:w="220"/>
        <w:gridCol w:w="760"/>
      </w:tblGrid>
      <w:tr w:rsidR="00D1587D" w14:paraId="7FD14B88" w14:textId="77777777">
        <w:trPr>
          <w:trHeight w:val="161"/>
        </w:trPr>
        <w:tc>
          <w:tcPr>
            <w:tcW w:w="6600" w:type="dxa"/>
            <w:vAlign w:val="bottom"/>
          </w:tcPr>
          <w:p w14:paraId="643D7A1D" w14:textId="77777777" w:rsidR="00D1587D" w:rsidRDefault="00D1587D">
            <w:pPr>
              <w:rPr>
                <w:sz w:val="14"/>
                <w:szCs w:val="14"/>
              </w:rPr>
            </w:pPr>
          </w:p>
        </w:tc>
        <w:tc>
          <w:tcPr>
            <w:tcW w:w="120" w:type="dxa"/>
            <w:vAlign w:val="bottom"/>
          </w:tcPr>
          <w:p w14:paraId="25828695" w14:textId="77777777" w:rsidR="00D1587D" w:rsidRDefault="00D1587D">
            <w:pPr>
              <w:rPr>
                <w:sz w:val="14"/>
                <w:szCs w:val="14"/>
              </w:rPr>
            </w:pPr>
          </w:p>
        </w:tc>
        <w:tc>
          <w:tcPr>
            <w:tcW w:w="940" w:type="dxa"/>
            <w:gridSpan w:val="2"/>
            <w:vAlign w:val="bottom"/>
          </w:tcPr>
          <w:p w14:paraId="1B71C6C4" w14:textId="77777777" w:rsidR="00D1587D" w:rsidRDefault="00410D07">
            <w:pPr>
              <w:rPr>
                <w:sz w:val="20"/>
                <w:szCs w:val="20"/>
              </w:rPr>
            </w:pPr>
            <w:r>
              <w:rPr>
                <w:rFonts w:ascii="Arial" w:eastAsia="Arial" w:hAnsi="Arial" w:cs="Arial"/>
                <w:b/>
                <w:bCs/>
                <w:sz w:val="14"/>
                <w:szCs w:val="14"/>
              </w:rPr>
              <w:t>January 30,</w:t>
            </w:r>
          </w:p>
        </w:tc>
        <w:tc>
          <w:tcPr>
            <w:tcW w:w="760" w:type="dxa"/>
            <w:vAlign w:val="bottom"/>
          </w:tcPr>
          <w:p w14:paraId="76E30F5D" w14:textId="77777777" w:rsidR="00D1587D" w:rsidRDefault="00410D07">
            <w:pPr>
              <w:jc w:val="right"/>
              <w:rPr>
                <w:sz w:val="20"/>
                <w:szCs w:val="20"/>
              </w:rPr>
            </w:pPr>
            <w:r>
              <w:rPr>
                <w:rFonts w:ascii="Arial" w:eastAsia="Arial" w:hAnsi="Arial" w:cs="Arial"/>
                <w:b/>
                <w:bCs/>
                <w:w w:val="95"/>
                <w:sz w:val="14"/>
                <w:szCs w:val="14"/>
              </w:rPr>
              <w:t>February 1,</w:t>
            </w:r>
          </w:p>
        </w:tc>
      </w:tr>
      <w:tr w:rsidR="00D1587D" w14:paraId="6C32AFC9" w14:textId="77777777">
        <w:trPr>
          <w:trHeight w:val="186"/>
        </w:trPr>
        <w:tc>
          <w:tcPr>
            <w:tcW w:w="6600" w:type="dxa"/>
            <w:vAlign w:val="bottom"/>
          </w:tcPr>
          <w:p w14:paraId="1B4B9E37" w14:textId="77777777" w:rsidR="00D1587D" w:rsidRDefault="00D1587D">
            <w:pPr>
              <w:rPr>
                <w:sz w:val="16"/>
                <w:szCs w:val="16"/>
              </w:rPr>
            </w:pPr>
          </w:p>
        </w:tc>
        <w:tc>
          <w:tcPr>
            <w:tcW w:w="120" w:type="dxa"/>
            <w:vAlign w:val="bottom"/>
          </w:tcPr>
          <w:p w14:paraId="3F01568F" w14:textId="77777777" w:rsidR="00D1587D" w:rsidRDefault="00D1587D">
            <w:pPr>
              <w:rPr>
                <w:sz w:val="16"/>
                <w:szCs w:val="16"/>
              </w:rPr>
            </w:pPr>
          </w:p>
        </w:tc>
        <w:tc>
          <w:tcPr>
            <w:tcW w:w="720" w:type="dxa"/>
            <w:vAlign w:val="bottom"/>
          </w:tcPr>
          <w:p w14:paraId="316276BB" w14:textId="77777777" w:rsidR="00D1587D" w:rsidRDefault="00410D07">
            <w:pPr>
              <w:ind w:right="131"/>
              <w:jc w:val="right"/>
              <w:rPr>
                <w:sz w:val="20"/>
                <w:szCs w:val="20"/>
              </w:rPr>
            </w:pPr>
            <w:r>
              <w:rPr>
                <w:rFonts w:ascii="Arial" w:eastAsia="Arial" w:hAnsi="Arial" w:cs="Arial"/>
                <w:b/>
                <w:bCs/>
                <w:sz w:val="14"/>
                <w:szCs w:val="14"/>
              </w:rPr>
              <w:t>2021</w:t>
            </w:r>
          </w:p>
        </w:tc>
        <w:tc>
          <w:tcPr>
            <w:tcW w:w="220" w:type="dxa"/>
            <w:vAlign w:val="bottom"/>
          </w:tcPr>
          <w:p w14:paraId="2971A20D" w14:textId="77777777" w:rsidR="00D1587D" w:rsidRDefault="00D1587D">
            <w:pPr>
              <w:rPr>
                <w:sz w:val="16"/>
                <w:szCs w:val="16"/>
              </w:rPr>
            </w:pPr>
          </w:p>
        </w:tc>
        <w:tc>
          <w:tcPr>
            <w:tcW w:w="760" w:type="dxa"/>
            <w:vAlign w:val="bottom"/>
          </w:tcPr>
          <w:p w14:paraId="07629675" w14:textId="77777777" w:rsidR="00D1587D" w:rsidRDefault="00410D07">
            <w:pPr>
              <w:ind w:right="151"/>
              <w:jc w:val="right"/>
              <w:rPr>
                <w:sz w:val="20"/>
                <w:szCs w:val="20"/>
              </w:rPr>
            </w:pPr>
            <w:r>
              <w:rPr>
                <w:rFonts w:ascii="Arial" w:eastAsia="Arial" w:hAnsi="Arial" w:cs="Arial"/>
                <w:b/>
                <w:bCs/>
                <w:sz w:val="14"/>
                <w:szCs w:val="14"/>
              </w:rPr>
              <w:t>2020</w:t>
            </w:r>
          </w:p>
        </w:tc>
      </w:tr>
      <w:tr w:rsidR="00D1587D" w14:paraId="44D20BC4" w14:textId="77777777">
        <w:trPr>
          <w:trHeight w:val="53"/>
        </w:trPr>
        <w:tc>
          <w:tcPr>
            <w:tcW w:w="6600" w:type="dxa"/>
            <w:tcBorders>
              <w:bottom w:val="single" w:sz="8" w:space="0" w:color="CCEEFF"/>
            </w:tcBorders>
            <w:vAlign w:val="bottom"/>
          </w:tcPr>
          <w:p w14:paraId="6F8EB571" w14:textId="77777777" w:rsidR="00D1587D" w:rsidRDefault="00D1587D">
            <w:pPr>
              <w:rPr>
                <w:sz w:val="4"/>
                <w:szCs w:val="4"/>
              </w:rPr>
            </w:pPr>
          </w:p>
        </w:tc>
        <w:tc>
          <w:tcPr>
            <w:tcW w:w="120" w:type="dxa"/>
            <w:tcBorders>
              <w:bottom w:val="single" w:sz="8" w:space="0" w:color="CCEEFF"/>
            </w:tcBorders>
            <w:vAlign w:val="bottom"/>
          </w:tcPr>
          <w:p w14:paraId="50D3A0F8" w14:textId="77777777" w:rsidR="00D1587D" w:rsidRDefault="00D1587D">
            <w:pPr>
              <w:rPr>
                <w:sz w:val="4"/>
                <w:szCs w:val="4"/>
              </w:rPr>
            </w:pPr>
          </w:p>
        </w:tc>
        <w:tc>
          <w:tcPr>
            <w:tcW w:w="720" w:type="dxa"/>
            <w:tcBorders>
              <w:bottom w:val="single" w:sz="8" w:space="0" w:color="auto"/>
            </w:tcBorders>
            <w:vAlign w:val="bottom"/>
          </w:tcPr>
          <w:p w14:paraId="61D319BE" w14:textId="77777777" w:rsidR="00D1587D" w:rsidRDefault="00D1587D">
            <w:pPr>
              <w:rPr>
                <w:sz w:val="4"/>
                <w:szCs w:val="4"/>
              </w:rPr>
            </w:pPr>
          </w:p>
        </w:tc>
        <w:tc>
          <w:tcPr>
            <w:tcW w:w="220" w:type="dxa"/>
            <w:tcBorders>
              <w:bottom w:val="single" w:sz="8" w:space="0" w:color="auto"/>
            </w:tcBorders>
            <w:vAlign w:val="bottom"/>
          </w:tcPr>
          <w:p w14:paraId="7A8F6B15" w14:textId="77777777" w:rsidR="00D1587D" w:rsidRDefault="00D1587D">
            <w:pPr>
              <w:rPr>
                <w:sz w:val="4"/>
                <w:szCs w:val="4"/>
              </w:rPr>
            </w:pPr>
          </w:p>
        </w:tc>
        <w:tc>
          <w:tcPr>
            <w:tcW w:w="760" w:type="dxa"/>
            <w:tcBorders>
              <w:bottom w:val="single" w:sz="8" w:space="0" w:color="auto"/>
            </w:tcBorders>
            <w:vAlign w:val="bottom"/>
          </w:tcPr>
          <w:p w14:paraId="6B0BF565" w14:textId="77777777" w:rsidR="00D1587D" w:rsidRDefault="00D1587D">
            <w:pPr>
              <w:rPr>
                <w:sz w:val="4"/>
                <w:szCs w:val="4"/>
              </w:rPr>
            </w:pPr>
          </w:p>
        </w:tc>
      </w:tr>
      <w:tr w:rsidR="00D1587D" w14:paraId="3BCDEA99" w14:textId="77777777">
        <w:trPr>
          <w:trHeight w:val="331"/>
        </w:trPr>
        <w:tc>
          <w:tcPr>
            <w:tcW w:w="6600" w:type="dxa"/>
            <w:shd w:val="clear" w:color="auto" w:fill="CCEEFF"/>
            <w:vAlign w:val="bottom"/>
          </w:tcPr>
          <w:p w14:paraId="491A4395" w14:textId="77777777" w:rsidR="00D1587D" w:rsidRDefault="00D1587D">
            <w:pPr>
              <w:rPr>
                <w:sz w:val="24"/>
                <w:szCs w:val="24"/>
              </w:rPr>
            </w:pPr>
          </w:p>
        </w:tc>
        <w:tc>
          <w:tcPr>
            <w:tcW w:w="120" w:type="dxa"/>
            <w:shd w:val="clear" w:color="auto" w:fill="CCEEFF"/>
            <w:vAlign w:val="bottom"/>
          </w:tcPr>
          <w:p w14:paraId="0F9F7BC1" w14:textId="77777777" w:rsidR="00D1587D" w:rsidRDefault="00D1587D">
            <w:pPr>
              <w:rPr>
                <w:sz w:val="24"/>
                <w:szCs w:val="24"/>
              </w:rPr>
            </w:pPr>
          </w:p>
        </w:tc>
        <w:tc>
          <w:tcPr>
            <w:tcW w:w="720" w:type="dxa"/>
            <w:shd w:val="clear" w:color="auto" w:fill="CCEEFF"/>
            <w:vAlign w:val="bottom"/>
          </w:tcPr>
          <w:p w14:paraId="745B5FAB" w14:textId="77777777" w:rsidR="00D1587D" w:rsidRDefault="00D1587D">
            <w:pPr>
              <w:rPr>
                <w:sz w:val="24"/>
                <w:szCs w:val="24"/>
              </w:rPr>
            </w:pPr>
          </w:p>
        </w:tc>
        <w:tc>
          <w:tcPr>
            <w:tcW w:w="220" w:type="dxa"/>
            <w:shd w:val="clear" w:color="auto" w:fill="CCEEFF"/>
            <w:vAlign w:val="bottom"/>
          </w:tcPr>
          <w:p w14:paraId="70722B0A" w14:textId="77777777" w:rsidR="00D1587D" w:rsidRDefault="00D1587D">
            <w:pPr>
              <w:rPr>
                <w:sz w:val="24"/>
                <w:szCs w:val="24"/>
              </w:rPr>
            </w:pPr>
          </w:p>
        </w:tc>
        <w:tc>
          <w:tcPr>
            <w:tcW w:w="760" w:type="dxa"/>
            <w:shd w:val="clear" w:color="auto" w:fill="CCEEFF"/>
            <w:vAlign w:val="bottom"/>
          </w:tcPr>
          <w:p w14:paraId="66EA0BA7" w14:textId="77777777" w:rsidR="00D1587D" w:rsidRDefault="00D1587D">
            <w:pPr>
              <w:rPr>
                <w:sz w:val="24"/>
                <w:szCs w:val="24"/>
              </w:rPr>
            </w:pPr>
          </w:p>
        </w:tc>
      </w:tr>
      <w:tr w:rsidR="00D1587D" w14:paraId="32920683" w14:textId="77777777">
        <w:trPr>
          <w:trHeight w:val="270"/>
        </w:trPr>
        <w:tc>
          <w:tcPr>
            <w:tcW w:w="6720" w:type="dxa"/>
            <w:gridSpan w:val="2"/>
            <w:vAlign w:val="bottom"/>
          </w:tcPr>
          <w:p w14:paraId="65ADBCC2" w14:textId="77777777" w:rsidR="00D1587D" w:rsidRDefault="00410D07">
            <w:pPr>
              <w:rPr>
                <w:sz w:val="20"/>
                <w:szCs w:val="20"/>
              </w:rPr>
            </w:pPr>
            <w:r>
              <w:rPr>
                <w:rFonts w:ascii="Arial" w:eastAsia="Arial" w:hAnsi="Arial" w:cs="Arial"/>
                <w:b/>
                <w:bCs/>
                <w:sz w:val="18"/>
                <w:szCs w:val="18"/>
              </w:rPr>
              <w:t>ASSETS</w:t>
            </w:r>
          </w:p>
        </w:tc>
        <w:tc>
          <w:tcPr>
            <w:tcW w:w="720" w:type="dxa"/>
            <w:vAlign w:val="bottom"/>
          </w:tcPr>
          <w:p w14:paraId="552F3BC3" w14:textId="77777777" w:rsidR="00D1587D" w:rsidRDefault="00D1587D">
            <w:pPr>
              <w:rPr>
                <w:sz w:val="23"/>
                <w:szCs w:val="23"/>
              </w:rPr>
            </w:pPr>
          </w:p>
        </w:tc>
        <w:tc>
          <w:tcPr>
            <w:tcW w:w="220" w:type="dxa"/>
            <w:vAlign w:val="bottom"/>
          </w:tcPr>
          <w:p w14:paraId="10148727" w14:textId="77777777" w:rsidR="00D1587D" w:rsidRDefault="00D1587D">
            <w:pPr>
              <w:rPr>
                <w:sz w:val="23"/>
                <w:szCs w:val="23"/>
              </w:rPr>
            </w:pPr>
          </w:p>
        </w:tc>
        <w:tc>
          <w:tcPr>
            <w:tcW w:w="760" w:type="dxa"/>
            <w:vAlign w:val="bottom"/>
          </w:tcPr>
          <w:p w14:paraId="7E919870" w14:textId="77777777" w:rsidR="00D1587D" w:rsidRDefault="00D1587D">
            <w:pPr>
              <w:rPr>
                <w:sz w:val="23"/>
                <w:szCs w:val="23"/>
              </w:rPr>
            </w:pPr>
          </w:p>
        </w:tc>
      </w:tr>
      <w:tr w:rsidR="00D1587D" w14:paraId="03232FEA" w14:textId="77777777">
        <w:trPr>
          <w:trHeight w:val="54"/>
        </w:trPr>
        <w:tc>
          <w:tcPr>
            <w:tcW w:w="6600" w:type="dxa"/>
            <w:vAlign w:val="bottom"/>
          </w:tcPr>
          <w:p w14:paraId="271092F4" w14:textId="77777777" w:rsidR="00D1587D" w:rsidRDefault="00D1587D">
            <w:pPr>
              <w:rPr>
                <w:sz w:val="4"/>
                <w:szCs w:val="4"/>
              </w:rPr>
            </w:pPr>
          </w:p>
        </w:tc>
        <w:tc>
          <w:tcPr>
            <w:tcW w:w="120" w:type="dxa"/>
            <w:vAlign w:val="bottom"/>
          </w:tcPr>
          <w:p w14:paraId="41E2596E" w14:textId="77777777" w:rsidR="00D1587D" w:rsidRDefault="00D1587D">
            <w:pPr>
              <w:rPr>
                <w:sz w:val="4"/>
                <w:szCs w:val="4"/>
              </w:rPr>
            </w:pPr>
          </w:p>
        </w:tc>
        <w:tc>
          <w:tcPr>
            <w:tcW w:w="720" w:type="dxa"/>
            <w:vAlign w:val="bottom"/>
          </w:tcPr>
          <w:p w14:paraId="238DB30B" w14:textId="77777777" w:rsidR="00D1587D" w:rsidRDefault="00D1587D">
            <w:pPr>
              <w:rPr>
                <w:sz w:val="4"/>
                <w:szCs w:val="4"/>
              </w:rPr>
            </w:pPr>
          </w:p>
        </w:tc>
        <w:tc>
          <w:tcPr>
            <w:tcW w:w="220" w:type="dxa"/>
            <w:vAlign w:val="bottom"/>
          </w:tcPr>
          <w:p w14:paraId="0E1A7DEC" w14:textId="77777777" w:rsidR="00D1587D" w:rsidRDefault="00D1587D">
            <w:pPr>
              <w:rPr>
                <w:sz w:val="4"/>
                <w:szCs w:val="4"/>
              </w:rPr>
            </w:pPr>
          </w:p>
        </w:tc>
        <w:tc>
          <w:tcPr>
            <w:tcW w:w="760" w:type="dxa"/>
            <w:vAlign w:val="bottom"/>
          </w:tcPr>
          <w:p w14:paraId="295D80CE" w14:textId="77777777" w:rsidR="00D1587D" w:rsidRDefault="00D1587D">
            <w:pPr>
              <w:rPr>
                <w:sz w:val="4"/>
                <w:szCs w:val="4"/>
              </w:rPr>
            </w:pPr>
          </w:p>
        </w:tc>
      </w:tr>
      <w:tr w:rsidR="00D1587D" w14:paraId="2B274B70" w14:textId="77777777">
        <w:trPr>
          <w:trHeight w:val="304"/>
        </w:trPr>
        <w:tc>
          <w:tcPr>
            <w:tcW w:w="6720" w:type="dxa"/>
            <w:gridSpan w:val="2"/>
            <w:tcBorders>
              <w:bottom w:val="single" w:sz="8" w:space="0" w:color="CCEEFF"/>
            </w:tcBorders>
            <w:shd w:val="clear" w:color="auto" w:fill="CCEEFF"/>
            <w:vAlign w:val="bottom"/>
          </w:tcPr>
          <w:p w14:paraId="77F1C5A6" w14:textId="77777777" w:rsidR="00D1587D" w:rsidRDefault="00410D07">
            <w:pPr>
              <w:rPr>
                <w:sz w:val="20"/>
                <w:szCs w:val="20"/>
              </w:rPr>
            </w:pPr>
            <w:r>
              <w:rPr>
                <w:rFonts w:ascii="Arial" w:eastAsia="Arial" w:hAnsi="Arial" w:cs="Arial"/>
                <w:b/>
                <w:bCs/>
                <w:sz w:val="18"/>
                <w:szCs w:val="18"/>
              </w:rPr>
              <w:t>Current Assets:</w:t>
            </w:r>
          </w:p>
        </w:tc>
        <w:tc>
          <w:tcPr>
            <w:tcW w:w="720" w:type="dxa"/>
            <w:tcBorders>
              <w:bottom w:val="single" w:sz="8" w:space="0" w:color="CCEEFF"/>
            </w:tcBorders>
            <w:shd w:val="clear" w:color="auto" w:fill="CCEEFF"/>
            <w:vAlign w:val="bottom"/>
          </w:tcPr>
          <w:p w14:paraId="11386081" w14:textId="77777777" w:rsidR="00D1587D" w:rsidRDefault="00D1587D">
            <w:pPr>
              <w:rPr>
                <w:sz w:val="24"/>
                <w:szCs w:val="24"/>
              </w:rPr>
            </w:pPr>
          </w:p>
        </w:tc>
        <w:tc>
          <w:tcPr>
            <w:tcW w:w="220" w:type="dxa"/>
            <w:tcBorders>
              <w:bottom w:val="single" w:sz="8" w:space="0" w:color="CCEEFF"/>
            </w:tcBorders>
            <w:shd w:val="clear" w:color="auto" w:fill="CCEEFF"/>
            <w:vAlign w:val="bottom"/>
          </w:tcPr>
          <w:p w14:paraId="3ADAEE55" w14:textId="77777777" w:rsidR="00D1587D" w:rsidRDefault="00D1587D">
            <w:pPr>
              <w:rPr>
                <w:sz w:val="24"/>
                <w:szCs w:val="24"/>
              </w:rPr>
            </w:pPr>
          </w:p>
        </w:tc>
        <w:tc>
          <w:tcPr>
            <w:tcW w:w="760" w:type="dxa"/>
            <w:tcBorders>
              <w:bottom w:val="single" w:sz="8" w:space="0" w:color="CCEEFF"/>
            </w:tcBorders>
            <w:shd w:val="clear" w:color="auto" w:fill="CCEEFF"/>
            <w:vAlign w:val="bottom"/>
          </w:tcPr>
          <w:p w14:paraId="7BF618EE" w14:textId="77777777" w:rsidR="00D1587D" w:rsidRDefault="00D1587D">
            <w:pPr>
              <w:rPr>
                <w:sz w:val="24"/>
                <w:szCs w:val="24"/>
              </w:rPr>
            </w:pPr>
          </w:p>
        </w:tc>
      </w:tr>
      <w:tr w:rsidR="00D1587D" w14:paraId="519EF6C2" w14:textId="77777777">
        <w:trPr>
          <w:trHeight w:val="270"/>
        </w:trPr>
        <w:tc>
          <w:tcPr>
            <w:tcW w:w="6720" w:type="dxa"/>
            <w:gridSpan w:val="2"/>
            <w:vAlign w:val="bottom"/>
          </w:tcPr>
          <w:p w14:paraId="1D85CD99" w14:textId="77777777" w:rsidR="00D1587D" w:rsidRDefault="00410D07">
            <w:pPr>
              <w:ind w:left="180"/>
              <w:rPr>
                <w:sz w:val="20"/>
                <w:szCs w:val="20"/>
              </w:rPr>
            </w:pPr>
            <w:r>
              <w:rPr>
                <w:rFonts w:ascii="Arial" w:eastAsia="Arial" w:hAnsi="Arial" w:cs="Arial"/>
                <w:sz w:val="18"/>
                <w:szCs w:val="18"/>
              </w:rPr>
              <w:t xml:space="preserve">Cash and Cash </w:t>
            </w:r>
            <w:r>
              <w:rPr>
                <w:rFonts w:ascii="Arial" w:eastAsia="Arial" w:hAnsi="Arial" w:cs="Arial"/>
                <w:sz w:val="18"/>
                <w:szCs w:val="18"/>
              </w:rPr>
              <w:t>Equivalents</w:t>
            </w:r>
          </w:p>
        </w:tc>
        <w:tc>
          <w:tcPr>
            <w:tcW w:w="720" w:type="dxa"/>
            <w:vAlign w:val="bottom"/>
          </w:tcPr>
          <w:p w14:paraId="312D2C1E" w14:textId="77777777" w:rsidR="00D1587D" w:rsidRDefault="00410D07">
            <w:pPr>
              <w:ind w:right="11"/>
              <w:jc w:val="right"/>
              <w:rPr>
                <w:sz w:val="20"/>
                <w:szCs w:val="20"/>
              </w:rPr>
            </w:pPr>
            <w:r>
              <w:rPr>
                <w:rFonts w:ascii="Arial" w:eastAsia="Arial" w:hAnsi="Arial" w:cs="Arial"/>
                <w:sz w:val="18"/>
                <w:szCs w:val="18"/>
              </w:rPr>
              <w:t>$  335</w:t>
            </w:r>
          </w:p>
        </w:tc>
        <w:tc>
          <w:tcPr>
            <w:tcW w:w="220" w:type="dxa"/>
            <w:vAlign w:val="bottom"/>
          </w:tcPr>
          <w:p w14:paraId="2D0243F4" w14:textId="77777777" w:rsidR="00D1587D" w:rsidRDefault="00D1587D">
            <w:pPr>
              <w:rPr>
                <w:sz w:val="23"/>
                <w:szCs w:val="23"/>
              </w:rPr>
            </w:pPr>
          </w:p>
        </w:tc>
        <w:tc>
          <w:tcPr>
            <w:tcW w:w="760" w:type="dxa"/>
            <w:vAlign w:val="bottom"/>
          </w:tcPr>
          <w:p w14:paraId="4AF5C54D" w14:textId="77777777" w:rsidR="00D1587D" w:rsidRDefault="00410D07">
            <w:pPr>
              <w:ind w:right="51"/>
              <w:jc w:val="right"/>
              <w:rPr>
                <w:sz w:val="20"/>
                <w:szCs w:val="20"/>
              </w:rPr>
            </w:pPr>
            <w:r>
              <w:rPr>
                <w:rFonts w:ascii="Arial" w:eastAsia="Arial" w:hAnsi="Arial" w:cs="Arial"/>
                <w:sz w:val="18"/>
                <w:szCs w:val="18"/>
              </w:rPr>
              <w:t>$  245</w:t>
            </w:r>
          </w:p>
        </w:tc>
      </w:tr>
      <w:tr w:rsidR="00D1587D" w14:paraId="3B705472" w14:textId="77777777">
        <w:trPr>
          <w:trHeight w:val="54"/>
        </w:trPr>
        <w:tc>
          <w:tcPr>
            <w:tcW w:w="6600" w:type="dxa"/>
            <w:vAlign w:val="bottom"/>
          </w:tcPr>
          <w:p w14:paraId="5A6D5DDF" w14:textId="77777777" w:rsidR="00D1587D" w:rsidRDefault="00D1587D">
            <w:pPr>
              <w:rPr>
                <w:sz w:val="4"/>
                <w:szCs w:val="4"/>
              </w:rPr>
            </w:pPr>
          </w:p>
        </w:tc>
        <w:tc>
          <w:tcPr>
            <w:tcW w:w="120" w:type="dxa"/>
            <w:vAlign w:val="bottom"/>
          </w:tcPr>
          <w:p w14:paraId="30B71558" w14:textId="77777777" w:rsidR="00D1587D" w:rsidRDefault="00D1587D">
            <w:pPr>
              <w:rPr>
                <w:sz w:val="4"/>
                <w:szCs w:val="4"/>
              </w:rPr>
            </w:pPr>
          </w:p>
        </w:tc>
        <w:tc>
          <w:tcPr>
            <w:tcW w:w="720" w:type="dxa"/>
            <w:vAlign w:val="bottom"/>
          </w:tcPr>
          <w:p w14:paraId="7ABAA8EE" w14:textId="77777777" w:rsidR="00D1587D" w:rsidRDefault="00D1587D">
            <w:pPr>
              <w:rPr>
                <w:sz w:val="4"/>
                <w:szCs w:val="4"/>
              </w:rPr>
            </w:pPr>
          </w:p>
        </w:tc>
        <w:tc>
          <w:tcPr>
            <w:tcW w:w="220" w:type="dxa"/>
            <w:vAlign w:val="bottom"/>
          </w:tcPr>
          <w:p w14:paraId="65EFBC1A" w14:textId="77777777" w:rsidR="00D1587D" w:rsidRDefault="00D1587D">
            <w:pPr>
              <w:rPr>
                <w:sz w:val="4"/>
                <w:szCs w:val="4"/>
              </w:rPr>
            </w:pPr>
          </w:p>
        </w:tc>
        <w:tc>
          <w:tcPr>
            <w:tcW w:w="760" w:type="dxa"/>
            <w:vAlign w:val="bottom"/>
          </w:tcPr>
          <w:p w14:paraId="39102536" w14:textId="77777777" w:rsidR="00D1587D" w:rsidRDefault="00D1587D">
            <w:pPr>
              <w:rPr>
                <w:sz w:val="4"/>
                <w:szCs w:val="4"/>
              </w:rPr>
            </w:pPr>
          </w:p>
        </w:tc>
      </w:tr>
      <w:tr w:rsidR="00D1587D" w14:paraId="2A8827D1" w14:textId="77777777">
        <w:trPr>
          <w:trHeight w:val="304"/>
        </w:trPr>
        <w:tc>
          <w:tcPr>
            <w:tcW w:w="6720" w:type="dxa"/>
            <w:gridSpan w:val="2"/>
            <w:tcBorders>
              <w:bottom w:val="single" w:sz="8" w:space="0" w:color="CCEEFF"/>
            </w:tcBorders>
            <w:shd w:val="clear" w:color="auto" w:fill="CCEEFF"/>
            <w:vAlign w:val="bottom"/>
          </w:tcPr>
          <w:p w14:paraId="5F646C5C" w14:textId="77777777" w:rsidR="00D1587D" w:rsidRDefault="00410D07">
            <w:pPr>
              <w:ind w:left="180"/>
              <w:rPr>
                <w:sz w:val="20"/>
                <w:szCs w:val="20"/>
              </w:rPr>
            </w:pPr>
            <w:r>
              <w:rPr>
                <w:rFonts w:ascii="Arial" w:eastAsia="Arial" w:hAnsi="Arial" w:cs="Arial"/>
                <w:sz w:val="18"/>
                <w:szCs w:val="18"/>
              </w:rPr>
              <w:t>Accounts Receivable, Net</w:t>
            </w:r>
          </w:p>
        </w:tc>
        <w:tc>
          <w:tcPr>
            <w:tcW w:w="720" w:type="dxa"/>
            <w:tcBorders>
              <w:bottom w:val="single" w:sz="8" w:space="0" w:color="CCEEFF"/>
            </w:tcBorders>
            <w:shd w:val="clear" w:color="auto" w:fill="CCEEFF"/>
            <w:vAlign w:val="bottom"/>
          </w:tcPr>
          <w:p w14:paraId="2A9DE22F" w14:textId="77777777" w:rsidR="00D1587D" w:rsidRDefault="00410D07">
            <w:pPr>
              <w:ind w:right="31"/>
              <w:jc w:val="right"/>
              <w:rPr>
                <w:sz w:val="20"/>
                <w:szCs w:val="20"/>
              </w:rPr>
            </w:pPr>
            <w:r>
              <w:rPr>
                <w:rFonts w:ascii="Arial" w:eastAsia="Arial" w:hAnsi="Arial" w:cs="Arial"/>
                <w:sz w:val="18"/>
                <w:szCs w:val="18"/>
              </w:rPr>
              <w:t>121</w:t>
            </w:r>
          </w:p>
        </w:tc>
        <w:tc>
          <w:tcPr>
            <w:tcW w:w="220" w:type="dxa"/>
            <w:tcBorders>
              <w:bottom w:val="single" w:sz="8" w:space="0" w:color="CCEEFF"/>
            </w:tcBorders>
            <w:shd w:val="clear" w:color="auto" w:fill="CCEEFF"/>
            <w:vAlign w:val="bottom"/>
          </w:tcPr>
          <w:p w14:paraId="05FAF9F9" w14:textId="77777777" w:rsidR="00D1587D" w:rsidRDefault="00D1587D">
            <w:pPr>
              <w:rPr>
                <w:sz w:val="24"/>
                <w:szCs w:val="24"/>
              </w:rPr>
            </w:pPr>
          </w:p>
        </w:tc>
        <w:tc>
          <w:tcPr>
            <w:tcW w:w="760" w:type="dxa"/>
            <w:tcBorders>
              <w:bottom w:val="single" w:sz="8" w:space="0" w:color="CCEEFF"/>
            </w:tcBorders>
            <w:shd w:val="clear" w:color="auto" w:fill="CCEEFF"/>
            <w:vAlign w:val="bottom"/>
          </w:tcPr>
          <w:p w14:paraId="08547138" w14:textId="77777777" w:rsidR="00D1587D" w:rsidRDefault="00410D07">
            <w:pPr>
              <w:ind w:right="71"/>
              <w:jc w:val="right"/>
              <w:rPr>
                <w:sz w:val="20"/>
                <w:szCs w:val="20"/>
              </w:rPr>
            </w:pPr>
            <w:r>
              <w:rPr>
                <w:rFonts w:ascii="Arial" w:eastAsia="Arial" w:hAnsi="Arial" w:cs="Arial"/>
                <w:sz w:val="18"/>
                <w:szCs w:val="18"/>
              </w:rPr>
              <w:t>157</w:t>
            </w:r>
          </w:p>
        </w:tc>
      </w:tr>
      <w:tr w:rsidR="00D1587D" w14:paraId="6126B7AD" w14:textId="77777777">
        <w:trPr>
          <w:trHeight w:val="270"/>
        </w:trPr>
        <w:tc>
          <w:tcPr>
            <w:tcW w:w="6720" w:type="dxa"/>
            <w:gridSpan w:val="2"/>
            <w:vAlign w:val="bottom"/>
          </w:tcPr>
          <w:p w14:paraId="446C58CA" w14:textId="77777777" w:rsidR="00D1587D" w:rsidRDefault="00410D07">
            <w:pPr>
              <w:ind w:left="180"/>
              <w:rPr>
                <w:sz w:val="20"/>
                <w:szCs w:val="20"/>
              </w:rPr>
            </w:pPr>
            <w:r>
              <w:rPr>
                <w:rFonts w:ascii="Arial" w:eastAsia="Arial" w:hAnsi="Arial" w:cs="Arial"/>
                <w:sz w:val="18"/>
                <w:szCs w:val="18"/>
              </w:rPr>
              <w:t>Inventories</w:t>
            </w:r>
          </w:p>
        </w:tc>
        <w:tc>
          <w:tcPr>
            <w:tcW w:w="720" w:type="dxa"/>
            <w:vAlign w:val="bottom"/>
          </w:tcPr>
          <w:p w14:paraId="0B970B63" w14:textId="77777777" w:rsidR="00D1587D" w:rsidRDefault="00410D07">
            <w:pPr>
              <w:ind w:right="31"/>
              <w:jc w:val="right"/>
              <w:rPr>
                <w:sz w:val="20"/>
                <w:szCs w:val="20"/>
              </w:rPr>
            </w:pPr>
            <w:r>
              <w:rPr>
                <w:rFonts w:ascii="Arial" w:eastAsia="Arial" w:hAnsi="Arial" w:cs="Arial"/>
                <w:sz w:val="18"/>
                <w:szCs w:val="18"/>
              </w:rPr>
              <w:t>701</w:t>
            </w:r>
          </w:p>
        </w:tc>
        <w:tc>
          <w:tcPr>
            <w:tcW w:w="220" w:type="dxa"/>
            <w:vAlign w:val="bottom"/>
          </w:tcPr>
          <w:p w14:paraId="3C9C8BD0" w14:textId="77777777" w:rsidR="00D1587D" w:rsidRDefault="00D1587D">
            <w:pPr>
              <w:rPr>
                <w:sz w:val="23"/>
                <w:szCs w:val="23"/>
              </w:rPr>
            </w:pPr>
          </w:p>
        </w:tc>
        <w:tc>
          <w:tcPr>
            <w:tcW w:w="760" w:type="dxa"/>
            <w:vAlign w:val="bottom"/>
          </w:tcPr>
          <w:p w14:paraId="5CAC82E7" w14:textId="77777777" w:rsidR="00D1587D" w:rsidRDefault="00410D07">
            <w:pPr>
              <w:ind w:right="71"/>
              <w:jc w:val="right"/>
              <w:rPr>
                <w:sz w:val="20"/>
                <w:szCs w:val="20"/>
              </w:rPr>
            </w:pPr>
            <w:r>
              <w:rPr>
                <w:rFonts w:ascii="Arial" w:eastAsia="Arial" w:hAnsi="Arial" w:cs="Arial"/>
                <w:sz w:val="18"/>
                <w:szCs w:val="18"/>
              </w:rPr>
              <w:t>855</w:t>
            </w:r>
          </w:p>
        </w:tc>
      </w:tr>
      <w:tr w:rsidR="00D1587D" w14:paraId="06395066" w14:textId="77777777">
        <w:trPr>
          <w:trHeight w:val="54"/>
        </w:trPr>
        <w:tc>
          <w:tcPr>
            <w:tcW w:w="6600" w:type="dxa"/>
            <w:vAlign w:val="bottom"/>
          </w:tcPr>
          <w:p w14:paraId="256146EF" w14:textId="77777777" w:rsidR="00D1587D" w:rsidRDefault="00D1587D">
            <w:pPr>
              <w:rPr>
                <w:sz w:val="4"/>
                <w:szCs w:val="4"/>
              </w:rPr>
            </w:pPr>
          </w:p>
        </w:tc>
        <w:tc>
          <w:tcPr>
            <w:tcW w:w="120" w:type="dxa"/>
            <w:vAlign w:val="bottom"/>
          </w:tcPr>
          <w:p w14:paraId="1FEB058F" w14:textId="77777777" w:rsidR="00D1587D" w:rsidRDefault="00D1587D">
            <w:pPr>
              <w:rPr>
                <w:sz w:val="4"/>
                <w:szCs w:val="4"/>
              </w:rPr>
            </w:pPr>
          </w:p>
        </w:tc>
        <w:tc>
          <w:tcPr>
            <w:tcW w:w="720" w:type="dxa"/>
            <w:vAlign w:val="bottom"/>
          </w:tcPr>
          <w:p w14:paraId="16410469" w14:textId="77777777" w:rsidR="00D1587D" w:rsidRDefault="00D1587D">
            <w:pPr>
              <w:rPr>
                <w:sz w:val="4"/>
                <w:szCs w:val="4"/>
              </w:rPr>
            </w:pPr>
          </w:p>
        </w:tc>
        <w:tc>
          <w:tcPr>
            <w:tcW w:w="220" w:type="dxa"/>
            <w:vAlign w:val="bottom"/>
          </w:tcPr>
          <w:p w14:paraId="5752F23B" w14:textId="77777777" w:rsidR="00D1587D" w:rsidRDefault="00D1587D">
            <w:pPr>
              <w:rPr>
                <w:sz w:val="4"/>
                <w:szCs w:val="4"/>
              </w:rPr>
            </w:pPr>
          </w:p>
        </w:tc>
        <w:tc>
          <w:tcPr>
            <w:tcW w:w="760" w:type="dxa"/>
            <w:vAlign w:val="bottom"/>
          </w:tcPr>
          <w:p w14:paraId="2423A338" w14:textId="77777777" w:rsidR="00D1587D" w:rsidRDefault="00D1587D">
            <w:pPr>
              <w:rPr>
                <w:sz w:val="4"/>
                <w:szCs w:val="4"/>
              </w:rPr>
            </w:pPr>
          </w:p>
        </w:tc>
      </w:tr>
      <w:tr w:rsidR="00D1587D" w14:paraId="0B6E8254" w14:textId="77777777">
        <w:trPr>
          <w:trHeight w:val="304"/>
        </w:trPr>
        <w:tc>
          <w:tcPr>
            <w:tcW w:w="6720" w:type="dxa"/>
            <w:gridSpan w:val="2"/>
            <w:tcBorders>
              <w:bottom w:val="single" w:sz="8" w:space="0" w:color="CCEEFF"/>
            </w:tcBorders>
            <w:shd w:val="clear" w:color="auto" w:fill="CCEEFF"/>
            <w:vAlign w:val="bottom"/>
          </w:tcPr>
          <w:p w14:paraId="5FCDFD3E" w14:textId="77777777" w:rsidR="00D1587D" w:rsidRDefault="00410D07">
            <w:pPr>
              <w:ind w:left="180"/>
              <w:rPr>
                <w:sz w:val="20"/>
                <w:szCs w:val="20"/>
              </w:rPr>
            </w:pPr>
            <w:r>
              <w:rPr>
                <w:rFonts w:ascii="Arial" w:eastAsia="Arial" w:hAnsi="Arial" w:cs="Arial"/>
                <w:sz w:val="18"/>
                <w:szCs w:val="18"/>
              </w:rPr>
              <w:t>Prepaid Expenses</w:t>
            </w:r>
          </w:p>
        </w:tc>
        <w:tc>
          <w:tcPr>
            <w:tcW w:w="720" w:type="dxa"/>
            <w:tcBorders>
              <w:bottom w:val="single" w:sz="8" w:space="0" w:color="CCEEFF"/>
            </w:tcBorders>
            <w:shd w:val="clear" w:color="auto" w:fill="CCEEFF"/>
            <w:vAlign w:val="bottom"/>
          </w:tcPr>
          <w:p w14:paraId="7C792975" w14:textId="77777777" w:rsidR="00D1587D" w:rsidRDefault="00410D07">
            <w:pPr>
              <w:ind w:right="31"/>
              <w:jc w:val="right"/>
              <w:rPr>
                <w:sz w:val="20"/>
                <w:szCs w:val="20"/>
              </w:rPr>
            </w:pPr>
            <w:r>
              <w:rPr>
                <w:rFonts w:ascii="Arial" w:eastAsia="Arial" w:hAnsi="Arial" w:cs="Arial"/>
                <w:sz w:val="18"/>
                <w:szCs w:val="18"/>
              </w:rPr>
              <w:t>26</w:t>
            </w:r>
          </w:p>
        </w:tc>
        <w:tc>
          <w:tcPr>
            <w:tcW w:w="220" w:type="dxa"/>
            <w:tcBorders>
              <w:bottom w:val="single" w:sz="8" w:space="0" w:color="CCEEFF"/>
            </w:tcBorders>
            <w:shd w:val="clear" w:color="auto" w:fill="CCEEFF"/>
            <w:vAlign w:val="bottom"/>
          </w:tcPr>
          <w:p w14:paraId="4F3869F6" w14:textId="77777777" w:rsidR="00D1587D" w:rsidRDefault="00D1587D">
            <w:pPr>
              <w:rPr>
                <w:sz w:val="24"/>
                <w:szCs w:val="24"/>
              </w:rPr>
            </w:pPr>
          </w:p>
        </w:tc>
        <w:tc>
          <w:tcPr>
            <w:tcW w:w="760" w:type="dxa"/>
            <w:tcBorders>
              <w:bottom w:val="single" w:sz="8" w:space="0" w:color="CCEEFF"/>
            </w:tcBorders>
            <w:shd w:val="clear" w:color="auto" w:fill="CCEEFF"/>
            <w:vAlign w:val="bottom"/>
          </w:tcPr>
          <w:p w14:paraId="4245D0F8" w14:textId="77777777" w:rsidR="00D1587D" w:rsidRDefault="00410D07">
            <w:pPr>
              <w:ind w:right="51"/>
              <w:jc w:val="right"/>
              <w:rPr>
                <w:sz w:val="20"/>
                <w:szCs w:val="20"/>
              </w:rPr>
            </w:pPr>
            <w:r>
              <w:rPr>
                <w:rFonts w:ascii="Arial" w:eastAsia="Arial" w:hAnsi="Arial" w:cs="Arial"/>
                <w:sz w:val="18"/>
                <w:szCs w:val="18"/>
              </w:rPr>
              <w:t>49</w:t>
            </w:r>
          </w:p>
        </w:tc>
      </w:tr>
      <w:tr w:rsidR="00D1587D" w14:paraId="6CF10240" w14:textId="77777777">
        <w:trPr>
          <w:trHeight w:val="270"/>
        </w:trPr>
        <w:tc>
          <w:tcPr>
            <w:tcW w:w="6720" w:type="dxa"/>
            <w:gridSpan w:val="2"/>
            <w:vAlign w:val="bottom"/>
          </w:tcPr>
          <w:p w14:paraId="298A87E4" w14:textId="77777777" w:rsidR="00D1587D" w:rsidRDefault="00410D07">
            <w:pPr>
              <w:ind w:left="180"/>
              <w:rPr>
                <w:sz w:val="20"/>
                <w:szCs w:val="20"/>
              </w:rPr>
            </w:pPr>
            <w:r>
              <w:rPr>
                <w:rFonts w:ascii="Arial" w:eastAsia="Arial" w:hAnsi="Arial" w:cs="Arial"/>
                <w:sz w:val="18"/>
                <w:szCs w:val="18"/>
              </w:rPr>
              <w:t>Other</w:t>
            </w:r>
          </w:p>
        </w:tc>
        <w:tc>
          <w:tcPr>
            <w:tcW w:w="720" w:type="dxa"/>
            <w:vAlign w:val="bottom"/>
          </w:tcPr>
          <w:p w14:paraId="428BF238" w14:textId="77777777" w:rsidR="00D1587D" w:rsidRDefault="00410D07">
            <w:pPr>
              <w:ind w:right="31"/>
              <w:jc w:val="right"/>
              <w:rPr>
                <w:sz w:val="20"/>
                <w:szCs w:val="20"/>
              </w:rPr>
            </w:pPr>
            <w:r>
              <w:rPr>
                <w:rFonts w:ascii="Arial" w:eastAsia="Arial" w:hAnsi="Arial" w:cs="Arial"/>
                <w:sz w:val="18"/>
                <w:szCs w:val="18"/>
              </w:rPr>
              <w:t>56</w:t>
            </w:r>
          </w:p>
        </w:tc>
        <w:tc>
          <w:tcPr>
            <w:tcW w:w="220" w:type="dxa"/>
            <w:vAlign w:val="bottom"/>
          </w:tcPr>
          <w:p w14:paraId="0DD8379F" w14:textId="77777777" w:rsidR="00D1587D" w:rsidRDefault="00D1587D">
            <w:pPr>
              <w:rPr>
                <w:sz w:val="23"/>
                <w:szCs w:val="23"/>
              </w:rPr>
            </w:pPr>
          </w:p>
        </w:tc>
        <w:tc>
          <w:tcPr>
            <w:tcW w:w="760" w:type="dxa"/>
            <w:vAlign w:val="bottom"/>
          </w:tcPr>
          <w:p w14:paraId="3ADA8A1B" w14:textId="77777777" w:rsidR="00D1587D" w:rsidRDefault="00410D07">
            <w:pPr>
              <w:ind w:right="51"/>
              <w:jc w:val="right"/>
              <w:rPr>
                <w:sz w:val="20"/>
                <w:szCs w:val="20"/>
              </w:rPr>
            </w:pPr>
            <w:r>
              <w:rPr>
                <w:rFonts w:ascii="Arial" w:eastAsia="Arial" w:hAnsi="Arial" w:cs="Arial"/>
                <w:sz w:val="18"/>
                <w:szCs w:val="18"/>
              </w:rPr>
              <w:t>52</w:t>
            </w:r>
          </w:p>
        </w:tc>
      </w:tr>
      <w:tr w:rsidR="00D1587D" w14:paraId="598F5B04" w14:textId="77777777">
        <w:trPr>
          <w:trHeight w:val="67"/>
        </w:trPr>
        <w:tc>
          <w:tcPr>
            <w:tcW w:w="6600" w:type="dxa"/>
            <w:tcBorders>
              <w:bottom w:val="single" w:sz="8" w:space="0" w:color="CCEEFF"/>
            </w:tcBorders>
            <w:vAlign w:val="bottom"/>
          </w:tcPr>
          <w:p w14:paraId="74F04649" w14:textId="77777777" w:rsidR="00D1587D" w:rsidRDefault="00D1587D">
            <w:pPr>
              <w:rPr>
                <w:sz w:val="5"/>
                <w:szCs w:val="5"/>
              </w:rPr>
            </w:pPr>
          </w:p>
        </w:tc>
        <w:tc>
          <w:tcPr>
            <w:tcW w:w="120" w:type="dxa"/>
            <w:tcBorders>
              <w:bottom w:val="single" w:sz="8" w:space="0" w:color="CCEEFF"/>
            </w:tcBorders>
            <w:vAlign w:val="bottom"/>
          </w:tcPr>
          <w:p w14:paraId="40C5543B" w14:textId="77777777" w:rsidR="00D1587D" w:rsidRDefault="00D1587D">
            <w:pPr>
              <w:rPr>
                <w:sz w:val="5"/>
                <w:szCs w:val="5"/>
              </w:rPr>
            </w:pPr>
          </w:p>
        </w:tc>
        <w:tc>
          <w:tcPr>
            <w:tcW w:w="720" w:type="dxa"/>
            <w:tcBorders>
              <w:bottom w:val="single" w:sz="8" w:space="0" w:color="auto"/>
            </w:tcBorders>
            <w:vAlign w:val="bottom"/>
          </w:tcPr>
          <w:p w14:paraId="6D3D430F" w14:textId="77777777" w:rsidR="00D1587D" w:rsidRDefault="00D1587D">
            <w:pPr>
              <w:rPr>
                <w:sz w:val="5"/>
                <w:szCs w:val="5"/>
              </w:rPr>
            </w:pPr>
          </w:p>
        </w:tc>
        <w:tc>
          <w:tcPr>
            <w:tcW w:w="220" w:type="dxa"/>
            <w:tcBorders>
              <w:bottom w:val="single" w:sz="8" w:space="0" w:color="CCEEFF"/>
            </w:tcBorders>
            <w:vAlign w:val="bottom"/>
          </w:tcPr>
          <w:p w14:paraId="6242784E" w14:textId="77777777" w:rsidR="00D1587D" w:rsidRDefault="00D1587D">
            <w:pPr>
              <w:rPr>
                <w:sz w:val="5"/>
                <w:szCs w:val="5"/>
              </w:rPr>
            </w:pPr>
          </w:p>
        </w:tc>
        <w:tc>
          <w:tcPr>
            <w:tcW w:w="760" w:type="dxa"/>
            <w:tcBorders>
              <w:bottom w:val="single" w:sz="8" w:space="0" w:color="auto"/>
            </w:tcBorders>
            <w:vAlign w:val="bottom"/>
          </w:tcPr>
          <w:p w14:paraId="2B0E2ADE" w14:textId="77777777" w:rsidR="00D1587D" w:rsidRDefault="00D1587D">
            <w:pPr>
              <w:rPr>
                <w:sz w:val="5"/>
                <w:szCs w:val="5"/>
              </w:rPr>
            </w:pPr>
          </w:p>
        </w:tc>
      </w:tr>
      <w:tr w:rsidR="00D1587D" w14:paraId="3EC3E06E" w14:textId="77777777">
        <w:trPr>
          <w:trHeight w:val="311"/>
        </w:trPr>
        <w:tc>
          <w:tcPr>
            <w:tcW w:w="6720" w:type="dxa"/>
            <w:gridSpan w:val="2"/>
            <w:tcBorders>
              <w:bottom w:val="single" w:sz="8" w:space="0" w:color="CCEEFF"/>
            </w:tcBorders>
            <w:shd w:val="clear" w:color="auto" w:fill="CCEEFF"/>
            <w:vAlign w:val="bottom"/>
          </w:tcPr>
          <w:p w14:paraId="6BA39685" w14:textId="77777777" w:rsidR="00D1587D" w:rsidRDefault="00410D07">
            <w:pPr>
              <w:rPr>
                <w:sz w:val="20"/>
                <w:szCs w:val="20"/>
              </w:rPr>
            </w:pPr>
            <w:r>
              <w:rPr>
                <w:rFonts w:ascii="Arial" w:eastAsia="Arial" w:hAnsi="Arial" w:cs="Arial"/>
                <w:sz w:val="18"/>
                <w:szCs w:val="18"/>
              </w:rPr>
              <w:t>Total Current Assets</w:t>
            </w:r>
          </w:p>
        </w:tc>
        <w:tc>
          <w:tcPr>
            <w:tcW w:w="720" w:type="dxa"/>
            <w:tcBorders>
              <w:bottom w:val="single" w:sz="8" w:space="0" w:color="CCEEFF"/>
            </w:tcBorders>
            <w:shd w:val="clear" w:color="auto" w:fill="CCEEFF"/>
            <w:vAlign w:val="bottom"/>
          </w:tcPr>
          <w:p w14:paraId="7DD265FF" w14:textId="77777777" w:rsidR="00D1587D" w:rsidRDefault="00410D07">
            <w:pPr>
              <w:ind w:right="31"/>
              <w:jc w:val="right"/>
              <w:rPr>
                <w:sz w:val="20"/>
                <w:szCs w:val="20"/>
              </w:rPr>
            </w:pPr>
            <w:r>
              <w:rPr>
                <w:rFonts w:ascii="Arial" w:eastAsia="Arial" w:hAnsi="Arial" w:cs="Arial"/>
                <w:sz w:val="18"/>
                <w:szCs w:val="18"/>
              </w:rPr>
              <w:t>1,239</w:t>
            </w:r>
          </w:p>
        </w:tc>
        <w:tc>
          <w:tcPr>
            <w:tcW w:w="220" w:type="dxa"/>
            <w:tcBorders>
              <w:bottom w:val="single" w:sz="8" w:space="0" w:color="CCEEFF"/>
            </w:tcBorders>
            <w:shd w:val="clear" w:color="auto" w:fill="CCEEFF"/>
            <w:vAlign w:val="bottom"/>
          </w:tcPr>
          <w:p w14:paraId="0B9FE73E" w14:textId="77777777" w:rsidR="00D1587D" w:rsidRDefault="00D1587D">
            <w:pPr>
              <w:rPr>
                <w:sz w:val="24"/>
                <w:szCs w:val="24"/>
              </w:rPr>
            </w:pPr>
          </w:p>
        </w:tc>
        <w:tc>
          <w:tcPr>
            <w:tcW w:w="760" w:type="dxa"/>
            <w:tcBorders>
              <w:bottom w:val="single" w:sz="8" w:space="0" w:color="CCEEFF"/>
            </w:tcBorders>
            <w:shd w:val="clear" w:color="auto" w:fill="CCEEFF"/>
            <w:vAlign w:val="bottom"/>
          </w:tcPr>
          <w:p w14:paraId="1076F5E4" w14:textId="77777777" w:rsidR="00D1587D" w:rsidRDefault="00410D07">
            <w:pPr>
              <w:ind w:right="71"/>
              <w:jc w:val="right"/>
              <w:rPr>
                <w:sz w:val="20"/>
                <w:szCs w:val="20"/>
              </w:rPr>
            </w:pPr>
            <w:r>
              <w:rPr>
                <w:rFonts w:ascii="Arial" w:eastAsia="Arial" w:hAnsi="Arial" w:cs="Arial"/>
                <w:sz w:val="18"/>
                <w:szCs w:val="18"/>
              </w:rPr>
              <w:t>1,358</w:t>
            </w:r>
          </w:p>
        </w:tc>
      </w:tr>
      <w:tr w:rsidR="00D1587D" w14:paraId="23B0E3F7" w14:textId="77777777">
        <w:trPr>
          <w:trHeight w:val="270"/>
        </w:trPr>
        <w:tc>
          <w:tcPr>
            <w:tcW w:w="6720" w:type="dxa"/>
            <w:gridSpan w:val="2"/>
            <w:vAlign w:val="bottom"/>
          </w:tcPr>
          <w:p w14:paraId="7B85A311" w14:textId="77777777" w:rsidR="00D1587D" w:rsidRDefault="00410D07">
            <w:pPr>
              <w:rPr>
                <w:sz w:val="20"/>
                <w:szCs w:val="20"/>
              </w:rPr>
            </w:pPr>
            <w:r>
              <w:rPr>
                <w:rFonts w:ascii="Arial" w:eastAsia="Arial" w:hAnsi="Arial" w:cs="Arial"/>
                <w:sz w:val="18"/>
                <w:szCs w:val="18"/>
              </w:rPr>
              <w:t>Property and Equipment, Net</w:t>
            </w:r>
          </w:p>
        </w:tc>
        <w:tc>
          <w:tcPr>
            <w:tcW w:w="720" w:type="dxa"/>
            <w:vAlign w:val="bottom"/>
          </w:tcPr>
          <w:p w14:paraId="50CDAB7A" w14:textId="77777777" w:rsidR="00D1587D" w:rsidRDefault="00410D07">
            <w:pPr>
              <w:ind w:right="31"/>
              <w:jc w:val="right"/>
              <w:rPr>
                <w:sz w:val="20"/>
                <w:szCs w:val="20"/>
              </w:rPr>
            </w:pPr>
            <w:r>
              <w:rPr>
                <w:rFonts w:ascii="Arial" w:eastAsia="Arial" w:hAnsi="Arial" w:cs="Arial"/>
                <w:sz w:val="18"/>
                <w:szCs w:val="18"/>
              </w:rPr>
              <w:t>1,078</w:t>
            </w:r>
          </w:p>
        </w:tc>
        <w:tc>
          <w:tcPr>
            <w:tcW w:w="220" w:type="dxa"/>
            <w:vAlign w:val="bottom"/>
          </w:tcPr>
          <w:p w14:paraId="7D383B29" w14:textId="77777777" w:rsidR="00D1587D" w:rsidRDefault="00D1587D">
            <w:pPr>
              <w:rPr>
                <w:sz w:val="23"/>
                <w:szCs w:val="23"/>
              </w:rPr>
            </w:pPr>
          </w:p>
        </w:tc>
        <w:tc>
          <w:tcPr>
            <w:tcW w:w="760" w:type="dxa"/>
            <w:vAlign w:val="bottom"/>
          </w:tcPr>
          <w:p w14:paraId="71429DE9" w14:textId="77777777" w:rsidR="00D1587D" w:rsidRDefault="00410D07">
            <w:pPr>
              <w:ind w:right="71"/>
              <w:jc w:val="right"/>
              <w:rPr>
                <w:sz w:val="20"/>
                <w:szCs w:val="20"/>
              </w:rPr>
            </w:pPr>
            <w:r>
              <w:rPr>
                <w:rFonts w:ascii="Arial" w:eastAsia="Arial" w:hAnsi="Arial" w:cs="Arial"/>
                <w:sz w:val="18"/>
                <w:szCs w:val="18"/>
              </w:rPr>
              <w:t>1,423</w:t>
            </w:r>
          </w:p>
        </w:tc>
      </w:tr>
      <w:tr w:rsidR="00D1587D" w14:paraId="652F4A99" w14:textId="77777777">
        <w:trPr>
          <w:trHeight w:val="54"/>
        </w:trPr>
        <w:tc>
          <w:tcPr>
            <w:tcW w:w="6600" w:type="dxa"/>
            <w:vAlign w:val="bottom"/>
          </w:tcPr>
          <w:p w14:paraId="542638FF" w14:textId="77777777" w:rsidR="00D1587D" w:rsidRDefault="00D1587D">
            <w:pPr>
              <w:rPr>
                <w:sz w:val="4"/>
                <w:szCs w:val="4"/>
              </w:rPr>
            </w:pPr>
          </w:p>
        </w:tc>
        <w:tc>
          <w:tcPr>
            <w:tcW w:w="120" w:type="dxa"/>
            <w:vAlign w:val="bottom"/>
          </w:tcPr>
          <w:p w14:paraId="5965664D" w14:textId="77777777" w:rsidR="00D1587D" w:rsidRDefault="00D1587D">
            <w:pPr>
              <w:rPr>
                <w:sz w:val="4"/>
                <w:szCs w:val="4"/>
              </w:rPr>
            </w:pPr>
          </w:p>
        </w:tc>
        <w:tc>
          <w:tcPr>
            <w:tcW w:w="720" w:type="dxa"/>
            <w:vAlign w:val="bottom"/>
          </w:tcPr>
          <w:p w14:paraId="221285BF" w14:textId="77777777" w:rsidR="00D1587D" w:rsidRDefault="00D1587D">
            <w:pPr>
              <w:rPr>
                <w:sz w:val="4"/>
                <w:szCs w:val="4"/>
              </w:rPr>
            </w:pPr>
          </w:p>
        </w:tc>
        <w:tc>
          <w:tcPr>
            <w:tcW w:w="220" w:type="dxa"/>
            <w:vAlign w:val="bottom"/>
          </w:tcPr>
          <w:p w14:paraId="3BA1A7D6" w14:textId="77777777" w:rsidR="00D1587D" w:rsidRDefault="00D1587D">
            <w:pPr>
              <w:rPr>
                <w:sz w:val="4"/>
                <w:szCs w:val="4"/>
              </w:rPr>
            </w:pPr>
          </w:p>
        </w:tc>
        <w:tc>
          <w:tcPr>
            <w:tcW w:w="760" w:type="dxa"/>
            <w:vAlign w:val="bottom"/>
          </w:tcPr>
          <w:p w14:paraId="43B0801A" w14:textId="77777777" w:rsidR="00D1587D" w:rsidRDefault="00D1587D">
            <w:pPr>
              <w:rPr>
                <w:sz w:val="4"/>
                <w:szCs w:val="4"/>
              </w:rPr>
            </w:pPr>
          </w:p>
        </w:tc>
      </w:tr>
      <w:tr w:rsidR="00D1587D" w14:paraId="7D829E75" w14:textId="77777777">
        <w:trPr>
          <w:trHeight w:val="304"/>
        </w:trPr>
        <w:tc>
          <w:tcPr>
            <w:tcW w:w="6720" w:type="dxa"/>
            <w:gridSpan w:val="2"/>
            <w:tcBorders>
              <w:bottom w:val="single" w:sz="8" w:space="0" w:color="CCEEFF"/>
            </w:tcBorders>
            <w:shd w:val="clear" w:color="auto" w:fill="CCEEFF"/>
            <w:vAlign w:val="bottom"/>
          </w:tcPr>
          <w:p w14:paraId="624DB1A9" w14:textId="77777777" w:rsidR="00D1587D" w:rsidRDefault="00410D07">
            <w:pPr>
              <w:rPr>
                <w:sz w:val="20"/>
                <w:szCs w:val="20"/>
              </w:rPr>
            </w:pPr>
            <w:r>
              <w:rPr>
                <w:rFonts w:ascii="Arial" w:eastAsia="Arial" w:hAnsi="Arial" w:cs="Arial"/>
                <w:sz w:val="18"/>
                <w:szCs w:val="18"/>
              </w:rPr>
              <w:t>Operating Lease Assets</w:t>
            </w:r>
          </w:p>
        </w:tc>
        <w:tc>
          <w:tcPr>
            <w:tcW w:w="720" w:type="dxa"/>
            <w:tcBorders>
              <w:bottom w:val="single" w:sz="8" w:space="0" w:color="CCEEFF"/>
            </w:tcBorders>
            <w:shd w:val="clear" w:color="auto" w:fill="CCEEFF"/>
            <w:vAlign w:val="bottom"/>
          </w:tcPr>
          <w:p w14:paraId="59A597AE" w14:textId="77777777" w:rsidR="00D1587D" w:rsidRDefault="00410D07">
            <w:pPr>
              <w:ind w:right="31"/>
              <w:jc w:val="right"/>
              <w:rPr>
                <w:sz w:val="20"/>
                <w:szCs w:val="20"/>
              </w:rPr>
            </w:pPr>
            <w:r>
              <w:rPr>
                <w:rFonts w:ascii="Arial" w:eastAsia="Arial" w:hAnsi="Arial" w:cs="Arial"/>
                <w:sz w:val="18"/>
                <w:szCs w:val="18"/>
              </w:rPr>
              <w:t>1,590</w:t>
            </w:r>
          </w:p>
        </w:tc>
        <w:tc>
          <w:tcPr>
            <w:tcW w:w="220" w:type="dxa"/>
            <w:tcBorders>
              <w:bottom w:val="single" w:sz="8" w:space="0" w:color="CCEEFF"/>
            </w:tcBorders>
            <w:shd w:val="clear" w:color="auto" w:fill="CCEEFF"/>
            <w:vAlign w:val="bottom"/>
          </w:tcPr>
          <w:p w14:paraId="40B8CEA5" w14:textId="77777777" w:rsidR="00D1587D" w:rsidRDefault="00D1587D">
            <w:pPr>
              <w:rPr>
                <w:sz w:val="24"/>
                <w:szCs w:val="24"/>
              </w:rPr>
            </w:pPr>
          </w:p>
        </w:tc>
        <w:tc>
          <w:tcPr>
            <w:tcW w:w="760" w:type="dxa"/>
            <w:tcBorders>
              <w:bottom w:val="single" w:sz="8" w:space="0" w:color="CCEEFF"/>
            </w:tcBorders>
            <w:shd w:val="clear" w:color="auto" w:fill="CCEEFF"/>
            <w:vAlign w:val="bottom"/>
          </w:tcPr>
          <w:p w14:paraId="0CDC6104" w14:textId="77777777" w:rsidR="00D1587D" w:rsidRDefault="00410D07">
            <w:pPr>
              <w:ind w:right="71"/>
              <w:jc w:val="right"/>
              <w:rPr>
                <w:sz w:val="20"/>
                <w:szCs w:val="20"/>
              </w:rPr>
            </w:pPr>
            <w:r>
              <w:rPr>
                <w:rFonts w:ascii="Arial" w:eastAsia="Arial" w:hAnsi="Arial" w:cs="Arial"/>
                <w:sz w:val="18"/>
                <w:szCs w:val="18"/>
              </w:rPr>
              <w:t>2,140</w:t>
            </w:r>
          </w:p>
        </w:tc>
      </w:tr>
      <w:tr w:rsidR="00D1587D" w14:paraId="17B80AB5" w14:textId="77777777">
        <w:trPr>
          <w:trHeight w:val="270"/>
        </w:trPr>
        <w:tc>
          <w:tcPr>
            <w:tcW w:w="6720" w:type="dxa"/>
            <w:gridSpan w:val="2"/>
            <w:vAlign w:val="bottom"/>
          </w:tcPr>
          <w:p w14:paraId="1705DDB3" w14:textId="77777777" w:rsidR="00D1587D" w:rsidRDefault="00410D07">
            <w:pPr>
              <w:rPr>
                <w:sz w:val="20"/>
                <w:szCs w:val="20"/>
              </w:rPr>
            </w:pPr>
            <w:r>
              <w:rPr>
                <w:rFonts w:ascii="Arial" w:eastAsia="Arial" w:hAnsi="Arial" w:cs="Arial"/>
                <w:sz w:val="18"/>
                <w:szCs w:val="18"/>
              </w:rPr>
              <w:t>Trade Name</w:t>
            </w:r>
          </w:p>
        </w:tc>
        <w:tc>
          <w:tcPr>
            <w:tcW w:w="720" w:type="dxa"/>
            <w:vAlign w:val="bottom"/>
          </w:tcPr>
          <w:p w14:paraId="5716E4C8" w14:textId="77777777" w:rsidR="00D1587D" w:rsidRDefault="00410D07">
            <w:pPr>
              <w:ind w:right="31"/>
              <w:jc w:val="right"/>
              <w:rPr>
                <w:sz w:val="20"/>
                <w:szCs w:val="20"/>
              </w:rPr>
            </w:pPr>
            <w:r>
              <w:rPr>
                <w:rFonts w:ascii="Arial" w:eastAsia="Arial" w:hAnsi="Arial" w:cs="Arial"/>
                <w:sz w:val="18"/>
                <w:szCs w:val="18"/>
              </w:rPr>
              <w:t>246</w:t>
            </w:r>
          </w:p>
        </w:tc>
        <w:tc>
          <w:tcPr>
            <w:tcW w:w="220" w:type="dxa"/>
            <w:vAlign w:val="bottom"/>
          </w:tcPr>
          <w:p w14:paraId="2453B4CF" w14:textId="77777777" w:rsidR="00D1587D" w:rsidRDefault="00D1587D">
            <w:pPr>
              <w:rPr>
                <w:sz w:val="23"/>
                <w:szCs w:val="23"/>
              </w:rPr>
            </w:pPr>
          </w:p>
        </w:tc>
        <w:tc>
          <w:tcPr>
            <w:tcW w:w="760" w:type="dxa"/>
            <w:vAlign w:val="bottom"/>
          </w:tcPr>
          <w:p w14:paraId="3A4C2F1C" w14:textId="77777777" w:rsidR="00D1587D" w:rsidRDefault="00410D07">
            <w:pPr>
              <w:ind w:right="71"/>
              <w:jc w:val="right"/>
              <w:rPr>
                <w:sz w:val="20"/>
                <w:szCs w:val="20"/>
              </w:rPr>
            </w:pPr>
            <w:r>
              <w:rPr>
                <w:rFonts w:ascii="Arial" w:eastAsia="Arial" w:hAnsi="Arial" w:cs="Arial"/>
                <w:sz w:val="18"/>
                <w:szCs w:val="18"/>
              </w:rPr>
              <w:t>246</w:t>
            </w:r>
          </w:p>
        </w:tc>
      </w:tr>
      <w:tr w:rsidR="00D1587D" w14:paraId="4B9815AE" w14:textId="77777777">
        <w:trPr>
          <w:trHeight w:val="54"/>
        </w:trPr>
        <w:tc>
          <w:tcPr>
            <w:tcW w:w="6600" w:type="dxa"/>
            <w:vAlign w:val="bottom"/>
          </w:tcPr>
          <w:p w14:paraId="0A7F8AD0" w14:textId="77777777" w:rsidR="00D1587D" w:rsidRDefault="00D1587D">
            <w:pPr>
              <w:rPr>
                <w:sz w:val="4"/>
                <w:szCs w:val="4"/>
              </w:rPr>
            </w:pPr>
          </w:p>
        </w:tc>
        <w:tc>
          <w:tcPr>
            <w:tcW w:w="120" w:type="dxa"/>
            <w:vAlign w:val="bottom"/>
          </w:tcPr>
          <w:p w14:paraId="59FD04DC" w14:textId="77777777" w:rsidR="00D1587D" w:rsidRDefault="00D1587D">
            <w:pPr>
              <w:rPr>
                <w:sz w:val="4"/>
                <w:szCs w:val="4"/>
              </w:rPr>
            </w:pPr>
          </w:p>
        </w:tc>
        <w:tc>
          <w:tcPr>
            <w:tcW w:w="720" w:type="dxa"/>
            <w:vAlign w:val="bottom"/>
          </w:tcPr>
          <w:p w14:paraId="5AB047B5" w14:textId="77777777" w:rsidR="00D1587D" w:rsidRDefault="00D1587D">
            <w:pPr>
              <w:rPr>
                <w:sz w:val="4"/>
                <w:szCs w:val="4"/>
              </w:rPr>
            </w:pPr>
          </w:p>
        </w:tc>
        <w:tc>
          <w:tcPr>
            <w:tcW w:w="220" w:type="dxa"/>
            <w:vAlign w:val="bottom"/>
          </w:tcPr>
          <w:p w14:paraId="37BBD826" w14:textId="77777777" w:rsidR="00D1587D" w:rsidRDefault="00D1587D">
            <w:pPr>
              <w:rPr>
                <w:sz w:val="4"/>
                <w:szCs w:val="4"/>
              </w:rPr>
            </w:pPr>
          </w:p>
        </w:tc>
        <w:tc>
          <w:tcPr>
            <w:tcW w:w="760" w:type="dxa"/>
            <w:vAlign w:val="bottom"/>
          </w:tcPr>
          <w:p w14:paraId="3C600B23" w14:textId="77777777" w:rsidR="00D1587D" w:rsidRDefault="00D1587D">
            <w:pPr>
              <w:rPr>
                <w:sz w:val="4"/>
                <w:szCs w:val="4"/>
              </w:rPr>
            </w:pPr>
          </w:p>
        </w:tc>
      </w:tr>
      <w:tr w:rsidR="00D1587D" w14:paraId="08FD82CF" w14:textId="77777777">
        <w:trPr>
          <w:trHeight w:val="304"/>
        </w:trPr>
        <w:tc>
          <w:tcPr>
            <w:tcW w:w="6720" w:type="dxa"/>
            <w:gridSpan w:val="2"/>
            <w:tcBorders>
              <w:bottom w:val="single" w:sz="8" w:space="0" w:color="CCEEFF"/>
            </w:tcBorders>
            <w:shd w:val="clear" w:color="auto" w:fill="CCEEFF"/>
            <w:vAlign w:val="bottom"/>
          </w:tcPr>
          <w:p w14:paraId="2484977E" w14:textId="77777777" w:rsidR="00D1587D" w:rsidRDefault="00410D07">
            <w:pPr>
              <w:rPr>
                <w:sz w:val="20"/>
                <w:szCs w:val="20"/>
              </w:rPr>
            </w:pPr>
            <w:r>
              <w:rPr>
                <w:rFonts w:ascii="Arial" w:eastAsia="Arial" w:hAnsi="Arial" w:cs="Arial"/>
                <w:sz w:val="18"/>
                <w:szCs w:val="18"/>
              </w:rPr>
              <w:t>Deferred Income Taxes</w:t>
            </w:r>
          </w:p>
        </w:tc>
        <w:tc>
          <w:tcPr>
            <w:tcW w:w="720" w:type="dxa"/>
            <w:tcBorders>
              <w:bottom w:val="single" w:sz="8" w:space="0" w:color="CCEEFF"/>
            </w:tcBorders>
            <w:shd w:val="clear" w:color="auto" w:fill="CCEEFF"/>
            <w:vAlign w:val="bottom"/>
          </w:tcPr>
          <w:p w14:paraId="0DB48A1A" w14:textId="77777777" w:rsidR="00D1587D" w:rsidRDefault="00410D07">
            <w:pPr>
              <w:ind w:right="31"/>
              <w:jc w:val="right"/>
              <w:rPr>
                <w:sz w:val="20"/>
                <w:szCs w:val="20"/>
              </w:rPr>
            </w:pPr>
            <w:r>
              <w:rPr>
                <w:rFonts w:ascii="Arial" w:eastAsia="Arial" w:hAnsi="Arial" w:cs="Arial"/>
                <w:sz w:val="18"/>
                <w:szCs w:val="18"/>
              </w:rPr>
              <w:t>20</w:t>
            </w:r>
          </w:p>
        </w:tc>
        <w:tc>
          <w:tcPr>
            <w:tcW w:w="220" w:type="dxa"/>
            <w:tcBorders>
              <w:bottom w:val="single" w:sz="8" w:space="0" w:color="CCEEFF"/>
            </w:tcBorders>
            <w:shd w:val="clear" w:color="auto" w:fill="CCEEFF"/>
            <w:vAlign w:val="bottom"/>
          </w:tcPr>
          <w:p w14:paraId="6222CC4D" w14:textId="77777777" w:rsidR="00D1587D" w:rsidRDefault="00D1587D">
            <w:pPr>
              <w:rPr>
                <w:sz w:val="24"/>
                <w:szCs w:val="24"/>
              </w:rPr>
            </w:pPr>
          </w:p>
        </w:tc>
        <w:tc>
          <w:tcPr>
            <w:tcW w:w="760" w:type="dxa"/>
            <w:tcBorders>
              <w:bottom w:val="single" w:sz="8" w:space="0" w:color="CCEEFF"/>
            </w:tcBorders>
            <w:shd w:val="clear" w:color="auto" w:fill="CCEEFF"/>
            <w:vAlign w:val="bottom"/>
          </w:tcPr>
          <w:p w14:paraId="6C04A366" w14:textId="77777777" w:rsidR="00D1587D" w:rsidRDefault="00410D07">
            <w:pPr>
              <w:ind w:right="51"/>
              <w:jc w:val="right"/>
              <w:rPr>
                <w:sz w:val="20"/>
                <w:szCs w:val="20"/>
              </w:rPr>
            </w:pPr>
            <w:r>
              <w:rPr>
                <w:rFonts w:ascii="Arial" w:eastAsia="Arial" w:hAnsi="Arial" w:cs="Arial"/>
                <w:sz w:val="18"/>
                <w:szCs w:val="18"/>
              </w:rPr>
              <w:t>25</w:t>
            </w:r>
          </w:p>
        </w:tc>
      </w:tr>
      <w:tr w:rsidR="00D1587D" w14:paraId="6F072067" w14:textId="77777777">
        <w:trPr>
          <w:trHeight w:val="270"/>
        </w:trPr>
        <w:tc>
          <w:tcPr>
            <w:tcW w:w="6720" w:type="dxa"/>
            <w:gridSpan w:val="2"/>
            <w:vAlign w:val="bottom"/>
          </w:tcPr>
          <w:p w14:paraId="008FF155" w14:textId="77777777" w:rsidR="00D1587D" w:rsidRDefault="00410D07">
            <w:pPr>
              <w:rPr>
                <w:sz w:val="20"/>
                <w:szCs w:val="20"/>
              </w:rPr>
            </w:pPr>
            <w:r>
              <w:rPr>
                <w:rFonts w:ascii="Arial" w:eastAsia="Arial" w:hAnsi="Arial" w:cs="Arial"/>
                <w:sz w:val="18"/>
                <w:szCs w:val="18"/>
              </w:rPr>
              <w:t>Other Assets</w:t>
            </w:r>
          </w:p>
        </w:tc>
        <w:tc>
          <w:tcPr>
            <w:tcW w:w="720" w:type="dxa"/>
            <w:vAlign w:val="bottom"/>
          </w:tcPr>
          <w:p w14:paraId="2D29EAD9" w14:textId="77777777" w:rsidR="00D1587D" w:rsidRDefault="00410D07">
            <w:pPr>
              <w:ind w:right="31"/>
              <w:jc w:val="right"/>
              <w:rPr>
                <w:sz w:val="20"/>
                <w:szCs w:val="20"/>
              </w:rPr>
            </w:pPr>
            <w:r>
              <w:rPr>
                <w:rFonts w:ascii="Arial" w:eastAsia="Arial" w:hAnsi="Arial" w:cs="Arial"/>
                <w:sz w:val="18"/>
                <w:szCs w:val="18"/>
              </w:rPr>
              <w:t>56</w:t>
            </w:r>
          </w:p>
        </w:tc>
        <w:tc>
          <w:tcPr>
            <w:tcW w:w="220" w:type="dxa"/>
            <w:vAlign w:val="bottom"/>
          </w:tcPr>
          <w:p w14:paraId="3C235DAD" w14:textId="77777777" w:rsidR="00D1587D" w:rsidRDefault="00D1587D">
            <w:pPr>
              <w:rPr>
                <w:sz w:val="23"/>
                <w:szCs w:val="23"/>
              </w:rPr>
            </w:pPr>
          </w:p>
        </w:tc>
        <w:tc>
          <w:tcPr>
            <w:tcW w:w="760" w:type="dxa"/>
            <w:vAlign w:val="bottom"/>
          </w:tcPr>
          <w:p w14:paraId="33CD88D5" w14:textId="77777777" w:rsidR="00D1587D" w:rsidRDefault="00410D07">
            <w:pPr>
              <w:ind w:right="51"/>
              <w:jc w:val="right"/>
              <w:rPr>
                <w:sz w:val="20"/>
                <w:szCs w:val="20"/>
              </w:rPr>
            </w:pPr>
            <w:r>
              <w:rPr>
                <w:rFonts w:ascii="Arial" w:eastAsia="Arial" w:hAnsi="Arial" w:cs="Arial"/>
                <w:sz w:val="18"/>
                <w:szCs w:val="18"/>
              </w:rPr>
              <w:t>78</w:t>
            </w:r>
          </w:p>
        </w:tc>
      </w:tr>
      <w:tr w:rsidR="00D1587D" w14:paraId="37B329C4" w14:textId="77777777">
        <w:trPr>
          <w:trHeight w:val="67"/>
        </w:trPr>
        <w:tc>
          <w:tcPr>
            <w:tcW w:w="6600" w:type="dxa"/>
            <w:tcBorders>
              <w:bottom w:val="single" w:sz="8" w:space="0" w:color="CCEEFF"/>
            </w:tcBorders>
            <w:vAlign w:val="bottom"/>
          </w:tcPr>
          <w:p w14:paraId="7F730520" w14:textId="77777777" w:rsidR="00D1587D" w:rsidRDefault="00D1587D">
            <w:pPr>
              <w:rPr>
                <w:sz w:val="5"/>
                <w:szCs w:val="5"/>
              </w:rPr>
            </w:pPr>
          </w:p>
        </w:tc>
        <w:tc>
          <w:tcPr>
            <w:tcW w:w="120" w:type="dxa"/>
            <w:tcBorders>
              <w:bottom w:val="single" w:sz="8" w:space="0" w:color="CCEEFF"/>
            </w:tcBorders>
            <w:vAlign w:val="bottom"/>
          </w:tcPr>
          <w:p w14:paraId="7A98AA9C" w14:textId="77777777" w:rsidR="00D1587D" w:rsidRDefault="00D1587D">
            <w:pPr>
              <w:rPr>
                <w:sz w:val="5"/>
                <w:szCs w:val="5"/>
              </w:rPr>
            </w:pPr>
          </w:p>
        </w:tc>
        <w:tc>
          <w:tcPr>
            <w:tcW w:w="720" w:type="dxa"/>
            <w:tcBorders>
              <w:bottom w:val="single" w:sz="8" w:space="0" w:color="auto"/>
            </w:tcBorders>
            <w:vAlign w:val="bottom"/>
          </w:tcPr>
          <w:p w14:paraId="4DD62AF7" w14:textId="77777777" w:rsidR="00D1587D" w:rsidRDefault="00D1587D">
            <w:pPr>
              <w:rPr>
                <w:sz w:val="5"/>
                <w:szCs w:val="5"/>
              </w:rPr>
            </w:pPr>
          </w:p>
        </w:tc>
        <w:tc>
          <w:tcPr>
            <w:tcW w:w="220" w:type="dxa"/>
            <w:tcBorders>
              <w:bottom w:val="single" w:sz="8" w:space="0" w:color="CCEEFF"/>
            </w:tcBorders>
            <w:vAlign w:val="bottom"/>
          </w:tcPr>
          <w:p w14:paraId="2C3B2F28" w14:textId="77777777" w:rsidR="00D1587D" w:rsidRDefault="00D1587D">
            <w:pPr>
              <w:rPr>
                <w:sz w:val="5"/>
                <w:szCs w:val="5"/>
              </w:rPr>
            </w:pPr>
          </w:p>
        </w:tc>
        <w:tc>
          <w:tcPr>
            <w:tcW w:w="760" w:type="dxa"/>
            <w:tcBorders>
              <w:bottom w:val="single" w:sz="8" w:space="0" w:color="auto"/>
            </w:tcBorders>
            <w:vAlign w:val="bottom"/>
          </w:tcPr>
          <w:p w14:paraId="758CDACF" w14:textId="77777777" w:rsidR="00D1587D" w:rsidRDefault="00D1587D">
            <w:pPr>
              <w:rPr>
                <w:sz w:val="5"/>
                <w:szCs w:val="5"/>
              </w:rPr>
            </w:pPr>
          </w:p>
        </w:tc>
      </w:tr>
      <w:tr w:rsidR="00D1587D" w14:paraId="67E529C1" w14:textId="77777777">
        <w:trPr>
          <w:trHeight w:val="304"/>
        </w:trPr>
        <w:tc>
          <w:tcPr>
            <w:tcW w:w="6720" w:type="dxa"/>
            <w:gridSpan w:val="2"/>
            <w:shd w:val="clear" w:color="auto" w:fill="CCEEFF"/>
            <w:vAlign w:val="bottom"/>
          </w:tcPr>
          <w:p w14:paraId="6F5613B3" w14:textId="77777777" w:rsidR="00D1587D" w:rsidRDefault="00410D07">
            <w:pPr>
              <w:rPr>
                <w:sz w:val="20"/>
                <w:szCs w:val="20"/>
              </w:rPr>
            </w:pPr>
            <w:r>
              <w:rPr>
                <w:rFonts w:ascii="Arial" w:eastAsia="Arial" w:hAnsi="Arial" w:cs="Arial"/>
                <w:sz w:val="18"/>
                <w:szCs w:val="18"/>
              </w:rPr>
              <w:t>Total Assets</w:t>
            </w:r>
          </w:p>
        </w:tc>
        <w:tc>
          <w:tcPr>
            <w:tcW w:w="720" w:type="dxa"/>
            <w:shd w:val="clear" w:color="auto" w:fill="CCEEFF"/>
            <w:vAlign w:val="bottom"/>
          </w:tcPr>
          <w:p w14:paraId="543EAF84" w14:textId="77777777" w:rsidR="00D1587D" w:rsidRDefault="00410D07">
            <w:pPr>
              <w:ind w:right="11"/>
              <w:jc w:val="right"/>
              <w:rPr>
                <w:sz w:val="20"/>
                <w:szCs w:val="20"/>
              </w:rPr>
            </w:pPr>
            <w:r>
              <w:rPr>
                <w:rFonts w:ascii="Arial" w:eastAsia="Arial" w:hAnsi="Arial" w:cs="Arial"/>
                <w:sz w:val="18"/>
                <w:szCs w:val="18"/>
              </w:rPr>
              <w:t>$4,229</w:t>
            </w:r>
          </w:p>
        </w:tc>
        <w:tc>
          <w:tcPr>
            <w:tcW w:w="220" w:type="dxa"/>
            <w:shd w:val="clear" w:color="auto" w:fill="CCEEFF"/>
            <w:vAlign w:val="bottom"/>
          </w:tcPr>
          <w:p w14:paraId="03E02D9A" w14:textId="77777777" w:rsidR="00D1587D" w:rsidRDefault="00D1587D">
            <w:pPr>
              <w:rPr>
                <w:sz w:val="24"/>
                <w:szCs w:val="24"/>
              </w:rPr>
            </w:pPr>
          </w:p>
        </w:tc>
        <w:tc>
          <w:tcPr>
            <w:tcW w:w="760" w:type="dxa"/>
            <w:shd w:val="clear" w:color="auto" w:fill="CCEEFF"/>
            <w:vAlign w:val="bottom"/>
          </w:tcPr>
          <w:p w14:paraId="4A422DD5" w14:textId="77777777" w:rsidR="00D1587D" w:rsidRDefault="00410D07">
            <w:pPr>
              <w:ind w:right="51"/>
              <w:jc w:val="right"/>
              <w:rPr>
                <w:sz w:val="20"/>
                <w:szCs w:val="20"/>
              </w:rPr>
            </w:pPr>
            <w:r>
              <w:rPr>
                <w:rFonts w:ascii="Arial" w:eastAsia="Arial" w:hAnsi="Arial" w:cs="Arial"/>
                <w:sz w:val="18"/>
                <w:szCs w:val="18"/>
              </w:rPr>
              <w:t>$5,270</w:t>
            </w:r>
          </w:p>
        </w:tc>
      </w:tr>
      <w:tr w:rsidR="00D1587D" w14:paraId="57541380" w14:textId="77777777">
        <w:trPr>
          <w:trHeight w:val="128"/>
        </w:trPr>
        <w:tc>
          <w:tcPr>
            <w:tcW w:w="6600" w:type="dxa"/>
            <w:tcBorders>
              <w:bottom w:val="single" w:sz="8" w:space="0" w:color="CCEEFF"/>
            </w:tcBorders>
            <w:shd w:val="clear" w:color="auto" w:fill="CCEEFF"/>
            <w:vAlign w:val="bottom"/>
          </w:tcPr>
          <w:p w14:paraId="5D7FC819" w14:textId="77777777" w:rsidR="00D1587D" w:rsidRDefault="00D1587D">
            <w:pPr>
              <w:rPr>
                <w:sz w:val="11"/>
                <w:szCs w:val="11"/>
              </w:rPr>
            </w:pPr>
          </w:p>
        </w:tc>
        <w:tc>
          <w:tcPr>
            <w:tcW w:w="120" w:type="dxa"/>
            <w:tcBorders>
              <w:bottom w:val="single" w:sz="8" w:space="0" w:color="CCEEFF"/>
            </w:tcBorders>
            <w:shd w:val="clear" w:color="auto" w:fill="CCEEFF"/>
            <w:vAlign w:val="bottom"/>
          </w:tcPr>
          <w:p w14:paraId="0A2C5202" w14:textId="77777777" w:rsidR="00D1587D" w:rsidRDefault="00D1587D">
            <w:pPr>
              <w:rPr>
                <w:sz w:val="11"/>
                <w:szCs w:val="11"/>
              </w:rPr>
            </w:pPr>
          </w:p>
        </w:tc>
        <w:tc>
          <w:tcPr>
            <w:tcW w:w="720" w:type="dxa"/>
            <w:tcBorders>
              <w:bottom w:val="single" w:sz="8" w:space="0" w:color="auto"/>
            </w:tcBorders>
            <w:shd w:val="clear" w:color="auto" w:fill="CCEEFF"/>
            <w:vAlign w:val="bottom"/>
          </w:tcPr>
          <w:p w14:paraId="6152D1EB" w14:textId="77777777" w:rsidR="00D1587D" w:rsidRDefault="00D1587D">
            <w:pPr>
              <w:rPr>
                <w:sz w:val="11"/>
                <w:szCs w:val="11"/>
              </w:rPr>
            </w:pPr>
          </w:p>
        </w:tc>
        <w:tc>
          <w:tcPr>
            <w:tcW w:w="220" w:type="dxa"/>
            <w:tcBorders>
              <w:bottom w:val="single" w:sz="8" w:space="0" w:color="CCEEFF"/>
            </w:tcBorders>
            <w:shd w:val="clear" w:color="auto" w:fill="CCEEFF"/>
            <w:vAlign w:val="bottom"/>
          </w:tcPr>
          <w:p w14:paraId="414C113E" w14:textId="77777777" w:rsidR="00D1587D" w:rsidRDefault="00D1587D">
            <w:pPr>
              <w:rPr>
                <w:sz w:val="11"/>
                <w:szCs w:val="11"/>
              </w:rPr>
            </w:pPr>
          </w:p>
        </w:tc>
        <w:tc>
          <w:tcPr>
            <w:tcW w:w="760" w:type="dxa"/>
            <w:tcBorders>
              <w:bottom w:val="single" w:sz="8" w:space="0" w:color="auto"/>
            </w:tcBorders>
            <w:shd w:val="clear" w:color="auto" w:fill="CCEEFF"/>
            <w:vAlign w:val="bottom"/>
          </w:tcPr>
          <w:p w14:paraId="1E3E4E71" w14:textId="77777777" w:rsidR="00D1587D" w:rsidRDefault="00D1587D">
            <w:pPr>
              <w:rPr>
                <w:sz w:val="11"/>
                <w:szCs w:val="11"/>
              </w:rPr>
            </w:pPr>
          </w:p>
        </w:tc>
      </w:tr>
      <w:tr w:rsidR="00D1587D" w14:paraId="632C4460" w14:textId="77777777">
        <w:trPr>
          <w:trHeight w:val="285"/>
        </w:trPr>
        <w:tc>
          <w:tcPr>
            <w:tcW w:w="6720" w:type="dxa"/>
            <w:gridSpan w:val="2"/>
            <w:vAlign w:val="bottom"/>
          </w:tcPr>
          <w:p w14:paraId="4F7CF628" w14:textId="77777777" w:rsidR="00D1587D" w:rsidRDefault="00410D07">
            <w:pPr>
              <w:rPr>
                <w:sz w:val="20"/>
                <w:szCs w:val="20"/>
              </w:rPr>
            </w:pPr>
            <w:r>
              <w:rPr>
                <w:rFonts w:ascii="Arial" w:eastAsia="Arial" w:hAnsi="Arial" w:cs="Arial"/>
                <w:b/>
                <w:bCs/>
                <w:sz w:val="18"/>
                <w:szCs w:val="18"/>
              </w:rPr>
              <w:t>LIABILITIES AND EQUITY</w:t>
            </w:r>
          </w:p>
        </w:tc>
        <w:tc>
          <w:tcPr>
            <w:tcW w:w="720" w:type="dxa"/>
            <w:vAlign w:val="bottom"/>
          </w:tcPr>
          <w:p w14:paraId="07FC4283" w14:textId="77777777" w:rsidR="00D1587D" w:rsidRDefault="00D1587D">
            <w:pPr>
              <w:rPr>
                <w:sz w:val="24"/>
                <w:szCs w:val="24"/>
              </w:rPr>
            </w:pPr>
          </w:p>
        </w:tc>
        <w:tc>
          <w:tcPr>
            <w:tcW w:w="220" w:type="dxa"/>
            <w:vAlign w:val="bottom"/>
          </w:tcPr>
          <w:p w14:paraId="7390573B" w14:textId="77777777" w:rsidR="00D1587D" w:rsidRDefault="00D1587D">
            <w:pPr>
              <w:rPr>
                <w:sz w:val="24"/>
                <w:szCs w:val="24"/>
              </w:rPr>
            </w:pPr>
          </w:p>
        </w:tc>
        <w:tc>
          <w:tcPr>
            <w:tcW w:w="760" w:type="dxa"/>
            <w:vAlign w:val="bottom"/>
          </w:tcPr>
          <w:p w14:paraId="036F62C1" w14:textId="77777777" w:rsidR="00D1587D" w:rsidRDefault="00D1587D">
            <w:pPr>
              <w:rPr>
                <w:sz w:val="24"/>
                <w:szCs w:val="24"/>
              </w:rPr>
            </w:pPr>
          </w:p>
        </w:tc>
      </w:tr>
      <w:tr w:rsidR="00D1587D" w14:paraId="450E6E3C" w14:textId="77777777">
        <w:trPr>
          <w:trHeight w:val="54"/>
        </w:trPr>
        <w:tc>
          <w:tcPr>
            <w:tcW w:w="6600" w:type="dxa"/>
            <w:vAlign w:val="bottom"/>
          </w:tcPr>
          <w:p w14:paraId="344814E8" w14:textId="77777777" w:rsidR="00D1587D" w:rsidRDefault="00D1587D">
            <w:pPr>
              <w:rPr>
                <w:sz w:val="4"/>
                <w:szCs w:val="4"/>
              </w:rPr>
            </w:pPr>
          </w:p>
        </w:tc>
        <w:tc>
          <w:tcPr>
            <w:tcW w:w="120" w:type="dxa"/>
            <w:vAlign w:val="bottom"/>
          </w:tcPr>
          <w:p w14:paraId="4C56CFB0" w14:textId="77777777" w:rsidR="00D1587D" w:rsidRDefault="00D1587D">
            <w:pPr>
              <w:rPr>
                <w:sz w:val="4"/>
                <w:szCs w:val="4"/>
              </w:rPr>
            </w:pPr>
          </w:p>
        </w:tc>
        <w:tc>
          <w:tcPr>
            <w:tcW w:w="720" w:type="dxa"/>
            <w:vAlign w:val="bottom"/>
          </w:tcPr>
          <w:p w14:paraId="396A70C0" w14:textId="77777777" w:rsidR="00D1587D" w:rsidRDefault="00D1587D">
            <w:pPr>
              <w:rPr>
                <w:sz w:val="4"/>
                <w:szCs w:val="4"/>
              </w:rPr>
            </w:pPr>
          </w:p>
        </w:tc>
        <w:tc>
          <w:tcPr>
            <w:tcW w:w="220" w:type="dxa"/>
            <w:vAlign w:val="bottom"/>
          </w:tcPr>
          <w:p w14:paraId="4374391C" w14:textId="77777777" w:rsidR="00D1587D" w:rsidRDefault="00D1587D">
            <w:pPr>
              <w:rPr>
                <w:sz w:val="4"/>
                <w:szCs w:val="4"/>
              </w:rPr>
            </w:pPr>
          </w:p>
        </w:tc>
        <w:tc>
          <w:tcPr>
            <w:tcW w:w="760" w:type="dxa"/>
            <w:vAlign w:val="bottom"/>
          </w:tcPr>
          <w:p w14:paraId="5CBFCC53" w14:textId="77777777" w:rsidR="00D1587D" w:rsidRDefault="00D1587D">
            <w:pPr>
              <w:rPr>
                <w:sz w:val="4"/>
                <w:szCs w:val="4"/>
              </w:rPr>
            </w:pPr>
          </w:p>
        </w:tc>
      </w:tr>
      <w:tr w:rsidR="00D1587D" w14:paraId="4B2BA8DC" w14:textId="77777777">
        <w:trPr>
          <w:trHeight w:val="304"/>
        </w:trPr>
        <w:tc>
          <w:tcPr>
            <w:tcW w:w="6720" w:type="dxa"/>
            <w:gridSpan w:val="2"/>
            <w:tcBorders>
              <w:bottom w:val="single" w:sz="8" w:space="0" w:color="CCEEFF"/>
            </w:tcBorders>
            <w:shd w:val="clear" w:color="auto" w:fill="CCEEFF"/>
            <w:vAlign w:val="bottom"/>
          </w:tcPr>
          <w:p w14:paraId="55A7C4B8" w14:textId="77777777" w:rsidR="00D1587D" w:rsidRDefault="00410D07">
            <w:pPr>
              <w:rPr>
                <w:sz w:val="20"/>
                <w:szCs w:val="20"/>
              </w:rPr>
            </w:pPr>
            <w:r>
              <w:rPr>
                <w:rFonts w:ascii="Arial" w:eastAsia="Arial" w:hAnsi="Arial" w:cs="Arial"/>
                <w:b/>
                <w:bCs/>
                <w:sz w:val="18"/>
                <w:szCs w:val="18"/>
              </w:rPr>
              <w:t>Current Liabilities:</w:t>
            </w:r>
          </w:p>
        </w:tc>
        <w:tc>
          <w:tcPr>
            <w:tcW w:w="720" w:type="dxa"/>
            <w:tcBorders>
              <w:bottom w:val="single" w:sz="8" w:space="0" w:color="CCEEFF"/>
            </w:tcBorders>
            <w:shd w:val="clear" w:color="auto" w:fill="CCEEFF"/>
            <w:vAlign w:val="bottom"/>
          </w:tcPr>
          <w:p w14:paraId="2032A747" w14:textId="77777777" w:rsidR="00D1587D" w:rsidRDefault="00D1587D">
            <w:pPr>
              <w:rPr>
                <w:sz w:val="24"/>
                <w:szCs w:val="24"/>
              </w:rPr>
            </w:pPr>
          </w:p>
        </w:tc>
        <w:tc>
          <w:tcPr>
            <w:tcW w:w="220" w:type="dxa"/>
            <w:tcBorders>
              <w:bottom w:val="single" w:sz="8" w:space="0" w:color="CCEEFF"/>
            </w:tcBorders>
            <w:shd w:val="clear" w:color="auto" w:fill="CCEEFF"/>
            <w:vAlign w:val="bottom"/>
          </w:tcPr>
          <w:p w14:paraId="52481FDD" w14:textId="77777777" w:rsidR="00D1587D" w:rsidRDefault="00D1587D">
            <w:pPr>
              <w:rPr>
                <w:sz w:val="24"/>
                <w:szCs w:val="24"/>
              </w:rPr>
            </w:pPr>
          </w:p>
        </w:tc>
        <w:tc>
          <w:tcPr>
            <w:tcW w:w="760" w:type="dxa"/>
            <w:tcBorders>
              <w:bottom w:val="single" w:sz="8" w:space="0" w:color="CCEEFF"/>
            </w:tcBorders>
            <w:shd w:val="clear" w:color="auto" w:fill="CCEEFF"/>
            <w:vAlign w:val="bottom"/>
          </w:tcPr>
          <w:p w14:paraId="33FB4FA8" w14:textId="77777777" w:rsidR="00D1587D" w:rsidRDefault="00D1587D">
            <w:pPr>
              <w:rPr>
                <w:sz w:val="24"/>
                <w:szCs w:val="24"/>
              </w:rPr>
            </w:pPr>
          </w:p>
        </w:tc>
      </w:tr>
      <w:tr w:rsidR="00D1587D" w14:paraId="533B78B1" w14:textId="77777777">
        <w:trPr>
          <w:trHeight w:val="270"/>
        </w:trPr>
        <w:tc>
          <w:tcPr>
            <w:tcW w:w="6720" w:type="dxa"/>
            <w:gridSpan w:val="2"/>
            <w:vAlign w:val="bottom"/>
          </w:tcPr>
          <w:p w14:paraId="64F9EF0A" w14:textId="77777777" w:rsidR="00D1587D" w:rsidRDefault="00410D07">
            <w:pPr>
              <w:rPr>
                <w:sz w:val="20"/>
                <w:szCs w:val="20"/>
              </w:rPr>
            </w:pPr>
            <w:r>
              <w:rPr>
                <w:rFonts w:ascii="Arial" w:eastAsia="Arial" w:hAnsi="Arial" w:cs="Arial"/>
                <w:sz w:val="18"/>
                <w:szCs w:val="18"/>
              </w:rPr>
              <w:t>Accounts Payable</w:t>
            </w:r>
          </w:p>
        </w:tc>
        <w:tc>
          <w:tcPr>
            <w:tcW w:w="720" w:type="dxa"/>
            <w:vAlign w:val="bottom"/>
          </w:tcPr>
          <w:p w14:paraId="63543AC8" w14:textId="77777777" w:rsidR="00D1587D" w:rsidRDefault="00410D07">
            <w:pPr>
              <w:ind w:right="11"/>
              <w:jc w:val="right"/>
              <w:rPr>
                <w:sz w:val="20"/>
                <w:szCs w:val="20"/>
              </w:rPr>
            </w:pPr>
            <w:r>
              <w:rPr>
                <w:rFonts w:ascii="Arial" w:eastAsia="Arial" w:hAnsi="Arial" w:cs="Arial"/>
                <w:sz w:val="18"/>
                <w:szCs w:val="18"/>
              </w:rPr>
              <w:t>$  338</w:t>
            </w:r>
          </w:p>
        </w:tc>
        <w:tc>
          <w:tcPr>
            <w:tcW w:w="220" w:type="dxa"/>
            <w:vAlign w:val="bottom"/>
          </w:tcPr>
          <w:p w14:paraId="315FF6EE" w14:textId="77777777" w:rsidR="00D1587D" w:rsidRDefault="00D1587D">
            <w:pPr>
              <w:rPr>
                <w:sz w:val="23"/>
                <w:szCs w:val="23"/>
              </w:rPr>
            </w:pPr>
          </w:p>
        </w:tc>
        <w:tc>
          <w:tcPr>
            <w:tcW w:w="760" w:type="dxa"/>
            <w:vAlign w:val="bottom"/>
          </w:tcPr>
          <w:p w14:paraId="4990CDFE" w14:textId="77777777" w:rsidR="00D1587D" w:rsidRDefault="00410D07">
            <w:pPr>
              <w:ind w:right="51"/>
              <w:jc w:val="right"/>
              <w:rPr>
                <w:sz w:val="20"/>
                <w:szCs w:val="20"/>
              </w:rPr>
            </w:pPr>
            <w:r>
              <w:rPr>
                <w:rFonts w:ascii="Arial" w:eastAsia="Arial" w:hAnsi="Arial" w:cs="Arial"/>
                <w:sz w:val="18"/>
                <w:szCs w:val="18"/>
              </w:rPr>
              <w:t>$  384</w:t>
            </w:r>
          </w:p>
        </w:tc>
      </w:tr>
      <w:tr w:rsidR="00D1587D" w14:paraId="1E907290" w14:textId="77777777">
        <w:trPr>
          <w:trHeight w:val="54"/>
        </w:trPr>
        <w:tc>
          <w:tcPr>
            <w:tcW w:w="6600" w:type="dxa"/>
            <w:vAlign w:val="bottom"/>
          </w:tcPr>
          <w:p w14:paraId="2B91FBF6" w14:textId="77777777" w:rsidR="00D1587D" w:rsidRDefault="00D1587D">
            <w:pPr>
              <w:rPr>
                <w:sz w:val="4"/>
                <w:szCs w:val="4"/>
              </w:rPr>
            </w:pPr>
          </w:p>
        </w:tc>
        <w:tc>
          <w:tcPr>
            <w:tcW w:w="120" w:type="dxa"/>
            <w:vAlign w:val="bottom"/>
          </w:tcPr>
          <w:p w14:paraId="1A7BE828" w14:textId="77777777" w:rsidR="00D1587D" w:rsidRDefault="00D1587D">
            <w:pPr>
              <w:rPr>
                <w:sz w:val="4"/>
                <w:szCs w:val="4"/>
              </w:rPr>
            </w:pPr>
          </w:p>
        </w:tc>
        <w:tc>
          <w:tcPr>
            <w:tcW w:w="720" w:type="dxa"/>
            <w:vAlign w:val="bottom"/>
          </w:tcPr>
          <w:p w14:paraId="1E860D91" w14:textId="77777777" w:rsidR="00D1587D" w:rsidRDefault="00D1587D">
            <w:pPr>
              <w:rPr>
                <w:sz w:val="4"/>
                <w:szCs w:val="4"/>
              </w:rPr>
            </w:pPr>
          </w:p>
        </w:tc>
        <w:tc>
          <w:tcPr>
            <w:tcW w:w="220" w:type="dxa"/>
            <w:vAlign w:val="bottom"/>
          </w:tcPr>
          <w:p w14:paraId="17C32EA6" w14:textId="77777777" w:rsidR="00D1587D" w:rsidRDefault="00D1587D">
            <w:pPr>
              <w:rPr>
                <w:sz w:val="4"/>
                <w:szCs w:val="4"/>
              </w:rPr>
            </w:pPr>
          </w:p>
        </w:tc>
        <w:tc>
          <w:tcPr>
            <w:tcW w:w="760" w:type="dxa"/>
            <w:vAlign w:val="bottom"/>
          </w:tcPr>
          <w:p w14:paraId="35E147E8" w14:textId="77777777" w:rsidR="00D1587D" w:rsidRDefault="00D1587D">
            <w:pPr>
              <w:rPr>
                <w:sz w:val="4"/>
                <w:szCs w:val="4"/>
              </w:rPr>
            </w:pPr>
          </w:p>
        </w:tc>
      </w:tr>
      <w:tr w:rsidR="00D1587D" w14:paraId="2AA6F8FE" w14:textId="77777777">
        <w:trPr>
          <w:trHeight w:val="304"/>
        </w:trPr>
        <w:tc>
          <w:tcPr>
            <w:tcW w:w="6720" w:type="dxa"/>
            <w:gridSpan w:val="2"/>
            <w:tcBorders>
              <w:bottom w:val="single" w:sz="8" w:space="0" w:color="CCEEFF"/>
            </w:tcBorders>
            <w:shd w:val="clear" w:color="auto" w:fill="CCEEFF"/>
            <w:vAlign w:val="bottom"/>
          </w:tcPr>
          <w:p w14:paraId="2687CBA4" w14:textId="77777777" w:rsidR="00D1587D" w:rsidRDefault="00410D07">
            <w:pPr>
              <w:ind w:left="180"/>
              <w:rPr>
                <w:sz w:val="20"/>
                <w:szCs w:val="20"/>
              </w:rPr>
            </w:pPr>
            <w:r>
              <w:rPr>
                <w:rFonts w:ascii="Arial" w:eastAsia="Arial" w:hAnsi="Arial" w:cs="Arial"/>
                <w:sz w:val="18"/>
                <w:szCs w:val="18"/>
              </w:rPr>
              <w:t xml:space="preserve">Accrued Expenses and </w:t>
            </w:r>
            <w:r>
              <w:rPr>
                <w:rFonts w:ascii="Arial" w:eastAsia="Arial" w:hAnsi="Arial" w:cs="Arial"/>
                <w:sz w:val="18"/>
                <w:szCs w:val="18"/>
              </w:rPr>
              <w:t>Other</w:t>
            </w:r>
          </w:p>
        </w:tc>
        <w:tc>
          <w:tcPr>
            <w:tcW w:w="720" w:type="dxa"/>
            <w:tcBorders>
              <w:bottom w:val="single" w:sz="8" w:space="0" w:color="CCEEFF"/>
            </w:tcBorders>
            <w:shd w:val="clear" w:color="auto" w:fill="CCEEFF"/>
            <w:vAlign w:val="bottom"/>
          </w:tcPr>
          <w:p w14:paraId="429C1770" w14:textId="77777777" w:rsidR="00D1587D" w:rsidRDefault="00410D07">
            <w:pPr>
              <w:ind w:right="31"/>
              <w:jc w:val="right"/>
              <w:rPr>
                <w:sz w:val="20"/>
                <w:szCs w:val="20"/>
              </w:rPr>
            </w:pPr>
            <w:r>
              <w:rPr>
                <w:rFonts w:ascii="Arial" w:eastAsia="Arial" w:hAnsi="Arial" w:cs="Arial"/>
                <w:sz w:val="18"/>
                <w:szCs w:val="18"/>
              </w:rPr>
              <w:t>776</w:t>
            </w:r>
          </w:p>
        </w:tc>
        <w:tc>
          <w:tcPr>
            <w:tcW w:w="220" w:type="dxa"/>
            <w:tcBorders>
              <w:bottom w:val="single" w:sz="8" w:space="0" w:color="CCEEFF"/>
            </w:tcBorders>
            <w:shd w:val="clear" w:color="auto" w:fill="CCEEFF"/>
            <w:vAlign w:val="bottom"/>
          </w:tcPr>
          <w:p w14:paraId="793BFAC0" w14:textId="77777777" w:rsidR="00D1587D" w:rsidRDefault="00D1587D">
            <w:pPr>
              <w:rPr>
                <w:sz w:val="24"/>
                <w:szCs w:val="24"/>
              </w:rPr>
            </w:pPr>
          </w:p>
        </w:tc>
        <w:tc>
          <w:tcPr>
            <w:tcW w:w="760" w:type="dxa"/>
            <w:tcBorders>
              <w:bottom w:val="single" w:sz="8" w:space="0" w:color="CCEEFF"/>
            </w:tcBorders>
            <w:shd w:val="clear" w:color="auto" w:fill="CCEEFF"/>
            <w:vAlign w:val="bottom"/>
          </w:tcPr>
          <w:p w14:paraId="0D0F9A81" w14:textId="77777777" w:rsidR="00D1587D" w:rsidRDefault="00410D07">
            <w:pPr>
              <w:ind w:right="71"/>
              <w:jc w:val="right"/>
              <w:rPr>
                <w:sz w:val="20"/>
                <w:szCs w:val="20"/>
              </w:rPr>
            </w:pPr>
            <w:r>
              <w:rPr>
                <w:rFonts w:ascii="Arial" w:eastAsia="Arial" w:hAnsi="Arial" w:cs="Arial"/>
                <w:sz w:val="18"/>
                <w:szCs w:val="18"/>
              </w:rPr>
              <w:t>614</w:t>
            </w:r>
          </w:p>
        </w:tc>
      </w:tr>
      <w:tr w:rsidR="00D1587D" w14:paraId="48708C15" w14:textId="77777777">
        <w:trPr>
          <w:trHeight w:val="270"/>
        </w:trPr>
        <w:tc>
          <w:tcPr>
            <w:tcW w:w="6720" w:type="dxa"/>
            <w:gridSpan w:val="2"/>
            <w:vAlign w:val="bottom"/>
          </w:tcPr>
          <w:p w14:paraId="62AAEF9A" w14:textId="77777777" w:rsidR="00D1587D" w:rsidRDefault="00410D07">
            <w:pPr>
              <w:ind w:left="180"/>
              <w:rPr>
                <w:sz w:val="20"/>
                <w:szCs w:val="20"/>
              </w:rPr>
            </w:pPr>
            <w:r>
              <w:rPr>
                <w:rFonts w:ascii="Arial" w:eastAsia="Arial" w:hAnsi="Arial" w:cs="Arial"/>
                <w:sz w:val="18"/>
                <w:szCs w:val="18"/>
              </w:rPr>
              <w:t>Current Debt</w:t>
            </w:r>
          </w:p>
        </w:tc>
        <w:tc>
          <w:tcPr>
            <w:tcW w:w="940" w:type="dxa"/>
            <w:gridSpan w:val="2"/>
            <w:vAlign w:val="bottom"/>
          </w:tcPr>
          <w:p w14:paraId="52B6E426" w14:textId="77777777" w:rsidR="00D1587D" w:rsidRDefault="00410D07">
            <w:pPr>
              <w:ind w:right="340"/>
              <w:jc w:val="right"/>
              <w:rPr>
                <w:sz w:val="20"/>
                <w:szCs w:val="20"/>
              </w:rPr>
            </w:pPr>
            <w:r>
              <w:rPr>
                <w:rFonts w:ascii="Arial" w:eastAsia="Arial" w:hAnsi="Arial" w:cs="Arial"/>
                <w:sz w:val="18"/>
                <w:szCs w:val="18"/>
              </w:rPr>
              <w:t>—</w:t>
            </w:r>
          </w:p>
        </w:tc>
        <w:tc>
          <w:tcPr>
            <w:tcW w:w="760" w:type="dxa"/>
            <w:vAlign w:val="bottom"/>
          </w:tcPr>
          <w:p w14:paraId="4D5B73A6" w14:textId="77777777" w:rsidR="00D1587D" w:rsidRDefault="00410D07">
            <w:pPr>
              <w:ind w:right="51"/>
              <w:jc w:val="right"/>
              <w:rPr>
                <w:sz w:val="20"/>
                <w:szCs w:val="20"/>
              </w:rPr>
            </w:pPr>
            <w:r>
              <w:rPr>
                <w:rFonts w:ascii="Arial" w:eastAsia="Arial" w:hAnsi="Arial" w:cs="Arial"/>
                <w:sz w:val="18"/>
                <w:szCs w:val="18"/>
              </w:rPr>
              <w:t>61</w:t>
            </w:r>
          </w:p>
        </w:tc>
      </w:tr>
      <w:tr w:rsidR="00D1587D" w14:paraId="6DCC4B68" w14:textId="77777777">
        <w:trPr>
          <w:trHeight w:val="54"/>
        </w:trPr>
        <w:tc>
          <w:tcPr>
            <w:tcW w:w="6600" w:type="dxa"/>
            <w:vAlign w:val="bottom"/>
          </w:tcPr>
          <w:p w14:paraId="20BAE73C" w14:textId="77777777" w:rsidR="00D1587D" w:rsidRDefault="00D1587D">
            <w:pPr>
              <w:rPr>
                <w:sz w:val="4"/>
                <w:szCs w:val="4"/>
              </w:rPr>
            </w:pPr>
          </w:p>
        </w:tc>
        <w:tc>
          <w:tcPr>
            <w:tcW w:w="120" w:type="dxa"/>
            <w:vAlign w:val="bottom"/>
          </w:tcPr>
          <w:p w14:paraId="3D45A7F6" w14:textId="77777777" w:rsidR="00D1587D" w:rsidRDefault="00D1587D">
            <w:pPr>
              <w:rPr>
                <w:sz w:val="4"/>
                <w:szCs w:val="4"/>
              </w:rPr>
            </w:pPr>
          </w:p>
        </w:tc>
        <w:tc>
          <w:tcPr>
            <w:tcW w:w="720" w:type="dxa"/>
            <w:vAlign w:val="bottom"/>
          </w:tcPr>
          <w:p w14:paraId="344966ED" w14:textId="77777777" w:rsidR="00D1587D" w:rsidRDefault="00D1587D">
            <w:pPr>
              <w:rPr>
                <w:sz w:val="4"/>
                <w:szCs w:val="4"/>
              </w:rPr>
            </w:pPr>
          </w:p>
        </w:tc>
        <w:tc>
          <w:tcPr>
            <w:tcW w:w="220" w:type="dxa"/>
            <w:vAlign w:val="bottom"/>
          </w:tcPr>
          <w:p w14:paraId="7EFE74C6" w14:textId="77777777" w:rsidR="00D1587D" w:rsidRDefault="00D1587D">
            <w:pPr>
              <w:rPr>
                <w:sz w:val="4"/>
                <w:szCs w:val="4"/>
              </w:rPr>
            </w:pPr>
          </w:p>
        </w:tc>
        <w:tc>
          <w:tcPr>
            <w:tcW w:w="760" w:type="dxa"/>
            <w:vAlign w:val="bottom"/>
          </w:tcPr>
          <w:p w14:paraId="02D2D89A" w14:textId="77777777" w:rsidR="00D1587D" w:rsidRDefault="00D1587D">
            <w:pPr>
              <w:rPr>
                <w:sz w:val="4"/>
                <w:szCs w:val="4"/>
              </w:rPr>
            </w:pPr>
          </w:p>
        </w:tc>
      </w:tr>
      <w:tr w:rsidR="00D1587D" w14:paraId="41284B8C" w14:textId="77777777">
        <w:trPr>
          <w:trHeight w:val="304"/>
        </w:trPr>
        <w:tc>
          <w:tcPr>
            <w:tcW w:w="6720" w:type="dxa"/>
            <w:gridSpan w:val="2"/>
            <w:tcBorders>
              <w:bottom w:val="single" w:sz="8" w:space="0" w:color="CCEEFF"/>
            </w:tcBorders>
            <w:shd w:val="clear" w:color="auto" w:fill="CCEEFF"/>
            <w:vAlign w:val="bottom"/>
          </w:tcPr>
          <w:p w14:paraId="5175CF37" w14:textId="77777777" w:rsidR="00D1587D" w:rsidRDefault="00410D07">
            <w:pPr>
              <w:ind w:left="180"/>
              <w:rPr>
                <w:sz w:val="20"/>
                <w:szCs w:val="20"/>
              </w:rPr>
            </w:pPr>
            <w:r>
              <w:rPr>
                <w:rFonts w:ascii="Arial" w:eastAsia="Arial" w:hAnsi="Arial" w:cs="Arial"/>
                <w:sz w:val="18"/>
                <w:szCs w:val="18"/>
              </w:rPr>
              <w:t>Current Operating Lease Liabilities</w:t>
            </w:r>
          </w:p>
        </w:tc>
        <w:tc>
          <w:tcPr>
            <w:tcW w:w="720" w:type="dxa"/>
            <w:tcBorders>
              <w:bottom w:val="single" w:sz="8" w:space="0" w:color="CCEEFF"/>
            </w:tcBorders>
            <w:shd w:val="clear" w:color="auto" w:fill="CCEEFF"/>
            <w:vAlign w:val="bottom"/>
          </w:tcPr>
          <w:p w14:paraId="2F9B5A42" w14:textId="77777777" w:rsidR="00D1587D" w:rsidRDefault="00410D07">
            <w:pPr>
              <w:ind w:right="31"/>
              <w:jc w:val="right"/>
              <w:rPr>
                <w:sz w:val="20"/>
                <w:szCs w:val="20"/>
              </w:rPr>
            </w:pPr>
            <w:r>
              <w:rPr>
                <w:rFonts w:ascii="Arial" w:eastAsia="Arial" w:hAnsi="Arial" w:cs="Arial"/>
                <w:sz w:val="18"/>
                <w:szCs w:val="18"/>
              </w:rPr>
              <w:t>421</w:t>
            </w:r>
          </w:p>
        </w:tc>
        <w:tc>
          <w:tcPr>
            <w:tcW w:w="220" w:type="dxa"/>
            <w:tcBorders>
              <w:bottom w:val="single" w:sz="8" w:space="0" w:color="CCEEFF"/>
            </w:tcBorders>
            <w:shd w:val="clear" w:color="auto" w:fill="CCEEFF"/>
            <w:vAlign w:val="bottom"/>
          </w:tcPr>
          <w:p w14:paraId="75E25151" w14:textId="77777777" w:rsidR="00D1587D" w:rsidRDefault="00D1587D">
            <w:pPr>
              <w:rPr>
                <w:sz w:val="24"/>
                <w:szCs w:val="24"/>
              </w:rPr>
            </w:pPr>
          </w:p>
        </w:tc>
        <w:tc>
          <w:tcPr>
            <w:tcW w:w="760" w:type="dxa"/>
            <w:tcBorders>
              <w:bottom w:val="single" w:sz="8" w:space="0" w:color="CCEEFF"/>
            </w:tcBorders>
            <w:shd w:val="clear" w:color="auto" w:fill="CCEEFF"/>
            <w:vAlign w:val="bottom"/>
          </w:tcPr>
          <w:p w14:paraId="06568B3D" w14:textId="77777777" w:rsidR="00D1587D" w:rsidRDefault="00410D07">
            <w:pPr>
              <w:ind w:right="71"/>
              <w:jc w:val="right"/>
              <w:rPr>
                <w:sz w:val="20"/>
                <w:szCs w:val="20"/>
              </w:rPr>
            </w:pPr>
            <w:r>
              <w:rPr>
                <w:rFonts w:ascii="Arial" w:eastAsia="Arial" w:hAnsi="Arial" w:cs="Arial"/>
                <w:sz w:val="18"/>
                <w:szCs w:val="18"/>
              </w:rPr>
              <w:t>341</w:t>
            </w:r>
          </w:p>
        </w:tc>
      </w:tr>
      <w:tr w:rsidR="00D1587D" w14:paraId="39FF2FC1" w14:textId="77777777">
        <w:trPr>
          <w:trHeight w:val="270"/>
        </w:trPr>
        <w:tc>
          <w:tcPr>
            <w:tcW w:w="6720" w:type="dxa"/>
            <w:gridSpan w:val="2"/>
            <w:vAlign w:val="bottom"/>
          </w:tcPr>
          <w:p w14:paraId="41E71007" w14:textId="77777777" w:rsidR="00D1587D" w:rsidRDefault="00410D07">
            <w:pPr>
              <w:ind w:left="180"/>
              <w:rPr>
                <w:sz w:val="20"/>
                <w:szCs w:val="20"/>
              </w:rPr>
            </w:pPr>
            <w:r>
              <w:rPr>
                <w:rFonts w:ascii="Arial" w:eastAsia="Arial" w:hAnsi="Arial" w:cs="Arial"/>
                <w:sz w:val="18"/>
                <w:szCs w:val="18"/>
              </w:rPr>
              <w:t>Income Taxes Payable</w:t>
            </w:r>
          </w:p>
        </w:tc>
        <w:tc>
          <w:tcPr>
            <w:tcW w:w="720" w:type="dxa"/>
            <w:vAlign w:val="bottom"/>
          </w:tcPr>
          <w:p w14:paraId="585EB209" w14:textId="77777777" w:rsidR="00D1587D" w:rsidRDefault="00410D07">
            <w:pPr>
              <w:ind w:right="31"/>
              <w:jc w:val="right"/>
              <w:rPr>
                <w:sz w:val="20"/>
                <w:szCs w:val="20"/>
              </w:rPr>
            </w:pPr>
            <w:r>
              <w:rPr>
                <w:rFonts w:ascii="Arial" w:eastAsia="Arial" w:hAnsi="Arial" w:cs="Arial"/>
                <w:sz w:val="18"/>
                <w:szCs w:val="18"/>
              </w:rPr>
              <w:t>15</w:t>
            </w:r>
          </w:p>
        </w:tc>
        <w:tc>
          <w:tcPr>
            <w:tcW w:w="220" w:type="dxa"/>
            <w:vAlign w:val="bottom"/>
          </w:tcPr>
          <w:p w14:paraId="43E0E6C6" w14:textId="77777777" w:rsidR="00D1587D" w:rsidRDefault="00D1587D">
            <w:pPr>
              <w:rPr>
                <w:sz w:val="23"/>
                <w:szCs w:val="23"/>
              </w:rPr>
            </w:pPr>
          </w:p>
        </w:tc>
        <w:tc>
          <w:tcPr>
            <w:tcW w:w="760" w:type="dxa"/>
            <w:vAlign w:val="bottom"/>
          </w:tcPr>
          <w:p w14:paraId="26021C2A" w14:textId="77777777" w:rsidR="00D1587D" w:rsidRDefault="00410D07">
            <w:pPr>
              <w:ind w:right="51"/>
              <w:jc w:val="right"/>
              <w:rPr>
                <w:sz w:val="20"/>
                <w:szCs w:val="20"/>
              </w:rPr>
            </w:pPr>
            <w:r>
              <w:rPr>
                <w:rFonts w:ascii="Arial" w:eastAsia="Arial" w:hAnsi="Arial" w:cs="Arial"/>
                <w:sz w:val="18"/>
                <w:szCs w:val="18"/>
              </w:rPr>
              <w:t>32</w:t>
            </w:r>
          </w:p>
        </w:tc>
      </w:tr>
      <w:tr w:rsidR="00D1587D" w14:paraId="62913EF4" w14:textId="77777777">
        <w:trPr>
          <w:trHeight w:val="54"/>
        </w:trPr>
        <w:tc>
          <w:tcPr>
            <w:tcW w:w="6600" w:type="dxa"/>
            <w:vAlign w:val="bottom"/>
          </w:tcPr>
          <w:p w14:paraId="0DD7D74F" w14:textId="77777777" w:rsidR="00D1587D" w:rsidRDefault="00D1587D">
            <w:pPr>
              <w:rPr>
                <w:sz w:val="4"/>
                <w:szCs w:val="4"/>
              </w:rPr>
            </w:pPr>
          </w:p>
        </w:tc>
        <w:tc>
          <w:tcPr>
            <w:tcW w:w="120" w:type="dxa"/>
            <w:vAlign w:val="bottom"/>
          </w:tcPr>
          <w:p w14:paraId="2C6B9D29" w14:textId="77777777" w:rsidR="00D1587D" w:rsidRDefault="00D1587D">
            <w:pPr>
              <w:rPr>
                <w:sz w:val="4"/>
                <w:szCs w:val="4"/>
              </w:rPr>
            </w:pPr>
          </w:p>
        </w:tc>
        <w:tc>
          <w:tcPr>
            <w:tcW w:w="720" w:type="dxa"/>
            <w:vAlign w:val="bottom"/>
          </w:tcPr>
          <w:p w14:paraId="3778EEDC" w14:textId="77777777" w:rsidR="00D1587D" w:rsidRDefault="00D1587D">
            <w:pPr>
              <w:rPr>
                <w:sz w:val="4"/>
                <w:szCs w:val="4"/>
              </w:rPr>
            </w:pPr>
          </w:p>
        </w:tc>
        <w:tc>
          <w:tcPr>
            <w:tcW w:w="220" w:type="dxa"/>
            <w:vAlign w:val="bottom"/>
          </w:tcPr>
          <w:p w14:paraId="357033E8" w14:textId="77777777" w:rsidR="00D1587D" w:rsidRDefault="00D1587D">
            <w:pPr>
              <w:rPr>
                <w:sz w:val="4"/>
                <w:szCs w:val="4"/>
              </w:rPr>
            </w:pPr>
          </w:p>
        </w:tc>
        <w:tc>
          <w:tcPr>
            <w:tcW w:w="760" w:type="dxa"/>
            <w:vAlign w:val="bottom"/>
          </w:tcPr>
          <w:p w14:paraId="2C8417C9" w14:textId="77777777" w:rsidR="00D1587D" w:rsidRDefault="00D1587D">
            <w:pPr>
              <w:rPr>
                <w:sz w:val="4"/>
                <w:szCs w:val="4"/>
              </w:rPr>
            </w:pPr>
          </w:p>
        </w:tc>
      </w:tr>
      <w:tr w:rsidR="00D1587D" w14:paraId="281E1090" w14:textId="77777777">
        <w:trPr>
          <w:trHeight w:val="270"/>
        </w:trPr>
        <w:tc>
          <w:tcPr>
            <w:tcW w:w="6720" w:type="dxa"/>
            <w:gridSpan w:val="2"/>
            <w:shd w:val="clear" w:color="auto" w:fill="CCEEFF"/>
            <w:vAlign w:val="bottom"/>
          </w:tcPr>
          <w:p w14:paraId="7928F4AC" w14:textId="77777777" w:rsidR="00D1587D" w:rsidRDefault="00410D07">
            <w:pPr>
              <w:ind w:left="180"/>
              <w:rPr>
                <w:sz w:val="20"/>
                <w:szCs w:val="20"/>
              </w:rPr>
            </w:pPr>
            <w:r>
              <w:rPr>
                <w:rFonts w:ascii="Arial" w:eastAsia="Arial" w:hAnsi="Arial" w:cs="Arial"/>
                <w:sz w:val="18"/>
                <w:szCs w:val="18"/>
              </w:rPr>
              <w:t>Due to Related Parties</w:t>
            </w:r>
          </w:p>
        </w:tc>
        <w:tc>
          <w:tcPr>
            <w:tcW w:w="720" w:type="dxa"/>
            <w:shd w:val="clear" w:color="auto" w:fill="CCEEFF"/>
            <w:vAlign w:val="bottom"/>
          </w:tcPr>
          <w:p w14:paraId="333F691D" w14:textId="77777777" w:rsidR="00D1587D" w:rsidRDefault="00410D07">
            <w:pPr>
              <w:ind w:right="11"/>
              <w:jc w:val="right"/>
              <w:rPr>
                <w:sz w:val="20"/>
                <w:szCs w:val="20"/>
              </w:rPr>
            </w:pPr>
            <w:r>
              <w:rPr>
                <w:rFonts w:ascii="Arial" w:eastAsia="Arial" w:hAnsi="Arial" w:cs="Arial"/>
                <w:sz w:val="18"/>
                <w:szCs w:val="18"/>
              </w:rPr>
              <w:t>6</w:t>
            </w:r>
          </w:p>
        </w:tc>
        <w:tc>
          <w:tcPr>
            <w:tcW w:w="220" w:type="dxa"/>
            <w:shd w:val="clear" w:color="auto" w:fill="CCEEFF"/>
            <w:vAlign w:val="bottom"/>
          </w:tcPr>
          <w:p w14:paraId="22B0567A" w14:textId="77777777" w:rsidR="00D1587D" w:rsidRDefault="00D1587D">
            <w:pPr>
              <w:rPr>
                <w:sz w:val="23"/>
                <w:szCs w:val="23"/>
              </w:rPr>
            </w:pPr>
          </w:p>
        </w:tc>
        <w:tc>
          <w:tcPr>
            <w:tcW w:w="760" w:type="dxa"/>
            <w:shd w:val="clear" w:color="auto" w:fill="CCEEFF"/>
            <w:vAlign w:val="bottom"/>
          </w:tcPr>
          <w:p w14:paraId="61F25119" w14:textId="77777777" w:rsidR="00D1587D" w:rsidRDefault="00410D07">
            <w:pPr>
              <w:ind w:right="51"/>
              <w:jc w:val="right"/>
              <w:rPr>
                <w:sz w:val="20"/>
                <w:szCs w:val="20"/>
              </w:rPr>
            </w:pPr>
            <w:r>
              <w:rPr>
                <w:rFonts w:ascii="Arial" w:eastAsia="Arial" w:hAnsi="Arial" w:cs="Arial"/>
                <w:sz w:val="18"/>
                <w:szCs w:val="18"/>
              </w:rPr>
              <w:t>8</w:t>
            </w:r>
          </w:p>
        </w:tc>
      </w:tr>
      <w:tr w:rsidR="00D1587D" w14:paraId="64AFF239" w14:textId="77777777">
        <w:trPr>
          <w:trHeight w:val="67"/>
        </w:trPr>
        <w:tc>
          <w:tcPr>
            <w:tcW w:w="6600" w:type="dxa"/>
            <w:shd w:val="clear" w:color="auto" w:fill="CCEEFF"/>
            <w:vAlign w:val="bottom"/>
          </w:tcPr>
          <w:p w14:paraId="246E2E0B" w14:textId="77777777" w:rsidR="00D1587D" w:rsidRDefault="00D1587D">
            <w:pPr>
              <w:rPr>
                <w:sz w:val="5"/>
                <w:szCs w:val="5"/>
              </w:rPr>
            </w:pPr>
          </w:p>
        </w:tc>
        <w:tc>
          <w:tcPr>
            <w:tcW w:w="120" w:type="dxa"/>
            <w:tcBorders>
              <w:bottom w:val="single" w:sz="8" w:space="0" w:color="CCEEFF"/>
            </w:tcBorders>
            <w:shd w:val="clear" w:color="auto" w:fill="CCEEFF"/>
            <w:vAlign w:val="bottom"/>
          </w:tcPr>
          <w:p w14:paraId="31E92BA5" w14:textId="77777777" w:rsidR="00D1587D" w:rsidRDefault="00D1587D">
            <w:pPr>
              <w:rPr>
                <w:sz w:val="5"/>
                <w:szCs w:val="5"/>
              </w:rPr>
            </w:pPr>
          </w:p>
        </w:tc>
        <w:tc>
          <w:tcPr>
            <w:tcW w:w="720" w:type="dxa"/>
            <w:tcBorders>
              <w:bottom w:val="single" w:sz="8" w:space="0" w:color="auto"/>
            </w:tcBorders>
            <w:shd w:val="clear" w:color="auto" w:fill="CCEEFF"/>
            <w:vAlign w:val="bottom"/>
          </w:tcPr>
          <w:p w14:paraId="593C3600" w14:textId="77777777" w:rsidR="00D1587D" w:rsidRDefault="00D1587D">
            <w:pPr>
              <w:rPr>
                <w:sz w:val="5"/>
                <w:szCs w:val="5"/>
              </w:rPr>
            </w:pPr>
          </w:p>
        </w:tc>
        <w:tc>
          <w:tcPr>
            <w:tcW w:w="220" w:type="dxa"/>
            <w:tcBorders>
              <w:bottom w:val="single" w:sz="8" w:space="0" w:color="CCEEFF"/>
            </w:tcBorders>
            <w:shd w:val="clear" w:color="auto" w:fill="CCEEFF"/>
            <w:vAlign w:val="bottom"/>
          </w:tcPr>
          <w:p w14:paraId="75F08EC4" w14:textId="77777777" w:rsidR="00D1587D" w:rsidRDefault="00D1587D">
            <w:pPr>
              <w:rPr>
                <w:sz w:val="5"/>
                <w:szCs w:val="5"/>
              </w:rPr>
            </w:pPr>
          </w:p>
        </w:tc>
        <w:tc>
          <w:tcPr>
            <w:tcW w:w="760" w:type="dxa"/>
            <w:tcBorders>
              <w:bottom w:val="single" w:sz="8" w:space="0" w:color="auto"/>
            </w:tcBorders>
            <w:shd w:val="clear" w:color="auto" w:fill="CCEEFF"/>
            <w:vAlign w:val="bottom"/>
          </w:tcPr>
          <w:p w14:paraId="28A1DD35" w14:textId="77777777" w:rsidR="00D1587D" w:rsidRDefault="00D1587D">
            <w:pPr>
              <w:rPr>
                <w:sz w:val="5"/>
                <w:szCs w:val="5"/>
              </w:rPr>
            </w:pPr>
          </w:p>
        </w:tc>
      </w:tr>
      <w:tr w:rsidR="00D1587D" w14:paraId="4EE20D83" w14:textId="77777777">
        <w:trPr>
          <w:trHeight w:val="277"/>
        </w:trPr>
        <w:tc>
          <w:tcPr>
            <w:tcW w:w="6720" w:type="dxa"/>
            <w:gridSpan w:val="2"/>
            <w:vAlign w:val="bottom"/>
          </w:tcPr>
          <w:p w14:paraId="4CEC68D8" w14:textId="77777777" w:rsidR="00D1587D" w:rsidRDefault="00410D07">
            <w:pPr>
              <w:rPr>
                <w:sz w:val="20"/>
                <w:szCs w:val="20"/>
              </w:rPr>
            </w:pPr>
            <w:r>
              <w:rPr>
                <w:rFonts w:ascii="Arial" w:eastAsia="Arial" w:hAnsi="Arial" w:cs="Arial"/>
                <w:sz w:val="18"/>
                <w:szCs w:val="18"/>
              </w:rPr>
              <w:t>Total Current Liabilities</w:t>
            </w:r>
          </w:p>
        </w:tc>
        <w:tc>
          <w:tcPr>
            <w:tcW w:w="720" w:type="dxa"/>
            <w:vAlign w:val="bottom"/>
          </w:tcPr>
          <w:p w14:paraId="247F1524" w14:textId="77777777" w:rsidR="00D1587D" w:rsidRDefault="00410D07">
            <w:pPr>
              <w:ind w:right="31"/>
              <w:jc w:val="right"/>
              <w:rPr>
                <w:sz w:val="20"/>
                <w:szCs w:val="20"/>
              </w:rPr>
            </w:pPr>
            <w:r>
              <w:rPr>
                <w:rFonts w:ascii="Arial" w:eastAsia="Arial" w:hAnsi="Arial" w:cs="Arial"/>
                <w:sz w:val="18"/>
                <w:szCs w:val="18"/>
              </w:rPr>
              <w:t>1,556</w:t>
            </w:r>
          </w:p>
        </w:tc>
        <w:tc>
          <w:tcPr>
            <w:tcW w:w="220" w:type="dxa"/>
            <w:vAlign w:val="bottom"/>
          </w:tcPr>
          <w:p w14:paraId="3A5AC46B" w14:textId="77777777" w:rsidR="00D1587D" w:rsidRDefault="00D1587D">
            <w:pPr>
              <w:rPr>
                <w:sz w:val="24"/>
                <w:szCs w:val="24"/>
              </w:rPr>
            </w:pPr>
          </w:p>
        </w:tc>
        <w:tc>
          <w:tcPr>
            <w:tcW w:w="760" w:type="dxa"/>
            <w:vAlign w:val="bottom"/>
          </w:tcPr>
          <w:p w14:paraId="472E1B81" w14:textId="77777777" w:rsidR="00D1587D" w:rsidRDefault="00410D07">
            <w:pPr>
              <w:ind w:right="71"/>
              <w:jc w:val="right"/>
              <w:rPr>
                <w:sz w:val="20"/>
                <w:szCs w:val="20"/>
              </w:rPr>
            </w:pPr>
            <w:r>
              <w:rPr>
                <w:rFonts w:ascii="Arial" w:eastAsia="Arial" w:hAnsi="Arial" w:cs="Arial"/>
                <w:sz w:val="18"/>
                <w:szCs w:val="18"/>
              </w:rPr>
              <w:t>1,440</w:t>
            </w:r>
          </w:p>
        </w:tc>
      </w:tr>
      <w:tr w:rsidR="00D1587D" w14:paraId="2EA56F6A" w14:textId="77777777">
        <w:trPr>
          <w:trHeight w:val="54"/>
        </w:trPr>
        <w:tc>
          <w:tcPr>
            <w:tcW w:w="6600" w:type="dxa"/>
            <w:vAlign w:val="bottom"/>
          </w:tcPr>
          <w:p w14:paraId="512D38C6" w14:textId="77777777" w:rsidR="00D1587D" w:rsidRDefault="00D1587D">
            <w:pPr>
              <w:rPr>
                <w:sz w:val="4"/>
                <w:szCs w:val="4"/>
              </w:rPr>
            </w:pPr>
          </w:p>
        </w:tc>
        <w:tc>
          <w:tcPr>
            <w:tcW w:w="120" w:type="dxa"/>
            <w:vAlign w:val="bottom"/>
          </w:tcPr>
          <w:p w14:paraId="4EE7EA22" w14:textId="77777777" w:rsidR="00D1587D" w:rsidRDefault="00D1587D">
            <w:pPr>
              <w:rPr>
                <w:sz w:val="4"/>
                <w:szCs w:val="4"/>
              </w:rPr>
            </w:pPr>
          </w:p>
        </w:tc>
        <w:tc>
          <w:tcPr>
            <w:tcW w:w="720" w:type="dxa"/>
            <w:vAlign w:val="bottom"/>
          </w:tcPr>
          <w:p w14:paraId="320DEAE7" w14:textId="77777777" w:rsidR="00D1587D" w:rsidRDefault="00D1587D">
            <w:pPr>
              <w:rPr>
                <w:sz w:val="4"/>
                <w:szCs w:val="4"/>
              </w:rPr>
            </w:pPr>
          </w:p>
        </w:tc>
        <w:tc>
          <w:tcPr>
            <w:tcW w:w="220" w:type="dxa"/>
            <w:vAlign w:val="bottom"/>
          </w:tcPr>
          <w:p w14:paraId="5AF95D82" w14:textId="77777777" w:rsidR="00D1587D" w:rsidRDefault="00D1587D">
            <w:pPr>
              <w:rPr>
                <w:sz w:val="4"/>
                <w:szCs w:val="4"/>
              </w:rPr>
            </w:pPr>
          </w:p>
        </w:tc>
        <w:tc>
          <w:tcPr>
            <w:tcW w:w="760" w:type="dxa"/>
            <w:vAlign w:val="bottom"/>
          </w:tcPr>
          <w:p w14:paraId="2B8529E8" w14:textId="77777777" w:rsidR="00D1587D" w:rsidRDefault="00D1587D">
            <w:pPr>
              <w:rPr>
                <w:sz w:val="4"/>
                <w:szCs w:val="4"/>
              </w:rPr>
            </w:pPr>
          </w:p>
        </w:tc>
      </w:tr>
      <w:tr w:rsidR="00D1587D" w14:paraId="35E46050" w14:textId="77777777">
        <w:trPr>
          <w:trHeight w:val="304"/>
        </w:trPr>
        <w:tc>
          <w:tcPr>
            <w:tcW w:w="6720" w:type="dxa"/>
            <w:gridSpan w:val="2"/>
            <w:tcBorders>
              <w:bottom w:val="single" w:sz="8" w:space="0" w:color="CCEEFF"/>
            </w:tcBorders>
            <w:shd w:val="clear" w:color="auto" w:fill="CCEEFF"/>
            <w:vAlign w:val="bottom"/>
          </w:tcPr>
          <w:p w14:paraId="1BB00FF3" w14:textId="77777777" w:rsidR="00D1587D" w:rsidRDefault="00410D07">
            <w:pPr>
              <w:rPr>
                <w:sz w:val="20"/>
                <w:szCs w:val="20"/>
              </w:rPr>
            </w:pPr>
            <w:r>
              <w:rPr>
                <w:rFonts w:ascii="Arial" w:eastAsia="Arial" w:hAnsi="Arial" w:cs="Arial"/>
                <w:sz w:val="18"/>
                <w:szCs w:val="18"/>
              </w:rPr>
              <w:t>Deferred Income Taxes</w:t>
            </w:r>
          </w:p>
        </w:tc>
        <w:tc>
          <w:tcPr>
            <w:tcW w:w="720" w:type="dxa"/>
            <w:tcBorders>
              <w:bottom w:val="single" w:sz="8" w:space="0" w:color="CCEEFF"/>
            </w:tcBorders>
            <w:shd w:val="clear" w:color="auto" w:fill="CCEEFF"/>
            <w:vAlign w:val="bottom"/>
          </w:tcPr>
          <w:p w14:paraId="4C6099F8" w14:textId="77777777" w:rsidR="00D1587D" w:rsidRDefault="00410D07">
            <w:pPr>
              <w:ind w:right="31"/>
              <w:jc w:val="right"/>
              <w:rPr>
                <w:sz w:val="20"/>
                <w:szCs w:val="20"/>
              </w:rPr>
            </w:pPr>
            <w:r>
              <w:rPr>
                <w:rFonts w:ascii="Arial" w:eastAsia="Arial" w:hAnsi="Arial" w:cs="Arial"/>
                <w:sz w:val="18"/>
                <w:szCs w:val="18"/>
              </w:rPr>
              <w:t>19</w:t>
            </w:r>
          </w:p>
        </w:tc>
        <w:tc>
          <w:tcPr>
            <w:tcW w:w="220" w:type="dxa"/>
            <w:tcBorders>
              <w:bottom w:val="single" w:sz="8" w:space="0" w:color="CCEEFF"/>
            </w:tcBorders>
            <w:shd w:val="clear" w:color="auto" w:fill="CCEEFF"/>
            <w:vAlign w:val="bottom"/>
          </w:tcPr>
          <w:p w14:paraId="30FF9DE1" w14:textId="77777777" w:rsidR="00D1587D" w:rsidRDefault="00D1587D">
            <w:pPr>
              <w:rPr>
                <w:sz w:val="24"/>
                <w:szCs w:val="24"/>
              </w:rPr>
            </w:pPr>
          </w:p>
        </w:tc>
        <w:tc>
          <w:tcPr>
            <w:tcW w:w="760" w:type="dxa"/>
            <w:tcBorders>
              <w:bottom w:val="single" w:sz="8" w:space="0" w:color="CCEEFF"/>
            </w:tcBorders>
            <w:shd w:val="clear" w:color="auto" w:fill="CCEEFF"/>
            <w:vAlign w:val="bottom"/>
          </w:tcPr>
          <w:p w14:paraId="595891F6" w14:textId="77777777" w:rsidR="00D1587D" w:rsidRDefault="00410D07">
            <w:pPr>
              <w:ind w:right="51"/>
              <w:jc w:val="right"/>
              <w:rPr>
                <w:sz w:val="20"/>
                <w:szCs w:val="20"/>
              </w:rPr>
            </w:pPr>
            <w:r>
              <w:rPr>
                <w:rFonts w:ascii="Arial" w:eastAsia="Arial" w:hAnsi="Arial" w:cs="Arial"/>
                <w:sz w:val="18"/>
                <w:szCs w:val="18"/>
              </w:rPr>
              <w:t>89</w:t>
            </w:r>
          </w:p>
        </w:tc>
      </w:tr>
      <w:tr w:rsidR="00D1587D" w14:paraId="448FB1C8" w14:textId="77777777">
        <w:trPr>
          <w:trHeight w:val="270"/>
        </w:trPr>
        <w:tc>
          <w:tcPr>
            <w:tcW w:w="6720" w:type="dxa"/>
            <w:gridSpan w:val="2"/>
            <w:vAlign w:val="bottom"/>
          </w:tcPr>
          <w:p w14:paraId="154F9DA7" w14:textId="77777777" w:rsidR="00D1587D" w:rsidRDefault="00410D07">
            <w:pPr>
              <w:rPr>
                <w:sz w:val="20"/>
                <w:szCs w:val="20"/>
              </w:rPr>
            </w:pPr>
            <w:r>
              <w:rPr>
                <w:rFonts w:ascii="Arial" w:eastAsia="Arial" w:hAnsi="Arial" w:cs="Arial"/>
                <w:sz w:val="18"/>
                <w:szCs w:val="18"/>
              </w:rPr>
              <w:t>Long-term Debt</w:t>
            </w:r>
          </w:p>
        </w:tc>
        <w:tc>
          <w:tcPr>
            <w:tcW w:w="940" w:type="dxa"/>
            <w:gridSpan w:val="2"/>
            <w:vAlign w:val="bottom"/>
          </w:tcPr>
          <w:p w14:paraId="2A5FD92D" w14:textId="77777777" w:rsidR="00D1587D" w:rsidRDefault="00410D07">
            <w:pPr>
              <w:ind w:right="340"/>
              <w:jc w:val="right"/>
              <w:rPr>
                <w:sz w:val="20"/>
                <w:szCs w:val="20"/>
              </w:rPr>
            </w:pPr>
            <w:r>
              <w:rPr>
                <w:rFonts w:ascii="Arial" w:eastAsia="Arial" w:hAnsi="Arial" w:cs="Arial"/>
                <w:sz w:val="18"/>
                <w:szCs w:val="18"/>
              </w:rPr>
              <w:t>—</w:t>
            </w:r>
          </w:p>
        </w:tc>
        <w:tc>
          <w:tcPr>
            <w:tcW w:w="760" w:type="dxa"/>
            <w:vAlign w:val="bottom"/>
          </w:tcPr>
          <w:p w14:paraId="3A1B4E18" w14:textId="77777777" w:rsidR="00D1587D" w:rsidRDefault="00410D07">
            <w:pPr>
              <w:ind w:right="51"/>
              <w:jc w:val="right"/>
              <w:rPr>
                <w:sz w:val="20"/>
                <w:szCs w:val="20"/>
              </w:rPr>
            </w:pPr>
            <w:r>
              <w:rPr>
                <w:rFonts w:ascii="Arial" w:eastAsia="Arial" w:hAnsi="Arial" w:cs="Arial"/>
                <w:sz w:val="18"/>
                <w:szCs w:val="18"/>
              </w:rPr>
              <w:t>92</w:t>
            </w:r>
          </w:p>
        </w:tc>
      </w:tr>
      <w:tr w:rsidR="00D1587D" w14:paraId="2E789F42" w14:textId="77777777">
        <w:trPr>
          <w:trHeight w:val="54"/>
        </w:trPr>
        <w:tc>
          <w:tcPr>
            <w:tcW w:w="6600" w:type="dxa"/>
            <w:vAlign w:val="bottom"/>
          </w:tcPr>
          <w:p w14:paraId="57A40EEF" w14:textId="77777777" w:rsidR="00D1587D" w:rsidRDefault="00D1587D">
            <w:pPr>
              <w:rPr>
                <w:sz w:val="4"/>
                <w:szCs w:val="4"/>
              </w:rPr>
            </w:pPr>
          </w:p>
        </w:tc>
        <w:tc>
          <w:tcPr>
            <w:tcW w:w="120" w:type="dxa"/>
            <w:vAlign w:val="bottom"/>
          </w:tcPr>
          <w:p w14:paraId="4BDDD964" w14:textId="77777777" w:rsidR="00D1587D" w:rsidRDefault="00D1587D">
            <w:pPr>
              <w:rPr>
                <w:sz w:val="4"/>
                <w:szCs w:val="4"/>
              </w:rPr>
            </w:pPr>
          </w:p>
        </w:tc>
        <w:tc>
          <w:tcPr>
            <w:tcW w:w="720" w:type="dxa"/>
            <w:vAlign w:val="bottom"/>
          </w:tcPr>
          <w:p w14:paraId="18E9A0C1" w14:textId="77777777" w:rsidR="00D1587D" w:rsidRDefault="00D1587D">
            <w:pPr>
              <w:rPr>
                <w:sz w:val="4"/>
                <w:szCs w:val="4"/>
              </w:rPr>
            </w:pPr>
          </w:p>
        </w:tc>
        <w:tc>
          <w:tcPr>
            <w:tcW w:w="220" w:type="dxa"/>
            <w:vAlign w:val="bottom"/>
          </w:tcPr>
          <w:p w14:paraId="55C8D445" w14:textId="77777777" w:rsidR="00D1587D" w:rsidRDefault="00D1587D">
            <w:pPr>
              <w:rPr>
                <w:sz w:val="4"/>
                <w:szCs w:val="4"/>
              </w:rPr>
            </w:pPr>
          </w:p>
        </w:tc>
        <w:tc>
          <w:tcPr>
            <w:tcW w:w="760" w:type="dxa"/>
            <w:vAlign w:val="bottom"/>
          </w:tcPr>
          <w:p w14:paraId="148431D6" w14:textId="77777777" w:rsidR="00D1587D" w:rsidRDefault="00D1587D">
            <w:pPr>
              <w:rPr>
                <w:sz w:val="4"/>
                <w:szCs w:val="4"/>
              </w:rPr>
            </w:pPr>
          </w:p>
        </w:tc>
      </w:tr>
      <w:tr w:rsidR="00D1587D" w14:paraId="3DF3AC50" w14:textId="77777777">
        <w:trPr>
          <w:trHeight w:val="304"/>
        </w:trPr>
        <w:tc>
          <w:tcPr>
            <w:tcW w:w="6720" w:type="dxa"/>
            <w:gridSpan w:val="2"/>
            <w:tcBorders>
              <w:bottom w:val="single" w:sz="8" w:space="0" w:color="CCEEFF"/>
            </w:tcBorders>
            <w:shd w:val="clear" w:color="auto" w:fill="CCEEFF"/>
            <w:vAlign w:val="bottom"/>
          </w:tcPr>
          <w:p w14:paraId="64826983" w14:textId="77777777" w:rsidR="00D1587D" w:rsidRDefault="00410D07">
            <w:pPr>
              <w:rPr>
                <w:sz w:val="20"/>
                <w:szCs w:val="20"/>
              </w:rPr>
            </w:pPr>
            <w:r>
              <w:rPr>
                <w:rFonts w:ascii="Arial" w:eastAsia="Arial" w:hAnsi="Arial" w:cs="Arial"/>
                <w:sz w:val="18"/>
                <w:szCs w:val="18"/>
              </w:rPr>
              <w:t>Long-term Debt due to Related Party</w:t>
            </w:r>
          </w:p>
        </w:tc>
        <w:tc>
          <w:tcPr>
            <w:tcW w:w="720" w:type="dxa"/>
            <w:tcBorders>
              <w:bottom w:val="single" w:sz="8" w:space="0" w:color="CCEEFF"/>
            </w:tcBorders>
            <w:shd w:val="clear" w:color="auto" w:fill="CCEEFF"/>
            <w:vAlign w:val="bottom"/>
          </w:tcPr>
          <w:p w14:paraId="7A16ABD1" w14:textId="77777777" w:rsidR="00D1587D" w:rsidRDefault="00410D07">
            <w:pPr>
              <w:ind w:right="31"/>
              <w:jc w:val="right"/>
              <w:rPr>
                <w:sz w:val="20"/>
                <w:szCs w:val="20"/>
              </w:rPr>
            </w:pPr>
            <w:r>
              <w:rPr>
                <w:rFonts w:ascii="Arial" w:eastAsia="Arial" w:hAnsi="Arial" w:cs="Arial"/>
                <w:sz w:val="18"/>
                <w:szCs w:val="18"/>
              </w:rPr>
              <w:t>97</w:t>
            </w:r>
          </w:p>
        </w:tc>
        <w:tc>
          <w:tcPr>
            <w:tcW w:w="220" w:type="dxa"/>
            <w:tcBorders>
              <w:bottom w:val="single" w:sz="8" w:space="0" w:color="CCEEFF"/>
            </w:tcBorders>
            <w:shd w:val="clear" w:color="auto" w:fill="CCEEFF"/>
            <w:vAlign w:val="bottom"/>
          </w:tcPr>
          <w:p w14:paraId="52CA59F9" w14:textId="77777777" w:rsidR="00D1587D" w:rsidRDefault="00D1587D">
            <w:pPr>
              <w:rPr>
                <w:sz w:val="24"/>
                <w:szCs w:val="24"/>
              </w:rPr>
            </w:pPr>
          </w:p>
        </w:tc>
        <w:tc>
          <w:tcPr>
            <w:tcW w:w="760" w:type="dxa"/>
            <w:tcBorders>
              <w:bottom w:val="single" w:sz="8" w:space="0" w:color="CCEEFF"/>
            </w:tcBorders>
            <w:shd w:val="clear" w:color="auto" w:fill="CCEEFF"/>
            <w:vAlign w:val="bottom"/>
          </w:tcPr>
          <w:p w14:paraId="37EA98C6" w14:textId="77777777" w:rsidR="00D1587D" w:rsidRDefault="00410D07">
            <w:pPr>
              <w:ind w:right="51"/>
              <w:jc w:val="right"/>
              <w:rPr>
                <w:sz w:val="20"/>
                <w:szCs w:val="20"/>
              </w:rPr>
            </w:pPr>
            <w:r>
              <w:rPr>
                <w:rFonts w:ascii="Arial" w:eastAsia="Arial" w:hAnsi="Arial" w:cs="Arial"/>
                <w:sz w:val="18"/>
                <w:szCs w:val="18"/>
              </w:rPr>
              <w:t>—</w:t>
            </w:r>
          </w:p>
        </w:tc>
      </w:tr>
      <w:tr w:rsidR="00D1587D" w14:paraId="53354B0D" w14:textId="77777777">
        <w:trPr>
          <w:trHeight w:val="270"/>
        </w:trPr>
        <w:tc>
          <w:tcPr>
            <w:tcW w:w="6720" w:type="dxa"/>
            <w:gridSpan w:val="2"/>
            <w:vAlign w:val="bottom"/>
          </w:tcPr>
          <w:p w14:paraId="48263E5F" w14:textId="77777777" w:rsidR="00D1587D" w:rsidRDefault="00410D07">
            <w:pPr>
              <w:rPr>
                <w:sz w:val="20"/>
                <w:szCs w:val="20"/>
              </w:rPr>
            </w:pPr>
            <w:r>
              <w:rPr>
                <w:rFonts w:ascii="Arial" w:eastAsia="Arial" w:hAnsi="Arial" w:cs="Arial"/>
                <w:sz w:val="18"/>
                <w:szCs w:val="18"/>
              </w:rPr>
              <w:t>Long-term Operating Lease Liabilities</w:t>
            </w:r>
          </w:p>
        </w:tc>
        <w:tc>
          <w:tcPr>
            <w:tcW w:w="720" w:type="dxa"/>
            <w:vAlign w:val="bottom"/>
          </w:tcPr>
          <w:p w14:paraId="7E339D06" w14:textId="77777777" w:rsidR="00D1587D" w:rsidRDefault="00410D07">
            <w:pPr>
              <w:ind w:right="31"/>
              <w:jc w:val="right"/>
              <w:rPr>
                <w:sz w:val="20"/>
                <w:szCs w:val="20"/>
              </w:rPr>
            </w:pPr>
            <w:r>
              <w:rPr>
                <w:rFonts w:ascii="Arial" w:eastAsia="Arial" w:hAnsi="Arial" w:cs="Arial"/>
                <w:sz w:val="18"/>
                <w:szCs w:val="18"/>
              </w:rPr>
              <w:t>1,553</w:t>
            </w:r>
          </w:p>
        </w:tc>
        <w:tc>
          <w:tcPr>
            <w:tcW w:w="220" w:type="dxa"/>
            <w:vAlign w:val="bottom"/>
          </w:tcPr>
          <w:p w14:paraId="1D1BD935" w14:textId="77777777" w:rsidR="00D1587D" w:rsidRDefault="00D1587D">
            <w:pPr>
              <w:rPr>
                <w:sz w:val="23"/>
                <w:szCs w:val="23"/>
              </w:rPr>
            </w:pPr>
          </w:p>
        </w:tc>
        <w:tc>
          <w:tcPr>
            <w:tcW w:w="760" w:type="dxa"/>
            <w:vAlign w:val="bottom"/>
          </w:tcPr>
          <w:p w14:paraId="50687AA1" w14:textId="77777777" w:rsidR="00D1587D" w:rsidRDefault="00410D07">
            <w:pPr>
              <w:ind w:right="71"/>
              <w:jc w:val="right"/>
              <w:rPr>
                <w:sz w:val="20"/>
                <w:szCs w:val="20"/>
              </w:rPr>
            </w:pPr>
            <w:r>
              <w:rPr>
                <w:rFonts w:ascii="Arial" w:eastAsia="Arial" w:hAnsi="Arial" w:cs="Arial"/>
                <w:sz w:val="18"/>
                <w:szCs w:val="18"/>
              </w:rPr>
              <w:t>2,158</w:t>
            </w:r>
          </w:p>
        </w:tc>
      </w:tr>
      <w:tr w:rsidR="00D1587D" w14:paraId="054EF9D4" w14:textId="77777777">
        <w:trPr>
          <w:trHeight w:val="54"/>
        </w:trPr>
        <w:tc>
          <w:tcPr>
            <w:tcW w:w="6600" w:type="dxa"/>
            <w:vAlign w:val="bottom"/>
          </w:tcPr>
          <w:p w14:paraId="3E8D2663" w14:textId="77777777" w:rsidR="00D1587D" w:rsidRDefault="00D1587D">
            <w:pPr>
              <w:rPr>
                <w:sz w:val="4"/>
                <w:szCs w:val="4"/>
              </w:rPr>
            </w:pPr>
          </w:p>
        </w:tc>
        <w:tc>
          <w:tcPr>
            <w:tcW w:w="120" w:type="dxa"/>
            <w:vAlign w:val="bottom"/>
          </w:tcPr>
          <w:p w14:paraId="480676AF" w14:textId="77777777" w:rsidR="00D1587D" w:rsidRDefault="00D1587D">
            <w:pPr>
              <w:rPr>
                <w:sz w:val="4"/>
                <w:szCs w:val="4"/>
              </w:rPr>
            </w:pPr>
          </w:p>
        </w:tc>
        <w:tc>
          <w:tcPr>
            <w:tcW w:w="720" w:type="dxa"/>
            <w:vAlign w:val="bottom"/>
          </w:tcPr>
          <w:p w14:paraId="3B0405CB" w14:textId="77777777" w:rsidR="00D1587D" w:rsidRDefault="00D1587D">
            <w:pPr>
              <w:rPr>
                <w:sz w:val="4"/>
                <w:szCs w:val="4"/>
              </w:rPr>
            </w:pPr>
          </w:p>
        </w:tc>
        <w:tc>
          <w:tcPr>
            <w:tcW w:w="220" w:type="dxa"/>
            <w:vAlign w:val="bottom"/>
          </w:tcPr>
          <w:p w14:paraId="245F1E01" w14:textId="77777777" w:rsidR="00D1587D" w:rsidRDefault="00D1587D">
            <w:pPr>
              <w:rPr>
                <w:sz w:val="4"/>
                <w:szCs w:val="4"/>
              </w:rPr>
            </w:pPr>
          </w:p>
        </w:tc>
        <w:tc>
          <w:tcPr>
            <w:tcW w:w="760" w:type="dxa"/>
            <w:vAlign w:val="bottom"/>
          </w:tcPr>
          <w:p w14:paraId="700EDD5C" w14:textId="77777777" w:rsidR="00D1587D" w:rsidRDefault="00D1587D">
            <w:pPr>
              <w:rPr>
                <w:sz w:val="4"/>
                <w:szCs w:val="4"/>
              </w:rPr>
            </w:pPr>
          </w:p>
        </w:tc>
      </w:tr>
      <w:tr w:rsidR="00D1587D" w14:paraId="05C5311A" w14:textId="77777777">
        <w:trPr>
          <w:trHeight w:val="270"/>
        </w:trPr>
        <w:tc>
          <w:tcPr>
            <w:tcW w:w="6720" w:type="dxa"/>
            <w:gridSpan w:val="2"/>
            <w:shd w:val="clear" w:color="auto" w:fill="CCEEFF"/>
            <w:vAlign w:val="bottom"/>
          </w:tcPr>
          <w:p w14:paraId="41D2E09B" w14:textId="77777777" w:rsidR="00D1587D" w:rsidRDefault="00410D07">
            <w:pPr>
              <w:rPr>
                <w:sz w:val="20"/>
                <w:szCs w:val="20"/>
              </w:rPr>
            </w:pPr>
            <w:r>
              <w:rPr>
                <w:rFonts w:ascii="Arial" w:eastAsia="Arial" w:hAnsi="Arial" w:cs="Arial"/>
                <w:sz w:val="18"/>
                <w:szCs w:val="18"/>
              </w:rPr>
              <w:t>Other Long-term Liabilities</w:t>
            </w:r>
          </w:p>
        </w:tc>
        <w:tc>
          <w:tcPr>
            <w:tcW w:w="720" w:type="dxa"/>
            <w:shd w:val="clear" w:color="auto" w:fill="CCEEFF"/>
            <w:vAlign w:val="bottom"/>
          </w:tcPr>
          <w:p w14:paraId="51FF62B0" w14:textId="77777777" w:rsidR="00D1587D" w:rsidRDefault="00410D07">
            <w:pPr>
              <w:ind w:right="11"/>
              <w:jc w:val="right"/>
              <w:rPr>
                <w:sz w:val="20"/>
                <w:szCs w:val="20"/>
              </w:rPr>
            </w:pPr>
            <w:r>
              <w:rPr>
                <w:rFonts w:ascii="Arial" w:eastAsia="Arial" w:hAnsi="Arial" w:cs="Arial"/>
                <w:sz w:val="18"/>
                <w:szCs w:val="18"/>
              </w:rPr>
              <w:t>113</w:t>
            </w:r>
          </w:p>
        </w:tc>
        <w:tc>
          <w:tcPr>
            <w:tcW w:w="220" w:type="dxa"/>
            <w:shd w:val="clear" w:color="auto" w:fill="CCEEFF"/>
            <w:vAlign w:val="bottom"/>
          </w:tcPr>
          <w:p w14:paraId="4D79E59C" w14:textId="77777777" w:rsidR="00D1587D" w:rsidRDefault="00D1587D">
            <w:pPr>
              <w:rPr>
                <w:sz w:val="23"/>
                <w:szCs w:val="23"/>
              </w:rPr>
            </w:pPr>
          </w:p>
        </w:tc>
        <w:tc>
          <w:tcPr>
            <w:tcW w:w="760" w:type="dxa"/>
            <w:shd w:val="clear" w:color="auto" w:fill="CCEEFF"/>
            <w:vAlign w:val="bottom"/>
          </w:tcPr>
          <w:p w14:paraId="586A6C2F" w14:textId="77777777" w:rsidR="00D1587D" w:rsidRDefault="00410D07">
            <w:pPr>
              <w:ind w:right="71"/>
              <w:jc w:val="right"/>
              <w:rPr>
                <w:sz w:val="20"/>
                <w:szCs w:val="20"/>
              </w:rPr>
            </w:pPr>
            <w:r>
              <w:rPr>
                <w:rFonts w:ascii="Arial" w:eastAsia="Arial" w:hAnsi="Arial" w:cs="Arial"/>
                <w:sz w:val="18"/>
                <w:szCs w:val="18"/>
              </w:rPr>
              <w:t>177</w:t>
            </w:r>
          </w:p>
        </w:tc>
      </w:tr>
      <w:tr w:rsidR="00D1587D" w14:paraId="5531D0A9" w14:textId="77777777">
        <w:trPr>
          <w:trHeight w:val="68"/>
        </w:trPr>
        <w:tc>
          <w:tcPr>
            <w:tcW w:w="6600" w:type="dxa"/>
            <w:shd w:val="clear" w:color="auto" w:fill="CCEEFF"/>
            <w:vAlign w:val="bottom"/>
          </w:tcPr>
          <w:p w14:paraId="78F966BE" w14:textId="77777777" w:rsidR="00D1587D" w:rsidRDefault="00D1587D">
            <w:pPr>
              <w:rPr>
                <w:sz w:val="5"/>
                <w:szCs w:val="5"/>
              </w:rPr>
            </w:pPr>
          </w:p>
        </w:tc>
        <w:tc>
          <w:tcPr>
            <w:tcW w:w="120" w:type="dxa"/>
            <w:tcBorders>
              <w:bottom w:val="single" w:sz="8" w:space="0" w:color="CCEEFF"/>
            </w:tcBorders>
            <w:shd w:val="clear" w:color="auto" w:fill="CCEEFF"/>
            <w:vAlign w:val="bottom"/>
          </w:tcPr>
          <w:p w14:paraId="12E77EFD" w14:textId="77777777" w:rsidR="00D1587D" w:rsidRDefault="00D1587D">
            <w:pPr>
              <w:rPr>
                <w:sz w:val="5"/>
                <w:szCs w:val="5"/>
              </w:rPr>
            </w:pPr>
          </w:p>
        </w:tc>
        <w:tc>
          <w:tcPr>
            <w:tcW w:w="720" w:type="dxa"/>
            <w:tcBorders>
              <w:bottom w:val="single" w:sz="8" w:space="0" w:color="auto"/>
            </w:tcBorders>
            <w:shd w:val="clear" w:color="auto" w:fill="CCEEFF"/>
            <w:vAlign w:val="bottom"/>
          </w:tcPr>
          <w:p w14:paraId="55FF5C0B" w14:textId="77777777" w:rsidR="00D1587D" w:rsidRDefault="00D1587D">
            <w:pPr>
              <w:rPr>
                <w:sz w:val="5"/>
                <w:szCs w:val="5"/>
              </w:rPr>
            </w:pPr>
          </w:p>
        </w:tc>
        <w:tc>
          <w:tcPr>
            <w:tcW w:w="220" w:type="dxa"/>
            <w:tcBorders>
              <w:bottom w:val="single" w:sz="8" w:space="0" w:color="CCEEFF"/>
            </w:tcBorders>
            <w:shd w:val="clear" w:color="auto" w:fill="CCEEFF"/>
            <w:vAlign w:val="bottom"/>
          </w:tcPr>
          <w:p w14:paraId="407AEB50" w14:textId="77777777" w:rsidR="00D1587D" w:rsidRDefault="00D1587D">
            <w:pPr>
              <w:rPr>
                <w:sz w:val="5"/>
                <w:szCs w:val="5"/>
              </w:rPr>
            </w:pPr>
          </w:p>
        </w:tc>
        <w:tc>
          <w:tcPr>
            <w:tcW w:w="760" w:type="dxa"/>
            <w:tcBorders>
              <w:bottom w:val="single" w:sz="8" w:space="0" w:color="auto"/>
            </w:tcBorders>
            <w:shd w:val="clear" w:color="auto" w:fill="CCEEFF"/>
            <w:vAlign w:val="bottom"/>
          </w:tcPr>
          <w:p w14:paraId="46A22352" w14:textId="77777777" w:rsidR="00D1587D" w:rsidRDefault="00D1587D">
            <w:pPr>
              <w:rPr>
                <w:sz w:val="5"/>
                <w:szCs w:val="5"/>
              </w:rPr>
            </w:pPr>
          </w:p>
        </w:tc>
      </w:tr>
      <w:tr w:rsidR="00D1587D" w14:paraId="365EE10A" w14:textId="77777777">
        <w:trPr>
          <w:trHeight w:val="277"/>
        </w:trPr>
        <w:tc>
          <w:tcPr>
            <w:tcW w:w="6720" w:type="dxa"/>
            <w:gridSpan w:val="2"/>
            <w:vAlign w:val="bottom"/>
          </w:tcPr>
          <w:p w14:paraId="731ED55C" w14:textId="77777777" w:rsidR="00D1587D" w:rsidRDefault="00410D07">
            <w:pPr>
              <w:rPr>
                <w:sz w:val="20"/>
                <w:szCs w:val="20"/>
              </w:rPr>
            </w:pPr>
            <w:r>
              <w:rPr>
                <w:rFonts w:ascii="Arial" w:eastAsia="Arial" w:hAnsi="Arial" w:cs="Arial"/>
                <w:sz w:val="18"/>
                <w:szCs w:val="18"/>
              </w:rPr>
              <w:t>Total Liabilities</w:t>
            </w:r>
          </w:p>
        </w:tc>
        <w:tc>
          <w:tcPr>
            <w:tcW w:w="720" w:type="dxa"/>
            <w:vAlign w:val="bottom"/>
          </w:tcPr>
          <w:p w14:paraId="00EC0ED4" w14:textId="77777777" w:rsidR="00D1587D" w:rsidRDefault="00410D07">
            <w:pPr>
              <w:ind w:right="31"/>
              <w:jc w:val="right"/>
              <w:rPr>
                <w:sz w:val="20"/>
                <w:szCs w:val="20"/>
              </w:rPr>
            </w:pPr>
            <w:r>
              <w:rPr>
                <w:rFonts w:ascii="Arial" w:eastAsia="Arial" w:hAnsi="Arial" w:cs="Arial"/>
                <w:sz w:val="18"/>
                <w:szCs w:val="18"/>
              </w:rPr>
              <w:t>3,338</w:t>
            </w:r>
          </w:p>
        </w:tc>
        <w:tc>
          <w:tcPr>
            <w:tcW w:w="220" w:type="dxa"/>
            <w:vAlign w:val="bottom"/>
          </w:tcPr>
          <w:p w14:paraId="7B019DC6" w14:textId="77777777" w:rsidR="00D1587D" w:rsidRDefault="00D1587D">
            <w:pPr>
              <w:rPr>
                <w:sz w:val="24"/>
                <w:szCs w:val="24"/>
              </w:rPr>
            </w:pPr>
          </w:p>
        </w:tc>
        <w:tc>
          <w:tcPr>
            <w:tcW w:w="760" w:type="dxa"/>
            <w:vAlign w:val="bottom"/>
          </w:tcPr>
          <w:p w14:paraId="080EAF11" w14:textId="77777777" w:rsidR="00D1587D" w:rsidRDefault="00410D07">
            <w:pPr>
              <w:ind w:right="71"/>
              <w:jc w:val="right"/>
              <w:rPr>
                <w:sz w:val="20"/>
                <w:szCs w:val="20"/>
              </w:rPr>
            </w:pPr>
            <w:r>
              <w:rPr>
                <w:rFonts w:ascii="Arial" w:eastAsia="Arial" w:hAnsi="Arial" w:cs="Arial"/>
                <w:sz w:val="18"/>
                <w:szCs w:val="18"/>
              </w:rPr>
              <w:t>3,956</w:t>
            </w:r>
          </w:p>
        </w:tc>
      </w:tr>
      <w:tr w:rsidR="00D1587D" w14:paraId="5DDCB87C" w14:textId="77777777">
        <w:trPr>
          <w:trHeight w:val="68"/>
        </w:trPr>
        <w:tc>
          <w:tcPr>
            <w:tcW w:w="6600" w:type="dxa"/>
            <w:tcBorders>
              <w:bottom w:val="single" w:sz="8" w:space="0" w:color="CCEEFF"/>
            </w:tcBorders>
            <w:vAlign w:val="bottom"/>
          </w:tcPr>
          <w:p w14:paraId="70EC0982" w14:textId="77777777" w:rsidR="00D1587D" w:rsidRDefault="00D1587D">
            <w:pPr>
              <w:rPr>
                <w:sz w:val="5"/>
                <w:szCs w:val="5"/>
              </w:rPr>
            </w:pPr>
          </w:p>
        </w:tc>
        <w:tc>
          <w:tcPr>
            <w:tcW w:w="120" w:type="dxa"/>
            <w:tcBorders>
              <w:bottom w:val="single" w:sz="8" w:space="0" w:color="CCEEFF"/>
            </w:tcBorders>
            <w:vAlign w:val="bottom"/>
          </w:tcPr>
          <w:p w14:paraId="2A35A801" w14:textId="77777777" w:rsidR="00D1587D" w:rsidRDefault="00D1587D">
            <w:pPr>
              <w:rPr>
                <w:sz w:val="5"/>
                <w:szCs w:val="5"/>
              </w:rPr>
            </w:pPr>
          </w:p>
        </w:tc>
        <w:tc>
          <w:tcPr>
            <w:tcW w:w="720" w:type="dxa"/>
            <w:tcBorders>
              <w:bottom w:val="single" w:sz="8" w:space="0" w:color="auto"/>
            </w:tcBorders>
            <w:vAlign w:val="bottom"/>
          </w:tcPr>
          <w:p w14:paraId="677AF7DE" w14:textId="77777777" w:rsidR="00D1587D" w:rsidRDefault="00D1587D">
            <w:pPr>
              <w:rPr>
                <w:sz w:val="5"/>
                <w:szCs w:val="5"/>
              </w:rPr>
            </w:pPr>
          </w:p>
        </w:tc>
        <w:tc>
          <w:tcPr>
            <w:tcW w:w="220" w:type="dxa"/>
            <w:tcBorders>
              <w:bottom w:val="single" w:sz="8" w:space="0" w:color="CCEEFF"/>
            </w:tcBorders>
            <w:vAlign w:val="bottom"/>
          </w:tcPr>
          <w:p w14:paraId="7383E0C1" w14:textId="77777777" w:rsidR="00D1587D" w:rsidRDefault="00D1587D">
            <w:pPr>
              <w:rPr>
                <w:sz w:val="5"/>
                <w:szCs w:val="5"/>
              </w:rPr>
            </w:pPr>
          </w:p>
        </w:tc>
        <w:tc>
          <w:tcPr>
            <w:tcW w:w="760" w:type="dxa"/>
            <w:tcBorders>
              <w:bottom w:val="single" w:sz="8" w:space="0" w:color="auto"/>
            </w:tcBorders>
            <w:vAlign w:val="bottom"/>
          </w:tcPr>
          <w:p w14:paraId="2552358A" w14:textId="77777777" w:rsidR="00D1587D" w:rsidRDefault="00D1587D">
            <w:pPr>
              <w:rPr>
                <w:sz w:val="5"/>
                <w:szCs w:val="5"/>
              </w:rPr>
            </w:pPr>
          </w:p>
        </w:tc>
      </w:tr>
      <w:tr w:rsidR="00D1587D" w14:paraId="6EFBC9FF" w14:textId="77777777">
        <w:trPr>
          <w:trHeight w:val="311"/>
        </w:trPr>
        <w:tc>
          <w:tcPr>
            <w:tcW w:w="6720" w:type="dxa"/>
            <w:gridSpan w:val="2"/>
            <w:tcBorders>
              <w:bottom w:val="single" w:sz="8" w:space="0" w:color="CCEEFF"/>
            </w:tcBorders>
            <w:shd w:val="clear" w:color="auto" w:fill="CCEEFF"/>
            <w:vAlign w:val="bottom"/>
          </w:tcPr>
          <w:p w14:paraId="779E6694" w14:textId="77777777" w:rsidR="00D1587D" w:rsidRDefault="00410D07">
            <w:pPr>
              <w:rPr>
                <w:sz w:val="20"/>
                <w:szCs w:val="20"/>
              </w:rPr>
            </w:pPr>
            <w:r>
              <w:rPr>
                <w:rFonts w:ascii="Arial" w:eastAsia="Arial" w:hAnsi="Arial" w:cs="Arial"/>
                <w:b/>
                <w:bCs/>
                <w:sz w:val="18"/>
                <w:szCs w:val="18"/>
              </w:rPr>
              <w:t>Equity</w:t>
            </w:r>
          </w:p>
        </w:tc>
        <w:tc>
          <w:tcPr>
            <w:tcW w:w="720" w:type="dxa"/>
            <w:tcBorders>
              <w:bottom w:val="single" w:sz="8" w:space="0" w:color="CCEEFF"/>
            </w:tcBorders>
            <w:shd w:val="clear" w:color="auto" w:fill="CCEEFF"/>
            <w:vAlign w:val="bottom"/>
          </w:tcPr>
          <w:p w14:paraId="12D22D6F" w14:textId="77777777" w:rsidR="00D1587D" w:rsidRDefault="00D1587D">
            <w:pPr>
              <w:rPr>
                <w:sz w:val="24"/>
                <w:szCs w:val="24"/>
              </w:rPr>
            </w:pPr>
          </w:p>
        </w:tc>
        <w:tc>
          <w:tcPr>
            <w:tcW w:w="220" w:type="dxa"/>
            <w:tcBorders>
              <w:bottom w:val="single" w:sz="8" w:space="0" w:color="CCEEFF"/>
            </w:tcBorders>
            <w:shd w:val="clear" w:color="auto" w:fill="CCEEFF"/>
            <w:vAlign w:val="bottom"/>
          </w:tcPr>
          <w:p w14:paraId="2425C3EF" w14:textId="77777777" w:rsidR="00D1587D" w:rsidRDefault="00D1587D">
            <w:pPr>
              <w:rPr>
                <w:sz w:val="24"/>
                <w:szCs w:val="24"/>
              </w:rPr>
            </w:pPr>
          </w:p>
        </w:tc>
        <w:tc>
          <w:tcPr>
            <w:tcW w:w="760" w:type="dxa"/>
            <w:tcBorders>
              <w:bottom w:val="single" w:sz="8" w:space="0" w:color="CCEEFF"/>
            </w:tcBorders>
            <w:shd w:val="clear" w:color="auto" w:fill="CCEEFF"/>
            <w:vAlign w:val="bottom"/>
          </w:tcPr>
          <w:p w14:paraId="57DA5BAC" w14:textId="77777777" w:rsidR="00D1587D" w:rsidRDefault="00D1587D">
            <w:pPr>
              <w:rPr>
                <w:sz w:val="24"/>
                <w:szCs w:val="24"/>
              </w:rPr>
            </w:pPr>
          </w:p>
        </w:tc>
      </w:tr>
      <w:tr w:rsidR="00D1587D" w14:paraId="6F71299A" w14:textId="77777777">
        <w:trPr>
          <w:trHeight w:val="270"/>
        </w:trPr>
        <w:tc>
          <w:tcPr>
            <w:tcW w:w="6720" w:type="dxa"/>
            <w:gridSpan w:val="2"/>
            <w:vAlign w:val="bottom"/>
          </w:tcPr>
          <w:p w14:paraId="4C8126C9" w14:textId="77777777" w:rsidR="00D1587D" w:rsidRDefault="00410D07">
            <w:pPr>
              <w:rPr>
                <w:sz w:val="20"/>
                <w:szCs w:val="20"/>
              </w:rPr>
            </w:pPr>
            <w:r>
              <w:rPr>
                <w:rFonts w:ascii="Arial" w:eastAsia="Arial" w:hAnsi="Arial" w:cs="Arial"/>
                <w:sz w:val="18"/>
                <w:szCs w:val="18"/>
              </w:rPr>
              <w:t>Noncontrolling Interest</w:t>
            </w:r>
          </w:p>
        </w:tc>
        <w:tc>
          <w:tcPr>
            <w:tcW w:w="940" w:type="dxa"/>
            <w:gridSpan w:val="2"/>
            <w:vAlign w:val="bottom"/>
          </w:tcPr>
          <w:p w14:paraId="11B9BD45" w14:textId="77777777" w:rsidR="00D1587D" w:rsidRDefault="00410D07">
            <w:pPr>
              <w:ind w:right="340"/>
              <w:jc w:val="right"/>
              <w:rPr>
                <w:sz w:val="20"/>
                <w:szCs w:val="20"/>
              </w:rPr>
            </w:pPr>
            <w:r>
              <w:rPr>
                <w:rFonts w:ascii="Arial" w:eastAsia="Arial" w:hAnsi="Arial" w:cs="Arial"/>
                <w:sz w:val="18"/>
                <w:szCs w:val="18"/>
              </w:rPr>
              <w:t>—</w:t>
            </w:r>
          </w:p>
        </w:tc>
        <w:tc>
          <w:tcPr>
            <w:tcW w:w="760" w:type="dxa"/>
            <w:vAlign w:val="bottom"/>
          </w:tcPr>
          <w:p w14:paraId="1D9EC826" w14:textId="77777777" w:rsidR="00D1587D" w:rsidRDefault="00410D07">
            <w:pPr>
              <w:ind w:right="51"/>
              <w:jc w:val="right"/>
              <w:rPr>
                <w:sz w:val="20"/>
                <w:szCs w:val="20"/>
              </w:rPr>
            </w:pPr>
            <w:r>
              <w:rPr>
                <w:rFonts w:ascii="Arial" w:eastAsia="Arial" w:hAnsi="Arial" w:cs="Arial"/>
                <w:sz w:val="18"/>
                <w:szCs w:val="18"/>
              </w:rPr>
              <w:t>2</w:t>
            </w:r>
          </w:p>
        </w:tc>
      </w:tr>
      <w:tr w:rsidR="00D1587D" w14:paraId="48406298" w14:textId="77777777">
        <w:trPr>
          <w:trHeight w:val="54"/>
        </w:trPr>
        <w:tc>
          <w:tcPr>
            <w:tcW w:w="6600" w:type="dxa"/>
            <w:vAlign w:val="bottom"/>
          </w:tcPr>
          <w:p w14:paraId="6355E3F1" w14:textId="77777777" w:rsidR="00D1587D" w:rsidRDefault="00D1587D">
            <w:pPr>
              <w:rPr>
                <w:sz w:val="4"/>
                <w:szCs w:val="4"/>
              </w:rPr>
            </w:pPr>
          </w:p>
        </w:tc>
        <w:tc>
          <w:tcPr>
            <w:tcW w:w="120" w:type="dxa"/>
            <w:vAlign w:val="bottom"/>
          </w:tcPr>
          <w:p w14:paraId="71167D13" w14:textId="77777777" w:rsidR="00D1587D" w:rsidRDefault="00D1587D">
            <w:pPr>
              <w:rPr>
                <w:sz w:val="4"/>
                <w:szCs w:val="4"/>
              </w:rPr>
            </w:pPr>
          </w:p>
        </w:tc>
        <w:tc>
          <w:tcPr>
            <w:tcW w:w="720" w:type="dxa"/>
            <w:vAlign w:val="bottom"/>
          </w:tcPr>
          <w:p w14:paraId="06C92AA8" w14:textId="77777777" w:rsidR="00D1587D" w:rsidRDefault="00D1587D">
            <w:pPr>
              <w:rPr>
                <w:sz w:val="4"/>
                <w:szCs w:val="4"/>
              </w:rPr>
            </w:pPr>
          </w:p>
        </w:tc>
        <w:tc>
          <w:tcPr>
            <w:tcW w:w="220" w:type="dxa"/>
            <w:vAlign w:val="bottom"/>
          </w:tcPr>
          <w:p w14:paraId="6E76201B" w14:textId="77777777" w:rsidR="00D1587D" w:rsidRDefault="00D1587D">
            <w:pPr>
              <w:rPr>
                <w:sz w:val="4"/>
                <w:szCs w:val="4"/>
              </w:rPr>
            </w:pPr>
          </w:p>
        </w:tc>
        <w:tc>
          <w:tcPr>
            <w:tcW w:w="760" w:type="dxa"/>
            <w:vAlign w:val="bottom"/>
          </w:tcPr>
          <w:p w14:paraId="44BAAB09" w14:textId="77777777" w:rsidR="00D1587D" w:rsidRDefault="00D1587D">
            <w:pPr>
              <w:rPr>
                <w:sz w:val="4"/>
                <w:szCs w:val="4"/>
              </w:rPr>
            </w:pPr>
          </w:p>
        </w:tc>
      </w:tr>
      <w:tr w:rsidR="00D1587D" w14:paraId="201E0859" w14:textId="77777777">
        <w:trPr>
          <w:trHeight w:val="304"/>
        </w:trPr>
        <w:tc>
          <w:tcPr>
            <w:tcW w:w="6720" w:type="dxa"/>
            <w:gridSpan w:val="2"/>
            <w:tcBorders>
              <w:bottom w:val="single" w:sz="8" w:space="0" w:color="CCEEFF"/>
            </w:tcBorders>
            <w:shd w:val="clear" w:color="auto" w:fill="CCEEFF"/>
            <w:vAlign w:val="bottom"/>
          </w:tcPr>
          <w:p w14:paraId="69133164" w14:textId="77777777" w:rsidR="00D1587D" w:rsidRDefault="00410D07">
            <w:pPr>
              <w:rPr>
                <w:sz w:val="20"/>
                <w:szCs w:val="20"/>
              </w:rPr>
            </w:pPr>
            <w:r>
              <w:rPr>
                <w:rFonts w:ascii="Arial" w:eastAsia="Arial" w:hAnsi="Arial" w:cs="Arial"/>
                <w:sz w:val="18"/>
                <w:szCs w:val="18"/>
              </w:rPr>
              <w:t xml:space="preserve">Accumulated Other </w:t>
            </w:r>
            <w:r>
              <w:rPr>
                <w:rFonts w:ascii="Arial" w:eastAsia="Arial" w:hAnsi="Arial" w:cs="Arial"/>
                <w:sz w:val="18"/>
                <w:szCs w:val="18"/>
              </w:rPr>
              <w:t>Comprehensive Income (Loss)</w:t>
            </w:r>
          </w:p>
        </w:tc>
        <w:tc>
          <w:tcPr>
            <w:tcW w:w="720" w:type="dxa"/>
            <w:tcBorders>
              <w:bottom w:val="single" w:sz="8" w:space="0" w:color="CCEEFF"/>
            </w:tcBorders>
            <w:shd w:val="clear" w:color="auto" w:fill="CCEEFF"/>
            <w:vAlign w:val="bottom"/>
          </w:tcPr>
          <w:p w14:paraId="205AB0CE" w14:textId="77777777" w:rsidR="00D1587D" w:rsidRDefault="00410D07">
            <w:pPr>
              <w:ind w:right="11"/>
              <w:jc w:val="right"/>
              <w:rPr>
                <w:sz w:val="20"/>
                <w:szCs w:val="20"/>
              </w:rPr>
            </w:pPr>
            <w:r>
              <w:rPr>
                <w:rFonts w:ascii="Arial" w:eastAsia="Arial" w:hAnsi="Arial" w:cs="Arial"/>
                <w:sz w:val="18"/>
                <w:szCs w:val="18"/>
              </w:rPr>
              <w:t>4</w:t>
            </w:r>
          </w:p>
        </w:tc>
        <w:tc>
          <w:tcPr>
            <w:tcW w:w="220" w:type="dxa"/>
            <w:tcBorders>
              <w:bottom w:val="single" w:sz="8" w:space="0" w:color="CCEEFF"/>
            </w:tcBorders>
            <w:shd w:val="clear" w:color="auto" w:fill="CCEEFF"/>
            <w:vAlign w:val="bottom"/>
          </w:tcPr>
          <w:p w14:paraId="523DA2C1" w14:textId="77777777" w:rsidR="00D1587D" w:rsidRDefault="00D1587D">
            <w:pPr>
              <w:rPr>
                <w:sz w:val="24"/>
                <w:szCs w:val="24"/>
              </w:rPr>
            </w:pPr>
          </w:p>
        </w:tc>
        <w:tc>
          <w:tcPr>
            <w:tcW w:w="760" w:type="dxa"/>
            <w:tcBorders>
              <w:bottom w:val="single" w:sz="8" w:space="0" w:color="CCEEFF"/>
            </w:tcBorders>
            <w:shd w:val="clear" w:color="auto" w:fill="CCEEFF"/>
            <w:vAlign w:val="bottom"/>
          </w:tcPr>
          <w:p w14:paraId="2199B0BD" w14:textId="77777777" w:rsidR="00D1587D" w:rsidRDefault="00410D07">
            <w:pPr>
              <w:ind w:right="11"/>
              <w:jc w:val="right"/>
              <w:rPr>
                <w:sz w:val="20"/>
                <w:szCs w:val="20"/>
              </w:rPr>
            </w:pPr>
            <w:r>
              <w:rPr>
                <w:rFonts w:ascii="Arial" w:eastAsia="Arial" w:hAnsi="Arial" w:cs="Arial"/>
                <w:sz w:val="18"/>
                <w:szCs w:val="18"/>
              </w:rPr>
              <w:t>(29)</w:t>
            </w:r>
          </w:p>
        </w:tc>
      </w:tr>
      <w:tr w:rsidR="00D1587D" w14:paraId="01B609AD" w14:textId="77777777">
        <w:trPr>
          <w:trHeight w:val="270"/>
        </w:trPr>
        <w:tc>
          <w:tcPr>
            <w:tcW w:w="6720" w:type="dxa"/>
            <w:gridSpan w:val="2"/>
            <w:vAlign w:val="bottom"/>
          </w:tcPr>
          <w:p w14:paraId="3B32EEF6" w14:textId="77777777" w:rsidR="00D1587D" w:rsidRDefault="00410D07">
            <w:pPr>
              <w:rPr>
                <w:sz w:val="20"/>
                <w:szCs w:val="20"/>
              </w:rPr>
            </w:pPr>
            <w:r>
              <w:rPr>
                <w:rFonts w:ascii="Arial" w:eastAsia="Arial" w:hAnsi="Arial" w:cs="Arial"/>
                <w:sz w:val="18"/>
                <w:szCs w:val="18"/>
              </w:rPr>
              <w:t>Net Investment by L Brands, Inc.</w:t>
            </w:r>
          </w:p>
        </w:tc>
        <w:tc>
          <w:tcPr>
            <w:tcW w:w="720" w:type="dxa"/>
            <w:vAlign w:val="bottom"/>
          </w:tcPr>
          <w:p w14:paraId="2C0628C9" w14:textId="77777777" w:rsidR="00D1587D" w:rsidRDefault="00410D07">
            <w:pPr>
              <w:ind w:right="31"/>
              <w:jc w:val="right"/>
              <w:rPr>
                <w:sz w:val="20"/>
                <w:szCs w:val="20"/>
              </w:rPr>
            </w:pPr>
            <w:r>
              <w:rPr>
                <w:rFonts w:ascii="Arial" w:eastAsia="Arial" w:hAnsi="Arial" w:cs="Arial"/>
                <w:sz w:val="18"/>
                <w:szCs w:val="18"/>
              </w:rPr>
              <w:t>887</w:t>
            </w:r>
          </w:p>
        </w:tc>
        <w:tc>
          <w:tcPr>
            <w:tcW w:w="220" w:type="dxa"/>
            <w:vAlign w:val="bottom"/>
          </w:tcPr>
          <w:p w14:paraId="0357838F" w14:textId="77777777" w:rsidR="00D1587D" w:rsidRDefault="00D1587D">
            <w:pPr>
              <w:rPr>
                <w:sz w:val="23"/>
                <w:szCs w:val="23"/>
              </w:rPr>
            </w:pPr>
          </w:p>
        </w:tc>
        <w:tc>
          <w:tcPr>
            <w:tcW w:w="760" w:type="dxa"/>
            <w:vAlign w:val="bottom"/>
          </w:tcPr>
          <w:p w14:paraId="4F5EC4F0" w14:textId="77777777" w:rsidR="00D1587D" w:rsidRDefault="00410D07">
            <w:pPr>
              <w:ind w:right="71"/>
              <w:jc w:val="right"/>
              <w:rPr>
                <w:sz w:val="20"/>
                <w:szCs w:val="20"/>
              </w:rPr>
            </w:pPr>
            <w:r>
              <w:rPr>
                <w:rFonts w:ascii="Arial" w:eastAsia="Arial" w:hAnsi="Arial" w:cs="Arial"/>
                <w:sz w:val="18"/>
                <w:szCs w:val="18"/>
              </w:rPr>
              <w:t>1,341</w:t>
            </w:r>
          </w:p>
        </w:tc>
      </w:tr>
      <w:tr w:rsidR="00D1587D" w14:paraId="2EDCEDC2" w14:textId="77777777">
        <w:trPr>
          <w:trHeight w:val="68"/>
        </w:trPr>
        <w:tc>
          <w:tcPr>
            <w:tcW w:w="6600" w:type="dxa"/>
            <w:tcBorders>
              <w:bottom w:val="single" w:sz="8" w:space="0" w:color="CCEEFF"/>
            </w:tcBorders>
            <w:vAlign w:val="bottom"/>
          </w:tcPr>
          <w:p w14:paraId="3F9DE732" w14:textId="77777777" w:rsidR="00D1587D" w:rsidRDefault="00D1587D">
            <w:pPr>
              <w:rPr>
                <w:sz w:val="5"/>
                <w:szCs w:val="5"/>
              </w:rPr>
            </w:pPr>
          </w:p>
        </w:tc>
        <w:tc>
          <w:tcPr>
            <w:tcW w:w="120" w:type="dxa"/>
            <w:tcBorders>
              <w:bottom w:val="single" w:sz="8" w:space="0" w:color="CCEEFF"/>
            </w:tcBorders>
            <w:vAlign w:val="bottom"/>
          </w:tcPr>
          <w:p w14:paraId="27BB4F98" w14:textId="77777777" w:rsidR="00D1587D" w:rsidRDefault="00D1587D">
            <w:pPr>
              <w:rPr>
                <w:sz w:val="5"/>
                <w:szCs w:val="5"/>
              </w:rPr>
            </w:pPr>
          </w:p>
        </w:tc>
        <w:tc>
          <w:tcPr>
            <w:tcW w:w="720" w:type="dxa"/>
            <w:tcBorders>
              <w:bottom w:val="single" w:sz="8" w:space="0" w:color="auto"/>
            </w:tcBorders>
            <w:vAlign w:val="bottom"/>
          </w:tcPr>
          <w:p w14:paraId="57E9504F" w14:textId="77777777" w:rsidR="00D1587D" w:rsidRDefault="00D1587D">
            <w:pPr>
              <w:rPr>
                <w:sz w:val="5"/>
                <w:szCs w:val="5"/>
              </w:rPr>
            </w:pPr>
          </w:p>
        </w:tc>
        <w:tc>
          <w:tcPr>
            <w:tcW w:w="220" w:type="dxa"/>
            <w:tcBorders>
              <w:bottom w:val="single" w:sz="8" w:space="0" w:color="CCEEFF"/>
            </w:tcBorders>
            <w:vAlign w:val="bottom"/>
          </w:tcPr>
          <w:p w14:paraId="2CBADB97" w14:textId="77777777" w:rsidR="00D1587D" w:rsidRDefault="00D1587D">
            <w:pPr>
              <w:rPr>
                <w:sz w:val="5"/>
                <w:szCs w:val="5"/>
              </w:rPr>
            </w:pPr>
          </w:p>
        </w:tc>
        <w:tc>
          <w:tcPr>
            <w:tcW w:w="760" w:type="dxa"/>
            <w:tcBorders>
              <w:bottom w:val="single" w:sz="8" w:space="0" w:color="auto"/>
            </w:tcBorders>
            <w:vAlign w:val="bottom"/>
          </w:tcPr>
          <w:p w14:paraId="1786F11F" w14:textId="77777777" w:rsidR="00D1587D" w:rsidRDefault="00D1587D">
            <w:pPr>
              <w:rPr>
                <w:sz w:val="5"/>
                <w:szCs w:val="5"/>
              </w:rPr>
            </w:pPr>
          </w:p>
        </w:tc>
      </w:tr>
      <w:tr w:rsidR="00D1587D" w14:paraId="5EC7681D" w14:textId="77777777">
        <w:trPr>
          <w:trHeight w:val="277"/>
        </w:trPr>
        <w:tc>
          <w:tcPr>
            <w:tcW w:w="6720" w:type="dxa"/>
            <w:gridSpan w:val="2"/>
            <w:shd w:val="clear" w:color="auto" w:fill="CCEEFF"/>
            <w:vAlign w:val="bottom"/>
          </w:tcPr>
          <w:p w14:paraId="6C99E77E" w14:textId="77777777" w:rsidR="00D1587D" w:rsidRDefault="00410D07">
            <w:pPr>
              <w:rPr>
                <w:sz w:val="20"/>
                <w:szCs w:val="20"/>
              </w:rPr>
            </w:pPr>
            <w:r>
              <w:rPr>
                <w:rFonts w:ascii="Arial" w:eastAsia="Arial" w:hAnsi="Arial" w:cs="Arial"/>
                <w:sz w:val="18"/>
                <w:szCs w:val="18"/>
              </w:rPr>
              <w:t>Total Equity</w:t>
            </w:r>
          </w:p>
        </w:tc>
        <w:tc>
          <w:tcPr>
            <w:tcW w:w="720" w:type="dxa"/>
            <w:shd w:val="clear" w:color="auto" w:fill="CCEEFF"/>
            <w:vAlign w:val="bottom"/>
          </w:tcPr>
          <w:p w14:paraId="6752B991" w14:textId="77777777" w:rsidR="00D1587D" w:rsidRDefault="00410D07">
            <w:pPr>
              <w:ind w:right="31"/>
              <w:jc w:val="right"/>
              <w:rPr>
                <w:sz w:val="20"/>
                <w:szCs w:val="20"/>
              </w:rPr>
            </w:pPr>
            <w:r>
              <w:rPr>
                <w:rFonts w:ascii="Arial" w:eastAsia="Arial" w:hAnsi="Arial" w:cs="Arial"/>
                <w:sz w:val="18"/>
                <w:szCs w:val="18"/>
              </w:rPr>
              <w:t>891</w:t>
            </w:r>
          </w:p>
        </w:tc>
        <w:tc>
          <w:tcPr>
            <w:tcW w:w="220" w:type="dxa"/>
            <w:shd w:val="clear" w:color="auto" w:fill="CCEEFF"/>
            <w:vAlign w:val="bottom"/>
          </w:tcPr>
          <w:p w14:paraId="6BA5E5FC" w14:textId="77777777" w:rsidR="00D1587D" w:rsidRDefault="00D1587D">
            <w:pPr>
              <w:rPr>
                <w:sz w:val="24"/>
                <w:szCs w:val="24"/>
              </w:rPr>
            </w:pPr>
          </w:p>
        </w:tc>
        <w:tc>
          <w:tcPr>
            <w:tcW w:w="760" w:type="dxa"/>
            <w:shd w:val="clear" w:color="auto" w:fill="CCEEFF"/>
            <w:vAlign w:val="bottom"/>
          </w:tcPr>
          <w:p w14:paraId="5674ED7B" w14:textId="77777777" w:rsidR="00D1587D" w:rsidRDefault="00410D07">
            <w:pPr>
              <w:ind w:right="71"/>
              <w:jc w:val="right"/>
              <w:rPr>
                <w:sz w:val="20"/>
                <w:szCs w:val="20"/>
              </w:rPr>
            </w:pPr>
            <w:r>
              <w:rPr>
                <w:rFonts w:ascii="Arial" w:eastAsia="Arial" w:hAnsi="Arial" w:cs="Arial"/>
                <w:sz w:val="18"/>
                <w:szCs w:val="18"/>
              </w:rPr>
              <w:t>1,314</w:t>
            </w:r>
          </w:p>
        </w:tc>
      </w:tr>
      <w:tr w:rsidR="00D1587D" w14:paraId="2E487BED" w14:textId="77777777">
        <w:trPr>
          <w:trHeight w:val="68"/>
        </w:trPr>
        <w:tc>
          <w:tcPr>
            <w:tcW w:w="6600" w:type="dxa"/>
            <w:shd w:val="clear" w:color="auto" w:fill="CCEEFF"/>
            <w:vAlign w:val="bottom"/>
          </w:tcPr>
          <w:p w14:paraId="22F217F9" w14:textId="77777777" w:rsidR="00D1587D" w:rsidRDefault="00D1587D">
            <w:pPr>
              <w:rPr>
                <w:sz w:val="5"/>
                <w:szCs w:val="5"/>
              </w:rPr>
            </w:pPr>
          </w:p>
        </w:tc>
        <w:tc>
          <w:tcPr>
            <w:tcW w:w="120" w:type="dxa"/>
            <w:tcBorders>
              <w:bottom w:val="single" w:sz="8" w:space="0" w:color="CCEEFF"/>
            </w:tcBorders>
            <w:shd w:val="clear" w:color="auto" w:fill="CCEEFF"/>
            <w:vAlign w:val="bottom"/>
          </w:tcPr>
          <w:p w14:paraId="3C8E7377" w14:textId="77777777" w:rsidR="00D1587D" w:rsidRDefault="00D1587D">
            <w:pPr>
              <w:rPr>
                <w:sz w:val="5"/>
                <w:szCs w:val="5"/>
              </w:rPr>
            </w:pPr>
          </w:p>
        </w:tc>
        <w:tc>
          <w:tcPr>
            <w:tcW w:w="720" w:type="dxa"/>
            <w:tcBorders>
              <w:bottom w:val="single" w:sz="8" w:space="0" w:color="auto"/>
            </w:tcBorders>
            <w:shd w:val="clear" w:color="auto" w:fill="CCEEFF"/>
            <w:vAlign w:val="bottom"/>
          </w:tcPr>
          <w:p w14:paraId="3FF06510" w14:textId="77777777" w:rsidR="00D1587D" w:rsidRDefault="00D1587D">
            <w:pPr>
              <w:rPr>
                <w:sz w:val="5"/>
                <w:szCs w:val="5"/>
              </w:rPr>
            </w:pPr>
          </w:p>
        </w:tc>
        <w:tc>
          <w:tcPr>
            <w:tcW w:w="220" w:type="dxa"/>
            <w:tcBorders>
              <w:bottom w:val="single" w:sz="8" w:space="0" w:color="CCEEFF"/>
            </w:tcBorders>
            <w:shd w:val="clear" w:color="auto" w:fill="CCEEFF"/>
            <w:vAlign w:val="bottom"/>
          </w:tcPr>
          <w:p w14:paraId="0461DF92" w14:textId="77777777" w:rsidR="00D1587D" w:rsidRDefault="00D1587D">
            <w:pPr>
              <w:rPr>
                <w:sz w:val="5"/>
                <w:szCs w:val="5"/>
              </w:rPr>
            </w:pPr>
          </w:p>
        </w:tc>
        <w:tc>
          <w:tcPr>
            <w:tcW w:w="760" w:type="dxa"/>
            <w:tcBorders>
              <w:bottom w:val="single" w:sz="8" w:space="0" w:color="auto"/>
            </w:tcBorders>
            <w:shd w:val="clear" w:color="auto" w:fill="CCEEFF"/>
            <w:vAlign w:val="bottom"/>
          </w:tcPr>
          <w:p w14:paraId="39CAA5D4" w14:textId="77777777" w:rsidR="00D1587D" w:rsidRDefault="00D1587D">
            <w:pPr>
              <w:rPr>
                <w:sz w:val="5"/>
                <w:szCs w:val="5"/>
              </w:rPr>
            </w:pPr>
          </w:p>
        </w:tc>
      </w:tr>
      <w:tr w:rsidR="00D1587D" w14:paraId="27C671A4" w14:textId="77777777">
        <w:trPr>
          <w:trHeight w:val="304"/>
        </w:trPr>
        <w:tc>
          <w:tcPr>
            <w:tcW w:w="6720" w:type="dxa"/>
            <w:gridSpan w:val="2"/>
            <w:vAlign w:val="bottom"/>
          </w:tcPr>
          <w:p w14:paraId="2DC6F8A2" w14:textId="77777777" w:rsidR="00D1587D" w:rsidRDefault="00410D07">
            <w:pPr>
              <w:rPr>
                <w:sz w:val="20"/>
                <w:szCs w:val="20"/>
              </w:rPr>
            </w:pPr>
            <w:r>
              <w:rPr>
                <w:rFonts w:ascii="Arial" w:eastAsia="Arial" w:hAnsi="Arial" w:cs="Arial"/>
                <w:sz w:val="18"/>
                <w:szCs w:val="18"/>
              </w:rPr>
              <w:t>Total Liabilities and Equity</w:t>
            </w:r>
          </w:p>
        </w:tc>
        <w:tc>
          <w:tcPr>
            <w:tcW w:w="720" w:type="dxa"/>
            <w:vAlign w:val="bottom"/>
          </w:tcPr>
          <w:p w14:paraId="453D27E8" w14:textId="77777777" w:rsidR="00D1587D" w:rsidRDefault="00410D07">
            <w:pPr>
              <w:ind w:right="11"/>
              <w:jc w:val="right"/>
              <w:rPr>
                <w:sz w:val="20"/>
                <w:szCs w:val="20"/>
              </w:rPr>
            </w:pPr>
            <w:r>
              <w:rPr>
                <w:rFonts w:ascii="Arial" w:eastAsia="Arial" w:hAnsi="Arial" w:cs="Arial"/>
                <w:sz w:val="18"/>
                <w:szCs w:val="18"/>
              </w:rPr>
              <w:t>$4,229</w:t>
            </w:r>
          </w:p>
        </w:tc>
        <w:tc>
          <w:tcPr>
            <w:tcW w:w="220" w:type="dxa"/>
            <w:vAlign w:val="bottom"/>
          </w:tcPr>
          <w:p w14:paraId="5630CCF1" w14:textId="77777777" w:rsidR="00D1587D" w:rsidRDefault="00D1587D">
            <w:pPr>
              <w:rPr>
                <w:sz w:val="24"/>
                <w:szCs w:val="24"/>
              </w:rPr>
            </w:pPr>
          </w:p>
        </w:tc>
        <w:tc>
          <w:tcPr>
            <w:tcW w:w="760" w:type="dxa"/>
            <w:vAlign w:val="bottom"/>
          </w:tcPr>
          <w:p w14:paraId="29331557" w14:textId="77777777" w:rsidR="00D1587D" w:rsidRDefault="00410D07">
            <w:pPr>
              <w:ind w:right="51"/>
              <w:jc w:val="right"/>
              <w:rPr>
                <w:sz w:val="20"/>
                <w:szCs w:val="20"/>
              </w:rPr>
            </w:pPr>
            <w:r>
              <w:rPr>
                <w:rFonts w:ascii="Arial" w:eastAsia="Arial" w:hAnsi="Arial" w:cs="Arial"/>
                <w:sz w:val="18"/>
                <w:szCs w:val="18"/>
              </w:rPr>
              <w:t>$5,270</w:t>
            </w:r>
          </w:p>
        </w:tc>
      </w:tr>
      <w:tr w:rsidR="00D1587D" w14:paraId="045E2BCE" w14:textId="77777777">
        <w:trPr>
          <w:trHeight w:val="27"/>
        </w:trPr>
        <w:tc>
          <w:tcPr>
            <w:tcW w:w="6600" w:type="dxa"/>
            <w:vAlign w:val="bottom"/>
          </w:tcPr>
          <w:p w14:paraId="03025B8D" w14:textId="77777777" w:rsidR="00D1587D" w:rsidRDefault="00D1587D">
            <w:pPr>
              <w:rPr>
                <w:sz w:val="2"/>
                <w:szCs w:val="2"/>
              </w:rPr>
            </w:pPr>
          </w:p>
        </w:tc>
        <w:tc>
          <w:tcPr>
            <w:tcW w:w="120" w:type="dxa"/>
            <w:vAlign w:val="bottom"/>
          </w:tcPr>
          <w:p w14:paraId="0C7EE1D4" w14:textId="77777777" w:rsidR="00D1587D" w:rsidRDefault="00D1587D">
            <w:pPr>
              <w:rPr>
                <w:sz w:val="2"/>
                <w:szCs w:val="2"/>
              </w:rPr>
            </w:pPr>
          </w:p>
        </w:tc>
        <w:tc>
          <w:tcPr>
            <w:tcW w:w="720" w:type="dxa"/>
            <w:tcBorders>
              <w:bottom w:val="single" w:sz="8" w:space="0" w:color="auto"/>
            </w:tcBorders>
            <w:vAlign w:val="bottom"/>
          </w:tcPr>
          <w:p w14:paraId="7AAA3EEE" w14:textId="77777777" w:rsidR="00D1587D" w:rsidRDefault="00D1587D">
            <w:pPr>
              <w:rPr>
                <w:sz w:val="2"/>
                <w:szCs w:val="2"/>
              </w:rPr>
            </w:pPr>
          </w:p>
        </w:tc>
        <w:tc>
          <w:tcPr>
            <w:tcW w:w="220" w:type="dxa"/>
            <w:vAlign w:val="bottom"/>
          </w:tcPr>
          <w:p w14:paraId="703D3B24" w14:textId="77777777" w:rsidR="00D1587D" w:rsidRDefault="00D1587D">
            <w:pPr>
              <w:rPr>
                <w:sz w:val="2"/>
                <w:szCs w:val="2"/>
              </w:rPr>
            </w:pPr>
          </w:p>
        </w:tc>
        <w:tc>
          <w:tcPr>
            <w:tcW w:w="760" w:type="dxa"/>
            <w:tcBorders>
              <w:bottom w:val="single" w:sz="8" w:space="0" w:color="auto"/>
            </w:tcBorders>
            <w:vAlign w:val="bottom"/>
          </w:tcPr>
          <w:p w14:paraId="7812CD62" w14:textId="77777777" w:rsidR="00D1587D" w:rsidRDefault="00D1587D">
            <w:pPr>
              <w:rPr>
                <w:sz w:val="2"/>
                <w:szCs w:val="2"/>
              </w:rPr>
            </w:pPr>
          </w:p>
        </w:tc>
      </w:tr>
      <w:tr w:rsidR="00D1587D" w14:paraId="671D1756" w14:textId="77777777">
        <w:trPr>
          <w:trHeight w:val="21"/>
        </w:trPr>
        <w:tc>
          <w:tcPr>
            <w:tcW w:w="6600" w:type="dxa"/>
            <w:vAlign w:val="bottom"/>
          </w:tcPr>
          <w:p w14:paraId="2BC33369" w14:textId="77777777" w:rsidR="00D1587D" w:rsidRDefault="00D1587D">
            <w:pPr>
              <w:spacing w:line="20" w:lineRule="exact"/>
              <w:rPr>
                <w:sz w:val="1"/>
                <w:szCs w:val="1"/>
              </w:rPr>
            </w:pPr>
          </w:p>
        </w:tc>
        <w:tc>
          <w:tcPr>
            <w:tcW w:w="120" w:type="dxa"/>
            <w:vAlign w:val="bottom"/>
          </w:tcPr>
          <w:p w14:paraId="7A98181C" w14:textId="77777777" w:rsidR="00D1587D" w:rsidRDefault="00D1587D">
            <w:pPr>
              <w:spacing w:line="20" w:lineRule="exact"/>
              <w:rPr>
                <w:sz w:val="1"/>
                <w:szCs w:val="1"/>
              </w:rPr>
            </w:pPr>
          </w:p>
        </w:tc>
        <w:tc>
          <w:tcPr>
            <w:tcW w:w="720" w:type="dxa"/>
            <w:tcBorders>
              <w:bottom w:val="single" w:sz="8" w:space="0" w:color="auto"/>
            </w:tcBorders>
            <w:vAlign w:val="bottom"/>
          </w:tcPr>
          <w:p w14:paraId="37E1E9A0" w14:textId="77777777" w:rsidR="00D1587D" w:rsidRDefault="00D1587D">
            <w:pPr>
              <w:spacing w:line="20" w:lineRule="exact"/>
              <w:rPr>
                <w:sz w:val="1"/>
                <w:szCs w:val="1"/>
              </w:rPr>
            </w:pPr>
          </w:p>
        </w:tc>
        <w:tc>
          <w:tcPr>
            <w:tcW w:w="220" w:type="dxa"/>
            <w:vAlign w:val="bottom"/>
          </w:tcPr>
          <w:p w14:paraId="70CC77EA" w14:textId="77777777" w:rsidR="00D1587D" w:rsidRDefault="00D1587D">
            <w:pPr>
              <w:spacing w:line="20" w:lineRule="exact"/>
              <w:rPr>
                <w:sz w:val="1"/>
                <w:szCs w:val="1"/>
              </w:rPr>
            </w:pPr>
          </w:p>
        </w:tc>
        <w:tc>
          <w:tcPr>
            <w:tcW w:w="760" w:type="dxa"/>
            <w:tcBorders>
              <w:bottom w:val="single" w:sz="8" w:space="0" w:color="auto"/>
            </w:tcBorders>
            <w:vAlign w:val="bottom"/>
          </w:tcPr>
          <w:p w14:paraId="6F212F36" w14:textId="77777777" w:rsidR="00D1587D" w:rsidRDefault="00D1587D">
            <w:pPr>
              <w:spacing w:line="20" w:lineRule="exact"/>
              <w:rPr>
                <w:sz w:val="1"/>
                <w:szCs w:val="1"/>
              </w:rPr>
            </w:pPr>
          </w:p>
        </w:tc>
      </w:tr>
    </w:tbl>
    <w:p w14:paraId="62152DA9" w14:textId="77777777" w:rsidR="00D1587D" w:rsidRDefault="00410D07">
      <w:pPr>
        <w:spacing w:line="20" w:lineRule="exact"/>
        <w:rPr>
          <w:sz w:val="20"/>
          <w:szCs w:val="20"/>
        </w:rPr>
      </w:pPr>
      <w:r>
        <w:rPr>
          <w:noProof/>
          <w:sz w:val="20"/>
          <w:szCs w:val="20"/>
        </w:rPr>
        <w:drawing>
          <wp:anchor distT="0" distB="0" distL="114300" distR="114300" simplePos="0" relativeHeight="251996160" behindDoc="1" locked="0" layoutInCell="0" allowOverlap="1" wp14:anchorId="083B5CBA" wp14:editId="6860F7A0">
            <wp:simplePos x="0" y="0"/>
            <wp:positionH relativeFrom="column">
              <wp:posOffset>4917440</wp:posOffset>
            </wp:positionH>
            <wp:positionV relativeFrom="paragraph">
              <wp:posOffset>-488315</wp:posOffset>
            </wp:positionV>
            <wp:extent cx="137160" cy="8890"/>
            <wp:effectExtent l="0" t="0" r="0" b="0"/>
            <wp:wrapNone/>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1997184" behindDoc="1" locked="0" layoutInCell="0" allowOverlap="1" wp14:anchorId="6B08ADD5" wp14:editId="4701B61F">
            <wp:simplePos x="0" y="0"/>
            <wp:positionH relativeFrom="column">
              <wp:posOffset>4385945</wp:posOffset>
            </wp:positionH>
            <wp:positionV relativeFrom="paragraph">
              <wp:posOffset>-488315</wp:posOffset>
            </wp:positionV>
            <wp:extent cx="68580" cy="8890"/>
            <wp:effectExtent l="0" t="0" r="0" b="0"/>
            <wp:wrapNone/>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1998208" behindDoc="1" locked="0" layoutInCell="0" allowOverlap="1" wp14:anchorId="27B492EA" wp14:editId="5574D1B4">
            <wp:simplePos x="0" y="0"/>
            <wp:positionH relativeFrom="column">
              <wp:posOffset>4917440</wp:posOffset>
            </wp:positionH>
            <wp:positionV relativeFrom="paragraph">
              <wp:posOffset>-1336675</wp:posOffset>
            </wp:positionV>
            <wp:extent cx="137160" cy="8255"/>
            <wp:effectExtent l="0" t="0" r="0" b="0"/>
            <wp:wrapNone/>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1999232" behindDoc="1" locked="0" layoutInCell="0" allowOverlap="1" wp14:anchorId="7D9DD727" wp14:editId="2B540189">
            <wp:simplePos x="0" y="0"/>
            <wp:positionH relativeFrom="column">
              <wp:posOffset>4385945</wp:posOffset>
            </wp:positionH>
            <wp:positionV relativeFrom="paragraph">
              <wp:posOffset>-1336675</wp:posOffset>
            </wp:positionV>
            <wp:extent cx="68580" cy="8255"/>
            <wp:effectExtent l="0" t="0" r="0" b="0"/>
            <wp:wrapNone/>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2000256" behindDoc="1" locked="0" layoutInCell="0" allowOverlap="1" wp14:anchorId="50CB9CBE" wp14:editId="2E48F2CD">
            <wp:simplePos x="0" y="0"/>
            <wp:positionH relativeFrom="column">
              <wp:posOffset>4917440</wp:posOffset>
            </wp:positionH>
            <wp:positionV relativeFrom="paragraph">
              <wp:posOffset>-4791075</wp:posOffset>
            </wp:positionV>
            <wp:extent cx="137160" cy="8890"/>
            <wp:effectExtent l="0" t="0" r="0" b="0"/>
            <wp:wrapNone/>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001280" behindDoc="1" locked="0" layoutInCell="0" allowOverlap="1" wp14:anchorId="3F976AC7" wp14:editId="2EE838FF">
            <wp:simplePos x="0" y="0"/>
            <wp:positionH relativeFrom="column">
              <wp:posOffset>4385945</wp:posOffset>
            </wp:positionH>
            <wp:positionV relativeFrom="paragraph">
              <wp:posOffset>-4791075</wp:posOffset>
            </wp:positionV>
            <wp:extent cx="68580" cy="8890"/>
            <wp:effectExtent l="0" t="0" r="0" b="0"/>
            <wp:wrapNone/>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2002304" behindDoc="1" locked="0" layoutInCell="0" allowOverlap="1" wp14:anchorId="1DDF6D46" wp14:editId="1F6FD9B8">
            <wp:simplePos x="0" y="0"/>
            <wp:positionH relativeFrom="column">
              <wp:posOffset>4917440</wp:posOffset>
            </wp:positionH>
            <wp:positionV relativeFrom="paragraph">
              <wp:posOffset>-6051550</wp:posOffset>
            </wp:positionV>
            <wp:extent cx="137160" cy="8890"/>
            <wp:effectExtent l="0" t="0" r="0" b="0"/>
            <wp:wrapNone/>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003328" behindDoc="1" locked="0" layoutInCell="0" allowOverlap="1" wp14:anchorId="21001FAB" wp14:editId="1CCBA2F6">
            <wp:simplePos x="0" y="0"/>
            <wp:positionH relativeFrom="column">
              <wp:posOffset>4385945</wp:posOffset>
            </wp:positionH>
            <wp:positionV relativeFrom="paragraph">
              <wp:posOffset>-6051550</wp:posOffset>
            </wp:positionV>
            <wp:extent cx="68580" cy="8890"/>
            <wp:effectExtent l="0" t="0" r="0" b="0"/>
            <wp:wrapNone/>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2004352" behindDoc="1" locked="0" layoutInCell="0" allowOverlap="1" wp14:anchorId="4B3787EA" wp14:editId="2C65FFF7">
            <wp:simplePos x="0" y="0"/>
            <wp:positionH relativeFrom="column">
              <wp:posOffset>4917440</wp:posOffset>
            </wp:positionH>
            <wp:positionV relativeFrom="paragraph">
              <wp:posOffset>-7722870</wp:posOffset>
            </wp:positionV>
            <wp:extent cx="137160" cy="8255"/>
            <wp:effectExtent l="0" t="0" r="0" b="0"/>
            <wp:wrapNone/>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005376" behindDoc="1" locked="0" layoutInCell="0" allowOverlap="1" wp14:anchorId="6019660B" wp14:editId="496CA07E">
            <wp:simplePos x="0" y="0"/>
            <wp:positionH relativeFrom="column">
              <wp:posOffset>4385945</wp:posOffset>
            </wp:positionH>
            <wp:positionV relativeFrom="paragraph">
              <wp:posOffset>-7722870</wp:posOffset>
            </wp:positionV>
            <wp:extent cx="68580" cy="8255"/>
            <wp:effectExtent l="0" t="0" r="0" b="0"/>
            <wp:wrapNone/>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p>
    <w:p w14:paraId="61858A0E" w14:textId="77777777" w:rsidR="00D1587D" w:rsidRDefault="00D1587D">
      <w:pPr>
        <w:spacing w:line="182" w:lineRule="exact"/>
        <w:rPr>
          <w:sz w:val="20"/>
          <w:szCs w:val="20"/>
        </w:rPr>
      </w:pPr>
    </w:p>
    <w:p w14:paraId="5B0E16DF" w14:textId="77777777" w:rsidR="00D1587D" w:rsidRDefault="00410D07">
      <w:pPr>
        <w:ind w:right="39"/>
        <w:jc w:val="center"/>
        <w:rPr>
          <w:sz w:val="20"/>
          <w:szCs w:val="20"/>
        </w:rPr>
      </w:pPr>
      <w:r>
        <w:rPr>
          <w:rFonts w:ascii="Arial" w:eastAsia="Arial" w:hAnsi="Arial" w:cs="Arial"/>
          <w:i/>
          <w:iCs/>
          <w:sz w:val="18"/>
          <w:szCs w:val="18"/>
        </w:rPr>
        <w:t xml:space="preserve">The accompanying notes are an integral part of these </w:t>
      </w:r>
      <w:r>
        <w:rPr>
          <w:rFonts w:ascii="Arial" w:eastAsia="Arial" w:hAnsi="Arial" w:cs="Arial"/>
          <w:i/>
          <w:iCs/>
          <w:sz w:val="18"/>
          <w:szCs w:val="18"/>
        </w:rPr>
        <w:t>financial statements.</w:t>
      </w:r>
    </w:p>
    <w:p w14:paraId="46905668" w14:textId="77777777" w:rsidR="00D1587D" w:rsidRDefault="00D1587D">
      <w:pPr>
        <w:spacing w:line="225" w:lineRule="exact"/>
        <w:rPr>
          <w:sz w:val="20"/>
          <w:szCs w:val="20"/>
        </w:rPr>
      </w:pPr>
    </w:p>
    <w:p w14:paraId="2A4FB51D" w14:textId="77777777" w:rsidR="00D1587D" w:rsidRDefault="00410D07">
      <w:pPr>
        <w:jc w:val="center"/>
        <w:rPr>
          <w:sz w:val="20"/>
          <w:szCs w:val="20"/>
        </w:rPr>
      </w:pPr>
      <w:r>
        <w:rPr>
          <w:rFonts w:ascii="Arial" w:eastAsia="Arial" w:hAnsi="Arial" w:cs="Arial"/>
          <w:sz w:val="18"/>
          <w:szCs w:val="18"/>
        </w:rPr>
        <w:t>F-3</w:t>
      </w:r>
    </w:p>
    <w:p w14:paraId="4EE3F180" w14:textId="77777777" w:rsidR="00D1587D" w:rsidRDefault="00410D07">
      <w:pPr>
        <w:spacing w:line="20" w:lineRule="exact"/>
        <w:rPr>
          <w:sz w:val="20"/>
          <w:szCs w:val="20"/>
        </w:rPr>
      </w:pPr>
      <w:r>
        <w:rPr>
          <w:noProof/>
          <w:sz w:val="20"/>
          <w:szCs w:val="20"/>
        </w:rPr>
        <w:drawing>
          <wp:anchor distT="0" distB="0" distL="114300" distR="114300" simplePos="0" relativeHeight="252006400" behindDoc="1" locked="0" layoutInCell="0" allowOverlap="1" wp14:anchorId="6755DC36" wp14:editId="63EDE6AC">
            <wp:simplePos x="0" y="0"/>
            <wp:positionH relativeFrom="column">
              <wp:posOffset>-636905</wp:posOffset>
            </wp:positionH>
            <wp:positionV relativeFrom="paragraph">
              <wp:posOffset>126365</wp:posOffset>
            </wp:positionV>
            <wp:extent cx="6995160" cy="17145"/>
            <wp:effectExtent l="0" t="0" r="0" b="0"/>
            <wp:wrapNone/>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9B49EC8" w14:textId="77777777" w:rsidR="00D1587D" w:rsidRDefault="00D1587D">
      <w:pPr>
        <w:sectPr w:rsidR="00D1587D">
          <w:pgSz w:w="11900" w:h="16838"/>
          <w:pgMar w:top="265" w:right="1440" w:bottom="1440" w:left="1440" w:header="0" w:footer="0" w:gutter="0"/>
          <w:cols w:space="720" w:equalWidth="0">
            <w:col w:w="9019"/>
          </w:cols>
        </w:sectPr>
      </w:pPr>
    </w:p>
    <w:bookmarkStart w:id="399" w:name="page400"/>
    <w:bookmarkEnd w:id="399"/>
    <w:p w14:paraId="413C2BFC"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C702768" w14:textId="77777777" w:rsidR="00D1587D" w:rsidRDefault="00D1587D">
      <w:pPr>
        <w:spacing w:line="127" w:lineRule="exact"/>
        <w:rPr>
          <w:sz w:val="20"/>
          <w:szCs w:val="20"/>
        </w:rPr>
      </w:pPr>
    </w:p>
    <w:p w14:paraId="35A497D9"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06623C39" w14:textId="77777777" w:rsidR="00D1587D" w:rsidRDefault="00D1587D">
      <w:pPr>
        <w:spacing w:line="27" w:lineRule="exact"/>
        <w:rPr>
          <w:sz w:val="20"/>
          <w:szCs w:val="20"/>
        </w:rPr>
      </w:pPr>
    </w:p>
    <w:p w14:paraId="01AD08C3" w14:textId="77777777" w:rsidR="00D1587D" w:rsidRDefault="00410D07">
      <w:pPr>
        <w:jc w:val="center"/>
        <w:rPr>
          <w:sz w:val="20"/>
          <w:szCs w:val="20"/>
        </w:rPr>
      </w:pPr>
      <w:r>
        <w:rPr>
          <w:rFonts w:ascii="Arial" w:eastAsia="Arial" w:hAnsi="Arial" w:cs="Arial"/>
          <w:b/>
          <w:bCs/>
          <w:sz w:val="18"/>
          <w:szCs w:val="18"/>
        </w:rPr>
        <w:t>COMBINED STATEMENTS OF INCOME (LOSS)</w:t>
      </w:r>
    </w:p>
    <w:p w14:paraId="6635E134" w14:textId="77777777" w:rsidR="00D1587D" w:rsidRDefault="00D1587D">
      <w:pPr>
        <w:spacing w:line="207" w:lineRule="exact"/>
        <w:rPr>
          <w:sz w:val="20"/>
          <w:szCs w:val="20"/>
        </w:rPr>
      </w:pPr>
    </w:p>
    <w:p w14:paraId="3C0D62DB" w14:textId="77777777" w:rsidR="00D1587D" w:rsidRDefault="00410D07">
      <w:pPr>
        <w:jc w:val="center"/>
        <w:rPr>
          <w:sz w:val="20"/>
          <w:szCs w:val="20"/>
        </w:rPr>
      </w:pPr>
      <w:r>
        <w:rPr>
          <w:rFonts w:ascii="Arial" w:eastAsia="Arial" w:hAnsi="Arial" w:cs="Arial"/>
          <w:b/>
          <w:bCs/>
          <w:sz w:val="18"/>
          <w:szCs w:val="18"/>
        </w:rPr>
        <w:t>(in millions)</w:t>
      </w:r>
    </w:p>
    <w:p w14:paraId="689649AB" w14:textId="77777777" w:rsidR="00D1587D" w:rsidRDefault="00D1587D">
      <w:pPr>
        <w:spacing w:line="19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020"/>
        <w:gridCol w:w="80"/>
        <w:gridCol w:w="20"/>
        <w:gridCol w:w="180"/>
        <w:gridCol w:w="380"/>
        <w:gridCol w:w="60"/>
        <w:gridCol w:w="220"/>
        <w:gridCol w:w="140"/>
        <w:gridCol w:w="80"/>
        <w:gridCol w:w="400"/>
        <w:gridCol w:w="220"/>
        <w:gridCol w:w="180"/>
        <w:gridCol w:w="100"/>
        <w:gridCol w:w="340"/>
      </w:tblGrid>
      <w:tr w:rsidR="00D1587D" w14:paraId="3F246506" w14:textId="77777777">
        <w:trPr>
          <w:trHeight w:val="186"/>
        </w:trPr>
        <w:tc>
          <w:tcPr>
            <w:tcW w:w="6020" w:type="dxa"/>
            <w:vAlign w:val="bottom"/>
          </w:tcPr>
          <w:p w14:paraId="6895045A" w14:textId="77777777" w:rsidR="00D1587D" w:rsidRDefault="00D1587D">
            <w:pPr>
              <w:rPr>
                <w:sz w:val="16"/>
                <w:szCs w:val="16"/>
              </w:rPr>
            </w:pPr>
          </w:p>
        </w:tc>
        <w:tc>
          <w:tcPr>
            <w:tcW w:w="80" w:type="dxa"/>
            <w:vAlign w:val="bottom"/>
          </w:tcPr>
          <w:p w14:paraId="37D4EBBA" w14:textId="77777777" w:rsidR="00D1587D" w:rsidRDefault="00D1587D">
            <w:pPr>
              <w:rPr>
                <w:sz w:val="16"/>
                <w:szCs w:val="16"/>
              </w:rPr>
            </w:pPr>
          </w:p>
        </w:tc>
        <w:tc>
          <w:tcPr>
            <w:tcW w:w="20" w:type="dxa"/>
            <w:vAlign w:val="bottom"/>
          </w:tcPr>
          <w:p w14:paraId="7E642226" w14:textId="77777777" w:rsidR="00D1587D" w:rsidRDefault="00D1587D">
            <w:pPr>
              <w:rPr>
                <w:sz w:val="16"/>
                <w:szCs w:val="16"/>
              </w:rPr>
            </w:pPr>
          </w:p>
        </w:tc>
        <w:tc>
          <w:tcPr>
            <w:tcW w:w="560" w:type="dxa"/>
            <w:gridSpan w:val="2"/>
            <w:vAlign w:val="bottom"/>
          </w:tcPr>
          <w:p w14:paraId="627EF501" w14:textId="77777777" w:rsidR="00D1587D" w:rsidRDefault="00410D07">
            <w:pPr>
              <w:ind w:right="10"/>
              <w:jc w:val="right"/>
              <w:rPr>
                <w:sz w:val="20"/>
                <w:szCs w:val="20"/>
              </w:rPr>
            </w:pPr>
            <w:r>
              <w:rPr>
                <w:rFonts w:ascii="Arial" w:eastAsia="Arial" w:hAnsi="Arial" w:cs="Arial"/>
                <w:b/>
                <w:bCs/>
                <w:sz w:val="14"/>
                <w:szCs w:val="14"/>
              </w:rPr>
              <w:t>2020</w:t>
            </w:r>
          </w:p>
        </w:tc>
        <w:tc>
          <w:tcPr>
            <w:tcW w:w="60" w:type="dxa"/>
            <w:vAlign w:val="bottom"/>
          </w:tcPr>
          <w:p w14:paraId="3B8A021A" w14:textId="77777777" w:rsidR="00D1587D" w:rsidRDefault="00D1587D">
            <w:pPr>
              <w:rPr>
                <w:sz w:val="16"/>
                <w:szCs w:val="16"/>
              </w:rPr>
            </w:pPr>
          </w:p>
        </w:tc>
        <w:tc>
          <w:tcPr>
            <w:tcW w:w="220" w:type="dxa"/>
            <w:vAlign w:val="bottom"/>
          </w:tcPr>
          <w:p w14:paraId="387F7803" w14:textId="77777777" w:rsidR="00D1587D" w:rsidRDefault="00D1587D">
            <w:pPr>
              <w:rPr>
                <w:sz w:val="16"/>
                <w:szCs w:val="16"/>
              </w:rPr>
            </w:pPr>
          </w:p>
        </w:tc>
        <w:tc>
          <w:tcPr>
            <w:tcW w:w="620" w:type="dxa"/>
            <w:gridSpan w:val="3"/>
            <w:vAlign w:val="bottom"/>
          </w:tcPr>
          <w:p w14:paraId="0D2BD965" w14:textId="77777777" w:rsidR="00D1587D" w:rsidRDefault="00410D07">
            <w:pPr>
              <w:ind w:right="72"/>
              <w:jc w:val="right"/>
              <w:rPr>
                <w:sz w:val="20"/>
                <w:szCs w:val="20"/>
              </w:rPr>
            </w:pPr>
            <w:r>
              <w:rPr>
                <w:rFonts w:ascii="Arial" w:eastAsia="Arial" w:hAnsi="Arial" w:cs="Arial"/>
                <w:b/>
                <w:bCs/>
                <w:sz w:val="14"/>
                <w:szCs w:val="14"/>
              </w:rPr>
              <w:t>2019</w:t>
            </w:r>
          </w:p>
        </w:tc>
        <w:tc>
          <w:tcPr>
            <w:tcW w:w="220" w:type="dxa"/>
            <w:vAlign w:val="bottom"/>
          </w:tcPr>
          <w:p w14:paraId="663FA40C" w14:textId="77777777" w:rsidR="00D1587D" w:rsidRDefault="00D1587D">
            <w:pPr>
              <w:rPr>
                <w:sz w:val="16"/>
                <w:szCs w:val="16"/>
              </w:rPr>
            </w:pPr>
          </w:p>
        </w:tc>
        <w:tc>
          <w:tcPr>
            <w:tcW w:w="620" w:type="dxa"/>
            <w:gridSpan w:val="3"/>
            <w:vAlign w:val="bottom"/>
          </w:tcPr>
          <w:p w14:paraId="32854E94" w14:textId="77777777" w:rsidR="00D1587D" w:rsidRDefault="00410D07">
            <w:pPr>
              <w:ind w:left="160"/>
              <w:rPr>
                <w:sz w:val="20"/>
                <w:szCs w:val="20"/>
              </w:rPr>
            </w:pPr>
            <w:r>
              <w:rPr>
                <w:rFonts w:ascii="Arial" w:eastAsia="Arial" w:hAnsi="Arial" w:cs="Arial"/>
                <w:b/>
                <w:bCs/>
                <w:sz w:val="14"/>
                <w:szCs w:val="14"/>
              </w:rPr>
              <w:t>2018</w:t>
            </w:r>
          </w:p>
        </w:tc>
      </w:tr>
      <w:tr w:rsidR="00D1587D" w14:paraId="2E287AE9" w14:textId="77777777">
        <w:trPr>
          <w:trHeight w:val="53"/>
        </w:trPr>
        <w:tc>
          <w:tcPr>
            <w:tcW w:w="6020" w:type="dxa"/>
            <w:tcBorders>
              <w:bottom w:val="single" w:sz="8" w:space="0" w:color="CCEEFF"/>
            </w:tcBorders>
            <w:vAlign w:val="bottom"/>
          </w:tcPr>
          <w:p w14:paraId="7244682D" w14:textId="77777777" w:rsidR="00D1587D" w:rsidRDefault="00D1587D">
            <w:pPr>
              <w:rPr>
                <w:sz w:val="4"/>
                <w:szCs w:val="4"/>
              </w:rPr>
            </w:pPr>
          </w:p>
        </w:tc>
        <w:tc>
          <w:tcPr>
            <w:tcW w:w="80" w:type="dxa"/>
            <w:tcBorders>
              <w:bottom w:val="single" w:sz="8" w:space="0" w:color="CCEEFF"/>
            </w:tcBorders>
            <w:vAlign w:val="bottom"/>
          </w:tcPr>
          <w:p w14:paraId="455D6DC0" w14:textId="77777777" w:rsidR="00D1587D" w:rsidRDefault="00D1587D">
            <w:pPr>
              <w:rPr>
                <w:sz w:val="4"/>
                <w:szCs w:val="4"/>
              </w:rPr>
            </w:pPr>
          </w:p>
        </w:tc>
        <w:tc>
          <w:tcPr>
            <w:tcW w:w="20" w:type="dxa"/>
            <w:tcBorders>
              <w:bottom w:val="single" w:sz="8" w:space="0" w:color="CCEEFF"/>
            </w:tcBorders>
            <w:vAlign w:val="bottom"/>
          </w:tcPr>
          <w:p w14:paraId="2C482BB4" w14:textId="77777777" w:rsidR="00D1587D" w:rsidRDefault="00D1587D">
            <w:pPr>
              <w:rPr>
                <w:sz w:val="4"/>
                <w:szCs w:val="4"/>
              </w:rPr>
            </w:pPr>
          </w:p>
        </w:tc>
        <w:tc>
          <w:tcPr>
            <w:tcW w:w="180" w:type="dxa"/>
            <w:tcBorders>
              <w:bottom w:val="single" w:sz="8" w:space="0" w:color="auto"/>
            </w:tcBorders>
            <w:vAlign w:val="bottom"/>
          </w:tcPr>
          <w:p w14:paraId="67C160C5" w14:textId="77777777" w:rsidR="00D1587D" w:rsidRDefault="00D1587D">
            <w:pPr>
              <w:rPr>
                <w:sz w:val="4"/>
                <w:szCs w:val="4"/>
              </w:rPr>
            </w:pPr>
          </w:p>
        </w:tc>
        <w:tc>
          <w:tcPr>
            <w:tcW w:w="380" w:type="dxa"/>
            <w:tcBorders>
              <w:bottom w:val="single" w:sz="8" w:space="0" w:color="auto"/>
            </w:tcBorders>
            <w:vAlign w:val="bottom"/>
          </w:tcPr>
          <w:p w14:paraId="00AA513E" w14:textId="77777777" w:rsidR="00D1587D" w:rsidRDefault="00D1587D">
            <w:pPr>
              <w:rPr>
                <w:sz w:val="4"/>
                <w:szCs w:val="4"/>
              </w:rPr>
            </w:pPr>
          </w:p>
        </w:tc>
        <w:tc>
          <w:tcPr>
            <w:tcW w:w="60" w:type="dxa"/>
            <w:tcBorders>
              <w:bottom w:val="single" w:sz="8" w:space="0" w:color="auto"/>
            </w:tcBorders>
            <w:vAlign w:val="bottom"/>
          </w:tcPr>
          <w:p w14:paraId="20FB6BAD" w14:textId="77777777" w:rsidR="00D1587D" w:rsidRDefault="00D1587D">
            <w:pPr>
              <w:rPr>
                <w:sz w:val="4"/>
                <w:szCs w:val="4"/>
              </w:rPr>
            </w:pPr>
          </w:p>
        </w:tc>
        <w:tc>
          <w:tcPr>
            <w:tcW w:w="220" w:type="dxa"/>
            <w:tcBorders>
              <w:bottom w:val="single" w:sz="8" w:space="0" w:color="CCEEFF"/>
            </w:tcBorders>
            <w:vAlign w:val="bottom"/>
          </w:tcPr>
          <w:p w14:paraId="685E8F82" w14:textId="77777777" w:rsidR="00D1587D" w:rsidRDefault="00D1587D">
            <w:pPr>
              <w:rPr>
                <w:sz w:val="4"/>
                <w:szCs w:val="4"/>
              </w:rPr>
            </w:pPr>
          </w:p>
        </w:tc>
        <w:tc>
          <w:tcPr>
            <w:tcW w:w="140" w:type="dxa"/>
            <w:tcBorders>
              <w:bottom w:val="single" w:sz="8" w:space="0" w:color="auto"/>
            </w:tcBorders>
            <w:vAlign w:val="bottom"/>
          </w:tcPr>
          <w:p w14:paraId="0EB45465" w14:textId="77777777" w:rsidR="00D1587D" w:rsidRDefault="00D1587D">
            <w:pPr>
              <w:rPr>
                <w:sz w:val="4"/>
                <w:szCs w:val="4"/>
              </w:rPr>
            </w:pPr>
          </w:p>
        </w:tc>
        <w:tc>
          <w:tcPr>
            <w:tcW w:w="480" w:type="dxa"/>
            <w:gridSpan w:val="2"/>
            <w:tcBorders>
              <w:bottom w:val="single" w:sz="8" w:space="0" w:color="auto"/>
            </w:tcBorders>
            <w:vAlign w:val="bottom"/>
          </w:tcPr>
          <w:p w14:paraId="37166089" w14:textId="77777777" w:rsidR="00D1587D" w:rsidRDefault="00D1587D">
            <w:pPr>
              <w:rPr>
                <w:sz w:val="4"/>
                <w:szCs w:val="4"/>
              </w:rPr>
            </w:pPr>
          </w:p>
        </w:tc>
        <w:tc>
          <w:tcPr>
            <w:tcW w:w="220" w:type="dxa"/>
            <w:tcBorders>
              <w:bottom w:val="single" w:sz="8" w:space="0" w:color="CCEEFF"/>
            </w:tcBorders>
            <w:vAlign w:val="bottom"/>
          </w:tcPr>
          <w:p w14:paraId="70824A4C" w14:textId="77777777" w:rsidR="00D1587D" w:rsidRDefault="00D1587D">
            <w:pPr>
              <w:rPr>
                <w:sz w:val="4"/>
                <w:szCs w:val="4"/>
              </w:rPr>
            </w:pPr>
          </w:p>
        </w:tc>
        <w:tc>
          <w:tcPr>
            <w:tcW w:w="180" w:type="dxa"/>
            <w:tcBorders>
              <w:bottom w:val="single" w:sz="8" w:space="0" w:color="auto"/>
            </w:tcBorders>
            <w:vAlign w:val="bottom"/>
          </w:tcPr>
          <w:p w14:paraId="51694057" w14:textId="77777777" w:rsidR="00D1587D" w:rsidRDefault="00D1587D">
            <w:pPr>
              <w:rPr>
                <w:sz w:val="4"/>
                <w:szCs w:val="4"/>
              </w:rPr>
            </w:pPr>
          </w:p>
        </w:tc>
        <w:tc>
          <w:tcPr>
            <w:tcW w:w="440" w:type="dxa"/>
            <w:gridSpan w:val="2"/>
            <w:tcBorders>
              <w:bottom w:val="single" w:sz="8" w:space="0" w:color="auto"/>
            </w:tcBorders>
            <w:vAlign w:val="bottom"/>
          </w:tcPr>
          <w:p w14:paraId="4DD637D3" w14:textId="77777777" w:rsidR="00D1587D" w:rsidRDefault="00D1587D">
            <w:pPr>
              <w:rPr>
                <w:sz w:val="4"/>
                <w:szCs w:val="4"/>
              </w:rPr>
            </w:pPr>
          </w:p>
        </w:tc>
      </w:tr>
      <w:tr w:rsidR="00D1587D" w14:paraId="14756ADC" w14:textId="77777777">
        <w:trPr>
          <w:trHeight w:val="318"/>
        </w:trPr>
        <w:tc>
          <w:tcPr>
            <w:tcW w:w="6020" w:type="dxa"/>
            <w:shd w:val="clear" w:color="auto" w:fill="CCEEFF"/>
            <w:vAlign w:val="bottom"/>
          </w:tcPr>
          <w:p w14:paraId="62000DA4" w14:textId="77777777" w:rsidR="00D1587D" w:rsidRDefault="00D1587D">
            <w:pPr>
              <w:rPr>
                <w:sz w:val="24"/>
                <w:szCs w:val="24"/>
              </w:rPr>
            </w:pPr>
          </w:p>
        </w:tc>
        <w:tc>
          <w:tcPr>
            <w:tcW w:w="80" w:type="dxa"/>
            <w:shd w:val="clear" w:color="auto" w:fill="CCEEFF"/>
            <w:vAlign w:val="bottom"/>
          </w:tcPr>
          <w:p w14:paraId="371833FB" w14:textId="77777777" w:rsidR="00D1587D" w:rsidRDefault="00D1587D">
            <w:pPr>
              <w:rPr>
                <w:sz w:val="24"/>
                <w:szCs w:val="24"/>
              </w:rPr>
            </w:pPr>
          </w:p>
        </w:tc>
        <w:tc>
          <w:tcPr>
            <w:tcW w:w="20" w:type="dxa"/>
            <w:shd w:val="clear" w:color="auto" w:fill="CCEEFF"/>
            <w:vAlign w:val="bottom"/>
          </w:tcPr>
          <w:p w14:paraId="368EF123" w14:textId="77777777" w:rsidR="00D1587D" w:rsidRDefault="00D1587D">
            <w:pPr>
              <w:rPr>
                <w:sz w:val="24"/>
                <w:szCs w:val="24"/>
              </w:rPr>
            </w:pPr>
          </w:p>
        </w:tc>
        <w:tc>
          <w:tcPr>
            <w:tcW w:w="180" w:type="dxa"/>
            <w:shd w:val="clear" w:color="auto" w:fill="CCEEFF"/>
            <w:vAlign w:val="bottom"/>
          </w:tcPr>
          <w:p w14:paraId="24C59419" w14:textId="77777777" w:rsidR="00D1587D" w:rsidRDefault="00D1587D">
            <w:pPr>
              <w:rPr>
                <w:sz w:val="24"/>
                <w:szCs w:val="24"/>
              </w:rPr>
            </w:pPr>
          </w:p>
        </w:tc>
        <w:tc>
          <w:tcPr>
            <w:tcW w:w="380" w:type="dxa"/>
            <w:shd w:val="clear" w:color="auto" w:fill="CCEEFF"/>
            <w:vAlign w:val="bottom"/>
          </w:tcPr>
          <w:p w14:paraId="4ACF4864" w14:textId="77777777" w:rsidR="00D1587D" w:rsidRDefault="00D1587D">
            <w:pPr>
              <w:rPr>
                <w:sz w:val="24"/>
                <w:szCs w:val="24"/>
              </w:rPr>
            </w:pPr>
          </w:p>
        </w:tc>
        <w:tc>
          <w:tcPr>
            <w:tcW w:w="60" w:type="dxa"/>
            <w:shd w:val="clear" w:color="auto" w:fill="CCEEFF"/>
            <w:vAlign w:val="bottom"/>
          </w:tcPr>
          <w:p w14:paraId="0D18FED8" w14:textId="77777777" w:rsidR="00D1587D" w:rsidRDefault="00D1587D">
            <w:pPr>
              <w:rPr>
                <w:sz w:val="24"/>
                <w:szCs w:val="24"/>
              </w:rPr>
            </w:pPr>
          </w:p>
        </w:tc>
        <w:tc>
          <w:tcPr>
            <w:tcW w:w="220" w:type="dxa"/>
            <w:shd w:val="clear" w:color="auto" w:fill="CCEEFF"/>
            <w:vAlign w:val="bottom"/>
          </w:tcPr>
          <w:p w14:paraId="12F56822" w14:textId="77777777" w:rsidR="00D1587D" w:rsidRDefault="00D1587D">
            <w:pPr>
              <w:rPr>
                <w:sz w:val="24"/>
                <w:szCs w:val="24"/>
              </w:rPr>
            </w:pPr>
          </w:p>
        </w:tc>
        <w:tc>
          <w:tcPr>
            <w:tcW w:w="140" w:type="dxa"/>
            <w:shd w:val="clear" w:color="auto" w:fill="CCEEFF"/>
            <w:vAlign w:val="bottom"/>
          </w:tcPr>
          <w:p w14:paraId="6BA894A6" w14:textId="77777777" w:rsidR="00D1587D" w:rsidRDefault="00D1587D">
            <w:pPr>
              <w:rPr>
                <w:sz w:val="24"/>
                <w:szCs w:val="24"/>
              </w:rPr>
            </w:pPr>
          </w:p>
        </w:tc>
        <w:tc>
          <w:tcPr>
            <w:tcW w:w="80" w:type="dxa"/>
            <w:shd w:val="clear" w:color="auto" w:fill="CCEEFF"/>
            <w:vAlign w:val="bottom"/>
          </w:tcPr>
          <w:p w14:paraId="3D5B9C44" w14:textId="77777777" w:rsidR="00D1587D" w:rsidRDefault="00D1587D">
            <w:pPr>
              <w:rPr>
                <w:sz w:val="24"/>
                <w:szCs w:val="24"/>
              </w:rPr>
            </w:pPr>
          </w:p>
        </w:tc>
        <w:tc>
          <w:tcPr>
            <w:tcW w:w="400" w:type="dxa"/>
            <w:shd w:val="clear" w:color="auto" w:fill="CCEEFF"/>
            <w:vAlign w:val="bottom"/>
          </w:tcPr>
          <w:p w14:paraId="7E86AF32" w14:textId="77777777" w:rsidR="00D1587D" w:rsidRDefault="00D1587D">
            <w:pPr>
              <w:rPr>
                <w:sz w:val="24"/>
                <w:szCs w:val="24"/>
              </w:rPr>
            </w:pPr>
          </w:p>
        </w:tc>
        <w:tc>
          <w:tcPr>
            <w:tcW w:w="220" w:type="dxa"/>
            <w:shd w:val="clear" w:color="auto" w:fill="CCEEFF"/>
            <w:vAlign w:val="bottom"/>
          </w:tcPr>
          <w:p w14:paraId="0FFC10D8" w14:textId="77777777" w:rsidR="00D1587D" w:rsidRDefault="00D1587D">
            <w:pPr>
              <w:rPr>
                <w:sz w:val="24"/>
                <w:szCs w:val="24"/>
              </w:rPr>
            </w:pPr>
          </w:p>
        </w:tc>
        <w:tc>
          <w:tcPr>
            <w:tcW w:w="180" w:type="dxa"/>
            <w:shd w:val="clear" w:color="auto" w:fill="CCEEFF"/>
            <w:vAlign w:val="bottom"/>
          </w:tcPr>
          <w:p w14:paraId="541EF5BA" w14:textId="77777777" w:rsidR="00D1587D" w:rsidRDefault="00D1587D">
            <w:pPr>
              <w:rPr>
                <w:sz w:val="24"/>
                <w:szCs w:val="24"/>
              </w:rPr>
            </w:pPr>
          </w:p>
        </w:tc>
        <w:tc>
          <w:tcPr>
            <w:tcW w:w="100" w:type="dxa"/>
            <w:shd w:val="clear" w:color="auto" w:fill="CCEEFF"/>
            <w:vAlign w:val="bottom"/>
          </w:tcPr>
          <w:p w14:paraId="42C5B072" w14:textId="77777777" w:rsidR="00D1587D" w:rsidRDefault="00D1587D">
            <w:pPr>
              <w:rPr>
                <w:sz w:val="24"/>
                <w:szCs w:val="24"/>
              </w:rPr>
            </w:pPr>
          </w:p>
        </w:tc>
        <w:tc>
          <w:tcPr>
            <w:tcW w:w="340" w:type="dxa"/>
            <w:shd w:val="clear" w:color="auto" w:fill="CCEEFF"/>
            <w:vAlign w:val="bottom"/>
          </w:tcPr>
          <w:p w14:paraId="350ED105" w14:textId="77777777" w:rsidR="00D1587D" w:rsidRDefault="00D1587D">
            <w:pPr>
              <w:rPr>
                <w:sz w:val="24"/>
                <w:szCs w:val="24"/>
              </w:rPr>
            </w:pPr>
          </w:p>
        </w:tc>
      </w:tr>
      <w:tr w:rsidR="00D1587D" w14:paraId="4E6C1CCA" w14:textId="77777777">
        <w:trPr>
          <w:trHeight w:val="270"/>
        </w:trPr>
        <w:tc>
          <w:tcPr>
            <w:tcW w:w="6120" w:type="dxa"/>
            <w:gridSpan w:val="3"/>
            <w:vAlign w:val="bottom"/>
          </w:tcPr>
          <w:p w14:paraId="77913CAE" w14:textId="77777777" w:rsidR="00D1587D" w:rsidRDefault="00410D07">
            <w:pPr>
              <w:rPr>
                <w:sz w:val="20"/>
                <w:szCs w:val="20"/>
              </w:rPr>
            </w:pPr>
            <w:r>
              <w:rPr>
                <w:rFonts w:ascii="Arial" w:eastAsia="Arial" w:hAnsi="Arial" w:cs="Arial"/>
                <w:sz w:val="18"/>
                <w:szCs w:val="18"/>
              </w:rPr>
              <w:t xml:space="preserve">Net </w:t>
            </w:r>
            <w:r>
              <w:rPr>
                <w:rFonts w:ascii="Arial" w:eastAsia="Arial" w:hAnsi="Arial" w:cs="Arial"/>
                <w:sz w:val="18"/>
                <w:szCs w:val="18"/>
              </w:rPr>
              <w:t>Sales</w:t>
            </w:r>
          </w:p>
        </w:tc>
        <w:tc>
          <w:tcPr>
            <w:tcW w:w="560" w:type="dxa"/>
            <w:gridSpan w:val="2"/>
            <w:vAlign w:val="bottom"/>
          </w:tcPr>
          <w:p w14:paraId="19D1D959" w14:textId="77777777" w:rsidR="00D1587D" w:rsidRDefault="00410D07">
            <w:pPr>
              <w:jc w:val="right"/>
              <w:rPr>
                <w:sz w:val="20"/>
                <w:szCs w:val="20"/>
              </w:rPr>
            </w:pPr>
            <w:r>
              <w:rPr>
                <w:rFonts w:ascii="Arial" w:eastAsia="Arial" w:hAnsi="Arial" w:cs="Arial"/>
                <w:w w:val="86"/>
                <w:sz w:val="18"/>
                <w:szCs w:val="18"/>
              </w:rPr>
              <w:t>$ 5,413</w:t>
            </w:r>
          </w:p>
        </w:tc>
        <w:tc>
          <w:tcPr>
            <w:tcW w:w="60" w:type="dxa"/>
            <w:vAlign w:val="bottom"/>
          </w:tcPr>
          <w:p w14:paraId="228BE1CF" w14:textId="77777777" w:rsidR="00D1587D" w:rsidRDefault="00D1587D">
            <w:pPr>
              <w:rPr>
                <w:sz w:val="23"/>
                <w:szCs w:val="23"/>
              </w:rPr>
            </w:pPr>
          </w:p>
        </w:tc>
        <w:tc>
          <w:tcPr>
            <w:tcW w:w="220" w:type="dxa"/>
            <w:vAlign w:val="bottom"/>
          </w:tcPr>
          <w:p w14:paraId="6B6277B2" w14:textId="77777777" w:rsidR="00D1587D" w:rsidRDefault="00D1587D">
            <w:pPr>
              <w:rPr>
                <w:sz w:val="23"/>
                <w:szCs w:val="23"/>
              </w:rPr>
            </w:pPr>
          </w:p>
        </w:tc>
        <w:tc>
          <w:tcPr>
            <w:tcW w:w="620" w:type="dxa"/>
            <w:gridSpan w:val="3"/>
            <w:vAlign w:val="bottom"/>
          </w:tcPr>
          <w:p w14:paraId="3B96DC07" w14:textId="77777777" w:rsidR="00D1587D" w:rsidRDefault="00410D07">
            <w:pPr>
              <w:jc w:val="right"/>
              <w:rPr>
                <w:sz w:val="20"/>
                <w:szCs w:val="20"/>
              </w:rPr>
            </w:pPr>
            <w:r>
              <w:rPr>
                <w:rFonts w:ascii="Arial" w:eastAsia="Arial" w:hAnsi="Arial" w:cs="Arial"/>
                <w:w w:val="86"/>
                <w:sz w:val="18"/>
                <w:szCs w:val="18"/>
              </w:rPr>
              <w:t>$ 7,509</w:t>
            </w:r>
          </w:p>
        </w:tc>
        <w:tc>
          <w:tcPr>
            <w:tcW w:w="220" w:type="dxa"/>
            <w:vAlign w:val="bottom"/>
          </w:tcPr>
          <w:p w14:paraId="2583D5D5" w14:textId="77777777" w:rsidR="00D1587D" w:rsidRDefault="00D1587D">
            <w:pPr>
              <w:rPr>
                <w:sz w:val="23"/>
                <w:szCs w:val="23"/>
              </w:rPr>
            </w:pPr>
          </w:p>
        </w:tc>
        <w:tc>
          <w:tcPr>
            <w:tcW w:w="620" w:type="dxa"/>
            <w:gridSpan w:val="3"/>
            <w:vAlign w:val="bottom"/>
          </w:tcPr>
          <w:p w14:paraId="4DAF0553" w14:textId="77777777" w:rsidR="00D1587D" w:rsidRDefault="00410D07">
            <w:pPr>
              <w:jc w:val="right"/>
              <w:rPr>
                <w:sz w:val="20"/>
                <w:szCs w:val="20"/>
              </w:rPr>
            </w:pPr>
            <w:r>
              <w:rPr>
                <w:rFonts w:ascii="Arial" w:eastAsia="Arial" w:hAnsi="Arial" w:cs="Arial"/>
                <w:w w:val="86"/>
                <w:sz w:val="18"/>
                <w:szCs w:val="18"/>
              </w:rPr>
              <w:t>$ 8,103</w:t>
            </w:r>
          </w:p>
        </w:tc>
      </w:tr>
      <w:tr w:rsidR="00D1587D" w14:paraId="65BCBFD3" w14:textId="77777777">
        <w:trPr>
          <w:trHeight w:val="54"/>
        </w:trPr>
        <w:tc>
          <w:tcPr>
            <w:tcW w:w="6020" w:type="dxa"/>
            <w:vAlign w:val="bottom"/>
          </w:tcPr>
          <w:p w14:paraId="249950D8" w14:textId="77777777" w:rsidR="00D1587D" w:rsidRDefault="00D1587D">
            <w:pPr>
              <w:rPr>
                <w:sz w:val="4"/>
                <w:szCs w:val="4"/>
              </w:rPr>
            </w:pPr>
          </w:p>
        </w:tc>
        <w:tc>
          <w:tcPr>
            <w:tcW w:w="80" w:type="dxa"/>
            <w:vAlign w:val="bottom"/>
          </w:tcPr>
          <w:p w14:paraId="28BF31AE" w14:textId="77777777" w:rsidR="00D1587D" w:rsidRDefault="00D1587D">
            <w:pPr>
              <w:rPr>
                <w:sz w:val="4"/>
                <w:szCs w:val="4"/>
              </w:rPr>
            </w:pPr>
          </w:p>
        </w:tc>
        <w:tc>
          <w:tcPr>
            <w:tcW w:w="20" w:type="dxa"/>
            <w:vAlign w:val="bottom"/>
          </w:tcPr>
          <w:p w14:paraId="49E1B76D" w14:textId="77777777" w:rsidR="00D1587D" w:rsidRDefault="00D1587D">
            <w:pPr>
              <w:rPr>
                <w:sz w:val="4"/>
                <w:szCs w:val="4"/>
              </w:rPr>
            </w:pPr>
          </w:p>
        </w:tc>
        <w:tc>
          <w:tcPr>
            <w:tcW w:w="180" w:type="dxa"/>
            <w:vAlign w:val="bottom"/>
          </w:tcPr>
          <w:p w14:paraId="7346BAEB" w14:textId="77777777" w:rsidR="00D1587D" w:rsidRDefault="00D1587D">
            <w:pPr>
              <w:rPr>
                <w:sz w:val="4"/>
                <w:szCs w:val="4"/>
              </w:rPr>
            </w:pPr>
          </w:p>
        </w:tc>
        <w:tc>
          <w:tcPr>
            <w:tcW w:w="380" w:type="dxa"/>
            <w:vAlign w:val="bottom"/>
          </w:tcPr>
          <w:p w14:paraId="7B7DBFE8" w14:textId="77777777" w:rsidR="00D1587D" w:rsidRDefault="00D1587D">
            <w:pPr>
              <w:rPr>
                <w:sz w:val="4"/>
                <w:szCs w:val="4"/>
              </w:rPr>
            </w:pPr>
          </w:p>
        </w:tc>
        <w:tc>
          <w:tcPr>
            <w:tcW w:w="60" w:type="dxa"/>
            <w:vAlign w:val="bottom"/>
          </w:tcPr>
          <w:p w14:paraId="22380EE9" w14:textId="77777777" w:rsidR="00D1587D" w:rsidRDefault="00D1587D">
            <w:pPr>
              <w:rPr>
                <w:sz w:val="4"/>
                <w:szCs w:val="4"/>
              </w:rPr>
            </w:pPr>
          </w:p>
        </w:tc>
        <w:tc>
          <w:tcPr>
            <w:tcW w:w="220" w:type="dxa"/>
            <w:vAlign w:val="bottom"/>
          </w:tcPr>
          <w:p w14:paraId="5BA0BC36" w14:textId="77777777" w:rsidR="00D1587D" w:rsidRDefault="00D1587D">
            <w:pPr>
              <w:rPr>
                <w:sz w:val="4"/>
                <w:szCs w:val="4"/>
              </w:rPr>
            </w:pPr>
          </w:p>
        </w:tc>
        <w:tc>
          <w:tcPr>
            <w:tcW w:w="140" w:type="dxa"/>
            <w:vAlign w:val="bottom"/>
          </w:tcPr>
          <w:p w14:paraId="40614CF7" w14:textId="77777777" w:rsidR="00D1587D" w:rsidRDefault="00D1587D">
            <w:pPr>
              <w:rPr>
                <w:sz w:val="4"/>
                <w:szCs w:val="4"/>
              </w:rPr>
            </w:pPr>
          </w:p>
        </w:tc>
        <w:tc>
          <w:tcPr>
            <w:tcW w:w="480" w:type="dxa"/>
            <w:gridSpan w:val="2"/>
            <w:vAlign w:val="bottom"/>
          </w:tcPr>
          <w:p w14:paraId="6FD28867" w14:textId="77777777" w:rsidR="00D1587D" w:rsidRDefault="00D1587D">
            <w:pPr>
              <w:rPr>
                <w:sz w:val="4"/>
                <w:szCs w:val="4"/>
              </w:rPr>
            </w:pPr>
          </w:p>
        </w:tc>
        <w:tc>
          <w:tcPr>
            <w:tcW w:w="220" w:type="dxa"/>
            <w:vAlign w:val="bottom"/>
          </w:tcPr>
          <w:p w14:paraId="7AC7CE1A" w14:textId="77777777" w:rsidR="00D1587D" w:rsidRDefault="00D1587D">
            <w:pPr>
              <w:rPr>
                <w:sz w:val="4"/>
                <w:szCs w:val="4"/>
              </w:rPr>
            </w:pPr>
          </w:p>
        </w:tc>
        <w:tc>
          <w:tcPr>
            <w:tcW w:w="180" w:type="dxa"/>
            <w:vAlign w:val="bottom"/>
          </w:tcPr>
          <w:p w14:paraId="5E3AB0DB" w14:textId="77777777" w:rsidR="00D1587D" w:rsidRDefault="00D1587D">
            <w:pPr>
              <w:rPr>
                <w:sz w:val="4"/>
                <w:szCs w:val="4"/>
              </w:rPr>
            </w:pPr>
          </w:p>
        </w:tc>
        <w:tc>
          <w:tcPr>
            <w:tcW w:w="440" w:type="dxa"/>
            <w:gridSpan w:val="2"/>
            <w:vAlign w:val="bottom"/>
          </w:tcPr>
          <w:p w14:paraId="0C9FB3AE" w14:textId="77777777" w:rsidR="00D1587D" w:rsidRDefault="00D1587D">
            <w:pPr>
              <w:rPr>
                <w:sz w:val="4"/>
                <w:szCs w:val="4"/>
              </w:rPr>
            </w:pPr>
          </w:p>
        </w:tc>
      </w:tr>
      <w:tr w:rsidR="00D1587D" w14:paraId="3F926612" w14:textId="77777777">
        <w:trPr>
          <w:trHeight w:val="270"/>
        </w:trPr>
        <w:tc>
          <w:tcPr>
            <w:tcW w:w="6120" w:type="dxa"/>
            <w:gridSpan w:val="3"/>
            <w:shd w:val="clear" w:color="auto" w:fill="CCEEFF"/>
            <w:vAlign w:val="bottom"/>
          </w:tcPr>
          <w:p w14:paraId="1517E28A" w14:textId="77777777" w:rsidR="00D1587D" w:rsidRDefault="00410D07">
            <w:pPr>
              <w:rPr>
                <w:sz w:val="20"/>
                <w:szCs w:val="20"/>
              </w:rPr>
            </w:pPr>
            <w:r>
              <w:rPr>
                <w:rFonts w:ascii="Arial" w:eastAsia="Arial" w:hAnsi="Arial" w:cs="Arial"/>
                <w:sz w:val="18"/>
                <w:szCs w:val="18"/>
              </w:rPr>
              <w:t>Costs of Goods Sold, Buying and Occupancy</w:t>
            </w:r>
          </w:p>
        </w:tc>
        <w:tc>
          <w:tcPr>
            <w:tcW w:w="620" w:type="dxa"/>
            <w:gridSpan w:val="3"/>
            <w:shd w:val="clear" w:color="auto" w:fill="CCEEFF"/>
            <w:vAlign w:val="bottom"/>
          </w:tcPr>
          <w:p w14:paraId="505A764A" w14:textId="77777777" w:rsidR="00D1587D" w:rsidRDefault="00410D07">
            <w:pPr>
              <w:ind w:right="20"/>
              <w:jc w:val="right"/>
              <w:rPr>
                <w:sz w:val="20"/>
                <w:szCs w:val="20"/>
              </w:rPr>
            </w:pPr>
            <w:r>
              <w:rPr>
                <w:rFonts w:ascii="Arial" w:eastAsia="Arial" w:hAnsi="Arial" w:cs="Arial"/>
                <w:sz w:val="18"/>
                <w:szCs w:val="18"/>
              </w:rPr>
              <w:t>(3,842)</w:t>
            </w:r>
          </w:p>
        </w:tc>
        <w:tc>
          <w:tcPr>
            <w:tcW w:w="220" w:type="dxa"/>
            <w:shd w:val="clear" w:color="auto" w:fill="CCEEFF"/>
            <w:vAlign w:val="bottom"/>
          </w:tcPr>
          <w:p w14:paraId="3978CA87" w14:textId="77777777" w:rsidR="00D1587D" w:rsidRDefault="00D1587D">
            <w:pPr>
              <w:rPr>
                <w:sz w:val="23"/>
                <w:szCs w:val="23"/>
              </w:rPr>
            </w:pPr>
          </w:p>
        </w:tc>
        <w:tc>
          <w:tcPr>
            <w:tcW w:w="620" w:type="dxa"/>
            <w:gridSpan w:val="3"/>
            <w:shd w:val="clear" w:color="auto" w:fill="CCEEFF"/>
            <w:vAlign w:val="bottom"/>
          </w:tcPr>
          <w:p w14:paraId="69FE681E" w14:textId="77777777" w:rsidR="00D1587D" w:rsidRDefault="00410D07">
            <w:pPr>
              <w:jc w:val="right"/>
              <w:rPr>
                <w:sz w:val="20"/>
                <w:szCs w:val="20"/>
              </w:rPr>
            </w:pPr>
            <w:r>
              <w:rPr>
                <w:rFonts w:ascii="Arial" w:eastAsia="Arial" w:hAnsi="Arial" w:cs="Arial"/>
                <w:sz w:val="18"/>
                <w:szCs w:val="18"/>
              </w:rPr>
              <w:t>(5,446)</w:t>
            </w:r>
          </w:p>
        </w:tc>
        <w:tc>
          <w:tcPr>
            <w:tcW w:w="220" w:type="dxa"/>
            <w:shd w:val="clear" w:color="auto" w:fill="CCEEFF"/>
            <w:vAlign w:val="bottom"/>
          </w:tcPr>
          <w:p w14:paraId="5FED4740" w14:textId="77777777" w:rsidR="00D1587D" w:rsidRDefault="00D1587D">
            <w:pPr>
              <w:rPr>
                <w:sz w:val="23"/>
                <w:szCs w:val="23"/>
              </w:rPr>
            </w:pPr>
          </w:p>
        </w:tc>
        <w:tc>
          <w:tcPr>
            <w:tcW w:w="620" w:type="dxa"/>
            <w:gridSpan w:val="3"/>
            <w:shd w:val="clear" w:color="auto" w:fill="CCEEFF"/>
            <w:vAlign w:val="bottom"/>
          </w:tcPr>
          <w:p w14:paraId="2CD341DC" w14:textId="77777777" w:rsidR="00D1587D" w:rsidRDefault="00410D07">
            <w:pPr>
              <w:jc w:val="right"/>
              <w:rPr>
                <w:sz w:val="20"/>
                <w:szCs w:val="20"/>
              </w:rPr>
            </w:pPr>
            <w:r>
              <w:rPr>
                <w:rFonts w:ascii="Arial" w:eastAsia="Arial" w:hAnsi="Arial" w:cs="Arial"/>
                <w:sz w:val="18"/>
                <w:szCs w:val="18"/>
              </w:rPr>
              <w:t>(5,414)</w:t>
            </w:r>
          </w:p>
        </w:tc>
      </w:tr>
      <w:tr w:rsidR="00D1587D" w14:paraId="6A6DA826" w14:textId="77777777">
        <w:trPr>
          <w:trHeight w:val="68"/>
        </w:trPr>
        <w:tc>
          <w:tcPr>
            <w:tcW w:w="6020" w:type="dxa"/>
            <w:shd w:val="clear" w:color="auto" w:fill="CCEEFF"/>
            <w:vAlign w:val="bottom"/>
          </w:tcPr>
          <w:p w14:paraId="6E628F83" w14:textId="77777777" w:rsidR="00D1587D" w:rsidRDefault="00D1587D">
            <w:pPr>
              <w:rPr>
                <w:sz w:val="5"/>
                <w:szCs w:val="5"/>
              </w:rPr>
            </w:pPr>
          </w:p>
        </w:tc>
        <w:tc>
          <w:tcPr>
            <w:tcW w:w="80" w:type="dxa"/>
            <w:tcBorders>
              <w:bottom w:val="single" w:sz="8" w:space="0" w:color="CCEEFF"/>
            </w:tcBorders>
            <w:shd w:val="clear" w:color="auto" w:fill="CCEEFF"/>
            <w:vAlign w:val="bottom"/>
          </w:tcPr>
          <w:p w14:paraId="56287FA9" w14:textId="77777777" w:rsidR="00D1587D" w:rsidRDefault="00D1587D">
            <w:pPr>
              <w:rPr>
                <w:sz w:val="5"/>
                <w:szCs w:val="5"/>
              </w:rPr>
            </w:pPr>
          </w:p>
        </w:tc>
        <w:tc>
          <w:tcPr>
            <w:tcW w:w="20" w:type="dxa"/>
            <w:tcBorders>
              <w:bottom w:val="single" w:sz="8" w:space="0" w:color="CCEEFF"/>
            </w:tcBorders>
            <w:shd w:val="clear" w:color="auto" w:fill="CCEEFF"/>
            <w:vAlign w:val="bottom"/>
          </w:tcPr>
          <w:p w14:paraId="6AB665F6" w14:textId="77777777" w:rsidR="00D1587D" w:rsidRDefault="00D1587D">
            <w:pPr>
              <w:rPr>
                <w:sz w:val="5"/>
                <w:szCs w:val="5"/>
              </w:rPr>
            </w:pPr>
          </w:p>
        </w:tc>
        <w:tc>
          <w:tcPr>
            <w:tcW w:w="180" w:type="dxa"/>
            <w:tcBorders>
              <w:bottom w:val="single" w:sz="8" w:space="0" w:color="auto"/>
            </w:tcBorders>
            <w:shd w:val="clear" w:color="auto" w:fill="CCEEFF"/>
            <w:vAlign w:val="bottom"/>
          </w:tcPr>
          <w:p w14:paraId="727279F6" w14:textId="77777777" w:rsidR="00D1587D" w:rsidRDefault="00D1587D">
            <w:pPr>
              <w:rPr>
                <w:sz w:val="5"/>
                <w:szCs w:val="5"/>
              </w:rPr>
            </w:pPr>
          </w:p>
        </w:tc>
        <w:tc>
          <w:tcPr>
            <w:tcW w:w="380" w:type="dxa"/>
            <w:tcBorders>
              <w:bottom w:val="single" w:sz="8" w:space="0" w:color="auto"/>
            </w:tcBorders>
            <w:shd w:val="clear" w:color="auto" w:fill="CCEEFF"/>
            <w:vAlign w:val="bottom"/>
          </w:tcPr>
          <w:p w14:paraId="2CBDCC47" w14:textId="77777777" w:rsidR="00D1587D" w:rsidRDefault="00D1587D">
            <w:pPr>
              <w:rPr>
                <w:sz w:val="5"/>
                <w:szCs w:val="5"/>
              </w:rPr>
            </w:pPr>
          </w:p>
        </w:tc>
        <w:tc>
          <w:tcPr>
            <w:tcW w:w="60" w:type="dxa"/>
            <w:tcBorders>
              <w:bottom w:val="single" w:sz="8" w:space="0" w:color="auto"/>
            </w:tcBorders>
            <w:shd w:val="clear" w:color="auto" w:fill="CCEEFF"/>
            <w:vAlign w:val="bottom"/>
          </w:tcPr>
          <w:p w14:paraId="085287A7" w14:textId="77777777" w:rsidR="00D1587D" w:rsidRDefault="00D1587D">
            <w:pPr>
              <w:rPr>
                <w:sz w:val="5"/>
                <w:szCs w:val="5"/>
              </w:rPr>
            </w:pPr>
          </w:p>
        </w:tc>
        <w:tc>
          <w:tcPr>
            <w:tcW w:w="220" w:type="dxa"/>
            <w:tcBorders>
              <w:bottom w:val="single" w:sz="8" w:space="0" w:color="CCEEFF"/>
            </w:tcBorders>
            <w:shd w:val="clear" w:color="auto" w:fill="CCEEFF"/>
            <w:vAlign w:val="bottom"/>
          </w:tcPr>
          <w:p w14:paraId="612ACC8F" w14:textId="77777777" w:rsidR="00D1587D" w:rsidRDefault="00D1587D">
            <w:pPr>
              <w:rPr>
                <w:sz w:val="5"/>
                <w:szCs w:val="5"/>
              </w:rPr>
            </w:pPr>
          </w:p>
        </w:tc>
        <w:tc>
          <w:tcPr>
            <w:tcW w:w="140" w:type="dxa"/>
            <w:tcBorders>
              <w:bottom w:val="single" w:sz="8" w:space="0" w:color="auto"/>
            </w:tcBorders>
            <w:shd w:val="clear" w:color="auto" w:fill="CCEEFF"/>
            <w:vAlign w:val="bottom"/>
          </w:tcPr>
          <w:p w14:paraId="41F6814F" w14:textId="77777777" w:rsidR="00D1587D" w:rsidRDefault="00D1587D">
            <w:pPr>
              <w:rPr>
                <w:sz w:val="5"/>
                <w:szCs w:val="5"/>
              </w:rPr>
            </w:pPr>
          </w:p>
        </w:tc>
        <w:tc>
          <w:tcPr>
            <w:tcW w:w="480" w:type="dxa"/>
            <w:gridSpan w:val="2"/>
            <w:tcBorders>
              <w:bottom w:val="single" w:sz="8" w:space="0" w:color="auto"/>
            </w:tcBorders>
            <w:shd w:val="clear" w:color="auto" w:fill="CCEEFF"/>
            <w:vAlign w:val="bottom"/>
          </w:tcPr>
          <w:p w14:paraId="28CB9B1A" w14:textId="77777777" w:rsidR="00D1587D" w:rsidRDefault="00D1587D">
            <w:pPr>
              <w:rPr>
                <w:sz w:val="5"/>
                <w:szCs w:val="5"/>
              </w:rPr>
            </w:pPr>
          </w:p>
        </w:tc>
        <w:tc>
          <w:tcPr>
            <w:tcW w:w="220" w:type="dxa"/>
            <w:tcBorders>
              <w:bottom w:val="single" w:sz="8" w:space="0" w:color="CCEEFF"/>
            </w:tcBorders>
            <w:shd w:val="clear" w:color="auto" w:fill="CCEEFF"/>
            <w:vAlign w:val="bottom"/>
          </w:tcPr>
          <w:p w14:paraId="260A0166" w14:textId="77777777" w:rsidR="00D1587D" w:rsidRDefault="00D1587D">
            <w:pPr>
              <w:rPr>
                <w:sz w:val="5"/>
                <w:szCs w:val="5"/>
              </w:rPr>
            </w:pPr>
          </w:p>
        </w:tc>
        <w:tc>
          <w:tcPr>
            <w:tcW w:w="180" w:type="dxa"/>
            <w:tcBorders>
              <w:bottom w:val="single" w:sz="8" w:space="0" w:color="auto"/>
            </w:tcBorders>
            <w:shd w:val="clear" w:color="auto" w:fill="CCEEFF"/>
            <w:vAlign w:val="bottom"/>
          </w:tcPr>
          <w:p w14:paraId="68E46E6F" w14:textId="77777777" w:rsidR="00D1587D" w:rsidRDefault="00D1587D">
            <w:pPr>
              <w:rPr>
                <w:sz w:val="5"/>
                <w:szCs w:val="5"/>
              </w:rPr>
            </w:pPr>
          </w:p>
        </w:tc>
        <w:tc>
          <w:tcPr>
            <w:tcW w:w="440" w:type="dxa"/>
            <w:gridSpan w:val="2"/>
            <w:tcBorders>
              <w:bottom w:val="single" w:sz="8" w:space="0" w:color="auto"/>
            </w:tcBorders>
            <w:shd w:val="clear" w:color="auto" w:fill="CCEEFF"/>
            <w:vAlign w:val="bottom"/>
          </w:tcPr>
          <w:p w14:paraId="1E6D8400" w14:textId="77777777" w:rsidR="00D1587D" w:rsidRDefault="00D1587D">
            <w:pPr>
              <w:rPr>
                <w:sz w:val="5"/>
                <w:szCs w:val="5"/>
              </w:rPr>
            </w:pPr>
          </w:p>
        </w:tc>
      </w:tr>
      <w:tr w:rsidR="00D1587D" w14:paraId="2B448639" w14:textId="77777777">
        <w:trPr>
          <w:trHeight w:val="277"/>
        </w:trPr>
        <w:tc>
          <w:tcPr>
            <w:tcW w:w="6120" w:type="dxa"/>
            <w:gridSpan w:val="3"/>
            <w:vAlign w:val="bottom"/>
          </w:tcPr>
          <w:p w14:paraId="0BD8A3D5" w14:textId="77777777" w:rsidR="00D1587D" w:rsidRDefault="00410D07">
            <w:pPr>
              <w:rPr>
                <w:sz w:val="20"/>
                <w:szCs w:val="20"/>
              </w:rPr>
            </w:pPr>
            <w:r>
              <w:rPr>
                <w:rFonts w:ascii="Arial" w:eastAsia="Arial" w:hAnsi="Arial" w:cs="Arial"/>
                <w:sz w:val="18"/>
                <w:szCs w:val="18"/>
              </w:rPr>
              <w:t>Gross Profit</w:t>
            </w:r>
          </w:p>
        </w:tc>
        <w:tc>
          <w:tcPr>
            <w:tcW w:w="560" w:type="dxa"/>
            <w:gridSpan w:val="2"/>
            <w:vAlign w:val="bottom"/>
          </w:tcPr>
          <w:p w14:paraId="1111D6AF" w14:textId="77777777" w:rsidR="00D1587D" w:rsidRDefault="00410D07">
            <w:pPr>
              <w:jc w:val="right"/>
              <w:rPr>
                <w:sz w:val="20"/>
                <w:szCs w:val="20"/>
              </w:rPr>
            </w:pPr>
            <w:r>
              <w:rPr>
                <w:rFonts w:ascii="Arial" w:eastAsia="Arial" w:hAnsi="Arial" w:cs="Arial"/>
                <w:sz w:val="18"/>
                <w:szCs w:val="18"/>
              </w:rPr>
              <w:t>1,571</w:t>
            </w:r>
          </w:p>
        </w:tc>
        <w:tc>
          <w:tcPr>
            <w:tcW w:w="60" w:type="dxa"/>
            <w:vAlign w:val="bottom"/>
          </w:tcPr>
          <w:p w14:paraId="7465A2CE" w14:textId="77777777" w:rsidR="00D1587D" w:rsidRDefault="00D1587D">
            <w:pPr>
              <w:rPr>
                <w:sz w:val="24"/>
                <w:szCs w:val="24"/>
              </w:rPr>
            </w:pPr>
          </w:p>
        </w:tc>
        <w:tc>
          <w:tcPr>
            <w:tcW w:w="220" w:type="dxa"/>
            <w:vAlign w:val="bottom"/>
          </w:tcPr>
          <w:p w14:paraId="7A23B19E" w14:textId="77777777" w:rsidR="00D1587D" w:rsidRDefault="00D1587D">
            <w:pPr>
              <w:rPr>
                <w:sz w:val="24"/>
                <w:szCs w:val="24"/>
              </w:rPr>
            </w:pPr>
          </w:p>
        </w:tc>
        <w:tc>
          <w:tcPr>
            <w:tcW w:w="620" w:type="dxa"/>
            <w:gridSpan w:val="3"/>
            <w:vAlign w:val="bottom"/>
          </w:tcPr>
          <w:p w14:paraId="4661F31C" w14:textId="77777777" w:rsidR="00D1587D" w:rsidRDefault="00410D07">
            <w:pPr>
              <w:jc w:val="right"/>
              <w:rPr>
                <w:sz w:val="20"/>
                <w:szCs w:val="20"/>
              </w:rPr>
            </w:pPr>
            <w:r>
              <w:rPr>
                <w:rFonts w:ascii="Arial" w:eastAsia="Arial" w:hAnsi="Arial" w:cs="Arial"/>
                <w:sz w:val="18"/>
                <w:szCs w:val="18"/>
              </w:rPr>
              <w:t>2,063</w:t>
            </w:r>
          </w:p>
        </w:tc>
        <w:tc>
          <w:tcPr>
            <w:tcW w:w="220" w:type="dxa"/>
            <w:vAlign w:val="bottom"/>
          </w:tcPr>
          <w:p w14:paraId="36B844A0" w14:textId="77777777" w:rsidR="00D1587D" w:rsidRDefault="00D1587D">
            <w:pPr>
              <w:rPr>
                <w:sz w:val="24"/>
                <w:szCs w:val="24"/>
              </w:rPr>
            </w:pPr>
          </w:p>
        </w:tc>
        <w:tc>
          <w:tcPr>
            <w:tcW w:w="620" w:type="dxa"/>
            <w:gridSpan w:val="3"/>
            <w:vAlign w:val="bottom"/>
          </w:tcPr>
          <w:p w14:paraId="562D8497" w14:textId="77777777" w:rsidR="00D1587D" w:rsidRDefault="00410D07">
            <w:pPr>
              <w:jc w:val="right"/>
              <w:rPr>
                <w:sz w:val="20"/>
                <w:szCs w:val="20"/>
              </w:rPr>
            </w:pPr>
            <w:r>
              <w:rPr>
                <w:rFonts w:ascii="Arial" w:eastAsia="Arial" w:hAnsi="Arial" w:cs="Arial"/>
                <w:sz w:val="18"/>
                <w:szCs w:val="18"/>
              </w:rPr>
              <w:t>2,689</w:t>
            </w:r>
          </w:p>
        </w:tc>
      </w:tr>
      <w:tr w:rsidR="00D1587D" w14:paraId="7BAA6092" w14:textId="77777777">
        <w:trPr>
          <w:trHeight w:val="54"/>
        </w:trPr>
        <w:tc>
          <w:tcPr>
            <w:tcW w:w="6020" w:type="dxa"/>
            <w:vAlign w:val="bottom"/>
          </w:tcPr>
          <w:p w14:paraId="7EDE0BB9" w14:textId="77777777" w:rsidR="00D1587D" w:rsidRDefault="00D1587D">
            <w:pPr>
              <w:rPr>
                <w:sz w:val="4"/>
                <w:szCs w:val="4"/>
              </w:rPr>
            </w:pPr>
          </w:p>
        </w:tc>
        <w:tc>
          <w:tcPr>
            <w:tcW w:w="80" w:type="dxa"/>
            <w:vAlign w:val="bottom"/>
          </w:tcPr>
          <w:p w14:paraId="2774C24D" w14:textId="77777777" w:rsidR="00D1587D" w:rsidRDefault="00D1587D">
            <w:pPr>
              <w:rPr>
                <w:sz w:val="4"/>
                <w:szCs w:val="4"/>
              </w:rPr>
            </w:pPr>
          </w:p>
        </w:tc>
        <w:tc>
          <w:tcPr>
            <w:tcW w:w="20" w:type="dxa"/>
            <w:vAlign w:val="bottom"/>
          </w:tcPr>
          <w:p w14:paraId="454ED4D2" w14:textId="77777777" w:rsidR="00D1587D" w:rsidRDefault="00D1587D">
            <w:pPr>
              <w:rPr>
                <w:sz w:val="4"/>
                <w:szCs w:val="4"/>
              </w:rPr>
            </w:pPr>
          </w:p>
        </w:tc>
        <w:tc>
          <w:tcPr>
            <w:tcW w:w="180" w:type="dxa"/>
            <w:vAlign w:val="bottom"/>
          </w:tcPr>
          <w:p w14:paraId="7C4755C0" w14:textId="77777777" w:rsidR="00D1587D" w:rsidRDefault="00D1587D">
            <w:pPr>
              <w:rPr>
                <w:sz w:val="4"/>
                <w:szCs w:val="4"/>
              </w:rPr>
            </w:pPr>
          </w:p>
        </w:tc>
        <w:tc>
          <w:tcPr>
            <w:tcW w:w="380" w:type="dxa"/>
            <w:vAlign w:val="bottom"/>
          </w:tcPr>
          <w:p w14:paraId="57B1A24E" w14:textId="77777777" w:rsidR="00D1587D" w:rsidRDefault="00D1587D">
            <w:pPr>
              <w:rPr>
                <w:sz w:val="4"/>
                <w:szCs w:val="4"/>
              </w:rPr>
            </w:pPr>
          </w:p>
        </w:tc>
        <w:tc>
          <w:tcPr>
            <w:tcW w:w="60" w:type="dxa"/>
            <w:vAlign w:val="bottom"/>
          </w:tcPr>
          <w:p w14:paraId="54AC7868" w14:textId="77777777" w:rsidR="00D1587D" w:rsidRDefault="00D1587D">
            <w:pPr>
              <w:rPr>
                <w:sz w:val="4"/>
                <w:szCs w:val="4"/>
              </w:rPr>
            </w:pPr>
          </w:p>
        </w:tc>
        <w:tc>
          <w:tcPr>
            <w:tcW w:w="220" w:type="dxa"/>
            <w:vAlign w:val="bottom"/>
          </w:tcPr>
          <w:p w14:paraId="77940119" w14:textId="77777777" w:rsidR="00D1587D" w:rsidRDefault="00D1587D">
            <w:pPr>
              <w:rPr>
                <w:sz w:val="4"/>
                <w:szCs w:val="4"/>
              </w:rPr>
            </w:pPr>
          </w:p>
        </w:tc>
        <w:tc>
          <w:tcPr>
            <w:tcW w:w="140" w:type="dxa"/>
            <w:vAlign w:val="bottom"/>
          </w:tcPr>
          <w:p w14:paraId="03FB1BB0" w14:textId="77777777" w:rsidR="00D1587D" w:rsidRDefault="00D1587D">
            <w:pPr>
              <w:rPr>
                <w:sz w:val="4"/>
                <w:szCs w:val="4"/>
              </w:rPr>
            </w:pPr>
          </w:p>
        </w:tc>
        <w:tc>
          <w:tcPr>
            <w:tcW w:w="480" w:type="dxa"/>
            <w:gridSpan w:val="2"/>
            <w:vAlign w:val="bottom"/>
          </w:tcPr>
          <w:p w14:paraId="5361EF4D" w14:textId="77777777" w:rsidR="00D1587D" w:rsidRDefault="00D1587D">
            <w:pPr>
              <w:rPr>
                <w:sz w:val="4"/>
                <w:szCs w:val="4"/>
              </w:rPr>
            </w:pPr>
          </w:p>
        </w:tc>
        <w:tc>
          <w:tcPr>
            <w:tcW w:w="220" w:type="dxa"/>
            <w:vAlign w:val="bottom"/>
          </w:tcPr>
          <w:p w14:paraId="6F2637EF" w14:textId="77777777" w:rsidR="00D1587D" w:rsidRDefault="00D1587D">
            <w:pPr>
              <w:rPr>
                <w:sz w:val="4"/>
                <w:szCs w:val="4"/>
              </w:rPr>
            </w:pPr>
          </w:p>
        </w:tc>
        <w:tc>
          <w:tcPr>
            <w:tcW w:w="180" w:type="dxa"/>
            <w:vAlign w:val="bottom"/>
          </w:tcPr>
          <w:p w14:paraId="283CB94C" w14:textId="77777777" w:rsidR="00D1587D" w:rsidRDefault="00D1587D">
            <w:pPr>
              <w:rPr>
                <w:sz w:val="4"/>
                <w:szCs w:val="4"/>
              </w:rPr>
            </w:pPr>
          </w:p>
        </w:tc>
        <w:tc>
          <w:tcPr>
            <w:tcW w:w="440" w:type="dxa"/>
            <w:gridSpan w:val="2"/>
            <w:vAlign w:val="bottom"/>
          </w:tcPr>
          <w:p w14:paraId="3C9D5A9F" w14:textId="77777777" w:rsidR="00D1587D" w:rsidRDefault="00D1587D">
            <w:pPr>
              <w:rPr>
                <w:sz w:val="4"/>
                <w:szCs w:val="4"/>
              </w:rPr>
            </w:pPr>
          </w:p>
        </w:tc>
      </w:tr>
      <w:tr w:rsidR="00D1587D" w14:paraId="219C95F3" w14:textId="77777777">
        <w:trPr>
          <w:trHeight w:val="304"/>
        </w:trPr>
        <w:tc>
          <w:tcPr>
            <w:tcW w:w="6120" w:type="dxa"/>
            <w:gridSpan w:val="3"/>
            <w:tcBorders>
              <w:bottom w:val="single" w:sz="8" w:space="0" w:color="CCEEFF"/>
            </w:tcBorders>
            <w:shd w:val="clear" w:color="auto" w:fill="CCEEFF"/>
            <w:vAlign w:val="bottom"/>
          </w:tcPr>
          <w:p w14:paraId="5247C6EF" w14:textId="77777777" w:rsidR="00D1587D" w:rsidRDefault="00410D07">
            <w:pPr>
              <w:rPr>
                <w:sz w:val="20"/>
                <w:szCs w:val="20"/>
              </w:rPr>
            </w:pPr>
            <w:r>
              <w:rPr>
                <w:rFonts w:ascii="Arial" w:eastAsia="Arial" w:hAnsi="Arial" w:cs="Arial"/>
                <w:sz w:val="18"/>
                <w:szCs w:val="18"/>
              </w:rPr>
              <w:t>General, Administrative and Store Operating Expenses</w:t>
            </w:r>
          </w:p>
        </w:tc>
        <w:tc>
          <w:tcPr>
            <w:tcW w:w="620" w:type="dxa"/>
            <w:gridSpan w:val="3"/>
            <w:tcBorders>
              <w:bottom w:val="single" w:sz="8" w:space="0" w:color="CCEEFF"/>
            </w:tcBorders>
            <w:shd w:val="clear" w:color="auto" w:fill="CCEEFF"/>
            <w:vAlign w:val="bottom"/>
          </w:tcPr>
          <w:p w14:paraId="26A7AF71" w14:textId="77777777" w:rsidR="00D1587D" w:rsidRDefault="00410D07">
            <w:pPr>
              <w:ind w:right="20"/>
              <w:jc w:val="right"/>
              <w:rPr>
                <w:sz w:val="20"/>
                <w:szCs w:val="20"/>
              </w:rPr>
            </w:pPr>
            <w:r>
              <w:rPr>
                <w:rFonts w:ascii="Arial" w:eastAsia="Arial" w:hAnsi="Arial" w:cs="Arial"/>
                <w:sz w:val="18"/>
                <w:szCs w:val="18"/>
              </w:rPr>
              <w:t>(1,672)</w:t>
            </w:r>
          </w:p>
        </w:tc>
        <w:tc>
          <w:tcPr>
            <w:tcW w:w="220" w:type="dxa"/>
            <w:tcBorders>
              <w:bottom w:val="single" w:sz="8" w:space="0" w:color="CCEEFF"/>
            </w:tcBorders>
            <w:shd w:val="clear" w:color="auto" w:fill="CCEEFF"/>
            <w:vAlign w:val="bottom"/>
          </w:tcPr>
          <w:p w14:paraId="0A025C1E" w14:textId="77777777" w:rsidR="00D1587D" w:rsidRDefault="00D1587D">
            <w:pPr>
              <w:rPr>
                <w:sz w:val="24"/>
                <w:szCs w:val="24"/>
              </w:rPr>
            </w:pPr>
          </w:p>
        </w:tc>
        <w:tc>
          <w:tcPr>
            <w:tcW w:w="620" w:type="dxa"/>
            <w:gridSpan w:val="3"/>
            <w:tcBorders>
              <w:bottom w:val="single" w:sz="8" w:space="0" w:color="CCEEFF"/>
            </w:tcBorders>
            <w:shd w:val="clear" w:color="auto" w:fill="CCEEFF"/>
            <w:vAlign w:val="bottom"/>
          </w:tcPr>
          <w:p w14:paraId="1794AB1D" w14:textId="77777777" w:rsidR="00D1587D" w:rsidRDefault="00410D07">
            <w:pPr>
              <w:jc w:val="right"/>
              <w:rPr>
                <w:sz w:val="20"/>
                <w:szCs w:val="20"/>
              </w:rPr>
            </w:pPr>
            <w:r>
              <w:rPr>
                <w:rFonts w:ascii="Arial" w:eastAsia="Arial" w:hAnsi="Arial" w:cs="Arial"/>
                <w:sz w:val="18"/>
                <w:szCs w:val="18"/>
              </w:rPr>
              <w:t>(2,235)</w:t>
            </w:r>
          </w:p>
        </w:tc>
        <w:tc>
          <w:tcPr>
            <w:tcW w:w="220" w:type="dxa"/>
            <w:tcBorders>
              <w:bottom w:val="single" w:sz="8" w:space="0" w:color="CCEEFF"/>
            </w:tcBorders>
            <w:shd w:val="clear" w:color="auto" w:fill="CCEEFF"/>
            <w:vAlign w:val="bottom"/>
          </w:tcPr>
          <w:p w14:paraId="3D754490" w14:textId="77777777" w:rsidR="00D1587D" w:rsidRDefault="00D1587D">
            <w:pPr>
              <w:rPr>
                <w:sz w:val="24"/>
                <w:szCs w:val="24"/>
              </w:rPr>
            </w:pPr>
          </w:p>
        </w:tc>
        <w:tc>
          <w:tcPr>
            <w:tcW w:w="620" w:type="dxa"/>
            <w:gridSpan w:val="3"/>
            <w:tcBorders>
              <w:bottom w:val="single" w:sz="8" w:space="0" w:color="CCEEFF"/>
            </w:tcBorders>
            <w:shd w:val="clear" w:color="auto" w:fill="CCEEFF"/>
            <w:vAlign w:val="bottom"/>
          </w:tcPr>
          <w:p w14:paraId="56D417A9" w14:textId="77777777" w:rsidR="00D1587D" w:rsidRDefault="00410D07">
            <w:pPr>
              <w:jc w:val="right"/>
              <w:rPr>
                <w:sz w:val="20"/>
                <w:szCs w:val="20"/>
              </w:rPr>
            </w:pPr>
            <w:r>
              <w:rPr>
                <w:rFonts w:ascii="Arial" w:eastAsia="Arial" w:hAnsi="Arial" w:cs="Arial"/>
                <w:sz w:val="18"/>
                <w:szCs w:val="18"/>
              </w:rPr>
              <w:t>(2,289)</w:t>
            </w:r>
          </w:p>
        </w:tc>
      </w:tr>
      <w:tr w:rsidR="00D1587D" w14:paraId="5689E7E1" w14:textId="77777777">
        <w:trPr>
          <w:trHeight w:val="270"/>
        </w:trPr>
        <w:tc>
          <w:tcPr>
            <w:tcW w:w="6120" w:type="dxa"/>
            <w:gridSpan w:val="3"/>
            <w:vAlign w:val="bottom"/>
          </w:tcPr>
          <w:p w14:paraId="0F313FCE" w14:textId="77777777" w:rsidR="00D1587D" w:rsidRDefault="00410D07">
            <w:pPr>
              <w:rPr>
                <w:sz w:val="20"/>
                <w:szCs w:val="20"/>
              </w:rPr>
            </w:pPr>
            <w:r>
              <w:rPr>
                <w:rFonts w:ascii="Arial" w:eastAsia="Arial" w:hAnsi="Arial" w:cs="Arial"/>
                <w:sz w:val="18"/>
                <w:szCs w:val="18"/>
              </w:rPr>
              <w:t>Impairment of Goodwill</w:t>
            </w:r>
          </w:p>
        </w:tc>
        <w:tc>
          <w:tcPr>
            <w:tcW w:w="180" w:type="dxa"/>
            <w:vAlign w:val="bottom"/>
          </w:tcPr>
          <w:p w14:paraId="6F6981F9" w14:textId="77777777" w:rsidR="00D1587D" w:rsidRDefault="00D1587D">
            <w:pPr>
              <w:rPr>
                <w:sz w:val="23"/>
                <w:szCs w:val="23"/>
              </w:rPr>
            </w:pPr>
          </w:p>
        </w:tc>
        <w:tc>
          <w:tcPr>
            <w:tcW w:w="660" w:type="dxa"/>
            <w:gridSpan w:val="3"/>
            <w:vAlign w:val="bottom"/>
          </w:tcPr>
          <w:p w14:paraId="3DAC19E1" w14:textId="77777777" w:rsidR="00D1587D" w:rsidRDefault="00410D07">
            <w:pPr>
              <w:ind w:right="300"/>
              <w:jc w:val="right"/>
              <w:rPr>
                <w:sz w:val="20"/>
                <w:szCs w:val="20"/>
              </w:rPr>
            </w:pPr>
            <w:r>
              <w:rPr>
                <w:rFonts w:ascii="Arial" w:eastAsia="Arial" w:hAnsi="Arial" w:cs="Arial"/>
                <w:sz w:val="18"/>
                <w:szCs w:val="18"/>
              </w:rPr>
              <w:t>—</w:t>
            </w:r>
          </w:p>
        </w:tc>
        <w:tc>
          <w:tcPr>
            <w:tcW w:w="620" w:type="dxa"/>
            <w:gridSpan w:val="3"/>
            <w:vAlign w:val="bottom"/>
          </w:tcPr>
          <w:p w14:paraId="0E69A049" w14:textId="77777777" w:rsidR="00D1587D" w:rsidRDefault="00410D07">
            <w:pPr>
              <w:jc w:val="right"/>
              <w:rPr>
                <w:sz w:val="20"/>
                <w:szCs w:val="20"/>
              </w:rPr>
            </w:pPr>
            <w:r>
              <w:rPr>
                <w:rFonts w:ascii="Arial" w:eastAsia="Arial" w:hAnsi="Arial" w:cs="Arial"/>
                <w:sz w:val="18"/>
                <w:szCs w:val="18"/>
              </w:rPr>
              <w:t>(720)</w:t>
            </w:r>
          </w:p>
        </w:tc>
        <w:tc>
          <w:tcPr>
            <w:tcW w:w="220" w:type="dxa"/>
            <w:vAlign w:val="bottom"/>
          </w:tcPr>
          <w:p w14:paraId="0536D84E" w14:textId="77777777" w:rsidR="00D1587D" w:rsidRDefault="00D1587D">
            <w:pPr>
              <w:rPr>
                <w:sz w:val="23"/>
                <w:szCs w:val="23"/>
              </w:rPr>
            </w:pPr>
          </w:p>
        </w:tc>
        <w:tc>
          <w:tcPr>
            <w:tcW w:w="180" w:type="dxa"/>
            <w:vAlign w:val="bottom"/>
          </w:tcPr>
          <w:p w14:paraId="2414DC43" w14:textId="77777777" w:rsidR="00D1587D" w:rsidRDefault="00D1587D">
            <w:pPr>
              <w:rPr>
                <w:sz w:val="23"/>
                <w:szCs w:val="23"/>
              </w:rPr>
            </w:pPr>
          </w:p>
        </w:tc>
        <w:tc>
          <w:tcPr>
            <w:tcW w:w="100" w:type="dxa"/>
            <w:vAlign w:val="bottom"/>
          </w:tcPr>
          <w:p w14:paraId="4F52CB75" w14:textId="77777777" w:rsidR="00D1587D" w:rsidRDefault="00D1587D">
            <w:pPr>
              <w:rPr>
                <w:sz w:val="23"/>
                <w:szCs w:val="23"/>
              </w:rPr>
            </w:pPr>
          </w:p>
        </w:tc>
        <w:tc>
          <w:tcPr>
            <w:tcW w:w="340" w:type="dxa"/>
            <w:vAlign w:val="bottom"/>
          </w:tcPr>
          <w:p w14:paraId="36542E88" w14:textId="77777777" w:rsidR="00D1587D" w:rsidRDefault="00410D07">
            <w:pPr>
              <w:jc w:val="right"/>
              <w:rPr>
                <w:sz w:val="20"/>
                <w:szCs w:val="20"/>
              </w:rPr>
            </w:pPr>
            <w:r>
              <w:rPr>
                <w:rFonts w:ascii="Arial" w:eastAsia="Arial" w:hAnsi="Arial" w:cs="Arial"/>
                <w:sz w:val="18"/>
                <w:szCs w:val="18"/>
              </w:rPr>
              <w:t>—</w:t>
            </w:r>
          </w:p>
        </w:tc>
      </w:tr>
      <w:tr w:rsidR="00D1587D" w14:paraId="548B243E" w14:textId="77777777">
        <w:trPr>
          <w:trHeight w:val="68"/>
        </w:trPr>
        <w:tc>
          <w:tcPr>
            <w:tcW w:w="6020" w:type="dxa"/>
            <w:tcBorders>
              <w:bottom w:val="single" w:sz="8" w:space="0" w:color="CCEEFF"/>
            </w:tcBorders>
            <w:vAlign w:val="bottom"/>
          </w:tcPr>
          <w:p w14:paraId="03917FBA" w14:textId="77777777" w:rsidR="00D1587D" w:rsidRDefault="00D1587D">
            <w:pPr>
              <w:rPr>
                <w:sz w:val="5"/>
                <w:szCs w:val="5"/>
              </w:rPr>
            </w:pPr>
          </w:p>
        </w:tc>
        <w:tc>
          <w:tcPr>
            <w:tcW w:w="80" w:type="dxa"/>
            <w:tcBorders>
              <w:bottom w:val="single" w:sz="8" w:space="0" w:color="CCEEFF"/>
            </w:tcBorders>
            <w:vAlign w:val="bottom"/>
          </w:tcPr>
          <w:p w14:paraId="7FDDC601" w14:textId="77777777" w:rsidR="00D1587D" w:rsidRDefault="00D1587D">
            <w:pPr>
              <w:rPr>
                <w:sz w:val="5"/>
                <w:szCs w:val="5"/>
              </w:rPr>
            </w:pPr>
          </w:p>
        </w:tc>
        <w:tc>
          <w:tcPr>
            <w:tcW w:w="20" w:type="dxa"/>
            <w:tcBorders>
              <w:bottom w:val="single" w:sz="8" w:space="0" w:color="CCEEFF"/>
            </w:tcBorders>
            <w:vAlign w:val="bottom"/>
          </w:tcPr>
          <w:p w14:paraId="7A02007B" w14:textId="77777777" w:rsidR="00D1587D" w:rsidRDefault="00D1587D">
            <w:pPr>
              <w:rPr>
                <w:sz w:val="5"/>
                <w:szCs w:val="5"/>
              </w:rPr>
            </w:pPr>
          </w:p>
        </w:tc>
        <w:tc>
          <w:tcPr>
            <w:tcW w:w="180" w:type="dxa"/>
            <w:tcBorders>
              <w:bottom w:val="single" w:sz="8" w:space="0" w:color="auto"/>
            </w:tcBorders>
            <w:vAlign w:val="bottom"/>
          </w:tcPr>
          <w:p w14:paraId="39D97315" w14:textId="77777777" w:rsidR="00D1587D" w:rsidRDefault="00D1587D">
            <w:pPr>
              <w:rPr>
                <w:sz w:val="5"/>
                <w:szCs w:val="5"/>
              </w:rPr>
            </w:pPr>
          </w:p>
        </w:tc>
        <w:tc>
          <w:tcPr>
            <w:tcW w:w="380" w:type="dxa"/>
            <w:tcBorders>
              <w:bottom w:val="single" w:sz="8" w:space="0" w:color="auto"/>
            </w:tcBorders>
            <w:vAlign w:val="bottom"/>
          </w:tcPr>
          <w:p w14:paraId="6620C4F8" w14:textId="77777777" w:rsidR="00D1587D" w:rsidRDefault="00D1587D">
            <w:pPr>
              <w:rPr>
                <w:sz w:val="5"/>
                <w:szCs w:val="5"/>
              </w:rPr>
            </w:pPr>
          </w:p>
        </w:tc>
        <w:tc>
          <w:tcPr>
            <w:tcW w:w="60" w:type="dxa"/>
            <w:tcBorders>
              <w:bottom w:val="single" w:sz="8" w:space="0" w:color="auto"/>
            </w:tcBorders>
            <w:vAlign w:val="bottom"/>
          </w:tcPr>
          <w:p w14:paraId="12313DDB" w14:textId="77777777" w:rsidR="00D1587D" w:rsidRDefault="00D1587D">
            <w:pPr>
              <w:rPr>
                <w:sz w:val="5"/>
                <w:szCs w:val="5"/>
              </w:rPr>
            </w:pPr>
          </w:p>
        </w:tc>
        <w:tc>
          <w:tcPr>
            <w:tcW w:w="220" w:type="dxa"/>
            <w:tcBorders>
              <w:bottom w:val="single" w:sz="8" w:space="0" w:color="CCEEFF"/>
            </w:tcBorders>
            <w:vAlign w:val="bottom"/>
          </w:tcPr>
          <w:p w14:paraId="061EB348" w14:textId="77777777" w:rsidR="00D1587D" w:rsidRDefault="00D1587D">
            <w:pPr>
              <w:rPr>
                <w:sz w:val="5"/>
                <w:szCs w:val="5"/>
              </w:rPr>
            </w:pPr>
          </w:p>
        </w:tc>
        <w:tc>
          <w:tcPr>
            <w:tcW w:w="140" w:type="dxa"/>
            <w:tcBorders>
              <w:bottom w:val="single" w:sz="8" w:space="0" w:color="auto"/>
            </w:tcBorders>
            <w:vAlign w:val="bottom"/>
          </w:tcPr>
          <w:p w14:paraId="62D097E3" w14:textId="77777777" w:rsidR="00D1587D" w:rsidRDefault="00D1587D">
            <w:pPr>
              <w:rPr>
                <w:sz w:val="5"/>
                <w:szCs w:val="5"/>
              </w:rPr>
            </w:pPr>
          </w:p>
        </w:tc>
        <w:tc>
          <w:tcPr>
            <w:tcW w:w="480" w:type="dxa"/>
            <w:gridSpan w:val="2"/>
            <w:tcBorders>
              <w:bottom w:val="single" w:sz="8" w:space="0" w:color="auto"/>
            </w:tcBorders>
            <w:vAlign w:val="bottom"/>
          </w:tcPr>
          <w:p w14:paraId="775FCB49" w14:textId="77777777" w:rsidR="00D1587D" w:rsidRDefault="00D1587D">
            <w:pPr>
              <w:rPr>
                <w:sz w:val="5"/>
                <w:szCs w:val="5"/>
              </w:rPr>
            </w:pPr>
          </w:p>
        </w:tc>
        <w:tc>
          <w:tcPr>
            <w:tcW w:w="220" w:type="dxa"/>
            <w:tcBorders>
              <w:bottom w:val="single" w:sz="8" w:space="0" w:color="CCEEFF"/>
            </w:tcBorders>
            <w:vAlign w:val="bottom"/>
          </w:tcPr>
          <w:p w14:paraId="310697F9" w14:textId="77777777" w:rsidR="00D1587D" w:rsidRDefault="00D1587D">
            <w:pPr>
              <w:rPr>
                <w:sz w:val="5"/>
                <w:szCs w:val="5"/>
              </w:rPr>
            </w:pPr>
          </w:p>
        </w:tc>
        <w:tc>
          <w:tcPr>
            <w:tcW w:w="180" w:type="dxa"/>
            <w:tcBorders>
              <w:bottom w:val="single" w:sz="8" w:space="0" w:color="auto"/>
            </w:tcBorders>
            <w:vAlign w:val="bottom"/>
          </w:tcPr>
          <w:p w14:paraId="6500E706" w14:textId="77777777" w:rsidR="00D1587D" w:rsidRDefault="00D1587D">
            <w:pPr>
              <w:rPr>
                <w:sz w:val="5"/>
                <w:szCs w:val="5"/>
              </w:rPr>
            </w:pPr>
          </w:p>
        </w:tc>
        <w:tc>
          <w:tcPr>
            <w:tcW w:w="100" w:type="dxa"/>
            <w:tcBorders>
              <w:bottom w:val="single" w:sz="8" w:space="0" w:color="auto"/>
            </w:tcBorders>
            <w:vAlign w:val="bottom"/>
          </w:tcPr>
          <w:p w14:paraId="6EABBA87" w14:textId="77777777" w:rsidR="00D1587D" w:rsidRDefault="00D1587D">
            <w:pPr>
              <w:rPr>
                <w:sz w:val="5"/>
                <w:szCs w:val="5"/>
              </w:rPr>
            </w:pPr>
          </w:p>
        </w:tc>
        <w:tc>
          <w:tcPr>
            <w:tcW w:w="340" w:type="dxa"/>
            <w:tcBorders>
              <w:bottom w:val="single" w:sz="8" w:space="0" w:color="auto"/>
            </w:tcBorders>
            <w:vAlign w:val="bottom"/>
          </w:tcPr>
          <w:p w14:paraId="4D1FB5B8" w14:textId="77777777" w:rsidR="00D1587D" w:rsidRDefault="00D1587D">
            <w:pPr>
              <w:rPr>
                <w:sz w:val="5"/>
                <w:szCs w:val="5"/>
              </w:rPr>
            </w:pPr>
          </w:p>
        </w:tc>
      </w:tr>
      <w:tr w:rsidR="00D1587D" w14:paraId="2C20561E" w14:textId="77777777">
        <w:trPr>
          <w:trHeight w:val="311"/>
        </w:trPr>
        <w:tc>
          <w:tcPr>
            <w:tcW w:w="6120" w:type="dxa"/>
            <w:gridSpan w:val="3"/>
            <w:tcBorders>
              <w:bottom w:val="single" w:sz="8" w:space="0" w:color="CCEEFF"/>
            </w:tcBorders>
            <w:shd w:val="clear" w:color="auto" w:fill="CCEEFF"/>
            <w:vAlign w:val="bottom"/>
          </w:tcPr>
          <w:p w14:paraId="78FA348A" w14:textId="77777777" w:rsidR="00D1587D" w:rsidRDefault="00410D07">
            <w:pPr>
              <w:rPr>
                <w:sz w:val="20"/>
                <w:szCs w:val="20"/>
              </w:rPr>
            </w:pPr>
            <w:r>
              <w:rPr>
                <w:rFonts w:ascii="Arial" w:eastAsia="Arial" w:hAnsi="Arial" w:cs="Arial"/>
                <w:sz w:val="18"/>
                <w:szCs w:val="18"/>
              </w:rPr>
              <w:t>Operating Income (Loss)</w:t>
            </w:r>
          </w:p>
        </w:tc>
        <w:tc>
          <w:tcPr>
            <w:tcW w:w="620" w:type="dxa"/>
            <w:gridSpan w:val="3"/>
            <w:tcBorders>
              <w:bottom w:val="single" w:sz="8" w:space="0" w:color="CCEEFF"/>
            </w:tcBorders>
            <w:shd w:val="clear" w:color="auto" w:fill="CCEEFF"/>
            <w:vAlign w:val="bottom"/>
          </w:tcPr>
          <w:p w14:paraId="31BE800E" w14:textId="77777777" w:rsidR="00D1587D" w:rsidRDefault="00410D07">
            <w:pPr>
              <w:ind w:right="20"/>
              <w:jc w:val="right"/>
              <w:rPr>
                <w:sz w:val="20"/>
                <w:szCs w:val="20"/>
              </w:rPr>
            </w:pPr>
            <w:r>
              <w:rPr>
                <w:rFonts w:ascii="Arial" w:eastAsia="Arial" w:hAnsi="Arial" w:cs="Arial"/>
                <w:sz w:val="18"/>
                <w:szCs w:val="18"/>
              </w:rPr>
              <w:t>(101)</w:t>
            </w:r>
          </w:p>
        </w:tc>
        <w:tc>
          <w:tcPr>
            <w:tcW w:w="220" w:type="dxa"/>
            <w:tcBorders>
              <w:bottom w:val="single" w:sz="8" w:space="0" w:color="CCEEFF"/>
            </w:tcBorders>
            <w:shd w:val="clear" w:color="auto" w:fill="CCEEFF"/>
            <w:vAlign w:val="bottom"/>
          </w:tcPr>
          <w:p w14:paraId="74435E8B" w14:textId="77777777" w:rsidR="00D1587D" w:rsidRDefault="00D1587D">
            <w:pPr>
              <w:rPr>
                <w:sz w:val="24"/>
                <w:szCs w:val="24"/>
              </w:rPr>
            </w:pPr>
          </w:p>
        </w:tc>
        <w:tc>
          <w:tcPr>
            <w:tcW w:w="620" w:type="dxa"/>
            <w:gridSpan w:val="3"/>
            <w:tcBorders>
              <w:bottom w:val="single" w:sz="8" w:space="0" w:color="CCEEFF"/>
            </w:tcBorders>
            <w:shd w:val="clear" w:color="auto" w:fill="CCEEFF"/>
            <w:vAlign w:val="bottom"/>
          </w:tcPr>
          <w:p w14:paraId="578EE2F2" w14:textId="77777777" w:rsidR="00D1587D" w:rsidRDefault="00410D07">
            <w:pPr>
              <w:jc w:val="right"/>
              <w:rPr>
                <w:sz w:val="20"/>
                <w:szCs w:val="20"/>
              </w:rPr>
            </w:pPr>
            <w:r>
              <w:rPr>
                <w:rFonts w:ascii="Arial" w:eastAsia="Arial" w:hAnsi="Arial" w:cs="Arial"/>
                <w:sz w:val="18"/>
                <w:szCs w:val="18"/>
              </w:rPr>
              <w:t>(892)</w:t>
            </w:r>
          </w:p>
        </w:tc>
        <w:tc>
          <w:tcPr>
            <w:tcW w:w="220" w:type="dxa"/>
            <w:tcBorders>
              <w:bottom w:val="single" w:sz="8" w:space="0" w:color="CCEEFF"/>
            </w:tcBorders>
            <w:shd w:val="clear" w:color="auto" w:fill="CCEEFF"/>
            <w:vAlign w:val="bottom"/>
          </w:tcPr>
          <w:p w14:paraId="1FA53FD9" w14:textId="77777777" w:rsidR="00D1587D" w:rsidRDefault="00D1587D">
            <w:pPr>
              <w:rPr>
                <w:sz w:val="24"/>
                <w:szCs w:val="24"/>
              </w:rPr>
            </w:pPr>
          </w:p>
        </w:tc>
        <w:tc>
          <w:tcPr>
            <w:tcW w:w="180" w:type="dxa"/>
            <w:tcBorders>
              <w:bottom w:val="single" w:sz="8" w:space="0" w:color="CCEEFF"/>
            </w:tcBorders>
            <w:shd w:val="clear" w:color="auto" w:fill="CCEEFF"/>
            <w:vAlign w:val="bottom"/>
          </w:tcPr>
          <w:p w14:paraId="218F2AD2"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C6A7C9B" w14:textId="77777777" w:rsidR="00D1587D" w:rsidRDefault="00D1587D">
            <w:pPr>
              <w:rPr>
                <w:sz w:val="24"/>
                <w:szCs w:val="24"/>
              </w:rPr>
            </w:pPr>
          </w:p>
        </w:tc>
        <w:tc>
          <w:tcPr>
            <w:tcW w:w="340" w:type="dxa"/>
            <w:tcBorders>
              <w:bottom w:val="single" w:sz="8" w:space="0" w:color="CCEEFF"/>
            </w:tcBorders>
            <w:shd w:val="clear" w:color="auto" w:fill="CCEEFF"/>
            <w:vAlign w:val="bottom"/>
          </w:tcPr>
          <w:p w14:paraId="6C3AF044" w14:textId="77777777" w:rsidR="00D1587D" w:rsidRDefault="00410D07">
            <w:pPr>
              <w:jc w:val="right"/>
              <w:rPr>
                <w:sz w:val="20"/>
                <w:szCs w:val="20"/>
              </w:rPr>
            </w:pPr>
            <w:r>
              <w:rPr>
                <w:rFonts w:ascii="Arial" w:eastAsia="Arial" w:hAnsi="Arial" w:cs="Arial"/>
                <w:w w:val="79"/>
                <w:sz w:val="18"/>
                <w:szCs w:val="18"/>
              </w:rPr>
              <w:t>400</w:t>
            </w:r>
          </w:p>
        </w:tc>
      </w:tr>
      <w:tr w:rsidR="00D1587D" w14:paraId="2DE9D3AB" w14:textId="77777777">
        <w:trPr>
          <w:trHeight w:val="270"/>
        </w:trPr>
        <w:tc>
          <w:tcPr>
            <w:tcW w:w="6120" w:type="dxa"/>
            <w:gridSpan w:val="3"/>
            <w:vAlign w:val="bottom"/>
          </w:tcPr>
          <w:p w14:paraId="6F9488A6" w14:textId="77777777" w:rsidR="00D1587D" w:rsidRDefault="00410D07">
            <w:pPr>
              <w:rPr>
                <w:sz w:val="20"/>
                <w:szCs w:val="20"/>
              </w:rPr>
            </w:pPr>
            <w:r>
              <w:rPr>
                <w:rFonts w:ascii="Arial" w:eastAsia="Arial" w:hAnsi="Arial" w:cs="Arial"/>
                <w:sz w:val="18"/>
                <w:szCs w:val="18"/>
              </w:rPr>
              <w:t>Interest Expense</w:t>
            </w:r>
          </w:p>
        </w:tc>
        <w:tc>
          <w:tcPr>
            <w:tcW w:w="620" w:type="dxa"/>
            <w:gridSpan w:val="3"/>
            <w:vAlign w:val="bottom"/>
          </w:tcPr>
          <w:p w14:paraId="304B3AA6" w14:textId="77777777" w:rsidR="00D1587D" w:rsidRDefault="00410D07">
            <w:pPr>
              <w:jc w:val="right"/>
              <w:rPr>
                <w:sz w:val="20"/>
                <w:szCs w:val="20"/>
              </w:rPr>
            </w:pPr>
            <w:r>
              <w:rPr>
                <w:rFonts w:ascii="Arial" w:eastAsia="Arial" w:hAnsi="Arial" w:cs="Arial"/>
                <w:sz w:val="18"/>
                <w:szCs w:val="18"/>
              </w:rPr>
              <w:t>(6)</w:t>
            </w:r>
          </w:p>
        </w:tc>
        <w:tc>
          <w:tcPr>
            <w:tcW w:w="220" w:type="dxa"/>
            <w:vAlign w:val="bottom"/>
          </w:tcPr>
          <w:p w14:paraId="5115ACF9" w14:textId="77777777" w:rsidR="00D1587D" w:rsidRDefault="00D1587D">
            <w:pPr>
              <w:rPr>
                <w:sz w:val="23"/>
                <w:szCs w:val="23"/>
              </w:rPr>
            </w:pPr>
          </w:p>
        </w:tc>
        <w:tc>
          <w:tcPr>
            <w:tcW w:w="140" w:type="dxa"/>
            <w:vAlign w:val="bottom"/>
          </w:tcPr>
          <w:p w14:paraId="4799AEEA" w14:textId="77777777" w:rsidR="00D1587D" w:rsidRDefault="00D1587D">
            <w:pPr>
              <w:rPr>
                <w:sz w:val="23"/>
                <w:szCs w:val="23"/>
              </w:rPr>
            </w:pPr>
          </w:p>
        </w:tc>
        <w:tc>
          <w:tcPr>
            <w:tcW w:w="80" w:type="dxa"/>
            <w:vAlign w:val="bottom"/>
          </w:tcPr>
          <w:p w14:paraId="6DD81468" w14:textId="77777777" w:rsidR="00D1587D" w:rsidRDefault="00D1587D">
            <w:pPr>
              <w:rPr>
                <w:sz w:val="23"/>
                <w:szCs w:val="23"/>
              </w:rPr>
            </w:pPr>
          </w:p>
        </w:tc>
        <w:tc>
          <w:tcPr>
            <w:tcW w:w="400" w:type="dxa"/>
            <w:vAlign w:val="bottom"/>
          </w:tcPr>
          <w:p w14:paraId="1593CBFA" w14:textId="77777777" w:rsidR="00D1587D" w:rsidRDefault="00410D07">
            <w:pPr>
              <w:jc w:val="right"/>
              <w:rPr>
                <w:sz w:val="20"/>
                <w:szCs w:val="20"/>
              </w:rPr>
            </w:pPr>
            <w:r>
              <w:rPr>
                <w:rFonts w:ascii="Arial" w:eastAsia="Arial" w:hAnsi="Arial" w:cs="Arial"/>
                <w:sz w:val="18"/>
                <w:szCs w:val="18"/>
              </w:rPr>
              <w:t>(8)</w:t>
            </w:r>
          </w:p>
        </w:tc>
        <w:tc>
          <w:tcPr>
            <w:tcW w:w="220" w:type="dxa"/>
            <w:vAlign w:val="bottom"/>
          </w:tcPr>
          <w:p w14:paraId="6204E267" w14:textId="77777777" w:rsidR="00D1587D" w:rsidRDefault="00D1587D">
            <w:pPr>
              <w:rPr>
                <w:sz w:val="23"/>
                <w:szCs w:val="23"/>
              </w:rPr>
            </w:pPr>
          </w:p>
        </w:tc>
        <w:tc>
          <w:tcPr>
            <w:tcW w:w="180" w:type="dxa"/>
            <w:vAlign w:val="bottom"/>
          </w:tcPr>
          <w:p w14:paraId="706E662D" w14:textId="77777777" w:rsidR="00D1587D" w:rsidRDefault="00D1587D">
            <w:pPr>
              <w:rPr>
                <w:sz w:val="23"/>
                <w:szCs w:val="23"/>
              </w:rPr>
            </w:pPr>
          </w:p>
        </w:tc>
        <w:tc>
          <w:tcPr>
            <w:tcW w:w="100" w:type="dxa"/>
            <w:vAlign w:val="bottom"/>
          </w:tcPr>
          <w:p w14:paraId="5652C79B" w14:textId="77777777" w:rsidR="00D1587D" w:rsidRDefault="00D1587D">
            <w:pPr>
              <w:rPr>
                <w:sz w:val="23"/>
                <w:szCs w:val="23"/>
              </w:rPr>
            </w:pPr>
          </w:p>
        </w:tc>
        <w:tc>
          <w:tcPr>
            <w:tcW w:w="340" w:type="dxa"/>
            <w:vAlign w:val="bottom"/>
          </w:tcPr>
          <w:p w14:paraId="40C05781" w14:textId="77777777" w:rsidR="00D1587D" w:rsidRDefault="00410D07">
            <w:pPr>
              <w:jc w:val="right"/>
              <w:rPr>
                <w:sz w:val="20"/>
                <w:szCs w:val="20"/>
              </w:rPr>
            </w:pPr>
            <w:r>
              <w:rPr>
                <w:rFonts w:ascii="Arial" w:eastAsia="Arial" w:hAnsi="Arial" w:cs="Arial"/>
                <w:sz w:val="18"/>
                <w:szCs w:val="18"/>
              </w:rPr>
              <w:t>(2)</w:t>
            </w:r>
          </w:p>
        </w:tc>
      </w:tr>
      <w:tr w:rsidR="00D1587D" w14:paraId="39355ED7" w14:textId="77777777">
        <w:trPr>
          <w:trHeight w:val="54"/>
        </w:trPr>
        <w:tc>
          <w:tcPr>
            <w:tcW w:w="6020" w:type="dxa"/>
            <w:vAlign w:val="bottom"/>
          </w:tcPr>
          <w:p w14:paraId="7E6A1EDC" w14:textId="77777777" w:rsidR="00D1587D" w:rsidRDefault="00D1587D">
            <w:pPr>
              <w:rPr>
                <w:sz w:val="4"/>
                <w:szCs w:val="4"/>
              </w:rPr>
            </w:pPr>
          </w:p>
        </w:tc>
        <w:tc>
          <w:tcPr>
            <w:tcW w:w="80" w:type="dxa"/>
            <w:vAlign w:val="bottom"/>
          </w:tcPr>
          <w:p w14:paraId="482ED2A9" w14:textId="77777777" w:rsidR="00D1587D" w:rsidRDefault="00D1587D">
            <w:pPr>
              <w:rPr>
                <w:sz w:val="4"/>
                <w:szCs w:val="4"/>
              </w:rPr>
            </w:pPr>
          </w:p>
        </w:tc>
        <w:tc>
          <w:tcPr>
            <w:tcW w:w="20" w:type="dxa"/>
            <w:vAlign w:val="bottom"/>
          </w:tcPr>
          <w:p w14:paraId="4754773C" w14:textId="77777777" w:rsidR="00D1587D" w:rsidRDefault="00D1587D">
            <w:pPr>
              <w:rPr>
                <w:sz w:val="4"/>
                <w:szCs w:val="4"/>
              </w:rPr>
            </w:pPr>
          </w:p>
        </w:tc>
        <w:tc>
          <w:tcPr>
            <w:tcW w:w="180" w:type="dxa"/>
            <w:vAlign w:val="bottom"/>
          </w:tcPr>
          <w:p w14:paraId="0E6F0A79" w14:textId="77777777" w:rsidR="00D1587D" w:rsidRDefault="00D1587D">
            <w:pPr>
              <w:rPr>
                <w:sz w:val="4"/>
                <w:szCs w:val="4"/>
              </w:rPr>
            </w:pPr>
          </w:p>
        </w:tc>
        <w:tc>
          <w:tcPr>
            <w:tcW w:w="380" w:type="dxa"/>
            <w:vAlign w:val="bottom"/>
          </w:tcPr>
          <w:p w14:paraId="54F176FB" w14:textId="77777777" w:rsidR="00D1587D" w:rsidRDefault="00D1587D">
            <w:pPr>
              <w:rPr>
                <w:sz w:val="4"/>
                <w:szCs w:val="4"/>
              </w:rPr>
            </w:pPr>
          </w:p>
        </w:tc>
        <w:tc>
          <w:tcPr>
            <w:tcW w:w="60" w:type="dxa"/>
            <w:vAlign w:val="bottom"/>
          </w:tcPr>
          <w:p w14:paraId="4E6E6FC5" w14:textId="77777777" w:rsidR="00D1587D" w:rsidRDefault="00D1587D">
            <w:pPr>
              <w:rPr>
                <w:sz w:val="4"/>
                <w:szCs w:val="4"/>
              </w:rPr>
            </w:pPr>
          </w:p>
        </w:tc>
        <w:tc>
          <w:tcPr>
            <w:tcW w:w="220" w:type="dxa"/>
            <w:vAlign w:val="bottom"/>
          </w:tcPr>
          <w:p w14:paraId="7DC2CAAE" w14:textId="77777777" w:rsidR="00D1587D" w:rsidRDefault="00D1587D">
            <w:pPr>
              <w:rPr>
                <w:sz w:val="4"/>
                <w:szCs w:val="4"/>
              </w:rPr>
            </w:pPr>
          </w:p>
        </w:tc>
        <w:tc>
          <w:tcPr>
            <w:tcW w:w="140" w:type="dxa"/>
            <w:vAlign w:val="bottom"/>
          </w:tcPr>
          <w:p w14:paraId="34E6678D" w14:textId="77777777" w:rsidR="00D1587D" w:rsidRDefault="00D1587D">
            <w:pPr>
              <w:rPr>
                <w:sz w:val="4"/>
                <w:szCs w:val="4"/>
              </w:rPr>
            </w:pPr>
          </w:p>
        </w:tc>
        <w:tc>
          <w:tcPr>
            <w:tcW w:w="80" w:type="dxa"/>
            <w:vAlign w:val="bottom"/>
          </w:tcPr>
          <w:p w14:paraId="061F6D42" w14:textId="77777777" w:rsidR="00D1587D" w:rsidRDefault="00D1587D">
            <w:pPr>
              <w:rPr>
                <w:sz w:val="4"/>
                <w:szCs w:val="4"/>
              </w:rPr>
            </w:pPr>
          </w:p>
        </w:tc>
        <w:tc>
          <w:tcPr>
            <w:tcW w:w="400" w:type="dxa"/>
            <w:vAlign w:val="bottom"/>
          </w:tcPr>
          <w:p w14:paraId="7EAF3911" w14:textId="77777777" w:rsidR="00D1587D" w:rsidRDefault="00D1587D">
            <w:pPr>
              <w:rPr>
                <w:sz w:val="4"/>
                <w:szCs w:val="4"/>
              </w:rPr>
            </w:pPr>
          </w:p>
        </w:tc>
        <w:tc>
          <w:tcPr>
            <w:tcW w:w="220" w:type="dxa"/>
            <w:vAlign w:val="bottom"/>
          </w:tcPr>
          <w:p w14:paraId="232D34F1" w14:textId="77777777" w:rsidR="00D1587D" w:rsidRDefault="00D1587D">
            <w:pPr>
              <w:rPr>
                <w:sz w:val="4"/>
                <w:szCs w:val="4"/>
              </w:rPr>
            </w:pPr>
          </w:p>
        </w:tc>
        <w:tc>
          <w:tcPr>
            <w:tcW w:w="180" w:type="dxa"/>
            <w:vAlign w:val="bottom"/>
          </w:tcPr>
          <w:p w14:paraId="1854CD75" w14:textId="77777777" w:rsidR="00D1587D" w:rsidRDefault="00D1587D">
            <w:pPr>
              <w:rPr>
                <w:sz w:val="4"/>
                <w:szCs w:val="4"/>
              </w:rPr>
            </w:pPr>
          </w:p>
        </w:tc>
        <w:tc>
          <w:tcPr>
            <w:tcW w:w="100" w:type="dxa"/>
            <w:vAlign w:val="bottom"/>
          </w:tcPr>
          <w:p w14:paraId="085AB50F" w14:textId="77777777" w:rsidR="00D1587D" w:rsidRDefault="00D1587D">
            <w:pPr>
              <w:rPr>
                <w:sz w:val="4"/>
                <w:szCs w:val="4"/>
              </w:rPr>
            </w:pPr>
          </w:p>
        </w:tc>
        <w:tc>
          <w:tcPr>
            <w:tcW w:w="340" w:type="dxa"/>
            <w:vAlign w:val="bottom"/>
          </w:tcPr>
          <w:p w14:paraId="1AE0B2BB" w14:textId="77777777" w:rsidR="00D1587D" w:rsidRDefault="00D1587D">
            <w:pPr>
              <w:rPr>
                <w:sz w:val="4"/>
                <w:szCs w:val="4"/>
              </w:rPr>
            </w:pPr>
          </w:p>
        </w:tc>
      </w:tr>
      <w:tr w:rsidR="00D1587D" w14:paraId="6594BFF6" w14:textId="77777777">
        <w:trPr>
          <w:trHeight w:val="270"/>
        </w:trPr>
        <w:tc>
          <w:tcPr>
            <w:tcW w:w="6120" w:type="dxa"/>
            <w:gridSpan w:val="3"/>
            <w:shd w:val="clear" w:color="auto" w:fill="CCEEFF"/>
            <w:vAlign w:val="bottom"/>
          </w:tcPr>
          <w:p w14:paraId="4F842CB4" w14:textId="77777777" w:rsidR="00D1587D" w:rsidRDefault="00410D07">
            <w:pPr>
              <w:rPr>
                <w:sz w:val="20"/>
                <w:szCs w:val="20"/>
              </w:rPr>
            </w:pPr>
            <w:r>
              <w:rPr>
                <w:rFonts w:ascii="Arial" w:eastAsia="Arial" w:hAnsi="Arial" w:cs="Arial"/>
                <w:sz w:val="18"/>
                <w:szCs w:val="18"/>
              </w:rPr>
              <w:t>Other Income (Loss)</w:t>
            </w:r>
          </w:p>
        </w:tc>
        <w:tc>
          <w:tcPr>
            <w:tcW w:w="560" w:type="dxa"/>
            <w:gridSpan w:val="2"/>
            <w:shd w:val="clear" w:color="auto" w:fill="CCEEFF"/>
            <w:vAlign w:val="bottom"/>
          </w:tcPr>
          <w:p w14:paraId="1CB3E3FD" w14:textId="77777777" w:rsidR="00D1587D" w:rsidRDefault="00410D07">
            <w:pPr>
              <w:jc w:val="right"/>
              <w:rPr>
                <w:sz w:val="20"/>
                <w:szCs w:val="20"/>
              </w:rPr>
            </w:pPr>
            <w:r>
              <w:rPr>
                <w:rFonts w:ascii="Arial" w:eastAsia="Arial" w:hAnsi="Arial" w:cs="Arial"/>
                <w:sz w:val="18"/>
                <w:szCs w:val="18"/>
              </w:rPr>
              <w:t>1</w:t>
            </w:r>
          </w:p>
        </w:tc>
        <w:tc>
          <w:tcPr>
            <w:tcW w:w="60" w:type="dxa"/>
            <w:shd w:val="clear" w:color="auto" w:fill="CCEEFF"/>
            <w:vAlign w:val="bottom"/>
          </w:tcPr>
          <w:p w14:paraId="3C3E1848" w14:textId="77777777" w:rsidR="00D1587D" w:rsidRDefault="00D1587D">
            <w:pPr>
              <w:rPr>
                <w:sz w:val="23"/>
                <w:szCs w:val="23"/>
              </w:rPr>
            </w:pPr>
          </w:p>
        </w:tc>
        <w:tc>
          <w:tcPr>
            <w:tcW w:w="220" w:type="dxa"/>
            <w:shd w:val="clear" w:color="auto" w:fill="CCEEFF"/>
            <w:vAlign w:val="bottom"/>
          </w:tcPr>
          <w:p w14:paraId="353664EA" w14:textId="77777777" w:rsidR="00D1587D" w:rsidRDefault="00D1587D">
            <w:pPr>
              <w:rPr>
                <w:sz w:val="23"/>
                <w:szCs w:val="23"/>
              </w:rPr>
            </w:pPr>
          </w:p>
        </w:tc>
        <w:tc>
          <w:tcPr>
            <w:tcW w:w="140" w:type="dxa"/>
            <w:shd w:val="clear" w:color="auto" w:fill="CCEEFF"/>
            <w:vAlign w:val="bottom"/>
          </w:tcPr>
          <w:p w14:paraId="02CA27EC" w14:textId="77777777" w:rsidR="00D1587D" w:rsidRDefault="00D1587D">
            <w:pPr>
              <w:rPr>
                <w:sz w:val="23"/>
                <w:szCs w:val="23"/>
              </w:rPr>
            </w:pPr>
          </w:p>
        </w:tc>
        <w:tc>
          <w:tcPr>
            <w:tcW w:w="80" w:type="dxa"/>
            <w:shd w:val="clear" w:color="auto" w:fill="CCEEFF"/>
            <w:vAlign w:val="bottom"/>
          </w:tcPr>
          <w:p w14:paraId="206A4414" w14:textId="77777777" w:rsidR="00D1587D" w:rsidRDefault="00D1587D">
            <w:pPr>
              <w:rPr>
                <w:sz w:val="23"/>
                <w:szCs w:val="23"/>
              </w:rPr>
            </w:pPr>
          </w:p>
        </w:tc>
        <w:tc>
          <w:tcPr>
            <w:tcW w:w="400" w:type="dxa"/>
            <w:shd w:val="clear" w:color="auto" w:fill="CCEEFF"/>
            <w:vAlign w:val="bottom"/>
          </w:tcPr>
          <w:p w14:paraId="27C287B7" w14:textId="77777777" w:rsidR="00D1587D" w:rsidRDefault="00410D07">
            <w:pPr>
              <w:jc w:val="right"/>
              <w:rPr>
                <w:sz w:val="20"/>
                <w:szCs w:val="20"/>
              </w:rPr>
            </w:pPr>
            <w:r>
              <w:rPr>
                <w:rFonts w:ascii="Arial" w:eastAsia="Arial" w:hAnsi="Arial" w:cs="Arial"/>
                <w:sz w:val="18"/>
                <w:szCs w:val="18"/>
              </w:rPr>
              <w:t>1</w:t>
            </w:r>
          </w:p>
        </w:tc>
        <w:tc>
          <w:tcPr>
            <w:tcW w:w="220" w:type="dxa"/>
            <w:shd w:val="clear" w:color="auto" w:fill="CCEEFF"/>
            <w:vAlign w:val="bottom"/>
          </w:tcPr>
          <w:p w14:paraId="6CDD36CB" w14:textId="77777777" w:rsidR="00D1587D" w:rsidRDefault="00D1587D">
            <w:pPr>
              <w:rPr>
                <w:sz w:val="23"/>
                <w:szCs w:val="23"/>
              </w:rPr>
            </w:pPr>
          </w:p>
        </w:tc>
        <w:tc>
          <w:tcPr>
            <w:tcW w:w="180" w:type="dxa"/>
            <w:shd w:val="clear" w:color="auto" w:fill="CCEEFF"/>
            <w:vAlign w:val="bottom"/>
          </w:tcPr>
          <w:p w14:paraId="7D8BF63D" w14:textId="77777777" w:rsidR="00D1587D" w:rsidRDefault="00D1587D">
            <w:pPr>
              <w:rPr>
                <w:sz w:val="23"/>
                <w:szCs w:val="23"/>
              </w:rPr>
            </w:pPr>
          </w:p>
        </w:tc>
        <w:tc>
          <w:tcPr>
            <w:tcW w:w="100" w:type="dxa"/>
            <w:shd w:val="clear" w:color="auto" w:fill="CCEEFF"/>
            <w:vAlign w:val="bottom"/>
          </w:tcPr>
          <w:p w14:paraId="7D7282F5" w14:textId="77777777" w:rsidR="00D1587D" w:rsidRDefault="00D1587D">
            <w:pPr>
              <w:rPr>
                <w:sz w:val="23"/>
                <w:szCs w:val="23"/>
              </w:rPr>
            </w:pPr>
          </w:p>
        </w:tc>
        <w:tc>
          <w:tcPr>
            <w:tcW w:w="340" w:type="dxa"/>
            <w:shd w:val="clear" w:color="auto" w:fill="CCEEFF"/>
            <w:vAlign w:val="bottom"/>
          </w:tcPr>
          <w:p w14:paraId="2D16FA80" w14:textId="77777777" w:rsidR="00D1587D" w:rsidRDefault="00410D07">
            <w:pPr>
              <w:jc w:val="right"/>
              <w:rPr>
                <w:sz w:val="20"/>
                <w:szCs w:val="20"/>
              </w:rPr>
            </w:pPr>
            <w:r>
              <w:rPr>
                <w:rFonts w:ascii="Arial" w:eastAsia="Arial" w:hAnsi="Arial" w:cs="Arial"/>
                <w:sz w:val="18"/>
                <w:szCs w:val="18"/>
              </w:rPr>
              <w:t>(7)</w:t>
            </w:r>
          </w:p>
        </w:tc>
      </w:tr>
      <w:tr w:rsidR="00D1587D" w14:paraId="6A047CB2" w14:textId="77777777">
        <w:trPr>
          <w:trHeight w:val="68"/>
        </w:trPr>
        <w:tc>
          <w:tcPr>
            <w:tcW w:w="6020" w:type="dxa"/>
            <w:shd w:val="clear" w:color="auto" w:fill="CCEEFF"/>
            <w:vAlign w:val="bottom"/>
          </w:tcPr>
          <w:p w14:paraId="16953ACE" w14:textId="77777777" w:rsidR="00D1587D" w:rsidRDefault="00D1587D">
            <w:pPr>
              <w:rPr>
                <w:sz w:val="5"/>
                <w:szCs w:val="5"/>
              </w:rPr>
            </w:pPr>
          </w:p>
        </w:tc>
        <w:tc>
          <w:tcPr>
            <w:tcW w:w="80" w:type="dxa"/>
            <w:tcBorders>
              <w:bottom w:val="single" w:sz="8" w:space="0" w:color="CCEEFF"/>
            </w:tcBorders>
            <w:shd w:val="clear" w:color="auto" w:fill="CCEEFF"/>
            <w:vAlign w:val="bottom"/>
          </w:tcPr>
          <w:p w14:paraId="75FD9CAB" w14:textId="77777777" w:rsidR="00D1587D" w:rsidRDefault="00D1587D">
            <w:pPr>
              <w:rPr>
                <w:sz w:val="5"/>
                <w:szCs w:val="5"/>
              </w:rPr>
            </w:pPr>
          </w:p>
        </w:tc>
        <w:tc>
          <w:tcPr>
            <w:tcW w:w="20" w:type="dxa"/>
            <w:tcBorders>
              <w:bottom w:val="single" w:sz="8" w:space="0" w:color="CCEEFF"/>
            </w:tcBorders>
            <w:shd w:val="clear" w:color="auto" w:fill="CCEEFF"/>
            <w:vAlign w:val="bottom"/>
          </w:tcPr>
          <w:p w14:paraId="1D702FEE" w14:textId="77777777" w:rsidR="00D1587D" w:rsidRDefault="00D1587D">
            <w:pPr>
              <w:rPr>
                <w:sz w:val="5"/>
                <w:szCs w:val="5"/>
              </w:rPr>
            </w:pPr>
          </w:p>
        </w:tc>
        <w:tc>
          <w:tcPr>
            <w:tcW w:w="180" w:type="dxa"/>
            <w:tcBorders>
              <w:bottom w:val="single" w:sz="8" w:space="0" w:color="auto"/>
            </w:tcBorders>
            <w:shd w:val="clear" w:color="auto" w:fill="CCEEFF"/>
            <w:vAlign w:val="bottom"/>
          </w:tcPr>
          <w:p w14:paraId="73EB6ED6" w14:textId="77777777" w:rsidR="00D1587D" w:rsidRDefault="00D1587D">
            <w:pPr>
              <w:rPr>
                <w:sz w:val="5"/>
                <w:szCs w:val="5"/>
              </w:rPr>
            </w:pPr>
          </w:p>
        </w:tc>
        <w:tc>
          <w:tcPr>
            <w:tcW w:w="380" w:type="dxa"/>
            <w:tcBorders>
              <w:bottom w:val="single" w:sz="8" w:space="0" w:color="auto"/>
            </w:tcBorders>
            <w:shd w:val="clear" w:color="auto" w:fill="CCEEFF"/>
            <w:vAlign w:val="bottom"/>
          </w:tcPr>
          <w:p w14:paraId="2A07FC7B" w14:textId="77777777" w:rsidR="00D1587D" w:rsidRDefault="00D1587D">
            <w:pPr>
              <w:rPr>
                <w:sz w:val="5"/>
                <w:szCs w:val="5"/>
              </w:rPr>
            </w:pPr>
          </w:p>
        </w:tc>
        <w:tc>
          <w:tcPr>
            <w:tcW w:w="60" w:type="dxa"/>
            <w:tcBorders>
              <w:bottom w:val="single" w:sz="8" w:space="0" w:color="auto"/>
            </w:tcBorders>
            <w:shd w:val="clear" w:color="auto" w:fill="CCEEFF"/>
            <w:vAlign w:val="bottom"/>
          </w:tcPr>
          <w:p w14:paraId="0F6DD487" w14:textId="77777777" w:rsidR="00D1587D" w:rsidRDefault="00D1587D">
            <w:pPr>
              <w:rPr>
                <w:sz w:val="5"/>
                <w:szCs w:val="5"/>
              </w:rPr>
            </w:pPr>
          </w:p>
        </w:tc>
        <w:tc>
          <w:tcPr>
            <w:tcW w:w="220" w:type="dxa"/>
            <w:tcBorders>
              <w:bottom w:val="single" w:sz="8" w:space="0" w:color="CCEEFF"/>
            </w:tcBorders>
            <w:shd w:val="clear" w:color="auto" w:fill="CCEEFF"/>
            <w:vAlign w:val="bottom"/>
          </w:tcPr>
          <w:p w14:paraId="037EEA5B" w14:textId="77777777" w:rsidR="00D1587D" w:rsidRDefault="00D1587D">
            <w:pPr>
              <w:rPr>
                <w:sz w:val="5"/>
                <w:szCs w:val="5"/>
              </w:rPr>
            </w:pPr>
          </w:p>
        </w:tc>
        <w:tc>
          <w:tcPr>
            <w:tcW w:w="140" w:type="dxa"/>
            <w:tcBorders>
              <w:bottom w:val="single" w:sz="8" w:space="0" w:color="auto"/>
            </w:tcBorders>
            <w:shd w:val="clear" w:color="auto" w:fill="CCEEFF"/>
            <w:vAlign w:val="bottom"/>
          </w:tcPr>
          <w:p w14:paraId="36F15816" w14:textId="77777777" w:rsidR="00D1587D" w:rsidRDefault="00D1587D">
            <w:pPr>
              <w:rPr>
                <w:sz w:val="5"/>
                <w:szCs w:val="5"/>
              </w:rPr>
            </w:pPr>
          </w:p>
        </w:tc>
        <w:tc>
          <w:tcPr>
            <w:tcW w:w="480" w:type="dxa"/>
            <w:gridSpan w:val="2"/>
            <w:tcBorders>
              <w:bottom w:val="single" w:sz="8" w:space="0" w:color="auto"/>
            </w:tcBorders>
            <w:shd w:val="clear" w:color="auto" w:fill="CCEEFF"/>
            <w:vAlign w:val="bottom"/>
          </w:tcPr>
          <w:p w14:paraId="63CD1237" w14:textId="77777777" w:rsidR="00D1587D" w:rsidRDefault="00D1587D">
            <w:pPr>
              <w:rPr>
                <w:sz w:val="5"/>
                <w:szCs w:val="5"/>
              </w:rPr>
            </w:pPr>
          </w:p>
        </w:tc>
        <w:tc>
          <w:tcPr>
            <w:tcW w:w="220" w:type="dxa"/>
            <w:tcBorders>
              <w:bottom w:val="single" w:sz="8" w:space="0" w:color="CCEEFF"/>
            </w:tcBorders>
            <w:shd w:val="clear" w:color="auto" w:fill="CCEEFF"/>
            <w:vAlign w:val="bottom"/>
          </w:tcPr>
          <w:p w14:paraId="4D40BA19" w14:textId="77777777" w:rsidR="00D1587D" w:rsidRDefault="00D1587D">
            <w:pPr>
              <w:rPr>
                <w:sz w:val="5"/>
                <w:szCs w:val="5"/>
              </w:rPr>
            </w:pPr>
          </w:p>
        </w:tc>
        <w:tc>
          <w:tcPr>
            <w:tcW w:w="180" w:type="dxa"/>
            <w:tcBorders>
              <w:bottom w:val="single" w:sz="8" w:space="0" w:color="auto"/>
            </w:tcBorders>
            <w:shd w:val="clear" w:color="auto" w:fill="CCEEFF"/>
            <w:vAlign w:val="bottom"/>
          </w:tcPr>
          <w:p w14:paraId="47301D0F" w14:textId="77777777" w:rsidR="00D1587D" w:rsidRDefault="00D1587D">
            <w:pPr>
              <w:rPr>
                <w:sz w:val="5"/>
                <w:szCs w:val="5"/>
              </w:rPr>
            </w:pPr>
          </w:p>
        </w:tc>
        <w:tc>
          <w:tcPr>
            <w:tcW w:w="100" w:type="dxa"/>
            <w:tcBorders>
              <w:bottom w:val="single" w:sz="8" w:space="0" w:color="auto"/>
            </w:tcBorders>
            <w:shd w:val="clear" w:color="auto" w:fill="CCEEFF"/>
            <w:vAlign w:val="bottom"/>
          </w:tcPr>
          <w:p w14:paraId="1BD7A956" w14:textId="77777777" w:rsidR="00D1587D" w:rsidRDefault="00D1587D">
            <w:pPr>
              <w:rPr>
                <w:sz w:val="5"/>
                <w:szCs w:val="5"/>
              </w:rPr>
            </w:pPr>
          </w:p>
        </w:tc>
        <w:tc>
          <w:tcPr>
            <w:tcW w:w="340" w:type="dxa"/>
            <w:tcBorders>
              <w:bottom w:val="single" w:sz="8" w:space="0" w:color="auto"/>
            </w:tcBorders>
            <w:shd w:val="clear" w:color="auto" w:fill="CCEEFF"/>
            <w:vAlign w:val="bottom"/>
          </w:tcPr>
          <w:p w14:paraId="3B87F666" w14:textId="77777777" w:rsidR="00D1587D" w:rsidRDefault="00D1587D">
            <w:pPr>
              <w:rPr>
                <w:sz w:val="5"/>
                <w:szCs w:val="5"/>
              </w:rPr>
            </w:pPr>
          </w:p>
        </w:tc>
      </w:tr>
      <w:tr w:rsidR="00D1587D" w14:paraId="795B81DE" w14:textId="77777777">
        <w:trPr>
          <w:trHeight w:val="277"/>
        </w:trPr>
        <w:tc>
          <w:tcPr>
            <w:tcW w:w="6120" w:type="dxa"/>
            <w:gridSpan w:val="3"/>
            <w:vAlign w:val="bottom"/>
          </w:tcPr>
          <w:p w14:paraId="4930AA1B" w14:textId="77777777" w:rsidR="00D1587D" w:rsidRDefault="00410D07">
            <w:pPr>
              <w:rPr>
                <w:sz w:val="20"/>
                <w:szCs w:val="20"/>
              </w:rPr>
            </w:pPr>
            <w:r>
              <w:rPr>
                <w:rFonts w:ascii="Arial" w:eastAsia="Arial" w:hAnsi="Arial" w:cs="Arial"/>
                <w:sz w:val="18"/>
                <w:szCs w:val="18"/>
              </w:rPr>
              <w:t>Income (Loss) Before Income Taxes</w:t>
            </w:r>
          </w:p>
        </w:tc>
        <w:tc>
          <w:tcPr>
            <w:tcW w:w="620" w:type="dxa"/>
            <w:gridSpan w:val="3"/>
            <w:vAlign w:val="bottom"/>
          </w:tcPr>
          <w:p w14:paraId="6AFAA7CC" w14:textId="77777777" w:rsidR="00D1587D" w:rsidRDefault="00410D07">
            <w:pPr>
              <w:ind w:right="20"/>
              <w:jc w:val="right"/>
              <w:rPr>
                <w:sz w:val="20"/>
                <w:szCs w:val="20"/>
              </w:rPr>
            </w:pPr>
            <w:r>
              <w:rPr>
                <w:rFonts w:ascii="Arial" w:eastAsia="Arial" w:hAnsi="Arial" w:cs="Arial"/>
                <w:sz w:val="18"/>
                <w:szCs w:val="18"/>
              </w:rPr>
              <w:t>(106)</w:t>
            </w:r>
          </w:p>
        </w:tc>
        <w:tc>
          <w:tcPr>
            <w:tcW w:w="220" w:type="dxa"/>
            <w:vAlign w:val="bottom"/>
          </w:tcPr>
          <w:p w14:paraId="2D041CB8" w14:textId="77777777" w:rsidR="00D1587D" w:rsidRDefault="00D1587D">
            <w:pPr>
              <w:rPr>
                <w:sz w:val="24"/>
                <w:szCs w:val="24"/>
              </w:rPr>
            </w:pPr>
          </w:p>
        </w:tc>
        <w:tc>
          <w:tcPr>
            <w:tcW w:w="620" w:type="dxa"/>
            <w:gridSpan w:val="3"/>
            <w:vAlign w:val="bottom"/>
          </w:tcPr>
          <w:p w14:paraId="11CE8FFF" w14:textId="77777777" w:rsidR="00D1587D" w:rsidRDefault="00410D07">
            <w:pPr>
              <w:jc w:val="right"/>
              <w:rPr>
                <w:sz w:val="20"/>
                <w:szCs w:val="20"/>
              </w:rPr>
            </w:pPr>
            <w:r>
              <w:rPr>
                <w:rFonts w:ascii="Arial" w:eastAsia="Arial" w:hAnsi="Arial" w:cs="Arial"/>
                <w:sz w:val="18"/>
                <w:szCs w:val="18"/>
              </w:rPr>
              <w:t>(899)</w:t>
            </w:r>
          </w:p>
        </w:tc>
        <w:tc>
          <w:tcPr>
            <w:tcW w:w="220" w:type="dxa"/>
            <w:vAlign w:val="bottom"/>
          </w:tcPr>
          <w:p w14:paraId="3C76D240" w14:textId="77777777" w:rsidR="00D1587D" w:rsidRDefault="00D1587D">
            <w:pPr>
              <w:rPr>
                <w:sz w:val="24"/>
                <w:szCs w:val="24"/>
              </w:rPr>
            </w:pPr>
          </w:p>
        </w:tc>
        <w:tc>
          <w:tcPr>
            <w:tcW w:w="180" w:type="dxa"/>
            <w:vAlign w:val="bottom"/>
          </w:tcPr>
          <w:p w14:paraId="356CA5F6" w14:textId="77777777" w:rsidR="00D1587D" w:rsidRDefault="00D1587D">
            <w:pPr>
              <w:rPr>
                <w:sz w:val="24"/>
                <w:szCs w:val="24"/>
              </w:rPr>
            </w:pPr>
          </w:p>
        </w:tc>
        <w:tc>
          <w:tcPr>
            <w:tcW w:w="100" w:type="dxa"/>
            <w:vAlign w:val="bottom"/>
          </w:tcPr>
          <w:p w14:paraId="24279780" w14:textId="77777777" w:rsidR="00D1587D" w:rsidRDefault="00D1587D">
            <w:pPr>
              <w:rPr>
                <w:sz w:val="24"/>
                <w:szCs w:val="24"/>
              </w:rPr>
            </w:pPr>
          </w:p>
        </w:tc>
        <w:tc>
          <w:tcPr>
            <w:tcW w:w="340" w:type="dxa"/>
            <w:vAlign w:val="bottom"/>
          </w:tcPr>
          <w:p w14:paraId="1DEBC7C5" w14:textId="77777777" w:rsidR="00D1587D" w:rsidRDefault="00410D07">
            <w:pPr>
              <w:jc w:val="right"/>
              <w:rPr>
                <w:sz w:val="20"/>
                <w:szCs w:val="20"/>
              </w:rPr>
            </w:pPr>
            <w:r>
              <w:rPr>
                <w:rFonts w:ascii="Arial" w:eastAsia="Arial" w:hAnsi="Arial" w:cs="Arial"/>
                <w:w w:val="79"/>
                <w:sz w:val="18"/>
                <w:szCs w:val="18"/>
              </w:rPr>
              <w:t>391</w:t>
            </w:r>
          </w:p>
        </w:tc>
      </w:tr>
      <w:tr w:rsidR="00D1587D" w14:paraId="37C83AEC" w14:textId="77777777">
        <w:trPr>
          <w:trHeight w:val="54"/>
        </w:trPr>
        <w:tc>
          <w:tcPr>
            <w:tcW w:w="6020" w:type="dxa"/>
            <w:vAlign w:val="bottom"/>
          </w:tcPr>
          <w:p w14:paraId="46920F6B" w14:textId="77777777" w:rsidR="00D1587D" w:rsidRDefault="00D1587D">
            <w:pPr>
              <w:rPr>
                <w:sz w:val="4"/>
                <w:szCs w:val="4"/>
              </w:rPr>
            </w:pPr>
          </w:p>
        </w:tc>
        <w:tc>
          <w:tcPr>
            <w:tcW w:w="80" w:type="dxa"/>
            <w:vAlign w:val="bottom"/>
          </w:tcPr>
          <w:p w14:paraId="6C6659C1" w14:textId="77777777" w:rsidR="00D1587D" w:rsidRDefault="00D1587D">
            <w:pPr>
              <w:rPr>
                <w:sz w:val="4"/>
                <w:szCs w:val="4"/>
              </w:rPr>
            </w:pPr>
          </w:p>
        </w:tc>
        <w:tc>
          <w:tcPr>
            <w:tcW w:w="20" w:type="dxa"/>
            <w:vAlign w:val="bottom"/>
          </w:tcPr>
          <w:p w14:paraId="2D8E31CF" w14:textId="77777777" w:rsidR="00D1587D" w:rsidRDefault="00D1587D">
            <w:pPr>
              <w:rPr>
                <w:sz w:val="4"/>
                <w:szCs w:val="4"/>
              </w:rPr>
            </w:pPr>
          </w:p>
        </w:tc>
        <w:tc>
          <w:tcPr>
            <w:tcW w:w="180" w:type="dxa"/>
            <w:vAlign w:val="bottom"/>
          </w:tcPr>
          <w:p w14:paraId="43198CDE" w14:textId="77777777" w:rsidR="00D1587D" w:rsidRDefault="00D1587D">
            <w:pPr>
              <w:rPr>
                <w:sz w:val="4"/>
                <w:szCs w:val="4"/>
              </w:rPr>
            </w:pPr>
          </w:p>
        </w:tc>
        <w:tc>
          <w:tcPr>
            <w:tcW w:w="380" w:type="dxa"/>
            <w:vAlign w:val="bottom"/>
          </w:tcPr>
          <w:p w14:paraId="463E031B" w14:textId="77777777" w:rsidR="00D1587D" w:rsidRDefault="00D1587D">
            <w:pPr>
              <w:rPr>
                <w:sz w:val="4"/>
                <w:szCs w:val="4"/>
              </w:rPr>
            </w:pPr>
          </w:p>
        </w:tc>
        <w:tc>
          <w:tcPr>
            <w:tcW w:w="60" w:type="dxa"/>
            <w:vAlign w:val="bottom"/>
          </w:tcPr>
          <w:p w14:paraId="5409F035" w14:textId="77777777" w:rsidR="00D1587D" w:rsidRDefault="00D1587D">
            <w:pPr>
              <w:rPr>
                <w:sz w:val="4"/>
                <w:szCs w:val="4"/>
              </w:rPr>
            </w:pPr>
          </w:p>
        </w:tc>
        <w:tc>
          <w:tcPr>
            <w:tcW w:w="220" w:type="dxa"/>
            <w:vAlign w:val="bottom"/>
          </w:tcPr>
          <w:p w14:paraId="1C511372" w14:textId="77777777" w:rsidR="00D1587D" w:rsidRDefault="00D1587D">
            <w:pPr>
              <w:rPr>
                <w:sz w:val="4"/>
                <w:szCs w:val="4"/>
              </w:rPr>
            </w:pPr>
          </w:p>
        </w:tc>
        <w:tc>
          <w:tcPr>
            <w:tcW w:w="140" w:type="dxa"/>
            <w:vAlign w:val="bottom"/>
          </w:tcPr>
          <w:p w14:paraId="6D63CF5B" w14:textId="77777777" w:rsidR="00D1587D" w:rsidRDefault="00D1587D">
            <w:pPr>
              <w:rPr>
                <w:sz w:val="4"/>
                <w:szCs w:val="4"/>
              </w:rPr>
            </w:pPr>
          </w:p>
        </w:tc>
        <w:tc>
          <w:tcPr>
            <w:tcW w:w="80" w:type="dxa"/>
            <w:vAlign w:val="bottom"/>
          </w:tcPr>
          <w:p w14:paraId="2916D92F" w14:textId="77777777" w:rsidR="00D1587D" w:rsidRDefault="00D1587D">
            <w:pPr>
              <w:rPr>
                <w:sz w:val="4"/>
                <w:szCs w:val="4"/>
              </w:rPr>
            </w:pPr>
          </w:p>
        </w:tc>
        <w:tc>
          <w:tcPr>
            <w:tcW w:w="400" w:type="dxa"/>
            <w:vAlign w:val="bottom"/>
          </w:tcPr>
          <w:p w14:paraId="6C96B51E" w14:textId="77777777" w:rsidR="00D1587D" w:rsidRDefault="00D1587D">
            <w:pPr>
              <w:rPr>
                <w:sz w:val="4"/>
                <w:szCs w:val="4"/>
              </w:rPr>
            </w:pPr>
          </w:p>
        </w:tc>
        <w:tc>
          <w:tcPr>
            <w:tcW w:w="220" w:type="dxa"/>
            <w:vAlign w:val="bottom"/>
          </w:tcPr>
          <w:p w14:paraId="6CAF1FF4" w14:textId="77777777" w:rsidR="00D1587D" w:rsidRDefault="00D1587D">
            <w:pPr>
              <w:rPr>
                <w:sz w:val="4"/>
                <w:szCs w:val="4"/>
              </w:rPr>
            </w:pPr>
          </w:p>
        </w:tc>
        <w:tc>
          <w:tcPr>
            <w:tcW w:w="180" w:type="dxa"/>
            <w:vAlign w:val="bottom"/>
          </w:tcPr>
          <w:p w14:paraId="1569CEC0" w14:textId="77777777" w:rsidR="00D1587D" w:rsidRDefault="00D1587D">
            <w:pPr>
              <w:rPr>
                <w:sz w:val="4"/>
                <w:szCs w:val="4"/>
              </w:rPr>
            </w:pPr>
          </w:p>
        </w:tc>
        <w:tc>
          <w:tcPr>
            <w:tcW w:w="100" w:type="dxa"/>
            <w:vAlign w:val="bottom"/>
          </w:tcPr>
          <w:p w14:paraId="172D6003" w14:textId="77777777" w:rsidR="00D1587D" w:rsidRDefault="00D1587D">
            <w:pPr>
              <w:rPr>
                <w:sz w:val="4"/>
                <w:szCs w:val="4"/>
              </w:rPr>
            </w:pPr>
          </w:p>
        </w:tc>
        <w:tc>
          <w:tcPr>
            <w:tcW w:w="340" w:type="dxa"/>
            <w:vAlign w:val="bottom"/>
          </w:tcPr>
          <w:p w14:paraId="42C918C6" w14:textId="77777777" w:rsidR="00D1587D" w:rsidRDefault="00D1587D">
            <w:pPr>
              <w:rPr>
                <w:sz w:val="4"/>
                <w:szCs w:val="4"/>
              </w:rPr>
            </w:pPr>
          </w:p>
        </w:tc>
      </w:tr>
      <w:tr w:rsidR="00D1587D" w14:paraId="103B7DC5" w14:textId="77777777">
        <w:trPr>
          <w:trHeight w:val="270"/>
        </w:trPr>
        <w:tc>
          <w:tcPr>
            <w:tcW w:w="6120" w:type="dxa"/>
            <w:gridSpan w:val="3"/>
            <w:shd w:val="clear" w:color="auto" w:fill="CCEEFF"/>
            <w:vAlign w:val="bottom"/>
          </w:tcPr>
          <w:p w14:paraId="17894528" w14:textId="77777777" w:rsidR="00D1587D" w:rsidRDefault="00410D07">
            <w:pPr>
              <w:rPr>
                <w:sz w:val="20"/>
                <w:szCs w:val="20"/>
              </w:rPr>
            </w:pPr>
            <w:r>
              <w:rPr>
                <w:rFonts w:ascii="Arial" w:eastAsia="Arial" w:hAnsi="Arial" w:cs="Arial"/>
                <w:sz w:val="18"/>
                <w:szCs w:val="18"/>
              </w:rPr>
              <w:t>Provision (Benefit) for Income Taxes</w:t>
            </w:r>
          </w:p>
        </w:tc>
        <w:tc>
          <w:tcPr>
            <w:tcW w:w="620" w:type="dxa"/>
            <w:gridSpan w:val="3"/>
            <w:shd w:val="clear" w:color="auto" w:fill="CCEEFF"/>
            <w:vAlign w:val="bottom"/>
          </w:tcPr>
          <w:p w14:paraId="082EC5B5" w14:textId="77777777" w:rsidR="00D1587D" w:rsidRDefault="00410D07">
            <w:pPr>
              <w:jc w:val="right"/>
              <w:rPr>
                <w:sz w:val="20"/>
                <w:szCs w:val="20"/>
              </w:rPr>
            </w:pPr>
            <w:r>
              <w:rPr>
                <w:rFonts w:ascii="Arial" w:eastAsia="Arial" w:hAnsi="Arial" w:cs="Arial"/>
                <w:sz w:val="18"/>
                <w:szCs w:val="18"/>
              </w:rPr>
              <w:t>(34)</w:t>
            </w:r>
          </w:p>
        </w:tc>
        <w:tc>
          <w:tcPr>
            <w:tcW w:w="220" w:type="dxa"/>
            <w:shd w:val="clear" w:color="auto" w:fill="CCEEFF"/>
            <w:vAlign w:val="bottom"/>
          </w:tcPr>
          <w:p w14:paraId="056370BF" w14:textId="77777777" w:rsidR="00D1587D" w:rsidRDefault="00D1587D">
            <w:pPr>
              <w:rPr>
                <w:sz w:val="23"/>
                <w:szCs w:val="23"/>
              </w:rPr>
            </w:pPr>
          </w:p>
        </w:tc>
        <w:tc>
          <w:tcPr>
            <w:tcW w:w="140" w:type="dxa"/>
            <w:shd w:val="clear" w:color="auto" w:fill="CCEEFF"/>
            <w:vAlign w:val="bottom"/>
          </w:tcPr>
          <w:p w14:paraId="52E90782" w14:textId="77777777" w:rsidR="00D1587D" w:rsidRDefault="00D1587D">
            <w:pPr>
              <w:rPr>
                <w:sz w:val="23"/>
                <w:szCs w:val="23"/>
              </w:rPr>
            </w:pPr>
          </w:p>
        </w:tc>
        <w:tc>
          <w:tcPr>
            <w:tcW w:w="80" w:type="dxa"/>
            <w:shd w:val="clear" w:color="auto" w:fill="CCEEFF"/>
            <w:vAlign w:val="bottom"/>
          </w:tcPr>
          <w:p w14:paraId="50D1E1F0" w14:textId="77777777" w:rsidR="00D1587D" w:rsidRDefault="00D1587D">
            <w:pPr>
              <w:rPr>
                <w:sz w:val="23"/>
                <w:szCs w:val="23"/>
              </w:rPr>
            </w:pPr>
          </w:p>
        </w:tc>
        <w:tc>
          <w:tcPr>
            <w:tcW w:w="400" w:type="dxa"/>
            <w:shd w:val="clear" w:color="auto" w:fill="CCEEFF"/>
            <w:vAlign w:val="bottom"/>
          </w:tcPr>
          <w:p w14:paraId="1ED59A9E" w14:textId="77777777" w:rsidR="00D1587D" w:rsidRDefault="00410D07">
            <w:pPr>
              <w:jc w:val="right"/>
              <w:rPr>
                <w:sz w:val="20"/>
                <w:szCs w:val="20"/>
              </w:rPr>
            </w:pPr>
            <w:r>
              <w:rPr>
                <w:rFonts w:ascii="Arial" w:eastAsia="Arial" w:hAnsi="Arial" w:cs="Arial"/>
                <w:sz w:val="18"/>
                <w:szCs w:val="18"/>
              </w:rPr>
              <w:t>(2)</w:t>
            </w:r>
          </w:p>
        </w:tc>
        <w:tc>
          <w:tcPr>
            <w:tcW w:w="220" w:type="dxa"/>
            <w:shd w:val="clear" w:color="auto" w:fill="CCEEFF"/>
            <w:vAlign w:val="bottom"/>
          </w:tcPr>
          <w:p w14:paraId="03995E7E" w14:textId="77777777" w:rsidR="00D1587D" w:rsidRDefault="00D1587D">
            <w:pPr>
              <w:rPr>
                <w:sz w:val="23"/>
                <w:szCs w:val="23"/>
              </w:rPr>
            </w:pPr>
          </w:p>
        </w:tc>
        <w:tc>
          <w:tcPr>
            <w:tcW w:w="180" w:type="dxa"/>
            <w:shd w:val="clear" w:color="auto" w:fill="CCEEFF"/>
            <w:vAlign w:val="bottom"/>
          </w:tcPr>
          <w:p w14:paraId="2DCAB901" w14:textId="77777777" w:rsidR="00D1587D" w:rsidRDefault="00D1587D">
            <w:pPr>
              <w:rPr>
                <w:sz w:val="23"/>
                <w:szCs w:val="23"/>
              </w:rPr>
            </w:pPr>
          </w:p>
        </w:tc>
        <w:tc>
          <w:tcPr>
            <w:tcW w:w="100" w:type="dxa"/>
            <w:shd w:val="clear" w:color="auto" w:fill="CCEEFF"/>
            <w:vAlign w:val="bottom"/>
          </w:tcPr>
          <w:p w14:paraId="55281BCD" w14:textId="77777777" w:rsidR="00D1587D" w:rsidRDefault="00D1587D">
            <w:pPr>
              <w:rPr>
                <w:sz w:val="23"/>
                <w:szCs w:val="23"/>
              </w:rPr>
            </w:pPr>
          </w:p>
        </w:tc>
        <w:tc>
          <w:tcPr>
            <w:tcW w:w="340" w:type="dxa"/>
            <w:shd w:val="clear" w:color="auto" w:fill="CCEEFF"/>
            <w:vAlign w:val="bottom"/>
          </w:tcPr>
          <w:p w14:paraId="7EBF6967" w14:textId="77777777" w:rsidR="00D1587D" w:rsidRDefault="00410D07">
            <w:pPr>
              <w:jc w:val="right"/>
              <w:rPr>
                <w:sz w:val="20"/>
                <w:szCs w:val="20"/>
              </w:rPr>
            </w:pPr>
            <w:r>
              <w:rPr>
                <w:rFonts w:ascii="Arial" w:eastAsia="Arial" w:hAnsi="Arial" w:cs="Arial"/>
                <w:w w:val="79"/>
                <w:sz w:val="18"/>
                <w:szCs w:val="18"/>
              </w:rPr>
              <w:t>140</w:t>
            </w:r>
          </w:p>
        </w:tc>
      </w:tr>
      <w:tr w:rsidR="00D1587D" w14:paraId="53C1FAF5" w14:textId="77777777">
        <w:trPr>
          <w:trHeight w:val="68"/>
        </w:trPr>
        <w:tc>
          <w:tcPr>
            <w:tcW w:w="6020" w:type="dxa"/>
            <w:shd w:val="clear" w:color="auto" w:fill="CCEEFF"/>
            <w:vAlign w:val="bottom"/>
          </w:tcPr>
          <w:p w14:paraId="5554B107" w14:textId="77777777" w:rsidR="00D1587D" w:rsidRDefault="00D1587D">
            <w:pPr>
              <w:rPr>
                <w:sz w:val="5"/>
                <w:szCs w:val="5"/>
              </w:rPr>
            </w:pPr>
          </w:p>
        </w:tc>
        <w:tc>
          <w:tcPr>
            <w:tcW w:w="80" w:type="dxa"/>
            <w:tcBorders>
              <w:bottom w:val="single" w:sz="8" w:space="0" w:color="CCEEFF"/>
            </w:tcBorders>
            <w:shd w:val="clear" w:color="auto" w:fill="CCEEFF"/>
            <w:vAlign w:val="bottom"/>
          </w:tcPr>
          <w:p w14:paraId="2D1837CE" w14:textId="77777777" w:rsidR="00D1587D" w:rsidRDefault="00D1587D">
            <w:pPr>
              <w:rPr>
                <w:sz w:val="5"/>
                <w:szCs w:val="5"/>
              </w:rPr>
            </w:pPr>
          </w:p>
        </w:tc>
        <w:tc>
          <w:tcPr>
            <w:tcW w:w="20" w:type="dxa"/>
            <w:tcBorders>
              <w:bottom w:val="single" w:sz="8" w:space="0" w:color="CCEEFF"/>
            </w:tcBorders>
            <w:shd w:val="clear" w:color="auto" w:fill="CCEEFF"/>
            <w:vAlign w:val="bottom"/>
          </w:tcPr>
          <w:p w14:paraId="1521A0A5" w14:textId="77777777" w:rsidR="00D1587D" w:rsidRDefault="00D1587D">
            <w:pPr>
              <w:rPr>
                <w:sz w:val="5"/>
                <w:szCs w:val="5"/>
              </w:rPr>
            </w:pPr>
          </w:p>
        </w:tc>
        <w:tc>
          <w:tcPr>
            <w:tcW w:w="180" w:type="dxa"/>
            <w:tcBorders>
              <w:bottom w:val="single" w:sz="8" w:space="0" w:color="auto"/>
            </w:tcBorders>
            <w:shd w:val="clear" w:color="auto" w:fill="CCEEFF"/>
            <w:vAlign w:val="bottom"/>
          </w:tcPr>
          <w:p w14:paraId="461CA65E" w14:textId="77777777" w:rsidR="00D1587D" w:rsidRDefault="00D1587D">
            <w:pPr>
              <w:rPr>
                <w:sz w:val="5"/>
                <w:szCs w:val="5"/>
              </w:rPr>
            </w:pPr>
          </w:p>
        </w:tc>
        <w:tc>
          <w:tcPr>
            <w:tcW w:w="380" w:type="dxa"/>
            <w:tcBorders>
              <w:bottom w:val="single" w:sz="8" w:space="0" w:color="auto"/>
            </w:tcBorders>
            <w:shd w:val="clear" w:color="auto" w:fill="CCEEFF"/>
            <w:vAlign w:val="bottom"/>
          </w:tcPr>
          <w:p w14:paraId="5427487A" w14:textId="77777777" w:rsidR="00D1587D" w:rsidRDefault="00D1587D">
            <w:pPr>
              <w:rPr>
                <w:sz w:val="5"/>
                <w:szCs w:val="5"/>
              </w:rPr>
            </w:pPr>
          </w:p>
        </w:tc>
        <w:tc>
          <w:tcPr>
            <w:tcW w:w="60" w:type="dxa"/>
            <w:tcBorders>
              <w:bottom w:val="single" w:sz="8" w:space="0" w:color="auto"/>
            </w:tcBorders>
            <w:shd w:val="clear" w:color="auto" w:fill="CCEEFF"/>
            <w:vAlign w:val="bottom"/>
          </w:tcPr>
          <w:p w14:paraId="0214527B" w14:textId="77777777" w:rsidR="00D1587D" w:rsidRDefault="00D1587D">
            <w:pPr>
              <w:rPr>
                <w:sz w:val="5"/>
                <w:szCs w:val="5"/>
              </w:rPr>
            </w:pPr>
          </w:p>
        </w:tc>
        <w:tc>
          <w:tcPr>
            <w:tcW w:w="220" w:type="dxa"/>
            <w:tcBorders>
              <w:bottom w:val="single" w:sz="8" w:space="0" w:color="CCEEFF"/>
            </w:tcBorders>
            <w:shd w:val="clear" w:color="auto" w:fill="CCEEFF"/>
            <w:vAlign w:val="bottom"/>
          </w:tcPr>
          <w:p w14:paraId="60ACEA36" w14:textId="77777777" w:rsidR="00D1587D" w:rsidRDefault="00D1587D">
            <w:pPr>
              <w:rPr>
                <w:sz w:val="5"/>
                <w:szCs w:val="5"/>
              </w:rPr>
            </w:pPr>
          </w:p>
        </w:tc>
        <w:tc>
          <w:tcPr>
            <w:tcW w:w="140" w:type="dxa"/>
            <w:tcBorders>
              <w:bottom w:val="single" w:sz="8" w:space="0" w:color="auto"/>
            </w:tcBorders>
            <w:shd w:val="clear" w:color="auto" w:fill="CCEEFF"/>
            <w:vAlign w:val="bottom"/>
          </w:tcPr>
          <w:p w14:paraId="64A1F5EE" w14:textId="77777777" w:rsidR="00D1587D" w:rsidRDefault="00D1587D">
            <w:pPr>
              <w:rPr>
                <w:sz w:val="5"/>
                <w:szCs w:val="5"/>
              </w:rPr>
            </w:pPr>
          </w:p>
        </w:tc>
        <w:tc>
          <w:tcPr>
            <w:tcW w:w="80" w:type="dxa"/>
            <w:tcBorders>
              <w:bottom w:val="single" w:sz="8" w:space="0" w:color="auto"/>
            </w:tcBorders>
            <w:shd w:val="clear" w:color="auto" w:fill="CCEEFF"/>
            <w:vAlign w:val="bottom"/>
          </w:tcPr>
          <w:p w14:paraId="346493E9" w14:textId="77777777" w:rsidR="00D1587D" w:rsidRDefault="00D1587D">
            <w:pPr>
              <w:rPr>
                <w:sz w:val="5"/>
                <w:szCs w:val="5"/>
              </w:rPr>
            </w:pPr>
          </w:p>
        </w:tc>
        <w:tc>
          <w:tcPr>
            <w:tcW w:w="400" w:type="dxa"/>
            <w:tcBorders>
              <w:bottom w:val="single" w:sz="8" w:space="0" w:color="auto"/>
            </w:tcBorders>
            <w:shd w:val="clear" w:color="auto" w:fill="CCEEFF"/>
            <w:vAlign w:val="bottom"/>
          </w:tcPr>
          <w:p w14:paraId="118B336E" w14:textId="77777777" w:rsidR="00D1587D" w:rsidRDefault="00D1587D">
            <w:pPr>
              <w:rPr>
                <w:sz w:val="5"/>
                <w:szCs w:val="5"/>
              </w:rPr>
            </w:pPr>
          </w:p>
        </w:tc>
        <w:tc>
          <w:tcPr>
            <w:tcW w:w="220" w:type="dxa"/>
            <w:tcBorders>
              <w:bottom w:val="single" w:sz="8" w:space="0" w:color="CCEEFF"/>
            </w:tcBorders>
            <w:shd w:val="clear" w:color="auto" w:fill="CCEEFF"/>
            <w:vAlign w:val="bottom"/>
          </w:tcPr>
          <w:p w14:paraId="2440B803" w14:textId="77777777" w:rsidR="00D1587D" w:rsidRDefault="00D1587D">
            <w:pPr>
              <w:rPr>
                <w:sz w:val="5"/>
                <w:szCs w:val="5"/>
              </w:rPr>
            </w:pPr>
          </w:p>
        </w:tc>
        <w:tc>
          <w:tcPr>
            <w:tcW w:w="180" w:type="dxa"/>
            <w:tcBorders>
              <w:bottom w:val="single" w:sz="8" w:space="0" w:color="auto"/>
            </w:tcBorders>
            <w:shd w:val="clear" w:color="auto" w:fill="CCEEFF"/>
            <w:vAlign w:val="bottom"/>
          </w:tcPr>
          <w:p w14:paraId="61E015A4" w14:textId="77777777" w:rsidR="00D1587D" w:rsidRDefault="00D1587D">
            <w:pPr>
              <w:rPr>
                <w:sz w:val="5"/>
                <w:szCs w:val="5"/>
              </w:rPr>
            </w:pPr>
          </w:p>
        </w:tc>
        <w:tc>
          <w:tcPr>
            <w:tcW w:w="100" w:type="dxa"/>
            <w:tcBorders>
              <w:bottom w:val="single" w:sz="8" w:space="0" w:color="auto"/>
            </w:tcBorders>
            <w:shd w:val="clear" w:color="auto" w:fill="CCEEFF"/>
            <w:vAlign w:val="bottom"/>
          </w:tcPr>
          <w:p w14:paraId="6CAB2A83" w14:textId="77777777" w:rsidR="00D1587D" w:rsidRDefault="00D1587D">
            <w:pPr>
              <w:rPr>
                <w:sz w:val="5"/>
                <w:szCs w:val="5"/>
              </w:rPr>
            </w:pPr>
          </w:p>
        </w:tc>
        <w:tc>
          <w:tcPr>
            <w:tcW w:w="340" w:type="dxa"/>
            <w:tcBorders>
              <w:bottom w:val="single" w:sz="8" w:space="0" w:color="auto"/>
            </w:tcBorders>
            <w:shd w:val="clear" w:color="auto" w:fill="CCEEFF"/>
            <w:vAlign w:val="bottom"/>
          </w:tcPr>
          <w:p w14:paraId="7D8AE00B" w14:textId="77777777" w:rsidR="00D1587D" w:rsidRDefault="00D1587D">
            <w:pPr>
              <w:rPr>
                <w:sz w:val="5"/>
                <w:szCs w:val="5"/>
              </w:rPr>
            </w:pPr>
          </w:p>
        </w:tc>
      </w:tr>
      <w:tr w:rsidR="00D1587D" w14:paraId="3F6E8523" w14:textId="77777777">
        <w:trPr>
          <w:trHeight w:val="304"/>
        </w:trPr>
        <w:tc>
          <w:tcPr>
            <w:tcW w:w="6120" w:type="dxa"/>
            <w:gridSpan w:val="3"/>
            <w:vAlign w:val="bottom"/>
          </w:tcPr>
          <w:p w14:paraId="53C577AC" w14:textId="77777777" w:rsidR="00D1587D" w:rsidRDefault="00410D07">
            <w:pPr>
              <w:rPr>
                <w:sz w:val="20"/>
                <w:szCs w:val="20"/>
              </w:rPr>
            </w:pPr>
            <w:r>
              <w:rPr>
                <w:rFonts w:ascii="Arial" w:eastAsia="Arial" w:hAnsi="Arial" w:cs="Arial"/>
                <w:sz w:val="18"/>
                <w:szCs w:val="18"/>
              </w:rPr>
              <w:t>Net Income (Loss)</w:t>
            </w:r>
          </w:p>
        </w:tc>
        <w:tc>
          <w:tcPr>
            <w:tcW w:w="620" w:type="dxa"/>
            <w:gridSpan w:val="3"/>
            <w:vAlign w:val="bottom"/>
          </w:tcPr>
          <w:p w14:paraId="598CE630" w14:textId="77777777" w:rsidR="00D1587D" w:rsidRDefault="00410D07">
            <w:pPr>
              <w:ind w:right="20"/>
              <w:jc w:val="right"/>
              <w:rPr>
                <w:sz w:val="20"/>
                <w:szCs w:val="20"/>
              </w:rPr>
            </w:pPr>
            <w:r>
              <w:rPr>
                <w:rFonts w:ascii="Arial" w:eastAsia="Arial" w:hAnsi="Arial" w:cs="Arial"/>
                <w:sz w:val="18"/>
                <w:szCs w:val="18"/>
              </w:rPr>
              <w:t>$   (72)</w:t>
            </w:r>
          </w:p>
        </w:tc>
        <w:tc>
          <w:tcPr>
            <w:tcW w:w="220" w:type="dxa"/>
            <w:vAlign w:val="bottom"/>
          </w:tcPr>
          <w:p w14:paraId="0D679E13" w14:textId="77777777" w:rsidR="00D1587D" w:rsidRDefault="00D1587D">
            <w:pPr>
              <w:rPr>
                <w:sz w:val="24"/>
                <w:szCs w:val="24"/>
              </w:rPr>
            </w:pPr>
          </w:p>
        </w:tc>
        <w:tc>
          <w:tcPr>
            <w:tcW w:w="140" w:type="dxa"/>
            <w:vAlign w:val="bottom"/>
          </w:tcPr>
          <w:p w14:paraId="5B280230" w14:textId="77777777" w:rsidR="00D1587D" w:rsidRDefault="00410D07">
            <w:pPr>
              <w:jc w:val="right"/>
              <w:rPr>
                <w:sz w:val="20"/>
                <w:szCs w:val="20"/>
              </w:rPr>
            </w:pPr>
            <w:r>
              <w:rPr>
                <w:rFonts w:ascii="Arial" w:eastAsia="Arial" w:hAnsi="Arial" w:cs="Arial"/>
                <w:w w:val="71"/>
                <w:sz w:val="15"/>
                <w:szCs w:val="15"/>
              </w:rPr>
              <w:t>$</w:t>
            </w:r>
          </w:p>
        </w:tc>
        <w:tc>
          <w:tcPr>
            <w:tcW w:w="80" w:type="dxa"/>
            <w:vAlign w:val="bottom"/>
          </w:tcPr>
          <w:p w14:paraId="28E8C9A0" w14:textId="77777777" w:rsidR="00D1587D" w:rsidRDefault="00D1587D">
            <w:pPr>
              <w:rPr>
                <w:sz w:val="24"/>
                <w:szCs w:val="24"/>
              </w:rPr>
            </w:pPr>
          </w:p>
        </w:tc>
        <w:tc>
          <w:tcPr>
            <w:tcW w:w="400" w:type="dxa"/>
            <w:vAlign w:val="bottom"/>
          </w:tcPr>
          <w:p w14:paraId="058BBEF8" w14:textId="77777777" w:rsidR="00D1587D" w:rsidRDefault="00410D07">
            <w:pPr>
              <w:jc w:val="right"/>
              <w:rPr>
                <w:sz w:val="20"/>
                <w:szCs w:val="20"/>
              </w:rPr>
            </w:pPr>
            <w:r>
              <w:rPr>
                <w:rFonts w:ascii="Arial" w:eastAsia="Arial" w:hAnsi="Arial" w:cs="Arial"/>
                <w:w w:val="90"/>
                <w:sz w:val="18"/>
                <w:szCs w:val="18"/>
              </w:rPr>
              <w:t>(897)</w:t>
            </w:r>
          </w:p>
        </w:tc>
        <w:tc>
          <w:tcPr>
            <w:tcW w:w="220" w:type="dxa"/>
            <w:vAlign w:val="bottom"/>
          </w:tcPr>
          <w:p w14:paraId="5D29DA47" w14:textId="77777777" w:rsidR="00D1587D" w:rsidRDefault="00D1587D">
            <w:pPr>
              <w:rPr>
                <w:sz w:val="24"/>
                <w:szCs w:val="24"/>
              </w:rPr>
            </w:pPr>
          </w:p>
        </w:tc>
        <w:tc>
          <w:tcPr>
            <w:tcW w:w="180" w:type="dxa"/>
            <w:vAlign w:val="bottom"/>
          </w:tcPr>
          <w:p w14:paraId="29A7B9C0" w14:textId="77777777" w:rsidR="00D1587D" w:rsidRDefault="00410D07">
            <w:pPr>
              <w:ind w:right="15"/>
              <w:jc w:val="right"/>
              <w:rPr>
                <w:sz w:val="20"/>
                <w:szCs w:val="20"/>
              </w:rPr>
            </w:pPr>
            <w:r>
              <w:rPr>
                <w:rFonts w:ascii="Arial" w:eastAsia="Arial" w:hAnsi="Arial" w:cs="Arial"/>
                <w:w w:val="71"/>
                <w:sz w:val="15"/>
                <w:szCs w:val="15"/>
              </w:rPr>
              <w:t>$</w:t>
            </w:r>
          </w:p>
        </w:tc>
        <w:tc>
          <w:tcPr>
            <w:tcW w:w="100" w:type="dxa"/>
            <w:vAlign w:val="bottom"/>
          </w:tcPr>
          <w:p w14:paraId="228DBA11" w14:textId="77777777" w:rsidR="00D1587D" w:rsidRDefault="00D1587D">
            <w:pPr>
              <w:rPr>
                <w:sz w:val="24"/>
                <w:szCs w:val="24"/>
              </w:rPr>
            </w:pPr>
          </w:p>
        </w:tc>
        <w:tc>
          <w:tcPr>
            <w:tcW w:w="340" w:type="dxa"/>
            <w:vAlign w:val="bottom"/>
          </w:tcPr>
          <w:p w14:paraId="3227E44F" w14:textId="77777777" w:rsidR="00D1587D" w:rsidRDefault="00410D07">
            <w:pPr>
              <w:jc w:val="right"/>
              <w:rPr>
                <w:sz w:val="20"/>
                <w:szCs w:val="20"/>
              </w:rPr>
            </w:pPr>
            <w:r>
              <w:rPr>
                <w:rFonts w:ascii="Arial" w:eastAsia="Arial" w:hAnsi="Arial" w:cs="Arial"/>
                <w:w w:val="79"/>
                <w:sz w:val="18"/>
                <w:szCs w:val="18"/>
              </w:rPr>
              <w:t>251</w:t>
            </w:r>
          </w:p>
        </w:tc>
      </w:tr>
      <w:tr w:rsidR="00D1587D" w14:paraId="29FD8CBE" w14:textId="77777777">
        <w:trPr>
          <w:trHeight w:val="27"/>
        </w:trPr>
        <w:tc>
          <w:tcPr>
            <w:tcW w:w="6020" w:type="dxa"/>
            <w:vAlign w:val="bottom"/>
          </w:tcPr>
          <w:p w14:paraId="0DF672C6" w14:textId="77777777" w:rsidR="00D1587D" w:rsidRDefault="00D1587D">
            <w:pPr>
              <w:rPr>
                <w:sz w:val="2"/>
                <w:szCs w:val="2"/>
              </w:rPr>
            </w:pPr>
          </w:p>
        </w:tc>
        <w:tc>
          <w:tcPr>
            <w:tcW w:w="80" w:type="dxa"/>
            <w:vAlign w:val="bottom"/>
          </w:tcPr>
          <w:p w14:paraId="429DCE5A" w14:textId="77777777" w:rsidR="00D1587D" w:rsidRDefault="00D1587D">
            <w:pPr>
              <w:rPr>
                <w:sz w:val="2"/>
                <w:szCs w:val="2"/>
              </w:rPr>
            </w:pPr>
          </w:p>
        </w:tc>
        <w:tc>
          <w:tcPr>
            <w:tcW w:w="20" w:type="dxa"/>
            <w:vAlign w:val="bottom"/>
          </w:tcPr>
          <w:p w14:paraId="3B0223EB" w14:textId="77777777" w:rsidR="00D1587D" w:rsidRDefault="00D1587D">
            <w:pPr>
              <w:rPr>
                <w:sz w:val="2"/>
                <w:szCs w:val="2"/>
              </w:rPr>
            </w:pPr>
          </w:p>
        </w:tc>
        <w:tc>
          <w:tcPr>
            <w:tcW w:w="180" w:type="dxa"/>
            <w:tcBorders>
              <w:bottom w:val="single" w:sz="8" w:space="0" w:color="auto"/>
            </w:tcBorders>
            <w:vAlign w:val="bottom"/>
          </w:tcPr>
          <w:p w14:paraId="5C28C450" w14:textId="77777777" w:rsidR="00D1587D" w:rsidRDefault="00D1587D">
            <w:pPr>
              <w:rPr>
                <w:sz w:val="2"/>
                <w:szCs w:val="2"/>
              </w:rPr>
            </w:pPr>
          </w:p>
        </w:tc>
        <w:tc>
          <w:tcPr>
            <w:tcW w:w="380" w:type="dxa"/>
            <w:tcBorders>
              <w:bottom w:val="single" w:sz="8" w:space="0" w:color="auto"/>
            </w:tcBorders>
            <w:vAlign w:val="bottom"/>
          </w:tcPr>
          <w:p w14:paraId="23001804" w14:textId="77777777" w:rsidR="00D1587D" w:rsidRDefault="00D1587D">
            <w:pPr>
              <w:rPr>
                <w:sz w:val="2"/>
                <w:szCs w:val="2"/>
              </w:rPr>
            </w:pPr>
          </w:p>
        </w:tc>
        <w:tc>
          <w:tcPr>
            <w:tcW w:w="60" w:type="dxa"/>
            <w:tcBorders>
              <w:bottom w:val="single" w:sz="8" w:space="0" w:color="auto"/>
            </w:tcBorders>
            <w:vAlign w:val="bottom"/>
          </w:tcPr>
          <w:p w14:paraId="55A61AF5" w14:textId="77777777" w:rsidR="00D1587D" w:rsidRDefault="00D1587D">
            <w:pPr>
              <w:rPr>
                <w:sz w:val="2"/>
                <w:szCs w:val="2"/>
              </w:rPr>
            </w:pPr>
          </w:p>
        </w:tc>
        <w:tc>
          <w:tcPr>
            <w:tcW w:w="220" w:type="dxa"/>
            <w:vAlign w:val="bottom"/>
          </w:tcPr>
          <w:p w14:paraId="60650A1C" w14:textId="77777777" w:rsidR="00D1587D" w:rsidRDefault="00D1587D">
            <w:pPr>
              <w:rPr>
                <w:sz w:val="2"/>
                <w:szCs w:val="2"/>
              </w:rPr>
            </w:pPr>
          </w:p>
        </w:tc>
        <w:tc>
          <w:tcPr>
            <w:tcW w:w="140" w:type="dxa"/>
            <w:tcBorders>
              <w:bottom w:val="single" w:sz="8" w:space="0" w:color="auto"/>
            </w:tcBorders>
            <w:vAlign w:val="bottom"/>
          </w:tcPr>
          <w:p w14:paraId="1F41BD99" w14:textId="77777777" w:rsidR="00D1587D" w:rsidRDefault="00D1587D">
            <w:pPr>
              <w:rPr>
                <w:sz w:val="2"/>
                <w:szCs w:val="2"/>
              </w:rPr>
            </w:pPr>
          </w:p>
        </w:tc>
        <w:tc>
          <w:tcPr>
            <w:tcW w:w="80" w:type="dxa"/>
            <w:tcBorders>
              <w:bottom w:val="single" w:sz="8" w:space="0" w:color="auto"/>
            </w:tcBorders>
            <w:vAlign w:val="bottom"/>
          </w:tcPr>
          <w:p w14:paraId="38135FDD" w14:textId="77777777" w:rsidR="00D1587D" w:rsidRDefault="00D1587D">
            <w:pPr>
              <w:rPr>
                <w:sz w:val="2"/>
                <w:szCs w:val="2"/>
              </w:rPr>
            </w:pPr>
          </w:p>
        </w:tc>
        <w:tc>
          <w:tcPr>
            <w:tcW w:w="400" w:type="dxa"/>
            <w:tcBorders>
              <w:bottom w:val="single" w:sz="8" w:space="0" w:color="auto"/>
            </w:tcBorders>
            <w:vAlign w:val="bottom"/>
          </w:tcPr>
          <w:p w14:paraId="5A516D7C" w14:textId="77777777" w:rsidR="00D1587D" w:rsidRDefault="00D1587D">
            <w:pPr>
              <w:rPr>
                <w:sz w:val="2"/>
                <w:szCs w:val="2"/>
              </w:rPr>
            </w:pPr>
          </w:p>
        </w:tc>
        <w:tc>
          <w:tcPr>
            <w:tcW w:w="220" w:type="dxa"/>
            <w:vAlign w:val="bottom"/>
          </w:tcPr>
          <w:p w14:paraId="00E223D7" w14:textId="77777777" w:rsidR="00D1587D" w:rsidRDefault="00D1587D">
            <w:pPr>
              <w:rPr>
                <w:sz w:val="2"/>
                <w:szCs w:val="2"/>
              </w:rPr>
            </w:pPr>
          </w:p>
        </w:tc>
        <w:tc>
          <w:tcPr>
            <w:tcW w:w="180" w:type="dxa"/>
            <w:tcBorders>
              <w:bottom w:val="single" w:sz="8" w:space="0" w:color="auto"/>
            </w:tcBorders>
            <w:vAlign w:val="bottom"/>
          </w:tcPr>
          <w:p w14:paraId="7E8590E5" w14:textId="77777777" w:rsidR="00D1587D" w:rsidRDefault="00D1587D">
            <w:pPr>
              <w:rPr>
                <w:sz w:val="2"/>
                <w:szCs w:val="2"/>
              </w:rPr>
            </w:pPr>
          </w:p>
        </w:tc>
        <w:tc>
          <w:tcPr>
            <w:tcW w:w="100" w:type="dxa"/>
            <w:tcBorders>
              <w:bottom w:val="single" w:sz="8" w:space="0" w:color="auto"/>
            </w:tcBorders>
            <w:vAlign w:val="bottom"/>
          </w:tcPr>
          <w:p w14:paraId="65149E52" w14:textId="77777777" w:rsidR="00D1587D" w:rsidRDefault="00D1587D">
            <w:pPr>
              <w:rPr>
                <w:sz w:val="2"/>
                <w:szCs w:val="2"/>
              </w:rPr>
            </w:pPr>
          </w:p>
        </w:tc>
        <w:tc>
          <w:tcPr>
            <w:tcW w:w="340" w:type="dxa"/>
            <w:tcBorders>
              <w:bottom w:val="single" w:sz="8" w:space="0" w:color="auto"/>
            </w:tcBorders>
            <w:vAlign w:val="bottom"/>
          </w:tcPr>
          <w:p w14:paraId="630AA234" w14:textId="77777777" w:rsidR="00D1587D" w:rsidRDefault="00D1587D">
            <w:pPr>
              <w:rPr>
                <w:sz w:val="2"/>
                <w:szCs w:val="2"/>
              </w:rPr>
            </w:pPr>
          </w:p>
        </w:tc>
      </w:tr>
      <w:tr w:rsidR="00D1587D" w14:paraId="33A30773" w14:textId="77777777">
        <w:trPr>
          <w:trHeight w:val="21"/>
        </w:trPr>
        <w:tc>
          <w:tcPr>
            <w:tcW w:w="6020" w:type="dxa"/>
            <w:vAlign w:val="bottom"/>
          </w:tcPr>
          <w:p w14:paraId="7F0D256B" w14:textId="77777777" w:rsidR="00D1587D" w:rsidRDefault="00D1587D">
            <w:pPr>
              <w:spacing w:line="20" w:lineRule="exact"/>
              <w:rPr>
                <w:sz w:val="1"/>
                <w:szCs w:val="1"/>
              </w:rPr>
            </w:pPr>
          </w:p>
        </w:tc>
        <w:tc>
          <w:tcPr>
            <w:tcW w:w="80" w:type="dxa"/>
            <w:vAlign w:val="bottom"/>
          </w:tcPr>
          <w:p w14:paraId="36617641" w14:textId="77777777" w:rsidR="00D1587D" w:rsidRDefault="00D1587D">
            <w:pPr>
              <w:spacing w:line="20" w:lineRule="exact"/>
              <w:rPr>
                <w:sz w:val="1"/>
                <w:szCs w:val="1"/>
              </w:rPr>
            </w:pPr>
          </w:p>
        </w:tc>
        <w:tc>
          <w:tcPr>
            <w:tcW w:w="20" w:type="dxa"/>
            <w:vAlign w:val="bottom"/>
          </w:tcPr>
          <w:p w14:paraId="5402632B" w14:textId="77777777" w:rsidR="00D1587D" w:rsidRDefault="00D1587D">
            <w:pPr>
              <w:spacing w:line="20" w:lineRule="exact"/>
              <w:rPr>
                <w:sz w:val="1"/>
                <w:szCs w:val="1"/>
              </w:rPr>
            </w:pPr>
          </w:p>
        </w:tc>
        <w:tc>
          <w:tcPr>
            <w:tcW w:w="180" w:type="dxa"/>
            <w:tcBorders>
              <w:bottom w:val="single" w:sz="8" w:space="0" w:color="auto"/>
            </w:tcBorders>
            <w:vAlign w:val="bottom"/>
          </w:tcPr>
          <w:p w14:paraId="7AA3545D" w14:textId="77777777" w:rsidR="00D1587D" w:rsidRDefault="00D1587D">
            <w:pPr>
              <w:spacing w:line="20" w:lineRule="exact"/>
              <w:rPr>
                <w:sz w:val="1"/>
                <w:szCs w:val="1"/>
              </w:rPr>
            </w:pPr>
          </w:p>
        </w:tc>
        <w:tc>
          <w:tcPr>
            <w:tcW w:w="380" w:type="dxa"/>
            <w:tcBorders>
              <w:bottom w:val="single" w:sz="8" w:space="0" w:color="auto"/>
            </w:tcBorders>
            <w:vAlign w:val="bottom"/>
          </w:tcPr>
          <w:p w14:paraId="66E87BA1" w14:textId="77777777" w:rsidR="00D1587D" w:rsidRDefault="00D1587D">
            <w:pPr>
              <w:spacing w:line="20" w:lineRule="exact"/>
              <w:rPr>
                <w:sz w:val="1"/>
                <w:szCs w:val="1"/>
              </w:rPr>
            </w:pPr>
          </w:p>
        </w:tc>
        <w:tc>
          <w:tcPr>
            <w:tcW w:w="60" w:type="dxa"/>
            <w:tcBorders>
              <w:bottom w:val="single" w:sz="8" w:space="0" w:color="auto"/>
            </w:tcBorders>
            <w:vAlign w:val="bottom"/>
          </w:tcPr>
          <w:p w14:paraId="7FDBB576" w14:textId="77777777" w:rsidR="00D1587D" w:rsidRDefault="00D1587D">
            <w:pPr>
              <w:spacing w:line="20" w:lineRule="exact"/>
              <w:rPr>
                <w:sz w:val="1"/>
                <w:szCs w:val="1"/>
              </w:rPr>
            </w:pPr>
          </w:p>
        </w:tc>
        <w:tc>
          <w:tcPr>
            <w:tcW w:w="220" w:type="dxa"/>
            <w:vAlign w:val="bottom"/>
          </w:tcPr>
          <w:p w14:paraId="2ACD783D" w14:textId="77777777" w:rsidR="00D1587D" w:rsidRDefault="00D1587D">
            <w:pPr>
              <w:spacing w:line="20" w:lineRule="exact"/>
              <w:rPr>
                <w:sz w:val="1"/>
                <w:szCs w:val="1"/>
              </w:rPr>
            </w:pPr>
          </w:p>
        </w:tc>
        <w:tc>
          <w:tcPr>
            <w:tcW w:w="140" w:type="dxa"/>
            <w:tcBorders>
              <w:bottom w:val="single" w:sz="8" w:space="0" w:color="auto"/>
            </w:tcBorders>
            <w:vAlign w:val="bottom"/>
          </w:tcPr>
          <w:p w14:paraId="278A861E" w14:textId="77777777" w:rsidR="00D1587D" w:rsidRDefault="00D1587D">
            <w:pPr>
              <w:spacing w:line="20" w:lineRule="exact"/>
              <w:rPr>
                <w:sz w:val="1"/>
                <w:szCs w:val="1"/>
              </w:rPr>
            </w:pPr>
          </w:p>
        </w:tc>
        <w:tc>
          <w:tcPr>
            <w:tcW w:w="80" w:type="dxa"/>
            <w:tcBorders>
              <w:bottom w:val="single" w:sz="8" w:space="0" w:color="auto"/>
            </w:tcBorders>
            <w:vAlign w:val="bottom"/>
          </w:tcPr>
          <w:p w14:paraId="0847EB18" w14:textId="77777777" w:rsidR="00D1587D" w:rsidRDefault="00D1587D">
            <w:pPr>
              <w:spacing w:line="20" w:lineRule="exact"/>
              <w:rPr>
                <w:sz w:val="1"/>
                <w:szCs w:val="1"/>
              </w:rPr>
            </w:pPr>
          </w:p>
        </w:tc>
        <w:tc>
          <w:tcPr>
            <w:tcW w:w="400" w:type="dxa"/>
            <w:tcBorders>
              <w:bottom w:val="single" w:sz="8" w:space="0" w:color="auto"/>
            </w:tcBorders>
            <w:vAlign w:val="bottom"/>
          </w:tcPr>
          <w:p w14:paraId="4A12A20E" w14:textId="77777777" w:rsidR="00D1587D" w:rsidRDefault="00D1587D">
            <w:pPr>
              <w:spacing w:line="20" w:lineRule="exact"/>
              <w:rPr>
                <w:sz w:val="1"/>
                <w:szCs w:val="1"/>
              </w:rPr>
            </w:pPr>
          </w:p>
        </w:tc>
        <w:tc>
          <w:tcPr>
            <w:tcW w:w="220" w:type="dxa"/>
            <w:vAlign w:val="bottom"/>
          </w:tcPr>
          <w:p w14:paraId="47DFBE9D" w14:textId="77777777" w:rsidR="00D1587D" w:rsidRDefault="00D1587D">
            <w:pPr>
              <w:spacing w:line="20" w:lineRule="exact"/>
              <w:rPr>
                <w:sz w:val="1"/>
                <w:szCs w:val="1"/>
              </w:rPr>
            </w:pPr>
          </w:p>
        </w:tc>
        <w:tc>
          <w:tcPr>
            <w:tcW w:w="180" w:type="dxa"/>
            <w:tcBorders>
              <w:bottom w:val="single" w:sz="8" w:space="0" w:color="auto"/>
            </w:tcBorders>
            <w:vAlign w:val="bottom"/>
          </w:tcPr>
          <w:p w14:paraId="6DA06A78" w14:textId="77777777" w:rsidR="00D1587D" w:rsidRDefault="00D1587D">
            <w:pPr>
              <w:spacing w:line="20" w:lineRule="exact"/>
              <w:rPr>
                <w:sz w:val="1"/>
                <w:szCs w:val="1"/>
              </w:rPr>
            </w:pPr>
          </w:p>
        </w:tc>
        <w:tc>
          <w:tcPr>
            <w:tcW w:w="100" w:type="dxa"/>
            <w:tcBorders>
              <w:bottom w:val="single" w:sz="8" w:space="0" w:color="auto"/>
            </w:tcBorders>
            <w:vAlign w:val="bottom"/>
          </w:tcPr>
          <w:p w14:paraId="3E216AD7" w14:textId="77777777" w:rsidR="00D1587D" w:rsidRDefault="00D1587D">
            <w:pPr>
              <w:spacing w:line="20" w:lineRule="exact"/>
              <w:rPr>
                <w:sz w:val="1"/>
                <w:szCs w:val="1"/>
              </w:rPr>
            </w:pPr>
          </w:p>
        </w:tc>
        <w:tc>
          <w:tcPr>
            <w:tcW w:w="340" w:type="dxa"/>
            <w:tcBorders>
              <w:bottom w:val="single" w:sz="8" w:space="0" w:color="auto"/>
            </w:tcBorders>
            <w:vAlign w:val="bottom"/>
          </w:tcPr>
          <w:p w14:paraId="230C8DA7" w14:textId="77777777" w:rsidR="00D1587D" w:rsidRDefault="00D1587D">
            <w:pPr>
              <w:spacing w:line="20" w:lineRule="exact"/>
              <w:rPr>
                <w:sz w:val="1"/>
                <w:szCs w:val="1"/>
              </w:rPr>
            </w:pPr>
          </w:p>
        </w:tc>
      </w:tr>
      <w:tr w:rsidR="00D1587D" w14:paraId="26117A95" w14:textId="77777777">
        <w:trPr>
          <w:trHeight w:val="515"/>
        </w:trPr>
        <w:tc>
          <w:tcPr>
            <w:tcW w:w="6960" w:type="dxa"/>
            <w:gridSpan w:val="7"/>
            <w:vAlign w:val="bottom"/>
          </w:tcPr>
          <w:p w14:paraId="1061A112" w14:textId="77777777" w:rsidR="00D1587D" w:rsidRDefault="00410D07">
            <w:pPr>
              <w:ind w:left="1310"/>
              <w:jc w:val="center"/>
              <w:rPr>
                <w:sz w:val="20"/>
                <w:szCs w:val="20"/>
              </w:rPr>
            </w:pPr>
            <w:r>
              <w:rPr>
                <w:rFonts w:ascii="Arial" w:eastAsia="Arial" w:hAnsi="Arial" w:cs="Arial"/>
                <w:b/>
                <w:bCs/>
                <w:w w:val="98"/>
                <w:sz w:val="18"/>
                <w:szCs w:val="18"/>
              </w:rPr>
              <w:t>VICTORIA’S SECRET BUSINESS OF L BRANDS, INC.</w:t>
            </w:r>
          </w:p>
        </w:tc>
        <w:tc>
          <w:tcPr>
            <w:tcW w:w="140" w:type="dxa"/>
            <w:vAlign w:val="bottom"/>
          </w:tcPr>
          <w:p w14:paraId="0C6CDE4C" w14:textId="77777777" w:rsidR="00D1587D" w:rsidRDefault="00D1587D">
            <w:pPr>
              <w:rPr>
                <w:sz w:val="24"/>
                <w:szCs w:val="24"/>
              </w:rPr>
            </w:pPr>
          </w:p>
        </w:tc>
        <w:tc>
          <w:tcPr>
            <w:tcW w:w="80" w:type="dxa"/>
            <w:vAlign w:val="bottom"/>
          </w:tcPr>
          <w:p w14:paraId="4798CA46" w14:textId="77777777" w:rsidR="00D1587D" w:rsidRDefault="00D1587D">
            <w:pPr>
              <w:rPr>
                <w:sz w:val="24"/>
                <w:szCs w:val="24"/>
              </w:rPr>
            </w:pPr>
          </w:p>
        </w:tc>
        <w:tc>
          <w:tcPr>
            <w:tcW w:w="400" w:type="dxa"/>
            <w:vAlign w:val="bottom"/>
          </w:tcPr>
          <w:p w14:paraId="4B94AFE7" w14:textId="77777777" w:rsidR="00D1587D" w:rsidRDefault="00D1587D">
            <w:pPr>
              <w:rPr>
                <w:sz w:val="24"/>
                <w:szCs w:val="24"/>
              </w:rPr>
            </w:pPr>
          </w:p>
        </w:tc>
        <w:tc>
          <w:tcPr>
            <w:tcW w:w="220" w:type="dxa"/>
            <w:vAlign w:val="bottom"/>
          </w:tcPr>
          <w:p w14:paraId="222D0DE8" w14:textId="77777777" w:rsidR="00D1587D" w:rsidRDefault="00D1587D">
            <w:pPr>
              <w:rPr>
                <w:sz w:val="24"/>
                <w:szCs w:val="24"/>
              </w:rPr>
            </w:pPr>
          </w:p>
        </w:tc>
        <w:tc>
          <w:tcPr>
            <w:tcW w:w="180" w:type="dxa"/>
            <w:vAlign w:val="bottom"/>
          </w:tcPr>
          <w:p w14:paraId="357B40B8" w14:textId="77777777" w:rsidR="00D1587D" w:rsidRDefault="00D1587D">
            <w:pPr>
              <w:rPr>
                <w:sz w:val="24"/>
                <w:szCs w:val="24"/>
              </w:rPr>
            </w:pPr>
          </w:p>
        </w:tc>
        <w:tc>
          <w:tcPr>
            <w:tcW w:w="100" w:type="dxa"/>
            <w:vAlign w:val="bottom"/>
          </w:tcPr>
          <w:p w14:paraId="546E989A" w14:textId="77777777" w:rsidR="00D1587D" w:rsidRDefault="00D1587D">
            <w:pPr>
              <w:rPr>
                <w:sz w:val="24"/>
                <w:szCs w:val="24"/>
              </w:rPr>
            </w:pPr>
          </w:p>
        </w:tc>
        <w:tc>
          <w:tcPr>
            <w:tcW w:w="340" w:type="dxa"/>
            <w:vAlign w:val="bottom"/>
          </w:tcPr>
          <w:p w14:paraId="31E129E8" w14:textId="77777777" w:rsidR="00D1587D" w:rsidRDefault="00D1587D">
            <w:pPr>
              <w:rPr>
                <w:sz w:val="24"/>
                <w:szCs w:val="24"/>
              </w:rPr>
            </w:pPr>
          </w:p>
        </w:tc>
      </w:tr>
      <w:tr w:rsidR="00D1587D" w14:paraId="00F41F20" w14:textId="77777777">
        <w:trPr>
          <w:trHeight w:val="234"/>
        </w:trPr>
        <w:tc>
          <w:tcPr>
            <w:tcW w:w="7180" w:type="dxa"/>
            <w:gridSpan w:val="9"/>
            <w:vAlign w:val="bottom"/>
          </w:tcPr>
          <w:p w14:paraId="07985CAE" w14:textId="77777777" w:rsidR="00D1587D" w:rsidRDefault="00410D07">
            <w:pPr>
              <w:ind w:left="1130"/>
              <w:jc w:val="center"/>
              <w:rPr>
                <w:sz w:val="20"/>
                <w:szCs w:val="20"/>
              </w:rPr>
            </w:pPr>
            <w:r>
              <w:rPr>
                <w:rFonts w:ascii="Arial" w:eastAsia="Arial" w:hAnsi="Arial" w:cs="Arial"/>
                <w:b/>
                <w:bCs/>
                <w:sz w:val="18"/>
                <w:szCs w:val="18"/>
              </w:rPr>
              <w:t xml:space="preserve">COMBINED </w:t>
            </w:r>
            <w:r>
              <w:rPr>
                <w:rFonts w:ascii="Arial" w:eastAsia="Arial" w:hAnsi="Arial" w:cs="Arial"/>
                <w:b/>
                <w:bCs/>
                <w:sz w:val="18"/>
                <w:szCs w:val="18"/>
              </w:rPr>
              <w:t>STATEMENTS OF COMPREHENSIVE INCOME (LOSS)</w:t>
            </w:r>
          </w:p>
        </w:tc>
        <w:tc>
          <w:tcPr>
            <w:tcW w:w="400" w:type="dxa"/>
            <w:vAlign w:val="bottom"/>
          </w:tcPr>
          <w:p w14:paraId="7B283BAD" w14:textId="77777777" w:rsidR="00D1587D" w:rsidRDefault="00D1587D">
            <w:pPr>
              <w:rPr>
                <w:sz w:val="20"/>
                <w:szCs w:val="20"/>
              </w:rPr>
            </w:pPr>
          </w:p>
        </w:tc>
        <w:tc>
          <w:tcPr>
            <w:tcW w:w="220" w:type="dxa"/>
            <w:vAlign w:val="bottom"/>
          </w:tcPr>
          <w:p w14:paraId="51864C17" w14:textId="77777777" w:rsidR="00D1587D" w:rsidRDefault="00D1587D">
            <w:pPr>
              <w:rPr>
                <w:sz w:val="20"/>
                <w:szCs w:val="20"/>
              </w:rPr>
            </w:pPr>
          </w:p>
        </w:tc>
        <w:tc>
          <w:tcPr>
            <w:tcW w:w="180" w:type="dxa"/>
            <w:vAlign w:val="bottom"/>
          </w:tcPr>
          <w:p w14:paraId="2821EC18" w14:textId="77777777" w:rsidR="00D1587D" w:rsidRDefault="00D1587D">
            <w:pPr>
              <w:rPr>
                <w:sz w:val="20"/>
                <w:szCs w:val="20"/>
              </w:rPr>
            </w:pPr>
          </w:p>
        </w:tc>
        <w:tc>
          <w:tcPr>
            <w:tcW w:w="100" w:type="dxa"/>
            <w:vAlign w:val="bottom"/>
          </w:tcPr>
          <w:p w14:paraId="386B111D" w14:textId="77777777" w:rsidR="00D1587D" w:rsidRDefault="00D1587D">
            <w:pPr>
              <w:rPr>
                <w:sz w:val="20"/>
                <w:szCs w:val="20"/>
              </w:rPr>
            </w:pPr>
          </w:p>
        </w:tc>
        <w:tc>
          <w:tcPr>
            <w:tcW w:w="340" w:type="dxa"/>
            <w:vAlign w:val="bottom"/>
          </w:tcPr>
          <w:p w14:paraId="7E7C4871" w14:textId="77777777" w:rsidR="00D1587D" w:rsidRDefault="00D1587D">
            <w:pPr>
              <w:rPr>
                <w:sz w:val="20"/>
                <w:szCs w:val="20"/>
              </w:rPr>
            </w:pPr>
          </w:p>
        </w:tc>
      </w:tr>
      <w:tr w:rsidR="00D1587D" w14:paraId="5FCF77DF" w14:textId="77777777">
        <w:trPr>
          <w:trHeight w:val="432"/>
        </w:trPr>
        <w:tc>
          <w:tcPr>
            <w:tcW w:w="6120" w:type="dxa"/>
            <w:gridSpan w:val="3"/>
            <w:vAlign w:val="bottom"/>
          </w:tcPr>
          <w:p w14:paraId="305ABCB5" w14:textId="77777777" w:rsidR="00D1587D" w:rsidRDefault="00410D07">
            <w:pPr>
              <w:ind w:left="2190"/>
              <w:jc w:val="center"/>
              <w:rPr>
                <w:sz w:val="20"/>
                <w:szCs w:val="20"/>
              </w:rPr>
            </w:pPr>
            <w:r>
              <w:rPr>
                <w:rFonts w:ascii="Arial" w:eastAsia="Arial" w:hAnsi="Arial" w:cs="Arial"/>
                <w:b/>
                <w:bCs/>
                <w:w w:val="91"/>
                <w:sz w:val="18"/>
                <w:szCs w:val="18"/>
              </w:rPr>
              <w:t>(in millions)</w:t>
            </w:r>
          </w:p>
        </w:tc>
        <w:tc>
          <w:tcPr>
            <w:tcW w:w="180" w:type="dxa"/>
            <w:vAlign w:val="bottom"/>
          </w:tcPr>
          <w:p w14:paraId="24063A6F" w14:textId="77777777" w:rsidR="00D1587D" w:rsidRDefault="00D1587D">
            <w:pPr>
              <w:rPr>
                <w:sz w:val="24"/>
                <w:szCs w:val="24"/>
              </w:rPr>
            </w:pPr>
          </w:p>
        </w:tc>
        <w:tc>
          <w:tcPr>
            <w:tcW w:w="380" w:type="dxa"/>
            <w:vAlign w:val="bottom"/>
          </w:tcPr>
          <w:p w14:paraId="1DFC68AA" w14:textId="77777777" w:rsidR="00D1587D" w:rsidRDefault="00D1587D">
            <w:pPr>
              <w:rPr>
                <w:sz w:val="24"/>
                <w:szCs w:val="24"/>
              </w:rPr>
            </w:pPr>
          </w:p>
        </w:tc>
        <w:tc>
          <w:tcPr>
            <w:tcW w:w="60" w:type="dxa"/>
            <w:vAlign w:val="bottom"/>
          </w:tcPr>
          <w:p w14:paraId="774803A7" w14:textId="77777777" w:rsidR="00D1587D" w:rsidRDefault="00D1587D">
            <w:pPr>
              <w:rPr>
                <w:sz w:val="24"/>
                <w:szCs w:val="24"/>
              </w:rPr>
            </w:pPr>
          </w:p>
        </w:tc>
        <w:tc>
          <w:tcPr>
            <w:tcW w:w="220" w:type="dxa"/>
            <w:vAlign w:val="bottom"/>
          </w:tcPr>
          <w:p w14:paraId="20C12793" w14:textId="77777777" w:rsidR="00D1587D" w:rsidRDefault="00D1587D">
            <w:pPr>
              <w:rPr>
                <w:sz w:val="24"/>
                <w:szCs w:val="24"/>
              </w:rPr>
            </w:pPr>
          </w:p>
        </w:tc>
        <w:tc>
          <w:tcPr>
            <w:tcW w:w="140" w:type="dxa"/>
            <w:vAlign w:val="bottom"/>
          </w:tcPr>
          <w:p w14:paraId="2D18050D" w14:textId="77777777" w:rsidR="00D1587D" w:rsidRDefault="00D1587D">
            <w:pPr>
              <w:rPr>
                <w:sz w:val="24"/>
                <w:szCs w:val="24"/>
              </w:rPr>
            </w:pPr>
          </w:p>
        </w:tc>
        <w:tc>
          <w:tcPr>
            <w:tcW w:w="80" w:type="dxa"/>
            <w:vAlign w:val="bottom"/>
          </w:tcPr>
          <w:p w14:paraId="0D86849D" w14:textId="77777777" w:rsidR="00D1587D" w:rsidRDefault="00D1587D">
            <w:pPr>
              <w:rPr>
                <w:sz w:val="24"/>
                <w:szCs w:val="24"/>
              </w:rPr>
            </w:pPr>
          </w:p>
        </w:tc>
        <w:tc>
          <w:tcPr>
            <w:tcW w:w="400" w:type="dxa"/>
            <w:vAlign w:val="bottom"/>
          </w:tcPr>
          <w:p w14:paraId="7C9A3A0C" w14:textId="77777777" w:rsidR="00D1587D" w:rsidRDefault="00D1587D">
            <w:pPr>
              <w:rPr>
                <w:sz w:val="24"/>
                <w:szCs w:val="24"/>
              </w:rPr>
            </w:pPr>
          </w:p>
        </w:tc>
        <w:tc>
          <w:tcPr>
            <w:tcW w:w="220" w:type="dxa"/>
            <w:vAlign w:val="bottom"/>
          </w:tcPr>
          <w:p w14:paraId="43B1D558" w14:textId="77777777" w:rsidR="00D1587D" w:rsidRDefault="00D1587D">
            <w:pPr>
              <w:rPr>
                <w:sz w:val="24"/>
                <w:szCs w:val="24"/>
              </w:rPr>
            </w:pPr>
          </w:p>
        </w:tc>
        <w:tc>
          <w:tcPr>
            <w:tcW w:w="180" w:type="dxa"/>
            <w:vAlign w:val="bottom"/>
          </w:tcPr>
          <w:p w14:paraId="18527BE5" w14:textId="77777777" w:rsidR="00D1587D" w:rsidRDefault="00D1587D">
            <w:pPr>
              <w:rPr>
                <w:sz w:val="24"/>
                <w:szCs w:val="24"/>
              </w:rPr>
            </w:pPr>
          </w:p>
        </w:tc>
        <w:tc>
          <w:tcPr>
            <w:tcW w:w="100" w:type="dxa"/>
            <w:vAlign w:val="bottom"/>
          </w:tcPr>
          <w:p w14:paraId="2F67BB63" w14:textId="77777777" w:rsidR="00D1587D" w:rsidRDefault="00D1587D">
            <w:pPr>
              <w:rPr>
                <w:sz w:val="24"/>
                <w:szCs w:val="24"/>
              </w:rPr>
            </w:pPr>
          </w:p>
        </w:tc>
        <w:tc>
          <w:tcPr>
            <w:tcW w:w="340" w:type="dxa"/>
            <w:vAlign w:val="bottom"/>
          </w:tcPr>
          <w:p w14:paraId="398C8B79" w14:textId="77777777" w:rsidR="00D1587D" w:rsidRDefault="00D1587D">
            <w:pPr>
              <w:rPr>
                <w:sz w:val="24"/>
                <w:szCs w:val="24"/>
              </w:rPr>
            </w:pPr>
          </w:p>
        </w:tc>
      </w:tr>
      <w:tr w:rsidR="00D1587D" w14:paraId="1B4C7FD7" w14:textId="77777777">
        <w:trPr>
          <w:trHeight w:val="352"/>
        </w:trPr>
        <w:tc>
          <w:tcPr>
            <w:tcW w:w="6020" w:type="dxa"/>
            <w:vAlign w:val="bottom"/>
          </w:tcPr>
          <w:p w14:paraId="35369AD3" w14:textId="77777777" w:rsidR="00D1587D" w:rsidRDefault="00D1587D">
            <w:pPr>
              <w:rPr>
                <w:sz w:val="24"/>
                <w:szCs w:val="24"/>
              </w:rPr>
            </w:pPr>
          </w:p>
        </w:tc>
        <w:tc>
          <w:tcPr>
            <w:tcW w:w="80" w:type="dxa"/>
            <w:vAlign w:val="bottom"/>
          </w:tcPr>
          <w:p w14:paraId="0ADE7150" w14:textId="77777777" w:rsidR="00D1587D" w:rsidRDefault="00D1587D">
            <w:pPr>
              <w:rPr>
                <w:sz w:val="24"/>
                <w:szCs w:val="24"/>
              </w:rPr>
            </w:pPr>
          </w:p>
        </w:tc>
        <w:tc>
          <w:tcPr>
            <w:tcW w:w="20" w:type="dxa"/>
            <w:vAlign w:val="bottom"/>
          </w:tcPr>
          <w:p w14:paraId="12ADC9AE" w14:textId="77777777" w:rsidR="00D1587D" w:rsidRDefault="00D1587D">
            <w:pPr>
              <w:rPr>
                <w:sz w:val="24"/>
                <w:szCs w:val="24"/>
              </w:rPr>
            </w:pPr>
          </w:p>
        </w:tc>
        <w:tc>
          <w:tcPr>
            <w:tcW w:w="560" w:type="dxa"/>
            <w:gridSpan w:val="2"/>
            <w:vAlign w:val="bottom"/>
          </w:tcPr>
          <w:p w14:paraId="301ED3DB" w14:textId="77777777" w:rsidR="00D1587D" w:rsidRDefault="00410D07">
            <w:pPr>
              <w:jc w:val="right"/>
              <w:rPr>
                <w:sz w:val="20"/>
                <w:szCs w:val="20"/>
              </w:rPr>
            </w:pPr>
            <w:r>
              <w:rPr>
                <w:rFonts w:ascii="Arial" w:eastAsia="Arial" w:hAnsi="Arial" w:cs="Arial"/>
                <w:b/>
                <w:bCs/>
                <w:sz w:val="14"/>
                <w:szCs w:val="14"/>
              </w:rPr>
              <w:t>2020</w:t>
            </w:r>
          </w:p>
        </w:tc>
        <w:tc>
          <w:tcPr>
            <w:tcW w:w="60" w:type="dxa"/>
            <w:vAlign w:val="bottom"/>
          </w:tcPr>
          <w:p w14:paraId="29B24284" w14:textId="77777777" w:rsidR="00D1587D" w:rsidRDefault="00D1587D">
            <w:pPr>
              <w:rPr>
                <w:sz w:val="24"/>
                <w:szCs w:val="24"/>
              </w:rPr>
            </w:pPr>
          </w:p>
        </w:tc>
        <w:tc>
          <w:tcPr>
            <w:tcW w:w="220" w:type="dxa"/>
            <w:vAlign w:val="bottom"/>
          </w:tcPr>
          <w:p w14:paraId="36AE8025" w14:textId="77777777" w:rsidR="00D1587D" w:rsidRDefault="00D1587D">
            <w:pPr>
              <w:rPr>
                <w:sz w:val="24"/>
                <w:szCs w:val="24"/>
              </w:rPr>
            </w:pPr>
          </w:p>
        </w:tc>
        <w:tc>
          <w:tcPr>
            <w:tcW w:w="140" w:type="dxa"/>
            <w:vAlign w:val="bottom"/>
          </w:tcPr>
          <w:p w14:paraId="5F76DC23" w14:textId="77777777" w:rsidR="00D1587D" w:rsidRDefault="00D1587D">
            <w:pPr>
              <w:rPr>
                <w:sz w:val="24"/>
                <w:szCs w:val="24"/>
              </w:rPr>
            </w:pPr>
          </w:p>
        </w:tc>
        <w:tc>
          <w:tcPr>
            <w:tcW w:w="80" w:type="dxa"/>
            <w:vAlign w:val="bottom"/>
          </w:tcPr>
          <w:p w14:paraId="6DE81C9A" w14:textId="77777777" w:rsidR="00D1587D" w:rsidRDefault="00D1587D">
            <w:pPr>
              <w:rPr>
                <w:sz w:val="24"/>
                <w:szCs w:val="24"/>
              </w:rPr>
            </w:pPr>
          </w:p>
        </w:tc>
        <w:tc>
          <w:tcPr>
            <w:tcW w:w="400" w:type="dxa"/>
            <w:vAlign w:val="bottom"/>
          </w:tcPr>
          <w:p w14:paraId="7C9E43BE" w14:textId="77777777" w:rsidR="00D1587D" w:rsidRDefault="00410D07">
            <w:pPr>
              <w:ind w:right="12"/>
              <w:jc w:val="right"/>
              <w:rPr>
                <w:sz w:val="20"/>
                <w:szCs w:val="20"/>
              </w:rPr>
            </w:pPr>
            <w:r>
              <w:rPr>
                <w:rFonts w:ascii="Arial" w:eastAsia="Arial" w:hAnsi="Arial" w:cs="Arial"/>
                <w:b/>
                <w:bCs/>
                <w:w w:val="89"/>
                <w:sz w:val="14"/>
                <w:szCs w:val="14"/>
              </w:rPr>
              <w:t>2019</w:t>
            </w:r>
          </w:p>
        </w:tc>
        <w:tc>
          <w:tcPr>
            <w:tcW w:w="220" w:type="dxa"/>
            <w:vAlign w:val="bottom"/>
          </w:tcPr>
          <w:p w14:paraId="5E99BD58" w14:textId="77777777" w:rsidR="00D1587D" w:rsidRDefault="00D1587D">
            <w:pPr>
              <w:rPr>
                <w:sz w:val="24"/>
                <w:szCs w:val="24"/>
              </w:rPr>
            </w:pPr>
          </w:p>
        </w:tc>
        <w:tc>
          <w:tcPr>
            <w:tcW w:w="620" w:type="dxa"/>
            <w:gridSpan w:val="3"/>
            <w:vAlign w:val="bottom"/>
          </w:tcPr>
          <w:p w14:paraId="4B01B368" w14:textId="77777777" w:rsidR="00D1587D" w:rsidRDefault="00410D07">
            <w:pPr>
              <w:jc w:val="right"/>
              <w:rPr>
                <w:sz w:val="20"/>
                <w:szCs w:val="20"/>
              </w:rPr>
            </w:pPr>
            <w:r>
              <w:rPr>
                <w:rFonts w:ascii="Arial" w:eastAsia="Arial" w:hAnsi="Arial" w:cs="Arial"/>
                <w:b/>
                <w:bCs/>
                <w:sz w:val="14"/>
                <w:szCs w:val="14"/>
              </w:rPr>
              <w:t>2018</w:t>
            </w:r>
          </w:p>
        </w:tc>
      </w:tr>
      <w:tr w:rsidR="00D1587D" w14:paraId="6A37FC31" w14:textId="77777777">
        <w:trPr>
          <w:trHeight w:val="53"/>
        </w:trPr>
        <w:tc>
          <w:tcPr>
            <w:tcW w:w="6100" w:type="dxa"/>
            <w:gridSpan w:val="2"/>
            <w:tcBorders>
              <w:bottom w:val="single" w:sz="8" w:space="0" w:color="CCEEFF"/>
            </w:tcBorders>
            <w:vAlign w:val="bottom"/>
          </w:tcPr>
          <w:p w14:paraId="60D11386" w14:textId="77777777" w:rsidR="00D1587D" w:rsidRDefault="00D1587D">
            <w:pPr>
              <w:rPr>
                <w:sz w:val="4"/>
                <w:szCs w:val="4"/>
              </w:rPr>
            </w:pPr>
          </w:p>
        </w:tc>
        <w:tc>
          <w:tcPr>
            <w:tcW w:w="20" w:type="dxa"/>
            <w:tcBorders>
              <w:bottom w:val="single" w:sz="8" w:space="0" w:color="CCEEFF"/>
            </w:tcBorders>
            <w:vAlign w:val="bottom"/>
          </w:tcPr>
          <w:p w14:paraId="4FE6F344" w14:textId="77777777" w:rsidR="00D1587D" w:rsidRDefault="00D1587D">
            <w:pPr>
              <w:rPr>
                <w:sz w:val="4"/>
                <w:szCs w:val="4"/>
              </w:rPr>
            </w:pPr>
          </w:p>
        </w:tc>
        <w:tc>
          <w:tcPr>
            <w:tcW w:w="180" w:type="dxa"/>
            <w:tcBorders>
              <w:bottom w:val="single" w:sz="8" w:space="0" w:color="CCEEFF"/>
            </w:tcBorders>
            <w:vAlign w:val="bottom"/>
          </w:tcPr>
          <w:p w14:paraId="6A0F4DA5" w14:textId="77777777" w:rsidR="00D1587D" w:rsidRDefault="00D1587D">
            <w:pPr>
              <w:rPr>
                <w:sz w:val="4"/>
                <w:szCs w:val="4"/>
              </w:rPr>
            </w:pPr>
          </w:p>
        </w:tc>
        <w:tc>
          <w:tcPr>
            <w:tcW w:w="380" w:type="dxa"/>
            <w:tcBorders>
              <w:bottom w:val="single" w:sz="8" w:space="0" w:color="auto"/>
            </w:tcBorders>
            <w:vAlign w:val="bottom"/>
          </w:tcPr>
          <w:p w14:paraId="682299E4" w14:textId="77777777" w:rsidR="00D1587D" w:rsidRDefault="00D1587D">
            <w:pPr>
              <w:rPr>
                <w:sz w:val="4"/>
                <w:szCs w:val="4"/>
              </w:rPr>
            </w:pPr>
          </w:p>
        </w:tc>
        <w:tc>
          <w:tcPr>
            <w:tcW w:w="60" w:type="dxa"/>
            <w:tcBorders>
              <w:bottom w:val="single" w:sz="8" w:space="0" w:color="CCEEFF"/>
            </w:tcBorders>
            <w:vAlign w:val="bottom"/>
          </w:tcPr>
          <w:p w14:paraId="1276AFB3" w14:textId="77777777" w:rsidR="00D1587D" w:rsidRDefault="00D1587D">
            <w:pPr>
              <w:rPr>
                <w:sz w:val="4"/>
                <w:szCs w:val="4"/>
              </w:rPr>
            </w:pPr>
          </w:p>
        </w:tc>
        <w:tc>
          <w:tcPr>
            <w:tcW w:w="220" w:type="dxa"/>
            <w:tcBorders>
              <w:bottom w:val="single" w:sz="8" w:space="0" w:color="CCEEFF"/>
            </w:tcBorders>
            <w:vAlign w:val="bottom"/>
          </w:tcPr>
          <w:p w14:paraId="6E3F20C5" w14:textId="77777777" w:rsidR="00D1587D" w:rsidRDefault="00D1587D">
            <w:pPr>
              <w:rPr>
                <w:sz w:val="4"/>
                <w:szCs w:val="4"/>
              </w:rPr>
            </w:pPr>
          </w:p>
        </w:tc>
        <w:tc>
          <w:tcPr>
            <w:tcW w:w="140" w:type="dxa"/>
            <w:tcBorders>
              <w:bottom w:val="single" w:sz="8" w:space="0" w:color="CCEEFF"/>
            </w:tcBorders>
            <w:vAlign w:val="bottom"/>
          </w:tcPr>
          <w:p w14:paraId="06D90EFF" w14:textId="77777777" w:rsidR="00D1587D" w:rsidRDefault="00D1587D">
            <w:pPr>
              <w:rPr>
                <w:sz w:val="4"/>
                <w:szCs w:val="4"/>
              </w:rPr>
            </w:pPr>
          </w:p>
        </w:tc>
        <w:tc>
          <w:tcPr>
            <w:tcW w:w="480" w:type="dxa"/>
            <w:gridSpan w:val="2"/>
            <w:tcBorders>
              <w:bottom w:val="single" w:sz="8" w:space="0" w:color="auto"/>
            </w:tcBorders>
            <w:vAlign w:val="bottom"/>
          </w:tcPr>
          <w:p w14:paraId="5020EFA1" w14:textId="77777777" w:rsidR="00D1587D" w:rsidRDefault="00D1587D">
            <w:pPr>
              <w:rPr>
                <w:sz w:val="4"/>
                <w:szCs w:val="4"/>
              </w:rPr>
            </w:pPr>
          </w:p>
        </w:tc>
        <w:tc>
          <w:tcPr>
            <w:tcW w:w="220" w:type="dxa"/>
            <w:tcBorders>
              <w:bottom w:val="single" w:sz="8" w:space="0" w:color="CCEEFF"/>
            </w:tcBorders>
            <w:vAlign w:val="bottom"/>
          </w:tcPr>
          <w:p w14:paraId="1A95C6A9" w14:textId="77777777" w:rsidR="00D1587D" w:rsidRDefault="00D1587D">
            <w:pPr>
              <w:rPr>
                <w:sz w:val="4"/>
                <w:szCs w:val="4"/>
              </w:rPr>
            </w:pPr>
          </w:p>
        </w:tc>
        <w:tc>
          <w:tcPr>
            <w:tcW w:w="180" w:type="dxa"/>
            <w:tcBorders>
              <w:bottom w:val="single" w:sz="8" w:space="0" w:color="CCEEFF"/>
            </w:tcBorders>
            <w:vAlign w:val="bottom"/>
          </w:tcPr>
          <w:p w14:paraId="7EF30CB2" w14:textId="77777777" w:rsidR="00D1587D" w:rsidRDefault="00D1587D">
            <w:pPr>
              <w:rPr>
                <w:sz w:val="4"/>
                <w:szCs w:val="4"/>
              </w:rPr>
            </w:pPr>
          </w:p>
        </w:tc>
        <w:tc>
          <w:tcPr>
            <w:tcW w:w="440" w:type="dxa"/>
            <w:gridSpan w:val="2"/>
            <w:tcBorders>
              <w:bottom w:val="single" w:sz="8" w:space="0" w:color="auto"/>
            </w:tcBorders>
            <w:vAlign w:val="bottom"/>
          </w:tcPr>
          <w:p w14:paraId="4D3AF78F" w14:textId="77777777" w:rsidR="00D1587D" w:rsidRDefault="00D1587D">
            <w:pPr>
              <w:rPr>
                <w:sz w:val="4"/>
                <w:szCs w:val="4"/>
              </w:rPr>
            </w:pPr>
          </w:p>
        </w:tc>
      </w:tr>
      <w:tr w:rsidR="00D1587D" w14:paraId="335EBAD7" w14:textId="77777777">
        <w:trPr>
          <w:trHeight w:val="318"/>
        </w:trPr>
        <w:tc>
          <w:tcPr>
            <w:tcW w:w="6020" w:type="dxa"/>
            <w:shd w:val="clear" w:color="auto" w:fill="CCEEFF"/>
            <w:vAlign w:val="bottom"/>
          </w:tcPr>
          <w:p w14:paraId="00D2DC71" w14:textId="77777777" w:rsidR="00D1587D" w:rsidRDefault="00D1587D">
            <w:pPr>
              <w:rPr>
                <w:sz w:val="24"/>
                <w:szCs w:val="24"/>
              </w:rPr>
            </w:pPr>
          </w:p>
        </w:tc>
        <w:tc>
          <w:tcPr>
            <w:tcW w:w="80" w:type="dxa"/>
            <w:shd w:val="clear" w:color="auto" w:fill="CCEEFF"/>
            <w:vAlign w:val="bottom"/>
          </w:tcPr>
          <w:p w14:paraId="345F7919" w14:textId="77777777" w:rsidR="00D1587D" w:rsidRDefault="00D1587D">
            <w:pPr>
              <w:rPr>
                <w:sz w:val="24"/>
                <w:szCs w:val="24"/>
              </w:rPr>
            </w:pPr>
          </w:p>
        </w:tc>
        <w:tc>
          <w:tcPr>
            <w:tcW w:w="20" w:type="dxa"/>
            <w:shd w:val="clear" w:color="auto" w:fill="CCEEFF"/>
            <w:vAlign w:val="bottom"/>
          </w:tcPr>
          <w:p w14:paraId="4DB587B4" w14:textId="77777777" w:rsidR="00D1587D" w:rsidRDefault="00D1587D">
            <w:pPr>
              <w:rPr>
                <w:sz w:val="24"/>
                <w:szCs w:val="24"/>
              </w:rPr>
            </w:pPr>
          </w:p>
        </w:tc>
        <w:tc>
          <w:tcPr>
            <w:tcW w:w="180" w:type="dxa"/>
            <w:shd w:val="clear" w:color="auto" w:fill="CCEEFF"/>
            <w:vAlign w:val="bottom"/>
          </w:tcPr>
          <w:p w14:paraId="4823DEA4" w14:textId="77777777" w:rsidR="00D1587D" w:rsidRDefault="00D1587D">
            <w:pPr>
              <w:rPr>
                <w:sz w:val="24"/>
                <w:szCs w:val="24"/>
              </w:rPr>
            </w:pPr>
          </w:p>
        </w:tc>
        <w:tc>
          <w:tcPr>
            <w:tcW w:w="380" w:type="dxa"/>
            <w:shd w:val="clear" w:color="auto" w:fill="CCEEFF"/>
            <w:vAlign w:val="bottom"/>
          </w:tcPr>
          <w:p w14:paraId="23211E6F" w14:textId="77777777" w:rsidR="00D1587D" w:rsidRDefault="00D1587D">
            <w:pPr>
              <w:rPr>
                <w:sz w:val="24"/>
                <w:szCs w:val="24"/>
              </w:rPr>
            </w:pPr>
          </w:p>
        </w:tc>
        <w:tc>
          <w:tcPr>
            <w:tcW w:w="60" w:type="dxa"/>
            <w:shd w:val="clear" w:color="auto" w:fill="CCEEFF"/>
            <w:vAlign w:val="bottom"/>
          </w:tcPr>
          <w:p w14:paraId="48994E88" w14:textId="77777777" w:rsidR="00D1587D" w:rsidRDefault="00D1587D">
            <w:pPr>
              <w:rPr>
                <w:sz w:val="24"/>
                <w:szCs w:val="24"/>
              </w:rPr>
            </w:pPr>
          </w:p>
        </w:tc>
        <w:tc>
          <w:tcPr>
            <w:tcW w:w="220" w:type="dxa"/>
            <w:shd w:val="clear" w:color="auto" w:fill="CCEEFF"/>
            <w:vAlign w:val="bottom"/>
          </w:tcPr>
          <w:p w14:paraId="3C6698D0" w14:textId="77777777" w:rsidR="00D1587D" w:rsidRDefault="00D1587D">
            <w:pPr>
              <w:rPr>
                <w:sz w:val="24"/>
                <w:szCs w:val="24"/>
              </w:rPr>
            </w:pPr>
          </w:p>
        </w:tc>
        <w:tc>
          <w:tcPr>
            <w:tcW w:w="140" w:type="dxa"/>
            <w:shd w:val="clear" w:color="auto" w:fill="CCEEFF"/>
            <w:vAlign w:val="bottom"/>
          </w:tcPr>
          <w:p w14:paraId="4701427F" w14:textId="77777777" w:rsidR="00D1587D" w:rsidRDefault="00D1587D">
            <w:pPr>
              <w:rPr>
                <w:sz w:val="24"/>
                <w:szCs w:val="24"/>
              </w:rPr>
            </w:pPr>
          </w:p>
        </w:tc>
        <w:tc>
          <w:tcPr>
            <w:tcW w:w="80" w:type="dxa"/>
            <w:shd w:val="clear" w:color="auto" w:fill="CCEEFF"/>
            <w:vAlign w:val="bottom"/>
          </w:tcPr>
          <w:p w14:paraId="1660E14C" w14:textId="77777777" w:rsidR="00D1587D" w:rsidRDefault="00D1587D">
            <w:pPr>
              <w:rPr>
                <w:sz w:val="24"/>
                <w:szCs w:val="24"/>
              </w:rPr>
            </w:pPr>
          </w:p>
        </w:tc>
        <w:tc>
          <w:tcPr>
            <w:tcW w:w="400" w:type="dxa"/>
            <w:shd w:val="clear" w:color="auto" w:fill="CCEEFF"/>
            <w:vAlign w:val="bottom"/>
          </w:tcPr>
          <w:p w14:paraId="1DAFEE50" w14:textId="77777777" w:rsidR="00D1587D" w:rsidRDefault="00D1587D">
            <w:pPr>
              <w:rPr>
                <w:sz w:val="24"/>
                <w:szCs w:val="24"/>
              </w:rPr>
            </w:pPr>
          </w:p>
        </w:tc>
        <w:tc>
          <w:tcPr>
            <w:tcW w:w="220" w:type="dxa"/>
            <w:shd w:val="clear" w:color="auto" w:fill="CCEEFF"/>
            <w:vAlign w:val="bottom"/>
          </w:tcPr>
          <w:p w14:paraId="01563467" w14:textId="77777777" w:rsidR="00D1587D" w:rsidRDefault="00D1587D">
            <w:pPr>
              <w:rPr>
                <w:sz w:val="24"/>
                <w:szCs w:val="24"/>
              </w:rPr>
            </w:pPr>
          </w:p>
        </w:tc>
        <w:tc>
          <w:tcPr>
            <w:tcW w:w="180" w:type="dxa"/>
            <w:shd w:val="clear" w:color="auto" w:fill="CCEEFF"/>
            <w:vAlign w:val="bottom"/>
          </w:tcPr>
          <w:p w14:paraId="632515E1" w14:textId="77777777" w:rsidR="00D1587D" w:rsidRDefault="00D1587D">
            <w:pPr>
              <w:rPr>
                <w:sz w:val="24"/>
                <w:szCs w:val="24"/>
              </w:rPr>
            </w:pPr>
          </w:p>
        </w:tc>
        <w:tc>
          <w:tcPr>
            <w:tcW w:w="100" w:type="dxa"/>
            <w:shd w:val="clear" w:color="auto" w:fill="CCEEFF"/>
            <w:vAlign w:val="bottom"/>
          </w:tcPr>
          <w:p w14:paraId="20C53700" w14:textId="77777777" w:rsidR="00D1587D" w:rsidRDefault="00D1587D">
            <w:pPr>
              <w:rPr>
                <w:sz w:val="24"/>
                <w:szCs w:val="24"/>
              </w:rPr>
            </w:pPr>
          </w:p>
        </w:tc>
        <w:tc>
          <w:tcPr>
            <w:tcW w:w="340" w:type="dxa"/>
            <w:shd w:val="clear" w:color="auto" w:fill="CCEEFF"/>
            <w:vAlign w:val="bottom"/>
          </w:tcPr>
          <w:p w14:paraId="48DBCD45" w14:textId="77777777" w:rsidR="00D1587D" w:rsidRDefault="00D1587D">
            <w:pPr>
              <w:rPr>
                <w:sz w:val="24"/>
                <w:szCs w:val="24"/>
              </w:rPr>
            </w:pPr>
          </w:p>
        </w:tc>
      </w:tr>
      <w:tr w:rsidR="00D1587D" w14:paraId="479A3DA4" w14:textId="77777777">
        <w:trPr>
          <w:trHeight w:val="270"/>
        </w:trPr>
        <w:tc>
          <w:tcPr>
            <w:tcW w:w="6120" w:type="dxa"/>
            <w:gridSpan w:val="3"/>
            <w:vAlign w:val="bottom"/>
          </w:tcPr>
          <w:p w14:paraId="54329DB9" w14:textId="77777777" w:rsidR="00D1587D" w:rsidRDefault="00410D07">
            <w:pPr>
              <w:rPr>
                <w:sz w:val="20"/>
                <w:szCs w:val="20"/>
              </w:rPr>
            </w:pPr>
            <w:r>
              <w:rPr>
                <w:rFonts w:ascii="Arial" w:eastAsia="Arial" w:hAnsi="Arial" w:cs="Arial"/>
                <w:sz w:val="18"/>
                <w:szCs w:val="18"/>
              </w:rPr>
              <w:t>Net Income (Loss)</w:t>
            </w:r>
          </w:p>
        </w:tc>
        <w:tc>
          <w:tcPr>
            <w:tcW w:w="560" w:type="dxa"/>
            <w:gridSpan w:val="2"/>
            <w:vAlign w:val="bottom"/>
          </w:tcPr>
          <w:p w14:paraId="34D9B752" w14:textId="77777777" w:rsidR="00D1587D" w:rsidRDefault="00410D07">
            <w:pPr>
              <w:jc w:val="right"/>
              <w:rPr>
                <w:sz w:val="20"/>
                <w:szCs w:val="20"/>
              </w:rPr>
            </w:pPr>
            <w:r>
              <w:rPr>
                <w:rFonts w:ascii="Arial" w:eastAsia="Arial" w:hAnsi="Arial" w:cs="Arial"/>
                <w:sz w:val="18"/>
                <w:szCs w:val="18"/>
              </w:rPr>
              <w:t>$(72)</w:t>
            </w:r>
          </w:p>
        </w:tc>
        <w:tc>
          <w:tcPr>
            <w:tcW w:w="60" w:type="dxa"/>
            <w:vAlign w:val="bottom"/>
          </w:tcPr>
          <w:p w14:paraId="1F5A9AF5" w14:textId="77777777" w:rsidR="00D1587D" w:rsidRDefault="00D1587D">
            <w:pPr>
              <w:rPr>
                <w:sz w:val="23"/>
                <w:szCs w:val="23"/>
              </w:rPr>
            </w:pPr>
          </w:p>
        </w:tc>
        <w:tc>
          <w:tcPr>
            <w:tcW w:w="220" w:type="dxa"/>
            <w:vAlign w:val="bottom"/>
          </w:tcPr>
          <w:p w14:paraId="71F77E7F" w14:textId="77777777" w:rsidR="00D1587D" w:rsidRDefault="00D1587D">
            <w:pPr>
              <w:rPr>
                <w:sz w:val="23"/>
                <w:szCs w:val="23"/>
              </w:rPr>
            </w:pPr>
          </w:p>
        </w:tc>
        <w:tc>
          <w:tcPr>
            <w:tcW w:w="620" w:type="dxa"/>
            <w:gridSpan w:val="3"/>
            <w:vAlign w:val="bottom"/>
          </w:tcPr>
          <w:p w14:paraId="3EBCB1A4" w14:textId="77777777" w:rsidR="00D1587D" w:rsidRDefault="00410D07">
            <w:pPr>
              <w:jc w:val="right"/>
              <w:rPr>
                <w:sz w:val="20"/>
                <w:szCs w:val="20"/>
              </w:rPr>
            </w:pPr>
            <w:r>
              <w:rPr>
                <w:rFonts w:ascii="Arial" w:eastAsia="Arial" w:hAnsi="Arial" w:cs="Arial"/>
                <w:sz w:val="18"/>
                <w:szCs w:val="18"/>
              </w:rPr>
              <w:t>$(897)</w:t>
            </w:r>
          </w:p>
        </w:tc>
        <w:tc>
          <w:tcPr>
            <w:tcW w:w="220" w:type="dxa"/>
            <w:vAlign w:val="bottom"/>
          </w:tcPr>
          <w:p w14:paraId="67F7C2CF" w14:textId="77777777" w:rsidR="00D1587D" w:rsidRDefault="00D1587D">
            <w:pPr>
              <w:rPr>
                <w:sz w:val="23"/>
                <w:szCs w:val="23"/>
              </w:rPr>
            </w:pPr>
          </w:p>
        </w:tc>
        <w:tc>
          <w:tcPr>
            <w:tcW w:w="620" w:type="dxa"/>
            <w:gridSpan w:val="3"/>
            <w:vAlign w:val="bottom"/>
          </w:tcPr>
          <w:p w14:paraId="26F95E0F" w14:textId="77777777" w:rsidR="00D1587D" w:rsidRDefault="00410D07">
            <w:pPr>
              <w:jc w:val="right"/>
              <w:rPr>
                <w:sz w:val="20"/>
                <w:szCs w:val="20"/>
              </w:rPr>
            </w:pPr>
            <w:r>
              <w:rPr>
                <w:rFonts w:ascii="Arial" w:eastAsia="Arial" w:hAnsi="Arial" w:cs="Arial"/>
                <w:sz w:val="18"/>
                <w:szCs w:val="18"/>
              </w:rPr>
              <w:t>$251</w:t>
            </w:r>
          </w:p>
        </w:tc>
      </w:tr>
      <w:tr w:rsidR="00D1587D" w14:paraId="424FB62D" w14:textId="77777777">
        <w:trPr>
          <w:trHeight w:val="54"/>
        </w:trPr>
        <w:tc>
          <w:tcPr>
            <w:tcW w:w="6100" w:type="dxa"/>
            <w:gridSpan w:val="2"/>
            <w:vAlign w:val="bottom"/>
          </w:tcPr>
          <w:p w14:paraId="033B8E67" w14:textId="77777777" w:rsidR="00D1587D" w:rsidRDefault="00D1587D">
            <w:pPr>
              <w:rPr>
                <w:sz w:val="4"/>
                <w:szCs w:val="4"/>
              </w:rPr>
            </w:pPr>
          </w:p>
        </w:tc>
        <w:tc>
          <w:tcPr>
            <w:tcW w:w="20" w:type="dxa"/>
            <w:vAlign w:val="bottom"/>
          </w:tcPr>
          <w:p w14:paraId="1ED2C662" w14:textId="77777777" w:rsidR="00D1587D" w:rsidRDefault="00D1587D">
            <w:pPr>
              <w:rPr>
                <w:sz w:val="4"/>
                <w:szCs w:val="4"/>
              </w:rPr>
            </w:pPr>
          </w:p>
        </w:tc>
        <w:tc>
          <w:tcPr>
            <w:tcW w:w="180" w:type="dxa"/>
            <w:vAlign w:val="bottom"/>
          </w:tcPr>
          <w:p w14:paraId="17116397" w14:textId="77777777" w:rsidR="00D1587D" w:rsidRDefault="00D1587D">
            <w:pPr>
              <w:rPr>
                <w:sz w:val="4"/>
                <w:szCs w:val="4"/>
              </w:rPr>
            </w:pPr>
          </w:p>
        </w:tc>
        <w:tc>
          <w:tcPr>
            <w:tcW w:w="380" w:type="dxa"/>
            <w:vAlign w:val="bottom"/>
          </w:tcPr>
          <w:p w14:paraId="11265500" w14:textId="77777777" w:rsidR="00D1587D" w:rsidRDefault="00D1587D">
            <w:pPr>
              <w:rPr>
                <w:sz w:val="4"/>
                <w:szCs w:val="4"/>
              </w:rPr>
            </w:pPr>
          </w:p>
        </w:tc>
        <w:tc>
          <w:tcPr>
            <w:tcW w:w="60" w:type="dxa"/>
            <w:vAlign w:val="bottom"/>
          </w:tcPr>
          <w:p w14:paraId="06979CDF" w14:textId="77777777" w:rsidR="00D1587D" w:rsidRDefault="00D1587D">
            <w:pPr>
              <w:rPr>
                <w:sz w:val="4"/>
                <w:szCs w:val="4"/>
              </w:rPr>
            </w:pPr>
          </w:p>
        </w:tc>
        <w:tc>
          <w:tcPr>
            <w:tcW w:w="220" w:type="dxa"/>
            <w:vAlign w:val="bottom"/>
          </w:tcPr>
          <w:p w14:paraId="0169CF83" w14:textId="77777777" w:rsidR="00D1587D" w:rsidRDefault="00D1587D">
            <w:pPr>
              <w:rPr>
                <w:sz w:val="4"/>
                <w:szCs w:val="4"/>
              </w:rPr>
            </w:pPr>
          </w:p>
        </w:tc>
        <w:tc>
          <w:tcPr>
            <w:tcW w:w="140" w:type="dxa"/>
            <w:vAlign w:val="bottom"/>
          </w:tcPr>
          <w:p w14:paraId="534A866B" w14:textId="77777777" w:rsidR="00D1587D" w:rsidRDefault="00D1587D">
            <w:pPr>
              <w:rPr>
                <w:sz w:val="4"/>
                <w:szCs w:val="4"/>
              </w:rPr>
            </w:pPr>
          </w:p>
        </w:tc>
        <w:tc>
          <w:tcPr>
            <w:tcW w:w="80" w:type="dxa"/>
            <w:vAlign w:val="bottom"/>
          </w:tcPr>
          <w:p w14:paraId="6D1388B1" w14:textId="77777777" w:rsidR="00D1587D" w:rsidRDefault="00D1587D">
            <w:pPr>
              <w:rPr>
                <w:sz w:val="4"/>
                <w:szCs w:val="4"/>
              </w:rPr>
            </w:pPr>
          </w:p>
        </w:tc>
        <w:tc>
          <w:tcPr>
            <w:tcW w:w="400" w:type="dxa"/>
            <w:vAlign w:val="bottom"/>
          </w:tcPr>
          <w:p w14:paraId="216FE118" w14:textId="77777777" w:rsidR="00D1587D" w:rsidRDefault="00D1587D">
            <w:pPr>
              <w:rPr>
                <w:sz w:val="4"/>
                <w:szCs w:val="4"/>
              </w:rPr>
            </w:pPr>
          </w:p>
        </w:tc>
        <w:tc>
          <w:tcPr>
            <w:tcW w:w="220" w:type="dxa"/>
            <w:vAlign w:val="bottom"/>
          </w:tcPr>
          <w:p w14:paraId="5C1B13AF" w14:textId="77777777" w:rsidR="00D1587D" w:rsidRDefault="00D1587D">
            <w:pPr>
              <w:rPr>
                <w:sz w:val="4"/>
                <w:szCs w:val="4"/>
              </w:rPr>
            </w:pPr>
          </w:p>
        </w:tc>
        <w:tc>
          <w:tcPr>
            <w:tcW w:w="180" w:type="dxa"/>
            <w:vAlign w:val="bottom"/>
          </w:tcPr>
          <w:p w14:paraId="15CF02BC" w14:textId="77777777" w:rsidR="00D1587D" w:rsidRDefault="00D1587D">
            <w:pPr>
              <w:rPr>
                <w:sz w:val="4"/>
                <w:szCs w:val="4"/>
              </w:rPr>
            </w:pPr>
          </w:p>
        </w:tc>
        <w:tc>
          <w:tcPr>
            <w:tcW w:w="100" w:type="dxa"/>
            <w:vAlign w:val="bottom"/>
          </w:tcPr>
          <w:p w14:paraId="41A897D3" w14:textId="77777777" w:rsidR="00D1587D" w:rsidRDefault="00D1587D">
            <w:pPr>
              <w:rPr>
                <w:sz w:val="4"/>
                <w:szCs w:val="4"/>
              </w:rPr>
            </w:pPr>
          </w:p>
        </w:tc>
        <w:tc>
          <w:tcPr>
            <w:tcW w:w="340" w:type="dxa"/>
            <w:vAlign w:val="bottom"/>
          </w:tcPr>
          <w:p w14:paraId="7BD555F6" w14:textId="77777777" w:rsidR="00D1587D" w:rsidRDefault="00D1587D">
            <w:pPr>
              <w:rPr>
                <w:sz w:val="4"/>
                <w:szCs w:val="4"/>
              </w:rPr>
            </w:pPr>
          </w:p>
        </w:tc>
      </w:tr>
      <w:tr w:rsidR="00D1587D" w14:paraId="1001A5A8" w14:textId="77777777">
        <w:trPr>
          <w:trHeight w:val="304"/>
        </w:trPr>
        <w:tc>
          <w:tcPr>
            <w:tcW w:w="6120" w:type="dxa"/>
            <w:gridSpan w:val="3"/>
            <w:tcBorders>
              <w:bottom w:val="single" w:sz="8" w:space="0" w:color="CCEEFF"/>
            </w:tcBorders>
            <w:shd w:val="clear" w:color="auto" w:fill="CCEEFF"/>
            <w:vAlign w:val="bottom"/>
          </w:tcPr>
          <w:p w14:paraId="070CC746" w14:textId="77777777" w:rsidR="00D1587D" w:rsidRDefault="00410D07">
            <w:pPr>
              <w:rPr>
                <w:sz w:val="20"/>
                <w:szCs w:val="20"/>
              </w:rPr>
            </w:pPr>
            <w:r>
              <w:rPr>
                <w:rFonts w:ascii="Arial" w:eastAsia="Arial" w:hAnsi="Arial" w:cs="Arial"/>
                <w:sz w:val="18"/>
                <w:szCs w:val="18"/>
              </w:rPr>
              <w:t>Other Comprehensive Income (Loss), Net of Tax:</w:t>
            </w:r>
          </w:p>
        </w:tc>
        <w:tc>
          <w:tcPr>
            <w:tcW w:w="180" w:type="dxa"/>
            <w:tcBorders>
              <w:bottom w:val="single" w:sz="8" w:space="0" w:color="CCEEFF"/>
            </w:tcBorders>
            <w:shd w:val="clear" w:color="auto" w:fill="CCEEFF"/>
            <w:vAlign w:val="bottom"/>
          </w:tcPr>
          <w:p w14:paraId="104583A0" w14:textId="77777777" w:rsidR="00D1587D" w:rsidRDefault="00D1587D">
            <w:pPr>
              <w:rPr>
                <w:sz w:val="24"/>
                <w:szCs w:val="24"/>
              </w:rPr>
            </w:pPr>
          </w:p>
        </w:tc>
        <w:tc>
          <w:tcPr>
            <w:tcW w:w="380" w:type="dxa"/>
            <w:tcBorders>
              <w:bottom w:val="single" w:sz="8" w:space="0" w:color="CCEEFF"/>
            </w:tcBorders>
            <w:shd w:val="clear" w:color="auto" w:fill="CCEEFF"/>
            <w:vAlign w:val="bottom"/>
          </w:tcPr>
          <w:p w14:paraId="55D757A2" w14:textId="77777777" w:rsidR="00D1587D" w:rsidRDefault="00D1587D">
            <w:pPr>
              <w:rPr>
                <w:sz w:val="24"/>
                <w:szCs w:val="24"/>
              </w:rPr>
            </w:pPr>
          </w:p>
        </w:tc>
        <w:tc>
          <w:tcPr>
            <w:tcW w:w="60" w:type="dxa"/>
            <w:tcBorders>
              <w:bottom w:val="single" w:sz="8" w:space="0" w:color="CCEEFF"/>
            </w:tcBorders>
            <w:shd w:val="clear" w:color="auto" w:fill="CCEEFF"/>
            <w:vAlign w:val="bottom"/>
          </w:tcPr>
          <w:p w14:paraId="4149B8C5" w14:textId="77777777" w:rsidR="00D1587D" w:rsidRDefault="00D1587D">
            <w:pPr>
              <w:rPr>
                <w:sz w:val="24"/>
                <w:szCs w:val="24"/>
              </w:rPr>
            </w:pPr>
          </w:p>
        </w:tc>
        <w:tc>
          <w:tcPr>
            <w:tcW w:w="220" w:type="dxa"/>
            <w:tcBorders>
              <w:bottom w:val="single" w:sz="8" w:space="0" w:color="CCEEFF"/>
            </w:tcBorders>
            <w:shd w:val="clear" w:color="auto" w:fill="CCEEFF"/>
            <w:vAlign w:val="bottom"/>
          </w:tcPr>
          <w:p w14:paraId="44422C04" w14:textId="77777777" w:rsidR="00D1587D" w:rsidRDefault="00D1587D">
            <w:pPr>
              <w:rPr>
                <w:sz w:val="24"/>
                <w:szCs w:val="24"/>
              </w:rPr>
            </w:pPr>
          </w:p>
        </w:tc>
        <w:tc>
          <w:tcPr>
            <w:tcW w:w="140" w:type="dxa"/>
            <w:tcBorders>
              <w:bottom w:val="single" w:sz="8" w:space="0" w:color="CCEEFF"/>
            </w:tcBorders>
            <w:shd w:val="clear" w:color="auto" w:fill="CCEEFF"/>
            <w:vAlign w:val="bottom"/>
          </w:tcPr>
          <w:p w14:paraId="399F761D" w14:textId="77777777" w:rsidR="00D1587D" w:rsidRDefault="00D1587D">
            <w:pPr>
              <w:rPr>
                <w:sz w:val="24"/>
                <w:szCs w:val="24"/>
              </w:rPr>
            </w:pPr>
          </w:p>
        </w:tc>
        <w:tc>
          <w:tcPr>
            <w:tcW w:w="80" w:type="dxa"/>
            <w:tcBorders>
              <w:bottom w:val="single" w:sz="8" w:space="0" w:color="CCEEFF"/>
            </w:tcBorders>
            <w:shd w:val="clear" w:color="auto" w:fill="CCEEFF"/>
            <w:vAlign w:val="bottom"/>
          </w:tcPr>
          <w:p w14:paraId="3582F626" w14:textId="77777777" w:rsidR="00D1587D" w:rsidRDefault="00D1587D">
            <w:pPr>
              <w:rPr>
                <w:sz w:val="24"/>
                <w:szCs w:val="24"/>
              </w:rPr>
            </w:pPr>
          </w:p>
        </w:tc>
        <w:tc>
          <w:tcPr>
            <w:tcW w:w="400" w:type="dxa"/>
            <w:tcBorders>
              <w:bottom w:val="single" w:sz="8" w:space="0" w:color="CCEEFF"/>
            </w:tcBorders>
            <w:shd w:val="clear" w:color="auto" w:fill="CCEEFF"/>
            <w:vAlign w:val="bottom"/>
          </w:tcPr>
          <w:p w14:paraId="7C29F1CF" w14:textId="77777777" w:rsidR="00D1587D" w:rsidRDefault="00D1587D">
            <w:pPr>
              <w:rPr>
                <w:sz w:val="24"/>
                <w:szCs w:val="24"/>
              </w:rPr>
            </w:pPr>
          </w:p>
        </w:tc>
        <w:tc>
          <w:tcPr>
            <w:tcW w:w="220" w:type="dxa"/>
            <w:tcBorders>
              <w:bottom w:val="single" w:sz="8" w:space="0" w:color="CCEEFF"/>
            </w:tcBorders>
            <w:shd w:val="clear" w:color="auto" w:fill="CCEEFF"/>
            <w:vAlign w:val="bottom"/>
          </w:tcPr>
          <w:p w14:paraId="702E8284" w14:textId="77777777" w:rsidR="00D1587D" w:rsidRDefault="00D1587D">
            <w:pPr>
              <w:rPr>
                <w:sz w:val="24"/>
                <w:szCs w:val="24"/>
              </w:rPr>
            </w:pPr>
          </w:p>
        </w:tc>
        <w:tc>
          <w:tcPr>
            <w:tcW w:w="180" w:type="dxa"/>
            <w:tcBorders>
              <w:bottom w:val="single" w:sz="8" w:space="0" w:color="CCEEFF"/>
            </w:tcBorders>
            <w:shd w:val="clear" w:color="auto" w:fill="CCEEFF"/>
            <w:vAlign w:val="bottom"/>
          </w:tcPr>
          <w:p w14:paraId="4351E695"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807B9DF" w14:textId="77777777" w:rsidR="00D1587D" w:rsidRDefault="00D1587D">
            <w:pPr>
              <w:rPr>
                <w:sz w:val="24"/>
                <w:szCs w:val="24"/>
              </w:rPr>
            </w:pPr>
          </w:p>
        </w:tc>
        <w:tc>
          <w:tcPr>
            <w:tcW w:w="340" w:type="dxa"/>
            <w:tcBorders>
              <w:bottom w:val="single" w:sz="8" w:space="0" w:color="CCEEFF"/>
            </w:tcBorders>
            <w:shd w:val="clear" w:color="auto" w:fill="CCEEFF"/>
            <w:vAlign w:val="bottom"/>
          </w:tcPr>
          <w:p w14:paraId="1B726E64" w14:textId="77777777" w:rsidR="00D1587D" w:rsidRDefault="00D1587D">
            <w:pPr>
              <w:rPr>
                <w:sz w:val="24"/>
                <w:szCs w:val="24"/>
              </w:rPr>
            </w:pPr>
          </w:p>
        </w:tc>
      </w:tr>
      <w:tr w:rsidR="00D1587D" w14:paraId="70189703" w14:textId="77777777">
        <w:trPr>
          <w:trHeight w:val="270"/>
        </w:trPr>
        <w:tc>
          <w:tcPr>
            <w:tcW w:w="6120" w:type="dxa"/>
            <w:gridSpan w:val="3"/>
            <w:vAlign w:val="bottom"/>
          </w:tcPr>
          <w:p w14:paraId="2A3CE1C5" w14:textId="77777777" w:rsidR="00D1587D" w:rsidRDefault="00410D07">
            <w:pPr>
              <w:ind w:left="180"/>
              <w:rPr>
                <w:sz w:val="20"/>
                <w:szCs w:val="20"/>
              </w:rPr>
            </w:pPr>
            <w:r>
              <w:rPr>
                <w:rFonts w:ascii="Arial" w:eastAsia="Arial" w:hAnsi="Arial" w:cs="Arial"/>
                <w:sz w:val="18"/>
                <w:szCs w:val="18"/>
              </w:rPr>
              <w:t xml:space="preserve">Foreign </w:t>
            </w:r>
            <w:r>
              <w:rPr>
                <w:rFonts w:ascii="Arial" w:eastAsia="Arial" w:hAnsi="Arial" w:cs="Arial"/>
                <w:sz w:val="18"/>
                <w:szCs w:val="18"/>
              </w:rPr>
              <w:t>Currency Translation</w:t>
            </w:r>
          </w:p>
        </w:tc>
        <w:tc>
          <w:tcPr>
            <w:tcW w:w="560" w:type="dxa"/>
            <w:gridSpan w:val="2"/>
            <w:vAlign w:val="bottom"/>
          </w:tcPr>
          <w:p w14:paraId="7CADFDD5" w14:textId="77777777" w:rsidR="00D1587D" w:rsidRDefault="00410D07">
            <w:pPr>
              <w:jc w:val="right"/>
              <w:rPr>
                <w:sz w:val="20"/>
                <w:szCs w:val="20"/>
              </w:rPr>
            </w:pPr>
            <w:r>
              <w:rPr>
                <w:rFonts w:ascii="Arial" w:eastAsia="Arial" w:hAnsi="Arial" w:cs="Arial"/>
                <w:sz w:val="18"/>
                <w:szCs w:val="18"/>
              </w:rPr>
              <w:t>(3)</w:t>
            </w:r>
          </w:p>
        </w:tc>
        <w:tc>
          <w:tcPr>
            <w:tcW w:w="60" w:type="dxa"/>
            <w:vAlign w:val="bottom"/>
          </w:tcPr>
          <w:p w14:paraId="39EFC838" w14:textId="77777777" w:rsidR="00D1587D" w:rsidRDefault="00D1587D">
            <w:pPr>
              <w:rPr>
                <w:sz w:val="23"/>
                <w:szCs w:val="23"/>
              </w:rPr>
            </w:pPr>
          </w:p>
        </w:tc>
        <w:tc>
          <w:tcPr>
            <w:tcW w:w="220" w:type="dxa"/>
            <w:vAlign w:val="bottom"/>
          </w:tcPr>
          <w:p w14:paraId="3EE0DF4A" w14:textId="77777777" w:rsidR="00D1587D" w:rsidRDefault="00D1587D">
            <w:pPr>
              <w:rPr>
                <w:sz w:val="23"/>
                <w:szCs w:val="23"/>
              </w:rPr>
            </w:pPr>
          </w:p>
        </w:tc>
        <w:tc>
          <w:tcPr>
            <w:tcW w:w="140" w:type="dxa"/>
            <w:vAlign w:val="bottom"/>
          </w:tcPr>
          <w:p w14:paraId="53E2F6A5" w14:textId="77777777" w:rsidR="00D1587D" w:rsidRDefault="00D1587D">
            <w:pPr>
              <w:rPr>
                <w:sz w:val="23"/>
                <w:szCs w:val="23"/>
              </w:rPr>
            </w:pPr>
          </w:p>
        </w:tc>
        <w:tc>
          <w:tcPr>
            <w:tcW w:w="80" w:type="dxa"/>
            <w:vAlign w:val="bottom"/>
          </w:tcPr>
          <w:p w14:paraId="451CECD6" w14:textId="77777777" w:rsidR="00D1587D" w:rsidRDefault="00D1587D">
            <w:pPr>
              <w:rPr>
                <w:sz w:val="23"/>
                <w:szCs w:val="23"/>
              </w:rPr>
            </w:pPr>
          </w:p>
        </w:tc>
        <w:tc>
          <w:tcPr>
            <w:tcW w:w="400" w:type="dxa"/>
            <w:vAlign w:val="bottom"/>
          </w:tcPr>
          <w:p w14:paraId="01B69FDE" w14:textId="77777777" w:rsidR="00D1587D" w:rsidRDefault="00410D07">
            <w:pPr>
              <w:jc w:val="right"/>
              <w:rPr>
                <w:sz w:val="20"/>
                <w:szCs w:val="20"/>
              </w:rPr>
            </w:pPr>
            <w:r>
              <w:rPr>
                <w:rFonts w:ascii="Arial" w:eastAsia="Arial" w:hAnsi="Arial" w:cs="Arial"/>
                <w:sz w:val="18"/>
                <w:szCs w:val="18"/>
              </w:rPr>
              <w:t>(6)</w:t>
            </w:r>
          </w:p>
        </w:tc>
        <w:tc>
          <w:tcPr>
            <w:tcW w:w="220" w:type="dxa"/>
            <w:vAlign w:val="bottom"/>
          </w:tcPr>
          <w:p w14:paraId="561FBE1F" w14:textId="77777777" w:rsidR="00D1587D" w:rsidRDefault="00D1587D">
            <w:pPr>
              <w:rPr>
                <w:sz w:val="23"/>
                <w:szCs w:val="23"/>
              </w:rPr>
            </w:pPr>
          </w:p>
        </w:tc>
        <w:tc>
          <w:tcPr>
            <w:tcW w:w="180" w:type="dxa"/>
            <w:vAlign w:val="bottom"/>
          </w:tcPr>
          <w:p w14:paraId="1ACD8721" w14:textId="77777777" w:rsidR="00D1587D" w:rsidRDefault="00D1587D">
            <w:pPr>
              <w:rPr>
                <w:sz w:val="23"/>
                <w:szCs w:val="23"/>
              </w:rPr>
            </w:pPr>
          </w:p>
        </w:tc>
        <w:tc>
          <w:tcPr>
            <w:tcW w:w="100" w:type="dxa"/>
            <w:vAlign w:val="bottom"/>
          </w:tcPr>
          <w:p w14:paraId="59C5BBA1" w14:textId="77777777" w:rsidR="00D1587D" w:rsidRDefault="00D1587D">
            <w:pPr>
              <w:rPr>
                <w:sz w:val="23"/>
                <w:szCs w:val="23"/>
              </w:rPr>
            </w:pPr>
          </w:p>
        </w:tc>
        <w:tc>
          <w:tcPr>
            <w:tcW w:w="340" w:type="dxa"/>
            <w:vAlign w:val="bottom"/>
          </w:tcPr>
          <w:p w14:paraId="11BBE3A3" w14:textId="77777777" w:rsidR="00D1587D" w:rsidRDefault="00410D07">
            <w:pPr>
              <w:jc w:val="right"/>
              <w:rPr>
                <w:sz w:val="20"/>
                <w:szCs w:val="20"/>
              </w:rPr>
            </w:pPr>
            <w:r>
              <w:rPr>
                <w:rFonts w:ascii="Arial" w:eastAsia="Arial" w:hAnsi="Arial" w:cs="Arial"/>
                <w:sz w:val="18"/>
                <w:szCs w:val="18"/>
              </w:rPr>
              <w:t>(5)</w:t>
            </w:r>
          </w:p>
        </w:tc>
      </w:tr>
      <w:tr w:rsidR="00D1587D" w14:paraId="6299F9E6" w14:textId="77777777">
        <w:trPr>
          <w:trHeight w:val="54"/>
        </w:trPr>
        <w:tc>
          <w:tcPr>
            <w:tcW w:w="6100" w:type="dxa"/>
            <w:gridSpan w:val="2"/>
            <w:vAlign w:val="bottom"/>
          </w:tcPr>
          <w:p w14:paraId="7A665422" w14:textId="77777777" w:rsidR="00D1587D" w:rsidRDefault="00D1587D">
            <w:pPr>
              <w:rPr>
                <w:sz w:val="4"/>
                <w:szCs w:val="4"/>
              </w:rPr>
            </w:pPr>
          </w:p>
        </w:tc>
        <w:tc>
          <w:tcPr>
            <w:tcW w:w="20" w:type="dxa"/>
            <w:vAlign w:val="bottom"/>
          </w:tcPr>
          <w:p w14:paraId="42B69AE8" w14:textId="77777777" w:rsidR="00D1587D" w:rsidRDefault="00D1587D">
            <w:pPr>
              <w:rPr>
                <w:sz w:val="4"/>
                <w:szCs w:val="4"/>
              </w:rPr>
            </w:pPr>
          </w:p>
        </w:tc>
        <w:tc>
          <w:tcPr>
            <w:tcW w:w="180" w:type="dxa"/>
            <w:vAlign w:val="bottom"/>
          </w:tcPr>
          <w:p w14:paraId="7261882D" w14:textId="77777777" w:rsidR="00D1587D" w:rsidRDefault="00D1587D">
            <w:pPr>
              <w:rPr>
                <w:sz w:val="4"/>
                <w:szCs w:val="4"/>
              </w:rPr>
            </w:pPr>
          </w:p>
        </w:tc>
        <w:tc>
          <w:tcPr>
            <w:tcW w:w="380" w:type="dxa"/>
            <w:vAlign w:val="bottom"/>
          </w:tcPr>
          <w:p w14:paraId="22B214A5" w14:textId="77777777" w:rsidR="00D1587D" w:rsidRDefault="00D1587D">
            <w:pPr>
              <w:rPr>
                <w:sz w:val="4"/>
                <w:szCs w:val="4"/>
              </w:rPr>
            </w:pPr>
          </w:p>
        </w:tc>
        <w:tc>
          <w:tcPr>
            <w:tcW w:w="60" w:type="dxa"/>
            <w:vAlign w:val="bottom"/>
          </w:tcPr>
          <w:p w14:paraId="24CEBFCE" w14:textId="77777777" w:rsidR="00D1587D" w:rsidRDefault="00D1587D">
            <w:pPr>
              <w:rPr>
                <w:sz w:val="4"/>
                <w:szCs w:val="4"/>
              </w:rPr>
            </w:pPr>
          </w:p>
        </w:tc>
        <w:tc>
          <w:tcPr>
            <w:tcW w:w="220" w:type="dxa"/>
            <w:vAlign w:val="bottom"/>
          </w:tcPr>
          <w:p w14:paraId="2AA10EB7" w14:textId="77777777" w:rsidR="00D1587D" w:rsidRDefault="00D1587D">
            <w:pPr>
              <w:rPr>
                <w:sz w:val="4"/>
                <w:szCs w:val="4"/>
              </w:rPr>
            </w:pPr>
          </w:p>
        </w:tc>
        <w:tc>
          <w:tcPr>
            <w:tcW w:w="140" w:type="dxa"/>
            <w:vAlign w:val="bottom"/>
          </w:tcPr>
          <w:p w14:paraId="7FBE43E4" w14:textId="77777777" w:rsidR="00D1587D" w:rsidRDefault="00D1587D">
            <w:pPr>
              <w:rPr>
                <w:sz w:val="4"/>
                <w:szCs w:val="4"/>
              </w:rPr>
            </w:pPr>
          </w:p>
        </w:tc>
        <w:tc>
          <w:tcPr>
            <w:tcW w:w="80" w:type="dxa"/>
            <w:vAlign w:val="bottom"/>
          </w:tcPr>
          <w:p w14:paraId="413F719F" w14:textId="77777777" w:rsidR="00D1587D" w:rsidRDefault="00D1587D">
            <w:pPr>
              <w:rPr>
                <w:sz w:val="4"/>
                <w:szCs w:val="4"/>
              </w:rPr>
            </w:pPr>
          </w:p>
        </w:tc>
        <w:tc>
          <w:tcPr>
            <w:tcW w:w="620" w:type="dxa"/>
            <w:gridSpan w:val="2"/>
            <w:vAlign w:val="bottom"/>
          </w:tcPr>
          <w:p w14:paraId="39F6BAE7" w14:textId="77777777" w:rsidR="00D1587D" w:rsidRDefault="00D1587D">
            <w:pPr>
              <w:rPr>
                <w:sz w:val="4"/>
                <w:szCs w:val="4"/>
              </w:rPr>
            </w:pPr>
          </w:p>
        </w:tc>
        <w:tc>
          <w:tcPr>
            <w:tcW w:w="180" w:type="dxa"/>
            <w:vAlign w:val="bottom"/>
          </w:tcPr>
          <w:p w14:paraId="496CF719" w14:textId="77777777" w:rsidR="00D1587D" w:rsidRDefault="00D1587D">
            <w:pPr>
              <w:rPr>
                <w:sz w:val="4"/>
                <w:szCs w:val="4"/>
              </w:rPr>
            </w:pPr>
          </w:p>
        </w:tc>
        <w:tc>
          <w:tcPr>
            <w:tcW w:w="100" w:type="dxa"/>
            <w:vAlign w:val="bottom"/>
          </w:tcPr>
          <w:p w14:paraId="74506959" w14:textId="77777777" w:rsidR="00D1587D" w:rsidRDefault="00D1587D">
            <w:pPr>
              <w:rPr>
                <w:sz w:val="4"/>
                <w:szCs w:val="4"/>
              </w:rPr>
            </w:pPr>
          </w:p>
        </w:tc>
        <w:tc>
          <w:tcPr>
            <w:tcW w:w="340" w:type="dxa"/>
            <w:vAlign w:val="bottom"/>
          </w:tcPr>
          <w:p w14:paraId="4BE6716B" w14:textId="77777777" w:rsidR="00D1587D" w:rsidRDefault="00D1587D">
            <w:pPr>
              <w:rPr>
                <w:sz w:val="4"/>
                <w:szCs w:val="4"/>
              </w:rPr>
            </w:pPr>
          </w:p>
        </w:tc>
      </w:tr>
      <w:tr w:rsidR="00D1587D" w14:paraId="24975F15" w14:textId="77777777">
        <w:trPr>
          <w:trHeight w:val="304"/>
        </w:trPr>
        <w:tc>
          <w:tcPr>
            <w:tcW w:w="6120" w:type="dxa"/>
            <w:gridSpan w:val="3"/>
            <w:tcBorders>
              <w:bottom w:val="single" w:sz="8" w:space="0" w:color="CCEEFF"/>
            </w:tcBorders>
            <w:shd w:val="clear" w:color="auto" w:fill="CCEEFF"/>
            <w:vAlign w:val="bottom"/>
          </w:tcPr>
          <w:p w14:paraId="4814D933" w14:textId="77777777" w:rsidR="00D1587D" w:rsidRDefault="00410D07">
            <w:pPr>
              <w:ind w:left="180"/>
              <w:rPr>
                <w:sz w:val="20"/>
                <w:szCs w:val="20"/>
              </w:rPr>
            </w:pPr>
            <w:r>
              <w:rPr>
                <w:rFonts w:ascii="Arial" w:eastAsia="Arial" w:hAnsi="Arial" w:cs="Arial"/>
                <w:sz w:val="18"/>
                <w:szCs w:val="18"/>
              </w:rPr>
              <w:t>Reclassification of Currency Translation to Earnings</w:t>
            </w:r>
          </w:p>
        </w:tc>
        <w:tc>
          <w:tcPr>
            <w:tcW w:w="560" w:type="dxa"/>
            <w:gridSpan w:val="2"/>
            <w:tcBorders>
              <w:bottom w:val="single" w:sz="8" w:space="0" w:color="CCEEFF"/>
            </w:tcBorders>
            <w:shd w:val="clear" w:color="auto" w:fill="CCEEFF"/>
            <w:vAlign w:val="bottom"/>
          </w:tcPr>
          <w:p w14:paraId="62DD61E7" w14:textId="77777777" w:rsidR="00D1587D" w:rsidRDefault="00410D07">
            <w:pPr>
              <w:jc w:val="right"/>
              <w:rPr>
                <w:sz w:val="20"/>
                <w:szCs w:val="20"/>
              </w:rPr>
            </w:pPr>
            <w:r>
              <w:rPr>
                <w:rFonts w:ascii="Arial" w:eastAsia="Arial" w:hAnsi="Arial" w:cs="Arial"/>
                <w:sz w:val="18"/>
                <w:szCs w:val="18"/>
              </w:rPr>
              <w:t>36</w:t>
            </w:r>
          </w:p>
        </w:tc>
        <w:tc>
          <w:tcPr>
            <w:tcW w:w="60" w:type="dxa"/>
            <w:tcBorders>
              <w:bottom w:val="single" w:sz="8" w:space="0" w:color="CCEEFF"/>
            </w:tcBorders>
            <w:shd w:val="clear" w:color="auto" w:fill="CCEEFF"/>
            <w:vAlign w:val="bottom"/>
          </w:tcPr>
          <w:p w14:paraId="6201B5BB" w14:textId="77777777" w:rsidR="00D1587D" w:rsidRDefault="00D1587D">
            <w:pPr>
              <w:rPr>
                <w:sz w:val="24"/>
                <w:szCs w:val="24"/>
              </w:rPr>
            </w:pPr>
          </w:p>
        </w:tc>
        <w:tc>
          <w:tcPr>
            <w:tcW w:w="220" w:type="dxa"/>
            <w:tcBorders>
              <w:bottom w:val="single" w:sz="8" w:space="0" w:color="CCEEFF"/>
            </w:tcBorders>
            <w:shd w:val="clear" w:color="auto" w:fill="CCEEFF"/>
            <w:vAlign w:val="bottom"/>
          </w:tcPr>
          <w:p w14:paraId="76A5A677" w14:textId="77777777" w:rsidR="00D1587D" w:rsidRDefault="00D1587D">
            <w:pPr>
              <w:rPr>
                <w:sz w:val="24"/>
                <w:szCs w:val="24"/>
              </w:rPr>
            </w:pPr>
          </w:p>
        </w:tc>
        <w:tc>
          <w:tcPr>
            <w:tcW w:w="140" w:type="dxa"/>
            <w:tcBorders>
              <w:bottom w:val="single" w:sz="8" w:space="0" w:color="CCEEFF"/>
            </w:tcBorders>
            <w:shd w:val="clear" w:color="auto" w:fill="CCEEFF"/>
            <w:vAlign w:val="bottom"/>
          </w:tcPr>
          <w:p w14:paraId="4BF013C6" w14:textId="77777777" w:rsidR="00D1587D" w:rsidRDefault="00D1587D">
            <w:pPr>
              <w:rPr>
                <w:sz w:val="24"/>
                <w:szCs w:val="24"/>
              </w:rPr>
            </w:pPr>
          </w:p>
        </w:tc>
        <w:tc>
          <w:tcPr>
            <w:tcW w:w="80" w:type="dxa"/>
            <w:tcBorders>
              <w:bottom w:val="single" w:sz="8" w:space="0" w:color="CCEEFF"/>
            </w:tcBorders>
            <w:shd w:val="clear" w:color="auto" w:fill="CCEEFF"/>
            <w:vAlign w:val="bottom"/>
          </w:tcPr>
          <w:p w14:paraId="5433662D"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52E39E9E" w14:textId="77777777" w:rsidR="00D1587D" w:rsidRDefault="00410D07">
            <w:pPr>
              <w:ind w:right="300"/>
              <w:jc w:val="right"/>
              <w:rPr>
                <w:sz w:val="20"/>
                <w:szCs w:val="20"/>
              </w:rPr>
            </w:pPr>
            <w:r>
              <w:rPr>
                <w:rFonts w:ascii="Arial" w:eastAsia="Arial" w:hAnsi="Arial" w:cs="Arial"/>
                <w:sz w:val="18"/>
                <w:szCs w:val="18"/>
              </w:rPr>
              <w:t>—</w:t>
            </w:r>
          </w:p>
        </w:tc>
        <w:tc>
          <w:tcPr>
            <w:tcW w:w="180" w:type="dxa"/>
            <w:tcBorders>
              <w:bottom w:val="single" w:sz="8" w:space="0" w:color="CCEEFF"/>
            </w:tcBorders>
            <w:shd w:val="clear" w:color="auto" w:fill="CCEEFF"/>
            <w:vAlign w:val="bottom"/>
          </w:tcPr>
          <w:p w14:paraId="0148FE2D"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84BB19A" w14:textId="77777777" w:rsidR="00D1587D" w:rsidRDefault="00D1587D">
            <w:pPr>
              <w:rPr>
                <w:sz w:val="24"/>
                <w:szCs w:val="24"/>
              </w:rPr>
            </w:pPr>
          </w:p>
        </w:tc>
        <w:tc>
          <w:tcPr>
            <w:tcW w:w="340" w:type="dxa"/>
            <w:tcBorders>
              <w:bottom w:val="single" w:sz="8" w:space="0" w:color="CCEEFF"/>
            </w:tcBorders>
            <w:shd w:val="clear" w:color="auto" w:fill="CCEEFF"/>
            <w:vAlign w:val="bottom"/>
          </w:tcPr>
          <w:p w14:paraId="3AE9560F" w14:textId="77777777" w:rsidR="00D1587D" w:rsidRDefault="00410D07">
            <w:pPr>
              <w:jc w:val="right"/>
              <w:rPr>
                <w:sz w:val="20"/>
                <w:szCs w:val="20"/>
              </w:rPr>
            </w:pPr>
            <w:r>
              <w:rPr>
                <w:rFonts w:ascii="Arial" w:eastAsia="Arial" w:hAnsi="Arial" w:cs="Arial"/>
                <w:sz w:val="18"/>
                <w:szCs w:val="18"/>
              </w:rPr>
              <w:t>—</w:t>
            </w:r>
          </w:p>
        </w:tc>
      </w:tr>
      <w:tr w:rsidR="00D1587D" w14:paraId="76D7580A" w14:textId="77777777">
        <w:trPr>
          <w:trHeight w:val="270"/>
        </w:trPr>
        <w:tc>
          <w:tcPr>
            <w:tcW w:w="6120" w:type="dxa"/>
            <w:gridSpan w:val="3"/>
            <w:vAlign w:val="bottom"/>
          </w:tcPr>
          <w:p w14:paraId="5E27761A" w14:textId="77777777" w:rsidR="00D1587D" w:rsidRDefault="00410D07">
            <w:pPr>
              <w:ind w:left="180"/>
              <w:rPr>
                <w:sz w:val="20"/>
                <w:szCs w:val="20"/>
              </w:rPr>
            </w:pPr>
            <w:r>
              <w:rPr>
                <w:rFonts w:ascii="Arial" w:eastAsia="Arial" w:hAnsi="Arial" w:cs="Arial"/>
                <w:sz w:val="18"/>
                <w:szCs w:val="18"/>
              </w:rPr>
              <w:t>Unrealized Gain on Cash Flow Hedges</w:t>
            </w:r>
          </w:p>
        </w:tc>
        <w:tc>
          <w:tcPr>
            <w:tcW w:w="180" w:type="dxa"/>
            <w:vAlign w:val="bottom"/>
          </w:tcPr>
          <w:p w14:paraId="2AEABC9B" w14:textId="77777777" w:rsidR="00D1587D" w:rsidRDefault="00D1587D">
            <w:pPr>
              <w:rPr>
                <w:sz w:val="23"/>
                <w:szCs w:val="23"/>
              </w:rPr>
            </w:pPr>
          </w:p>
        </w:tc>
        <w:tc>
          <w:tcPr>
            <w:tcW w:w="660" w:type="dxa"/>
            <w:gridSpan w:val="3"/>
            <w:vAlign w:val="bottom"/>
          </w:tcPr>
          <w:p w14:paraId="0A525523" w14:textId="77777777" w:rsidR="00D1587D" w:rsidRDefault="00410D07">
            <w:pPr>
              <w:ind w:right="340"/>
              <w:jc w:val="right"/>
              <w:rPr>
                <w:sz w:val="20"/>
                <w:szCs w:val="20"/>
              </w:rPr>
            </w:pPr>
            <w:r>
              <w:rPr>
                <w:rFonts w:ascii="Arial" w:eastAsia="Arial" w:hAnsi="Arial" w:cs="Arial"/>
                <w:sz w:val="18"/>
                <w:szCs w:val="18"/>
              </w:rPr>
              <w:t>—</w:t>
            </w:r>
          </w:p>
        </w:tc>
        <w:tc>
          <w:tcPr>
            <w:tcW w:w="140" w:type="dxa"/>
            <w:vAlign w:val="bottom"/>
          </w:tcPr>
          <w:p w14:paraId="1398D67E" w14:textId="77777777" w:rsidR="00D1587D" w:rsidRDefault="00D1587D">
            <w:pPr>
              <w:rPr>
                <w:sz w:val="23"/>
                <w:szCs w:val="23"/>
              </w:rPr>
            </w:pPr>
          </w:p>
        </w:tc>
        <w:tc>
          <w:tcPr>
            <w:tcW w:w="80" w:type="dxa"/>
            <w:vAlign w:val="bottom"/>
          </w:tcPr>
          <w:p w14:paraId="69694AC8" w14:textId="77777777" w:rsidR="00D1587D" w:rsidRDefault="00D1587D">
            <w:pPr>
              <w:rPr>
                <w:sz w:val="23"/>
                <w:szCs w:val="23"/>
              </w:rPr>
            </w:pPr>
          </w:p>
        </w:tc>
        <w:tc>
          <w:tcPr>
            <w:tcW w:w="400" w:type="dxa"/>
            <w:vAlign w:val="bottom"/>
          </w:tcPr>
          <w:p w14:paraId="0766BE8A" w14:textId="77777777" w:rsidR="00D1587D" w:rsidRDefault="00410D07">
            <w:pPr>
              <w:jc w:val="right"/>
              <w:rPr>
                <w:sz w:val="20"/>
                <w:szCs w:val="20"/>
              </w:rPr>
            </w:pPr>
            <w:r>
              <w:rPr>
                <w:rFonts w:ascii="Arial" w:eastAsia="Arial" w:hAnsi="Arial" w:cs="Arial"/>
                <w:sz w:val="18"/>
                <w:szCs w:val="18"/>
              </w:rPr>
              <w:t>1</w:t>
            </w:r>
          </w:p>
        </w:tc>
        <w:tc>
          <w:tcPr>
            <w:tcW w:w="220" w:type="dxa"/>
            <w:vAlign w:val="bottom"/>
          </w:tcPr>
          <w:p w14:paraId="0BA86C7B" w14:textId="77777777" w:rsidR="00D1587D" w:rsidRDefault="00D1587D">
            <w:pPr>
              <w:rPr>
                <w:sz w:val="23"/>
                <w:szCs w:val="23"/>
              </w:rPr>
            </w:pPr>
          </w:p>
        </w:tc>
        <w:tc>
          <w:tcPr>
            <w:tcW w:w="180" w:type="dxa"/>
            <w:vAlign w:val="bottom"/>
          </w:tcPr>
          <w:p w14:paraId="575674F0" w14:textId="77777777" w:rsidR="00D1587D" w:rsidRDefault="00D1587D">
            <w:pPr>
              <w:rPr>
                <w:sz w:val="23"/>
                <w:szCs w:val="23"/>
              </w:rPr>
            </w:pPr>
          </w:p>
        </w:tc>
        <w:tc>
          <w:tcPr>
            <w:tcW w:w="100" w:type="dxa"/>
            <w:vAlign w:val="bottom"/>
          </w:tcPr>
          <w:p w14:paraId="2AD0F541" w14:textId="77777777" w:rsidR="00D1587D" w:rsidRDefault="00D1587D">
            <w:pPr>
              <w:rPr>
                <w:sz w:val="23"/>
                <w:szCs w:val="23"/>
              </w:rPr>
            </w:pPr>
          </w:p>
        </w:tc>
        <w:tc>
          <w:tcPr>
            <w:tcW w:w="340" w:type="dxa"/>
            <w:vAlign w:val="bottom"/>
          </w:tcPr>
          <w:p w14:paraId="2D5D7ED4" w14:textId="77777777" w:rsidR="00D1587D" w:rsidRDefault="00410D07">
            <w:pPr>
              <w:jc w:val="right"/>
              <w:rPr>
                <w:sz w:val="20"/>
                <w:szCs w:val="20"/>
              </w:rPr>
            </w:pPr>
            <w:r>
              <w:rPr>
                <w:rFonts w:ascii="Arial" w:eastAsia="Arial" w:hAnsi="Arial" w:cs="Arial"/>
                <w:sz w:val="18"/>
                <w:szCs w:val="18"/>
              </w:rPr>
              <w:t>6</w:t>
            </w:r>
          </w:p>
        </w:tc>
      </w:tr>
      <w:tr w:rsidR="00D1587D" w14:paraId="4CE260DF" w14:textId="77777777">
        <w:trPr>
          <w:trHeight w:val="54"/>
        </w:trPr>
        <w:tc>
          <w:tcPr>
            <w:tcW w:w="6100" w:type="dxa"/>
            <w:gridSpan w:val="2"/>
            <w:vAlign w:val="bottom"/>
          </w:tcPr>
          <w:p w14:paraId="3E596D58" w14:textId="77777777" w:rsidR="00D1587D" w:rsidRDefault="00D1587D">
            <w:pPr>
              <w:rPr>
                <w:sz w:val="4"/>
                <w:szCs w:val="4"/>
              </w:rPr>
            </w:pPr>
          </w:p>
        </w:tc>
        <w:tc>
          <w:tcPr>
            <w:tcW w:w="20" w:type="dxa"/>
            <w:vAlign w:val="bottom"/>
          </w:tcPr>
          <w:p w14:paraId="07C4B099" w14:textId="77777777" w:rsidR="00D1587D" w:rsidRDefault="00D1587D">
            <w:pPr>
              <w:rPr>
                <w:sz w:val="4"/>
                <w:szCs w:val="4"/>
              </w:rPr>
            </w:pPr>
          </w:p>
        </w:tc>
        <w:tc>
          <w:tcPr>
            <w:tcW w:w="180" w:type="dxa"/>
            <w:vAlign w:val="bottom"/>
          </w:tcPr>
          <w:p w14:paraId="1FB79914" w14:textId="77777777" w:rsidR="00D1587D" w:rsidRDefault="00D1587D">
            <w:pPr>
              <w:rPr>
                <w:sz w:val="4"/>
                <w:szCs w:val="4"/>
              </w:rPr>
            </w:pPr>
          </w:p>
        </w:tc>
        <w:tc>
          <w:tcPr>
            <w:tcW w:w="380" w:type="dxa"/>
            <w:vAlign w:val="bottom"/>
          </w:tcPr>
          <w:p w14:paraId="61785048" w14:textId="77777777" w:rsidR="00D1587D" w:rsidRDefault="00D1587D">
            <w:pPr>
              <w:rPr>
                <w:sz w:val="4"/>
                <w:szCs w:val="4"/>
              </w:rPr>
            </w:pPr>
          </w:p>
        </w:tc>
        <w:tc>
          <w:tcPr>
            <w:tcW w:w="280" w:type="dxa"/>
            <w:gridSpan w:val="2"/>
            <w:vAlign w:val="bottom"/>
          </w:tcPr>
          <w:p w14:paraId="5FACC6F3" w14:textId="77777777" w:rsidR="00D1587D" w:rsidRDefault="00D1587D">
            <w:pPr>
              <w:rPr>
                <w:sz w:val="4"/>
                <w:szCs w:val="4"/>
              </w:rPr>
            </w:pPr>
          </w:p>
        </w:tc>
        <w:tc>
          <w:tcPr>
            <w:tcW w:w="140" w:type="dxa"/>
            <w:vAlign w:val="bottom"/>
          </w:tcPr>
          <w:p w14:paraId="02594E98" w14:textId="77777777" w:rsidR="00D1587D" w:rsidRDefault="00D1587D">
            <w:pPr>
              <w:rPr>
                <w:sz w:val="4"/>
                <w:szCs w:val="4"/>
              </w:rPr>
            </w:pPr>
          </w:p>
        </w:tc>
        <w:tc>
          <w:tcPr>
            <w:tcW w:w="80" w:type="dxa"/>
            <w:vAlign w:val="bottom"/>
          </w:tcPr>
          <w:p w14:paraId="3728C96D" w14:textId="77777777" w:rsidR="00D1587D" w:rsidRDefault="00D1587D">
            <w:pPr>
              <w:rPr>
                <w:sz w:val="4"/>
                <w:szCs w:val="4"/>
              </w:rPr>
            </w:pPr>
          </w:p>
        </w:tc>
        <w:tc>
          <w:tcPr>
            <w:tcW w:w="400" w:type="dxa"/>
            <w:vAlign w:val="bottom"/>
          </w:tcPr>
          <w:p w14:paraId="32C43AE2" w14:textId="77777777" w:rsidR="00D1587D" w:rsidRDefault="00D1587D">
            <w:pPr>
              <w:rPr>
                <w:sz w:val="4"/>
                <w:szCs w:val="4"/>
              </w:rPr>
            </w:pPr>
          </w:p>
        </w:tc>
        <w:tc>
          <w:tcPr>
            <w:tcW w:w="220" w:type="dxa"/>
            <w:vAlign w:val="bottom"/>
          </w:tcPr>
          <w:p w14:paraId="2D13CA3E" w14:textId="77777777" w:rsidR="00D1587D" w:rsidRDefault="00D1587D">
            <w:pPr>
              <w:rPr>
                <w:sz w:val="4"/>
                <w:szCs w:val="4"/>
              </w:rPr>
            </w:pPr>
          </w:p>
        </w:tc>
        <w:tc>
          <w:tcPr>
            <w:tcW w:w="180" w:type="dxa"/>
            <w:vAlign w:val="bottom"/>
          </w:tcPr>
          <w:p w14:paraId="6B4273B4" w14:textId="77777777" w:rsidR="00D1587D" w:rsidRDefault="00D1587D">
            <w:pPr>
              <w:rPr>
                <w:sz w:val="4"/>
                <w:szCs w:val="4"/>
              </w:rPr>
            </w:pPr>
          </w:p>
        </w:tc>
        <w:tc>
          <w:tcPr>
            <w:tcW w:w="100" w:type="dxa"/>
            <w:vAlign w:val="bottom"/>
          </w:tcPr>
          <w:p w14:paraId="6F5DAFA8" w14:textId="77777777" w:rsidR="00D1587D" w:rsidRDefault="00D1587D">
            <w:pPr>
              <w:rPr>
                <w:sz w:val="4"/>
                <w:szCs w:val="4"/>
              </w:rPr>
            </w:pPr>
          </w:p>
        </w:tc>
        <w:tc>
          <w:tcPr>
            <w:tcW w:w="340" w:type="dxa"/>
            <w:vAlign w:val="bottom"/>
          </w:tcPr>
          <w:p w14:paraId="7828B631" w14:textId="77777777" w:rsidR="00D1587D" w:rsidRDefault="00D1587D">
            <w:pPr>
              <w:rPr>
                <w:sz w:val="4"/>
                <w:szCs w:val="4"/>
              </w:rPr>
            </w:pPr>
          </w:p>
        </w:tc>
      </w:tr>
      <w:tr w:rsidR="00D1587D" w14:paraId="5C8096B2" w14:textId="77777777">
        <w:trPr>
          <w:trHeight w:val="270"/>
        </w:trPr>
        <w:tc>
          <w:tcPr>
            <w:tcW w:w="6120" w:type="dxa"/>
            <w:gridSpan w:val="3"/>
            <w:shd w:val="clear" w:color="auto" w:fill="CCEEFF"/>
            <w:vAlign w:val="bottom"/>
          </w:tcPr>
          <w:p w14:paraId="23AB3A95" w14:textId="77777777" w:rsidR="00D1587D" w:rsidRDefault="00410D07">
            <w:pPr>
              <w:ind w:left="180"/>
              <w:rPr>
                <w:sz w:val="20"/>
                <w:szCs w:val="20"/>
              </w:rPr>
            </w:pPr>
            <w:r>
              <w:rPr>
                <w:rFonts w:ascii="Arial" w:eastAsia="Arial" w:hAnsi="Arial" w:cs="Arial"/>
                <w:sz w:val="18"/>
                <w:szCs w:val="18"/>
              </w:rPr>
              <w:t>Reclassification of Cash Flow Hedges to Earnings</w:t>
            </w:r>
          </w:p>
        </w:tc>
        <w:tc>
          <w:tcPr>
            <w:tcW w:w="180" w:type="dxa"/>
            <w:shd w:val="clear" w:color="auto" w:fill="CCEEFF"/>
            <w:vAlign w:val="bottom"/>
          </w:tcPr>
          <w:p w14:paraId="7AF32B5C" w14:textId="77777777" w:rsidR="00D1587D" w:rsidRDefault="00D1587D">
            <w:pPr>
              <w:rPr>
                <w:sz w:val="23"/>
                <w:szCs w:val="23"/>
              </w:rPr>
            </w:pPr>
          </w:p>
        </w:tc>
        <w:tc>
          <w:tcPr>
            <w:tcW w:w="660" w:type="dxa"/>
            <w:gridSpan w:val="3"/>
            <w:shd w:val="clear" w:color="auto" w:fill="CCEEFF"/>
            <w:vAlign w:val="bottom"/>
          </w:tcPr>
          <w:p w14:paraId="5DD36254" w14:textId="77777777" w:rsidR="00D1587D" w:rsidRDefault="00410D07">
            <w:pPr>
              <w:ind w:right="340"/>
              <w:jc w:val="right"/>
              <w:rPr>
                <w:sz w:val="20"/>
                <w:szCs w:val="20"/>
              </w:rPr>
            </w:pPr>
            <w:r>
              <w:rPr>
                <w:rFonts w:ascii="Arial" w:eastAsia="Arial" w:hAnsi="Arial" w:cs="Arial"/>
                <w:sz w:val="18"/>
                <w:szCs w:val="18"/>
              </w:rPr>
              <w:t>—</w:t>
            </w:r>
          </w:p>
        </w:tc>
        <w:tc>
          <w:tcPr>
            <w:tcW w:w="140" w:type="dxa"/>
            <w:shd w:val="clear" w:color="auto" w:fill="CCEEFF"/>
            <w:vAlign w:val="bottom"/>
          </w:tcPr>
          <w:p w14:paraId="11701EBD" w14:textId="77777777" w:rsidR="00D1587D" w:rsidRDefault="00D1587D">
            <w:pPr>
              <w:rPr>
                <w:sz w:val="23"/>
                <w:szCs w:val="23"/>
              </w:rPr>
            </w:pPr>
          </w:p>
        </w:tc>
        <w:tc>
          <w:tcPr>
            <w:tcW w:w="80" w:type="dxa"/>
            <w:shd w:val="clear" w:color="auto" w:fill="CCEEFF"/>
            <w:vAlign w:val="bottom"/>
          </w:tcPr>
          <w:p w14:paraId="1557F38F" w14:textId="77777777" w:rsidR="00D1587D" w:rsidRDefault="00D1587D">
            <w:pPr>
              <w:rPr>
                <w:sz w:val="23"/>
                <w:szCs w:val="23"/>
              </w:rPr>
            </w:pPr>
          </w:p>
        </w:tc>
        <w:tc>
          <w:tcPr>
            <w:tcW w:w="400" w:type="dxa"/>
            <w:shd w:val="clear" w:color="auto" w:fill="CCEEFF"/>
            <w:vAlign w:val="bottom"/>
          </w:tcPr>
          <w:p w14:paraId="6A275F95" w14:textId="77777777" w:rsidR="00D1587D" w:rsidRDefault="00410D07">
            <w:pPr>
              <w:jc w:val="right"/>
              <w:rPr>
                <w:sz w:val="20"/>
                <w:szCs w:val="20"/>
              </w:rPr>
            </w:pPr>
            <w:r>
              <w:rPr>
                <w:rFonts w:ascii="Arial" w:eastAsia="Arial" w:hAnsi="Arial" w:cs="Arial"/>
                <w:sz w:val="18"/>
                <w:szCs w:val="18"/>
              </w:rPr>
              <w:t>(3)</w:t>
            </w:r>
          </w:p>
        </w:tc>
        <w:tc>
          <w:tcPr>
            <w:tcW w:w="220" w:type="dxa"/>
            <w:shd w:val="clear" w:color="auto" w:fill="CCEEFF"/>
            <w:vAlign w:val="bottom"/>
          </w:tcPr>
          <w:p w14:paraId="038ABE89" w14:textId="77777777" w:rsidR="00D1587D" w:rsidRDefault="00D1587D">
            <w:pPr>
              <w:rPr>
                <w:sz w:val="23"/>
                <w:szCs w:val="23"/>
              </w:rPr>
            </w:pPr>
          </w:p>
        </w:tc>
        <w:tc>
          <w:tcPr>
            <w:tcW w:w="180" w:type="dxa"/>
            <w:shd w:val="clear" w:color="auto" w:fill="CCEEFF"/>
            <w:vAlign w:val="bottom"/>
          </w:tcPr>
          <w:p w14:paraId="7CBC345B" w14:textId="77777777" w:rsidR="00D1587D" w:rsidRDefault="00D1587D">
            <w:pPr>
              <w:rPr>
                <w:sz w:val="23"/>
                <w:szCs w:val="23"/>
              </w:rPr>
            </w:pPr>
          </w:p>
        </w:tc>
        <w:tc>
          <w:tcPr>
            <w:tcW w:w="100" w:type="dxa"/>
            <w:shd w:val="clear" w:color="auto" w:fill="CCEEFF"/>
            <w:vAlign w:val="bottom"/>
          </w:tcPr>
          <w:p w14:paraId="5B3175CD" w14:textId="77777777" w:rsidR="00D1587D" w:rsidRDefault="00D1587D">
            <w:pPr>
              <w:rPr>
                <w:sz w:val="23"/>
                <w:szCs w:val="23"/>
              </w:rPr>
            </w:pPr>
          </w:p>
        </w:tc>
        <w:tc>
          <w:tcPr>
            <w:tcW w:w="340" w:type="dxa"/>
            <w:shd w:val="clear" w:color="auto" w:fill="CCEEFF"/>
            <w:vAlign w:val="bottom"/>
          </w:tcPr>
          <w:p w14:paraId="1381254C" w14:textId="77777777" w:rsidR="00D1587D" w:rsidRDefault="00410D07">
            <w:pPr>
              <w:jc w:val="right"/>
              <w:rPr>
                <w:sz w:val="20"/>
                <w:szCs w:val="20"/>
              </w:rPr>
            </w:pPr>
            <w:r>
              <w:rPr>
                <w:rFonts w:ascii="Arial" w:eastAsia="Arial" w:hAnsi="Arial" w:cs="Arial"/>
                <w:sz w:val="18"/>
                <w:szCs w:val="18"/>
              </w:rPr>
              <w:t>2</w:t>
            </w:r>
          </w:p>
        </w:tc>
      </w:tr>
      <w:tr w:rsidR="00D1587D" w14:paraId="57C3D905" w14:textId="77777777">
        <w:trPr>
          <w:trHeight w:val="68"/>
        </w:trPr>
        <w:tc>
          <w:tcPr>
            <w:tcW w:w="6100" w:type="dxa"/>
            <w:gridSpan w:val="2"/>
            <w:shd w:val="clear" w:color="auto" w:fill="CCEEFF"/>
            <w:vAlign w:val="bottom"/>
          </w:tcPr>
          <w:p w14:paraId="4C220C72" w14:textId="77777777" w:rsidR="00D1587D" w:rsidRDefault="00D1587D">
            <w:pPr>
              <w:rPr>
                <w:sz w:val="5"/>
                <w:szCs w:val="5"/>
              </w:rPr>
            </w:pPr>
          </w:p>
        </w:tc>
        <w:tc>
          <w:tcPr>
            <w:tcW w:w="20" w:type="dxa"/>
            <w:tcBorders>
              <w:bottom w:val="single" w:sz="8" w:space="0" w:color="CCEEFF"/>
            </w:tcBorders>
            <w:shd w:val="clear" w:color="auto" w:fill="CCEEFF"/>
            <w:vAlign w:val="bottom"/>
          </w:tcPr>
          <w:p w14:paraId="51444CD3" w14:textId="77777777" w:rsidR="00D1587D" w:rsidRDefault="00D1587D">
            <w:pPr>
              <w:rPr>
                <w:sz w:val="5"/>
                <w:szCs w:val="5"/>
              </w:rPr>
            </w:pPr>
          </w:p>
        </w:tc>
        <w:tc>
          <w:tcPr>
            <w:tcW w:w="180" w:type="dxa"/>
            <w:tcBorders>
              <w:bottom w:val="single" w:sz="8" w:space="0" w:color="CCEEFF"/>
            </w:tcBorders>
            <w:shd w:val="clear" w:color="auto" w:fill="CCEEFF"/>
            <w:vAlign w:val="bottom"/>
          </w:tcPr>
          <w:p w14:paraId="44442B92" w14:textId="77777777" w:rsidR="00D1587D" w:rsidRDefault="00D1587D">
            <w:pPr>
              <w:rPr>
                <w:sz w:val="5"/>
                <w:szCs w:val="5"/>
              </w:rPr>
            </w:pPr>
          </w:p>
        </w:tc>
        <w:tc>
          <w:tcPr>
            <w:tcW w:w="380" w:type="dxa"/>
            <w:tcBorders>
              <w:bottom w:val="single" w:sz="8" w:space="0" w:color="auto"/>
            </w:tcBorders>
            <w:shd w:val="clear" w:color="auto" w:fill="CCEEFF"/>
            <w:vAlign w:val="bottom"/>
          </w:tcPr>
          <w:p w14:paraId="06484F9E" w14:textId="77777777" w:rsidR="00D1587D" w:rsidRDefault="00D1587D">
            <w:pPr>
              <w:rPr>
                <w:sz w:val="5"/>
                <w:szCs w:val="5"/>
              </w:rPr>
            </w:pPr>
          </w:p>
        </w:tc>
        <w:tc>
          <w:tcPr>
            <w:tcW w:w="60" w:type="dxa"/>
            <w:tcBorders>
              <w:bottom w:val="single" w:sz="8" w:space="0" w:color="CCEEFF"/>
            </w:tcBorders>
            <w:shd w:val="clear" w:color="auto" w:fill="CCEEFF"/>
            <w:vAlign w:val="bottom"/>
          </w:tcPr>
          <w:p w14:paraId="1F231021" w14:textId="77777777" w:rsidR="00D1587D" w:rsidRDefault="00D1587D">
            <w:pPr>
              <w:rPr>
                <w:sz w:val="5"/>
                <w:szCs w:val="5"/>
              </w:rPr>
            </w:pPr>
          </w:p>
        </w:tc>
        <w:tc>
          <w:tcPr>
            <w:tcW w:w="220" w:type="dxa"/>
            <w:tcBorders>
              <w:bottom w:val="single" w:sz="8" w:space="0" w:color="CCEEFF"/>
            </w:tcBorders>
            <w:shd w:val="clear" w:color="auto" w:fill="CCEEFF"/>
            <w:vAlign w:val="bottom"/>
          </w:tcPr>
          <w:p w14:paraId="1F2E9084" w14:textId="77777777" w:rsidR="00D1587D" w:rsidRDefault="00D1587D">
            <w:pPr>
              <w:rPr>
                <w:sz w:val="5"/>
                <w:szCs w:val="5"/>
              </w:rPr>
            </w:pPr>
          </w:p>
        </w:tc>
        <w:tc>
          <w:tcPr>
            <w:tcW w:w="140" w:type="dxa"/>
            <w:tcBorders>
              <w:bottom w:val="single" w:sz="8" w:space="0" w:color="CCEEFF"/>
            </w:tcBorders>
            <w:shd w:val="clear" w:color="auto" w:fill="CCEEFF"/>
            <w:vAlign w:val="bottom"/>
          </w:tcPr>
          <w:p w14:paraId="586AD937" w14:textId="77777777" w:rsidR="00D1587D" w:rsidRDefault="00D1587D">
            <w:pPr>
              <w:rPr>
                <w:sz w:val="5"/>
                <w:szCs w:val="5"/>
              </w:rPr>
            </w:pPr>
          </w:p>
        </w:tc>
        <w:tc>
          <w:tcPr>
            <w:tcW w:w="80" w:type="dxa"/>
            <w:tcBorders>
              <w:bottom w:val="single" w:sz="8" w:space="0" w:color="auto"/>
            </w:tcBorders>
            <w:shd w:val="clear" w:color="auto" w:fill="CCEEFF"/>
            <w:vAlign w:val="bottom"/>
          </w:tcPr>
          <w:p w14:paraId="161BF4D7" w14:textId="77777777" w:rsidR="00D1587D" w:rsidRDefault="00D1587D">
            <w:pPr>
              <w:rPr>
                <w:sz w:val="5"/>
                <w:szCs w:val="5"/>
              </w:rPr>
            </w:pPr>
          </w:p>
        </w:tc>
        <w:tc>
          <w:tcPr>
            <w:tcW w:w="400" w:type="dxa"/>
            <w:tcBorders>
              <w:bottom w:val="single" w:sz="8" w:space="0" w:color="auto"/>
            </w:tcBorders>
            <w:shd w:val="clear" w:color="auto" w:fill="CCEEFF"/>
            <w:vAlign w:val="bottom"/>
          </w:tcPr>
          <w:p w14:paraId="498C981F" w14:textId="77777777" w:rsidR="00D1587D" w:rsidRDefault="00D1587D">
            <w:pPr>
              <w:rPr>
                <w:sz w:val="5"/>
                <w:szCs w:val="5"/>
              </w:rPr>
            </w:pPr>
          </w:p>
        </w:tc>
        <w:tc>
          <w:tcPr>
            <w:tcW w:w="220" w:type="dxa"/>
            <w:tcBorders>
              <w:bottom w:val="single" w:sz="8" w:space="0" w:color="CCEEFF"/>
            </w:tcBorders>
            <w:shd w:val="clear" w:color="auto" w:fill="CCEEFF"/>
            <w:vAlign w:val="bottom"/>
          </w:tcPr>
          <w:p w14:paraId="31B4CA0F" w14:textId="77777777" w:rsidR="00D1587D" w:rsidRDefault="00D1587D">
            <w:pPr>
              <w:rPr>
                <w:sz w:val="5"/>
                <w:szCs w:val="5"/>
              </w:rPr>
            </w:pPr>
          </w:p>
        </w:tc>
        <w:tc>
          <w:tcPr>
            <w:tcW w:w="180" w:type="dxa"/>
            <w:tcBorders>
              <w:bottom w:val="single" w:sz="8" w:space="0" w:color="CCEEFF"/>
            </w:tcBorders>
            <w:shd w:val="clear" w:color="auto" w:fill="CCEEFF"/>
            <w:vAlign w:val="bottom"/>
          </w:tcPr>
          <w:p w14:paraId="7FB87165" w14:textId="77777777" w:rsidR="00D1587D" w:rsidRDefault="00D1587D">
            <w:pPr>
              <w:rPr>
                <w:sz w:val="5"/>
                <w:szCs w:val="5"/>
              </w:rPr>
            </w:pPr>
          </w:p>
        </w:tc>
        <w:tc>
          <w:tcPr>
            <w:tcW w:w="100" w:type="dxa"/>
            <w:tcBorders>
              <w:bottom w:val="single" w:sz="8" w:space="0" w:color="auto"/>
            </w:tcBorders>
            <w:shd w:val="clear" w:color="auto" w:fill="CCEEFF"/>
            <w:vAlign w:val="bottom"/>
          </w:tcPr>
          <w:p w14:paraId="61E328A0" w14:textId="77777777" w:rsidR="00D1587D" w:rsidRDefault="00D1587D">
            <w:pPr>
              <w:rPr>
                <w:sz w:val="5"/>
                <w:szCs w:val="5"/>
              </w:rPr>
            </w:pPr>
          </w:p>
        </w:tc>
        <w:tc>
          <w:tcPr>
            <w:tcW w:w="340" w:type="dxa"/>
            <w:tcBorders>
              <w:bottom w:val="single" w:sz="8" w:space="0" w:color="auto"/>
            </w:tcBorders>
            <w:shd w:val="clear" w:color="auto" w:fill="CCEEFF"/>
            <w:vAlign w:val="bottom"/>
          </w:tcPr>
          <w:p w14:paraId="629A628E" w14:textId="77777777" w:rsidR="00D1587D" w:rsidRDefault="00D1587D">
            <w:pPr>
              <w:rPr>
                <w:sz w:val="5"/>
                <w:szCs w:val="5"/>
              </w:rPr>
            </w:pPr>
          </w:p>
        </w:tc>
      </w:tr>
      <w:tr w:rsidR="00D1587D" w14:paraId="450F40BB" w14:textId="77777777">
        <w:trPr>
          <w:trHeight w:val="277"/>
        </w:trPr>
        <w:tc>
          <w:tcPr>
            <w:tcW w:w="6120" w:type="dxa"/>
            <w:gridSpan w:val="3"/>
            <w:vAlign w:val="bottom"/>
          </w:tcPr>
          <w:p w14:paraId="0F698330" w14:textId="77777777" w:rsidR="00D1587D" w:rsidRDefault="00410D07">
            <w:pPr>
              <w:rPr>
                <w:sz w:val="20"/>
                <w:szCs w:val="20"/>
              </w:rPr>
            </w:pPr>
            <w:r>
              <w:rPr>
                <w:rFonts w:ascii="Arial" w:eastAsia="Arial" w:hAnsi="Arial" w:cs="Arial"/>
                <w:sz w:val="18"/>
                <w:szCs w:val="18"/>
              </w:rPr>
              <w:t>Total Other Comprehensive Income (Loss), Net of Tax</w:t>
            </w:r>
          </w:p>
        </w:tc>
        <w:tc>
          <w:tcPr>
            <w:tcW w:w="560" w:type="dxa"/>
            <w:gridSpan w:val="2"/>
            <w:vAlign w:val="bottom"/>
          </w:tcPr>
          <w:p w14:paraId="5DDA9144" w14:textId="77777777" w:rsidR="00D1587D" w:rsidRDefault="00410D07">
            <w:pPr>
              <w:jc w:val="right"/>
              <w:rPr>
                <w:sz w:val="20"/>
                <w:szCs w:val="20"/>
              </w:rPr>
            </w:pPr>
            <w:r>
              <w:rPr>
                <w:rFonts w:ascii="Arial" w:eastAsia="Arial" w:hAnsi="Arial" w:cs="Arial"/>
                <w:sz w:val="18"/>
                <w:szCs w:val="18"/>
              </w:rPr>
              <w:t>$ 33</w:t>
            </w:r>
          </w:p>
        </w:tc>
        <w:tc>
          <w:tcPr>
            <w:tcW w:w="60" w:type="dxa"/>
            <w:vAlign w:val="bottom"/>
          </w:tcPr>
          <w:p w14:paraId="2503CCD3" w14:textId="77777777" w:rsidR="00D1587D" w:rsidRDefault="00D1587D">
            <w:pPr>
              <w:rPr>
                <w:sz w:val="24"/>
                <w:szCs w:val="24"/>
              </w:rPr>
            </w:pPr>
          </w:p>
        </w:tc>
        <w:tc>
          <w:tcPr>
            <w:tcW w:w="220" w:type="dxa"/>
            <w:vAlign w:val="bottom"/>
          </w:tcPr>
          <w:p w14:paraId="1DD57C71" w14:textId="77777777" w:rsidR="00D1587D" w:rsidRDefault="00D1587D">
            <w:pPr>
              <w:rPr>
                <w:sz w:val="24"/>
                <w:szCs w:val="24"/>
              </w:rPr>
            </w:pPr>
          </w:p>
        </w:tc>
        <w:tc>
          <w:tcPr>
            <w:tcW w:w="220" w:type="dxa"/>
            <w:gridSpan w:val="2"/>
            <w:vAlign w:val="bottom"/>
          </w:tcPr>
          <w:p w14:paraId="2213C0F6" w14:textId="77777777" w:rsidR="00D1587D" w:rsidRDefault="00410D07">
            <w:pPr>
              <w:jc w:val="right"/>
              <w:rPr>
                <w:sz w:val="20"/>
                <w:szCs w:val="20"/>
              </w:rPr>
            </w:pPr>
            <w:r>
              <w:rPr>
                <w:rFonts w:ascii="Arial" w:eastAsia="Arial" w:hAnsi="Arial" w:cs="Arial"/>
                <w:sz w:val="18"/>
                <w:szCs w:val="18"/>
              </w:rPr>
              <w:t>$</w:t>
            </w:r>
          </w:p>
        </w:tc>
        <w:tc>
          <w:tcPr>
            <w:tcW w:w="400" w:type="dxa"/>
            <w:vAlign w:val="bottom"/>
          </w:tcPr>
          <w:p w14:paraId="6ADE62E6" w14:textId="77777777" w:rsidR="00D1587D" w:rsidRDefault="00410D07">
            <w:pPr>
              <w:jc w:val="right"/>
              <w:rPr>
                <w:sz w:val="20"/>
                <w:szCs w:val="20"/>
              </w:rPr>
            </w:pPr>
            <w:r>
              <w:rPr>
                <w:rFonts w:ascii="Arial" w:eastAsia="Arial" w:hAnsi="Arial" w:cs="Arial"/>
                <w:sz w:val="18"/>
                <w:szCs w:val="18"/>
              </w:rPr>
              <w:t>(8)</w:t>
            </w:r>
          </w:p>
        </w:tc>
        <w:tc>
          <w:tcPr>
            <w:tcW w:w="220" w:type="dxa"/>
            <w:vAlign w:val="bottom"/>
          </w:tcPr>
          <w:p w14:paraId="708500F8" w14:textId="77777777" w:rsidR="00D1587D" w:rsidRDefault="00D1587D">
            <w:pPr>
              <w:rPr>
                <w:sz w:val="24"/>
                <w:szCs w:val="24"/>
              </w:rPr>
            </w:pPr>
          </w:p>
        </w:tc>
        <w:tc>
          <w:tcPr>
            <w:tcW w:w="280" w:type="dxa"/>
            <w:gridSpan w:val="2"/>
            <w:vAlign w:val="bottom"/>
          </w:tcPr>
          <w:p w14:paraId="39832E31" w14:textId="77777777" w:rsidR="00D1587D" w:rsidRDefault="00410D07">
            <w:pPr>
              <w:ind w:left="180"/>
              <w:rPr>
                <w:sz w:val="20"/>
                <w:szCs w:val="20"/>
              </w:rPr>
            </w:pPr>
            <w:r>
              <w:rPr>
                <w:rFonts w:ascii="Arial" w:eastAsia="Arial" w:hAnsi="Arial" w:cs="Arial"/>
                <w:w w:val="79"/>
                <w:sz w:val="18"/>
                <w:szCs w:val="18"/>
              </w:rPr>
              <w:t>$</w:t>
            </w:r>
          </w:p>
        </w:tc>
        <w:tc>
          <w:tcPr>
            <w:tcW w:w="340" w:type="dxa"/>
            <w:vAlign w:val="bottom"/>
          </w:tcPr>
          <w:p w14:paraId="788FF0A1" w14:textId="77777777" w:rsidR="00D1587D" w:rsidRDefault="00410D07">
            <w:pPr>
              <w:jc w:val="right"/>
              <w:rPr>
                <w:sz w:val="20"/>
                <w:szCs w:val="20"/>
              </w:rPr>
            </w:pPr>
            <w:r>
              <w:rPr>
                <w:rFonts w:ascii="Arial" w:eastAsia="Arial" w:hAnsi="Arial" w:cs="Arial"/>
                <w:sz w:val="18"/>
                <w:szCs w:val="18"/>
              </w:rPr>
              <w:t>3</w:t>
            </w:r>
          </w:p>
        </w:tc>
      </w:tr>
      <w:tr w:rsidR="00D1587D" w14:paraId="36C91467" w14:textId="77777777">
        <w:trPr>
          <w:trHeight w:val="67"/>
        </w:trPr>
        <w:tc>
          <w:tcPr>
            <w:tcW w:w="6100" w:type="dxa"/>
            <w:gridSpan w:val="2"/>
            <w:tcBorders>
              <w:bottom w:val="single" w:sz="8" w:space="0" w:color="CCEEFF"/>
            </w:tcBorders>
            <w:vAlign w:val="bottom"/>
          </w:tcPr>
          <w:p w14:paraId="753323AA" w14:textId="77777777" w:rsidR="00D1587D" w:rsidRDefault="00D1587D">
            <w:pPr>
              <w:rPr>
                <w:sz w:val="5"/>
                <w:szCs w:val="5"/>
              </w:rPr>
            </w:pPr>
          </w:p>
        </w:tc>
        <w:tc>
          <w:tcPr>
            <w:tcW w:w="20" w:type="dxa"/>
            <w:tcBorders>
              <w:bottom w:val="single" w:sz="8" w:space="0" w:color="CCEEFF"/>
            </w:tcBorders>
            <w:vAlign w:val="bottom"/>
          </w:tcPr>
          <w:p w14:paraId="45EC39E0" w14:textId="77777777" w:rsidR="00D1587D" w:rsidRDefault="00D1587D">
            <w:pPr>
              <w:rPr>
                <w:sz w:val="5"/>
                <w:szCs w:val="5"/>
              </w:rPr>
            </w:pPr>
          </w:p>
        </w:tc>
        <w:tc>
          <w:tcPr>
            <w:tcW w:w="180" w:type="dxa"/>
            <w:tcBorders>
              <w:bottom w:val="single" w:sz="8" w:space="0" w:color="CCEEFF"/>
            </w:tcBorders>
            <w:vAlign w:val="bottom"/>
          </w:tcPr>
          <w:p w14:paraId="12752FCD" w14:textId="77777777" w:rsidR="00D1587D" w:rsidRDefault="00D1587D">
            <w:pPr>
              <w:rPr>
                <w:sz w:val="5"/>
                <w:szCs w:val="5"/>
              </w:rPr>
            </w:pPr>
          </w:p>
        </w:tc>
        <w:tc>
          <w:tcPr>
            <w:tcW w:w="380" w:type="dxa"/>
            <w:tcBorders>
              <w:bottom w:val="single" w:sz="8" w:space="0" w:color="auto"/>
            </w:tcBorders>
            <w:vAlign w:val="bottom"/>
          </w:tcPr>
          <w:p w14:paraId="34B794C1" w14:textId="77777777" w:rsidR="00D1587D" w:rsidRDefault="00D1587D">
            <w:pPr>
              <w:rPr>
                <w:sz w:val="5"/>
                <w:szCs w:val="5"/>
              </w:rPr>
            </w:pPr>
          </w:p>
        </w:tc>
        <w:tc>
          <w:tcPr>
            <w:tcW w:w="60" w:type="dxa"/>
            <w:tcBorders>
              <w:bottom w:val="single" w:sz="8" w:space="0" w:color="CCEEFF"/>
            </w:tcBorders>
            <w:vAlign w:val="bottom"/>
          </w:tcPr>
          <w:p w14:paraId="01D27C52" w14:textId="77777777" w:rsidR="00D1587D" w:rsidRDefault="00D1587D">
            <w:pPr>
              <w:rPr>
                <w:sz w:val="5"/>
                <w:szCs w:val="5"/>
              </w:rPr>
            </w:pPr>
          </w:p>
        </w:tc>
        <w:tc>
          <w:tcPr>
            <w:tcW w:w="220" w:type="dxa"/>
            <w:tcBorders>
              <w:bottom w:val="single" w:sz="8" w:space="0" w:color="CCEEFF"/>
            </w:tcBorders>
            <w:vAlign w:val="bottom"/>
          </w:tcPr>
          <w:p w14:paraId="02F7FEDB" w14:textId="77777777" w:rsidR="00D1587D" w:rsidRDefault="00D1587D">
            <w:pPr>
              <w:rPr>
                <w:sz w:val="5"/>
                <w:szCs w:val="5"/>
              </w:rPr>
            </w:pPr>
          </w:p>
        </w:tc>
        <w:tc>
          <w:tcPr>
            <w:tcW w:w="140" w:type="dxa"/>
            <w:tcBorders>
              <w:bottom w:val="single" w:sz="8" w:space="0" w:color="CCEEFF"/>
            </w:tcBorders>
            <w:vAlign w:val="bottom"/>
          </w:tcPr>
          <w:p w14:paraId="7EF8B95A" w14:textId="77777777" w:rsidR="00D1587D" w:rsidRDefault="00D1587D">
            <w:pPr>
              <w:rPr>
                <w:sz w:val="5"/>
                <w:szCs w:val="5"/>
              </w:rPr>
            </w:pPr>
          </w:p>
        </w:tc>
        <w:tc>
          <w:tcPr>
            <w:tcW w:w="480" w:type="dxa"/>
            <w:gridSpan w:val="2"/>
            <w:tcBorders>
              <w:bottom w:val="single" w:sz="8" w:space="0" w:color="auto"/>
            </w:tcBorders>
            <w:vAlign w:val="bottom"/>
          </w:tcPr>
          <w:p w14:paraId="26EB9F76" w14:textId="77777777" w:rsidR="00D1587D" w:rsidRDefault="00D1587D">
            <w:pPr>
              <w:rPr>
                <w:sz w:val="5"/>
                <w:szCs w:val="5"/>
              </w:rPr>
            </w:pPr>
          </w:p>
        </w:tc>
        <w:tc>
          <w:tcPr>
            <w:tcW w:w="220" w:type="dxa"/>
            <w:tcBorders>
              <w:bottom w:val="single" w:sz="8" w:space="0" w:color="CCEEFF"/>
            </w:tcBorders>
            <w:vAlign w:val="bottom"/>
          </w:tcPr>
          <w:p w14:paraId="3851481C" w14:textId="77777777" w:rsidR="00D1587D" w:rsidRDefault="00D1587D">
            <w:pPr>
              <w:rPr>
                <w:sz w:val="5"/>
                <w:szCs w:val="5"/>
              </w:rPr>
            </w:pPr>
          </w:p>
        </w:tc>
        <w:tc>
          <w:tcPr>
            <w:tcW w:w="180" w:type="dxa"/>
            <w:tcBorders>
              <w:bottom w:val="single" w:sz="8" w:space="0" w:color="CCEEFF"/>
            </w:tcBorders>
            <w:vAlign w:val="bottom"/>
          </w:tcPr>
          <w:p w14:paraId="214836A3" w14:textId="77777777" w:rsidR="00D1587D" w:rsidRDefault="00D1587D">
            <w:pPr>
              <w:rPr>
                <w:sz w:val="5"/>
                <w:szCs w:val="5"/>
              </w:rPr>
            </w:pPr>
          </w:p>
        </w:tc>
        <w:tc>
          <w:tcPr>
            <w:tcW w:w="440" w:type="dxa"/>
            <w:gridSpan w:val="2"/>
            <w:tcBorders>
              <w:bottom w:val="single" w:sz="8" w:space="0" w:color="auto"/>
            </w:tcBorders>
            <w:vAlign w:val="bottom"/>
          </w:tcPr>
          <w:p w14:paraId="6A64C43C" w14:textId="77777777" w:rsidR="00D1587D" w:rsidRDefault="00D1587D">
            <w:pPr>
              <w:rPr>
                <w:sz w:val="5"/>
                <w:szCs w:val="5"/>
              </w:rPr>
            </w:pPr>
          </w:p>
        </w:tc>
      </w:tr>
      <w:tr w:rsidR="00D1587D" w14:paraId="6F6CA448" w14:textId="77777777">
        <w:trPr>
          <w:trHeight w:val="376"/>
        </w:trPr>
        <w:tc>
          <w:tcPr>
            <w:tcW w:w="6120" w:type="dxa"/>
            <w:gridSpan w:val="3"/>
            <w:tcBorders>
              <w:bottom w:val="single" w:sz="8" w:space="0" w:color="CCEEFF"/>
            </w:tcBorders>
            <w:shd w:val="clear" w:color="auto" w:fill="CCEEFF"/>
            <w:vAlign w:val="bottom"/>
          </w:tcPr>
          <w:p w14:paraId="5B208EC1" w14:textId="77777777" w:rsidR="00D1587D" w:rsidRDefault="00410D07">
            <w:pPr>
              <w:rPr>
                <w:sz w:val="20"/>
                <w:szCs w:val="20"/>
              </w:rPr>
            </w:pPr>
            <w:r>
              <w:rPr>
                <w:rFonts w:ascii="Arial" w:eastAsia="Arial" w:hAnsi="Arial" w:cs="Arial"/>
                <w:sz w:val="18"/>
                <w:szCs w:val="18"/>
              </w:rPr>
              <w:t>Total Comprehensive Income (Loss)</w:t>
            </w:r>
          </w:p>
        </w:tc>
        <w:tc>
          <w:tcPr>
            <w:tcW w:w="560" w:type="dxa"/>
            <w:gridSpan w:val="2"/>
            <w:tcBorders>
              <w:bottom w:val="single" w:sz="8" w:space="0" w:color="CCEEFF"/>
            </w:tcBorders>
            <w:shd w:val="clear" w:color="auto" w:fill="CCEEFF"/>
            <w:vAlign w:val="bottom"/>
          </w:tcPr>
          <w:p w14:paraId="0B116C11" w14:textId="77777777" w:rsidR="00D1587D" w:rsidRDefault="00410D07">
            <w:pPr>
              <w:jc w:val="right"/>
              <w:rPr>
                <w:sz w:val="20"/>
                <w:szCs w:val="20"/>
              </w:rPr>
            </w:pPr>
            <w:r>
              <w:rPr>
                <w:rFonts w:ascii="Arial" w:eastAsia="Arial" w:hAnsi="Arial" w:cs="Arial"/>
                <w:sz w:val="18"/>
                <w:szCs w:val="18"/>
              </w:rPr>
              <w:t>$(39)</w:t>
            </w:r>
          </w:p>
        </w:tc>
        <w:tc>
          <w:tcPr>
            <w:tcW w:w="60" w:type="dxa"/>
            <w:tcBorders>
              <w:bottom w:val="single" w:sz="8" w:space="0" w:color="CCEEFF"/>
            </w:tcBorders>
            <w:shd w:val="clear" w:color="auto" w:fill="CCEEFF"/>
            <w:vAlign w:val="bottom"/>
          </w:tcPr>
          <w:p w14:paraId="366B7582" w14:textId="77777777" w:rsidR="00D1587D" w:rsidRDefault="00D1587D">
            <w:pPr>
              <w:rPr>
                <w:sz w:val="24"/>
                <w:szCs w:val="24"/>
              </w:rPr>
            </w:pPr>
          </w:p>
        </w:tc>
        <w:tc>
          <w:tcPr>
            <w:tcW w:w="220" w:type="dxa"/>
            <w:tcBorders>
              <w:bottom w:val="single" w:sz="8" w:space="0" w:color="CCEEFF"/>
            </w:tcBorders>
            <w:shd w:val="clear" w:color="auto" w:fill="CCEEFF"/>
            <w:vAlign w:val="bottom"/>
          </w:tcPr>
          <w:p w14:paraId="5387D1F2" w14:textId="77777777" w:rsidR="00D1587D" w:rsidRDefault="00D1587D">
            <w:pPr>
              <w:rPr>
                <w:sz w:val="24"/>
                <w:szCs w:val="24"/>
              </w:rPr>
            </w:pPr>
          </w:p>
        </w:tc>
        <w:tc>
          <w:tcPr>
            <w:tcW w:w="620" w:type="dxa"/>
            <w:gridSpan w:val="3"/>
            <w:tcBorders>
              <w:bottom w:val="single" w:sz="8" w:space="0" w:color="CCEEFF"/>
            </w:tcBorders>
            <w:shd w:val="clear" w:color="auto" w:fill="CCEEFF"/>
            <w:vAlign w:val="bottom"/>
          </w:tcPr>
          <w:p w14:paraId="1C8E02F7" w14:textId="77777777" w:rsidR="00D1587D" w:rsidRDefault="00410D07">
            <w:pPr>
              <w:jc w:val="right"/>
              <w:rPr>
                <w:sz w:val="20"/>
                <w:szCs w:val="20"/>
              </w:rPr>
            </w:pPr>
            <w:r>
              <w:rPr>
                <w:rFonts w:ascii="Arial" w:eastAsia="Arial" w:hAnsi="Arial" w:cs="Arial"/>
                <w:sz w:val="18"/>
                <w:szCs w:val="18"/>
              </w:rPr>
              <w:t>$(905)</w:t>
            </w:r>
          </w:p>
        </w:tc>
        <w:tc>
          <w:tcPr>
            <w:tcW w:w="220" w:type="dxa"/>
            <w:tcBorders>
              <w:bottom w:val="single" w:sz="8" w:space="0" w:color="CCEEFF"/>
            </w:tcBorders>
            <w:shd w:val="clear" w:color="auto" w:fill="CCEEFF"/>
            <w:vAlign w:val="bottom"/>
          </w:tcPr>
          <w:p w14:paraId="0F146D3D" w14:textId="77777777" w:rsidR="00D1587D" w:rsidRDefault="00D1587D">
            <w:pPr>
              <w:rPr>
                <w:sz w:val="24"/>
                <w:szCs w:val="24"/>
              </w:rPr>
            </w:pPr>
          </w:p>
        </w:tc>
        <w:tc>
          <w:tcPr>
            <w:tcW w:w="620" w:type="dxa"/>
            <w:gridSpan w:val="3"/>
            <w:tcBorders>
              <w:bottom w:val="single" w:sz="8" w:space="0" w:color="CCEEFF"/>
            </w:tcBorders>
            <w:shd w:val="clear" w:color="auto" w:fill="CCEEFF"/>
            <w:vAlign w:val="bottom"/>
          </w:tcPr>
          <w:p w14:paraId="1DAF76C8" w14:textId="77777777" w:rsidR="00D1587D" w:rsidRDefault="00410D07">
            <w:pPr>
              <w:jc w:val="right"/>
              <w:rPr>
                <w:sz w:val="20"/>
                <w:szCs w:val="20"/>
              </w:rPr>
            </w:pPr>
            <w:r>
              <w:rPr>
                <w:rFonts w:ascii="Arial" w:eastAsia="Arial" w:hAnsi="Arial" w:cs="Arial"/>
                <w:sz w:val="18"/>
                <w:szCs w:val="18"/>
              </w:rPr>
              <w:t>$254</w:t>
            </w:r>
          </w:p>
        </w:tc>
      </w:tr>
      <w:tr w:rsidR="00D1587D" w14:paraId="40183BCD" w14:textId="77777777">
        <w:trPr>
          <w:trHeight w:val="20"/>
        </w:trPr>
        <w:tc>
          <w:tcPr>
            <w:tcW w:w="6020" w:type="dxa"/>
            <w:tcBorders>
              <w:top w:val="single" w:sz="8" w:space="0" w:color="CCEEFF"/>
            </w:tcBorders>
            <w:vAlign w:val="bottom"/>
          </w:tcPr>
          <w:p w14:paraId="35E73EE4" w14:textId="77777777" w:rsidR="00D1587D" w:rsidRDefault="00D1587D">
            <w:pPr>
              <w:spacing w:line="20" w:lineRule="exact"/>
              <w:rPr>
                <w:sz w:val="1"/>
                <w:szCs w:val="1"/>
              </w:rPr>
            </w:pPr>
          </w:p>
        </w:tc>
        <w:tc>
          <w:tcPr>
            <w:tcW w:w="80" w:type="dxa"/>
            <w:tcBorders>
              <w:top w:val="single" w:sz="8" w:space="0" w:color="CCEEFF"/>
            </w:tcBorders>
            <w:vAlign w:val="bottom"/>
          </w:tcPr>
          <w:p w14:paraId="0364777D" w14:textId="77777777" w:rsidR="00D1587D" w:rsidRDefault="00D1587D">
            <w:pPr>
              <w:spacing w:line="20" w:lineRule="exact"/>
              <w:rPr>
                <w:sz w:val="1"/>
                <w:szCs w:val="1"/>
              </w:rPr>
            </w:pPr>
          </w:p>
        </w:tc>
        <w:tc>
          <w:tcPr>
            <w:tcW w:w="20" w:type="dxa"/>
            <w:tcBorders>
              <w:top w:val="single" w:sz="8" w:space="0" w:color="CCEEFF"/>
            </w:tcBorders>
            <w:vAlign w:val="bottom"/>
          </w:tcPr>
          <w:p w14:paraId="4048B4E7" w14:textId="77777777" w:rsidR="00D1587D" w:rsidRDefault="00D1587D">
            <w:pPr>
              <w:spacing w:line="20" w:lineRule="exact"/>
              <w:rPr>
                <w:sz w:val="1"/>
                <w:szCs w:val="1"/>
              </w:rPr>
            </w:pPr>
          </w:p>
        </w:tc>
        <w:tc>
          <w:tcPr>
            <w:tcW w:w="180" w:type="dxa"/>
            <w:tcBorders>
              <w:top w:val="single" w:sz="8" w:space="0" w:color="CCEEFF"/>
            </w:tcBorders>
            <w:vAlign w:val="bottom"/>
          </w:tcPr>
          <w:p w14:paraId="4050C820" w14:textId="77777777" w:rsidR="00D1587D" w:rsidRDefault="00D1587D">
            <w:pPr>
              <w:spacing w:line="20" w:lineRule="exact"/>
              <w:rPr>
                <w:sz w:val="1"/>
                <w:szCs w:val="1"/>
              </w:rPr>
            </w:pPr>
          </w:p>
        </w:tc>
        <w:tc>
          <w:tcPr>
            <w:tcW w:w="380" w:type="dxa"/>
            <w:tcBorders>
              <w:top w:val="single" w:sz="8" w:space="0" w:color="auto"/>
            </w:tcBorders>
            <w:shd w:val="clear" w:color="auto" w:fill="000000"/>
            <w:vAlign w:val="bottom"/>
          </w:tcPr>
          <w:p w14:paraId="761A5507" w14:textId="77777777" w:rsidR="00D1587D" w:rsidRDefault="00D1587D">
            <w:pPr>
              <w:spacing w:line="20" w:lineRule="exact"/>
              <w:rPr>
                <w:sz w:val="1"/>
                <w:szCs w:val="1"/>
              </w:rPr>
            </w:pPr>
          </w:p>
        </w:tc>
        <w:tc>
          <w:tcPr>
            <w:tcW w:w="60" w:type="dxa"/>
            <w:tcBorders>
              <w:top w:val="single" w:sz="8" w:space="0" w:color="CCEEFF"/>
            </w:tcBorders>
            <w:vAlign w:val="bottom"/>
          </w:tcPr>
          <w:p w14:paraId="6B3CF2D7" w14:textId="77777777" w:rsidR="00D1587D" w:rsidRDefault="00D1587D">
            <w:pPr>
              <w:spacing w:line="20" w:lineRule="exact"/>
              <w:rPr>
                <w:sz w:val="1"/>
                <w:szCs w:val="1"/>
              </w:rPr>
            </w:pPr>
          </w:p>
        </w:tc>
        <w:tc>
          <w:tcPr>
            <w:tcW w:w="220" w:type="dxa"/>
            <w:tcBorders>
              <w:top w:val="single" w:sz="8" w:space="0" w:color="CCEEFF"/>
            </w:tcBorders>
            <w:vAlign w:val="bottom"/>
          </w:tcPr>
          <w:p w14:paraId="1C3D0158" w14:textId="77777777" w:rsidR="00D1587D" w:rsidRDefault="00D1587D">
            <w:pPr>
              <w:spacing w:line="20" w:lineRule="exact"/>
              <w:rPr>
                <w:sz w:val="1"/>
                <w:szCs w:val="1"/>
              </w:rPr>
            </w:pPr>
          </w:p>
        </w:tc>
        <w:tc>
          <w:tcPr>
            <w:tcW w:w="140" w:type="dxa"/>
            <w:tcBorders>
              <w:top w:val="single" w:sz="8" w:space="0" w:color="CCEEFF"/>
            </w:tcBorders>
            <w:vAlign w:val="bottom"/>
          </w:tcPr>
          <w:p w14:paraId="6B693B59" w14:textId="77777777" w:rsidR="00D1587D" w:rsidRDefault="00D1587D">
            <w:pPr>
              <w:spacing w:line="20" w:lineRule="exact"/>
              <w:rPr>
                <w:sz w:val="1"/>
                <w:szCs w:val="1"/>
              </w:rPr>
            </w:pPr>
          </w:p>
        </w:tc>
        <w:tc>
          <w:tcPr>
            <w:tcW w:w="80" w:type="dxa"/>
            <w:tcBorders>
              <w:top w:val="single" w:sz="8" w:space="0" w:color="auto"/>
            </w:tcBorders>
            <w:shd w:val="clear" w:color="auto" w:fill="000000"/>
            <w:vAlign w:val="bottom"/>
          </w:tcPr>
          <w:p w14:paraId="3F16AFE1" w14:textId="77777777" w:rsidR="00D1587D" w:rsidRDefault="00D1587D">
            <w:pPr>
              <w:spacing w:line="20" w:lineRule="exact"/>
              <w:rPr>
                <w:sz w:val="1"/>
                <w:szCs w:val="1"/>
              </w:rPr>
            </w:pPr>
          </w:p>
        </w:tc>
        <w:tc>
          <w:tcPr>
            <w:tcW w:w="400" w:type="dxa"/>
            <w:tcBorders>
              <w:top w:val="single" w:sz="8" w:space="0" w:color="auto"/>
            </w:tcBorders>
            <w:shd w:val="clear" w:color="auto" w:fill="000000"/>
            <w:vAlign w:val="bottom"/>
          </w:tcPr>
          <w:p w14:paraId="64662FF7" w14:textId="77777777" w:rsidR="00D1587D" w:rsidRDefault="00D1587D">
            <w:pPr>
              <w:spacing w:line="20" w:lineRule="exact"/>
              <w:rPr>
                <w:sz w:val="1"/>
                <w:szCs w:val="1"/>
              </w:rPr>
            </w:pPr>
          </w:p>
        </w:tc>
        <w:tc>
          <w:tcPr>
            <w:tcW w:w="220" w:type="dxa"/>
            <w:tcBorders>
              <w:top w:val="single" w:sz="8" w:space="0" w:color="CCEEFF"/>
            </w:tcBorders>
            <w:vAlign w:val="bottom"/>
          </w:tcPr>
          <w:p w14:paraId="3F4AFFC8" w14:textId="77777777" w:rsidR="00D1587D" w:rsidRDefault="00D1587D">
            <w:pPr>
              <w:spacing w:line="20" w:lineRule="exact"/>
              <w:rPr>
                <w:sz w:val="1"/>
                <w:szCs w:val="1"/>
              </w:rPr>
            </w:pPr>
          </w:p>
        </w:tc>
        <w:tc>
          <w:tcPr>
            <w:tcW w:w="180" w:type="dxa"/>
            <w:tcBorders>
              <w:top w:val="single" w:sz="8" w:space="0" w:color="CCEEFF"/>
            </w:tcBorders>
            <w:vAlign w:val="bottom"/>
          </w:tcPr>
          <w:p w14:paraId="3B436875" w14:textId="77777777" w:rsidR="00D1587D" w:rsidRDefault="00D1587D">
            <w:pPr>
              <w:spacing w:line="20" w:lineRule="exact"/>
              <w:rPr>
                <w:sz w:val="1"/>
                <w:szCs w:val="1"/>
              </w:rPr>
            </w:pPr>
          </w:p>
        </w:tc>
        <w:tc>
          <w:tcPr>
            <w:tcW w:w="100" w:type="dxa"/>
            <w:tcBorders>
              <w:top w:val="single" w:sz="8" w:space="0" w:color="auto"/>
            </w:tcBorders>
            <w:shd w:val="clear" w:color="auto" w:fill="000000"/>
            <w:vAlign w:val="bottom"/>
          </w:tcPr>
          <w:p w14:paraId="240B3150" w14:textId="77777777" w:rsidR="00D1587D" w:rsidRDefault="00D1587D">
            <w:pPr>
              <w:spacing w:line="20" w:lineRule="exact"/>
              <w:rPr>
                <w:sz w:val="1"/>
                <w:szCs w:val="1"/>
              </w:rPr>
            </w:pPr>
          </w:p>
        </w:tc>
        <w:tc>
          <w:tcPr>
            <w:tcW w:w="340" w:type="dxa"/>
            <w:tcBorders>
              <w:top w:val="single" w:sz="8" w:space="0" w:color="auto"/>
            </w:tcBorders>
            <w:shd w:val="clear" w:color="auto" w:fill="000000"/>
            <w:vAlign w:val="bottom"/>
          </w:tcPr>
          <w:p w14:paraId="5C6F979D" w14:textId="77777777" w:rsidR="00D1587D" w:rsidRDefault="00D1587D">
            <w:pPr>
              <w:spacing w:line="20" w:lineRule="exact"/>
              <w:rPr>
                <w:sz w:val="1"/>
                <w:szCs w:val="1"/>
              </w:rPr>
            </w:pPr>
          </w:p>
        </w:tc>
      </w:tr>
    </w:tbl>
    <w:p w14:paraId="7CBAF22C" w14:textId="77777777" w:rsidR="00D1587D" w:rsidRDefault="00410D07">
      <w:pPr>
        <w:spacing w:line="20" w:lineRule="exact"/>
        <w:rPr>
          <w:sz w:val="20"/>
          <w:szCs w:val="20"/>
        </w:rPr>
      </w:pPr>
      <w:r>
        <w:rPr>
          <w:noProof/>
          <w:sz w:val="20"/>
          <w:szCs w:val="20"/>
        </w:rPr>
        <w:drawing>
          <wp:anchor distT="0" distB="0" distL="114300" distR="114300" simplePos="0" relativeHeight="252007424" behindDoc="1" locked="0" layoutInCell="0" allowOverlap="1" wp14:anchorId="38B73345" wp14:editId="6736AF49">
            <wp:simplePos x="0" y="0"/>
            <wp:positionH relativeFrom="column">
              <wp:posOffset>5003165</wp:posOffset>
            </wp:positionH>
            <wp:positionV relativeFrom="paragraph">
              <wp:posOffset>-4293870</wp:posOffset>
            </wp:positionV>
            <wp:extent cx="137160" cy="8255"/>
            <wp:effectExtent l="0" t="0" r="0" b="0"/>
            <wp:wrapNone/>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008448" behindDoc="1" locked="0" layoutInCell="0" allowOverlap="1" wp14:anchorId="37EF7FD4" wp14:editId="7A07A89A">
            <wp:simplePos x="0" y="0"/>
            <wp:positionH relativeFrom="column">
              <wp:posOffset>4471670</wp:posOffset>
            </wp:positionH>
            <wp:positionV relativeFrom="paragraph">
              <wp:posOffset>-4293870</wp:posOffset>
            </wp:positionV>
            <wp:extent cx="137160" cy="8255"/>
            <wp:effectExtent l="0" t="0" r="0" b="0"/>
            <wp:wrapNone/>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009472" behindDoc="1" locked="0" layoutInCell="0" allowOverlap="1" wp14:anchorId="12DC0BD1" wp14:editId="1EBE0BBF">
            <wp:simplePos x="0" y="0"/>
            <wp:positionH relativeFrom="column">
              <wp:posOffset>4008755</wp:posOffset>
            </wp:positionH>
            <wp:positionV relativeFrom="paragraph">
              <wp:posOffset>-4293870</wp:posOffset>
            </wp:positionV>
            <wp:extent cx="68580" cy="8255"/>
            <wp:effectExtent l="0" t="0" r="0" b="0"/>
            <wp:wrapNone/>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2010496" behindDoc="1" locked="0" layoutInCell="0" allowOverlap="1" wp14:anchorId="7BD5686A" wp14:editId="45139608">
            <wp:simplePos x="0" y="0"/>
            <wp:positionH relativeFrom="column">
              <wp:posOffset>5003165</wp:posOffset>
            </wp:positionH>
            <wp:positionV relativeFrom="paragraph">
              <wp:posOffset>-5571490</wp:posOffset>
            </wp:positionV>
            <wp:extent cx="137160" cy="8890"/>
            <wp:effectExtent l="0" t="0" r="0" b="0"/>
            <wp:wrapNone/>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011520" behindDoc="1" locked="0" layoutInCell="0" allowOverlap="1" wp14:anchorId="1B6F7D8F" wp14:editId="1F30A9D2">
            <wp:simplePos x="0" y="0"/>
            <wp:positionH relativeFrom="column">
              <wp:posOffset>4471670</wp:posOffset>
            </wp:positionH>
            <wp:positionV relativeFrom="paragraph">
              <wp:posOffset>-5571490</wp:posOffset>
            </wp:positionV>
            <wp:extent cx="137160" cy="8890"/>
            <wp:effectExtent l="0" t="0" r="0" b="0"/>
            <wp:wrapNone/>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012544" behindDoc="1" locked="0" layoutInCell="0" allowOverlap="1" wp14:anchorId="28EFB315" wp14:editId="0EB605A6">
            <wp:simplePos x="0" y="0"/>
            <wp:positionH relativeFrom="column">
              <wp:posOffset>4008755</wp:posOffset>
            </wp:positionH>
            <wp:positionV relativeFrom="paragraph">
              <wp:posOffset>-5571490</wp:posOffset>
            </wp:positionV>
            <wp:extent cx="68580" cy="8890"/>
            <wp:effectExtent l="0" t="0" r="0" b="0"/>
            <wp:wrapNone/>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2013568" behindDoc="1" locked="0" layoutInCell="0" allowOverlap="1" wp14:anchorId="78035CAF" wp14:editId="3407AC4C">
            <wp:simplePos x="0" y="0"/>
            <wp:positionH relativeFrom="column">
              <wp:posOffset>5003165</wp:posOffset>
            </wp:positionH>
            <wp:positionV relativeFrom="paragraph">
              <wp:posOffset>-256540</wp:posOffset>
            </wp:positionV>
            <wp:extent cx="257175" cy="8890"/>
            <wp:effectExtent l="0" t="0" r="0" b="0"/>
            <wp:wrapNone/>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70"/>
                    <a:srcRect/>
                    <a:stretch>
                      <a:fillRect/>
                    </a:stretch>
                  </pic:blipFill>
                  <pic:spPr bwMode="auto">
                    <a:xfrm>
                      <a:off x="0" y="0"/>
                      <a:ext cx="257175" cy="8890"/>
                    </a:xfrm>
                    <a:prstGeom prst="rect">
                      <a:avLst/>
                    </a:prstGeom>
                    <a:noFill/>
                  </pic:spPr>
                </pic:pic>
              </a:graphicData>
            </a:graphic>
          </wp:anchor>
        </w:drawing>
      </w:r>
      <w:r>
        <w:rPr>
          <w:noProof/>
          <w:sz w:val="20"/>
          <w:szCs w:val="20"/>
        </w:rPr>
        <w:drawing>
          <wp:anchor distT="0" distB="0" distL="114300" distR="114300" simplePos="0" relativeHeight="252014592" behindDoc="1" locked="0" layoutInCell="0" allowOverlap="1" wp14:anchorId="2569A9DE" wp14:editId="61A65D59">
            <wp:simplePos x="0" y="0"/>
            <wp:positionH relativeFrom="column">
              <wp:posOffset>4437380</wp:posOffset>
            </wp:positionH>
            <wp:positionV relativeFrom="paragraph">
              <wp:posOffset>-256540</wp:posOffset>
            </wp:positionV>
            <wp:extent cx="257175" cy="8890"/>
            <wp:effectExtent l="0" t="0" r="0" b="0"/>
            <wp:wrapNone/>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70"/>
                    <a:srcRect/>
                    <a:stretch>
                      <a:fillRect/>
                    </a:stretch>
                  </pic:blipFill>
                  <pic:spPr bwMode="auto">
                    <a:xfrm>
                      <a:off x="0" y="0"/>
                      <a:ext cx="257175" cy="8890"/>
                    </a:xfrm>
                    <a:prstGeom prst="rect">
                      <a:avLst/>
                    </a:prstGeom>
                    <a:noFill/>
                  </pic:spPr>
                </pic:pic>
              </a:graphicData>
            </a:graphic>
          </wp:anchor>
        </w:drawing>
      </w:r>
      <w:r>
        <w:rPr>
          <w:noProof/>
          <w:sz w:val="20"/>
          <w:szCs w:val="20"/>
        </w:rPr>
        <w:drawing>
          <wp:anchor distT="0" distB="0" distL="114300" distR="114300" simplePos="0" relativeHeight="252015616" behindDoc="1" locked="0" layoutInCell="0" allowOverlap="1" wp14:anchorId="465805E9" wp14:editId="39E788AC">
            <wp:simplePos x="0" y="0"/>
            <wp:positionH relativeFrom="column">
              <wp:posOffset>4060190</wp:posOffset>
            </wp:positionH>
            <wp:positionV relativeFrom="paragraph">
              <wp:posOffset>-256540</wp:posOffset>
            </wp:positionV>
            <wp:extent cx="128905" cy="8890"/>
            <wp:effectExtent l="0" t="0" r="0" b="0"/>
            <wp:wrapNone/>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50"/>
                    <a:srcRect/>
                    <a:stretch>
                      <a:fillRect/>
                    </a:stretch>
                  </pic:blipFill>
                  <pic:spPr bwMode="auto">
                    <a:xfrm>
                      <a:off x="0" y="0"/>
                      <a:ext cx="128905" cy="8890"/>
                    </a:xfrm>
                    <a:prstGeom prst="rect">
                      <a:avLst/>
                    </a:prstGeom>
                    <a:noFill/>
                  </pic:spPr>
                </pic:pic>
              </a:graphicData>
            </a:graphic>
          </wp:anchor>
        </w:drawing>
      </w:r>
      <w:r>
        <w:rPr>
          <w:noProof/>
          <w:sz w:val="20"/>
          <w:szCs w:val="20"/>
        </w:rPr>
        <w:drawing>
          <wp:anchor distT="0" distB="0" distL="114300" distR="114300" simplePos="0" relativeHeight="252016640" behindDoc="1" locked="0" layoutInCell="0" allowOverlap="1" wp14:anchorId="0272FDD6" wp14:editId="1080BBEF">
            <wp:simplePos x="0" y="0"/>
            <wp:positionH relativeFrom="column">
              <wp:posOffset>5003165</wp:posOffset>
            </wp:positionH>
            <wp:positionV relativeFrom="paragraph">
              <wp:posOffset>-1945005</wp:posOffset>
            </wp:positionV>
            <wp:extent cx="257175" cy="8255"/>
            <wp:effectExtent l="0" t="0" r="0" b="0"/>
            <wp:wrapNone/>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70"/>
                    <a:srcRect/>
                    <a:stretch>
                      <a:fillRect/>
                    </a:stretch>
                  </pic:blipFill>
                  <pic:spPr bwMode="auto">
                    <a:xfrm>
                      <a:off x="0" y="0"/>
                      <a:ext cx="257175" cy="8255"/>
                    </a:xfrm>
                    <a:prstGeom prst="rect">
                      <a:avLst/>
                    </a:prstGeom>
                    <a:noFill/>
                  </pic:spPr>
                </pic:pic>
              </a:graphicData>
            </a:graphic>
          </wp:anchor>
        </w:drawing>
      </w:r>
      <w:r>
        <w:rPr>
          <w:noProof/>
          <w:sz w:val="20"/>
          <w:szCs w:val="20"/>
        </w:rPr>
        <w:drawing>
          <wp:anchor distT="0" distB="0" distL="114300" distR="114300" simplePos="0" relativeHeight="252017664" behindDoc="1" locked="0" layoutInCell="0" allowOverlap="1" wp14:anchorId="35B6745A" wp14:editId="339A77D7">
            <wp:simplePos x="0" y="0"/>
            <wp:positionH relativeFrom="column">
              <wp:posOffset>4437380</wp:posOffset>
            </wp:positionH>
            <wp:positionV relativeFrom="paragraph">
              <wp:posOffset>-1945005</wp:posOffset>
            </wp:positionV>
            <wp:extent cx="257175" cy="8255"/>
            <wp:effectExtent l="0" t="0" r="0" b="0"/>
            <wp:wrapNone/>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70"/>
                    <a:srcRect/>
                    <a:stretch>
                      <a:fillRect/>
                    </a:stretch>
                  </pic:blipFill>
                  <pic:spPr bwMode="auto">
                    <a:xfrm>
                      <a:off x="0" y="0"/>
                      <a:ext cx="257175" cy="8255"/>
                    </a:xfrm>
                    <a:prstGeom prst="rect">
                      <a:avLst/>
                    </a:prstGeom>
                    <a:noFill/>
                  </pic:spPr>
                </pic:pic>
              </a:graphicData>
            </a:graphic>
          </wp:anchor>
        </w:drawing>
      </w:r>
      <w:r>
        <w:rPr>
          <w:noProof/>
          <w:sz w:val="20"/>
          <w:szCs w:val="20"/>
        </w:rPr>
        <w:drawing>
          <wp:anchor distT="0" distB="0" distL="114300" distR="114300" simplePos="0" relativeHeight="252018688" behindDoc="1" locked="0" layoutInCell="0" allowOverlap="1" wp14:anchorId="47F43019" wp14:editId="7DE6035F">
            <wp:simplePos x="0" y="0"/>
            <wp:positionH relativeFrom="column">
              <wp:posOffset>4060190</wp:posOffset>
            </wp:positionH>
            <wp:positionV relativeFrom="paragraph">
              <wp:posOffset>-1945005</wp:posOffset>
            </wp:positionV>
            <wp:extent cx="128905" cy="8255"/>
            <wp:effectExtent l="0" t="0" r="0" b="0"/>
            <wp:wrapNone/>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50"/>
                    <a:srcRect/>
                    <a:stretch>
                      <a:fillRect/>
                    </a:stretch>
                  </pic:blipFill>
                  <pic:spPr bwMode="auto">
                    <a:xfrm>
                      <a:off x="0" y="0"/>
                      <a:ext cx="128905" cy="8255"/>
                    </a:xfrm>
                    <a:prstGeom prst="rect">
                      <a:avLst/>
                    </a:prstGeom>
                    <a:noFill/>
                  </pic:spPr>
                </pic:pic>
              </a:graphicData>
            </a:graphic>
          </wp:anchor>
        </w:drawing>
      </w:r>
    </w:p>
    <w:p w14:paraId="2AE985DC" w14:textId="77777777" w:rsidR="00D1587D" w:rsidRDefault="00D1587D">
      <w:pPr>
        <w:spacing w:line="182" w:lineRule="exact"/>
        <w:rPr>
          <w:sz w:val="20"/>
          <w:szCs w:val="20"/>
        </w:rPr>
      </w:pPr>
    </w:p>
    <w:p w14:paraId="5BC116C5" w14:textId="77777777" w:rsidR="00D1587D" w:rsidRDefault="00410D07">
      <w:pPr>
        <w:ind w:right="39"/>
        <w:jc w:val="center"/>
        <w:rPr>
          <w:sz w:val="20"/>
          <w:szCs w:val="20"/>
        </w:rPr>
      </w:pPr>
      <w:r>
        <w:rPr>
          <w:rFonts w:ascii="Arial" w:eastAsia="Arial" w:hAnsi="Arial" w:cs="Arial"/>
          <w:i/>
          <w:iCs/>
          <w:sz w:val="18"/>
          <w:szCs w:val="18"/>
        </w:rPr>
        <w:t xml:space="preserve">The accompanying notes are an integral part of these financial </w:t>
      </w:r>
      <w:r>
        <w:rPr>
          <w:rFonts w:ascii="Arial" w:eastAsia="Arial" w:hAnsi="Arial" w:cs="Arial"/>
          <w:i/>
          <w:iCs/>
          <w:sz w:val="18"/>
          <w:szCs w:val="18"/>
        </w:rPr>
        <w:t>statements.</w:t>
      </w:r>
    </w:p>
    <w:p w14:paraId="19937935" w14:textId="77777777" w:rsidR="00D1587D" w:rsidRDefault="00D1587D">
      <w:pPr>
        <w:spacing w:line="225" w:lineRule="exact"/>
        <w:rPr>
          <w:sz w:val="20"/>
          <w:szCs w:val="20"/>
        </w:rPr>
      </w:pPr>
    </w:p>
    <w:p w14:paraId="499DA079" w14:textId="77777777" w:rsidR="00D1587D" w:rsidRDefault="00410D07">
      <w:pPr>
        <w:jc w:val="center"/>
        <w:rPr>
          <w:sz w:val="20"/>
          <w:szCs w:val="20"/>
        </w:rPr>
      </w:pPr>
      <w:r>
        <w:rPr>
          <w:rFonts w:ascii="Arial" w:eastAsia="Arial" w:hAnsi="Arial" w:cs="Arial"/>
          <w:sz w:val="18"/>
          <w:szCs w:val="18"/>
        </w:rPr>
        <w:t>F-4</w:t>
      </w:r>
    </w:p>
    <w:p w14:paraId="3F2220F7" w14:textId="77777777" w:rsidR="00D1587D" w:rsidRDefault="00410D07">
      <w:pPr>
        <w:spacing w:line="20" w:lineRule="exact"/>
        <w:rPr>
          <w:sz w:val="20"/>
          <w:szCs w:val="20"/>
        </w:rPr>
      </w:pPr>
      <w:r>
        <w:rPr>
          <w:noProof/>
          <w:sz w:val="20"/>
          <w:szCs w:val="20"/>
        </w:rPr>
        <w:drawing>
          <wp:anchor distT="0" distB="0" distL="114300" distR="114300" simplePos="0" relativeHeight="252019712" behindDoc="1" locked="0" layoutInCell="0" allowOverlap="1" wp14:anchorId="7C1C60F9" wp14:editId="67C12E42">
            <wp:simplePos x="0" y="0"/>
            <wp:positionH relativeFrom="column">
              <wp:posOffset>-636905</wp:posOffset>
            </wp:positionH>
            <wp:positionV relativeFrom="paragraph">
              <wp:posOffset>126365</wp:posOffset>
            </wp:positionV>
            <wp:extent cx="6995160" cy="17145"/>
            <wp:effectExtent l="0" t="0" r="0" b="0"/>
            <wp:wrapNone/>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B5789DC" w14:textId="77777777" w:rsidR="00D1587D" w:rsidRDefault="00D1587D">
      <w:pPr>
        <w:sectPr w:rsidR="00D1587D">
          <w:pgSz w:w="11900" w:h="16838"/>
          <w:pgMar w:top="265" w:right="1440" w:bottom="1440" w:left="1440" w:header="0" w:footer="0" w:gutter="0"/>
          <w:cols w:space="720" w:equalWidth="0">
            <w:col w:w="9019"/>
          </w:cols>
        </w:sectPr>
      </w:pPr>
    </w:p>
    <w:bookmarkStart w:id="400" w:name="page401"/>
    <w:bookmarkEnd w:id="400"/>
    <w:p w14:paraId="0850868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444C494" w14:textId="77777777" w:rsidR="00D1587D" w:rsidRDefault="00D1587D">
      <w:pPr>
        <w:spacing w:line="127" w:lineRule="exact"/>
        <w:rPr>
          <w:sz w:val="20"/>
          <w:szCs w:val="20"/>
        </w:rPr>
      </w:pPr>
    </w:p>
    <w:p w14:paraId="2D3620B5"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10918969" w14:textId="77777777" w:rsidR="00D1587D" w:rsidRDefault="00D1587D">
      <w:pPr>
        <w:spacing w:line="27" w:lineRule="exact"/>
        <w:rPr>
          <w:sz w:val="20"/>
          <w:szCs w:val="20"/>
        </w:rPr>
      </w:pPr>
    </w:p>
    <w:p w14:paraId="3A5149D3" w14:textId="77777777" w:rsidR="00D1587D" w:rsidRDefault="00410D07">
      <w:pPr>
        <w:jc w:val="center"/>
        <w:rPr>
          <w:sz w:val="20"/>
          <w:szCs w:val="20"/>
        </w:rPr>
      </w:pPr>
      <w:r>
        <w:rPr>
          <w:rFonts w:ascii="Arial" w:eastAsia="Arial" w:hAnsi="Arial" w:cs="Arial"/>
          <w:b/>
          <w:bCs/>
          <w:sz w:val="18"/>
          <w:szCs w:val="18"/>
        </w:rPr>
        <w:t>COMBINED STATEMENTS OF CASH FLOWS</w:t>
      </w:r>
    </w:p>
    <w:p w14:paraId="5B8A04D5" w14:textId="77777777" w:rsidR="00D1587D" w:rsidRDefault="00D1587D">
      <w:pPr>
        <w:spacing w:line="207" w:lineRule="exact"/>
        <w:rPr>
          <w:sz w:val="20"/>
          <w:szCs w:val="20"/>
        </w:rPr>
      </w:pPr>
    </w:p>
    <w:p w14:paraId="58E84FC5" w14:textId="77777777" w:rsidR="00D1587D" w:rsidRDefault="00410D07">
      <w:pPr>
        <w:jc w:val="center"/>
        <w:rPr>
          <w:sz w:val="20"/>
          <w:szCs w:val="20"/>
        </w:rPr>
      </w:pPr>
      <w:r>
        <w:rPr>
          <w:rFonts w:ascii="Arial" w:eastAsia="Arial" w:hAnsi="Arial" w:cs="Arial"/>
          <w:b/>
          <w:bCs/>
          <w:sz w:val="18"/>
          <w:szCs w:val="18"/>
        </w:rPr>
        <w:t>(in millions)</w:t>
      </w:r>
    </w:p>
    <w:p w14:paraId="63492416" w14:textId="77777777" w:rsidR="00D1587D" w:rsidRDefault="00D1587D">
      <w:pPr>
        <w:spacing w:line="19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220"/>
        <w:gridCol w:w="140"/>
        <w:gridCol w:w="480"/>
        <w:gridCol w:w="300"/>
        <w:gridCol w:w="500"/>
        <w:gridCol w:w="280"/>
        <w:gridCol w:w="500"/>
      </w:tblGrid>
      <w:tr w:rsidR="00D1587D" w14:paraId="6BE5AA36" w14:textId="77777777">
        <w:trPr>
          <w:trHeight w:val="186"/>
        </w:trPr>
        <w:tc>
          <w:tcPr>
            <w:tcW w:w="6220" w:type="dxa"/>
            <w:vAlign w:val="bottom"/>
          </w:tcPr>
          <w:p w14:paraId="07FA52F0" w14:textId="77777777" w:rsidR="00D1587D" w:rsidRDefault="00D1587D">
            <w:pPr>
              <w:rPr>
                <w:sz w:val="16"/>
                <w:szCs w:val="16"/>
              </w:rPr>
            </w:pPr>
          </w:p>
        </w:tc>
        <w:tc>
          <w:tcPr>
            <w:tcW w:w="140" w:type="dxa"/>
            <w:vAlign w:val="bottom"/>
          </w:tcPr>
          <w:p w14:paraId="294C66BA" w14:textId="77777777" w:rsidR="00D1587D" w:rsidRDefault="00D1587D">
            <w:pPr>
              <w:rPr>
                <w:sz w:val="16"/>
                <w:szCs w:val="16"/>
              </w:rPr>
            </w:pPr>
          </w:p>
        </w:tc>
        <w:tc>
          <w:tcPr>
            <w:tcW w:w="480" w:type="dxa"/>
            <w:vAlign w:val="bottom"/>
          </w:tcPr>
          <w:p w14:paraId="730DC77B" w14:textId="77777777" w:rsidR="00D1587D" w:rsidRDefault="00410D07">
            <w:pPr>
              <w:jc w:val="right"/>
              <w:rPr>
                <w:sz w:val="20"/>
                <w:szCs w:val="20"/>
              </w:rPr>
            </w:pPr>
            <w:r>
              <w:rPr>
                <w:rFonts w:ascii="Arial" w:eastAsia="Arial" w:hAnsi="Arial" w:cs="Arial"/>
                <w:b/>
                <w:bCs/>
                <w:sz w:val="14"/>
                <w:szCs w:val="14"/>
              </w:rPr>
              <w:t>2020</w:t>
            </w:r>
          </w:p>
        </w:tc>
        <w:tc>
          <w:tcPr>
            <w:tcW w:w="300" w:type="dxa"/>
            <w:vAlign w:val="bottom"/>
          </w:tcPr>
          <w:p w14:paraId="72AAB8AF" w14:textId="77777777" w:rsidR="00D1587D" w:rsidRDefault="00D1587D">
            <w:pPr>
              <w:rPr>
                <w:sz w:val="16"/>
                <w:szCs w:val="16"/>
              </w:rPr>
            </w:pPr>
          </w:p>
        </w:tc>
        <w:tc>
          <w:tcPr>
            <w:tcW w:w="500" w:type="dxa"/>
            <w:vAlign w:val="bottom"/>
          </w:tcPr>
          <w:p w14:paraId="1A7C0D49" w14:textId="77777777" w:rsidR="00D1587D" w:rsidRDefault="00410D07">
            <w:pPr>
              <w:ind w:right="11"/>
              <w:jc w:val="right"/>
              <w:rPr>
                <w:sz w:val="20"/>
                <w:szCs w:val="20"/>
              </w:rPr>
            </w:pPr>
            <w:r>
              <w:rPr>
                <w:rFonts w:ascii="Arial" w:eastAsia="Arial" w:hAnsi="Arial" w:cs="Arial"/>
                <w:b/>
                <w:bCs/>
                <w:sz w:val="14"/>
                <w:szCs w:val="14"/>
              </w:rPr>
              <w:t>2019</w:t>
            </w:r>
          </w:p>
        </w:tc>
        <w:tc>
          <w:tcPr>
            <w:tcW w:w="280" w:type="dxa"/>
            <w:vAlign w:val="bottom"/>
          </w:tcPr>
          <w:p w14:paraId="241658CD" w14:textId="77777777" w:rsidR="00D1587D" w:rsidRDefault="00D1587D">
            <w:pPr>
              <w:rPr>
                <w:sz w:val="16"/>
                <w:szCs w:val="16"/>
              </w:rPr>
            </w:pPr>
          </w:p>
        </w:tc>
        <w:tc>
          <w:tcPr>
            <w:tcW w:w="500" w:type="dxa"/>
            <w:vAlign w:val="bottom"/>
          </w:tcPr>
          <w:p w14:paraId="08597B8E" w14:textId="77777777" w:rsidR="00D1587D" w:rsidRDefault="00410D07">
            <w:pPr>
              <w:ind w:right="11"/>
              <w:jc w:val="right"/>
              <w:rPr>
                <w:sz w:val="20"/>
                <w:szCs w:val="20"/>
              </w:rPr>
            </w:pPr>
            <w:r>
              <w:rPr>
                <w:rFonts w:ascii="Arial" w:eastAsia="Arial" w:hAnsi="Arial" w:cs="Arial"/>
                <w:b/>
                <w:bCs/>
                <w:sz w:val="14"/>
                <w:szCs w:val="14"/>
              </w:rPr>
              <w:t>2018</w:t>
            </w:r>
          </w:p>
        </w:tc>
      </w:tr>
      <w:tr w:rsidR="00D1587D" w14:paraId="51420415" w14:textId="77777777">
        <w:trPr>
          <w:trHeight w:val="53"/>
        </w:trPr>
        <w:tc>
          <w:tcPr>
            <w:tcW w:w="6220" w:type="dxa"/>
            <w:tcBorders>
              <w:bottom w:val="single" w:sz="8" w:space="0" w:color="CCEEFF"/>
            </w:tcBorders>
            <w:vAlign w:val="bottom"/>
          </w:tcPr>
          <w:p w14:paraId="64BFB939" w14:textId="77777777" w:rsidR="00D1587D" w:rsidRDefault="00D1587D">
            <w:pPr>
              <w:rPr>
                <w:sz w:val="4"/>
                <w:szCs w:val="4"/>
              </w:rPr>
            </w:pPr>
          </w:p>
        </w:tc>
        <w:tc>
          <w:tcPr>
            <w:tcW w:w="140" w:type="dxa"/>
            <w:tcBorders>
              <w:bottom w:val="single" w:sz="8" w:space="0" w:color="CCEEFF"/>
            </w:tcBorders>
            <w:vAlign w:val="bottom"/>
          </w:tcPr>
          <w:p w14:paraId="2A31B738" w14:textId="77777777" w:rsidR="00D1587D" w:rsidRDefault="00D1587D">
            <w:pPr>
              <w:rPr>
                <w:sz w:val="4"/>
                <w:szCs w:val="4"/>
              </w:rPr>
            </w:pPr>
          </w:p>
        </w:tc>
        <w:tc>
          <w:tcPr>
            <w:tcW w:w="480" w:type="dxa"/>
            <w:tcBorders>
              <w:bottom w:val="single" w:sz="8" w:space="0" w:color="auto"/>
            </w:tcBorders>
            <w:vAlign w:val="bottom"/>
          </w:tcPr>
          <w:p w14:paraId="504EAE51" w14:textId="77777777" w:rsidR="00D1587D" w:rsidRDefault="00D1587D">
            <w:pPr>
              <w:rPr>
                <w:sz w:val="4"/>
                <w:szCs w:val="4"/>
              </w:rPr>
            </w:pPr>
          </w:p>
        </w:tc>
        <w:tc>
          <w:tcPr>
            <w:tcW w:w="300" w:type="dxa"/>
            <w:tcBorders>
              <w:bottom w:val="single" w:sz="8" w:space="0" w:color="CCEEFF"/>
            </w:tcBorders>
            <w:vAlign w:val="bottom"/>
          </w:tcPr>
          <w:p w14:paraId="7582447F" w14:textId="77777777" w:rsidR="00D1587D" w:rsidRDefault="00D1587D">
            <w:pPr>
              <w:rPr>
                <w:sz w:val="4"/>
                <w:szCs w:val="4"/>
              </w:rPr>
            </w:pPr>
          </w:p>
        </w:tc>
        <w:tc>
          <w:tcPr>
            <w:tcW w:w="500" w:type="dxa"/>
            <w:tcBorders>
              <w:bottom w:val="single" w:sz="8" w:space="0" w:color="auto"/>
            </w:tcBorders>
            <w:vAlign w:val="bottom"/>
          </w:tcPr>
          <w:p w14:paraId="218AABA2" w14:textId="77777777" w:rsidR="00D1587D" w:rsidRDefault="00D1587D">
            <w:pPr>
              <w:rPr>
                <w:sz w:val="4"/>
                <w:szCs w:val="4"/>
              </w:rPr>
            </w:pPr>
          </w:p>
        </w:tc>
        <w:tc>
          <w:tcPr>
            <w:tcW w:w="280" w:type="dxa"/>
            <w:tcBorders>
              <w:bottom w:val="single" w:sz="8" w:space="0" w:color="CCEEFF"/>
            </w:tcBorders>
            <w:vAlign w:val="bottom"/>
          </w:tcPr>
          <w:p w14:paraId="5FE7241E" w14:textId="77777777" w:rsidR="00D1587D" w:rsidRDefault="00D1587D">
            <w:pPr>
              <w:rPr>
                <w:sz w:val="4"/>
                <w:szCs w:val="4"/>
              </w:rPr>
            </w:pPr>
          </w:p>
        </w:tc>
        <w:tc>
          <w:tcPr>
            <w:tcW w:w="500" w:type="dxa"/>
            <w:tcBorders>
              <w:bottom w:val="single" w:sz="8" w:space="0" w:color="auto"/>
            </w:tcBorders>
            <w:vAlign w:val="bottom"/>
          </w:tcPr>
          <w:p w14:paraId="41616A91" w14:textId="77777777" w:rsidR="00D1587D" w:rsidRDefault="00D1587D">
            <w:pPr>
              <w:rPr>
                <w:sz w:val="4"/>
                <w:szCs w:val="4"/>
              </w:rPr>
            </w:pPr>
          </w:p>
        </w:tc>
      </w:tr>
      <w:tr w:rsidR="00D1587D" w14:paraId="7A9FBE27" w14:textId="77777777">
        <w:trPr>
          <w:trHeight w:val="318"/>
        </w:trPr>
        <w:tc>
          <w:tcPr>
            <w:tcW w:w="6220" w:type="dxa"/>
            <w:shd w:val="clear" w:color="auto" w:fill="CCEEFF"/>
            <w:vAlign w:val="bottom"/>
          </w:tcPr>
          <w:p w14:paraId="6CA37770" w14:textId="77777777" w:rsidR="00D1587D" w:rsidRDefault="00D1587D">
            <w:pPr>
              <w:rPr>
                <w:sz w:val="24"/>
                <w:szCs w:val="24"/>
              </w:rPr>
            </w:pPr>
          </w:p>
        </w:tc>
        <w:tc>
          <w:tcPr>
            <w:tcW w:w="140" w:type="dxa"/>
            <w:shd w:val="clear" w:color="auto" w:fill="CCEEFF"/>
            <w:vAlign w:val="bottom"/>
          </w:tcPr>
          <w:p w14:paraId="5629ED69" w14:textId="77777777" w:rsidR="00D1587D" w:rsidRDefault="00D1587D">
            <w:pPr>
              <w:rPr>
                <w:sz w:val="24"/>
                <w:szCs w:val="24"/>
              </w:rPr>
            </w:pPr>
          </w:p>
        </w:tc>
        <w:tc>
          <w:tcPr>
            <w:tcW w:w="480" w:type="dxa"/>
            <w:shd w:val="clear" w:color="auto" w:fill="CCEEFF"/>
            <w:vAlign w:val="bottom"/>
          </w:tcPr>
          <w:p w14:paraId="2185BA60" w14:textId="77777777" w:rsidR="00D1587D" w:rsidRDefault="00D1587D">
            <w:pPr>
              <w:rPr>
                <w:sz w:val="24"/>
                <w:szCs w:val="24"/>
              </w:rPr>
            </w:pPr>
          </w:p>
        </w:tc>
        <w:tc>
          <w:tcPr>
            <w:tcW w:w="300" w:type="dxa"/>
            <w:shd w:val="clear" w:color="auto" w:fill="CCEEFF"/>
            <w:vAlign w:val="bottom"/>
          </w:tcPr>
          <w:p w14:paraId="224BB790" w14:textId="77777777" w:rsidR="00D1587D" w:rsidRDefault="00D1587D">
            <w:pPr>
              <w:rPr>
                <w:sz w:val="24"/>
                <w:szCs w:val="24"/>
              </w:rPr>
            </w:pPr>
          </w:p>
        </w:tc>
        <w:tc>
          <w:tcPr>
            <w:tcW w:w="500" w:type="dxa"/>
            <w:shd w:val="clear" w:color="auto" w:fill="CCEEFF"/>
            <w:vAlign w:val="bottom"/>
          </w:tcPr>
          <w:p w14:paraId="4DCDDC1D" w14:textId="77777777" w:rsidR="00D1587D" w:rsidRDefault="00D1587D">
            <w:pPr>
              <w:rPr>
                <w:sz w:val="24"/>
                <w:szCs w:val="24"/>
              </w:rPr>
            </w:pPr>
          </w:p>
        </w:tc>
        <w:tc>
          <w:tcPr>
            <w:tcW w:w="280" w:type="dxa"/>
            <w:shd w:val="clear" w:color="auto" w:fill="CCEEFF"/>
            <w:vAlign w:val="bottom"/>
          </w:tcPr>
          <w:p w14:paraId="6D822557" w14:textId="77777777" w:rsidR="00D1587D" w:rsidRDefault="00D1587D">
            <w:pPr>
              <w:rPr>
                <w:sz w:val="24"/>
                <w:szCs w:val="24"/>
              </w:rPr>
            </w:pPr>
          </w:p>
        </w:tc>
        <w:tc>
          <w:tcPr>
            <w:tcW w:w="500" w:type="dxa"/>
            <w:shd w:val="clear" w:color="auto" w:fill="CCEEFF"/>
            <w:vAlign w:val="bottom"/>
          </w:tcPr>
          <w:p w14:paraId="34DF6E85" w14:textId="77777777" w:rsidR="00D1587D" w:rsidRDefault="00D1587D">
            <w:pPr>
              <w:rPr>
                <w:sz w:val="24"/>
                <w:szCs w:val="24"/>
              </w:rPr>
            </w:pPr>
          </w:p>
        </w:tc>
      </w:tr>
      <w:tr w:rsidR="00D1587D" w14:paraId="4185A480" w14:textId="77777777">
        <w:trPr>
          <w:trHeight w:val="270"/>
        </w:trPr>
        <w:tc>
          <w:tcPr>
            <w:tcW w:w="6360" w:type="dxa"/>
            <w:gridSpan w:val="2"/>
            <w:vAlign w:val="bottom"/>
          </w:tcPr>
          <w:p w14:paraId="5D4ED634" w14:textId="77777777" w:rsidR="00D1587D" w:rsidRDefault="00410D07">
            <w:pPr>
              <w:rPr>
                <w:sz w:val="20"/>
                <w:szCs w:val="20"/>
              </w:rPr>
            </w:pPr>
            <w:r>
              <w:rPr>
                <w:rFonts w:ascii="Arial" w:eastAsia="Arial" w:hAnsi="Arial" w:cs="Arial"/>
                <w:b/>
                <w:bCs/>
                <w:sz w:val="18"/>
                <w:szCs w:val="18"/>
              </w:rPr>
              <w:t>Operating Activities</w:t>
            </w:r>
          </w:p>
        </w:tc>
        <w:tc>
          <w:tcPr>
            <w:tcW w:w="480" w:type="dxa"/>
            <w:vAlign w:val="bottom"/>
          </w:tcPr>
          <w:p w14:paraId="347C626E" w14:textId="77777777" w:rsidR="00D1587D" w:rsidRDefault="00D1587D">
            <w:pPr>
              <w:rPr>
                <w:sz w:val="23"/>
                <w:szCs w:val="23"/>
              </w:rPr>
            </w:pPr>
          </w:p>
        </w:tc>
        <w:tc>
          <w:tcPr>
            <w:tcW w:w="300" w:type="dxa"/>
            <w:vAlign w:val="bottom"/>
          </w:tcPr>
          <w:p w14:paraId="22D8F220" w14:textId="77777777" w:rsidR="00D1587D" w:rsidRDefault="00D1587D">
            <w:pPr>
              <w:rPr>
                <w:sz w:val="23"/>
                <w:szCs w:val="23"/>
              </w:rPr>
            </w:pPr>
          </w:p>
        </w:tc>
        <w:tc>
          <w:tcPr>
            <w:tcW w:w="500" w:type="dxa"/>
            <w:vAlign w:val="bottom"/>
          </w:tcPr>
          <w:p w14:paraId="77CD7922" w14:textId="77777777" w:rsidR="00D1587D" w:rsidRDefault="00D1587D">
            <w:pPr>
              <w:rPr>
                <w:sz w:val="23"/>
                <w:szCs w:val="23"/>
              </w:rPr>
            </w:pPr>
          </w:p>
        </w:tc>
        <w:tc>
          <w:tcPr>
            <w:tcW w:w="280" w:type="dxa"/>
            <w:vAlign w:val="bottom"/>
          </w:tcPr>
          <w:p w14:paraId="20AD0072" w14:textId="77777777" w:rsidR="00D1587D" w:rsidRDefault="00D1587D">
            <w:pPr>
              <w:rPr>
                <w:sz w:val="23"/>
                <w:szCs w:val="23"/>
              </w:rPr>
            </w:pPr>
          </w:p>
        </w:tc>
        <w:tc>
          <w:tcPr>
            <w:tcW w:w="500" w:type="dxa"/>
            <w:vAlign w:val="bottom"/>
          </w:tcPr>
          <w:p w14:paraId="27F6C8E4" w14:textId="77777777" w:rsidR="00D1587D" w:rsidRDefault="00D1587D">
            <w:pPr>
              <w:rPr>
                <w:sz w:val="23"/>
                <w:szCs w:val="23"/>
              </w:rPr>
            </w:pPr>
          </w:p>
        </w:tc>
      </w:tr>
      <w:tr w:rsidR="00D1587D" w14:paraId="504A6C69" w14:textId="77777777">
        <w:trPr>
          <w:trHeight w:val="54"/>
        </w:trPr>
        <w:tc>
          <w:tcPr>
            <w:tcW w:w="6220" w:type="dxa"/>
            <w:vAlign w:val="bottom"/>
          </w:tcPr>
          <w:p w14:paraId="3F049BE4" w14:textId="77777777" w:rsidR="00D1587D" w:rsidRDefault="00D1587D">
            <w:pPr>
              <w:rPr>
                <w:sz w:val="4"/>
                <w:szCs w:val="4"/>
              </w:rPr>
            </w:pPr>
          </w:p>
        </w:tc>
        <w:tc>
          <w:tcPr>
            <w:tcW w:w="140" w:type="dxa"/>
            <w:vAlign w:val="bottom"/>
          </w:tcPr>
          <w:p w14:paraId="2EDD480E" w14:textId="77777777" w:rsidR="00D1587D" w:rsidRDefault="00D1587D">
            <w:pPr>
              <w:rPr>
                <w:sz w:val="4"/>
                <w:szCs w:val="4"/>
              </w:rPr>
            </w:pPr>
          </w:p>
        </w:tc>
        <w:tc>
          <w:tcPr>
            <w:tcW w:w="480" w:type="dxa"/>
            <w:vAlign w:val="bottom"/>
          </w:tcPr>
          <w:p w14:paraId="7A220CD6" w14:textId="77777777" w:rsidR="00D1587D" w:rsidRDefault="00D1587D">
            <w:pPr>
              <w:rPr>
                <w:sz w:val="4"/>
                <w:szCs w:val="4"/>
              </w:rPr>
            </w:pPr>
          </w:p>
        </w:tc>
        <w:tc>
          <w:tcPr>
            <w:tcW w:w="300" w:type="dxa"/>
            <w:vAlign w:val="bottom"/>
          </w:tcPr>
          <w:p w14:paraId="07536016" w14:textId="77777777" w:rsidR="00D1587D" w:rsidRDefault="00D1587D">
            <w:pPr>
              <w:rPr>
                <w:sz w:val="4"/>
                <w:szCs w:val="4"/>
              </w:rPr>
            </w:pPr>
          </w:p>
        </w:tc>
        <w:tc>
          <w:tcPr>
            <w:tcW w:w="500" w:type="dxa"/>
            <w:vAlign w:val="bottom"/>
          </w:tcPr>
          <w:p w14:paraId="2499E6AA" w14:textId="77777777" w:rsidR="00D1587D" w:rsidRDefault="00D1587D">
            <w:pPr>
              <w:rPr>
                <w:sz w:val="4"/>
                <w:szCs w:val="4"/>
              </w:rPr>
            </w:pPr>
          </w:p>
        </w:tc>
        <w:tc>
          <w:tcPr>
            <w:tcW w:w="280" w:type="dxa"/>
            <w:vAlign w:val="bottom"/>
          </w:tcPr>
          <w:p w14:paraId="3F32C3DA" w14:textId="77777777" w:rsidR="00D1587D" w:rsidRDefault="00D1587D">
            <w:pPr>
              <w:rPr>
                <w:sz w:val="4"/>
                <w:szCs w:val="4"/>
              </w:rPr>
            </w:pPr>
          </w:p>
        </w:tc>
        <w:tc>
          <w:tcPr>
            <w:tcW w:w="500" w:type="dxa"/>
            <w:vAlign w:val="bottom"/>
          </w:tcPr>
          <w:p w14:paraId="19904F99" w14:textId="77777777" w:rsidR="00D1587D" w:rsidRDefault="00D1587D">
            <w:pPr>
              <w:rPr>
                <w:sz w:val="4"/>
                <w:szCs w:val="4"/>
              </w:rPr>
            </w:pPr>
          </w:p>
        </w:tc>
      </w:tr>
      <w:tr w:rsidR="00D1587D" w14:paraId="19631B85" w14:textId="77777777">
        <w:trPr>
          <w:trHeight w:val="304"/>
        </w:trPr>
        <w:tc>
          <w:tcPr>
            <w:tcW w:w="6360" w:type="dxa"/>
            <w:gridSpan w:val="2"/>
            <w:tcBorders>
              <w:bottom w:val="single" w:sz="8" w:space="0" w:color="CCEEFF"/>
            </w:tcBorders>
            <w:shd w:val="clear" w:color="auto" w:fill="CCEEFF"/>
            <w:vAlign w:val="bottom"/>
          </w:tcPr>
          <w:p w14:paraId="522DCB17" w14:textId="77777777" w:rsidR="00D1587D" w:rsidRDefault="00410D07">
            <w:pPr>
              <w:rPr>
                <w:sz w:val="20"/>
                <w:szCs w:val="20"/>
              </w:rPr>
            </w:pPr>
            <w:r>
              <w:rPr>
                <w:rFonts w:ascii="Arial" w:eastAsia="Arial" w:hAnsi="Arial" w:cs="Arial"/>
                <w:sz w:val="18"/>
                <w:szCs w:val="18"/>
              </w:rPr>
              <w:t>Net Income (Loss)</w:t>
            </w:r>
          </w:p>
        </w:tc>
        <w:tc>
          <w:tcPr>
            <w:tcW w:w="480" w:type="dxa"/>
            <w:tcBorders>
              <w:bottom w:val="single" w:sz="8" w:space="0" w:color="CCEEFF"/>
            </w:tcBorders>
            <w:shd w:val="clear" w:color="auto" w:fill="CCEEFF"/>
            <w:vAlign w:val="bottom"/>
          </w:tcPr>
          <w:p w14:paraId="41D50E1E" w14:textId="77777777" w:rsidR="00D1587D" w:rsidRDefault="00410D07">
            <w:pPr>
              <w:jc w:val="right"/>
              <w:rPr>
                <w:sz w:val="20"/>
                <w:szCs w:val="20"/>
              </w:rPr>
            </w:pPr>
            <w:r>
              <w:rPr>
                <w:rFonts w:ascii="Arial" w:eastAsia="Arial" w:hAnsi="Arial" w:cs="Arial"/>
                <w:w w:val="97"/>
                <w:sz w:val="18"/>
                <w:szCs w:val="18"/>
              </w:rPr>
              <w:t>$ (72)</w:t>
            </w:r>
          </w:p>
        </w:tc>
        <w:tc>
          <w:tcPr>
            <w:tcW w:w="300" w:type="dxa"/>
            <w:tcBorders>
              <w:bottom w:val="single" w:sz="8" w:space="0" w:color="CCEEFF"/>
            </w:tcBorders>
            <w:shd w:val="clear" w:color="auto" w:fill="CCEEFF"/>
            <w:vAlign w:val="bottom"/>
          </w:tcPr>
          <w:p w14:paraId="258B69CB"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06662DD" w14:textId="77777777" w:rsidR="00D1587D" w:rsidRDefault="00410D07">
            <w:pPr>
              <w:jc w:val="right"/>
              <w:rPr>
                <w:sz w:val="20"/>
                <w:szCs w:val="20"/>
              </w:rPr>
            </w:pPr>
            <w:r>
              <w:rPr>
                <w:rFonts w:ascii="Arial" w:eastAsia="Arial" w:hAnsi="Arial" w:cs="Arial"/>
                <w:w w:val="88"/>
                <w:sz w:val="18"/>
                <w:szCs w:val="18"/>
              </w:rPr>
              <w:t>$(897)</w:t>
            </w:r>
          </w:p>
        </w:tc>
        <w:tc>
          <w:tcPr>
            <w:tcW w:w="280" w:type="dxa"/>
            <w:tcBorders>
              <w:bottom w:val="single" w:sz="8" w:space="0" w:color="CCEEFF"/>
            </w:tcBorders>
            <w:shd w:val="clear" w:color="auto" w:fill="CCEEFF"/>
            <w:vAlign w:val="bottom"/>
          </w:tcPr>
          <w:p w14:paraId="22EBBB7D"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8845FFC" w14:textId="77777777" w:rsidR="00D1587D" w:rsidRDefault="00410D07">
            <w:pPr>
              <w:jc w:val="right"/>
              <w:rPr>
                <w:sz w:val="20"/>
                <w:szCs w:val="20"/>
              </w:rPr>
            </w:pPr>
            <w:r>
              <w:rPr>
                <w:rFonts w:ascii="Arial" w:eastAsia="Arial" w:hAnsi="Arial" w:cs="Arial"/>
                <w:w w:val="88"/>
                <w:sz w:val="18"/>
                <w:szCs w:val="18"/>
              </w:rPr>
              <w:t>$ 251</w:t>
            </w:r>
          </w:p>
        </w:tc>
      </w:tr>
      <w:tr w:rsidR="00D1587D" w14:paraId="03957A87" w14:textId="77777777">
        <w:trPr>
          <w:trHeight w:val="252"/>
        </w:trPr>
        <w:tc>
          <w:tcPr>
            <w:tcW w:w="6360" w:type="dxa"/>
            <w:gridSpan w:val="2"/>
            <w:vAlign w:val="bottom"/>
          </w:tcPr>
          <w:p w14:paraId="0A23700C" w14:textId="77777777" w:rsidR="00D1587D" w:rsidRDefault="00410D07">
            <w:pPr>
              <w:rPr>
                <w:sz w:val="20"/>
                <w:szCs w:val="20"/>
              </w:rPr>
            </w:pPr>
            <w:r>
              <w:rPr>
                <w:rFonts w:ascii="Arial" w:eastAsia="Arial" w:hAnsi="Arial" w:cs="Arial"/>
                <w:b/>
                <w:bCs/>
                <w:sz w:val="18"/>
                <w:szCs w:val="18"/>
              </w:rPr>
              <w:t>Adjustments to Reconcile Net Income (Loss) to Net Cash Provided by</w:t>
            </w:r>
          </w:p>
        </w:tc>
        <w:tc>
          <w:tcPr>
            <w:tcW w:w="480" w:type="dxa"/>
            <w:vAlign w:val="bottom"/>
          </w:tcPr>
          <w:p w14:paraId="0C8E2EB7" w14:textId="77777777" w:rsidR="00D1587D" w:rsidRDefault="00D1587D">
            <w:pPr>
              <w:rPr>
                <w:sz w:val="21"/>
                <w:szCs w:val="21"/>
              </w:rPr>
            </w:pPr>
          </w:p>
        </w:tc>
        <w:tc>
          <w:tcPr>
            <w:tcW w:w="300" w:type="dxa"/>
            <w:vAlign w:val="bottom"/>
          </w:tcPr>
          <w:p w14:paraId="45A2D85B" w14:textId="77777777" w:rsidR="00D1587D" w:rsidRDefault="00D1587D">
            <w:pPr>
              <w:rPr>
                <w:sz w:val="21"/>
                <w:szCs w:val="21"/>
              </w:rPr>
            </w:pPr>
          </w:p>
        </w:tc>
        <w:tc>
          <w:tcPr>
            <w:tcW w:w="500" w:type="dxa"/>
            <w:vAlign w:val="bottom"/>
          </w:tcPr>
          <w:p w14:paraId="1352E58A" w14:textId="77777777" w:rsidR="00D1587D" w:rsidRDefault="00D1587D">
            <w:pPr>
              <w:rPr>
                <w:sz w:val="21"/>
                <w:szCs w:val="21"/>
              </w:rPr>
            </w:pPr>
          </w:p>
        </w:tc>
        <w:tc>
          <w:tcPr>
            <w:tcW w:w="280" w:type="dxa"/>
            <w:vAlign w:val="bottom"/>
          </w:tcPr>
          <w:p w14:paraId="6E3CA7BC" w14:textId="77777777" w:rsidR="00D1587D" w:rsidRDefault="00D1587D">
            <w:pPr>
              <w:rPr>
                <w:sz w:val="21"/>
                <w:szCs w:val="21"/>
              </w:rPr>
            </w:pPr>
          </w:p>
        </w:tc>
        <w:tc>
          <w:tcPr>
            <w:tcW w:w="500" w:type="dxa"/>
            <w:vAlign w:val="bottom"/>
          </w:tcPr>
          <w:p w14:paraId="27FBD7E0" w14:textId="77777777" w:rsidR="00D1587D" w:rsidRDefault="00D1587D">
            <w:pPr>
              <w:rPr>
                <w:sz w:val="21"/>
                <w:szCs w:val="21"/>
              </w:rPr>
            </w:pPr>
          </w:p>
        </w:tc>
      </w:tr>
      <w:tr w:rsidR="00D1587D" w14:paraId="7691C8E9" w14:textId="77777777">
        <w:trPr>
          <w:trHeight w:val="234"/>
        </w:trPr>
        <w:tc>
          <w:tcPr>
            <w:tcW w:w="6360" w:type="dxa"/>
            <w:gridSpan w:val="2"/>
            <w:vAlign w:val="bottom"/>
          </w:tcPr>
          <w:p w14:paraId="188A51D4" w14:textId="77777777" w:rsidR="00D1587D" w:rsidRDefault="00410D07">
            <w:pPr>
              <w:ind w:left="180"/>
              <w:rPr>
                <w:sz w:val="20"/>
                <w:szCs w:val="20"/>
              </w:rPr>
            </w:pPr>
            <w:r>
              <w:rPr>
                <w:rFonts w:ascii="Arial" w:eastAsia="Arial" w:hAnsi="Arial" w:cs="Arial"/>
                <w:b/>
                <w:bCs/>
                <w:sz w:val="18"/>
                <w:szCs w:val="18"/>
              </w:rPr>
              <w:t>Operating Activities:</w:t>
            </w:r>
          </w:p>
        </w:tc>
        <w:tc>
          <w:tcPr>
            <w:tcW w:w="480" w:type="dxa"/>
            <w:vAlign w:val="bottom"/>
          </w:tcPr>
          <w:p w14:paraId="0D72021E" w14:textId="77777777" w:rsidR="00D1587D" w:rsidRDefault="00D1587D">
            <w:pPr>
              <w:rPr>
                <w:sz w:val="20"/>
                <w:szCs w:val="20"/>
              </w:rPr>
            </w:pPr>
          </w:p>
        </w:tc>
        <w:tc>
          <w:tcPr>
            <w:tcW w:w="300" w:type="dxa"/>
            <w:vAlign w:val="bottom"/>
          </w:tcPr>
          <w:p w14:paraId="69C7F30A" w14:textId="77777777" w:rsidR="00D1587D" w:rsidRDefault="00D1587D">
            <w:pPr>
              <w:rPr>
                <w:sz w:val="20"/>
                <w:szCs w:val="20"/>
              </w:rPr>
            </w:pPr>
          </w:p>
        </w:tc>
        <w:tc>
          <w:tcPr>
            <w:tcW w:w="500" w:type="dxa"/>
            <w:vAlign w:val="bottom"/>
          </w:tcPr>
          <w:p w14:paraId="36C3C50A" w14:textId="77777777" w:rsidR="00D1587D" w:rsidRDefault="00D1587D">
            <w:pPr>
              <w:rPr>
                <w:sz w:val="20"/>
                <w:szCs w:val="20"/>
              </w:rPr>
            </w:pPr>
          </w:p>
        </w:tc>
        <w:tc>
          <w:tcPr>
            <w:tcW w:w="280" w:type="dxa"/>
            <w:vAlign w:val="bottom"/>
          </w:tcPr>
          <w:p w14:paraId="0F6AD485" w14:textId="77777777" w:rsidR="00D1587D" w:rsidRDefault="00D1587D">
            <w:pPr>
              <w:rPr>
                <w:sz w:val="20"/>
                <w:szCs w:val="20"/>
              </w:rPr>
            </w:pPr>
          </w:p>
        </w:tc>
        <w:tc>
          <w:tcPr>
            <w:tcW w:w="500" w:type="dxa"/>
            <w:vAlign w:val="bottom"/>
          </w:tcPr>
          <w:p w14:paraId="1067BB86" w14:textId="77777777" w:rsidR="00D1587D" w:rsidRDefault="00D1587D">
            <w:pPr>
              <w:rPr>
                <w:sz w:val="20"/>
                <w:szCs w:val="20"/>
              </w:rPr>
            </w:pPr>
          </w:p>
        </w:tc>
      </w:tr>
      <w:tr w:rsidR="00D1587D" w14:paraId="003632D3" w14:textId="77777777">
        <w:trPr>
          <w:trHeight w:val="54"/>
        </w:trPr>
        <w:tc>
          <w:tcPr>
            <w:tcW w:w="6220" w:type="dxa"/>
            <w:vAlign w:val="bottom"/>
          </w:tcPr>
          <w:p w14:paraId="51D58C8D" w14:textId="77777777" w:rsidR="00D1587D" w:rsidRDefault="00D1587D">
            <w:pPr>
              <w:rPr>
                <w:sz w:val="4"/>
                <w:szCs w:val="4"/>
              </w:rPr>
            </w:pPr>
          </w:p>
        </w:tc>
        <w:tc>
          <w:tcPr>
            <w:tcW w:w="140" w:type="dxa"/>
            <w:vAlign w:val="bottom"/>
          </w:tcPr>
          <w:p w14:paraId="087DEB72" w14:textId="77777777" w:rsidR="00D1587D" w:rsidRDefault="00D1587D">
            <w:pPr>
              <w:rPr>
                <w:sz w:val="4"/>
                <w:szCs w:val="4"/>
              </w:rPr>
            </w:pPr>
          </w:p>
        </w:tc>
        <w:tc>
          <w:tcPr>
            <w:tcW w:w="480" w:type="dxa"/>
            <w:vAlign w:val="bottom"/>
          </w:tcPr>
          <w:p w14:paraId="61BE2F4E" w14:textId="77777777" w:rsidR="00D1587D" w:rsidRDefault="00D1587D">
            <w:pPr>
              <w:rPr>
                <w:sz w:val="4"/>
                <w:szCs w:val="4"/>
              </w:rPr>
            </w:pPr>
          </w:p>
        </w:tc>
        <w:tc>
          <w:tcPr>
            <w:tcW w:w="300" w:type="dxa"/>
            <w:vAlign w:val="bottom"/>
          </w:tcPr>
          <w:p w14:paraId="5829BAB2" w14:textId="77777777" w:rsidR="00D1587D" w:rsidRDefault="00D1587D">
            <w:pPr>
              <w:rPr>
                <w:sz w:val="4"/>
                <w:szCs w:val="4"/>
              </w:rPr>
            </w:pPr>
          </w:p>
        </w:tc>
        <w:tc>
          <w:tcPr>
            <w:tcW w:w="500" w:type="dxa"/>
            <w:vAlign w:val="bottom"/>
          </w:tcPr>
          <w:p w14:paraId="53EC2610" w14:textId="77777777" w:rsidR="00D1587D" w:rsidRDefault="00D1587D">
            <w:pPr>
              <w:rPr>
                <w:sz w:val="4"/>
                <w:szCs w:val="4"/>
              </w:rPr>
            </w:pPr>
          </w:p>
        </w:tc>
        <w:tc>
          <w:tcPr>
            <w:tcW w:w="280" w:type="dxa"/>
            <w:vAlign w:val="bottom"/>
          </w:tcPr>
          <w:p w14:paraId="257D2721" w14:textId="77777777" w:rsidR="00D1587D" w:rsidRDefault="00D1587D">
            <w:pPr>
              <w:rPr>
                <w:sz w:val="4"/>
                <w:szCs w:val="4"/>
              </w:rPr>
            </w:pPr>
          </w:p>
        </w:tc>
        <w:tc>
          <w:tcPr>
            <w:tcW w:w="500" w:type="dxa"/>
            <w:vAlign w:val="bottom"/>
          </w:tcPr>
          <w:p w14:paraId="4D52E55E" w14:textId="77777777" w:rsidR="00D1587D" w:rsidRDefault="00D1587D">
            <w:pPr>
              <w:rPr>
                <w:sz w:val="4"/>
                <w:szCs w:val="4"/>
              </w:rPr>
            </w:pPr>
          </w:p>
        </w:tc>
      </w:tr>
      <w:tr w:rsidR="00D1587D" w14:paraId="57433FC8" w14:textId="77777777">
        <w:trPr>
          <w:trHeight w:val="304"/>
        </w:trPr>
        <w:tc>
          <w:tcPr>
            <w:tcW w:w="6360" w:type="dxa"/>
            <w:gridSpan w:val="2"/>
            <w:tcBorders>
              <w:bottom w:val="single" w:sz="8" w:space="0" w:color="CCEEFF"/>
            </w:tcBorders>
            <w:shd w:val="clear" w:color="auto" w:fill="CCEEFF"/>
            <w:vAlign w:val="bottom"/>
          </w:tcPr>
          <w:p w14:paraId="3A487CCE" w14:textId="77777777" w:rsidR="00D1587D" w:rsidRDefault="00410D07">
            <w:pPr>
              <w:ind w:left="180"/>
              <w:rPr>
                <w:sz w:val="20"/>
                <w:szCs w:val="20"/>
              </w:rPr>
            </w:pPr>
            <w:r>
              <w:rPr>
                <w:rFonts w:ascii="Arial" w:eastAsia="Arial" w:hAnsi="Arial" w:cs="Arial"/>
                <w:sz w:val="18"/>
                <w:szCs w:val="18"/>
              </w:rPr>
              <w:t>Depreciation of Long-lived Assets</w:t>
            </w:r>
          </w:p>
        </w:tc>
        <w:tc>
          <w:tcPr>
            <w:tcW w:w="480" w:type="dxa"/>
            <w:tcBorders>
              <w:bottom w:val="single" w:sz="8" w:space="0" w:color="CCEEFF"/>
            </w:tcBorders>
            <w:shd w:val="clear" w:color="auto" w:fill="CCEEFF"/>
            <w:vAlign w:val="bottom"/>
          </w:tcPr>
          <w:p w14:paraId="09E8AE80" w14:textId="77777777" w:rsidR="00D1587D" w:rsidRDefault="00410D07">
            <w:pPr>
              <w:jc w:val="right"/>
              <w:rPr>
                <w:sz w:val="20"/>
                <w:szCs w:val="20"/>
              </w:rPr>
            </w:pPr>
            <w:r>
              <w:rPr>
                <w:rFonts w:ascii="Arial" w:eastAsia="Arial" w:hAnsi="Arial" w:cs="Arial"/>
                <w:sz w:val="18"/>
                <w:szCs w:val="18"/>
              </w:rPr>
              <w:t>326</w:t>
            </w:r>
          </w:p>
        </w:tc>
        <w:tc>
          <w:tcPr>
            <w:tcW w:w="300" w:type="dxa"/>
            <w:tcBorders>
              <w:bottom w:val="single" w:sz="8" w:space="0" w:color="CCEEFF"/>
            </w:tcBorders>
            <w:shd w:val="clear" w:color="auto" w:fill="CCEEFF"/>
            <w:vAlign w:val="bottom"/>
          </w:tcPr>
          <w:p w14:paraId="3E7B2730" w14:textId="77777777" w:rsidR="00D1587D" w:rsidRDefault="00D1587D">
            <w:pPr>
              <w:rPr>
                <w:sz w:val="24"/>
                <w:szCs w:val="24"/>
              </w:rPr>
            </w:pPr>
          </w:p>
        </w:tc>
        <w:tc>
          <w:tcPr>
            <w:tcW w:w="500" w:type="dxa"/>
            <w:tcBorders>
              <w:bottom w:val="single" w:sz="8" w:space="0" w:color="CCEEFF"/>
            </w:tcBorders>
            <w:shd w:val="clear" w:color="auto" w:fill="CCEEFF"/>
            <w:vAlign w:val="bottom"/>
          </w:tcPr>
          <w:p w14:paraId="159B293E" w14:textId="77777777" w:rsidR="00D1587D" w:rsidRDefault="00410D07">
            <w:pPr>
              <w:jc w:val="right"/>
              <w:rPr>
                <w:sz w:val="20"/>
                <w:szCs w:val="20"/>
              </w:rPr>
            </w:pPr>
            <w:r>
              <w:rPr>
                <w:rFonts w:ascii="Arial" w:eastAsia="Arial" w:hAnsi="Arial" w:cs="Arial"/>
                <w:sz w:val="18"/>
                <w:szCs w:val="18"/>
              </w:rPr>
              <w:t>411</w:t>
            </w:r>
          </w:p>
        </w:tc>
        <w:tc>
          <w:tcPr>
            <w:tcW w:w="280" w:type="dxa"/>
            <w:tcBorders>
              <w:bottom w:val="single" w:sz="8" w:space="0" w:color="CCEEFF"/>
            </w:tcBorders>
            <w:shd w:val="clear" w:color="auto" w:fill="CCEEFF"/>
            <w:vAlign w:val="bottom"/>
          </w:tcPr>
          <w:p w14:paraId="7C89E9F7" w14:textId="77777777" w:rsidR="00D1587D" w:rsidRDefault="00D1587D">
            <w:pPr>
              <w:rPr>
                <w:sz w:val="24"/>
                <w:szCs w:val="24"/>
              </w:rPr>
            </w:pPr>
          </w:p>
        </w:tc>
        <w:tc>
          <w:tcPr>
            <w:tcW w:w="500" w:type="dxa"/>
            <w:tcBorders>
              <w:bottom w:val="single" w:sz="8" w:space="0" w:color="CCEEFF"/>
            </w:tcBorders>
            <w:shd w:val="clear" w:color="auto" w:fill="CCEEFF"/>
            <w:vAlign w:val="bottom"/>
          </w:tcPr>
          <w:p w14:paraId="51E19CA5" w14:textId="77777777" w:rsidR="00D1587D" w:rsidRDefault="00410D07">
            <w:pPr>
              <w:jc w:val="right"/>
              <w:rPr>
                <w:sz w:val="20"/>
                <w:szCs w:val="20"/>
              </w:rPr>
            </w:pPr>
            <w:r>
              <w:rPr>
                <w:rFonts w:ascii="Arial" w:eastAsia="Arial" w:hAnsi="Arial" w:cs="Arial"/>
                <w:sz w:val="18"/>
                <w:szCs w:val="18"/>
              </w:rPr>
              <w:t>425</w:t>
            </w:r>
          </w:p>
        </w:tc>
      </w:tr>
      <w:tr w:rsidR="00D1587D" w14:paraId="2B64E12A" w14:textId="77777777">
        <w:trPr>
          <w:trHeight w:val="270"/>
        </w:trPr>
        <w:tc>
          <w:tcPr>
            <w:tcW w:w="6360" w:type="dxa"/>
            <w:gridSpan w:val="2"/>
            <w:vAlign w:val="bottom"/>
          </w:tcPr>
          <w:p w14:paraId="49F2AD54" w14:textId="77777777" w:rsidR="00D1587D" w:rsidRDefault="00410D07">
            <w:pPr>
              <w:ind w:left="180"/>
              <w:rPr>
                <w:sz w:val="20"/>
                <w:szCs w:val="20"/>
              </w:rPr>
            </w:pPr>
            <w:r>
              <w:rPr>
                <w:rFonts w:ascii="Arial" w:eastAsia="Arial" w:hAnsi="Arial" w:cs="Arial"/>
                <w:sz w:val="18"/>
                <w:szCs w:val="18"/>
              </w:rPr>
              <w:t>Amortization of Landlord Allowances</w:t>
            </w:r>
          </w:p>
        </w:tc>
        <w:tc>
          <w:tcPr>
            <w:tcW w:w="780" w:type="dxa"/>
            <w:gridSpan w:val="2"/>
            <w:vAlign w:val="bottom"/>
          </w:tcPr>
          <w:p w14:paraId="7DF048E7" w14:textId="77777777" w:rsidR="00D1587D" w:rsidRDefault="00410D07">
            <w:pPr>
              <w:ind w:right="360"/>
              <w:jc w:val="right"/>
              <w:rPr>
                <w:sz w:val="20"/>
                <w:szCs w:val="20"/>
              </w:rPr>
            </w:pPr>
            <w:r>
              <w:rPr>
                <w:rFonts w:ascii="Arial" w:eastAsia="Arial" w:hAnsi="Arial" w:cs="Arial"/>
                <w:sz w:val="18"/>
                <w:szCs w:val="18"/>
              </w:rPr>
              <w:t>—</w:t>
            </w:r>
          </w:p>
        </w:tc>
        <w:tc>
          <w:tcPr>
            <w:tcW w:w="780" w:type="dxa"/>
            <w:gridSpan w:val="2"/>
            <w:vAlign w:val="bottom"/>
          </w:tcPr>
          <w:p w14:paraId="0629BA83" w14:textId="77777777" w:rsidR="00D1587D" w:rsidRDefault="00410D07">
            <w:pPr>
              <w:ind w:right="360"/>
              <w:jc w:val="right"/>
              <w:rPr>
                <w:sz w:val="20"/>
                <w:szCs w:val="20"/>
              </w:rPr>
            </w:pPr>
            <w:r>
              <w:rPr>
                <w:rFonts w:ascii="Arial" w:eastAsia="Arial" w:hAnsi="Arial" w:cs="Arial"/>
                <w:sz w:val="18"/>
                <w:szCs w:val="18"/>
              </w:rPr>
              <w:t>—</w:t>
            </w:r>
          </w:p>
        </w:tc>
        <w:tc>
          <w:tcPr>
            <w:tcW w:w="500" w:type="dxa"/>
            <w:vAlign w:val="bottom"/>
          </w:tcPr>
          <w:p w14:paraId="09E4D8FC" w14:textId="77777777" w:rsidR="00D1587D" w:rsidRDefault="00410D07">
            <w:pPr>
              <w:jc w:val="right"/>
              <w:rPr>
                <w:sz w:val="20"/>
                <w:szCs w:val="20"/>
              </w:rPr>
            </w:pPr>
            <w:r>
              <w:rPr>
                <w:rFonts w:ascii="Arial" w:eastAsia="Arial" w:hAnsi="Arial" w:cs="Arial"/>
                <w:sz w:val="18"/>
                <w:szCs w:val="18"/>
              </w:rPr>
              <w:t>(29)</w:t>
            </w:r>
          </w:p>
        </w:tc>
      </w:tr>
      <w:tr w:rsidR="00D1587D" w14:paraId="20BEB715" w14:textId="77777777">
        <w:trPr>
          <w:trHeight w:val="54"/>
        </w:trPr>
        <w:tc>
          <w:tcPr>
            <w:tcW w:w="6220" w:type="dxa"/>
            <w:vAlign w:val="bottom"/>
          </w:tcPr>
          <w:p w14:paraId="581EC2C7" w14:textId="77777777" w:rsidR="00D1587D" w:rsidRDefault="00D1587D">
            <w:pPr>
              <w:rPr>
                <w:sz w:val="4"/>
                <w:szCs w:val="4"/>
              </w:rPr>
            </w:pPr>
          </w:p>
        </w:tc>
        <w:tc>
          <w:tcPr>
            <w:tcW w:w="140" w:type="dxa"/>
            <w:vAlign w:val="bottom"/>
          </w:tcPr>
          <w:p w14:paraId="2F2320D0" w14:textId="77777777" w:rsidR="00D1587D" w:rsidRDefault="00D1587D">
            <w:pPr>
              <w:rPr>
                <w:sz w:val="4"/>
                <w:szCs w:val="4"/>
              </w:rPr>
            </w:pPr>
          </w:p>
        </w:tc>
        <w:tc>
          <w:tcPr>
            <w:tcW w:w="480" w:type="dxa"/>
            <w:vAlign w:val="bottom"/>
          </w:tcPr>
          <w:p w14:paraId="71AEA134" w14:textId="77777777" w:rsidR="00D1587D" w:rsidRDefault="00D1587D">
            <w:pPr>
              <w:rPr>
                <w:sz w:val="4"/>
                <w:szCs w:val="4"/>
              </w:rPr>
            </w:pPr>
          </w:p>
        </w:tc>
        <w:tc>
          <w:tcPr>
            <w:tcW w:w="300" w:type="dxa"/>
            <w:vAlign w:val="bottom"/>
          </w:tcPr>
          <w:p w14:paraId="536B3955" w14:textId="77777777" w:rsidR="00D1587D" w:rsidRDefault="00D1587D">
            <w:pPr>
              <w:rPr>
                <w:sz w:val="4"/>
                <w:szCs w:val="4"/>
              </w:rPr>
            </w:pPr>
          </w:p>
        </w:tc>
        <w:tc>
          <w:tcPr>
            <w:tcW w:w="500" w:type="dxa"/>
            <w:vAlign w:val="bottom"/>
          </w:tcPr>
          <w:p w14:paraId="53834C04" w14:textId="77777777" w:rsidR="00D1587D" w:rsidRDefault="00D1587D">
            <w:pPr>
              <w:rPr>
                <w:sz w:val="4"/>
                <w:szCs w:val="4"/>
              </w:rPr>
            </w:pPr>
          </w:p>
        </w:tc>
        <w:tc>
          <w:tcPr>
            <w:tcW w:w="280" w:type="dxa"/>
            <w:vAlign w:val="bottom"/>
          </w:tcPr>
          <w:p w14:paraId="6F0822FF" w14:textId="77777777" w:rsidR="00D1587D" w:rsidRDefault="00D1587D">
            <w:pPr>
              <w:rPr>
                <w:sz w:val="4"/>
                <w:szCs w:val="4"/>
              </w:rPr>
            </w:pPr>
          </w:p>
        </w:tc>
        <w:tc>
          <w:tcPr>
            <w:tcW w:w="500" w:type="dxa"/>
            <w:vAlign w:val="bottom"/>
          </w:tcPr>
          <w:p w14:paraId="26337FE8" w14:textId="77777777" w:rsidR="00D1587D" w:rsidRDefault="00D1587D">
            <w:pPr>
              <w:rPr>
                <w:sz w:val="4"/>
                <w:szCs w:val="4"/>
              </w:rPr>
            </w:pPr>
          </w:p>
        </w:tc>
      </w:tr>
      <w:tr w:rsidR="00D1587D" w14:paraId="237A1242" w14:textId="77777777">
        <w:trPr>
          <w:trHeight w:val="304"/>
        </w:trPr>
        <w:tc>
          <w:tcPr>
            <w:tcW w:w="6360" w:type="dxa"/>
            <w:gridSpan w:val="2"/>
            <w:tcBorders>
              <w:bottom w:val="single" w:sz="8" w:space="0" w:color="CCEEFF"/>
            </w:tcBorders>
            <w:shd w:val="clear" w:color="auto" w:fill="CCEEFF"/>
            <w:vAlign w:val="bottom"/>
          </w:tcPr>
          <w:p w14:paraId="4F826543" w14:textId="77777777" w:rsidR="00D1587D" w:rsidRDefault="00410D07">
            <w:pPr>
              <w:ind w:left="180"/>
              <w:rPr>
                <w:sz w:val="20"/>
                <w:szCs w:val="20"/>
              </w:rPr>
            </w:pPr>
            <w:r>
              <w:rPr>
                <w:rFonts w:ascii="Arial" w:eastAsia="Arial" w:hAnsi="Arial" w:cs="Arial"/>
                <w:sz w:val="18"/>
                <w:szCs w:val="18"/>
              </w:rPr>
              <w:t>Asset Impairment Charges</w:t>
            </w:r>
          </w:p>
        </w:tc>
        <w:tc>
          <w:tcPr>
            <w:tcW w:w="480" w:type="dxa"/>
            <w:tcBorders>
              <w:bottom w:val="single" w:sz="8" w:space="0" w:color="CCEEFF"/>
            </w:tcBorders>
            <w:shd w:val="clear" w:color="auto" w:fill="CCEEFF"/>
            <w:vAlign w:val="bottom"/>
          </w:tcPr>
          <w:p w14:paraId="5873A3DD" w14:textId="77777777" w:rsidR="00D1587D" w:rsidRDefault="00410D07">
            <w:pPr>
              <w:jc w:val="right"/>
              <w:rPr>
                <w:sz w:val="20"/>
                <w:szCs w:val="20"/>
              </w:rPr>
            </w:pPr>
            <w:r>
              <w:rPr>
                <w:rFonts w:ascii="Arial" w:eastAsia="Arial" w:hAnsi="Arial" w:cs="Arial"/>
                <w:sz w:val="18"/>
                <w:szCs w:val="18"/>
              </w:rPr>
              <w:t>254</w:t>
            </w:r>
          </w:p>
        </w:tc>
        <w:tc>
          <w:tcPr>
            <w:tcW w:w="300" w:type="dxa"/>
            <w:tcBorders>
              <w:bottom w:val="single" w:sz="8" w:space="0" w:color="CCEEFF"/>
            </w:tcBorders>
            <w:shd w:val="clear" w:color="auto" w:fill="CCEEFF"/>
            <w:vAlign w:val="bottom"/>
          </w:tcPr>
          <w:p w14:paraId="67623E08" w14:textId="77777777" w:rsidR="00D1587D" w:rsidRDefault="00D1587D">
            <w:pPr>
              <w:rPr>
                <w:sz w:val="24"/>
                <w:szCs w:val="24"/>
              </w:rPr>
            </w:pPr>
          </w:p>
        </w:tc>
        <w:tc>
          <w:tcPr>
            <w:tcW w:w="500" w:type="dxa"/>
            <w:tcBorders>
              <w:bottom w:val="single" w:sz="8" w:space="0" w:color="CCEEFF"/>
            </w:tcBorders>
            <w:shd w:val="clear" w:color="auto" w:fill="CCEEFF"/>
            <w:vAlign w:val="bottom"/>
          </w:tcPr>
          <w:p w14:paraId="3EF2B690" w14:textId="77777777" w:rsidR="00D1587D" w:rsidRDefault="00410D07">
            <w:pPr>
              <w:jc w:val="right"/>
              <w:rPr>
                <w:sz w:val="20"/>
                <w:szCs w:val="20"/>
              </w:rPr>
            </w:pPr>
            <w:r>
              <w:rPr>
                <w:rFonts w:ascii="Arial" w:eastAsia="Arial" w:hAnsi="Arial" w:cs="Arial"/>
                <w:sz w:val="18"/>
                <w:szCs w:val="18"/>
              </w:rPr>
              <w:t>263</w:t>
            </w:r>
          </w:p>
        </w:tc>
        <w:tc>
          <w:tcPr>
            <w:tcW w:w="280" w:type="dxa"/>
            <w:tcBorders>
              <w:bottom w:val="single" w:sz="8" w:space="0" w:color="CCEEFF"/>
            </w:tcBorders>
            <w:shd w:val="clear" w:color="auto" w:fill="CCEEFF"/>
            <w:vAlign w:val="bottom"/>
          </w:tcPr>
          <w:p w14:paraId="00527D3F"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79B7F93" w14:textId="77777777" w:rsidR="00D1587D" w:rsidRDefault="00410D07">
            <w:pPr>
              <w:jc w:val="right"/>
              <w:rPr>
                <w:sz w:val="20"/>
                <w:szCs w:val="20"/>
              </w:rPr>
            </w:pPr>
            <w:r>
              <w:rPr>
                <w:rFonts w:ascii="Arial" w:eastAsia="Arial" w:hAnsi="Arial" w:cs="Arial"/>
                <w:sz w:val="18"/>
                <w:szCs w:val="18"/>
              </w:rPr>
              <w:t>101</w:t>
            </w:r>
          </w:p>
        </w:tc>
      </w:tr>
      <w:tr w:rsidR="00D1587D" w14:paraId="17405D4C" w14:textId="77777777">
        <w:trPr>
          <w:trHeight w:val="270"/>
        </w:trPr>
        <w:tc>
          <w:tcPr>
            <w:tcW w:w="6360" w:type="dxa"/>
            <w:gridSpan w:val="2"/>
            <w:vAlign w:val="bottom"/>
          </w:tcPr>
          <w:p w14:paraId="1D1B2666" w14:textId="77777777" w:rsidR="00D1587D" w:rsidRDefault="00410D07">
            <w:pPr>
              <w:ind w:left="180"/>
              <w:rPr>
                <w:sz w:val="20"/>
                <w:szCs w:val="20"/>
              </w:rPr>
            </w:pPr>
            <w:r>
              <w:rPr>
                <w:rFonts w:ascii="Arial" w:eastAsia="Arial" w:hAnsi="Arial" w:cs="Arial"/>
                <w:sz w:val="18"/>
                <w:szCs w:val="18"/>
              </w:rPr>
              <w:t>Impairment of Goodwill</w:t>
            </w:r>
          </w:p>
        </w:tc>
        <w:tc>
          <w:tcPr>
            <w:tcW w:w="780" w:type="dxa"/>
            <w:gridSpan w:val="2"/>
            <w:vAlign w:val="bottom"/>
          </w:tcPr>
          <w:p w14:paraId="359CE847" w14:textId="77777777" w:rsidR="00D1587D" w:rsidRDefault="00410D07">
            <w:pPr>
              <w:ind w:right="360"/>
              <w:jc w:val="right"/>
              <w:rPr>
                <w:sz w:val="20"/>
                <w:szCs w:val="20"/>
              </w:rPr>
            </w:pPr>
            <w:r>
              <w:rPr>
                <w:rFonts w:ascii="Arial" w:eastAsia="Arial" w:hAnsi="Arial" w:cs="Arial"/>
                <w:sz w:val="18"/>
                <w:szCs w:val="18"/>
              </w:rPr>
              <w:t>—</w:t>
            </w:r>
          </w:p>
        </w:tc>
        <w:tc>
          <w:tcPr>
            <w:tcW w:w="500" w:type="dxa"/>
            <w:vAlign w:val="bottom"/>
          </w:tcPr>
          <w:p w14:paraId="5F87C1BC" w14:textId="77777777" w:rsidR="00D1587D" w:rsidRDefault="00410D07">
            <w:pPr>
              <w:jc w:val="right"/>
              <w:rPr>
                <w:sz w:val="20"/>
                <w:szCs w:val="20"/>
              </w:rPr>
            </w:pPr>
            <w:r>
              <w:rPr>
                <w:rFonts w:ascii="Arial" w:eastAsia="Arial" w:hAnsi="Arial" w:cs="Arial"/>
                <w:sz w:val="18"/>
                <w:szCs w:val="18"/>
              </w:rPr>
              <w:t>720</w:t>
            </w:r>
          </w:p>
        </w:tc>
        <w:tc>
          <w:tcPr>
            <w:tcW w:w="280" w:type="dxa"/>
            <w:vAlign w:val="bottom"/>
          </w:tcPr>
          <w:p w14:paraId="7620303F" w14:textId="77777777" w:rsidR="00D1587D" w:rsidRDefault="00D1587D">
            <w:pPr>
              <w:rPr>
                <w:sz w:val="23"/>
                <w:szCs w:val="23"/>
              </w:rPr>
            </w:pPr>
          </w:p>
        </w:tc>
        <w:tc>
          <w:tcPr>
            <w:tcW w:w="500" w:type="dxa"/>
            <w:vAlign w:val="bottom"/>
          </w:tcPr>
          <w:p w14:paraId="4BE7D0C1" w14:textId="77777777" w:rsidR="00D1587D" w:rsidRDefault="00410D07">
            <w:pPr>
              <w:jc w:val="right"/>
              <w:rPr>
                <w:sz w:val="20"/>
                <w:szCs w:val="20"/>
              </w:rPr>
            </w:pPr>
            <w:r>
              <w:rPr>
                <w:rFonts w:ascii="Arial" w:eastAsia="Arial" w:hAnsi="Arial" w:cs="Arial"/>
                <w:sz w:val="18"/>
                <w:szCs w:val="18"/>
              </w:rPr>
              <w:t>—</w:t>
            </w:r>
          </w:p>
        </w:tc>
      </w:tr>
      <w:tr w:rsidR="00D1587D" w14:paraId="176AAB38" w14:textId="77777777">
        <w:trPr>
          <w:trHeight w:val="54"/>
        </w:trPr>
        <w:tc>
          <w:tcPr>
            <w:tcW w:w="6220" w:type="dxa"/>
            <w:vAlign w:val="bottom"/>
          </w:tcPr>
          <w:p w14:paraId="1B47F6A4" w14:textId="77777777" w:rsidR="00D1587D" w:rsidRDefault="00D1587D">
            <w:pPr>
              <w:rPr>
                <w:sz w:val="4"/>
                <w:szCs w:val="4"/>
              </w:rPr>
            </w:pPr>
          </w:p>
        </w:tc>
        <w:tc>
          <w:tcPr>
            <w:tcW w:w="140" w:type="dxa"/>
            <w:vAlign w:val="bottom"/>
          </w:tcPr>
          <w:p w14:paraId="32CDB6BD" w14:textId="77777777" w:rsidR="00D1587D" w:rsidRDefault="00D1587D">
            <w:pPr>
              <w:rPr>
                <w:sz w:val="4"/>
                <w:szCs w:val="4"/>
              </w:rPr>
            </w:pPr>
          </w:p>
        </w:tc>
        <w:tc>
          <w:tcPr>
            <w:tcW w:w="480" w:type="dxa"/>
            <w:vAlign w:val="bottom"/>
          </w:tcPr>
          <w:p w14:paraId="18E83D3D" w14:textId="77777777" w:rsidR="00D1587D" w:rsidRDefault="00D1587D">
            <w:pPr>
              <w:rPr>
                <w:sz w:val="4"/>
                <w:szCs w:val="4"/>
              </w:rPr>
            </w:pPr>
          </w:p>
        </w:tc>
        <w:tc>
          <w:tcPr>
            <w:tcW w:w="300" w:type="dxa"/>
            <w:vAlign w:val="bottom"/>
          </w:tcPr>
          <w:p w14:paraId="20821911" w14:textId="77777777" w:rsidR="00D1587D" w:rsidRDefault="00D1587D">
            <w:pPr>
              <w:rPr>
                <w:sz w:val="4"/>
                <w:szCs w:val="4"/>
              </w:rPr>
            </w:pPr>
          </w:p>
        </w:tc>
        <w:tc>
          <w:tcPr>
            <w:tcW w:w="500" w:type="dxa"/>
            <w:vAlign w:val="bottom"/>
          </w:tcPr>
          <w:p w14:paraId="3A0854BA" w14:textId="77777777" w:rsidR="00D1587D" w:rsidRDefault="00D1587D">
            <w:pPr>
              <w:rPr>
                <w:sz w:val="4"/>
                <w:szCs w:val="4"/>
              </w:rPr>
            </w:pPr>
          </w:p>
        </w:tc>
        <w:tc>
          <w:tcPr>
            <w:tcW w:w="280" w:type="dxa"/>
            <w:vAlign w:val="bottom"/>
          </w:tcPr>
          <w:p w14:paraId="6CA73C35" w14:textId="77777777" w:rsidR="00D1587D" w:rsidRDefault="00D1587D">
            <w:pPr>
              <w:rPr>
                <w:sz w:val="4"/>
                <w:szCs w:val="4"/>
              </w:rPr>
            </w:pPr>
          </w:p>
        </w:tc>
        <w:tc>
          <w:tcPr>
            <w:tcW w:w="500" w:type="dxa"/>
            <w:vAlign w:val="bottom"/>
          </w:tcPr>
          <w:p w14:paraId="66BDB8E2" w14:textId="77777777" w:rsidR="00D1587D" w:rsidRDefault="00D1587D">
            <w:pPr>
              <w:rPr>
                <w:sz w:val="4"/>
                <w:szCs w:val="4"/>
              </w:rPr>
            </w:pPr>
          </w:p>
        </w:tc>
      </w:tr>
      <w:tr w:rsidR="00D1587D" w14:paraId="7A84128D" w14:textId="77777777">
        <w:trPr>
          <w:trHeight w:val="304"/>
        </w:trPr>
        <w:tc>
          <w:tcPr>
            <w:tcW w:w="6360" w:type="dxa"/>
            <w:gridSpan w:val="2"/>
            <w:tcBorders>
              <w:bottom w:val="single" w:sz="8" w:space="0" w:color="CCEEFF"/>
            </w:tcBorders>
            <w:shd w:val="clear" w:color="auto" w:fill="CCEEFF"/>
            <w:vAlign w:val="bottom"/>
          </w:tcPr>
          <w:p w14:paraId="72373325" w14:textId="77777777" w:rsidR="00D1587D" w:rsidRDefault="00410D07">
            <w:pPr>
              <w:ind w:left="180"/>
              <w:rPr>
                <w:sz w:val="20"/>
                <w:szCs w:val="20"/>
              </w:rPr>
            </w:pPr>
            <w:r>
              <w:rPr>
                <w:rFonts w:ascii="Arial" w:eastAsia="Arial" w:hAnsi="Arial" w:cs="Arial"/>
                <w:sz w:val="18"/>
                <w:szCs w:val="18"/>
              </w:rPr>
              <w:t>Share-based Compensation Expense</w:t>
            </w:r>
          </w:p>
        </w:tc>
        <w:tc>
          <w:tcPr>
            <w:tcW w:w="480" w:type="dxa"/>
            <w:tcBorders>
              <w:bottom w:val="single" w:sz="8" w:space="0" w:color="CCEEFF"/>
            </w:tcBorders>
            <w:shd w:val="clear" w:color="auto" w:fill="CCEEFF"/>
            <w:vAlign w:val="bottom"/>
          </w:tcPr>
          <w:p w14:paraId="4AB20E4C" w14:textId="77777777" w:rsidR="00D1587D" w:rsidRDefault="00410D07">
            <w:pPr>
              <w:jc w:val="right"/>
              <w:rPr>
                <w:sz w:val="20"/>
                <w:szCs w:val="20"/>
              </w:rPr>
            </w:pPr>
            <w:r>
              <w:rPr>
                <w:rFonts w:ascii="Arial" w:eastAsia="Arial" w:hAnsi="Arial" w:cs="Arial"/>
                <w:sz w:val="18"/>
                <w:szCs w:val="18"/>
              </w:rPr>
              <w:t>25</w:t>
            </w:r>
          </w:p>
        </w:tc>
        <w:tc>
          <w:tcPr>
            <w:tcW w:w="300" w:type="dxa"/>
            <w:tcBorders>
              <w:bottom w:val="single" w:sz="8" w:space="0" w:color="CCEEFF"/>
            </w:tcBorders>
            <w:shd w:val="clear" w:color="auto" w:fill="CCEEFF"/>
            <w:vAlign w:val="bottom"/>
          </w:tcPr>
          <w:p w14:paraId="2BDB5D31" w14:textId="77777777" w:rsidR="00D1587D" w:rsidRDefault="00D1587D">
            <w:pPr>
              <w:rPr>
                <w:sz w:val="24"/>
                <w:szCs w:val="24"/>
              </w:rPr>
            </w:pPr>
          </w:p>
        </w:tc>
        <w:tc>
          <w:tcPr>
            <w:tcW w:w="500" w:type="dxa"/>
            <w:tcBorders>
              <w:bottom w:val="single" w:sz="8" w:space="0" w:color="CCEEFF"/>
            </w:tcBorders>
            <w:shd w:val="clear" w:color="auto" w:fill="CCEEFF"/>
            <w:vAlign w:val="bottom"/>
          </w:tcPr>
          <w:p w14:paraId="1992E3A4" w14:textId="77777777" w:rsidR="00D1587D" w:rsidRDefault="00410D07">
            <w:pPr>
              <w:jc w:val="right"/>
              <w:rPr>
                <w:sz w:val="20"/>
                <w:szCs w:val="20"/>
              </w:rPr>
            </w:pPr>
            <w:r>
              <w:rPr>
                <w:rFonts w:ascii="Arial" w:eastAsia="Arial" w:hAnsi="Arial" w:cs="Arial"/>
                <w:sz w:val="18"/>
                <w:szCs w:val="18"/>
              </w:rPr>
              <w:t>38</w:t>
            </w:r>
          </w:p>
        </w:tc>
        <w:tc>
          <w:tcPr>
            <w:tcW w:w="280" w:type="dxa"/>
            <w:tcBorders>
              <w:bottom w:val="single" w:sz="8" w:space="0" w:color="CCEEFF"/>
            </w:tcBorders>
            <w:shd w:val="clear" w:color="auto" w:fill="CCEEFF"/>
            <w:vAlign w:val="bottom"/>
          </w:tcPr>
          <w:p w14:paraId="3333BEF4" w14:textId="77777777" w:rsidR="00D1587D" w:rsidRDefault="00D1587D">
            <w:pPr>
              <w:rPr>
                <w:sz w:val="24"/>
                <w:szCs w:val="24"/>
              </w:rPr>
            </w:pPr>
          </w:p>
        </w:tc>
        <w:tc>
          <w:tcPr>
            <w:tcW w:w="500" w:type="dxa"/>
            <w:tcBorders>
              <w:bottom w:val="single" w:sz="8" w:space="0" w:color="CCEEFF"/>
            </w:tcBorders>
            <w:shd w:val="clear" w:color="auto" w:fill="CCEEFF"/>
            <w:vAlign w:val="bottom"/>
          </w:tcPr>
          <w:p w14:paraId="63316F34" w14:textId="77777777" w:rsidR="00D1587D" w:rsidRDefault="00410D07">
            <w:pPr>
              <w:jc w:val="right"/>
              <w:rPr>
                <w:sz w:val="20"/>
                <w:szCs w:val="20"/>
              </w:rPr>
            </w:pPr>
            <w:r>
              <w:rPr>
                <w:rFonts w:ascii="Arial" w:eastAsia="Arial" w:hAnsi="Arial" w:cs="Arial"/>
                <w:sz w:val="18"/>
                <w:szCs w:val="18"/>
              </w:rPr>
              <w:t>39</w:t>
            </w:r>
          </w:p>
        </w:tc>
      </w:tr>
      <w:tr w:rsidR="00D1587D" w14:paraId="68A20737" w14:textId="77777777">
        <w:trPr>
          <w:trHeight w:val="270"/>
        </w:trPr>
        <w:tc>
          <w:tcPr>
            <w:tcW w:w="6360" w:type="dxa"/>
            <w:gridSpan w:val="2"/>
            <w:vAlign w:val="bottom"/>
          </w:tcPr>
          <w:p w14:paraId="37C8A44F" w14:textId="77777777" w:rsidR="00D1587D" w:rsidRDefault="00410D07">
            <w:pPr>
              <w:ind w:left="180"/>
              <w:rPr>
                <w:sz w:val="20"/>
                <w:szCs w:val="20"/>
              </w:rPr>
            </w:pPr>
            <w:r>
              <w:rPr>
                <w:rFonts w:ascii="Arial" w:eastAsia="Arial" w:hAnsi="Arial" w:cs="Arial"/>
                <w:sz w:val="18"/>
                <w:szCs w:val="18"/>
              </w:rPr>
              <w:t>Deferred Income Taxes</w:t>
            </w:r>
          </w:p>
        </w:tc>
        <w:tc>
          <w:tcPr>
            <w:tcW w:w="480" w:type="dxa"/>
            <w:vAlign w:val="bottom"/>
          </w:tcPr>
          <w:p w14:paraId="2754328F" w14:textId="77777777" w:rsidR="00D1587D" w:rsidRDefault="00410D07">
            <w:pPr>
              <w:jc w:val="right"/>
              <w:rPr>
                <w:sz w:val="20"/>
                <w:szCs w:val="20"/>
              </w:rPr>
            </w:pPr>
            <w:r>
              <w:rPr>
                <w:rFonts w:ascii="Arial" w:eastAsia="Arial" w:hAnsi="Arial" w:cs="Arial"/>
                <w:sz w:val="18"/>
                <w:szCs w:val="18"/>
              </w:rPr>
              <w:t>(64)</w:t>
            </w:r>
          </w:p>
        </w:tc>
        <w:tc>
          <w:tcPr>
            <w:tcW w:w="300" w:type="dxa"/>
            <w:vAlign w:val="bottom"/>
          </w:tcPr>
          <w:p w14:paraId="642452D7" w14:textId="77777777" w:rsidR="00D1587D" w:rsidRDefault="00D1587D">
            <w:pPr>
              <w:rPr>
                <w:sz w:val="23"/>
                <w:szCs w:val="23"/>
              </w:rPr>
            </w:pPr>
          </w:p>
        </w:tc>
        <w:tc>
          <w:tcPr>
            <w:tcW w:w="500" w:type="dxa"/>
            <w:vAlign w:val="bottom"/>
          </w:tcPr>
          <w:p w14:paraId="608AF977" w14:textId="77777777" w:rsidR="00D1587D" w:rsidRDefault="00410D07">
            <w:pPr>
              <w:jc w:val="right"/>
              <w:rPr>
                <w:sz w:val="20"/>
                <w:szCs w:val="20"/>
              </w:rPr>
            </w:pPr>
            <w:r>
              <w:rPr>
                <w:rFonts w:ascii="Arial" w:eastAsia="Arial" w:hAnsi="Arial" w:cs="Arial"/>
                <w:sz w:val="18"/>
                <w:szCs w:val="18"/>
              </w:rPr>
              <w:t>(30)</w:t>
            </w:r>
          </w:p>
        </w:tc>
        <w:tc>
          <w:tcPr>
            <w:tcW w:w="280" w:type="dxa"/>
            <w:vAlign w:val="bottom"/>
          </w:tcPr>
          <w:p w14:paraId="4E9131A2" w14:textId="77777777" w:rsidR="00D1587D" w:rsidRDefault="00D1587D">
            <w:pPr>
              <w:rPr>
                <w:sz w:val="23"/>
                <w:szCs w:val="23"/>
              </w:rPr>
            </w:pPr>
          </w:p>
        </w:tc>
        <w:tc>
          <w:tcPr>
            <w:tcW w:w="500" w:type="dxa"/>
            <w:vAlign w:val="bottom"/>
          </w:tcPr>
          <w:p w14:paraId="3329E0CE" w14:textId="77777777" w:rsidR="00D1587D" w:rsidRDefault="00410D07">
            <w:pPr>
              <w:jc w:val="right"/>
              <w:rPr>
                <w:sz w:val="20"/>
                <w:szCs w:val="20"/>
              </w:rPr>
            </w:pPr>
            <w:r>
              <w:rPr>
                <w:rFonts w:ascii="Arial" w:eastAsia="Arial" w:hAnsi="Arial" w:cs="Arial"/>
                <w:sz w:val="18"/>
                <w:szCs w:val="18"/>
              </w:rPr>
              <w:t>(35)</w:t>
            </w:r>
          </w:p>
        </w:tc>
      </w:tr>
      <w:tr w:rsidR="00D1587D" w14:paraId="61FEBABC" w14:textId="77777777">
        <w:trPr>
          <w:trHeight w:val="54"/>
        </w:trPr>
        <w:tc>
          <w:tcPr>
            <w:tcW w:w="6220" w:type="dxa"/>
            <w:vAlign w:val="bottom"/>
          </w:tcPr>
          <w:p w14:paraId="2AFBB4A7" w14:textId="77777777" w:rsidR="00D1587D" w:rsidRDefault="00D1587D">
            <w:pPr>
              <w:rPr>
                <w:sz w:val="4"/>
                <w:szCs w:val="4"/>
              </w:rPr>
            </w:pPr>
          </w:p>
        </w:tc>
        <w:tc>
          <w:tcPr>
            <w:tcW w:w="140" w:type="dxa"/>
            <w:vAlign w:val="bottom"/>
          </w:tcPr>
          <w:p w14:paraId="154E452F" w14:textId="77777777" w:rsidR="00D1587D" w:rsidRDefault="00D1587D">
            <w:pPr>
              <w:rPr>
                <w:sz w:val="4"/>
                <w:szCs w:val="4"/>
              </w:rPr>
            </w:pPr>
          </w:p>
        </w:tc>
        <w:tc>
          <w:tcPr>
            <w:tcW w:w="480" w:type="dxa"/>
            <w:vAlign w:val="bottom"/>
          </w:tcPr>
          <w:p w14:paraId="76C0DFBB" w14:textId="77777777" w:rsidR="00D1587D" w:rsidRDefault="00D1587D">
            <w:pPr>
              <w:rPr>
                <w:sz w:val="4"/>
                <w:szCs w:val="4"/>
              </w:rPr>
            </w:pPr>
          </w:p>
        </w:tc>
        <w:tc>
          <w:tcPr>
            <w:tcW w:w="300" w:type="dxa"/>
            <w:vAlign w:val="bottom"/>
          </w:tcPr>
          <w:p w14:paraId="605409F5" w14:textId="77777777" w:rsidR="00D1587D" w:rsidRDefault="00D1587D">
            <w:pPr>
              <w:rPr>
                <w:sz w:val="4"/>
                <w:szCs w:val="4"/>
              </w:rPr>
            </w:pPr>
          </w:p>
        </w:tc>
        <w:tc>
          <w:tcPr>
            <w:tcW w:w="500" w:type="dxa"/>
            <w:vAlign w:val="bottom"/>
          </w:tcPr>
          <w:p w14:paraId="130EF41E" w14:textId="77777777" w:rsidR="00D1587D" w:rsidRDefault="00D1587D">
            <w:pPr>
              <w:rPr>
                <w:sz w:val="4"/>
                <w:szCs w:val="4"/>
              </w:rPr>
            </w:pPr>
          </w:p>
        </w:tc>
        <w:tc>
          <w:tcPr>
            <w:tcW w:w="280" w:type="dxa"/>
            <w:vAlign w:val="bottom"/>
          </w:tcPr>
          <w:p w14:paraId="3FB7DCE5" w14:textId="77777777" w:rsidR="00D1587D" w:rsidRDefault="00D1587D">
            <w:pPr>
              <w:rPr>
                <w:sz w:val="4"/>
                <w:szCs w:val="4"/>
              </w:rPr>
            </w:pPr>
          </w:p>
        </w:tc>
        <w:tc>
          <w:tcPr>
            <w:tcW w:w="500" w:type="dxa"/>
            <w:vAlign w:val="bottom"/>
          </w:tcPr>
          <w:p w14:paraId="0BA2074D" w14:textId="77777777" w:rsidR="00D1587D" w:rsidRDefault="00D1587D">
            <w:pPr>
              <w:rPr>
                <w:sz w:val="4"/>
                <w:szCs w:val="4"/>
              </w:rPr>
            </w:pPr>
          </w:p>
        </w:tc>
      </w:tr>
      <w:tr w:rsidR="00D1587D" w14:paraId="0C7BAF4A" w14:textId="77777777">
        <w:trPr>
          <w:trHeight w:val="304"/>
        </w:trPr>
        <w:tc>
          <w:tcPr>
            <w:tcW w:w="6360" w:type="dxa"/>
            <w:gridSpan w:val="2"/>
            <w:tcBorders>
              <w:bottom w:val="single" w:sz="8" w:space="0" w:color="CCEEFF"/>
            </w:tcBorders>
            <w:shd w:val="clear" w:color="auto" w:fill="CCEEFF"/>
            <w:vAlign w:val="bottom"/>
          </w:tcPr>
          <w:p w14:paraId="044EAD1F" w14:textId="77777777" w:rsidR="00D1587D" w:rsidRDefault="00410D07">
            <w:pPr>
              <w:ind w:left="180"/>
              <w:rPr>
                <w:sz w:val="20"/>
                <w:szCs w:val="20"/>
              </w:rPr>
            </w:pPr>
            <w:r>
              <w:rPr>
                <w:rFonts w:ascii="Arial" w:eastAsia="Arial" w:hAnsi="Arial" w:cs="Arial"/>
                <w:sz w:val="18"/>
                <w:szCs w:val="18"/>
              </w:rPr>
              <w:t>Gain related to formation of Victoria’s Secret U.K. Joint Venture</w:t>
            </w:r>
          </w:p>
        </w:tc>
        <w:tc>
          <w:tcPr>
            <w:tcW w:w="480" w:type="dxa"/>
            <w:tcBorders>
              <w:bottom w:val="single" w:sz="8" w:space="0" w:color="CCEEFF"/>
            </w:tcBorders>
            <w:shd w:val="clear" w:color="auto" w:fill="CCEEFF"/>
            <w:vAlign w:val="bottom"/>
          </w:tcPr>
          <w:p w14:paraId="5954242D" w14:textId="77777777" w:rsidR="00D1587D" w:rsidRDefault="00410D07">
            <w:pPr>
              <w:jc w:val="right"/>
              <w:rPr>
                <w:sz w:val="20"/>
                <w:szCs w:val="20"/>
              </w:rPr>
            </w:pPr>
            <w:r>
              <w:rPr>
                <w:rFonts w:ascii="Arial" w:eastAsia="Arial" w:hAnsi="Arial" w:cs="Arial"/>
                <w:sz w:val="18"/>
                <w:szCs w:val="18"/>
              </w:rPr>
              <w:t>(54)</w:t>
            </w:r>
          </w:p>
        </w:tc>
        <w:tc>
          <w:tcPr>
            <w:tcW w:w="300" w:type="dxa"/>
            <w:tcBorders>
              <w:bottom w:val="single" w:sz="8" w:space="0" w:color="CCEEFF"/>
            </w:tcBorders>
            <w:shd w:val="clear" w:color="auto" w:fill="CCEEFF"/>
            <w:vAlign w:val="bottom"/>
          </w:tcPr>
          <w:p w14:paraId="0BFCA8BE" w14:textId="77777777" w:rsidR="00D1587D" w:rsidRDefault="00D1587D">
            <w:pPr>
              <w:rPr>
                <w:sz w:val="24"/>
                <w:szCs w:val="24"/>
              </w:rPr>
            </w:pPr>
          </w:p>
        </w:tc>
        <w:tc>
          <w:tcPr>
            <w:tcW w:w="780" w:type="dxa"/>
            <w:gridSpan w:val="2"/>
            <w:tcBorders>
              <w:bottom w:val="single" w:sz="8" w:space="0" w:color="CCEEFF"/>
            </w:tcBorders>
            <w:shd w:val="clear" w:color="auto" w:fill="CCEEFF"/>
            <w:vAlign w:val="bottom"/>
          </w:tcPr>
          <w:p w14:paraId="76E2450E" w14:textId="77777777" w:rsidR="00D1587D" w:rsidRDefault="00410D07">
            <w:pPr>
              <w:ind w:right="360"/>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61802797" w14:textId="77777777" w:rsidR="00D1587D" w:rsidRDefault="00410D07">
            <w:pPr>
              <w:jc w:val="right"/>
              <w:rPr>
                <w:sz w:val="20"/>
                <w:szCs w:val="20"/>
              </w:rPr>
            </w:pPr>
            <w:r>
              <w:rPr>
                <w:rFonts w:ascii="Arial" w:eastAsia="Arial" w:hAnsi="Arial" w:cs="Arial"/>
                <w:sz w:val="18"/>
                <w:szCs w:val="18"/>
              </w:rPr>
              <w:t>—</w:t>
            </w:r>
          </w:p>
        </w:tc>
      </w:tr>
      <w:tr w:rsidR="00D1587D" w14:paraId="14FD0649" w14:textId="77777777">
        <w:trPr>
          <w:trHeight w:val="270"/>
        </w:trPr>
        <w:tc>
          <w:tcPr>
            <w:tcW w:w="6360" w:type="dxa"/>
            <w:gridSpan w:val="2"/>
            <w:vAlign w:val="bottom"/>
          </w:tcPr>
          <w:p w14:paraId="00005EC9" w14:textId="77777777" w:rsidR="00D1587D" w:rsidRDefault="00410D07">
            <w:pPr>
              <w:ind w:left="180"/>
              <w:rPr>
                <w:sz w:val="20"/>
                <w:szCs w:val="20"/>
              </w:rPr>
            </w:pPr>
            <w:r>
              <w:rPr>
                <w:rFonts w:ascii="Arial" w:eastAsia="Arial" w:hAnsi="Arial" w:cs="Arial"/>
                <w:sz w:val="18"/>
                <w:szCs w:val="18"/>
              </w:rPr>
              <w:t>Gain from Hong Kong Store Closure and Lease Termination</w:t>
            </w:r>
          </w:p>
        </w:tc>
        <w:tc>
          <w:tcPr>
            <w:tcW w:w="480" w:type="dxa"/>
            <w:vAlign w:val="bottom"/>
          </w:tcPr>
          <w:p w14:paraId="294101A3" w14:textId="77777777" w:rsidR="00D1587D" w:rsidRDefault="00410D07">
            <w:pPr>
              <w:jc w:val="right"/>
              <w:rPr>
                <w:sz w:val="20"/>
                <w:szCs w:val="20"/>
              </w:rPr>
            </w:pPr>
            <w:r>
              <w:rPr>
                <w:rFonts w:ascii="Arial" w:eastAsia="Arial" w:hAnsi="Arial" w:cs="Arial"/>
                <w:sz w:val="18"/>
                <w:szCs w:val="18"/>
              </w:rPr>
              <w:t>(39)</w:t>
            </w:r>
          </w:p>
        </w:tc>
        <w:tc>
          <w:tcPr>
            <w:tcW w:w="300" w:type="dxa"/>
            <w:vAlign w:val="bottom"/>
          </w:tcPr>
          <w:p w14:paraId="3DE8A208" w14:textId="77777777" w:rsidR="00D1587D" w:rsidRDefault="00D1587D">
            <w:pPr>
              <w:rPr>
                <w:sz w:val="23"/>
                <w:szCs w:val="23"/>
              </w:rPr>
            </w:pPr>
          </w:p>
        </w:tc>
        <w:tc>
          <w:tcPr>
            <w:tcW w:w="780" w:type="dxa"/>
            <w:gridSpan w:val="2"/>
            <w:vAlign w:val="bottom"/>
          </w:tcPr>
          <w:p w14:paraId="209CF00A" w14:textId="77777777" w:rsidR="00D1587D" w:rsidRDefault="00410D07">
            <w:pPr>
              <w:ind w:right="360"/>
              <w:jc w:val="right"/>
              <w:rPr>
                <w:sz w:val="20"/>
                <w:szCs w:val="20"/>
              </w:rPr>
            </w:pPr>
            <w:r>
              <w:rPr>
                <w:rFonts w:ascii="Arial" w:eastAsia="Arial" w:hAnsi="Arial" w:cs="Arial"/>
                <w:sz w:val="18"/>
                <w:szCs w:val="18"/>
              </w:rPr>
              <w:t>—</w:t>
            </w:r>
          </w:p>
        </w:tc>
        <w:tc>
          <w:tcPr>
            <w:tcW w:w="500" w:type="dxa"/>
            <w:vAlign w:val="bottom"/>
          </w:tcPr>
          <w:p w14:paraId="3FB16F06" w14:textId="77777777" w:rsidR="00D1587D" w:rsidRDefault="00410D07">
            <w:pPr>
              <w:jc w:val="right"/>
              <w:rPr>
                <w:sz w:val="20"/>
                <w:szCs w:val="20"/>
              </w:rPr>
            </w:pPr>
            <w:r>
              <w:rPr>
                <w:rFonts w:ascii="Arial" w:eastAsia="Arial" w:hAnsi="Arial" w:cs="Arial"/>
                <w:sz w:val="18"/>
                <w:szCs w:val="18"/>
              </w:rPr>
              <w:t>—</w:t>
            </w:r>
          </w:p>
        </w:tc>
      </w:tr>
      <w:tr w:rsidR="00D1587D" w14:paraId="334C5917" w14:textId="77777777">
        <w:trPr>
          <w:trHeight w:val="54"/>
        </w:trPr>
        <w:tc>
          <w:tcPr>
            <w:tcW w:w="6220" w:type="dxa"/>
            <w:vAlign w:val="bottom"/>
          </w:tcPr>
          <w:p w14:paraId="49E6CE79" w14:textId="77777777" w:rsidR="00D1587D" w:rsidRDefault="00D1587D">
            <w:pPr>
              <w:rPr>
                <w:sz w:val="4"/>
                <w:szCs w:val="4"/>
              </w:rPr>
            </w:pPr>
          </w:p>
        </w:tc>
        <w:tc>
          <w:tcPr>
            <w:tcW w:w="140" w:type="dxa"/>
            <w:vAlign w:val="bottom"/>
          </w:tcPr>
          <w:p w14:paraId="368BDB63" w14:textId="77777777" w:rsidR="00D1587D" w:rsidRDefault="00D1587D">
            <w:pPr>
              <w:rPr>
                <w:sz w:val="4"/>
                <w:szCs w:val="4"/>
              </w:rPr>
            </w:pPr>
          </w:p>
        </w:tc>
        <w:tc>
          <w:tcPr>
            <w:tcW w:w="480" w:type="dxa"/>
            <w:vAlign w:val="bottom"/>
          </w:tcPr>
          <w:p w14:paraId="2E6C403B" w14:textId="77777777" w:rsidR="00D1587D" w:rsidRDefault="00D1587D">
            <w:pPr>
              <w:rPr>
                <w:sz w:val="4"/>
                <w:szCs w:val="4"/>
              </w:rPr>
            </w:pPr>
          </w:p>
        </w:tc>
        <w:tc>
          <w:tcPr>
            <w:tcW w:w="300" w:type="dxa"/>
            <w:vAlign w:val="bottom"/>
          </w:tcPr>
          <w:p w14:paraId="09E8D40E" w14:textId="77777777" w:rsidR="00D1587D" w:rsidRDefault="00D1587D">
            <w:pPr>
              <w:rPr>
                <w:sz w:val="4"/>
                <w:szCs w:val="4"/>
              </w:rPr>
            </w:pPr>
          </w:p>
        </w:tc>
        <w:tc>
          <w:tcPr>
            <w:tcW w:w="500" w:type="dxa"/>
            <w:vAlign w:val="bottom"/>
          </w:tcPr>
          <w:p w14:paraId="441BCE8A" w14:textId="77777777" w:rsidR="00D1587D" w:rsidRDefault="00D1587D">
            <w:pPr>
              <w:rPr>
                <w:sz w:val="4"/>
                <w:szCs w:val="4"/>
              </w:rPr>
            </w:pPr>
          </w:p>
        </w:tc>
        <w:tc>
          <w:tcPr>
            <w:tcW w:w="280" w:type="dxa"/>
            <w:vAlign w:val="bottom"/>
          </w:tcPr>
          <w:p w14:paraId="79CF5979" w14:textId="77777777" w:rsidR="00D1587D" w:rsidRDefault="00D1587D">
            <w:pPr>
              <w:rPr>
                <w:sz w:val="4"/>
                <w:szCs w:val="4"/>
              </w:rPr>
            </w:pPr>
          </w:p>
        </w:tc>
        <w:tc>
          <w:tcPr>
            <w:tcW w:w="500" w:type="dxa"/>
            <w:vAlign w:val="bottom"/>
          </w:tcPr>
          <w:p w14:paraId="22A872E4" w14:textId="77777777" w:rsidR="00D1587D" w:rsidRDefault="00D1587D">
            <w:pPr>
              <w:rPr>
                <w:sz w:val="4"/>
                <w:szCs w:val="4"/>
              </w:rPr>
            </w:pPr>
          </w:p>
        </w:tc>
      </w:tr>
      <w:tr w:rsidR="00D1587D" w14:paraId="6C398AF7" w14:textId="77777777">
        <w:trPr>
          <w:trHeight w:val="252"/>
        </w:trPr>
        <w:tc>
          <w:tcPr>
            <w:tcW w:w="6360" w:type="dxa"/>
            <w:gridSpan w:val="2"/>
            <w:shd w:val="clear" w:color="auto" w:fill="CCEEFF"/>
            <w:vAlign w:val="bottom"/>
          </w:tcPr>
          <w:p w14:paraId="13028D0B" w14:textId="77777777" w:rsidR="00D1587D" w:rsidRDefault="00410D07">
            <w:pPr>
              <w:rPr>
                <w:sz w:val="20"/>
                <w:szCs w:val="20"/>
              </w:rPr>
            </w:pPr>
            <w:r>
              <w:rPr>
                <w:rFonts w:ascii="Arial" w:eastAsia="Arial" w:hAnsi="Arial" w:cs="Arial"/>
                <w:b/>
                <w:bCs/>
                <w:sz w:val="18"/>
                <w:szCs w:val="18"/>
              </w:rPr>
              <w:t>Changes in Assets and Liabilities, Net of Assets and Liabilities related to</w:t>
            </w:r>
          </w:p>
        </w:tc>
        <w:tc>
          <w:tcPr>
            <w:tcW w:w="480" w:type="dxa"/>
            <w:shd w:val="clear" w:color="auto" w:fill="CCEEFF"/>
            <w:vAlign w:val="bottom"/>
          </w:tcPr>
          <w:p w14:paraId="63E98F9F" w14:textId="77777777" w:rsidR="00D1587D" w:rsidRDefault="00D1587D">
            <w:pPr>
              <w:rPr>
                <w:sz w:val="21"/>
                <w:szCs w:val="21"/>
              </w:rPr>
            </w:pPr>
          </w:p>
        </w:tc>
        <w:tc>
          <w:tcPr>
            <w:tcW w:w="300" w:type="dxa"/>
            <w:shd w:val="clear" w:color="auto" w:fill="CCEEFF"/>
            <w:vAlign w:val="bottom"/>
          </w:tcPr>
          <w:p w14:paraId="1237C28C" w14:textId="77777777" w:rsidR="00D1587D" w:rsidRDefault="00D1587D">
            <w:pPr>
              <w:rPr>
                <w:sz w:val="21"/>
                <w:szCs w:val="21"/>
              </w:rPr>
            </w:pPr>
          </w:p>
        </w:tc>
        <w:tc>
          <w:tcPr>
            <w:tcW w:w="500" w:type="dxa"/>
            <w:shd w:val="clear" w:color="auto" w:fill="CCEEFF"/>
            <w:vAlign w:val="bottom"/>
          </w:tcPr>
          <w:p w14:paraId="002F2B09" w14:textId="77777777" w:rsidR="00D1587D" w:rsidRDefault="00D1587D">
            <w:pPr>
              <w:rPr>
                <w:sz w:val="21"/>
                <w:szCs w:val="21"/>
              </w:rPr>
            </w:pPr>
          </w:p>
        </w:tc>
        <w:tc>
          <w:tcPr>
            <w:tcW w:w="280" w:type="dxa"/>
            <w:shd w:val="clear" w:color="auto" w:fill="CCEEFF"/>
            <w:vAlign w:val="bottom"/>
          </w:tcPr>
          <w:p w14:paraId="2C92B843" w14:textId="77777777" w:rsidR="00D1587D" w:rsidRDefault="00D1587D">
            <w:pPr>
              <w:rPr>
                <w:sz w:val="21"/>
                <w:szCs w:val="21"/>
              </w:rPr>
            </w:pPr>
          </w:p>
        </w:tc>
        <w:tc>
          <w:tcPr>
            <w:tcW w:w="500" w:type="dxa"/>
            <w:shd w:val="clear" w:color="auto" w:fill="CCEEFF"/>
            <w:vAlign w:val="bottom"/>
          </w:tcPr>
          <w:p w14:paraId="13B39A77" w14:textId="77777777" w:rsidR="00D1587D" w:rsidRDefault="00D1587D">
            <w:pPr>
              <w:rPr>
                <w:sz w:val="21"/>
                <w:szCs w:val="21"/>
              </w:rPr>
            </w:pPr>
          </w:p>
        </w:tc>
      </w:tr>
      <w:tr w:rsidR="00D1587D" w14:paraId="3E55C7D8" w14:textId="77777777">
        <w:trPr>
          <w:trHeight w:val="268"/>
        </w:trPr>
        <w:tc>
          <w:tcPr>
            <w:tcW w:w="6360" w:type="dxa"/>
            <w:gridSpan w:val="2"/>
            <w:tcBorders>
              <w:bottom w:val="single" w:sz="8" w:space="0" w:color="CCEEFF"/>
            </w:tcBorders>
            <w:shd w:val="clear" w:color="auto" w:fill="CCEEFF"/>
            <w:vAlign w:val="bottom"/>
          </w:tcPr>
          <w:p w14:paraId="7695075C" w14:textId="77777777" w:rsidR="00D1587D" w:rsidRDefault="00410D07">
            <w:pPr>
              <w:ind w:left="180"/>
              <w:rPr>
                <w:sz w:val="20"/>
                <w:szCs w:val="20"/>
              </w:rPr>
            </w:pPr>
            <w:r>
              <w:rPr>
                <w:rFonts w:ascii="Arial" w:eastAsia="Arial" w:hAnsi="Arial" w:cs="Arial"/>
                <w:b/>
                <w:bCs/>
                <w:sz w:val="18"/>
                <w:szCs w:val="18"/>
              </w:rPr>
              <w:t>Divestiture:</w:t>
            </w:r>
          </w:p>
        </w:tc>
        <w:tc>
          <w:tcPr>
            <w:tcW w:w="480" w:type="dxa"/>
            <w:tcBorders>
              <w:bottom w:val="single" w:sz="8" w:space="0" w:color="CCEEFF"/>
            </w:tcBorders>
            <w:shd w:val="clear" w:color="auto" w:fill="CCEEFF"/>
            <w:vAlign w:val="bottom"/>
          </w:tcPr>
          <w:p w14:paraId="4E484856" w14:textId="77777777" w:rsidR="00D1587D" w:rsidRDefault="00D1587D">
            <w:pPr>
              <w:rPr>
                <w:sz w:val="23"/>
                <w:szCs w:val="23"/>
              </w:rPr>
            </w:pPr>
          </w:p>
        </w:tc>
        <w:tc>
          <w:tcPr>
            <w:tcW w:w="300" w:type="dxa"/>
            <w:tcBorders>
              <w:bottom w:val="single" w:sz="8" w:space="0" w:color="CCEEFF"/>
            </w:tcBorders>
            <w:shd w:val="clear" w:color="auto" w:fill="CCEEFF"/>
            <w:vAlign w:val="bottom"/>
          </w:tcPr>
          <w:p w14:paraId="460BE515" w14:textId="77777777" w:rsidR="00D1587D" w:rsidRDefault="00D1587D">
            <w:pPr>
              <w:rPr>
                <w:sz w:val="23"/>
                <w:szCs w:val="23"/>
              </w:rPr>
            </w:pPr>
          </w:p>
        </w:tc>
        <w:tc>
          <w:tcPr>
            <w:tcW w:w="500" w:type="dxa"/>
            <w:tcBorders>
              <w:bottom w:val="single" w:sz="8" w:space="0" w:color="CCEEFF"/>
            </w:tcBorders>
            <w:shd w:val="clear" w:color="auto" w:fill="CCEEFF"/>
            <w:vAlign w:val="bottom"/>
          </w:tcPr>
          <w:p w14:paraId="5160284D" w14:textId="77777777" w:rsidR="00D1587D" w:rsidRDefault="00D1587D">
            <w:pPr>
              <w:rPr>
                <w:sz w:val="23"/>
                <w:szCs w:val="23"/>
              </w:rPr>
            </w:pPr>
          </w:p>
        </w:tc>
        <w:tc>
          <w:tcPr>
            <w:tcW w:w="280" w:type="dxa"/>
            <w:tcBorders>
              <w:bottom w:val="single" w:sz="8" w:space="0" w:color="CCEEFF"/>
            </w:tcBorders>
            <w:shd w:val="clear" w:color="auto" w:fill="CCEEFF"/>
            <w:vAlign w:val="bottom"/>
          </w:tcPr>
          <w:p w14:paraId="70F6EB5C" w14:textId="77777777" w:rsidR="00D1587D" w:rsidRDefault="00D1587D">
            <w:pPr>
              <w:rPr>
                <w:sz w:val="23"/>
                <w:szCs w:val="23"/>
              </w:rPr>
            </w:pPr>
          </w:p>
        </w:tc>
        <w:tc>
          <w:tcPr>
            <w:tcW w:w="500" w:type="dxa"/>
            <w:tcBorders>
              <w:bottom w:val="single" w:sz="8" w:space="0" w:color="CCEEFF"/>
            </w:tcBorders>
            <w:shd w:val="clear" w:color="auto" w:fill="CCEEFF"/>
            <w:vAlign w:val="bottom"/>
          </w:tcPr>
          <w:p w14:paraId="4BB01D03" w14:textId="77777777" w:rsidR="00D1587D" w:rsidRDefault="00D1587D">
            <w:pPr>
              <w:rPr>
                <w:sz w:val="23"/>
                <w:szCs w:val="23"/>
              </w:rPr>
            </w:pPr>
          </w:p>
        </w:tc>
      </w:tr>
      <w:tr w:rsidR="00D1587D" w14:paraId="736955F4" w14:textId="77777777">
        <w:trPr>
          <w:trHeight w:val="270"/>
        </w:trPr>
        <w:tc>
          <w:tcPr>
            <w:tcW w:w="6360" w:type="dxa"/>
            <w:gridSpan w:val="2"/>
            <w:vAlign w:val="bottom"/>
          </w:tcPr>
          <w:p w14:paraId="7BE07571" w14:textId="77777777" w:rsidR="00D1587D" w:rsidRDefault="00410D07">
            <w:pPr>
              <w:ind w:left="180"/>
              <w:rPr>
                <w:sz w:val="20"/>
                <w:szCs w:val="20"/>
              </w:rPr>
            </w:pPr>
            <w:r>
              <w:rPr>
                <w:rFonts w:ascii="Arial" w:eastAsia="Arial" w:hAnsi="Arial" w:cs="Arial"/>
                <w:sz w:val="18"/>
                <w:szCs w:val="18"/>
              </w:rPr>
              <w:t>Accounts Receivable</w:t>
            </w:r>
          </w:p>
        </w:tc>
        <w:tc>
          <w:tcPr>
            <w:tcW w:w="480" w:type="dxa"/>
            <w:vAlign w:val="bottom"/>
          </w:tcPr>
          <w:p w14:paraId="6D06774B" w14:textId="77777777" w:rsidR="00D1587D" w:rsidRDefault="00410D07">
            <w:pPr>
              <w:jc w:val="right"/>
              <w:rPr>
                <w:sz w:val="20"/>
                <w:szCs w:val="20"/>
              </w:rPr>
            </w:pPr>
            <w:r>
              <w:rPr>
                <w:rFonts w:ascii="Arial" w:eastAsia="Arial" w:hAnsi="Arial" w:cs="Arial"/>
                <w:sz w:val="18"/>
                <w:szCs w:val="18"/>
              </w:rPr>
              <w:t>36</w:t>
            </w:r>
          </w:p>
        </w:tc>
        <w:tc>
          <w:tcPr>
            <w:tcW w:w="300" w:type="dxa"/>
            <w:vAlign w:val="bottom"/>
          </w:tcPr>
          <w:p w14:paraId="2C1B7334" w14:textId="77777777" w:rsidR="00D1587D" w:rsidRDefault="00D1587D">
            <w:pPr>
              <w:rPr>
                <w:sz w:val="23"/>
                <w:szCs w:val="23"/>
              </w:rPr>
            </w:pPr>
          </w:p>
        </w:tc>
        <w:tc>
          <w:tcPr>
            <w:tcW w:w="500" w:type="dxa"/>
            <w:vAlign w:val="bottom"/>
          </w:tcPr>
          <w:p w14:paraId="341F6E94" w14:textId="77777777" w:rsidR="00D1587D" w:rsidRDefault="00410D07">
            <w:pPr>
              <w:jc w:val="right"/>
              <w:rPr>
                <w:sz w:val="20"/>
                <w:szCs w:val="20"/>
              </w:rPr>
            </w:pPr>
            <w:r>
              <w:rPr>
                <w:rFonts w:ascii="Arial" w:eastAsia="Arial" w:hAnsi="Arial" w:cs="Arial"/>
                <w:sz w:val="18"/>
                <w:szCs w:val="18"/>
              </w:rPr>
              <w:t>14</w:t>
            </w:r>
          </w:p>
        </w:tc>
        <w:tc>
          <w:tcPr>
            <w:tcW w:w="280" w:type="dxa"/>
            <w:vAlign w:val="bottom"/>
          </w:tcPr>
          <w:p w14:paraId="34E1F1B1" w14:textId="77777777" w:rsidR="00D1587D" w:rsidRDefault="00D1587D">
            <w:pPr>
              <w:rPr>
                <w:sz w:val="23"/>
                <w:szCs w:val="23"/>
              </w:rPr>
            </w:pPr>
          </w:p>
        </w:tc>
        <w:tc>
          <w:tcPr>
            <w:tcW w:w="500" w:type="dxa"/>
            <w:vAlign w:val="bottom"/>
          </w:tcPr>
          <w:p w14:paraId="5B01E98B" w14:textId="77777777" w:rsidR="00D1587D" w:rsidRDefault="00410D07">
            <w:pPr>
              <w:jc w:val="right"/>
              <w:rPr>
                <w:sz w:val="20"/>
                <w:szCs w:val="20"/>
              </w:rPr>
            </w:pPr>
            <w:r>
              <w:rPr>
                <w:rFonts w:ascii="Arial" w:eastAsia="Arial" w:hAnsi="Arial" w:cs="Arial"/>
                <w:sz w:val="18"/>
                <w:szCs w:val="18"/>
              </w:rPr>
              <w:t>10</w:t>
            </w:r>
          </w:p>
        </w:tc>
      </w:tr>
      <w:tr w:rsidR="00D1587D" w14:paraId="1449C876" w14:textId="77777777">
        <w:trPr>
          <w:trHeight w:val="54"/>
        </w:trPr>
        <w:tc>
          <w:tcPr>
            <w:tcW w:w="6220" w:type="dxa"/>
            <w:vAlign w:val="bottom"/>
          </w:tcPr>
          <w:p w14:paraId="2B137764" w14:textId="77777777" w:rsidR="00D1587D" w:rsidRDefault="00D1587D">
            <w:pPr>
              <w:rPr>
                <w:sz w:val="4"/>
                <w:szCs w:val="4"/>
              </w:rPr>
            </w:pPr>
          </w:p>
        </w:tc>
        <w:tc>
          <w:tcPr>
            <w:tcW w:w="140" w:type="dxa"/>
            <w:vAlign w:val="bottom"/>
          </w:tcPr>
          <w:p w14:paraId="24D7F3A6" w14:textId="77777777" w:rsidR="00D1587D" w:rsidRDefault="00D1587D">
            <w:pPr>
              <w:rPr>
                <w:sz w:val="4"/>
                <w:szCs w:val="4"/>
              </w:rPr>
            </w:pPr>
          </w:p>
        </w:tc>
        <w:tc>
          <w:tcPr>
            <w:tcW w:w="480" w:type="dxa"/>
            <w:vAlign w:val="bottom"/>
          </w:tcPr>
          <w:p w14:paraId="0BAAE340" w14:textId="77777777" w:rsidR="00D1587D" w:rsidRDefault="00D1587D">
            <w:pPr>
              <w:rPr>
                <w:sz w:val="4"/>
                <w:szCs w:val="4"/>
              </w:rPr>
            </w:pPr>
          </w:p>
        </w:tc>
        <w:tc>
          <w:tcPr>
            <w:tcW w:w="300" w:type="dxa"/>
            <w:vAlign w:val="bottom"/>
          </w:tcPr>
          <w:p w14:paraId="35DCCDB7" w14:textId="77777777" w:rsidR="00D1587D" w:rsidRDefault="00D1587D">
            <w:pPr>
              <w:rPr>
                <w:sz w:val="4"/>
                <w:szCs w:val="4"/>
              </w:rPr>
            </w:pPr>
          </w:p>
        </w:tc>
        <w:tc>
          <w:tcPr>
            <w:tcW w:w="500" w:type="dxa"/>
            <w:vAlign w:val="bottom"/>
          </w:tcPr>
          <w:p w14:paraId="72CCB98C" w14:textId="77777777" w:rsidR="00D1587D" w:rsidRDefault="00D1587D">
            <w:pPr>
              <w:rPr>
                <w:sz w:val="4"/>
                <w:szCs w:val="4"/>
              </w:rPr>
            </w:pPr>
          </w:p>
        </w:tc>
        <w:tc>
          <w:tcPr>
            <w:tcW w:w="280" w:type="dxa"/>
            <w:vAlign w:val="bottom"/>
          </w:tcPr>
          <w:p w14:paraId="32F7286C" w14:textId="77777777" w:rsidR="00D1587D" w:rsidRDefault="00D1587D">
            <w:pPr>
              <w:rPr>
                <w:sz w:val="4"/>
                <w:szCs w:val="4"/>
              </w:rPr>
            </w:pPr>
          </w:p>
        </w:tc>
        <w:tc>
          <w:tcPr>
            <w:tcW w:w="500" w:type="dxa"/>
            <w:vAlign w:val="bottom"/>
          </w:tcPr>
          <w:p w14:paraId="4ED674C0" w14:textId="77777777" w:rsidR="00D1587D" w:rsidRDefault="00D1587D">
            <w:pPr>
              <w:rPr>
                <w:sz w:val="4"/>
                <w:szCs w:val="4"/>
              </w:rPr>
            </w:pPr>
          </w:p>
        </w:tc>
      </w:tr>
      <w:tr w:rsidR="00D1587D" w14:paraId="3AA51C2F" w14:textId="77777777">
        <w:trPr>
          <w:trHeight w:val="304"/>
        </w:trPr>
        <w:tc>
          <w:tcPr>
            <w:tcW w:w="6360" w:type="dxa"/>
            <w:gridSpan w:val="2"/>
            <w:tcBorders>
              <w:bottom w:val="single" w:sz="8" w:space="0" w:color="CCEEFF"/>
            </w:tcBorders>
            <w:shd w:val="clear" w:color="auto" w:fill="CCEEFF"/>
            <w:vAlign w:val="bottom"/>
          </w:tcPr>
          <w:p w14:paraId="6D9C211E" w14:textId="77777777" w:rsidR="00D1587D" w:rsidRDefault="00410D07">
            <w:pPr>
              <w:ind w:left="180"/>
              <w:rPr>
                <w:sz w:val="20"/>
                <w:szCs w:val="20"/>
              </w:rPr>
            </w:pPr>
            <w:r>
              <w:rPr>
                <w:rFonts w:ascii="Arial" w:eastAsia="Arial" w:hAnsi="Arial" w:cs="Arial"/>
                <w:sz w:val="18"/>
                <w:szCs w:val="18"/>
              </w:rPr>
              <w:t>Inventories</w:t>
            </w:r>
          </w:p>
        </w:tc>
        <w:tc>
          <w:tcPr>
            <w:tcW w:w="480" w:type="dxa"/>
            <w:tcBorders>
              <w:bottom w:val="single" w:sz="8" w:space="0" w:color="CCEEFF"/>
            </w:tcBorders>
            <w:shd w:val="clear" w:color="auto" w:fill="CCEEFF"/>
            <w:vAlign w:val="bottom"/>
          </w:tcPr>
          <w:p w14:paraId="19AF7C54" w14:textId="77777777" w:rsidR="00D1587D" w:rsidRDefault="00410D07">
            <w:pPr>
              <w:jc w:val="right"/>
              <w:rPr>
                <w:sz w:val="20"/>
                <w:szCs w:val="20"/>
              </w:rPr>
            </w:pPr>
            <w:r>
              <w:rPr>
                <w:rFonts w:ascii="Arial" w:eastAsia="Arial" w:hAnsi="Arial" w:cs="Arial"/>
                <w:sz w:val="18"/>
                <w:szCs w:val="18"/>
              </w:rPr>
              <w:t>141</w:t>
            </w:r>
          </w:p>
        </w:tc>
        <w:tc>
          <w:tcPr>
            <w:tcW w:w="300" w:type="dxa"/>
            <w:tcBorders>
              <w:bottom w:val="single" w:sz="8" w:space="0" w:color="CCEEFF"/>
            </w:tcBorders>
            <w:shd w:val="clear" w:color="auto" w:fill="CCEEFF"/>
            <w:vAlign w:val="bottom"/>
          </w:tcPr>
          <w:p w14:paraId="7C4162E0"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37B2CB3" w14:textId="77777777" w:rsidR="00D1587D" w:rsidRDefault="00410D07">
            <w:pPr>
              <w:jc w:val="right"/>
              <w:rPr>
                <w:sz w:val="20"/>
                <w:szCs w:val="20"/>
              </w:rPr>
            </w:pPr>
            <w:r>
              <w:rPr>
                <w:rFonts w:ascii="Arial" w:eastAsia="Arial" w:hAnsi="Arial" w:cs="Arial"/>
                <w:sz w:val="18"/>
                <w:szCs w:val="18"/>
              </w:rPr>
              <w:t>20</w:t>
            </w:r>
          </w:p>
        </w:tc>
        <w:tc>
          <w:tcPr>
            <w:tcW w:w="280" w:type="dxa"/>
            <w:tcBorders>
              <w:bottom w:val="single" w:sz="8" w:space="0" w:color="CCEEFF"/>
            </w:tcBorders>
            <w:shd w:val="clear" w:color="auto" w:fill="CCEEFF"/>
            <w:vAlign w:val="bottom"/>
          </w:tcPr>
          <w:p w14:paraId="576EBCA5"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E47FC41" w14:textId="77777777" w:rsidR="00D1587D" w:rsidRDefault="00410D07">
            <w:pPr>
              <w:jc w:val="right"/>
              <w:rPr>
                <w:sz w:val="20"/>
                <w:szCs w:val="20"/>
              </w:rPr>
            </w:pPr>
            <w:r>
              <w:rPr>
                <w:rFonts w:ascii="Arial" w:eastAsia="Arial" w:hAnsi="Arial" w:cs="Arial"/>
                <w:sz w:val="18"/>
                <w:szCs w:val="18"/>
              </w:rPr>
              <w:t>(20)</w:t>
            </w:r>
          </w:p>
        </w:tc>
      </w:tr>
      <w:tr w:rsidR="00D1587D" w14:paraId="7C7F3C3F" w14:textId="77777777">
        <w:trPr>
          <w:trHeight w:val="270"/>
        </w:trPr>
        <w:tc>
          <w:tcPr>
            <w:tcW w:w="6360" w:type="dxa"/>
            <w:gridSpan w:val="2"/>
            <w:vAlign w:val="bottom"/>
          </w:tcPr>
          <w:p w14:paraId="6B37175B" w14:textId="77777777" w:rsidR="00D1587D" w:rsidRDefault="00410D07">
            <w:pPr>
              <w:ind w:left="180"/>
              <w:rPr>
                <w:sz w:val="20"/>
                <w:szCs w:val="20"/>
              </w:rPr>
            </w:pPr>
            <w:r>
              <w:rPr>
                <w:rFonts w:ascii="Arial" w:eastAsia="Arial" w:hAnsi="Arial" w:cs="Arial"/>
                <w:sz w:val="18"/>
                <w:szCs w:val="18"/>
              </w:rPr>
              <w:t>Accounts Payable, Accrued Expenses and Other</w:t>
            </w:r>
          </w:p>
        </w:tc>
        <w:tc>
          <w:tcPr>
            <w:tcW w:w="480" w:type="dxa"/>
            <w:vAlign w:val="bottom"/>
          </w:tcPr>
          <w:p w14:paraId="3B87E78F" w14:textId="77777777" w:rsidR="00D1587D" w:rsidRDefault="00410D07">
            <w:pPr>
              <w:jc w:val="right"/>
              <w:rPr>
                <w:sz w:val="20"/>
                <w:szCs w:val="20"/>
              </w:rPr>
            </w:pPr>
            <w:r>
              <w:rPr>
                <w:rFonts w:ascii="Arial" w:eastAsia="Arial" w:hAnsi="Arial" w:cs="Arial"/>
                <w:sz w:val="18"/>
                <w:szCs w:val="18"/>
              </w:rPr>
              <w:t>49</w:t>
            </w:r>
          </w:p>
        </w:tc>
        <w:tc>
          <w:tcPr>
            <w:tcW w:w="300" w:type="dxa"/>
            <w:vAlign w:val="bottom"/>
          </w:tcPr>
          <w:p w14:paraId="67CB2932" w14:textId="77777777" w:rsidR="00D1587D" w:rsidRDefault="00D1587D">
            <w:pPr>
              <w:rPr>
                <w:sz w:val="23"/>
                <w:szCs w:val="23"/>
              </w:rPr>
            </w:pPr>
          </w:p>
        </w:tc>
        <w:tc>
          <w:tcPr>
            <w:tcW w:w="500" w:type="dxa"/>
            <w:vAlign w:val="bottom"/>
          </w:tcPr>
          <w:p w14:paraId="77F8519B" w14:textId="77777777" w:rsidR="00D1587D" w:rsidRDefault="00410D07">
            <w:pPr>
              <w:jc w:val="right"/>
              <w:rPr>
                <w:sz w:val="20"/>
                <w:szCs w:val="20"/>
              </w:rPr>
            </w:pPr>
            <w:r>
              <w:rPr>
                <w:rFonts w:ascii="Arial" w:eastAsia="Arial" w:hAnsi="Arial" w:cs="Arial"/>
                <w:sz w:val="18"/>
                <w:szCs w:val="18"/>
              </w:rPr>
              <w:t>(118)</w:t>
            </w:r>
          </w:p>
        </w:tc>
        <w:tc>
          <w:tcPr>
            <w:tcW w:w="280" w:type="dxa"/>
            <w:vAlign w:val="bottom"/>
          </w:tcPr>
          <w:p w14:paraId="0C5F9D79" w14:textId="77777777" w:rsidR="00D1587D" w:rsidRDefault="00D1587D">
            <w:pPr>
              <w:rPr>
                <w:sz w:val="23"/>
                <w:szCs w:val="23"/>
              </w:rPr>
            </w:pPr>
          </w:p>
        </w:tc>
        <w:tc>
          <w:tcPr>
            <w:tcW w:w="500" w:type="dxa"/>
            <w:vAlign w:val="bottom"/>
          </w:tcPr>
          <w:p w14:paraId="4B28EFAA" w14:textId="77777777" w:rsidR="00D1587D" w:rsidRDefault="00410D07">
            <w:pPr>
              <w:jc w:val="right"/>
              <w:rPr>
                <w:sz w:val="20"/>
                <w:szCs w:val="20"/>
              </w:rPr>
            </w:pPr>
            <w:r>
              <w:rPr>
                <w:rFonts w:ascii="Arial" w:eastAsia="Arial" w:hAnsi="Arial" w:cs="Arial"/>
                <w:sz w:val="18"/>
                <w:szCs w:val="18"/>
              </w:rPr>
              <w:t>(27)</w:t>
            </w:r>
          </w:p>
        </w:tc>
      </w:tr>
      <w:tr w:rsidR="00D1587D" w14:paraId="70B84E5F" w14:textId="77777777">
        <w:trPr>
          <w:trHeight w:val="54"/>
        </w:trPr>
        <w:tc>
          <w:tcPr>
            <w:tcW w:w="6220" w:type="dxa"/>
            <w:vAlign w:val="bottom"/>
          </w:tcPr>
          <w:p w14:paraId="383747E1" w14:textId="77777777" w:rsidR="00D1587D" w:rsidRDefault="00D1587D">
            <w:pPr>
              <w:rPr>
                <w:sz w:val="4"/>
                <w:szCs w:val="4"/>
              </w:rPr>
            </w:pPr>
          </w:p>
        </w:tc>
        <w:tc>
          <w:tcPr>
            <w:tcW w:w="140" w:type="dxa"/>
            <w:vAlign w:val="bottom"/>
          </w:tcPr>
          <w:p w14:paraId="3BCD5A7B" w14:textId="77777777" w:rsidR="00D1587D" w:rsidRDefault="00D1587D">
            <w:pPr>
              <w:rPr>
                <w:sz w:val="4"/>
                <w:szCs w:val="4"/>
              </w:rPr>
            </w:pPr>
          </w:p>
        </w:tc>
        <w:tc>
          <w:tcPr>
            <w:tcW w:w="480" w:type="dxa"/>
            <w:vAlign w:val="bottom"/>
          </w:tcPr>
          <w:p w14:paraId="5014EF0F" w14:textId="77777777" w:rsidR="00D1587D" w:rsidRDefault="00D1587D">
            <w:pPr>
              <w:rPr>
                <w:sz w:val="4"/>
                <w:szCs w:val="4"/>
              </w:rPr>
            </w:pPr>
          </w:p>
        </w:tc>
        <w:tc>
          <w:tcPr>
            <w:tcW w:w="300" w:type="dxa"/>
            <w:vAlign w:val="bottom"/>
          </w:tcPr>
          <w:p w14:paraId="4E23EC23" w14:textId="77777777" w:rsidR="00D1587D" w:rsidRDefault="00D1587D">
            <w:pPr>
              <w:rPr>
                <w:sz w:val="4"/>
                <w:szCs w:val="4"/>
              </w:rPr>
            </w:pPr>
          </w:p>
        </w:tc>
        <w:tc>
          <w:tcPr>
            <w:tcW w:w="500" w:type="dxa"/>
            <w:vAlign w:val="bottom"/>
          </w:tcPr>
          <w:p w14:paraId="5326E4D0" w14:textId="77777777" w:rsidR="00D1587D" w:rsidRDefault="00D1587D">
            <w:pPr>
              <w:rPr>
                <w:sz w:val="4"/>
                <w:szCs w:val="4"/>
              </w:rPr>
            </w:pPr>
          </w:p>
        </w:tc>
        <w:tc>
          <w:tcPr>
            <w:tcW w:w="280" w:type="dxa"/>
            <w:vAlign w:val="bottom"/>
          </w:tcPr>
          <w:p w14:paraId="1624E132" w14:textId="77777777" w:rsidR="00D1587D" w:rsidRDefault="00D1587D">
            <w:pPr>
              <w:rPr>
                <w:sz w:val="4"/>
                <w:szCs w:val="4"/>
              </w:rPr>
            </w:pPr>
          </w:p>
        </w:tc>
        <w:tc>
          <w:tcPr>
            <w:tcW w:w="500" w:type="dxa"/>
            <w:vAlign w:val="bottom"/>
          </w:tcPr>
          <w:p w14:paraId="1FE008A4" w14:textId="77777777" w:rsidR="00D1587D" w:rsidRDefault="00D1587D">
            <w:pPr>
              <w:rPr>
                <w:sz w:val="4"/>
                <w:szCs w:val="4"/>
              </w:rPr>
            </w:pPr>
          </w:p>
        </w:tc>
      </w:tr>
      <w:tr w:rsidR="00D1587D" w14:paraId="4429B569" w14:textId="77777777">
        <w:trPr>
          <w:trHeight w:val="304"/>
        </w:trPr>
        <w:tc>
          <w:tcPr>
            <w:tcW w:w="6360" w:type="dxa"/>
            <w:gridSpan w:val="2"/>
            <w:tcBorders>
              <w:bottom w:val="single" w:sz="8" w:space="0" w:color="CCEEFF"/>
            </w:tcBorders>
            <w:shd w:val="clear" w:color="auto" w:fill="CCEEFF"/>
            <w:vAlign w:val="bottom"/>
          </w:tcPr>
          <w:p w14:paraId="69A387B3" w14:textId="77777777" w:rsidR="00D1587D" w:rsidRDefault="00410D07">
            <w:pPr>
              <w:ind w:left="180"/>
              <w:rPr>
                <w:sz w:val="20"/>
                <w:szCs w:val="20"/>
              </w:rPr>
            </w:pPr>
            <w:r>
              <w:rPr>
                <w:rFonts w:ascii="Arial" w:eastAsia="Arial" w:hAnsi="Arial" w:cs="Arial"/>
                <w:sz w:val="18"/>
                <w:szCs w:val="18"/>
              </w:rPr>
              <w:t>Income Taxes Payable</w:t>
            </w:r>
          </w:p>
        </w:tc>
        <w:tc>
          <w:tcPr>
            <w:tcW w:w="480" w:type="dxa"/>
            <w:tcBorders>
              <w:bottom w:val="single" w:sz="8" w:space="0" w:color="CCEEFF"/>
            </w:tcBorders>
            <w:shd w:val="clear" w:color="auto" w:fill="CCEEFF"/>
            <w:vAlign w:val="bottom"/>
          </w:tcPr>
          <w:p w14:paraId="4199BB2A" w14:textId="77777777" w:rsidR="00D1587D" w:rsidRDefault="00410D07">
            <w:pPr>
              <w:jc w:val="right"/>
              <w:rPr>
                <w:sz w:val="20"/>
                <w:szCs w:val="20"/>
              </w:rPr>
            </w:pPr>
            <w:r>
              <w:rPr>
                <w:rFonts w:ascii="Arial" w:eastAsia="Arial" w:hAnsi="Arial" w:cs="Arial"/>
                <w:sz w:val="18"/>
                <w:szCs w:val="18"/>
              </w:rPr>
              <w:t>(25)</w:t>
            </w:r>
          </w:p>
        </w:tc>
        <w:tc>
          <w:tcPr>
            <w:tcW w:w="300" w:type="dxa"/>
            <w:tcBorders>
              <w:bottom w:val="single" w:sz="8" w:space="0" w:color="CCEEFF"/>
            </w:tcBorders>
            <w:shd w:val="clear" w:color="auto" w:fill="CCEEFF"/>
            <w:vAlign w:val="bottom"/>
          </w:tcPr>
          <w:p w14:paraId="41AE0BA1"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D01035E" w14:textId="77777777" w:rsidR="00D1587D" w:rsidRDefault="00410D07">
            <w:pPr>
              <w:jc w:val="right"/>
              <w:rPr>
                <w:sz w:val="20"/>
                <w:szCs w:val="20"/>
              </w:rPr>
            </w:pPr>
            <w:r>
              <w:rPr>
                <w:rFonts w:ascii="Arial" w:eastAsia="Arial" w:hAnsi="Arial" w:cs="Arial"/>
                <w:sz w:val="18"/>
                <w:szCs w:val="18"/>
              </w:rPr>
              <w:t>(49)</w:t>
            </w:r>
          </w:p>
        </w:tc>
        <w:tc>
          <w:tcPr>
            <w:tcW w:w="280" w:type="dxa"/>
            <w:tcBorders>
              <w:bottom w:val="single" w:sz="8" w:space="0" w:color="CCEEFF"/>
            </w:tcBorders>
            <w:shd w:val="clear" w:color="auto" w:fill="CCEEFF"/>
            <w:vAlign w:val="bottom"/>
          </w:tcPr>
          <w:p w14:paraId="3AEB0BDC" w14:textId="77777777" w:rsidR="00D1587D" w:rsidRDefault="00D1587D">
            <w:pPr>
              <w:rPr>
                <w:sz w:val="24"/>
                <w:szCs w:val="24"/>
              </w:rPr>
            </w:pPr>
          </w:p>
        </w:tc>
        <w:tc>
          <w:tcPr>
            <w:tcW w:w="500" w:type="dxa"/>
            <w:tcBorders>
              <w:bottom w:val="single" w:sz="8" w:space="0" w:color="CCEEFF"/>
            </w:tcBorders>
            <w:shd w:val="clear" w:color="auto" w:fill="CCEEFF"/>
            <w:vAlign w:val="bottom"/>
          </w:tcPr>
          <w:p w14:paraId="6632C12C" w14:textId="77777777" w:rsidR="00D1587D" w:rsidRDefault="00410D07">
            <w:pPr>
              <w:jc w:val="right"/>
              <w:rPr>
                <w:sz w:val="20"/>
                <w:szCs w:val="20"/>
              </w:rPr>
            </w:pPr>
            <w:r>
              <w:rPr>
                <w:rFonts w:ascii="Arial" w:eastAsia="Arial" w:hAnsi="Arial" w:cs="Arial"/>
                <w:sz w:val="18"/>
                <w:szCs w:val="18"/>
              </w:rPr>
              <w:t>(114)</w:t>
            </w:r>
          </w:p>
        </w:tc>
      </w:tr>
      <w:tr w:rsidR="00D1587D" w14:paraId="7974E11C" w14:textId="77777777">
        <w:trPr>
          <w:trHeight w:val="270"/>
        </w:trPr>
        <w:tc>
          <w:tcPr>
            <w:tcW w:w="6360" w:type="dxa"/>
            <w:gridSpan w:val="2"/>
            <w:vAlign w:val="bottom"/>
          </w:tcPr>
          <w:p w14:paraId="0F2163BA" w14:textId="77777777" w:rsidR="00D1587D" w:rsidRDefault="00410D07">
            <w:pPr>
              <w:ind w:left="360"/>
              <w:rPr>
                <w:sz w:val="20"/>
                <w:szCs w:val="20"/>
              </w:rPr>
            </w:pPr>
            <w:r>
              <w:rPr>
                <w:rFonts w:ascii="Arial" w:eastAsia="Arial" w:hAnsi="Arial" w:cs="Arial"/>
                <w:sz w:val="18"/>
                <w:szCs w:val="18"/>
              </w:rPr>
              <w:t>Other Assets and Liabilities</w:t>
            </w:r>
          </w:p>
        </w:tc>
        <w:tc>
          <w:tcPr>
            <w:tcW w:w="480" w:type="dxa"/>
            <w:vAlign w:val="bottom"/>
          </w:tcPr>
          <w:p w14:paraId="0EFB7D3D" w14:textId="77777777" w:rsidR="00D1587D" w:rsidRDefault="00410D07">
            <w:pPr>
              <w:jc w:val="right"/>
              <w:rPr>
                <w:sz w:val="20"/>
                <w:szCs w:val="20"/>
              </w:rPr>
            </w:pPr>
            <w:r>
              <w:rPr>
                <w:rFonts w:ascii="Arial" w:eastAsia="Arial" w:hAnsi="Arial" w:cs="Arial"/>
                <w:sz w:val="18"/>
                <w:szCs w:val="18"/>
              </w:rPr>
              <w:t>97</w:t>
            </w:r>
          </w:p>
        </w:tc>
        <w:tc>
          <w:tcPr>
            <w:tcW w:w="300" w:type="dxa"/>
            <w:vAlign w:val="bottom"/>
          </w:tcPr>
          <w:p w14:paraId="61003625" w14:textId="77777777" w:rsidR="00D1587D" w:rsidRDefault="00D1587D">
            <w:pPr>
              <w:rPr>
                <w:sz w:val="23"/>
                <w:szCs w:val="23"/>
              </w:rPr>
            </w:pPr>
          </w:p>
        </w:tc>
        <w:tc>
          <w:tcPr>
            <w:tcW w:w="500" w:type="dxa"/>
            <w:vAlign w:val="bottom"/>
          </w:tcPr>
          <w:p w14:paraId="602A10FE" w14:textId="77777777" w:rsidR="00D1587D" w:rsidRDefault="00410D07">
            <w:pPr>
              <w:jc w:val="right"/>
              <w:rPr>
                <w:sz w:val="20"/>
                <w:szCs w:val="20"/>
              </w:rPr>
            </w:pPr>
            <w:r>
              <w:rPr>
                <w:rFonts w:ascii="Arial" w:eastAsia="Arial" w:hAnsi="Arial" w:cs="Arial"/>
                <w:sz w:val="18"/>
                <w:szCs w:val="18"/>
              </w:rPr>
              <w:t>(57)</w:t>
            </w:r>
          </w:p>
        </w:tc>
        <w:tc>
          <w:tcPr>
            <w:tcW w:w="280" w:type="dxa"/>
            <w:vAlign w:val="bottom"/>
          </w:tcPr>
          <w:p w14:paraId="48DABB29" w14:textId="77777777" w:rsidR="00D1587D" w:rsidRDefault="00D1587D">
            <w:pPr>
              <w:rPr>
                <w:sz w:val="23"/>
                <w:szCs w:val="23"/>
              </w:rPr>
            </w:pPr>
          </w:p>
        </w:tc>
        <w:tc>
          <w:tcPr>
            <w:tcW w:w="500" w:type="dxa"/>
            <w:vAlign w:val="bottom"/>
          </w:tcPr>
          <w:p w14:paraId="0A4AFA66" w14:textId="77777777" w:rsidR="00D1587D" w:rsidRDefault="00410D07">
            <w:pPr>
              <w:jc w:val="right"/>
              <w:rPr>
                <w:sz w:val="20"/>
                <w:szCs w:val="20"/>
              </w:rPr>
            </w:pPr>
            <w:r>
              <w:rPr>
                <w:rFonts w:ascii="Arial" w:eastAsia="Arial" w:hAnsi="Arial" w:cs="Arial"/>
                <w:sz w:val="18"/>
                <w:szCs w:val="18"/>
              </w:rPr>
              <w:t>97</w:t>
            </w:r>
          </w:p>
        </w:tc>
      </w:tr>
      <w:tr w:rsidR="00D1587D" w14:paraId="28B7B461" w14:textId="77777777">
        <w:trPr>
          <w:trHeight w:val="67"/>
        </w:trPr>
        <w:tc>
          <w:tcPr>
            <w:tcW w:w="6220" w:type="dxa"/>
            <w:tcBorders>
              <w:bottom w:val="single" w:sz="8" w:space="0" w:color="CCEEFF"/>
            </w:tcBorders>
            <w:vAlign w:val="bottom"/>
          </w:tcPr>
          <w:p w14:paraId="13ECE902" w14:textId="77777777" w:rsidR="00D1587D" w:rsidRDefault="00D1587D">
            <w:pPr>
              <w:rPr>
                <w:sz w:val="5"/>
                <w:szCs w:val="5"/>
              </w:rPr>
            </w:pPr>
          </w:p>
        </w:tc>
        <w:tc>
          <w:tcPr>
            <w:tcW w:w="140" w:type="dxa"/>
            <w:tcBorders>
              <w:bottom w:val="single" w:sz="8" w:space="0" w:color="CCEEFF"/>
            </w:tcBorders>
            <w:vAlign w:val="bottom"/>
          </w:tcPr>
          <w:p w14:paraId="02B3B2B2" w14:textId="77777777" w:rsidR="00D1587D" w:rsidRDefault="00D1587D">
            <w:pPr>
              <w:rPr>
                <w:sz w:val="5"/>
                <w:szCs w:val="5"/>
              </w:rPr>
            </w:pPr>
          </w:p>
        </w:tc>
        <w:tc>
          <w:tcPr>
            <w:tcW w:w="480" w:type="dxa"/>
            <w:tcBorders>
              <w:bottom w:val="single" w:sz="8" w:space="0" w:color="auto"/>
            </w:tcBorders>
            <w:vAlign w:val="bottom"/>
          </w:tcPr>
          <w:p w14:paraId="42DAF649" w14:textId="77777777" w:rsidR="00D1587D" w:rsidRDefault="00D1587D">
            <w:pPr>
              <w:rPr>
                <w:sz w:val="5"/>
                <w:szCs w:val="5"/>
              </w:rPr>
            </w:pPr>
          </w:p>
        </w:tc>
        <w:tc>
          <w:tcPr>
            <w:tcW w:w="300" w:type="dxa"/>
            <w:tcBorders>
              <w:bottom w:val="single" w:sz="8" w:space="0" w:color="CCEEFF"/>
            </w:tcBorders>
            <w:vAlign w:val="bottom"/>
          </w:tcPr>
          <w:p w14:paraId="65271B06" w14:textId="77777777" w:rsidR="00D1587D" w:rsidRDefault="00D1587D">
            <w:pPr>
              <w:rPr>
                <w:sz w:val="5"/>
                <w:szCs w:val="5"/>
              </w:rPr>
            </w:pPr>
          </w:p>
        </w:tc>
        <w:tc>
          <w:tcPr>
            <w:tcW w:w="500" w:type="dxa"/>
            <w:tcBorders>
              <w:bottom w:val="single" w:sz="8" w:space="0" w:color="auto"/>
            </w:tcBorders>
            <w:vAlign w:val="bottom"/>
          </w:tcPr>
          <w:p w14:paraId="2844911E" w14:textId="77777777" w:rsidR="00D1587D" w:rsidRDefault="00D1587D">
            <w:pPr>
              <w:rPr>
                <w:sz w:val="5"/>
                <w:szCs w:val="5"/>
              </w:rPr>
            </w:pPr>
          </w:p>
        </w:tc>
        <w:tc>
          <w:tcPr>
            <w:tcW w:w="280" w:type="dxa"/>
            <w:tcBorders>
              <w:bottom w:val="single" w:sz="8" w:space="0" w:color="CCEEFF"/>
            </w:tcBorders>
            <w:vAlign w:val="bottom"/>
          </w:tcPr>
          <w:p w14:paraId="698000DD" w14:textId="77777777" w:rsidR="00D1587D" w:rsidRDefault="00D1587D">
            <w:pPr>
              <w:rPr>
                <w:sz w:val="5"/>
                <w:szCs w:val="5"/>
              </w:rPr>
            </w:pPr>
          </w:p>
        </w:tc>
        <w:tc>
          <w:tcPr>
            <w:tcW w:w="500" w:type="dxa"/>
            <w:tcBorders>
              <w:bottom w:val="single" w:sz="8" w:space="0" w:color="auto"/>
            </w:tcBorders>
            <w:vAlign w:val="bottom"/>
          </w:tcPr>
          <w:p w14:paraId="6EAE1DBC" w14:textId="77777777" w:rsidR="00D1587D" w:rsidRDefault="00D1587D">
            <w:pPr>
              <w:rPr>
                <w:sz w:val="5"/>
                <w:szCs w:val="5"/>
              </w:rPr>
            </w:pPr>
          </w:p>
        </w:tc>
      </w:tr>
      <w:tr w:rsidR="00D1587D" w14:paraId="3C196F0F" w14:textId="77777777">
        <w:trPr>
          <w:trHeight w:val="277"/>
        </w:trPr>
        <w:tc>
          <w:tcPr>
            <w:tcW w:w="6360" w:type="dxa"/>
            <w:gridSpan w:val="2"/>
            <w:shd w:val="clear" w:color="auto" w:fill="CCEEFF"/>
            <w:vAlign w:val="bottom"/>
          </w:tcPr>
          <w:p w14:paraId="2A8FA31D" w14:textId="77777777" w:rsidR="00D1587D" w:rsidRDefault="00410D07">
            <w:pPr>
              <w:rPr>
                <w:sz w:val="20"/>
                <w:szCs w:val="20"/>
              </w:rPr>
            </w:pPr>
            <w:r>
              <w:rPr>
                <w:rFonts w:ascii="Arial" w:eastAsia="Arial" w:hAnsi="Arial" w:cs="Arial"/>
                <w:sz w:val="18"/>
                <w:szCs w:val="18"/>
              </w:rPr>
              <w:t>Net Cash Provided by Operating Activities</w:t>
            </w:r>
          </w:p>
        </w:tc>
        <w:tc>
          <w:tcPr>
            <w:tcW w:w="480" w:type="dxa"/>
            <w:shd w:val="clear" w:color="auto" w:fill="CCEEFF"/>
            <w:vAlign w:val="bottom"/>
          </w:tcPr>
          <w:p w14:paraId="63715A03" w14:textId="77777777" w:rsidR="00D1587D" w:rsidRDefault="00410D07">
            <w:pPr>
              <w:jc w:val="right"/>
              <w:rPr>
                <w:sz w:val="20"/>
                <w:szCs w:val="20"/>
              </w:rPr>
            </w:pPr>
            <w:r>
              <w:rPr>
                <w:rFonts w:ascii="Arial" w:eastAsia="Arial" w:hAnsi="Arial" w:cs="Arial"/>
                <w:sz w:val="18"/>
                <w:szCs w:val="18"/>
              </w:rPr>
              <w:t>674</w:t>
            </w:r>
          </w:p>
        </w:tc>
        <w:tc>
          <w:tcPr>
            <w:tcW w:w="300" w:type="dxa"/>
            <w:shd w:val="clear" w:color="auto" w:fill="CCEEFF"/>
            <w:vAlign w:val="bottom"/>
          </w:tcPr>
          <w:p w14:paraId="0E971410" w14:textId="77777777" w:rsidR="00D1587D" w:rsidRDefault="00D1587D">
            <w:pPr>
              <w:rPr>
                <w:sz w:val="24"/>
                <w:szCs w:val="24"/>
              </w:rPr>
            </w:pPr>
          </w:p>
        </w:tc>
        <w:tc>
          <w:tcPr>
            <w:tcW w:w="500" w:type="dxa"/>
            <w:shd w:val="clear" w:color="auto" w:fill="CCEEFF"/>
            <w:vAlign w:val="bottom"/>
          </w:tcPr>
          <w:p w14:paraId="54E95DA9" w14:textId="77777777" w:rsidR="00D1587D" w:rsidRDefault="00410D07">
            <w:pPr>
              <w:jc w:val="right"/>
              <w:rPr>
                <w:sz w:val="20"/>
                <w:szCs w:val="20"/>
              </w:rPr>
            </w:pPr>
            <w:r>
              <w:rPr>
                <w:rFonts w:ascii="Arial" w:eastAsia="Arial" w:hAnsi="Arial" w:cs="Arial"/>
                <w:sz w:val="18"/>
                <w:szCs w:val="18"/>
              </w:rPr>
              <w:t>315</w:t>
            </w:r>
          </w:p>
        </w:tc>
        <w:tc>
          <w:tcPr>
            <w:tcW w:w="280" w:type="dxa"/>
            <w:shd w:val="clear" w:color="auto" w:fill="CCEEFF"/>
            <w:vAlign w:val="bottom"/>
          </w:tcPr>
          <w:p w14:paraId="17BB10E9" w14:textId="77777777" w:rsidR="00D1587D" w:rsidRDefault="00D1587D">
            <w:pPr>
              <w:rPr>
                <w:sz w:val="24"/>
                <w:szCs w:val="24"/>
              </w:rPr>
            </w:pPr>
          </w:p>
        </w:tc>
        <w:tc>
          <w:tcPr>
            <w:tcW w:w="500" w:type="dxa"/>
            <w:shd w:val="clear" w:color="auto" w:fill="CCEEFF"/>
            <w:vAlign w:val="bottom"/>
          </w:tcPr>
          <w:p w14:paraId="7E847F6D" w14:textId="77777777" w:rsidR="00D1587D" w:rsidRDefault="00410D07">
            <w:pPr>
              <w:jc w:val="right"/>
              <w:rPr>
                <w:sz w:val="20"/>
                <w:szCs w:val="20"/>
              </w:rPr>
            </w:pPr>
            <w:r>
              <w:rPr>
                <w:rFonts w:ascii="Arial" w:eastAsia="Arial" w:hAnsi="Arial" w:cs="Arial"/>
                <w:sz w:val="18"/>
                <w:szCs w:val="18"/>
              </w:rPr>
              <w:t>698</w:t>
            </w:r>
          </w:p>
        </w:tc>
      </w:tr>
      <w:tr w:rsidR="00D1587D" w14:paraId="7CC587EC" w14:textId="77777777">
        <w:trPr>
          <w:trHeight w:val="68"/>
        </w:trPr>
        <w:tc>
          <w:tcPr>
            <w:tcW w:w="6220" w:type="dxa"/>
            <w:shd w:val="clear" w:color="auto" w:fill="CCEEFF"/>
            <w:vAlign w:val="bottom"/>
          </w:tcPr>
          <w:p w14:paraId="36C67308" w14:textId="77777777" w:rsidR="00D1587D" w:rsidRDefault="00D1587D">
            <w:pPr>
              <w:rPr>
                <w:sz w:val="5"/>
                <w:szCs w:val="5"/>
              </w:rPr>
            </w:pPr>
          </w:p>
        </w:tc>
        <w:tc>
          <w:tcPr>
            <w:tcW w:w="140" w:type="dxa"/>
            <w:tcBorders>
              <w:bottom w:val="single" w:sz="8" w:space="0" w:color="CCEEFF"/>
            </w:tcBorders>
            <w:shd w:val="clear" w:color="auto" w:fill="CCEEFF"/>
            <w:vAlign w:val="bottom"/>
          </w:tcPr>
          <w:p w14:paraId="7637D8EA" w14:textId="77777777" w:rsidR="00D1587D" w:rsidRDefault="00D1587D">
            <w:pPr>
              <w:rPr>
                <w:sz w:val="5"/>
                <w:szCs w:val="5"/>
              </w:rPr>
            </w:pPr>
          </w:p>
        </w:tc>
        <w:tc>
          <w:tcPr>
            <w:tcW w:w="480" w:type="dxa"/>
            <w:tcBorders>
              <w:bottom w:val="single" w:sz="8" w:space="0" w:color="auto"/>
            </w:tcBorders>
            <w:shd w:val="clear" w:color="auto" w:fill="CCEEFF"/>
            <w:vAlign w:val="bottom"/>
          </w:tcPr>
          <w:p w14:paraId="57896F22" w14:textId="77777777" w:rsidR="00D1587D" w:rsidRDefault="00D1587D">
            <w:pPr>
              <w:rPr>
                <w:sz w:val="5"/>
                <w:szCs w:val="5"/>
              </w:rPr>
            </w:pPr>
          </w:p>
        </w:tc>
        <w:tc>
          <w:tcPr>
            <w:tcW w:w="300" w:type="dxa"/>
            <w:tcBorders>
              <w:bottom w:val="single" w:sz="8" w:space="0" w:color="CCEEFF"/>
            </w:tcBorders>
            <w:shd w:val="clear" w:color="auto" w:fill="CCEEFF"/>
            <w:vAlign w:val="bottom"/>
          </w:tcPr>
          <w:p w14:paraId="4E795B5E" w14:textId="77777777" w:rsidR="00D1587D" w:rsidRDefault="00D1587D">
            <w:pPr>
              <w:rPr>
                <w:sz w:val="5"/>
                <w:szCs w:val="5"/>
              </w:rPr>
            </w:pPr>
          </w:p>
        </w:tc>
        <w:tc>
          <w:tcPr>
            <w:tcW w:w="500" w:type="dxa"/>
            <w:tcBorders>
              <w:bottom w:val="single" w:sz="8" w:space="0" w:color="auto"/>
            </w:tcBorders>
            <w:shd w:val="clear" w:color="auto" w:fill="CCEEFF"/>
            <w:vAlign w:val="bottom"/>
          </w:tcPr>
          <w:p w14:paraId="20B31432" w14:textId="77777777" w:rsidR="00D1587D" w:rsidRDefault="00D1587D">
            <w:pPr>
              <w:rPr>
                <w:sz w:val="5"/>
                <w:szCs w:val="5"/>
              </w:rPr>
            </w:pPr>
          </w:p>
        </w:tc>
        <w:tc>
          <w:tcPr>
            <w:tcW w:w="280" w:type="dxa"/>
            <w:tcBorders>
              <w:bottom w:val="single" w:sz="8" w:space="0" w:color="CCEEFF"/>
            </w:tcBorders>
            <w:shd w:val="clear" w:color="auto" w:fill="CCEEFF"/>
            <w:vAlign w:val="bottom"/>
          </w:tcPr>
          <w:p w14:paraId="111A7CFC" w14:textId="77777777" w:rsidR="00D1587D" w:rsidRDefault="00D1587D">
            <w:pPr>
              <w:rPr>
                <w:sz w:val="5"/>
                <w:szCs w:val="5"/>
              </w:rPr>
            </w:pPr>
          </w:p>
        </w:tc>
        <w:tc>
          <w:tcPr>
            <w:tcW w:w="500" w:type="dxa"/>
            <w:tcBorders>
              <w:bottom w:val="single" w:sz="8" w:space="0" w:color="auto"/>
            </w:tcBorders>
            <w:shd w:val="clear" w:color="auto" w:fill="CCEEFF"/>
            <w:vAlign w:val="bottom"/>
          </w:tcPr>
          <w:p w14:paraId="40399994" w14:textId="77777777" w:rsidR="00D1587D" w:rsidRDefault="00D1587D">
            <w:pPr>
              <w:rPr>
                <w:sz w:val="5"/>
                <w:szCs w:val="5"/>
              </w:rPr>
            </w:pPr>
          </w:p>
        </w:tc>
      </w:tr>
      <w:tr w:rsidR="00D1587D" w14:paraId="44265C0C" w14:textId="77777777">
        <w:trPr>
          <w:trHeight w:val="277"/>
        </w:trPr>
        <w:tc>
          <w:tcPr>
            <w:tcW w:w="6360" w:type="dxa"/>
            <w:gridSpan w:val="2"/>
            <w:vAlign w:val="bottom"/>
          </w:tcPr>
          <w:p w14:paraId="40FC5BAD" w14:textId="77777777" w:rsidR="00D1587D" w:rsidRDefault="00410D07">
            <w:pPr>
              <w:rPr>
                <w:sz w:val="20"/>
                <w:szCs w:val="20"/>
              </w:rPr>
            </w:pPr>
            <w:r>
              <w:rPr>
                <w:rFonts w:ascii="Arial" w:eastAsia="Arial" w:hAnsi="Arial" w:cs="Arial"/>
                <w:b/>
                <w:bCs/>
                <w:sz w:val="18"/>
                <w:szCs w:val="18"/>
              </w:rPr>
              <w:t>Investing Activities</w:t>
            </w:r>
          </w:p>
        </w:tc>
        <w:tc>
          <w:tcPr>
            <w:tcW w:w="480" w:type="dxa"/>
            <w:vAlign w:val="bottom"/>
          </w:tcPr>
          <w:p w14:paraId="2C55C7E7" w14:textId="77777777" w:rsidR="00D1587D" w:rsidRDefault="00D1587D">
            <w:pPr>
              <w:rPr>
                <w:sz w:val="24"/>
                <w:szCs w:val="24"/>
              </w:rPr>
            </w:pPr>
          </w:p>
        </w:tc>
        <w:tc>
          <w:tcPr>
            <w:tcW w:w="300" w:type="dxa"/>
            <w:vAlign w:val="bottom"/>
          </w:tcPr>
          <w:p w14:paraId="71E2AA67" w14:textId="77777777" w:rsidR="00D1587D" w:rsidRDefault="00D1587D">
            <w:pPr>
              <w:rPr>
                <w:sz w:val="24"/>
                <w:szCs w:val="24"/>
              </w:rPr>
            </w:pPr>
          </w:p>
        </w:tc>
        <w:tc>
          <w:tcPr>
            <w:tcW w:w="500" w:type="dxa"/>
            <w:vAlign w:val="bottom"/>
          </w:tcPr>
          <w:p w14:paraId="1FB0282E" w14:textId="77777777" w:rsidR="00D1587D" w:rsidRDefault="00D1587D">
            <w:pPr>
              <w:rPr>
                <w:sz w:val="24"/>
                <w:szCs w:val="24"/>
              </w:rPr>
            </w:pPr>
          </w:p>
        </w:tc>
        <w:tc>
          <w:tcPr>
            <w:tcW w:w="280" w:type="dxa"/>
            <w:vAlign w:val="bottom"/>
          </w:tcPr>
          <w:p w14:paraId="440242CE" w14:textId="77777777" w:rsidR="00D1587D" w:rsidRDefault="00D1587D">
            <w:pPr>
              <w:rPr>
                <w:sz w:val="24"/>
                <w:szCs w:val="24"/>
              </w:rPr>
            </w:pPr>
          </w:p>
        </w:tc>
        <w:tc>
          <w:tcPr>
            <w:tcW w:w="500" w:type="dxa"/>
            <w:vAlign w:val="bottom"/>
          </w:tcPr>
          <w:p w14:paraId="25C9A75D" w14:textId="77777777" w:rsidR="00D1587D" w:rsidRDefault="00D1587D">
            <w:pPr>
              <w:rPr>
                <w:sz w:val="24"/>
                <w:szCs w:val="24"/>
              </w:rPr>
            </w:pPr>
          </w:p>
        </w:tc>
      </w:tr>
      <w:tr w:rsidR="00D1587D" w14:paraId="713AAF5C" w14:textId="77777777">
        <w:trPr>
          <w:trHeight w:val="54"/>
        </w:trPr>
        <w:tc>
          <w:tcPr>
            <w:tcW w:w="6220" w:type="dxa"/>
            <w:vAlign w:val="bottom"/>
          </w:tcPr>
          <w:p w14:paraId="0EA61A38" w14:textId="77777777" w:rsidR="00D1587D" w:rsidRDefault="00D1587D">
            <w:pPr>
              <w:rPr>
                <w:sz w:val="4"/>
                <w:szCs w:val="4"/>
              </w:rPr>
            </w:pPr>
          </w:p>
        </w:tc>
        <w:tc>
          <w:tcPr>
            <w:tcW w:w="140" w:type="dxa"/>
            <w:vAlign w:val="bottom"/>
          </w:tcPr>
          <w:p w14:paraId="1548925D" w14:textId="77777777" w:rsidR="00D1587D" w:rsidRDefault="00D1587D">
            <w:pPr>
              <w:rPr>
                <w:sz w:val="4"/>
                <w:szCs w:val="4"/>
              </w:rPr>
            </w:pPr>
          </w:p>
        </w:tc>
        <w:tc>
          <w:tcPr>
            <w:tcW w:w="480" w:type="dxa"/>
            <w:vAlign w:val="bottom"/>
          </w:tcPr>
          <w:p w14:paraId="1C23C038" w14:textId="77777777" w:rsidR="00D1587D" w:rsidRDefault="00D1587D">
            <w:pPr>
              <w:rPr>
                <w:sz w:val="4"/>
                <w:szCs w:val="4"/>
              </w:rPr>
            </w:pPr>
          </w:p>
        </w:tc>
        <w:tc>
          <w:tcPr>
            <w:tcW w:w="300" w:type="dxa"/>
            <w:vAlign w:val="bottom"/>
          </w:tcPr>
          <w:p w14:paraId="2291F44B" w14:textId="77777777" w:rsidR="00D1587D" w:rsidRDefault="00D1587D">
            <w:pPr>
              <w:rPr>
                <w:sz w:val="4"/>
                <w:szCs w:val="4"/>
              </w:rPr>
            </w:pPr>
          </w:p>
        </w:tc>
        <w:tc>
          <w:tcPr>
            <w:tcW w:w="500" w:type="dxa"/>
            <w:vAlign w:val="bottom"/>
          </w:tcPr>
          <w:p w14:paraId="5455B3D1" w14:textId="77777777" w:rsidR="00D1587D" w:rsidRDefault="00D1587D">
            <w:pPr>
              <w:rPr>
                <w:sz w:val="4"/>
                <w:szCs w:val="4"/>
              </w:rPr>
            </w:pPr>
          </w:p>
        </w:tc>
        <w:tc>
          <w:tcPr>
            <w:tcW w:w="280" w:type="dxa"/>
            <w:vAlign w:val="bottom"/>
          </w:tcPr>
          <w:p w14:paraId="76E03935" w14:textId="77777777" w:rsidR="00D1587D" w:rsidRDefault="00D1587D">
            <w:pPr>
              <w:rPr>
                <w:sz w:val="4"/>
                <w:szCs w:val="4"/>
              </w:rPr>
            </w:pPr>
          </w:p>
        </w:tc>
        <w:tc>
          <w:tcPr>
            <w:tcW w:w="500" w:type="dxa"/>
            <w:vAlign w:val="bottom"/>
          </w:tcPr>
          <w:p w14:paraId="12FF8FC2" w14:textId="77777777" w:rsidR="00D1587D" w:rsidRDefault="00D1587D">
            <w:pPr>
              <w:rPr>
                <w:sz w:val="4"/>
                <w:szCs w:val="4"/>
              </w:rPr>
            </w:pPr>
          </w:p>
        </w:tc>
      </w:tr>
      <w:tr w:rsidR="00D1587D" w14:paraId="606B8C72" w14:textId="77777777">
        <w:trPr>
          <w:trHeight w:val="304"/>
        </w:trPr>
        <w:tc>
          <w:tcPr>
            <w:tcW w:w="6360" w:type="dxa"/>
            <w:gridSpan w:val="2"/>
            <w:tcBorders>
              <w:bottom w:val="single" w:sz="8" w:space="0" w:color="CCEEFF"/>
            </w:tcBorders>
            <w:shd w:val="clear" w:color="auto" w:fill="CCEEFF"/>
            <w:vAlign w:val="bottom"/>
          </w:tcPr>
          <w:p w14:paraId="73664ADD" w14:textId="77777777" w:rsidR="00D1587D" w:rsidRDefault="00410D07">
            <w:pPr>
              <w:rPr>
                <w:sz w:val="20"/>
                <w:szCs w:val="20"/>
              </w:rPr>
            </w:pPr>
            <w:r>
              <w:rPr>
                <w:rFonts w:ascii="Arial" w:eastAsia="Arial" w:hAnsi="Arial" w:cs="Arial"/>
                <w:sz w:val="18"/>
                <w:szCs w:val="18"/>
              </w:rPr>
              <w:t>Capital Expenditures</w:t>
            </w:r>
          </w:p>
        </w:tc>
        <w:tc>
          <w:tcPr>
            <w:tcW w:w="480" w:type="dxa"/>
            <w:tcBorders>
              <w:bottom w:val="single" w:sz="8" w:space="0" w:color="CCEEFF"/>
            </w:tcBorders>
            <w:shd w:val="clear" w:color="auto" w:fill="CCEEFF"/>
            <w:vAlign w:val="bottom"/>
          </w:tcPr>
          <w:p w14:paraId="3652F699" w14:textId="77777777" w:rsidR="00D1587D" w:rsidRDefault="00410D07">
            <w:pPr>
              <w:jc w:val="right"/>
              <w:rPr>
                <w:sz w:val="20"/>
                <w:szCs w:val="20"/>
              </w:rPr>
            </w:pPr>
            <w:r>
              <w:rPr>
                <w:rFonts w:ascii="Arial" w:eastAsia="Arial" w:hAnsi="Arial" w:cs="Arial"/>
                <w:sz w:val="18"/>
                <w:szCs w:val="18"/>
              </w:rPr>
              <w:t>(127)</w:t>
            </w:r>
          </w:p>
        </w:tc>
        <w:tc>
          <w:tcPr>
            <w:tcW w:w="300" w:type="dxa"/>
            <w:tcBorders>
              <w:bottom w:val="single" w:sz="8" w:space="0" w:color="CCEEFF"/>
            </w:tcBorders>
            <w:shd w:val="clear" w:color="auto" w:fill="CCEEFF"/>
            <w:vAlign w:val="bottom"/>
          </w:tcPr>
          <w:p w14:paraId="27CB1E3B" w14:textId="77777777" w:rsidR="00D1587D" w:rsidRDefault="00D1587D">
            <w:pPr>
              <w:rPr>
                <w:sz w:val="24"/>
                <w:szCs w:val="24"/>
              </w:rPr>
            </w:pPr>
          </w:p>
        </w:tc>
        <w:tc>
          <w:tcPr>
            <w:tcW w:w="500" w:type="dxa"/>
            <w:tcBorders>
              <w:bottom w:val="single" w:sz="8" w:space="0" w:color="CCEEFF"/>
            </w:tcBorders>
            <w:shd w:val="clear" w:color="auto" w:fill="CCEEFF"/>
            <w:vAlign w:val="bottom"/>
          </w:tcPr>
          <w:p w14:paraId="36537E53" w14:textId="77777777" w:rsidR="00D1587D" w:rsidRDefault="00410D07">
            <w:pPr>
              <w:jc w:val="right"/>
              <w:rPr>
                <w:sz w:val="20"/>
                <w:szCs w:val="20"/>
              </w:rPr>
            </w:pPr>
            <w:r>
              <w:rPr>
                <w:rFonts w:ascii="Arial" w:eastAsia="Arial" w:hAnsi="Arial" w:cs="Arial"/>
                <w:sz w:val="18"/>
                <w:szCs w:val="18"/>
              </w:rPr>
              <w:t>(225)</w:t>
            </w:r>
          </w:p>
        </w:tc>
        <w:tc>
          <w:tcPr>
            <w:tcW w:w="280" w:type="dxa"/>
            <w:tcBorders>
              <w:bottom w:val="single" w:sz="8" w:space="0" w:color="CCEEFF"/>
            </w:tcBorders>
            <w:shd w:val="clear" w:color="auto" w:fill="CCEEFF"/>
            <w:vAlign w:val="bottom"/>
          </w:tcPr>
          <w:p w14:paraId="3C21F52B"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DC7433E" w14:textId="77777777" w:rsidR="00D1587D" w:rsidRDefault="00410D07">
            <w:pPr>
              <w:jc w:val="right"/>
              <w:rPr>
                <w:sz w:val="20"/>
                <w:szCs w:val="20"/>
              </w:rPr>
            </w:pPr>
            <w:r>
              <w:rPr>
                <w:rFonts w:ascii="Arial" w:eastAsia="Arial" w:hAnsi="Arial" w:cs="Arial"/>
                <w:sz w:val="18"/>
                <w:szCs w:val="18"/>
              </w:rPr>
              <w:t>(341)</w:t>
            </w:r>
          </w:p>
        </w:tc>
      </w:tr>
      <w:tr w:rsidR="00D1587D" w14:paraId="59AA11DC" w14:textId="77777777">
        <w:trPr>
          <w:trHeight w:val="270"/>
        </w:trPr>
        <w:tc>
          <w:tcPr>
            <w:tcW w:w="6360" w:type="dxa"/>
            <w:gridSpan w:val="2"/>
            <w:vAlign w:val="bottom"/>
          </w:tcPr>
          <w:p w14:paraId="18F7D30C" w14:textId="77777777" w:rsidR="00D1587D" w:rsidRDefault="00410D07">
            <w:pPr>
              <w:rPr>
                <w:sz w:val="20"/>
                <w:szCs w:val="20"/>
              </w:rPr>
            </w:pPr>
            <w:r>
              <w:rPr>
                <w:rFonts w:ascii="Arial" w:eastAsia="Arial" w:hAnsi="Arial" w:cs="Arial"/>
                <w:sz w:val="18"/>
                <w:szCs w:val="18"/>
              </w:rPr>
              <w:t>Other Investing Activities</w:t>
            </w:r>
          </w:p>
        </w:tc>
        <w:tc>
          <w:tcPr>
            <w:tcW w:w="480" w:type="dxa"/>
            <w:vAlign w:val="bottom"/>
          </w:tcPr>
          <w:p w14:paraId="766840D5" w14:textId="77777777" w:rsidR="00D1587D" w:rsidRDefault="00410D07">
            <w:pPr>
              <w:jc w:val="right"/>
              <w:rPr>
                <w:sz w:val="20"/>
                <w:szCs w:val="20"/>
              </w:rPr>
            </w:pPr>
            <w:r>
              <w:rPr>
                <w:rFonts w:ascii="Arial" w:eastAsia="Arial" w:hAnsi="Arial" w:cs="Arial"/>
                <w:sz w:val="18"/>
                <w:szCs w:val="18"/>
              </w:rPr>
              <w:t>4</w:t>
            </w:r>
          </w:p>
        </w:tc>
        <w:tc>
          <w:tcPr>
            <w:tcW w:w="300" w:type="dxa"/>
            <w:vAlign w:val="bottom"/>
          </w:tcPr>
          <w:p w14:paraId="188C248A" w14:textId="77777777" w:rsidR="00D1587D" w:rsidRDefault="00D1587D">
            <w:pPr>
              <w:rPr>
                <w:sz w:val="23"/>
                <w:szCs w:val="23"/>
              </w:rPr>
            </w:pPr>
          </w:p>
        </w:tc>
        <w:tc>
          <w:tcPr>
            <w:tcW w:w="500" w:type="dxa"/>
            <w:vAlign w:val="bottom"/>
          </w:tcPr>
          <w:p w14:paraId="53629108" w14:textId="77777777" w:rsidR="00D1587D" w:rsidRDefault="00410D07">
            <w:pPr>
              <w:jc w:val="right"/>
              <w:rPr>
                <w:sz w:val="20"/>
                <w:szCs w:val="20"/>
              </w:rPr>
            </w:pPr>
            <w:r>
              <w:rPr>
                <w:rFonts w:ascii="Arial" w:eastAsia="Arial" w:hAnsi="Arial" w:cs="Arial"/>
                <w:sz w:val="18"/>
                <w:szCs w:val="18"/>
              </w:rPr>
              <w:t>(18)</w:t>
            </w:r>
          </w:p>
        </w:tc>
        <w:tc>
          <w:tcPr>
            <w:tcW w:w="280" w:type="dxa"/>
            <w:vAlign w:val="bottom"/>
          </w:tcPr>
          <w:p w14:paraId="0762C404" w14:textId="77777777" w:rsidR="00D1587D" w:rsidRDefault="00D1587D">
            <w:pPr>
              <w:rPr>
                <w:sz w:val="23"/>
                <w:szCs w:val="23"/>
              </w:rPr>
            </w:pPr>
          </w:p>
        </w:tc>
        <w:tc>
          <w:tcPr>
            <w:tcW w:w="500" w:type="dxa"/>
            <w:vAlign w:val="bottom"/>
          </w:tcPr>
          <w:p w14:paraId="73067457" w14:textId="77777777" w:rsidR="00D1587D" w:rsidRDefault="00410D07">
            <w:pPr>
              <w:jc w:val="right"/>
              <w:rPr>
                <w:sz w:val="20"/>
                <w:szCs w:val="20"/>
              </w:rPr>
            </w:pPr>
            <w:r>
              <w:rPr>
                <w:rFonts w:ascii="Arial" w:eastAsia="Arial" w:hAnsi="Arial" w:cs="Arial"/>
                <w:sz w:val="18"/>
                <w:szCs w:val="18"/>
              </w:rPr>
              <w:t>(2)</w:t>
            </w:r>
          </w:p>
        </w:tc>
      </w:tr>
      <w:tr w:rsidR="00D1587D" w14:paraId="14E3FFEB" w14:textId="77777777">
        <w:trPr>
          <w:trHeight w:val="68"/>
        </w:trPr>
        <w:tc>
          <w:tcPr>
            <w:tcW w:w="6220" w:type="dxa"/>
            <w:tcBorders>
              <w:bottom w:val="single" w:sz="8" w:space="0" w:color="CCEEFF"/>
            </w:tcBorders>
            <w:vAlign w:val="bottom"/>
          </w:tcPr>
          <w:p w14:paraId="6C7C0042" w14:textId="77777777" w:rsidR="00D1587D" w:rsidRDefault="00D1587D">
            <w:pPr>
              <w:rPr>
                <w:sz w:val="5"/>
                <w:szCs w:val="5"/>
              </w:rPr>
            </w:pPr>
          </w:p>
        </w:tc>
        <w:tc>
          <w:tcPr>
            <w:tcW w:w="140" w:type="dxa"/>
            <w:tcBorders>
              <w:bottom w:val="single" w:sz="8" w:space="0" w:color="CCEEFF"/>
            </w:tcBorders>
            <w:vAlign w:val="bottom"/>
          </w:tcPr>
          <w:p w14:paraId="6C22CDEC" w14:textId="77777777" w:rsidR="00D1587D" w:rsidRDefault="00D1587D">
            <w:pPr>
              <w:rPr>
                <w:sz w:val="5"/>
                <w:szCs w:val="5"/>
              </w:rPr>
            </w:pPr>
          </w:p>
        </w:tc>
        <w:tc>
          <w:tcPr>
            <w:tcW w:w="480" w:type="dxa"/>
            <w:tcBorders>
              <w:bottom w:val="single" w:sz="8" w:space="0" w:color="auto"/>
            </w:tcBorders>
            <w:vAlign w:val="bottom"/>
          </w:tcPr>
          <w:p w14:paraId="0E42D0F2" w14:textId="77777777" w:rsidR="00D1587D" w:rsidRDefault="00D1587D">
            <w:pPr>
              <w:rPr>
                <w:sz w:val="5"/>
                <w:szCs w:val="5"/>
              </w:rPr>
            </w:pPr>
          </w:p>
        </w:tc>
        <w:tc>
          <w:tcPr>
            <w:tcW w:w="300" w:type="dxa"/>
            <w:tcBorders>
              <w:bottom w:val="single" w:sz="8" w:space="0" w:color="CCEEFF"/>
            </w:tcBorders>
            <w:vAlign w:val="bottom"/>
          </w:tcPr>
          <w:p w14:paraId="34569148" w14:textId="77777777" w:rsidR="00D1587D" w:rsidRDefault="00D1587D">
            <w:pPr>
              <w:rPr>
                <w:sz w:val="5"/>
                <w:szCs w:val="5"/>
              </w:rPr>
            </w:pPr>
          </w:p>
        </w:tc>
        <w:tc>
          <w:tcPr>
            <w:tcW w:w="500" w:type="dxa"/>
            <w:tcBorders>
              <w:bottom w:val="single" w:sz="8" w:space="0" w:color="auto"/>
            </w:tcBorders>
            <w:vAlign w:val="bottom"/>
          </w:tcPr>
          <w:p w14:paraId="781047ED" w14:textId="77777777" w:rsidR="00D1587D" w:rsidRDefault="00D1587D">
            <w:pPr>
              <w:rPr>
                <w:sz w:val="5"/>
                <w:szCs w:val="5"/>
              </w:rPr>
            </w:pPr>
          </w:p>
        </w:tc>
        <w:tc>
          <w:tcPr>
            <w:tcW w:w="280" w:type="dxa"/>
            <w:tcBorders>
              <w:bottom w:val="single" w:sz="8" w:space="0" w:color="CCEEFF"/>
            </w:tcBorders>
            <w:vAlign w:val="bottom"/>
          </w:tcPr>
          <w:p w14:paraId="23A447F6" w14:textId="77777777" w:rsidR="00D1587D" w:rsidRDefault="00D1587D">
            <w:pPr>
              <w:rPr>
                <w:sz w:val="5"/>
                <w:szCs w:val="5"/>
              </w:rPr>
            </w:pPr>
          </w:p>
        </w:tc>
        <w:tc>
          <w:tcPr>
            <w:tcW w:w="500" w:type="dxa"/>
            <w:tcBorders>
              <w:bottom w:val="single" w:sz="8" w:space="0" w:color="auto"/>
            </w:tcBorders>
            <w:vAlign w:val="bottom"/>
          </w:tcPr>
          <w:p w14:paraId="70695B64" w14:textId="77777777" w:rsidR="00D1587D" w:rsidRDefault="00D1587D">
            <w:pPr>
              <w:rPr>
                <w:sz w:val="5"/>
                <w:szCs w:val="5"/>
              </w:rPr>
            </w:pPr>
          </w:p>
        </w:tc>
      </w:tr>
      <w:tr w:rsidR="00D1587D" w14:paraId="09B6647C" w14:textId="77777777">
        <w:trPr>
          <w:trHeight w:val="277"/>
        </w:trPr>
        <w:tc>
          <w:tcPr>
            <w:tcW w:w="6360" w:type="dxa"/>
            <w:gridSpan w:val="2"/>
            <w:shd w:val="clear" w:color="auto" w:fill="CCEEFF"/>
            <w:vAlign w:val="bottom"/>
          </w:tcPr>
          <w:p w14:paraId="09DDA621" w14:textId="77777777" w:rsidR="00D1587D" w:rsidRDefault="00410D07">
            <w:pPr>
              <w:rPr>
                <w:sz w:val="20"/>
                <w:szCs w:val="20"/>
              </w:rPr>
            </w:pPr>
            <w:r>
              <w:rPr>
                <w:rFonts w:ascii="Arial" w:eastAsia="Arial" w:hAnsi="Arial" w:cs="Arial"/>
                <w:sz w:val="18"/>
                <w:szCs w:val="18"/>
              </w:rPr>
              <w:t>Net Cash Used for Investing Activities</w:t>
            </w:r>
          </w:p>
        </w:tc>
        <w:tc>
          <w:tcPr>
            <w:tcW w:w="480" w:type="dxa"/>
            <w:shd w:val="clear" w:color="auto" w:fill="CCEEFF"/>
            <w:vAlign w:val="bottom"/>
          </w:tcPr>
          <w:p w14:paraId="173AE59B" w14:textId="77777777" w:rsidR="00D1587D" w:rsidRDefault="00410D07">
            <w:pPr>
              <w:jc w:val="right"/>
              <w:rPr>
                <w:sz w:val="20"/>
                <w:szCs w:val="20"/>
              </w:rPr>
            </w:pPr>
            <w:r>
              <w:rPr>
                <w:rFonts w:ascii="Arial" w:eastAsia="Arial" w:hAnsi="Arial" w:cs="Arial"/>
                <w:sz w:val="18"/>
                <w:szCs w:val="18"/>
              </w:rPr>
              <w:t>(123)</w:t>
            </w:r>
          </w:p>
        </w:tc>
        <w:tc>
          <w:tcPr>
            <w:tcW w:w="300" w:type="dxa"/>
            <w:shd w:val="clear" w:color="auto" w:fill="CCEEFF"/>
            <w:vAlign w:val="bottom"/>
          </w:tcPr>
          <w:p w14:paraId="498725D4" w14:textId="77777777" w:rsidR="00D1587D" w:rsidRDefault="00D1587D">
            <w:pPr>
              <w:rPr>
                <w:sz w:val="24"/>
                <w:szCs w:val="24"/>
              </w:rPr>
            </w:pPr>
          </w:p>
        </w:tc>
        <w:tc>
          <w:tcPr>
            <w:tcW w:w="500" w:type="dxa"/>
            <w:shd w:val="clear" w:color="auto" w:fill="CCEEFF"/>
            <w:vAlign w:val="bottom"/>
          </w:tcPr>
          <w:p w14:paraId="60C30A88" w14:textId="77777777" w:rsidR="00D1587D" w:rsidRDefault="00410D07">
            <w:pPr>
              <w:jc w:val="right"/>
              <w:rPr>
                <w:sz w:val="20"/>
                <w:szCs w:val="20"/>
              </w:rPr>
            </w:pPr>
            <w:r>
              <w:rPr>
                <w:rFonts w:ascii="Arial" w:eastAsia="Arial" w:hAnsi="Arial" w:cs="Arial"/>
                <w:sz w:val="18"/>
                <w:szCs w:val="18"/>
              </w:rPr>
              <w:t>(243)</w:t>
            </w:r>
          </w:p>
        </w:tc>
        <w:tc>
          <w:tcPr>
            <w:tcW w:w="280" w:type="dxa"/>
            <w:shd w:val="clear" w:color="auto" w:fill="CCEEFF"/>
            <w:vAlign w:val="bottom"/>
          </w:tcPr>
          <w:p w14:paraId="3577FF6A" w14:textId="77777777" w:rsidR="00D1587D" w:rsidRDefault="00D1587D">
            <w:pPr>
              <w:rPr>
                <w:sz w:val="24"/>
                <w:szCs w:val="24"/>
              </w:rPr>
            </w:pPr>
          </w:p>
        </w:tc>
        <w:tc>
          <w:tcPr>
            <w:tcW w:w="500" w:type="dxa"/>
            <w:shd w:val="clear" w:color="auto" w:fill="CCEEFF"/>
            <w:vAlign w:val="bottom"/>
          </w:tcPr>
          <w:p w14:paraId="578E5096" w14:textId="77777777" w:rsidR="00D1587D" w:rsidRDefault="00410D07">
            <w:pPr>
              <w:jc w:val="right"/>
              <w:rPr>
                <w:sz w:val="20"/>
                <w:szCs w:val="20"/>
              </w:rPr>
            </w:pPr>
            <w:r>
              <w:rPr>
                <w:rFonts w:ascii="Arial" w:eastAsia="Arial" w:hAnsi="Arial" w:cs="Arial"/>
                <w:sz w:val="18"/>
                <w:szCs w:val="18"/>
              </w:rPr>
              <w:t>(343)</w:t>
            </w:r>
          </w:p>
        </w:tc>
      </w:tr>
      <w:tr w:rsidR="00D1587D" w14:paraId="58F01037" w14:textId="77777777">
        <w:trPr>
          <w:trHeight w:val="67"/>
        </w:trPr>
        <w:tc>
          <w:tcPr>
            <w:tcW w:w="6220" w:type="dxa"/>
            <w:shd w:val="clear" w:color="auto" w:fill="CCEEFF"/>
            <w:vAlign w:val="bottom"/>
          </w:tcPr>
          <w:p w14:paraId="3539A24B" w14:textId="77777777" w:rsidR="00D1587D" w:rsidRDefault="00D1587D">
            <w:pPr>
              <w:rPr>
                <w:sz w:val="5"/>
                <w:szCs w:val="5"/>
              </w:rPr>
            </w:pPr>
          </w:p>
        </w:tc>
        <w:tc>
          <w:tcPr>
            <w:tcW w:w="140" w:type="dxa"/>
            <w:tcBorders>
              <w:bottom w:val="single" w:sz="8" w:space="0" w:color="CCEEFF"/>
            </w:tcBorders>
            <w:shd w:val="clear" w:color="auto" w:fill="CCEEFF"/>
            <w:vAlign w:val="bottom"/>
          </w:tcPr>
          <w:p w14:paraId="7F13E864" w14:textId="77777777" w:rsidR="00D1587D" w:rsidRDefault="00D1587D">
            <w:pPr>
              <w:rPr>
                <w:sz w:val="5"/>
                <w:szCs w:val="5"/>
              </w:rPr>
            </w:pPr>
          </w:p>
        </w:tc>
        <w:tc>
          <w:tcPr>
            <w:tcW w:w="480" w:type="dxa"/>
            <w:tcBorders>
              <w:bottom w:val="single" w:sz="8" w:space="0" w:color="auto"/>
            </w:tcBorders>
            <w:shd w:val="clear" w:color="auto" w:fill="CCEEFF"/>
            <w:vAlign w:val="bottom"/>
          </w:tcPr>
          <w:p w14:paraId="39C739AB" w14:textId="77777777" w:rsidR="00D1587D" w:rsidRDefault="00D1587D">
            <w:pPr>
              <w:rPr>
                <w:sz w:val="5"/>
                <w:szCs w:val="5"/>
              </w:rPr>
            </w:pPr>
          </w:p>
        </w:tc>
        <w:tc>
          <w:tcPr>
            <w:tcW w:w="300" w:type="dxa"/>
            <w:tcBorders>
              <w:bottom w:val="single" w:sz="8" w:space="0" w:color="CCEEFF"/>
            </w:tcBorders>
            <w:shd w:val="clear" w:color="auto" w:fill="CCEEFF"/>
            <w:vAlign w:val="bottom"/>
          </w:tcPr>
          <w:p w14:paraId="2AFC19FB" w14:textId="77777777" w:rsidR="00D1587D" w:rsidRDefault="00D1587D">
            <w:pPr>
              <w:rPr>
                <w:sz w:val="5"/>
                <w:szCs w:val="5"/>
              </w:rPr>
            </w:pPr>
          </w:p>
        </w:tc>
        <w:tc>
          <w:tcPr>
            <w:tcW w:w="500" w:type="dxa"/>
            <w:tcBorders>
              <w:bottom w:val="single" w:sz="8" w:space="0" w:color="auto"/>
            </w:tcBorders>
            <w:shd w:val="clear" w:color="auto" w:fill="CCEEFF"/>
            <w:vAlign w:val="bottom"/>
          </w:tcPr>
          <w:p w14:paraId="247D8941" w14:textId="77777777" w:rsidR="00D1587D" w:rsidRDefault="00D1587D">
            <w:pPr>
              <w:rPr>
                <w:sz w:val="5"/>
                <w:szCs w:val="5"/>
              </w:rPr>
            </w:pPr>
          </w:p>
        </w:tc>
        <w:tc>
          <w:tcPr>
            <w:tcW w:w="280" w:type="dxa"/>
            <w:tcBorders>
              <w:bottom w:val="single" w:sz="8" w:space="0" w:color="CCEEFF"/>
            </w:tcBorders>
            <w:shd w:val="clear" w:color="auto" w:fill="CCEEFF"/>
            <w:vAlign w:val="bottom"/>
          </w:tcPr>
          <w:p w14:paraId="7F0738A2" w14:textId="77777777" w:rsidR="00D1587D" w:rsidRDefault="00D1587D">
            <w:pPr>
              <w:rPr>
                <w:sz w:val="5"/>
                <w:szCs w:val="5"/>
              </w:rPr>
            </w:pPr>
          </w:p>
        </w:tc>
        <w:tc>
          <w:tcPr>
            <w:tcW w:w="500" w:type="dxa"/>
            <w:tcBorders>
              <w:bottom w:val="single" w:sz="8" w:space="0" w:color="auto"/>
            </w:tcBorders>
            <w:shd w:val="clear" w:color="auto" w:fill="CCEEFF"/>
            <w:vAlign w:val="bottom"/>
          </w:tcPr>
          <w:p w14:paraId="53149DA1" w14:textId="77777777" w:rsidR="00D1587D" w:rsidRDefault="00D1587D">
            <w:pPr>
              <w:rPr>
                <w:sz w:val="5"/>
                <w:szCs w:val="5"/>
              </w:rPr>
            </w:pPr>
          </w:p>
        </w:tc>
      </w:tr>
      <w:tr w:rsidR="00D1587D" w14:paraId="3175F7F6" w14:textId="77777777">
        <w:trPr>
          <w:trHeight w:val="277"/>
        </w:trPr>
        <w:tc>
          <w:tcPr>
            <w:tcW w:w="6360" w:type="dxa"/>
            <w:gridSpan w:val="2"/>
            <w:vAlign w:val="bottom"/>
          </w:tcPr>
          <w:p w14:paraId="0CAAE8F2" w14:textId="77777777" w:rsidR="00D1587D" w:rsidRDefault="00410D07">
            <w:pPr>
              <w:rPr>
                <w:sz w:val="20"/>
                <w:szCs w:val="20"/>
              </w:rPr>
            </w:pPr>
            <w:r>
              <w:rPr>
                <w:rFonts w:ascii="Arial" w:eastAsia="Arial" w:hAnsi="Arial" w:cs="Arial"/>
                <w:b/>
                <w:bCs/>
                <w:sz w:val="18"/>
                <w:szCs w:val="18"/>
              </w:rPr>
              <w:t>Financing Activities</w:t>
            </w:r>
          </w:p>
        </w:tc>
        <w:tc>
          <w:tcPr>
            <w:tcW w:w="480" w:type="dxa"/>
            <w:vAlign w:val="bottom"/>
          </w:tcPr>
          <w:p w14:paraId="13B75306" w14:textId="77777777" w:rsidR="00D1587D" w:rsidRDefault="00D1587D">
            <w:pPr>
              <w:rPr>
                <w:sz w:val="24"/>
                <w:szCs w:val="24"/>
              </w:rPr>
            </w:pPr>
          </w:p>
        </w:tc>
        <w:tc>
          <w:tcPr>
            <w:tcW w:w="300" w:type="dxa"/>
            <w:vAlign w:val="bottom"/>
          </w:tcPr>
          <w:p w14:paraId="7AF8CF1D" w14:textId="77777777" w:rsidR="00D1587D" w:rsidRDefault="00D1587D">
            <w:pPr>
              <w:rPr>
                <w:sz w:val="24"/>
                <w:szCs w:val="24"/>
              </w:rPr>
            </w:pPr>
          </w:p>
        </w:tc>
        <w:tc>
          <w:tcPr>
            <w:tcW w:w="500" w:type="dxa"/>
            <w:vAlign w:val="bottom"/>
          </w:tcPr>
          <w:p w14:paraId="362E85BE" w14:textId="77777777" w:rsidR="00D1587D" w:rsidRDefault="00D1587D">
            <w:pPr>
              <w:rPr>
                <w:sz w:val="24"/>
                <w:szCs w:val="24"/>
              </w:rPr>
            </w:pPr>
          </w:p>
        </w:tc>
        <w:tc>
          <w:tcPr>
            <w:tcW w:w="280" w:type="dxa"/>
            <w:vAlign w:val="bottom"/>
          </w:tcPr>
          <w:p w14:paraId="31CDADC1" w14:textId="77777777" w:rsidR="00D1587D" w:rsidRDefault="00D1587D">
            <w:pPr>
              <w:rPr>
                <w:sz w:val="24"/>
                <w:szCs w:val="24"/>
              </w:rPr>
            </w:pPr>
          </w:p>
        </w:tc>
        <w:tc>
          <w:tcPr>
            <w:tcW w:w="500" w:type="dxa"/>
            <w:vAlign w:val="bottom"/>
          </w:tcPr>
          <w:p w14:paraId="3A8F95E3" w14:textId="77777777" w:rsidR="00D1587D" w:rsidRDefault="00D1587D">
            <w:pPr>
              <w:rPr>
                <w:sz w:val="24"/>
                <w:szCs w:val="24"/>
              </w:rPr>
            </w:pPr>
          </w:p>
        </w:tc>
      </w:tr>
      <w:tr w:rsidR="00D1587D" w14:paraId="793B0C29" w14:textId="77777777">
        <w:trPr>
          <w:trHeight w:val="54"/>
        </w:trPr>
        <w:tc>
          <w:tcPr>
            <w:tcW w:w="6220" w:type="dxa"/>
            <w:vAlign w:val="bottom"/>
          </w:tcPr>
          <w:p w14:paraId="15B671AF" w14:textId="77777777" w:rsidR="00D1587D" w:rsidRDefault="00D1587D">
            <w:pPr>
              <w:rPr>
                <w:sz w:val="4"/>
                <w:szCs w:val="4"/>
              </w:rPr>
            </w:pPr>
          </w:p>
        </w:tc>
        <w:tc>
          <w:tcPr>
            <w:tcW w:w="140" w:type="dxa"/>
            <w:vAlign w:val="bottom"/>
          </w:tcPr>
          <w:p w14:paraId="13340DD6" w14:textId="77777777" w:rsidR="00D1587D" w:rsidRDefault="00D1587D">
            <w:pPr>
              <w:rPr>
                <w:sz w:val="4"/>
                <w:szCs w:val="4"/>
              </w:rPr>
            </w:pPr>
          </w:p>
        </w:tc>
        <w:tc>
          <w:tcPr>
            <w:tcW w:w="480" w:type="dxa"/>
            <w:vAlign w:val="bottom"/>
          </w:tcPr>
          <w:p w14:paraId="4F037440" w14:textId="77777777" w:rsidR="00D1587D" w:rsidRDefault="00D1587D">
            <w:pPr>
              <w:rPr>
                <w:sz w:val="4"/>
                <w:szCs w:val="4"/>
              </w:rPr>
            </w:pPr>
          </w:p>
        </w:tc>
        <w:tc>
          <w:tcPr>
            <w:tcW w:w="300" w:type="dxa"/>
            <w:vAlign w:val="bottom"/>
          </w:tcPr>
          <w:p w14:paraId="528FAD37" w14:textId="77777777" w:rsidR="00D1587D" w:rsidRDefault="00D1587D">
            <w:pPr>
              <w:rPr>
                <w:sz w:val="4"/>
                <w:szCs w:val="4"/>
              </w:rPr>
            </w:pPr>
          </w:p>
        </w:tc>
        <w:tc>
          <w:tcPr>
            <w:tcW w:w="500" w:type="dxa"/>
            <w:vAlign w:val="bottom"/>
          </w:tcPr>
          <w:p w14:paraId="6CF4FB62" w14:textId="77777777" w:rsidR="00D1587D" w:rsidRDefault="00D1587D">
            <w:pPr>
              <w:rPr>
                <w:sz w:val="4"/>
                <w:szCs w:val="4"/>
              </w:rPr>
            </w:pPr>
          </w:p>
        </w:tc>
        <w:tc>
          <w:tcPr>
            <w:tcW w:w="280" w:type="dxa"/>
            <w:vAlign w:val="bottom"/>
          </w:tcPr>
          <w:p w14:paraId="0D5CC7BB" w14:textId="77777777" w:rsidR="00D1587D" w:rsidRDefault="00D1587D">
            <w:pPr>
              <w:rPr>
                <w:sz w:val="4"/>
                <w:szCs w:val="4"/>
              </w:rPr>
            </w:pPr>
          </w:p>
        </w:tc>
        <w:tc>
          <w:tcPr>
            <w:tcW w:w="500" w:type="dxa"/>
            <w:vAlign w:val="bottom"/>
          </w:tcPr>
          <w:p w14:paraId="3B66FE6A" w14:textId="77777777" w:rsidR="00D1587D" w:rsidRDefault="00D1587D">
            <w:pPr>
              <w:rPr>
                <w:sz w:val="4"/>
                <w:szCs w:val="4"/>
              </w:rPr>
            </w:pPr>
          </w:p>
        </w:tc>
      </w:tr>
      <w:tr w:rsidR="00D1587D" w14:paraId="3FA683B1" w14:textId="77777777">
        <w:trPr>
          <w:trHeight w:val="304"/>
        </w:trPr>
        <w:tc>
          <w:tcPr>
            <w:tcW w:w="6360" w:type="dxa"/>
            <w:gridSpan w:val="2"/>
            <w:tcBorders>
              <w:bottom w:val="single" w:sz="8" w:space="0" w:color="CCEEFF"/>
            </w:tcBorders>
            <w:shd w:val="clear" w:color="auto" w:fill="CCEEFF"/>
            <w:vAlign w:val="bottom"/>
          </w:tcPr>
          <w:p w14:paraId="694E710F" w14:textId="77777777" w:rsidR="00D1587D" w:rsidRDefault="00410D07">
            <w:pPr>
              <w:rPr>
                <w:sz w:val="20"/>
                <w:szCs w:val="20"/>
              </w:rPr>
            </w:pPr>
            <w:r>
              <w:rPr>
                <w:rFonts w:ascii="Arial" w:eastAsia="Arial" w:hAnsi="Arial" w:cs="Arial"/>
                <w:sz w:val="18"/>
                <w:szCs w:val="18"/>
              </w:rPr>
              <w:t>Borrowings from Foreign Facilities</w:t>
            </w:r>
          </w:p>
        </w:tc>
        <w:tc>
          <w:tcPr>
            <w:tcW w:w="480" w:type="dxa"/>
            <w:tcBorders>
              <w:bottom w:val="single" w:sz="8" w:space="0" w:color="CCEEFF"/>
            </w:tcBorders>
            <w:shd w:val="clear" w:color="auto" w:fill="CCEEFF"/>
            <w:vAlign w:val="bottom"/>
          </w:tcPr>
          <w:p w14:paraId="01544982" w14:textId="77777777" w:rsidR="00D1587D" w:rsidRDefault="00410D07">
            <w:pPr>
              <w:jc w:val="right"/>
              <w:rPr>
                <w:sz w:val="20"/>
                <w:szCs w:val="20"/>
              </w:rPr>
            </w:pPr>
            <w:r>
              <w:rPr>
                <w:rFonts w:ascii="Arial" w:eastAsia="Arial" w:hAnsi="Arial" w:cs="Arial"/>
                <w:sz w:val="18"/>
                <w:szCs w:val="18"/>
              </w:rPr>
              <w:t>34</w:t>
            </w:r>
          </w:p>
        </w:tc>
        <w:tc>
          <w:tcPr>
            <w:tcW w:w="300" w:type="dxa"/>
            <w:tcBorders>
              <w:bottom w:val="single" w:sz="8" w:space="0" w:color="CCEEFF"/>
            </w:tcBorders>
            <w:shd w:val="clear" w:color="auto" w:fill="CCEEFF"/>
            <w:vAlign w:val="bottom"/>
          </w:tcPr>
          <w:p w14:paraId="1994B9C6"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9A7A796" w14:textId="77777777" w:rsidR="00D1587D" w:rsidRDefault="00410D07">
            <w:pPr>
              <w:jc w:val="right"/>
              <w:rPr>
                <w:sz w:val="20"/>
                <w:szCs w:val="20"/>
              </w:rPr>
            </w:pPr>
            <w:r>
              <w:rPr>
                <w:rFonts w:ascii="Arial" w:eastAsia="Arial" w:hAnsi="Arial" w:cs="Arial"/>
                <w:sz w:val="18"/>
                <w:szCs w:val="18"/>
              </w:rPr>
              <w:t>167</w:t>
            </w:r>
          </w:p>
        </w:tc>
        <w:tc>
          <w:tcPr>
            <w:tcW w:w="280" w:type="dxa"/>
            <w:tcBorders>
              <w:bottom w:val="single" w:sz="8" w:space="0" w:color="CCEEFF"/>
            </w:tcBorders>
            <w:shd w:val="clear" w:color="auto" w:fill="CCEEFF"/>
            <w:vAlign w:val="bottom"/>
          </w:tcPr>
          <w:p w14:paraId="2FD515D9" w14:textId="77777777" w:rsidR="00D1587D" w:rsidRDefault="00D1587D">
            <w:pPr>
              <w:rPr>
                <w:sz w:val="24"/>
                <w:szCs w:val="24"/>
              </w:rPr>
            </w:pPr>
          </w:p>
        </w:tc>
        <w:tc>
          <w:tcPr>
            <w:tcW w:w="500" w:type="dxa"/>
            <w:tcBorders>
              <w:bottom w:val="single" w:sz="8" w:space="0" w:color="CCEEFF"/>
            </w:tcBorders>
            <w:shd w:val="clear" w:color="auto" w:fill="CCEEFF"/>
            <w:vAlign w:val="bottom"/>
          </w:tcPr>
          <w:p w14:paraId="1CB3FABA" w14:textId="77777777" w:rsidR="00D1587D" w:rsidRDefault="00410D07">
            <w:pPr>
              <w:jc w:val="right"/>
              <w:rPr>
                <w:sz w:val="20"/>
                <w:szCs w:val="20"/>
              </w:rPr>
            </w:pPr>
            <w:r>
              <w:rPr>
                <w:rFonts w:ascii="Arial" w:eastAsia="Arial" w:hAnsi="Arial" w:cs="Arial"/>
                <w:sz w:val="18"/>
                <w:szCs w:val="18"/>
              </w:rPr>
              <w:t>172</w:t>
            </w:r>
          </w:p>
        </w:tc>
      </w:tr>
      <w:tr w:rsidR="00D1587D" w14:paraId="5A5E6FE1" w14:textId="77777777">
        <w:trPr>
          <w:trHeight w:val="270"/>
        </w:trPr>
        <w:tc>
          <w:tcPr>
            <w:tcW w:w="6360" w:type="dxa"/>
            <w:gridSpan w:val="2"/>
            <w:vAlign w:val="bottom"/>
          </w:tcPr>
          <w:p w14:paraId="7216FA22" w14:textId="77777777" w:rsidR="00D1587D" w:rsidRDefault="00410D07">
            <w:pPr>
              <w:rPr>
                <w:sz w:val="20"/>
                <w:szCs w:val="20"/>
              </w:rPr>
            </w:pPr>
            <w:r>
              <w:rPr>
                <w:rFonts w:ascii="Arial" w:eastAsia="Arial" w:hAnsi="Arial" w:cs="Arial"/>
                <w:sz w:val="18"/>
                <w:szCs w:val="18"/>
              </w:rPr>
              <w:t>Repayments of Foreign Facilities</w:t>
            </w:r>
          </w:p>
        </w:tc>
        <w:tc>
          <w:tcPr>
            <w:tcW w:w="480" w:type="dxa"/>
            <w:vAlign w:val="bottom"/>
          </w:tcPr>
          <w:p w14:paraId="7686EC93" w14:textId="77777777" w:rsidR="00D1587D" w:rsidRDefault="00410D07">
            <w:pPr>
              <w:jc w:val="right"/>
              <w:rPr>
                <w:sz w:val="20"/>
                <w:szCs w:val="20"/>
              </w:rPr>
            </w:pPr>
            <w:r>
              <w:rPr>
                <w:rFonts w:ascii="Arial" w:eastAsia="Arial" w:hAnsi="Arial" w:cs="Arial"/>
                <w:sz w:val="18"/>
                <w:szCs w:val="18"/>
              </w:rPr>
              <w:t>(189)</w:t>
            </w:r>
          </w:p>
        </w:tc>
        <w:tc>
          <w:tcPr>
            <w:tcW w:w="300" w:type="dxa"/>
            <w:vAlign w:val="bottom"/>
          </w:tcPr>
          <w:p w14:paraId="312EB7EB" w14:textId="77777777" w:rsidR="00D1587D" w:rsidRDefault="00D1587D">
            <w:pPr>
              <w:rPr>
                <w:sz w:val="23"/>
                <w:szCs w:val="23"/>
              </w:rPr>
            </w:pPr>
          </w:p>
        </w:tc>
        <w:tc>
          <w:tcPr>
            <w:tcW w:w="500" w:type="dxa"/>
            <w:vAlign w:val="bottom"/>
          </w:tcPr>
          <w:p w14:paraId="6852773A" w14:textId="77777777" w:rsidR="00D1587D" w:rsidRDefault="00410D07">
            <w:pPr>
              <w:jc w:val="right"/>
              <w:rPr>
                <w:sz w:val="20"/>
                <w:szCs w:val="20"/>
              </w:rPr>
            </w:pPr>
            <w:r>
              <w:rPr>
                <w:rFonts w:ascii="Arial" w:eastAsia="Arial" w:hAnsi="Arial" w:cs="Arial"/>
                <w:sz w:val="18"/>
                <w:szCs w:val="18"/>
              </w:rPr>
              <w:t>(162)</w:t>
            </w:r>
          </w:p>
        </w:tc>
        <w:tc>
          <w:tcPr>
            <w:tcW w:w="280" w:type="dxa"/>
            <w:vAlign w:val="bottom"/>
          </w:tcPr>
          <w:p w14:paraId="3EB4E980" w14:textId="77777777" w:rsidR="00D1587D" w:rsidRDefault="00D1587D">
            <w:pPr>
              <w:rPr>
                <w:sz w:val="23"/>
                <w:szCs w:val="23"/>
              </w:rPr>
            </w:pPr>
          </w:p>
        </w:tc>
        <w:tc>
          <w:tcPr>
            <w:tcW w:w="500" w:type="dxa"/>
            <w:vAlign w:val="bottom"/>
          </w:tcPr>
          <w:p w14:paraId="3D6EAFE3" w14:textId="77777777" w:rsidR="00D1587D" w:rsidRDefault="00410D07">
            <w:pPr>
              <w:jc w:val="right"/>
              <w:rPr>
                <w:sz w:val="20"/>
                <w:szCs w:val="20"/>
              </w:rPr>
            </w:pPr>
            <w:r>
              <w:rPr>
                <w:rFonts w:ascii="Arial" w:eastAsia="Arial" w:hAnsi="Arial" w:cs="Arial"/>
                <w:sz w:val="18"/>
                <w:szCs w:val="18"/>
              </w:rPr>
              <w:t>(109)</w:t>
            </w:r>
          </w:p>
        </w:tc>
      </w:tr>
      <w:tr w:rsidR="00D1587D" w14:paraId="0B0F4E23" w14:textId="77777777">
        <w:trPr>
          <w:trHeight w:val="54"/>
        </w:trPr>
        <w:tc>
          <w:tcPr>
            <w:tcW w:w="6220" w:type="dxa"/>
            <w:vAlign w:val="bottom"/>
          </w:tcPr>
          <w:p w14:paraId="73F6F176" w14:textId="77777777" w:rsidR="00D1587D" w:rsidRDefault="00D1587D">
            <w:pPr>
              <w:rPr>
                <w:sz w:val="4"/>
                <w:szCs w:val="4"/>
              </w:rPr>
            </w:pPr>
          </w:p>
        </w:tc>
        <w:tc>
          <w:tcPr>
            <w:tcW w:w="140" w:type="dxa"/>
            <w:vAlign w:val="bottom"/>
          </w:tcPr>
          <w:p w14:paraId="639A3D31" w14:textId="77777777" w:rsidR="00D1587D" w:rsidRDefault="00D1587D">
            <w:pPr>
              <w:rPr>
                <w:sz w:val="4"/>
                <w:szCs w:val="4"/>
              </w:rPr>
            </w:pPr>
          </w:p>
        </w:tc>
        <w:tc>
          <w:tcPr>
            <w:tcW w:w="480" w:type="dxa"/>
            <w:vAlign w:val="bottom"/>
          </w:tcPr>
          <w:p w14:paraId="2F2A6E6C" w14:textId="77777777" w:rsidR="00D1587D" w:rsidRDefault="00D1587D">
            <w:pPr>
              <w:rPr>
                <w:sz w:val="4"/>
                <w:szCs w:val="4"/>
              </w:rPr>
            </w:pPr>
          </w:p>
        </w:tc>
        <w:tc>
          <w:tcPr>
            <w:tcW w:w="300" w:type="dxa"/>
            <w:vAlign w:val="bottom"/>
          </w:tcPr>
          <w:p w14:paraId="09DAF51D" w14:textId="77777777" w:rsidR="00D1587D" w:rsidRDefault="00D1587D">
            <w:pPr>
              <w:rPr>
                <w:sz w:val="4"/>
                <w:szCs w:val="4"/>
              </w:rPr>
            </w:pPr>
          </w:p>
        </w:tc>
        <w:tc>
          <w:tcPr>
            <w:tcW w:w="500" w:type="dxa"/>
            <w:vAlign w:val="bottom"/>
          </w:tcPr>
          <w:p w14:paraId="2FF9FEC7" w14:textId="77777777" w:rsidR="00D1587D" w:rsidRDefault="00D1587D">
            <w:pPr>
              <w:rPr>
                <w:sz w:val="4"/>
                <w:szCs w:val="4"/>
              </w:rPr>
            </w:pPr>
          </w:p>
        </w:tc>
        <w:tc>
          <w:tcPr>
            <w:tcW w:w="280" w:type="dxa"/>
            <w:vAlign w:val="bottom"/>
          </w:tcPr>
          <w:p w14:paraId="24AFD656" w14:textId="77777777" w:rsidR="00D1587D" w:rsidRDefault="00D1587D">
            <w:pPr>
              <w:rPr>
                <w:sz w:val="4"/>
                <w:szCs w:val="4"/>
              </w:rPr>
            </w:pPr>
          </w:p>
        </w:tc>
        <w:tc>
          <w:tcPr>
            <w:tcW w:w="500" w:type="dxa"/>
            <w:vAlign w:val="bottom"/>
          </w:tcPr>
          <w:p w14:paraId="08BE6402" w14:textId="77777777" w:rsidR="00D1587D" w:rsidRDefault="00D1587D">
            <w:pPr>
              <w:rPr>
                <w:sz w:val="4"/>
                <w:szCs w:val="4"/>
              </w:rPr>
            </w:pPr>
          </w:p>
        </w:tc>
      </w:tr>
      <w:tr w:rsidR="00D1587D" w14:paraId="722FB4CF" w14:textId="77777777">
        <w:trPr>
          <w:trHeight w:val="304"/>
        </w:trPr>
        <w:tc>
          <w:tcPr>
            <w:tcW w:w="6360" w:type="dxa"/>
            <w:gridSpan w:val="2"/>
            <w:tcBorders>
              <w:bottom w:val="single" w:sz="8" w:space="0" w:color="CCEEFF"/>
            </w:tcBorders>
            <w:shd w:val="clear" w:color="auto" w:fill="CCEEFF"/>
            <w:vAlign w:val="bottom"/>
          </w:tcPr>
          <w:p w14:paraId="65354B09" w14:textId="77777777" w:rsidR="00D1587D" w:rsidRDefault="00410D07">
            <w:pPr>
              <w:rPr>
                <w:sz w:val="20"/>
                <w:szCs w:val="20"/>
              </w:rPr>
            </w:pPr>
            <w:r>
              <w:rPr>
                <w:rFonts w:ascii="Arial" w:eastAsia="Arial" w:hAnsi="Arial" w:cs="Arial"/>
                <w:sz w:val="18"/>
                <w:szCs w:val="18"/>
              </w:rPr>
              <w:t>Borrowing from Related Party</w:t>
            </w:r>
          </w:p>
        </w:tc>
        <w:tc>
          <w:tcPr>
            <w:tcW w:w="480" w:type="dxa"/>
            <w:tcBorders>
              <w:bottom w:val="single" w:sz="8" w:space="0" w:color="CCEEFF"/>
            </w:tcBorders>
            <w:shd w:val="clear" w:color="auto" w:fill="CCEEFF"/>
            <w:vAlign w:val="bottom"/>
          </w:tcPr>
          <w:p w14:paraId="488C8C8F" w14:textId="77777777" w:rsidR="00D1587D" w:rsidRDefault="00410D07">
            <w:pPr>
              <w:jc w:val="right"/>
              <w:rPr>
                <w:sz w:val="20"/>
                <w:szCs w:val="20"/>
              </w:rPr>
            </w:pPr>
            <w:r>
              <w:rPr>
                <w:rFonts w:ascii="Arial" w:eastAsia="Arial" w:hAnsi="Arial" w:cs="Arial"/>
                <w:sz w:val="18"/>
                <w:szCs w:val="18"/>
              </w:rPr>
              <w:t>97</w:t>
            </w:r>
          </w:p>
        </w:tc>
        <w:tc>
          <w:tcPr>
            <w:tcW w:w="300" w:type="dxa"/>
            <w:tcBorders>
              <w:bottom w:val="single" w:sz="8" w:space="0" w:color="CCEEFF"/>
            </w:tcBorders>
            <w:shd w:val="clear" w:color="auto" w:fill="CCEEFF"/>
            <w:vAlign w:val="bottom"/>
          </w:tcPr>
          <w:p w14:paraId="52F92031" w14:textId="77777777" w:rsidR="00D1587D" w:rsidRDefault="00D1587D">
            <w:pPr>
              <w:rPr>
                <w:sz w:val="24"/>
                <w:szCs w:val="24"/>
              </w:rPr>
            </w:pPr>
          </w:p>
        </w:tc>
        <w:tc>
          <w:tcPr>
            <w:tcW w:w="780" w:type="dxa"/>
            <w:gridSpan w:val="2"/>
            <w:tcBorders>
              <w:bottom w:val="single" w:sz="8" w:space="0" w:color="CCEEFF"/>
            </w:tcBorders>
            <w:shd w:val="clear" w:color="auto" w:fill="CCEEFF"/>
            <w:vAlign w:val="bottom"/>
          </w:tcPr>
          <w:p w14:paraId="3A54D443" w14:textId="77777777" w:rsidR="00D1587D" w:rsidRDefault="00410D07">
            <w:pPr>
              <w:ind w:right="360"/>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635FEDB9" w14:textId="77777777" w:rsidR="00D1587D" w:rsidRDefault="00410D07">
            <w:pPr>
              <w:jc w:val="right"/>
              <w:rPr>
                <w:sz w:val="20"/>
                <w:szCs w:val="20"/>
              </w:rPr>
            </w:pPr>
            <w:r>
              <w:rPr>
                <w:rFonts w:ascii="Arial" w:eastAsia="Arial" w:hAnsi="Arial" w:cs="Arial"/>
                <w:sz w:val="18"/>
                <w:szCs w:val="18"/>
              </w:rPr>
              <w:t>—</w:t>
            </w:r>
          </w:p>
        </w:tc>
      </w:tr>
      <w:tr w:rsidR="00D1587D" w14:paraId="7681494C" w14:textId="77777777">
        <w:trPr>
          <w:trHeight w:val="270"/>
        </w:trPr>
        <w:tc>
          <w:tcPr>
            <w:tcW w:w="6360" w:type="dxa"/>
            <w:gridSpan w:val="2"/>
            <w:vAlign w:val="bottom"/>
          </w:tcPr>
          <w:p w14:paraId="2B386AE7" w14:textId="77777777" w:rsidR="00D1587D" w:rsidRDefault="00410D07">
            <w:pPr>
              <w:rPr>
                <w:sz w:val="20"/>
                <w:szCs w:val="20"/>
              </w:rPr>
            </w:pPr>
            <w:r>
              <w:rPr>
                <w:rFonts w:ascii="Arial" w:eastAsia="Arial" w:hAnsi="Arial" w:cs="Arial"/>
                <w:sz w:val="18"/>
                <w:szCs w:val="18"/>
              </w:rPr>
              <w:t>Net Transfers to L Brands, Inc.</w:t>
            </w:r>
          </w:p>
        </w:tc>
        <w:tc>
          <w:tcPr>
            <w:tcW w:w="480" w:type="dxa"/>
            <w:vAlign w:val="bottom"/>
          </w:tcPr>
          <w:p w14:paraId="2E69E394" w14:textId="77777777" w:rsidR="00D1587D" w:rsidRDefault="00410D07">
            <w:pPr>
              <w:jc w:val="right"/>
              <w:rPr>
                <w:sz w:val="20"/>
                <w:szCs w:val="20"/>
              </w:rPr>
            </w:pPr>
            <w:r>
              <w:rPr>
                <w:rFonts w:ascii="Arial" w:eastAsia="Arial" w:hAnsi="Arial" w:cs="Arial"/>
                <w:sz w:val="18"/>
                <w:szCs w:val="18"/>
              </w:rPr>
              <w:t>(407)</w:t>
            </w:r>
          </w:p>
        </w:tc>
        <w:tc>
          <w:tcPr>
            <w:tcW w:w="300" w:type="dxa"/>
            <w:vAlign w:val="bottom"/>
          </w:tcPr>
          <w:p w14:paraId="2F4C7F6E" w14:textId="77777777" w:rsidR="00D1587D" w:rsidRDefault="00D1587D">
            <w:pPr>
              <w:rPr>
                <w:sz w:val="23"/>
                <w:szCs w:val="23"/>
              </w:rPr>
            </w:pPr>
          </w:p>
        </w:tc>
        <w:tc>
          <w:tcPr>
            <w:tcW w:w="500" w:type="dxa"/>
            <w:vAlign w:val="bottom"/>
          </w:tcPr>
          <w:p w14:paraId="24C1708F" w14:textId="77777777" w:rsidR="00D1587D" w:rsidRDefault="00410D07">
            <w:pPr>
              <w:jc w:val="right"/>
              <w:rPr>
                <w:sz w:val="20"/>
                <w:szCs w:val="20"/>
              </w:rPr>
            </w:pPr>
            <w:r>
              <w:rPr>
                <w:rFonts w:ascii="Arial" w:eastAsia="Arial" w:hAnsi="Arial" w:cs="Arial"/>
                <w:sz w:val="18"/>
                <w:szCs w:val="18"/>
              </w:rPr>
              <w:t>(197)</w:t>
            </w:r>
          </w:p>
        </w:tc>
        <w:tc>
          <w:tcPr>
            <w:tcW w:w="280" w:type="dxa"/>
            <w:vAlign w:val="bottom"/>
          </w:tcPr>
          <w:p w14:paraId="2C07F05F" w14:textId="77777777" w:rsidR="00D1587D" w:rsidRDefault="00D1587D">
            <w:pPr>
              <w:rPr>
                <w:sz w:val="23"/>
                <w:szCs w:val="23"/>
              </w:rPr>
            </w:pPr>
          </w:p>
        </w:tc>
        <w:tc>
          <w:tcPr>
            <w:tcW w:w="500" w:type="dxa"/>
            <w:vAlign w:val="bottom"/>
          </w:tcPr>
          <w:p w14:paraId="479D3EDC" w14:textId="77777777" w:rsidR="00D1587D" w:rsidRDefault="00410D07">
            <w:pPr>
              <w:jc w:val="right"/>
              <w:rPr>
                <w:sz w:val="20"/>
                <w:szCs w:val="20"/>
              </w:rPr>
            </w:pPr>
            <w:r>
              <w:rPr>
                <w:rFonts w:ascii="Arial" w:eastAsia="Arial" w:hAnsi="Arial" w:cs="Arial"/>
                <w:sz w:val="18"/>
                <w:szCs w:val="18"/>
              </w:rPr>
              <w:t>(327)</w:t>
            </w:r>
          </w:p>
        </w:tc>
      </w:tr>
      <w:tr w:rsidR="00D1587D" w14:paraId="30D2D304" w14:textId="77777777">
        <w:trPr>
          <w:trHeight w:val="67"/>
        </w:trPr>
        <w:tc>
          <w:tcPr>
            <w:tcW w:w="6220" w:type="dxa"/>
            <w:tcBorders>
              <w:bottom w:val="single" w:sz="8" w:space="0" w:color="CCEEFF"/>
            </w:tcBorders>
            <w:vAlign w:val="bottom"/>
          </w:tcPr>
          <w:p w14:paraId="58E5DE78" w14:textId="77777777" w:rsidR="00D1587D" w:rsidRDefault="00D1587D">
            <w:pPr>
              <w:rPr>
                <w:sz w:val="5"/>
                <w:szCs w:val="5"/>
              </w:rPr>
            </w:pPr>
          </w:p>
        </w:tc>
        <w:tc>
          <w:tcPr>
            <w:tcW w:w="140" w:type="dxa"/>
            <w:tcBorders>
              <w:bottom w:val="single" w:sz="8" w:space="0" w:color="CCEEFF"/>
            </w:tcBorders>
            <w:vAlign w:val="bottom"/>
          </w:tcPr>
          <w:p w14:paraId="05949729" w14:textId="77777777" w:rsidR="00D1587D" w:rsidRDefault="00D1587D">
            <w:pPr>
              <w:rPr>
                <w:sz w:val="5"/>
                <w:szCs w:val="5"/>
              </w:rPr>
            </w:pPr>
          </w:p>
        </w:tc>
        <w:tc>
          <w:tcPr>
            <w:tcW w:w="480" w:type="dxa"/>
            <w:tcBorders>
              <w:bottom w:val="single" w:sz="8" w:space="0" w:color="auto"/>
            </w:tcBorders>
            <w:vAlign w:val="bottom"/>
          </w:tcPr>
          <w:p w14:paraId="3077B326" w14:textId="77777777" w:rsidR="00D1587D" w:rsidRDefault="00D1587D">
            <w:pPr>
              <w:rPr>
                <w:sz w:val="5"/>
                <w:szCs w:val="5"/>
              </w:rPr>
            </w:pPr>
          </w:p>
        </w:tc>
        <w:tc>
          <w:tcPr>
            <w:tcW w:w="300" w:type="dxa"/>
            <w:tcBorders>
              <w:bottom w:val="single" w:sz="8" w:space="0" w:color="CCEEFF"/>
            </w:tcBorders>
            <w:vAlign w:val="bottom"/>
          </w:tcPr>
          <w:p w14:paraId="7B207591" w14:textId="77777777" w:rsidR="00D1587D" w:rsidRDefault="00D1587D">
            <w:pPr>
              <w:rPr>
                <w:sz w:val="5"/>
                <w:szCs w:val="5"/>
              </w:rPr>
            </w:pPr>
          </w:p>
        </w:tc>
        <w:tc>
          <w:tcPr>
            <w:tcW w:w="500" w:type="dxa"/>
            <w:tcBorders>
              <w:bottom w:val="single" w:sz="8" w:space="0" w:color="auto"/>
            </w:tcBorders>
            <w:vAlign w:val="bottom"/>
          </w:tcPr>
          <w:p w14:paraId="274B47CB" w14:textId="77777777" w:rsidR="00D1587D" w:rsidRDefault="00D1587D">
            <w:pPr>
              <w:rPr>
                <w:sz w:val="5"/>
                <w:szCs w:val="5"/>
              </w:rPr>
            </w:pPr>
          </w:p>
        </w:tc>
        <w:tc>
          <w:tcPr>
            <w:tcW w:w="280" w:type="dxa"/>
            <w:tcBorders>
              <w:bottom w:val="single" w:sz="8" w:space="0" w:color="CCEEFF"/>
            </w:tcBorders>
            <w:vAlign w:val="bottom"/>
          </w:tcPr>
          <w:p w14:paraId="0E0E0400" w14:textId="77777777" w:rsidR="00D1587D" w:rsidRDefault="00D1587D">
            <w:pPr>
              <w:rPr>
                <w:sz w:val="5"/>
                <w:szCs w:val="5"/>
              </w:rPr>
            </w:pPr>
          </w:p>
        </w:tc>
        <w:tc>
          <w:tcPr>
            <w:tcW w:w="500" w:type="dxa"/>
            <w:tcBorders>
              <w:bottom w:val="single" w:sz="8" w:space="0" w:color="auto"/>
            </w:tcBorders>
            <w:vAlign w:val="bottom"/>
          </w:tcPr>
          <w:p w14:paraId="4ABC31E4" w14:textId="77777777" w:rsidR="00D1587D" w:rsidRDefault="00D1587D">
            <w:pPr>
              <w:rPr>
                <w:sz w:val="5"/>
                <w:szCs w:val="5"/>
              </w:rPr>
            </w:pPr>
          </w:p>
        </w:tc>
      </w:tr>
      <w:tr w:rsidR="00D1587D" w14:paraId="69894E0C" w14:textId="77777777">
        <w:trPr>
          <w:trHeight w:val="277"/>
        </w:trPr>
        <w:tc>
          <w:tcPr>
            <w:tcW w:w="6360" w:type="dxa"/>
            <w:gridSpan w:val="2"/>
            <w:shd w:val="clear" w:color="auto" w:fill="CCEEFF"/>
            <w:vAlign w:val="bottom"/>
          </w:tcPr>
          <w:p w14:paraId="22F61C78" w14:textId="77777777" w:rsidR="00D1587D" w:rsidRDefault="00410D07">
            <w:pPr>
              <w:rPr>
                <w:sz w:val="20"/>
                <w:szCs w:val="20"/>
              </w:rPr>
            </w:pPr>
            <w:r>
              <w:rPr>
                <w:rFonts w:ascii="Arial" w:eastAsia="Arial" w:hAnsi="Arial" w:cs="Arial"/>
                <w:sz w:val="18"/>
                <w:szCs w:val="18"/>
              </w:rPr>
              <w:t>Net Cash Used for Financing Activities</w:t>
            </w:r>
          </w:p>
        </w:tc>
        <w:tc>
          <w:tcPr>
            <w:tcW w:w="480" w:type="dxa"/>
            <w:shd w:val="clear" w:color="auto" w:fill="CCEEFF"/>
            <w:vAlign w:val="bottom"/>
          </w:tcPr>
          <w:p w14:paraId="56AEDD2B" w14:textId="77777777" w:rsidR="00D1587D" w:rsidRDefault="00410D07">
            <w:pPr>
              <w:jc w:val="right"/>
              <w:rPr>
                <w:sz w:val="20"/>
                <w:szCs w:val="20"/>
              </w:rPr>
            </w:pPr>
            <w:r>
              <w:rPr>
                <w:rFonts w:ascii="Arial" w:eastAsia="Arial" w:hAnsi="Arial" w:cs="Arial"/>
                <w:sz w:val="18"/>
                <w:szCs w:val="18"/>
              </w:rPr>
              <w:t>(465)</w:t>
            </w:r>
          </w:p>
        </w:tc>
        <w:tc>
          <w:tcPr>
            <w:tcW w:w="300" w:type="dxa"/>
            <w:shd w:val="clear" w:color="auto" w:fill="CCEEFF"/>
            <w:vAlign w:val="bottom"/>
          </w:tcPr>
          <w:p w14:paraId="0D678F98" w14:textId="77777777" w:rsidR="00D1587D" w:rsidRDefault="00D1587D">
            <w:pPr>
              <w:rPr>
                <w:sz w:val="24"/>
                <w:szCs w:val="24"/>
              </w:rPr>
            </w:pPr>
          </w:p>
        </w:tc>
        <w:tc>
          <w:tcPr>
            <w:tcW w:w="500" w:type="dxa"/>
            <w:shd w:val="clear" w:color="auto" w:fill="CCEEFF"/>
            <w:vAlign w:val="bottom"/>
          </w:tcPr>
          <w:p w14:paraId="58FC6CF2" w14:textId="77777777" w:rsidR="00D1587D" w:rsidRDefault="00410D07">
            <w:pPr>
              <w:jc w:val="right"/>
              <w:rPr>
                <w:sz w:val="20"/>
                <w:szCs w:val="20"/>
              </w:rPr>
            </w:pPr>
            <w:r>
              <w:rPr>
                <w:rFonts w:ascii="Arial" w:eastAsia="Arial" w:hAnsi="Arial" w:cs="Arial"/>
                <w:sz w:val="18"/>
                <w:szCs w:val="18"/>
              </w:rPr>
              <w:t>(192)</w:t>
            </w:r>
          </w:p>
        </w:tc>
        <w:tc>
          <w:tcPr>
            <w:tcW w:w="280" w:type="dxa"/>
            <w:shd w:val="clear" w:color="auto" w:fill="CCEEFF"/>
            <w:vAlign w:val="bottom"/>
          </w:tcPr>
          <w:p w14:paraId="66EC58A1" w14:textId="77777777" w:rsidR="00D1587D" w:rsidRDefault="00D1587D">
            <w:pPr>
              <w:rPr>
                <w:sz w:val="24"/>
                <w:szCs w:val="24"/>
              </w:rPr>
            </w:pPr>
          </w:p>
        </w:tc>
        <w:tc>
          <w:tcPr>
            <w:tcW w:w="500" w:type="dxa"/>
            <w:shd w:val="clear" w:color="auto" w:fill="CCEEFF"/>
            <w:vAlign w:val="bottom"/>
          </w:tcPr>
          <w:p w14:paraId="1410F4BA" w14:textId="77777777" w:rsidR="00D1587D" w:rsidRDefault="00410D07">
            <w:pPr>
              <w:jc w:val="right"/>
              <w:rPr>
                <w:sz w:val="20"/>
                <w:szCs w:val="20"/>
              </w:rPr>
            </w:pPr>
            <w:r>
              <w:rPr>
                <w:rFonts w:ascii="Arial" w:eastAsia="Arial" w:hAnsi="Arial" w:cs="Arial"/>
                <w:sz w:val="18"/>
                <w:szCs w:val="18"/>
              </w:rPr>
              <w:t>(264)</w:t>
            </w:r>
          </w:p>
        </w:tc>
      </w:tr>
      <w:tr w:rsidR="00D1587D" w14:paraId="573B2133" w14:textId="77777777">
        <w:trPr>
          <w:trHeight w:val="68"/>
        </w:trPr>
        <w:tc>
          <w:tcPr>
            <w:tcW w:w="6220" w:type="dxa"/>
            <w:shd w:val="clear" w:color="auto" w:fill="CCEEFF"/>
            <w:vAlign w:val="bottom"/>
          </w:tcPr>
          <w:p w14:paraId="53841154" w14:textId="77777777" w:rsidR="00D1587D" w:rsidRDefault="00D1587D">
            <w:pPr>
              <w:rPr>
                <w:sz w:val="5"/>
                <w:szCs w:val="5"/>
              </w:rPr>
            </w:pPr>
          </w:p>
        </w:tc>
        <w:tc>
          <w:tcPr>
            <w:tcW w:w="140" w:type="dxa"/>
            <w:tcBorders>
              <w:bottom w:val="single" w:sz="8" w:space="0" w:color="CCEEFF"/>
            </w:tcBorders>
            <w:shd w:val="clear" w:color="auto" w:fill="CCEEFF"/>
            <w:vAlign w:val="bottom"/>
          </w:tcPr>
          <w:p w14:paraId="0C999DBC" w14:textId="77777777" w:rsidR="00D1587D" w:rsidRDefault="00D1587D">
            <w:pPr>
              <w:rPr>
                <w:sz w:val="5"/>
                <w:szCs w:val="5"/>
              </w:rPr>
            </w:pPr>
          </w:p>
        </w:tc>
        <w:tc>
          <w:tcPr>
            <w:tcW w:w="480" w:type="dxa"/>
            <w:tcBorders>
              <w:bottom w:val="single" w:sz="8" w:space="0" w:color="auto"/>
            </w:tcBorders>
            <w:shd w:val="clear" w:color="auto" w:fill="CCEEFF"/>
            <w:vAlign w:val="bottom"/>
          </w:tcPr>
          <w:p w14:paraId="7C44DD15" w14:textId="77777777" w:rsidR="00D1587D" w:rsidRDefault="00D1587D">
            <w:pPr>
              <w:rPr>
                <w:sz w:val="5"/>
                <w:szCs w:val="5"/>
              </w:rPr>
            </w:pPr>
          </w:p>
        </w:tc>
        <w:tc>
          <w:tcPr>
            <w:tcW w:w="300" w:type="dxa"/>
            <w:tcBorders>
              <w:bottom w:val="single" w:sz="8" w:space="0" w:color="CCEEFF"/>
            </w:tcBorders>
            <w:shd w:val="clear" w:color="auto" w:fill="CCEEFF"/>
            <w:vAlign w:val="bottom"/>
          </w:tcPr>
          <w:p w14:paraId="78E259C6" w14:textId="77777777" w:rsidR="00D1587D" w:rsidRDefault="00D1587D">
            <w:pPr>
              <w:rPr>
                <w:sz w:val="5"/>
                <w:szCs w:val="5"/>
              </w:rPr>
            </w:pPr>
          </w:p>
        </w:tc>
        <w:tc>
          <w:tcPr>
            <w:tcW w:w="500" w:type="dxa"/>
            <w:tcBorders>
              <w:bottom w:val="single" w:sz="8" w:space="0" w:color="auto"/>
            </w:tcBorders>
            <w:shd w:val="clear" w:color="auto" w:fill="CCEEFF"/>
            <w:vAlign w:val="bottom"/>
          </w:tcPr>
          <w:p w14:paraId="1E9AF78B" w14:textId="77777777" w:rsidR="00D1587D" w:rsidRDefault="00D1587D">
            <w:pPr>
              <w:rPr>
                <w:sz w:val="5"/>
                <w:szCs w:val="5"/>
              </w:rPr>
            </w:pPr>
          </w:p>
        </w:tc>
        <w:tc>
          <w:tcPr>
            <w:tcW w:w="280" w:type="dxa"/>
            <w:tcBorders>
              <w:bottom w:val="single" w:sz="8" w:space="0" w:color="CCEEFF"/>
            </w:tcBorders>
            <w:shd w:val="clear" w:color="auto" w:fill="CCEEFF"/>
            <w:vAlign w:val="bottom"/>
          </w:tcPr>
          <w:p w14:paraId="3A1757A7" w14:textId="77777777" w:rsidR="00D1587D" w:rsidRDefault="00D1587D">
            <w:pPr>
              <w:rPr>
                <w:sz w:val="5"/>
                <w:szCs w:val="5"/>
              </w:rPr>
            </w:pPr>
          </w:p>
        </w:tc>
        <w:tc>
          <w:tcPr>
            <w:tcW w:w="500" w:type="dxa"/>
            <w:tcBorders>
              <w:bottom w:val="single" w:sz="8" w:space="0" w:color="auto"/>
            </w:tcBorders>
            <w:shd w:val="clear" w:color="auto" w:fill="CCEEFF"/>
            <w:vAlign w:val="bottom"/>
          </w:tcPr>
          <w:p w14:paraId="2C8A7870" w14:textId="77777777" w:rsidR="00D1587D" w:rsidRDefault="00D1587D">
            <w:pPr>
              <w:rPr>
                <w:sz w:val="5"/>
                <w:szCs w:val="5"/>
              </w:rPr>
            </w:pPr>
          </w:p>
        </w:tc>
      </w:tr>
      <w:tr w:rsidR="00D1587D" w14:paraId="10A95379" w14:textId="77777777">
        <w:trPr>
          <w:trHeight w:val="277"/>
        </w:trPr>
        <w:tc>
          <w:tcPr>
            <w:tcW w:w="6360" w:type="dxa"/>
            <w:gridSpan w:val="2"/>
            <w:vAlign w:val="bottom"/>
          </w:tcPr>
          <w:p w14:paraId="12758A6E" w14:textId="77777777" w:rsidR="00D1587D" w:rsidRDefault="00410D07">
            <w:pPr>
              <w:rPr>
                <w:sz w:val="20"/>
                <w:szCs w:val="20"/>
              </w:rPr>
            </w:pPr>
            <w:r>
              <w:rPr>
                <w:rFonts w:ascii="Arial" w:eastAsia="Arial" w:hAnsi="Arial" w:cs="Arial"/>
                <w:sz w:val="18"/>
                <w:szCs w:val="18"/>
              </w:rPr>
              <w:t xml:space="preserve">Effects of Exchange </w:t>
            </w:r>
            <w:r>
              <w:rPr>
                <w:rFonts w:ascii="Arial" w:eastAsia="Arial" w:hAnsi="Arial" w:cs="Arial"/>
                <w:sz w:val="18"/>
                <w:szCs w:val="18"/>
              </w:rPr>
              <w:t>Rate Changes on Cash and Cash Equivalents</w:t>
            </w:r>
          </w:p>
        </w:tc>
        <w:tc>
          <w:tcPr>
            <w:tcW w:w="480" w:type="dxa"/>
            <w:vAlign w:val="bottom"/>
          </w:tcPr>
          <w:p w14:paraId="424C5CD3" w14:textId="77777777" w:rsidR="00D1587D" w:rsidRDefault="00410D07">
            <w:pPr>
              <w:jc w:val="right"/>
              <w:rPr>
                <w:sz w:val="20"/>
                <w:szCs w:val="20"/>
              </w:rPr>
            </w:pPr>
            <w:r>
              <w:rPr>
                <w:rFonts w:ascii="Arial" w:eastAsia="Arial" w:hAnsi="Arial" w:cs="Arial"/>
                <w:sz w:val="18"/>
                <w:szCs w:val="18"/>
              </w:rPr>
              <w:t>4</w:t>
            </w:r>
          </w:p>
        </w:tc>
        <w:tc>
          <w:tcPr>
            <w:tcW w:w="300" w:type="dxa"/>
            <w:vAlign w:val="bottom"/>
          </w:tcPr>
          <w:p w14:paraId="0691F3B5" w14:textId="77777777" w:rsidR="00D1587D" w:rsidRDefault="00D1587D">
            <w:pPr>
              <w:rPr>
                <w:sz w:val="24"/>
                <w:szCs w:val="24"/>
              </w:rPr>
            </w:pPr>
          </w:p>
        </w:tc>
        <w:tc>
          <w:tcPr>
            <w:tcW w:w="500" w:type="dxa"/>
            <w:vAlign w:val="bottom"/>
          </w:tcPr>
          <w:p w14:paraId="283F0D32" w14:textId="77777777" w:rsidR="00D1587D" w:rsidRDefault="00410D07">
            <w:pPr>
              <w:jc w:val="right"/>
              <w:rPr>
                <w:sz w:val="20"/>
                <w:szCs w:val="20"/>
              </w:rPr>
            </w:pPr>
            <w:r>
              <w:rPr>
                <w:rFonts w:ascii="Arial" w:eastAsia="Arial" w:hAnsi="Arial" w:cs="Arial"/>
                <w:sz w:val="18"/>
                <w:szCs w:val="18"/>
              </w:rPr>
              <w:t>(4)</w:t>
            </w:r>
          </w:p>
        </w:tc>
        <w:tc>
          <w:tcPr>
            <w:tcW w:w="280" w:type="dxa"/>
            <w:vAlign w:val="bottom"/>
          </w:tcPr>
          <w:p w14:paraId="15E9F19C" w14:textId="77777777" w:rsidR="00D1587D" w:rsidRDefault="00D1587D">
            <w:pPr>
              <w:rPr>
                <w:sz w:val="24"/>
                <w:szCs w:val="24"/>
              </w:rPr>
            </w:pPr>
          </w:p>
        </w:tc>
        <w:tc>
          <w:tcPr>
            <w:tcW w:w="500" w:type="dxa"/>
            <w:vAlign w:val="bottom"/>
          </w:tcPr>
          <w:p w14:paraId="4AE6BB39" w14:textId="77777777" w:rsidR="00D1587D" w:rsidRDefault="00410D07">
            <w:pPr>
              <w:jc w:val="right"/>
              <w:rPr>
                <w:sz w:val="20"/>
                <w:szCs w:val="20"/>
              </w:rPr>
            </w:pPr>
            <w:r>
              <w:rPr>
                <w:rFonts w:ascii="Arial" w:eastAsia="Arial" w:hAnsi="Arial" w:cs="Arial"/>
                <w:sz w:val="18"/>
                <w:szCs w:val="18"/>
              </w:rPr>
              <w:t>2</w:t>
            </w:r>
          </w:p>
        </w:tc>
      </w:tr>
      <w:tr w:rsidR="00D1587D" w14:paraId="2E5589AD" w14:textId="77777777">
        <w:trPr>
          <w:trHeight w:val="54"/>
        </w:trPr>
        <w:tc>
          <w:tcPr>
            <w:tcW w:w="6220" w:type="dxa"/>
            <w:vAlign w:val="bottom"/>
          </w:tcPr>
          <w:p w14:paraId="4AF413A9" w14:textId="77777777" w:rsidR="00D1587D" w:rsidRDefault="00D1587D">
            <w:pPr>
              <w:rPr>
                <w:sz w:val="4"/>
                <w:szCs w:val="4"/>
              </w:rPr>
            </w:pPr>
          </w:p>
        </w:tc>
        <w:tc>
          <w:tcPr>
            <w:tcW w:w="140" w:type="dxa"/>
            <w:vAlign w:val="bottom"/>
          </w:tcPr>
          <w:p w14:paraId="10A317E9" w14:textId="77777777" w:rsidR="00D1587D" w:rsidRDefault="00D1587D">
            <w:pPr>
              <w:rPr>
                <w:sz w:val="4"/>
                <w:szCs w:val="4"/>
              </w:rPr>
            </w:pPr>
          </w:p>
        </w:tc>
        <w:tc>
          <w:tcPr>
            <w:tcW w:w="480" w:type="dxa"/>
            <w:vAlign w:val="bottom"/>
          </w:tcPr>
          <w:p w14:paraId="5BD8ED21" w14:textId="77777777" w:rsidR="00D1587D" w:rsidRDefault="00D1587D">
            <w:pPr>
              <w:rPr>
                <w:sz w:val="4"/>
                <w:szCs w:val="4"/>
              </w:rPr>
            </w:pPr>
          </w:p>
        </w:tc>
        <w:tc>
          <w:tcPr>
            <w:tcW w:w="300" w:type="dxa"/>
            <w:vAlign w:val="bottom"/>
          </w:tcPr>
          <w:p w14:paraId="2C0E00A1" w14:textId="77777777" w:rsidR="00D1587D" w:rsidRDefault="00D1587D">
            <w:pPr>
              <w:rPr>
                <w:sz w:val="4"/>
                <w:szCs w:val="4"/>
              </w:rPr>
            </w:pPr>
          </w:p>
        </w:tc>
        <w:tc>
          <w:tcPr>
            <w:tcW w:w="500" w:type="dxa"/>
            <w:vAlign w:val="bottom"/>
          </w:tcPr>
          <w:p w14:paraId="303ADAB5" w14:textId="77777777" w:rsidR="00D1587D" w:rsidRDefault="00D1587D">
            <w:pPr>
              <w:rPr>
                <w:sz w:val="4"/>
                <w:szCs w:val="4"/>
              </w:rPr>
            </w:pPr>
          </w:p>
        </w:tc>
        <w:tc>
          <w:tcPr>
            <w:tcW w:w="280" w:type="dxa"/>
            <w:vAlign w:val="bottom"/>
          </w:tcPr>
          <w:p w14:paraId="5CE530C3" w14:textId="77777777" w:rsidR="00D1587D" w:rsidRDefault="00D1587D">
            <w:pPr>
              <w:rPr>
                <w:sz w:val="4"/>
                <w:szCs w:val="4"/>
              </w:rPr>
            </w:pPr>
          </w:p>
        </w:tc>
        <w:tc>
          <w:tcPr>
            <w:tcW w:w="500" w:type="dxa"/>
            <w:vAlign w:val="bottom"/>
          </w:tcPr>
          <w:p w14:paraId="5F8C8EF7" w14:textId="77777777" w:rsidR="00D1587D" w:rsidRDefault="00D1587D">
            <w:pPr>
              <w:rPr>
                <w:sz w:val="4"/>
                <w:szCs w:val="4"/>
              </w:rPr>
            </w:pPr>
          </w:p>
        </w:tc>
      </w:tr>
      <w:tr w:rsidR="00D1587D" w14:paraId="32F94AE7" w14:textId="77777777">
        <w:trPr>
          <w:trHeight w:val="304"/>
        </w:trPr>
        <w:tc>
          <w:tcPr>
            <w:tcW w:w="6360" w:type="dxa"/>
            <w:gridSpan w:val="2"/>
            <w:tcBorders>
              <w:bottom w:val="single" w:sz="8" w:space="0" w:color="CCEEFF"/>
            </w:tcBorders>
            <w:shd w:val="clear" w:color="auto" w:fill="CCEEFF"/>
            <w:vAlign w:val="bottom"/>
          </w:tcPr>
          <w:p w14:paraId="228F7390" w14:textId="77777777" w:rsidR="00D1587D" w:rsidRDefault="00410D07">
            <w:pPr>
              <w:rPr>
                <w:sz w:val="20"/>
                <w:szCs w:val="20"/>
              </w:rPr>
            </w:pPr>
            <w:r>
              <w:rPr>
                <w:rFonts w:ascii="Arial" w:eastAsia="Arial" w:hAnsi="Arial" w:cs="Arial"/>
                <w:sz w:val="18"/>
                <w:szCs w:val="18"/>
              </w:rPr>
              <w:t>Net Increase (Decrease) in Cash and Cash Equivalents</w:t>
            </w:r>
          </w:p>
        </w:tc>
        <w:tc>
          <w:tcPr>
            <w:tcW w:w="480" w:type="dxa"/>
            <w:tcBorders>
              <w:bottom w:val="single" w:sz="8" w:space="0" w:color="CCEEFF"/>
            </w:tcBorders>
            <w:shd w:val="clear" w:color="auto" w:fill="CCEEFF"/>
            <w:vAlign w:val="bottom"/>
          </w:tcPr>
          <w:p w14:paraId="74511A40" w14:textId="77777777" w:rsidR="00D1587D" w:rsidRDefault="00410D07">
            <w:pPr>
              <w:jc w:val="right"/>
              <w:rPr>
                <w:sz w:val="20"/>
                <w:szCs w:val="20"/>
              </w:rPr>
            </w:pPr>
            <w:r>
              <w:rPr>
                <w:rFonts w:ascii="Arial" w:eastAsia="Arial" w:hAnsi="Arial" w:cs="Arial"/>
                <w:sz w:val="18"/>
                <w:szCs w:val="18"/>
              </w:rPr>
              <w:t>90</w:t>
            </w:r>
          </w:p>
        </w:tc>
        <w:tc>
          <w:tcPr>
            <w:tcW w:w="300" w:type="dxa"/>
            <w:tcBorders>
              <w:bottom w:val="single" w:sz="8" w:space="0" w:color="CCEEFF"/>
            </w:tcBorders>
            <w:shd w:val="clear" w:color="auto" w:fill="CCEEFF"/>
            <w:vAlign w:val="bottom"/>
          </w:tcPr>
          <w:p w14:paraId="6668F944" w14:textId="77777777" w:rsidR="00D1587D" w:rsidRDefault="00D1587D">
            <w:pPr>
              <w:rPr>
                <w:sz w:val="24"/>
                <w:szCs w:val="24"/>
              </w:rPr>
            </w:pPr>
          </w:p>
        </w:tc>
        <w:tc>
          <w:tcPr>
            <w:tcW w:w="500" w:type="dxa"/>
            <w:tcBorders>
              <w:bottom w:val="single" w:sz="8" w:space="0" w:color="CCEEFF"/>
            </w:tcBorders>
            <w:shd w:val="clear" w:color="auto" w:fill="CCEEFF"/>
            <w:vAlign w:val="bottom"/>
          </w:tcPr>
          <w:p w14:paraId="642F94D2" w14:textId="77777777" w:rsidR="00D1587D" w:rsidRDefault="00410D07">
            <w:pPr>
              <w:jc w:val="right"/>
              <w:rPr>
                <w:sz w:val="20"/>
                <w:szCs w:val="20"/>
              </w:rPr>
            </w:pPr>
            <w:r>
              <w:rPr>
                <w:rFonts w:ascii="Arial" w:eastAsia="Arial" w:hAnsi="Arial" w:cs="Arial"/>
                <w:sz w:val="18"/>
                <w:szCs w:val="18"/>
              </w:rPr>
              <w:t>(124)</w:t>
            </w:r>
          </w:p>
        </w:tc>
        <w:tc>
          <w:tcPr>
            <w:tcW w:w="280" w:type="dxa"/>
            <w:tcBorders>
              <w:bottom w:val="single" w:sz="8" w:space="0" w:color="CCEEFF"/>
            </w:tcBorders>
            <w:shd w:val="clear" w:color="auto" w:fill="CCEEFF"/>
            <w:vAlign w:val="bottom"/>
          </w:tcPr>
          <w:p w14:paraId="106D2471"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61BC8F5" w14:textId="77777777" w:rsidR="00D1587D" w:rsidRDefault="00410D07">
            <w:pPr>
              <w:jc w:val="right"/>
              <w:rPr>
                <w:sz w:val="20"/>
                <w:szCs w:val="20"/>
              </w:rPr>
            </w:pPr>
            <w:r>
              <w:rPr>
                <w:rFonts w:ascii="Arial" w:eastAsia="Arial" w:hAnsi="Arial" w:cs="Arial"/>
                <w:sz w:val="18"/>
                <w:szCs w:val="18"/>
              </w:rPr>
              <w:t>93</w:t>
            </w:r>
          </w:p>
        </w:tc>
      </w:tr>
      <w:tr w:rsidR="00D1587D" w14:paraId="1EAE4998" w14:textId="77777777">
        <w:trPr>
          <w:trHeight w:val="270"/>
        </w:trPr>
        <w:tc>
          <w:tcPr>
            <w:tcW w:w="6360" w:type="dxa"/>
            <w:gridSpan w:val="2"/>
            <w:vAlign w:val="bottom"/>
          </w:tcPr>
          <w:p w14:paraId="20BB48FA" w14:textId="77777777" w:rsidR="00D1587D" w:rsidRDefault="00410D07">
            <w:pPr>
              <w:rPr>
                <w:sz w:val="20"/>
                <w:szCs w:val="20"/>
              </w:rPr>
            </w:pPr>
            <w:r>
              <w:rPr>
                <w:rFonts w:ascii="Arial" w:eastAsia="Arial" w:hAnsi="Arial" w:cs="Arial"/>
                <w:sz w:val="18"/>
                <w:szCs w:val="18"/>
              </w:rPr>
              <w:t>Cash and Cash Equivalents, Beginning of the Year</w:t>
            </w:r>
          </w:p>
        </w:tc>
        <w:tc>
          <w:tcPr>
            <w:tcW w:w="480" w:type="dxa"/>
            <w:vAlign w:val="bottom"/>
          </w:tcPr>
          <w:p w14:paraId="4BEB561E" w14:textId="77777777" w:rsidR="00D1587D" w:rsidRDefault="00410D07">
            <w:pPr>
              <w:jc w:val="right"/>
              <w:rPr>
                <w:sz w:val="20"/>
                <w:szCs w:val="20"/>
              </w:rPr>
            </w:pPr>
            <w:r>
              <w:rPr>
                <w:rFonts w:ascii="Arial" w:eastAsia="Arial" w:hAnsi="Arial" w:cs="Arial"/>
                <w:sz w:val="18"/>
                <w:szCs w:val="18"/>
              </w:rPr>
              <w:t>245</w:t>
            </w:r>
          </w:p>
        </w:tc>
        <w:tc>
          <w:tcPr>
            <w:tcW w:w="300" w:type="dxa"/>
            <w:vAlign w:val="bottom"/>
          </w:tcPr>
          <w:p w14:paraId="1E5398B0" w14:textId="77777777" w:rsidR="00D1587D" w:rsidRDefault="00D1587D">
            <w:pPr>
              <w:rPr>
                <w:sz w:val="23"/>
                <w:szCs w:val="23"/>
              </w:rPr>
            </w:pPr>
          </w:p>
        </w:tc>
        <w:tc>
          <w:tcPr>
            <w:tcW w:w="500" w:type="dxa"/>
            <w:vAlign w:val="bottom"/>
          </w:tcPr>
          <w:p w14:paraId="08155EF9" w14:textId="77777777" w:rsidR="00D1587D" w:rsidRDefault="00410D07">
            <w:pPr>
              <w:jc w:val="right"/>
              <w:rPr>
                <w:sz w:val="20"/>
                <w:szCs w:val="20"/>
              </w:rPr>
            </w:pPr>
            <w:r>
              <w:rPr>
                <w:rFonts w:ascii="Arial" w:eastAsia="Arial" w:hAnsi="Arial" w:cs="Arial"/>
                <w:sz w:val="18"/>
                <w:szCs w:val="18"/>
              </w:rPr>
              <w:t>369</w:t>
            </w:r>
          </w:p>
        </w:tc>
        <w:tc>
          <w:tcPr>
            <w:tcW w:w="280" w:type="dxa"/>
            <w:vAlign w:val="bottom"/>
          </w:tcPr>
          <w:p w14:paraId="36E9316D" w14:textId="77777777" w:rsidR="00D1587D" w:rsidRDefault="00D1587D">
            <w:pPr>
              <w:rPr>
                <w:sz w:val="23"/>
                <w:szCs w:val="23"/>
              </w:rPr>
            </w:pPr>
          </w:p>
        </w:tc>
        <w:tc>
          <w:tcPr>
            <w:tcW w:w="500" w:type="dxa"/>
            <w:vAlign w:val="bottom"/>
          </w:tcPr>
          <w:p w14:paraId="2B19FA91" w14:textId="77777777" w:rsidR="00D1587D" w:rsidRDefault="00410D07">
            <w:pPr>
              <w:jc w:val="right"/>
              <w:rPr>
                <w:sz w:val="20"/>
                <w:szCs w:val="20"/>
              </w:rPr>
            </w:pPr>
            <w:r>
              <w:rPr>
                <w:rFonts w:ascii="Arial" w:eastAsia="Arial" w:hAnsi="Arial" w:cs="Arial"/>
                <w:sz w:val="18"/>
                <w:szCs w:val="18"/>
              </w:rPr>
              <w:t>276</w:t>
            </w:r>
          </w:p>
        </w:tc>
      </w:tr>
      <w:tr w:rsidR="00D1587D" w14:paraId="514BCE37" w14:textId="77777777">
        <w:trPr>
          <w:trHeight w:val="68"/>
        </w:trPr>
        <w:tc>
          <w:tcPr>
            <w:tcW w:w="6220" w:type="dxa"/>
            <w:tcBorders>
              <w:bottom w:val="single" w:sz="8" w:space="0" w:color="CCEEFF"/>
            </w:tcBorders>
            <w:vAlign w:val="bottom"/>
          </w:tcPr>
          <w:p w14:paraId="1F4A198C" w14:textId="77777777" w:rsidR="00D1587D" w:rsidRDefault="00D1587D">
            <w:pPr>
              <w:rPr>
                <w:sz w:val="5"/>
                <w:szCs w:val="5"/>
              </w:rPr>
            </w:pPr>
          </w:p>
        </w:tc>
        <w:tc>
          <w:tcPr>
            <w:tcW w:w="140" w:type="dxa"/>
            <w:tcBorders>
              <w:bottom w:val="single" w:sz="8" w:space="0" w:color="CCEEFF"/>
            </w:tcBorders>
            <w:vAlign w:val="bottom"/>
          </w:tcPr>
          <w:p w14:paraId="78C2D4B7" w14:textId="77777777" w:rsidR="00D1587D" w:rsidRDefault="00D1587D">
            <w:pPr>
              <w:rPr>
                <w:sz w:val="5"/>
                <w:szCs w:val="5"/>
              </w:rPr>
            </w:pPr>
          </w:p>
        </w:tc>
        <w:tc>
          <w:tcPr>
            <w:tcW w:w="480" w:type="dxa"/>
            <w:tcBorders>
              <w:bottom w:val="single" w:sz="8" w:space="0" w:color="auto"/>
            </w:tcBorders>
            <w:vAlign w:val="bottom"/>
          </w:tcPr>
          <w:p w14:paraId="65676DE9" w14:textId="77777777" w:rsidR="00D1587D" w:rsidRDefault="00D1587D">
            <w:pPr>
              <w:rPr>
                <w:sz w:val="5"/>
                <w:szCs w:val="5"/>
              </w:rPr>
            </w:pPr>
          </w:p>
        </w:tc>
        <w:tc>
          <w:tcPr>
            <w:tcW w:w="300" w:type="dxa"/>
            <w:tcBorders>
              <w:bottom w:val="single" w:sz="8" w:space="0" w:color="CCEEFF"/>
            </w:tcBorders>
            <w:vAlign w:val="bottom"/>
          </w:tcPr>
          <w:p w14:paraId="4BF0602E" w14:textId="77777777" w:rsidR="00D1587D" w:rsidRDefault="00D1587D">
            <w:pPr>
              <w:rPr>
                <w:sz w:val="5"/>
                <w:szCs w:val="5"/>
              </w:rPr>
            </w:pPr>
          </w:p>
        </w:tc>
        <w:tc>
          <w:tcPr>
            <w:tcW w:w="500" w:type="dxa"/>
            <w:tcBorders>
              <w:bottom w:val="single" w:sz="8" w:space="0" w:color="auto"/>
            </w:tcBorders>
            <w:vAlign w:val="bottom"/>
          </w:tcPr>
          <w:p w14:paraId="5FA6AB10" w14:textId="77777777" w:rsidR="00D1587D" w:rsidRDefault="00D1587D">
            <w:pPr>
              <w:rPr>
                <w:sz w:val="5"/>
                <w:szCs w:val="5"/>
              </w:rPr>
            </w:pPr>
          </w:p>
        </w:tc>
        <w:tc>
          <w:tcPr>
            <w:tcW w:w="280" w:type="dxa"/>
            <w:tcBorders>
              <w:bottom w:val="single" w:sz="8" w:space="0" w:color="CCEEFF"/>
            </w:tcBorders>
            <w:vAlign w:val="bottom"/>
          </w:tcPr>
          <w:p w14:paraId="17FD634D" w14:textId="77777777" w:rsidR="00D1587D" w:rsidRDefault="00D1587D">
            <w:pPr>
              <w:rPr>
                <w:sz w:val="5"/>
                <w:szCs w:val="5"/>
              </w:rPr>
            </w:pPr>
          </w:p>
        </w:tc>
        <w:tc>
          <w:tcPr>
            <w:tcW w:w="500" w:type="dxa"/>
            <w:tcBorders>
              <w:bottom w:val="single" w:sz="8" w:space="0" w:color="auto"/>
            </w:tcBorders>
            <w:vAlign w:val="bottom"/>
          </w:tcPr>
          <w:p w14:paraId="6ED73652" w14:textId="77777777" w:rsidR="00D1587D" w:rsidRDefault="00D1587D">
            <w:pPr>
              <w:rPr>
                <w:sz w:val="5"/>
                <w:szCs w:val="5"/>
              </w:rPr>
            </w:pPr>
          </w:p>
        </w:tc>
      </w:tr>
      <w:tr w:rsidR="00D1587D" w14:paraId="3CC8D9B8" w14:textId="77777777">
        <w:trPr>
          <w:trHeight w:val="376"/>
        </w:trPr>
        <w:tc>
          <w:tcPr>
            <w:tcW w:w="6360" w:type="dxa"/>
            <w:gridSpan w:val="2"/>
            <w:tcBorders>
              <w:bottom w:val="single" w:sz="8" w:space="0" w:color="CCEEFF"/>
            </w:tcBorders>
            <w:shd w:val="clear" w:color="auto" w:fill="CCEEFF"/>
            <w:vAlign w:val="bottom"/>
          </w:tcPr>
          <w:p w14:paraId="6432F982" w14:textId="77777777" w:rsidR="00D1587D" w:rsidRDefault="00410D07">
            <w:pPr>
              <w:rPr>
                <w:sz w:val="20"/>
                <w:szCs w:val="20"/>
              </w:rPr>
            </w:pPr>
            <w:r>
              <w:rPr>
                <w:rFonts w:ascii="Arial" w:eastAsia="Arial" w:hAnsi="Arial" w:cs="Arial"/>
                <w:sz w:val="18"/>
                <w:szCs w:val="18"/>
              </w:rPr>
              <w:t>Cash and Cash Equivalents, End of the Year</w:t>
            </w:r>
          </w:p>
        </w:tc>
        <w:tc>
          <w:tcPr>
            <w:tcW w:w="480" w:type="dxa"/>
            <w:tcBorders>
              <w:bottom w:val="single" w:sz="8" w:space="0" w:color="CCEEFF"/>
            </w:tcBorders>
            <w:shd w:val="clear" w:color="auto" w:fill="CCEEFF"/>
            <w:vAlign w:val="bottom"/>
          </w:tcPr>
          <w:p w14:paraId="129ACECA" w14:textId="77777777" w:rsidR="00D1587D" w:rsidRDefault="00410D07">
            <w:pPr>
              <w:jc w:val="right"/>
              <w:rPr>
                <w:sz w:val="20"/>
                <w:szCs w:val="20"/>
              </w:rPr>
            </w:pPr>
            <w:r>
              <w:rPr>
                <w:rFonts w:ascii="Arial" w:eastAsia="Arial" w:hAnsi="Arial" w:cs="Arial"/>
                <w:w w:val="88"/>
                <w:sz w:val="18"/>
                <w:szCs w:val="18"/>
              </w:rPr>
              <w:t>$ 335</w:t>
            </w:r>
          </w:p>
        </w:tc>
        <w:tc>
          <w:tcPr>
            <w:tcW w:w="300" w:type="dxa"/>
            <w:tcBorders>
              <w:bottom w:val="single" w:sz="8" w:space="0" w:color="CCEEFF"/>
            </w:tcBorders>
            <w:shd w:val="clear" w:color="auto" w:fill="CCEEFF"/>
            <w:vAlign w:val="bottom"/>
          </w:tcPr>
          <w:p w14:paraId="57FBD7B3"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38ED055" w14:textId="77777777" w:rsidR="00D1587D" w:rsidRDefault="00410D07">
            <w:pPr>
              <w:jc w:val="right"/>
              <w:rPr>
                <w:sz w:val="20"/>
                <w:szCs w:val="20"/>
              </w:rPr>
            </w:pPr>
            <w:r>
              <w:rPr>
                <w:rFonts w:ascii="Arial" w:eastAsia="Arial" w:hAnsi="Arial" w:cs="Arial"/>
                <w:w w:val="88"/>
                <w:sz w:val="18"/>
                <w:szCs w:val="18"/>
              </w:rPr>
              <w:t xml:space="preserve">$ </w:t>
            </w:r>
            <w:r>
              <w:rPr>
                <w:rFonts w:ascii="Arial" w:eastAsia="Arial" w:hAnsi="Arial" w:cs="Arial"/>
                <w:w w:val="88"/>
                <w:sz w:val="18"/>
                <w:szCs w:val="18"/>
              </w:rPr>
              <w:t>245</w:t>
            </w:r>
          </w:p>
        </w:tc>
        <w:tc>
          <w:tcPr>
            <w:tcW w:w="280" w:type="dxa"/>
            <w:tcBorders>
              <w:bottom w:val="single" w:sz="8" w:space="0" w:color="CCEEFF"/>
            </w:tcBorders>
            <w:shd w:val="clear" w:color="auto" w:fill="CCEEFF"/>
            <w:vAlign w:val="bottom"/>
          </w:tcPr>
          <w:p w14:paraId="48DB32B5" w14:textId="77777777" w:rsidR="00D1587D" w:rsidRDefault="00D1587D">
            <w:pPr>
              <w:rPr>
                <w:sz w:val="24"/>
                <w:szCs w:val="24"/>
              </w:rPr>
            </w:pPr>
          </w:p>
        </w:tc>
        <w:tc>
          <w:tcPr>
            <w:tcW w:w="500" w:type="dxa"/>
            <w:tcBorders>
              <w:bottom w:val="single" w:sz="8" w:space="0" w:color="CCEEFF"/>
            </w:tcBorders>
            <w:shd w:val="clear" w:color="auto" w:fill="CCEEFF"/>
            <w:vAlign w:val="bottom"/>
          </w:tcPr>
          <w:p w14:paraId="1C351DE7" w14:textId="77777777" w:rsidR="00D1587D" w:rsidRDefault="00410D07">
            <w:pPr>
              <w:jc w:val="right"/>
              <w:rPr>
                <w:sz w:val="20"/>
                <w:szCs w:val="20"/>
              </w:rPr>
            </w:pPr>
            <w:r>
              <w:rPr>
                <w:rFonts w:ascii="Arial" w:eastAsia="Arial" w:hAnsi="Arial" w:cs="Arial"/>
                <w:w w:val="88"/>
                <w:sz w:val="18"/>
                <w:szCs w:val="18"/>
              </w:rPr>
              <w:t>$ 369</w:t>
            </w:r>
          </w:p>
        </w:tc>
      </w:tr>
      <w:tr w:rsidR="00D1587D" w14:paraId="661BC89C" w14:textId="77777777">
        <w:trPr>
          <w:trHeight w:val="20"/>
        </w:trPr>
        <w:tc>
          <w:tcPr>
            <w:tcW w:w="6220" w:type="dxa"/>
            <w:tcBorders>
              <w:top w:val="single" w:sz="8" w:space="0" w:color="CCEEFF"/>
            </w:tcBorders>
            <w:vAlign w:val="bottom"/>
          </w:tcPr>
          <w:p w14:paraId="00554788" w14:textId="77777777" w:rsidR="00D1587D" w:rsidRDefault="00D1587D">
            <w:pPr>
              <w:spacing w:line="20" w:lineRule="exact"/>
              <w:rPr>
                <w:sz w:val="1"/>
                <w:szCs w:val="1"/>
              </w:rPr>
            </w:pPr>
          </w:p>
        </w:tc>
        <w:tc>
          <w:tcPr>
            <w:tcW w:w="140" w:type="dxa"/>
            <w:tcBorders>
              <w:top w:val="single" w:sz="8" w:space="0" w:color="CCEEFF"/>
            </w:tcBorders>
            <w:vAlign w:val="bottom"/>
          </w:tcPr>
          <w:p w14:paraId="62A5DE28" w14:textId="77777777" w:rsidR="00D1587D" w:rsidRDefault="00D1587D">
            <w:pPr>
              <w:spacing w:line="20" w:lineRule="exact"/>
              <w:rPr>
                <w:sz w:val="1"/>
                <w:szCs w:val="1"/>
              </w:rPr>
            </w:pPr>
          </w:p>
        </w:tc>
        <w:tc>
          <w:tcPr>
            <w:tcW w:w="480" w:type="dxa"/>
            <w:tcBorders>
              <w:top w:val="single" w:sz="8" w:space="0" w:color="auto"/>
            </w:tcBorders>
            <w:shd w:val="clear" w:color="auto" w:fill="000000"/>
            <w:vAlign w:val="bottom"/>
          </w:tcPr>
          <w:p w14:paraId="104895C1" w14:textId="77777777" w:rsidR="00D1587D" w:rsidRDefault="00D1587D">
            <w:pPr>
              <w:spacing w:line="20" w:lineRule="exact"/>
              <w:rPr>
                <w:sz w:val="1"/>
                <w:szCs w:val="1"/>
              </w:rPr>
            </w:pPr>
          </w:p>
        </w:tc>
        <w:tc>
          <w:tcPr>
            <w:tcW w:w="300" w:type="dxa"/>
            <w:tcBorders>
              <w:top w:val="single" w:sz="8" w:space="0" w:color="CCEEFF"/>
            </w:tcBorders>
            <w:vAlign w:val="bottom"/>
          </w:tcPr>
          <w:p w14:paraId="4BA5BA38"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2FE5DD85" w14:textId="77777777" w:rsidR="00D1587D" w:rsidRDefault="00D1587D">
            <w:pPr>
              <w:spacing w:line="20" w:lineRule="exact"/>
              <w:rPr>
                <w:sz w:val="1"/>
                <w:szCs w:val="1"/>
              </w:rPr>
            </w:pPr>
          </w:p>
        </w:tc>
        <w:tc>
          <w:tcPr>
            <w:tcW w:w="280" w:type="dxa"/>
            <w:tcBorders>
              <w:top w:val="single" w:sz="8" w:space="0" w:color="CCEEFF"/>
            </w:tcBorders>
            <w:vAlign w:val="bottom"/>
          </w:tcPr>
          <w:p w14:paraId="207015BA"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06FE5551" w14:textId="77777777" w:rsidR="00D1587D" w:rsidRDefault="00D1587D">
            <w:pPr>
              <w:spacing w:line="20" w:lineRule="exact"/>
              <w:rPr>
                <w:sz w:val="1"/>
                <w:szCs w:val="1"/>
              </w:rPr>
            </w:pPr>
          </w:p>
        </w:tc>
      </w:tr>
    </w:tbl>
    <w:p w14:paraId="52EBEDC0" w14:textId="77777777" w:rsidR="00D1587D" w:rsidRDefault="00410D07">
      <w:pPr>
        <w:spacing w:line="20" w:lineRule="exact"/>
        <w:rPr>
          <w:sz w:val="20"/>
          <w:szCs w:val="20"/>
        </w:rPr>
      </w:pPr>
      <w:r>
        <w:rPr>
          <w:noProof/>
          <w:sz w:val="20"/>
          <w:szCs w:val="20"/>
        </w:rPr>
        <w:drawing>
          <wp:anchor distT="0" distB="0" distL="114300" distR="114300" simplePos="0" relativeHeight="252020736" behindDoc="1" locked="0" layoutInCell="0" allowOverlap="1" wp14:anchorId="79189947" wp14:editId="3FBD29EF">
            <wp:simplePos x="0" y="0"/>
            <wp:positionH relativeFrom="column">
              <wp:posOffset>5037455</wp:posOffset>
            </wp:positionH>
            <wp:positionV relativeFrom="paragraph">
              <wp:posOffset>-256540</wp:posOffset>
            </wp:positionV>
            <wp:extent cx="188595" cy="8890"/>
            <wp:effectExtent l="0" t="0" r="0" b="0"/>
            <wp:wrapNone/>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21760" behindDoc="1" locked="0" layoutInCell="0" allowOverlap="1" wp14:anchorId="56FE9A74" wp14:editId="00782BD0">
            <wp:simplePos x="0" y="0"/>
            <wp:positionH relativeFrom="column">
              <wp:posOffset>4540250</wp:posOffset>
            </wp:positionH>
            <wp:positionV relativeFrom="paragraph">
              <wp:posOffset>-256540</wp:posOffset>
            </wp:positionV>
            <wp:extent cx="188595" cy="8890"/>
            <wp:effectExtent l="0" t="0" r="0" b="0"/>
            <wp:wrapNone/>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22784" behindDoc="1" locked="0" layoutInCell="0" allowOverlap="1" wp14:anchorId="1D356B9C" wp14:editId="256DF71F">
            <wp:simplePos x="0" y="0"/>
            <wp:positionH relativeFrom="column">
              <wp:posOffset>4137025</wp:posOffset>
            </wp:positionH>
            <wp:positionV relativeFrom="paragraph">
              <wp:posOffset>-256540</wp:posOffset>
            </wp:positionV>
            <wp:extent cx="93980" cy="8890"/>
            <wp:effectExtent l="0" t="0" r="0" b="0"/>
            <wp:wrapNone/>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65"/>
                    <a:srcRect/>
                    <a:stretch>
                      <a:fillRect/>
                    </a:stretch>
                  </pic:blipFill>
                  <pic:spPr bwMode="auto">
                    <a:xfrm>
                      <a:off x="0" y="0"/>
                      <a:ext cx="93980" cy="8890"/>
                    </a:xfrm>
                    <a:prstGeom prst="rect">
                      <a:avLst/>
                    </a:prstGeom>
                    <a:noFill/>
                  </pic:spPr>
                </pic:pic>
              </a:graphicData>
            </a:graphic>
          </wp:anchor>
        </w:drawing>
      </w:r>
      <w:r>
        <w:rPr>
          <w:noProof/>
          <w:sz w:val="20"/>
          <w:szCs w:val="20"/>
        </w:rPr>
        <w:drawing>
          <wp:anchor distT="0" distB="0" distL="114300" distR="114300" simplePos="0" relativeHeight="252023808" behindDoc="1" locked="0" layoutInCell="0" allowOverlap="1" wp14:anchorId="06AE2F21" wp14:editId="6352AC10">
            <wp:simplePos x="0" y="0"/>
            <wp:positionH relativeFrom="column">
              <wp:posOffset>5037455</wp:posOffset>
            </wp:positionH>
            <wp:positionV relativeFrom="paragraph">
              <wp:posOffset>-1130935</wp:posOffset>
            </wp:positionV>
            <wp:extent cx="188595" cy="8890"/>
            <wp:effectExtent l="0" t="0" r="0" b="0"/>
            <wp:wrapNone/>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24832" behindDoc="1" locked="0" layoutInCell="0" allowOverlap="1" wp14:anchorId="759FC44E" wp14:editId="0D3AC872">
            <wp:simplePos x="0" y="0"/>
            <wp:positionH relativeFrom="column">
              <wp:posOffset>4540250</wp:posOffset>
            </wp:positionH>
            <wp:positionV relativeFrom="paragraph">
              <wp:posOffset>-1130935</wp:posOffset>
            </wp:positionV>
            <wp:extent cx="188595" cy="8890"/>
            <wp:effectExtent l="0" t="0" r="0" b="0"/>
            <wp:wrapNone/>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25856" behindDoc="1" locked="0" layoutInCell="0" allowOverlap="1" wp14:anchorId="2328644E" wp14:editId="5F9CC23A">
            <wp:simplePos x="0" y="0"/>
            <wp:positionH relativeFrom="column">
              <wp:posOffset>4137025</wp:posOffset>
            </wp:positionH>
            <wp:positionV relativeFrom="paragraph">
              <wp:posOffset>-1130935</wp:posOffset>
            </wp:positionV>
            <wp:extent cx="93980" cy="8890"/>
            <wp:effectExtent l="0" t="0" r="0" b="0"/>
            <wp:wrapNone/>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65"/>
                    <a:srcRect/>
                    <a:stretch>
                      <a:fillRect/>
                    </a:stretch>
                  </pic:blipFill>
                  <pic:spPr bwMode="auto">
                    <a:xfrm>
                      <a:off x="0" y="0"/>
                      <a:ext cx="93980" cy="8890"/>
                    </a:xfrm>
                    <a:prstGeom prst="rect">
                      <a:avLst/>
                    </a:prstGeom>
                    <a:noFill/>
                  </pic:spPr>
                </pic:pic>
              </a:graphicData>
            </a:graphic>
          </wp:anchor>
        </w:drawing>
      </w:r>
      <w:r>
        <w:rPr>
          <w:noProof/>
          <w:sz w:val="20"/>
          <w:szCs w:val="20"/>
        </w:rPr>
        <w:drawing>
          <wp:anchor distT="0" distB="0" distL="114300" distR="114300" simplePos="0" relativeHeight="252026880" behindDoc="1" locked="0" layoutInCell="0" allowOverlap="1" wp14:anchorId="1BD40643" wp14:editId="3000EDFD">
            <wp:simplePos x="0" y="0"/>
            <wp:positionH relativeFrom="column">
              <wp:posOffset>5037455</wp:posOffset>
            </wp:positionH>
            <wp:positionV relativeFrom="paragraph">
              <wp:posOffset>-2416810</wp:posOffset>
            </wp:positionV>
            <wp:extent cx="188595" cy="8255"/>
            <wp:effectExtent l="0" t="0" r="0" b="0"/>
            <wp:wrapNone/>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64"/>
                    <a:srcRect/>
                    <a:stretch>
                      <a:fillRect/>
                    </a:stretch>
                  </pic:blipFill>
                  <pic:spPr bwMode="auto">
                    <a:xfrm>
                      <a:off x="0" y="0"/>
                      <a:ext cx="188595" cy="8255"/>
                    </a:xfrm>
                    <a:prstGeom prst="rect">
                      <a:avLst/>
                    </a:prstGeom>
                    <a:noFill/>
                  </pic:spPr>
                </pic:pic>
              </a:graphicData>
            </a:graphic>
          </wp:anchor>
        </w:drawing>
      </w:r>
      <w:r>
        <w:rPr>
          <w:noProof/>
          <w:sz w:val="20"/>
          <w:szCs w:val="20"/>
        </w:rPr>
        <w:drawing>
          <wp:anchor distT="0" distB="0" distL="114300" distR="114300" simplePos="0" relativeHeight="252027904" behindDoc="1" locked="0" layoutInCell="0" allowOverlap="1" wp14:anchorId="2EB6DED9" wp14:editId="388FFFCD">
            <wp:simplePos x="0" y="0"/>
            <wp:positionH relativeFrom="column">
              <wp:posOffset>4540250</wp:posOffset>
            </wp:positionH>
            <wp:positionV relativeFrom="paragraph">
              <wp:posOffset>-2416810</wp:posOffset>
            </wp:positionV>
            <wp:extent cx="188595" cy="8255"/>
            <wp:effectExtent l="0" t="0" r="0" b="0"/>
            <wp:wrapNone/>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64"/>
                    <a:srcRect/>
                    <a:stretch>
                      <a:fillRect/>
                    </a:stretch>
                  </pic:blipFill>
                  <pic:spPr bwMode="auto">
                    <a:xfrm>
                      <a:off x="0" y="0"/>
                      <a:ext cx="188595" cy="8255"/>
                    </a:xfrm>
                    <a:prstGeom prst="rect">
                      <a:avLst/>
                    </a:prstGeom>
                    <a:noFill/>
                  </pic:spPr>
                </pic:pic>
              </a:graphicData>
            </a:graphic>
          </wp:anchor>
        </w:drawing>
      </w:r>
      <w:r>
        <w:rPr>
          <w:noProof/>
          <w:sz w:val="20"/>
          <w:szCs w:val="20"/>
        </w:rPr>
        <w:drawing>
          <wp:anchor distT="0" distB="0" distL="114300" distR="114300" simplePos="0" relativeHeight="252028928" behindDoc="1" locked="0" layoutInCell="0" allowOverlap="1" wp14:anchorId="07553491" wp14:editId="6ACE5106">
            <wp:simplePos x="0" y="0"/>
            <wp:positionH relativeFrom="column">
              <wp:posOffset>4137025</wp:posOffset>
            </wp:positionH>
            <wp:positionV relativeFrom="paragraph">
              <wp:posOffset>-2416810</wp:posOffset>
            </wp:positionV>
            <wp:extent cx="93980" cy="8255"/>
            <wp:effectExtent l="0" t="0" r="0" b="0"/>
            <wp:wrapNone/>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65"/>
                    <a:srcRect/>
                    <a:stretch>
                      <a:fillRect/>
                    </a:stretch>
                  </pic:blipFill>
                  <pic:spPr bwMode="auto">
                    <a:xfrm>
                      <a:off x="0" y="0"/>
                      <a:ext cx="93980" cy="8255"/>
                    </a:xfrm>
                    <a:prstGeom prst="rect">
                      <a:avLst/>
                    </a:prstGeom>
                    <a:noFill/>
                  </pic:spPr>
                </pic:pic>
              </a:graphicData>
            </a:graphic>
          </wp:anchor>
        </w:drawing>
      </w:r>
      <w:r>
        <w:rPr>
          <w:noProof/>
          <w:sz w:val="20"/>
          <w:szCs w:val="20"/>
        </w:rPr>
        <w:drawing>
          <wp:anchor distT="0" distB="0" distL="114300" distR="114300" simplePos="0" relativeHeight="252029952" behindDoc="1" locked="0" layoutInCell="0" allowOverlap="1" wp14:anchorId="080755C9" wp14:editId="1C72A436">
            <wp:simplePos x="0" y="0"/>
            <wp:positionH relativeFrom="column">
              <wp:posOffset>5037455</wp:posOffset>
            </wp:positionH>
            <wp:positionV relativeFrom="paragraph">
              <wp:posOffset>-3291205</wp:posOffset>
            </wp:positionV>
            <wp:extent cx="188595" cy="8890"/>
            <wp:effectExtent l="0" t="0" r="0" b="0"/>
            <wp:wrapNone/>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30976" behindDoc="1" locked="0" layoutInCell="0" allowOverlap="1" wp14:anchorId="75127B30" wp14:editId="610CDCE4">
            <wp:simplePos x="0" y="0"/>
            <wp:positionH relativeFrom="column">
              <wp:posOffset>4540250</wp:posOffset>
            </wp:positionH>
            <wp:positionV relativeFrom="paragraph">
              <wp:posOffset>-3291205</wp:posOffset>
            </wp:positionV>
            <wp:extent cx="188595" cy="8890"/>
            <wp:effectExtent l="0" t="0" r="0" b="0"/>
            <wp:wrapNone/>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32000" behindDoc="1" locked="0" layoutInCell="0" allowOverlap="1" wp14:anchorId="45830BCB" wp14:editId="4F6832FA">
            <wp:simplePos x="0" y="0"/>
            <wp:positionH relativeFrom="column">
              <wp:posOffset>4137025</wp:posOffset>
            </wp:positionH>
            <wp:positionV relativeFrom="paragraph">
              <wp:posOffset>-3291205</wp:posOffset>
            </wp:positionV>
            <wp:extent cx="93980" cy="8890"/>
            <wp:effectExtent l="0" t="0" r="0" b="0"/>
            <wp:wrapNone/>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65"/>
                    <a:srcRect/>
                    <a:stretch>
                      <a:fillRect/>
                    </a:stretch>
                  </pic:blipFill>
                  <pic:spPr bwMode="auto">
                    <a:xfrm>
                      <a:off x="0" y="0"/>
                      <a:ext cx="93980" cy="8890"/>
                    </a:xfrm>
                    <a:prstGeom prst="rect">
                      <a:avLst/>
                    </a:prstGeom>
                    <a:noFill/>
                  </pic:spPr>
                </pic:pic>
              </a:graphicData>
            </a:graphic>
          </wp:anchor>
        </w:drawing>
      </w:r>
      <w:r>
        <w:rPr>
          <w:noProof/>
          <w:sz w:val="20"/>
          <w:szCs w:val="20"/>
        </w:rPr>
        <w:drawing>
          <wp:anchor distT="0" distB="0" distL="114300" distR="114300" simplePos="0" relativeHeight="252033024" behindDoc="1" locked="0" layoutInCell="0" allowOverlap="1" wp14:anchorId="6B787E8E" wp14:editId="089BF058">
            <wp:simplePos x="0" y="0"/>
            <wp:positionH relativeFrom="column">
              <wp:posOffset>5037455</wp:posOffset>
            </wp:positionH>
            <wp:positionV relativeFrom="paragraph">
              <wp:posOffset>-7285990</wp:posOffset>
            </wp:positionV>
            <wp:extent cx="188595" cy="8890"/>
            <wp:effectExtent l="0" t="0" r="0" b="0"/>
            <wp:wrapNone/>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34048" behindDoc="1" locked="0" layoutInCell="0" allowOverlap="1" wp14:anchorId="61602307" wp14:editId="402CB330">
            <wp:simplePos x="0" y="0"/>
            <wp:positionH relativeFrom="column">
              <wp:posOffset>4540250</wp:posOffset>
            </wp:positionH>
            <wp:positionV relativeFrom="paragraph">
              <wp:posOffset>-7285990</wp:posOffset>
            </wp:positionV>
            <wp:extent cx="188595" cy="8890"/>
            <wp:effectExtent l="0" t="0" r="0" b="0"/>
            <wp:wrapNone/>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64"/>
                    <a:srcRect/>
                    <a:stretch>
                      <a:fillRect/>
                    </a:stretch>
                  </pic:blipFill>
                  <pic:spPr bwMode="auto">
                    <a:xfrm>
                      <a:off x="0" y="0"/>
                      <a:ext cx="188595" cy="8890"/>
                    </a:xfrm>
                    <a:prstGeom prst="rect">
                      <a:avLst/>
                    </a:prstGeom>
                    <a:noFill/>
                  </pic:spPr>
                </pic:pic>
              </a:graphicData>
            </a:graphic>
          </wp:anchor>
        </w:drawing>
      </w:r>
      <w:r>
        <w:rPr>
          <w:noProof/>
          <w:sz w:val="20"/>
          <w:szCs w:val="20"/>
        </w:rPr>
        <w:drawing>
          <wp:anchor distT="0" distB="0" distL="114300" distR="114300" simplePos="0" relativeHeight="252035072" behindDoc="1" locked="0" layoutInCell="0" allowOverlap="1" wp14:anchorId="0DE304A5" wp14:editId="5935D700">
            <wp:simplePos x="0" y="0"/>
            <wp:positionH relativeFrom="column">
              <wp:posOffset>4137025</wp:posOffset>
            </wp:positionH>
            <wp:positionV relativeFrom="paragraph">
              <wp:posOffset>-7285990</wp:posOffset>
            </wp:positionV>
            <wp:extent cx="93980" cy="8890"/>
            <wp:effectExtent l="0" t="0" r="0" b="0"/>
            <wp:wrapNone/>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65"/>
                    <a:srcRect/>
                    <a:stretch>
                      <a:fillRect/>
                    </a:stretch>
                  </pic:blipFill>
                  <pic:spPr bwMode="auto">
                    <a:xfrm>
                      <a:off x="0" y="0"/>
                      <a:ext cx="93980" cy="8890"/>
                    </a:xfrm>
                    <a:prstGeom prst="rect">
                      <a:avLst/>
                    </a:prstGeom>
                    <a:noFill/>
                  </pic:spPr>
                </pic:pic>
              </a:graphicData>
            </a:graphic>
          </wp:anchor>
        </w:drawing>
      </w:r>
    </w:p>
    <w:p w14:paraId="400CB9DD" w14:textId="77777777" w:rsidR="00D1587D" w:rsidRDefault="00D1587D">
      <w:pPr>
        <w:spacing w:line="182" w:lineRule="exact"/>
        <w:rPr>
          <w:sz w:val="20"/>
          <w:szCs w:val="20"/>
        </w:rPr>
      </w:pPr>
    </w:p>
    <w:p w14:paraId="43432854" w14:textId="77777777" w:rsidR="00D1587D" w:rsidRDefault="00410D07">
      <w:pPr>
        <w:ind w:right="39"/>
        <w:jc w:val="center"/>
        <w:rPr>
          <w:sz w:val="20"/>
          <w:szCs w:val="20"/>
        </w:rPr>
      </w:pPr>
      <w:r>
        <w:rPr>
          <w:rFonts w:ascii="Arial" w:eastAsia="Arial" w:hAnsi="Arial" w:cs="Arial"/>
          <w:i/>
          <w:iCs/>
          <w:sz w:val="18"/>
          <w:szCs w:val="18"/>
        </w:rPr>
        <w:t>The accompanying notes are an integral part of these financial statements.</w:t>
      </w:r>
    </w:p>
    <w:p w14:paraId="026EFE94" w14:textId="77777777" w:rsidR="00D1587D" w:rsidRDefault="00D1587D">
      <w:pPr>
        <w:spacing w:line="225" w:lineRule="exact"/>
        <w:rPr>
          <w:sz w:val="20"/>
          <w:szCs w:val="20"/>
        </w:rPr>
      </w:pPr>
    </w:p>
    <w:p w14:paraId="772921FE" w14:textId="77777777" w:rsidR="00D1587D" w:rsidRDefault="00410D07">
      <w:pPr>
        <w:jc w:val="center"/>
        <w:rPr>
          <w:sz w:val="20"/>
          <w:szCs w:val="20"/>
        </w:rPr>
      </w:pPr>
      <w:r>
        <w:rPr>
          <w:rFonts w:ascii="Arial" w:eastAsia="Arial" w:hAnsi="Arial" w:cs="Arial"/>
          <w:sz w:val="18"/>
          <w:szCs w:val="18"/>
        </w:rPr>
        <w:t>F-5</w:t>
      </w:r>
    </w:p>
    <w:p w14:paraId="000A1041" w14:textId="77777777" w:rsidR="00D1587D" w:rsidRDefault="00410D07">
      <w:pPr>
        <w:spacing w:line="20" w:lineRule="exact"/>
        <w:rPr>
          <w:sz w:val="20"/>
          <w:szCs w:val="20"/>
        </w:rPr>
      </w:pPr>
      <w:r>
        <w:rPr>
          <w:noProof/>
          <w:sz w:val="20"/>
          <w:szCs w:val="20"/>
        </w:rPr>
        <w:drawing>
          <wp:anchor distT="0" distB="0" distL="114300" distR="114300" simplePos="0" relativeHeight="252036096" behindDoc="1" locked="0" layoutInCell="0" allowOverlap="1" wp14:anchorId="01860986" wp14:editId="0E280A16">
            <wp:simplePos x="0" y="0"/>
            <wp:positionH relativeFrom="column">
              <wp:posOffset>-636905</wp:posOffset>
            </wp:positionH>
            <wp:positionV relativeFrom="paragraph">
              <wp:posOffset>126365</wp:posOffset>
            </wp:positionV>
            <wp:extent cx="6995160" cy="17145"/>
            <wp:effectExtent l="0" t="0" r="0" b="0"/>
            <wp:wrapNone/>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D1E454A" w14:textId="77777777" w:rsidR="00D1587D" w:rsidRDefault="00D1587D">
      <w:pPr>
        <w:sectPr w:rsidR="00D1587D">
          <w:pgSz w:w="11900" w:h="16838"/>
          <w:pgMar w:top="265" w:right="1440" w:bottom="1440" w:left="1440" w:header="0" w:footer="0" w:gutter="0"/>
          <w:cols w:space="720" w:equalWidth="0">
            <w:col w:w="9019"/>
          </w:cols>
        </w:sectPr>
      </w:pPr>
    </w:p>
    <w:bookmarkStart w:id="401" w:name="page402"/>
    <w:bookmarkEnd w:id="401"/>
    <w:p w14:paraId="2D54D9CA"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B33DA73" w14:textId="77777777" w:rsidR="00D1587D" w:rsidRDefault="00D1587D">
      <w:pPr>
        <w:spacing w:line="127" w:lineRule="exact"/>
        <w:rPr>
          <w:sz w:val="20"/>
          <w:szCs w:val="20"/>
        </w:rPr>
      </w:pPr>
    </w:p>
    <w:p w14:paraId="7F502CDD"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41D6183D" w14:textId="77777777" w:rsidR="00D1587D" w:rsidRDefault="00D1587D">
      <w:pPr>
        <w:spacing w:line="27" w:lineRule="exact"/>
        <w:rPr>
          <w:sz w:val="20"/>
          <w:szCs w:val="20"/>
        </w:rPr>
      </w:pPr>
    </w:p>
    <w:p w14:paraId="4D6CC309" w14:textId="77777777" w:rsidR="00D1587D" w:rsidRDefault="00410D07">
      <w:pPr>
        <w:jc w:val="center"/>
        <w:rPr>
          <w:sz w:val="20"/>
          <w:szCs w:val="20"/>
        </w:rPr>
      </w:pPr>
      <w:r>
        <w:rPr>
          <w:rFonts w:ascii="Arial" w:eastAsia="Arial" w:hAnsi="Arial" w:cs="Arial"/>
          <w:b/>
          <w:bCs/>
          <w:sz w:val="18"/>
          <w:szCs w:val="18"/>
        </w:rPr>
        <w:t xml:space="preserve">COMBINED </w:t>
      </w:r>
      <w:r>
        <w:rPr>
          <w:rFonts w:ascii="Arial" w:eastAsia="Arial" w:hAnsi="Arial" w:cs="Arial"/>
          <w:b/>
          <w:bCs/>
          <w:sz w:val="18"/>
          <w:szCs w:val="18"/>
        </w:rPr>
        <w:t>STATEMENTS OF EQUITY</w:t>
      </w:r>
    </w:p>
    <w:p w14:paraId="6083192B" w14:textId="77777777" w:rsidR="00D1587D" w:rsidRDefault="00D1587D">
      <w:pPr>
        <w:spacing w:line="207" w:lineRule="exact"/>
        <w:rPr>
          <w:sz w:val="20"/>
          <w:szCs w:val="20"/>
        </w:rPr>
      </w:pPr>
    </w:p>
    <w:p w14:paraId="20696BDA" w14:textId="77777777" w:rsidR="00D1587D" w:rsidRDefault="00410D07">
      <w:pPr>
        <w:jc w:val="center"/>
        <w:rPr>
          <w:sz w:val="20"/>
          <w:szCs w:val="20"/>
        </w:rPr>
      </w:pPr>
      <w:r>
        <w:rPr>
          <w:rFonts w:ascii="Arial" w:eastAsia="Arial" w:hAnsi="Arial" w:cs="Arial"/>
          <w:b/>
          <w:bCs/>
          <w:sz w:val="18"/>
          <w:szCs w:val="18"/>
        </w:rPr>
        <w:t>(in millions)</w:t>
      </w:r>
    </w:p>
    <w:p w14:paraId="075B4CE3" w14:textId="77777777" w:rsidR="00D1587D" w:rsidRDefault="00D1587D">
      <w:pPr>
        <w:spacing w:line="181"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380"/>
        <w:gridCol w:w="60"/>
        <w:gridCol w:w="1100"/>
        <w:gridCol w:w="140"/>
        <w:gridCol w:w="420"/>
        <w:gridCol w:w="540"/>
        <w:gridCol w:w="120"/>
        <w:gridCol w:w="940"/>
        <w:gridCol w:w="140"/>
        <w:gridCol w:w="100"/>
        <w:gridCol w:w="480"/>
        <w:gridCol w:w="20"/>
      </w:tblGrid>
      <w:tr w:rsidR="00D1587D" w14:paraId="2EADFC9E" w14:textId="77777777">
        <w:trPr>
          <w:trHeight w:val="161"/>
        </w:trPr>
        <w:tc>
          <w:tcPr>
            <w:tcW w:w="4380" w:type="dxa"/>
            <w:vAlign w:val="bottom"/>
          </w:tcPr>
          <w:p w14:paraId="54A146E7" w14:textId="77777777" w:rsidR="00D1587D" w:rsidRDefault="00D1587D">
            <w:pPr>
              <w:rPr>
                <w:sz w:val="14"/>
                <w:szCs w:val="14"/>
              </w:rPr>
            </w:pPr>
          </w:p>
        </w:tc>
        <w:tc>
          <w:tcPr>
            <w:tcW w:w="60" w:type="dxa"/>
            <w:vAlign w:val="bottom"/>
          </w:tcPr>
          <w:p w14:paraId="4A29ECBA" w14:textId="77777777" w:rsidR="00D1587D" w:rsidRDefault="00D1587D">
            <w:pPr>
              <w:rPr>
                <w:sz w:val="14"/>
                <w:szCs w:val="14"/>
              </w:rPr>
            </w:pPr>
          </w:p>
        </w:tc>
        <w:tc>
          <w:tcPr>
            <w:tcW w:w="1100" w:type="dxa"/>
            <w:vAlign w:val="bottom"/>
          </w:tcPr>
          <w:p w14:paraId="456B691F" w14:textId="77777777" w:rsidR="00D1587D" w:rsidRDefault="00D1587D">
            <w:pPr>
              <w:rPr>
                <w:sz w:val="14"/>
                <w:szCs w:val="14"/>
              </w:rPr>
            </w:pPr>
          </w:p>
        </w:tc>
        <w:tc>
          <w:tcPr>
            <w:tcW w:w="140" w:type="dxa"/>
            <w:vAlign w:val="bottom"/>
          </w:tcPr>
          <w:p w14:paraId="44ACA407" w14:textId="77777777" w:rsidR="00D1587D" w:rsidRDefault="00D1587D">
            <w:pPr>
              <w:rPr>
                <w:sz w:val="14"/>
                <w:szCs w:val="14"/>
              </w:rPr>
            </w:pPr>
          </w:p>
        </w:tc>
        <w:tc>
          <w:tcPr>
            <w:tcW w:w="1080" w:type="dxa"/>
            <w:gridSpan w:val="3"/>
            <w:vAlign w:val="bottom"/>
          </w:tcPr>
          <w:p w14:paraId="2E1D6B3F" w14:textId="77777777" w:rsidR="00D1587D" w:rsidRDefault="00410D07">
            <w:pPr>
              <w:ind w:right="180"/>
              <w:jc w:val="center"/>
              <w:rPr>
                <w:sz w:val="20"/>
                <w:szCs w:val="20"/>
              </w:rPr>
            </w:pPr>
            <w:r>
              <w:rPr>
                <w:rFonts w:ascii="Arial" w:eastAsia="Arial" w:hAnsi="Arial" w:cs="Arial"/>
                <w:b/>
                <w:bCs/>
                <w:w w:val="93"/>
                <w:sz w:val="14"/>
                <w:szCs w:val="14"/>
              </w:rPr>
              <w:t>Accumulated</w:t>
            </w:r>
          </w:p>
        </w:tc>
        <w:tc>
          <w:tcPr>
            <w:tcW w:w="940" w:type="dxa"/>
            <w:vAlign w:val="bottom"/>
          </w:tcPr>
          <w:p w14:paraId="39A82D66" w14:textId="77777777" w:rsidR="00D1587D" w:rsidRDefault="00D1587D">
            <w:pPr>
              <w:rPr>
                <w:sz w:val="14"/>
                <w:szCs w:val="14"/>
              </w:rPr>
            </w:pPr>
          </w:p>
        </w:tc>
        <w:tc>
          <w:tcPr>
            <w:tcW w:w="140" w:type="dxa"/>
            <w:vAlign w:val="bottom"/>
          </w:tcPr>
          <w:p w14:paraId="03E26FE9" w14:textId="77777777" w:rsidR="00D1587D" w:rsidRDefault="00D1587D">
            <w:pPr>
              <w:rPr>
                <w:sz w:val="14"/>
                <w:szCs w:val="14"/>
              </w:rPr>
            </w:pPr>
          </w:p>
        </w:tc>
        <w:tc>
          <w:tcPr>
            <w:tcW w:w="100" w:type="dxa"/>
            <w:vAlign w:val="bottom"/>
          </w:tcPr>
          <w:p w14:paraId="20EBE68F" w14:textId="77777777" w:rsidR="00D1587D" w:rsidRDefault="00D1587D">
            <w:pPr>
              <w:rPr>
                <w:sz w:val="14"/>
                <w:szCs w:val="14"/>
              </w:rPr>
            </w:pPr>
          </w:p>
        </w:tc>
        <w:tc>
          <w:tcPr>
            <w:tcW w:w="480" w:type="dxa"/>
            <w:vAlign w:val="bottom"/>
          </w:tcPr>
          <w:p w14:paraId="14F8B62C" w14:textId="77777777" w:rsidR="00D1587D" w:rsidRDefault="00D1587D">
            <w:pPr>
              <w:rPr>
                <w:sz w:val="14"/>
                <w:szCs w:val="14"/>
              </w:rPr>
            </w:pPr>
          </w:p>
        </w:tc>
        <w:tc>
          <w:tcPr>
            <w:tcW w:w="0" w:type="dxa"/>
            <w:vAlign w:val="bottom"/>
          </w:tcPr>
          <w:p w14:paraId="24716EA2" w14:textId="77777777" w:rsidR="00D1587D" w:rsidRDefault="00D1587D">
            <w:pPr>
              <w:rPr>
                <w:sz w:val="1"/>
                <w:szCs w:val="1"/>
              </w:rPr>
            </w:pPr>
          </w:p>
        </w:tc>
      </w:tr>
      <w:tr w:rsidR="00D1587D" w14:paraId="7F298BA8" w14:textId="77777777">
        <w:trPr>
          <w:trHeight w:val="149"/>
        </w:trPr>
        <w:tc>
          <w:tcPr>
            <w:tcW w:w="4380" w:type="dxa"/>
            <w:vAlign w:val="bottom"/>
          </w:tcPr>
          <w:p w14:paraId="63C102FA" w14:textId="77777777" w:rsidR="00D1587D" w:rsidRDefault="00D1587D">
            <w:pPr>
              <w:rPr>
                <w:sz w:val="12"/>
                <w:szCs w:val="12"/>
              </w:rPr>
            </w:pPr>
          </w:p>
        </w:tc>
        <w:tc>
          <w:tcPr>
            <w:tcW w:w="60" w:type="dxa"/>
            <w:vAlign w:val="bottom"/>
          </w:tcPr>
          <w:p w14:paraId="7E9C18E4" w14:textId="77777777" w:rsidR="00D1587D" w:rsidRDefault="00D1587D">
            <w:pPr>
              <w:rPr>
                <w:sz w:val="12"/>
                <w:szCs w:val="12"/>
              </w:rPr>
            </w:pPr>
          </w:p>
        </w:tc>
        <w:tc>
          <w:tcPr>
            <w:tcW w:w="1240" w:type="dxa"/>
            <w:gridSpan w:val="2"/>
            <w:vMerge w:val="restart"/>
            <w:vAlign w:val="bottom"/>
          </w:tcPr>
          <w:p w14:paraId="4573EE7F" w14:textId="77777777" w:rsidR="00D1587D" w:rsidRDefault="00410D07">
            <w:pPr>
              <w:ind w:right="180"/>
              <w:jc w:val="center"/>
              <w:rPr>
                <w:sz w:val="20"/>
                <w:szCs w:val="20"/>
              </w:rPr>
            </w:pPr>
            <w:r>
              <w:rPr>
                <w:rFonts w:ascii="Arial" w:eastAsia="Arial" w:hAnsi="Arial" w:cs="Arial"/>
                <w:b/>
                <w:bCs/>
                <w:w w:val="93"/>
                <w:sz w:val="14"/>
                <w:szCs w:val="14"/>
              </w:rPr>
              <w:t>Net Investment</w:t>
            </w:r>
          </w:p>
        </w:tc>
        <w:tc>
          <w:tcPr>
            <w:tcW w:w="1080" w:type="dxa"/>
            <w:gridSpan w:val="3"/>
            <w:vAlign w:val="bottom"/>
          </w:tcPr>
          <w:p w14:paraId="0B9147CB" w14:textId="77777777" w:rsidR="00D1587D" w:rsidRDefault="00410D07">
            <w:pPr>
              <w:spacing w:line="149" w:lineRule="exact"/>
              <w:ind w:right="160"/>
              <w:jc w:val="center"/>
              <w:rPr>
                <w:sz w:val="20"/>
                <w:szCs w:val="20"/>
              </w:rPr>
            </w:pPr>
            <w:r>
              <w:rPr>
                <w:rFonts w:ascii="Arial" w:eastAsia="Arial" w:hAnsi="Arial" w:cs="Arial"/>
                <w:b/>
                <w:bCs/>
                <w:w w:val="96"/>
                <w:sz w:val="14"/>
                <w:szCs w:val="14"/>
              </w:rPr>
              <w:t>Other</w:t>
            </w:r>
          </w:p>
        </w:tc>
        <w:tc>
          <w:tcPr>
            <w:tcW w:w="1080" w:type="dxa"/>
            <w:gridSpan w:val="2"/>
            <w:vMerge w:val="restart"/>
            <w:vAlign w:val="bottom"/>
          </w:tcPr>
          <w:p w14:paraId="5F7BFF6D" w14:textId="77777777" w:rsidR="00D1587D" w:rsidRDefault="00410D07">
            <w:pPr>
              <w:ind w:right="120"/>
              <w:jc w:val="center"/>
              <w:rPr>
                <w:sz w:val="20"/>
                <w:szCs w:val="20"/>
              </w:rPr>
            </w:pPr>
            <w:r>
              <w:rPr>
                <w:rFonts w:ascii="Arial" w:eastAsia="Arial" w:hAnsi="Arial" w:cs="Arial"/>
                <w:b/>
                <w:bCs/>
                <w:w w:val="92"/>
                <w:sz w:val="14"/>
                <w:szCs w:val="14"/>
              </w:rPr>
              <w:t>Noncontrolling</w:t>
            </w:r>
          </w:p>
        </w:tc>
        <w:tc>
          <w:tcPr>
            <w:tcW w:w="100" w:type="dxa"/>
            <w:vAlign w:val="bottom"/>
          </w:tcPr>
          <w:p w14:paraId="3302D9C8" w14:textId="77777777" w:rsidR="00D1587D" w:rsidRDefault="00D1587D">
            <w:pPr>
              <w:rPr>
                <w:sz w:val="12"/>
                <w:szCs w:val="12"/>
              </w:rPr>
            </w:pPr>
          </w:p>
        </w:tc>
        <w:tc>
          <w:tcPr>
            <w:tcW w:w="480" w:type="dxa"/>
            <w:vMerge w:val="restart"/>
            <w:vAlign w:val="bottom"/>
          </w:tcPr>
          <w:p w14:paraId="0F6997B0" w14:textId="77777777" w:rsidR="00D1587D" w:rsidRDefault="00410D07">
            <w:pPr>
              <w:ind w:right="71"/>
              <w:jc w:val="right"/>
              <w:rPr>
                <w:sz w:val="20"/>
                <w:szCs w:val="20"/>
              </w:rPr>
            </w:pPr>
            <w:r>
              <w:rPr>
                <w:rFonts w:ascii="Arial" w:eastAsia="Arial" w:hAnsi="Arial" w:cs="Arial"/>
                <w:b/>
                <w:bCs/>
                <w:w w:val="89"/>
                <w:sz w:val="14"/>
                <w:szCs w:val="14"/>
              </w:rPr>
              <w:t>Total</w:t>
            </w:r>
          </w:p>
        </w:tc>
        <w:tc>
          <w:tcPr>
            <w:tcW w:w="0" w:type="dxa"/>
            <w:vAlign w:val="bottom"/>
          </w:tcPr>
          <w:p w14:paraId="60ED0018" w14:textId="77777777" w:rsidR="00D1587D" w:rsidRDefault="00D1587D">
            <w:pPr>
              <w:rPr>
                <w:sz w:val="1"/>
                <w:szCs w:val="1"/>
              </w:rPr>
            </w:pPr>
          </w:p>
        </w:tc>
      </w:tr>
      <w:tr w:rsidR="00D1587D" w14:paraId="428A2CD7" w14:textId="77777777">
        <w:trPr>
          <w:trHeight w:val="148"/>
        </w:trPr>
        <w:tc>
          <w:tcPr>
            <w:tcW w:w="4380" w:type="dxa"/>
            <w:vAlign w:val="bottom"/>
          </w:tcPr>
          <w:p w14:paraId="77DF9E4B" w14:textId="77777777" w:rsidR="00D1587D" w:rsidRDefault="00D1587D">
            <w:pPr>
              <w:rPr>
                <w:sz w:val="12"/>
                <w:szCs w:val="12"/>
              </w:rPr>
            </w:pPr>
          </w:p>
        </w:tc>
        <w:tc>
          <w:tcPr>
            <w:tcW w:w="60" w:type="dxa"/>
            <w:vAlign w:val="bottom"/>
          </w:tcPr>
          <w:p w14:paraId="58C8A399" w14:textId="77777777" w:rsidR="00D1587D" w:rsidRDefault="00D1587D">
            <w:pPr>
              <w:rPr>
                <w:sz w:val="12"/>
                <w:szCs w:val="12"/>
              </w:rPr>
            </w:pPr>
          </w:p>
        </w:tc>
        <w:tc>
          <w:tcPr>
            <w:tcW w:w="1240" w:type="dxa"/>
            <w:gridSpan w:val="2"/>
            <w:vMerge/>
            <w:vAlign w:val="bottom"/>
          </w:tcPr>
          <w:p w14:paraId="24390444" w14:textId="77777777" w:rsidR="00D1587D" w:rsidRDefault="00D1587D">
            <w:pPr>
              <w:rPr>
                <w:sz w:val="12"/>
                <w:szCs w:val="12"/>
              </w:rPr>
            </w:pPr>
          </w:p>
        </w:tc>
        <w:tc>
          <w:tcPr>
            <w:tcW w:w="1080" w:type="dxa"/>
            <w:gridSpan w:val="3"/>
            <w:vAlign w:val="bottom"/>
          </w:tcPr>
          <w:p w14:paraId="3A657CD2" w14:textId="77777777" w:rsidR="00D1587D" w:rsidRDefault="00410D07">
            <w:pPr>
              <w:spacing w:line="149" w:lineRule="exact"/>
              <w:ind w:right="120"/>
              <w:jc w:val="center"/>
              <w:rPr>
                <w:sz w:val="20"/>
                <w:szCs w:val="20"/>
              </w:rPr>
            </w:pPr>
            <w:r>
              <w:rPr>
                <w:rFonts w:ascii="Arial" w:eastAsia="Arial" w:hAnsi="Arial" w:cs="Arial"/>
                <w:b/>
                <w:bCs/>
                <w:w w:val="91"/>
                <w:sz w:val="14"/>
                <w:szCs w:val="14"/>
              </w:rPr>
              <w:t>Comprehensive</w:t>
            </w:r>
          </w:p>
        </w:tc>
        <w:tc>
          <w:tcPr>
            <w:tcW w:w="1080" w:type="dxa"/>
            <w:gridSpan w:val="2"/>
            <w:vMerge/>
            <w:vAlign w:val="bottom"/>
          </w:tcPr>
          <w:p w14:paraId="62724F24" w14:textId="77777777" w:rsidR="00D1587D" w:rsidRDefault="00D1587D">
            <w:pPr>
              <w:rPr>
                <w:sz w:val="12"/>
                <w:szCs w:val="12"/>
              </w:rPr>
            </w:pPr>
          </w:p>
        </w:tc>
        <w:tc>
          <w:tcPr>
            <w:tcW w:w="100" w:type="dxa"/>
            <w:vAlign w:val="bottom"/>
          </w:tcPr>
          <w:p w14:paraId="56530386" w14:textId="77777777" w:rsidR="00D1587D" w:rsidRDefault="00D1587D">
            <w:pPr>
              <w:rPr>
                <w:sz w:val="12"/>
                <w:szCs w:val="12"/>
              </w:rPr>
            </w:pPr>
          </w:p>
        </w:tc>
        <w:tc>
          <w:tcPr>
            <w:tcW w:w="480" w:type="dxa"/>
            <w:vMerge/>
            <w:vAlign w:val="bottom"/>
          </w:tcPr>
          <w:p w14:paraId="49BB17A7" w14:textId="77777777" w:rsidR="00D1587D" w:rsidRDefault="00D1587D">
            <w:pPr>
              <w:rPr>
                <w:sz w:val="12"/>
                <w:szCs w:val="12"/>
              </w:rPr>
            </w:pPr>
          </w:p>
        </w:tc>
        <w:tc>
          <w:tcPr>
            <w:tcW w:w="0" w:type="dxa"/>
            <w:vAlign w:val="bottom"/>
          </w:tcPr>
          <w:p w14:paraId="298731B1" w14:textId="77777777" w:rsidR="00D1587D" w:rsidRDefault="00D1587D">
            <w:pPr>
              <w:rPr>
                <w:sz w:val="1"/>
                <w:szCs w:val="1"/>
              </w:rPr>
            </w:pPr>
          </w:p>
        </w:tc>
      </w:tr>
      <w:tr w:rsidR="00D1587D" w14:paraId="0C644114" w14:textId="77777777">
        <w:trPr>
          <w:trHeight w:val="186"/>
        </w:trPr>
        <w:tc>
          <w:tcPr>
            <w:tcW w:w="4380" w:type="dxa"/>
            <w:vAlign w:val="bottom"/>
          </w:tcPr>
          <w:p w14:paraId="49E71044" w14:textId="77777777" w:rsidR="00D1587D" w:rsidRDefault="00D1587D">
            <w:pPr>
              <w:rPr>
                <w:sz w:val="16"/>
                <w:szCs w:val="16"/>
              </w:rPr>
            </w:pPr>
          </w:p>
        </w:tc>
        <w:tc>
          <w:tcPr>
            <w:tcW w:w="60" w:type="dxa"/>
            <w:vAlign w:val="bottom"/>
          </w:tcPr>
          <w:p w14:paraId="4067EA94" w14:textId="77777777" w:rsidR="00D1587D" w:rsidRDefault="00D1587D">
            <w:pPr>
              <w:rPr>
                <w:sz w:val="16"/>
                <w:szCs w:val="16"/>
              </w:rPr>
            </w:pPr>
          </w:p>
        </w:tc>
        <w:tc>
          <w:tcPr>
            <w:tcW w:w="1240" w:type="dxa"/>
            <w:gridSpan w:val="2"/>
            <w:vAlign w:val="bottom"/>
          </w:tcPr>
          <w:p w14:paraId="6D9EFC7D" w14:textId="77777777" w:rsidR="00D1587D" w:rsidRDefault="00410D07">
            <w:pPr>
              <w:ind w:right="120"/>
              <w:jc w:val="center"/>
              <w:rPr>
                <w:sz w:val="20"/>
                <w:szCs w:val="20"/>
              </w:rPr>
            </w:pPr>
            <w:r>
              <w:rPr>
                <w:rFonts w:ascii="Arial" w:eastAsia="Arial" w:hAnsi="Arial" w:cs="Arial"/>
                <w:b/>
                <w:bCs/>
                <w:w w:val="95"/>
                <w:sz w:val="14"/>
                <w:szCs w:val="14"/>
              </w:rPr>
              <w:t>by L Brands, Inc.</w:t>
            </w:r>
          </w:p>
        </w:tc>
        <w:tc>
          <w:tcPr>
            <w:tcW w:w="1080" w:type="dxa"/>
            <w:gridSpan w:val="3"/>
            <w:vAlign w:val="bottom"/>
          </w:tcPr>
          <w:p w14:paraId="0749479E" w14:textId="77777777" w:rsidR="00D1587D" w:rsidRDefault="00410D07">
            <w:pPr>
              <w:ind w:right="140"/>
              <w:jc w:val="center"/>
              <w:rPr>
                <w:sz w:val="20"/>
                <w:szCs w:val="20"/>
              </w:rPr>
            </w:pPr>
            <w:r>
              <w:rPr>
                <w:rFonts w:ascii="Arial" w:eastAsia="Arial" w:hAnsi="Arial" w:cs="Arial"/>
                <w:b/>
                <w:bCs/>
                <w:w w:val="90"/>
                <w:sz w:val="14"/>
                <w:szCs w:val="14"/>
              </w:rPr>
              <w:t>Income (Loss)</w:t>
            </w:r>
          </w:p>
        </w:tc>
        <w:tc>
          <w:tcPr>
            <w:tcW w:w="1080" w:type="dxa"/>
            <w:gridSpan w:val="2"/>
            <w:vAlign w:val="bottom"/>
          </w:tcPr>
          <w:p w14:paraId="214D23C9" w14:textId="77777777" w:rsidR="00D1587D" w:rsidRDefault="00410D07">
            <w:pPr>
              <w:ind w:right="120"/>
              <w:jc w:val="center"/>
              <w:rPr>
                <w:sz w:val="20"/>
                <w:szCs w:val="20"/>
              </w:rPr>
            </w:pPr>
            <w:r>
              <w:rPr>
                <w:rFonts w:ascii="Arial" w:eastAsia="Arial" w:hAnsi="Arial" w:cs="Arial"/>
                <w:b/>
                <w:bCs/>
                <w:w w:val="94"/>
                <w:sz w:val="14"/>
                <w:szCs w:val="14"/>
              </w:rPr>
              <w:t>Interest</w:t>
            </w:r>
          </w:p>
        </w:tc>
        <w:tc>
          <w:tcPr>
            <w:tcW w:w="580" w:type="dxa"/>
            <w:gridSpan w:val="2"/>
            <w:vAlign w:val="bottom"/>
          </w:tcPr>
          <w:p w14:paraId="27629004" w14:textId="77777777" w:rsidR="00D1587D" w:rsidRDefault="00410D07">
            <w:pPr>
              <w:jc w:val="right"/>
              <w:rPr>
                <w:sz w:val="20"/>
                <w:szCs w:val="20"/>
              </w:rPr>
            </w:pPr>
            <w:r>
              <w:rPr>
                <w:rFonts w:ascii="Arial" w:eastAsia="Arial" w:hAnsi="Arial" w:cs="Arial"/>
                <w:b/>
                <w:bCs/>
                <w:sz w:val="14"/>
                <w:szCs w:val="14"/>
              </w:rPr>
              <w:t>Equity</w:t>
            </w:r>
          </w:p>
        </w:tc>
        <w:tc>
          <w:tcPr>
            <w:tcW w:w="0" w:type="dxa"/>
            <w:vAlign w:val="bottom"/>
          </w:tcPr>
          <w:p w14:paraId="0B3BB390" w14:textId="77777777" w:rsidR="00D1587D" w:rsidRDefault="00D1587D">
            <w:pPr>
              <w:rPr>
                <w:sz w:val="1"/>
                <w:szCs w:val="1"/>
              </w:rPr>
            </w:pPr>
          </w:p>
        </w:tc>
      </w:tr>
      <w:tr w:rsidR="00D1587D" w14:paraId="0D1CAE22" w14:textId="77777777">
        <w:trPr>
          <w:trHeight w:val="53"/>
        </w:trPr>
        <w:tc>
          <w:tcPr>
            <w:tcW w:w="4380" w:type="dxa"/>
            <w:tcBorders>
              <w:bottom w:val="single" w:sz="8" w:space="0" w:color="CCEEFF"/>
            </w:tcBorders>
            <w:vAlign w:val="bottom"/>
          </w:tcPr>
          <w:p w14:paraId="7D2164B8" w14:textId="77777777" w:rsidR="00D1587D" w:rsidRDefault="00D1587D">
            <w:pPr>
              <w:rPr>
                <w:sz w:val="4"/>
                <w:szCs w:val="4"/>
              </w:rPr>
            </w:pPr>
          </w:p>
        </w:tc>
        <w:tc>
          <w:tcPr>
            <w:tcW w:w="60" w:type="dxa"/>
            <w:tcBorders>
              <w:bottom w:val="single" w:sz="8" w:space="0" w:color="CCEEFF"/>
            </w:tcBorders>
            <w:vAlign w:val="bottom"/>
          </w:tcPr>
          <w:p w14:paraId="0521D97D" w14:textId="77777777" w:rsidR="00D1587D" w:rsidRDefault="00D1587D">
            <w:pPr>
              <w:rPr>
                <w:sz w:val="4"/>
                <w:szCs w:val="4"/>
              </w:rPr>
            </w:pPr>
          </w:p>
        </w:tc>
        <w:tc>
          <w:tcPr>
            <w:tcW w:w="1100" w:type="dxa"/>
            <w:tcBorders>
              <w:bottom w:val="single" w:sz="8" w:space="0" w:color="auto"/>
            </w:tcBorders>
            <w:vAlign w:val="bottom"/>
          </w:tcPr>
          <w:p w14:paraId="7EA14096" w14:textId="77777777" w:rsidR="00D1587D" w:rsidRDefault="00D1587D">
            <w:pPr>
              <w:rPr>
                <w:sz w:val="4"/>
                <w:szCs w:val="4"/>
              </w:rPr>
            </w:pPr>
          </w:p>
        </w:tc>
        <w:tc>
          <w:tcPr>
            <w:tcW w:w="140" w:type="dxa"/>
            <w:tcBorders>
              <w:bottom w:val="single" w:sz="8" w:space="0" w:color="CCEEFF"/>
            </w:tcBorders>
            <w:vAlign w:val="bottom"/>
          </w:tcPr>
          <w:p w14:paraId="0B37B2D5" w14:textId="77777777" w:rsidR="00D1587D" w:rsidRDefault="00D1587D">
            <w:pPr>
              <w:rPr>
                <w:sz w:val="4"/>
                <w:szCs w:val="4"/>
              </w:rPr>
            </w:pPr>
          </w:p>
        </w:tc>
        <w:tc>
          <w:tcPr>
            <w:tcW w:w="960" w:type="dxa"/>
            <w:gridSpan w:val="2"/>
            <w:tcBorders>
              <w:bottom w:val="single" w:sz="8" w:space="0" w:color="auto"/>
            </w:tcBorders>
            <w:vAlign w:val="bottom"/>
          </w:tcPr>
          <w:p w14:paraId="72D43E10" w14:textId="77777777" w:rsidR="00D1587D" w:rsidRDefault="00D1587D">
            <w:pPr>
              <w:rPr>
                <w:sz w:val="4"/>
                <w:szCs w:val="4"/>
              </w:rPr>
            </w:pPr>
          </w:p>
        </w:tc>
        <w:tc>
          <w:tcPr>
            <w:tcW w:w="120" w:type="dxa"/>
            <w:tcBorders>
              <w:bottom w:val="single" w:sz="8" w:space="0" w:color="CCEEFF"/>
            </w:tcBorders>
            <w:vAlign w:val="bottom"/>
          </w:tcPr>
          <w:p w14:paraId="535DDDDA" w14:textId="77777777" w:rsidR="00D1587D" w:rsidRDefault="00D1587D">
            <w:pPr>
              <w:rPr>
                <w:sz w:val="4"/>
                <w:szCs w:val="4"/>
              </w:rPr>
            </w:pPr>
          </w:p>
        </w:tc>
        <w:tc>
          <w:tcPr>
            <w:tcW w:w="940" w:type="dxa"/>
            <w:tcBorders>
              <w:bottom w:val="single" w:sz="8" w:space="0" w:color="auto"/>
            </w:tcBorders>
            <w:vAlign w:val="bottom"/>
          </w:tcPr>
          <w:p w14:paraId="5314DFB7" w14:textId="77777777" w:rsidR="00D1587D" w:rsidRDefault="00D1587D">
            <w:pPr>
              <w:rPr>
                <w:sz w:val="4"/>
                <w:szCs w:val="4"/>
              </w:rPr>
            </w:pPr>
          </w:p>
        </w:tc>
        <w:tc>
          <w:tcPr>
            <w:tcW w:w="140" w:type="dxa"/>
            <w:tcBorders>
              <w:bottom w:val="single" w:sz="8" w:space="0" w:color="CCEEFF"/>
            </w:tcBorders>
            <w:vAlign w:val="bottom"/>
          </w:tcPr>
          <w:p w14:paraId="62D7626B" w14:textId="77777777" w:rsidR="00D1587D" w:rsidRDefault="00D1587D">
            <w:pPr>
              <w:rPr>
                <w:sz w:val="4"/>
                <w:szCs w:val="4"/>
              </w:rPr>
            </w:pPr>
          </w:p>
        </w:tc>
        <w:tc>
          <w:tcPr>
            <w:tcW w:w="580" w:type="dxa"/>
            <w:gridSpan w:val="2"/>
            <w:tcBorders>
              <w:bottom w:val="single" w:sz="8" w:space="0" w:color="auto"/>
            </w:tcBorders>
            <w:vAlign w:val="bottom"/>
          </w:tcPr>
          <w:p w14:paraId="7BE79522" w14:textId="77777777" w:rsidR="00D1587D" w:rsidRDefault="00D1587D">
            <w:pPr>
              <w:rPr>
                <w:sz w:val="4"/>
                <w:szCs w:val="4"/>
              </w:rPr>
            </w:pPr>
          </w:p>
        </w:tc>
        <w:tc>
          <w:tcPr>
            <w:tcW w:w="0" w:type="dxa"/>
            <w:vAlign w:val="bottom"/>
          </w:tcPr>
          <w:p w14:paraId="7E5139A0" w14:textId="77777777" w:rsidR="00D1587D" w:rsidRDefault="00D1587D">
            <w:pPr>
              <w:rPr>
                <w:sz w:val="1"/>
                <w:szCs w:val="1"/>
              </w:rPr>
            </w:pPr>
          </w:p>
        </w:tc>
      </w:tr>
      <w:tr w:rsidR="00D1587D" w14:paraId="0E75C2C9" w14:textId="77777777">
        <w:trPr>
          <w:trHeight w:val="318"/>
        </w:trPr>
        <w:tc>
          <w:tcPr>
            <w:tcW w:w="4380" w:type="dxa"/>
            <w:shd w:val="clear" w:color="auto" w:fill="CCEEFF"/>
            <w:vAlign w:val="bottom"/>
          </w:tcPr>
          <w:p w14:paraId="2050FD55" w14:textId="77777777" w:rsidR="00D1587D" w:rsidRDefault="00D1587D">
            <w:pPr>
              <w:rPr>
                <w:sz w:val="24"/>
                <w:szCs w:val="24"/>
              </w:rPr>
            </w:pPr>
          </w:p>
        </w:tc>
        <w:tc>
          <w:tcPr>
            <w:tcW w:w="60" w:type="dxa"/>
            <w:shd w:val="clear" w:color="auto" w:fill="CCEEFF"/>
            <w:vAlign w:val="bottom"/>
          </w:tcPr>
          <w:p w14:paraId="5E137B72" w14:textId="77777777" w:rsidR="00D1587D" w:rsidRDefault="00D1587D">
            <w:pPr>
              <w:rPr>
                <w:sz w:val="24"/>
                <w:szCs w:val="24"/>
              </w:rPr>
            </w:pPr>
          </w:p>
        </w:tc>
        <w:tc>
          <w:tcPr>
            <w:tcW w:w="1100" w:type="dxa"/>
            <w:shd w:val="clear" w:color="auto" w:fill="CCEEFF"/>
            <w:vAlign w:val="bottom"/>
          </w:tcPr>
          <w:p w14:paraId="2C73AEE4" w14:textId="77777777" w:rsidR="00D1587D" w:rsidRDefault="00D1587D">
            <w:pPr>
              <w:rPr>
                <w:sz w:val="24"/>
                <w:szCs w:val="24"/>
              </w:rPr>
            </w:pPr>
          </w:p>
        </w:tc>
        <w:tc>
          <w:tcPr>
            <w:tcW w:w="140" w:type="dxa"/>
            <w:shd w:val="clear" w:color="auto" w:fill="CCEEFF"/>
            <w:vAlign w:val="bottom"/>
          </w:tcPr>
          <w:p w14:paraId="6D091893" w14:textId="77777777" w:rsidR="00D1587D" w:rsidRDefault="00D1587D">
            <w:pPr>
              <w:rPr>
                <w:sz w:val="24"/>
                <w:szCs w:val="24"/>
              </w:rPr>
            </w:pPr>
          </w:p>
        </w:tc>
        <w:tc>
          <w:tcPr>
            <w:tcW w:w="420" w:type="dxa"/>
            <w:shd w:val="clear" w:color="auto" w:fill="CCEEFF"/>
            <w:vAlign w:val="bottom"/>
          </w:tcPr>
          <w:p w14:paraId="11009EA4" w14:textId="77777777" w:rsidR="00D1587D" w:rsidRDefault="00D1587D">
            <w:pPr>
              <w:rPr>
                <w:sz w:val="24"/>
                <w:szCs w:val="24"/>
              </w:rPr>
            </w:pPr>
          </w:p>
        </w:tc>
        <w:tc>
          <w:tcPr>
            <w:tcW w:w="540" w:type="dxa"/>
            <w:shd w:val="clear" w:color="auto" w:fill="CCEEFF"/>
            <w:vAlign w:val="bottom"/>
          </w:tcPr>
          <w:p w14:paraId="5FD2A7F5" w14:textId="77777777" w:rsidR="00D1587D" w:rsidRDefault="00D1587D">
            <w:pPr>
              <w:rPr>
                <w:sz w:val="24"/>
                <w:szCs w:val="24"/>
              </w:rPr>
            </w:pPr>
          </w:p>
        </w:tc>
        <w:tc>
          <w:tcPr>
            <w:tcW w:w="120" w:type="dxa"/>
            <w:shd w:val="clear" w:color="auto" w:fill="CCEEFF"/>
            <w:vAlign w:val="bottom"/>
          </w:tcPr>
          <w:p w14:paraId="2F824C8E" w14:textId="77777777" w:rsidR="00D1587D" w:rsidRDefault="00D1587D">
            <w:pPr>
              <w:rPr>
                <w:sz w:val="24"/>
                <w:szCs w:val="24"/>
              </w:rPr>
            </w:pPr>
          </w:p>
        </w:tc>
        <w:tc>
          <w:tcPr>
            <w:tcW w:w="940" w:type="dxa"/>
            <w:shd w:val="clear" w:color="auto" w:fill="CCEEFF"/>
            <w:vAlign w:val="bottom"/>
          </w:tcPr>
          <w:p w14:paraId="34BFA24D" w14:textId="77777777" w:rsidR="00D1587D" w:rsidRDefault="00D1587D">
            <w:pPr>
              <w:rPr>
                <w:sz w:val="24"/>
                <w:szCs w:val="24"/>
              </w:rPr>
            </w:pPr>
          </w:p>
        </w:tc>
        <w:tc>
          <w:tcPr>
            <w:tcW w:w="140" w:type="dxa"/>
            <w:shd w:val="clear" w:color="auto" w:fill="CCEEFF"/>
            <w:vAlign w:val="bottom"/>
          </w:tcPr>
          <w:p w14:paraId="36C23F16" w14:textId="77777777" w:rsidR="00D1587D" w:rsidRDefault="00D1587D">
            <w:pPr>
              <w:rPr>
                <w:sz w:val="24"/>
                <w:szCs w:val="24"/>
              </w:rPr>
            </w:pPr>
          </w:p>
        </w:tc>
        <w:tc>
          <w:tcPr>
            <w:tcW w:w="100" w:type="dxa"/>
            <w:shd w:val="clear" w:color="auto" w:fill="CCEEFF"/>
            <w:vAlign w:val="bottom"/>
          </w:tcPr>
          <w:p w14:paraId="54FB0409" w14:textId="77777777" w:rsidR="00D1587D" w:rsidRDefault="00D1587D">
            <w:pPr>
              <w:rPr>
                <w:sz w:val="24"/>
                <w:szCs w:val="24"/>
              </w:rPr>
            </w:pPr>
          </w:p>
        </w:tc>
        <w:tc>
          <w:tcPr>
            <w:tcW w:w="480" w:type="dxa"/>
            <w:shd w:val="clear" w:color="auto" w:fill="CCEEFF"/>
            <w:vAlign w:val="bottom"/>
          </w:tcPr>
          <w:p w14:paraId="3CD6AD54" w14:textId="77777777" w:rsidR="00D1587D" w:rsidRDefault="00D1587D">
            <w:pPr>
              <w:rPr>
                <w:sz w:val="24"/>
                <w:szCs w:val="24"/>
              </w:rPr>
            </w:pPr>
          </w:p>
        </w:tc>
        <w:tc>
          <w:tcPr>
            <w:tcW w:w="0" w:type="dxa"/>
            <w:vAlign w:val="bottom"/>
          </w:tcPr>
          <w:p w14:paraId="12C4441D" w14:textId="77777777" w:rsidR="00D1587D" w:rsidRDefault="00D1587D">
            <w:pPr>
              <w:rPr>
                <w:sz w:val="1"/>
                <w:szCs w:val="1"/>
              </w:rPr>
            </w:pPr>
          </w:p>
        </w:tc>
      </w:tr>
      <w:tr w:rsidR="00D1587D" w14:paraId="67FE62B3" w14:textId="77777777">
        <w:trPr>
          <w:trHeight w:val="270"/>
        </w:trPr>
        <w:tc>
          <w:tcPr>
            <w:tcW w:w="4440" w:type="dxa"/>
            <w:gridSpan w:val="2"/>
            <w:vAlign w:val="bottom"/>
          </w:tcPr>
          <w:p w14:paraId="56BE5FFA" w14:textId="77777777" w:rsidR="00D1587D" w:rsidRDefault="00410D07">
            <w:pPr>
              <w:rPr>
                <w:sz w:val="20"/>
                <w:szCs w:val="20"/>
              </w:rPr>
            </w:pPr>
            <w:r>
              <w:rPr>
                <w:rFonts w:ascii="Arial" w:eastAsia="Arial" w:hAnsi="Arial" w:cs="Arial"/>
                <w:sz w:val="18"/>
                <w:szCs w:val="18"/>
              </w:rPr>
              <w:t>Balance, February 3, 2018</w:t>
            </w:r>
          </w:p>
        </w:tc>
        <w:tc>
          <w:tcPr>
            <w:tcW w:w="1100" w:type="dxa"/>
            <w:vAlign w:val="bottom"/>
          </w:tcPr>
          <w:p w14:paraId="6074D42F" w14:textId="77777777" w:rsidR="00D1587D" w:rsidRDefault="00410D07">
            <w:pPr>
              <w:ind w:right="212"/>
              <w:jc w:val="right"/>
              <w:rPr>
                <w:sz w:val="20"/>
                <w:szCs w:val="20"/>
              </w:rPr>
            </w:pPr>
            <w:r>
              <w:rPr>
                <w:rFonts w:ascii="Arial" w:eastAsia="Arial" w:hAnsi="Arial" w:cs="Arial"/>
                <w:sz w:val="18"/>
                <w:szCs w:val="18"/>
              </w:rPr>
              <w:t>$2,468</w:t>
            </w:r>
          </w:p>
        </w:tc>
        <w:tc>
          <w:tcPr>
            <w:tcW w:w="140" w:type="dxa"/>
            <w:vAlign w:val="bottom"/>
          </w:tcPr>
          <w:p w14:paraId="7CFCEB28" w14:textId="77777777" w:rsidR="00D1587D" w:rsidRDefault="00D1587D">
            <w:pPr>
              <w:rPr>
                <w:sz w:val="23"/>
                <w:szCs w:val="23"/>
              </w:rPr>
            </w:pPr>
          </w:p>
        </w:tc>
        <w:tc>
          <w:tcPr>
            <w:tcW w:w="960" w:type="dxa"/>
            <w:gridSpan w:val="2"/>
            <w:vAlign w:val="bottom"/>
          </w:tcPr>
          <w:p w14:paraId="0DD666CE" w14:textId="77777777" w:rsidR="00D1587D" w:rsidRDefault="00410D07">
            <w:pPr>
              <w:ind w:right="170"/>
              <w:jc w:val="right"/>
              <w:rPr>
                <w:sz w:val="20"/>
                <w:szCs w:val="20"/>
              </w:rPr>
            </w:pPr>
            <w:r>
              <w:rPr>
                <w:rFonts w:ascii="Arial" w:eastAsia="Arial" w:hAnsi="Arial" w:cs="Arial"/>
                <w:sz w:val="18"/>
                <w:szCs w:val="18"/>
              </w:rPr>
              <w:t>$(24)</w:t>
            </w:r>
          </w:p>
        </w:tc>
        <w:tc>
          <w:tcPr>
            <w:tcW w:w="120" w:type="dxa"/>
            <w:vAlign w:val="bottom"/>
          </w:tcPr>
          <w:p w14:paraId="75329751" w14:textId="77777777" w:rsidR="00D1587D" w:rsidRDefault="00D1587D">
            <w:pPr>
              <w:rPr>
                <w:sz w:val="23"/>
                <w:szCs w:val="23"/>
              </w:rPr>
            </w:pPr>
          </w:p>
        </w:tc>
        <w:tc>
          <w:tcPr>
            <w:tcW w:w="940" w:type="dxa"/>
            <w:vAlign w:val="bottom"/>
          </w:tcPr>
          <w:p w14:paraId="30E3FE41" w14:textId="77777777" w:rsidR="00D1587D" w:rsidRDefault="00410D07">
            <w:pPr>
              <w:ind w:right="252"/>
              <w:jc w:val="right"/>
              <w:rPr>
                <w:sz w:val="20"/>
                <w:szCs w:val="20"/>
              </w:rPr>
            </w:pPr>
            <w:r>
              <w:rPr>
                <w:rFonts w:ascii="Arial" w:eastAsia="Arial" w:hAnsi="Arial" w:cs="Arial"/>
                <w:sz w:val="18"/>
                <w:szCs w:val="18"/>
              </w:rPr>
              <w:t>$ 2</w:t>
            </w:r>
          </w:p>
        </w:tc>
        <w:tc>
          <w:tcPr>
            <w:tcW w:w="140" w:type="dxa"/>
            <w:vAlign w:val="bottom"/>
          </w:tcPr>
          <w:p w14:paraId="359DD8F5" w14:textId="77777777" w:rsidR="00D1587D" w:rsidRDefault="00D1587D">
            <w:pPr>
              <w:rPr>
                <w:sz w:val="23"/>
                <w:szCs w:val="23"/>
              </w:rPr>
            </w:pPr>
          </w:p>
        </w:tc>
        <w:tc>
          <w:tcPr>
            <w:tcW w:w="580" w:type="dxa"/>
            <w:gridSpan w:val="2"/>
            <w:vAlign w:val="bottom"/>
          </w:tcPr>
          <w:p w14:paraId="03990493" w14:textId="77777777" w:rsidR="00D1587D" w:rsidRDefault="00410D07">
            <w:pPr>
              <w:jc w:val="right"/>
              <w:rPr>
                <w:sz w:val="20"/>
                <w:szCs w:val="20"/>
              </w:rPr>
            </w:pPr>
            <w:r>
              <w:rPr>
                <w:rFonts w:ascii="Arial" w:eastAsia="Arial" w:hAnsi="Arial" w:cs="Arial"/>
                <w:w w:val="87"/>
                <w:sz w:val="18"/>
                <w:szCs w:val="18"/>
              </w:rPr>
              <w:t>$2,446</w:t>
            </w:r>
          </w:p>
        </w:tc>
        <w:tc>
          <w:tcPr>
            <w:tcW w:w="0" w:type="dxa"/>
            <w:vAlign w:val="bottom"/>
          </w:tcPr>
          <w:p w14:paraId="20513F84" w14:textId="77777777" w:rsidR="00D1587D" w:rsidRDefault="00D1587D">
            <w:pPr>
              <w:rPr>
                <w:sz w:val="1"/>
                <w:szCs w:val="1"/>
              </w:rPr>
            </w:pPr>
          </w:p>
        </w:tc>
      </w:tr>
      <w:tr w:rsidR="00D1587D" w14:paraId="513D5CF4" w14:textId="77777777">
        <w:trPr>
          <w:trHeight w:val="54"/>
        </w:trPr>
        <w:tc>
          <w:tcPr>
            <w:tcW w:w="4380" w:type="dxa"/>
            <w:vAlign w:val="bottom"/>
          </w:tcPr>
          <w:p w14:paraId="251D4C43" w14:textId="77777777" w:rsidR="00D1587D" w:rsidRDefault="00D1587D">
            <w:pPr>
              <w:rPr>
                <w:sz w:val="4"/>
                <w:szCs w:val="4"/>
              </w:rPr>
            </w:pPr>
          </w:p>
        </w:tc>
        <w:tc>
          <w:tcPr>
            <w:tcW w:w="60" w:type="dxa"/>
            <w:vAlign w:val="bottom"/>
          </w:tcPr>
          <w:p w14:paraId="70037B02" w14:textId="77777777" w:rsidR="00D1587D" w:rsidRDefault="00D1587D">
            <w:pPr>
              <w:rPr>
                <w:sz w:val="4"/>
                <w:szCs w:val="4"/>
              </w:rPr>
            </w:pPr>
          </w:p>
        </w:tc>
        <w:tc>
          <w:tcPr>
            <w:tcW w:w="1100" w:type="dxa"/>
            <w:vAlign w:val="bottom"/>
          </w:tcPr>
          <w:p w14:paraId="5092DF4E" w14:textId="77777777" w:rsidR="00D1587D" w:rsidRDefault="00D1587D">
            <w:pPr>
              <w:rPr>
                <w:sz w:val="4"/>
                <w:szCs w:val="4"/>
              </w:rPr>
            </w:pPr>
          </w:p>
        </w:tc>
        <w:tc>
          <w:tcPr>
            <w:tcW w:w="140" w:type="dxa"/>
            <w:vAlign w:val="bottom"/>
          </w:tcPr>
          <w:p w14:paraId="2D8D9C9D" w14:textId="77777777" w:rsidR="00D1587D" w:rsidRDefault="00D1587D">
            <w:pPr>
              <w:rPr>
                <w:sz w:val="4"/>
                <w:szCs w:val="4"/>
              </w:rPr>
            </w:pPr>
          </w:p>
        </w:tc>
        <w:tc>
          <w:tcPr>
            <w:tcW w:w="420" w:type="dxa"/>
            <w:vAlign w:val="bottom"/>
          </w:tcPr>
          <w:p w14:paraId="2CBDEE61" w14:textId="77777777" w:rsidR="00D1587D" w:rsidRDefault="00D1587D">
            <w:pPr>
              <w:rPr>
                <w:sz w:val="4"/>
                <w:szCs w:val="4"/>
              </w:rPr>
            </w:pPr>
          </w:p>
        </w:tc>
        <w:tc>
          <w:tcPr>
            <w:tcW w:w="540" w:type="dxa"/>
            <w:vAlign w:val="bottom"/>
          </w:tcPr>
          <w:p w14:paraId="0D6ED3B0" w14:textId="77777777" w:rsidR="00D1587D" w:rsidRDefault="00D1587D">
            <w:pPr>
              <w:rPr>
                <w:sz w:val="4"/>
                <w:szCs w:val="4"/>
              </w:rPr>
            </w:pPr>
          </w:p>
        </w:tc>
        <w:tc>
          <w:tcPr>
            <w:tcW w:w="120" w:type="dxa"/>
            <w:vAlign w:val="bottom"/>
          </w:tcPr>
          <w:p w14:paraId="6FBBAF3F" w14:textId="77777777" w:rsidR="00D1587D" w:rsidRDefault="00D1587D">
            <w:pPr>
              <w:rPr>
                <w:sz w:val="4"/>
                <w:szCs w:val="4"/>
              </w:rPr>
            </w:pPr>
          </w:p>
        </w:tc>
        <w:tc>
          <w:tcPr>
            <w:tcW w:w="940" w:type="dxa"/>
            <w:vAlign w:val="bottom"/>
          </w:tcPr>
          <w:p w14:paraId="0E3EF974" w14:textId="77777777" w:rsidR="00D1587D" w:rsidRDefault="00D1587D">
            <w:pPr>
              <w:rPr>
                <w:sz w:val="4"/>
                <w:szCs w:val="4"/>
              </w:rPr>
            </w:pPr>
          </w:p>
        </w:tc>
        <w:tc>
          <w:tcPr>
            <w:tcW w:w="140" w:type="dxa"/>
            <w:vAlign w:val="bottom"/>
          </w:tcPr>
          <w:p w14:paraId="20F48A78" w14:textId="77777777" w:rsidR="00D1587D" w:rsidRDefault="00D1587D">
            <w:pPr>
              <w:rPr>
                <w:sz w:val="4"/>
                <w:szCs w:val="4"/>
              </w:rPr>
            </w:pPr>
          </w:p>
        </w:tc>
        <w:tc>
          <w:tcPr>
            <w:tcW w:w="100" w:type="dxa"/>
            <w:vAlign w:val="bottom"/>
          </w:tcPr>
          <w:p w14:paraId="6070E154" w14:textId="77777777" w:rsidR="00D1587D" w:rsidRDefault="00D1587D">
            <w:pPr>
              <w:rPr>
                <w:sz w:val="4"/>
                <w:szCs w:val="4"/>
              </w:rPr>
            </w:pPr>
          </w:p>
        </w:tc>
        <w:tc>
          <w:tcPr>
            <w:tcW w:w="480" w:type="dxa"/>
            <w:vAlign w:val="bottom"/>
          </w:tcPr>
          <w:p w14:paraId="65813525" w14:textId="77777777" w:rsidR="00D1587D" w:rsidRDefault="00D1587D">
            <w:pPr>
              <w:rPr>
                <w:sz w:val="4"/>
                <w:szCs w:val="4"/>
              </w:rPr>
            </w:pPr>
          </w:p>
        </w:tc>
        <w:tc>
          <w:tcPr>
            <w:tcW w:w="0" w:type="dxa"/>
            <w:vAlign w:val="bottom"/>
          </w:tcPr>
          <w:p w14:paraId="28E0C048" w14:textId="77777777" w:rsidR="00D1587D" w:rsidRDefault="00D1587D">
            <w:pPr>
              <w:rPr>
                <w:sz w:val="1"/>
                <w:szCs w:val="1"/>
              </w:rPr>
            </w:pPr>
          </w:p>
        </w:tc>
      </w:tr>
      <w:tr w:rsidR="00D1587D" w14:paraId="14D680A2" w14:textId="77777777">
        <w:trPr>
          <w:trHeight w:val="270"/>
        </w:trPr>
        <w:tc>
          <w:tcPr>
            <w:tcW w:w="4440" w:type="dxa"/>
            <w:gridSpan w:val="2"/>
            <w:shd w:val="clear" w:color="auto" w:fill="CCEEFF"/>
            <w:vAlign w:val="bottom"/>
          </w:tcPr>
          <w:p w14:paraId="3A23CB77" w14:textId="77777777" w:rsidR="00D1587D" w:rsidRDefault="00410D07">
            <w:pPr>
              <w:ind w:left="180"/>
              <w:rPr>
                <w:sz w:val="20"/>
                <w:szCs w:val="20"/>
              </w:rPr>
            </w:pPr>
            <w:r>
              <w:rPr>
                <w:rFonts w:ascii="Arial" w:eastAsia="Arial" w:hAnsi="Arial" w:cs="Arial"/>
                <w:sz w:val="18"/>
                <w:szCs w:val="18"/>
              </w:rPr>
              <w:t>Cumulative Effect of Accounting Change</w:t>
            </w:r>
          </w:p>
        </w:tc>
        <w:tc>
          <w:tcPr>
            <w:tcW w:w="1100" w:type="dxa"/>
            <w:shd w:val="clear" w:color="auto" w:fill="CCEEFF"/>
            <w:vAlign w:val="bottom"/>
          </w:tcPr>
          <w:p w14:paraId="0A41715F" w14:textId="77777777" w:rsidR="00D1587D" w:rsidRDefault="00410D07">
            <w:pPr>
              <w:ind w:right="152"/>
              <w:jc w:val="right"/>
              <w:rPr>
                <w:sz w:val="20"/>
                <w:szCs w:val="20"/>
              </w:rPr>
            </w:pPr>
            <w:r>
              <w:rPr>
                <w:rFonts w:ascii="Arial" w:eastAsia="Arial" w:hAnsi="Arial" w:cs="Arial"/>
                <w:sz w:val="18"/>
                <w:szCs w:val="18"/>
              </w:rPr>
              <w:t>(32)</w:t>
            </w:r>
          </w:p>
        </w:tc>
        <w:tc>
          <w:tcPr>
            <w:tcW w:w="140" w:type="dxa"/>
            <w:shd w:val="clear" w:color="auto" w:fill="CCEEFF"/>
            <w:vAlign w:val="bottom"/>
          </w:tcPr>
          <w:p w14:paraId="0BA6F486" w14:textId="77777777" w:rsidR="00D1587D" w:rsidRDefault="00D1587D">
            <w:pPr>
              <w:rPr>
                <w:sz w:val="23"/>
                <w:szCs w:val="23"/>
              </w:rPr>
            </w:pPr>
          </w:p>
        </w:tc>
        <w:tc>
          <w:tcPr>
            <w:tcW w:w="420" w:type="dxa"/>
            <w:shd w:val="clear" w:color="auto" w:fill="CCEEFF"/>
            <w:vAlign w:val="bottom"/>
          </w:tcPr>
          <w:p w14:paraId="1EFF7633" w14:textId="77777777" w:rsidR="00D1587D" w:rsidRDefault="00D1587D">
            <w:pPr>
              <w:rPr>
                <w:sz w:val="23"/>
                <w:szCs w:val="23"/>
              </w:rPr>
            </w:pPr>
          </w:p>
        </w:tc>
        <w:tc>
          <w:tcPr>
            <w:tcW w:w="660" w:type="dxa"/>
            <w:gridSpan w:val="2"/>
            <w:shd w:val="clear" w:color="auto" w:fill="CCEEFF"/>
            <w:vAlign w:val="bottom"/>
          </w:tcPr>
          <w:p w14:paraId="49663AE0"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shd w:val="clear" w:color="auto" w:fill="CCEEFF"/>
            <w:vAlign w:val="bottom"/>
          </w:tcPr>
          <w:p w14:paraId="71ED6DA0" w14:textId="77777777" w:rsidR="00D1587D" w:rsidRDefault="00410D07">
            <w:pPr>
              <w:ind w:right="480"/>
              <w:jc w:val="right"/>
              <w:rPr>
                <w:sz w:val="20"/>
                <w:szCs w:val="20"/>
              </w:rPr>
            </w:pPr>
            <w:r>
              <w:rPr>
                <w:rFonts w:ascii="Arial" w:eastAsia="Arial" w:hAnsi="Arial" w:cs="Arial"/>
                <w:sz w:val="18"/>
                <w:szCs w:val="18"/>
              </w:rPr>
              <w:t>—</w:t>
            </w:r>
          </w:p>
        </w:tc>
        <w:tc>
          <w:tcPr>
            <w:tcW w:w="100" w:type="dxa"/>
            <w:shd w:val="clear" w:color="auto" w:fill="CCEEFF"/>
            <w:vAlign w:val="bottom"/>
          </w:tcPr>
          <w:p w14:paraId="3C93938D" w14:textId="77777777" w:rsidR="00D1587D" w:rsidRDefault="00D1587D">
            <w:pPr>
              <w:rPr>
                <w:sz w:val="23"/>
                <w:szCs w:val="23"/>
              </w:rPr>
            </w:pPr>
          </w:p>
        </w:tc>
        <w:tc>
          <w:tcPr>
            <w:tcW w:w="480" w:type="dxa"/>
            <w:shd w:val="clear" w:color="auto" w:fill="CCEEFF"/>
            <w:vAlign w:val="bottom"/>
          </w:tcPr>
          <w:p w14:paraId="04906EF4" w14:textId="77777777" w:rsidR="00D1587D" w:rsidRDefault="00410D07">
            <w:pPr>
              <w:jc w:val="right"/>
              <w:rPr>
                <w:sz w:val="20"/>
                <w:szCs w:val="20"/>
              </w:rPr>
            </w:pPr>
            <w:r>
              <w:rPr>
                <w:rFonts w:ascii="Arial" w:eastAsia="Arial" w:hAnsi="Arial" w:cs="Arial"/>
                <w:sz w:val="18"/>
                <w:szCs w:val="18"/>
              </w:rPr>
              <w:t>(32)</w:t>
            </w:r>
          </w:p>
        </w:tc>
        <w:tc>
          <w:tcPr>
            <w:tcW w:w="0" w:type="dxa"/>
            <w:vAlign w:val="bottom"/>
          </w:tcPr>
          <w:p w14:paraId="33FD3B3E" w14:textId="77777777" w:rsidR="00D1587D" w:rsidRDefault="00D1587D">
            <w:pPr>
              <w:rPr>
                <w:sz w:val="1"/>
                <w:szCs w:val="1"/>
              </w:rPr>
            </w:pPr>
          </w:p>
        </w:tc>
      </w:tr>
      <w:tr w:rsidR="00D1587D" w14:paraId="3223E169" w14:textId="77777777">
        <w:trPr>
          <w:trHeight w:val="68"/>
        </w:trPr>
        <w:tc>
          <w:tcPr>
            <w:tcW w:w="4380" w:type="dxa"/>
            <w:shd w:val="clear" w:color="auto" w:fill="CCEEFF"/>
            <w:vAlign w:val="bottom"/>
          </w:tcPr>
          <w:p w14:paraId="041188CB" w14:textId="77777777" w:rsidR="00D1587D" w:rsidRDefault="00D1587D">
            <w:pPr>
              <w:rPr>
                <w:sz w:val="5"/>
                <w:szCs w:val="5"/>
              </w:rPr>
            </w:pPr>
          </w:p>
        </w:tc>
        <w:tc>
          <w:tcPr>
            <w:tcW w:w="60" w:type="dxa"/>
            <w:tcBorders>
              <w:bottom w:val="single" w:sz="8" w:space="0" w:color="CCEEFF"/>
            </w:tcBorders>
            <w:shd w:val="clear" w:color="auto" w:fill="CCEEFF"/>
            <w:vAlign w:val="bottom"/>
          </w:tcPr>
          <w:p w14:paraId="2FB9813B" w14:textId="77777777" w:rsidR="00D1587D" w:rsidRDefault="00D1587D">
            <w:pPr>
              <w:rPr>
                <w:sz w:val="5"/>
                <w:szCs w:val="5"/>
              </w:rPr>
            </w:pPr>
          </w:p>
        </w:tc>
        <w:tc>
          <w:tcPr>
            <w:tcW w:w="1100" w:type="dxa"/>
            <w:tcBorders>
              <w:bottom w:val="single" w:sz="8" w:space="0" w:color="auto"/>
            </w:tcBorders>
            <w:shd w:val="clear" w:color="auto" w:fill="CCEEFF"/>
            <w:vAlign w:val="bottom"/>
          </w:tcPr>
          <w:p w14:paraId="7A9F71B9" w14:textId="77777777" w:rsidR="00D1587D" w:rsidRDefault="00D1587D">
            <w:pPr>
              <w:rPr>
                <w:sz w:val="5"/>
                <w:szCs w:val="5"/>
              </w:rPr>
            </w:pPr>
          </w:p>
        </w:tc>
        <w:tc>
          <w:tcPr>
            <w:tcW w:w="140" w:type="dxa"/>
            <w:tcBorders>
              <w:bottom w:val="single" w:sz="8" w:space="0" w:color="CCEEFF"/>
            </w:tcBorders>
            <w:shd w:val="clear" w:color="auto" w:fill="CCEEFF"/>
            <w:vAlign w:val="bottom"/>
          </w:tcPr>
          <w:p w14:paraId="51DAB660" w14:textId="77777777" w:rsidR="00D1587D" w:rsidRDefault="00D1587D">
            <w:pPr>
              <w:rPr>
                <w:sz w:val="5"/>
                <w:szCs w:val="5"/>
              </w:rPr>
            </w:pPr>
          </w:p>
        </w:tc>
        <w:tc>
          <w:tcPr>
            <w:tcW w:w="960" w:type="dxa"/>
            <w:gridSpan w:val="2"/>
            <w:tcBorders>
              <w:bottom w:val="single" w:sz="8" w:space="0" w:color="auto"/>
            </w:tcBorders>
            <w:shd w:val="clear" w:color="auto" w:fill="CCEEFF"/>
            <w:vAlign w:val="bottom"/>
          </w:tcPr>
          <w:p w14:paraId="4E935791" w14:textId="77777777" w:rsidR="00D1587D" w:rsidRDefault="00D1587D">
            <w:pPr>
              <w:rPr>
                <w:sz w:val="5"/>
                <w:szCs w:val="5"/>
              </w:rPr>
            </w:pPr>
          </w:p>
        </w:tc>
        <w:tc>
          <w:tcPr>
            <w:tcW w:w="120" w:type="dxa"/>
            <w:tcBorders>
              <w:bottom w:val="single" w:sz="8" w:space="0" w:color="CCEEFF"/>
            </w:tcBorders>
            <w:shd w:val="clear" w:color="auto" w:fill="CCEEFF"/>
            <w:vAlign w:val="bottom"/>
          </w:tcPr>
          <w:p w14:paraId="05933596" w14:textId="77777777" w:rsidR="00D1587D" w:rsidRDefault="00D1587D">
            <w:pPr>
              <w:rPr>
                <w:sz w:val="5"/>
                <w:szCs w:val="5"/>
              </w:rPr>
            </w:pPr>
          </w:p>
        </w:tc>
        <w:tc>
          <w:tcPr>
            <w:tcW w:w="940" w:type="dxa"/>
            <w:tcBorders>
              <w:bottom w:val="single" w:sz="8" w:space="0" w:color="auto"/>
            </w:tcBorders>
            <w:shd w:val="clear" w:color="auto" w:fill="CCEEFF"/>
            <w:vAlign w:val="bottom"/>
          </w:tcPr>
          <w:p w14:paraId="7B7B8225" w14:textId="77777777" w:rsidR="00D1587D" w:rsidRDefault="00D1587D">
            <w:pPr>
              <w:rPr>
                <w:sz w:val="5"/>
                <w:szCs w:val="5"/>
              </w:rPr>
            </w:pPr>
          </w:p>
        </w:tc>
        <w:tc>
          <w:tcPr>
            <w:tcW w:w="140" w:type="dxa"/>
            <w:tcBorders>
              <w:bottom w:val="single" w:sz="8" w:space="0" w:color="CCEEFF"/>
            </w:tcBorders>
            <w:shd w:val="clear" w:color="auto" w:fill="CCEEFF"/>
            <w:vAlign w:val="bottom"/>
          </w:tcPr>
          <w:p w14:paraId="4C3CD0A8" w14:textId="77777777" w:rsidR="00D1587D" w:rsidRDefault="00D1587D">
            <w:pPr>
              <w:rPr>
                <w:sz w:val="5"/>
                <w:szCs w:val="5"/>
              </w:rPr>
            </w:pPr>
          </w:p>
        </w:tc>
        <w:tc>
          <w:tcPr>
            <w:tcW w:w="580" w:type="dxa"/>
            <w:gridSpan w:val="2"/>
            <w:tcBorders>
              <w:bottom w:val="single" w:sz="8" w:space="0" w:color="auto"/>
            </w:tcBorders>
            <w:shd w:val="clear" w:color="auto" w:fill="CCEEFF"/>
            <w:vAlign w:val="bottom"/>
          </w:tcPr>
          <w:p w14:paraId="541DA9C0" w14:textId="77777777" w:rsidR="00D1587D" w:rsidRDefault="00D1587D">
            <w:pPr>
              <w:rPr>
                <w:sz w:val="5"/>
                <w:szCs w:val="5"/>
              </w:rPr>
            </w:pPr>
          </w:p>
        </w:tc>
        <w:tc>
          <w:tcPr>
            <w:tcW w:w="0" w:type="dxa"/>
            <w:vAlign w:val="bottom"/>
          </w:tcPr>
          <w:p w14:paraId="11061A19" w14:textId="77777777" w:rsidR="00D1587D" w:rsidRDefault="00D1587D">
            <w:pPr>
              <w:rPr>
                <w:sz w:val="1"/>
                <w:szCs w:val="1"/>
              </w:rPr>
            </w:pPr>
          </w:p>
        </w:tc>
      </w:tr>
      <w:tr w:rsidR="00D1587D" w14:paraId="7840FCBD" w14:textId="77777777">
        <w:trPr>
          <w:trHeight w:val="277"/>
        </w:trPr>
        <w:tc>
          <w:tcPr>
            <w:tcW w:w="4440" w:type="dxa"/>
            <w:gridSpan w:val="2"/>
            <w:vAlign w:val="bottom"/>
          </w:tcPr>
          <w:p w14:paraId="258B590E" w14:textId="77777777" w:rsidR="00D1587D" w:rsidRDefault="00410D07">
            <w:pPr>
              <w:rPr>
                <w:sz w:val="20"/>
                <w:szCs w:val="20"/>
              </w:rPr>
            </w:pPr>
            <w:r>
              <w:rPr>
                <w:rFonts w:ascii="Arial" w:eastAsia="Arial" w:hAnsi="Arial" w:cs="Arial"/>
                <w:sz w:val="18"/>
                <w:szCs w:val="18"/>
              </w:rPr>
              <w:t>Balance, February 4, 2018</w:t>
            </w:r>
          </w:p>
        </w:tc>
        <w:tc>
          <w:tcPr>
            <w:tcW w:w="1100" w:type="dxa"/>
            <w:vAlign w:val="bottom"/>
          </w:tcPr>
          <w:p w14:paraId="6DE434BE" w14:textId="77777777" w:rsidR="00D1587D" w:rsidRDefault="00410D07">
            <w:pPr>
              <w:ind w:right="212"/>
              <w:jc w:val="right"/>
              <w:rPr>
                <w:sz w:val="20"/>
                <w:szCs w:val="20"/>
              </w:rPr>
            </w:pPr>
            <w:r>
              <w:rPr>
                <w:rFonts w:ascii="Arial" w:eastAsia="Arial" w:hAnsi="Arial" w:cs="Arial"/>
                <w:sz w:val="18"/>
                <w:szCs w:val="18"/>
              </w:rPr>
              <w:t>2,436</w:t>
            </w:r>
          </w:p>
        </w:tc>
        <w:tc>
          <w:tcPr>
            <w:tcW w:w="140" w:type="dxa"/>
            <w:vAlign w:val="bottom"/>
          </w:tcPr>
          <w:p w14:paraId="66C841E0" w14:textId="77777777" w:rsidR="00D1587D" w:rsidRDefault="00D1587D">
            <w:pPr>
              <w:rPr>
                <w:sz w:val="24"/>
                <w:szCs w:val="24"/>
              </w:rPr>
            </w:pPr>
          </w:p>
        </w:tc>
        <w:tc>
          <w:tcPr>
            <w:tcW w:w="960" w:type="dxa"/>
            <w:gridSpan w:val="2"/>
            <w:vAlign w:val="bottom"/>
          </w:tcPr>
          <w:p w14:paraId="2B941B19" w14:textId="77777777" w:rsidR="00D1587D" w:rsidRDefault="00410D07">
            <w:pPr>
              <w:ind w:right="170"/>
              <w:jc w:val="right"/>
              <w:rPr>
                <w:sz w:val="20"/>
                <w:szCs w:val="20"/>
              </w:rPr>
            </w:pPr>
            <w:r>
              <w:rPr>
                <w:rFonts w:ascii="Arial" w:eastAsia="Arial" w:hAnsi="Arial" w:cs="Arial"/>
                <w:sz w:val="18"/>
                <w:szCs w:val="18"/>
              </w:rPr>
              <w:t>(24)</w:t>
            </w:r>
          </w:p>
        </w:tc>
        <w:tc>
          <w:tcPr>
            <w:tcW w:w="120" w:type="dxa"/>
            <w:vAlign w:val="bottom"/>
          </w:tcPr>
          <w:p w14:paraId="6BE0570F" w14:textId="77777777" w:rsidR="00D1587D" w:rsidRDefault="00D1587D">
            <w:pPr>
              <w:rPr>
                <w:sz w:val="24"/>
                <w:szCs w:val="24"/>
              </w:rPr>
            </w:pPr>
          </w:p>
        </w:tc>
        <w:tc>
          <w:tcPr>
            <w:tcW w:w="940" w:type="dxa"/>
            <w:vAlign w:val="bottom"/>
          </w:tcPr>
          <w:p w14:paraId="1878D782" w14:textId="77777777" w:rsidR="00D1587D" w:rsidRDefault="00410D07">
            <w:pPr>
              <w:ind w:right="252"/>
              <w:jc w:val="right"/>
              <w:rPr>
                <w:sz w:val="20"/>
                <w:szCs w:val="20"/>
              </w:rPr>
            </w:pPr>
            <w:r>
              <w:rPr>
                <w:rFonts w:ascii="Arial" w:eastAsia="Arial" w:hAnsi="Arial" w:cs="Arial"/>
                <w:sz w:val="18"/>
                <w:szCs w:val="18"/>
              </w:rPr>
              <w:t>2</w:t>
            </w:r>
          </w:p>
        </w:tc>
        <w:tc>
          <w:tcPr>
            <w:tcW w:w="140" w:type="dxa"/>
            <w:vAlign w:val="bottom"/>
          </w:tcPr>
          <w:p w14:paraId="6EF04FD8" w14:textId="77777777" w:rsidR="00D1587D" w:rsidRDefault="00D1587D">
            <w:pPr>
              <w:rPr>
                <w:sz w:val="24"/>
                <w:szCs w:val="24"/>
              </w:rPr>
            </w:pPr>
          </w:p>
        </w:tc>
        <w:tc>
          <w:tcPr>
            <w:tcW w:w="580" w:type="dxa"/>
            <w:gridSpan w:val="2"/>
            <w:vAlign w:val="bottom"/>
          </w:tcPr>
          <w:p w14:paraId="14340576" w14:textId="77777777" w:rsidR="00D1587D" w:rsidRDefault="00410D07">
            <w:pPr>
              <w:ind w:right="11"/>
              <w:jc w:val="right"/>
              <w:rPr>
                <w:sz w:val="20"/>
                <w:szCs w:val="20"/>
              </w:rPr>
            </w:pPr>
            <w:r>
              <w:rPr>
                <w:rFonts w:ascii="Arial" w:eastAsia="Arial" w:hAnsi="Arial" w:cs="Arial"/>
                <w:sz w:val="18"/>
                <w:szCs w:val="18"/>
              </w:rPr>
              <w:t>2,414</w:t>
            </w:r>
          </w:p>
        </w:tc>
        <w:tc>
          <w:tcPr>
            <w:tcW w:w="0" w:type="dxa"/>
            <w:vAlign w:val="bottom"/>
          </w:tcPr>
          <w:p w14:paraId="2AC23A3D" w14:textId="77777777" w:rsidR="00D1587D" w:rsidRDefault="00D1587D">
            <w:pPr>
              <w:rPr>
                <w:sz w:val="1"/>
                <w:szCs w:val="1"/>
              </w:rPr>
            </w:pPr>
          </w:p>
        </w:tc>
      </w:tr>
      <w:tr w:rsidR="00D1587D" w14:paraId="3B338C93" w14:textId="77777777">
        <w:trPr>
          <w:trHeight w:val="54"/>
        </w:trPr>
        <w:tc>
          <w:tcPr>
            <w:tcW w:w="4380" w:type="dxa"/>
            <w:vAlign w:val="bottom"/>
          </w:tcPr>
          <w:p w14:paraId="702CE2E8" w14:textId="77777777" w:rsidR="00D1587D" w:rsidRDefault="00D1587D">
            <w:pPr>
              <w:rPr>
                <w:sz w:val="4"/>
                <w:szCs w:val="4"/>
              </w:rPr>
            </w:pPr>
          </w:p>
        </w:tc>
        <w:tc>
          <w:tcPr>
            <w:tcW w:w="60" w:type="dxa"/>
            <w:vAlign w:val="bottom"/>
          </w:tcPr>
          <w:p w14:paraId="0509CF0D" w14:textId="77777777" w:rsidR="00D1587D" w:rsidRDefault="00D1587D">
            <w:pPr>
              <w:rPr>
                <w:sz w:val="4"/>
                <w:szCs w:val="4"/>
              </w:rPr>
            </w:pPr>
          </w:p>
        </w:tc>
        <w:tc>
          <w:tcPr>
            <w:tcW w:w="1100" w:type="dxa"/>
            <w:vAlign w:val="bottom"/>
          </w:tcPr>
          <w:p w14:paraId="6458E76F" w14:textId="77777777" w:rsidR="00D1587D" w:rsidRDefault="00D1587D">
            <w:pPr>
              <w:rPr>
                <w:sz w:val="4"/>
                <w:szCs w:val="4"/>
              </w:rPr>
            </w:pPr>
          </w:p>
        </w:tc>
        <w:tc>
          <w:tcPr>
            <w:tcW w:w="140" w:type="dxa"/>
            <w:vAlign w:val="bottom"/>
          </w:tcPr>
          <w:p w14:paraId="41B372A1" w14:textId="77777777" w:rsidR="00D1587D" w:rsidRDefault="00D1587D">
            <w:pPr>
              <w:rPr>
                <w:sz w:val="4"/>
                <w:szCs w:val="4"/>
              </w:rPr>
            </w:pPr>
          </w:p>
        </w:tc>
        <w:tc>
          <w:tcPr>
            <w:tcW w:w="420" w:type="dxa"/>
            <w:vAlign w:val="bottom"/>
          </w:tcPr>
          <w:p w14:paraId="1C415425" w14:textId="77777777" w:rsidR="00D1587D" w:rsidRDefault="00D1587D">
            <w:pPr>
              <w:rPr>
                <w:sz w:val="4"/>
                <w:szCs w:val="4"/>
              </w:rPr>
            </w:pPr>
          </w:p>
        </w:tc>
        <w:tc>
          <w:tcPr>
            <w:tcW w:w="540" w:type="dxa"/>
            <w:vAlign w:val="bottom"/>
          </w:tcPr>
          <w:p w14:paraId="1145D820" w14:textId="77777777" w:rsidR="00D1587D" w:rsidRDefault="00D1587D">
            <w:pPr>
              <w:rPr>
                <w:sz w:val="4"/>
                <w:szCs w:val="4"/>
              </w:rPr>
            </w:pPr>
          </w:p>
        </w:tc>
        <w:tc>
          <w:tcPr>
            <w:tcW w:w="120" w:type="dxa"/>
            <w:vAlign w:val="bottom"/>
          </w:tcPr>
          <w:p w14:paraId="3F80FE72" w14:textId="77777777" w:rsidR="00D1587D" w:rsidRDefault="00D1587D">
            <w:pPr>
              <w:rPr>
                <w:sz w:val="4"/>
                <w:szCs w:val="4"/>
              </w:rPr>
            </w:pPr>
          </w:p>
        </w:tc>
        <w:tc>
          <w:tcPr>
            <w:tcW w:w="940" w:type="dxa"/>
            <w:vAlign w:val="bottom"/>
          </w:tcPr>
          <w:p w14:paraId="52AE2571" w14:textId="77777777" w:rsidR="00D1587D" w:rsidRDefault="00D1587D">
            <w:pPr>
              <w:rPr>
                <w:sz w:val="4"/>
                <w:szCs w:val="4"/>
              </w:rPr>
            </w:pPr>
          </w:p>
        </w:tc>
        <w:tc>
          <w:tcPr>
            <w:tcW w:w="140" w:type="dxa"/>
            <w:vAlign w:val="bottom"/>
          </w:tcPr>
          <w:p w14:paraId="7DDF4B92" w14:textId="77777777" w:rsidR="00D1587D" w:rsidRDefault="00D1587D">
            <w:pPr>
              <w:rPr>
                <w:sz w:val="4"/>
                <w:szCs w:val="4"/>
              </w:rPr>
            </w:pPr>
          </w:p>
        </w:tc>
        <w:tc>
          <w:tcPr>
            <w:tcW w:w="100" w:type="dxa"/>
            <w:vAlign w:val="bottom"/>
          </w:tcPr>
          <w:p w14:paraId="7A6312FA" w14:textId="77777777" w:rsidR="00D1587D" w:rsidRDefault="00D1587D">
            <w:pPr>
              <w:rPr>
                <w:sz w:val="4"/>
                <w:szCs w:val="4"/>
              </w:rPr>
            </w:pPr>
          </w:p>
        </w:tc>
        <w:tc>
          <w:tcPr>
            <w:tcW w:w="480" w:type="dxa"/>
            <w:vAlign w:val="bottom"/>
          </w:tcPr>
          <w:p w14:paraId="45DBF33C" w14:textId="77777777" w:rsidR="00D1587D" w:rsidRDefault="00D1587D">
            <w:pPr>
              <w:rPr>
                <w:sz w:val="4"/>
                <w:szCs w:val="4"/>
              </w:rPr>
            </w:pPr>
          </w:p>
        </w:tc>
        <w:tc>
          <w:tcPr>
            <w:tcW w:w="0" w:type="dxa"/>
            <w:vAlign w:val="bottom"/>
          </w:tcPr>
          <w:p w14:paraId="220F2CB9" w14:textId="77777777" w:rsidR="00D1587D" w:rsidRDefault="00D1587D">
            <w:pPr>
              <w:rPr>
                <w:sz w:val="1"/>
                <w:szCs w:val="1"/>
              </w:rPr>
            </w:pPr>
          </w:p>
        </w:tc>
      </w:tr>
      <w:tr w:rsidR="00D1587D" w14:paraId="0B12E18F" w14:textId="77777777">
        <w:trPr>
          <w:trHeight w:val="304"/>
        </w:trPr>
        <w:tc>
          <w:tcPr>
            <w:tcW w:w="4440" w:type="dxa"/>
            <w:gridSpan w:val="2"/>
            <w:tcBorders>
              <w:bottom w:val="single" w:sz="8" w:space="0" w:color="CCEEFF"/>
            </w:tcBorders>
            <w:shd w:val="clear" w:color="auto" w:fill="CCEEFF"/>
            <w:vAlign w:val="bottom"/>
          </w:tcPr>
          <w:p w14:paraId="43A4B54D" w14:textId="77777777" w:rsidR="00D1587D" w:rsidRDefault="00410D07">
            <w:pPr>
              <w:ind w:left="180"/>
              <w:rPr>
                <w:sz w:val="20"/>
                <w:szCs w:val="20"/>
              </w:rPr>
            </w:pPr>
            <w:r>
              <w:rPr>
                <w:rFonts w:ascii="Arial" w:eastAsia="Arial" w:hAnsi="Arial" w:cs="Arial"/>
                <w:sz w:val="18"/>
                <w:szCs w:val="18"/>
              </w:rPr>
              <w:t>Net Income</w:t>
            </w:r>
          </w:p>
        </w:tc>
        <w:tc>
          <w:tcPr>
            <w:tcW w:w="1100" w:type="dxa"/>
            <w:tcBorders>
              <w:bottom w:val="single" w:sz="8" w:space="0" w:color="CCEEFF"/>
            </w:tcBorders>
            <w:shd w:val="clear" w:color="auto" w:fill="CCEEFF"/>
            <w:vAlign w:val="bottom"/>
          </w:tcPr>
          <w:p w14:paraId="20CC12E8" w14:textId="77777777" w:rsidR="00D1587D" w:rsidRDefault="00410D07">
            <w:pPr>
              <w:ind w:right="212"/>
              <w:jc w:val="right"/>
              <w:rPr>
                <w:sz w:val="20"/>
                <w:szCs w:val="20"/>
              </w:rPr>
            </w:pPr>
            <w:r>
              <w:rPr>
                <w:rFonts w:ascii="Arial" w:eastAsia="Arial" w:hAnsi="Arial" w:cs="Arial"/>
                <w:sz w:val="18"/>
                <w:szCs w:val="18"/>
              </w:rPr>
              <w:t>251</w:t>
            </w:r>
          </w:p>
        </w:tc>
        <w:tc>
          <w:tcPr>
            <w:tcW w:w="140" w:type="dxa"/>
            <w:tcBorders>
              <w:bottom w:val="single" w:sz="8" w:space="0" w:color="CCEEFF"/>
            </w:tcBorders>
            <w:shd w:val="clear" w:color="auto" w:fill="CCEEFF"/>
            <w:vAlign w:val="bottom"/>
          </w:tcPr>
          <w:p w14:paraId="4FFE1024" w14:textId="77777777" w:rsidR="00D1587D" w:rsidRDefault="00D1587D">
            <w:pPr>
              <w:rPr>
                <w:sz w:val="24"/>
                <w:szCs w:val="24"/>
              </w:rPr>
            </w:pPr>
          </w:p>
        </w:tc>
        <w:tc>
          <w:tcPr>
            <w:tcW w:w="420" w:type="dxa"/>
            <w:tcBorders>
              <w:bottom w:val="single" w:sz="8" w:space="0" w:color="CCEEFF"/>
            </w:tcBorders>
            <w:shd w:val="clear" w:color="auto" w:fill="CCEEFF"/>
            <w:vAlign w:val="bottom"/>
          </w:tcPr>
          <w:p w14:paraId="60BE2851" w14:textId="77777777" w:rsidR="00D1587D" w:rsidRDefault="00D1587D">
            <w:pPr>
              <w:rPr>
                <w:sz w:val="24"/>
                <w:szCs w:val="24"/>
              </w:rPr>
            </w:pPr>
          </w:p>
        </w:tc>
        <w:tc>
          <w:tcPr>
            <w:tcW w:w="660" w:type="dxa"/>
            <w:gridSpan w:val="2"/>
            <w:tcBorders>
              <w:bottom w:val="single" w:sz="8" w:space="0" w:color="CCEEFF"/>
            </w:tcBorders>
            <w:shd w:val="clear" w:color="auto" w:fill="CCEEFF"/>
            <w:vAlign w:val="bottom"/>
          </w:tcPr>
          <w:p w14:paraId="7A1D9333"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tcBorders>
              <w:bottom w:val="single" w:sz="8" w:space="0" w:color="CCEEFF"/>
            </w:tcBorders>
            <w:shd w:val="clear" w:color="auto" w:fill="CCEEFF"/>
            <w:vAlign w:val="bottom"/>
          </w:tcPr>
          <w:p w14:paraId="5BA4FB52" w14:textId="77777777" w:rsidR="00D1587D" w:rsidRDefault="00410D07">
            <w:pPr>
              <w:ind w:right="480"/>
              <w:jc w:val="right"/>
              <w:rPr>
                <w:sz w:val="20"/>
                <w:szCs w:val="20"/>
              </w:rPr>
            </w:pPr>
            <w:r>
              <w:rPr>
                <w:rFonts w:ascii="Arial" w:eastAsia="Arial" w:hAnsi="Arial" w:cs="Arial"/>
                <w:sz w:val="18"/>
                <w:szCs w:val="18"/>
              </w:rPr>
              <w:t>—</w:t>
            </w:r>
          </w:p>
        </w:tc>
        <w:tc>
          <w:tcPr>
            <w:tcW w:w="100" w:type="dxa"/>
            <w:tcBorders>
              <w:bottom w:val="single" w:sz="8" w:space="0" w:color="CCEEFF"/>
            </w:tcBorders>
            <w:shd w:val="clear" w:color="auto" w:fill="CCEEFF"/>
            <w:vAlign w:val="bottom"/>
          </w:tcPr>
          <w:p w14:paraId="634A52ED" w14:textId="77777777" w:rsidR="00D1587D" w:rsidRDefault="00D1587D">
            <w:pPr>
              <w:rPr>
                <w:sz w:val="24"/>
                <w:szCs w:val="24"/>
              </w:rPr>
            </w:pPr>
          </w:p>
        </w:tc>
        <w:tc>
          <w:tcPr>
            <w:tcW w:w="480" w:type="dxa"/>
            <w:tcBorders>
              <w:bottom w:val="single" w:sz="8" w:space="0" w:color="CCEEFF"/>
            </w:tcBorders>
            <w:shd w:val="clear" w:color="auto" w:fill="CCEEFF"/>
            <w:vAlign w:val="bottom"/>
          </w:tcPr>
          <w:p w14:paraId="355C3BA5" w14:textId="77777777" w:rsidR="00D1587D" w:rsidRDefault="00410D07">
            <w:pPr>
              <w:ind w:right="11"/>
              <w:jc w:val="right"/>
              <w:rPr>
                <w:sz w:val="20"/>
                <w:szCs w:val="20"/>
              </w:rPr>
            </w:pPr>
            <w:r>
              <w:rPr>
                <w:rFonts w:ascii="Arial" w:eastAsia="Arial" w:hAnsi="Arial" w:cs="Arial"/>
                <w:sz w:val="18"/>
                <w:szCs w:val="18"/>
              </w:rPr>
              <w:t>251</w:t>
            </w:r>
          </w:p>
        </w:tc>
        <w:tc>
          <w:tcPr>
            <w:tcW w:w="0" w:type="dxa"/>
            <w:vAlign w:val="bottom"/>
          </w:tcPr>
          <w:p w14:paraId="2E68F1D9" w14:textId="77777777" w:rsidR="00D1587D" w:rsidRDefault="00D1587D">
            <w:pPr>
              <w:rPr>
                <w:sz w:val="1"/>
                <w:szCs w:val="1"/>
              </w:rPr>
            </w:pPr>
          </w:p>
        </w:tc>
      </w:tr>
      <w:tr w:rsidR="00D1587D" w14:paraId="294B6225" w14:textId="77777777">
        <w:trPr>
          <w:trHeight w:val="270"/>
        </w:trPr>
        <w:tc>
          <w:tcPr>
            <w:tcW w:w="4440" w:type="dxa"/>
            <w:gridSpan w:val="2"/>
            <w:vAlign w:val="bottom"/>
          </w:tcPr>
          <w:p w14:paraId="6E63E89D" w14:textId="77777777" w:rsidR="00D1587D" w:rsidRDefault="00410D07">
            <w:pPr>
              <w:ind w:left="180"/>
              <w:rPr>
                <w:sz w:val="20"/>
                <w:szCs w:val="20"/>
              </w:rPr>
            </w:pPr>
            <w:r>
              <w:rPr>
                <w:rFonts w:ascii="Arial" w:eastAsia="Arial" w:hAnsi="Arial" w:cs="Arial"/>
                <w:sz w:val="18"/>
                <w:szCs w:val="18"/>
              </w:rPr>
              <w:t>Other Comprehensive Income</w:t>
            </w:r>
          </w:p>
        </w:tc>
        <w:tc>
          <w:tcPr>
            <w:tcW w:w="1240" w:type="dxa"/>
            <w:gridSpan w:val="2"/>
            <w:vAlign w:val="bottom"/>
          </w:tcPr>
          <w:p w14:paraId="09DFBBAF" w14:textId="77777777" w:rsidR="00D1587D" w:rsidRDefault="00410D07">
            <w:pPr>
              <w:ind w:right="440"/>
              <w:jc w:val="right"/>
              <w:rPr>
                <w:sz w:val="20"/>
                <w:szCs w:val="20"/>
              </w:rPr>
            </w:pPr>
            <w:r>
              <w:rPr>
                <w:rFonts w:ascii="Arial" w:eastAsia="Arial" w:hAnsi="Arial" w:cs="Arial"/>
                <w:sz w:val="18"/>
                <w:szCs w:val="18"/>
              </w:rPr>
              <w:t>—</w:t>
            </w:r>
          </w:p>
        </w:tc>
        <w:tc>
          <w:tcPr>
            <w:tcW w:w="420" w:type="dxa"/>
            <w:vAlign w:val="bottom"/>
          </w:tcPr>
          <w:p w14:paraId="672FEABC" w14:textId="77777777" w:rsidR="00D1587D" w:rsidRDefault="00D1587D">
            <w:pPr>
              <w:rPr>
                <w:sz w:val="23"/>
                <w:szCs w:val="23"/>
              </w:rPr>
            </w:pPr>
          </w:p>
        </w:tc>
        <w:tc>
          <w:tcPr>
            <w:tcW w:w="540" w:type="dxa"/>
            <w:vAlign w:val="bottom"/>
          </w:tcPr>
          <w:p w14:paraId="344D170C" w14:textId="77777777" w:rsidR="00D1587D" w:rsidRDefault="00410D07">
            <w:pPr>
              <w:ind w:right="250"/>
              <w:jc w:val="right"/>
              <w:rPr>
                <w:sz w:val="20"/>
                <w:szCs w:val="20"/>
              </w:rPr>
            </w:pPr>
            <w:r>
              <w:rPr>
                <w:rFonts w:ascii="Arial" w:eastAsia="Arial" w:hAnsi="Arial" w:cs="Arial"/>
                <w:sz w:val="18"/>
                <w:szCs w:val="18"/>
              </w:rPr>
              <w:t>3</w:t>
            </w:r>
          </w:p>
        </w:tc>
        <w:tc>
          <w:tcPr>
            <w:tcW w:w="120" w:type="dxa"/>
            <w:vAlign w:val="bottom"/>
          </w:tcPr>
          <w:p w14:paraId="0C79FEA8" w14:textId="77777777" w:rsidR="00D1587D" w:rsidRDefault="00D1587D">
            <w:pPr>
              <w:rPr>
                <w:sz w:val="23"/>
                <w:szCs w:val="23"/>
              </w:rPr>
            </w:pPr>
          </w:p>
        </w:tc>
        <w:tc>
          <w:tcPr>
            <w:tcW w:w="1080" w:type="dxa"/>
            <w:gridSpan w:val="2"/>
            <w:vAlign w:val="bottom"/>
          </w:tcPr>
          <w:p w14:paraId="3F2B1799" w14:textId="77777777" w:rsidR="00D1587D" w:rsidRDefault="00410D07">
            <w:pPr>
              <w:ind w:right="480"/>
              <w:jc w:val="right"/>
              <w:rPr>
                <w:sz w:val="20"/>
                <w:szCs w:val="20"/>
              </w:rPr>
            </w:pPr>
            <w:r>
              <w:rPr>
                <w:rFonts w:ascii="Arial" w:eastAsia="Arial" w:hAnsi="Arial" w:cs="Arial"/>
                <w:sz w:val="18"/>
                <w:szCs w:val="18"/>
              </w:rPr>
              <w:t>—</w:t>
            </w:r>
          </w:p>
        </w:tc>
        <w:tc>
          <w:tcPr>
            <w:tcW w:w="100" w:type="dxa"/>
            <w:vAlign w:val="bottom"/>
          </w:tcPr>
          <w:p w14:paraId="733514A2" w14:textId="77777777" w:rsidR="00D1587D" w:rsidRDefault="00D1587D">
            <w:pPr>
              <w:rPr>
                <w:sz w:val="23"/>
                <w:szCs w:val="23"/>
              </w:rPr>
            </w:pPr>
          </w:p>
        </w:tc>
        <w:tc>
          <w:tcPr>
            <w:tcW w:w="480" w:type="dxa"/>
            <w:vAlign w:val="bottom"/>
          </w:tcPr>
          <w:p w14:paraId="566572B3" w14:textId="77777777" w:rsidR="00D1587D" w:rsidRDefault="00410D07">
            <w:pPr>
              <w:jc w:val="right"/>
              <w:rPr>
                <w:sz w:val="20"/>
                <w:szCs w:val="20"/>
              </w:rPr>
            </w:pPr>
            <w:r>
              <w:rPr>
                <w:rFonts w:ascii="Arial" w:eastAsia="Arial" w:hAnsi="Arial" w:cs="Arial"/>
                <w:sz w:val="18"/>
                <w:szCs w:val="18"/>
              </w:rPr>
              <w:t>3</w:t>
            </w:r>
          </w:p>
        </w:tc>
        <w:tc>
          <w:tcPr>
            <w:tcW w:w="0" w:type="dxa"/>
            <w:vAlign w:val="bottom"/>
          </w:tcPr>
          <w:p w14:paraId="0CEE33F1" w14:textId="77777777" w:rsidR="00D1587D" w:rsidRDefault="00D1587D">
            <w:pPr>
              <w:rPr>
                <w:sz w:val="1"/>
                <w:szCs w:val="1"/>
              </w:rPr>
            </w:pPr>
          </w:p>
        </w:tc>
      </w:tr>
      <w:tr w:rsidR="00D1587D" w14:paraId="7DAD479D" w14:textId="77777777">
        <w:trPr>
          <w:trHeight w:val="68"/>
        </w:trPr>
        <w:tc>
          <w:tcPr>
            <w:tcW w:w="4380" w:type="dxa"/>
            <w:tcBorders>
              <w:bottom w:val="single" w:sz="8" w:space="0" w:color="CCEEFF"/>
            </w:tcBorders>
            <w:vAlign w:val="bottom"/>
          </w:tcPr>
          <w:p w14:paraId="4C00E4C1" w14:textId="77777777" w:rsidR="00D1587D" w:rsidRDefault="00D1587D">
            <w:pPr>
              <w:rPr>
                <w:sz w:val="5"/>
                <w:szCs w:val="5"/>
              </w:rPr>
            </w:pPr>
          </w:p>
        </w:tc>
        <w:tc>
          <w:tcPr>
            <w:tcW w:w="60" w:type="dxa"/>
            <w:tcBorders>
              <w:bottom w:val="single" w:sz="8" w:space="0" w:color="CCEEFF"/>
            </w:tcBorders>
            <w:vAlign w:val="bottom"/>
          </w:tcPr>
          <w:p w14:paraId="5954AC9C" w14:textId="77777777" w:rsidR="00D1587D" w:rsidRDefault="00D1587D">
            <w:pPr>
              <w:rPr>
                <w:sz w:val="5"/>
                <w:szCs w:val="5"/>
              </w:rPr>
            </w:pPr>
          </w:p>
        </w:tc>
        <w:tc>
          <w:tcPr>
            <w:tcW w:w="1100" w:type="dxa"/>
            <w:tcBorders>
              <w:bottom w:val="single" w:sz="8" w:space="0" w:color="auto"/>
            </w:tcBorders>
            <w:vAlign w:val="bottom"/>
          </w:tcPr>
          <w:p w14:paraId="206EB71D" w14:textId="77777777" w:rsidR="00D1587D" w:rsidRDefault="00D1587D">
            <w:pPr>
              <w:rPr>
                <w:sz w:val="5"/>
                <w:szCs w:val="5"/>
              </w:rPr>
            </w:pPr>
          </w:p>
        </w:tc>
        <w:tc>
          <w:tcPr>
            <w:tcW w:w="140" w:type="dxa"/>
            <w:tcBorders>
              <w:bottom w:val="single" w:sz="8" w:space="0" w:color="CCEEFF"/>
            </w:tcBorders>
            <w:vAlign w:val="bottom"/>
          </w:tcPr>
          <w:p w14:paraId="5273903A" w14:textId="77777777" w:rsidR="00D1587D" w:rsidRDefault="00D1587D">
            <w:pPr>
              <w:rPr>
                <w:sz w:val="5"/>
                <w:szCs w:val="5"/>
              </w:rPr>
            </w:pPr>
          </w:p>
        </w:tc>
        <w:tc>
          <w:tcPr>
            <w:tcW w:w="420" w:type="dxa"/>
            <w:tcBorders>
              <w:bottom w:val="single" w:sz="8" w:space="0" w:color="auto"/>
            </w:tcBorders>
            <w:vAlign w:val="bottom"/>
          </w:tcPr>
          <w:p w14:paraId="3670DFDB" w14:textId="77777777" w:rsidR="00D1587D" w:rsidRDefault="00D1587D">
            <w:pPr>
              <w:rPr>
                <w:sz w:val="5"/>
                <w:szCs w:val="5"/>
              </w:rPr>
            </w:pPr>
          </w:p>
        </w:tc>
        <w:tc>
          <w:tcPr>
            <w:tcW w:w="540" w:type="dxa"/>
            <w:tcBorders>
              <w:bottom w:val="single" w:sz="8" w:space="0" w:color="auto"/>
            </w:tcBorders>
            <w:vAlign w:val="bottom"/>
          </w:tcPr>
          <w:p w14:paraId="2348A5C8" w14:textId="77777777" w:rsidR="00D1587D" w:rsidRDefault="00D1587D">
            <w:pPr>
              <w:rPr>
                <w:sz w:val="5"/>
                <w:szCs w:val="5"/>
              </w:rPr>
            </w:pPr>
          </w:p>
        </w:tc>
        <w:tc>
          <w:tcPr>
            <w:tcW w:w="120" w:type="dxa"/>
            <w:tcBorders>
              <w:bottom w:val="single" w:sz="8" w:space="0" w:color="CCEEFF"/>
            </w:tcBorders>
            <w:vAlign w:val="bottom"/>
          </w:tcPr>
          <w:p w14:paraId="350CBF9A" w14:textId="77777777" w:rsidR="00D1587D" w:rsidRDefault="00D1587D">
            <w:pPr>
              <w:rPr>
                <w:sz w:val="5"/>
                <w:szCs w:val="5"/>
              </w:rPr>
            </w:pPr>
          </w:p>
        </w:tc>
        <w:tc>
          <w:tcPr>
            <w:tcW w:w="940" w:type="dxa"/>
            <w:tcBorders>
              <w:bottom w:val="single" w:sz="8" w:space="0" w:color="auto"/>
            </w:tcBorders>
            <w:vAlign w:val="bottom"/>
          </w:tcPr>
          <w:p w14:paraId="451F3789" w14:textId="77777777" w:rsidR="00D1587D" w:rsidRDefault="00D1587D">
            <w:pPr>
              <w:rPr>
                <w:sz w:val="5"/>
                <w:szCs w:val="5"/>
              </w:rPr>
            </w:pPr>
          </w:p>
        </w:tc>
        <w:tc>
          <w:tcPr>
            <w:tcW w:w="140" w:type="dxa"/>
            <w:tcBorders>
              <w:bottom w:val="single" w:sz="8" w:space="0" w:color="CCEEFF"/>
            </w:tcBorders>
            <w:vAlign w:val="bottom"/>
          </w:tcPr>
          <w:p w14:paraId="59A24C46" w14:textId="77777777" w:rsidR="00D1587D" w:rsidRDefault="00D1587D">
            <w:pPr>
              <w:rPr>
                <w:sz w:val="5"/>
                <w:szCs w:val="5"/>
              </w:rPr>
            </w:pPr>
          </w:p>
        </w:tc>
        <w:tc>
          <w:tcPr>
            <w:tcW w:w="100" w:type="dxa"/>
            <w:tcBorders>
              <w:bottom w:val="single" w:sz="8" w:space="0" w:color="auto"/>
            </w:tcBorders>
            <w:vAlign w:val="bottom"/>
          </w:tcPr>
          <w:p w14:paraId="4254FA89" w14:textId="77777777" w:rsidR="00D1587D" w:rsidRDefault="00D1587D">
            <w:pPr>
              <w:rPr>
                <w:sz w:val="5"/>
                <w:szCs w:val="5"/>
              </w:rPr>
            </w:pPr>
          </w:p>
        </w:tc>
        <w:tc>
          <w:tcPr>
            <w:tcW w:w="480" w:type="dxa"/>
            <w:tcBorders>
              <w:bottom w:val="single" w:sz="8" w:space="0" w:color="auto"/>
            </w:tcBorders>
            <w:vAlign w:val="bottom"/>
          </w:tcPr>
          <w:p w14:paraId="511C4331" w14:textId="77777777" w:rsidR="00D1587D" w:rsidRDefault="00D1587D">
            <w:pPr>
              <w:rPr>
                <w:sz w:val="5"/>
                <w:szCs w:val="5"/>
              </w:rPr>
            </w:pPr>
          </w:p>
        </w:tc>
        <w:tc>
          <w:tcPr>
            <w:tcW w:w="0" w:type="dxa"/>
            <w:vAlign w:val="bottom"/>
          </w:tcPr>
          <w:p w14:paraId="444A9E72" w14:textId="77777777" w:rsidR="00D1587D" w:rsidRDefault="00D1587D">
            <w:pPr>
              <w:rPr>
                <w:sz w:val="1"/>
                <w:szCs w:val="1"/>
              </w:rPr>
            </w:pPr>
          </w:p>
        </w:tc>
      </w:tr>
      <w:tr w:rsidR="00D1587D" w14:paraId="3CA12BB9" w14:textId="77777777">
        <w:trPr>
          <w:trHeight w:val="311"/>
        </w:trPr>
        <w:tc>
          <w:tcPr>
            <w:tcW w:w="4440" w:type="dxa"/>
            <w:gridSpan w:val="2"/>
            <w:tcBorders>
              <w:bottom w:val="single" w:sz="8" w:space="0" w:color="CCEEFF"/>
            </w:tcBorders>
            <w:shd w:val="clear" w:color="auto" w:fill="CCEEFF"/>
            <w:vAlign w:val="bottom"/>
          </w:tcPr>
          <w:p w14:paraId="7BA147D2" w14:textId="77777777" w:rsidR="00D1587D" w:rsidRDefault="00410D07">
            <w:pPr>
              <w:ind w:left="180"/>
              <w:rPr>
                <w:sz w:val="20"/>
                <w:szCs w:val="20"/>
              </w:rPr>
            </w:pPr>
            <w:r>
              <w:rPr>
                <w:rFonts w:ascii="Arial" w:eastAsia="Arial" w:hAnsi="Arial" w:cs="Arial"/>
                <w:sz w:val="18"/>
                <w:szCs w:val="18"/>
              </w:rPr>
              <w:t xml:space="preserve">Total </w:t>
            </w:r>
            <w:r>
              <w:rPr>
                <w:rFonts w:ascii="Arial" w:eastAsia="Arial" w:hAnsi="Arial" w:cs="Arial"/>
                <w:sz w:val="18"/>
                <w:szCs w:val="18"/>
              </w:rPr>
              <w:t>Comprehensive Income</w:t>
            </w:r>
          </w:p>
        </w:tc>
        <w:tc>
          <w:tcPr>
            <w:tcW w:w="1100" w:type="dxa"/>
            <w:tcBorders>
              <w:bottom w:val="single" w:sz="8" w:space="0" w:color="CCEEFF"/>
            </w:tcBorders>
            <w:shd w:val="clear" w:color="auto" w:fill="CCEEFF"/>
            <w:vAlign w:val="bottom"/>
          </w:tcPr>
          <w:p w14:paraId="754D31CE" w14:textId="77777777" w:rsidR="00D1587D" w:rsidRDefault="00410D07">
            <w:pPr>
              <w:ind w:right="212"/>
              <w:jc w:val="right"/>
              <w:rPr>
                <w:sz w:val="20"/>
                <w:szCs w:val="20"/>
              </w:rPr>
            </w:pPr>
            <w:r>
              <w:rPr>
                <w:rFonts w:ascii="Arial" w:eastAsia="Arial" w:hAnsi="Arial" w:cs="Arial"/>
                <w:sz w:val="18"/>
                <w:szCs w:val="18"/>
              </w:rPr>
              <w:t>251</w:t>
            </w:r>
          </w:p>
        </w:tc>
        <w:tc>
          <w:tcPr>
            <w:tcW w:w="140" w:type="dxa"/>
            <w:tcBorders>
              <w:bottom w:val="single" w:sz="8" w:space="0" w:color="CCEEFF"/>
            </w:tcBorders>
            <w:shd w:val="clear" w:color="auto" w:fill="CCEEFF"/>
            <w:vAlign w:val="bottom"/>
          </w:tcPr>
          <w:p w14:paraId="2D7CA90B" w14:textId="77777777" w:rsidR="00D1587D" w:rsidRDefault="00D1587D">
            <w:pPr>
              <w:rPr>
                <w:sz w:val="24"/>
                <w:szCs w:val="24"/>
              </w:rPr>
            </w:pPr>
          </w:p>
        </w:tc>
        <w:tc>
          <w:tcPr>
            <w:tcW w:w="420" w:type="dxa"/>
            <w:tcBorders>
              <w:bottom w:val="single" w:sz="8" w:space="0" w:color="CCEEFF"/>
            </w:tcBorders>
            <w:shd w:val="clear" w:color="auto" w:fill="CCEEFF"/>
            <w:vAlign w:val="bottom"/>
          </w:tcPr>
          <w:p w14:paraId="226DD28E" w14:textId="77777777" w:rsidR="00D1587D" w:rsidRDefault="00D1587D">
            <w:pPr>
              <w:rPr>
                <w:sz w:val="24"/>
                <w:szCs w:val="24"/>
              </w:rPr>
            </w:pPr>
          </w:p>
        </w:tc>
        <w:tc>
          <w:tcPr>
            <w:tcW w:w="540" w:type="dxa"/>
            <w:tcBorders>
              <w:bottom w:val="single" w:sz="8" w:space="0" w:color="CCEEFF"/>
            </w:tcBorders>
            <w:shd w:val="clear" w:color="auto" w:fill="CCEEFF"/>
            <w:vAlign w:val="bottom"/>
          </w:tcPr>
          <w:p w14:paraId="6A3356F8" w14:textId="77777777" w:rsidR="00D1587D" w:rsidRDefault="00410D07">
            <w:pPr>
              <w:ind w:right="250"/>
              <w:jc w:val="right"/>
              <w:rPr>
                <w:sz w:val="20"/>
                <w:szCs w:val="20"/>
              </w:rPr>
            </w:pPr>
            <w:r>
              <w:rPr>
                <w:rFonts w:ascii="Arial" w:eastAsia="Arial" w:hAnsi="Arial" w:cs="Arial"/>
                <w:sz w:val="18"/>
                <w:szCs w:val="18"/>
              </w:rPr>
              <w:t>3</w:t>
            </w:r>
          </w:p>
        </w:tc>
        <w:tc>
          <w:tcPr>
            <w:tcW w:w="120" w:type="dxa"/>
            <w:tcBorders>
              <w:bottom w:val="single" w:sz="8" w:space="0" w:color="CCEEFF"/>
            </w:tcBorders>
            <w:shd w:val="clear" w:color="auto" w:fill="CCEEFF"/>
            <w:vAlign w:val="bottom"/>
          </w:tcPr>
          <w:p w14:paraId="4E9C4993" w14:textId="77777777" w:rsidR="00D1587D" w:rsidRDefault="00D1587D">
            <w:pPr>
              <w:rPr>
                <w:sz w:val="24"/>
                <w:szCs w:val="24"/>
              </w:rPr>
            </w:pPr>
          </w:p>
        </w:tc>
        <w:tc>
          <w:tcPr>
            <w:tcW w:w="1080" w:type="dxa"/>
            <w:gridSpan w:val="2"/>
            <w:tcBorders>
              <w:bottom w:val="single" w:sz="8" w:space="0" w:color="CCEEFF"/>
            </w:tcBorders>
            <w:shd w:val="clear" w:color="auto" w:fill="CCEEFF"/>
            <w:vAlign w:val="bottom"/>
          </w:tcPr>
          <w:p w14:paraId="5CBF724E" w14:textId="77777777" w:rsidR="00D1587D" w:rsidRDefault="00410D07">
            <w:pPr>
              <w:ind w:right="480"/>
              <w:jc w:val="right"/>
              <w:rPr>
                <w:sz w:val="20"/>
                <w:szCs w:val="20"/>
              </w:rPr>
            </w:pPr>
            <w:r>
              <w:rPr>
                <w:rFonts w:ascii="Arial" w:eastAsia="Arial" w:hAnsi="Arial" w:cs="Arial"/>
                <w:sz w:val="18"/>
                <w:szCs w:val="18"/>
              </w:rPr>
              <w:t>—</w:t>
            </w:r>
          </w:p>
        </w:tc>
        <w:tc>
          <w:tcPr>
            <w:tcW w:w="100" w:type="dxa"/>
            <w:tcBorders>
              <w:bottom w:val="single" w:sz="8" w:space="0" w:color="CCEEFF"/>
            </w:tcBorders>
            <w:shd w:val="clear" w:color="auto" w:fill="CCEEFF"/>
            <w:vAlign w:val="bottom"/>
          </w:tcPr>
          <w:p w14:paraId="3790F560" w14:textId="77777777" w:rsidR="00D1587D" w:rsidRDefault="00D1587D">
            <w:pPr>
              <w:rPr>
                <w:sz w:val="24"/>
                <w:szCs w:val="24"/>
              </w:rPr>
            </w:pPr>
          </w:p>
        </w:tc>
        <w:tc>
          <w:tcPr>
            <w:tcW w:w="480" w:type="dxa"/>
            <w:tcBorders>
              <w:bottom w:val="single" w:sz="8" w:space="0" w:color="CCEEFF"/>
            </w:tcBorders>
            <w:shd w:val="clear" w:color="auto" w:fill="CCEEFF"/>
            <w:vAlign w:val="bottom"/>
          </w:tcPr>
          <w:p w14:paraId="4F2231F3" w14:textId="77777777" w:rsidR="00D1587D" w:rsidRDefault="00410D07">
            <w:pPr>
              <w:ind w:right="11"/>
              <w:jc w:val="right"/>
              <w:rPr>
                <w:sz w:val="20"/>
                <w:szCs w:val="20"/>
              </w:rPr>
            </w:pPr>
            <w:r>
              <w:rPr>
                <w:rFonts w:ascii="Arial" w:eastAsia="Arial" w:hAnsi="Arial" w:cs="Arial"/>
                <w:sz w:val="18"/>
                <w:szCs w:val="18"/>
              </w:rPr>
              <w:t>254</w:t>
            </w:r>
          </w:p>
        </w:tc>
        <w:tc>
          <w:tcPr>
            <w:tcW w:w="0" w:type="dxa"/>
            <w:vAlign w:val="bottom"/>
          </w:tcPr>
          <w:p w14:paraId="6DE31B74" w14:textId="77777777" w:rsidR="00D1587D" w:rsidRDefault="00D1587D">
            <w:pPr>
              <w:rPr>
                <w:sz w:val="1"/>
                <w:szCs w:val="1"/>
              </w:rPr>
            </w:pPr>
          </w:p>
        </w:tc>
      </w:tr>
      <w:tr w:rsidR="00D1587D" w14:paraId="74CBFC77" w14:textId="77777777">
        <w:trPr>
          <w:trHeight w:val="270"/>
        </w:trPr>
        <w:tc>
          <w:tcPr>
            <w:tcW w:w="4440" w:type="dxa"/>
            <w:gridSpan w:val="2"/>
            <w:vAlign w:val="bottom"/>
          </w:tcPr>
          <w:p w14:paraId="0E173858" w14:textId="77777777" w:rsidR="00D1587D" w:rsidRDefault="00410D07">
            <w:pPr>
              <w:ind w:left="180"/>
              <w:rPr>
                <w:sz w:val="20"/>
                <w:szCs w:val="20"/>
              </w:rPr>
            </w:pPr>
            <w:r>
              <w:rPr>
                <w:rFonts w:ascii="Arial" w:eastAsia="Arial" w:hAnsi="Arial" w:cs="Arial"/>
                <w:sz w:val="18"/>
                <w:szCs w:val="18"/>
              </w:rPr>
              <w:t>Net Transfers to L Brands, Inc.</w:t>
            </w:r>
          </w:p>
        </w:tc>
        <w:tc>
          <w:tcPr>
            <w:tcW w:w="1100" w:type="dxa"/>
            <w:vAlign w:val="bottom"/>
          </w:tcPr>
          <w:p w14:paraId="2BD93D2B" w14:textId="77777777" w:rsidR="00D1587D" w:rsidRDefault="00410D07">
            <w:pPr>
              <w:ind w:right="152"/>
              <w:jc w:val="right"/>
              <w:rPr>
                <w:sz w:val="20"/>
                <w:szCs w:val="20"/>
              </w:rPr>
            </w:pPr>
            <w:r>
              <w:rPr>
                <w:rFonts w:ascii="Arial" w:eastAsia="Arial" w:hAnsi="Arial" w:cs="Arial"/>
                <w:sz w:val="18"/>
                <w:szCs w:val="18"/>
              </w:rPr>
              <w:t>(288)</w:t>
            </w:r>
          </w:p>
        </w:tc>
        <w:tc>
          <w:tcPr>
            <w:tcW w:w="140" w:type="dxa"/>
            <w:vAlign w:val="bottom"/>
          </w:tcPr>
          <w:p w14:paraId="480C731C" w14:textId="77777777" w:rsidR="00D1587D" w:rsidRDefault="00D1587D">
            <w:pPr>
              <w:rPr>
                <w:sz w:val="23"/>
                <w:szCs w:val="23"/>
              </w:rPr>
            </w:pPr>
          </w:p>
        </w:tc>
        <w:tc>
          <w:tcPr>
            <w:tcW w:w="420" w:type="dxa"/>
            <w:vAlign w:val="bottom"/>
          </w:tcPr>
          <w:p w14:paraId="20A8E6DE" w14:textId="77777777" w:rsidR="00D1587D" w:rsidRDefault="00D1587D">
            <w:pPr>
              <w:rPr>
                <w:sz w:val="23"/>
                <w:szCs w:val="23"/>
              </w:rPr>
            </w:pPr>
          </w:p>
        </w:tc>
        <w:tc>
          <w:tcPr>
            <w:tcW w:w="660" w:type="dxa"/>
            <w:gridSpan w:val="2"/>
            <w:vAlign w:val="bottom"/>
          </w:tcPr>
          <w:p w14:paraId="0AADA97E"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vAlign w:val="bottom"/>
          </w:tcPr>
          <w:p w14:paraId="434C0E41" w14:textId="77777777" w:rsidR="00D1587D" w:rsidRDefault="00410D07">
            <w:pPr>
              <w:ind w:right="480"/>
              <w:jc w:val="right"/>
              <w:rPr>
                <w:sz w:val="20"/>
                <w:szCs w:val="20"/>
              </w:rPr>
            </w:pPr>
            <w:r>
              <w:rPr>
                <w:rFonts w:ascii="Arial" w:eastAsia="Arial" w:hAnsi="Arial" w:cs="Arial"/>
                <w:sz w:val="18"/>
                <w:szCs w:val="18"/>
              </w:rPr>
              <w:t>—</w:t>
            </w:r>
          </w:p>
        </w:tc>
        <w:tc>
          <w:tcPr>
            <w:tcW w:w="100" w:type="dxa"/>
            <w:vAlign w:val="bottom"/>
          </w:tcPr>
          <w:p w14:paraId="57CBB864" w14:textId="77777777" w:rsidR="00D1587D" w:rsidRDefault="00D1587D">
            <w:pPr>
              <w:rPr>
                <w:sz w:val="23"/>
                <w:szCs w:val="23"/>
              </w:rPr>
            </w:pPr>
          </w:p>
        </w:tc>
        <w:tc>
          <w:tcPr>
            <w:tcW w:w="480" w:type="dxa"/>
            <w:vAlign w:val="bottom"/>
          </w:tcPr>
          <w:p w14:paraId="3D6DB9EE" w14:textId="77777777" w:rsidR="00D1587D" w:rsidRDefault="00410D07">
            <w:pPr>
              <w:jc w:val="right"/>
              <w:rPr>
                <w:sz w:val="20"/>
                <w:szCs w:val="20"/>
              </w:rPr>
            </w:pPr>
            <w:r>
              <w:rPr>
                <w:rFonts w:ascii="Arial" w:eastAsia="Arial" w:hAnsi="Arial" w:cs="Arial"/>
                <w:w w:val="99"/>
                <w:sz w:val="18"/>
                <w:szCs w:val="18"/>
              </w:rPr>
              <w:t>(288)</w:t>
            </w:r>
          </w:p>
        </w:tc>
        <w:tc>
          <w:tcPr>
            <w:tcW w:w="0" w:type="dxa"/>
            <w:vAlign w:val="bottom"/>
          </w:tcPr>
          <w:p w14:paraId="3582C4FD" w14:textId="77777777" w:rsidR="00D1587D" w:rsidRDefault="00D1587D">
            <w:pPr>
              <w:rPr>
                <w:sz w:val="1"/>
                <w:szCs w:val="1"/>
              </w:rPr>
            </w:pPr>
          </w:p>
        </w:tc>
      </w:tr>
      <w:tr w:rsidR="00D1587D" w14:paraId="4A3A74A0" w14:textId="77777777">
        <w:trPr>
          <w:trHeight w:val="68"/>
        </w:trPr>
        <w:tc>
          <w:tcPr>
            <w:tcW w:w="4380" w:type="dxa"/>
            <w:tcBorders>
              <w:bottom w:val="single" w:sz="8" w:space="0" w:color="CCEEFF"/>
            </w:tcBorders>
            <w:vAlign w:val="bottom"/>
          </w:tcPr>
          <w:p w14:paraId="50A16A46" w14:textId="77777777" w:rsidR="00D1587D" w:rsidRDefault="00D1587D">
            <w:pPr>
              <w:rPr>
                <w:sz w:val="5"/>
                <w:szCs w:val="5"/>
              </w:rPr>
            </w:pPr>
          </w:p>
        </w:tc>
        <w:tc>
          <w:tcPr>
            <w:tcW w:w="60" w:type="dxa"/>
            <w:tcBorders>
              <w:bottom w:val="single" w:sz="8" w:space="0" w:color="CCEEFF"/>
            </w:tcBorders>
            <w:vAlign w:val="bottom"/>
          </w:tcPr>
          <w:p w14:paraId="5B76E1CF" w14:textId="77777777" w:rsidR="00D1587D" w:rsidRDefault="00D1587D">
            <w:pPr>
              <w:rPr>
                <w:sz w:val="5"/>
                <w:szCs w:val="5"/>
              </w:rPr>
            </w:pPr>
          </w:p>
        </w:tc>
        <w:tc>
          <w:tcPr>
            <w:tcW w:w="1100" w:type="dxa"/>
            <w:tcBorders>
              <w:bottom w:val="single" w:sz="8" w:space="0" w:color="auto"/>
            </w:tcBorders>
            <w:vAlign w:val="bottom"/>
          </w:tcPr>
          <w:p w14:paraId="7AC1AEFE" w14:textId="77777777" w:rsidR="00D1587D" w:rsidRDefault="00D1587D">
            <w:pPr>
              <w:rPr>
                <w:sz w:val="5"/>
                <w:szCs w:val="5"/>
              </w:rPr>
            </w:pPr>
          </w:p>
        </w:tc>
        <w:tc>
          <w:tcPr>
            <w:tcW w:w="140" w:type="dxa"/>
            <w:tcBorders>
              <w:bottom w:val="single" w:sz="8" w:space="0" w:color="CCEEFF"/>
            </w:tcBorders>
            <w:vAlign w:val="bottom"/>
          </w:tcPr>
          <w:p w14:paraId="73633C95" w14:textId="77777777" w:rsidR="00D1587D" w:rsidRDefault="00D1587D">
            <w:pPr>
              <w:rPr>
                <w:sz w:val="5"/>
                <w:szCs w:val="5"/>
              </w:rPr>
            </w:pPr>
          </w:p>
        </w:tc>
        <w:tc>
          <w:tcPr>
            <w:tcW w:w="960" w:type="dxa"/>
            <w:gridSpan w:val="2"/>
            <w:tcBorders>
              <w:bottom w:val="single" w:sz="8" w:space="0" w:color="auto"/>
            </w:tcBorders>
            <w:vAlign w:val="bottom"/>
          </w:tcPr>
          <w:p w14:paraId="41181923" w14:textId="77777777" w:rsidR="00D1587D" w:rsidRDefault="00D1587D">
            <w:pPr>
              <w:rPr>
                <w:sz w:val="5"/>
                <w:szCs w:val="5"/>
              </w:rPr>
            </w:pPr>
          </w:p>
        </w:tc>
        <w:tc>
          <w:tcPr>
            <w:tcW w:w="120" w:type="dxa"/>
            <w:tcBorders>
              <w:bottom w:val="single" w:sz="8" w:space="0" w:color="CCEEFF"/>
            </w:tcBorders>
            <w:vAlign w:val="bottom"/>
          </w:tcPr>
          <w:p w14:paraId="54893B0A" w14:textId="77777777" w:rsidR="00D1587D" w:rsidRDefault="00D1587D">
            <w:pPr>
              <w:rPr>
                <w:sz w:val="5"/>
                <w:szCs w:val="5"/>
              </w:rPr>
            </w:pPr>
          </w:p>
        </w:tc>
        <w:tc>
          <w:tcPr>
            <w:tcW w:w="940" w:type="dxa"/>
            <w:tcBorders>
              <w:bottom w:val="single" w:sz="8" w:space="0" w:color="auto"/>
            </w:tcBorders>
            <w:vAlign w:val="bottom"/>
          </w:tcPr>
          <w:p w14:paraId="2FAADAFB" w14:textId="77777777" w:rsidR="00D1587D" w:rsidRDefault="00D1587D">
            <w:pPr>
              <w:rPr>
                <w:sz w:val="5"/>
                <w:szCs w:val="5"/>
              </w:rPr>
            </w:pPr>
          </w:p>
        </w:tc>
        <w:tc>
          <w:tcPr>
            <w:tcW w:w="140" w:type="dxa"/>
            <w:tcBorders>
              <w:bottom w:val="single" w:sz="8" w:space="0" w:color="CCEEFF"/>
            </w:tcBorders>
            <w:vAlign w:val="bottom"/>
          </w:tcPr>
          <w:p w14:paraId="489F9BAF" w14:textId="77777777" w:rsidR="00D1587D" w:rsidRDefault="00D1587D">
            <w:pPr>
              <w:rPr>
                <w:sz w:val="5"/>
                <w:szCs w:val="5"/>
              </w:rPr>
            </w:pPr>
          </w:p>
        </w:tc>
        <w:tc>
          <w:tcPr>
            <w:tcW w:w="580" w:type="dxa"/>
            <w:gridSpan w:val="2"/>
            <w:tcBorders>
              <w:bottom w:val="single" w:sz="8" w:space="0" w:color="auto"/>
            </w:tcBorders>
            <w:vAlign w:val="bottom"/>
          </w:tcPr>
          <w:p w14:paraId="2E2473DF" w14:textId="77777777" w:rsidR="00D1587D" w:rsidRDefault="00D1587D">
            <w:pPr>
              <w:rPr>
                <w:sz w:val="5"/>
                <w:szCs w:val="5"/>
              </w:rPr>
            </w:pPr>
          </w:p>
        </w:tc>
        <w:tc>
          <w:tcPr>
            <w:tcW w:w="0" w:type="dxa"/>
            <w:vAlign w:val="bottom"/>
          </w:tcPr>
          <w:p w14:paraId="477E100C" w14:textId="77777777" w:rsidR="00D1587D" w:rsidRDefault="00D1587D">
            <w:pPr>
              <w:rPr>
                <w:sz w:val="1"/>
                <w:szCs w:val="1"/>
              </w:rPr>
            </w:pPr>
          </w:p>
        </w:tc>
      </w:tr>
      <w:tr w:rsidR="00D1587D" w14:paraId="2F029915" w14:textId="77777777">
        <w:trPr>
          <w:trHeight w:val="311"/>
        </w:trPr>
        <w:tc>
          <w:tcPr>
            <w:tcW w:w="4440" w:type="dxa"/>
            <w:gridSpan w:val="2"/>
            <w:tcBorders>
              <w:bottom w:val="single" w:sz="8" w:space="0" w:color="CCEEFF"/>
            </w:tcBorders>
            <w:shd w:val="clear" w:color="auto" w:fill="CCEEFF"/>
            <w:vAlign w:val="bottom"/>
          </w:tcPr>
          <w:p w14:paraId="3F98F6EA" w14:textId="77777777" w:rsidR="00D1587D" w:rsidRDefault="00410D07">
            <w:pPr>
              <w:rPr>
                <w:sz w:val="20"/>
                <w:szCs w:val="20"/>
              </w:rPr>
            </w:pPr>
            <w:r>
              <w:rPr>
                <w:rFonts w:ascii="Arial" w:eastAsia="Arial" w:hAnsi="Arial" w:cs="Arial"/>
                <w:sz w:val="18"/>
                <w:szCs w:val="18"/>
              </w:rPr>
              <w:t>Balance, February 2, 2019</w:t>
            </w:r>
          </w:p>
        </w:tc>
        <w:tc>
          <w:tcPr>
            <w:tcW w:w="1100" w:type="dxa"/>
            <w:tcBorders>
              <w:bottom w:val="single" w:sz="8" w:space="0" w:color="CCEEFF"/>
            </w:tcBorders>
            <w:shd w:val="clear" w:color="auto" w:fill="CCEEFF"/>
            <w:vAlign w:val="bottom"/>
          </w:tcPr>
          <w:p w14:paraId="6A455236" w14:textId="77777777" w:rsidR="00D1587D" w:rsidRDefault="00410D07">
            <w:pPr>
              <w:ind w:right="212"/>
              <w:jc w:val="right"/>
              <w:rPr>
                <w:sz w:val="20"/>
                <w:szCs w:val="20"/>
              </w:rPr>
            </w:pPr>
            <w:r>
              <w:rPr>
                <w:rFonts w:ascii="Arial" w:eastAsia="Arial" w:hAnsi="Arial" w:cs="Arial"/>
                <w:sz w:val="18"/>
                <w:szCs w:val="18"/>
              </w:rPr>
              <w:t>2,399</w:t>
            </w:r>
          </w:p>
        </w:tc>
        <w:tc>
          <w:tcPr>
            <w:tcW w:w="140" w:type="dxa"/>
            <w:tcBorders>
              <w:bottom w:val="single" w:sz="8" w:space="0" w:color="CCEEFF"/>
            </w:tcBorders>
            <w:shd w:val="clear" w:color="auto" w:fill="CCEEFF"/>
            <w:vAlign w:val="bottom"/>
          </w:tcPr>
          <w:p w14:paraId="006FCE58" w14:textId="77777777" w:rsidR="00D1587D" w:rsidRDefault="00D1587D">
            <w:pPr>
              <w:rPr>
                <w:sz w:val="24"/>
                <w:szCs w:val="24"/>
              </w:rPr>
            </w:pPr>
          </w:p>
        </w:tc>
        <w:tc>
          <w:tcPr>
            <w:tcW w:w="960" w:type="dxa"/>
            <w:gridSpan w:val="2"/>
            <w:tcBorders>
              <w:bottom w:val="single" w:sz="8" w:space="0" w:color="CCEEFF"/>
            </w:tcBorders>
            <w:shd w:val="clear" w:color="auto" w:fill="CCEEFF"/>
            <w:vAlign w:val="bottom"/>
          </w:tcPr>
          <w:p w14:paraId="5C4BA896" w14:textId="77777777" w:rsidR="00D1587D" w:rsidRDefault="00410D07">
            <w:pPr>
              <w:ind w:right="170"/>
              <w:jc w:val="right"/>
              <w:rPr>
                <w:sz w:val="20"/>
                <w:szCs w:val="20"/>
              </w:rPr>
            </w:pPr>
            <w:r>
              <w:rPr>
                <w:rFonts w:ascii="Arial" w:eastAsia="Arial" w:hAnsi="Arial" w:cs="Arial"/>
                <w:sz w:val="18"/>
                <w:szCs w:val="18"/>
              </w:rPr>
              <w:t>(21)</w:t>
            </w:r>
          </w:p>
        </w:tc>
        <w:tc>
          <w:tcPr>
            <w:tcW w:w="120" w:type="dxa"/>
            <w:tcBorders>
              <w:bottom w:val="single" w:sz="8" w:space="0" w:color="CCEEFF"/>
            </w:tcBorders>
            <w:shd w:val="clear" w:color="auto" w:fill="CCEEFF"/>
            <w:vAlign w:val="bottom"/>
          </w:tcPr>
          <w:p w14:paraId="5D8F592F" w14:textId="77777777" w:rsidR="00D1587D" w:rsidRDefault="00D1587D">
            <w:pPr>
              <w:rPr>
                <w:sz w:val="24"/>
                <w:szCs w:val="24"/>
              </w:rPr>
            </w:pPr>
          </w:p>
        </w:tc>
        <w:tc>
          <w:tcPr>
            <w:tcW w:w="940" w:type="dxa"/>
            <w:tcBorders>
              <w:bottom w:val="single" w:sz="8" w:space="0" w:color="CCEEFF"/>
            </w:tcBorders>
            <w:shd w:val="clear" w:color="auto" w:fill="CCEEFF"/>
            <w:vAlign w:val="bottom"/>
          </w:tcPr>
          <w:p w14:paraId="5F5D4B72" w14:textId="77777777" w:rsidR="00D1587D" w:rsidRDefault="00410D07">
            <w:pPr>
              <w:ind w:right="252"/>
              <w:jc w:val="right"/>
              <w:rPr>
                <w:sz w:val="20"/>
                <w:szCs w:val="20"/>
              </w:rPr>
            </w:pPr>
            <w:r>
              <w:rPr>
                <w:rFonts w:ascii="Arial" w:eastAsia="Arial" w:hAnsi="Arial" w:cs="Arial"/>
                <w:sz w:val="18"/>
                <w:szCs w:val="18"/>
              </w:rPr>
              <w:t>2</w:t>
            </w:r>
          </w:p>
        </w:tc>
        <w:tc>
          <w:tcPr>
            <w:tcW w:w="140" w:type="dxa"/>
            <w:tcBorders>
              <w:bottom w:val="single" w:sz="8" w:space="0" w:color="CCEEFF"/>
            </w:tcBorders>
            <w:shd w:val="clear" w:color="auto" w:fill="CCEEFF"/>
            <w:vAlign w:val="bottom"/>
          </w:tcPr>
          <w:p w14:paraId="1924396C"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1DBB9205" w14:textId="77777777" w:rsidR="00D1587D" w:rsidRDefault="00410D07">
            <w:pPr>
              <w:ind w:right="11"/>
              <w:jc w:val="right"/>
              <w:rPr>
                <w:sz w:val="20"/>
                <w:szCs w:val="20"/>
              </w:rPr>
            </w:pPr>
            <w:r>
              <w:rPr>
                <w:rFonts w:ascii="Arial" w:eastAsia="Arial" w:hAnsi="Arial" w:cs="Arial"/>
                <w:sz w:val="18"/>
                <w:szCs w:val="18"/>
              </w:rPr>
              <w:t>2,380</w:t>
            </w:r>
          </w:p>
        </w:tc>
        <w:tc>
          <w:tcPr>
            <w:tcW w:w="0" w:type="dxa"/>
            <w:vAlign w:val="bottom"/>
          </w:tcPr>
          <w:p w14:paraId="3FDD7C9E" w14:textId="77777777" w:rsidR="00D1587D" w:rsidRDefault="00D1587D">
            <w:pPr>
              <w:rPr>
                <w:sz w:val="1"/>
                <w:szCs w:val="1"/>
              </w:rPr>
            </w:pPr>
          </w:p>
        </w:tc>
      </w:tr>
      <w:tr w:rsidR="00D1587D" w14:paraId="45FE6122" w14:textId="77777777">
        <w:trPr>
          <w:trHeight w:val="270"/>
        </w:trPr>
        <w:tc>
          <w:tcPr>
            <w:tcW w:w="4440" w:type="dxa"/>
            <w:gridSpan w:val="2"/>
            <w:vAlign w:val="bottom"/>
          </w:tcPr>
          <w:p w14:paraId="11B792BF" w14:textId="77777777" w:rsidR="00D1587D" w:rsidRDefault="00410D07">
            <w:pPr>
              <w:ind w:left="180"/>
              <w:rPr>
                <w:sz w:val="20"/>
                <w:szCs w:val="20"/>
              </w:rPr>
            </w:pPr>
            <w:r>
              <w:rPr>
                <w:rFonts w:ascii="Arial" w:eastAsia="Arial" w:hAnsi="Arial" w:cs="Arial"/>
                <w:sz w:val="18"/>
                <w:szCs w:val="18"/>
              </w:rPr>
              <w:t>Cumulative Effect of Accounting Change</w:t>
            </w:r>
          </w:p>
        </w:tc>
        <w:tc>
          <w:tcPr>
            <w:tcW w:w="1100" w:type="dxa"/>
            <w:vAlign w:val="bottom"/>
          </w:tcPr>
          <w:p w14:paraId="4A85743D" w14:textId="77777777" w:rsidR="00D1587D" w:rsidRDefault="00410D07">
            <w:pPr>
              <w:ind w:right="152"/>
              <w:jc w:val="right"/>
              <w:rPr>
                <w:sz w:val="20"/>
                <w:szCs w:val="20"/>
              </w:rPr>
            </w:pPr>
            <w:r>
              <w:rPr>
                <w:rFonts w:ascii="Arial" w:eastAsia="Arial" w:hAnsi="Arial" w:cs="Arial"/>
                <w:sz w:val="18"/>
                <w:szCs w:val="18"/>
              </w:rPr>
              <w:t>(2)</w:t>
            </w:r>
          </w:p>
        </w:tc>
        <w:tc>
          <w:tcPr>
            <w:tcW w:w="140" w:type="dxa"/>
            <w:vAlign w:val="bottom"/>
          </w:tcPr>
          <w:p w14:paraId="7CC9339B" w14:textId="77777777" w:rsidR="00D1587D" w:rsidRDefault="00D1587D">
            <w:pPr>
              <w:rPr>
                <w:sz w:val="23"/>
                <w:szCs w:val="23"/>
              </w:rPr>
            </w:pPr>
          </w:p>
        </w:tc>
        <w:tc>
          <w:tcPr>
            <w:tcW w:w="420" w:type="dxa"/>
            <w:vAlign w:val="bottom"/>
          </w:tcPr>
          <w:p w14:paraId="4DCDAD48" w14:textId="77777777" w:rsidR="00D1587D" w:rsidRDefault="00D1587D">
            <w:pPr>
              <w:rPr>
                <w:sz w:val="23"/>
                <w:szCs w:val="23"/>
              </w:rPr>
            </w:pPr>
          </w:p>
        </w:tc>
        <w:tc>
          <w:tcPr>
            <w:tcW w:w="660" w:type="dxa"/>
            <w:gridSpan w:val="2"/>
            <w:vAlign w:val="bottom"/>
          </w:tcPr>
          <w:p w14:paraId="667D7341"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vAlign w:val="bottom"/>
          </w:tcPr>
          <w:p w14:paraId="75BB651E" w14:textId="77777777" w:rsidR="00D1587D" w:rsidRDefault="00410D07">
            <w:pPr>
              <w:ind w:right="480"/>
              <w:jc w:val="right"/>
              <w:rPr>
                <w:sz w:val="20"/>
                <w:szCs w:val="20"/>
              </w:rPr>
            </w:pPr>
            <w:r>
              <w:rPr>
                <w:rFonts w:ascii="Arial" w:eastAsia="Arial" w:hAnsi="Arial" w:cs="Arial"/>
                <w:sz w:val="18"/>
                <w:szCs w:val="18"/>
              </w:rPr>
              <w:t>—</w:t>
            </w:r>
          </w:p>
        </w:tc>
        <w:tc>
          <w:tcPr>
            <w:tcW w:w="100" w:type="dxa"/>
            <w:vAlign w:val="bottom"/>
          </w:tcPr>
          <w:p w14:paraId="31232E4E" w14:textId="77777777" w:rsidR="00D1587D" w:rsidRDefault="00D1587D">
            <w:pPr>
              <w:rPr>
                <w:sz w:val="23"/>
                <w:szCs w:val="23"/>
              </w:rPr>
            </w:pPr>
          </w:p>
        </w:tc>
        <w:tc>
          <w:tcPr>
            <w:tcW w:w="480" w:type="dxa"/>
            <w:vAlign w:val="bottom"/>
          </w:tcPr>
          <w:p w14:paraId="2DB42A4C" w14:textId="77777777" w:rsidR="00D1587D" w:rsidRDefault="00410D07">
            <w:pPr>
              <w:jc w:val="right"/>
              <w:rPr>
                <w:sz w:val="20"/>
                <w:szCs w:val="20"/>
              </w:rPr>
            </w:pPr>
            <w:r>
              <w:rPr>
                <w:rFonts w:ascii="Arial" w:eastAsia="Arial" w:hAnsi="Arial" w:cs="Arial"/>
                <w:sz w:val="18"/>
                <w:szCs w:val="18"/>
              </w:rPr>
              <w:t>(2)</w:t>
            </w:r>
          </w:p>
        </w:tc>
        <w:tc>
          <w:tcPr>
            <w:tcW w:w="0" w:type="dxa"/>
            <w:vAlign w:val="bottom"/>
          </w:tcPr>
          <w:p w14:paraId="73C775C8" w14:textId="77777777" w:rsidR="00D1587D" w:rsidRDefault="00D1587D">
            <w:pPr>
              <w:rPr>
                <w:sz w:val="1"/>
                <w:szCs w:val="1"/>
              </w:rPr>
            </w:pPr>
          </w:p>
        </w:tc>
      </w:tr>
      <w:tr w:rsidR="00D1587D" w14:paraId="70A93980" w14:textId="77777777">
        <w:trPr>
          <w:trHeight w:val="68"/>
        </w:trPr>
        <w:tc>
          <w:tcPr>
            <w:tcW w:w="4380" w:type="dxa"/>
            <w:tcBorders>
              <w:bottom w:val="single" w:sz="8" w:space="0" w:color="CCEEFF"/>
            </w:tcBorders>
            <w:vAlign w:val="bottom"/>
          </w:tcPr>
          <w:p w14:paraId="4AE12959" w14:textId="77777777" w:rsidR="00D1587D" w:rsidRDefault="00D1587D">
            <w:pPr>
              <w:rPr>
                <w:sz w:val="5"/>
                <w:szCs w:val="5"/>
              </w:rPr>
            </w:pPr>
          </w:p>
        </w:tc>
        <w:tc>
          <w:tcPr>
            <w:tcW w:w="60" w:type="dxa"/>
            <w:tcBorders>
              <w:bottom w:val="single" w:sz="8" w:space="0" w:color="CCEEFF"/>
            </w:tcBorders>
            <w:vAlign w:val="bottom"/>
          </w:tcPr>
          <w:p w14:paraId="3AFC0690" w14:textId="77777777" w:rsidR="00D1587D" w:rsidRDefault="00D1587D">
            <w:pPr>
              <w:rPr>
                <w:sz w:val="5"/>
                <w:szCs w:val="5"/>
              </w:rPr>
            </w:pPr>
          </w:p>
        </w:tc>
        <w:tc>
          <w:tcPr>
            <w:tcW w:w="1100" w:type="dxa"/>
            <w:tcBorders>
              <w:bottom w:val="single" w:sz="8" w:space="0" w:color="auto"/>
            </w:tcBorders>
            <w:vAlign w:val="bottom"/>
          </w:tcPr>
          <w:p w14:paraId="719483DF" w14:textId="77777777" w:rsidR="00D1587D" w:rsidRDefault="00D1587D">
            <w:pPr>
              <w:rPr>
                <w:sz w:val="5"/>
                <w:szCs w:val="5"/>
              </w:rPr>
            </w:pPr>
          </w:p>
        </w:tc>
        <w:tc>
          <w:tcPr>
            <w:tcW w:w="140" w:type="dxa"/>
            <w:tcBorders>
              <w:bottom w:val="single" w:sz="8" w:space="0" w:color="CCEEFF"/>
            </w:tcBorders>
            <w:vAlign w:val="bottom"/>
          </w:tcPr>
          <w:p w14:paraId="6993FFBD" w14:textId="77777777" w:rsidR="00D1587D" w:rsidRDefault="00D1587D">
            <w:pPr>
              <w:rPr>
                <w:sz w:val="5"/>
                <w:szCs w:val="5"/>
              </w:rPr>
            </w:pPr>
          </w:p>
        </w:tc>
        <w:tc>
          <w:tcPr>
            <w:tcW w:w="960" w:type="dxa"/>
            <w:gridSpan w:val="2"/>
            <w:tcBorders>
              <w:bottom w:val="single" w:sz="8" w:space="0" w:color="auto"/>
            </w:tcBorders>
            <w:vAlign w:val="bottom"/>
          </w:tcPr>
          <w:p w14:paraId="6DC6EE11" w14:textId="77777777" w:rsidR="00D1587D" w:rsidRDefault="00D1587D">
            <w:pPr>
              <w:rPr>
                <w:sz w:val="5"/>
                <w:szCs w:val="5"/>
              </w:rPr>
            </w:pPr>
          </w:p>
        </w:tc>
        <w:tc>
          <w:tcPr>
            <w:tcW w:w="120" w:type="dxa"/>
            <w:tcBorders>
              <w:bottom w:val="single" w:sz="8" w:space="0" w:color="CCEEFF"/>
            </w:tcBorders>
            <w:vAlign w:val="bottom"/>
          </w:tcPr>
          <w:p w14:paraId="03A7FE69" w14:textId="77777777" w:rsidR="00D1587D" w:rsidRDefault="00D1587D">
            <w:pPr>
              <w:rPr>
                <w:sz w:val="5"/>
                <w:szCs w:val="5"/>
              </w:rPr>
            </w:pPr>
          </w:p>
        </w:tc>
        <w:tc>
          <w:tcPr>
            <w:tcW w:w="940" w:type="dxa"/>
            <w:tcBorders>
              <w:bottom w:val="single" w:sz="8" w:space="0" w:color="auto"/>
            </w:tcBorders>
            <w:vAlign w:val="bottom"/>
          </w:tcPr>
          <w:p w14:paraId="5ED7BBEA" w14:textId="77777777" w:rsidR="00D1587D" w:rsidRDefault="00D1587D">
            <w:pPr>
              <w:rPr>
                <w:sz w:val="5"/>
                <w:szCs w:val="5"/>
              </w:rPr>
            </w:pPr>
          </w:p>
        </w:tc>
        <w:tc>
          <w:tcPr>
            <w:tcW w:w="140" w:type="dxa"/>
            <w:tcBorders>
              <w:bottom w:val="single" w:sz="8" w:space="0" w:color="CCEEFF"/>
            </w:tcBorders>
            <w:vAlign w:val="bottom"/>
          </w:tcPr>
          <w:p w14:paraId="1550DB93" w14:textId="77777777" w:rsidR="00D1587D" w:rsidRDefault="00D1587D">
            <w:pPr>
              <w:rPr>
                <w:sz w:val="5"/>
                <w:szCs w:val="5"/>
              </w:rPr>
            </w:pPr>
          </w:p>
        </w:tc>
        <w:tc>
          <w:tcPr>
            <w:tcW w:w="580" w:type="dxa"/>
            <w:gridSpan w:val="2"/>
            <w:tcBorders>
              <w:bottom w:val="single" w:sz="8" w:space="0" w:color="auto"/>
            </w:tcBorders>
            <w:vAlign w:val="bottom"/>
          </w:tcPr>
          <w:p w14:paraId="5A044887" w14:textId="77777777" w:rsidR="00D1587D" w:rsidRDefault="00D1587D">
            <w:pPr>
              <w:rPr>
                <w:sz w:val="5"/>
                <w:szCs w:val="5"/>
              </w:rPr>
            </w:pPr>
          </w:p>
        </w:tc>
        <w:tc>
          <w:tcPr>
            <w:tcW w:w="0" w:type="dxa"/>
            <w:vAlign w:val="bottom"/>
          </w:tcPr>
          <w:p w14:paraId="715F50BC" w14:textId="77777777" w:rsidR="00D1587D" w:rsidRDefault="00D1587D">
            <w:pPr>
              <w:rPr>
                <w:sz w:val="1"/>
                <w:szCs w:val="1"/>
              </w:rPr>
            </w:pPr>
          </w:p>
        </w:tc>
      </w:tr>
      <w:tr w:rsidR="00D1587D" w14:paraId="3EAD655D" w14:textId="77777777">
        <w:trPr>
          <w:trHeight w:val="311"/>
        </w:trPr>
        <w:tc>
          <w:tcPr>
            <w:tcW w:w="4440" w:type="dxa"/>
            <w:gridSpan w:val="2"/>
            <w:tcBorders>
              <w:bottom w:val="single" w:sz="8" w:space="0" w:color="CCEEFF"/>
            </w:tcBorders>
            <w:shd w:val="clear" w:color="auto" w:fill="CCEEFF"/>
            <w:vAlign w:val="bottom"/>
          </w:tcPr>
          <w:p w14:paraId="270FD16C" w14:textId="77777777" w:rsidR="00D1587D" w:rsidRDefault="00410D07">
            <w:pPr>
              <w:ind w:left="180"/>
              <w:rPr>
                <w:sz w:val="20"/>
                <w:szCs w:val="20"/>
              </w:rPr>
            </w:pPr>
            <w:r>
              <w:rPr>
                <w:rFonts w:ascii="Arial" w:eastAsia="Arial" w:hAnsi="Arial" w:cs="Arial"/>
                <w:sz w:val="18"/>
                <w:szCs w:val="18"/>
              </w:rPr>
              <w:t>Balance, February 3, 2019</w:t>
            </w:r>
          </w:p>
        </w:tc>
        <w:tc>
          <w:tcPr>
            <w:tcW w:w="1100" w:type="dxa"/>
            <w:tcBorders>
              <w:bottom w:val="single" w:sz="8" w:space="0" w:color="CCEEFF"/>
            </w:tcBorders>
            <w:shd w:val="clear" w:color="auto" w:fill="CCEEFF"/>
            <w:vAlign w:val="bottom"/>
          </w:tcPr>
          <w:p w14:paraId="24E1E1B2" w14:textId="77777777" w:rsidR="00D1587D" w:rsidRDefault="00410D07">
            <w:pPr>
              <w:ind w:right="212"/>
              <w:jc w:val="right"/>
              <w:rPr>
                <w:sz w:val="20"/>
                <w:szCs w:val="20"/>
              </w:rPr>
            </w:pPr>
            <w:r>
              <w:rPr>
                <w:rFonts w:ascii="Arial" w:eastAsia="Arial" w:hAnsi="Arial" w:cs="Arial"/>
                <w:sz w:val="18"/>
                <w:szCs w:val="18"/>
              </w:rPr>
              <w:t>2,397</w:t>
            </w:r>
          </w:p>
        </w:tc>
        <w:tc>
          <w:tcPr>
            <w:tcW w:w="140" w:type="dxa"/>
            <w:tcBorders>
              <w:bottom w:val="single" w:sz="8" w:space="0" w:color="CCEEFF"/>
            </w:tcBorders>
            <w:shd w:val="clear" w:color="auto" w:fill="CCEEFF"/>
            <w:vAlign w:val="bottom"/>
          </w:tcPr>
          <w:p w14:paraId="089C2BC1" w14:textId="77777777" w:rsidR="00D1587D" w:rsidRDefault="00D1587D">
            <w:pPr>
              <w:rPr>
                <w:sz w:val="24"/>
                <w:szCs w:val="24"/>
              </w:rPr>
            </w:pPr>
          </w:p>
        </w:tc>
        <w:tc>
          <w:tcPr>
            <w:tcW w:w="960" w:type="dxa"/>
            <w:gridSpan w:val="2"/>
            <w:tcBorders>
              <w:bottom w:val="single" w:sz="8" w:space="0" w:color="CCEEFF"/>
            </w:tcBorders>
            <w:shd w:val="clear" w:color="auto" w:fill="CCEEFF"/>
            <w:vAlign w:val="bottom"/>
          </w:tcPr>
          <w:p w14:paraId="6A474687" w14:textId="77777777" w:rsidR="00D1587D" w:rsidRDefault="00410D07">
            <w:pPr>
              <w:ind w:right="170"/>
              <w:jc w:val="right"/>
              <w:rPr>
                <w:sz w:val="20"/>
                <w:szCs w:val="20"/>
              </w:rPr>
            </w:pPr>
            <w:r>
              <w:rPr>
                <w:rFonts w:ascii="Arial" w:eastAsia="Arial" w:hAnsi="Arial" w:cs="Arial"/>
                <w:sz w:val="18"/>
                <w:szCs w:val="18"/>
              </w:rPr>
              <w:t>(21)</w:t>
            </w:r>
          </w:p>
        </w:tc>
        <w:tc>
          <w:tcPr>
            <w:tcW w:w="120" w:type="dxa"/>
            <w:tcBorders>
              <w:bottom w:val="single" w:sz="8" w:space="0" w:color="CCEEFF"/>
            </w:tcBorders>
            <w:shd w:val="clear" w:color="auto" w:fill="CCEEFF"/>
            <w:vAlign w:val="bottom"/>
          </w:tcPr>
          <w:p w14:paraId="4B69AAD2" w14:textId="77777777" w:rsidR="00D1587D" w:rsidRDefault="00D1587D">
            <w:pPr>
              <w:rPr>
                <w:sz w:val="24"/>
                <w:szCs w:val="24"/>
              </w:rPr>
            </w:pPr>
          </w:p>
        </w:tc>
        <w:tc>
          <w:tcPr>
            <w:tcW w:w="940" w:type="dxa"/>
            <w:tcBorders>
              <w:bottom w:val="single" w:sz="8" w:space="0" w:color="CCEEFF"/>
            </w:tcBorders>
            <w:shd w:val="clear" w:color="auto" w:fill="CCEEFF"/>
            <w:vAlign w:val="bottom"/>
          </w:tcPr>
          <w:p w14:paraId="2FCB04D8" w14:textId="77777777" w:rsidR="00D1587D" w:rsidRDefault="00410D07">
            <w:pPr>
              <w:ind w:right="252"/>
              <w:jc w:val="right"/>
              <w:rPr>
                <w:sz w:val="20"/>
                <w:szCs w:val="20"/>
              </w:rPr>
            </w:pPr>
            <w:r>
              <w:rPr>
                <w:rFonts w:ascii="Arial" w:eastAsia="Arial" w:hAnsi="Arial" w:cs="Arial"/>
                <w:sz w:val="18"/>
                <w:szCs w:val="18"/>
              </w:rPr>
              <w:t>2</w:t>
            </w:r>
          </w:p>
        </w:tc>
        <w:tc>
          <w:tcPr>
            <w:tcW w:w="140" w:type="dxa"/>
            <w:tcBorders>
              <w:bottom w:val="single" w:sz="8" w:space="0" w:color="CCEEFF"/>
            </w:tcBorders>
            <w:shd w:val="clear" w:color="auto" w:fill="CCEEFF"/>
            <w:vAlign w:val="bottom"/>
          </w:tcPr>
          <w:p w14:paraId="1A85A20C"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13A65617" w14:textId="77777777" w:rsidR="00D1587D" w:rsidRDefault="00410D07">
            <w:pPr>
              <w:ind w:right="11"/>
              <w:jc w:val="right"/>
              <w:rPr>
                <w:sz w:val="20"/>
                <w:szCs w:val="20"/>
              </w:rPr>
            </w:pPr>
            <w:r>
              <w:rPr>
                <w:rFonts w:ascii="Arial" w:eastAsia="Arial" w:hAnsi="Arial" w:cs="Arial"/>
                <w:sz w:val="18"/>
                <w:szCs w:val="18"/>
              </w:rPr>
              <w:t>2,378</w:t>
            </w:r>
          </w:p>
        </w:tc>
        <w:tc>
          <w:tcPr>
            <w:tcW w:w="0" w:type="dxa"/>
            <w:vAlign w:val="bottom"/>
          </w:tcPr>
          <w:p w14:paraId="6F417EE1" w14:textId="77777777" w:rsidR="00D1587D" w:rsidRDefault="00D1587D">
            <w:pPr>
              <w:rPr>
                <w:sz w:val="1"/>
                <w:szCs w:val="1"/>
              </w:rPr>
            </w:pPr>
          </w:p>
        </w:tc>
      </w:tr>
      <w:tr w:rsidR="00D1587D" w14:paraId="3F224F84" w14:textId="77777777">
        <w:trPr>
          <w:trHeight w:val="270"/>
        </w:trPr>
        <w:tc>
          <w:tcPr>
            <w:tcW w:w="4440" w:type="dxa"/>
            <w:gridSpan w:val="2"/>
            <w:vAlign w:val="bottom"/>
          </w:tcPr>
          <w:p w14:paraId="1D1682B8" w14:textId="77777777" w:rsidR="00D1587D" w:rsidRDefault="00410D07">
            <w:pPr>
              <w:ind w:left="180"/>
              <w:rPr>
                <w:sz w:val="20"/>
                <w:szCs w:val="20"/>
              </w:rPr>
            </w:pPr>
            <w:r>
              <w:rPr>
                <w:rFonts w:ascii="Arial" w:eastAsia="Arial" w:hAnsi="Arial" w:cs="Arial"/>
                <w:sz w:val="18"/>
                <w:szCs w:val="18"/>
              </w:rPr>
              <w:t>Net Loss</w:t>
            </w:r>
          </w:p>
        </w:tc>
        <w:tc>
          <w:tcPr>
            <w:tcW w:w="1100" w:type="dxa"/>
            <w:vAlign w:val="bottom"/>
          </w:tcPr>
          <w:p w14:paraId="03A18FD5" w14:textId="77777777" w:rsidR="00D1587D" w:rsidRDefault="00410D07">
            <w:pPr>
              <w:ind w:right="152"/>
              <w:jc w:val="right"/>
              <w:rPr>
                <w:sz w:val="20"/>
                <w:szCs w:val="20"/>
              </w:rPr>
            </w:pPr>
            <w:r>
              <w:rPr>
                <w:rFonts w:ascii="Arial" w:eastAsia="Arial" w:hAnsi="Arial" w:cs="Arial"/>
                <w:sz w:val="18"/>
                <w:szCs w:val="18"/>
              </w:rPr>
              <w:t>(897)</w:t>
            </w:r>
          </w:p>
        </w:tc>
        <w:tc>
          <w:tcPr>
            <w:tcW w:w="140" w:type="dxa"/>
            <w:vAlign w:val="bottom"/>
          </w:tcPr>
          <w:p w14:paraId="6817A0B0" w14:textId="77777777" w:rsidR="00D1587D" w:rsidRDefault="00D1587D">
            <w:pPr>
              <w:rPr>
                <w:sz w:val="23"/>
                <w:szCs w:val="23"/>
              </w:rPr>
            </w:pPr>
          </w:p>
        </w:tc>
        <w:tc>
          <w:tcPr>
            <w:tcW w:w="420" w:type="dxa"/>
            <w:vAlign w:val="bottom"/>
          </w:tcPr>
          <w:p w14:paraId="6D7C769F" w14:textId="77777777" w:rsidR="00D1587D" w:rsidRDefault="00D1587D">
            <w:pPr>
              <w:rPr>
                <w:sz w:val="23"/>
                <w:szCs w:val="23"/>
              </w:rPr>
            </w:pPr>
          </w:p>
        </w:tc>
        <w:tc>
          <w:tcPr>
            <w:tcW w:w="660" w:type="dxa"/>
            <w:gridSpan w:val="2"/>
            <w:vAlign w:val="bottom"/>
          </w:tcPr>
          <w:p w14:paraId="5ADFA72C"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vAlign w:val="bottom"/>
          </w:tcPr>
          <w:p w14:paraId="511D3519" w14:textId="77777777" w:rsidR="00D1587D" w:rsidRDefault="00410D07">
            <w:pPr>
              <w:ind w:right="480"/>
              <w:jc w:val="right"/>
              <w:rPr>
                <w:sz w:val="20"/>
                <w:szCs w:val="20"/>
              </w:rPr>
            </w:pPr>
            <w:r>
              <w:rPr>
                <w:rFonts w:ascii="Arial" w:eastAsia="Arial" w:hAnsi="Arial" w:cs="Arial"/>
                <w:sz w:val="18"/>
                <w:szCs w:val="18"/>
              </w:rPr>
              <w:t>—</w:t>
            </w:r>
          </w:p>
        </w:tc>
        <w:tc>
          <w:tcPr>
            <w:tcW w:w="100" w:type="dxa"/>
            <w:vAlign w:val="bottom"/>
          </w:tcPr>
          <w:p w14:paraId="688AF26C" w14:textId="77777777" w:rsidR="00D1587D" w:rsidRDefault="00D1587D">
            <w:pPr>
              <w:rPr>
                <w:sz w:val="23"/>
                <w:szCs w:val="23"/>
              </w:rPr>
            </w:pPr>
          </w:p>
        </w:tc>
        <w:tc>
          <w:tcPr>
            <w:tcW w:w="480" w:type="dxa"/>
            <w:vAlign w:val="bottom"/>
          </w:tcPr>
          <w:p w14:paraId="3582FA1E" w14:textId="77777777" w:rsidR="00D1587D" w:rsidRDefault="00410D07">
            <w:pPr>
              <w:jc w:val="right"/>
              <w:rPr>
                <w:sz w:val="20"/>
                <w:szCs w:val="20"/>
              </w:rPr>
            </w:pPr>
            <w:r>
              <w:rPr>
                <w:rFonts w:ascii="Arial" w:eastAsia="Arial" w:hAnsi="Arial" w:cs="Arial"/>
                <w:w w:val="99"/>
                <w:sz w:val="18"/>
                <w:szCs w:val="18"/>
              </w:rPr>
              <w:t>(897)</w:t>
            </w:r>
          </w:p>
        </w:tc>
        <w:tc>
          <w:tcPr>
            <w:tcW w:w="0" w:type="dxa"/>
            <w:vAlign w:val="bottom"/>
          </w:tcPr>
          <w:p w14:paraId="7CC2256A" w14:textId="77777777" w:rsidR="00D1587D" w:rsidRDefault="00D1587D">
            <w:pPr>
              <w:rPr>
                <w:sz w:val="1"/>
                <w:szCs w:val="1"/>
              </w:rPr>
            </w:pPr>
          </w:p>
        </w:tc>
      </w:tr>
      <w:tr w:rsidR="00D1587D" w14:paraId="0E7D7669" w14:textId="77777777">
        <w:trPr>
          <w:trHeight w:val="54"/>
        </w:trPr>
        <w:tc>
          <w:tcPr>
            <w:tcW w:w="4380" w:type="dxa"/>
            <w:vAlign w:val="bottom"/>
          </w:tcPr>
          <w:p w14:paraId="2251461C" w14:textId="77777777" w:rsidR="00D1587D" w:rsidRDefault="00D1587D">
            <w:pPr>
              <w:rPr>
                <w:sz w:val="4"/>
                <w:szCs w:val="4"/>
              </w:rPr>
            </w:pPr>
          </w:p>
        </w:tc>
        <w:tc>
          <w:tcPr>
            <w:tcW w:w="60" w:type="dxa"/>
            <w:vAlign w:val="bottom"/>
          </w:tcPr>
          <w:p w14:paraId="22FB5AC5" w14:textId="77777777" w:rsidR="00D1587D" w:rsidRDefault="00D1587D">
            <w:pPr>
              <w:rPr>
                <w:sz w:val="4"/>
                <w:szCs w:val="4"/>
              </w:rPr>
            </w:pPr>
          </w:p>
        </w:tc>
        <w:tc>
          <w:tcPr>
            <w:tcW w:w="1100" w:type="dxa"/>
            <w:vAlign w:val="bottom"/>
          </w:tcPr>
          <w:p w14:paraId="1FD5ECB1" w14:textId="77777777" w:rsidR="00D1587D" w:rsidRDefault="00D1587D">
            <w:pPr>
              <w:rPr>
                <w:sz w:val="4"/>
                <w:szCs w:val="4"/>
              </w:rPr>
            </w:pPr>
          </w:p>
        </w:tc>
        <w:tc>
          <w:tcPr>
            <w:tcW w:w="140" w:type="dxa"/>
            <w:vAlign w:val="bottom"/>
          </w:tcPr>
          <w:p w14:paraId="6CE613D2" w14:textId="77777777" w:rsidR="00D1587D" w:rsidRDefault="00D1587D">
            <w:pPr>
              <w:rPr>
                <w:sz w:val="4"/>
                <w:szCs w:val="4"/>
              </w:rPr>
            </w:pPr>
          </w:p>
        </w:tc>
        <w:tc>
          <w:tcPr>
            <w:tcW w:w="420" w:type="dxa"/>
            <w:vAlign w:val="bottom"/>
          </w:tcPr>
          <w:p w14:paraId="5193511B" w14:textId="77777777" w:rsidR="00D1587D" w:rsidRDefault="00D1587D">
            <w:pPr>
              <w:rPr>
                <w:sz w:val="4"/>
                <w:szCs w:val="4"/>
              </w:rPr>
            </w:pPr>
          </w:p>
        </w:tc>
        <w:tc>
          <w:tcPr>
            <w:tcW w:w="540" w:type="dxa"/>
            <w:vAlign w:val="bottom"/>
          </w:tcPr>
          <w:p w14:paraId="1B9B4F5A" w14:textId="77777777" w:rsidR="00D1587D" w:rsidRDefault="00D1587D">
            <w:pPr>
              <w:rPr>
                <w:sz w:val="4"/>
                <w:szCs w:val="4"/>
              </w:rPr>
            </w:pPr>
          </w:p>
        </w:tc>
        <w:tc>
          <w:tcPr>
            <w:tcW w:w="120" w:type="dxa"/>
            <w:vAlign w:val="bottom"/>
          </w:tcPr>
          <w:p w14:paraId="304001AB" w14:textId="77777777" w:rsidR="00D1587D" w:rsidRDefault="00D1587D">
            <w:pPr>
              <w:rPr>
                <w:sz w:val="4"/>
                <w:szCs w:val="4"/>
              </w:rPr>
            </w:pPr>
          </w:p>
        </w:tc>
        <w:tc>
          <w:tcPr>
            <w:tcW w:w="940" w:type="dxa"/>
            <w:vAlign w:val="bottom"/>
          </w:tcPr>
          <w:p w14:paraId="228CCC06" w14:textId="77777777" w:rsidR="00D1587D" w:rsidRDefault="00D1587D">
            <w:pPr>
              <w:rPr>
                <w:sz w:val="4"/>
                <w:szCs w:val="4"/>
              </w:rPr>
            </w:pPr>
          </w:p>
        </w:tc>
        <w:tc>
          <w:tcPr>
            <w:tcW w:w="140" w:type="dxa"/>
            <w:vAlign w:val="bottom"/>
          </w:tcPr>
          <w:p w14:paraId="0E7BBFED" w14:textId="77777777" w:rsidR="00D1587D" w:rsidRDefault="00D1587D">
            <w:pPr>
              <w:rPr>
                <w:sz w:val="4"/>
                <w:szCs w:val="4"/>
              </w:rPr>
            </w:pPr>
          </w:p>
        </w:tc>
        <w:tc>
          <w:tcPr>
            <w:tcW w:w="100" w:type="dxa"/>
            <w:vAlign w:val="bottom"/>
          </w:tcPr>
          <w:p w14:paraId="3C7E8DFC" w14:textId="77777777" w:rsidR="00D1587D" w:rsidRDefault="00D1587D">
            <w:pPr>
              <w:rPr>
                <w:sz w:val="4"/>
                <w:szCs w:val="4"/>
              </w:rPr>
            </w:pPr>
          </w:p>
        </w:tc>
        <w:tc>
          <w:tcPr>
            <w:tcW w:w="480" w:type="dxa"/>
            <w:vAlign w:val="bottom"/>
          </w:tcPr>
          <w:p w14:paraId="5E19E0CD" w14:textId="77777777" w:rsidR="00D1587D" w:rsidRDefault="00D1587D">
            <w:pPr>
              <w:rPr>
                <w:sz w:val="4"/>
                <w:szCs w:val="4"/>
              </w:rPr>
            </w:pPr>
          </w:p>
        </w:tc>
        <w:tc>
          <w:tcPr>
            <w:tcW w:w="0" w:type="dxa"/>
            <w:vAlign w:val="bottom"/>
          </w:tcPr>
          <w:p w14:paraId="21D1F3AA" w14:textId="77777777" w:rsidR="00D1587D" w:rsidRDefault="00D1587D">
            <w:pPr>
              <w:rPr>
                <w:sz w:val="1"/>
                <w:szCs w:val="1"/>
              </w:rPr>
            </w:pPr>
          </w:p>
        </w:tc>
      </w:tr>
      <w:tr w:rsidR="00D1587D" w14:paraId="589E31D7" w14:textId="77777777">
        <w:trPr>
          <w:trHeight w:val="270"/>
        </w:trPr>
        <w:tc>
          <w:tcPr>
            <w:tcW w:w="4440" w:type="dxa"/>
            <w:gridSpan w:val="2"/>
            <w:shd w:val="clear" w:color="auto" w:fill="CCEEFF"/>
            <w:vAlign w:val="bottom"/>
          </w:tcPr>
          <w:p w14:paraId="7E344FB7" w14:textId="77777777" w:rsidR="00D1587D" w:rsidRDefault="00410D07">
            <w:pPr>
              <w:ind w:left="180"/>
              <w:rPr>
                <w:sz w:val="20"/>
                <w:szCs w:val="20"/>
              </w:rPr>
            </w:pPr>
            <w:r>
              <w:rPr>
                <w:rFonts w:ascii="Arial" w:eastAsia="Arial" w:hAnsi="Arial" w:cs="Arial"/>
                <w:sz w:val="18"/>
                <w:szCs w:val="18"/>
              </w:rPr>
              <w:t>Other Comprehensive Loss</w:t>
            </w:r>
          </w:p>
        </w:tc>
        <w:tc>
          <w:tcPr>
            <w:tcW w:w="1240" w:type="dxa"/>
            <w:gridSpan w:val="2"/>
            <w:shd w:val="clear" w:color="auto" w:fill="CCEEFF"/>
            <w:vAlign w:val="bottom"/>
          </w:tcPr>
          <w:p w14:paraId="37E31AD0" w14:textId="77777777" w:rsidR="00D1587D" w:rsidRDefault="00410D07">
            <w:pPr>
              <w:ind w:right="440"/>
              <w:jc w:val="right"/>
              <w:rPr>
                <w:sz w:val="20"/>
                <w:szCs w:val="20"/>
              </w:rPr>
            </w:pPr>
            <w:r>
              <w:rPr>
                <w:rFonts w:ascii="Arial" w:eastAsia="Arial" w:hAnsi="Arial" w:cs="Arial"/>
                <w:sz w:val="18"/>
                <w:szCs w:val="18"/>
              </w:rPr>
              <w:t>—</w:t>
            </w:r>
          </w:p>
        </w:tc>
        <w:tc>
          <w:tcPr>
            <w:tcW w:w="420" w:type="dxa"/>
            <w:shd w:val="clear" w:color="auto" w:fill="CCEEFF"/>
            <w:vAlign w:val="bottom"/>
          </w:tcPr>
          <w:p w14:paraId="1E8876CE" w14:textId="77777777" w:rsidR="00D1587D" w:rsidRDefault="00D1587D">
            <w:pPr>
              <w:rPr>
                <w:sz w:val="23"/>
                <w:szCs w:val="23"/>
              </w:rPr>
            </w:pPr>
          </w:p>
        </w:tc>
        <w:tc>
          <w:tcPr>
            <w:tcW w:w="540" w:type="dxa"/>
            <w:shd w:val="clear" w:color="auto" w:fill="CCEEFF"/>
            <w:vAlign w:val="bottom"/>
          </w:tcPr>
          <w:p w14:paraId="74427D1F" w14:textId="77777777" w:rsidR="00D1587D" w:rsidRDefault="00410D07">
            <w:pPr>
              <w:ind w:right="170"/>
              <w:jc w:val="right"/>
              <w:rPr>
                <w:sz w:val="20"/>
                <w:szCs w:val="20"/>
              </w:rPr>
            </w:pPr>
            <w:r>
              <w:rPr>
                <w:rFonts w:ascii="Arial" w:eastAsia="Arial" w:hAnsi="Arial" w:cs="Arial"/>
                <w:sz w:val="18"/>
                <w:szCs w:val="18"/>
              </w:rPr>
              <w:t>(8)</w:t>
            </w:r>
          </w:p>
        </w:tc>
        <w:tc>
          <w:tcPr>
            <w:tcW w:w="120" w:type="dxa"/>
            <w:shd w:val="clear" w:color="auto" w:fill="CCEEFF"/>
            <w:vAlign w:val="bottom"/>
          </w:tcPr>
          <w:p w14:paraId="35C7089F" w14:textId="77777777" w:rsidR="00D1587D" w:rsidRDefault="00D1587D">
            <w:pPr>
              <w:rPr>
                <w:sz w:val="23"/>
                <w:szCs w:val="23"/>
              </w:rPr>
            </w:pPr>
          </w:p>
        </w:tc>
        <w:tc>
          <w:tcPr>
            <w:tcW w:w="1080" w:type="dxa"/>
            <w:gridSpan w:val="2"/>
            <w:shd w:val="clear" w:color="auto" w:fill="CCEEFF"/>
            <w:vAlign w:val="bottom"/>
          </w:tcPr>
          <w:p w14:paraId="2FA28711" w14:textId="77777777" w:rsidR="00D1587D" w:rsidRDefault="00410D07">
            <w:pPr>
              <w:ind w:right="480"/>
              <w:jc w:val="right"/>
              <w:rPr>
                <w:sz w:val="20"/>
                <w:szCs w:val="20"/>
              </w:rPr>
            </w:pPr>
            <w:r>
              <w:rPr>
                <w:rFonts w:ascii="Arial" w:eastAsia="Arial" w:hAnsi="Arial" w:cs="Arial"/>
                <w:sz w:val="18"/>
                <w:szCs w:val="18"/>
              </w:rPr>
              <w:t>—</w:t>
            </w:r>
          </w:p>
        </w:tc>
        <w:tc>
          <w:tcPr>
            <w:tcW w:w="100" w:type="dxa"/>
            <w:shd w:val="clear" w:color="auto" w:fill="CCEEFF"/>
            <w:vAlign w:val="bottom"/>
          </w:tcPr>
          <w:p w14:paraId="09245FB6" w14:textId="77777777" w:rsidR="00D1587D" w:rsidRDefault="00D1587D">
            <w:pPr>
              <w:rPr>
                <w:sz w:val="23"/>
                <w:szCs w:val="23"/>
              </w:rPr>
            </w:pPr>
          </w:p>
        </w:tc>
        <w:tc>
          <w:tcPr>
            <w:tcW w:w="480" w:type="dxa"/>
            <w:shd w:val="clear" w:color="auto" w:fill="CCEEFF"/>
            <w:vAlign w:val="bottom"/>
          </w:tcPr>
          <w:p w14:paraId="53787600" w14:textId="77777777" w:rsidR="00D1587D" w:rsidRDefault="00410D07">
            <w:pPr>
              <w:jc w:val="right"/>
              <w:rPr>
                <w:sz w:val="20"/>
                <w:szCs w:val="20"/>
              </w:rPr>
            </w:pPr>
            <w:r>
              <w:rPr>
                <w:rFonts w:ascii="Arial" w:eastAsia="Arial" w:hAnsi="Arial" w:cs="Arial"/>
                <w:sz w:val="18"/>
                <w:szCs w:val="18"/>
              </w:rPr>
              <w:t>(8)</w:t>
            </w:r>
          </w:p>
        </w:tc>
        <w:tc>
          <w:tcPr>
            <w:tcW w:w="0" w:type="dxa"/>
            <w:vAlign w:val="bottom"/>
          </w:tcPr>
          <w:p w14:paraId="4F53B045" w14:textId="77777777" w:rsidR="00D1587D" w:rsidRDefault="00D1587D">
            <w:pPr>
              <w:rPr>
                <w:sz w:val="1"/>
                <w:szCs w:val="1"/>
              </w:rPr>
            </w:pPr>
          </w:p>
        </w:tc>
      </w:tr>
      <w:tr w:rsidR="00D1587D" w14:paraId="1399B576" w14:textId="77777777">
        <w:trPr>
          <w:trHeight w:val="68"/>
        </w:trPr>
        <w:tc>
          <w:tcPr>
            <w:tcW w:w="4380" w:type="dxa"/>
            <w:shd w:val="clear" w:color="auto" w:fill="CCEEFF"/>
            <w:vAlign w:val="bottom"/>
          </w:tcPr>
          <w:p w14:paraId="47EAD8BA" w14:textId="77777777" w:rsidR="00D1587D" w:rsidRDefault="00D1587D">
            <w:pPr>
              <w:rPr>
                <w:sz w:val="5"/>
                <w:szCs w:val="5"/>
              </w:rPr>
            </w:pPr>
          </w:p>
        </w:tc>
        <w:tc>
          <w:tcPr>
            <w:tcW w:w="60" w:type="dxa"/>
            <w:tcBorders>
              <w:bottom w:val="single" w:sz="8" w:space="0" w:color="CCEEFF"/>
            </w:tcBorders>
            <w:shd w:val="clear" w:color="auto" w:fill="CCEEFF"/>
            <w:vAlign w:val="bottom"/>
          </w:tcPr>
          <w:p w14:paraId="17892653" w14:textId="77777777" w:rsidR="00D1587D" w:rsidRDefault="00D1587D">
            <w:pPr>
              <w:rPr>
                <w:sz w:val="5"/>
                <w:szCs w:val="5"/>
              </w:rPr>
            </w:pPr>
          </w:p>
        </w:tc>
        <w:tc>
          <w:tcPr>
            <w:tcW w:w="1100" w:type="dxa"/>
            <w:tcBorders>
              <w:bottom w:val="single" w:sz="8" w:space="0" w:color="auto"/>
            </w:tcBorders>
            <w:shd w:val="clear" w:color="auto" w:fill="CCEEFF"/>
            <w:vAlign w:val="bottom"/>
          </w:tcPr>
          <w:p w14:paraId="038FEDF6" w14:textId="77777777" w:rsidR="00D1587D" w:rsidRDefault="00D1587D">
            <w:pPr>
              <w:rPr>
                <w:sz w:val="5"/>
                <w:szCs w:val="5"/>
              </w:rPr>
            </w:pPr>
          </w:p>
        </w:tc>
        <w:tc>
          <w:tcPr>
            <w:tcW w:w="140" w:type="dxa"/>
            <w:tcBorders>
              <w:bottom w:val="single" w:sz="8" w:space="0" w:color="CCEEFF"/>
            </w:tcBorders>
            <w:shd w:val="clear" w:color="auto" w:fill="CCEEFF"/>
            <w:vAlign w:val="bottom"/>
          </w:tcPr>
          <w:p w14:paraId="43A8A57F" w14:textId="77777777" w:rsidR="00D1587D" w:rsidRDefault="00D1587D">
            <w:pPr>
              <w:rPr>
                <w:sz w:val="5"/>
                <w:szCs w:val="5"/>
              </w:rPr>
            </w:pPr>
          </w:p>
        </w:tc>
        <w:tc>
          <w:tcPr>
            <w:tcW w:w="420" w:type="dxa"/>
            <w:tcBorders>
              <w:bottom w:val="single" w:sz="8" w:space="0" w:color="auto"/>
            </w:tcBorders>
            <w:shd w:val="clear" w:color="auto" w:fill="CCEEFF"/>
            <w:vAlign w:val="bottom"/>
          </w:tcPr>
          <w:p w14:paraId="37E1DCA4" w14:textId="77777777" w:rsidR="00D1587D" w:rsidRDefault="00D1587D">
            <w:pPr>
              <w:rPr>
                <w:sz w:val="5"/>
                <w:szCs w:val="5"/>
              </w:rPr>
            </w:pPr>
          </w:p>
        </w:tc>
        <w:tc>
          <w:tcPr>
            <w:tcW w:w="540" w:type="dxa"/>
            <w:tcBorders>
              <w:bottom w:val="single" w:sz="8" w:space="0" w:color="auto"/>
            </w:tcBorders>
            <w:shd w:val="clear" w:color="auto" w:fill="CCEEFF"/>
            <w:vAlign w:val="bottom"/>
          </w:tcPr>
          <w:p w14:paraId="6EDA61CE" w14:textId="77777777" w:rsidR="00D1587D" w:rsidRDefault="00D1587D">
            <w:pPr>
              <w:rPr>
                <w:sz w:val="5"/>
                <w:szCs w:val="5"/>
              </w:rPr>
            </w:pPr>
          </w:p>
        </w:tc>
        <w:tc>
          <w:tcPr>
            <w:tcW w:w="120" w:type="dxa"/>
            <w:tcBorders>
              <w:bottom w:val="single" w:sz="8" w:space="0" w:color="CCEEFF"/>
            </w:tcBorders>
            <w:shd w:val="clear" w:color="auto" w:fill="CCEEFF"/>
            <w:vAlign w:val="bottom"/>
          </w:tcPr>
          <w:p w14:paraId="4AE7210F" w14:textId="77777777" w:rsidR="00D1587D" w:rsidRDefault="00D1587D">
            <w:pPr>
              <w:rPr>
                <w:sz w:val="5"/>
                <w:szCs w:val="5"/>
              </w:rPr>
            </w:pPr>
          </w:p>
        </w:tc>
        <w:tc>
          <w:tcPr>
            <w:tcW w:w="940" w:type="dxa"/>
            <w:tcBorders>
              <w:bottom w:val="single" w:sz="8" w:space="0" w:color="auto"/>
            </w:tcBorders>
            <w:shd w:val="clear" w:color="auto" w:fill="CCEEFF"/>
            <w:vAlign w:val="bottom"/>
          </w:tcPr>
          <w:p w14:paraId="1FEC14CB" w14:textId="77777777" w:rsidR="00D1587D" w:rsidRDefault="00D1587D">
            <w:pPr>
              <w:rPr>
                <w:sz w:val="5"/>
                <w:szCs w:val="5"/>
              </w:rPr>
            </w:pPr>
          </w:p>
        </w:tc>
        <w:tc>
          <w:tcPr>
            <w:tcW w:w="140" w:type="dxa"/>
            <w:tcBorders>
              <w:bottom w:val="single" w:sz="8" w:space="0" w:color="CCEEFF"/>
            </w:tcBorders>
            <w:shd w:val="clear" w:color="auto" w:fill="CCEEFF"/>
            <w:vAlign w:val="bottom"/>
          </w:tcPr>
          <w:p w14:paraId="3EE66924" w14:textId="77777777" w:rsidR="00D1587D" w:rsidRDefault="00D1587D">
            <w:pPr>
              <w:rPr>
                <w:sz w:val="5"/>
                <w:szCs w:val="5"/>
              </w:rPr>
            </w:pPr>
          </w:p>
        </w:tc>
        <w:tc>
          <w:tcPr>
            <w:tcW w:w="100" w:type="dxa"/>
            <w:tcBorders>
              <w:bottom w:val="single" w:sz="8" w:space="0" w:color="auto"/>
            </w:tcBorders>
            <w:shd w:val="clear" w:color="auto" w:fill="CCEEFF"/>
            <w:vAlign w:val="bottom"/>
          </w:tcPr>
          <w:p w14:paraId="285C692A" w14:textId="77777777" w:rsidR="00D1587D" w:rsidRDefault="00D1587D">
            <w:pPr>
              <w:rPr>
                <w:sz w:val="5"/>
                <w:szCs w:val="5"/>
              </w:rPr>
            </w:pPr>
          </w:p>
        </w:tc>
        <w:tc>
          <w:tcPr>
            <w:tcW w:w="480" w:type="dxa"/>
            <w:tcBorders>
              <w:bottom w:val="single" w:sz="8" w:space="0" w:color="auto"/>
            </w:tcBorders>
            <w:shd w:val="clear" w:color="auto" w:fill="CCEEFF"/>
            <w:vAlign w:val="bottom"/>
          </w:tcPr>
          <w:p w14:paraId="7C3B36FD" w14:textId="77777777" w:rsidR="00D1587D" w:rsidRDefault="00D1587D">
            <w:pPr>
              <w:rPr>
                <w:sz w:val="5"/>
                <w:szCs w:val="5"/>
              </w:rPr>
            </w:pPr>
          </w:p>
        </w:tc>
        <w:tc>
          <w:tcPr>
            <w:tcW w:w="0" w:type="dxa"/>
            <w:vAlign w:val="bottom"/>
          </w:tcPr>
          <w:p w14:paraId="06B973BC" w14:textId="77777777" w:rsidR="00D1587D" w:rsidRDefault="00D1587D">
            <w:pPr>
              <w:rPr>
                <w:sz w:val="1"/>
                <w:szCs w:val="1"/>
              </w:rPr>
            </w:pPr>
          </w:p>
        </w:tc>
      </w:tr>
      <w:tr w:rsidR="00D1587D" w14:paraId="033A030D" w14:textId="77777777">
        <w:trPr>
          <w:trHeight w:val="277"/>
        </w:trPr>
        <w:tc>
          <w:tcPr>
            <w:tcW w:w="4440" w:type="dxa"/>
            <w:gridSpan w:val="2"/>
            <w:vAlign w:val="bottom"/>
          </w:tcPr>
          <w:p w14:paraId="0AD33242" w14:textId="77777777" w:rsidR="00D1587D" w:rsidRDefault="00410D07">
            <w:pPr>
              <w:ind w:left="180"/>
              <w:rPr>
                <w:sz w:val="20"/>
                <w:szCs w:val="20"/>
              </w:rPr>
            </w:pPr>
            <w:r>
              <w:rPr>
                <w:rFonts w:ascii="Arial" w:eastAsia="Arial" w:hAnsi="Arial" w:cs="Arial"/>
                <w:sz w:val="18"/>
                <w:szCs w:val="18"/>
              </w:rPr>
              <w:t>Total Comprehensive Loss</w:t>
            </w:r>
          </w:p>
        </w:tc>
        <w:tc>
          <w:tcPr>
            <w:tcW w:w="1100" w:type="dxa"/>
            <w:vAlign w:val="bottom"/>
          </w:tcPr>
          <w:p w14:paraId="633BBEE7" w14:textId="77777777" w:rsidR="00D1587D" w:rsidRDefault="00410D07">
            <w:pPr>
              <w:ind w:right="152"/>
              <w:jc w:val="right"/>
              <w:rPr>
                <w:sz w:val="20"/>
                <w:szCs w:val="20"/>
              </w:rPr>
            </w:pPr>
            <w:r>
              <w:rPr>
                <w:rFonts w:ascii="Arial" w:eastAsia="Arial" w:hAnsi="Arial" w:cs="Arial"/>
                <w:sz w:val="18"/>
                <w:szCs w:val="18"/>
              </w:rPr>
              <w:t>(897)</w:t>
            </w:r>
          </w:p>
        </w:tc>
        <w:tc>
          <w:tcPr>
            <w:tcW w:w="140" w:type="dxa"/>
            <w:vAlign w:val="bottom"/>
          </w:tcPr>
          <w:p w14:paraId="06179537" w14:textId="77777777" w:rsidR="00D1587D" w:rsidRDefault="00D1587D">
            <w:pPr>
              <w:rPr>
                <w:sz w:val="24"/>
                <w:szCs w:val="24"/>
              </w:rPr>
            </w:pPr>
          </w:p>
        </w:tc>
        <w:tc>
          <w:tcPr>
            <w:tcW w:w="420" w:type="dxa"/>
            <w:vAlign w:val="bottom"/>
          </w:tcPr>
          <w:p w14:paraId="51C404AB" w14:textId="77777777" w:rsidR="00D1587D" w:rsidRDefault="00D1587D">
            <w:pPr>
              <w:rPr>
                <w:sz w:val="24"/>
                <w:szCs w:val="24"/>
              </w:rPr>
            </w:pPr>
          </w:p>
        </w:tc>
        <w:tc>
          <w:tcPr>
            <w:tcW w:w="540" w:type="dxa"/>
            <w:vAlign w:val="bottom"/>
          </w:tcPr>
          <w:p w14:paraId="67F3FBF8" w14:textId="77777777" w:rsidR="00D1587D" w:rsidRDefault="00410D07">
            <w:pPr>
              <w:ind w:right="170"/>
              <w:jc w:val="right"/>
              <w:rPr>
                <w:sz w:val="20"/>
                <w:szCs w:val="20"/>
              </w:rPr>
            </w:pPr>
            <w:r>
              <w:rPr>
                <w:rFonts w:ascii="Arial" w:eastAsia="Arial" w:hAnsi="Arial" w:cs="Arial"/>
                <w:sz w:val="18"/>
                <w:szCs w:val="18"/>
              </w:rPr>
              <w:t>(8)</w:t>
            </w:r>
          </w:p>
        </w:tc>
        <w:tc>
          <w:tcPr>
            <w:tcW w:w="120" w:type="dxa"/>
            <w:vAlign w:val="bottom"/>
          </w:tcPr>
          <w:p w14:paraId="16164FDC" w14:textId="77777777" w:rsidR="00D1587D" w:rsidRDefault="00D1587D">
            <w:pPr>
              <w:rPr>
                <w:sz w:val="24"/>
                <w:szCs w:val="24"/>
              </w:rPr>
            </w:pPr>
          </w:p>
        </w:tc>
        <w:tc>
          <w:tcPr>
            <w:tcW w:w="1080" w:type="dxa"/>
            <w:gridSpan w:val="2"/>
            <w:vAlign w:val="bottom"/>
          </w:tcPr>
          <w:p w14:paraId="71025A93" w14:textId="77777777" w:rsidR="00D1587D" w:rsidRDefault="00410D07">
            <w:pPr>
              <w:ind w:right="480"/>
              <w:jc w:val="right"/>
              <w:rPr>
                <w:sz w:val="20"/>
                <w:szCs w:val="20"/>
              </w:rPr>
            </w:pPr>
            <w:r>
              <w:rPr>
                <w:rFonts w:ascii="Arial" w:eastAsia="Arial" w:hAnsi="Arial" w:cs="Arial"/>
                <w:sz w:val="18"/>
                <w:szCs w:val="18"/>
              </w:rPr>
              <w:t>—</w:t>
            </w:r>
          </w:p>
        </w:tc>
        <w:tc>
          <w:tcPr>
            <w:tcW w:w="100" w:type="dxa"/>
            <w:vAlign w:val="bottom"/>
          </w:tcPr>
          <w:p w14:paraId="0259A754" w14:textId="77777777" w:rsidR="00D1587D" w:rsidRDefault="00D1587D">
            <w:pPr>
              <w:rPr>
                <w:sz w:val="24"/>
                <w:szCs w:val="24"/>
              </w:rPr>
            </w:pPr>
          </w:p>
        </w:tc>
        <w:tc>
          <w:tcPr>
            <w:tcW w:w="480" w:type="dxa"/>
            <w:vAlign w:val="bottom"/>
          </w:tcPr>
          <w:p w14:paraId="4474E09C" w14:textId="77777777" w:rsidR="00D1587D" w:rsidRDefault="00410D07">
            <w:pPr>
              <w:jc w:val="right"/>
              <w:rPr>
                <w:sz w:val="20"/>
                <w:szCs w:val="20"/>
              </w:rPr>
            </w:pPr>
            <w:r>
              <w:rPr>
                <w:rFonts w:ascii="Arial" w:eastAsia="Arial" w:hAnsi="Arial" w:cs="Arial"/>
                <w:w w:val="99"/>
                <w:sz w:val="18"/>
                <w:szCs w:val="18"/>
              </w:rPr>
              <w:t>(905)</w:t>
            </w:r>
          </w:p>
        </w:tc>
        <w:tc>
          <w:tcPr>
            <w:tcW w:w="0" w:type="dxa"/>
            <w:vAlign w:val="bottom"/>
          </w:tcPr>
          <w:p w14:paraId="52D9A920" w14:textId="77777777" w:rsidR="00D1587D" w:rsidRDefault="00D1587D">
            <w:pPr>
              <w:rPr>
                <w:sz w:val="1"/>
                <w:szCs w:val="1"/>
              </w:rPr>
            </w:pPr>
          </w:p>
        </w:tc>
      </w:tr>
      <w:tr w:rsidR="00D1587D" w14:paraId="7624C1F8" w14:textId="77777777">
        <w:trPr>
          <w:trHeight w:val="54"/>
        </w:trPr>
        <w:tc>
          <w:tcPr>
            <w:tcW w:w="4380" w:type="dxa"/>
            <w:vAlign w:val="bottom"/>
          </w:tcPr>
          <w:p w14:paraId="6393B5B4" w14:textId="77777777" w:rsidR="00D1587D" w:rsidRDefault="00D1587D">
            <w:pPr>
              <w:rPr>
                <w:sz w:val="4"/>
                <w:szCs w:val="4"/>
              </w:rPr>
            </w:pPr>
          </w:p>
        </w:tc>
        <w:tc>
          <w:tcPr>
            <w:tcW w:w="60" w:type="dxa"/>
            <w:vAlign w:val="bottom"/>
          </w:tcPr>
          <w:p w14:paraId="34AEAC23" w14:textId="77777777" w:rsidR="00D1587D" w:rsidRDefault="00D1587D">
            <w:pPr>
              <w:rPr>
                <w:sz w:val="4"/>
                <w:szCs w:val="4"/>
              </w:rPr>
            </w:pPr>
          </w:p>
        </w:tc>
        <w:tc>
          <w:tcPr>
            <w:tcW w:w="1100" w:type="dxa"/>
            <w:vAlign w:val="bottom"/>
          </w:tcPr>
          <w:p w14:paraId="2C0E7ADB" w14:textId="77777777" w:rsidR="00D1587D" w:rsidRDefault="00D1587D">
            <w:pPr>
              <w:rPr>
                <w:sz w:val="4"/>
                <w:szCs w:val="4"/>
              </w:rPr>
            </w:pPr>
          </w:p>
        </w:tc>
        <w:tc>
          <w:tcPr>
            <w:tcW w:w="140" w:type="dxa"/>
            <w:vAlign w:val="bottom"/>
          </w:tcPr>
          <w:p w14:paraId="428BE99E" w14:textId="77777777" w:rsidR="00D1587D" w:rsidRDefault="00D1587D">
            <w:pPr>
              <w:rPr>
                <w:sz w:val="4"/>
                <w:szCs w:val="4"/>
              </w:rPr>
            </w:pPr>
          </w:p>
        </w:tc>
        <w:tc>
          <w:tcPr>
            <w:tcW w:w="420" w:type="dxa"/>
            <w:vAlign w:val="bottom"/>
          </w:tcPr>
          <w:p w14:paraId="0C8E25DF" w14:textId="77777777" w:rsidR="00D1587D" w:rsidRDefault="00D1587D">
            <w:pPr>
              <w:rPr>
                <w:sz w:val="4"/>
                <w:szCs w:val="4"/>
              </w:rPr>
            </w:pPr>
          </w:p>
        </w:tc>
        <w:tc>
          <w:tcPr>
            <w:tcW w:w="540" w:type="dxa"/>
            <w:vAlign w:val="bottom"/>
          </w:tcPr>
          <w:p w14:paraId="444F9CD3" w14:textId="77777777" w:rsidR="00D1587D" w:rsidRDefault="00D1587D">
            <w:pPr>
              <w:rPr>
                <w:sz w:val="4"/>
                <w:szCs w:val="4"/>
              </w:rPr>
            </w:pPr>
          </w:p>
        </w:tc>
        <w:tc>
          <w:tcPr>
            <w:tcW w:w="120" w:type="dxa"/>
            <w:vAlign w:val="bottom"/>
          </w:tcPr>
          <w:p w14:paraId="3D402910" w14:textId="77777777" w:rsidR="00D1587D" w:rsidRDefault="00D1587D">
            <w:pPr>
              <w:rPr>
                <w:sz w:val="4"/>
                <w:szCs w:val="4"/>
              </w:rPr>
            </w:pPr>
          </w:p>
        </w:tc>
        <w:tc>
          <w:tcPr>
            <w:tcW w:w="940" w:type="dxa"/>
            <w:vAlign w:val="bottom"/>
          </w:tcPr>
          <w:p w14:paraId="61741F8E" w14:textId="77777777" w:rsidR="00D1587D" w:rsidRDefault="00D1587D">
            <w:pPr>
              <w:rPr>
                <w:sz w:val="4"/>
                <w:szCs w:val="4"/>
              </w:rPr>
            </w:pPr>
          </w:p>
        </w:tc>
        <w:tc>
          <w:tcPr>
            <w:tcW w:w="140" w:type="dxa"/>
            <w:vAlign w:val="bottom"/>
          </w:tcPr>
          <w:p w14:paraId="3EEB7522" w14:textId="77777777" w:rsidR="00D1587D" w:rsidRDefault="00D1587D">
            <w:pPr>
              <w:rPr>
                <w:sz w:val="4"/>
                <w:szCs w:val="4"/>
              </w:rPr>
            </w:pPr>
          </w:p>
        </w:tc>
        <w:tc>
          <w:tcPr>
            <w:tcW w:w="100" w:type="dxa"/>
            <w:vAlign w:val="bottom"/>
          </w:tcPr>
          <w:p w14:paraId="69F97E6D" w14:textId="77777777" w:rsidR="00D1587D" w:rsidRDefault="00D1587D">
            <w:pPr>
              <w:rPr>
                <w:sz w:val="4"/>
                <w:szCs w:val="4"/>
              </w:rPr>
            </w:pPr>
          </w:p>
        </w:tc>
        <w:tc>
          <w:tcPr>
            <w:tcW w:w="480" w:type="dxa"/>
            <w:vAlign w:val="bottom"/>
          </w:tcPr>
          <w:p w14:paraId="23741D13" w14:textId="77777777" w:rsidR="00D1587D" w:rsidRDefault="00D1587D">
            <w:pPr>
              <w:rPr>
                <w:sz w:val="4"/>
                <w:szCs w:val="4"/>
              </w:rPr>
            </w:pPr>
          </w:p>
        </w:tc>
        <w:tc>
          <w:tcPr>
            <w:tcW w:w="0" w:type="dxa"/>
            <w:vAlign w:val="bottom"/>
          </w:tcPr>
          <w:p w14:paraId="388C36F2" w14:textId="77777777" w:rsidR="00D1587D" w:rsidRDefault="00D1587D">
            <w:pPr>
              <w:rPr>
                <w:sz w:val="1"/>
                <w:szCs w:val="1"/>
              </w:rPr>
            </w:pPr>
          </w:p>
        </w:tc>
      </w:tr>
      <w:tr w:rsidR="00D1587D" w14:paraId="3A96EE3A" w14:textId="77777777">
        <w:trPr>
          <w:trHeight w:val="270"/>
        </w:trPr>
        <w:tc>
          <w:tcPr>
            <w:tcW w:w="4440" w:type="dxa"/>
            <w:gridSpan w:val="2"/>
            <w:shd w:val="clear" w:color="auto" w:fill="CCEEFF"/>
            <w:vAlign w:val="bottom"/>
          </w:tcPr>
          <w:p w14:paraId="7B32420C" w14:textId="77777777" w:rsidR="00D1587D" w:rsidRDefault="00410D07">
            <w:pPr>
              <w:ind w:left="180"/>
              <w:rPr>
                <w:sz w:val="20"/>
                <w:szCs w:val="20"/>
              </w:rPr>
            </w:pPr>
            <w:r>
              <w:rPr>
                <w:rFonts w:ascii="Arial" w:eastAsia="Arial" w:hAnsi="Arial" w:cs="Arial"/>
                <w:sz w:val="18"/>
                <w:szCs w:val="18"/>
              </w:rPr>
              <w:t>Net Transfers to L Brands, Inc.</w:t>
            </w:r>
          </w:p>
        </w:tc>
        <w:tc>
          <w:tcPr>
            <w:tcW w:w="1100" w:type="dxa"/>
            <w:shd w:val="clear" w:color="auto" w:fill="CCEEFF"/>
            <w:vAlign w:val="bottom"/>
          </w:tcPr>
          <w:p w14:paraId="521CC968" w14:textId="77777777" w:rsidR="00D1587D" w:rsidRDefault="00410D07">
            <w:pPr>
              <w:ind w:right="152"/>
              <w:jc w:val="right"/>
              <w:rPr>
                <w:sz w:val="20"/>
                <w:szCs w:val="20"/>
              </w:rPr>
            </w:pPr>
            <w:r>
              <w:rPr>
                <w:rFonts w:ascii="Arial" w:eastAsia="Arial" w:hAnsi="Arial" w:cs="Arial"/>
                <w:sz w:val="18"/>
                <w:szCs w:val="18"/>
              </w:rPr>
              <w:t>(159)</w:t>
            </w:r>
          </w:p>
        </w:tc>
        <w:tc>
          <w:tcPr>
            <w:tcW w:w="140" w:type="dxa"/>
            <w:shd w:val="clear" w:color="auto" w:fill="CCEEFF"/>
            <w:vAlign w:val="bottom"/>
          </w:tcPr>
          <w:p w14:paraId="35678F25" w14:textId="77777777" w:rsidR="00D1587D" w:rsidRDefault="00D1587D">
            <w:pPr>
              <w:rPr>
                <w:sz w:val="23"/>
                <w:szCs w:val="23"/>
              </w:rPr>
            </w:pPr>
          </w:p>
        </w:tc>
        <w:tc>
          <w:tcPr>
            <w:tcW w:w="420" w:type="dxa"/>
            <w:shd w:val="clear" w:color="auto" w:fill="CCEEFF"/>
            <w:vAlign w:val="bottom"/>
          </w:tcPr>
          <w:p w14:paraId="60EB5BA7" w14:textId="77777777" w:rsidR="00D1587D" w:rsidRDefault="00D1587D">
            <w:pPr>
              <w:rPr>
                <w:sz w:val="23"/>
                <w:szCs w:val="23"/>
              </w:rPr>
            </w:pPr>
          </w:p>
        </w:tc>
        <w:tc>
          <w:tcPr>
            <w:tcW w:w="660" w:type="dxa"/>
            <w:gridSpan w:val="2"/>
            <w:shd w:val="clear" w:color="auto" w:fill="CCEEFF"/>
            <w:vAlign w:val="bottom"/>
          </w:tcPr>
          <w:p w14:paraId="4027EE02"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shd w:val="clear" w:color="auto" w:fill="CCEEFF"/>
            <w:vAlign w:val="bottom"/>
          </w:tcPr>
          <w:p w14:paraId="56E2A27C" w14:textId="77777777" w:rsidR="00D1587D" w:rsidRDefault="00410D07">
            <w:pPr>
              <w:ind w:right="480"/>
              <w:jc w:val="right"/>
              <w:rPr>
                <w:sz w:val="20"/>
                <w:szCs w:val="20"/>
              </w:rPr>
            </w:pPr>
            <w:r>
              <w:rPr>
                <w:rFonts w:ascii="Arial" w:eastAsia="Arial" w:hAnsi="Arial" w:cs="Arial"/>
                <w:sz w:val="18"/>
                <w:szCs w:val="18"/>
              </w:rPr>
              <w:t>—</w:t>
            </w:r>
          </w:p>
        </w:tc>
        <w:tc>
          <w:tcPr>
            <w:tcW w:w="100" w:type="dxa"/>
            <w:shd w:val="clear" w:color="auto" w:fill="CCEEFF"/>
            <w:vAlign w:val="bottom"/>
          </w:tcPr>
          <w:p w14:paraId="4F804E21" w14:textId="77777777" w:rsidR="00D1587D" w:rsidRDefault="00D1587D">
            <w:pPr>
              <w:rPr>
                <w:sz w:val="23"/>
                <w:szCs w:val="23"/>
              </w:rPr>
            </w:pPr>
          </w:p>
        </w:tc>
        <w:tc>
          <w:tcPr>
            <w:tcW w:w="480" w:type="dxa"/>
            <w:shd w:val="clear" w:color="auto" w:fill="CCEEFF"/>
            <w:vAlign w:val="bottom"/>
          </w:tcPr>
          <w:p w14:paraId="08423516" w14:textId="77777777" w:rsidR="00D1587D" w:rsidRDefault="00410D07">
            <w:pPr>
              <w:jc w:val="right"/>
              <w:rPr>
                <w:sz w:val="20"/>
                <w:szCs w:val="20"/>
              </w:rPr>
            </w:pPr>
            <w:r>
              <w:rPr>
                <w:rFonts w:ascii="Arial" w:eastAsia="Arial" w:hAnsi="Arial" w:cs="Arial"/>
                <w:w w:val="99"/>
                <w:sz w:val="18"/>
                <w:szCs w:val="18"/>
              </w:rPr>
              <w:t>(159)</w:t>
            </w:r>
          </w:p>
        </w:tc>
        <w:tc>
          <w:tcPr>
            <w:tcW w:w="0" w:type="dxa"/>
            <w:vAlign w:val="bottom"/>
          </w:tcPr>
          <w:p w14:paraId="6EFB5273" w14:textId="77777777" w:rsidR="00D1587D" w:rsidRDefault="00D1587D">
            <w:pPr>
              <w:rPr>
                <w:sz w:val="1"/>
                <w:szCs w:val="1"/>
              </w:rPr>
            </w:pPr>
          </w:p>
        </w:tc>
      </w:tr>
      <w:tr w:rsidR="00D1587D" w14:paraId="36F06211" w14:textId="77777777">
        <w:trPr>
          <w:trHeight w:val="68"/>
        </w:trPr>
        <w:tc>
          <w:tcPr>
            <w:tcW w:w="4380" w:type="dxa"/>
            <w:shd w:val="clear" w:color="auto" w:fill="CCEEFF"/>
            <w:vAlign w:val="bottom"/>
          </w:tcPr>
          <w:p w14:paraId="4B3E0900" w14:textId="77777777" w:rsidR="00D1587D" w:rsidRDefault="00D1587D">
            <w:pPr>
              <w:rPr>
                <w:sz w:val="5"/>
                <w:szCs w:val="5"/>
              </w:rPr>
            </w:pPr>
          </w:p>
        </w:tc>
        <w:tc>
          <w:tcPr>
            <w:tcW w:w="60" w:type="dxa"/>
            <w:tcBorders>
              <w:bottom w:val="single" w:sz="8" w:space="0" w:color="CCEEFF"/>
            </w:tcBorders>
            <w:shd w:val="clear" w:color="auto" w:fill="CCEEFF"/>
            <w:vAlign w:val="bottom"/>
          </w:tcPr>
          <w:p w14:paraId="25EC2E5A" w14:textId="77777777" w:rsidR="00D1587D" w:rsidRDefault="00D1587D">
            <w:pPr>
              <w:rPr>
                <w:sz w:val="5"/>
                <w:szCs w:val="5"/>
              </w:rPr>
            </w:pPr>
          </w:p>
        </w:tc>
        <w:tc>
          <w:tcPr>
            <w:tcW w:w="1100" w:type="dxa"/>
            <w:tcBorders>
              <w:bottom w:val="single" w:sz="8" w:space="0" w:color="auto"/>
            </w:tcBorders>
            <w:shd w:val="clear" w:color="auto" w:fill="CCEEFF"/>
            <w:vAlign w:val="bottom"/>
          </w:tcPr>
          <w:p w14:paraId="70BAF501" w14:textId="77777777" w:rsidR="00D1587D" w:rsidRDefault="00D1587D">
            <w:pPr>
              <w:rPr>
                <w:sz w:val="5"/>
                <w:szCs w:val="5"/>
              </w:rPr>
            </w:pPr>
          </w:p>
        </w:tc>
        <w:tc>
          <w:tcPr>
            <w:tcW w:w="140" w:type="dxa"/>
            <w:tcBorders>
              <w:bottom w:val="single" w:sz="8" w:space="0" w:color="CCEEFF"/>
            </w:tcBorders>
            <w:shd w:val="clear" w:color="auto" w:fill="CCEEFF"/>
            <w:vAlign w:val="bottom"/>
          </w:tcPr>
          <w:p w14:paraId="4F561E0D" w14:textId="77777777" w:rsidR="00D1587D" w:rsidRDefault="00D1587D">
            <w:pPr>
              <w:rPr>
                <w:sz w:val="5"/>
                <w:szCs w:val="5"/>
              </w:rPr>
            </w:pPr>
          </w:p>
        </w:tc>
        <w:tc>
          <w:tcPr>
            <w:tcW w:w="960" w:type="dxa"/>
            <w:gridSpan w:val="2"/>
            <w:tcBorders>
              <w:bottom w:val="single" w:sz="8" w:space="0" w:color="auto"/>
            </w:tcBorders>
            <w:shd w:val="clear" w:color="auto" w:fill="CCEEFF"/>
            <w:vAlign w:val="bottom"/>
          </w:tcPr>
          <w:p w14:paraId="35CBA7C6" w14:textId="77777777" w:rsidR="00D1587D" w:rsidRDefault="00D1587D">
            <w:pPr>
              <w:rPr>
                <w:sz w:val="5"/>
                <w:szCs w:val="5"/>
              </w:rPr>
            </w:pPr>
          </w:p>
        </w:tc>
        <w:tc>
          <w:tcPr>
            <w:tcW w:w="120" w:type="dxa"/>
            <w:tcBorders>
              <w:bottom w:val="single" w:sz="8" w:space="0" w:color="CCEEFF"/>
            </w:tcBorders>
            <w:shd w:val="clear" w:color="auto" w:fill="CCEEFF"/>
            <w:vAlign w:val="bottom"/>
          </w:tcPr>
          <w:p w14:paraId="60F0229B" w14:textId="77777777" w:rsidR="00D1587D" w:rsidRDefault="00D1587D">
            <w:pPr>
              <w:rPr>
                <w:sz w:val="5"/>
                <w:szCs w:val="5"/>
              </w:rPr>
            </w:pPr>
          </w:p>
        </w:tc>
        <w:tc>
          <w:tcPr>
            <w:tcW w:w="940" w:type="dxa"/>
            <w:tcBorders>
              <w:bottom w:val="single" w:sz="8" w:space="0" w:color="auto"/>
            </w:tcBorders>
            <w:shd w:val="clear" w:color="auto" w:fill="CCEEFF"/>
            <w:vAlign w:val="bottom"/>
          </w:tcPr>
          <w:p w14:paraId="776C7FAE" w14:textId="77777777" w:rsidR="00D1587D" w:rsidRDefault="00D1587D">
            <w:pPr>
              <w:rPr>
                <w:sz w:val="5"/>
                <w:szCs w:val="5"/>
              </w:rPr>
            </w:pPr>
          </w:p>
        </w:tc>
        <w:tc>
          <w:tcPr>
            <w:tcW w:w="140" w:type="dxa"/>
            <w:tcBorders>
              <w:bottom w:val="single" w:sz="8" w:space="0" w:color="CCEEFF"/>
            </w:tcBorders>
            <w:shd w:val="clear" w:color="auto" w:fill="CCEEFF"/>
            <w:vAlign w:val="bottom"/>
          </w:tcPr>
          <w:p w14:paraId="186B1B38" w14:textId="77777777" w:rsidR="00D1587D" w:rsidRDefault="00D1587D">
            <w:pPr>
              <w:rPr>
                <w:sz w:val="5"/>
                <w:szCs w:val="5"/>
              </w:rPr>
            </w:pPr>
          </w:p>
        </w:tc>
        <w:tc>
          <w:tcPr>
            <w:tcW w:w="580" w:type="dxa"/>
            <w:gridSpan w:val="2"/>
            <w:tcBorders>
              <w:bottom w:val="single" w:sz="8" w:space="0" w:color="auto"/>
            </w:tcBorders>
            <w:shd w:val="clear" w:color="auto" w:fill="CCEEFF"/>
            <w:vAlign w:val="bottom"/>
          </w:tcPr>
          <w:p w14:paraId="5FFFE120" w14:textId="77777777" w:rsidR="00D1587D" w:rsidRDefault="00D1587D">
            <w:pPr>
              <w:rPr>
                <w:sz w:val="5"/>
                <w:szCs w:val="5"/>
              </w:rPr>
            </w:pPr>
          </w:p>
        </w:tc>
        <w:tc>
          <w:tcPr>
            <w:tcW w:w="0" w:type="dxa"/>
            <w:vAlign w:val="bottom"/>
          </w:tcPr>
          <w:p w14:paraId="766C61C9" w14:textId="77777777" w:rsidR="00D1587D" w:rsidRDefault="00D1587D">
            <w:pPr>
              <w:rPr>
                <w:sz w:val="1"/>
                <w:szCs w:val="1"/>
              </w:rPr>
            </w:pPr>
          </w:p>
        </w:tc>
      </w:tr>
      <w:tr w:rsidR="00D1587D" w14:paraId="217D349B" w14:textId="77777777">
        <w:trPr>
          <w:trHeight w:val="277"/>
        </w:trPr>
        <w:tc>
          <w:tcPr>
            <w:tcW w:w="4440" w:type="dxa"/>
            <w:gridSpan w:val="2"/>
            <w:vAlign w:val="bottom"/>
          </w:tcPr>
          <w:p w14:paraId="3EEEFE5E" w14:textId="77777777" w:rsidR="00D1587D" w:rsidRDefault="00410D07">
            <w:pPr>
              <w:rPr>
                <w:sz w:val="20"/>
                <w:szCs w:val="20"/>
              </w:rPr>
            </w:pPr>
            <w:r>
              <w:rPr>
                <w:rFonts w:ascii="Arial" w:eastAsia="Arial" w:hAnsi="Arial" w:cs="Arial"/>
                <w:sz w:val="18"/>
                <w:szCs w:val="18"/>
              </w:rPr>
              <w:t>Balance, February 1, 2020</w:t>
            </w:r>
          </w:p>
        </w:tc>
        <w:tc>
          <w:tcPr>
            <w:tcW w:w="1100" w:type="dxa"/>
            <w:vAlign w:val="bottom"/>
          </w:tcPr>
          <w:p w14:paraId="71A12DF8" w14:textId="77777777" w:rsidR="00D1587D" w:rsidRDefault="00410D07">
            <w:pPr>
              <w:ind w:right="212"/>
              <w:jc w:val="right"/>
              <w:rPr>
                <w:sz w:val="20"/>
                <w:szCs w:val="20"/>
              </w:rPr>
            </w:pPr>
            <w:r>
              <w:rPr>
                <w:rFonts w:ascii="Arial" w:eastAsia="Arial" w:hAnsi="Arial" w:cs="Arial"/>
                <w:sz w:val="18"/>
                <w:szCs w:val="18"/>
              </w:rPr>
              <w:t>1,341</w:t>
            </w:r>
          </w:p>
        </w:tc>
        <w:tc>
          <w:tcPr>
            <w:tcW w:w="140" w:type="dxa"/>
            <w:vAlign w:val="bottom"/>
          </w:tcPr>
          <w:p w14:paraId="4F6D6A6B" w14:textId="77777777" w:rsidR="00D1587D" w:rsidRDefault="00D1587D">
            <w:pPr>
              <w:rPr>
                <w:sz w:val="24"/>
                <w:szCs w:val="24"/>
              </w:rPr>
            </w:pPr>
          </w:p>
        </w:tc>
        <w:tc>
          <w:tcPr>
            <w:tcW w:w="960" w:type="dxa"/>
            <w:gridSpan w:val="2"/>
            <w:vAlign w:val="bottom"/>
          </w:tcPr>
          <w:p w14:paraId="3398774B" w14:textId="77777777" w:rsidR="00D1587D" w:rsidRDefault="00410D07">
            <w:pPr>
              <w:ind w:right="170"/>
              <w:jc w:val="right"/>
              <w:rPr>
                <w:sz w:val="20"/>
                <w:szCs w:val="20"/>
              </w:rPr>
            </w:pPr>
            <w:r>
              <w:rPr>
                <w:rFonts w:ascii="Arial" w:eastAsia="Arial" w:hAnsi="Arial" w:cs="Arial"/>
                <w:sz w:val="18"/>
                <w:szCs w:val="18"/>
              </w:rPr>
              <w:t>(29)</w:t>
            </w:r>
          </w:p>
        </w:tc>
        <w:tc>
          <w:tcPr>
            <w:tcW w:w="120" w:type="dxa"/>
            <w:vAlign w:val="bottom"/>
          </w:tcPr>
          <w:p w14:paraId="7B254BB7" w14:textId="77777777" w:rsidR="00D1587D" w:rsidRDefault="00D1587D">
            <w:pPr>
              <w:rPr>
                <w:sz w:val="24"/>
                <w:szCs w:val="24"/>
              </w:rPr>
            </w:pPr>
          </w:p>
        </w:tc>
        <w:tc>
          <w:tcPr>
            <w:tcW w:w="940" w:type="dxa"/>
            <w:vAlign w:val="bottom"/>
          </w:tcPr>
          <w:p w14:paraId="60D692A8" w14:textId="77777777" w:rsidR="00D1587D" w:rsidRDefault="00410D07">
            <w:pPr>
              <w:ind w:right="252"/>
              <w:jc w:val="right"/>
              <w:rPr>
                <w:sz w:val="20"/>
                <w:szCs w:val="20"/>
              </w:rPr>
            </w:pPr>
            <w:r>
              <w:rPr>
                <w:rFonts w:ascii="Arial" w:eastAsia="Arial" w:hAnsi="Arial" w:cs="Arial"/>
                <w:sz w:val="18"/>
                <w:szCs w:val="18"/>
              </w:rPr>
              <w:t>2</w:t>
            </w:r>
          </w:p>
        </w:tc>
        <w:tc>
          <w:tcPr>
            <w:tcW w:w="140" w:type="dxa"/>
            <w:vAlign w:val="bottom"/>
          </w:tcPr>
          <w:p w14:paraId="22C51585" w14:textId="77777777" w:rsidR="00D1587D" w:rsidRDefault="00D1587D">
            <w:pPr>
              <w:rPr>
                <w:sz w:val="24"/>
                <w:szCs w:val="24"/>
              </w:rPr>
            </w:pPr>
          </w:p>
        </w:tc>
        <w:tc>
          <w:tcPr>
            <w:tcW w:w="580" w:type="dxa"/>
            <w:gridSpan w:val="2"/>
            <w:vAlign w:val="bottom"/>
          </w:tcPr>
          <w:p w14:paraId="7DD744A9" w14:textId="77777777" w:rsidR="00D1587D" w:rsidRDefault="00410D07">
            <w:pPr>
              <w:ind w:right="11"/>
              <w:jc w:val="right"/>
              <w:rPr>
                <w:sz w:val="20"/>
                <w:szCs w:val="20"/>
              </w:rPr>
            </w:pPr>
            <w:r>
              <w:rPr>
                <w:rFonts w:ascii="Arial" w:eastAsia="Arial" w:hAnsi="Arial" w:cs="Arial"/>
                <w:sz w:val="18"/>
                <w:szCs w:val="18"/>
              </w:rPr>
              <w:t>1,314</w:t>
            </w:r>
          </w:p>
        </w:tc>
        <w:tc>
          <w:tcPr>
            <w:tcW w:w="0" w:type="dxa"/>
            <w:vAlign w:val="bottom"/>
          </w:tcPr>
          <w:p w14:paraId="4672142F" w14:textId="77777777" w:rsidR="00D1587D" w:rsidRDefault="00D1587D">
            <w:pPr>
              <w:rPr>
                <w:sz w:val="1"/>
                <w:szCs w:val="1"/>
              </w:rPr>
            </w:pPr>
          </w:p>
        </w:tc>
      </w:tr>
      <w:tr w:rsidR="00D1587D" w14:paraId="3685069A" w14:textId="77777777">
        <w:trPr>
          <w:trHeight w:val="54"/>
        </w:trPr>
        <w:tc>
          <w:tcPr>
            <w:tcW w:w="4380" w:type="dxa"/>
            <w:vAlign w:val="bottom"/>
          </w:tcPr>
          <w:p w14:paraId="5B57D681" w14:textId="77777777" w:rsidR="00D1587D" w:rsidRDefault="00D1587D">
            <w:pPr>
              <w:rPr>
                <w:sz w:val="4"/>
                <w:szCs w:val="4"/>
              </w:rPr>
            </w:pPr>
          </w:p>
        </w:tc>
        <w:tc>
          <w:tcPr>
            <w:tcW w:w="60" w:type="dxa"/>
            <w:vAlign w:val="bottom"/>
          </w:tcPr>
          <w:p w14:paraId="53CCF58B" w14:textId="77777777" w:rsidR="00D1587D" w:rsidRDefault="00D1587D">
            <w:pPr>
              <w:rPr>
                <w:sz w:val="4"/>
                <w:szCs w:val="4"/>
              </w:rPr>
            </w:pPr>
          </w:p>
        </w:tc>
        <w:tc>
          <w:tcPr>
            <w:tcW w:w="1100" w:type="dxa"/>
            <w:vAlign w:val="bottom"/>
          </w:tcPr>
          <w:p w14:paraId="78F4B7CD" w14:textId="77777777" w:rsidR="00D1587D" w:rsidRDefault="00D1587D">
            <w:pPr>
              <w:rPr>
                <w:sz w:val="4"/>
                <w:szCs w:val="4"/>
              </w:rPr>
            </w:pPr>
          </w:p>
        </w:tc>
        <w:tc>
          <w:tcPr>
            <w:tcW w:w="140" w:type="dxa"/>
            <w:vAlign w:val="bottom"/>
          </w:tcPr>
          <w:p w14:paraId="5F3C194C" w14:textId="77777777" w:rsidR="00D1587D" w:rsidRDefault="00D1587D">
            <w:pPr>
              <w:rPr>
                <w:sz w:val="4"/>
                <w:szCs w:val="4"/>
              </w:rPr>
            </w:pPr>
          </w:p>
        </w:tc>
        <w:tc>
          <w:tcPr>
            <w:tcW w:w="420" w:type="dxa"/>
            <w:vAlign w:val="bottom"/>
          </w:tcPr>
          <w:p w14:paraId="1FA3731F" w14:textId="77777777" w:rsidR="00D1587D" w:rsidRDefault="00D1587D">
            <w:pPr>
              <w:rPr>
                <w:sz w:val="4"/>
                <w:szCs w:val="4"/>
              </w:rPr>
            </w:pPr>
          </w:p>
        </w:tc>
        <w:tc>
          <w:tcPr>
            <w:tcW w:w="540" w:type="dxa"/>
            <w:vAlign w:val="bottom"/>
          </w:tcPr>
          <w:p w14:paraId="5C841F10" w14:textId="77777777" w:rsidR="00D1587D" w:rsidRDefault="00D1587D">
            <w:pPr>
              <w:rPr>
                <w:sz w:val="4"/>
                <w:szCs w:val="4"/>
              </w:rPr>
            </w:pPr>
          </w:p>
        </w:tc>
        <w:tc>
          <w:tcPr>
            <w:tcW w:w="120" w:type="dxa"/>
            <w:vAlign w:val="bottom"/>
          </w:tcPr>
          <w:p w14:paraId="53A8887F" w14:textId="77777777" w:rsidR="00D1587D" w:rsidRDefault="00D1587D">
            <w:pPr>
              <w:rPr>
                <w:sz w:val="4"/>
                <w:szCs w:val="4"/>
              </w:rPr>
            </w:pPr>
          </w:p>
        </w:tc>
        <w:tc>
          <w:tcPr>
            <w:tcW w:w="940" w:type="dxa"/>
            <w:vAlign w:val="bottom"/>
          </w:tcPr>
          <w:p w14:paraId="03894842" w14:textId="77777777" w:rsidR="00D1587D" w:rsidRDefault="00D1587D">
            <w:pPr>
              <w:rPr>
                <w:sz w:val="4"/>
                <w:szCs w:val="4"/>
              </w:rPr>
            </w:pPr>
          </w:p>
        </w:tc>
        <w:tc>
          <w:tcPr>
            <w:tcW w:w="140" w:type="dxa"/>
            <w:vAlign w:val="bottom"/>
          </w:tcPr>
          <w:p w14:paraId="44A5B077" w14:textId="77777777" w:rsidR="00D1587D" w:rsidRDefault="00D1587D">
            <w:pPr>
              <w:rPr>
                <w:sz w:val="4"/>
                <w:szCs w:val="4"/>
              </w:rPr>
            </w:pPr>
          </w:p>
        </w:tc>
        <w:tc>
          <w:tcPr>
            <w:tcW w:w="100" w:type="dxa"/>
            <w:vAlign w:val="bottom"/>
          </w:tcPr>
          <w:p w14:paraId="236FB0AE" w14:textId="77777777" w:rsidR="00D1587D" w:rsidRDefault="00D1587D">
            <w:pPr>
              <w:rPr>
                <w:sz w:val="4"/>
                <w:szCs w:val="4"/>
              </w:rPr>
            </w:pPr>
          </w:p>
        </w:tc>
        <w:tc>
          <w:tcPr>
            <w:tcW w:w="480" w:type="dxa"/>
            <w:vAlign w:val="bottom"/>
          </w:tcPr>
          <w:p w14:paraId="0ED9C8D3" w14:textId="77777777" w:rsidR="00D1587D" w:rsidRDefault="00D1587D">
            <w:pPr>
              <w:rPr>
                <w:sz w:val="4"/>
                <w:szCs w:val="4"/>
              </w:rPr>
            </w:pPr>
          </w:p>
        </w:tc>
        <w:tc>
          <w:tcPr>
            <w:tcW w:w="0" w:type="dxa"/>
            <w:vAlign w:val="bottom"/>
          </w:tcPr>
          <w:p w14:paraId="53F9F050" w14:textId="77777777" w:rsidR="00D1587D" w:rsidRDefault="00D1587D">
            <w:pPr>
              <w:rPr>
                <w:sz w:val="1"/>
                <w:szCs w:val="1"/>
              </w:rPr>
            </w:pPr>
          </w:p>
        </w:tc>
      </w:tr>
      <w:tr w:rsidR="00D1587D" w14:paraId="1C1B00B6" w14:textId="77777777">
        <w:trPr>
          <w:trHeight w:val="304"/>
        </w:trPr>
        <w:tc>
          <w:tcPr>
            <w:tcW w:w="4440" w:type="dxa"/>
            <w:gridSpan w:val="2"/>
            <w:tcBorders>
              <w:bottom w:val="single" w:sz="8" w:space="0" w:color="CCEEFF"/>
            </w:tcBorders>
            <w:shd w:val="clear" w:color="auto" w:fill="CCEEFF"/>
            <w:vAlign w:val="bottom"/>
          </w:tcPr>
          <w:p w14:paraId="285B1E1C" w14:textId="77777777" w:rsidR="00D1587D" w:rsidRDefault="00410D07">
            <w:pPr>
              <w:ind w:left="180"/>
              <w:rPr>
                <w:sz w:val="20"/>
                <w:szCs w:val="20"/>
              </w:rPr>
            </w:pPr>
            <w:r>
              <w:rPr>
                <w:rFonts w:ascii="Arial" w:eastAsia="Arial" w:hAnsi="Arial" w:cs="Arial"/>
                <w:sz w:val="18"/>
                <w:szCs w:val="18"/>
              </w:rPr>
              <w:t>Net Loss</w:t>
            </w:r>
          </w:p>
        </w:tc>
        <w:tc>
          <w:tcPr>
            <w:tcW w:w="1100" w:type="dxa"/>
            <w:tcBorders>
              <w:bottom w:val="single" w:sz="8" w:space="0" w:color="CCEEFF"/>
            </w:tcBorders>
            <w:shd w:val="clear" w:color="auto" w:fill="CCEEFF"/>
            <w:vAlign w:val="bottom"/>
          </w:tcPr>
          <w:p w14:paraId="4A9EDBAF" w14:textId="77777777" w:rsidR="00D1587D" w:rsidRDefault="00410D07">
            <w:pPr>
              <w:ind w:right="152"/>
              <w:jc w:val="right"/>
              <w:rPr>
                <w:sz w:val="20"/>
                <w:szCs w:val="20"/>
              </w:rPr>
            </w:pPr>
            <w:r>
              <w:rPr>
                <w:rFonts w:ascii="Arial" w:eastAsia="Arial" w:hAnsi="Arial" w:cs="Arial"/>
                <w:sz w:val="18"/>
                <w:szCs w:val="18"/>
              </w:rPr>
              <w:t>(72)</w:t>
            </w:r>
          </w:p>
        </w:tc>
        <w:tc>
          <w:tcPr>
            <w:tcW w:w="140" w:type="dxa"/>
            <w:tcBorders>
              <w:bottom w:val="single" w:sz="8" w:space="0" w:color="CCEEFF"/>
            </w:tcBorders>
            <w:shd w:val="clear" w:color="auto" w:fill="CCEEFF"/>
            <w:vAlign w:val="bottom"/>
          </w:tcPr>
          <w:p w14:paraId="4B5E954D" w14:textId="77777777" w:rsidR="00D1587D" w:rsidRDefault="00D1587D">
            <w:pPr>
              <w:rPr>
                <w:sz w:val="24"/>
                <w:szCs w:val="24"/>
              </w:rPr>
            </w:pPr>
          </w:p>
        </w:tc>
        <w:tc>
          <w:tcPr>
            <w:tcW w:w="420" w:type="dxa"/>
            <w:tcBorders>
              <w:bottom w:val="single" w:sz="8" w:space="0" w:color="CCEEFF"/>
            </w:tcBorders>
            <w:shd w:val="clear" w:color="auto" w:fill="CCEEFF"/>
            <w:vAlign w:val="bottom"/>
          </w:tcPr>
          <w:p w14:paraId="069284D1" w14:textId="77777777" w:rsidR="00D1587D" w:rsidRDefault="00D1587D">
            <w:pPr>
              <w:rPr>
                <w:sz w:val="24"/>
                <w:szCs w:val="24"/>
              </w:rPr>
            </w:pPr>
          </w:p>
        </w:tc>
        <w:tc>
          <w:tcPr>
            <w:tcW w:w="660" w:type="dxa"/>
            <w:gridSpan w:val="2"/>
            <w:tcBorders>
              <w:bottom w:val="single" w:sz="8" w:space="0" w:color="CCEEFF"/>
            </w:tcBorders>
            <w:shd w:val="clear" w:color="auto" w:fill="CCEEFF"/>
            <w:vAlign w:val="bottom"/>
          </w:tcPr>
          <w:p w14:paraId="3DFDF13C"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tcBorders>
              <w:bottom w:val="single" w:sz="8" w:space="0" w:color="CCEEFF"/>
            </w:tcBorders>
            <w:shd w:val="clear" w:color="auto" w:fill="CCEEFF"/>
            <w:vAlign w:val="bottom"/>
          </w:tcPr>
          <w:p w14:paraId="521C6430" w14:textId="77777777" w:rsidR="00D1587D" w:rsidRDefault="00410D07">
            <w:pPr>
              <w:ind w:right="480"/>
              <w:jc w:val="right"/>
              <w:rPr>
                <w:sz w:val="20"/>
                <w:szCs w:val="20"/>
              </w:rPr>
            </w:pPr>
            <w:r>
              <w:rPr>
                <w:rFonts w:ascii="Arial" w:eastAsia="Arial" w:hAnsi="Arial" w:cs="Arial"/>
                <w:sz w:val="18"/>
                <w:szCs w:val="18"/>
              </w:rPr>
              <w:t>—</w:t>
            </w:r>
          </w:p>
        </w:tc>
        <w:tc>
          <w:tcPr>
            <w:tcW w:w="100" w:type="dxa"/>
            <w:tcBorders>
              <w:bottom w:val="single" w:sz="8" w:space="0" w:color="CCEEFF"/>
            </w:tcBorders>
            <w:shd w:val="clear" w:color="auto" w:fill="CCEEFF"/>
            <w:vAlign w:val="bottom"/>
          </w:tcPr>
          <w:p w14:paraId="263C53AA" w14:textId="77777777" w:rsidR="00D1587D" w:rsidRDefault="00D1587D">
            <w:pPr>
              <w:rPr>
                <w:sz w:val="24"/>
                <w:szCs w:val="24"/>
              </w:rPr>
            </w:pPr>
          </w:p>
        </w:tc>
        <w:tc>
          <w:tcPr>
            <w:tcW w:w="480" w:type="dxa"/>
            <w:tcBorders>
              <w:bottom w:val="single" w:sz="8" w:space="0" w:color="CCEEFF"/>
            </w:tcBorders>
            <w:shd w:val="clear" w:color="auto" w:fill="CCEEFF"/>
            <w:vAlign w:val="bottom"/>
          </w:tcPr>
          <w:p w14:paraId="73626C82" w14:textId="77777777" w:rsidR="00D1587D" w:rsidRDefault="00410D07">
            <w:pPr>
              <w:jc w:val="right"/>
              <w:rPr>
                <w:sz w:val="20"/>
                <w:szCs w:val="20"/>
              </w:rPr>
            </w:pPr>
            <w:r>
              <w:rPr>
                <w:rFonts w:ascii="Arial" w:eastAsia="Arial" w:hAnsi="Arial" w:cs="Arial"/>
                <w:sz w:val="18"/>
                <w:szCs w:val="18"/>
              </w:rPr>
              <w:t>(72)</w:t>
            </w:r>
          </w:p>
        </w:tc>
        <w:tc>
          <w:tcPr>
            <w:tcW w:w="0" w:type="dxa"/>
            <w:vAlign w:val="bottom"/>
          </w:tcPr>
          <w:p w14:paraId="21E9A992" w14:textId="77777777" w:rsidR="00D1587D" w:rsidRDefault="00D1587D">
            <w:pPr>
              <w:rPr>
                <w:sz w:val="1"/>
                <w:szCs w:val="1"/>
              </w:rPr>
            </w:pPr>
          </w:p>
        </w:tc>
      </w:tr>
      <w:tr w:rsidR="00D1587D" w14:paraId="37799EC5" w14:textId="77777777">
        <w:trPr>
          <w:trHeight w:val="270"/>
        </w:trPr>
        <w:tc>
          <w:tcPr>
            <w:tcW w:w="4440" w:type="dxa"/>
            <w:gridSpan w:val="2"/>
            <w:vAlign w:val="bottom"/>
          </w:tcPr>
          <w:p w14:paraId="52F70235" w14:textId="77777777" w:rsidR="00D1587D" w:rsidRDefault="00410D07">
            <w:pPr>
              <w:ind w:left="180"/>
              <w:rPr>
                <w:sz w:val="20"/>
                <w:szCs w:val="20"/>
              </w:rPr>
            </w:pPr>
            <w:r>
              <w:rPr>
                <w:rFonts w:ascii="Arial" w:eastAsia="Arial" w:hAnsi="Arial" w:cs="Arial"/>
                <w:sz w:val="18"/>
                <w:szCs w:val="18"/>
              </w:rPr>
              <w:t>Other Comprehensive Income</w:t>
            </w:r>
          </w:p>
        </w:tc>
        <w:tc>
          <w:tcPr>
            <w:tcW w:w="1240" w:type="dxa"/>
            <w:gridSpan w:val="2"/>
            <w:vAlign w:val="bottom"/>
          </w:tcPr>
          <w:p w14:paraId="691C9F04" w14:textId="77777777" w:rsidR="00D1587D" w:rsidRDefault="00410D07">
            <w:pPr>
              <w:ind w:right="440"/>
              <w:jc w:val="right"/>
              <w:rPr>
                <w:sz w:val="20"/>
                <w:szCs w:val="20"/>
              </w:rPr>
            </w:pPr>
            <w:r>
              <w:rPr>
                <w:rFonts w:ascii="Arial" w:eastAsia="Arial" w:hAnsi="Arial" w:cs="Arial"/>
                <w:sz w:val="18"/>
                <w:szCs w:val="18"/>
              </w:rPr>
              <w:t>—</w:t>
            </w:r>
          </w:p>
        </w:tc>
        <w:tc>
          <w:tcPr>
            <w:tcW w:w="420" w:type="dxa"/>
            <w:vAlign w:val="bottom"/>
          </w:tcPr>
          <w:p w14:paraId="0A0D4EA6" w14:textId="77777777" w:rsidR="00D1587D" w:rsidRDefault="00D1587D">
            <w:pPr>
              <w:rPr>
                <w:sz w:val="23"/>
                <w:szCs w:val="23"/>
              </w:rPr>
            </w:pPr>
          </w:p>
        </w:tc>
        <w:tc>
          <w:tcPr>
            <w:tcW w:w="540" w:type="dxa"/>
            <w:vAlign w:val="bottom"/>
          </w:tcPr>
          <w:p w14:paraId="3B8EE2E3" w14:textId="77777777" w:rsidR="00D1587D" w:rsidRDefault="00410D07">
            <w:pPr>
              <w:ind w:right="230"/>
              <w:jc w:val="right"/>
              <w:rPr>
                <w:sz w:val="20"/>
                <w:szCs w:val="20"/>
              </w:rPr>
            </w:pPr>
            <w:r>
              <w:rPr>
                <w:rFonts w:ascii="Arial" w:eastAsia="Arial" w:hAnsi="Arial" w:cs="Arial"/>
                <w:w w:val="99"/>
                <w:sz w:val="18"/>
                <w:szCs w:val="18"/>
              </w:rPr>
              <w:t>33</w:t>
            </w:r>
          </w:p>
        </w:tc>
        <w:tc>
          <w:tcPr>
            <w:tcW w:w="120" w:type="dxa"/>
            <w:vAlign w:val="bottom"/>
          </w:tcPr>
          <w:p w14:paraId="73A2FB39" w14:textId="77777777" w:rsidR="00D1587D" w:rsidRDefault="00D1587D">
            <w:pPr>
              <w:rPr>
                <w:sz w:val="23"/>
                <w:szCs w:val="23"/>
              </w:rPr>
            </w:pPr>
          </w:p>
        </w:tc>
        <w:tc>
          <w:tcPr>
            <w:tcW w:w="1080" w:type="dxa"/>
            <w:gridSpan w:val="2"/>
            <w:vAlign w:val="bottom"/>
          </w:tcPr>
          <w:p w14:paraId="4E8CB4F7" w14:textId="77777777" w:rsidR="00D1587D" w:rsidRDefault="00410D07">
            <w:pPr>
              <w:ind w:right="480"/>
              <w:jc w:val="right"/>
              <w:rPr>
                <w:sz w:val="20"/>
                <w:szCs w:val="20"/>
              </w:rPr>
            </w:pPr>
            <w:r>
              <w:rPr>
                <w:rFonts w:ascii="Arial" w:eastAsia="Arial" w:hAnsi="Arial" w:cs="Arial"/>
                <w:sz w:val="18"/>
                <w:szCs w:val="18"/>
              </w:rPr>
              <w:t>—</w:t>
            </w:r>
          </w:p>
        </w:tc>
        <w:tc>
          <w:tcPr>
            <w:tcW w:w="100" w:type="dxa"/>
            <w:vAlign w:val="bottom"/>
          </w:tcPr>
          <w:p w14:paraId="070739EE" w14:textId="77777777" w:rsidR="00D1587D" w:rsidRDefault="00D1587D">
            <w:pPr>
              <w:rPr>
                <w:sz w:val="23"/>
                <w:szCs w:val="23"/>
              </w:rPr>
            </w:pPr>
          </w:p>
        </w:tc>
        <w:tc>
          <w:tcPr>
            <w:tcW w:w="480" w:type="dxa"/>
            <w:vAlign w:val="bottom"/>
          </w:tcPr>
          <w:p w14:paraId="3B461CE7" w14:textId="77777777" w:rsidR="00D1587D" w:rsidRDefault="00410D07">
            <w:pPr>
              <w:ind w:right="11"/>
              <w:jc w:val="right"/>
              <w:rPr>
                <w:sz w:val="20"/>
                <w:szCs w:val="20"/>
              </w:rPr>
            </w:pPr>
            <w:r>
              <w:rPr>
                <w:rFonts w:ascii="Arial" w:eastAsia="Arial" w:hAnsi="Arial" w:cs="Arial"/>
                <w:sz w:val="18"/>
                <w:szCs w:val="18"/>
              </w:rPr>
              <w:t>33</w:t>
            </w:r>
          </w:p>
        </w:tc>
        <w:tc>
          <w:tcPr>
            <w:tcW w:w="0" w:type="dxa"/>
            <w:vAlign w:val="bottom"/>
          </w:tcPr>
          <w:p w14:paraId="0BCFA1AA" w14:textId="77777777" w:rsidR="00D1587D" w:rsidRDefault="00D1587D">
            <w:pPr>
              <w:rPr>
                <w:sz w:val="1"/>
                <w:szCs w:val="1"/>
              </w:rPr>
            </w:pPr>
          </w:p>
        </w:tc>
      </w:tr>
      <w:tr w:rsidR="00D1587D" w14:paraId="1E055C4A" w14:textId="77777777">
        <w:trPr>
          <w:trHeight w:val="68"/>
        </w:trPr>
        <w:tc>
          <w:tcPr>
            <w:tcW w:w="4380" w:type="dxa"/>
            <w:tcBorders>
              <w:bottom w:val="single" w:sz="8" w:space="0" w:color="CCEEFF"/>
            </w:tcBorders>
            <w:vAlign w:val="bottom"/>
          </w:tcPr>
          <w:p w14:paraId="4FCCC541" w14:textId="77777777" w:rsidR="00D1587D" w:rsidRDefault="00D1587D">
            <w:pPr>
              <w:rPr>
                <w:sz w:val="5"/>
                <w:szCs w:val="5"/>
              </w:rPr>
            </w:pPr>
          </w:p>
        </w:tc>
        <w:tc>
          <w:tcPr>
            <w:tcW w:w="60" w:type="dxa"/>
            <w:tcBorders>
              <w:bottom w:val="single" w:sz="8" w:space="0" w:color="CCEEFF"/>
            </w:tcBorders>
            <w:vAlign w:val="bottom"/>
          </w:tcPr>
          <w:p w14:paraId="7DB838B5" w14:textId="77777777" w:rsidR="00D1587D" w:rsidRDefault="00D1587D">
            <w:pPr>
              <w:rPr>
                <w:sz w:val="5"/>
                <w:szCs w:val="5"/>
              </w:rPr>
            </w:pPr>
          </w:p>
        </w:tc>
        <w:tc>
          <w:tcPr>
            <w:tcW w:w="1100" w:type="dxa"/>
            <w:tcBorders>
              <w:bottom w:val="single" w:sz="8" w:space="0" w:color="auto"/>
            </w:tcBorders>
            <w:vAlign w:val="bottom"/>
          </w:tcPr>
          <w:p w14:paraId="1F647FC0" w14:textId="77777777" w:rsidR="00D1587D" w:rsidRDefault="00D1587D">
            <w:pPr>
              <w:rPr>
                <w:sz w:val="5"/>
                <w:szCs w:val="5"/>
              </w:rPr>
            </w:pPr>
          </w:p>
        </w:tc>
        <w:tc>
          <w:tcPr>
            <w:tcW w:w="140" w:type="dxa"/>
            <w:tcBorders>
              <w:bottom w:val="single" w:sz="8" w:space="0" w:color="CCEEFF"/>
            </w:tcBorders>
            <w:vAlign w:val="bottom"/>
          </w:tcPr>
          <w:p w14:paraId="6D85B64C" w14:textId="77777777" w:rsidR="00D1587D" w:rsidRDefault="00D1587D">
            <w:pPr>
              <w:rPr>
                <w:sz w:val="5"/>
                <w:szCs w:val="5"/>
              </w:rPr>
            </w:pPr>
          </w:p>
        </w:tc>
        <w:tc>
          <w:tcPr>
            <w:tcW w:w="420" w:type="dxa"/>
            <w:tcBorders>
              <w:bottom w:val="single" w:sz="8" w:space="0" w:color="auto"/>
            </w:tcBorders>
            <w:vAlign w:val="bottom"/>
          </w:tcPr>
          <w:p w14:paraId="3DAF81BD" w14:textId="77777777" w:rsidR="00D1587D" w:rsidRDefault="00D1587D">
            <w:pPr>
              <w:rPr>
                <w:sz w:val="5"/>
                <w:szCs w:val="5"/>
              </w:rPr>
            </w:pPr>
          </w:p>
        </w:tc>
        <w:tc>
          <w:tcPr>
            <w:tcW w:w="540" w:type="dxa"/>
            <w:tcBorders>
              <w:bottom w:val="single" w:sz="8" w:space="0" w:color="auto"/>
            </w:tcBorders>
            <w:vAlign w:val="bottom"/>
          </w:tcPr>
          <w:p w14:paraId="1110FA84" w14:textId="77777777" w:rsidR="00D1587D" w:rsidRDefault="00D1587D">
            <w:pPr>
              <w:rPr>
                <w:sz w:val="5"/>
                <w:szCs w:val="5"/>
              </w:rPr>
            </w:pPr>
          </w:p>
        </w:tc>
        <w:tc>
          <w:tcPr>
            <w:tcW w:w="120" w:type="dxa"/>
            <w:tcBorders>
              <w:bottom w:val="single" w:sz="8" w:space="0" w:color="CCEEFF"/>
            </w:tcBorders>
            <w:vAlign w:val="bottom"/>
          </w:tcPr>
          <w:p w14:paraId="53675F09" w14:textId="77777777" w:rsidR="00D1587D" w:rsidRDefault="00D1587D">
            <w:pPr>
              <w:rPr>
                <w:sz w:val="5"/>
                <w:szCs w:val="5"/>
              </w:rPr>
            </w:pPr>
          </w:p>
        </w:tc>
        <w:tc>
          <w:tcPr>
            <w:tcW w:w="940" w:type="dxa"/>
            <w:tcBorders>
              <w:bottom w:val="single" w:sz="8" w:space="0" w:color="auto"/>
            </w:tcBorders>
            <w:vAlign w:val="bottom"/>
          </w:tcPr>
          <w:p w14:paraId="3FB5C83E" w14:textId="77777777" w:rsidR="00D1587D" w:rsidRDefault="00D1587D">
            <w:pPr>
              <w:rPr>
                <w:sz w:val="5"/>
                <w:szCs w:val="5"/>
              </w:rPr>
            </w:pPr>
          </w:p>
        </w:tc>
        <w:tc>
          <w:tcPr>
            <w:tcW w:w="140" w:type="dxa"/>
            <w:tcBorders>
              <w:bottom w:val="single" w:sz="8" w:space="0" w:color="CCEEFF"/>
            </w:tcBorders>
            <w:vAlign w:val="bottom"/>
          </w:tcPr>
          <w:p w14:paraId="3BCFC28C" w14:textId="77777777" w:rsidR="00D1587D" w:rsidRDefault="00D1587D">
            <w:pPr>
              <w:rPr>
                <w:sz w:val="5"/>
                <w:szCs w:val="5"/>
              </w:rPr>
            </w:pPr>
          </w:p>
        </w:tc>
        <w:tc>
          <w:tcPr>
            <w:tcW w:w="100" w:type="dxa"/>
            <w:tcBorders>
              <w:bottom w:val="single" w:sz="8" w:space="0" w:color="auto"/>
            </w:tcBorders>
            <w:vAlign w:val="bottom"/>
          </w:tcPr>
          <w:p w14:paraId="2C674E66" w14:textId="77777777" w:rsidR="00D1587D" w:rsidRDefault="00D1587D">
            <w:pPr>
              <w:rPr>
                <w:sz w:val="5"/>
                <w:szCs w:val="5"/>
              </w:rPr>
            </w:pPr>
          </w:p>
        </w:tc>
        <w:tc>
          <w:tcPr>
            <w:tcW w:w="480" w:type="dxa"/>
            <w:tcBorders>
              <w:bottom w:val="single" w:sz="8" w:space="0" w:color="auto"/>
            </w:tcBorders>
            <w:vAlign w:val="bottom"/>
          </w:tcPr>
          <w:p w14:paraId="12377B38" w14:textId="77777777" w:rsidR="00D1587D" w:rsidRDefault="00D1587D">
            <w:pPr>
              <w:rPr>
                <w:sz w:val="5"/>
                <w:szCs w:val="5"/>
              </w:rPr>
            </w:pPr>
          </w:p>
        </w:tc>
        <w:tc>
          <w:tcPr>
            <w:tcW w:w="0" w:type="dxa"/>
            <w:vAlign w:val="bottom"/>
          </w:tcPr>
          <w:p w14:paraId="757ED6DA" w14:textId="77777777" w:rsidR="00D1587D" w:rsidRDefault="00D1587D">
            <w:pPr>
              <w:rPr>
                <w:sz w:val="1"/>
                <w:szCs w:val="1"/>
              </w:rPr>
            </w:pPr>
          </w:p>
        </w:tc>
      </w:tr>
      <w:tr w:rsidR="00D1587D" w14:paraId="57F4EA92" w14:textId="77777777">
        <w:trPr>
          <w:trHeight w:val="311"/>
        </w:trPr>
        <w:tc>
          <w:tcPr>
            <w:tcW w:w="4440" w:type="dxa"/>
            <w:gridSpan w:val="2"/>
            <w:tcBorders>
              <w:bottom w:val="single" w:sz="8" w:space="0" w:color="CCEEFF"/>
            </w:tcBorders>
            <w:shd w:val="clear" w:color="auto" w:fill="CCEEFF"/>
            <w:vAlign w:val="bottom"/>
          </w:tcPr>
          <w:p w14:paraId="4EB2365C" w14:textId="77777777" w:rsidR="00D1587D" w:rsidRDefault="00410D07">
            <w:pPr>
              <w:ind w:left="180"/>
              <w:rPr>
                <w:sz w:val="20"/>
                <w:szCs w:val="20"/>
              </w:rPr>
            </w:pPr>
            <w:r>
              <w:rPr>
                <w:rFonts w:ascii="Arial" w:eastAsia="Arial" w:hAnsi="Arial" w:cs="Arial"/>
                <w:sz w:val="18"/>
                <w:szCs w:val="18"/>
              </w:rPr>
              <w:t>Total Comprehensive Income (Loss)</w:t>
            </w:r>
          </w:p>
        </w:tc>
        <w:tc>
          <w:tcPr>
            <w:tcW w:w="1100" w:type="dxa"/>
            <w:tcBorders>
              <w:bottom w:val="single" w:sz="8" w:space="0" w:color="CCEEFF"/>
            </w:tcBorders>
            <w:shd w:val="clear" w:color="auto" w:fill="CCEEFF"/>
            <w:vAlign w:val="bottom"/>
          </w:tcPr>
          <w:p w14:paraId="25DC3918" w14:textId="77777777" w:rsidR="00D1587D" w:rsidRDefault="00410D07">
            <w:pPr>
              <w:ind w:right="152"/>
              <w:jc w:val="right"/>
              <w:rPr>
                <w:sz w:val="20"/>
                <w:szCs w:val="20"/>
              </w:rPr>
            </w:pPr>
            <w:r>
              <w:rPr>
                <w:rFonts w:ascii="Arial" w:eastAsia="Arial" w:hAnsi="Arial" w:cs="Arial"/>
                <w:sz w:val="18"/>
                <w:szCs w:val="18"/>
              </w:rPr>
              <w:t>(72)</w:t>
            </w:r>
          </w:p>
        </w:tc>
        <w:tc>
          <w:tcPr>
            <w:tcW w:w="140" w:type="dxa"/>
            <w:tcBorders>
              <w:bottom w:val="single" w:sz="8" w:space="0" w:color="CCEEFF"/>
            </w:tcBorders>
            <w:shd w:val="clear" w:color="auto" w:fill="CCEEFF"/>
            <w:vAlign w:val="bottom"/>
          </w:tcPr>
          <w:p w14:paraId="0C87271D" w14:textId="77777777" w:rsidR="00D1587D" w:rsidRDefault="00D1587D">
            <w:pPr>
              <w:rPr>
                <w:sz w:val="24"/>
                <w:szCs w:val="24"/>
              </w:rPr>
            </w:pPr>
          </w:p>
        </w:tc>
        <w:tc>
          <w:tcPr>
            <w:tcW w:w="420" w:type="dxa"/>
            <w:tcBorders>
              <w:bottom w:val="single" w:sz="8" w:space="0" w:color="CCEEFF"/>
            </w:tcBorders>
            <w:shd w:val="clear" w:color="auto" w:fill="CCEEFF"/>
            <w:vAlign w:val="bottom"/>
          </w:tcPr>
          <w:p w14:paraId="37F42B66" w14:textId="77777777" w:rsidR="00D1587D" w:rsidRDefault="00D1587D">
            <w:pPr>
              <w:rPr>
                <w:sz w:val="24"/>
                <w:szCs w:val="24"/>
              </w:rPr>
            </w:pPr>
          </w:p>
        </w:tc>
        <w:tc>
          <w:tcPr>
            <w:tcW w:w="540" w:type="dxa"/>
            <w:tcBorders>
              <w:bottom w:val="single" w:sz="8" w:space="0" w:color="CCEEFF"/>
            </w:tcBorders>
            <w:shd w:val="clear" w:color="auto" w:fill="CCEEFF"/>
            <w:vAlign w:val="bottom"/>
          </w:tcPr>
          <w:p w14:paraId="2D31B3CF" w14:textId="77777777" w:rsidR="00D1587D" w:rsidRDefault="00410D07">
            <w:pPr>
              <w:ind w:right="230"/>
              <w:jc w:val="right"/>
              <w:rPr>
                <w:sz w:val="20"/>
                <w:szCs w:val="20"/>
              </w:rPr>
            </w:pPr>
            <w:r>
              <w:rPr>
                <w:rFonts w:ascii="Arial" w:eastAsia="Arial" w:hAnsi="Arial" w:cs="Arial"/>
                <w:w w:val="99"/>
                <w:sz w:val="18"/>
                <w:szCs w:val="18"/>
              </w:rPr>
              <w:t>33</w:t>
            </w:r>
          </w:p>
        </w:tc>
        <w:tc>
          <w:tcPr>
            <w:tcW w:w="120" w:type="dxa"/>
            <w:tcBorders>
              <w:bottom w:val="single" w:sz="8" w:space="0" w:color="CCEEFF"/>
            </w:tcBorders>
            <w:shd w:val="clear" w:color="auto" w:fill="CCEEFF"/>
            <w:vAlign w:val="bottom"/>
          </w:tcPr>
          <w:p w14:paraId="66CBD82D" w14:textId="77777777" w:rsidR="00D1587D" w:rsidRDefault="00D1587D">
            <w:pPr>
              <w:rPr>
                <w:sz w:val="24"/>
                <w:szCs w:val="24"/>
              </w:rPr>
            </w:pPr>
          </w:p>
        </w:tc>
        <w:tc>
          <w:tcPr>
            <w:tcW w:w="1080" w:type="dxa"/>
            <w:gridSpan w:val="2"/>
            <w:tcBorders>
              <w:bottom w:val="single" w:sz="8" w:space="0" w:color="CCEEFF"/>
            </w:tcBorders>
            <w:shd w:val="clear" w:color="auto" w:fill="CCEEFF"/>
            <w:vAlign w:val="bottom"/>
          </w:tcPr>
          <w:p w14:paraId="3531173B" w14:textId="77777777" w:rsidR="00D1587D" w:rsidRDefault="00410D07">
            <w:pPr>
              <w:ind w:right="480"/>
              <w:jc w:val="right"/>
              <w:rPr>
                <w:sz w:val="20"/>
                <w:szCs w:val="20"/>
              </w:rPr>
            </w:pPr>
            <w:r>
              <w:rPr>
                <w:rFonts w:ascii="Arial" w:eastAsia="Arial" w:hAnsi="Arial" w:cs="Arial"/>
                <w:sz w:val="18"/>
                <w:szCs w:val="18"/>
              </w:rPr>
              <w:t>—</w:t>
            </w:r>
          </w:p>
        </w:tc>
        <w:tc>
          <w:tcPr>
            <w:tcW w:w="100" w:type="dxa"/>
            <w:tcBorders>
              <w:bottom w:val="single" w:sz="8" w:space="0" w:color="CCEEFF"/>
            </w:tcBorders>
            <w:shd w:val="clear" w:color="auto" w:fill="CCEEFF"/>
            <w:vAlign w:val="bottom"/>
          </w:tcPr>
          <w:p w14:paraId="375506F4" w14:textId="77777777" w:rsidR="00D1587D" w:rsidRDefault="00D1587D">
            <w:pPr>
              <w:rPr>
                <w:sz w:val="24"/>
                <w:szCs w:val="24"/>
              </w:rPr>
            </w:pPr>
          </w:p>
        </w:tc>
        <w:tc>
          <w:tcPr>
            <w:tcW w:w="480" w:type="dxa"/>
            <w:tcBorders>
              <w:bottom w:val="single" w:sz="8" w:space="0" w:color="CCEEFF"/>
            </w:tcBorders>
            <w:shd w:val="clear" w:color="auto" w:fill="CCEEFF"/>
            <w:vAlign w:val="bottom"/>
          </w:tcPr>
          <w:p w14:paraId="53F89448" w14:textId="77777777" w:rsidR="00D1587D" w:rsidRDefault="00410D07">
            <w:pPr>
              <w:jc w:val="right"/>
              <w:rPr>
                <w:sz w:val="20"/>
                <w:szCs w:val="20"/>
              </w:rPr>
            </w:pPr>
            <w:r>
              <w:rPr>
                <w:rFonts w:ascii="Arial" w:eastAsia="Arial" w:hAnsi="Arial" w:cs="Arial"/>
                <w:sz w:val="18"/>
                <w:szCs w:val="18"/>
              </w:rPr>
              <w:t>(39)</w:t>
            </w:r>
          </w:p>
        </w:tc>
        <w:tc>
          <w:tcPr>
            <w:tcW w:w="0" w:type="dxa"/>
            <w:vAlign w:val="bottom"/>
          </w:tcPr>
          <w:p w14:paraId="025D7F9A" w14:textId="77777777" w:rsidR="00D1587D" w:rsidRDefault="00D1587D">
            <w:pPr>
              <w:rPr>
                <w:sz w:val="1"/>
                <w:szCs w:val="1"/>
              </w:rPr>
            </w:pPr>
          </w:p>
        </w:tc>
      </w:tr>
      <w:tr w:rsidR="00D1587D" w14:paraId="5B22DB7C" w14:textId="77777777">
        <w:trPr>
          <w:trHeight w:val="270"/>
        </w:trPr>
        <w:tc>
          <w:tcPr>
            <w:tcW w:w="4440" w:type="dxa"/>
            <w:gridSpan w:val="2"/>
            <w:vAlign w:val="bottom"/>
          </w:tcPr>
          <w:p w14:paraId="69D7C2A6" w14:textId="77777777" w:rsidR="00D1587D" w:rsidRDefault="00410D07">
            <w:pPr>
              <w:ind w:left="180"/>
              <w:rPr>
                <w:sz w:val="20"/>
                <w:szCs w:val="20"/>
              </w:rPr>
            </w:pPr>
            <w:r>
              <w:rPr>
                <w:rFonts w:ascii="Arial" w:eastAsia="Arial" w:hAnsi="Arial" w:cs="Arial"/>
                <w:sz w:val="18"/>
                <w:szCs w:val="18"/>
              </w:rPr>
              <w:t>Other</w:t>
            </w:r>
          </w:p>
        </w:tc>
        <w:tc>
          <w:tcPr>
            <w:tcW w:w="1240" w:type="dxa"/>
            <w:gridSpan w:val="2"/>
            <w:vAlign w:val="bottom"/>
          </w:tcPr>
          <w:p w14:paraId="15534275" w14:textId="77777777" w:rsidR="00D1587D" w:rsidRDefault="00410D07">
            <w:pPr>
              <w:ind w:right="440"/>
              <w:jc w:val="right"/>
              <w:rPr>
                <w:sz w:val="20"/>
                <w:szCs w:val="20"/>
              </w:rPr>
            </w:pPr>
            <w:r>
              <w:rPr>
                <w:rFonts w:ascii="Arial" w:eastAsia="Arial" w:hAnsi="Arial" w:cs="Arial"/>
                <w:sz w:val="18"/>
                <w:szCs w:val="18"/>
              </w:rPr>
              <w:t>—</w:t>
            </w:r>
          </w:p>
        </w:tc>
        <w:tc>
          <w:tcPr>
            <w:tcW w:w="420" w:type="dxa"/>
            <w:vAlign w:val="bottom"/>
          </w:tcPr>
          <w:p w14:paraId="3629486A" w14:textId="77777777" w:rsidR="00D1587D" w:rsidRDefault="00D1587D">
            <w:pPr>
              <w:rPr>
                <w:sz w:val="23"/>
                <w:szCs w:val="23"/>
              </w:rPr>
            </w:pPr>
          </w:p>
        </w:tc>
        <w:tc>
          <w:tcPr>
            <w:tcW w:w="660" w:type="dxa"/>
            <w:gridSpan w:val="2"/>
            <w:vAlign w:val="bottom"/>
          </w:tcPr>
          <w:p w14:paraId="68CBD00A" w14:textId="77777777" w:rsidR="00D1587D" w:rsidRDefault="00410D07">
            <w:pPr>
              <w:ind w:right="440"/>
              <w:jc w:val="right"/>
              <w:rPr>
                <w:sz w:val="20"/>
                <w:szCs w:val="20"/>
              </w:rPr>
            </w:pPr>
            <w:r>
              <w:rPr>
                <w:rFonts w:ascii="Arial" w:eastAsia="Arial" w:hAnsi="Arial" w:cs="Arial"/>
                <w:sz w:val="18"/>
                <w:szCs w:val="18"/>
              </w:rPr>
              <w:t>—</w:t>
            </w:r>
          </w:p>
        </w:tc>
        <w:tc>
          <w:tcPr>
            <w:tcW w:w="940" w:type="dxa"/>
            <w:vAlign w:val="bottom"/>
          </w:tcPr>
          <w:p w14:paraId="6DF8FF0C" w14:textId="77777777" w:rsidR="00D1587D" w:rsidRDefault="00410D07">
            <w:pPr>
              <w:ind w:right="192"/>
              <w:jc w:val="right"/>
              <w:rPr>
                <w:sz w:val="20"/>
                <w:szCs w:val="20"/>
              </w:rPr>
            </w:pPr>
            <w:r>
              <w:rPr>
                <w:rFonts w:ascii="Arial" w:eastAsia="Arial" w:hAnsi="Arial" w:cs="Arial"/>
                <w:sz w:val="18"/>
                <w:szCs w:val="18"/>
              </w:rPr>
              <w:t>(2)</w:t>
            </w:r>
          </w:p>
        </w:tc>
        <w:tc>
          <w:tcPr>
            <w:tcW w:w="140" w:type="dxa"/>
            <w:vAlign w:val="bottom"/>
          </w:tcPr>
          <w:p w14:paraId="045D7363" w14:textId="77777777" w:rsidR="00D1587D" w:rsidRDefault="00D1587D">
            <w:pPr>
              <w:rPr>
                <w:sz w:val="23"/>
                <w:szCs w:val="23"/>
              </w:rPr>
            </w:pPr>
          </w:p>
        </w:tc>
        <w:tc>
          <w:tcPr>
            <w:tcW w:w="100" w:type="dxa"/>
            <w:vAlign w:val="bottom"/>
          </w:tcPr>
          <w:p w14:paraId="1020528B" w14:textId="77777777" w:rsidR="00D1587D" w:rsidRDefault="00D1587D">
            <w:pPr>
              <w:rPr>
                <w:sz w:val="23"/>
                <w:szCs w:val="23"/>
              </w:rPr>
            </w:pPr>
          </w:p>
        </w:tc>
        <w:tc>
          <w:tcPr>
            <w:tcW w:w="480" w:type="dxa"/>
            <w:vAlign w:val="bottom"/>
          </w:tcPr>
          <w:p w14:paraId="430B4D1A" w14:textId="77777777" w:rsidR="00D1587D" w:rsidRDefault="00410D07">
            <w:pPr>
              <w:jc w:val="right"/>
              <w:rPr>
                <w:sz w:val="20"/>
                <w:szCs w:val="20"/>
              </w:rPr>
            </w:pPr>
            <w:r>
              <w:rPr>
                <w:rFonts w:ascii="Arial" w:eastAsia="Arial" w:hAnsi="Arial" w:cs="Arial"/>
                <w:sz w:val="18"/>
                <w:szCs w:val="18"/>
              </w:rPr>
              <w:t>(2)</w:t>
            </w:r>
          </w:p>
        </w:tc>
        <w:tc>
          <w:tcPr>
            <w:tcW w:w="0" w:type="dxa"/>
            <w:vAlign w:val="bottom"/>
          </w:tcPr>
          <w:p w14:paraId="2399B78A" w14:textId="77777777" w:rsidR="00D1587D" w:rsidRDefault="00D1587D">
            <w:pPr>
              <w:rPr>
                <w:sz w:val="1"/>
                <w:szCs w:val="1"/>
              </w:rPr>
            </w:pPr>
          </w:p>
        </w:tc>
      </w:tr>
      <w:tr w:rsidR="00D1587D" w14:paraId="567C9C63" w14:textId="77777777">
        <w:trPr>
          <w:trHeight w:val="54"/>
        </w:trPr>
        <w:tc>
          <w:tcPr>
            <w:tcW w:w="4380" w:type="dxa"/>
            <w:vAlign w:val="bottom"/>
          </w:tcPr>
          <w:p w14:paraId="634B0048" w14:textId="77777777" w:rsidR="00D1587D" w:rsidRDefault="00D1587D">
            <w:pPr>
              <w:rPr>
                <w:sz w:val="4"/>
                <w:szCs w:val="4"/>
              </w:rPr>
            </w:pPr>
          </w:p>
        </w:tc>
        <w:tc>
          <w:tcPr>
            <w:tcW w:w="60" w:type="dxa"/>
            <w:vAlign w:val="bottom"/>
          </w:tcPr>
          <w:p w14:paraId="4F56BAFF" w14:textId="77777777" w:rsidR="00D1587D" w:rsidRDefault="00D1587D">
            <w:pPr>
              <w:rPr>
                <w:sz w:val="4"/>
                <w:szCs w:val="4"/>
              </w:rPr>
            </w:pPr>
          </w:p>
        </w:tc>
        <w:tc>
          <w:tcPr>
            <w:tcW w:w="1100" w:type="dxa"/>
            <w:vAlign w:val="bottom"/>
          </w:tcPr>
          <w:p w14:paraId="4D50B79B" w14:textId="77777777" w:rsidR="00D1587D" w:rsidRDefault="00D1587D">
            <w:pPr>
              <w:rPr>
                <w:sz w:val="4"/>
                <w:szCs w:val="4"/>
              </w:rPr>
            </w:pPr>
          </w:p>
        </w:tc>
        <w:tc>
          <w:tcPr>
            <w:tcW w:w="140" w:type="dxa"/>
            <w:vAlign w:val="bottom"/>
          </w:tcPr>
          <w:p w14:paraId="2CA08F86" w14:textId="77777777" w:rsidR="00D1587D" w:rsidRDefault="00D1587D">
            <w:pPr>
              <w:rPr>
                <w:sz w:val="4"/>
                <w:szCs w:val="4"/>
              </w:rPr>
            </w:pPr>
          </w:p>
        </w:tc>
        <w:tc>
          <w:tcPr>
            <w:tcW w:w="420" w:type="dxa"/>
            <w:vAlign w:val="bottom"/>
          </w:tcPr>
          <w:p w14:paraId="26AED5D5" w14:textId="77777777" w:rsidR="00D1587D" w:rsidRDefault="00D1587D">
            <w:pPr>
              <w:rPr>
                <w:sz w:val="4"/>
                <w:szCs w:val="4"/>
              </w:rPr>
            </w:pPr>
          </w:p>
        </w:tc>
        <w:tc>
          <w:tcPr>
            <w:tcW w:w="540" w:type="dxa"/>
            <w:vAlign w:val="bottom"/>
          </w:tcPr>
          <w:p w14:paraId="1C4E112A" w14:textId="77777777" w:rsidR="00D1587D" w:rsidRDefault="00D1587D">
            <w:pPr>
              <w:rPr>
                <w:sz w:val="4"/>
                <w:szCs w:val="4"/>
              </w:rPr>
            </w:pPr>
          </w:p>
        </w:tc>
        <w:tc>
          <w:tcPr>
            <w:tcW w:w="120" w:type="dxa"/>
            <w:vAlign w:val="bottom"/>
          </w:tcPr>
          <w:p w14:paraId="79F5485A" w14:textId="77777777" w:rsidR="00D1587D" w:rsidRDefault="00D1587D">
            <w:pPr>
              <w:rPr>
                <w:sz w:val="4"/>
                <w:szCs w:val="4"/>
              </w:rPr>
            </w:pPr>
          </w:p>
        </w:tc>
        <w:tc>
          <w:tcPr>
            <w:tcW w:w="940" w:type="dxa"/>
            <w:vAlign w:val="bottom"/>
          </w:tcPr>
          <w:p w14:paraId="51E5AB91" w14:textId="77777777" w:rsidR="00D1587D" w:rsidRDefault="00D1587D">
            <w:pPr>
              <w:rPr>
                <w:sz w:val="4"/>
                <w:szCs w:val="4"/>
              </w:rPr>
            </w:pPr>
          </w:p>
        </w:tc>
        <w:tc>
          <w:tcPr>
            <w:tcW w:w="140" w:type="dxa"/>
            <w:vAlign w:val="bottom"/>
          </w:tcPr>
          <w:p w14:paraId="72F3B1B7" w14:textId="77777777" w:rsidR="00D1587D" w:rsidRDefault="00D1587D">
            <w:pPr>
              <w:rPr>
                <w:sz w:val="4"/>
                <w:szCs w:val="4"/>
              </w:rPr>
            </w:pPr>
          </w:p>
        </w:tc>
        <w:tc>
          <w:tcPr>
            <w:tcW w:w="100" w:type="dxa"/>
            <w:vAlign w:val="bottom"/>
          </w:tcPr>
          <w:p w14:paraId="09F5A3BC" w14:textId="77777777" w:rsidR="00D1587D" w:rsidRDefault="00D1587D">
            <w:pPr>
              <w:rPr>
                <w:sz w:val="4"/>
                <w:szCs w:val="4"/>
              </w:rPr>
            </w:pPr>
          </w:p>
        </w:tc>
        <w:tc>
          <w:tcPr>
            <w:tcW w:w="480" w:type="dxa"/>
            <w:vAlign w:val="bottom"/>
          </w:tcPr>
          <w:p w14:paraId="2F97064A" w14:textId="77777777" w:rsidR="00D1587D" w:rsidRDefault="00D1587D">
            <w:pPr>
              <w:rPr>
                <w:sz w:val="4"/>
                <w:szCs w:val="4"/>
              </w:rPr>
            </w:pPr>
          </w:p>
        </w:tc>
        <w:tc>
          <w:tcPr>
            <w:tcW w:w="0" w:type="dxa"/>
            <w:vAlign w:val="bottom"/>
          </w:tcPr>
          <w:p w14:paraId="4FD9180D" w14:textId="77777777" w:rsidR="00D1587D" w:rsidRDefault="00D1587D">
            <w:pPr>
              <w:rPr>
                <w:sz w:val="1"/>
                <w:szCs w:val="1"/>
              </w:rPr>
            </w:pPr>
          </w:p>
        </w:tc>
      </w:tr>
      <w:tr w:rsidR="00D1587D" w14:paraId="6224F9CB" w14:textId="77777777">
        <w:trPr>
          <w:trHeight w:val="270"/>
        </w:trPr>
        <w:tc>
          <w:tcPr>
            <w:tcW w:w="4440" w:type="dxa"/>
            <w:gridSpan w:val="2"/>
            <w:shd w:val="clear" w:color="auto" w:fill="CCEEFF"/>
            <w:vAlign w:val="bottom"/>
          </w:tcPr>
          <w:p w14:paraId="058870DD" w14:textId="77777777" w:rsidR="00D1587D" w:rsidRDefault="00410D07">
            <w:pPr>
              <w:ind w:left="180"/>
              <w:rPr>
                <w:sz w:val="20"/>
                <w:szCs w:val="20"/>
              </w:rPr>
            </w:pPr>
            <w:r>
              <w:rPr>
                <w:rFonts w:ascii="Arial" w:eastAsia="Arial" w:hAnsi="Arial" w:cs="Arial"/>
                <w:sz w:val="18"/>
                <w:szCs w:val="18"/>
              </w:rPr>
              <w:t xml:space="preserve">Net </w:t>
            </w:r>
            <w:r>
              <w:rPr>
                <w:rFonts w:ascii="Arial" w:eastAsia="Arial" w:hAnsi="Arial" w:cs="Arial"/>
                <w:sz w:val="18"/>
                <w:szCs w:val="18"/>
              </w:rPr>
              <w:t>Transfers to L Brands, Inc.</w:t>
            </w:r>
          </w:p>
        </w:tc>
        <w:tc>
          <w:tcPr>
            <w:tcW w:w="1100" w:type="dxa"/>
            <w:shd w:val="clear" w:color="auto" w:fill="CCEEFF"/>
            <w:vAlign w:val="bottom"/>
          </w:tcPr>
          <w:p w14:paraId="5E5E7B2A" w14:textId="77777777" w:rsidR="00D1587D" w:rsidRDefault="00410D07">
            <w:pPr>
              <w:ind w:right="152"/>
              <w:jc w:val="right"/>
              <w:rPr>
                <w:sz w:val="20"/>
                <w:szCs w:val="20"/>
              </w:rPr>
            </w:pPr>
            <w:r>
              <w:rPr>
                <w:rFonts w:ascii="Arial" w:eastAsia="Arial" w:hAnsi="Arial" w:cs="Arial"/>
                <w:sz w:val="18"/>
                <w:szCs w:val="18"/>
              </w:rPr>
              <w:t>(382)</w:t>
            </w:r>
          </w:p>
        </w:tc>
        <w:tc>
          <w:tcPr>
            <w:tcW w:w="140" w:type="dxa"/>
            <w:shd w:val="clear" w:color="auto" w:fill="CCEEFF"/>
            <w:vAlign w:val="bottom"/>
          </w:tcPr>
          <w:p w14:paraId="69A7F2E4" w14:textId="77777777" w:rsidR="00D1587D" w:rsidRDefault="00D1587D">
            <w:pPr>
              <w:rPr>
                <w:sz w:val="23"/>
                <w:szCs w:val="23"/>
              </w:rPr>
            </w:pPr>
          </w:p>
        </w:tc>
        <w:tc>
          <w:tcPr>
            <w:tcW w:w="420" w:type="dxa"/>
            <w:shd w:val="clear" w:color="auto" w:fill="CCEEFF"/>
            <w:vAlign w:val="bottom"/>
          </w:tcPr>
          <w:p w14:paraId="6B1DFF99" w14:textId="77777777" w:rsidR="00D1587D" w:rsidRDefault="00D1587D">
            <w:pPr>
              <w:rPr>
                <w:sz w:val="23"/>
                <w:szCs w:val="23"/>
              </w:rPr>
            </w:pPr>
          </w:p>
        </w:tc>
        <w:tc>
          <w:tcPr>
            <w:tcW w:w="660" w:type="dxa"/>
            <w:gridSpan w:val="2"/>
            <w:shd w:val="clear" w:color="auto" w:fill="CCEEFF"/>
            <w:vAlign w:val="bottom"/>
          </w:tcPr>
          <w:p w14:paraId="78E38A90" w14:textId="77777777" w:rsidR="00D1587D" w:rsidRDefault="00410D07">
            <w:pPr>
              <w:ind w:right="440"/>
              <w:jc w:val="right"/>
              <w:rPr>
                <w:sz w:val="20"/>
                <w:szCs w:val="20"/>
              </w:rPr>
            </w:pPr>
            <w:r>
              <w:rPr>
                <w:rFonts w:ascii="Arial" w:eastAsia="Arial" w:hAnsi="Arial" w:cs="Arial"/>
                <w:sz w:val="18"/>
                <w:szCs w:val="18"/>
              </w:rPr>
              <w:t>—</w:t>
            </w:r>
          </w:p>
        </w:tc>
        <w:tc>
          <w:tcPr>
            <w:tcW w:w="1080" w:type="dxa"/>
            <w:gridSpan w:val="2"/>
            <w:shd w:val="clear" w:color="auto" w:fill="CCEEFF"/>
            <w:vAlign w:val="bottom"/>
          </w:tcPr>
          <w:p w14:paraId="4C47AB6D" w14:textId="77777777" w:rsidR="00D1587D" w:rsidRDefault="00410D07">
            <w:pPr>
              <w:ind w:right="480"/>
              <w:jc w:val="right"/>
              <w:rPr>
                <w:sz w:val="20"/>
                <w:szCs w:val="20"/>
              </w:rPr>
            </w:pPr>
            <w:r>
              <w:rPr>
                <w:rFonts w:ascii="Arial" w:eastAsia="Arial" w:hAnsi="Arial" w:cs="Arial"/>
                <w:sz w:val="18"/>
                <w:szCs w:val="18"/>
              </w:rPr>
              <w:t>—</w:t>
            </w:r>
          </w:p>
        </w:tc>
        <w:tc>
          <w:tcPr>
            <w:tcW w:w="100" w:type="dxa"/>
            <w:shd w:val="clear" w:color="auto" w:fill="CCEEFF"/>
            <w:vAlign w:val="bottom"/>
          </w:tcPr>
          <w:p w14:paraId="74884AD6" w14:textId="77777777" w:rsidR="00D1587D" w:rsidRDefault="00D1587D">
            <w:pPr>
              <w:rPr>
                <w:sz w:val="23"/>
                <w:szCs w:val="23"/>
              </w:rPr>
            </w:pPr>
          </w:p>
        </w:tc>
        <w:tc>
          <w:tcPr>
            <w:tcW w:w="480" w:type="dxa"/>
            <w:shd w:val="clear" w:color="auto" w:fill="CCEEFF"/>
            <w:vAlign w:val="bottom"/>
          </w:tcPr>
          <w:p w14:paraId="2BABF692" w14:textId="77777777" w:rsidR="00D1587D" w:rsidRDefault="00410D07">
            <w:pPr>
              <w:jc w:val="right"/>
              <w:rPr>
                <w:sz w:val="20"/>
                <w:szCs w:val="20"/>
              </w:rPr>
            </w:pPr>
            <w:r>
              <w:rPr>
                <w:rFonts w:ascii="Arial" w:eastAsia="Arial" w:hAnsi="Arial" w:cs="Arial"/>
                <w:w w:val="99"/>
                <w:sz w:val="18"/>
                <w:szCs w:val="18"/>
              </w:rPr>
              <w:t>(382)</w:t>
            </w:r>
          </w:p>
        </w:tc>
        <w:tc>
          <w:tcPr>
            <w:tcW w:w="0" w:type="dxa"/>
            <w:vAlign w:val="bottom"/>
          </w:tcPr>
          <w:p w14:paraId="7F1EF835" w14:textId="77777777" w:rsidR="00D1587D" w:rsidRDefault="00D1587D">
            <w:pPr>
              <w:rPr>
                <w:sz w:val="1"/>
                <w:szCs w:val="1"/>
              </w:rPr>
            </w:pPr>
          </w:p>
        </w:tc>
      </w:tr>
      <w:tr w:rsidR="00D1587D" w14:paraId="095EE13F" w14:textId="77777777">
        <w:trPr>
          <w:trHeight w:val="68"/>
        </w:trPr>
        <w:tc>
          <w:tcPr>
            <w:tcW w:w="4380" w:type="dxa"/>
            <w:shd w:val="clear" w:color="auto" w:fill="CCEEFF"/>
            <w:vAlign w:val="bottom"/>
          </w:tcPr>
          <w:p w14:paraId="3F8FDA5B" w14:textId="77777777" w:rsidR="00D1587D" w:rsidRDefault="00D1587D">
            <w:pPr>
              <w:rPr>
                <w:sz w:val="5"/>
                <w:szCs w:val="5"/>
              </w:rPr>
            </w:pPr>
          </w:p>
        </w:tc>
        <w:tc>
          <w:tcPr>
            <w:tcW w:w="60" w:type="dxa"/>
            <w:tcBorders>
              <w:bottom w:val="single" w:sz="8" w:space="0" w:color="CCEEFF"/>
            </w:tcBorders>
            <w:shd w:val="clear" w:color="auto" w:fill="CCEEFF"/>
            <w:vAlign w:val="bottom"/>
          </w:tcPr>
          <w:p w14:paraId="0CB8A755" w14:textId="77777777" w:rsidR="00D1587D" w:rsidRDefault="00D1587D">
            <w:pPr>
              <w:rPr>
                <w:sz w:val="5"/>
                <w:szCs w:val="5"/>
              </w:rPr>
            </w:pPr>
          </w:p>
        </w:tc>
        <w:tc>
          <w:tcPr>
            <w:tcW w:w="1100" w:type="dxa"/>
            <w:tcBorders>
              <w:bottom w:val="single" w:sz="8" w:space="0" w:color="auto"/>
            </w:tcBorders>
            <w:shd w:val="clear" w:color="auto" w:fill="CCEEFF"/>
            <w:vAlign w:val="bottom"/>
          </w:tcPr>
          <w:p w14:paraId="22F82C4A" w14:textId="77777777" w:rsidR="00D1587D" w:rsidRDefault="00D1587D">
            <w:pPr>
              <w:rPr>
                <w:sz w:val="5"/>
                <w:szCs w:val="5"/>
              </w:rPr>
            </w:pPr>
          </w:p>
        </w:tc>
        <w:tc>
          <w:tcPr>
            <w:tcW w:w="140" w:type="dxa"/>
            <w:tcBorders>
              <w:bottom w:val="single" w:sz="8" w:space="0" w:color="CCEEFF"/>
            </w:tcBorders>
            <w:shd w:val="clear" w:color="auto" w:fill="CCEEFF"/>
            <w:vAlign w:val="bottom"/>
          </w:tcPr>
          <w:p w14:paraId="25C7E681" w14:textId="77777777" w:rsidR="00D1587D" w:rsidRDefault="00D1587D">
            <w:pPr>
              <w:rPr>
                <w:sz w:val="5"/>
                <w:szCs w:val="5"/>
              </w:rPr>
            </w:pPr>
          </w:p>
        </w:tc>
        <w:tc>
          <w:tcPr>
            <w:tcW w:w="420" w:type="dxa"/>
            <w:tcBorders>
              <w:bottom w:val="single" w:sz="8" w:space="0" w:color="auto"/>
            </w:tcBorders>
            <w:shd w:val="clear" w:color="auto" w:fill="CCEEFF"/>
            <w:vAlign w:val="bottom"/>
          </w:tcPr>
          <w:p w14:paraId="00E2B19E" w14:textId="77777777" w:rsidR="00D1587D" w:rsidRDefault="00D1587D">
            <w:pPr>
              <w:rPr>
                <w:sz w:val="5"/>
                <w:szCs w:val="5"/>
              </w:rPr>
            </w:pPr>
          </w:p>
        </w:tc>
        <w:tc>
          <w:tcPr>
            <w:tcW w:w="540" w:type="dxa"/>
            <w:tcBorders>
              <w:bottom w:val="single" w:sz="8" w:space="0" w:color="auto"/>
            </w:tcBorders>
            <w:shd w:val="clear" w:color="auto" w:fill="CCEEFF"/>
            <w:vAlign w:val="bottom"/>
          </w:tcPr>
          <w:p w14:paraId="13C4AA35" w14:textId="77777777" w:rsidR="00D1587D" w:rsidRDefault="00D1587D">
            <w:pPr>
              <w:rPr>
                <w:sz w:val="5"/>
                <w:szCs w:val="5"/>
              </w:rPr>
            </w:pPr>
          </w:p>
        </w:tc>
        <w:tc>
          <w:tcPr>
            <w:tcW w:w="120" w:type="dxa"/>
            <w:tcBorders>
              <w:bottom w:val="single" w:sz="8" w:space="0" w:color="CCEEFF"/>
            </w:tcBorders>
            <w:shd w:val="clear" w:color="auto" w:fill="CCEEFF"/>
            <w:vAlign w:val="bottom"/>
          </w:tcPr>
          <w:p w14:paraId="7AC26262" w14:textId="77777777" w:rsidR="00D1587D" w:rsidRDefault="00D1587D">
            <w:pPr>
              <w:rPr>
                <w:sz w:val="5"/>
                <w:szCs w:val="5"/>
              </w:rPr>
            </w:pPr>
          </w:p>
        </w:tc>
        <w:tc>
          <w:tcPr>
            <w:tcW w:w="940" w:type="dxa"/>
            <w:tcBorders>
              <w:bottom w:val="single" w:sz="8" w:space="0" w:color="auto"/>
            </w:tcBorders>
            <w:shd w:val="clear" w:color="auto" w:fill="CCEEFF"/>
            <w:vAlign w:val="bottom"/>
          </w:tcPr>
          <w:p w14:paraId="0E45389C" w14:textId="77777777" w:rsidR="00D1587D" w:rsidRDefault="00D1587D">
            <w:pPr>
              <w:rPr>
                <w:sz w:val="5"/>
                <w:szCs w:val="5"/>
              </w:rPr>
            </w:pPr>
          </w:p>
        </w:tc>
        <w:tc>
          <w:tcPr>
            <w:tcW w:w="140" w:type="dxa"/>
            <w:tcBorders>
              <w:bottom w:val="single" w:sz="8" w:space="0" w:color="CCEEFF"/>
            </w:tcBorders>
            <w:shd w:val="clear" w:color="auto" w:fill="CCEEFF"/>
            <w:vAlign w:val="bottom"/>
          </w:tcPr>
          <w:p w14:paraId="1099833B" w14:textId="77777777" w:rsidR="00D1587D" w:rsidRDefault="00D1587D">
            <w:pPr>
              <w:rPr>
                <w:sz w:val="5"/>
                <w:szCs w:val="5"/>
              </w:rPr>
            </w:pPr>
          </w:p>
        </w:tc>
        <w:tc>
          <w:tcPr>
            <w:tcW w:w="100" w:type="dxa"/>
            <w:tcBorders>
              <w:bottom w:val="single" w:sz="8" w:space="0" w:color="auto"/>
            </w:tcBorders>
            <w:shd w:val="clear" w:color="auto" w:fill="CCEEFF"/>
            <w:vAlign w:val="bottom"/>
          </w:tcPr>
          <w:p w14:paraId="6C4C17A4" w14:textId="77777777" w:rsidR="00D1587D" w:rsidRDefault="00D1587D">
            <w:pPr>
              <w:rPr>
                <w:sz w:val="5"/>
                <w:szCs w:val="5"/>
              </w:rPr>
            </w:pPr>
          </w:p>
        </w:tc>
        <w:tc>
          <w:tcPr>
            <w:tcW w:w="480" w:type="dxa"/>
            <w:tcBorders>
              <w:bottom w:val="single" w:sz="8" w:space="0" w:color="auto"/>
            </w:tcBorders>
            <w:shd w:val="clear" w:color="auto" w:fill="CCEEFF"/>
            <w:vAlign w:val="bottom"/>
          </w:tcPr>
          <w:p w14:paraId="3E33EB09" w14:textId="77777777" w:rsidR="00D1587D" w:rsidRDefault="00D1587D">
            <w:pPr>
              <w:rPr>
                <w:sz w:val="5"/>
                <w:szCs w:val="5"/>
              </w:rPr>
            </w:pPr>
          </w:p>
        </w:tc>
        <w:tc>
          <w:tcPr>
            <w:tcW w:w="0" w:type="dxa"/>
            <w:vAlign w:val="bottom"/>
          </w:tcPr>
          <w:p w14:paraId="68CC86DE" w14:textId="77777777" w:rsidR="00D1587D" w:rsidRDefault="00D1587D">
            <w:pPr>
              <w:rPr>
                <w:sz w:val="1"/>
                <w:szCs w:val="1"/>
              </w:rPr>
            </w:pPr>
          </w:p>
        </w:tc>
      </w:tr>
      <w:tr w:rsidR="00D1587D" w14:paraId="091E84B9" w14:textId="77777777">
        <w:trPr>
          <w:trHeight w:val="304"/>
        </w:trPr>
        <w:tc>
          <w:tcPr>
            <w:tcW w:w="4440" w:type="dxa"/>
            <w:gridSpan w:val="2"/>
            <w:vAlign w:val="bottom"/>
          </w:tcPr>
          <w:p w14:paraId="17F3E543" w14:textId="77777777" w:rsidR="00D1587D" w:rsidRDefault="00410D07">
            <w:pPr>
              <w:rPr>
                <w:sz w:val="20"/>
                <w:szCs w:val="20"/>
              </w:rPr>
            </w:pPr>
            <w:r>
              <w:rPr>
                <w:rFonts w:ascii="Arial" w:eastAsia="Arial" w:hAnsi="Arial" w:cs="Arial"/>
                <w:sz w:val="18"/>
                <w:szCs w:val="18"/>
              </w:rPr>
              <w:t>Balance, January 30, 2021</w:t>
            </w:r>
          </w:p>
        </w:tc>
        <w:tc>
          <w:tcPr>
            <w:tcW w:w="1100" w:type="dxa"/>
            <w:vAlign w:val="bottom"/>
          </w:tcPr>
          <w:p w14:paraId="02AEF7BC" w14:textId="77777777" w:rsidR="00D1587D" w:rsidRDefault="00410D07">
            <w:pPr>
              <w:ind w:right="212"/>
              <w:jc w:val="right"/>
              <w:rPr>
                <w:sz w:val="20"/>
                <w:szCs w:val="20"/>
              </w:rPr>
            </w:pPr>
            <w:r>
              <w:rPr>
                <w:rFonts w:ascii="Arial" w:eastAsia="Arial" w:hAnsi="Arial" w:cs="Arial"/>
                <w:sz w:val="18"/>
                <w:szCs w:val="18"/>
              </w:rPr>
              <w:t>$  887</w:t>
            </w:r>
          </w:p>
        </w:tc>
        <w:tc>
          <w:tcPr>
            <w:tcW w:w="140" w:type="dxa"/>
            <w:vAlign w:val="bottom"/>
          </w:tcPr>
          <w:p w14:paraId="0D62AA36" w14:textId="77777777" w:rsidR="00D1587D" w:rsidRDefault="00D1587D">
            <w:pPr>
              <w:rPr>
                <w:sz w:val="24"/>
                <w:szCs w:val="24"/>
              </w:rPr>
            </w:pPr>
          </w:p>
        </w:tc>
        <w:tc>
          <w:tcPr>
            <w:tcW w:w="420" w:type="dxa"/>
            <w:vAlign w:val="bottom"/>
          </w:tcPr>
          <w:p w14:paraId="1D2894F7" w14:textId="77777777" w:rsidR="00D1587D" w:rsidRDefault="00410D07">
            <w:pPr>
              <w:jc w:val="right"/>
              <w:rPr>
                <w:sz w:val="20"/>
                <w:szCs w:val="20"/>
              </w:rPr>
            </w:pPr>
            <w:r>
              <w:rPr>
                <w:rFonts w:ascii="Arial" w:eastAsia="Arial" w:hAnsi="Arial" w:cs="Arial"/>
                <w:sz w:val="18"/>
                <w:szCs w:val="18"/>
              </w:rPr>
              <w:t>$</w:t>
            </w:r>
          </w:p>
        </w:tc>
        <w:tc>
          <w:tcPr>
            <w:tcW w:w="540" w:type="dxa"/>
            <w:vAlign w:val="bottom"/>
          </w:tcPr>
          <w:p w14:paraId="38E78CD1" w14:textId="77777777" w:rsidR="00D1587D" w:rsidRDefault="00410D07">
            <w:pPr>
              <w:ind w:right="230"/>
              <w:jc w:val="right"/>
              <w:rPr>
                <w:sz w:val="20"/>
                <w:szCs w:val="20"/>
              </w:rPr>
            </w:pPr>
            <w:r>
              <w:rPr>
                <w:rFonts w:ascii="Arial" w:eastAsia="Arial" w:hAnsi="Arial" w:cs="Arial"/>
                <w:sz w:val="18"/>
                <w:szCs w:val="18"/>
              </w:rPr>
              <w:t>4</w:t>
            </w:r>
          </w:p>
        </w:tc>
        <w:tc>
          <w:tcPr>
            <w:tcW w:w="120" w:type="dxa"/>
            <w:vAlign w:val="bottom"/>
          </w:tcPr>
          <w:p w14:paraId="2611F389" w14:textId="77777777" w:rsidR="00D1587D" w:rsidRDefault="00D1587D">
            <w:pPr>
              <w:rPr>
                <w:sz w:val="24"/>
                <w:szCs w:val="24"/>
              </w:rPr>
            </w:pPr>
          </w:p>
        </w:tc>
        <w:tc>
          <w:tcPr>
            <w:tcW w:w="1080" w:type="dxa"/>
            <w:gridSpan w:val="2"/>
            <w:vAlign w:val="bottom"/>
          </w:tcPr>
          <w:p w14:paraId="19B89ECC" w14:textId="77777777" w:rsidR="00D1587D" w:rsidRDefault="00410D07">
            <w:pPr>
              <w:ind w:right="480"/>
              <w:jc w:val="right"/>
              <w:rPr>
                <w:sz w:val="20"/>
                <w:szCs w:val="20"/>
              </w:rPr>
            </w:pPr>
            <w:r>
              <w:rPr>
                <w:rFonts w:ascii="Arial" w:eastAsia="Arial" w:hAnsi="Arial" w:cs="Arial"/>
                <w:sz w:val="18"/>
                <w:szCs w:val="18"/>
              </w:rPr>
              <w:t>$—</w:t>
            </w:r>
          </w:p>
        </w:tc>
        <w:tc>
          <w:tcPr>
            <w:tcW w:w="100" w:type="dxa"/>
            <w:vAlign w:val="bottom"/>
          </w:tcPr>
          <w:p w14:paraId="5AB0AB49" w14:textId="77777777" w:rsidR="00D1587D" w:rsidRDefault="00410D07">
            <w:pPr>
              <w:jc w:val="right"/>
              <w:rPr>
                <w:sz w:val="20"/>
                <w:szCs w:val="20"/>
              </w:rPr>
            </w:pPr>
            <w:r>
              <w:rPr>
                <w:rFonts w:ascii="Arial" w:eastAsia="Arial" w:hAnsi="Arial" w:cs="Arial"/>
                <w:w w:val="71"/>
                <w:sz w:val="15"/>
                <w:szCs w:val="15"/>
              </w:rPr>
              <w:t>$</w:t>
            </w:r>
          </w:p>
        </w:tc>
        <w:tc>
          <w:tcPr>
            <w:tcW w:w="480" w:type="dxa"/>
            <w:vAlign w:val="bottom"/>
          </w:tcPr>
          <w:p w14:paraId="46A7EBAE" w14:textId="77777777" w:rsidR="00D1587D" w:rsidRDefault="00410D07">
            <w:pPr>
              <w:jc w:val="right"/>
              <w:rPr>
                <w:sz w:val="20"/>
                <w:szCs w:val="20"/>
              </w:rPr>
            </w:pPr>
            <w:r>
              <w:rPr>
                <w:rFonts w:ascii="Arial" w:eastAsia="Arial" w:hAnsi="Arial" w:cs="Arial"/>
                <w:sz w:val="18"/>
                <w:szCs w:val="18"/>
              </w:rPr>
              <w:t>891</w:t>
            </w:r>
          </w:p>
        </w:tc>
        <w:tc>
          <w:tcPr>
            <w:tcW w:w="0" w:type="dxa"/>
            <w:vAlign w:val="bottom"/>
          </w:tcPr>
          <w:p w14:paraId="33095C16" w14:textId="77777777" w:rsidR="00D1587D" w:rsidRDefault="00D1587D">
            <w:pPr>
              <w:rPr>
                <w:sz w:val="1"/>
                <w:szCs w:val="1"/>
              </w:rPr>
            </w:pPr>
          </w:p>
        </w:tc>
      </w:tr>
      <w:tr w:rsidR="00D1587D" w14:paraId="458EBF19" w14:textId="77777777">
        <w:trPr>
          <w:trHeight w:val="27"/>
        </w:trPr>
        <w:tc>
          <w:tcPr>
            <w:tcW w:w="4380" w:type="dxa"/>
            <w:vAlign w:val="bottom"/>
          </w:tcPr>
          <w:p w14:paraId="72D660AE" w14:textId="77777777" w:rsidR="00D1587D" w:rsidRDefault="00D1587D">
            <w:pPr>
              <w:rPr>
                <w:sz w:val="2"/>
                <w:szCs w:val="2"/>
              </w:rPr>
            </w:pPr>
          </w:p>
        </w:tc>
        <w:tc>
          <w:tcPr>
            <w:tcW w:w="60" w:type="dxa"/>
            <w:vAlign w:val="bottom"/>
          </w:tcPr>
          <w:p w14:paraId="2547EB3F" w14:textId="77777777" w:rsidR="00D1587D" w:rsidRDefault="00D1587D">
            <w:pPr>
              <w:rPr>
                <w:sz w:val="2"/>
                <w:szCs w:val="2"/>
              </w:rPr>
            </w:pPr>
          </w:p>
        </w:tc>
        <w:tc>
          <w:tcPr>
            <w:tcW w:w="1100" w:type="dxa"/>
            <w:tcBorders>
              <w:bottom w:val="single" w:sz="8" w:space="0" w:color="auto"/>
            </w:tcBorders>
            <w:vAlign w:val="bottom"/>
          </w:tcPr>
          <w:p w14:paraId="5318A96D" w14:textId="77777777" w:rsidR="00D1587D" w:rsidRDefault="00D1587D">
            <w:pPr>
              <w:rPr>
                <w:sz w:val="2"/>
                <w:szCs w:val="2"/>
              </w:rPr>
            </w:pPr>
          </w:p>
        </w:tc>
        <w:tc>
          <w:tcPr>
            <w:tcW w:w="140" w:type="dxa"/>
            <w:vAlign w:val="bottom"/>
          </w:tcPr>
          <w:p w14:paraId="742896C2" w14:textId="77777777" w:rsidR="00D1587D" w:rsidRDefault="00D1587D">
            <w:pPr>
              <w:rPr>
                <w:sz w:val="2"/>
                <w:szCs w:val="2"/>
              </w:rPr>
            </w:pPr>
          </w:p>
        </w:tc>
        <w:tc>
          <w:tcPr>
            <w:tcW w:w="420" w:type="dxa"/>
            <w:tcBorders>
              <w:bottom w:val="single" w:sz="8" w:space="0" w:color="auto"/>
            </w:tcBorders>
            <w:vAlign w:val="bottom"/>
          </w:tcPr>
          <w:p w14:paraId="542C7A59" w14:textId="77777777" w:rsidR="00D1587D" w:rsidRDefault="00D1587D">
            <w:pPr>
              <w:rPr>
                <w:sz w:val="2"/>
                <w:szCs w:val="2"/>
              </w:rPr>
            </w:pPr>
          </w:p>
        </w:tc>
        <w:tc>
          <w:tcPr>
            <w:tcW w:w="540" w:type="dxa"/>
            <w:tcBorders>
              <w:bottom w:val="single" w:sz="8" w:space="0" w:color="auto"/>
            </w:tcBorders>
            <w:vAlign w:val="bottom"/>
          </w:tcPr>
          <w:p w14:paraId="495E9B7F" w14:textId="77777777" w:rsidR="00D1587D" w:rsidRDefault="00D1587D">
            <w:pPr>
              <w:rPr>
                <w:sz w:val="2"/>
                <w:szCs w:val="2"/>
              </w:rPr>
            </w:pPr>
          </w:p>
        </w:tc>
        <w:tc>
          <w:tcPr>
            <w:tcW w:w="120" w:type="dxa"/>
            <w:vAlign w:val="bottom"/>
          </w:tcPr>
          <w:p w14:paraId="4D8037F2" w14:textId="77777777" w:rsidR="00D1587D" w:rsidRDefault="00D1587D">
            <w:pPr>
              <w:rPr>
                <w:sz w:val="2"/>
                <w:szCs w:val="2"/>
              </w:rPr>
            </w:pPr>
          </w:p>
        </w:tc>
        <w:tc>
          <w:tcPr>
            <w:tcW w:w="940" w:type="dxa"/>
            <w:tcBorders>
              <w:bottom w:val="single" w:sz="8" w:space="0" w:color="auto"/>
            </w:tcBorders>
            <w:vAlign w:val="bottom"/>
          </w:tcPr>
          <w:p w14:paraId="4AEF0C77" w14:textId="77777777" w:rsidR="00D1587D" w:rsidRDefault="00D1587D">
            <w:pPr>
              <w:rPr>
                <w:sz w:val="2"/>
                <w:szCs w:val="2"/>
              </w:rPr>
            </w:pPr>
          </w:p>
        </w:tc>
        <w:tc>
          <w:tcPr>
            <w:tcW w:w="140" w:type="dxa"/>
            <w:vAlign w:val="bottom"/>
          </w:tcPr>
          <w:p w14:paraId="4FBE0AFE" w14:textId="77777777" w:rsidR="00D1587D" w:rsidRDefault="00D1587D">
            <w:pPr>
              <w:rPr>
                <w:sz w:val="2"/>
                <w:szCs w:val="2"/>
              </w:rPr>
            </w:pPr>
          </w:p>
        </w:tc>
        <w:tc>
          <w:tcPr>
            <w:tcW w:w="100" w:type="dxa"/>
            <w:tcBorders>
              <w:bottom w:val="single" w:sz="8" w:space="0" w:color="auto"/>
            </w:tcBorders>
            <w:vAlign w:val="bottom"/>
          </w:tcPr>
          <w:p w14:paraId="48B8A357" w14:textId="77777777" w:rsidR="00D1587D" w:rsidRDefault="00D1587D">
            <w:pPr>
              <w:rPr>
                <w:sz w:val="2"/>
                <w:szCs w:val="2"/>
              </w:rPr>
            </w:pPr>
          </w:p>
        </w:tc>
        <w:tc>
          <w:tcPr>
            <w:tcW w:w="480" w:type="dxa"/>
            <w:tcBorders>
              <w:bottom w:val="single" w:sz="8" w:space="0" w:color="auto"/>
            </w:tcBorders>
            <w:vAlign w:val="bottom"/>
          </w:tcPr>
          <w:p w14:paraId="6E5F1E1D" w14:textId="77777777" w:rsidR="00D1587D" w:rsidRDefault="00D1587D">
            <w:pPr>
              <w:rPr>
                <w:sz w:val="2"/>
                <w:szCs w:val="2"/>
              </w:rPr>
            </w:pPr>
          </w:p>
        </w:tc>
        <w:tc>
          <w:tcPr>
            <w:tcW w:w="0" w:type="dxa"/>
            <w:vAlign w:val="bottom"/>
          </w:tcPr>
          <w:p w14:paraId="521332C0" w14:textId="77777777" w:rsidR="00D1587D" w:rsidRDefault="00D1587D">
            <w:pPr>
              <w:rPr>
                <w:sz w:val="1"/>
                <w:szCs w:val="1"/>
              </w:rPr>
            </w:pPr>
          </w:p>
        </w:tc>
      </w:tr>
      <w:tr w:rsidR="00D1587D" w14:paraId="63068B5F" w14:textId="77777777">
        <w:trPr>
          <w:trHeight w:val="20"/>
        </w:trPr>
        <w:tc>
          <w:tcPr>
            <w:tcW w:w="4380" w:type="dxa"/>
            <w:vAlign w:val="bottom"/>
          </w:tcPr>
          <w:p w14:paraId="104609A3" w14:textId="77777777" w:rsidR="00D1587D" w:rsidRDefault="00D1587D">
            <w:pPr>
              <w:spacing w:line="20" w:lineRule="exact"/>
              <w:rPr>
                <w:sz w:val="1"/>
                <w:szCs w:val="1"/>
              </w:rPr>
            </w:pPr>
          </w:p>
        </w:tc>
        <w:tc>
          <w:tcPr>
            <w:tcW w:w="60" w:type="dxa"/>
            <w:vAlign w:val="bottom"/>
          </w:tcPr>
          <w:p w14:paraId="69EC66BD" w14:textId="77777777" w:rsidR="00D1587D" w:rsidRDefault="00D1587D">
            <w:pPr>
              <w:spacing w:line="20" w:lineRule="exact"/>
              <w:rPr>
                <w:sz w:val="1"/>
                <w:szCs w:val="1"/>
              </w:rPr>
            </w:pPr>
          </w:p>
        </w:tc>
        <w:tc>
          <w:tcPr>
            <w:tcW w:w="1100" w:type="dxa"/>
            <w:tcBorders>
              <w:bottom w:val="single" w:sz="8" w:space="0" w:color="auto"/>
            </w:tcBorders>
            <w:vAlign w:val="bottom"/>
          </w:tcPr>
          <w:p w14:paraId="2D2E472A" w14:textId="77777777" w:rsidR="00D1587D" w:rsidRDefault="00D1587D">
            <w:pPr>
              <w:spacing w:line="20" w:lineRule="exact"/>
              <w:rPr>
                <w:sz w:val="1"/>
                <w:szCs w:val="1"/>
              </w:rPr>
            </w:pPr>
          </w:p>
        </w:tc>
        <w:tc>
          <w:tcPr>
            <w:tcW w:w="140" w:type="dxa"/>
            <w:vAlign w:val="bottom"/>
          </w:tcPr>
          <w:p w14:paraId="636CDC50" w14:textId="77777777" w:rsidR="00D1587D" w:rsidRDefault="00D1587D">
            <w:pPr>
              <w:spacing w:line="20" w:lineRule="exact"/>
              <w:rPr>
                <w:sz w:val="1"/>
                <w:szCs w:val="1"/>
              </w:rPr>
            </w:pPr>
          </w:p>
        </w:tc>
        <w:tc>
          <w:tcPr>
            <w:tcW w:w="420" w:type="dxa"/>
            <w:tcBorders>
              <w:bottom w:val="single" w:sz="8" w:space="0" w:color="auto"/>
            </w:tcBorders>
            <w:vAlign w:val="bottom"/>
          </w:tcPr>
          <w:p w14:paraId="624CE2E5" w14:textId="77777777" w:rsidR="00D1587D" w:rsidRDefault="00D1587D">
            <w:pPr>
              <w:spacing w:line="20" w:lineRule="exact"/>
              <w:rPr>
                <w:sz w:val="1"/>
                <w:szCs w:val="1"/>
              </w:rPr>
            </w:pPr>
          </w:p>
        </w:tc>
        <w:tc>
          <w:tcPr>
            <w:tcW w:w="540" w:type="dxa"/>
            <w:tcBorders>
              <w:bottom w:val="single" w:sz="8" w:space="0" w:color="auto"/>
            </w:tcBorders>
            <w:vAlign w:val="bottom"/>
          </w:tcPr>
          <w:p w14:paraId="3AA9525E" w14:textId="77777777" w:rsidR="00D1587D" w:rsidRDefault="00D1587D">
            <w:pPr>
              <w:spacing w:line="20" w:lineRule="exact"/>
              <w:rPr>
                <w:sz w:val="1"/>
                <w:szCs w:val="1"/>
              </w:rPr>
            </w:pPr>
          </w:p>
        </w:tc>
        <w:tc>
          <w:tcPr>
            <w:tcW w:w="120" w:type="dxa"/>
            <w:vAlign w:val="bottom"/>
          </w:tcPr>
          <w:p w14:paraId="0CC9BE90" w14:textId="77777777" w:rsidR="00D1587D" w:rsidRDefault="00D1587D">
            <w:pPr>
              <w:spacing w:line="20" w:lineRule="exact"/>
              <w:rPr>
                <w:sz w:val="1"/>
                <w:szCs w:val="1"/>
              </w:rPr>
            </w:pPr>
          </w:p>
        </w:tc>
        <w:tc>
          <w:tcPr>
            <w:tcW w:w="940" w:type="dxa"/>
            <w:tcBorders>
              <w:bottom w:val="single" w:sz="8" w:space="0" w:color="auto"/>
            </w:tcBorders>
            <w:vAlign w:val="bottom"/>
          </w:tcPr>
          <w:p w14:paraId="32A048B2" w14:textId="77777777" w:rsidR="00D1587D" w:rsidRDefault="00D1587D">
            <w:pPr>
              <w:spacing w:line="20" w:lineRule="exact"/>
              <w:rPr>
                <w:sz w:val="1"/>
                <w:szCs w:val="1"/>
              </w:rPr>
            </w:pPr>
          </w:p>
        </w:tc>
        <w:tc>
          <w:tcPr>
            <w:tcW w:w="140" w:type="dxa"/>
            <w:vAlign w:val="bottom"/>
          </w:tcPr>
          <w:p w14:paraId="4A1198D9" w14:textId="77777777" w:rsidR="00D1587D" w:rsidRDefault="00D1587D">
            <w:pPr>
              <w:spacing w:line="20" w:lineRule="exact"/>
              <w:rPr>
                <w:sz w:val="1"/>
                <w:szCs w:val="1"/>
              </w:rPr>
            </w:pPr>
          </w:p>
        </w:tc>
        <w:tc>
          <w:tcPr>
            <w:tcW w:w="100" w:type="dxa"/>
            <w:tcBorders>
              <w:bottom w:val="single" w:sz="8" w:space="0" w:color="auto"/>
            </w:tcBorders>
            <w:vAlign w:val="bottom"/>
          </w:tcPr>
          <w:p w14:paraId="2021A1EA" w14:textId="77777777" w:rsidR="00D1587D" w:rsidRDefault="00D1587D">
            <w:pPr>
              <w:spacing w:line="20" w:lineRule="exact"/>
              <w:rPr>
                <w:sz w:val="1"/>
                <w:szCs w:val="1"/>
              </w:rPr>
            </w:pPr>
          </w:p>
        </w:tc>
        <w:tc>
          <w:tcPr>
            <w:tcW w:w="480" w:type="dxa"/>
            <w:tcBorders>
              <w:bottom w:val="single" w:sz="8" w:space="0" w:color="auto"/>
            </w:tcBorders>
            <w:vAlign w:val="bottom"/>
          </w:tcPr>
          <w:p w14:paraId="454D42C2" w14:textId="77777777" w:rsidR="00D1587D" w:rsidRDefault="00D1587D">
            <w:pPr>
              <w:spacing w:line="20" w:lineRule="exact"/>
              <w:rPr>
                <w:sz w:val="1"/>
                <w:szCs w:val="1"/>
              </w:rPr>
            </w:pPr>
          </w:p>
        </w:tc>
        <w:tc>
          <w:tcPr>
            <w:tcW w:w="0" w:type="dxa"/>
            <w:vAlign w:val="bottom"/>
          </w:tcPr>
          <w:p w14:paraId="4006E185" w14:textId="77777777" w:rsidR="00D1587D" w:rsidRDefault="00D1587D">
            <w:pPr>
              <w:rPr>
                <w:sz w:val="1"/>
                <w:szCs w:val="1"/>
              </w:rPr>
            </w:pPr>
          </w:p>
        </w:tc>
      </w:tr>
    </w:tbl>
    <w:p w14:paraId="0D1DB679" w14:textId="77777777" w:rsidR="00D1587D" w:rsidRDefault="00410D07">
      <w:pPr>
        <w:spacing w:line="20" w:lineRule="exact"/>
        <w:rPr>
          <w:sz w:val="20"/>
          <w:szCs w:val="20"/>
        </w:rPr>
      </w:pPr>
      <w:r>
        <w:rPr>
          <w:noProof/>
          <w:sz w:val="20"/>
          <w:szCs w:val="20"/>
        </w:rPr>
        <w:drawing>
          <wp:anchor distT="0" distB="0" distL="114300" distR="114300" simplePos="0" relativeHeight="252037120" behindDoc="1" locked="0" layoutInCell="0" allowOverlap="1" wp14:anchorId="3117AE82" wp14:editId="748E7F43">
            <wp:simplePos x="0" y="0"/>
            <wp:positionH relativeFrom="column">
              <wp:posOffset>5080000</wp:posOffset>
            </wp:positionH>
            <wp:positionV relativeFrom="paragraph">
              <wp:posOffset>-899795</wp:posOffset>
            </wp:positionV>
            <wp:extent cx="85725" cy="8255"/>
            <wp:effectExtent l="0" t="0" r="0" b="0"/>
            <wp:wrapNone/>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38144" behindDoc="1" locked="0" layoutInCell="0" allowOverlap="1" wp14:anchorId="19B52138" wp14:editId="54C8248E">
            <wp:simplePos x="0" y="0"/>
            <wp:positionH relativeFrom="column">
              <wp:posOffset>4403090</wp:posOffset>
            </wp:positionH>
            <wp:positionV relativeFrom="paragraph">
              <wp:posOffset>-899795</wp:posOffset>
            </wp:positionV>
            <wp:extent cx="85725" cy="8255"/>
            <wp:effectExtent l="0" t="0" r="0" b="0"/>
            <wp:wrapNone/>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39168" behindDoc="1" locked="0" layoutInCell="0" allowOverlap="1" wp14:anchorId="1D2F32CE" wp14:editId="36BCCCCC">
            <wp:simplePos x="0" y="0"/>
            <wp:positionH relativeFrom="column">
              <wp:posOffset>3708400</wp:posOffset>
            </wp:positionH>
            <wp:positionV relativeFrom="paragraph">
              <wp:posOffset>-899795</wp:posOffset>
            </wp:positionV>
            <wp:extent cx="85725" cy="8255"/>
            <wp:effectExtent l="0" t="0" r="0" b="0"/>
            <wp:wrapNone/>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40192" behindDoc="1" locked="0" layoutInCell="0" allowOverlap="1" wp14:anchorId="04097E49" wp14:editId="7B3E77A1">
            <wp:simplePos x="0" y="0"/>
            <wp:positionH relativeFrom="column">
              <wp:posOffset>2971165</wp:posOffset>
            </wp:positionH>
            <wp:positionV relativeFrom="paragraph">
              <wp:posOffset>-899795</wp:posOffset>
            </wp:positionV>
            <wp:extent cx="43180" cy="8255"/>
            <wp:effectExtent l="0" t="0" r="0" b="0"/>
            <wp:wrapNone/>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2041216" behindDoc="1" locked="0" layoutInCell="0" allowOverlap="1" wp14:anchorId="268055C6" wp14:editId="24675131">
            <wp:simplePos x="0" y="0"/>
            <wp:positionH relativeFrom="column">
              <wp:posOffset>5080000</wp:posOffset>
            </wp:positionH>
            <wp:positionV relativeFrom="paragraph">
              <wp:posOffset>-2622550</wp:posOffset>
            </wp:positionV>
            <wp:extent cx="85725" cy="8255"/>
            <wp:effectExtent l="0" t="0" r="0" b="0"/>
            <wp:wrapNone/>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42240" behindDoc="1" locked="0" layoutInCell="0" allowOverlap="1" wp14:anchorId="2AA28A7C" wp14:editId="38A78E0A">
            <wp:simplePos x="0" y="0"/>
            <wp:positionH relativeFrom="column">
              <wp:posOffset>4403090</wp:posOffset>
            </wp:positionH>
            <wp:positionV relativeFrom="paragraph">
              <wp:posOffset>-2622550</wp:posOffset>
            </wp:positionV>
            <wp:extent cx="85725" cy="8255"/>
            <wp:effectExtent l="0" t="0" r="0" b="0"/>
            <wp:wrapNone/>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43264" behindDoc="1" locked="0" layoutInCell="0" allowOverlap="1" wp14:anchorId="0F00EB0E" wp14:editId="31462E43">
            <wp:simplePos x="0" y="0"/>
            <wp:positionH relativeFrom="column">
              <wp:posOffset>3708400</wp:posOffset>
            </wp:positionH>
            <wp:positionV relativeFrom="paragraph">
              <wp:posOffset>-2622550</wp:posOffset>
            </wp:positionV>
            <wp:extent cx="85725" cy="8255"/>
            <wp:effectExtent l="0" t="0" r="0" b="0"/>
            <wp:wrapNone/>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44288" behindDoc="1" locked="0" layoutInCell="0" allowOverlap="1" wp14:anchorId="6C698054" wp14:editId="266CF501">
            <wp:simplePos x="0" y="0"/>
            <wp:positionH relativeFrom="column">
              <wp:posOffset>2971165</wp:posOffset>
            </wp:positionH>
            <wp:positionV relativeFrom="paragraph">
              <wp:posOffset>-2622550</wp:posOffset>
            </wp:positionV>
            <wp:extent cx="43180" cy="8255"/>
            <wp:effectExtent l="0" t="0" r="0" b="0"/>
            <wp:wrapNone/>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2045312" behindDoc="1" locked="0" layoutInCell="0" allowOverlap="1" wp14:anchorId="3CFFDCCA" wp14:editId="3EC5F86A">
            <wp:simplePos x="0" y="0"/>
            <wp:positionH relativeFrom="column">
              <wp:posOffset>5080000</wp:posOffset>
            </wp:positionH>
            <wp:positionV relativeFrom="paragraph">
              <wp:posOffset>-3059430</wp:posOffset>
            </wp:positionV>
            <wp:extent cx="85725" cy="8255"/>
            <wp:effectExtent l="0" t="0" r="0" b="0"/>
            <wp:wrapNone/>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46336" behindDoc="1" locked="0" layoutInCell="0" allowOverlap="1" wp14:anchorId="4BD7DBD7" wp14:editId="33199F13">
            <wp:simplePos x="0" y="0"/>
            <wp:positionH relativeFrom="column">
              <wp:posOffset>4403090</wp:posOffset>
            </wp:positionH>
            <wp:positionV relativeFrom="paragraph">
              <wp:posOffset>-3059430</wp:posOffset>
            </wp:positionV>
            <wp:extent cx="85725" cy="8255"/>
            <wp:effectExtent l="0" t="0" r="0" b="0"/>
            <wp:wrapNone/>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47360" behindDoc="1" locked="0" layoutInCell="0" allowOverlap="1" wp14:anchorId="78F858D1" wp14:editId="6A743D9D">
            <wp:simplePos x="0" y="0"/>
            <wp:positionH relativeFrom="column">
              <wp:posOffset>3708400</wp:posOffset>
            </wp:positionH>
            <wp:positionV relativeFrom="paragraph">
              <wp:posOffset>-3059430</wp:posOffset>
            </wp:positionV>
            <wp:extent cx="85725" cy="8255"/>
            <wp:effectExtent l="0" t="0" r="0" b="0"/>
            <wp:wrapNone/>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48384" behindDoc="1" locked="0" layoutInCell="0" allowOverlap="1" wp14:anchorId="086C9B43" wp14:editId="498D0A0B">
            <wp:simplePos x="0" y="0"/>
            <wp:positionH relativeFrom="column">
              <wp:posOffset>2971165</wp:posOffset>
            </wp:positionH>
            <wp:positionV relativeFrom="paragraph">
              <wp:posOffset>-3059430</wp:posOffset>
            </wp:positionV>
            <wp:extent cx="43180" cy="8255"/>
            <wp:effectExtent l="0" t="0" r="0" b="0"/>
            <wp:wrapNone/>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2049408" behindDoc="1" locked="0" layoutInCell="0" allowOverlap="1" wp14:anchorId="42C72462" wp14:editId="6CCB9C04">
            <wp:simplePos x="0" y="0"/>
            <wp:positionH relativeFrom="column">
              <wp:posOffset>5080000</wp:posOffset>
            </wp:positionH>
            <wp:positionV relativeFrom="paragraph">
              <wp:posOffset>-3496945</wp:posOffset>
            </wp:positionV>
            <wp:extent cx="85725" cy="8255"/>
            <wp:effectExtent l="0" t="0" r="0" b="0"/>
            <wp:wrapNone/>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50432" behindDoc="1" locked="0" layoutInCell="0" allowOverlap="1" wp14:anchorId="5A2D2C2E" wp14:editId="1204BBC0">
            <wp:simplePos x="0" y="0"/>
            <wp:positionH relativeFrom="column">
              <wp:posOffset>4403090</wp:posOffset>
            </wp:positionH>
            <wp:positionV relativeFrom="paragraph">
              <wp:posOffset>-3496945</wp:posOffset>
            </wp:positionV>
            <wp:extent cx="85725" cy="8255"/>
            <wp:effectExtent l="0" t="0" r="0" b="0"/>
            <wp:wrapNone/>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51456" behindDoc="1" locked="0" layoutInCell="0" allowOverlap="1" wp14:anchorId="5AA382D3" wp14:editId="4DDEBCD5">
            <wp:simplePos x="0" y="0"/>
            <wp:positionH relativeFrom="column">
              <wp:posOffset>3708400</wp:posOffset>
            </wp:positionH>
            <wp:positionV relativeFrom="paragraph">
              <wp:posOffset>-3496945</wp:posOffset>
            </wp:positionV>
            <wp:extent cx="85725" cy="8255"/>
            <wp:effectExtent l="0" t="0" r="0" b="0"/>
            <wp:wrapNone/>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52480" behindDoc="1" locked="0" layoutInCell="0" allowOverlap="1" wp14:anchorId="74FF0B98" wp14:editId="776CCCB6">
            <wp:simplePos x="0" y="0"/>
            <wp:positionH relativeFrom="column">
              <wp:posOffset>2971165</wp:posOffset>
            </wp:positionH>
            <wp:positionV relativeFrom="paragraph">
              <wp:posOffset>-3496945</wp:posOffset>
            </wp:positionV>
            <wp:extent cx="43180" cy="8255"/>
            <wp:effectExtent l="0" t="0" r="0" b="0"/>
            <wp:wrapNone/>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2053504" behindDoc="1" locked="0" layoutInCell="0" allowOverlap="1" wp14:anchorId="23F6641F" wp14:editId="3E6BB26F">
            <wp:simplePos x="0" y="0"/>
            <wp:positionH relativeFrom="column">
              <wp:posOffset>5080000</wp:posOffset>
            </wp:positionH>
            <wp:positionV relativeFrom="paragraph">
              <wp:posOffset>-4773930</wp:posOffset>
            </wp:positionV>
            <wp:extent cx="85725" cy="8255"/>
            <wp:effectExtent l="0" t="0" r="0" b="0"/>
            <wp:wrapNone/>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54528" behindDoc="1" locked="0" layoutInCell="0" allowOverlap="1" wp14:anchorId="44A91681" wp14:editId="25D125F6">
            <wp:simplePos x="0" y="0"/>
            <wp:positionH relativeFrom="column">
              <wp:posOffset>4403090</wp:posOffset>
            </wp:positionH>
            <wp:positionV relativeFrom="paragraph">
              <wp:posOffset>-4773930</wp:posOffset>
            </wp:positionV>
            <wp:extent cx="85725" cy="8255"/>
            <wp:effectExtent l="0" t="0" r="0" b="0"/>
            <wp:wrapNone/>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55552" behindDoc="1" locked="0" layoutInCell="0" allowOverlap="1" wp14:anchorId="63AA12B3" wp14:editId="0E9C500C">
            <wp:simplePos x="0" y="0"/>
            <wp:positionH relativeFrom="column">
              <wp:posOffset>3708400</wp:posOffset>
            </wp:positionH>
            <wp:positionV relativeFrom="paragraph">
              <wp:posOffset>-4773930</wp:posOffset>
            </wp:positionV>
            <wp:extent cx="85725" cy="8255"/>
            <wp:effectExtent l="0" t="0" r="0" b="0"/>
            <wp:wrapNone/>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56576" behindDoc="1" locked="0" layoutInCell="0" allowOverlap="1" wp14:anchorId="1DB788DF" wp14:editId="250A8271">
            <wp:simplePos x="0" y="0"/>
            <wp:positionH relativeFrom="column">
              <wp:posOffset>2971165</wp:posOffset>
            </wp:positionH>
            <wp:positionV relativeFrom="paragraph">
              <wp:posOffset>-4773930</wp:posOffset>
            </wp:positionV>
            <wp:extent cx="43180" cy="8255"/>
            <wp:effectExtent l="0" t="0" r="0" b="0"/>
            <wp:wrapNone/>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p>
    <w:p w14:paraId="47EDF634" w14:textId="77777777" w:rsidR="00D1587D" w:rsidRDefault="00D1587D">
      <w:pPr>
        <w:spacing w:line="182" w:lineRule="exact"/>
        <w:rPr>
          <w:sz w:val="20"/>
          <w:szCs w:val="20"/>
        </w:rPr>
      </w:pPr>
    </w:p>
    <w:p w14:paraId="0F0B1637" w14:textId="77777777" w:rsidR="00D1587D" w:rsidRDefault="00410D07">
      <w:pPr>
        <w:ind w:right="39"/>
        <w:jc w:val="center"/>
        <w:rPr>
          <w:sz w:val="20"/>
          <w:szCs w:val="20"/>
        </w:rPr>
      </w:pPr>
      <w:r>
        <w:rPr>
          <w:rFonts w:ascii="Arial" w:eastAsia="Arial" w:hAnsi="Arial" w:cs="Arial"/>
          <w:i/>
          <w:iCs/>
          <w:sz w:val="18"/>
          <w:szCs w:val="18"/>
        </w:rPr>
        <w:t>The accompanying notes are an integral part of these financial statements.</w:t>
      </w:r>
    </w:p>
    <w:p w14:paraId="375FEFFB" w14:textId="77777777" w:rsidR="00D1587D" w:rsidRDefault="00D1587D">
      <w:pPr>
        <w:spacing w:line="225" w:lineRule="exact"/>
        <w:rPr>
          <w:sz w:val="20"/>
          <w:szCs w:val="20"/>
        </w:rPr>
      </w:pPr>
    </w:p>
    <w:p w14:paraId="76864C44" w14:textId="77777777" w:rsidR="00D1587D" w:rsidRDefault="00410D07">
      <w:pPr>
        <w:jc w:val="center"/>
        <w:rPr>
          <w:sz w:val="20"/>
          <w:szCs w:val="20"/>
        </w:rPr>
      </w:pPr>
      <w:r>
        <w:rPr>
          <w:rFonts w:ascii="Arial" w:eastAsia="Arial" w:hAnsi="Arial" w:cs="Arial"/>
          <w:sz w:val="18"/>
          <w:szCs w:val="18"/>
        </w:rPr>
        <w:t>F-6</w:t>
      </w:r>
    </w:p>
    <w:p w14:paraId="1928D5F9" w14:textId="77777777" w:rsidR="00D1587D" w:rsidRDefault="00410D07">
      <w:pPr>
        <w:spacing w:line="20" w:lineRule="exact"/>
        <w:rPr>
          <w:sz w:val="20"/>
          <w:szCs w:val="20"/>
        </w:rPr>
      </w:pPr>
      <w:r>
        <w:rPr>
          <w:noProof/>
          <w:sz w:val="20"/>
          <w:szCs w:val="20"/>
        </w:rPr>
        <w:drawing>
          <wp:anchor distT="0" distB="0" distL="114300" distR="114300" simplePos="0" relativeHeight="252057600" behindDoc="1" locked="0" layoutInCell="0" allowOverlap="1" wp14:anchorId="1F3B0211" wp14:editId="35CB17EC">
            <wp:simplePos x="0" y="0"/>
            <wp:positionH relativeFrom="column">
              <wp:posOffset>-636905</wp:posOffset>
            </wp:positionH>
            <wp:positionV relativeFrom="paragraph">
              <wp:posOffset>126365</wp:posOffset>
            </wp:positionV>
            <wp:extent cx="6995160" cy="17145"/>
            <wp:effectExtent l="0" t="0" r="0" b="0"/>
            <wp:wrapNone/>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EA5824E" w14:textId="77777777" w:rsidR="00D1587D" w:rsidRDefault="00D1587D">
      <w:pPr>
        <w:sectPr w:rsidR="00D1587D">
          <w:pgSz w:w="11900" w:h="16838"/>
          <w:pgMar w:top="265" w:right="1440" w:bottom="1440" w:left="1440" w:header="0" w:footer="0" w:gutter="0"/>
          <w:cols w:space="720" w:equalWidth="0">
            <w:col w:w="9019"/>
          </w:cols>
        </w:sectPr>
      </w:pPr>
    </w:p>
    <w:bookmarkStart w:id="402" w:name="page403"/>
    <w:bookmarkEnd w:id="402"/>
    <w:p w14:paraId="3E84C3CD"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65864AC" w14:textId="77777777" w:rsidR="00D1587D" w:rsidRDefault="00D1587D">
      <w:pPr>
        <w:spacing w:line="127" w:lineRule="exact"/>
        <w:rPr>
          <w:sz w:val="20"/>
          <w:szCs w:val="20"/>
        </w:rPr>
      </w:pPr>
    </w:p>
    <w:p w14:paraId="081ABBC2" w14:textId="77777777" w:rsidR="00D1587D" w:rsidRDefault="00410D07">
      <w:pPr>
        <w:ind w:right="19"/>
        <w:jc w:val="center"/>
        <w:rPr>
          <w:sz w:val="20"/>
          <w:szCs w:val="20"/>
        </w:rPr>
      </w:pPr>
      <w:r>
        <w:rPr>
          <w:rFonts w:ascii="Arial" w:eastAsia="Arial" w:hAnsi="Arial" w:cs="Arial"/>
          <w:b/>
          <w:bCs/>
          <w:sz w:val="18"/>
          <w:szCs w:val="18"/>
        </w:rPr>
        <w:t>VICTORIA’S SECRET BUSINESS OF L BRANDS, INC.</w:t>
      </w:r>
    </w:p>
    <w:p w14:paraId="04A1A778" w14:textId="77777777" w:rsidR="00D1587D" w:rsidRDefault="00D1587D">
      <w:pPr>
        <w:spacing w:line="225" w:lineRule="exact"/>
        <w:rPr>
          <w:sz w:val="20"/>
          <w:szCs w:val="20"/>
        </w:rPr>
      </w:pPr>
    </w:p>
    <w:p w14:paraId="48A25D97" w14:textId="77777777" w:rsidR="00D1587D" w:rsidRDefault="00410D07">
      <w:pPr>
        <w:ind w:right="19"/>
        <w:jc w:val="center"/>
        <w:rPr>
          <w:sz w:val="20"/>
          <w:szCs w:val="20"/>
        </w:rPr>
      </w:pPr>
      <w:r>
        <w:rPr>
          <w:rFonts w:ascii="Arial" w:eastAsia="Arial" w:hAnsi="Arial" w:cs="Arial"/>
          <w:b/>
          <w:bCs/>
          <w:sz w:val="18"/>
          <w:szCs w:val="18"/>
        </w:rPr>
        <w:t>NOTES TO COMBINED FINANCIAL STATEMENTS</w:t>
      </w:r>
    </w:p>
    <w:p w14:paraId="17ED5023" w14:textId="77777777" w:rsidR="00D1587D" w:rsidRDefault="00D1587D">
      <w:pPr>
        <w:spacing w:line="347" w:lineRule="exact"/>
        <w:rPr>
          <w:sz w:val="20"/>
          <w:szCs w:val="20"/>
        </w:rPr>
      </w:pPr>
    </w:p>
    <w:p w14:paraId="0627FFDF" w14:textId="77777777" w:rsidR="00D1587D" w:rsidRDefault="00410D07">
      <w:pPr>
        <w:spacing w:line="385" w:lineRule="auto"/>
        <w:ind w:left="300" w:right="1959"/>
        <w:rPr>
          <w:sz w:val="20"/>
          <w:szCs w:val="20"/>
        </w:rPr>
      </w:pPr>
      <w:r>
        <w:rPr>
          <w:rFonts w:ascii="Arial" w:eastAsia="Arial" w:hAnsi="Arial" w:cs="Arial"/>
          <w:b/>
          <w:bCs/>
          <w:sz w:val="18"/>
          <w:szCs w:val="18"/>
        </w:rPr>
        <w:t xml:space="preserve">1. Background, Description of Business and Summary of Significant Accounting Policies </w:t>
      </w:r>
      <w:r>
        <w:rPr>
          <w:rFonts w:ascii="Arial" w:eastAsia="Arial" w:hAnsi="Arial" w:cs="Arial"/>
          <w:b/>
          <w:bCs/>
          <w:i/>
          <w:iCs/>
          <w:sz w:val="18"/>
          <w:szCs w:val="18"/>
        </w:rPr>
        <w:t>Description of Busi</w:t>
      </w:r>
      <w:r>
        <w:rPr>
          <w:rFonts w:ascii="Arial" w:eastAsia="Arial" w:hAnsi="Arial" w:cs="Arial"/>
          <w:b/>
          <w:bCs/>
          <w:i/>
          <w:iCs/>
          <w:sz w:val="18"/>
          <w:szCs w:val="18"/>
        </w:rPr>
        <w:t>ness</w:t>
      </w:r>
    </w:p>
    <w:p w14:paraId="478FC77B" w14:textId="77777777" w:rsidR="00D1587D" w:rsidRDefault="00D1587D">
      <w:pPr>
        <w:spacing w:line="1" w:lineRule="exact"/>
        <w:rPr>
          <w:sz w:val="20"/>
          <w:szCs w:val="20"/>
        </w:rPr>
      </w:pPr>
    </w:p>
    <w:p w14:paraId="71E49FBC" w14:textId="77777777" w:rsidR="00D1587D" w:rsidRDefault="00410D07">
      <w:pPr>
        <w:spacing w:line="279" w:lineRule="auto"/>
        <w:ind w:left="300" w:right="339" w:firstLine="360"/>
        <w:rPr>
          <w:sz w:val="20"/>
          <w:szCs w:val="20"/>
        </w:rPr>
      </w:pPr>
      <w:r>
        <w:rPr>
          <w:rFonts w:ascii="Arial" w:eastAsia="Arial" w:hAnsi="Arial" w:cs="Arial"/>
          <w:sz w:val="17"/>
          <w:szCs w:val="17"/>
        </w:rPr>
        <w:t>L Brands, Inc. (“L Brands” or the “Parent”) operates the Bath &amp; Body Works, Victoria’s Secret and PINK retail brands in the highly competitive specialty retail business. L Brands is committed to establishing its Bath &amp; Body Works business as a pure-p</w:t>
      </w:r>
      <w:r>
        <w:rPr>
          <w:rFonts w:ascii="Arial" w:eastAsia="Arial" w:hAnsi="Arial" w:cs="Arial"/>
          <w:sz w:val="17"/>
          <w:szCs w:val="17"/>
        </w:rPr>
        <w:t>lay public company and is taking the necessary steps to prepare its Victoria’s Secret business, including PINK, to operate as a separate standalone company.</w:t>
      </w:r>
    </w:p>
    <w:p w14:paraId="6AD0D845" w14:textId="77777777" w:rsidR="00D1587D" w:rsidRDefault="00D1587D">
      <w:pPr>
        <w:spacing w:line="63" w:lineRule="exact"/>
        <w:rPr>
          <w:sz w:val="20"/>
          <w:szCs w:val="20"/>
        </w:rPr>
      </w:pPr>
    </w:p>
    <w:p w14:paraId="6905BB56" w14:textId="77777777" w:rsidR="00D1587D" w:rsidRDefault="00410D07">
      <w:pPr>
        <w:spacing w:line="291" w:lineRule="auto"/>
        <w:ind w:left="300" w:right="699" w:firstLine="360"/>
        <w:rPr>
          <w:sz w:val="20"/>
          <w:szCs w:val="20"/>
        </w:rPr>
      </w:pPr>
      <w:r>
        <w:rPr>
          <w:rFonts w:ascii="Arial" w:eastAsia="Arial" w:hAnsi="Arial" w:cs="Arial"/>
          <w:sz w:val="16"/>
          <w:szCs w:val="16"/>
        </w:rPr>
        <w:t xml:space="preserve">Victoria’s Secret (the “Company”) is a specialty retailer of women’s intimate and other </w:t>
      </w:r>
      <w:r>
        <w:rPr>
          <w:rFonts w:ascii="Arial" w:eastAsia="Arial" w:hAnsi="Arial" w:cs="Arial"/>
          <w:sz w:val="16"/>
          <w:szCs w:val="16"/>
        </w:rPr>
        <w:t>apparel and beauty products marketed under the Victoria’s Secret and PINK brand names. The Company operates more than</w:t>
      </w:r>
    </w:p>
    <w:p w14:paraId="1BF0BE37" w14:textId="77777777" w:rsidR="00D1587D" w:rsidRDefault="00410D07">
      <w:pPr>
        <w:spacing w:line="253" w:lineRule="auto"/>
        <w:ind w:left="300" w:right="359"/>
        <w:rPr>
          <w:sz w:val="20"/>
          <w:szCs w:val="20"/>
        </w:rPr>
      </w:pPr>
      <w:r>
        <w:rPr>
          <w:rFonts w:ascii="Arial" w:eastAsia="Arial" w:hAnsi="Arial" w:cs="Arial"/>
          <w:sz w:val="18"/>
          <w:szCs w:val="18"/>
        </w:rPr>
        <w:t xml:space="preserve">930 Victoria’s Secret and PINK stores in the U.S., Canada and Greater China as well as online at </w:t>
      </w:r>
      <w:r>
        <w:rPr>
          <w:rFonts w:ascii="Arial" w:eastAsia="Arial" w:hAnsi="Arial" w:cs="Arial"/>
          <w:i/>
          <w:iCs/>
          <w:sz w:val="18"/>
          <w:szCs w:val="18"/>
        </w:rPr>
        <w:t xml:space="preserve">www.VictoriasSecret.com </w:t>
      </w:r>
      <w:r>
        <w:rPr>
          <w:rFonts w:ascii="Arial" w:eastAsia="Arial" w:hAnsi="Arial" w:cs="Arial"/>
          <w:sz w:val="18"/>
          <w:szCs w:val="18"/>
        </w:rPr>
        <w:t>and</w:t>
      </w:r>
      <w:r>
        <w:rPr>
          <w:rFonts w:ascii="Arial" w:eastAsia="Arial" w:hAnsi="Arial" w:cs="Arial"/>
          <w:i/>
          <w:iCs/>
          <w:sz w:val="18"/>
          <w:szCs w:val="18"/>
        </w:rPr>
        <w:t xml:space="preserve"> www.PINK.com</w:t>
      </w:r>
      <w:r>
        <w:rPr>
          <w:rFonts w:ascii="Arial" w:eastAsia="Arial" w:hAnsi="Arial" w:cs="Arial"/>
          <w:sz w:val="18"/>
          <w:szCs w:val="18"/>
        </w:rPr>
        <w:t>. Additionally, Victoria’s Secret and PINK have more than 455 stores</w:t>
      </w:r>
      <w:r>
        <w:rPr>
          <w:rFonts w:ascii="Arial" w:eastAsia="Arial" w:hAnsi="Arial" w:cs="Arial"/>
          <w:i/>
          <w:iCs/>
          <w:sz w:val="18"/>
          <w:szCs w:val="18"/>
        </w:rPr>
        <w:t xml:space="preserve"> </w:t>
      </w:r>
      <w:r>
        <w:rPr>
          <w:rFonts w:ascii="Arial" w:eastAsia="Arial" w:hAnsi="Arial" w:cs="Arial"/>
          <w:sz w:val="18"/>
          <w:szCs w:val="18"/>
        </w:rPr>
        <w:t>in more than 70 countries operating under franchis</w:t>
      </w:r>
      <w:r>
        <w:rPr>
          <w:rFonts w:ascii="Arial" w:eastAsia="Arial" w:hAnsi="Arial" w:cs="Arial"/>
          <w:sz w:val="18"/>
          <w:szCs w:val="18"/>
        </w:rPr>
        <w:t>e, license and wholesale arrangements. The Company also includes the Victoria’s Secret and PINK merchandise sourcing and production function serving the Company and its international partners.</w:t>
      </w:r>
    </w:p>
    <w:p w14:paraId="7DBE1400" w14:textId="77777777" w:rsidR="00D1587D" w:rsidRDefault="00D1587D">
      <w:pPr>
        <w:spacing w:line="83" w:lineRule="exact"/>
        <w:rPr>
          <w:sz w:val="20"/>
          <w:szCs w:val="20"/>
        </w:rPr>
      </w:pPr>
    </w:p>
    <w:p w14:paraId="001243E8" w14:textId="77777777" w:rsidR="00D1587D" w:rsidRDefault="00410D07">
      <w:pPr>
        <w:spacing w:line="255" w:lineRule="auto"/>
        <w:ind w:left="300" w:right="319" w:firstLine="360"/>
        <w:rPr>
          <w:sz w:val="20"/>
          <w:szCs w:val="20"/>
        </w:rPr>
      </w:pPr>
      <w:r>
        <w:rPr>
          <w:rFonts w:ascii="Arial" w:eastAsia="Arial" w:hAnsi="Arial" w:cs="Arial"/>
          <w:sz w:val="18"/>
          <w:szCs w:val="18"/>
        </w:rPr>
        <w:t>The Company manages and evaluates its business activities base</w:t>
      </w:r>
      <w:r>
        <w:rPr>
          <w:rFonts w:ascii="Arial" w:eastAsia="Arial" w:hAnsi="Arial" w:cs="Arial"/>
          <w:sz w:val="18"/>
          <w:szCs w:val="18"/>
        </w:rPr>
        <w:t>d on geography and, as a result, determined that its Victoria’s Secret North America and Victoria’s Secret International businesses are its operating segments. The North America and International operating segments both sell women’s intimate and other appa</w:t>
      </w:r>
      <w:r>
        <w:rPr>
          <w:rFonts w:ascii="Arial" w:eastAsia="Arial" w:hAnsi="Arial" w:cs="Arial"/>
          <w:sz w:val="18"/>
          <w:szCs w:val="18"/>
        </w:rPr>
        <w:t>rel and beauty products under the Victoria’s Secret and PINK brand names and serve customers through stores and online channels. The operating segments share similar economic and other qualitative characteristics, and therefore the results are aggregated i</w:t>
      </w:r>
      <w:r>
        <w:rPr>
          <w:rFonts w:ascii="Arial" w:eastAsia="Arial" w:hAnsi="Arial" w:cs="Arial"/>
          <w:sz w:val="18"/>
          <w:szCs w:val="18"/>
        </w:rPr>
        <w:t>nto one reportable segment.</w:t>
      </w:r>
    </w:p>
    <w:p w14:paraId="57C3D127" w14:textId="77777777" w:rsidR="00D1587D" w:rsidRDefault="00D1587D">
      <w:pPr>
        <w:spacing w:line="327" w:lineRule="exact"/>
        <w:rPr>
          <w:sz w:val="20"/>
          <w:szCs w:val="20"/>
        </w:rPr>
      </w:pPr>
    </w:p>
    <w:p w14:paraId="0E3BB604" w14:textId="77777777" w:rsidR="00D1587D" w:rsidRDefault="00410D07">
      <w:pPr>
        <w:ind w:left="300"/>
        <w:rPr>
          <w:sz w:val="20"/>
          <w:szCs w:val="20"/>
        </w:rPr>
      </w:pPr>
      <w:r>
        <w:rPr>
          <w:rFonts w:ascii="Arial" w:eastAsia="Arial" w:hAnsi="Arial" w:cs="Arial"/>
          <w:b/>
          <w:bCs/>
          <w:i/>
          <w:iCs/>
          <w:sz w:val="18"/>
          <w:szCs w:val="18"/>
        </w:rPr>
        <w:t>Basis of Presentation</w:t>
      </w:r>
    </w:p>
    <w:p w14:paraId="23C26756" w14:textId="77777777" w:rsidR="00D1587D" w:rsidRDefault="00D1587D">
      <w:pPr>
        <w:spacing w:line="117" w:lineRule="exact"/>
        <w:rPr>
          <w:sz w:val="20"/>
          <w:szCs w:val="20"/>
        </w:rPr>
      </w:pPr>
    </w:p>
    <w:p w14:paraId="74030456" w14:textId="77777777" w:rsidR="00D1587D" w:rsidRDefault="00410D07">
      <w:pPr>
        <w:spacing w:line="275" w:lineRule="auto"/>
        <w:ind w:left="300" w:right="339" w:firstLine="360"/>
        <w:rPr>
          <w:sz w:val="20"/>
          <w:szCs w:val="20"/>
        </w:rPr>
      </w:pPr>
      <w:r>
        <w:rPr>
          <w:rFonts w:ascii="Arial" w:eastAsia="Arial" w:hAnsi="Arial" w:cs="Arial"/>
          <w:sz w:val="17"/>
          <w:szCs w:val="17"/>
        </w:rPr>
        <w:t xml:space="preserve">The combined financial statements have been derived from the consolidated financial statements and accounting records of L Brands and have been prepared in conformity with accounting principles generally </w:t>
      </w:r>
      <w:r>
        <w:rPr>
          <w:rFonts w:ascii="Arial" w:eastAsia="Arial" w:hAnsi="Arial" w:cs="Arial"/>
          <w:sz w:val="17"/>
          <w:szCs w:val="17"/>
        </w:rPr>
        <w:t>accepted in the United States (“GAAP”). The combined financial statements may not be indicative of the Company’s future performance and do not necessarily reflect what the financial position, results of operations, and cash flows would have been had it ope</w:t>
      </w:r>
      <w:r>
        <w:rPr>
          <w:rFonts w:ascii="Arial" w:eastAsia="Arial" w:hAnsi="Arial" w:cs="Arial"/>
          <w:sz w:val="17"/>
          <w:szCs w:val="17"/>
        </w:rPr>
        <w:t>rated as an independent company during the periods presented.</w:t>
      </w:r>
    </w:p>
    <w:p w14:paraId="32CA5CFE" w14:textId="77777777" w:rsidR="00D1587D" w:rsidRDefault="00D1587D">
      <w:pPr>
        <w:spacing w:line="68" w:lineRule="exact"/>
        <w:rPr>
          <w:sz w:val="20"/>
          <w:szCs w:val="20"/>
        </w:rPr>
      </w:pPr>
    </w:p>
    <w:p w14:paraId="185E3898" w14:textId="77777777" w:rsidR="00D1587D" w:rsidRDefault="00410D07">
      <w:pPr>
        <w:spacing w:line="291" w:lineRule="auto"/>
        <w:ind w:left="300" w:right="319" w:firstLine="360"/>
        <w:rPr>
          <w:sz w:val="20"/>
          <w:szCs w:val="20"/>
        </w:rPr>
      </w:pPr>
      <w:r>
        <w:rPr>
          <w:rFonts w:ascii="Arial" w:eastAsia="Arial" w:hAnsi="Arial" w:cs="Arial"/>
          <w:sz w:val="16"/>
          <w:szCs w:val="16"/>
        </w:rPr>
        <w:t>Intracompany transactions have been eliminated. Transactions between the Company and L Brands have been included in these combined financial statements. For those transactions between the Compa</w:t>
      </w:r>
      <w:r>
        <w:rPr>
          <w:rFonts w:ascii="Arial" w:eastAsia="Arial" w:hAnsi="Arial" w:cs="Arial"/>
          <w:sz w:val="16"/>
          <w:szCs w:val="16"/>
        </w:rPr>
        <w:t>ny and L Brands that have been historically settled in cash, the Company has reflected such balances in the Combined Balance Sheets as Due from Related Parties or Due to Related Parties. The aggregate net effect of transactions between the Company and rela</w:t>
      </w:r>
      <w:r>
        <w:rPr>
          <w:rFonts w:ascii="Arial" w:eastAsia="Arial" w:hAnsi="Arial" w:cs="Arial"/>
          <w:sz w:val="16"/>
          <w:szCs w:val="16"/>
        </w:rPr>
        <w:t xml:space="preserve">ted parties that have been historically settled other than in cash are reflected in the Combined Balance Sheets as Net Investment by L Brands, Inc. and in the Combined Statements of Cash Flows as Net Transfers to L Brands, Inc. For additional information, </w:t>
      </w:r>
      <w:r>
        <w:rPr>
          <w:rFonts w:ascii="Arial" w:eastAsia="Arial" w:hAnsi="Arial" w:cs="Arial"/>
          <w:sz w:val="16"/>
          <w:szCs w:val="16"/>
        </w:rPr>
        <w:t>see Note 3, “Transactions with Related Parties.”</w:t>
      </w:r>
    </w:p>
    <w:p w14:paraId="71ADDB29" w14:textId="77777777" w:rsidR="00D1587D" w:rsidRDefault="00D1587D">
      <w:pPr>
        <w:spacing w:line="58" w:lineRule="exact"/>
        <w:rPr>
          <w:sz w:val="20"/>
          <w:szCs w:val="20"/>
        </w:rPr>
      </w:pPr>
    </w:p>
    <w:p w14:paraId="35BD99B9" w14:textId="77777777" w:rsidR="00D1587D" w:rsidRDefault="00410D07">
      <w:pPr>
        <w:spacing w:line="255" w:lineRule="auto"/>
        <w:ind w:left="300" w:right="419" w:firstLine="360"/>
        <w:rPr>
          <w:sz w:val="20"/>
          <w:szCs w:val="20"/>
        </w:rPr>
      </w:pPr>
      <w:r>
        <w:rPr>
          <w:rFonts w:ascii="Arial" w:eastAsia="Arial" w:hAnsi="Arial" w:cs="Arial"/>
          <w:sz w:val="18"/>
          <w:szCs w:val="18"/>
        </w:rPr>
        <w:t>The Combined Balance Sheets include certain L Brands’ assets and liabilities that are specifically identifiable or otherwise attributable to the Company. L Brands’ third-party long-term notes payable and th</w:t>
      </w:r>
      <w:r>
        <w:rPr>
          <w:rFonts w:ascii="Arial" w:eastAsia="Arial" w:hAnsi="Arial" w:cs="Arial"/>
          <w:sz w:val="18"/>
          <w:szCs w:val="18"/>
        </w:rPr>
        <w:t xml:space="preserve">e related interest expense have not been allocated to the Company for any of the periods presented as the Company was not the legal obligor of such debt. Except for Long-term Debt due to Related Party, the debt and associated interest expense reflected in </w:t>
      </w:r>
      <w:r>
        <w:rPr>
          <w:rFonts w:ascii="Arial" w:eastAsia="Arial" w:hAnsi="Arial" w:cs="Arial"/>
          <w:sz w:val="18"/>
          <w:szCs w:val="18"/>
        </w:rPr>
        <w:t>the Combined Balance Sheets relate to third-party borrowings specifically attributable to, and legal obligations of, the Company.</w:t>
      </w:r>
    </w:p>
    <w:p w14:paraId="45BF225A" w14:textId="77777777" w:rsidR="00D1587D" w:rsidRDefault="00D1587D">
      <w:pPr>
        <w:spacing w:line="84" w:lineRule="exact"/>
        <w:rPr>
          <w:sz w:val="20"/>
          <w:szCs w:val="20"/>
        </w:rPr>
      </w:pPr>
    </w:p>
    <w:p w14:paraId="5095AFDC" w14:textId="77777777" w:rsidR="00D1587D" w:rsidRDefault="00410D07">
      <w:pPr>
        <w:spacing w:line="273" w:lineRule="auto"/>
        <w:ind w:left="300" w:right="419" w:firstLine="360"/>
        <w:rPr>
          <w:sz w:val="20"/>
          <w:szCs w:val="20"/>
        </w:rPr>
      </w:pPr>
      <w:r>
        <w:rPr>
          <w:rFonts w:ascii="Arial" w:eastAsia="Arial" w:hAnsi="Arial" w:cs="Arial"/>
          <w:sz w:val="17"/>
          <w:szCs w:val="17"/>
        </w:rPr>
        <w:t xml:space="preserve">L Brands utilizes a centralized approach to cash management and financing its operations. The Cash and Cash Equivalents held </w:t>
      </w:r>
      <w:r>
        <w:rPr>
          <w:rFonts w:ascii="Arial" w:eastAsia="Arial" w:hAnsi="Arial" w:cs="Arial"/>
          <w:sz w:val="17"/>
          <w:szCs w:val="17"/>
        </w:rPr>
        <w:t>by L Brands at the corporate level are not specifically identifiable to the Company and, therefore, have not been reflected in the Company’s Combined Balance Sheets. Cash transfers between L Brands and the Company are accounted for through Net Investment b</w:t>
      </w:r>
      <w:r>
        <w:rPr>
          <w:rFonts w:ascii="Arial" w:eastAsia="Arial" w:hAnsi="Arial" w:cs="Arial"/>
          <w:sz w:val="17"/>
          <w:szCs w:val="17"/>
        </w:rPr>
        <w:t>y L Brands, Inc. Cash and Cash Equivalents in the Combined Balance Sheets represent Cash and Cash Equivalents held by the Company at period-end prior to any potential transfer to the centralized cash management pool of L Brands.</w:t>
      </w:r>
    </w:p>
    <w:p w14:paraId="19886A9C" w14:textId="77777777" w:rsidR="00D1587D" w:rsidRDefault="00D1587D">
      <w:pPr>
        <w:spacing w:line="70" w:lineRule="exact"/>
        <w:rPr>
          <w:sz w:val="20"/>
          <w:szCs w:val="20"/>
        </w:rPr>
      </w:pPr>
    </w:p>
    <w:p w14:paraId="216E946D" w14:textId="77777777" w:rsidR="00D1587D" w:rsidRDefault="00410D07">
      <w:pPr>
        <w:spacing w:line="342" w:lineRule="auto"/>
        <w:ind w:left="300" w:right="619" w:firstLine="360"/>
        <w:rPr>
          <w:sz w:val="20"/>
          <w:szCs w:val="20"/>
        </w:rPr>
      </w:pPr>
      <w:r>
        <w:rPr>
          <w:rFonts w:ascii="Arial" w:eastAsia="Arial" w:hAnsi="Arial" w:cs="Arial"/>
          <w:sz w:val="16"/>
          <w:szCs w:val="16"/>
        </w:rPr>
        <w:t xml:space="preserve">The Combined </w:t>
      </w:r>
      <w:r>
        <w:rPr>
          <w:rFonts w:ascii="Arial" w:eastAsia="Arial" w:hAnsi="Arial" w:cs="Arial"/>
          <w:sz w:val="16"/>
          <w:szCs w:val="16"/>
        </w:rPr>
        <w:t>Statements of Income (Loss) include costs for certain functions, including information technology, human resources and store design and construction, that historically were provided and administered</w:t>
      </w:r>
    </w:p>
    <w:p w14:paraId="2A40E474" w14:textId="77777777" w:rsidR="00D1587D" w:rsidRDefault="00D1587D">
      <w:pPr>
        <w:spacing w:line="124" w:lineRule="exact"/>
        <w:rPr>
          <w:sz w:val="20"/>
          <w:szCs w:val="20"/>
        </w:rPr>
      </w:pPr>
    </w:p>
    <w:p w14:paraId="1688FB3A" w14:textId="77777777" w:rsidR="00D1587D" w:rsidRDefault="00410D07">
      <w:pPr>
        <w:ind w:right="19"/>
        <w:jc w:val="center"/>
        <w:rPr>
          <w:sz w:val="20"/>
          <w:szCs w:val="20"/>
        </w:rPr>
      </w:pPr>
      <w:r>
        <w:rPr>
          <w:rFonts w:ascii="Arial" w:eastAsia="Arial" w:hAnsi="Arial" w:cs="Arial"/>
          <w:sz w:val="18"/>
          <w:szCs w:val="18"/>
        </w:rPr>
        <w:t>F-7</w:t>
      </w:r>
    </w:p>
    <w:p w14:paraId="201AA5AE" w14:textId="77777777" w:rsidR="00D1587D" w:rsidRDefault="00410D07">
      <w:pPr>
        <w:spacing w:line="20" w:lineRule="exact"/>
        <w:rPr>
          <w:sz w:val="20"/>
          <w:szCs w:val="20"/>
        </w:rPr>
      </w:pPr>
      <w:r>
        <w:rPr>
          <w:noProof/>
          <w:sz w:val="20"/>
          <w:szCs w:val="20"/>
        </w:rPr>
        <w:drawing>
          <wp:anchor distT="0" distB="0" distL="114300" distR="114300" simplePos="0" relativeHeight="252058624" behindDoc="1" locked="0" layoutInCell="0" allowOverlap="1" wp14:anchorId="4B619917" wp14:editId="7A3AF7D2">
            <wp:simplePos x="0" y="0"/>
            <wp:positionH relativeFrom="column">
              <wp:posOffset>-636905</wp:posOffset>
            </wp:positionH>
            <wp:positionV relativeFrom="paragraph">
              <wp:posOffset>134620</wp:posOffset>
            </wp:positionV>
            <wp:extent cx="6995160" cy="17145"/>
            <wp:effectExtent l="0" t="0" r="0" b="0"/>
            <wp:wrapNone/>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952D43C" w14:textId="77777777" w:rsidR="00D1587D" w:rsidRDefault="00D1587D">
      <w:pPr>
        <w:sectPr w:rsidR="00D1587D">
          <w:pgSz w:w="11900" w:h="16838"/>
          <w:pgMar w:top="265" w:right="1440" w:bottom="1440" w:left="1440" w:header="0" w:footer="0" w:gutter="0"/>
          <w:cols w:space="720" w:equalWidth="0">
            <w:col w:w="9019"/>
          </w:cols>
        </w:sectPr>
      </w:pPr>
    </w:p>
    <w:bookmarkStart w:id="403" w:name="page404"/>
    <w:bookmarkEnd w:id="403"/>
    <w:p w14:paraId="39A4DB56"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w:t>
      </w:r>
      <w:r>
        <w:rPr>
          <w:rFonts w:ascii="Arial" w:eastAsia="Arial" w:hAnsi="Arial" w:cs="Arial"/>
          <w:b/>
          <w:bCs/>
          <w:color w:val="0000EE"/>
          <w:sz w:val="14"/>
          <w:szCs w:val="14"/>
          <w:u w:val="single"/>
        </w:rPr>
        <w:t>E OF CONTENTS</w:t>
      </w:r>
      <w:r>
        <w:rPr>
          <w:rFonts w:ascii="Arial" w:eastAsia="Arial" w:hAnsi="Arial" w:cs="Arial"/>
          <w:b/>
          <w:bCs/>
          <w:color w:val="0000EE"/>
          <w:sz w:val="14"/>
          <w:szCs w:val="14"/>
          <w:u w:val="single"/>
        </w:rPr>
        <w:fldChar w:fldCharType="end"/>
      </w:r>
    </w:p>
    <w:p w14:paraId="047F4E68" w14:textId="77777777" w:rsidR="00D1587D" w:rsidRDefault="00D1587D">
      <w:pPr>
        <w:spacing w:line="131" w:lineRule="exact"/>
        <w:rPr>
          <w:sz w:val="20"/>
          <w:szCs w:val="20"/>
        </w:rPr>
      </w:pPr>
    </w:p>
    <w:p w14:paraId="22EFAF4B" w14:textId="77777777" w:rsidR="00D1587D" w:rsidRDefault="00410D07">
      <w:pPr>
        <w:spacing w:line="255" w:lineRule="auto"/>
        <w:ind w:left="300" w:right="319"/>
        <w:rPr>
          <w:sz w:val="20"/>
          <w:szCs w:val="20"/>
        </w:rPr>
      </w:pPr>
      <w:r>
        <w:rPr>
          <w:rFonts w:ascii="Arial" w:eastAsia="Arial" w:hAnsi="Arial" w:cs="Arial"/>
          <w:sz w:val="18"/>
          <w:szCs w:val="18"/>
        </w:rPr>
        <w:t xml:space="preserve">on a centralized basis by L Brands. In 2020, as part of the steps to prepare Victoria’s Secret to operate as a separate standalone company, these functions were transitioned to the business and are now operated and administered as part of </w:t>
      </w:r>
      <w:r>
        <w:rPr>
          <w:rFonts w:ascii="Arial" w:eastAsia="Arial" w:hAnsi="Arial" w:cs="Arial"/>
          <w:sz w:val="18"/>
          <w:szCs w:val="18"/>
        </w:rPr>
        <w:t>Victoria’s Secret. For additional information, see Note 5, “Restructuring Activities.” Costs applicable to the Company related to these functions are included in the Combined Statements of Income (Loss) for all years presented. Prior to the transition of t</w:t>
      </w:r>
      <w:r>
        <w:rPr>
          <w:rFonts w:ascii="Arial" w:eastAsia="Arial" w:hAnsi="Arial" w:cs="Arial"/>
          <w:sz w:val="18"/>
          <w:szCs w:val="18"/>
        </w:rPr>
        <w:t>hese functions in 2020, these costs were directly charged to the Company by L Brands.</w:t>
      </w:r>
    </w:p>
    <w:p w14:paraId="60249CF9" w14:textId="77777777" w:rsidR="00D1587D" w:rsidRDefault="00D1587D">
      <w:pPr>
        <w:spacing w:line="84" w:lineRule="exact"/>
        <w:rPr>
          <w:sz w:val="20"/>
          <w:szCs w:val="20"/>
        </w:rPr>
      </w:pPr>
    </w:p>
    <w:p w14:paraId="77A6D64B" w14:textId="77777777" w:rsidR="00D1587D" w:rsidRDefault="00410D07">
      <w:pPr>
        <w:spacing w:line="284" w:lineRule="auto"/>
        <w:ind w:left="300" w:right="339" w:firstLine="360"/>
        <w:rPr>
          <w:sz w:val="20"/>
          <w:szCs w:val="20"/>
        </w:rPr>
      </w:pPr>
      <w:r>
        <w:rPr>
          <w:rFonts w:ascii="Arial" w:eastAsia="Arial" w:hAnsi="Arial" w:cs="Arial"/>
          <w:sz w:val="16"/>
          <w:szCs w:val="16"/>
        </w:rPr>
        <w:t>In addition, for purposes of preparing these combined financial statements on a “carve-out” basis, a portion of L Brands’ corporate expenses have been allocated to the C</w:t>
      </w:r>
      <w:r>
        <w:rPr>
          <w:rFonts w:ascii="Arial" w:eastAsia="Arial" w:hAnsi="Arial" w:cs="Arial"/>
          <w:sz w:val="16"/>
          <w:szCs w:val="16"/>
        </w:rPr>
        <w:t xml:space="preserve">ompany. These expense allocations include the cost of corporate functions and resources that continue to be provided by, or administered by, L Brands including, but not limited to, executive management and other corporate and governance functions, such as </w:t>
      </w:r>
      <w:r>
        <w:rPr>
          <w:rFonts w:ascii="Arial" w:eastAsia="Arial" w:hAnsi="Arial" w:cs="Arial"/>
          <w:sz w:val="16"/>
          <w:szCs w:val="16"/>
        </w:rPr>
        <w:t>corporate finance, internal audit, tax and treasury. The related employee payroll and benefit costs associated with such functions, such as share-based compensation, are included in the expense allocations. Corporate expenses of $77 million in 2020,</w:t>
      </w:r>
    </w:p>
    <w:p w14:paraId="5677F348" w14:textId="77777777" w:rsidR="00D1587D" w:rsidRDefault="00D1587D">
      <w:pPr>
        <w:spacing w:line="4" w:lineRule="exact"/>
        <w:rPr>
          <w:sz w:val="20"/>
          <w:szCs w:val="20"/>
        </w:rPr>
      </w:pPr>
    </w:p>
    <w:p w14:paraId="52BCEAB2" w14:textId="77777777" w:rsidR="00D1587D" w:rsidRDefault="00410D07">
      <w:pPr>
        <w:spacing w:line="260" w:lineRule="auto"/>
        <w:ind w:left="300" w:right="719"/>
        <w:rPr>
          <w:sz w:val="20"/>
          <w:szCs w:val="20"/>
        </w:rPr>
      </w:pPr>
      <w:r>
        <w:rPr>
          <w:rFonts w:ascii="Arial" w:eastAsia="Arial" w:hAnsi="Arial" w:cs="Arial"/>
          <w:sz w:val="18"/>
          <w:szCs w:val="18"/>
        </w:rPr>
        <w:t xml:space="preserve">$110 </w:t>
      </w:r>
      <w:r>
        <w:rPr>
          <w:rFonts w:ascii="Arial" w:eastAsia="Arial" w:hAnsi="Arial" w:cs="Arial"/>
          <w:sz w:val="18"/>
          <w:szCs w:val="18"/>
        </w:rPr>
        <w:t>million in 2019 and $118 million in 2018 were allocated and included within General, Administrative and Store Operating Expenses in the Combined Statements of Income (Loss).</w:t>
      </w:r>
    </w:p>
    <w:p w14:paraId="34848AD4" w14:textId="77777777" w:rsidR="00D1587D" w:rsidRDefault="00D1587D">
      <w:pPr>
        <w:spacing w:line="77" w:lineRule="exact"/>
        <w:rPr>
          <w:sz w:val="20"/>
          <w:szCs w:val="20"/>
        </w:rPr>
      </w:pPr>
    </w:p>
    <w:p w14:paraId="5BCEAA86" w14:textId="77777777" w:rsidR="00D1587D" w:rsidRDefault="00410D07">
      <w:pPr>
        <w:spacing w:line="269" w:lineRule="auto"/>
        <w:ind w:left="300" w:right="339" w:firstLine="360"/>
        <w:rPr>
          <w:sz w:val="20"/>
          <w:szCs w:val="20"/>
        </w:rPr>
      </w:pPr>
      <w:r>
        <w:rPr>
          <w:rFonts w:ascii="Arial" w:eastAsia="Arial" w:hAnsi="Arial" w:cs="Arial"/>
          <w:sz w:val="17"/>
          <w:szCs w:val="17"/>
        </w:rPr>
        <w:t xml:space="preserve">Costs were allocated to the Company based on direct usage when </w:t>
      </w:r>
      <w:r>
        <w:rPr>
          <w:rFonts w:ascii="Arial" w:eastAsia="Arial" w:hAnsi="Arial" w:cs="Arial"/>
          <w:sz w:val="17"/>
          <w:szCs w:val="17"/>
        </w:rPr>
        <w:t>identifiable or, when not directly identifiable, on the basis of proportional net sales. Management considers the basis on which the expenses have been allocated to reasonably reflect the utilization of services provided to, or the benefit received by, the</w:t>
      </w:r>
      <w:r>
        <w:rPr>
          <w:rFonts w:ascii="Arial" w:eastAsia="Arial" w:hAnsi="Arial" w:cs="Arial"/>
          <w:sz w:val="17"/>
          <w:szCs w:val="17"/>
        </w:rPr>
        <w:t xml:space="preserve"> Company during the periods presented. However, the allocations may not reflect the expenses the Company would have incurred if the Company had been a standalone company for the periods presented. Actual costs that may have been incurred if the Company had</w:t>
      </w:r>
      <w:r>
        <w:rPr>
          <w:rFonts w:ascii="Arial" w:eastAsia="Arial" w:hAnsi="Arial" w:cs="Arial"/>
          <w:sz w:val="17"/>
          <w:szCs w:val="17"/>
        </w:rPr>
        <w:t xml:space="preserve"> been a standalone company would depend on a number of factors, including the organizational structure, whether functions were outsourced or performed by employees, and strategic or capital decisions. Going forward, the Company may perform these functions </w:t>
      </w:r>
      <w:r>
        <w:rPr>
          <w:rFonts w:ascii="Arial" w:eastAsia="Arial" w:hAnsi="Arial" w:cs="Arial"/>
          <w:sz w:val="17"/>
          <w:szCs w:val="17"/>
        </w:rPr>
        <w:t>using its own resources or outsourced services. For a period following the planned separation, however, some of these functions may continue to be provided by L Brands under a transition services agreement, and the Company may provide some services to L Br</w:t>
      </w:r>
      <w:r>
        <w:rPr>
          <w:rFonts w:ascii="Arial" w:eastAsia="Arial" w:hAnsi="Arial" w:cs="Arial"/>
          <w:sz w:val="17"/>
          <w:szCs w:val="17"/>
        </w:rPr>
        <w:t>ands under a transition services agreement. The Company may also enter into certain commercial arrangements with L Brands in connection with the planned separation.</w:t>
      </w:r>
    </w:p>
    <w:p w14:paraId="2270C9C6" w14:textId="77777777" w:rsidR="00D1587D" w:rsidRDefault="00D1587D">
      <w:pPr>
        <w:spacing w:line="71" w:lineRule="exact"/>
        <w:rPr>
          <w:sz w:val="20"/>
          <w:szCs w:val="20"/>
        </w:rPr>
      </w:pPr>
    </w:p>
    <w:p w14:paraId="5BF96467" w14:textId="77777777" w:rsidR="00D1587D" w:rsidRDefault="00410D07">
      <w:pPr>
        <w:spacing w:line="291" w:lineRule="auto"/>
        <w:ind w:left="300" w:right="679" w:firstLine="360"/>
        <w:rPr>
          <w:sz w:val="20"/>
          <w:szCs w:val="20"/>
        </w:rPr>
      </w:pPr>
      <w:r>
        <w:rPr>
          <w:rFonts w:ascii="Arial" w:eastAsia="Arial" w:hAnsi="Arial" w:cs="Arial"/>
          <w:sz w:val="16"/>
          <w:szCs w:val="16"/>
        </w:rPr>
        <w:t xml:space="preserve">During the periods presented in these Combined Financial Statements, the Company’s income </w:t>
      </w:r>
      <w:r>
        <w:rPr>
          <w:rFonts w:ascii="Arial" w:eastAsia="Arial" w:hAnsi="Arial" w:cs="Arial"/>
          <w:sz w:val="16"/>
          <w:szCs w:val="16"/>
        </w:rPr>
        <w:t>tax expense (benefit) and deferred tax balances have been included in the L Brands’ income tax returns. Income tax expense</w:t>
      </w:r>
    </w:p>
    <w:p w14:paraId="098DBB75" w14:textId="77777777" w:rsidR="00D1587D" w:rsidRDefault="00410D07">
      <w:pPr>
        <w:spacing w:line="288" w:lineRule="auto"/>
        <w:ind w:left="300" w:right="319"/>
        <w:rPr>
          <w:sz w:val="20"/>
          <w:szCs w:val="20"/>
        </w:rPr>
      </w:pPr>
      <w:r>
        <w:rPr>
          <w:rFonts w:ascii="Arial" w:eastAsia="Arial" w:hAnsi="Arial" w:cs="Arial"/>
          <w:sz w:val="16"/>
          <w:szCs w:val="16"/>
        </w:rPr>
        <w:t>(benefit) and deferred tax balances contained in the Combined Financial Statements are presented on a separate return basis, as if th</w:t>
      </w:r>
      <w:r>
        <w:rPr>
          <w:rFonts w:ascii="Arial" w:eastAsia="Arial" w:hAnsi="Arial" w:cs="Arial"/>
          <w:sz w:val="16"/>
          <w:szCs w:val="16"/>
        </w:rPr>
        <w:t xml:space="preserve">e Company had filed its own income tax returns. As a result, actual tax transactions included in the consolidated financial statements of L Brands may or may not be included in the Combined Financial Statements of the Company. Similarly, the tax treatment </w:t>
      </w:r>
      <w:r>
        <w:rPr>
          <w:rFonts w:ascii="Arial" w:eastAsia="Arial" w:hAnsi="Arial" w:cs="Arial"/>
          <w:sz w:val="16"/>
          <w:szCs w:val="16"/>
        </w:rPr>
        <w:t>of certain items reflected in the Combined Financial Statements of the Company may or may not be reflected in the consolidated financial statements and income tax returns of L Brands. The taxes recorded in the Combined Statements of Income (Loss) are not n</w:t>
      </w:r>
      <w:r>
        <w:rPr>
          <w:rFonts w:ascii="Arial" w:eastAsia="Arial" w:hAnsi="Arial" w:cs="Arial"/>
          <w:sz w:val="16"/>
          <w:szCs w:val="16"/>
        </w:rPr>
        <w:t>ecessarily representative of the taxes that may arise in the future if the Company files its income tax returns independent from L Brands’ returns.</w:t>
      </w:r>
    </w:p>
    <w:p w14:paraId="1D5D2A88" w14:textId="77777777" w:rsidR="00D1587D" w:rsidRDefault="00D1587D">
      <w:pPr>
        <w:spacing w:line="276" w:lineRule="exact"/>
        <w:rPr>
          <w:sz w:val="20"/>
          <w:szCs w:val="20"/>
        </w:rPr>
      </w:pPr>
    </w:p>
    <w:p w14:paraId="1A3571A2" w14:textId="77777777" w:rsidR="00D1587D" w:rsidRDefault="00410D07">
      <w:pPr>
        <w:ind w:left="300"/>
        <w:rPr>
          <w:sz w:val="20"/>
          <w:szCs w:val="20"/>
        </w:rPr>
      </w:pPr>
      <w:r>
        <w:rPr>
          <w:rFonts w:ascii="Arial" w:eastAsia="Arial" w:hAnsi="Arial" w:cs="Arial"/>
          <w:b/>
          <w:bCs/>
          <w:i/>
          <w:iCs/>
          <w:sz w:val="18"/>
          <w:szCs w:val="18"/>
        </w:rPr>
        <w:t>Fiscal Year</w:t>
      </w:r>
    </w:p>
    <w:p w14:paraId="0F551F9B" w14:textId="77777777" w:rsidR="00D1587D" w:rsidRDefault="00D1587D">
      <w:pPr>
        <w:spacing w:line="117" w:lineRule="exact"/>
        <w:rPr>
          <w:sz w:val="20"/>
          <w:szCs w:val="20"/>
        </w:rPr>
      </w:pPr>
    </w:p>
    <w:p w14:paraId="4FAA4949" w14:textId="77777777" w:rsidR="00D1587D" w:rsidRDefault="00410D07">
      <w:pPr>
        <w:spacing w:line="342" w:lineRule="auto"/>
        <w:ind w:left="300" w:right="479" w:firstLine="360"/>
        <w:rPr>
          <w:sz w:val="20"/>
          <w:szCs w:val="20"/>
        </w:rPr>
      </w:pPr>
      <w:r>
        <w:rPr>
          <w:rFonts w:ascii="Arial" w:eastAsia="Arial" w:hAnsi="Arial" w:cs="Arial"/>
          <w:sz w:val="16"/>
          <w:szCs w:val="16"/>
        </w:rPr>
        <w:t xml:space="preserve">The Company’s fiscal year ends on the Saturday nearest to January 31. As used herein, “2020,” </w:t>
      </w:r>
      <w:r>
        <w:rPr>
          <w:rFonts w:ascii="Arial" w:eastAsia="Arial" w:hAnsi="Arial" w:cs="Arial"/>
          <w:sz w:val="16"/>
          <w:szCs w:val="16"/>
        </w:rPr>
        <w:t>“2019” and “2018” refer to the 52-week periods ended January 30, 2021, February 1, 2020 and February 2, 2019, respectively.</w:t>
      </w:r>
    </w:p>
    <w:p w14:paraId="52CA5667" w14:textId="77777777" w:rsidR="00D1587D" w:rsidRDefault="00D1587D">
      <w:pPr>
        <w:spacing w:line="218" w:lineRule="exact"/>
        <w:rPr>
          <w:sz w:val="20"/>
          <w:szCs w:val="20"/>
        </w:rPr>
      </w:pPr>
    </w:p>
    <w:p w14:paraId="376181F0" w14:textId="77777777" w:rsidR="00D1587D" w:rsidRDefault="00410D07">
      <w:pPr>
        <w:ind w:left="300"/>
        <w:rPr>
          <w:sz w:val="20"/>
          <w:szCs w:val="20"/>
        </w:rPr>
      </w:pPr>
      <w:r>
        <w:rPr>
          <w:rFonts w:ascii="Arial" w:eastAsia="Arial" w:hAnsi="Arial" w:cs="Arial"/>
          <w:b/>
          <w:bCs/>
          <w:i/>
          <w:iCs/>
          <w:sz w:val="18"/>
          <w:szCs w:val="18"/>
        </w:rPr>
        <w:t>Impacts of COVID-19</w:t>
      </w:r>
    </w:p>
    <w:p w14:paraId="32C2A9D5" w14:textId="77777777" w:rsidR="00D1587D" w:rsidRDefault="00D1587D">
      <w:pPr>
        <w:spacing w:line="117" w:lineRule="exact"/>
        <w:rPr>
          <w:sz w:val="20"/>
          <w:szCs w:val="20"/>
        </w:rPr>
      </w:pPr>
    </w:p>
    <w:p w14:paraId="70FA1B74" w14:textId="77777777" w:rsidR="00D1587D" w:rsidRDefault="00410D07">
      <w:pPr>
        <w:spacing w:line="269" w:lineRule="auto"/>
        <w:ind w:left="300" w:right="359" w:firstLine="360"/>
        <w:rPr>
          <w:sz w:val="20"/>
          <w:szCs w:val="20"/>
        </w:rPr>
      </w:pPr>
      <w:r>
        <w:rPr>
          <w:rFonts w:ascii="Arial" w:eastAsia="Arial" w:hAnsi="Arial" w:cs="Arial"/>
          <w:sz w:val="17"/>
          <w:szCs w:val="17"/>
        </w:rPr>
        <w:t>In March 2020, the coronavirus pandemic (“COVID-19”) was declared a global pandemic by the World Health Organi</w:t>
      </w:r>
      <w:r>
        <w:rPr>
          <w:rFonts w:ascii="Arial" w:eastAsia="Arial" w:hAnsi="Arial" w:cs="Arial"/>
          <w:sz w:val="17"/>
          <w:szCs w:val="17"/>
        </w:rPr>
        <w:t>zation. This pandemic has negatively affected the U.S. and global economies, disrupted global supply chains and financial markets, and led to significant travel and transportation restrictions, including mandatory closures and orders to “shelter-in-place.”</w:t>
      </w:r>
      <w:r>
        <w:rPr>
          <w:rFonts w:ascii="Arial" w:eastAsia="Arial" w:hAnsi="Arial" w:cs="Arial"/>
          <w:sz w:val="17"/>
          <w:szCs w:val="17"/>
        </w:rPr>
        <w:t xml:space="preserve"> The actions that governments around the world have taken to contain the spread of COVID-19 have resulted in a period of disruption, including closure of the Company’s stores, limited store operating hours, reduced customer traffic and consumer spending an</w:t>
      </w:r>
      <w:r>
        <w:rPr>
          <w:rFonts w:ascii="Arial" w:eastAsia="Arial" w:hAnsi="Arial" w:cs="Arial"/>
          <w:sz w:val="17"/>
          <w:szCs w:val="17"/>
        </w:rPr>
        <w:t>d delays in manufacturing and shipping of products and raw materials. During this period, the Company is focused on protecting the health and safety of its customers, employees, contractors, suppliers and other business partners. The Company is also workin</w:t>
      </w:r>
      <w:r>
        <w:rPr>
          <w:rFonts w:ascii="Arial" w:eastAsia="Arial" w:hAnsi="Arial" w:cs="Arial"/>
          <w:sz w:val="17"/>
          <w:szCs w:val="17"/>
        </w:rPr>
        <w:t>g with its suppliers to minimize potential disruptions, while managing the Company’s business in response to a changing dynamic.</w:t>
      </w:r>
    </w:p>
    <w:p w14:paraId="45FC317E" w14:textId="77777777" w:rsidR="00D1587D" w:rsidRDefault="00D1587D">
      <w:pPr>
        <w:spacing w:line="185" w:lineRule="exact"/>
        <w:rPr>
          <w:sz w:val="20"/>
          <w:szCs w:val="20"/>
        </w:rPr>
      </w:pPr>
    </w:p>
    <w:p w14:paraId="77038E74" w14:textId="77777777" w:rsidR="00D1587D" w:rsidRDefault="00410D07">
      <w:pPr>
        <w:ind w:right="19"/>
        <w:jc w:val="center"/>
        <w:rPr>
          <w:sz w:val="20"/>
          <w:szCs w:val="20"/>
        </w:rPr>
      </w:pPr>
      <w:r>
        <w:rPr>
          <w:rFonts w:ascii="Arial" w:eastAsia="Arial" w:hAnsi="Arial" w:cs="Arial"/>
          <w:sz w:val="18"/>
          <w:szCs w:val="18"/>
        </w:rPr>
        <w:t>F-8</w:t>
      </w:r>
    </w:p>
    <w:p w14:paraId="5E7CF69E" w14:textId="77777777" w:rsidR="00D1587D" w:rsidRDefault="00410D07">
      <w:pPr>
        <w:spacing w:line="20" w:lineRule="exact"/>
        <w:rPr>
          <w:sz w:val="20"/>
          <w:szCs w:val="20"/>
        </w:rPr>
      </w:pPr>
      <w:r>
        <w:rPr>
          <w:noProof/>
          <w:sz w:val="20"/>
          <w:szCs w:val="20"/>
        </w:rPr>
        <w:drawing>
          <wp:anchor distT="0" distB="0" distL="114300" distR="114300" simplePos="0" relativeHeight="252059648" behindDoc="1" locked="0" layoutInCell="0" allowOverlap="1" wp14:anchorId="434225C8" wp14:editId="5BB0321C">
            <wp:simplePos x="0" y="0"/>
            <wp:positionH relativeFrom="column">
              <wp:posOffset>-636905</wp:posOffset>
            </wp:positionH>
            <wp:positionV relativeFrom="paragraph">
              <wp:posOffset>126365</wp:posOffset>
            </wp:positionV>
            <wp:extent cx="6995160" cy="17145"/>
            <wp:effectExtent l="0" t="0" r="0" b="0"/>
            <wp:wrapNone/>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B0DFC9D" w14:textId="77777777" w:rsidR="00D1587D" w:rsidRDefault="00D1587D">
      <w:pPr>
        <w:sectPr w:rsidR="00D1587D">
          <w:pgSz w:w="11900" w:h="16838"/>
          <w:pgMar w:top="265" w:right="1440" w:bottom="1440" w:left="1440" w:header="0" w:footer="0" w:gutter="0"/>
          <w:cols w:space="720" w:equalWidth="0">
            <w:col w:w="9019"/>
          </w:cols>
        </w:sectPr>
      </w:pPr>
    </w:p>
    <w:bookmarkStart w:id="404" w:name="page405"/>
    <w:bookmarkEnd w:id="404"/>
    <w:p w14:paraId="62A0FE7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54FA0CE" w14:textId="77777777" w:rsidR="00D1587D" w:rsidRDefault="00D1587D">
      <w:pPr>
        <w:spacing w:line="131" w:lineRule="exact"/>
        <w:rPr>
          <w:sz w:val="20"/>
          <w:szCs w:val="20"/>
        </w:rPr>
      </w:pPr>
    </w:p>
    <w:p w14:paraId="6AD8DCCB" w14:textId="77777777" w:rsidR="00D1587D" w:rsidRDefault="00410D07">
      <w:pPr>
        <w:spacing w:line="254" w:lineRule="auto"/>
        <w:ind w:left="300" w:right="339" w:firstLine="360"/>
        <w:rPr>
          <w:sz w:val="20"/>
          <w:szCs w:val="20"/>
        </w:rPr>
      </w:pPr>
      <w:r>
        <w:rPr>
          <w:rFonts w:ascii="Arial" w:eastAsia="Arial" w:hAnsi="Arial" w:cs="Arial"/>
          <w:sz w:val="18"/>
          <w:szCs w:val="18"/>
        </w:rPr>
        <w:t xml:space="preserve">The Company’s business operations and </w:t>
      </w:r>
      <w:r>
        <w:rPr>
          <w:rFonts w:ascii="Arial" w:eastAsia="Arial" w:hAnsi="Arial" w:cs="Arial"/>
          <w:sz w:val="18"/>
          <w:szCs w:val="18"/>
        </w:rPr>
        <w:t>financial performance for 2020 were materially impacted by the COVID-19 pandemic. All of the Company’s stores in North America were closed on March 17, 2020, but the Company was able to re-open the majority of its stores as of the beginning of August. Oper</w:t>
      </w:r>
      <w:r>
        <w:rPr>
          <w:rFonts w:ascii="Arial" w:eastAsia="Arial" w:hAnsi="Arial" w:cs="Arial"/>
          <w:sz w:val="18"/>
          <w:szCs w:val="18"/>
        </w:rPr>
        <w:t>ations for the direct business were temporarily suspended for approximately one week in late March 2020. The Company has dedicated resources to maximize capacity in its direct fulfillment centers to meet increased customer demand, while focusing on distrib</w:t>
      </w:r>
      <w:r>
        <w:rPr>
          <w:rFonts w:ascii="Arial" w:eastAsia="Arial" w:hAnsi="Arial" w:cs="Arial"/>
          <w:sz w:val="18"/>
          <w:szCs w:val="18"/>
        </w:rPr>
        <w:t>ution, fulfillment and call center safety. There remains a high level of uncertainty around the pandemic and the potential for further restrictions.</w:t>
      </w:r>
    </w:p>
    <w:p w14:paraId="1C9B4F69" w14:textId="77777777" w:rsidR="00D1587D" w:rsidRDefault="00D1587D">
      <w:pPr>
        <w:spacing w:line="87" w:lineRule="exact"/>
        <w:rPr>
          <w:sz w:val="20"/>
          <w:szCs w:val="20"/>
        </w:rPr>
      </w:pPr>
    </w:p>
    <w:p w14:paraId="0D4225C5" w14:textId="77777777" w:rsidR="00D1587D" w:rsidRDefault="00410D07">
      <w:pPr>
        <w:spacing w:line="277" w:lineRule="auto"/>
        <w:ind w:left="300" w:right="939" w:firstLine="360"/>
        <w:rPr>
          <w:sz w:val="20"/>
          <w:szCs w:val="20"/>
        </w:rPr>
      </w:pPr>
      <w:r>
        <w:rPr>
          <w:rFonts w:ascii="Arial" w:eastAsia="Arial" w:hAnsi="Arial" w:cs="Arial"/>
          <w:sz w:val="18"/>
          <w:szCs w:val="18"/>
        </w:rPr>
        <w:t>In response to the global COVID-19 crisis, L Brands and the Company took prudent actions to manage expense</w:t>
      </w:r>
      <w:r>
        <w:rPr>
          <w:rFonts w:ascii="Arial" w:eastAsia="Arial" w:hAnsi="Arial" w:cs="Arial"/>
          <w:sz w:val="18"/>
          <w:szCs w:val="18"/>
        </w:rPr>
        <w:t>s and to preserve its cash. The Company:</w:t>
      </w:r>
    </w:p>
    <w:p w14:paraId="3DAFBA01" w14:textId="77777777" w:rsidR="00D1587D" w:rsidRDefault="00D1587D">
      <w:pPr>
        <w:spacing w:line="62" w:lineRule="exact"/>
        <w:rPr>
          <w:sz w:val="20"/>
          <w:szCs w:val="20"/>
        </w:rPr>
      </w:pPr>
    </w:p>
    <w:p w14:paraId="197F7E20" w14:textId="77777777" w:rsidR="00D1587D" w:rsidRDefault="00410D07" w:rsidP="00410D07">
      <w:pPr>
        <w:numPr>
          <w:ilvl w:val="0"/>
          <w:numId w:val="342"/>
        </w:numPr>
        <w:tabs>
          <w:tab w:val="left" w:pos="1000"/>
        </w:tabs>
        <w:spacing w:line="277" w:lineRule="auto"/>
        <w:ind w:left="1000" w:right="339" w:hanging="348"/>
        <w:rPr>
          <w:rFonts w:ascii="Arial" w:eastAsia="Arial" w:hAnsi="Arial" w:cs="Arial"/>
          <w:sz w:val="18"/>
          <w:szCs w:val="18"/>
        </w:rPr>
      </w:pPr>
      <w:r>
        <w:rPr>
          <w:rFonts w:ascii="Arial" w:eastAsia="Arial" w:hAnsi="Arial" w:cs="Arial"/>
          <w:sz w:val="18"/>
          <w:szCs w:val="18"/>
        </w:rPr>
        <w:t>Furloughed most store associates as of April 5, 2020 during the temporary store closures, while continuing to provide healthcare benefits for eligible associates;</w:t>
      </w:r>
    </w:p>
    <w:p w14:paraId="4B164939" w14:textId="77777777" w:rsidR="00D1587D" w:rsidRDefault="00D1587D">
      <w:pPr>
        <w:spacing w:line="62" w:lineRule="exact"/>
        <w:rPr>
          <w:rFonts w:ascii="Arial" w:eastAsia="Arial" w:hAnsi="Arial" w:cs="Arial"/>
          <w:sz w:val="18"/>
          <w:szCs w:val="18"/>
        </w:rPr>
      </w:pPr>
    </w:p>
    <w:p w14:paraId="3103E101" w14:textId="77777777" w:rsidR="00D1587D" w:rsidRDefault="00410D07" w:rsidP="00410D07">
      <w:pPr>
        <w:numPr>
          <w:ilvl w:val="0"/>
          <w:numId w:val="342"/>
        </w:numPr>
        <w:tabs>
          <w:tab w:val="left" w:pos="1000"/>
        </w:tabs>
        <w:ind w:left="1000" w:hanging="348"/>
        <w:rPr>
          <w:rFonts w:ascii="Arial" w:eastAsia="Arial" w:hAnsi="Arial" w:cs="Arial"/>
          <w:sz w:val="18"/>
          <w:szCs w:val="18"/>
        </w:rPr>
      </w:pPr>
      <w:r>
        <w:rPr>
          <w:rFonts w:ascii="Arial" w:eastAsia="Arial" w:hAnsi="Arial" w:cs="Arial"/>
          <w:sz w:val="18"/>
          <w:szCs w:val="18"/>
        </w:rPr>
        <w:t>Suspended associate merit increases;</w:t>
      </w:r>
    </w:p>
    <w:p w14:paraId="7CDBC045" w14:textId="77777777" w:rsidR="00D1587D" w:rsidRDefault="00D1587D">
      <w:pPr>
        <w:spacing w:line="117" w:lineRule="exact"/>
        <w:rPr>
          <w:rFonts w:ascii="Arial" w:eastAsia="Arial" w:hAnsi="Arial" w:cs="Arial"/>
          <w:sz w:val="18"/>
          <w:szCs w:val="18"/>
        </w:rPr>
      </w:pPr>
    </w:p>
    <w:p w14:paraId="156C2043" w14:textId="77777777" w:rsidR="00D1587D" w:rsidRDefault="00410D07" w:rsidP="00410D07">
      <w:pPr>
        <w:numPr>
          <w:ilvl w:val="0"/>
          <w:numId w:val="342"/>
        </w:numPr>
        <w:tabs>
          <w:tab w:val="left" w:pos="1000"/>
        </w:tabs>
        <w:ind w:left="1000" w:hanging="348"/>
        <w:rPr>
          <w:rFonts w:ascii="Arial" w:eastAsia="Arial" w:hAnsi="Arial" w:cs="Arial"/>
          <w:sz w:val="18"/>
          <w:szCs w:val="18"/>
        </w:rPr>
      </w:pPr>
      <w:r>
        <w:rPr>
          <w:rFonts w:ascii="Arial" w:eastAsia="Arial" w:hAnsi="Arial" w:cs="Arial"/>
          <w:sz w:val="18"/>
          <w:szCs w:val="18"/>
        </w:rPr>
        <w:t>Temporarily reduced salaries for senior vice presidents and above by 20%;</w:t>
      </w:r>
    </w:p>
    <w:p w14:paraId="701E744B" w14:textId="77777777" w:rsidR="00D1587D" w:rsidRDefault="00D1587D">
      <w:pPr>
        <w:spacing w:line="117" w:lineRule="exact"/>
        <w:rPr>
          <w:rFonts w:ascii="Arial" w:eastAsia="Arial" w:hAnsi="Arial" w:cs="Arial"/>
          <w:sz w:val="18"/>
          <w:szCs w:val="18"/>
        </w:rPr>
      </w:pPr>
    </w:p>
    <w:p w14:paraId="5B6045CC" w14:textId="77777777" w:rsidR="00D1587D" w:rsidRDefault="00410D07" w:rsidP="00410D07">
      <w:pPr>
        <w:numPr>
          <w:ilvl w:val="0"/>
          <w:numId w:val="342"/>
        </w:numPr>
        <w:tabs>
          <w:tab w:val="left" w:pos="1000"/>
        </w:tabs>
        <w:ind w:left="1000" w:hanging="348"/>
        <w:rPr>
          <w:rFonts w:ascii="Arial" w:eastAsia="Arial" w:hAnsi="Arial" w:cs="Arial"/>
          <w:sz w:val="18"/>
          <w:szCs w:val="18"/>
        </w:rPr>
      </w:pPr>
      <w:r>
        <w:rPr>
          <w:rFonts w:ascii="Arial" w:eastAsia="Arial" w:hAnsi="Arial" w:cs="Arial"/>
          <w:sz w:val="18"/>
          <w:szCs w:val="18"/>
        </w:rPr>
        <w:t>Reduced fiscal 2020 capital expenditures;</w:t>
      </w:r>
    </w:p>
    <w:p w14:paraId="17629A53" w14:textId="77777777" w:rsidR="00D1587D" w:rsidRDefault="00D1587D">
      <w:pPr>
        <w:spacing w:line="117" w:lineRule="exact"/>
        <w:rPr>
          <w:rFonts w:ascii="Arial" w:eastAsia="Arial" w:hAnsi="Arial" w:cs="Arial"/>
          <w:sz w:val="18"/>
          <w:szCs w:val="18"/>
        </w:rPr>
      </w:pPr>
    </w:p>
    <w:p w14:paraId="3CC71541" w14:textId="77777777" w:rsidR="00D1587D" w:rsidRDefault="00410D07" w:rsidP="00410D07">
      <w:pPr>
        <w:numPr>
          <w:ilvl w:val="0"/>
          <w:numId w:val="342"/>
        </w:numPr>
        <w:tabs>
          <w:tab w:val="left" w:pos="1000"/>
        </w:tabs>
        <w:ind w:left="1000" w:hanging="348"/>
        <w:rPr>
          <w:rFonts w:ascii="Arial" w:eastAsia="Arial" w:hAnsi="Arial" w:cs="Arial"/>
          <w:sz w:val="18"/>
          <w:szCs w:val="18"/>
        </w:rPr>
      </w:pPr>
      <w:r>
        <w:rPr>
          <w:rFonts w:ascii="Arial" w:eastAsia="Arial" w:hAnsi="Arial" w:cs="Arial"/>
          <w:sz w:val="18"/>
          <w:szCs w:val="18"/>
        </w:rPr>
        <w:t>Actively managed inventory to adjust for the impact of channel shifts to meet customer demand;</w:t>
      </w:r>
    </w:p>
    <w:p w14:paraId="3C8733CF" w14:textId="77777777" w:rsidR="00D1587D" w:rsidRDefault="00D1587D">
      <w:pPr>
        <w:spacing w:line="117" w:lineRule="exact"/>
        <w:rPr>
          <w:rFonts w:ascii="Arial" w:eastAsia="Arial" w:hAnsi="Arial" w:cs="Arial"/>
          <w:sz w:val="18"/>
          <w:szCs w:val="18"/>
        </w:rPr>
      </w:pPr>
    </w:p>
    <w:p w14:paraId="29DB53D5" w14:textId="77777777" w:rsidR="00D1587D" w:rsidRDefault="00410D07" w:rsidP="00410D07">
      <w:pPr>
        <w:numPr>
          <w:ilvl w:val="0"/>
          <w:numId w:val="342"/>
        </w:numPr>
        <w:tabs>
          <w:tab w:val="left" w:pos="1000"/>
        </w:tabs>
        <w:spacing w:line="259" w:lineRule="auto"/>
        <w:ind w:left="1000" w:right="539" w:hanging="348"/>
        <w:rPr>
          <w:rFonts w:ascii="Arial" w:eastAsia="Arial" w:hAnsi="Arial" w:cs="Arial"/>
          <w:sz w:val="18"/>
          <w:szCs w:val="18"/>
        </w:rPr>
      </w:pPr>
      <w:r>
        <w:rPr>
          <w:rFonts w:ascii="Arial" w:eastAsia="Arial" w:hAnsi="Arial" w:cs="Arial"/>
          <w:sz w:val="18"/>
          <w:szCs w:val="18"/>
        </w:rPr>
        <w:t xml:space="preserve">Suspended many store and select </w:t>
      </w:r>
      <w:r>
        <w:rPr>
          <w:rFonts w:ascii="Arial" w:eastAsia="Arial" w:hAnsi="Arial" w:cs="Arial"/>
          <w:sz w:val="18"/>
          <w:szCs w:val="18"/>
        </w:rPr>
        <w:t>office rent payments during the temporary closures. The Company completed negotiations with the majority of landlords, leading to a combination of rent waivers or abatements relating to closure periods, rent relief relating to the post-reopening “recovery”</w:t>
      </w:r>
      <w:r>
        <w:rPr>
          <w:rFonts w:ascii="Arial" w:eastAsia="Arial" w:hAnsi="Arial" w:cs="Arial"/>
          <w:sz w:val="18"/>
          <w:szCs w:val="18"/>
        </w:rPr>
        <w:t xml:space="preserve"> period given traffic declines, and rent deferrals; and</w:t>
      </w:r>
    </w:p>
    <w:p w14:paraId="5E2BDEBB" w14:textId="77777777" w:rsidR="00D1587D" w:rsidRDefault="00D1587D">
      <w:pPr>
        <w:spacing w:line="78" w:lineRule="exact"/>
        <w:rPr>
          <w:rFonts w:ascii="Arial" w:eastAsia="Arial" w:hAnsi="Arial" w:cs="Arial"/>
          <w:sz w:val="18"/>
          <w:szCs w:val="18"/>
        </w:rPr>
      </w:pPr>
    </w:p>
    <w:p w14:paraId="540C894B" w14:textId="77777777" w:rsidR="00D1587D" w:rsidRDefault="00410D07" w:rsidP="00410D07">
      <w:pPr>
        <w:numPr>
          <w:ilvl w:val="0"/>
          <w:numId w:val="342"/>
        </w:numPr>
        <w:tabs>
          <w:tab w:val="left" w:pos="1000"/>
        </w:tabs>
        <w:ind w:left="1000" w:hanging="348"/>
        <w:rPr>
          <w:rFonts w:ascii="Arial" w:eastAsia="Arial" w:hAnsi="Arial" w:cs="Arial"/>
          <w:sz w:val="18"/>
          <w:szCs w:val="18"/>
        </w:rPr>
      </w:pPr>
      <w:r>
        <w:rPr>
          <w:rFonts w:ascii="Arial" w:eastAsia="Arial" w:hAnsi="Arial" w:cs="Arial"/>
          <w:sz w:val="18"/>
          <w:szCs w:val="18"/>
        </w:rPr>
        <w:t>Extended payment terms to vendors.</w:t>
      </w:r>
    </w:p>
    <w:p w14:paraId="7FFBE885" w14:textId="77777777" w:rsidR="00D1587D" w:rsidRDefault="00D1587D">
      <w:pPr>
        <w:spacing w:line="117" w:lineRule="exact"/>
        <w:rPr>
          <w:sz w:val="20"/>
          <w:szCs w:val="20"/>
        </w:rPr>
      </w:pPr>
    </w:p>
    <w:p w14:paraId="7E143431" w14:textId="77777777" w:rsidR="00D1587D" w:rsidRDefault="00410D07">
      <w:pPr>
        <w:spacing w:line="259" w:lineRule="auto"/>
        <w:ind w:left="300" w:right="439" w:firstLine="360"/>
        <w:rPr>
          <w:sz w:val="20"/>
          <w:szCs w:val="20"/>
        </w:rPr>
      </w:pPr>
      <w:r>
        <w:rPr>
          <w:rFonts w:ascii="Arial" w:eastAsia="Arial" w:hAnsi="Arial" w:cs="Arial"/>
          <w:sz w:val="18"/>
          <w:szCs w:val="18"/>
        </w:rPr>
        <w:t>On March 27, 2020, the U.S. government enacted the Coronavirus Aid, Relief, and Economic Security Act, which, among other things, provided employer payroll tax cre</w:t>
      </w:r>
      <w:r>
        <w:rPr>
          <w:rFonts w:ascii="Arial" w:eastAsia="Arial" w:hAnsi="Arial" w:cs="Arial"/>
          <w:sz w:val="18"/>
          <w:szCs w:val="18"/>
        </w:rPr>
        <w:t>dits for wages paid to employees who were unable to work during the coronavirus outbreak and options to defer payroll tax payments. During fiscal 2020, the Company recognized $28 million of qualified payroll tax credits.</w:t>
      </w:r>
    </w:p>
    <w:p w14:paraId="682341FF" w14:textId="77777777" w:rsidR="00D1587D" w:rsidRDefault="00D1587D">
      <w:pPr>
        <w:spacing w:line="214" w:lineRule="exact"/>
        <w:rPr>
          <w:sz w:val="20"/>
          <w:szCs w:val="20"/>
        </w:rPr>
      </w:pPr>
    </w:p>
    <w:p w14:paraId="2BA7B9C4" w14:textId="77777777" w:rsidR="00D1587D" w:rsidRDefault="00410D07">
      <w:pPr>
        <w:ind w:left="300"/>
        <w:rPr>
          <w:sz w:val="20"/>
          <w:szCs w:val="20"/>
        </w:rPr>
      </w:pPr>
      <w:r>
        <w:rPr>
          <w:rFonts w:ascii="Arial" w:eastAsia="Arial" w:hAnsi="Arial" w:cs="Arial"/>
          <w:b/>
          <w:bCs/>
          <w:i/>
          <w:iCs/>
          <w:sz w:val="18"/>
          <w:szCs w:val="18"/>
        </w:rPr>
        <w:t>Cash and Cash Equivalents</w:t>
      </w:r>
    </w:p>
    <w:p w14:paraId="5C8E5DC8" w14:textId="77777777" w:rsidR="00D1587D" w:rsidRDefault="00D1587D">
      <w:pPr>
        <w:spacing w:line="117" w:lineRule="exact"/>
        <w:rPr>
          <w:sz w:val="20"/>
          <w:szCs w:val="20"/>
        </w:rPr>
      </w:pPr>
    </w:p>
    <w:p w14:paraId="5CB0A9BB" w14:textId="77777777" w:rsidR="00D1587D" w:rsidRDefault="00410D07">
      <w:pPr>
        <w:spacing w:line="259" w:lineRule="auto"/>
        <w:ind w:left="300" w:right="339" w:firstLine="360"/>
        <w:rPr>
          <w:sz w:val="20"/>
          <w:szCs w:val="20"/>
        </w:rPr>
      </w:pPr>
      <w:r>
        <w:rPr>
          <w:rFonts w:ascii="Arial" w:eastAsia="Arial" w:hAnsi="Arial" w:cs="Arial"/>
          <w:sz w:val="18"/>
          <w:szCs w:val="18"/>
        </w:rPr>
        <w:t>Cash an</w:t>
      </w:r>
      <w:r>
        <w:rPr>
          <w:rFonts w:ascii="Arial" w:eastAsia="Arial" w:hAnsi="Arial" w:cs="Arial"/>
          <w:sz w:val="18"/>
          <w:szCs w:val="18"/>
        </w:rPr>
        <w:t>d Cash Equivalents include cash on hand, demand deposits with financial institutions and highly liquid investments with original maturities of less than 90 days. The Company’s Cash and Cash Equivalents are considered Level 1 fair value measurements as they</w:t>
      </w:r>
      <w:r>
        <w:rPr>
          <w:rFonts w:ascii="Arial" w:eastAsia="Arial" w:hAnsi="Arial" w:cs="Arial"/>
          <w:sz w:val="18"/>
          <w:szCs w:val="18"/>
        </w:rPr>
        <w:t xml:space="preserve"> are valued using unadjusted quoted prices in active markets for identical assets.</w:t>
      </w:r>
    </w:p>
    <w:p w14:paraId="006C503E" w14:textId="77777777" w:rsidR="00D1587D" w:rsidRDefault="00D1587D">
      <w:pPr>
        <w:spacing w:line="200" w:lineRule="exact"/>
        <w:rPr>
          <w:sz w:val="20"/>
          <w:szCs w:val="20"/>
        </w:rPr>
      </w:pPr>
    </w:p>
    <w:p w14:paraId="564EFDD0" w14:textId="77777777" w:rsidR="00D1587D" w:rsidRDefault="00410D07">
      <w:pPr>
        <w:ind w:left="300"/>
        <w:rPr>
          <w:sz w:val="20"/>
          <w:szCs w:val="20"/>
        </w:rPr>
      </w:pPr>
      <w:r>
        <w:rPr>
          <w:rFonts w:ascii="Arial" w:eastAsia="Arial" w:hAnsi="Arial" w:cs="Arial"/>
          <w:b/>
          <w:bCs/>
          <w:i/>
          <w:iCs/>
          <w:sz w:val="18"/>
          <w:szCs w:val="18"/>
        </w:rPr>
        <w:t>Concentration of Credit Risk</w:t>
      </w:r>
    </w:p>
    <w:p w14:paraId="2F6C039C" w14:textId="77777777" w:rsidR="00D1587D" w:rsidRDefault="00D1587D">
      <w:pPr>
        <w:spacing w:line="117" w:lineRule="exact"/>
        <w:rPr>
          <w:sz w:val="20"/>
          <w:szCs w:val="20"/>
        </w:rPr>
      </w:pPr>
    </w:p>
    <w:p w14:paraId="5DD33DF4" w14:textId="77777777" w:rsidR="00D1587D" w:rsidRDefault="00410D07">
      <w:pPr>
        <w:spacing w:line="286" w:lineRule="auto"/>
        <w:ind w:left="300" w:right="439" w:firstLine="360"/>
        <w:rPr>
          <w:sz w:val="20"/>
          <w:szCs w:val="20"/>
        </w:rPr>
      </w:pPr>
      <w:r>
        <w:rPr>
          <w:rFonts w:ascii="Arial" w:eastAsia="Arial" w:hAnsi="Arial" w:cs="Arial"/>
          <w:sz w:val="17"/>
          <w:szCs w:val="17"/>
        </w:rPr>
        <w:t>The Company maintains Cash and Cash Equivalents and derivative contracts with various major financial institutions. L Brands, on behalf of the</w:t>
      </w:r>
      <w:r>
        <w:rPr>
          <w:rFonts w:ascii="Arial" w:eastAsia="Arial" w:hAnsi="Arial" w:cs="Arial"/>
          <w:sz w:val="17"/>
          <w:szCs w:val="17"/>
        </w:rPr>
        <w:t xml:space="preserve"> Company, monitors the relative credit standing of financial institutions with whom the Company transacts and limits the amount of credit exposure with any one entity.</w:t>
      </w:r>
    </w:p>
    <w:p w14:paraId="0BFCA205" w14:textId="77777777" w:rsidR="00D1587D" w:rsidRDefault="00D1587D">
      <w:pPr>
        <w:spacing w:line="57" w:lineRule="exact"/>
        <w:rPr>
          <w:sz w:val="20"/>
          <w:szCs w:val="20"/>
        </w:rPr>
      </w:pPr>
    </w:p>
    <w:p w14:paraId="75E04E43" w14:textId="77777777" w:rsidR="00D1587D" w:rsidRDefault="00410D07">
      <w:pPr>
        <w:spacing w:line="257" w:lineRule="auto"/>
        <w:ind w:left="300" w:right="359" w:firstLine="360"/>
        <w:rPr>
          <w:sz w:val="20"/>
          <w:szCs w:val="20"/>
        </w:rPr>
      </w:pPr>
      <w:r>
        <w:rPr>
          <w:rFonts w:ascii="Arial" w:eastAsia="Arial" w:hAnsi="Arial" w:cs="Arial"/>
          <w:sz w:val="18"/>
          <w:szCs w:val="18"/>
        </w:rPr>
        <w:t xml:space="preserve">The Company also periodically reviews the relative credit standing of </w:t>
      </w:r>
      <w:r>
        <w:rPr>
          <w:rFonts w:ascii="Arial" w:eastAsia="Arial" w:hAnsi="Arial" w:cs="Arial"/>
          <w:sz w:val="18"/>
          <w:szCs w:val="18"/>
        </w:rPr>
        <w:t>franchise, license and wholesale partners and other entities to which the Company grants credit terms in the normal course of business. The Company determines the required allowance for expected credit losses using information such as customer credit histo</w:t>
      </w:r>
      <w:r>
        <w:rPr>
          <w:rFonts w:ascii="Arial" w:eastAsia="Arial" w:hAnsi="Arial" w:cs="Arial"/>
          <w:sz w:val="18"/>
          <w:szCs w:val="18"/>
        </w:rPr>
        <w:t>ry and financial condition. Amounts are charged against the allowance when it is determined that expected credit losses may occur.</w:t>
      </w:r>
    </w:p>
    <w:p w14:paraId="3927663D" w14:textId="77777777" w:rsidR="00D1587D" w:rsidRDefault="00D1587D">
      <w:pPr>
        <w:spacing w:line="201" w:lineRule="exact"/>
        <w:rPr>
          <w:sz w:val="20"/>
          <w:szCs w:val="20"/>
        </w:rPr>
      </w:pPr>
    </w:p>
    <w:p w14:paraId="3789FC6A" w14:textId="77777777" w:rsidR="00D1587D" w:rsidRDefault="00410D07">
      <w:pPr>
        <w:ind w:left="300"/>
        <w:rPr>
          <w:sz w:val="20"/>
          <w:szCs w:val="20"/>
        </w:rPr>
      </w:pPr>
      <w:r>
        <w:rPr>
          <w:rFonts w:ascii="Arial" w:eastAsia="Arial" w:hAnsi="Arial" w:cs="Arial"/>
          <w:b/>
          <w:bCs/>
          <w:i/>
          <w:iCs/>
          <w:sz w:val="18"/>
          <w:szCs w:val="18"/>
        </w:rPr>
        <w:t>Inventories</w:t>
      </w:r>
    </w:p>
    <w:p w14:paraId="43A54892" w14:textId="77777777" w:rsidR="00D1587D" w:rsidRDefault="00D1587D">
      <w:pPr>
        <w:spacing w:line="131" w:lineRule="exact"/>
        <w:rPr>
          <w:sz w:val="20"/>
          <w:szCs w:val="20"/>
        </w:rPr>
      </w:pPr>
    </w:p>
    <w:p w14:paraId="36DDEF9E" w14:textId="77777777" w:rsidR="00D1587D" w:rsidRDefault="00410D07">
      <w:pPr>
        <w:ind w:left="660"/>
        <w:rPr>
          <w:sz w:val="20"/>
          <w:szCs w:val="20"/>
        </w:rPr>
      </w:pPr>
      <w:r>
        <w:rPr>
          <w:rFonts w:ascii="Arial" w:eastAsia="Arial" w:hAnsi="Arial" w:cs="Arial"/>
          <w:sz w:val="17"/>
          <w:szCs w:val="17"/>
        </w:rPr>
        <w:t>Inventories are principally valued at the lower of cost or net realizable value, on an average cost basis.</w:t>
      </w:r>
    </w:p>
    <w:p w14:paraId="7B3E4D6C" w14:textId="77777777" w:rsidR="00D1587D" w:rsidRDefault="00D1587D">
      <w:pPr>
        <w:spacing w:line="129" w:lineRule="exact"/>
        <w:rPr>
          <w:sz w:val="20"/>
          <w:szCs w:val="20"/>
        </w:rPr>
      </w:pPr>
    </w:p>
    <w:p w14:paraId="202D1DF3" w14:textId="77777777" w:rsidR="00D1587D" w:rsidRDefault="00410D07">
      <w:pPr>
        <w:spacing w:line="311" w:lineRule="auto"/>
        <w:ind w:left="300" w:right="719" w:firstLine="360"/>
        <w:rPr>
          <w:sz w:val="20"/>
          <w:szCs w:val="20"/>
        </w:rPr>
      </w:pPr>
      <w:r>
        <w:rPr>
          <w:rFonts w:ascii="Arial" w:eastAsia="Arial" w:hAnsi="Arial" w:cs="Arial"/>
          <w:sz w:val="16"/>
          <w:szCs w:val="16"/>
        </w:rPr>
        <w:t>The</w:t>
      </w:r>
      <w:r>
        <w:rPr>
          <w:rFonts w:ascii="Arial" w:eastAsia="Arial" w:hAnsi="Arial" w:cs="Arial"/>
          <w:sz w:val="16"/>
          <w:szCs w:val="16"/>
        </w:rPr>
        <w:t xml:space="preserve"> Company records valuation adjustments to its inventories if the cost of inventory on hand exceeds the amount it expects to realize from the ultimate sale or disposal of the inventory. These estimates are based on management’s judgment regarding future dem</w:t>
      </w:r>
      <w:r>
        <w:rPr>
          <w:rFonts w:ascii="Arial" w:eastAsia="Arial" w:hAnsi="Arial" w:cs="Arial"/>
          <w:sz w:val="16"/>
          <w:szCs w:val="16"/>
        </w:rPr>
        <w:t>and and market conditions and analysis of historical experience.</w:t>
      </w:r>
    </w:p>
    <w:p w14:paraId="7DE2B489" w14:textId="77777777" w:rsidR="00D1587D" w:rsidRDefault="00D1587D">
      <w:pPr>
        <w:spacing w:line="41" w:lineRule="exact"/>
        <w:rPr>
          <w:sz w:val="20"/>
          <w:szCs w:val="20"/>
        </w:rPr>
      </w:pPr>
    </w:p>
    <w:p w14:paraId="7D34F3FC" w14:textId="77777777" w:rsidR="00D1587D" w:rsidRDefault="00410D07">
      <w:pPr>
        <w:spacing w:line="263" w:lineRule="auto"/>
        <w:ind w:left="300" w:right="879" w:firstLine="360"/>
        <w:jc w:val="both"/>
        <w:rPr>
          <w:sz w:val="20"/>
          <w:szCs w:val="20"/>
        </w:rPr>
      </w:pPr>
      <w:r>
        <w:rPr>
          <w:rFonts w:ascii="Arial" w:eastAsia="Arial" w:hAnsi="Arial" w:cs="Arial"/>
          <w:sz w:val="18"/>
          <w:szCs w:val="18"/>
        </w:rPr>
        <w:t>The Company also records inventory loss adjustments for estimated physical inventory losses that have occurred since the date of the last physical inventory. These estimates are based on man</w:t>
      </w:r>
      <w:r>
        <w:rPr>
          <w:rFonts w:ascii="Arial" w:eastAsia="Arial" w:hAnsi="Arial" w:cs="Arial"/>
          <w:sz w:val="18"/>
          <w:szCs w:val="18"/>
        </w:rPr>
        <w:t>agement’s analysis of historical results and operating trends.</w:t>
      </w:r>
    </w:p>
    <w:p w14:paraId="73811370" w14:textId="77777777" w:rsidR="00D1587D" w:rsidRDefault="00D1587D">
      <w:pPr>
        <w:spacing w:line="184" w:lineRule="exact"/>
        <w:rPr>
          <w:sz w:val="20"/>
          <w:szCs w:val="20"/>
        </w:rPr>
      </w:pPr>
    </w:p>
    <w:p w14:paraId="39D3AA7F" w14:textId="77777777" w:rsidR="00D1587D" w:rsidRDefault="00410D07">
      <w:pPr>
        <w:ind w:right="19"/>
        <w:jc w:val="center"/>
        <w:rPr>
          <w:sz w:val="20"/>
          <w:szCs w:val="20"/>
        </w:rPr>
      </w:pPr>
      <w:r>
        <w:rPr>
          <w:rFonts w:ascii="Arial" w:eastAsia="Arial" w:hAnsi="Arial" w:cs="Arial"/>
          <w:sz w:val="18"/>
          <w:szCs w:val="18"/>
        </w:rPr>
        <w:t>F-9</w:t>
      </w:r>
    </w:p>
    <w:p w14:paraId="084098E4" w14:textId="77777777" w:rsidR="00D1587D" w:rsidRDefault="00410D07">
      <w:pPr>
        <w:spacing w:line="20" w:lineRule="exact"/>
        <w:rPr>
          <w:sz w:val="20"/>
          <w:szCs w:val="20"/>
        </w:rPr>
      </w:pPr>
      <w:r>
        <w:rPr>
          <w:noProof/>
          <w:sz w:val="20"/>
          <w:szCs w:val="20"/>
        </w:rPr>
        <w:drawing>
          <wp:anchor distT="0" distB="0" distL="114300" distR="114300" simplePos="0" relativeHeight="252060672" behindDoc="1" locked="0" layoutInCell="0" allowOverlap="1" wp14:anchorId="117F4ED1" wp14:editId="5BFF57F4">
            <wp:simplePos x="0" y="0"/>
            <wp:positionH relativeFrom="column">
              <wp:posOffset>-636905</wp:posOffset>
            </wp:positionH>
            <wp:positionV relativeFrom="paragraph">
              <wp:posOffset>126365</wp:posOffset>
            </wp:positionV>
            <wp:extent cx="6995160" cy="17145"/>
            <wp:effectExtent l="0" t="0" r="0" b="0"/>
            <wp:wrapNone/>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13612A2" w14:textId="77777777" w:rsidR="00D1587D" w:rsidRDefault="00D1587D">
      <w:pPr>
        <w:sectPr w:rsidR="00D1587D">
          <w:pgSz w:w="11900" w:h="16838"/>
          <w:pgMar w:top="265" w:right="1440" w:bottom="1440" w:left="1440" w:header="0" w:footer="0" w:gutter="0"/>
          <w:cols w:space="720" w:equalWidth="0">
            <w:col w:w="9019"/>
          </w:cols>
        </w:sectPr>
      </w:pPr>
    </w:p>
    <w:bookmarkStart w:id="405" w:name="page406"/>
    <w:bookmarkEnd w:id="405"/>
    <w:p w14:paraId="0275A65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67B6178" w14:textId="77777777" w:rsidR="00D1587D" w:rsidRDefault="00D1587D">
      <w:pPr>
        <w:spacing w:line="131" w:lineRule="exact"/>
        <w:rPr>
          <w:sz w:val="20"/>
          <w:szCs w:val="20"/>
        </w:rPr>
      </w:pPr>
    </w:p>
    <w:p w14:paraId="76574130" w14:textId="77777777" w:rsidR="00D1587D" w:rsidRDefault="00410D07">
      <w:pPr>
        <w:ind w:left="300"/>
        <w:rPr>
          <w:sz w:val="20"/>
          <w:szCs w:val="20"/>
        </w:rPr>
      </w:pPr>
      <w:r>
        <w:rPr>
          <w:rFonts w:ascii="Arial" w:eastAsia="Arial" w:hAnsi="Arial" w:cs="Arial"/>
          <w:b/>
          <w:bCs/>
          <w:i/>
          <w:iCs/>
          <w:sz w:val="18"/>
          <w:szCs w:val="18"/>
        </w:rPr>
        <w:t>Property and Equipment</w:t>
      </w:r>
    </w:p>
    <w:p w14:paraId="0C6CC44E" w14:textId="77777777" w:rsidR="00D1587D" w:rsidRDefault="00D1587D">
      <w:pPr>
        <w:spacing w:line="117" w:lineRule="exact"/>
        <w:rPr>
          <w:sz w:val="20"/>
          <w:szCs w:val="20"/>
        </w:rPr>
      </w:pPr>
    </w:p>
    <w:p w14:paraId="43B38D2C" w14:textId="77777777" w:rsidR="00D1587D" w:rsidRDefault="00410D07">
      <w:pPr>
        <w:spacing w:line="277" w:lineRule="auto"/>
        <w:ind w:left="300" w:right="579" w:firstLine="360"/>
        <w:rPr>
          <w:sz w:val="20"/>
          <w:szCs w:val="20"/>
        </w:rPr>
      </w:pPr>
      <w:r>
        <w:rPr>
          <w:rFonts w:ascii="Arial" w:eastAsia="Arial" w:hAnsi="Arial" w:cs="Arial"/>
          <w:sz w:val="18"/>
          <w:szCs w:val="18"/>
        </w:rPr>
        <w:t xml:space="preserve">The Company’s property and equipment are recorded at cost and depreciation is computed on a </w:t>
      </w:r>
      <w:r>
        <w:rPr>
          <w:rFonts w:ascii="Arial" w:eastAsia="Arial" w:hAnsi="Arial" w:cs="Arial"/>
          <w:sz w:val="18"/>
          <w:szCs w:val="18"/>
        </w:rPr>
        <w:t>straight-line basis using the following depreciable life ranges:</w:t>
      </w:r>
    </w:p>
    <w:p w14:paraId="5A3BAA99"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620"/>
        <w:gridCol w:w="360"/>
        <w:gridCol w:w="2440"/>
      </w:tblGrid>
      <w:tr w:rsidR="00D1587D" w14:paraId="5CD0791D" w14:textId="77777777">
        <w:trPr>
          <w:trHeight w:val="186"/>
        </w:trPr>
        <w:tc>
          <w:tcPr>
            <w:tcW w:w="5980" w:type="dxa"/>
            <w:gridSpan w:val="2"/>
            <w:vAlign w:val="bottom"/>
          </w:tcPr>
          <w:p w14:paraId="3E0C92B6" w14:textId="77777777" w:rsidR="00D1587D" w:rsidRDefault="00410D07">
            <w:pPr>
              <w:ind w:left="1660"/>
              <w:rPr>
                <w:sz w:val="20"/>
                <w:szCs w:val="20"/>
              </w:rPr>
            </w:pPr>
            <w:r>
              <w:rPr>
                <w:rFonts w:ascii="Arial" w:eastAsia="Arial" w:hAnsi="Arial" w:cs="Arial"/>
                <w:b/>
                <w:bCs/>
                <w:sz w:val="14"/>
                <w:szCs w:val="14"/>
              </w:rPr>
              <w:t>Category of Property and Equipment</w:t>
            </w:r>
          </w:p>
        </w:tc>
        <w:tc>
          <w:tcPr>
            <w:tcW w:w="2440" w:type="dxa"/>
            <w:vAlign w:val="bottom"/>
          </w:tcPr>
          <w:p w14:paraId="036535E0" w14:textId="77777777" w:rsidR="00D1587D" w:rsidRDefault="00410D07">
            <w:pPr>
              <w:jc w:val="center"/>
              <w:rPr>
                <w:sz w:val="20"/>
                <w:szCs w:val="20"/>
              </w:rPr>
            </w:pPr>
            <w:r>
              <w:rPr>
                <w:rFonts w:ascii="Arial" w:eastAsia="Arial" w:hAnsi="Arial" w:cs="Arial"/>
                <w:b/>
                <w:bCs/>
                <w:w w:val="92"/>
                <w:sz w:val="14"/>
                <w:szCs w:val="14"/>
              </w:rPr>
              <w:t>Depreciable Life Range</w:t>
            </w:r>
          </w:p>
        </w:tc>
      </w:tr>
      <w:tr w:rsidR="00D1587D" w14:paraId="7DDD46F1" w14:textId="77777777">
        <w:trPr>
          <w:trHeight w:val="53"/>
        </w:trPr>
        <w:tc>
          <w:tcPr>
            <w:tcW w:w="5620" w:type="dxa"/>
            <w:tcBorders>
              <w:bottom w:val="single" w:sz="8" w:space="0" w:color="auto"/>
            </w:tcBorders>
            <w:vAlign w:val="bottom"/>
          </w:tcPr>
          <w:p w14:paraId="44C323DA" w14:textId="77777777" w:rsidR="00D1587D" w:rsidRDefault="00D1587D">
            <w:pPr>
              <w:rPr>
                <w:sz w:val="4"/>
                <w:szCs w:val="4"/>
              </w:rPr>
            </w:pPr>
          </w:p>
        </w:tc>
        <w:tc>
          <w:tcPr>
            <w:tcW w:w="360" w:type="dxa"/>
            <w:tcBorders>
              <w:bottom w:val="single" w:sz="8" w:space="0" w:color="CCEEFF"/>
            </w:tcBorders>
            <w:vAlign w:val="bottom"/>
          </w:tcPr>
          <w:p w14:paraId="0D4345A1" w14:textId="77777777" w:rsidR="00D1587D" w:rsidRDefault="00D1587D">
            <w:pPr>
              <w:rPr>
                <w:sz w:val="4"/>
                <w:szCs w:val="4"/>
              </w:rPr>
            </w:pPr>
          </w:p>
        </w:tc>
        <w:tc>
          <w:tcPr>
            <w:tcW w:w="2440" w:type="dxa"/>
            <w:tcBorders>
              <w:bottom w:val="single" w:sz="8" w:space="0" w:color="auto"/>
            </w:tcBorders>
            <w:vAlign w:val="bottom"/>
          </w:tcPr>
          <w:p w14:paraId="68D2E663" w14:textId="77777777" w:rsidR="00D1587D" w:rsidRDefault="00D1587D">
            <w:pPr>
              <w:rPr>
                <w:sz w:val="4"/>
                <w:szCs w:val="4"/>
              </w:rPr>
            </w:pPr>
          </w:p>
        </w:tc>
      </w:tr>
      <w:tr w:rsidR="00D1587D" w14:paraId="4EF0995C" w14:textId="77777777">
        <w:trPr>
          <w:trHeight w:val="311"/>
        </w:trPr>
        <w:tc>
          <w:tcPr>
            <w:tcW w:w="5980" w:type="dxa"/>
            <w:gridSpan w:val="2"/>
            <w:tcBorders>
              <w:bottom w:val="single" w:sz="8" w:space="0" w:color="CCEEFF"/>
            </w:tcBorders>
            <w:shd w:val="clear" w:color="auto" w:fill="CCEEFF"/>
            <w:vAlign w:val="bottom"/>
          </w:tcPr>
          <w:p w14:paraId="2CF789BB" w14:textId="77777777" w:rsidR="00D1587D" w:rsidRDefault="00410D07">
            <w:pPr>
              <w:rPr>
                <w:sz w:val="20"/>
                <w:szCs w:val="20"/>
              </w:rPr>
            </w:pPr>
            <w:r>
              <w:rPr>
                <w:rFonts w:ascii="Arial" w:eastAsia="Arial" w:hAnsi="Arial" w:cs="Arial"/>
                <w:sz w:val="18"/>
                <w:szCs w:val="18"/>
              </w:rPr>
              <w:t>Software, including software developed for internal use</w:t>
            </w:r>
          </w:p>
        </w:tc>
        <w:tc>
          <w:tcPr>
            <w:tcW w:w="2440" w:type="dxa"/>
            <w:tcBorders>
              <w:bottom w:val="single" w:sz="8" w:space="0" w:color="CCEEFF"/>
            </w:tcBorders>
            <w:shd w:val="clear" w:color="auto" w:fill="CCEEFF"/>
            <w:vAlign w:val="bottom"/>
          </w:tcPr>
          <w:p w14:paraId="2F6BA047" w14:textId="77777777" w:rsidR="00D1587D" w:rsidRDefault="00410D07">
            <w:pPr>
              <w:jc w:val="center"/>
              <w:rPr>
                <w:sz w:val="20"/>
                <w:szCs w:val="20"/>
              </w:rPr>
            </w:pPr>
            <w:r>
              <w:rPr>
                <w:rFonts w:ascii="Arial" w:eastAsia="Arial" w:hAnsi="Arial" w:cs="Arial"/>
                <w:w w:val="89"/>
                <w:sz w:val="18"/>
                <w:szCs w:val="18"/>
              </w:rPr>
              <w:t>3 - 5 years</w:t>
            </w:r>
          </w:p>
        </w:tc>
      </w:tr>
      <w:tr w:rsidR="00D1587D" w14:paraId="248F0435" w14:textId="77777777">
        <w:trPr>
          <w:trHeight w:val="270"/>
        </w:trPr>
        <w:tc>
          <w:tcPr>
            <w:tcW w:w="5980" w:type="dxa"/>
            <w:gridSpan w:val="2"/>
            <w:vAlign w:val="bottom"/>
          </w:tcPr>
          <w:p w14:paraId="7F3848E4" w14:textId="77777777" w:rsidR="00D1587D" w:rsidRDefault="00410D07">
            <w:pPr>
              <w:rPr>
                <w:sz w:val="20"/>
                <w:szCs w:val="20"/>
              </w:rPr>
            </w:pPr>
            <w:r>
              <w:rPr>
                <w:rFonts w:ascii="Arial" w:eastAsia="Arial" w:hAnsi="Arial" w:cs="Arial"/>
                <w:sz w:val="18"/>
                <w:szCs w:val="18"/>
              </w:rPr>
              <w:t>Store related assets</w:t>
            </w:r>
          </w:p>
        </w:tc>
        <w:tc>
          <w:tcPr>
            <w:tcW w:w="2440" w:type="dxa"/>
            <w:vAlign w:val="bottom"/>
          </w:tcPr>
          <w:p w14:paraId="2D51574E" w14:textId="77777777" w:rsidR="00D1587D" w:rsidRDefault="00410D07">
            <w:pPr>
              <w:jc w:val="center"/>
              <w:rPr>
                <w:sz w:val="20"/>
                <w:szCs w:val="20"/>
              </w:rPr>
            </w:pPr>
            <w:r>
              <w:rPr>
                <w:rFonts w:ascii="Arial" w:eastAsia="Arial" w:hAnsi="Arial" w:cs="Arial"/>
                <w:w w:val="88"/>
                <w:sz w:val="18"/>
                <w:szCs w:val="18"/>
              </w:rPr>
              <w:t>3 - 10 years</w:t>
            </w:r>
          </w:p>
        </w:tc>
      </w:tr>
      <w:tr w:rsidR="00D1587D" w14:paraId="20D49915" w14:textId="77777777">
        <w:trPr>
          <w:trHeight w:val="54"/>
        </w:trPr>
        <w:tc>
          <w:tcPr>
            <w:tcW w:w="5620" w:type="dxa"/>
            <w:vAlign w:val="bottom"/>
          </w:tcPr>
          <w:p w14:paraId="1DA139ED" w14:textId="77777777" w:rsidR="00D1587D" w:rsidRDefault="00D1587D">
            <w:pPr>
              <w:rPr>
                <w:sz w:val="4"/>
                <w:szCs w:val="4"/>
              </w:rPr>
            </w:pPr>
          </w:p>
        </w:tc>
        <w:tc>
          <w:tcPr>
            <w:tcW w:w="360" w:type="dxa"/>
            <w:vAlign w:val="bottom"/>
          </w:tcPr>
          <w:p w14:paraId="4D37F650" w14:textId="77777777" w:rsidR="00D1587D" w:rsidRDefault="00D1587D">
            <w:pPr>
              <w:rPr>
                <w:sz w:val="4"/>
                <w:szCs w:val="4"/>
              </w:rPr>
            </w:pPr>
          </w:p>
        </w:tc>
        <w:tc>
          <w:tcPr>
            <w:tcW w:w="2440" w:type="dxa"/>
            <w:vAlign w:val="bottom"/>
          </w:tcPr>
          <w:p w14:paraId="76F14442" w14:textId="77777777" w:rsidR="00D1587D" w:rsidRDefault="00D1587D">
            <w:pPr>
              <w:rPr>
                <w:sz w:val="4"/>
                <w:szCs w:val="4"/>
              </w:rPr>
            </w:pPr>
          </w:p>
        </w:tc>
      </w:tr>
      <w:tr w:rsidR="00D1587D" w14:paraId="3CFC50D3" w14:textId="77777777">
        <w:trPr>
          <w:trHeight w:val="304"/>
        </w:trPr>
        <w:tc>
          <w:tcPr>
            <w:tcW w:w="5980" w:type="dxa"/>
            <w:gridSpan w:val="2"/>
            <w:tcBorders>
              <w:bottom w:val="single" w:sz="8" w:space="0" w:color="CCEEFF"/>
            </w:tcBorders>
            <w:shd w:val="clear" w:color="auto" w:fill="CCEEFF"/>
            <w:vAlign w:val="bottom"/>
          </w:tcPr>
          <w:p w14:paraId="17016CE9" w14:textId="77777777" w:rsidR="00D1587D" w:rsidRDefault="00410D07">
            <w:pPr>
              <w:rPr>
                <w:sz w:val="20"/>
                <w:szCs w:val="20"/>
              </w:rPr>
            </w:pPr>
            <w:r>
              <w:rPr>
                <w:rFonts w:ascii="Arial" w:eastAsia="Arial" w:hAnsi="Arial" w:cs="Arial"/>
                <w:sz w:val="18"/>
                <w:szCs w:val="18"/>
              </w:rPr>
              <w:t xml:space="preserve">Leasehold </w:t>
            </w:r>
            <w:r>
              <w:rPr>
                <w:rFonts w:ascii="Arial" w:eastAsia="Arial" w:hAnsi="Arial" w:cs="Arial"/>
                <w:sz w:val="18"/>
                <w:szCs w:val="18"/>
              </w:rPr>
              <w:t>improvements</w:t>
            </w:r>
          </w:p>
        </w:tc>
        <w:tc>
          <w:tcPr>
            <w:tcW w:w="2440" w:type="dxa"/>
            <w:tcBorders>
              <w:bottom w:val="single" w:sz="8" w:space="0" w:color="CCEEFF"/>
            </w:tcBorders>
            <w:shd w:val="clear" w:color="auto" w:fill="CCEEFF"/>
            <w:vAlign w:val="bottom"/>
          </w:tcPr>
          <w:p w14:paraId="2CBBD58D" w14:textId="77777777" w:rsidR="00D1587D" w:rsidRDefault="00410D07">
            <w:pPr>
              <w:jc w:val="center"/>
              <w:rPr>
                <w:sz w:val="20"/>
                <w:szCs w:val="20"/>
              </w:rPr>
            </w:pPr>
            <w:r>
              <w:rPr>
                <w:rFonts w:ascii="Arial" w:eastAsia="Arial" w:hAnsi="Arial" w:cs="Arial"/>
                <w:w w:val="89"/>
                <w:sz w:val="18"/>
                <w:szCs w:val="18"/>
              </w:rPr>
              <w:t>Shorter of lease term or 10 years</w:t>
            </w:r>
          </w:p>
        </w:tc>
      </w:tr>
      <w:tr w:rsidR="00D1587D" w14:paraId="6180897F" w14:textId="77777777">
        <w:trPr>
          <w:trHeight w:val="270"/>
        </w:trPr>
        <w:tc>
          <w:tcPr>
            <w:tcW w:w="5980" w:type="dxa"/>
            <w:gridSpan w:val="2"/>
            <w:vAlign w:val="bottom"/>
          </w:tcPr>
          <w:p w14:paraId="36B576E2" w14:textId="77777777" w:rsidR="00D1587D" w:rsidRDefault="00410D07">
            <w:pPr>
              <w:rPr>
                <w:sz w:val="20"/>
                <w:szCs w:val="20"/>
              </w:rPr>
            </w:pPr>
            <w:r>
              <w:rPr>
                <w:rFonts w:ascii="Arial" w:eastAsia="Arial" w:hAnsi="Arial" w:cs="Arial"/>
                <w:sz w:val="18"/>
                <w:szCs w:val="18"/>
              </w:rPr>
              <w:t>Non-store related building and site improvements</w:t>
            </w:r>
          </w:p>
        </w:tc>
        <w:tc>
          <w:tcPr>
            <w:tcW w:w="2440" w:type="dxa"/>
            <w:vAlign w:val="bottom"/>
          </w:tcPr>
          <w:p w14:paraId="6A9E99D6" w14:textId="77777777" w:rsidR="00D1587D" w:rsidRDefault="00410D07">
            <w:pPr>
              <w:jc w:val="center"/>
              <w:rPr>
                <w:sz w:val="20"/>
                <w:szCs w:val="20"/>
              </w:rPr>
            </w:pPr>
            <w:r>
              <w:rPr>
                <w:rFonts w:ascii="Arial" w:eastAsia="Arial" w:hAnsi="Arial" w:cs="Arial"/>
                <w:w w:val="87"/>
                <w:sz w:val="18"/>
                <w:szCs w:val="18"/>
              </w:rPr>
              <w:t>10 - 15 years</w:t>
            </w:r>
          </w:p>
        </w:tc>
      </w:tr>
      <w:tr w:rsidR="00D1587D" w14:paraId="57DD5840" w14:textId="77777777">
        <w:trPr>
          <w:trHeight w:val="54"/>
        </w:trPr>
        <w:tc>
          <w:tcPr>
            <w:tcW w:w="5620" w:type="dxa"/>
            <w:vAlign w:val="bottom"/>
          </w:tcPr>
          <w:p w14:paraId="1B27B66A" w14:textId="77777777" w:rsidR="00D1587D" w:rsidRDefault="00D1587D">
            <w:pPr>
              <w:rPr>
                <w:sz w:val="4"/>
                <w:szCs w:val="4"/>
              </w:rPr>
            </w:pPr>
          </w:p>
        </w:tc>
        <w:tc>
          <w:tcPr>
            <w:tcW w:w="360" w:type="dxa"/>
            <w:vAlign w:val="bottom"/>
          </w:tcPr>
          <w:p w14:paraId="5D8DBBD9" w14:textId="77777777" w:rsidR="00D1587D" w:rsidRDefault="00D1587D">
            <w:pPr>
              <w:rPr>
                <w:sz w:val="4"/>
                <w:szCs w:val="4"/>
              </w:rPr>
            </w:pPr>
          </w:p>
        </w:tc>
        <w:tc>
          <w:tcPr>
            <w:tcW w:w="2440" w:type="dxa"/>
            <w:vAlign w:val="bottom"/>
          </w:tcPr>
          <w:p w14:paraId="216C6EA4" w14:textId="77777777" w:rsidR="00D1587D" w:rsidRDefault="00D1587D">
            <w:pPr>
              <w:rPr>
                <w:sz w:val="4"/>
                <w:szCs w:val="4"/>
              </w:rPr>
            </w:pPr>
          </w:p>
        </w:tc>
      </w:tr>
      <w:tr w:rsidR="00D1587D" w14:paraId="0CF2167B" w14:textId="77777777">
        <w:trPr>
          <w:trHeight w:val="304"/>
        </w:trPr>
        <w:tc>
          <w:tcPr>
            <w:tcW w:w="5980" w:type="dxa"/>
            <w:gridSpan w:val="2"/>
            <w:tcBorders>
              <w:bottom w:val="single" w:sz="8" w:space="0" w:color="CCEEFF"/>
            </w:tcBorders>
            <w:shd w:val="clear" w:color="auto" w:fill="CCEEFF"/>
            <w:vAlign w:val="bottom"/>
          </w:tcPr>
          <w:p w14:paraId="618F84D0" w14:textId="77777777" w:rsidR="00D1587D" w:rsidRDefault="00410D07">
            <w:pPr>
              <w:rPr>
                <w:sz w:val="20"/>
                <w:szCs w:val="20"/>
              </w:rPr>
            </w:pPr>
            <w:r>
              <w:rPr>
                <w:rFonts w:ascii="Arial" w:eastAsia="Arial" w:hAnsi="Arial" w:cs="Arial"/>
                <w:sz w:val="18"/>
                <w:szCs w:val="18"/>
              </w:rPr>
              <w:t>Other property and equipment</w:t>
            </w:r>
          </w:p>
        </w:tc>
        <w:tc>
          <w:tcPr>
            <w:tcW w:w="2440" w:type="dxa"/>
            <w:tcBorders>
              <w:bottom w:val="single" w:sz="8" w:space="0" w:color="CCEEFF"/>
            </w:tcBorders>
            <w:shd w:val="clear" w:color="auto" w:fill="CCEEFF"/>
            <w:vAlign w:val="bottom"/>
          </w:tcPr>
          <w:p w14:paraId="59E6F92D" w14:textId="77777777" w:rsidR="00D1587D" w:rsidRDefault="00410D07">
            <w:pPr>
              <w:jc w:val="center"/>
              <w:rPr>
                <w:sz w:val="20"/>
                <w:szCs w:val="20"/>
              </w:rPr>
            </w:pPr>
            <w:r>
              <w:rPr>
                <w:rFonts w:ascii="Arial" w:eastAsia="Arial" w:hAnsi="Arial" w:cs="Arial"/>
                <w:w w:val="86"/>
                <w:sz w:val="18"/>
                <w:szCs w:val="18"/>
              </w:rPr>
              <w:t>20 years</w:t>
            </w:r>
          </w:p>
        </w:tc>
      </w:tr>
      <w:tr w:rsidR="00D1587D" w14:paraId="68BBD6AE" w14:textId="77777777">
        <w:trPr>
          <w:trHeight w:val="270"/>
        </w:trPr>
        <w:tc>
          <w:tcPr>
            <w:tcW w:w="5980" w:type="dxa"/>
            <w:gridSpan w:val="2"/>
            <w:vAlign w:val="bottom"/>
          </w:tcPr>
          <w:p w14:paraId="3E552C13" w14:textId="77777777" w:rsidR="00D1587D" w:rsidRDefault="00410D07">
            <w:pPr>
              <w:rPr>
                <w:sz w:val="20"/>
                <w:szCs w:val="20"/>
              </w:rPr>
            </w:pPr>
            <w:r>
              <w:rPr>
                <w:rFonts w:ascii="Arial" w:eastAsia="Arial" w:hAnsi="Arial" w:cs="Arial"/>
                <w:sz w:val="18"/>
                <w:szCs w:val="18"/>
              </w:rPr>
              <w:t>Buildings</w:t>
            </w:r>
          </w:p>
        </w:tc>
        <w:tc>
          <w:tcPr>
            <w:tcW w:w="2440" w:type="dxa"/>
            <w:vAlign w:val="bottom"/>
          </w:tcPr>
          <w:p w14:paraId="6488A200" w14:textId="77777777" w:rsidR="00D1587D" w:rsidRDefault="00410D07">
            <w:pPr>
              <w:jc w:val="center"/>
              <w:rPr>
                <w:sz w:val="20"/>
                <w:szCs w:val="20"/>
              </w:rPr>
            </w:pPr>
            <w:r>
              <w:rPr>
                <w:rFonts w:ascii="Arial" w:eastAsia="Arial" w:hAnsi="Arial" w:cs="Arial"/>
                <w:w w:val="86"/>
                <w:sz w:val="18"/>
                <w:szCs w:val="18"/>
              </w:rPr>
              <w:t>30 years</w:t>
            </w:r>
          </w:p>
        </w:tc>
      </w:tr>
    </w:tbl>
    <w:p w14:paraId="0927B4A5" w14:textId="77777777" w:rsidR="00D1587D" w:rsidRDefault="00410D07">
      <w:pPr>
        <w:spacing w:line="20" w:lineRule="exact"/>
        <w:rPr>
          <w:sz w:val="20"/>
          <w:szCs w:val="20"/>
        </w:rPr>
      </w:pPr>
      <w:r>
        <w:rPr>
          <w:noProof/>
          <w:sz w:val="20"/>
          <w:szCs w:val="20"/>
        </w:rPr>
        <w:drawing>
          <wp:anchor distT="0" distB="0" distL="114300" distR="114300" simplePos="0" relativeHeight="252061696" behindDoc="1" locked="0" layoutInCell="0" allowOverlap="1" wp14:anchorId="6DDE1609" wp14:editId="7C0054C5">
            <wp:simplePos x="0" y="0"/>
            <wp:positionH relativeFrom="column">
              <wp:posOffset>3759835</wp:posOffset>
            </wp:positionH>
            <wp:positionV relativeFrom="paragraph">
              <wp:posOffset>-1216660</wp:posOffset>
            </wp:positionV>
            <wp:extent cx="231775" cy="8255"/>
            <wp:effectExtent l="0" t="0" r="0" b="0"/>
            <wp:wrapNone/>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71"/>
                    <a:srcRect/>
                    <a:stretch>
                      <a:fillRect/>
                    </a:stretch>
                  </pic:blipFill>
                  <pic:spPr bwMode="auto">
                    <a:xfrm>
                      <a:off x="0" y="0"/>
                      <a:ext cx="231775" cy="8255"/>
                    </a:xfrm>
                    <a:prstGeom prst="rect">
                      <a:avLst/>
                    </a:prstGeom>
                    <a:noFill/>
                  </pic:spPr>
                </pic:pic>
              </a:graphicData>
            </a:graphic>
          </wp:anchor>
        </w:drawing>
      </w:r>
    </w:p>
    <w:p w14:paraId="5349D2D7" w14:textId="77777777" w:rsidR="00D1587D" w:rsidRDefault="00D1587D">
      <w:pPr>
        <w:spacing w:line="128" w:lineRule="exact"/>
        <w:rPr>
          <w:sz w:val="20"/>
          <w:szCs w:val="20"/>
        </w:rPr>
      </w:pPr>
    </w:p>
    <w:p w14:paraId="522A6516" w14:textId="77777777" w:rsidR="00D1587D" w:rsidRDefault="00410D07">
      <w:pPr>
        <w:spacing w:line="296" w:lineRule="auto"/>
        <w:ind w:left="300" w:right="399" w:firstLine="360"/>
        <w:rPr>
          <w:sz w:val="20"/>
          <w:szCs w:val="20"/>
        </w:rPr>
      </w:pPr>
      <w:r>
        <w:rPr>
          <w:rFonts w:ascii="Arial" w:eastAsia="Arial" w:hAnsi="Arial" w:cs="Arial"/>
          <w:sz w:val="16"/>
          <w:szCs w:val="16"/>
        </w:rPr>
        <w:t xml:space="preserve">When a decision has been made to dispose of property and equipment prior to </w:t>
      </w:r>
      <w:r>
        <w:rPr>
          <w:rFonts w:ascii="Arial" w:eastAsia="Arial" w:hAnsi="Arial" w:cs="Arial"/>
          <w:sz w:val="16"/>
          <w:szCs w:val="16"/>
        </w:rPr>
        <w:t xml:space="preserve">the end of the previously estimated useful life, depreciation estimates are revised to reflect the use of the asset over the shortened estimated useful life. The Company’s cost of assets sold or retired and the related accumulated depreciation are removed </w:t>
      </w:r>
      <w:r>
        <w:rPr>
          <w:rFonts w:ascii="Arial" w:eastAsia="Arial" w:hAnsi="Arial" w:cs="Arial"/>
          <w:sz w:val="16"/>
          <w:szCs w:val="16"/>
        </w:rPr>
        <w:t>from the accounts with any resulting gain or loss included in net income (loss). Maintenance and repairs are charged to expense as incurred. Major renewals and betterments that extend useful lives are capitalized.</w:t>
      </w:r>
    </w:p>
    <w:p w14:paraId="3F74D4CF" w14:textId="77777777" w:rsidR="00D1587D" w:rsidRDefault="00D1587D">
      <w:pPr>
        <w:spacing w:line="53" w:lineRule="exact"/>
        <w:rPr>
          <w:sz w:val="20"/>
          <w:szCs w:val="20"/>
        </w:rPr>
      </w:pPr>
    </w:p>
    <w:p w14:paraId="0014DE8C" w14:textId="77777777" w:rsidR="00D1587D" w:rsidRDefault="00410D07">
      <w:pPr>
        <w:spacing w:line="288" w:lineRule="auto"/>
        <w:ind w:left="300" w:right="379" w:firstLine="360"/>
        <w:rPr>
          <w:sz w:val="20"/>
          <w:szCs w:val="20"/>
        </w:rPr>
      </w:pPr>
      <w:r>
        <w:rPr>
          <w:rFonts w:ascii="Arial" w:eastAsia="Arial" w:hAnsi="Arial" w:cs="Arial"/>
          <w:sz w:val="16"/>
          <w:szCs w:val="16"/>
        </w:rPr>
        <w:t>Long-lived store assets, which include le</w:t>
      </w:r>
      <w:r>
        <w:rPr>
          <w:rFonts w:ascii="Arial" w:eastAsia="Arial" w:hAnsi="Arial" w:cs="Arial"/>
          <w:sz w:val="16"/>
          <w:szCs w:val="16"/>
        </w:rPr>
        <w:t xml:space="preserve">asehold improvements, store related assets and operating lease assets (subsequent to the adoption of Accounting Standards Codification (“ASC”) 842, </w:t>
      </w:r>
      <w:r>
        <w:rPr>
          <w:rFonts w:ascii="Arial" w:eastAsia="Arial" w:hAnsi="Arial" w:cs="Arial"/>
          <w:i/>
          <w:iCs/>
          <w:sz w:val="16"/>
          <w:szCs w:val="16"/>
        </w:rPr>
        <w:t>Leases</w:t>
      </w:r>
      <w:r>
        <w:rPr>
          <w:rFonts w:ascii="Arial" w:eastAsia="Arial" w:hAnsi="Arial" w:cs="Arial"/>
          <w:sz w:val="16"/>
          <w:szCs w:val="16"/>
        </w:rPr>
        <w:t xml:space="preserve">), are reviewed for impairment whenever events or changes in circumstances indicate that the carrying </w:t>
      </w:r>
      <w:r>
        <w:rPr>
          <w:rFonts w:ascii="Arial" w:eastAsia="Arial" w:hAnsi="Arial" w:cs="Arial"/>
          <w:sz w:val="16"/>
          <w:szCs w:val="16"/>
        </w:rPr>
        <w:t>amount of the assets may not be recoverable. Store assets are grouped at the lowest level for which they are largely independent of other assets or asset groups. If the estimated undiscounted future cash flows related to the asset group are less than the c</w:t>
      </w:r>
      <w:r>
        <w:rPr>
          <w:rFonts w:ascii="Arial" w:eastAsia="Arial" w:hAnsi="Arial" w:cs="Arial"/>
          <w:sz w:val="16"/>
          <w:szCs w:val="16"/>
        </w:rPr>
        <w:t>arrying value, the Company recognizes a loss equal to the difference between the carrying value and the estimated fair value, determined by the estimated discounted future cash flows of the asset group. For operating lease assets, the Company determines th</w:t>
      </w:r>
      <w:r>
        <w:rPr>
          <w:rFonts w:ascii="Arial" w:eastAsia="Arial" w:hAnsi="Arial" w:cs="Arial"/>
          <w:sz w:val="16"/>
          <w:szCs w:val="16"/>
        </w:rPr>
        <w:t xml:space="preserve">e fair value of the assets by comparing the contractual rent payments to estimated market rental rates. An individual asset within an asset group is not impaired below its estimated fair value. The fair value of long-lived store assets is determined using </w:t>
      </w:r>
      <w:r>
        <w:rPr>
          <w:rFonts w:ascii="Arial" w:eastAsia="Arial" w:hAnsi="Arial" w:cs="Arial"/>
          <w:sz w:val="16"/>
          <w:szCs w:val="16"/>
        </w:rPr>
        <w:t>Level 3 inputs within the fair value hierarchy.</w:t>
      </w:r>
    </w:p>
    <w:p w14:paraId="3BAA5011" w14:textId="77777777" w:rsidR="00D1587D" w:rsidRDefault="00D1587D">
      <w:pPr>
        <w:spacing w:line="303" w:lineRule="exact"/>
        <w:rPr>
          <w:sz w:val="20"/>
          <w:szCs w:val="20"/>
        </w:rPr>
      </w:pPr>
    </w:p>
    <w:p w14:paraId="0FCE604A" w14:textId="77777777" w:rsidR="00D1587D" w:rsidRDefault="00410D07">
      <w:pPr>
        <w:ind w:left="300"/>
        <w:rPr>
          <w:sz w:val="20"/>
          <w:szCs w:val="20"/>
        </w:rPr>
      </w:pPr>
      <w:r>
        <w:rPr>
          <w:rFonts w:ascii="Arial" w:eastAsia="Arial" w:hAnsi="Arial" w:cs="Arial"/>
          <w:b/>
          <w:bCs/>
          <w:i/>
          <w:iCs/>
          <w:sz w:val="18"/>
          <w:szCs w:val="18"/>
        </w:rPr>
        <w:t>Leases and Leasehold Improvements</w:t>
      </w:r>
    </w:p>
    <w:p w14:paraId="7B50BC43" w14:textId="77777777" w:rsidR="00D1587D" w:rsidRDefault="00D1587D">
      <w:pPr>
        <w:spacing w:line="117" w:lineRule="exact"/>
        <w:rPr>
          <w:sz w:val="20"/>
          <w:szCs w:val="20"/>
        </w:rPr>
      </w:pPr>
    </w:p>
    <w:p w14:paraId="63535E2F" w14:textId="77777777" w:rsidR="00D1587D" w:rsidRDefault="00410D07">
      <w:pPr>
        <w:spacing w:line="301" w:lineRule="auto"/>
        <w:ind w:left="300" w:right="439" w:firstLine="360"/>
        <w:jc w:val="both"/>
        <w:rPr>
          <w:sz w:val="20"/>
          <w:szCs w:val="20"/>
        </w:rPr>
      </w:pPr>
      <w:r>
        <w:rPr>
          <w:rFonts w:ascii="Arial" w:eastAsia="Arial" w:hAnsi="Arial" w:cs="Arial"/>
          <w:sz w:val="16"/>
          <w:szCs w:val="16"/>
        </w:rPr>
        <w:t xml:space="preserve">In 2019, the Company adopted ASC 842, </w:t>
      </w:r>
      <w:r>
        <w:rPr>
          <w:rFonts w:ascii="Arial" w:eastAsia="Arial" w:hAnsi="Arial" w:cs="Arial"/>
          <w:i/>
          <w:iCs/>
          <w:sz w:val="16"/>
          <w:szCs w:val="16"/>
        </w:rPr>
        <w:t>Leases</w:t>
      </w:r>
      <w:r>
        <w:rPr>
          <w:rFonts w:ascii="Arial" w:eastAsia="Arial" w:hAnsi="Arial" w:cs="Arial"/>
          <w:sz w:val="16"/>
          <w:szCs w:val="16"/>
        </w:rPr>
        <w:t xml:space="preserve">, using the modified retrospective approach. Results for 2020 and 2019 are presented under ASC 842, while results for 2018 </w:t>
      </w:r>
      <w:r>
        <w:rPr>
          <w:rFonts w:ascii="Arial" w:eastAsia="Arial" w:hAnsi="Arial" w:cs="Arial"/>
          <w:sz w:val="16"/>
          <w:szCs w:val="16"/>
        </w:rPr>
        <w:t>have not been adjusted and continue to be presented under the accounting standard in effect at that time. For additional information regarding the impacts as a result of the Company’s adoption of ASC 842 in fiscal 2019, refer to Note 2, “New Accounting Pro</w:t>
      </w:r>
      <w:r>
        <w:rPr>
          <w:rFonts w:ascii="Arial" w:eastAsia="Arial" w:hAnsi="Arial" w:cs="Arial"/>
          <w:sz w:val="16"/>
          <w:szCs w:val="16"/>
        </w:rPr>
        <w:t>nouncements.”</w:t>
      </w:r>
    </w:p>
    <w:p w14:paraId="1051170E" w14:textId="77777777" w:rsidR="00D1587D" w:rsidRDefault="00D1587D">
      <w:pPr>
        <w:spacing w:line="49" w:lineRule="exact"/>
        <w:rPr>
          <w:sz w:val="20"/>
          <w:szCs w:val="20"/>
        </w:rPr>
      </w:pPr>
    </w:p>
    <w:p w14:paraId="11EE2FBB" w14:textId="77777777" w:rsidR="00D1587D" w:rsidRDefault="00410D07">
      <w:pPr>
        <w:spacing w:line="290" w:lineRule="auto"/>
        <w:ind w:left="300" w:right="319" w:firstLine="360"/>
        <w:rPr>
          <w:sz w:val="20"/>
          <w:szCs w:val="20"/>
        </w:rPr>
      </w:pPr>
      <w:r>
        <w:rPr>
          <w:rFonts w:ascii="Arial" w:eastAsia="Arial" w:hAnsi="Arial" w:cs="Arial"/>
          <w:sz w:val="16"/>
          <w:szCs w:val="16"/>
        </w:rPr>
        <w:t xml:space="preserve">The Company leases retail space, office space, warehouse facilities, storage space, equipment and certain other items under operating leases. A substantial portion of the Company’s leases are operating leases for its stores, which generally </w:t>
      </w:r>
      <w:r>
        <w:rPr>
          <w:rFonts w:ascii="Arial" w:eastAsia="Arial" w:hAnsi="Arial" w:cs="Arial"/>
          <w:sz w:val="16"/>
          <w:szCs w:val="16"/>
        </w:rPr>
        <w:t>have an initial term of ten years. Annual store rent consists of a fixed minimum amount and/or variable rent based on a percentage of sales exceeding a stipulated amount. Store lease terms generally also require additional payments covering certain operati</w:t>
      </w:r>
      <w:r>
        <w:rPr>
          <w:rFonts w:ascii="Arial" w:eastAsia="Arial" w:hAnsi="Arial" w:cs="Arial"/>
          <w:sz w:val="16"/>
          <w:szCs w:val="16"/>
        </w:rPr>
        <w:t>ng costs such as common area maintenance, utilities, insurance and taxes. Certain leases contain predetermined fixed escalations of minimum rentals or require periodic adjustments of minimum rentals, depending on an index or rate. Additionally, certain lea</w:t>
      </w:r>
      <w:r>
        <w:rPr>
          <w:rFonts w:ascii="Arial" w:eastAsia="Arial" w:hAnsi="Arial" w:cs="Arial"/>
          <w:sz w:val="16"/>
          <w:szCs w:val="16"/>
        </w:rPr>
        <w:t>ses contain incentives, such as construction allowances from landlords and/or rent abatements subsequent to taking possession of the leased property.</w:t>
      </w:r>
    </w:p>
    <w:p w14:paraId="79A9E2E2" w14:textId="77777777" w:rsidR="00D1587D" w:rsidRDefault="00D1587D">
      <w:pPr>
        <w:spacing w:line="57" w:lineRule="exact"/>
        <w:rPr>
          <w:sz w:val="20"/>
          <w:szCs w:val="20"/>
        </w:rPr>
      </w:pPr>
    </w:p>
    <w:p w14:paraId="05720306" w14:textId="77777777" w:rsidR="00D1587D" w:rsidRDefault="00410D07">
      <w:pPr>
        <w:spacing w:line="273" w:lineRule="auto"/>
        <w:ind w:left="300" w:right="399" w:firstLine="360"/>
        <w:rPr>
          <w:sz w:val="20"/>
          <w:szCs w:val="20"/>
        </w:rPr>
      </w:pPr>
      <w:r>
        <w:rPr>
          <w:rFonts w:ascii="Arial" w:eastAsia="Arial" w:hAnsi="Arial" w:cs="Arial"/>
          <w:sz w:val="17"/>
          <w:szCs w:val="17"/>
        </w:rPr>
        <w:t>At lease commencement, the Company recognizes an asset for the right to use the leased asset and a liabil</w:t>
      </w:r>
      <w:r>
        <w:rPr>
          <w:rFonts w:ascii="Arial" w:eastAsia="Arial" w:hAnsi="Arial" w:cs="Arial"/>
          <w:sz w:val="17"/>
          <w:szCs w:val="17"/>
        </w:rPr>
        <w:t>ity based on the present value of the unpaid fixed lease payments. Operating lease costs are recognized on a straight-line basis as lease expense over the lease term. Variable lease payments associated with the Company’s leases are recognized upon occurren</w:t>
      </w:r>
      <w:r>
        <w:rPr>
          <w:rFonts w:ascii="Arial" w:eastAsia="Arial" w:hAnsi="Arial" w:cs="Arial"/>
          <w:sz w:val="17"/>
          <w:szCs w:val="17"/>
        </w:rPr>
        <w:t>ce of the event or circumstance on which the payments are assessed. Short-term leases with an initial term of 12 months or less are not recorded on the balance sheet, and lease expense is recognized on a straight-line basis over the lease term.</w:t>
      </w:r>
    </w:p>
    <w:p w14:paraId="01EAA7AB" w14:textId="77777777" w:rsidR="00D1587D" w:rsidRDefault="00D1587D">
      <w:pPr>
        <w:spacing w:line="70" w:lineRule="exact"/>
        <w:rPr>
          <w:sz w:val="20"/>
          <w:szCs w:val="20"/>
        </w:rPr>
      </w:pPr>
    </w:p>
    <w:p w14:paraId="222EFE39" w14:textId="77777777" w:rsidR="00D1587D" w:rsidRDefault="00410D07">
      <w:pPr>
        <w:spacing w:line="277" w:lineRule="auto"/>
        <w:ind w:left="300" w:right="739" w:firstLine="360"/>
        <w:rPr>
          <w:sz w:val="20"/>
          <w:szCs w:val="20"/>
        </w:rPr>
      </w:pPr>
      <w:r>
        <w:rPr>
          <w:rFonts w:ascii="Arial" w:eastAsia="Arial" w:hAnsi="Arial" w:cs="Arial"/>
          <w:sz w:val="18"/>
          <w:szCs w:val="18"/>
        </w:rPr>
        <w:t>The Compan</w:t>
      </w:r>
      <w:r>
        <w:rPr>
          <w:rFonts w:ascii="Arial" w:eastAsia="Arial" w:hAnsi="Arial" w:cs="Arial"/>
          <w:sz w:val="18"/>
          <w:szCs w:val="18"/>
        </w:rPr>
        <w:t>y uses L Brands’ incremental borrowing rate, adjusted for collateral, to determine the present value of its unpaid lease payments.</w:t>
      </w:r>
    </w:p>
    <w:p w14:paraId="7FDBA5E6" w14:textId="77777777" w:rsidR="00D1587D" w:rsidRDefault="00D1587D">
      <w:pPr>
        <w:spacing w:line="170" w:lineRule="exact"/>
        <w:rPr>
          <w:sz w:val="20"/>
          <w:szCs w:val="20"/>
        </w:rPr>
      </w:pPr>
    </w:p>
    <w:p w14:paraId="28786D8E" w14:textId="77777777" w:rsidR="00D1587D" w:rsidRDefault="00410D07">
      <w:pPr>
        <w:jc w:val="center"/>
        <w:rPr>
          <w:sz w:val="20"/>
          <w:szCs w:val="20"/>
        </w:rPr>
      </w:pPr>
      <w:r>
        <w:rPr>
          <w:rFonts w:ascii="Arial" w:eastAsia="Arial" w:hAnsi="Arial" w:cs="Arial"/>
          <w:sz w:val="18"/>
          <w:szCs w:val="18"/>
        </w:rPr>
        <w:t>F-10</w:t>
      </w:r>
    </w:p>
    <w:p w14:paraId="2F0FA3F3" w14:textId="77777777" w:rsidR="00D1587D" w:rsidRDefault="00410D07">
      <w:pPr>
        <w:spacing w:line="20" w:lineRule="exact"/>
        <w:rPr>
          <w:sz w:val="20"/>
          <w:szCs w:val="20"/>
        </w:rPr>
      </w:pPr>
      <w:r>
        <w:rPr>
          <w:noProof/>
          <w:sz w:val="20"/>
          <w:szCs w:val="20"/>
        </w:rPr>
        <w:drawing>
          <wp:anchor distT="0" distB="0" distL="114300" distR="114300" simplePos="0" relativeHeight="252062720" behindDoc="1" locked="0" layoutInCell="0" allowOverlap="1" wp14:anchorId="33C1135C" wp14:editId="11108BC3">
            <wp:simplePos x="0" y="0"/>
            <wp:positionH relativeFrom="column">
              <wp:posOffset>-636905</wp:posOffset>
            </wp:positionH>
            <wp:positionV relativeFrom="paragraph">
              <wp:posOffset>134620</wp:posOffset>
            </wp:positionV>
            <wp:extent cx="6995160" cy="17145"/>
            <wp:effectExtent l="0" t="0" r="0" b="0"/>
            <wp:wrapNone/>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6116012" w14:textId="77777777" w:rsidR="00D1587D" w:rsidRDefault="00D1587D">
      <w:pPr>
        <w:sectPr w:rsidR="00D1587D">
          <w:pgSz w:w="11900" w:h="16838"/>
          <w:pgMar w:top="265" w:right="1440" w:bottom="1440" w:left="1440" w:header="0" w:footer="0" w:gutter="0"/>
          <w:cols w:space="720" w:equalWidth="0">
            <w:col w:w="9019"/>
          </w:cols>
        </w:sectPr>
      </w:pPr>
    </w:p>
    <w:bookmarkStart w:id="406" w:name="page407"/>
    <w:bookmarkEnd w:id="406"/>
    <w:p w14:paraId="639F4E4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18A0AE5" w14:textId="77777777" w:rsidR="00D1587D" w:rsidRDefault="00D1587D">
      <w:pPr>
        <w:spacing w:line="131" w:lineRule="exact"/>
        <w:rPr>
          <w:sz w:val="20"/>
          <w:szCs w:val="20"/>
        </w:rPr>
      </w:pPr>
    </w:p>
    <w:p w14:paraId="57D0F9FC" w14:textId="77777777" w:rsidR="00D1587D" w:rsidRDefault="00410D07">
      <w:pPr>
        <w:spacing w:line="257" w:lineRule="auto"/>
        <w:ind w:left="300" w:right="319" w:firstLine="360"/>
        <w:rPr>
          <w:sz w:val="20"/>
          <w:szCs w:val="20"/>
        </w:rPr>
      </w:pPr>
      <w:r>
        <w:rPr>
          <w:rFonts w:ascii="Arial" w:eastAsia="Arial" w:hAnsi="Arial" w:cs="Arial"/>
          <w:sz w:val="18"/>
          <w:szCs w:val="18"/>
        </w:rPr>
        <w:t xml:space="preserve">The Company’s store leases often include </w:t>
      </w:r>
      <w:r>
        <w:rPr>
          <w:rFonts w:ascii="Arial" w:eastAsia="Arial" w:hAnsi="Arial" w:cs="Arial"/>
          <w:sz w:val="18"/>
          <w:szCs w:val="18"/>
        </w:rPr>
        <w:t>options to extend the initial term or to terminate the lease prior to the end of the initial term. The exercise of these options is typically at the sole discretion of the Company. These options are included in determining the initial lease term at lease c</w:t>
      </w:r>
      <w:r>
        <w:rPr>
          <w:rFonts w:ascii="Arial" w:eastAsia="Arial" w:hAnsi="Arial" w:cs="Arial"/>
          <w:sz w:val="18"/>
          <w:szCs w:val="18"/>
        </w:rPr>
        <w:t>ommencement if the Company is reasonably certain to exercise the option. Additionally, the Company may operate stores for a period of time on a month-to-month basis after the expiration of the lease term.</w:t>
      </w:r>
    </w:p>
    <w:p w14:paraId="07133010" w14:textId="77777777" w:rsidR="00D1587D" w:rsidRDefault="00D1587D">
      <w:pPr>
        <w:spacing w:line="80" w:lineRule="exact"/>
        <w:rPr>
          <w:sz w:val="20"/>
          <w:szCs w:val="20"/>
        </w:rPr>
      </w:pPr>
    </w:p>
    <w:p w14:paraId="06277E6D" w14:textId="77777777" w:rsidR="00D1587D" w:rsidRDefault="00410D07">
      <w:pPr>
        <w:spacing w:line="279" w:lineRule="auto"/>
        <w:ind w:left="300" w:right="399" w:firstLine="360"/>
        <w:rPr>
          <w:sz w:val="20"/>
          <w:szCs w:val="20"/>
        </w:rPr>
      </w:pPr>
      <w:r>
        <w:rPr>
          <w:rFonts w:ascii="Arial" w:eastAsia="Arial" w:hAnsi="Arial" w:cs="Arial"/>
          <w:sz w:val="17"/>
          <w:szCs w:val="17"/>
        </w:rPr>
        <w:t xml:space="preserve">The Company also has leasehold </w:t>
      </w:r>
      <w:r>
        <w:rPr>
          <w:rFonts w:ascii="Arial" w:eastAsia="Arial" w:hAnsi="Arial" w:cs="Arial"/>
          <w:sz w:val="17"/>
          <w:szCs w:val="17"/>
        </w:rPr>
        <w:t xml:space="preserve">improvements, which are amortized over the shorter of their estimated useful lives or the period from the date the assets are placed in service to the end of the initial lease term. Leasehold improvements made after the inception of the initial lease term </w:t>
      </w:r>
      <w:r>
        <w:rPr>
          <w:rFonts w:ascii="Arial" w:eastAsia="Arial" w:hAnsi="Arial" w:cs="Arial"/>
          <w:sz w:val="17"/>
          <w:szCs w:val="17"/>
        </w:rPr>
        <w:t>are depreciated over the shorter of their estimated useful lives or the remaining lease term, including renewal periods, if reasonably assured.</w:t>
      </w:r>
    </w:p>
    <w:p w14:paraId="3429E04F" w14:textId="77777777" w:rsidR="00D1587D" w:rsidRDefault="00D1587D">
      <w:pPr>
        <w:spacing w:line="225" w:lineRule="exact"/>
        <w:rPr>
          <w:sz w:val="20"/>
          <w:szCs w:val="20"/>
        </w:rPr>
      </w:pPr>
    </w:p>
    <w:p w14:paraId="458EFFD4" w14:textId="77777777" w:rsidR="00D1587D" w:rsidRDefault="00410D07">
      <w:pPr>
        <w:ind w:left="300"/>
        <w:rPr>
          <w:sz w:val="20"/>
          <w:szCs w:val="20"/>
        </w:rPr>
      </w:pPr>
      <w:r>
        <w:rPr>
          <w:rFonts w:ascii="Arial" w:eastAsia="Arial" w:hAnsi="Arial" w:cs="Arial"/>
          <w:b/>
          <w:bCs/>
          <w:i/>
          <w:iCs/>
          <w:sz w:val="18"/>
          <w:szCs w:val="18"/>
        </w:rPr>
        <w:t>Trade Name</w:t>
      </w:r>
    </w:p>
    <w:p w14:paraId="19F94CA6" w14:textId="77777777" w:rsidR="00D1587D" w:rsidRDefault="00D1587D">
      <w:pPr>
        <w:spacing w:line="117" w:lineRule="exact"/>
        <w:rPr>
          <w:sz w:val="20"/>
          <w:szCs w:val="20"/>
        </w:rPr>
      </w:pPr>
    </w:p>
    <w:p w14:paraId="0BFE2D9C" w14:textId="77777777" w:rsidR="00D1587D" w:rsidRDefault="00410D07">
      <w:pPr>
        <w:spacing w:line="270" w:lineRule="auto"/>
        <w:ind w:left="300" w:right="339" w:firstLine="360"/>
        <w:rPr>
          <w:sz w:val="20"/>
          <w:szCs w:val="20"/>
        </w:rPr>
      </w:pPr>
      <w:r>
        <w:rPr>
          <w:rFonts w:ascii="Arial" w:eastAsia="Arial" w:hAnsi="Arial" w:cs="Arial"/>
          <w:sz w:val="17"/>
          <w:szCs w:val="17"/>
        </w:rPr>
        <w:t xml:space="preserve">The Victoria’s Secret trade name is an intangible asset with an indefinite life. Intangible assets </w:t>
      </w:r>
      <w:r>
        <w:rPr>
          <w:rFonts w:ascii="Arial" w:eastAsia="Arial" w:hAnsi="Arial" w:cs="Arial"/>
          <w:sz w:val="17"/>
          <w:szCs w:val="17"/>
        </w:rPr>
        <w:t xml:space="preserve">with indefinite lives are reviewed for impairment each year in the fourth quarter and may be reviewed more frequently if certain events occur or circumstances change. The Company has the option to either first perform a qualitative assessment to determine </w:t>
      </w:r>
      <w:r>
        <w:rPr>
          <w:rFonts w:ascii="Arial" w:eastAsia="Arial" w:hAnsi="Arial" w:cs="Arial"/>
          <w:sz w:val="17"/>
          <w:szCs w:val="17"/>
        </w:rPr>
        <w:t>whether it is more likely than not that the indefinite-lived intangible asset is impaired, or to proceed directly to the quantitative assessment, which requires a comparison of the fair value of the intangible asset to its carrying value. To determine if t</w:t>
      </w:r>
      <w:r>
        <w:rPr>
          <w:rFonts w:ascii="Arial" w:eastAsia="Arial" w:hAnsi="Arial" w:cs="Arial"/>
          <w:sz w:val="17"/>
          <w:szCs w:val="17"/>
        </w:rPr>
        <w:t>he fair value of the asset is less than its carrying amount, the Company will estimate the fair value, usually determined by the relief from royalty method under the income approach, and compare that value with its carrying amount. If the carrying value of</w:t>
      </w:r>
      <w:r>
        <w:rPr>
          <w:rFonts w:ascii="Arial" w:eastAsia="Arial" w:hAnsi="Arial" w:cs="Arial"/>
          <w:sz w:val="17"/>
          <w:szCs w:val="17"/>
        </w:rPr>
        <w:t xml:space="preserve"> the trade name exceeds its fair value, the Company recognizes an impairment charge equal to the difference.</w:t>
      </w:r>
    </w:p>
    <w:p w14:paraId="31288114" w14:textId="77777777" w:rsidR="00D1587D" w:rsidRDefault="00D1587D">
      <w:pPr>
        <w:spacing w:line="221" w:lineRule="exact"/>
        <w:rPr>
          <w:sz w:val="20"/>
          <w:szCs w:val="20"/>
        </w:rPr>
      </w:pPr>
    </w:p>
    <w:p w14:paraId="79ECBA13" w14:textId="77777777" w:rsidR="00D1587D" w:rsidRDefault="00410D07">
      <w:pPr>
        <w:ind w:left="300"/>
        <w:rPr>
          <w:sz w:val="20"/>
          <w:szCs w:val="20"/>
        </w:rPr>
      </w:pPr>
      <w:r>
        <w:rPr>
          <w:rFonts w:ascii="Arial" w:eastAsia="Arial" w:hAnsi="Arial" w:cs="Arial"/>
          <w:b/>
          <w:bCs/>
          <w:i/>
          <w:iCs/>
          <w:sz w:val="18"/>
          <w:szCs w:val="18"/>
        </w:rPr>
        <w:t>Income Taxes</w:t>
      </w:r>
    </w:p>
    <w:p w14:paraId="09AB54A1" w14:textId="77777777" w:rsidR="00D1587D" w:rsidRDefault="00D1587D">
      <w:pPr>
        <w:spacing w:line="117" w:lineRule="exact"/>
        <w:rPr>
          <w:sz w:val="20"/>
          <w:szCs w:val="20"/>
        </w:rPr>
      </w:pPr>
    </w:p>
    <w:p w14:paraId="0CDA635B" w14:textId="77777777" w:rsidR="00D1587D" w:rsidRDefault="00410D07">
      <w:pPr>
        <w:spacing w:line="289" w:lineRule="auto"/>
        <w:ind w:left="300" w:right="459" w:firstLine="360"/>
        <w:rPr>
          <w:sz w:val="20"/>
          <w:szCs w:val="20"/>
        </w:rPr>
      </w:pPr>
      <w:r>
        <w:rPr>
          <w:rFonts w:ascii="Arial" w:eastAsia="Arial" w:hAnsi="Arial" w:cs="Arial"/>
          <w:sz w:val="16"/>
          <w:szCs w:val="16"/>
        </w:rPr>
        <w:t>The Company accounts for income taxes under the asset and liability method. Under this method, taxes currently payable or refundable</w:t>
      </w:r>
      <w:r>
        <w:rPr>
          <w:rFonts w:ascii="Arial" w:eastAsia="Arial" w:hAnsi="Arial" w:cs="Arial"/>
          <w:sz w:val="16"/>
          <w:szCs w:val="16"/>
        </w:rPr>
        <w:t xml:space="preserve"> are accrued, and deferred tax assets and liabilities are recognized for the estimated future tax consequences attributable to differences between the financial statement carrying amounts of existing assets and liabilities and their respective tax bases. D</w:t>
      </w:r>
      <w:r>
        <w:rPr>
          <w:rFonts w:ascii="Arial" w:eastAsia="Arial" w:hAnsi="Arial" w:cs="Arial"/>
          <w:sz w:val="16"/>
          <w:szCs w:val="16"/>
        </w:rPr>
        <w:t>eferred tax assets are also recognized for realizable operating loss and tax credit carryforwards. Deferred tax assets and liabilities are measured using enacted income tax rates in effect for the year in which those temporary differences are expected to b</w:t>
      </w:r>
      <w:r>
        <w:rPr>
          <w:rFonts w:ascii="Arial" w:eastAsia="Arial" w:hAnsi="Arial" w:cs="Arial"/>
          <w:sz w:val="16"/>
          <w:szCs w:val="16"/>
        </w:rPr>
        <w:t>e recovered or settled. The effect on deferred tax assets and liabilities of a change in income tax rates is recognized in the Company’s Combined Statement of Income (Loss) in the period that includes the enactment date. A valuation allowance is recorded t</w:t>
      </w:r>
      <w:r>
        <w:rPr>
          <w:rFonts w:ascii="Arial" w:eastAsia="Arial" w:hAnsi="Arial" w:cs="Arial"/>
          <w:sz w:val="16"/>
          <w:szCs w:val="16"/>
        </w:rPr>
        <w:t>o reduce the carrying amounts of deferred tax assets if it is more likely than not that such assets will not be realized.</w:t>
      </w:r>
    </w:p>
    <w:p w14:paraId="31225CBF" w14:textId="77777777" w:rsidR="00D1587D" w:rsidRDefault="00D1587D">
      <w:pPr>
        <w:spacing w:line="58" w:lineRule="exact"/>
        <w:rPr>
          <w:sz w:val="20"/>
          <w:szCs w:val="20"/>
        </w:rPr>
      </w:pPr>
    </w:p>
    <w:p w14:paraId="0E4CD831" w14:textId="77777777" w:rsidR="00D1587D" w:rsidRDefault="00410D07">
      <w:pPr>
        <w:spacing w:line="311" w:lineRule="auto"/>
        <w:ind w:left="300" w:right="299" w:firstLine="360"/>
        <w:rPr>
          <w:sz w:val="20"/>
          <w:szCs w:val="20"/>
        </w:rPr>
      </w:pPr>
      <w:r>
        <w:rPr>
          <w:rFonts w:ascii="Arial" w:eastAsia="Arial" w:hAnsi="Arial" w:cs="Arial"/>
          <w:sz w:val="16"/>
          <w:szCs w:val="16"/>
        </w:rPr>
        <w:t xml:space="preserve">In determining the Company’s provision for income taxes, the Company considers permanent differences between book and tax income and </w:t>
      </w:r>
      <w:r>
        <w:rPr>
          <w:rFonts w:ascii="Arial" w:eastAsia="Arial" w:hAnsi="Arial" w:cs="Arial"/>
          <w:sz w:val="16"/>
          <w:szCs w:val="16"/>
        </w:rPr>
        <w:t>statutory income tax rates. The Company’s effective income tax rate is affected by items including changes in tax law, the tax jurisdiction of new stores or business ventures and the level of earnings.</w:t>
      </w:r>
    </w:p>
    <w:p w14:paraId="350E8A3F" w14:textId="77777777" w:rsidR="00D1587D" w:rsidRDefault="00D1587D">
      <w:pPr>
        <w:spacing w:line="41" w:lineRule="exact"/>
        <w:rPr>
          <w:sz w:val="20"/>
          <w:szCs w:val="20"/>
        </w:rPr>
      </w:pPr>
    </w:p>
    <w:p w14:paraId="09DA6071" w14:textId="77777777" w:rsidR="00D1587D" w:rsidRDefault="00410D07">
      <w:pPr>
        <w:spacing w:line="254" w:lineRule="auto"/>
        <w:ind w:left="300" w:right="319" w:firstLine="360"/>
        <w:rPr>
          <w:sz w:val="20"/>
          <w:szCs w:val="20"/>
        </w:rPr>
      </w:pPr>
      <w:r>
        <w:rPr>
          <w:rFonts w:ascii="Arial" w:eastAsia="Arial" w:hAnsi="Arial" w:cs="Arial"/>
          <w:sz w:val="18"/>
          <w:szCs w:val="18"/>
        </w:rPr>
        <w:t xml:space="preserve">The Company follows a two-step approach to recognize </w:t>
      </w:r>
      <w:r>
        <w:rPr>
          <w:rFonts w:ascii="Arial" w:eastAsia="Arial" w:hAnsi="Arial" w:cs="Arial"/>
          <w:sz w:val="18"/>
          <w:szCs w:val="18"/>
        </w:rPr>
        <w:t xml:space="preserve">and measure uncertain tax positions. The first step is to evaluate the tax position for recognition by determining if the available evidence indicates it is more likely than not that the position will be sustained on audit, including resolution of related </w:t>
      </w:r>
      <w:r>
        <w:rPr>
          <w:rFonts w:ascii="Arial" w:eastAsia="Arial" w:hAnsi="Arial" w:cs="Arial"/>
          <w:sz w:val="18"/>
          <w:szCs w:val="18"/>
        </w:rPr>
        <w:t>appeals or litigation processes, if any. The second step is to measure the tax benefit as the largest amount which is more than 50% likely of being realized upon ultimate settlement. The Company considers many factors when evaluating and estimating its tax</w:t>
      </w:r>
      <w:r>
        <w:rPr>
          <w:rFonts w:ascii="Arial" w:eastAsia="Arial" w:hAnsi="Arial" w:cs="Arial"/>
          <w:sz w:val="18"/>
          <w:szCs w:val="18"/>
        </w:rPr>
        <w:t xml:space="preserve"> positions and tax benefits, which may require periodic adjustments and for which actual outcomes may differ from forecasted outcomes. The Company’s policy is to include interest and penalties related to uncertain tax positions in income tax expense.</w:t>
      </w:r>
    </w:p>
    <w:p w14:paraId="19B28274" w14:textId="77777777" w:rsidR="00D1587D" w:rsidRDefault="00D1587D">
      <w:pPr>
        <w:spacing w:line="84" w:lineRule="exact"/>
        <w:rPr>
          <w:sz w:val="20"/>
          <w:szCs w:val="20"/>
        </w:rPr>
      </w:pPr>
    </w:p>
    <w:p w14:paraId="704366D7" w14:textId="77777777" w:rsidR="00D1587D" w:rsidRDefault="00410D07">
      <w:pPr>
        <w:spacing w:line="270" w:lineRule="auto"/>
        <w:ind w:left="300" w:right="359" w:firstLine="360"/>
        <w:rPr>
          <w:sz w:val="20"/>
          <w:szCs w:val="20"/>
        </w:rPr>
      </w:pPr>
      <w:r>
        <w:rPr>
          <w:rFonts w:ascii="Arial" w:eastAsia="Arial" w:hAnsi="Arial" w:cs="Arial"/>
          <w:sz w:val="17"/>
          <w:szCs w:val="17"/>
        </w:rPr>
        <w:t>Historically, the Company’s income tax expense and deferred tax balances have been included in the L Brands’ income tax returns. L Brands’ income tax returns, like those of most companies, are periodically audited by domestic and foreign tax authorities. T</w:t>
      </w:r>
      <w:r>
        <w:rPr>
          <w:rFonts w:ascii="Arial" w:eastAsia="Arial" w:hAnsi="Arial" w:cs="Arial"/>
          <w:sz w:val="17"/>
          <w:szCs w:val="17"/>
        </w:rPr>
        <w:t>hese audits include questions regarding tax filing positions, including the timing and amount of deductions and the allocation of income and expense among various tax jurisdictions. At any one time, multiple tax years are subject to audit by the various ta</w:t>
      </w:r>
      <w:r>
        <w:rPr>
          <w:rFonts w:ascii="Arial" w:eastAsia="Arial" w:hAnsi="Arial" w:cs="Arial"/>
          <w:sz w:val="17"/>
          <w:szCs w:val="17"/>
        </w:rPr>
        <w:t xml:space="preserve">x authorities. A number of years may elapse before a particular matter for which the Company has established an accrual is audited and fully resolved or clarified. The Company adjusts its tax contingencies accrual and income tax provision in the period in </w:t>
      </w:r>
      <w:r>
        <w:rPr>
          <w:rFonts w:ascii="Arial" w:eastAsia="Arial" w:hAnsi="Arial" w:cs="Arial"/>
          <w:sz w:val="17"/>
          <w:szCs w:val="17"/>
        </w:rPr>
        <w:t>which matters are effectively settled with tax authorities at amounts different from its established accrual, when the statute of limitations expires for the relevant taxing authority to examine the tax position or</w:t>
      </w:r>
    </w:p>
    <w:p w14:paraId="64CD49FA" w14:textId="77777777" w:rsidR="00D1587D" w:rsidRDefault="00D1587D">
      <w:pPr>
        <w:spacing w:line="181" w:lineRule="exact"/>
        <w:rPr>
          <w:sz w:val="20"/>
          <w:szCs w:val="20"/>
        </w:rPr>
      </w:pPr>
    </w:p>
    <w:p w14:paraId="329BF009" w14:textId="77777777" w:rsidR="00D1587D" w:rsidRDefault="00410D07">
      <w:pPr>
        <w:jc w:val="center"/>
        <w:rPr>
          <w:sz w:val="20"/>
          <w:szCs w:val="20"/>
        </w:rPr>
      </w:pPr>
      <w:r>
        <w:rPr>
          <w:rFonts w:ascii="Arial" w:eastAsia="Arial" w:hAnsi="Arial" w:cs="Arial"/>
          <w:sz w:val="18"/>
          <w:szCs w:val="18"/>
        </w:rPr>
        <w:t>F-11</w:t>
      </w:r>
    </w:p>
    <w:p w14:paraId="2354588C" w14:textId="77777777" w:rsidR="00D1587D" w:rsidRDefault="00410D07">
      <w:pPr>
        <w:spacing w:line="20" w:lineRule="exact"/>
        <w:rPr>
          <w:sz w:val="20"/>
          <w:szCs w:val="20"/>
        </w:rPr>
      </w:pPr>
      <w:r>
        <w:rPr>
          <w:noProof/>
          <w:sz w:val="20"/>
          <w:szCs w:val="20"/>
        </w:rPr>
        <w:drawing>
          <wp:anchor distT="0" distB="0" distL="114300" distR="114300" simplePos="0" relativeHeight="252063744" behindDoc="1" locked="0" layoutInCell="0" allowOverlap="1" wp14:anchorId="42CE7B6D" wp14:editId="0661D84C">
            <wp:simplePos x="0" y="0"/>
            <wp:positionH relativeFrom="column">
              <wp:posOffset>-636905</wp:posOffset>
            </wp:positionH>
            <wp:positionV relativeFrom="paragraph">
              <wp:posOffset>126365</wp:posOffset>
            </wp:positionV>
            <wp:extent cx="6995160" cy="17145"/>
            <wp:effectExtent l="0" t="0" r="0" b="0"/>
            <wp:wrapNone/>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5D5AD13" w14:textId="77777777" w:rsidR="00D1587D" w:rsidRDefault="00D1587D">
      <w:pPr>
        <w:sectPr w:rsidR="00D1587D">
          <w:pgSz w:w="11900" w:h="16838"/>
          <w:pgMar w:top="265" w:right="1440" w:bottom="1440" w:left="1440" w:header="0" w:footer="0" w:gutter="0"/>
          <w:cols w:space="720" w:equalWidth="0">
            <w:col w:w="9019"/>
          </w:cols>
        </w:sectPr>
      </w:pPr>
    </w:p>
    <w:bookmarkStart w:id="407" w:name="page408"/>
    <w:bookmarkEnd w:id="407"/>
    <w:p w14:paraId="215DB747"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w:instrText>
      </w:r>
      <w:r>
        <w:instrText xml:space="preserve">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34CDE8F" w14:textId="77777777" w:rsidR="00D1587D" w:rsidRDefault="00D1587D">
      <w:pPr>
        <w:spacing w:line="131" w:lineRule="exact"/>
        <w:rPr>
          <w:sz w:val="20"/>
          <w:szCs w:val="20"/>
        </w:rPr>
      </w:pPr>
    </w:p>
    <w:p w14:paraId="5702DD87" w14:textId="77777777" w:rsidR="00D1587D" w:rsidRDefault="00410D07">
      <w:pPr>
        <w:spacing w:line="301" w:lineRule="auto"/>
        <w:ind w:left="300" w:right="439"/>
        <w:rPr>
          <w:sz w:val="20"/>
          <w:szCs w:val="20"/>
        </w:rPr>
      </w:pPr>
      <w:r>
        <w:rPr>
          <w:rFonts w:ascii="Arial" w:eastAsia="Arial" w:hAnsi="Arial" w:cs="Arial"/>
          <w:sz w:val="16"/>
          <w:szCs w:val="16"/>
        </w:rPr>
        <w:t>when more information becomes available. The Company includes its tax contingencies accrual, including accrued penalties and interest, in Other Long-term Liabilities on the Combined Balance Sheets unless the liability is exp</w:t>
      </w:r>
      <w:r>
        <w:rPr>
          <w:rFonts w:ascii="Arial" w:eastAsia="Arial" w:hAnsi="Arial" w:cs="Arial"/>
          <w:sz w:val="16"/>
          <w:szCs w:val="16"/>
        </w:rPr>
        <w:t>ected to be paid within one year. Changes to the tax contingencies accrual, including accrued penalties and interest, are included in Provision (Benefit) for Income Taxes on the Combined Statements of Income (Loss).</w:t>
      </w:r>
    </w:p>
    <w:p w14:paraId="23F96C1F" w14:textId="77777777" w:rsidR="00D1587D" w:rsidRDefault="00D1587D">
      <w:pPr>
        <w:spacing w:line="292" w:lineRule="exact"/>
        <w:rPr>
          <w:sz w:val="20"/>
          <w:szCs w:val="20"/>
        </w:rPr>
      </w:pPr>
    </w:p>
    <w:p w14:paraId="32B5A034" w14:textId="77777777" w:rsidR="00D1587D" w:rsidRDefault="00410D07">
      <w:pPr>
        <w:ind w:left="300"/>
        <w:rPr>
          <w:sz w:val="20"/>
          <w:szCs w:val="20"/>
        </w:rPr>
      </w:pPr>
      <w:r>
        <w:rPr>
          <w:rFonts w:ascii="Arial" w:eastAsia="Arial" w:hAnsi="Arial" w:cs="Arial"/>
          <w:b/>
          <w:bCs/>
          <w:i/>
          <w:iCs/>
          <w:sz w:val="18"/>
          <w:szCs w:val="18"/>
        </w:rPr>
        <w:t>Self-Insurance</w:t>
      </w:r>
    </w:p>
    <w:p w14:paraId="7CCFB48B" w14:textId="77777777" w:rsidR="00D1587D" w:rsidRDefault="00D1587D">
      <w:pPr>
        <w:spacing w:line="117" w:lineRule="exact"/>
        <w:rPr>
          <w:sz w:val="20"/>
          <w:szCs w:val="20"/>
        </w:rPr>
      </w:pPr>
    </w:p>
    <w:p w14:paraId="474E278A" w14:textId="77777777" w:rsidR="00D1587D" w:rsidRDefault="00410D07">
      <w:pPr>
        <w:spacing w:line="272" w:lineRule="auto"/>
        <w:ind w:left="300" w:right="319" w:firstLine="360"/>
        <w:rPr>
          <w:sz w:val="20"/>
          <w:szCs w:val="20"/>
        </w:rPr>
      </w:pPr>
      <w:r>
        <w:rPr>
          <w:rFonts w:ascii="Arial" w:eastAsia="Arial" w:hAnsi="Arial" w:cs="Arial"/>
          <w:sz w:val="17"/>
          <w:szCs w:val="17"/>
        </w:rPr>
        <w:t xml:space="preserve">L Brands is </w:t>
      </w:r>
      <w:r>
        <w:rPr>
          <w:rFonts w:ascii="Arial" w:eastAsia="Arial" w:hAnsi="Arial" w:cs="Arial"/>
          <w:sz w:val="17"/>
          <w:szCs w:val="17"/>
        </w:rPr>
        <w:t>self-insured for medical, workers’ compensation, property, general liability and automobile liability up to certain stop-loss limits. Such costs are accrued based on known claims and an estimate of incurred but not reported (“IBNR”) claims. IBNR claims are</w:t>
      </w:r>
      <w:r>
        <w:rPr>
          <w:rFonts w:ascii="Arial" w:eastAsia="Arial" w:hAnsi="Arial" w:cs="Arial"/>
          <w:sz w:val="17"/>
          <w:szCs w:val="17"/>
        </w:rPr>
        <w:t xml:space="preserve"> estimated using historical claim information and actuarial estimates. L Brands’ businesses, including the Company, are charged directly for their estimated share of the cost of these self-insured programs, and the Company’s share of the cost is included i</w:t>
      </w:r>
      <w:r>
        <w:rPr>
          <w:rFonts w:ascii="Arial" w:eastAsia="Arial" w:hAnsi="Arial" w:cs="Arial"/>
          <w:sz w:val="17"/>
          <w:szCs w:val="17"/>
        </w:rPr>
        <w:t>n the Combined Statements of Income (Loss). The Company’s estimated share of L Brands’ retained liability for these programs has been reflected in the Combined Balance Sheets within Accrued Expenses and Other.</w:t>
      </w:r>
    </w:p>
    <w:p w14:paraId="1C4FBA78" w14:textId="77777777" w:rsidR="00D1587D" w:rsidRDefault="00D1587D">
      <w:pPr>
        <w:spacing w:line="312" w:lineRule="exact"/>
        <w:rPr>
          <w:sz w:val="20"/>
          <w:szCs w:val="20"/>
        </w:rPr>
      </w:pPr>
    </w:p>
    <w:p w14:paraId="39B13F32" w14:textId="77777777" w:rsidR="00D1587D" w:rsidRDefault="00410D07">
      <w:pPr>
        <w:ind w:left="300"/>
        <w:rPr>
          <w:sz w:val="20"/>
          <w:szCs w:val="20"/>
        </w:rPr>
      </w:pPr>
      <w:r>
        <w:rPr>
          <w:rFonts w:ascii="Arial" w:eastAsia="Arial" w:hAnsi="Arial" w:cs="Arial"/>
          <w:b/>
          <w:bCs/>
          <w:i/>
          <w:iCs/>
          <w:sz w:val="18"/>
          <w:szCs w:val="18"/>
        </w:rPr>
        <w:t>Equity Method Investments</w:t>
      </w:r>
    </w:p>
    <w:p w14:paraId="5FD24471" w14:textId="77777777" w:rsidR="00D1587D" w:rsidRDefault="00D1587D">
      <w:pPr>
        <w:spacing w:line="117" w:lineRule="exact"/>
        <w:rPr>
          <w:sz w:val="20"/>
          <w:szCs w:val="20"/>
        </w:rPr>
      </w:pPr>
    </w:p>
    <w:p w14:paraId="209896BE" w14:textId="77777777" w:rsidR="00D1587D" w:rsidRDefault="00410D07">
      <w:pPr>
        <w:spacing w:line="286" w:lineRule="auto"/>
        <w:ind w:left="300" w:right="319" w:firstLine="360"/>
        <w:rPr>
          <w:sz w:val="20"/>
          <w:szCs w:val="20"/>
        </w:rPr>
      </w:pPr>
      <w:r>
        <w:rPr>
          <w:rFonts w:ascii="Arial" w:eastAsia="Arial" w:hAnsi="Arial" w:cs="Arial"/>
          <w:sz w:val="16"/>
          <w:szCs w:val="16"/>
        </w:rPr>
        <w:t xml:space="preserve">The Company </w:t>
      </w:r>
      <w:r>
        <w:rPr>
          <w:rFonts w:ascii="Arial" w:eastAsia="Arial" w:hAnsi="Arial" w:cs="Arial"/>
          <w:sz w:val="16"/>
          <w:szCs w:val="16"/>
        </w:rPr>
        <w:t xml:space="preserve">accounts for investments in unconsolidated entities where it exercises significant influence, but does not have control, using the equity method. Under the equity method of accounting, the Company recognizes its share of the investee’s net income or loss. </w:t>
      </w:r>
      <w:r>
        <w:rPr>
          <w:rFonts w:ascii="Arial" w:eastAsia="Arial" w:hAnsi="Arial" w:cs="Arial"/>
          <w:sz w:val="16"/>
          <w:szCs w:val="16"/>
        </w:rPr>
        <w:t xml:space="preserve">Losses are only recognized to the extent the Company has positive carrying value related to the investee. Carrying values are only reduced below zero if the Company has an obligation to provide funding to the investee. The Company’s share of net income or </w:t>
      </w:r>
      <w:r>
        <w:rPr>
          <w:rFonts w:ascii="Arial" w:eastAsia="Arial" w:hAnsi="Arial" w:cs="Arial"/>
          <w:sz w:val="16"/>
          <w:szCs w:val="16"/>
        </w:rPr>
        <w:t xml:space="preserve">loss of unconsolidated entities from which the Company purchases merchandise or merchandise components is included in Costs of Goods Sold, Buying and Occupancy in the Combined Statements of Income (Loss). The Company’s share of net income or loss from its </w:t>
      </w:r>
      <w:r>
        <w:rPr>
          <w:rFonts w:ascii="Arial" w:eastAsia="Arial" w:hAnsi="Arial" w:cs="Arial"/>
          <w:sz w:val="16"/>
          <w:szCs w:val="16"/>
        </w:rPr>
        <w:t>investment in the Victoria’s Secret U.K. joint venture with Next PLC is included in General, Administrative and Store Operating Expenses in the Combined Statements of Income (Loss). See Note 5, “Restructuring Activities” for additional information on the V</w:t>
      </w:r>
      <w:r>
        <w:rPr>
          <w:rFonts w:ascii="Arial" w:eastAsia="Arial" w:hAnsi="Arial" w:cs="Arial"/>
          <w:sz w:val="16"/>
          <w:szCs w:val="16"/>
        </w:rPr>
        <w:t>ictoria’s Secret U.K. joint venture. The Company’s equity method investments are required to be reviewed for impairment when it is determined there may be an other-than-temporary loss in value. The carrying values of equity method investments were $35 mill</w:t>
      </w:r>
      <w:r>
        <w:rPr>
          <w:rFonts w:ascii="Arial" w:eastAsia="Arial" w:hAnsi="Arial" w:cs="Arial"/>
          <w:sz w:val="16"/>
          <w:szCs w:val="16"/>
        </w:rPr>
        <w:t>ion and $38 million as of January 30, 2021 and February 1, 2020, respectively. These investments are recorded in Other Assets on the Combined Balance Sheets.</w:t>
      </w:r>
    </w:p>
    <w:p w14:paraId="18DBBBE3" w14:textId="77777777" w:rsidR="00D1587D" w:rsidRDefault="00D1587D">
      <w:pPr>
        <w:spacing w:line="309" w:lineRule="exact"/>
        <w:rPr>
          <w:sz w:val="20"/>
          <w:szCs w:val="20"/>
        </w:rPr>
      </w:pPr>
    </w:p>
    <w:p w14:paraId="40C3A42B" w14:textId="77777777" w:rsidR="00D1587D" w:rsidRDefault="00410D07">
      <w:pPr>
        <w:ind w:left="300"/>
        <w:rPr>
          <w:sz w:val="20"/>
          <w:szCs w:val="20"/>
        </w:rPr>
      </w:pPr>
      <w:r>
        <w:rPr>
          <w:rFonts w:ascii="Arial" w:eastAsia="Arial" w:hAnsi="Arial" w:cs="Arial"/>
          <w:b/>
          <w:bCs/>
          <w:i/>
          <w:iCs/>
          <w:sz w:val="18"/>
          <w:szCs w:val="18"/>
        </w:rPr>
        <w:t>Net Investment by L Brands, Inc.</w:t>
      </w:r>
    </w:p>
    <w:p w14:paraId="2C7DE202" w14:textId="77777777" w:rsidR="00D1587D" w:rsidRDefault="00D1587D">
      <w:pPr>
        <w:spacing w:line="117" w:lineRule="exact"/>
        <w:rPr>
          <w:sz w:val="20"/>
          <w:szCs w:val="20"/>
        </w:rPr>
      </w:pPr>
    </w:p>
    <w:p w14:paraId="74543F24" w14:textId="77777777" w:rsidR="00D1587D" w:rsidRDefault="00410D07">
      <w:pPr>
        <w:spacing w:line="275" w:lineRule="auto"/>
        <w:ind w:left="300" w:right="379" w:firstLine="360"/>
        <w:rPr>
          <w:sz w:val="20"/>
          <w:szCs w:val="20"/>
        </w:rPr>
      </w:pPr>
      <w:r>
        <w:rPr>
          <w:rFonts w:ascii="Arial" w:eastAsia="Arial" w:hAnsi="Arial" w:cs="Arial"/>
          <w:sz w:val="17"/>
          <w:szCs w:val="17"/>
        </w:rPr>
        <w:t>Net investment by L Brands, Inc. in the Combined Balance Sheets</w:t>
      </w:r>
      <w:r>
        <w:rPr>
          <w:rFonts w:ascii="Arial" w:eastAsia="Arial" w:hAnsi="Arial" w:cs="Arial"/>
          <w:sz w:val="17"/>
          <w:szCs w:val="17"/>
        </w:rPr>
        <w:t xml:space="preserve"> is presented in lieu of shareholders’ equity and represents L Brands’ historical investment in the Company, the accumulated net earnings after taxes and the net effect of the transactions with and allocations from L Brands. All transactions reflected in N</w:t>
      </w:r>
      <w:r>
        <w:rPr>
          <w:rFonts w:ascii="Arial" w:eastAsia="Arial" w:hAnsi="Arial" w:cs="Arial"/>
          <w:sz w:val="17"/>
          <w:szCs w:val="17"/>
        </w:rPr>
        <w:t>et Investment by L Brands, Inc. in the accompanying Combined Balance Sheets have been considered as financing activities for purposes of the Combined Statements of Cash Flows.</w:t>
      </w:r>
    </w:p>
    <w:p w14:paraId="5F072ECE" w14:textId="77777777" w:rsidR="00D1587D" w:rsidRDefault="00D1587D">
      <w:pPr>
        <w:spacing w:line="68" w:lineRule="exact"/>
        <w:rPr>
          <w:sz w:val="20"/>
          <w:szCs w:val="20"/>
        </w:rPr>
      </w:pPr>
    </w:p>
    <w:p w14:paraId="319B6FE0" w14:textId="77777777" w:rsidR="00D1587D" w:rsidRDefault="00410D07">
      <w:pPr>
        <w:ind w:left="660"/>
        <w:rPr>
          <w:sz w:val="20"/>
          <w:szCs w:val="20"/>
        </w:rPr>
      </w:pPr>
      <w:r>
        <w:rPr>
          <w:rFonts w:ascii="Arial" w:eastAsia="Arial" w:hAnsi="Arial" w:cs="Arial"/>
          <w:sz w:val="16"/>
          <w:szCs w:val="16"/>
        </w:rPr>
        <w:t>For additional information, see Basis of Presentation above and Note 3, “Transa</w:t>
      </w:r>
      <w:r>
        <w:rPr>
          <w:rFonts w:ascii="Arial" w:eastAsia="Arial" w:hAnsi="Arial" w:cs="Arial"/>
          <w:sz w:val="16"/>
          <w:szCs w:val="16"/>
        </w:rPr>
        <w:t>ctions with Related Parties.”</w:t>
      </w:r>
    </w:p>
    <w:p w14:paraId="331FB274" w14:textId="77777777" w:rsidR="00D1587D" w:rsidRDefault="00D1587D">
      <w:pPr>
        <w:spacing w:line="383" w:lineRule="exact"/>
        <w:rPr>
          <w:sz w:val="20"/>
          <w:szCs w:val="20"/>
        </w:rPr>
      </w:pPr>
    </w:p>
    <w:p w14:paraId="620DC9F4" w14:textId="77777777" w:rsidR="00D1587D" w:rsidRDefault="00410D07">
      <w:pPr>
        <w:ind w:left="300"/>
        <w:rPr>
          <w:sz w:val="20"/>
          <w:szCs w:val="20"/>
        </w:rPr>
      </w:pPr>
      <w:r>
        <w:rPr>
          <w:rFonts w:ascii="Arial" w:eastAsia="Arial" w:hAnsi="Arial" w:cs="Arial"/>
          <w:b/>
          <w:bCs/>
          <w:i/>
          <w:iCs/>
          <w:sz w:val="18"/>
          <w:szCs w:val="18"/>
        </w:rPr>
        <w:t>Noncontrolling Interest</w:t>
      </w:r>
    </w:p>
    <w:p w14:paraId="46099039" w14:textId="77777777" w:rsidR="00D1587D" w:rsidRDefault="00D1587D">
      <w:pPr>
        <w:spacing w:line="117" w:lineRule="exact"/>
        <w:rPr>
          <w:sz w:val="20"/>
          <w:szCs w:val="20"/>
        </w:rPr>
      </w:pPr>
    </w:p>
    <w:p w14:paraId="77EEBAD6" w14:textId="77777777" w:rsidR="00D1587D" w:rsidRDefault="00410D07">
      <w:pPr>
        <w:spacing w:line="277" w:lineRule="auto"/>
        <w:ind w:left="300" w:right="459" w:firstLine="360"/>
        <w:rPr>
          <w:sz w:val="20"/>
          <w:szCs w:val="20"/>
        </w:rPr>
      </w:pPr>
      <w:r>
        <w:rPr>
          <w:rFonts w:ascii="Arial" w:eastAsia="Arial" w:hAnsi="Arial" w:cs="Arial"/>
          <w:sz w:val="18"/>
          <w:szCs w:val="18"/>
        </w:rPr>
        <w:t>Noncontrolling interest represented the portion of equity interests not owned by the Company in a technology joint venture in India.</w:t>
      </w:r>
    </w:p>
    <w:p w14:paraId="1C82A5AC" w14:textId="77777777" w:rsidR="00D1587D" w:rsidRDefault="00D1587D">
      <w:pPr>
        <w:spacing w:line="319" w:lineRule="exact"/>
        <w:rPr>
          <w:sz w:val="20"/>
          <w:szCs w:val="20"/>
        </w:rPr>
      </w:pPr>
    </w:p>
    <w:p w14:paraId="5B1A69C3" w14:textId="77777777" w:rsidR="00D1587D" w:rsidRDefault="00410D07">
      <w:pPr>
        <w:ind w:left="300"/>
        <w:rPr>
          <w:sz w:val="20"/>
          <w:szCs w:val="20"/>
        </w:rPr>
      </w:pPr>
      <w:r>
        <w:rPr>
          <w:rFonts w:ascii="Arial" w:eastAsia="Arial" w:hAnsi="Arial" w:cs="Arial"/>
          <w:b/>
          <w:bCs/>
          <w:i/>
          <w:iCs/>
          <w:sz w:val="18"/>
          <w:szCs w:val="18"/>
        </w:rPr>
        <w:t>Foreign Currency Translation</w:t>
      </w:r>
    </w:p>
    <w:p w14:paraId="1F58331C" w14:textId="77777777" w:rsidR="00D1587D" w:rsidRDefault="00D1587D">
      <w:pPr>
        <w:spacing w:line="117" w:lineRule="exact"/>
        <w:rPr>
          <w:sz w:val="20"/>
          <w:szCs w:val="20"/>
        </w:rPr>
      </w:pPr>
    </w:p>
    <w:p w14:paraId="15AD87C6" w14:textId="77777777" w:rsidR="00D1587D" w:rsidRDefault="00410D07">
      <w:pPr>
        <w:spacing w:line="293" w:lineRule="auto"/>
        <w:ind w:left="300" w:right="419" w:firstLine="360"/>
        <w:rPr>
          <w:sz w:val="20"/>
          <w:szCs w:val="20"/>
        </w:rPr>
      </w:pPr>
      <w:r>
        <w:rPr>
          <w:rFonts w:ascii="Arial" w:eastAsia="Arial" w:hAnsi="Arial" w:cs="Arial"/>
          <w:sz w:val="16"/>
          <w:szCs w:val="16"/>
        </w:rPr>
        <w:t>The functional currency of the Compa</w:t>
      </w:r>
      <w:r>
        <w:rPr>
          <w:rFonts w:ascii="Arial" w:eastAsia="Arial" w:hAnsi="Arial" w:cs="Arial"/>
          <w:sz w:val="16"/>
          <w:szCs w:val="16"/>
        </w:rPr>
        <w:t>ny’s foreign operations is generally the applicable local currency. Assets and liabilities are translated into U.S. dollars using the current exchange rates in effect as of the balance sheet date, while revenues and expenses are translated at the average e</w:t>
      </w:r>
      <w:r>
        <w:rPr>
          <w:rFonts w:ascii="Arial" w:eastAsia="Arial" w:hAnsi="Arial" w:cs="Arial"/>
          <w:sz w:val="16"/>
          <w:szCs w:val="16"/>
        </w:rPr>
        <w:t>xchange rates for the period. The Company’s resulting translation adjustments are recorded as a component of accumulated other comprehensive income (loss) in equity. Accumulated foreign currency translation adjustments are reclassified to net income (loss)</w:t>
      </w:r>
      <w:r>
        <w:rPr>
          <w:rFonts w:ascii="Arial" w:eastAsia="Arial" w:hAnsi="Arial" w:cs="Arial"/>
          <w:sz w:val="16"/>
          <w:szCs w:val="16"/>
        </w:rPr>
        <w:t xml:space="preserve"> when realized upon sale or upon complete, or substantially complete, liquidation of the investment in the foreign entity.</w:t>
      </w:r>
    </w:p>
    <w:p w14:paraId="3D3E7F29" w14:textId="77777777" w:rsidR="00D1587D" w:rsidRDefault="00D1587D">
      <w:pPr>
        <w:spacing w:line="164" w:lineRule="exact"/>
        <w:rPr>
          <w:sz w:val="20"/>
          <w:szCs w:val="20"/>
        </w:rPr>
      </w:pPr>
    </w:p>
    <w:p w14:paraId="21A125A2" w14:textId="77777777" w:rsidR="00D1587D" w:rsidRDefault="00410D07">
      <w:pPr>
        <w:ind w:right="19"/>
        <w:jc w:val="center"/>
        <w:rPr>
          <w:sz w:val="20"/>
          <w:szCs w:val="20"/>
        </w:rPr>
      </w:pPr>
      <w:r>
        <w:rPr>
          <w:rFonts w:ascii="Arial" w:eastAsia="Arial" w:hAnsi="Arial" w:cs="Arial"/>
          <w:sz w:val="18"/>
          <w:szCs w:val="18"/>
        </w:rPr>
        <w:t>F-12</w:t>
      </w:r>
    </w:p>
    <w:p w14:paraId="3E2D743F" w14:textId="77777777" w:rsidR="00D1587D" w:rsidRDefault="00410D07">
      <w:pPr>
        <w:spacing w:line="20" w:lineRule="exact"/>
        <w:rPr>
          <w:sz w:val="20"/>
          <w:szCs w:val="20"/>
        </w:rPr>
      </w:pPr>
      <w:r>
        <w:rPr>
          <w:noProof/>
          <w:sz w:val="20"/>
          <w:szCs w:val="20"/>
        </w:rPr>
        <w:drawing>
          <wp:anchor distT="0" distB="0" distL="114300" distR="114300" simplePos="0" relativeHeight="252064768" behindDoc="1" locked="0" layoutInCell="0" allowOverlap="1" wp14:anchorId="72B38AF6" wp14:editId="6CE6F7C6">
            <wp:simplePos x="0" y="0"/>
            <wp:positionH relativeFrom="column">
              <wp:posOffset>-636905</wp:posOffset>
            </wp:positionH>
            <wp:positionV relativeFrom="paragraph">
              <wp:posOffset>126365</wp:posOffset>
            </wp:positionV>
            <wp:extent cx="6995160" cy="17145"/>
            <wp:effectExtent l="0" t="0" r="0" b="0"/>
            <wp:wrapNone/>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0D157CC" w14:textId="77777777" w:rsidR="00D1587D" w:rsidRDefault="00D1587D">
      <w:pPr>
        <w:sectPr w:rsidR="00D1587D">
          <w:pgSz w:w="11900" w:h="16838"/>
          <w:pgMar w:top="265" w:right="1440" w:bottom="1440" w:left="1440" w:header="0" w:footer="0" w:gutter="0"/>
          <w:cols w:space="720" w:equalWidth="0">
            <w:col w:w="9019"/>
          </w:cols>
        </w:sectPr>
      </w:pPr>
    </w:p>
    <w:bookmarkStart w:id="408" w:name="page409"/>
    <w:bookmarkEnd w:id="408"/>
    <w:p w14:paraId="2A220ED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79F3C5E" w14:textId="77777777" w:rsidR="00D1587D" w:rsidRDefault="00D1587D">
      <w:pPr>
        <w:spacing w:line="131" w:lineRule="exact"/>
        <w:rPr>
          <w:sz w:val="20"/>
          <w:szCs w:val="20"/>
        </w:rPr>
      </w:pPr>
    </w:p>
    <w:p w14:paraId="32DBD730" w14:textId="77777777" w:rsidR="00D1587D" w:rsidRDefault="00410D07">
      <w:pPr>
        <w:ind w:left="300"/>
        <w:rPr>
          <w:sz w:val="20"/>
          <w:szCs w:val="20"/>
        </w:rPr>
      </w:pPr>
      <w:r>
        <w:rPr>
          <w:rFonts w:ascii="Arial" w:eastAsia="Arial" w:hAnsi="Arial" w:cs="Arial"/>
          <w:b/>
          <w:bCs/>
          <w:i/>
          <w:iCs/>
          <w:sz w:val="18"/>
          <w:szCs w:val="18"/>
        </w:rPr>
        <w:t>Fair Value</w:t>
      </w:r>
    </w:p>
    <w:p w14:paraId="36DB1BCA" w14:textId="77777777" w:rsidR="00D1587D" w:rsidRDefault="00D1587D">
      <w:pPr>
        <w:spacing w:line="117" w:lineRule="exact"/>
        <w:rPr>
          <w:sz w:val="20"/>
          <w:szCs w:val="20"/>
        </w:rPr>
      </w:pPr>
    </w:p>
    <w:p w14:paraId="0EC5D593" w14:textId="77777777" w:rsidR="00D1587D" w:rsidRDefault="00410D07">
      <w:pPr>
        <w:spacing w:line="273" w:lineRule="auto"/>
        <w:ind w:left="300" w:right="319" w:firstLine="360"/>
        <w:rPr>
          <w:sz w:val="20"/>
          <w:szCs w:val="20"/>
        </w:rPr>
      </w:pPr>
      <w:r>
        <w:rPr>
          <w:rFonts w:ascii="Arial" w:eastAsia="Arial" w:hAnsi="Arial" w:cs="Arial"/>
          <w:sz w:val="17"/>
          <w:szCs w:val="17"/>
        </w:rPr>
        <w:t xml:space="preserve">The authoritative guidance included in ASC 820, </w:t>
      </w:r>
      <w:r>
        <w:rPr>
          <w:rFonts w:ascii="Arial" w:eastAsia="Arial" w:hAnsi="Arial" w:cs="Arial"/>
          <w:i/>
          <w:iCs/>
          <w:sz w:val="17"/>
          <w:szCs w:val="17"/>
        </w:rPr>
        <w:t>Fair Value Measurement</w:t>
      </w:r>
      <w:r>
        <w:rPr>
          <w:rFonts w:ascii="Arial" w:eastAsia="Arial" w:hAnsi="Arial" w:cs="Arial"/>
          <w:sz w:val="17"/>
          <w:szCs w:val="17"/>
        </w:rPr>
        <w:t xml:space="preserve">, defines fair value as the exchange price that would be received for an asset or paid to transfer a liability (an exit price) in the principal or most advantageous market for the </w:t>
      </w:r>
      <w:r>
        <w:rPr>
          <w:rFonts w:ascii="Arial" w:eastAsia="Arial" w:hAnsi="Arial" w:cs="Arial"/>
          <w:sz w:val="17"/>
          <w:szCs w:val="17"/>
        </w:rPr>
        <w:t>asset or liability in an orderly transaction between market participants. This authoritative guidance further establishes a three-level fair value hierarchy that prioritizes the inputs used to measure fair value. This hierarchy requires entities to maximiz</w:t>
      </w:r>
      <w:r>
        <w:rPr>
          <w:rFonts w:ascii="Arial" w:eastAsia="Arial" w:hAnsi="Arial" w:cs="Arial"/>
          <w:sz w:val="17"/>
          <w:szCs w:val="17"/>
        </w:rPr>
        <w:t>e the use of observable inputs and minimize the use of unobservable inputs. The three levels of inputs used to measure fair value are as follows:</w:t>
      </w:r>
    </w:p>
    <w:p w14:paraId="569F1CED" w14:textId="77777777" w:rsidR="00D1587D" w:rsidRDefault="00D1587D">
      <w:pPr>
        <w:spacing w:line="70" w:lineRule="exact"/>
        <w:rPr>
          <w:sz w:val="20"/>
          <w:szCs w:val="20"/>
        </w:rPr>
      </w:pPr>
    </w:p>
    <w:p w14:paraId="3125969A" w14:textId="77777777" w:rsidR="00D1587D" w:rsidRDefault="00410D07" w:rsidP="00410D07">
      <w:pPr>
        <w:numPr>
          <w:ilvl w:val="0"/>
          <w:numId w:val="343"/>
        </w:numPr>
        <w:tabs>
          <w:tab w:val="left" w:pos="1000"/>
        </w:tabs>
        <w:ind w:left="1000" w:hanging="348"/>
        <w:rPr>
          <w:rFonts w:ascii="Arial" w:eastAsia="Arial" w:hAnsi="Arial" w:cs="Arial"/>
          <w:sz w:val="18"/>
          <w:szCs w:val="18"/>
        </w:rPr>
      </w:pPr>
      <w:r>
        <w:rPr>
          <w:rFonts w:ascii="Arial" w:eastAsia="Arial" w:hAnsi="Arial" w:cs="Arial"/>
          <w:sz w:val="18"/>
          <w:szCs w:val="18"/>
        </w:rPr>
        <w:t>Level 1—Quoted market prices in active markets for identical assets or liabilities.</w:t>
      </w:r>
    </w:p>
    <w:p w14:paraId="0A0F5802" w14:textId="77777777" w:rsidR="00D1587D" w:rsidRDefault="00D1587D">
      <w:pPr>
        <w:spacing w:line="117" w:lineRule="exact"/>
        <w:rPr>
          <w:rFonts w:ascii="Arial" w:eastAsia="Arial" w:hAnsi="Arial" w:cs="Arial"/>
          <w:sz w:val="18"/>
          <w:szCs w:val="18"/>
        </w:rPr>
      </w:pPr>
    </w:p>
    <w:p w14:paraId="09AFF1D6" w14:textId="77777777" w:rsidR="00D1587D" w:rsidRDefault="00410D07" w:rsidP="00410D07">
      <w:pPr>
        <w:numPr>
          <w:ilvl w:val="0"/>
          <w:numId w:val="343"/>
        </w:numPr>
        <w:tabs>
          <w:tab w:val="left" w:pos="1000"/>
        </w:tabs>
        <w:spacing w:line="259" w:lineRule="auto"/>
        <w:ind w:left="1000" w:right="299" w:hanging="348"/>
        <w:rPr>
          <w:rFonts w:ascii="Arial" w:eastAsia="Arial" w:hAnsi="Arial" w:cs="Arial"/>
          <w:sz w:val="18"/>
          <w:szCs w:val="18"/>
        </w:rPr>
      </w:pPr>
      <w:r>
        <w:rPr>
          <w:rFonts w:ascii="Arial" w:eastAsia="Arial" w:hAnsi="Arial" w:cs="Arial"/>
          <w:sz w:val="18"/>
          <w:szCs w:val="18"/>
        </w:rPr>
        <w:t>Level 2—Observable input</w:t>
      </w:r>
      <w:r>
        <w:rPr>
          <w:rFonts w:ascii="Arial" w:eastAsia="Arial" w:hAnsi="Arial" w:cs="Arial"/>
          <w:sz w:val="18"/>
          <w:szCs w:val="18"/>
        </w:rPr>
        <w:t>s other than quoted market prices included in Level 1, such as quoted prices of similar assets and liabilities in active markets; quoted prices for identical or similar assets and liabilities in markets that are not active; or other inputs that are observa</w:t>
      </w:r>
      <w:r>
        <w:rPr>
          <w:rFonts w:ascii="Arial" w:eastAsia="Arial" w:hAnsi="Arial" w:cs="Arial"/>
          <w:sz w:val="18"/>
          <w:szCs w:val="18"/>
        </w:rPr>
        <w:t>ble or can be corroborated by observable market data.</w:t>
      </w:r>
    </w:p>
    <w:p w14:paraId="3DDD5F8E" w14:textId="77777777" w:rsidR="00D1587D" w:rsidRDefault="00D1587D">
      <w:pPr>
        <w:spacing w:line="78" w:lineRule="exact"/>
        <w:rPr>
          <w:rFonts w:ascii="Arial" w:eastAsia="Arial" w:hAnsi="Arial" w:cs="Arial"/>
          <w:sz w:val="18"/>
          <w:szCs w:val="18"/>
        </w:rPr>
      </w:pPr>
    </w:p>
    <w:p w14:paraId="70A7A8FE" w14:textId="77777777" w:rsidR="00D1587D" w:rsidRDefault="00410D07" w:rsidP="00410D07">
      <w:pPr>
        <w:numPr>
          <w:ilvl w:val="0"/>
          <w:numId w:val="343"/>
        </w:numPr>
        <w:tabs>
          <w:tab w:val="left" w:pos="1000"/>
        </w:tabs>
        <w:spacing w:line="286" w:lineRule="auto"/>
        <w:ind w:left="1000" w:right="459" w:hanging="348"/>
        <w:rPr>
          <w:rFonts w:ascii="Arial" w:eastAsia="Arial" w:hAnsi="Arial" w:cs="Arial"/>
          <w:sz w:val="17"/>
          <w:szCs w:val="17"/>
        </w:rPr>
      </w:pPr>
      <w:r>
        <w:rPr>
          <w:rFonts w:ascii="Arial" w:eastAsia="Arial" w:hAnsi="Arial" w:cs="Arial"/>
          <w:sz w:val="17"/>
          <w:szCs w:val="17"/>
        </w:rPr>
        <w:t>Level 3—Unobservable inputs that are supported by little or no market activity and that are significant to the fair value of the assets and liabilities. This includes certain pricing models, discounted</w:t>
      </w:r>
      <w:r>
        <w:rPr>
          <w:rFonts w:ascii="Arial" w:eastAsia="Arial" w:hAnsi="Arial" w:cs="Arial"/>
          <w:sz w:val="17"/>
          <w:szCs w:val="17"/>
        </w:rPr>
        <w:t xml:space="preserve"> cash flow methodologies and similar techniques that use significant unobservable inputs.</w:t>
      </w:r>
    </w:p>
    <w:p w14:paraId="6B0B1361" w14:textId="77777777" w:rsidR="00D1587D" w:rsidRDefault="00D1587D">
      <w:pPr>
        <w:spacing w:line="57" w:lineRule="exact"/>
        <w:rPr>
          <w:sz w:val="20"/>
          <w:szCs w:val="20"/>
        </w:rPr>
      </w:pPr>
    </w:p>
    <w:p w14:paraId="22F35ADD" w14:textId="77777777" w:rsidR="00D1587D" w:rsidRDefault="00410D07">
      <w:pPr>
        <w:spacing w:line="259" w:lineRule="auto"/>
        <w:ind w:left="300" w:right="619" w:firstLine="360"/>
        <w:rPr>
          <w:sz w:val="20"/>
          <w:szCs w:val="20"/>
        </w:rPr>
      </w:pPr>
      <w:r>
        <w:rPr>
          <w:rFonts w:ascii="Arial" w:eastAsia="Arial" w:hAnsi="Arial" w:cs="Arial"/>
          <w:sz w:val="18"/>
          <w:szCs w:val="18"/>
        </w:rPr>
        <w:t xml:space="preserve">The Company estimates the fair value of financial instruments, property and equipment and trade name in accordance with the provisions of ASC 820. The </w:t>
      </w:r>
      <w:r>
        <w:rPr>
          <w:rFonts w:ascii="Arial" w:eastAsia="Arial" w:hAnsi="Arial" w:cs="Arial"/>
          <w:sz w:val="18"/>
          <w:szCs w:val="18"/>
        </w:rPr>
        <w:t>recorded amounts for Cash and Cash Equivalents, Accounts Receivable, Prepaid Expenses, other current assets and current liabilities approximate fair value due to the short-term nature of these assets and liabilities.</w:t>
      </w:r>
    </w:p>
    <w:p w14:paraId="6CF1960A" w14:textId="77777777" w:rsidR="00D1587D" w:rsidRDefault="00D1587D">
      <w:pPr>
        <w:spacing w:line="349" w:lineRule="exact"/>
        <w:rPr>
          <w:sz w:val="20"/>
          <w:szCs w:val="20"/>
        </w:rPr>
      </w:pPr>
    </w:p>
    <w:p w14:paraId="0B1601F6" w14:textId="77777777" w:rsidR="00D1587D" w:rsidRDefault="00410D07">
      <w:pPr>
        <w:ind w:left="300"/>
        <w:rPr>
          <w:sz w:val="20"/>
          <w:szCs w:val="20"/>
        </w:rPr>
      </w:pPr>
      <w:r>
        <w:rPr>
          <w:rFonts w:ascii="Arial" w:eastAsia="Arial" w:hAnsi="Arial" w:cs="Arial"/>
          <w:b/>
          <w:bCs/>
          <w:i/>
          <w:iCs/>
          <w:sz w:val="18"/>
          <w:szCs w:val="18"/>
        </w:rPr>
        <w:t>Derivative Financial Instruments</w:t>
      </w:r>
    </w:p>
    <w:p w14:paraId="6655E573" w14:textId="77777777" w:rsidR="00D1587D" w:rsidRDefault="00D1587D">
      <w:pPr>
        <w:spacing w:line="117" w:lineRule="exact"/>
        <w:rPr>
          <w:sz w:val="20"/>
          <w:szCs w:val="20"/>
        </w:rPr>
      </w:pPr>
    </w:p>
    <w:p w14:paraId="085057A1" w14:textId="77777777" w:rsidR="00D1587D" w:rsidRDefault="00410D07">
      <w:pPr>
        <w:spacing w:line="263" w:lineRule="auto"/>
        <w:ind w:left="300" w:right="499" w:firstLine="360"/>
        <w:rPr>
          <w:sz w:val="20"/>
          <w:szCs w:val="20"/>
        </w:rPr>
      </w:pPr>
      <w:r>
        <w:rPr>
          <w:rFonts w:ascii="Arial" w:eastAsia="Arial" w:hAnsi="Arial" w:cs="Arial"/>
          <w:sz w:val="18"/>
          <w:szCs w:val="18"/>
        </w:rPr>
        <w:t xml:space="preserve">The </w:t>
      </w:r>
      <w:r>
        <w:rPr>
          <w:rFonts w:ascii="Arial" w:eastAsia="Arial" w:hAnsi="Arial" w:cs="Arial"/>
          <w:sz w:val="18"/>
          <w:szCs w:val="18"/>
        </w:rPr>
        <w:t>Company uses derivative financial instruments to manage exposure to foreign currency exchange rates. The Company does not use derivative instruments for trading purposes. All derivative instruments are recorded on the Combined Balance Sheets at fair value.</w:t>
      </w:r>
    </w:p>
    <w:p w14:paraId="0D3E6FB7" w14:textId="77777777" w:rsidR="00D1587D" w:rsidRDefault="00D1587D">
      <w:pPr>
        <w:spacing w:line="76" w:lineRule="exact"/>
        <w:rPr>
          <w:sz w:val="20"/>
          <w:szCs w:val="20"/>
        </w:rPr>
      </w:pPr>
    </w:p>
    <w:p w14:paraId="2F508A1C" w14:textId="77777777" w:rsidR="00D1587D" w:rsidRDefault="00410D07">
      <w:pPr>
        <w:spacing w:line="254" w:lineRule="auto"/>
        <w:ind w:left="300" w:right="419" w:firstLine="360"/>
        <w:rPr>
          <w:sz w:val="20"/>
          <w:szCs w:val="20"/>
        </w:rPr>
      </w:pPr>
      <w:r>
        <w:rPr>
          <w:rFonts w:ascii="Arial" w:eastAsia="Arial" w:hAnsi="Arial" w:cs="Arial"/>
          <w:sz w:val="18"/>
          <w:szCs w:val="18"/>
        </w:rPr>
        <w:t>The earnings of the Company’s foreign operations are subject to exchange rate risk as substantially all the merchandise is sourced through U.S. dollar transactions. The Company uses foreign currency forward contracts designated as cash flow hedges to mit</w:t>
      </w:r>
      <w:r>
        <w:rPr>
          <w:rFonts w:ascii="Arial" w:eastAsia="Arial" w:hAnsi="Arial" w:cs="Arial"/>
          <w:sz w:val="18"/>
          <w:szCs w:val="18"/>
        </w:rPr>
        <w:t>igate this foreign currency exposure for its Canadian operations. Amounts are reclassified from accumulated other comprehensive income (loss) upon sale of the hedged merchandise to the customer. These gains and losses are recognized in Costs of Goods Sold,</w:t>
      </w:r>
      <w:r>
        <w:rPr>
          <w:rFonts w:ascii="Arial" w:eastAsia="Arial" w:hAnsi="Arial" w:cs="Arial"/>
          <w:sz w:val="18"/>
          <w:szCs w:val="18"/>
        </w:rPr>
        <w:t xml:space="preserve"> Buying and Occupancy in the Combined Statements of Income (Loss). The fair value of designated cash flow hedges is not significant for any period presented.</w:t>
      </w:r>
    </w:p>
    <w:p w14:paraId="3FCF2AB7" w14:textId="77777777" w:rsidR="00D1587D" w:rsidRDefault="00D1587D">
      <w:pPr>
        <w:spacing w:line="87" w:lineRule="exact"/>
        <w:rPr>
          <w:sz w:val="20"/>
          <w:szCs w:val="20"/>
        </w:rPr>
      </w:pPr>
    </w:p>
    <w:p w14:paraId="09A68075" w14:textId="77777777" w:rsidR="00D1587D" w:rsidRDefault="00410D07">
      <w:pPr>
        <w:spacing w:line="301" w:lineRule="auto"/>
        <w:ind w:left="300" w:right="399" w:firstLine="360"/>
        <w:rPr>
          <w:sz w:val="20"/>
          <w:szCs w:val="20"/>
        </w:rPr>
      </w:pPr>
      <w:r>
        <w:rPr>
          <w:rFonts w:ascii="Arial" w:eastAsia="Arial" w:hAnsi="Arial" w:cs="Arial"/>
          <w:sz w:val="16"/>
          <w:szCs w:val="16"/>
        </w:rPr>
        <w:t>The Company does not enter into any derivative contracts. However, L Brands, Inc., through its ce</w:t>
      </w:r>
      <w:r>
        <w:rPr>
          <w:rFonts w:ascii="Arial" w:eastAsia="Arial" w:hAnsi="Arial" w:cs="Arial"/>
          <w:sz w:val="16"/>
          <w:szCs w:val="16"/>
        </w:rPr>
        <w:t>ntralized treasury function, currently enters into derivative financial instruments with external counterparties to hedge certain foreign currency transactions with exposure to the Canadian dollar. The Company enters into offsetting internal contracts with</w:t>
      </w:r>
      <w:r>
        <w:rPr>
          <w:rFonts w:ascii="Arial" w:eastAsia="Arial" w:hAnsi="Arial" w:cs="Arial"/>
          <w:sz w:val="16"/>
          <w:szCs w:val="16"/>
        </w:rPr>
        <w:t xml:space="preserve"> L Brands, Inc. The maturities of the internal contracts range from one to eighteen months.</w:t>
      </w:r>
    </w:p>
    <w:p w14:paraId="539AB10A" w14:textId="77777777" w:rsidR="00D1587D" w:rsidRDefault="00D1587D">
      <w:pPr>
        <w:spacing w:line="306" w:lineRule="exact"/>
        <w:rPr>
          <w:sz w:val="20"/>
          <w:szCs w:val="20"/>
        </w:rPr>
      </w:pPr>
    </w:p>
    <w:p w14:paraId="7086B0BC" w14:textId="77777777" w:rsidR="00D1587D" w:rsidRDefault="00410D07">
      <w:pPr>
        <w:ind w:left="300"/>
        <w:rPr>
          <w:sz w:val="20"/>
          <w:szCs w:val="20"/>
        </w:rPr>
      </w:pPr>
      <w:r>
        <w:rPr>
          <w:rFonts w:ascii="Arial" w:eastAsia="Arial" w:hAnsi="Arial" w:cs="Arial"/>
          <w:b/>
          <w:bCs/>
          <w:i/>
          <w:iCs/>
          <w:sz w:val="18"/>
          <w:szCs w:val="18"/>
        </w:rPr>
        <w:t>Revenue Recognition</w:t>
      </w:r>
    </w:p>
    <w:p w14:paraId="7A370FE8" w14:textId="77777777" w:rsidR="00D1587D" w:rsidRDefault="00D1587D">
      <w:pPr>
        <w:spacing w:line="117" w:lineRule="exact"/>
        <w:rPr>
          <w:sz w:val="20"/>
          <w:szCs w:val="20"/>
        </w:rPr>
      </w:pPr>
    </w:p>
    <w:p w14:paraId="2D6A41FA" w14:textId="77777777" w:rsidR="00D1587D" w:rsidRDefault="00410D07">
      <w:pPr>
        <w:spacing w:line="277" w:lineRule="auto"/>
        <w:ind w:left="300" w:right="999" w:firstLine="360"/>
        <w:rPr>
          <w:sz w:val="20"/>
          <w:szCs w:val="20"/>
        </w:rPr>
      </w:pPr>
      <w:r>
        <w:rPr>
          <w:rFonts w:ascii="Arial" w:eastAsia="Arial" w:hAnsi="Arial" w:cs="Arial"/>
          <w:sz w:val="18"/>
          <w:szCs w:val="18"/>
        </w:rPr>
        <w:t xml:space="preserve">In 2018, the Company adopted ASC 606, </w:t>
      </w:r>
      <w:r>
        <w:rPr>
          <w:rFonts w:ascii="Arial" w:eastAsia="Arial" w:hAnsi="Arial" w:cs="Arial"/>
          <w:i/>
          <w:iCs/>
          <w:sz w:val="18"/>
          <w:szCs w:val="18"/>
        </w:rPr>
        <w:t>Revenue from Contracts with Customers</w:t>
      </w:r>
      <w:r>
        <w:rPr>
          <w:rFonts w:ascii="Arial" w:eastAsia="Arial" w:hAnsi="Arial" w:cs="Arial"/>
          <w:sz w:val="18"/>
          <w:szCs w:val="18"/>
        </w:rPr>
        <w:t>, using the modified retrospective approach.</w:t>
      </w:r>
    </w:p>
    <w:p w14:paraId="6071CFB0" w14:textId="77777777" w:rsidR="00D1587D" w:rsidRDefault="00D1587D">
      <w:pPr>
        <w:spacing w:line="62" w:lineRule="exact"/>
        <w:rPr>
          <w:sz w:val="20"/>
          <w:szCs w:val="20"/>
        </w:rPr>
      </w:pPr>
    </w:p>
    <w:p w14:paraId="093971CD" w14:textId="77777777" w:rsidR="00D1587D" w:rsidRDefault="00410D07">
      <w:pPr>
        <w:spacing w:line="291" w:lineRule="auto"/>
        <w:ind w:left="300" w:right="319" w:firstLine="360"/>
        <w:rPr>
          <w:sz w:val="20"/>
          <w:szCs w:val="20"/>
        </w:rPr>
      </w:pPr>
      <w:r>
        <w:rPr>
          <w:rFonts w:ascii="Arial" w:eastAsia="Arial" w:hAnsi="Arial" w:cs="Arial"/>
          <w:sz w:val="16"/>
          <w:szCs w:val="16"/>
        </w:rPr>
        <w:t xml:space="preserve">The Company </w:t>
      </w:r>
      <w:r>
        <w:rPr>
          <w:rFonts w:ascii="Arial" w:eastAsia="Arial" w:hAnsi="Arial" w:cs="Arial"/>
          <w:sz w:val="16"/>
          <w:szCs w:val="16"/>
        </w:rPr>
        <w:t>recognizes revenue based on the amount it expects to receive when control of the goods or services is transferred to the customer. The Company recognizes sales upon customer receipt of merchandise, which, for direct channel revenues, reflect an estimate of</w:t>
      </w:r>
      <w:r>
        <w:rPr>
          <w:rFonts w:ascii="Arial" w:eastAsia="Arial" w:hAnsi="Arial" w:cs="Arial"/>
          <w:sz w:val="16"/>
          <w:szCs w:val="16"/>
        </w:rPr>
        <w:t xml:space="preserve"> shipments that have not yet been received by the customer based on shipping terms and historical delivery times. The Company’s shipping and handling revenues are included in Net Sales with the related costs included in Costs of Goods Sold, Buying and Occu</w:t>
      </w:r>
      <w:r>
        <w:rPr>
          <w:rFonts w:ascii="Arial" w:eastAsia="Arial" w:hAnsi="Arial" w:cs="Arial"/>
          <w:sz w:val="16"/>
          <w:szCs w:val="16"/>
        </w:rPr>
        <w:t>pancy in the Combined Statements of Income (Loss). The Company also provides a reserve for projected merchandise returns based on historical experience. Net Sales exclude sales and other similar taxes collected from customers.</w:t>
      </w:r>
    </w:p>
    <w:p w14:paraId="7BCF774C" w14:textId="77777777" w:rsidR="00D1587D" w:rsidRDefault="00D1587D">
      <w:pPr>
        <w:spacing w:line="58" w:lineRule="exact"/>
        <w:rPr>
          <w:sz w:val="20"/>
          <w:szCs w:val="20"/>
        </w:rPr>
      </w:pPr>
    </w:p>
    <w:p w14:paraId="612096CB" w14:textId="77777777" w:rsidR="00D1587D" w:rsidRDefault="00410D07">
      <w:pPr>
        <w:spacing w:line="308" w:lineRule="auto"/>
        <w:ind w:left="300" w:right="379" w:firstLine="360"/>
        <w:rPr>
          <w:sz w:val="20"/>
          <w:szCs w:val="20"/>
        </w:rPr>
      </w:pPr>
      <w:r>
        <w:rPr>
          <w:rFonts w:ascii="Arial" w:eastAsia="Arial" w:hAnsi="Arial" w:cs="Arial"/>
          <w:sz w:val="17"/>
          <w:szCs w:val="17"/>
        </w:rPr>
        <w:t>The Company offers certain l</w:t>
      </w:r>
      <w:r>
        <w:rPr>
          <w:rFonts w:ascii="Arial" w:eastAsia="Arial" w:hAnsi="Arial" w:cs="Arial"/>
          <w:sz w:val="17"/>
          <w:szCs w:val="17"/>
        </w:rPr>
        <w:t>oyalty programs that allow customers to earn points based on purchasing activity. As customers accumulate points and reach point thresholds, they can use the points to purchase</w:t>
      </w:r>
    </w:p>
    <w:p w14:paraId="3A45D113" w14:textId="77777777" w:rsidR="00D1587D" w:rsidRDefault="00D1587D">
      <w:pPr>
        <w:spacing w:line="146" w:lineRule="exact"/>
        <w:rPr>
          <w:sz w:val="20"/>
          <w:szCs w:val="20"/>
        </w:rPr>
      </w:pPr>
    </w:p>
    <w:p w14:paraId="23728BE3" w14:textId="77777777" w:rsidR="00D1587D" w:rsidRDefault="00410D07">
      <w:pPr>
        <w:jc w:val="center"/>
        <w:rPr>
          <w:sz w:val="20"/>
          <w:szCs w:val="20"/>
        </w:rPr>
      </w:pPr>
      <w:r>
        <w:rPr>
          <w:rFonts w:ascii="Arial" w:eastAsia="Arial" w:hAnsi="Arial" w:cs="Arial"/>
          <w:sz w:val="18"/>
          <w:szCs w:val="18"/>
        </w:rPr>
        <w:t>F-13</w:t>
      </w:r>
    </w:p>
    <w:p w14:paraId="7C6D4FF7" w14:textId="77777777" w:rsidR="00D1587D" w:rsidRDefault="00410D07">
      <w:pPr>
        <w:spacing w:line="20" w:lineRule="exact"/>
        <w:rPr>
          <w:sz w:val="20"/>
          <w:szCs w:val="20"/>
        </w:rPr>
      </w:pPr>
      <w:r>
        <w:rPr>
          <w:noProof/>
          <w:sz w:val="20"/>
          <w:szCs w:val="20"/>
        </w:rPr>
        <w:drawing>
          <wp:anchor distT="0" distB="0" distL="114300" distR="114300" simplePos="0" relativeHeight="252065792" behindDoc="1" locked="0" layoutInCell="0" allowOverlap="1" wp14:anchorId="73BC633C" wp14:editId="1D37DBD3">
            <wp:simplePos x="0" y="0"/>
            <wp:positionH relativeFrom="column">
              <wp:posOffset>-636905</wp:posOffset>
            </wp:positionH>
            <wp:positionV relativeFrom="paragraph">
              <wp:posOffset>126365</wp:posOffset>
            </wp:positionV>
            <wp:extent cx="6995160" cy="17145"/>
            <wp:effectExtent l="0" t="0" r="0" b="0"/>
            <wp:wrapNone/>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8A1A208" w14:textId="77777777" w:rsidR="00D1587D" w:rsidRDefault="00D1587D">
      <w:pPr>
        <w:sectPr w:rsidR="00D1587D">
          <w:pgSz w:w="11900" w:h="16838"/>
          <w:pgMar w:top="265" w:right="1440" w:bottom="1440" w:left="1440" w:header="0" w:footer="0" w:gutter="0"/>
          <w:cols w:space="720" w:equalWidth="0">
            <w:col w:w="9019"/>
          </w:cols>
        </w:sectPr>
      </w:pPr>
    </w:p>
    <w:bookmarkStart w:id="409" w:name="page410"/>
    <w:bookmarkEnd w:id="409"/>
    <w:p w14:paraId="3BD1C49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96F3A07" w14:textId="77777777" w:rsidR="00D1587D" w:rsidRDefault="00D1587D">
      <w:pPr>
        <w:spacing w:line="131" w:lineRule="exact"/>
        <w:rPr>
          <w:sz w:val="20"/>
          <w:szCs w:val="20"/>
        </w:rPr>
      </w:pPr>
    </w:p>
    <w:p w14:paraId="3B121DB2" w14:textId="77777777" w:rsidR="00D1587D" w:rsidRDefault="00410D07">
      <w:pPr>
        <w:spacing w:line="259" w:lineRule="auto"/>
        <w:ind w:left="300" w:right="319"/>
        <w:rPr>
          <w:sz w:val="20"/>
          <w:szCs w:val="20"/>
        </w:rPr>
      </w:pPr>
      <w:r>
        <w:rPr>
          <w:rFonts w:ascii="Arial" w:eastAsia="Arial" w:hAnsi="Arial" w:cs="Arial"/>
          <w:sz w:val="18"/>
          <w:szCs w:val="18"/>
        </w:rPr>
        <w:t>merchandise in stores or online. The Company allocates revenue to points earned on qualifying purchases and defers recognition until the points are redeemed. The amount of revenue deferred is based on the rela</w:t>
      </w:r>
      <w:r>
        <w:rPr>
          <w:rFonts w:ascii="Arial" w:eastAsia="Arial" w:hAnsi="Arial" w:cs="Arial"/>
          <w:sz w:val="18"/>
          <w:szCs w:val="18"/>
        </w:rPr>
        <w:t>tive stand-alone selling price method, which includes an estimate for points not expected to be redeemed based on historical experience.</w:t>
      </w:r>
    </w:p>
    <w:p w14:paraId="410A18F2" w14:textId="77777777" w:rsidR="00D1587D" w:rsidRDefault="00D1587D">
      <w:pPr>
        <w:spacing w:line="79" w:lineRule="exact"/>
        <w:rPr>
          <w:sz w:val="20"/>
          <w:szCs w:val="20"/>
        </w:rPr>
      </w:pPr>
    </w:p>
    <w:p w14:paraId="3B6BC93E" w14:textId="77777777" w:rsidR="00D1587D" w:rsidRDefault="00410D07">
      <w:pPr>
        <w:spacing w:line="291" w:lineRule="auto"/>
        <w:ind w:left="300" w:right="379" w:firstLine="360"/>
        <w:rPr>
          <w:sz w:val="20"/>
          <w:szCs w:val="20"/>
        </w:rPr>
      </w:pPr>
      <w:r>
        <w:rPr>
          <w:rFonts w:ascii="Arial" w:eastAsia="Arial" w:hAnsi="Arial" w:cs="Arial"/>
          <w:sz w:val="16"/>
          <w:szCs w:val="16"/>
        </w:rPr>
        <w:t>The Company sells gift cards with no expiration dates to customers. The Company does not charge administrative fees on</w:t>
      </w:r>
      <w:r>
        <w:rPr>
          <w:rFonts w:ascii="Arial" w:eastAsia="Arial" w:hAnsi="Arial" w:cs="Arial"/>
          <w:sz w:val="16"/>
          <w:szCs w:val="16"/>
        </w:rPr>
        <w:t xml:space="preserve"> unused gift cards. The Company recognizes revenue from gift cards when they are redeemed by the customer. In addition, the Company recognizes revenue on unredeemed gift cards where the likelihood of the gift card being redeemed is remote and there is no l</w:t>
      </w:r>
      <w:r>
        <w:rPr>
          <w:rFonts w:ascii="Arial" w:eastAsia="Arial" w:hAnsi="Arial" w:cs="Arial"/>
          <w:sz w:val="16"/>
          <w:szCs w:val="16"/>
        </w:rPr>
        <w:t>egal obligation to remit the unredeemed gift cards to relevant jurisdictions (gift card breakage). Gift card breakage revenue is recognized in proportion, and over the same period, as actual gift card redemptions. The Company determines the gift card break</w:t>
      </w:r>
      <w:r>
        <w:rPr>
          <w:rFonts w:ascii="Arial" w:eastAsia="Arial" w:hAnsi="Arial" w:cs="Arial"/>
          <w:sz w:val="16"/>
          <w:szCs w:val="16"/>
        </w:rPr>
        <w:t>age rate based on historical redemption patterns. Gift card breakage is included in Net Sales in the Combined Statements of Income (Loss).</w:t>
      </w:r>
    </w:p>
    <w:p w14:paraId="31141462" w14:textId="77777777" w:rsidR="00D1587D" w:rsidRDefault="00D1587D">
      <w:pPr>
        <w:spacing w:line="58" w:lineRule="exact"/>
        <w:rPr>
          <w:sz w:val="20"/>
          <w:szCs w:val="20"/>
        </w:rPr>
      </w:pPr>
    </w:p>
    <w:p w14:paraId="6A5ECAAA" w14:textId="77777777" w:rsidR="00D1587D" w:rsidRDefault="00410D07">
      <w:pPr>
        <w:spacing w:line="259" w:lineRule="auto"/>
        <w:ind w:left="300" w:right="339" w:firstLine="360"/>
        <w:rPr>
          <w:sz w:val="20"/>
          <w:szCs w:val="20"/>
        </w:rPr>
      </w:pPr>
      <w:r>
        <w:rPr>
          <w:rFonts w:ascii="Arial" w:eastAsia="Arial" w:hAnsi="Arial" w:cs="Arial"/>
          <w:sz w:val="18"/>
          <w:szCs w:val="18"/>
        </w:rPr>
        <w:t>Revenue earned in connection with Victoria’s Secret’s U.S. private label credit card arrangement is primarily recogn</w:t>
      </w:r>
      <w:r>
        <w:rPr>
          <w:rFonts w:ascii="Arial" w:eastAsia="Arial" w:hAnsi="Arial" w:cs="Arial"/>
          <w:sz w:val="18"/>
          <w:szCs w:val="18"/>
        </w:rPr>
        <w:t>ized based on credit card sales and usage, and is included in Net Sales in the Combined Statements of Income (Loss). The Company recognized Net Sales of $135 million, $194 million and $187 million for 2020, 2019 and 2018, respectively, related to its priva</w:t>
      </w:r>
      <w:r>
        <w:rPr>
          <w:rFonts w:ascii="Arial" w:eastAsia="Arial" w:hAnsi="Arial" w:cs="Arial"/>
          <w:sz w:val="18"/>
          <w:szCs w:val="18"/>
        </w:rPr>
        <w:t>te label credit card arrangement.</w:t>
      </w:r>
    </w:p>
    <w:p w14:paraId="5191DE82" w14:textId="77777777" w:rsidR="00D1587D" w:rsidRDefault="00D1587D">
      <w:pPr>
        <w:spacing w:line="79" w:lineRule="exact"/>
        <w:rPr>
          <w:sz w:val="20"/>
          <w:szCs w:val="20"/>
        </w:rPr>
      </w:pPr>
    </w:p>
    <w:p w14:paraId="6411F9A4" w14:textId="77777777" w:rsidR="00D1587D" w:rsidRDefault="00410D07">
      <w:pPr>
        <w:spacing w:line="301" w:lineRule="auto"/>
        <w:ind w:left="300" w:right="379" w:firstLine="360"/>
        <w:rPr>
          <w:sz w:val="20"/>
          <w:szCs w:val="20"/>
        </w:rPr>
      </w:pPr>
      <w:r>
        <w:rPr>
          <w:rFonts w:ascii="Arial" w:eastAsia="Arial" w:hAnsi="Arial" w:cs="Arial"/>
          <w:sz w:val="16"/>
          <w:szCs w:val="16"/>
        </w:rPr>
        <w:t xml:space="preserve">The Company also recognizes revenues associated with franchise, license, wholesale and sourcing arrangements. Revenue recognized under franchise and license arrangements generally consists of royalties earned and </w:t>
      </w:r>
      <w:r>
        <w:rPr>
          <w:rFonts w:ascii="Arial" w:eastAsia="Arial" w:hAnsi="Arial" w:cs="Arial"/>
          <w:sz w:val="16"/>
          <w:szCs w:val="16"/>
        </w:rPr>
        <w:t>recognized upon sale of merchandise by franchise and license partners to retail customers. Revenue is generally recognized under wholesale and sourcing arrangements at the time the title passes to the partner.</w:t>
      </w:r>
    </w:p>
    <w:p w14:paraId="20A2EF4F" w14:textId="77777777" w:rsidR="00D1587D" w:rsidRDefault="00D1587D">
      <w:pPr>
        <w:spacing w:line="306" w:lineRule="exact"/>
        <w:rPr>
          <w:sz w:val="20"/>
          <w:szCs w:val="20"/>
        </w:rPr>
      </w:pPr>
    </w:p>
    <w:p w14:paraId="25C35E4D" w14:textId="77777777" w:rsidR="00D1587D" w:rsidRDefault="00410D07">
      <w:pPr>
        <w:ind w:left="300"/>
        <w:rPr>
          <w:sz w:val="20"/>
          <w:szCs w:val="20"/>
        </w:rPr>
      </w:pPr>
      <w:r>
        <w:rPr>
          <w:rFonts w:ascii="Arial" w:eastAsia="Arial" w:hAnsi="Arial" w:cs="Arial"/>
          <w:b/>
          <w:bCs/>
          <w:i/>
          <w:iCs/>
          <w:sz w:val="18"/>
          <w:szCs w:val="18"/>
        </w:rPr>
        <w:t>Costs of Goods Sold, Buying and Occupancy</w:t>
      </w:r>
    </w:p>
    <w:p w14:paraId="53057714" w14:textId="77777777" w:rsidR="00D1587D" w:rsidRDefault="00D1587D">
      <w:pPr>
        <w:spacing w:line="117" w:lineRule="exact"/>
        <w:rPr>
          <w:sz w:val="20"/>
          <w:szCs w:val="20"/>
        </w:rPr>
      </w:pPr>
    </w:p>
    <w:p w14:paraId="13B62292" w14:textId="77777777" w:rsidR="00D1587D" w:rsidRDefault="00410D07">
      <w:pPr>
        <w:spacing w:line="257" w:lineRule="auto"/>
        <w:ind w:left="300" w:right="539" w:firstLine="360"/>
        <w:rPr>
          <w:sz w:val="20"/>
          <w:szCs w:val="20"/>
        </w:rPr>
      </w:pPr>
      <w:r>
        <w:rPr>
          <w:rFonts w:ascii="Arial" w:eastAsia="Arial" w:hAnsi="Arial" w:cs="Arial"/>
          <w:sz w:val="18"/>
          <w:szCs w:val="18"/>
        </w:rPr>
        <w:t>Th</w:t>
      </w:r>
      <w:r>
        <w:rPr>
          <w:rFonts w:ascii="Arial" w:eastAsia="Arial" w:hAnsi="Arial" w:cs="Arial"/>
          <w:sz w:val="18"/>
          <w:szCs w:val="18"/>
        </w:rPr>
        <w:t>e Company’s costs of goods sold include merchandise costs, net of discounts and allowances, freight and inventory shrinkage. The Company’s buying and occupancy expenses primarily include payroll, benefit costs and operating expenses for its buying departme</w:t>
      </w:r>
      <w:r>
        <w:rPr>
          <w:rFonts w:ascii="Arial" w:eastAsia="Arial" w:hAnsi="Arial" w:cs="Arial"/>
          <w:sz w:val="18"/>
          <w:szCs w:val="18"/>
        </w:rPr>
        <w:t>nts and distribution network; and rent, common area maintenance, real estate taxes, utilities, maintenance, fulfillment expenses and depreciation for the Company’s stores, warehouse facilities and equipment.</w:t>
      </w:r>
    </w:p>
    <w:p w14:paraId="4D58E885" w14:textId="77777777" w:rsidR="00D1587D" w:rsidRDefault="00D1587D">
      <w:pPr>
        <w:spacing w:line="336" w:lineRule="exact"/>
        <w:rPr>
          <w:sz w:val="20"/>
          <w:szCs w:val="20"/>
        </w:rPr>
      </w:pPr>
    </w:p>
    <w:p w14:paraId="66DD19F8" w14:textId="77777777" w:rsidR="00D1587D" w:rsidRDefault="00410D07">
      <w:pPr>
        <w:ind w:left="300"/>
        <w:rPr>
          <w:sz w:val="20"/>
          <w:szCs w:val="20"/>
        </w:rPr>
      </w:pPr>
      <w:r>
        <w:rPr>
          <w:rFonts w:ascii="Arial" w:eastAsia="Arial" w:hAnsi="Arial" w:cs="Arial"/>
          <w:b/>
          <w:bCs/>
          <w:i/>
          <w:iCs/>
          <w:sz w:val="18"/>
          <w:szCs w:val="18"/>
        </w:rPr>
        <w:t>General, Administrative and Store Operating Exp</w:t>
      </w:r>
      <w:r>
        <w:rPr>
          <w:rFonts w:ascii="Arial" w:eastAsia="Arial" w:hAnsi="Arial" w:cs="Arial"/>
          <w:b/>
          <w:bCs/>
          <w:i/>
          <w:iCs/>
          <w:sz w:val="18"/>
          <w:szCs w:val="18"/>
        </w:rPr>
        <w:t>enses</w:t>
      </w:r>
    </w:p>
    <w:p w14:paraId="4B3A2F43" w14:textId="77777777" w:rsidR="00D1587D" w:rsidRDefault="00D1587D">
      <w:pPr>
        <w:spacing w:line="117" w:lineRule="exact"/>
        <w:rPr>
          <w:sz w:val="20"/>
          <w:szCs w:val="20"/>
        </w:rPr>
      </w:pPr>
    </w:p>
    <w:p w14:paraId="1233F3F6" w14:textId="77777777" w:rsidR="00D1587D" w:rsidRDefault="00410D07">
      <w:pPr>
        <w:spacing w:line="311" w:lineRule="auto"/>
        <w:ind w:left="300" w:right="319" w:firstLine="360"/>
        <w:jc w:val="both"/>
        <w:rPr>
          <w:sz w:val="20"/>
          <w:szCs w:val="20"/>
        </w:rPr>
      </w:pPr>
      <w:r>
        <w:rPr>
          <w:rFonts w:ascii="Arial" w:eastAsia="Arial" w:hAnsi="Arial" w:cs="Arial"/>
          <w:sz w:val="16"/>
          <w:szCs w:val="16"/>
        </w:rPr>
        <w:t xml:space="preserve">The Company’s general, administrative and store operating expenses primarily include payroll and benefit costs for its store-selling and administrative departments (including corporate functions), marketing, advertising and other operating expenses </w:t>
      </w:r>
      <w:r>
        <w:rPr>
          <w:rFonts w:ascii="Arial" w:eastAsia="Arial" w:hAnsi="Arial" w:cs="Arial"/>
          <w:sz w:val="16"/>
          <w:szCs w:val="16"/>
        </w:rPr>
        <w:t>not specifically categorized elsewhere in the Combined Statements of Income (Loss).</w:t>
      </w:r>
    </w:p>
    <w:p w14:paraId="6E22D6F1" w14:textId="77777777" w:rsidR="00D1587D" w:rsidRDefault="00D1587D">
      <w:pPr>
        <w:spacing w:line="284" w:lineRule="exact"/>
        <w:rPr>
          <w:sz w:val="20"/>
          <w:szCs w:val="20"/>
        </w:rPr>
      </w:pPr>
    </w:p>
    <w:p w14:paraId="499CCCB1" w14:textId="77777777" w:rsidR="00D1587D" w:rsidRDefault="00410D07">
      <w:pPr>
        <w:ind w:left="300"/>
        <w:rPr>
          <w:sz w:val="20"/>
          <w:szCs w:val="20"/>
        </w:rPr>
      </w:pPr>
      <w:r>
        <w:rPr>
          <w:rFonts w:ascii="Arial" w:eastAsia="Arial" w:hAnsi="Arial" w:cs="Arial"/>
          <w:b/>
          <w:bCs/>
          <w:i/>
          <w:iCs/>
          <w:sz w:val="18"/>
          <w:szCs w:val="18"/>
        </w:rPr>
        <w:t>Share-based Compensation</w:t>
      </w:r>
    </w:p>
    <w:p w14:paraId="1F6586EF" w14:textId="77777777" w:rsidR="00D1587D" w:rsidRDefault="00D1587D">
      <w:pPr>
        <w:spacing w:line="117" w:lineRule="exact"/>
        <w:rPr>
          <w:sz w:val="20"/>
          <w:szCs w:val="20"/>
        </w:rPr>
      </w:pPr>
    </w:p>
    <w:p w14:paraId="14F63021" w14:textId="77777777" w:rsidR="00D1587D" w:rsidRDefault="00410D07">
      <w:pPr>
        <w:spacing w:line="287" w:lineRule="auto"/>
        <w:ind w:left="300" w:right="859" w:firstLine="360"/>
        <w:jc w:val="both"/>
        <w:rPr>
          <w:sz w:val="20"/>
          <w:szCs w:val="20"/>
        </w:rPr>
      </w:pPr>
      <w:r>
        <w:rPr>
          <w:rFonts w:ascii="Arial" w:eastAsia="Arial" w:hAnsi="Arial" w:cs="Arial"/>
          <w:sz w:val="16"/>
          <w:szCs w:val="16"/>
        </w:rPr>
        <w:t>Certain Company employees participate in the share-based compensation plans sponsored by L Brands. L Brands’ share-based compensation awards gran</w:t>
      </w:r>
      <w:r>
        <w:rPr>
          <w:rFonts w:ascii="Arial" w:eastAsia="Arial" w:hAnsi="Arial" w:cs="Arial"/>
          <w:sz w:val="16"/>
          <w:szCs w:val="16"/>
        </w:rPr>
        <w:t>ted to employees of the Company consist of L Brands stock options and restricted stock. As such, the awards to Company employees are reflected in Net Investment by</w:t>
      </w:r>
    </w:p>
    <w:p w14:paraId="43A12965" w14:textId="77777777" w:rsidR="00D1587D" w:rsidRDefault="00D1587D">
      <w:pPr>
        <w:spacing w:line="2" w:lineRule="exact"/>
        <w:rPr>
          <w:sz w:val="20"/>
          <w:szCs w:val="20"/>
        </w:rPr>
      </w:pPr>
    </w:p>
    <w:p w14:paraId="18BDE581" w14:textId="77777777" w:rsidR="00D1587D" w:rsidRDefault="00410D07">
      <w:pPr>
        <w:spacing w:line="255" w:lineRule="auto"/>
        <w:ind w:left="300" w:right="419"/>
        <w:jc w:val="both"/>
        <w:rPr>
          <w:sz w:val="20"/>
          <w:szCs w:val="20"/>
        </w:rPr>
      </w:pPr>
      <w:r>
        <w:rPr>
          <w:rFonts w:ascii="Arial" w:eastAsia="Arial" w:hAnsi="Arial" w:cs="Arial"/>
          <w:sz w:val="18"/>
          <w:szCs w:val="18"/>
        </w:rPr>
        <w:t xml:space="preserve">L Brands, Inc. within the Combined Statements of Equity at the time they are </w:t>
      </w:r>
      <w:r>
        <w:rPr>
          <w:rFonts w:ascii="Arial" w:eastAsia="Arial" w:hAnsi="Arial" w:cs="Arial"/>
          <w:sz w:val="18"/>
          <w:szCs w:val="18"/>
        </w:rPr>
        <w:t>expensed. The Combined Statements of Income (Loss) also include an allocation of L Brands’ corporate and shared employee share-based compensation expenses.</w:t>
      </w:r>
    </w:p>
    <w:p w14:paraId="481A4939" w14:textId="77777777" w:rsidR="00D1587D" w:rsidRDefault="00D1587D">
      <w:pPr>
        <w:spacing w:line="82" w:lineRule="exact"/>
        <w:rPr>
          <w:sz w:val="20"/>
          <w:szCs w:val="20"/>
        </w:rPr>
      </w:pPr>
    </w:p>
    <w:p w14:paraId="3377F4DC" w14:textId="77777777" w:rsidR="00D1587D" w:rsidRDefault="00410D07">
      <w:pPr>
        <w:spacing w:line="259" w:lineRule="auto"/>
        <w:ind w:left="300" w:right="339" w:firstLine="360"/>
        <w:rPr>
          <w:sz w:val="20"/>
          <w:szCs w:val="20"/>
        </w:rPr>
      </w:pPr>
      <w:r>
        <w:rPr>
          <w:rFonts w:ascii="Arial" w:eastAsia="Arial" w:hAnsi="Arial" w:cs="Arial"/>
          <w:sz w:val="18"/>
          <w:szCs w:val="18"/>
        </w:rPr>
        <w:t xml:space="preserve">The Company recognizes all share-based payments to employees as compensation cost over the service </w:t>
      </w:r>
      <w:r>
        <w:rPr>
          <w:rFonts w:ascii="Arial" w:eastAsia="Arial" w:hAnsi="Arial" w:cs="Arial"/>
          <w:sz w:val="18"/>
          <w:szCs w:val="18"/>
        </w:rPr>
        <w:t>period based on their estimated fair value on the date of grant. The Company estimates award forfeitures at the time awards are granted and adjusts, if necessary, in subsequent periods based on historical experience and expected future forfeitures.</w:t>
      </w:r>
    </w:p>
    <w:p w14:paraId="1BF97E01" w14:textId="77777777" w:rsidR="00D1587D" w:rsidRDefault="00D1587D">
      <w:pPr>
        <w:spacing w:line="79" w:lineRule="exact"/>
        <w:rPr>
          <w:sz w:val="20"/>
          <w:szCs w:val="20"/>
        </w:rPr>
      </w:pPr>
    </w:p>
    <w:p w14:paraId="4D63BD49" w14:textId="77777777" w:rsidR="00D1587D" w:rsidRDefault="00410D07">
      <w:pPr>
        <w:spacing w:line="257" w:lineRule="auto"/>
        <w:ind w:left="300" w:right="339" w:firstLine="360"/>
        <w:rPr>
          <w:sz w:val="20"/>
          <w:szCs w:val="20"/>
        </w:rPr>
      </w:pPr>
      <w:r>
        <w:rPr>
          <w:rFonts w:ascii="Arial" w:eastAsia="Arial" w:hAnsi="Arial" w:cs="Arial"/>
          <w:sz w:val="18"/>
          <w:szCs w:val="18"/>
        </w:rPr>
        <w:t>Compen</w:t>
      </w:r>
      <w:r>
        <w:rPr>
          <w:rFonts w:ascii="Arial" w:eastAsia="Arial" w:hAnsi="Arial" w:cs="Arial"/>
          <w:sz w:val="18"/>
          <w:szCs w:val="18"/>
        </w:rPr>
        <w:t>sation cost is recognized over the service period for the fair value of awards that actually vest. Compensation expense for awards without a performance condition is recognized, net of estimated forfeitures, using a single award approach (each award is val</w:t>
      </w:r>
      <w:r>
        <w:rPr>
          <w:rFonts w:ascii="Arial" w:eastAsia="Arial" w:hAnsi="Arial" w:cs="Arial"/>
          <w:sz w:val="18"/>
          <w:szCs w:val="18"/>
        </w:rPr>
        <w:t>ued as one grant, irrespective of the number of vesting tranches). Compensation expense for awards with a performance condition is recognized, net of estimated forfeitures, using a multiple award approach (each vesting tranche is valued as one grant).</w:t>
      </w:r>
    </w:p>
    <w:p w14:paraId="066179F5" w14:textId="77777777" w:rsidR="00D1587D" w:rsidRDefault="00D1587D">
      <w:pPr>
        <w:spacing w:line="188" w:lineRule="exact"/>
        <w:rPr>
          <w:sz w:val="20"/>
          <w:szCs w:val="20"/>
        </w:rPr>
      </w:pPr>
    </w:p>
    <w:p w14:paraId="649056B6" w14:textId="77777777" w:rsidR="00D1587D" w:rsidRDefault="00410D07">
      <w:pPr>
        <w:ind w:right="19"/>
        <w:jc w:val="center"/>
        <w:rPr>
          <w:sz w:val="20"/>
          <w:szCs w:val="20"/>
        </w:rPr>
      </w:pPr>
      <w:r>
        <w:rPr>
          <w:rFonts w:ascii="Arial" w:eastAsia="Arial" w:hAnsi="Arial" w:cs="Arial"/>
          <w:sz w:val="18"/>
          <w:szCs w:val="18"/>
        </w:rPr>
        <w:t>F-1</w:t>
      </w:r>
      <w:r>
        <w:rPr>
          <w:rFonts w:ascii="Arial" w:eastAsia="Arial" w:hAnsi="Arial" w:cs="Arial"/>
          <w:sz w:val="18"/>
          <w:szCs w:val="18"/>
        </w:rPr>
        <w:t>4</w:t>
      </w:r>
    </w:p>
    <w:p w14:paraId="105B727D" w14:textId="77777777" w:rsidR="00D1587D" w:rsidRDefault="00410D07">
      <w:pPr>
        <w:spacing w:line="20" w:lineRule="exact"/>
        <w:rPr>
          <w:sz w:val="20"/>
          <w:szCs w:val="20"/>
        </w:rPr>
      </w:pPr>
      <w:r>
        <w:rPr>
          <w:noProof/>
          <w:sz w:val="20"/>
          <w:szCs w:val="20"/>
        </w:rPr>
        <w:drawing>
          <wp:anchor distT="0" distB="0" distL="114300" distR="114300" simplePos="0" relativeHeight="252066816" behindDoc="1" locked="0" layoutInCell="0" allowOverlap="1" wp14:anchorId="02F8FE34" wp14:editId="253CCE7C">
            <wp:simplePos x="0" y="0"/>
            <wp:positionH relativeFrom="column">
              <wp:posOffset>-636905</wp:posOffset>
            </wp:positionH>
            <wp:positionV relativeFrom="paragraph">
              <wp:posOffset>134620</wp:posOffset>
            </wp:positionV>
            <wp:extent cx="6995160" cy="17145"/>
            <wp:effectExtent l="0" t="0" r="0" b="0"/>
            <wp:wrapNone/>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F43EE3E" w14:textId="77777777" w:rsidR="00D1587D" w:rsidRDefault="00D1587D">
      <w:pPr>
        <w:sectPr w:rsidR="00D1587D">
          <w:pgSz w:w="11900" w:h="16838"/>
          <w:pgMar w:top="265" w:right="1440" w:bottom="1440" w:left="1440" w:header="0" w:footer="0" w:gutter="0"/>
          <w:cols w:space="720" w:equalWidth="0">
            <w:col w:w="9019"/>
          </w:cols>
        </w:sectPr>
      </w:pPr>
    </w:p>
    <w:bookmarkStart w:id="410" w:name="page411"/>
    <w:bookmarkEnd w:id="410"/>
    <w:p w14:paraId="0C17894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DFA50F1" w14:textId="77777777" w:rsidR="00D1587D" w:rsidRDefault="00D1587D">
      <w:pPr>
        <w:spacing w:line="131" w:lineRule="exact"/>
        <w:rPr>
          <w:sz w:val="20"/>
          <w:szCs w:val="20"/>
        </w:rPr>
      </w:pPr>
    </w:p>
    <w:p w14:paraId="070019D3" w14:textId="77777777" w:rsidR="00D1587D" w:rsidRDefault="00410D07">
      <w:pPr>
        <w:ind w:left="300"/>
        <w:rPr>
          <w:sz w:val="20"/>
          <w:szCs w:val="20"/>
        </w:rPr>
      </w:pPr>
      <w:r>
        <w:rPr>
          <w:rFonts w:ascii="Arial" w:eastAsia="Arial" w:hAnsi="Arial" w:cs="Arial"/>
          <w:b/>
          <w:bCs/>
          <w:i/>
          <w:iCs/>
          <w:sz w:val="18"/>
          <w:szCs w:val="18"/>
        </w:rPr>
        <w:t>Advertising Costs</w:t>
      </w:r>
    </w:p>
    <w:p w14:paraId="29EB7943" w14:textId="77777777" w:rsidR="00D1587D" w:rsidRDefault="00D1587D">
      <w:pPr>
        <w:spacing w:line="117" w:lineRule="exact"/>
        <w:rPr>
          <w:sz w:val="20"/>
          <w:szCs w:val="20"/>
        </w:rPr>
      </w:pPr>
    </w:p>
    <w:p w14:paraId="4997CF5D" w14:textId="77777777" w:rsidR="00D1587D" w:rsidRDefault="00410D07">
      <w:pPr>
        <w:spacing w:line="263" w:lineRule="auto"/>
        <w:ind w:left="300" w:right="319" w:firstLine="360"/>
        <w:jc w:val="both"/>
        <w:rPr>
          <w:sz w:val="20"/>
          <w:szCs w:val="20"/>
        </w:rPr>
      </w:pPr>
      <w:r>
        <w:rPr>
          <w:rFonts w:ascii="Arial" w:eastAsia="Arial" w:hAnsi="Arial" w:cs="Arial"/>
          <w:sz w:val="18"/>
          <w:szCs w:val="18"/>
        </w:rPr>
        <w:t>Advertising and marketing costs are expensed at the time the promotion first appears in media, or in the store or when the advertising is mailed. Advertising and market</w:t>
      </w:r>
      <w:r>
        <w:rPr>
          <w:rFonts w:ascii="Arial" w:eastAsia="Arial" w:hAnsi="Arial" w:cs="Arial"/>
          <w:sz w:val="18"/>
          <w:szCs w:val="18"/>
        </w:rPr>
        <w:t>ing costs totaled $239 million, $306 million and $348 million for 2020, 2019 and 2018, respectively.</w:t>
      </w:r>
    </w:p>
    <w:p w14:paraId="5FFAFC53" w14:textId="77777777" w:rsidR="00D1587D" w:rsidRDefault="00D1587D">
      <w:pPr>
        <w:spacing w:line="278" w:lineRule="exact"/>
        <w:rPr>
          <w:sz w:val="20"/>
          <w:szCs w:val="20"/>
        </w:rPr>
      </w:pPr>
    </w:p>
    <w:p w14:paraId="3AAED851" w14:textId="77777777" w:rsidR="00D1587D" w:rsidRDefault="00410D07">
      <w:pPr>
        <w:ind w:left="300"/>
        <w:rPr>
          <w:sz w:val="20"/>
          <w:szCs w:val="20"/>
        </w:rPr>
      </w:pPr>
      <w:r>
        <w:rPr>
          <w:rFonts w:ascii="Arial" w:eastAsia="Arial" w:hAnsi="Arial" w:cs="Arial"/>
          <w:b/>
          <w:bCs/>
          <w:i/>
          <w:iCs/>
          <w:sz w:val="18"/>
          <w:szCs w:val="18"/>
        </w:rPr>
        <w:t>Use of Estimates in the Preparation of Financial Statements</w:t>
      </w:r>
    </w:p>
    <w:p w14:paraId="60AD5EEF" w14:textId="77777777" w:rsidR="00D1587D" w:rsidRDefault="00D1587D">
      <w:pPr>
        <w:spacing w:line="117" w:lineRule="exact"/>
        <w:rPr>
          <w:sz w:val="20"/>
          <w:szCs w:val="20"/>
        </w:rPr>
      </w:pPr>
    </w:p>
    <w:p w14:paraId="761FE9E9" w14:textId="77777777" w:rsidR="00D1587D" w:rsidRDefault="00410D07">
      <w:pPr>
        <w:spacing w:line="296" w:lineRule="auto"/>
        <w:ind w:left="300" w:right="399" w:firstLine="360"/>
        <w:rPr>
          <w:sz w:val="20"/>
          <w:szCs w:val="20"/>
        </w:rPr>
      </w:pPr>
      <w:r>
        <w:rPr>
          <w:rFonts w:ascii="Arial" w:eastAsia="Arial" w:hAnsi="Arial" w:cs="Arial"/>
          <w:sz w:val="16"/>
          <w:szCs w:val="16"/>
        </w:rPr>
        <w:t xml:space="preserve">The preparation of financial statements in conformity with GAAP requires management to </w:t>
      </w:r>
      <w:r>
        <w:rPr>
          <w:rFonts w:ascii="Arial" w:eastAsia="Arial" w:hAnsi="Arial" w:cs="Arial"/>
          <w:sz w:val="16"/>
          <w:szCs w:val="16"/>
        </w:rPr>
        <w:t>make estimates and assumptions that affect the reported amounts of assets and liabilities at the date of the financial statements and the reported amounts of revenues and expenses during the reporting period, as well as the related disclosure of contingent</w:t>
      </w:r>
      <w:r>
        <w:rPr>
          <w:rFonts w:ascii="Arial" w:eastAsia="Arial" w:hAnsi="Arial" w:cs="Arial"/>
          <w:sz w:val="16"/>
          <w:szCs w:val="16"/>
        </w:rPr>
        <w:t xml:space="preserve"> assets and liabilities at the date of the financial statements. Actual results may differ from those estimates, and the Company revises its estimates and assumptions as new information becomes available.</w:t>
      </w:r>
    </w:p>
    <w:p w14:paraId="415D8FD9" w14:textId="77777777" w:rsidR="00D1587D" w:rsidRDefault="00D1587D">
      <w:pPr>
        <w:spacing w:line="252" w:lineRule="exact"/>
        <w:rPr>
          <w:sz w:val="20"/>
          <w:szCs w:val="20"/>
        </w:rPr>
      </w:pPr>
    </w:p>
    <w:p w14:paraId="3D644994" w14:textId="77777777" w:rsidR="00D1587D" w:rsidRDefault="00410D07">
      <w:pPr>
        <w:ind w:left="300"/>
        <w:rPr>
          <w:sz w:val="20"/>
          <w:szCs w:val="20"/>
        </w:rPr>
      </w:pPr>
      <w:r>
        <w:rPr>
          <w:rFonts w:ascii="Arial" w:eastAsia="Arial" w:hAnsi="Arial" w:cs="Arial"/>
          <w:b/>
          <w:bCs/>
          <w:sz w:val="18"/>
          <w:szCs w:val="18"/>
        </w:rPr>
        <w:t>2. New Accounting Pronouncements</w:t>
      </w:r>
    </w:p>
    <w:p w14:paraId="4B67931F" w14:textId="77777777" w:rsidR="00D1587D" w:rsidRDefault="00D1587D">
      <w:pPr>
        <w:spacing w:line="148" w:lineRule="exact"/>
        <w:rPr>
          <w:sz w:val="20"/>
          <w:szCs w:val="20"/>
        </w:rPr>
      </w:pPr>
    </w:p>
    <w:p w14:paraId="5F83FCBA" w14:textId="77777777" w:rsidR="00D1587D" w:rsidRDefault="00410D07">
      <w:pPr>
        <w:ind w:left="300"/>
        <w:rPr>
          <w:sz w:val="20"/>
          <w:szCs w:val="20"/>
        </w:rPr>
      </w:pPr>
      <w:r>
        <w:rPr>
          <w:rFonts w:ascii="Arial" w:eastAsia="Arial" w:hAnsi="Arial" w:cs="Arial"/>
          <w:b/>
          <w:bCs/>
          <w:i/>
          <w:iCs/>
          <w:sz w:val="18"/>
          <w:szCs w:val="18"/>
        </w:rPr>
        <w:t>Revenue from Con</w:t>
      </w:r>
      <w:r>
        <w:rPr>
          <w:rFonts w:ascii="Arial" w:eastAsia="Arial" w:hAnsi="Arial" w:cs="Arial"/>
          <w:b/>
          <w:bCs/>
          <w:i/>
          <w:iCs/>
          <w:sz w:val="18"/>
          <w:szCs w:val="18"/>
        </w:rPr>
        <w:t>tracts with Customers</w:t>
      </w:r>
    </w:p>
    <w:p w14:paraId="65835E0F" w14:textId="77777777" w:rsidR="00D1587D" w:rsidRDefault="00D1587D">
      <w:pPr>
        <w:spacing w:line="117" w:lineRule="exact"/>
        <w:rPr>
          <w:sz w:val="20"/>
          <w:szCs w:val="20"/>
        </w:rPr>
      </w:pPr>
    </w:p>
    <w:p w14:paraId="7BBC5444" w14:textId="77777777" w:rsidR="00D1587D" w:rsidRDefault="00410D07">
      <w:pPr>
        <w:spacing w:line="273" w:lineRule="auto"/>
        <w:ind w:left="300" w:right="479" w:firstLine="360"/>
        <w:rPr>
          <w:sz w:val="20"/>
          <w:szCs w:val="20"/>
        </w:rPr>
      </w:pPr>
      <w:r>
        <w:rPr>
          <w:rFonts w:ascii="Arial" w:eastAsia="Arial" w:hAnsi="Arial" w:cs="Arial"/>
          <w:sz w:val="17"/>
          <w:szCs w:val="17"/>
        </w:rPr>
        <w:t xml:space="preserve">In May 2014, the Financial Accounting Standards Board (“FASB”) issued ASC 606, </w:t>
      </w:r>
      <w:r>
        <w:rPr>
          <w:rFonts w:ascii="Arial" w:eastAsia="Arial" w:hAnsi="Arial" w:cs="Arial"/>
          <w:i/>
          <w:iCs/>
          <w:sz w:val="17"/>
          <w:szCs w:val="17"/>
        </w:rPr>
        <w:t>Revenue from Contracts</w:t>
      </w:r>
      <w:r>
        <w:rPr>
          <w:rFonts w:ascii="Arial" w:eastAsia="Arial" w:hAnsi="Arial" w:cs="Arial"/>
          <w:sz w:val="17"/>
          <w:szCs w:val="17"/>
        </w:rPr>
        <w:t xml:space="preserve"> </w:t>
      </w:r>
      <w:r>
        <w:rPr>
          <w:rFonts w:ascii="Arial" w:eastAsia="Arial" w:hAnsi="Arial" w:cs="Arial"/>
          <w:i/>
          <w:iCs/>
          <w:sz w:val="17"/>
          <w:szCs w:val="17"/>
        </w:rPr>
        <w:t>with Customers</w:t>
      </w:r>
      <w:r>
        <w:rPr>
          <w:rFonts w:ascii="Arial" w:eastAsia="Arial" w:hAnsi="Arial" w:cs="Arial"/>
          <w:sz w:val="17"/>
          <w:szCs w:val="17"/>
        </w:rPr>
        <w:t>, which was further clarified and amended in 2015 and 2016. This guidance requires companies to</w:t>
      </w:r>
      <w:r>
        <w:rPr>
          <w:rFonts w:ascii="Arial" w:eastAsia="Arial" w:hAnsi="Arial" w:cs="Arial"/>
          <w:i/>
          <w:iCs/>
          <w:sz w:val="17"/>
          <w:szCs w:val="17"/>
        </w:rPr>
        <w:t xml:space="preserve"> </w:t>
      </w:r>
      <w:r>
        <w:rPr>
          <w:rFonts w:ascii="Arial" w:eastAsia="Arial" w:hAnsi="Arial" w:cs="Arial"/>
          <w:sz w:val="17"/>
          <w:szCs w:val="17"/>
        </w:rPr>
        <w:t xml:space="preserve">recognize revenue in </w:t>
      </w:r>
      <w:r>
        <w:rPr>
          <w:rFonts w:ascii="Arial" w:eastAsia="Arial" w:hAnsi="Arial" w:cs="Arial"/>
          <w:sz w:val="17"/>
          <w:szCs w:val="17"/>
        </w:rPr>
        <w:t>a manner that depicts the transfer of promised goods or services to customers in amounts that reflect the consideration to which a company expects to be entitled in exchange for those goods or services. The standard also results in enhanced disclosures abo</w:t>
      </w:r>
      <w:r>
        <w:rPr>
          <w:rFonts w:ascii="Arial" w:eastAsia="Arial" w:hAnsi="Arial" w:cs="Arial"/>
          <w:sz w:val="17"/>
          <w:szCs w:val="17"/>
        </w:rPr>
        <w:t>ut the nature, amount, timing and uncertainty of revenue and cash flows arising from contracts with customers.</w:t>
      </w:r>
    </w:p>
    <w:p w14:paraId="02F9A759" w14:textId="77777777" w:rsidR="00D1587D" w:rsidRDefault="00D1587D">
      <w:pPr>
        <w:spacing w:line="70" w:lineRule="exact"/>
        <w:rPr>
          <w:sz w:val="20"/>
          <w:szCs w:val="20"/>
        </w:rPr>
      </w:pPr>
    </w:p>
    <w:p w14:paraId="3E95B183" w14:textId="77777777" w:rsidR="00D1587D" w:rsidRDefault="00410D07">
      <w:pPr>
        <w:spacing w:line="272" w:lineRule="auto"/>
        <w:ind w:left="300" w:right="419" w:firstLine="360"/>
        <w:rPr>
          <w:sz w:val="20"/>
          <w:szCs w:val="20"/>
        </w:rPr>
      </w:pPr>
      <w:r>
        <w:rPr>
          <w:rFonts w:ascii="Arial" w:eastAsia="Arial" w:hAnsi="Arial" w:cs="Arial"/>
          <w:sz w:val="17"/>
          <w:szCs w:val="17"/>
        </w:rPr>
        <w:t>The Company adopted the standard in 2018 under the modified retrospective approach. Under the standard, income from the Victoria’s Secret privat</w:t>
      </w:r>
      <w:r>
        <w:rPr>
          <w:rFonts w:ascii="Arial" w:eastAsia="Arial" w:hAnsi="Arial" w:cs="Arial"/>
          <w:sz w:val="17"/>
          <w:szCs w:val="17"/>
        </w:rPr>
        <w:t>e label credit card arrangement, which was historically presented as a reduction to General, Administrative and Store Operating Expenses, is presented as revenue. Further, historical accounting related to loyalty points earned under the Victoria’s Secret c</w:t>
      </w:r>
      <w:r>
        <w:rPr>
          <w:rFonts w:ascii="Arial" w:eastAsia="Arial" w:hAnsi="Arial" w:cs="Arial"/>
          <w:sz w:val="17"/>
          <w:szCs w:val="17"/>
        </w:rPr>
        <w:t>ustomer loyalty program changed as the Company now defers revenue associated with customer loyalty points until the points are redeemed using a relative stand-alone selling price method. The standard also changed accounting for sales returns which requires</w:t>
      </w:r>
      <w:r>
        <w:rPr>
          <w:rFonts w:ascii="Arial" w:eastAsia="Arial" w:hAnsi="Arial" w:cs="Arial"/>
          <w:sz w:val="17"/>
          <w:szCs w:val="17"/>
        </w:rPr>
        <w:t xml:space="preserve"> balance sheet presentation on a gross basis.</w:t>
      </w:r>
    </w:p>
    <w:p w14:paraId="0FC7C091" w14:textId="77777777" w:rsidR="00D1587D" w:rsidRDefault="00D1587D">
      <w:pPr>
        <w:spacing w:line="69" w:lineRule="exact"/>
        <w:rPr>
          <w:sz w:val="20"/>
          <w:szCs w:val="20"/>
        </w:rPr>
      </w:pPr>
    </w:p>
    <w:p w14:paraId="7D333A36" w14:textId="77777777" w:rsidR="00D1587D" w:rsidRDefault="00410D07">
      <w:pPr>
        <w:spacing w:line="257" w:lineRule="auto"/>
        <w:ind w:left="300" w:right="299" w:firstLine="360"/>
        <w:rPr>
          <w:sz w:val="20"/>
          <w:szCs w:val="20"/>
        </w:rPr>
      </w:pPr>
      <w:r>
        <w:rPr>
          <w:rFonts w:ascii="Arial" w:eastAsia="Arial" w:hAnsi="Arial" w:cs="Arial"/>
          <w:sz w:val="18"/>
          <w:szCs w:val="18"/>
        </w:rPr>
        <w:t xml:space="preserve">Upon adoption at the beginning of 2018, the Company recorded a cumulative catch-up adjustment resulting in a reduction to Net Investment by L Brands, Inc. of $32 million, net of tax. The cumulative adjustment </w:t>
      </w:r>
      <w:r>
        <w:rPr>
          <w:rFonts w:ascii="Arial" w:eastAsia="Arial" w:hAnsi="Arial" w:cs="Arial"/>
          <w:sz w:val="18"/>
          <w:szCs w:val="18"/>
        </w:rPr>
        <w:t>primarily related to the deferral of revenue related to outstanding points, net of estimated forfeitures, under the Victoria’s Secret customer loyalty program. See Note 4, “Revenue Recognition” for additional disclosures required by the standard.</w:t>
      </w:r>
    </w:p>
    <w:p w14:paraId="314D2B05" w14:textId="77777777" w:rsidR="00D1587D" w:rsidRDefault="00D1587D">
      <w:pPr>
        <w:spacing w:line="282" w:lineRule="exact"/>
        <w:rPr>
          <w:sz w:val="20"/>
          <w:szCs w:val="20"/>
        </w:rPr>
      </w:pPr>
    </w:p>
    <w:p w14:paraId="78782CF7" w14:textId="77777777" w:rsidR="00D1587D" w:rsidRDefault="00410D07">
      <w:pPr>
        <w:ind w:left="300"/>
        <w:rPr>
          <w:sz w:val="20"/>
          <w:szCs w:val="20"/>
        </w:rPr>
      </w:pPr>
      <w:r>
        <w:rPr>
          <w:rFonts w:ascii="Arial" w:eastAsia="Arial" w:hAnsi="Arial" w:cs="Arial"/>
          <w:b/>
          <w:bCs/>
          <w:i/>
          <w:iCs/>
          <w:sz w:val="18"/>
          <w:szCs w:val="18"/>
        </w:rPr>
        <w:t>Leases</w:t>
      </w:r>
    </w:p>
    <w:p w14:paraId="3561EAE1" w14:textId="77777777" w:rsidR="00D1587D" w:rsidRDefault="00D1587D">
      <w:pPr>
        <w:spacing w:line="117" w:lineRule="exact"/>
        <w:rPr>
          <w:sz w:val="20"/>
          <w:szCs w:val="20"/>
        </w:rPr>
      </w:pPr>
    </w:p>
    <w:p w14:paraId="087C89FD" w14:textId="77777777" w:rsidR="00D1587D" w:rsidRDefault="00410D07">
      <w:pPr>
        <w:spacing w:line="293" w:lineRule="auto"/>
        <w:ind w:left="300" w:right="299" w:firstLine="360"/>
        <w:rPr>
          <w:sz w:val="20"/>
          <w:szCs w:val="20"/>
        </w:rPr>
      </w:pPr>
      <w:r>
        <w:rPr>
          <w:rFonts w:ascii="Arial" w:eastAsia="Arial" w:hAnsi="Arial" w:cs="Arial"/>
          <w:sz w:val="16"/>
          <w:szCs w:val="16"/>
        </w:rPr>
        <w:t xml:space="preserve">In February 2016, the FASB issued ASC 842, </w:t>
      </w:r>
      <w:r>
        <w:rPr>
          <w:rFonts w:ascii="Arial" w:eastAsia="Arial" w:hAnsi="Arial" w:cs="Arial"/>
          <w:i/>
          <w:iCs/>
          <w:sz w:val="16"/>
          <w:szCs w:val="16"/>
        </w:rPr>
        <w:t>Leases</w:t>
      </w:r>
      <w:r>
        <w:rPr>
          <w:rFonts w:ascii="Arial" w:eastAsia="Arial" w:hAnsi="Arial" w:cs="Arial"/>
          <w:sz w:val="16"/>
          <w:szCs w:val="16"/>
        </w:rPr>
        <w:t xml:space="preserve">, which requires companies classified as lessees to account for most leases on their balance sheet but recognize expense on their income statement in a manner similar to legacy accounting. The standard also </w:t>
      </w:r>
      <w:r>
        <w:rPr>
          <w:rFonts w:ascii="Arial" w:eastAsia="Arial" w:hAnsi="Arial" w:cs="Arial"/>
          <w:sz w:val="16"/>
          <w:szCs w:val="16"/>
        </w:rPr>
        <w:t>requires enhanced quantitative and qualitative disclosures, including significant judgments made by management, to provide greater insight into the extent of expense recognized and expected to be recognized from existing leases. In July 2018, the FASB appr</w:t>
      </w:r>
      <w:r>
        <w:rPr>
          <w:rFonts w:ascii="Arial" w:eastAsia="Arial" w:hAnsi="Arial" w:cs="Arial"/>
          <w:sz w:val="16"/>
          <w:szCs w:val="16"/>
        </w:rPr>
        <w:t>oved an amendment to the standard that provides companies a modified retrospective transition option that did not require earlier periods to be restated upon adoption.</w:t>
      </w:r>
    </w:p>
    <w:p w14:paraId="2CC676FE" w14:textId="77777777" w:rsidR="00D1587D" w:rsidRDefault="00D1587D">
      <w:pPr>
        <w:spacing w:line="56" w:lineRule="exact"/>
        <w:rPr>
          <w:sz w:val="20"/>
          <w:szCs w:val="20"/>
        </w:rPr>
      </w:pPr>
    </w:p>
    <w:p w14:paraId="54CFBE12" w14:textId="77777777" w:rsidR="00D1587D" w:rsidRDefault="00410D07">
      <w:pPr>
        <w:spacing w:line="263" w:lineRule="auto"/>
        <w:ind w:left="300" w:right="499" w:firstLine="360"/>
        <w:rPr>
          <w:sz w:val="20"/>
          <w:szCs w:val="20"/>
        </w:rPr>
      </w:pPr>
      <w:r>
        <w:rPr>
          <w:rFonts w:ascii="Arial" w:eastAsia="Arial" w:hAnsi="Arial" w:cs="Arial"/>
          <w:sz w:val="18"/>
          <w:szCs w:val="18"/>
        </w:rPr>
        <w:t xml:space="preserve">The Company adopted the standard in 2019 under the modified retrospective approach. As </w:t>
      </w:r>
      <w:r>
        <w:rPr>
          <w:rFonts w:ascii="Arial" w:eastAsia="Arial" w:hAnsi="Arial" w:cs="Arial"/>
          <w:sz w:val="18"/>
          <w:szCs w:val="18"/>
        </w:rPr>
        <w:t>allowed by the standard, the Company elected the package of transition practical expedients but elected to not apply the hindsight practical expedient to its leases at transition.</w:t>
      </w:r>
    </w:p>
    <w:p w14:paraId="40BBA389" w14:textId="77777777" w:rsidR="00D1587D" w:rsidRDefault="00D1587D">
      <w:pPr>
        <w:spacing w:line="76" w:lineRule="exact"/>
        <w:rPr>
          <w:sz w:val="20"/>
          <w:szCs w:val="20"/>
        </w:rPr>
      </w:pPr>
    </w:p>
    <w:p w14:paraId="797DA74B" w14:textId="77777777" w:rsidR="00D1587D" w:rsidRDefault="00410D07">
      <w:pPr>
        <w:spacing w:line="272" w:lineRule="auto"/>
        <w:ind w:left="300" w:right="339" w:firstLine="360"/>
        <w:rPr>
          <w:sz w:val="20"/>
          <w:szCs w:val="20"/>
        </w:rPr>
      </w:pPr>
      <w:r>
        <w:rPr>
          <w:rFonts w:ascii="Arial" w:eastAsia="Arial" w:hAnsi="Arial" w:cs="Arial"/>
          <w:sz w:val="17"/>
          <w:szCs w:val="17"/>
        </w:rPr>
        <w:t>Upon adoption at the beginning of 2019, the Company recorded operating leas</w:t>
      </w:r>
      <w:r>
        <w:rPr>
          <w:rFonts w:ascii="Arial" w:eastAsia="Arial" w:hAnsi="Arial" w:cs="Arial"/>
          <w:sz w:val="17"/>
          <w:szCs w:val="17"/>
        </w:rPr>
        <w:t>e liabilities of $2.7 billion and operating lease assets for its leases of $2.4 billion. The operating lease assets are less than the operating lease liabilities by approximately $320 million, primarily due to deferred rent and unamortized landlord constru</w:t>
      </w:r>
      <w:r>
        <w:rPr>
          <w:rFonts w:ascii="Arial" w:eastAsia="Arial" w:hAnsi="Arial" w:cs="Arial"/>
          <w:sz w:val="17"/>
          <w:szCs w:val="17"/>
        </w:rPr>
        <w:t>ction allowances that were previously recorded as Other Long-term Liabilities on the Combined Balance Sheet. The Company also recorded a decrease to Net Investment by L Brands, Inc. of $2 million, net of tax. The adoption of the standard did not materially</w:t>
      </w:r>
      <w:r>
        <w:rPr>
          <w:rFonts w:ascii="Arial" w:eastAsia="Arial" w:hAnsi="Arial" w:cs="Arial"/>
          <w:sz w:val="17"/>
          <w:szCs w:val="17"/>
        </w:rPr>
        <w:t xml:space="preserve"> impact the Combined Statements of Income (Loss) or Cash Flows. See Note 8, “Leases,” for additional disclosures required by the standard.</w:t>
      </w:r>
    </w:p>
    <w:p w14:paraId="6487D0FE" w14:textId="77777777" w:rsidR="00D1587D" w:rsidRDefault="00D1587D">
      <w:pPr>
        <w:spacing w:line="177" w:lineRule="exact"/>
        <w:rPr>
          <w:sz w:val="20"/>
          <w:szCs w:val="20"/>
        </w:rPr>
      </w:pPr>
    </w:p>
    <w:p w14:paraId="49699E14" w14:textId="77777777" w:rsidR="00D1587D" w:rsidRDefault="00410D07">
      <w:pPr>
        <w:jc w:val="center"/>
        <w:rPr>
          <w:sz w:val="20"/>
          <w:szCs w:val="20"/>
        </w:rPr>
      </w:pPr>
      <w:r>
        <w:rPr>
          <w:rFonts w:ascii="Arial" w:eastAsia="Arial" w:hAnsi="Arial" w:cs="Arial"/>
          <w:sz w:val="18"/>
          <w:szCs w:val="18"/>
        </w:rPr>
        <w:t>F-15</w:t>
      </w:r>
    </w:p>
    <w:p w14:paraId="73E23E21" w14:textId="77777777" w:rsidR="00D1587D" w:rsidRDefault="00410D07">
      <w:pPr>
        <w:spacing w:line="20" w:lineRule="exact"/>
        <w:rPr>
          <w:sz w:val="20"/>
          <w:szCs w:val="20"/>
        </w:rPr>
      </w:pPr>
      <w:r>
        <w:rPr>
          <w:noProof/>
          <w:sz w:val="20"/>
          <w:szCs w:val="20"/>
        </w:rPr>
        <w:drawing>
          <wp:anchor distT="0" distB="0" distL="114300" distR="114300" simplePos="0" relativeHeight="252067840" behindDoc="1" locked="0" layoutInCell="0" allowOverlap="1" wp14:anchorId="28CA2A5E" wp14:editId="6EC80EEB">
            <wp:simplePos x="0" y="0"/>
            <wp:positionH relativeFrom="column">
              <wp:posOffset>-636905</wp:posOffset>
            </wp:positionH>
            <wp:positionV relativeFrom="paragraph">
              <wp:posOffset>126365</wp:posOffset>
            </wp:positionV>
            <wp:extent cx="6995160" cy="17145"/>
            <wp:effectExtent l="0" t="0" r="0" b="0"/>
            <wp:wrapNone/>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9766229" w14:textId="77777777" w:rsidR="00D1587D" w:rsidRDefault="00D1587D">
      <w:pPr>
        <w:sectPr w:rsidR="00D1587D">
          <w:pgSz w:w="11900" w:h="16838"/>
          <w:pgMar w:top="265" w:right="1440" w:bottom="1440" w:left="1440" w:header="0" w:footer="0" w:gutter="0"/>
          <w:cols w:space="720" w:equalWidth="0">
            <w:col w:w="9019"/>
          </w:cols>
        </w:sectPr>
      </w:pPr>
    </w:p>
    <w:bookmarkStart w:id="411" w:name="page412"/>
    <w:bookmarkEnd w:id="411"/>
    <w:p w14:paraId="5DA0A79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7495C5C" w14:textId="77777777" w:rsidR="00D1587D" w:rsidRDefault="00D1587D">
      <w:pPr>
        <w:spacing w:line="131" w:lineRule="exact"/>
        <w:rPr>
          <w:sz w:val="20"/>
          <w:szCs w:val="20"/>
        </w:rPr>
      </w:pPr>
    </w:p>
    <w:p w14:paraId="54692AD5" w14:textId="77777777" w:rsidR="00D1587D" w:rsidRDefault="00410D07">
      <w:pPr>
        <w:ind w:left="300"/>
        <w:rPr>
          <w:sz w:val="20"/>
          <w:szCs w:val="20"/>
        </w:rPr>
      </w:pPr>
      <w:r>
        <w:rPr>
          <w:rFonts w:ascii="Arial" w:eastAsia="Arial" w:hAnsi="Arial" w:cs="Arial"/>
          <w:b/>
          <w:bCs/>
          <w:i/>
          <w:iCs/>
          <w:sz w:val="18"/>
          <w:szCs w:val="18"/>
        </w:rPr>
        <w:t>Goodwill</w:t>
      </w:r>
    </w:p>
    <w:p w14:paraId="619D1F7E" w14:textId="77777777" w:rsidR="00D1587D" w:rsidRDefault="00D1587D">
      <w:pPr>
        <w:spacing w:line="117" w:lineRule="exact"/>
        <w:rPr>
          <w:sz w:val="20"/>
          <w:szCs w:val="20"/>
        </w:rPr>
      </w:pPr>
    </w:p>
    <w:p w14:paraId="63CE171D" w14:textId="77777777" w:rsidR="00D1587D" w:rsidRDefault="00410D07">
      <w:pPr>
        <w:spacing w:line="291" w:lineRule="auto"/>
        <w:ind w:left="300" w:right="359" w:firstLine="360"/>
        <w:rPr>
          <w:sz w:val="20"/>
          <w:szCs w:val="20"/>
        </w:rPr>
      </w:pPr>
      <w:r>
        <w:rPr>
          <w:rFonts w:ascii="Arial" w:eastAsia="Arial" w:hAnsi="Arial" w:cs="Arial"/>
          <w:sz w:val="16"/>
          <w:szCs w:val="16"/>
        </w:rPr>
        <w:t xml:space="preserve">In January 2017, the FASB issued Accounting Standards Update (“ASU”) 2017-04, </w:t>
      </w:r>
      <w:r>
        <w:rPr>
          <w:rFonts w:ascii="Arial" w:eastAsia="Arial" w:hAnsi="Arial" w:cs="Arial"/>
          <w:i/>
          <w:iCs/>
          <w:sz w:val="16"/>
          <w:szCs w:val="16"/>
        </w:rPr>
        <w:t>Simplifying the Test for</w:t>
      </w:r>
      <w:r>
        <w:rPr>
          <w:rFonts w:ascii="Arial" w:eastAsia="Arial" w:hAnsi="Arial" w:cs="Arial"/>
          <w:sz w:val="16"/>
          <w:szCs w:val="16"/>
        </w:rPr>
        <w:t xml:space="preserve"> </w:t>
      </w:r>
      <w:r>
        <w:rPr>
          <w:rFonts w:ascii="Arial" w:eastAsia="Arial" w:hAnsi="Arial" w:cs="Arial"/>
          <w:i/>
          <w:iCs/>
          <w:sz w:val="16"/>
          <w:szCs w:val="16"/>
        </w:rPr>
        <w:t>Goodwill Impairment</w:t>
      </w:r>
      <w:r>
        <w:rPr>
          <w:rFonts w:ascii="Arial" w:eastAsia="Arial" w:hAnsi="Arial" w:cs="Arial"/>
          <w:sz w:val="16"/>
          <w:szCs w:val="16"/>
        </w:rPr>
        <w:t>, which simplifies the subsequent measurement of goodwill. The standard eliminates the</w:t>
      </w:r>
      <w:r>
        <w:rPr>
          <w:rFonts w:ascii="Arial" w:eastAsia="Arial" w:hAnsi="Arial" w:cs="Arial"/>
          <w:i/>
          <w:iCs/>
          <w:sz w:val="16"/>
          <w:szCs w:val="16"/>
        </w:rPr>
        <w:t xml:space="preserve"> </w:t>
      </w:r>
      <w:r>
        <w:rPr>
          <w:rFonts w:ascii="Arial" w:eastAsia="Arial" w:hAnsi="Arial" w:cs="Arial"/>
          <w:sz w:val="16"/>
          <w:szCs w:val="16"/>
        </w:rPr>
        <w:t xml:space="preserve">second step from the goodwill impairment test, </w:t>
      </w:r>
      <w:r>
        <w:rPr>
          <w:rFonts w:ascii="Arial" w:eastAsia="Arial" w:hAnsi="Arial" w:cs="Arial"/>
          <w:sz w:val="16"/>
          <w:szCs w:val="16"/>
        </w:rPr>
        <w:t>which required a hypothetical purchase price allocation to determine the implied fair value of goodwill. Under the new standard, the goodwill impairment charge is the excess of the reporting unit’s carrying value over its fair value, not to exceed the tota</w:t>
      </w:r>
      <w:r>
        <w:rPr>
          <w:rFonts w:ascii="Arial" w:eastAsia="Arial" w:hAnsi="Arial" w:cs="Arial"/>
          <w:sz w:val="16"/>
          <w:szCs w:val="16"/>
        </w:rPr>
        <w:t>l amount of goodwill allocated to the reporting unit. The Company adopted this standard in 2019 and performed its 2019 impairment assessments in accordance with ASU 2017-04. For additional information, see Note 9, “Goodwill and Trade Name.”</w:t>
      </w:r>
    </w:p>
    <w:p w14:paraId="7459946A" w14:textId="77777777" w:rsidR="00D1587D" w:rsidRDefault="00D1587D">
      <w:pPr>
        <w:spacing w:line="328" w:lineRule="exact"/>
        <w:rPr>
          <w:sz w:val="20"/>
          <w:szCs w:val="20"/>
        </w:rPr>
      </w:pPr>
    </w:p>
    <w:p w14:paraId="2B9FA164" w14:textId="77777777" w:rsidR="00D1587D" w:rsidRDefault="00410D07">
      <w:pPr>
        <w:ind w:left="300"/>
        <w:rPr>
          <w:sz w:val="20"/>
          <w:szCs w:val="20"/>
        </w:rPr>
      </w:pPr>
      <w:r>
        <w:rPr>
          <w:rFonts w:ascii="Arial" w:eastAsia="Arial" w:hAnsi="Arial" w:cs="Arial"/>
          <w:b/>
          <w:bCs/>
          <w:i/>
          <w:iCs/>
          <w:sz w:val="18"/>
          <w:szCs w:val="18"/>
        </w:rPr>
        <w:t>Hedging Activi</w:t>
      </w:r>
      <w:r>
        <w:rPr>
          <w:rFonts w:ascii="Arial" w:eastAsia="Arial" w:hAnsi="Arial" w:cs="Arial"/>
          <w:b/>
          <w:bCs/>
          <w:i/>
          <w:iCs/>
          <w:sz w:val="18"/>
          <w:szCs w:val="18"/>
        </w:rPr>
        <w:t>ties</w:t>
      </w:r>
    </w:p>
    <w:p w14:paraId="25FF4EF9" w14:textId="77777777" w:rsidR="00D1587D" w:rsidRDefault="00D1587D">
      <w:pPr>
        <w:spacing w:line="117" w:lineRule="exact"/>
        <w:rPr>
          <w:sz w:val="20"/>
          <w:szCs w:val="20"/>
        </w:rPr>
      </w:pPr>
    </w:p>
    <w:p w14:paraId="4E857189" w14:textId="77777777" w:rsidR="00D1587D" w:rsidRDefault="00410D07">
      <w:pPr>
        <w:spacing w:line="254" w:lineRule="auto"/>
        <w:ind w:left="300" w:right="359" w:firstLine="360"/>
        <w:rPr>
          <w:sz w:val="20"/>
          <w:szCs w:val="20"/>
        </w:rPr>
      </w:pPr>
      <w:r>
        <w:rPr>
          <w:rFonts w:ascii="Arial" w:eastAsia="Arial" w:hAnsi="Arial" w:cs="Arial"/>
          <w:sz w:val="18"/>
          <w:szCs w:val="18"/>
        </w:rPr>
        <w:t xml:space="preserve">In August 2017, the FASB issued ASU 2017-12, </w:t>
      </w:r>
      <w:r>
        <w:rPr>
          <w:rFonts w:ascii="Arial" w:eastAsia="Arial" w:hAnsi="Arial" w:cs="Arial"/>
          <w:i/>
          <w:iCs/>
          <w:sz w:val="18"/>
          <w:szCs w:val="18"/>
        </w:rPr>
        <w:t>Targeted Improvements to Accounting for Hedging Activities</w:t>
      </w:r>
      <w:r>
        <w:rPr>
          <w:rFonts w:ascii="Arial" w:eastAsia="Arial" w:hAnsi="Arial" w:cs="Arial"/>
          <w:sz w:val="18"/>
          <w:szCs w:val="18"/>
        </w:rPr>
        <w:t xml:space="preserve">, which is intended to better align risk management activities and financial reporting for hedging relationships. The standard eliminates the </w:t>
      </w:r>
      <w:r>
        <w:rPr>
          <w:rFonts w:ascii="Arial" w:eastAsia="Arial" w:hAnsi="Arial" w:cs="Arial"/>
          <w:sz w:val="18"/>
          <w:szCs w:val="18"/>
        </w:rPr>
        <w:t xml:space="preserve">requirement to separately measure and report hedge ineffectiveness and generally requires the entire change in the fair value of a hedging instrument to be presented in the same income statement line as the hedged item. It also eases certain documentation </w:t>
      </w:r>
      <w:r>
        <w:rPr>
          <w:rFonts w:ascii="Arial" w:eastAsia="Arial" w:hAnsi="Arial" w:cs="Arial"/>
          <w:sz w:val="18"/>
          <w:szCs w:val="18"/>
        </w:rPr>
        <w:t>and assessment requirements. The Company adopted the standard 2019. The adoption of this standard did not have a material impact on the Company’s results of operations, financial position or cash flows.</w:t>
      </w:r>
    </w:p>
    <w:p w14:paraId="70616EC1" w14:textId="77777777" w:rsidR="00D1587D" w:rsidRDefault="00D1587D">
      <w:pPr>
        <w:spacing w:line="343" w:lineRule="exact"/>
        <w:rPr>
          <w:sz w:val="20"/>
          <w:szCs w:val="20"/>
        </w:rPr>
      </w:pPr>
    </w:p>
    <w:p w14:paraId="64E2E815" w14:textId="77777777" w:rsidR="00D1587D" w:rsidRDefault="00410D07">
      <w:pPr>
        <w:ind w:left="300"/>
        <w:rPr>
          <w:sz w:val="20"/>
          <w:szCs w:val="20"/>
        </w:rPr>
      </w:pPr>
      <w:r>
        <w:rPr>
          <w:rFonts w:ascii="Arial" w:eastAsia="Arial" w:hAnsi="Arial" w:cs="Arial"/>
          <w:b/>
          <w:bCs/>
          <w:i/>
          <w:iCs/>
          <w:sz w:val="18"/>
          <w:szCs w:val="18"/>
        </w:rPr>
        <w:t>Credit Losses</w:t>
      </w:r>
    </w:p>
    <w:p w14:paraId="6FEE6523" w14:textId="77777777" w:rsidR="00D1587D" w:rsidRDefault="00D1587D">
      <w:pPr>
        <w:spacing w:line="117" w:lineRule="exact"/>
        <w:rPr>
          <w:sz w:val="20"/>
          <w:szCs w:val="20"/>
        </w:rPr>
      </w:pPr>
    </w:p>
    <w:p w14:paraId="27AAE50E" w14:textId="77777777" w:rsidR="00D1587D" w:rsidRDefault="00410D07">
      <w:pPr>
        <w:spacing w:line="259" w:lineRule="auto"/>
        <w:ind w:left="300" w:right="399" w:firstLine="360"/>
        <w:rPr>
          <w:sz w:val="20"/>
          <w:szCs w:val="20"/>
        </w:rPr>
      </w:pPr>
      <w:r>
        <w:rPr>
          <w:rFonts w:ascii="Arial" w:eastAsia="Arial" w:hAnsi="Arial" w:cs="Arial"/>
          <w:sz w:val="18"/>
          <w:szCs w:val="18"/>
        </w:rPr>
        <w:t>In June 2016, the FASB issued ASU 201</w:t>
      </w:r>
      <w:r>
        <w:rPr>
          <w:rFonts w:ascii="Arial" w:eastAsia="Arial" w:hAnsi="Arial" w:cs="Arial"/>
          <w:sz w:val="18"/>
          <w:szCs w:val="18"/>
        </w:rPr>
        <w:t xml:space="preserve">6-13, </w:t>
      </w:r>
      <w:r>
        <w:rPr>
          <w:rFonts w:ascii="Arial" w:eastAsia="Arial" w:hAnsi="Arial" w:cs="Arial"/>
          <w:i/>
          <w:iCs/>
          <w:sz w:val="18"/>
          <w:szCs w:val="18"/>
        </w:rPr>
        <w:t>Financial Instruments - Credit Losses,</w:t>
      </w:r>
      <w:r>
        <w:rPr>
          <w:rFonts w:ascii="Arial" w:eastAsia="Arial" w:hAnsi="Arial" w:cs="Arial"/>
          <w:sz w:val="18"/>
          <w:szCs w:val="18"/>
        </w:rPr>
        <w:t xml:space="preserve"> which requires the use of a forward-looking expected loss impairment model for accounts receivable and certain other financial instruments. The Company adopted the standard in 2020. The adoption of this standard</w:t>
      </w:r>
      <w:r>
        <w:rPr>
          <w:rFonts w:ascii="Arial" w:eastAsia="Arial" w:hAnsi="Arial" w:cs="Arial"/>
          <w:sz w:val="18"/>
          <w:szCs w:val="18"/>
        </w:rPr>
        <w:t xml:space="preserve"> did not have a material impact on the Company’s results of operations, financial position or cash flows.</w:t>
      </w:r>
    </w:p>
    <w:p w14:paraId="62220EF1" w14:textId="77777777" w:rsidR="00D1587D" w:rsidRDefault="00D1587D">
      <w:pPr>
        <w:spacing w:line="331" w:lineRule="exact"/>
        <w:rPr>
          <w:sz w:val="20"/>
          <w:szCs w:val="20"/>
        </w:rPr>
      </w:pPr>
    </w:p>
    <w:p w14:paraId="4FA430FB" w14:textId="77777777" w:rsidR="00D1587D" w:rsidRDefault="00410D07">
      <w:pPr>
        <w:ind w:left="300"/>
        <w:rPr>
          <w:sz w:val="20"/>
          <w:szCs w:val="20"/>
        </w:rPr>
      </w:pPr>
      <w:r>
        <w:rPr>
          <w:rFonts w:ascii="Arial" w:eastAsia="Arial" w:hAnsi="Arial" w:cs="Arial"/>
          <w:b/>
          <w:bCs/>
          <w:sz w:val="18"/>
          <w:szCs w:val="18"/>
        </w:rPr>
        <w:t>3. Transactions with Related Parties</w:t>
      </w:r>
    </w:p>
    <w:p w14:paraId="68F7E991" w14:textId="77777777" w:rsidR="00D1587D" w:rsidRDefault="00D1587D">
      <w:pPr>
        <w:spacing w:line="121" w:lineRule="exact"/>
        <w:rPr>
          <w:sz w:val="20"/>
          <w:szCs w:val="20"/>
        </w:rPr>
      </w:pPr>
    </w:p>
    <w:p w14:paraId="09C85E75" w14:textId="77777777" w:rsidR="00D1587D" w:rsidRDefault="00410D07">
      <w:pPr>
        <w:spacing w:line="263" w:lineRule="auto"/>
        <w:ind w:left="300" w:right="319" w:firstLine="360"/>
        <w:rPr>
          <w:sz w:val="20"/>
          <w:szCs w:val="20"/>
        </w:rPr>
      </w:pPr>
      <w:r>
        <w:rPr>
          <w:rFonts w:ascii="Arial" w:eastAsia="Arial" w:hAnsi="Arial" w:cs="Arial"/>
          <w:sz w:val="18"/>
          <w:szCs w:val="18"/>
        </w:rPr>
        <w:t xml:space="preserve">The combined financial statements have been prepared on a standalone basis and are derived from the </w:t>
      </w:r>
      <w:r>
        <w:rPr>
          <w:rFonts w:ascii="Arial" w:eastAsia="Arial" w:hAnsi="Arial" w:cs="Arial"/>
          <w:sz w:val="18"/>
          <w:szCs w:val="18"/>
        </w:rPr>
        <w:t>consolidated financial statements and accounting records of L Brands. The following discussion summarizes activity between the Company and L Brands.</w:t>
      </w:r>
    </w:p>
    <w:p w14:paraId="66DC6EDE" w14:textId="77777777" w:rsidR="00D1587D" w:rsidRDefault="00D1587D">
      <w:pPr>
        <w:spacing w:line="346" w:lineRule="exact"/>
        <w:rPr>
          <w:sz w:val="20"/>
          <w:szCs w:val="20"/>
        </w:rPr>
      </w:pPr>
    </w:p>
    <w:p w14:paraId="3196159D" w14:textId="77777777" w:rsidR="00D1587D" w:rsidRDefault="00410D07">
      <w:pPr>
        <w:ind w:left="300"/>
        <w:rPr>
          <w:sz w:val="20"/>
          <w:szCs w:val="20"/>
        </w:rPr>
      </w:pPr>
      <w:r>
        <w:rPr>
          <w:rFonts w:ascii="Arial" w:eastAsia="Arial" w:hAnsi="Arial" w:cs="Arial"/>
          <w:b/>
          <w:bCs/>
          <w:i/>
          <w:iCs/>
          <w:sz w:val="18"/>
          <w:szCs w:val="18"/>
        </w:rPr>
        <w:t>Allocation of General Corporate Expenses</w:t>
      </w:r>
    </w:p>
    <w:p w14:paraId="65C7EF24" w14:textId="77777777" w:rsidR="00D1587D" w:rsidRDefault="00D1587D">
      <w:pPr>
        <w:spacing w:line="117" w:lineRule="exact"/>
        <w:rPr>
          <w:sz w:val="20"/>
          <w:szCs w:val="20"/>
        </w:rPr>
      </w:pPr>
    </w:p>
    <w:p w14:paraId="422E2061" w14:textId="77777777" w:rsidR="00D1587D" w:rsidRDefault="00410D07">
      <w:pPr>
        <w:spacing w:line="311" w:lineRule="auto"/>
        <w:ind w:left="300" w:right="399" w:firstLine="360"/>
        <w:rPr>
          <w:sz w:val="20"/>
          <w:szCs w:val="20"/>
        </w:rPr>
      </w:pPr>
      <w:r>
        <w:rPr>
          <w:rFonts w:ascii="Arial" w:eastAsia="Arial" w:hAnsi="Arial" w:cs="Arial"/>
          <w:sz w:val="16"/>
          <w:szCs w:val="16"/>
        </w:rPr>
        <w:t>For purposes of preparing these combined financial statements on</w:t>
      </w:r>
      <w:r>
        <w:rPr>
          <w:rFonts w:ascii="Arial" w:eastAsia="Arial" w:hAnsi="Arial" w:cs="Arial"/>
          <w:sz w:val="16"/>
          <w:szCs w:val="16"/>
        </w:rPr>
        <w:t xml:space="preserve"> a “carve-out” basis, we have allocated a portion of L Brands’ total corporate expenses to the Company. See Note 1 for a discussion of the methodology used to allocate corporate-related costs for purposes of preparing these financial statements on a “carve</w:t>
      </w:r>
      <w:r>
        <w:rPr>
          <w:rFonts w:ascii="Arial" w:eastAsia="Arial" w:hAnsi="Arial" w:cs="Arial"/>
          <w:sz w:val="16"/>
          <w:szCs w:val="16"/>
        </w:rPr>
        <w:t>-out” basis.</w:t>
      </w:r>
    </w:p>
    <w:p w14:paraId="7E9CFD14" w14:textId="77777777" w:rsidR="00D1587D" w:rsidRDefault="00D1587D">
      <w:pPr>
        <w:spacing w:line="297" w:lineRule="exact"/>
        <w:rPr>
          <w:sz w:val="20"/>
          <w:szCs w:val="20"/>
        </w:rPr>
      </w:pPr>
    </w:p>
    <w:p w14:paraId="67A5F248" w14:textId="77777777" w:rsidR="00D1587D" w:rsidRDefault="00410D07">
      <w:pPr>
        <w:ind w:left="300"/>
        <w:rPr>
          <w:sz w:val="20"/>
          <w:szCs w:val="20"/>
        </w:rPr>
      </w:pPr>
      <w:r>
        <w:rPr>
          <w:rFonts w:ascii="Arial" w:eastAsia="Arial" w:hAnsi="Arial" w:cs="Arial"/>
          <w:b/>
          <w:bCs/>
          <w:i/>
          <w:iCs/>
          <w:sz w:val="18"/>
          <w:szCs w:val="18"/>
        </w:rPr>
        <w:t>Due to Related Parties</w:t>
      </w:r>
    </w:p>
    <w:p w14:paraId="644CA479" w14:textId="77777777" w:rsidR="00D1587D" w:rsidRDefault="00D1587D">
      <w:pPr>
        <w:spacing w:line="117" w:lineRule="exact"/>
        <w:rPr>
          <w:sz w:val="20"/>
          <w:szCs w:val="20"/>
        </w:rPr>
      </w:pPr>
    </w:p>
    <w:p w14:paraId="6B4E9A82" w14:textId="77777777" w:rsidR="00D1587D" w:rsidRDefault="00410D07">
      <w:pPr>
        <w:spacing w:line="301" w:lineRule="auto"/>
        <w:ind w:left="300" w:right="319" w:firstLine="360"/>
        <w:rPr>
          <w:sz w:val="20"/>
          <w:szCs w:val="20"/>
        </w:rPr>
      </w:pPr>
      <w:r>
        <w:rPr>
          <w:rFonts w:ascii="Arial" w:eastAsia="Arial" w:hAnsi="Arial" w:cs="Arial"/>
          <w:sz w:val="16"/>
          <w:szCs w:val="16"/>
        </w:rPr>
        <w:t xml:space="preserve">Balances between the Company and L Brands, Inc. or its affiliates that are derived from transactions that have been historically cash settled are reflected in the Combined Balance Sheet as Due to Related </w:t>
      </w:r>
      <w:r>
        <w:rPr>
          <w:rFonts w:ascii="Arial" w:eastAsia="Arial" w:hAnsi="Arial" w:cs="Arial"/>
          <w:sz w:val="16"/>
          <w:szCs w:val="16"/>
        </w:rPr>
        <w:t>Parties. Balances between the Company and L Brands, Inc. or its affiliates derived from transactions that have been historically settled other than in cash are included in Net Investment by L Brands, Inc. within Equity on the Combined Balance Sheets.</w:t>
      </w:r>
    </w:p>
    <w:p w14:paraId="418A644A" w14:textId="77777777" w:rsidR="00D1587D" w:rsidRDefault="00D1587D">
      <w:pPr>
        <w:spacing w:line="306" w:lineRule="exact"/>
        <w:rPr>
          <w:sz w:val="20"/>
          <w:szCs w:val="20"/>
        </w:rPr>
      </w:pPr>
    </w:p>
    <w:p w14:paraId="7536367C" w14:textId="77777777" w:rsidR="00D1587D" w:rsidRDefault="00410D07">
      <w:pPr>
        <w:ind w:left="300"/>
        <w:rPr>
          <w:sz w:val="20"/>
          <w:szCs w:val="20"/>
        </w:rPr>
      </w:pPr>
      <w:r>
        <w:rPr>
          <w:rFonts w:ascii="Arial" w:eastAsia="Arial" w:hAnsi="Arial" w:cs="Arial"/>
          <w:b/>
          <w:bCs/>
          <w:i/>
          <w:iCs/>
          <w:sz w:val="18"/>
          <w:szCs w:val="18"/>
        </w:rPr>
        <w:t>Long</w:t>
      </w:r>
      <w:r>
        <w:rPr>
          <w:rFonts w:ascii="Arial" w:eastAsia="Arial" w:hAnsi="Arial" w:cs="Arial"/>
          <w:b/>
          <w:bCs/>
          <w:i/>
          <w:iCs/>
          <w:sz w:val="18"/>
          <w:szCs w:val="18"/>
        </w:rPr>
        <w:t>-term Debt due to Related Party</w:t>
      </w:r>
    </w:p>
    <w:p w14:paraId="3BD51774" w14:textId="77777777" w:rsidR="00D1587D" w:rsidRDefault="00D1587D">
      <w:pPr>
        <w:spacing w:line="117" w:lineRule="exact"/>
        <w:rPr>
          <w:sz w:val="20"/>
          <w:szCs w:val="20"/>
        </w:rPr>
      </w:pPr>
    </w:p>
    <w:p w14:paraId="78F17FE6" w14:textId="77777777" w:rsidR="00D1587D" w:rsidRDefault="00410D07">
      <w:pPr>
        <w:spacing w:line="263" w:lineRule="auto"/>
        <w:ind w:left="300" w:right="519" w:firstLine="360"/>
        <w:rPr>
          <w:sz w:val="20"/>
          <w:szCs w:val="20"/>
        </w:rPr>
      </w:pPr>
      <w:r>
        <w:rPr>
          <w:rFonts w:ascii="Arial" w:eastAsia="Arial" w:hAnsi="Arial" w:cs="Arial"/>
          <w:sz w:val="18"/>
          <w:szCs w:val="18"/>
        </w:rPr>
        <w:t>During 2020, the Company borrowed $97 million from L Brands to pay down outstanding debt with external parties. This borrowing is due in September 2025 and has a variable interest rate based on the China Loan Prime Rate, wh</w:t>
      </w:r>
      <w:r>
        <w:rPr>
          <w:rFonts w:ascii="Arial" w:eastAsia="Arial" w:hAnsi="Arial" w:cs="Arial"/>
          <w:sz w:val="18"/>
          <w:szCs w:val="18"/>
        </w:rPr>
        <w:t>ich was 3.85% as of January 30, 2021.</w:t>
      </w:r>
    </w:p>
    <w:p w14:paraId="63C494B0" w14:textId="77777777" w:rsidR="00D1587D" w:rsidRDefault="00D1587D">
      <w:pPr>
        <w:spacing w:line="184" w:lineRule="exact"/>
        <w:rPr>
          <w:sz w:val="20"/>
          <w:szCs w:val="20"/>
        </w:rPr>
      </w:pPr>
    </w:p>
    <w:p w14:paraId="078900C7" w14:textId="77777777" w:rsidR="00D1587D" w:rsidRDefault="00410D07">
      <w:pPr>
        <w:jc w:val="center"/>
        <w:rPr>
          <w:sz w:val="20"/>
          <w:szCs w:val="20"/>
        </w:rPr>
      </w:pPr>
      <w:r>
        <w:rPr>
          <w:rFonts w:ascii="Arial" w:eastAsia="Arial" w:hAnsi="Arial" w:cs="Arial"/>
          <w:sz w:val="18"/>
          <w:szCs w:val="18"/>
        </w:rPr>
        <w:t>F-16</w:t>
      </w:r>
    </w:p>
    <w:p w14:paraId="2DEF87CB" w14:textId="77777777" w:rsidR="00D1587D" w:rsidRDefault="00410D07">
      <w:pPr>
        <w:spacing w:line="20" w:lineRule="exact"/>
        <w:rPr>
          <w:sz w:val="20"/>
          <w:szCs w:val="20"/>
        </w:rPr>
      </w:pPr>
      <w:r>
        <w:rPr>
          <w:noProof/>
          <w:sz w:val="20"/>
          <w:szCs w:val="20"/>
        </w:rPr>
        <w:drawing>
          <wp:anchor distT="0" distB="0" distL="114300" distR="114300" simplePos="0" relativeHeight="252068864" behindDoc="1" locked="0" layoutInCell="0" allowOverlap="1" wp14:anchorId="0BF1451C" wp14:editId="41F500D7">
            <wp:simplePos x="0" y="0"/>
            <wp:positionH relativeFrom="column">
              <wp:posOffset>-636905</wp:posOffset>
            </wp:positionH>
            <wp:positionV relativeFrom="paragraph">
              <wp:posOffset>134620</wp:posOffset>
            </wp:positionV>
            <wp:extent cx="6995160" cy="17145"/>
            <wp:effectExtent l="0" t="0" r="0" b="0"/>
            <wp:wrapNone/>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93944BF" w14:textId="77777777" w:rsidR="00D1587D" w:rsidRDefault="00D1587D">
      <w:pPr>
        <w:sectPr w:rsidR="00D1587D">
          <w:pgSz w:w="11900" w:h="16838"/>
          <w:pgMar w:top="265" w:right="1440" w:bottom="1440" w:left="1440" w:header="0" w:footer="0" w:gutter="0"/>
          <w:cols w:space="720" w:equalWidth="0">
            <w:col w:w="9019"/>
          </w:cols>
        </w:sectPr>
      </w:pPr>
    </w:p>
    <w:bookmarkStart w:id="412" w:name="page413"/>
    <w:bookmarkEnd w:id="412"/>
    <w:p w14:paraId="050F309A"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2C835EC" w14:textId="77777777" w:rsidR="00D1587D" w:rsidRDefault="00D1587D">
      <w:pPr>
        <w:spacing w:line="131" w:lineRule="exact"/>
        <w:rPr>
          <w:sz w:val="20"/>
          <w:szCs w:val="20"/>
        </w:rPr>
      </w:pPr>
    </w:p>
    <w:p w14:paraId="45C97E7E" w14:textId="77777777" w:rsidR="00D1587D" w:rsidRDefault="00410D07">
      <w:pPr>
        <w:ind w:left="300"/>
        <w:rPr>
          <w:sz w:val="20"/>
          <w:szCs w:val="20"/>
        </w:rPr>
      </w:pPr>
      <w:r>
        <w:rPr>
          <w:rFonts w:ascii="Arial" w:eastAsia="Arial" w:hAnsi="Arial" w:cs="Arial"/>
          <w:b/>
          <w:bCs/>
          <w:i/>
          <w:iCs/>
          <w:sz w:val="18"/>
          <w:szCs w:val="18"/>
        </w:rPr>
        <w:t>Net Transfers To L Brands, Inc.</w:t>
      </w:r>
    </w:p>
    <w:p w14:paraId="5E0686DB" w14:textId="77777777" w:rsidR="00D1587D" w:rsidRDefault="00D1587D">
      <w:pPr>
        <w:spacing w:line="117" w:lineRule="exact"/>
        <w:rPr>
          <w:sz w:val="20"/>
          <w:szCs w:val="20"/>
        </w:rPr>
      </w:pPr>
    </w:p>
    <w:p w14:paraId="3B706CA8" w14:textId="77777777" w:rsidR="00D1587D" w:rsidRDefault="00410D07">
      <w:pPr>
        <w:ind w:left="660"/>
        <w:rPr>
          <w:sz w:val="20"/>
          <w:szCs w:val="20"/>
        </w:rPr>
      </w:pPr>
      <w:r>
        <w:rPr>
          <w:rFonts w:ascii="Arial" w:eastAsia="Arial" w:hAnsi="Arial" w:cs="Arial"/>
          <w:sz w:val="17"/>
          <w:szCs w:val="17"/>
        </w:rPr>
        <w:t>The following table presents the components of Net Transfers to L Brands, Inc. in the 2020, 2019 and 2018</w:t>
      </w:r>
    </w:p>
    <w:p w14:paraId="63052E7D" w14:textId="77777777" w:rsidR="00D1587D" w:rsidRDefault="00D1587D">
      <w:pPr>
        <w:spacing w:line="35" w:lineRule="exact"/>
        <w:rPr>
          <w:sz w:val="20"/>
          <w:szCs w:val="20"/>
        </w:rPr>
      </w:pPr>
    </w:p>
    <w:p w14:paraId="58D559DC" w14:textId="77777777" w:rsidR="00D1587D" w:rsidRDefault="00410D07">
      <w:pPr>
        <w:ind w:left="300"/>
        <w:rPr>
          <w:sz w:val="20"/>
          <w:szCs w:val="20"/>
        </w:rPr>
      </w:pPr>
      <w:r>
        <w:rPr>
          <w:rFonts w:ascii="Arial" w:eastAsia="Arial" w:hAnsi="Arial" w:cs="Arial"/>
          <w:sz w:val="18"/>
          <w:szCs w:val="18"/>
        </w:rPr>
        <w:t>Combi</w:t>
      </w:r>
      <w:r>
        <w:rPr>
          <w:rFonts w:ascii="Arial" w:eastAsia="Arial" w:hAnsi="Arial" w:cs="Arial"/>
          <w:sz w:val="18"/>
          <w:szCs w:val="18"/>
        </w:rPr>
        <w:t>ned Statements of Equity:</w:t>
      </w:r>
    </w:p>
    <w:p w14:paraId="0BE52EB5" w14:textId="77777777" w:rsidR="00D1587D" w:rsidRDefault="00D1587D">
      <w:pPr>
        <w:spacing w:line="17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420"/>
        <w:gridCol w:w="100"/>
        <w:gridCol w:w="500"/>
        <w:gridCol w:w="200"/>
        <w:gridCol w:w="500"/>
        <w:gridCol w:w="200"/>
        <w:gridCol w:w="500"/>
      </w:tblGrid>
      <w:tr w:rsidR="00D1587D" w14:paraId="4250F99F" w14:textId="77777777">
        <w:trPr>
          <w:trHeight w:val="186"/>
        </w:trPr>
        <w:tc>
          <w:tcPr>
            <w:tcW w:w="6420" w:type="dxa"/>
            <w:vAlign w:val="bottom"/>
          </w:tcPr>
          <w:p w14:paraId="723D8ACD" w14:textId="77777777" w:rsidR="00D1587D" w:rsidRDefault="00D1587D">
            <w:pPr>
              <w:rPr>
                <w:sz w:val="16"/>
                <w:szCs w:val="16"/>
              </w:rPr>
            </w:pPr>
          </w:p>
        </w:tc>
        <w:tc>
          <w:tcPr>
            <w:tcW w:w="100" w:type="dxa"/>
            <w:vAlign w:val="bottom"/>
          </w:tcPr>
          <w:p w14:paraId="3E02CB64" w14:textId="77777777" w:rsidR="00D1587D" w:rsidRDefault="00D1587D">
            <w:pPr>
              <w:rPr>
                <w:sz w:val="16"/>
                <w:szCs w:val="16"/>
              </w:rPr>
            </w:pPr>
          </w:p>
        </w:tc>
        <w:tc>
          <w:tcPr>
            <w:tcW w:w="500" w:type="dxa"/>
            <w:vAlign w:val="bottom"/>
          </w:tcPr>
          <w:p w14:paraId="0C418AFB" w14:textId="77777777" w:rsidR="00D1587D" w:rsidRDefault="00410D07">
            <w:pPr>
              <w:jc w:val="center"/>
              <w:rPr>
                <w:sz w:val="20"/>
                <w:szCs w:val="20"/>
              </w:rPr>
            </w:pPr>
            <w:r>
              <w:rPr>
                <w:rFonts w:ascii="Arial" w:eastAsia="Arial" w:hAnsi="Arial" w:cs="Arial"/>
                <w:b/>
                <w:bCs/>
                <w:w w:val="96"/>
                <w:sz w:val="14"/>
                <w:szCs w:val="14"/>
              </w:rPr>
              <w:t>2020</w:t>
            </w:r>
          </w:p>
        </w:tc>
        <w:tc>
          <w:tcPr>
            <w:tcW w:w="700" w:type="dxa"/>
            <w:gridSpan w:val="2"/>
            <w:vAlign w:val="bottom"/>
          </w:tcPr>
          <w:p w14:paraId="497D75E2" w14:textId="77777777" w:rsidR="00D1587D" w:rsidRDefault="00410D07">
            <w:pPr>
              <w:ind w:left="115"/>
              <w:jc w:val="center"/>
              <w:rPr>
                <w:sz w:val="20"/>
                <w:szCs w:val="20"/>
              </w:rPr>
            </w:pPr>
            <w:r>
              <w:rPr>
                <w:rFonts w:ascii="Arial" w:eastAsia="Arial" w:hAnsi="Arial" w:cs="Arial"/>
                <w:b/>
                <w:bCs/>
                <w:w w:val="96"/>
                <w:sz w:val="14"/>
                <w:szCs w:val="14"/>
              </w:rPr>
              <w:t>2019</w:t>
            </w:r>
          </w:p>
        </w:tc>
        <w:tc>
          <w:tcPr>
            <w:tcW w:w="200" w:type="dxa"/>
            <w:vAlign w:val="bottom"/>
          </w:tcPr>
          <w:p w14:paraId="6D202981" w14:textId="77777777" w:rsidR="00D1587D" w:rsidRDefault="00D1587D">
            <w:pPr>
              <w:rPr>
                <w:sz w:val="16"/>
                <w:szCs w:val="16"/>
              </w:rPr>
            </w:pPr>
          </w:p>
        </w:tc>
        <w:tc>
          <w:tcPr>
            <w:tcW w:w="500" w:type="dxa"/>
            <w:vAlign w:val="bottom"/>
          </w:tcPr>
          <w:p w14:paraId="05E521DE" w14:textId="77777777" w:rsidR="00D1587D" w:rsidRDefault="00410D07">
            <w:pPr>
              <w:ind w:right="13"/>
              <w:jc w:val="right"/>
              <w:rPr>
                <w:sz w:val="20"/>
                <w:szCs w:val="20"/>
              </w:rPr>
            </w:pPr>
            <w:r>
              <w:rPr>
                <w:rFonts w:ascii="Arial" w:eastAsia="Arial" w:hAnsi="Arial" w:cs="Arial"/>
                <w:b/>
                <w:bCs/>
                <w:sz w:val="14"/>
                <w:szCs w:val="14"/>
              </w:rPr>
              <w:t>2018</w:t>
            </w:r>
          </w:p>
        </w:tc>
      </w:tr>
      <w:tr w:rsidR="00D1587D" w14:paraId="1F6201A4" w14:textId="77777777">
        <w:trPr>
          <w:trHeight w:val="53"/>
        </w:trPr>
        <w:tc>
          <w:tcPr>
            <w:tcW w:w="6420" w:type="dxa"/>
            <w:vAlign w:val="bottom"/>
          </w:tcPr>
          <w:p w14:paraId="3785168A" w14:textId="77777777" w:rsidR="00D1587D" w:rsidRDefault="00D1587D">
            <w:pPr>
              <w:rPr>
                <w:sz w:val="4"/>
                <w:szCs w:val="4"/>
              </w:rPr>
            </w:pPr>
          </w:p>
        </w:tc>
        <w:tc>
          <w:tcPr>
            <w:tcW w:w="100" w:type="dxa"/>
            <w:vAlign w:val="bottom"/>
          </w:tcPr>
          <w:p w14:paraId="07BE7471" w14:textId="77777777" w:rsidR="00D1587D" w:rsidRDefault="00D1587D">
            <w:pPr>
              <w:rPr>
                <w:sz w:val="4"/>
                <w:szCs w:val="4"/>
              </w:rPr>
            </w:pPr>
          </w:p>
        </w:tc>
        <w:tc>
          <w:tcPr>
            <w:tcW w:w="500" w:type="dxa"/>
            <w:tcBorders>
              <w:bottom w:val="single" w:sz="8" w:space="0" w:color="auto"/>
            </w:tcBorders>
            <w:vAlign w:val="bottom"/>
          </w:tcPr>
          <w:p w14:paraId="3085D164" w14:textId="77777777" w:rsidR="00D1587D" w:rsidRDefault="00D1587D">
            <w:pPr>
              <w:rPr>
                <w:sz w:val="4"/>
                <w:szCs w:val="4"/>
              </w:rPr>
            </w:pPr>
          </w:p>
        </w:tc>
        <w:tc>
          <w:tcPr>
            <w:tcW w:w="900" w:type="dxa"/>
            <w:gridSpan w:val="3"/>
            <w:tcBorders>
              <w:bottom w:val="single" w:sz="8" w:space="0" w:color="auto"/>
            </w:tcBorders>
            <w:vAlign w:val="bottom"/>
          </w:tcPr>
          <w:p w14:paraId="18BEC7F7" w14:textId="77777777" w:rsidR="00D1587D" w:rsidRDefault="00D1587D">
            <w:pPr>
              <w:rPr>
                <w:sz w:val="4"/>
                <w:szCs w:val="4"/>
              </w:rPr>
            </w:pPr>
          </w:p>
        </w:tc>
        <w:tc>
          <w:tcPr>
            <w:tcW w:w="500" w:type="dxa"/>
            <w:tcBorders>
              <w:bottom w:val="single" w:sz="8" w:space="0" w:color="auto"/>
            </w:tcBorders>
            <w:vAlign w:val="bottom"/>
          </w:tcPr>
          <w:p w14:paraId="6A0A1204" w14:textId="77777777" w:rsidR="00D1587D" w:rsidRDefault="00D1587D">
            <w:pPr>
              <w:rPr>
                <w:sz w:val="4"/>
                <w:szCs w:val="4"/>
              </w:rPr>
            </w:pPr>
          </w:p>
        </w:tc>
      </w:tr>
      <w:tr w:rsidR="00D1587D" w14:paraId="18DC3D88" w14:textId="77777777">
        <w:trPr>
          <w:trHeight w:val="224"/>
        </w:trPr>
        <w:tc>
          <w:tcPr>
            <w:tcW w:w="6420" w:type="dxa"/>
            <w:vAlign w:val="bottom"/>
          </w:tcPr>
          <w:p w14:paraId="0DE5B06C" w14:textId="77777777" w:rsidR="00D1587D" w:rsidRDefault="00D1587D">
            <w:pPr>
              <w:rPr>
                <w:sz w:val="19"/>
                <w:szCs w:val="19"/>
              </w:rPr>
            </w:pPr>
          </w:p>
        </w:tc>
        <w:tc>
          <w:tcPr>
            <w:tcW w:w="100" w:type="dxa"/>
            <w:vAlign w:val="bottom"/>
          </w:tcPr>
          <w:p w14:paraId="3FADC96B" w14:textId="77777777" w:rsidR="00D1587D" w:rsidRDefault="00D1587D">
            <w:pPr>
              <w:rPr>
                <w:sz w:val="19"/>
                <w:szCs w:val="19"/>
              </w:rPr>
            </w:pPr>
          </w:p>
        </w:tc>
        <w:tc>
          <w:tcPr>
            <w:tcW w:w="500" w:type="dxa"/>
            <w:vAlign w:val="bottom"/>
          </w:tcPr>
          <w:p w14:paraId="0914F1D4" w14:textId="77777777" w:rsidR="00D1587D" w:rsidRDefault="00D1587D">
            <w:pPr>
              <w:rPr>
                <w:sz w:val="19"/>
                <w:szCs w:val="19"/>
              </w:rPr>
            </w:pPr>
          </w:p>
        </w:tc>
        <w:tc>
          <w:tcPr>
            <w:tcW w:w="900" w:type="dxa"/>
            <w:gridSpan w:val="3"/>
            <w:vAlign w:val="bottom"/>
          </w:tcPr>
          <w:p w14:paraId="038E1156" w14:textId="77777777" w:rsidR="00D1587D" w:rsidRDefault="00410D07">
            <w:pPr>
              <w:ind w:left="80"/>
              <w:rPr>
                <w:sz w:val="20"/>
                <w:szCs w:val="20"/>
              </w:rPr>
            </w:pPr>
            <w:r>
              <w:rPr>
                <w:rFonts w:ascii="Arial" w:eastAsia="Arial" w:hAnsi="Arial" w:cs="Arial"/>
                <w:b/>
                <w:bCs/>
                <w:sz w:val="14"/>
                <w:szCs w:val="14"/>
              </w:rPr>
              <w:t>(in millions)</w:t>
            </w:r>
          </w:p>
        </w:tc>
        <w:tc>
          <w:tcPr>
            <w:tcW w:w="500" w:type="dxa"/>
            <w:vAlign w:val="bottom"/>
          </w:tcPr>
          <w:p w14:paraId="7C3BB002" w14:textId="77777777" w:rsidR="00D1587D" w:rsidRDefault="00D1587D">
            <w:pPr>
              <w:rPr>
                <w:sz w:val="19"/>
                <w:szCs w:val="19"/>
              </w:rPr>
            </w:pPr>
          </w:p>
        </w:tc>
      </w:tr>
      <w:tr w:rsidR="00D1587D" w14:paraId="6B46B095" w14:textId="77777777">
        <w:trPr>
          <w:trHeight w:val="53"/>
        </w:trPr>
        <w:tc>
          <w:tcPr>
            <w:tcW w:w="6420" w:type="dxa"/>
            <w:vAlign w:val="bottom"/>
          </w:tcPr>
          <w:p w14:paraId="5431472C" w14:textId="77777777" w:rsidR="00D1587D" w:rsidRDefault="00D1587D">
            <w:pPr>
              <w:rPr>
                <w:sz w:val="4"/>
                <w:szCs w:val="4"/>
              </w:rPr>
            </w:pPr>
          </w:p>
        </w:tc>
        <w:tc>
          <w:tcPr>
            <w:tcW w:w="100" w:type="dxa"/>
            <w:vAlign w:val="bottom"/>
          </w:tcPr>
          <w:p w14:paraId="018448BE" w14:textId="77777777" w:rsidR="00D1587D" w:rsidRDefault="00D1587D">
            <w:pPr>
              <w:rPr>
                <w:sz w:val="4"/>
                <w:szCs w:val="4"/>
              </w:rPr>
            </w:pPr>
          </w:p>
        </w:tc>
        <w:tc>
          <w:tcPr>
            <w:tcW w:w="500" w:type="dxa"/>
            <w:vAlign w:val="bottom"/>
          </w:tcPr>
          <w:p w14:paraId="4AE747C3" w14:textId="77777777" w:rsidR="00D1587D" w:rsidRDefault="00D1587D">
            <w:pPr>
              <w:rPr>
                <w:sz w:val="4"/>
                <w:szCs w:val="4"/>
              </w:rPr>
            </w:pPr>
          </w:p>
        </w:tc>
        <w:tc>
          <w:tcPr>
            <w:tcW w:w="200" w:type="dxa"/>
            <w:vAlign w:val="bottom"/>
          </w:tcPr>
          <w:p w14:paraId="25B8DA29" w14:textId="77777777" w:rsidR="00D1587D" w:rsidRDefault="00D1587D">
            <w:pPr>
              <w:rPr>
                <w:sz w:val="4"/>
                <w:szCs w:val="4"/>
              </w:rPr>
            </w:pPr>
          </w:p>
        </w:tc>
        <w:tc>
          <w:tcPr>
            <w:tcW w:w="500" w:type="dxa"/>
            <w:vAlign w:val="bottom"/>
          </w:tcPr>
          <w:p w14:paraId="3F961F6D" w14:textId="77777777" w:rsidR="00D1587D" w:rsidRDefault="00D1587D">
            <w:pPr>
              <w:rPr>
                <w:sz w:val="4"/>
                <w:szCs w:val="4"/>
              </w:rPr>
            </w:pPr>
          </w:p>
        </w:tc>
        <w:tc>
          <w:tcPr>
            <w:tcW w:w="200" w:type="dxa"/>
            <w:vAlign w:val="bottom"/>
          </w:tcPr>
          <w:p w14:paraId="7D406BD7" w14:textId="77777777" w:rsidR="00D1587D" w:rsidRDefault="00D1587D">
            <w:pPr>
              <w:rPr>
                <w:sz w:val="4"/>
                <w:szCs w:val="4"/>
              </w:rPr>
            </w:pPr>
          </w:p>
        </w:tc>
        <w:tc>
          <w:tcPr>
            <w:tcW w:w="500" w:type="dxa"/>
            <w:vAlign w:val="bottom"/>
          </w:tcPr>
          <w:p w14:paraId="2B760FBE" w14:textId="77777777" w:rsidR="00D1587D" w:rsidRDefault="00D1587D">
            <w:pPr>
              <w:rPr>
                <w:sz w:val="4"/>
                <w:szCs w:val="4"/>
              </w:rPr>
            </w:pPr>
          </w:p>
        </w:tc>
      </w:tr>
      <w:tr w:rsidR="00D1587D" w14:paraId="6D1A4CFB" w14:textId="77777777">
        <w:trPr>
          <w:trHeight w:val="318"/>
        </w:trPr>
        <w:tc>
          <w:tcPr>
            <w:tcW w:w="6520" w:type="dxa"/>
            <w:gridSpan w:val="2"/>
            <w:tcBorders>
              <w:bottom w:val="single" w:sz="8" w:space="0" w:color="CCEEFF"/>
            </w:tcBorders>
            <w:shd w:val="clear" w:color="auto" w:fill="CCEEFF"/>
            <w:vAlign w:val="bottom"/>
          </w:tcPr>
          <w:p w14:paraId="11F125B0" w14:textId="77777777" w:rsidR="00D1587D" w:rsidRDefault="00410D07">
            <w:pPr>
              <w:rPr>
                <w:sz w:val="20"/>
                <w:szCs w:val="20"/>
              </w:rPr>
            </w:pPr>
            <w:r>
              <w:rPr>
                <w:rFonts w:ascii="Arial" w:eastAsia="Arial" w:hAnsi="Arial" w:cs="Arial"/>
                <w:sz w:val="18"/>
                <w:szCs w:val="18"/>
              </w:rPr>
              <w:t>Cash Pooling and General Financing Activities, Net</w:t>
            </w:r>
          </w:p>
        </w:tc>
        <w:tc>
          <w:tcPr>
            <w:tcW w:w="500" w:type="dxa"/>
            <w:tcBorders>
              <w:bottom w:val="single" w:sz="8" w:space="0" w:color="CCEEFF"/>
            </w:tcBorders>
            <w:shd w:val="clear" w:color="auto" w:fill="CCEEFF"/>
            <w:vAlign w:val="bottom"/>
          </w:tcPr>
          <w:p w14:paraId="6B3F9798" w14:textId="77777777" w:rsidR="00D1587D" w:rsidRDefault="00410D07">
            <w:pPr>
              <w:jc w:val="center"/>
              <w:rPr>
                <w:sz w:val="20"/>
                <w:szCs w:val="20"/>
              </w:rPr>
            </w:pPr>
            <w:r>
              <w:rPr>
                <w:rFonts w:ascii="Arial" w:eastAsia="Arial" w:hAnsi="Arial" w:cs="Arial"/>
                <w:w w:val="92"/>
                <w:sz w:val="18"/>
                <w:szCs w:val="18"/>
              </w:rPr>
              <w:t>$(543)</w:t>
            </w:r>
          </w:p>
        </w:tc>
        <w:tc>
          <w:tcPr>
            <w:tcW w:w="700" w:type="dxa"/>
            <w:gridSpan w:val="2"/>
            <w:tcBorders>
              <w:bottom w:val="single" w:sz="8" w:space="0" w:color="CCEEFF"/>
            </w:tcBorders>
            <w:shd w:val="clear" w:color="auto" w:fill="CCEEFF"/>
            <w:vAlign w:val="bottom"/>
          </w:tcPr>
          <w:p w14:paraId="01A78714" w14:textId="77777777" w:rsidR="00D1587D" w:rsidRDefault="00410D07">
            <w:pPr>
              <w:ind w:left="95"/>
              <w:jc w:val="center"/>
              <w:rPr>
                <w:sz w:val="20"/>
                <w:szCs w:val="20"/>
              </w:rPr>
            </w:pPr>
            <w:r>
              <w:rPr>
                <w:rFonts w:ascii="Arial" w:eastAsia="Arial" w:hAnsi="Arial" w:cs="Arial"/>
                <w:w w:val="92"/>
                <w:sz w:val="18"/>
                <w:szCs w:val="18"/>
              </w:rPr>
              <w:t>$(422)</w:t>
            </w:r>
          </w:p>
        </w:tc>
        <w:tc>
          <w:tcPr>
            <w:tcW w:w="200" w:type="dxa"/>
            <w:tcBorders>
              <w:bottom w:val="single" w:sz="8" w:space="0" w:color="CCEEFF"/>
            </w:tcBorders>
            <w:shd w:val="clear" w:color="auto" w:fill="CCEEFF"/>
            <w:vAlign w:val="bottom"/>
          </w:tcPr>
          <w:p w14:paraId="12F5AA43" w14:textId="77777777" w:rsidR="00D1587D" w:rsidRDefault="00D1587D">
            <w:pPr>
              <w:rPr>
                <w:sz w:val="24"/>
                <w:szCs w:val="24"/>
              </w:rPr>
            </w:pPr>
          </w:p>
        </w:tc>
        <w:tc>
          <w:tcPr>
            <w:tcW w:w="500" w:type="dxa"/>
            <w:tcBorders>
              <w:bottom w:val="single" w:sz="8" w:space="0" w:color="CCEEFF"/>
            </w:tcBorders>
            <w:shd w:val="clear" w:color="auto" w:fill="CCEEFF"/>
            <w:vAlign w:val="bottom"/>
          </w:tcPr>
          <w:p w14:paraId="75919551" w14:textId="77777777" w:rsidR="00D1587D" w:rsidRDefault="00410D07">
            <w:pPr>
              <w:jc w:val="right"/>
              <w:rPr>
                <w:sz w:val="20"/>
                <w:szCs w:val="20"/>
              </w:rPr>
            </w:pPr>
            <w:r>
              <w:rPr>
                <w:rFonts w:ascii="Arial" w:eastAsia="Arial" w:hAnsi="Arial" w:cs="Arial"/>
                <w:w w:val="88"/>
                <w:sz w:val="18"/>
                <w:szCs w:val="18"/>
              </w:rPr>
              <w:t>$(691)</w:t>
            </w:r>
          </w:p>
        </w:tc>
      </w:tr>
      <w:tr w:rsidR="00D1587D" w14:paraId="2D9258CA" w14:textId="77777777">
        <w:trPr>
          <w:trHeight w:val="270"/>
        </w:trPr>
        <w:tc>
          <w:tcPr>
            <w:tcW w:w="6520" w:type="dxa"/>
            <w:gridSpan w:val="2"/>
            <w:vAlign w:val="bottom"/>
          </w:tcPr>
          <w:p w14:paraId="250827DB" w14:textId="77777777" w:rsidR="00D1587D" w:rsidRDefault="00410D07">
            <w:pPr>
              <w:rPr>
                <w:sz w:val="20"/>
                <w:szCs w:val="20"/>
              </w:rPr>
            </w:pPr>
            <w:r>
              <w:rPr>
                <w:rFonts w:ascii="Arial" w:eastAsia="Arial" w:hAnsi="Arial" w:cs="Arial"/>
                <w:sz w:val="18"/>
                <w:szCs w:val="18"/>
              </w:rPr>
              <w:t>Corporate Expense Allocations</w:t>
            </w:r>
          </w:p>
        </w:tc>
        <w:tc>
          <w:tcPr>
            <w:tcW w:w="500" w:type="dxa"/>
            <w:vAlign w:val="bottom"/>
          </w:tcPr>
          <w:p w14:paraId="44EDBAF9" w14:textId="77777777" w:rsidR="00D1587D" w:rsidRDefault="00410D07">
            <w:pPr>
              <w:jc w:val="right"/>
              <w:rPr>
                <w:sz w:val="20"/>
                <w:szCs w:val="20"/>
              </w:rPr>
            </w:pPr>
            <w:r>
              <w:rPr>
                <w:rFonts w:ascii="Arial" w:eastAsia="Arial" w:hAnsi="Arial" w:cs="Arial"/>
                <w:sz w:val="18"/>
                <w:szCs w:val="18"/>
              </w:rPr>
              <w:t>77</w:t>
            </w:r>
          </w:p>
        </w:tc>
        <w:tc>
          <w:tcPr>
            <w:tcW w:w="700" w:type="dxa"/>
            <w:gridSpan w:val="2"/>
            <w:vAlign w:val="bottom"/>
          </w:tcPr>
          <w:p w14:paraId="6F2AC80F" w14:textId="77777777" w:rsidR="00D1587D" w:rsidRDefault="00410D07">
            <w:pPr>
              <w:ind w:right="80"/>
              <w:jc w:val="right"/>
              <w:rPr>
                <w:sz w:val="20"/>
                <w:szCs w:val="20"/>
              </w:rPr>
            </w:pPr>
            <w:r>
              <w:rPr>
                <w:rFonts w:ascii="Arial" w:eastAsia="Arial" w:hAnsi="Arial" w:cs="Arial"/>
                <w:sz w:val="18"/>
                <w:szCs w:val="18"/>
              </w:rPr>
              <w:t>110</w:t>
            </w:r>
          </w:p>
        </w:tc>
        <w:tc>
          <w:tcPr>
            <w:tcW w:w="200" w:type="dxa"/>
            <w:vAlign w:val="bottom"/>
          </w:tcPr>
          <w:p w14:paraId="5749CCFA" w14:textId="77777777" w:rsidR="00D1587D" w:rsidRDefault="00D1587D">
            <w:pPr>
              <w:rPr>
                <w:sz w:val="23"/>
                <w:szCs w:val="23"/>
              </w:rPr>
            </w:pPr>
          </w:p>
        </w:tc>
        <w:tc>
          <w:tcPr>
            <w:tcW w:w="500" w:type="dxa"/>
            <w:vAlign w:val="bottom"/>
          </w:tcPr>
          <w:p w14:paraId="45497174" w14:textId="77777777" w:rsidR="00D1587D" w:rsidRDefault="00410D07">
            <w:pPr>
              <w:jc w:val="right"/>
              <w:rPr>
                <w:sz w:val="20"/>
                <w:szCs w:val="20"/>
              </w:rPr>
            </w:pPr>
            <w:r>
              <w:rPr>
                <w:rFonts w:ascii="Arial" w:eastAsia="Arial" w:hAnsi="Arial" w:cs="Arial"/>
                <w:sz w:val="18"/>
                <w:szCs w:val="18"/>
              </w:rPr>
              <w:t>118</w:t>
            </w:r>
          </w:p>
        </w:tc>
      </w:tr>
      <w:tr w:rsidR="00D1587D" w14:paraId="5D72D99F" w14:textId="77777777">
        <w:trPr>
          <w:trHeight w:val="54"/>
        </w:trPr>
        <w:tc>
          <w:tcPr>
            <w:tcW w:w="6420" w:type="dxa"/>
            <w:vAlign w:val="bottom"/>
          </w:tcPr>
          <w:p w14:paraId="62651B91" w14:textId="77777777" w:rsidR="00D1587D" w:rsidRDefault="00D1587D">
            <w:pPr>
              <w:rPr>
                <w:sz w:val="4"/>
                <w:szCs w:val="4"/>
              </w:rPr>
            </w:pPr>
          </w:p>
        </w:tc>
        <w:tc>
          <w:tcPr>
            <w:tcW w:w="100" w:type="dxa"/>
            <w:vAlign w:val="bottom"/>
          </w:tcPr>
          <w:p w14:paraId="5BDF6FE0" w14:textId="77777777" w:rsidR="00D1587D" w:rsidRDefault="00D1587D">
            <w:pPr>
              <w:rPr>
                <w:sz w:val="4"/>
                <w:szCs w:val="4"/>
              </w:rPr>
            </w:pPr>
          </w:p>
        </w:tc>
        <w:tc>
          <w:tcPr>
            <w:tcW w:w="500" w:type="dxa"/>
            <w:vAlign w:val="bottom"/>
          </w:tcPr>
          <w:p w14:paraId="25D3DB4A" w14:textId="77777777" w:rsidR="00D1587D" w:rsidRDefault="00D1587D">
            <w:pPr>
              <w:rPr>
                <w:sz w:val="4"/>
                <w:szCs w:val="4"/>
              </w:rPr>
            </w:pPr>
          </w:p>
        </w:tc>
        <w:tc>
          <w:tcPr>
            <w:tcW w:w="200" w:type="dxa"/>
            <w:vAlign w:val="bottom"/>
          </w:tcPr>
          <w:p w14:paraId="4B906379" w14:textId="77777777" w:rsidR="00D1587D" w:rsidRDefault="00D1587D">
            <w:pPr>
              <w:rPr>
                <w:sz w:val="4"/>
                <w:szCs w:val="4"/>
              </w:rPr>
            </w:pPr>
          </w:p>
        </w:tc>
        <w:tc>
          <w:tcPr>
            <w:tcW w:w="500" w:type="dxa"/>
            <w:vAlign w:val="bottom"/>
          </w:tcPr>
          <w:p w14:paraId="7D44FEA2" w14:textId="77777777" w:rsidR="00D1587D" w:rsidRDefault="00D1587D">
            <w:pPr>
              <w:rPr>
                <w:sz w:val="4"/>
                <w:szCs w:val="4"/>
              </w:rPr>
            </w:pPr>
          </w:p>
        </w:tc>
        <w:tc>
          <w:tcPr>
            <w:tcW w:w="200" w:type="dxa"/>
            <w:vAlign w:val="bottom"/>
          </w:tcPr>
          <w:p w14:paraId="5AE97959" w14:textId="77777777" w:rsidR="00D1587D" w:rsidRDefault="00D1587D">
            <w:pPr>
              <w:rPr>
                <w:sz w:val="4"/>
                <w:szCs w:val="4"/>
              </w:rPr>
            </w:pPr>
          </w:p>
        </w:tc>
        <w:tc>
          <w:tcPr>
            <w:tcW w:w="500" w:type="dxa"/>
            <w:vAlign w:val="bottom"/>
          </w:tcPr>
          <w:p w14:paraId="49E125C5" w14:textId="77777777" w:rsidR="00D1587D" w:rsidRDefault="00D1587D">
            <w:pPr>
              <w:rPr>
                <w:sz w:val="4"/>
                <w:szCs w:val="4"/>
              </w:rPr>
            </w:pPr>
          </w:p>
        </w:tc>
      </w:tr>
      <w:tr w:rsidR="00D1587D" w14:paraId="4CA49F4A" w14:textId="77777777">
        <w:trPr>
          <w:trHeight w:val="304"/>
        </w:trPr>
        <w:tc>
          <w:tcPr>
            <w:tcW w:w="6520" w:type="dxa"/>
            <w:gridSpan w:val="2"/>
            <w:tcBorders>
              <w:bottom w:val="single" w:sz="8" w:space="0" w:color="CCEEFF"/>
            </w:tcBorders>
            <w:shd w:val="clear" w:color="auto" w:fill="CCEEFF"/>
            <w:vAlign w:val="bottom"/>
          </w:tcPr>
          <w:p w14:paraId="1A13878C" w14:textId="77777777" w:rsidR="00D1587D" w:rsidRDefault="00410D07">
            <w:pPr>
              <w:rPr>
                <w:sz w:val="20"/>
                <w:szCs w:val="20"/>
              </w:rPr>
            </w:pPr>
            <w:r>
              <w:rPr>
                <w:rFonts w:ascii="Arial" w:eastAsia="Arial" w:hAnsi="Arial" w:cs="Arial"/>
                <w:sz w:val="18"/>
                <w:szCs w:val="18"/>
              </w:rPr>
              <w:t>Share-based Compensation Expense</w:t>
            </w:r>
          </w:p>
        </w:tc>
        <w:tc>
          <w:tcPr>
            <w:tcW w:w="500" w:type="dxa"/>
            <w:tcBorders>
              <w:bottom w:val="single" w:sz="8" w:space="0" w:color="CCEEFF"/>
            </w:tcBorders>
            <w:shd w:val="clear" w:color="auto" w:fill="CCEEFF"/>
            <w:vAlign w:val="bottom"/>
          </w:tcPr>
          <w:p w14:paraId="7A43D714" w14:textId="77777777" w:rsidR="00D1587D" w:rsidRDefault="00410D07">
            <w:pPr>
              <w:jc w:val="right"/>
              <w:rPr>
                <w:sz w:val="20"/>
                <w:szCs w:val="20"/>
              </w:rPr>
            </w:pPr>
            <w:r>
              <w:rPr>
                <w:rFonts w:ascii="Arial" w:eastAsia="Arial" w:hAnsi="Arial" w:cs="Arial"/>
                <w:sz w:val="18"/>
                <w:szCs w:val="18"/>
              </w:rPr>
              <w:t>25</w:t>
            </w:r>
          </w:p>
        </w:tc>
        <w:tc>
          <w:tcPr>
            <w:tcW w:w="700" w:type="dxa"/>
            <w:gridSpan w:val="2"/>
            <w:tcBorders>
              <w:bottom w:val="single" w:sz="8" w:space="0" w:color="CCEEFF"/>
            </w:tcBorders>
            <w:shd w:val="clear" w:color="auto" w:fill="CCEEFF"/>
            <w:vAlign w:val="bottom"/>
          </w:tcPr>
          <w:p w14:paraId="179F1693" w14:textId="77777777" w:rsidR="00D1587D" w:rsidRDefault="00410D07">
            <w:pPr>
              <w:ind w:right="80"/>
              <w:jc w:val="right"/>
              <w:rPr>
                <w:sz w:val="20"/>
                <w:szCs w:val="20"/>
              </w:rPr>
            </w:pPr>
            <w:r>
              <w:rPr>
                <w:rFonts w:ascii="Arial" w:eastAsia="Arial" w:hAnsi="Arial" w:cs="Arial"/>
                <w:sz w:val="18"/>
                <w:szCs w:val="18"/>
              </w:rPr>
              <w:t>38</w:t>
            </w:r>
          </w:p>
        </w:tc>
        <w:tc>
          <w:tcPr>
            <w:tcW w:w="200" w:type="dxa"/>
            <w:tcBorders>
              <w:bottom w:val="single" w:sz="8" w:space="0" w:color="CCEEFF"/>
            </w:tcBorders>
            <w:shd w:val="clear" w:color="auto" w:fill="CCEEFF"/>
            <w:vAlign w:val="bottom"/>
          </w:tcPr>
          <w:p w14:paraId="4D31C611" w14:textId="77777777" w:rsidR="00D1587D" w:rsidRDefault="00D1587D">
            <w:pPr>
              <w:rPr>
                <w:sz w:val="24"/>
                <w:szCs w:val="24"/>
              </w:rPr>
            </w:pPr>
          </w:p>
        </w:tc>
        <w:tc>
          <w:tcPr>
            <w:tcW w:w="500" w:type="dxa"/>
            <w:tcBorders>
              <w:bottom w:val="single" w:sz="8" w:space="0" w:color="CCEEFF"/>
            </w:tcBorders>
            <w:shd w:val="clear" w:color="auto" w:fill="CCEEFF"/>
            <w:vAlign w:val="bottom"/>
          </w:tcPr>
          <w:p w14:paraId="09884AA7" w14:textId="77777777" w:rsidR="00D1587D" w:rsidRDefault="00410D07">
            <w:pPr>
              <w:jc w:val="right"/>
              <w:rPr>
                <w:sz w:val="20"/>
                <w:szCs w:val="20"/>
              </w:rPr>
            </w:pPr>
            <w:r>
              <w:rPr>
                <w:rFonts w:ascii="Arial" w:eastAsia="Arial" w:hAnsi="Arial" w:cs="Arial"/>
                <w:sz w:val="18"/>
                <w:szCs w:val="18"/>
              </w:rPr>
              <w:t>39</w:t>
            </w:r>
          </w:p>
        </w:tc>
      </w:tr>
      <w:tr w:rsidR="00D1587D" w14:paraId="3364DE59" w14:textId="77777777">
        <w:trPr>
          <w:trHeight w:val="270"/>
        </w:trPr>
        <w:tc>
          <w:tcPr>
            <w:tcW w:w="6520" w:type="dxa"/>
            <w:gridSpan w:val="2"/>
            <w:vAlign w:val="bottom"/>
          </w:tcPr>
          <w:p w14:paraId="627FC3AE" w14:textId="77777777" w:rsidR="00D1587D" w:rsidRDefault="00410D07">
            <w:pPr>
              <w:rPr>
                <w:sz w:val="20"/>
                <w:szCs w:val="20"/>
              </w:rPr>
            </w:pPr>
            <w:r>
              <w:rPr>
                <w:rFonts w:ascii="Arial" w:eastAsia="Arial" w:hAnsi="Arial" w:cs="Arial"/>
                <w:sz w:val="18"/>
                <w:szCs w:val="18"/>
              </w:rPr>
              <w:t>Assumed Income Tax Payments</w:t>
            </w:r>
          </w:p>
        </w:tc>
        <w:tc>
          <w:tcPr>
            <w:tcW w:w="500" w:type="dxa"/>
            <w:vAlign w:val="bottom"/>
          </w:tcPr>
          <w:p w14:paraId="5A82D655" w14:textId="77777777" w:rsidR="00D1587D" w:rsidRDefault="00410D07">
            <w:pPr>
              <w:jc w:val="right"/>
              <w:rPr>
                <w:sz w:val="20"/>
                <w:szCs w:val="20"/>
              </w:rPr>
            </w:pPr>
            <w:r>
              <w:rPr>
                <w:rFonts w:ascii="Arial" w:eastAsia="Arial" w:hAnsi="Arial" w:cs="Arial"/>
                <w:sz w:val="18"/>
                <w:szCs w:val="18"/>
              </w:rPr>
              <w:t>59</w:t>
            </w:r>
          </w:p>
        </w:tc>
        <w:tc>
          <w:tcPr>
            <w:tcW w:w="700" w:type="dxa"/>
            <w:gridSpan w:val="2"/>
            <w:vAlign w:val="bottom"/>
          </w:tcPr>
          <w:p w14:paraId="686558D6" w14:textId="77777777" w:rsidR="00D1587D" w:rsidRDefault="00410D07">
            <w:pPr>
              <w:ind w:right="80"/>
              <w:jc w:val="right"/>
              <w:rPr>
                <w:sz w:val="20"/>
                <w:szCs w:val="20"/>
              </w:rPr>
            </w:pPr>
            <w:r>
              <w:rPr>
                <w:rFonts w:ascii="Arial" w:eastAsia="Arial" w:hAnsi="Arial" w:cs="Arial"/>
                <w:sz w:val="18"/>
                <w:szCs w:val="18"/>
              </w:rPr>
              <w:t>115</w:t>
            </w:r>
          </w:p>
        </w:tc>
        <w:tc>
          <w:tcPr>
            <w:tcW w:w="200" w:type="dxa"/>
            <w:vAlign w:val="bottom"/>
          </w:tcPr>
          <w:p w14:paraId="130E0168" w14:textId="77777777" w:rsidR="00D1587D" w:rsidRDefault="00D1587D">
            <w:pPr>
              <w:rPr>
                <w:sz w:val="23"/>
                <w:szCs w:val="23"/>
              </w:rPr>
            </w:pPr>
          </w:p>
        </w:tc>
        <w:tc>
          <w:tcPr>
            <w:tcW w:w="500" w:type="dxa"/>
            <w:vAlign w:val="bottom"/>
          </w:tcPr>
          <w:p w14:paraId="1B58A955" w14:textId="77777777" w:rsidR="00D1587D" w:rsidRDefault="00410D07">
            <w:pPr>
              <w:jc w:val="right"/>
              <w:rPr>
                <w:sz w:val="20"/>
                <w:szCs w:val="20"/>
              </w:rPr>
            </w:pPr>
            <w:r>
              <w:rPr>
                <w:rFonts w:ascii="Arial" w:eastAsia="Arial" w:hAnsi="Arial" w:cs="Arial"/>
                <w:sz w:val="18"/>
                <w:szCs w:val="18"/>
              </w:rPr>
              <w:t>246</w:t>
            </w:r>
          </w:p>
        </w:tc>
      </w:tr>
      <w:tr w:rsidR="00D1587D" w14:paraId="71A87264" w14:textId="77777777">
        <w:trPr>
          <w:trHeight w:val="68"/>
        </w:trPr>
        <w:tc>
          <w:tcPr>
            <w:tcW w:w="6420" w:type="dxa"/>
            <w:tcBorders>
              <w:bottom w:val="single" w:sz="8" w:space="0" w:color="CCEEFF"/>
            </w:tcBorders>
            <w:vAlign w:val="bottom"/>
          </w:tcPr>
          <w:p w14:paraId="3FB2C636" w14:textId="77777777" w:rsidR="00D1587D" w:rsidRDefault="00D1587D">
            <w:pPr>
              <w:rPr>
                <w:sz w:val="5"/>
                <w:szCs w:val="5"/>
              </w:rPr>
            </w:pPr>
          </w:p>
        </w:tc>
        <w:tc>
          <w:tcPr>
            <w:tcW w:w="100" w:type="dxa"/>
            <w:tcBorders>
              <w:bottom w:val="single" w:sz="8" w:space="0" w:color="CCEEFF"/>
            </w:tcBorders>
            <w:vAlign w:val="bottom"/>
          </w:tcPr>
          <w:p w14:paraId="486AE334" w14:textId="77777777" w:rsidR="00D1587D" w:rsidRDefault="00D1587D">
            <w:pPr>
              <w:rPr>
                <w:sz w:val="5"/>
                <w:szCs w:val="5"/>
              </w:rPr>
            </w:pPr>
          </w:p>
        </w:tc>
        <w:tc>
          <w:tcPr>
            <w:tcW w:w="500" w:type="dxa"/>
            <w:tcBorders>
              <w:bottom w:val="single" w:sz="8" w:space="0" w:color="auto"/>
            </w:tcBorders>
            <w:vAlign w:val="bottom"/>
          </w:tcPr>
          <w:p w14:paraId="479B16B6" w14:textId="77777777" w:rsidR="00D1587D" w:rsidRDefault="00D1587D">
            <w:pPr>
              <w:rPr>
                <w:sz w:val="5"/>
                <w:szCs w:val="5"/>
              </w:rPr>
            </w:pPr>
          </w:p>
        </w:tc>
        <w:tc>
          <w:tcPr>
            <w:tcW w:w="200" w:type="dxa"/>
            <w:tcBorders>
              <w:bottom w:val="single" w:sz="8" w:space="0" w:color="CCEEFF"/>
            </w:tcBorders>
            <w:vAlign w:val="bottom"/>
          </w:tcPr>
          <w:p w14:paraId="23C30F46" w14:textId="77777777" w:rsidR="00D1587D" w:rsidRDefault="00D1587D">
            <w:pPr>
              <w:rPr>
                <w:sz w:val="5"/>
                <w:szCs w:val="5"/>
              </w:rPr>
            </w:pPr>
          </w:p>
        </w:tc>
        <w:tc>
          <w:tcPr>
            <w:tcW w:w="500" w:type="dxa"/>
            <w:tcBorders>
              <w:bottom w:val="single" w:sz="8" w:space="0" w:color="auto"/>
            </w:tcBorders>
            <w:vAlign w:val="bottom"/>
          </w:tcPr>
          <w:p w14:paraId="0D2DAB07" w14:textId="77777777" w:rsidR="00D1587D" w:rsidRDefault="00D1587D">
            <w:pPr>
              <w:rPr>
                <w:sz w:val="5"/>
                <w:szCs w:val="5"/>
              </w:rPr>
            </w:pPr>
          </w:p>
        </w:tc>
        <w:tc>
          <w:tcPr>
            <w:tcW w:w="200" w:type="dxa"/>
            <w:tcBorders>
              <w:bottom w:val="single" w:sz="8" w:space="0" w:color="CCEEFF"/>
            </w:tcBorders>
            <w:vAlign w:val="bottom"/>
          </w:tcPr>
          <w:p w14:paraId="2C06E0AB" w14:textId="77777777" w:rsidR="00D1587D" w:rsidRDefault="00D1587D">
            <w:pPr>
              <w:rPr>
                <w:sz w:val="5"/>
                <w:szCs w:val="5"/>
              </w:rPr>
            </w:pPr>
          </w:p>
        </w:tc>
        <w:tc>
          <w:tcPr>
            <w:tcW w:w="500" w:type="dxa"/>
            <w:tcBorders>
              <w:bottom w:val="single" w:sz="8" w:space="0" w:color="auto"/>
            </w:tcBorders>
            <w:vAlign w:val="bottom"/>
          </w:tcPr>
          <w:p w14:paraId="1EE5D1A5" w14:textId="77777777" w:rsidR="00D1587D" w:rsidRDefault="00D1587D">
            <w:pPr>
              <w:rPr>
                <w:sz w:val="5"/>
                <w:szCs w:val="5"/>
              </w:rPr>
            </w:pPr>
          </w:p>
        </w:tc>
      </w:tr>
      <w:tr w:rsidR="00D1587D" w14:paraId="3383ACDC" w14:textId="77777777">
        <w:trPr>
          <w:trHeight w:val="376"/>
        </w:trPr>
        <w:tc>
          <w:tcPr>
            <w:tcW w:w="6520" w:type="dxa"/>
            <w:gridSpan w:val="2"/>
            <w:tcBorders>
              <w:bottom w:val="single" w:sz="8" w:space="0" w:color="CCEEFF"/>
            </w:tcBorders>
            <w:shd w:val="clear" w:color="auto" w:fill="CCEEFF"/>
            <w:vAlign w:val="bottom"/>
          </w:tcPr>
          <w:p w14:paraId="66396328" w14:textId="77777777" w:rsidR="00D1587D" w:rsidRDefault="00410D07">
            <w:pPr>
              <w:rPr>
                <w:sz w:val="20"/>
                <w:szCs w:val="20"/>
              </w:rPr>
            </w:pPr>
            <w:r>
              <w:rPr>
                <w:rFonts w:ascii="Arial" w:eastAsia="Arial" w:hAnsi="Arial" w:cs="Arial"/>
                <w:sz w:val="18"/>
                <w:szCs w:val="18"/>
              </w:rPr>
              <w:t>Total Net Transfers to L Brands, Inc.</w:t>
            </w:r>
          </w:p>
        </w:tc>
        <w:tc>
          <w:tcPr>
            <w:tcW w:w="500" w:type="dxa"/>
            <w:tcBorders>
              <w:bottom w:val="single" w:sz="8" w:space="0" w:color="CCEEFF"/>
            </w:tcBorders>
            <w:shd w:val="clear" w:color="auto" w:fill="CCEEFF"/>
            <w:vAlign w:val="bottom"/>
          </w:tcPr>
          <w:p w14:paraId="429DE70C" w14:textId="77777777" w:rsidR="00D1587D" w:rsidRDefault="00410D07">
            <w:pPr>
              <w:jc w:val="center"/>
              <w:rPr>
                <w:sz w:val="20"/>
                <w:szCs w:val="20"/>
              </w:rPr>
            </w:pPr>
            <w:r>
              <w:rPr>
                <w:rFonts w:ascii="Arial" w:eastAsia="Arial" w:hAnsi="Arial" w:cs="Arial"/>
                <w:w w:val="92"/>
                <w:sz w:val="18"/>
                <w:szCs w:val="18"/>
              </w:rPr>
              <w:t>$(382)</w:t>
            </w:r>
          </w:p>
        </w:tc>
        <w:tc>
          <w:tcPr>
            <w:tcW w:w="700" w:type="dxa"/>
            <w:gridSpan w:val="2"/>
            <w:tcBorders>
              <w:bottom w:val="single" w:sz="8" w:space="0" w:color="CCEEFF"/>
            </w:tcBorders>
            <w:shd w:val="clear" w:color="auto" w:fill="CCEEFF"/>
            <w:vAlign w:val="bottom"/>
          </w:tcPr>
          <w:p w14:paraId="3EB59851" w14:textId="77777777" w:rsidR="00D1587D" w:rsidRDefault="00410D07">
            <w:pPr>
              <w:ind w:left="95"/>
              <w:jc w:val="center"/>
              <w:rPr>
                <w:sz w:val="20"/>
                <w:szCs w:val="20"/>
              </w:rPr>
            </w:pPr>
            <w:r>
              <w:rPr>
                <w:rFonts w:ascii="Arial" w:eastAsia="Arial" w:hAnsi="Arial" w:cs="Arial"/>
                <w:w w:val="92"/>
                <w:sz w:val="18"/>
                <w:szCs w:val="18"/>
              </w:rPr>
              <w:t>$(159)</w:t>
            </w:r>
          </w:p>
        </w:tc>
        <w:tc>
          <w:tcPr>
            <w:tcW w:w="200" w:type="dxa"/>
            <w:tcBorders>
              <w:bottom w:val="single" w:sz="8" w:space="0" w:color="CCEEFF"/>
            </w:tcBorders>
            <w:shd w:val="clear" w:color="auto" w:fill="CCEEFF"/>
            <w:vAlign w:val="bottom"/>
          </w:tcPr>
          <w:p w14:paraId="57A136E9" w14:textId="77777777" w:rsidR="00D1587D" w:rsidRDefault="00D1587D">
            <w:pPr>
              <w:rPr>
                <w:sz w:val="24"/>
                <w:szCs w:val="24"/>
              </w:rPr>
            </w:pPr>
          </w:p>
        </w:tc>
        <w:tc>
          <w:tcPr>
            <w:tcW w:w="500" w:type="dxa"/>
            <w:tcBorders>
              <w:bottom w:val="single" w:sz="8" w:space="0" w:color="CCEEFF"/>
            </w:tcBorders>
            <w:shd w:val="clear" w:color="auto" w:fill="CCEEFF"/>
            <w:vAlign w:val="bottom"/>
          </w:tcPr>
          <w:p w14:paraId="5EC48087" w14:textId="77777777" w:rsidR="00D1587D" w:rsidRDefault="00410D07">
            <w:pPr>
              <w:jc w:val="right"/>
              <w:rPr>
                <w:sz w:val="20"/>
                <w:szCs w:val="20"/>
              </w:rPr>
            </w:pPr>
            <w:r>
              <w:rPr>
                <w:rFonts w:ascii="Arial" w:eastAsia="Arial" w:hAnsi="Arial" w:cs="Arial"/>
                <w:w w:val="88"/>
                <w:sz w:val="18"/>
                <w:szCs w:val="18"/>
              </w:rPr>
              <w:t>$(288)</w:t>
            </w:r>
          </w:p>
        </w:tc>
      </w:tr>
      <w:tr w:rsidR="00D1587D" w14:paraId="6E1B55DC" w14:textId="77777777">
        <w:trPr>
          <w:trHeight w:val="20"/>
        </w:trPr>
        <w:tc>
          <w:tcPr>
            <w:tcW w:w="6420" w:type="dxa"/>
            <w:tcBorders>
              <w:top w:val="single" w:sz="8" w:space="0" w:color="CCEEFF"/>
            </w:tcBorders>
            <w:vAlign w:val="bottom"/>
          </w:tcPr>
          <w:p w14:paraId="5D8B4A63" w14:textId="77777777" w:rsidR="00D1587D" w:rsidRDefault="00D1587D">
            <w:pPr>
              <w:spacing w:line="20" w:lineRule="exact"/>
              <w:rPr>
                <w:sz w:val="1"/>
                <w:szCs w:val="1"/>
              </w:rPr>
            </w:pPr>
          </w:p>
        </w:tc>
        <w:tc>
          <w:tcPr>
            <w:tcW w:w="100" w:type="dxa"/>
            <w:tcBorders>
              <w:top w:val="single" w:sz="8" w:space="0" w:color="CCEEFF"/>
            </w:tcBorders>
            <w:vAlign w:val="bottom"/>
          </w:tcPr>
          <w:p w14:paraId="43B1A955"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11B9F4E7" w14:textId="77777777" w:rsidR="00D1587D" w:rsidRDefault="00D1587D">
            <w:pPr>
              <w:spacing w:line="20" w:lineRule="exact"/>
              <w:rPr>
                <w:sz w:val="1"/>
                <w:szCs w:val="1"/>
              </w:rPr>
            </w:pPr>
          </w:p>
        </w:tc>
        <w:tc>
          <w:tcPr>
            <w:tcW w:w="200" w:type="dxa"/>
            <w:tcBorders>
              <w:top w:val="single" w:sz="8" w:space="0" w:color="CCEEFF"/>
            </w:tcBorders>
            <w:vAlign w:val="bottom"/>
          </w:tcPr>
          <w:p w14:paraId="25F4FF49"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42F2644B" w14:textId="77777777" w:rsidR="00D1587D" w:rsidRDefault="00D1587D">
            <w:pPr>
              <w:spacing w:line="20" w:lineRule="exact"/>
              <w:rPr>
                <w:sz w:val="1"/>
                <w:szCs w:val="1"/>
              </w:rPr>
            </w:pPr>
          </w:p>
        </w:tc>
        <w:tc>
          <w:tcPr>
            <w:tcW w:w="200" w:type="dxa"/>
            <w:tcBorders>
              <w:top w:val="single" w:sz="8" w:space="0" w:color="CCEEFF"/>
            </w:tcBorders>
            <w:vAlign w:val="bottom"/>
          </w:tcPr>
          <w:p w14:paraId="67FE63BD" w14:textId="77777777" w:rsidR="00D1587D" w:rsidRDefault="00D1587D">
            <w:pPr>
              <w:spacing w:line="20" w:lineRule="exact"/>
              <w:rPr>
                <w:sz w:val="1"/>
                <w:szCs w:val="1"/>
              </w:rPr>
            </w:pPr>
          </w:p>
        </w:tc>
        <w:tc>
          <w:tcPr>
            <w:tcW w:w="500" w:type="dxa"/>
            <w:tcBorders>
              <w:top w:val="single" w:sz="8" w:space="0" w:color="auto"/>
            </w:tcBorders>
            <w:shd w:val="clear" w:color="auto" w:fill="000000"/>
            <w:vAlign w:val="bottom"/>
          </w:tcPr>
          <w:p w14:paraId="25454957" w14:textId="77777777" w:rsidR="00D1587D" w:rsidRDefault="00D1587D">
            <w:pPr>
              <w:spacing w:line="20" w:lineRule="exact"/>
              <w:rPr>
                <w:sz w:val="1"/>
                <w:szCs w:val="1"/>
              </w:rPr>
            </w:pPr>
          </w:p>
        </w:tc>
      </w:tr>
    </w:tbl>
    <w:p w14:paraId="29B9CF29" w14:textId="77777777" w:rsidR="00D1587D" w:rsidRDefault="00410D07">
      <w:pPr>
        <w:spacing w:line="20" w:lineRule="exact"/>
        <w:rPr>
          <w:sz w:val="20"/>
          <w:szCs w:val="20"/>
        </w:rPr>
      </w:pPr>
      <w:r>
        <w:rPr>
          <w:noProof/>
          <w:sz w:val="20"/>
          <w:szCs w:val="20"/>
        </w:rPr>
        <w:drawing>
          <wp:anchor distT="0" distB="0" distL="114300" distR="114300" simplePos="0" relativeHeight="252069888" behindDoc="1" locked="0" layoutInCell="0" allowOverlap="1" wp14:anchorId="6F2DFE63" wp14:editId="52850457">
            <wp:simplePos x="0" y="0"/>
            <wp:positionH relativeFrom="column">
              <wp:posOffset>5088890</wp:posOffset>
            </wp:positionH>
            <wp:positionV relativeFrom="paragraph">
              <wp:posOffset>-256540</wp:posOffset>
            </wp:positionV>
            <wp:extent cx="137160" cy="8255"/>
            <wp:effectExtent l="0" t="0" r="0" b="0"/>
            <wp:wrapNone/>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070912" behindDoc="1" locked="0" layoutInCell="0" allowOverlap="1" wp14:anchorId="5404587E" wp14:editId="45C3C046">
            <wp:simplePos x="0" y="0"/>
            <wp:positionH relativeFrom="column">
              <wp:posOffset>4643120</wp:posOffset>
            </wp:positionH>
            <wp:positionV relativeFrom="paragraph">
              <wp:posOffset>-256540</wp:posOffset>
            </wp:positionV>
            <wp:extent cx="137160" cy="8255"/>
            <wp:effectExtent l="0" t="0" r="0" b="0"/>
            <wp:wrapNone/>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071936" behindDoc="1" locked="0" layoutInCell="0" allowOverlap="1" wp14:anchorId="01B429DB" wp14:editId="77B663AA">
            <wp:simplePos x="0" y="0"/>
            <wp:positionH relativeFrom="column">
              <wp:posOffset>4265930</wp:posOffset>
            </wp:positionH>
            <wp:positionV relativeFrom="paragraph">
              <wp:posOffset>-256540</wp:posOffset>
            </wp:positionV>
            <wp:extent cx="68580" cy="8255"/>
            <wp:effectExtent l="0" t="0" r="0" b="0"/>
            <wp:wrapNone/>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2072960" behindDoc="1" locked="0" layoutInCell="0" allowOverlap="1" wp14:anchorId="2B1A57F0" wp14:editId="2CAC613D">
            <wp:simplePos x="0" y="0"/>
            <wp:positionH relativeFrom="column">
              <wp:posOffset>5088890</wp:posOffset>
            </wp:positionH>
            <wp:positionV relativeFrom="paragraph">
              <wp:posOffset>-1285240</wp:posOffset>
            </wp:positionV>
            <wp:extent cx="137160" cy="8255"/>
            <wp:effectExtent l="0" t="0" r="0" b="0"/>
            <wp:wrapNone/>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073984" behindDoc="1" locked="0" layoutInCell="0" allowOverlap="1" wp14:anchorId="6C1B2CD6" wp14:editId="6993F91D">
            <wp:simplePos x="0" y="0"/>
            <wp:positionH relativeFrom="column">
              <wp:posOffset>4643120</wp:posOffset>
            </wp:positionH>
            <wp:positionV relativeFrom="paragraph">
              <wp:posOffset>-1285240</wp:posOffset>
            </wp:positionV>
            <wp:extent cx="137160" cy="8255"/>
            <wp:effectExtent l="0" t="0" r="0" b="0"/>
            <wp:wrapNone/>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p>
    <w:p w14:paraId="584D23A5" w14:textId="77777777" w:rsidR="00D1587D" w:rsidRDefault="00D1587D">
      <w:pPr>
        <w:spacing w:line="182" w:lineRule="exact"/>
        <w:rPr>
          <w:sz w:val="20"/>
          <w:szCs w:val="20"/>
        </w:rPr>
      </w:pPr>
    </w:p>
    <w:p w14:paraId="225D6349" w14:textId="77777777" w:rsidR="00D1587D" w:rsidRDefault="00410D07">
      <w:pPr>
        <w:ind w:left="300"/>
        <w:rPr>
          <w:sz w:val="20"/>
          <w:szCs w:val="20"/>
        </w:rPr>
      </w:pPr>
      <w:r>
        <w:rPr>
          <w:rFonts w:ascii="Arial" w:eastAsia="Arial" w:hAnsi="Arial" w:cs="Arial"/>
          <w:b/>
          <w:bCs/>
          <w:i/>
          <w:iCs/>
          <w:sz w:val="18"/>
          <w:szCs w:val="18"/>
        </w:rPr>
        <w:t>Victoria’s Secret Guarantees</w:t>
      </w:r>
    </w:p>
    <w:p w14:paraId="73B6A209" w14:textId="77777777" w:rsidR="00D1587D" w:rsidRDefault="00D1587D">
      <w:pPr>
        <w:spacing w:line="117" w:lineRule="exact"/>
        <w:rPr>
          <w:sz w:val="20"/>
          <w:szCs w:val="20"/>
        </w:rPr>
      </w:pPr>
    </w:p>
    <w:p w14:paraId="40732E27" w14:textId="77777777" w:rsidR="00D1587D" w:rsidRDefault="00410D07">
      <w:pPr>
        <w:spacing w:line="259" w:lineRule="auto"/>
        <w:ind w:left="300" w:right="319" w:firstLine="360"/>
        <w:rPr>
          <w:sz w:val="20"/>
          <w:szCs w:val="20"/>
        </w:rPr>
      </w:pPr>
      <w:r>
        <w:rPr>
          <w:rFonts w:ascii="Arial" w:eastAsia="Arial" w:hAnsi="Arial" w:cs="Arial"/>
          <w:sz w:val="18"/>
          <w:szCs w:val="18"/>
        </w:rPr>
        <w:t xml:space="preserve">Certain Victoria’s Secret subsidiaries, along with other wholly-owned subsidiaries of L </w:t>
      </w:r>
      <w:r>
        <w:rPr>
          <w:rFonts w:ascii="Arial" w:eastAsia="Arial" w:hAnsi="Arial" w:cs="Arial"/>
          <w:sz w:val="18"/>
          <w:szCs w:val="18"/>
        </w:rPr>
        <w:t>Brands, Inc., guarantee and pledge collateral to secure the L Brands’ asset-backed revolving credit facility (“ABL Facility”). The ABL Facility has aggregate commitments at $1 billion and has an expiration date in August 2024. As of January 30, 2021, there</w:t>
      </w:r>
      <w:r>
        <w:rPr>
          <w:rFonts w:ascii="Arial" w:eastAsia="Arial" w:hAnsi="Arial" w:cs="Arial"/>
          <w:sz w:val="18"/>
          <w:szCs w:val="18"/>
        </w:rPr>
        <w:t xml:space="preserve"> were no borrowings outstanding under the ABL Facility.</w:t>
      </w:r>
    </w:p>
    <w:p w14:paraId="1DBE63D0" w14:textId="77777777" w:rsidR="00D1587D" w:rsidRDefault="00D1587D">
      <w:pPr>
        <w:spacing w:line="79" w:lineRule="exact"/>
        <w:rPr>
          <w:sz w:val="20"/>
          <w:szCs w:val="20"/>
        </w:rPr>
      </w:pPr>
    </w:p>
    <w:p w14:paraId="2C07EDA4" w14:textId="77777777" w:rsidR="00D1587D" w:rsidRDefault="00410D07">
      <w:pPr>
        <w:spacing w:line="259" w:lineRule="auto"/>
        <w:ind w:left="300" w:right="419" w:firstLine="360"/>
        <w:rPr>
          <w:sz w:val="20"/>
          <w:szCs w:val="20"/>
        </w:rPr>
      </w:pPr>
      <w:r>
        <w:rPr>
          <w:rFonts w:ascii="Arial" w:eastAsia="Arial" w:hAnsi="Arial" w:cs="Arial"/>
          <w:sz w:val="18"/>
          <w:szCs w:val="18"/>
        </w:rPr>
        <w:t>Certain Victoria’s Secret subsidiaries, along with other wholly-owned subsidiaries of L Brands, Inc., have also guaranteed L Brands’ obligations under certain of L Brands’ long-term notes. The guaran</w:t>
      </w:r>
      <w:r>
        <w:rPr>
          <w:rFonts w:ascii="Arial" w:eastAsia="Arial" w:hAnsi="Arial" w:cs="Arial"/>
          <w:sz w:val="18"/>
          <w:szCs w:val="18"/>
        </w:rPr>
        <w:t>tees are full and unconditional on a joint and several basis. The following table provides the outstanding principal balance for these notes as of January 30, 2021:</w:t>
      </w:r>
    </w:p>
    <w:p w14:paraId="47348691" w14:textId="77777777" w:rsidR="00D1587D" w:rsidRDefault="00D1587D">
      <w:pPr>
        <w:spacing w:line="138"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80"/>
        <w:gridCol w:w="80"/>
        <w:gridCol w:w="5320"/>
        <w:gridCol w:w="1920"/>
        <w:gridCol w:w="500"/>
        <w:gridCol w:w="120"/>
      </w:tblGrid>
      <w:tr w:rsidR="00D1587D" w14:paraId="74397FE0" w14:textId="77777777">
        <w:trPr>
          <w:trHeight w:val="186"/>
        </w:trPr>
        <w:tc>
          <w:tcPr>
            <w:tcW w:w="480" w:type="dxa"/>
            <w:vAlign w:val="bottom"/>
          </w:tcPr>
          <w:p w14:paraId="451B4849" w14:textId="77777777" w:rsidR="00D1587D" w:rsidRDefault="00D1587D">
            <w:pPr>
              <w:rPr>
                <w:sz w:val="16"/>
                <w:szCs w:val="16"/>
              </w:rPr>
            </w:pPr>
          </w:p>
        </w:tc>
        <w:tc>
          <w:tcPr>
            <w:tcW w:w="80" w:type="dxa"/>
            <w:vAlign w:val="bottom"/>
          </w:tcPr>
          <w:p w14:paraId="42B0E9AB" w14:textId="77777777" w:rsidR="00D1587D" w:rsidRDefault="00D1587D">
            <w:pPr>
              <w:rPr>
                <w:sz w:val="16"/>
                <w:szCs w:val="16"/>
              </w:rPr>
            </w:pPr>
          </w:p>
        </w:tc>
        <w:tc>
          <w:tcPr>
            <w:tcW w:w="5320" w:type="dxa"/>
            <w:vAlign w:val="bottom"/>
          </w:tcPr>
          <w:p w14:paraId="18011419" w14:textId="77777777" w:rsidR="00D1587D" w:rsidRDefault="00D1587D">
            <w:pPr>
              <w:rPr>
                <w:sz w:val="16"/>
                <w:szCs w:val="16"/>
              </w:rPr>
            </w:pPr>
          </w:p>
        </w:tc>
        <w:tc>
          <w:tcPr>
            <w:tcW w:w="2540" w:type="dxa"/>
            <w:gridSpan w:val="3"/>
            <w:vAlign w:val="bottom"/>
          </w:tcPr>
          <w:p w14:paraId="7C6CC7CA" w14:textId="77777777" w:rsidR="00D1587D" w:rsidRDefault="00410D07">
            <w:pPr>
              <w:ind w:left="1712"/>
              <w:jc w:val="center"/>
              <w:rPr>
                <w:sz w:val="20"/>
                <w:szCs w:val="20"/>
              </w:rPr>
            </w:pPr>
            <w:r>
              <w:rPr>
                <w:rFonts w:ascii="Arial" w:eastAsia="Arial" w:hAnsi="Arial" w:cs="Arial"/>
                <w:b/>
                <w:bCs/>
                <w:w w:val="94"/>
                <w:sz w:val="14"/>
                <w:szCs w:val="14"/>
              </w:rPr>
              <w:t>(in millions)</w:t>
            </w:r>
          </w:p>
        </w:tc>
      </w:tr>
      <w:tr w:rsidR="00D1587D" w14:paraId="40677BD2" w14:textId="77777777">
        <w:trPr>
          <w:trHeight w:val="53"/>
        </w:trPr>
        <w:tc>
          <w:tcPr>
            <w:tcW w:w="560" w:type="dxa"/>
            <w:gridSpan w:val="2"/>
            <w:vAlign w:val="bottom"/>
          </w:tcPr>
          <w:p w14:paraId="5CEB9901" w14:textId="77777777" w:rsidR="00D1587D" w:rsidRDefault="00D1587D">
            <w:pPr>
              <w:rPr>
                <w:sz w:val="4"/>
                <w:szCs w:val="4"/>
              </w:rPr>
            </w:pPr>
          </w:p>
        </w:tc>
        <w:tc>
          <w:tcPr>
            <w:tcW w:w="5320" w:type="dxa"/>
            <w:vAlign w:val="bottom"/>
          </w:tcPr>
          <w:p w14:paraId="5559931A" w14:textId="77777777" w:rsidR="00D1587D" w:rsidRDefault="00D1587D">
            <w:pPr>
              <w:rPr>
                <w:sz w:val="4"/>
                <w:szCs w:val="4"/>
              </w:rPr>
            </w:pPr>
          </w:p>
        </w:tc>
        <w:tc>
          <w:tcPr>
            <w:tcW w:w="1920" w:type="dxa"/>
            <w:vAlign w:val="bottom"/>
          </w:tcPr>
          <w:p w14:paraId="686D412E" w14:textId="77777777" w:rsidR="00D1587D" w:rsidRDefault="00D1587D">
            <w:pPr>
              <w:rPr>
                <w:sz w:val="4"/>
                <w:szCs w:val="4"/>
              </w:rPr>
            </w:pPr>
          </w:p>
        </w:tc>
        <w:tc>
          <w:tcPr>
            <w:tcW w:w="500" w:type="dxa"/>
            <w:vAlign w:val="bottom"/>
          </w:tcPr>
          <w:p w14:paraId="426A81C3" w14:textId="77777777" w:rsidR="00D1587D" w:rsidRDefault="00D1587D">
            <w:pPr>
              <w:rPr>
                <w:sz w:val="4"/>
                <w:szCs w:val="4"/>
              </w:rPr>
            </w:pPr>
          </w:p>
        </w:tc>
        <w:tc>
          <w:tcPr>
            <w:tcW w:w="120" w:type="dxa"/>
            <w:vAlign w:val="bottom"/>
          </w:tcPr>
          <w:p w14:paraId="0B00FFF1" w14:textId="77777777" w:rsidR="00D1587D" w:rsidRDefault="00D1587D">
            <w:pPr>
              <w:rPr>
                <w:sz w:val="4"/>
                <w:szCs w:val="4"/>
              </w:rPr>
            </w:pPr>
          </w:p>
        </w:tc>
      </w:tr>
      <w:tr w:rsidR="00D1587D" w14:paraId="323057CA" w14:textId="77777777">
        <w:trPr>
          <w:trHeight w:val="318"/>
        </w:trPr>
        <w:tc>
          <w:tcPr>
            <w:tcW w:w="560" w:type="dxa"/>
            <w:gridSpan w:val="2"/>
            <w:tcBorders>
              <w:bottom w:val="single" w:sz="8" w:space="0" w:color="CCEEFF"/>
            </w:tcBorders>
            <w:shd w:val="clear" w:color="auto" w:fill="CCEEFF"/>
            <w:vAlign w:val="bottom"/>
          </w:tcPr>
          <w:p w14:paraId="5D05F4C3" w14:textId="77777777" w:rsidR="00D1587D" w:rsidRDefault="00410D07">
            <w:pPr>
              <w:rPr>
                <w:sz w:val="20"/>
                <w:szCs w:val="20"/>
              </w:rPr>
            </w:pPr>
            <w:r>
              <w:rPr>
                <w:rFonts w:ascii="Arial" w:eastAsia="Arial" w:hAnsi="Arial" w:cs="Arial"/>
                <w:w w:val="88"/>
                <w:sz w:val="18"/>
                <w:szCs w:val="18"/>
              </w:rPr>
              <w:t>5.625%</w:t>
            </w:r>
          </w:p>
        </w:tc>
        <w:tc>
          <w:tcPr>
            <w:tcW w:w="5320" w:type="dxa"/>
            <w:tcBorders>
              <w:bottom w:val="single" w:sz="8" w:space="0" w:color="CCEEFF"/>
            </w:tcBorders>
            <w:shd w:val="clear" w:color="auto" w:fill="CCEEFF"/>
            <w:vAlign w:val="bottom"/>
          </w:tcPr>
          <w:p w14:paraId="488BD600" w14:textId="77777777" w:rsidR="00D1587D" w:rsidRDefault="00410D07">
            <w:pPr>
              <w:ind w:left="40"/>
              <w:rPr>
                <w:sz w:val="20"/>
                <w:szCs w:val="20"/>
              </w:rPr>
            </w:pPr>
            <w:r>
              <w:rPr>
                <w:rFonts w:ascii="Arial" w:eastAsia="Arial" w:hAnsi="Arial" w:cs="Arial"/>
                <w:sz w:val="18"/>
                <w:szCs w:val="18"/>
              </w:rPr>
              <w:t>Fixed Interest Rate Notes due February 2022</w:t>
            </w:r>
          </w:p>
        </w:tc>
        <w:tc>
          <w:tcPr>
            <w:tcW w:w="2540" w:type="dxa"/>
            <w:gridSpan w:val="3"/>
            <w:tcBorders>
              <w:bottom w:val="single" w:sz="8" w:space="0" w:color="CCEEFF"/>
            </w:tcBorders>
            <w:shd w:val="clear" w:color="auto" w:fill="CCEEFF"/>
            <w:vAlign w:val="bottom"/>
          </w:tcPr>
          <w:p w14:paraId="379D8CD3" w14:textId="77777777" w:rsidR="00D1587D" w:rsidRDefault="00410D07">
            <w:pPr>
              <w:ind w:left="1712"/>
              <w:jc w:val="center"/>
              <w:rPr>
                <w:sz w:val="20"/>
                <w:szCs w:val="20"/>
              </w:rPr>
            </w:pPr>
            <w:r>
              <w:rPr>
                <w:rFonts w:ascii="Arial" w:eastAsia="Arial" w:hAnsi="Arial" w:cs="Arial"/>
                <w:w w:val="99"/>
                <w:sz w:val="18"/>
                <w:szCs w:val="18"/>
              </w:rPr>
              <w:t>$  285</w:t>
            </w:r>
          </w:p>
        </w:tc>
      </w:tr>
      <w:tr w:rsidR="00D1587D" w14:paraId="2F5E358A" w14:textId="77777777">
        <w:trPr>
          <w:trHeight w:val="270"/>
        </w:trPr>
        <w:tc>
          <w:tcPr>
            <w:tcW w:w="560" w:type="dxa"/>
            <w:gridSpan w:val="2"/>
            <w:vAlign w:val="bottom"/>
          </w:tcPr>
          <w:p w14:paraId="03A4B1C2" w14:textId="77777777" w:rsidR="00D1587D" w:rsidRDefault="00410D07">
            <w:pPr>
              <w:rPr>
                <w:sz w:val="20"/>
                <w:szCs w:val="20"/>
              </w:rPr>
            </w:pPr>
            <w:r>
              <w:rPr>
                <w:rFonts w:ascii="Arial" w:eastAsia="Arial" w:hAnsi="Arial" w:cs="Arial"/>
                <w:w w:val="88"/>
                <w:sz w:val="18"/>
                <w:szCs w:val="18"/>
              </w:rPr>
              <w:t>5.625%</w:t>
            </w:r>
          </w:p>
        </w:tc>
        <w:tc>
          <w:tcPr>
            <w:tcW w:w="5320" w:type="dxa"/>
            <w:vAlign w:val="bottom"/>
          </w:tcPr>
          <w:p w14:paraId="60441CFE" w14:textId="77777777" w:rsidR="00D1587D" w:rsidRDefault="00410D07">
            <w:pPr>
              <w:ind w:left="40"/>
              <w:rPr>
                <w:sz w:val="20"/>
                <w:szCs w:val="20"/>
              </w:rPr>
            </w:pPr>
            <w:r>
              <w:rPr>
                <w:rFonts w:ascii="Arial" w:eastAsia="Arial" w:hAnsi="Arial" w:cs="Arial"/>
                <w:sz w:val="18"/>
                <w:szCs w:val="18"/>
              </w:rPr>
              <w:t>Fixed Interest Rate Notes due October 2023</w:t>
            </w:r>
          </w:p>
        </w:tc>
        <w:tc>
          <w:tcPr>
            <w:tcW w:w="2420" w:type="dxa"/>
            <w:gridSpan w:val="2"/>
            <w:vAlign w:val="bottom"/>
          </w:tcPr>
          <w:p w14:paraId="30191AFC" w14:textId="77777777" w:rsidR="00D1587D" w:rsidRDefault="00410D07">
            <w:pPr>
              <w:jc w:val="right"/>
              <w:rPr>
                <w:sz w:val="20"/>
                <w:szCs w:val="20"/>
              </w:rPr>
            </w:pPr>
            <w:r>
              <w:rPr>
                <w:rFonts w:ascii="Arial" w:eastAsia="Arial" w:hAnsi="Arial" w:cs="Arial"/>
                <w:sz w:val="18"/>
                <w:szCs w:val="18"/>
              </w:rPr>
              <w:t>320</w:t>
            </w:r>
          </w:p>
        </w:tc>
        <w:tc>
          <w:tcPr>
            <w:tcW w:w="120" w:type="dxa"/>
            <w:vAlign w:val="bottom"/>
          </w:tcPr>
          <w:p w14:paraId="4E2CFFCD" w14:textId="77777777" w:rsidR="00D1587D" w:rsidRDefault="00D1587D">
            <w:pPr>
              <w:rPr>
                <w:sz w:val="23"/>
                <w:szCs w:val="23"/>
              </w:rPr>
            </w:pPr>
          </w:p>
        </w:tc>
      </w:tr>
      <w:tr w:rsidR="00D1587D" w14:paraId="3B257D86" w14:textId="77777777">
        <w:trPr>
          <w:trHeight w:val="54"/>
        </w:trPr>
        <w:tc>
          <w:tcPr>
            <w:tcW w:w="560" w:type="dxa"/>
            <w:gridSpan w:val="2"/>
            <w:vAlign w:val="bottom"/>
          </w:tcPr>
          <w:p w14:paraId="4C38AF59" w14:textId="77777777" w:rsidR="00D1587D" w:rsidRDefault="00D1587D">
            <w:pPr>
              <w:rPr>
                <w:sz w:val="4"/>
                <w:szCs w:val="4"/>
              </w:rPr>
            </w:pPr>
          </w:p>
        </w:tc>
        <w:tc>
          <w:tcPr>
            <w:tcW w:w="5320" w:type="dxa"/>
            <w:vAlign w:val="bottom"/>
          </w:tcPr>
          <w:p w14:paraId="35ABB65C" w14:textId="77777777" w:rsidR="00D1587D" w:rsidRDefault="00D1587D">
            <w:pPr>
              <w:rPr>
                <w:sz w:val="4"/>
                <w:szCs w:val="4"/>
              </w:rPr>
            </w:pPr>
          </w:p>
        </w:tc>
        <w:tc>
          <w:tcPr>
            <w:tcW w:w="1920" w:type="dxa"/>
            <w:vAlign w:val="bottom"/>
          </w:tcPr>
          <w:p w14:paraId="177FB6C6" w14:textId="77777777" w:rsidR="00D1587D" w:rsidRDefault="00D1587D">
            <w:pPr>
              <w:rPr>
                <w:sz w:val="4"/>
                <w:szCs w:val="4"/>
              </w:rPr>
            </w:pPr>
          </w:p>
        </w:tc>
        <w:tc>
          <w:tcPr>
            <w:tcW w:w="500" w:type="dxa"/>
            <w:vAlign w:val="bottom"/>
          </w:tcPr>
          <w:p w14:paraId="19938B1F" w14:textId="77777777" w:rsidR="00D1587D" w:rsidRDefault="00D1587D">
            <w:pPr>
              <w:rPr>
                <w:sz w:val="4"/>
                <w:szCs w:val="4"/>
              </w:rPr>
            </w:pPr>
          </w:p>
        </w:tc>
        <w:tc>
          <w:tcPr>
            <w:tcW w:w="120" w:type="dxa"/>
            <w:vAlign w:val="bottom"/>
          </w:tcPr>
          <w:p w14:paraId="4C4CD8C9" w14:textId="77777777" w:rsidR="00D1587D" w:rsidRDefault="00D1587D">
            <w:pPr>
              <w:rPr>
                <w:sz w:val="4"/>
                <w:szCs w:val="4"/>
              </w:rPr>
            </w:pPr>
          </w:p>
        </w:tc>
      </w:tr>
      <w:tr w:rsidR="00D1587D" w14:paraId="7AF12BDD" w14:textId="77777777">
        <w:trPr>
          <w:trHeight w:val="304"/>
        </w:trPr>
        <w:tc>
          <w:tcPr>
            <w:tcW w:w="560" w:type="dxa"/>
            <w:gridSpan w:val="2"/>
            <w:tcBorders>
              <w:bottom w:val="single" w:sz="8" w:space="0" w:color="CCEEFF"/>
            </w:tcBorders>
            <w:shd w:val="clear" w:color="auto" w:fill="CCEEFF"/>
            <w:vAlign w:val="bottom"/>
          </w:tcPr>
          <w:p w14:paraId="284D43BD" w14:textId="77777777" w:rsidR="00D1587D" w:rsidRDefault="00410D07">
            <w:pPr>
              <w:rPr>
                <w:sz w:val="20"/>
                <w:szCs w:val="20"/>
              </w:rPr>
            </w:pPr>
            <w:r>
              <w:rPr>
                <w:rFonts w:ascii="Arial" w:eastAsia="Arial" w:hAnsi="Arial" w:cs="Arial"/>
                <w:w w:val="88"/>
                <w:sz w:val="18"/>
                <w:szCs w:val="18"/>
              </w:rPr>
              <w:t>9.375%</w:t>
            </w:r>
          </w:p>
        </w:tc>
        <w:tc>
          <w:tcPr>
            <w:tcW w:w="5320" w:type="dxa"/>
            <w:tcBorders>
              <w:bottom w:val="single" w:sz="8" w:space="0" w:color="CCEEFF"/>
            </w:tcBorders>
            <w:shd w:val="clear" w:color="auto" w:fill="CCEEFF"/>
            <w:vAlign w:val="bottom"/>
          </w:tcPr>
          <w:p w14:paraId="372C7D22" w14:textId="77777777" w:rsidR="00D1587D" w:rsidRDefault="00410D07">
            <w:pPr>
              <w:ind w:left="40"/>
              <w:rPr>
                <w:sz w:val="20"/>
                <w:szCs w:val="20"/>
              </w:rPr>
            </w:pPr>
            <w:r>
              <w:rPr>
                <w:rFonts w:ascii="Arial" w:eastAsia="Arial" w:hAnsi="Arial" w:cs="Arial"/>
                <w:sz w:val="18"/>
                <w:szCs w:val="18"/>
              </w:rPr>
              <w:t>Fixed Interest Rate Notes due July 2025</w:t>
            </w:r>
          </w:p>
        </w:tc>
        <w:tc>
          <w:tcPr>
            <w:tcW w:w="2420" w:type="dxa"/>
            <w:gridSpan w:val="2"/>
            <w:tcBorders>
              <w:bottom w:val="single" w:sz="8" w:space="0" w:color="CCEEFF"/>
            </w:tcBorders>
            <w:shd w:val="clear" w:color="auto" w:fill="CCEEFF"/>
            <w:vAlign w:val="bottom"/>
          </w:tcPr>
          <w:p w14:paraId="40C9422A" w14:textId="77777777" w:rsidR="00D1587D" w:rsidRDefault="00410D07">
            <w:pPr>
              <w:jc w:val="right"/>
              <w:rPr>
                <w:sz w:val="20"/>
                <w:szCs w:val="20"/>
              </w:rPr>
            </w:pPr>
            <w:r>
              <w:rPr>
                <w:rFonts w:ascii="Arial" w:eastAsia="Arial" w:hAnsi="Arial" w:cs="Arial"/>
                <w:sz w:val="18"/>
                <w:szCs w:val="18"/>
              </w:rPr>
              <w:t>500</w:t>
            </w:r>
          </w:p>
        </w:tc>
        <w:tc>
          <w:tcPr>
            <w:tcW w:w="120" w:type="dxa"/>
            <w:tcBorders>
              <w:bottom w:val="single" w:sz="8" w:space="0" w:color="CCEEFF"/>
            </w:tcBorders>
            <w:shd w:val="clear" w:color="auto" w:fill="CCEEFF"/>
            <w:vAlign w:val="bottom"/>
          </w:tcPr>
          <w:p w14:paraId="03FC23AC" w14:textId="77777777" w:rsidR="00D1587D" w:rsidRDefault="00D1587D">
            <w:pPr>
              <w:rPr>
                <w:sz w:val="24"/>
                <w:szCs w:val="24"/>
              </w:rPr>
            </w:pPr>
          </w:p>
        </w:tc>
      </w:tr>
      <w:tr w:rsidR="00D1587D" w14:paraId="57438B41" w14:textId="77777777">
        <w:trPr>
          <w:trHeight w:val="270"/>
        </w:trPr>
        <w:tc>
          <w:tcPr>
            <w:tcW w:w="560" w:type="dxa"/>
            <w:gridSpan w:val="2"/>
            <w:vAlign w:val="bottom"/>
          </w:tcPr>
          <w:p w14:paraId="112CA7D6" w14:textId="77777777" w:rsidR="00D1587D" w:rsidRDefault="00410D07">
            <w:pPr>
              <w:rPr>
                <w:sz w:val="20"/>
                <w:szCs w:val="20"/>
              </w:rPr>
            </w:pPr>
            <w:r>
              <w:rPr>
                <w:rFonts w:ascii="Arial" w:eastAsia="Arial" w:hAnsi="Arial" w:cs="Arial"/>
                <w:w w:val="88"/>
                <w:sz w:val="18"/>
                <w:szCs w:val="18"/>
              </w:rPr>
              <w:t>6.875%</w:t>
            </w:r>
          </w:p>
        </w:tc>
        <w:tc>
          <w:tcPr>
            <w:tcW w:w="5320" w:type="dxa"/>
            <w:vAlign w:val="bottom"/>
          </w:tcPr>
          <w:p w14:paraId="792F7B9B" w14:textId="77777777" w:rsidR="00D1587D" w:rsidRDefault="00410D07">
            <w:pPr>
              <w:ind w:left="40"/>
              <w:rPr>
                <w:sz w:val="20"/>
                <w:szCs w:val="20"/>
              </w:rPr>
            </w:pPr>
            <w:r>
              <w:rPr>
                <w:rFonts w:ascii="Arial" w:eastAsia="Arial" w:hAnsi="Arial" w:cs="Arial"/>
                <w:sz w:val="18"/>
                <w:szCs w:val="18"/>
              </w:rPr>
              <w:t>Fixed Interest Rate Secured Notes due July 2025</w:t>
            </w:r>
          </w:p>
        </w:tc>
        <w:tc>
          <w:tcPr>
            <w:tcW w:w="2420" w:type="dxa"/>
            <w:gridSpan w:val="2"/>
            <w:vAlign w:val="bottom"/>
          </w:tcPr>
          <w:p w14:paraId="2DA5D25C" w14:textId="77777777" w:rsidR="00D1587D" w:rsidRDefault="00410D07">
            <w:pPr>
              <w:jc w:val="right"/>
              <w:rPr>
                <w:sz w:val="20"/>
                <w:szCs w:val="20"/>
              </w:rPr>
            </w:pPr>
            <w:r>
              <w:rPr>
                <w:rFonts w:ascii="Arial" w:eastAsia="Arial" w:hAnsi="Arial" w:cs="Arial"/>
                <w:sz w:val="18"/>
                <w:szCs w:val="18"/>
              </w:rPr>
              <w:t>750</w:t>
            </w:r>
          </w:p>
        </w:tc>
        <w:tc>
          <w:tcPr>
            <w:tcW w:w="120" w:type="dxa"/>
            <w:vAlign w:val="bottom"/>
          </w:tcPr>
          <w:p w14:paraId="4D83E05F" w14:textId="77777777" w:rsidR="00D1587D" w:rsidRDefault="00D1587D">
            <w:pPr>
              <w:rPr>
                <w:sz w:val="23"/>
                <w:szCs w:val="23"/>
              </w:rPr>
            </w:pPr>
          </w:p>
        </w:tc>
      </w:tr>
      <w:tr w:rsidR="00D1587D" w14:paraId="59F22220" w14:textId="77777777">
        <w:trPr>
          <w:trHeight w:val="54"/>
        </w:trPr>
        <w:tc>
          <w:tcPr>
            <w:tcW w:w="560" w:type="dxa"/>
            <w:gridSpan w:val="2"/>
            <w:vAlign w:val="bottom"/>
          </w:tcPr>
          <w:p w14:paraId="55422849" w14:textId="77777777" w:rsidR="00D1587D" w:rsidRDefault="00D1587D">
            <w:pPr>
              <w:rPr>
                <w:sz w:val="4"/>
                <w:szCs w:val="4"/>
              </w:rPr>
            </w:pPr>
          </w:p>
        </w:tc>
        <w:tc>
          <w:tcPr>
            <w:tcW w:w="5320" w:type="dxa"/>
            <w:vAlign w:val="bottom"/>
          </w:tcPr>
          <w:p w14:paraId="66105308" w14:textId="77777777" w:rsidR="00D1587D" w:rsidRDefault="00D1587D">
            <w:pPr>
              <w:rPr>
                <w:sz w:val="4"/>
                <w:szCs w:val="4"/>
              </w:rPr>
            </w:pPr>
          </w:p>
        </w:tc>
        <w:tc>
          <w:tcPr>
            <w:tcW w:w="1920" w:type="dxa"/>
            <w:vAlign w:val="bottom"/>
          </w:tcPr>
          <w:p w14:paraId="1B4E43EF" w14:textId="77777777" w:rsidR="00D1587D" w:rsidRDefault="00D1587D">
            <w:pPr>
              <w:rPr>
                <w:sz w:val="4"/>
                <w:szCs w:val="4"/>
              </w:rPr>
            </w:pPr>
          </w:p>
        </w:tc>
        <w:tc>
          <w:tcPr>
            <w:tcW w:w="500" w:type="dxa"/>
            <w:vAlign w:val="bottom"/>
          </w:tcPr>
          <w:p w14:paraId="2490DC20" w14:textId="77777777" w:rsidR="00D1587D" w:rsidRDefault="00D1587D">
            <w:pPr>
              <w:rPr>
                <w:sz w:val="4"/>
                <w:szCs w:val="4"/>
              </w:rPr>
            </w:pPr>
          </w:p>
        </w:tc>
        <w:tc>
          <w:tcPr>
            <w:tcW w:w="120" w:type="dxa"/>
            <w:vAlign w:val="bottom"/>
          </w:tcPr>
          <w:p w14:paraId="64598938" w14:textId="77777777" w:rsidR="00D1587D" w:rsidRDefault="00D1587D">
            <w:pPr>
              <w:rPr>
                <w:sz w:val="4"/>
                <w:szCs w:val="4"/>
              </w:rPr>
            </w:pPr>
          </w:p>
        </w:tc>
      </w:tr>
      <w:tr w:rsidR="00D1587D" w14:paraId="42AB5BE0" w14:textId="77777777">
        <w:trPr>
          <w:trHeight w:val="304"/>
        </w:trPr>
        <w:tc>
          <w:tcPr>
            <w:tcW w:w="560" w:type="dxa"/>
            <w:gridSpan w:val="2"/>
            <w:tcBorders>
              <w:bottom w:val="single" w:sz="8" w:space="0" w:color="CCEEFF"/>
            </w:tcBorders>
            <w:shd w:val="clear" w:color="auto" w:fill="CCEEFF"/>
            <w:vAlign w:val="bottom"/>
          </w:tcPr>
          <w:p w14:paraId="39141E56" w14:textId="77777777" w:rsidR="00D1587D" w:rsidRDefault="00410D07">
            <w:pPr>
              <w:rPr>
                <w:sz w:val="20"/>
                <w:szCs w:val="20"/>
              </w:rPr>
            </w:pPr>
            <w:r>
              <w:rPr>
                <w:rFonts w:ascii="Arial" w:eastAsia="Arial" w:hAnsi="Arial" w:cs="Arial"/>
                <w:w w:val="88"/>
                <w:sz w:val="18"/>
                <w:szCs w:val="18"/>
              </w:rPr>
              <w:t>6.694%</w:t>
            </w:r>
          </w:p>
        </w:tc>
        <w:tc>
          <w:tcPr>
            <w:tcW w:w="5320" w:type="dxa"/>
            <w:tcBorders>
              <w:bottom w:val="single" w:sz="8" w:space="0" w:color="CCEEFF"/>
            </w:tcBorders>
            <w:shd w:val="clear" w:color="auto" w:fill="CCEEFF"/>
            <w:vAlign w:val="bottom"/>
          </w:tcPr>
          <w:p w14:paraId="53DC949F" w14:textId="77777777" w:rsidR="00D1587D" w:rsidRDefault="00410D07">
            <w:pPr>
              <w:ind w:left="40"/>
              <w:rPr>
                <w:sz w:val="20"/>
                <w:szCs w:val="20"/>
              </w:rPr>
            </w:pPr>
            <w:r>
              <w:rPr>
                <w:rFonts w:ascii="Arial" w:eastAsia="Arial" w:hAnsi="Arial" w:cs="Arial"/>
                <w:sz w:val="18"/>
                <w:szCs w:val="18"/>
              </w:rPr>
              <w:t>Fixed Interest Rate Notes due January 2027</w:t>
            </w:r>
          </w:p>
        </w:tc>
        <w:tc>
          <w:tcPr>
            <w:tcW w:w="2420" w:type="dxa"/>
            <w:gridSpan w:val="2"/>
            <w:tcBorders>
              <w:bottom w:val="single" w:sz="8" w:space="0" w:color="CCEEFF"/>
            </w:tcBorders>
            <w:shd w:val="clear" w:color="auto" w:fill="CCEEFF"/>
            <w:vAlign w:val="bottom"/>
          </w:tcPr>
          <w:p w14:paraId="503E6743" w14:textId="77777777" w:rsidR="00D1587D" w:rsidRDefault="00410D07">
            <w:pPr>
              <w:jc w:val="right"/>
              <w:rPr>
                <w:sz w:val="20"/>
                <w:szCs w:val="20"/>
              </w:rPr>
            </w:pPr>
            <w:r>
              <w:rPr>
                <w:rFonts w:ascii="Arial" w:eastAsia="Arial" w:hAnsi="Arial" w:cs="Arial"/>
                <w:sz w:val="18"/>
                <w:szCs w:val="18"/>
              </w:rPr>
              <w:t>297</w:t>
            </w:r>
          </w:p>
        </w:tc>
        <w:tc>
          <w:tcPr>
            <w:tcW w:w="120" w:type="dxa"/>
            <w:tcBorders>
              <w:bottom w:val="single" w:sz="8" w:space="0" w:color="CCEEFF"/>
            </w:tcBorders>
            <w:shd w:val="clear" w:color="auto" w:fill="CCEEFF"/>
            <w:vAlign w:val="bottom"/>
          </w:tcPr>
          <w:p w14:paraId="050C4478" w14:textId="77777777" w:rsidR="00D1587D" w:rsidRDefault="00D1587D">
            <w:pPr>
              <w:rPr>
                <w:sz w:val="24"/>
                <w:szCs w:val="24"/>
              </w:rPr>
            </w:pPr>
          </w:p>
        </w:tc>
      </w:tr>
      <w:tr w:rsidR="00D1587D" w14:paraId="34AACDA7" w14:textId="77777777">
        <w:trPr>
          <w:trHeight w:val="270"/>
        </w:trPr>
        <w:tc>
          <w:tcPr>
            <w:tcW w:w="480" w:type="dxa"/>
            <w:vAlign w:val="bottom"/>
          </w:tcPr>
          <w:p w14:paraId="42F087A0" w14:textId="77777777" w:rsidR="00D1587D" w:rsidRDefault="00410D07">
            <w:pPr>
              <w:rPr>
                <w:sz w:val="20"/>
                <w:szCs w:val="20"/>
              </w:rPr>
            </w:pPr>
            <w:r>
              <w:rPr>
                <w:rFonts w:ascii="Arial" w:eastAsia="Arial" w:hAnsi="Arial" w:cs="Arial"/>
                <w:w w:val="90"/>
                <w:sz w:val="18"/>
                <w:szCs w:val="18"/>
              </w:rPr>
              <w:t>5.25%</w:t>
            </w:r>
          </w:p>
        </w:tc>
        <w:tc>
          <w:tcPr>
            <w:tcW w:w="5400" w:type="dxa"/>
            <w:gridSpan w:val="2"/>
            <w:vAlign w:val="bottom"/>
          </w:tcPr>
          <w:p w14:paraId="208FEA81" w14:textId="77777777" w:rsidR="00D1587D" w:rsidRDefault="00410D07">
            <w:pPr>
              <w:ind w:left="20"/>
              <w:rPr>
                <w:sz w:val="20"/>
                <w:szCs w:val="20"/>
              </w:rPr>
            </w:pPr>
            <w:r>
              <w:rPr>
                <w:rFonts w:ascii="Arial" w:eastAsia="Arial" w:hAnsi="Arial" w:cs="Arial"/>
                <w:sz w:val="18"/>
                <w:szCs w:val="18"/>
              </w:rPr>
              <w:t xml:space="preserve">Fixed </w:t>
            </w:r>
            <w:r>
              <w:rPr>
                <w:rFonts w:ascii="Arial" w:eastAsia="Arial" w:hAnsi="Arial" w:cs="Arial"/>
                <w:sz w:val="18"/>
                <w:szCs w:val="18"/>
              </w:rPr>
              <w:t>Interest Rate Notes due February 2028</w:t>
            </w:r>
          </w:p>
        </w:tc>
        <w:tc>
          <w:tcPr>
            <w:tcW w:w="2420" w:type="dxa"/>
            <w:gridSpan w:val="2"/>
            <w:vAlign w:val="bottom"/>
          </w:tcPr>
          <w:p w14:paraId="4C24277C" w14:textId="77777777" w:rsidR="00D1587D" w:rsidRDefault="00410D07">
            <w:pPr>
              <w:jc w:val="right"/>
              <w:rPr>
                <w:sz w:val="20"/>
                <w:szCs w:val="20"/>
              </w:rPr>
            </w:pPr>
            <w:r>
              <w:rPr>
                <w:rFonts w:ascii="Arial" w:eastAsia="Arial" w:hAnsi="Arial" w:cs="Arial"/>
                <w:sz w:val="18"/>
                <w:szCs w:val="18"/>
              </w:rPr>
              <w:t>500</w:t>
            </w:r>
          </w:p>
        </w:tc>
        <w:tc>
          <w:tcPr>
            <w:tcW w:w="120" w:type="dxa"/>
            <w:vAlign w:val="bottom"/>
          </w:tcPr>
          <w:p w14:paraId="220BAAF9" w14:textId="77777777" w:rsidR="00D1587D" w:rsidRDefault="00D1587D">
            <w:pPr>
              <w:rPr>
                <w:sz w:val="23"/>
                <w:szCs w:val="23"/>
              </w:rPr>
            </w:pPr>
          </w:p>
        </w:tc>
      </w:tr>
      <w:tr w:rsidR="00D1587D" w14:paraId="4E202641" w14:textId="77777777">
        <w:trPr>
          <w:trHeight w:val="54"/>
        </w:trPr>
        <w:tc>
          <w:tcPr>
            <w:tcW w:w="480" w:type="dxa"/>
            <w:vAlign w:val="bottom"/>
          </w:tcPr>
          <w:p w14:paraId="17A0462E" w14:textId="77777777" w:rsidR="00D1587D" w:rsidRDefault="00D1587D">
            <w:pPr>
              <w:rPr>
                <w:sz w:val="4"/>
                <w:szCs w:val="4"/>
              </w:rPr>
            </w:pPr>
          </w:p>
        </w:tc>
        <w:tc>
          <w:tcPr>
            <w:tcW w:w="5400" w:type="dxa"/>
            <w:gridSpan w:val="2"/>
            <w:vAlign w:val="bottom"/>
          </w:tcPr>
          <w:p w14:paraId="7AB10343" w14:textId="77777777" w:rsidR="00D1587D" w:rsidRDefault="00D1587D">
            <w:pPr>
              <w:rPr>
                <w:sz w:val="4"/>
                <w:szCs w:val="4"/>
              </w:rPr>
            </w:pPr>
          </w:p>
        </w:tc>
        <w:tc>
          <w:tcPr>
            <w:tcW w:w="1920" w:type="dxa"/>
            <w:vAlign w:val="bottom"/>
          </w:tcPr>
          <w:p w14:paraId="73D71626" w14:textId="77777777" w:rsidR="00D1587D" w:rsidRDefault="00D1587D">
            <w:pPr>
              <w:rPr>
                <w:sz w:val="4"/>
                <w:szCs w:val="4"/>
              </w:rPr>
            </w:pPr>
          </w:p>
        </w:tc>
        <w:tc>
          <w:tcPr>
            <w:tcW w:w="500" w:type="dxa"/>
            <w:vAlign w:val="bottom"/>
          </w:tcPr>
          <w:p w14:paraId="1D79B6E7" w14:textId="77777777" w:rsidR="00D1587D" w:rsidRDefault="00D1587D">
            <w:pPr>
              <w:rPr>
                <w:sz w:val="4"/>
                <w:szCs w:val="4"/>
              </w:rPr>
            </w:pPr>
          </w:p>
        </w:tc>
        <w:tc>
          <w:tcPr>
            <w:tcW w:w="120" w:type="dxa"/>
            <w:vAlign w:val="bottom"/>
          </w:tcPr>
          <w:p w14:paraId="616A8293" w14:textId="77777777" w:rsidR="00D1587D" w:rsidRDefault="00D1587D">
            <w:pPr>
              <w:rPr>
                <w:sz w:val="4"/>
                <w:szCs w:val="4"/>
              </w:rPr>
            </w:pPr>
          </w:p>
        </w:tc>
      </w:tr>
      <w:tr w:rsidR="00D1587D" w14:paraId="19F320A7" w14:textId="77777777">
        <w:trPr>
          <w:trHeight w:val="304"/>
        </w:trPr>
        <w:tc>
          <w:tcPr>
            <w:tcW w:w="480" w:type="dxa"/>
            <w:tcBorders>
              <w:bottom w:val="single" w:sz="8" w:space="0" w:color="CCEEFF"/>
            </w:tcBorders>
            <w:shd w:val="clear" w:color="auto" w:fill="CCEEFF"/>
            <w:vAlign w:val="bottom"/>
          </w:tcPr>
          <w:p w14:paraId="4268782F" w14:textId="77777777" w:rsidR="00D1587D" w:rsidRDefault="00410D07">
            <w:pPr>
              <w:rPr>
                <w:sz w:val="20"/>
                <w:szCs w:val="20"/>
              </w:rPr>
            </w:pPr>
            <w:r>
              <w:rPr>
                <w:rFonts w:ascii="Arial" w:eastAsia="Arial" w:hAnsi="Arial" w:cs="Arial"/>
                <w:w w:val="90"/>
                <w:sz w:val="18"/>
                <w:szCs w:val="18"/>
              </w:rPr>
              <w:t>7.50%</w:t>
            </w:r>
          </w:p>
        </w:tc>
        <w:tc>
          <w:tcPr>
            <w:tcW w:w="5400" w:type="dxa"/>
            <w:gridSpan w:val="2"/>
            <w:tcBorders>
              <w:bottom w:val="single" w:sz="8" w:space="0" w:color="CCEEFF"/>
            </w:tcBorders>
            <w:shd w:val="clear" w:color="auto" w:fill="CCEEFF"/>
            <w:vAlign w:val="bottom"/>
          </w:tcPr>
          <w:p w14:paraId="3CD7847B" w14:textId="77777777" w:rsidR="00D1587D" w:rsidRDefault="00410D07">
            <w:pPr>
              <w:ind w:left="20"/>
              <w:rPr>
                <w:sz w:val="20"/>
                <w:szCs w:val="20"/>
              </w:rPr>
            </w:pPr>
            <w:r>
              <w:rPr>
                <w:rFonts w:ascii="Arial" w:eastAsia="Arial" w:hAnsi="Arial" w:cs="Arial"/>
                <w:sz w:val="18"/>
                <w:szCs w:val="18"/>
              </w:rPr>
              <w:t>Fixed Interest Rate Notes due June 2029</w:t>
            </w:r>
          </w:p>
        </w:tc>
        <w:tc>
          <w:tcPr>
            <w:tcW w:w="2420" w:type="dxa"/>
            <w:gridSpan w:val="2"/>
            <w:tcBorders>
              <w:bottom w:val="single" w:sz="8" w:space="0" w:color="CCEEFF"/>
            </w:tcBorders>
            <w:shd w:val="clear" w:color="auto" w:fill="CCEEFF"/>
            <w:vAlign w:val="bottom"/>
          </w:tcPr>
          <w:p w14:paraId="3302419E" w14:textId="77777777" w:rsidR="00D1587D" w:rsidRDefault="00410D07">
            <w:pPr>
              <w:jc w:val="right"/>
              <w:rPr>
                <w:sz w:val="20"/>
                <w:szCs w:val="20"/>
              </w:rPr>
            </w:pPr>
            <w:r>
              <w:rPr>
                <w:rFonts w:ascii="Arial" w:eastAsia="Arial" w:hAnsi="Arial" w:cs="Arial"/>
                <w:sz w:val="18"/>
                <w:szCs w:val="18"/>
              </w:rPr>
              <w:t>500</w:t>
            </w:r>
          </w:p>
        </w:tc>
        <w:tc>
          <w:tcPr>
            <w:tcW w:w="120" w:type="dxa"/>
            <w:tcBorders>
              <w:bottom w:val="single" w:sz="8" w:space="0" w:color="CCEEFF"/>
            </w:tcBorders>
            <w:shd w:val="clear" w:color="auto" w:fill="CCEEFF"/>
            <w:vAlign w:val="bottom"/>
          </w:tcPr>
          <w:p w14:paraId="789C298E" w14:textId="77777777" w:rsidR="00D1587D" w:rsidRDefault="00D1587D">
            <w:pPr>
              <w:rPr>
                <w:sz w:val="24"/>
                <w:szCs w:val="24"/>
              </w:rPr>
            </w:pPr>
          </w:p>
        </w:tc>
      </w:tr>
      <w:tr w:rsidR="00D1587D" w14:paraId="69974489" w14:textId="77777777">
        <w:trPr>
          <w:trHeight w:val="270"/>
        </w:trPr>
        <w:tc>
          <w:tcPr>
            <w:tcW w:w="560" w:type="dxa"/>
            <w:gridSpan w:val="2"/>
            <w:vAlign w:val="bottom"/>
          </w:tcPr>
          <w:p w14:paraId="1F386815" w14:textId="77777777" w:rsidR="00D1587D" w:rsidRDefault="00410D07">
            <w:pPr>
              <w:rPr>
                <w:sz w:val="20"/>
                <w:szCs w:val="20"/>
              </w:rPr>
            </w:pPr>
            <w:r>
              <w:rPr>
                <w:rFonts w:ascii="Arial" w:eastAsia="Arial" w:hAnsi="Arial" w:cs="Arial"/>
                <w:w w:val="88"/>
                <w:sz w:val="18"/>
                <w:szCs w:val="18"/>
              </w:rPr>
              <w:t>6.625%</w:t>
            </w:r>
          </w:p>
        </w:tc>
        <w:tc>
          <w:tcPr>
            <w:tcW w:w="5320" w:type="dxa"/>
            <w:vAlign w:val="bottom"/>
          </w:tcPr>
          <w:p w14:paraId="51FDB70F" w14:textId="77777777" w:rsidR="00D1587D" w:rsidRDefault="00410D07">
            <w:pPr>
              <w:ind w:left="40"/>
              <w:rPr>
                <w:sz w:val="20"/>
                <w:szCs w:val="20"/>
              </w:rPr>
            </w:pPr>
            <w:r>
              <w:rPr>
                <w:rFonts w:ascii="Arial" w:eastAsia="Arial" w:hAnsi="Arial" w:cs="Arial"/>
                <w:sz w:val="18"/>
                <w:szCs w:val="18"/>
              </w:rPr>
              <w:t>Fixed Interest Rate Notes due October 2030</w:t>
            </w:r>
          </w:p>
        </w:tc>
        <w:tc>
          <w:tcPr>
            <w:tcW w:w="2420" w:type="dxa"/>
            <w:gridSpan w:val="2"/>
            <w:vAlign w:val="bottom"/>
          </w:tcPr>
          <w:p w14:paraId="0D649497" w14:textId="77777777" w:rsidR="00D1587D" w:rsidRDefault="00410D07">
            <w:pPr>
              <w:jc w:val="right"/>
              <w:rPr>
                <w:sz w:val="20"/>
                <w:szCs w:val="20"/>
              </w:rPr>
            </w:pPr>
            <w:r>
              <w:rPr>
                <w:rFonts w:ascii="Arial" w:eastAsia="Arial" w:hAnsi="Arial" w:cs="Arial"/>
                <w:sz w:val="18"/>
                <w:szCs w:val="18"/>
              </w:rPr>
              <w:t>1,000</w:t>
            </w:r>
          </w:p>
        </w:tc>
        <w:tc>
          <w:tcPr>
            <w:tcW w:w="120" w:type="dxa"/>
            <w:vAlign w:val="bottom"/>
          </w:tcPr>
          <w:p w14:paraId="66A52C09" w14:textId="77777777" w:rsidR="00D1587D" w:rsidRDefault="00D1587D">
            <w:pPr>
              <w:rPr>
                <w:sz w:val="23"/>
                <w:szCs w:val="23"/>
              </w:rPr>
            </w:pPr>
          </w:p>
        </w:tc>
      </w:tr>
      <w:tr w:rsidR="00D1587D" w14:paraId="1FE45E5C" w14:textId="77777777">
        <w:trPr>
          <w:trHeight w:val="54"/>
        </w:trPr>
        <w:tc>
          <w:tcPr>
            <w:tcW w:w="560" w:type="dxa"/>
            <w:gridSpan w:val="2"/>
            <w:vAlign w:val="bottom"/>
          </w:tcPr>
          <w:p w14:paraId="6B2D31DB" w14:textId="77777777" w:rsidR="00D1587D" w:rsidRDefault="00D1587D">
            <w:pPr>
              <w:rPr>
                <w:sz w:val="4"/>
                <w:szCs w:val="4"/>
              </w:rPr>
            </w:pPr>
          </w:p>
        </w:tc>
        <w:tc>
          <w:tcPr>
            <w:tcW w:w="5320" w:type="dxa"/>
            <w:vAlign w:val="bottom"/>
          </w:tcPr>
          <w:p w14:paraId="3FDE8297" w14:textId="77777777" w:rsidR="00D1587D" w:rsidRDefault="00D1587D">
            <w:pPr>
              <w:rPr>
                <w:sz w:val="4"/>
                <w:szCs w:val="4"/>
              </w:rPr>
            </w:pPr>
          </w:p>
        </w:tc>
        <w:tc>
          <w:tcPr>
            <w:tcW w:w="1920" w:type="dxa"/>
            <w:vAlign w:val="bottom"/>
          </w:tcPr>
          <w:p w14:paraId="5644A136" w14:textId="77777777" w:rsidR="00D1587D" w:rsidRDefault="00D1587D">
            <w:pPr>
              <w:rPr>
                <w:sz w:val="4"/>
                <w:szCs w:val="4"/>
              </w:rPr>
            </w:pPr>
          </w:p>
        </w:tc>
        <w:tc>
          <w:tcPr>
            <w:tcW w:w="500" w:type="dxa"/>
            <w:vAlign w:val="bottom"/>
          </w:tcPr>
          <w:p w14:paraId="21E983F6" w14:textId="77777777" w:rsidR="00D1587D" w:rsidRDefault="00D1587D">
            <w:pPr>
              <w:rPr>
                <w:sz w:val="4"/>
                <w:szCs w:val="4"/>
              </w:rPr>
            </w:pPr>
          </w:p>
        </w:tc>
        <w:tc>
          <w:tcPr>
            <w:tcW w:w="120" w:type="dxa"/>
            <w:vAlign w:val="bottom"/>
          </w:tcPr>
          <w:p w14:paraId="16784B10" w14:textId="77777777" w:rsidR="00D1587D" w:rsidRDefault="00D1587D">
            <w:pPr>
              <w:rPr>
                <w:sz w:val="4"/>
                <w:szCs w:val="4"/>
              </w:rPr>
            </w:pPr>
          </w:p>
        </w:tc>
      </w:tr>
      <w:tr w:rsidR="00D1587D" w14:paraId="493F34EF" w14:textId="77777777">
        <w:trPr>
          <w:trHeight w:val="304"/>
        </w:trPr>
        <w:tc>
          <w:tcPr>
            <w:tcW w:w="560" w:type="dxa"/>
            <w:gridSpan w:val="2"/>
            <w:tcBorders>
              <w:bottom w:val="single" w:sz="8" w:space="0" w:color="CCEEFF"/>
            </w:tcBorders>
            <w:shd w:val="clear" w:color="auto" w:fill="CCEEFF"/>
            <w:vAlign w:val="bottom"/>
          </w:tcPr>
          <w:p w14:paraId="1704B615" w14:textId="77777777" w:rsidR="00D1587D" w:rsidRDefault="00410D07">
            <w:pPr>
              <w:rPr>
                <w:sz w:val="20"/>
                <w:szCs w:val="20"/>
              </w:rPr>
            </w:pPr>
            <w:r>
              <w:rPr>
                <w:rFonts w:ascii="Arial" w:eastAsia="Arial" w:hAnsi="Arial" w:cs="Arial"/>
                <w:w w:val="88"/>
                <w:sz w:val="18"/>
                <w:szCs w:val="18"/>
              </w:rPr>
              <w:t>6.875%</w:t>
            </w:r>
          </w:p>
        </w:tc>
        <w:tc>
          <w:tcPr>
            <w:tcW w:w="5320" w:type="dxa"/>
            <w:tcBorders>
              <w:bottom w:val="single" w:sz="8" w:space="0" w:color="CCEEFF"/>
            </w:tcBorders>
            <w:shd w:val="clear" w:color="auto" w:fill="CCEEFF"/>
            <w:vAlign w:val="bottom"/>
          </w:tcPr>
          <w:p w14:paraId="2ACA021F" w14:textId="77777777" w:rsidR="00D1587D" w:rsidRDefault="00410D07">
            <w:pPr>
              <w:ind w:left="40"/>
              <w:rPr>
                <w:sz w:val="20"/>
                <w:szCs w:val="20"/>
              </w:rPr>
            </w:pPr>
            <w:r>
              <w:rPr>
                <w:rFonts w:ascii="Arial" w:eastAsia="Arial" w:hAnsi="Arial" w:cs="Arial"/>
                <w:sz w:val="18"/>
                <w:szCs w:val="18"/>
              </w:rPr>
              <w:t>Fixed Interest Rate Notes due November 2035</w:t>
            </w:r>
          </w:p>
        </w:tc>
        <w:tc>
          <w:tcPr>
            <w:tcW w:w="2420" w:type="dxa"/>
            <w:gridSpan w:val="2"/>
            <w:tcBorders>
              <w:bottom w:val="single" w:sz="8" w:space="0" w:color="CCEEFF"/>
            </w:tcBorders>
            <w:shd w:val="clear" w:color="auto" w:fill="CCEEFF"/>
            <w:vAlign w:val="bottom"/>
          </w:tcPr>
          <w:p w14:paraId="22C02579" w14:textId="77777777" w:rsidR="00D1587D" w:rsidRDefault="00410D07">
            <w:pPr>
              <w:jc w:val="right"/>
              <w:rPr>
                <w:sz w:val="20"/>
                <w:szCs w:val="20"/>
              </w:rPr>
            </w:pPr>
            <w:r>
              <w:rPr>
                <w:rFonts w:ascii="Arial" w:eastAsia="Arial" w:hAnsi="Arial" w:cs="Arial"/>
                <w:sz w:val="18"/>
                <w:szCs w:val="18"/>
              </w:rPr>
              <w:t>1,000</w:t>
            </w:r>
          </w:p>
        </w:tc>
        <w:tc>
          <w:tcPr>
            <w:tcW w:w="120" w:type="dxa"/>
            <w:tcBorders>
              <w:bottom w:val="single" w:sz="8" w:space="0" w:color="CCEEFF"/>
            </w:tcBorders>
            <w:shd w:val="clear" w:color="auto" w:fill="CCEEFF"/>
            <w:vAlign w:val="bottom"/>
          </w:tcPr>
          <w:p w14:paraId="406A4E00" w14:textId="77777777" w:rsidR="00D1587D" w:rsidRDefault="00D1587D">
            <w:pPr>
              <w:rPr>
                <w:sz w:val="24"/>
                <w:szCs w:val="24"/>
              </w:rPr>
            </w:pPr>
          </w:p>
        </w:tc>
      </w:tr>
      <w:tr w:rsidR="00D1587D" w14:paraId="6A48E8AF" w14:textId="77777777">
        <w:trPr>
          <w:trHeight w:val="257"/>
        </w:trPr>
        <w:tc>
          <w:tcPr>
            <w:tcW w:w="480" w:type="dxa"/>
            <w:vAlign w:val="bottom"/>
          </w:tcPr>
          <w:p w14:paraId="18DE93FC" w14:textId="77777777" w:rsidR="00D1587D" w:rsidRDefault="00410D07">
            <w:pPr>
              <w:rPr>
                <w:sz w:val="20"/>
                <w:szCs w:val="20"/>
              </w:rPr>
            </w:pPr>
            <w:r>
              <w:rPr>
                <w:rFonts w:ascii="Arial" w:eastAsia="Arial" w:hAnsi="Arial" w:cs="Arial"/>
                <w:w w:val="90"/>
                <w:sz w:val="18"/>
                <w:szCs w:val="18"/>
              </w:rPr>
              <w:t>6.75%</w:t>
            </w:r>
          </w:p>
        </w:tc>
        <w:tc>
          <w:tcPr>
            <w:tcW w:w="5400" w:type="dxa"/>
            <w:gridSpan w:val="2"/>
            <w:vAlign w:val="bottom"/>
          </w:tcPr>
          <w:p w14:paraId="2DDFF840" w14:textId="77777777" w:rsidR="00D1587D" w:rsidRDefault="00410D07">
            <w:pPr>
              <w:ind w:left="20"/>
              <w:rPr>
                <w:sz w:val="20"/>
                <w:szCs w:val="20"/>
              </w:rPr>
            </w:pPr>
            <w:r>
              <w:rPr>
                <w:rFonts w:ascii="Arial" w:eastAsia="Arial" w:hAnsi="Arial" w:cs="Arial"/>
                <w:sz w:val="18"/>
                <w:szCs w:val="18"/>
              </w:rPr>
              <w:t xml:space="preserve">Fixed Interest Rate </w:t>
            </w:r>
            <w:r>
              <w:rPr>
                <w:rFonts w:ascii="Arial" w:eastAsia="Arial" w:hAnsi="Arial" w:cs="Arial"/>
                <w:sz w:val="18"/>
                <w:szCs w:val="18"/>
              </w:rPr>
              <w:t>Notes due July 2036</w:t>
            </w:r>
          </w:p>
        </w:tc>
        <w:tc>
          <w:tcPr>
            <w:tcW w:w="2420" w:type="dxa"/>
            <w:gridSpan w:val="2"/>
            <w:vAlign w:val="bottom"/>
          </w:tcPr>
          <w:p w14:paraId="04437097" w14:textId="77777777" w:rsidR="00D1587D" w:rsidRDefault="00410D07">
            <w:pPr>
              <w:jc w:val="right"/>
              <w:rPr>
                <w:sz w:val="20"/>
                <w:szCs w:val="20"/>
              </w:rPr>
            </w:pPr>
            <w:r>
              <w:rPr>
                <w:rFonts w:ascii="Arial" w:eastAsia="Arial" w:hAnsi="Arial" w:cs="Arial"/>
                <w:sz w:val="18"/>
                <w:szCs w:val="18"/>
              </w:rPr>
              <w:t>700</w:t>
            </w:r>
          </w:p>
        </w:tc>
        <w:tc>
          <w:tcPr>
            <w:tcW w:w="120" w:type="dxa"/>
            <w:vAlign w:val="bottom"/>
          </w:tcPr>
          <w:p w14:paraId="2A431352" w14:textId="77777777" w:rsidR="00D1587D" w:rsidRDefault="00D1587D"/>
        </w:tc>
      </w:tr>
      <w:tr w:rsidR="00D1587D" w14:paraId="3F85913B" w14:textId="77777777">
        <w:trPr>
          <w:trHeight w:val="61"/>
        </w:trPr>
        <w:tc>
          <w:tcPr>
            <w:tcW w:w="480" w:type="dxa"/>
            <w:vAlign w:val="bottom"/>
          </w:tcPr>
          <w:p w14:paraId="0A136EC0" w14:textId="77777777" w:rsidR="00D1587D" w:rsidRDefault="00D1587D">
            <w:pPr>
              <w:rPr>
                <w:sz w:val="5"/>
                <w:szCs w:val="5"/>
              </w:rPr>
            </w:pPr>
          </w:p>
        </w:tc>
        <w:tc>
          <w:tcPr>
            <w:tcW w:w="80" w:type="dxa"/>
            <w:vAlign w:val="bottom"/>
          </w:tcPr>
          <w:p w14:paraId="268C61D1" w14:textId="77777777" w:rsidR="00D1587D" w:rsidRDefault="00D1587D">
            <w:pPr>
              <w:rPr>
                <w:sz w:val="5"/>
                <w:szCs w:val="5"/>
              </w:rPr>
            </w:pPr>
          </w:p>
        </w:tc>
        <w:tc>
          <w:tcPr>
            <w:tcW w:w="5320" w:type="dxa"/>
            <w:vAlign w:val="bottom"/>
          </w:tcPr>
          <w:p w14:paraId="72914CE4" w14:textId="77777777" w:rsidR="00D1587D" w:rsidRDefault="00D1587D">
            <w:pPr>
              <w:rPr>
                <w:sz w:val="5"/>
                <w:szCs w:val="5"/>
              </w:rPr>
            </w:pPr>
          </w:p>
        </w:tc>
        <w:tc>
          <w:tcPr>
            <w:tcW w:w="1920" w:type="dxa"/>
            <w:vAlign w:val="bottom"/>
          </w:tcPr>
          <w:p w14:paraId="4B3FA8FC" w14:textId="77777777" w:rsidR="00D1587D" w:rsidRDefault="00D1587D">
            <w:pPr>
              <w:rPr>
                <w:sz w:val="5"/>
                <w:szCs w:val="5"/>
              </w:rPr>
            </w:pPr>
          </w:p>
        </w:tc>
        <w:tc>
          <w:tcPr>
            <w:tcW w:w="500" w:type="dxa"/>
            <w:tcBorders>
              <w:top w:val="single" w:sz="8" w:space="0" w:color="auto"/>
            </w:tcBorders>
            <w:vAlign w:val="bottom"/>
          </w:tcPr>
          <w:p w14:paraId="6442A396" w14:textId="77777777" w:rsidR="00D1587D" w:rsidRDefault="00D1587D">
            <w:pPr>
              <w:rPr>
                <w:sz w:val="5"/>
                <w:szCs w:val="5"/>
              </w:rPr>
            </w:pPr>
          </w:p>
        </w:tc>
        <w:tc>
          <w:tcPr>
            <w:tcW w:w="120" w:type="dxa"/>
            <w:vAlign w:val="bottom"/>
          </w:tcPr>
          <w:p w14:paraId="6B8A9BBD" w14:textId="77777777" w:rsidR="00D1587D" w:rsidRDefault="00D1587D">
            <w:pPr>
              <w:rPr>
                <w:sz w:val="5"/>
                <w:szCs w:val="5"/>
              </w:rPr>
            </w:pPr>
          </w:p>
        </w:tc>
      </w:tr>
      <w:tr w:rsidR="00D1587D" w14:paraId="785AA102" w14:textId="77777777">
        <w:trPr>
          <w:trHeight w:val="318"/>
        </w:trPr>
        <w:tc>
          <w:tcPr>
            <w:tcW w:w="480" w:type="dxa"/>
            <w:tcBorders>
              <w:bottom w:val="single" w:sz="8" w:space="0" w:color="CCEEFF"/>
            </w:tcBorders>
            <w:shd w:val="clear" w:color="auto" w:fill="CCEEFF"/>
            <w:vAlign w:val="bottom"/>
          </w:tcPr>
          <w:p w14:paraId="022149BF" w14:textId="77777777" w:rsidR="00D1587D" w:rsidRDefault="00410D07">
            <w:pPr>
              <w:rPr>
                <w:sz w:val="20"/>
                <w:szCs w:val="20"/>
              </w:rPr>
            </w:pPr>
            <w:r>
              <w:rPr>
                <w:rFonts w:ascii="Arial" w:eastAsia="Arial" w:hAnsi="Arial" w:cs="Arial"/>
                <w:sz w:val="18"/>
                <w:szCs w:val="18"/>
              </w:rPr>
              <w:t>Total</w:t>
            </w:r>
          </w:p>
        </w:tc>
        <w:tc>
          <w:tcPr>
            <w:tcW w:w="80" w:type="dxa"/>
            <w:tcBorders>
              <w:bottom w:val="single" w:sz="8" w:space="0" w:color="CCEEFF"/>
            </w:tcBorders>
            <w:shd w:val="clear" w:color="auto" w:fill="CCEEFF"/>
            <w:vAlign w:val="bottom"/>
          </w:tcPr>
          <w:p w14:paraId="5216D889" w14:textId="77777777" w:rsidR="00D1587D" w:rsidRDefault="00D1587D">
            <w:pPr>
              <w:rPr>
                <w:sz w:val="24"/>
                <w:szCs w:val="24"/>
              </w:rPr>
            </w:pPr>
          </w:p>
        </w:tc>
        <w:tc>
          <w:tcPr>
            <w:tcW w:w="5320" w:type="dxa"/>
            <w:tcBorders>
              <w:bottom w:val="single" w:sz="8" w:space="0" w:color="CCEEFF"/>
            </w:tcBorders>
            <w:shd w:val="clear" w:color="auto" w:fill="CCEEFF"/>
            <w:vAlign w:val="bottom"/>
          </w:tcPr>
          <w:p w14:paraId="517DE9CB" w14:textId="77777777" w:rsidR="00D1587D" w:rsidRDefault="00D1587D">
            <w:pPr>
              <w:rPr>
                <w:sz w:val="24"/>
                <w:szCs w:val="24"/>
              </w:rPr>
            </w:pPr>
          </w:p>
        </w:tc>
        <w:tc>
          <w:tcPr>
            <w:tcW w:w="1920" w:type="dxa"/>
            <w:tcBorders>
              <w:bottom w:val="single" w:sz="8" w:space="0" w:color="CCEEFF"/>
            </w:tcBorders>
            <w:shd w:val="clear" w:color="auto" w:fill="CCEEFF"/>
            <w:vAlign w:val="bottom"/>
          </w:tcPr>
          <w:p w14:paraId="667F0269" w14:textId="77777777" w:rsidR="00D1587D" w:rsidRDefault="00D1587D">
            <w:pPr>
              <w:rPr>
                <w:sz w:val="24"/>
                <w:szCs w:val="24"/>
              </w:rPr>
            </w:pPr>
          </w:p>
        </w:tc>
        <w:tc>
          <w:tcPr>
            <w:tcW w:w="500" w:type="dxa"/>
            <w:tcBorders>
              <w:bottom w:val="single" w:sz="8" w:space="0" w:color="auto"/>
            </w:tcBorders>
            <w:shd w:val="clear" w:color="auto" w:fill="CCEEFF"/>
            <w:vAlign w:val="bottom"/>
          </w:tcPr>
          <w:p w14:paraId="318C650A" w14:textId="77777777" w:rsidR="00D1587D" w:rsidRDefault="00410D07">
            <w:pPr>
              <w:jc w:val="center"/>
              <w:rPr>
                <w:sz w:val="20"/>
                <w:szCs w:val="20"/>
              </w:rPr>
            </w:pPr>
            <w:r>
              <w:rPr>
                <w:rFonts w:ascii="Arial" w:eastAsia="Arial" w:hAnsi="Arial" w:cs="Arial"/>
                <w:w w:val="90"/>
                <w:sz w:val="18"/>
                <w:szCs w:val="18"/>
                <w:u w:val="single"/>
              </w:rPr>
              <w:t>$</w:t>
            </w:r>
            <w:r>
              <w:rPr>
                <w:rFonts w:ascii="Arial" w:eastAsia="Arial" w:hAnsi="Arial" w:cs="Arial"/>
                <w:w w:val="90"/>
                <w:sz w:val="18"/>
                <w:szCs w:val="18"/>
              </w:rPr>
              <w:t>5,852</w:t>
            </w:r>
          </w:p>
        </w:tc>
        <w:tc>
          <w:tcPr>
            <w:tcW w:w="120" w:type="dxa"/>
            <w:tcBorders>
              <w:bottom w:val="single" w:sz="8" w:space="0" w:color="CCEEFF"/>
            </w:tcBorders>
            <w:shd w:val="clear" w:color="auto" w:fill="CCEEFF"/>
            <w:vAlign w:val="bottom"/>
          </w:tcPr>
          <w:p w14:paraId="720D03E0" w14:textId="77777777" w:rsidR="00D1587D" w:rsidRDefault="00D1587D">
            <w:pPr>
              <w:rPr>
                <w:sz w:val="24"/>
                <w:szCs w:val="24"/>
              </w:rPr>
            </w:pPr>
          </w:p>
        </w:tc>
      </w:tr>
    </w:tbl>
    <w:p w14:paraId="47DFB4A6" w14:textId="77777777" w:rsidR="00D1587D" w:rsidRDefault="00D1587D">
      <w:pPr>
        <w:spacing w:line="94" w:lineRule="exact"/>
        <w:rPr>
          <w:sz w:val="20"/>
          <w:szCs w:val="20"/>
        </w:rPr>
      </w:pPr>
    </w:p>
    <w:p w14:paraId="6C2225EF" w14:textId="77777777" w:rsidR="00D1587D" w:rsidRDefault="00410D07">
      <w:pPr>
        <w:spacing w:line="311" w:lineRule="auto"/>
        <w:ind w:left="300" w:right="359" w:firstLine="360"/>
        <w:rPr>
          <w:sz w:val="20"/>
          <w:szCs w:val="20"/>
        </w:rPr>
      </w:pPr>
      <w:r>
        <w:rPr>
          <w:rFonts w:ascii="Arial" w:eastAsia="Arial" w:hAnsi="Arial" w:cs="Arial"/>
          <w:sz w:val="16"/>
          <w:szCs w:val="16"/>
        </w:rPr>
        <w:t xml:space="preserve">The Company’s guarantees of obligations under L Brands’ long-term notes are expected to terminate concurrently with the separation of the Company from L Brands, subject to standard notice </w:t>
      </w:r>
      <w:r>
        <w:rPr>
          <w:rFonts w:ascii="Arial" w:eastAsia="Arial" w:hAnsi="Arial" w:cs="Arial"/>
          <w:sz w:val="16"/>
          <w:szCs w:val="16"/>
        </w:rPr>
        <w:t>provisions to the trustee. The Company’s guarantees of obligations under the ABL Facility may be released upon consent of the lenders.</w:t>
      </w:r>
    </w:p>
    <w:p w14:paraId="751635A9" w14:textId="77777777" w:rsidR="00D1587D" w:rsidRDefault="00D1587D">
      <w:pPr>
        <w:spacing w:line="41" w:lineRule="exact"/>
        <w:rPr>
          <w:sz w:val="20"/>
          <w:szCs w:val="20"/>
        </w:rPr>
      </w:pPr>
    </w:p>
    <w:p w14:paraId="70158DB3" w14:textId="77777777" w:rsidR="00D1587D" w:rsidRDefault="00410D07">
      <w:pPr>
        <w:spacing w:line="277" w:lineRule="auto"/>
        <w:ind w:left="300" w:right="399" w:firstLine="360"/>
        <w:rPr>
          <w:sz w:val="20"/>
          <w:szCs w:val="20"/>
        </w:rPr>
      </w:pPr>
      <w:r>
        <w:rPr>
          <w:rFonts w:ascii="Arial" w:eastAsia="Arial" w:hAnsi="Arial" w:cs="Arial"/>
          <w:sz w:val="18"/>
          <w:szCs w:val="18"/>
        </w:rPr>
        <w:t>Subsequent to January 30, 2021, L Brands, Inc. redeemed the remaining $285 million of outstanding notes due February 202</w:t>
      </w:r>
      <w:r>
        <w:rPr>
          <w:rFonts w:ascii="Arial" w:eastAsia="Arial" w:hAnsi="Arial" w:cs="Arial"/>
          <w:sz w:val="18"/>
          <w:szCs w:val="18"/>
        </w:rPr>
        <w:t>2, and the $750 million of outstanding Secured notes due July 2025.</w:t>
      </w:r>
    </w:p>
    <w:p w14:paraId="05EA0F3B" w14:textId="77777777" w:rsidR="00D1587D" w:rsidRDefault="00D1587D">
      <w:pPr>
        <w:spacing w:line="170" w:lineRule="exact"/>
        <w:rPr>
          <w:sz w:val="20"/>
          <w:szCs w:val="20"/>
        </w:rPr>
      </w:pPr>
    </w:p>
    <w:p w14:paraId="7F570001" w14:textId="77777777" w:rsidR="00D1587D" w:rsidRDefault="00410D07">
      <w:pPr>
        <w:ind w:left="300"/>
        <w:rPr>
          <w:sz w:val="20"/>
          <w:szCs w:val="20"/>
        </w:rPr>
      </w:pPr>
      <w:r>
        <w:rPr>
          <w:rFonts w:ascii="Arial" w:eastAsia="Arial" w:hAnsi="Arial" w:cs="Arial"/>
          <w:b/>
          <w:bCs/>
          <w:i/>
          <w:iCs/>
          <w:sz w:val="18"/>
          <w:szCs w:val="18"/>
        </w:rPr>
        <w:t>L Brands, Inc. Guarantees</w:t>
      </w:r>
    </w:p>
    <w:p w14:paraId="47A821B2" w14:textId="77777777" w:rsidR="00D1587D" w:rsidRDefault="00D1587D">
      <w:pPr>
        <w:spacing w:line="131" w:lineRule="exact"/>
        <w:rPr>
          <w:sz w:val="20"/>
          <w:szCs w:val="20"/>
        </w:rPr>
      </w:pPr>
    </w:p>
    <w:p w14:paraId="182182E8" w14:textId="77777777" w:rsidR="00D1587D" w:rsidRDefault="00410D07">
      <w:pPr>
        <w:ind w:left="660"/>
        <w:rPr>
          <w:sz w:val="20"/>
          <w:szCs w:val="20"/>
        </w:rPr>
      </w:pPr>
      <w:r>
        <w:rPr>
          <w:rFonts w:ascii="Arial" w:eastAsia="Arial" w:hAnsi="Arial" w:cs="Arial"/>
          <w:i/>
          <w:iCs/>
          <w:sz w:val="18"/>
          <w:szCs w:val="18"/>
        </w:rPr>
        <w:t>Lease Arrangements</w:t>
      </w:r>
    </w:p>
    <w:p w14:paraId="58A7BE92" w14:textId="77777777" w:rsidR="00D1587D" w:rsidRDefault="00D1587D">
      <w:pPr>
        <w:spacing w:line="117" w:lineRule="exact"/>
        <w:rPr>
          <w:sz w:val="20"/>
          <w:szCs w:val="20"/>
        </w:rPr>
      </w:pPr>
    </w:p>
    <w:p w14:paraId="3646BB09" w14:textId="77777777" w:rsidR="00D1587D" w:rsidRDefault="00410D07">
      <w:pPr>
        <w:spacing w:line="311" w:lineRule="auto"/>
        <w:ind w:left="300" w:right="579" w:firstLine="360"/>
        <w:jc w:val="both"/>
        <w:rPr>
          <w:sz w:val="20"/>
          <w:szCs w:val="20"/>
        </w:rPr>
      </w:pPr>
      <w:r>
        <w:rPr>
          <w:rFonts w:ascii="Arial" w:eastAsia="Arial" w:hAnsi="Arial" w:cs="Arial"/>
          <w:sz w:val="16"/>
          <w:szCs w:val="16"/>
        </w:rPr>
        <w:t xml:space="preserve">L Brands, Inc. has provided guarantees related to certain of the Company’s store and office lease payments under the current terms of </w:t>
      </w:r>
      <w:r>
        <w:rPr>
          <w:rFonts w:ascii="Arial" w:eastAsia="Arial" w:hAnsi="Arial" w:cs="Arial"/>
          <w:sz w:val="16"/>
          <w:szCs w:val="16"/>
        </w:rPr>
        <w:t>noncancelable leases expiring at various dates through 2037. These guarantees include minimum rent and additional payments covering taxes, common area costs and certain other expenses.</w:t>
      </w:r>
    </w:p>
    <w:p w14:paraId="5282137F" w14:textId="77777777" w:rsidR="00D1587D" w:rsidRDefault="00D1587D">
      <w:pPr>
        <w:spacing w:line="149" w:lineRule="exact"/>
        <w:rPr>
          <w:sz w:val="20"/>
          <w:szCs w:val="20"/>
        </w:rPr>
      </w:pPr>
    </w:p>
    <w:p w14:paraId="6332D70F" w14:textId="77777777" w:rsidR="00D1587D" w:rsidRDefault="00410D07">
      <w:pPr>
        <w:ind w:left="660"/>
        <w:rPr>
          <w:sz w:val="20"/>
          <w:szCs w:val="20"/>
        </w:rPr>
      </w:pPr>
      <w:r>
        <w:rPr>
          <w:rFonts w:ascii="Arial" w:eastAsia="Arial" w:hAnsi="Arial" w:cs="Arial"/>
          <w:i/>
          <w:iCs/>
          <w:sz w:val="18"/>
          <w:szCs w:val="18"/>
        </w:rPr>
        <w:t>Secured Foreign Facilities</w:t>
      </w:r>
    </w:p>
    <w:p w14:paraId="3071582E" w14:textId="77777777" w:rsidR="00D1587D" w:rsidRDefault="00D1587D">
      <w:pPr>
        <w:spacing w:line="117" w:lineRule="exact"/>
        <w:rPr>
          <w:sz w:val="20"/>
          <w:szCs w:val="20"/>
        </w:rPr>
      </w:pPr>
    </w:p>
    <w:p w14:paraId="0750AE9D" w14:textId="77777777" w:rsidR="00D1587D" w:rsidRDefault="00410D07">
      <w:pPr>
        <w:spacing w:line="311" w:lineRule="auto"/>
        <w:ind w:left="300" w:right="639" w:firstLine="360"/>
        <w:jc w:val="both"/>
        <w:rPr>
          <w:sz w:val="20"/>
          <w:szCs w:val="20"/>
        </w:rPr>
      </w:pPr>
      <w:r>
        <w:rPr>
          <w:rFonts w:ascii="Arial" w:eastAsia="Arial" w:hAnsi="Arial" w:cs="Arial"/>
          <w:sz w:val="16"/>
          <w:szCs w:val="16"/>
        </w:rPr>
        <w:t>Certain of the Company’s China subsidiarie</w:t>
      </w:r>
      <w:r>
        <w:rPr>
          <w:rFonts w:ascii="Arial" w:eastAsia="Arial" w:hAnsi="Arial" w:cs="Arial"/>
          <w:sz w:val="16"/>
          <w:szCs w:val="16"/>
        </w:rPr>
        <w:t>s utilize revolving and term loan bank facilities to support their operations. These facilities are guaranteed by L Brands, Inc. and certain of L Brands’ 100% owned subsidiaries (“Secured Foreign Facilities”). As of January 30, 2021, there were no outstand</w:t>
      </w:r>
      <w:r>
        <w:rPr>
          <w:rFonts w:ascii="Arial" w:eastAsia="Arial" w:hAnsi="Arial" w:cs="Arial"/>
          <w:sz w:val="16"/>
          <w:szCs w:val="16"/>
        </w:rPr>
        <w:t>ing borrowings under the Secured</w:t>
      </w:r>
    </w:p>
    <w:p w14:paraId="3D475E9B" w14:textId="77777777" w:rsidR="00D1587D" w:rsidRDefault="00D1587D">
      <w:pPr>
        <w:spacing w:line="149" w:lineRule="exact"/>
        <w:rPr>
          <w:sz w:val="20"/>
          <w:szCs w:val="20"/>
        </w:rPr>
      </w:pPr>
    </w:p>
    <w:p w14:paraId="7605222B" w14:textId="77777777" w:rsidR="00D1587D" w:rsidRDefault="00410D07">
      <w:pPr>
        <w:jc w:val="center"/>
        <w:rPr>
          <w:sz w:val="20"/>
          <w:szCs w:val="20"/>
        </w:rPr>
      </w:pPr>
      <w:r>
        <w:rPr>
          <w:rFonts w:ascii="Arial" w:eastAsia="Arial" w:hAnsi="Arial" w:cs="Arial"/>
          <w:sz w:val="18"/>
          <w:szCs w:val="18"/>
        </w:rPr>
        <w:t>F-17</w:t>
      </w:r>
    </w:p>
    <w:p w14:paraId="3DFCBEDC" w14:textId="77777777" w:rsidR="00D1587D" w:rsidRDefault="00410D07">
      <w:pPr>
        <w:spacing w:line="20" w:lineRule="exact"/>
        <w:rPr>
          <w:sz w:val="20"/>
          <w:szCs w:val="20"/>
        </w:rPr>
      </w:pPr>
      <w:r>
        <w:rPr>
          <w:noProof/>
          <w:sz w:val="20"/>
          <w:szCs w:val="20"/>
        </w:rPr>
        <w:drawing>
          <wp:anchor distT="0" distB="0" distL="114300" distR="114300" simplePos="0" relativeHeight="252075008" behindDoc="1" locked="0" layoutInCell="0" allowOverlap="1" wp14:anchorId="6CC8B29C" wp14:editId="6A790C25">
            <wp:simplePos x="0" y="0"/>
            <wp:positionH relativeFrom="column">
              <wp:posOffset>-636905</wp:posOffset>
            </wp:positionH>
            <wp:positionV relativeFrom="paragraph">
              <wp:posOffset>134620</wp:posOffset>
            </wp:positionV>
            <wp:extent cx="6995160" cy="17145"/>
            <wp:effectExtent l="0" t="0" r="0" b="0"/>
            <wp:wrapNone/>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432E5D9" w14:textId="77777777" w:rsidR="00D1587D" w:rsidRDefault="00D1587D">
      <w:pPr>
        <w:sectPr w:rsidR="00D1587D">
          <w:pgSz w:w="11900" w:h="16838"/>
          <w:pgMar w:top="265" w:right="1440" w:bottom="1440" w:left="1440" w:header="0" w:footer="0" w:gutter="0"/>
          <w:cols w:space="720" w:equalWidth="0">
            <w:col w:w="9019"/>
          </w:cols>
        </w:sectPr>
      </w:pPr>
    </w:p>
    <w:bookmarkStart w:id="413" w:name="page414"/>
    <w:bookmarkEnd w:id="413"/>
    <w:p w14:paraId="4FA88D33"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03DAF6D" w14:textId="77777777" w:rsidR="00D1587D" w:rsidRDefault="00D1587D">
      <w:pPr>
        <w:spacing w:line="131" w:lineRule="exact"/>
        <w:rPr>
          <w:sz w:val="20"/>
          <w:szCs w:val="20"/>
        </w:rPr>
      </w:pPr>
    </w:p>
    <w:p w14:paraId="297FB088" w14:textId="77777777" w:rsidR="00D1587D" w:rsidRDefault="00410D07">
      <w:pPr>
        <w:spacing w:line="263" w:lineRule="auto"/>
        <w:ind w:left="300" w:right="479"/>
        <w:jc w:val="both"/>
        <w:rPr>
          <w:sz w:val="20"/>
          <w:szCs w:val="20"/>
        </w:rPr>
      </w:pPr>
      <w:r>
        <w:rPr>
          <w:rFonts w:ascii="Arial" w:eastAsia="Arial" w:hAnsi="Arial" w:cs="Arial"/>
          <w:sz w:val="18"/>
          <w:szCs w:val="18"/>
        </w:rPr>
        <w:t>Foreign Facilities. Further, during 2020, L Brands, Inc. placed cash on deposit with certain financial institutions as collateral for the Secured Fore</w:t>
      </w:r>
      <w:r>
        <w:rPr>
          <w:rFonts w:ascii="Arial" w:eastAsia="Arial" w:hAnsi="Arial" w:cs="Arial"/>
          <w:sz w:val="18"/>
          <w:szCs w:val="18"/>
        </w:rPr>
        <w:t>ign Facilities. The amount of collateral required was dependent upon the aggregate lending commitments and totaled $30 million as of January 30, 2021.</w:t>
      </w:r>
    </w:p>
    <w:p w14:paraId="22A41345" w14:textId="77777777" w:rsidR="00D1587D" w:rsidRDefault="00D1587D">
      <w:pPr>
        <w:spacing w:line="220" w:lineRule="exact"/>
        <w:rPr>
          <w:sz w:val="20"/>
          <w:szCs w:val="20"/>
        </w:rPr>
      </w:pPr>
    </w:p>
    <w:p w14:paraId="0B840AF2" w14:textId="77777777" w:rsidR="00D1587D" w:rsidRDefault="00410D07">
      <w:pPr>
        <w:ind w:left="300"/>
        <w:rPr>
          <w:sz w:val="20"/>
          <w:szCs w:val="20"/>
        </w:rPr>
      </w:pPr>
      <w:r>
        <w:rPr>
          <w:rFonts w:ascii="Arial" w:eastAsia="Arial" w:hAnsi="Arial" w:cs="Arial"/>
          <w:b/>
          <w:bCs/>
          <w:sz w:val="18"/>
          <w:szCs w:val="18"/>
        </w:rPr>
        <w:t>4. Revenue Recognition</w:t>
      </w:r>
    </w:p>
    <w:p w14:paraId="63A4A753" w14:textId="77777777" w:rsidR="00D1587D" w:rsidRDefault="00D1587D">
      <w:pPr>
        <w:spacing w:line="121" w:lineRule="exact"/>
        <w:rPr>
          <w:sz w:val="20"/>
          <w:szCs w:val="20"/>
        </w:rPr>
      </w:pPr>
    </w:p>
    <w:p w14:paraId="3EB40AF2" w14:textId="77777777" w:rsidR="00D1587D" w:rsidRDefault="00410D07">
      <w:pPr>
        <w:spacing w:line="311" w:lineRule="auto"/>
        <w:ind w:left="300" w:right="319" w:firstLine="360"/>
        <w:rPr>
          <w:sz w:val="20"/>
          <w:szCs w:val="20"/>
        </w:rPr>
      </w:pPr>
      <w:r>
        <w:rPr>
          <w:rFonts w:ascii="Arial" w:eastAsia="Arial" w:hAnsi="Arial" w:cs="Arial"/>
          <w:sz w:val="16"/>
          <w:szCs w:val="16"/>
        </w:rPr>
        <w:t xml:space="preserve">Accounts receivable, net from revenue-generating activities was $74 </w:t>
      </w:r>
      <w:r>
        <w:rPr>
          <w:rFonts w:ascii="Arial" w:eastAsia="Arial" w:hAnsi="Arial" w:cs="Arial"/>
          <w:sz w:val="16"/>
          <w:szCs w:val="16"/>
        </w:rPr>
        <w:t>million and $102 million as of January 30, 2021 and February 1, 2020, respectively. Accounts receivable primarily relate to amounts due from the Company’s franchise, license and wholesale partners. Under these arrangements, payment terms are typically 60 t</w:t>
      </w:r>
      <w:r>
        <w:rPr>
          <w:rFonts w:ascii="Arial" w:eastAsia="Arial" w:hAnsi="Arial" w:cs="Arial"/>
          <w:sz w:val="16"/>
          <w:szCs w:val="16"/>
        </w:rPr>
        <w:t>o 90 days.</w:t>
      </w:r>
    </w:p>
    <w:p w14:paraId="1C14C00E" w14:textId="77777777" w:rsidR="00D1587D" w:rsidRDefault="00D1587D">
      <w:pPr>
        <w:spacing w:line="41" w:lineRule="exact"/>
        <w:rPr>
          <w:sz w:val="20"/>
          <w:szCs w:val="20"/>
        </w:rPr>
      </w:pPr>
    </w:p>
    <w:p w14:paraId="6318A044" w14:textId="77777777" w:rsidR="00D1587D" w:rsidRDefault="00410D07">
      <w:pPr>
        <w:spacing w:line="291" w:lineRule="auto"/>
        <w:ind w:left="300" w:right="319" w:firstLine="360"/>
        <w:rPr>
          <w:sz w:val="20"/>
          <w:szCs w:val="20"/>
        </w:rPr>
      </w:pPr>
      <w:r>
        <w:rPr>
          <w:rFonts w:ascii="Arial" w:eastAsia="Arial" w:hAnsi="Arial" w:cs="Arial"/>
          <w:sz w:val="16"/>
          <w:szCs w:val="16"/>
        </w:rPr>
        <w:t xml:space="preserve">The Company records deferred revenue when cash payments are received in advance of transfer of control of goods or services. Deferred revenue primarily relates to gift cards, loyalty and private label credit card programs and direct </w:t>
      </w:r>
      <w:r>
        <w:rPr>
          <w:rFonts w:ascii="Arial" w:eastAsia="Arial" w:hAnsi="Arial" w:cs="Arial"/>
          <w:sz w:val="16"/>
          <w:szCs w:val="16"/>
        </w:rPr>
        <w:t>channel shipments, which are all impacted by seasonal and holiday-related sales patterns. The balance of deferred revenue was $256 million and $250 million as of January 30, 2021 and February 1, 2020, respectively. The Company recognized $137 million as re</w:t>
      </w:r>
      <w:r>
        <w:rPr>
          <w:rFonts w:ascii="Arial" w:eastAsia="Arial" w:hAnsi="Arial" w:cs="Arial"/>
          <w:sz w:val="16"/>
          <w:szCs w:val="16"/>
        </w:rPr>
        <w:t>venue in 2020 from amounts recorded as deferred revenue at the beginning of the year. As of January 30, 2021, the Company recorded deferred revenues of $246 million within Accrued Expenses and Other, and $10 million within Other Long-term Liabilities on th</w:t>
      </w:r>
      <w:r>
        <w:rPr>
          <w:rFonts w:ascii="Arial" w:eastAsia="Arial" w:hAnsi="Arial" w:cs="Arial"/>
          <w:sz w:val="16"/>
          <w:szCs w:val="16"/>
        </w:rPr>
        <w:t>e Combined Balance Sheet.</w:t>
      </w:r>
    </w:p>
    <w:p w14:paraId="42C93FF9" w14:textId="77777777" w:rsidR="00D1587D" w:rsidRDefault="00D1587D">
      <w:pPr>
        <w:spacing w:line="99" w:lineRule="exact"/>
        <w:rPr>
          <w:sz w:val="20"/>
          <w:szCs w:val="20"/>
        </w:rPr>
      </w:pPr>
    </w:p>
    <w:p w14:paraId="3DA8032E" w14:textId="77777777" w:rsidR="00D1587D" w:rsidRDefault="00410D07">
      <w:pPr>
        <w:ind w:left="660"/>
        <w:rPr>
          <w:sz w:val="20"/>
          <w:szCs w:val="20"/>
        </w:rPr>
      </w:pPr>
      <w:r>
        <w:rPr>
          <w:rFonts w:ascii="Arial" w:eastAsia="Arial" w:hAnsi="Arial" w:cs="Arial"/>
          <w:sz w:val="18"/>
          <w:szCs w:val="18"/>
        </w:rPr>
        <w:t>The following table provides a disaggregation of Net Sales for 2020, 2019 and 2018:</w:t>
      </w:r>
    </w:p>
    <w:p w14:paraId="718EDFBD" w14:textId="77777777" w:rsidR="00D1587D" w:rsidRDefault="00D1587D">
      <w:pPr>
        <w:spacing w:line="176"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1280"/>
        <w:gridCol w:w="5280"/>
        <w:gridCol w:w="80"/>
        <w:gridCol w:w="500"/>
        <w:gridCol w:w="140"/>
        <w:gridCol w:w="500"/>
        <w:gridCol w:w="140"/>
        <w:gridCol w:w="500"/>
      </w:tblGrid>
      <w:tr w:rsidR="00D1587D" w14:paraId="15969EEB" w14:textId="77777777">
        <w:trPr>
          <w:trHeight w:val="186"/>
        </w:trPr>
        <w:tc>
          <w:tcPr>
            <w:tcW w:w="1280" w:type="dxa"/>
            <w:vAlign w:val="bottom"/>
          </w:tcPr>
          <w:p w14:paraId="112A424F" w14:textId="77777777" w:rsidR="00D1587D" w:rsidRDefault="00D1587D">
            <w:pPr>
              <w:rPr>
                <w:sz w:val="16"/>
                <w:szCs w:val="16"/>
              </w:rPr>
            </w:pPr>
          </w:p>
        </w:tc>
        <w:tc>
          <w:tcPr>
            <w:tcW w:w="5280" w:type="dxa"/>
            <w:vAlign w:val="bottom"/>
          </w:tcPr>
          <w:p w14:paraId="1D3E92DD" w14:textId="77777777" w:rsidR="00D1587D" w:rsidRDefault="00D1587D">
            <w:pPr>
              <w:rPr>
                <w:sz w:val="16"/>
                <w:szCs w:val="16"/>
              </w:rPr>
            </w:pPr>
          </w:p>
        </w:tc>
        <w:tc>
          <w:tcPr>
            <w:tcW w:w="80" w:type="dxa"/>
            <w:vAlign w:val="bottom"/>
          </w:tcPr>
          <w:p w14:paraId="0494EAAD" w14:textId="77777777" w:rsidR="00D1587D" w:rsidRDefault="00D1587D">
            <w:pPr>
              <w:rPr>
                <w:sz w:val="16"/>
                <w:szCs w:val="16"/>
              </w:rPr>
            </w:pPr>
          </w:p>
        </w:tc>
        <w:tc>
          <w:tcPr>
            <w:tcW w:w="500" w:type="dxa"/>
            <w:vAlign w:val="bottom"/>
          </w:tcPr>
          <w:p w14:paraId="5FFB9FC6" w14:textId="77777777" w:rsidR="00D1587D" w:rsidRDefault="00410D07">
            <w:pPr>
              <w:ind w:right="14"/>
              <w:jc w:val="right"/>
              <w:rPr>
                <w:sz w:val="20"/>
                <w:szCs w:val="20"/>
              </w:rPr>
            </w:pPr>
            <w:r>
              <w:rPr>
                <w:rFonts w:ascii="Arial" w:eastAsia="Arial" w:hAnsi="Arial" w:cs="Arial"/>
                <w:b/>
                <w:bCs/>
                <w:sz w:val="14"/>
                <w:szCs w:val="14"/>
              </w:rPr>
              <w:t>2020</w:t>
            </w:r>
          </w:p>
        </w:tc>
        <w:tc>
          <w:tcPr>
            <w:tcW w:w="640" w:type="dxa"/>
            <w:gridSpan w:val="2"/>
            <w:vAlign w:val="bottom"/>
          </w:tcPr>
          <w:p w14:paraId="532D6038" w14:textId="77777777" w:rsidR="00D1587D" w:rsidRDefault="00410D07">
            <w:pPr>
              <w:ind w:right="10"/>
              <w:jc w:val="right"/>
              <w:rPr>
                <w:sz w:val="20"/>
                <w:szCs w:val="20"/>
              </w:rPr>
            </w:pPr>
            <w:r>
              <w:rPr>
                <w:rFonts w:ascii="Arial" w:eastAsia="Arial" w:hAnsi="Arial" w:cs="Arial"/>
                <w:b/>
                <w:bCs/>
                <w:sz w:val="14"/>
                <w:szCs w:val="14"/>
              </w:rPr>
              <w:t>2019</w:t>
            </w:r>
          </w:p>
        </w:tc>
        <w:tc>
          <w:tcPr>
            <w:tcW w:w="140" w:type="dxa"/>
            <w:vAlign w:val="bottom"/>
          </w:tcPr>
          <w:p w14:paraId="0ED136C3" w14:textId="77777777" w:rsidR="00D1587D" w:rsidRDefault="00D1587D">
            <w:pPr>
              <w:rPr>
                <w:sz w:val="16"/>
                <w:szCs w:val="16"/>
              </w:rPr>
            </w:pPr>
          </w:p>
        </w:tc>
        <w:tc>
          <w:tcPr>
            <w:tcW w:w="500" w:type="dxa"/>
            <w:vAlign w:val="bottom"/>
          </w:tcPr>
          <w:p w14:paraId="0B2E9855" w14:textId="77777777" w:rsidR="00D1587D" w:rsidRDefault="00410D07">
            <w:pPr>
              <w:jc w:val="center"/>
              <w:rPr>
                <w:sz w:val="20"/>
                <w:szCs w:val="20"/>
              </w:rPr>
            </w:pPr>
            <w:r>
              <w:rPr>
                <w:rFonts w:ascii="Arial" w:eastAsia="Arial" w:hAnsi="Arial" w:cs="Arial"/>
                <w:b/>
                <w:bCs/>
                <w:w w:val="96"/>
                <w:sz w:val="14"/>
                <w:szCs w:val="14"/>
              </w:rPr>
              <w:t>2018</w:t>
            </w:r>
          </w:p>
        </w:tc>
      </w:tr>
      <w:tr w:rsidR="00D1587D" w14:paraId="6C08F58F" w14:textId="77777777">
        <w:trPr>
          <w:trHeight w:val="53"/>
        </w:trPr>
        <w:tc>
          <w:tcPr>
            <w:tcW w:w="1280" w:type="dxa"/>
            <w:vAlign w:val="bottom"/>
          </w:tcPr>
          <w:p w14:paraId="4E5B4D06" w14:textId="77777777" w:rsidR="00D1587D" w:rsidRDefault="00D1587D">
            <w:pPr>
              <w:rPr>
                <w:sz w:val="4"/>
                <w:szCs w:val="4"/>
              </w:rPr>
            </w:pPr>
          </w:p>
        </w:tc>
        <w:tc>
          <w:tcPr>
            <w:tcW w:w="5280" w:type="dxa"/>
            <w:vAlign w:val="bottom"/>
          </w:tcPr>
          <w:p w14:paraId="1FA6CD1A" w14:textId="77777777" w:rsidR="00D1587D" w:rsidRDefault="00D1587D">
            <w:pPr>
              <w:rPr>
                <w:sz w:val="4"/>
                <w:szCs w:val="4"/>
              </w:rPr>
            </w:pPr>
          </w:p>
        </w:tc>
        <w:tc>
          <w:tcPr>
            <w:tcW w:w="80" w:type="dxa"/>
            <w:vAlign w:val="bottom"/>
          </w:tcPr>
          <w:p w14:paraId="5D1723D4" w14:textId="77777777" w:rsidR="00D1587D" w:rsidRDefault="00D1587D">
            <w:pPr>
              <w:rPr>
                <w:sz w:val="4"/>
                <w:szCs w:val="4"/>
              </w:rPr>
            </w:pPr>
          </w:p>
        </w:tc>
        <w:tc>
          <w:tcPr>
            <w:tcW w:w="500" w:type="dxa"/>
            <w:tcBorders>
              <w:bottom w:val="single" w:sz="8" w:space="0" w:color="auto"/>
            </w:tcBorders>
            <w:vAlign w:val="bottom"/>
          </w:tcPr>
          <w:p w14:paraId="5BC65D7F" w14:textId="77777777" w:rsidR="00D1587D" w:rsidRDefault="00D1587D">
            <w:pPr>
              <w:rPr>
                <w:sz w:val="4"/>
                <w:szCs w:val="4"/>
              </w:rPr>
            </w:pPr>
          </w:p>
        </w:tc>
        <w:tc>
          <w:tcPr>
            <w:tcW w:w="780" w:type="dxa"/>
            <w:gridSpan w:val="3"/>
            <w:tcBorders>
              <w:bottom w:val="single" w:sz="8" w:space="0" w:color="auto"/>
            </w:tcBorders>
            <w:vAlign w:val="bottom"/>
          </w:tcPr>
          <w:p w14:paraId="63FDB70A" w14:textId="77777777" w:rsidR="00D1587D" w:rsidRDefault="00D1587D">
            <w:pPr>
              <w:rPr>
                <w:sz w:val="4"/>
                <w:szCs w:val="4"/>
              </w:rPr>
            </w:pPr>
          </w:p>
        </w:tc>
        <w:tc>
          <w:tcPr>
            <w:tcW w:w="500" w:type="dxa"/>
            <w:tcBorders>
              <w:bottom w:val="single" w:sz="8" w:space="0" w:color="auto"/>
            </w:tcBorders>
            <w:vAlign w:val="bottom"/>
          </w:tcPr>
          <w:p w14:paraId="1763D5AC" w14:textId="77777777" w:rsidR="00D1587D" w:rsidRDefault="00D1587D">
            <w:pPr>
              <w:rPr>
                <w:sz w:val="4"/>
                <w:szCs w:val="4"/>
              </w:rPr>
            </w:pPr>
          </w:p>
        </w:tc>
      </w:tr>
      <w:tr w:rsidR="00D1587D" w14:paraId="20A865F5" w14:textId="77777777">
        <w:trPr>
          <w:trHeight w:val="224"/>
        </w:trPr>
        <w:tc>
          <w:tcPr>
            <w:tcW w:w="1280" w:type="dxa"/>
            <w:vAlign w:val="bottom"/>
          </w:tcPr>
          <w:p w14:paraId="2EC15321" w14:textId="77777777" w:rsidR="00D1587D" w:rsidRDefault="00D1587D">
            <w:pPr>
              <w:rPr>
                <w:sz w:val="19"/>
                <w:szCs w:val="19"/>
              </w:rPr>
            </w:pPr>
          </w:p>
        </w:tc>
        <w:tc>
          <w:tcPr>
            <w:tcW w:w="5280" w:type="dxa"/>
            <w:vAlign w:val="bottom"/>
          </w:tcPr>
          <w:p w14:paraId="499EED48" w14:textId="77777777" w:rsidR="00D1587D" w:rsidRDefault="00D1587D">
            <w:pPr>
              <w:rPr>
                <w:sz w:val="19"/>
                <w:szCs w:val="19"/>
              </w:rPr>
            </w:pPr>
          </w:p>
        </w:tc>
        <w:tc>
          <w:tcPr>
            <w:tcW w:w="80" w:type="dxa"/>
            <w:vAlign w:val="bottom"/>
          </w:tcPr>
          <w:p w14:paraId="7101CA41" w14:textId="77777777" w:rsidR="00D1587D" w:rsidRDefault="00D1587D">
            <w:pPr>
              <w:rPr>
                <w:sz w:val="19"/>
                <w:szCs w:val="19"/>
              </w:rPr>
            </w:pPr>
          </w:p>
        </w:tc>
        <w:tc>
          <w:tcPr>
            <w:tcW w:w="500" w:type="dxa"/>
            <w:vAlign w:val="bottom"/>
          </w:tcPr>
          <w:p w14:paraId="6CB91D6A" w14:textId="77777777" w:rsidR="00D1587D" w:rsidRDefault="00D1587D">
            <w:pPr>
              <w:rPr>
                <w:sz w:val="19"/>
                <w:szCs w:val="19"/>
              </w:rPr>
            </w:pPr>
          </w:p>
        </w:tc>
        <w:tc>
          <w:tcPr>
            <w:tcW w:w="780" w:type="dxa"/>
            <w:gridSpan w:val="3"/>
            <w:vAlign w:val="bottom"/>
          </w:tcPr>
          <w:p w14:paraId="14AA6AD0" w14:textId="77777777" w:rsidR="00D1587D" w:rsidRDefault="00410D07">
            <w:pPr>
              <w:ind w:left="20"/>
              <w:rPr>
                <w:sz w:val="20"/>
                <w:szCs w:val="20"/>
              </w:rPr>
            </w:pPr>
            <w:r>
              <w:rPr>
                <w:rFonts w:ascii="Arial" w:eastAsia="Arial" w:hAnsi="Arial" w:cs="Arial"/>
                <w:b/>
                <w:bCs/>
                <w:w w:val="94"/>
                <w:sz w:val="14"/>
                <w:szCs w:val="14"/>
              </w:rPr>
              <w:t>(in millions)</w:t>
            </w:r>
          </w:p>
        </w:tc>
        <w:tc>
          <w:tcPr>
            <w:tcW w:w="500" w:type="dxa"/>
            <w:vAlign w:val="bottom"/>
          </w:tcPr>
          <w:p w14:paraId="68D0786A" w14:textId="77777777" w:rsidR="00D1587D" w:rsidRDefault="00D1587D">
            <w:pPr>
              <w:rPr>
                <w:sz w:val="19"/>
                <w:szCs w:val="19"/>
              </w:rPr>
            </w:pPr>
          </w:p>
        </w:tc>
      </w:tr>
      <w:tr w:rsidR="00D1587D" w14:paraId="30BC0FDB" w14:textId="77777777">
        <w:trPr>
          <w:trHeight w:val="53"/>
        </w:trPr>
        <w:tc>
          <w:tcPr>
            <w:tcW w:w="1280" w:type="dxa"/>
            <w:vAlign w:val="bottom"/>
          </w:tcPr>
          <w:p w14:paraId="775C2D9C" w14:textId="77777777" w:rsidR="00D1587D" w:rsidRDefault="00D1587D">
            <w:pPr>
              <w:rPr>
                <w:sz w:val="4"/>
                <w:szCs w:val="4"/>
              </w:rPr>
            </w:pPr>
          </w:p>
        </w:tc>
        <w:tc>
          <w:tcPr>
            <w:tcW w:w="5280" w:type="dxa"/>
            <w:vAlign w:val="bottom"/>
          </w:tcPr>
          <w:p w14:paraId="264EB00F" w14:textId="77777777" w:rsidR="00D1587D" w:rsidRDefault="00D1587D">
            <w:pPr>
              <w:rPr>
                <w:sz w:val="4"/>
                <w:szCs w:val="4"/>
              </w:rPr>
            </w:pPr>
          </w:p>
        </w:tc>
        <w:tc>
          <w:tcPr>
            <w:tcW w:w="80" w:type="dxa"/>
            <w:vAlign w:val="bottom"/>
          </w:tcPr>
          <w:p w14:paraId="33C508FD" w14:textId="77777777" w:rsidR="00D1587D" w:rsidRDefault="00D1587D">
            <w:pPr>
              <w:rPr>
                <w:sz w:val="4"/>
                <w:szCs w:val="4"/>
              </w:rPr>
            </w:pPr>
          </w:p>
        </w:tc>
        <w:tc>
          <w:tcPr>
            <w:tcW w:w="500" w:type="dxa"/>
            <w:vAlign w:val="bottom"/>
          </w:tcPr>
          <w:p w14:paraId="28F6AE13" w14:textId="77777777" w:rsidR="00D1587D" w:rsidRDefault="00D1587D">
            <w:pPr>
              <w:rPr>
                <w:sz w:val="4"/>
                <w:szCs w:val="4"/>
              </w:rPr>
            </w:pPr>
          </w:p>
        </w:tc>
        <w:tc>
          <w:tcPr>
            <w:tcW w:w="140" w:type="dxa"/>
            <w:vAlign w:val="bottom"/>
          </w:tcPr>
          <w:p w14:paraId="1A80D26A" w14:textId="77777777" w:rsidR="00D1587D" w:rsidRDefault="00D1587D">
            <w:pPr>
              <w:rPr>
                <w:sz w:val="4"/>
                <w:szCs w:val="4"/>
              </w:rPr>
            </w:pPr>
          </w:p>
        </w:tc>
        <w:tc>
          <w:tcPr>
            <w:tcW w:w="500" w:type="dxa"/>
            <w:vAlign w:val="bottom"/>
          </w:tcPr>
          <w:p w14:paraId="5B14F93C" w14:textId="77777777" w:rsidR="00D1587D" w:rsidRDefault="00D1587D">
            <w:pPr>
              <w:rPr>
                <w:sz w:val="4"/>
                <w:szCs w:val="4"/>
              </w:rPr>
            </w:pPr>
          </w:p>
        </w:tc>
        <w:tc>
          <w:tcPr>
            <w:tcW w:w="140" w:type="dxa"/>
            <w:vAlign w:val="bottom"/>
          </w:tcPr>
          <w:p w14:paraId="4EAA4CA3" w14:textId="77777777" w:rsidR="00D1587D" w:rsidRDefault="00D1587D">
            <w:pPr>
              <w:rPr>
                <w:sz w:val="4"/>
                <w:szCs w:val="4"/>
              </w:rPr>
            </w:pPr>
          </w:p>
        </w:tc>
        <w:tc>
          <w:tcPr>
            <w:tcW w:w="500" w:type="dxa"/>
            <w:vAlign w:val="bottom"/>
          </w:tcPr>
          <w:p w14:paraId="764ADAE2" w14:textId="77777777" w:rsidR="00D1587D" w:rsidRDefault="00D1587D">
            <w:pPr>
              <w:rPr>
                <w:sz w:val="4"/>
                <w:szCs w:val="4"/>
              </w:rPr>
            </w:pPr>
          </w:p>
        </w:tc>
      </w:tr>
      <w:tr w:rsidR="00D1587D" w14:paraId="41DFC1EB" w14:textId="77777777">
        <w:trPr>
          <w:trHeight w:val="318"/>
        </w:trPr>
        <w:tc>
          <w:tcPr>
            <w:tcW w:w="6640" w:type="dxa"/>
            <w:gridSpan w:val="3"/>
            <w:tcBorders>
              <w:bottom w:val="single" w:sz="8" w:space="0" w:color="CCEEFF"/>
            </w:tcBorders>
            <w:shd w:val="clear" w:color="auto" w:fill="CCEEFF"/>
            <w:vAlign w:val="bottom"/>
          </w:tcPr>
          <w:p w14:paraId="39B912DC" w14:textId="77777777" w:rsidR="00D1587D" w:rsidRDefault="00410D07">
            <w:pPr>
              <w:rPr>
                <w:sz w:val="20"/>
                <w:szCs w:val="20"/>
              </w:rPr>
            </w:pPr>
            <w:r>
              <w:rPr>
                <w:rFonts w:ascii="Arial" w:eastAsia="Arial" w:hAnsi="Arial" w:cs="Arial"/>
                <w:sz w:val="18"/>
                <w:szCs w:val="18"/>
              </w:rPr>
              <w:t>North America Stores</w:t>
            </w:r>
          </w:p>
        </w:tc>
        <w:tc>
          <w:tcPr>
            <w:tcW w:w="500" w:type="dxa"/>
            <w:tcBorders>
              <w:bottom w:val="single" w:sz="8" w:space="0" w:color="CCEEFF"/>
            </w:tcBorders>
            <w:shd w:val="clear" w:color="auto" w:fill="CCEEFF"/>
            <w:vAlign w:val="bottom"/>
          </w:tcPr>
          <w:p w14:paraId="0C1554A5" w14:textId="77777777" w:rsidR="00D1587D" w:rsidRDefault="00410D07">
            <w:pPr>
              <w:jc w:val="right"/>
              <w:rPr>
                <w:sz w:val="20"/>
                <w:szCs w:val="20"/>
              </w:rPr>
            </w:pPr>
            <w:r>
              <w:rPr>
                <w:rFonts w:ascii="Arial" w:eastAsia="Arial" w:hAnsi="Arial" w:cs="Arial"/>
                <w:w w:val="83"/>
                <w:sz w:val="18"/>
                <w:szCs w:val="18"/>
              </w:rPr>
              <w:t>$2,795</w:t>
            </w:r>
          </w:p>
        </w:tc>
        <w:tc>
          <w:tcPr>
            <w:tcW w:w="640" w:type="dxa"/>
            <w:gridSpan w:val="2"/>
            <w:tcBorders>
              <w:bottom w:val="single" w:sz="8" w:space="0" w:color="CCEEFF"/>
            </w:tcBorders>
            <w:shd w:val="clear" w:color="auto" w:fill="CCEEFF"/>
            <w:vAlign w:val="bottom"/>
          </w:tcPr>
          <w:p w14:paraId="295D05CD" w14:textId="77777777" w:rsidR="00D1587D" w:rsidRDefault="00410D07">
            <w:pPr>
              <w:jc w:val="right"/>
              <w:rPr>
                <w:sz w:val="20"/>
                <w:szCs w:val="20"/>
              </w:rPr>
            </w:pPr>
            <w:r>
              <w:rPr>
                <w:rFonts w:ascii="Arial" w:eastAsia="Arial" w:hAnsi="Arial" w:cs="Arial"/>
                <w:sz w:val="18"/>
                <w:szCs w:val="18"/>
              </w:rPr>
              <w:t>$5,112</w:t>
            </w:r>
          </w:p>
        </w:tc>
        <w:tc>
          <w:tcPr>
            <w:tcW w:w="140" w:type="dxa"/>
            <w:tcBorders>
              <w:bottom w:val="single" w:sz="8" w:space="0" w:color="CCEEFF"/>
            </w:tcBorders>
            <w:shd w:val="clear" w:color="auto" w:fill="CCEEFF"/>
            <w:vAlign w:val="bottom"/>
          </w:tcPr>
          <w:p w14:paraId="70B4445D"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EAF9B25" w14:textId="77777777" w:rsidR="00D1587D" w:rsidRDefault="00410D07">
            <w:pPr>
              <w:jc w:val="center"/>
              <w:rPr>
                <w:sz w:val="20"/>
                <w:szCs w:val="20"/>
              </w:rPr>
            </w:pPr>
            <w:r>
              <w:rPr>
                <w:rFonts w:ascii="Arial" w:eastAsia="Arial" w:hAnsi="Arial" w:cs="Arial"/>
                <w:w w:val="90"/>
                <w:sz w:val="18"/>
                <w:szCs w:val="18"/>
              </w:rPr>
              <w:t>$5,628</w:t>
            </w:r>
          </w:p>
        </w:tc>
      </w:tr>
      <w:tr w:rsidR="00D1587D" w14:paraId="674EBF63" w14:textId="77777777">
        <w:trPr>
          <w:trHeight w:val="270"/>
        </w:trPr>
        <w:tc>
          <w:tcPr>
            <w:tcW w:w="6640" w:type="dxa"/>
            <w:gridSpan w:val="3"/>
            <w:vAlign w:val="bottom"/>
          </w:tcPr>
          <w:p w14:paraId="401F284B" w14:textId="77777777" w:rsidR="00D1587D" w:rsidRDefault="00410D07">
            <w:pPr>
              <w:rPr>
                <w:sz w:val="20"/>
                <w:szCs w:val="20"/>
              </w:rPr>
            </w:pPr>
            <w:r>
              <w:rPr>
                <w:rFonts w:ascii="Arial" w:eastAsia="Arial" w:hAnsi="Arial" w:cs="Arial"/>
                <w:sz w:val="18"/>
                <w:szCs w:val="18"/>
              </w:rPr>
              <w:t>Direct</w:t>
            </w:r>
          </w:p>
        </w:tc>
        <w:tc>
          <w:tcPr>
            <w:tcW w:w="500" w:type="dxa"/>
            <w:vAlign w:val="bottom"/>
          </w:tcPr>
          <w:p w14:paraId="06598982" w14:textId="77777777" w:rsidR="00D1587D" w:rsidRDefault="00410D07">
            <w:pPr>
              <w:jc w:val="right"/>
              <w:rPr>
                <w:sz w:val="20"/>
                <w:szCs w:val="20"/>
              </w:rPr>
            </w:pPr>
            <w:r>
              <w:rPr>
                <w:rFonts w:ascii="Arial" w:eastAsia="Arial" w:hAnsi="Arial" w:cs="Arial"/>
                <w:sz w:val="18"/>
                <w:szCs w:val="18"/>
              </w:rPr>
              <w:t>2,223</w:t>
            </w:r>
          </w:p>
        </w:tc>
        <w:tc>
          <w:tcPr>
            <w:tcW w:w="640" w:type="dxa"/>
            <w:gridSpan w:val="2"/>
            <w:vAlign w:val="bottom"/>
          </w:tcPr>
          <w:p w14:paraId="33FD05E9" w14:textId="77777777" w:rsidR="00D1587D" w:rsidRDefault="00410D07">
            <w:pPr>
              <w:jc w:val="right"/>
              <w:rPr>
                <w:sz w:val="20"/>
                <w:szCs w:val="20"/>
              </w:rPr>
            </w:pPr>
            <w:r>
              <w:rPr>
                <w:rFonts w:ascii="Arial" w:eastAsia="Arial" w:hAnsi="Arial" w:cs="Arial"/>
                <w:sz w:val="18"/>
                <w:szCs w:val="18"/>
              </w:rPr>
              <w:t>1,693</w:t>
            </w:r>
          </w:p>
        </w:tc>
        <w:tc>
          <w:tcPr>
            <w:tcW w:w="140" w:type="dxa"/>
            <w:vAlign w:val="bottom"/>
          </w:tcPr>
          <w:p w14:paraId="0CD892A4" w14:textId="77777777" w:rsidR="00D1587D" w:rsidRDefault="00D1587D">
            <w:pPr>
              <w:rPr>
                <w:sz w:val="23"/>
                <w:szCs w:val="23"/>
              </w:rPr>
            </w:pPr>
          </w:p>
        </w:tc>
        <w:tc>
          <w:tcPr>
            <w:tcW w:w="500" w:type="dxa"/>
            <w:vAlign w:val="bottom"/>
          </w:tcPr>
          <w:p w14:paraId="6B7E4CA1" w14:textId="77777777" w:rsidR="00D1587D" w:rsidRDefault="00410D07">
            <w:pPr>
              <w:jc w:val="right"/>
              <w:rPr>
                <w:sz w:val="20"/>
                <w:szCs w:val="20"/>
              </w:rPr>
            </w:pPr>
            <w:r>
              <w:rPr>
                <w:rFonts w:ascii="Arial" w:eastAsia="Arial" w:hAnsi="Arial" w:cs="Arial"/>
                <w:sz w:val="18"/>
                <w:szCs w:val="18"/>
              </w:rPr>
              <w:t>1,747</w:t>
            </w:r>
          </w:p>
        </w:tc>
      </w:tr>
      <w:tr w:rsidR="00D1587D" w14:paraId="0C3A3605" w14:textId="77777777">
        <w:trPr>
          <w:trHeight w:val="54"/>
        </w:trPr>
        <w:tc>
          <w:tcPr>
            <w:tcW w:w="1280" w:type="dxa"/>
            <w:vAlign w:val="bottom"/>
          </w:tcPr>
          <w:p w14:paraId="53111F64" w14:textId="77777777" w:rsidR="00D1587D" w:rsidRDefault="00D1587D">
            <w:pPr>
              <w:rPr>
                <w:sz w:val="4"/>
                <w:szCs w:val="4"/>
              </w:rPr>
            </w:pPr>
          </w:p>
        </w:tc>
        <w:tc>
          <w:tcPr>
            <w:tcW w:w="5280" w:type="dxa"/>
            <w:vAlign w:val="bottom"/>
          </w:tcPr>
          <w:p w14:paraId="52EE24C8" w14:textId="77777777" w:rsidR="00D1587D" w:rsidRDefault="00D1587D">
            <w:pPr>
              <w:rPr>
                <w:sz w:val="4"/>
                <w:szCs w:val="4"/>
              </w:rPr>
            </w:pPr>
          </w:p>
        </w:tc>
        <w:tc>
          <w:tcPr>
            <w:tcW w:w="80" w:type="dxa"/>
            <w:vAlign w:val="bottom"/>
          </w:tcPr>
          <w:p w14:paraId="1505E440" w14:textId="77777777" w:rsidR="00D1587D" w:rsidRDefault="00D1587D">
            <w:pPr>
              <w:rPr>
                <w:sz w:val="4"/>
                <w:szCs w:val="4"/>
              </w:rPr>
            </w:pPr>
          </w:p>
        </w:tc>
        <w:tc>
          <w:tcPr>
            <w:tcW w:w="500" w:type="dxa"/>
            <w:vAlign w:val="bottom"/>
          </w:tcPr>
          <w:p w14:paraId="1E122BB1" w14:textId="77777777" w:rsidR="00D1587D" w:rsidRDefault="00D1587D">
            <w:pPr>
              <w:rPr>
                <w:sz w:val="4"/>
                <w:szCs w:val="4"/>
              </w:rPr>
            </w:pPr>
          </w:p>
        </w:tc>
        <w:tc>
          <w:tcPr>
            <w:tcW w:w="140" w:type="dxa"/>
            <w:vAlign w:val="bottom"/>
          </w:tcPr>
          <w:p w14:paraId="3A22E0DF" w14:textId="77777777" w:rsidR="00D1587D" w:rsidRDefault="00D1587D">
            <w:pPr>
              <w:rPr>
                <w:sz w:val="4"/>
                <w:szCs w:val="4"/>
              </w:rPr>
            </w:pPr>
          </w:p>
        </w:tc>
        <w:tc>
          <w:tcPr>
            <w:tcW w:w="500" w:type="dxa"/>
            <w:vAlign w:val="bottom"/>
          </w:tcPr>
          <w:p w14:paraId="67198DFF" w14:textId="77777777" w:rsidR="00D1587D" w:rsidRDefault="00D1587D">
            <w:pPr>
              <w:rPr>
                <w:sz w:val="4"/>
                <w:szCs w:val="4"/>
              </w:rPr>
            </w:pPr>
          </w:p>
        </w:tc>
        <w:tc>
          <w:tcPr>
            <w:tcW w:w="140" w:type="dxa"/>
            <w:vAlign w:val="bottom"/>
          </w:tcPr>
          <w:p w14:paraId="5A69584F" w14:textId="77777777" w:rsidR="00D1587D" w:rsidRDefault="00D1587D">
            <w:pPr>
              <w:rPr>
                <w:sz w:val="4"/>
                <w:szCs w:val="4"/>
              </w:rPr>
            </w:pPr>
          </w:p>
        </w:tc>
        <w:tc>
          <w:tcPr>
            <w:tcW w:w="500" w:type="dxa"/>
            <w:vAlign w:val="bottom"/>
          </w:tcPr>
          <w:p w14:paraId="166DC563" w14:textId="77777777" w:rsidR="00D1587D" w:rsidRDefault="00D1587D">
            <w:pPr>
              <w:rPr>
                <w:sz w:val="4"/>
                <w:szCs w:val="4"/>
              </w:rPr>
            </w:pPr>
          </w:p>
        </w:tc>
      </w:tr>
      <w:tr w:rsidR="00D1587D" w14:paraId="0AB81318" w14:textId="77777777">
        <w:trPr>
          <w:trHeight w:val="338"/>
        </w:trPr>
        <w:tc>
          <w:tcPr>
            <w:tcW w:w="6560" w:type="dxa"/>
            <w:gridSpan w:val="2"/>
            <w:shd w:val="clear" w:color="auto" w:fill="CCEEFF"/>
            <w:vAlign w:val="bottom"/>
          </w:tcPr>
          <w:p w14:paraId="30370322" w14:textId="77777777" w:rsidR="00D1587D" w:rsidRDefault="00410D07">
            <w:pPr>
              <w:rPr>
                <w:sz w:val="20"/>
                <w:szCs w:val="20"/>
              </w:rPr>
            </w:pPr>
            <w:r>
              <w:rPr>
                <w:rFonts w:ascii="Arial" w:eastAsia="Arial" w:hAnsi="Arial" w:cs="Arial"/>
                <w:sz w:val="18"/>
                <w:szCs w:val="18"/>
              </w:rPr>
              <w:t>International</w:t>
            </w:r>
            <w:r>
              <w:rPr>
                <w:rFonts w:ascii="Arial" w:eastAsia="Arial" w:hAnsi="Arial" w:cs="Arial"/>
                <w:sz w:val="29"/>
                <w:szCs w:val="29"/>
                <w:vertAlign w:val="superscript"/>
              </w:rPr>
              <w:t>(a)</w:t>
            </w:r>
          </w:p>
        </w:tc>
        <w:tc>
          <w:tcPr>
            <w:tcW w:w="80" w:type="dxa"/>
            <w:tcBorders>
              <w:bottom w:val="single" w:sz="8" w:space="0" w:color="CCEEFF"/>
            </w:tcBorders>
            <w:shd w:val="clear" w:color="auto" w:fill="CCEEFF"/>
            <w:vAlign w:val="bottom"/>
          </w:tcPr>
          <w:p w14:paraId="497FF45C" w14:textId="77777777" w:rsidR="00D1587D" w:rsidRDefault="00D1587D">
            <w:pPr>
              <w:rPr>
                <w:sz w:val="24"/>
                <w:szCs w:val="24"/>
              </w:rPr>
            </w:pPr>
          </w:p>
        </w:tc>
        <w:tc>
          <w:tcPr>
            <w:tcW w:w="500" w:type="dxa"/>
            <w:tcBorders>
              <w:bottom w:val="single" w:sz="8" w:space="0" w:color="auto"/>
            </w:tcBorders>
            <w:shd w:val="clear" w:color="auto" w:fill="CCEEFF"/>
            <w:vAlign w:val="bottom"/>
          </w:tcPr>
          <w:p w14:paraId="4CCE526D" w14:textId="77777777" w:rsidR="00D1587D" w:rsidRDefault="00410D07">
            <w:pPr>
              <w:jc w:val="right"/>
              <w:rPr>
                <w:sz w:val="20"/>
                <w:szCs w:val="20"/>
              </w:rPr>
            </w:pPr>
            <w:r>
              <w:rPr>
                <w:rFonts w:ascii="Arial" w:eastAsia="Arial" w:hAnsi="Arial" w:cs="Arial"/>
                <w:sz w:val="18"/>
                <w:szCs w:val="18"/>
              </w:rPr>
              <w:t>395</w:t>
            </w:r>
          </w:p>
        </w:tc>
        <w:tc>
          <w:tcPr>
            <w:tcW w:w="140" w:type="dxa"/>
            <w:tcBorders>
              <w:bottom w:val="single" w:sz="8" w:space="0" w:color="CCEEFF"/>
            </w:tcBorders>
            <w:shd w:val="clear" w:color="auto" w:fill="CCEEFF"/>
            <w:vAlign w:val="bottom"/>
          </w:tcPr>
          <w:p w14:paraId="223CF3BF" w14:textId="77777777" w:rsidR="00D1587D" w:rsidRDefault="00D1587D">
            <w:pPr>
              <w:rPr>
                <w:sz w:val="24"/>
                <w:szCs w:val="24"/>
              </w:rPr>
            </w:pPr>
          </w:p>
        </w:tc>
        <w:tc>
          <w:tcPr>
            <w:tcW w:w="500" w:type="dxa"/>
            <w:tcBorders>
              <w:bottom w:val="single" w:sz="8" w:space="0" w:color="auto"/>
            </w:tcBorders>
            <w:shd w:val="clear" w:color="auto" w:fill="CCEEFF"/>
            <w:vAlign w:val="bottom"/>
          </w:tcPr>
          <w:p w14:paraId="175F9931" w14:textId="77777777" w:rsidR="00D1587D" w:rsidRDefault="00410D07">
            <w:pPr>
              <w:jc w:val="right"/>
              <w:rPr>
                <w:sz w:val="20"/>
                <w:szCs w:val="20"/>
              </w:rPr>
            </w:pPr>
            <w:r>
              <w:rPr>
                <w:rFonts w:ascii="Arial" w:eastAsia="Arial" w:hAnsi="Arial" w:cs="Arial"/>
                <w:sz w:val="18"/>
                <w:szCs w:val="18"/>
              </w:rPr>
              <w:t>704</w:t>
            </w:r>
          </w:p>
        </w:tc>
        <w:tc>
          <w:tcPr>
            <w:tcW w:w="140" w:type="dxa"/>
            <w:tcBorders>
              <w:bottom w:val="single" w:sz="8" w:space="0" w:color="CCEEFF"/>
            </w:tcBorders>
            <w:shd w:val="clear" w:color="auto" w:fill="CCEEFF"/>
            <w:vAlign w:val="bottom"/>
          </w:tcPr>
          <w:p w14:paraId="4984A61F" w14:textId="77777777" w:rsidR="00D1587D" w:rsidRDefault="00D1587D">
            <w:pPr>
              <w:rPr>
                <w:sz w:val="24"/>
                <w:szCs w:val="24"/>
              </w:rPr>
            </w:pPr>
          </w:p>
        </w:tc>
        <w:tc>
          <w:tcPr>
            <w:tcW w:w="500" w:type="dxa"/>
            <w:tcBorders>
              <w:bottom w:val="single" w:sz="8" w:space="0" w:color="auto"/>
            </w:tcBorders>
            <w:shd w:val="clear" w:color="auto" w:fill="CCEEFF"/>
            <w:vAlign w:val="bottom"/>
          </w:tcPr>
          <w:p w14:paraId="00E5CB62" w14:textId="77777777" w:rsidR="00D1587D" w:rsidRDefault="00410D07">
            <w:pPr>
              <w:jc w:val="right"/>
              <w:rPr>
                <w:sz w:val="20"/>
                <w:szCs w:val="20"/>
              </w:rPr>
            </w:pPr>
            <w:r>
              <w:rPr>
                <w:rFonts w:ascii="Arial" w:eastAsia="Arial" w:hAnsi="Arial" w:cs="Arial"/>
                <w:sz w:val="18"/>
                <w:szCs w:val="18"/>
              </w:rPr>
              <w:t>728</w:t>
            </w:r>
          </w:p>
        </w:tc>
      </w:tr>
      <w:tr w:rsidR="00D1587D" w14:paraId="0AC3C88E" w14:textId="77777777">
        <w:trPr>
          <w:trHeight w:val="304"/>
        </w:trPr>
        <w:tc>
          <w:tcPr>
            <w:tcW w:w="6640" w:type="dxa"/>
            <w:gridSpan w:val="3"/>
            <w:vAlign w:val="bottom"/>
          </w:tcPr>
          <w:p w14:paraId="52C144CE" w14:textId="77777777" w:rsidR="00D1587D" w:rsidRDefault="00410D07">
            <w:pPr>
              <w:rPr>
                <w:sz w:val="20"/>
                <w:szCs w:val="20"/>
              </w:rPr>
            </w:pPr>
            <w:r>
              <w:rPr>
                <w:rFonts w:ascii="Arial" w:eastAsia="Arial" w:hAnsi="Arial" w:cs="Arial"/>
                <w:sz w:val="18"/>
                <w:szCs w:val="18"/>
              </w:rPr>
              <w:t>Total Net Sales</w:t>
            </w:r>
          </w:p>
        </w:tc>
        <w:tc>
          <w:tcPr>
            <w:tcW w:w="500" w:type="dxa"/>
            <w:vAlign w:val="bottom"/>
          </w:tcPr>
          <w:p w14:paraId="5B7963F2" w14:textId="77777777" w:rsidR="00D1587D" w:rsidRDefault="00410D07">
            <w:pPr>
              <w:jc w:val="right"/>
              <w:rPr>
                <w:sz w:val="20"/>
                <w:szCs w:val="20"/>
              </w:rPr>
            </w:pPr>
            <w:r>
              <w:rPr>
                <w:rFonts w:ascii="Arial" w:eastAsia="Arial" w:hAnsi="Arial" w:cs="Arial"/>
                <w:w w:val="83"/>
                <w:sz w:val="18"/>
                <w:szCs w:val="18"/>
              </w:rPr>
              <w:t>$5,413</w:t>
            </w:r>
          </w:p>
        </w:tc>
        <w:tc>
          <w:tcPr>
            <w:tcW w:w="640" w:type="dxa"/>
            <w:gridSpan w:val="2"/>
            <w:vAlign w:val="bottom"/>
          </w:tcPr>
          <w:p w14:paraId="5AFC199F" w14:textId="77777777" w:rsidR="00D1587D" w:rsidRDefault="00410D07">
            <w:pPr>
              <w:jc w:val="right"/>
              <w:rPr>
                <w:sz w:val="20"/>
                <w:szCs w:val="20"/>
              </w:rPr>
            </w:pPr>
            <w:r>
              <w:rPr>
                <w:rFonts w:ascii="Arial" w:eastAsia="Arial" w:hAnsi="Arial" w:cs="Arial"/>
                <w:sz w:val="18"/>
                <w:szCs w:val="18"/>
              </w:rPr>
              <w:t>$7,509</w:t>
            </w:r>
          </w:p>
        </w:tc>
        <w:tc>
          <w:tcPr>
            <w:tcW w:w="140" w:type="dxa"/>
            <w:vAlign w:val="bottom"/>
          </w:tcPr>
          <w:p w14:paraId="146FD962" w14:textId="77777777" w:rsidR="00D1587D" w:rsidRDefault="00D1587D">
            <w:pPr>
              <w:rPr>
                <w:sz w:val="24"/>
                <w:szCs w:val="24"/>
              </w:rPr>
            </w:pPr>
          </w:p>
        </w:tc>
        <w:tc>
          <w:tcPr>
            <w:tcW w:w="500" w:type="dxa"/>
            <w:vAlign w:val="bottom"/>
          </w:tcPr>
          <w:p w14:paraId="21F3384E" w14:textId="77777777" w:rsidR="00D1587D" w:rsidRDefault="00410D07">
            <w:pPr>
              <w:jc w:val="center"/>
              <w:rPr>
                <w:sz w:val="20"/>
                <w:szCs w:val="20"/>
              </w:rPr>
            </w:pPr>
            <w:r>
              <w:rPr>
                <w:rFonts w:ascii="Arial" w:eastAsia="Arial" w:hAnsi="Arial" w:cs="Arial"/>
                <w:w w:val="90"/>
                <w:sz w:val="18"/>
                <w:szCs w:val="18"/>
              </w:rPr>
              <w:t>$8,103</w:t>
            </w:r>
          </w:p>
        </w:tc>
      </w:tr>
      <w:tr w:rsidR="00D1587D" w14:paraId="351A520F" w14:textId="77777777">
        <w:trPr>
          <w:trHeight w:val="27"/>
        </w:trPr>
        <w:tc>
          <w:tcPr>
            <w:tcW w:w="1280" w:type="dxa"/>
            <w:vAlign w:val="bottom"/>
          </w:tcPr>
          <w:p w14:paraId="13F19641" w14:textId="77777777" w:rsidR="00D1587D" w:rsidRDefault="00D1587D">
            <w:pPr>
              <w:rPr>
                <w:sz w:val="2"/>
                <w:szCs w:val="2"/>
              </w:rPr>
            </w:pPr>
          </w:p>
        </w:tc>
        <w:tc>
          <w:tcPr>
            <w:tcW w:w="5280" w:type="dxa"/>
            <w:vAlign w:val="bottom"/>
          </w:tcPr>
          <w:p w14:paraId="361DE49A" w14:textId="77777777" w:rsidR="00D1587D" w:rsidRDefault="00D1587D">
            <w:pPr>
              <w:rPr>
                <w:sz w:val="2"/>
                <w:szCs w:val="2"/>
              </w:rPr>
            </w:pPr>
          </w:p>
        </w:tc>
        <w:tc>
          <w:tcPr>
            <w:tcW w:w="80" w:type="dxa"/>
            <w:vAlign w:val="bottom"/>
          </w:tcPr>
          <w:p w14:paraId="33D7A922" w14:textId="77777777" w:rsidR="00D1587D" w:rsidRDefault="00D1587D">
            <w:pPr>
              <w:rPr>
                <w:sz w:val="2"/>
                <w:szCs w:val="2"/>
              </w:rPr>
            </w:pPr>
          </w:p>
        </w:tc>
        <w:tc>
          <w:tcPr>
            <w:tcW w:w="500" w:type="dxa"/>
            <w:tcBorders>
              <w:bottom w:val="single" w:sz="8" w:space="0" w:color="auto"/>
            </w:tcBorders>
            <w:vAlign w:val="bottom"/>
          </w:tcPr>
          <w:p w14:paraId="7380583D" w14:textId="77777777" w:rsidR="00D1587D" w:rsidRDefault="00D1587D">
            <w:pPr>
              <w:rPr>
                <w:sz w:val="2"/>
                <w:szCs w:val="2"/>
              </w:rPr>
            </w:pPr>
          </w:p>
        </w:tc>
        <w:tc>
          <w:tcPr>
            <w:tcW w:w="140" w:type="dxa"/>
            <w:vAlign w:val="bottom"/>
          </w:tcPr>
          <w:p w14:paraId="1DC602AA" w14:textId="77777777" w:rsidR="00D1587D" w:rsidRDefault="00D1587D">
            <w:pPr>
              <w:rPr>
                <w:sz w:val="2"/>
                <w:szCs w:val="2"/>
              </w:rPr>
            </w:pPr>
          </w:p>
        </w:tc>
        <w:tc>
          <w:tcPr>
            <w:tcW w:w="500" w:type="dxa"/>
            <w:tcBorders>
              <w:bottom w:val="single" w:sz="8" w:space="0" w:color="auto"/>
            </w:tcBorders>
            <w:vAlign w:val="bottom"/>
          </w:tcPr>
          <w:p w14:paraId="5060F9D1" w14:textId="77777777" w:rsidR="00D1587D" w:rsidRDefault="00D1587D">
            <w:pPr>
              <w:rPr>
                <w:sz w:val="2"/>
                <w:szCs w:val="2"/>
              </w:rPr>
            </w:pPr>
          </w:p>
        </w:tc>
        <w:tc>
          <w:tcPr>
            <w:tcW w:w="140" w:type="dxa"/>
            <w:vAlign w:val="bottom"/>
          </w:tcPr>
          <w:p w14:paraId="335C9A66" w14:textId="77777777" w:rsidR="00D1587D" w:rsidRDefault="00D1587D">
            <w:pPr>
              <w:rPr>
                <w:sz w:val="2"/>
                <w:szCs w:val="2"/>
              </w:rPr>
            </w:pPr>
          </w:p>
        </w:tc>
        <w:tc>
          <w:tcPr>
            <w:tcW w:w="500" w:type="dxa"/>
            <w:tcBorders>
              <w:bottom w:val="single" w:sz="8" w:space="0" w:color="auto"/>
            </w:tcBorders>
            <w:vAlign w:val="bottom"/>
          </w:tcPr>
          <w:p w14:paraId="029BFBDF" w14:textId="77777777" w:rsidR="00D1587D" w:rsidRDefault="00D1587D">
            <w:pPr>
              <w:rPr>
                <w:sz w:val="2"/>
                <w:szCs w:val="2"/>
              </w:rPr>
            </w:pPr>
          </w:p>
        </w:tc>
      </w:tr>
      <w:tr w:rsidR="00D1587D" w14:paraId="73712640" w14:textId="77777777">
        <w:trPr>
          <w:trHeight w:val="21"/>
        </w:trPr>
        <w:tc>
          <w:tcPr>
            <w:tcW w:w="1280" w:type="dxa"/>
            <w:vAlign w:val="bottom"/>
          </w:tcPr>
          <w:p w14:paraId="4DCADE32" w14:textId="77777777" w:rsidR="00D1587D" w:rsidRDefault="00D1587D">
            <w:pPr>
              <w:spacing w:line="20" w:lineRule="exact"/>
              <w:rPr>
                <w:sz w:val="1"/>
                <w:szCs w:val="1"/>
              </w:rPr>
            </w:pPr>
          </w:p>
        </w:tc>
        <w:tc>
          <w:tcPr>
            <w:tcW w:w="5280" w:type="dxa"/>
            <w:vAlign w:val="bottom"/>
          </w:tcPr>
          <w:p w14:paraId="7ABAFF59" w14:textId="77777777" w:rsidR="00D1587D" w:rsidRDefault="00D1587D">
            <w:pPr>
              <w:spacing w:line="20" w:lineRule="exact"/>
              <w:rPr>
                <w:sz w:val="1"/>
                <w:szCs w:val="1"/>
              </w:rPr>
            </w:pPr>
          </w:p>
        </w:tc>
        <w:tc>
          <w:tcPr>
            <w:tcW w:w="80" w:type="dxa"/>
            <w:vAlign w:val="bottom"/>
          </w:tcPr>
          <w:p w14:paraId="72E2FBB4" w14:textId="77777777" w:rsidR="00D1587D" w:rsidRDefault="00D1587D">
            <w:pPr>
              <w:spacing w:line="20" w:lineRule="exact"/>
              <w:rPr>
                <w:sz w:val="1"/>
                <w:szCs w:val="1"/>
              </w:rPr>
            </w:pPr>
          </w:p>
        </w:tc>
        <w:tc>
          <w:tcPr>
            <w:tcW w:w="500" w:type="dxa"/>
            <w:tcBorders>
              <w:bottom w:val="single" w:sz="8" w:space="0" w:color="auto"/>
            </w:tcBorders>
            <w:vAlign w:val="bottom"/>
          </w:tcPr>
          <w:p w14:paraId="08DF2AB2" w14:textId="77777777" w:rsidR="00D1587D" w:rsidRDefault="00D1587D">
            <w:pPr>
              <w:spacing w:line="20" w:lineRule="exact"/>
              <w:rPr>
                <w:sz w:val="1"/>
                <w:szCs w:val="1"/>
              </w:rPr>
            </w:pPr>
          </w:p>
        </w:tc>
        <w:tc>
          <w:tcPr>
            <w:tcW w:w="140" w:type="dxa"/>
            <w:vAlign w:val="bottom"/>
          </w:tcPr>
          <w:p w14:paraId="74759D57" w14:textId="77777777" w:rsidR="00D1587D" w:rsidRDefault="00D1587D">
            <w:pPr>
              <w:spacing w:line="20" w:lineRule="exact"/>
              <w:rPr>
                <w:sz w:val="1"/>
                <w:szCs w:val="1"/>
              </w:rPr>
            </w:pPr>
          </w:p>
        </w:tc>
        <w:tc>
          <w:tcPr>
            <w:tcW w:w="500" w:type="dxa"/>
            <w:tcBorders>
              <w:bottom w:val="single" w:sz="8" w:space="0" w:color="auto"/>
            </w:tcBorders>
            <w:vAlign w:val="bottom"/>
          </w:tcPr>
          <w:p w14:paraId="5F221906" w14:textId="77777777" w:rsidR="00D1587D" w:rsidRDefault="00D1587D">
            <w:pPr>
              <w:spacing w:line="20" w:lineRule="exact"/>
              <w:rPr>
                <w:sz w:val="1"/>
                <w:szCs w:val="1"/>
              </w:rPr>
            </w:pPr>
          </w:p>
        </w:tc>
        <w:tc>
          <w:tcPr>
            <w:tcW w:w="140" w:type="dxa"/>
            <w:vAlign w:val="bottom"/>
          </w:tcPr>
          <w:p w14:paraId="3A26F64A" w14:textId="77777777" w:rsidR="00D1587D" w:rsidRDefault="00D1587D">
            <w:pPr>
              <w:spacing w:line="20" w:lineRule="exact"/>
              <w:rPr>
                <w:sz w:val="1"/>
                <w:szCs w:val="1"/>
              </w:rPr>
            </w:pPr>
          </w:p>
        </w:tc>
        <w:tc>
          <w:tcPr>
            <w:tcW w:w="500" w:type="dxa"/>
            <w:tcBorders>
              <w:bottom w:val="single" w:sz="8" w:space="0" w:color="auto"/>
            </w:tcBorders>
            <w:vAlign w:val="bottom"/>
          </w:tcPr>
          <w:p w14:paraId="03C33912" w14:textId="77777777" w:rsidR="00D1587D" w:rsidRDefault="00D1587D">
            <w:pPr>
              <w:spacing w:line="20" w:lineRule="exact"/>
              <w:rPr>
                <w:sz w:val="1"/>
                <w:szCs w:val="1"/>
              </w:rPr>
            </w:pPr>
          </w:p>
        </w:tc>
      </w:tr>
      <w:tr w:rsidR="00D1587D" w14:paraId="0758B4F2" w14:textId="77777777">
        <w:trPr>
          <w:trHeight w:val="169"/>
        </w:trPr>
        <w:tc>
          <w:tcPr>
            <w:tcW w:w="1280" w:type="dxa"/>
            <w:tcBorders>
              <w:bottom w:val="single" w:sz="8" w:space="0" w:color="auto"/>
            </w:tcBorders>
            <w:vAlign w:val="bottom"/>
          </w:tcPr>
          <w:p w14:paraId="56D566BA" w14:textId="77777777" w:rsidR="00D1587D" w:rsidRDefault="00D1587D">
            <w:pPr>
              <w:rPr>
                <w:sz w:val="14"/>
                <w:szCs w:val="14"/>
              </w:rPr>
            </w:pPr>
          </w:p>
        </w:tc>
        <w:tc>
          <w:tcPr>
            <w:tcW w:w="5280" w:type="dxa"/>
            <w:vAlign w:val="bottom"/>
          </w:tcPr>
          <w:p w14:paraId="53D2C29D" w14:textId="77777777" w:rsidR="00D1587D" w:rsidRDefault="00D1587D">
            <w:pPr>
              <w:rPr>
                <w:sz w:val="14"/>
                <w:szCs w:val="14"/>
              </w:rPr>
            </w:pPr>
          </w:p>
        </w:tc>
        <w:tc>
          <w:tcPr>
            <w:tcW w:w="80" w:type="dxa"/>
            <w:vAlign w:val="bottom"/>
          </w:tcPr>
          <w:p w14:paraId="5780E118" w14:textId="77777777" w:rsidR="00D1587D" w:rsidRDefault="00D1587D">
            <w:pPr>
              <w:rPr>
                <w:sz w:val="14"/>
                <w:szCs w:val="14"/>
              </w:rPr>
            </w:pPr>
          </w:p>
        </w:tc>
        <w:tc>
          <w:tcPr>
            <w:tcW w:w="500" w:type="dxa"/>
            <w:vAlign w:val="bottom"/>
          </w:tcPr>
          <w:p w14:paraId="06482A51" w14:textId="77777777" w:rsidR="00D1587D" w:rsidRDefault="00D1587D">
            <w:pPr>
              <w:rPr>
                <w:sz w:val="14"/>
                <w:szCs w:val="14"/>
              </w:rPr>
            </w:pPr>
          </w:p>
        </w:tc>
        <w:tc>
          <w:tcPr>
            <w:tcW w:w="140" w:type="dxa"/>
            <w:vAlign w:val="bottom"/>
          </w:tcPr>
          <w:p w14:paraId="198C1BAD" w14:textId="77777777" w:rsidR="00D1587D" w:rsidRDefault="00D1587D">
            <w:pPr>
              <w:rPr>
                <w:sz w:val="14"/>
                <w:szCs w:val="14"/>
              </w:rPr>
            </w:pPr>
          </w:p>
        </w:tc>
        <w:tc>
          <w:tcPr>
            <w:tcW w:w="500" w:type="dxa"/>
            <w:vAlign w:val="bottom"/>
          </w:tcPr>
          <w:p w14:paraId="2F0E82CE" w14:textId="77777777" w:rsidR="00D1587D" w:rsidRDefault="00D1587D">
            <w:pPr>
              <w:rPr>
                <w:sz w:val="14"/>
                <w:szCs w:val="14"/>
              </w:rPr>
            </w:pPr>
          </w:p>
        </w:tc>
        <w:tc>
          <w:tcPr>
            <w:tcW w:w="140" w:type="dxa"/>
            <w:vAlign w:val="bottom"/>
          </w:tcPr>
          <w:p w14:paraId="5ABCF333" w14:textId="77777777" w:rsidR="00D1587D" w:rsidRDefault="00D1587D">
            <w:pPr>
              <w:rPr>
                <w:sz w:val="14"/>
                <w:szCs w:val="14"/>
              </w:rPr>
            </w:pPr>
          </w:p>
        </w:tc>
        <w:tc>
          <w:tcPr>
            <w:tcW w:w="500" w:type="dxa"/>
            <w:vAlign w:val="bottom"/>
          </w:tcPr>
          <w:p w14:paraId="1DCAC79E" w14:textId="77777777" w:rsidR="00D1587D" w:rsidRDefault="00D1587D">
            <w:pPr>
              <w:rPr>
                <w:sz w:val="14"/>
                <w:szCs w:val="14"/>
              </w:rPr>
            </w:pPr>
          </w:p>
        </w:tc>
      </w:tr>
    </w:tbl>
    <w:p w14:paraId="71225265" w14:textId="77777777" w:rsidR="00D1587D" w:rsidRDefault="00410D07">
      <w:pPr>
        <w:spacing w:line="20" w:lineRule="exact"/>
        <w:rPr>
          <w:sz w:val="20"/>
          <w:szCs w:val="20"/>
        </w:rPr>
      </w:pPr>
      <w:r>
        <w:rPr>
          <w:noProof/>
          <w:sz w:val="20"/>
          <w:szCs w:val="20"/>
        </w:rPr>
        <w:drawing>
          <wp:anchor distT="0" distB="0" distL="114300" distR="114300" simplePos="0" relativeHeight="252076032" behindDoc="1" locked="0" layoutInCell="0" allowOverlap="1" wp14:anchorId="40D3E2D9" wp14:editId="1BB27EE5">
            <wp:simplePos x="0" y="0"/>
            <wp:positionH relativeFrom="column">
              <wp:posOffset>5131435</wp:posOffset>
            </wp:positionH>
            <wp:positionV relativeFrom="paragraph">
              <wp:posOffset>-1199515</wp:posOffset>
            </wp:positionV>
            <wp:extent cx="85725" cy="8255"/>
            <wp:effectExtent l="0" t="0" r="0" b="0"/>
            <wp:wrapNone/>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077056" behindDoc="1" locked="0" layoutInCell="0" allowOverlap="1" wp14:anchorId="29BAC56D" wp14:editId="7D349CD8">
            <wp:simplePos x="0" y="0"/>
            <wp:positionH relativeFrom="column">
              <wp:posOffset>4728845</wp:posOffset>
            </wp:positionH>
            <wp:positionV relativeFrom="paragraph">
              <wp:posOffset>-1199515</wp:posOffset>
            </wp:positionV>
            <wp:extent cx="85725" cy="8255"/>
            <wp:effectExtent l="0" t="0" r="0" b="0"/>
            <wp:wrapNone/>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p>
    <w:p w14:paraId="4CBFEC85" w14:textId="77777777" w:rsidR="00D1587D" w:rsidRDefault="00D1587D">
      <w:pPr>
        <w:spacing w:line="15" w:lineRule="exact"/>
        <w:rPr>
          <w:sz w:val="20"/>
          <w:szCs w:val="20"/>
        </w:rPr>
      </w:pPr>
    </w:p>
    <w:p w14:paraId="79E17FA8" w14:textId="77777777" w:rsidR="00D1587D" w:rsidRDefault="00410D07" w:rsidP="00410D07">
      <w:pPr>
        <w:numPr>
          <w:ilvl w:val="0"/>
          <w:numId w:val="344"/>
        </w:numPr>
        <w:tabs>
          <w:tab w:val="left" w:pos="640"/>
        </w:tabs>
        <w:spacing w:line="253" w:lineRule="auto"/>
        <w:ind w:left="640" w:right="479" w:hanging="348"/>
        <w:rPr>
          <w:rFonts w:ascii="Arial" w:eastAsia="Arial" w:hAnsi="Arial" w:cs="Arial"/>
          <w:sz w:val="14"/>
          <w:szCs w:val="14"/>
        </w:rPr>
      </w:pPr>
      <w:r>
        <w:rPr>
          <w:rFonts w:ascii="Arial" w:eastAsia="Arial" w:hAnsi="Arial" w:cs="Arial"/>
          <w:sz w:val="14"/>
          <w:szCs w:val="14"/>
        </w:rPr>
        <w:t xml:space="preserve">Results include company-operated stores in the U.K. (pre-joint venture) and Greater China, royalties associated with franchised store and </w:t>
      </w:r>
      <w:r>
        <w:rPr>
          <w:rFonts w:ascii="Arial" w:eastAsia="Arial" w:hAnsi="Arial" w:cs="Arial"/>
          <w:sz w:val="14"/>
          <w:szCs w:val="14"/>
        </w:rPr>
        <w:t>wholesale sales.</w:t>
      </w:r>
    </w:p>
    <w:p w14:paraId="5AEB4BF6" w14:textId="77777777" w:rsidR="00D1587D" w:rsidRDefault="00D1587D">
      <w:pPr>
        <w:spacing w:line="70" w:lineRule="exact"/>
        <w:rPr>
          <w:sz w:val="20"/>
          <w:szCs w:val="20"/>
        </w:rPr>
      </w:pPr>
    </w:p>
    <w:p w14:paraId="0FCE06FE" w14:textId="77777777" w:rsidR="00D1587D" w:rsidRDefault="00410D07">
      <w:pPr>
        <w:spacing w:line="301" w:lineRule="auto"/>
        <w:ind w:left="300" w:right="639" w:firstLine="360"/>
        <w:rPr>
          <w:sz w:val="20"/>
          <w:szCs w:val="20"/>
        </w:rPr>
      </w:pPr>
      <w:r>
        <w:rPr>
          <w:rFonts w:ascii="Arial" w:eastAsia="Arial" w:hAnsi="Arial" w:cs="Arial"/>
          <w:sz w:val="16"/>
          <w:szCs w:val="16"/>
        </w:rPr>
        <w:t xml:space="preserve">The Company’s international net sales include sales from company-operated stores, royalty revenue from franchise and license arrangements, wholesale revenues and direct sales shipped internationally. Certain of these sales are subject to </w:t>
      </w:r>
      <w:r>
        <w:rPr>
          <w:rFonts w:ascii="Arial" w:eastAsia="Arial" w:hAnsi="Arial" w:cs="Arial"/>
          <w:sz w:val="16"/>
          <w:szCs w:val="16"/>
        </w:rPr>
        <w:t>the impact of fluctuations in foreign currency. The Company’s net sales outside of the U.S. totaled $643 million, $1.000 billion and $1.039 billion for 2020, 2019 and 2018, respectively.</w:t>
      </w:r>
    </w:p>
    <w:p w14:paraId="6DEF03F4" w14:textId="77777777" w:rsidR="00D1587D" w:rsidRDefault="00D1587D">
      <w:pPr>
        <w:spacing w:line="194" w:lineRule="exact"/>
        <w:rPr>
          <w:sz w:val="20"/>
          <w:szCs w:val="20"/>
        </w:rPr>
      </w:pPr>
    </w:p>
    <w:p w14:paraId="0577A500" w14:textId="77777777" w:rsidR="00D1587D" w:rsidRDefault="00410D07">
      <w:pPr>
        <w:ind w:left="300"/>
        <w:rPr>
          <w:sz w:val="20"/>
          <w:szCs w:val="20"/>
        </w:rPr>
      </w:pPr>
      <w:r>
        <w:rPr>
          <w:rFonts w:ascii="Arial" w:eastAsia="Arial" w:hAnsi="Arial" w:cs="Arial"/>
          <w:b/>
          <w:bCs/>
          <w:sz w:val="18"/>
          <w:szCs w:val="18"/>
        </w:rPr>
        <w:t>5. Restructuring Activities</w:t>
      </w:r>
    </w:p>
    <w:p w14:paraId="5A01A021" w14:textId="77777777" w:rsidR="00D1587D" w:rsidRDefault="00D1587D">
      <w:pPr>
        <w:spacing w:line="121" w:lineRule="exact"/>
        <w:rPr>
          <w:sz w:val="20"/>
          <w:szCs w:val="20"/>
        </w:rPr>
      </w:pPr>
    </w:p>
    <w:p w14:paraId="0B68F57F" w14:textId="77777777" w:rsidR="00D1587D" w:rsidRDefault="00410D07">
      <w:pPr>
        <w:spacing w:line="272" w:lineRule="auto"/>
        <w:ind w:left="300" w:right="339" w:firstLine="360"/>
        <w:rPr>
          <w:sz w:val="20"/>
          <w:szCs w:val="20"/>
        </w:rPr>
      </w:pPr>
      <w:r>
        <w:rPr>
          <w:rFonts w:ascii="Arial" w:eastAsia="Arial" w:hAnsi="Arial" w:cs="Arial"/>
          <w:sz w:val="17"/>
          <w:szCs w:val="17"/>
        </w:rPr>
        <w:t xml:space="preserve">Management of L Brands and the </w:t>
      </w:r>
      <w:r>
        <w:rPr>
          <w:rFonts w:ascii="Arial" w:eastAsia="Arial" w:hAnsi="Arial" w:cs="Arial"/>
          <w:sz w:val="17"/>
          <w:szCs w:val="17"/>
        </w:rPr>
        <w:t>Company is actively engaged in implementing a comprehensive profit improvement plan that will better position the Company for separation from L Brands. During 2020, management of L Brands and the Company reduced home office head count as a result of comple</w:t>
      </w:r>
      <w:r>
        <w:rPr>
          <w:rFonts w:ascii="Arial" w:eastAsia="Arial" w:hAnsi="Arial" w:cs="Arial"/>
          <w:sz w:val="17"/>
          <w:szCs w:val="17"/>
        </w:rPr>
        <w:t>ting a comprehensive review of the home office organizations in order to achieve meaningful reductions in overhead expenses and to decentralize significant shared functions and services to support the creation of standalone companies. Pre-tax severance and</w:t>
      </w:r>
      <w:r>
        <w:rPr>
          <w:rFonts w:ascii="Arial" w:eastAsia="Arial" w:hAnsi="Arial" w:cs="Arial"/>
          <w:sz w:val="17"/>
          <w:szCs w:val="17"/>
        </w:rPr>
        <w:t xml:space="preserve"> related costs associated with these reductions, totaling $51 million, are included in General, Administrative and Store Operating Expenses in the 2020 Combined Statement of Loss.</w:t>
      </w:r>
    </w:p>
    <w:p w14:paraId="549EC501" w14:textId="77777777" w:rsidR="00D1587D" w:rsidRDefault="00D1587D">
      <w:pPr>
        <w:spacing w:line="69" w:lineRule="exact"/>
        <w:rPr>
          <w:sz w:val="20"/>
          <w:szCs w:val="20"/>
        </w:rPr>
      </w:pPr>
    </w:p>
    <w:p w14:paraId="69F89638" w14:textId="77777777" w:rsidR="00D1587D" w:rsidRDefault="00410D07">
      <w:pPr>
        <w:spacing w:line="263" w:lineRule="auto"/>
        <w:ind w:left="300" w:right="379" w:firstLine="360"/>
        <w:rPr>
          <w:sz w:val="20"/>
          <w:szCs w:val="20"/>
        </w:rPr>
      </w:pPr>
      <w:r>
        <w:rPr>
          <w:rFonts w:ascii="Arial" w:eastAsia="Arial" w:hAnsi="Arial" w:cs="Arial"/>
          <w:sz w:val="18"/>
          <w:szCs w:val="18"/>
        </w:rPr>
        <w:t>During 2020, the Company made payments of $38 million and, as of January 30</w:t>
      </w:r>
      <w:r>
        <w:rPr>
          <w:rFonts w:ascii="Arial" w:eastAsia="Arial" w:hAnsi="Arial" w:cs="Arial"/>
          <w:sz w:val="18"/>
          <w:szCs w:val="18"/>
        </w:rPr>
        <w:t>, 2021, a liability, after accrual adjustments, of $14 million related to these costs is included in Accrued Expenses and Other on the Combined Balance Sheet.</w:t>
      </w:r>
    </w:p>
    <w:p w14:paraId="00A7E0E7" w14:textId="77777777" w:rsidR="00D1587D" w:rsidRDefault="00D1587D">
      <w:pPr>
        <w:spacing w:line="224" w:lineRule="exact"/>
        <w:rPr>
          <w:sz w:val="20"/>
          <w:szCs w:val="20"/>
        </w:rPr>
      </w:pPr>
    </w:p>
    <w:p w14:paraId="436BA960" w14:textId="77777777" w:rsidR="00D1587D" w:rsidRDefault="00410D07">
      <w:pPr>
        <w:ind w:left="300"/>
        <w:rPr>
          <w:sz w:val="20"/>
          <w:szCs w:val="20"/>
        </w:rPr>
      </w:pPr>
      <w:r>
        <w:rPr>
          <w:rFonts w:ascii="Arial" w:eastAsia="Arial" w:hAnsi="Arial" w:cs="Arial"/>
          <w:b/>
          <w:bCs/>
          <w:i/>
          <w:iCs/>
          <w:sz w:val="18"/>
          <w:szCs w:val="18"/>
        </w:rPr>
        <w:t>Victoria’s Secret U.K.</w:t>
      </w:r>
    </w:p>
    <w:p w14:paraId="144DAF35" w14:textId="77777777" w:rsidR="00D1587D" w:rsidRDefault="00D1587D">
      <w:pPr>
        <w:spacing w:line="117" w:lineRule="exact"/>
        <w:rPr>
          <w:sz w:val="20"/>
          <w:szCs w:val="20"/>
        </w:rPr>
      </w:pPr>
    </w:p>
    <w:p w14:paraId="03472F57" w14:textId="77777777" w:rsidR="00D1587D" w:rsidRDefault="00410D07">
      <w:pPr>
        <w:spacing w:line="296" w:lineRule="auto"/>
        <w:ind w:left="300" w:right="439" w:firstLine="360"/>
        <w:rPr>
          <w:sz w:val="20"/>
          <w:szCs w:val="20"/>
        </w:rPr>
      </w:pPr>
      <w:r>
        <w:rPr>
          <w:rFonts w:ascii="Arial" w:eastAsia="Arial" w:hAnsi="Arial" w:cs="Arial"/>
          <w:sz w:val="16"/>
          <w:szCs w:val="16"/>
        </w:rPr>
        <w:t>Due to challenging business results in the U.K., the Company entered int</w:t>
      </w:r>
      <w:r>
        <w:rPr>
          <w:rFonts w:ascii="Arial" w:eastAsia="Arial" w:hAnsi="Arial" w:cs="Arial"/>
          <w:sz w:val="16"/>
          <w:szCs w:val="16"/>
        </w:rPr>
        <w:t>o Administration in June 2020 to restructure store lease agreements and reduce operating losses in the U.K. business. In October 2020, the Company entered into a joint venture with Next PLC for the Victoria’s Secret business in the United Kingdom and Irela</w:t>
      </w:r>
      <w:r>
        <w:rPr>
          <w:rFonts w:ascii="Arial" w:eastAsia="Arial" w:hAnsi="Arial" w:cs="Arial"/>
          <w:sz w:val="16"/>
          <w:szCs w:val="16"/>
        </w:rPr>
        <w:t>nd. Under this agreement, the Company owns 49% of the joint venture, and Next owns 51% and is responsible for operations. The Company accounts for its investment in the joint venture under the equity method of accounting.</w:t>
      </w:r>
    </w:p>
    <w:p w14:paraId="5CEFE117" w14:textId="77777777" w:rsidR="00D1587D" w:rsidRDefault="00D1587D">
      <w:pPr>
        <w:spacing w:line="161" w:lineRule="exact"/>
        <w:rPr>
          <w:sz w:val="20"/>
          <w:szCs w:val="20"/>
        </w:rPr>
      </w:pPr>
    </w:p>
    <w:p w14:paraId="799B09F1" w14:textId="77777777" w:rsidR="00D1587D" w:rsidRDefault="00410D07">
      <w:pPr>
        <w:jc w:val="center"/>
        <w:rPr>
          <w:sz w:val="20"/>
          <w:szCs w:val="20"/>
        </w:rPr>
      </w:pPr>
      <w:r>
        <w:rPr>
          <w:rFonts w:ascii="Arial" w:eastAsia="Arial" w:hAnsi="Arial" w:cs="Arial"/>
          <w:sz w:val="18"/>
          <w:szCs w:val="18"/>
        </w:rPr>
        <w:t>F-18</w:t>
      </w:r>
    </w:p>
    <w:p w14:paraId="4BD96A8C" w14:textId="77777777" w:rsidR="00D1587D" w:rsidRDefault="00410D07">
      <w:pPr>
        <w:spacing w:line="20" w:lineRule="exact"/>
        <w:rPr>
          <w:sz w:val="20"/>
          <w:szCs w:val="20"/>
        </w:rPr>
      </w:pPr>
      <w:r>
        <w:rPr>
          <w:noProof/>
          <w:sz w:val="20"/>
          <w:szCs w:val="20"/>
        </w:rPr>
        <w:drawing>
          <wp:anchor distT="0" distB="0" distL="114300" distR="114300" simplePos="0" relativeHeight="252078080" behindDoc="1" locked="0" layoutInCell="0" allowOverlap="1" wp14:anchorId="6671F7CA" wp14:editId="3D3BDAD2">
            <wp:simplePos x="0" y="0"/>
            <wp:positionH relativeFrom="column">
              <wp:posOffset>-636905</wp:posOffset>
            </wp:positionH>
            <wp:positionV relativeFrom="paragraph">
              <wp:posOffset>126365</wp:posOffset>
            </wp:positionV>
            <wp:extent cx="6995160" cy="17145"/>
            <wp:effectExtent l="0" t="0" r="0" b="0"/>
            <wp:wrapNone/>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6ED94A68" w14:textId="77777777" w:rsidR="00D1587D" w:rsidRDefault="00D1587D">
      <w:pPr>
        <w:sectPr w:rsidR="00D1587D">
          <w:pgSz w:w="11900" w:h="16838"/>
          <w:pgMar w:top="265" w:right="1440" w:bottom="1440" w:left="1440" w:header="0" w:footer="0" w:gutter="0"/>
          <w:cols w:space="720" w:equalWidth="0">
            <w:col w:w="9019"/>
          </w:cols>
        </w:sectPr>
      </w:pPr>
    </w:p>
    <w:bookmarkStart w:id="414" w:name="page415"/>
    <w:bookmarkEnd w:id="414"/>
    <w:p w14:paraId="210877E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w:instrText>
      </w:r>
      <w:r>
        <w:instrText xml:space="preserve">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CECF07F" w14:textId="77777777" w:rsidR="00D1587D" w:rsidRDefault="00D1587D">
      <w:pPr>
        <w:spacing w:line="131" w:lineRule="exact"/>
        <w:rPr>
          <w:sz w:val="20"/>
          <w:szCs w:val="20"/>
        </w:rPr>
      </w:pPr>
    </w:p>
    <w:p w14:paraId="08D32396" w14:textId="77777777" w:rsidR="00D1587D" w:rsidRDefault="00410D07">
      <w:pPr>
        <w:spacing w:line="269" w:lineRule="auto"/>
        <w:ind w:left="300" w:right="359" w:firstLine="360"/>
        <w:rPr>
          <w:sz w:val="20"/>
          <w:szCs w:val="20"/>
        </w:rPr>
      </w:pPr>
      <w:r>
        <w:rPr>
          <w:rFonts w:ascii="Arial" w:eastAsia="Arial" w:hAnsi="Arial" w:cs="Arial"/>
          <w:sz w:val="17"/>
          <w:szCs w:val="17"/>
        </w:rPr>
        <w:t xml:space="preserve">The joint venture acquired the majority of the operating assets, primarily inventory, and the restructured leases were transferred to the joint venture. Effective October 19, 2020, the newly formed joint </w:t>
      </w:r>
      <w:r>
        <w:rPr>
          <w:rFonts w:ascii="Arial" w:eastAsia="Arial" w:hAnsi="Arial" w:cs="Arial"/>
          <w:sz w:val="17"/>
          <w:szCs w:val="17"/>
        </w:rPr>
        <w:t>venture began operating all Victoria’s Secret stores in the U.K. and Ireland. The joint venture will begin operating the U.K. direct business starting spring 2021. The Company recognized non-cash pre-tax gains of $90 million related to the derecognition of</w:t>
      </w:r>
      <w:r>
        <w:rPr>
          <w:rFonts w:ascii="Arial" w:eastAsia="Arial" w:hAnsi="Arial" w:cs="Arial"/>
          <w:sz w:val="17"/>
          <w:szCs w:val="17"/>
        </w:rPr>
        <w:t xml:space="preserve"> operating lease liabilities in excess of operating lease assets for the 24 store leases that were restructured and transferred to the joint venture. In addition, the Company recognized a $25 million non-cash pre-tax impairment charge to fully write-off al</w:t>
      </w:r>
      <w:r>
        <w:rPr>
          <w:rFonts w:ascii="Arial" w:eastAsia="Arial" w:hAnsi="Arial" w:cs="Arial"/>
          <w:sz w:val="17"/>
          <w:szCs w:val="17"/>
        </w:rPr>
        <w:t>l remaining long-lived store assets in the U.K. Finally, as a result of the transition to a joint venture business model in the U.K. and the substantially complete liquidation of the Company’s investment in the U.K., the Company recognized a $36 million no</w:t>
      </w:r>
      <w:r>
        <w:rPr>
          <w:rFonts w:ascii="Arial" w:eastAsia="Arial" w:hAnsi="Arial" w:cs="Arial"/>
          <w:sz w:val="17"/>
          <w:szCs w:val="17"/>
        </w:rPr>
        <w:t>n-cash pre-tax loss related to accumulated foreign currency translation adjustments that were reclassified into earnings, which were previously recognized as a component of equity.</w:t>
      </w:r>
    </w:p>
    <w:p w14:paraId="2708F71A" w14:textId="77777777" w:rsidR="00D1587D" w:rsidRDefault="00D1587D">
      <w:pPr>
        <w:spacing w:line="74" w:lineRule="exact"/>
        <w:rPr>
          <w:sz w:val="20"/>
          <w:szCs w:val="20"/>
        </w:rPr>
      </w:pPr>
    </w:p>
    <w:p w14:paraId="1DFC7079" w14:textId="77777777" w:rsidR="00D1587D" w:rsidRDefault="00410D07">
      <w:pPr>
        <w:spacing w:line="263" w:lineRule="auto"/>
        <w:ind w:left="300" w:right="379" w:firstLine="360"/>
        <w:rPr>
          <w:sz w:val="20"/>
          <w:szCs w:val="20"/>
        </w:rPr>
      </w:pPr>
      <w:r>
        <w:rPr>
          <w:rFonts w:ascii="Arial" w:eastAsia="Arial" w:hAnsi="Arial" w:cs="Arial"/>
          <w:sz w:val="18"/>
          <w:szCs w:val="18"/>
        </w:rPr>
        <w:t>The above items relating to Victoria’s Secret U.K. are included in General</w:t>
      </w:r>
      <w:r>
        <w:rPr>
          <w:rFonts w:ascii="Arial" w:eastAsia="Arial" w:hAnsi="Arial" w:cs="Arial"/>
          <w:sz w:val="18"/>
          <w:szCs w:val="18"/>
        </w:rPr>
        <w:t>, Administrative and Store Operating Expenses in the 2020 Combined Statement of Loss as they all relate to the Company’s transition to a joint venture business model in the U.K.</w:t>
      </w:r>
    </w:p>
    <w:p w14:paraId="78738521" w14:textId="77777777" w:rsidR="00D1587D" w:rsidRDefault="00D1587D">
      <w:pPr>
        <w:spacing w:line="288" w:lineRule="exact"/>
        <w:rPr>
          <w:sz w:val="20"/>
          <w:szCs w:val="20"/>
        </w:rPr>
      </w:pPr>
    </w:p>
    <w:p w14:paraId="02C74584" w14:textId="77777777" w:rsidR="00D1587D" w:rsidRDefault="00410D07">
      <w:pPr>
        <w:ind w:left="300"/>
        <w:rPr>
          <w:sz w:val="20"/>
          <w:szCs w:val="20"/>
        </w:rPr>
      </w:pPr>
      <w:r>
        <w:rPr>
          <w:rFonts w:ascii="Arial" w:eastAsia="Arial" w:hAnsi="Arial" w:cs="Arial"/>
          <w:b/>
          <w:bCs/>
          <w:sz w:val="18"/>
          <w:szCs w:val="18"/>
        </w:rPr>
        <w:t>6. Inventories</w:t>
      </w:r>
    </w:p>
    <w:p w14:paraId="31C29C9D" w14:textId="77777777" w:rsidR="00D1587D" w:rsidRDefault="00D1587D">
      <w:pPr>
        <w:spacing w:line="135" w:lineRule="exact"/>
        <w:rPr>
          <w:sz w:val="20"/>
          <w:szCs w:val="20"/>
        </w:rPr>
      </w:pPr>
    </w:p>
    <w:p w14:paraId="11FF0DB4" w14:textId="77777777" w:rsidR="00D1587D" w:rsidRDefault="00410D07">
      <w:pPr>
        <w:ind w:left="660"/>
        <w:rPr>
          <w:sz w:val="20"/>
          <w:szCs w:val="20"/>
        </w:rPr>
      </w:pPr>
      <w:r>
        <w:rPr>
          <w:rFonts w:ascii="Arial" w:eastAsia="Arial" w:hAnsi="Arial" w:cs="Arial"/>
          <w:sz w:val="18"/>
          <w:szCs w:val="18"/>
        </w:rPr>
        <w:t xml:space="preserve">The following table provides details of </w:t>
      </w:r>
      <w:r>
        <w:rPr>
          <w:rFonts w:ascii="Arial" w:eastAsia="Arial" w:hAnsi="Arial" w:cs="Arial"/>
          <w:sz w:val="18"/>
          <w:szCs w:val="18"/>
        </w:rPr>
        <w:t>inventories as of January 30, 2021 and February 1, 2020:</w:t>
      </w:r>
    </w:p>
    <w:p w14:paraId="00BD74A2" w14:textId="77777777" w:rsidR="00D1587D" w:rsidRDefault="00D1587D">
      <w:pPr>
        <w:spacing w:line="16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760"/>
        <w:gridCol w:w="80"/>
        <w:gridCol w:w="740"/>
        <w:gridCol w:w="100"/>
        <w:gridCol w:w="740"/>
      </w:tblGrid>
      <w:tr w:rsidR="00D1587D" w14:paraId="4B765B21" w14:textId="77777777">
        <w:trPr>
          <w:trHeight w:val="161"/>
        </w:trPr>
        <w:tc>
          <w:tcPr>
            <w:tcW w:w="6760" w:type="dxa"/>
            <w:vAlign w:val="bottom"/>
          </w:tcPr>
          <w:p w14:paraId="7F300DD7" w14:textId="77777777" w:rsidR="00D1587D" w:rsidRDefault="00D1587D">
            <w:pPr>
              <w:rPr>
                <w:sz w:val="14"/>
                <w:szCs w:val="14"/>
              </w:rPr>
            </w:pPr>
          </w:p>
        </w:tc>
        <w:tc>
          <w:tcPr>
            <w:tcW w:w="80" w:type="dxa"/>
            <w:vAlign w:val="bottom"/>
          </w:tcPr>
          <w:p w14:paraId="718FEAA3" w14:textId="77777777" w:rsidR="00D1587D" w:rsidRDefault="00D1587D">
            <w:pPr>
              <w:rPr>
                <w:sz w:val="14"/>
                <w:szCs w:val="14"/>
              </w:rPr>
            </w:pPr>
          </w:p>
        </w:tc>
        <w:tc>
          <w:tcPr>
            <w:tcW w:w="840" w:type="dxa"/>
            <w:gridSpan w:val="2"/>
            <w:vAlign w:val="bottom"/>
          </w:tcPr>
          <w:p w14:paraId="39296C6C" w14:textId="77777777" w:rsidR="00D1587D" w:rsidRDefault="00410D07">
            <w:pPr>
              <w:rPr>
                <w:sz w:val="20"/>
                <w:szCs w:val="20"/>
              </w:rPr>
            </w:pPr>
            <w:r>
              <w:rPr>
                <w:rFonts w:ascii="Arial" w:eastAsia="Arial" w:hAnsi="Arial" w:cs="Arial"/>
                <w:b/>
                <w:bCs/>
                <w:sz w:val="14"/>
                <w:szCs w:val="14"/>
              </w:rPr>
              <w:t>January 30,</w:t>
            </w:r>
          </w:p>
        </w:tc>
        <w:tc>
          <w:tcPr>
            <w:tcW w:w="740" w:type="dxa"/>
            <w:vAlign w:val="bottom"/>
          </w:tcPr>
          <w:p w14:paraId="053132CB" w14:textId="77777777" w:rsidR="00D1587D" w:rsidRDefault="00410D07">
            <w:pPr>
              <w:jc w:val="right"/>
              <w:rPr>
                <w:sz w:val="20"/>
                <w:szCs w:val="20"/>
              </w:rPr>
            </w:pPr>
            <w:r>
              <w:rPr>
                <w:rFonts w:ascii="Arial" w:eastAsia="Arial" w:hAnsi="Arial" w:cs="Arial"/>
                <w:b/>
                <w:bCs/>
                <w:w w:val="95"/>
                <w:sz w:val="14"/>
                <w:szCs w:val="14"/>
              </w:rPr>
              <w:t>February 1,</w:t>
            </w:r>
          </w:p>
        </w:tc>
      </w:tr>
      <w:tr w:rsidR="00D1587D" w14:paraId="04DAE3BB" w14:textId="77777777">
        <w:trPr>
          <w:trHeight w:val="186"/>
        </w:trPr>
        <w:tc>
          <w:tcPr>
            <w:tcW w:w="6760" w:type="dxa"/>
            <w:vAlign w:val="bottom"/>
          </w:tcPr>
          <w:p w14:paraId="1692E279" w14:textId="77777777" w:rsidR="00D1587D" w:rsidRDefault="00D1587D">
            <w:pPr>
              <w:rPr>
                <w:sz w:val="16"/>
                <w:szCs w:val="16"/>
              </w:rPr>
            </w:pPr>
          </w:p>
        </w:tc>
        <w:tc>
          <w:tcPr>
            <w:tcW w:w="80" w:type="dxa"/>
            <w:vAlign w:val="bottom"/>
          </w:tcPr>
          <w:p w14:paraId="1C06FB80" w14:textId="77777777" w:rsidR="00D1587D" w:rsidRDefault="00D1587D">
            <w:pPr>
              <w:rPr>
                <w:sz w:val="16"/>
                <w:szCs w:val="16"/>
              </w:rPr>
            </w:pPr>
          </w:p>
        </w:tc>
        <w:tc>
          <w:tcPr>
            <w:tcW w:w="740" w:type="dxa"/>
            <w:vAlign w:val="bottom"/>
          </w:tcPr>
          <w:p w14:paraId="52EB122C" w14:textId="77777777" w:rsidR="00D1587D" w:rsidRDefault="00410D07">
            <w:pPr>
              <w:ind w:right="139"/>
              <w:jc w:val="right"/>
              <w:rPr>
                <w:sz w:val="20"/>
                <w:szCs w:val="20"/>
              </w:rPr>
            </w:pPr>
            <w:r>
              <w:rPr>
                <w:rFonts w:ascii="Arial" w:eastAsia="Arial" w:hAnsi="Arial" w:cs="Arial"/>
                <w:b/>
                <w:bCs/>
                <w:sz w:val="14"/>
                <w:szCs w:val="14"/>
              </w:rPr>
              <w:t>2021</w:t>
            </w:r>
          </w:p>
        </w:tc>
        <w:tc>
          <w:tcPr>
            <w:tcW w:w="100" w:type="dxa"/>
            <w:vAlign w:val="bottom"/>
          </w:tcPr>
          <w:p w14:paraId="1F25166D" w14:textId="77777777" w:rsidR="00D1587D" w:rsidRDefault="00D1587D">
            <w:pPr>
              <w:rPr>
                <w:sz w:val="16"/>
                <w:szCs w:val="16"/>
              </w:rPr>
            </w:pPr>
          </w:p>
        </w:tc>
        <w:tc>
          <w:tcPr>
            <w:tcW w:w="740" w:type="dxa"/>
            <w:vAlign w:val="bottom"/>
          </w:tcPr>
          <w:p w14:paraId="6CDA1169" w14:textId="77777777" w:rsidR="00D1587D" w:rsidRDefault="00410D07">
            <w:pPr>
              <w:ind w:right="137"/>
              <w:jc w:val="right"/>
              <w:rPr>
                <w:sz w:val="20"/>
                <w:szCs w:val="20"/>
              </w:rPr>
            </w:pPr>
            <w:r>
              <w:rPr>
                <w:rFonts w:ascii="Arial" w:eastAsia="Arial" w:hAnsi="Arial" w:cs="Arial"/>
                <w:b/>
                <w:bCs/>
                <w:sz w:val="14"/>
                <w:szCs w:val="14"/>
              </w:rPr>
              <w:t>2020</w:t>
            </w:r>
          </w:p>
        </w:tc>
      </w:tr>
      <w:tr w:rsidR="00D1587D" w14:paraId="697086AE" w14:textId="77777777">
        <w:trPr>
          <w:trHeight w:val="53"/>
        </w:trPr>
        <w:tc>
          <w:tcPr>
            <w:tcW w:w="6760" w:type="dxa"/>
            <w:vAlign w:val="bottom"/>
          </w:tcPr>
          <w:p w14:paraId="5C5F36B4" w14:textId="77777777" w:rsidR="00D1587D" w:rsidRDefault="00D1587D">
            <w:pPr>
              <w:rPr>
                <w:sz w:val="4"/>
                <w:szCs w:val="4"/>
              </w:rPr>
            </w:pPr>
          </w:p>
        </w:tc>
        <w:tc>
          <w:tcPr>
            <w:tcW w:w="80" w:type="dxa"/>
            <w:vAlign w:val="bottom"/>
          </w:tcPr>
          <w:p w14:paraId="4BC272F4" w14:textId="77777777" w:rsidR="00D1587D" w:rsidRDefault="00D1587D">
            <w:pPr>
              <w:rPr>
                <w:sz w:val="4"/>
                <w:szCs w:val="4"/>
              </w:rPr>
            </w:pPr>
          </w:p>
        </w:tc>
        <w:tc>
          <w:tcPr>
            <w:tcW w:w="1580" w:type="dxa"/>
            <w:gridSpan w:val="3"/>
            <w:tcBorders>
              <w:bottom w:val="single" w:sz="8" w:space="0" w:color="auto"/>
            </w:tcBorders>
            <w:vAlign w:val="bottom"/>
          </w:tcPr>
          <w:p w14:paraId="7DC0D321" w14:textId="77777777" w:rsidR="00D1587D" w:rsidRDefault="00D1587D">
            <w:pPr>
              <w:rPr>
                <w:sz w:val="4"/>
                <w:szCs w:val="4"/>
              </w:rPr>
            </w:pPr>
          </w:p>
        </w:tc>
      </w:tr>
      <w:tr w:rsidR="00D1587D" w14:paraId="74544A8F" w14:textId="77777777">
        <w:trPr>
          <w:trHeight w:val="224"/>
        </w:trPr>
        <w:tc>
          <w:tcPr>
            <w:tcW w:w="6760" w:type="dxa"/>
            <w:vAlign w:val="bottom"/>
          </w:tcPr>
          <w:p w14:paraId="1CEBBE6B" w14:textId="77777777" w:rsidR="00D1587D" w:rsidRDefault="00D1587D">
            <w:pPr>
              <w:rPr>
                <w:sz w:val="19"/>
                <w:szCs w:val="19"/>
              </w:rPr>
            </w:pPr>
          </w:p>
        </w:tc>
        <w:tc>
          <w:tcPr>
            <w:tcW w:w="80" w:type="dxa"/>
            <w:vAlign w:val="bottom"/>
          </w:tcPr>
          <w:p w14:paraId="1AF4D65B" w14:textId="77777777" w:rsidR="00D1587D" w:rsidRDefault="00D1587D">
            <w:pPr>
              <w:rPr>
                <w:sz w:val="19"/>
                <w:szCs w:val="19"/>
              </w:rPr>
            </w:pPr>
          </w:p>
        </w:tc>
        <w:tc>
          <w:tcPr>
            <w:tcW w:w="1580" w:type="dxa"/>
            <w:gridSpan w:val="3"/>
            <w:vAlign w:val="bottom"/>
          </w:tcPr>
          <w:p w14:paraId="3DD01F79" w14:textId="77777777" w:rsidR="00D1587D" w:rsidRDefault="00410D07">
            <w:pPr>
              <w:ind w:right="337"/>
              <w:jc w:val="right"/>
              <w:rPr>
                <w:sz w:val="20"/>
                <w:szCs w:val="20"/>
              </w:rPr>
            </w:pPr>
            <w:r>
              <w:rPr>
                <w:rFonts w:ascii="Arial" w:eastAsia="Arial" w:hAnsi="Arial" w:cs="Arial"/>
                <w:b/>
                <w:bCs/>
                <w:sz w:val="14"/>
                <w:szCs w:val="14"/>
              </w:rPr>
              <w:t>(in millions)</w:t>
            </w:r>
          </w:p>
        </w:tc>
      </w:tr>
      <w:tr w:rsidR="00D1587D" w14:paraId="2D6999CA" w14:textId="77777777">
        <w:trPr>
          <w:trHeight w:val="53"/>
        </w:trPr>
        <w:tc>
          <w:tcPr>
            <w:tcW w:w="6760" w:type="dxa"/>
            <w:vAlign w:val="bottom"/>
          </w:tcPr>
          <w:p w14:paraId="60BD357A" w14:textId="77777777" w:rsidR="00D1587D" w:rsidRDefault="00D1587D">
            <w:pPr>
              <w:rPr>
                <w:sz w:val="4"/>
                <w:szCs w:val="4"/>
              </w:rPr>
            </w:pPr>
          </w:p>
        </w:tc>
        <w:tc>
          <w:tcPr>
            <w:tcW w:w="80" w:type="dxa"/>
            <w:vAlign w:val="bottom"/>
          </w:tcPr>
          <w:p w14:paraId="55B967F4" w14:textId="77777777" w:rsidR="00D1587D" w:rsidRDefault="00D1587D">
            <w:pPr>
              <w:rPr>
                <w:sz w:val="4"/>
                <w:szCs w:val="4"/>
              </w:rPr>
            </w:pPr>
          </w:p>
        </w:tc>
        <w:tc>
          <w:tcPr>
            <w:tcW w:w="740" w:type="dxa"/>
            <w:vAlign w:val="bottom"/>
          </w:tcPr>
          <w:p w14:paraId="44D5E54A" w14:textId="77777777" w:rsidR="00D1587D" w:rsidRDefault="00D1587D">
            <w:pPr>
              <w:rPr>
                <w:sz w:val="4"/>
                <w:szCs w:val="4"/>
              </w:rPr>
            </w:pPr>
          </w:p>
        </w:tc>
        <w:tc>
          <w:tcPr>
            <w:tcW w:w="100" w:type="dxa"/>
            <w:vAlign w:val="bottom"/>
          </w:tcPr>
          <w:p w14:paraId="5CCA2611" w14:textId="77777777" w:rsidR="00D1587D" w:rsidRDefault="00D1587D">
            <w:pPr>
              <w:rPr>
                <w:sz w:val="4"/>
                <w:szCs w:val="4"/>
              </w:rPr>
            </w:pPr>
          </w:p>
        </w:tc>
        <w:tc>
          <w:tcPr>
            <w:tcW w:w="740" w:type="dxa"/>
            <w:vAlign w:val="bottom"/>
          </w:tcPr>
          <w:p w14:paraId="52234061" w14:textId="77777777" w:rsidR="00D1587D" w:rsidRDefault="00D1587D">
            <w:pPr>
              <w:rPr>
                <w:sz w:val="4"/>
                <w:szCs w:val="4"/>
              </w:rPr>
            </w:pPr>
          </w:p>
        </w:tc>
      </w:tr>
      <w:tr w:rsidR="00D1587D" w14:paraId="55FA361F" w14:textId="77777777">
        <w:trPr>
          <w:trHeight w:val="318"/>
        </w:trPr>
        <w:tc>
          <w:tcPr>
            <w:tcW w:w="6840" w:type="dxa"/>
            <w:gridSpan w:val="2"/>
            <w:tcBorders>
              <w:bottom w:val="single" w:sz="8" w:space="0" w:color="CCEEFF"/>
            </w:tcBorders>
            <w:shd w:val="clear" w:color="auto" w:fill="CCEEFF"/>
            <w:vAlign w:val="bottom"/>
          </w:tcPr>
          <w:p w14:paraId="473D97F9" w14:textId="77777777" w:rsidR="00D1587D" w:rsidRDefault="00410D07">
            <w:pPr>
              <w:rPr>
                <w:sz w:val="20"/>
                <w:szCs w:val="20"/>
              </w:rPr>
            </w:pPr>
            <w:r>
              <w:rPr>
                <w:rFonts w:ascii="Arial" w:eastAsia="Arial" w:hAnsi="Arial" w:cs="Arial"/>
                <w:sz w:val="18"/>
                <w:szCs w:val="18"/>
              </w:rPr>
              <w:t>Finished Goods Merchandise</w:t>
            </w:r>
          </w:p>
        </w:tc>
        <w:tc>
          <w:tcPr>
            <w:tcW w:w="740" w:type="dxa"/>
            <w:tcBorders>
              <w:bottom w:val="single" w:sz="8" w:space="0" w:color="CCEEFF"/>
            </w:tcBorders>
            <w:shd w:val="clear" w:color="auto" w:fill="CCEEFF"/>
            <w:vAlign w:val="bottom"/>
          </w:tcPr>
          <w:p w14:paraId="20FC1123" w14:textId="77777777" w:rsidR="00D1587D" w:rsidRDefault="00410D07">
            <w:pPr>
              <w:ind w:right="119"/>
              <w:jc w:val="right"/>
              <w:rPr>
                <w:sz w:val="20"/>
                <w:szCs w:val="20"/>
              </w:rPr>
            </w:pPr>
            <w:r>
              <w:rPr>
                <w:rFonts w:ascii="Arial" w:eastAsia="Arial" w:hAnsi="Arial" w:cs="Arial"/>
                <w:sz w:val="18"/>
                <w:szCs w:val="18"/>
              </w:rPr>
              <w:t>$663</w:t>
            </w:r>
          </w:p>
        </w:tc>
        <w:tc>
          <w:tcPr>
            <w:tcW w:w="100" w:type="dxa"/>
            <w:tcBorders>
              <w:bottom w:val="single" w:sz="8" w:space="0" w:color="CCEEFF"/>
            </w:tcBorders>
            <w:shd w:val="clear" w:color="auto" w:fill="CCEEFF"/>
            <w:vAlign w:val="bottom"/>
          </w:tcPr>
          <w:p w14:paraId="012A31DA" w14:textId="77777777" w:rsidR="00D1587D" w:rsidRDefault="00D1587D">
            <w:pPr>
              <w:rPr>
                <w:sz w:val="24"/>
                <w:szCs w:val="24"/>
              </w:rPr>
            </w:pPr>
          </w:p>
        </w:tc>
        <w:tc>
          <w:tcPr>
            <w:tcW w:w="740" w:type="dxa"/>
            <w:tcBorders>
              <w:bottom w:val="single" w:sz="8" w:space="0" w:color="CCEEFF"/>
            </w:tcBorders>
            <w:shd w:val="clear" w:color="auto" w:fill="CCEEFF"/>
            <w:vAlign w:val="bottom"/>
          </w:tcPr>
          <w:p w14:paraId="4AC72C45" w14:textId="77777777" w:rsidR="00D1587D" w:rsidRDefault="00410D07">
            <w:pPr>
              <w:ind w:right="97"/>
              <w:jc w:val="right"/>
              <w:rPr>
                <w:sz w:val="20"/>
                <w:szCs w:val="20"/>
              </w:rPr>
            </w:pPr>
            <w:r>
              <w:rPr>
                <w:rFonts w:ascii="Arial" w:eastAsia="Arial" w:hAnsi="Arial" w:cs="Arial"/>
                <w:sz w:val="18"/>
                <w:szCs w:val="18"/>
              </w:rPr>
              <w:t>$824</w:t>
            </w:r>
          </w:p>
        </w:tc>
      </w:tr>
      <w:tr w:rsidR="00D1587D" w14:paraId="4A2B2EA0" w14:textId="77777777">
        <w:trPr>
          <w:trHeight w:val="270"/>
        </w:trPr>
        <w:tc>
          <w:tcPr>
            <w:tcW w:w="6840" w:type="dxa"/>
            <w:gridSpan w:val="2"/>
            <w:vAlign w:val="bottom"/>
          </w:tcPr>
          <w:p w14:paraId="7AFB2D82" w14:textId="77777777" w:rsidR="00D1587D" w:rsidRDefault="00410D07">
            <w:pPr>
              <w:rPr>
                <w:sz w:val="20"/>
                <w:szCs w:val="20"/>
              </w:rPr>
            </w:pPr>
            <w:r>
              <w:rPr>
                <w:rFonts w:ascii="Arial" w:eastAsia="Arial" w:hAnsi="Arial" w:cs="Arial"/>
                <w:sz w:val="18"/>
                <w:szCs w:val="18"/>
              </w:rPr>
              <w:t>Raw Materials and Merchandise Components</w:t>
            </w:r>
          </w:p>
        </w:tc>
        <w:tc>
          <w:tcPr>
            <w:tcW w:w="740" w:type="dxa"/>
            <w:vAlign w:val="bottom"/>
          </w:tcPr>
          <w:p w14:paraId="110DC3CC" w14:textId="77777777" w:rsidR="00D1587D" w:rsidRDefault="00410D07">
            <w:pPr>
              <w:ind w:right="119"/>
              <w:jc w:val="right"/>
              <w:rPr>
                <w:sz w:val="20"/>
                <w:szCs w:val="20"/>
              </w:rPr>
            </w:pPr>
            <w:r>
              <w:rPr>
                <w:rFonts w:ascii="Arial" w:eastAsia="Arial" w:hAnsi="Arial" w:cs="Arial"/>
                <w:sz w:val="18"/>
                <w:szCs w:val="18"/>
              </w:rPr>
              <w:t>38</w:t>
            </w:r>
          </w:p>
        </w:tc>
        <w:tc>
          <w:tcPr>
            <w:tcW w:w="100" w:type="dxa"/>
            <w:vAlign w:val="bottom"/>
          </w:tcPr>
          <w:p w14:paraId="581D2E6B" w14:textId="77777777" w:rsidR="00D1587D" w:rsidRDefault="00D1587D">
            <w:pPr>
              <w:rPr>
                <w:sz w:val="23"/>
                <w:szCs w:val="23"/>
              </w:rPr>
            </w:pPr>
          </w:p>
        </w:tc>
        <w:tc>
          <w:tcPr>
            <w:tcW w:w="740" w:type="dxa"/>
            <w:vAlign w:val="bottom"/>
          </w:tcPr>
          <w:p w14:paraId="728A9962" w14:textId="77777777" w:rsidR="00D1587D" w:rsidRDefault="00410D07">
            <w:pPr>
              <w:ind w:right="97"/>
              <w:jc w:val="right"/>
              <w:rPr>
                <w:sz w:val="20"/>
                <w:szCs w:val="20"/>
              </w:rPr>
            </w:pPr>
            <w:r>
              <w:rPr>
                <w:rFonts w:ascii="Arial" w:eastAsia="Arial" w:hAnsi="Arial" w:cs="Arial"/>
                <w:sz w:val="18"/>
                <w:szCs w:val="18"/>
              </w:rPr>
              <w:t>31</w:t>
            </w:r>
          </w:p>
        </w:tc>
      </w:tr>
      <w:tr w:rsidR="00D1587D" w14:paraId="77FAD5F4" w14:textId="77777777">
        <w:trPr>
          <w:trHeight w:val="68"/>
        </w:trPr>
        <w:tc>
          <w:tcPr>
            <w:tcW w:w="6760" w:type="dxa"/>
            <w:tcBorders>
              <w:bottom w:val="single" w:sz="8" w:space="0" w:color="CCEEFF"/>
            </w:tcBorders>
            <w:vAlign w:val="bottom"/>
          </w:tcPr>
          <w:p w14:paraId="75A88ADC" w14:textId="77777777" w:rsidR="00D1587D" w:rsidRDefault="00D1587D">
            <w:pPr>
              <w:rPr>
                <w:sz w:val="5"/>
                <w:szCs w:val="5"/>
              </w:rPr>
            </w:pPr>
          </w:p>
        </w:tc>
        <w:tc>
          <w:tcPr>
            <w:tcW w:w="80" w:type="dxa"/>
            <w:tcBorders>
              <w:bottom w:val="single" w:sz="8" w:space="0" w:color="CCEEFF"/>
            </w:tcBorders>
            <w:vAlign w:val="bottom"/>
          </w:tcPr>
          <w:p w14:paraId="5DE418D9" w14:textId="77777777" w:rsidR="00D1587D" w:rsidRDefault="00D1587D">
            <w:pPr>
              <w:rPr>
                <w:sz w:val="5"/>
                <w:szCs w:val="5"/>
              </w:rPr>
            </w:pPr>
          </w:p>
        </w:tc>
        <w:tc>
          <w:tcPr>
            <w:tcW w:w="740" w:type="dxa"/>
            <w:tcBorders>
              <w:bottom w:val="single" w:sz="8" w:space="0" w:color="auto"/>
            </w:tcBorders>
            <w:vAlign w:val="bottom"/>
          </w:tcPr>
          <w:p w14:paraId="129A31A6" w14:textId="77777777" w:rsidR="00D1587D" w:rsidRDefault="00D1587D">
            <w:pPr>
              <w:rPr>
                <w:sz w:val="5"/>
                <w:szCs w:val="5"/>
              </w:rPr>
            </w:pPr>
          </w:p>
        </w:tc>
        <w:tc>
          <w:tcPr>
            <w:tcW w:w="100" w:type="dxa"/>
            <w:tcBorders>
              <w:bottom w:val="single" w:sz="8" w:space="0" w:color="CCEEFF"/>
            </w:tcBorders>
            <w:vAlign w:val="bottom"/>
          </w:tcPr>
          <w:p w14:paraId="406F6799" w14:textId="77777777" w:rsidR="00D1587D" w:rsidRDefault="00D1587D">
            <w:pPr>
              <w:rPr>
                <w:sz w:val="5"/>
                <w:szCs w:val="5"/>
              </w:rPr>
            </w:pPr>
          </w:p>
        </w:tc>
        <w:tc>
          <w:tcPr>
            <w:tcW w:w="740" w:type="dxa"/>
            <w:tcBorders>
              <w:bottom w:val="single" w:sz="8" w:space="0" w:color="auto"/>
            </w:tcBorders>
            <w:vAlign w:val="bottom"/>
          </w:tcPr>
          <w:p w14:paraId="0CE63E90" w14:textId="77777777" w:rsidR="00D1587D" w:rsidRDefault="00D1587D">
            <w:pPr>
              <w:rPr>
                <w:sz w:val="5"/>
                <w:szCs w:val="5"/>
              </w:rPr>
            </w:pPr>
          </w:p>
        </w:tc>
      </w:tr>
      <w:tr w:rsidR="00D1587D" w14:paraId="0E1607E9" w14:textId="77777777">
        <w:trPr>
          <w:trHeight w:val="376"/>
        </w:trPr>
        <w:tc>
          <w:tcPr>
            <w:tcW w:w="6840" w:type="dxa"/>
            <w:gridSpan w:val="2"/>
            <w:tcBorders>
              <w:bottom w:val="single" w:sz="8" w:space="0" w:color="CCEEFF"/>
            </w:tcBorders>
            <w:shd w:val="clear" w:color="auto" w:fill="CCEEFF"/>
            <w:vAlign w:val="bottom"/>
          </w:tcPr>
          <w:p w14:paraId="6CEEE1F5" w14:textId="77777777" w:rsidR="00D1587D" w:rsidRDefault="00410D07">
            <w:pPr>
              <w:rPr>
                <w:sz w:val="20"/>
                <w:szCs w:val="20"/>
              </w:rPr>
            </w:pPr>
            <w:r>
              <w:rPr>
                <w:rFonts w:ascii="Arial" w:eastAsia="Arial" w:hAnsi="Arial" w:cs="Arial"/>
                <w:sz w:val="18"/>
                <w:szCs w:val="18"/>
              </w:rPr>
              <w:t>Total Inventories</w:t>
            </w:r>
          </w:p>
        </w:tc>
        <w:tc>
          <w:tcPr>
            <w:tcW w:w="740" w:type="dxa"/>
            <w:tcBorders>
              <w:bottom w:val="single" w:sz="8" w:space="0" w:color="CCEEFF"/>
            </w:tcBorders>
            <w:shd w:val="clear" w:color="auto" w:fill="CCEEFF"/>
            <w:vAlign w:val="bottom"/>
          </w:tcPr>
          <w:p w14:paraId="235F58A2" w14:textId="77777777" w:rsidR="00D1587D" w:rsidRDefault="00410D07">
            <w:pPr>
              <w:ind w:right="119"/>
              <w:jc w:val="right"/>
              <w:rPr>
                <w:sz w:val="20"/>
                <w:szCs w:val="20"/>
              </w:rPr>
            </w:pPr>
            <w:r>
              <w:rPr>
                <w:rFonts w:ascii="Arial" w:eastAsia="Arial" w:hAnsi="Arial" w:cs="Arial"/>
                <w:sz w:val="18"/>
                <w:szCs w:val="18"/>
              </w:rPr>
              <w:t>$701</w:t>
            </w:r>
          </w:p>
        </w:tc>
        <w:tc>
          <w:tcPr>
            <w:tcW w:w="100" w:type="dxa"/>
            <w:tcBorders>
              <w:bottom w:val="single" w:sz="8" w:space="0" w:color="CCEEFF"/>
            </w:tcBorders>
            <w:shd w:val="clear" w:color="auto" w:fill="CCEEFF"/>
            <w:vAlign w:val="bottom"/>
          </w:tcPr>
          <w:p w14:paraId="1BD81698" w14:textId="77777777" w:rsidR="00D1587D" w:rsidRDefault="00D1587D">
            <w:pPr>
              <w:rPr>
                <w:sz w:val="24"/>
                <w:szCs w:val="24"/>
              </w:rPr>
            </w:pPr>
          </w:p>
        </w:tc>
        <w:tc>
          <w:tcPr>
            <w:tcW w:w="740" w:type="dxa"/>
            <w:tcBorders>
              <w:bottom w:val="single" w:sz="8" w:space="0" w:color="CCEEFF"/>
            </w:tcBorders>
            <w:shd w:val="clear" w:color="auto" w:fill="CCEEFF"/>
            <w:vAlign w:val="bottom"/>
          </w:tcPr>
          <w:p w14:paraId="4BE79398" w14:textId="77777777" w:rsidR="00D1587D" w:rsidRDefault="00410D07">
            <w:pPr>
              <w:ind w:right="97"/>
              <w:jc w:val="right"/>
              <w:rPr>
                <w:sz w:val="20"/>
                <w:szCs w:val="20"/>
              </w:rPr>
            </w:pPr>
            <w:r>
              <w:rPr>
                <w:rFonts w:ascii="Arial" w:eastAsia="Arial" w:hAnsi="Arial" w:cs="Arial"/>
                <w:sz w:val="18"/>
                <w:szCs w:val="18"/>
              </w:rPr>
              <w:t>$855</w:t>
            </w:r>
          </w:p>
        </w:tc>
      </w:tr>
      <w:tr w:rsidR="00D1587D" w14:paraId="2373D19B" w14:textId="77777777">
        <w:trPr>
          <w:trHeight w:val="20"/>
        </w:trPr>
        <w:tc>
          <w:tcPr>
            <w:tcW w:w="6760" w:type="dxa"/>
            <w:tcBorders>
              <w:top w:val="single" w:sz="8" w:space="0" w:color="CCEEFF"/>
            </w:tcBorders>
            <w:vAlign w:val="bottom"/>
          </w:tcPr>
          <w:p w14:paraId="7E3A3960" w14:textId="77777777" w:rsidR="00D1587D" w:rsidRDefault="00D1587D">
            <w:pPr>
              <w:spacing w:line="20" w:lineRule="exact"/>
              <w:rPr>
                <w:sz w:val="1"/>
                <w:szCs w:val="1"/>
              </w:rPr>
            </w:pPr>
          </w:p>
        </w:tc>
        <w:tc>
          <w:tcPr>
            <w:tcW w:w="80" w:type="dxa"/>
            <w:tcBorders>
              <w:top w:val="single" w:sz="8" w:space="0" w:color="CCEEFF"/>
            </w:tcBorders>
            <w:vAlign w:val="bottom"/>
          </w:tcPr>
          <w:p w14:paraId="1AB81FDF" w14:textId="77777777" w:rsidR="00D1587D" w:rsidRDefault="00D1587D">
            <w:pPr>
              <w:spacing w:line="20" w:lineRule="exact"/>
              <w:rPr>
                <w:sz w:val="1"/>
                <w:szCs w:val="1"/>
              </w:rPr>
            </w:pPr>
          </w:p>
        </w:tc>
        <w:tc>
          <w:tcPr>
            <w:tcW w:w="740" w:type="dxa"/>
            <w:tcBorders>
              <w:top w:val="single" w:sz="8" w:space="0" w:color="auto"/>
            </w:tcBorders>
            <w:shd w:val="clear" w:color="auto" w:fill="000000"/>
            <w:vAlign w:val="bottom"/>
          </w:tcPr>
          <w:p w14:paraId="24AB7B91" w14:textId="77777777" w:rsidR="00D1587D" w:rsidRDefault="00D1587D">
            <w:pPr>
              <w:spacing w:line="20" w:lineRule="exact"/>
              <w:rPr>
                <w:sz w:val="1"/>
                <w:szCs w:val="1"/>
              </w:rPr>
            </w:pPr>
          </w:p>
        </w:tc>
        <w:tc>
          <w:tcPr>
            <w:tcW w:w="100" w:type="dxa"/>
            <w:tcBorders>
              <w:top w:val="single" w:sz="8" w:space="0" w:color="CCEEFF"/>
            </w:tcBorders>
            <w:vAlign w:val="bottom"/>
          </w:tcPr>
          <w:p w14:paraId="61B01D13" w14:textId="77777777" w:rsidR="00D1587D" w:rsidRDefault="00D1587D">
            <w:pPr>
              <w:spacing w:line="20" w:lineRule="exact"/>
              <w:rPr>
                <w:sz w:val="1"/>
                <w:szCs w:val="1"/>
              </w:rPr>
            </w:pPr>
          </w:p>
        </w:tc>
        <w:tc>
          <w:tcPr>
            <w:tcW w:w="740" w:type="dxa"/>
            <w:tcBorders>
              <w:top w:val="single" w:sz="8" w:space="0" w:color="auto"/>
            </w:tcBorders>
            <w:shd w:val="clear" w:color="auto" w:fill="000000"/>
            <w:vAlign w:val="bottom"/>
          </w:tcPr>
          <w:p w14:paraId="3C5852F8" w14:textId="77777777" w:rsidR="00D1587D" w:rsidRDefault="00D1587D">
            <w:pPr>
              <w:spacing w:line="20" w:lineRule="exact"/>
              <w:rPr>
                <w:sz w:val="1"/>
                <w:szCs w:val="1"/>
              </w:rPr>
            </w:pPr>
          </w:p>
        </w:tc>
      </w:tr>
    </w:tbl>
    <w:p w14:paraId="2D3CF529" w14:textId="77777777" w:rsidR="00D1587D" w:rsidRDefault="00410D07">
      <w:pPr>
        <w:spacing w:line="20" w:lineRule="exact"/>
        <w:rPr>
          <w:sz w:val="20"/>
          <w:szCs w:val="20"/>
        </w:rPr>
      </w:pPr>
      <w:r>
        <w:rPr>
          <w:noProof/>
          <w:sz w:val="20"/>
          <w:szCs w:val="20"/>
        </w:rPr>
        <w:drawing>
          <wp:anchor distT="0" distB="0" distL="114300" distR="114300" simplePos="0" relativeHeight="252079104" behindDoc="1" locked="0" layoutInCell="0" allowOverlap="1" wp14:anchorId="3C468D58" wp14:editId="79A947C0">
            <wp:simplePos x="0" y="0"/>
            <wp:positionH relativeFrom="column">
              <wp:posOffset>5003165</wp:posOffset>
            </wp:positionH>
            <wp:positionV relativeFrom="paragraph">
              <wp:posOffset>-256540</wp:posOffset>
            </wp:positionV>
            <wp:extent cx="68580" cy="8255"/>
            <wp:effectExtent l="0" t="0" r="0" b="0"/>
            <wp:wrapNone/>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2080128" behindDoc="1" locked="0" layoutInCell="0" allowOverlap="1" wp14:anchorId="6E328855" wp14:editId="23A52130">
            <wp:simplePos x="0" y="0"/>
            <wp:positionH relativeFrom="column">
              <wp:posOffset>4488815</wp:posOffset>
            </wp:positionH>
            <wp:positionV relativeFrom="paragraph">
              <wp:posOffset>-256540</wp:posOffset>
            </wp:positionV>
            <wp:extent cx="43180" cy="8255"/>
            <wp:effectExtent l="0" t="0" r="0" b="0"/>
            <wp:wrapNone/>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r>
        <w:rPr>
          <w:noProof/>
          <w:sz w:val="20"/>
          <w:szCs w:val="20"/>
        </w:rPr>
        <w:drawing>
          <wp:anchor distT="0" distB="0" distL="114300" distR="114300" simplePos="0" relativeHeight="252081152" behindDoc="1" locked="0" layoutInCell="0" allowOverlap="1" wp14:anchorId="10F6EF1B" wp14:editId="6C3F88EA">
            <wp:simplePos x="0" y="0"/>
            <wp:positionH relativeFrom="column">
              <wp:posOffset>5003165</wp:posOffset>
            </wp:positionH>
            <wp:positionV relativeFrom="paragraph">
              <wp:posOffset>-873760</wp:posOffset>
            </wp:positionV>
            <wp:extent cx="68580" cy="8255"/>
            <wp:effectExtent l="0" t="0" r="0" b="0"/>
            <wp:wrapNone/>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p>
    <w:p w14:paraId="1695F52C" w14:textId="77777777" w:rsidR="00D1587D" w:rsidRDefault="00D1587D">
      <w:pPr>
        <w:spacing w:line="259" w:lineRule="exact"/>
        <w:rPr>
          <w:sz w:val="20"/>
          <w:szCs w:val="20"/>
        </w:rPr>
      </w:pPr>
    </w:p>
    <w:p w14:paraId="11EB5335" w14:textId="77777777" w:rsidR="00D1587D" w:rsidRDefault="00410D07">
      <w:pPr>
        <w:ind w:left="300"/>
        <w:rPr>
          <w:sz w:val="20"/>
          <w:szCs w:val="20"/>
        </w:rPr>
      </w:pPr>
      <w:r>
        <w:rPr>
          <w:rFonts w:ascii="Arial" w:eastAsia="Arial" w:hAnsi="Arial" w:cs="Arial"/>
          <w:b/>
          <w:bCs/>
          <w:sz w:val="18"/>
          <w:szCs w:val="18"/>
        </w:rPr>
        <w:t>7. Long-Lived Assets</w:t>
      </w:r>
    </w:p>
    <w:p w14:paraId="0BE3D0E7" w14:textId="77777777" w:rsidR="00D1587D" w:rsidRDefault="00D1587D">
      <w:pPr>
        <w:spacing w:line="121" w:lineRule="exact"/>
        <w:rPr>
          <w:sz w:val="20"/>
          <w:szCs w:val="20"/>
        </w:rPr>
      </w:pPr>
    </w:p>
    <w:p w14:paraId="3DD1EDAF" w14:textId="77777777" w:rsidR="00D1587D" w:rsidRDefault="00410D07">
      <w:pPr>
        <w:spacing w:line="277" w:lineRule="auto"/>
        <w:ind w:left="300" w:right="659" w:firstLine="360"/>
        <w:rPr>
          <w:sz w:val="20"/>
          <w:szCs w:val="20"/>
        </w:rPr>
      </w:pPr>
      <w:r>
        <w:rPr>
          <w:rFonts w:ascii="Arial" w:eastAsia="Arial" w:hAnsi="Arial" w:cs="Arial"/>
          <w:sz w:val="18"/>
          <w:szCs w:val="18"/>
        </w:rPr>
        <w:t>The following table provides details of property and equipment, net as of January 30, 2021 and February 1, 2020:</w:t>
      </w:r>
    </w:p>
    <w:p w14:paraId="39981C28" w14:textId="77777777" w:rsidR="00D1587D" w:rsidRDefault="00D1587D">
      <w:pPr>
        <w:spacing w:line="10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760"/>
        <w:gridCol w:w="80"/>
        <w:gridCol w:w="200"/>
        <w:gridCol w:w="540"/>
        <w:gridCol w:w="100"/>
        <w:gridCol w:w="200"/>
        <w:gridCol w:w="540"/>
      </w:tblGrid>
      <w:tr w:rsidR="00D1587D" w14:paraId="2B383471" w14:textId="77777777">
        <w:trPr>
          <w:trHeight w:val="161"/>
        </w:trPr>
        <w:tc>
          <w:tcPr>
            <w:tcW w:w="6760" w:type="dxa"/>
            <w:vAlign w:val="bottom"/>
          </w:tcPr>
          <w:p w14:paraId="1B7CEC3F" w14:textId="77777777" w:rsidR="00D1587D" w:rsidRDefault="00D1587D">
            <w:pPr>
              <w:rPr>
                <w:sz w:val="14"/>
                <w:szCs w:val="14"/>
              </w:rPr>
            </w:pPr>
          </w:p>
        </w:tc>
        <w:tc>
          <w:tcPr>
            <w:tcW w:w="80" w:type="dxa"/>
            <w:vAlign w:val="bottom"/>
          </w:tcPr>
          <w:p w14:paraId="227FEBD4" w14:textId="77777777" w:rsidR="00D1587D" w:rsidRDefault="00D1587D">
            <w:pPr>
              <w:rPr>
                <w:sz w:val="14"/>
                <w:szCs w:val="14"/>
              </w:rPr>
            </w:pPr>
          </w:p>
        </w:tc>
        <w:tc>
          <w:tcPr>
            <w:tcW w:w="840" w:type="dxa"/>
            <w:gridSpan w:val="3"/>
            <w:vAlign w:val="bottom"/>
          </w:tcPr>
          <w:p w14:paraId="2086EDAC" w14:textId="77777777" w:rsidR="00D1587D" w:rsidRDefault="00410D07">
            <w:pPr>
              <w:rPr>
                <w:sz w:val="20"/>
                <w:szCs w:val="20"/>
              </w:rPr>
            </w:pPr>
            <w:r>
              <w:rPr>
                <w:rFonts w:ascii="Arial" w:eastAsia="Arial" w:hAnsi="Arial" w:cs="Arial"/>
                <w:b/>
                <w:bCs/>
                <w:sz w:val="14"/>
                <w:szCs w:val="14"/>
              </w:rPr>
              <w:t>January 30,</w:t>
            </w:r>
          </w:p>
        </w:tc>
        <w:tc>
          <w:tcPr>
            <w:tcW w:w="740" w:type="dxa"/>
            <w:gridSpan w:val="2"/>
            <w:vAlign w:val="bottom"/>
          </w:tcPr>
          <w:p w14:paraId="7358A829" w14:textId="77777777" w:rsidR="00D1587D" w:rsidRDefault="00410D07">
            <w:pPr>
              <w:jc w:val="right"/>
              <w:rPr>
                <w:sz w:val="20"/>
                <w:szCs w:val="20"/>
              </w:rPr>
            </w:pPr>
            <w:r>
              <w:rPr>
                <w:rFonts w:ascii="Arial" w:eastAsia="Arial" w:hAnsi="Arial" w:cs="Arial"/>
                <w:b/>
                <w:bCs/>
                <w:w w:val="95"/>
                <w:sz w:val="14"/>
                <w:szCs w:val="14"/>
              </w:rPr>
              <w:t>February 1,</w:t>
            </w:r>
          </w:p>
        </w:tc>
      </w:tr>
      <w:tr w:rsidR="00D1587D" w14:paraId="55BCDE42" w14:textId="77777777">
        <w:trPr>
          <w:trHeight w:val="186"/>
        </w:trPr>
        <w:tc>
          <w:tcPr>
            <w:tcW w:w="6760" w:type="dxa"/>
            <w:vAlign w:val="bottom"/>
          </w:tcPr>
          <w:p w14:paraId="26409D28" w14:textId="77777777" w:rsidR="00D1587D" w:rsidRDefault="00D1587D">
            <w:pPr>
              <w:rPr>
                <w:sz w:val="16"/>
                <w:szCs w:val="16"/>
              </w:rPr>
            </w:pPr>
          </w:p>
        </w:tc>
        <w:tc>
          <w:tcPr>
            <w:tcW w:w="80" w:type="dxa"/>
            <w:vAlign w:val="bottom"/>
          </w:tcPr>
          <w:p w14:paraId="17D9D3A9" w14:textId="77777777" w:rsidR="00D1587D" w:rsidRDefault="00D1587D">
            <w:pPr>
              <w:rPr>
                <w:sz w:val="16"/>
                <w:szCs w:val="16"/>
              </w:rPr>
            </w:pPr>
          </w:p>
        </w:tc>
        <w:tc>
          <w:tcPr>
            <w:tcW w:w="200" w:type="dxa"/>
            <w:vAlign w:val="bottom"/>
          </w:tcPr>
          <w:p w14:paraId="1A99C2DA" w14:textId="77777777" w:rsidR="00D1587D" w:rsidRDefault="00D1587D">
            <w:pPr>
              <w:rPr>
                <w:sz w:val="16"/>
                <w:szCs w:val="16"/>
              </w:rPr>
            </w:pPr>
          </w:p>
        </w:tc>
        <w:tc>
          <w:tcPr>
            <w:tcW w:w="540" w:type="dxa"/>
            <w:vAlign w:val="bottom"/>
          </w:tcPr>
          <w:p w14:paraId="17D4F17A" w14:textId="77777777" w:rsidR="00D1587D" w:rsidRDefault="00410D07">
            <w:pPr>
              <w:ind w:right="134"/>
              <w:jc w:val="right"/>
              <w:rPr>
                <w:sz w:val="20"/>
                <w:szCs w:val="20"/>
              </w:rPr>
            </w:pPr>
            <w:r>
              <w:rPr>
                <w:rFonts w:ascii="Arial" w:eastAsia="Arial" w:hAnsi="Arial" w:cs="Arial"/>
                <w:b/>
                <w:bCs/>
                <w:w w:val="96"/>
                <w:sz w:val="14"/>
                <w:szCs w:val="14"/>
              </w:rPr>
              <w:t>2021</w:t>
            </w:r>
          </w:p>
        </w:tc>
        <w:tc>
          <w:tcPr>
            <w:tcW w:w="100" w:type="dxa"/>
            <w:vAlign w:val="bottom"/>
          </w:tcPr>
          <w:p w14:paraId="5F408559" w14:textId="77777777" w:rsidR="00D1587D" w:rsidRDefault="00D1587D">
            <w:pPr>
              <w:rPr>
                <w:sz w:val="16"/>
                <w:szCs w:val="16"/>
              </w:rPr>
            </w:pPr>
          </w:p>
        </w:tc>
        <w:tc>
          <w:tcPr>
            <w:tcW w:w="200" w:type="dxa"/>
            <w:vAlign w:val="bottom"/>
          </w:tcPr>
          <w:p w14:paraId="494891BB" w14:textId="77777777" w:rsidR="00D1587D" w:rsidRDefault="00D1587D">
            <w:pPr>
              <w:rPr>
                <w:sz w:val="16"/>
                <w:szCs w:val="16"/>
              </w:rPr>
            </w:pPr>
          </w:p>
        </w:tc>
        <w:tc>
          <w:tcPr>
            <w:tcW w:w="540" w:type="dxa"/>
            <w:vAlign w:val="bottom"/>
          </w:tcPr>
          <w:p w14:paraId="000B8A14" w14:textId="77777777" w:rsidR="00D1587D" w:rsidRDefault="00410D07">
            <w:pPr>
              <w:ind w:right="132"/>
              <w:jc w:val="right"/>
              <w:rPr>
                <w:sz w:val="20"/>
                <w:szCs w:val="20"/>
              </w:rPr>
            </w:pPr>
            <w:r>
              <w:rPr>
                <w:rFonts w:ascii="Arial" w:eastAsia="Arial" w:hAnsi="Arial" w:cs="Arial"/>
                <w:b/>
                <w:bCs/>
                <w:w w:val="96"/>
                <w:sz w:val="14"/>
                <w:szCs w:val="14"/>
              </w:rPr>
              <w:t>2020</w:t>
            </w:r>
          </w:p>
        </w:tc>
      </w:tr>
      <w:tr w:rsidR="00D1587D" w14:paraId="0388A6EE" w14:textId="77777777">
        <w:trPr>
          <w:trHeight w:val="53"/>
        </w:trPr>
        <w:tc>
          <w:tcPr>
            <w:tcW w:w="6760" w:type="dxa"/>
            <w:vAlign w:val="bottom"/>
          </w:tcPr>
          <w:p w14:paraId="49A75E46" w14:textId="77777777" w:rsidR="00D1587D" w:rsidRDefault="00D1587D">
            <w:pPr>
              <w:rPr>
                <w:sz w:val="4"/>
                <w:szCs w:val="4"/>
              </w:rPr>
            </w:pPr>
          </w:p>
        </w:tc>
        <w:tc>
          <w:tcPr>
            <w:tcW w:w="80" w:type="dxa"/>
            <w:vAlign w:val="bottom"/>
          </w:tcPr>
          <w:p w14:paraId="34D871CE" w14:textId="77777777" w:rsidR="00D1587D" w:rsidRDefault="00D1587D">
            <w:pPr>
              <w:rPr>
                <w:sz w:val="4"/>
                <w:szCs w:val="4"/>
              </w:rPr>
            </w:pPr>
          </w:p>
        </w:tc>
        <w:tc>
          <w:tcPr>
            <w:tcW w:w="200" w:type="dxa"/>
            <w:tcBorders>
              <w:bottom w:val="single" w:sz="8" w:space="0" w:color="auto"/>
            </w:tcBorders>
            <w:vAlign w:val="bottom"/>
          </w:tcPr>
          <w:p w14:paraId="6E92C586" w14:textId="77777777" w:rsidR="00D1587D" w:rsidRDefault="00D1587D">
            <w:pPr>
              <w:rPr>
                <w:sz w:val="4"/>
                <w:szCs w:val="4"/>
              </w:rPr>
            </w:pPr>
          </w:p>
        </w:tc>
        <w:tc>
          <w:tcPr>
            <w:tcW w:w="1380" w:type="dxa"/>
            <w:gridSpan w:val="4"/>
            <w:tcBorders>
              <w:bottom w:val="single" w:sz="8" w:space="0" w:color="auto"/>
            </w:tcBorders>
            <w:vAlign w:val="bottom"/>
          </w:tcPr>
          <w:p w14:paraId="0FB08FC8" w14:textId="77777777" w:rsidR="00D1587D" w:rsidRDefault="00D1587D">
            <w:pPr>
              <w:rPr>
                <w:sz w:val="4"/>
                <w:szCs w:val="4"/>
              </w:rPr>
            </w:pPr>
          </w:p>
        </w:tc>
      </w:tr>
      <w:tr w:rsidR="00D1587D" w14:paraId="2C5B6DC1" w14:textId="77777777">
        <w:trPr>
          <w:trHeight w:val="225"/>
        </w:trPr>
        <w:tc>
          <w:tcPr>
            <w:tcW w:w="6760" w:type="dxa"/>
            <w:vAlign w:val="bottom"/>
          </w:tcPr>
          <w:p w14:paraId="2C789F93" w14:textId="77777777" w:rsidR="00D1587D" w:rsidRDefault="00D1587D">
            <w:pPr>
              <w:rPr>
                <w:sz w:val="19"/>
                <w:szCs w:val="19"/>
              </w:rPr>
            </w:pPr>
          </w:p>
        </w:tc>
        <w:tc>
          <w:tcPr>
            <w:tcW w:w="80" w:type="dxa"/>
            <w:vAlign w:val="bottom"/>
          </w:tcPr>
          <w:p w14:paraId="2A8E9D33" w14:textId="77777777" w:rsidR="00D1587D" w:rsidRDefault="00D1587D">
            <w:pPr>
              <w:rPr>
                <w:sz w:val="19"/>
                <w:szCs w:val="19"/>
              </w:rPr>
            </w:pPr>
          </w:p>
        </w:tc>
        <w:tc>
          <w:tcPr>
            <w:tcW w:w="200" w:type="dxa"/>
            <w:vAlign w:val="bottom"/>
          </w:tcPr>
          <w:p w14:paraId="3C317C5A" w14:textId="77777777" w:rsidR="00D1587D" w:rsidRDefault="00D1587D">
            <w:pPr>
              <w:rPr>
                <w:sz w:val="19"/>
                <w:szCs w:val="19"/>
              </w:rPr>
            </w:pPr>
          </w:p>
        </w:tc>
        <w:tc>
          <w:tcPr>
            <w:tcW w:w="1380" w:type="dxa"/>
            <w:gridSpan w:val="4"/>
            <w:vAlign w:val="bottom"/>
          </w:tcPr>
          <w:p w14:paraId="517C65D5" w14:textId="77777777" w:rsidR="00D1587D" w:rsidRDefault="00410D07">
            <w:pPr>
              <w:ind w:right="332"/>
              <w:jc w:val="right"/>
              <w:rPr>
                <w:sz w:val="20"/>
                <w:szCs w:val="20"/>
              </w:rPr>
            </w:pPr>
            <w:r>
              <w:rPr>
                <w:rFonts w:ascii="Arial" w:eastAsia="Arial" w:hAnsi="Arial" w:cs="Arial"/>
                <w:b/>
                <w:bCs/>
                <w:sz w:val="14"/>
                <w:szCs w:val="14"/>
              </w:rPr>
              <w:t>(in millions)</w:t>
            </w:r>
          </w:p>
        </w:tc>
      </w:tr>
      <w:tr w:rsidR="00D1587D" w14:paraId="1FC5EE7E" w14:textId="77777777">
        <w:trPr>
          <w:trHeight w:val="53"/>
        </w:trPr>
        <w:tc>
          <w:tcPr>
            <w:tcW w:w="6760" w:type="dxa"/>
            <w:vAlign w:val="bottom"/>
          </w:tcPr>
          <w:p w14:paraId="4A8E42A1" w14:textId="77777777" w:rsidR="00D1587D" w:rsidRDefault="00D1587D">
            <w:pPr>
              <w:rPr>
                <w:sz w:val="4"/>
                <w:szCs w:val="4"/>
              </w:rPr>
            </w:pPr>
          </w:p>
        </w:tc>
        <w:tc>
          <w:tcPr>
            <w:tcW w:w="80" w:type="dxa"/>
            <w:vAlign w:val="bottom"/>
          </w:tcPr>
          <w:p w14:paraId="4E9EF932" w14:textId="77777777" w:rsidR="00D1587D" w:rsidRDefault="00D1587D">
            <w:pPr>
              <w:rPr>
                <w:sz w:val="4"/>
                <w:szCs w:val="4"/>
              </w:rPr>
            </w:pPr>
          </w:p>
        </w:tc>
        <w:tc>
          <w:tcPr>
            <w:tcW w:w="200" w:type="dxa"/>
            <w:vAlign w:val="bottom"/>
          </w:tcPr>
          <w:p w14:paraId="43CAE3C8" w14:textId="77777777" w:rsidR="00D1587D" w:rsidRDefault="00D1587D">
            <w:pPr>
              <w:rPr>
                <w:sz w:val="4"/>
                <w:szCs w:val="4"/>
              </w:rPr>
            </w:pPr>
          </w:p>
        </w:tc>
        <w:tc>
          <w:tcPr>
            <w:tcW w:w="540" w:type="dxa"/>
            <w:vAlign w:val="bottom"/>
          </w:tcPr>
          <w:p w14:paraId="599149B8" w14:textId="77777777" w:rsidR="00D1587D" w:rsidRDefault="00D1587D">
            <w:pPr>
              <w:rPr>
                <w:sz w:val="4"/>
                <w:szCs w:val="4"/>
              </w:rPr>
            </w:pPr>
          </w:p>
        </w:tc>
        <w:tc>
          <w:tcPr>
            <w:tcW w:w="100" w:type="dxa"/>
            <w:vAlign w:val="bottom"/>
          </w:tcPr>
          <w:p w14:paraId="35C5FE6C" w14:textId="77777777" w:rsidR="00D1587D" w:rsidRDefault="00D1587D">
            <w:pPr>
              <w:rPr>
                <w:sz w:val="4"/>
                <w:szCs w:val="4"/>
              </w:rPr>
            </w:pPr>
          </w:p>
        </w:tc>
        <w:tc>
          <w:tcPr>
            <w:tcW w:w="200" w:type="dxa"/>
            <w:vAlign w:val="bottom"/>
          </w:tcPr>
          <w:p w14:paraId="07BE4244" w14:textId="77777777" w:rsidR="00D1587D" w:rsidRDefault="00D1587D">
            <w:pPr>
              <w:rPr>
                <w:sz w:val="4"/>
                <w:szCs w:val="4"/>
              </w:rPr>
            </w:pPr>
          </w:p>
        </w:tc>
        <w:tc>
          <w:tcPr>
            <w:tcW w:w="540" w:type="dxa"/>
            <w:vAlign w:val="bottom"/>
          </w:tcPr>
          <w:p w14:paraId="2900D3B1" w14:textId="77777777" w:rsidR="00D1587D" w:rsidRDefault="00D1587D">
            <w:pPr>
              <w:rPr>
                <w:sz w:val="4"/>
                <w:szCs w:val="4"/>
              </w:rPr>
            </w:pPr>
          </w:p>
        </w:tc>
      </w:tr>
      <w:tr w:rsidR="00D1587D" w14:paraId="7264D2E0" w14:textId="77777777">
        <w:trPr>
          <w:trHeight w:val="318"/>
        </w:trPr>
        <w:tc>
          <w:tcPr>
            <w:tcW w:w="6840" w:type="dxa"/>
            <w:gridSpan w:val="2"/>
            <w:tcBorders>
              <w:bottom w:val="single" w:sz="8" w:space="0" w:color="CCEEFF"/>
            </w:tcBorders>
            <w:shd w:val="clear" w:color="auto" w:fill="CCEEFF"/>
            <w:vAlign w:val="bottom"/>
          </w:tcPr>
          <w:p w14:paraId="075B0C4D" w14:textId="77777777" w:rsidR="00D1587D" w:rsidRDefault="00410D07">
            <w:pPr>
              <w:rPr>
                <w:sz w:val="20"/>
                <w:szCs w:val="20"/>
              </w:rPr>
            </w:pPr>
            <w:r>
              <w:rPr>
                <w:rFonts w:ascii="Arial" w:eastAsia="Arial" w:hAnsi="Arial" w:cs="Arial"/>
                <w:sz w:val="18"/>
                <w:szCs w:val="18"/>
              </w:rPr>
              <w:t>Land and Improvements</w:t>
            </w:r>
          </w:p>
        </w:tc>
        <w:tc>
          <w:tcPr>
            <w:tcW w:w="200" w:type="dxa"/>
            <w:tcBorders>
              <w:bottom w:val="single" w:sz="8" w:space="0" w:color="CCEEFF"/>
            </w:tcBorders>
            <w:shd w:val="clear" w:color="auto" w:fill="CCEEFF"/>
            <w:vAlign w:val="bottom"/>
          </w:tcPr>
          <w:p w14:paraId="4AF3A61C" w14:textId="77777777" w:rsidR="00D1587D" w:rsidRDefault="00410D07">
            <w:pPr>
              <w:jc w:val="right"/>
              <w:rPr>
                <w:sz w:val="20"/>
                <w:szCs w:val="20"/>
              </w:rPr>
            </w:pPr>
            <w:r>
              <w:rPr>
                <w:rFonts w:ascii="Arial" w:eastAsia="Arial" w:hAnsi="Arial" w:cs="Arial"/>
                <w:sz w:val="18"/>
                <w:szCs w:val="18"/>
              </w:rPr>
              <w:t>$</w:t>
            </w:r>
          </w:p>
        </w:tc>
        <w:tc>
          <w:tcPr>
            <w:tcW w:w="540" w:type="dxa"/>
            <w:tcBorders>
              <w:bottom w:val="single" w:sz="8" w:space="0" w:color="CCEEFF"/>
            </w:tcBorders>
            <w:shd w:val="clear" w:color="auto" w:fill="CCEEFF"/>
            <w:vAlign w:val="bottom"/>
          </w:tcPr>
          <w:p w14:paraId="00386C99" w14:textId="77777777" w:rsidR="00D1587D" w:rsidRDefault="00410D07">
            <w:pPr>
              <w:ind w:right="14"/>
              <w:jc w:val="right"/>
              <w:rPr>
                <w:sz w:val="20"/>
                <w:szCs w:val="20"/>
              </w:rPr>
            </w:pPr>
            <w:r>
              <w:rPr>
                <w:rFonts w:ascii="Arial" w:eastAsia="Arial" w:hAnsi="Arial" w:cs="Arial"/>
                <w:sz w:val="18"/>
                <w:szCs w:val="18"/>
              </w:rPr>
              <w:t>26</w:t>
            </w:r>
          </w:p>
        </w:tc>
        <w:tc>
          <w:tcPr>
            <w:tcW w:w="100" w:type="dxa"/>
            <w:tcBorders>
              <w:bottom w:val="single" w:sz="8" w:space="0" w:color="CCEEFF"/>
            </w:tcBorders>
            <w:shd w:val="clear" w:color="auto" w:fill="CCEEFF"/>
            <w:vAlign w:val="bottom"/>
          </w:tcPr>
          <w:p w14:paraId="0FAAD6B1" w14:textId="77777777" w:rsidR="00D1587D" w:rsidRDefault="00D1587D">
            <w:pPr>
              <w:rPr>
                <w:sz w:val="24"/>
                <w:szCs w:val="24"/>
              </w:rPr>
            </w:pPr>
          </w:p>
        </w:tc>
        <w:tc>
          <w:tcPr>
            <w:tcW w:w="200" w:type="dxa"/>
            <w:tcBorders>
              <w:bottom w:val="single" w:sz="8" w:space="0" w:color="CCEEFF"/>
            </w:tcBorders>
            <w:shd w:val="clear" w:color="auto" w:fill="CCEEFF"/>
            <w:vAlign w:val="bottom"/>
          </w:tcPr>
          <w:p w14:paraId="27FB051E" w14:textId="77777777" w:rsidR="00D1587D" w:rsidRDefault="00410D07">
            <w:pPr>
              <w:jc w:val="right"/>
              <w:rPr>
                <w:sz w:val="20"/>
                <w:szCs w:val="20"/>
              </w:rPr>
            </w:pPr>
            <w:r>
              <w:rPr>
                <w:rFonts w:ascii="Arial" w:eastAsia="Arial" w:hAnsi="Arial" w:cs="Arial"/>
                <w:sz w:val="18"/>
                <w:szCs w:val="18"/>
              </w:rPr>
              <w:t>$</w:t>
            </w:r>
          </w:p>
        </w:tc>
        <w:tc>
          <w:tcPr>
            <w:tcW w:w="540" w:type="dxa"/>
            <w:tcBorders>
              <w:bottom w:val="single" w:sz="8" w:space="0" w:color="CCEEFF"/>
            </w:tcBorders>
            <w:shd w:val="clear" w:color="auto" w:fill="CCEEFF"/>
            <w:vAlign w:val="bottom"/>
          </w:tcPr>
          <w:p w14:paraId="6400164F" w14:textId="77777777" w:rsidR="00D1587D" w:rsidRDefault="00410D07">
            <w:pPr>
              <w:jc w:val="right"/>
              <w:rPr>
                <w:sz w:val="20"/>
                <w:szCs w:val="20"/>
              </w:rPr>
            </w:pPr>
            <w:r>
              <w:rPr>
                <w:rFonts w:ascii="Arial" w:eastAsia="Arial" w:hAnsi="Arial" w:cs="Arial"/>
                <w:sz w:val="18"/>
                <w:szCs w:val="18"/>
              </w:rPr>
              <w:t>27</w:t>
            </w:r>
          </w:p>
        </w:tc>
      </w:tr>
      <w:tr w:rsidR="00D1587D" w14:paraId="2A27F357" w14:textId="77777777">
        <w:trPr>
          <w:trHeight w:val="270"/>
        </w:trPr>
        <w:tc>
          <w:tcPr>
            <w:tcW w:w="6840" w:type="dxa"/>
            <w:gridSpan w:val="2"/>
            <w:vAlign w:val="bottom"/>
          </w:tcPr>
          <w:p w14:paraId="20FAD715" w14:textId="77777777" w:rsidR="00D1587D" w:rsidRDefault="00410D07">
            <w:pPr>
              <w:rPr>
                <w:sz w:val="20"/>
                <w:szCs w:val="20"/>
              </w:rPr>
            </w:pPr>
            <w:r>
              <w:rPr>
                <w:rFonts w:ascii="Arial" w:eastAsia="Arial" w:hAnsi="Arial" w:cs="Arial"/>
                <w:sz w:val="18"/>
                <w:szCs w:val="18"/>
              </w:rPr>
              <w:t>Buildings and Improvements</w:t>
            </w:r>
          </w:p>
        </w:tc>
        <w:tc>
          <w:tcPr>
            <w:tcW w:w="200" w:type="dxa"/>
            <w:vAlign w:val="bottom"/>
          </w:tcPr>
          <w:p w14:paraId="521A1645" w14:textId="77777777" w:rsidR="00D1587D" w:rsidRDefault="00D1587D">
            <w:pPr>
              <w:rPr>
                <w:sz w:val="23"/>
                <w:szCs w:val="23"/>
              </w:rPr>
            </w:pPr>
          </w:p>
        </w:tc>
        <w:tc>
          <w:tcPr>
            <w:tcW w:w="540" w:type="dxa"/>
            <w:vAlign w:val="bottom"/>
          </w:tcPr>
          <w:p w14:paraId="4DD54682" w14:textId="77777777" w:rsidR="00D1587D" w:rsidRDefault="00410D07">
            <w:pPr>
              <w:ind w:right="14"/>
              <w:jc w:val="right"/>
              <w:rPr>
                <w:sz w:val="20"/>
                <w:szCs w:val="20"/>
              </w:rPr>
            </w:pPr>
            <w:r>
              <w:rPr>
                <w:rFonts w:ascii="Arial" w:eastAsia="Arial" w:hAnsi="Arial" w:cs="Arial"/>
                <w:sz w:val="18"/>
                <w:szCs w:val="18"/>
              </w:rPr>
              <w:t>190</w:t>
            </w:r>
          </w:p>
        </w:tc>
        <w:tc>
          <w:tcPr>
            <w:tcW w:w="100" w:type="dxa"/>
            <w:vAlign w:val="bottom"/>
          </w:tcPr>
          <w:p w14:paraId="09FEC338" w14:textId="77777777" w:rsidR="00D1587D" w:rsidRDefault="00D1587D">
            <w:pPr>
              <w:rPr>
                <w:sz w:val="23"/>
                <w:szCs w:val="23"/>
              </w:rPr>
            </w:pPr>
          </w:p>
        </w:tc>
        <w:tc>
          <w:tcPr>
            <w:tcW w:w="200" w:type="dxa"/>
            <w:vAlign w:val="bottom"/>
          </w:tcPr>
          <w:p w14:paraId="0D93F498" w14:textId="77777777" w:rsidR="00D1587D" w:rsidRDefault="00D1587D">
            <w:pPr>
              <w:rPr>
                <w:sz w:val="23"/>
                <w:szCs w:val="23"/>
              </w:rPr>
            </w:pPr>
          </w:p>
        </w:tc>
        <w:tc>
          <w:tcPr>
            <w:tcW w:w="540" w:type="dxa"/>
            <w:vAlign w:val="bottom"/>
          </w:tcPr>
          <w:p w14:paraId="001B1602" w14:textId="77777777" w:rsidR="00D1587D" w:rsidRDefault="00410D07">
            <w:pPr>
              <w:jc w:val="right"/>
              <w:rPr>
                <w:sz w:val="20"/>
                <w:szCs w:val="20"/>
              </w:rPr>
            </w:pPr>
            <w:r>
              <w:rPr>
                <w:rFonts w:ascii="Arial" w:eastAsia="Arial" w:hAnsi="Arial" w:cs="Arial"/>
                <w:sz w:val="18"/>
                <w:szCs w:val="18"/>
              </w:rPr>
              <w:t>185</w:t>
            </w:r>
          </w:p>
        </w:tc>
      </w:tr>
      <w:tr w:rsidR="00D1587D" w14:paraId="1382E31C" w14:textId="77777777">
        <w:trPr>
          <w:trHeight w:val="54"/>
        </w:trPr>
        <w:tc>
          <w:tcPr>
            <w:tcW w:w="6760" w:type="dxa"/>
            <w:vAlign w:val="bottom"/>
          </w:tcPr>
          <w:p w14:paraId="59AF1551" w14:textId="77777777" w:rsidR="00D1587D" w:rsidRDefault="00D1587D">
            <w:pPr>
              <w:rPr>
                <w:sz w:val="4"/>
                <w:szCs w:val="4"/>
              </w:rPr>
            </w:pPr>
          </w:p>
        </w:tc>
        <w:tc>
          <w:tcPr>
            <w:tcW w:w="80" w:type="dxa"/>
            <w:vAlign w:val="bottom"/>
          </w:tcPr>
          <w:p w14:paraId="2CD19BF2" w14:textId="77777777" w:rsidR="00D1587D" w:rsidRDefault="00D1587D">
            <w:pPr>
              <w:rPr>
                <w:sz w:val="4"/>
                <w:szCs w:val="4"/>
              </w:rPr>
            </w:pPr>
          </w:p>
        </w:tc>
        <w:tc>
          <w:tcPr>
            <w:tcW w:w="200" w:type="dxa"/>
            <w:vAlign w:val="bottom"/>
          </w:tcPr>
          <w:p w14:paraId="00584C63" w14:textId="77777777" w:rsidR="00D1587D" w:rsidRDefault="00D1587D">
            <w:pPr>
              <w:rPr>
                <w:sz w:val="4"/>
                <w:szCs w:val="4"/>
              </w:rPr>
            </w:pPr>
          </w:p>
        </w:tc>
        <w:tc>
          <w:tcPr>
            <w:tcW w:w="540" w:type="dxa"/>
            <w:vAlign w:val="bottom"/>
          </w:tcPr>
          <w:p w14:paraId="567731A7" w14:textId="77777777" w:rsidR="00D1587D" w:rsidRDefault="00D1587D">
            <w:pPr>
              <w:rPr>
                <w:sz w:val="4"/>
                <w:szCs w:val="4"/>
              </w:rPr>
            </w:pPr>
          </w:p>
        </w:tc>
        <w:tc>
          <w:tcPr>
            <w:tcW w:w="100" w:type="dxa"/>
            <w:vAlign w:val="bottom"/>
          </w:tcPr>
          <w:p w14:paraId="35B8BCA5" w14:textId="77777777" w:rsidR="00D1587D" w:rsidRDefault="00D1587D">
            <w:pPr>
              <w:rPr>
                <w:sz w:val="4"/>
                <w:szCs w:val="4"/>
              </w:rPr>
            </w:pPr>
          </w:p>
        </w:tc>
        <w:tc>
          <w:tcPr>
            <w:tcW w:w="200" w:type="dxa"/>
            <w:vAlign w:val="bottom"/>
          </w:tcPr>
          <w:p w14:paraId="0B29DA2A" w14:textId="77777777" w:rsidR="00D1587D" w:rsidRDefault="00D1587D">
            <w:pPr>
              <w:rPr>
                <w:sz w:val="4"/>
                <w:szCs w:val="4"/>
              </w:rPr>
            </w:pPr>
          </w:p>
        </w:tc>
        <w:tc>
          <w:tcPr>
            <w:tcW w:w="540" w:type="dxa"/>
            <w:vAlign w:val="bottom"/>
          </w:tcPr>
          <w:p w14:paraId="5FA33707" w14:textId="77777777" w:rsidR="00D1587D" w:rsidRDefault="00D1587D">
            <w:pPr>
              <w:rPr>
                <w:sz w:val="4"/>
                <w:szCs w:val="4"/>
              </w:rPr>
            </w:pPr>
          </w:p>
        </w:tc>
      </w:tr>
      <w:tr w:rsidR="00D1587D" w14:paraId="78A271AC" w14:textId="77777777">
        <w:trPr>
          <w:trHeight w:val="304"/>
        </w:trPr>
        <w:tc>
          <w:tcPr>
            <w:tcW w:w="6840" w:type="dxa"/>
            <w:gridSpan w:val="2"/>
            <w:tcBorders>
              <w:bottom w:val="single" w:sz="8" w:space="0" w:color="CCEEFF"/>
            </w:tcBorders>
            <w:shd w:val="clear" w:color="auto" w:fill="CCEEFF"/>
            <w:vAlign w:val="bottom"/>
          </w:tcPr>
          <w:p w14:paraId="1F4F5B4D" w14:textId="77777777" w:rsidR="00D1587D" w:rsidRDefault="00410D07">
            <w:pPr>
              <w:rPr>
                <w:sz w:val="20"/>
                <w:szCs w:val="20"/>
              </w:rPr>
            </w:pPr>
            <w:r>
              <w:rPr>
                <w:rFonts w:ascii="Arial" w:eastAsia="Arial" w:hAnsi="Arial" w:cs="Arial"/>
                <w:sz w:val="18"/>
                <w:szCs w:val="18"/>
              </w:rPr>
              <w:t>Furniture, Fixtures, Software and Equipment</w:t>
            </w:r>
          </w:p>
        </w:tc>
        <w:tc>
          <w:tcPr>
            <w:tcW w:w="200" w:type="dxa"/>
            <w:tcBorders>
              <w:bottom w:val="single" w:sz="8" w:space="0" w:color="CCEEFF"/>
            </w:tcBorders>
            <w:shd w:val="clear" w:color="auto" w:fill="CCEEFF"/>
            <w:vAlign w:val="bottom"/>
          </w:tcPr>
          <w:p w14:paraId="426E604E" w14:textId="77777777" w:rsidR="00D1587D" w:rsidRDefault="00D1587D">
            <w:pPr>
              <w:rPr>
                <w:sz w:val="24"/>
                <w:szCs w:val="24"/>
              </w:rPr>
            </w:pPr>
          </w:p>
        </w:tc>
        <w:tc>
          <w:tcPr>
            <w:tcW w:w="540" w:type="dxa"/>
            <w:tcBorders>
              <w:bottom w:val="single" w:sz="8" w:space="0" w:color="CCEEFF"/>
            </w:tcBorders>
            <w:shd w:val="clear" w:color="auto" w:fill="CCEEFF"/>
            <w:vAlign w:val="bottom"/>
          </w:tcPr>
          <w:p w14:paraId="1F71672E" w14:textId="77777777" w:rsidR="00D1587D" w:rsidRDefault="00410D07">
            <w:pPr>
              <w:ind w:right="14"/>
              <w:jc w:val="right"/>
              <w:rPr>
                <w:sz w:val="20"/>
                <w:szCs w:val="20"/>
              </w:rPr>
            </w:pPr>
            <w:r>
              <w:rPr>
                <w:rFonts w:ascii="Arial" w:eastAsia="Arial" w:hAnsi="Arial" w:cs="Arial"/>
                <w:w w:val="93"/>
                <w:sz w:val="18"/>
                <w:szCs w:val="18"/>
              </w:rPr>
              <w:t>2,462</w:t>
            </w:r>
          </w:p>
        </w:tc>
        <w:tc>
          <w:tcPr>
            <w:tcW w:w="100" w:type="dxa"/>
            <w:tcBorders>
              <w:bottom w:val="single" w:sz="8" w:space="0" w:color="CCEEFF"/>
            </w:tcBorders>
            <w:shd w:val="clear" w:color="auto" w:fill="CCEEFF"/>
            <w:vAlign w:val="bottom"/>
          </w:tcPr>
          <w:p w14:paraId="5C901731" w14:textId="77777777" w:rsidR="00D1587D" w:rsidRDefault="00D1587D">
            <w:pPr>
              <w:rPr>
                <w:sz w:val="24"/>
                <w:szCs w:val="24"/>
              </w:rPr>
            </w:pPr>
          </w:p>
        </w:tc>
        <w:tc>
          <w:tcPr>
            <w:tcW w:w="200" w:type="dxa"/>
            <w:tcBorders>
              <w:bottom w:val="single" w:sz="8" w:space="0" w:color="CCEEFF"/>
            </w:tcBorders>
            <w:shd w:val="clear" w:color="auto" w:fill="CCEEFF"/>
            <w:vAlign w:val="bottom"/>
          </w:tcPr>
          <w:p w14:paraId="1ED69795" w14:textId="77777777" w:rsidR="00D1587D" w:rsidRDefault="00D1587D">
            <w:pPr>
              <w:rPr>
                <w:sz w:val="24"/>
                <w:szCs w:val="24"/>
              </w:rPr>
            </w:pPr>
          </w:p>
        </w:tc>
        <w:tc>
          <w:tcPr>
            <w:tcW w:w="540" w:type="dxa"/>
            <w:tcBorders>
              <w:bottom w:val="single" w:sz="8" w:space="0" w:color="CCEEFF"/>
            </w:tcBorders>
            <w:shd w:val="clear" w:color="auto" w:fill="CCEEFF"/>
            <w:vAlign w:val="bottom"/>
          </w:tcPr>
          <w:p w14:paraId="2981EE5F" w14:textId="77777777" w:rsidR="00D1587D" w:rsidRDefault="00410D07">
            <w:pPr>
              <w:jc w:val="right"/>
              <w:rPr>
                <w:sz w:val="20"/>
                <w:szCs w:val="20"/>
              </w:rPr>
            </w:pPr>
            <w:r>
              <w:rPr>
                <w:rFonts w:ascii="Arial" w:eastAsia="Arial" w:hAnsi="Arial" w:cs="Arial"/>
                <w:w w:val="97"/>
                <w:sz w:val="18"/>
                <w:szCs w:val="18"/>
              </w:rPr>
              <w:t>2,188</w:t>
            </w:r>
          </w:p>
        </w:tc>
      </w:tr>
      <w:tr w:rsidR="00D1587D" w14:paraId="1CDBEDDF" w14:textId="77777777">
        <w:trPr>
          <w:trHeight w:val="270"/>
        </w:trPr>
        <w:tc>
          <w:tcPr>
            <w:tcW w:w="6840" w:type="dxa"/>
            <w:gridSpan w:val="2"/>
            <w:vAlign w:val="bottom"/>
          </w:tcPr>
          <w:p w14:paraId="0AEFD869" w14:textId="77777777" w:rsidR="00D1587D" w:rsidRDefault="00410D07">
            <w:pPr>
              <w:rPr>
                <w:sz w:val="20"/>
                <w:szCs w:val="20"/>
              </w:rPr>
            </w:pPr>
            <w:r>
              <w:rPr>
                <w:rFonts w:ascii="Arial" w:eastAsia="Arial" w:hAnsi="Arial" w:cs="Arial"/>
                <w:sz w:val="18"/>
                <w:szCs w:val="18"/>
              </w:rPr>
              <w:t>Leasehold Improvements</w:t>
            </w:r>
          </w:p>
        </w:tc>
        <w:tc>
          <w:tcPr>
            <w:tcW w:w="200" w:type="dxa"/>
            <w:vAlign w:val="bottom"/>
          </w:tcPr>
          <w:p w14:paraId="2E4DF09D" w14:textId="77777777" w:rsidR="00D1587D" w:rsidRDefault="00D1587D">
            <w:pPr>
              <w:rPr>
                <w:sz w:val="23"/>
                <w:szCs w:val="23"/>
              </w:rPr>
            </w:pPr>
          </w:p>
        </w:tc>
        <w:tc>
          <w:tcPr>
            <w:tcW w:w="540" w:type="dxa"/>
            <w:vAlign w:val="bottom"/>
          </w:tcPr>
          <w:p w14:paraId="7F1480E9" w14:textId="77777777" w:rsidR="00D1587D" w:rsidRDefault="00410D07">
            <w:pPr>
              <w:ind w:right="14"/>
              <w:jc w:val="right"/>
              <w:rPr>
                <w:sz w:val="20"/>
                <w:szCs w:val="20"/>
              </w:rPr>
            </w:pPr>
            <w:r>
              <w:rPr>
                <w:rFonts w:ascii="Arial" w:eastAsia="Arial" w:hAnsi="Arial" w:cs="Arial"/>
                <w:w w:val="93"/>
                <w:sz w:val="18"/>
                <w:szCs w:val="18"/>
              </w:rPr>
              <w:t>1,091</w:t>
            </w:r>
          </w:p>
        </w:tc>
        <w:tc>
          <w:tcPr>
            <w:tcW w:w="100" w:type="dxa"/>
            <w:vAlign w:val="bottom"/>
          </w:tcPr>
          <w:p w14:paraId="50A26E98" w14:textId="77777777" w:rsidR="00D1587D" w:rsidRDefault="00D1587D">
            <w:pPr>
              <w:rPr>
                <w:sz w:val="23"/>
                <w:szCs w:val="23"/>
              </w:rPr>
            </w:pPr>
          </w:p>
        </w:tc>
        <w:tc>
          <w:tcPr>
            <w:tcW w:w="200" w:type="dxa"/>
            <w:vAlign w:val="bottom"/>
          </w:tcPr>
          <w:p w14:paraId="0279921E" w14:textId="77777777" w:rsidR="00D1587D" w:rsidRDefault="00D1587D">
            <w:pPr>
              <w:rPr>
                <w:sz w:val="23"/>
                <w:szCs w:val="23"/>
              </w:rPr>
            </w:pPr>
          </w:p>
        </w:tc>
        <w:tc>
          <w:tcPr>
            <w:tcW w:w="540" w:type="dxa"/>
            <w:vAlign w:val="bottom"/>
          </w:tcPr>
          <w:p w14:paraId="0CE734A9" w14:textId="77777777" w:rsidR="00D1587D" w:rsidRDefault="00410D07">
            <w:pPr>
              <w:jc w:val="right"/>
              <w:rPr>
                <w:sz w:val="20"/>
                <w:szCs w:val="20"/>
              </w:rPr>
            </w:pPr>
            <w:r>
              <w:rPr>
                <w:rFonts w:ascii="Arial" w:eastAsia="Arial" w:hAnsi="Arial" w:cs="Arial"/>
                <w:w w:val="97"/>
                <w:sz w:val="18"/>
                <w:szCs w:val="18"/>
              </w:rPr>
              <w:t>1,645</w:t>
            </w:r>
          </w:p>
        </w:tc>
      </w:tr>
      <w:tr w:rsidR="00D1587D" w14:paraId="1ADCFE1D" w14:textId="77777777">
        <w:trPr>
          <w:trHeight w:val="54"/>
        </w:trPr>
        <w:tc>
          <w:tcPr>
            <w:tcW w:w="6760" w:type="dxa"/>
            <w:vAlign w:val="bottom"/>
          </w:tcPr>
          <w:p w14:paraId="3C415081" w14:textId="77777777" w:rsidR="00D1587D" w:rsidRDefault="00D1587D">
            <w:pPr>
              <w:rPr>
                <w:sz w:val="4"/>
                <w:szCs w:val="4"/>
              </w:rPr>
            </w:pPr>
          </w:p>
        </w:tc>
        <w:tc>
          <w:tcPr>
            <w:tcW w:w="80" w:type="dxa"/>
            <w:vAlign w:val="bottom"/>
          </w:tcPr>
          <w:p w14:paraId="30BA40EA" w14:textId="77777777" w:rsidR="00D1587D" w:rsidRDefault="00D1587D">
            <w:pPr>
              <w:rPr>
                <w:sz w:val="4"/>
                <w:szCs w:val="4"/>
              </w:rPr>
            </w:pPr>
          </w:p>
        </w:tc>
        <w:tc>
          <w:tcPr>
            <w:tcW w:w="200" w:type="dxa"/>
            <w:vAlign w:val="bottom"/>
          </w:tcPr>
          <w:p w14:paraId="74591D48" w14:textId="77777777" w:rsidR="00D1587D" w:rsidRDefault="00D1587D">
            <w:pPr>
              <w:rPr>
                <w:sz w:val="4"/>
                <w:szCs w:val="4"/>
              </w:rPr>
            </w:pPr>
          </w:p>
        </w:tc>
        <w:tc>
          <w:tcPr>
            <w:tcW w:w="540" w:type="dxa"/>
            <w:vAlign w:val="bottom"/>
          </w:tcPr>
          <w:p w14:paraId="19C54FEA" w14:textId="77777777" w:rsidR="00D1587D" w:rsidRDefault="00D1587D">
            <w:pPr>
              <w:rPr>
                <w:sz w:val="4"/>
                <w:szCs w:val="4"/>
              </w:rPr>
            </w:pPr>
          </w:p>
        </w:tc>
        <w:tc>
          <w:tcPr>
            <w:tcW w:w="100" w:type="dxa"/>
            <w:vAlign w:val="bottom"/>
          </w:tcPr>
          <w:p w14:paraId="4197881E" w14:textId="77777777" w:rsidR="00D1587D" w:rsidRDefault="00D1587D">
            <w:pPr>
              <w:rPr>
                <w:sz w:val="4"/>
                <w:szCs w:val="4"/>
              </w:rPr>
            </w:pPr>
          </w:p>
        </w:tc>
        <w:tc>
          <w:tcPr>
            <w:tcW w:w="200" w:type="dxa"/>
            <w:vAlign w:val="bottom"/>
          </w:tcPr>
          <w:p w14:paraId="6D4DC502" w14:textId="77777777" w:rsidR="00D1587D" w:rsidRDefault="00D1587D">
            <w:pPr>
              <w:rPr>
                <w:sz w:val="4"/>
                <w:szCs w:val="4"/>
              </w:rPr>
            </w:pPr>
          </w:p>
        </w:tc>
        <w:tc>
          <w:tcPr>
            <w:tcW w:w="540" w:type="dxa"/>
            <w:vAlign w:val="bottom"/>
          </w:tcPr>
          <w:p w14:paraId="5B8BBCF6" w14:textId="77777777" w:rsidR="00D1587D" w:rsidRDefault="00D1587D">
            <w:pPr>
              <w:rPr>
                <w:sz w:val="4"/>
                <w:szCs w:val="4"/>
              </w:rPr>
            </w:pPr>
          </w:p>
        </w:tc>
      </w:tr>
      <w:tr w:rsidR="00D1587D" w14:paraId="6964DD0E" w14:textId="77777777">
        <w:trPr>
          <w:trHeight w:val="270"/>
        </w:trPr>
        <w:tc>
          <w:tcPr>
            <w:tcW w:w="6840" w:type="dxa"/>
            <w:gridSpan w:val="2"/>
            <w:shd w:val="clear" w:color="auto" w:fill="CCEEFF"/>
            <w:vAlign w:val="bottom"/>
          </w:tcPr>
          <w:p w14:paraId="2B0D62B9" w14:textId="77777777" w:rsidR="00D1587D" w:rsidRDefault="00410D07">
            <w:pPr>
              <w:rPr>
                <w:sz w:val="20"/>
                <w:szCs w:val="20"/>
              </w:rPr>
            </w:pPr>
            <w:r>
              <w:rPr>
                <w:rFonts w:ascii="Arial" w:eastAsia="Arial" w:hAnsi="Arial" w:cs="Arial"/>
                <w:sz w:val="18"/>
                <w:szCs w:val="18"/>
              </w:rPr>
              <w:t>Construction in Progress</w:t>
            </w:r>
          </w:p>
        </w:tc>
        <w:tc>
          <w:tcPr>
            <w:tcW w:w="200" w:type="dxa"/>
            <w:shd w:val="clear" w:color="auto" w:fill="CCEEFF"/>
            <w:vAlign w:val="bottom"/>
          </w:tcPr>
          <w:p w14:paraId="3B9111EC" w14:textId="77777777" w:rsidR="00D1587D" w:rsidRDefault="00D1587D">
            <w:pPr>
              <w:rPr>
                <w:sz w:val="23"/>
                <w:szCs w:val="23"/>
              </w:rPr>
            </w:pPr>
          </w:p>
        </w:tc>
        <w:tc>
          <w:tcPr>
            <w:tcW w:w="540" w:type="dxa"/>
            <w:shd w:val="clear" w:color="auto" w:fill="CCEEFF"/>
            <w:vAlign w:val="bottom"/>
          </w:tcPr>
          <w:p w14:paraId="476965D9" w14:textId="77777777" w:rsidR="00D1587D" w:rsidRDefault="00410D07">
            <w:pPr>
              <w:ind w:right="14"/>
              <w:jc w:val="right"/>
              <w:rPr>
                <w:sz w:val="20"/>
                <w:szCs w:val="20"/>
              </w:rPr>
            </w:pPr>
            <w:r>
              <w:rPr>
                <w:rFonts w:ascii="Arial" w:eastAsia="Arial" w:hAnsi="Arial" w:cs="Arial"/>
                <w:sz w:val="18"/>
                <w:szCs w:val="18"/>
              </w:rPr>
              <w:t>23</w:t>
            </w:r>
          </w:p>
        </w:tc>
        <w:tc>
          <w:tcPr>
            <w:tcW w:w="100" w:type="dxa"/>
            <w:shd w:val="clear" w:color="auto" w:fill="CCEEFF"/>
            <w:vAlign w:val="bottom"/>
          </w:tcPr>
          <w:p w14:paraId="31750AE0" w14:textId="77777777" w:rsidR="00D1587D" w:rsidRDefault="00D1587D">
            <w:pPr>
              <w:rPr>
                <w:sz w:val="23"/>
                <w:szCs w:val="23"/>
              </w:rPr>
            </w:pPr>
          </w:p>
        </w:tc>
        <w:tc>
          <w:tcPr>
            <w:tcW w:w="200" w:type="dxa"/>
            <w:shd w:val="clear" w:color="auto" w:fill="CCEEFF"/>
            <w:vAlign w:val="bottom"/>
          </w:tcPr>
          <w:p w14:paraId="722F136E" w14:textId="77777777" w:rsidR="00D1587D" w:rsidRDefault="00D1587D">
            <w:pPr>
              <w:rPr>
                <w:sz w:val="23"/>
                <w:szCs w:val="23"/>
              </w:rPr>
            </w:pPr>
          </w:p>
        </w:tc>
        <w:tc>
          <w:tcPr>
            <w:tcW w:w="540" w:type="dxa"/>
            <w:shd w:val="clear" w:color="auto" w:fill="CCEEFF"/>
            <w:vAlign w:val="bottom"/>
          </w:tcPr>
          <w:p w14:paraId="13095DEC" w14:textId="77777777" w:rsidR="00D1587D" w:rsidRDefault="00410D07">
            <w:pPr>
              <w:jc w:val="right"/>
              <w:rPr>
                <w:sz w:val="20"/>
                <w:szCs w:val="20"/>
              </w:rPr>
            </w:pPr>
            <w:r>
              <w:rPr>
                <w:rFonts w:ascii="Arial" w:eastAsia="Arial" w:hAnsi="Arial" w:cs="Arial"/>
                <w:sz w:val="18"/>
                <w:szCs w:val="18"/>
              </w:rPr>
              <w:t>106</w:t>
            </w:r>
          </w:p>
        </w:tc>
      </w:tr>
      <w:tr w:rsidR="00D1587D" w14:paraId="5325ACB4" w14:textId="77777777">
        <w:trPr>
          <w:trHeight w:val="67"/>
        </w:trPr>
        <w:tc>
          <w:tcPr>
            <w:tcW w:w="6760" w:type="dxa"/>
            <w:shd w:val="clear" w:color="auto" w:fill="CCEEFF"/>
            <w:vAlign w:val="bottom"/>
          </w:tcPr>
          <w:p w14:paraId="5D815660" w14:textId="77777777" w:rsidR="00D1587D" w:rsidRDefault="00D1587D">
            <w:pPr>
              <w:rPr>
                <w:sz w:val="5"/>
                <w:szCs w:val="5"/>
              </w:rPr>
            </w:pPr>
          </w:p>
        </w:tc>
        <w:tc>
          <w:tcPr>
            <w:tcW w:w="80" w:type="dxa"/>
            <w:tcBorders>
              <w:bottom w:val="single" w:sz="8" w:space="0" w:color="CCEEFF"/>
            </w:tcBorders>
            <w:shd w:val="clear" w:color="auto" w:fill="CCEEFF"/>
            <w:vAlign w:val="bottom"/>
          </w:tcPr>
          <w:p w14:paraId="45DB771E" w14:textId="77777777" w:rsidR="00D1587D" w:rsidRDefault="00D1587D">
            <w:pPr>
              <w:rPr>
                <w:sz w:val="5"/>
                <w:szCs w:val="5"/>
              </w:rPr>
            </w:pPr>
          </w:p>
        </w:tc>
        <w:tc>
          <w:tcPr>
            <w:tcW w:w="200" w:type="dxa"/>
            <w:tcBorders>
              <w:bottom w:val="single" w:sz="8" w:space="0" w:color="auto"/>
            </w:tcBorders>
            <w:shd w:val="clear" w:color="auto" w:fill="CCEEFF"/>
            <w:vAlign w:val="bottom"/>
          </w:tcPr>
          <w:p w14:paraId="0F75965D" w14:textId="77777777" w:rsidR="00D1587D" w:rsidRDefault="00D1587D">
            <w:pPr>
              <w:rPr>
                <w:sz w:val="5"/>
                <w:szCs w:val="5"/>
              </w:rPr>
            </w:pPr>
          </w:p>
        </w:tc>
        <w:tc>
          <w:tcPr>
            <w:tcW w:w="540" w:type="dxa"/>
            <w:tcBorders>
              <w:bottom w:val="single" w:sz="8" w:space="0" w:color="auto"/>
            </w:tcBorders>
            <w:shd w:val="clear" w:color="auto" w:fill="CCEEFF"/>
            <w:vAlign w:val="bottom"/>
          </w:tcPr>
          <w:p w14:paraId="2D1626CF" w14:textId="77777777" w:rsidR="00D1587D" w:rsidRDefault="00D1587D">
            <w:pPr>
              <w:rPr>
                <w:sz w:val="5"/>
                <w:szCs w:val="5"/>
              </w:rPr>
            </w:pPr>
          </w:p>
        </w:tc>
        <w:tc>
          <w:tcPr>
            <w:tcW w:w="100" w:type="dxa"/>
            <w:tcBorders>
              <w:bottom w:val="single" w:sz="8" w:space="0" w:color="CCEEFF"/>
            </w:tcBorders>
            <w:shd w:val="clear" w:color="auto" w:fill="CCEEFF"/>
            <w:vAlign w:val="bottom"/>
          </w:tcPr>
          <w:p w14:paraId="45DB8F71" w14:textId="77777777" w:rsidR="00D1587D" w:rsidRDefault="00D1587D">
            <w:pPr>
              <w:rPr>
                <w:sz w:val="5"/>
                <w:szCs w:val="5"/>
              </w:rPr>
            </w:pPr>
          </w:p>
        </w:tc>
        <w:tc>
          <w:tcPr>
            <w:tcW w:w="200" w:type="dxa"/>
            <w:tcBorders>
              <w:bottom w:val="single" w:sz="8" w:space="0" w:color="auto"/>
            </w:tcBorders>
            <w:shd w:val="clear" w:color="auto" w:fill="CCEEFF"/>
            <w:vAlign w:val="bottom"/>
          </w:tcPr>
          <w:p w14:paraId="131ABD64" w14:textId="77777777" w:rsidR="00D1587D" w:rsidRDefault="00D1587D">
            <w:pPr>
              <w:rPr>
                <w:sz w:val="5"/>
                <w:szCs w:val="5"/>
              </w:rPr>
            </w:pPr>
          </w:p>
        </w:tc>
        <w:tc>
          <w:tcPr>
            <w:tcW w:w="540" w:type="dxa"/>
            <w:tcBorders>
              <w:bottom w:val="single" w:sz="8" w:space="0" w:color="auto"/>
            </w:tcBorders>
            <w:shd w:val="clear" w:color="auto" w:fill="CCEEFF"/>
            <w:vAlign w:val="bottom"/>
          </w:tcPr>
          <w:p w14:paraId="03E068EB" w14:textId="77777777" w:rsidR="00D1587D" w:rsidRDefault="00D1587D">
            <w:pPr>
              <w:rPr>
                <w:sz w:val="5"/>
                <w:szCs w:val="5"/>
              </w:rPr>
            </w:pPr>
          </w:p>
        </w:tc>
      </w:tr>
      <w:tr w:rsidR="00D1587D" w14:paraId="5EF9D667" w14:textId="77777777">
        <w:trPr>
          <w:trHeight w:val="277"/>
        </w:trPr>
        <w:tc>
          <w:tcPr>
            <w:tcW w:w="6840" w:type="dxa"/>
            <w:gridSpan w:val="2"/>
            <w:vAlign w:val="bottom"/>
          </w:tcPr>
          <w:p w14:paraId="675F4B1B" w14:textId="77777777" w:rsidR="00D1587D" w:rsidRDefault="00410D07">
            <w:pPr>
              <w:rPr>
                <w:sz w:val="20"/>
                <w:szCs w:val="20"/>
              </w:rPr>
            </w:pPr>
            <w:r>
              <w:rPr>
                <w:rFonts w:ascii="Arial" w:eastAsia="Arial" w:hAnsi="Arial" w:cs="Arial"/>
                <w:sz w:val="18"/>
                <w:szCs w:val="18"/>
              </w:rPr>
              <w:t>Total</w:t>
            </w:r>
          </w:p>
        </w:tc>
        <w:tc>
          <w:tcPr>
            <w:tcW w:w="200" w:type="dxa"/>
            <w:vAlign w:val="bottom"/>
          </w:tcPr>
          <w:p w14:paraId="4DD14338" w14:textId="77777777" w:rsidR="00D1587D" w:rsidRDefault="00D1587D">
            <w:pPr>
              <w:rPr>
                <w:sz w:val="24"/>
                <w:szCs w:val="24"/>
              </w:rPr>
            </w:pPr>
          </w:p>
        </w:tc>
        <w:tc>
          <w:tcPr>
            <w:tcW w:w="540" w:type="dxa"/>
            <w:vAlign w:val="bottom"/>
          </w:tcPr>
          <w:p w14:paraId="700C9135" w14:textId="77777777" w:rsidR="00D1587D" w:rsidRDefault="00410D07">
            <w:pPr>
              <w:ind w:right="14"/>
              <w:jc w:val="right"/>
              <w:rPr>
                <w:sz w:val="20"/>
                <w:szCs w:val="20"/>
              </w:rPr>
            </w:pPr>
            <w:r>
              <w:rPr>
                <w:rFonts w:ascii="Arial" w:eastAsia="Arial" w:hAnsi="Arial" w:cs="Arial"/>
                <w:w w:val="93"/>
                <w:sz w:val="18"/>
                <w:szCs w:val="18"/>
              </w:rPr>
              <w:t>3,792</w:t>
            </w:r>
          </w:p>
        </w:tc>
        <w:tc>
          <w:tcPr>
            <w:tcW w:w="100" w:type="dxa"/>
            <w:vAlign w:val="bottom"/>
          </w:tcPr>
          <w:p w14:paraId="2D2BA49A" w14:textId="77777777" w:rsidR="00D1587D" w:rsidRDefault="00D1587D">
            <w:pPr>
              <w:rPr>
                <w:sz w:val="24"/>
                <w:szCs w:val="24"/>
              </w:rPr>
            </w:pPr>
          </w:p>
        </w:tc>
        <w:tc>
          <w:tcPr>
            <w:tcW w:w="200" w:type="dxa"/>
            <w:vAlign w:val="bottom"/>
          </w:tcPr>
          <w:p w14:paraId="7E5675A4" w14:textId="77777777" w:rsidR="00D1587D" w:rsidRDefault="00D1587D">
            <w:pPr>
              <w:rPr>
                <w:sz w:val="24"/>
                <w:szCs w:val="24"/>
              </w:rPr>
            </w:pPr>
          </w:p>
        </w:tc>
        <w:tc>
          <w:tcPr>
            <w:tcW w:w="540" w:type="dxa"/>
            <w:vAlign w:val="bottom"/>
          </w:tcPr>
          <w:p w14:paraId="55EC22A4" w14:textId="77777777" w:rsidR="00D1587D" w:rsidRDefault="00410D07">
            <w:pPr>
              <w:jc w:val="right"/>
              <w:rPr>
                <w:sz w:val="20"/>
                <w:szCs w:val="20"/>
              </w:rPr>
            </w:pPr>
            <w:r>
              <w:rPr>
                <w:rFonts w:ascii="Arial" w:eastAsia="Arial" w:hAnsi="Arial" w:cs="Arial"/>
                <w:w w:val="97"/>
                <w:sz w:val="18"/>
                <w:szCs w:val="18"/>
              </w:rPr>
              <w:t>4,151</w:t>
            </w:r>
          </w:p>
        </w:tc>
      </w:tr>
      <w:tr w:rsidR="00D1587D" w14:paraId="6B0B9096" w14:textId="77777777">
        <w:trPr>
          <w:trHeight w:val="54"/>
        </w:trPr>
        <w:tc>
          <w:tcPr>
            <w:tcW w:w="6760" w:type="dxa"/>
            <w:vAlign w:val="bottom"/>
          </w:tcPr>
          <w:p w14:paraId="31A30BAE" w14:textId="77777777" w:rsidR="00D1587D" w:rsidRDefault="00D1587D">
            <w:pPr>
              <w:rPr>
                <w:sz w:val="4"/>
                <w:szCs w:val="4"/>
              </w:rPr>
            </w:pPr>
          </w:p>
        </w:tc>
        <w:tc>
          <w:tcPr>
            <w:tcW w:w="80" w:type="dxa"/>
            <w:vAlign w:val="bottom"/>
          </w:tcPr>
          <w:p w14:paraId="5703D904" w14:textId="77777777" w:rsidR="00D1587D" w:rsidRDefault="00D1587D">
            <w:pPr>
              <w:rPr>
                <w:sz w:val="4"/>
                <w:szCs w:val="4"/>
              </w:rPr>
            </w:pPr>
          </w:p>
        </w:tc>
        <w:tc>
          <w:tcPr>
            <w:tcW w:w="740" w:type="dxa"/>
            <w:gridSpan w:val="2"/>
            <w:vAlign w:val="bottom"/>
          </w:tcPr>
          <w:p w14:paraId="49A9613E" w14:textId="77777777" w:rsidR="00D1587D" w:rsidRDefault="00D1587D">
            <w:pPr>
              <w:rPr>
                <w:sz w:val="4"/>
                <w:szCs w:val="4"/>
              </w:rPr>
            </w:pPr>
          </w:p>
        </w:tc>
        <w:tc>
          <w:tcPr>
            <w:tcW w:w="100" w:type="dxa"/>
            <w:vAlign w:val="bottom"/>
          </w:tcPr>
          <w:p w14:paraId="02046BDB" w14:textId="77777777" w:rsidR="00D1587D" w:rsidRDefault="00D1587D">
            <w:pPr>
              <w:rPr>
                <w:sz w:val="4"/>
                <w:szCs w:val="4"/>
              </w:rPr>
            </w:pPr>
          </w:p>
        </w:tc>
        <w:tc>
          <w:tcPr>
            <w:tcW w:w="740" w:type="dxa"/>
            <w:gridSpan w:val="2"/>
            <w:vAlign w:val="bottom"/>
          </w:tcPr>
          <w:p w14:paraId="7EAA6C59" w14:textId="77777777" w:rsidR="00D1587D" w:rsidRDefault="00D1587D">
            <w:pPr>
              <w:rPr>
                <w:sz w:val="4"/>
                <w:szCs w:val="4"/>
              </w:rPr>
            </w:pPr>
          </w:p>
        </w:tc>
      </w:tr>
      <w:tr w:rsidR="00D1587D" w14:paraId="749904C0" w14:textId="77777777">
        <w:trPr>
          <w:trHeight w:val="270"/>
        </w:trPr>
        <w:tc>
          <w:tcPr>
            <w:tcW w:w="6840" w:type="dxa"/>
            <w:gridSpan w:val="2"/>
            <w:shd w:val="clear" w:color="auto" w:fill="CCEEFF"/>
            <w:vAlign w:val="bottom"/>
          </w:tcPr>
          <w:p w14:paraId="35B6BDCF" w14:textId="77777777" w:rsidR="00D1587D" w:rsidRDefault="00410D07">
            <w:pPr>
              <w:rPr>
                <w:sz w:val="20"/>
                <w:szCs w:val="20"/>
              </w:rPr>
            </w:pPr>
            <w:r>
              <w:rPr>
                <w:rFonts w:ascii="Arial" w:eastAsia="Arial" w:hAnsi="Arial" w:cs="Arial"/>
                <w:sz w:val="18"/>
                <w:szCs w:val="18"/>
              </w:rPr>
              <w:t xml:space="preserve">Accumulated </w:t>
            </w:r>
            <w:r>
              <w:rPr>
                <w:rFonts w:ascii="Arial" w:eastAsia="Arial" w:hAnsi="Arial" w:cs="Arial"/>
                <w:sz w:val="18"/>
                <w:szCs w:val="18"/>
              </w:rPr>
              <w:t>Depreciation and Amortization</w:t>
            </w:r>
          </w:p>
        </w:tc>
        <w:tc>
          <w:tcPr>
            <w:tcW w:w="740" w:type="dxa"/>
            <w:gridSpan w:val="2"/>
            <w:shd w:val="clear" w:color="auto" w:fill="CCEEFF"/>
            <w:vAlign w:val="bottom"/>
          </w:tcPr>
          <w:p w14:paraId="3E9C76A8" w14:textId="77777777" w:rsidR="00D1587D" w:rsidRDefault="00410D07">
            <w:pPr>
              <w:jc w:val="right"/>
              <w:rPr>
                <w:sz w:val="20"/>
                <w:szCs w:val="20"/>
              </w:rPr>
            </w:pPr>
            <w:r>
              <w:rPr>
                <w:rFonts w:ascii="Arial" w:eastAsia="Arial" w:hAnsi="Arial" w:cs="Arial"/>
                <w:sz w:val="18"/>
                <w:szCs w:val="18"/>
              </w:rPr>
              <w:t>(2,714)</w:t>
            </w:r>
          </w:p>
        </w:tc>
        <w:tc>
          <w:tcPr>
            <w:tcW w:w="100" w:type="dxa"/>
            <w:shd w:val="clear" w:color="auto" w:fill="CCEEFF"/>
            <w:vAlign w:val="bottom"/>
          </w:tcPr>
          <w:p w14:paraId="1380D750" w14:textId="77777777" w:rsidR="00D1587D" w:rsidRDefault="00D1587D">
            <w:pPr>
              <w:rPr>
                <w:sz w:val="23"/>
                <w:szCs w:val="23"/>
              </w:rPr>
            </w:pPr>
          </w:p>
        </w:tc>
        <w:tc>
          <w:tcPr>
            <w:tcW w:w="740" w:type="dxa"/>
            <w:gridSpan w:val="2"/>
            <w:shd w:val="clear" w:color="auto" w:fill="CCEEFF"/>
            <w:vAlign w:val="bottom"/>
          </w:tcPr>
          <w:p w14:paraId="50D0C817" w14:textId="77777777" w:rsidR="00D1587D" w:rsidRDefault="00410D07">
            <w:pPr>
              <w:jc w:val="right"/>
              <w:rPr>
                <w:sz w:val="20"/>
                <w:szCs w:val="20"/>
              </w:rPr>
            </w:pPr>
            <w:r>
              <w:rPr>
                <w:rFonts w:ascii="Arial" w:eastAsia="Arial" w:hAnsi="Arial" w:cs="Arial"/>
                <w:sz w:val="18"/>
                <w:szCs w:val="18"/>
              </w:rPr>
              <w:t>(2,728)</w:t>
            </w:r>
          </w:p>
        </w:tc>
      </w:tr>
      <w:tr w:rsidR="00D1587D" w14:paraId="46EFA958" w14:textId="77777777">
        <w:trPr>
          <w:trHeight w:val="67"/>
        </w:trPr>
        <w:tc>
          <w:tcPr>
            <w:tcW w:w="6760" w:type="dxa"/>
            <w:shd w:val="clear" w:color="auto" w:fill="CCEEFF"/>
            <w:vAlign w:val="bottom"/>
          </w:tcPr>
          <w:p w14:paraId="2D583742" w14:textId="77777777" w:rsidR="00D1587D" w:rsidRDefault="00D1587D">
            <w:pPr>
              <w:rPr>
                <w:sz w:val="5"/>
                <w:szCs w:val="5"/>
              </w:rPr>
            </w:pPr>
          </w:p>
        </w:tc>
        <w:tc>
          <w:tcPr>
            <w:tcW w:w="80" w:type="dxa"/>
            <w:tcBorders>
              <w:bottom w:val="single" w:sz="8" w:space="0" w:color="CCEEFF"/>
            </w:tcBorders>
            <w:shd w:val="clear" w:color="auto" w:fill="CCEEFF"/>
            <w:vAlign w:val="bottom"/>
          </w:tcPr>
          <w:p w14:paraId="2C4C9C0B" w14:textId="77777777" w:rsidR="00D1587D" w:rsidRDefault="00D1587D">
            <w:pPr>
              <w:rPr>
                <w:sz w:val="5"/>
                <w:szCs w:val="5"/>
              </w:rPr>
            </w:pPr>
          </w:p>
        </w:tc>
        <w:tc>
          <w:tcPr>
            <w:tcW w:w="200" w:type="dxa"/>
            <w:tcBorders>
              <w:bottom w:val="single" w:sz="8" w:space="0" w:color="auto"/>
            </w:tcBorders>
            <w:shd w:val="clear" w:color="auto" w:fill="CCEEFF"/>
            <w:vAlign w:val="bottom"/>
          </w:tcPr>
          <w:p w14:paraId="120B2D43" w14:textId="77777777" w:rsidR="00D1587D" w:rsidRDefault="00D1587D">
            <w:pPr>
              <w:rPr>
                <w:sz w:val="5"/>
                <w:szCs w:val="5"/>
              </w:rPr>
            </w:pPr>
          </w:p>
        </w:tc>
        <w:tc>
          <w:tcPr>
            <w:tcW w:w="540" w:type="dxa"/>
            <w:tcBorders>
              <w:bottom w:val="single" w:sz="8" w:space="0" w:color="auto"/>
            </w:tcBorders>
            <w:shd w:val="clear" w:color="auto" w:fill="CCEEFF"/>
            <w:vAlign w:val="bottom"/>
          </w:tcPr>
          <w:p w14:paraId="51D41FF5" w14:textId="77777777" w:rsidR="00D1587D" w:rsidRDefault="00D1587D">
            <w:pPr>
              <w:rPr>
                <w:sz w:val="5"/>
                <w:szCs w:val="5"/>
              </w:rPr>
            </w:pPr>
          </w:p>
        </w:tc>
        <w:tc>
          <w:tcPr>
            <w:tcW w:w="100" w:type="dxa"/>
            <w:tcBorders>
              <w:bottom w:val="single" w:sz="8" w:space="0" w:color="CCEEFF"/>
            </w:tcBorders>
            <w:shd w:val="clear" w:color="auto" w:fill="CCEEFF"/>
            <w:vAlign w:val="bottom"/>
          </w:tcPr>
          <w:p w14:paraId="51DAD1D2" w14:textId="77777777" w:rsidR="00D1587D" w:rsidRDefault="00D1587D">
            <w:pPr>
              <w:rPr>
                <w:sz w:val="5"/>
                <w:szCs w:val="5"/>
              </w:rPr>
            </w:pPr>
          </w:p>
        </w:tc>
        <w:tc>
          <w:tcPr>
            <w:tcW w:w="200" w:type="dxa"/>
            <w:tcBorders>
              <w:bottom w:val="single" w:sz="8" w:space="0" w:color="auto"/>
            </w:tcBorders>
            <w:shd w:val="clear" w:color="auto" w:fill="CCEEFF"/>
            <w:vAlign w:val="bottom"/>
          </w:tcPr>
          <w:p w14:paraId="52B03AA2" w14:textId="77777777" w:rsidR="00D1587D" w:rsidRDefault="00D1587D">
            <w:pPr>
              <w:rPr>
                <w:sz w:val="5"/>
                <w:szCs w:val="5"/>
              </w:rPr>
            </w:pPr>
          </w:p>
        </w:tc>
        <w:tc>
          <w:tcPr>
            <w:tcW w:w="540" w:type="dxa"/>
            <w:tcBorders>
              <w:bottom w:val="single" w:sz="8" w:space="0" w:color="auto"/>
            </w:tcBorders>
            <w:shd w:val="clear" w:color="auto" w:fill="CCEEFF"/>
            <w:vAlign w:val="bottom"/>
          </w:tcPr>
          <w:p w14:paraId="4DC62E6B" w14:textId="77777777" w:rsidR="00D1587D" w:rsidRDefault="00D1587D">
            <w:pPr>
              <w:rPr>
                <w:sz w:val="5"/>
                <w:szCs w:val="5"/>
              </w:rPr>
            </w:pPr>
          </w:p>
        </w:tc>
      </w:tr>
      <w:tr w:rsidR="00D1587D" w14:paraId="3AF0AAA2" w14:textId="77777777">
        <w:trPr>
          <w:trHeight w:val="304"/>
        </w:trPr>
        <w:tc>
          <w:tcPr>
            <w:tcW w:w="6840" w:type="dxa"/>
            <w:gridSpan w:val="2"/>
            <w:vAlign w:val="bottom"/>
          </w:tcPr>
          <w:p w14:paraId="73407313" w14:textId="77777777" w:rsidR="00D1587D" w:rsidRDefault="00410D07">
            <w:pPr>
              <w:rPr>
                <w:sz w:val="20"/>
                <w:szCs w:val="20"/>
              </w:rPr>
            </w:pPr>
            <w:r>
              <w:rPr>
                <w:rFonts w:ascii="Arial" w:eastAsia="Arial" w:hAnsi="Arial" w:cs="Arial"/>
                <w:sz w:val="18"/>
                <w:szCs w:val="18"/>
              </w:rPr>
              <w:t>Property and Equipment, Net</w:t>
            </w:r>
          </w:p>
        </w:tc>
        <w:tc>
          <w:tcPr>
            <w:tcW w:w="200" w:type="dxa"/>
            <w:vAlign w:val="bottom"/>
          </w:tcPr>
          <w:p w14:paraId="0A8BA581" w14:textId="77777777" w:rsidR="00D1587D" w:rsidRDefault="00410D07">
            <w:pPr>
              <w:jc w:val="right"/>
              <w:rPr>
                <w:sz w:val="20"/>
                <w:szCs w:val="20"/>
              </w:rPr>
            </w:pPr>
            <w:r>
              <w:rPr>
                <w:rFonts w:ascii="Arial" w:eastAsia="Arial" w:hAnsi="Arial" w:cs="Arial"/>
                <w:sz w:val="18"/>
                <w:szCs w:val="18"/>
              </w:rPr>
              <w:t>$</w:t>
            </w:r>
          </w:p>
        </w:tc>
        <w:tc>
          <w:tcPr>
            <w:tcW w:w="540" w:type="dxa"/>
            <w:vAlign w:val="bottom"/>
          </w:tcPr>
          <w:p w14:paraId="2A58F43F" w14:textId="77777777" w:rsidR="00D1587D" w:rsidRDefault="00410D07">
            <w:pPr>
              <w:ind w:right="14"/>
              <w:jc w:val="right"/>
              <w:rPr>
                <w:sz w:val="20"/>
                <w:szCs w:val="20"/>
              </w:rPr>
            </w:pPr>
            <w:r>
              <w:rPr>
                <w:rFonts w:ascii="Arial" w:eastAsia="Arial" w:hAnsi="Arial" w:cs="Arial"/>
                <w:w w:val="93"/>
                <w:sz w:val="18"/>
                <w:szCs w:val="18"/>
              </w:rPr>
              <w:t>1,078</w:t>
            </w:r>
          </w:p>
        </w:tc>
        <w:tc>
          <w:tcPr>
            <w:tcW w:w="100" w:type="dxa"/>
            <w:vAlign w:val="bottom"/>
          </w:tcPr>
          <w:p w14:paraId="319ED913" w14:textId="77777777" w:rsidR="00D1587D" w:rsidRDefault="00D1587D">
            <w:pPr>
              <w:rPr>
                <w:sz w:val="24"/>
                <w:szCs w:val="24"/>
              </w:rPr>
            </w:pPr>
          </w:p>
        </w:tc>
        <w:tc>
          <w:tcPr>
            <w:tcW w:w="200" w:type="dxa"/>
            <w:vAlign w:val="bottom"/>
          </w:tcPr>
          <w:p w14:paraId="35FA6C9E" w14:textId="77777777" w:rsidR="00D1587D" w:rsidRDefault="00410D07">
            <w:pPr>
              <w:jc w:val="right"/>
              <w:rPr>
                <w:sz w:val="20"/>
                <w:szCs w:val="20"/>
              </w:rPr>
            </w:pPr>
            <w:r>
              <w:rPr>
                <w:rFonts w:ascii="Arial" w:eastAsia="Arial" w:hAnsi="Arial" w:cs="Arial"/>
                <w:sz w:val="18"/>
                <w:szCs w:val="18"/>
              </w:rPr>
              <w:t>$</w:t>
            </w:r>
          </w:p>
        </w:tc>
        <w:tc>
          <w:tcPr>
            <w:tcW w:w="540" w:type="dxa"/>
            <w:vAlign w:val="bottom"/>
          </w:tcPr>
          <w:p w14:paraId="6325C482" w14:textId="77777777" w:rsidR="00D1587D" w:rsidRDefault="00410D07">
            <w:pPr>
              <w:ind w:right="12"/>
              <w:jc w:val="right"/>
              <w:rPr>
                <w:sz w:val="20"/>
                <w:szCs w:val="20"/>
              </w:rPr>
            </w:pPr>
            <w:r>
              <w:rPr>
                <w:rFonts w:ascii="Arial" w:eastAsia="Arial" w:hAnsi="Arial" w:cs="Arial"/>
                <w:w w:val="93"/>
                <w:sz w:val="18"/>
                <w:szCs w:val="18"/>
              </w:rPr>
              <w:t>1,423</w:t>
            </w:r>
          </w:p>
        </w:tc>
      </w:tr>
      <w:tr w:rsidR="00D1587D" w14:paraId="4EBEC5BF" w14:textId="77777777">
        <w:trPr>
          <w:trHeight w:val="27"/>
        </w:trPr>
        <w:tc>
          <w:tcPr>
            <w:tcW w:w="6760" w:type="dxa"/>
            <w:vAlign w:val="bottom"/>
          </w:tcPr>
          <w:p w14:paraId="3DCEE8E9" w14:textId="77777777" w:rsidR="00D1587D" w:rsidRDefault="00D1587D">
            <w:pPr>
              <w:rPr>
                <w:sz w:val="2"/>
                <w:szCs w:val="2"/>
              </w:rPr>
            </w:pPr>
          </w:p>
        </w:tc>
        <w:tc>
          <w:tcPr>
            <w:tcW w:w="80" w:type="dxa"/>
            <w:vAlign w:val="bottom"/>
          </w:tcPr>
          <w:p w14:paraId="45CA073D" w14:textId="77777777" w:rsidR="00D1587D" w:rsidRDefault="00D1587D">
            <w:pPr>
              <w:rPr>
                <w:sz w:val="2"/>
                <w:szCs w:val="2"/>
              </w:rPr>
            </w:pPr>
          </w:p>
        </w:tc>
        <w:tc>
          <w:tcPr>
            <w:tcW w:w="200" w:type="dxa"/>
            <w:tcBorders>
              <w:bottom w:val="single" w:sz="8" w:space="0" w:color="auto"/>
            </w:tcBorders>
            <w:vAlign w:val="bottom"/>
          </w:tcPr>
          <w:p w14:paraId="72848BC5" w14:textId="77777777" w:rsidR="00D1587D" w:rsidRDefault="00D1587D">
            <w:pPr>
              <w:rPr>
                <w:sz w:val="2"/>
                <w:szCs w:val="2"/>
              </w:rPr>
            </w:pPr>
          </w:p>
        </w:tc>
        <w:tc>
          <w:tcPr>
            <w:tcW w:w="540" w:type="dxa"/>
            <w:tcBorders>
              <w:bottom w:val="single" w:sz="8" w:space="0" w:color="auto"/>
            </w:tcBorders>
            <w:vAlign w:val="bottom"/>
          </w:tcPr>
          <w:p w14:paraId="61F2F1E3" w14:textId="77777777" w:rsidR="00D1587D" w:rsidRDefault="00D1587D">
            <w:pPr>
              <w:rPr>
                <w:sz w:val="2"/>
                <w:szCs w:val="2"/>
              </w:rPr>
            </w:pPr>
          </w:p>
        </w:tc>
        <w:tc>
          <w:tcPr>
            <w:tcW w:w="100" w:type="dxa"/>
            <w:vAlign w:val="bottom"/>
          </w:tcPr>
          <w:p w14:paraId="40366BE7" w14:textId="77777777" w:rsidR="00D1587D" w:rsidRDefault="00D1587D">
            <w:pPr>
              <w:rPr>
                <w:sz w:val="2"/>
                <w:szCs w:val="2"/>
              </w:rPr>
            </w:pPr>
          </w:p>
        </w:tc>
        <w:tc>
          <w:tcPr>
            <w:tcW w:w="200" w:type="dxa"/>
            <w:tcBorders>
              <w:bottom w:val="single" w:sz="8" w:space="0" w:color="auto"/>
            </w:tcBorders>
            <w:vAlign w:val="bottom"/>
          </w:tcPr>
          <w:p w14:paraId="02D65FFA" w14:textId="77777777" w:rsidR="00D1587D" w:rsidRDefault="00D1587D">
            <w:pPr>
              <w:rPr>
                <w:sz w:val="2"/>
                <w:szCs w:val="2"/>
              </w:rPr>
            </w:pPr>
          </w:p>
        </w:tc>
        <w:tc>
          <w:tcPr>
            <w:tcW w:w="540" w:type="dxa"/>
            <w:tcBorders>
              <w:bottom w:val="single" w:sz="8" w:space="0" w:color="auto"/>
            </w:tcBorders>
            <w:vAlign w:val="bottom"/>
          </w:tcPr>
          <w:p w14:paraId="752CB23D" w14:textId="77777777" w:rsidR="00D1587D" w:rsidRDefault="00D1587D">
            <w:pPr>
              <w:rPr>
                <w:sz w:val="2"/>
                <w:szCs w:val="2"/>
              </w:rPr>
            </w:pPr>
          </w:p>
        </w:tc>
      </w:tr>
      <w:tr w:rsidR="00D1587D" w14:paraId="509ED67A" w14:textId="77777777">
        <w:trPr>
          <w:trHeight w:val="20"/>
        </w:trPr>
        <w:tc>
          <w:tcPr>
            <w:tcW w:w="6760" w:type="dxa"/>
            <w:vAlign w:val="bottom"/>
          </w:tcPr>
          <w:p w14:paraId="07B51D69" w14:textId="77777777" w:rsidR="00D1587D" w:rsidRDefault="00D1587D">
            <w:pPr>
              <w:spacing w:line="20" w:lineRule="exact"/>
              <w:rPr>
                <w:sz w:val="1"/>
                <w:szCs w:val="1"/>
              </w:rPr>
            </w:pPr>
          </w:p>
        </w:tc>
        <w:tc>
          <w:tcPr>
            <w:tcW w:w="80" w:type="dxa"/>
            <w:vAlign w:val="bottom"/>
          </w:tcPr>
          <w:p w14:paraId="4A3603A2" w14:textId="77777777" w:rsidR="00D1587D" w:rsidRDefault="00D1587D">
            <w:pPr>
              <w:spacing w:line="20" w:lineRule="exact"/>
              <w:rPr>
                <w:sz w:val="1"/>
                <w:szCs w:val="1"/>
              </w:rPr>
            </w:pPr>
          </w:p>
        </w:tc>
        <w:tc>
          <w:tcPr>
            <w:tcW w:w="200" w:type="dxa"/>
            <w:tcBorders>
              <w:bottom w:val="single" w:sz="8" w:space="0" w:color="auto"/>
            </w:tcBorders>
            <w:vAlign w:val="bottom"/>
          </w:tcPr>
          <w:p w14:paraId="15364A6D" w14:textId="77777777" w:rsidR="00D1587D" w:rsidRDefault="00D1587D">
            <w:pPr>
              <w:spacing w:line="20" w:lineRule="exact"/>
              <w:rPr>
                <w:sz w:val="1"/>
                <w:szCs w:val="1"/>
              </w:rPr>
            </w:pPr>
          </w:p>
        </w:tc>
        <w:tc>
          <w:tcPr>
            <w:tcW w:w="540" w:type="dxa"/>
            <w:tcBorders>
              <w:bottom w:val="single" w:sz="8" w:space="0" w:color="auto"/>
            </w:tcBorders>
            <w:vAlign w:val="bottom"/>
          </w:tcPr>
          <w:p w14:paraId="5ED1F2A4" w14:textId="77777777" w:rsidR="00D1587D" w:rsidRDefault="00D1587D">
            <w:pPr>
              <w:spacing w:line="20" w:lineRule="exact"/>
              <w:rPr>
                <w:sz w:val="1"/>
                <w:szCs w:val="1"/>
              </w:rPr>
            </w:pPr>
          </w:p>
        </w:tc>
        <w:tc>
          <w:tcPr>
            <w:tcW w:w="100" w:type="dxa"/>
            <w:vAlign w:val="bottom"/>
          </w:tcPr>
          <w:p w14:paraId="37565C83" w14:textId="77777777" w:rsidR="00D1587D" w:rsidRDefault="00D1587D">
            <w:pPr>
              <w:spacing w:line="20" w:lineRule="exact"/>
              <w:rPr>
                <w:sz w:val="1"/>
                <w:szCs w:val="1"/>
              </w:rPr>
            </w:pPr>
          </w:p>
        </w:tc>
        <w:tc>
          <w:tcPr>
            <w:tcW w:w="200" w:type="dxa"/>
            <w:tcBorders>
              <w:bottom w:val="single" w:sz="8" w:space="0" w:color="auto"/>
            </w:tcBorders>
            <w:vAlign w:val="bottom"/>
          </w:tcPr>
          <w:p w14:paraId="0727ECC1" w14:textId="77777777" w:rsidR="00D1587D" w:rsidRDefault="00D1587D">
            <w:pPr>
              <w:spacing w:line="20" w:lineRule="exact"/>
              <w:rPr>
                <w:sz w:val="1"/>
                <w:szCs w:val="1"/>
              </w:rPr>
            </w:pPr>
          </w:p>
        </w:tc>
        <w:tc>
          <w:tcPr>
            <w:tcW w:w="540" w:type="dxa"/>
            <w:tcBorders>
              <w:bottom w:val="single" w:sz="8" w:space="0" w:color="auto"/>
            </w:tcBorders>
            <w:vAlign w:val="bottom"/>
          </w:tcPr>
          <w:p w14:paraId="21B24F74" w14:textId="77777777" w:rsidR="00D1587D" w:rsidRDefault="00D1587D">
            <w:pPr>
              <w:spacing w:line="20" w:lineRule="exact"/>
              <w:rPr>
                <w:sz w:val="1"/>
                <w:szCs w:val="1"/>
              </w:rPr>
            </w:pPr>
          </w:p>
        </w:tc>
      </w:tr>
    </w:tbl>
    <w:p w14:paraId="7896EF24" w14:textId="77777777" w:rsidR="00D1587D" w:rsidRDefault="00410D07">
      <w:pPr>
        <w:spacing w:line="20" w:lineRule="exact"/>
        <w:rPr>
          <w:sz w:val="20"/>
          <w:szCs w:val="20"/>
        </w:rPr>
      </w:pPr>
      <w:r>
        <w:rPr>
          <w:noProof/>
          <w:sz w:val="20"/>
          <w:szCs w:val="20"/>
        </w:rPr>
        <w:drawing>
          <wp:anchor distT="0" distB="0" distL="114300" distR="114300" simplePos="0" relativeHeight="252082176" behindDoc="1" locked="0" layoutInCell="0" allowOverlap="1" wp14:anchorId="5C747C5B" wp14:editId="7BD398EE">
            <wp:simplePos x="0" y="0"/>
            <wp:positionH relativeFrom="column">
              <wp:posOffset>5003165</wp:posOffset>
            </wp:positionH>
            <wp:positionV relativeFrom="paragraph">
              <wp:posOffset>-1927860</wp:posOffset>
            </wp:positionV>
            <wp:extent cx="68580" cy="8255"/>
            <wp:effectExtent l="0" t="0" r="0" b="0"/>
            <wp:wrapNone/>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p>
    <w:p w14:paraId="51613CB3" w14:textId="77777777" w:rsidR="00D1587D" w:rsidRDefault="00D1587D">
      <w:pPr>
        <w:spacing w:line="74" w:lineRule="exact"/>
        <w:rPr>
          <w:sz w:val="20"/>
          <w:szCs w:val="20"/>
        </w:rPr>
      </w:pPr>
    </w:p>
    <w:p w14:paraId="1A628C5A" w14:textId="77777777" w:rsidR="00D1587D" w:rsidRDefault="00410D07">
      <w:pPr>
        <w:ind w:left="660"/>
        <w:rPr>
          <w:sz w:val="20"/>
          <w:szCs w:val="20"/>
        </w:rPr>
      </w:pPr>
      <w:r>
        <w:rPr>
          <w:rFonts w:ascii="Arial" w:eastAsia="Arial" w:hAnsi="Arial" w:cs="Arial"/>
          <w:sz w:val="18"/>
          <w:szCs w:val="18"/>
        </w:rPr>
        <w:t>Depreciation expense was $326 million in 2020, $411 million in 2019 and $425 million in 2018.</w:t>
      </w:r>
    </w:p>
    <w:p w14:paraId="51AF0CB2" w14:textId="77777777" w:rsidR="00D1587D" w:rsidRDefault="00D1587D">
      <w:pPr>
        <w:spacing w:line="117" w:lineRule="exact"/>
        <w:rPr>
          <w:sz w:val="20"/>
          <w:szCs w:val="20"/>
        </w:rPr>
      </w:pPr>
    </w:p>
    <w:p w14:paraId="4386E4C0" w14:textId="77777777" w:rsidR="00D1587D" w:rsidRDefault="00410D07">
      <w:pPr>
        <w:spacing w:line="277" w:lineRule="auto"/>
        <w:ind w:left="300" w:right="459" w:firstLine="360"/>
        <w:rPr>
          <w:sz w:val="20"/>
          <w:szCs w:val="20"/>
        </w:rPr>
      </w:pPr>
      <w:r>
        <w:rPr>
          <w:rFonts w:ascii="Arial" w:eastAsia="Arial" w:hAnsi="Arial" w:cs="Arial"/>
          <w:sz w:val="18"/>
          <w:szCs w:val="18"/>
        </w:rPr>
        <w:t xml:space="preserve">The Company’s </w:t>
      </w:r>
      <w:r>
        <w:rPr>
          <w:rFonts w:ascii="Arial" w:eastAsia="Arial" w:hAnsi="Arial" w:cs="Arial"/>
          <w:sz w:val="18"/>
          <w:szCs w:val="18"/>
        </w:rPr>
        <w:t>internationally based long-lived assets, including operating lease assets, were $269 million as of January 30, 2021 and $600 million as of February 1, 2020.</w:t>
      </w:r>
    </w:p>
    <w:p w14:paraId="29027CA8" w14:textId="77777777" w:rsidR="00D1587D" w:rsidRDefault="00D1587D">
      <w:pPr>
        <w:spacing w:line="62" w:lineRule="exact"/>
        <w:rPr>
          <w:sz w:val="20"/>
          <w:szCs w:val="20"/>
        </w:rPr>
      </w:pPr>
    </w:p>
    <w:p w14:paraId="5F7509E1" w14:textId="77777777" w:rsidR="00D1587D" w:rsidRDefault="00410D07">
      <w:pPr>
        <w:spacing w:line="290" w:lineRule="auto"/>
        <w:ind w:left="300" w:right="299" w:firstLine="360"/>
        <w:rPr>
          <w:sz w:val="20"/>
          <w:szCs w:val="20"/>
        </w:rPr>
      </w:pPr>
      <w:r>
        <w:rPr>
          <w:rFonts w:ascii="Arial" w:eastAsia="Arial" w:hAnsi="Arial" w:cs="Arial"/>
          <w:sz w:val="16"/>
          <w:szCs w:val="16"/>
        </w:rPr>
        <w:t xml:space="preserve">In 2020, the Company executed a rationalization of the Victoria’s Secret </w:t>
      </w:r>
      <w:r>
        <w:rPr>
          <w:rFonts w:ascii="Arial" w:eastAsia="Arial" w:hAnsi="Arial" w:cs="Arial"/>
          <w:sz w:val="16"/>
          <w:szCs w:val="16"/>
        </w:rPr>
        <w:t>company-operated store footprint. The Company permanently closed 241 stores in North America. Given the closures in 2020 as well as the negative operating results of certain Victoria’s Secret stores in 2020, 2019 and 2018, the Company reviewed the long-liv</w:t>
      </w:r>
      <w:r>
        <w:rPr>
          <w:rFonts w:ascii="Arial" w:eastAsia="Arial" w:hAnsi="Arial" w:cs="Arial"/>
          <w:sz w:val="16"/>
          <w:szCs w:val="16"/>
        </w:rPr>
        <w:t>ed store assets for potential impairment in all periods presented. The Company determined that the estimated undiscounted future cash flows were less than the carrying values for certain Victoria’s Secret asset groups and, as a result, determined the estim</w:t>
      </w:r>
      <w:r>
        <w:rPr>
          <w:rFonts w:ascii="Arial" w:eastAsia="Arial" w:hAnsi="Arial" w:cs="Arial"/>
          <w:sz w:val="16"/>
          <w:szCs w:val="16"/>
        </w:rPr>
        <w:t>ated fair values of the store asset groups using estimated discounted future cash flows and estimated market rental rates. Long-lived store asset impairment charges are principally included within Costs of Goods Sold, Buying and Occupancy in the Combined S</w:t>
      </w:r>
      <w:r>
        <w:rPr>
          <w:rFonts w:ascii="Arial" w:eastAsia="Arial" w:hAnsi="Arial" w:cs="Arial"/>
          <w:sz w:val="16"/>
          <w:szCs w:val="16"/>
        </w:rPr>
        <w:t>tatements of Income (Loss). As</w:t>
      </w:r>
    </w:p>
    <w:p w14:paraId="2808D634" w14:textId="77777777" w:rsidR="00D1587D" w:rsidRDefault="00D1587D">
      <w:pPr>
        <w:spacing w:line="165" w:lineRule="exact"/>
        <w:rPr>
          <w:sz w:val="20"/>
          <w:szCs w:val="20"/>
        </w:rPr>
      </w:pPr>
    </w:p>
    <w:p w14:paraId="760E5E15" w14:textId="77777777" w:rsidR="00D1587D" w:rsidRDefault="00410D07">
      <w:pPr>
        <w:jc w:val="center"/>
        <w:rPr>
          <w:sz w:val="20"/>
          <w:szCs w:val="20"/>
        </w:rPr>
      </w:pPr>
      <w:r>
        <w:rPr>
          <w:rFonts w:ascii="Arial" w:eastAsia="Arial" w:hAnsi="Arial" w:cs="Arial"/>
          <w:sz w:val="18"/>
          <w:szCs w:val="18"/>
        </w:rPr>
        <w:t>F-19</w:t>
      </w:r>
    </w:p>
    <w:p w14:paraId="203C39A0" w14:textId="77777777" w:rsidR="00D1587D" w:rsidRDefault="00410D07">
      <w:pPr>
        <w:spacing w:line="20" w:lineRule="exact"/>
        <w:rPr>
          <w:sz w:val="20"/>
          <w:szCs w:val="20"/>
        </w:rPr>
      </w:pPr>
      <w:r>
        <w:rPr>
          <w:noProof/>
          <w:sz w:val="20"/>
          <w:szCs w:val="20"/>
        </w:rPr>
        <w:drawing>
          <wp:anchor distT="0" distB="0" distL="114300" distR="114300" simplePos="0" relativeHeight="252083200" behindDoc="1" locked="0" layoutInCell="0" allowOverlap="1" wp14:anchorId="7F9ED58C" wp14:editId="0B735C11">
            <wp:simplePos x="0" y="0"/>
            <wp:positionH relativeFrom="column">
              <wp:posOffset>-636905</wp:posOffset>
            </wp:positionH>
            <wp:positionV relativeFrom="paragraph">
              <wp:posOffset>126365</wp:posOffset>
            </wp:positionV>
            <wp:extent cx="6995160" cy="17145"/>
            <wp:effectExtent l="0" t="0" r="0" b="0"/>
            <wp:wrapNone/>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17B7B7A" w14:textId="77777777" w:rsidR="00D1587D" w:rsidRDefault="00D1587D">
      <w:pPr>
        <w:sectPr w:rsidR="00D1587D">
          <w:pgSz w:w="11900" w:h="16838"/>
          <w:pgMar w:top="265" w:right="1440" w:bottom="1440" w:left="1440" w:header="0" w:footer="0" w:gutter="0"/>
          <w:cols w:space="720" w:equalWidth="0">
            <w:col w:w="9019"/>
          </w:cols>
        </w:sectPr>
      </w:pPr>
    </w:p>
    <w:bookmarkStart w:id="415" w:name="page416"/>
    <w:bookmarkEnd w:id="415"/>
    <w:p w14:paraId="393CD4A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DB7FD7C" w14:textId="77777777" w:rsidR="00D1587D" w:rsidRDefault="00D1587D">
      <w:pPr>
        <w:spacing w:line="131" w:lineRule="exact"/>
        <w:rPr>
          <w:sz w:val="20"/>
          <w:szCs w:val="20"/>
        </w:rPr>
      </w:pPr>
    </w:p>
    <w:p w14:paraId="46847BED" w14:textId="77777777" w:rsidR="00D1587D" w:rsidRDefault="00410D07">
      <w:pPr>
        <w:spacing w:line="286" w:lineRule="auto"/>
        <w:ind w:left="300" w:right="499"/>
        <w:rPr>
          <w:sz w:val="20"/>
          <w:szCs w:val="20"/>
        </w:rPr>
      </w:pPr>
      <w:r>
        <w:rPr>
          <w:rFonts w:ascii="Arial" w:eastAsia="Arial" w:hAnsi="Arial" w:cs="Arial"/>
          <w:sz w:val="17"/>
          <w:szCs w:val="17"/>
        </w:rPr>
        <w:t xml:space="preserve">discussed in Note 5, “Restructuring Activities,” the Company recorded a $25 million non-cash pre-tax impairment charge to fully write off all remaining </w:t>
      </w:r>
      <w:r>
        <w:rPr>
          <w:rFonts w:ascii="Arial" w:eastAsia="Arial" w:hAnsi="Arial" w:cs="Arial"/>
          <w:sz w:val="17"/>
          <w:szCs w:val="17"/>
        </w:rPr>
        <w:t>long-lived store assets in the U.K. This charge is included in General, Administrative and Store Operating Expenses in the 2020 Combined Statement of Loss.</w:t>
      </w:r>
    </w:p>
    <w:p w14:paraId="639312EE" w14:textId="77777777" w:rsidR="00D1587D" w:rsidRDefault="00D1587D">
      <w:pPr>
        <w:spacing w:line="57" w:lineRule="exact"/>
        <w:rPr>
          <w:sz w:val="20"/>
          <w:szCs w:val="20"/>
        </w:rPr>
      </w:pPr>
    </w:p>
    <w:p w14:paraId="1C4A1A84" w14:textId="77777777" w:rsidR="00D1587D" w:rsidRDefault="00410D07">
      <w:pPr>
        <w:spacing w:line="277" w:lineRule="auto"/>
        <w:ind w:left="300" w:right="779" w:firstLine="360"/>
        <w:rPr>
          <w:sz w:val="20"/>
          <w:szCs w:val="20"/>
        </w:rPr>
      </w:pPr>
      <w:r>
        <w:rPr>
          <w:rFonts w:ascii="Arial" w:eastAsia="Arial" w:hAnsi="Arial" w:cs="Arial"/>
          <w:sz w:val="18"/>
          <w:szCs w:val="18"/>
        </w:rPr>
        <w:t>The following table provides pre-tax long-lived store asset impairment charges included in the Comb</w:t>
      </w:r>
      <w:r>
        <w:rPr>
          <w:rFonts w:ascii="Arial" w:eastAsia="Arial" w:hAnsi="Arial" w:cs="Arial"/>
          <w:sz w:val="18"/>
          <w:szCs w:val="18"/>
        </w:rPr>
        <w:t>ined Statement of Income (Loss) for 2020, 2019 and 2018:</w:t>
      </w:r>
    </w:p>
    <w:p w14:paraId="61E7FC90"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820"/>
        <w:gridCol w:w="100"/>
        <w:gridCol w:w="360"/>
        <w:gridCol w:w="200"/>
        <w:gridCol w:w="360"/>
        <w:gridCol w:w="180"/>
        <w:gridCol w:w="400"/>
      </w:tblGrid>
      <w:tr w:rsidR="00D1587D" w14:paraId="42E456F1" w14:textId="77777777">
        <w:trPr>
          <w:trHeight w:val="186"/>
        </w:trPr>
        <w:tc>
          <w:tcPr>
            <w:tcW w:w="6820" w:type="dxa"/>
            <w:vAlign w:val="bottom"/>
          </w:tcPr>
          <w:p w14:paraId="1BD10C83" w14:textId="77777777" w:rsidR="00D1587D" w:rsidRDefault="00D1587D">
            <w:pPr>
              <w:rPr>
                <w:sz w:val="16"/>
                <w:szCs w:val="16"/>
              </w:rPr>
            </w:pPr>
          </w:p>
        </w:tc>
        <w:tc>
          <w:tcPr>
            <w:tcW w:w="460" w:type="dxa"/>
            <w:gridSpan w:val="2"/>
            <w:vAlign w:val="bottom"/>
          </w:tcPr>
          <w:p w14:paraId="3DD9BC28" w14:textId="77777777" w:rsidR="00D1587D" w:rsidRDefault="00410D07">
            <w:pPr>
              <w:ind w:right="40"/>
              <w:jc w:val="right"/>
              <w:rPr>
                <w:sz w:val="20"/>
                <w:szCs w:val="20"/>
              </w:rPr>
            </w:pPr>
            <w:r>
              <w:rPr>
                <w:rFonts w:ascii="Arial" w:eastAsia="Arial" w:hAnsi="Arial" w:cs="Arial"/>
                <w:b/>
                <w:bCs/>
                <w:sz w:val="14"/>
                <w:szCs w:val="14"/>
              </w:rPr>
              <w:t>2020</w:t>
            </w:r>
          </w:p>
        </w:tc>
        <w:tc>
          <w:tcPr>
            <w:tcW w:w="560" w:type="dxa"/>
            <w:gridSpan w:val="2"/>
            <w:vAlign w:val="bottom"/>
          </w:tcPr>
          <w:p w14:paraId="651417B5" w14:textId="77777777" w:rsidR="00D1587D" w:rsidRDefault="00410D07">
            <w:pPr>
              <w:ind w:right="40"/>
              <w:jc w:val="right"/>
              <w:rPr>
                <w:sz w:val="20"/>
                <w:szCs w:val="20"/>
              </w:rPr>
            </w:pPr>
            <w:r>
              <w:rPr>
                <w:rFonts w:ascii="Arial" w:eastAsia="Arial" w:hAnsi="Arial" w:cs="Arial"/>
                <w:b/>
                <w:bCs/>
                <w:sz w:val="14"/>
                <w:szCs w:val="14"/>
              </w:rPr>
              <w:t>2019</w:t>
            </w:r>
          </w:p>
        </w:tc>
        <w:tc>
          <w:tcPr>
            <w:tcW w:w="580" w:type="dxa"/>
            <w:gridSpan w:val="2"/>
            <w:vAlign w:val="bottom"/>
          </w:tcPr>
          <w:p w14:paraId="4EDE580A" w14:textId="77777777" w:rsidR="00D1587D" w:rsidRDefault="00410D07">
            <w:pPr>
              <w:jc w:val="right"/>
              <w:rPr>
                <w:sz w:val="20"/>
                <w:szCs w:val="20"/>
              </w:rPr>
            </w:pPr>
            <w:r>
              <w:rPr>
                <w:rFonts w:ascii="Arial" w:eastAsia="Arial" w:hAnsi="Arial" w:cs="Arial"/>
                <w:b/>
                <w:bCs/>
                <w:sz w:val="14"/>
                <w:szCs w:val="14"/>
              </w:rPr>
              <w:t>2018</w:t>
            </w:r>
          </w:p>
        </w:tc>
      </w:tr>
      <w:tr w:rsidR="00D1587D" w14:paraId="34F75232" w14:textId="77777777">
        <w:trPr>
          <w:trHeight w:val="53"/>
        </w:trPr>
        <w:tc>
          <w:tcPr>
            <w:tcW w:w="6820" w:type="dxa"/>
            <w:vAlign w:val="bottom"/>
          </w:tcPr>
          <w:p w14:paraId="4CE83730" w14:textId="77777777" w:rsidR="00D1587D" w:rsidRDefault="00D1587D">
            <w:pPr>
              <w:rPr>
                <w:sz w:val="4"/>
                <w:szCs w:val="4"/>
              </w:rPr>
            </w:pPr>
          </w:p>
        </w:tc>
        <w:tc>
          <w:tcPr>
            <w:tcW w:w="100" w:type="dxa"/>
            <w:vAlign w:val="bottom"/>
          </w:tcPr>
          <w:p w14:paraId="039A0BE6" w14:textId="77777777" w:rsidR="00D1587D" w:rsidRDefault="00D1587D">
            <w:pPr>
              <w:rPr>
                <w:sz w:val="4"/>
                <w:szCs w:val="4"/>
              </w:rPr>
            </w:pPr>
          </w:p>
        </w:tc>
        <w:tc>
          <w:tcPr>
            <w:tcW w:w="360" w:type="dxa"/>
            <w:tcBorders>
              <w:bottom w:val="single" w:sz="8" w:space="0" w:color="auto"/>
            </w:tcBorders>
            <w:vAlign w:val="bottom"/>
          </w:tcPr>
          <w:p w14:paraId="47C739C4" w14:textId="77777777" w:rsidR="00D1587D" w:rsidRDefault="00D1587D">
            <w:pPr>
              <w:rPr>
                <w:sz w:val="4"/>
                <w:szCs w:val="4"/>
              </w:rPr>
            </w:pPr>
          </w:p>
        </w:tc>
        <w:tc>
          <w:tcPr>
            <w:tcW w:w="1140" w:type="dxa"/>
            <w:gridSpan w:val="4"/>
            <w:tcBorders>
              <w:bottom w:val="single" w:sz="8" w:space="0" w:color="auto"/>
            </w:tcBorders>
            <w:vAlign w:val="bottom"/>
          </w:tcPr>
          <w:p w14:paraId="40FFEB6C" w14:textId="77777777" w:rsidR="00D1587D" w:rsidRDefault="00D1587D">
            <w:pPr>
              <w:rPr>
                <w:sz w:val="4"/>
                <w:szCs w:val="4"/>
              </w:rPr>
            </w:pPr>
          </w:p>
        </w:tc>
      </w:tr>
      <w:tr w:rsidR="00D1587D" w14:paraId="121AF1EB" w14:textId="77777777">
        <w:trPr>
          <w:trHeight w:val="224"/>
        </w:trPr>
        <w:tc>
          <w:tcPr>
            <w:tcW w:w="6820" w:type="dxa"/>
            <w:vAlign w:val="bottom"/>
          </w:tcPr>
          <w:p w14:paraId="0F191857" w14:textId="77777777" w:rsidR="00D1587D" w:rsidRDefault="00D1587D">
            <w:pPr>
              <w:rPr>
                <w:sz w:val="19"/>
                <w:szCs w:val="19"/>
              </w:rPr>
            </w:pPr>
          </w:p>
        </w:tc>
        <w:tc>
          <w:tcPr>
            <w:tcW w:w="100" w:type="dxa"/>
            <w:vAlign w:val="bottom"/>
          </w:tcPr>
          <w:p w14:paraId="50C782B8" w14:textId="77777777" w:rsidR="00D1587D" w:rsidRDefault="00D1587D">
            <w:pPr>
              <w:rPr>
                <w:sz w:val="19"/>
                <w:szCs w:val="19"/>
              </w:rPr>
            </w:pPr>
          </w:p>
        </w:tc>
        <w:tc>
          <w:tcPr>
            <w:tcW w:w="360" w:type="dxa"/>
            <w:vAlign w:val="bottom"/>
          </w:tcPr>
          <w:p w14:paraId="10EEA0C4" w14:textId="77777777" w:rsidR="00D1587D" w:rsidRDefault="00D1587D">
            <w:pPr>
              <w:rPr>
                <w:sz w:val="19"/>
                <w:szCs w:val="19"/>
              </w:rPr>
            </w:pPr>
          </w:p>
        </w:tc>
        <w:tc>
          <w:tcPr>
            <w:tcW w:w="1140" w:type="dxa"/>
            <w:gridSpan w:val="4"/>
            <w:vAlign w:val="bottom"/>
          </w:tcPr>
          <w:p w14:paraId="2D9A4377" w14:textId="77777777" w:rsidR="00D1587D" w:rsidRDefault="00410D07">
            <w:pPr>
              <w:ind w:right="290"/>
              <w:jc w:val="right"/>
              <w:rPr>
                <w:sz w:val="20"/>
                <w:szCs w:val="20"/>
              </w:rPr>
            </w:pPr>
            <w:r>
              <w:rPr>
                <w:rFonts w:ascii="Arial" w:eastAsia="Arial" w:hAnsi="Arial" w:cs="Arial"/>
                <w:b/>
                <w:bCs/>
                <w:w w:val="94"/>
                <w:sz w:val="14"/>
                <w:szCs w:val="14"/>
              </w:rPr>
              <w:t>(in millions)</w:t>
            </w:r>
          </w:p>
        </w:tc>
      </w:tr>
      <w:tr w:rsidR="00D1587D" w14:paraId="43517C61" w14:textId="77777777">
        <w:trPr>
          <w:trHeight w:val="53"/>
        </w:trPr>
        <w:tc>
          <w:tcPr>
            <w:tcW w:w="6820" w:type="dxa"/>
            <w:vAlign w:val="bottom"/>
          </w:tcPr>
          <w:p w14:paraId="2EBF7500" w14:textId="77777777" w:rsidR="00D1587D" w:rsidRDefault="00D1587D">
            <w:pPr>
              <w:rPr>
                <w:sz w:val="4"/>
                <w:szCs w:val="4"/>
              </w:rPr>
            </w:pPr>
          </w:p>
        </w:tc>
        <w:tc>
          <w:tcPr>
            <w:tcW w:w="100" w:type="dxa"/>
            <w:vAlign w:val="bottom"/>
          </w:tcPr>
          <w:p w14:paraId="01F8566C" w14:textId="77777777" w:rsidR="00D1587D" w:rsidRDefault="00D1587D">
            <w:pPr>
              <w:rPr>
                <w:sz w:val="4"/>
                <w:szCs w:val="4"/>
              </w:rPr>
            </w:pPr>
          </w:p>
        </w:tc>
        <w:tc>
          <w:tcPr>
            <w:tcW w:w="360" w:type="dxa"/>
            <w:vAlign w:val="bottom"/>
          </w:tcPr>
          <w:p w14:paraId="2F182369" w14:textId="77777777" w:rsidR="00D1587D" w:rsidRDefault="00D1587D">
            <w:pPr>
              <w:rPr>
                <w:sz w:val="4"/>
                <w:szCs w:val="4"/>
              </w:rPr>
            </w:pPr>
          </w:p>
        </w:tc>
        <w:tc>
          <w:tcPr>
            <w:tcW w:w="200" w:type="dxa"/>
            <w:vAlign w:val="bottom"/>
          </w:tcPr>
          <w:p w14:paraId="4C133323" w14:textId="77777777" w:rsidR="00D1587D" w:rsidRDefault="00D1587D">
            <w:pPr>
              <w:rPr>
                <w:sz w:val="4"/>
                <w:szCs w:val="4"/>
              </w:rPr>
            </w:pPr>
          </w:p>
        </w:tc>
        <w:tc>
          <w:tcPr>
            <w:tcW w:w="360" w:type="dxa"/>
            <w:vAlign w:val="bottom"/>
          </w:tcPr>
          <w:p w14:paraId="179D94D8" w14:textId="77777777" w:rsidR="00D1587D" w:rsidRDefault="00D1587D">
            <w:pPr>
              <w:rPr>
                <w:sz w:val="4"/>
                <w:szCs w:val="4"/>
              </w:rPr>
            </w:pPr>
          </w:p>
        </w:tc>
        <w:tc>
          <w:tcPr>
            <w:tcW w:w="180" w:type="dxa"/>
            <w:vAlign w:val="bottom"/>
          </w:tcPr>
          <w:p w14:paraId="1363CEC1" w14:textId="77777777" w:rsidR="00D1587D" w:rsidRDefault="00D1587D">
            <w:pPr>
              <w:rPr>
                <w:sz w:val="4"/>
                <w:szCs w:val="4"/>
              </w:rPr>
            </w:pPr>
          </w:p>
        </w:tc>
        <w:tc>
          <w:tcPr>
            <w:tcW w:w="400" w:type="dxa"/>
            <w:vAlign w:val="bottom"/>
          </w:tcPr>
          <w:p w14:paraId="76FF8300" w14:textId="77777777" w:rsidR="00D1587D" w:rsidRDefault="00D1587D">
            <w:pPr>
              <w:rPr>
                <w:sz w:val="4"/>
                <w:szCs w:val="4"/>
              </w:rPr>
            </w:pPr>
          </w:p>
        </w:tc>
      </w:tr>
      <w:tr w:rsidR="00D1587D" w14:paraId="5BE66702" w14:textId="77777777">
        <w:trPr>
          <w:trHeight w:val="304"/>
        </w:trPr>
        <w:tc>
          <w:tcPr>
            <w:tcW w:w="6820" w:type="dxa"/>
            <w:tcBorders>
              <w:bottom w:val="single" w:sz="8" w:space="0" w:color="CCEEFF"/>
            </w:tcBorders>
            <w:shd w:val="clear" w:color="auto" w:fill="CCEEFF"/>
            <w:vAlign w:val="bottom"/>
          </w:tcPr>
          <w:p w14:paraId="281D65F0" w14:textId="77777777" w:rsidR="00D1587D" w:rsidRDefault="00410D07">
            <w:pPr>
              <w:rPr>
                <w:sz w:val="20"/>
                <w:szCs w:val="20"/>
              </w:rPr>
            </w:pPr>
            <w:r>
              <w:rPr>
                <w:rFonts w:ascii="Arial" w:eastAsia="Arial" w:hAnsi="Arial" w:cs="Arial"/>
                <w:sz w:val="18"/>
                <w:szCs w:val="18"/>
              </w:rPr>
              <w:t>Store Asset Impairment</w:t>
            </w:r>
          </w:p>
        </w:tc>
        <w:tc>
          <w:tcPr>
            <w:tcW w:w="460" w:type="dxa"/>
            <w:gridSpan w:val="2"/>
            <w:tcBorders>
              <w:bottom w:val="single" w:sz="8" w:space="0" w:color="CCEEFF"/>
            </w:tcBorders>
            <w:shd w:val="clear" w:color="auto" w:fill="CCEEFF"/>
            <w:vAlign w:val="bottom"/>
          </w:tcPr>
          <w:p w14:paraId="0ADC73B8" w14:textId="77777777" w:rsidR="00D1587D" w:rsidRDefault="00410D07">
            <w:pPr>
              <w:jc w:val="right"/>
              <w:rPr>
                <w:sz w:val="20"/>
                <w:szCs w:val="20"/>
              </w:rPr>
            </w:pPr>
            <w:r>
              <w:rPr>
                <w:rFonts w:ascii="Arial" w:eastAsia="Arial" w:hAnsi="Arial" w:cs="Arial"/>
                <w:sz w:val="18"/>
                <w:szCs w:val="18"/>
              </w:rPr>
              <w:t>$136</w:t>
            </w:r>
          </w:p>
        </w:tc>
        <w:tc>
          <w:tcPr>
            <w:tcW w:w="560" w:type="dxa"/>
            <w:gridSpan w:val="2"/>
            <w:tcBorders>
              <w:bottom w:val="single" w:sz="8" w:space="0" w:color="CCEEFF"/>
            </w:tcBorders>
            <w:shd w:val="clear" w:color="auto" w:fill="CCEEFF"/>
            <w:vAlign w:val="bottom"/>
          </w:tcPr>
          <w:p w14:paraId="465010EA" w14:textId="77777777" w:rsidR="00D1587D" w:rsidRDefault="00410D07">
            <w:pPr>
              <w:jc w:val="right"/>
              <w:rPr>
                <w:sz w:val="20"/>
                <w:szCs w:val="20"/>
              </w:rPr>
            </w:pPr>
            <w:r>
              <w:rPr>
                <w:rFonts w:ascii="Arial" w:eastAsia="Arial" w:hAnsi="Arial" w:cs="Arial"/>
                <w:sz w:val="18"/>
                <w:szCs w:val="18"/>
              </w:rPr>
              <w:t>$198</w:t>
            </w:r>
          </w:p>
        </w:tc>
        <w:tc>
          <w:tcPr>
            <w:tcW w:w="580" w:type="dxa"/>
            <w:gridSpan w:val="2"/>
            <w:tcBorders>
              <w:bottom w:val="single" w:sz="8" w:space="0" w:color="CCEEFF"/>
            </w:tcBorders>
            <w:shd w:val="clear" w:color="auto" w:fill="CCEEFF"/>
            <w:vAlign w:val="bottom"/>
          </w:tcPr>
          <w:p w14:paraId="08A5CE42" w14:textId="77777777" w:rsidR="00D1587D" w:rsidRDefault="00410D07">
            <w:pPr>
              <w:jc w:val="right"/>
              <w:rPr>
                <w:sz w:val="20"/>
                <w:szCs w:val="20"/>
              </w:rPr>
            </w:pPr>
            <w:r>
              <w:rPr>
                <w:rFonts w:ascii="Arial" w:eastAsia="Arial" w:hAnsi="Arial" w:cs="Arial"/>
                <w:sz w:val="18"/>
                <w:szCs w:val="18"/>
              </w:rPr>
              <w:t>$101</w:t>
            </w:r>
          </w:p>
        </w:tc>
      </w:tr>
      <w:tr w:rsidR="00D1587D" w14:paraId="2F1A3F39" w14:textId="77777777">
        <w:trPr>
          <w:trHeight w:val="257"/>
        </w:trPr>
        <w:tc>
          <w:tcPr>
            <w:tcW w:w="6820" w:type="dxa"/>
            <w:vAlign w:val="bottom"/>
          </w:tcPr>
          <w:p w14:paraId="310A97F0" w14:textId="77777777" w:rsidR="00D1587D" w:rsidRDefault="00410D07">
            <w:pPr>
              <w:rPr>
                <w:sz w:val="20"/>
                <w:szCs w:val="20"/>
              </w:rPr>
            </w:pPr>
            <w:r>
              <w:rPr>
                <w:rFonts w:ascii="Arial" w:eastAsia="Arial" w:hAnsi="Arial" w:cs="Arial"/>
                <w:sz w:val="18"/>
                <w:szCs w:val="18"/>
              </w:rPr>
              <w:t>Operating Lease Asset Impairment</w:t>
            </w:r>
          </w:p>
        </w:tc>
        <w:tc>
          <w:tcPr>
            <w:tcW w:w="460" w:type="dxa"/>
            <w:gridSpan w:val="2"/>
            <w:vAlign w:val="bottom"/>
          </w:tcPr>
          <w:p w14:paraId="7E738E5A" w14:textId="77777777" w:rsidR="00D1587D" w:rsidRDefault="00410D07">
            <w:pPr>
              <w:jc w:val="right"/>
              <w:rPr>
                <w:sz w:val="20"/>
                <w:szCs w:val="20"/>
              </w:rPr>
            </w:pPr>
            <w:r>
              <w:rPr>
                <w:rFonts w:ascii="Arial" w:eastAsia="Arial" w:hAnsi="Arial" w:cs="Arial"/>
                <w:sz w:val="18"/>
                <w:szCs w:val="18"/>
              </w:rPr>
              <w:t>118</w:t>
            </w:r>
          </w:p>
        </w:tc>
        <w:tc>
          <w:tcPr>
            <w:tcW w:w="560" w:type="dxa"/>
            <w:gridSpan w:val="2"/>
            <w:vAlign w:val="bottom"/>
          </w:tcPr>
          <w:p w14:paraId="32290D6E" w14:textId="77777777" w:rsidR="00D1587D" w:rsidRDefault="00410D07">
            <w:pPr>
              <w:ind w:right="20"/>
              <w:jc w:val="right"/>
              <w:rPr>
                <w:sz w:val="20"/>
                <w:szCs w:val="20"/>
              </w:rPr>
            </w:pPr>
            <w:r>
              <w:rPr>
                <w:rFonts w:ascii="Arial" w:eastAsia="Arial" w:hAnsi="Arial" w:cs="Arial"/>
                <w:sz w:val="18"/>
                <w:szCs w:val="18"/>
              </w:rPr>
              <w:t>65</w:t>
            </w:r>
          </w:p>
        </w:tc>
        <w:tc>
          <w:tcPr>
            <w:tcW w:w="180" w:type="dxa"/>
            <w:vAlign w:val="bottom"/>
          </w:tcPr>
          <w:p w14:paraId="6BF4FCD1" w14:textId="77777777" w:rsidR="00D1587D" w:rsidRDefault="00D1587D"/>
        </w:tc>
        <w:tc>
          <w:tcPr>
            <w:tcW w:w="400" w:type="dxa"/>
            <w:vAlign w:val="bottom"/>
          </w:tcPr>
          <w:p w14:paraId="3093BF2F" w14:textId="77777777" w:rsidR="00D1587D" w:rsidRDefault="00410D07">
            <w:pPr>
              <w:jc w:val="right"/>
              <w:rPr>
                <w:sz w:val="20"/>
                <w:szCs w:val="20"/>
              </w:rPr>
            </w:pPr>
            <w:r>
              <w:rPr>
                <w:rFonts w:ascii="Arial" w:eastAsia="Arial" w:hAnsi="Arial" w:cs="Arial"/>
                <w:sz w:val="18"/>
                <w:szCs w:val="18"/>
              </w:rPr>
              <w:t>—</w:t>
            </w:r>
          </w:p>
        </w:tc>
      </w:tr>
      <w:tr w:rsidR="00D1587D" w14:paraId="06814E0B" w14:textId="77777777">
        <w:trPr>
          <w:trHeight w:val="68"/>
        </w:trPr>
        <w:tc>
          <w:tcPr>
            <w:tcW w:w="6820" w:type="dxa"/>
            <w:tcBorders>
              <w:bottom w:val="single" w:sz="8" w:space="0" w:color="CCEEFF"/>
            </w:tcBorders>
            <w:vAlign w:val="bottom"/>
          </w:tcPr>
          <w:p w14:paraId="1CF83CAF" w14:textId="77777777" w:rsidR="00D1587D" w:rsidRDefault="00D1587D">
            <w:pPr>
              <w:rPr>
                <w:sz w:val="5"/>
                <w:szCs w:val="5"/>
              </w:rPr>
            </w:pPr>
          </w:p>
        </w:tc>
        <w:tc>
          <w:tcPr>
            <w:tcW w:w="100" w:type="dxa"/>
            <w:tcBorders>
              <w:bottom w:val="single" w:sz="8" w:space="0" w:color="CCEEFF"/>
            </w:tcBorders>
            <w:vAlign w:val="bottom"/>
          </w:tcPr>
          <w:p w14:paraId="7A3CCA48" w14:textId="77777777" w:rsidR="00D1587D" w:rsidRDefault="00D1587D">
            <w:pPr>
              <w:rPr>
                <w:sz w:val="5"/>
                <w:szCs w:val="5"/>
              </w:rPr>
            </w:pPr>
          </w:p>
        </w:tc>
        <w:tc>
          <w:tcPr>
            <w:tcW w:w="360" w:type="dxa"/>
            <w:tcBorders>
              <w:bottom w:val="single" w:sz="8" w:space="0" w:color="auto"/>
            </w:tcBorders>
            <w:vAlign w:val="bottom"/>
          </w:tcPr>
          <w:p w14:paraId="09291BA7" w14:textId="77777777" w:rsidR="00D1587D" w:rsidRDefault="00D1587D">
            <w:pPr>
              <w:rPr>
                <w:sz w:val="5"/>
                <w:szCs w:val="5"/>
              </w:rPr>
            </w:pPr>
          </w:p>
        </w:tc>
        <w:tc>
          <w:tcPr>
            <w:tcW w:w="200" w:type="dxa"/>
            <w:tcBorders>
              <w:bottom w:val="single" w:sz="8" w:space="0" w:color="CCEEFF"/>
            </w:tcBorders>
            <w:vAlign w:val="bottom"/>
          </w:tcPr>
          <w:p w14:paraId="091693F0" w14:textId="77777777" w:rsidR="00D1587D" w:rsidRDefault="00D1587D">
            <w:pPr>
              <w:rPr>
                <w:sz w:val="5"/>
                <w:szCs w:val="5"/>
              </w:rPr>
            </w:pPr>
          </w:p>
        </w:tc>
        <w:tc>
          <w:tcPr>
            <w:tcW w:w="360" w:type="dxa"/>
            <w:tcBorders>
              <w:bottom w:val="single" w:sz="8" w:space="0" w:color="auto"/>
            </w:tcBorders>
            <w:vAlign w:val="bottom"/>
          </w:tcPr>
          <w:p w14:paraId="42360F7E" w14:textId="77777777" w:rsidR="00D1587D" w:rsidRDefault="00D1587D">
            <w:pPr>
              <w:rPr>
                <w:sz w:val="5"/>
                <w:szCs w:val="5"/>
              </w:rPr>
            </w:pPr>
          </w:p>
        </w:tc>
        <w:tc>
          <w:tcPr>
            <w:tcW w:w="180" w:type="dxa"/>
            <w:tcBorders>
              <w:bottom w:val="single" w:sz="8" w:space="0" w:color="CCEEFF"/>
            </w:tcBorders>
            <w:vAlign w:val="bottom"/>
          </w:tcPr>
          <w:p w14:paraId="2EFD1C2E" w14:textId="77777777" w:rsidR="00D1587D" w:rsidRDefault="00D1587D">
            <w:pPr>
              <w:rPr>
                <w:sz w:val="5"/>
                <w:szCs w:val="5"/>
              </w:rPr>
            </w:pPr>
          </w:p>
        </w:tc>
        <w:tc>
          <w:tcPr>
            <w:tcW w:w="400" w:type="dxa"/>
            <w:tcBorders>
              <w:bottom w:val="single" w:sz="8" w:space="0" w:color="auto"/>
            </w:tcBorders>
            <w:vAlign w:val="bottom"/>
          </w:tcPr>
          <w:p w14:paraId="3F2EEE86" w14:textId="77777777" w:rsidR="00D1587D" w:rsidRDefault="00D1587D">
            <w:pPr>
              <w:rPr>
                <w:sz w:val="5"/>
                <w:szCs w:val="5"/>
              </w:rPr>
            </w:pPr>
          </w:p>
        </w:tc>
      </w:tr>
      <w:tr w:rsidR="00D1587D" w14:paraId="28874834" w14:textId="77777777">
        <w:trPr>
          <w:trHeight w:val="376"/>
        </w:trPr>
        <w:tc>
          <w:tcPr>
            <w:tcW w:w="6820" w:type="dxa"/>
            <w:tcBorders>
              <w:bottom w:val="single" w:sz="8" w:space="0" w:color="CCEEFF"/>
            </w:tcBorders>
            <w:shd w:val="clear" w:color="auto" w:fill="CCEEFF"/>
            <w:vAlign w:val="bottom"/>
          </w:tcPr>
          <w:p w14:paraId="299BBACA" w14:textId="77777777" w:rsidR="00D1587D" w:rsidRDefault="00410D07">
            <w:pPr>
              <w:rPr>
                <w:sz w:val="20"/>
                <w:szCs w:val="20"/>
              </w:rPr>
            </w:pPr>
            <w:r>
              <w:rPr>
                <w:rFonts w:ascii="Arial" w:eastAsia="Arial" w:hAnsi="Arial" w:cs="Arial"/>
                <w:sz w:val="18"/>
                <w:szCs w:val="18"/>
              </w:rPr>
              <w:t>Total Impairment</w:t>
            </w:r>
          </w:p>
        </w:tc>
        <w:tc>
          <w:tcPr>
            <w:tcW w:w="460" w:type="dxa"/>
            <w:gridSpan w:val="2"/>
            <w:tcBorders>
              <w:bottom w:val="single" w:sz="8" w:space="0" w:color="CCEEFF"/>
            </w:tcBorders>
            <w:shd w:val="clear" w:color="auto" w:fill="CCEEFF"/>
            <w:vAlign w:val="bottom"/>
          </w:tcPr>
          <w:p w14:paraId="5659931A" w14:textId="77777777" w:rsidR="00D1587D" w:rsidRDefault="00410D07">
            <w:pPr>
              <w:jc w:val="right"/>
              <w:rPr>
                <w:sz w:val="20"/>
                <w:szCs w:val="20"/>
              </w:rPr>
            </w:pPr>
            <w:r>
              <w:rPr>
                <w:rFonts w:ascii="Arial" w:eastAsia="Arial" w:hAnsi="Arial" w:cs="Arial"/>
                <w:sz w:val="18"/>
                <w:szCs w:val="18"/>
              </w:rPr>
              <w:t>$254</w:t>
            </w:r>
          </w:p>
        </w:tc>
        <w:tc>
          <w:tcPr>
            <w:tcW w:w="560" w:type="dxa"/>
            <w:gridSpan w:val="2"/>
            <w:tcBorders>
              <w:bottom w:val="single" w:sz="8" w:space="0" w:color="CCEEFF"/>
            </w:tcBorders>
            <w:shd w:val="clear" w:color="auto" w:fill="CCEEFF"/>
            <w:vAlign w:val="bottom"/>
          </w:tcPr>
          <w:p w14:paraId="456D1D5E" w14:textId="77777777" w:rsidR="00D1587D" w:rsidRDefault="00410D07">
            <w:pPr>
              <w:jc w:val="right"/>
              <w:rPr>
                <w:sz w:val="20"/>
                <w:szCs w:val="20"/>
              </w:rPr>
            </w:pPr>
            <w:r>
              <w:rPr>
                <w:rFonts w:ascii="Arial" w:eastAsia="Arial" w:hAnsi="Arial" w:cs="Arial"/>
                <w:sz w:val="18"/>
                <w:szCs w:val="18"/>
              </w:rPr>
              <w:t>$263</w:t>
            </w:r>
          </w:p>
        </w:tc>
        <w:tc>
          <w:tcPr>
            <w:tcW w:w="580" w:type="dxa"/>
            <w:gridSpan w:val="2"/>
            <w:tcBorders>
              <w:bottom w:val="single" w:sz="8" w:space="0" w:color="CCEEFF"/>
            </w:tcBorders>
            <w:shd w:val="clear" w:color="auto" w:fill="CCEEFF"/>
            <w:vAlign w:val="bottom"/>
          </w:tcPr>
          <w:p w14:paraId="060C7F96" w14:textId="77777777" w:rsidR="00D1587D" w:rsidRDefault="00410D07">
            <w:pPr>
              <w:jc w:val="right"/>
              <w:rPr>
                <w:sz w:val="20"/>
                <w:szCs w:val="20"/>
              </w:rPr>
            </w:pPr>
            <w:r>
              <w:rPr>
                <w:rFonts w:ascii="Arial" w:eastAsia="Arial" w:hAnsi="Arial" w:cs="Arial"/>
                <w:sz w:val="18"/>
                <w:szCs w:val="18"/>
              </w:rPr>
              <w:t>$101</w:t>
            </w:r>
          </w:p>
        </w:tc>
      </w:tr>
      <w:tr w:rsidR="00D1587D" w14:paraId="117F53F1" w14:textId="77777777">
        <w:trPr>
          <w:trHeight w:val="20"/>
        </w:trPr>
        <w:tc>
          <w:tcPr>
            <w:tcW w:w="6820" w:type="dxa"/>
            <w:tcBorders>
              <w:top w:val="single" w:sz="8" w:space="0" w:color="CCEEFF"/>
            </w:tcBorders>
            <w:vAlign w:val="bottom"/>
          </w:tcPr>
          <w:p w14:paraId="68E9BAE5" w14:textId="77777777" w:rsidR="00D1587D" w:rsidRDefault="00D1587D">
            <w:pPr>
              <w:spacing w:line="20" w:lineRule="exact"/>
              <w:rPr>
                <w:sz w:val="1"/>
                <w:szCs w:val="1"/>
              </w:rPr>
            </w:pPr>
          </w:p>
        </w:tc>
        <w:tc>
          <w:tcPr>
            <w:tcW w:w="100" w:type="dxa"/>
            <w:tcBorders>
              <w:top w:val="single" w:sz="8" w:space="0" w:color="CCEEFF"/>
            </w:tcBorders>
            <w:vAlign w:val="bottom"/>
          </w:tcPr>
          <w:p w14:paraId="69B3D262" w14:textId="77777777" w:rsidR="00D1587D" w:rsidRDefault="00D1587D">
            <w:pPr>
              <w:spacing w:line="20" w:lineRule="exact"/>
              <w:rPr>
                <w:sz w:val="1"/>
                <w:szCs w:val="1"/>
              </w:rPr>
            </w:pPr>
          </w:p>
        </w:tc>
        <w:tc>
          <w:tcPr>
            <w:tcW w:w="360" w:type="dxa"/>
            <w:tcBorders>
              <w:top w:val="single" w:sz="8" w:space="0" w:color="auto"/>
            </w:tcBorders>
            <w:shd w:val="clear" w:color="auto" w:fill="000000"/>
            <w:vAlign w:val="bottom"/>
          </w:tcPr>
          <w:p w14:paraId="329AE8B9" w14:textId="77777777" w:rsidR="00D1587D" w:rsidRDefault="00D1587D">
            <w:pPr>
              <w:spacing w:line="20" w:lineRule="exact"/>
              <w:rPr>
                <w:sz w:val="1"/>
                <w:szCs w:val="1"/>
              </w:rPr>
            </w:pPr>
          </w:p>
        </w:tc>
        <w:tc>
          <w:tcPr>
            <w:tcW w:w="200" w:type="dxa"/>
            <w:tcBorders>
              <w:top w:val="single" w:sz="8" w:space="0" w:color="CCEEFF"/>
            </w:tcBorders>
            <w:vAlign w:val="bottom"/>
          </w:tcPr>
          <w:p w14:paraId="7BDEC2FE" w14:textId="77777777" w:rsidR="00D1587D" w:rsidRDefault="00D1587D">
            <w:pPr>
              <w:spacing w:line="20" w:lineRule="exact"/>
              <w:rPr>
                <w:sz w:val="1"/>
                <w:szCs w:val="1"/>
              </w:rPr>
            </w:pPr>
          </w:p>
        </w:tc>
        <w:tc>
          <w:tcPr>
            <w:tcW w:w="360" w:type="dxa"/>
            <w:tcBorders>
              <w:top w:val="single" w:sz="8" w:space="0" w:color="auto"/>
            </w:tcBorders>
            <w:shd w:val="clear" w:color="auto" w:fill="000000"/>
            <w:vAlign w:val="bottom"/>
          </w:tcPr>
          <w:p w14:paraId="2BEB768C" w14:textId="77777777" w:rsidR="00D1587D" w:rsidRDefault="00D1587D">
            <w:pPr>
              <w:spacing w:line="20" w:lineRule="exact"/>
              <w:rPr>
                <w:sz w:val="1"/>
                <w:szCs w:val="1"/>
              </w:rPr>
            </w:pPr>
          </w:p>
        </w:tc>
        <w:tc>
          <w:tcPr>
            <w:tcW w:w="180" w:type="dxa"/>
            <w:tcBorders>
              <w:top w:val="single" w:sz="8" w:space="0" w:color="CCEEFF"/>
            </w:tcBorders>
            <w:vAlign w:val="bottom"/>
          </w:tcPr>
          <w:p w14:paraId="032F9E79" w14:textId="77777777" w:rsidR="00D1587D" w:rsidRDefault="00D1587D">
            <w:pPr>
              <w:spacing w:line="20" w:lineRule="exact"/>
              <w:rPr>
                <w:sz w:val="1"/>
                <w:szCs w:val="1"/>
              </w:rPr>
            </w:pPr>
          </w:p>
        </w:tc>
        <w:tc>
          <w:tcPr>
            <w:tcW w:w="400" w:type="dxa"/>
            <w:tcBorders>
              <w:top w:val="single" w:sz="8" w:space="0" w:color="auto"/>
            </w:tcBorders>
            <w:shd w:val="clear" w:color="auto" w:fill="000000"/>
            <w:vAlign w:val="bottom"/>
          </w:tcPr>
          <w:p w14:paraId="54DF319E" w14:textId="77777777" w:rsidR="00D1587D" w:rsidRDefault="00D1587D">
            <w:pPr>
              <w:spacing w:line="20" w:lineRule="exact"/>
              <w:rPr>
                <w:sz w:val="1"/>
                <w:szCs w:val="1"/>
              </w:rPr>
            </w:pPr>
          </w:p>
        </w:tc>
      </w:tr>
    </w:tbl>
    <w:p w14:paraId="5CC4115A" w14:textId="77777777" w:rsidR="00D1587D" w:rsidRDefault="00410D07">
      <w:pPr>
        <w:spacing w:line="20" w:lineRule="exact"/>
        <w:rPr>
          <w:sz w:val="20"/>
          <w:szCs w:val="20"/>
        </w:rPr>
      </w:pPr>
      <w:r>
        <w:rPr>
          <w:noProof/>
          <w:sz w:val="20"/>
          <w:szCs w:val="20"/>
        </w:rPr>
        <w:drawing>
          <wp:anchor distT="0" distB="0" distL="114300" distR="114300" simplePos="0" relativeHeight="252084224" behindDoc="1" locked="0" layoutInCell="0" allowOverlap="1" wp14:anchorId="639FA38F" wp14:editId="7E52854E">
            <wp:simplePos x="0" y="0"/>
            <wp:positionH relativeFrom="column">
              <wp:posOffset>5165725</wp:posOffset>
            </wp:positionH>
            <wp:positionV relativeFrom="paragraph">
              <wp:posOffset>-256540</wp:posOffset>
            </wp:positionV>
            <wp:extent cx="120015" cy="8255"/>
            <wp:effectExtent l="0" t="0" r="0" b="0"/>
            <wp:wrapNone/>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2085248" behindDoc="1" locked="0" layoutInCell="0" allowOverlap="1" wp14:anchorId="3ED0F1CE" wp14:editId="70D93809">
            <wp:simplePos x="0" y="0"/>
            <wp:positionH relativeFrom="column">
              <wp:posOffset>4814570</wp:posOffset>
            </wp:positionH>
            <wp:positionV relativeFrom="paragraph">
              <wp:posOffset>-256540</wp:posOffset>
            </wp:positionV>
            <wp:extent cx="120015" cy="8255"/>
            <wp:effectExtent l="0" t="0" r="0" b="0"/>
            <wp:wrapNone/>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2086272" behindDoc="1" locked="0" layoutInCell="0" allowOverlap="1" wp14:anchorId="5847A70E" wp14:editId="4FE0B29B">
            <wp:simplePos x="0" y="0"/>
            <wp:positionH relativeFrom="column">
              <wp:posOffset>4523105</wp:posOffset>
            </wp:positionH>
            <wp:positionV relativeFrom="paragraph">
              <wp:posOffset>-256540</wp:posOffset>
            </wp:positionV>
            <wp:extent cx="59690" cy="8255"/>
            <wp:effectExtent l="0" t="0" r="0" b="0"/>
            <wp:wrapNone/>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40"/>
                    <a:srcRect/>
                    <a:stretch>
                      <a:fillRect/>
                    </a:stretch>
                  </pic:blipFill>
                  <pic:spPr bwMode="auto">
                    <a:xfrm>
                      <a:off x="0" y="0"/>
                      <a:ext cx="59690" cy="8255"/>
                    </a:xfrm>
                    <a:prstGeom prst="rect">
                      <a:avLst/>
                    </a:prstGeom>
                    <a:noFill/>
                  </pic:spPr>
                </pic:pic>
              </a:graphicData>
            </a:graphic>
          </wp:anchor>
        </w:drawing>
      </w:r>
      <w:r>
        <w:rPr>
          <w:noProof/>
          <w:sz w:val="20"/>
          <w:szCs w:val="20"/>
        </w:rPr>
        <w:drawing>
          <wp:anchor distT="0" distB="0" distL="114300" distR="114300" simplePos="0" relativeHeight="252087296" behindDoc="1" locked="0" layoutInCell="0" allowOverlap="1" wp14:anchorId="7A30BB13" wp14:editId="3A85AEC8">
            <wp:simplePos x="0" y="0"/>
            <wp:positionH relativeFrom="column">
              <wp:posOffset>5165725</wp:posOffset>
            </wp:positionH>
            <wp:positionV relativeFrom="paragraph">
              <wp:posOffset>-856615</wp:posOffset>
            </wp:positionV>
            <wp:extent cx="120015" cy="8255"/>
            <wp:effectExtent l="0" t="0" r="0" b="0"/>
            <wp:wrapNone/>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r>
        <w:rPr>
          <w:noProof/>
          <w:sz w:val="20"/>
          <w:szCs w:val="20"/>
        </w:rPr>
        <w:drawing>
          <wp:anchor distT="0" distB="0" distL="114300" distR="114300" simplePos="0" relativeHeight="252088320" behindDoc="1" locked="0" layoutInCell="0" allowOverlap="1" wp14:anchorId="358EF145" wp14:editId="47CAA9E6">
            <wp:simplePos x="0" y="0"/>
            <wp:positionH relativeFrom="column">
              <wp:posOffset>4814570</wp:posOffset>
            </wp:positionH>
            <wp:positionV relativeFrom="paragraph">
              <wp:posOffset>-856615</wp:posOffset>
            </wp:positionV>
            <wp:extent cx="120015" cy="8255"/>
            <wp:effectExtent l="0" t="0" r="0" b="0"/>
            <wp:wrapNone/>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41"/>
                    <a:srcRect/>
                    <a:stretch>
                      <a:fillRect/>
                    </a:stretch>
                  </pic:blipFill>
                  <pic:spPr bwMode="auto">
                    <a:xfrm>
                      <a:off x="0" y="0"/>
                      <a:ext cx="120015" cy="8255"/>
                    </a:xfrm>
                    <a:prstGeom prst="rect">
                      <a:avLst/>
                    </a:prstGeom>
                    <a:noFill/>
                  </pic:spPr>
                </pic:pic>
              </a:graphicData>
            </a:graphic>
          </wp:anchor>
        </w:drawing>
      </w:r>
    </w:p>
    <w:p w14:paraId="68DA8A80" w14:textId="77777777" w:rsidR="00D1587D" w:rsidRDefault="00D1587D">
      <w:pPr>
        <w:spacing w:line="178" w:lineRule="exact"/>
        <w:rPr>
          <w:sz w:val="20"/>
          <w:szCs w:val="20"/>
        </w:rPr>
      </w:pPr>
    </w:p>
    <w:p w14:paraId="2300446B" w14:textId="77777777" w:rsidR="00D1587D" w:rsidRDefault="00410D07">
      <w:pPr>
        <w:ind w:left="300"/>
        <w:rPr>
          <w:sz w:val="20"/>
          <w:szCs w:val="20"/>
        </w:rPr>
      </w:pPr>
      <w:r>
        <w:rPr>
          <w:rFonts w:ascii="Arial" w:eastAsia="Arial" w:hAnsi="Arial" w:cs="Arial"/>
          <w:b/>
          <w:bCs/>
          <w:sz w:val="18"/>
          <w:szCs w:val="18"/>
        </w:rPr>
        <w:t xml:space="preserve">8. </w:t>
      </w:r>
      <w:r>
        <w:rPr>
          <w:rFonts w:ascii="Arial" w:eastAsia="Arial" w:hAnsi="Arial" w:cs="Arial"/>
          <w:b/>
          <w:bCs/>
          <w:sz w:val="18"/>
          <w:szCs w:val="18"/>
        </w:rPr>
        <w:t>Leases</w:t>
      </w:r>
    </w:p>
    <w:p w14:paraId="5C4D7045" w14:textId="77777777" w:rsidR="00D1587D" w:rsidRDefault="00D1587D">
      <w:pPr>
        <w:spacing w:line="121" w:lineRule="exact"/>
        <w:rPr>
          <w:sz w:val="20"/>
          <w:szCs w:val="20"/>
        </w:rPr>
      </w:pPr>
    </w:p>
    <w:p w14:paraId="21D8F823" w14:textId="77777777" w:rsidR="00D1587D" w:rsidRDefault="00410D07">
      <w:pPr>
        <w:spacing w:line="263" w:lineRule="auto"/>
        <w:ind w:left="300" w:right="439" w:firstLine="360"/>
        <w:jc w:val="both"/>
        <w:rPr>
          <w:sz w:val="20"/>
          <w:szCs w:val="20"/>
        </w:rPr>
      </w:pPr>
      <w:r>
        <w:rPr>
          <w:rFonts w:ascii="Arial" w:eastAsia="Arial" w:hAnsi="Arial" w:cs="Arial"/>
          <w:sz w:val="18"/>
          <w:szCs w:val="18"/>
        </w:rPr>
        <w:t xml:space="preserve">In 2019, the Company adopted ASC 842, </w:t>
      </w:r>
      <w:r>
        <w:rPr>
          <w:rFonts w:ascii="Arial" w:eastAsia="Arial" w:hAnsi="Arial" w:cs="Arial"/>
          <w:i/>
          <w:iCs/>
          <w:sz w:val="18"/>
          <w:szCs w:val="18"/>
        </w:rPr>
        <w:t>Leases</w:t>
      </w:r>
      <w:r>
        <w:rPr>
          <w:rFonts w:ascii="Arial" w:eastAsia="Arial" w:hAnsi="Arial" w:cs="Arial"/>
          <w:sz w:val="18"/>
          <w:szCs w:val="18"/>
        </w:rPr>
        <w:t xml:space="preserve">, using the modified retrospective approach. Results for 2020 and 2019 are presented under ASC 842, while results for 2018 have not been adjusted and continue to be presented under the </w:t>
      </w:r>
      <w:r>
        <w:rPr>
          <w:rFonts w:ascii="Arial" w:eastAsia="Arial" w:hAnsi="Arial" w:cs="Arial"/>
          <w:sz w:val="18"/>
          <w:szCs w:val="18"/>
        </w:rPr>
        <w:t>accounting standards in effect at that time.</w:t>
      </w:r>
    </w:p>
    <w:p w14:paraId="1BB40DDD" w14:textId="77777777" w:rsidR="00D1587D" w:rsidRDefault="00D1587D">
      <w:pPr>
        <w:spacing w:line="103" w:lineRule="exact"/>
        <w:rPr>
          <w:sz w:val="20"/>
          <w:szCs w:val="20"/>
        </w:rPr>
      </w:pPr>
    </w:p>
    <w:p w14:paraId="6584A522" w14:textId="77777777" w:rsidR="00D1587D" w:rsidRDefault="00410D07">
      <w:pPr>
        <w:ind w:left="660"/>
        <w:rPr>
          <w:sz w:val="20"/>
          <w:szCs w:val="20"/>
        </w:rPr>
      </w:pPr>
      <w:r>
        <w:rPr>
          <w:rFonts w:ascii="Arial" w:eastAsia="Arial" w:hAnsi="Arial" w:cs="Arial"/>
          <w:sz w:val="18"/>
          <w:szCs w:val="18"/>
        </w:rPr>
        <w:t>The following table provides the components of lease cost for operating leases for 2020 and 2019:</w:t>
      </w:r>
    </w:p>
    <w:p w14:paraId="2CBFFEFE" w14:textId="77777777" w:rsidR="00D1587D" w:rsidRDefault="00D1587D">
      <w:pPr>
        <w:spacing w:line="19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1280"/>
        <w:gridCol w:w="5980"/>
        <w:gridCol w:w="140"/>
        <w:gridCol w:w="360"/>
        <w:gridCol w:w="280"/>
        <w:gridCol w:w="380"/>
      </w:tblGrid>
      <w:tr w:rsidR="00D1587D" w14:paraId="66B54113" w14:textId="77777777">
        <w:trPr>
          <w:trHeight w:val="186"/>
        </w:trPr>
        <w:tc>
          <w:tcPr>
            <w:tcW w:w="1280" w:type="dxa"/>
            <w:vAlign w:val="bottom"/>
          </w:tcPr>
          <w:p w14:paraId="5CA6107E" w14:textId="77777777" w:rsidR="00D1587D" w:rsidRDefault="00D1587D">
            <w:pPr>
              <w:rPr>
                <w:sz w:val="16"/>
                <w:szCs w:val="16"/>
              </w:rPr>
            </w:pPr>
          </w:p>
        </w:tc>
        <w:tc>
          <w:tcPr>
            <w:tcW w:w="5980" w:type="dxa"/>
            <w:vAlign w:val="bottom"/>
          </w:tcPr>
          <w:p w14:paraId="69D390C8" w14:textId="77777777" w:rsidR="00D1587D" w:rsidRDefault="00D1587D">
            <w:pPr>
              <w:rPr>
                <w:sz w:val="16"/>
                <w:szCs w:val="16"/>
              </w:rPr>
            </w:pPr>
          </w:p>
        </w:tc>
        <w:tc>
          <w:tcPr>
            <w:tcW w:w="500" w:type="dxa"/>
            <w:gridSpan w:val="2"/>
            <w:vAlign w:val="bottom"/>
          </w:tcPr>
          <w:p w14:paraId="74662EC8" w14:textId="77777777" w:rsidR="00D1587D" w:rsidRDefault="00410D07">
            <w:pPr>
              <w:jc w:val="right"/>
              <w:rPr>
                <w:sz w:val="20"/>
                <w:szCs w:val="20"/>
              </w:rPr>
            </w:pPr>
            <w:r>
              <w:rPr>
                <w:rFonts w:ascii="Arial" w:eastAsia="Arial" w:hAnsi="Arial" w:cs="Arial"/>
                <w:b/>
                <w:bCs/>
                <w:sz w:val="14"/>
                <w:szCs w:val="14"/>
              </w:rPr>
              <w:t>2020</w:t>
            </w:r>
          </w:p>
        </w:tc>
        <w:tc>
          <w:tcPr>
            <w:tcW w:w="280" w:type="dxa"/>
            <w:vAlign w:val="bottom"/>
          </w:tcPr>
          <w:p w14:paraId="0F1D9E9A" w14:textId="77777777" w:rsidR="00D1587D" w:rsidRDefault="00D1587D">
            <w:pPr>
              <w:rPr>
                <w:sz w:val="16"/>
                <w:szCs w:val="16"/>
              </w:rPr>
            </w:pPr>
          </w:p>
        </w:tc>
        <w:tc>
          <w:tcPr>
            <w:tcW w:w="380" w:type="dxa"/>
            <w:vAlign w:val="bottom"/>
          </w:tcPr>
          <w:p w14:paraId="7E5A3BCE" w14:textId="77777777" w:rsidR="00D1587D" w:rsidRDefault="00410D07">
            <w:pPr>
              <w:jc w:val="right"/>
              <w:rPr>
                <w:sz w:val="20"/>
                <w:szCs w:val="20"/>
              </w:rPr>
            </w:pPr>
            <w:r>
              <w:rPr>
                <w:rFonts w:ascii="Arial" w:eastAsia="Arial" w:hAnsi="Arial" w:cs="Arial"/>
                <w:b/>
                <w:bCs/>
                <w:sz w:val="14"/>
                <w:szCs w:val="14"/>
              </w:rPr>
              <w:t>2019</w:t>
            </w:r>
          </w:p>
        </w:tc>
      </w:tr>
      <w:tr w:rsidR="00D1587D" w14:paraId="4D770430" w14:textId="77777777">
        <w:trPr>
          <w:trHeight w:val="53"/>
        </w:trPr>
        <w:tc>
          <w:tcPr>
            <w:tcW w:w="1280" w:type="dxa"/>
            <w:vAlign w:val="bottom"/>
          </w:tcPr>
          <w:p w14:paraId="528E5DD4" w14:textId="77777777" w:rsidR="00D1587D" w:rsidRDefault="00D1587D">
            <w:pPr>
              <w:rPr>
                <w:sz w:val="4"/>
                <w:szCs w:val="4"/>
              </w:rPr>
            </w:pPr>
          </w:p>
        </w:tc>
        <w:tc>
          <w:tcPr>
            <w:tcW w:w="5980" w:type="dxa"/>
            <w:vAlign w:val="bottom"/>
          </w:tcPr>
          <w:p w14:paraId="3AB26562" w14:textId="77777777" w:rsidR="00D1587D" w:rsidRDefault="00D1587D">
            <w:pPr>
              <w:rPr>
                <w:sz w:val="4"/>
                <w:szCs w:val="4"/>
              </w:rPr>
            </w:pPr>
          </w:p>
        </w:tc>
        <w:tc>
          <w:tcPr>
            <w:tcW w:w="140" w:type="dxa"/>
            <w:vAlign w:val="bottom"/>
          </w:tcPr>
          <w:p w14:paraId="68E8327F" w14:textId="77777777" w:rsidR="00D1587D" w:rsidRDefault="00D1587D">
            <w:pPr>
              <w:rPr>
                <w:sz w:val="4"/>
                <w:szCs w:val="4"/>
              </w:rPr>
            </w:pPr>
          </w:p>
        </w:tc>
        <w:tc>
          <w:tcPr>
            <w:tcW w:w="1020" w:type="dxa"/>
            <w:gridSpan w:val="3"/>
            <w:tcBorders>
              <w:bottom w:val="single" w:sz="8" w:space="0" w:color="auto"/>
            </w:tcBorders>
            <w:vAlign w:val="bottom"/>
          </w:tcPr>
          <w:p w14:paraId="2EE6206F" w14:textId="77777777" w:rsidR="00D1587D" w:rsidRDefault="00D1587D">
            <w:pPr>
              <w:rPr>
                <w:sz w:val="4"/>
                <w:szCs w:val="4"/>
              </w:rPr>
            </w:pPr>
          </w:p>
        </w:tc>
      </w:tr>
      <w:tr w:rsidR="00D1587D" w14:paraId="5C083DE6" w14:textId="77777777">
        <w:trPr>
          <w:trHeight w:val="224"/>
        </w:trPr>
        <w:tc>
          <w:tcPr>
            <w:tcW w:w="1280" w:type="dxa"/>
            <w:vAlign w:val="bottom"/>
          </w:tcPr>
          <w:p w14:paraId="69E87250" w14:textId="77777777" w:rsidR="00D1587D" w:rsidRDefault="00D1587D">
            <w:pPr>
              <w:rPr>
                <w:sz w:val="19"/>
                <w:szCs w:val="19"/>
              </w:rPr>
            </w:pPr>
          </w:p>
        </w:tc>
        <w:tc>
          <w:tcPr>
            <w:tcW w:w="5980" w:type="dxa"/>
            <w:vAlign w:val="bottom"/>
          </w:tcPr>
          <w:p w14:paraId="15764ED7" w14:textId="77777777" w:rsidR="00D1587D" w:rsidRDefault="00D1587D">
            <w:pPr>
              <w:rPr>
                <w:sz w:val="19"/>
                <w:szCs w:val="19"/>
              </w:rPr>
            </w:pPr>
          </w:p>
        </w:tc>
        <w:tc>
          <w:tcPr>
            <w:tcW w:w="140" w:type="dxa"/>
            <w:vAlign w:val="bottom"/>
          </w:tcPr>
          <w:p w14:paraId="76BB5788" w14:textId="77777777" w:rsidR="00D1587D" w:rsidRDefault="00D1587D">
            <w:pPr>
              <w:rPr>
                <w:sz w:val="19"/>
                <w:szCs w:val="19"/>
              </w:rPr>
            </w:pPr>
          </w:p>
        </w:tc>
        <w:tc>
          <w:tcPr>
            <w:tcW w:w="1020" w:type="dxa"/>
            <w:gridSpan w:val="3"/>
            <w:vAlign w:val="bottom"/>
          </w:tcPr>
          <w:p w14:paraId="0C19FCE9" w14:textId="77777777" w:rsidR="00D1587D" w:rsidRDefault="00410D07">
            <w:pPr>
              <w:ind w:right="54"/>
              <w:jc w:val="right"/>
              <w:rPr>
                <w:sz w:val="20"/>
                <w:szCs w:val="20"/>
              </w:rPr>
            </w:pPr>
            <w:r>
              <w:rPr>
                <w:rFonts w:ascii="Arial" w:eastAsia="Arial" w:hAnsi="Arial" w:cs="Arial"/>
                <w:b/>
                <w:bCs/>
                <w:sz w:val="14"/>
                <w:szCs w:val="14"/>
              </w:rPr>
              <w:t>(in millions)</w:t>
            </w:r>
          </w:p>
        </w:tc>
      </w:tr>
      <w:tr w:rsidR="00D1587D" w14:paraId="5A4586A6" w14:textId="77777777">
        <w:trPr>
          <w:trHeight w:val="53"/>
        </w:trPr>
        <w:tc>
          <w:tcPr>
            <w:tcW w:w="1280" w:type="dxa"/>
            <w:vAlign w:val="bottom"/>
          </w:tcPr>
          <w:p w14:paraId="433B96CB" w14:textId="77777777" w:rsidR="00D1587D" w:rsidRDefault="00D1587D">
            <w:pPr>
              <w:rPr>
                <w:sz w:val="4"/>
                <w:szCs w:val="4"/>
              </w:rPr>
            </w:pPr>
          </w:p>
        </w:tc>
        <w:tc>
          <w:tcPr>
            <w:tcW w:w="5980" w:type="dxa"/>
            <w:vAlign w:val="bottom"/>
          </w:tcPr>
          <w:p w14:paraId="6014B559" w14:textId="77777777" w:rsidR="00D1587D" w:rsidRDefault="00D1587D">
            <w:pPr>
              <w:rPr>
                <w:sz w:val="4"/>
                <w:szCs w:val="4"/>
              </w:rPr>
            </w:pPr>
          </w:p>
        </w:tc>
        <w:tc>
          <w:tcPr>
            <w:tcW w:w="140" w:type="dxa"/>
            <w:vAlign w:val="bottom"/>
          </w:tcPr>
          <w:p w14:paraId="157DFBBD" w14:textId="77777777" w:rsidR="00D1587D" w:rsidRDefault="00D1587D">
            <w:pPr>
              <w:rPr>
                <w:sz w:val="4"/>
                <w:szCs w:val="4"/>
              </w:rPr>
            </w:pPr>
          </w:p>
        </w:tc>
        <w:tc>
          <w:tcPr>
            <w:tcW w:w="360" w:type="dxa"/>
            <w:vAlign w:val="bottom"/>
          </w:tcPr>
          <w:p w14:paraId="1D2F446C" w14:textId="77777777" w:rsidR="00D1587D" w:rsidRDefault="00D1587D">
            <w:pPr>
              <w:rPr>
                <w:sz w:val="4"/>
                <w:szCs w:val="4"/>
              </w:rPr>
            </w:pPr>
          </w:p>
        </w:tc>
        <w:tc>
          <w:tcPr>
            <w:tcW w:w="280" w:type="dxa"/>
            <w:vAlign w:val="bottom"/>
          </w:tcPr>
          <w:p w14:paraId="3960B701" w14:textId="77777777" w:rsidR="00D1587D" w:rsidRDefault="00D1587D">
            <w:pPr>
              <w:rPr>
                <w:sz w:val="4"/>
                <w:szCs w:val="4"/>
              </w:rPr>
            </w:pPr>
          </w:p>
        </w:tc>
        <w:tc>
          <w:tcPr>
            <w:tcW w:w="380" w:type="dxa"/>
            <w:vAlign w:val="bottom"/>
          </w:tcPr>
          <w:p w14:paraId="4E597E0D" w14:textId="77777777" w:rsidR="00D1587D" w:rsidRDefault="00D1587D">
            <w:pPr>
              <w:rPr>
                <w:sz w:val="4"/>
                <w:szCs w:val="4"/>
              </w:rPr>
            </w:pPr>
          </w:p>
        </w:tc>
      </w:tr>
      <w:tr w:rsidR="00D1587D" w14:paraId="3DC2D632" w14:textId="77777777">
        <w:trPr>
          <w:trHeight w:val="324"/>
        </w:trPr>
        <w:tc>
          <w:tcPr>
            <w:tcW w:w="7260" w:type="dxa"/>
            <w:gridSpan w:val="2"/>
            <w:shd w:val="clear" w:color="auto" w:fill="CCEEFF"/>
            <w:vAlign w:val="bottom"/>
          </w:tcPr>
          <w:p w14:paraId="384B648C" w14:textId="77777777" w:rsidR="00D1587D" w:rsidRDefault="00410D07">
            <w:pPr>
              <w:spacing w:line="324" w:lineRule="exact"/>
              <w:rPr>
                <w:sz w:val="20"/>
                <w:szCs w:val="20"/>
              </w:rPr>
            </w:pPr>
            <w:r>
              <w:rPr>
                <w:rFonts w:ascii="Arial" w:eastAsia="Arial" w:hAnsi="Arial" w:cs="Arial"/>
                <w:sz w:val="18"/>
                <w:szCs w:val="18"/>
              </w:rPr>
              <w:t>Operating Lease Costs</w:t>
            </w:r>
            <w:r>
              <w:rPr>
                <w:rFonts w:ascii="Arial" w:eastAsia="Arial" w:hAnsi="Arial" w:cs="Arial"/>
                <w:sz w:val="29"/>
                <w:szCs w:val="29"/>
                <w:vertAlign w:val="superscript"/>
              </w:rPr>
              <w:t>(a)</w:t>
            </w:r>
          </w:p>
        </w:tc>
        <w:tc>
          <w:tcPr>
            <w:tcW w:w="500" w:type="dxa"/>
            <w:gridSpan w:val="2"/>
            <w:shd w:val="clear" w:color="auto" w:fill="CCEEFF"/>
            <w:vAlign w:val="bottom"/>
          </w:tcPr>
          <w:p w14:paraId="3F5D2B52" w14:textId="77777777" w:rsidR="00D1587D" w:rsidRDefault="00410D07">
            <w:pPr>
              <w:jc w:val="right"/>
              <w:rPr>
                <w:sz w:val="20"/>
                <w:szCs w:val="20"/>
              </w:rPr>
            </w:pPr>
            <w:r>
              <w:rPr>
                <w:rFonts w:ascii="Arial" w:eastAsia="Arial" w:hAnsi="Arial" w:cs="Arial"/>
                <w:sz w:val="18"/>
                <w:szCs w:val="18"/>
              </w:rPr>
              <w:t>$521</w:t>
            </w:r>
          </w:p>
        </w:tc>
        <w:tc>
          <w:tcPr>
            <w:tcW w:w="280" w:type="dxa"/>
            <w:shd w:val="clear" w:color="auto" w:fill="CCEEFF"/>
            <w:vAlign w:val="bottom"/>
          </w:tcPr>
          <w:p w14:paraId="7453C82B" w14:textId="77777777" w:rsidR="00D1587D" w:rsidRDefault="00D1587D">
            <w:pPr>
              <w:rPr>
                <w:sz w:val="24"/>
                <w:szCs w:val="24"/>
              </w:rPr>
            </w:pPr>
          </w:p>
        </w:tc>
        <w:tc>
          <w:tcPr>
            <w:tcW w:w="380" w:type="dxa"/>
            <w:shd w:val="clear" w:color="auto" w:fill="CCEEFF"/>
            <w:vAlign w:val="bottom"/>
          </w:tcPr>
          <w:p w14:paraId="4D332297" w14:textId="77777777" w:rsidR="00D1587D" w:rsidRDefault="00410D07">
            <w:pPr>
              <w:jc w:val="right"/>
              <w:rPr>
                <w:sz w:val="20"/>
                <w:szCs w:val="20"/>
              </w:rPr>
            </w:pPr>
            <w:r>
              <w:rPr>
                <w:rFonts w:ascii="Arial" w:eastAsia="Arial" w:hAnsi="Arial" w:cs="Arial"/>
                <w:w w:val="84"/>
                <w:sz w:val="18"/>
                <w:szCs w:val="18"/>
              </w:rPr>
              <w:t>$562</w:t>
            </w:r>
          </w:p>
        </w:tc>
      </w:tr>
      <w:tr w:rsidR="00D1587D" w14:paraId="783019AE" w14:textId="77777777">
        <w:trPr>
          <w:trHeight w:val="257"/>
        </w:trPr>
        <w:tc>
          <w:tcPr>
            <w:tcW w:w="7260" w:type="dxa"/>
            <w:gridSpan w:val="2"/>
            <w:vAlign w:val="bottom"/>
          </w:tcPr>
          <w:p w14:paraId="769FFFBF" w14:textId="77777777" w:rsidR="00D1587D" w:rsidRDefault="00410D07">
            <w:pPr>
              <w:rPr>
                <w:sz w:val="20"/>
                <w:szCs w:val="20"/>
              </w:rPr>
            </w:pPr>
            <w:r>
              <w:rPr>
                <w:rFonts w:ascii="Arial" w:eastAsia="Arial" w:hAnsi="Arial" w:cs="Arial"/>
                <w:sz w:val="18"/>
                <w:szCs w:val="18"/>
              </w:rPr>
              <w:t>Variable Lease Costs</w:t>
            </w:r>
          </w:p>
        </w:tc>
        <w:tc>
          <w:tcPr>
            <w:tcW w:w="500" w:type="dxa"/>
            <w:gridSpan w:val="2"/>
            <w:vAlign w:val="bottom"/>
          </w:tcPr>
          <w:p w14:paraId="73233C71" w14:textId="77777777" w:rsidR="00D1587D" w:rsidRDefault="00410D07">
            <w:pPr>
              <w:jc w:val="right"/>
              <w:rPr>
                <w:sz w:val="20"/>
                <w:szCs w:val="20"/>
              </w:rPr>
            </w:pPr>
            <w:r>
              <w:rPr>
                <w:rFonts w:ascii="Arial" w:eastAsia="Arial" w:hAnsi="Arial" w:cs="Arial"/>
                <w:sz w:val="18"/>
                <w:szCs w:val="18"/>
              </w:rPr>
              <w:t>6</w:t>
            </w:r>
          </w:p>
        </w:tc>
        <w:tc>
          <w:tcPr>
            <w:tcW w:w="280" w:type="dxa"/>
            <w:vAlign w:val="bottom"/>
          </w:tcPr>
          <w:p w14:paraId="29D2B735" w14:textId="77777777" w:rsidR="00D1587D" w:rsidRDefault="00D1587D"/>
        </w:tc>
        <w:tc>
          <w:tcPr>
            <w:tcW w:w="380" w:type="dxa"/>
            <w:vAlign w:val="bottom"/>
          </w:tcPr>
          <w:p w14:paraId="13CB4559" w14:textId="77777777" w:rsidR="00D1587D" w:rsidRDefault="00410D07">
            <w:pPr>
              <w:jc w:val="right"/>
              <w:rPr>
                <w:sz w:val="20"/>
                <w:szCs w:val="20"/>
              </w:rPr>
            </w:pPr>
            <w:r>
              <w:rPr>
                <w:rFonts w:ascii="Arial" w:eastAsia="Arial" w:hAnsi="Arial" w:cs="Arial"/>
                <w:sz w:val="18"/>
                <w:szCs w:val="18"/>
              </w:rPr>
              <w:t>48</w:t>
            </w:r>
          </w:p>
        </w:tc>
      </w:tr>
      <w:tr w:rsidR="00D1587D" w14:paraId="7F236272" w14:textId="77777777">
        <w:trPr>
          <w:trHeight w:val="41"/>
        </w:trPr>
        <w:tc>
          <w:tcPr>
            <w:tcW w:w="1280" w:type="dxa"/>
            <w:vAlign w:val="bottom"/>
          </w:tcPr>
          <w:p w14:paraId="68562ACF" w14:textId="77777777" w:rsidR="00D1587D" w:rsidRDefault="00D1587D">
            <w:pPr>
              <w:rPr>
                <w:sz w:val="3"/>
                <w:szCs w:val="3"/>
              </w:rPr>
            </w:pPr>
          </w:p>
        </w:tc>
        <w:tc>
          <w:tcPr>
            <w:tcW w:w="5980" w:type="dxa"/>
            <w:vAlign w:val="bottom"/>
          </w:tcPr>
          <w:p w14:paraId="4CB5381E" w14:textId="77777777" w:rsidR="00D1587D" w:rsidRDefault="00D1587D">
            <w:pPr>
              <w:rPr>
                <w:sz w:val="3"/>
                <w:szCs w:val="3"/>
              </w:rPr>
            </w:pPr>
          </w:p>
        </w:tc>
        <w:tc>
          <w:tcPr>
            <w:tcW w:w="140" w:type="dxa"/>
            <w:vAlign w:val="bottom"/>
          </w:tcPr>
          <w:p w14:paraId="5F36A679" w14:textId="77777777" w:rsidR="00D1587D" w:rsidRDefault="00D1587D">
            <w:pPr>
              <w:rPr>
                <w:sz w:val="3"/>
                <w:szCs w:val="3"/>
              </w:rPr>
            </w:pPr>
          </w:p>
        </w:tc>
        <w:tc>
          <w:tcPr>
            <w:tcW w:w="360" w:type="dxa"/>
            <w:vAlign w:val="bottom"/>
          </w:tcPr>
          <w:p w14:paraId="4E9D460D" w14:textId="77777777" w:rsidR="00D1587D" w:rsidRDefault="00D1587D">
            <w:pPr>
              <w:rPr>
                <w:sz w:val="3"/>
                <w:szCs w:val="3"/>
              </w:rPr>
            </w:pPr>
          </w:p>
        </w:tc>
        <w:tc>
          <w:tcPr>
            <w:tcW w:w="280" w:type="dxa"/>
            <w:vAlign w:val="bottom"/>
          </w:tcPr>
          <w:p w14:paraId="02952F40" w14:textId="77777777" w:rsidR="00D1587D" w:rsidRDefault="00D1587D">
            <w:pPr>
              <w:rPr>
                <w:sz w:val="3"/>
                <w:szCs w:val="3"/>
              </w:rPr>
            </w:pPr>
          </w:p>
        </w:tc>
        <w:tc>
          <w:tcPr>
            <w:tcW w:w="380" w:type="dxa"/>
            <w:vAlign w:val="bottom"/>
          </w:tcPr>
          <w:p w14:paraId="30426B84" w14:textId="77777777" w:rsidR="00D1587D" w:rsidRDefault="00D1587D">
            <w:pPr>
              <w:rPr>
                <w:sz w:val="3"/>
                <w:szCs w:val="3"/>
              </w:rPr>
            </w:pPr>
          </w:p>
        </w:tc>
      </w:tr>
      <w:tr w:rsidR="00D1587D" w14:paraId="21E971DB" w14:textId="77777777">
        <w:trPr>
          <w:trHeight w:val="257"/>
        </w:trPr>
        <w:tc>
          <w:tcPr>
            <w:tcW w:w="7260" w:type="dxa"/>
            <w:gridSpan w:val="2"/>
            <w:shd w:val="clear" w:color="auto" w:fill="CCEEFF"/>
            <w:vAlign w:val="bottom"/>
          </w:tcPr>
          <w:p w14:paraId="0B84A8CD" w14:textId="77777777" w:rsidR="00D1587D" w:rsidRDefault="00410D07">
            <w:pPr>
              <w:rPr>
                <w:sz w:val="20"/>
                <w:szCs w:val="20"/>
              </w:rPr>
            </w:pPr>
            <w:r>
              <w:rPr>
                <w:rFonts w:ascii="Arial" w:eastAsia="Arial" w:hAnsi="Arial" w:cs="Arial"/>
                <w:sz w:val="18"/>
                <w:szCs w:val="18"/>
              </w:rPr>
              <w:t>Short-term Lease Costs</w:t>
            </w:r>
          </w:p>
        </w:tc>
        <w:tc>
          <w:tcPr>
            <w:tcW w:w="500" w:type="dxa"/>
            <w:gridSpan w:val="2"/>
            <w:shd w:val="clear" w:color="auto" w:fill="CCEEFF"/>
            <w:vAlign w:val="bottom"/>
          </w:tcPr>
          <w:p w14:paraId="7B4C7DD6" w14:textId="77777777" w:rsidR="00D1587D" w:rsidRDefault="00410D07">
            <w:pPr>
              <w:jc w:val="right"/>
              <w:rPr>
                <w:sz w:val="20"/>
                <w:szCs w:val="20"/>
              </w:rPr>
            </w:pPr>
            <w:r>
              <w:rPr>
                <w:rFonts w:ascii="Arial" w:eastAsia="Arial" w:hAnsi="Arial" w:cs="Arial"/>
                <w:sz w:val="18"/>
                <w:szCs w:val="18"/>
              </w:rPr>
              <w:t>5</w:t>
            </w:r>
          </w:p>
        </w:tc>
        <w:tc>
          <w:tcPr>
            <w:tcW w:w="280" w:type="dxa"/>
            <w:shd w:val="clear" w:color="auto" w:fill="CCEEFF"/>
            <w:vAlign w:val="bottom"/>
          </w:tcPr>
          <w:p w14:paraId="408471E1" w14:textId="77777777" w:rsidR="00D1587D" w:rsidRDefault="00D1587D"/>
        </w:tc>
        <w:tc>
          <w:tcPr>
            <w:tcW w:w="380" w:type="dxa"/>
            <w:shd w:val="clear" w:color="auto" w:fill="CCEEFF"/>
            <w:vAlign w:val="bottom"/>
          </w:tcPr>
          <w:p w14:paraId="34119763" w14:textId="77777777" w:rsidR="00D1587D" w:rsidRDefault="00410D07">
            <w:pPr>
              <w:jc w:val="right"/>
              <w:rPr>
                <w:sz w:val="20"/>
                <w:szCs w:val="20"/>
              </w:rPr>
            </w:pPr>
            <w:r>
              <w:rPr>
                <w:rFonts w:ascii="Arial" w:eastAsia="Arial" w:hAnsi="Arial" w:cs="Arial"/>
                <w:sz w:val="18"/>
                <w:szCs w:val="18"/>
              </w:rPr>
              <w:t>8</w:t>
            </w:r>
          </w:p>
        </w:tc>
      </w:tr>
      <w:tr w:rsidR="00D1587D" w14:paraId="758A32E8" w14:textId="77777777">
        <w:trPr>
          <w:trHeight w:val="67"/>
        </w:trPr>
        <w:tc>
          <w:tcPr>
            <w:tcW w:w="1280" w:type="dxa"/>
            <w:shd w:val="clear" w:color="auto" w:fill="CCEEFF"/>
            <w:vAlign w:val="bottom"/>
          </w:tcPr>
          <w:p w14:paraId="13C19D94" w14:textId="77777777" w:rsidR="00D1587D" w:rsidRDefault="00D1587D">
            <w:pPr>
              <w:rPr>
                <w:sz w:val="5"/>
                <w:szCs w:val="5"/>
              </w:rPr>
            </w:pPr>
          </w:p>
        </w:tc>
        <w:tc>
          <w:tcPr>
            <w:tcW w:w="5980" w:type="dxa"/>
            <w:shd w:val="clear" w:color="auto" w:fill="CCEEFF"/>
            <w:vAlign w:val="bottom"/>
          </w:tcPr>
          <w:p w14:paraId="05C6E107" w14:textId="77777777" w:rsidR="00D1587D" w:rsidRDefault="00D1587D">
            <w:pPr>
              <w:rPr>
                <w:sz w:val="5"/>
                <w:szCs w:val="5"/>
              </w:rPr>
            </w:pPr>
          </w:p>
        </w:tc>
        <w:tc>
          <w:tcPr>
            <w:tcW w:w="140" w:type="dxa"/>
            <w:tcBorders>
              <w:bottom w:val="single" w:sz="8" w:space="0" w:color="CCEEFF"/>
            </w:tcBorders>
            <w:shd w:val="clear" w:color="auto" w:fill="CCEEFF"/>
            <w:vAlign w:val="bottom"/>
          </w:tcPr>
          <w:p w14:paraId="39B38E1A" w14:textId="77777777" w:rsidR="00D1587D" w:rsidRDefault="00D1587D">
            <w:pPr>
              <w:rPr>
                <w:sz w:val="5"/>
                <w:szCs w:val="5"/>
              </w:rPr>
            </w:pPr>
          </w:p>
        </w:tc>
        <w:tc>
          <w:tcPr>
            <w:tcW w:w="360" w:type="dxa"/>
            <w:tcBorders>
              <w:bottom w:val="single" w:sz="8" w:space="0" w:color="auto"/>
            </w:tcBorders>
            <w:shd w:val="clear" w:color="auto" w:fill="CCEEFF"/>
            <w:vAlign w:val="bottom"/>
          </w:tcPr>
          <w:p w14:paraId="385F5D01" w14:textId="77777777" w:rsidR="00D1587D" w:rsidRDefault="00D1587D">
            <w:pPr>
              <w:rPr>
                <w:sz w:val="5"/>
                <w:szCs w:val="5"/>
              </w:rPr>
            </w:pPr>
          </w:p>
        </w:tc>
        <w:tc>
          <w:tcPr>
            <w:tcW w:w="280" w:type="dxa"/>
            <w:tcBorders>
              <w:bottom w:val="single" w:sz="8" w:space="0" w:color="CCEEFF"/>
            </w:tcBorders>
            <w:shd w:val="clear" w:color="auto" w:fill="CCEEFF"/>
            <w:vAlign w:val="bottom"/>
          </w:tcPr>
          <w:p w14:paraId="3D7FB5DF" w14:textId="77777777" w:rsidR="00D1587D" w:rsidRDefault="00D1587D">
            <w:pPr>
              <w:rPr>
                <w:sz w:val="5"/>
                <w:szCs w:val="5"/>
              </w:rPr>
            </w:pPr>
          </w:p>
        </w:tc>
        <w:tc>
          <w:tcPr>
            <w:tcW w:w="380" w:type="dxa"/>
            <w:tcBorders>
              <w:bottom w:val="single" w:sz="8" w:space="0" w:color="auto"/>
            </w:tcBorders>
            <w:shd w:val="clear" w:color="auto" w:fill="CCEEFF"/>
            <w:vAlign w:val="bottom"/>
          </w:tcPr>
          <w:p w14:paraId="677102ED" w14:textId="77777777" w:rsidR="00D1587D" w:rsidRDefault="00D1587D">
            <w:pPr>
              <w:rPr>
                <w:sz w:val="5"/>
                <w:szCs w:val="5"/>
              </w:rPr>
            </w:pPr>
          </w:p>
        </w:tc>
      </w:tr>
      <w:tr w:rsidR="00D1587D" w14:paraId="234F14EB" w14:textId="77777777">
        <w:trPr>
          <w:trHeight w:val="304"/>
        </w:trPr>
        <w:tc>
          <w:tcPr>
            <w:tcW w:w="7260" w:type="dxa"/>
            <w:gridSpan w:val="2"/>
            <w:vAlign w:val="bottom"/>
          </w:tcPr>
          <w:p w14:paraId="51CFF54D" w14:textId="77777777" w:rsidR="00D1587D" w:rsidRDefault="00410D07">
            <w:pPr>
              <w:rPr>
                <w:sz w:val="20"/>
                <w:szCs w:val="20"/>
              </w:rPr>
            </w:pPr>
            <w:r>
              <w:rPr>
                <w:rFonts w:ascii="Arial" w:eastAsia="Arial" w:hAnsi="Arial" w:cs="Arial"/>
                <w:sz w:val="18"/>
                <w:szCs w:val="18"/>
              </w:rPr>
              <w:t>Total Lease Cost</w:t>
            </w:r>
          </w:p>
        </w:tc>
        <w:tc>
          <w:tcPr>
            <w:tcW w:w="500" w:type="dxa"/>
            <w:gridSpan w:val="2"/>
            <w:vAlign w:val="bottom"/>
          </w:tcPr>
          <w:p w14:paraId="3202711A" w14:textId="77777777" w:rsidR="00D1587D" w:rsidRDefault="00410D07">
            <w:pPr>
              <w:jc w:val="right"/>
              <w:rPr>
                <w:sz w:val="20"/>
                <w:szCs w:val="20"/>
              </w:rPr>
            </w:pPr>
            <w:r>
              <w:rPr>
                <w:rFonts w:ascii="Arial" w:eastAsia="Arial" w:hAnsi="Arial" w:cs="Arial"/>
                <w:sz w:val="18"/>
                <w:szCs w:val="18"/>
              </w:rPr>
              <w:t>$532</w:t>
            </w:r>
          </w:p>
        </w:tc>
        <w:tc>
          <w:tcPr>
            <w:tcW w:w="280" w:type="dxa"/>
            <w:vAlign w:val="bottom"/>
          </w:tcPr>
          <w:p w14:paraId="22B9BC07" w14:textId="77777777" w:rsidR="00D1587D" w:rsidRDefault="00D1587D">
            <w:pPr>
              <w:rPr>
                <w:sz w:val="24"/>
                <w:szCs w:val="24"/>
              </w:rPr>
            </w:pPr>
          </w:p>
        </w:tc>
        <w:tc>
          <w:tcPr>
            <w:tcW w:w="380" w:type="dxa"/>
            <w:vAlign w:val="bottom"/>
          </w:tcPr>
          <w:p w14:paraId="4A6F1A41" w14:textId="77777777" w:rsidR="00D1587D" w:rsidRDefault="00410D07">
            <w:pPr>
              <w:jc w:val="right"/>
              <w:rPr>
                <w:sz w:val="20"/>
                <w:szCs w:val="20"/>
              </w:rPr>
            </w:pPr>
            <w:r>
              <w:rPr>
                <w:rFonts w:ascii="Arial" w:eastAsia="Arial" w:hAnsi="Arial" w:cs="Arial"/>
                <w:w w:val="84"/>
                <w:sz w:val="18"/>
                <w:szCs w:val="18"/>
              </w:rPr>
              <w:t>$618</w:t>
            </w:r>
          </w:p>
        </w:tc>
      </w:tr>
      <w:tr w:rsidR="00D1587D" w14:paraId="4DB7F907" w14:textId="77777777">
        <w:trPr>
          <w:trHeight w:val="27"/>
        </w:trPr>
        <w:tc>
          <w:tcPr>
            <w:tcW w:w="1280" w:type="dxa"/>
            <w:vAlign w:val="bottom"/>
          </w:tcPr>
          <w:p w14:paraId="2BE24507" w14:textId="77777777" w:rsidR="00D1587D" w:rsidRDefault="00D1587D">
            <w:pPr>
              <w:rPr>
                <w:sz w:val="2"/>
                <w:szCs w:val="2"/>
              </w:rPr>
            </w:pPr>
          </w:p>
        </w:tc>
        <w:tc>
          <w:tcPr>
            <w:tcW w:w="5980" w:type="dxa"/>
            <w:vAlign w:val="bottom"/>
          </w:tcPr>
          <w:p w14:paraId="227EE63A" w14:textId="77777777" w:rsidR="00D1587D" w:rsidRDefault="00D1587D">
            <w:pPr>
              <w:rPr>
                <w:sz w:val="2"/>
                <w:szCs w:val="2"/>
              </w:rPr>
            </w:pPr>
          </w:p>
        </w:tc>
        <w:tc>
          <w:tcPr>
            <w:tcW w:w="140" w:type="dxa"/>
            <w:vAlign w:val="bottom"/>
          </w:tcPr>
          <w:p w14:paraId="7952F9E3" w14:textId="77777777" w:rsidR="00D1587D" w:rsidRDefault="00D1587D">
            <w:pPr>
              <w:rPr>
                <w:sz w:val="2"/>
                <w:szCs w:val="2"/>
              </w:rPr>
            </w:pPr>
          </w:p>
        </w:tc>
        <w:tc>
          <w:tcPr>
            <w:tcW w:w="360" w:type="dxa"/>
            <w:tcBorders>
              <w:bottom w:val="single" w:sz="8" w:space="0" w:color="auto"/>
            </w:tcBorders>
            <w:vAlign w:val="bottom"/>
          </w:tcPr>
          <w:p w14:paraId="7F4969DB" w14:textId="77777777" w:rsidR="00D1587D" w:rsidRDefault="00D1587D">
            <w:pPr>
              <w:rPr>
                <w:sz w:val="2"/>
                <w:szCs w:val="2"/>
              </w:rPr>
            </w:pPr>
          </w:p>
        </w:tc>
        <w:tc>
          <w:tcPr>
            <w:tcW w:w="280" w:type="dxa"/>
            <w:vAlign w:val="bottom"/>
          </w:tcPr>
          <w:p w14:paraId="3E6EE215" w14:textId="77777777" w:rsidR="00D1587D" w:rsidRDefault="00D1587D">
            <w:pPr>
              <w:rPr>
                <w:sz w:val="2"/>
                <w:szCs w:val="2"/>
              </w:rPr>
            </w:pPr>
          </w:p>
        </w:tc>
        <w:tc>
          <w:tcPr>
            <w:tcW w:w="380" w:type="dxa"/>
            <w:tcBorders>
              <w:bottom w:val="single" w:sz="8" w:space="0" w:color="auto"/>
            </w:tcBorders>
            <w:vAlign w:val="bottom"/>
          </w:tcPr>
          <w:p w14:paraId="3EE40C48" w14:textId="77777777" w:rsidR="00D1587D" w:rsidRDefault="00D1587D">
            <w:pPr>
              <w:rPr>
                <w:sz w:val="2"/>
                <w:szCs w:val="2"/>
              </w:rPr>
            </w:pPr>
          </w:p>
        </w:tc>
      </w:tr>
      <w:tr w:rsidR="00D1587D" w14:paraId="13D60C7A" w14:textId="77777777">
        <w:trPr>
          <w:trHeight w:val="21"/>
        </w:trPr>
        <w:tc>
          <w:tcPr>
            <w:tcW w:w="1280" w:type="dxa"/>
            <w:vAlign w:val="bottom"/>
          </w:tcPr>
          <w:p w14:paraId="25D95756" w14:textId="77777777" w:rsidR="00D1587D" w:rsidRDefault="00D1587D">
            <w:pPr>
              <w:spacing w:line="20" w:lineRule="exact"/>
              <w:rPr>
                <w:sz w:val="1"/>
                <w:szCs w:val="1"/>
              </w:rPr>
            </w:pPr>
          </w:p>
        </w:tc>
        <w:tc>
          <w:tcPr>
            <w:tcW w:w="5980" w:type="dxa"/>
            <w:vAlign w:val="bottom"/>
          </w:tcPr>
          <w:p w14:paraId="1DF85742" w14:textId="77777777" w:rsidR="00D1587D" w:rsidRDefault="00D1587D">
            <w:pPr>
              <w:spacing w:line="20" w:lineRule="exact"/>
              <w:rPr>
                <w:sz w:val="1"/>
                <w:szCs w:val="1"/>
              </w:rPr>
            </w:pPr>
          </w:p>
        </w:tc>
        <w:tc>
          <w:tcPr>
            <w:tcW w:w="140" w:type="dxa"/>
            <w:vAlign w:val="bottom"/>
          </w:tcPr>
          <w:p w14:paraId="5B3850B9" w14:textId="77777777" w:rsidR="00D1587D" w:rsidRDefault="00D1587D">
            <w:pPr>
              <w:spacing w:line="20" w:lineRule="exact"/>
              <w:rPr>
                <w:sz w:val="1"/>
                <w:szCs w:val="1"/>
              </w:rPr>
            </w:pPr>
          </w:p>
        </w:tc>
        <w:tc>
          <w:tcPr>
            <w:tcW w:w="360" w:type="dxa"/>
            <w:tcBorders>
              <w:bottom w:val="single" w:sz="8" w:space="0" w:color="auto"/>
            </w:tcBorders>
            <w:vAlign w:val="bottom"/>
          </w:tcPr>
          <w:p w14:paraId="1A7DA991" w14:textId="77777777" w:rsidR="00D1587D" w:rsidRDefault="00D1587D">
            <w:pPr>
              <w:spacing w:line="20" w:lineRule="exact"/>
              <w:rPr>
                <w:sz w:val="1"/>
                <w:szCs w:val="1"/>
              </w:rPr>
            </w:pPr>
          </w:p>
        </w:tc>
        <w:tc>
          <w:tcPr>
            <w:tcW w:w="280" w:type="dxa"/>
            <w:vAlign w:val="bottom"/>
          </w:tcPr>
          <w:p w14:paraId="61DEE9C7" w14:textId="77777777" w:rsidR="00D1587D" w:rsidRDefault="00D1587D">
            <w:pPr>
              <w:spacing w:line="20" w:lineRule="exact"/>
              <w:rPr>
                <w:sz w:val="1"/>
                <w:szCs w:val="1"/>
              </w:rPr>
            </w:pPr>
          </w:p>
        </w:tc>
        <w:tc>
          <w:tcPr>
            <w:tcW w:w="380" w:type="dxa"/>
            <w:tcBorders>
              <w:bottom w:val="single" w:sz="8" w:space="0" w:color="auto"/>
            </w:tcBorders>
            <w:vAlign w:val="bottom"/>
          </w:tcPr>
          <w:p w14:paraId="3FBB69C9" w14:textId="77777777" w:rsidR="00D1587D" w:rsidRDefault="00D1587D">
            <w:pPr>
              <w:spacing w:line="20" w:lineRule="exact"/>
              <w:rPr>
                <w:sz w:val="1"/>
                <w:szCs w:val="1"/>
              </w:rPr>
            </w:pPr>
          </w:p>
        </w:tc>
      </w:tr>
      <w:tr w:rsidR="00D1587D" w14:paraId="1FC93830" w14:textId="77777777">
        <w:trPr>
          <w:trHeight w:val="142"/>
        </w:trPr>
        <w:tc>
          <w:tcPr>
            <w:tcW w:w="1280" w:type="dxa"/>
            <w:tcBorders>
              <w:bottom w:val="single" w:sz="8" w:space="0" w:color="auto"/>
            </w:tcBorders>
            <w:vAlign w:val="bottom"/>
          </w:tcPr>
          <w:p w14:paraId="15A9709A" w14:textId="77777777" w:rsidR="00D1587D" w:rsidRDefault="00D1587D">
            <w:pPr>
              <w:rPr>
                <w:sz w:val="12"/>
                <w:szCs w:val="12"/>
              </w:rPr>
            </w:pPr>
          </w:p>
        </w:tc>
        <w:tc>
          <w:tcPr>
            <w:tcW w:w="5980" w:type="dxa"/>
            <w:vAlign w:val="bottom"/>
          </w:tcPr>
          <w:p w14:paraId="205173FA" w14:textId="77777777" w:rsidR="00D1587D" w:rsidRDefault="00D1587D">
            <w:pPr>
              <w:rPr>
                <w:sz w:val="12"/>
                <w:szCs w:val="12"/>
              </w:rPr>
            </w:pPr>
          </w:p>
        </w:tc>
        <w:tc>
          <w:tcPr>
            <w:tcW w:w="140" w:type="dxa"/>
            <w:vAlign w:val="bottom"/>
          </w:tcPr>
          <w:p w14:paraId="6FDB01DA" w14:textId="77777777" w:rsidR="00D1587D" w:rsidRDefault="00D1587D">
            <w:pPr>
              <w:rPr>
                <w:sz w:val="12"/>
                <w:szCs w:val="12"/>
              </w:rPr>
            </w:pPr>
          </w:p>
        </w:tc>
        <w:tc>
          <w:tcPr>
            <w:tcW w:w="360" w:type="dxa"/>
            <w:vAlign w:val="bottom"/>
          </w:tcPr>
          <w:p w14:paraId="3FE305B3" w14:textId="77777777" w:rsidR="00D1587D" w:rsidRDefault="00D1587D">
            <w:pPr>
              <w:rPr>
                <w:sz w:val="12"/>
                <w:szCs w:val="12"/>
              </w:rPr>
            </w:pPr>
          </w:p>
        </w:tc>
        <w:tc>
          <w:tcPr>
            <w:tcW w:w="280" w:type="dxa"/>
            <w:vAlign w:val="bottom"/>
          </w:tcPr>
          <w:p w14:paraId="035E8776" w14:textId="77777777" w:rsidR="00D1587D" w:rsidRDefault="00D1587D">
            <w:pPr>
              <w:rPr>
                <w:sz w:val="12"/>
                <w:szCs w:val="12"/>
              </w:rPr>
            </w:pPr>
          </w:p>
        </w:tc>
        <w:tc>
          <w:tcPr>
            <w:tcW w:w="380" w:type="dxa"/>
            <w:vAlign w:val="bottom"/>
          </w:tcPr>
          <w:p w14:paraId="5C7F6EC4" w14:textId="77777777" w:rsidR="00D1587D" w:rsidRDefault="00D1587D">
            <w:pPr>
              <w:rPr>
                <w:sz w:val="12"/>
                <w:szCs w:val="12"/>
              </w:rPr>
            </w:pPr>
          </w:p>
        </w:tc>
      </w:tr>
    </w:tbl>
    <w:p w14:paraId="057D3AE5" w14:textId="77777777" w:rsidR="00D1587D" w:rsidRDefault="00410D07">
      <w:pPr>
        <w:spacing w:line="20" w:lineRule="exact"/>
        <w:rPr>
          <w:sz w:val="20"/>
          <w:szCs w:val="20"/>
        </w:rPr>
      </w:pPr>
      <w:r>
        <w:rPr>
          <w:noProof/>
          <w:sz w:val="20"/>
          <w:szCs w:val="20"/>
        </w:rPr>
        <w:drawing>
          <wp:anchor distT="0" distB="0" distL="114300" distR="114300" simplePos="0" relativeHeight="252089344" behindDoc="1" locked="0" layoutInCell="0" allowOverlap="1" wp14:anchorId="44E4C17C" wp14:editId="16DF7F3A">
            <wp:simplePos x="0" y="0"/>
            <wp:positionH relativeFrom="column">
              <wp:posOffset>5123180</wp:posOffset>
            </wp:positionH>
            <wp:positionV relativeFrom="paragraph">
              <wp:posOffset>-1148080</wp:posOffset>
            </wp:positionV>
            <wp:extent cx="171450" cy="8255"/>
            <wp:effectExtent l="0" t="0" r="0" b="0"/>
            <wp:wrapNone/>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60"/>
                    <a:srcRect/>
                    <a:stretch>
                      <a:fillRect/>
                    </a:stretch>
                  </pic:blipFill>
                  <pic:spPr bwMode="auto">
                    <a:xfrm>
                      <a:off x="0" y="0"/>
                      <a:ext cx="171450" cy="8255"/>
                    </a:xfrm>
                    <a:prstGeom prst="rect">
                      <a:avLst/>
                    </a:prstGeom>
                    <a:noFill/>
                  </pic:spPr>
                </pic:pic>
              </a:graphicData>
            </a:graphic>
          </wp:anchor>
        </w:drawing>
      </w:r>
    </w:p>
    <w:p w14:paraId="3049122C" w14:textId="77777777" w:rsidR="00D1587D" w:rsidRDefault="00D1587D">
      <w:pPr>
        <w:spacing w:line="15" w:lineRule="exact"/>
        <w:rPr>
          <w:sz w:val="20"/>
          <w:szCs w:val="20"/>
        </w:rPr>
      </w:pPr>
    </w:p>
    <w:p w14:paraId="7E4AF78D" w14:textId="77777777" w:rsidR="00D1587D" w:rsidRDefault="00410D07" w:rsidP="00410D07">
      <w:pPr>
        <w:numPr>
          <w:ilvl w:val="0"/>
          <w:numId w:val="345"/>
        </w:numPr>
        <w:tabs>
          <w:tab w:val="left" w:pos="640"/>
        </w:tabs>
        <w:spacing w:line="253" w:lineRule="auto"/>
        <w:ind w:left="640" w:right="699" w:hanging="348"/>
        <w:rPr>
          <w:rFonts w:ascii="Arial" w:eastAsia="Arial" w:hAnsi="Arial" w:cs="Arial"/>
          <w:sz w:val="14"/>
          <w:szCs w:val="14"/>
        </w:rPr>
      </w:pPr>
      <w:r>
        <w:rPr>
          <w:rFonts w:ascii="Arial" w:eastAsia="Arial" w:hAnsi="Arial" w:cs="Arial"/>
          <w:sz w:val="14"/>
          <w:szCs w:val="14"/>
        </w:rPr>
        <w:t xml:space="preserve">As discussed in Note 7, “Long-Lived Assets,” the Company recognized operating lease asset impairment charges of $118 million and $65 million during 2020 and </w:t>
      </w:r>
      <w:r>
        <w:rPr>
          <w:rFonts w:ascii="Arial" w:eastAsia="Arial" w:hAnsi="Arial" w:cs="Arial"/>
          <w:sz w:val="14"/>
          <w:szCs w:val="14"/>
        </w:rPr>
        <w:t>2019, respectively, which is included as operating lease costs.</w:t>
      </w:r>
    </w:p>
    <w:p w14:paraId="1D07C6B3" w14:textId="77777777" w:rsidR="00D1587D" w:rsidRDefault="00D1587D">
      <w:pPr>
        <w:spacing w:line="70" w:lineRule="exact"/>
        <w:rPr>
          <w:sz w:val="20"/>
          <w:szCs w:val="20"/>
        </w:rPr>
      </w:pPr>
    </w:p>
    <w:p w14:paraId="4E5E78D9" w14:textId="77777777" w:rsidR="00D1587D" w:rsidRDefault="00410D07">
      <w:pPr>
        <w:spacing w:line="291" w:lineRule="auto"/>
        <w:ind w:left="300" w:right="399" w:firstLine="360"/>
        <w:rPr>
          <w:sz w:val="20"/>
          <w:szCs w:val="20"/>
        </w:rPr>
      </w:pPr>
      <w:r>
        <w:rPr>
          <w:rFonts w:ascii="Arial" w:eastAsia="Arial" w:hAnsi="Arial" w:cs="Arial"/>
          <w:sz w:val="16"/>
          <w:szCs w:val="16"/>
        </w:rPr>
        <w:t>For many stores and select office locations, beginning in April 2020, rent was not paid, or was only partially paid, due to the COVID-19 pandemic. Negotiations are complete with nearly all la</w:t>
      </w:r>
      <w:r>
        <w:rPr>
          <w:rFonts w:ascii="Arial" w:eastAsia="Arial" w:hAnsi="Arial" w:cs="Arial"/>
          <w:sz w:val="16"/>
          <w:szCs w:val="16"/>
        </w:rPr>
        <w:t>ndlords to determine potential rent credits or payment deferrals related to COVID-19. As of January 30, 2021, the Company is fully accrued to the original contractual rent due unless an executed amendment is in place. The FASB issued guidance in April 2020</w:t>
      </w:r>
      <w:r>
        <w:rPr>
          <w:rFonts w:ascii="Arial" w:eastAsia="Arial" w:hAnsi="Arial" w:cs="Arial"/>
          <w:sz w:val="16"/>
          <w:szCs w:val="16"/>
        </w:rPr>
        <w:t xml:space="preserve"> which allows certain COVID-19-related concessions to be recognized as a reduction of lease costs in the period an amendment is executed. As a result, the Company recognized a $90 million reduction to occupancy expenses in the 2020 Combined Statement of Lo</w:t>
      </w:r>
      <w:r>
        <w:rPr>
          <w:rFonts w:ascii="Arial" w:eastAsia="Arial" w:hAnsi="Arial" w:cs="Arial"/>
          <w:sz w:val="16"/>
          <w:szCs w:val="16"/>
        </w:rPr>
        <w:t>ss as a result of executed amendments with landlords.</w:t>
      </w:r>
    </w:p>
    <w:p w14:paraId="194F0309" w14:textId="77777777" w:rsidR="00D1587D" w:rsidRDefault="00D1587D">
      <w:pPr>
        <w:spacing w:line="99" w:lineRule="exact"/>
        <w:rPr>
          <w:sz w:val="20"/>
          <w:szCs w:val="20"/>
        </w:rPr>
      </w:pPr>
    </w:p>
    <w:p w14:paraId="073440D2" w14:textId="77777777" w:rsidR="00D1587D" w:rsidRDefault="00410D07">
      <w:pPr>
        <w:ind w:left="660"/>
        <w:rPr>
          <w:sz w:val="20"/>
          <w:szCs w:val="20"/>
        </w:rPr>
      </w:pPr>
      <w:r>
        <w:rPr>
          <w:rFonts w:ascii="Arial" w:eastAsia="Arial" w:hAnsi="Arial" w:cs="Arial"/>
          <w:sz w:val="18"/>
          <w:szCs w:val="18"/>
        </w:rPr>
        <w:t>The following table provides future maturities of operating lease liabilities as of January 30, 2021:</w:t>
      </w:r>
    </w:p>
    <w:p w14:paraId="7AA775E0" w14:textId="77777777" w:rsidR="00D1587D" w:rsidRDefault="00D1587D">
      <w:pPr>
        <w:spacing w:line="176"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3260"/>
        <w:gridCol w:w="4080"/>
        <w:gridCol w:w="460"/>
        <w:gridCol w:w="120"/>
        <w:gridCol w:w="380"/>
        <w:gridCol w:w="120"/>
        <w:gridCol w:w="20"/>
      </w:tblGrid>
      <w:tr w:rsidR="00D1587D" w14:paraId="4921FA9B" w14:textId="77777777">
        <w:trPr>
          <w:trHeight w:val="186"/>
        </w:trPr>
        <w:tc>
          <w:tcPr>
            <w:tcW w:w="3260" w:type="dxa"/>
            <w:vAlign w:val="bottom"/>
          </w:tcPr>
          <w:p w14:paraId="05621E6B" w14:textId="77777777" w:rsidR="00D1587D" w:rsidRDefault="00D1587D">
            <w:pPr>
              <w:rPr>
                <w:sz w:val="16"/>
                <w:szCs w:val="16"/>
              </w:rPr>
            </w:pPr>
          </w:p>
        </w:tc>
        <w:tc>
          <w:tcPr>
            <w:tcW w:w="4660" w:type="dxa"/>
            <w:gridSpan w:val="3"/>
            <w:vAlign w:val="bottom"/>
          </w:tcPr>
          <w:p w14:paraId="2035B515" w14:textId="77777777" w:rsidR="00D1587D" w:rsidRDefault="00410D07">
            <w:pPr>
              <w:ind w:right="3810"/>
              <w:jc w:val="right"/>
              <w:rPr>
                <w:sz w:val="20"/>
                <w:szCs w:val="20"/>
              </w:rPr>
            </w:pPr>
            <w:r>
              <w:rPr>
                <w:rFonts w:ascii="Arial" w:eastAsia="Arial" w:hAnsi="Arial" w:cs="Arial"/>
                <w:b/>
                <w:bCs/>
                <w:sz w:val="14"/>
                <w:szCs w:val="14"/>
              </w:rPr>
              <w:t>Fiscal Year</w:t>
            </w:r>
          </w:p>
        </w:tc>
        <w:tc>
          <w:tcPr>
            <w:tcW w:w="380" w:type="dxa"/>
            <w:vAlign w:val="bottom"/>
          </w:tcPr>
          <w:p w14:paraId="4770A1AC" w14:textId="77777777" w:rsidR="00D1587D" w:rsidRDefault="00D1587D">
            <w:pPr>
              <w:rPr>
                <w:sz w:val="16"/>
                <w:szCs w:val="16"/>
              </w:rPr>
            </w:pPr>
          </w:p>
        </w:tc>
        <w:tc>
          <w:tcPr>
            <w:tcW w:w="120" w:type="dxa"/>
            <w:vAlign w:val="bottom"/>
          </w:tcPr>
          <w:p w14:paraId="46F7226B" w14:textId="77777777" w:rsidR="00D1587D" w:rsidRDefault="00D1587D">
            <w:pPr>
              <w:rPr>
                <w:sz w:val="16"/>
                <w:szCs w:val="16"/>
              </w:rPr>
            </w:pPr>
          </w:p>
        </w:tc>
        <w:tc>
          <w:tcPr>
            <w:tcW w:w="0" w:type="dxa"/>
            <w:vAlign w:val="bottom"/>
          </w:tcPr>
          <w:p w14:paraId="11F04208" w14:textId="77777777" w:rsidR="00D1587D" w:rsidRDefault="00D1587D">
            <w:pPr>
              <w:rPr>
                <w:sz w:val="1"/>
                <w:szCs w:val="1"/>
              </w:rPr>
            </w:pPr>
          </w:p>
        </w:tc>
      </w:tr>
      <w:tr w:rsidR="00D1587D" w14:paraId="52EC20FC" w14:textId="77777777">
        <w:trPr>
          <w:trHeight w:val="53"/>
        </w:trPr>
        <w:tc>
          <w:tcPr>
            <w:tcW w:w="3260" w:type="dxa"/>
            <w:tcBorders>
              <w:bottom w:val="single" w:sz="8" w:space="0" w:color="auto"/>
            </w:tcBorders>
            <w:vAlign w:val="bottom"/>
          </w:tcPr>
          <w:p w14:paraId="3797F403" w14:textId="77777777" w:rsidR="00D1587D" w:rsidRDefault="00D1587D">
            <w:pPr>
              <w:rPr>
                <w:sz w:val="4"/>
                <w:szCs w:val="4"/>
              </w:rPr>
            </w:pPr>
          </w:p>
        </w:tc>
        <w:tc>
          <w:tcPr>
            <w:tcW w:w="4080" w:type="dxa"/>
            <w:tcBorders>
              <w:bottom w:val="single" w:sz="8" w:space="0" w:color="auto"/>
            </w:tcBorders>
            <w:vAlign w:val="bottom"/>
          </w:tcPr>
          <w:p w14:paraId="5B78D98D" w14:textId="77777777" w:rsidR="00D1587D" w:rsidRDefault="00D1587D">
            <w:pPr>
              <w:rPr>
                <w:sz w:val="4"/>
                <w:szCs w:val="4"/>
              </w:rPr>
            </w:pPr>
          </w:p>
        </w:tc>
        <w:tc>
          <w:tcPr>
            <w:tcW w:w="1080" w:type="dxa"/>
            <w:gridSpan w:val="4"/>
            <w:vMerge w:val="restart"/>
            <w:vAlign w:val="bottom"/>
          </w:tcPr>
          <w:p w14:paraId="463ED47B" w14:textId="77777777" w:rsidR="00D1587D" w:rsidRDefault="00410D07">
            <w:pPr>
              <w:jc w:val="right"/>
              <w:rPr>
                <w:sz w:val="20"/>
                <w:szCs w:val="20"/>
              </w:rPr>
            </w:pPr>
            <w:r>
              <w:rPr>
                <w:rFonts w:ascii="Arial" w:eastAsia="Arial" w:hAnsi="Arial" w:cs="Arial"/>
                <w:b/>
                <w:bCs/>
                <w:sz w:val="14"/>
                <w:szCs w:val="14"/>
              </w:rPr>
              <w:t>(in millions)</w:t>
            </w:r>
          </w:p>
        </w:tc>
        <w:tc>
          <w:tcPr>
            <w:tcW w:w="0" w:type="dxa"/>
            <w:vAlign w:val="bottom"/>
          </w:tcPr>
          <w:p w14:paraId="736A5FDA" w14:textId="77777777" w:rsidR="00D1587D" w:rsidRDefault="00D1587D">
            <w:pPr>
              <w:rPr>
                <w:sz w:val="1"/>
                <w:szCs w:val="1"/>
              </w:rPr>
            </w:pPr>
          </w:p>
        </w:tc>
      </w:tr>
      <w:tr w:rsidR="00D1587D" w14:paraId="63E9092E" w14:textId="77777777">
        <w:trPr>
          <w:trHeight w:val="225"/>
        </w:trPr>
        <w:tc>
          <w:tcPr>
            <w:tcW w:w="3260" w:type="dxa"/>
            <w:vAlign w:val="bottom"/>
          </w:tcPr>
          <w:p w14:paraId="47BA47E0" w14:textId="77777777" w:rsidR="00D1587D" w:rsidRDefault="00D1587D">
            <w:pPr>
              <w:rPr>
                <w:sz w:val="19"/>
                <w:szCs w:val="19"/>
              </w:rPr>
            </w:pPr>
          </w:p>
        </w:tc>
        <w:tc>
          <w:tcPr>
            <w:tcW w:w="4080" w:type="dxa"/>
            <w:vAlign w:val="bottom"/>
          </w:tcPr>
          <w:p w14:paraId="50643E88" w14:textId="77777777" w:rsidR="00D1587D" w:rsidRDefault="00D1587D">
            <w:pPr>
              <w:rPr>
                <w:sz w:val="19"/>
                <w:szCs w:val="19"/>
              </w:rPr>
            </w:pPr>
          </w:p>
        </w:tc>
        <w:tc>
          <w:tcPr>
            <w:tcW w:w="1080" w:type="dxa"/>
            <w:gridSpan w:val="4"/>
            <w:vMerge/>
            <w:vAlign w:val="bottom"/>
          </w:tcPr>
          <w:p w14:paraId="30BFBF4C" w14:textId="77777777" w:rsidR="00D1587D" w:rsidRDefault="00D1587D">
            <w:pPr>
              <w:rPr>
                <w:sz w:val="19"/>
                <w:szCs w:val="19"/>
              </w:rPr>
            </w:pPr>
          </w:p>
        </w:tc>
        <w:tc>
          <w:tcPr>
            <w:tcW w:w="0" w:type="dxa"/>
            <w:vAlign w:val="bottom"/>
          </w:tcPr>
          <w:p w14:paraId="471AA2EC" w14:textId="77777777" w:rsidR="00D1587D" w:rsidRDefault="00D1587D">
            <w:pPr>
              <w:rPr>
                <w:sz w:val="1"/>
                <w:szCs w:val="1"/>
              </w:rPr>
            </w:pPr>
          </w:p>
        </w:tc>
      </w:tr>
      <w:tr w:rsidR="00D1587D" w14:paraId="734F936C" w14:textId="77777777">
        <w:trPr>
          <w:trHeight w:val="53"/>
        </w:trPr>
        <w:tc>
          <w:tcPr>
            <w:tcW w:w="3260" w:type="dxa"/>
            <w:vAlign w:val="bottom"/>
          </w:tcPr>
          <w:p w14:paraId="7E12148E" w14:textId="77777777" w:rsidR="00D1587D" w:rsidRDefault="00D1587D">
            <w:pPr>
              <w:rPr>
                <w:sz w:val="4"/>
                <w:szCs w:val="4"/>
              </w:rPr>
            </w:pPr>
          </w:p>
        </w:tc>
        <w:tc>
          <w:tcPr>
            <w:tcW w:w="4080" w:type="dxa"/>
            <w:vAlign w:val="bottom"/>
          </w:tcPr>
          <w:p w14:paraId="16AB8C8A" w14:textId="77777777" w:rsidR="00D1587D" w:rsidRDefault="00D1587D">
            <w:pPr>
              <w:rPr>
                <w:sz w:val="4"/>
                <w:szCs w:val="4"/>
              </w:rPr>
            </w:pPr>
          </w:p>
        </w:tc>
        <w:tc>
          <w:tcPr>
            <w:tcW w:w="460" w:type="dxa"/>
            <w:vAlign w:val="bottom"/>
          </w:tcPr>
          <w:p w14:paraId="4E3B54D6" w14:textId="77777777" w:rsidR="00D1587D" w:rsidRDefault="00D1587D">
            <w:pPr>
              <w:rPr>
                <w:sz w:val="4"/>
                <w:szCs w:val="4"/>
              </w:rPr>
            </w:pPr>
          </w:p>
        </w:tc>
        <w:tc>
          <w:tcPr>
            <w:tcW w:w="120" w:type="dxa"/>
            <w:vAlign w:val="bottom"/>
          </w:tcPr>
          <w:p w14:paraId="55327340" w14:textId="77777777" w:rsidR="00D1587D" w:rsidRDefault="00D1587D">
            <w:pPr>
              <w:rPr>
                <w:sz w:val="4"/>
                <w:szCs w:val="4"/>
              </w:rPr>
            </w:pPr>
          </w:p>
        </w:tc>
        <w:tc>
          <w:tcPr>
            <w:tcW w:w="380" w:type="dxa"/>
            <w:vAlign w:val="bottom"/>
          </w:tcPr>
          <w:p w14:paraId="0B7C5278" w14:textId="77777777" w:rsidR="00D1587D" w:rsidRDefault="00D1587D">
            <w:pPr>
              <w:rPr>
                <w:sz w:val="4"/>
                <w:szCs w:val="4"/>
              </w:rPr>
            </w:pPr>
          </w:p>
        </w:tc>
        <w:tc>
          <w:tcPr>
            <w:tcW w:w="120" w:type="dxa"/>
            <w:vAlign w:val="bottom"/>
          </w:tcPr>
          <w:p w14:paraId="3B746E81" w14:textId="77777777" w:rsidR="00D1587D" w:rsidRDefault="00D1587D">
            <w:pPr>
              <w:rPr>
                <w:sz w:val="4"/>
                <w:szCs w:val="4"/>
              </w:rPr>
            </w:pPr>
          </w:p>
        </w:tc>
        <w:tc>
          <w:tcPr>
            <w:tcW w:w="0" w:type="dxa"/>
            <w:vAlign w:val="bottom"/>
          </w:tcPr>
          <w:p w14:paraId="7CC02B71" w14:textId="77777777" w:rsidR="00D1587D" w:rsidRDefault="00D1587D">
            <w:pPr>
              <w:rPr>
                <w:sz w:val="1"/>
                <w:szCs w:val="1"/>
              </w:rPr>
            </w:pPr>
          </w:p>
        </w:tc>
      </w:tr>
      <w:tr w:rsidR="00D1587D" w14:paraId="4284BC01" w14:textId="77777777">
        <w:trPr>
          <w:trHeight w:val="304"/>
        </w:trPr>
        <w:tc>
          <w:tcPr>
            <w:tcW w:w="3260" w:type="dxa"/>
            <w:tcBorders>
              <w:bottom w:val="single" w:sz="8" w:space="0" w:color="CCEEFF"/>
            </w:tcBorders>
            <w:shd w:val="clear" w:color="auto" w:fill="CCEEFF"/>
            <w:vAlign w:val="bottom"/>
          </w:tcPr>
          <w:p w14:paraId="4ED77C5C" w14:textId="77777777" w:rsidR="00D1587D" w:rsidRDefault="00410D07">
            <w:pPr>
              <w:rPr>
                <w:sz w:val="20"/>
                <w:szCs w:val="20"/>
              </w:rPr>
            </w:pPr>
            <w:r>
              <w:rPr>
                <w:rFonts w:ascii="Arial" w:eastAsia="Arial" w:hAnsi="Arial" w:cs="Arial"/>
                <w:sz w:val="18"/>
                <w:szCs w:val="18"/>
              </w:rPr>
              <w:t>2021</w:t>
            </w:r>
          </w:p>
        </w:tc>
        <w:tc>
          <w:tcPr>
            <w:tcW w:w="4660" w:type="dxa"/>
            <w:gridSpan w:val="3"/>
            <w:tcBorders>
              <w:bottom w:val="single" w:sz="8" w:space="0" w:color="CCEEFF"/>
            </w:tcBorders>
            <w:shd w:val="clear" w:color="auto" w:fill="CCEEFF"/>
            <w:vAlign w:val="bottom"/>
          </w:tcPr>
          <w:p w14:paraId="3BCAC571" w14:textId="77777777" w:rsidR="00D1587D" w:rsidRDefault="00410D07">
            <w:pPr>
              <w:jc w:val="right"/>
              <w:rPr>
                <w:sz w:val="20"/>
                <w:szCs w:val="20"/>
              </w:rPr>
            </w:pPr>
            <w:r>
              <w:rPr>
                <w:rFonts w:ascii="Arial" w:eastAsia="Arial" w:hAnsi="Arial" w:cs="Arial"/>
                <w:sz w:val="18"/>
                <w:szCs w:val="18"/>
              </w:rPr>
              <w:t>$</w:t>
            </w:r>
          </w:p>
        </w:tc>
        <w:tc>
          <w:tcPr>
            <w:tcW w:w="500" w:type="dxa"/>
            <w:gridSpan w:val="2"/>
            <w:tcBorders>
              <w:bottom w:val="single" w:sz="8" w:space="0" w:color="CCEEFF"/>
            </w:tcBorders>
            <w:shd w:val="clear" w:color="auto" w:fill="CCEEFF"/>
            <w:vAlign w:val="bottom"/>
          </w:tcPr>
          <w:p w14:paraId="6D0548BB" w14:textId="77777777" w:rsidR="00D1587D" w:rsidRDefault="00410D07">
            <w:pPr>
              <w:ind w:right="120"/>
              <w:jc w:val="right"/>
              <w:rPr>
                <w:sz w:val="20"/>
                <w:szCs w:val="20"/>
              </w:rPr>
            </w:pPr>
            <w:r>
              <w:rPr>
                <w:rFonts w:ascii="Arial" w:eastAsia="Arial" w:hAnsi="Arial" w:cs="Arial"/>
                <w:sz w:val="18"/>
                <w:szCs w:val="18"/>
              </w:rPr>
              <w:t>519</w:t>
            </w:r>
          </w:p>
        </w:tc>
        <w:tc>
          <w:tcPr>
            <w:tcW w:w="0" w:type="dxa"/>
            <w:vAlign w:val="bottom"/>
          </w:tcPr>
          <w:p w14:paraId="7EC40F1D" w14:textId="77777777" w:rsidR="00D1587D" w:rsidRDefault="00D1587D">
            <w:pPr>
              <w:rPr>
                <w:sz w:val="1"/>
                <w:szCs w:val="1"/>
              </w:rPr>
            </w:pPr>
          </w:p>
        </w:tc>
      </w:tr>
      <w:tr w:rsidR="00D1587D" w14:paraId="444CF38F" w14:textId="77777777">
        <w:trPr>
          <w:trHeight w:val="257"/>
        </w:trPr>
        <w:tc>
          <w:tcPr>
            <w:tcW w:w="3260" w:type="dxa"/>
            <w:vAlign w:val="bottom"/>
          </w:tcPr>
          <w:p w14:paraId="792D3E90" w14:textId="77777777" w:rsidR="00D1587D" w:rsidRDefault="00410D07">
            <w:pPr>
              <w:rPr>
                <w:sz w:val="20"/>
                <w:szCs w:val="20"/>
              </w:rPr>
            </w:pPr>
            <w:r>
              <w:rPr>
                <w:rFonts w:ascii="Arial" w:eastAsia="Arial" w:hAnsi="Arial" w:cs="Arial"/>
                <w:sz w:val="18"/>
                <w:szCs w:val="18"/>
              </w:rPr>
              <w:t>2022</w:t>
            </w:r>
          </w:p>
        </w:tc>
        <w:tc>
          <w:tcPr>
            <w:tcW w:w="4080" w:type="dxa"/>
            <w:vAlign w:val="bottom"/>
          </w:tcPr>
          <w:p w14:paraId="57C61019" w14:textId="77777777" w:rsidR="00D1587D" w:rsidRDefault="00D1587D"/>
        </w:tc>
        <w:tc>
          <w:tcPr>
            <w:tcW w:w="460" w:type="dxa"/>
            <w:vAlign w:val="bottom"/>
          </w:tcPr>
          <w:p w14:paraId="64647D99" w14:textId="77777777" w:rsidR="00D1587D" w:rsidRDefault="00D1587D"/>
        </w:tc>
        <w:tc>
          <w:tcPr>
            <w:tcW w:w="120" w:type="dxa"/>
            <w:vAlign w:val="bottom"/>
          </w:tcPr>
          <w:p w14:paraId="7E3353B5" w14:textId="77777777" w:rsidR="00D1587D" w:rsidRDefault="00D1587D"/>
        </w:tc>
        <w:tc>
          <w:tcPr>
            <w:tcW w:w="380" w:type="dxa"/>
            <w:vAlign w:val="bottom"/>
          </w:tcPr>
          <w:p w14:paraId="121F53FF" w14:textId="77777777" w:rsidR="00D1587D" w:rsidRDefault="00410D07">
            <w:pPr>
              <w:jc w:val="right"/>
              <w:rPr>
                <w:sz w:val="20"/>
                <w:szCs w:val="20"/>
              </w:rPr>
            </w:pPr>
            <w:r>
              <w:rPr>
                <w:rFonts w:ascii="Arial" w:eastAsia="Arial" w:hAnsi="Arial" w:cs="Arial"/>
                <w:sz w:val="18"/>
                <w:szCs w:val="18"/>
              </w:rPr>
              <w:t>424</w:t>
            </w:r>
          </w:p>
        </w:tc>
        <w:tc>
          <w:tcPr>
            <w:tcW w:w="120" w:type="dxa"/>
            <w:vAlign w:val="bottom"/>
          </w:tcPr>
          <w:p w14:paraId="56E6203F" w14:textId="77777777" w:rsidR="00D1587D" w:rsidRDefault="00D1587D"/>
        </w:tc>
        <w:tc>
          <w:tcPr>
            <w:tcW w:w="0" w:type="dxa"/>
            <w:vAlign w:val="bottom"/>
          </w:tcPr>
          <w:p w14:paraId="556FFD15" w14:textId="77777777" w:rsidR="00D1587D" w:rsidRDefault="00D1587D">
            <w:pPr>
              <w:rPr>
                <w:sz w:val="1"/>
                <w:szCs w:val="1"/>
              </w:rPr>
            </w:pPr>
          </w:p>
        </w:tc>
      </w:tr>
      <w:tr w:rsidR="00D1587D" w14:paraId="35FB11F9" w14:textId="77777777">
        <w:trPr>
          <w:trHeight w:val="40"/>
        </w:trPr>
        <w:tc>
          <w:tcPr>
            <w:tcW w:w="3260" w:type="dxa"/>
            <w:vAlign w:val="bottom"/>
          </w:tcPr>
          <w:p w14:paraId="57288220" w14:textId="77777777" w:rsidR="00D1587D" w:rsidRDefault="00D1587D">
            <w:pPr>
              <w:rPr>
                <w:sz w:val="3"/>
                <w:szCs w:val="3"/>
              </w:rPr>
            </w:pPr>
          </w:p>
        </w:tc>
        <w:tc>
          <w:tcPr>
            <w:tcW w:w="4080" w:type="dxa"/>
            <w:vAlign w:val="bottom"/>
          </w:tcPr>
          <w:p w14:paraId="4814E2E9" w14:textId="77777777" w:rsidR="00D1587D" w:rsidRDefault="00D1587D">
            <w:pPr>
              <w:rPr>
                <w:sz w:val="3"/>
                <w:szCs w:val="3"/>
              </w:rPr>
            </w:pPr>
          </w:p>
        </w:tc>
        <w:tc>
          <w:tcPr>
            <w:tcW w:w="460" w:type="dxa"/>
            <w:vAlign w:val="bottom"/>
          </w:tcPr>
          <w:p w14:paraId="6451E3F4" w14:textId="77777777" w:rsidR="00D1587D" w:rsidRDefault="00D1587D">
            <w:pPr>
              <w:rPr>
                <w:sz w:val="3"/>
                <w:szCs w:val="3"/>
              </w:rPr>
            </w:pPr>
          </w:p>
        </w:tc>
        <w:tc>
          <w:tcPr>
            <w:tcW w:w="120" w:type="dxa"/>
            <w:vAlign w:val="bottom"/>
          </w:tcPr>
          <w:p w14:paraId="34A2E347" w14:textId="77777777" w:rsidR="00D1587D" w:rsidRDefault="00D1587D">
            <w:pPr>
              <w:rPr>
                <w:sz w:val="3"/>
                <w:szCs w:val="3"/>
              </w:rPr>
            </w:pPr>
          </w:p>
        </w:tc>
        <w:tc>
          <w:tcPr>
            <w:tcW w:w="380" w:type="dxa"/>
            <w:vAlign w:val="bottom"/>
          </w:tcPr>
          <w:p w14:paraId="67F5FA40" w14:textId="77777777" w:rsidR="00D1587D" w:rsidRDefault="00D1587D">
            <w:pPr>
              <w:rPr>
                <w:sz w:val="3"/>
                <w:szCs w:val="3"/>
              </w:rPr>
            </w:pPr>
          </w:p>
        </w:tc>
        <w:tc>
          <w:tcPr>
            <w:tcW w:w="120" w:type="dxa"/>
            <w:vAlign w:val="bottom"/>
          </w:tcPr>
          <w:p w14:paraId="628E52D2" w14:textId="77777777" w:rsidR="00D1587D" w:rsidRDefault="00D1587D">
            <w:pPr>
              <w:rPr>
                <w:sz w:val="3"/>
                <w:szCs w:val="3"/>
              </w:rPr>
            </w:pPr>
          </w:p>
        </w:tc>
        <w:tc>
          <w:tcPr>
            <w:tcW w:w="0" w:type="dxa"/>
            <w:vAlign w:val="bottom"/>
          </w:tcPr>
          <w:p w14:paraId="090C3FDF" w14:textId="77777777" w:rsidR="00D1587D" w:rsidRDefault="00D1587D">
            <w:pPr>
              <w:rPr>
                <w:sz w:val="1"/>
                <w:szCs w:val="1"/>
              </w:rPr>
            </w:pPr>
          </w:p>
        </w:tc>
      </w:tr>
      <w:tr w:rsidR="00D1587D" w14:paraId="09D8EA78" w14:textId="77777777">
        <w:trPr>
          <w:trHeight w:val="277"/>
        </w:trPr>
        <w:tc>
          <w:tcPr>
            <w:tcW w:w="3260" w:type="dxa"/>
            <w:tcBorders>
              <w:bottom w:val="single" w:sz="8" w:space="0" w:color="CCEEFF"/>
            </w:tcBorders>
            <w:shd w:val="clear" w:color="auto" w:fill="CCEEFF"/>
            <w:vAlign w:val="bottom"/>
          </w:tcPr>
          <w:p w14:paraId="7BED4DA1" w14:textId="77777777" w:rsidR="00D1587D" w:rsidRDefault="00410D07">
            <w:pPr>
              <w:rPr>
                <w:sz w:val="20"/>
                <w:szCs w:val="20"/>
              </w:rPr>
            </w:pPr>
            <w:r>
              <w:rPr>
                <w:rFonts w:ascii="Arial" w:eastAsia="Arial" w:hAnsi="Arial" w:cs="Arial"/>
                <w:sz w:val="18"/>
                <w:szCs w:val="18"/>
              </w:rPr>
              <w:t>2023</w:t>
            </w:r>
          </w:p>
        </w:tc>
        <w:tc>
          <w:tcPr>
            <w:tcW w:w="4080" w:type="dxa"/>
            <w:tcBorders>
              <w:bottom w:val="single" w:sz="8" w:space="0" w:color="CCEEFF"/>
            </w:tcBorders>
            <w:shd w:val="clear" w:color="auto" w:fill="CCEEFF"/>
            <w:vAlign w:val="bottom"/>
          </w:tcPr>
          <w:p w14:paraId="59C800F7" w14:textId="77777777" w:rsidR="00D1587D" w:rsidRDefault="00D1587D">
            <w:pPr>
              <w:rPr>
                <w:sz w:val="24"/>
                <w:szCs w:val="24"/>
              </w:rPr>
            </w:pPr>
          </w:p>
        </w:tc>
        <w:tc>
          <w:tcPr>
            <w:tcW w:w="460" w:type="dxa"/>
            <w:tcBorders>
              <w:bottom w:val="single" w:sz="8" w:space="0" w:color="CCEEFF"/>
            </w:tcBorders>
            <w:shd w:val="clear" w:color="auto" w:fill="CCEEFF"/>
            <w:vAlign w:val="bottom"/>
          </w:tcPr>
          <w:p w14:paraId="68D9D7B9" w14:textId="77777777" w:rsidR="00D1587D" w:rsidRDefault="00D1587D">
            <w:pPr>
              <w:rPr>
                <w:sz w:val="24"/>
                <w:szCs w:val="24"/>
              </w:rPr>
            </w:pPr>
          </w:p>
        </w:tc>
        <w:tc>
          <w:tcPr>
            <w:tcW w:w="120" w:type="dxa"/>
            <w:tcBorders>
              <w:bottom w:val="single" w:sz="8" w:space="0" w:color="CCEEFF"/>
            </w:tcBorders>
            <w:shd w:val="clear" w:color="auto" w:fill="CCEEFF"/>
            <w:vAlign w:val="bottom"/>
          </w:tcPr>
          <w:p w14:paraId="0835C5CD" w14:textId="77777777" w:rsidR="00D1587D" w:rsidRDefault="00D1587D">
            <w:pPr>
              <w:rPr>
                <w:sz w:val="24"/>
                <w:szCs w:val="24"/>
              </w:rPr>
            </w:pPr>
          </w:p>
        </w:tc>
        <w:tc>
          <w:tcPr>
            <w:tcW w:w="380" w:type="dxa"/>
            <w:tcBorders>
              <w:bottom w:val="single" w:sz="8" w:space="0" w:color="CCEEFF"/>
            </w:tcBorders>
            <w:shd w:val="clear" w:color="auto" w:fill="CCEEFF"/>
            <w:vAlign w:val="bottom"/>
          </w:tcPr>
          <w:p w14:paraId="11F20B0A" w14:textId="77777777" w:rsidR="00D1587D" w:rsidRDefault="00410D07">
            <w:pPr>
              <w:jc w:val="right"/>
              <w:rPr>
                <w:sz w:val="20"/>
                <w:szCs w:val="20"/>
              </w:rPr>
            </w:pPr>
            <w:r>
              <w:rPr>
                <w:rFonts w:ascii="Arial" w:eastAsia="Arial" w:hAnsi="Arial" w:cs="Arial"/>
                <w:sz w:val="18"/>
                <w:szCs w:val="18"/>
              </w:rPr>
              <w:t>356</w:t>
            </w:r>
          </w:p>
        </w:tc>
        <w:tc>
          <w:tcPr>
            <w:tcW w:w="120" w:type="dxa"/>
            <w:tcBorders>
              <w:bottom w:val="single" w:sz="8" w:space="0" w:color="CCEEFF"/>
            </w:tcBorders>
            <w:shd w:val="clear" w:color="auto" w:fill="CCEEFF"/>
            <w:vAlign w:val="bottom"/>
          </w:tcPr>
          <w:p w14:paraId="0D9E2FA4" w14:textId="77777777" w:rsidR="00D1587D" w:rsidRDefault="00D1587D">
            <w:pPr>
              <w:rPr>
                <w:sz w:val="24"/>
                <w:szCs w:val="24"/>
              </w:rPr>
            </w:pPr>
          </w:p>
        </w:tc>
        <w:tc>
          <w:tcPr>
            <w:tcW w:w="0" w:type="dxa"/>
            <w:vAlign w:val="bottom"/>
          </w:tcPr>
          <w:p w14:paraId="0896521D" w14:textId="77777777" w:rsidR="00D1587D" w:rsidRDefault="00D1587D">
            <w:pPr>
              <w:rPr>
                <w:sz w:val="1"/>
                <w:szCs w:val="1"/>
              </w:rPr>
            </w:pPr>
          </w:p>
        </w:tc>
      </w:tr>
      <w:tr w:rsidR="00D1587D" w14:paraId="5D051AB0" w14:textId="77777777">
        <w:trPr>
          <w:trHeight w:val="257"/>
        </w:trPr>
        <w:tc>
          <w:tcPr>
            <w:tcW w:w="3260" w:type="dxa"/>
            <w:vAlign w:val="bottom"/>
          </w:tcPr>
          <w:p w14:paraId="61A7BF74" w14:textId="77777777" w:rsidR="00D1587D" w:rsidRDefault="00410D07">
            <w:pPr>
              <w:rPr>
                <w:sz w:val="20"/>
                <w:szCs w:val="20"/>
              </w:rPr>
            </w:pPr>
            <w:r>
              <w:rPr>
                <w:rFonts w:ascii="Arial" w:eastAsia="Arial" w:hAnsi="Arial" w:cs="Arial"/>
                <w:sz w:val="18"/>
                <w:szCs w:val="18"/>
              </w:rPr>
              <w:t>2024</w:t>
            </w:r>
          </w:p>
        </w:tc>
        <w:tc>
          <w:tcPr>
            <w:tcW w:w="4080" w:type="dxa"/>
            <w:vAlign w:val="bottom"/>
          </w:tcPr>
          <w:p w14:paraId="7B68B861" w14:textId="77777777" w:rsidR="00D1587D" w:rsidRDefault="00D1587D"/>
        </w:tc>
        <w:tc>
          <w:tcPr>
            <w:tcW w:w="460" w:type="dxa"/>
            <w:vAlign w:val="bottom"/>
          </w:tcPr>
          <w:p w14:paraId="7B764903" w14:textId="77777777" w:rsidR="00D1587D" w:rsidRDefault="00D1587D"/>
        </w:tc>
        <w:tc>
          <w:tcPr>
            <w:tcW w:w="120" w:type="dxa"/>
            <w:vAlign w:val="bottom"/>
          </w:tcPr>
          <w:p w14:paraId="03DBE7F6" w14:textId="77777777" w:rsidR="00D1587D" w:rsidRDefault="00D1587D"/>
        </w:tc>
        <w:tc>
          <w:tcPr>
            <w:tcW w:w="380" w:type="dxa"/>
            <w:vAlign w:val="bottom"/>
          </w:tcPr>
          <w:p w14:paraId="265E8330" w14:textId="77777777" w:rsidR="00D1587D" w:rsidRDefault="00410D07">
            <w:pPr>
              <w:jc w:val="right"/>
              <w:rPr>
                <w:sz w:val="20"/>
                <w:szCs w:val="20"/>
              </w:rPr>
            </w:pPr>
            <w:r>
              <w:rPr>
                <w:rFonts w:ascii="Arial" w:eastAsia="Arial" w:hAnsi="Arial" w:cs="Arial"/>
                <w:sz w:val="18"/>
                <w:szCs w:val="18"/>
              </w:rPr>
              <w:t>290</w:t>
            </w:r>
          </w:p>
        </w:tc>
        <w:tc>
          <w:tcPr>
            <w:tcW w:w="120" w:type="dxa"/>
            <w:vAlign w:val="bottom"/>
          </w:tcPr>
          <w:p w14:paraId="12DB9278" w14:textId="77777777" w:rsidR="00D1587D" w:rsidRDefault="00D1587D"/>
        </w:tc>
        <w:tc>
          <w:tcPr>
            <w:tcW w:w="0" w:type="dxa"/>
            <w:vAlign w:val="bottom"/>
          </w:tcPr>
          <w:p w14:paraId="0C8ECAC2" w14:textId="77777777" w:rsidR="00D1587D" w:rsidRDefault="00D1587D">
            <w:pPr>
              <w:rPr>
                <w:sz w:val="1"/>
                <w:szCs w:val="1"/>
              </w:rPr>
            </w:pPr>
          </w:p>
        </w:tc>
      </w:tr>
      <w:tr w:rsidR="00D1587D" w14:paraId="541C10E9" w14:textId="77777777">
        <w:trPr>
          <w:trHeight w:val="40"/>
        </w:trPr>
        <w:tc>
          <w:tcPr>
            <w:tcW w:w="3260" w:type="dxa"/>
            <w:vAlign w:val="bottom"/>
          </w:tcPr>
          <w:p w14:paraId="27DDC434" w14:textId="77777777" w:rsidR="00D1587D" w:rsidRDefault="00D1587D">
            <w:pPr>
              <w:rPr>
                <w:sz w:val="3"/>
                <w:szCs w:val="3"/>
              </w:rPr>
            </w:pPr>
          </w:p>
        </w:tc>
        <w:tc>
          <w:tcPr>
            <w:tcW w:w="4080" w:type="dxa"/>
            <w:vAlign w:val="bottom"/>
          </w:tcPr>
          <w:p w14:paraId="01BCD8CF" w14:textId="77777777" w:rsidR="00D1587D" w:rsidRDefault="00D1587D">
            <w:pPr>
              <w:rPr>
                <w:sz w:val="3"/>
                <w:szCs w:val="3"/>
              </w:rPr>
            </w:pPr>
          </w:p>
        </w:tc>
        <w:tc>
          <w:tcPr>
            <w:tcW w:w="460" w:type="dxa"/>
            <w:vAlign w:val="bottom"/>
          </w:tcPr>
          <w:p w14:paraId="44D62F7A" w14:textId="77777777" w:rsidR="00D1587D" w:rsidRDefault="00D1587D">
            <w:pPr>
              <w:rPr>
                <w:sz w:val="3"/>
                <w:szCs w:val="3"/>
              </w:rPr>
            </w:pPr>
          </w:p>
        </w:tc>
        <w:tc>
          <w:tcPr>
            <w:tcW w:w="120" w:type="dxa"/>
            <w:vAlign w:val="bottom"/>
          </w:tcPr>
          <w:p w14:paraId="67E83097" w14:textId="77777777" w:rsidR="00D1587D" w:rsidRDefault="00D1587D">
            <w:pPr>
              <w:rPr>
                <w:sz w:val="3"/>
                <w:szCs w:val="3"/>
              </w:rPr>
            </w:pPr>
          </w:p>
        </w:tc>
        <w:tc>
          <w:tcPr>
            <w:tcW w:w="380" w:type="dxa"/>
            <w:vAlign w:val="bottom"/>
          </w:tcPr>
          <w:p w14:paraId="519CF675" w14:textId="77777777" w:rsidR="00D1587D" w:rsidRDefault="00D1587D">
            <w:pPr>
              <w:rPr>
                <w:sz w:val="3"/>
                <w:szCs w:val="3"/>
              </w:rPr>
            </w:pPr>
          </w:p>
        </w:tc>
        <w:tc>
          <w:tcPr>
            <w:tcW w:w="120" w:type="dxa"/>
            <w:vAlign w:val="bottom"/>
          </w:tcPr>
          <w:p w14:paraId="0DA7CC09" w14:textId="77777777" w:rsidR="00D1587D" w:rsidRDefault="00D1587D">
            <w:pPr>
              <w:rPr>
                <w:sz w:val="3"/>
                <w:szCs w:val="3"/>
              </w:rPr>
            </w:pPr>
          </w:p>
        </w:tc>
        <w:tc>
          <w:tcPr>
            <w:tcW w:w="0" w:type="dxa"/>
            <w:vAlign w:val="bottom"/>
          </w:tcPr>
          <w:p w14:paraId="794B2D76" w14:textId="77777777" w:rsidR="00D1587D" w:rsidRDefault="00D1587D">
            <w:pPr>
              <w:rPr>
                <w:sz w:val="1"/>
                <w:szCs w:val="1"/>
              </w:rPr>
            </w:pPr>
          </w:p>
        </w:tc>
      </w:tr>
      <w:tr w:rsidR="00D1587D" w14:paraId="7C9EA0CF" w14:textId="77777777">
        <w:trPr>
          <w:trHeight w:val="277"/>
        </w:trPr>
        <w:tc>
          <w:tcPr>
            <w:tcW w:w="3260" w:type="dxa"/>
            <w:tcBorders>
              <w:bottom w:val="single" w:sz="8" w:space="0" w:color="CCEEFF"/>
            </w:tcBorders>
            <w:shd w:val="clear" w:color="auto" w:fill="CCEEFF"/>
            <w:vAlign w:val="bottom"/>
          </w:tcPr>
          <w:p w14:paraId="53C19D06" w14:textId="77777777" w:rsidR="00D1587D" w:rsidRDefault="00410D07">
            <w:pPr>
              <w:rPr>
                <w:sz w:val="20"/>
                <w:szCs w:val="20"/>
              </w:rPr>
            </w:pPr>
            <w:r>
              <w:rPr>
                <w:rFonts w:ascii="Arial" w:eastAsia="Arial" w:hAnsi="Arial" w:cs="Arial"/>
                <w:sz w:val="18"/>
                <w:szCs w:val="18"/>
              </w:rPr>
              <w:t>2025</w:t>
            </w:r>
          </w:p>
        </w:tc>
        <w:tc>
          <w:tcPr>
            <w:tcW w:w="4080" w:type="dxa"/>
            <w:tcBorders>
              <w:bottom w:val="single" w:sz="8" w:space="0" w:color="CCEEFF"/>
            </w:tcBorders>
            <w:shd w:val="clear" w:color="auto" w:fill="CCEEFF"/>
            <w:vAlign w:val="bottom"/>
          </w:tcPr>
          <w:p w14:paraId="45B1DBFA" w14:textId="77777777" w:rsidR="00D1587D" w:rsidRDefault="00D1587D">
            <w:pPr>
              <w:rPr>
                <w:sz w:val="24"/>
                <w:szCs w:val="24"/>
              </w:rPr>
            </w:pPr>
          </w:p>
        </w:tc>
        <w:tc>
          <w:tcPr>
            <w:tcW w:w="460" w:type="dxa"/>
            <w:tcBorders>
              <w:bottom w:val="single" w:sz="8" w:space="0" w:color="CCEEFF"/>
            </w:tcBorders>
            <w:shd w:val="clear" w:color="auto" w:fill="CCEEFF"/>
            <w:vAlign w:val="bottom"/>
          </w:tcPr>
          <w:p w14:paraId="5350D5C5" w14:textId="77777777" w:rsidR="00D1587D" w:rsidRDefault="00D1587D">
            <w:pPr>
              <w:rPr>
                <w:sz w:val="24"/>
                <w:szCs w:val="24"/>
              </w:rPr>
            </w:pPr>
          </w:p>
        </w:tc>
        <w:tc>
          <w:tcPr>
            <w:tcW w:w="120" w:type="dxa"/>
            <w:tcBorders>
              <w:bottom w:val="single" w:sz="8" w:space="0" w:color="CCEEFF"/>
            </w:tcBorders>
            <w:shd w:val="clear" w:color="auto" w:fill="CCEEFF"/>
            <w:vAlign w:val="bottom"/>
          </w:tcPr>
          <w:p w14:paraId="5F25B923" w14:textId="77777777" w:rsidR="00D1587D" w:rsidRDefault="00D1587D">
            <w:pPr>
              <w:rPr>
                <w:sz w:val="24"/>
                <w:szCs w:val="24"/>
              </w:rPr>
            </w:pPr>
          </w:p>
        </w:tc>
        <w:tc>
          <w:tcPr>
            <w:tcW w:w="380" w:type="dxa"/>
            <w:tcBorders>
              <w:bottom w:val="single" w:sz="8" w:space="0" w:color="CCEEFF"/>
            </w:tcBorders>
            <w:shd w:val="clear" w:color="auto" w:fill="CCEEFF"/>
            <w:vAlign w:val="bottom"/>
          </w:tcPr>
          <w:p w14:paraId="453C53FF" w14:textId="77777777" w:rsidR="00D1587D" w:rsidRDefault="00410D07">
            <w:pPr>
              <w:jc w:val="right"/>
              <w:rPr>
                <w:sz w:val="20"/>
                <w:szCs w:val="20"/>
              </w:rPr>
            </w:pPr>
            <w:r>
              <w:rPr>
                <w:rFonts w:ascii="Arial" w:eastAsia="Arial" w:hAnsi="Arial" w:cs="Arial"/>
                <w:sz w:val="18"/>
                <w:szCs w:val="18"/>
              </w:rPr>
              <w:t>241</w:t>
            </w:r>
          </w:p>
        </w:tc>
        <w:tc>
          <w:tcPr>
            <w:tcW w:w="120" w:type="dxa"/>
            <w:tcBorders>
              <w:bottom w:val="single" w:sz="8" w:space="0" w:color="CCEEFF"/>
            </w:tcBorders>
            <w:shd w:val="clear" w:color="auto" w:fill="CCEEFF"/>
            <w:vAlign w:val="bottom"/>
          </w:tcPr>
          <w:p w14:paraId="366F4723" w14:textId="77777777" w:rsidR="00D1587D" w:rsidRDefault="00D1587D">
            <w:pPr>
              <w:rPr>
                <w:sz w:val="24"/>
                <w:szCs w:val="24"/>
              </w:rPr>
            </w:pPr>
          </w:p>
        </w:tc>
        <w:tc>
          <w:tcPr>
            <w:tcW w:w="0" w:type="dxa"/>
            <w:vAlign w:val="bottom"/>
          </w:tcPr>
          <w:p w14:paraId="6608D9F6" w14:textId="77777777" w:rsidR="00D1587D" w:rsidRDefault="00D1587D">
            <w:pPr>
              <w:rPr>
                <w:sz w:val="1"/>
                <w:szCs w:val="1"/>
              </w:rPr>
            </w:pPr>
          </w:p>
        </w:tc>
      </w:tr>
      <w:tr w:rsidR="00D1587D" w14:paraId="2CC0874C" w14:textId="77777777">
        <w:trPr>
          <w:trHeight w:val="243"/>
        </w:trPr>
        <w:tc>
          <w:tcPr>
            <w:tcW w:w="3260" w:type="dxa"/>
            <w:vAlign w:val="bottom"/>
          </w:tcPr>
          <w:p w14:paraId="6C8C1B5C" w14:textId="77777777" w:rsidR="00D1587D" w:rsidRDefault="00410D07">
            <w:pPr>
              <w:rPr>
                <w:sz w:val="20"/>
                <w:szCs w:val="20"/>
              </w:rPr>
            </w:pPr>
            <w:r>
              <w:rPr>
                <w:rFonts w:ascii="Arial" w:eastAsia="Arial" w:hAnsi="Arial" w:cs="Arial"/>
                <w:sz w:val="18"/>
                <w:szCs w:val="18"/>
              </w:rPr>
              <w:t>Thereafter</w:t>
            </w:r>
          </w:p>
        </w:tc>
        <w:tc>
          <w:tcPr>
            <w:tcW w:w="4080" w:type="dxa"/>
            <w:vAlign w:val="bottom"/>
          </w:tcPr>
          <w:p w14:paraId="5602837E" w14:textId="77777777" w:rsidR="00D1587D" w:rsidRDefault="00D1587D">
            <w:pPr>
              <w:rPr>
                <w:sz w:val="21"/>
                <w:szCs w:val="21"/>
              </w:rPr>
            </w:pPr>
          </w:p>
        </w:tc>
        <w:tc>
          <w:tcPr>
            <w:tcW w:w="460" w:type="dxa"/>
            <w:vAlign w:val="bottom"/>
          </w:tcPr>
          <w:p w14:paraId="397B6858" w14:textId="77777777" w:rsidR="00D1587D" w:rsidRDefault="00D1587D">
            <w:pPr>
              <w:rPr>
                <w:sz w:val="21"/>
                <w:szCs w:val="21"/>
              </w:rPr>
            </w:pPr>
          </w:p>
        </w:tc>
        <w:tc>
          <w:tcPr>
            <w:tcW w:w="120" w:type="dxa"/>
            <w:tcBorders>
              <w:bottom w:val="single" w:sz="8" w:space="0" w:color="auto"/>
            </w:tcBorders>
            <w:vAlign w:val="bottom"/>
          </w:tcPr>
          <w:p w14:paraId="4E5EBD34" w14:textId="77777777" w:rsidR="00D1587D" w:rsidRDefault="00D1587D">
            <w:pPr>
              <w:rPr>
                <w:sz w:val="21"/>
                <w:szCs w:val="21"/>
              </w:rPr>
            </w:pPr>
          </w:p>
        </w:tc>
        <w:tc>
          <w:tcPr>
            <w:tcW w:w="380" w:type="dxa"/>
            <w:tcBorders>
              <w:bottom w:val="single" w:sz="8" w:space="0" w:color="auto"/>
            </w:tcBorders>
            <w:vAlign w:val="bottom"/>
          </w:tcPr>
          <w:p w14:paraId="238D4770" w14:textId="77777777" w:rsidR="00D1587D" w:rsidRDefault="00410D07">
            <w:pPr>
              <w:jc w:val="right"/>
              <w:rPr>
                <w:sz w:val="20"/>
                <w:szCs w:val="20"/>
              </w:rPr>
            </w:pPr>
            <w:r>
              <w:rPr>
                <w:rFonts w:ascii="Arial" w:eastAsia="Arial" w:hAnsi="Arial" w:cs="Arial"/>
                <w:sz w:val="18"/>
                <w:szCs w:val="18"/>
              </w:rPr>
              <w:t>558</w:t>
            </w:r>
          </w:p>
        </w:tc>
        <w:tc>
          <w:tcPr>
            <w:tcW w:w="120" w:type="dxa"/>
            <w:vAlign w:val="bottom"/>
          </w:tcPr>
          <w:p w14:paraId="7DFA5B77" w14:textId="77777777" w:rsidR="00D1587D" w:rsidRDefault="00D1587D">
            <w:pPr>
              <w:rPr>
                <w:sz w:val="21"/>
                <w:szCs w:val="21"/>
              </w:rPr>
            </w:pPr>
          </w:p>
        </w:tc>
        <w:tc>
          <w:tcPr>
            <w:tcW w:w="0" w:type="dxa"/>
            <w:vAlign w:val="bottom"/>
          </w:tcPr>
          <w:p w14:paraId="0893E4E3" w14:textId="77777777" w:rsidR="00D1587D" w:rsidRDefault="00D1587D">
            <w:pPr>
              <w:rPr>
                <w:sz w:val="1"/>
                <w:szCs w:val="1"/>
              </w:rPr>
            </w:pPr>
          </w:p>
        </w:tc>
      </w:tr>
      <w:tr w:rsidR="00D1587D" w14:paraId="477E5AE9" w14:textId="77777777">
        <w:trPr>
          <w:trHeight w:val="61"/>
        </w:trPr>
        <w:tc>
          <w:tcPr>
            <w:tcW w:w="3260" w:type="dxa"/>
            <w:vAlign w:val="bottom"/>
          </w:tcPr>
          <w:p w14:paraId="7113363D" w14:textId="77777777" w:rsidR="00D1587D" w:rsidRDefault="00D1587D">
            <w:pPr>
              <w:rPr>
                <w:sz w:val="5"/>
                <w:szCs w:val="5"/>
              </w:rPr>
            </w:pPr>
          </w:p>
        </w:tc>
        <w:tc>
          <w:tcPr>
            <w:tcW w:w="4080" w:type="dxa"/>
            <w:vAlign w:val="bottom"/>
          </w:tcPr>
          <w:p w14:paraId="0914B4E1" w14:textId="77777777" w:rsidR="00D1587D" w:rsidRDefault="00D1587D">
            <w:pPr>
              <w:rPr>
                <w:sz w:val="5"/>
                <w:szCs w:val="5"/>
              </w:rPr>
            </w:pPr>
          </w:p>
        </w:tc>
        <w:tc>
          <w:tcPr>
            <w:tcW w:w="460" w:type="dxa"/>
            <w:vAlign w:val="bottom"/>
          </w:tcPr>
          <w:p w14:paraId="7A6BD2CF" w14:textId="77777777" w:rsidR="00D1587D" w:rsidRDefault="00D1587D">
            <w:pPr>
              <w:rPr>
                <w:sz w:val="5"/>
                <w:szCs w:val="5"/>
              </w:rPr>
            </w:pPr>
          </w:p>
        </w:tc>
        <w:tc>
          <w:tcPr>
            <w:tcW w:w="120" w:type="dxa"/>
            <w:vAlign w:val="bottom"/>
          </w:tcPr>
          <w:p w14:paraId="15833C73" w14:textId="77777777" w:rsidR="00D1587D" w:rsidRDefault="00D1587D">
            <w:pPr>
              <w:rPr>
                <w:sz w:val="5"/>
                <w:szCs w:val="5"/>
              </w:rPr>
            </w:pPr>
          </w:p>
        </w:tc>
        <w:tc>
          <w:tcPr>
            <w:tcW w:w="380" w:type="dxa"/>
            <w:vAlign w:val="bottom"/>
          </w:tcPr>
          <w:p w14:paraId="66B2B4F5" w14:textId="77777777" w:rsidR="00D1587D" w:rsidRDefault="00D1587D">
            <w:pPr>
              <w:rPr>
                <w:sz w:val="5"/>
                <w:szCs w:val="5"/>
              </w:rPr>
            </w:pPr>
          </w:p>
        </w:tc>
        <w:tc>
          <w:tcPr>
            <w:tcW w:w="120" w:type="dxa"/>
            <w:vAlign w:val="bottom"/>
          </w:tcPr>
          <w:p w14:paraId="70D50925" w14:textId="77777777" w:rsidR="00D1587D" w:rsidRDefault="00D1587D">
            <w:pPr>
              <w:rPr>
                <w:sz w:val="5"/>
                <w:szCs w:val="5"/>
              </w:rPr>
            </w:pPr>
          </w:p>
        </w:tc>
        <w:tc>
          <w:tcPr>
            <w:tcW w:w="0" w:type="dxa"/>
            <w:vAlign w:val="bottom"/>
          </w:tcPr>
          <w:p w14:paraId="37CCD118" w14:textId="77777777" w:rsidR="00D1587D" w:rsidRDefault="00D1587D">
            <w:pPr>
              <w:rPr>
                <w:sz w:val="1"/>
                <w:szCs w:val="1"/>
              </w:rPr>
            </w:pPr>
          </w:p>
        </w:tc>
      </w:tr>
      <w:tr w:rsidR="00D1587D" w14:paraId="5D5EB291" w14:textId="77777777">
        <w:trPr>
          <w:trHeight w:val="270"/>
        </w:trPr>
        <w:tc>
          <w:tcPr>
            <w:tcW w:w="3260" w:type="dxa"/>
            <w:shd w:val="clear" w:color="auto" w:fill="CCEEFF"/>
            <w:vAlign w:val="bottom"/>
          </w:tcPr>
          <w:p w14:paraId="55728AA3" w14:textId="77777777" w:rsidR="00D1587D" w:rsidRDefault="00410D07">
            <w:pPr>
              <w:rPr>
                <w:sz w:val="20"/>
                <w:szCs w:val="20"/>
              </w:rPr>
            </w:pPr>
            <w:r>
              <w:rPr>
                <w:rFonts w:ascii="Arial" w:eastAsia="Arial" w:hAnsi="Arial" w:cs="Arial"/>
                <w:sz w:val="18"/>
                <w:szCs w:val="18"/>
              </w:rPr>
              <w:t>Total Lease Payments</w:t>
            </w:r>
          </w:p>
        </w:tc>
        <w:tc>
          <w:tcPr>
            <w:tcW w:w="5160" w:type="dxa"/>
            <w:gridSpan w:val="5"/>
            <w:shd w:val="clear" w:color="auto" w:fill="CCEEFF"/>
            <w:vAlign w:val="bottom"/>
          </w:tcPr>
          <w:p w14:paraId="263D81EF" w14:textId="77777777" w:rsidR="00D1587D" w:rsidRDefault="00410D07">
            <w:pPr>
              <w:ind w:right="120"/>
              <w:jc w:val="right"/>
              <w:rPr>
                <w:sz w:val="20"/>
                <w:szCs w:val="20"/>
              </w:rPr>
            </w:pPr>
            <w:r>
              <w:rPr>
                <w:rFonts w:ascii="Arial" w:eastAsia="Arial" w:hAnsi="Arial" w:cs="Arial"/>
                <w:sz w:val="18"/>
                <w:szCs w:val="18"/>
                <w:u w:val="single"/>
              </w:rPr>
              <w:t>$</w:t>
            </w:r>
            <w:r>
              <w:rPr>
                <w:rFonts w:ascii="Arial" w:eastAsia="Arial" w:hAnsi="Arial" w:cs="Arial"/>
                <w:sz w:val="18"/>
                <w:szCs w:val="18"/>
              </w:rPr>
              <w:t>2,388</w:t>
            </w:r>
          </w:p>
        </w:tc>
        <w:tc>
          <w:tcPr>
            <w:tcW w:w="0" w:type="dxa"/>
            <w:vAlign w:val="bottom"/>
          </w:tcPr>
          <w:p w14:paraId="20AE64D3" w14:textId="77777777" w:rsidR="00D1587D" w:rsidRDefault="00D1587D">
            <w:pPr>
              <w:rPr>
                <w:sz w:val="1"/>
                <w:szCs w:val="1"/>
              </w:rPr>
            </w:pPr>
          </w:p>
        </w:tc>
      </w:tr>
      <w:tr w:rsidR="00D1587D" w14:paraId="0F73199F" w14:textId="77777777">
        <w:trPr>
          <w:trHeight w:val="61"/>
        </w:trPr>
        <w:tc>
          <w:tcPr>
            <w:tcW w:w="3260" w:type="dxa"/>
            <w:tcBorders>
              <w:top w:val="single" w:sz="8" w:space="0" w:color="CCEEFF"/>
            </w:tcBorders>
            <w:shd w:val="clear" w:color="auto" w:fill="CCEEFF"/>
            <w:vAlign w:val="bottom"/>
          </w:tcPr>
          <w:p w14:paraId="14F53C32" w14:textId="77777777" w:rsidR="00D1587D" w:rsidRDefault="00D1587D">
            <w:pPr>
              <w:rPr>
                <w:sz w:val="5"/>
                <w:szCs w:val="5"/>
              </w:rPr>
            </w:pPr>
          </w:p>
        </w:tc>
        <w:tc>
          <w:tcPr>
            <w:tcW w:w="4080" w:type="dxa"/>
            <w:tcBorders>
              <w:top w:val="single" w:sz="8" w:space="0" w:color="CCEEFF"/>
            </w:tcBorders>
            <w:shd w:val="clear" w:color="auto" w:fill="CCEEFF"/>
            <w:vAlign w:val="bottom"/>
          </w:tcPr>
          <w:p w14:paraId="1F1303A3" w14:textId="77777777" w:rsidR="00D1587D" w:rsidRDefault="00D1587D">
            <w:pPr>
              <w:rPr>
                <w:sz w:val="5"/>
                <w:szCs w:val="5"/>
              </w:rPr>
            </w:pPr>
          </w:p>
        </w:tc>
        <w:tc>
          <w:tcPr>
            <w:tcW w:w="460" w:type="dxa"/>
            <w:tcBorders>
              <w:top w:val="single" w:sz="8" w:space="0" w:color="CCEEFF"/>
            </w:tcBorders>
            <w:shd w:val="clear" w:color="auto" w:fill="CCEEFF"/>
            <w:vAlign w:val="bottom"/>
          </w:tcPr>
          <w:p w14:paraId="377F43E8" w14:textId="77777777" w:rsidR="00D1587D" w:rsidRDefault="00D1587D">
            <w:pPr>
              <w:rPr>
                <w:sz w:val="5"/>
                <w:szCs w:val="5"/>
              </w:rPr>
            </w:pPr>
          </w:p>
        </w:tc>
        <w:tc>
          <w:tcPr>
            <w:tcW w:w="120" w:type="dxa"/>
            <w:tcBorders>
              <w:top w:val="single" w:sz="8" w:space="0" w:color="auto"/>
            </w:tcBorders>
            <w:shd w:val="clear" w:color="auto" w:fill="CCEEFF"/>
            <w:vAlign w:val="bottom"/>
          </w:tcPr>
          <w:p w14:paraId="285CDDE5" w14:textId="77777777" w:rsidR="00D1587D" w:rsidRDefault="00D1587D">
            <w:pPr>
              <w:rPr>
                <w:sz w:val="5"/>
                <w:szCs w:val="5"/>
              </w:rPr>
            </w:pPr>
          </w:p>
        </w:tc>
        <w:tc>
          <w:tcPr>
            <w:tcW w:w="380" w:type="dxa"/>
            <w:tcBorders>
              <w:top w:val="single" w:sz="8" w:space="0" w:color="auto"/>
            </w:tcBorders>
            <w:shd w:val="clear" w:color="auto" w:fill="CCEEFF"/>
            <w:vAlign w:val="bottom"/>
          </w:tcPr>
          <w:p w14:paraId="0DB96007" w14:textId="77777777" w:rsidR="00D1587D" w:rsidRDefault="00D1587D">
            <w:pPr>
              <w:rPr>
                <w:sz w:val="5"/>
                <w:szCs w:val="5"/>
              </w:rPr>
            </w:pPr>
          </w:p>
        </w:tc>
        <w:tc>
          <w:tcPr>
            <w:tcW w:w="120" w:type="dxa"/>
            <w:tcBorders>
              <w:top w:val="single" w:sz="8" w:space="0" w:color="CCEEFF"/>
            </w:tcBorders>
            <w:shd w:val="clear" w:color="auto" w:fill="CCEEFF"/>
            <w:vAlign w:val="bottom"/>
          </w:tcPr>
          <w:p w14:paraId="1BA5AB1C" w14:textId="77777777" w:rsidR="00D1587D" w:rsidRDefault="00D1587D">
            <w:pPr>
              <w:rPr>
                <w:sz w:val="5"/>
                <w:szCs w:val="5"/>
              </w:rPr>
            </w:pPr>
          </w:p>
        </w:tc>
        <w:tc>
          <w:tcPr>
            <w:tcW w:w="0" w:type="dxa"/>
            <w:vAlign w:val="bottom"/>
          </w:tcPr>
          <w:p w14:paraId="3DA21E59" w14:textId="77777777" w:rsidR="00D1587D" w:rsidRDefault="00D1587D">
            <w:pPr>
              <w:rPr>
                <w:sz w:val="1"/>
                <w:szCs w:val="1"/>
              </w:rPr>
            </w:pPr>
          </w:p>
        </w:tc>
      </w:tr>
      <w:tr w:rsidR="00D1587D" w14:paraId="2F500F5F" w14:textId="77777777">
        <w:trPr>
          <w:trHeight w:val="270"/>
        </w:trPr>
        <w:tc>
          <w:tcPr>
            <w:tcW w:w="3260" w:type="dxa"/>
            <w:vAlign w:val="bottom"/>
          </w:tcPr>
          <w:p w14:paraId="4DAAA1B5" w14:textId="77777777" w:rsidR="00D1587D" w:rsidRDefault="00410D07">
            <w:pPr>
              <w:ind w:left="180"/>
              <w:rPr>
                <w:sz w:val="20"/>
                <w:szCs w:val="20"/>
              </w:rPr>
            </w:pPr>
            <w:r>
              <w:rPr>
                <w:rFonts w:ascii="Arial" w:eastAsia="Arial" w:hAnsi="Arial" w:cs="Arial"/>
                <w:sz w:val="18"/>
                <w:szCs w:val="18"/>
              </w:rPr>
              <w:t>Less: Interest</w:t>
            </w:r>
          </w:p>
        </w:tc>
        <w:tc>
          <w:tcPr>
            <w:tcW w:w="4080" w:type="dxa"/>
            <w:vAlign w:val="bottom"/>
          </w:tcPr>
          <w:p w14:paraId="260A7865" w14:textId="77777777" w:rsidR="00D1587D" w:rsidRDefault="00D1587D">
            <w:pPr>
              <w:rPr>
                <w:sz w:val="23"/>
                <w:szCs w:val="23"/>
              </w:rPr>
            </w:pPr>
          </w:p>
        </w:tc>
        <w:tc>
          <w:tcPr>
            <w:tcW w:w="460" w:type="dxa"/>
            <w:vAlign w:val="bottom"/>
          </w:tcPr>
          <w:p w14:paraId="7AB973C9" w14:textId="77777777" w:rsidR="00D1587D" w:rsidRDefault="00D1587D">
            <w:pPr>
              <w:rPr>
                <w:sz w:val="23"/>
                <w:szCs w:val="23"/>
              </w:rPr>
            </w:pPr>
          </w:p>
        </w:tc>
        <w:tc>
          <w:tcPr>
            <w:tcW w:w="120" w:type="dxa"/>
            <w:vAlign w:val="bottom"/>
          </w:tcPr>
          <w:p w14:paraId="379BCF98" w14:textId="77777777" w:rsidR="00D1587D" w:rsidRDefault="00D1587D">
            <w:pPr>
              <w:rPr>
                <w:sz w:val="23"/>
                <w:szCs w:val="23"/>
              </w:rPr>
            </w:pPr>
          </w:p>
        </w:tc>
        <w:tc>
          <w:tcPr>
            <w:tcW w:w="500" w:type="dxa"/>
            <w:gridSpan w:val="2"/>
            <w:vAlign w:val="bottom"/>
          </w:tcPr>
          <w:p w14:paraId="6F77D182" w14:textId="77777777" w:rsidR="00D1587D" w:rsidRDefault="00410D07">
            <w:pPr>
              <w:ind w:right="60"/>
              <w:jc w:val="right"/>
              <w:rPr>
                <w:sz w:val="20"/>
                <w:szCs w:val="20"/>
              </w:rPr>
            </w:pPr>
            <w:r>
              <w:rPr>
                <w:rFonts w:ascii="Arial" w:eastAsia="Arial" w:hAnsi="Arial" w:cs="Arial"/>
                <w:w w:val="99"/>
                <w:sz w:val="18"/>
                <w:szCs w:val="18"/>
              </w:rPr>
              <w:t>(414)</w:t>
            </w:r>
          </w:p>
        </w:tc>
        <w:tc>
          <w:tcPr>
            <w:tcW w:w="0" w:type="dxa"/>
            <w:vAlign w:val="bottom"/>
          </w:tcPr>
          <w:p w14:paraId="62AD5984" w14:textId="77777777" w:rsidR="00D1587D" w:rsidRDefault="00D1587D">
            <w:pPr>
              <w:rPr>
                <w:sz w:val="1"/>
                <w:szCs w:val="1"/>
              </w:rPr>
            </w:pPr>
          </w:p>
        </w:tc>
      </w:tr>
      <w:tr w:rsidR="00D1587D" w14:paraId="402C8FBA" w14:textId="77777777">
        <w:trPr>
          <w:trHeight w:val="61"/>
        </w:trPr>
        <w:tc>
          <w:tcPr>
            <w:tcW w:w="3260" w:type="dxa"/>
            <w:vAlign w:val="bottom"/>
          </w:tcPr>
          <w:p w14:paraId="2D6A7100" w14:textId="77777777" w:rsidR="00D1587D" w:rsidRDefault="00D1587D">
            <w:pPr>
              <w:rPr>
                <w:sz w:val="5"/>
                <w:szCs w:val="5"/>
              </w:rPr>
            </w:pPr>
          </w:p>
        </w:tc>
        <w:tc>
          <w:tcPr>
            <w:tcW w:w="4080" w:type="dxa"/>
            <w:vAlign w:val="bottom"/>
          </w:tcPr>
          <w:p w14:paraId="677DDD65" w14:textId="77777777" w:rsidR="00D1587D" w:rsidRDefault="00D1587D">
            <w:pPr>
              <w:rPr>
                <w:sz w:val="5"/>
                <w:szCs w:val="5"/>
              </w:rPr>
            </w:pPr>
          </w:p>
        </w:tc>
        <w:tc>
          <w:tcPr>
            <w:tcW w:w="460" w:type="dxa"/>
            <w:vAlign w:val="bottom"/>
          </w:tcPr>
          <w:p w14:paraId="62A36812" w14:textId="77777777" w:rsidR="00D1587D" w:rsidRDefault="00D1587D">
            <w:pPr>
              <w:rPr>
                <w:sz w:val="5"/>
                <w:szCs w:val="5"/>
              </w:rPr>
            </w:pPr>
          </w:p>
        </w:tc>
        <w:tc>
          <w:tcPr>
            <w:tcW w:w="120" w:type="dxa"/>
            <w:tcBorders>
              <w:top w:val="single" w:sz="8" w:space="0" w:color="auto"/>
            </w:tcBorders>
            <w:vAlign w:val="bottom"/>
          </w:tcPr>
          <w:p w14:paraId="31DC6876" w14:textId="77777777" w:rsidR="00D1587D" w:rsidRDefault="00D1587D">
            <w:pPr>
              <w:rPr>
                <w:sz w:val="5"/>
                <w:szCs w:val="5"/>
              </w:rPr>
            </w:pPr>
          </w:p>
        </w:tc>
        <w:tc>
          <w:tcPr>
            <w:tcW w:w="380" w:type="dxa"/>
            <w:tcBorders>
              <w:top w:val="single" w:sz="8" w:space="0" w:color="auto"/>
            </w:tcBorders>
            <w:vAlign w:val="bottom"/>
          </w:tcPr>
          <w:p w14:paraId="6FA03C40" w14:textId="77777777" w:rsidR="00D1587D" w:rsidRDefault="00D1587D">
            <w:pPr>
              <w:rPr>
                <w:sz w:val="5"/>
                <w:szCs w:val="5"/>
              </w:rPr>
            </w:pPr>
          </w:p>
        </w:tc>
        <w:tc>
          <w:tcPr>
            <w:tcW w:w="120" w:type="dxa"/>
            <w:vAlign w:val="bottom"/>
          </w:tcPr>
          <w:p w14:paraId="713444BB" w14:textId="77777777" w:rsidR="00D1587D" w:rsidRDefault="00D1587D">
            <w:pPr>
              <w:rPr>
                <w:sz w:val="5"/>
                <w:szCs w:val="5"/>
              </w:rPr>
            </w:pPr>
          </w:p>
        </w:tc>
        <w:tc>
          <w:tcPr>
            <w:tcW w:w="0" w:type="dxa"/>
            <w:vAlign w:val="bottom"/>
          </w:tcPr>
          <w:p w14:paraId="7D3D9FE8" w14:textId="77777777" w:rsidR="00D1587D" w:rsidRDefault="00D1587D">
            <w:pPr>
              <w:rPr>
                <w:sz w:val="1"/>
                <w:szCs w:val="1"/>
              </w:rPr>
            </w:pPr>
          </w:p>
        </w:tc>
      </w:tr>
      <w:tr w:rsidR="00D1587D" w14:paraId="6B444124" w14:textId="77777777">
        <w:trPr>
          <w:trHeight w:val="318"/>
        </w:trPr>
        <w:tc>
          <w:tcPr>
            <w:tcW w:w="3260" w:type="dxa"/>
            <w:tcBorders>
              <w:bottom w:val="single" w:sz="8" w:space="0" w:color="CCEEFF"/>
            </w:tcBorders>
            <w:shd w:val="clear" w:color="auto" w:fill="CCEEFF"/>
            <w:vAlign w:val="bottom"/>
          </w:tcPr>
          <w:p w14:paraId="0892A392" w14:textId="77777777" w:rsidR="00D1587D" w:rsidRDefault="00410D07">
            <w:pPr>
              <w:rPr>
                <w:sz w:val="20"/>
                <w:szCs w:val="20"/>
              </w:rPr>
            </w:pPr>
            <w:r>
              <w:rPr>
                <w:rFonts w:ascii="Arial" w:eastAsia="Arial" w:hAnsi="Arial" w:cs="Arial"/>
                <w:w w:val="92"/>
                <w:sz w:val="18"/>
                <w:szCs w:val="18"/>
              </w:rPr>
              <w:t>Present Value of Operating Lease Liabilities</w:t>
            </w:r>
          </w:p>
        </w:tc>
        <w:tc>
          <w:tcPr>
            <w:tcW w:w="4540" w:type="dxa"/>
            <w:gridSpan w:val="2"/>
            <w:tcBorders>
              <w:bottom w:val="single" w:sz="8" w:space="0" w:color="CCEEFF"/>
            </w:tcBorders>
            <w:shd w:val="clear" w:color="auto" w:fill="CCEEFF"/>
            <w:vAlign w:val="bottom"/>
          </w:tcPr>
          <w:p w14:paraId="7C99D913" w14:textId="77777777" w:rsidR="00D1587D" w:rsidRDefault="00D1587D">
            <w:pPr>
              <w:rPr>
                <w:sz w:val="24"/>
                <w:szCs w:val="24"/>
              </w:rPr>
            </w:pPr>
          </w:p>
        </w:tc>
        <w:tc>
          <w:tcPr>
            <w:tcW w:w="500" w:type="dxa"/>
            <w:gridSpan w:val="2"/>
            <w:tcBorders>
              <w:bottom w:val="single" w:sz="8" w:space="0" w:color="auto"/>
            </w:tcBorders>
            <w:shd w:val="clear" w:color="auto" w:fill="CCEEFF"/>
            <w:vAlign w:val="bottom"/>
          </w:tcPr>
          <w:p w14:paraId="3529A138" w14:textId="77777777" w:rsidR="00D1587D" w:rsidRDefault="00410D07">
            <w:pPr>
              <w:jc w:val="right"/>
              <w:rPr>
                <w:sz w:val="20"/>
                <w:szCs w:val="20"/>
              </w:rPr>
            </w:pPr>
            <w:r>
              <w:rPr>
                <w:rFonts w:ascii="Arial" w:eastAsia="Arial" w:hAnsi="Arial" w:cs="Arial"/>
                <w:w w:val="87"/>
                <w:sz w:val="18"/>
                <w:szCs w:val="18"/>
                <w:u w:val="single"/>
              </w:rPr>
              <w:t>$</w:t>
            </w:r>
            <w:r>
              <w:rPr>
                <w:rFonts w:ascii="Arial" w:eastAsia="Arial" w:hAnsi="Arial" w:cs="Arial"/>
                <w:w w:val="87"/>
                <w:sz w:val="18"/>
                <w:szCs w:val="18"/>
              </w:rPr>
              <w:t>1,974</w:t>
            </w:r>
          </w:p>
        </w:tc>
        <w:tc>
          <w:tcPr>
            <w:tcW w:w="120" w:type="dxa"/>
            <w:tcBorders>
              <w:bottom w:val="single" w:sz="8" w:space="0" w:color="CCEEFF"/>
            </w:tcBorders>
            <w:shd w:val="clear" w:color="auto" w:fill="CCEEFF"/>
            <w:vAlign w:val="bottom"/>
          </w:tcPr>
          <w:p w14:paraId="191AA9CD" w14:textId="77777777" w:rsidR="00D1587D" w:rsidRDefault="00D1587D">
            <w:pPr>
              <w:rPr>
                <w:sz w:val="24"/>
                <w:szCs w:val="24"/>
              </w:rPr>
            </w:pPr>
          </w:p>
        </w:tc>
        <w:tc>
          <w:tcPr>
            <w:tcW w:w="0" w:type="dxa"/>
            <w:vAlign w:val="bottom"/>
          </w:tcPr>
          <w:p w14:paraId="2EF0E9C0" w14:textId="77777777" w:rsidR="00D1587D" w:rsidRDefault="00D1587D">
            <w:pPr>
              <w:rPr>
                <w:sz w:val="1"/>
                <w:szCs w:val="1"/>
              </w:rPr>
            </w:pPr>
          </w:p>
        </w:tc>
      </w:tr>
    </w:tbl>
    <w:p w14:paraId="3483EC7A" w14:textId="77777777" w:rsidR="00D1587D" w:rsidRDefault="00D1587D">
      <w:pPr>
        <w:spacing w:line="94" w:lineRule="exact"/>
        <w:rPr>
          <w:sz w:val="20"/>
          <w:szCs w:val="20"/>
        </w:rPr>
      </w:pPr>
    </w:p>
    <w:p w14:paraId="4413DB76" w14:textId="77777777" w:rsidR="00D1587D" w:rsidRDefault="00410D07">
      <w:pPr>
        <w:spacing w:line="279" w:lineRule="auto"/>
        <w:ind w:left="300" w:right="319" w:firstLine="360"/>
        <w:rPr>
          <w:sz w:val="20"/>
          <w:szCs w:val="20"/>
        </w:rPr>
      </w:pPr>
      <w:r>
        <w:rPr>
          <w:rFonts w:ascii="Arial" w:eastAsia="Arial" w:hAnsi="Arial" w:cs="Arial"/>
          <w:sz w:val="17"/>
          <w:szCs w:val="17"/>
        </w:rPr>
        <w:t xml:space="preserve">For leases entered into or reassessed after the </w:t>
      </w:r>
      <w:r>
        <w:rPr>
          <w:rFonts w:ascii="Arial" w:eastAsia="Arial" w:hAnsi="Arial" w:cs="Arial"/>
          <w:sz w:val="17"/>
          <w:szCs w:val="17"/>
        </w:rPr>
        <w:t>adoption of the new standard, the Company has elected the practical expedient allowed by the standard to account for all fixed consideration in a lease as a single lease component. Therefore, the lease payments used to measure the lease liability for these</w:t>
      </w:r>
      <w:r>
        <w:rPr>
          <w:rFonts w:ascii="Arial" w:eastAsia="Arial" w:hAnsi="Arial" w:cs="Arial"/>
          <w:sz w:val="17"/>
          <w:szCs w:val="17"/>
        </w:rPr>
        <w:t xml:space="preserve"> leases include fixed minimum rentals along with fixed operating costs such as common area maintenance and utilities.</w:t>
      </w:r>
    </w:p>
    <w:p w14:paraId="48D72139" w14:textId="77777777" w:rsidR="00D1587D" w:rsidRDefault="00D1587D">
      <w:pPr>
        <w:spacing w:line="171" w:lineRule="exact"/>
        <w:rPr>
          <w:sz w:val="20"/>
          <w:szCs w:val="20"/>
        </w:rPr>
      </w:pPr>
    </w:p>
    <w:p w14:paraId="00225C01" w14:textId="77777777" w:rsidR="00D1587D" w:rsidRDefault="00410D07">
      <w:pPr>
        <w:jc w:val="center"/>
        <w:rPr>
          <w:sz w:val="20"/>
          <w:szCs w:val="20"/>
        </w:rPr>
      </w:pPr>
      <w:r>
        <w:rPr>
          <w:rFonts w:ascii="Arial" w:eastAsia="Arial" w:hAnsi="Arial" w:cs="Arial"/>
          <w:sz w:val="18"/>
          <w:szCs w:val="18"/>
        </w:rPr>
        <w:t>F-20</w:t>
      </w:r>
    </w:p>
    <w:p w14:paraId="4130531A" w14:textId="77777777" w:rsidR="00D1587D" w:rsidRDefault="00410D07">
      <w:pPr>
        <w:spacing w:line="20" w:lineRule="exact"/>
        <w:rPr>
          <w:sz w:val="20"/>
          <w:szCs w:val="20"/>
        </w:rPr>
      </w:pPr>
      <w:r>
        <w:rPr>
          <w:noProof/>
          <w:sz w:val="20"/>
          <w:szCs w:val="20"/>
        </w:rPr>
        <w:drawing>
          <wp:anchor distT="0" distB="0" distL="114300" distR="114300" simplePos="0" relativeHeight="252090368" behindDoc="1" locked="0" layoutInCell="0" allowOverlap="1" wp14:anchorId="17208AFF" wp14:editId="56811195">
            <wp:simplePos x="0" y="0"/>
            <wp:positionH relativeFrom="column">
              <wp:posOffset>-636905</wp:posOffset>
            </wp:positionH>
            <wp:positionV relativeFrom="paragraph">
              <wp:posOffset>126365</wp:posOffset>
            </wp:positionV>
            <wp:extent cx="6995160" cy="17145"/>
            <wp:effectExtent l="0" t="0" r="0" b="0"/>
            <wp:wrapNone/>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5F0E3E3" w14:textId="77777777" w:rsidR="00D1587D" w:rsidRDefault="00D1587D">
      <w:pPr>
        <w:sectPr w:rsidR="00D1587D">
          <w:pgSz w:w="11900" w:h="16838"/>
          <w:pgMar w:top="265" w:right="1440" w:bottom="1440" w:left="1440" w:header="0" w:footer="0" w:gutter="0"/>
          <w:cols w:space="720" w:equalWidth="0">
            <w:col w:w="9019"/>
          </w:cols>
        </w:sectPr>
      </w:pPr>
    </w:p>
    <w:bookmarkStart w:id="416" w:name="page417"/>
    <w:bookmarkEnd w:id="416"/>
    <w:p w14:paraId="356362B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0CEEC02" w14:textId="77777777" w:rsidR="00D1587D" w:rsidRDefault="00D1587D">
      <w:pPr>
        <w:spacing w:line="131" w:lineRule="exact"/>
        <w:rPr>
          <w:sz w:val="20"/>
          <w:szCs w:val="20"/>
        </w:rPr>
      </w:pPr>
    </w:p>
    <w:p w14:paraId="5D40E749" w14:textId="77777777" w:rsidR="00D1587D" w:rsidRDefault="00410D07">
      <w:pPr>
        <w:spacing w:line="277" w:lineRule="auto"/>
        <w:ind w:left="300" w:right="1179" w:firstLine="360"/>
        <w:rPr>
          <w:sz w:val="20"/>
          <w:szCs w:val="20"/>
        </w:rPr>
      </w:pPr>
      <w:r>
        <w:rPr>
          <w:rFonts w:ascii="Arial" w:eastAsia="Arial" w:hAnsi="Arial" w:cs="Arial"/>
          <w:sz w:val="18"/>
          <w:szCs w:val="18"/>
        </w:rPr>
        <w:t xml:space="preserve">As of January 30, 2021, the Company had additional </w:t>
      </w:r>
      <w:r>
        <w:rPr>
          <w:rFonts w:ascii="Arial" w:eastAsia="Arial" w:hAnsi="Arial" w:cs="Arial"/>
          <w:sz w:val="18"/>
          <w:szCs w:val="18"/>
        </w:rPr>
        <w:t>operating lease commitments that have not yet commenced of approximately $189 million.</w:t>
      </w:r>
    </w:p>
    <w:p w14:paraId="1DF5BE34" w14:textId="77777777" w:rsidR="00D1587D" w:rsidRDefault="00D1587D">
      <w:pPr>
        <w:spacing w:line="62" w:lineRule="exact"/>
        <w:rPr>
          <w:sz w:val="20"/>
          <w:szCs w:val="20"/>
        </w:rPr>
      </w:pPr>
    </w:p>
    <w:p w14:paraId="778E8CD5" w14:textId="77777777" w:rsidR="00D1587D" w:rsidRDefault="00410D07">
      <w:pPr>
        <w:spacing w:line="277" w:lineRule="auto"/>
        <w:ind w:left="300" w:right="419" w:firstLine="360"/>
        <w:rPr>
          <w:sz w:val="20"/>
          <w:szCs w:val="20"/>
        </w:rPr>
      </w:pPr>
      <w:r>
        <w:rPr>
          <w:rFonts w:ascii="Arial" w:eastAsia="Arial" w:hAnsi="Arial" w:cs="Arial"/>
          <w:sz w:val="18"/>
          <w:szCs w:val="18"/>
        </w:rPr>
        <w:t>The following table provides the weighted-average remaining lease term and discount rate for operating leases with lease liabilities as of January 30, 2021 and February</w:t>
      </w:r>
      <w:r>
        <w:rPr>
          <w:rFonts w:ascii="Arial" w:eastAsia="Arial" w:hAnsi="Arial" w:cs="Arial"/>
          <w:sz w:val="18"/>
          <w:szCs w:val="18"/>
        </w:rPr>
        <w:t xml:space="preserve"> 1, 2020:</w:t>
      </w:r>
    </w:p>
    <w:p w14:paraId="32BDAD35" w14:textId="77777777" w:rsidR="00D1587D" w:rsidRDefault="00D1587D">
      <w:pPr>
        <w:spacing w:line="12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840"/>
        <w:gridCol w:w="740"/>
        <w:gridCol w:w="100"/>
        <w:gridCol w:w="740"/>
      </w:tblGrid>
      <w:tr w:rsidR="00D1587D" w14:paraId="03D560BD" w14:textId="77777777">
        <w:trPr>
          <w:trHeight w:val="161"/>
        </w:trPr>
        <w:tc>
          <w:tcPr>
            <w:tcW w:w="6840" w:type="dxa"/>
            <w:vAlign w:val="bottom"/>
          </w:tcPr>
          <w:p w14:paraId="31AA9E66" w14:textId="77777777" w:rsidR="00D1587D" w:rsidRDefault="00D1587D">
            <w:pPr>
              <w:rPr>
                <w:sz w:val="14"/>
                <w:szCs w:val="14"/>
              </w:rPr>
            </w:pPr>
          </w:p>
        </w:tc>
        <w:tc>
          <w:tcPr>
            <w:tcW w:w="840" w:type="dxa"/>
            <w:gridSpan w:val="2"/>
            <w:vAlign w:val="bottom"/>
          </w:tcPr>
          <w:p w14:paraId="798B8837" w14:textId="77777777" w:rsidR="00D1587D" w:rsidRDefault="00410D07">
            <w:pPr>
              <w:ind w:right="100"/>
              <w:jc w:val="center"/>
              <w:rPr>
                <w:sz w:val="20"/>
                <w:szCs w:val="20"/>
              </w:rPr>
            </w:pPr>
            <w:r>
              <w:rPr>
                <w:rFonts w:ascii="Arial" w:eastAsia="Arial" w:hAnsi="Arial" w:cs="Arial"/>
                <w:b/>
                <w:bCs/>
                <w:w w:val="95"/>
                <w:sz w:val="14"/>
                <w:szCs w:val="14"/>
              </w:rPr>
              <w:t>January 30,</w:t>
            </w:r>
          </w:p>
        </w:tc>
        <w:tc>
          <w:tcPr>
            <w:tcW w:w="740" w:type="dxa"/>
            <w:vAlign w:val="bottom"/>
          </w:tcPr>
          <w:p w14:paraId="78F5AC06" w14:textId="77777777" w:rsidR="00D1587D" w:rsidRDefault="00410D07">
            <w:pPr>
              <w:jc w:val="center"/>
              <w:rPr>
                <w:sz w:val="20"/>
                <w:szCs w:val="20"/>
              </w:rPr>
            </w:pPr>
            <w:r>
              <w:rPr>
                <w:rFonts w:ascii="Arial" w:eastAsia="Arial" w:hAnsi="Arial" w:cs="Arial"/>
                <w:b/>
                <w:bCs/>
                <w:w w:val="97"/>
                <w:sz w:val="14"/>
                <w:szCs w:val="14"/>
              </w:rPr>
              <w:t>February 1,</w:t>
            </w:r>
          </w:p>
        </w:tc>
      </w:tr>
      <w:tr w:rsidR="00D1587D" w14:paraId="2C9B194F" w14:textId="77777777">
        <w:trPr>
          <w:trHeight w:val="186"/>
        </w:trPr>
        <w:tc>
          <w:tcPr>
            <w:tcW w:w="6840" w:type="dxa"/>
            <w:vAlign w:val="bottom"/>
          </w:tcPr>
          <w:p w14:paraId="2BECDE32" w14:textId="77777777" w:rsidR="00D1587D" w:rsidRDefault="00D1587D">
            <w:pPr>
              <w:rPr>
                <w:sz w:val="16"/>
                <w:szCs w:val="16"/>
              </w:rPr>
            </w:pPr>
          </w:p>
        </w:tc>
        <w:tc>
          <w:tcPr>
            <w:tcW w:w="740" w:type="dxa"/>
            <w:vAlign w:val="bottom"/>
          </w:tcPr>
          <w:p w14:paraId="3914EC19" w14:textId="77777777" w:rsidR="00D1587D" w:rsidRDefault="00410D07">
            <w:pPr>
              <w:ind w:right="139"/>
              <w:jc w:val="right"/>
              <w:rPr>
                <w:sz w:val="20"/>
                <w:szCs w:val="20"/>
              </w:rPr>
            </w:pPr>
            <w:r>
              <w:rPr>
                <w:rFonts w:ascii="Arial" w:eastAsia="Arial" w:hAnsi="Arial" w:cs="Arial"/>
                <w:b/>
                <w:bCs/>
                <w:sz w:val="14"/>
                <w:szCs w:val="14"/>
              </w:rPr>
              <w:t>2021</w:t>
            </w:r>
          </w:p>
        </w:tc>
        <w:tc>
          <w:tcPr>
            <w:tcW w:w="100" w:type="dxa"/>
            <w:vAlign w:val="bottom"/>
          </w:tcPr>
          <w:p w14:paraId="72B23CF1" w14:textId="77777777" w:rsidR="00D1587D" w:rsidRDefault="00D1587D">
            <w:pPr>
              <w:rPr>
                <w:sz w:val="16"/>
                <w:szCs w:val="16"/>
              </w:rPr>
            </w:pPr>
          </w:p>
        </w:tc>
        <w:tc>
          <w:tcPr>
            <w:tcW w:w="740" w:type="dxa"/>
            <w:vAlign w:val="bottom"/>
          </w:tcPr>
          <w:p w14:paraId="3AD8DCCB" w14:textId="77777777" w:rsidR="00D1587D" w:rsidRDefault="00410D07">
            <w:pPr>
              <w:ind w:right="139"/>
              <w:jc w:val="right"/>
              <w:rPr>
                <w:sz w:val="20"/>
                <w:szCs w:val="20"/>
              </w:rPr>
            </w:pPr>
            <w:r>
              <w:rPr>
                <w:rFonts w:ascii="Arial" w:eastAsia="Arial" w:hAnsi="Arial" w:cs="Arial"/>
                <w:b/>
                <w:bCs/>
                <w:sz w:val="14"/>
                <w:szCs w:val="14"/>
              </w:rPr>
              <w:t>2020</w:t>
            </w:r>
          </w:p>
        </w:tc>
      </w:tr>
      <w:tr w:rsidR="00D1587D" w14:paraId="49FA572F" w14:textId="77777777">
        <w:trPr>
          <w:trHeight w:val="53"/>
        </w:trPr>
        <w:tc>
          <w:tcPr>
            <w:tcW w:w="6840" w:type="dxa"/>
            <w:tcBorders>
              <w:bottom w:val="single" w:sz="8" w:space="0" w:color="CCEEFF"/>
            </w:tcBorders>
            <w:vAlign w:val="bottom"/>
          </w:tcPr>
          <w:p w14:paraId="5526C311" w14:textId="77777777" w:rsidR="00D1587D" w:rsidRDefault="00D1587D">
            <w:pPr>
              <w:rPr>
                <w:sz w:val="4"/>
                <w:szCs w:val="4"/>
              </w:rPr>
            </w:pPr>
          </w:p>
        </w:tc>
        <w:tc>
          <w:tcPr>
            <w:tcW w:w="740" w:type="dxa"/>
            <w:tcBorders>
              <w:bottom w:val="single" w:sz="8" w:space="0" w:color="auto"/>
            </w:tcBorders>
            <w:vAlign w:val="bottom"/>
          </w:tcPr>
          <w:p w14:paraId="4B163512" w14:textId="77777777" w:rsidR="00D1587D" w:rsidRDefault="00D1587D">
            <w:pPr>
              <w:rPr>
                <w:sz w:val="4"/>
                <w:szCs w:val="4"/>
              </w:rPr>
            </w:pPr>
          </w:p>
        </w:tc>
        <w:tc>
          <w:tcPr>
            <w:tcW w:w="100" w:type="dxa"/>
            <w:tcBorders>
              <w:bottom w:val="single" w:sz="8" w:space="0" w:color="CCEEFF"/>
            </w:tcBorders>
            <w:vAlign w:val="bottom"/>
          </w:tcPr>
          <w:p w14:paraId="2DFEE1D6" w14:textId="77777777" w:rsidR="00D1587D" w:rsidRDefault="00D1587D">
            <w:pPr>
              <w:rPr>
                <w:sz w:val="4"/>
                <w:szCs w:val="4"/>
              </w:rPr>
            </w:pPr>
          </w:p>
        </w:tc>
        <w:tc>
          <w:tcPr>
            <w:tcW w:w="740" w:type="dxa"/>
            <w:tcBorders>
              <w:bottom w:val="single" w:sz="8" w:space="0" w:color="auto"/>
            </w:tcBorders>
            <w:vAlign w:val="bottom"/>
          </w:tcPr>
          <w:p w14:paraId="262A909B" w14:textId="77777777" w:rsidR="00D1587D" w:rsidRDefault="00D1587D">
            <w:pPr>
              <w:rPr>
                <w:sz w:val="4"/>
                <w:szCs w:val="4"/>
              </w:rPr>
            </w:pPr>
          </w:p>
        </w:tc>
      </w:tr>
      <w:tr w:rsidR="00D1587D" w14:paraId="066F5D86" w14:textId="77777777">
        <w:trPr>
          <w:trHeight w:val="311"/>
        </w:trPr>
        <w:tc>
          <w:tcPr>
            <w:tcW w:w="6840" w:type="dxa"/>
            <w:tcBorders>
              <w:bottom w:val="single" w:sz="8" w:space="0" w:color="CCEEFF"/>
            </w:tcBorders>
            <w:shd w:val="clear" w:color="auto" w:fill="CCEEFF"/>
            <w:vAlign w:val="bottom"/>
          </w:tcPr>
          <w:p w14:paraId="23EF8DDA" w14:textId="77777777" w:rsidR="00D1587D" w:rsidRDefault="00410D07">
            <w:pPr>
              <w:rPr>
                <w:sz w:val="20"/>
                <w:szCs w:val="20"/>
              </w:rPr>
            </w:pPr>
            <w:r>
              <w:rPr>
                <w:rFonts w:ascii="Arial" w:eastAsia="Arial" w:hAnsi="Arial" w:cs="Arial"/>
                <w:sz w:val="18"/>
                <w:szCs w:val="18"/>
              </w:rPr>
              <w:t>Weighted Average Remaining Lease Term (years)</w:t>
            </w:r>
          </w:p>
        </w:tc>
        <w:tc>
          <w:tcPr>
            <w:tcW w:w="740" w:type="dxa"/>
            <w:tcBorders>
              <w:bottom w:val="single" w:sz="8" w:space="0" w:color="CCEEFF"/>
            </w:tcBorders>
            <w:shd w:val="clear" w:color="auto" w:fill="CCEEFF"/>
            <w:vAlign w:val="bottom"/>
          </w:tcPr>
          <w:p w14:paraId="3821ADA0" w14:textId="77777777" w:rsidR="00D1587D" w:rsidRDefault="00410D07">
            <w:pPr>
              <w:ind w:left="260"/>
              <w:rPr>
                <w:sz w:val="20"/>
                <w:szCs w:val="20"/>
              </w:rPr>
            </w:pPr>
            <w:r>
              <w:rPr>
                <w:rFonts w:ascii="Arial" w:eastAsia="Arial" w:hAnsi="Arial" w:cs="Arial"/>
                <w:sz w:val="18"/>
                <w:szCs w:val="18"/>
              </w:rPr>
              <w:t>6.1</w:t>
            </w:r>
          </w:p>
        </w:tc>
        <w:tc>
          <w:tcPr>
            <w:tcW w:w="100" w:type="dxa"/>
            <w:tcBorders>
              <w:bottom w:val="single" w:sz="8" w:space="0" w:color="CCEEFF"/>
            </w:tcBorders>
            <w:shd w:val="clear" w:color="auto" w:fill="CCEEFF"/>
            <w:vAlign w:val="bottom"/>
          </w:tcPr>
          <w:p w14:paraId="7F0EAD43" w14:textId="77777777" w:rsidR="00D1587D" w:rsidRDefault="00D1587D">
            <w:pPr>
              <w:rPr>
                <w:sz w:val="24"/>
                <w:szCs w:val="24"/>
              </w:rPr>
            </w:pPr>
          </w:p>
        </w:tc>
        <w:tc>
          <w:tcPr>
            <w:tcW w:w="740" w:type="dxa"/>
            <w:tcBorders>
              <w:bottom w:val="single" w:sz="8" w:space="0" w:color="CCEEFF"/>
            </w:tcBorders>
            <w:shd w:val="clear" w:color="auto" w:fill="CCEEFF"/>
            <w:vAlign w:val="bottom"/>
          </w:tcPr>
          <w:p w14:paraId="7119D0E2" w14:textId="77777777" w:rsidR="00D1587D" w:rsidRDefault="00410D07">
            <w:pPr>
              <w:ind w:left="260"/>
              <w:rPr>
                <w:sz w:val="20"/>
                <w:szCs w:val="20"/>
              </w:rPr>
            </w:pPr>
            <w:r>
              <w:rPr>
                <w:rFonts w:ascii="Arial" w:eastAsia="Arial" w:hAnsi="Arial" w:cs="Arial"/>
                <w:sz w:val="18"/>
                <w:szCs w:val="18"/>
              </w:rPr>
              <w:t>7.4</w:t>
            </w:r>
          </w:p>
        </w:tc>
      </w:tr>
      <w:tr w:rsidR="00D1587D" w14:paraId="78405B31" w14:textId="77777777">
        <w:trPr>
          <w:trHeight w:val="270"/>
        </w:trPr>
        <w:tc>
          <w:tcPr>
            <w:tcW w:w="6840" w:type="dxa"/>
            <w:vAlign w:val="bottom"/>
          </w:tcPr>
          <w:p w14:paraId="7963950C" w14:textId="77777777" w:rsidR="00D1587D" w:rsidRDefault="00410D07">
            <w:pPr>
              <w:rPr>
                <w:sz w:val="20"/>
                <w:szCs w:val="20"/>
              </w:rPr>
            </w:pPr>
            <w:r>
              <w:rPr>
                <w:rFonts w:ascii="Arial" w:eastAsia="Arial" w:hAnsi="Arial" w:cs="Arial"/>
                <w:sz w:val="18"/>
                <w:szCs w:val="18"/>
              </w:rPr>
              <w:t>Weighted Average Discount Rate</w:t>
            </w:r>
          </w:p>
        </w:tc>
        <w:tc>
          <w:tcPr>
            <w:tcW w:w="740" w:type="dxa"/>
            <w:vAlign w:val="bottom"/>
          </w:tcPr>
          <w:p w14:paraId="7C59F67A" w14:textId="77777777" w:rsidR="00D1587D" w:rsidRDefault="00410D07">
            <w:pPr>
              <w:ind w:left="260"/>
              <w:rPr>
                <w:sz w:val="20"/>
                <w:szCs w:val="20"/>
              </w:rPr>
            </w:pPr>
            <w:r>
              <w:rPr>
                <w:rFonts w:ascii="Arial" w:eastAsia="Arial" w:hAnsi="Arial" w:cs="Arial"/>
                <w:sz w:val="18"/>
                <w:szCs w:val="18"/>
              </w:rPr>
              <w:t>5.9%</w:t>
            </w:r>
          </w:p>
        </w:tc>
        <w:tc>
          <w:tcPr>
            <w:tcW w:w="100" w:type="dxa"/>
            <w:vAlign w:val="bottom"/>
          </w:tcPr>
          <w:p w14:paraId="22518FBF" w14:textId="77777777" w:rsidR="00D1587D" w:rsidRDefault="00D1587D">
            <w:pPr>
              <w:rPr>
                <w:sz w:val="23"/>
                <w:szCs w:val="23"/>
              </w:rPr>
            </w:pPr>
          </w:p>
        </w:tc>
        <w:tc>
          <w:tcPr>
            <w:tcW w:w="740" w:type="dxa"/>
            <w:vAlign w:val="bottom"/>
          </w:tcPr>
          <w:p w14:paraId="2E045BBE" w14:textId="77777777" w:rsidR="00D1587D" w:rsidRDefault="00410D07">
            <w:pPr>
              <w:ind w:left="260"/>
              <w:rPr>
                <w:sz w:val="20"/>
                <w:szCs w:val="20"/>
              </w:rPr>
            </w:pPr>
            <w:r>
              <w:rPr>
                <w:rFonts w:ascii="Arial" w:eastAsia="Arial" w:hAnsi="Arial" w:cs="Arial"/>
                <w:sz w:val="18"/>
                <w:szCs w:val="18"/>
              </w:rPr>
              <w:t>6.2%</w:t>
            </w:r>
          </w:p>
        </w:tc>
      </w:tr>
    </w:tbl>
    <w:p w14:paraId="57F75877" w14:textId="77777777" w:rsidR="00D1587D" w:rsidRDefault="00410D07">
      <w:pPr>
        <w:spacing w:line="20" w:lineRule="exact"/>
        <w:rPr>
          <w:sz w:val="20"/>
          <w:szCs w:val="20"/>
        </w:rPr>
      </w:pPr>
      <w:r>
        <w:rPr>
          <w:noProof/>
          <w:sz w:val="20"/>
          <w:szCs w:val="20"/>
        </w:rPr>
        <w:drawing>
          <wp:anchor distT="0" distB="0" distL="114300" distR="114300" simplePos="0" relativeHeight="252091392" behindDoc="1" locked="0" layoutInCell="0" allowOverlap="1" wp14:anchorId="308C5CC4" wp14:editId="13CFAAAA">
            <wp:simplePos x="0" y="0"/>
            <wp:positionH relativeFrom="column">
              <wp:posOffset>5003165</wp:posOffset>
            </wp:positionH>
            <wp:positionV relativeFrom="paragraph">
              <wp:posOffset>-393700</wp:posOffset>
            </wp:positionV>
            <wp:extent cx="68580" cy="8255"/>
            <wp:effectExtent l="0" t="0" r="0" b="0"/>
            <wp:wrapNone/>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2092416" behindDoc="1" locked="0" layoutInCell="0" allowOverlap="1" wp14:anchorId="20D2FEF9" wp14:editId="598C474F">
            <wp:simplePos x="0" y="0"/>
            <wp:positionH relativeFrom="column">
              <wp:posOffset>4488815</wp:posOffset>
            </wp:positionH>
            <wp:positionV relativeFrom="paragraph">
              <wp:posOffset>-393700</wp:posOffset>
            </wp:positionV>
            <wp:extent cx="43180" cy="8255"/>
            <wp:effectExtent l="0" t="0" r="0" b="0"/>
            <wp:wrapNone/>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p>
    <w:p w14:paraId="4709BC33" w14:textId="77777777" w:rsidR="00D1587D" w:rsidRDefault="00D1587D">
      <w:pPr>
        <w:spacing w:line="128" w:lineRule="exact"/>
        <w:rPr>
          <w:sz w:val="20"/>
          <w:szCs w:val="20"/>
        </w:rPr>
      </w:pPr>
    </w:p>
    <w:p w14:paraId="5B85CABD" w14:textId="77777777" w:rsidR="00D1587D" w:rsidRDefault="00410D07">
      <w:pPr>
        <w:spacing w:line="263" w:lineRule="auto"/>
        <w:ind w:left="300" w:right="399" w:firstLine="360"/>
        <w:rPr>
          <w:sz w:val="20"/>
          <w:szCs w:val="20"/>
        </w:rPr>
      </w:pPr>
      <w:r>
        <w:rPr>
          <w:rFonts w:ascii="Arial" w:eastAsia="Arial" w:hAnsi="Arial" w:cs="Arial"/>
          <w:sz w:val="18"/>
          <w:szCs w:val="18"/>
        </w:rPr>
        <w:t xml:space="preserve">During 2020 and 2019, the Company paid $348 million and $511 million, respectively, for </w:t>
      </w:r>
      <w:r>
        <w:rPr>
          <w:rFonts w:ascii="Arial" w:eastAsia="Arial" w:hAnsi="Arial" w:cs="Arial"/>
          <w:sz w:val="18"/>
          <w:szCs w:val="18"/>
        </w:rPr>
        <w:t>operating lease liabilities recorded on the balance sheet. These payments are included within the Operating Activities section of the Combined Statements of Cash Flows.</w:t>
      </w:r>
    </w:p>
    <w:p w14:paraId="36BFA92D" w14:textId="77777777" w:rsidR="00D1587D" w:rsidRDefault="00D1587D">
      <w:pPr>
        <w:spacing w:line="76" w:lineRule="exact"/>
        <w:rPr>
          <w:sz w:val="20"/>
          <w:szCs w:val="20"/>
        </w:rPr>
      </w:pPr>
    </w:p>
    <w:p w14:paraId="71C9E821" w14:textId="77777777" w:rsidR="00D1587D" w:rsidRDefault="00410D07">
      <w:pPr>
        <w:spacing w:line="311" w:lineRule="auto"/>
        <w:ind w:left="300" w:right="319" w:firstLine="360"/>
        <w:rPr>
          <w:sz w:val="20"/>
          <w:szCs w:val="20"/>
        </w:rPr>
      </w:pPr>
      <w:r>
        <w:rPr>
          <w:rFonts w:ascii="Arial" w:eastAsia="Arial" w:hAnsi="Arial" w:cs="Arial"/>
          <w:sz w:val="16"/>
          <w:szCs w:val="16"/>
        </w:rPr>
        <w:t>During 2020, the Company reduced its lease assets by $32 million as a result of perman</w:t>
      </w:r>
      <w:r>
        <w:rPr>
          <w:rFonts w:ascii="Arial" w:eastAsia="Arial" w:hAnsi="Arial" w:cs="Arial"/>
          <w:sz w:val="16"/>
          <w:szCs w:val="16"/>
        </w:rPr>
        <w:t>ent store closures due to the fleet rationalization and lease term reductions that also reduced its operating lease obligations. During 2019, the Company obtained $114 million of additional lease assets as a result of new operating lease obligations.</w:t>
      </w:r>
    </w:p>
    <w:p w14:paraId="69DB3073" w14:textId="77777777" w:rsidR="00D1587D" w:rsidRDefault="00D1587D">
      <w:pPr>
        <w:spacing w:line="176" w:lineRule="exact"/>
        <w:rPr>
          <w:sz w:val="20"/>
          <w:szCs w:val="20"/>
        </w:rPr>
      </w:pPr>
    </w:p>
    <w:p w14:paraId="18DE8C5D" w14:textId="77777777" w:rsidR="00D1587D" w:rsidRDefault="00410D07">
      <w:pPr>
        <w:ind w:left="300"/>
        <w:rPr>
          <w:sz w:val="20"/>
          <w:szCs w:val="20"/>
        </w:rPr>
      </w:pPr>
      <w:r>
        <w:rPr>
          <w:rFonts w:ascii="Arial" w:eastAsia="Arial" w:hAnsi="Arial" w:cs="Arial"/>
          <w:b/>
          <w:bCs/>
          <w:i/>
          <w:iCs/>
          <w:sz w:val="18"/>
          <w:szCs w:val="18"/>
        </w:rPr>
        <w:t>Vict</w:t>
      </w:r>
      <w:r>
        <w:rPr>
          <w:rFonts w:ascii="Arial" w:eastAsia="Arial" w:hAnsi="Arial" w:cs="Arial"/>
          <w:b/>
          <w:bCs/>
          <w:i/>
          <w:iCs/>
          <w:sz w:val="18"/>
          <w:szCs w:val="18"/>
        </w:rPr>
        <w:t>oria’s Secret Hong Kong</w:t>
      </w:r>
    </w:p>
    <w:p w14:paraId="2CBB846F" w14:textId="77777777" w:rsidR="00D1587D" w:rsidRDefault="00D1587D">
      <w:pPr>
        <w:spacing w:line="117" w:lineRule="exact"/>
        <w:rPr>
          <w:sz w:val="20"/>
          <w:szCs w:val="20"/>
        </w:rPr>
      </w:pPr>
    </w:p>
    <w:p w14:paraId="30D45617" w14:textId="77777777" w:rsidR="00D1587D" w:rsidRDefault="00410D07">
      <w:pPr>
        <w:spacing w:line="254" w:lineRule="auto"/>
        <w:ind w:left="300" w:right="339" w:firstLine="360"/>
        <w:rPr>
          <w:sz w:val="20"/>
          <w:szCs w:val="20"/>
        </w:rPr>
      </w:pPr>
      <w:r>
        <w:rPr>
          <w:rFonts w:ascii="Arial" w:eastAsia="Arial" w:hAnsi="Arial" w:cs="Arial"/>
          <w:sz w:val="18"/>
          <w:szCs w:val="18"/>
        </w:rPr>
        <w:t>In 2020, the Company closed its unprofitable Victoria’s Secret flagship store in Hong Kong. As a result of the store closure, the Company recognized a non-cash pre-tax gain of $39 million, primarily due to terminating the store lea</w:t>
      </w:r>
      <w:r>
        <w:rPr>
          <w:rFonts w:ascii="Arial" w:eastAsia="Arial" w:hAnsi="Arial" w:cs="Arial"/>
          <w:sz w:val="18"/>
          <w:szCs w:val="18"/>
        </w:rPr>
        <w:t>se and the related write-off of the operating lease liability in excess of the operating lease asset, which was partially impaired in 2019. This gain is included in Costs of Goods Sold, Buying and Occupancy in the 2020 Combined Statement of Loss. The Compa</w:t>
      </w:r>
      <w:r>
        <w:rPr>
          <w:rFonts w:ascii="Arial" w:eastAsia="Arial" w:hAnsi="Arial" w:cs="Arial"/>
          <w:sz w:val="18"/>
          <w:szCs w:val="18"/>
        </w:rPr>
        <w:t>ny also recorded $3 million of severance and related costs associated with the closure, which are included in General, Administrative and Store Operating Expenses in the 2020 Combined Statement of Loss.</w:t>
      </w:r>
    </w:p>
    <w:p w14:paraId="5CF779EF" w14:textId="77777777" w:rsidR="00D1587D" w:rsidRDefault="00D1587D">
      <w:pPr>
        <w:spacing w:line="222" w:lineRule="exact"/>
        <w:rPr>
          <w:sz w:val="20"/>
          <w:szCs w:val="20"/>
        </w:rPr>
      </w:pPr>
    </w:p>
    <w:p w14:paraId="1D0DADE7" w14:textId="77777777" w:rsidR="00D1587D" w:rsidRDefault="00410D07">
      <w:pPr>
        <w:ind w:left="300"/>
        <w:rPr>
          <w:sz w:val="20"/>
          <w:szCs w:val="20"/>
        </w:rPr>
      </w:pPr>
      <w:r>
        <w:rPr>
          <w:rFonts w:ascii="Arial" w:eastAsia="Arial" w:hAnsi="Arial" w:cs="Arial"/>
          <w:b/>
          <w:bCs/>
          <w:i/>
          <w:iCs/>
          <w:sz w:val="18"/>
          <w:szCs w:val="18"/>
        </w:rPr>
        <w:t>Asset Retirement Obligations</w:t>
      </w:r>
    </w:p>
    <w:p w14:paraId="30D535DC" w14:textId="77777777" w:rsidR="00D1587D" w:rsidRDefault="00D1587D">
      <w:pPr>
        <w:spacing w:line="117" w:lineRule="exact"/>
        <w:rPr>
          <w:sz w:val="20"/>
          <w:szCs w:val="20"/>
        </w:rPr>
      </w:pPr>
    </w:p>
    <w:p w14:paraId="7E800293" w14:textId="77777777" w:rsidR="00D1587D" w:rsidRDefault="00410D07">
      <w:pPr>
        <w:spacing w:line="301" w:lineRule="auto"/>
        <w:ind w:left="300" w:right="339" w:firstLine="360"/>
        <w:rPr>
          <w:sz w:val="20"/>
          <w:szCs w:val="20"/>
        </w:rPr>
      </w:pPr>
      <w:r>
        <w:rPr>
          <w:rFonts w:ascii="Arial" w:eastAsia="Arial" w:hAnsi="Arial" w:cs="Arial"/>
          <w:sz w:val="16"/>
          <w:szCs w:val="16"/>
        </w:rPr>
        <w:t xml:space="preserve">The Company has </w:t>
      </w:r>
      <w:r>
        <w:rPr>
          <w:rFonts w:ascii="Arial" w:eastAsia="Arial" w:hAnsi="Arial" w:cs="Arial"/>
          <w:sz w:val="16"/>
          <w:szCs w:val="16"/>
        </w:rPr>
        <w:t>asset retirement obligations related to certain company-operated international stores that contractually obligate the Company to remove leasehold improvements at the end of a lease. The Company’s liabilities for asset retirement obligations totaled $11 mil</w:t>
      </w:r>
      <w:r>
        <w:rPr>
          <w:rFonts w:ascii="Arial" w:eastAsia="Arial" w:hAnsi="Arial" w:cs="Arial"/>
          <w:sz w:val="16"/>
          <w:szCs w:val="16"/>
        </w:rPr>
        <w:t>lion and $22 million as of January 30, 2021 and February 1, 2020, respectively. These liabilities are included in Other Long-term Liabilities on the Combined Balance Sheets.</w:t>
      </w:r>
    </w:p>
    <w:p w14:paraId="0FEFB073" w14:textId="77777777" w:rsidR="00D1587D" w:rsidRDefault="00D1587D">
      <w:pPr>
        <w:spacing w:line="184" w:lineRule="exact"/>
        <w:rPr>
          <w:sz w:val="20"/>
          <w:szCs w:val="20"/>
        </w:rPr>
      </w:pPr>
    </w:p>
    <w:p w14:paraId="7950E6BE" w14:textId="77777777" w:rsidR="00D1587D" w:rsidRDefault="00410D07">
      <w:pPr>
        <w:ind w:left="300"/>
        <w:rPr>
          <w:sz w:val="20"/>
          <w:szCs w:val="20"/>
        </w:rPr>
      </w:pPr>
      <w:r>
        <w:rPr>
          <w:rFonts w:ascii="Arial" w:eastAsia="Arial" w:hAnsi="Arial" w:cs="Arial"/>
          <w:b/>
          <w:bCs/>
          <w:i/>
          <w:iCs/>
          <w:sz w:val="18"/>
          <w:szCs w:val="18"/>
        </w:rPr>
        <w:t>Disclosures for 2018</w:t>
      </w:r>
    </w:p>
    <w:p w14:paraId="2FB1055B" w14:textId="77777777" w:rsidR="00D1587D" w:rsidRDefault="00D1587D">
      <w:pPr>
        <w:spacing w:line="144" w:lineRule="exact"/>
        <w:rPr>
          <w:sz w:val="20"/>
          <w:szCs w:val="20"/>
        </w:rPr>
      </w:pPr>
    </w:p>
    <w:p w14:paraId="35273120" w14:textId="77777777" w:rsidR="00D1587D" w:rsidRDefault="00410D07">
      <w:pPr>
        <w:ind w:left="660"/>
        <w:rPr>
          <w:sz w:val="20"/>
          <w:szCs w:val="20"/>
        </w:rPr>
      </w:pPr>
      <w:r>
        <w:rPr>
          <w:rFonts w:ascii="Arial" w:eastAsia="Arial" w:hAnsi="Arial" w:cs="Arial"/>
          <w:sz w:val="17"/>
          <w:szCs w:val="17"/>
        </w:rPr>
        <w:t>The following table provides rent expense, as presented und</w:t>
      </w:r>
      <w:r>
        <w:rPr>
          <w:rFonts w:ascii="Arial" w:eastAsia="Arial" w:hAnsi="Arial" w:cs="Arial"/>
          <w:sz w:val="17"/>
          <w:szCs w:val="17"/>
        </w:rPr>
        <w:t>er the prior accounting standard, for 2018:</w:t>
      </w:r>
    </w:p>
    <w:p w14:paraId="3B9473E3" w14:textId="77777777" w:rsidR="00D1587D" w:rsidRDefault="00D1587D">
      <w:pPr>
        <w:spacing w:line="188"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520"/>
        <w:gridCol w:w="160"/>
        <w:gridCol w:w="740"/>
      </w:tblGrid>
      <w:tr w:rsidR="00D1587D" w14:paraId="2EE39EDD" w14:textId="77777777">
        <w:trPr>
          <w:trHeight w:val="186"/>
        </w:trPr>
        <w:tc>
          <w:tcPr>
            <w:tcW w:w="7520" w:type="dxa"/>
            <w:vAlign w:val="bottom"/>
          </w:tcPr>
          <w:p w14:paraId="492EAE72" w14:textId="77777777" w:rsidR="00D1587D" w:rsidRDefault="00D1587D">
            <w:pPr>
              <w:rPr>
                <w:sz w:val="16"/>
                <w:szCs w:val="16"/>
              </w:rPr>
            </w:pPr>
          </w:p>
        </w:tc>
        <w:tc>
          <w:tcPr>
            <w:tcW w:w="160" w:type="dxa"/>
            <w:vAlign w:val="bottom"/>
          </w:tcPr>
          <w:p w14:paraId="1EE7233B" w14:textId="77777777" w:rsidR="00D1587D" w:rsidRDefault="00D1587D">
            <w:pPr>
              <w:rPr>
                <w:sz w:val="16"/>
                <w:szCs w:val="16"/>
              </w:rPr>
            </w:pPr>
          </w:p>
        </w:tc>
        <w:tc>
          <w:tcPr>
            <w:tcW w:w="740" w:type="dxa"/>
            <w:vAlign w:val="bottom"/>
          </w:tcPr>
          <w:p w14:paraId="243F63C7" w14:textId="77777777" w:rsidR="00D1587D" w:rsidRDefault="00410D07">
            <w:pPr>
              <w:ind w:right="155"/>
              <w:jc w:val="right"/>
              <w:rPr>
                <w:sz w:val="20"/>
                <w:szCs w:val="20"/>
              </w:rPr>
            </w:pPr>
            <w:r>
              <w:rPr>
                <w:rFonts w:ascii="Arial" w:eastAsia="Arial" w:hAnsi="Arial" w:cs="Arial"/>
                <w:b/>
                <w:bCs/>
                <w:sz w:val="14"/>
                <w:szCs w:val="14"/>
              </w:rPr>
              <w:t>2018</w:t>
            </w:r>
          </w:p>
        </w:tc>
      </w:tr>
      <w:tr w:rsidR="00D1587D" w14:paraId="2A3F376D" w14:textId="77777777">
        <w:trPr>
          <w:trHeight w:val="53"/>
        </w:trPr>
        <w:tc>
          <w:tcPr>
            <w:tcW w:w="7520" w:type="dxa"/>
            <w:vAlign w:val="bottom"/>
          </w:tcPr>
          <w:p w14:paraId="6D524864" w14:textId="77777777" w:rsidR="00D1587D" w:rsidRDefault="00D1587D">
            <w:pPr>
              <w:rPr>
                <w:sz w:val="4"/>
                <w:szCs w:val="4"/>
              </w:rPr>
            </w:pPr>
          </w:p>
        </w:tc>
        <w:tc>
          <w:tcPr>
            <w:tcW w:w="160" w:type="dxa"/>
            <w:vAlign w:val="bottom"/>
          </w:tcPr>
          <w:p w14:paraId="08B028CE" w14:textId="77777777" w:rsidR="00D1587D" w:rsidRDefault="00D1587D">
            <w:pPr>
              <w:rPr>
                <w:sz w:val="4"/>
                <w:szCs w:val="4"/>
              </w:rPr>
            </w:pPr>
          </w:p>
        </w:tc>
        <w:tc>
          <w:tcPr>
            <w:tcW w:w="740" w:type="dxa"/>
            <w:tcBorders>
              <w:bottom w:val="single" w:sz="8" w:space="0" w:color="auto"/>
            </w:tcBorders>
            <w:vAlign w:val="bottom"/>
          </w:tcPr>
          <w:p w14:paraId="691A1FB4" w14:textId="77777777" w:rsidR="00D1587D" w:rsidRDefault="00D1587D">
            <w:pPr>
              <w:rPr>
                <w:sz w:val="4"/>
                <w:szCs w:val="4"/>
              </w:rPr>
            </w:pPr>
          </w:p>
        </w:tc>
      </w:tr>
      <w:tr w:rsidR="00D1587D" w14:paraId="64FBE254" w14:textId="77777777">
        <w:trPr>
          <w:trHeight w:val="225"/>
        </w:trPr>
        <w:tc>
          <w:tcPr>
            <w:tcW w:w="7520" w:type="dxa"/>
            <w:vAlign w:val="bottom"/>
          </w:tcPr>
          <w:p w14:paraId="563E0DD0" w14:textId="77777777" w:rsidR="00D1587D" w:rsidRDefault="00D1587D">
            <w:pPr>
              <w:rPr>
                <w:sz w:val="19"/>
                <w:szCs w:val="19"/>
              </w:rPr>
            </w:pPr>
          </w:p>
        </w:tc>
        <w:tc>
          <w:tcPr>
            <w:tcW w:w="160" w:type="dxa"/>
            <w:vAlign w:val="bottom"/>
          </w:tcPr>
          <w:p w14:paraId="25A4CDC4" w14:textId="77777777" w:rsidR="00D1587D" w:rsidRDefault="00D1587D">
            <w:pPr>
              <w:rPr>
                <w:sz w:val="19"/>
                <w:szCs w:val="19"/>
              </w:rPr>
            </w:pPr>
          </w:p>
        </w:tc>
        <w:tc>
          <w:tcPr>
            <w:tcW w:w="740" w:type="dxa"/>
            <w:vAlign w:val="bottom"/>
          </w:tcPr>
          <w:p w14:paraId="3E768C94" w14:textId="77777777" w:rsidR="00D1587D" w:rsidRDefault="00410D07">
            <w:pPr>
              <w:jc w:val="right"/>
              <w:rPr>
                <w:sz w:val="20"/>
                <w:szCs w:val="20"/>
              </w:rPr>
            </w:pPr>
            <w:r>
              <w:rPr>
                <w:rFonts w:ascii="Arial" w:eastAsia="Arial" w:hAnsi="Arial" w:cs="Arial"/>
                <w:b/>
                <w:bCs/>
                <w:w w:val="91"/>
                <w:sz w:val="14"/>
                <w:szCs w:val="14"/>
              </w:rPr>
              <w:t>(in millions)</w:t>
            </w:r>
          </w:p>
        </w:tc>
      </w:tr>
      <w:tr w:rsidR="00D1587D" w14:paraId="42BE2FF8" w14:textId="77777777">
        <w:trPr>
          <w:trHeight w:val="52"/>
        </w:trPr>
        <w:tc>
          <w:tcPr>
            <w:tcW w:w="7520" w:type="dxa"/>
            <w:vAlign w:val="bottom"/>
          </w:tcPr>
          <w:p w14:paraId="2E26A52E" w14:textId="77777777" w:rsidR="00D1587D" w:rsidRDefault="00D1587D">
            <w:pPr>
              <w:rPr>
                <w:sz w:val="4"/>
                <w:szCs w:val="4"/>
              </w:rPr>
            </w:pPr>
          </w:p>
        </w:tc>
        <w:tc>
          <w:tcPr>
            <w:tcW w:w="160" w:type="dxa"/>
            <w:vAlign w:val="bottom"/>
          </w:tcPr>
          <w:p w14:paraId="1B9BA86F" w14:textId="77777777" w:rsidR="00D1587D" w:rsidRDefault="00D1587D">
            <w:pPr>
              <w:rPr>
                <w:sz w:val="4"/>
                <w:szCs w:val="4"/>
              </w:rPr>
            </w:pPr>
          </w:p>
        </w:tc>
        <w:tc>
          <w:tcPr>
            <w:tcW w:w="740" w:type="dxa"/>
            <w:vAlign w:val="bottom"/>
          </w:tcPr>
          <w:p w14:paraId="3D99722E" w14:textId="77777777" w:rsidR="00D1587D" w:rsidRDefault="00D1587D">
            <w:pPr>
              <w:rPr>
                <w:sz w:val="4"/>
                <w:szCs w:val="4"/>
              </w:rPr>
            </w:pPr>
          </w:p>
        </w:tc>
      </w:tr>
      <w:tr w:rsidR="00D1587D" w14:paraId="024C326F" w14:textId="77777777">
        <w:trPr>
          <w:trHeight w:val="318"/>
        </w:trPr>
        <w:tc>
          <w:tcPr>
            <w:tcW w:w="7680" w:type="dxa"/>
            <w:gridSpan w:val="2"/>
            <w:tcBorders>
              <w:bottom w:val="single" w:sz="8" w:space="0" w:color="CCEEFF"/>
            </w:tcBorders>
            <w:shd w:val="clear" w:color="auto" w:fill="CCEEFF"/>
            <w:vAlign w:val="bottom"/>
          </w:tcPr>
          <w:p w14:paraId="15430E18" w14:textId="77777777" w:rsidR="00D1587D" w:rsidRDefault="00410D07">
            <w:pPr>
              <w:rPr>
                <w:sz w:val="20"/>
                <w:szCs w:val="20"/>
              </w:rPr>
            </w:pPr>
            <w:r>
              <w:rPr>
                <w:rFonts w:ascii="Arial" w:eastAsia="Arial" w:hAnsi="Arial" w:cs="Arial"/>
                <w:b/>
                <w:bCs/>
                <w:sz w:val="18"/>
                <w:szCs w:val="18"/>
              </w:rPr>
              <w:t>Store Rent:</w:t>
            </w:r>
          </w:p>
        </w:tc>
        <w:tc>
          <w:tcPr>
            <w:tcW w:w="740" w:type="dxa"/>
            <w:tcBorders>
              <w:bottom w:val="single" w:sz="8" w:space="0" w:color="CCEEFF"/>
            </w:tcBorders>
            <w:shd w:val="clear" w:color="auto" w:fill="CCEEFF"/>
            <w:vAlign w:val="bottom"/>
          </w:tcPr>
          <w:p w14:paraId="48806FC2" w14:textId="77777777" w:rsidR="00D1587D" w:rsidRDefault="00D1587D">
            <w:pPr>
              <w:rPr>
                <w:sz w:val="24"/>
                <w:szCs w:val="24"/>
              </w:rPr>
            </w:pPr>
          </w:p>
        </w:tc>
      </w:tr>
      <w:tr w:rsidR="00D1587D" w14:paraId="379EF44F" w14:textId="77777777">
        <w:trPr>
          <w:trHeight w:val="270"/>
        </w:trPr>
        <w:tc>
          <w:tcPr>
            <w:tcW w:w="7680" w:type="dxa"/>
            <w:gridSpan w:val="2"/>
            <w:vAlign w:val="bottom"/>
          </w:tcPr>
          <w:p w14:paraId="40376E58" w14:textId="77777777" w:rsidR="00D1587D" w:rsidRDefault="00410D07">
            <w:pPr>
              <w:ind w:left="180"/>
              <w:rPr>
                <w:sz w:val="20"/>
                <w:szCs w:val="20"/>
              </w:rPr>
            </w:pPr>
            <w:r>
              <w:rPr>
                <w:rFonts w:ascii="Arial" w:eastAsia="Arial" w:hAnsi="Arial" w:cs="Arial"/>
                <w:sz w:val="18"/>
                <w:szCs w:val="18"/>
              </w:rPr>
              <w:t>Fixed Minimum</w:t>
            </w:r>
          </w:p>
        </w:tc>
        <w:tc>
          <w:tcPr>
            <w:tcW w:w="740" w:type="dxa"/>
            <w:vAlign w:val="bottom"/>
          </w:tcPr>
          <w:p w14:paraId="2990EB48" w14:textId="77777777" w:rsidR="00D1587D" w:rsidRDefault="00410D07">
            <w:pPr>
              <w:ind w:right="115"/>
              <w:jc w:val="right"/>
              <w:rPr>
                <w:sz w:val="20"/>
                <w:szCs w:val="20"/>
              </w:rPr>
            </w:pPr>
            <w:r>
              <w:rPr>
                <w:rFonts w:ascii="Arial" w:eastAsia="Arial" w:hAnsi="Arial" w:cs="Arial"/>
                <w:sz w:val="18"/>
                <w:szCs w:val="18"/>
              </w:rPr>
              <w:t>$473</w:t>
            </w:r>
          </w:p>
        </w:tc>
      </w:tr>
      <w:tr w:rsidR="00D1587D" w14:paraId="3795758F" w14:textId="77777777">
        <w:trPr>
          <w:trHeight w:val="54"/>
        </w:trPr>
        <w:tc>
          <w:tcPr>
            <w:tcW w:w="7520" w:type="dxa"/>
            <w:vAlign w:val="bottom"/>
          </w:tcPr>
          <w:p w14:paraId="680F5BA8" w14:textId="77777777" w:rsidR="00D1587D" w:rsidRDefault="00D1587D">
            <w:pPr>
              <w:rPr>
                <w:sz w:val="4"/>
                <w:szCs w:val="4"/>
              </w:rPr>
            </w:pPr>
          </w:p>
        </w:tc>
        <w:tc>
          <w:tcPr>
            <w:tcW w:w="160" w:type="dxa"/>
            <w:vAlign w:val="bottom"/>
          </w:tcPr>
          <w:p w14:paraId="303C1785" w14:textId="77777777" w:rsidR="00D1587D" w:rsidRDefault="00D1587D">
            <w:pPr>
              <w:rPr>
                <w:sz w:val="4"/>
                <w:szCs w:val="4"/>
              </w:rPr>
            </w:pPr>
          </w:p>
        </w:tc>
        <w:tc>
          <w:tcPr>
            <w:tcW w:w="740" w:type="dxa"/>
            <w:vAlign w:val="bottom"/>
          </w:tcPr>
          <w:p w14:paraId="0C5F1AD8" w14:textId="77777777" w:rsidR="00D1587D" w:rsidRDefault="00D1587D">
            <w:pPr>
              <w:rPr>
                <w:sz w:val="4"/>
                <w:szCs w:val="4"/>
              </w:rPr>
            </w:pPr>
          </w:p>
        </w:tc>
      </w:tr>
      <w:tr w:rsidR="00D1587D" w14:paraId="5A67B878" w14:textId="77777777">
        <w:trPr>
          <w:trHeight w:val="270"/>
        </w:trPr>
        <w:tc>
          <w:tcPr>
            <w:tcW w:w="7680" w:type="dxa"/>
            <w:gridSpan w:val="2"/>
            <w:shd w:val="clear" w:color="auto" w:fill="CCEEFF"/>
            <w:vAlign w:val="bottom"/>
          </w:tcPr>
          <w:p w14:paraId="7BCBC56A" w14:textId="77777777" w:rsidR="00D1587D" w:rsidRDefault="00410D07">
            <w:pPr>
              <w:ind w:left="180"/>
              <w:rPr>
                <w:sz w:val="20"/>
                <w:szCs w:val="20"/>
              </w:rPr>
            </w:pPr>
            <w:r>
              <w:rPr>
                <w:rFonts w:ascii="Arial" w:eastAsia="Arial" w:hAnsi="Arial" w:cs="Arial"/>
                <w:sz w:val="18"/>
                <w:szCs w:val="18"/>
              </w:rPr>
              <w:t>Contingent</w:t>
            </w:r>
          </w:p>
        </w:tc>
        <w:tc>
          <w:tcPr>
            <w:tcW w:w="740" w:type="dxa"/>
            <w:shd w:val="clear" w:color="auto" w:fill="CCEEFF"/>
            <w:vAlign w:val="bottom"/>
          </w:tcPr>
          <w:p w14:paraId="536164E0" w14:textId="77777777" w:rsidR="00D1587D" w:rsidRDefault="00410D07">
            <w:pPr>
              <w:ind w:right="115"/>
              <w:jc w:val="right"/>
              <w:rPr>
                <w:sz w:val="20"/>
                <w:szCs w:val="20"/>
              </w:rPr>
            </w:pPr>
            <w:r>
              <w:rPr>
                <w:rFonts w:ascii="Arial" w:eastAsia="Arial" w:hAnsi="Arial" w:cs="Arial"/>
                <w:sz w:val="18"/>
                <w:szCs w:val="18"/>
              </w:rPr>
              <w:t>36</w:t>
            </w:r>
          </w:p>
        </w:tc>
      </w:tr>
      <w:tr w:rsidR="00D1587D" w14:paraId="02CAD465" w14:textId="77777777">
        <w:trPr>
          <w:trHeight w:val="68"/>
        </w:trPr>
        <w:tc>
          <w:tcPr>
            <w:tcW w:w="7520" w:type="dxa"/>
            <w:shd w:val="clear" w:color="auto" w:fill="CCEEFF"/>
            <w:vAlign w:val="bottom"/>
          </w:tcPr>
          <w:p w14:paraId="581CBE4A" w14:textId="77777777" w:rsidR="00D1587D" w:rsidRDefault="00D1587D">
            <w:pPr>
              <w:rPr>
                <w:sz w:val="5"/>
                <w:szCs w:val="5"/>
              </w:rPr>
            </w:pPr>
          </w:p>
        </w:tc>
        <w:tc>
          <w:tcPr>
            <w:tcW w:w="160" w:type="dxa"/>
            <w:tcBorders>
              <w:bottom w:val="single" w:sz="8" w:space="0" w:color="CCEEFF"/>
            </w:tcBorders>
            <w:shd w:val="clear" w:color="auto" w:fill="CCEEFF"/>
            <w:vAlign w:val="bottom"/>
          </w:tcPr>
          <w:p w14:paraId="61BD0FE5" w14:textId="77777777" w:rsidR="00D1587D" w:rsidRDefault="00D1587D">
            <w:pPr>
              <w:rPr>
                <w:sz w:val="5"/>
                <w:szCs w:val="5"/>
              </w:rPr>
            </w:pPr>
          </w:p>
        </w:tc>
        <w:tc>
          <w:tcPr>
            <w:tcW w:w="740" w:type="dxa"/>
            <w:tcBorders>
              <w:bottom w:val="single" w:sz="8" w:space="0" w:color="auto"/>
            </w:tcBorders>
            <w:shd w:val="clear" w:color="auto" w:fill="CCEEFF"/>
            <w:vAlign w:val="bottom"/>
          </w:tcPr>
          <w:p w14:paraId="2D17BD6D" w14:textId="77777777" w:rsidR="00D1587D" w:rsidRDefault="00D1587D">
            <w:pPr>
              <w:rPr>
                <w:sz w:val="5"/>
                <w:szCs w:val="5"/>
              </w:rPr>
            </w:pPr>
          </w:p>
        </w:tc>
      </w:tr>
      <w:tr w:rsidR="00D1587D" w14:paraId="4F7221D7" w14:textId="77777777">
        <w:trPr>
          <w:trHeight w:val="277"/>
        </w:trPr>
        <w:tc>
          <w:tcPr>
            <w:tcW w:w="7680" w:type="dxa"/>
            <w:gridSpan w:val="2"/>
            <w:vAlign w:val="bottom"/>
          </w:tcPr>
          <w:p w14:paraId="3A42D958" w14:textId="77777777" w:rsidR="00D1587D" w:rsidRDefault="00410D07">
            <w:pPr>
              <w:rPr>
                <w:sz w:val="20"/>
                <w:szCs w:val="20"/>
              </w:rPr>
            </w:pPr>
            <w:r>
              <w:rPr>
                <w:rFonts w:ascii="Arial" w:eastAsia="Arial" w:hAnsi="Arial" w:cs="Arial"/>
                <w:sz w:val="18"/>
                <w:szCs w:val="18"/>
              </w:rPr>
              <w:t>Total Store Rent</w:t>
            </w:r>
          </w:p>
        </w:tc>
        <w:tc>
          <w:tcPr>
            <w:tcW w:w="740" w:type="dxa"/>
            <w:vAlign w:val="bottom"/>
          </w:tcPr>
          <w:p w14:paraId="3198D6B8" w14:textId="77777777" w:rsidR="00D1587D" w:rsidRDefault="00410D07">
            <w:pPr>
              <w:ind w:right="115"/>
              <w:jc w:val="right"/>
              <w:rPr>
                <w:sz w:val="20"/>
                <w:szCs w:val="20"/>
              </w:rPr>
            </w:pPr>
            <w:r>
              <w:rPr>
                <w:rFonts w:ascii="Arial" w:eastAsia="Arial" w:hAnsi="Arial" w:cs="Arial"/>
                <w:sz w:val="18"/>
                <w:szCs w:val="18"/>
              </w:rPr>
              <w:t>509</w:t>
            </w:r>
          </w:p>
        </w:tc>
      </w:tr>
      <w:tr w:rsidR="00D1587D" w14:paraId="72F24B2D" w14:textId="77777777">
        <w:trPr>
          <w:trHeight w:val="54"/>
        </w:trPr>
        <w:tc>
          <w:tcPr>
            <w:tcW w:w="7520" w:type="dxa"/>
            <w:vAlign w:val="bottom"/>
          </w:tcPr>
          <w:p w14:paraId="68891C81" w14:textId="77777777" w:rsidR="00D1587D" w:rsidRDefault="00D1587D">
            <w:pPr>
              <w:rPr>
                <w:sz w:val="4"/>
                <w:szCs w:val="4"/>
              </w:rPr>
            </w:pPr>
          </w:p>
        </w:tc>
        <w:tc>
          <w:tcPr>
            <w:tcW w:w="160" w:type="dxa"/>
            <w:vAlign w:val="bottom"/>
          </w:tcPr>
          <w:p w14:paraId="6F17742D" w14:textId="77777777" w:rsidR="00D1587D" w:rsidRDefault="00D1587D">
            <w:pPr>
              <w:rPr>
                <w:sz w:val="4"/>
                <w:szCs w:val="4"/>
              </w:rPr>
            </w:pPr>
          </w:p>
        </w:tc>
        <w:tc>
          <w:tcPr>
            <w:tcW w:w="740" w:type="dxa"/>
            <w:vAlign w:val="bottom"/>
          </w:tcPr>
          <w:p w14:paraId="71D0D117" w14:textId="77777777" w:rsidR="00D1587D" w:rsidRDefault="00D1587D">
            <w:pPr>
              <w:rPr>
                <w:sz w:val="4"/>
                <w:szCs w:val="4"/>
              </w:rPr>
            </w:pPr>
          </w:p>
        </w:tc>
      </w:tr>
      <w:tr w:rsidR="00D1587D" w14:paraId="53A1E400" w14:textId="77777777">
        <w:trPr>
          <w:trHeight w:val="270"/>
        </w:trPr>
        <w:tc>
          <w:tcPr>
            <w:tcW w:w="7680" w:type="dxa"/>
            <w:gridSpan w:val="2"/>
            <w:shd w:val="clear" w:color="auto" w:fill="CCEEFF"/>
            <w:vAlign w:val="bottom"/>
          </w:tcPr>
          <w:p w14:paraId="543AE5DF" w14:textId="77777777" w:rsidR="00D1587D" w:rsidRDefault="00410D07">
            <w:pPr>
              <w:rPr>
                <w:sz w:val="20"/>
                <w:szCs w:val="20"/>
              </w:rPr>
            </w:pPr>
            <w:r>
              <w:rPr>
                <w:rFonts w:ascii="Arial" w:eastAsia="Arial" w:hAnsi="Arial" w:cs="Arial"/>
                <w:sz w:val="18"/>
                <w:szCs w:val="18"/>
              </w:rPr>
              <w:t>Office, Equipment and Other</w:t>
            </w:r>
          </w:p>
        </w:tc>
        <w:tc>
          <w:tcPr>
            <w:tcW w:w="740" w:type="dxa"/>
            <w:shd w:val="clear" w:color="auto" w:fill="CCEEFF"/>
            <w:vAlign w:val="bottom"/>
          </w:tcPr>
          <w:p w14:paraId="729184D5" w14:textId="77777777" w:rsidR="00D1587D" w:rsidRDefault="00410D07">
            <w:pPr>
              <w:ind w:right="115"/>
              <w:jc w:val="right"/>
              <w:rPr>
                <w:sz w:val="20"/>
                <w:szCs w:val="20"/>
              </w:rPr>
            </w:pPr>
            <w:r>
              <w:rPr>
                <w:rFonts w:ascii="Arial" w:eastAsia="Arial" w:hAnsi="Arial" w:cs="Arial"/>
                <w:sz w:val="18"/>
                <w:szCs w:val="18"/>
              </w:rPr>
              <w:t>39</w:t>
            </w:r>
          </w:p>
        </w:tc>
      </w:tr>
      <w:tr w:rsidR="00D1587D" w14:paraId="4B3B0D85" w14:textId="77777777">
        <w:trPr>
          <w:trHeight w:val="67"/>
        </w:trPr>
        <w:tc>
          <w:tcPr>
            <w:tcW w:w="7520" w:type="dxa"/>
            <w:shd w:val="clear" w:color="auto" w:fill="CCEEFF"/>
            <w:vAlign w:val="bottom"/>
          </w:tcPr>
          <w:p w14:paraId="04B4C153" w14:textId="77777777" w:rsidR="00D1587D" w:rsidRDefault="00D1587D">
            <w:pPr>
              <w:rPr>
                <w:sz w:val="5"/>
                <w:szCs w:val="5"/>
              </w:rPr>
            </w:pPr>
          </w:p>
        </w:tc>
        <w:tc>
          <w:tcPr>
            <w:tcW w:w="160" w:type="dxa"/>
            <w:tcBorders>
              <w:bottom w:val="single" w:sz="8" w:space="0" w:color="CCEEFF"/>
            </w:tcBorders>
            <w:shd w:val="clear" w:color="auto" w:fill="CCEEFF"/>
            <w:vAlign w:val="bottom"/>
          </w:tcPr>
          <w:p w14:paraId="25694128" w14:textId="77777777" w:rsidR="00D1587D" w:rsidRDefault="00D1587D">
            <w:pPr>
              <w:rPr>
                <w:sz w:val="5"/>
                <w:szCs w:val="5"/>
              </w:rPr>
            </w:pPr>
          </w:p>
        </w:tc>
        <w:tc>
          <w:tcPr>
            <w:tcW w:w="740" w:type="dxa"/>
            <w:tcBorders>
              <w:bottom w:val="single" w:sz="8" w:space="0" w:color="auto"/>
            </w:tcBorders>
            <w:shd w:val="clear" w:color="auto" w:fill="CCEEFF"/>
            <w:vAlign w:val="bottom"/>
          </w:tcPr>
          <w:p w14:paraId="51F55141" w14:textId="77777777" w:rsidR="00D1587D" w:rsidRDefault="00D1587D">
            <w:pPr>
              <w:rPr>
                <w:sz w:val="5"/>
                <w:szCs w:val="5"/>
              </w:rPr>
            </w:pPr>
          </w:p>
        </w:tc>
      </w:tr>
      <w:tr w:rsidR="00D1587D" w14:paraId="147CDA67" w14:textId="77777777">
        <w:trPr>
          <w:trHeight w:val="304"/>
        </w:trPr>
        <w:tc>
          <w:tcPr>
            <w:tcW w:w="7680" w:type="dxa"/>
            <w:gridSpan w:val="2"/>
            <w:vAlign w:val="bottom"/>
          </w:tcPr>
          <w:p w14:paraId="3382782A" w14:textId="77777777" w:rsidR="00D1587D" w:rsidRDefault="00410D07">
            <w:pPr>
              <w:rPr>
                <w:sz w:val="20"/>
                <w:szCs w:val="20"/>
              </w:rPr>
            </w:pPr>
            <w:r>
              <w:rPr>
                <w:rFonts w:ascii="Arial" w:eastAsia="Arial" w:hAnsi="Arial" w:cs="Arial"/>
                <w:sz w:val="18"/>
                <w:szCs w:val="18"/>
              </w:rPr>
              <w:t>Total Rent Expense</w:t>
            </w:r>
          </w:p>
        </w:tc>
        <w:tc>
          <w:tcPr>
            <w:tcW w:w="740" w:type="dxa"/>
            <w:vAlign w:val="bottom"/>
          </w:tcPr>
          <w:p w14:paraId="2F48BCB9" w14:textId="77777777" w:rsidR="00D1587D" w:rsidRDefault="00410D07">
            <w:pPr>
              <w:ind w:right="115"/>
              <w:jc w:val="right"/>
              <w:rPr>
                <w:sz w:val="20"/>
                <w:szCs w:val="20"/>
              </w:rPr>
            </w:pPr>
            <w:r>
              <w:rPr>
                <w:rFonts w:ascii="Arial" w:eastAsia="Arial" w:hAnsi="Arial" w:cs="Arial"/>
                <w:sz w:val="18"/>
                <w:szCs w:val="18"/>
              </w:rPr>
              <w:t>$548</w:t>
            </w:r>
          </w:p>
        </w:tc>
      </w:tr>
      <w:tr w:rsidR="00D1587D" w14:paraId="0490129F" w14:textId="77777777">
        <w:trPr>
          <w:trHeight w:val="27"/>
        </w:trPr>
        <w:tc>
          <w:tcPr>
            <w:tcW w:w="7520" w:type="dxa"/>
            <w:vAlign w:val="bottom"/>
          </w:tcPr>
          <w:p w14:paraId="14D3690D" w14:textId="77777777" w:rsidR="00D1587D" w:rsidRDefault="00D1587D">
            <w:pPr>
              <w:rPr>
                <w:sz w:val="2"/>
                <w:szCs w:val="2"/>
              </w:rPr>
            </w:pPr>
          </w:p>
        </w:tc>
        <w:tc>
          <w:tcPr>
            <w:tcW w:w="160" w:type="dxa"/>
            <w:vAlign w:val="bottom"/>
          </w:tcPr>
          <w:p w14:paraId="0D71E414" w14:textId="77777777" w:rsidR="00D1587D" w:rsidRDefault="00D1587D">
            <w:pPr>
              <w:rPr>
                <w:sz w:val="2"/>
                <w:szCs w:val="2"/>
              </w:rPr>
            </w:pPr>
          </w:p>
        </w:tc>
        <w:tc>
          <w:tcPr>
            <w:tcW w:w="740" w:type="dxa"/>
            <w:tcBorders>
              <w:bottom w:val="single" w:sz="8" w:space="0" w:color="auto"/>
            </w:tcBorders>
            <w:vAlign w:val="bottom"/>
          </w:tcPr>
          <w:p w14:paraId="65478A43" w14:textId="77777777" w:rsidR="00D1587D" w:rsidRDefault="00D1587D">
            <w:pPr>
              <w:rPr>
                <w:sz w:val="2"/>
                <w:szCs w:val="2"/>
              </w:rPr>
            </w:pPr>
          </w:p>
        </w:tc>
      </w:tr>
      <w:tr w:rsidR="00D1587D" w14:paraId="45718381" w14:textId="77777777">
        <w:trPr>
          <w:trHeight w:val="21"/>
        </w:trPr>
        <w:tc>
          <w:tcPr>
            <w:tcW w:w="7520" w:type="dxa"/>
            <w:vAlign w:val="bottom"/>
          </w:tcPr>
          <w:p w14:paraId="26270EEB" w14:textId="77777777" w:rsidR="00D1587D" w:rsidRDefault="00D1587D">
            <w:pPr>
              <w:spacing w:line="20" w:lineRule="exact"/>
              <w:rPr>
                <w:sz w:val="1"/>
                <w:szCs w:val="1"/>
              </w:rPr>
            </w:pPr>
          </w:p>
        </w:tc>
        <w:tc>
          <w:tcPr>
            <w:tcW w:w="160" w:type="dxa"/>
            <w:vAlign w:val="bottom"/>
          </w:tcPr>
          <w:p w14:paraId="437406D7" w14:textId="77777777" w:rsidR="00D1587D" w:rsidRDefault="00D1587D">
            <w:pPr>
              <w:spacing w:line="20" w:lineRule="exact"/>
              <w:rPr>
                <w:sz w:val="1"/>
                <w:szCs w:val="1"/>
              </w:rPr>
            </w:pPr>
          </w:p>
        </w:tc>
        <w:tc>
          <w:tcPr>
            <w:tcW w:w="740" w:type="dxa"/>
            <w:tcBorders>
              <w:bottom w:val="single" w:sz="8" w:space="0" w:color="auto"/>
            </w:tcBorders>
            <w:vAlign w:val="bottom"/>
          </w:tcPr>
          <w:p w14:paraId="55374C28" w14:textId="77777777" w:rsidR="00D1587D" w:rsidRDefault="00D1587D">
            <w:pPr>
              <w:spacing w:line="20" w:lineRule="exact"/>
              <w:rPr>
                <w:sz w:val="1"/>
                <w:szCs w:val="1"/>
              </w:rPr>
            </w:pPr>
          </w:p>
        </w:tc>
      </w:tr>
    </w:tbl>
    <w:p w14:paraId="2ECED810" w14:textId="77777777" w:rsidR="00D1587D" w:rsidRDefault="00D1587D">
      <w:pPr>
        <w:spacing w:line="198" w:lineRule="exact"/>
        <w:rPr>
          <w:sz w:val="20"/>
          <w:szCs w:val="20"/>
        </w:rPr>
      </w:pPr>
    </w:p>
    <w:p w14:paraId="50439C61" w14:textId="77777777" w:rsidR="00D1587D" w:rsidRDefault="00410D07">
      <w:pPr>
        <w:ind w:left="300"/>
        <w:rPr>
          <w:sz w:val="20"/>
          <w:szCs w:val="20"/>
        </w:rPr>
      </w:pPr>
      <w:r>
        <w:rPr>
          <w:rFonts w:ascii="Arial" w:eastAsia="Arial" w:hAnsi="Arial" w:cs="Arial"/>
          <w:b/>
          <w:bCs/>
          <w:sz w:val="18"/>
          <w:szCs w:val="18"/>
        </w:rPr>
        <w:t xml:space="preserve">9. Goodwill and </w:t>
      </w:r>
      <w:r>
        <w:rPr>
          <w:rFonts w:ascii="Arial" w:eastAsia="Arial" w:hAnsi="Arial" w:cs="Arial"/>
          <w:b/>
          <w:bCs/>
          <w:sz w:val="18"/>
          <w:szCs w:val="18"/>
        </w:rPr>
        <w:t>Trade Name</w:t>
      </w:r>
    </w:p>
    <w:p w14:paraId="4CD3026A" w14:textId="77777777" w:rsidR="00D1587D" w:rsidRDefault="00D1587D">
      <w:pPr>
        <w:spacing w:line="135" w:lineRule="exact"/>
        <w:rPr>
          <w:sz w:val="20"/>
          <w:szCs w:val="20"/>
        </w:rPr>
      </w:pPr>
    </w:p>
    <w:p w14:paraId="561079CB" w14:textId="77777777" w:rsidR="00D1587D" w:rsidRDefault="00410D07">
      <w:pPr>
        <w:ind w:left="300"/>
        <w:rPr>
          <w:sz w:val="20"/>
          <w:szCs w:val="20"/>
        </w:rPr>
      </w:pPr>
      <w:r>
        <w:rPr>
          <w:rFonts w:ascii="Arial" w:eastAsia="Arial" w:hAnsi="Arial" w:cs="Arial"/>
          <w:b/>
          <w:bCs/>
          <w:i/>
          <w:iCs/>
          <w:sz w:val="18"/>
          <w:szCs w:val="18"/>
        </w:rPr>
        <w:t>Goodwill</w:t>
      </w:r>
    </w:p>
    <w:p w14:paraId="511D400E" w14:textId="77777777" w:rsidR="00D1587D" w:rsidRDefault="00D1587D">
      <w:pPr>
        <w:spacing w:line="117" w:lineRule="exact"/>
        <w:rPr>
          <w:sz w:val="20"/>
          <w:szCs w:val="20"/>
        </w:rPr>
      </w:pPr>
    </w:p>
    <w:p w14:paraId="6A2F34B9" w14:textId="77777777" w:rsidR="00D1587D" w:rsidRDefault="00410D07">
      <w:pPr>
        <w:spacing w:line="277" w:lineRule="auto"/>
        <w:ind w:left="300" w:right="659" w:firstLine="360"/>
        <w:rPr>
          <w:sz w:val="20"/>
          <w:szCs w:val="20"/>
        </w:rPr>
      </w:pPr>
      <w:r>
        <w:rPr>
          <w:rFonts w:ascii="Arial" w:eastAsia="Arial" w:hAnsi="Arial" w:cs="Arial"/>
          <w:sz w:val="18"/>
          <w:szCs w:val="18"/>
        </w:rPr>
        <w:t>The Company previously recorded goodwill related to its North America and Greater China reporting units resulting from business combinations and acquisitions.</w:t>
      </w:r>
    </w:p>
    <w:p w14:paraId="30067CAB" w14:textId="77777777" w:rsidR="00D1587D" w:rsidRDefault="00D1587D">
      <w:pPr>
        <w:spacing w:line="62" w:lineRule="exact"/>
        <w:rPr>
          <w:sz w:val="20"/>
          <w:szCs w:val="20"/>
        </w:rPr>
      </w:pPr>
    </w:p>
    <w:p w14:paraId="03E96F56" w14:textId="77777777" w:rsidR="00D1587D" w:rsidRDefault="00410D07">
      <w:pPr>
        <w:spacing w:line="342" w:lineRule="auto"/>
        <w:ind w:left="300" w:right="519" w:firstLine="360"/>
        <w:rPr>
          <w:sz w:val="20"/>
          <w:szCs w:val="20"/>
        </w:rPr>
      </w:pPr>
      <w:r>
        <w:rPr>
          <w:rFonts w:ascii="Arial" w:eastAsia="Arial" w:hAnsi="Arial" w:cs="Arial"/>
          <w:sz w:val="16"/>
          <w:szCs w:val="16"/>
        </w:rPr>
        <w:t xml:space="preserve">In 2019, as of the end of L Brands’ third quarter (November 2, </w:t>
      </w:r>
      <w:r>
        <w:rPr>
          <w:rFonts w:ascii="Arial" w:eastAsia="Arial" w:hAnsi="Arial" w:cs="Arial"/>
          <w:sz w:val="16"/>
          <w:szCs w:val="16"/>
        </w:rPr>
        <w:t>2019), the Company performed a quantitative interim impairment assessment over the North America and Greater China reporting units. An interim</w:t>
      </w:r>
    </w:p>
    <w:p w14:paraId="2D60E719" w14:textId="77777777" w:rsidR="00D1587D" w:rsidRDefault="00D1587D">
      <w:pPr>
        <w:spacing w:line="124" w:lineRule="exact"/>
        <w:rPr>
          <w:sz w:val="20"/>
          <w:szCs w:val="20"/>
        </w:rPr>
      </w:pPr>
    </w:p>
    <w:p w14:paraId="798E6E0A" w14:textId="77777777" w:rsidR="00D1587D" w:rsidRDefault="00410D07">
      <w:pPr>
        <w:jc w:val="center"/>
        <w:rPr>
          <w:sz w:val="20"/>
          <w:szCs w:val="20"/>
        </w:rPr>
      </w:pPr>
      <w:r>
        <w:rPr>
          <w:rFonts w:ascii="Arial" w:eastAsia="Arial" w:hAnsi="Arial" w:cs="Arial"/>
          <w:sz w:val="18"/>
          <w:szCs w:val="18"/>
        </w:rPr>
        <w:t>F-21</w:t>
      </w:r>
    </w:p>
    <w:p w14:paraId="68206C2B" w14:textId="77777777" w:rsidR="00D1587D" w:rsidRDefault="00410D07">
      <w:pPr>
        <w:spacing w:line="20" w:lineRule="exact"/>
        <w:rPr>
          <w:sz w:val="20"/>
          <w:szCs w:val="20"/>
        </w:rPr>
      </w:pPr>
      <w:r>
        <w:rPr>
          <w:noProof/>
          <w:sz w:val="20"/>
          <w:szCs w:val="20"/>
        </w:rPr>
        <w:drawing>
          <wp:anchor distT="0" distB="0" distL="114300" distR="114300" simplePos="0" relativeHeight="252093440" behindDoc="1" locked="0" layoutInCell="0" allowOverlap="1" wp14:anchorId="75988C05" wp14:editId="7840925A">
            <wp:simplePos x="0" y="0"/>
            <wp:positionH relativeFrom="column">
              <wp:posOffset>-636905</wp:posOffset>
            </wp:positionH>
            <wp:positionV relativeFrom="paragraph">
              <wp:posOffset>134620</wp:posOffset>
            </wp:positionV>
            <wp:extent cx="6995160" cy="17145"/>
            <wp:effectExtent l="0" t="0" r="0" b="0"/>
            <wp:wrapNone/>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EE2953F" w14:textId="77777777" w:rsidR="00D1587D" w:rsidRDefault="00D1587D">
      <w:pPr>
        <w:sectPr w:rsidR="00D1587D">
          <w:pgSz w:w="11900" w:h="16838"/>
          <w:pgMar w:top="265" w:right="1440" w:bottom="1440" w:left="1440" w:header="0" w:footer="0" w:gutter="0"/>
          <w:cols w:space="720" w:equalWidth="0">
            <w:col w:w="9019"/>
          </w:cols>
        </w:sectPr>
      </w:pPr>
    </w:p>
    <w:bookmarkStart w:id="417" w:name="page418"/>
    <w:bookmarkEnd w:id="417"/>
    <w:p w14:paraId="158473B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5592268" w14:textId="77777777" w:rsidR="00D1587D" w:rsidRDefault="00D1587D">
      <w:pPr>
        <w:spacing w:line="131" w:lineRule="exact"/>
        <w:rPr>
          <w:sz w:val="20"/>
          <w:szCs w:val="20"/>
        </w:rPr>
      </w:pPr>
    </w:p>
    <w:p w14:paraId="1789B637" w14:textId="77777777" w:rsidR="00D1587D" w:rsidRDefault="00410D07">
      <w:pPr>
        <w:spacing w:line="286" w:lineRule="auto"/>
        <w:ind w:left="300" w:right="399"/>
        <w:rPr>
          <w:sz w:val="20"/>
          <w:szCs w:val="20"/>
        </w:rPr>
      </w:pPr>
      <w:r>
        <w:rPr>
          <w:rFonts w:ascii="Arial" w:eastAsia="Arial" w:hAnsi="Arial" w:cs="Arial"/>
          <w:sz w:val="17"/>
          <w:szCs w:val="17"/>
        </w:rPr>
        <w:t xml:space="preserve">assessment was performed in </w:t>
      </w:r>
      <w:r>
        <w:rPr>
          <w:rFonts w:ascii="Arial" w:eastAsia="Arial" w:hAnsi="Arial" w:cs="Arial"/>
          <w:sz w:val="17"/>
          <w:szCs w:val="17"/>
        </w:rPr>
        <w:t>consideration of the negative performance of these reporting units and their impact on the sustained decline in the L Brands’ market capitalization. Further, for the Greater China reporting unit, the Company considered the results of the long-lived store a</w:t>
      </w:r>
      <w:r>
        <w:rPr>
          <w:rFonts w:ascii="Arial" w:eastAsia="Arial" w:hAnsi="Arial" w:cs="Arial"/>
          <w:sz w:val="17"/>
          <w:szCs w:val="17"/>
        </w:rPr>
        <w:t>sset impairment assessment.</w:t>
      </w:r>
    </w:p>
    <w:p w14:paraId="19202BEF" w14:textId="77777777" w:rsidR="00D1587D" w:rsidRDefault="00D1587D">
      <w:pPr>
        <w:spacing w:line="57" w:lineRule="exact"/>
        <w:rPr>
          <w:sz w:val="20"/>
          <w:szCs w:val="20"/>
        </w:rPr>
      </w:pPr>
    </w:p>
    <w:p w14:paraId="02421C09" w14:textId="77777777" w:rsidR="00D1587D" w:rsidRDefault="00410D07">
      <w:pPr>
        <w:spacing w:line="296" w:lineRule="auto"/>
        <w:ind w:left="300" w:right="299" w:firstLine="360"/>
        <w:rPr>
          <w:sz w:val="20"/>
          <w:szCs w:val="20"/>
        </w:rPr>
      </w:pPr>
      <w:r>
        <w:rPr>
          <w:rFonts w:ascii="Arial" w:eastAsia="Arial" w:hAnsi="Arial" w:cs="Arial"/>
          <w:sz w:val="16"/>
          <w:szCs w:val="16"/>
        </w:rPr>
        <w:t>The interim assessment concluded that the fair value of the North America reporting unit, which was based on a weighted average of the income and market approaches, exceeded its carrying value. However, the fair value of the Gr</w:t>
      </w:r>
      <w:r>
        <w:rPr>
          <w:rFonts w:ascii="Arial" w:eastAsia="Arial" w:hAnsi="Arial" w:cs="Arial"/>
          <w:sz w:val="16"/>
          <w:szCs w:val="16"/>
        </w:rPr>
        <w:t>eater China reporting unit, which was based on the income approach, did not exceed its carrying value. Accordingly, the Company recognized a goodwill impairment charge of $30 million in 2019 related to the Greater China reporting unit. This charge is inclu</w:t>
      </w:r>
      <w:r>
        <w:rPr>
          <w:rFonts w:ascii="Arial" w:eastAsia="Arial" w:hAnsi="Arial" w:cs="Arial"/>
          <w:sz w:val="16"/>
          <w:szCs w:val="16"/>
        </w:rPr>
        <w:t>ded in Impairment of Goodwill in the 2019 Combined Statement of Loss.</w:t>
      </w:r>
    </w:p>
    <w:p w14:paraId="3D3A3F31" w14:textId="77777777" w:rsidR="00D1587D" w:rsidRDefault="00D1587D">
      <w:pPr>
        <w:spacing w:line="53" w:lineRule="exact"/>
        <w:rPr>
          <w:sz w:val="20"/>
          <w:szCs w:val="20"/>
        </w:rPr>
      </w:pPr>
    </w:p>
    <w:p w14:paraId="7E96FDEF" w14:textId="77777777" w:rsidR="00D1587D" w:rsidRDefault="00410D07">
      <w:pPr>
        <w:spacing w:line="259" w:lineRule="auto"/>
        <w:ind w:left="300" w:right="459" w:firstLine="360"/>
        <w:rPr>
          <w:sz w:val="20"/>
          <w:szCs w:val="20"/>
        </w:rPr>
      </w:pPr>
      <w:r>
        <w:rPr>
          <w:rFonts w:ascii="Arial" w:eastAsia="Arial" w:hAnsi="Arial" w:cs="Arial"/>
          <w:sz w:val="18"/>
          <w:szCs w:val="18"/>
        </w:rPr>
        <w:t>As of the end of 2019, the Company completed its annual goodwill impairment assessment over the North America reporting unit. As a result of continued declines in business performance d</w:t>
      </w:r>
      <w:r>
        <w:rPr>
          <w:rFonts w:ascii="Arial" w:eastAsia="Arial" w:hAnsi="Arial" w:cs="Arial"/>
          <w:sz w:val="18"/>
          <w:szCs w:val="18"/>
        </w:rPr>
        <w:t>uring the Holiday season and increased risk, volatility and uncertainty related to the North America reporting unit, the estimated fair value of the reporting unit decreased as compared to the interim assessment.</w:t>
      </w:r>
    </w:p>
    <w:p w14:paraId="0198C771" w14:textId="77777777" w:rsidR="00D1587D" w:rsidRDefault="00D1587D">
      <w:pPr>
        <w:spacing w:line="79" w:lineRule="exact"/>
        <w:rPr>
          <w:sz w:val="20"/>
          <w:szCs w:val="20"/>
        </w:rPr>
      </w:pPr>
    </w:p>
    <w:p w14:paraId="5D27F937" w14:textId="77777777" w:rsidR="00D1587D" w:rsidRDefault="00410D07">
      <w:pPr>
        <w:spacing w:line="259" w:lineRule="auto"/>
        <w:ind w:left="300" w:right="299" w:firstLine="360"/>
        <w:rPr>
          <w:sz w:val="20"/>
          <w:szCs w:val="20"/>
        </w:rPr>
      </w:pPr>
      <w:r>
        <w:rPr>
          <w:rFonts w:ascii="Arial" w:eastAsia="Arial" w:hAnsi="Arial" w:cs="Arial"/>
          <w:sz w:val="18"/>
          <w:szCs w:val="18"/>
        </w:rPr>
        <w:t xml:space="preserve">As such, the annual assessment </w:t>
      </w:r>
      <w:r>
        <w:rPr>
          <w:rFonts w:ascii="Arial" w:eastAsia="Arial" w:hAnsi="Arial" w:cs="Arial"/>
          <w:sz w:val="18"/>
          <w:szCs w:val="18"/>
        </w:rPr>
        <w:t>concluded that the fair value of the North America reporting unit did not exceed its carrying value. Accordingly, the Company recognized a goodwill impairment charge of $690 million related to the North America reporting unit. This charge is included in Im</w:t>
      </w:r>
      <w:r>
        <w:rPr>
          <w:rFonts w:ascii="Arial" w:eastAsia="Arial" w:hAnsi="Arial" w:cs="Arial"/>
          <w:sz w:val="18"/>
          <w:szCs w:val="18"/>
        </w:rPr>
        <w:t>pairment of Goodwill in the 2019 Combined Statement of Loss.</w:t>
      </w:r>
    </w:p>
    <w:p w14:paraId="6190918A" w14:textId="77777777" w:rsidR="00D1587D" w:rsidRDefault="00D1587D">
      <w:pPr>
        <w:spacing w:line="79" w:lineRule="exact"/>
        <w:rPr>
          <w:sz w:val="20"/>
          <w:szCs w:val="20"/>
        </w:rPr>
      </w:pPr>
    </w:p>
    <w:p w14:paraId="022C4948" w14:textId="77777777" w:rsidR="00D1587D" w:rsidRDefault="00410D07">
      <w:pPr>
        <w:spacing w:line="254" w:lineRule="auto"/>
        <w:ind w:left="300" w:right="339" w:firstLine="360"/>
        <w:rPr>
          <w:sz w:val="20"/>
          <w:szCs w:val="20"/>
        </w:rPr>
      </w:pPr>
      <w:r>
        <w:rPr>
          <w:rFonts w:ascii="Arial" w:eastAsia="Arial" w:hAnsi="Arial" w:cs="Arial"/>
          <w:sz w:val="18"/>
          <w:szCs w:val="18"/>
        </w:rPr>
        <w:t>The Company estimated the fair value of the North America reporting unit as of the end of 2019 using a market approach. The market approach is based on earnings multiples of selected guideline p</w:t>
      </w:r>
      <w:r>
        <w:rPr>
          <w:rFonts w:ascii="Arial" w:eastAsia="Arial" w:hAnsi="Arial" w:cs="Arial"/>
          <w:sz w:val="18"/>
          <w:szCs w:val="18"/>
        </w:rPr>
        <w:t>ublic companies, while the income approach is based on estimated discounted future cash flows. The approaches, which are determined using Level 3 inputs within the fair value hierarchy, incorporated a number of significant assumptions and judgments, includ</w:t>
      </w:r>
      <w:r>
        <w:rPr>
          <w:rFonts w:ascii="Arial" w:eastAsia="Arial" w:hAnsi="Arial" w:cs="Arial"/>
          <w:sz w:val="18"/>
          <w:szCs w:val="18"/>
        </w:rPr>
        <w:t>ing, but not limited to, estimated future cash flows, multiples of earnings of similar public companies, discount rates, income tax rates, terminal growth rates and an implied control premium relative to the L Brands’ market capitalization.</w:t>
      </w:r>
    </w:p>
    <w:p w14:paraId="78040314" w14:textId="77777777" w:rsidR="00D1587D" w:rsidRDefault="00D1587D">
      <w:pPr>
        <w:spacing w:line="316" w:lineRule="exact"/>
        <w:rPr>
          <w:sz w:val="20"/>
          <w:szCs w:val="20"/>
        </w:rPr>
      </w:pPr>
    </w:p>
    <w:p w14:paraId="4CF711C0" w14:textId="77777777" w:rsidR="00D1587D" w:rsidRDefault="00410D07">
      <w:pPr>
        <w:ind w:left="300"/>
        <w:rPr>
          <w:sz w:val="20"/>
          <w:szCs w:val="20"/>
        </w:rPr>
      </w:pPr>
      <w:r>
        <w:rPr>
          <w:rFonts w:ascii="Arial" w:eastAsia="Arial" w:hAnsi="Arial" w:cs="Arial"/>
          <w:b/>
          <w:bCs/>
          <w:i/>
          <w:iCs/>
          <w:sz w:val="18"/>
          <w:szCs w:val="18"/>
        </w:rPr>
        <w:t>Trade Name</w:t>
      </w:r>
    </w:p>
    <w:p w14:paraId="3D70CA7E" w14:textId="77777777" w:rsidR="00D1587D" w:rsidRDefault="00D1587D">
      <w:pPr>
        <w:spacing w:line="117" w:lineRule="exact"/>
        <w:rPr>
          <w:sz w:val="20"/>
          <w:szCs w:val="20"/>
        </w:rPr>
      </w:pPr>
    </w:p>
    <w:p w14:paraId="2B151226" w14:textId="77777777" w:rsidR="00D1587D" w:rsidRDefault="00410D07">
      <w:pPr>
        <w:spacing w:line="277" w:lineRule="auto"/>
        <w:ind w:left="300" w:right="439" w:firstLine="360"/>
        <w:rPr>
          <w:sz w:val="20"/>
          <w:szCs w:val="20"/>
        </w:rPr>
      </w:pPr>
      <w:r>
        <w:rPr>
          <w:rFonts w:ascii="Arial" w:eastAsia="Arial" w:hAnsi="Arial" w:cs="Arial"/>
          <w:sz w:val="18"/>
          <w:szCs w:val="18"/>
        </w:rPr>
        <w:t>Th</w:t>
      </w:r>
      <w:r>
        <w:rPr>
          <w:rFonts w:ascii="Arial" w:eastAsia="Arial" w:hAnsi="Arial" w:cs="Arial"/>
          <w:sz w:val="18"/>
          <w:szCs w:val="18"/>
        </w:rPr>
        <w:t>e Victoria’s Secret trade name, an indefinite lived intangible asset, was $246 million as of January 30, 2021 and February 1, 2020, respectively.</w:t>
      </w:r>
    </w:p>
    <w:p w14:paraId="6266157E" w14:textId="77777777" w:rsidR="00D1587D" w:rsidRDefault="00D1587D">
      <w:pPr>
        <w:spacing w:line="62" w:lineRule="exact"/>
        <w:rPr>
          <w:sz w:val="20"/>
          <w:szCs w:val="20"/>
        </w:rPr>
      </w:pPr>
    </w:p>
    <w:p w14:paraId="01536CE0" w14:textId="77777777" w:rsidR="00D1587D" w:rsidRDefault="00410D07">
      <w:pPr>
        <w:spacing w:line="257" w:lineRule="auto"/>
        <w:ind w:left="300" w:right="339" w:firstLine="360"/>
        <w:rPr>
          <w:sz w:val="20"/>
          <w:szCs w:val="20"/>
        </w:rPr>
      </w:pPr>
      <w:r>
        <w:rPr>
          <w:rFonts w:ascii="Arial" w:eastAsia="Arial" w:hAnsi="Arial" w:cs="Arial"/>
          <w:sz w:val="18"/>
          <w:szCs w:val="18"/>
        </w:rPr>
        <w:t>As of the end of 2020 and 2019, the Company performed its annual impairment assessment of the Victoria’s Secr</w:t>
      </w:r>
      <w:r>
        <w:rPr>
          <w:rFonts w:ascii="Arial" w:eastAsia="Arial" w:hAnsi="Arial" w:cs="Arial"/>
          <w:sz w:val="18"/>
          <w:szCs w:val="18"/>
        </w:rPr>
        <w:t>et trade name. At the end of L Brands’ third quarter in 2019, the Company also performed an interim assessment. To estimate the fair value of the trade name, the Company used the relief from royalty method under the income approach. The assessments conclud</w:t>
      </w:r>
      <w:r>
        <w:rPr>
          <w:rFonts w:ascii="Arial" w:eastAsia="Arial" w:hAnsi="Arial" w:cs="Arial"/>
          <w:sz w:val="18"/>
          <w:szCs w:val="18"/>
        </w:rPr>
        <w:t>ed that the fair value of the trade name was in excess of its carrying value.</w:t>
      </w:r>
    </w:p>
    <w:p w14:paraId="788488A4" w14:textId="77777777" w:rsidR="00D1587D" w:rsidRDefault="00D1587D">
      <w:pPr>
        <w:spacing w:line="305" w:lineRule="exact"/>
        <w:rPr>
          <w:sz w:val="20"/>
          <w:szCs w:val="20"/>
        </w:rPr>
      </w:pPr>
    </w:p>
    <w:p w14:paraId="0F7AEF6C" w14:textId="77777777" w:rsidR="00D1587D" w:rsidRDefault="00410D07">
      <w:pPr>
        <w:ind w:left="300"/>
        <w:rPr>
          <w:sz w:val="20"/>
          <w:szCs w:val="20"/>
        </w:rPr>
      </w:pPr>
      <w:r>
        <w:rPr>
          <w:rFonts w:ascii="Arial" w:eastAsia="Arial" w:hAnsi="Arial" w:cs="Arial"/>
          <w:b/>
          <w:bCs/>
          <w:sz w:val="18"/>
          <w:szCs w:val="18"/>
        </w:rPr>
        <w:t>10. Accrued Expenses and Other</w:t>
      </w:r>
    </w:p>
    <w:p w14:paraId="7A3FBA34" w14:textId="77777777" w:rsidR="00D1587D" w:rsidRDefault="00D1587D">
      <w:pPr>
        <w:spacing w:line="121" w:lineRule="exact"/>
        <w:rPr>
          <w:sz w:val="20"/>
          <w:szCs w:val="20"/>
        </w:rPr>
      </w:pPr>
    </w:p>
    <w:p w14:paraId="79D75107" w14:textId="77777777" w:rsidR="00D1587D" w:rsidRDefault="00410D07">
      <w:pPr>
        <w:spacing w:line="277" w:lineRule="auto"/>
        <w:ind w:left="300" w:right="459" w:firstLine="360"/>
        <w:rPr>
          <w:sz w:val="20"/>
          <w:szCs w:val="20"/>
        </w:rPr>
      </w:pPr>
      <w:r>
        <w:rPr>
          <w:rFonts w:ascii="Arial" w:eastAsia="Arial" w:hAnsi="Arial" w:cs="Arial"/>
          <w:sz w:val="18"/>
          <w:szCs w:val="18"/>
        </w:rPr>
        <w:t>The following table provides additional information about the composition of Accrued Expenses and Other as of January 30, 2021 and February 1, 20</w:t>
      </w:r>
      <w:r>
        <w:rPr>
          <w:rFonts w:ascii="Arial" w:eastAsia="Arial" w:hAnsi="Arial" w:cs="Arial"/>
          <w:sz w:val="18"/>
          <w:szCs w:val="18"/>
        </w:rPr>
        <w:t>20:</w:t>
      </w:r>
    </w:p>
    <w:p w14:paraId="544C685C" w14:textId="77777777" w:rsidR="00D1587D" w:rsidRDefault="00D1587D">
      <w:pPr>
        <w:spacing w:line="12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760"/>
        <w:gridCol w:w="80"/>
        <w:gridCol w:w="740"/>
        <w:gridCol w:w="100"/>
        <w:gridCol w:w="740"/>
      </w:tblGrid>
      <w:tr w:rsidR="00D1587D" w14:paraId="3A5723E7" w14:textId="77777777">
        <w:trPr>
          <w:trHeight w:val="161"/>
        </w:trPr>
        <w:tc>
          <w:tcPr>
            <w:tcW w:w="6760" w:type="dxa"/>
            <w:vAlign w:val="bottom"/>
          </w:tcPr>
          <w:p w14:paraId="124C8424" w14:textId="77777777" w:rsidR="00D1587D" w:rsidRDefault="00D1587D">
            <w:pPr>
              <w:rPr>
                <w:sz w:val="14"/>
                <w:szCs w:val="14"/>
              </w:rPr>
            </w:pPr>
          </w:p>
        </w:tc>
        <w:tc>
          <w:tcPr>
            <w:tcW w:w="80" w:type="dxa"/>
            <w:vAlign w:val="bottom"/>
          </w:tcPr>
          <w:p w14:paraId="1C761014" w14:textId="77777777" w:rsidR="00D1587D" w:rsidRDefault="00D1587D">
            <w:pPr>
              <w:rPr>
                <w:sz w:val="14"/>
                <w:szCs w:val="14"/>
              </w:rPr>
            </w:pPr>
          </w:p>
        </w:tc>
        <w:tc>
          <w:tcPr>
            <w:tcW w:w="840" w:type="dxa"/>
            <w:gridSpan w:val="2"/>
            <w:vAlign w:val="bottom"/>
          </w:tcPr>
          <w:p w14:paraId="78538F2D" w14:textId="77777777" w:rsidR="00D1587D" w:rsidRDefault="00410D07">
            <w:pPr>
              <w:rPr>
                <w:sz w:val="20"/>
                <w:szCs w:val="20"/>
              </w:rPr>
            </w:pPr>
            <w:r>
              <w:rPr>
                <w:rFonts w:ascii="Arial" w:eastAsia="Arial" w:hAnsi="Arial" w:cs="Arial"/>
                <w:b/>
                <w:bCs/>
                <w:sz w:val="14"/>
                <w:szCs w:val="14"/>
              </w:rPr>
              <w:t>January 30,</w:t>
            </w:r>
          </w:p>
        </w:tc>
        <w:tc>
          <w:tcPr>
            <w:tcW w:w="740" w:type="dxa"/>
            <w:vAlign w:val="bottom"/>
          </w:tcPr>
          <w:p w14:paraId="38A8AF3A" w14:textId="77777777" w:rsidR="00D1587D" w:rsidRDefault="00410D07">
            <w:pPr>
              <w:jc w:val="right"/>
              <w:rPr>
                <w:sz w:val="20"/>
                <w:szCs w:val="20"/>
              </w:rPr>
            </w:pPr>
            <w:r>
              <w:rPr>
                <w:rFonts w:ascii="Arial" w:eastAsia="Arial" w:hAnsi="Arial" w:cs="Arial"/>
                <w:b/>
                <w:bCs/>
                <w:w w:val="95"/>
                <w:sz w:val="14"/>
                <w:szCs w:val="14"/>
              </w:rPr>
              <w:t>February 1,</w:t>
            </w:r>
          </w:p>
        </w:tc>
      </w:tr>
      <w:tr w:rsidR="00D1587D" w14:paraId="532B505B" w14:textId="77777777">
        <w:trPr>
          <w:trHeight w:val="186"/>
        </w:trPr>
        <w:tc>
          <w:tcPr>
            <w:tcW w:w="6760" w:type="dxa"/>
            <w:vAlign w:val="bottom"/>
          </w:tcPr>
          <w:p w14:paraId="3C093AF9" w14:textId="77777777" w:rsidR="00D1587D" w:rsidRDefault="00D1587D">
            <w:pPr>
              <w:rPr>
                <w:sz w:val="16"/>
                <w:szCs w:val="16"/>
              </w:rPr>
            </w:pPr>
          </w:p>
        </w:tc>
        <w:tc>
          <w:tcPr>
            <w:tcW w:w="80" w:type="dxa"/>
            <w:vAlign w:val="bottom"/>
          </w:tcPr>
          <w:p w14:paraId="49282511" w14:textId="77777777" w:rsidR="00D1587D" w:rsidRDefault="00D1587D">
            <w:pPr>
              <w:rPr>
                <w:sz w:val="16"/>
                <w:szCs w:val="16"/>
              </w:rPr>
            </w:pPr>
          </w:p>
        </w:tc>
        <w:tc>
          <w:tcPr>
            <w:tcW w:w="740" w:type="dxa"/>
            <w:vAlign w:val="bottom"/>
          </w:tcPr>
          <w:p w14:paraId="2422E960" w14:textId="77777777" w:rsidR="00D1587D" w:rsidRDefault="00410D07">
            <w:pPr>
              <w:ind w:right="134"/>
              <w:jc w:val="right"/>
              <w:rPr>
                <w:sz w:val="20"/>
                <w:szCs w:val="20"/>
              </w:rPr>
            </w:pPr>
            <w:r>
              <w:rPr>
                <w:rFonts w:ascii="Arial" w:eastAsia="Arial" w:hAnsi="Arial" w:cs="Arial"/>
                <w:b/>
                <w:bCs/>
                <w:sz w:val="14"/>
                <w:szCs w:val="14"/>
              </w:rPr>
              <w:t>2021</w:t>
            </w:r>
          </w:p>
        </w:tc>
        <w:tc>
          <w:tcPr>
            <w:tcW w:w="100" w:type="dxa"/>
            <w:vAlign w:val="bottom"/>
          </w:tcPr>
          <w:p w14:paraId="6A5FC670" w14:textId="77777777" w:rsidR="00D1587D" w:rsidRDefault="00D1587D">
            <w:pPr>
              <w:rPr>
                <w:sz w:val="16"/>
                <w:szCs w:val="16"/>
              </w:rPr>
            </w:pPr>
          </w:p>
        </w:tc>
        <w:tc>
          <w:tcPr>
            <w:tcW w:w="740" w:type="dxa"/>
            <w:vAlign w:val="bottom"/>
          </w:tcPr>
          <w:p w14:paraId="774CAA39" w14:textId="77777777" w:rsidR="00D1587D" w:rsidRDefault="00410D07">
            <w:pPr>
              <w:ind w:right="133"/>
              <w:jc w:val="right"/>
              <w:rPr>
                <w:sz w:val="20"/>
                <w:szCs w:val="20"/>
              </w:rPr>
            </w:pPr>
            <w:r>
              <w:rPr>
                <w:rFonts w:ascii="Arial" w:eastAsia="Arial" w:hAnsi="Arial" w:cs="Arial"/>
                <w:b/>
                <w:bCs/>
                <w:sz w:val="14"/>
                <w:szCs w:val="14"/>
              </w:rPr>
              <w:t>2020</w:t>
            </w:r>
          </w:p>
        </w:tc>
      </w:tr>
      <w:tr w:rsidR="00D1587D" w14:paraId="1072DB1A" w14:textId="77777777">
        <w:trPr>
          <w:trHeight w:val="39"/>
        </w:trPr>
        <w:tc>
          <w:tcPr>
            <w:tcW w:w="6760" w:type="dxa"/>
            <w:vAlign w:val="bottom"/>
          </w:tcPr>
          <w:p w14:paraId="3FB69271" w14:textId="77777777" w:rsidR="00D1587D" w:rsidRDefault="00D1587D">
            <w:pPr>
              <w:rPr>
                <w:sz w:val="3"/>
                <w:szCs w:val="3"/>
              </w:rPr>
            </w:pPr>
          </w:p>
        </w:tc>
        <w:tc>
          <w:tcPr>
            <w:tcW w:w="80" w:type="dxa"/>
            <w:vAlign w:val="bottom"/>
          </w:tcPr>
          <w:p w14:paraId="5A1CDBA8" w14:textId="77777777" w:rsidR="00D1587D" w:rsidRDefault="00D1587D">
            <w:pPr>
              <w:rPr>
                <w:sz w:val="3"/>
                <w:szCs w:val="3"/>
              </w:rPr>
            </w:pPr>
          </w:p>
        </w:tc>
        <w:tc>
          <w:tcPr>
            <w:tcW w:w="1580" w:type="dxa"/>
            <w:gridSpan w:val="3"/>
            <w:tcBorders>
              <w:bottom w:val="single" w:sz="8" w:space="0" w:color="auto"/>
            </w:tcBorders>
            <w:vAlign w:val="bottom"/>
          </w:tcPr>
          <w:p w14:paraId="2023975F" w14:textId="77777777" w:rsidR="00D1587D" w:rsidRDefault="00D1587D">
            <w:pPr>
              <w:rPr>
                <w:sz w:val="3"/>
                <w:szCs w:val="3"/>
              </w:rPr>
            </w:pPr>
          </w:p>
        </w:tc>
      </w:tr>
      <w:tr w:rsidR="00D1587D" w14:paraId="64ECB295" w14:textId="77777777">
        <w:trPr>
          <w:trHeight w:val="211"/>
        </w:trPr>
        <w:tc>
          <w:tcPr>
            <w:tcW w:w="6760" w:type="dxa"/>
            <w:vAlign w:val="bottom"/>
          </w:tcPr>
          <w:p w14:paraId="214C21C7" w14:textId="77777777" w:rsidR="00D1587D" w:rsidRDefault="00D1587D">
            <w:pPr>
              <w:rPr>
                <w:sz w:val="18"/>
                <w:szCs w:val="18"/>
              </w:rPr>
            </w:pPr>
          </w:p>
        </w:tc>
        <w:tc>
          <w:tcPr>
            <w:tcW w:w="80" w:type="dxa"/>
            <w:vAlign w:val="bottom"/>
          </w:tcPr>
          <w:p w14:paraId="00B8A504" w14:textId="77777777" w:rsidR="00D1587D" w:rsidRDefault="00D1587D">
            <w:pPr>
              <w:rPr>
                <w:sz w:val="18"/>
                <w:szCs w:val="18"/>
              </w:rPr>
            </w:pPr>
          </w:p>
        </w:tc>
        <w:tc>
          <w:tcPr>
            <w:tcW w:w="1580" w:type="dxa"/>
            <w:gridSpan w:val="3"/>
            <w:vAlign w:val="bottom"/>
          </w:tcPr>
          <w:p w14:paraId="469F3623" w14:textId="77777777" w:rsidR="00D1587D" w:rsidRDefault="00410D07">
            <w:pPr>
              <w:ind w:right="333"/>
              <w:jc w:val="right"/>
              <w:rPr>
                <w:sz w:val="20"/>
                <w:szCs w:val="20"/>
              </w:rPr>
            </w:pPr>
            <w:r>
              <w:rPr>
                <w:rFonts w:ascii="Arial" w:eastAsia="Arial" w:hAnsi="Arial" w:cs="Arial"/>
                <w:b/>
                <w:bCs/>
                <w:sz w:val="14"/>
                <w:szCs w:val="14"/>
              </w:rPr>
              <w:t>(in millions)</w:t>
            </w:r>
          </w:p>
        </w:tc>
      </w:tr>
      <w:tr w:rsidR="00D1587D" w14:paraId="24DC709D" w14:textId="77777777">
        <w:trPr>
          <w:trHeight w:val="39"/>
        </w:trPr>
        <w:tc>
          <w:tcPr>
            <w:tcW w:w="6760" w:type="dxa"/>
            <w:vAlign w:val="bottom"/>
          </w:tcPr>
          <w:p w14:paraId="678BE993" w14:textId="77777777" w:rsidR="00D1587D" w:rsidRDefault="00D1587D">
            <w:pPr>
              <w:rPr>
                <w:sz w:val="3"/>
                <w:szCs w:val="3"/>
              </w:rPr>
            </w:pPr>
          </w:p>
        </w:tc>
        <w:tc>
          <w:tcPr>
            <w:tcW w:w="80" w:type="dxa"/>
            <w:vAlign w:val="bottom"/>
          </w:tcPr>
          <w:p w14:paraId="7D8C985F" w14:textId="77777777" w:rsidR="00D1587D" w:rsidRDefault="00D1587D">
            <w:pPr>
              <w:rPr>
                <w:sz w:val="3"/>
                <w:szCs w:val="3"/>
              </w:rPr>
            </w:pPr>
          </w:p>
        </w:tc>
        <w:tc>
          <w:tcPr>
            <w:tcW w:w="740" w:type="dxa"/>
            <w:vAlign w:val="bottom"/>
          </w:tcPr>
          <w:p w14:paraId="15BE6AE7" w14:textId="77777777" w:rsidR="00D1587D" w:rsidRDefault="00D1587D">
            <w:pPr>
              <w:rPr>
                <w:sz w:val="3"/>
                <w:szCs w:val="3"/>
              </w:rPr>
            </w:pPr>
          </w:p>
        </w:tc>
        <w:tc>
          <w:tcPr>
            <w:tcW w:w="100" w:type="dxa"/>
            <w:vAlign w:val="bottom"/>
          </w:tcPr>
          <w:p w14:paraId="4517D318" w14:textId="77777777" w:rsidR="00D1587D" w:rsidRDefault="00D1587D">
            <w:pPr>
              <w:rPr>
                <w:sz w:val="3"/>
                <w:szCs w:val="3"/>
              </w:rPr>
            </w:pPr>
          </w:p>
        </w:tc>
        <w:tc>
          <w:tcPr>
            <w:tcW w:w="740" w:type="dxa"/>
            <w:vAlign w:val="bottom"/>
          </w:tcPr>
          <w:p w14:paraId="3E0A1BE2" w14:textId="77777777" w:rsidR="00D1587D" w:rsidRDefault="00D1587D">
            <w:pPr>
              <w:rPr>
                <w:sz w:val="3"/>
                <w:szCs w:val="3"/>
              </w:rPr>
            </w:pPr>
          </w:p>
        </w:tc>
      </w:tr>
      <w:tr w:rsidR="00D1587D" w14:paraId="1261FC00" w14:textId="77777777">
        <w:trPr>
          <w:trHeight w:val="277"/>
        </w:trPr>
        <w:tc>
          <w:tcPr>
            <w:tcW w:w="6840" w:type="dxa"/>
            <w:gridSpan w:val="2"/>
            <w:tcBorders>
              <w:bottom w:val="single" w:sz="8" w:space="0" w:color="CCEEFF"/>
            </w:tcBorders>
            <w:shd w:val="clear" w:color="auto" w:fill="CCEEFF"/>
            <w:vAlign w:val="bottom"/>
          </w:tcPr>
          <w:p w14:paraId="37D903C3" w14:textId="77777777" w:rsidR="00D1587D" w:rsidRDefault="00410D07">
            <w:pPr>
              <w:rPr>
                <w:sz w:val="20"/>
                <w:szCs w:val="20"/>
              </w:rPr>
            </w:pPr>
            <w:r>
              <w:rPr>
                <w:rFonts w:ascii="Arial" w:eastAsia="Arial" w:hAnsi="Arial" w:cs="Arial"/>
                <w:sz w:val="18"/>
                <w:szCs w:val="18"/>
              </w:rPr>
              <w:t>Deferred Revenue on Gift Cards</w:t>
            </w:r>
          </w:p>
        </w:tc>
        <w:tc>
          <w:tcPr>
            <w:tcW w:w="740" w:type="dxa"/>
            <w:tcBorders>
              <w:bottom w:val="single" w:sz="8" w:space="0" w:color="CCEEFF"/>
            </w:tcBorders>
            <w:shd w:val="clear" w:color="auto" w:fill="CCEEFF"/>
            <w:vAlign w:val="bottom"/>
          </w:tcPr>
          <w:p w14:paraId="1B7229AE" w14:textId="77777777" w:rsidR="00D1587D" w:rsidRDefault="00410D07">
            <w:pPr>
              <w:ind w:right="114"/>
              <w:jc w:val="right"/>
              <w:rPr>
                <w:sz w:val="20"/>
                <w:szCs w:val="20"/>
              </w:rPr>
            </w:pPr>
            <w:r>
              <w:rPr>
                <w:rFonts w:ascii="Arial" w:eastAsia="Arial" w:hAnsi="Arial" w:cs="Arial"/>
                <w:sz w:val="18"/>
                <w:szCs w:val="18"/>
              </w:rPr>
              <w:t>$178</w:t>
            </w:r>
          </w:p>
        </w:tc>
        <w:tc>
          <w:tcPr>
            <w:tcW w:w="100" w:type="dxa"/>
            <w:tcBorders>
              <w:bottom w:val="single" w:sz="8" w:space="0" w:color="CCEEFF"/>
            </w:tcBorders>
            <w:shd w:val="clear" w:color="auto" w:fill="CCEEFF"/>
            <w:vAlign w:val="bottom"/>
          </w:tcPr>
          <w:p w14:paraId="05B5C9E3" w14:textId="77777777" w:rsidR="00D1587D" w:rsidRDefault="00D1587D">
            <w:pPr>
              <w:rPr>
                <w:sz w:val="24"/>
                <w:szCs w:val="24"/>
              </w:rPr>
            </w:pPr>
          </w:p>
        </w:tc>
        <w:tc>
          <w:tcPr>
            <w:tcW w:w="740" w:type="dxa"/>
            <w:tcBorders>
              <w:bottom w:val="single" w:sz="8" w:space="0" w:color="CCEEFF"/>
            </w:tcBorders>
            <w:shd w:val="clear" w:color="auto" w:fill="CCEEFF"/>
            <w:vAlign w:val="bottom"/>
          </w:tcPr>
          <w:p w14:paraId="2A0EBC7E" w14:textId="77777777" w:rsidR="00D1587D" w:rsidRDefault="00410D07">
            <w:pPr>
              <w:ind w:right="93"/>
              <w:jc w:val="right"/>
              <w:rPr>
                <w:sz w:val="20"/>
                <w:szCs w:val="20"/>
              </w:rPr>
            </w:pPr>
            <w:r>
              <w:rPr>
                <w:rFonts w:ascii="Arial" w:eastAsia="Arial" w:hAnsi="Arial" w:cs="Arial"/>
                <w:sz w:val="18"/>
                <w:szCs w:val="18"/>
              </w:rPr>
              <w:t>$169</w:t>
            </w:r>
          </w:p>
        </w:tc>
      </w:tr>
      <w:tr w:rsidR="00D1587D" w14:paraId="137FCADB" w14:textId="77777777">
        <w:trPr>
          <w:trHeight w:val="243"/>
        </w:trPr>
        <w:tc>
          <w:tcPr>
            <w:tcW w:w="6840" w:type="dxa"/>
            <w:gridSpan w:val="2"/>
            <w:vAlign w:val="bottom"/>
          </w:tcPr>
          <w:p w14:paraId="540D57C0" w14:textId="77777777" w:rsidR="00D1587D" w:rsidRDefault="00410D07">
            <w:pPr>
              <w:rPr>
                <w:sz w:val="20"/>
                <w:szCs w:val="20"/>
              </w:rPr>
            </w:pPr>
            <w:r>
              <w:rPr>
                <w:rFonts w:ascii="Arial" w:eastAsia="Arial" w:hAnsi="Arial" w:cs="Arial"/>
                <w:sz w:val="18"/>
                <w:szCs w:val="18"/>
              </w:rPr>
              <w:t>Compensation, Payroll Taxes and Benefits</w:t>
            </w:r>
          </w:p>
        </w:tc>
        <w:tc>
          <w:tcPr>
            <w:tcW w:w="740" w:type="dxa"/>
            <w:vAlign w:val="bottom"/>
          </w:tcPr>
          <w:p w14:paraId="1EEC5318" w14:textId="77777777" w:rsidR="00D1587D" w:rsidRDefault="00410D07">
            <w:pPr>
              <w:ind w:right="114"/>
              <w:jc w:val="right"/>
              <w:rPr>
                <w:sz w:val="20"/>
                <w:szCs w:val="20"/>
              </w:rPr>
            </w:pPr>
            <w:r>
              <w:rPr>
                <w:rFonts w:ascii="Arial" w:eastAsia="Arial" w:hAnsi="Arial" w:cs="Arial"/>
                <w:sz w:val="18"/>
                <w:szCs w:val="18"/>
              </w:rPr>
              <w:t>173</w:t>
            </w:r>
          </w:p>
        </w:tc>
        <w:tc>
          <w:tcPr>
            <w:tcW w:w="100" w:type="dxa"/>
            <w:vAlign w:val="bottom"/>
          </w:tcPr>
          <w:p w14:paraId="6B3C7A3C" w14:textId="77777777" w:rsidR="00D1587D" w:rsidRDefault="00D1587D">
            <w:pPr>
              <w:rPr>
                <w:sz w:val="21"/>
                <w:szCs w:val="21"/>
              </w:rPr>
            </w:pPr>
          </w:p>
        </w:tc>
        <w:tc>
          <w:tcPr>
            <w:tcW w:w="740" w:type="dxa"/>
            <w:vAlign w:val="bottom"/>
          </w:tcPr>
          <w:p w14:paraId="0A2A4AAF" w14:textId="77777777" w:rsidR="00D1587D" w:rsidRDefault="00410D07">
            <w:pPr>
              <w:ind w:right="113"/>
              <w:jc w:val="right"/>
              <w:rPr>
                <w:sz w:val="20"/>
                <w:szCs w:val="20"/>
              </w:rPr>
            </w:pPr>
            <w:r>
              <w:rPr>
                <w:rFonts w:ascii="Arial" w:eastAsia="Arial" w:hAnsi="Arial" w:cs="Arial"/>
                <w:sz w:val="18"/>
                <w:szCs w:val="18"/>
              </w:rPr>
              <w:t>121</w:t>
            </w:r>
          </w:p>
        </w:tc>
      </w:tr>
      <w:tr w:rsidR="00D1587D" w14:paraId="6CBFC7DD" w14:textId="77777777">
        <w:trPr>
          <w:trHeight w:val="27"/>
        </w:trPr>
        <w:tc>
          <w:tcPr>
            <w:tcW w:w="6760" w:type="dxa"/>
            <w:vAlign w:val="bottom"/>
          </w:tcPr>
          <w:p w14:paraId="2895FEA3" w14:textId="77777777" w:rsidR="00D1587D" w:rsidRDefault="00D1587D">
            <w:pPr>
              <w:rPr>
                <w:sz w:val="2"/>
                <w:szCs w:val="2"/>
              </w:rPr>
            </w:pPr>
          </w:p>
        </w:tc>
        <w:tc>
          <w:tcPr>
            <w:tcW w:w="80" w:type="dxa"/>
            <w:vAlign w:val="bottom"/>
          </w:tcPr>
          <w:p w14:paraId="1D568D35" w14:textId="77777777" w:rsidR="00D1587D" w:rsidRDefault="00D1587D">
            <w:pPr>
              <w:rPr>
                <w:sz w:val="2"/>
                <w:szCs w:val="2"/>
              </w:rPr>
            </w:pPr>
          </w:p>
        </w:tc>
        <w:tc>
          <w:tcPr>
            <w:tcW w:w="740" w:type="dxa"/>
            <w:vAlign w:val="bottom"/>
          </w:tcPr>
          <w:p w14:paraId="1C73E380" w14:textId="77777777" w:rsidR="00D1587D" w:rsidRDefault="00D1587D">
            <w:pPr>
              <w:rPr>
                <w:sz w:val="2"/>
                <w:szCs w:val="2"/>
              </w:rPr>
            </w:pPr>
          </w:p>
        </w:tc>
        <w:tc>
          <w:tcPr>
            <w:tcW w:w="100" w:type="dxa"/>
            <w:vAlign w:val="bottom"/>
          </w:tcPr>
          <w:p w14:paraId="24EB76A6" w14:textId="77777777" w:rsidR="00D1587D" w:rsidRDefault="00D1587D">
            <w:pPr>
              <w:rPr>
                <w:sz w:val="2"/>
                <w:szCs w:val="2"/>
              </w:rPr>
            </w:pPr>
          </w:p>
        </w:tc>
        <w:tc>
          <w:tcPr>
            <w:tcW w:w="740" w:type="dxa"/>
            <w:vAlign w:val="bottom"/>
          </w:tcPr>
          <w:p w14:paraId="78338D47" w14:textId="77777777" w:rsidR="00D1587D" w:rsidRDefault="00D1587D">
            <w:pPr>
              <w:rPr>
                <w:sz w:val="2"/>
                <w:szCs w:val="2"/>
              </w:rPr>
            </w:pPr>
          </w:p>
        </w:tc>
      </w:tr>
      <w:tr w:rsidR="00D1587D" w14:paraId="2EE04509" w14:textId="77777777">
        <w:trPr>
          <w:trHeight w:val="250"/>
        </w:trPr>
        <w:tc>
          <w:tcPr>
            <w:tcW w:w="6840" w:type="dxa"/>
            <w:gridSpan w:val="2"/>
            <w:tcBorders>
              <w:bottom w:val="single" w:sz="8" w:space="0" w:color="CCEEFF"/>
            </w:tcBorders>
            <w:shd w:val="clear" w:color="auto" w:fill="CCEEFF"/>
            <w:vAlign w:val="bottom"/>
          </w:tcPr>
          <w:p w14:paraId="146358DB" w14:textId="77777777" w:rsidR="00D1587D" w:rsidRDefault="00410D07">
            <w:pPr>
              <w:rPr>
                <w:sz w:val="20"/>
                <w:szCs w:val="20"/>
              </w:rPr>
            </w:pPr>
            <w:r>
              <w:rPr>
                <w:rFonts w:ascii="Arial" w:eastAsia="Arial" w:hAnsi="Arial" w:cs="Arial"/>
                <w:sz w:val="18"/>
                <w:szCs w:val="18"/>
              </w:rPr>
              <w:t>Supplemental Retirement Plan</w:t>
            </w:r>
          </w:p>
        </w:tc>
        <w:tc>
          <w:tcPr>
            <w:tcW w:w="740" w:type="dxa"/>
            <w:tcBorders>
              <w:bottom w:val="single" w:sz="8" w:space="0" w:color="CCEEFF"/>
            </w:tcBorders>
            <w:shd w:val="clear" w:color="auto" w:fill="CCEEFF"/>
            <w:vAlign w:val="bottom"/>
          </w:tcPr>
          <w:p w14:paraId="42548EDE" w14:textId="77777777" w:rsidR="00D1587D" w:rsidRDefault="00410D07">
            <w:pPr>
              <w:ind w:right="114"/>
              <w:jc w:val="right"/>
              <w:rPr>
                <w:sz w:val="20"/>
                <w:szCs w:val="20"/>
              </w:rPr>
            </w:pPr>
            <w:r>
              <w:rPr>
                <w:rFonts w:ascii="Arial" w:eastAsia="Arial" w:hAnsi="Arial" w:cs="Arial"/>
                <w:sz w:val="18"/>
                <w:szCs w:val="18"/>
              </w:rPr>
              <w:t>66</w:t>
            </w:r>
          </w:p>
        </w:tc>
        <w:tc>
          <w:tcPr>
            <w:tcW w:w="100" w:type="dxa"/>
            <w:tcBorders>
              <w:bottom w:val="single" w:sz="8" w:space="0" w:color="CCEEFF"/>
            </w:tcBorders>
            <w:shd w:val="clear" w:color="auto" w:fill="CCEEFF"/>
            <w:vAlign w:val="bottom"/>
          </w:tcPr>
          <w:p w14:paraId="40F9B529" w14:textId="77777777" w:rsidR="00D1587D" w:rsidRDefault="00D1587D">
            <w:pPr>
              <w:rPr>
                <w:sz w:val="21"/>
                <w:szCs w:val="21"/>
              </w:rPr>
            </w:pPr>
          </w:p>
        </w:tc>
        <w:tc>
          <w:tcPr>
            <w:tcW w:w="740" w:type="dxa"/>
            <w:tcBorders>
              <w:bottom w:val="single" w:sz="8" w:space="0" w:color="CCEEFF"/>
            </w:tcBorders>
            <w:shd w:val="clear" w:color="auto" w:fill="CCEEFF"/>
            <w:vAlign w:val="bottom"/>
          </w:tcPr>
          <w:p w14:paraId="46A7CFEB" w14:textId="77777777" w:rsidR="00D1587D" w:rsidRDefault="00410D07">
            <w:pPr>
              <w:ind w:right="93"/>
              <w:jc w:val="right"/>
              <w:rPr>
                <w:sz w:val="20"/>
                <w:szCs w:val="20"/>
              </w:rPr>
            </w:pPr>
            <w:r>
              <w:rPr>
                <w:rFonts w:ascii="Arial" w:eastAsia="Arial" w:hAnsi="Arial" w:cs="Arial"/>
                <w:sz w:val="18"/>
                <w:szCs w:val="18"/>
              </w:rPr>
              <w:t>—</w:t>
            </w:r>
          </w:p>
        </w:tc>
      </w:tr>
      <w:tr w:rsidR="00D1587D" w14:paraId="242BA2F8" w14:textId="77777777">
        <w:trPr>
          <w:trHeight w:val="243"/>
        </w:trPr>
        <w:tc>
          <w:tcPr>
            <w:tcW w:w="6840" w:type="dxa"/>
            <w:gridSpan w:val="2"/>
            <w:vAlign w:val="bottom"/>
          </w:tcPr>
          <w:p w14:paraId="6CC53BDD" w14:textId="77777777" w:rsidR="00D1587D" w:rsidRDefault="00410D07">
            <w:pPr>
              <w:rPr>
                <w:sz w:val="20"/>
                <w:szCs w:val="20"/>
              </w:rPr>
            </w:pPr>
            <w:r>
              <w:rPr>
                <w:rFonts w:ascii="Arial" w:eastAsia="Arial" w:hAnsi="Arial" w:cs="Arial"/>
                <w:sz w:val="18"/>
                <w:szCs w:val="18"/>
              </w:rPr>
              <w:t>Taxes, Other than Income</w:t>
            </w:r>
          </w:p>
        </w:tc>
        <w:tc>
          <w:tcPr>
            <w:tcW w:w="740" w:type="dxa"/>
            <w:vAlign w:val="bottom"/>
          </w:tcPr>
          <w:p w14:paraId="65968611" w14:textId="77777777" w:rsidR="00D1587D" w:rsidRDefault="00410D07">
            <w:pPr>
              <w:ind w:right="114"/>
              <w:jc w:val="right"/>
              <w:rPr>
                <w:sz w:val="20"/>
                <w:szCs w:val="20"/>
              </w:rPr>
            </w:pPr>
            <w:r>
              <w:rPr>
                <w:rFonts w:ascii="Arial" w:eastAsia="Arial" w:hAnsi="Arial" w:cs="Arial"/>
                <w:sz w:val="18"/>
                <w:szCs w:val="18"/>
              </w:rPr>
              <w:t>45</w:t>
            </w:r>
          </w:p>
        </w:tc>
        <w:tc>
          <w:tcPr>
            <w:tcW w:w="100" w:type="dxa"/>
            <w:vAlign w:val="bottom"/>
          </w:tcPr>
          <w:p w14:paraId="5AA232E2" w14:textId="77777777" w:rsidR="00D1587D" w:rsidRDefault="00D1587D">
            <w:pPr>
              <w:rPr>
                <w:sz w:val="21"/>
                <w:szCs w:val="21"/>
              </w:rPr>
            </w:pPr>
          </w:p>
        </w:tc>
        <w:tc>
          <w:tcPr>
            <w:tcW w:w="740" w:type="dxa"/>
            <w:vAlign w:val="bottom"/>
          </w:tcPr>
          <w:p w14:paraId="1B86F9D8" w14:textId="77777777" w:rsidR="00D1587D" w:rsidRDefault="00410D07">
            <w:pPr>
              <w:ind w:right="93"/>
              <w:jc w:val="right"/>
              <w:rPr>
                <w:sz w:val="20"/>
                <w:szCs w:val="20"/>
              </w:rPr>
            </w:pPr>
            <w:r>
              <w:rPr>
                <w:rFonts w:ascii="Arial" w:eastAsia="Arial" w:hAnsi="Arial" w:cs="Arial"/>
                <w:sz w:val="18"/>
                <w:szCs w:val="18"/>
              </w:rPr>
              <w:t>42</w:t>
            </w:r>
          </w:p>
        </w:tc>
      </w:tr>
      <w:tr w:rsidR="00D1587D" w14:paraId="55C56F84" w14:textId="77777777">
        <w:trPr>
          <w:trHeight w:val="27"/>
        </w:trPr>
        <w:tc>
          <w:tcPr>
            <w:tcW w:w="6760" w:type="dxa"/>
            <w:vAlign w:val="bottom"/>
          </w:tcPr>
          <w:p w14:paraId="3917D338" w14:textId="77777777" w:rsidR="00D1587D" w:rsidRDefault="00D1587D">
            <w:pPr>
              <w:rPr>
                <w:sz w:val="2"/>
                <w:szCs w:val="2"/>
              </w:rPr>
            </w:pPr>
          </w:p>
        </w:tc>
        <w:tc>
          <w:tcPr>
            <w:tcW w:w="80" w:type="dxa"/>
            <w:vAlign w:val="bottom"/>
          </w:tcPr>
          <w:p w14:paraId="620EDDFD" w14:textId="77777777" w:rsidR="00D1587D" w:rsidRDefault="00D1587D">
            <w:pPr>
              <w:rPr>
                <w:sz w:val="2"/>
                <w:szCs w:val="2"/>
              </w:rPr>
            </w:pPr>
          </w:p>
        </w:tc>
        <w:tc>
          <w:tcPr>
            <w:tcW w:w="740" w:type="dxa"/>
            <w:vAlign w:val="bottom"/>
          </w:tcPr>
          <w:p w14:paraId="6F671A29" w14:textId="77777777" w:rsidR="00D1587D" w:rsidRDefault="00D1587D">
            <w:pPr>
              <w:rPr>
                <w:sz w:val="2"/>
                <w:szCs w:val="2"/>
              </w:rPr>
            </w:pPr>
          </w:p>
        </w:tc>
        <w:tc>
          <w:tcPr>
            <w:tcW w:w="100" w:type="dxa"/>
            <w:vAlign w:val="bottom"/>
          </w:tcPr>
          <w:p w14:paraId="61637C45" w14:textId="77777777" w:rsidR="00D1587D" w:rsidRDefault="00D1587D">
            <w:pPr>
              <w:rPr>
                <w:sz w:val="2"/>
                <w:szCs w:val="2"/>
              </w:rPr>
            </w:pPr>
          </w:p>
        </w:tc>
        <w:tc>
          <w:tcPr>
            <w:tcW w:w="740" w:type="dxa"/>
            <w:vAlign w:val="bottom"/>
          </w:tcPr>
          <w:p w14:paraId="40A35A21" w14:textId="77777777" w:rsidR="00D1587D" w:rsidRDefault="00D1587D">
            <w:pPr>
              <w:rPr>
                <w:sz w:val="2"/>
                <w:szCs w:val="2"/>
              </w:rPr>
            </w:pPr>
          </w:p>
        </w:tc>
      </w:tr>
      <w:tr w:rsidR="00D1587D" w14:paraId="23653724" w14:textId="77777777">
        <w:trPr>
          <w:trHeight w:val="250"/>
        </w:trPr>
        <w:tc>
          <w:tcPr>
            <w:tcW w:w="6840" w:type="dxa"/>
            <w:gridSpan w:val="2"/>
            <w:tcBorders>
              <w:bottom w:val="single" w:sz="8" w:space="0" w:color="CCEEFF"/>
            </w:tcBorders>
            <w:shd w:val="clear" w:color="auto" w:fill="CCEEFF"/>
            <w:vAlign w:val="bottom"/>
          </w:tcPr>
          <w:p w14:paraId="1253F864" w14:textId="77777777" w:rsidR="00D1587D" w:rsidRDefault="00410D07">
            <w:pPr>
              <w:rPr>
                <w:sz w:val="20"/>
                <w:szCs w:val="20"/>
              </w:rPr>
            </w:pPr>
            <w:r>
              <w:rPr>
                <w:rFonts w:ascii="Arial" w:eastAsia="Arial" w:hAnsi="Arial" w:cs="Arial"/>
                <w:sz w:val="18"/>
                <w:szCs w:val="18"/>
              </w:rPr>
              <w:t>Accrued Marketing</w:t>
            </w:r>
          </w:p>
        </w:tc>
        <w:tc>
          <w:tcPr>
            <w:tcW w:w="740" w:type="dxa"/>
            <w:tcBorders>
              <w:bottom w:val="single" w:sz="8" w:space="0" w:color="CCEEFF"/>
            </w:tcBorders>
            <w:shd w:val="clear" w:color="auto" w:fill="CCEEFF"/>
            <w:vAlign w:val="bottom"/>
          </w:tcPr>
          <w:p w14:paraId="3A6CDB36" w14:textId="77777777" w:rsidR="00D1587D" w:rsidRDefault="00410D07">
            <w:pPr>
              <w:ind w:right="114"/>
              <w:jc w:val="right"/>
              <w:rPr>
                <w:sz w:val="20"/>
                <w:szCs w:val="20"/>
              </w:rPr>
            </w:pPr>
            <w:r>
              <w:rPr>
                <w:rFonts w:ascii="Arial" w:eastAsia="Arial" w:hAnsi="Arial" w:cs="Arial"/>
                <w:sz w:val="18"/>
                <w:szCs w:val="18"/>
              </w:rPr>
              <w:t>44</w:t>
            </w:r>
          </w:p>
        </w:tc>
        <w:tc>
          <w:tcPr>
            <w:tcW w:w="100" w:type="dxa"/>
            <w:tcBorders>
              <w:bottom w:val="single" w:sz="8" w:space="0" w:color="CCEEFF"/>
            </w:tcBorders>
            <w:shd w:val="clear" w:color="auto" w:fill="CCEEFF"/>
            <w:vAlign w:val="bottom"/>
          </w:tcPr>
          <w:p w14:paraId="7D227A02" w14:textId="77777777" w:rsidR="00D1587D" w:rsidRDefault="00D1587D">
            <w:pPr>
              <w:rPr>
                <w:sz w:val="21"/>
                <w:szCs w:val="21"/>
              </w:rPr>
            </w:pPr>
          </w:p>
        </w:tc>
        <w:tc>
          <w:tcPr>
            <w:tcW w:w="740" w:type="dxa"/>
            <w:tcBorders>
              <w:bottom w:val="single" w:sz="8" w:space="0" w:color="CCEEFF"/>
            </w:tcBorders>
            <w:shd w:val="clear" w:color="auto" w:fill="CCEEFF"/>
            <w:vAlign w:val="bottom"/>
          </w:tcPr>
          <w:p w14:paraId="2EAFA54D" w14:textId="77777777" w:rsidR="00D1587D" w:rsidRDefault="00410D07">
            <w:pPr>
              <w:ind w:right="93"/>
              <w:jc w:val="right"/>
              <w:rPr>
                <w:sz w:val="20"/>
                <w:szCs w:val="20"/>
              </w:rPr>
            </w:pPr>
            <w:r>
              <w:rPr>
                <w:rFonts w:ascii="Arial" w:eastAsia="Arial" w:hAnsi="Arial" w:cs="Arial"/>
                <w:sz w:val="18"/>
                <w:szCs w:val="18"/>
              </w:rPr>
              <w:t>23</w:t>
            </w:r>
          </w:p>
        </w:tc>
      </w:tr>
      <w:tr w:rsidR="00D1587D" w14:paraId="71EB2481" w14:textId="77777777">
        <w:trPr>
          <w:trHeight w:val="243"/>
        </w:trPr>
        <w:tc>
          <w:tcPr>
            <w:tcW w:w="6840" w:type="dxa"/>
            <w:gridSpan w:val="2"/>
            <w:vAlign w:val="bottom"/>
          </w:tcPr>
          <w:p w14:paraId="7D013472" w14:textId="77777777" w:rsidR="00D1587D" w:rsidRDefault="00410D07">
            <w:pPr>
              <w:rPr>
                <w:sz w:val="20"/>
                <w:szCs w:val="20"/>
              </w:rPr>
            </w:pPr>
            <w:r>
              <w:rPr>
                <w:rFonts w:ascii="Arial" w:eastAsia="Arial" w:hAnsi="Arial" w:cs="Arial"/>
                <w:sz w:val="18"/>
                <w:szCs w:val="18"/>
              </w:rPr>
              <w:t>Deferred Revenue on Loyalty and Private Label Credit Card</w:t>
            </w:r>
          </w:p>
        </w:tc>
        <w:tc>
          <w:tcPr>
            <w:tcW w:w="740" w:type="dxa"/>
            <w:vAlign w:val="bottom"/>
          </w:tcPr>
          <w:p w14:paraId="3245E77C" w14:textId="77777777" w:rsidR="00D1587D" w:rsidRDefault="00410D07">
            <w:pPr>
              <w:ind w:right="114"/>
              <w:jc w:val="right"/>
              <w:rPr>
                <w:sz w:val="20"/>
                <w:szCs w:val="20"/>
              </w:rPr>
            </w:pPr>
            <w:r>
              <w:rPr>
                <w:rFonts w:ascii="Arial" w:eastAsia="Arial" w:hAnsi="Arial" w:cs="Arial"/>
                <w:sz w:val="18"/>
                <w:szCs w:val="18"/>
              </w:rPr>
              <w:t>38</w:t>
            </w:r>
          </w:p>
        </w:tc>
        <w:tc>
          <w:tcPr>
            <w:tcW w:w="100" w:type="dxa"/>
            <w:vAlign w:val="bottom"/>
          </w:tcPr>
          <w:p w14:paraId="3ECE5371" w14:textId="77777777" w:rsidR="00D1587D" w:rsidRDefault="00D1587D">
            <w:pPr>
              <w:rPr>
                <w:sz w:val="21"/>
                <w:szCs w:val="21"/>
              </w:rPr>
            </w:pPr>
          </w:p>
        </w:tc>
        <w:tc>
          <w:tcPr>
            <w:tcW w:w="740" w:type="dxa"/>
            <w:vAlign w:val="bottom"/>
          </w:tcPr>
          <w:p w14:paraId="0C63F643" w14:textId="77777777" w:rsidR="00D1587D" w:rsidRDefault="00410D07">
            <w:pPr>
              <w:ind w:right="93"/>
              <w:jc w:val="right"/>
              <w:rPr>
                <w:sz w:val="20"/>
                <w:szCs w:val="20"/>
              </w:rPr>
            </w:pPr>
            <w:r>
              <w:rPr>
                <w:rFonts w:ascii="Arial" w:eastAsia="Arial" w:hAnsi="Arial" w:cs="Arial"/>
                <w:sz w:val="18"/>
                <w:szCs w:val="18"/>
              </w:rPr>
              <w:t>58</w:t>
            </w:r>
          </w:p>
        </w:tc>
      </w:tr>
      <w:tr w:rsidR="00D1587D" w14:paraId="24A3302F" w14:textId="77777777">
        <w:trPr>
          <w:trHeight w:val="27"/>
        </w:trPr>
        <w:tc>
          <w:tcPr>
            <w:tcW w:w="6760" w:type="dxa"/>
            <w:vAlign w:val="bottom"/>
          </w:tcPr>
          <w:p w14:paraId="64E46398" w14:textId="77777777" w:rsidR="00D1587D" w:rsidRDefault="00D1587D">
            <w:pPr>
              <w:rPr>
                <w:sz w:val="2"/>
                <w:szCs w:val="2"/>
              </w:rPr>
            </w:pPr>
          </w:p>
        </w:tc>
        <w:tc>
          <w:tcPr>
            <w:tcW w:w="80" w:type="dxa"/>
            <w:vAlign w:val="bottom"/>
          </w:tcPr>
          <w:p w14:paraId="28CDAC71" w14:textId="77777777" w:rsidR="00D1587D" w:rsidRDefault="00D1587D">
            <w:pPr>
              <w:rPr>
                <w:sz w:val="2"/>
                <w:szCs w:val="2"/>
              </w:rPr>
            </w:pPr>
          </w:p>
        </w:tc>
        <w:tc>
          <w:tcPr>
            <w:tcW w:w="740" w:type="dxa"/>
            <w:vAlign w:val="bottom"/>
          </w:tcPr>
          <w:p w14:paraId="755D25F1" w14:textId="77777777" w:rsidR="00D1587D" w:rsidRDefault="00D1587D">
            <w:pPr>
              <w:rPr>
                <w:sz w:val="2"/>
                <w:szCs w:val="2"/>
              </w:rPr>
            </w:pPr>
          </w:p>
        </w:tc>
        <w:tc>
          <w:tcPr>
            <w:tcW w:w="100" w:type="dxa"/>
            <w:vAlign w:val="bottom"/>
          </w:tcPr>
          <w:p w14:paraId="118585EA" w14:textId="77777777" w:rsidR="00D1587D" w:rsidRDefault="00D1587D">
            <w:pPr>
              <w:rPr>
                <w:sz w:val="2"/>
                <w:szCs w:val="2"/>
              </w:rPr>
            </w:pPr>
          </w:p>
        </w:tc>
        <w:tc>
          <w:tcPr>
            <w:tcW w:w="740" w:type="dxa"/>
            <w:vAlign w:val="bottom"/>
          </w:tcPr>
          <w:p w14:paraId="4A6F231F" w14:textId="77777777" w:rsidR="00D1587D" w:rsidRDefault="00D1587D">
            <w:pPr>
              <w:rPr>
                <w:sz w:val="2"/>
                <w:szCs w:val="2"/>
              </w:rPr>
            </w:pPr>
          </w:p>
        </w:tc>
      </w:tr>
      <w:tr w:rsidR="00D1587D" w14:paraId="2C505D57" w14:textId="77777777">
        <w:trPr>
          <w:trHeight w:val="250"/>
        </w:trPr>
        <w:tc>
          <w:tcPr>
            <w:tcW w:w="6840" w:type="dxa"/>
            <w:gridSpan w:val="2"/>
            <w:tcBorders>
              <w:bottom w:val="single" w:sz="8" w:space="0" w:color="CCEEFF"/>
            </w:tcBorders>
            <w:shd w:val="clear" w:color="auto" w:fill="CCEEFF"/>
            <w:vAlign w:val="bottom"/>
          </w:tcPr>
          <w:p w14:paraId="237C3F56" w14:textId="77777777" w:rsidR="00D1587D" w:rsidRDefault="00410D07">
            <w:pPr>
              <w:rPr>
                <w:sz w:val="20"/>
                <w:szCs w:val="20"/>
              </w:rPr>
            </w:pPr>
            <w:r>
              <w:rPr>
                <w:rFonts w:ascii="Arial" w:eastAsia="Arial" w:hAnsi="Arial" w:cs="Arial"/>
                <w:sz w:val="18"/>
                <w:szCs w:val="18"/>
              </w:rPr>
              <w:t>Deferred Revenue on Direct Shipments not yet Delivered</w:t>
            </w:r>
          </w:p>
        </w:tc>
        <w:tc>
          <w:tcPr>
            <w:tcW w:w="740" w:type="dxa"/>
            <w:tcBorders>
              <w:bottom w:val="single" w:sz="8" w:space="0" w:color="CCEEFF"/>
            </w:tcBorders>
            <w:shd w:val="clear" w:color="auto" w:fill="CCEEFF"/>
            <w:vAlign w:val="bottom"/>
          </w:tcPr>
          <w:p w14:paraId="70968BEC" w14:textId="77777777" w:rsidR="00D1587D" w:rsidRDefault="00410D07">
            <w:pPr>
              <w:ind w:right="114"/>
              <w:jc w:val="right"/>
              <w:rPr>
                <w:sz w:val="20"/>
                <w:szCs w:val="20"/>
              </w:rPr>
            </w:pPr>
            <w:r>
              <w:rPr>
                <w:rFonts w:ascii="Arial" w:eastAsia="Arial" w:hAnsi="Arial" w:cs="Arial"/>
                <w:sz w:val="18"/>
                <w:szCs w:val="18"/>
              </w:rPr>
              <w:t>30</w:t>
            </w:r>
          </w:p>
        </w:tc>
        <w:tc>
          <w:tcPr>
            <w:tcW w:w="100" w:type="dxa"/>
            <w:tcBorders>
              <w:bottom w:val="single" w:sz="8" w:space="0" w:color="CCEEFF"/>
            </w:tcBorders>
            <w:shd w:val="clear" w:color="auto" w:fill="CCEEFF"/>
            <w:vAlign w:val="bottom"/>
          </w:tcPr>
          <w:p w14:paraId="5A82DA17" w14:textId="77777777" w:rsidR="00D1587D" w:rsidRDefault="00D1587D">
            <w:pPr>
              <w:rPr>
                <w:sz w:val="21"/>
                <w:szCs w:val="21"/>
              </w:rPr>
            </w:pPr>
          </w:p>
        </w:tc>
        <w:tc>
          <w:tcPr>
            <w:tcW w:w="740" w:type="dxa"/>
            <w:tcBorders>
              <w:bottom w:val="single" w:sz="8" w:space="0" w:color="CCEEFF"/>
            </w:tcBorders>
            <w:shd w:val="clear" w:color="auto" w:fill="CCEEFF"/>
            <w:vAlign w:val="bottom"/>
          </w:tcPr>
          <w:p w14:paraId="68F579D9" w14:textId="77777777" w:rsidR="00D1587D" w:rsidRDefault="00410D07">
            <w:pPr>
              <w:ind w:right="113"/>
              <w:jc w:val="right"/>
              <w:rPr>
                <w:sz w:val="20"/>
                <w:szCs w:val="20"/>
              </w:rPr>
            </w:pPr>
            <w:r>
              <w:rPr>
                <w:rFonts w:ascii="Arial" w:eastAsia="Arial" w:hAnsi="Arial" w:cs="Arial"/>
                <w:sz w:val="18"/>
                <w:szCs w:val="18"/>
              </w:rPr>
              <w:t>11</w:t>
            </w:r>
          </w:p>
        </w:tc>
      </w:tr>
      <w:tr w:rsidR="00D1587D" w14:paraId="679B722B" w14:textId="77777777">
        <w:trPr>
          <w:trHeight w:val="243"/>
        </w:trPr>
        <w:tc>
          <w:tcPr>
            <w:tcW w:w="6840" w:type="dxa"/>
            <w:gridSpan w:val="2"/>
            <w:vAlign w:val="bottom"/>
          </w:tcPr>
          <w:p w14:paraId="22198E7A" w14:textId="77777777" w:rsidR="00D1587D" w:rsidRDefault="00410D07">
            <w:pPr>
              <w:rPr>
                <w:sz w:val="20"/>
                <w:szCs w:val="20"/>
              </w:rPr>
            </w:pPr>
            <w:r>
              <w:rPr>
                <w:rFonts w:ascii="Arial" w:eastAsia="Arial" w:hAnsi="Arial" w:cs="Arial"/>
                <w:sz w:val="18"/>
                <w:szCs w:val="18"/>
              </w:rPr>
              <w:t>Returns Reserve</w:t>
            </w:r>
          </w:p>
        </w:tc>
        <w:tc>
          <w:tcPr>
            <w:tcW w:w="740" w:type="dxa"/>
            <w:vAlign w:val="bottom"/>
          </w:tcPr>
          <w:p w14:paraId="497B96D1" w14:textId="77777777" w:rsidR="00D1587D" w:rsidRDefault="00410D07">
            <w:pPr>
              <w:ind w:right="114"/>
              <w:jc w:val="right"/>
              <w:rPr>
                <w:sz w:val="20"/>
                <w:szCs w:val="20"/>
              </w:rPr>
            </w:pPr>
            <w:r>
              <w:rPr>
                <w:rFonts w:ascii="Arial" w:eastAsia="Arial" w:hAnsi="Arial" w:cs="Arial"/>
                <w:sz w:val="18"/>
                <w:szCs w:val="18"/>
              </w:rPr>
              <w:t>26</w:t>
            </w:r>
          </w:p>
        </w:tc>
        <w:tc>
          <w:tcPr>
            <w:tcW w:w="100" w:type="dxa"/>
            <w:vAlign w:val="bottom"/>
          </w:tcPr>
          <w:p w14:paraId="2555A81E" w14:textId="77777777" w:rsidR="00D1587D" w:rsidRDefault="00D1587D">
            <w:pPr>
              <w:rPr>
                <w:sz w:val="21"/>
                <w:szCs w:val="21"/>
              </w:rPr>
            </w:pPr>
          </w:p>
        </w:tc>
        <w:tc>
          <w:tcPr>
            <w:tcW w:w="740" w:type="dxa"/>
            <w:vAlign w:val="bottom"/>
          </w:tcPr>
          <w:p w14:paraId="621F58B8" w14:textId="77777777" w:rsidR="00D1587D" w:rsidRDefault="00410D07">
            <w:pPr>
              <w:ind w:right="93"/>
              <w:jc w:val="right"/>
              <w:rPr>
                <w:sz w:val="20"/>
                <w:szCs w:val="20"/>
              </w:rPr>
            </w:pPr>
            <w:r>
              <w:rPr>
                <w:rFonts w:ascii="Arial" w:eastAsia="Arial" w:hAnsi="Arial" w:cs="Arial"/>
                <w:sz w:val="18"/>
                <w:szCs w:val="18"/>
              </w:rPr>
              <w:t>22</w:t>
            </w:r>
          </w:p>
        </w:tc>
      </w:tr>
      <w:tr w:rsidR="00D1587D" w14:paraId="59502923" w14:textId="77777777">
        <w:trPr>
          <w:trHeight w:val="27"/>
        </w:trPr>
        <w:tc>
          <w:tcPr>
            <w:tcW w:w="6760" w:type="dxa"/>
            <w:vAlign w:val="bottom"/>
          </w:tcPr>
          <w:p w14:paraId="5177C7F7" w14:textId="77777777" w:rsidR="00D1587D" w:rsidRDefault="00D1587D">
            <w:pPr>
              <w:rPr>
                <w:sz w:val="2"/>
                <w:szCs w:val="2"/>
              </w:rPr>
            </w:pPr>
          </w:p>
        </w:tc>
        <w:tc>
          <w:tcPr>
            <w:tcW w:w="80" w:type="dxa"/>
            <w:vAlign w:val="bottom"/>
          </w:tcPr>
          <w:p w14:paraId="7B3F4198" w14:textId="77777777" w:rsidR="00D1587D" w:rsidRDefault="00D1587D">
            <w:pPr>
              <w:rPr>
                <w:sz w:val="2"/>
                <w:szCs w:val="2"/>
              </w:rPr>
            </w:pPr>
          </w:p>
        </w:tc>
        <w:tc>
          <w:tcPr>
            <w:tcW w:w="740" w:type="dxa"/>
            <w:vAlign w:val="bottom"/>
          </w:tcPr>
          <w:p w14:paraId="44C44F84" w14:textId="77777777" w:rsidR="00D1587D" w:rsidRDefault="00D1587D">
            <w:pPr>
              <w:rPr>
                <w:sz w:val="2"/>
                <w:szCs w:val="2"/>
              </w:rPr>
            </w:pPr>
          </w:p>
        </w:tc>
        <w:tc>
          <w:tcPr>
            <w:tcW w:w="100" w:type="dxa"/>
            <w:vAlign w:val="bottom"/>
          </w:tcPr>
          <w:p w14:paraId="3A2B58FD" w14:textId="77777777" w:rsidR="00D1587D" w:rsidRDefault="00D1587D">
            <w:pPr>
              <w:rPr>
                <w:sz w:val="2"/>
                <w:szCs w:val="2"/>
              </w:rPr>
            </w:pPr>
          </w:p>
        </w:tc>
        <w:tc>
          <w:tcPr>
            <w:tcW w:w="740" w:type="dxa"/>
            <w:vAlign w:val="bottom"/>
          </w:tcPr>
          <w:p w14:paraId="2C01BA2D" w14:textId="77777777" w:rsidR="00D1587D" w:rsidRDefault="00D1587D">
            <w:pPr>
              <w:rPr>
                <w:sz w:val="2"/>
                <w:szCs w:val="2"/>
              </w:rPr>
            </w:pPr>
          </w:p>
        </w:tc>
      </w:tr>
      <w:tr w:rsidR="00D1587D" w14:paraId="40DD04A5" w14:textId="77777777">
        <w:trPr>
          <w:trHeight w:val="250"/>
        </w:trPr>
        <w:tc>
          <w:tcPr>
            <w:tcW w:w="6840" w:type="dxa"/>
            <w:gridSpan w:val="2"/>
            <w:tcBorders>
              <w:bottom w:val="single" w:sz="8" w:space="0" w:color="CCEEFF"/>
            </w:tcBorders>
            <w:shd w:val="clear" w:color="auto" w:fill="CCEEFF"/>
            <w:vAlign w:val="bottom"/>
          </w:tcPr>
          <w:p w14:paraId="734706EB" w14:textId="77777777" w:rsidR="00D1587D" w:rsidRDefault="00410D07">
            <w:pPr>
              <w:rPr>
                <w:sz w:val="20"/>
                <w:szCs w:val="20"/>
              </w:rPr>
            </w:pPr>
            <w:r>
              <w:rPr>
                <w:rFonts w:ascii="Arial" w:eastAsia="Arial" w:hAnsi="Arial" w:cs="Arial"/>
                <w:sz w:val="18"/>
                <w:szCs w:val="18"/>
              </w:rPr>
              <w:t>Rent</w:t>
            </w:r>
          </w:p>
        </w:tc>
        <w:tc>
          <w:tcPr>
            <w:tcW w:w="740" w:type="dxa"/>
            <w:tcBorders>
              <w:bottom w:val="single" w:sz="8" w:space="0" w:color="CCEEFF"/>
            </w:tcBorders>
            <w:shd w:val="clear" w:color="auto" w:fill="CCEEFF"/>
            <w:vAlign w:val="bottom"/>
          </w:tcPr>
          <w:p w14:paraId="06E15219" w14:textId="77777777" w:rsidR="00D1587D" w:rsidRDefault="00410D07">
            <w:pPr>
              <w:ind w:right="114"/>
              <w:jc w:val="right"/>
              <w:rPr>
                <w:sz w:val="20"/>
                <w:szCs w:val="20"/>
              </w:rPr>
            </w:pPr>
            <w:r>
              <w:rPr>
                <w:rFonts w:ascii="Arial" w:eastAsia="Arial" w:hAnsi="Arial" w:cs="Arial"/>
                <w:sz w:val="18"/>
                <w:szCs w:val="18"/>
              </w:rPr>
              <w:t>22</w:t>
            </w:r>
          </w:p>
        </w:tc>
        <w:tc>
          <w:tcPr>
            <w:tcW w:w="100" w:type="dxa"/>
            <w:tcBorders>
              <w:bottom w:val="single" w:sz="8" w:space="0" w:color="CCEEFF"/>
            </w:tcBorders>
            <w:shd w:val="clear" w:color="auto" w:fill="CCEEFF"/>
            <w:vAlign w:val="bottom"/>
          </w:tcPr>
          <w:p w14:paraId="0D172BC7" w14:textId="77777777" w:rsidR="00D1587D" w:rsidRDefault="00D1587D">
            <w:pPr>
              <w:rPr>
                <w:sz w:val="21"/>
                <w:szCs w:val="21"/>
              </w:rPr>
            </w:pPr>
          </w:p>
        </w:tc>
        <w:tc>
          <w:tcPr>
            <w:tcW w:w="740" w:type="dxa"/>
            <w:tcBorders>
              <w:bottom w:val="single" w:sz="8" w:space="0" w:color="CCEEFF"/>
            </w:tcBorders>
            <w:shd w:val="clear" w:color="auto" w:fill="CCEEFF"/>
            <w:vAlign w:val="bottom"/>
          </w:tcPr>
          <w:p w14:paraId="4CF72897" w14:textId="77777777" w:rsidR="00D1587D" w:rsidRDefault="00410D07">
            <w:pPr>
              <w:ind w:right="93"/>
              <w:jc w:val="right"/>
              <w:rPr>
                <w:sz w:val="20"/>
                <w:szCs w:val="20"/>
              </w:rPr>
            </w:pPr>
            <w:r>
              <w:rPr>
                <w:rFonts w:ascii="Arial" w:eastAsia="Arial" w:hAnsi="Arial" w:cs="Arial"/>
                <w:sz w:val="18"/>
                <w:szCs w:val="18"/>
              </w:rPr>
              <w:t>13</w:t>
            </w:r>
          </w:p>
        </w:tc>
      </w:tr>
      <w:tr w:rsidR="00D1587D" w14:paraId="07976141" w14:textId="77777777">
        <w:trPr>
          <w:trHeight w:val="243"/>
        </w:trPr>
        <w:tc>
          <w:tcPr>
            <w:tcW w:w="6840" w:type="dxa"/>
            <w:gridSpan w:val="2"/>
            <w:vAlign w:val="bottom"/>
          </w:tcPr>
          <w:p w14:paraId="7A07F4F8" w14:textId="77777777" w:rsidR="00D1587D" w:rsidRDefault="00410D07">
            <w:pPr>
              <w:rPr>
                <w:sz w:val="20"/>
                <w:szCs w:val="20"/>
              </w:rPr>
            </w:pPr>
            <w:r>
              <w:rPr>
                <w:rFonts w:ascii="Arial" w:eastAsia="Arial" w:hAnsi="Arial" w:cs="Arial"/>
                <w:sz w:val="18"/>
                <w:szCs w:val="18"/>
              </w:rPr>
              <w:t>Accrued Claims on Self-insured Activities</w:t>
            </w:r>
          </w:p>
        </w:tc>
        <w:tc>
          <w:tcPr>
            <w:tcW w:w="740" w:type="dxa"/>
            <w:vAlign w:val="bottom"/>
          </w:tcPr>
          <w:p w14:paraId="1E4DD5CB" w14:textId="77777777" w:rsidR="00D1587D" w:rsidRDefault="00410D07">
            <w:pPr>
              <w:ind w:right="114"/>
              <w:jc w:val="right"/>
              <w:rPr>
                <w:sz w:val="20"/>
                <w:szCs w:val="20"/>
              </w:rPr>
            </w:pPr>
            <w:r>
              <w:rPr>
                <w:rFonts w:ascii="Arial" w:eastAsia="Arial" w:hAnsi="Arial" w:cs="Arial"/>
                <w:sz w:val="18"/>
                <w:szCs w:val="18"/>
              </w:rPr>
              <w:t>17</w:t>
            </w:r>
          </w:p>
        </w:tc>
        <w:tc>
          <w:tcPr>
            <w:tcW w:w="100" w:type="dxa"/>
            <w:vAlign w:val="bottom"/>
          </w:tcPr>
          <w:p w14:paraId="2B0F7E6D" w14:textId="77777777" w:rsidR="00D1587D" w:rsidRDefault="00D1587D">
            <w:pPr>
              <w:rPr>
                <w:sz w:val="21"/>
                <w:szCs w:val="21"/>
              </w:rPr>
            </w:pPr>
          </w:p>
        </w:tc>
        <w:tc>
          <w:tcPr>
            <w:tcW w:w="740" w:type="dxa"/>
            <w:vAlign w:val="bottom"/>
          </w:tcPr>
          <w:p w14:paraId="0C71DF7C" w14:textId="77777777" w:rsidR="00D1587D" w:rsidRDefault="00410D07">
            <w:pPr>
              <w:ind w:right="93"/>
              <w:jc w:val="right"/>
              <w:rPr>
                <w:sz w:val="20"/>
                <w:szCs w:val="20"/>
              </w:rPr>
            </w:pPr>
            <w:r>
              <w:rPr>
                <w:rFonts w:ascii="Arial" w:eastAsia="Arial" w:hAnsi="Arial" w:cs="Arial"/>
                <w:sz w:val="18"/>
                <w:szCs w:val="18"/>
              </w:rPr>
              <w:t>22</w:t>
            </w:r>
          </w:p>
        </w:tc>
      </w:tr>
      <w:tr w:rsidR="00D1587D" w14:paraId="4918D512" w14:textId="77777777">
        <w:trPr>
          <w:trHeight w:val="27"/>
        </w:trPr>
        <w:tc>
          <w:tcPr>
            <w:tcW w:w="6760" w:type="dxa"/>
            <w:vAlign w:val="bottom"/>
          </w:tcPr>
          <w:p w14:paraId="557ABFD9" w14:textId="77777777" w:rsidR="00D1587D" w:rsidRDefault="00D1587D">
            <w:pPr>
              <w:rPr>
                <w:sz w:val="2"/>
                <w:szCs w:val="2"/>
              </w:rPr>
            </w:pPr>
          </w:p>
        </w:tc>
        <w:tc>
          <w:tcPr>
            <w:tcW w:w="80" w:type="dxa"/>
            <w:vAlign w:val="bottom"/>
          </w:tcPr>
          <w:p w14:paraId="611EBB60" w14:textId="77777777" w:rsidR="00D1587D" w:rsidRDefault="00D1587D">
            <w:pPr>
              <w:rPr>
                <w:sz w:val="2"/>
                <w:szCs w:val="2"/>
              </w:rPr>
            </w:pPr>
          </w:p>
        </w:tc>
        <w:tc>
          <w:tcPr>
            <w:tcW w:w="740" w:type="dxa"/>
            <w:vAlign w:val="bottom"/>
          </w:tcPr>
          <w:p w14:paraId="73074004" w14:textId="77777777" w:rsidR="00D1587D" w:rsidRDefault="00D1587D">
            <w:pPr>
              <w:rPr>
                <w:sz w:val="2"/>
                <w:szCs w:val="2"/>
              </w:rPr>
            </w:pPr>
          </w:p>
        </w:tc>
        <w:tc>
          <w:tcPr>
            <w:tcW w:w="100" w:type="dxa"/>
            <w:vAlign w:val="bottom"/>
          </w:tcPr>
          <w:p w14:paraId="782FDA1A" w14:textId="77777777" w:rsidR="00D1587D" w:rsidRDefault="00D1587D">
            <w:pPr>
              <w:rPr>
                <w:sz w:val="2"/>
                <w:szCs w:val="2"/>
              </w:rPr>
            </w:pPr>
          </w:p>
        </w:tc>
        <w:tc>
          <w:tcPr>
            <w:tcW w:w="740" w:type="dxa"/>
            <w:vAlign w:val="bottom"/>
          </w:tcPr>
          <w:p w14:paraId="5ECF1300" w14:textId="77777777" w:rsidR="00D1587D" w:rsidRDefault="00D1587D">
            <w:pPr>
              <w:rPr>
                <w:sz w:val="2"/>
                <w:szCs w:val="2"/>
              </w:rPr>
            </w:pPr>
          </w:p>
        </w:tc>
      </w:tr>
      <w:tr w:rsidR="00D1587D" w14:paraId="3BE0F0CA" w14:textId="77777777">
        <w:trPr>
          <w:trHeight w:val="297"/>
        </w:trPr>
        <w:tc>
          <w:tcPr>
            <w:tcW w:w="6840" w:type="dxa"/>
            <w:gridSpan w:val="2"/>
            <w:tcBorders>
              <w:bottom w:val="single" w:sz="8" w:space="0" w:color="CCEEFF"/>
            </w:tcBorders>
            <w:shd w:val="clear" w:color="auto" w:fill="CCEEFF"/>
            <w:vAlign w:val="bottom"/>
          </w:tcPr>
          <w:p w14:paraId="58B2E6DC" w14:textId="77777777" w:rsidR="00D1587D" w:rsidRDefault="00410D07">
            <w:pPr>
              <w:rPr>
                <w:sz w:val="20"/>
                <w:szCs w:val="20"/>
              </w:rPr>
            </w:pPr>
            <w:r>
              <w:rPr>
                <w:rFonts w:ascii="Arial" w:eastAsia="Arial" w:hAnsi="Arial" w:cs="Arial"/>
                <w:sz w:val="18"/>
                <w:szCs w:val="18"/>
              </w:rPr>
              <w:t>Other</w:t>
            </w:r>
          </w:p>
        </w:tc>
        <w:tc>
          <w:tcPr>
            <w:tcW w:w="740" w:type="dxa"/>
            <w:tcBorders>
              <w:bottom w:val="single" w:sz="8" w:space="0" w:color="CCEEFF"/>
            </w:tcBorders>
            <w:shd w:val="clear" w:color="auto" w:fill="CCEEFF"/>
            <w:vAlign w:val="bottom"/>
          </w:tcPr>
          <w:p w14:paraId="624F5F29" w14:textId="77777777" w:rsidR="00D1587D" w:rsidRDefault="00410D07">
            <w:pPr>
              <w:ind w:right="114"/>
              <w:jc w:val="right"/>
              <w:rPr>
                <w:sz w:val="20"/>
                <w:szCs w:val="20"/>
              </w:rPr>
            </w:pPr>
            <w:r>
              <w:rPr>
                <w:rFonts w:ascii="Arial" w:eastAsia="Arial" w:hAnsi="Arial" w:cs="Arial"/>
                <w:sz w:val="18"/>
                <w:szCs w:val="18"/>
              </w:rPr>
              <w:t>137</w:t>
            </w:r>
          </w:p>
        </w:tc>
        <w:tc>
          <w:tcPr>
            <w:tcW w:w="100" w:type="dxa"/>
            <w:tcBorders>
              <w:bottom w:val="single" w:sz="8" w:space="0" w:color="CCEEFF"/>
            </w:tcBorders>
            <w:shd w:val="clear" w:color="auto" w:fill="CCEEFF"/>
            <w:vAlign w:val="bottom"/>
          </w:tcPr>
          <w:p w14:paraId="1A028E8D" w14:textId="77777777" w:rsidR="00D1587D" w:rsidRDefault="00D1587D">
            <w:pPr>
              <w:rPr>
                <w:sz w:val="24"/>
                <w:szCs w:val="24"/>
              </w:rPr>
            </w:pPr>
          </w:p>
        </w:tc>
        <w:tc>
          <w:tcPr>
            <w:tcW w:w="740" w:type="dxa"/>
            <w:tcBorders>
              <w:bottom w:val="single" w:sz="8" w:space="0" w:color="CCEEFF"/>
            </w:tcBorders>
            <w:shd w:val="clear" w:color="auto" w:fill="CCEEFF"/>
            <w:vAlign w:val="bottom"/>
          </w:tcPr>
          <w:p w14:paraId="6F2364DA" w14:textId="77777777" w:rsidR="00D1587D" w:rsidRDefault="00410D07">
            <w:pPr>
              <w:ind w:right="113"/>
              <w:jc w:val="right"/>
              <w:rPr>
                <w:sz w:val="20"/>
                <w:szCs w:val="20"/>
              </w:rPr>
            </w:pPr>
            <w:r>
              <w:rPr>
                <w:rFonts w:ascii="Arial" w:eastAsia="Arial" w:hAnsi="Arial" w:cs="Arial"/>
                <w:sz w:val="18"/>
                <w:szCs w:val="18"/>
              </w:rPr>
              <w:t>133</w:t>
            </w:r>
          </w:p>
        </w:tc>
      </w:tr>
      <w:tr w:rsidR="00D1587D" w14:paraId="0D37B73D" w14:textId="77777777">
        <w:trPr>
          <w:trHeight w:val="290"/>
        </w:trPr>
        <w:tc>
          <w:tcPr>
            <w:tcW w:w="6760" w:type="dxa"/>
            <w:vAlign w:val="bottom"/>
          </w:tcPr>
          <w:p w14:paraId="3F8236F2" w14:textId="77777777" w:rsidR="00D1587D" w:rsidRDefault="00410D07">
            <w:pPr>
              <w:rPr>
                <w:sz w:val="20"/>
                <w:szCs w:val="20"/>
              </w:rPr>
            </w:pPr>
            <w:r>
              <w:rPr>
                <w:rFonts w:ascii="Arial" w:eastAsia="Arial" w:hAnsi="Arial" w:cs="Arial"/>
                <w:sz w:val="18"/>
                <w:szCs w:val="18"/>
              </w:rPr>
              <w:t>Total Accrued Expenses and Other</w:t>
            </w:r>
          </w:p>
        </w:tc>
        <w:tc>
          <w:tcPr>
            <w:tcW w:w="80" w:type="dxa"/>
            <w:tcBorders>
              <w:top w:val="single" w:sz="8" w:space="0" w:color="CCEEFF"/>
            </w:tcBorders>
            <w:vAlign w:val="bottom"/>
          </w:tcPr>
          <w:p w14:paraId="0182B949" w14:textId="77777777" w:rsidR="00D1587D" w:rsidRDefault="00D1587D">
            <w:pPr>
              <w:rPr>
                <w:sz w:val="24"/>
                <w:szCs w:val="24"/>
              </w:rPr>
            </w:pPr>
          </w:p>
        </w:tc>
        <w:tc>
          <w:tcPr>
            <w:tcW w:w="740" w:type="dxa"/>
            <w:tcBorders>
              <w:top w:val="single" w:sz="8" w:space="0" w:color="auto"/>
            </w:tcBorders>
            <w:vAlign w:val="bottom"/>
          </w:tcPr>
          <w:p w14:paraId="0F0AD10E" w14:textId="77777777" w:rsidR="00D1587D" w:rsidRDefault="00410D07">
            <w:pPr>
              <w:ind w:right="114"/>
              <w:jc w:val="right"/>
              <w:rPr>
                <w:sz w:val="20"/>
                <w:szCs w:val="20"/>
              </w:rPr>
            </w:pPr>
            <w:r>
              <w:rPr>
                <w:rFonts w:ascii="Arial" w:eastAsia="Arial" w:hAnsi="Arial" w:cs="Arial"/>
                <w:sz w:val="18"/>
                <w:szCs w:val="18"/>
              </w:rPr>
              <w:t>$776</w:t>
            </w:r>
          </w:p>
        </w:tc>
        <w:tc>
          <w:tcPr>
            <w:tcW w:w="100" w:type="dxa"/>
            <w:tcBorders>
              <w:top w:val="single" w:sz="8" w:space="0" w:color="CCEEFF"/>
            </w:tcBorders>
            <w:vAlign w:val="bottom"/>
          </w:tcPr>
          <w:p w14:paraId="2D02CE05" w14:textId="77777777" w:rsidR="00D1587D" w:rsidRDefault="00D1587D">
            <w:pPr>
              <w:rPr>
                <w:sz w:val="24"/>
                <w:szCs w:val="24"/>
              </w:rPr>
            </w:pPr>
          </w:p>
        </w:tc>
        <w:tc>
          <w:tcPr>
            <w:tcW w:w="740" w:type="dxa"/>
            <w:tcBorders>
              <w:top w:val="single" w:sz="8" w:space="0" w:color="auto"/>
            </w:tcBorders>
            <w:vAlign w:val="bottom"/>
          </w:tcPr>
          <w:p w14:paraId="5FA6632E" w14:textId="77777777" w:rsidR="00D1587D" w:rsidRDefault="00410D07">
            <w:pPr>
              <w:ind w:right="93"/>
              <w:jc w:val="right"/>
              <w:rPr>
                <w:sz w:val="20"/>
                <w:szCs w:val="20"/>
              </w:rPr>
            </w:pPr>
            <w:r>
              <w:rPr>
                <w:rFonts w:ascii="Arial" w:eastAsia="Arial" w:hAnsi="Arial" w:cs="Arial"/>
                <w:sz w:val="18"/>
                <w:szCs w:val="18"/>
              </w:rPr>
              <w:t>$614</w:t>
            </w:r>
          </w:p>
        </w:tc>
      </w:tr>
      <w:tr w:rsidR="00D1587D" w14:paraId="1527150A" w14:textId="77777777">
        <w:trPr>
          <w:trHeight w:val="27"/>
        </w:trPr>
        <w:tc>
          <w:tcPr>
            <w:tcW w:w="6760" w:type="dxa"/>
            <w:vAlign w:val="bottom"/>
          </w:tcPr>
          <w:p w14:paraId="2D7D60F3" w14:textId="77777777" w:rsidR="00D1587D" w:rsidRDefault="00D1587D">
            <w:pPr>
              <w:rPr>
                <w:sz w:val="2"/>
                <w:szCs w:val="2"/>
              </w:rPr>
            </w:pPr>
          </w:p>
        </w:tc>
        <w:tc>
          <w:tcPr>
            <w:tcW w:w="80" w:type="dxa"/>
            <w:vAlign w:val="bottom"/>
          </w:tcPr>
          <w:p w14:paraId="3DFD1030" w14:textId="77777777" w:rsidR="00D1587D" w:rsidRDefault="00D1587D">
            <w:pPr>
              <w:rPr>
                <w:sz w:val="2"/>
                <w:szCs w:val="2"/>
              </w:rPr>
            </w:pPr>
          </w:p>
        </w:tc>
        <w:tc>
          <w:tcPr>
            <w:tcW w:w="740" w:type="dxa"/>
            <w:tcBorders>
              <w:bottom w:val="single" w:sz="8" w:space="0" w:color="auto"/>
            </w:tcBorders>
            <w:vAlign w:val="bottom"/>
          </w:tcPr>
          <w:p w14:paraId="3062C6F9" w14:textId="77777777" w:rsidR="00D1587D" w:rsidRDefault="00D1587D">
            <w:pPr>
              <w:rPr>
                <w:sz w:val="2"/>
                <w:szCs w:val="2"/>
              </w:rPr>
            </w:pPr>
          </w:p>
        </w:tc>
        <w:tc>
          <w:tcPr>
            <w:tcW w:w="100" w:type="dxa"/>
            <w:vAlign w:val="bottom"/>
          </w:tcPr>
          <w:p w14:paraId="58780783" w14:textId="77777777" w:rsidR="00D1587D" w:rsidRDefault="00D1587D">
            <w:pPr>
              <w:rPr>
                <w:sz w:val="2"/>
                <w:szCs w:val="2"/>
              </w:rPr>
            </w:pPr>
          </w:p>
        </w:tc>
        <w:tc>
          <w:tcPr>
            <w:tcW w:w="740" w:type="dxa"/>
            <w:tcBorders>
              <w:bottom w:val="single" w:sz="8" w:space="0" w:color="auto"/>
            </w:tcBorders>
            <w:vAlign w:val="bottom"/>
          </w:tcPr>
          <w:p w14:paraId="0FC50A41" w14:textId="77777777" w:rsidR="00D1587D" w:rsidRDefault="00D1587D">
            <w:pPr>
              <w:rPr>
                <w:sz w:val="2"/>
                <w:szCs w:val="2"/>
              </w:rPr>
            </w:pPr>
          </w:p>
        </w:tc>
      </w:tr>
      <w:tr w:rsidR="00D1587D" w14:paraId="3B37F961" w14:textId="77777777">
        <w:trPr>
          <w:trHeight w:val="20"/>
        </w:trPr>
        <w:tc>
          <w:tcPr>
            <w:tcW w:w="6760" w:type="dxa"/>
            <w:vAlign w:val="bottom"/>
          </w:tcPr>
          <w:p w14:paraId="175EE7AB" w14:textId="77777777" w:rsidR="00D1587D" w:rsidRDefault="00D1587D">
            <w:pPr>
              <w:spacing w:line="20" w:lineRule="exact"/>
              <w:rPr>
                <w:sz w:val="1"/>
                <w:szCs w:val="1"/>
              </w:rPr>
            </w:pPr>
          </w:p>
        </w:tc>
        <w:tc>
          <w:tcPr>
            <w:tcW w:w="80" w:type="dxa"/>
            <w:vAlign w:val="bottom"/>
          </w:tcPr>
          <w:p w14:paraId="2EEA4617" w14:textId="77777777" w:rsidR="00D1587D" w:rsidRDefault="00D1587D">
            <w:pPr>
              <w:spacing w:line="20" w:lineRule="exact"/>
              <w:rPr>
                <w:sz w:val="1"/>
                <w:szCs w:val="1"/>
              </w:rPr>
            </w:pPr>
          </w:p>
        </w:tc>
        <w:tc>
          <w:tcPr>
            <w:tcW w:w="740" w:type="dxa"/>
            <w:tcBorders>
              <w:bottom w:val="single" w:sz="8" w:space="0" w:color="auto"/>
            </w:tcBorders>
            <w:vAlign w:val="bottom"/>
          </w:tcPr>
          <w:p w14:paraId="6C8FB852" w14:textId="77777777" w:rsidR="00D1587D" w:rsidRDefault="00D1587D">
            <w:pPr>
              <w:spacing w:line="20" w:lineRule="exact"/>
              <w:rPr>
                <w:sz w:val="1"/>
                <w:szCs w:val="1"/>
              </w:rPr>
            </w:pPr>
          </w:p>
        </w:tc>
        <w:tc>
          <w:tcPr>
            <w:tcW w:w="100" w:type="dxa"/>
            <w:vAlign w:val="bottom"/>
          </w:tcPr>
          <w:p w14:paraId="609F0511" w14:textId="77777777" w:rsidR="00D1587D" w:rsidRDefault="00D1587D">
            <w:pPr>
              <w:spacing w:line="20" w:lineRule="exact"/>
              <w:rPr>
                <w:sz w:val="1"/>
                <w:szCs w:val="1"/>
              </w:rPr>
            </w:pPr>
          </w:p>
        </w:tc>
        <w:tc>
          <w:tcPr>
            <w:tcW w:w="740" w:type="dxa"/>
            <w:tcBorders>
              <w:bottom w:val="single" w:sz="8" w:space="0" w:color="auto"/>
            </w:tcBorders>
            <w:vAlign w:val="bottom"/>
          </w:tcPr>
          <w:p w14:paraId="4F9250F0" w14:textId="77777777" w:rsidR="00D1587D" w:rsidRDefault="00D1587D">
            <w:pPr>
              <w:spacing w:line="20" w:lineRule="exact"/>
              <w:rPr>
                <w:sz w:val="1"/>
                <w:szCs w:val="1"/>
              </w:rPr>
            </w:pPr>
          </w:p>
        </w:tc>
      </w:tr>
    </w:tbl>
    <w:p w14:paraId="6D66D12E" w14:textId="77777777" w:rsidR="00D1587D" w:rsidRDefault="00410D07">
      <w:pPr>
        <w:spacing w:line="20" w:lineRule="exact"/>
        <w:rPr>
          <w:sz w:val="20"/>
          <w:szCs w:val="20"/>
        </w:rPr>
      </w:pPr>
      <w:r>
        <w:rPr>
          <w:noProof/>
          <w:sz w:val="20"/>
          <w:szCs w:val="20"/>
        </w:rPr>
        <w:drawing>
          <wp:anchor distT="0" distB="0" distL="114300" distR="114300" simplePos="0" relativeHeight="252094464" behindDoc="1" locked="0" layoutInCell="0" allowOverlap="1" wp14:anchorId="603B6E52" wp14:editId="630421B8">
            <wp:simplePos x="0" y="0"/>
            <wp:positionH relativeFrom="column">
              <wp:posOffset>5003165</wp:posOffset>
            </wp:positionH>
            <wp:positionV relativeFrom="paragraph">
              <wp:posOffset>-2339340</wp:posOffset>
            </wp:positionV>
            <wp:extent cx="68580" cy="8255"/>
            <wp:effectExtent l="0" t="0" r="0" b="0"/>
            <wp:wrapNone/>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p>
    <w:p w14:paraId="1C73D4D7" w14:textId="77777777" w:rsidR="00D1587D" w:rsidRDefault="00D1587D">
      <w:pPr>
        <w:sectPr w:rsidR="00D1587D">
          <w:pgSz w:w="11900" w:h="16838"/>
          <w:pgMar w:top="265" w:right="1440" w:bottom="1440" w:left="1440" w:header="0" w:footer="0" w:gutter="0"/>
          <w:cols w:space="720" w:equalWidth="0">
            <w:col w:w="9019"/>
          </w:cols>
        </w:sectPr>
      </w:pPr>
    </w:p>
    <w:p w14:paraId="22B8EACA" w14:textId="77777777" w:rsidR="00D1587D" w:rsidRDefault="00D1587D">
      <w:pPr>
        <w:spacing w:line="202" w:lineRule="exact"/>
        <w:rPr>
          <w:sz w:val="20"/>
          <w:szCs w:val="20"/>
        </w:rPr>
      </w:pPr>
    </w:p>
    <w:p w14:paraId="2B140114" w14:textId="77777777" w:rsidR="00D1587D" w:rsidRDefault="00410D07">
      <w:pPr>
        <w:jc w:val="center"/>
        <w:rPr>
          <w:sz w:val="20"/>
          <w:szCs w:val="20"/>
        </w:rPr>
      </w:pPr>
      <w:r>
        <w:rPr>
          <w:rFonts w:ascii="Arial" w:eastAsia="Arial" w:hAnsi="Arial" w:cs="Arial"/>
          <w:sz w:val="16"/>
          <w:szCs w:val="16"/>
        </w:rPr>
        <w:t>F-22</w:t>
      </w:r>
    </w:p>
    <w:p w14:paraId="397A30DC" w14:textId="77777777" w:rsidR="00D1587D" w:rsidRDefault="00410D07">
      <w:pPr>
        <w:spacing w:line="20" w:lineRule="exact"/>
        <w:rPr>
          <w:sz w:val="20"/>
          <w:szCs w:val="20"/>
        </w:rPr>
      </w:pPr>
      <w:r>
        <w:rPr>
          <w:noProof/>
          <w:sz w:val="20"/>
          <w:szCs w:val="20"/>
        </w:rPr>
        <w:drawing>
          <wp:anchor distT="0" distB="0" distL="114300" distR="114300" simplePos="0" relativeHeight="252095488" behindDoc="1" locked="0" layoutInCell="0" allowOverlap="1" wp14:anchorId="308E7932" wp14:editId="64CC3579">
            <wp:simplePos x="0" y="0"/>
            <wp:positionH relativeFrom="column">
              <wp:posOffset>-636905</wp:posOffset>
            </wp:positionH>
            <wp:positionV relativeFrom="paragraph">
              <wp:posOffset>140970</wp:posOffset>
            </wp:positionV>
            <wp:extent cx="6995160" cy="17145"/>
            <wp:effectExtent l="0" t="0" r="0" b="0"/>
            <wp:wrapNone/>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FB14489" w14:textId="77777777" w:rsidR="00D1587D" w:rsidRDefault="00D1587D">
      <w:pPr>
        <w:sectPr w:rsidR="00D1587D">
          <w:type w:val="continuous"/>
          <w:pgSz w:w="11900" w:h="16838"/>
          <w:pgMar w:top="265" w:right="1440" w:bottom="1440" w:left="1440" w:header="0" w:footer="0" w:gutter="0"/>
          <w:cols w:space="720" w:equalWidth="0">
            <w:col w:w="9019"/>
          </w:cols>
        </w:sectPr>
      </w:pPr>
    </w:p>
    <w:bookmarkStart w:id="418" w:name="page419"/>
    <w:bookmarkEnd w:id="418"/>
    <w:p w14:paraId="6E9F02B9" w14:textId="77777777" w:rsidR="00D1587D" w:rsidRDefault="00410D07">
      <w:pPr>
        <w:ind w:left="1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53873EF" w14:textId="77777777" w:rsidR="00D1587D" w:rsidRDefault="00D1587D">
      <w:pPr>
        <w:spacing w:line="127" w:lineRule="exact"/>
        <w:rPr>
          <w:sz w:val="20"/>
          <w:szCs w:val="20"/>
        </w:rPr>
      </w:pPr>
    </w:p>
    <w:p w14:paraId="41C47410" w14:textId="77777777" w:rsidR="00D1587D" w:rsidRDefault="00410D07">
      <w:pPr>
        <w:ind w:left="1300"/>
        <w:rPr>
          <w:sz w:val="20"/>
          <w:szCs w:val="20"/>
        </w:rPr>
      </w:pPr>
      <w:r>
        <w:rPr>
          <w:rFonts w:ascii="Arial" w:eastAsia="Arial" w:hAnsi="Arial" w:cs="Arial"/>
          <w:b/>
          <w:bCs/>
          <w:sz w:val="18"/>
          <w:szCs w:val="18"/>
        </w:rPr>
        <w:t>11. Income Taxes</w:t>
      </w:r>
    </w:p>
    <w:p w14:paraId="28A5544B" w14:textId="77777777" w:rsidR="00D1587D" w:rsidRDefault="00D1587D">
      <w:pPr>
        <w:spacing w:line="121" w:lineRule="exact"/>
        <w:rPr>
          <w:sz w:val="20"/>
          <w:szCs w:val="20"/>
        </w:rPr>
      </w:pPr>
    </w:p>
    <w:p w14:paraId="699F89D9" w14:textId="77777777" w:rsidR="00D1587D" w:rsidRDefault="00410D07">
      <w:pPr>
        <w:spacing w:line="291" w:lineRule="auto"/>
        <w:ind w:left="1300" w:right="1420" w:firstLine="360"/>
        <w:rPr>
          <w:sz w:val="20"/>
          <w:szCs w:val="20"/>
        </w:rPr>
      </w:pPr>
      <w:r>
        <w:rPr>
          <w:rFonts w:ascii="Arial" w:eastAsia="Arial" w:hAnsi="Arial" w:cs="Arial"/>
          <w:sz w:val="16"/>
          <w:szCs w:val="16"/>
        </w:rPr>
        <w:t xml:space="preserve">For purposes of our combined financial statements, income </w:t>
      </w:r>
      <w:r>
        <w:rPr>
          <w:rFonts w:ascii="Arial" w:eastAsia="Arial" w:hAnsi="Arial" w:cs="Arial"/>
          <w:sz w:val="16"/>
          <w:szCs w:val="16"/>
        </w:rPr>
        <w:t>taxes have been calculated as if we file income tax returns for the Company on a standalone basis. The Company’s U.S. operations and certain of its non-</w:t>
      </w:r>
    </w:p>
    <w:p w14:paraId="28784A69" w14:textId="77777777" w:rsidR="00D1587D" w:rsidRDefault="00410D07">
      <w:pPr>
        <w:spacing w:line="295" w:lineRule="auto"/>
        <w:ind w:left="1300" w:right="1300"/>
        <w:rPr>
          <w:sz w:val="20"/>
          <w:szCs w:val="20"/>
        </w:rPr>
      </w:pPr>
      <w:r>
        <w:rPr>
          <w:rFonts w:ascii="Arial" w:eastAsia="Arial" w:hAnsi="Arial" w:cs="Arial"/>
          <w:sz w:val="16"/>
          <w:szCs w:val="16"/>
        </w:rPr>
        <w:t>U.S. operations historically have been included in the income tax returns of L Brands or its subsidiari</w:t>
      </w:r>
      <w:r>
        <w:rPr>
          <w:rFonts w:ascii="Arial" w:eastAsia="Arial" w:hAnsi="Arial" w:cs="Arial"/>
          <w:sz w:val="16"/>
          <w:szCs w:val="16"/>
        </w:rPr>
        <w:t>es that may not be part of the Company. The Company believes the assumptions supporting its allocation and presentation of income taxes on a separate return basis are reasonable. However, the Company’s tax results, as presented in the combined financial st</w:t>
      </w:r>
      <w:r>
        <w:rPr>
          <w:rFonts w:ascii="Arial" w:eastAsia="Arial" w:hAnsi="Arial" w:cs="Arial"/>
          <w:sz w:val="16"/>
          <w:szCs w:val="16"/>
        </w:rPr>
        <w:t>atements, may not be reflective of the results that the Company expects to generate in the future.</w:t>
      </w:r>
    </w:p>
    <w:p w14:paraId="29CB6C4C" w14:textId="77777777" w:rsidR="00D1587D" w:rsidRDefault="00D1587D">
      <w:pPr>
        <w:spacing w:line="53" w:lineRule="exact"/>
        <w:rPr>
          <w:sz w:val="20"/>
          <w:szCs w:val="20"/>
        </w:rPr>
      </w:pPr>
    </w:p>
    <w:p w14:paraId="7C066464" w14:textId="77777777" w:rsidR="00D1587D" w:rsidRDefault="00410D07">
      <w:pPr>
        <w:spacing w:line="255" w:lineRule="auto"/>
        <w:ind w:left="1300" w:right="1400" w:firstLine="360"/>
        <w:rPr>
          <w:sz w:val="20"/>
          <w:szCs w:val="20"/>
        </w:rPr>
      </w:pPr>
      <w:r>
        <w:rPr>
          <w:rFonts w:ascii="Arial" w:eastAsia="Arial" w:hAnsi="Arial" w:cs="Arial"/>
          <w:sz w:val="18"/>
          <w:szCs w:val="18"/>
        </w:rPr>
        <w:t>Current income tax expense represents the amounts expected to be reported on the Company’s income tax returns, and deferred tax expense or benefit represent</w:t>
      </w:r>
      <w:r>
        <w:rPr>
          <w:rFonts w:ascii="Arial" w:eastAsia="Arial" w:hAnsi="Arial" w:cs="Arial"/>
          <w:sz w:val="18"/>
          <w:szCs w:val="18"/>
        </w:rPr>
        <w:t>s the change in net deferred tax assets and liabilities. Deferred tax assets and liabilities are determined based on the difference between the financial statement and tax bases of assets and liabilities as measured by the enacted tax rates that will be in</w:t>
      </w:r>
      <w:r>
        <w:rPr>
          <w:rFonts w:ascii="Arial" w:eastAsia="Arial" w:hAnsi="Arial" w:cs="Arial"/>
          <w:sz w:val="18"/>
          <w:szCs w:val="18"/>
        </w:rPr>
        <w:t xml:space="preserve"> effect when these differences reverse. Valuation allowances are recorded as appropriate to reduce deferred tax assets to the amount considered likely to be realized.</w:t>
      </w:r>
    </w:p>
    <w:p w14:paraId="1C4646CB" w14:textId="77777777" w:rsidR="00D1587D" w:rsidRDefault="00D1587D">
      <w:pPr>
        <w:spacing w:line="84" w:lineRule="exact"/>
        <w:rPr>
          <w:sz w:val="20"/>
          <w:szCs w:val="20"/>
        </w:rPr>
      </w:pPr>
    </w:p>
    <w:p w14:paraId="4F1693F7" w14:textId="77777777" w:rsidR="00D1587D" w:rsidRDefault="00410D07">
      <w:pPr>
        <w:spacing w:line="277" w:lineRule="auto"/>
        <w:ind w:left="1300" w:right="1440" w:firstLine="360"/>
        <w:rPr>
          <w:sz w:val="20"/>
          <w:szCs w:val="20"/>
        </w:rPr>
      </w:pPr>
      <w:r>
        <w:rPr>
          <w:rFonts w:ascii="Arial" w:eastAsia="Arial" w:hAnsi="Arial" w:cs="Arial"/>
          <w:sz w:val="18"/>
          <w:szCs w:val="18"/>
        </w:rPr>
        <w:t>The following table provides the components of the Company’s provision (benefit) for inc</w:t>
      </w:r>
      <w:r>
        <w:rPr>
          <w:rFonts w:ascii="Arial" w:eastAsia="Arial" w:hAnsi="Arial" w:cs="Arial"/>
          <w:sz w:val="18"/>
          <w:szCs w:val="18"/>
        </w:rPr>
        <w:t>ome taxes for 2020, 2019 and 2018:</w:t>
      </w:r>
    </w:p>
    <w:p w14:paraId="303749BE" w14:textId="77777777" w:rsidR="00D1587D" w:rsidRDefault="00D1587D">
      <w:pPr>
        <w:spacing w:line="135" w:lineRule="exact"/>
        <w:rPr>
          <w:sz w:val="20"/>
          <w:szCs w:val="20"/>
        </w:rPr>
      </w:pPr>
    </w:p>
    <w:tbl>
      <w:tblPr>
        <w:tblW w:w="0" w:type="auto"/>
        <w:tblInd w:w="1300" w:type="dxa"/>
        <w:tblLayout w:type="fixed"/>
        <w:tblCellMar>
          <w:left w:w="0" w:type="dxa"/>
          <w:right w:w="0" w:type="dxa"/>
        </w:tblCellMar>
        <w:tblLook w:val="04A0" w:firstRow="1" w:lastRow="0" w:firstColumn="1" w:lastColumn="0" w:noHBand="0" w:noVBand="1"/>
      </w:tblPr>
      <w:tblGrid>
        <w:gridCol w:w="6660"/>
        <w:gridCol w:w="100"/>
        <w:gridCol w:w="120"/>
        <w:gridCol w:w="280"/>
        <w:gridCol w:w="220"/>
        <w:gridCol w:w="380"/>
        <w:gridCol w:w="220"/>
        <w:gridCol w:w="440"/>
      </w:tblGrid>
      <w:tr w:rsidR="00D1587D" w14:paraId="42DB7714" w14:textId="77777777">
        <w:trPr>
          <w:trHeight w:val="186"/>
        </w:trPr>
        <w:tc>
          <w:tcPr>
            <w:tcW w:w="6660" w:type="dxa"/>
            <w:vAlign w:val="bottom"/>
          </w:tcPr>
          <w:p w14:paraId="5414BDC9" w14:textId="77777777" w:rsidR="00D1587D" w:rsidRDefault="00D1587D">
            <w:pPr>
              <w:rPr>
                <w:sz w:val="16"/>
                <w:szCs w:val="16"/>
              </w:rPr>
            </w:pPr>
          </w:p>
        </w:tc>
        <w:tc>
          <w:tcPr>
            <w:tcW w:w="100" w:type="dxa"/>
            <w:vAlign w:val="bottom"/>
          </w:tcPr>
          <w:p w14:paraId="3AC1B7F7" w14:textId="77777777" w:rsidR="00D1587D" w:rsidRDefault="00D1587D">
            <w:pPr>
              <w:rPr>
                <w:sz w:val="16"/>
                <w:szCs w:val="16"/>
              </w:rPr>
            </w:pPr>
          </w:p>
        </w:tc>
        <w:tc>
          <w:tcPr>
            <w:tcW w:w="400" w:type="dxa"/>
            <w:gridSpan w:val="2"/>
            <w:vAlign w:val="bottom"/>
          </w:tcPr>
          <w:p w14:paraId="34BB4072" w14:textId="77777777" w:rsidR="00D1587D" w:rsidRDefault="00410D07">
            <w:pPr>
              <w:jc w:val="right"/>
              <w:rPr>
                <w:sz w:val="20"/>
                <w:szCs w:val="20"/>
              </w:rPr>
            </w:pPr>
            <w:r>
              <w:rPr>
                <w:rFonts w:ascii="Arial" w:eastAsia="Arial" w:hAnsi="Arial" w:cs="Arial"/>
                <w:b/>
                <w:bCs/>
                <w:sz w:val="14"/>
                <w:szCs w:val="14"/>
              </w:rPr>
              <w:t>2020</w:t>
            </w:r>
          </w:p>
        </w:tc>
        <w:tc>
          <w:tcPr>
            <w:tcW w:w="600" w:type="dxa"/>
            <w:gridSpan w:val="2"/>
            <w:vAlign w:val="bottom"/>
          </w:tcPr>
          <w:p w14:paraId="0EA4145B" w14:textId="77777777" w:rsidR="00D1587D" w:rsidRDefault="00410D07">
            <w:pPr>
              <w:ind w:right="40"/>
              <w:jc w:val="right"/>
              <w:rPr>
                <w:sz w:val="20"/>
                <w:szCs w:val="20"/>
              </w:rPr>
            </w:pPr>
            <w:r>
              <w:rPr>
                <w:rFonts w:ascii="Arial" w:eastAsia="Arial" w:hAnsi="Arial" w:cs="Arial"/>
                <w:b/>
                <w:bCs/>
                <w:sz w:val="14"/>
                <w:szCs w:val="14"/>
              </w:rPr>
              <w:t>2019</w:t>
            </w:r>
          </w:p>
        </w:tc>
        <w:tc>
          <w:tcPr>
            <w:tcW w:w="220" w:type="dxa"/>
            <w:vAlign w:val="bottom"/>
          </w:tcPr>
          <w:p w14:paraId="47ADB0B7" w14:textId="77777777" w:rsidR="00D1587D" w:rsidRDefault="00D1587D">
            <w:pPr>
              <w:rPr>
                <w:sz w:val="16"/>
                <w:szCs w:val="16"/>
              </w:rPr>
            </w:pPr>
          </w:p>
        </w:tc>
        <w:tc>
          <w:tcPr>
            <w:tcW w:w="440" w:type="dxa"/>
            <w:vAlign w:val="bottom"/>
          </w:tcPr>
          <w:p w14:paraId="6D612529" w14:textId="77777777" w:rsidR="00D1587D" w:rsidRDefault="00410D07">
            <w:pPr>
              <w:jc w:val="right"/>
              <w:rPr>
                <w:sz w:val="20"/>
                <w:szCs w:val="20"/>
              </w:rPr>
            </w:pPr>
            <w:r>
              <w:rPr>
                <w:rFonts w:ascii="Arial" w:eastAsia="Arial" w:hAnsi="Arial" w:cs="Arial"/>
                <w:b/>
                <w:bCs/>
                <w:sz w:val="14"/>
                <w:szCs w:val="14"/>
              </w:rPr>
              <w:t>2018</w:t>
            </w:r>
          </w:p>
        </w:tc>
      </w:tr>
      <w:tr w:rsidR="00D1587D" w14:paraId="3E806573" w14:textId="77777777">
        <w:trPr>
          <w:trHeight w:val="53"/>
        </w:trPr>
        <w:tc>
          <w:tcPr>
            <w:tcW w:w="6660" w:type="dxa"/>
            <w:vAlign w:val="bottom"/>
          </w:tcPr>
          <w:p w14:paraId="7874045E" w14:textId="77777777" w:rsidR="00D1587D" w:rsidRDefault="00D1587D">
            <w:pPr>
              <w:rPr>
                <w:sz w:val="4"/>
                <w:szCs w:val="4"/>
              </w:rPr>
            </w:pPr>
          </w:p>
        </w:tc>
        <w:tc>
          <w:tcPr>
            <w:tcW w:w="100" w:type="dxa"/>
            <w:vAlign w:val="bottom"/>
          </w:tcPr>
          <w:p w14:paraId="15D87CA4" w14:textId="77777777" w:rsidR="00D1587D" w:rsidRDefault="00D1587D">
            <w:pPr>
              <w:rPr>
                <w:sz w:val="4"/>
                <w:szCs w:val="4"/>
              </w:rPr>
            </w:pPr>
          </w:p>
        </w:tc>
        <w:tc>
          <w:tcPr>
            <w:tcW w:w="120" w:type="dxa"/>
            <w:tcBorders>
              <w:bottom w:val="single" w:sz="8" w:space="0" w:color="auto"/>
            </w:tcBorders>
            <w:vAlign w:val="bottom"/>
          </w:tcPr>
          <w:p w14:paraId="2D326809" w14:textId="77777777" w:rsidR="00D1587D" w:rsidRDefault="00D1587D">
            <w:pPr>
              <w:rPr>
                <w:sz w:val="4"/>
                <w:szCs w:val="4"/>
              </w:rPr>
            </w:pPr>
          </w:p>
        </w:tc>
        <w:tc>
          <w:tcPr>
            <w:tcW w:w="280" w:type="dxa"/>
            <w:tcBorders>
              <w:bottom w:val="single" w:sz="8" w:space="0" w:color="auto"/>
            </w:tcBorders>
            <w:vAlign w:val="bottom"/>
          </w:tcPr>
          <w:p w14:paraId="01CDED8D" w14:textId="77777777" w:rsidR="00D1587D" w:rsidRDefault="00D1587D">
            <w:pPr>
              <w:rPr>
                <w:sz w:val="4"/>
                <w:szCs w:val="4"/>
              </w:rPr>
            </w:pPr>
          </w:p>
        </w:tc>
        <w:tc>
          <w:tcPr>
            <w:tcW w:w="820" w:type="dxa"/>
            <w:gridSpan w:val="3"/>
            <w:tcBorders>
              <w:bottom w:val="single" w:sz="8" w:space="0" w:color="auto"/>
            </w:tcBorders>
            <w:vAlign w:val="bottom"/>
          </w:tcPr>
          <w:p w14:paraId="541EEA40" w14:textId="77777777" w:rsidR="00D1587D" w:rsidRDefault="00D1587D">
            <w:pPr>
              <w:rPr>
                <w:sz w:val="4"/>
                <w:szCs w:val="4"/>
              </w:rPr>
            </w:pPr>
          </w:p>
        </w:tc>
        <w:tc>
          <w:tcPr>
            <w:tcW w:w="440" w:type="dxa"/>
            <w:tcBorders>
              <w:bottom w:val="single" w:sz="8" w:space="0" w:color="auto"/>
            </w:tcBorders>
            <w:vAlign w:val="bottom"/>
          </w:tcPr>
          <w:p w14:paraId="410D83A7" w14:textId="77777777" w:rsidR="00D1587D" w:rsidRDefault="00D1587D">
            <w:pPr>
              <w:rPr>
                <w:sz w:val="4"/>
                <w:szCs w:val="4"/>
              </w:rPr>
            </w:pPr>
          </w:p>
        </w:tc>
      </w:tr>
      <w:tr w:rsidR="00D1587D" w14:paraId="089C2E7A" w14:textId="77777777">
        <w:trPr>
          <w:trHeight w:val="224"/>
        </w:trPr>
        <w:tc>
          <w:tcPr>
            <w:tcW w:w="6660" w:type="dxa"/>
            <w:vAlign w:val="bottom"/>
          </w:tcPr>
          <w:p w14:paraId="5EC0C710" w14:textId="77777777" w:rsidR="00D1587D" w:rsidRDefault="00D1587D">
            <w:pPr>
              <w:rPr>
                <w:sz w:val="19"/>
                <w:szCs w:val="19"/>
              </w:rPr>
            </w:pPr>
          </w:p>
        </w:tc>
        <w:tc>
          <w:tcPr>
            <w:tcW w:w="100" w:type="dxa"/>
            <w:vAlign w:val="bottom"/>
          </w:tcPr>
          <w:p w14:paraId="24A1AC4C" w14:textId="77777777" w:rsidR="00D1587D" w:rsidRDefault="00D1587D">
            <w:pPr>
              <w:rPr>
                <w:sz w:val="19"/>
                <w:szCs w:val="19"/>
              </w:rPr>
            </w:pPr>
          </w:p>
        </w:tc>
        <w:tc>
          <w:tcPr>
            <w:tcW w:w="120" w:type="dxa"/>
            <w:vAlign w:val="bottom"/>
          </w:tcPr>
          <w:p w14:paraId="695BA045" w14:textId="77777777" w:rsidR="00D1587D" w:rsidRDefault="00D1587D">
            <w:pPr>
              <w:rPr>
                <w:sz w:val="19"/>
                <w:szCs w:val="19"/>
              </w:rPr>
            </w:pPr>
          </w:p>
        </w:tc>
        <w:tc>
          <w:tcPr>
            <w:tcW w:w="280" w:type="dxa"/>
            <w:vAlign w:val="bottom"/>
          </w:tcPr>
          <w:p w14:paraId="7B206DE6" w14:textId="77777777" w:rsidR="00D1587D" w:rsidRDefault="00D1587D">
            <w:pPr>
              <w:rPr>
                <w:sz w:val="19"/>
                <w:szCs w:val="19"/>
              </w:rPr>
            </w:pPr>
          </w:p>
        </w:tc>
        <w:tc>
          <w:tcPr>
            <w:tcW w:w="820" w:type="dxa"/>
            <w:gridSpan w:val="3"/>
            <w:vAlign w:val="bottom"/>
          </w:tcPr>
          <w:p w14:paraId="262513E8" w14:textId="77777777" w:rsidR="00D1587D" w:rsidRDefault="00410D07">
            <w:pPr>
              <w:ind w:left="60"/>
              <w:rPr>
                <w:sz w:val="20"/>
                <w:szCs w:val="20"/>
              </w:rPr>
            </w:pPr>
            <w:r>
              <w:rPr>
                <w:rFonts w:ascii="Arial" w:eastAsia="Arial" w:hAnsi="Arial" w:cs="Arial"/>
                <w:b/>
                <w:bCs/>
                <w:w w:val="94"/>
                <w:sz w:val="14"/>
                <w:szCs w:val="14"/>
              </w:rPr>
              <w:t>(in millions)</w:t>
            </w:r>
          </w:p>
        </w:tc>
        <w:tc>
          <w:tcPr>
            <w:tcW w:w="440" w:type="dxa"/>
            <w:vAlign w:val="bottom"/>
          </w:tcPr>
          <w:p w14:paraId="77796ECA" w14:textId="77777777" w:rsidR="00D1587D" w:rsidRDefault="00D1587D">
            <w:pPr>
              <w:rPr>
                <w:sz w:val="19"/>
                <w:szCs w:val="19"/>
              </w:rPr>
            </w:pPr>
          </w:p>
        </w:tc>
      </w:tr>
      <w:tr w:rsidR="00D1587D" w14:paraId="1780D000" w14:textId="77777777">
        <w:trPr>
          <w:trHeight w:val="53"/>
        </w:trPr>
        <w:tc>
          <w:tcPr>
            <w:tcW w:w="6660" w:type="dxa"/>
            <w:vAlign w:val="bottom"/>
          </w:tcPr>
          <w:p w14:paraId="6AAFB1CB" w14:textId="77777777" w:rsidR="00D1587D" w:rsidRDefault="00D1587D">
            <w:pPr>
              <w:rPr>
                <w:sz w:val="4"/>
                <w:szCs w:val="4"/>
              </w:rPr>
            </w:pPr>
          </w:p>
        </w:tc>
        <w:tc>
          <w:tcPr>
            <w:tcW w:w="100" w:type="dxa"/>
            <w:vAlign w:val="bottom"/>
          </w:tcPr>
          <w:p w14:paraId="7144B0C7" w14:textId="77777777" w:rsidR="00D1587D" w:rsidRDefault="00D1587D">
            <w:pPr>
              <w:rPr>
                <w:sz w:val="4"/>
                <w:szCs w:val="4"/>
              </w:rPr>
            </w:pPr>
          </w:p>
        </w:tc>
        <w:tc>
          <w:tcPr>
            <w:tcW w:w="120" w:type="dxa"/>
            <w:vAlign w:val="bottom"/>
          </w:tcPr>
          <w:p w14:paraId="733EC20B" w14:textId="77777777" w:rsidR="00D1587D" w:rsidRDefault="00D1587D">
            <w:pPr>
              <w:rPr>
                <w:sz w:val="4"/>
                <w:szCs w:val="4"/>
              </w:rPr>
            </w:pPr>
          </w:p>
        </w:tc>
        <w:tc>
          <w:tcPr>
            <w:tcW w:w="280" w:type="dxa"/>
            <w:vAlign w:val="bottom"/>
          </w:tcPr>
          <w:p w14:paraId="49A714A9" w14:textId="77777777" w:rsidR="00D1587D" w:rsidRDefault="00D1587D">
            <w:pPr>
              <w:rPr>
                <w:sz w:val="4"/>
                <w:szCs w:val="4"/>
              </w:rPr>
            </w:pPr>
          </w:p>
        </w:tc>
        <w:tc>
          <w:tcPr>
            <w:tcW w:w="220" w:type="dxa"/>
            <w:vAlign w:val="bottom"/>
          </w:tcPr>
          <w:p w14:paraId="29D06A31" w14:textId="77777777" w:rsidR="00D1587D" w:rsidRDefault="00D1587D">
            <w:pPr>
              <w:rPr>
                <w:sz w:val="4"/>
                <w:szCs w:val="4"/>
              </w:rPr>
            </w:pPr>
          </w:p>
        </w:tc>
        <w:tc>
          <w:tcPr>
            <w:tcW w:w="380" w:type="dxa"/>
            <w:vAlign w:val="bottom"/>
          </w:tcPr>
          <w:p w14:paraId="3B86A8A0" w14:textId="77777777" w:rsidR="00D1587D" w:rsidRDefault="00D1587D">
            <w:pPr>
              <w:rPr>
                <w:sz w:val="4"/>
                <w:szCs w:val="4"/>
              </w:rPr>
            </w:pPr>
          </w:p>
        </w:tc>
        <w:tc>
          <w:tcPr>
            <w:tcW w:w="220" w:type="dxa"/>
            <w:vAlign w:val="bottom"/>
          </w:tcPr>
          <w:p w14:paraId="37FFDF43" w14:textId="77777777" w:rsidR="00D1587D" w:rsidRDefault="00D1587D">
            <w:pPr>
              <w:rPr>
                <w:sz w:val="4"/>
                <w:szCs w:val="4"/>
              </w:rPr>
            </w:pPr>
          </w:p>
        </w:tc>
        <w:tc>
          <w:tcPr>
            <w:tcW w:w="440" w:type="dxa"/>
            <w:vAlign w:val="bottom"/>
          </w:tcPr>
          <w:p w14:paraId="6E24DEB6" w14:textId="77777777" w:rsidR="00D1587D" w:rsidRDefault="00D1587D">
            <w:pPr>
              <w:rPr>
                <w:sz w:val="4"/>
                <w:szCs w:val="4"/>
              </w:rPr>
            </w:pPr>
          </w:p>
        </w:tc>
      </w:tr>
      <w:tr w:rsidR="00D1587D" w14:paraId="65EAF156" w14:textId="77777777">
        <w:trPr>
          <w:trHeight w:val="318"/>
        </w:trPr>
        <w:tc>
          <w:tcPr>
            <w:tcW w:w="6760" w:type="dxa"/>
            <w:gridSpan w:val="2"/>
            <w:tcBorders>
              <w:bottom w:val="single" w:sz="8" w:space="0" w:color="CCEEFF"/>
            </w:tcBorders>
            <w:shd w:val="clear" w:color="auto" w:fill="CCEEFF"/>
            <w:vAlign w:val="bottom"/>
          </w:tcPr>
          <w:p w14:paraId="43B8486C" w14:textId="77777777" w:rsidR="00D1587D" w:rsidRDefault="00410D07">
            <w:pPr>
              <w:rPr>
                <w:sz w:val="20"/>
                <w:szCs w:val="20"/>
              </w:rPr>
            </w:pPr>
            <w:r>
              <w:rPr>
                <w:rFonts w:ascii="Arial" w:eastAsia="Arial" w:hAnsi="Arial" w:cs="Arial"/>
                <w:b/>
                <w:bCs/>
                <w:sz w:val="18"/>
                <w:szCs w:val="18"/>
              </w:rPr>
              <w:t>Current:</w:t>
            </w:r>
          </w:p>
        </w:tc>
        <w:tc>
          <w:tcPr>
            <w:tcW w:w="120" w:type="dxa"/>
            <w:tcBorders>
              <w:bottom w:val="single" w:sz="8" w:space="0" w:color="CCEEFF"/>
            </w:tcBorders>
            <w:shd w:val="clear" w:color="auto" w:fill="CCEEFF"/>
            <w:vAlign w:val="bottom"/>
          </w:tcPr>
          <w:p w14:paraId="0FBF2876" w14:textId="77777777" w:rsidR="00D1587D" w:rsidRDefault="00D1587D">
            <w:pPr>
              <w:rPr>
                <w:sz w:val="24"/>
                <w:szCs w:val="24"/>
              </w:rPr>
            </w:pPr>
          </w:p>
        </w:tc>
        <w:tc>
          <w:tcPr>
            <w:tcW w:w="280" w:type="dxa"/>
            <w:tcBorders>
              <w:bottom w:val="single" w:sz="8" w:space="0" w:color="CCEEFF"/>
            </w:tcBorders>
            <w:shd w:val="clear" w:color="auto" w:fill="CCEEFF"/>
            <w:vAlign w:val="bottom"/>
          </w:tcPr>
          <w:p w14:paraId="337FE673" w14:textId="77777777" w:rsidR="00D1587D" w:rsidRDefault="00D1587D">
            <w:pPr>
              <w:rPr>
                <w:sz w:val="24"/>
                <w:szCs w:val="24"/>
              </w:rPr>
            </w:pPr>
          </w:p>
        </w:tc>
        <w:tc>
          <w:tcPr>
            <w:tcW w:w="220" w:type="dxa"/>
            <w:tcBorders>
              <w:bottom w:val="single" w:sz="8" w:space="0" w:color="CCEEFF"/>
            </w:tcBorders>
            <w:shd w:val="clear" w:color="auto" w:fill="CCEEFF"/>
            <w:vAlign w:val="bottom"/>
          </w:tcPr>
          <w:p w14:paraId="4CB88A5D" w14:textId="77777777" w:rsidR="00D1587D" w:rsidRDefault="00D1587D">
            <w:pPr>
              <w:rPr>
                <w:sz w:val="24"/>
                <w:szCs w:val="24"/>
              </w:rPr>
            </w:pPr>
          </w:p>
        </w:tc>
        <w:tc>
          <w:tcPr>
            <w:tcW w:w="380" w:type="dxa"/>
            <w:tcBorders>
              <w:bottom w:val="single" w:sz="8" w:space="0" w:color="CCEEFF"/>
            </w:tcBorders>
            <w:shd w:val="clear" w:color="auto" w:fill="CCEEFF"/>
            <w:vAlign w:val="bottom"/>
          </w:tcPr>
          <w:p w14:paraId="5EA101A7" w14:textId="77777777" w:rsidR="00D1587D" w:rsidRDefault="00D1587D">
            <w:pPr>
              <w:rPr>
                <w:sz w:val="24"/>
                <w:szCs w:val="24"/>
              </w:rPr>
            </w:pPr>
          </w:p>
        </w:tc>
        <w:tc>
          <w:tcPr>
            <w:tcW w:w="220" w:type="dxa"/>
            <w:tcBorders>
              <w:bottom w:val="single" w:sz="8" w:space="0" w:color="CCEEFF"/>
            </w:tcBorders>
            <w:shd w:val="clear" w:color="auto" w:fill="CCEEFF"/>
            <w:vAlign w:val="bottom"/>
          </w:tcPr>
          <w:p w14:paraId="61C944C6" w14:textId="77777777" w:rsidR="00D1587D" w:rsidRDefault="00D1587D">
            <w:pPr>
              <w:rPr>
                <w:sz w:val="24"/>
                <w:szCs w:val="24"/>
              </w:rPr>
            </w:pPr>
          </w:p>
        </w:tc>
        <w:tc>
          <w:tcPr>
            <w:tcW w:w="440" w:type="dxa"/>
            <w:tcBorders>
              <w:bottom w:val="single" w:sz="8" w:space="0" w:color="CCEEFF"/>
            </w:tcBorders>
            <w:shd w:val="clear" w:color="auto" w:fill="CCEEFF"/>
            <w:vAlign w:val="bottom"/>
          </w:tcPr>
          <w:p w14:paraId="0160495C" w14:textId="77777777" w:rsidR="00D1587D" w:rsidRDefault="00D1587D">
            <w:pPr>
              <w:rPr>
                <w:sz w:val="24"/>
                <w:szCs w:val="24"/>
              </w:rPr>
            </w:pPr>
          </w:p>
        </w:tc>
      </w:tr>
      <w:tr w:rsidR="00D1587D" w14:paraId="5D0EBA10" w14:textId="77777777">
        <w:trPr>
          <w:trHeight w:val="270"/>
        </w:trPr>
        <w:tc>
          <w:tcPr>
            <w:tcW w:w="6760" w:type="dxa"/>
            <w:gridSpan w:val="2"/>
            <w:vAlign w:val="bottom"/>
          </w:tcPr>
          <w:p w14:paraId="013962D0" w14:textId="77777777" w:rsidR="00D1587D" w:rsidRDefault="00410D07">
            <w:pPr>
              <w:ind w:left="180"/>
              <w:rPr>
                <w:sz w:val="20"/>
                <w:szCs w:val="20"/>
              </w:rPr>
            </w:pPr>
            <w:r>
              <w:rPr>
                <w:rFonts w:ascii="Arial" w:eastAsia="Arial" w:hAnsi="Arial" w:cs="Arial"/>
                <w:sz w:val="18"/>
                <w:szCs w:val="18"/>
              </w:rPr>
              <w:t>U.S. Federal</w:t>
            </w:r>
          </w:p>
        </w:tc>
        <w:tc>
          <w:tcPr>
            <w:tcW w:w="120" w:type="dxa"/>
            <w:vAlign w:val="bottom"/>
          </w:tcPr>
          <w:p w14:paraId="11907A17" w14:textId="77777777" w:rsidR="00D1587D" w:rsidRDefault="00410D07">
            <w:pPr>
              <w:jc w:val="right"/>
              <w:rPr>
                <w:sz w:val="20"/>
                <w:szCs w:val="20"/>
              </w:rPr>
            </w:pPr>
            <w:r>
              <w:rPr>
                <w:rFonts w:ascii="Arial" w:eastAsia="Arial" w:hAnsi="Arial" w:cs="Arial"/>
                <w:w w:val="79"/>
                <w:sz w:val="18"/>
                <w:szCs w:val="18"/>
              </w:rPr>
              <w:t>$</w:t>
            </w:r>
          </w:p>
        </w:tc>
        <w:tc>
          <w:tcPr>
            <w:tcW w:w="280" w:type="dxa"/>
            <w:vAlign w:val="bottom"/>
          </w:tcPr>
          <w:p w14:paraId="6EA8847E" w14:textId="77777777" w:rsidR="00D1587D" w:rsidRDefault="00410D07">
            <w:pPr>
              <w:jc w:val="right"/>
              <w:rPr>
                <w:sz w:val="20"/>
                <w:szCs w:val="20"/>
              </w:rPr>
            </w:pPr>
            <w:r>
              <w:rPr>
                <w:rFonts w:ascii="Arial" w:eastAsia="Arial" w:hAnsi="Arial" w:cs="Arial"/>
                <w:sz w:val="18"/>
                <w:szCs w:val="18"/>
              </w:rPr>
              <w:t>7</w:t>
            </w:r>
          </w:p>
        </w:tc>
        <w:tc>
          <w:tcPr>
            <w:tcW w:w="600" w:type="dxa"/>
            <w:gridSpan w:val="2"/>
            <w:vAlign w:val="bottom"/>
          </w:tcPr>
          <w:p w14:paraId="51EFCDB2" w14:textId="77777777" w:rsidR="00D1587D" w:rsidRDefault="00410D07">
            <w:pPr>
              <w:ind w:right="60"/>
              <w:jc w:val="right"/>
              <w:rPr>
                <w:sz w:val="20"/>
                <w:szCs w:val="20"/>
              </w:rPr>
            </w:pPr>
            <w:r>
              <w:rPr>
                <w:rFonts w:ascii="Arial" w:eastAsia="Arial" w:hAnsi="Arial" w:cs="Arial"/>
                <w:sz w:val="18"/>
                <w:szCs w:val="18"/>
              </w:rPr>
              <w:t>$ 15</w:t>
            </w:r>
          </w:p>
        </w:tc>
        <w:tc>
          <w:tcPr>
            <w:tcW w:w="220" w:type="dxa"/>
            <w:vAlign w:val="bottom"/>
          </w:tcPr>
          <w:p w14:paraId="77B307E4" w14:textId="77777777" w:rsidR="00D1587D" w:rsidRDefault="00D1587D">
            <w:pPr>
              <w:rPr>
                <w:sz w:val="23"/>
                <w:szCs w:val="23"/>
              </w:rPr>
            </w:pPr>
          </w:p>
        </w:tc>
        <w:tc>
          <w:tcPr>
            <w:tcW w:w="440" w:type="dxa"/>
            <w:vAlign w:val="bottom"/>
          </w:tcPr>
          <w:p w14:paraId="2A42BB0D" w14:textId="77777777" w:rsidR="00D1587D" w:rsidRDefault="00410D07">
            <w:pPr>
              <w:jc w:val="right"/>
              <w:rPr>
                <w:sz w:val="20"/>
                <w:szCs w:val="20"/>
              </w:rPr>
            </w:pPr>
            <w:r>
              <w:rPr>
                <w:rFonts w:ascii="Arial" w:eastAsia="Arial" w:hAnsi="Arial" w:cs="Arial"/>
                <w:w w:val="84"/>
                <w:sz w:val="18"/>
                <w:szCs w:val="18"/>
              </w:rPr>
              <w:t>$144</w:t>
            </w:r>
          </w:p>
        </w:tc>
      </w:tr>
      <w:tr w:rsidR="00D1587D" w14:paraId="5BB1707B" w14:textId="77777777">
        <w:trPr>
          <w:trHeight w:val="54"/>
        </w:trPr>
        <w:tc>
          <w:tcPr>
            <w:tcW w:w="6660" w:type="dxa"/>
            <w:vAlign w:val="bottom"/>
          </w:tcPr>
          <w:p w14:paraId="1904D793" w14:textId="77777777" w:rsidR="00D1587D" w:rsidRDefault="00D1587D">
            <w:pPr>
              <w:rPr>
                <w:sz w:val="4"/>
                <w:szCs w:val="4"/>
              </w:rPr>
            </w:pPr>
          </w:p>
        </w:tc>
        <w:tc>
          <w:tcPr>
            <w:tcW w:w="100" w:type="dxa"/>
            <w:vAlign w:val="bottom"/>
          </w:tcPr>
          <w:p w14:paraId="69CEDB1F" w14:textId="77777777" w:rsidR="00D1587D" w:rsidRDefault="00D1587D">
            <w:pPr>
              <w:rPr>
                <w:sz w:val="4"/>
                <w:szCs w:val="4"/>
              </w:rPr>
            </w:pPr>
          </w:p>
        </w:tc>
        <w:tc>
          <w:tcPr>
            <w:tcW w:w="120" w:type="dxa"/>
            <w:vAlign w:val="bottom"/>
          </w:tcPr>
          <w:p w14:paraId="3FB9215C" w14:textId="77777777" w:rsidR="00D1587D" w:rsidRDefault="00D1587D">
            <w:pPr>
              <w:rPr>
                <w:sz w:val="4"/>
                <w:szCs w:val="4"/>
              </w:rPr>
            </w:pPr>
          </w:p>
        </w:tc>
        <w:tc>
          <w:tcPr>
            <w:tcW w:w="280" w:type="dxa"/>
            <w:vAlign w:val="bottom"/>
          </w:tcPr>
          <w:p w14:paraId="3C418BE2" w14:textId="77777777" w:rsidR="00D1587D" w:rsidRDefault="00D1587D">
            <w:pPr>
              <w:rPr>
                <w:sz w:val="4"/>
                <w:szCs w:val="4"/>
              </w:rPr>
            </w:pPr>
          </w:p>
        </w:tc>
        <w:tc>
          <w:tcPr>
            <w:tcW w:w="220" w:type="dxa"/>
            <w:vAlign w:val="bottom"/>
          </w:tcPr>
          <w:p w14:paraId="39A01F30" w14:textId="77777777" w:rsidR="00D1587D" w:rsidRDefault="00D1587D">
            <w:pPr>
              <w:rPr>
                <w:sz w:val="4"/>
                <w:szCs w:val="4"/>
              </w:rPr>
            </w:pPr>
          </w:p>
        </w:tc>
        <w:tc>
          <w:tcPr>
            <w:tcW w:w="380" w:type="dxa"/>
            <w:vAlign w:val="bottom"/>
          </w:tcPr>
          <w:p w14:paraId="4ED95638" w14:textId="77777777" w:rsidR="00D1587D" w:rsidRDefault="00D1587D">
            <w:pPr>
              <w:rPr>
                <w:sz w:val="4"/>
                <w:szCs w:val="4"/>
              </w:rPr>
            </w:pPr>
          </w:p>
        </w:tc>
        <w:tc>
          <w:tcPr>
            <w:tcW w:w="220" w:type="dxa"/>
            <w:vAlign w:val="bottom"/>
          </w:tcPr>
          <w:p w14:paraId="02CD7DC3" w14:textId="77777777" w:rsidR="00D1587D" w:rsidRDefault="00D1587D">
            <w:pPr>
              <w:rPr>
                <w:sz w:val="4"/>
                <w:szCs w:val="4"/>
              </w:rPr>
            </w:pPr>
          </w:p>
        </w:tc>
        <w:tc>
          <w:tcPr>
            <w:tcW w:w="440" w:type="dxa"/>
            <w:vAlign w:val="bottom"/>
          </w:tcPr>
          <w:p w14:paraId="205E4608" w14:textId="77777777" w:rsidR="00D1587D" w:rsidRDefault="00D1587D">
            <w:pPr>
              <w:rPr>
                <w:sz w:val="4"/>
                <w:szCs w:val="4"/>
              </w:rPr>
            </w:pPr>
          </w:p>
        </w:tc>
      </w:tr>
      <w:tr w:rsidR="00D1587D" w14:paraId="095F1508" w14:textId="77777777">
        <w:trPr>
          <w:trHeight w:val="304"/>
        </w:trPr>
        <w:tc>
          <w:tcPr>
            <w:tcW w:w="6760" w:type="dxa"/>
            <w:gridSpan w:val="2"/>
            <w:tcBorders>
              <w:bottom w:val="single" w:sz="8" w:space="0" w:color="CCEEFF"/>
            </w:tcBorders>
            <w:shd w:val="clear" w:color="auto" w:fill="CCEEFF"/>
            <w:vAlign w:val="bottom"/>
          </w:tcPr>
          <w:p w14:paraId="41350BC8" w14:textId="77777777" w:rsidR="00D1587D" w:rsidRDefault="00410D07">
            <w:pPr>
              <w:ind w:left="180"/>
              <w:rPr>
                <w:sz w:val="20"/>
                <w:szCs w:val="20"/>
              </w:rPr>
            </w:pPr>
            <w:r>
              <w:rPr>
                <w:rFonts w:ascii="Arial" w:eastAsia="Arial" w:hAnsi="Arial" w:cs="Arial"/>
                <w:sz w:val="18"/>
                <w:szCs w:val="18"/>
              </w:rPr>
              <w:t>U.S. State</w:t>
            </w:r>
          </w:p>
        </w:tc>
        <w:tc>
          <w:tcPr>
            <w:tcW w:w="120" w:type="dxa"/>
            <w:tcBorders>
              <w:bottom w:val="single" w:sz="8" w:space="0" w:color="CCEEFF"/>
            </w:tcBorders>
            <w:shd w:val="clear" w:color="auto" w:fill="CCEEFF"/>
            <w:vAlign w:val="bottom"/>
          </w:tcPr>
          <w:p w14:paraId="2B11BD1E" w14:textId="77777777" w:rsidR="00D1587D" w:rsidRDefault="00D1587D">
            <w:pPr>
              <w:rPr>
                <w:sz w:val="24"/>
                <w:szCs w:val="24"/>
              </w:rPr>
            </w:pPr>
          </w:p>
        </w:tc>
        <w:tc>
          <w:tcPr>
            <w:tcW w:w="280" w:type="dxa"/>
            <w:tcBorders>
              <w:bottom w:val="single" w:sz="8" w:space="0" w:color="CCEEFF"/>
            </w:tcBorders>
            <w:shd w:val="clear" w:color="auto" w:fill="CCEEFF"/>
            <w:vAlign w:val="bottom"/>
          </w:tcPr>
          <w:p w14:paraId="6290E9FC" w14:textId="77777777" w:rsidR="00D1587D" w:rsidRDefault="00410D07">
            <w:pPr>
              <w:jc w:val="right"/>
              <w:rPr>
                <w:sz w:val="20"/>
                <w:szCs w:val="20"/>
              </w:rPr>
            </w:pPr>
            <w:r>
              <w:rPr>
                <w:rFonts w:ascii="Arial" w:eastAsia="Arial" w:hAnsi="Arial" w:cs="Arial"/>
                <w:w w:val="99"/>
                <w:sz w:val="18"/>
                <w:szCs w:val="18"/>
              </w:rPr>
              <w:t>16</w:t>
            </w:r>
          </w:p>
        </w:tc>
        <w:tc>
          <w:tcPr>
            <w:tcW w:w="600" w:type="dxa"/>
            <w:gridSpan w:val="2"/>
            <w:tcBorders>
              <w:bottom w:val="single" w:sz="8" w:space="0" w:color="CCEEFF"/>
            </w:tcBorders>
            <w:shd w:val="clear" w:color="auto" w:fill="CCEEFF"/>
            <w:vAlign w:val="bottom"/>
          </w:tcPr>
          <w:p w14:paraId="6C6D4A53" w14:textId="77777777" w:rsidR="00D1587D" w:rsidRDefault="00410D07">
            <w:pPr>
              <w:jc w:val="right"/>
              <w:rPr>
                <w:sz w:val="20"/>
                <w:szCs w:val="20"/>
              </w:rPr>
            </w:pPr>
            <w:r>
              <w:rPr>
                <w:rFonts w:ascii="Arial" w:eastAsia="Arial" w:hAnsi="Arial" w:cs="Arial"/>
                <w:sz w:val="18"/>
                <w:szCs w:val="18"/>
              </w:rPr>
              <w:t>(6)</w:t>
            </w:r>
          </w:p>
        </w:tc>
        <w:tc>
          <w:tcPr>
            <w:tcW w:w="220" w:type="dxa"/>
            <w:tcBorders>
              <w:bottom w:val="single" w:sz="8" w:space="0" w:color="CCEEFF"/>
            </w:tcBorders>
            <w:shd w:val="clear" w:color="auto" w:fill="CCEEFF"/>
            <w:vAlign w:val="bottom"/>
          </w:tcPr>
          <w:p w14:paraId="37C953EE" w14:textId="77777777" w:rsidR="00D1587D" w:rsidRDefault="00D1587D">
            <w:pPr>
              <w:rPr>
                <w:sz w:val="24"/>
                <w:szCs w:val="24"/>
              </w:rPr>
            </w:pPr>
          </w:p>
        </w:tc>
        <w:tc>
          <w:tcPr>
            <w:tcW w:w="440" w:type="dxa"/>
            <w:tcBorders>
              <w:bottom w:val="single" w:sz="8" w:space="0" w:color="CCEEFF"/>
            </w:tcBorders>
            <w:shd w:val="clear" w:color="auto" w:fill="CCEEFF"/>
            <w:vAlign w:val="bottom"/>
          </w:tcPr>
          <w:p w14:paraId="41A59C04" w14:textId="77777777" w:rsidR="00D1587D" w:rsidRDefault="00410D07">
            <w:pPr>
              <w:jc w:val="right"/>
              <w:rPr>
                <w:sz w:val="20"/>
                <w:szCs w:val="20"/>
              </w:rPr>
            </w:pPr>
            <w:r>
              <w:rPr>
                <w:rFonts w:ascii="Arial" w:eastAsia="Arial" w:hAnsi="Arial" w:cs="Arial"/>
                <w:sz w:val="18"/>
                <w:szCs w:val="18"/>
              </w:rPr>
              <w:t>20</w:t>
            </w:r>
          </w:p>
        </w:tc>
      </w:tr>
      <w:tr w:rsidR="00D1587D" w14:paraId="76825917" w14:textId="77777777">
        <w:trPr>
          <w:trHeight w:val="270"/>
        </w:trPr>
        <w:tc>
          <w:tcPr>
            <w:tcW w:w="6760" w:type="dxa"/>
            <w:gridSpan w:val="2"/>
            <w:vAlign w:val="bottom"/>
          </w:tcPr>
          <w:p w14:paraId="1FB683A3" w14:textId="77777777" w:rsidR="00D1587D" w:rsidRDefault="00410D07">
            <w:pPr>
              <w:ind w:left="180"/>
              <w:rPr>
                <w:sz w:val="20"/>
                <w:szCs w:val="20"/>
              </w:rPr>
            </w:pPr>
            <w:r>
              <w:rPr>
                <w:rFonts w:ascii="Arial" w:eastAsia="Arial" w:hAnsi="Arial" w:cs="Arial"/>
                <w:sz w:val="18"/>
                <w:szCs w:val="18"/>
              </w:rPr>
              <w:t>Non-U.S.</w:t>
            </w:r>
          </w:p>
        </w:tc>
        <w:tc>
          <w:tcPr>
            <w:tcW w:w="120" w:type="dxa"/>
            <w:vAlign w:val="bottom"/>
          </w:tcPr>
          <w:p w14:paraId="37E4D2BE" w14:textId="77777777" w:rsidR="00D1587D" w:rsidRDefault="00D1587D">
            <w:pPr>
              <w:rPr>
                <w:sz w:val="23"/>
                <w:szCs w:val="23"/>
              </w:rPr>
            </w:pPr>
          </w:p>
        </w:tc>
        <w:tc>
          <w:tcPr>
            <w:tcW w:w="280" w:type="dxa"/>
            <w:vAlign w:val="bottom"/>
          </w:tcPr>
          <w:p w14:paraId="60758449" w14:textId="77777777" w:rsidR="00D1587D" w:rsidRDefault="00410D07">
            <w:pPr>
              <w:jc w:val="right"/>
              <w:rPr>
                <w:sz w:val="20"/>
                <w:szCs w:val="20"/>
              </w:rPr>
            </w:pPr>
            <w:r>
              <w:rPr>
                <w:rFonts w:ascii="Arial" w:eastAsia="Arial" w:hAnsi="Arial" w:cs="Arial"/>
                <w:sz w:val="18"/>
                <w:szCs w:val="18"/>
              </w:rPr>
              <w:t>7</w:t>
            </w:r>
          </w:p>
        </w:tc>
        <w:tc>
          <w:tcPr>
            <w:tcW w:w="600" w:type="dxa"/>
            <w:gridSpan w:val="2"/>
            <w:vAlign w:val="bottom"/>
          </w:tcPr>
          <w:p w14:paraId="1760C661" w14:textId="77777777" w:rsidR="00D1587D" w:rsidRDefault="00410D07">
            <w:pPr>
              <w:ind w:right="60"/>
              <w:jc w:val="right"/>
              <w:rPr>
                <w:sz w:val="20"/>
                <w:szCs w:val="20"/>
              </w:rPr>
            </w:pPr>
            <w:r>
              <w:rPr>
                <w:rFonts w:ascii="Arial" w:eastAsia="Arial" w:hAnsi="Arial" w:cs="Arial"/>
                <w:sz w:val="18"/>
                <w:szCs w:val="18"/>
              </w:rPr>
              <w:t>19</w:t>
            </w:r>
          </w:p>
        </w:tc>
        <w:tc>
          <w:tcPr>
            <w:tcW w:w="220" w:type="dxa"/>
            <w:vAlign w:val="bottom"/>
          </w:tcPr>
          <w:p w14:paraId="76A73341" w14:textId="77777777" w:rsidR="00D1587D" w:rsidRDefault="00D1587D">
            <w:pPr>
              <w:rPr>
                <w:sz w:val="23"/>
                <w:szCs w:val="23"/>
              </w:rPr>
            </w:pPr>
          </w:p>
        </w:tc>
        <w:tc>
          <w:tcPr>
            <w:tcW w:w="440" w:type="dxa"/>
            <w:vAlign w:val="bottom"/>
          </w:tcPr>
          <w:p w14:paraId="0766316A" w14:textId="77777777" w:rsidR="00D1587D" w:rsidRDefault="00410D07">
            <w:pPr>
              <w:jc w:val="right"/>
              <w:rPr>
                <w:sz w:val="20"/>
                <w:szCs w:val="20"/>
              </w:rPr>
            </w:pPr>
            <w:r>
              <w:rPr>
                <w:rFonts w:ascii="Arial" w:eastAsia="Arial" w:hAnsi="Arial" w:cs="Arial"/>
                <w:sz w:val="18"/>
                <w:szCs w:val="18"/>
              </w:rPr>
              <w:t>11</w:t>
            </w:r>
          </w:p>
        </w:tc>
      </w:tr>
      <w:tr w:rsidR="00D1587D" w14:paraId="15CDBEB7" w14:textId="77777777">
        <w:trPr>
          <w:trHeight w:val="68"/>
        </w:trPr>
        <w:tc>
          <w:tcPr>
            <w:tcW w:w="6660" w:type="dxa"/>
            <w:tcBorders>
              <w:bottom w:val="single" w:sz="8" w:space="0" w:color="CCEEFF"/>
            </w:tcBorders>
            <w:vAlign w:val="bottom"/>
          </w:tcPr>
          <w:p w14:paraId="01A0C04B" w14:textId="77777777" w:rsidR="00D1587D" w:rsidRDefault="00D1587D">
            <w:pPr>
              <w:rPr>
                <w:sz w:val="5"/>
                <w:szCs w:val="5"/>
              </w:rPr>
            </w:pPr>
          </w:p>
        </w:tc>
        <w:tc>
          <w:tcPr>
            <w:tcW w:w="100" w:type="dxa"/>
            <w:tcBorders>
              <w:bottom w:val="single" w:sz="8" w:space="0" w:color="CCEEFF"/>
            </w:tcBorders>
            <w:vAlign w:val="bottom"/>
          </w:tcPr>
          <w:p w14:paraId="0EFDB752" w14:textId="77777777" w:rsidR="00D1587D" w:rsidRDefault="00D1587D">
            <w:pPr>
              <w:rPr>
                <w:sz w:val="5"/>
                <w:szCs w:val="5"/>
              </w:rPr>
            </w:pPr>
          </w:p>
        </w:tc>
        <w:tc>
          <w:tcPr>
            <w:tcW w:w="120" w:type="dxa"/>
            <w:tcBorders>
              <w:bottom w:val="single" w:sz="8" w:space="0" w:color="auto"/>
            </w:tcBorders>
            <w:vAlign w:val="bottom"/>
          </w:tcPr>
          <w:p w14:paraId="366E6F80" w14:textId="77777777" w:rsidR="00D1587D" w:rsidRDefault="00D1587D">
            <w:pPr>
              <w:rPr>
                <w:sz w:val="5"/>
                <w:szCs w:val="5"/>
              </w:rPr>
            </w:pPr>
          </w:p>
        </w:tc>
        <w:tc>
          <w:tcPr>
            <w:tcW w:w="280" w:type="dxa"/>
            <w:tcBorders>
              <w:bottom w:val="single" w:sz="8" w:space="0" w:color="auto"/>
            </w:tcBorders>
            <w:vAlign w:val="bottom"/>
          </w:tcPr>
          <w:p w14:paraId="45B85502" w14:textId="77777777" w:rsidR="00D1587D" w:rsidRDefault="00D1587D">
            <w:pPr>
              <w:rPr>
                <w:sz w:val="5"/>
                <w:szCs w:val="5"/>
              </w:rPr>
            </w:pPr>
          </w:p>
        </w:tc>
        <w:tc>
          <w:tcPr>
            <w:tcW w:w="220" w:type="dxa"/>
            <w:tcBorders>
              <w:bottom w:val="single" w:sz="8" w:space="0" w:color="CCEEFF"/>
            </w:tcBorders>
            <w:vAlign w:val="bottom"/>
          </w:tcPr>
          <w:p w14:paraId="4BA2053E" w14:textId="77777777" w:rsidR="00D1587D" w:rsidRDefault="00D1587D">
            <w:pPr>
              <w:rPr>
                <w:sz w:val="5"/>
                <w:szCs w:val="5"/>
              </w:rPr>
            </w:pPr>
          </w:p>
        </w:tc>
        <w:tc>
          <w:tcPr>
            <w:tcW w:w="380" w:type="dxa"/>
            <w:tcBorders>
              <w:bottom w:val="single" w:sz="8" w:space="0" w:color="auto"/>
            </w:tcBorders>
            <w:vAlign w:val="bottom"/>
          </w:tcPr>
          <w:p w14:paraId="21AFFB5C" w14:textId="77777777" w:rsidR="00D1587D" w:rsidRDefault="00D1587D">
            <w:pPr>
              <w:rPr>
                <w:sz w:val="5"/>
                <w:szCs w:val="5"/>
              </w:rPr>
            </w:pPr>
          </w:p>
        </w:tc>
        <w:tc>
          <w:tcPr>
            <w:tcW w:w="220" w:type="dxa"/>
            <w:tcBorders>
              <w:bottom w:val="single" w:sz="8" w:space="0" w:color="CCEEFF"/>
            </w:tcBorders>
            <w:vAlign w:val="bottom"/>
          </w:tcPr>
          <w:p w14:paraId="774AB81C" w14:textId="77777777" w:rsidR="00D1587D" w:rsidRDefault="00D1587D">
            <w:pPr>
              <w:rPr>
                <w:sz w:val="5"/>
                <w:szCs w:val="5"/>
              </w:rPr>
            </w:pPr>
          </w:p>
        </w:tc>
        <w:tc>
          <w:tcPr>
            <w:tcW w:w="440" w:type="dxa"/>
            <w:tcBorders>
              <w:bottom w:val="single" w:sz="8" w:space="0" w:color="auto"/>
            </w:tcBorders>
            <w:vAlign w:val="bottom"/>
          </w:tcPr>
          <w:p w14:paraId="0885F326" w14:textId="77777777" w:rsidR="00D1587D" w:rsidRDefault="00D1587D">
            <w:pPr>
              <w:rPr>
                <w:sz w:val="5"/>
                <w:szCs w:val="5"/>
              </w:rPr>
            </w:pPr>
          </w:p>
        </w:tc>
      </w:tr>
      <w:tr w:rsidR="00D1587D" w14:paraId="5752FC28" w14:textId="77777777">
        <w:trPr>
          <w:trHeight w:val="277"/>
        </w:trPr>
        <w:tc>
          <w:tcPr>
            <w:tcW w:w="6760" w:type="dxa"/>
            <w:gridSpan w:val="2"/>
            <w:shd w:val="clear" w:color="auto" w:fill="CCEEFF"/>
            <w:vAlign w:val="bottom"/>
          </w:tcPr>
          <w:p w14:paraId="111A3804" w14:textId="77777777" w:rsidR="00D1587D" w:rsidRDefault="00410D07">
            <w:pPr>
              <w:rPr>
                <w:sz w:val="20"/>
                <w:szCs w:val="20"/>
              </w:rPr>
            </w:pPr>
            <w:r>
              <w:rPr>
                <w:rFonts w:ascii="Arial" w:eastAsia="Arial" w:hAnsi="Arial" w:cs="Arial"/>
                <w:sz w:val="18"/>
                <w:szCs w:val="18"/>
              </w:rPr>
              <w:t>Total</w:t>
            </w:r>
          </w:p>
        </w:tc>
        <w:tc>
          <w:tcPr>
            <w:tcW w:w="120" w:type="dxa"/>
            <w:shd w:val="clear" w:color="auto" w:fill="CCEEFF"/>
            <w:vAlign w:val="bottom"/>
          </w:tcPr>
          <w:p w14:paraId="35E3BA82" w14:textId="77777777" w:rsidR="00D1587D" w:rsidRDefault="00D1587D">
            <w:pPr>
              <w:rPr>
                <w:sz w:val="24"/>
                <w:szCs w:val="24"/>
              </w:rPr>
            </w:pPr>
          </w:p>
        </w:tc>
        <w:tc>
          <w:tcPr>
            <w:tcW w:w="280" w:type="dxa"/>
            <w:shd w:val="clear" w:color="auto" w:fill="CCEEFF"/>
            <w:vAlign w:val="bottom"/>
          </w:tcPr>
          <w:p w14:paraId="7C76EAE2" w14:textId="77777777" w:rsidR="00D1587D" w:rsidRDefault="00410D07">
            <w:pPr>
              <w:jc w:val="right"/>
              <w:rPr>
                <w:sz w:val="20"/>
                <w:szCs w:val="20"/>
              </w:rPr>
            </w:pPr>
            <w:r>
              <w:rPr>
                <w:rFonts w:ascii="Arial" w:eastAsia="Arial" w:hAnsi="Arial" w:cs="Arial"/>
                <w:w w:val="99"/>
                <w:sz w:val="18"/>
                <w:szCs w:val="18"/>
              </w:rPr>
              <w:t>30</w:t>
            </w:r>
          </w:p>
        </w:tc>
        <w:tc>
          <w:tcPr>
            <w:tcW w:w="600" w:type="dxa"/>
            <w:gridSpan w:val="2"/>
            <w:shd w:val="clear" w:color="auto" w:fill="CCEEFF"/>
            <w:vAlign w:val="bottom"/>
          </w:tcPr>
          <w:p w14:paraId="791DE240" w14:textId="77777777" w:rsidR="00D1587D" w:rsidRDefault="00410D07">
            <w:pPr>
              <w:ind w:right="60"/>
              <w:jc w:val="right"/>
              <w:rPr>
                <w:sz w:val="20"/>
                <w:szCs w:val="20"/>
              </w:rPr>
            </w:pPr>
            <w:r>
              <w:rPr>
                <w:rFonts w:ascii="Arial" w:eastAsia="Arial" w:hAnsi="Arial" w:cs="Arial"/>
                <w:sz w:val="18"/>
                <w:szCs w:val="18"/>
              </w:rPr>
              <w:t>28</w:t>
            </w:r>
          </w:p>
        </w:tc>
        <w:tc>
          <w:tcPr>
            <w:tcW w:w="220" w:type="dxa"/>
            <w:shd w:val="clear" w:color="auto" w:fill="CCEEFF"/>
            <w:vAlign w:val="bottom"/>
          </w:tcPr>
          <w:p w14:paraId="0A7D9EB9" w14:textId="77777777" w:rsidR="00D1587D" w:rsidRDefault="00D1587D">
            <w:pPr>
              <w:rPr>
                <w:sz w:val="24"/>
                <w:szCs w:val="24"/>
              </w:rPr>
            </w:pPr>
          </w:p>
        </w:tc>
        <w:tc>
          <w:tcPr>
            <w:tcW w:w="440" w:type="dxa"/>
            <w:shd w:val="clear" w:color="auto" w:fill="CCEEFF"/>
            <w:vAlign w:val="bottom"/>
          </w:tcPr>
          <w:p w14:paraId="103EE139" w14:textId="77777777" w:rsidR="00D1587D" w:rsidRDefault="00410D07">
            <w:pPr>
              <w:jc w:val="right"/>
              <w:rPr>
                <w:sz w:val="20"/>
                <w:szCs w:val="20"/>
              </w:rPr>
            </w:pPr>
            <w:r>
              <w:rPr>
                <w:rFonts w:ascii="Arial" w:eastAsia="Arial" w:hAnsi="Arial" w:cs="Arial"/>
                <w:sz w:val="18"/>
                <w:szCs w:val="18"/>
              </w:rPr>
              <w:t>175</w:t>
            </w:r>
          </w:p>
        </w:tc>
      </w:tr>
      <w:tr w:rsidR="00D1587D" w14:paraId="6AC21896" w14:textId="77777777">
        <w:trPr>
          <w:trHeight w:val="68"/>
        </w:trPr>
        <w:tc>
          <w:tcPr>
            <w:tcW w:w="6660" w:type="dxa"/>
            <w:shd w:val="clear" w:color="auto" w:fill="CCEEFF"/>
            <w:vAlign w:val="bottom"/>
          </w:tcPr>
          <w:p w14:paraId="25A06A11" w14:textId="77777777" w:rsidR="00D1587D" w:rsidRDefault="00D1587D">
            <w:pPr>
              <w:rPr>
                <w:sz w:val="5"/>
                <w:szCs w:val="5"/>
              </w:rPr>
            </w:pPr>
          </w:p>
        </w:tc>
        <w:tc>
          <w:tcPr>
            <w:tcW w:w="100" w:type="dxa"/>
            <w:tcBorders>
              <w:bottom w:val="single" w:sz="8" w:space="0" w:color="CCEEFF"/>
            </w:tcBorders>
            <w:shd w:val="clear" w:color="auto" w:fill="CCEEFF"/>
            <w:vAlign w:val="bottom"/>
          </w:tcPr>
          <w:p w14:paraId="1611D85C" w14:textId="77777777" w:rsidR="00D1587D" w:rsidRDefault="00D1587D">
            <w:pPr>
              <w:rPr>
                <w:sz w:val="5"/>
                <w:szCs w:val="5"/>
              </w:rPr>
            </w:pPr>
          </w:p>
        </w:tc>
        <w:tc>
          <w:tcPr>
            <w:tcW w:w="120" w:type="dxa"/>
            <w:tcBorders>
              <w:bottom w:val="single" w:sz="8" w:space="0" w:color="auto"/>
            </w:tcBorders>
            <w:shd w:val="clear" w:color="auto" w:fill="CCEEFF"/>
            <w:vAlign w:val="bottom"/>
          </w:tcPr>
          <w:p w14:paraId="45A5EE27" w14:textId="77777777" w:rsidR="00D1587D" w:rsidRDefault="00D1587D">
            <w:pPr>
              <w:rPr>
                <w:sz w:val="5"/>
                <w:szCs w:val="5"/>
              </w:rPr>
            </w:pPr>
          </w:p>
        </w:tc>
        <w:tc>
          <w:tcPr>
            <w:tcW w:w="280" w:type="dxa"/>
            <w:tcBorders>
              <w:bottom w:val="single" w:sz="8" w:space="0" w:color="auto"/>
            </w:tcBorders>
            <w:shd w:val="clear" w:color="auto" w:fill="CCEEFF"/>
            <w:vAlign w:val="bottom"/>
          </w:tcPr>
          <w:p w14:paraId="09AE38DF" w14:textId="77777777" w:rsidR="00D1587D" w:rsidRDefault="00D1587D">
            <w:pPr>
              <w:rPr>
                <w:sz w:val="5"/>
                <w:szCs w:val="5"/>
              </w:rPr>
            </w:pPr>
          </w:p>
        </w:tc>
        <w:tc>
          <w:tcPr>
            <w:tcW w:w="220" w:type="dxa"/>
            <w:tcBorders>
              <w:bottom w:val="single" w:sz="8" w:space="0" w:color="CCEEFF"/>
            </w:tcBorders>
            <w:shd w:val="clear" w:color="auto" w:fill="CCEEFF"/>
            <w:vAlign w:val="bottom"/>
          </w:tcPr>
          <w:p w14:paraId="7BC8694C" w14:textId="77777777" w:rsidR="00D1587D" w:rsidRDefault="00D1587D">
            <w:pPr>
              <w:rPr>
                <w:sz w:val="5"/>
                <w:szCs w:val="5"/>
              </w:rPr>
            </w:pPr>
          </w:p>
        </w:tc>
        <w:tc>
          <w:tcPr>
            <w:tcW w:w="380" w:type="dxa"/>
            <w:tcBorders>
              <w:bottom w:val="single" w:sz="8" w:space="0" w:color="auto"/>
            </w:tcBorders>
            <w:shd w:val="clear" w:color="auto" w:fill="CCEEFF"/>
            <w:vAlign w:val="bottom"/>
          </w:tcPr>
          <w:p w14:paraId="527C81D8" w14:textId="77777777" w:rsidR="00D1587D" w:rsidRDefault="00D1587D">
            <w:pPr>
              <w:rPr>
                <w:sz w:val="5"/>
                <w:szCs w:val="5"/>
              </w:rPr>
            </w:pPr>
          </w:p>
        </w:tc>
        <w:tc>
          <w:tcPr>
            <w:tcW w:w="220" w:type="dxa"/>
            <w:tcBorders>
              <w:bottom w:val="single" w:sz="8" w:space="0" w:color="CCEEFF"/>
            </w:tcBorders>
            <w:shd w:val="clear" w:color="auto" w:fill="CCEEFF"/>
            <w:vAlign w:val="bottom"/>
          </w:tcPr>
          <w:p w14:paraId="0D8E116A" w14:textId="77777777" w:rsidR="00D1587D" w:rsidRDefault="00D1587D">
            <w:pPr>
              <w:rPr>
                <w:sz w:val="5"/>
                <w:szCs w:val="5"/>
              </w:rPr>
            </w:pPr>
          </w:p>
        </w:tc>
        <w:tc>
          <w:tcPr>
            <w:tcW w:w="440" w:type="dxa"/>
            <w:tcBorders>
              <w:bottom w:val="single" w:sz="8" w:space="0" w:color="auto"/>
            </w:tcBorders>
            <w:shd w:val="clear" w:color="auto" w:fill="CCEEFF"/>
            <w:vAlign w:val="bottom"/>
          </w:tcPr>
          <w:p w14:paraId="1E3ED019" w14:textId="77777777" w:rsidR="00D1587D" w:rsidRDefault="00D1587D">
            <w:pPr>
              <w:rPr>
                <w:sz w:val="5"/>
                <w:szCs w:val="5"/>
              </w:rPr>
            </w:pPr>
          </w:p>
        </w:tc>
      </w:tr>
      <w:tr w:rsidR="00D1587D" w14:paraId="739DF0EB" w14:textId="77777777">
        <w:trPr>
          <w:trHeight w:val="277"/>
        </w:trPr>
        <w:tc>
          <w:tcPr>
            <w:tcW w:w="6760" w:type="dxa"/>
            <w:gridSpan w:val="2"/>
            <w:vAlign w:val="bottom"/>
          </w:tcPr>
          <w:p w14:paraId="3336139A" w14:textId="77777777" w:rsidR="00D1587D" w:rsidRDefault="00410D07">
            <w:pPr>
              <w:rPr>
                <w:sz w:val="20"/>
                <w:szCs w:val="20"/>
              </w:rPr>
            </w:pPr>
            <w:r>
              <w:rPr>
                <w:rFonts w:ascii="Arial" w:eastAsia="Arial" w:hAnsi="Arial" w:cs="Arial"/>
                <w:b/>
                <w:bCs/>
                <w:sz w:val="18"/>
                <w:szCs w:val="18"/>
              </w:rPr>
              <w:t>Deferred:</w:t>
            </w:r>
          </w:p>
        </w:tc>
        <w:tc>
          <w:tcPr>
            <w:tcW w:w="120" w:type="dxa"/>
            <w:vAlign w:val="bottom"/>
          </w:tcPr>
          <w:p w14:paraId="3C9ABE02" w14:textId="77777777" w:rsidR="00D1587D" w:rsidRDefault="00D1587D">
            <w:pPr>
              <w:rPr>
                <w:sz w:val="24"/>
                <w:szCs w:val="24"/>
              </w:rPr>
            </w:pPr>
          </w:p>
        </w:tc>
        <w:tc>
          <w:tcPr>
            <w:tcW w:w="280" w:type="dxa"/>
            <w:vAlign w:val="bottom"/>
          </w:tcPr>
          <w:p w14:paraId="17781C02" w14:textId="77777777" w:rsidR="00D1587D" w:rsidRDefault="00D1587D">
            <w:pPr>
              <w:rPr>
                <w:sz w:val="24"/>
                <w:szCs w:val="24"/>
              </w:rPr>
            </w:pPr>
          </w:p>
        </w:tc>
        <w:tc>
          <w:tcPr>
            <w:tcW w:w="220" w:type="dxa"/>
            <w:vAlign w:val="bottom"/>
          </w:tcPr>
          <w:p w14:paraId="75D744ED" w14:textId="77777777" w:rsidR="00D1587D" w:rsidRDefault="00D1587D">
            <w:pPr>
              <w:rPr>
                <w:sz w:val="24"/>
                <w:szCs w:val="24"/>
              </w:rPr>
            </w:pPr>
          </w:p>
        </w:tc>
        <w:tc>
          <w:tcPr>
            <w:tcW w:w="380" w:type="dxa"/>
            <w:vAlign w:val="bottom"/>
          </w:tcPr>
          <w:p w14:paraId="5E7C2DE2" w14:textId="77777777" w:rsidR="00D1587D" w:rsidRDefault="00D1587D">
            <w:pPr>
              <w:rPr>
                <w:sz w:val="24"/>
                <w:szCs w:val="24"/>
              </w:rPr>
            </w:pPr>
          </w:p>
        </w:tc>
        <w:tc>
          <w:tcPr>
            <w:tcW w:w="220" w:type="dxa"/>
            <w:vAlign w:val="bottom"/>
          </w:tcPr>
          <w:p w14:paraId="5CF9259F" w14:textId="77777777" w:rsidR="00D1587D" w:rsidRDefault="00D1587D">
            <w:pPr>
              <w:rPr>
                <w:sz w:val="24"/>
                <w:szCs w:val="24"/>
              </w:rPr>
            </w:pPr>
          </w:p>
        </w:tc>
        <w:tc>
          <w:tcPr>
            <w:tcW w:w="440" w:type="dxa"/>
            <w:vAlign w:val="bottom"/>
          </w:tcPr>
          <w:p w14:paraId="5D251B87" w14:textId="77777777" w:rsidR="00D1587D" w:rsidRDefault="00D1587D">
            <w:pPr>
              <w:rPr>
                <w:sz w:val="24"/>
                <w:szCs w:val="24"/>
              </w:rPr>
            </w:pPr>
          </w:p>
        </w:tc>
      </w:tr>
      <w:tr w:rsidR="00D1587D" w14:paraId="0353F662" w14:textId="77777777">
        <w:trPr>
          <w:trHeight w:val="54"/>
        </w:trPr>
        <w:tc>
          <w:tcPr>
            <w:tcW w:w="6660" w:type="dxa"/>
            <w:vAlign w:val="bottom"/>
          </w:tcPr>
          <w:p w14:paraId="0D305046" w14:textId="77777777" w:rsidR="00D1587D" w:rsidRDefault="00D1587D">
            <w:pPr>
              <w:rPr>
                <w:sz w:val="4"/>
                <w:szCs w:val="4"/>
              </w:rPr>
            </w:pPr>
          </w:p>
        </w:tc>
        <w:tc>
          <w:tcPr>
            <w:tcW w:w="100" w:type="dxa"/>
            <w:vAlign w:val="bottom"/>
          </w:tcPr>
          <w:p w14:paraId="11844C4C" w14:textId="77777777" w:rsidR="00D1587D" w:rsidRDefault="00D1587D">
            <w:pPr>
              <w:rPr>
                <w:sz w:val="4"/>
                <w:szCs w:val="4"/>
              </w:rPr>
            </w:pPr>
          </w:p>
        </w:tc>
        <w:tc>
          <w:tcPr>
            <w:tcW w:w="400" w:type="dxa"/>
            <w:gridSpan w:val="2"/>
            <w:vAlign w:val="bottom"/>
          </w:tcPr>
          <w:p w14:paraId="1B6FC24C" w14:textId="77777777" w:rsidR="00D1587D" w:rsidRDefault="00D1587D">
            <w:pPr>
              <w:rPr>
                <w:sz w:val="4"/>
                <w:szCs w:val="4"/>
              </w:rPr>
            </w:pPr>
          </w:p>
        </w:tc>
        <w:tc>
          <w:tcPr>
            <w:tcW w:w="220" w:type="dxa"/>
            <w:vAlign w:val="bottom"/>
          </w:tcPr>
          <w:p w14:paraId="297DAA6A" w14:textId="77777777" w:rsidR="00D1587D" w:rsidRDefault="00D1587D">
            <w:pPr>
              <w:rPr>
                <w:sz w:val="4"/>
                <w:szCs w:val="4"/>
              </w:rPr>
            </w:pPr>
          </w:p>
        </w:tc>
        <w:tc>
          <w:tcPr>
            <w:tcW w:w="380" w:type="dxa"/>
            <w:vAlign w:val="bottom"/>
          </w:tcPr>
          <w:p w14:paraId="54FF5EF3" w14:textId="77777777" w:rsidR="00D1587D" w:rsidRDefault="00D1587D">
            <w:pPr>
              <w:rPr>
                <w:sz w:val="4"/>
                <w:szCs w:val="4"/>
              </w:rPr>
            </w:pPr>
          </w:p>
        </w:tc>
        <w:tc>
          <w:tcPr>
            <w:tcW w:w="220" w:type="dxa"/>
            <w:vAlign w:val="bottom"/>
          </w:tcPr>
          <w:p w14:paraId="63EA8431" w14:textId="77777777" w:rsidR="00D1587D" w:rsidRDefault="00D1587D">
            <w:pPr>
              <w:rPr>
                <w:sz w:val="4"/>
                <w:szCs w:val="4"/>
              </w:rPr>
            </w:pPr>
          </w:p>
        </w:tc>
        <w:tc>
          <w:tcPr>
            <w:tcW w:w="440" w:type="dxa"/>
            <w:vAlign w:val="bottom"/>
          </w:tcPr>
          <w:p w14:paraId="36DE2591" w14:textId="77777777" w:rsidR="00D1587D" w:rsidRDefault="00D1587D">
            <w:pPr>
              <w:rPr>
                <w:sz w:val="4"/>
                <w:szCs w:val="4"/>
              </w:rPr>
            </w:pPr>
          </w:p>
        </w:tc>
      </w:tr>
      <w:tr w:rsidR="00D1587D" w14:paraId="273B6130" w14:textId="77777777">
        <w:trPr>
          <w:trHeight w:val="304"/>
        </w:trPr>
        <w:tc>
          <w:tcPr>
            <w:tcW w:w="6760" w:type="dxa"/>
            <w:gridSpan w:val="2"/>
            <w:tcBorders>
              <w:bottom w:val="single" w:sz="8" w:space="0" w:color="CCEEFF"/>
            </w:tcBorders>
            <w:shd w:val="clear" w:color="auto" w:fill="CCEEFF"/>
            <w:vAlign w:val="bottom"/>
          </w:tcPr>
          <w:p w14:paraId="471FC4C0" w14:textId="77777777" w:rsidR="00D1587D" w:rsidRDefault="00410D07">
            <w:pPr>
              <w:ind w:left="180"/>
              <w:rPr>
                <w:sz w:val="20"/>
                <w:szCs w:val="20"/>
              </w:rPr>
            </w:pPr>
            <w:r>
              <w:rPr>
                <w:rFonts w:ascii="Arial" w:eastAsia="Arial" w:hAnsi="Arial" w:cs="Arial"/>
                <w:sz w:val="18"/>
                <w:szCs w:val="18"/>
              </w:rPr>
              <w:t>U.S. Federal</w:t>
            </w:r>
          </w:p>
        </w:tc>
        <w:tc>
          <w:tcPr>
            <w:tcW w:w="400" w:type="dxa"/>
            <w:gridSpan w:val="2"/>
            <w:tcBorders>
              <w:bottom w:val="single" w:sz="8" w:space="0" w:color="CCEEFF"/>
            </w:tcBorders>
            <w:shd w:val="clear" w:color="auto" w:fill="CCEEFF"/>
            <w:vAlign w:val="bottom"/>
          </w:tcPr>
          <w:p w14:paraId="28CBC79B" w14:textId="77777777" w:rsidR="00D1587D" w:rsidRDefault="00410D07">
            <w:pPr>
              <w:jc w:val="right"/>
              <w:rPr>
                <w:sz w:val="20"/>
                <w:szCs w:val="20"/>
              </w:rPr>
            </w:pPr>
            <w:r>
              <w:rPr>
                <w:rFonts w:ascii="Arial" w:eastAsia="Arial" w:hAnsi="Arial" w:cs="Arial"/>
                <w:sz w:val="18"/>
                <w:szCs w:val="18"/>
              </w:rPr>
              <w:t>(68)</w:t>
            </w:r>
          </w:p>
        </w:tc>
        <w:tc>
          <w:tcPr>
            <w:tcW w:w="600" w:type="dxa"/>
            <w:gridSpan w:val="2"/>
            <w:tcBorders>
              <w:bottom w:val="single" w:sz="8" w:space="0" w:color="CCEEFF"/>
            </w:tcBorders>
            <w:shd w:val="clear" w:color="auto" w:fill="CCEEFF"/>
            <w:vAlign w:val="bottom"/>
          </w:tcPr>
          <w:p w14:paraId="2CB54539" w14:textId="77777777" w:rsidR="00D1587D" w:rsidRDefault="00410D07">
            <w:pPr>
              <w:jc w:val="right"/>
              <w:rPr>
                <w:sz w:val="20"/>
                <w:szCs w:val="20"/>
              </w:rPr>
            </w:pPr>
            <w:r>
              <w:rPr>
                <w:rFonts w:ascii="Arial" w:eastAsia="Arial" w:hAnsi="Arial" w:cs="Arial"/>
                <w:sz w:val="18"/>
                <w:szCs w:val="18"/>
              </w:rPr>
              <w:t>(10)</w:t>
            </w:r>
          </w:p>
        </w:tc>
        <w:tc>
          <w:tcPr>
            <w:tcW w:w="220" w:type="dxa"/>
            <w:tcBorders>
              <w:bottom w:val="single" w:sz="8" w:space="0" w:color="CCEEFF"/>
            </w:tcBorders>
            <w:shd w:val="clear" w:color="auto" w:fill="CCEEFF"/>
            <w:vAlign w:val="bottom"/>
          </w:tcPr>
          <w:p w14:paraId="412D7339" w14:textId="77777777" w:rsidR="00D1587D" w:rsidRDefault="00D1587D">
            <w:pPr>
              <w:rPr>
                <w:sz w:val="24"/>
                <w:szCs w:val="24"/>
              </w:rPr>
            </w:pPr>
          </w:p>
        </w:tc>
        <w:tc>
          <w:tcPr>
            <w:tcW w:w="440" w:type="dxa"/>
            <w:tcBorders>
              <w:bottom w:val="single" w:sz="8" w:space="0" w:color="CCEEFF"/>
            </w:tcBorders>
            <w:shd w:val="clear" w:color="auto" w:fill="CCEEFF"/>
            <w:vAlign w:val="bottom"/>
          </w:tcPr>
          <w:p w14:paraId="07AA318B" w14:textId="77777777" w:rsidR="00D1587D" w:rsidRDefault="00410D07">
            <w:pPr>
              <w:jc w:val="right"/>
              <w:rPr>
                <w:sz w:val="20"/>
                <w:szCs w:val="20"/>
              </w:rPr>
            </w:pPr>
            <w:r>
              <w:rPr>
                <w:rFonts w:ascii="Arial" w:eastAsia="Arial" w:hAnsi="Arial" w:cs="Arial"/>
                <w:sz w:val="18"/>
                <w:szCs w:val="18"/>
              </w:rPr>
              <w:t>(27)</w:t>
            </w:r>
          </w:p>
        </w:tc>
      </w:tr>
      <w:tr w:rsidR="00D1587D" w14:paraId="253BFDBE" w14:textId="77777777">
        <w:trPr>
          <w:trHeight w:val="270"/>
        </w:trPr>
        <w:tc>
          <w:tcPr>
            <w:tcW w:w="6760" w:type="dxa"/>
            <w:gridSpan w:val="2"/>
            <w:vAlign w:val="bottom"/>
          </w:tcPr>
          <w:p w14:paraId="2C0C310D" w14:textId="77777777" w:rsidR="00D1587D" w:rsidRDefault="00410D07">
            <w:pPr>
              <w:ind w:left="180"/>
              <w:rPr>
                <w:sz w:val="20"/>
                <w:szCs w:val="20"/>
              </w:rPr>
            </w:pPr>
            <w:r>
              <w:rPr>
                <w:rFonts w:ascii="Arial" w:eastAsia="Arial" w:hAnsi="Arial" w:cs="Arial"/>
                <w:sz w:val="18"/>
                <w:szCs w:val="18"/>
              </w:rPr>
              <w:t>U.S. State</w:t>
            </w:r>
          </w:p>
        </w:tc>
        <w:tc>
          <w:tcPr>
            <w:tcW w:w="400" w:type="dxa"/>
            <w:gridSpan w:val="2"/>
            <w:vAlign w:val="bottom"/>
          </w:tcPr>
          <w:p w14:paraId="6AC2858E" w14:textId="77777777" w:rsidR="00D1587D" w:rsidRDefault="00410D07">
            <w:pPr>
              <w:jc w:val="right"/>
              <w:rPr>
                <w:sz w:val="20"/>
                <w:szCs w:val="20"/>
              </w:rPr>
            </w:pPr>
            <w:r>
              <w:rPr>
                <w:rFonts w:ascii="Arial" w:eastAsia="Arial" w:hAnsi="Arial" w:cs="Arial"/>
                <w:sz w:val="18"/>
                <w:szCs w:val="18"/>
              </w:rPr>
              <w:t>(14)</w:t>
            </w:r>
          </w:p>
        </w:tc>
        <w:tc>
          <w:tcPr>
            <w:tcW w:w="600" w:type="dxa"/>
            <w:gridSpan w:val="2"/>
            <w:vAlign w:val="bottom"/>
          </w:tcPr>
          <w:p w14:paraId="438A7D84" w14:textId="77777777" w:rsidR="00D1587D" w:rsidRDefault="00410D07">
            <w:pPr>
              <w:jc w:val="right"/>
              <w:rPr>
                <w:sz w:val="20"/>
                <w:szCs w:val="20"/>
              </w:rPr>
            </w:pPr>
            <w:r>
              <w:rPr>
                <w:rFonts w:ascii="Arial" w:eastAsia="Arial" w:hAnsi="Arial" w:cs="Arial"/>
                <w:sz w:val="18"/>
                <w:szCs w:val="18"/>
              </w:rPr>
              <w:t>(1)</w:t>
            </w:r>
          </w:p>
        </w:tc>
        <w:tc>
          <w:tcPr>
            <w:tcW w:w="220" w:type="dxa"/>
            <w:vAlign w:val="bottom"/>
          </w:tcPr>
          <w:p w14:paraId="32FDFE21" w14:textId="77777777" w:rsidR="00D1587D" w:rsidRDefault="00D1587D">
            <w:pPr>
              <w:rPr>
                <w:sz w:val="23"/>
                <w:szCs w:val="23"/>
              </w:rPr>
            </w:pPr>
          </w:p>
        </w:tc>
        <w:tc>
          <w:tcPr>
            <w:tcW w:w="440" w:type="dxa"/>
            <w:vAlign w:val="bottom"/>
          </w:tcPr>
          <w:p w14:paraId="550B1546" w14:textId="77777777" w:rsidR="00D1587D" w:rsidRDefault="00410D07">
            <w:pPr>
              <w:jc w:val="right"/>
              <w:rPr>
                <w:sz w:val="20"/>
                <w:szCs w:val="20"/>
              </w:rPr>
            </w:pPr>
            <w:r>
              <w:rPr>
                <w:rFonts w:ascii="Arial" w:eastAsia="Arial" w:hAnsi="Arial" w:cs="Arial"/>
                <w:sz w:val="18"/>
                <w:szCs w:val="18"/>
              </w:rPr>
              <w:t>(7)</w:t>
            </w:r>
          </w:p>
        </w:tc>
      </w:tr>
      <w:tr w:rsidR="00D1587D" w14:paraId="6D33D512" w14:textId="77777777">
        <w:trPr>
          <w:trHeight w:val="54"/>
        </w:trPr>
        <w:tc>
          <w:tcPr>
            <w:tcW w:w="6660" w:type="dxa"/>
            <w:vAlign w:val="bottom"/>
          </w:tcPr>
          <w:p w14:paraId="0982174D" w14:textId="77777777" w:rsidR="00D1587D" w:rsidRDefault="00D1587D">
            <w:pPr>
              <w:rPr>
                <w:sz w:val="4"/>
                <w:szCs w:val="4"/>
              </w:rPr>
            </w:pPr>
          </w:p>
        </w:tc>
        <w:tc>
          <w:tcPr>
            <w:tcW w:w="100" w:type="dxa"/>
            <w:vAlign w:val="bottom"/>
          </w:tcPr>
          <w:p w14:paraId="5EC49E11" w14:textId="77777777" w:rsidR="00D1587D" w:rsidRDefault="00D1587D">
            <w:pPr>
              <w:rPr>
                <w:sz w:val="4"/>
                <w:szCs w:val="4"/>
              </w:rPr>
            </w:pPr>
          </w:p>
        </w:tc>
        <w:tc>
          <w:tcPr>
            <w:tcW w:w="120" w:type="dxa"/>
            <w:vAlign w:val="bottom"/>
          </w:tcPr>
          <w:p w14:paraId="37F0DBC0" w14:textId="77777777" w:rsidR="00D1587D" w:rsidRDefault="00D1587D">
            <w:pPr>
              <w:rPr>
                <w:sz w:val="4"/>
                <w:szCs w:val="4"/>
              </w:rPr>
            </w:pPr>
          </w:p>
        </w:tc>
        <w:tc>
          <w:tcPr>
            <w:tcW w:w="280" w:type="dxa"/>
            <w:vAlign w:val="bottom"/>
          </w:tcPr>
          <w:p w14:paraId="2E2B2BF8" w14:textId="77777777" w:rsidR="00D1587D" w:rsidRDefault="00D1587D">
            <w:pPr>
              <w:rPr>
                <w:sz w:val="4"/>
                <w:szCs w:val="4"/>
              </w:rPr>
            </w:pPr>
          </w:p>
        </w:tc>
        <w:tc>
          <w:tcPr>
            <w:tcW w:w="220" w:type="dxa"/>
            <w:vAlign w:val="bottom"/>
          </w:tcPr>
          <w:p w14:paraId="49428D0E" w14:textId="77777777" w:rsidR="00D1587D" w:rsidRDefault="00D1587D">
            <w:pPr>
              <w:rPr>
                <w:sz w:val="4"/>
                <w:szCs w:val="4"/>
              </w:rPr>
            </w:pPr>
          </w:p>
        </w:tc>
        <w:tc>
          <w:tcPr>
            <w:tcW w:w="380" w:type="dxa"/>
            <w:vAlign w:val="bottom"/>
          </w:tcPr>
          <w:p w14:paraId="192A2243" w14:textId="77777777" w:rsidR="00D1587D" w:rsidRDefault="00D1587D">
            <w:pPr>
              <w:rPr>
                <w:sz w:val="4"/>
                <w:szCs w:val="4"/>
              </w:rPr>
            </w:pPr>
          </w:p>
        </w:tc>
        <w:tc>
          <w:tcPr>
            <w:tcW w:w="220" w:type="dxa"/>
            <w:vAlign w:val="bottom"/>
          </w:tcPr>
          <w:p w14:paraId="00712575" w14:textId="77777777" w:rsidR="00D1587D" w:rsidRDefault="00D1587D">
            <w:pPr>
              <w:rPr>
                <w:sz w:val="4"/>
                <w:szCs w:val="4"/>
              </w:rPr>
            </w:pPr>
          </w:p>
        </w:tc>
        <w:tc>
          <w:tcPr>
            <w:tcW w:w="440" w:type="dxa"/>
            <w:vAlign w:val="bottom"/>
          </w:tcPr>
          <w:p w14:paraId="0FB6A710" w14:textId="77777777" w:rsidR="00D1587D" w:rsidRDefault="00D1587D">
            <w:pPr>
              <w:rPr>
                <w:sz w:val="4"/>
                <w:szCs w:val="4"/>
              </w:rPr>
            </w:pPr>
          </w:p>
        </w:tc>
      </w:tr>
      <w:tr w:rsidR="00D1587D" w14:paraId="6D417CA7" w14:textId="77777777">
        <w:trPr>
          <w:trHeight w:val="270"/>
        </w:trPr>
        <w:tc>
          <w:tcPr>
            <w:tcW w:w="6760" w:type="dxa"/>
            <w:gridSpan w:val="2"/>
            <w:shd w:val="clear" w:color="auto" w:fill="CCEEFF"/>
            <w:vAlign w:val="bottom"/>
          </w:tcPr>
          <w:p w14:paraId="78820B16" w14:textId="77777777" w:rsidR="00D1587D" w:rsidRDefault="00410D07">
            <w:pPr>
              <w:ind w:left="180"/>
              <w:rPr>
                <w:sz w:val="20"/>
                <w:szCs w:val="20"/>
              </w:rPr>
            </w:pPr>
            <w:r>
              <w:rPr>
                <w:rFonts w:ascii="Arial" w:eastAsia="Arial" w:hAnsi="Arial" w:cs="Arial"/>
                <w:sz w:val="18"/>
                <w:szCs w:val="18"/>
              </w:rPr>
              <w:t>Non-U.S.</w:t>
            </w:r>
          </w:p>
        </w:tc>
        <w:tc>
          <w:tcPr>
            <w:tcW w:w="120" w:type="dxa"/>
            <w:shd w:val="clear" w:color="auto" w:fill="CCEEFF"/>
            <w:vAlign w:val="bottom"/>
          </w:tcPr>
          <w:p w14:paraId="2FF030AC" w14:textId="77777777" w:rsidR="00D1587D" w:rsidRDefault="00D1587D">
            <w:pPr>
              <w:rPr>
                <w:sz w:val="23"/>
                <w:szCs w:val="23"/>
              </w:rPr>
            </w:pPr>
          </w:p>
        </w:tc>
        <w:tc>
          <w:tcPr>
            <w:tcW w:w="280" w:type="dxa"/>
            <w:shd w:val="clear" w:color="auto" w:fill="CCEEFF"/>
            <w:vAlign w:val="bottom"/>
          </w:tcPr>
          <w:p w14:paraId="2C87FCB2" w14:textId="77777777" w:rsidR="00D1587D" w:rsidRDefault="00410D07">
            <w:pPr>
              <w:jc w:val="right"/>
              <w:rPr>
                <w:sz w:val="20"/>
                <w:szCs w:val="20"/>
              </w:rPr>
            </w:pPr>
            <w:r>
              <w:rPr>
                <w:rFonts w:ascii="Arial" w:eastAsia="Arial" w:hAnsi="Arial" w:cs="Arial"/>
                <w:w w:val="99"/>
                <w:sz w:val="18"/>
                <w:szCs w:val="18"/>
              </w:rPr>
              <w:t>18</w:t>
            </w:r>
          </w:p>
        </w:tc>
        <w:tc>
          <w:tcPr>
            <w:tcW w:w="600" w:type="dxa"/>
            <w:gridSpan w:val="2"/>
            <w:shd w:val="clear" w:color="auto" w:fill="CCEEFF"/>
            <w:vAlign w:val="bottom"/>
          </w:tcPr>
          <w:p w14:paraId="77F5F3B4" w14:textId="77777777" w:rsidR="00D1587D" w:rsidRDefault="00410D07">
            <w:pPr>
              <w:jc w:val="right"/>
              <w:rPr>
                <w:sz w:val="20"/>
                <w:szCs w:val="20"/>
              </w:rPr>
            </w:pPr>
            <w:r>
              <w:rPr>
                <w:rFonts w:ascii="Arial" w:eastAsia="Arial" w:hAnsi="Arial" w:cs="Arial"/>
                <w:sz w:val="18"/>
                <w:szCs w:val="18"/>
              </w:rPr>
              <w:t>(19)</w:t>
            </w:r>
          </w:p>
        </w:tc>
        <w:tc>
          <w:tcPr>
            <w:tcW w:w="220" w:type="dxa"/>
            <w:shd w:val="clear" w:color="auto" w:fill="CCEEFF"/>
            <w:vAlign w:val="bottom"/>
          </w:tcPr>
          <w:p w14:paraId="319345B0" w14:textId="77777777" w:rsidR="00D1587D" w:rsidRDefault="00D1587D">
            <w:pPr>
              <w:rPr>
                <w:sz w:val="23"/>
                <w:szCs w:val="23"/>
              </w:rPr>
            </w:pPr>
          </w:p>
        </w:tc>
        <w:tc>
          <w:tcPr>
            <w:tcW w:w="440" w:type="dxa"/>
            <w:shd w:val="clear" w:color="auto" w:fill="CCEEFF"/>
            <w:vAlign w:val="bottom"/>
          </w:tcPr>
          <w:p w14:paraId="79E5502B" w14:textId="77777777" w:rsidR="00D1587D" w:rsidRDefault="00410D07">
            <w:pPr>
              <w:jc w:val="right"/>
              <w:rPr>
                <w:sz w:val="20"/>
                <w:szCs w:val="20"/>
              </w:rPr>
            </w:pPr>
            <w:r>
              <w:rPr>
                <w:rFonts w:ascii="Arial" w:eastAsia="Arial" w:hAnsi="Arial" w:cs="Arial"/>
                <w:sz w:val="18"/>
                <w:szCs w:val="18"/>
              </w:rPr>
              <w:t>(1)</w:t>
            </w:r>
          </w:p>
        </w:tc>
      </w:tr>
      <w:tr w:rsidR="00D1587D" w14:paraId="194F7BF3" w14:textId="77777777">
        <w:trPr>
          <w:trHeight w:val="67"/>
        </w:trPr>
        <w:tc>
          <w:tcPr>
            <w:tcW w:w="6660" w:type="dxa"/>
            <w:shd w:val="clear" w:color="auto" w:fill="CCEEFF"/>
            <w:vAlign w:val="bottom"/>
          </w:tcPr>
          <w:p w14:paraId="0457F667" w14:textId="77777777" w:rsidR="00D1587D" w:rsidRDefault="00D1587D">
            <w:pPr>
              <w:rPr>
                <w:sz w:val="5"/>
                <w:szCs w:val="5"/>
              </w:rPr>
            </w:pPr>
          </w:p>
        </w:tc>
        <w:tc>
          <w:tcPr>
            <w:tcW w:w="100" w:type="dxa"/>
            <w:tcBorders>
              <w:bottom w:val="single" w:sz="8" w:space="0" w:color="CCEEFF"/>
            </w:tcBorders>
            <w:shd w:val="clear" w:color="auto" w:fill="CCEEFF"/>
            <w:vAlign w:val="bottom"/>
          </w:tcPr>
          <w:p w14:paraId="3D9477E7" w14:textId="77777777" w:rsidR="00D1587D" w:rsidRDefault="00D1587D">
            <w:pPr>
              <w:rPr>
                <w:sz w:val="5"/>
                <w:szCs w:val="5"/>
              </w:rPr>
            </w:pPr>
          </w:p>
        </w:tc>
        <w:tc>
          <w:tcPr>
            <w:tcW w:w="400" w:type="dxa"/>
            <w:gridSpan w:val="2"/>
            <w:tcBorders>
              <w:bottom w:val="single" w:sz="8" w:space="0" w:color="auto"/>
            </w:tcBorders>
            <w:shd w:val="clear" w:color="auto" w:fill="CCEEFF"/>
            <w:vAlign w:val="bottom"/>
          </w:tcPr>
          <w:p w14:paraId="03C8B263" w14:textId="77777777" w:rsidR="00D1587D" w:rsidRDefault="00D1587D">
            <w:pPr>
              <w:rPr>
                <w:sz w:val="5"/>
                <w:szCs w:val="5"/>
              </w:rPr>
            </w:pPr>
          </w:p>
        </w:tc>
        <w:tc>
          <w:tcPr>
            <w:tcW w:w="220" w:type="dxa"/>
            <w:tcBorders>
              <w:bottom w:val="single" w:sz="8" w:space="0" w:color="CCEEFF"/>
            </w:tcBorders>
            <w:shd w:val="clear" w:color="auto" w:fill="CCEEFF"/>
            <w:vAlign w:val="bottom"/>
          </w:tcPr>
          <w:p w14:paraId="45702ECC" w14:textId="77777777" w:rsidR="00D1587D" w:rsidRDefault="00D1587D">
            <w:pPr>
              <w:rPr>
                <w:sz w:val="5"/>
                <w:szCs w:val="5"/>
              </w:rPr>
            </w:pPr>
          </w:p>
        </w:tc>
        <w:tc>
          <w:tcPr>
            <w:tcW w:w="380" w:type="dxa"/>
            <w:tcBorders>
              <w:bottom w:val="single" w:sz="8" w:space="0" w:color="auto"/>
            </w:tcBorders>
            <w:shd w:val="clear" w:color="auto" w:fill="CCEEFF"/>
            <w:vAlign w:val="bottom"/>
          </w:tcPr>
          <w:p w14:paraId="7BC00FBD" w14:textId="77777777" w:rsidR="00D1587D" w:rsidRDefault="00D1587D">
            <w:pPr>
              <w:rPr>
                <w:sz w:val="5"/>
                <w:szCs w:val="5"/>
              </w:rPr>
            </w:pPr>
          </w:p>
        </w:tc>
        <w:tc>
          <w:tcPr>
            <w:tcW w:w="220" w:type="dxa"/>
            <w:tcBorders>
              <w:bottom w:val="single" w:sz="8" w:space="0" w:color="CCEEFF"/>
            </w:tcBorders>
            <w:shd w:val="clear" w:color="auto" w:fill="CCEEFF"/>
            <w:vAlign w:val="bottom"/>
          </w:tcPr>
          <w:p w14:paraId="1228B861" w14:textId="77777777" w:rsidR="00D1587D" w:rsidRDefault="00D1587D">
            <w:pPr>
              <w:rPr>
                <w:sz w:val="5"/>
                <w:szCs w:val="5"/>
              </w:rPr>
            </w:pPr>
          </w:p>
        </w:tc>
        <w:tc>
          <w:tcPr>
            <w:tcW w:w="440" w:type="dxa"/>
            <w:tcBorders>
              <w:bottom w:val="single" w:sz="8" w:space="0" w:color="auto"/>
            </w:tcBorders>
            <w:shd w:val="clear" w:color="auto" w:fill="CCEEFF"/>
            <w:vAlign w:val="bottom"/>
          </w:tcPr>
          <w:p w14:paraId="3F361850" w14:textId="77777777" w:rsidR="00D1587D" w:rsidRDefault="00D1587D">
            <w:pPr>
              <w:rPr>
                <w:sz w:val="5"/>
                <w:szCs w:val="5"/>
              </w:rPr>
            </w:pPr>
          </w:p>
        </w:tc>
      </w:tr>
      <w:tr w:rsidR="00D1587D" w14:paraId="7734C5B9" w14:textId="77777777">
        <w:trPr>
          <w:trHeight w:val="277"/>
        </w:trPr>
        <w:tc>
          <w:tcPr>
            <w:tcW w:w="6760" w:type="dxa"/>
            <w:gridSpan w:val="2"/>
            <w:vAlign w:val="bottom"/>
          </w:tcPr>
          <w:p w14:paraId="1952C650" w14:textId="77777777" w:rsidR="00D1587D" w:rsidRDefault="00410D07">
            <w:pPr>
              <w:rPr>
                <w:sz w:val="20"/>
                <w:szCs w:val="20"/>
              </w:rPr>
            </w:pPr>
            <w:r>
              <w:rPr>
                <w:rFonts w:ascii="Arial" w:eastAsia="Arial" w:hAnsi="Arial" w:cs="Arial"/>
                <w:sz w:val="18"/>
                <w:szCs w:val="18"/>
              </w:rPr>
              <w:t>Total</w:t>
            </w:r>
          </w:p>
        </w:tc>
        <w:tc>
          <w:tcPr>
            <w:tcW w:w="400" w:type="dxa"/>
            <w:gridSpan w:val="2"/>
            <w:vAlign w:val="bottom"/>
          </w:tcPr>
          <w:p w14:paraId="178EA4E9" w14:textId="77777777" w:rsidR="00D1587D" w:rsidRDefault="00410D07">
            <w:pPr>
              <w:jc w:val="right"/>
              <w:rPr>
                <w:sz w:val="20"/>
                <w:szCs w:val="20"/>
              </w:rPr>
            </w:pPr>
            <w:r>
              <w:rPr>
                <w:rFonts w:ascii="Arial" w:eastAsia="Arial" w:hAnsi="Arial" w:cs="Arial"/>
                <w:sz w:val="18"/>
                <w:szCs w:val="18"/>
              </w:rPr>
              <w:t>(64)</w:t>
            </w:r>
          </w:p>
        </w:tc>
        <w:tc>
          <w:tcPr>
            <w:tcW w:w="600" w:type="dxa"/>
            <w:gridSpan w:val="2"/>
            <w:vAlign w:val="bottom"/>
          </w:tcPr>
          <w:p w14:paraId="56593AD0" w14:textId="77777777" w:rsidR="00D1587D" w:rsidRDefault="00410D07">
            <w:pPr>
              <w:jc w:val="right"/>
              <w:rPr>
                <w:sz w:val="20"/>
                <w:szCs w:val="20"/>
              </w:rPr>
            </w:pPr>
            <w:r>
              <w:rPr>
                <w:rFonts w:ascii="Arial" w:eastAsia="Arial" w:hAnsi="Arial" w:cs="Arial"/>
                <w:sz w:val="18"/>
                <w:szCs w:val="18"/>
              </w:rPr>
              <w:t>(30)</w:t>
            </w:r>
          </w:p>
        </w:tc>
        <w:tc>
          <w:tcPr>
            <w:tcW w:w="220" w:type="dxa"/>
            <w:vAlign w:val="bottom"/>
          </w:tcPr>
          <w:p w14:paraId="383211EF" w14:textId="77777777" w:rsidR="00D1587D" w:rsidRDefault="00D1587D">
            <w:pPr>
              <w:rPr>
                <w:sz w:val="24"/>
                <w:szCs w:val="24"/>
              </w:rPr>
            </w:pPr>
          </w:p>
        </w:tc>
        <w:tc>
          <w:tcPr>
            <w:tcW w:w="440" w:type="dxa"/>
            <w:vAlign w:val="bottom"/>
          </w:tcPr>
          <w:p w14:paraId="73E6C587" w14:textId="77777777" w:rsidR="00D1587D" w:rsidRDefault="00410D07">
            <w:pPr>
              <w:jc w:val="right"/>
              <w:rPr>
                <w:sz w:val="20"/>
                <w:szCs w:val="20"/>
              </w:rPr>
            </w:pPr>
            <w:r>
              <w:rPr>
                <w:rFonts w:ascii="Arial" w:eastAsia="Arial" w:hAnsi="Arial" w:cs="Arial"/>
                <w:sz w:val="18"/>
                <w:szCs w:val="18"/>
              </w:rPr>
              <w:t>(35)</w:t>
            </w:r>
          </w:p>
        </w:tc>
      </w:tr>
      <w:tr w:rsidR="00D1587D" w14:paraId="48FE07CA" w14:textId="77777777">
        <w:trPr>
          <w:trHeight w:val="67"/>
        </w:trPr>
        <w:tc>
          <w:tcPr>
            <w:tcW w:w="6660" w:type="dxa"/>
            <w:tcBorders>
              <w:bottom w:val="single" w:sz="8" w:space="0" w:color="CCEEFF"/>
            </w:tcBorders>
            <w:vAlign w:val="bottom"/>
          </w:tcPr>
          <w:p w14:paraId="3E9249CF" w14:textId="77777777" w:rsidR="00D1587D" w:rsidRDefault="00D1587D">
            <w:pPr>
              <w:rPr>
                <w:sz w:val="5"/>
                <w:szCs w:val="5"/>
              </w:rPr>
            </w:pPr>
          </w:p>
        </w:tc>
        <w:tc>
          <w:tcPr>
            <w:tcW w:w="100" w:type="dxa"/>
            <w:tcBorders>
              <w:bottom w:val="single" w:sz="8" w:space="0" w:color="CCEEFF"/>
            </w:tcBorders>
            <w:vAlign w:val="bottom"/>
          </w:tcPr>
          <w:p w14:paraId="0D2670EE" w14:textId="77777777" w:rsidR="00D1587D" w:rsidRDefault="00D1587D">
            <w:pPr>
              <w:rPr>
                <w:sz w:val="5"/>
                <w:szCs w:val="5"/>
              </w:rPr>
            </w:pPr>
          </w:p>
        </w:tc>
        <w:tc>
          <w:tcPr>
            <w:tcW w:w="400" w:type="dxa"/>
            <w:gridSpan w:val="2"/>
            <w:tcBorders>
              <w:bottom w:val="single" w:sz="8" w:space="0" w:color="auto"/>
            </w:tcBorders>
            <w:vAlign w:val="bottom"/>
          </w:tcPr>
          <w:p w14:paraId="16C70F10" w14:textId="77777777" w:rsidR="00D1587D" w:rsidRDefault="00D1587D">
            <w:pPr>
              <w:rPr>
                <w:sz w:val="5"/>
                <w:szCs w:val="5"/>
              </w:rPr>
            </w:pPr>
          </w:p>
        </w:tc>
        <w:tc>
          <w:tcPr>
            <w:tcW w:w="220" w:type="dxa"/>
            <w:tcBorders>
              <w:bottom w:val="single" w:sz="8" w:space="0" w:color="CCEEFF"/>
            </w:tcBorders>
            <w:vAlign w:val="bottom"/>
          </w:tcPr>
          <w:p w14:paraId="6D999FEB" w14:textId="77777777" w:rsidR="00D1587D" w:rsidRDefault="00D1587D">
            <w:pPr>
              <w:rPr>
                <w:sz w:val="5"/>
                <w:szCs w:val="5"/>
              </w:rPr>
            </w:pPr>
          </w:p>
        </w:tc>
        <w:tc>
          <w:tcPr>
            <w:tcW w:w="380" w:type="dxa"/>
            <w:tcBorders>
              <w:bottom w:val="single" w:sz="8" w:space="0" w:color="auto"/>
            </w:tcBorders>
            <w:vAlign w:val="bottom"/>
          </w:tcPr>
          <w:p w14:paraId="3998E2AC" w14:textId="77777777" w:rsidR="00D1587D" w:rsidRDefault="00D1587D">
            <w:pPr>
              <w:rPr>
                <w:sz w:val="5"/>
                <w:szCs w:val="5"/>
              </w:rPr>
            </w:pPr>
          </w:p>
        </w:tc>
        <w:tc>
          <w:tcPr>
            <w:tcW w:w="220" w:type="dxa"/>
            <w:tcBorders>
              <w:bottom w:val="single" w:sz="8" w:space="0" w:color="CCEEFF"/>
            </w:tcBorders>
            <w:vAlign w:val="bottom"/>
          </w:tcPr>
          <w:p w14:paraId="393CB454" w14:textId="77777777" w:rsidR="00D1587D" w:rsidRDefault="00D1587D">
            <w:pPr>
              <w:rPr>
                <w:sz w:val="5"/>
                <w:szCs w:val="5"/>
              </w:rPr>
            </w:pPr>
          </w:p>
        </w:tc>
        <w:tc>
          <w:tcPr>
            <w:tcW w:w="440" w:type="dxa"/>
            <w:tcBorders>
              <w:bottom w:val="single" w:sz="8" w:space="0" w:color="auto"/>
            </w:tcBorders>
            <w:vAlign w:val="bottom"/>
          </w:tcPr>
          <w:p w14:paraId="68DEDE2B" w14:textId="77777777" w:rsidR="00D1587D" w:rsidRDefault="00D1587D">
            <w:pPr>
              <w:rPr>
                <w:sz w:val="5"/>
                <w:szCs w:val="5"/>
              </w:rPr>
            </w:pPr>
          </w:p>
        </w:tc>
      </w:tr>
      <w:tr w:rsidR="00D1587D" w14:paraId="3DD1FE94" w14:textId="77777777">
        <w:trPr>
          <w:trHeight w:val="376"/>
        </w:trPr>
        <w:tc>
          <w:tcPr>
            <w:tcW w:w="6760" w:type="dxa"/>
            <w:gridSpan w:val="2"/>
            <w:tcBorders>
              <w:bottom w:val="single" w:sz="8" w:space="0" w:color="CCEEFF"/>
            </w:tcBorders>
            <w:shd w:val="clear" w:color="auto" w:fill="CCEEFF"/>
            <w:vAlign w:val="bottom"/>
          </w:tcPr>
          <w:p w14:paraId="547DA700" w14:textId="77777777" w:rsidR="00D1587D" w:rsidRDefault="00410D07">
            <w:pPr>
              <w:rPr>
                <w:sz w:val="20"/>
                <w:szCs w:val="20"/>
              </w:rPr>
            </w:pPr>
            <w:r>
              <w:rPr>
                <w:rFonts w:ascii="Arial" w:eastAsia="Arial" w:hAnsi="Arial" w:cs="Arial"/>
                <w:sz w:val="18"/>
                <w:szCs w:val="18"/>
              </w:rPr>
              <w:t>Provision (Benefit) for Income Taxes</w:t>
            </w:r>
          </w:p>
        </w:tc>
        <w:tc>
          <w:tcPr>
            <w:tcW w:w="400" w:type="dxa"/>
            <w:gridSpan w:val="2"/>
            <w:tcBorders>
              <w:bottom w:val="single" w:sz="8" w:space="0" w:color="CCEEFF"/>
            </w:tcBorders>
            <w:shd w:val="clear" w:color="auto" w:fill="CCEEFF"/>
            <w:vAlign w:val="bottom"/>
          </w:tcPr>
          <w:p w14:paraId="737C83F0" w14:textId="77777777" w:rsidR="00D1587D" w:rsidRDefault="00410D07">
            <w:pPr>
              <w:jc w:val="right"/>
              <w:rPr>
                <w:sz w:val="20"/>
                <w:szCs w:val="20"/>
              </w:rPr>
            </w:pPr>
            <w:r>
              <w:rPr>
                <w:rFonts w:ascii="Arial" w:eastAsia="Arial" w:hAnsi="Arial" w:cs="Arial"/>
                <w:w w:val="90"/>
                <w:sz w:val="18"/>
                <w:szCs w:val="18"/>
              </w:rPr>
              <w:t>$(34)</w:t>
            </w:r>
          </w:p>
        </w:tc>
        <w:tc>
          <w:tcPr>
            <w:tcW w:w="600" w:type="dxa"/>
            <w:gridSpan w:val="2"/>
            <w:tcBorders>
              <w:bottom w:val="single" w:sz="8" w:space="0" w:color="CCEEFF"/>
            </w:tcBorders>
            <w:shd w:val="clear" w:color="auto" w:fill="CCEEFF"/>
            <w:vAlign w:val="bottom"/>
          </w:tcPr>
          <w:p w14:paraId="0ADE7F55" w14:textId="77777777" w:rsidR="00D1587D" w:rsidRDefault="00410D07">
            <w:pPr>
              <w:jc w:val="right"/>
              <w:rPr>
                <w:sz w:val="20"/>
                <w:szCs w:val="20"/>
              </w:rPr>
            </w:pPr>
            <w:r>
              <w:rPr>
                <w:rFonts w:ascii="Arial" w:eastAsia="Arial" w:hAnsi="Arial" w:cs="Arial"/>
                <w:sz w:val="18"/>
                <w:szCs w:val="18"/>
              </w:rPr>
              <w:t>$ (2)</w:t>
            </w:r>
          </w:p>
        </w:tc>
        <w:tc>
          <w:tcPr>
            <w:tcW w:w="220" w:type="dxa"/>
            <w:tcBorders>
              <w:bottom w:val="single" w:sz="8" w:space="0" w:color="CCEEFF"/>
            </w:tcBorders>
            <w:shd w:val="clear" w:color="auto" w:fill="CCEEFF"/>
            <w:vAlign w:val="bottom"/>
          </w:tcPr>
          <w:p w14:paraId="14C79E26" w14:textId="77777777" w:rsidR="00D1587D" w:rsidRDefault="00D1587D">
            <w:pPr>
              <w:rPr>
                <w:sz w:val="24"/>
                <w:szCs w:val="24"/>
              </w:rPr>
            </w:pPr>
          </w:p>
        </w:tc>
        <w:tc>
          <w:tcPr>
            <w:tcW w:w="440" w:type="dxa"/>
            <w:tcBorders>
              <w:bottom w:val="single" w:sz="8" w:space="0" w:color="CCEEFF"/>
            </w:tcBorders>
            <w:shd w:val="clear" w:color="auto" w:fill="CCEEFF"/>
            <w:vAlign w:val="bottom"/>
          </w:tcPr>
          <w:p w14:paraId="490AC91B" w14:textId="77777777" w:rsidR="00D1587D" w:rsidRDefault="00410D07">
            <w:pPr>
              <w:jc w:val="right"/>
              <w:rPr>
                <w:sz w:val="20"/>
                <w:szCs w:val="20"/>
              </w:rPr>
            </w:pPr>
            <w:r>
              <w:rPr>
                <w:rFonts w:ascii="Arial" w:eastAsia="Arial" w:hAnsi="Arial" w:cs="Arial"/>
                <w:w w:val="84"/>
                <w:sz w:val="18"/>
                <w:szCs w:val="18"/>
              </w:rPr>
              <w:t>$140</w:t>
            </w:r>
          </w:p>
        </w:tc>
      </w:tr>
      <w:tr w:rsidR="00D1587D" w14:paraId="4AF4EE30" w14:textId="77777777">
        <w:trPr>
          <w:trHeight w:val="20"/>
        </w:trPr>
        <w:tc>
          <w:tcPr>
            <w:tcW w:w="6660" w:type="dxa"/>
            <w:tcBorders>
              <w:top w:val="single" w:sz="8" w:space="0" w:color="CCEEFF"/>
            </w:tcBorders>
            <w:vAlign w:val="bottom"/>
          </w:tcPr>
          <w:p w14:paraId="3C205194" w14:textId="77777777" w:rsidR="00D1587D" w:rsidRDefault="00D1587D">
            <w:pPr>
              <w:spacing w:line="20" w:lineRule="exact"/>
              <w:rPr>
                <w:sz w:val="1"/>
                <w:szCs w:val="1"/>
              </w:rPr>
            </w:pPr>
          </w:p>
        </w:tc>
        <w:tc>
          <w:tcPr>
            <w:tcW w:w="100" w:type="dxa"/>
            <w:tcBorders>
              <w:top w:val="single" w:sz="8" w:space="0" w:color="CCEEFF"/>
            </w:tcBorders>
            <w:vAlign w:val="bottom"/>
          </w:tcPr>
          <w:p w14:paraId="3EE65E20" w14:textId="77777777" w:rsidR="00D1587D" w:rsidRDefault="00D1587D">
            <w:pPr>
              <w:spacing w:line="20" w:lineRule="exact"/>
              <w:rPr>
                <w:sz w:val="1"/>
                <w:szCs w:val="1"/>
              </w:rPr>
            </w:pPr>
          </w:p>
        </w:tc>
        <w:tc>
          <w:tcPr>
            <w:tcW w:w="120" w:type="dxa"/>
            <w:tcBorders>
              <w:top w:val="single" w:sz="8" w:space="0" w:color="auto"/>
            </w:tcBorders>
            <w:shd w:val="clear" w:color="auto" w:fill="000000"/>
            <w:vAlign w:val="bottom"/>
          </w:tcPr>
          <w:p w14:paraId="26B5D6C8" w14:textId="77777777" w:rsidR="00D1587D" w:rsidRDefault="00D1587D">
            <w:pPr>
              <w:spacing w:line="20" w:lineRule="exact"/>
              <w:rPr>
                <w:sz w:val="1"/>
                <w:szCs w:val="1"/>
              </w:rPr>
            </w:pPr>
          </w:p>
        </w:tc>
        <w:tc>
          <w:tcPr>
            <w:tcW w:w="280" w:type="dxa"/>
            <w:tcBorders>
              <w:top w:val="single" w:sz="8" w:space="0" w:color="auto"/>
            </w:tcBorders>
            <w:shd w:val="clear" w:color="auto" w:fill="000000"/>
            <w:vAlign w:val="bottom"/>
          </w:tcPr>
          <w:p w14:paraId="28FD7260" w14:textId="77777777" w:rsidR="00D1587D" w:rsidRDefault="00D1587D">
            <w:pPr>
              <w:spacing w:line="20" w:lineRule="exact"/>
              <w:rPr>
                <w:sz w:val="1"/>
                <w:szCs w:val="1"/>
              </w:rPr>
            </w:pPr>
          </w:p>
        </w:tc>
        <w:tc>
          <w:tcPr>
            <w:tcW w:w="220" w:type="dxa"/>
            <w:tcBorders>
              <w:top w:val="single" w:sz="8" w:space="0" w:color="CCEEFF"/>
            </w:tcBorders>
            <w:vAlign w:val="bottom"/>
          </w:tcPr>
          <w:p w14:paraId="1E199DCD" w14:textId="77777777" w:rsidR="00D1587D" w:rsidRDefault="00D1587D">
            <w:pPr>
              <w:spacing w:line="20" w:lineRule="exact"/>
              <w:rPr>
                <w:sz w:val="1"/>
                <w:szCs w:val="1"/>
              </w:rPr>
            </w:pPr>
          </w:p>
        </w:tc>
        <w:tc>
          <w:tcPr>
            <w:tcW w:w="380" w:type="dxa"/>
            <w:tcBorders>
              <w:top w:val="single" w:sz="8" w:space="0" w:color="auto"/>
            </w:tcBorders>
            <w:shd w:val="clear" w:color="auto" w:fill="000000"/>
            <w:vAlign w:val="bottom"/>
          </w:tcPr>
          <w:p w14:paraId="57C77B8A" w14:textId="77777777" w:rsidR="00D1587D" w:rsidRDefault="00D1587D">
            <w:pPr>
              <w:spacing w:line="20" w:lineRule="exact"/>
              <w:rPr>
                <w:sz w:val="1"/>
                <w:szCs w:val="1"/>
              </w:rPr>
            </w:pPr>
          </w:p>
        </w:tc>
        <w:tc>
          <w:tcPr>
            <w:tcW w:w="220" w:type="dxa"/>
            <w:tcBorders>
              <w:top w:val="single" w:sz="8" w:space="0" w:color="CCEEFF"/>
            </w:tcBorders>
            <w:vAlign w:val="bottom"/>
          </w:tcPr>
          <w:p w14:paraId="1ADB5492" w14:textId="77777777" w:rsidR="00D1587D" w:rsidRDefault="00D1587D">
            <w:pPr>
              <w:spacing w:line="20" w:lineRule="exact"/>
              <w:rPr>
                <w:sz w:val="1"/>
                <w:szCs w:val="1"/>
              </w:rPr>
            </w:pPr>
          </w:p>
        </w:tc>
        <w:tc>
          <w:tcPr>
            <w:tcW w:w="440" w:type="dxa"/>
            <w:tcBorders>
              <w:top w:val="single" w:sz="8" w:space="0" w:color="auto"/>
            </w:tcBorders>
            <w:shd w:val="clear" w:color="auto" w:fill="000000"/>
            <w:vAlign w:val="bottom"/>
          </w:tcPr>
          <w:p w14:paraId="6B482D0B" w14:textId="77777777" w:rsidR="00D1587D" w:rsidRDefault="00D1587D">
            <w:pPr>
              <w:spacing w:line="20" w:lineRule="exact"/>
              <w:rPr>
                <w:sz w:val="1"/>
                <w:szCs w:val="1"/>
              </w:rPr>
            </w:pPr>
          </w:p>
        </w:tc>
      </w:tr>
    </w:tbl>
    <w:p w14:paraId="3162968F" w14:textId="77777777" w:rsidR="00D1587D" w:rsidRDefault="00410D07">
      <w:pPr>
        <w:spacing w:line="20" w:lineRule="exact"/>
        <w:rPr>
          <w:sz w:val="20"/>
          <w:szCs w:val="20"/>
        </w:rPr>
      </w:pPr>
      <w:r>
        <w:rPr>
          <w:noProof/>
          <w:sz w:val="20"/>
          <w:szCs w:val="20"/>
        </w:rPr>
        <w:drawing>
          <wp:anchor distT="0" distB="0" distL="114300" distR="114300" simplePos="0" relativeHeight="252096512" behindDoc="1" locked="0" layoutInCell="0" allowOverlap="1" wp14:anchorId="092C59A6" wp14:editId="0577DDFF">
            <wp:simplePos x="0" y="0"/>
            <wp:positionH relativeFrom="column">
              <wp:posOffset>5758180</wp:posOffset>
            </wp:positionH>
            <wp:positionV relativeFrom="paragraph">
              <wp:posOffset>-256540</wp:posOffset>
            </wp:positionV>
            <wp:extent cx="137160" cy="8890"/>
            <wp:effectExtent l="0" t="0" r="0" b="0"/>
            <wp:wrapNone/>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097536" behindDoc="1" locked="0" layoutInCell="0" allowOverlap="1" wp14:anchorId="628C24F3" wp14:editId="357269A7">
            <wp:simplePos x="0" y="0"/>
            <wp:positionH relativeFrom="column">
              <wp:posOffset>5372100</wp:posOffset>
            </wp:positionH>
            <wp:positionV relativeFrom="paragraph">
              <wp:posOffset>-256540</wp:posOffset>
            </wp:positionV>
            <wp:extent cx="137160" cy="8890"/>
            <wp:effectExtent l="0" t="0" r="0" b="0"/>
            <wp:wrapNone/>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098560" behindDoc="1" locked="0" layoutInCell="0" allowOverlap="1" wp14:anchorId="014BEA50" wp14:editId="5868ACD8">
            <wp:simplePos x="0" y="0"/>
            <wp:positionH relativeFrom="column">
              <wp:posOffset>5055235</wp:posOffset>
            </wp:positionH>
            <wp:positionV relativeFrom="paragraph">
              <wp:posOffset>-256540</wp:posOffset>
            </wp:positionV>
            <wp:extent cx="68580" cy="8890"/>
            <wp:effectExtent l="0" t="0" r="0" b="0"/>
            <wp:wrapNone/>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2099584" behindDoc="1" locked="0" layoutInCell="0" allowOverlap="1" wp14:anchorId="42BBB3A2" wp14:editId="35E73900">
            <wp:simplePos x="0" y="0"/>
            <wp:positionH relativeFrom="column">
              <wp:posOffset>5758180</wp:posOffset>
            </wp:positionH>
            <wp:positionV relativeFrom="paragraph">
              <wp:posOffset>-1567815</wp:posOffset>
            </wp:positionV>
            <wp:extent cx="137160" cy="8255"/>
            <wp:effectExtent l="0" t="0" r="0" b="0"/>
            <wp:wrapNone/>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100608" behindDoc="1" locked="0" layoutInCell="0" allowOverlap="1" wp14:anchorId="0282851A" wp14:editId="6438F096">
            <wp:simplePos x="0" y="0"/>
            <wp:positionH relativeFrom="column">
              <wp:posOffset>5372100</wp:posOffset>
            </wp:positionH>
            <wp:positionV relativeFrom="paragraph">
              <wp:posOffset>-1567815</wp:posOffset>
            </wp:positionV>
            <wp:extent cx="137160" cy="8255"/>
            <wp:effectExtent l="0" t="0" r="0" b="0"/>
            <wp:wrapNone/>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101632" behindDoc="1" locked="0" layoutInCell="0" allowOverlap="1" wp14:anchorId="7772A8E5" wp14:editId="04C65A72">
            <wp:simplePos x="0" y="0"/>
            <wp:positionH relativeFrom="column">
              <wp:posOffset>5055235</wp:posOffset>
            </wp:positionH>
            <wp:positionV relativeFrom="paragraph">
              <wp:posOffset>-1567815</wp:posOffset>
            </wp:positionV>
            <wp:extent cx="68580" cy="8255"/>
            <wp:effectExtent l="0" t="0" r="0" b="0"/>
            <wp:wrapNone/>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2102656" behindDoc="1" locked="0" layoutInCell="0" allowOverlap="1" wp14:anchorId="488887A1" wp14:editId="38C7F884">
            <wp:simplePos x="0" y="0"/>
            <wp:positionH relativeFrom="column">
              <wp:posOffset>5758180</wp:posOffset>
            </wp:positionH>
            <wp:positionV relativeFrom="paragraph">
              <wp:posOffset>-2596515</wp:posOffset>
            </wp:positionV>
            <wp:extent cx="137160" cy="8255"/>
            <wp:effectExtent l="0" t="0" r="0" b="0"/>
            <wp:wrapNone/>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103680" behindDoc="1" locked="0" layoutInCell="0" allowOverlap="1" wp14:anchorId="6A95AF4D" wp14:editId="0B730487">
            <wp:simplePos x="0" y="0"/>
            <wp:positionH relativeFrom="column">
              <wp:posOffset>5372100</wp:posOffset>
            </wp:positionH>
            <wp:positionV relativeFrom="paragraph">
              <wp:posOffset>-2596515</wp:posOffset>
            </wp:positionV>
            <wp:extent cx="137160" cy="8255"/>
            <wp:effectExtent l="0" t="0" r="0" b="0"/>
            <wp:wrapNone/>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p>
    <w:p w14:paraId="2E36ADBD" w14:textId="77777777" w:rsidR="00D1587D" w:rsidRDefault="00D1587D">
      <w:pPr>
        <w:spacing w:line="74" w:lineRule="exact"/>
        <w:rPr>
          <w:sz w:val="20"/>
          <w:szCs w:val="20"/>
        </w:rPr>
      </w:pPr>
    </w:p>
    <w:p w14:paraId="02B3F193" w14:textId="77777777" w:rsidR="00D1587D" w:rsidRDefault="00410D07">
      <w:pPr>
        <w:spacing w:line="342" w:lineRule="auto"/>
        <w:ind w:left="1300" w:right="1820" w:firstLine="360"/>
        <w:rPr>
          <w:sz w:val="20"/>
          <w:szCs w:val="20"/>
        </w:rPr>
      </w:pPr>
      <w:r>
        <w:rPr>
          <w:rFonts w:ascii="Arial" w:eastAsia="Arial" w:hAnsi="Arial" w:cs="Arial"/>
          <w:sz w:val="16"/>
          <w:szCs w:val="16"/>
        </w:rPr>
        <w:t xml:space="preserve">The non-U.S. component of pre-tax income, </w:t>
      </w:r>
      <w:r>
        <w:rPr>
          <w:rFonts w:ascii="Arial" w:eastAsia="Arial" w:hAnsi="Arial" w:cs="Arial"/>
          <w:sz w:val="16"/>
          <w:szCs w:val="16"/>
        </w:rPr>
        <w:t>arising principally from overseas operations, was income of $11 million, loss of $241 million and income of $7 million for 2020, 2019 and 2018, respectively.</w:t>
      </w:r>
    </w:p>
    <w:p w14:paraId="4C473392" w14:textId="77777777" w:rsidR="00D1587D" w:rsidRDefault="00D1587D">
      <w:pPr>
        <w:spacing w:line="16" w:lineRule="exact"/>
        <w:rPr>
          <w:sz w:val="20"/>
          <w:szCs w:val="20"/>
        </w:rPr>
      </w:pPr>
    </w:p>
    <w:p w14:paraId="62925775" w14:textId="77777777" w:rsidR="00D1587D" w:rsidRDefault="00410D07">
      <w:pPr>
        <w:spacing w:line="277" w:lineRule="auto"/>
        <w:ind w:left="1300" w:right="1460" w:firstLine="360"/>
        <w:rPr>
          <w:sz w:val="20"/>
          <w:szCs w:val="20"/>
        </w:rPr>
      </w:pPr>
      <w:r>
        <w:rPr>
          <w:rFonts w:ascii="Arial" w:eastAsia="Arial" w:hAnsi="Arial" w:cs="Arial"/>
          <w:sz w:val="18"/>
          <w:szCs w:val="18"/>
        </w:rPr>
        <w:t>The following table provides the reconciliation between the statutory federal income tax rate and</w:t>
      </w:r>
      <w:r>
        <w:rPr>
          <w:rFonts w:ascii="Arial" w:eastAsia="Arial" w:hAnsi="Arial" w:cs="Arial"/>
          <w:sz w:val="18"/>
          <w:szCs w:val="18"/>
        </w:rPr>
        <w:t xml:space="preserve"> the effective tax rate for 2020, 2019 and 2018:</w:t>
      </w:r>
    </w:p>
    <w:p w14:paraId="2332182B" w14:textId="77777777" w:rsidR="00D1587D" w:rsidRDefault="00D1587D">
      <w:pPr>
        <w:spacing w:line="12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00"/>
        <w:gridCol w:w="3960"/>
        <w:gridCol w:w="2080"/>
        <w:gridCol w:w="120"/>
        <w:gridCol w:w="600"/>
        <w:gridCol w:w="260"/>
        <w:gridCol w:w="600"/>
        <w:gridCol w:w="260"/>
        <w:gridCol w:w="540"/>
        <w:gridCol w:w="1300"/>
      </w:tblGrid>
      <w:tr w:rsidR="00D1587D" w14:paraId="6623F02B" w14:textId="77777777">
        <w:trPr>
          <w:trHeight w:val="186"/>
        </w:trPr>
        <w:tc>
          <w:tcPr>
            <w:tcW w:w="1300" w:type="dxa"/>
            <w:vAlign w:val="bottom"/>
          </w:tcPr>
          <w:p w14:paraId="53D5FC57" w14:textId="77777777" w:rsidR="00D1587D" w:rsidRDefault="00D1587D">
            <w:pPr>
              <w:rPr>
                <w:sz w:val="16"/>
                <w:szCs w:val="16"/>
              </w:rPr>
            </w:pPr>
          </w:p>
        </w:tc>
        <w:tc>
          <w:tcPr>
            <w:tcW w:w="3960" w:type="dxa"/>
            <w:vAlign w:val="bottom"/>
          </w:tcPr>
          <w:p w14:paraId="533E83D3" w14:textId="77777777" w:rsidR="00D1587D" w:rsidRDefault="00D1587D">
            <w:pPr>
              <w:rPr>
                <w:sz w:val="16"/>
                <w:szCs w:val="16"/>
              </w:rPr>
            </w:pPr>
          </w:p>
        </w:tc>
        <w:tc>
          <w:tcPr>
            <w:tcW w:w="2800" w:type="dxa"/>
            <w:gridSpan w:val="3"/>
            <w:vAlign w:val="bottom"/>
          </w:tcPr>
          <w:p w14:paraId="205416E9" w14:textId="77777777" w:rsidR="00D1587D" w:rsidRDefault="00410D07">
            <w:pPr>
              <w:ind w:right="70"/>
              <w:jc w:val="right"/>
              <w:rPr>
                <w:sz w:val="20"/>
                <w:szCs w:val="20"/>
              </w:rPr>
            </w:pPr>
            <w:r>
              <w:rPr>
                <w:rFonts w:ascii="Arial" w:eastAsia="Arial" w:hAnsi="Arial" w:cs="Arial"/>
                <w:b/>
                <w:bCs/>
                <w:sz w:val="14"/>
                <w:szCs w:val="14"/>
              </w:rPr>
              <w:t>2020</w:t>
            </w:r>
          </w:p>
        </w:tc>
        <w:tc>
          <w:tcPr>
            <w:tcW w:w="860" w:type="dxa"/>
            <w:gridSpan w:val="2"/>
            <w:vAlign w:val="bottom"/>
          </w:tcPr>
          <w:p w14:paraId="54FFB9A4" w14:textId="77777777" w:rsidR="00D1587D" w:rsidRDefault="00410D07">
            <w:pPr>
              <w:ind w:right="70"/>
              <w:jc w:val="right"/>
              <w:rPr>
                <w:sz w:val="20"/>
                <w:szCs w:val="20"/>
              </w:rPr>
            </w:pPr>
            <w:r>
              <w:rPr>
                <w:rFonts w:ascii="Arial" w:eastAsia="Arial" w:hAnsi="Arial" w:cs="Arial"/>
                <w:b/>
                <w:bCs/>
                <w:sz w:val="14"/>
                <w:szCs w:val="14"/>
              </w:rPr>
              <w:t>2019</w:t>
            </w:r>
          </w:p>
        </w:tc>
        <w:tc>
          <w:tcPr>
            <w:tcW w:w="800" w:type="dxa"/>
            <w:gridSpan w:val="2"/>
            <w:vAlign w:val="bottom"/>
          </w:tcPr>
          <w:p w14:paraId="7181AFFA" w14:textId="77777777" w:rsidR="00D1587D" w:rsidRDefault="00410D07">
            <w:pPr>
              <w:ind w:left="380"/>
              <w:rPr>
                <w:sz w:val="20"/>
                <w:szCs w:val="20"/>
              </w:rPr>
            </w:pPr>
            <w:r>
              <w:rPr>
                <w:rFonts w:ascii="Arial" w:eastAsia="Arial" w:hAnsi="Arial" w:cs="Arial"/>
                <w:b/>
                <w:bCs/>
                <w:sz w:val="14"/>
                <w:szCs w:val="14"/>
              </w:rPr>
              <w:t>2018</w:t>
            </w:r>
          </w:p>
        </w:tc>
        <w:tc>
          <w:tcPr>
            <w:tcW w:w="1300" w:type="dxa"/>
            <w:vAlign w:val="bottom"/>
          </w:tcPr>
          <w:p w14:paraId="1748FD23" w14:textId="77777777" w:rsidR="00D1587D" w:rsidRDefault="00D1587D">
            <w:pPr>
              <w:rPr>
                <w:sz w:val="16"/>
                <w:szCs w:val="16"/>
              </w:rPr>
            </w:pPr>
          </w:p>
        </w:tc>
      </w:tr>
      <w:tr w:rsidR="00D1587D" w14:paraId="2EA40545" w14:textId="77777777">
        <w:trPr>
          <w:trHeight w:val="52"/>
        </w:trPr>
        <w:tc>
          <w:tcPr>
            <w:tcW w:w="1300" w:type="dxa"/>
            <w:vAlign w:val="bottom"/>
          </w:tcPr>
          <w:p w14:paraId="0BC19444" w14:textId="77777777" w:rsidR="00D1587D" w:rsidRDefault="00D1587D">
            <w:pPr>
              <w:rPr>
                <w:sz w:val="4"/>
                <w:szCs w:val="4"/>
              </w:rPr>
            </w:pPr>
          </w:p>
        </w:tc>
        <w:tc>
          <w:tcPr>
            <w:tcW w:w="3960" w:type="dxa"/>
            <w:tcBorders>
              <w:bottom w:val="single" w:sz="8" w:space="0" w:color="CCEEFF"/>
            </w:tcBorders>
            <w:vAlign w:val="bottom"/>
          </w:tcPr>
          <w:p w14:paraId="1C61A4BC" w14:textId="77777777" w:rsidR="00D1587D" w:rsidRDefault="00D1587D">
            <w:pPr>
              <w:rPr>
                <w:sz w:val="4"/>
                <w:szCs w:val="4"/>
              </w:rPr>
            </w:pPr>
          </w:p>
        </w:tc>
        <w:tc>
          <w:tcPr>
            <w:tcW w:w="2080" w:type="dxa"/>
            <w:tcBorders>
              <w:bottom w:val="single" w:sz="8" w:space="0" w:color="CCEEFF"/>
            </w:tcBorders>
            <w:vAlign w:val="bottom"/>
          </w:tcPr>
          <w:p w14:paraId="68F98454" w14:textId="77777777" w:rsidR="00D1587D" w:rsidRDefault="00D1587D">
            <w:pPr>
              <w:rPr>
                <w:sz w:val="4"/>
                <w:szCs w:val="4"/>
              </w:rPr>
            </w:pPr>
          </w:p>
        </w:tc>
        <w:tc>
          <w:tcPr>
            <w:tcW w:w="120" w:type="dxa"/>
            <w:tcBorders>
              <w:bottom w:val="single" w:sz="8" w:space="0" w:color="CCEEFF"/>
            </w:tcBorders>
            <w:vAlign w:val="bottom"/>
          </w:tcPr>
          <w:p w14:paraId="47568805" w14:textId="77777777" w:rsidR="00D1587D" w:rsidRDefault="00D1587D">
            <w:pPr>
              <w:rPr>
                <w:sz w:val="4"/>
                <w:szCs w:val="4"/>
              </w:rPr>
            </w:pPr>
          </w:p>
        </w:tc>
        <w:tc>
          <w:tcPr>
            <w:tcW w:w="600" w:type="dxa"/>
            <w:tcBorders>
              <w:bottom w:val="single" w:sz="8" w:space="0" w:color="auto"/>
            </w:tcBorders>
            <w:vAlign w:val="bottom"/>
          </w:tcPr>
          <w:p w14:paraId="5DAD0B2B" w14:textId="77777777" w:rsidR="00D1587D" w:rsidRDefault="00D1587D">
            <w:pPr>
              <w:rPr>
                <w:sz w:val="4"/>
                <w:szCs w:val="4"/>
              </w:rPr>
            </w:pPr>
          </w:p>
        </w:tc>
        <w:tc>
          <w:tcPr>
            <w:tcW w:w="260" w:type="dxa"/>
            <w:tcBorders>
              <w:bottom w:val="single" w:sz="8" w:space="0" w:color="CCEEFF"/>
            </w:tcBorders>
            <w:vAlign w:val="bottom"/>
          </w:tcPr>
          <w:p w14:paraId="52926B47" w14:textId="77777777" w:rsidR="00D1587D" w:rsidRDefault="00D1587D">
            <w:pPr>
              <w:rPr>
                <w:sz w:val="4"/>
                <w:szCs w:val="4"/>
              </w:rPr>
            </w:pPr>
          </w:p>
        </w:tc>
        <w:tc>
          <w:tcPr>
            <w:tcW w:w="600" w:type="dxa"/>
            <w:tcBorders>
              <w:bottom w:val="single" w:sz="8" w:space="0" w:color="auto"/>
            </w:tcBorders>
            <w:vAlign w:val="bottom"/>
          </w:tcPr>
          <w:p w14:paraId="562A69E5" w14:textId="77777777" w:rsidR="00D1587D" w:rsidRDefault="00D1587D">
            <w:pPr>
              <w:rPr>
                <w:sz w:val="4"/>
                <w:szCs w:val="4"/>
              </w:rPr>
            </w:pPr>
          </w:p>
        </w:tc>
        <w:tc>
          <w:tcPr>
            <w:tcW w:w="260" w:type="dxa"/>
            <w:tcBorders>
              <w:bottom w:val="single" w:sz="8" w:space="0" w:color="CCEEFF"/>
            </w:tcBorders>
            <w:vAlign w:val="bottom"/>
          </w:tcPr>
          <w:p w14:paraId="342D4DA2" w14:textId="77777777" w:rsidR="00D1587D" w:rsidRDefault="00D1587D">
            <w:pPr>
              <w:rPr>
                <w:sz w:val="4"/>
                <w:szCs w:val="4"/>
              </w:rPr>
            </w:pPr>
          </w:p>
        </w:tc>
        <w:tc>
          <w:tcPr>
            <w:tcW w:w="540" w:type="dxa"/>
            <w:tcBorders>
              <w:bottom w:val="single" w:sz="8" w:space="0" w:color="auto"/>
            </w:tcBorders>
            <w:vAlign w:val="bottom"/>
          </w:tcPr>
          <w:p w14:paraId="490818B7" w14:textId="77777777" w:rsidR="00D1587D" w:rsidRDefault="00D1587D">
            <w:pPr>
              <w:rPr>
                <w:sz w:val="4"/>
                <w:szCs w:val="4"/>
              </w:rPr>
            </w:pPr>
          </w:p>
        </w:tc>
        <w:tc>
          <w:tcPr>
            <w:tcW w:w="1300" w:type="dxa"/>
            <w:vAlign w:val="bottom"/>
          </w:tcPr>
          <w:p w14:paraId="56A90EA7" w14:textId="77777777" w:rsidR="00D1587D" w:rsidRDefault="00D1587D">
            <w:pPr>
              <w:rPr>
                <w:sz w:val="4"/>
                <w:szCs w:val="4"/>
              </w:rPr>
            </w:pPr>
          </w:p>
        </w:tc>
      </w:tr>
      <w:tr w:rsidR="00D1587D" w14:paraId="1C8595EC" w14:textId="77777777">
        <w:trPr>
          <w:trHeight w:val="311"/>
        </w:trPr>
        <w:tc>
          <w:tcPr>
            <w:tcW w:w="1300" w:type="dxa"/>
            <w:vAlign w:val="bottom"/>
          </w:tcPr>
          <w:p w14:paraId="656AF16B" w14:textId="77777777" w:rsidR="00D1587D" w:rsidRDefault="00D1587D">
            <w:pPr>
              <w:rPr>
                <w:sz w:val="24"/>
                <w:szCs w:val="24"/>
              </w:rPr>
            </w:pPr>
          </w:p>
        </w:tc>
        <w:tc>
          <w:tcPr>
            <w:tcW w:w="3960" w:type="dxa"/>
            <w:tcBorders>
              <w:bottom w:val="single" w:sz="8" w:space="0" w:color="CCEEFF"/>
            </w:tcBorders>
            <w:shd w:val="clear" w:color="auto" w:fill="CCEEFF"/>
            <w:vAlign w:val="bottom"/>
          </w:tcPr>
          <w:p w14:paraId="52BC8F67" w14:textId="77777777" w:rsidR="00D1587D" w:rsidRDefault="00410D07">
            <w:pPr>
              <w:rPr>
                <w:sz w:val="20"/>
                <w:szCs w:val="20"/>
              </w:rPr>
            </w:pPr>
            <w:r>
              <w:rPr>
                <w:rFonts w:ascii="Arial" w:eastAsia="Arial" w:hAnsi="Arial" w:cs="Arial"/>
                <w:sz w:val="18"/>
                <w:szCs w:val="18"/>
              </w:rPr>
              <w:t>Federal Income Tax Rate</w:t>
            </w:r>
          </w:p>
        </w:tc>
        <w:tc>
          <w:tcPr>
            <w:tcW w:w="2800" w:type="dxa"/>
            <w:gridSpan w:val="3"/>
            <w:tcBorders>
              <w:bottom w:val="single" w:sz="8" w:space="0" w:color="CCEEFF"/>
            </w:tcBorders>
            <w:shd w:val="clear" w:color="auto" w:fill="CCEEFF"/>
            <w:vAlign w:val="bottom"/>
          </w:tcPr>
          <w:p w14:paraId="26D65416" w14:textId="77777777" w:rsidR="00D1587D" w:rsidRDefault="00410D07">
            <w:pPr>
              <w:jc w:val="right"/>
              <w:rPr>
                <w:sz w:val="20"/>
                <w:szCs w:val="20"/>
              </w:rPr>
            </w:pPr>
            <w:r>
              <w:rPr>
                <w:rFonts w:ascii="Arial" w:eastAsia="Arial" w:hAnsi="Arial" w:cs="Arial"/>
                <w:sz w:val="18"/>
                <w:szCs w:val="18"/>
              </w:rPr>
              <w:t>21.0%</w:t>
            </w:r>
          </w:p>
        </w:tc>
        <w:tc>
          <w:tcPr>
            <w:tcW w:w="860" w:type="dxa"/>
            <w:gridSpan w:val="2"/>
            <w:tcBorders>
              <w:bottom w:val="single" w:sz="8" w:space="0" w:color="CCEEFF"/>
            </w:tcBorders>
            <w:shd w:val="clear" w:color="auto" w:fill="CCEEFF"/>
            <w:vAlign w:val="bottom"/>
          </w:tcPr>
          <w:p w14:paraId="07649887" w14:textId="77777777" w:rsidR="00D1587D" w:rsidRDefault="00410D07">
            <w:pPr>
              <w:jc w:val="right"/>
              <w:rPr>
                <w:sz w:val="20"/>
                <w:szCs w:val="20"/>
              </w:rPr>
            </w:pPr>
            <w:r>
              <w:rPr>
                <w:rFonts w:ascii="Arial" w:eastAsia="Arial" w:hAnsi="Arial" w:cs="Arial"/>
                <w:sz w:val="18"/>
                <w:szCs w:val="18"/>
              </w:rPr>
              <w:t>21.0%</w:t>
            </w:r>
          </w:p>
        </w:tc>
        <w:tc>
          <w:tcPr>
            <w:tcW w:w="800" w:type="dxa"/>
            <w:gridSpan w:val="2"/>
            <w:tcBorders>
              <w:bottom w:val="single" w:sz="8" w:space="0" w:color="CCEEFF"/>
            </w:tcBorders>
            <w:shd w:val="clear" w:color="auto" w:fill="CCEEFF"/>
            <w:vAlign w:val="bottom"/>
          </w:tcPr>
          <w:p w14:paraId="393C1FED" w14:textId="77777777" w:rsidR="00D1587D" w:rsidRDefault="00410D07">
            <w:pPr>
              <w:jc w:val="right"/>
              <w:rPr>
                <w:sz w:val="20"/>
                <w:szCs w:val="20"/>
              </w:rPr>
            </w:pPr>
            <w:r>
              <w:rPr>
                <w:rFonts w:ascii="Arial" w:eastAsia="Arial" w:hAnsi="Arial" w:cs="Arial"/>
                <w:sz w:val="18"/>
                <w:szCs w:val="18"/>
              </w:rPr>
              <w:t>21.0%</w:t>
            </w:r>
          </w:p>
        </w:tc>
        <w:tc>
          <w:tcPr>
            <w:tcW w:w="1300" w:type="dxa"/>
            <w:vAlign w:val="bottom"/>
          </w:tcPr>
          <w:p w14:paraId="52A1995E" w14:textId="77777777" w:rsidR="00D1587D" w:rsidRDefault="00D1587D">
            <w:pPr>
              <w:rPr>
                <w:sz w:val="24"/>
                <w:szCs w:val="24"/>
              </w:rPr>
            </w:pPr>
          </w:p>
        </w:tc>
      </w:tr>
      <w:tr w:rsidR="00D1587D" w14:paraId="6730BDD8" w14:textId="77777777">
        <w:trPr>
          <w:trHeight w:val="270"/>
        </w:trPr>
        <w:tc>
          <w:tcPr>
            <w:tcW w:w="1300" w:type="dxa"/>
            <w:vAlign w:val="bottom"/>
          </w:tcPr>
          <w:p w14:paraId="4BD5525B" w14:textId="77777777" w:rsidR="00D1587D" w:rsidRDefault="00D1587D">
            <w:pPr>
              <w:rPr>
                <w:sz w:val="23"/>
                <w:szCs w:val="23"/>
              </w:rPr>
            </w:pPr>
          </w:p>
        </w:tc>
        <w:tc>
          <w:tcPr>
            <w:tcW w:w="3960" w:type="dxa"/>
            <w:vAlign w:val="bottom"/>
          </w:tcPr>
          <w:p w14:paraId="51C53BCF" w14:textId="77777777" w:rsidR="00D1587D" w:rsidRDefault="00410D07">
            <w:pPr>
              <w:rPr>
                <w:sz w:val="20"/>
                <w:szCs w:val="20"/>
              </w:rPr>
            </w:pPr>
            <w:r>
              <w:rPr>
                <w:rFonts w:ascii="Arial" w:eastAsia="Arial" w:hAnsi="Arial" w:cs="Arial"/>
                <w:sz w:val="18"/>
                <w:szCs w:val="18"/>
              </w:rPr>
              <w:t>Restructuring of Foreign Investments</w:t>
            </w:r>
          </w:p>
        </w:tc>
        <w:tc>
          <w:tcPr>
            <w:tcW w:w="2800" w:type="dxa"/>
            <w:gridSpan w:val="3"/>
            <w:vAlign w:val="bottom"/>
          </w:tcPr>
          <w:p w14:paraId="16944A5F" w14:textId="77777777" w:rsidR="00D1587D" w:rsidRDefault="00410D07">
            <w:pPr>
              <w:jc w:val="right"/>
              <w:rPr>
                <w:sz w:val="20"/>
                <w:szCs w:val="20"/>
              </w:rPr>
            </w:pPr>
            <w:r>
              <w:rPr>
                <w:rFonts w:ascii="Arial" w:eastAsia="Arial" w:hAnsi="Arial" w:cs="Arial"/>
                <w:sz w:val="18"/>
                <w:szCs w:val="18"/>
              </w:rPr>
              <w:t>23.3%</w:t>
            </w:r>
          </w:p>
        </w:tc>
        <w:tc>
          <w:tcPr>
            <w:tcW w:w="260" w:type="dxa"/>
            <w:vAlign w:val="bottom"/>
          </w:tcPr>
          <w:p w14:paraId="51F5CDA4" w14:textId="77777777" w:rsidR="00D1587D" w:rsidRDefault="00D1587D">
            <w:pPr>
              <w:rPr>
                <w:sz w:val="23"/>
                <w:szCs w:val="23"/>
              </w:rPr>
            </w:pPr>
          </w:p>
        </w:tc>
        <w:tc>
          <w:tcPr>
            <w:tcW w:w="600" w:type="dxa"/>
            <w:vAlign w:val="bottom"/>
          </w:tcPr>
          <w:p w14:paraId="5DDEF015" w14:textId="77777777" w:rsidR="00D1587D" w:rsidRDefault="00410D07">
            <w:pPr>
              <w:jc w:val="right"/>
              <w:rPr>
                <w:sz w:val="20"/>
                <w:szCs w:val="20"/>
              </w:rPr>
            </w:pPr>
            <w:r>
              <w:rPr>
                <w:rFonts w:ascii="Arial" w:eastAsia="Arial" w:hAnsi="Arial" w:cs="Arial"/>
                <w:sz w:val="18"/>
                <w:szCs w:val="18"/>
              </w:rPr>
              <w:t>—%</w:t>
            </w:r>
          </w:p>
        </w:tc>
        <w:tc>
          <w:tcPr>
            <w:tcW w:w="260" w:type="dxa"/>
            <w:vAlign w:val="bottom"/>
          </w:tcPr>
          <w:p w14:paraId="4CAD37DC" w14:textId="77777777" w:rsidR="00D1587D" w:rsidRDefault="00D1587D">
            <w:pPr>
              <w:rPr>
                <w:sz w:val="23"/>
                <w:szCs w:val="23"/>
              </w:rPr>
            </w:pPr>
          </w:p>
        </w:tc>
        <w:tc>
          <w:tcPr>
            <w:tcW w:w="1840" w:type="dxa"/>
            <w:gridSpan w:val="2"/>
            <w:vAlign w:val="bottom"/>
          </w:tcPr>
          <w:p w14:paraId="2C44D1C8" w14:textId="77777777" w:rsidR="00D1587D" w:rsidRDefault="00410D07">
            <w:pPr>
              <w:ind w:left="140"/>
              <w:rPr>
                <w:sz w:val="20"/>
                <w:szCs w:val="20"/>
              </w:rPr>
            </w:pPr>
            <w:r>
              <w:rPr>
                <w:rFonts w:ascii="Arial" w:eastAsia="Arial" w:hAnsi="Arial" w:cs="Arial"/>
                <w:sz w:val="18"/>
                <w:szCs w:val="18"/>
              </w:rPr>
              <w:t>—%</w:t>
            </w:r>
          </w:p>
        </w:tc>
      </w:tr>
      <w:tr w:rsidR="00D1587D" w14:paraId="23DE9176" w14:textId="77777777">
        <w:trPr>
          <w:trHeight w:val="54"/>
        </w:trPr>
        <w:tc>
          <w:tcPr>
            <w:tcW w:w="1300" w:type="dxa"/>
            <w:vAlign w:val="bottom"/>
          </w:tcPr>
          <w:p w14:paraId="53EFFFA7" w14:textId="77777777" w:rsidR="00D1587D" w:rsidRDefault="00D1587D">
            <w:pPr>
              <w:rPr>
                <w:sz w:val="4"/>
                <w:szCs w:val="4"/>
              </w:rPr>
            </w:pPr>
          </w:p>
        </w:tc>
        <w:tc>
          <w:tcPr>
            <w:tcW w:w="3960" w:type="dxa"/>
            <w:vAlign w:val="bottom"/>
          </w:tcPr>
          <w:p w14:paraId="392F90FF" w14:textId="77777777" w:rsidR="00D1587D" w:rsidRDefault="00D1587D">
            <w:pPr>
              <w:rPr>
                <w:sz w:val="4"/>
                <w:szCs w:val="4"/>
              </w:rPr>
            </w:pPr>
          </w:p>
        </w:tc>
        <w:tc>
          <w:tcPr>
            <w:tcW w:w="2080" w:type="dxa"/>
            <w:vAlign w:val="bottom"/>
          </w:tcPr>
          <w:p w14:paraId="70DA4C9E" w14:textId="77777777" w:rsidR="00D1587D" w:rsidRDefault="00D1587D">
            <w:pPr>
              <w:rPr>
                <w:sz w:val="4"/>
                <w:szCs w:val="4"/>
              </w:rPr>
            </w:pPr>
          </w:p>
        </w:tc>
        <w:tc>
          <w:tcPr>
            <w:tcW w:w="120" w:type="dxa"/>
            <w:vAlign w:val="bottom"/>
          </w:tcPr>
          <w:p w14:paraId="01BA3C45" w14:textId="77777777" w:rsidR="00D1587D" w:rsidRDefault="00D1587D">
            <w:pPr>
              <w:rPr>
                <w:sz w:val="4"/>
                <w:szCs w:val="4"/>
              </w:rPr>
            </w:pPr>
          </w:p>
        </w:tc>
        <w:tc>
          <w:tcPr>
            <w:tcW w:w="600" w:type="dxa"/>
            <w:vAlign w:val="bottom"/>
          </w:tcPr>
          <w:p w14:paraId="60A6C1B6" w14:textId="77777777" w:rsidR="00D1587D" w:rsidRDefault="00D1587D">
            <w:pPr>
              <w:rPr>
                <w:sz w:val="4"/>
                <w:szCs w:val="4"/>
              </w:rPr>
            </w:pPr>
          </w:p>
        </w:tc>
        <w:tc>
          <w:tcPr>
            <w:tcW w:w="260" w:type="dxa"/>
            <w:vAlign w:val="bottom"/>
          </w:tcPr>
          <w:p w14:paraId="7862481F" w14:textId="77777777" w:rsidR="00D1587D" w:rsidRDefault="00D1587D">
            <w:pPr>
              <w:rPr>
                <w:sz w:val="4"/>
                <w:szCs w:val="4"/>
              </w:rPr>
            </w:pPr>
          </w:p>
        </w:tc>
        <w:tc>
          <w:tcPr>
            <w:tcW w:w="600" w:type="dxa"/>
            <w:vAlign w:val="bottom"/>
          </w:tcPr>
          <w:p w14:paraId="6D75B868" w14:textId="77777777" w:rsidR="00D1587D" w:rsidRDefault="00D1587D">
            <w:pPr>
              <w:rPr>
                <w:sz w:val="4"/>
                <w:szCs w:val="4"/>
              </w:rPr>
            </w:pPr>
          </w:p>
        </w:tc>
        <w:tc>
          <w:tcPr>
            <w:tcW w:w="260" w:type="dxa"/>
            <w:vAlign w:val="bottom"/>
          </w:tcPr>
          <w:p w14:paraId="58306464" w14:textId="77777777" w:rsidR="00D1587D" w:rsidRDefault="00D1587D">
            <w:pPr>
              <w:rPr>
                <w:sz w:val="4"/>
                <w:szCs w:val="4"/>
              </w:rPr>
            </w:pPr>
          </w:p>
        </w:tc>
        <w:tc>
          <w:tcPr>
            <w:tcW w:w="540" w:type="dxa"/>
            <w:vAlign w:val="bottom"/>
          </w:tcPr>
          <w:p w14:paraId="53883ED9" w14:textId="77777777" w:rsidR="00D1587D" w:rsidRDefault="00D1587D">
            <w:pPr>
              <w:rPr>
                <w:sz w:val="4"/>
                <w:szCs w:val="4"/>
              </w:rPr>
            </w:pPr>
          </w:p>
        </w:tc>
        <w:tc>
          <w:tcPr>
            <w:tcW w:w="1300" w:type="dxa"/>
            <w:vAlign w:val="bottom"/>
          </w:tcPr>
          <w:p w14:paraId="2CDFE19A" w14:textId="77777777" w:rsidR="00D1587D" w:rsidRDefault="00D1587D">
            <w:pPr>
              <w:rPr>
                <w:sz w:val="4"/>
                <w:szCs w:val="4"/>
              </w:rPr>
            </w:pPr>
          </w:p>
        </w:tc>
      </w:tr>
      <w:tr w:rsidR="00D1587D" w14:paraId="7CB5E6E2" w14:textId="77777777">
        <w:trPr>
          <w:trHeight w:val="304"/>
        </w:trPr>
        <w:tc>
          <w:tcPr>
            <w:tcW w:w="1300" w:type="dxa"/>
            <w:vAlign w:val="bottom"/>
          </w:tcPr>
          <w:p w14:paraId="2C7F1E68" w14:textId="77777777" w:rsidR="00D1587D" w:rsidRDefault="00D1587D">
            <w:pPr>
              <w:rPr>
                <w:sz w:val="24"/>
                <w:szCs w:val="24"/>
              </w:rPr>
            </w:pPr>
          </w:p>
        </w:tc>
        <w:tc>
          <w:tcPr>
            <w:tcW w:w="3960" w:type="dxa"/>
            <w:tcBorders>
              <w:bottom w:val="single" w:sz="8" w:space="0" w:color="CCEEFF"/>
            </w:tcBorders>
            <w:shd w:val="clear" w:color="auto" w:fill="CCEEFF"/>
            <w:vAlign w:val="bottom"/>
          </w:tcPr>
          <w:p w14:paraId="23BE3AA6" w14:textId="77777777" w:rsidR="00D1587D" w:rsidRDefault="00410D07">
            <w:pPr>
              <w:rPr>
                <w:sz w:val="20"/>
                <w:szCs w:val="20"/>
              </w:rPr>
            </w:pPr>
            <w:r>
              <w:rPr>
                <w:rFonts w:ascii="Arial" w:eastAsia="Arial" w:hAnsi="Arial" w:cs="Arial"/>
                <w:sz w:val="18"/>
                <w:szCs w:val="18"/>
              </w:rPr>
              <w:t>Uncertain Tax Positions</w:t>
            </w:r>
          </w:p>
        </w:tc>
        <w:tc>
          <w:tcPr>
            <w:tcW w:w="2800" w:type="dxa"/>
            <w:gridSpan w:val="3"/>
            <w:tcBorders>
              <w:bottom w:val="single" w:sz="8" w:space="0" w:color="CCEEFF"/>
            </w:tcBorders>
            <w:shd w:val="clear" w:color="auto" w:fill="CCEEFF"/>
            <w:vAlign w:val="bottom"/>
          </w:tcPr>
          <w:p w14:paraId="53DCB4FD" w14:textId="77777777" w:rsidR="00D1587D" w:rsidRDefault="00410D07">
            <w:pPr>
              <w:jc w:val="right"/>
              <w:rPr>
                <w:sz w:val="20"/>
                <w:szCs w:val="20"/>
              </w:rPr>
            </w:pPr>
            <w:r>
              <w:rPr>
                <w:rFonts w:ascii="Arial" w:eastAsia="Arial" w:hAnsi="Arial" w:cs="Arial"/>
                <w:sz w:val="18"/>
                <w:szCs w:val="18"/>
              </w:rPr>
              <w:t>19.3%</w:t>
            </w:r>
          </w:p>
        </w:tc>
        <w:tc>
          <w:tcPr>
            <w:tcW w:w="860" w:type="dxa"/>
            <w:gridSpan w:val="2"/>
            <w:tcBorders>
              <w:bottom w:val="single" w:sz="8" w:space="0" w:color="CCEEFF"/>
            </w:tcBorders>
            <w:shd w:val="clear" w:color="auto" w:fill="CCEEFF"/>
            <w:vAlign w:val="bottom"/>
          </w:tcPr>
          <w:p w14:paraId="55184113" w14:textId="77777777" w:rsidR="00D1587D" w:rsidRDefault="00410D07">
            <w:pPr>
              <w:jc w:val="right"/>
              <w:rPr>
                <w:sz w:val="20"/>
                <w:szCs w:val="20"/>
              </w:rPr>
            </w:pPr>
            <w:r>
              <w:rPr>
                <w:rFonts w:ascii="Arial" w:eastAsia="Arial" w:hAnsi="Arial" w:cs="Arial"/>
                <w:sz w:val="18"/>
                <w:szCs w:val="18"/>
              </w:rPr>
              <w:t>2.4%</w:t>
            </w:r>
          </w:p>
        </w:tc>
        <w:tc>
          <w:tcPr>
            <w:tcW w:w="800" w:type="dxa"/>
            <w:gridSpan w:val="2"/>
            <w:tcBorders>
              <w:bottom w:val="single" w:sz="8" w:space="0" w:color="CCEEFF"/>
            </w:tcBorders>
            <w:shd w:val="clear" w:color="auto" w:fill="CCEEFF"/>
            <w:vAlign w:val="bottom"/>
          </w:tcPr>
          <w:p w14:paraId="1E8556B6" w14:textId="77777777" w:rsidR="00D1587D" w:rsidRDefault="00410D07">
            <w:pPr>
              <w:jc w:val="right"/>
              <w:rPr>
                <w:sz w:val="20"/>
                <w:szCs w:val="20"/>
              </w:rPr>
            </w:pPr>
            <w:r>
              <w:rPr>
                <w:rFonts w:ascii="Arial" w:eastAsia="Arial" w:hAnsi="Arial" w:cs="Arial"/>
                <w:sz w:val="18"/>
                <w:szCs w:val="18"/>
              </w:rPr>
              <w:t>(0.1)%</w:t>
            </w:r>
          </w:p>
        </w:tc>
        <w:tc>
          <w:tcPr>
            <w:tcW w:w="1300" w:type="dxa"/>
            <w:vAlign w:val="bottom"/>
          </w:tcPr>
          <w:p w14:paraId="7C5C51AA" w14:textId="77777777" w:rsidR="00D1587D" w:rsidRDefault="00D1587D">
            <w:pPr>
              <w:rPr>
                <w:sz w:val="24"/>
                <w:szCs w:val="24"/>
              </w:rPr>
            </w:pPr>
          </w:p>
        </w:tc>
      </w:tr>
      <w:tr w:rsidR="00D1587D" w14:paraId="0BA21FE2" w14:textId="77777777">
        <w:trPr>
          <w:trHeight w:val="270"/>
        </w:trPr>
        <w:tc>
          <w:tcPr>
            <w:tcW w:w="1300" w:type="dxa"/>
            <w:vAlign w:val="bottom"/>
          </w:tcPr>
          <w:p w14:paraId="69675D51" w14:textId="77777777" w:rsidR="00D1587D" w:rsidRDefault="00D1587D">
            <w:pPr>
              <w:rPr>
                <w:sz w:val="23"/>
                <w:szCs w:val="23"/>
              </w:rPr>
            </w:pPr>
          </w:p>
        </w:tc>
        <w:tc>
          <w:tcPr>
            <w:tcW w:w="3960" w:type="dxa"/>
            <w:vAlign w:val="bottom"/>
          </w:tcPr>
          <w:p w14:paraId="3D73D7F3" w14:textId="77777777" w:rsidR="00D1587D" w:rsidRDefault="00410D07">
            <w:pPr>
              <w:rPr>
                <w:sz w:val="20"/>
                <w:szCs w:val="20"/>
              </w:rPr>
            </w:pPr>
            <w:r>
              <w:rPr>
                <w:rFonts w:ascii="Arial" w:eastAsia="Arial" w:hAnsi="Arial" w:cs="Arial"/>
                <w:sz w:val="18"/>
                <w:szCs w:val="18"/>
              </w:rPr>
              <w:t xml:space="preserve">Impact of </w:t>
            </w:r>
            <w:r>
              <w:rPr>
                <w:rFonts w:ascii="Arial" w:eastAsia="Arial" w:hAnsi="Arial" w:cs="Arial"/>
                <w:sz w:val="18"/>
                <w:szCs w:val="18"/>
              </w:rPr>
              <w:t>Non-U.S. Operations</w:t>
            </w:r>
          </w:p>
        </w:tc>
        <w:tc>
          <w:tcPr>
            <w:tcW w:w="2800" w:type="dxa"/>
            <w:gridSpan w:val="3"/>
            <w:vAlign w:val="bottom"/>
          </w:tcPr>
          <w:p w14:paraId="203051DB" w14:textId="77777777" w:rsidR="00D1587D" w:rsidRDefault="00410D07">
            <w:pPr>
              <w:jc w:val="right"/>
              <w:rPr>
                <w:sz w:val="20"/>
                <w:szCs w:val="20"/>
              </w:rPr>
            </w:pPr>
            <w:r>
              <w:rPr>
                <w:rFonts w:ascii="Arial" w:eastAsia="Arial" w:hAnsi="Arial" w:cs="Arial"/>
                <w:sz w:val="18"/>
                <w:szCs w:val="18"/>
              </w:rPr>
              <w:t>(16.6)%</w:t>
            </w:r>
          </w:p>
        </w:tc>
        <w:tc>
          <w:tcPr>
            <w:tcW w:w="860" w:type="dxa"/>
            <w:gridSpan w:val="2"/>
            <w:vAlign w:val="bottom"/>
          </w:tcPr>
          <w:p w14:paraId="78C10A75" w14:textId="77777777" w:rsidR="00D1587D" w:rsidRDefault="00410D07">
            <w:pPr>
              <w:jc w:val="right"/>
              <w:rPr>
                <w:sz w:val="20"/>
                <w:szCs w:val="20"/>
              </w:rPr>
            </w:pPr>
            <w:r>
              <w:rPr>
                <w:rFonts w:ascii="Arial" w:eastAsia="Arial" w:hAnsi="Arial" w:cs="Arial"/>
                <w:sz w:val="18"/>
                <w:szCs w:val="18"/>
              </w:rPr>
              <w:t>(1.9)%</w:t>
            </w:r>
          </w:p>
        </w:tc>
        <w:tc>
          <w:tcPr>
            <w:tcW w:w="800" w:type="dxa"/>
            <w:gridSpan w:val="2"/>
            <w:vAlign w:val="bottom"/>
          </w:tcPr>
          <w:p w14:paraId="20BB2AC9" w14:textId="77777777" w:rsidR="00D1587D" w:rsidRDefault="00410D07">
            <w:pPr>
              <w:jc w:val="right"/>
              <w:rPr>
                <w:sz w:val="20"/>
                <w:szCs w:val="20"/>
              </w:rPr>
            </w:pPr>
            <w:r>
              <w:rPr>
                <w:rFonts w:ascii="Arial" w:eastAsia="Arial" w:hAnsi="Arial" w:cs="Arial"/>
                <w:sz w:val="18"/>
                <w:szCs w:val="18"/>
              </w:rPr>
              <w:t>4.8%</w:t>
            </w:r>
          </w:p>
        </w:tc>
        <w:tc>
          <w:tcPr>
            <w:tcW w:w="1300" w:type="dxa"/>
            <w:vAlign w:val="bottom"/>
          </w:tcPr>
          <w:p w14:paraId="4765134C" w14:textId="77777777" w:rsidR="00D1587D" w:rsidRDefault="00D1587D">
            <w:pPr>
              <w:rPr>
                <w:sz w:val="23"/>
                <w:szCs w:val="23"/>
              </w:rPr>
            </w:pPr>
          </w:p>
        </w:tc>
      </w:tr>
      <w:tr w:rsidR="00D1587D" w14:paraId="1D81D09F" w14:textId="77777777">
        <w:trPr>
          <w:trHeight w:val="54"/>
        </w:trPr>
        <w:tc>
          <w:tcPr>
            <w:tcW w:w="1300" w:type="dxa"/>
            <w:vAlign w:val="bottom"/>
          </w:tcPr>
          <w:p w14:paraId="65ADC956" w14:textId="77777777" w:rsidR="00D1587D" w:rsidRDefault="00D1587D">
            <w:pPr>
              <w:rPr>
                <w:sz w:val="4"/>
                <w:szCs w:val="4"/>
              </w:rPr>
            </w:pPr>
          </w:p>
        </w:tc>
        <w:tc>
          <w:tcPr>
            <w:tcW w:w="3960" w:type="dxa"/>
            <w:vAlign w:val="bottom"/>
          </w:tcPr>
          <w:p w14:paraId="5711D6D6" w14:textId="77777777" w:rsidR="00D1587D" w:rsidRDefault="00D1587D">
            <w:pPr>
              <w:rPr>
                <w:sz w:val="4"/>
                <w:szCs w:val="4"/>
              </w:rPr>
            </w:pPr>
          </w:p>
        </w:tc>
        <w:tc>
          <w:tcPr>
            <w:tcW w:w="2080" w:type="dxa"/>
            <w:vAlign w:val="bottom"/>
          </w:tcPr>
          <w:p w14:paraId="626BAD7A" w14:textId="77777777" w:rsidR="00D1587D" w:rsidRDefault="00D1587D">
            <w:pPr>
              <w:rPr>
                <w:sz w:val="4"/>
                <w:szCs w:val="4"/>
              </w:rPr>
            </w:pPr>
          </w:p>
        </w:tc>
        <w:tc>
          <w:tcPr>
            <w:tcW w:w="120" w:type="dxa"/>
            <w:vAlign w:val="bottom"/>
          </w:tcPr>
          <w:p w14:paraId="57EB0413" w14:textId="77777777" w:rsidR="00D1587D" w:rsidRDefault="00D1587D">
            <w:pPr>
              <w:rPr>
                <w:sz w:val="4"/>
                <w:szCs w:val="4"/>
              </w:rPr>
            </w:pPr>
          </w:p>
        </w:tc>
        <w:tc>
          <w:tcPr>
            <w:tcW w:w="600" w:type="dxa"/>
            <w:vAlign w:val="bottom"/>
          </w:tcPr>
          <w:p w14:paraId="6E08362D" w14:textId="77777777" w:rsidR="00D1587D" w:rsidRDefault="00D1587D">
            <w:pPr>
              <w:rPr>
                <w:sz w:val="4"/>
                <w:szCs w:val="4"/>
              </w:rPr>
            </w:pPr>
          </w:p>
        </w:tc>
        <w:tc>
          <w:tcPr>
            <w:tcW w:w="260" w:type="dxa"/>
            <w:vAlign w:val="bottom"/>
          </w:tcPr>
          <w:p w14:paraId="4C133E0E" w14:textId="77777777" w:rsidR="00D1587D" w:rsidRDefault="00D1587D">
            <w:pPr>
              <w:rPr>
                <w:sz w:val="4"/>
                <w:szCs w:val="4"/>
              </w:rPr>
            </w:pPr>
          </w:p>
        </w:tc>
        <w:tc>
          <w:tcPr>
            <w:tcW w:w="600" w:type="dxa"/>
            <w:vAlign w:val="bottom"/>
          </w:tcPr>
          <w:p w14:paraId="19407388" w14:textId="77777777" w:rsidR="00D1587D" w:rsidRDefault="00D1587D">
            <w:pPr>
              <w:rPr>
                <w:sz w:val="4"/>
                <w:szCs w:val="4"/>
              </w:rPr>
            </w:pPr>
          </w:p>
        </w:tc>
        <w:tc>
          <w:tcPr>
            <w:tcW w:w="260" w:type="dxa"/>
            <w:vAlign w:val="bottom"/>
          </w:tcPr>
          <w:p w14:paraId="589CF714" w14:textId="77777777" w:rsidR="00D1587D" w:rsidRDefault="00D1587D">
            <w:pPr>
              <w:rPr>
                <w:sz w:val="4"/>
                <w:szCs w:val="4"/>
              </w:rPr>
            </w:pPr>
          </w:p>
        </w:tc>
        <w:tc>
          <w:tcPr>
            <w:tcW w:w="540" w:type="dxa"/>
            <w:vAlign w:val="bottom"/>
          </w:tcPr>
          <w:p w14:paraId="18BFAFD5" w14:textId="77777777" w:rsidR="00D1587D" w:rsidRDefault="00D1587D">
            <w:pPr>
              <w:rPr>
                <w:sz w:val="4"/>
                <w:szCs w:val="4"/>
              </w:rPr>
            </w:pPr>
          </w:p>
        </w:tc>
        <w:tc>
          <w:tcPr>
            <w:tcW w:w="1300" w:type="dxa"/>
            <w:vAlign w:val="bottom"/>
          </w:tcPr>
          <w:p w14:paraId="0CC931A2" w14:textId="77777777" w:rsidR="00D1587D" w:rsidRDefault="00D1587D">
            <w:pPr>
              <w:rPr>
                <w:sz w:val="4"/>
                <w:szCs w:val="4"/>
              </w:rPr>
            </w:pPr>
          </w:p>
        </w:tc>
      </w:tr>
      <w:tr w:rsidR="00D1587D" w14:paraId="4BB035C3" w14:textId="77777777">
        <w:trPr>
          <w:trHeight w:val="304"/>
        </w:trPr>
        <w:tc>
          <w:tcPr>
            <w:tcW w:w="1300" w:type="dxa"/>
            <w:vAlign w:val="bottom"/>
          </w:tcPr>
          <w:p w14:paraId="182D2327" w14:textId="77777777" w:rsidR="00D1587D" w:rsidRDefault="00D1587D">
            <w:pPr>
              <w:rPr>
                <w:sz w:val="24"/>
                <w:szCs w:val="24"/>
              </w:rPr>
            </w:pPr>
          </w:p>
        </w:tc>
        <w:tc>
          <w:tcPr>
            <w:tcW w:w="3960" w:type="dxa"/>
            <w:tcBorders>
              <w:bottom w:val="single" w:sz="8" w:space="0" w:color="CCEEFF"/>
            </w:tcBorders>
            <w:shd w:val="clear" w:color="auto" w:fill="CCEEFF"/>
            <w:vAlign w:val="bottom"/>
          </w:tcPr>
          <w:p w14:paraId="16AA5C46" w14:textId="77777777" w:rsidR="00D1587D" w:rsidRDefault="00410D07">
            <w:pPr>
              <w:rPr>
                <w:sz w:val="20"/>
                <w:szCs w:val="20"/>
              </w:rPr>
            </w:pPr>
            <w:r>
              <w:rPr>
                <w:rFonts w:ascii="Arial" w:eastAsia="Arial" w:hAnsi="Arial" w:cs="Arial"/>
                <w:w w:val="90"/>
                <w:sz w:val="18"/>
                <w:szCs w:val="18"/>
              </w:rPr>
              <w:t>State Income Taxes, Net of Federal Income Tax Effect</w:t>
            </w:r>
          </w:p>
        </w:tc>
        <w:tc>
          <w:tcPr>
            <w:tcW w:w="2800" w:type="dxa"/>
            <w:gridSpan w:val="3"/>
            <w:tcBorders>
              <w:bottom w:val="single" w:sz="8" w:space="0" w:color="CCEEFF"/>
            </w:tcBorders>
            <w:shd w:val="clear" w:color="auto" w:fill="CCEEFF"/>
            <w:vAlign w:val="bottom"/>
          </w:tcPr>
          <w:p w14:paraId="20A29963" w14:textId="77777777" w:rsidR="00D1587D" w:rsidRDefault="00410D07">
            <w:pPr>
              <w:jc w:val="right"/>
              <w:rPr>
                <w:sz w:val="20"/>
                <w:szCs w:val="20"/>
              </w:rPr>
            </w:pPr>
            <w:r>
              <w:rPr>
                <w:rFonts w:ascii="Arial" w:eastAsia="Arial" w:hAnsi="Arial" w:cs="Arial"/>
                <w:sz w:val="18"/>
                <w:szCs w:val="18"/>
              </w:rPr>
              <w:t>(5.8)%</w:t>
            </w:r>
          </w:p>
        </w:tc>
        <w:tc>
          <w:tcPr>
            <w:tcW w:w="860" w:type="dxa"/>
            <w:gridSpan w:val="2"/>
            <w:tcBorders>
              <w:bottom w:val="single" w:sz="8" w:space="0" w:color="CCEEFF"/>
            </w:tcBorders>
            <w:shd w:val="clear" w:color="auto" w:fill="CCEEFF"/>
            <w:vAlign w:val="bottom"/>
          </w:tcPr>
          <w:p w14:paraId="18E32809" w14:textId="77777777" w:rsidR="00D1587D" w:rsidRDefault="00410D07">
            <w:pPr>
              <w:jc w:val="right"/>
              <w:rPr>
                <w:sz w:val="20"/>
                <w:szCs w:val="20"/>
              </w:rPr>
            </w:pPr>
            <w:r>
              <w:rPr>
                <w:rFonts w:ascii="Arial" w:eastAsia="Arial" w:hAnsi="Arial" w:cs="Arial"/>
                <w:sz w:val="18"/>
                <w:szCs w:val="18"/>
              </w:rPr>
              <w:t>(0.6)%</w:t>
            </w:r>
          </w:p>
        </w:tc>
        <w:tc>
          <w:tcPr>
            <w:tcW w:w="800" w:type="dxa"/>
            <w:gridSpan w:val="2"/>
            <w:tcBorders>
              <w:bottom w:val="single" w:sz="8" w:space="0" w:color="CCEEFF"/>
            </w:tcBorders>
            <w:shd w:val="clear" w:color="auto" w:fill="CCEEFF"/>
            <w:vAlign w:val="bottom"/>
          </w:tcPr>
          <w:p w14:paraId="5D83962B" w14:textId="77777777" w:rsidR="00D1587D" w:rsidRDefault="00410D07">
            <w:pPr>
              <w:jc w:val="right"/>
              <w:rPr>
                <w:sz w:val="20"/>
                <w:szCs w:val="20"/>
              </w:rPr>
            </w:pPr>
            <w:r>
              <w:rPr>
                <w:rFonts w:ascii="Arial" w:eastAsia="Arial" w:hAnsi="Arial" w:cs="Arial"/>
                <w:sz w:val="18"/>
                <w:szCs w:val="18"/>
              </w:rPr>
              <w:t>5.8%</w:t>
            </w:r>
          </w:p>
        </w:tc>
        <w:tc>
          <w:tcPr>
            <w:tcW w:w="1300" w:type="dxa"/>
            <w:vAlign w:val="bottom"/>
          </w:tcPr>
          <w:p w14:paraId="1C24D29B" w14:textId="77777777" w:rsidR="00D1587D" w:rsidRDefault="00D1587D">
            <w:pPr>
              <w:rPr>
                <w:sz w:val="24"/>
                <w:szCs w:val="24"/>
              </w:rPr>
            </w:pPr>
          </w:p>
        </w:tc>
      </w:tr>
      <w:tr w:rsidR="00D1587D" w14:paraId="1B748AF9" w14:textId="77777777">
        <w:trPr>
          <w:trHeight w:val="270"/>
        </w:trPr>
        <w:tc>
          <w:tcPr>
            <w:tcW w:w="1300" w:type="dxa"/>
            <w:vAlign w:val="bottom"/>
          </w:tcPr>
          <w:p w14:paraId="420B4F2F" w14:textId="77777777" w:rsidR="00D1587D" w:rsidRDefault="00D1587D">
            <w:pPr>
              <w:rPr>
                <w:sz w:val="23"/>
                <w:szCs w:val="23"/>
              </w:rPr>
            </w:pPr>
          </w:p>
        </w:tc>
        <w:tc>
          <w:tcPr>
            <w:tcW w:w="3960" w:type="dxa"/>
            <w:vAlign w:val="bottom"/>
          </w:tcPr>
          <w:p w14:paraId="46E993A4" w14:textId="77777777" w:rsidR="00D1587D" w:rsidRDefault="00410D07">
            <w:pPr>
              <w:rPr>
                <w:sz w:val="20"/>
                <w:szCs w:val="20"/>
              </w:rPr>
            </w:pPr>
            <w:r>
              <w:rPr>
                <w:rFonts w:ascii="Arial" w:eastAsia="Arial" w:hAnsi="Arial" w:cs="Arial"/>
                <w:sz w:val="18"/>
                <w:szCs w:val="18"/>
              </w:rPr>
              <w:t>Share-Based Compensation</w:t>
            </w:r>
          </w:p>
        </w:tc>
        <w:tc>
          <w:tcPr>
            <w:tcW w:w="2800" w:type="dxa"/>
            <w:gridSpan w:val="3"/>
            <w:vAlign w:val="bottom"/>
          </w:tcPr>
          <w:p w14:paraId="09D1E50E" w14:textId="77777777" w:rsidR="00D1587D" w:rsidRDefault="00410D07">
            <w:pPr>
              <w:jc w:val="right"/>
              <w:rPr>
                <w:sz w:val="20"/>
                <w:szCs w:val="20"/>
              </w:rPr>
            </w:pPr>
            <w:r>
              <w:rPr>
                <w:rFonts w:ascii="Arial" w:eastAsia="Arial" w:hAnsi="Arial" w:cs="Arial"/>
                <w:sz w:val="18"/>
                <w:szCs w:val="18"/>
              </w:rPr>
              <w:t>(4.0)%</w:t>
            </w:r>
          </w:p>
        </w:tc>
        <w:tc>
          <w:tcPr>
            <w:tcW w:w="860" w:type="dxa"/>
            <w:gridSpan w:val="2"/>
            <w:vAlign w:val="bottom"/>
          </w:tcPr>
          <w:p w14:paraId="544D01D5" w14:textId="77777777" w:rsidR="00D1587D" w:rsidRDefault="00410D07">
            <w:pPr>
              <w:jc w:val="right"/>
              <w:rPr>
                <w:sz w:val="20"/>
                <w:szCs w:val="20"/>
              </w:rPr>
            </w:pPr>
            <w:r>
              <w:rPr>
                <w:rFonts w:ascii="Arial" w:eastAsia="Arial" w:hAnsi="Arial" w:cs="Arial"/>
                <w:sz w:val="18"/>
                <w:szCs w:val="18"/>
              </w:rPr>
              <w:t>(0.9)%</w:t>
            </w:r>
          </w:p>
        </w:tc>
        <w:tc>
          <w:tcPr>
            <w:tcW w:w="800" w:type="dxa"/>
            <w:gridSpan w:val="2"/>
            <w:vAlign w:val="bottom"/>
          </w:tcPr>
          <w:p w14:paraId="294C279D" w14:textId="77777777" w:rsidR="00D1587D" w:rsidRDefault="00410D07">
            <w:pPr>
              <w:jc w:val="right"/>
              <w:rPr>
                <w:sz w:val="20"/>
                <w:szCs w:val="20"/>
              </w:rPr>
            </w:pPr>
            <w:r>
              <w:rPr>
                <w:rFonts w:ascii="Arial" w:eastAsia="Arial" w:hAnsi="Arial" w:cs="Arial"/>
                <w:sz w:val="18"/>
                <w:szCs w:val="18"/>
              </w:rPr>
              <w:t>1.3%</w:t>
            </w:r>
          </w:p>
        </w:tc>
        <w:tc>
          <w:tcPr>
            <w:tcW w:w="1300" w:type="dxa"/>
            <w:vAlign w:val="bottom"/>
          </w:tcPr>
          <w:p w14:paraId="699886B4" w14:textId="77777777" w:rsidR="00D1587D" w:rsidRDefault="00D1587D">
            <w:pPr>
              <w:rPr>
                <w:sz w:val="23"/>
                <w:szCs w:val="23"/>
              </w:rPr>
            </w:pPr>
          </w:p>
        </w:tc>
      </w:tr>
      <w:tr w:rsidR="00D1587D" w14:paraId="77220E35" w14:textId="77777777">
        <w:trPr>
          <w:trHeight w:val="54"/>
        </w:trPr>
        <w:tc>
          <w:tcPr>
            <w:tcW w:w="1300" w:type="dxa"/>
            <w:vAlign w:val="bottom"/>
          </w:tcPr>
          <w:p w14:paraId="6104354B" w14:textId="77777777" w:rsidR="00D1587D" w:rsidRDefault="00D1587D">
            <w:pPr>
              <w:rPr>
                <w:sz w:val="4"/>
                <w:szCs w:val="4"/>
              </w:rPr>
            </w:pPr>
          </w:p>
        </w:tc>
        <w:tc>
          <w:tcPr>
            <w:tcW w:w="3960" w:type="dxa"/>
            <w:vAlign w:val="bottom"/>
          </w:tcPr>
          <w:p w14:paraId="797D58FB" w14:textId="77777777" w:rsidR="00D1587D" w:rsidRDefault="00D1587D">
            <w:pPr>
              <w:rPr>
                <w:sz w:val="4"/>
                <w:szCs w:val="4"/>
              </w:rPr>
            </w:pPr>
          </w:p>
        </w:tc>
        <w:tc>
          <w:tcPr>
            <w:tcW w:w="2080" w:type="dxa"/>
            <w:vAlign w:val="bottom"/>
          </w:tcPr>
          <w:p w14:paraId="58CB941C" w14:textId="77777777" w:rsidR="00D1587D" w:rsidRDefault="00D1587D">
            <w:pPr>
              <w:rPr>
                <w:sz w:val="4"/>
                <w:szCs w:val="4"/>
              </w:rPr>
            </w:pPr>
          </w:p>
        </w:tc>
        <w:tc>
          <w:tcPr>
            <w:tcW w:w="120" w:type="dxa"/>
            <w:vAlign w:val="bottom"/>
          </w:tcPr>
          <w:p w14:paraId="14FDEAFD" w14:textId="77777777" w:rsidR="00D1587D" w:rsidRDefault="00D1587D">
            <w:pPr>
              <w:rPr>
                <w:sz w:val="4"/>
                <w:szCs w:val="4"/>
              </w:rPr>
            </w:pPr>
          </w:p>
        </w:tc>
        <w:tc>
          <w:tcPr>
            <w:tcW w:w="600" w:type="dxa"/>
            <w:vAlign w:val="bottom"/>
          </w:tcPr>
          <w:p w14:paraId="6C2CA634" w14:textId="77777777" w:rsidR="00D1587D" w:rsidRDefault="00D1587D">
            <w:pPr>
              <w:rPr>
                <w:sz w:val="4"/>
                <w:szCs w:val="4"/>
              </w:rPr>
            </w:pPr>
          </w:p>
        </w:tc>
        <w:tc>
          <w:tcPr>
            <w:tcW w:w="260" w:type="dxa"/>
            <w:vAlign w:val="bottom"/>
          </w:tcPr>
          <w:p w14:paraId="07F0FEDF" w14:textId="77777777" w:rsidR="00D1587D" w:rsidRDefault="00D1587D">
            <w:pPr>
              <w:rPr>
                <w:sz w:val="4"/>
                <w:szCs w:val="4"/>
              </w:rPr>
            </w:pPr>
          </w:p>
        </w:tc>
        <w:tc>
          <w:tcPr>
            <w:tcW w:w="600" w:type="dxa"/>
            <w:vAlign w:val="bottom"/>
          </w:tcPr>
          <w:p w14:paraId="436E6CBB" w14:textId="77777777" w:rsidR="00D1587D" w:rsidRDefault="00D1587D">
            <w:pPr>
              <w:rPr>
                <w:sz w:val="4"/>
                <w:szCs w:val="4"/>
              </w:rPr>
            </w:pPr>
          </w:p>
        </w:tc>
        <w:tc>
          <w:tcPr>
            <w:tcW w:w="260" w:type="dxa"/>
            <w:vAlign w:val="bottom"/>
          </w:tcPr>
          <w:p w14:paraId="7E4E12DA" w14:textId="77777777" w:rsidR="00D1587D" w:rsidRDefault="00D1587D">
            <w:pPr>
              <w:rPr>
                <w:sz w:val="4"/>
                <w:szCs w:val="4"/>
              </w:rPr>
            </w:pPr>
          </w:p>
        </w:tc>
        <w:tc>
          <w:tcPr>
            <w:tcW w:w="540" w:type="dxa"/>
            <w:vAlign w:val="bottom"/>
          </w:tcPr>
          <w:p w14:paraId="14363BFF" w14:textId="77777777" w:rsidR="00D1587D" w:rsidRDefault="00D1587D">
            <w:pPr>
              <w:rPr>
                <w:sz w:val="4"/>
                <w:szCs w:val="4"/>
              </w:rPr>
            </w:pPr>
          </w:p>
        </w:tc>
        <w:tc>
          <w:tcPr>
            <w:tcW w:w="1300" w:type="dxa"/>
            <w:vAlign w:val="bottom"/>
          </w:tcPr>
          <w:p w14:paraId="7FA8506B" w14:textId="77777777" w:rsidR="00D1587D" w:rsidRDefault="00D1587D">
            <w:pPr>
              <w:rPr>
                <w:sz w:val="4"/>
                <w:szCs w:val="4"/>
              </w:rPr>
            </w:pPr>
          </w:p>
        </w:tc>
      </w:tr>
      <w:tr w:rsidR="00D1587D" w14:paraId="7B48C1B2" w14:textId="77777777">
        <w:trPr>
          <w:trHeight w:val="304"/>
        </w:trPr>
        <w:tc>
          <w:tcPr>
            <w:tcW w:w="1300" w:type="dxa"/>
            <w:vAlign w:val="bottom"/>
          </w:tcPr>
          <w:p w14:paraId="7087F279" w14:textId="77777777" w:rsidR="00D1587D" w:rsidRDefault="00D1587D">
            <w:pPr>
              <w:rPr>
                <w:sz w:val="24"/>
                <w:szCs w:val="24"/>
              </w:rPr>
            </w:pPr>
          </w:p>
        </w:tc>
        <w:tc>
          <w:tcPr>
            <w:tcW w:w="3960" w:type="dxa"/>
            <w:tcBorders>
              <w:bottom w:val="single" w:sz="8" w:space="0" w:color="CCEEFF"/>
            </w:tcBorders>
            <w:shd w:val="clear" w:color="auto" w:fill="CCEEFF"/>
            <w:vAlign w:val="bottom"/>
          </w:tcPr>
          <w:p w14:paraId="2A6E0977" w14:textId="77777777" w:rsidR="00D1587D" w:rsidRDefault="00410D07">
            <w:pPr>
              <w:rPr>
                <w:sz w:val="20"/>
                <w:szCs w:val="20"/>
              </w:rPr>
            </w:pPr>
            <w:r>
              <w:rPr>
                <w:rFonts w:ascii="Arial" w:eastAsia="Arial" w:hAnsi="Arial" w:cs="Arial"/>
                <w:sz w:val="18"/>
                <w:szCs w:val="18"/>
              </w:rPr>
              <w:t>U.S. Permanent Items</w:t>
            </w:r>
          </w:p>
        </w:tc>
        <w:tc>
          <w:tcPr>
            <w:tcW w:w="2800" w:type="dxa"/>
            <w:gridSpan w:val="3"/>
            <w:tcBorders>
              <w:bottom w:val="single" w:sz="8" w:space="0" w:color="CCEEFF"/>
            </w:tcBorders>
            <w:shd w:val="clear" w:color="auto" w:fill="CCEEFF"/>
            <w:vAlign w:val="bottom"/>
          </w:tcPr>
          <w:p w14:paraId="5A6DD74C" w14:textId="77777777" w:rsidR="00D1587D" w:rsidRDefault="00410D07">
            <w:pPr>
              <w:jc w:val="right"/>
              <w:rPr>
                <w:sz w:val="20"/>
                <w:szCs w:val="20"/>
              </w:rPr>
            </w:pPr>
            <w:r>
              <w:rPr>
                <w:rFonts w:ascii="Arial" w:eastAsia="Arial" w:hAnsi="Arial" w:cs="Arial"/>
                <w:sz w:val="18"/>
                <w:szCs w:val="18"/>
              </w:rPr>
              <w:t>(2.8)%</w:t>
            </w:r>
          </w:p>
        </w:tc>
        <w:tc>
          <w:tcPr>
            <w:tcW w:w="860" w:type="dxa"/>
            <w:gridSpan w:val="2"/>
            <w:tcBorders>
              <w:bottom w:val="single" w:sz="8" w:space="0" w:color="CCEEFF"/>
            </w:tcBorders>
            <w:shd w:val="clear" w:color="auto" w:fill="CCEEFF"/>
            <w:vAlign w:val="bottom"/>
          </w:tcPr>
          <w:p w14:paraId="42E959DF" w14:textId="77777777" w:rsidR="00D1587D" w:rsidRDefault="00410D07">
            <w:pPr>
              <w:jc w:val="right"/>
              <w:rPr>
                <w:sz w:val="20"/>
                <w:szCs w:val="20"/>
              </w:rPr>
            </w:pPr>
            <w:r>
              <w:rPr>
                <w:rFonts w:ascii="Arial" w:eastAsia="Arial" w:hAnsi="Arial" w:cs="Arial"/>
                <w:sz w:val="18"/>
                <w:szCs w:val="18"/>
              </w:rPr>
              <w:t>(0.1)%</w:t>
            </w:r>
          </w:p>
        </w:tc>
        <w:tc>
          <w:tcPr>
            <w:tcW w:w="800" w:type="dxa"/>
            <w:gridSpan w:val="2"/>
            <w:tcBorders>
              <w:bottom w:val="single" w:sz="8" w:space="0" w:color="CCEEFF"/>
            </w:tcBorders>
            <w:shd w:val="clear" w:color="auto" w:fill="CCEEFF"/>
            <w:vAlign w:val="bottom"/>
          </w:tcPr>
          <w:p w14:paraId="0D29A2FF" w14:textId="77777777" w:rsidR="00D1587D" w:rsidRDefault="00410D07">
            <w:pPr>
              <w:jc w:val="right"/>
              <w:rPr>
                <w:sz w:val="20"/>
                <w:szCs w:val="20"/>
              </w:rPr>
            </w:pPr>
            <w:r>
              <w:rPr>
                <w:rFonts w:ascii="Arial" w:eastAsia="Arial" w:hAnsi="Arial" w:cs="Arial"/>
                <w:sz w:val="18"/>
                <w:szCs w:val="18"/>
              </w:rPr>
              <w:t>(0.1)%</w:t>
            </w:r>
          </w:p>
        </w:tc>
        <w:tc>
          <w:tcPr>
            <w:tcW w:w="1300" w:type="dxa"/>
            <w:vAlign w:val="bottom"/>
          </w:tcPr>
          <w:p w14:paraId="115EC218" w14:textId="77777777" w:rsidR="00D1587D" w:rsidRDefault="00D1587D">
            <w:pPr>
              <w:rPr>
                <w:sz w:val="24"/>
                <w:szCs w:val="24"/>
              </w:rPr>
            </w:pPr>
          </w:p>
        </w:tc>
      </w:tr>
      <w:tr w:rsidR="00D1587D" w14:paraId="0031DBF0" w14:textId="77777777">
        <w:trPr>
          <w:trHeight w:val="270"/>
        </w:trPr>
        <w:tc>
          <w:tcPr>
            <w:tcW w:w="1300" w:type="dxa"/>
            <w:vAlign w:val="bottom"/>
          </w:tcPr>
          <w:p w14:paraId="313BC599" w14:textId="77777777" w:rsidR="00D1587D" w:rsidRDefault="00D1587D">
            <w:pPr>
              <w:rPr>
                <w:sz w:val="23"/>
                <w:szCs w:val="23"/>
              </w:rPr>
            </w:pPr>
          </w:p>
        </w:tc>
        <w:tc>
          <w:tcPr>
            <w:tcW w:w="3960" w:type="dxa"/>
            <w:vAlign w:val="bottom"/>
          </w:tcPr>
          <w:p w14:paraId="5D1842D7" w14:textId="77777777" w:rsidR="00D1587D" w:rsidRDefault="00410D07">
            <w:pPr>
              <w:rPr>
                <w:sz w:val="20"/>
                <w:szCs w:val="20"/>
              </w:rPr>
            </w:pPr>
            <w:r>
              <w:rPr>
                <w:rFonts w:ascii="Arial" w:eastAsia="Arial" w:hAnsi="Arial" w:cs="Arial"/>
                <w:sz w:val="18"/>
                <w:szCs w:val="18"/>
              </w:rPr>
              <w:t xml:space="preserve">Change in </w:t>
            </w:r>
            <w:r>
              <w:rPr>
                <w:rFonts w:ascii="Arial" w:eastAsia="Arial" w:hAnsi="Arial" w:cs="Arial"/>
                <w:sz w:val="18"/>
                <w:szCs w:val="18"/>
              </w:rPr>
              <w:t>Valuation Allowance</w:t>
            </w:r>
          </w:p>
        </w:tc>
        <w:tc>
          <w:tcPr>
            <w:tcW w:w="2800" w:type="dxa"/>
            <w:gridSpan w:val="3"/>
            <w:vAlign w:val="bottom"/>
          </w:tcPr>
          <w:p w14:paraId="06C91E28" w14:textId="77777777" w:rsidR="00D1587D" w:rsidRDefault="00410D07">
            <w:pPr>
              <w:jc w:val="right"/>
              <w:rPr>
                <w:sz w:val="20"/>
                <w:szCs w:val="20"/>
              </w:rPr>
            </w:pPr>
            <w:r>
              <w:rPr>
                <w:rFonts w:ascii="Arial" w:eastAsia="Arial" w:hAnsi="Arial" w:cs="Arial"/>
                <w:sz w:val="18"/>
                <w:szCs w:val="18"/>
              </w:rPr>
              <w:t>(2.6)%</w:t>
            </w:r>
          </w:p>
        </w:tc>
        <w:tc>
          <w:tcPr>
            <w:tcW w:w="860" w:type="dxa"/>
            <w:gridSpan w:val="2"/>
            <w:vAlign w:val="bottom"/>
          </w:tcPr>
          <w:p w14:paraId="6C969528" w14:textId="77777777" w:rsidR="00D1587D" w:rsidRDefault="00410D07">
            <w:pPr>
              <w:jc w:val="right"/>
              <w:rPr>
                <w:sz w:val="20"/>
                <w:szCs w:val="20"/>
              </w:rPr>
            </w:pPr>
            <w:r>
              <w:rPr>
                <w:rFonts w:ascii="Arial" w:eastAsia="Arial" w:hAnsi="Arial" w:cs="Arial"/>
                <w:sz w:val="18"/>
                <w:szCs w:val="18"/>
              </w:rPr>
              <w:t>(3.6)%</w:t>
            </w:r>
          </w:p>
        </w:tc>
        <w:tc>
          <w:tcPr>
            <w:tcW w:w="800" w:type="dxa"/>
            <w:gridSpan w:val="2"/>
            <w:vAlign w:val="bottom"/>
          </w:tcPr>
          <w:p w14:paraId="67E51B50" w14:textId="77777777" w:rsidR="00D1587D" w:rsidRDefault="00410D07">
            <w:pPr>
              <w:jc w:val="right"/>
              <w:rPr>
                <w:sz w:val="20"/>
                <w:szCs w:val="20"/>
              </w:rPr>
            </w:pPr>
            <w:r>
              <w:rPr>
                <w:rFonts w:ascii="Arial" w:eastAsia="Arial" w:hAnsi="Arial" w:cs="Arial"/>
                <w:sz w:val="18"/>
                <w:szCs w:val="18"/>
              </w:rPr>
              <w:t>3.1%</w:t>
            </w:r>
          </w:p>
        </w:tc>
        <w:tc>
          <w:tcPr>
            <w:tcW w:w="1300" w:type="dxa"/>
            <w:vAlign w:val="bottom"/>
          </w:tcPr>
          <w:p w14:paraId="5B55A899" w14:textId="77777777" w:rsidR="00D1587D" w:rsidRDefault="00D1587D">
            <w:pPr>
              <w:rPr>
                <w:sz w:val="23"/>
                <w:szCs w:val="23"/>
              </w:rPr>
            </w:pPr>
          </w:p>
        </w:tc>
      </w:tr>
      <w:tr w:rsidR="00D1587D" w14:paraId="594C2042" w14:textId="77777777">
        <w:trPr>
          <w:trHeight w:val="54"/>
        </w:trPr>
        <w:tc>
          <w:tcPr>
            <w:tcW w:w="1300" w:type="dxa"/>
            <w:vAlign w:val="bottom"/>
          </w:tcPr>
          <w:p w14:paraId="13CF3E50" w14:textId="77777777" w:rsidR="00D1587D" w:rsidRDefault="00D1587D">
            <w:pPr>
              <w:rPr>
                <w:sz w:val="4"/>
                <w:szCs w:val="4"/>
              </w:rPr>
            </w:pPr>
          </w:p>
        </w:tc>
        <w:tc>
          <w:tcPr>
            <w:tcW w:w="3960" w:type="dxa"/>
            <w:vAlign w:val="bottom"/>
          </w:tcPr>
          <w:p w14:paraId="1096386B" w14:textId="77777777" w:rsidR="00D1587D" w:rsidRDefault="00D1587D">
            <w:pPr>
              <w:rPr>
                <w:sz w:val="4"/>
                <w:szCs w:val="4"/>
              </w:rPr>
            </w:pPr>
          </w:p>
        </w:tc>
        <w:tc>
          <w:tcPr>
            <w:tcW w:w="2080" w:type="dxa"/>
            <w:vAlign w:val="bottom"/>
          </w:tcPr>
          <w:p w14:paraId="6DFF08F0" w14:textId="77777777" w:rsidR="00D1587D" w:rsidRDefault="00D1587D">
            <w:pPr>
              <w:rPr>
                <w:sz w:val="4"/>
                <w:szCs w:val="4"/>
              </w:rPr>
            </w:pPr>
          </w:p>
        </w:tc>
        <w:tc>
          <w:tcPr>
            <w:tcW w:w="120" w:type="dxa"/>
            <w:vAlign w:val="bottom"/>
          </w:tcPr>
          <w:p w14:paraId="6C06C7B1" w14:textId="77777777" w:rsidR="00D1587D" w:rsidRDefault="00D1587D">
            <w:pPr>
              <w:rPr>
                <w:sz w:val="4"/>
                <w:szCs w:val="4"/>
              </w:rPr>
            </w:pPr>
          </w:p>
        </w:tc>
        <w:tc>
          <w:tcPr>
            <w:tcW w:w="600" w:type="dxa"/>
            <w:vAlign w:val="bottom"/>
          </w:tcPr>
          <w:p w14:paraId="5B27C1EB" w14:textId="77777777" w:rsidR="00D1587D" w:rsidRDefault="00D1587D">
            <w:pPr>
              <w:rPr>
                <w:sz w:val="4"/>
                <w:szCs w:val="4"/>
              </w:rPr>
            </w:pPr>
          </w:p>
        </w:tc>
        <w:tc>
          <w:tcPr>
            <w:tcW w:w="260" w:type="dxa"/>
            <w:vAlign w:val="bottom"/>
          </w:tcPr>
          <w:p w14:paraId="1F472E83" w14:textId="77777777" w:rsidR="00D1587D" w:rsidRDefault="00D1587D">
            <w:pPr>
              <w:rPr>
                <w:sz w:val="4"/>
                <w:szCs w:val="4"/>
              </w:rPr>
            </w:pPr>
          </w:p>
        </w:tc>
        <w:tc>
          <w:tcPr>
            <w:tcW w:w="600" w:type="dxa"/>
            <w:vAlign w:val="bottom"/>
          </w:tcPr>
          <w:p w14:paraId="08D01EC7" w14:textId="77777777" w:rsidR="00D1587D" w:rsidRDefault="00D1587D">
            <w:pPr>
              <w:rPr>
                <w:sz w:val="4"/>
                <w:szCs w:val="4"/>
              </w:rPr>
            </w:pPr>
          </w:p>
        </w:tc>
        <w:tc>
          <w:tcPr>
            <w:tcW w:w="260" w:type="dxa"/>
            <w:vAlign w:val="bottom"/>
          </w:tcPr>
          <w:p w14:paraId="33395AD6" w14:textId="77777777" w:rsidR="00D1587D" w:rsidRDefault="00D1587D">
            <w:pPr>
              <w:rPr>
                <w:sz w:val="4"/>
                <w:szCs w:val="4"/>
              </w:rPr>
            </w:pPr>
          </w:p>
        </w:tc>
        <w:tc>
          <w:tcPr>
            <w:tcW w:w="1840" w:type="dxa"/>
            <w:gridSpan w:val="2"/>
            <w:vAlign w:val="bottom"/>
          </w:tcPr>
          <w:p w14:paraId="3A5E9377" w14:textId="77777777" w:rsidR="00D1587D" w:rsidRDefault="00D1587D">
            <w:pPr>
              <w:rPr>
                <w:sz w:val="4"/>
                <w:szCs w:val="4"/>
              </w:rPr>
            </w:pPr>
          </w:p>
        </w:tc>
      </w:tr>
      <w:tr w:rsidR="00D1587D" w14:paraId="050F0743" w14:textId="77777777">
        <w:trPr>
          <w:trHeight w:val="304"/>
        </w:trPr>
        <w:tc>
          <w:tcPr>
            <w:tcW w:w="1300" w:type="dxa"/>
            <w:vAlign w:val="bottom"/>
          </w:tcPr>
          <w:p w14:paraId="587E709F" w14:textId="77777777" w:rsidR="00D1587D" w:rsidRDefault="00D1587D">
            <w:pPr>
              <w:rPr>
                <w:sz w:val="24"/>
                <w:szCs w:val="24"/>
              </w:rPr>
            </w:pPr>
          </w:p>
        </w:tc>
        <w:tc>
          <w:tcPr>
            <w:tcW w:w="3960" w:type="dxa"/>
            <w:tcBorders>
              <w:bottom w:val="single" w:sz="8" w:space="0" w:color="CCEEFF"/>
            </w:tcBorders>
            <w:shd w:val="clear" w:color="auto" w:fill="CCEEFF"/>
            <w:vAlign w:val="bottom"/>
          </w:tcPr>
          <w:p w14:paraId="05B36C24" w14:textId="77777777" w:rsidR="00D1587D" w:rsidRDefault="00410D07">
            <w:pPr>
              <w:rPr>
                <w:sz w:val="20"/>
                <w:szCs w:val="20"/>
              </w:rPr>
            </w:pPr>
            <w:r>
              <w:rPr>
                <w:rFonts w:ascii="Arial" w:eastAsia="Arial" w:hAnsi="Arial" w:cs="Arial"/>
                <w:sz w:val="18"/>
                <w:szCs w:val="18"/>
              </w:rPr>
              <w:t>Impairment of Goodwill</w:t>
            </w:r>
          </w:p>
        </w:tc>
        <w:tc>
          <w:tcPr>
            <w:tcW w:w="2080" w:type="dxa"/>
            <w:tcBorders>
              <w:bottom w:val="single" w:sz="8" w:space="0" w:color="CCEEFF"/>
            </w:tcBorders>
            <w:shd w:val="clear" w:color="auto" w:fill="CCEEFF"/>
            <w:vAlign w:val="bottom"/>
          </w:tcPr>
          <w:p w14:paraId="4F485587" w14:textId="77777777" w:rsidR="00D1587D" w:rsidRDefault="00D1587D">
            <w:pPr>
              <w:rPr>
                <w:sz w:val="24"/>
                <w:szCs w:val="24"/>
              </w:rPr>
            </w:pPr>
          </w:p>
        </w:tc>
        <w:tc>
          <w:tcPr>
            <w:tcW w:w="120" w:type="dxa"/>
            <w:tcBorders>
              <w:bottom w:val="single" w:sz="8" w:space="0" w:color="CCEEFF"/>
            </w:tcBorders>
            <w:shd w:val="clear" w:color="auto" w:fill="CCEEFF"/>
            <w:vAlign w:val="bottom"/>
          </w:tcPr>
          <w:p w14:paraId="2505FB94" w14:textId="77777777" w:rsidR="00D1587D" w:rsidRDefault="00D1587D">
            <w:pPr>
              <w:rPr>
                <w:sz w:val="24"/>
                <w:szCs w:val="24"/>
              </w:rPr>
            </w:pPr>
          </w:p>
        </w:tc>
        <w:tc>
          <w:tcPr>
            <w:tcW w:w="600" w:type="dxa"/>
            <w:tcBorders>
              <w:bottom w:val="single" w:sz="8" w:space="0" w:color="CCEEFF"/>
            </w:tcBorders>
            <w:shd w:val="clear" w:color="auto" w:fill="CCEEFF"/>
            <w:vAlign w:val="bottom"/>
          </w:tcPr>
          <w:p w14:paraId="719126F1" w14:textId="77777777" w:rsidR="00D1587D" w:rsidRDefault="00410D07">
            <w:pPr>
              <w:jc w:val="right"/>
              <w:rPr>
                <w:sz w:val="20"/>
                <w:szCs w:val="20"/>
              </w:rPr>
            </w:pPr>
            <w:r>
              <w:rPr>
                <w:rFonts w:ascii="Arial" w:eastAsia="Arial" w:hAnsi="Arial" w:cs="Arial"/>
                <w:sz w:val="18"/>
                <w:szCs w:val="18"/>
              </w:rPr>
              <w:t>—%</w:t>
            </w:r>
          </w:p>
        </w:tc>
        <w:tc>
          <w:tcPr>
            <w:tcW w:w="860" w:type="dxa"/>
            <w:gridSpan w:val="2"/>
            <w:tcBorders>
              <w:bottom w:val="single" w:sz="8" w:space="0" w:color="CCEEFF"/>
            </w:tcBorders>
            <w:shd w:val="clear" w:color="auto" w:fill="CCEEFF"/>
            <w:vAlign w:val="bottom"/>
          </w:tcPr>
          <w:p w14:paraId="688FE502" w14:textId="77777777" w:rsidR="00D1587D" w:rsidRDefault="00410D07">
            <w:pPr>
              <w:jc w:val="right"/>
              <w:rPr>
                <w:sz w:val="20"/>
                <w:szCs w:val="20"/>
              </w:rPr>
            </w:pPr>
            <w:r>
              <w:rPr>
                <w:rFonts w:ascii="Arial" w:eastAsia="Arial" w:hAnsi="Arial" w:cs="Arial"/>
                <w:sz w:val="18"/>
                <w:szCs w:val="18"/>
              </w:rPr>
              <w:t>(16.3)%</w:t>
            </w:r>
          </w:p>
        </w:tc>
        <w:tc>
          <w:tcPr>
            <w:tcW w:w="260" w:type="dxa"/>
            <w:tcBorders>
              <w:bottom w:val="single" w:sz="8" w:space="0" w:color="CCEEFF"/>
            </w:tcBorders>
            <w:shd w:val="clear" w:color="auto" w:fill="CCEEFF"/>
            <w:vAlign w:val="bottom"/>
          </w:tcPr>
          <w:p w14:paraId="7351687F" w14:textId="77777777" w:rsidR="00D1587D" w:rsidRDefault="00D1587D">
            <w:pPr>
              <w:rPr>
                <w:sz w:val="24"/>
                <w:szCs w:val="24"/>
              </w:rPr>
            </w:pPr>
          </w:p>
        </w:tc>
        <w:tc>
          <w:tcPr>
            <w:tcW w:w="540" w:type="dxa"/>
            <w:tcBorders>
              <w:bottom w:val="single" w:sz="8" w:space="0" w:color="CCEEFF"/>
            </w:tcBorders>
            <w:shd w:val="clear" w:color="auto" w:fill="CCEEFF"/>
            <w:vAlign w:val="bottom"/>
          </w:tcPr>
          <w:p w14:paraId="1522CA1F" w14:textId="77777777" w:rsidR="00D1587D" w:rsidRDefault="00410D07">
            <w:pPr>
              <w:ind w:left="140"/>
              <w:rPr>
                <w:sz w:val="20"/>
                <w:szCs w:val="20"/>
              </w:rPr>
            </w:pPr>
            <w:r>
              <w:rPr>
                <w:rFonts w:ascii="Arial" w:eastAsia="Arial" w:hAnsi="Arial" w:cs="Arial"/>
                <w:sz w:val="18"/>
                <w:szCs w:val="18"/>
              </w:rPr>
              <w:t>—%</w:t>
            </w:r>
          </w:p>
        </w:tc>
        <w:tc>
          <w:tcPr>
            <w:tcW w:w="1300" w:type="dxa"/>
            <w:vAlign w:val="bottom"/>
          </w:tcPr>
          <w:p w14:paraId="72B0D602" w14:textId="77777777" w:rsidR="00D1587D" w:rsidRDefault="00D1587D">
            <w:pPr>
              <w:rPr>
                <w:sz w:val="24"/>
                <w:szCs w:val="24"/>
              </w:rPr>
            </w:pPr>
          </w:p>
        </w:tc>
      </w:tr>
      <w:tr w:rsidR="00D1587D" w14:paraId="15B4EC02" w14:textId="77777777">
        <w:trPr>
          <w:trHeight w:val="270"/>
        </w:trPr>
        <w:tc>
          <w:tcPr>
            <w:tcW w:w="1300" w:type="dxa"/>
            <w:vAlign w:val="bottom"/>
          </w:tcPr>
          <w:p w14:paraId="2C96449F" w14:textId="77777777" w:rsidR="00D1587D" w:rsidRDefault="00D1587D">
            <w:pPr>
              <w:rPr>
                <w:sz w:val="23"/>
                <w:szCs w:val="23"/>
              </w:rPr>
            </w:pPr>
          </w:p>
        </w:tc>
        <w:tc>
          <w:tcPr>
            <w:tcW w:w="3960" w:type="dxa"/>
            <w:vAlign w:val="bottom"/>
          </w:tcPr>
          <w:p w14:paraId="1BD352D8" w14:textId="77777777" w:rsidR="00D1587D" w:rsidRDefault="00410D07">
            <w:pPr>
              <w:rPr>
                <w:sz w:val="20"/>
                <w:szCs w:val="20"/>
              </w:rPr>
            </w:pPr>
            <w:r>
              <w:rPr>
                <w:rFonts w:ascii="Arial" w:eastAsia="Arial" w:hAnsi="Arial" w:cs="Arial"/>
                <w:sz w:val="18"/>
                <w:szCs w:val="18"/>
              </w:rPr>
              <w:t>Other Items, Net</w:t>
            </w:r>
          </w:p>
        </w:tc>
        <w:tc>
          <w:tcPr>
            <w:tcW w:w="2800" w:type="dxa"/>
            <w:gridSpan w:val="3"/>
            <w:vAlign w:val="bottom"/>
          </w:tcPr>
          <w:p w14:paraId="151DDC19" w14:textId="77777777" w:rsidR="00D1587D" w:rsidRDefault="00410D07">
            <w:pPr>
              <w:jc w:val="right"/>
              <w:rPr>
                <w:sz w:val="20"/>
                <w:szCs w:val="20"/>
              </w:rPr>
            </w:pPr>
            <w:r>
              <w:rPr>
                <w:rFonts w:ascii="Arial" w:eastAsia="Arial" w:hAnsi="Arial" w:cs="Arial"/>
                <w:sz w:val="18"/>
                <w:szCs w:val="18"/>
              </w:rPr>
              <w:t>0.1%</w:t>
            </w:r>
          </w:p>
        </w:tc>
        <w:tc>
          <w:tcPr>
            <w:tcW w:w="860" w:type="dxa"/>
            <w:gridSpan w:val="2"/>
            <w:vAlign w:val="bottom"/>
          </w:tcPr>
          <w:p w14:paraId="35916454" w14:textId="77777777" w:rsidR="00D1587D" w:rsidRDefault="00410D07">
            <w:pPr>
              <w:jc w:val="right"/>
              <w:rPr>
                <w:sz w:val="20"/>
                <w:szCs w:val="20"/>
              </w:rPr>
            </w:pPr>
            <w:r>
              <w:rPr>
                <w:rFonts w:ascii="Arial" w:eastAsia="Arial" w:hAnsi="Arial" w:cs="Arial"/>
                <w:sz w:val="18"/>
                <w:szCs w:val="18"/>
              </w:rPr>
              <w:t>0.2%</w:t>
            </w:r>
          </w:p>
        </w:tc>
        <w:tc>
          <w:tcPr>
            <w:tcW w:w="800" w:type="dxa"/>
            <w:gridSpan w:val="2"/>
            <w:vAlign w:val="bottom"/>
          </w:tcPr>
          <w:p w14:paraId="25C2BBAA" w14:textId="77777777" w:rsidR="00D1587D" w:rsidRDefault="00410D07">
            <w:pPr>
              <w:jc w:val="right"/>
              <w:rPr>
                <w:sz w:val="20"/>
                <w:szCs w:val="20"/>
              </w:rPr>
            </w:pPr>
            <w:r>
              <w:rPr>
                <w:rFonts w:ascii="Arial" w:eastAsia="Arial" w:hAnsi="Arial" w:cs="Arial"/>
                <w:sz w:val="18"/>
                <w:szCs w:val="18"/>
              </w:rPr>
              <w:t>(0.1)%</w:t>
            </w:r>
          </w:p>
        </w:tc>
        <w:tc>
          <w:tcPr>
            <w:tcW w:w="1300" w:type="dxa"/>
            <w:vAlign w:val="bottom"/>
          </w:tcPr>
          <w:p w14:paraId="3AA637BC" w14:textId="77777777" w:rsidR="00D1587D" w:rsidRDefault="00D1587D">
            <w:pPr>
              <w:rPr>
                <w:sz w:val="23"/>
                <w:szCs w:val="23"/>
              </w:rPr>
            </w:pPr>
          </w:p>
        </w:tc>
      </w:tr>
      <w:tr w:rsidR="00D1587D" w14:paraId="2031BCD5" w14:textId="77777777">
        <w:trPr>
          <w:trHeight w:val="68"/>
        </w:trPr>
        <w:tc>
          <w:tcPr>
            <w:tcW w:w="1300" w:type="dxa"/>
            <w:vAlign w:val="bottom"/>
          </w:tcPr>
          <w:p w14:paraId="58CED1DB" w14:textId="77777777" w:rsidR="00D1587D" w:rsidRDefault="00D1587D">
            <w:pPr>
              <w:rPr>
                <w:sz w:val="5"/>
                <w:szCs w:val="5"/>
              </w:rPr>
            </w:pPr>
          </w:p>
        </w:tc>
        <w:tc>
          <w:tcPr>
            <w:tcW w:w="3960" w:type="dxa"/>
            <w:tcBorders>
              <w:bottom w:val="single" w:sz="8" w:space="0" w:color="CCEEFF"/>
            </w:tcBorders>
            <w:vAlign w:val="bottom"/>
          </w:tcPr>
          <w:p w14:paraId="1155A331" w14:textId="77777777" w:rsidR="00D1587D" w:rsidRDefault="00D1587D">
            <w:pPr>
              <w:rPr>
                <w:sz w:val="5"/>
                <w:szCs w:val="5"/>
              </w:rPr>
            </w:pPr>
          </w:p>
        </w:tc>
        <w:tc>
          <w:tcPr>
            <w:tcW w:w="2080" w:type="dxa"/>
            <w:tcBorders>
              <w:bottom w:val="single" w:sz="8" w:space="0" w:color="CCEEFF"/>
            </w:tcBorders>
            <w:vAlign w:val="bottom"/>
          </w:tcPr>
          <w:p w14:paraId="1D62401B" w14:textId="77777777" w:rsidR="00D1587D" w:rsidRDefault="00D1587D">
            <w:pPr>
              <w:rPr>
                <w:sz w:val="5"/>
                <w:szCs w:val="5"/>
              </w:rPr>
            </w:pPr>
          </w:p>
        </w:tc>
        <w:tc>
          <w:tcPr>
            <w:tcW w:w="120" w:type="dxa"/>
            <w:tcBorders>
              <w:bottom w:val="single" w:sz="8" w:space="0" w:color="CCEEFF"/>
            </w:tcBorders>
            <w:vAlign w:val="bottom"/>
          </w:tcPr>
          <w:p w14:paraId="5D421337" w14:textId="77777777" w:rsidR="00D1587D" w:rsidRDefault="00D1587D">
            <w:pPr>
              <w:rPr>
                <w:sz w:val="5"/>
                <w:szCs w:val="5"/>
              </w:rPr>
            </w:pPr>
          </w:p>
        </w:tc>
        <w:tc>
          <w:tcPr>
            <w:tcW w:w="600" w:type="dxa"/>
            <w:tcBorders>
              <w:bottom w:val="single" w:sz="8" w:space="0" w:color="auto"/>
            </w:tcBorders>
            <w:vAlign w:val="bottom"/>
          </w:tcPr>
          <w:p w14:paraId="4AE802CA" w14:textId="77777777" w:rsidR="00D1587D" w:rsidRDefault="00D1587D">
            <w:pPr>
              <w:rPr>
                <w:sz w:val="5"/>
                <w:szCs w:val="5"/>
              </w:rPr>
            </w:pPr>
          </w:p>
        </w:tc>
        <w:tc>
          <w:tcPr>
            <w:tcW w:w="260" w:type="dxa"/>
            <w:tcBorders>
              <w:bottom w:val="single" w:sz="8" w:space="0" w:color="CCEEFF"/>
            </w:tcBorders>
            <w:vAlign w:val="bottom"/>
          </w:tcPr>
          <w:p w14:paraId="41BFE91B" w14:textId="77777777" w:rsidR="00D1587D" w:rsidRDefault="00D1587D">
            <w:pPr>
              <w:rPr>
                <w:sz w:val="5"/>
                <w:szCs w:val="5"/>
              </w:rPr>
            </w:pPr>
          </w:p>
        </w:tc>
        <w:tc>
          <w:tcPr>
            <w:tcW w:w="600" w:type="dxa"/>
            <w:tcBorders>
              <w:bottom w:val="single" w:sz="8" w:space="0" w:color="auto"/>
            </w:tcBorders>
            <w:vAlign w:val="bottom"/>
          </w:tcPr>
          <w:p w14:paraId="7A5E95F5" w14:textId="77777777" w:rsidR="00D1587D" w:rsidRDefault="00D1587D">
            <w:pPr>
              <w:rPr>
                <w:sz w:val="5"/>
                <w:szCs w:val="5"/>
              </w:rPr>
            </w:pPr>
          </w:p>
        </w:tc>
        <w:tc>
          <w:tcPr>
            <w:tcW w:w="260" w:type="dxa"/>
            <w:tcBorders>
              <w:bottom w:val="single" w:sz="8" w:space="0" w:color="CCEEFF"/>
            </w:tcBorders>
            <w:vAlign w:val="bottom"/>
          </w:tcPr>
          <w:p w14:paraId="19ABE073" w14:textId="77777777" w:rsidR="00D1587D" w:rsidRDefault="00D1587D">
            <w:pPr>
              <w:rPr>
                <w:sz w:val="5"/>
                <w:szCs w:val="5"/>
              </w:rPr>
            </w:pPr>
          </w:p>
        </w:tc>
        <w:tc>
          <w:tcPr>
            <w:tcW w:w="540" w:type="dxa"/>
            <w:tcBorders>
              <w:bottom w:val="single" w:sz="8" w:space="0" w:color="auto"/>
            </w:tcBorders>
            <w:vAlign w:val="bottom"/>
          </w:tcPr>
          <w:p w14:paraId="71CE6CC6" w14:textId="77777777" w:rsidR="00D1587D" w:rsidRDefault="00D1587D">
            <w:pPr>
              <w:rPr>
                <w:sz w:val="5"/>
                <w:szCs w:val="5"/>
              </w:rPr>
            </w:pPr>
          </w:p>
        </w:tc>
        <w:tc>
          <w:tcPr>
            <w:tcW w:w="1300" w:type="dxa"/>
            <w:vAlign w:val="bottom"/>
          </w:tcPr>
          <w:p w14:paraId="172FCF55" w14:textId="77777777" w:rsidR="00D1587D" w:rsidRDefault="00D1587D">
            <w:pPr>
              <w:rPr>
                <w:sz w:val="5"/>
                <w:szCs w:val="5"/>
              </w:rPr>
            </w:pPr>
          </w:p>
        </w:tc>
      </w:tr>
      <w:tr w:rsidR="00D1587D" w14:paraId="3A1B7BEB" w14:textId="77777777">
        <w:trPr>
          <w:trHeight w:val="396"/>
        </w:trPr>
        <w:tc>
          <w:tcPr>
            <w:tcW w:w="1300" w:type="dxa"/>
            <w:vAlign w:val="bottom"/>
          </w:tcPr>
          <w:p w14:paraId="2F25FFC3" w14:textId="77777777" w:rsidR="00D1587D" w:rsidRDefault="00D1587D">
            <w:pPr>
              <w:rPr>
                <w:sz w:val="24"/>
                <w:szCs w:val="24"/>
              </w:rPr>
            </w:pPr>
          </w:p>
        </w:tc>
        <w:tc>
          <w:tcPr>
            <w:tcW w:w="3960" w:type="dxa"/>
            <w:tcBorders>
              <w:bottom w:val="single" w:sz="8" w:space="0" w:color="CCEEFF"/>
            </w:tcBorders>
            <w:shd w:val="clear" w:color="auto" w:fill="CCEEFF"/>
            <w:vAlign w:val="bottom"/>
          </w:tcPr>
          <w:p w14:paraId="5FD1A126" w14:textId="77777777" w:rsidR="00D1587D" w:rsidRDefault="00410D07">
            <w:pPr>
              <w:rPr>
                <w:sz w:val="20"/>
                <w:szCs w:val="20"/>
              </w:rPr>
            </w:pPr>
            <w:r>
              <w:rPr>
                <w:rFonts w:ascii="Arial" w:eastAsia="Arial" w:hAnsi="Arial" w:cs="Arial"/>
                <w:sz w:val="18"/>
                <w:szCs w:val="18"/>
              </w:rPr>
              <w:t>Effective Tax Rate</w:t>
            </w:r>
          </w:p>
        </w:tc>
        <w:tc>
          <w:tcPr>
            <w:tcW w:w="2200" w:type="dxa"/>
            <w:gridSpan w:val="2"/>
            <w:tcBorders>
              <w:bottom w:val="single" w:sz="8" w:space="0" w:color="CCEEFF"/>
            </w:tcBorders>
            <w:shd w:val="clear" w:color="auto" w:fill="CCEEFF"/>
            <w:vAlign w:val="bottom"/>
          </w:tcPr>
          <w:p w14:paraId="08200952" w14:textId="77777777" w:rsidR="00D1587D" w:rsidRDefault="00D1587D">
            <w:pPr>
              <w:rPr>
                <w:sz w:val="24"/>
                <w:szCs w:val="24"/>
              </w:rPr>
            </w:pPr>
          </w:p>
        </w:tc>
        <w:tc>
          <w:tcPr>
            <w:tcW w:w="600" w:type="dxa"/>
            <w:tcBorders>
              <w:bottom w:val="single" w:sz="8" w:space="0" w:color="CCEEFF"/>
            </w:tcBorders>
            <w:shd w:val="clear" w:color="auto" w:fill="CCEEFF"/>
            <w:vAlign w:val="bottom"/>
          </w:tcPr>
          <w:p w14:paraId="50125273" w14:textId="77777777" w:rsidR="00D1587D" w:rsidRDefault="00410D07">
            <w:pPr>
              <w:jc w:val="right"/>
              <w:rPr>
                <w:sz w:val="20"/>
                <w:szCs w:val="20"/>
              </w:rPr>
            </w:pPr>
            <w:r>
              <w:rPr>
                <w:rFonts w:ascii="Arial" w:eastAsia="Arial" w:hAnsi="Arial" w:cs="Arial"/>
                <w:w w:val="97"/>
                <w:sz w:val="18"/>
                <w:szCs w:val="18"/>
              </w:rPr>
              <w:t>31.9%</w:t>
            </w:r>
          </w:p>
        </w:tc>
        <w:tc>
          <w:tcPr>
            <w:tcW w:w="860" w:type="dxa"/>
            <w:gridSpan w:val="2"/>
            <w:tcBorders>
              <w:bottom w:val="single" w:sz="8" w:space="0" w:color="CCEEFF"/>
            </w:tcBorders>
            <w:shd w:val="clear" w:color="auto" w:fill="CCEEFF"/>
            <w:vAlign w:val="bottom"/>
          </w:tcPr>
          <w:p w14:paraId="69F1E070" w14:textId="77777777" w:rsidR="00D1587D" w:rsidRDefault="00410D07">
            <w:pPr>
              <w:jc w:val="right"/>
              <w:rPr>
                <w:sz w:val="20"/>
                <w:szCs w:val="20"/>
              </w:rPr>
            </w:pPr>
            <w:r>
              <w:rPr>
                <w:rFonts w:ascii="Arial" w:eastAsia="Arial" w:hAnsi="Arial" w:cs="Arial"/>
                <w:sz w:val="18"/>
                <w:szCs w:val="18"/>
              </w:rPr>
              <w:t>0.2%</w:t>
            </w:r>
          </w:p>
        </w:tc>
        <w:tc>
          <w:tcPr>
            <w:tcW w:w="800" w:type="dxa"/>
            <w:gridSpan w:val="2"/>
            <w:tcBorders>
              <w:bottom w:val="single" w:sz="8" w:space="0" w:color="CCEEFF"/>
            </w:tcBorders>
            <w:shd w:val="clear" w:color="auto" w:fill="CCEEFF"/>
            <w:vAlign w:val="bottom"/>
          </w:tcPr>
          <w:p w14:paraId="7F3C20A5" w14:textId="77777777" w:rsidR="00D1587D" w:rsidRDefault="00410D07">
            <w:pPr>
              <w:jc w:val="right"/>
              <w:rPr>
                <w:sz w:val="20"/>
                <w:szCs w:val="20"/>
              </w:rPr>
            </w:pPr>
            <w:r>
              <w:rPr>
                <w:rFonts w:ascii="Arial" w:eastAsia="Arial" w:hAnsi="Arial" w:cs="Arial"/>
                <w:sz w:val="18"/>
                <w:szCs w:val="18"/>
              </w:rPr>
              <w:t>35.7%</w:t>
            </w:r>
          </w:p>
        </w:tc>
        <w:tc>
          <w:tcPr>
            <w:tcW w:w="1300" w:type="dxa"/>
            <w:vAlign w:val="bottom"/>
          </w:tcPr>
          <w:p w14:paraId="40BD52BA" w14:textId="77777777" w:rsidR="00D1587D" w:rsidRDefault="00D1587D">
            <w:pPr>
              <w:rPr>
                <w:sz w:val="24"/>
                <w:szCs w:val="24"/>
              </w:rPr>
            </w:pPr>
          </w:p>
        </w:tc>
      </w:tr>
      <w:tr w:rsidR="00D1587D" w14:paraId="14F2174B" w14:textId="77777777">
        <w:trPr>
          <w:trHeight w:val="406"/>
        </w:trPr>
        <w:tc>
          <w:tcPr>
            <w:tcW w:w="1300" w:type="dxa"/>
            <w:vAlign w:val="bottom"/>
          </w:tcPr>
          <w:p w14:paraId="4B6DB1C0" w14:textId="77777777" w:rsidR="00D1587D" w:rsidRDefault="00D1587D">
            <w:pPr>
              <w:rPr>
                <w:sz w:val="24"/>
                <w:szCs w:val="24"/>
              </w:rPr>
            </w:pPr>
          </w:p>
        </w:tc>
        <w:tc>
          <w:tcPr>
            <w:tcW w:w="3960" w:type="dxa"/>
            <w:tcBorders>
              <w:top w:val="single" w:sz="8" w:space="0" w:color="CCEEFF"/>
            </w:tcBorders>
            <w:vAlign w:val="bottom"/>
          </w:tcPr>
          <w:p w14:paraId="4A48E240" w14:textId="77777777" w:rsidR="00D1587D" w:rsidRDefault="00D1587D">
            <w:pPr>
              <w:rPr>
                <w:sz w:val="24"/>
                <w:szCs w:val="24"/>
              </w:rPr>
            </w:pPr>
          </w:p>
        </w:tc>
        <w:tc>
          <w:tcPr>
            <w:tcW w:w="2200" w:type="dxa"/>
            <w:gridSpan w:val="2"/>
            <w:tcBorders>
              <w:top w:val="single" w:sz="8" w:space="0" w:color="CCEEFF"/>
            </w:tcBorders>
            <w:vAlign w:val="bottom"/>
          </w:tcPr>
          <w:p w14:paraId="691C805F" w14:textId="77777777" w:rsidR="00D1587D" w:rsidRDefault="00410D07">
            <w:pPr>
              <w:ind w:left="80"/>
              <w:rPr>
                <w:sz w:val="20"/>
                <w:szCs w:val="20"/>
              </w:rPr>
            </w:pPr>
            <w:r>
              <w:rPr>
                <w:rFonts w:ascii="Arial" w:eastAsia="Arial" w:hAnsi="Arial" w:cs="Arial"/>
                <w:sz w:val="18"/>
                <w:szCs w:val="18"/>
              </w:rPr>
              <w:t>F-23</w:t>
            </w:r>
          </w:p>
        </w:tc>
        <w:tc>
          <w:tcPr>
            <w:tcW w:w="600" w:type="dxa"/>
            <w:tcBorders>
              <w:top w:val="single" w:sz="8" w:space="0" w:color="auto"/>
            </w:tcBorders>
            <w:vAlign w:val="bottom"/>
          </w:tcPr>
          <w:p w14:paraId="0575B586" w14:textId="77777777" w:rsidR="00D1587D" w:rsidRDefault="00D1587D">
            <w:pPr>
              <w:rPr>
                <w:sz w:val="24"/>
                <w:szCs w:val="24"/>
              </w:rPr>
            </w:pPr>
          </w:p>
        </w:tc>
        <w:tc>
          <w:tcPr>
            <w:tcW w:w="260" w:type="dxa"/>
            <w:tcBorders>
              <w:top w:val="single" w:sz="8" w:space="0" w:color="CCEEFF"/>
            </w:tcBorders>
            <w:vAlign w:val="bottom"/>
          </w:tcPr>
          <w:p w14:paraId="0FC19692" w14:textId="77777777" w:rsidR="00D1587D" w:rsidRDefault="00D1587D">
            <w:pPr>
              <w:rPr>
                <w:sz w:val="24"/>
                <w:szCs w:val="24"/>
              </w:rPr>
            </w:pPr>
          </w:p>
        </w:tc>
        <w:tc>
          <w:tcPr>
            <w:tcW w:w="600" w:type="dxa"/>
            <w:tcBorders>
              <w:top w:val="single" w:sz="8" w:space="0" w:color="auto"/>
            </w:tcBorders>
            <w:vAlign w:val="bottom"/>
          </w:tcPr>
          <w:p w14:paraId="10BA1E0F" w14:textId="77777777" w:rsidR="00D1587D" w:rsidRDefault="00D1587D">
            <w:pPr>
              <w:rPr>
                <w:sz w:val="24"/>
                <w:szCs w:val="24"/>
              </w:rPr>
            </w:pPr>
          </w:p>
        </w:tc>
        <w:tc>
          <w:tcPr>
            <w:tcW w:w="260" w:type="dxa"/>
            <w:tcBorders>
              <w:top w:val="single" w:sz="8" w:space="0" w:color="CCEEFF"/>
            </w:tcBorders>
            <w:vAlign w:val="bottom"/>
          </w:tcPr>
          <w:p w14:paraId="4F1FCFB5" w14:textId="77777777" w:rsidR="00D1587D" w:rsidRDefault="00D1587D">
            <w:pPr>
              <w:rPr>
                <w:sz w:val="24"/>
                <w:szCs w:val="24"/>
              </w:rPr>
            </w:pPr>
          </w:p>
        </w:tc>
        <w:tc>
          <w:tcPr>
            <w:tcW w:w="540" w:type="dxa"/>
            <w:tcBorders>
              <w:top w:val="single" w:sz="8" w:space="0" w:color="auto"/>
            </w:tcBorders>
            <w:vAlign w:val="bottom"/>
          </w:tcPr>
          <w:p w14:paraId="12703DAE" w14:textId="77777777" w:rsidR="00D1587D" w:rsidRDefault="00D1587D">
            <w:pPr>
              <w:rPr>
                <w:sz w:val="24"/>
                <w:szCs w:val="24"/>
              </w:rPr>
            </w:pPr>
          </w:p>
        </w:tc>
        <w:tc>
          <w:tcPr>
            <w:tcW w:w="1300" w:type="dxa"/>
            <w:vAlign w:val="bottom"/>
          </w:tcPr>
          <w:p w14:paraId="76FAF767" w14:textId="77777777" w:rsidR="00D1587D" w:rsidRDefault="00D1587D">
            <w:pPr>
              <w:rPr>
                <w:sz w:val="24"/>
                <w:szCs w:val="24"/>
              </w:rPr>
            </w:pPr>
          </w:p>
        </w:tc>
      </w:tr>
      <w:tr w:rsidR="00D1587D" w14:paraId="696FBE7B" w14:textId="77777777">
        <w:trPr>
          <w:trHeight w:val="183"/>
        </w:trPr>
        <w:tc>
          <w:tcPr>
            <w:tcW w:w="1300" w:type="dxa"/>
            <w:tcBorders>
              <w:bottom w:val="single" w:sz="8" w:space="0" w:color="auto"/>
            </w:tcBorders>
            <w:vAlign w:val="bottom"/>
          </w:tcPr>
          <w:p w14:paraId="267448E0" w14:textId="77777777" w:rsidR="00D1587D" w:rsidRDefault="00D1587D">
            <w:pPr>
              <w:rPr>
                <w:sz w:val="15"/>
                <w:szCs w:val="15"/>
              </w:rPr>
            </w:pPr>
          </w:p>
        </w:tc>
        <w:tc>
          <w:tcPr>
            <w:tcW w:w="3960" w:type="dxa"/>
            <w:tcBorders>
              <w:bottom w:val="single" w:sz="8" w:space="0" w:color="auto"/>
            </w:tcBorders>
            <w:vAlign w:val="bottom"/>
          </w:tcPr>
          <w:p w14:paraId="561C8ECB" w14:textId="77777777" w:rsidR="00D1587D" w:rsidRDefault="00D1587D">
            <w:pPr>
              <w:rPr>
                <w:sz w:val="15"/>
                <w:szCs w:val="15"/>
              </w:rPr>
            </w:pPr>
          </w:p>
        </w:tc>
        <w:tc>
          <w:tcPr>
            <w:tcW w:w="2080" w:type="dxa"/>
            <w:tcBorders>
              <w:bottom w:val="single" w:sz="8" w:space="0" w:color="auto"/>
            </w:tcBorders>
            <w:vAlign w:val="bottom"/>
          </w:tcPr>
          <w:p w14:paraId="209EDE49" w14:textId="77777777" w:rsidR="00D1587D" w:rsidRDefault="00D1587D">
            <w:pPr>
              <w:rPr>
                <w:sz w:val="15"/>
                <w:szCs w:val="15"/>
              </w:rPr>
            </w:pPr>
          </w:p>
        </w:tc>
        <w:tc>
          <w:tcPr>
            <w:tcW w:w="120" w:type="dxa"/>
            <w:tcBorders>
              <w:bottom w:val="single" w:sz="8" w:space="0" w:color="auto"/>
            </w:tcBorders>
            <w:vAlign w:val="bottom"/>
          </w:tcPr>
          <w:p w14:paraId="09C25683" w14:textId="77777777" w:rsidR="00D1587D" w:rsidRDefault="00D1587D">
            <w:pPr>
              <w:rPr>
                <w:sz w:val="15"/>
                <w:szCs w:val="15"/>
              </w:rPr>
            </w:pPr>
          </w:p>
        </w:tc>
        <w:tc>
          <w:tcPr>
            <w:tcW w:w="600" w:type="dxa"/>
            <w:tcBorders>
              <w:bottom w:val="single" w:sz="8" w:space="0" w:color="auto"/>
            </w:tcBorders>
            <w:vAlign w:val="bottom"/>
          </w:tcPr>
          <w:p w14:paraId="7F7D97B5" w14:textId="77777777" w:rsidR="00D1587D" w:rsidRDefault="00D1587D">
            <w:pPr>
              <w:rPr>
                <w:sz w:val="15"/>
                <w:szCs w:val="15"/>
              </w:rPr>
            </w:pPr>
          </w:p>
        </w:tc>
        <w:tc>
          <w:tcPr>
            <w:tcW w:w="260" w:type="dxa"/>
            <w:tcBorders>
              <w:bottom w:val="single" w:sz="8" w:space="0" w:color="auto"/>
            </w:tcBorders>
            <w:vAlign w:val="bottom"/>
          </w:tcPr>
          <w:p w14:paraId="1031FCD5" w14:textId="77777777" w:rsidR="00D1587D" w:rsidRDefault="00D1587D">
            <w:pPr>
              <w:rPr>
                <w:sz w:val="15"/>
                <w:szCs w:val="15"/>
              </w:rPr>
            </w:pPr>
          </w:p>
        </w:tc>
        <w:tc>
          <w:tcPr>
            <w:tcW w:w="600" w:type="dxa"/>
            <w:tcBorders>
              <w:bottom w:val="single" w:sz="8" w:space="0" w:color="auto"/>
            </w:tcBorders>
            <w:vAlign w:val="bottom"/>
          </w:tcPr>
          <w:p w14:paraId="68BD3771" w14:textId="77777777" w:rsidR="00D1587D" w:rsidRDefault="00D1587D">
            <w:pPr>
              <w:rPr>
                <w:sz w:val="15"/>
                <w:szCs w:val="15"/>
              </w:rPr>
            </w:pPr>
          </w:p>
        </w:tc>
        <w:tc>
          <w:tcPr>
            <w:tcW w:w="260" w:type="dxa"/>
            <w:tcBorders>
              <w:bottom w:val="single" w:sz="8" w:space="0" w:color="auto"/>
            </w:tcBorders>
            <w:vAlign w:val="bottom"/>
          </w:tcPr>
          <w:p w14:paraId="3E04CF81" w14:textId="77777777" w:rsidR="00D1587D" w:rsidRDefault="00D1587D">
            <w:pPr>
              <w:rPr>
                <w:sz w:val="15"/>
                <w:szCs w:val="15"/>
              </w:rPr>
            </w:pPr>
          </w:p>
        </w:tc>
        <w:tc>
          <w:tcPr>
            <w:tcW w:w="540" w:type="dxa"/>
            <w:tcBorders>
              <w:bottom w:val="single" w:sz="8" w:space="0" w:color="auto"/>
            </w:tcBorders>
            <w:vAlign w:val="bottom"/>
          </w:tcPr>
          <w:p w14:paraId="59995F74" w14:textId="77777777" w:rsidR="00D1587D" w:rsidRDefault="00D1587D">
            <w:pPr>
              <w:rPr>
                <w:sz w:val="15"/>
                <w:szCs w:val="15"/>
              </w:rPr>
            </w:pPr>
          </w:p>
        </w:tc>
        <w:tc>
          <w:tcPr>
            <w:tcW w:w="1300" w:type="dxa"/>
            <w:tcBorders>
              <w:bottom w:val="single" w:sz="8" w:space="0" w:color="auto"/>
            </w:tcBorders>
            <w:vAlign w:val="bottom"/>
          </w:tcPr>
          <w:p w14:paraId="6BEFCBF1" w14:textId="77777777" w:rsidR="00D1587D" w:rsidRDefault="00D1587D">
            <w:pPr>
              <w:rPr>
                <w:sz w:val="15"/>
                <w:szCs w:val="15"/>
              </w:rPr>
            </w:pPr>
          </w:p>
        </w:tc>
      </w:tr>
    </w:tbl>
    <w:p w14:paraId="7EEB5E1B" w14:textId="77777777" w:rsidR="00D1587D" w:rsidRDefault="00410D07">
      <w:pPr>
        <w:spacing w:line="20" w:lineRule="exact"/>
        <w:rPr>
          <w:sz w:val="20"/>
          <w:szCs w:val="20"/>
        </w:rPr>
      </w:pPr>
      <w:r>
        <w:rPr>
          <w:noProof/>
          <w:sz w:val="20"/>
          <w:szCs w:val="20"/>
        </w:rPr>
        <w:drawing>
          <wp:anchor distT="0" distB="0" distL="114300" distR="114300" simplePos="0" relativeHeight="252104704" behindDoc="1" locked="0" layoutInCell="0" allowOverlap="1" wp14:anchorId="56816391" wp14:editId="3CD5982E">
            <wp:simplePos x="0" y="0"/>
            <wp:positionH relativeFrom="column">
              <wp:posOffset>5663565</wp:posOffset>
            </wp:positionH>
            <wp:positionV relativeFrom="paragraph">
              <wp:posOffset>-659130</wp:posOffset>
            </wp:positionV>
            <wp:extent cx="171450" cy="8890"/>
            <wp:effectExtent l="0" t="0" r="0" b="0"/>
            <wp:wrapNone/>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60"/>
                    <a:srcRect/>
                    <a:stretch>
                      <a:fillRect/>
                    </a:stretch>
                  </pic:blipFill>
                  <pic:spPr bwMode="auto">
                    <a:xfrm>
                      <a:off x="0" y="0"/>
                      <a:ext cx="171450" cy="8890"/>
                    </a:xfrm>
                    <a:prstGeom prst="rect">
                      <a:avLst/>
                    </a:prstGeom>
                    <a:noFill/>
                  </pic:spPr>
                </pic:pic>
              </a:graphicData>
            </a:graphic>
          </wp:anchor>
        </w:drawing>
      </w:r>
      <w:r>
        <w:rPr>
          <w:noProof/>
          <w:sz w:val="20"/>
          <w:szCs w:val="20"/>
        </w:rPr>
        <w:drawing>
          <wp:anchor distT="0" distB="0" distL="114300" distR="114300" simplePos="0" relativeHeight="252105728" behindDoc="1" locked="0" layoutInCell="0" allowOverlap="1" wp14:anchorId="693BE2C4" wp14:editId="3977730A">
            <wp:simplePos x="0" y="0"/>
            <wp:positionH relativeFrom="column">
              <wp:posOffset>5114925</wp:posOffset>
            </wp:positionH>
            <wp:positionV relativeFrom="paragraph">
              <wp:posOffset>-659130</wp:posOffset>
            </wp:positionV>
            <wp:extent cx="171450" cy="8890"/>
            <wp:effectExtent l="0" t="0" r="0" b="0"/>
            <wp:wrapNone/>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60"/>
                    <a:srcRect/>
                    <a:stretch>
                      <a:fillRect/>
                    </a:stretch>
                  </pic:blipFill>
                  <pic:spPr bwMode="auto">
                    <a:xfrm>
                      <a:off x="0" y="0"/>
                      <a:ext cx="171450" cy="8890"/>
                    </a:xfrm>
                    <a:prstGeom prst="rect">
                      <a:avLst/>
                    </a:prstGeom>
                    <a:noFill/>
                  </pic:spPr>
                </pic:pic>
              </a:graphicData>
            </a:graphic>
          </wp:anchor>
        </w:drawing>
      </w:r>
      <w:r>
        <w:rPr>
          <w:noProof/>
          <w:sz w:val="20"/>
          <w:szCs w:val="20"/>
        </w:rPr>
        <w:drawing>
          <wp:anchor distT="0" distB="0" distL="114300" distR="114300" simplePos="0" relativeHeight="252106752" behindDoc="1" locked="0" layoutInCell="0" allowOverlap="1" wp14:anchorId="36850772" wp14:editId="287B7ED3">
            <wp:simplePos x="0" y="0"/>
            <wp:positionH relativeFrom="column">
              <wp:posOffset>4660900</wp:posOffset>
            </wp:positionH>
            <wp:positionV relativeFrom="paragraph">
              <wp:posOffset>-659130</wp:posOffset>
            </wp:positionV>
            <wp:extent cx="76835" cy="8890"/>
            <wp:effectExtent l="0" t="0" r="0" b="0"/>
            <wp:wrapNone/>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58"/>
                    <a:srcRect/>
                    <a:stretch>
                      <a:fillRect/>
                    </a:stretch>
                  </pic:blipFill>
                  <pic:spPr bwMode="auto">
                    <a:xfrm>
                      <a:off x="0" y="0"/>
                      <a:ext cx="76835" cy="8890"/>
                    </a:xfrm>
                    <a:prstGeom prst="rect">
                      <a:avLst/>
                    </a:prstGeom>
                    <a:noFill/>
                  </pic:spPr>
                </pic:pic>
              </a:graphicData>
            </a:graphic>
          </wp:anchor>
        </w:drawing>
      </w:r>
      <w:r>
        <w:rPr>
          <w:noProof/>
          <w:sz w:val="20"/>
          <w:szCs w:val="20"/>
        </w:rPr>
        <w:drawing>
          <wp:anchor distT="0" distB="0" distL="114300" distR="114300" simplePos="0" relativeHeight="252107776" behindDoc="1" locked="0" layoutInCell="0" allowOverlap="1" wp14:anchorId="24BD3966" wp14:editId="0A4FC23E">
            <wp:simplePos x="0" y="0"/>
            <wp:positionH relativeFrom="column">
              <wp:posOffset>5663565</wp:posOffset>
            </wp:positionH>
            <wp:positionV relativeFrom="paragraph">
              <wp:posOffset>-2742565</wp:posOffset>
            </wp:positionV>
            <wp:extent cx="171450" cy="8890"/>
            <wp:effectExtent l="0" t="0" r="0" b="0"/>
            <wp:wrapNone/>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60"/>
                    <a:srcRect/>
                    <a:stretch>
                      <a:fillRect/>
                    </a:stretch>
                  </pic:blipFill>
                  <pic:spPr bwMode="auto">
                    <a:xfrm>
                      <a:off x="0" y="0"/>
                      <a:ext cx="171450" cy="8890"/>
                    </a:xfrm>
                    <a:prstGeom prst="rect">
                      <a:avLst/>
                    </a:prstGeom>
                    <a:noFill/>
                  </pic:spPr>
                </pic:pic>
              </a:graphicData>
            </a:graphic>
          </wp:anchor>
        </w:drawing>
      </w:r>
      <w:r>
        <w:rPr>
          <w:noProof/>
          <w:sz w:val="20"/>
          <w:szCs w:val="20"/>
        </w:rPr>
        <w:drawing>
          <wp:anchor distT="0" distB="0" distL="114300" distR="114300" simplePos="0" relativeHeight="252108800" behindDoc="1" locked="0" layoutInCell="0" allowOverlap="1" wp14:anchorId="30DB833D" wp14:editId="70469645">
            <wp:simplePos x="0" y="0"/>
            <wp:positionH relativeFrom="column">
              <wp:posOffset>5114925</wp:posOffset>
            </wp:positionH>
            <wp:positionV relativeFrom="paragraph">
              <wp:posOffset>-2742565</wp:posOffset>
            </wp:positionV>
            <wp:extent cx="171450" cy="8890"/>
            <wp:effectExtent l="0" t="0" r="0" b="0"/>
            <wp:wrapNone/>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60"/>
                    <a:srcRect/>
                    <a:stretch>
                      <a:fillRect/>
                    </a:stretch>
                  </pic:blipFill>
                  <pic:spPr bwMode="auto">
                    <a:xfrm>
                      <a:off x="0" y="0"/>
                      <a:ext cx="171450" cy="8890"/>
                    </a:xfrm>
                    <a:prstGeom prst="rect">
                      <a:avLst/>
                    </a:prstGeom>
                    <a:noFill/>
                  </pic:spPr>
                </pic:pic>
              </a:graphicData>
            </a:graphic>
          </wp:anchor>
        </w:drawing>
      </w:r>
      <w:r>
        <w:rPr>
          <w:noProof/>
          <w:sz w:val="20"/>
          <w:szCs w:val="20"/>
        </w:rPr>
        <w:drawing>
          <wp:anchor distT="0" distB="0" distL="114300" distR="114300" simplePos="0" relativeHeight="252109824" behindDoc="1" locked="0" layoutInCell="0" allowOverlap="1" wp14:anchorId="5EFFD079" wp14:editId="16ED9218">
            <wp:simplePos x="0" y="0"/>
            <wp:positionH relativeFrom="column">
              <wp:posOffset>4660900</wp:posOffset>
            </wp:positionH>
            <wp:positionV relativeFrom="paragraph">
              <wp:posOffset>-2742565</wp:posOffset>
            </wp:positionV>
            <wp:extent cx="76835" cy="8890"/>
            <wp:effectExtent l="0" t="0" r="0" b="0"/>
            <wp:wrapNone/>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58"/>
                    <a:srcRect/>
                    <a:stretch>
                      <a:fillRect/>
                    </a:stretch>
                  </pic:blipFill>
                  <pic:spPr bwMode="auto">
                    <a:xfrm>
                      <a:off x="0" y="0"/>
                      <a:ext cx="76835" cy="8890"/>
                    </a:xfrm>
                    <a:prstGeom prst="rect">
                      <a:avLst/>
                    </a:prstGeom>
                    <a:noFill/>
                  </pic:spPr>
                </pic:pic>
              </a:graphicData>
            </a:graphic>
          </wp:anchor>
        </w:drawing>
      </w:r>
    </w:p>
    <w:p w14:paraId="26862174" w14:textId="77777777" w:rsidR="00D1587D" w:rsidRDefault="00D1587D">
      <w:pPr>
        <w:sectPr w:rsidR="00D1587D">
          <w:pgSz w:w="11900" w:h="16838"/>
          <w:pgMar w:top="265" w:right="439" w:bottom="1440" w:left="440" w:header="0" w:footer="0" w:gutter="0"/>
          <w:cols w:space="720" w:equalWidth="0">
            <w:col w:w="11020"/>
          </w:cols>
        </w:sectPr>
      </w:pPr>
    </w:p>
    <w:bookmarkStart w:id="419" w:name="page420"/>
    <w:bookmarkEnd w:id="419"/>
    <w:p w14:paraId="02BE2B7F"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4975E22" w14:textId="77777777" w:rsidR="00D1587D" w:rsidRDefault="00D1587D">
      <w:pPr>
        <w:spacing w:line="127" w:lineRule="exact"/>
        <w:rPr>
          <w:sz w:val="20"/>
          <w:szCs w:val="20"/>
        </w:rPr>
      </w:pPr>
    </w:p>
    <w:p w14:paraId="4E0324A1" w14:textId="77777777" w:rsidR="00D1587D" w:rsidRDefault="00410D07">
      <w:pPr>
        <w:ind w:left="300"/>
        <w:rPr>
          <w:sz w:val="20"/>
          <w:szCs w:val="20"/>
        </w:rPr>
      </w:pPr>
      <w:r>
        <w:rPr>
          <w:rFonts w:ascii="Arial" w:eastAsia="Arial" w:hAnsi="Arial" w:cs="Arial"/>
          <w:b/>
          <w:bCs/>
          <w:sz w:val="18"/>
          <w:szCs w:val="18"/>
        </w:rPr>
        <w:t>Deferred Taxes</w:t>
      </w:r>
    </w:p>
    <w:p w14:paraId="69A12301" w14:textId="77777777" w:rsidR="00D1587D" w:rsidRDefault="00D1587D">
      <w:pPr>
        <w:spacing w:line="121" w:lineRule="exact"/>
        <w:rPr>
          <w:sz w:val="20"/>
          <w:szCs w:val="20"/>
        </w:rPr>
      </w:pPr>
    </w:p>
    <w:p w14:paraId="65C8DA7E" w14:textId="77777777" w:rsidR="00D1587D" w:rsidRDefault="00410D07">
      <w:pPr>
        <w:spacing w:line="286" w:lineRule="auto"/>
        <w:ind w:left="300" w:right="659" w:firstLine="360"/>
        <w:rPr>
          <w:sz w:val="20"/>
          <w:szCs w:val="20"/>
        </w:rPr>
      </w:pPr>
      <w:r>
        <w:rPr>
          <w:rFonts w:ascii="Arial" w:eastAsia="Arial" w:hAnsi="Arial" w:cs="Arial"/>
          <w:sz w:val="17"/>
          <w:szCs w:val="17"/>
        </w:rPr>
        <w:t xml:space="preserve">The following table provides the effect of temporary differences that cause deferred income taxes as of January 30, 2021 and February 1, 2020. Deferred tax assets and liabilities represent the </w:t>
      </w:r>
      <w:r>
        <w:rPr>
          <w:rFonts w:ascii="Arial" w:eastAsia="Arial" w:hAnsi="Arial" w:cs="Arial"/>
          <w:sz w:val="17"/>
          <w:szCs w:val="17"/>
        </w:rPr>
        <w:t>future effects on income taxes resulting from temporary differences and carryforwards at the end of the respective year.</w:t>
      </w:r>
    </w:p>
    <w:p w14:paraId="6572FAA6" w14:textId="77777777" w:rsidR="00D1587D" w:rsidRDefault="00D1587D">
      <w:pPr>
        <w:spacing w:line="130"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400"/>
        <w:gridCol w:w="80"/>
        <w:gridCol w:w="480"/>
        <w:gridCol w:w="160"/>
        <w:gridCol w:w="240"/>
        <w:gridCol w:w="380"/>
        <w:gridCol w:w="160"/>
        <w:gridCol w:w="120"/>
        <w:gridCol w:w="380"/>
        <w:gridCol w:w="160"/>
        <w:gridCol w:w="420"/>
        <w:gridCol w:w="160"/>
        <w:gridCol w:w="240"/>
        <w:gridCol w:w="380"/>
        <w:gridCol w:w="160"/>
        <w:gridCol w:w="140"/>
        <w:gridCol w:w="360"/>
      </w:tblGrid>
      <w:tr w:rsidR="00D1587D" w14:paraId="6187DCFC" w14:textId="77777777">
        <w:trPr>
          <w:trHeight w:val="186"/>
        </w:trPr>
        <w:tc>
          <w:tcPr>
            <w:tcW w:w="4400" w:type="dxa"/>
            <w:vAlign w:val="bottom"/>
          </w:tcPr>
          <w:p w14:paraId="07069B35" w14:textId="77777777" w:rsidR="00D1587D" w:rsidRDefault="00D1587D">
            <w:pPr>
              <w:rPr>
                <w:sz w:val="16"/>
                <w:szCs w:val="16"/>
              </w:rPr>
            </w:pPr>
          </w:p>
        </w:tc>
        <w:tc>
          <w:tcPr>
            <w:tcW w:w="80" w:type="dxa"/>
            <w:vAlign w:val="bottom"/>
          </w:tcPr>
          <w:p w14:paraId="237CFF1F" w14:textId="77777777" w:rsidR="00D1587D" w:rsidRDefault="00D1587D">
            <w:pPr>
              <w:rPr>
                <w:sz w:val="16"/>
                <w:szCs w:val="16"/>
              </w:rPr>
            </w:pPr>
          </w:p>
        </w:tc>
        <w:tc>
          <w:tcPr>
            <w:tcW w:w="1540" w:type="dxa"/>
            <w:gridSpan w:val="6"/>
            <w:vAlign w:val="bottom"/>
          </w:tcPr>
          <w:p w14:paraId="0D540AF4" w14:textId="77777777" w:rsidR="00D1587D" w:rsidRDefault="00410D07">
            <w:pPr>
              <w:ind w:left="273"/>
              <w:jc w:val="center"/>
              <w:rPr>
                <w:sz w:val="20"/>
                <w:szCs w:val="20"/>
              </w:rPr>
            </w:pPr>
            <w:r>
              <w:rPr>
                <w:rFonts w:ascii="Arial" w:eastAsia="Arial" w:hAnsi="Arial" w:cs="Arial"/>
                <w:b/>
                <w:bCs/>
                <w:w w:val="94"/>
                <w:sz w:val="14"/>
                <w:szCs w:val="14"/>
              </w:rPr>
              <w:t>January 30, 2021</w:t>
            </w:r>
          </w:p>
        </w:tc>
        <w:tc>
          <w:tcPr>
            <w:tcW w:w="380" w:type="dxa"/>
            <w:vAlign w:val="bottom"/>
          </w:tcPr>
          <w:p w14:paraId="6C34D914" w14:textId="77777777" w:rsidR="00D1587D" w:rsidRDefault="00D1587D">
            <w:pPr>
              <w:rPr>
                <w:sz w:val="16"/>
                <w:szCs w:val="16"/>
              </w:rPr>
            </w:pPr>
          </w:p>
        </w:tc>
        <w:tc>
          <w:tcPr>
            <w:tcW w:w="160" w:type="dxa"/>
            <w:vAlign w:val="bottom"/>
          </w:tcPr>
          <w:p w14:paraId="4278B513" w14:textId="77777777" w:rsidR="00D1587D" w:rsidRDefault="00D1587D">
            <w:pPr>
              <w:rPr>
                <w:sz w:val="16"/>
                <w:szCs w:val="16"/>
              </w:rPr>
            </w:pPr>
          </w:p>
        </w:tc>
        <w:tc>
          <w:tcPr>
            <w:tcW w:w="1500" w:type="dxa"/>
            <w:gridSpan w:val="6"/>
            <w:vAlign w:val="bottom"/>
          </w:tcPr>
          <w:p w14:paraId="2BC76774" w14:textId="77777777" w:rsidR="00D1587D" w:rsidRDefault="00410D07">
            <w:pPr>
              <w:jc w:val="right"/>
              <w:rPr>
                <w:sz w:val="20"/>
                <w:szCs w:val="20"/>
              </w:rPr>
            </w:pPr>
            <w:r>
              <w:rPr>
                <w:rFonts w:ascii="Arial" w:eastAsia="Arial" w:hAnsi="Arial" w:cs="Arial"/>
                <w:b/>
                <w:bCs/>
                <w:sz w:val="14"/>
                <w:szCs w:val="14"/>
              </w:rPr>
              <w:t>February 1, 2020</w:t>
            </w:r>
          </w:p>
        </w:tc>
        <w:tc>
          <w:tcPr>
            <w:tcW w:w="360" w:type="dxa"/>
            <w:vAlign w:val="bottom"/>
          </w:tcPr>
          <w:p w14:paraId="1BD8A6E8" w14:textId="77777777" w:rsidR="00D1587D" w:rsidRDefault="00D1587D">
            <w:pPr>
              <w:rPr>
                <w:sz w:val="16"/>
                <w:szCs w:val="16"/>
              </w:rPr>
            </w:pPr>
          </w:p>
        </w:tc>
      </w:tr>
      <w:tr w:rsidR="00D1587D" w14:paraId="4F68554F" w14:textId="77777777">
        <w:trPr>
          <w:trHeight w:val="53"/>
        </w:trPr>
        <w:tc>
          <w:tcPr>
            <w:tcW w:w="4400" w:type="dxa"/>
            <w:vAlign w:val="bottom"/>
          </w:tcPr>
          <w:p w14:paraId="34358D0F" w14:textId="77777777" w:rsidR="00D1587D" w:rsidRDefault="00D1587D">
            <w:pPr>
              <w:rPr>
                <w:sz w:val="4"/>
                <w:szCs w:val="4"/>
              </w:rPr>
            </w:pPr>
          </w:p>
        </w:tc>
        <w:tc>
          <w:tcPr>
            <w:tcW w:w="80" w:type="dxa"/>
            <w:vAlign w:val="bottom"/>
          </w:tcPr>
          <w:p w14:paraId="0571464E" w14:textId="77777777" w:rsidR="00D1587D" w:rsidRDefault="00D1587D">
            <w:pPr>
              <w:rPr>
                <w:sz w:val="4"/>
                <w:szCs w:val="4"/>
              </w:rPr>
            </w:pPr>
          </w:p>
        </w:tc>
        <w:tc>
          <w:tcPr>
            <w:tcW w:w="640" w:type="dxa"/>
            <w:gridSpan w:val="2"/>
            <w:tcBorders>
              <w:bottom w:val="single" w:sz="8" w:space="0" w:color="auto"/>
            </w:tcBorders>
            <w:vAlign w:val="bottom"/>
          </w:tcPr>
          <w:p w14:paraId="65A2C73F" w14:textId="77777777" w:rsidR="00D1587D" w:rsidRDefault="00D1587D">
            <w:pPr>
              <w:rPr>
                <w:sz w:val="4"/>
                <w:szCs w:val="4"/>
              </w:rPr>
            </w:pPr>
          </w:p>
        </w:tc>
        <w:tc>
          <w:tcPr>
            <w:tcW w:w="780" w:type="dxa"/>
            <w:gridSpan w:val="3"/>
            <w:tcBorders>
              <w:bottom w:val="single" w:sz="8" w:space="0" w:color="auto"/>
            </w:tcBorders>
            <w:vAlign w:val="bottom"/>
          </w:tcPr>
          <w:p w14:paraId="30C29C78" w14:textId="77777777" w:rsidR="00D1587D" w:rsidRDefault="00D1587D">
            <w:pPr>
              <w:rPr>
                <w:sz w:val="4"/>
                <w:szCs w:val="4"/>
              </w:rPr>
            </w:pPr>
          </w:p>
        </w:tc>
        <w:tc>
          <w:tcPr>
            <w:tcW w:w="500" w:type="dxa"/>
            <w:gridSpan w:val="2"/>
            <w:tcBorders>
              <w:bottom w:val="single" w:sz="8" w:space="0" w:color="auto"/>
            </w:tcBorders>
            <w:vAlign w:val="bottom"/>
          </w:tcPr>
          <w:p w14:paraId="34F9869B" w14:textId="77777777" w:rsidR="00D1587D" w:rsidRDefault="00D1587D">
            <w:pPr>
              <w:rPr>
                <w:sz w:val="4"/>
                <w:szCs w:val="4"/>
              </w:rPr>
            </w:pPr>
          </w:p>
        </w:tc>
        <w:tc>
          <w:tcPr>
            <w:tcW w:w="160" w:type="dxa"/>
            <w:vAlign w:val="bottom"/>
          </w:tcPr>
          <w:p w14:paraId="63ADA812" w14:textId="77777777" w:rsidR="00D1587D" w:rsidRDefault="00D1587D">
            <w:pPr>
              <w:rPr>
                <w:sz w:val="4"/>
                <w:szCs w:val="4"/>
              </w:rPr>
            </w:pPr>
          </w:p>
        </w:tc>
        <w:tc>
          <w:tcPr>
            <w:tcW w:w="580" w:type="dxa"/>
            <w:gridSpan w:val="2"/>
            <w:tcBorders>
              <w:bottom w:val="single" w:sz="8" w:space="0" w:color="auto"/>
            </w:tcBorders>
            <w:vAlign w:val="bottom"/>
          </w:tcPr>
          <w:p w14:paraId="1815AA7C" w14:textId="77777777" w:rsidR="00D1587D" w:rsidRDefault="00D1587D">
            <w:pPr>
              <w:rPr>
                <w:sz w:val="4"/>
                <w:szCs w:val="4"/>
              </w:rPr>
            </w:pPr>
          </w:p>
        </w:tc>
        <w:tc>
          <w:tcPr>
            <w:tcW w:w="780" w:type="dxa"/>
            <w:gridSpan w:val="3"/>
            <w:tcBorders>
              <w:bottom w:val="single" w:sz="8" w:space="0" w:color="auto"/>
            </w:tcBorders>
            <w:vAlign w:val="bottom"/>
          </w:tcPr>
          <w:p w14:paraId="123A18C3" w14:textId="77777777" w:rsidR="00D1587D" w:rsidRDefault="00D1587D">
            <w:pPr>
              <w:rPr>
                <w:sz w:val="4"/>
                <w:szCs w:val="4"/>
              </w:rPr>
            </w:pPr>
          </w:p>
        </w:tc>
        <w:tc>
          <w:tcPr>
            <w:tcW w:w="500" w:type="dxa"/>
            <w:gridSpan w:val="2"/>
            <w:tcBorders>
              <w:bottom w:val="single" w:sz="8" w:space="0" w:color="auto"/>
            </w:tcBorders>
            <w:vAlign w:val="bottom"/>
          </w:tcPr>
          <w:p w14:paraId="59D4AFC7" w14:textId="77777777" w:rsidR="00D1587D" w:rsidRDefault="00D1587D">
            <w:pPr>
              <w:rPr>
                <w:sz w:val="4"/>
                <w:szCs w:val="4"/>
              </w:rPr>
            </w:pPr>
          </w:p>
        </w:tc>
      </w:tr>
      <w:tr w:rsidR="00D1587D" w14:paraId="3516C810" w14:textId="77777777">
        <w:trPr>
          <w:trHeight w:val="224"/>
        </w:trPr>
        <w:tc>
          <w:tcPr>
            <w:tcW w:w="4400" w:type="dxa"/>
            <w:vAlign w:val="bottom"/>
          </w:tcPr>
          <w:p w14:paraId="709DA6BE" w14:textId="77777777" w:rsidR="00D1587D" w:rsidRDefault="00D1587D">
            <w:pPr>
              <w:rPr>
                <w:sz w:val="19"/>
                <w:szCs w:val="19"/>
              </w:rPr>
            </w:pPr>
          </w:p>
        </w:tc>
        <w:tc>
          <w:tcPr>
            <w:tcW w:w="80" w:type="dxa"/>
            <w:vAlign w:val="bottom"/>
          </w:tcPr>
          <w:p w14:paraId="6B12A834" w14:textId="77777777" w:rsidR="00D1587D" w:rsidRDefault="00D1587D">
            <w:pPr>
              <w:rPr>
                <w:sz w:val="19"/>
                <w:szCs w:val="19"/>
              </w:rPr>
            </w:pPr>
          </w:p>
        </w:tc>
        <w:tc>
          <w:tcPr>
            <w:tcW w:w="640" w:type="dxa"/>
            <w:gridSpan w:val="2"/>
            <w:vAlign w:val="bottom"/>
          </w:tcPr>
          <w:p w14:paraId="45CBC35C" w14:textId="77777777" w:rsidR="00D1587D" w:rsidRDefault="00410D07">
            <w:pPr>
              <w:ind w:left="40"/>
              <w:rPr>
                <w:sz w:val="20"/>
                <w:szCs w:val="20"/>
              </w:rPr>
            </w:pPr>
            <w:r>
              <w:rPr>
                <w:rFonts w:ascii="Arial" w:eastAsia="Arial" w:hAnsi="Arial" w:cs="Arial"/>
                <w:b/>
                <w:bCs/>
                <w:sz w:val="14"/>
                <w:szCs w:val="14"/>
              </w:rPr>
              <w:t>Assets</w:t>
            </w:r>
          </w:p>
        </w:tc>
        <w:tc>
          <w:tcPr>
            <w:tcW w:w="780" w:type="dxa"/>
            <w:gridSpan w:val="3"/>
            <w:vAlign w:val="bottom"/>
          </w:tcPr>
          <w:p w14:paraId="35126CA0" w14:textId="77777777" w:rsidR="00D1587D" w:rsidRDefault="00410D07">
            <w:pPr>
              <w:ind w:right="160"/>
              <w:jc w:val="center"/>
              <w:rPr>
                <w:sz w:val="20"/>
                <w:szCs w:val="20"/>
              </w:rPr>
            </w:pPr>
            <w:r>
              <w:rPr>
                <w:rFonts w:ascii="Arial" w:eastAsia="Arial" w:hAnsi="Arial" w:cs="Arial"/>
                <w:b/>
                <w:bCs/>
                <w:w w:val="95"/>
                <w:sz w:val="14"/>
                <w:szCs w:val="14"/>
              </w:rPr>
              <w:t>Liabilities</w:t>
            </w:r>
          </w:p>
        </w:tc>
        <w:tc>
          <w:tcPr>
            <w:tcW w:w="660" w:type="dxa"/>
            <w:gridSpan w:val="3"/>
            <w:vAlign w:val="bottom"/>
          </w:tcPr>
          <w:p w14:paraId="1EDE058D" w14:textId="77777777" w:rsidR="00D1587D" w:rsidRDefault="00410D07">
            <w:pPr>
              <w:ind w:left="100"/>
              <w:rPr>
                <w:sz w:val="20"/>
                <w:szCs w:val="20"/>
              </w:rPr>
            </w:pPr>
            <w:r>
              <w:rPr>
                <w:rFonts w:ascii="Arial" w:eastAsia="Arial" w:hAnsi="Arial" w:cs="Arial"/>
                <w:b/>
                <w:bCs/>
                <w:sz w:val="14"/>
                <w:szCs w:val="14"/>
              </w:rPr>
              <w:t>Total</w:t>
            </w:r>
          </w:p>
        </w:tc>
        <w:tc>
          <w:tcPr>
            <w:tcW w:w="580" w:type="dxa"/>
            <w:gridSpan w:val="2"/>
            <w:vAlign w:val="bottom"/>
          </w:tcPr>
          <w:p w14:paraId="4687BA61" w14:textId="77777777" w:rsidR="00D1587D" w:rsidRDefault="00410D07">
            <w:pPr>
              <w:ind w:left="20"/>
              <w:rPr>
                <w:sz w:val="20"/>
                <w:szCs w:val="20"/>
              </w:rPr>
            </w:pPr>
            <w:r>
              <w:rPr>
                <w:rFonts w:ascii="Arial" w:eastAsia="Arial" w:hAnsi="Arial" w:cs="Arial"/>
                <w:b/>
                <w:bCs/>
                <w:sz w:val="14"/>
                <w:szCs w:val="14"/>
              </w:rPr>
              <w:t>Assets</w:t>
            </w:r>
          </w:p>
        </w:tc>
        <w:tc>
          <w:tcPr>
            <w:tcW w:w="780" w:type="dxa"/>
            <w:gridSpan w:val="3"/>
            <w:vAlign w:val="bottom"/>
          </w:tcPr>
          <w:p w14:paraId="6005F201" w14:textId="77777777" w:rsidR="00D1587D" w:rsidRDefault="00410D07">
            <w:pPr>
              <w:rPr>
                <w:sz w:val="20"/>
                <w:szCs w:val="20"/>
              </w:rPr>
            </w:pPr>
            <w:r>
              <w:rPr>
                <w:rFonts w:ascii="Arial" w:eastAsia="Arial" w:hAnsi="Arial" w:cs="Arial"/>
                <w:b/>
                <w:bCs/>
                <w:sz w:val="14"/>
                <w:szCs w:val="14"/>
              </w:rPr>
              <w:t>Liabilities</w:t>
            </w:r>
          </w:p>
        </w:tc>
        <w:tc>
          <w:tcPr>
            <w:tcW w:w="500" w:type="dxa"/>
            <w:gridSpan w:val="2"/>
            <w:vAlign w:val="bottom"/>
          </w:tcPr>
          <w:p w14:paraId="5F21F73D" w14:textId="77777777" w:rsidR="00D1587D" w:rsidRDefault="00410D07">
            <w:pPr>
              <w:jc w:val="right"/>
              <w:rPr>
                <w:sz w:val="20"/>
                <w:szCs w:val="20"/>
              </w:rPr>
            </w:pPr>
            <w:r>
              <w:rPr>
                <w:rFonts w:ascii="Arial" w:eastAsia="Arial" w:hAnsi="Arial" w:cs="Arial"/>
                <w:b/>
                <w:bCs/>
                <w:sz w:val="14"/>
                <w:szCs w:val="14"/>
              </w:rPr>
              <w:t>Total</w:t>
            </w:r>
          </w:p>
        </w:tc>
      </w:tr>
      <w:tr w:rsidR="00D1587D" w14:paraId="3ECB41F2" w14:textId="77777777">
        <w:trPr>
          <w:trHeight w:val="53"/>
        </w:trPr>
        <w:tc>
          <w:tcPr>
            <w:tcW w:w="4400" w:type="dxa"/>
            <w:vAlign w:val="bottom"/>
          </w:tcPr>
          <w:p w14:paraId="4605CCAD" w14:textId="77777777" w:rsidR="00D1587D" w:rsidRDefault="00D1587D">
            <w:pPr>
              <w:rPr>
                <w:sz w:val="4"/>
                <w:szCs w:val="4"/>
              </w:rPr>
            </w:pPr>
          </w:p>
        </w:tc>
        <w:tc>
          <w:tcPr>
            <w:tcW w:w="80" w:type="dxa"/>
            <w:vAlign w:val="bottom"/>
          </w:tcPr>
          <w:p w14:paraId="6789F1E5" w14:textId="77777777" w:rsidR="00D1587D" w:rsidRDefault="00D1587D">
            <w:pPr>
              <w:rPr>
                <w:sz w:val="4"/>
                <w:szCs w:val="4"/>
              </w:rPr>
            </w:pPr>
          </w:p>
        </w:tc>
        <w:tc>
          <w:tcPr>
            <w:tcW w:w="480" w:type="dxa"/>
            <w:tcBorders>
              <w:bottom w:val="single" w:sz="8" w:space="0" w:color="auto"/>
            </w:tcBorders>
            <w:vAlign w:val="bottom"/>
          </w:tcPr>
          <w:p w14:paraId="3211D15B" w14:textId="77777777" w:rsidR="00D1587D" w:rsidRDefault="00D1587D">
            <w:pPr>
              <w:rPr>
                <w:sz w:val="4"/>
                <w:szCs w:val="4"/>
              </w:rPr>
            </w:pPr>
          </w:p>
        </w:tc>
        <w:tc>
          <w:tcPr>
            <w:tcW w:w="160" w:type="dxa"/>
            <w:tcBorders>
              <w:bottom w:val="single" w:sz="8" w:space="0" w:color="auto"/>
            </w:tcBorders>
            <w:vAlign w:val="bottom"/>
          </w:tcPr>
          <w:p w14:paraId="709970DD" w14:textId="77777777" w:rsidR="00D1587D" w:rsidRDefault="00D1587D">
            <w:pPr>
              <w:rPr>
                <w:sz w:val="4"/>
                <w:szCs w:val="4"/>
              </w:rPr>
            </w:pPr>
          </w:p>
        </w:tc>
        <w:tc>
          <w:tcPr>
            <w:tcW w:w="240" w:type="dxa"/>
            <w:tcBorders>
              <w:bottom w:val="single" w:sz="8" w:space="0" w:color="auto"/>
            </w:tcBorders>
            <w:vAlign w:val="bottom"/>
          </w:tcPr>
          <w:p w14:paraId="498BC233" w14:textId="77777777" w:rsidR="00D1587D" w:rsidRDefault="00D1587D">
            <w:pPr>
              <w:rPr>
                <w:sz w:val="4"/>
                <w:szCs w:val="4"/>
              </w:rPr>
            </w:pPr>
          </w:p>
        </w:tc>
        <w:tc>
          <w:tcPr>
            <w:tcW w:w="380" w:type="dxa"/>
            <w:tcBorders>
              <w:bottom w:val="single" w:sz="8" w:space="0" w:color="auto"/>
            </w:tcBorders>
            <w:vAlign w:val="bottom"/>
          </w:tcPr>
          <w:p w14:paraId="11A5F85F" w14:textId="77777777" w:rsidR="00D1587D" w:rsidRDefault="00D1587D">
            <w:pPr>
              <w:rPr>
                <w:sz w:val="4"/>
                <w:szCs w:val="4"/>
              </w:rPr>
            </w:pPr>
          </w:p>
        </w:tc>
        <w:tc>
          <w:tcPr>
            <w:tcW w:w="160" w:type="dxa"/>
            <w:tcBorders>
              <w:bottom w:val="single" w:sz="8" w:space="0" w:color="auto"/>
            </w:tcBorders>
            <w:vAlign w:val="bottom"/>
          </w:tcPr>
          <w:p w14:paraId="2735FFD2" w14:textId="77777777" w:rsidR="00D1587D" w:rsidRDefault="00D1587D">
            <w:pPr>
              <w:rPr>
                <w:sz w:val="4"/>
                <w:szCs w:val="4"/>
              </w:rPr>
            </w:pPr>
          </w:p>
        </w:tc>
        <w:tc>
          <w:tcPr>
            <w:tcW w:w="120" w:type="dxa"/>
            <w:tcBorders>
              <w:bottom w:val="single" w:sz="8" w:space="0" w:color="auto"/>
            </w:tcBorders>
            <w:vAlign w:val="bottom"/>
          </w:tcPr>
          <w:p w14:paraId="5DA3F4AD" w14:textId="77777777" w:rsidR="00D1587D" w:rsidRDefault="00D1587D">
            <w:pPr>
              <w:rPr>
                <w:sz w:val="4"/>
                <w:szCs w:val="4"/>
              </w:rPr>
            </w:pPr>
          </w:p>
        </w:tc>
        <w:tc>
          <w:tcPr>
            <w:tcW w:w="1120" w:type="dxa"/>
            <w:gridSpan w:val="4"/>
            <w:tcBorders>
              <w:bottom w:val="single" w:sz="8" w:space="0" w:color="auto"/>
            </w:tcBorders>
            <w:vAlign w:val="bottom"/>
          </w:tcPr>
          <w:p w14:paraId="75EE856F" w14:textId="77777777" w:rsidR="00D1587D" w:rsidRDefault="00D1587D">
            <w:pPr>
              <w:rPr>
                <w:sz w:val="4"/>
                <w:szCs w:val="4"/>
              </w:rPr>
            </w:pPr>
          </w:p>
        </w:tc>
        <w:tc>
          <w:tcPr>
            <w:tcW w:w="240" w:type="dxa"/>
            <w:tcBorders>
              <w:bottom w:val="single" w:sz="8" w:space="0" w:color="auto"/>
            </w:tcBorders>
            <w:vAlign w:val="bottom"/>
          </w:tcPr>
          <w:p w14:paraId="5A81E570" w14:textId="77777777" w:rsidR="00D1587D" w:rsidRDefault="00D1587D">
            <w:pPr>
              <w:rPr>
                <w:sz w:val="4"/>
                <w:szCs w:val="4"/>
              </w:rPr>
            </w:pPr>
          </w:p>
        </w:tc>
        <w:tc>
          <w:tcPr>
            <w:tcW w:w="380" w:type="dxa"/>
            <w:tcBorders>
              <w:bottom w:val="single" w:sz="8" w:space="0" w:color="auto"/>
            </w:tcBorders>
            <w:vAlign w:val="bottom"/>
          </w:tcPr>
          <w:p w14:paraId="444BEC1A" w14:textId="77777777" w:rsidR="00D1587D" w:rsidRDefault="00D1587D">
            <w:pPr>
              <w:rPr>
                <w:sz w:val="4"/>
                <w:szCs w:val="4"/>
              </w:rPr>
            </w:pPr>
          </w:p>
        </w:tc>
        <w:tc>
          <w:tcPr>
            <w:tcW w:w="160" w:type="dxa"/>
            <w:tcBorders>
              <w:bottom w:val="single" w:sz="8" w:space="0" w:color="auto"/>
            </w:tcBorders>
            <w:vAlign w:val="bottom"/>
          </w:tcPr>
          <w:p w14:paraId="2FAD894C" w14:textId="77777777" w:rsidR="00D1587D" w:rsidRDefault="00D1587D">
            <w:pPr>
              <w:rPr>
                <w:sz w:val="4"/>
                <w:szCs w:val="4"/>
              </w:rPr>
            </w:pPr>
          </w:p>
        </w:tc>
        <w:tc>
          <w:tcPr>
            <w:tcW w:w="140" w:type="dxa"/>
            <w:tcBorders>
              <w:bottom w:val="single" w:sz="8" w:space="0" w:color="auto"/>
            </w:tcBorders>
            <w:vAlign w:val="bottom"/>
          </w:tcPr>
          <w:p w14:paraId="2F78F902" w14:textId="77777777" w:rsidR="00D1587D" w:rsidRDefault="00D1587D">
            <w:pPr>
              <w:rPr>
                <w:sz w:val="4"/>
                <w:szCs w:val="4"/>
              </w:rPr>
            </w:pPr>
          </w:p>
        </w:tc>
        <w:tc>
          <w:tcPr>
            <w:tcW w:w="360" w:type="dxa"/>
            <w:tcBorders>
              <w:bottom w:val="single" w:sz="8" w:space="0" w:color="auto"/>
            </w:tcBorders>
            <w:vAlign w:val="bottom"/>
          </w:tcPr>
          <w:p w14:paraId="4EF597BE" w14:textId="77777777" w:rsidR="00D1587D" w:rsidRDefault="00D1587D">
            <w:pPr>
              <w:rPr>
                <w:sz w:val="4"/>
                <w:szCs w:val="4"/>
              </w:rPr>
            </w:pPr>
          </w:p>
        </w:tc>
      </w:tr>
      <w:tr w:rsidR="00D1587D" w14:paraId="3ED6B296" w14:textId="77777777">
        <w:trPr>
          <w:trHeight w:val="224"/>
        </w:trPr>
        <w:tc>
          <w:tcPr>
            <w:tcW w:w="4400" w:type="dxa"/>
            <w:vAlign w:val="bottom"/>
          </w:tcPr>
          <w:p w14:paraId="16ADA64D" w14:textId="77777777" w:rsidR="00D1587D" w:rsidRDefault="00D1587D">
            <w:pPr>
              <w:rPr>
                <w:sz w:val="19"/>
                <w:szCs w:val="19"/>
              </w:rPr>
            </w:pPr>
          </w:p>
        </w:tc>
        <w:tc>
          <w:tcPr>
            <w:tcW w:w="80" w:type="dxa"/>
            <w:vAlign w:val="bottom"/>
          </w:tcPr>
          <w:p w14:paraId="1ED19318" w14:textId="77777777" w:rsidR="00D1587D" w:rsidRDefault="00D1587D">
            <w:pPr>
              <w:rPr>
                <w:sz w:val="19"/>
                <w:szCs w:val="19"/>
              </w:rPr>
            </w:pPr>
          </w:p>
        </w:tc>
        <w:tc>
          <w:tcPr>
            <w:tcW w:w="480" w:type="dxa"/>
            <w:vAlign w:val="bottom"/>
          </w:tcPr>
          <w:p w14:paraId="6904BF41" w14:textId="77777777" w:rsidR="00D1587D" w:rsidRDefault="00D1587D">
            <w:pPr>
              <w:rPr>
                <w:sz w:val="19"/>
                <w:szCs w:val="19"/>
              </w:rPr>
            </w:pPr>
          </w:p>
        </w:tc>
        <w:tc>
          <w:tcPr>
            <w:tcW w:w="160" w:type="dxa"/>
            <w:vAlign w:val="bottom"/>
          </w:tcPr>
          <w:p w14:paraId="762A2203" w14:textId="77777777" w:rsidR="00D1587D" w:rsidRDefault="00D1587D">
            <w:pPr>
              <w:rPr>
                <w:sz w:val="19"/>
                <w:szCs w:val="19"/>
              </w:rPr>
            </w:pPr>
          </w:p>
        </w:tc>
        <w:tc>
          <w:tcPr>
            <w:tcW w:w="240" w:type="dxa"/>
            <w:vAlign w:val="bottom"/>
          </w:tcPr>
          <w:p w14:paraId="4967C187" w14:textId="77777777" w:rsidR="00D1587D" w:rsidRDefault="00D1587D">
            <w:pPr>
              <w:rPr>
                <w:sz w:val="19"/>
                <w:szCs w:val="19"/>
              </w:rPr>
            </w:pPr>
          </w:p>
        </w:tc>
        <w:tc>
          <w:tcPr>
            <w:tcW w:w="380" w:type="dxa"/>
            <w:vAlign w:val="bottom"/>
          </w:tcPr>
          <w:p w14:paraId="2C783C60" w14:textId="77777777" w:rsidR="00D1587D" w:rsidRDefault="00D1587D">
            <w:pPr>
              <w:rPr>
                <w:sz w:val="19"/>
                <w:szCs w:val="19"/>
              </w:rPr>
            </w:pPr>
          </w:p>
        </w:tc>
        <w:tc>
          <w:tcPr>
            <w:tcW w:w="160" w:type="dxa"/>
            <w:vAlign w:val="bottom"/>
          </w:tcPr>
          <w:p w14:paraId="1BB0EAAC" w14:textId="77777777" w:rsidR="00D1587D" w:rsidRDefault="00D1587D">
            <w:pPr>
              <w:rPr>
                <w:sz w:val="19"/>
                <w:szCs w:val="19"/>
              </w:rPr>
            </w:pPr>
          </w:p>
        </w:tc>
        <w:tc>
          <w:tcPr>
            <w:tcW w:w="120" w:type="dxa"/>
            <w:vAlign w:val="bottom"/>
          </w:tcPr>
          <w:p w14:paraId="6D277A02" w14:textId="77777777" w:rsidR="00D1587D" w:rsidRDefault="00D1587D">
            <w:pPr>
              <w:rPr>
                <w:sz w:val="19"/>
                <w:szCs w:val="19"/>
              </w:rPr>
            </w:pPr>
          </w:p>
        </w:tc>
        <w:tc>
          <w:tcPr>
            <w:tcW w:w="1120" w:type="dxa"/>
            <w:gridSpan w:val="4"/>
            <w:vAlign w:val="bottom"/>
          </w:tcPr>
          <w:p w14:paraId="1E80A167" w14:textId="77777777" w:rsidR="00D1587D" w:rsidRDefault="00410D07">
            <w:pPr>
              <w:ind w:left="60"/>
              <w:rPr>
                <w:sz w:val="20"/>
                <w:szCs w:val="20"/>
              </w:rPr>
            </w:pPr>
            <w:r>
              <w:rPr>
                <w:rFonts w:ascii="Arial" w:eastAsia="Arial" w:hAnsi="Arial" w:cs="Arial"/>
                <w:b/>
                <w:bCs/>
                <w:sz w:val="14"/>
                <w:szCs w:val="14"/>
              </w:rPr>
              <w:t xml:space="preserve">(in </w:t>
            </w:r>
            <w:r>
              <w:rPr>
                <w:rFonts w:ascii="Arial" w:eastAsia="Arial" w:hAnsi="Arial" w:cs="Arial"/>
                <w:b/>
                <w:bCs/>
                <w:sz w:val="14"/>
                <w:szCs w:val="14"/>
              </w:rPr>
              <w:t>millions)</w:t>
            </w:r>
          </w:p>
        </w:tc>
        <w:tc>
          <w:tcPr>
            <w:tcW w:w="240" w:type="dxa"/>
            <w:vAlign w:val="bottom"/>
          </w:tcPr>
          <w:p w14:paraId="47BCBDDD" w14:textId="77777777" w:rsidR="00D1587D" w:rsidRDefault="00D1587D">
            <w:pPr>
              <w:rPr>
                <w:sz w:val="19"/>
                <w:szCs w:val="19"/>
              </w:rPr>
            </w:pPr>
          </w:p>
        </w:tc>
        <w:tc>
          <w:tcPr>
            <w:tcW w:w="380" w:type="dxa"/>
            <w:vAlign w:val="bottom"/>
          </w:tcPr>
          <w:p w14:paraId="2ECCB222" w14:textId="77777777" w:rsidR="00D1587D" w:rsidRDefault="00D1587D">
            <w:pPr>
              <w:rPr>
                <w:sz w:val="19"/>
                <w:szCs w:val="19"/>
              </w:rPr>
            </w:pPr>
          </w:p>
        </w:tc>
        <w:tc>
          <w:tcPr>
            <w:tcW w:w="160" w:type="dxa"/>
            <w:vAlign w:val="bottom"/>
          </w:tcPr>
          <w:p w14:paraId="7DDA9CF0" w14:textId="77777777" w:rsidR="00D1587D" w:rsidRDefault="00D1587D">
            <w:pPr>
              <w:rPr>
                <w:sz w:val="19"/>
                <w:szCs w:val="19"/>
              </w:rPr>
            </w:pPr>
          </w:p>
        </w:tc>
        <w:tc>
          <w:tcPr>
            <w:tcW w:w="140" w:type="dxa"/>
            <w:vAlign w:val="bottom"/>
          </w:tcPr>
          <w:p w14:paraId="46C3942E" w14:textId="77777777" w:rsidR="00D1587D" w:rsidRDefault="00D1587D">
            <w:pPr>
              <w:rPr>
                <w:sz w:val="19"/>
                <w:szCs w:val="19"/>
              </w:rPr>
            </w:pPr>
          </w:p>
        </w:tc>
        <w:tc>
          <w:tcPr>
            <w:tcW w:w="360" w:type="dxa"/>
            <w:vAlign w:val="bottom"/>
          </w:tcPr>
          <w:p w14:paraId="58187F41" w14:textId="77777777" w:rsidR="00D1587D" w:rsidRDefault="00D1587D">
            <w:pPr>
              <w:rPr>
                <w:sz w:val="19"/>
                <w:szCs w:val="19"/>
              </w:rPr>
            </w:pPr>
          </w:p>
        </w:tc>
      </w:tr>
      <w:tr w:rsidR="00D1587D" w14:paraId="0B8A9822" w14:textId="77777777">
        <w:trPr>
          <w:trHeight w:val="53"/>
        </w:trPr>
        <w:tc>
          <w:tcPr>
            <w:tcW w:w="4400" w:type="dxa"/>
            <w:vAlign w:val="bottom"/>
          </w:tcPr>
          <w:p w14:paraId="4D8DF364" w14:textId="77777777" w:rsidR="00D1587D" w:rsidRDefault="00D1587D">
            <w:pPr>
              <w:rPr>
                <w:sz w:val="4"/>
                <w:szCs w:val="4"/>
              </w:rPr>
            </w:pPr>
          </w:p>
        </w:tc>
        <w:tc>
          <w:tcPr>
            <w:tcW w:w="80" w:type="dxa"/>
            <w:vAlign w:val="bottom"/>
          </w:tcPr>
          <w:p w14:paraId="59BF276E" w14:textId="77777777" w:rsidR="00D1587D" w:rsidRDefault="00D1587D">
            <w:pPr>
              <w:rPr>
                <w:sz w:val="4"/>
                <w:szCs w:val="4"/>
              </w:rPr>
            </w:pPr>
          </w:p>
        </w:tc>
        <w:tc>
          <w:tcPr>
            <w:tcW w:w="480" w:type="dxa"/>
            <w:vAlign w:val="bottom"/>
          </w:tcPr>
          <w:p w14:paraId="15589A94" w14:textId="77777777" w:rsidR="00D1587D" w:rsidRDefault="00D1587D">
            <w:pPr>
              <w:rPr>
                <w:sz w:val="4"/>
                <w:szCs w:val="4"/>
              </w:rPr>
            </w:pPr>
          </w:p>
        </w:tc>
        <w:tc>
          <w:tcPr>
            <w:tcW w:w="160" w:type="dxa"/>
            <w:vAlign w:val="bottom"/>
          </w:tcPr>
          <w:p w14:paraId="032EDDA9" w14:textId="77777777" w:rsidR="00D1587D" w:rsidRDefault="00D1587D">
            <w:pPr>
              <w:rPr>
                <w:sz w:val="4"/>
                <w:szCs w:val="4"/>
              </w:rPr>
            </w:pPr>
          </w:p>
        </w:tc>
        <w:tc>
          <w:tcPr>
            <w:tcW w:w="240" w:type="dxa"/>
            <w:vAlign w:val="bottom"/>
          </w:tcPr>
          <w:p w14:paraId="37FA5138" w14:textId="77777777" w:rsidR="00D1587D" w:rsidRDefault="00D1587D">
            <w:pPr>
              <w:rPr>
                <w:sz w:val="4"/>
                <w:szCs w:val="4"/>
              </w:rPr>
            </w:pPr>
          </w:p>
        </w:tc>
        <w:tc>
          <w:tcPr>
            <w:tcW w:w="380" w:type="dxa"/>
            <w:vAlign w:val="bottom"/>
          </w:tcPr>
          <w:p w14:paraId="190AAD5C" w14:textId="77777777" w:rsidR="00D1587D" w:rsidRDefault="00D1587D">
            <w:pPr>
              <w:rPr>
                <w:sz w:val="4"/>
                <w:szCs w:val="4"/>
              </w:rPr>
            </w:pPr>
          </w:p>
        </w:tc>
        <w:tc>
          <w:tcPr>
            <w:tcW w:w="160" w:type="dxa"/>
            <w:vAlign w:val="bottom"/>
          </w:tcPr>
          <w:p w14:paraId="49A96F00" w14:textId="77777777" w:rsidR="00D1587D" w:rsidRDefault="00D1587D">
            <w:pPr>
              <w:rPr>
                <w:sz w:val="4"/>
                <w:szCs w:val="4"/>
              </w:rPr>
            </w:pPr>
          </w:p>
        </w:tc>
        <w:tc>
          <w:tcPr>
            <w:tcW w:w="120" w:type="dxa"/>
            <w:vAlign w:val="bottom"/>
          </w:tcPr>
          <w:p w14:paraId="04141EE8" w14:textId="77777777" w:rsidR="00D1587D" w:rsidRDefault="00D1587D">
            <w:pPr>
              <w:rPr>
                <w:sz w:val="4"/>
                <w:szCs w:val="4"/>
              </w:rPr>
            </w:pPr>
          </w:p>
        </w:tc>
        <w:tc>
          <w:tcPr>
            <w:tcW w:w="380" w:type="dxa"/>
            <w:vAlign w:val="bottom"/>
          </w:tcPr>
          <w:p w14:paraId="12F25DD6" w14:textId="77777777" w:rsidR="00D1587D" w:rsidRDefault="00D1587D">
            <w:pPr>
              <w:rPr>
                <w:sz w:val="4"/>
                <w:szCs w:val="4"/>
              </w:rPr>
            </w:pPr>
          </w:p>
        </w:tc>
        <w:tc>
          <w:tcPr>
            <w:tcW w:w="160" w:type="dxa"/>
            <w:vAlign w:val="bottom"/>
          </w:tcPr>
          <w:p w14:paraId="77068D04" w14:textId="77777777" w:rsidR="00D1587D" w:rsidRDefault="00D1587D">
            <w:pPr>
              <w:rPr>
                <w:sz w:val="4"/>
                <w:szCs w:val="4"/>
              </w:rPr>
            </w:pPr>
          </w:p>
        </w:tc>
        <w:tc>
          <w:tcPr>
            <w:tcW w:w="420" w:type="dxa"/>
            <w:vAlign w:val="bottom"/>
          </w:tcPr>
          <w:p w14:paraId="515CCE16" w14:textId="77777777" w:rsidR="00D1587D" w:rsidRDefault="00D1587D">
            <w:pPr>
              <w:rPr>
                <w:sz w:val="4"/>
                <w:szCs w:val="4"/>
              </w:rPr>
            </w:pPr>
          </w:p>
        </w:tc>
        <w:tc>
          <w:tcPr>
            <w:tcW w:w="160" w:type="dxa"/>
            <w:vAlign w:val="bottom"/>
          </w:tcPr>
          <w:p w14:paraId="705AF0BD" w14:textId="77777777" w:rsidR="00D1587D" w:rsidRDefault="00D1587D">
            <w:pPr>
              <w:rPr>
                <w:sz w:val="4"/>
                <w:szCs w:val="4"/>
              </w:rPr>
            </w:pPr>
          </w:p>
        </w:tc>
        <w:tc>
          <w:tcPr>
            <w:tcW w:w="240" w:type="dxa"/>
            <w:vAlign w:val="bottom"/>
          </w:tcPr>
          <w:p w14:paraId="6BD27F30" w14:textId="77777777" w:rsidR="00D1587D" w:rsidRDefault="00D1587D">
            <w:pPr>
              <w:rPr>
                <w:sz w:val="4"/>
                <w:szCs w:val="4"/>
              </w:rPr>
            </w:pPr>
          </w:p>
        </w:tc>
        <w:tc>
          <w:tcPr>
            <w:tcW w:w="380" w:type="dxa"/>
            <w:vAlign w:val="bottom"/>
          </w:tcPr>
          <w:p w14:paraId="05665073" w14:textId="77777777" w:rsidR="00D1587D" w:rsidRDefault="00D1587D">
            <w:pPr>
              <w:rPr>
                <w:sz w:val="4"/>
                <w:szCs w:val="4"/>
              </w:rPr>
            </w:pPr>
          </w:p>
        </w:tc>
        <w:tc>
          <w:tcPr>
            <w:tcW w:w="160" w:type="dxa"/>
            <w:vAlign w:val="bottom"/>
          </w:tcPr>
          <w:p w14:paraId="4128F091" w14:textId="77777777" w:rsidR="00D1587D" w:rsidRDefault="00D1587D">
            <w:pPr>
              <w:rPr>
                <w:sz w:val="4"/>
                <w:szCs w:val="4"/>
              </w:rPr>
            </w:pPr>
          </w:p>
        </w:tc>
        <w:tc>
          <w:tcPr>
            <w:tcW w:w="140" w:type="dxa"/>
            <w:vAlign w:val="bottom"/>
          </w:tcPr>
          <w:p w14:paraId="5AA1CBA2" w14:textId="77777777" w:rsidR="00D1587D" w:rsidRDefault="00D1587D">
            <w:pPr>
              <w:rPr>
                <w:sz w:val="4"/>
                <w:szCs w:val="4"/>
              </w:rPr>
            </w:pPr>
          </w:p>
        </w:tc>
        <w:tc>
          <w:tcPr>
            <w:tcW w:w="360" w:type="dxa"/>
            <w:vAlign w:val="bottom"/>
          </w:tcPr>
          <w:p w14:paraId="0C0DE158" w14:textId="77777777" w:rsidR="00D1587D" w:rsidRDefault="00D1587D">
            <w:pPr>
              <w:rPr>
                <w:sz w:val="4"/>
                <w:szCs w:val="4"/>
              </w:rPr>
            </w:pPr>
          </w:p>
        </w:tc>
      </w:tr>
      <w:tr w:rsidR="00D1587D" w14:paraId="752353C4" w14:textId="77777777">
        <w:trPr>
          <w:trHeight w:val="318"/>
        </w:trPr>
        <w:tc>
          <w:tcPr>
            <w:tcW w:w="4480" w:type="dxa"/>
            <w:gridSpan w:val="2"/>
            <w:tcBorders>
              <w:bottom w:val="single" w:sz="8" w:space="0" w:color="CCEEFF"/>
            </w:tcBorders>
            <w:shd w:val="clear" w:color="auto" w:fill="CCEEFF"/>
            <w:vAlign w:val="bottom"/>
          </w:tcPr>
          <w:p w14:paraId="5EFAF571" w14:textId="77777777" w:rsidR="00D1587D" w:rsidRDefault="00410D07">
            <w:pPr>
              <w:rPr>
                <w:sz w:val="20"/>
                <w:szCs w:val="20"/>
              </w:rPr>
            </w:pPr>
            <w:r>
              <w:rPr>
                <w:rFonts w:ascii="Arial" w:eastAsia="Arial" w:hAnsi="Arial" w:cs="Arial"/>
                <w:sz w:val="18"/>
                <w:szCs w:val="18"/>
              </w:rPr>
              <w:t>Loss Carryforwards</w:t>
            </w:r>
          </w:p>
        </w:tc>
        <w:tc>
          <w:tcPr>
            <w:tcW w:w="480" w:type="dxa"/>
            <w:tcBorders>
              <w:bottom w:val="single" w:sz="8" w:space="0" w:color="CCEEFF"/>
            </w:tcBorders>
            <w:shd w:val="clear" w:color="auto" w:fill="CCEEFF"/>
            <w:vAlign w:val="bottom"/>
          </w:tcPr>
          <w:p w14:paraId="5CA6C684" w14:textId="77777777" w:rsidR="00D1587D" w:rsidRDefault="00410D07">
            <w:pPr>
              <w:jc w:val="right"/>
              <w:rPr>
                <w:sz w:val="20"/>
                <w:szCs w:val="20"/>
              </w:rPr>
            </w:pPr>
            <w:r>
              <w:rPr>
                <w:rFonts w:ascii="Arial" w:eastAsia="Arial" w:hAnsi="Arial" w:cs="Arial"/>
                <w:w w:val="84"/>
                <w:sz w:val="18"/>
                <w:szCs w:val="18"/>
              </w:rPr>
              <w:t>$ 346</w:t>
            </w:r>
          </w:p>
        </w:tc>
        <w:tc>
          <w:tcPr>
            <w:tcW w:w="160" w:type="dxa"/>
            <w:tcBorders>
              <w:bottom w:val="single" w:sz="8" w:space="0" w:color="CCEEFF"/>
            </w:tcBorders>
            <w:shd w:val="clear" w:color="auto" w:fill="CCEEFF"/>
            <w:vAlign w:val="bottom"/>
          </w:tcPr>
          <w:p w14:paraId="051AA753" w14:textId="77777777" w:rsidR="00D1587D" w:rsidRDefault="00D1587D">
            <w:pPr>
              <w:rPr>
                <w:sz w:val="24"/>
                <w:szCs w:val="24"/>
              </w:rPr>
            </w:pPr>
          </w:p>
        </w:tc>
        <w:tc>
          <w:tcPr>
            <w:tcW w:w="240" w:type="dxa"/>
            <w:tcBorders>
              <w:bottom w:val="single" w:sz="8" w:space="0" w:color="CCEEFF"/>
            </w:tcBorders>
            <w:shd w:val="clear" w:color="auto" w:fill="CCEEFF"/>
            <w:vAlign w:val="bottom"/>
          </w:tcPr>
          <w:p w14:paraId="6A91C7CF" w14:textId="77777777" w:rsidR="00D1587D" w:rsidRDefault="00410D07">
            <w:pPr>
              <w:jc w:val="right"/>
              <w:rPr>
                <w:sz w:val="20"/>
                <w:szCs w:val="20"/>
              </w:rPr>
            </w:pPr>
            <w:r>
              <w:rPr>
                <w:rFonts w:ascii="Arial" w:eastAsia="Arial" w:hAnsi="Arial" w:cs="Arial"/>
                <w:sz w:val="18"/>
                <w:szCs w:val="18"/>
              </w:rPr>
              <w:t>$</w:t>
            </w:r>
          </w:p>
        </w:tc>
        <w:tc>
          <w:tcPr>
            <w:tcW w:w="540" w:type="dxa"/>
            <w:gridSpan w:val="2"/>
            <w:tcBorders>
              <w:bottom w:val="single" w:sz="8" w:space="0" w:color="CCEEFF"/>
            </w:tcBorders>
            <w:shd w:val="clear" w:color="auto" w:fill="CCEEFF"/>
            <w:vAlign w:val="bottom"/>
          </w:tcPr>
          <w:p w14:paraId="75AB33ED" w14:textId="77777777" w:rsidR="00D1587D" w:rsidRDefault="00410D07">
            <w:pPr>
              <w:ind w:right="26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43F4023C" w14:textId="77777777" w:rsidR="00D1587D" w:rsidRDefault="00410D07">
            <w:pPr>
              <w:jc w:val="right"/>
              <w:rPr>
                <w:sz w:val="20"/>
                <w:szCs w:val="20"/>
              </w:rPr>
            </w:pPr>
            <w:r>
              <w:rPr>
                <w:rFonts w:ascii="Arial" w:eastAsia="Arial" w:hAnsi="Arial" w:cs="Arial"/>
                <w:w w:val="79"/>
                <w:sz w:val="18"/>
                <w:szCs w:val="18"/>
              </w:rPr>
              <w:t>$</w:t>
            </w:r>
          </w:p>
        </w:tc>
        <w:tc>
          <w:tcPr>
            <w:tcW w:w="380" w:type="dxa"/>
            <w:tcBorders>
              <w:bottom w:val="single" w:sz="8" w:space="0" w:color="CCEEFF"/>
            </w:tcBorders>
            <w:shd w:val="clear" w:color="auto" w:fill="CCEEFF"/>
            <w:vAlign w:val="bottom"/>
          </w:tcPr>
          <w:p w14:paraId="03068A72" w14:textId="77777777" w:rsidR="00D1587D" w:rsidRDefault="00410D07">
            <w:pPr>
              <w:jc w:val="right"/>
              <w:rPr>
                <w:sz w:val="20"/>
                <w:szCs w:val="20"/>
              </w:rPr>
            </w:pPr>
            <w:r>
              <w:rPr>
                <w:rFonts w:ascii="Arial" w:eastAsia="Arial" w:hAnsi="Arial" w:cs="Arial"/>
                <w:w w:val="93"/>
                <w:sz w:val="18"/>
                <w:szCs w:val="18"/>
              </w:rPr>
              <w:t>346</w:t>
            </w:r>
          </w:p>
        </w:tc>
        <w:tc>
          <w:tcPr>
            <w:tcW w:w="160" w:type="dxa"/>
            <w:tcBorders>
              <w:bottom w:val="single" w:sz="8" w:space="0" w:color="CCEEFF"/>
            </w:tcBorders>
            <w:shd w:val="clear" w:color="auto" w:fill="CCEEFF"/>
            <w:vAlign w:val="bottom"/>
          </w:tcPr>
          <w:p w14:paraId="2CF9F84E" w14:textId="77777777" w:rsidR="00D1587D" w:rsidRDefault="00D1587D">
            <w:pPr>
              <w:rPr>
                <w:sz w:val="24"/>
                <w:szCs w:val="24"/>
              </w:rPr>
            </w:pPr>
          </w:p>
        </w:tc>
        <w:tc>
          <w:tcPr>
            <w:tcW w:w="420" w:type="dxa"/>
            <w:tcBorders>
              <w:bottom w:val="single" w:sz="8" w:space="0" w:color="CCEEFF"/>
            </w:tcBorders>
            <w:shd w:val="clear" w:color="auto" w:fill="CCEEFF"/>
            <w:vAlign w:val="bottom"/>
          </w:tcPr>
          <w:p w14:paraId="0CB7875B" w14:textId="77777777" w:rsidR="00D1587D" w:rsidRDefault="00410D07">
            <w:pPr>
              <w:jc w:val="right"/>
              <w:rPr>
                <w:sz w:val="20"/>
                <w:szCs w:val="20"/>
              </w:rPr>
            </w:pPr>
            <w:r>
              <w:rPr>
                <w:rFonts w:ascii="Arial" w:eastAsia="Arial" w:hAnsi="Arial" w:cs="Arial"/>
                <w:w w:val="96"/>
                <w:sz w:val="18"/>
                <w:szCs w:val="18"/>
              </w:rPr>
              <w:t>$ 83</w:t>
            </w:r>
          </w:p>
        </w:tc>
        <w:tc>
          <w:tcPr>
            <w:tcW w:w="160" w:type="dxa"/>
            <w:tcBorders>
              <w:bottom w:val="single" w:sz="8" w:space="0" w:color="CCEEFF"/>
            </w:tcBorders>
            <w:shd w:val="clear" w:color="auto" w:fill="CCEEFF"/>
            <w:vAlign w:val="bottom"/>
          </w:tcPr>
          <w:p w14:paraId="77D06F51" w14:textId="77777777" w:rsidR="00D1587D" w:rsidRDefault="00D1587D">
            <w:pPr>
              <w:rPr>
                <w:sz w:val="24"/>
                <w:szCs w:val="24"/>
              </w:rPr>
            </w:pPr>
          </w:p>
        </w:tc>
        <w:tc>
          <w:tcPr>
            <w:tcW w:w="240" w:type="dxa"/>
            <w:tcBorders>
              <w:bottom w:val="single" w:sz="8" w:space="0" w:color="CCEEFF"/>
            </w:tcBorders>
            <w:shd w:val="clear" w:color="auto" w:fill="CCEEFF"/>
            <w:vAlign w:val="bottom"/>
          </w:tcPr>
          <w:p w14:paraId="124B7EA6" w14:textId="77777777" w:rsidR="00D1587D" w:rsidRDefault="00410D07">
            <w:pPr>
              <w:jc w:val="right"/>
              <w:rPr>
                <w:sz w:val="20"/>
                <w:szCs w:val="20"/>
              </w:rPr>
            </w:pPr>
            <w:r>
              <w:rPr>
                <w:rFonts w:ascii="Arial" w:eastAsia="Arial" w:hAnsi="Arial" w:cs="Arial"/>
                <w:sz w:val="18"/>
                <w:szCs w:val="18"/>
              </w:rPr>
              <w:t>$</w:t>
            </w:r>
          </w:p>
        </w:tc>
        <w:tc>
          <w:tcPr>
            <w:tcW w:w="540" w:type="dxa"/>
            <w:gridSpan w:val="2"/>
            <w:tcBorders>
              <w:bottom w:val="single" w:sz="8" w:space="0" w:color="CCEEFF"/>
            </w:tcBorders>
            <w:shd w:val="clear" w:color="auto" w:fill="CCEEFF"/>
            <w:vAlign w:val="bottom"/>
          </w:tcPr>
          <w:p w14:paraId="75466278" w14:textId="77777777" w:rsidR="00D1587D" w:rsidRDefault="00410D07">
            <w:pPr>
              <w:ind w:right="260"/>
              <w:jc w:val="right"/>
              <w:rPr>
                <w:sz w:val="20"/>
                <w:szCs w:val="20"/>
              </w:rPr>
            </w:pPr>
            <w:r>
              <w:rPr>
                <w:rFonts w:ascii="Arial" w:eastAsia="Arial" w:hAnsi="Arial" w:cs="Arial"/>
                <w:sz w:val="18"/>
                <w:szCs w:val="18"/>
              </w:rPr>
              <w:t>—</w:t>
            </w:r>
          </w:p>
        </w:tc>
        <w:tc>
          <w:tcPr>
            <w:tcW w:w="140" w:type="dxa"/>
            <w:tcBorders>
              <w:bottom w:val="single" w:sz="8" w:space="0" w:color="CCEEFF"/>
            </w:tcBorders>
            <w:shd w:val="clear" w:color="auto" w:fill="CCEEFF"/>
            <w:vAlign w:val="bottom"/>
          </w:tcPr>
          <w:p w14:paraId="283C9054" w14:textId="77777777" w:rsidR="00D1587D" w:rsidRDefault="00410D07">
            <w:pPr>
              <w:jc w:val="right"/>
              <w:rPr>
                <w:sz w:val="20"/>
                <w:szCs w:val="20"/>
              </w:rPr>
            </w:pPr>
            <w:r>
              <w:rPr>
                <w:rFonts w:ascii="Arial" w:eastAsia="Arial" w:hAnsi="Arial" w:cs="Arial"/>
                <w:w w:val="79"/>
                <w:sz w:val="18"/>
                <w:szCs w:val="18"/>
              </w:rPr>
              <w:t>$</w:t>
            </w:r>
          </w:p>
        </w:tc>
        <w:tc>
          <w:tcPr>
            <w:tcW w:w="360" w:type="dxa"/>
            <w:tcBorders>
              <w:bottom w:val="single" w:sz="8" w:space="0" w:color="CCEEFF"/>
            </w:tcBorders>
            <w:shd w:val="clear" w:color="auto" w:fill="CCEEFF"/>
            <w:vAlign w:val="bottom"/>
          </w:tcPr>
          <w:p w14:paraId="3679AE5F" w14:textId="77777777" w:rsidR="00D1587D" w:rsidRDefault="00410D07">
            <w:pPr>
              <w:jc w:val="right"/>
              <w:rPr>
                <w:sz w:val="20"/>
                <w:szCs w:val="20"/>
              </w:rPr>
            </w:pPr>
            <w:r>
              <w:rPr>
                <w:rFonts w:ascii="Arial" w:eastAsia="Arial" w:hAnsi="Arial" w:cs="Arial"/>
                <w:sz w:val="18"/>
                <w:szCs w:val="18"/>
              </w:rPr>
              <w:t>83</w:t>
            </w:r>
          </w:p>
        </w:tc>
      </w:tr>
      <w:tr w:rsidR="00D1587D" w14:paraId="3DFBE92F" w14:textId="77777777">
        <w:trPr>
          <w:trHeight w:val="270"/>
        </w:trPr>
        <w:tc>
          <w:tcPr>
            <w:tcW w:w="4480" w:type="dxa"/>
            <w:gridSpan w:val="2"/>
            <w:vAlign w:val="bottom"/>
          </w:tcPr>
          <w:p w14:paraId="67517D90" w14:textId="77777777" w:rsidR="00D1587D" w:rsidRDefault="00410D07">
            <w:pPr>
              <w:rPr>
                <w:sz w:val="20"/>
                <w:szCs w:val="20"/>
              </w:rPr>
            </w:pPr>
            <w:r>
              <w:rPr>
                <w:rFonts w:ascii="Arial" w:eastAsia="Arial" w:hAnsi="Arial" w:cs="Arial"/>
                <w:sz w:val="18"/>
                <w:szCs w:val="18"/>
              </w:rPr>
              <w:t>Non-qualified Retirement Plan</w:t>
            </w:r>
          </w:p>
        </w:tc>
        <w:tc>
          <w:tcPr>
            <w:tcW w:w="640" w:type="dxa"/>
            <w:gridSpan w:val="2"/>
            <w:vAlign w:val="bottom"/>
          </w:tcPr>
          <w:p w14:paraId="3C4AE4CA" w14:textId="77777777" w:rsidR="00D1587D" w:rsidRDefault="00410D07">
            <w:pPr>
              <w:ind w:right="240"/>
              <w:jc w:val="right"/>
              <w:rPr>
                <w:sz w:val="20"/>
                <w:szCs w:val="20"/>
              </w:rPr>
            </w:pPr>
            <w:r>
              <w:rPr>
                <w:rFonts w:ascii="Arial" w:eastAsia="Arial" w:hAnsi="Arial" w:cs="Arial"/>
                <w:sz w:val="18"/>
                <w:szCs w:val="18"/>
              </w:rPr>
              <w:t>—</w:t>
            </w:r>
          </w:p>
        </w:tc>
        <w:tc>
          <w:tcPr>
            <w:tcW w:w="240" w:type="dxa"/>
            <w:vAlign w:val="bottom"/>
          </w:tcPr>
          <w:p w14:paraId="2037ED4E" w14:textId="77777777" w:rsidR="00D1587D" w:rsidRDefault="00D1587D">
            <w:pPr>
              <w:rPr>
                <w:sz w:val="23"/>
                <w:szCs w:val="23"/>
              </w:rPr>
            </w:pPr>
          </w:p>
        </w:tc>
        <w:tc>
          <w:tcPr>
            <w:tcW w:w="540" w:type="dxa"/>
            <w:gridSpan w:val="2"/>
            <w:vAlign w:val="bottom"/>
          </w:tcPr>
          <w:p w14:paraId="1C978D99" w14:textId="77777777" w:rsidR="00D1587D" w:rsidRDefault="00410D07">
            <w:pPr>
              <w:ind w:right="280"/>
              <w:jc w:val="right"/>
              <w:rPr>
                <w:sz w:val="20"/>
                <w:szCs w:val="20"/>
              </w:rPr>
            </w:pPr>
            <w:r>
              <w:rPr>
                <w:rFonts w:ascii="Arial" w:eastAsia="Arial" w:hAnsi="Arial" w:cs="Arial"/>
                <w:sz w:val="18"/>
                <w:szCs w:val="18"/>
              </w:rPr>
              <w:t>—</w:t>
            </w:r>
          </w:p>
        </w:tc>
        <w:tc>
          <w:tcPr>
            <w:tcW w:w="120" w:type="dxa"/>
            <w:vAlign w:val="bottom"/>
          </w:tcPr>
          <w:p w14:paraId="7D1FEC43" w14:textId="77777777" w:rsidR="00D1587D" w:rsidRDefault="00D1587D">
            <w:pPr>
              <w:rPr>
                <w:sz w:val="23"/>
                <w:szCs w:val="23"/>
              </w:rPr>
            </w:pPr>
          </w:p>
        </w:tc>
        <w:tc>
          <w:tcPr>
            <w:tcW w:w="540" w:type="dxa"/>
            <w:gridSpan w:val="2"/>
            <w:vAlign w:val="bottom"/>
          </w:tcPr>
          <w:p w14:paraId="4CB7C3B2" w14:textId="77777777" w:rsidR="00D1587D" w:rsidRDefault="00410D07">
            <w:pPr>
              <w:ind w:right="240"/>
              <w:jc w:val="right"/>
              <w:rPr>
                <w:sz w:val="20"/>
                <w:szCs w:val="20"/>
              </w:rPr>
            </w:pPr>
            <w:r>
              <w:rPr>
                <w:rFonts w:ascii="Arial" w:eastAsia="Arial" w:hAnsi="Arial" w:cs="Arial"/>
                <w:sz w:val="18"/>
                <w:szCs w:val="18"/>
              </w:rPr>
              <w:t>—</w:t>
            </w:r>
          </w:p>
        </w:tc>
        <w:tc>
          <w:tcPr>
            <w:tcW w:w="420" w:type="dxa"/>
            <w:vAlign w:val="bottom"/>
          </w:tcPr>
          <w:p w14:paraId="40DB5928" w14:textId="77777777" w:rsidR="00D1587D" w:rsidRDefault="00410D07">
            <w:pPr>
              <w:jc w:val="right"/>
              <w:rPr>
                <w:sz w:val="20"/>
                <w:szCs w:val="20"/>
              </w:rPr>
            </w:pPr>
            <w:r>
              <w:rPr>
                <w:rFonts w:ascii="Arial" w:eastAsia="Arial" w:hAnsi="Arial" w:cs="Arial"/>
                <w:sz w:val="18"/>
                <w:szCs w:val="18"/>
              </w:rPr>
              <w:t>1</w:t>
            </w:r>
          </w:p>
        </w:tc>
        <w:tc>
          <w:tcPr>
            <w:tcW w:w="160" w:type="dxa"/>
            <w:vAlign w:val="bottom"/>
          </w:tcPr>
          <w:p w14:paraId="39F83709" w14:textId="77777777" w:rsidR="00D1587D" w:rsidRDefault="00D1587D">
            <w:pPr>
              <w:rPr>
                <w:sz w:val="23"/>
                <w:szCs w:val="23"/>
              </w:rPr>
            </w:pPr>
          </w:p>
        </w:tc>
        <w:tc>
          <w:tcPr>
            <w:tcW w:w="240" w:type="dxa"/>
            <w:vAlign w:val="bottom"/>
          </w:tcPr>
          <w:p w14:paraId="02643681" w14:textId="77777777" w:rsidR="00D1587D" w:rsidRDefault="00D1587D">
            <w:pPr>
              <w:rPr>
                <w:sz w:val="23"/>
                <w:szCs w:val="23"/>
              </w:rPr>
            </w:pPr>
          </w:p>
        </w:tc>
        <w:tc>
          <w:tcPr>
            <w:tcW w:w="540" w:type="dxa"/>
            <w:gridSpan w:val="2"/>
            <w:vAlign w:val="bottom"/>
          </w:tcPr>
          <w:p w14:paraId="598BAB5C" w14:textId="77777777" w:rsidR="00D1587D" w:rsidRDefault="00410D07">
            <w:pPr>
              <w:ind w:right="260"/>
              <w:jc w:val="right"/>
              <w:rPr>
                <w:sz w:val="20"/>
                <w:szCs w:val="20"/>
              </w:rPr>
            </w:pPr>
            <w:r>
              <w:rPr>
                <w:rFonts w:ascii="Arial" w:eastAsia="Arial" w:hAnsi="Arial" w:cs="Arial"/>
                <w:sz w:val="18"/>
                <w:szCs w:val="18"/>
              </w:rPr>
              <w:t>—</w:t>
            </w:r>
          </w:p>
        </w:tc>
        <w:tc>
          <w:tcPr>
            <w:tcW w:w="140" w:type="dxa"/>
            <w:vAlign w:val="bottom"/>
          </w:tcPr>
          <w:p w14:paraId="5E39C09D" w14:textId="77777777" w:rsidR="00D1587D" w:rsidRDefault="00D1587D">
            <w:pPr>
              <w:rPr>
                <w:sz w:val="23"/>
                <w:szCs w:val="23"/>
              </w:rPr>
            </w:pPr>
          </w:p>
        </w:tc>
        <w:tc>
          <w:tcPr>
            <w:tcW w:w="360" w:type="dxa"/>
            <w:vAlign w:val="bottom"/>
          </w:tcPr>
          <w:p w14:paraId="689F2FDC" w14:textId="77777777" w:rsidR="00D1587D" w:rsidRDefault="00410D07">
            <w:pPr>
              <w:jc w:val="right"/>
              <w:rPr>
                <w:sz w:val="20"/>
                <w:szCs w:val="20"/>
              </w:rPr>
            </w:pPr>
            <w:r>
              <w:rPr>
                <w:rFonts w:ascii="Arial" w:eastAsia="Arial" w:hAnsi="Arial" w:cs="Arial"/>
                <w:sz w:val="18"/>
                <w:szCs w:val="18"/>
              </w:rPr>
              <w:t>1</w:t>
            </w:r>
          </w:p>
        </w:tc>
      </w:tr>
      <w:tr w:rsidR="00D1587D" w14:paraId="1AFA9275" w14:textId="77777777">
        <w:trPr>
          <w:trHeight w:val="54"/>
        </w:trPr>
        <w:tc>
          <w:tcPr>
            <w:tcW w:w="4400" w:type="dxa"/>
            <w:vAlign w:val="bottom"/>
          </w:tcPr>
          <w:p w14:paraId="042D76E3" w14:textId="77777777" w:rsidR="00D1587D" w:rsidRDefault="00D1587D">
            <w:pPr>
              <w:rPr>
                <w:sz w:val="4"/>
                <w:szCs w:val="4"/>
              </w:rPr>
            </w:pPr>
          </w:p>
        </w:tc>
        <w:tc>
          <w:tcPr>
            <w:tcW w:w="80" w:type="dxa"/>
            <w:vAlign w:val="bottom"/>
          </w:tcPr>
          <w:p w14:paraId="5F368887" w14:textId="77777777" w:rsidR="00D1587D" w:rsidRDefault="00D1587D">
            <w:pPr>
              <w:rPr>
                <w:sz w:val="4"/>
                <w:szCs w:val="4"/>
              </w:rPr>
            </w:pPr>
          </w:p>
        </w:tc>
        <w:tc>
          <w:tcPr>
            <w:tcW w:w="480" w:type="dxa"/>
            <w:vAlign w:val="bottom"/>
          </w:tcPr>
          <w:p w14:paraId="4A20875F" w14:textId="77777777" w:rsidR="00D1587D" w:rsidRDefault="00D1587D">
            <w:pPr>
              <w:rPr>
                <w:sz w:val="4"/>
                <w:szCs w:val="4"/>
              </w:rPr>
            </w:pPr>
          </w:p>
        </w:tc>
        <w:tc>
          <w:tcPr>
            <w:tcW w:w="160" w:type="dxa"/>
            <w:vAlign w:val="bottom"/>
          </w:tcPr>
          <w:p w14:paraId="5CF629AB" w14:textId="77777777" w:rsidR="00D1587D" w:rsidRDefault="00D1587D">
            <w:pPr>
              <w:rPr>
                <w:sz w:val="4"/>
                <w:szCs w:val="4"/>
              </w:rPr>
            </w:pPr>
          </w:p>
        </w:tc>
        <w:tc>
          <w:tcPr>
            <w:tcW w:w="620" w:type="dxa"/>
            <w:gridSpan w:val="2"/>
            <w:vAlign w:val="bottom"/>
          </w:tcPr>
          <w:p w14:paraId="6AA95D02" w14:textId="77777777" w:rsidR="00D1587D" w:rsidRDefault="00D1587D">
            <w:pPr>
              <w:rPr>
                <w:sz w:val="4"/>
                <w:szCs w:val="4"/>
              </w:rPr>
            </w:pPr>
          </w:p>
        </w:tc>
        <w:tc>
          <w:tcPr>
            <w:tcW w:w="160" w:type="dxa"/>
            <w:vAlign w:val="bottom"/>
          </w:tcPr>
          <w:p w14:paraId="7E621866" w14:textId="77777777" w:rsidR="00D1587D" w:rsidRDefault="00D1587D">
            <w:pPr>
              <w:rPr>
                <w:sz w:val="4"/>
                <w:szCs w:val="4"/>
              </w:rPr>
            </w:pPr>
          </w:p>
        </w:tc>
        <w:tc>
          <w:tcPr>
            <w:tcW w:w="120" w:type="dxa"/>
            <w:vAlign w:val="bottom"/>
          </w:tcPr>
          <w:p w14:paraId="144EF8DE" w14:textId="77777777" w:rsidR="00D1587D" w:rsidRDefault="00D1587D">
            <w:pPr>
              <w:rPr>
                <w:sz w:val="4"/>
                <w:szCs w:val="4"/>
              </w:rPr>
            </w:pPr>
          </w:p>
        </w:tc>
        <w:tc>
          <w:tcPr>
            <w:tcW w:w="380" w:type="dxa"/>
            <w:vAlign w:val="bottom"/>
          </w:tcPr>
          <w:p w14:paraId="34AE2135" w14:textId="77777777" w:rsidR="00D1587D" w:rsidRDefault="00D1587D">
            <w:pPr>
              <w:rPr>
                <w:sz w:val="4"/>
                <w:szCs w:val="4"/>
              </w:rPr>
            </w:pPr>
          </w:p>
        </w:tc>
        <w:tc>
          <w:tcPr>
            <w:tcW w:w="160" w:type="dxa"/>
            <w:vAlign w:val="bottom"/>
          </w:tcPr>
          <w:p w14:paraId="173CCFD0" w14:textId="77777777" w:rsidR="00D1587D" w:rsidRDefault="00D1587D">
            <w:pPr>
              <w:rPr>
                <w:sz w:val="4"/>
                <w:szCs w:val="4"/>
              </w:rPr>
            </w:pPr>
          </w:p>
        </w:tc>
        <w:tc>
          <w:tcPr>
            <w:tcW w:w="420" w:type="dxa"/>
            <w:vAlign w:val="bottom"/>
          </w:tcPr>
          <w:p w14:paraId="12FD2513" w14:textId="77777777" w:rsidR="00D1587D" w:rsidRDefault="00D1587D">
            <w:pPr>
              <w:rPr>
                <w:sz w:val="4"/>
                <w:szCs w:val="4"/>
              </w:rPr>
            </w:pPr>
          </w:p>
        </w:tc>
        <w:tc>
          <w:tcPr>
            <w:tcW w:w="160" w:type="dxa"/>
            <w:vAlign w:val="bottom"/>
          </w:tcPr>
          <w:p w14:paraId="1483FA75" w14:textId="77777777" w:rsidR="00D1587D" w:rsidRDefault="00D1587D">
            <w:pPr>
              <w:rPr>
                <w:sz w:val="4"/>
                <w:szCs w:val="4"/>
              </w:rPr>
            </w:pPr>
          </w:p>
        </w:tc>
        <w:tc>
          <w:tcPr>
            <w:tcW w:w="620" w:type="dxa"/>
            <w:gridSpan w:val="2"/>
            <w:vAlign w:val="bottom"/>
          </w:tcPr>
          <w:p w14:paraId="262C28F5" w14:textId="77777777" w:rsidR="00D1587D" w:rsidRDefault="00D1587D">
            <w:pPr>
              <w:rPr>
                <w:sz w:val="4"/>
                <w:szCs w:val="4"/>
              </w:rPr>
            </w:pPr>
          </w:p>
        </w:tc>
        <w:tc>
          <w:tcPr>
            <w:tcW w:w="160" w:type="dxa"/>
            <w:vAlign w:val="bottom"/>
          </w:tcPr>
          <w:p w14:paraId="072BF94D" w14:textId="77777777" w:rsidR="00D1587D" w:rsidRDefault="00D1587D">
            <w:pPr>
              <w:rPr>
                <w:sz w:val="4"/>
                <w:szCs w:val="4"/>
              </w:rPr>
            </w:pPr>
          </w:p>
        </w:tc>
        <w:tc>
          <w:tcPr>
            <w:tcW w:w="140" w:type="dxa"/>
            <w:vAlign w:val="bottom"/>
          </w:tcPr>
          <w:p w14:paraId="3D07BE96" w14:textId="77777777" w:rsidR="00D1587D" w:rsidRDefault="00D1587D">
            <w:pPr>
              <w:rPr>
                <w:sz w:val="4"/>
                <w:szCs w:val="4"/>
              </w:rPr>
            </w:pPr>
          </w:p>
        </w:tc>
        <w:tc>
          <w:tcPr>
            <w:tcW w:w="360" w:type="dxa"/>
            <w:vAlign w:val="bottom"/>
          </w:tcPr>
          <w:p w14:paraId="6D27627F" w14:textId="77777777" w:rsidR="00D1587D" w:rsidRDefault="00D1587D">
            <w:pPr>
              <w:rPr>
                <w:sz w:val="4"/>
                <w:szCs w:val="4"/>
              </w:rPr>
            </w:pPr>
          </w:p>
        </w:tc>
      </w:tr>
      <w:tr w:rsidR="00D1587D" w14:paraId="3B3E1431" w14:textId="77777777">
        <w:trPr>
          <w:trHeight w:val="304"/>
        </w:trPr>
        <w:tc>
          <w:tcPr>
            <w:tcW w:w="4480" w:type="dxa"/>
            <w:gridSpan w:val="2"/>
            <w:tcBorders>
              <w:bottom w:val="single" w:sz="8" w:space="0" w:color="CCEEFF"/>
            </w:tcBorders>
            <w:shd w:val="clear" w:color="auto" w:fill="CCEEFF"/>
            <w:vAlign w:val="bottom"/>
          </w:tcPr>
          <w:p w14:paraId="19D150C6" w14:textId="77777777" w:rsidR="00D1587D" w:rsidRDefault="00410D07">
            <w:pPr>
              <w:rPr>
                <w:sz w:val="20"/>
                <w:szCs w:val="20"/>
              </w:rPr>
            </w:pPr>
            <w:r>
              <w:rPr>
                <w:rFonts w:ascii="Arial" w:eastAsia="Arial" w:hAnsi="Arial" w:cs="Arial"/>
                <w:sz w:val="18"/>
                <w:szCs w:val="18"/>
              </w:rPr>
              <w:t>Leases</w:t>
            </w:r>
          </w:p>
        </w:tc>
        <w:tc>
          <w:tcPr>
            <w:tcW w:w="480" w:type="dxa"/>
            <w:tcBorders>
              <w:bottom w:val="single" w:sz="8" w:space="0" w:color="CCEEFF"/>
            </w:tcBorders>
            <w:shd w:val="clear" w:color="auto" w:fill="CCEEFF"/>
            <w:vAlign w:val="bottom"/>
          </w:tcPr>
          <w:p w14:paraId="0E146D3C" w14:textId="77777777" w:rsidR="00D1587D" w:rsidRDefault="00410D07">
            <w:pPr>
              <w:jc w:val="right"/>
              <w:rPr>
                <w:sz w:val="20"/>
                <w:szCs w:val="20"/>
              </w:rPr>
            </w:pPr>
            <w:r>
              <w:rPr>
                <w:rFonts w:ascii="Arial" w:eastAsia="Arial" w:hAnsi="Arial" w:cs="Arial"/>
                <w:sz w:val="18"/>
                <w:szCs w:val="18"/>
              </w:rPr>
              <w:t>426</w:t>
            </w:r>
          </w:p>
        </w:tc>
        <w:tc>
          <w:tcPr>
            <w:tcW w:w="160" w:type="dxa"/>
            <w:tcBorders>
              <w:bottom w:val="single" w:sz="8" w:space="0" w:color="CCEEFF"/>
            </w:tcBorders>
            <w:shd w:val="clear" w:color="auto" w:fill="CCEEFF"/>
            <w:vAlign w:val="bottom"/>
          </w:tcPr>
          <w:p w14:paraId="40AF5E34"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22BDCEB4" w14:textId="77777777" w:rsidR="00D1587D" w:rsidRDefault="00410D07">
            <w:pPr>
              <w:jc w:val="right"/>
              <w:rPr>
                <w:sz w:val="20"/>
                <w:szCs w:val="20"/>
              </w:rPr>
            </w:pPr>
            <w:r>
              <w:rPr>
                <w:rFonts w:ascii="Arial" w:eastAsia="Arial" w:hAnsi="Arial" w:cs="Arial"/>
                <w:sz w:val="18"/>
                <w:szCs w:val="18"/>
              </w:rPr>
              <w:t>(365)</w:t>
            </w:r>
          </w:p>
        </w:tc>
        <w:tc>
          <w:tcPr>
            <w:tcW w:w="160" w:type="dxa"/>
            <w:tcBorders>
              <w:bottom w:val="single" w:sz="8" w:space="0" w:color="CCEEFF"/>
            </w:tcBorders>
            <w:shd w:val="clear" w:color="auto" w:fill="CCEEFF"/>
            <w:vAlign w:val="bottom"/>
          </w:tcPr>
          <w:p w14:paraId="66AF92C0" w14:textId="77777777" w:rsidR="00D1587D" w:rsidRDefault="00D1587D">
            <w:pPr>
              <w:rPr>
                <w:sz w:val="24"/>
                <w:szCs w:val="24"/>
              </w:rPr>
            </w:pPr>
          </w:p>
        </w:tc>
        <w:tc>
          <w:tcPr>
            <w:tcW w:w="120" w:type="dxa"/>
            <w:tcBorders>
              <w:bottom w:val="single" w:sz="8" w:space="0" w:color="CCEEFF"/>
            </w:tcBorders>
            <w:shd w:val="clear" w:color="auto" w:fill="CCEEFF"/>
            <w:vAlign w:val="bottom"/>
          </w:tcPr>
          <w:p w14:paraId="789DB4E6" w14:textId="77777777" w:rsidR="00D1587D" w:rsidRDefault="00D1587D">
            <w:pPr>
              <w:rPr>
                <w:sz w:val="24"/>
                <w:szCs w:val="24"/>
              </w:rPr>
            </w:pPr>
          </w:p>
        </w:tc>
        <w:tc>
          <w:tcPr>
            <w:tcW w:w="380" w:type="dxa"/>
            <w:tcBorders>
              <w:bottom w:val="single" w:sz="8" w:space="0" w:color="CCEEFF"/>
            </w:tcBorders>
            <w:shd w:val="clear" w:color="auto" w:fill="CCEEFF"/>
            <w:vAlign w:val="bottom"/>
          </w:tcPr>
          <w:p w14:paraId="5531E400" w14:textId="77777777" w:rsidR="00D1587D" w:rsidRDefault="00410D07">
            <w:pPr>
              <w:jc w:val="right"/>
              <w:rPr>
                <w:sz w:val="20"/>
                <w:szCs w:val="20"/>
              </w:rPr>
            </w:pPr>
            <w:r>
              <w:rPr>
                <w:rFonts w:ascii="Arial" w:eastAsia="Arial" w:hAnsi="Arial" w:cs="Arial"/>
                <w:sz w:val="18"/>
                <w:szCs w:val="18"/>
              </w:rPr>
              <w:t>61</w:t>
            </w:r>
          </w:p>
        </w:tc>
        <w:tc>
          <w:tcPr>
            <w:tcW w:w="160" w:type="dxa"/>
            <w:tcBorders>
              <w:bottom w:val="single" w:sz="8" w:space="0" w:color="CCEEFF"/>
            </w:tcBorders>
            <w:shd w:val="clear" w:color="auto" w:fill="CCEEFF"/>
            <w:vAlign w:val="bottom"/>
          </w:tcPr>
          <w:p w14:paraId="7604A4FF" w14:textId="77777777" w:rsidR="00D1587D" w:rsidRDefault="00D1587D">
            <w:pPr>
              <w:rPr>
                <w:sz w:val="24"/>
                <w:szCs w:val="24"/>
              </w:rPr>
            </w:pPr>
          </w:p>
        </w:tc>
        <w:tc>
          <w:tcPr>
            <w:tcW w:w="420" w:type="dxa"/>
            <w:tcBorders>
              <w:bottom w:val="single" w:sz="8" w:space="0" w:color="CCEEFF"/>
            </w:tcBorders>
            <w:shd w:val="clear" w:color="auto" w:fill="CCEEFF"/>
            <w:vAlign w:val="bottom"/>
          </w:tcPr>
          <w:p w14:paraId="2B3AB20A" w14:textId="77777777" w:rsidR="00D1587D" w:rsidRDefault="00410D07">
            <w:pPr>
              <w:jc w:val="right"/>
              <w:rPr>
                <w:sz w:val="20"/>
                <w:szCs w:val="20"/>
              </w:rPr>
            </w:pPr>
            <w:r>
              <w:rPr>
                <w:rFonts w:ascii="Arial" w:eastAsia="Arial" w:hAnsi="Arial" w:cs="Arial"/>
                <w:sz w:val="18"/>
                <w:szCs w:val="18"/>
              </w:rPr>
              <w:t>512</w:t>
            </w:r>
          </w:p>
        </w:tc>
        <w:tc>
          <w:tcPr>
            <w:tcW w:w="160" w:type="dxa"/>
            <w:tcBorders>
              <w:bottom w:val="single" w:sz="8" w:space="0" w:color="CCEEFF"/>
            </w:tcBorders>
            <w:shd w:val="clear" w:color="auto" w:fill="CCEEFF"/>
            <w:vAlign w:val="bottom"/>
          </w:tcPr>
          <w:p w14:paraId="05CCF697"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231CA0E0" w14:textId="77777777" w:rsidR="00D1587D" w:rsidRDefault="00410D07">
            <w:pPr>
              <w:jc w:val="right"/>
              <w:rPr>
                <w:sz w:val="20"/>
                <w:szCs w:val="20"/>
              </w:rPr>
            </w:pPr>
            <w:r>
              <w:rPr>
                <w:rFonts w:ascii="Arial" w:eastAsia="Arial" w:hAnsi="Arial" w:cs="Arial"/>
                <w:sz w:val="18"/>
                <w:szCs w:val="18"/>
              </w:rPr>
              <w:t>(482)</w:t>
            </w:r>
          </w:p>
        </w:tc>
        <w:tc>
          <w:tcPr>
            <w:tcW w:w="160" w:type="dxa"/>
            <w:tcBorders>
              <w:bottom w:val="single" w:sz="8" w:space="0" w:color="CCEEFF"/>
            </w:tcBorders>
            <w:shd w:val="clear" w:color="auto" w:fill="CCEEFF"/>
            <w:vAlign w:val="bottom"/>
          </w:tcPr>
          <w:p w14:paraId="1C5476B0" w14:textId="77777777" w:rsidR="00D1587D" w:rsidRDefault="00D1587D">
            <w:pPr>
              <w:rPr>
                <w:sz w:val="24"/>
                <w:szCs w:val="24"/>
              </w:rPr>
            </w:pPr>
          </w:p>
        </w:tc>
        <w:tc>
          <w:tcPr>
            <w:tcW w:w="140" w:type="dxa"/>
            <w:tcBorders>
              <w:bottom w:val="single" w:sz="8" w:space="0" w:color="CCEEFF"/>
            </w:tcBorders>
            <w:shd w:val="clear" w:color="auto" w:fill="CCEEFF"/>
            <w:vAlign w:val="bottom"/>
          </w:tcPr>
          <w:p w14:paraId="6F59F216" w14:textId="77777777" w:rsidR="00D1587D" w:rsidRDefault="00D1587D">
            <w:pPr>
              <w:rPr>
                <w:sz w:val="24"/>
                <w:szCs w:val="24"/>
              </w:rPr>
            </w:pPr>
          </w:p>
        </w:tc>
        <w:tc>
          <w:tcPr>
            <w:tcW w:w="360" w:type="dxa"/>
            <w:tcBorders>
              <w:bottom w:val="single" w:sz="8" w:space="0" w:color="CCEEFF"/>
            </w:tcBorders>
            <w:shd w:val="clear" w:color="auto" w:fill="CCEEFF"/>
            <w:vAlign w:val="bottom"/>
          </w:tcPr>
          <w:p w14:paraId="68A92003" w14:textId="77777777" w:rsidR="00D1587D" w:rsidRDefault="00410D07">
            <w:pPr>
              <w:jc w:val="right"/>
              <w:rPr>
                <w:sz w:val="20"/>
                <w:szCs w:val="20"/>
              </w:rPr>
            </w:pPr>
            <w:r>
              <w:rPr>
                <w:rFonts w:ascii="Arial" w:eastAsia="Arial" w:hAnsi="Arial" w:cs="Arial"/>
                <w:sz w:val="18"/>
                <w:szCs w:val="18"/>
              </w:rPr>
              <w:t>30</w:t>
            </w:r>
          </w:p>
        </w:tc>
      </w:tr>
      <w:tr w:rsidR="00D1587D" w14:paraId="72F8F6E3" w14:textId="77777777">
        <w:trPr>
          <w:trHeight w:val="270"/>
        </w:trPr>
        <w:tc>
          <w:tcPr>
            <w:tcW w:w="4480" w:type="dxa"/>
            <w:gridSpan w:val="2"/>
            <w:vAlign w:val="bottom"/>
          </w:tcPr>
          <w:p w14:paraId="5799745D" w14:textId="77777777" w:rsidR="00D1587D" w:rsidRDefault="00410D07">
            <w:pPr>
              <w:rPr>
                <w:sz w:val="20"/>
                <w:szCs w:val="20"/>
              </w:rPr>
            </w:pPr>
            <w:r>
              <w:rPr>
                <w:rFonts w:ascii="Arial" w:eastAsia="Arial" w:hAnsi="Arial" w:cs="Arial"/>
                <w:sz w:val="18"/>
                <w:szCs w:val="18"/>
              </w:rPr>
              <w:t>Share-based Compensation</w:t>
            </w:r>
          </w:p>
        </w:tc>
        <w:tc>
          <w:tcPr>
            <w:tcW w:w="480" w:type="dxa"/>
            <w:vAlign w:val="bottom"/>
          </w:tcPr>
          <w:p w14:paraId="35120873" w14:textId="77777777" w:rsidR="00D1587D" w:rsidRDefault="00410D07">
            <w:pPr>
              <w:jc w:val="right"/>
              <w:rPr>
                <w:sz w:val="20"/>
                <w:szCs w:val="20"/>
              </w:rPr>
            </w:pPr>
            <w:r>
              <w:rPr>
                <w:rFonts w:ascii="Arial" w:eastAsia="Arial" w:hAnsi="Arial" w:cs="Arial"/>
                <w:sz w:val="18"/>
                <w:szCs w:val="18"/>
              </w:rPr>
              <w:t>29</w:t>
            </w:r>
          </w:p>
        </w:tc>
        <w:tc>
          <w:tcPr>
            <w:tcW w:w="160" w:type="dxa"/>
            <w:vAlign w:val="bottom"/>
          </w:tcPr>
          <w:p w14:paraId="0FDAF680" w14:textId="77777777" w:rsidR="00D1587D" w:rsidRDefault="00D1587D">
            <w:pPr>
              <w:rPr>
                <w:sz w:val="23"/>
                <w:szCs w:val="23"/>
              </w:rPr>
            </w:pPr>
          </w:p>
        </w:tc>
        <w:tc>
          <w:tcPr>
            <w:tcW w:w="240" w:type="dxa"/>
            <w:vAlign w:val="bottom"/>
          </w:tcPr>
          <w:p w14:paraId="5E2F545B" w14:textId="77777777" w:rsidR="00D1587D" w:rsidRDefault="00D1587D">
            <w:pPr>
              <w:rPr>
                <w:sz w:val="23"/>
                <w:szCs w:val="23"/>
              </w:rPr>
            </w:pPr>
          </w:p>
        </w:tc>
        <w:tc>
          <w:tcPr>
            <w:tcW w:w="540" w:type="dxa"/>
            <w:gridSpan w:val="2"/>
            <w:vAlign w:val="bottom"/>
          </w:tcPr>
          <w:p w14:paraId="58C40850" w14:textId="77777777" w:rsidR="00D1587D" w:rsidRDefault="00410D07">
            <w:pPr>
              <w:ind w:right="280"/>
              <w:jc w:val="right"/>
              <w:rPr>
                <w:sz w:val="20"/>
                <w:szCs w:val="20"/>
              </w:rPr>
            </w:pPr>
            <w:r>
              <w:rPr>
                <w:rFonts w:ascii="Arial" w:eastAsia="Arial" w:hAnsi="Arial" w:cs="Arial"/>
                <w:sz w:val="18"/>
                <w:szCs w:val="18"/>
              </w:rPr>
              <w:t>—</w:t>
            </w:r>
          </w:p>
        </w:tc>
        <w:tc>
          <w:tcPr>
            <w:tcW w:w="120" w:type="dxa"/>
            <w:vAlign w:val="bottom"/>
          </w:tcPr>
          <w:p w14:paraId="737FDC6C" w14:textId="77777777" w:rsidR="00D1587D" w:rsidRDefault="00D1587D">
            <w:pPr>
              <w:rPr>
                <w:sz w:val="23"/>
                <w:szCs w:val="23"/>
              </w:rPr>
            </w:pPr>
          </w:p>
        </w:tc>
        <w:tc>
          <w:tcPr>
            <w:tcW w:w="380" w:type="dxa"/>
            <w:vAlign w:val="bottom"/>
          </w:tcPr>
          <w:p w14:paraId="0B3802A4" w14:textId="77777777" w:rsidR="00D1587D" w:rsidRDefault="00410D07">
            <w:pPr>
              <w:jc w:val="right"/>
              <w:rPr>
                <w:sz w:val="20"/>
                <w:szCs w:val="20"/>
              </w:rPr>
            </w:pPr>
            <w:r>
              <w:rPr>
                <w:rFonts w:ascii="Arial" w:eastAsia="Arial" w:hAnsi="Arial" w:cs="Arial"/>
                <w:sz w:val="18"/>
                <w:szCs w:val="18"/>
              </w:rPr>
              <w:t>29</w:t>
            </w:r>
          </w:p>
        </w:tc>
        <w:tc>
          <w:tcPr>
            <w:tcW w:w="160" w:type="dxa"/>
            <w:vAlign w:val="bottom"/>
          </w:tcPr>
          <w:p w14:paraId="7EC9F42A" w14:textId="77777777" w:rsidR="00D1587D" w:rsidRDefault="00D1587D">
            <w:pPr>
              <w:rPr>
                <w:sz w:val="23"/>
                <w:szCs w:val="23"/>
              </w:rPr>
            </w:pPr>
          </w:p>
        </w:tc>
        <w:tc>
          <w:tcPr>
            <w:tcW w:w="420" w:type="dxa"/>
            <w:vAlign w:val="bottom"/>
          </w:tcPr>
          <w:p w14:paraId="24A8DE01" w14:textId="77777777" w:rsidR="00D1587D" w:rsidRDefault="00410D07">
            <w:pPr>
              <w:jc w:val="right"/>
              <w:rPr>
                <w:sz w:val="20"/>
                <w:szCs w:val="20"/>
              </w:rPr>
            </w:pPr>
            <w:r>
              <w:rPr>
                <w:rFonts w:ascii="Arial" w:eastAsia="Arial" w:hAnsi="Arial" w:cs="Arial"/>
                <w:sz w:val="18"/>
                <w:szCs w:val="18"/>
              </w:rPr>
              <w:t>47</w:t>
            </w:r>
          </w:p>
        </w:tc>
        <w:tc>
          <w:tcPr>
            <w:tcW w:w="160" w:type="dxa"/>
            <w:vAlign w:val="bottom"/>
          </w:tcPr>
          <w:p w14:paraId="7D5991D2" w14:textId="77777777" w:rsidR="00D1587D" w:rsidRDefault="00D1587D">
            <w:pPr>
              <w:rPr>
                <w:sz w:val="23"/>
                <w:szCs w:val="23"/>
              </w:rPr>
            </w:pPr>
          </w:p>
        </w:tc>
        <w:tc>
          <w:tcPr>
            <w:tcW w:w="240" w:type="dxa"/>
            <w:vAlign w:val="bottom"/>
          </w:tcPr>
          <w:p w14:paraId="703C0DBD" w14:textId="77777777" w:rsidR="00D1587D" w:rsidRDefault="00D1587D">
            <w:pPr>
              <w:rPr>
                <w:sz w:val="23"/>
                <w:szCs w:val="23"/>
              </w:rPr>
            </w:pPr>
          </w:p>
        </w:tc>
        <w:tc>
          <w:tcPr>
            <w:tcW w:w="540" w:type="dxa"/>
            <w:gridSpan w:val="2"/>
            <w:vAlign w:val="bottom"/>
          </w:tcPr>
          <w:p w14:paraId="4AE7ED97" w14:textId="77777777" w:rsidR="00D1587D" w:rsidRDefault="00410D07">
            <w:pPr>
              <w:ind w:right="260"/>
              <w:jc w:val="right"/>
              <w:rPr>
                <w:sz w:val="20"/>
                <w:szCs w:val="20"/>
              </w:rPr>
            </w:pPr>
            <w:r>
              <w:rPr>
                <w:rFonts w:ascii="Arial" w:eastAsia="Arial" w:hAnsi="Arial" w:cs="Arial"/>
                <w:sz w:val="18"/>
                <w:szCs w:val="18"/>
              </w:rPr>
              <w:t>—</w:t>
            </w:r>
          </w:p>
        </w:tc>
        <w:tc>
          <w:tcPr>
            <w:tcW w:w="140" w:type="dxa"/>
            <w:vAlign w:val="bottom"/>
          </w:tcPr>
          <w:p w14:paraId="3E92A348" w14:textId="77777777" w:rsidR="00D1587D" w:rsidRDefault="00D1587D">
            <w:pPr>
              <w:rPr>
                <w:sz w:val="23"/>
                <w:szCs w:val="23"/>
              </w:rPr>
            </w:pPr>
          </w:p>
        </w:tc>
        <w:tc>
          <w:tcPr>
            <w:tcW w:w="360" w:type="dxa"/>
            <w:vAlign w:val="bottom"/>
          </w:tcPr>
          <w:p w14:paraId="1A8ECA70" w14:textId="77777777" w:rsidR="00D1587D" w:rsidRDefault="00410D07">
            <w:pPr>
              <w:jc w:val="right"/>
              <w:rPr>
                <w:sz w:val="20"/>
                <w:szCs w:val="20"/>
              </w:rPr>
            </w:pPr>
            <w:r>
              <w:rPr>
                <w:rFonts w:ascii="Arial" w:eastAsia="Arial" w:hAnsi="Arial" w:cs="Arial"/>
                <w:sz w:val="18"/>
                <w:szCs w:val="18"/>
              </w:rPr>
              <w:t>47</w:t>
            </w:r>
          </w:p>
        </w:tc>
      </w:tr>
      <w:tr w:rsidR="00D1587D" w14:paraId="1BDBF57E" w14:textId="77777777">
        <w:trPr>
          <w:trHeight w:val="54"/>
        </w:trPr>
        <w:tc>
          <w:tcPr>
            <w:tcW w:w="4400" w:type="dxa"/>
            <w:vAlign w:val="bottom"/>
          </w:tcPr>
          <w:p w14:paraId="54245840" w14:textId="77777777" w:rsidR="00D1587D" w:rsidRDefault="00D1587D">
            <w:pPr>
              <w:rPr>
                <w:sz w:val="4"/>
                <w:szCs w:val="4"/>
              </w:rPr>
            </w:pPr>
          </w:p>
        </w:tc>
        <w:tc>
          <w:tcPr>
            <w:tcW w:w="80" w:type="dxa"/>
            <w:vAlign w:val="bottom"/>
          </w:tcPr>
          <w:p w14:paraId="115A7DC6" w14:textId="77777777" w:rsidR="00D1587D" w:rsidRDefault="00D1587D">
            <w:pPr>
              <w:rPr>
                <w:sz w:val="4"/>
                <w:szCs w:val="4"/>
              </w:rPr>
            </w:pPr>
          </w:p>
        </w:tc>
        <w:tc>
          <w:tcPr>
            <w:tcW w:w="480" w:type="dxa"/>
            <w:vAlign w:val="bottom"/>
          </w:tcPr>
          <w:p w14:paraId="5797C555" w14:textId="77777777" w:rsidR="00D1587D" w:rsidRDefault="00D1587D">
            <w:pPr>
              <w:rPr>
                <w:sz w:val="4"/>
                <w:szCs w:val="4"/>
              </w:rPr>
            </w:pPr>
          </w:p>
        </w:tc>
        <w:tc>
          <w:tcPr>
            <w:tcW w:w="160" w:type="dxa"/>
            <w:vAlign w:val="bottom"/>
          </w:tcPr>
          <w:p w14:paraId="747A34C1" w14:textId="77777777" w:rsidR="00D1587D" w:rsidRDefault="00D1587D">
            <w:pPr>
              <w:rPr>
                <w:sz w:val="4"/>
                <w:szCs w:val="4"/>
              </w:rPr>
            </w:pPr>
          </w:p>
        </w:tc>
        <w:tc>
          <w:tcPr>
            <w:tcW w:w="240" w:type="dxa"/>
            <w:vAlign w:val="bottom"/>
          </w:tcPr>
          <w:p w14:paraId="0F46B904" w14:textId="77777777" w:rsidR="00D1587D" w:rsidRDefault="00D1587D">
            <w:pPr>
              <w:rPr>
                <w:sz w:val="4"/>
                <w:szCs w:val="4"/>
              </w:rPr>
            </w:pPr>
          </w:p>
        </w:tc>
        <w:tc>
          <w:tcPr>
            <w:tcW w:w="380" w:type="dxa"/>
            <w:vAlign w:val="bottom"/>
          </w:tcPr>
          <w:p w14:paraId="27348D52" w14:textId="77777777" w:rsidR="00D1587D" w:rsidRDefault="00D1587D">
            <w:pPr>
              <w:rPr>
                <w:sz w:val="4"/>
                <w:szCs w:val="4"/>
              </w:rPr>
            </w:pPr>
          </w:p>
        </w:tc>
        <w:tc>
          <w:tcPr>
            <w:tcW w:w="160" w:type="dxa"/>
            <w:vAlign w:val="bottom"/>
          </w:tcPr>
          <w:p w14:paraId="261E457A" w14:textId="77777777" w:rsidR="00D1587D" w:rsidRDefault="00D1587D">
            <w:pPr>
              <w:rPr>
                <w:sz w:val="4"/>
                <w:szCs w:val="4"/>
              </w:rPr>
            </w:pPr>
          </w:p>
        </w:tc>
        <w:tc>
          <w:tcPr>
            <w:tcW w:w="120" w:type="dxa"/>
            <w:vAlign w:val="bottom"/>
          </w:tcPr>
          <w:p w14:paraId="725C261E" w14:textId="77777777" w:rsidR="00D1587D" w:rsidRDefault="00D1587D">
            <w:pPr>
              <w:rPr>
                <w:sz w:val="4"/>
                <w:szCs w:val="4"/>
              </w:rPr>
            </w:pPr>
          </w:p>
        </w:tc>
        <w:tc>
          <w:tcPr>
            <w:tcW w:w="380" w:type="dxa"/>
            <w:vAlign w:val="bottom"/>
          </w:tcPr>
          <w:p w14:paraId="542F5411" w14:textId="77777777" w:rsidR="00D1587D" w:rsidRDefault="00D1587D">
            <w:pPr>
              <w:rPr>
                <w:sz w:val="4"/>
                <w:szCs w:val="4"/>
              </w:rPr>
            </w:pPr>
          </w:p>
        </w:tc>
        <w:tc>
          <w:tcPr>
            <w:tcW w:w="160" w:type="dxa"/>
            <w:vAlign w:val="bottom"/>
          </w:tcPr>
          <w:p w14:paraId="36B90417" w14:textId="77777777" w:rsidR="00D1587D" w:rsidRDefault="00D1587D">
            <w:pPr>
              <w:rPr>
                <w:sz w:val="4"/>
                <w:szCs w:val="4"/>
              </w:rPr>
            </w:pPr>
          </w:p>
        </w:tc>
        <w:tc>
          <w:tcPr>
            <w:tcW w:w="420" w:type="dxa"/>
            <w:vAlign w:val="bottom"/>
          </w:tcPr>
          <w:p w14:paraId="72DEC01E" w14:textId="77777777" w:rsidR="00D1587D" w:rsidRDefault="00D1587D">
            <w:pPr>
              <w:rPr>
                <w:sz w:val="4"/>
                <w:szCs w:val="4"/>
              </w:rPr>
            </w:pPr>
          </w:p>
        </w:tc>
        <w:tc>
          <w:tcPr>
            <w:tcW w:w="160" w:type="dxa"/>
            <w:vAlign w:val="bottom"/>
          </w:tcPr>
          <w:p w14:paraId="667D2FF7" w14:textId="77777777" w:rsidR="00D1587D" w:rsidRDefault="00D1587D">
            <w:pPr>
              <w:rPr>
                <w:sz w:val="4"/>
                <w:szCs w:val="4"/>
              </w:rPr>
            </w:pPr>
          </w:p>
        </w:tc>
        <w:tc>
          <w:tcPr>
            <w:tcW w:w="240" w:type="dxa"/>
            <w:vAlign w:val="bottom"/>
          </w:tcPr>
          <w:p w14:paraId="6BA5F450" w14:textId="77777777" w:rsidR="00D1587D" w:rsidRDefault="00D1587D">
            <w:pPr>
              <w:rPr>
                <w:sz w:val="4"/>
                <w:szCs w:val="4"/>
              </w:rPr>
            </w:pPr>
          </w:p>
        </w:tc>
        <w:tc>
          <w:tcPr>
            <w:tcW w:w="380" w:type="dxa"/>
            <w:vAlign w:val="bottom"/>
          </w:tcPr>
          <w:p w14:paraId="589A9C3E" w14:textId="77777777" w:rsidR="00D1587D" w:rsidRDefault="00D1587D">
            <w:pPr>
              <w:rPr>
                <w:sz w:val="4"/>
                <w:szCs w:val="4"/>
              </w:rPr>
            </w:pPr>
          </w:p>
        </w:tc>
        <w:tc>
          <w:tcPr>
            <w:tcW w:w="160" w:type="dxa"/>
            <w:vAlign w:val="bottom"/>
          </w:tcPr>
          <w:p w14:paraId="3E68E80A" w14:textId="77777777" w:rsidR="00D1587D" w:rsidRDefault="00D1587D">
            <w:pPr>
              <w:rPr>
                <w:sz w:val="4"/>
                <w:szCs w:val="4"/>
              </w:rPr>
            </w:pPr>
          </w:p>
        </w:tc>
        <w:tc>
          <w:tcPr>
            <w:tcW w:w="140" w:type="dxa"/>
            <w:vAlign w:val="bottom"/>
          </w:tcPr>
          <w:p w14:paraId="599AA897" w14:textId="77777777" w:rsidR="00D1587D" w:rsidRDefault="00D1587D">
            <w:pPr>
              <w:rPr>
                <w:sz w:val="4"/>
                <w:szCs w:val="4"/>
              </w:rPr>
            </w:pPr>
          </w:p>
        </w:tc>
        <w:tc>
          <w:tcPr>
            <w:tcW w:w="360" w:type="dxa"/>
            <w:vAlign w:val="bottom"/>
          </w:tcPr>
          <w:p w14:paraId="1D428458" w14:textId="77777777" w:rsidR="00D1587D" w:rsidRDefault="00D1587D">
            <w:pPr>
              <w:rPr>
                <w:sz w:val="4"/>
                <w:szCs w:val="4"/>
              </w:rPr>
            </w:pPr>
          </w:p>
        </w:tc>
      </w:tr>
      <w:tr w:rsidR="00D1587D" w14:paraId="76276400" w14:textId="77777777">
        <w:trPr>
          <w:trHeight w:val="304"/>
        </w:trPr>
        <w:tc>
          <w:tcPr>
            <w:tcW w:w="4480" w:type="dxa"/>
            <w:gridSpan w:val="2"/>
            <w:tcBorders>
              <w:bottom w:val="single" w:sz="8" w:space="0" w:color="CCEEFF"/>
            </w:tcBorders>
            <w:shd w:val="clear" w:color="auto" w:fill="CCEEFF"/>
            <w:vAlign w:val="bottom"/>
          </w:tcPr>
          <w:p w14:paraId="6065AE39" w14:textId="77777777" w:rsidR="00D1587D" w:rsidRDefault="00410D07">
            <w:pPr>
              <w:rPr>
                <w:sz w:val="20"/>
                <w:szCs w:val="20"/>
              </w:rPr>
            </w:pPr>
            <w:r>
              <w:rPr>
                <w:rFonts w:ascii="Arial" w:eastAsia="Arial" w:hAnsi="Arial" w:cs="Arial"/>
                <w:sz w:val="18"/>
                <w:szCs w:val="18"/>
              </w:rPr>
              <w:t>Deferred Revenue</w:t>
            </w:r>
          </w:p>
        </w:tc>
        <w:tc>
          <w:tcPr>
            <w:tcW w:w="480" w:type="dxa"/>
            <w:tcBorders>
              <w:bottom w:val="single" w:sz="8" w:space="0" w:color="CCEEFF"/>
            </w:tcBorders>
            <w:shd w:val="clear" w:color="auto" w:fill="CCEEFF"/>
            <w:vAlign w:val="bottom"/>
          </w:tcPr>
          <w:p w14:paraId="37D9BD8A" w14:textId="77777777" w:rsidR="00D1587D" w:rsidRDefault="00410D07">
            <w:pPr>
              <w:jc w:val="right"/>
              <w:rPr>
                <w:sz w:val="20"/>
                <w:szCs w:val="20"/>
              </w:rPr>
            </w:pPr>
            <w:r>
              <w:rPr>
                <w:rFonts w:ascii="Arial" w:eastAsia="Arial" w:hAnsi="Arial" w:cs="Arial"/>
                <w:sz w:val="18"/>
                <w:szCs w:val="18"/>
              </w:rPr>
              <w:t>7</w:t>
            </w:r>
          </w:p>
        </w:tc>
        <w:tc>
          <w:tcPr>
            <w:tcW w:w="160" w:type="dxa"/>
            <w:tcBorders>
              <w:bottom w:val="single" w:sz="8" w:space="0" w:color="CCEEFF"/>
            </w:tcBorders>
            <w:shd w:val="clear" w:color="auto" w:fill="CCEEFF"/>
            <w:vAlign w:val="bottom"/>
          </w:tcPr>
          <w:p w14:paraId="37492223" w14:textId="77777777" w:rsidR="00D1587D" w:rsidRDefault="00D1587D">
            <w:pPr>
              <w:rPr>
                <w:sz w:val="24"/>
                <w:szCs w:val="24"/>
              </w:rPr>
            </w:pPr>
          </w:p>
        </w:tc>
        <w:tc>
          <w:tcPr>
            <w:tcW w:w="240" w:type="dxa"/>
            <w:tcBorders>
              <w:bottom w:val="single" w:sz="8" w:space="0" w:color="CCEEFF"/>
            </w:tcBorders>
            <w:shd w:val="clear" w:color="auto" w:fill="CCEEFF"/>
            <w:vAlign w:val="bottom"/>
          </w:tcPr>
          <w:p w14:paraId="0BAF6BBD" w14:textId="77777777" w:rsidR="00D1587D" w:rsidRDefault="00D1587D">
            <w:pPr>
              <w:rPr>
                <w:sz w:val="24"/>
                <w:szCs w:val="24"/>
              </w:rPr>
            </w:pPr>
          </w:p>
        </w:tc>
        <w:tc>
          <w:tcPr>
            <w:tcW w:w="540" w:type="dxa"/>
            <w:gridSpan w:val="2"/>
            <w:tcBorders>
              <w:bottom w:val="single" w:sz="8" w:space="0" w:color="CCEEFF"/>
            </w:tcBorders>
            <w:shd w:val="clear" w:color="auto" w:fill="CCEEFF"/>
            <w:vAlign w:val="bottom"/>
          </w:tcPr>
          <w:p w14:paraId="63C4EF06" w14:textId="77777777" w:rsidR="00D1587D" w:rsidRDefault="00410D07">
            <w:pPr>
              <w:ind w:right="28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1512B052" w14:textId="77777777" w:rsidR="00D1587D" w:rsidRDefault="00D1587D">
            <w:pPr>
              <w:rPr>
                <w:sz w:val="24"/>
                <w:szCs w:val="24"/>
              </w:rPr>
            </w:pPr>
          </w:p>
        </w:tc>
        <w:tc>
          <w:tcPr>
            <w:tcW w:w="380" w:type="dxa"/>
            <w:tcBorders>
              <w:bottom w:val="single" w:sz="8" w:space="0" w:color="CCEEFF"/>
            </w:tcBorders>
            <w:shd w:val="clear" w:color="auto" w:fill="CCEEFF"/>
            <w:vAlign w:val="bottom"/>
          </w:tcPr>
          <w:p w14:paraId="0902E5ED" w14:textId="77777777" w:rsidR="00D1587D" w:rsidRDefault="00410D07">
            <w:pPr>
              <w:jc w:val="right"/>
              <w:rPr>
                <w:sz w:val="20"/>
                <w:szCs w:val="20"/>
              </w:rPr>
            </w:pPr>
            <w:r>
              <w:rPr>
                <w:rFonts w:ascii="Arial" w:eastAsia="Arial" w:hAnsi="Arial" w:cs="Arial"/>
                <w:sz w:val="18"/>
                <w:szCs w:val="18"/>
              </w:rPr>
              <w:t>7</w:t>
            </w:r>
          </w:p>
        </w:tc>
        <w:tc>
          <w:tcPr>
            <w:tcW w:w="160" w:type="dxa"/>
            <w:tcBorders>
              <w:bottom w:val="single" w:sz="8" w:space="0" w:color="CCEEFF"/>
            </w:tcBorders>
            <w:shd w:val="clear" w:color="auto" w:fill="CCEEFF"/>
            <w:vAlign w:val="bottom"/>
          </w:tcPr>
          <w:p w14:paraId="4F3B680C" w14:textId="77777777" w:rsidR="00D1587D" w:rsidRDefault="00D1587D">
            <w:pPr>
              <w:rPr>
                <w:sz w:val="24"/>
                <w:szCs w:val="24"/>
              </w:rPr>
            </w:pPr>
          </w:p>
        </w:tc>
        <w:tc>
          <w:tcPr>
            <w:tcW w:w="420" w:type="dxa"/>
            <w:tcBorders>
              <w:bottom w:val="single" w:sz="8" w:space="0" w:color="CCEEFF"/>
            </w:tcBorders>
            <w:shd w:val="clear" w:color="auto" w:fill="CCEEFF"/>
            <w:vAlign w:val="bottom"/>
          </w:tcPr>
          <w:p w14:paraId="351381FB" w14:textId="77777777" w:rsidR="00D1587D" w:rsidRDefault="00410D07">
            <w:pPr>
              <w:jc w:val="right"/>
              <w:rPr>
                <w:sz w:val="20"/>
                <w:szCs w:val="20"/>
              </w:rPr>
            </w:pPr>
            <w:r>
              <w:rPr>
                <w:rFonts w:ascii="Arial" w:eastAsia="Arial" w:hAnsi="Arial" w:cs="Arial"/>
                <w:sz w:val="18"/>
                <w:szCs w:val="18"/>
              </w:rPr>
              <w:t>14</w:t>
            </w:r>
          </w:p>
        </w:tc>
        <w:tc>
          <w:tcPr>
            <w:tcW w:w="160" w:type="dxa"/>
            <w:tcBorders>
              <w:bottom w:val="single" w:sz="8" w:space="0" w:color="CCEEFF"/>
            </w:tcBorders>
            <w:shd w:val="clear" w:color="auto" w:fill="CCEEFF"/>
            <w:vAlign w:val="bottom"/>
          </w:tcPr>
          <w:p w14:paraId="486E4A0F" w14:textId="77777777" w:rsidR="00D1587D" w:rsidRDefault="00D1587D">
            <w:pPr>
              <w:rPr>
                <w:sz w:val="24"/>
                <w:szCs w:val="24"/>
              </w:rPr>
            </w:pPr>
          </w:p>
        </w:tc>
        <w:tc>
          <w:tcPr>
            <w:tcW w:w="240" w:type="dxa"/>
            <w:tcBorders>
              <w:bottom w:val="single" w:sz="8" w:space="0" w:color="CCEEFF"/>
            </w:tcBorders>
            <w:shd w:val="clear" w:color="auto" w:fill="CCEEFF"/>
            <w:vAlign w:val="bottom"/>
          </w:tcPr>
          <w:p w14:paraId="4A1BED0D" w14:textId="77777777" w:rsidR="00D1587D" w:rsidRDefault="00D1587D">
            <w:pPr>
              <w:rPr>
                <w:sz w:val="24"/>
                <w:szCs w:val="24"/>
              </w:rPr>
            </w:pPr>
          </w:p>
        </w:tc>
        <w:tc>
          <w:tcPr>
            <w:tcW w:w="540" w:type="dxa"/>
            <w:gridSpan w:val="2"/>
            <w:tcBorders>
              <w:bottom w:val="single" w:sz="8" w:space="0" w:color="CCEEFF"/>
            </w:tcBorders>
            <w:shd w:val="clear" w:color="auto" w:fill="CCEEFF"/>
            <w:vAlign w:val="bottom"/>
          </w:tcPr>
          <w:p w14:paraId="2C61F021" w14:textId="77777777" w:rsidR="00D1587D" w:rsidRDefault="00410D07">
            <w:pPr>
              <w:ind w:right="260"/>
              <w:jc w:val="right"/>
              <w:rPr>
                <w:sz w:val="20"/>
                <w:szCs w:val="20"/>
              </w:rPr>
            </w:pPr>
            <w:r>
              <w:rPr>
                <w:rFonts w:ascii="Arial" w:eastAsia="Arial" w:hAnsi="Arial" w:cs="Arial"/>
                <w:sz w:val="18"/>
                <w:szCs w:val="18"/>
              </w:rPr>
              <w:t>—</w:t>
            </w:r>
          </w:p>
        </w:tc>
        <w:tc>
          <w:tcPr>
            <w:tcW w:w="140" w:type="dxa"/>
            <w:tcBorders>
              <w:bottom w:val="single" w:sz="8" w:space="0" w:color="CCEEFF"/>
            </w:tcBorders>
            <w:shd w:val="clear" w:color="auto" w:fill="CCEEFF"/>
            <w:vAlign w:val="bottom"/>
          </w:tcPr>
          <w:p w14:paraId="4445E4C0" w14:textId="77777777" w:rsidR="00D1587D" w:rsidRDefault="00D1587D">
            <w:pPr>
              <w:rPr>
                <w:sz w:val="24"/>
                <w:szCs w:val="24"/>
              </w:rPr>
            </w:pPr>
          </w:p>
        </w:tc>
        <w:tc>
          <w:tcPr>
            <w:tcW w:w="360" w:type="dxa"/>
            <w:tcBorders>
              <w:bottom w:val="single" w:sz="8" w:space="0" w:color="CCEEFF"/>
            </w:tcBorders>
            <w:shd w:val="clear" w:color="auto" w:fill="CCEEFF"/>
            <w:vAlign w:val="bottom"/>
          </w:tcPr>
          <w:p w14:paraId="48656D85" w14:textId="77777777" w:rsidR="00D1587D" w:rsidRDefault="00410D07">
            <w:pPr>
              <w:jc w:val="right"/>
              <w:rPr>
                <w:sz w:val="20"/>
                <w:szCs w:val="20"/>
              </w:rPr>
            </w:pPr>
            <w:r>
              <w:rPr>
                <w:rFonts w:ascii="Arial" w:eastAsia="Arial" w:hAnsi="Arial" w:cs="Arial"/>
                <w:sz w:val="18"/>
                <w:szCs w:val="18"/>
              </w:rPr>
              <w:t>14</w:t>
            </w:r>
          </w:p>
        </w:tc>
      </w:tr>
      <w:tr w:rsidR="00D1587D" w14:paraId="5002E830" w14:textId="77777777">
        <w:trPr>
          <w:trHeight w:val="270"/>
        </w:trPr>
        <w:tc>
          <w:tcPr>
            <w:tcW w:w="4480" w:type="dxa"/>
            <w:gridSpan w:val="2"/>
            <w:vAlign w:val="bottom"/>
          </w:tcPr>
          <w:p w14:paraId="60344849" w14:textId="77777777" w:rsidR="00D1587D" w:rsidRDefault="00410D07">
            <w:pPr>
              <w:rPr>
                <w:sz w:val="20"/>
                <w:szCs w:val="20"/>
              </w:rPr>
            </w:pPr>
            <w:r>
              <w:rPr>
                <w:rFonts w:ascii="Arial" w:eastAsia="Arial" w:hAnsi="Arial" w:cs="Arial"/>
                <w:sz w:val="18"/>
                <w:szCs w:val="18"/>
              </w:rPr>
              <w:t>Property and Equipment</w:t>
            </w:r>
          </w:p>
        </w:tc>
        <w:tc>
          <w:tcPr>
            <w:tcW w:w="640" w:type="dxa"/>
            <w:gridSpan w:val="2"/>
            <w:vAlign w:val="bottom"/>
          </w:tcPr>
          <w:p w14:paraId="50C61520" w14:textId="77777777" w:rsidR="00D1587D" w:rsidRDefault="00410D07">
            <w:pPr>
              <w:ind w:right="240"/>
              <w:jc w:val="right"/>
              <w:rPr>
                <w:sz w:val="20"/>
                <w:szCs w:val="20"/>
              </w:rPr>
            </w:pPr>
            <w:r>
              <w:rPr>
                <w:rFonts w:ascii="Arial" w:eastAsia="Arial" w:hAnsi="Arial" w:cs="Arial"/>
                <w:sz w:val="18"/>
                <w:szCs w:val="18"/>
              </w:rPr>
              <w:t>—</w:t>
            </w:r>
          </w:p>
        </w:tc>
        <w:tc>
          <w:tcPr>
            <w:tcW w:w="620" w:type="dxa"/>
            <w:gridSpan w:val="2"/>
            <w:vAlign w:val="bottom"/>
          </w:tcPr>
          <w:p w14:paraId="5A254916" w14:textId="77777777" w:rsidR="00D1587D" w:rsidRDefault="00410D07">
            <w:pPr>
              <w:jc w:val="right"/>
              <w:rPr>
                <w:sz w:val="20"/>
                <w:szCs w:val="20"/>
              </w:rPr>
            </w:pPr>
            <w:r>
              <w:rPr>
                <w:rFonts w:ascii="Arial" w:eastAsia="Arial" w:hAnsi="Arial" w:cs="Arial"/>
                <w:sz w:val="18"/>
                <w:szCs w:val="18"/>
              </w:rPr>
              <w:t>(106)</w:t>
            </w:r>
          </w:p>
        </w:tc>
        <w:tc>
          <w:tcPr>
            <w:tcW w:w="160" w:type="dxa"/>
            <w:vAlign w:val="bottom"/>
          </w:tcPr>
          <w:p w14:paraId="6371B060" w14:textId="77777777" w:rsidR="00D1587D" w:rsidRDefault="00D1587D">
            <w:pPr>
              <w:rPr>
                <w:sz w:val="23"/>
                <w:szCs w:val="23"/>
              </w:rPr>
            </w:pPr>
          </w:p>
        </w:tc>
        <w:tc>
          <w:tcPr>
            <w:tcW w:w="500" w:type="dxa"/>
            <w:gridSpan w:val="2"/>
            <w:vAlign w:val="bottom"/>
          </w:tcPr>
          <w:p w14:paraId="1B88357C" w14:textId="77777777" w:rsidR="00D1587D" w:rsidRDefault="00410D07">
            <w:pPr>
              <w:jc w:val="right"/>
              <w:rPr>
                <w:sz w:val="20"/>
                <w:szCs w:val="20"/>
              </w:rPr>
            </w:pPr>
            <w:r>
              <w:rPr>
                <w:rFonts w:ascii="Arial" w:eastAsia="Arial" w:hAnsi="Arial" w:cs="Arial"/>
                <w:sz w:val="18"/>
                <w:szCs w:val="18"/>
              </w:rPr>
              <w:t>(106)</w:t>
            </w:r>
          </w:p>
        </w:tc>
        <w:tc>
          <w:tcPr>
            <w:tcW w:w="160" w:type="dxa"/>
            <w:vAlign w:val="bottom"/>
          </w:tcPr>
          <w:p w14:paraId="53788B05" w14:textId="77777777" w:rsidR="00D1587D" w:rsidRDefault="00D1587D">
            <w:pPr>
              <w:rPr>
                <w:sz w:val="23"/>
                <w:szCs w:val="23"/>
              </w:rPr>
            </w:pPr>
          </w:p>
        </w:tc>
        <w:tc>
          <w:tcPr>
            <w:tcW w:w="580" w:type="dxa"/>
            <w:gridSpan w:val="2"/>
            <w:vAlign w:val="bottom"/>
          </w:tcPr>
          <w:p w14:paraId="527A28C4" w14:textId="77777777" w:rsidR="00D1587D" w:rsidRDefault="00410D07">
            <w:pPr>
              <w:ind w:right="220"/>
              <w:jc w:val="right"/>
              <w:rPr>
                <w:sz w:val="20"/>
                <w:szCs w:val="20"/>
              </w:rPr>
            </w:pPr>
            <w:r>
              <w:rPr>
                <w:rFonts w:ascii="Arial" w:eastAsia="Arial" w:hAnsi="Arial" w:cs="Arial"/>
                <w:sz w:val="18"/>
                <w:szCs w:val="18"/>
              </w:rPr>
              <w:t>—</w:t>
            </w:r>
          </w:p>
        </w:tc>
        <w:tc>
          <w:tcPr>
            <w:tcW w:w="620" w:type="dxa"/>
            <w:gridSpan w:val="2"/>
            <w:vAlign w:val="bottom"/>
          </w:tcPr>
          <w:p w14:paraId="337ABAE6" w14:textId="77777777" w:rsidR="00D1587D" w:rsidRDefault="00410D07">
            <w:pPr>
              <w:jc w:val="right"/>
              <w:rPr>
                <w:sz w:val="20"/>
                <w:szCs w:val="20"/>
              </w:rPr>
            </w:pPr>
            <w:r>
              <w:rPr>
                <w:rFonts w:ascii="Arial" w:eastAsia="Arial" w:hAnsi="Arial" w:cs="Arial"/>
                <w:sz w:val="18"/>
                <w:szCs w:val="18"/>
              </w:rPr>
              <w:t>(144)</w:t>
            </w:r>
          </w:p>
        </w:tc>
        <w:tc>
          <w:tcPr>
            <w:tcW w:w="160" w:type="dxa"/>
            <w:vAlign w:val="bottom"/>
          </w:tcPr>
          <w:p w14:paraId="0660DF47" w14:textId="77777777" w:rsidR="00D1587D" w:rsidRDefault="00D1587D">
            <w:pPr>
              <w:rPr>
                <w:sz w:val="23"/>
                <w:szCs w:val="23"/>
              </w:rPr>
            </w:pPr>
          </w:p>
        </w:tc>
        <w:tc>
          <w:tcPr>
            <w:tcW w:w="500" w:type="dxa"/>
            <w:gridSpan w:val="2"/>
            <w:vAlign w:val="bottom"/>
          </w:tcPr>
          <w:p w14:paraId="4D62527A" w14:textId="77777777" w:rsidR="00D1587D" w:rsidRDefault="00410D07">
            <w:pPr>
              <w:jc w:val="right"/>
              <w:rPr>
                <w:sz w:val="20"/>
                <w:szCs w:val="20"/>
              </w:rPr>
            </w:pPr>
            <w:r>
              <w:rPr>
                <w:rFonts w:ascii="Arial" w:eastAsia="Arial" w:hAnsi="Arial" w:cs="Arial"/>
                <w:sz w:val="18"/>
                <w:szCs w:val="18"/>
              </w:rPr>
              <w:t>(144)</w:t>
            </w:r>
          </w:p>
        </w:tc>
      </w:tr>
      <w:tr w:rsidR="00D1587D" w14:paraId="40D5C2A6" w14:textId="77777777">
        <w:trPr>
          <w:trHeight w:val="54"/>
        </w:trPr>
        <w:tc>
          <w:tcPr>
            <w:tcW w:w="4400" w:type="dxa"/>
            <w:vAlign w:val="bottom"/>
          </w:tcPr>
          <w:p w14:paraId="1A92596C" w14:textId="77777777" w:rsidR="00D1587D" w:rsidRDefault="00D1587D">
            <w:pPr>
              <w:rPr>
                <w:sz w:val="4"/>
                <w:szCs w:val="4"/>
              </w:rPr>
            </w:pPr>
          </w:p>
        </w:tc>
        <w:tc>
          <w:tcPr>
            <w:tcW w:w="80" w:type="dxa"/>
            <w:vAlign w:val="bottom"/>
          </w:tcPr>
          <w:p w14:paraId="7B7D51DB" w14:textId="77777777" w:rsidR="00D1587D" w:rsidRDefault="00D1587D">
            <w:pPr>
              <w:rPr>
                <w:sz w:val="4"/>
                <w:szCs w:val="4"/>
              </w:rPr>
            </w:pPr>
          </w:p>
        </w:tc>
        <w:tc>
          <w:tcPr>
            <w:tcW w:w="480" w:type="dxa"/>
            <w:vAlign w:val="bottom"/>
          </w:tcPr>
          <w:p w14:paraId="11BA45A8" w14:textId="77777777" w:rsidR="00D1587D" w:rsidRDefault="00D1587D">
            <w:pPr>
              <w:rPr>
                <w:sz w:val="4"/>
                <w:szCs w:val="4"/>
              </w:rPr>
            </w:pPr>
          </w:p>
        </w:tc>
        <w:tc>
          <w:tcPr>
            <w:tcW w:w="160" w:type="dxa"/>
            <w:vAlign w:val="bottom"/>
          </w:tcPr>
          <w:p w14:paraId="320F04B1" w14:textId="77777777" w:rsidR="00D1587D" w:rsidRDefault="00D1587D">
            <w:pPr>
              <w:rPr>
                <w:sz w:val="4"/>
                <w:szCs w:val="4"/>
              </w:rPr>
            </w:pPr>
          </w:p>
        </w:tc>
        <w:tc>
          <w:tcPr>
            <w:tcW w:w="240" w:type="dxa"/>
            <w:vAlign w:val="bottom"/>
          </w:tcPr>
          <w:p w14:paraId="0533B8CB" w14:textId="77777777" w:rsidR="00D1587D" w:rsidRDefault="00D1587D">
            <w:pPr>
              <w:rPr>
                <w:sz w:val="4"/>
                <w:szCs w:val="4"/>
              </w:rPr>
            </w:pPr>
          </w:p>
        </w:tc>
        <w:tc>
          <w:tcPr>
            <w:tcW w:w="380" w:type="dxa"/>
            <w:vAlign w:val="bottom"/>
          </w:tcPr>
          <w:p w14:paraId="2C4509F5" w14:textId="77777777" w:rsidR="00D1587D" w:rsidRDefault="00D1587D">
            <w:pPr>
              <w:rPr>
                <w:sz w:val="4"/>
                <w:szCs w:val="4"/>
              </w:rPr>
            </w:pPr>
          </w:p>
        </w:tc>
        <w:tc>
          <w:tcPr>
            <w:tcW w:w="160" w:type="dxa"/>
            <w:vAlign w:val="bottom"/>
          </w:tcPr>
          <w:p w14:paraId="6F9BB70B" w14:textId="77777777" w:rsidR="00D1587D" w:rsidRDefault="00D1587D">
            <w:pPr>
              <w:rPr>
                <w:sz w:val="4"/>
                <w:szCs w:val="4"/>
              </w:rPr>
            </w:pPr>
          </w:p>
        </w:tc>
        <w:tc>
          <w:tcPr>
            <w:tcW w:w="120" w:type="dxa"/>
            <w:vAlign w:val="bottom"/>
          </w:tcPr>
          <w:p w14:paraId="43CA264B" w14:textId="77777777" w:rsidR="00D1587D" w:rsidRDefault="00D1587D">
            <w:pPr>
              <w:rPr>
                <w:sz w:val="4"/>
                <w:szCs w:val="4"/>
              </w:rPr>
            </w:pPr>
          </w:p>
        </w:tc>
        <w:tc>
          <w:tcPr>
            <w:tcW w:w="380" w:type="dxa"/>
            <w:vAlign w:val="bottom"/>
          </w:tcPr>
          <w:p w14:paraId="3D2BEA7B" w14:textId="77777777" w:rsidR="00D1587D" w:rsidRDefault="00D1587D">
            <w:pPr>
              <w:rPr>
                <w:sz w:val="4"/>
                <w:szCs w:val="4"/>
              </w:rPr>
            </w:pPr>
          </w:p>
        </w:tc>
        <w:tc>
          <w:tcPr>
            <w:tcW w:w="160" w:type="dxa"/>
            <w:vAlign w:val="bottom"/>
          </w:tcPr>
          <w:p w14:paraId="58CF455A" w14:textId="77777777" w:rsidR="00D1587D" w:rsidRDefault="00D1587D">
            <w:pPr>
              <w:rPr>
                <w:sz w:val="4"/>
                <w:szCs w:val="4"/>
              </w:rPr>
            </w:pPr>
          </w:p>
        </w:tc>
        <w:tc>
          <w:tcPr>
            <w:tcW w:w="420" w:type="dxa"/>
            <w:vAlign w:val="bottom"/>
          </w:tcPr>
          <w:p w14:paraId="22A47147" w14:textId="77777777" w:rsidR="00D1587D" w:rsidRDefault="00D1587D">
            <w:pPr>
              <w:rPr>
                <w:sz w:val="4"/>
                <w:szCs w:val="4"/>
              </w:rPr>
            </w:pPr>
          </w:p>
        </w:tc>
        <w:tc>
          <w:tcPr>
            <w:tcW w:w="160" w:type="dxa"/>
            <w:vAlign w:val="bottom"/>
          </w:tcPr>
          <w:p w14:paraId="199A73A2" w14:textId="77777777" w:rsidR="00D1587D" w:rsidRDefault="00D1587D">
            <w:pPr>
              <w:rPr>
                <w:sz w:val="4"/>
                <w:szCs w:val="4"/>
              </w:rPr>
            </w:pPr>
          </w:p>
        </w:tc>
        <w:tc>
          <w:tcPr>
            <w:tcW w:w="240" w:type="dxa"/>
            <w:vAlign w:val="bottom"/>
          </w:tcPr>
          <w:p w14:paraId="5552C23A" w14:textId="77777777" w:rsidR="00D1587D" w:rsidRDefault="00D1587D">
            <w:pPr>
              <w:rPr>
                <w:sz w:val="4"/>
                <w:szCs w:val="4"/>
              </w:rPr>
            </w:pPr>
          </w:p>
        </w:tc>
        <w:tc>
          <w:tcPr>
            <w:tcW w:w="380" w:type="dxa"/>
            <w:vAlign w:val="bottom"/>
          </w:tcPr>
          <w:p w14:paraId="62F203A2" w14:textId="77777777" w:rsidR="00D1587D" w:rsidRDefault="00D1587D">
            <w:pPr>
              <w:rPr>
                <w:sz w:val="4"/>
                <w:szCs w:val="4"/>
              </w:rPr>
            </w:pPr>
          </w:p>
        </w:tc>
        <w:tc>
          <w:tcPr>
            <w:tcW w:w="160" w:type="dxa"/>
            <w:vAlign w:val="bottom"/>
          </w:tcPr>
          <w:p w14:paraId="79825283" w14:textId="77777777" w:rsidR="00D1587D" w:rsidRDefault="00D1587D">
            <w:pPr>
              <w:rPr>
                <w:sz w:val="4"/>
                <w:szCs w:val="4"/>
              </w:rPr>
            </w:pPr>
          </w:p>
        </w:tc>
        <w:tc>
          <w:tcPr>
            <w:tcW w:w="140" w:type="dxa"/>
            <w:vAlign w:val="bottom"/>
          </w:tcPr>
          <w:p w14:paraId="17A464AD" w14:textId="77777777" w:rsidR="00D1587D" w:rsidRDefault="00D1587D">
            <w:pPr>
              <w:rPr>
                <w:sz w:val="4"/>
                <w:szCs w:val="4"/>
              </w:rPr>
            </w:pPr>
          </w:p>
        </w:tc>
        <w:tc>
          <w:tcPr>
            <w:tcW w:w="360" w:type="dxa"/>
            <w:vAlign w:val="bottom"/>
          </w:tcPr>
          <w:p w14:paraId="18B708B5" w14:textId="77777777" w:rsidR="00D1587D" w:rsidRDefault="00D1587D">
            <w:pPr>
              <w:rPr>
                <w:sz w:val="4"/>
                <w:szCs w:val="4"/>
              </w:rPr>
            </w:pPr>
          </w:p>
        </w:tc>
      </w:tr>
      <w:tr w:rsidR="00D1587D" w14:paraId="1DB2380A" w14:textId="77777777">
        <w:trPr>
          <w:trHeight w:val="304"/>
        </w:trPr>
        <w:tc>
          <w:tcPr>
            <w:tcW w:w="4480" w:type="dxa"/>
            <w:gridSpan w:val="2"/>
            <w:tcBorders>
              <w:bottom w:val="single" w:sz="8" w:space="0" w:color="CCEEFF"/>
            </w:tcBorders>
            <w:shd w:val="clear" w:color="auto" w:fill="CCEEFF"/>
            <w:vAlign w:val="bottom"/>
          </w:tcPr>
          <w:p w14:paraId="63992B4D" w14:textId="77777777" w:rsidR="00D1587D" w:rsidRDefault="00410D07">
            <w:pPr>
              <w:rPr>
                <w:sz w:val="20"/>
                <w:szCs w:val="20"/>
              </w:rPr>
            </w:pPr>
            <w:r>
              <w:rPr>
                <w:rFonts w:ascii="Arial" w:eastAsia="Arial" w:hAnsi="Arial" w:cs="Arial"/>
                <w:sz w:val="18"/>
                <w:szCs w:val="18"/>
              </w:rPr>
              <w:t>Trade Name and Other Intangibles</w:t>
            </w:r>
          </w:p>
        </w:tc>
        <w:tc>
          <w:tcPr>
            <w:tcW w:w="640" w:type="dxa"/>
            <w:gridSpan w:val="2"/>
            <w:tcBorders>
              <w:bottom w:val="single" w:sz="8" w:space="0" w:color="CCEEFF"/>
            </w:tcBorders>
            <w:shd w:val="clear" w:color="auto" w:fill="CCEEFF"/>
            <w:vAlign w:val="bottom"/>
          </w:tcPr>
          <w:p w14:paraId="061F1061" w14:textId="77777777" w:rsidR="00D1587D" w:rsidRDefault="00410D07">
            <w:pPr>
              <w:ind w:right="240"/>
              <w:jc w:val="right"/>
              <w:rPr>
                <w:sz w:val="20"/>
                <w:szCs w:val="20"/>
              </w:rPr>
            </w:pPr>
            <w:r>
              <w:rPr>
                <w:rFonts w:ascii="Arial" w:eastAsia="Arial" w:hAnsi="Arial" w:cs="Arial"/>
                <w:sz w:val="18"/>
                <w:szCs w:val="18"/>
              </w:rPr>
              <w:t>—</w:t>
            </w:r>
          </w:p>
        </w:tc>
        <w:tc>
          <w:tcPr>
            <w:tcW w:w="240" w:type="dxa"/>
            <w:tcBorders>
              <w:bottom w:val="single" w:sz="8" w:space="0" w:color="CCEEFF"/>
            </w:tcBorders>
            <w:shd w:val="clear" w:color="auto" w:fill="CCEEFF"/>
            <w:vAlign w:val="bottom"/>
          </w:tcPr>
          <w:p w14:paraId="70C3FFD3" w14:textId="77777777" w:rsidR="00D1587D" w:rsidRDefault="00D1587D">
            <w:pPr>
              <w:rPr>
                <w:sz w:val="24"/>
                <w:szCs w:val="24"/>
              </w:rPr>
            </w:pPr>
          </w:p>
        </w:tc>
        <w:tc>
          <w:tcPr>
            <w:tcW w:w="380" w:type="dxa"/>
            <w:tcBorders>
              <w:bottom w:val="single" w:sz="8" w:space="0" w:color="CCEEFF"/>
            </w:tcBorders>
            <w:shd w:val="clear" w:color="auto" w:fill="CCEEFF"/>
            <w:vAlign w:val="bottom"/>
          </w:tcPr>
          <w:p w14:paraId="2A3A3066" w14:textId="77777777" w:rsidR="00D1587D" w:rsidRDefault="00410D07">
            <w:pPr>
              <w:jc w:val="right"/>
              <w:rPr>
                <w:sz w:val="20"/>
                <w:szCs w:val="20"/>
              </w:rPr>
            </w:pPr>
            <w:r>
              <w:rPr>
                <w:rFonts w:ascii="Arial" w:eastAsia="Arial" w:hAnsi="Arial" w:cs="Arial"/>
                <w:w w:val="99"/>
                <w:sz w:val="18"/>
                <w:szCs w:val="18"/>
              </w:rPr>
              <w:t>(64)</w:t>
            </w:r>
          </w:p>
        </w:tc>
        <w:tc>
          <w:tcPr>
            <w:tcW w:w="160" w:type="dxa"/>
            <w:tcBorders>
              <w:bottom w:val="single" w:sz="8" w:space="0" w:color="CCEEFF"/>
            </w:tcBorders>
            <w:shd w:val="clear" w:color="auto" w:fill="CCEEFF"/>
            <w:vAlign w:val="bottom"/>
          </w:tcPr>
          <w:p w14:paraId="155F7E84" w14:textId="77777777" w:rsidR="00D1587D" w:rsidRDefault="00D1587D">
            <w:pPr>
              <w:rPr>
                <w:sz w:val="24"/>
                <w:szCs w:val="24"/>
              </w:rPr>
            </w:pPr>
          </w:p>
        </w:tc>
        <w:tc>
          <w:tcPr>
            <w:tcW w:w="120" w:type="dxa"/>
            <w:tcBorders>
              <w:bottom w:val="single" w:sz="8" w:space="0" w:color="CCEEFF"/>
            </w:tcBorders>
            <w:shd w:val="clear" w:color="auto" w:fill="CCEEFF"/>
            <w:vAlign w:val="bottom"/>
          </w:tcPr>
          <w:p w14:paraId="0B85500B" w14:textId="77777777" w:rsidR="00D1587D" w:rsidRDefault="00D1587D">
            <w:pPr>
              <w:rPr>
                <w:sz w:val="24"/>
                <w:szCs w:val="24"/>
              </w:rPr>
            </w:pPr>
          </w:p>
        </w:tc>
        <w:tc>
          <w:tcPr>
            <w:tcW w:w="380" w:type="dxa"/>
            <w:tcBorders>
              <w:bottom w:val="single" w:sz="8" w:space="0" w:color="CCEEFF"/>
            </w:tcBorders>
            <w:shd w:val="clear" w:color="auto" w:fill="CCEEFF"/>
            <w:vAlign w:val="bottom"/>
          </w:tcPr>
          <w:p w14:paraId="145C716B" w14:textId="77777777" w:rsidR="00D1587D" w:rsidRDefault="00410D07">
            <w:pPr>
              <w:jc w:val="right"/>
              <w:rPr>
                <w:sz w:val="20"/>
                <w:szCs w:val="20"/>
              </w:rPr>
            </w:pPr>
            <w:r>
              <w:rPr>
                <w:rFonts w:ascii="Arial" w:eastAsia="Arial" w:hAnsi="Arial" w:cs="Arial"/>
                <w:sz w:val="18"/>
                <w:szCs w:val="18"/>
              </w:rPr>
              <w:t>(64)</w:t>
            </w:r>
          </w:p>
        </w:tc>
        <w:tc>
          <w:tcPr>
            <w:tcW w:w="160" w:type="dxa"/>
            <w:tcBorders>
              <w:bottom w:val="single" w:sz="8" w:space="0" w:color="CCEEFF"/>
            </w:tcBorders>
            <w:shd w:val="clear" w:color="auto" w:fill="CCEEFF"/>
            <w:vAlign w:val="bottom"/>
          </w:tcPr>
          <w:p w14:paraId="3977CAEC" w14:textId="77777777" w:rsidR="00D1587D" w:rsidRDefault="00D1587D">
            <w:pPr>
              <w:rPr>
                <w:sz w:val="24"/>
                <w:szCs w:val="24"/>
              </w:rPr>
            </w:pPr>
          </w:p>
        </w:tc>
        <w:tc>
          <w:tcPr>
            <w:tcW w:w="580" w:type="dxa"/>
            <w:gridSpan w:val="2"/>
            <w:tcBorders>
              <w:bottom w:val="single" w:sz="8" w:space="0" w:color="CCEEFF"/>
            </w:tcBorders>
            <w:shd w:val="clear" w:color="auto" w:fill="CCEEFF"/>
            <w:vAlign w:val="bottom"/>
          </w:tcPr>
          <w:p w14:paraId="43B08A4A" w14:textId="77777777" w:rsidR="00D1587D" w:rsidRDefault="00410D07">
            <w:pPr>
              <w:ind w:right="220"/>
              <w:jc w:val="right"/>
              <w:rPr>
                <w:sz w:val="20"/>
                <w:szCs w:val="20"/>
              </w:rPr>
            </w:pPr>
            <w:r>
              <w:rPr>
                <w:rFonts w:ascii="Arial" w:eastAsia="Arial" w:hAnsi="Arial" w:cs="Arial"/>
                <w:sz w:val="18"/>
                <w:szCs w:val="18"/>
              </w:rPr>
              <w:t>—</w:t>
            </w:r>
          </w:p>
        </w:tc>
        <w:tc>
          <w:tcPr>
            <w:tcW w:w="240" w:type="dxa"/>
            <w:tcBorders>
              <w:bottom w:val="single" w:sz="8" w:space="0" w:color="CCEEFF"/>
            </w:tcBorders>
            <w:shd w:val="clear" w:color="auto" w:fill="CCEEFF"/>
            <w:vAlign w:val="bottom"/>
          </w:tcPr>
          <w:p w14:paraId="66B60874" w14:textId="77777777" w:rsidR="00D1587D" w:rsidRDefault="00D1587D">
            <w:pPr>
              <w:rPr>
                <w:sz w:val="24"/>
                <w:szCs w:val="24"/>
              </w:rPr>
            </w:pPr>
          </w:p>
        </w:tc>
        <w:tc>
          <w:tcPr>
            <w:tcW w:w="380" w:type="dxa"/>
            <w:tcBorders>
              <w:bottom w:val="single" w:sz="8" w:space="0" w:color="CCEEFF"/>
            </w:tcBorders>
            <w:shd w:val="clear" w:color="auto" w:fill="CCEEFF"/>
            <w:vAlign w:val="bottom"/>
          </w:tcPr>
          <w:p w14:paraId="706F4698" w14:textId="77777777" w:rsidR="00D1587D" w:rsidRDefault="00410D07">
            <w:pPr>
              <w:jc w:val="right"/>
              <w:rPr>
                <w:sz w:val="20"/>
                <w:szCs w:val="20"/>
              </w:rPr>
            </w:pPr>
            <w:r>
              <w:rPr>
                <w:rFonts w:ascii="Arial" w:eastAsia="Arial" w:hAnsi="Arial" w:cs="Arial"/>
                <w:w w:val="99"/>
                <w:sz w:val="18"/>
                <w:szCs w:val="18"/>
              </w:rPr>
              <w:t>(63)</w:t>
            </w:r>
          </w:p>
        </w:tc>
        <w:tc>
          <w:tcPr>
            <w:tcW w:w="160" w:type="dxa"/>
            <w:tcBorders>
              <w:bottom w:val="single" w:sz="8" w:space="0" w:color="CCEEFF"/>
            </w:tcBorders>
            <w:shd w:val="clear" w:color="auto" w:fill="CCEEFF"/>
            <w:vAlign w:val="bottom"/>
          </w:tcPr>
          <w:p w14:paraId="77F42A1B" w14:textId="77777777" w:rsidR="00D1587D" w:rsidRDefault="00D1587D">
            <w:pPr>
              <w:rPr>
                <w:sz w:val="24"/>
                <w:szCs w:val="24"/>
              </w:rPr>
            </w:pPr>
          </w:p>
        </w:tc>
        <w:tc>
          <w:tcPr>
            <w:tcW w:w="140" w:type="dxa"/>
            <w:tcBorders>
              <w:bottom w:val="single" w:sz="8" w:space="0" w:color="CCEEFF"/>
            </w:tcBorders>
            <w:shd w:val="clear" w:color="auto" w:fill="CCEEFF"/>
            <w:vAlign w:val="bottom"/>
          </w:tcPr>
          <w:p w14:paraId="6D00356F" w14:textId="77777777" w:rsidR="00D1587D" w:rsidRDefault="00D1587D">
            <w:pPr>
              <w:rPr>
                <w:sz w:val="24"/>
                <w:szCs w:val="24"/>
              </w:rPr>
            </w:pPr>
          </w:p>
        </w:tc>
        <w:tc>
          <w:tcPr>
            <w:tcW w:w="360" w:type="dxa"/>
            <w:tcBorders>
              <w:bottom w:val="single" w:sz="8" w:space="0" w:color="CCEEFF"/>
            </w:tcBorders>
            <w:shd w:val="clear" w:color="auto" w:fill="CCEEFF"/>
            <w:vAlign w:val="bottom"/>
          </w:tcPr>
          <w:p w14:paraId="3C0EC542" w14:textId="77777777" w:rsidR="00D1587D" w:rsidRDefault="00410D07">
            <w:pPr>
              <w:jc w:val="right"/>
              <w:rPr>
                <w:sz w:val="20"/>
                <w:szCs w:val="20"/>
              </w:rPr>
            </w:pPr>
            <w:r>
              <w:rPr>
                <w:rFonts w:ascii="Arial" w:eastAsia="Arial" w:hAnsi="Arial" w:cs="Arial"/>
                <w:w w:val="99"/>
                <w:sz w:val="18"/>
                <w:szCs w:val="18"/>
              </w:rPr>
              <w:t>(63)</w:t>
            </w:r>
          </w:p>
        </w:tc>
      </w:tr>
      <w:tr w:rsidR="00D1587D" w14:paraId="0E8DB1C2" w14:textId="77777777">
        <w:trPr>
          <w:trHeight w:val="270"/>
        </w:trPr>
        <w:tc>
          <w:tcPr>
            <w:tcW w:w="4480" w:type="dxa"/>
            <w:gridSpan w:val="2"/>
            <w:vAlign w:val="bottom"/>
          </w:tcPr>
          <w:p w14:paraId="591CA0E9" w14:textId="77777777" w:rsidR="00D1587D" w:rsidRDefault="00410D07">
            <w:pPr>
              <w:rPr>
                <w:sz w:val="20"/>
                <w:szCs w:val="20"/>
              </w:rPr>
            </w:pPr>
            <w:r>
              <w:rPr>
                <w:rFonts w:ascii="Arial" w:eastAsia="Arial" w:hAnsi="Arial" w:cs="Arial"/>
                <w:sz w:val="18"/>
                <w:szCs w:val="18"/>
              </w:rPr>
              <w:t>Other, Net</w:t>
            </w:r>
          </w:p>
        </w:tc>
        <w:tc>
          <w:tcPr>
            <w:tcW w:w="480" w:type="dxa"/>
            <w:vAlign w:val="bottom"/>
          </w:tcPr>
          <w:p w14:paraId="3A55FD36" w14:textId="77777777" w:rsidR="00D1587D" w:rsidRDefault="00410D07">
            <w:pPr>
              <w:jc w:val="right"/>
              <w:rPr>
                <w:sz w:val="20"/>
                <w:szCs w:val="20"/>
              </w:rPr>
            </w:pPr>
            <w:r>
              <w:rPr>
                <w:rFonts w:ascii="Arial" w:eastAsia="Arial" w:hAnsi="Arial" w:cs="Arial"/>
                <w:sz w:val="18"/>
                <w:szCs w:val="18"/>
              </w:rPr>
              <w:t>72</w:t>
            </w:r>
          </w:p>
        </w:tc>
        <w:tc>
          <w:tcPr>
            <w:tcW w:w="160" w:type="dxa"/>
            <w:vAlign w:val="bottom"/>
          </w:tcPr>
          <w:p w14:paraId="0FDFD00B" w14:textId="77777777" w:rsidR="00D1587D" w:rsidRDefault="00D1587D">
            <w:pPr>
              <w:rPr>
                <w:sz w:val="23"/>
                <w:szCs w:val="23"/>
              </w:rPr>
            </w:pPr>
          </w:p>
        </w:tc>
        <w:tc>
          <w:tcPr>
            <w:tcW w:w="240" w:type="dxa"/>
            <w:vAlign w:val="bottom"/>
          </w:tcPr>
          <w:p w14:paraId="183CFE28" w14:textId="77777777" w:rsidR="00D1587D" w:rsidRDefault="00D1587D">
            <w:pPr>
              <w:rPr>
                <w:sz w:val="23"/>
                <w:szCs w:val="23"/>
              </w:rPr>
            </w:pPr>
          </w:p>
        </w:tc>
        <w:tc>
          <w:tcPr>
            <w:tcW w:w="380" w:type="dxa"/>
            <w:vAlign w:val="bottom"/>
          </w:tcPr>
          <w:p w14:paraId="76EEF4EF" w14:textId="77777777" w:rsidR="00D1587D" w:rsidRDefault="00410D07">
            <w:pPr>
              <w:jc w:val="right"/>
              <w:rPr>
                <w:sz w:val="20"/>
                <w:szCs w:val="20"/>
              </w:rPr>
            </w:pPr>
            <w:r>
              <w:rPr>
                <w:rFonts w:ascii="Arial" w:eastAsia="Arial" w:hAnsi="Arial" w:cs="Arial"/>
                <w:w w:val="99"/>
                <w:sz w:val="18"/>
                <w:szCs w:val="18"/>
              </w:rPr>
              <w:t>(28)</w:t>
            </w:r>
          </w:p>
        </w:tc>
        <w:tc>
          <w:tcPr>
            <w:tcW w:w="160" w:type="dxa"/>
            <w:vAlign w:val="bottom"/>
          </w:tcPr>
          <w:p w14:paraId="48375BB3" w14:textId="77777777" w:rsidR="00D1587D" w:rsidRDefault="00D1587D">
            <w:pPr>
              <w:rPr>
                <w:sz w:val="23"/>
                <w:szCs w:val="23"/>
              </w:rPr>
            </w:pPr>
          </w:p>
        </w:tc>
        <w:tc>
          <w:tcPr>
            <w:tcW w:w="120" w:type="dxa"/>
            <w:vAlign w:val="bottom"/>
          </w:tcPr>
          <w:p w14:paraId="0EC5CB01" w14:textId="77777777" w:rsidR="00D1587D" w:rsidRDefault="00D1587D">
            <w:pPr>
              <w:rPr>
                <w:sz w:val="23"/>
                <w:szCs w:val="23"/>
              </w:rPr>
            </w:pPr>
          </w:p>
        </w:tc>
        <w:tc>
          <w:tcPr>
            <w:tcW w:w="380" w:type="dxa"/>
            <w:vAlign w:val="bottom"/>
          </w:tcPr>
          <w:p w14:paraId="5509AB32" w14:textId="77777777" w:rsidR="00D1587D" w:rsidRDefault="00410D07">
            <w:pPr>
              <w:jc w:val="right"/>
              <w:rPr>
                <w:sz w:val="20"/>
                <w:szCs w:val="20"/>
              </w:rPr>
            </w:pPr>
            <w:r>
              <w:rPr>
                <w:rFonts w:ascii="Arial" w:eastAsia="Arial" w:hAnsi="Arial" w:cs="Arial"/>
                <w:sz w:val="18"/>
                <w:szCs w:val="18"/>
              </w:rPr>
              <w:t>44</w:t>
            </w:r>
          </w:p>
        </w:tc>
        <w:tc>
          <w:tcPr>
            <w:tcW w:w="160" w:type="dxa"/>
            <w:vAlign w:val="bottom"/>
          </w:tcPr>
          <w:p w14:paraId="6EF98217" w14:textId="77777777" w:rsidR="00D1587D" w:rsidRDefault="00D1587D">
            <w:pPr>
              <w:rPr>
                <w:sz w:val="23"/>
                <w:szCs w:val="23"/>
              </w:rPr>
            </w:pPr>
          </w:p>
        </w:tc>
        <w:tc>
          <w:tcPr>
            <w:tcW w:w="420" w:type="dxa"/>
            <w:vAlign w:val="bottom"/>
          </w:tcPr>
          <w:p w14:paraId="75009FE4" w14:textId="77777777" w:rsidR="00D1587D" w:rsidRDefault="00410D07">
            <w:pPr>
              <w:jc w:val="right"/>
              <w:rPr>
                <w:sz w:val="20"/>
                <w:szCs w:val="20"/>
              </w:rPr>
            </w:pPr>
            <w:r>
              <w:rPr>
                <w:rFonts w:ascii="Arial" w:eastAsia="Arial" w:hAnsi="Arial" w:cs="Arial"/>
                <w:sz w:val="18"/>
                <w:szCs w:val="18"/>
              </w:rPr>
              <w:t>86</w:t>
            </w:r>
          </w:p>
        </w:tc>
        <w:tc>
          <w:tcPr>
            <w:tcW w:w="160" w:type="dxa"/>
            <w:vAlign w:val="bottom"/>
          </w:tcPr>
          <w:p w14:paraId="3402F1A1" w14:textId="77777777" w:rsidR="00D1587D" w:rsidRDefault="00D1587D">
            <w:pPr>
              <w:rPr>
                <w:sz w:val="23"/>
                <w:szCs w:val="23"/>
              </w:rPr>
            </w:pPr>
          </w:p>
        </w:tc>
        <w:tc>
          <w:tcPr>
            <w:tcW w:w="240" w:type="dxa"/>
            <w:vAlign w:val="bottom"/>
          </w:tcPr>
          <w:p w14:paraId="6FFC7471" w14:textId="77777777" w:rsidR="00D1587D" w:rsidRDefault="00D1587D">
            <w:pPr>
              <w:rPr>
                <w:sz w:val="23"/>
                <w:szCs w:val="23"/>
              </w:rPr>
            </w:pPr>
          </w:p>
        </w:tc>
        <w:tc>
          <w:tcPr>
            <w:tcW w:w="380" w:type="dxa"/>
            <w:vAlign w:val="bottom"/>
          </w:tcPr>
          <w:p w14:paraId="430C13C7" w14:textId="77777777" w:rsidR="00D1587D" w:rsidRDefault="00410D07">
            <w:pPr>
              <w:jc w:val="right"/>
              <w:rPr>
                <w:sz w:val="20"/>
                <w:szCs w:val="20"/>
              </w:rPr>
            </w:pPr>
            <w:r>
              <w:rPr>
                <w:rFonts w:ascii="Arial" w:eastAsia="Arial" w:hAnsi="Arial" w:cs="Arial"/>
                <w:w w:val="99"/>
                <w:sz w:val="18"/>
                <w:szCs w:val="18"/>
              </w:rPr>
              <w:t>(27)</w:t>
            </w:r>
          </w:p>
        </w:tc>
        <w:tc>
          <w:tcPr>
            <w:tcW w:w="160" w:type="dxa"/>
            <w:vAlign w:val="bottom"/>
          </w:tcPr>
          <w:p w14:paraId="415F9588" w14:textId="77777777" w:rsidR="00D1587D" w:rsidRDefault="00D1587D">
            <w:pPr>
              <w:rPr>
                <w:sz w:val="23"/>
                <w:szCs w:val="23"/>
              </w:rPr>
            </w:pPr>
          </w:p>
        </w:tc>
        <w:tc>
          <w:tcPr>
            <w:tcW w:w="140" w:type="dxa"/>
            <w:vAlign w:val="bottom"/>
          </w:tcPr>
          <w:p w14:paraId="0AF84CE3" w14:textId="77777777" w:rsidR="00D1587D" w:rsidRDefault="00D1587D">
            <w:pPr>
              <w:rPr>
                <w:sz w:val="23"/>
                <w:szCs w:val="23"/>
              </w:rPr>
            </w:pPr>
          </w:p>
        </w:tc>
        <w:tc>
          <w:tcPr>
            <w:tcW w:w="360" w:type="dxa"/>
            <w:vAlign w:val="bottom"/>
          </w:tcPr>
          <w:p w14:paraId="72AA6911" w14:textId="77777777" w:rsidR="00D1587D" w:rsidRDefault="00410D07">
            <w:pPr>
              <w:jc w:val="right"/>
              <w:rPr>
                <w:sz w:val="20"/>
                <w:szCs w:val="20"/>
              </w:rPr>
            </w:pPr>
            <w:r>
              <w:rPr>
                <w:rFonts w:ascii="Arial" w:eastAsia="Arial" w:hAnsi="Arial" w:cs="Arial"/>
                <w:sz w:val="18"/>
                <w:szCs w:val="18"/>
              </w:rPr>
              <w:t>59</w:t>
            </w:r>
          </w:p>
        </w:tc>
      </w:tr>
      <w:tr w:rsidR="00D1587D" w14:paraId="631DA544" w14:textId="77777777">
        <w:trPr>
          <w:trHeight w:val="54"/>
        </w:trPr>
        <w:tc>
          <w:tcPr>
            <w:tcW w:w="4400" w:type="dxa"/>
            <w:vAlign w:val="bottom"/>
          </w:tcPr>
          <w:p w14:paraId="6CE90743" w14:textId="77777777" w:rsidR="00D1587D" w:rsidRDefault="00D1587D">
            <w:pPr>
              <w:rPr>
                <w:sz w:val="4"/>
                <w:szCs w:val="4"/>
              </w:rPr>
            </w:pPr>
          </w:p>
        </w:tc>
        <w:tc>
          <w:tcPr>
            <w:tcW w:w="80" w:type="dxa"/>
            <w:vAlign w:val="bottom"/>
          </w:tcPr>
          <w:p w14:paraId="42C8807D" w14:textId="77777777" w:rsidR="00D1587D" w:rsidRDefault="00D1587D">
            <w:pPr>
              <w:rPr>
                <w:sz w:val="4"/>
                <w:szCs w:val="4"/>
              </w:rPr>
            </w:pPr>
          </w:p>
        </w:tc>
        <w:tc>
          <w:tcPr>
            <w:tcW w:w="480" w:type="dxa"/>
            <w:vAlign w:val="bottom"/>
          </w:tcPr>
          <w:p w14:paraId="20F60BA9" w14:textId="77777777" w:rsidR="00D1587D" w:rsidRDefault="00D1587D">
            <w:pPr>
              <w:rPr>
                <w:sz w:val="4"/>
                <w:szCs w:val="4"/>
              </w:rPr>
            </w:pPr>
          </w:p>
        </w:tc>
        <w:tc>
          <w:tcPr>
            <w:tcW w:w="160" w:type="dxa"/>
            <w:vAlign w:val="bottom"/>
          </w:tcPr>
          <w:p w14:paraId="1A2A1A7A" w14:textId="77777777" w:rsidR="00D1587D" w:rsidRDefault="00D1587D">
            <w:pPr>
              <w:rPr>
                <w:sz w:val="4"/>
                <w:szCs w:val="4"/>
              </w:rPr>
            </w:pPr>
          </w:p>
        </w:tc>
        <w:tc>
          <w:tcPr>
            <w:tcW w:w="240" w:type="dxa"/>
            <w:vAlign w:val="bottom"/>
          </w:tcPr>
          <w:p w14:paraId="5C468A1E" w14:textId="77777777" w:rsidR="00D1587D" w:rsidRDefault="00D1587D">
            <w:pPr>
              <w:rPr>
                <w:sz w:val="4"/>
                <w:szCs w:val="4"/>
              </w:rPr>
            </w:pPr>
          </w:p>
        </w:tc>
        <w:tc>
          <w:tcPr>
            <w:tcW w:w="380" w:type="dxa"/>
            <w:vAlign w:val="bottom"/>
          </w:tcPr>
          <w:p w14:paraId="192D8BE6" w14:textId="77777777" w:rsidR="00D1587D" w:rsidRDefault="00D1587D">
            <w:pPr>
              <w:rPr>
                <w:sz w:val="4"/>
                <w:szCs w:val="4"/>
              </w:rPr>
            </w:pPr>
          </w:p>
        </w:tc>
        <w:tc>
          <w:tcPr>
            <w:tcW w:w="160" w:type="dxa"/>
            <w:vAlign w:val="bottom"/>
          </w:tcPr>
          <w:p w14:paraId="035CB8B8" w14:textId="77777777" w:rsidR="00D1587D" w:rsidRDefault="00D1587D">
            <w:pPr>
              <w:rPr>
                <w:sz w:val="4"/>
                <w:szCs w:val="4"/>
              </w:rPr>
            </w:pPr>
          </w:p>
        </w:tc>
        <w:tc>
          <w:tcPr>
            <w:tcW w:w="500" w:type="dxa"/>
            <w:gridSpan w:val="2"/>
            <w:vAlign w:val="bottom"/>
          </w:tcPr>
          <w:p w14:paraId="17272D3C" w14:textId="77777777" w:rsidR="00D1587D" w:rsidRDefault="00D1587D">
            <w:pPr>
              <w:rPr>
                <w:sz w:val="4"/>
                <w:szCs w:val="4"/>
              </w:rPr>
            </w:pPr>
          </w:p>
        </w:tc>
        <w:tc>
          <w:tcPr>
            <w:tcW w:w="160" w:type="dxa"/>
            <w:vAlign w:val="bottom"/>
          </w:tcPr>
          <w:p w14:paraId="54FF07B9" w14:textId="77777777" w:rsidR="00D1587D" w:rsidRDefault="00D1587D">
            <w:pPr>
              <w:rPr>
                <w:sz w:val="4"/>
                <w:szCs w:val="4"/>
              </w:rPr>
            </w:pPr>
          </w:p>
        </w:tc>
        <w:tc>
          <w:tcPr>
            <w:tcW w:w="420" w:type="dxa"/>
            <w:vAlign w:val="bottom"/>
          </w:tcPr>
          <w:p w14:paraId="56D8357F" w14:textId="77777777" w:rsidR="00D1587D" w:rsidRDefault="00D1587D">
            <w:pPr>
              <w:rPr>
                <w:sz w:val="4"/>
                <w:szCs w:val="4"/>
              </w:rPr>
            </w:pPr>
          </w:p>
        </w:tc>
        <w:tc>
          <w:tcPr>
            <w:tcW w:w="160" w:type="dxa"/>
            <w:vAlign w:val="bottom"/>
          </w:tcPr>
          <w:p w14:paraId="3F893B8D" w14:textId="77777777" w:rsidR="00D1587D" w:rsidRDefault="00D1587D">
            <w:pPr>
              <w:rPr>
                <w:sz w:val="4"/>
                <w:szCs w:val="4"/>
              </w:rPr>
            </w:pPr>
          </w:p>
        </w:tc>
        <w:tc>
          <w:tcPr>
            <w:tcW w:w="240" w:type="dxa"/>
            <w:vAlign w:val="bottom"/>
          </w:tcPr>
          <w:p w14:paraId="0EBE7814" w14:textId="77777777" w:rsidR="00D1587D" w:rsidRDefault="00D1587D">
            <w:pPr>
              <w:rPr>
                <w:sz w:val="4"/>
                <w:szCs w:val="4"/>
              </w:rPr>
            </w:pPr>
          </w:p>
        </w:tc>
        <w:tc>
          <w:tcPr>
            <w:tcW w:w="380" w:type="dxa"/>
            <w:vAlign w:val="bottom"/>
          </w:tcPr>
          <w:p w14:paraId="3C11414D" w14:textId="77777777" w:rsidR="00D1587D" w:rsidRDefault="00D1587D">
            <w:pPr>
              <w:rPr>
                <w:sz w:val="4"/>
                <w:szCs w:val="4"/>
              </w:rPr>
            </w:pPr>
          </w:p>
        </w:tc>
        <w:tc>
          <w:tcPr>
            <w:tcW w:w="160" w:type="dxa"/>
            <w:vAlign w:val="bottom"/>
          </w:tcPr>
          <w:p w14:paraId="7D02FCFD" w14:textId="77777777" w:rsidR="00D1587D" w:rsidRDefault="00D1587D">
            <w:pPr>
              <w:rPr>
                <w:sz w:val="4"/>
                <w:szCs w:val="4"/>
              </w:rPr>
            </w:pPr>
          </w:p>
        </w:tc>
        <w:tc>
          <w:tcPr>
            <w:tcW w:w="140" w:type="dxa"/>
            <w:vAlign w:val="bottom"/>
          </w:tcPr>
          <w:p w14:paraId="76B063D4" w14:textId="77777777" w:rsidR="00D1587D" w:rsidRDefault="00D1587D">
            <w:pPr>
              <w:rPr>
                <w:sz w:val="4"/>
                <w:szCs w:val="4"/>
              </w:rPr>
            </w:pPr>
          </w:p>
        </w:tc>
        <w:tc>
          <w:tcPr>
            <w:tcW w:w="360" w:type="dxa"/>
            <w:vAlign w:val="bottom"/>
          </w:tcPr>
          <w:p w14:paraId="67F2A7D6" w14:textId="77777777" w:rsidR="00D1587D" w:rsidRDefault="00D1587D">
            <w:pPr>
              <w:rPr>
                <w:sz w:val="4"/>
                <w:szCs w:val="4"/>
              </w:rPr>
            </w:pPr>
          </w:p>
        </w:tc>
      </w:tr>
      <w:tr w:rsidR="00D1587D" w14:paraId="3BADF61C" w14:textId="77777777">
        <w:trPr>
          <w:trHeight w:val="270"/>
        </w:trPr>
        <w:tc>
          <w:tcPr>
            <w:tcW w:w="4480" w:type="dxa"/>
            <w:gridSpan w:val="2"/>
            <w:shd w:val="clear" w:color="auto" w:fill="CCEEFF"/>
            <w:vAlign w:val="bottom"/>
          </w:tcPr>
          <w:p w14:paraId="035A0A75" w14:textId="77777777" w:rsidR="00D1587D" w:rsidRDefault="00410D07">
            <w:pPr>
              <w:rPr>
                <w:sz w:val="20"/>
                <w:szCs w:val="20"/>
              </w:rPr>
            </w:pPr>
            <w:r>
              <w:rPr>
                <w:rFonts w:ascii="Arial" w:eastAsia="Arial" w:hAnsi="Arial" w:cs="Arial"/>
                <w:sz w:val="18"/>
                <w:szCs w:val="18"/>
              </w:rPr>
              <w:t>Valuation Allowance</w:t>
            </w:r>
          </w:p>
        </w:tc>
        <w:tc>
          <w:tcPr>
            <w:tcW w:w="480" w:type="dxa"/>
            <w:shd w:val="clear" w:color="auto" w:fill="CCEEFF"/>
            <w:vAlign w:val="bottom"/>
          </w:tcPr>
          <w:p w14:paraId="304FDB6F" w14:textId="77777777" w:rsidR="00D1587D" w:rsidRDefault="00410D07">
            <w:pPr>
              <w:jc w:val="right"/>
              <w:rPr>
                <w:sz w:val="20"/>
                <w:szCs w:val="20"/>
              </w:rPr>
            </w:pPr>
            <w:r>
              <w:rPr>
                <w:rFonts w:ascii="Arial" w:eastAsia="Arial" w:hAnsi="Arial" w:cs="Arial"/>
                <w:sz w:val="18"/>
                <w:szCs w:val="18"/>
              </w:rPr>
              <w:t>(316)</w:t>
            </w:r>
          </w:p>
        </w:tc>
        <w:tc>
          <w:tcPr>
            <w:tcW w:w="160" w:type="dxa"/>
            <w:shd w:val="clear" w:color="auto" w:fill="CCEEFF"/>
            <w:vAlign w:val="bottom"/>
          </w:tcPr>
          <w:p w14:paraId="02A1FC42" w14:textId="77777777" w:rsidR="00D1587D" w:rsidRDefault="00D1587D">
            <w:pPr>
              <w:rPr>
                <w:sz w:val="23"/>
                <w:szCs w:val="23"/>
              </w:rPr>
            </w:pPr>
          </w:p>
        </w:tc>
        <w:tc>
          <w:tcPr>
            <w:tcW w:w="240" w:type="dxa"/>
            <w:shd w:val="clear" w:color="auto" w:fill="CCEEFF"/>
            <w:vAlign w:val="bottom"/>
          </w:tcPr>
          <w:p w14:paraId="1B5715AB" w14:textId="77777777" w:rsidR="00D1587D" w:rsidRDefault="00D1587D">
            <w:pPr>
              <w:rPr>
                <w:sz w:val="23"/>
                <w:szCs w:val="23"/>
              </w:rPr>
            </w:pPr>
          </w:p>
        </w:tc>
        <w:tc>
          <w:tcPr>
            <w:tcW w:w="540" w:type="dxa"/>
            <w:gridSpan w:val="2"/>
            <w:shd w:val="clear" w:color="auto" w:fill="CCEEFF"/>
            <w:vAlign w:val="bottom"/>
          </w:tcPr>
          <w:p w14:paraId="76E7029C" w14:textId="77777777" w:rsidR="00D1587D" w:rsidRDefault="00410D07">
            <w:pPr>
              <w:ind w:right="280"/>
              <w:jc w:val="right"/>
              <w:rPr>
                <w:sz w:val="20"/>
                <w:szCs w:val="20"/>
              </w:rPr>
            </w:pPr>
            <w:r>
              <w:rPr>
                <w:rFonts w:ascii="Arial" w:eastAsia="Arial" w:hAnsi="Arial" w:cs="Arial"/>
                <w:sz w:val="18"/>
                <w:szCs w:val="18"/>
              </w:rPr>
              <w:t>—</w:t>
            </w:r>
          </w:p>
        </w:tc>
        <w:tc>
          <w:tcPr>
            <w:tcW w:w="500" w:type="dxa"/>
            <w:gridSpan w:val="2"/>
            <w:shd w:val="clear" w:color="auto" w:fill="CCEEFF"/>
            <w:vAlign w:val="bottom"/>
          </w:tcPr>
          <w:p w14:paraId="175C0213" w14:textId="77777777" w:rsidR="00D1587D" w:rsidRDefault="00410D07">
            <w:pPr>
              <w:jc w:val="right"/>
              <w:rPr>
                <w:sz w:val="20"/>
                <w:szCs w:val="20"/>
              </w:rPr>
            </w:pPr>
            <w:r>
              <w:rPr>
                <w:rFonts w:ascii="Arial" w:eastAsia="Arial" w:hAnsi="Arial" w:cs="Arial"/>
                <w:sz w:val="18"/>
                <w:szCs w:val="18"/>
              </w:rPr>
              <w:t>(316)</w:t>
            </w:r>
          </w:p>
        </w:tc>
        <w:tc>
          <w:tcPr>
            <w:tcW w:w="160" w:type="dxa"/>
            <w:shd w:val="clear" w:color="auto" w:fill="CCEEFF"/>
            <w:vAlign w:val="bottom"/>
          </w:tcPr>
          <w:p w14:paraId="3FC85FDB" w14:textId="77777777" w:rsidR="00D1587D" w:rsidRDefault="00D1587D">
            <w:pPr>
              <w:rPr>
                <w:sz w:val="23"/>
                <w:szCs w:val="23"/>
              </w:rPr>
            </w:pPr>
          </w:p>
        </w:tc>
        <w:tc>
          <w:tcPr>
            <w:tcW w:w="420" w:type="dxa"/>
            <w:shd w:val="clear" w:color="auto" w:fill="CCEEFF"/>
            <w:vAlign w:val="bottom"/>
          </w:tcPr>
          <w:p w14:paraId="05121CF1" w14:textId="77777777" w:rsidR="00D1587D" w:rsidRDefault="00410D07">
            <w:pPr>
              <w:jc w:val="right"/>
              <w:rPr>
                <w:sz w:val="20"/>
                <w:szCs w:val="20"/>
              </w:rPr>
            </w:pPr>
            <w:r>
              <w:rPr>
                <w:rFonts w:ascii="Arial" w:eastAsia="Arial" w:hAnsi="Arial" w:cs="Arial"/>
                <w:sz w:val="18"/>
                <w:szCs w:val="18"/>
              </w:rPr>
              <w:t>(91)</w:t>
            </w:r>
          </w:p>
        </w:tc>
        <w:tc>
          <w:tcPr>
            <w:tcW w:w="160" w:type="dxa"/>
            <w:shd w:val="clear" w:color="auto" w:fill="CCEEFF"/>
            <w:vAlign w:val="bottom"/>
          </w:tcPr>
          <w:p w14:paraId="22ED0EDD" w14:textId="77777777" w:rsidR="00D1587D" w:rsidRDefault="00D1587D">
            <w:pPr>
              <w:rPr>
                <w:sz w:val="23"/>
                <w:szCs w:val="23"/>
              </w:rPr>
            </w:pPr>
          </w:p>
        </w:tc>
        <w:tc>
          <w:tcPr>
            <w:tcW w:w="240" w:type="dxa"/>
            <w:shd w:val="clear" w:color="auto" w:fill="CCEEFF"/>
            <w:vAlign w:val="bottom"/>
          </w:tcPr>
          <w:p w14:paraId="7B5FE86F" w14:textId="77777777" w:rsidR="00D1587D" w:rsidRDefault="00D1587D">
            <w:pPr>
              <w:rPr>
                <w:sz w:val="23"/>
                <w:szCs w:val="23"/>
              </w:rPr>
            </w:pPr>
          </w:p>
        </w:tc>
        <w:tc>
          <w:tcPr>
            <w:tcW w:w="540" w:type="dxa"/>
            <w:gridSpan w:val="2"/>
            <w:shd w:val="clear" w:color="auto" w:fill="CCEEFF"/>
            <w:vAlign w:val="bottom"/>
          </w:tcPr>
          <w:p w14:paraId="2964D459" w14:textId="77777777" w:rsidR="00D1587D" w:rsidRDefault="00410D07">
            <w:pPr>
              <w:ind w:right="260"/>
              <w:jc w:val="right"/>
              <w:rPr>
                <w:sz w:val="20"/>
                <w:szCs w:val="20"/>
              </w:rPr>
            </w:pPr>
            <w:r>
              <w:rPr>
                <w:rFonts w:ascii="Arial" w:eastAsia="Arial" w:hAnsi="Arial" w:cs="Arial"/>
                <w:sz w:val="18"/>
                <w:szCs w:val="18"/>
              </w:rPr>
              <w:t>—</w:t>
            </w:r>
          </w:p>
        </w:tc>
        <w:tc>
          <w:tcPr>
            <w:tcW w:w="140" w:type="dxa"/>
            <w:shd w:val="clear" w:color="auto" w:fill="CCEEFF"/>
            <w:vAlign w:val="bottom"/>
          </w:tcPr>
          <w:p w14:paraId="1C333513" w14:textId="77777777" w:rsidR="00D1587D" w:rsidRDefault="00D1587D">
            <w:pPr>
              <w:rPr>
                <w:sz w:val="23"/>
                <w:szCs w:val="23"/>
              </w:rPr>
            </w:pPr>
          </w:p>
        </w:tc>
        <w:tc>
          <w:tcPr>
            <w:tcW w:w="360" w:type="dxa"/>
            <w:shd w:val="clear" w:color="auto" w:fill="CCEEFF"/>
            <w:vAlign w:val="bottom"/>
          </w:tcPr>
          <w:p w14:paraId="7387CC1A" w14:textId="77777777" w:rsidR="00D1587D" w:rsidRDefault="00410D07">
            <w:pPr>
              <w:jc w:val="right"/>
              <w:rPr>
                <w:sz w:val="20"/>
                <w:szCs w:val="20"/>
              </w:rPr>
            </w:pPr>
            <w:r>
              <w:rPr>
                <w:rFonts w:ascii="Arial" w:eastAsia="Arial" w:hAnsi="Arial" w:cs="Arial"/>
                <w:w w:val="99"/>
                <w:sz w:val="18"/>
                <w:szCs w:val="18"/>
              </w:rPr>
              <w:t>(91)</w:t>
            </w:r>
          </w:p>
        </w:tc>
      </w:tr>
      <w:tr w:rsidR="00D1587D" w14:paraId="083AA864" w14:textId="77777777">
        <w:trPr>
          <w:trHeight w:val="68"/>
        </w:trPr>
        <w:tc>
          <w:tcPr>
            <w:tcW w:w="4400" w:type="dxa"/>
            <w:shd w:val="clear" w:color="auto" w:fill="CCEEFF"/>
            <w:vAlign w:val="bottom"/>
          </w:tcPr>
          <w:p w14:paraId="1BC762F8" w14:textId="77777777" w:rsidR="00D1587D" w:rsidRDefault="00D1587D">
            <w:pPr>
              <w:rPr>
                <w:sz w:val="5"/>
                <w:szCs w:val="5"/>
              </w:rPr>
            </w:pPr>
          </w:p>
        </w:tc>
        <w:tc>
          <w:tcPr>
            <w:tcW w:w="80" w:type="dxa"/>
            <w:tcBorders>
              <w:bottom w:val="single" w:sz="8" w:space="0" w:color="CCEEFF"/>
            </w:tcBorders>
            <w:shd w:val="clear" w:color="auto" w:fill="CCEEFF"/>
            <w:vAlign w:val="bottom"/>
          </w:tcPr>
          <w:p w14:paraId="4B2C92EB" w14:textId="77777777" w:rsidR="00D1587D" w:rsidRDefault="00D1587D">
            <w:pPr>
              <w:rPr>
                <w:sz w:val="5"/>
                <w:szCs w:val="5"/>
              </w:rPr>
            </w:pPr>
          </w:p>
        </w:tc>
        <w:tc>
          <w:tcPr>
            <w:tcW w:w="480" w:type="dxa"/>
            <w:tcBorders>
              <w:bottom w:val="single" w:sz="8" w:space="0" w:color="auto"/>
            </w:tcBorders>
            <w:shd w:val="clear" w:color="auto" w:fill="CCEEFF"/>
            <w:vAlign w:val="bottom"/>
          </w:tcPr>
          <w:p w14:paraId="080D1E83" w14:textId="77777777" w:rsidR="00D1587D" w:rsidRDefault="00D1587D">
            <w:pPr>
              <w:rPr>
                <w:sz w:val="5"/>
                <w:szCs w:val="5"/>
              </w:rPr>
            </w:pPr>
          </w:p>
        </w:tc>
        <w:tc>
          <w:tcPr>
            <w:tcW w:w="160" w:type="dxa"/>
            <w:tcBorders>
              <w:bottom w:val="single" w:sz="8" w:space="0" w:color="CCEEFF"/>
            </w:tcBorders>
            <w:shd w:val="clear" w:color="auto" w:fill="CCEEFF"/>
            <w:vAlign w:val="bottom"/>
          </w:tcPr>
          <w:p w14:paraId="7A583298" w14:textId="77777777" w:rsidR="00D1587D" w:rsidRDefault="00D1587D">
            <w:pPr>
              <w:rPr>
                <w:sz w:val="5"/>
                <w:szCs w:val="5"/>
              </w:rPr>
            </w:pPr>
          </w:p>
        </w:tc>
        <w:tc>
          <w:tcPr>
            <w:tcW w:w="620" w:type="dxa"/>
            <w:gridSpan w:val="2"/>
            <w:tcBorders>
              <w:bottom w:val="single" w:sz="8" w:space="0" w:color="auto"/>
            </w:tcBorders>
            <w:shd w:val="clear" w:color="auto" w:fill="CCEEFF"/>
            <w:vAlign w:val="bottom"/>
          </w:tcPr>
          <w:p w14:paraId="2499FB77" w14:textId="77777777" w:rsidR="00D1587D" w:rsidRDefault="00D1587D">
            <w:pPr>
              <w:rPr>
                <w:sz w:val="5"/>
                <w:szCs w:val="5"/>
              </w:rPr>
            </w:pPr>
          </w:p>
        </w:tc>
        <w:tc>
          <w:tcPr>
            <w:tcW w:w="160" w:type="dxa"/>
            <w:tcBorders>
              <w:bottom w:val="single" w:sz="8" w:space="0" w:color="CCEEFF"/>
            </w:tcBorders>
            <w:shd w:val="clear" w:color="auto" w:fill="CCEEFF"/>
            <w:vAlign w:val="bottom"/>
          </w:tcPr>
          <w:p w14:paraId="4250BCA7" w14:textId="77777777" w:rsidR="00D1587D" w:rsidRDefault="00D1587D">
            <w:pPr>
              <w:rPr>
                <w:sz w:val="5"/>
                <w:szCs w:val="5"/>
              </w:rPr>
            </w:pPr>
          </w:p>
        </w:tc>
        <w:tc>
          <w:tcPr>
            <w:tcW w:w="120" w:type="dxa"/>
            <w:tcBorders>
              <w:bottom w:val="single" w:sz="8" w:space="0" w:color="auto"/>
            </w:tcBorders>
            <w:shd w:val="clear" w:color="auto" w:fill="CCEEFF"/>
            <w:vAlign w:val="bottom"/>
          </w:tcPr>
          <w:p w14:paraId="2E6223E4" w14:textId="77777777" w:rsidR="00D1587D" w:rsidRDefault="00D1587D">
            <w:pPr>
              <w:rPr>
                <w:sz w:val="5"/>
                <w:szCs w:val="5"/>
              </w:rPr>
            </w:pPr>
          </w:p>
        </w:tc>
        <w:tc>
          <w:tcPr>
            <w:tcW w:w="380" w:type="dxa"/>
            <w:tcBorders>
              <w:bottom w:val="single" w:sz="8" w:space="0" w:color="auto"/>
            </w:tcBorders>
            <w:shd w:val="clear" w:color="auto" w:fill="CCEEFF"/>
            <w:vAlign w:val="bottom"/>
          </w:tcPr>
          <w:p w14:paraId="0607B7C6" w14:textId="77777777" w:rsidR="00D1587D" w:rsidRDefault="00D1587D">
            <w:pPr>
              <w:rPr>
                <w:sz w:val="5"/>
                <w:szCs w:val="5"/>
              </w:rPr>
            </w:pPr>
          </w:p>
        </w:tc>
        <w:tc>
          <w:tcPr>
            <w:tcW w:w="160" w:type="dxa"/>
            <w:tcBorders>
              <w:bottom w:val="single" w:sz="8" w:space="0" w:color="CCEEFF"/>
            </w:tcBorders>
            <w:shd w:val="clear" w:color="auto" w:fill="CCEEFF"/>
            <w:vAlign w:val="bottom"/>
          </w:tcPr>
          <w:p w14:paraId="7121E784" w14:textId="77777777" w:rsidR="00D1587D" w:rsidRDefault="00D1587D">
            <w:pPr>
              <w:rPr>
                <w:sz w:val="5"/>
                <w:szCs w:val="5"/>
              </w:rPr>
            </w:pPr>
          </w:p>
        </w:tc>
        <w:tc>
          <w:tcPr>
            <w:tcW w:w="420" w:type="dxa"/>
            <w:tcBorders>
              <w:bottom w:val="single" w:sz="8" w:space="0" w:color="auto"/>
            </w:tcBorders>
            <w:shd w:val="clear" w:color="auto" w:fill="CCEEFF"/>
            <w:vAlign w:val="bottom"/>
          </w:tcPr>
          <w:p w14:paraId="3CBBA2D2" w14:textId="77777777" w:rsidR="00D1587D" w:rsidRDefault="00D1587D">
            <w:pPr>
              <w:rPr>
                <w:sz w:val="5"/>
                <w:szCs w:val="5"/>
              </w:rPr>
            </w:pPr>
          </w:p>
        </w:tc>
        <w:tc>
          <w:tcPr>
            <w:tcW w:w="160" w:type="dxa"/>
            <w:tcBorders>
              <w:bottom w:val="single" w:sz="8" w:space="0" w:color="CCEEFF"/>
            </w:tcBorders>
            <w:shd w:val="clear" w:color="auto" w:fill="CCEEFF"/>
            <w:vAlign w:val="bottom"/>
          </w:tcPr>
          <w:p w14:paraId="0562337A" w14:textId="77777777" w:rsidR="00D1587D" w:rsidRDefault="00D1587D">
            <w:pPr>
              <w:rPr>
                <w:sz w:val="5"/>
                <w:szCs w:val="5"/>
              </w:rPr>
            </w:pPr>
          </w:p>
        </w:tc>
        <w:tc>
          <w:tcPr>
            <w:tcW w:w="620" w:type="dxa"/>
            <w:gridSpan w:val="2"/>
            <w:tcBorders>
              <w:bottom w:val="single" w:sz="8" w:space="0" w:color="auto"/>
            </w:tcBorders>
            <w:shd w:val="clear" w:color="auto" w:fill="CCEEFF"/>
            <w:vAlign w:val="bottom"/>
          </w:tcPr>
          <w:p w14:paraId="235D72FD" w14:textId="77777777" w:rsidR="00D1587D" w:rsidRDefault="00D1587D">
            <w:pPr>
              <w:rPr>
                <w:sz w:val="5"/>
                <w:szCs w:val="5"/>
              </w:rPr>
            </w:pPr>
          </w:p>
        </w:tc>
        <w:tc>
          <w:tcPr>
            <w:tcW w:w="160" w:type="dxa"/>
            <w:tcBorders>
              <w:bottom w:val="single" w:sz="8" w:space="0" w:color="CCEEFF"/>
            </w:tcBorders>
            <w:shd w:val="clear" w:color="auto" w:fill="CCEEFF"/>
            <w:vAlign w:val="bottom"/>
          </w:tcPr>
          <w:p w14:paraId="53111911" w14:textId="77777777" w:rsidR="00D1587D" w:rsidRDefault="00D1587D">
            <w:pPr>
              <w:rPr>
                <w:sz w:val="5"/>
                <w:szCs w:val="5"/>
              </w:rPr>
            </w:pPr>
          </w:p>
        </w:tc>
        <w:tc>
          <w:tcPr>
            <w:tcW w:w="140" w:type="dxa"/>
            <w:tcBorders>
              <w:bottom w:val="single" w:sz="8" w:space="0" w:color="auto"/>
            </w:tcBorders>
            <w:shd w:val="clear" w:color="auto" w:fill="CCEEFF"/>
            <w:vAlign w:val="bottom"/>
          </w:tcPr>
          <w:p w14:paraId="51FB941D" w14:textId="77777777" w:rsidR="00D1587D" w:rsidRDefault="00D1587D">
            <w:pPr>
              <w:rPr>
                <w:sz w:val="5"/>
                <w:szCs w:val="5"/>
              </w:rPr>
            </w:pPr>
          </w:p>
        </w:tc>
        <w:tc>
          <w:tcPr>
            <w:tcW w:w="360" w:type="dxa"/>
            <w:tcBorders>
              <w:bottom w:val="single" w:sz="8" w:space="0" w:color="auto"/>
            </w:tcBorders>
            <w:shd w:val="clear" w:color="auto" w:fill="CCEEFF"/>
            <w:vAlign w:val="bottom"/>
          </w:tcPr>
          <w:p w14:paraId="3B6E0ECD" w14:textId="77777777" w:rsidR="00D1587D" w:rsidRDefault="00D1587D">
            <w:pPr>
              <w:rPr>
                <w:sz w:val="5"/>
                <w:szCs w:val="5"/>
              </w:rPr>
            </w:pPr>
          </w:p>
        </w:tc>
      </w:tr>
      <w:tr w:rsidR="00D1587D" w14:paraId="44A34819" w14:textId="77777777">
        <w:trPr>
          <w:trHeight w:val="304"/>
        </w:trPr>
        <w:tc>
          <w:tcPr>
            <w:tcW w:w="4480" w:type="dxa"/>
            <w:gridSpan w:val="2"/>
            <w:vAlign w:val="bottom"/>
          </w:tcPr>
          <w:p w14:paraId="4D5AB69B" w14:textId="77777777" w:rsidR="00D1587D" w:rsidRDefault="00410D07">
            <w:pPr>
              <w:rPr>
                <w:sz w:val="20"/>
                <w:szCs w:val="20"/>
              </w:rPr>
            </w:pPr>
            <w:r>
              <w:rPr>
                <w:rFonts w:ascii="Arial" w:eastAsia="Arial" w:hAnsi="Arial" w:cs="Arial"/>
                <w:sz w:val="18"/>
                <w:szCs w:val="18"/>
              </w:rPr>
              <w:t>Total Deferred Income Taxes</w:t>
            </w:r>
          </w:p>
        </w:tc>
        <w:tc>
          <w:tcPr>
            <w:tcW w:w="480" w:type="dxa"/>
            <w:vAlign w:val="bottom"/>
          </w:tcPr>
          <w:p w14:paraId="2C1C2D94" w14:textId="77777777" w:rsidR="00D1587D" w:rsidRDefault="00410D07">
            <w:pPr>
              <w:jc w:val="right"/>
              <w:rPr>
                <w:sz w:val="20"/>
                <w:szCs w:val="20"/>
              </w:rPr>
            </w:pPr>
            <w:r>
              <w:rPr>
                <w:rFonts w:ascii="Arial" w:eastAsia="Arial" w:hAnsi="Arial" w:cs="Arial"/>
                <w:w w:val="84"/>
                <w:sz w:val="18"/>
                <w:szCs w:val="18"/>
              </w:rPr>
              <w:t>$ 564</w:t>
            </w:r>
          </w:p>
        </w:tc>
        <w:tc>
          <w:tcPr>
            <w:tcW w:w="160" w:type="dxa"/>
            <w:vAlign w:val="bottom"/>
          </w:tcPr>
          <w:p w14:paraId="500D555D" w14:textId="77777777" w:rsidR="00D1587D" w:rsidRDefault="00D1587D">
            <w:pPr>
              <w:rPr>
                <w:sz w:val="24"/>
                <w:szCs w:val="24"/>
              </w:rPr>
            </w:pPr>
          </w:p>
        </w:tc>
        <w:tc>
          <w:tcPr>
            <w:tcW w:w="620" w:type="dxa"/>
            <w:gridSpan w:val="2"/>
            <w:vAlign w:val="bottom"/>
          </w:tcPr>
          <w:p w14:paraId="2A90BF62" w14:textId="77777777" w:rsidR="00D1587D" w:rsidRDefault="00410D07">
            <w:pPr>
              <w:jc w:val="right"/>
              <w:rPr>
                <w:sz w:val="20"/>
                <w:szCs w:val="20"/>
              </w:rPr>
            </w:pPr>
            <w:r>
              <w:rPr>
                <w:rFonts w:ascii="Arial" w:eastAsia="Arial" w:hAnsi="Arial" w:cs="Arial"/>
                <w:sz w:val="18"/>
                <w:szCs w:val="18"/>
              </w:rPr>
              <w:t>$(563)</w:t>
            </w:r>
          </w:p>
        </w:tc>
        <w:tc>
          <w:tcPr>
            <w:tcW w:w="160" w:type="dxa"/>
            <w:vAlign w:val="bottom"/>
          </w:tcPr>
          <w:p w14:paraId="0E0AC9FA" w14:textId="77777777" w:rsidR="00D1587D" w:rsidRDefault="00D1587D">
            <w:pPr>
              <w:rPr>
                <w:sz w:val="24"/>
                <w:szCs w:val="24"/>
              </w:rPr>
            </w:pPr>
          </w:p>
        </w:tc>
        <w:tc>
          <w:tcPr>
            <w:tcW w:w="120" w:type="dxa"/>
            <w:vAlign w:val="bottom"/>
          </w:tcPr>
          <w:p w14:paraId="4EF33836" w14:textId="77777777" w:rsidR="00D1587D" w:rsidRDefault="00410D07">
            <w:pPr>
              <w:jc w:val="right"/>
              <w:rPr>
                <w:sz w:val="20"/>
                <w:szCs w:val="20"/>
              </w:rPr>
            </w:pPr>
            <w:r>
              <w:rPr>
                <w:rFonts w:ascii="Arial" w:eastAsia="Arial" w:hAnsi="Arial" w:cs="Arial"/>
                <w:w w:val="79"/>
                <w:sz w:val="18"/>
                <w:szCs w:val="18"/>
              </w:rPr>
              <w:t>$</w:t>
            </w:r>
          </w:p>
        </w:tc>
        <w:tc>
          <w:tcPr>
            <w:tcW w:w="380" w:type="dxa"/>
            <w:vAlign w:val="bottom"/>
          </w:tcPr>
          <w:p w14:paraId="63C058E4" w14:textId="77777777" w:rsidR="00D1587D" w:rsidRDefault="00410D07">
            <w:pPr>
              <w:jc w:val="right"/>
              <w:rPr>
                <w:sz w:val="20"/>
                <w:szCs w:val="20"/>
              </w:rPr>
            </w:pPr>
            <w:r>
              <w:rPr>
                <w:rFonts w:ascii="Arial" w:eastAsia="Arial" w:hAnsi="Arial" w:cs="Arial"/>
                <w:sz w:val="18"/>
                <w:szCs w:val="18"/>
              </w:rPr>
              <w:t>1</w:t>
            </w:r>
          </w:p>
        </w:tc>
        <w:tc>
          <w:tcPr>
            <w:tcW w:w="160" w:type="dxa"/>
            <w:vAlign w:val="bottom"/>
          </w:tcPr>
          <w:p w14:paraId="651F0488" w14:textId="77777777" w:rsidR="00D1587D" w:rsidRDefault="00D1587D">
            <w:pPr>
              <w:rPr>
                <w:sz w:val="24"/>
                <w:szCs w:val="24"/>
              </w:rPr>
            </w:pPr>
          </w:p>
        </w:tc>
        <w:tc>
          <w:tcPr>
            <w:tcW w:w="420" w:type="dxa"/>
            <w:vAlign w:val="bottom"/>
          </w:tcPr>
          <w:p w14:paraId="71FDD036" w14:textId="77777777" w:rsidR="00D1587D" w:rsidRDefault="00410D07">
            <w:pPr>
              <w:jc w:val="right"/>
              <w:rPr>
                <w:sz w:val="20"/>
                <w:szCs w:val="20"/>
              </w:rPr>
            </w:pPr>
            <w:r>
              <w:rPr>
                <w:rFonts w:ascii="Arial" w:eastAsia="Arial" w:hAnsi="Arial" w:cs="Arial"/>
                <w:w w:val="84"/>
                <w:sz w:val="18"/>
                <w:szCs w:val="18"/>
              </w:rPr>
              <w:t>$652</w:t>
            </w:r>
          </w:p>
        </w:tc>
        <w:tc>
          <w:tcPr>
            <w:tcW w:w="160" w:type="dxa"/>
            <w:vAlign w:val="bottom"/>
          </w:tcPr>
          <w:p w14:paraId="31299CA8" w14:textId="77777777" w:rsidR="00D1587D" w:rsidRDefault="00D1587D">
            <w:pPr>
              <w:rPr>
                <w:sz w:val="24"/>
                <w:szCs w:val="24"/>
              </w:rPr>
            </w:pPr>
          </w:p>
        </w:tc>
        <w:tc>
          <w:tcPr>
            <w:tcW w:w="620" w:type="dxa"/>
            <w:gridSpan w:val="2"/>
            <w:vAlign w:val="bottom"/>
          </w:tcPr>
          <w:p w14:paraId="246BA862" w14:textId="77777777" w:rsidR="00D1587D" w:rsidRDefault="00410D07">
            <w:pPr>
              <w:jc w:val="right"/>
              <w:rPr>
                <w:sz w:val="20"/>
                <w:szCs w:val="20"/>
              </w:rPr>
            </w:pPr>
            <w:r>
              <w:rPr>
                <w:rFonts w:ascii="Arial" w:eastAsia="Arial" w:hAnsi="Arial" w:cs="Arial"/>
                <w:sz w:val="18"/>
                <w:szCs w:val="18"/>
              </w:rPr>
              <w:t>$(716)</w:t>
            </w:r>
          </w:p>
        </w:tc>
        <w:tc>
          <w:tcPr>
            <w:tcW w:w="160" w:type="dxa"/>
            <w:vAlign w:val="bottom"/>
          </w:tcPr>
          <w:p w14:paraId="512778CA" w14:textId="77777777" w:rsidR="00D1587D" w:rsidRDefault="00D1587D">
            <w:pPr>
              <w:rPr>
                <w:sz w:val="24"/>
                <w:szCs w:val="24"/>
              </w:rPr>
            </w:pPr>
          </w:p>
        </w:tc>
        <w:tc>
          <w:tcPr>
            <w:tcW w:w="140" w:type="dxa"/>
            <w:vAlign w:val="bottom"/>
          </w:tcPr>
          <w:p w14:paraId="7251B845" w14:textId="77777777" w:rsidR="00D1587D" w:rsidRDefault="00410D07">
            <w:pPr>
              <w:jc w:val="right"/>
              <w:rPr>
                <w:sz w:val="20"/>
                <w:szCs w:val="20"/>
              </w:rPr>
            </w:pPr>
            <w:r>
              <w:rPr>
                <w:rFonts w:ascii="Arial" w:eastAsia="Arial" w:hAnsi="Arial" w:cs="Arial"/>
                <w:w w:val="79"/>
                <w:sz w:val="18"/>
                <w:szCs w:val="18"/>
              </w:rPr>
              <w:t>$</w:t>
            </w:r>
          </w:p>
        </w:tc>
        <w:tc>
          <w:tcPr>
            <w:tcW w:w="360" w:type="dxa"/>
            <w:vAlign w:val="bottom"/>
          </w:tcPr>
          <w:p w14:paraId="44171592" w14:textId="77777777" w:rsidR="00D1587D" w:rsidRDefault="00410D07">
            <w:pPr>
              <w:jc w:val="right"/>
              <w:rPr>
                <w:sz w:val="20"/>
                <w:szCs w:val="20"/>
              </w:rPr>
            </w:pPr>
            <w:r>
              <w:rPr>
                <w:rFonts w:ascii="Arial" w:eastAsia="Arial" w:hAnsi="Arial" w:cs="Arial"/>
                <w:w w:val="99"/>
                <w:sz w:val="18"/>
                <w:szCs w:val="18"/>
              </w:rPr>
              <w:t>(64)</w:t>
            </w:r>
          </w:p>
        </w:tc>
      </w:tr>
      <w:tr w:rsidR="00D1587D" w14:paraId="206108F9" w14:textId="77777777">
        <w:trPr>
          <w:trHeight w:val="27"/>
        </w:trPr>
        <w:tc>
          <w:tcPr>
            <w:tcW w:w="4400" w:type="dxa"/>
            <w:vAlign w:val="bottom"/>
          </w:tcPr>
          <w:p w14:paraId="4711BA8D" w14:textId="77777777" w:rsidR="00D1587D" w:rsidRDefault="00D1587D">
            <w:pPr>
              <w:rPr>
                <w:sz w:val="2"/>
                <w:szCs w:val="2"/>
              </w:rPr>
            </w:pPr>
          </w:p>
        </w:tc>
        <w:tc>
          <w:tcPr>
            <w:tcW w:w="80" w:type="dxa"/>
            <w:vAlign w:val="bottom"/>
          </w:tcPr>
          <w:p w14:paraId="0E2E9A67" w14:textId="77777777" w:rsidR="00D1587D" w:rsidRDefault="00D1587D">
            <w:pPr>
              <w:rPr>
                <w:sz w:val="2"/>
                <w:szCs w:val="2"/>
              </w:rPr>
            </w:pPr>
          </w:p>
        </w:tc>
        <w:tc>
          <w:tcPr>
            <w:tcW w:w="480" w:type="dxa"/>
            <w:tcBorders>
              <w:bottom w:val="single" w:sz="8" w:space="0" w:color="auto"/>
            </w:tcBorders>
            <w:vAlign w:val="bottom"/>
          </w:tcPr>
          <w:p w14:paraId="2CE61977" w14:textId="77777777" w:rsidR="00D1587D" w:rsidRDefault="00D1587D">
            <w:pPr>
              <w:rPr>
                <w:sz w:val="2"/>
                <w:szCs w:val="2"/>
              </w:rPr>
            </w:pPr>
          </w:p>
        </w:tc>
        <w:tc>
          <w:tcPr>
            <w:tcW w:w="160" w:type="dxa"/>
            <w:vAlign w:val="bottom"/>
          </w:tcPr>
          <w:p w14:paraId="126BBEFA" w14:textId="77777777" w:rsidR="00D1587D" w:rsidRDefault="00D1587D">
            <w:pPr>
              <w:rPr>
                <w:sz w:val="2"/>
                <w:szCs w:val="2"/>
              </w:rPr>
            </w:pPr>
          </w:p>
        </w:tc>
        <w:tc>
          <w:tcPr>
            <w:tcW w:w="240" w:type="dxa"/>
            <w:tcBorders>
              <w:bottom w:val="single" w:sz="8" w:space="0" w:color="auto"/>
            </w:tcBorders>
            <w:vAlign w:val="bottom"/>
          </w:tcPr>
          <w:p w14:paraId="4A8A4101" w14:textId="77777777" w:rsidR="00D1587D" w:rsidRDefault="00D1587D">
            <w:pPr>
              <w:rPr>
                <w:sz w:val="2"/>
                <w:szCs w:val="2"/>
              </w:rPr>
            </w:pPr>
          </w:p>
        </w:tc>
        <w:tc>
          <w:tcPr>
            <w:tcW w:w="380" w:type="dxa"/>
            <w:tcBorders>
              <w:bottom w:val="single" w:sz="8" w:space="0" w:color="auto"/>
            </w:tcBorders>
            <w:vAlign w:val="bottom"/>
          </w:tcPr>
          <w:p w14:paraId="34ECA871" w14:textId="77777777" w:rsidR="00D1587D" w:rsidRDefault="00D1587D">
            <w:pPr>
              <w:rPr>
                <w:sz w:val="2"/>
                <w:szCs w:val="2"/>
              </w:rPr>
            </w:pPr>
          </w:p>
        </w:tc>
        <w:tc>
          <w:tcPr>
            <w:tcW w:w="160" w:type="dxa"/>
            <w:vAlign w:val="bottom"/>
          </w:tcPr>
          <w:p w14:paraId="7606D229" w14:textId="77777777" w:rsidR="00D1587D" w:rsidRDefault="00D1587D">
            <w:pPr>
              <w:rPr>
                <w:sz w:val="2"/>
                <w:szCs w:val="2"/>
              </w:rPr>
            </w:pPr>
          </w:p>
        </w:tc>
        <w:tc>
          <w:tcPr>
            <w:tcW w:w="120" w:type="dxa"/>
            <w:tcBorders>
              <w:bottom w:val="single" w:sz="8" w:space="0" w:color="auto"/>
            </w:tcBorders>
            <w:vAlign w:val="bottom"/>
          </w:tcPr>
          <w:p w14:paraId="7EB96A4C" w14:textId="77777777" w:rsidR="00D1587D" w:rsidRDefault="00D1587D">
            <w:pPr>
              <w:rPr>
                <w:sz w:val="2"/>
                <w:szCs w:val="2"/>
              </w:rPr>
            </w:pPr>
          </w:p>
        </w:tc>
        <w:tc>
          <w:tcPr>
            <w:tcW w:w="380" w:type="dxa"/>
            <w:tcBorders>
              <w:bottom w:val="single" w:sz="8" w:space="0" w:color="auto"/>
            </w:tcBorders>
            <w:vAlign w:val="bottom"/>
          </w:tcPr>
          <w:p w14:paraId="2A2FEC1B" w14:textId="77777777" w:rsidR="00D1587D" w:rsidRDefault="00D1587D">
            <w:pPr>
              <w:rPr>
                <w:sz w:val="2"/>
                <w:szCs w:val="2"/>
              </w:rPr>
            </w:pPr>
          </w:p>
        </w:tc>
        <w:tc>
          <w:tcPr>
            <w:tcW w:w="160" w:type="dxa"/>
            <w:vAlign w:val="bottom"/>
          </w:tcPr>
          <w:p w14:paraId="0B81A373" w14:textId="77777777" w:rsidR="00D1587D" w:rsidRDefault="00D1587D">
            <w:pPr>
              <w:rPr>
                <w:sz w:val="2"/>
                <w:szCs w:val="2"/>
              </w:rPr>
            </w:pPr>
          </w:p>
        </w:tc>
        <w:tc>
          <w:tcPr>
            <w:tcW w:w="420" w:type="dxa"/>
            <w:tcBorders>
              <w:bottom w:val="single" w:sz="8" w:space="0" w:color="auto"/>
            </w:tcBorders>
            <w:vAlign w:val="bottom"/>
          </w:tcPr>
          <w:p w14:paraId="07682BE0" w14:textId="77777777" w:rsidR="00D1587D" w:rsidRDefault="00D1587D">
            <w:pPr>
              <w:rPr>
                <w:sz w:val="2"/>
                <w:szCs w:val="2"/>
              </w:rPr>
            </w:pPr>
          </w:p>
        </w:tc>
        <w:tc>
          <w:tcPr>
            <w:tcW w:w="160" w:type="dxa"/>
            <w:vAlign w:val="bottom"/>
          </w:tcPr>
          <w:p w14:paraId="4267F396" w14:textId="77777777" w:rsidR="00D1587D" w:rsidRDefault="00D1587D">
            <w:pPr>
              <w:rPr>
                <w:sz w:val="2"/>
                <w:szCs w:val="2"/>
              </w:rPr>
            </w:pPr>
          </w:p>
        </w:tc>
        <w:tc>
          <w:tcPr>
            <w:tcW w:w="240" w:type="dxa"/>
            <w:tcBorders>
              <w:bottom w:val="single" w:sz="8" w:space="0" w:color="auto"/>
            </w:tcBorders>
            <w:vAlign w:val="bottom"/>
          </w:tcPr>
          <w:p w14:paraId="28F898B6" w14:textId="77777777" w:rsidR="00D1587D" w:rsidRDefault="00D1587D">
            <w:pPr>
              <w:rPr>
                <w:sz w:val="2"/>
                <w:szCs w:val="2"/>
              </w:rPr>
            </w:pPr>
          </w:p>
        </w:tc>
        <w:tc>
          <w:tcPr>
            <w:tcW w:w="380" w:type="dxa"/>
            <w:tcBorders>
              <w:bottom w:val="single" w:sz="8" w:space="0" w:color="auto"/>
            </w:tcBorders>
            <w:vAlign w:val="bottom"/>
          </w:tcPr>
          <w:p w14:paraId="64074213" w14:textId="77777777" w:rsidR="00D1587D" w:rsidRDefault="00D1587D">
            <w:pPr>
              <w:rPr>
                <w:sz w:val="2"/>
                <w:szCs w:val="2"/>
              </w:rPr>
            </w:pPr>
          </w:p>
        </w:tc>
        <w:tc>
          <w:tcPr>
            <w:tcW w:w="160" w:type="dxa"/>
            <w:vAlign w:val="bottom"/>
          </w:tcPr>
          <w:p w14:paraId="057EC971" w14:textId="77777777" w:rsidR="00D1587D" w:rsidRDefault="00D1587D">
            <w:pPr>
              <w:rPr>
                <w:sz w:val="2"/>
                <w:szCs w:val="2"/>
              </w:rPr>
            </w:pPr>
          </w:p>
        </w:tc>
        <w:tc>
          <w:tcPr>
            <w:tcW w:w="140" w:type="dxa"/>
            <w:tcBorders>
              <w:bottom w:val="single" w:sz="8" w:space="0" w:color="auto"/>
            </w:tcBorders>
            <w:vAlign w:val="bottom"/>
          </w:tcPr>
          <w:p w14:paraId="6C02B529" w14:textId="77777777" w:rsidR="00D1587D" w:rsidRDefault="00D1587D">
            <w:pPr>
              <w:rPr>
                <w:sz w:val="2"/>
                <w:szCs w:val="2"/>
              </w:rPr>
            </w:pPr>
          </w:p>
        </w:tc>
        <w:tc>
          <w:tcPr>
            <w:tcW w:w="360" w:type="dxa"/>
            <w:tcBorders>
              <w:bottom w:val="single" w:sz="8" w:space="0" w:color="auto"/>
            </w:tcBorders>
            <w:vAlign w:val="bottom"/>
          </w:tcPr>
          <w:p w14:paraId="3EECE02E" w14:textId="77777777" w:rsidR="00D1587D" w:rsidRDefault="00D1587D">
            <w:pPr>
              <w:rPr>
                <w:sz w:val="2"/>
                <w:szCs w:val="2"/>
              </w:rPr>
            </w:pPr>
          </w:p>
        </w:tc>
      </w:tr>
      <w:tr w:rsidR="00D1587D" w14:paraId="5898314B" w14:textId="77777777">
        <w:trPr>
          <w:trHeight w:val="21"/>
        </w:trPr>
        <w:tc>
          <w:tcPr>
            <w:tcW w:w="4400" w:type="dxa"/>
            <w:vAlign w:val="bottom"/>
          </w:tcPr>
          <w:p w14:paraId="45A1FE24" w14:textId="77777777" w:rsidR="00D1587D" w:rsidRDefault="00D1587D">
            <w:pPr>
              <w:spacing w:line="20" w:lineRule="exact"/>
              <w:rPr>
                <w:sz w:val="1"/>
                <w:szCs w:val="1"/>
              </w:rPr>
            </w:pPr>
          </w:p>
        </w:tc>
        <w:tc>
          <w:tcPr>
            <w:tcW w:w="80" w:type="dxa"/>
            <w:vAlign w:val="bottom"/>
          </w:tcPr>
          <w:p w14:paraId="729F8211" w14:textId="77777777" w:rsidR="00D1587D" w:rsidRDefault="00D1587D">
            <w:pPr>
              <w:spacing w:line="20" w:lineRule="exact"/>
              <w:rPr>
                <w:sz w:val="1"/>
                <w:szCs w:val="1"/>
              </w:rPr>
            </w:pPr>
          </w:p>
        </w:tc>
        <w:tc>
          <w:tcPr>
            <w:tcW w:w="480" w:type="dxa"/>
            <w:tcBorders>
              <w:bottom w:val="single" w:sz="8" w:space="0" w:color="auto"/>
            </w:tcBorders>
            <w:vAlign w:val="bottom"/>
          </w:tcPr>
          <w:p w14:paraId="6C4DC1F4" w14:textId="77777777" w:rsidR="00D1587D" w:rsidRDefault="00D1587D">
            <w:pPr>
              <w:spacing w:line="20" w:lineRule="exact"/>
              <w:rPr>
                <w:sz w:val="1"/>
                <w:szCs w:val="1"/>
              </w:rPr>
            </w:pPr>
          </w:p>
        </w:tc>
        <w:tc>
          <w:tcPr>
            <w:tcW w:w="160" w:type="dxa"/>
            <w:vAlign w:val="bottom"/>
          </w:tcPr>
          <w:p w14:paraId="7E16B089" w14:textId="77777777" w:rsidR="00D1587D" w:rsidRDefault="00D1587D">
            <w:pPr>
              <w:spacing w:line="20" w:lineRule="exact"/>
              <w:rPr>
                <w:sz w:val="1"/>
                <w:szCs w:val="1"/>
              </w:rPr>
            </w:pPr>
          </w:p>
        </w:tc>
        <w:tc>
          <w:tcPr>
            <w:tcW w:w="240" w:type="dxa"/>
            <w:tcBorders>
              <w:bottom w:val="single" w:sz="8" w:space="0" w:color="auto"/>
            </w:tcBorders>
            <w:vAlign w:val="bottom"/>
          </w:tcPr>
          <w:p w14:paraId="477F848F" w14:textId="77777777" w:rsidR="00D1587D" w:rsidRDefault="00D1587D">
            <w:pPr>
              <w:spacing w:line="20" w:lineRule="exact"/>
              <w:rPr>
                <w:sz w:val="1"/>
                <w:szCs w:val="1"/>
              </w:rPr>
            </w:pPr>
          </w:p>
        </w:tc>
        <w:tc>
          <w:tcPr>
            <w:tcW w:w="380" w:type="dxa"/>
            <w:tcBorders>
              <w:bottom w:val="single" w:sz="8" w:space="0" w:color="auto"/>
            </w:tcBorders>
            <w:vAlign w:val="bottom"/>
          </w:tcPr>
          <w:p w14:paraId="020D477B" w14:textId="77777777" w:rsidR="00D1587D" w:rsidRDefault="00D1587D">
            <w:pPr>
              <w:spacing w:line="20" w:lineRule="exact"/>
              <w:rPr>
                <w:sz w:val="1"/>
                <w:szCs w:val="1"/>
              </w:rPr>
            </w:pPr>
          </w:p>
        </w:tc>
        <w:tc>
          <w:tcPr>
            <w:tcW w:w="160" w:type="dxa"/>
            <w:vAlign w:val="bottom"/>
          </w:tcPr>
          <w:p w14:paraId="527BF1E1" w14:textId="77777777" w:rsidR="00D1587D" w:rsidRDefault="00D1587D">
            <w:pPr>
              <w:spacing w:line="20" w:lineRule="exact"/>
              <w:rPr>
                <w:sz w:val="1"/>
                <w:szCs w:val="1"/>
              </w:rPr>
            </w:pPr>
          </w:p>
        </w:tc>
        <w:tc>
          <w:tcPr>
            <w:tcW w:w="120" w:type="dxa"/>
            <w:tcBorders>
              <w:bottom w:val="single" w:sz="8" w:space="0" w:color="auto"/>
            </w:tcBorders>
            <w:vAlign w:val="bottom"/>
          </w:tcPr>
          <w:p w14:paraId="77FB276B" w14:textId="77777777" w:rsidR="00D1587D" w:rsidRDefault="00D1587D">
            <w:pPr>
              <w:spacing w:line="20" w:lineRule="exact"/>
              <w:rPr>
                <w:sz w:val="1"/>
                <w:szCs w:val="1"/>
              </w:rPr>
            </w:pPr>
          </w:p>
        </w:tc>
        <w:tc>
          <w:tcPr>
            <w:tcW w:w="380" w:type="dxa"/>
            <w:tcBorders>
              <w:bottom w:val="single" w:sz="8" w:space="0" w:color="auto"/>
            </w:tcBorders>
            <w:vAlign w:val="bottom"/>
          </w:tcPr>
          <w:p w14:paraId="79242D2D" w14:textId="77777777" w:rsidR="00D1587D" w:rsidRDefault="00D1587D">
            <w:pPr>
              <w:spacing w:line="20" w:lineRule="exact"/>
              <w:rPr>
                <w:sz w:val="1"/>
                <w:szCs w:val="1"/>
              </w:rPr>
            </w:pPr>
          </w:p>
        </w:tc>
        <w:tc>
          <w:tcPr>
            <w:tcW w:w="160" w:type="dxa"/>
            <w:vAlign w:val="bottom"/>
          </w:tcPr>
          <w:p w14:paraId="7BE61A8B" w14:textId="77777777" w:rsidR="00D1587D" w:rsidRDefault="00D1587D">
            <w:pPr>
              <w:spacing w:line="20" w:lineRule="exact"/>
              <w:rPr>
                <w:sz w:val="1"/>
                <w:szCs w:val="1"/>
              </w:rPr>
            </w:pPr>
          </w:p>
        </w:tc>
        <w:tc>
          <w:tcPr>
            <w:tcW w:w="420" w:type="dxa"/>
            <w:tcBorders>
              <w:bottom w:val="single" w:sz="8" w:space="0" w:color="auto"/>
            </w:tcBorders>
            <w:vAlign w:val="bottom"/>
          </w:tcPr>
          <w:p w14:paraId="459548CC" w14:textId="77777777" w:rsidR="00D1587D" w:rsidRDefault="00D1587D">
            <w:pPr>
              <w:spacing w:line="20" w:lineRule="exact"/>
              <w:rPr>
                <w:sz w:val="1"/>
                <w:szCs w:val="1"/>
              </w:rPr>
            </w:pPr>
          </w:p>
        </w:tc>
        <w:tc>
          <w:tcPr>
            <w:tcW w:w="160" w:type="dxa"/>
            <w:vAlign w:val="bottom"/>
          </w:tcPr>
          <w:p w14:paraId="0B168F28" w14:textId="77777777" w:rsidR="00D1587D" w:rsidRDefault="00D1587D">
            <w:pPr>
              <w:spacing w:line="20" w:lineRule="exact"/>
              <w:rPr>
                <w:sz w:val="1"/>
                <w:szCs w:val="1"/>
              </w:rPr>
            </w:pPr>
          </w:p>
        </w:tc>
        <w:tc>
          <w:tcPr>
            <w:tcW w:w="240" w:type="dxa"/>
            <w:tcBorders>
              <w:bottom w:val="single" w:sz="8" w:space="0" w:color="auto"/>
            </w:tcBorders>
            <w:vAlign w:val="bottom"/>
          </w:tcPr>
          <w:p w14:paraId="7B7EAB39" w14:textId="77777777" w:rsidR="00D1587D" w:rsidRDefault="00D1587D">
            <w:pPr>
              <w:spacing w:line="20" w:lineRule="exact"/>
              <w:rPr>
                <w:sz w:val="1"/>
                <w:szCs w:val="1"/>
              </w:rPr>
            </w:pPr>
          </w:p>
        </w:tc>
        <w:tc>
          <w:tcPr>
            <w:tcW w:w="380" w:type="dxa"/>
            <w:tcBorders>
              <w:bottom w:val="single" w:sz="8" w:space="0" w:color="auto"/>
            </w:tcBorders>
            <w:vAlign w:val="bottom"/>
          </w:tcPr>
          <w:p w14:paraId="457BA4AA" w14:textId="77777777" w:rsidR="00D1587D" w:rsidRDefault="00D1587D">
            <w:pPr>
              <w:spacing w:line="20" w:lineRule="exact"/>
              <w:rPr>
                <w:sz w:val="1"/>
                <w:szCs w:val="1"/>
              </w:rPr>
            </w:pPr>
          </w:p>
        </w:tc>
        <w:tc>
          <w:tcPr>
            <w:tcW w:w="160" w:type="dxa"/>
            <w:vAlign w:val="bottom"/>
          </w:tcPr>
          <w:p w14:paraId="3368EA72" w14:textId="77777777" w:rsidR="00D1587D" w:rsidRDefault="00D1587D">
            <w:pPr>
              <w:spacing w:line="20" w:lineRule="exact"/>
              <w:rPr>
                <w:sz w:val="1"/>
                <w:szCs w:val="1"/>
              </w:rPr>
            </w:pPr>
          </w:p>
        </w:tc>
        <w:tc>
          <w:tcPr>
            <w:tcW w:w="140" w:type="dxa"/>
            <w:tcBorders>
              <w:bottom w:val="single" w:sz="8" w:space="0" w:color="auto"/>
            </w:tcBorders>
            <w:vAlign w:val="bottom"/>
          </w:tcPr>
          <w:p w14:paraId="5AF6E557" w14:textId="77777777" w:rsidR="00D1587D" w:rsidRDefault="00D1587D">
            <w:pPr>
              <w:spacing w:line="20" w:lineRule="exact"/>
              <w:rPr>
                <w:sz w:val="1"/>
                <w:szCs w:val="1"/>
              </w:rPr>
            </w:pPr>
          </w:p>
        </w:tc>
        <w:tc>
          <w:tcPr>
            <w:tcW w:w="360" w:type="dxa"/>
            <w:tcBorders>
              <w:bottom w:val="single" w:sz="8" w:space="0" w:color="auto"/>
            </w:tcBorders>
            <w:vAlign w:val="bottom"/>
          </w:tcPr>
          <w:p w14:paraId="4CC910D9" w14:textId="77777777" w:rsidR="00D1587D" w:rsidRDefault="00D1587D">
            <w:pPr>
              <w:spacing w:line="20" w:lineRule="exact"/>
              <w:rPr>
                <w:sz w:val="1"/>
                <w:szCs w:val="1"/>
              </w:rPr>
            </w:pPr>
          </w:p>
        </w:tc>
      </w:tr>
    </w:tbl>
    <w:p w14:paraId="61A7E9A1" w14:textId="77777777" w:rsidR="00D1587D" w:rsidRDefault="00410D07">
      <w:pPr>
        <w:spacing w:line="20" w:lineRule="exact"/>
        <w:rPr>
          <w:sz w:val="20"/>
          <w:szCs w:val="20"/>
        </w:rPr>
      </w:pPr>
      <w:r>
        <w:rPr>
          <w:noProof/>
          <w:sz w:val="20"/>
          <w:szCs w:val="20"/>
        </w:rPr>
        <w:drawing>
          <wp:anchor distT="0" distB="0" distL="114300" distR="114300" simplePos="0" relativeHeight="252110848" behindDoc="1" locked="0" layoutInCell="0" allowOverlap="1" wp14:anchorId="330A57EB" wp14:editId="2EDBAADD">
            <wp:simplePos x="0" y="0"/>
            <wp:positionH relativeFrom="column">
              <wp:posOffset>5123180</wp:posOffset>
            </wp:positionH>
            <wp:positionV relativeFrom="paragraph">
              <wp:posOffset>-2313940</wp:posOffset>
            </wp:positionV>
            <wp:extent cx="102870" cy="8255"/>
            <wp:effectExtent l="0" t="0" r="0" b="0"/>
            <wp:wrapNone/>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r>
        <w:rPr>
          <w:noProof/>
          <w:sz w:val="20"/>
          <w:szCs w:val="20"/>
        </w:rPr>
        <w:drawing>
          <wp:anchor distT="0" distB="0" distL="114300" distR="114300" simplePos="0" relativeHeight="252111872" behindDoc="1" locked="0" layoutInCell="0" allowOverlap="1" wp14:anchorId="3C36A79E" wp14:editId="17C92F3E">
            <wp:simplePos x="0" y="0"/>
            <wp:positionH relativeFrom="column">
              <wp:posOffset>4625975</wp:posOffset>
            </wp:positionH>
            <wp:positionV relativeFrom="paragraph">
              <wp:posOffset>-2313940</wp:posOffset>
            </wp:positionV>
            <wp:extent cx="102870" cy="8255"/>
            <wp:effectExtent l="0" t="0" r="0" b="0"/>
            <wp:wrapNone/>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r>
        <w:rPr>
          <w:noProof/>
          <w:sz w:val="20"/>
          <w:szCs w:val="20"/>
        </w:rPr>
        <w:drawing>
          <wp:anchor distT="0" distB="0" distL="114300" distR="114300" simplePos="0" relativeHeight="252112896" behindDoc="1" locked="0" layoutInCell="0" allowOverlap="1" wp14:anchorId="1C262502" wp14:editId="7E667C23">
            <wp:simplePos x="0" y="0"/>
            <wp:positionH relativeFrom="column">
              <wp:posOffset>4248785</wp:posOffset>
            </wp:positionH>
            <wp:positionV relativeFrom="paragraph">
              <wp:posOffset>-2313940</wp:posOffset>
            </wp:positionV>
            <wp:extent cx="102870" cy="8255"/>
            <wp:effectExtent l="0" t="0" r="0" b="0"/>
            <wp:wrapNone/>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r>
        <w:rPr>
          <w:noProof/>
          <w:sz w:val="20"/>
          <w:szCs w:val="20"/>
        </w:rPr>
        <w:drawing>
          <wp:anchor distT="0" distB="0" distL="114300" distR="114300" simplePos="0" relativeHeight="252113920" behindDoc="1" locked="0" layoutInCell="0" allowOverlap="1" wp14:anchorId="3CB556AE" wp14:editId="13CB36BE">
            <wp:simplePos x="0" y="0"/>
            <wp:positionH relativeFrom="column">
              <wp:posOffset>3837305</wp:posOffset>
            </wp:positionH>
            <wp:positionV relativeFrom="paragraph">
              <wp:posOffset>-2313940</wp:posOffset>
            </wp:positionV>
            <wp:extent cx="102870" cy="8255"/>
            <wp:effectExtent l="0" t="0" r="0" b="0"/>
            <wp:wrapNone/>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r>
        <w:rPr>
          <w:noProof/>
          <w:sz w:val="20"/>
          <w:szCs w:val="20"/>
        </w:rPr>
        <w:drawing>
          <wp:anchor distT="0" distB="0" distL="114300" distR="114300" simplePos="0" relativeHeight="252114944" behindDoc="1" locked="0" layoutInCell="0" allowOverlap="1" wp14:anchorId="75FFCF37" wp14:editId="71BD7A06">
            <wp:simplePos x="0" y="0"/>
            <wp:positionH relativeFrom="column">
              <wp:posOffset>3340100</wp:posOffset>
            </wp:positionH>
            <wp:positionV relativeFrom="paragraph">
              <wp:posOffset>-2313940</wp:posOffset>
            </wp:positionV>
            <wp:extent cx="102870" cy="8255"/>
            <wp:effectExtent l="0" t="0" r="0" b="0"/>
            <wp:wrapNone/>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39"/>
                    <a:srcRect/>
                    <a:stretch>
                      <a:fillRect/>
                    </a:stretch>
                  </pic:blipFill>
                  <pic:spPr bwMode="auto">
                    <a:xfrm>
                      <a:off x="0" y="0"/>
                      <a:ext cx="102870" cy="8255"/>
                    </a:xfrm>
                    <a:prstGeom prst="rect">
                      <a:avLst/>
                    </a:prstGeom>
                    <a:noFill/>
                  </pic:spPr>
                </pic:pic>
              </a:graphicData>
            </a:graphic>
          </wp:anchor>
        </w:drawing>
      </w:r>
    </w:p>
    <w:p w14:paraId="01BAA819" w14:textId="77777777" w:rsidR="00D1587D" w:rsidRDefault="00D1587D">
      <w:pPr>
        <w:spacing w:line="74" w:lineRule="exact"/>
        <w:rPr>
          <w:sz w:val="20"/>
          <w:szCs w:val="20"/>
        </w:rPr>
      </w:pPr>
    </w:p>
    <w:p w14:paraId="70CF7C0E" w14:textId="77777777" w:rsidR="00D1587D" w:rsidRDefault="00410D07">
      <w:pPr>
        <w:spacing w:line="275" w:lineRule="auto"/>
        <w:ind w:left="300" w:right="459" w:firstLine="360"/>
        <w:rPr>
          <w:sz w:val="20"/>
          <w:szCs w:val="20"/>
        </w:rPr>
      </w:pPr>
      <w:r>
        <w:rPr>
          <w:rFonts w:ascii="Arial" w:eastAsia="Arial" w:hAnsi="Arial" w:cs="Arial"/>
          <w:sz w:val="17"/>
          <w:szCs w:val="17"/>
        </w:rPr>
        <w:t xml:space="preserve">As of January 30, 2021, the Company had loss carryforwards of $346 million, of which $275 million has an indefinite </w:t>
      </w:r>
      <w:r>
        <w:rPr>
          <w:rFonts w:ascii="Arial" w:eastAsia="Arial" w:hAnsi="Arial" w:cs="Arial"/>
          <w:sz w:val="17"/>
          <w:szCs w:val="17"/>
        </w:rPr>
        <w:t>carryforward. The remainder of the U.S. and non-U.S. carryforwards, if unused, will expire at various dates from 2025 through 2040 and 2021 through 2025, respectively. For certain jurisdictions where the Company has determined that it is more likely than n</w:t>
      </w:r>
      <w:r>
        <w:rPr>
          <w:rFonts w:ascii="Arial" w:eastAsia="Arial" w:hAnsi="Arial" w:cs="Arial"/>
          <w:sz w:val="17"/>
          <w:szCs w:val="17"/>
        </w:rPr>
        <w:t>ot that the loss carryforwards will not be realized, a valuation allowance has been provided on those loss carryforwards as well as other net deferred tax assets.</w:t>
      </w:r>
    </w:p>
    <w:p w14:paraId="62D70F09" w14:textId="77777777" w:rsidR="00D1587D" w:rsidRDefault="00D1587D">
      <w:pPr>
        <w:spacing w:line="68" w:lineRule="exact"/>
        <w:rPr>
          <w:sz w:val="20"/>
          <w:szCs w:val="20"/>
        </w:rPr>
      </w:pPr>
    </w:p>
    <w:p w14:paraId="6F68B70A" w14:textId="77777777" w:rsidR="00D1587D" w:rsidRDefault="00410D07">
      <w:pPr>
        <w:spacing w:line="311" w:lineRule="auto"/>
        <w:ind w:left="300" w:right="479" w:firstLine="360"/>
        <w:rPr>
          <w:sz w:val="20"/>
          <w:szCs w:val="20"/>
        </w:rPr>
      </w:pPr>
      <w:r>
        <w:rPr>
          <w:rFonts w:ascii="Arial" w:eastAsia="Arial" w:hAnsi="Arial" w:cs="Arial"/>
          <w:sz w:val="16"/>
          <w:szCs w:val="16"/>
        </w:rPr>
        <w:t>As described above, we have prepared our income taxes on a standalone tax basis, and as a re</w:t>
      </w:r>
      <w:r>
        <w:rPr>
          <w:rFonts w:ascii="Arial" w:eastAsia="Arial" w:hAnsi="Arial" w:cs="Arial"/>
          <w:sz w:val="16"/>
          <w:szCs w:val="16"/>
        </w:rPr>
        <w:t>sult, certain loss carryforwards may not be available for our use in future periods as they may have already been used in L Brands consolidated or combined tax return filings or they may be retained by L Brands upon our separation.</w:t>
      </w:r>
    </w:p>
    <w:p w14:paraId="1F42F49E" w14:textId="77777777" w:rsidR="00D1587D" w:rsidRDefault="00D1587D">
      <w:pPr>
        <w:spacing w:line="41" w:lineRule="exact"/>
        <w:rPr>
          <w:sz w:val="20"/>
          <w:szCs w:val="20"/>
        </w:rPr>
      </w:pPr>
    </w:p>
    <w:p w14:paraId="66AF2025" w14:textId="77777777" w:rsidR="00D1587D" w:rsidRDefault="00410D07">
      <w:pPr>
        <w:spacing w:line="277" w:lineRule="auto"/>
        <w:ind w:left="300" w:right="359" w:firstLine="360"/>
        <w:rPr>
          <w:sz w:val="20"/>
          <w:szCs w:val="20"/>
        </w:rPr>
      </w:pPr>
      <w:r>
        <w:rPr>
          <w:rFonts w:ascii="Arial" w:eastAsia="Arial" w:hAnsi="Arial" w:cs="Arial"/>
          <w:sz w:val="18"/>
          <w:szCs w:val="18"/>
        </w:rPr>
        <w:t xml:space="preserve">The Company would have </w:t>
      </w:r>
      <w:r>
        <w:rPr>
          <w:rFonts w:ascii="Arial" w:eastAsia="Arial" w:hAnsi="Arial" w:cs="Arial"/>
          <w:sz w:val="18"/>
          <w:szCs w:val="18"/>
        </w:rPr>
        <w:t>paid $59 million in 2020, $115 million in 2019 and $246 million in 2018 had it filed its own separate return in those years.</w:t>
      </w:r>
    </w:p>
    <w:p w14:paraId="677127F8" w14:textId="77777777" w:rsidR="00D1587D" w:rsidRDefault="00D1587D">
      <w:pPr>
        <w:spacing w:line="301" w:lineRule="exact"/>
        <w:rPr>
          <w:sz w:val="20"/>
          <w:szCs w:val="20"/>
        </w:rPr>
      </w:pPr>
    </w:p>
    <w:p w14:paraId="7B1750F2" w14:textId="77777777" w:rsidR="00D1587D" w:rsidRDefault="00410D07">
      <w:pPr>
        <w:ind w:left="300"/>
        <w:rPr>
          <w:sz w:val="20"/>
          <w:szCs w:val="20"/>
        </w:rPr>
      </w:pPr>
      <w:r>
        <w:rPr>
          <w:rFonts w:ascii="Arial" w:eastAsia="Arial" w:hAnsi="Arial" w:cs="Arial"/>
          <w:b/>
          <w:bCs/>
          <w:sz w:val="18"/>
          <w:szCs w:val="18"/>
        </w:rPr>
        <w:t>Uncertain Tax Positions</w:t>
      </w:r>
    </w:p>
    <w:p w14:paraId="48895DC8" w14:textId="77777777" w:rsidR="00D1587D" w:rsidRDefault="00D1587D">
      <w:pPr>
        <w:spacing w:line="121" w:lineRule="exact"/>
        <w:rPr>
          <w:sz w:val="20"/>
          <w:szCs w:val="20"/>
        </w:rPr>
      </w:pPr>
    </w:p>
    <w:p w14:paraId="58DFA3E3" w14:textId="77777777" w:rsidR="00D1587D" w:rsidRDefault="00410D07">
      <w:pPr>
        <w:ind w:left="660"/>
        <w:rPr>
          <w:sz w:val="20"/>
          <w:szCs w:val="20"/>
        </w:rPr>
      </w:pPr>
      <w:r>
        <w:rPr>
          <w:rFonts w:ascii="Arial" w:eastAsia="Arial" w:hAnsi="Arial" w:cs="Arial"/>
          <w:sz w:val="18"/>
          <w:szCs w:val="18"/>
        </w:rPr>
        <w:t>The following table summarizes the activity related to the Company’s unrecognized tax benefits for</w:t>
      </w:r>
    </w:p>
    <w:p w14:paraId="169F1A54" w14:textId="77777777" w:rsidR="00D1587D" w:rsidRDefault="00D1587D">
      <w:pPr>
        <w:spacing w:line="23" w:lineRule="exact"/>
        <w:rPr>
          <w:sz w:val="20"/>
          <w:szCs w:val="20"/>
        </w:rPr>
      </w:pPr>
    </w:p>
    <w:p w14:paraId="70C1BA57" w14:textId="77777777" w:rsidR="00D1587D" w:rsidRDefault="00410D07">
      <w:pPr>
        <w:ind w:left="300"/>
        <w:rPr>
          <w:sz w:val="20"/>
          <w:szCs w:val="20"/>
        </w:rPr>
      </w:pPr>
      <w:r>
        <w:rPr>
          <w:rFonts w:ascii="Arial" w:eastAsia="Arial" w:hAnsi="Arial" w:cs="Arial"/>
          <w:sz w:val="18"/>
          <w:szCs w:val="18"/>
        </w:rPr>
        <w:t>U.S. federal, state and non-U.S. tax jurisdictions for 2020, 2019 and 2018, without interest and penalties:</w:t>
      </w:r>
    </w:p>
    <w:p w14:paraId="531693CA" w14:textId="77777777" w:rsidR="00D1587D" w:rsidRDefault="00D1587D">
      <w:pPr>
        <w:spacing w:line="162"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660"/>
        <w:gridCol w:w="100"/>
        <w:gridCol w:w="440"/>
        <w:gridCol w:w="220"/>
        <w:gridCol w:w="380"/>
        <w:gridCol w:w="200"/>
        <w:gridCol w:w="20"/>
        <w:gridCol w:w="400"/>
      </w:tblGrid>
      <w:tr w:rsidR="00D1587D" w14:paraId="571EDFD1" w14:textId="77777777">
        <w:trPr>
          <w:trHeight w:val="186"/>
        </w:trPr>
        <w:tc>
          <w:tcPr>
            <w:tcW w:w="6660" w:type="dxa"/>
            <w:vAlign w:val="bottom"/>
          </w:tcPr>
          <w:p w14:paraId="243093B6" w14:textId="77777777" w:rsidR="00D1587D" w:rsidRDefault="00D1587D">
            <w:pPr>
              <w:rPr>
                <w:sz w:val="16"/>
                <w:szCs w:val="16"/>
              </w:rPr>
            </w:pPr>
          </w:p>
        </w:tc>
        <w:tc>
          <w:tcPr>
            <w:tcW w:w="100" w:type="dxa"/>
            <w:vAlign w:val="bottom"/>
          </w:tcPr>
          <w:p w14:paraId="769F7319" w14:textId="77777777" w:rsidR="00D1587D" w:rsidRDefault="00D1587D">
            <w:pPr>
              <w:rPr>
                <w:sz w:val="16"/>
                <w:szCs w:val="16"/>
              </w:rPr>
            </w:pPr>
          </w:p>
        </w:tc>
        <w:tc>
          <w:tcPr>
            <w:tcW w:w="440" w:type="dxa"/>
            <w:vAlign w:val="bottom"/>
          </w:tcPr>
          <w:p w14:paraId="5E0F78F2" w14:textId="77777777" w:rsidR="00D1587D" w:rsidRDefault="00410D07">
            <w:pPr>
              <w:jc w:val="right"/>
              <w:rPr>
                <w:sz w:val="20"/>
                <w:szCs w:val="20"/>
              </w:rPr>
            </w:pPr>
            <w:r>
              <w:rPr>
                <w:rFonts w:ascii="Arial" w:eastAsia="Arial" w:hAnsi="Arial" w:cs="Arial"/>
                <w:b/>
                <w:bCs/>
                <w:sz w:val="14"/>
                <w:szCs w:val="14"/>
              </w:rPr>
              <w:t>2020</w:t>
            </w:r>
          </w:p>
        </w:tc>
        <w:tc>
          <w:tcPr>
            <w:tcW w:w="600" w:type="dxa"/>
            <w:gridSpan w:val="2"/>
            <w:vAlign w:val="bottom"/>
          </w:tcPr>
          <w:p w14:paraId="129FC74A" w14:textId="77777777" w:rsidR="00D1587D" w:rsidRDefault="00410D07">
            <w:pPr>
              <w:ind w:right="40"/>
              <w:jc w:val="right"/>
              <w:rPr>
                <w:sz w:val="20"/>
                <w:szCs w:val="20"/>
              </w:rPr>
            </w:pPr>
            <w:r>
              <w:rPr>
                <w:rFonts w:ascii="Arial" w:eastAsia="Arial" w:hAnsi="Arial" w:cs="Arial"/>
                <w:b/>
                <w:bCs/>
                <w:sz w:val="14"/>
                <w:szCs w:val="14"/>
              </w:rPr>
              <w:t>2019</w:t>
            </w:r>
          </w:p>
        </w:tc>
        <w:tc>
          <w:tcPr>
            <w:tcW w:w="200" w:type="dxa"/>
            <w:vAlign w:val="bottom"/>
          </w:tcPr>
          <w:p w14:paraId="16AD2087" w14:textId="77777777" w:rsidR="00D1587D" w:rsidRDefault="00D1587D">
            <w:pPr>
              <w:rPr>
                <w:sz w:val="16"/>
                <w:szCs w:val="16"/>
              </w:rPr>
            </w:pPr>
          </w:p>
        </w:tc>
        <w:tc>
          <w:tcPr>
            <w:tcW w:w="420" w:type="dxa"/>
            <w:gridSpan w:val="2"/>
            <w:vAlign w:val="bottom"/>
          </w:tcPr>
          <w:p w14:paraId="0AC588D4" w14:textId="77777777" w:rsidR="00D1587D" w:rsidRDefault="00410D07">
            <w:pPr>
              <w:jc w:val="right"/>
              <w:rPr>
                <w:sz w:val="20"/>
                <w:szCs w:val="20"/>
              </w:rPr>
            </w:pPr>
            <w:r>
              <w:rPr>
                <w:rFonts w:ascii="Arial" w:eastAsia="Arial" w:hAnsi="Arial" w:cs="Arial"/>
                <w:b/>
                <w:bCs/>
                <w:sz w:val="14"/>
                <w:szCs w:val="14"/>
              </w:rPr>
              <w:t>2018</w:t>
            </w:r>
          </w:p>
        </w:tc>
      </w:tr>
      <w:tr w:rsidR="00D1587D" w14:paraId="2CBF3937" w14:textId="77777777">
        <w:trPr>
          <w:trHeight w:val="53"/>
        </w:trPr>
        <w:tc>
          <w:tcPr>
            <w:tcW w:w="6660" w:type="dxa"/>
            <w:vAlign w:val="bottom"/>
          </w:tcPr>
          <w:p w14:paraId="567D349C" w14:textId="77777777" w:rsidR="00D1587D" w:rsidRDefault="00D1587D">
            <w:pPr>
              <w:rPr>
                <w:sz w:val="4"/>
                <w:szCs w:val="4"/>
              </w:rPr>
            </w:pPr>
          </w:p>
        </w:tc>
        <w:tc>
          <w:tcPr>
            <w:tcW w:w="100" w:type="dxa"/>
            <w:vAlign w:val="bottom"/>
          </w:tcPr>
          <w:p w14:paraId="1C581CCA" w14:textId="77777777" w:rsidR="00D1587D" w:rsidRDefault="00D1587D">
            <w:pPr>
              <w:rPr>
                <w:sz w:val="4"/>
                <w:szCs w:val="4"/>
              </w:rPr>
            </w:pPr>
          </w:p>
        </w:tc>
        <w:tc>
          <w:tcPr>
            <w:tcW w:w="440" w:type="dxa"/>
            <w:tcBorders>
              <w:bottom w:val="single" w:sz="8" w:space="0" w:color="auto"/>
            </w:tcBorders>
            <w:vAlign w:val="bottom"/>
          </w:tcPr>
          <w:p w14:paraId="7B553C3C" w14:textId="77777777" w:rsidR="00D1587D" w:rsidRDefault="00D1587D">
            <w:pPr>
              <w:rPr>
                <w:sz w:val="4"/>
                <w:szCs w:val="4"/>
              </w:rPr>
            </w:pPr>
          </w:p>
        </w:tc>
        <w:tc>
          <w:tcPr>
            <w:tcW w:w="800" w:type="dxa"/>
            <w:gridSpan w:val="3"/>
            <w:tcBorders>
              <w:bottom w:val="single" w:sz="8" w:space="0" w:color="auto"/>
            </w:tcBorders>
            <w:vAlign w:val="bottom"/>
          </w:tcPr>
          <w:p w14:paraId="0FF4B53F" w14:textId="77777777" w:rsidR="00D1587D" w:rsidRDefault="00D1587D">
            <w:pPr>
              <w:rPr>
                <w:sz w:val="4"/>
                <w:szCs w:val="4"/>
              </w:rPr>
            </w:pPr>
          </w:p>
        </w:tc>
        <w:tc>
          <w:tcPr>
            <w:tcW w:w="20" w:type="dxa"/>
            <w:tcBorders>
              <w:bottom w:val="single" w:sz="8" w:space="0" w:color="auto"/>
            </w:tcBorders>
            <w:vAlign w:val="bottom"/>
          </w:tcPr>
          <w:p w14:paraId="39D9F7A5" w14:textId="77777777" w:rsidR="00D1587D" w:rsidRDefault="00D1587D">
            <w:pPr>
              <w:rPr>
                <w:sz w:val="4"/>
                <w:szCs w:val="4"/>
              </w:rPr>
            </w:pPr>
          </w:p>
        </w:tc>
        <w:tc>
          <w:tcPr>
            <w:tcW w:w="400" w:type="dxa"/>
            <w:tcBorders>
              <w:bottom w:val="single" w:sz="8" w:space="0" w:color="auto"/>
            </w:tcBorders>
            <w:vAlign w:val="bottom"/>
          </w:tcPr>
          <w:p w14:paraId="79FE52E6" w14:textId="77777777" w:rsidR="00D1587D" w:rsidRDefault="00D1587D">
            <w:pPr>
              <w:rPr>
                <w:sz w:val="4"/>
                <w:szCs w:val="4"/>
              </w:rPr>
            </w:pPr>
          </w:p>
        </w:tc>
      </w:tr>
      <w:tr w:rsidR="00D1587D" w14:paraId="0C080F31" w14:textId="77777777">
        <w:trPr>
          <w:trHeight w:val="225"/>
        </w:trPr>
        <w:tc>
          <w:tcPr>
            <w:tcW w:w="6660" w:type="dxa"/>
            <w:vAlign w:val="bottom"/>
          </w:tcPr>
          <w:p w14:paraId="3F02CFF8" w14:textId="77777777" w:rsidR="00D1587D" w:rsidRDefault="00D1587D">
            <w:pPr>
              <w:rPr>
                <w:sz w:val="19"/>
                <w:szCs w:val="19"/>
              </w:rPr>
            </w:pPr>
          </w:p>
        </w:tc>
        <w:tc>
          <w:tcPr>
            <w:tcW w:w="100" w:type="dxa"/>
            <w:vAlign w:val="bottom"/>
          </w:tcPr>
          <w:p w14:paraId="69F12087" w14:textId="77777777" w:rsidR="00D1587D" w:rsidRDefault="00D1587D">
            <w:pPr>
              <w:rPr>
                <w:sz w:val="19"/>
                <w:szCs w:val="19"/>
              </w:rPr>
            </w:pPr>
          </w:p>
        </w:tc>
        <w:tc>
          <w:tcPr>
            <w:tcW w:w="440" w:type="dxa"/>
            <w:vAlign w:val="bottom"/>
          </w:tcPr>
          <w:p w14:paraId="6279C72A" w14:textId="77777777" w:rsidR="00D1587D" w:rsidRDefault="00D1587D">
            <w:pPr>
              <w:rPr>
                <w:sz w:val="19"/>
                <w:szCs w:val="19"/>
              </w:rPr>
            </w:pPr>
          </w:p>
        </w:tc>
        <w:tc>
          <w:tcPr>
            <w:tcW w:w="800" w:type="dxa"/>
            <w:gridSpan w:val="3"/>
            <w:vAlign w:val="bottom"/>
          </w:tcPr>
          <w:p w14:paraId="74DA7437" w14:textId="77777777" w:rsidR="00D1587D" w:rsidRDefault="00410D07">
            <w:pPr>
              <w:ind w:left="20"/>
              <w:rPr>
                <w:sz w:val="20"/>
                <w:szCs w:val="20"/>
              </w:rPr>
            </w:pPr>
            <w:r>
              <w:rPr>
                <w:rFonts w:ascii="Arial" w:eastAsia="Arial" w:hAnsi="Arial" w:cs="Arial"/>
                <w:b/>
                <w:bCs/>
                <w:w w:val="96"/>
                <w:sz w:val="14"/>
                <w:szCs w:val="14"/>
              </w:rPr>
              <w:t>(in millions)</w:t>
            </w:r>
          </w:p>
        </w:tc>
        <w:tc>
          <w:tcPr>
            <w:tcW w:w="20" w:type="dxa"/>
            <w:vAlign w:val="bottom"/>
          </w:tcPr>
          <w:p w14:paraId="7BA959A3" w14:textId="77777777" w:rsidR="00D1587D" w:rsidRDefault="00D1587D">
            <w:pPr>
              <w:rPr>
                <w:sz w:val="19"/>
                <w:szCs w:val="19"/>
              </w:rPr>
            </w:pPr>
          </w:p>
        </w:tc>
        <w:tc>
          <w:tcPr>
            <w:tcW w:w="400" w:type="dxa"/>
            <w:vAlign w:val="bottom"/>
          </w:tcPr>
          <w:p w14:paraId="2AE0C591" w14:textId="77777777" w:rsidR="00D1587D" w:rsidRDefault="00D1587D">
            <w:pPr>
              <w:rPr>
                <w:sz w:val="19"/>
                <w:szCs w:val="19"/>
              </w:rPr>
            </w:pPr>
          </w:p>
        </w:tc>
      </w:tr>
      <w:tr w:rsidR="00D1587D" w14:paraId="5AFB8645" w14:textId="77777777">
        <w:trPr>
          <w:trHeight w:val="53"/>
        </w:trPr>
        <w:tc>
          <w:tcPr>
            <w:tcW w:w="6660" w:type="dxa"/>
            <w:vAlign w:val="bottom"/>
          </w:tcPr>
          <w:p w14:paraId="2C3B712A" w14:textId="77777777" w:rsidR="00D1587D" w:rsidRDefault="00D1587D">
            <w:pPr>
              <w:rPr>
                <w:sz w:val="4"/>
                <w:szCs w:val="4"/>
              </w:rPr>
            </w:pPr>
          </w:p>
        </w:tc>
        <w:tc>
          <w:tcPr>
            <w:tcW w:w="100" w:type="dxa"/>
            <w:vAlign w:val="bottom"/>
          </w:tcPr>
          <w:p w14:paraId="7F713218" w14:textId="77777777" w:rsidR="00D1587D" w:rsidRDefault="00D1587D">
            <w:pPr>
              <w:rPr>
                <w:sz w:val="4"/>
                <w:szCs w:val="4"/>
              </w:rPr>
            </w:pPr>
          </w:p>
        </w:tc>
        <w:tc>
          <w:tcPr>
            <w:tcW w:w="440" w:type="dxa"/>
            <w:vAlign w:val="bottom"/>
          </w:tcPr>
          <w:p w14:paraId="349BBAC1" w14:textId="77777777" w:rsidR="00D1587D" w:rsidRDefault="00D1587D">
            <w:pPr>
              <w:rPr>
                <w:sz w:val="4"/>
                <w:szCs w:val="4"/>
              </w:rPr>
            </w:pPr>
          </w:p>
        </w:tc>
        <w:tc>
          <w:tcPr>
            <w:tcW w:w="220" w:type="dxa"/>
            <w:vAlign w:val="bottom"/>
          </w:tcPr>
          <w:p w14:paraId="555857A7" w14:textId="77777777" w:rsidR="00D1587D" w:rsidRDefault="00D1587D">
            <w:pPr>
              <w:rPr>
                <w:sz w:val="4"/>
                <w:szCs w:val="4"/>
              </w:rPr>
            </w:pPr>
          </w:p>
        </w:tc>
        <w:tc>
          <w:tcPr>
            <w:tcW w:w="380" w:type="dxa"/>
            <w:vAlign w:val="bottom"/>
          </w:tcPr>
          <w:p w14:paraId="39277DD5" w14:textId="77777777" w:rsidR="00D1587D" w:rsidRDefault="00D1587D">
            <w:pPr>
              <w:rPr>
                <w:sz w:val="4"/>
                <w:szCs w:val="4"/>
              </w:rPr>
            </w:pPr>
          </w:p>
        </w:tc>
        <w:tc>
          <w:tcPr>
            <w:tcW w:w="200" w:type="dxa"/>
            <w:vAlign w:val="bottom"/>
          </w:tcPr>
          <w:p w14:paraId="3B1317E4" w14:textId="77777777" w:rsidR="00D1587D" w:rsidRDefault="00D1587D">
            <w:pPr>
              <w:rPr>
                <w:sz w:val="4"/>
                <w:szCs w:val="4"/>
              </w:rPr>
            </w:pPr>
          </w:p>
        </w:tc>
        <w:tc>
          <w:tcPr>
            <w:tcW w:w="20" w:type="dxa"/>
            <w:vAlign w:val="bottom"/>
          </w:tcPr>
          <w:p w14:paraId="6688528D" w14:textId="77777777" w:rsidR="00D1587D" w:rsidRDefault="00D1587D">
            <w:pPr>
              <w:rPr>
                <w:sz w:val="4"/>
                <w:szCs w:val="4"/>
              </w:rPr>
            </w:pPr>
          </w:p>
        </w:tc>
        <w:tc>
          <w:tcPr>
            <w:tcW w:w="400" w:type="dxa"/>
            <w:vAlign w:val="bottom"/>
          </w:tcPr>
          <w:p w14:paraId="16D3EB6E" w14:textId="77777777" w:rsidR="00D1587D" w:rsidRDefault="00D1587D">
            <w:pPr>
              <w:rPr>
                <w:sz w:val="4"/>
                <w:szCs w:val="4"/>
              </w:rPr>
            </w:pPr>
          </w:p>
        </w:tc>
      </w:tr>
      <w:tr w:rsidR="00D1587D" w14:paraId="38BF8A3D" w14:textId="77777777">
        <w:trPr>
          <w:trHeight w:val="317"/>
        </w:trPr>
        <w:tc>
          <w:tcPr>
            <w:tcW w:w="6760" w:type="dxa"/>
            <w:gridSpan w:val="2"/>
            <w:tcBorders>
              <w:bottom w:val="single" w:sz="8" w:space="0" w:color="CCEEFF"/>
            </w:tcBorders>
            <w:shd w:val="clear" w:color="auto" w:fill="CCEEFF"/>
            <w:vAlign w:val="bottom"/>
          </w:tcPr>
          <w:p w14:paraId="7E5ADE74" w14:textId="77777777" w:rsidR="00D1587D" w:rsidRDefault="00410D07">
            <w:pPr>
              <w:rPr>
                <w:sz w:val="20"/>
                <w:szCs w:val="20"/>
              </w:rPr>
            </w:pPr>
            <w:r>
              <w:rPr>
                <w:rFonts w:ascii="Arial" w:eastAsia="Arial" w:hAnsi="Arial" w:cs="Arial"/>
                <w:sz w:val="18"/>
                <w:szCs w:val="18"/>
              </w:rPr>
              <w:t>Gross Unrecognized Tax Benefits, as of the Beginning of the Fiscal Year</w:t>
            </w:r>
          </w:p>
        </w:tc>
        <w:tc>
          <w:tcPr>
            <w:tcW w:w="440" w:type="dxa"/>
            <w:tcBorders>
              <w:bottom w:val="single" w:sz="8" w:space="0" w:color="CCEEFF"/>
            </w:tcBorders>
            <w:shd w:val="clear" w:color="auto" w:fill="CCEEFF"/>
            <w:vAlign w:val="bottom"/>
          </w:tcPr>
          <w:p w14:paraId="7F14FCBA" w14:textId="77777777" w:rsidR="00D1587D" w:rsidRDefault="00410D07">
            <w:pPr>
              <w:jc w:val="right"/>
              <w:rPr>
                <w:sz w:val="20"/>
                <w:szCs w:val="20"/>
              </w:rPr>
            </w:pPr>
            <w:r>
              <w:rPr>
                <w:rFonts w:ascii="Arial" w:eastAsia="Arial" w:hAnsi="Arial" w:cs="Arial"/>
                <w:w w:val="96"/>
                <w:sz w:val="18"/>
                <w:szCs w:val="18"/>
              </w:rPr>
              <w:t>$ 41</w:t>
            </w:r>
          </w:p>
        </w:tc>
        <w:tc>
          <w:tcPr>
            <w:tcW w:w="600" w:type="dxa"/>
            <w:gridSpan w:val="2"/>
            <w:tcBorders>
              <w:bottom w:val="single" w:sz="8" w:space="0" w:color="CCEEFF"/>
            </w:tcBorders>
            <w:shd w:val="clear" w:color="auto" w:fill="CCEEFF"/>
            <w:vAlign w:val="bottom"/>
          </w:tcPr>
          <w:p w14:paraId="63305DAF" w14:textId="77777777" w:rsidR="00D1587D" w:rsidRDefault="00410D07">
            <w:pPr>
              <w:ind w:right="60"/>
              <w:jc w:val="right"/>
              <w:rPr>
                <w:sz w:val="20"/>
                <w:szCs w:val="20"/>
              </w:rPr>
            </w:pPr>
            <w:r>
              <w:rPr>
                <w:rFonts w:ascii="Arial" w:eastAsia="Arial" w:hAnsi="Arial" w:cs="Arial"/>
                <w:sz w:val="18"/>
                <w:szCs w:val="18"/>
              </w:rPr>
              <w:t>$ 78</w:t>
            </w:r>
          </w:p>
        </w:tc>
        <w:tc>
          <w:tcPr>
            <w:tcW w:w="200" w:type="dxa"/>
            <w:tcBorders>
              <w:bottom w:val="single" w:sz="8" w:space="0" w:color="CCEEFF"/>
            </w:tcBorders>
            <w:shd w:val="clear" w:color="auto" w:fill="CCEEFF"/>
            <w:vAlign w:val="bottom"/>
          </w:tcPr>
          <w:p w14:paraId="5186F4FD" w14:textId="77777777" w:rsidR="00D1587D" w:rsidRDefault="00D1587D">
            <w:pPr>
              <w:rPr>
                <w:sz w:val="24"/>
                <w:szCs w:val="24"/>
              </w:rPr>
            </w:pPr>
          </w:p>
        </w:tc>
        <w:tc>
          <w:tcPr>
            <w:tcW w:w="420" w:type="dxa"/>
            <w:gridSpan w:val="2"/>
            <w:tcBorders>
              <w:bottom w:val="single" w:sz="8" w:space="0" w:color="CCEEFF"/>
            </w:tcBorders>
            <w:shd w:val="clear" w:color="auto" w:fill="CCEEFF"/>
            <w:vAlign w:val="bottom"/>
          </w:tcPr>
          <w:p w14:paraId="417175C3" w14:textId="77777777" w:rsidR="00D1587D" w:rsidRDefault="00410D07">
            <w:pPr>
              <w:jc w:val="right"/>
              <w:rPr>
                <w:sz w:val="20"/>
                <w:szCs w:val="20"/>
              </w:rPr>
            </w:pPr>
            <w:r>
              <w:rPr>
                <w:rFonts w:ascii="Arial" w:eastAsia="Arial" w:hAnsi="Arial" w:cs="Arial"/>
                <w:w w:val="91"/>
                <w:sz w:val="18"/>
                <w:szCs w:val="18"/>
              </w:rPr>
              <w:t>$ 45</w:t>
            </w:r>
          </w:p>
        </w:tc>
      </w:tr>
      <w:tr w:rsidR="00D1587D" w14:paraId="2BB540C7" w14:textId="77777777">
        <w:trPr>
          <w:trHeight w:val="270"/>
        </w:trPr>
        <w:tc>
          <w:tcPr>
            <w:tcW w:w="6760" w:type="dxa"/>
            <w:gridSpan w:val="2"/>
            <w:vAlign w:val="bottom"/>
          </w:tcPr>
          <w:p w14:paraId="27271C2E" w14:textId="77777777" w:rsidR="00D1587D" w:rsidRDefault="00410D07">
            <w:pPr>
              <w:rPr>
                <w:sz w:val="20"/>
                <w:szCs w:val="20"/>
              </w:rPr>
            </w:pPr>
            <w:r>
              <w:rPr>
                <w:rFonts w:ascii="Arial" w:eastAsia="Arial" w:hAnsi="Arial" w:cs="Arial"/>
                <w:sz w:val="18"/>
                <w:szCs w:val="18"/>
              </w:rPr>
              <w:t>Increases to Unrecognized Tax Benefits for Prior Years</w:t>
            </w:r>
          </w:p>
        </w:tc>
        <w:tc>
          <w:tcPr>
            <w:tcW w:w="440" w:type="dxa"/>
            <w:vAlign w:val="bottom"/>
          </w:tcPr>
          <w:p w14:paraId="2270D845" w14:textId="77777777" w:rsidR="00D1587D" w:rsidRDefault="00410D07">
            <w:pPr>
              <w:jc w:val="right"/>
              <w:rPr>
                <w:sz w:val="20"/>
                <w:szCs w:val="20"/>
              </w:rPr>
            </w:pPr>
            <w:r>
              <w:rPr>
                <w:rFonts w:ascii="Arial" w:eastAsia="Arial" w:hAnsi="Arial" w:cs="Arial"/>
                <w:sz w:val="18"/>
                <w:szCs w:val="18"/>
              </w:rPr>
              <w:t>—</w:t>
            </w:r>
          </w:p>
        </w:tc>
        <w:tc>
          <w:tcPr>
            <w:tcW w:w="600" w:type="dxa"/>
            <w:gridSpan w:val="2"/>
            <w:vAlign w:val="bottom"/>
          </w:tcPr>
          <w:p w14:paraId="5E259473" w14:textId="77777777" w:rsidR="00D1587D" w:rsidRDefault="00410D07">
            <w:pPr>
              <w:ind w:right="60"/>
              <w:jc w:val="right"/>
              <w:rPr>
                <w:sz w:val="20"/>
                <w:szCs w:val="20"/>
              </w:rPr>
            </w:pPr>
            <w:r>
              <w:rPr>
                <w:rFonts w:ascii="Arial" w:eastAsia="Arial" w:hAnsi="Arial" w:cs="Arial"/>
                <w:sz w:val="18"/>
                <w:szCs w:val="18"/>
              </w:rPr>
              <w:t>2</w:t>
            </w:r>
          </w:p>
        </w:tc>
        <w:tc>
          <w:tcPr>
            <w:tcW w:w="200" w:type="dxa"/>
            <w:vAlign w:val="bottom"/>
          </w:tcPr>
          <w:p w14:paraId="62BCE142" w14:textId="77777777" w:rsidR="00D1587D" w:rsidRDefault="00D1587D">
            <w:pPr>
              <w:rPr>
                <w:sz w:val="23"/>
                <w:szCs w:val="23"/>
              </w:rPr>
            </w:pPr>
          </w:p>
        </w:tc>
        <w:tc>
          <w:tcPr>
            <w:tcW w:w="420" w:type="dxa"/>
            <w:gridSpan w:val="2"/>
            <w:vAlign w:val="bottom"/>
          </w:tcPr>
          <w:p w14:paraId="031A86E2" w14:textId="77777777" w:rsidR="00D1587D" w:rsidRDefault="00410D07">
            <w:pPr>
              <w:jc w:val="right"/>
              <w:rPr>
                <w:sz w:val="20"/>
                <w:szCs w:val="20"/>
              </w:rPr>
            </w:pPr>
            <w:r>
              <w:rPr>
                <w:rFonts w:ascii="Arial" w:eastAsia="Arial" w:hAnsi="Arial" w:cs="Arial"/>
                <w:sz w:val="18"/>
                <w:szCs w:val="18"/>
              </w:rPr>
              <w:t>35</w:t>
            </w:r>
          </w:p>
        </w:tc>
      </w:tr>
      <w:tr w:rsidR="00D1587D" w14:paraId="627D5517" w14:textId="77777777">
        <w:trPr>
          <w:trHeight w:val="54"/>
        </w:trPr>
        <w:tc>
          <w:tcPr>
            <w:tcW w:w="6660" w:type="dxa"/>
            <w:vAlign w:val="bottom"/>
          </w:tcPr>
          <w:p w14:paraId="6382E05E" w14:textId="77777777" w:rsidR="00D1587D" w:rsidRDefault="00D1587D">
            <w:pPr>
              <w:rPr>
                <w:sz w:val="4"/>
                <w:szCs w:val="4"/>
              </w:rPr>
            </w:pPr>
          </w:p>
        </w:tc>
        <w:tc>
          <w:tcPr>
            <w:tcW w:w="100" w:type="dxa"/>
            <w:vAlign w:val="bottom"/>
          </w:tcPr>
          <w:p w14:paraId="2EE67155" w14:textId="77777777" w:rsidR="00D1587D" w:rsidRDefault="00D1587D">
            <w:pPr>
              <w:rPr>
                <w:sz w:val="4"/>
                <w:szCs w:val="4"/>
              </w:rPr>
            </w:pPr>
          </w:p>
        </w:tc>
        <w:tc>
          <w:tcPr>
            <w:tcW w:w="440" w:type="dxa"/>
            <w:vAlign w:val="bottom"/>
          </w:tcPr>
          <w:p w14:paraId="59969508" w14:textId="77777777" w:rsidR="00D1587D" w:rsidRDefault="00D1587D">
            <w:pPr>
              <w:rPr>
                <w:sz w:val="4"/>
                <w:szCs w:val="4"/>
              </w:rPr>
            </w:pPr>
          </w:p>
        </w:tc>
        <w:tc>
          <w:tcPr>
            <w:tcW w:w="220" w:type="dxa"/>
            <w:vAlign w:val="bottom"/>
          </w:tcPr>
          <w:p w14:paraId="00E034DE" w14:textId="77777777" w:rsidR="00D1587D" w:rsidRDefault="00D1587D">
            <w:pPr>
              <w:rPr>
                <w:sz w:val="4"/>
                <w:szCs w:val="4"/>
              </w:rPr>
            </w:pPr>
          </w:p>
        </w:tc>
        <w:tc>
          <w:tcPr>
            <w:tcW w:w="380" w:type="dxa"/>
            <w:vAlign w:val="bottom"/>
          </w:tcPr>
          <w:p w14:paraId="3458DDC6" w14:textId="77777777" w:rsidR="00D1587D" w:rsidRDefault="00D1587D">
            <w:pPr>
              <w:rPr>
                <w:sz w:val="4"/>
                <w:szCs w:val="4"/>
              </w:rPr>
            </w:pPr>
          </w:p>
        </w:tc>
        <w:tc>
          <w:tcPr>
            <w:tcW w:w="200" w:type="dxa"/>
            <w:vAlign w:val="bottom"/>
          </w:tcPr>
          <w:p w14:paraId="5040C674" w14:textId="77777777" w:rsidR="00D1587D" w:rsidRDefault="00D1587D">
            <w:pPr>
              <w:rPr>
                <w:sz w:val="4"/>
                <w:szCs w:val="4"/>
              </w:rPr>
            </w:pPr>
          </w:p>
        </w:tc>
        <w:tc>
          <w:tcPr>
            <w:tcW w:w="20" w:type="dxa"/>
            <w:vAlign w:val="bottom"/>
          </w:tcPr>
          <w:p w14:paraId="600A2718" w14:textId="77777777" w:rsidR="00D1587D" w:rsidRDefault="00D1587D">
            <w:pPr>
              <w:rPr>
                <w:sz w:val="4"/>
                <w:szCs w:val="4"/>
              </w:rPr>
            </w:pPr>
          </w:p>
        </w:tc>
        <w:tc>
          <w:tcPr>
            <w:tcW w:w="400" w:type="dxa"/>
            <w:vAlign w:val="bottom"/>
          </w:tcPr>
          <w:p w14:paraId="008AA8E0" w14:textId="77777777" w:rsidR="00D1587D" w:rsidRDefault="00D1587D">
            <w:pPr>
              <w:rPr>
                <w:sz w:val="4"/>
                <w:szCs w:val="4"/>
              </w:rPr>
            </w:pPr>
          </w:p>
        </w:tc>
      </w:tr>
      <w:tr w:rsidR="00D1587D" w14:paraId="16CDF1FC" w14:textId="77777777">
        <w:trPr>
          <w:trHeight w:val="304"/>
        </w:trPr>
        <w:tc>
          <w:tcPr>
            <w:tcW w:w="6760" w:type="dxa"/>
            <w:gridSpan w:val="2"/>
            <w:tcBorders>
              <w:bottom w:val="single" w:sz="8" w:space="0" w:color="CCEEFF"/>
            </w:tcBorders>
            <w:shd w:val="clear" w:color="auto" w:fill="CCEEFF"/>
            <w:vAlign w:val="bottom"/>
          </w:tcPr>
          <w:p w14:paraId="7D364AA4" w14:textId="77777777" w:rsidR="00D1587D" w:rsidRDefault="00410D07">
            <w:pPr>
              <w:rPr>
                <w:sz w:val="20"/>
                <w:szCs w:val="20"/>
              </w:rPr>
            </w:pPr>
            <w:r>
              <w:rPr>
                <w:rFonts w:ascii="Arial" w:eastAsia="Arial" w:hAnsi="Arial" w:cs="Arial"/>
                <w:sz w:val="18"/>
                <w:szCs w:val="18"/>
              </w:rPr>
              <w:t>Decreases to Unrecognized Tax Benefits for Prior Years</w:t>
            </w:r>
          </w:p>
        </w:tc>
        <w:tc>
          <w:tcPr>
            <w:tcW w:w="440" w:type="dxa"/>
            <w:tcBorders>
              <w:bottom w:val="single" w:sz="8" w:space="0" w:color="CCEEFF"/>
            </w:tcBorders>
            <w:shd w:val="clear" w:color="auto" w:fill="CCEEFF"/>
            <w:vAlign w:val="bottom"/>
          </w:tcPr>
          <w:p w14:paraId="26DA617A" w14:textId="77777777" w:rsidR="00D1587D" w:rsidRDefault="00410D07">
            <w:pPr>
              <w:jc w:val="right"/>
              <w:rPr>
                <w:sz w:val="20"/>
                <w:szCs w:val="20"/>
              </w:rPr>
            </w:pPr>
            <w:r>
              <w:rPr>
                <w:rFonts w:ascii="Arial" w:eastAsia="Arial" w:hAnsi="Arial" w:cs="Arial"/>
                <w:sz w:val="18"/>
                <w:szCs w:val="18"/>
              </w:rPr>
              <w:t>(16)</w:t>
            </w:r>
          </w:p>
        </w:tc>
        <w:tc>
          <w:tcPr>
            <w:tcW w:w="600" w:type="dxa"/>
            <w:gridSpan w:val="2"/>
            <w:tcBorders>
              <w:bottom w:val="single" w:sz="8" w:space="0" w:color="CCEEFF"/>
            </w:tcBorders>
            <w:shd w:val="clear" w:color="auto" w:fill="CCEEFF"/>
            <w:vAlign w:val="bottom"/>
          </w:tcPr>
          <w:p w14:paraId="22DA4E61" w14:textId="77777777" w:rsidR="00D1587D" w:rsidRDefault="00410D07">
            <w:pPr>
              <w:jc w:val="right"/>
              <w:rPr>
                <w:sz w:val="20"/>
                <w:szCs w:val="20"/>
              </w:rPr>
            </w:pPr>
            <w:r>
              <w:rPr>
                <w:rFonts w:ascii="Arial" w:eastAsia="Arial" w:hAnsi="Arial" w:cs="Arial"/>
                <w:sz w:val="18"/>
                <w:szCs w:val="18"/>
              </w:rPr>
              <w:t>(20)</w:t>
            </w:r>
          </w:p>
        </w:tc>
        <w:tc>
          <w:tcPr>
            <w:tcW w:w="200" w:type="dxa"/>
            <w:tcBorders>
              <w:bottom w:val="single" w:sz="8" w:space="0" w:color="CCEEFF"/>
            </w:tcBorders>
            <w:shd w:val="clear" w:color="auto" w:fill="CCEEFF"/>
            <w:vAlign w:val="bottom"/>
          </w:tcPr>
          <w:p w14:paraId="2BFD9689" w14:textId="77777777" w:rsidR="00D1587D" w:rsidRDefault="00D1587D">
            <w:pPr>
              <w:rPr>
                <w:sz w:val="24"/>
                <w:szCs w:val="24"/>
              </w:rPr>
            </w:pPr>
          </w:p>
        </w:tc>
        <w:tc>
          <w:tcPr>
            <w:tcW w:w="420" w:type="dxa"/>
            <w:gridSpan w:val="2"/>
            <w:tcBorders>
              <w:bottom w:val="single" w:sz="8" w:space="0" w:color="CCEEFF"/>
            </w:tcBorders>
            <w:shd w:val="clear" w:color="auto" w:fill="CCEEFF"/>
            <w:vAlign w:val="bottom"/>
          </w:tcPr>
          <w:p w14:paraId="3A84E18F" w14:textId="77777777" w:rsidR="00D1587D" w:rsidRDefault="00410D07">
            <w:pPr>
              <w:jc w:val="right"/>
              <w:rPr>
                <w:sz w:val="20"/>
                <w:szCs w:val="20"/>
              </w:rPr>
            </w:pPr>
            <w:r>
              <w:rPr>
                <w:rFonts w:ascii="Arial" w:eastAsia="Arial" w:hAnsi="Arial" w:cs="Arial"/>
                <w:sz w:val="18"/>
                <w:szCs w:val="18"/>
              </w:rPr>
              <w:t>(20)</w:t>
            </w:r>
          </w:p>
        </w:tc>
      </w:tr>
      <w:tr w:rsidR="00D1587D" w14:paraId="1807D99D" w14:textId="77777777">
        <w:trPr>
          <w:trHeight w:val="270"/>
        </w:trPr>
        <w:tc>
          <w:tcPr>
            <w:tcW w:w="6760" w:type="dxa"/>
            <w:gridSpan w:val="2"/>
            <w:vAlign w:val="bottom"/>
          </w:tcPr>
          <w:p w14:paraId="75C90B83" w14:textId="77777777" w:rsidR="00D1587D" w:rsidRDefault="00410D07">
            <w:pPr>
              <w:rPr>
                <w:sz w:val="20"/>
                <w:szCs w:val="20"/>
              </w:rPr>
            </w:pPr>
            <w:r>
              <w:rPr>
                <w:rFonts w:ascii="Arial" w:eastAsia="Arial" w:hAnsi="Arial" w:cs="Arial"/>
                <w:sz w:val="18"/>
                <w:szCs w:val="18"/>
              </w:rPr>
              <w:t>Increases to Unrecognized Tax Benefits as a Result of Current Year Activity</w:t>
            </w:r>
          </w:p>
        </w:tc>
        <w:tc>
          <w:tcPr>
            <w:tcW w:w="440" w:type="dxa"/>
            <w:vAlign w:val="bottom"/>
          </w:tcPr>
          <w:p w14:paraId="3CCB9EEB" w14:textId="77777777" w:rsidR="00D1587D" w:rsidRDefault="00410D07">
            <w:pPr>
              <w:jc w:val="right"/>
              <w:rPr>
                <w:sz w:val="20"/>
                <w:szCs w:val="20"/>
              </w:rPr>
            </w:pPr>
            <w:r>
              <w:rPr>
                <w:rFonts w:ascii="Arial" w:eastAsia="Arial" w:hAnsi="Arial" w:cs="Arial"/>
                <w:sz w:val="18"/>
                <w:szCs w:val="18"/>
              </w:rPr>
              <w:t>105</w:t>
            </w:r>
          </w:p>
        </w:tc>
        <w:tc>
          <w:tcPr>
            <w:tcW w:w="600" w:type="dxa"/>
            <w:gridSpan w:val="2"/>
            <w:vAlign w:val="bottom"/>
          </w:tcPr>
          <w:p w14:paraId="6A9C80CC" w14:textId="77777777" w:rsidR="00D1587D" w:rsidRDefault="00410D07">
            <w:pPr>
              <w:ind w:right="60"/>
              <w:jc w:val="right"/>
              <w:rPr>
                <w:sz w:val="20"/>
                <w:szCs w:val="20"/>
              </w:rPr>
            </w:pPr>
            <w:r>
              <w:rPr>
                <w:rFonts w:ascii="Arial" w:eastAsia="Arial" w:hAnsi="Arial" w:cs="Arial"/>
                <w:sz w:val="18"/>
                <w:szCs w:val="18"/>
              </w:rPr>
              <w:t>1</w:t>
            </w:r>
          </w:p>
        </w:tc>
        <w:tc>
          <w:tcPr>
            <w:tcW w:w="200" w:type="dxa"/>
            <w:vAlign w:val="bottom"/>
          </w:tcPr>
          <w:p w14:paraId="110613BD" w14:textId="77777777" w:rsidR="00D1587D" w:rsidRDefault="00D1587D">
            <w:pPr>
              <w:rPr>
                <w:sz w:val="23"/>
                <w:szCs w:val="23"/>
              </w:rPr>
            </w:pPr>
          </w:p>
        </w:tc>
        <w:tc>
          <w:tcPr>
            <w:tcW w:w="420" w:type="dxa"/>
            <w:gridSpan w:val="2"/>
            <w:vAlign w:val="bottom"/>
          </w:tcPr>
          <w:p w14:paraId="312FF647" w14:textId="77777777" w:rsidR="00D1587D" w:rsidRDefault="00410D07">
            <w:pPr>
              <w:jc w:val="right"/>
              <w:rPr>
                <w:sz w:val="20"/>
                <w:szCs w:val="20"/>
              </w:rPr>
            </w:pPr>
            <w:r>
              <w:rPr>
                <w:rFonts w:ascii="Arial" w:eastAsia="Arial" w:hAnsi="Arial" w:cs="Arial"/>
                <w:sz w:val="18"/>
                <w:szCs w:val="18"/>
              </w:rPr>
              <w:t>24</w:t>
            </w:r>
          </w:p>
        </w:tc>
      </w:tr>
      <w:tr w:rsidR="00D1587D" w14:paraId="54565FFA" w14:textId="77777777">
        <w:trPr>
          <w:trHeight w:val="54"/>
        </w:trPr>
        <w:tc>
          <w:tcPr>
            <w:tcW w:w="6660" w:type="dxa"/>
            <w:vAlign w:val="bottom"/>
          </w:tcPr>
          <w:p w14:paraId="00340B05" w14:textId="77777777" w:rsidR="00D1587D" w:rsidRDefault="00D1587D">
            <w:pPr>
              <w:rPr>
                <w:sz w:val="4"/>
                <w:szCs w:val="4"/>
              </w:rPr>
            </w:pPr>
          </w:p>
        </w:tc>
        <w:tc>
          <w:tcPr>
            <w:tcW w:w="100" w:type="dxa"/>
            <w:vAlign w:val="bottom"/>
          </w:tcPr>
          <w:p w14:paraId="67976E05" w14:textId="77777777" w:rsidR="00D1587D" w:rsidRDefault="00D1587D">
            <w:pPr>
              <w:rPr>
                <w:sz w:val="4"/>
                <w:szCs w:val="4"/>
              </w:rPr>
            </w:pPr>
          </w:p>
        </w:tc>
        <w:tc>
          <w:tcPr>
            <w:tcW w:w="440" w:type="dxa"/>
            <w:vAlign w:val="bottom"/>
          </w:tcPr>
          <w:p w14:paraId="3764A04B" w14:textId="77777777" w:rsidR="00D1587D" w:rsidRDefault="00D1587D">
            <w:pPr>
              <w:rPr>
                <w:sz w:val="4"/>
                <w:szCs w:val="4"/>
              </w:rPr>
            </w:pPr>
          </w:p>
        </w:tc>
        <w:tc>
          <w:tcPr>
            <w:tcW w:w="220" w:type="dxa"/>
            <w:vAlign w:val="bottom"/>
          </w:tcPr>
          <w:p w14:paraId="2A662361" w14:textId="77777777" w:rsidR="00D1587D" w:rsidRDefault="00D1587D">
            <w:pPr>
              <w:rPr>
                <w:sz w:val="4"/>
                <w:szCs w:val="4"/>
              </w:rPr>
            </w:pPr>
          </w:p>
        </w:tc>
        <w:tc>
          <w:tcPr>
            <w:tcW w:w="380" w:type="dxa"/>
            <w:vAlign w:val="bottom"/>
          </w:tcPr>
          <w:p w14:paraId="2B681AAE" w14:textId="77777777" w:rsidR="00D1587D" w:rsidRDefault="00D1587D">
            <w:pPr>
              <w:rPr>
                <w:sz w:val="4"/>
                <w:szCs w:val="4"/>
              </w:rPr>
            </w:pPr>
          </w:p>
        </w:tc>
        <w:tc>
          <w:tcPr>
            <w:tcW w:w="200" w:type="dxa"/>
            <w:vAlign w:val="bottom"/>
          </w:tcPr>
          <w:p w14:paraId="53D441E7" w14:textId="77777777" w:rsidR="00D1587D" w:rsidRDefault="00D1587D">
            <w:pPr>
              <w:rPr>
                <w:sz w:val="4"/>
                <w:szCs w:val="4"/>
              </w:rPr>
            </w:pPr>
          </w:p>
        </w:tc>
        <w:tc>
          <w:tcPr>
            <w:tcW w:w="20" w:type="dxa"/>
            <w:vAlign w:val="bottom"/>
          </w:tcPr>
          <w:p w14:paraId="10F119B5" w14:textId="77777777" w:rsidR="00D1587D" w:rsidRDefault="00D1587D">
            <w:pPr>
              <w:rPr>
                <w:sz w:val="4"/>
                <w:szCs w:val="4"/>
              </w:rPr>
            </w:pPr>
          </w:p>
        </w:tc>
        <w:tc>
          <w:tcPr>
            <w:tcW w:w="400" w:type="dxa"/>
            <w:vAlign w:val="bottom"/>
          </w:tcPr>
          <w:p w14:paraId="0C73DF9E" w14:textId="77777777" w:rsidR="00D1587D" w:rsidRDefault="00D1587D">
            <w:pPr>
              <w:rPr>
                <w:sz w:val="4"/>
                <w:szCs w:val="4"/>
              </w:rPr>
            </w:pPr>
          </w:p>
        </w:tc>
      </w:tr>
      <w:tr w:rsidR="00D1587D" w14:paraId="7EA95EDA" w14:textId="77777777">
        <w:trPr>
          <w:trHeight w:val="304"/>
        </w:trPr>
        <w:tc>
          <w:tcPr>
            <w:tcW w:w="6760" w:type="dxa"/>
            <w:gridSpan w:val="2"/>
            <w:tcBorders>
              <w:bottom w:val="single" w:sz="8" w:space="0" w:color="CCEEFF"/>
            </w:tcBorders>
            <w:shd w:val="clear" w:color="auto" w:fill="CCEEFF"/>
            <w:vAlign w:val="bottom"/>
          </w:tcPr>
          <w:p w14:paraId="10ACE0C6" w14:textId="77777777" w:rsidR="00D1587D" w:rsidRDefault="00410D07">
            <w:pPr>
              <w:rPr>
                <w:sz w:val="20"/>
                <w:szCs w:val="20"/>
              </w:rPr>
            </w:pPr>
            <w:r>
              <w:rPr>
                <w:rFonts w:ascii="Arial" w:eastAsia="Arial" w:hAnsi="Arial" w:cs="Arial"/>
                <w:w w:val="95"/>
                <w:sz w:val="18"/>
                <w:szCs w:val="18"/>
              </w:rPr>
              <w:t>Decreases to Unrecognized Tax Benefits Relating to Settlements with Taxing Authorities</w:t>
            </w:r>
          </w:p>
        </w:tc>
        <w:tc>
          <w:tcPr>
            <w:tcW w:w="440" w:type="dxa"/>
            <w:tcBorders>
              <w:bottom w:val="single" w:sz="8" w:space="0" w:color="CCEEFF"/>
            </w:tcBorders>
            <w:shd w:val="clear" w:color="auto" w:fill="CCEEFF"/>
            <w:vAlign w:val="bottom"/>
          </w:tcPr>
          <w:p w14:paraId="5337D56F" w14:textId="77777777" w:rsidR="00D1587D" w:rsidRDefault="00410D07">
            <w:pPr>
              <w:jc w:val="right"/>
              <w:rPr>
                <w:sz w:val="20"/>
                <w:szCs w:val="20"/>
              </w:rPr>
            </w:pPr>
            <w:r>
              <w:rPr>
                <w:rFonts w:ascii="Arial" w:eastAsia="Arial" w:hAnsi="Arial" w:cs="Arial"/>
                <w:sz w:val="18"/>
                <w:szCs w:val="18"/>
              </w:rPr>
              <w:t>—</w:t>
            </w:r>
          </w:p>
        </w:tc>
        <w:tc>
          <w:tcPr>
            <w:tcW w:w="600" w:type="dxa"/>
            <w:gridSpan w:val="2"/>
            <w:tcBorders>
              <w:bottom w:val="single" w:sz="8" w:space="0" w:color="CCEEFF"/>
            </w:tcBorders>
            <w:shd w:val="clear" w:color="auto" w:fill="CCEEFF"/>
            <w:vAlign w:val="bottom"/>
          </w:tcPr>
          <w:p w14:paraId="2003E46F" w14:textId="77777777" w:rsidR="00D1587D" w:rsidRDefault="00410D07">
            <w:pPr>
              <w:jc w:val="right"/>
              <w:rPr>
                <w:sz w:val="20"/>
                <w:szCs w:val="20"/>
              </w:rPr>
            </w:pPr>
            <w:r>
              <w:rPr>
                <w:rFonts w:ascii="Arial" w:eastAsia="Arial" w:hAnsi="Arial" w:cs="Arial"/>
                <w:sz w:val="18"/>
                <w:szCs w:val="18"/>
              </w:rPr>
              <w:t>(15)</w:t>
            </w:r>
          </w:p>
        </w:tc>
        <w:tc>
          <w:tcPr>
            <w:tcW w:w="200" w:type="dxa"/>
            <w:tcBorders>
              <w:bottom w:val="single" w:sz="8" w:space="0" w:color="CCEEFF"/>
            </w:tcBorders>
            <w:shd w:val="clear" w:color="auto" w:fill="CCEEFF"/>
            <w:vAlign w:val="bottom"/>
          </w:tcPr>
          <w:p w14:paraId="505F3962" w14:textId="77777777" w:rsidR="00D1587D" w:rsidRDefault="00D1587D">
            <w:pPr>
              <w:rPr>
                <w:sz w:val="24"/>
                <w:szCs w:val="24"/>
              </w:rPr>
            </w:pPr>
          </w:p>
        </w:tc>
        <w:tc>
          <w:tcPr>
            <w:tcW w:w="20" w:type="dxa"/>
            <w:tcBorders>
              <w:bottom w:val="single" w:sz="8" w:space="0" w:color="CCEEFF"/>
            </w:tcBorders>
            <w:shd w:val="clear" w:color="auto" w:fill="CCEEFF"/>
            <w:vAlign w:val="bottom"/>
          </w:tcPr>
          <w:p w14:paraId="7029543E" w14:textId="77777777" w:rsidR="00D1587D" w:rsidRDefault="00D1587D">
            <w:pPr>
              <w:rPr>
                <w:sz w:val="24"/>
                <w:szCs w:val="24"/>
              </w:rPr>
            </w:pPr>
          </w:p>
        </w:tc>
        <w:tc>
          <w:tcPr>
            <w:tcW w:w="400" w:type="dxa"/>
            <w:tcBorders>
              <w:bottom w:val="single" w:sz="8" w:space="0" w:color="CCEEFF"/>
            </w:tcBorders>
            <w:shd w:val="clear" w:color="auto" w:fill="CCEEFF"/>
            <w:vAlign w:val="bottom"/>
          </w:tcPr>
          <w:p w14:paraId="7C91C116" w14:textId="77777777" w:rsidR="00D1587D" w:rsidRDefault="00410D07">
            <w:pPr>
              <w:jc w:val="right"/>
              <w:rPr>
                <w:sz w:val="20"/>
                <w:szCs w:val="20"/>
              </w:rPr>
            </w:pPr>
            <w:r>
              <w:rPr>
                <w:rFonts w:ascii="Arial" w:eastAsia="Arial" w:hAnsi="Arial" w:cs="Arial"/>
                <w:sz w:val="18"/>
                <w:szCs w:val="18"/>
              </w:rPr>
              <w:t>—</w:t>
            </w:r>
          </w:p>
        </w:tc>
      </w:tr>
      <w:tr w:rsidR="00D1587D" w14:paraId="4DD5D24F" w14:textId="77777777">
        <w:trPr>
          <w:trHeight w:val="256"/>
        </w:trPr>
        <w:tc>
          <w:tcPr>
            <w:tcW w:w="6760" w:type="dxa"/>
            <w:gridSpan w:val="2"/>
            <w:vAlign w:val="bottom"/>
          </w:tcPr>
          <w:p w14:paraId="42A8C6C2" w14:textId="77777777" w:rsidR="00D1587D" w:rsidRDefault="00410D07">
            <w:pPr>
              <w:rPr>
                <w:sz w:val="20"/>
                <w:szCs w:val="20"/>
              </w:rPr>
            </w:pPr>
            <w:r>
              <w:rPr>
                <w:rFonts w:ascii="Arial" w:eastAsia="Arial" w:hAnsi="Arial" w:cs="Arial"/>
                <w:w w:val="94"/>
                <w:sz w:val="18"/>
                <w:szCs w:val="18"/>
              </w:rPr>
              <w:t>Decreases to Unrecognized Tax Benefits as a Result of a Lapse of the Applicable Statute</w:t>
            </w:r>
          </w:p>
        </w:tc>
        <w:tc>
          <w:tcPr>
            <w:tcW w:w="440" w:type="dxa"/>
            <w:vAlign w:val="bottom"/>
          </w:tcPr>
          <w:p w14:paraId="5FDDDA2A" w14:textId="77777777" w:rsidR="00D1587D" w:rsidRDefault="00D1587D"/>
        </w:tc>
        <w:tc>
          <w:tcPr>
            <w:tcW w:w="220" w:type="dxa"/>
            <w:vAlign w:val="bottom"/>
          </w:tcPr>
          <w:p w14:paraId="5D07675B" w14:textId="77777777" w:rsidR="00D1587D" w:rsidRDefault="00D1587D"/>
        </w:tc>
        <w:tc>
          <w:tcPr>
            <w:tcW w:w="380" w:type="dxa"/>
            <w:vAlign w:val="bottom"/>
          </w:tcPr>
          <w:p w14:paraId="0014EFB2" w14:textId="77777777" w:rsidR="00D1587D" w:rsidRDefault="00D1587D"/>
        </w:tc>
        <w:tc>
          <w:tcPr>
            <w:tcW w:w="200" w:type="dxa"/>
            <w:vAlign w:val="bottom"/>
          </w:tcPr>
          <w:p w14:paraId="3E3C26C7" w14:textId="77777777" w:rsidR="00D1587D" w:rsidRDefault="00D1587D"/>
        </w:tc>
        <w:tc>
          <w:tcPr>
            <w:tcW w:w="20" w:type="dxa"/>
            <w:vAlign w:val="bottom"/>
          </w:tcPr>
          <w:p w14:paraId="24A87318" w14:textId="77777777" w:rsidR="00D1587D" w:rsidRDefault="00D1587D"/>
        </w:tc>
        <w:tc>
          <w:tcPr>
            <w:tcW w:w="400" w:type="dxa"/>
            <w:vAlign w:val="bottom"/>
          </w:tcPr>
          <w:p w14:paraId="6D5415D1" w14:textId="77777777" w:rsidR="00D1587D" w:rsidRDefault="00D1587D"/>
        </w:tc>
      </w:tr>
      <w:tr w:rsidR="00D1587D" w14:paraId="6A4D15CC" w14:textId="77777777">
        <w:trPr>
          <w:trHeight w:val="230"/>
        </w:trPr>
        <w:tc>
          <w:tcPr>
            <w:tcW w:w="6760" w:type="dxa"/>
            <w:gridSpan w:val="2"/>
            <w:vAlign w:val="bottom"/>
          </w:tcPr>
          <w:p w14:paraId="1EF20362" w14:textId="77777777" w:rsidR="00D1587D" w:rsidRDefault="00410D07">
            <w:pPr>
              <w:ind w:left="180"/>
              <w:rPr>
                <w:sz w:val="20"/>
                <w:szCs w:val="20"/>
              </w:rPr>
            </w:pPr>
            <w:r>
              <w:rPr>
                <w:rFonts w:ascii="Arial" w:eastAsia="Arial" w:hAnsi="Arial" w:cs="Arial"/>
                <w:sz w:val="18"/>
                <w:szCs w:val="18"/>
              </w:rPr>
              <w:t>of Limitations</w:t>
            </w:r>
          </w:p>
        </w:tc>
        <w:tc>
          <w:tcPr>
            <w:tcW w:w="440" w:type="dxa"/>
            <w:vAlign w:val="bottom"/>
          </w:tcPr>
          <w:p w14:paraId="4578828B" w14:textId="77777777" w:rsidR="00D1587D" w:rsidRDefault="00410D07">
            <w:pPr>
              <w:jc w:val="right"/>
              <w:rPr>
                <w:sz w:val="20"/>
                <w:szCs w:val="20"/>
              </w:rPr>
            </w:pPr>
            <w:r>
              <w:rPr>
                <w:rFonts w:ascii="Arial" w:eastAsia="Arial" w:hAnsi="Arial" w:cs="Arial"/>
                <w:sz w:val="18"/>
                <w:szCs w:val="18"/>
              </w:rPr>
              <w:t>(4)</w:t>
            </w:r>
          </w:p>
        </w:tc>
        <w:tc>
          <w:tcPr>
            <w:tcW w:w="600" w:type="dxa"/>
            <w:gridSpan w:val="2"/>
            <w:vAlign w:val="bottom"/>
          </w:tcPr>
          <w:p w14:paraId="3B34F453" w14:textId="77777777" w:rsidR="00D1587D" w:rsidRDefault="00410D07">
            <w:pPr>
              <w:jc w:val="right"/>
              <w:rPr>
                <w:sz w:val="20"/>
                <w:szCs w:val="20"/>
              </w:rPr>
            </w:pPr>
            <w:r>
              <w:rPr>
                <w:rFonts w:ascii="Arial" w:eastAsia="Arial" w:hAnsi="Arial" w:cs="Arial"/>
                <w:sz w:val="18"/>
                <w:szCs w:val="18"/>
              </w:rPr>
              <w:t>(5)</w:t>
            </w:r>
          </w:p>
        </w:tc>
        <w:tc>
          <w:tcPr>
            <w:tcW w:w="200" w:type="dxa"/>
            <w:vAlign w:val="bottom"/>
          </w:tcPr>
          <w:p w14:paraId="798DE838" w14:textId="77777777" w:rsidR="00D1587D" w:rsidRDefault="00D1587D">
            <w:pPr>
              <w:rPr>
                <w:sz w:val="20"/>
                <w:szCs w:val="20"/>
              </w:rPr>
            </w:pPr>
          </w:p>
        </w:tc>
        <w:tc>
          <w:tcPr>
            <w:tcW w:w="420" w:type="dxa"/>
            <w:gridSpan w:val="2"/>
            <w:vAlign w:val="bottom"/>
          </w:tcPr>
          <w:p w14:paraId="5412A4E7" w14:textId="77777777" w:rsidR="00D1587D" w:rsidRDefault="00410D07">
            <w:pPr>
              <w:jc w:val="right"/>
              <w:rPr>
                <w:sz w:val="20"/>
                <w:szCs w:val="20"/>
              </w:rPr>
            </w:pPr>
            <w:r>
              <w:rPr>
                <w:rFonts w:ascii="Arial" w:eastAsia="Arial" w:hAnsi="Arial" w:cs="Arial"/>
                <w:sz w:val="18"/>
                <w:szCs w:val="18"/>
              </w:rPr>
              <w:t>(6)</w:t>
            </w:r>
          </w:p>
        </w:tc>
      </w:tr>
      <w:tr w:rsidR="00D1587D" w14:paraId="31210C12" w14:textId="77777777">
        <w:trPr>
          <w:trHeight w:val="68"/>
        </w:trPr>
        <w:tc>
          <w:tcPr>
            <w:tcW w:w="6660" w:type="dxa"/>
            <w:tcBorders>
              <w:bottom w:val="single" w:sz="8" w:space="0" w:color="CCEEFF"/>
            </w:tcBorders>
            <w:vAlign w:val="bottom"/>
          </w:tcPr>
          <w:p w14:paraId="2A4A11D2" w14:textId="77777777" w:rsidR="00D1587D" w:rsidRDefault="00D1587D">
            <w:pPr>
              <w:rPr>
                <w:sz w:val="5"/>
                <w:szCs w:val="5"/>
              </w:rPr>
            </w:pPr>
          </w:p>
        </w:tc>
        <w:tc>
          <w:tcPr>
            <w:tcW w:w="100" w:type="dxa"/>
            <w:tcBorders>
              <w:bottom w:val="single" w:sz="8" w:space="0" w:color="CCEEFF"/>
            </w:tcBorders>
            <w:vAlign w:val="bottom"/>
          </w:tcPr>
          <w:p w14:paraId="769A6F8A" w14:textId="77777777" w:rsidR="00D1587D" w:rsidRDefault="00D1587D">
            <w:pPr>
              <w:rPr>
                <w:sz w:val="5"/>
                <w:szCs w:val="5"/>
              </w:rPr>
            </w:pPr>
          </w:p>
        </w:tc>
        <w:tc>
          <w:tcPr>
            <w:tcW w:w="440" w:type="dxa"/>
            <w:tcBorders>
              <w:bottom w:val="single" w:sz="8" w:space="0" w:color="auto"/>
            </w:tcBorders>
            <w:vAlign w:val="bottom"/>
          </w:tcPr>
          <w:p w14:paraId="1DB60190" w14:textId="77777777" w:rsidR="00D1587D" w:rsidRDefault="00D1587D">
            <w:pPr>
              <w:rPr>
                <w:sz w:val="5"/>
                <w:szCs w:val="5"/>
              </w:rPr>
            </w:pPr>
          </w:p>
        </w:tc>
        <w:tc>
          <w:tcPr>
            <w:tcW w:w="220" w:type="dxa"/>
            <w:tcBorders>
              <w:bottom w:val="single" w:sz="8" w:space="0" w:color="CCEEFF"/>
            </w:tcBorders>
            <w:vAlign w:val="bottom"/>
          </w:tcPr>
          <w:p w14:paraId="6A66B1AC" w14:textId="77777777" w:rsidR="00D1587D" w:rsidRDefault="00D1587D">
            <w:pPr>
              <w:rPr>
                <w:sz w:val="5"/>
                <w:szCs w:val="5"/>
              </w:rPr>
            </w:pPr>
          </w:p>
        </w:tc>
        <w:tc>
          <w:tcPr>
            <w:tcW w:w="380" w:type="dxa"/>
            <w:tcBorders>
              <w:bottom w:val="single" w:sz="8" w:space="0" w:color="auto"/>
            </w:tcBorders>
            <w:vAlign w:val="bottom"/>
          </w:tcPr>
          <w:p w14:paraId="00BB14D1" w14:textId="77777777" w:rsidR="00D1587D" w:rsidRDefault="00D1587D">
            <w:pPr>
              <w:rPr>
                <w:sz w:val="5"/>
                <w:szCs w:val="5"/>
              </w:rPr>
            </w:pPr>
          </w:p>
        </w:tc>
        <w:tc>
          <w:tcPr>
            <w:tcW w:w="200" w:type="dxa"/>
            <w:tcBorders>
              <w:bottom w:val="single" w:sz="8" w:space="0" w:color="CCEEFF"/>
            </w:tcBorders>
            <w:vAlign w:val="bottom"/>
          </w:tcPr>
          <w:p w14:paraId="241A36AC" w14:textId="77777777" w:rsidR="00D1587D" w:rsidRDefault="00D1587D">
            <w:pPr>
              <w:rPr>
                <w:sz w:val="5"/>
                <w:szCs w:val="5"/>
              </w:rPr>
            </w:pPr>
          </w:p>
        </w:tc>
        <w:tc>
          <w:tcPr>
            <w:tcW w:w="20" w:type="dxa"/>
            <w:tcBorders>
              <w:bottom w:val="single" w:sz="8" w:space="0" w:color="CCEEFF"/>
            </w:tcBorders>
            <w:vAlign w:val="bottom"/>
          </w:tcPr>
          <w:p w14:paraId="1CB0266D" w14:textId="77777777" w:rsidR="00D1587D" w:rsidRDefault="00D1587D">
            <w:pPr>
              <w:rPr>
                <w:sz w:val="5"/>
                <w:szCs w:val="5"/>
              </w:rPr>
            </w:pPr>
          </w:p>
        </w:tc>
        <w:tc>
          <w:tcPr>
            <w:tcW w:w="400" w:type="dxa"/>
            <w:tcBorders>
              <w:bottom w:val="single" w:sz="8" w:space="0" w:color="auto"/>
            </w:tcBorders>
            <w:vAlign w:val="bottom"/>
          </w:tcPr>
          <w:p w14:paraId="2CBEDC95" w14:textId="77777777" w:rsidR="00D1587D" w:rsidRDefault="00D1587D">
            <w:pPr>
              <w:rPr>
                <w:sz w:val="5"/>
                <w:szCs w:val="5"/>
              </w:rPr>
            </w:pPr>
          </w:p>
        </w:tc>
      </w:tr>
      <w:tr w:rsidR="00D1587D" w14:paraId="09D0ACB7" w14:textId="77777777">
        <w:trPr>
          <w:trHeight w:val="376"/>
        </w:trPr>
        <w:tc>
          <w:tcPr>
            <w:tcW w:w="6760" w:type="dxa"/>
            <w:gridSpan w:val="2"/>
            <w:tcBorders>
              <w:bottom w:val="single" w:sz="8" w:space="0" w:color="CCEEFF"/>
            </w:tcBorders>
            <w:shd w:val="clear" w:color="auto" w:fill="CCEEFF"/>
            <w:vAlign w:val="bottom"/>
          </w:tcPr>
          <w:p w14:paraId="5BD8D8C1" w14:textId="77777777" w:rsidR="00D1587D" w:rsidRDefault="00410D07">
            <w:pPr>
              <w:rPr>
                <w:sz w:val="20"/>
                <w:szCs w:val="20"/>
              </w:rPr>
            </w:pPr>
            <w:r>
              <w:rPr>
                <w:rFonts w:ascii="Arial" w:eastAsia="Arial" w:hAnsi="Arial" w:cs="Arial"/>
                <w:sz w:val="18"/>
                <w:szCs w:val="18"/>
              </w:rPr>
              <w:t xml:space="preserve">Gross </w:t>
            </w:r>
            <w:r>
              <w:rPr>
                <w:rFonts w:ascii="Arial" w:eastAsia="Arial" w:hAnsi="Arial" w:cs="Arial"/>
                <w:sz w:val="18"/>
                <w:szCs w:val="18"/>
              </w:rPr>
              <w:t>Unrecognized Tax Benefits, as of the End of the Fiscal Year</w:t>
            </w:r>
          </w:p>
        </w:tc>
        <w:tc>
          <w:tcPr>
            <w:tcW w:w="440" w:type="dxa"/>
            <w:tcBorders>
              <w:bottom w:val="single" w:sz="8" w:space="0" w:color="CCEEFF"/>
            </w:tcBorders>
            <w:shd w:val="clear" w:color="auto" w:fill="CCEEFF"/>
            <w:vAlign w:val="bottom"/>
          </w:tcPr>
          <w:p w14:paraId="29004DE0" w14:textId="77777777" w:rsidR="00D1587D" w:rsidRDefault="00410D07">
            <w:pPr>
              <w:jc w:val="right"/>
              <w:rPr>
                <w:sz w:val="20"/>
                <w:szCs w:val="20"/>
              </w:rPr>
            </w:pPr>
            <w:r>
              <w:rPr>
                <w:rFonts w:ascii="Arial" w:eastAsia="Arial" w:hAnsi="Arial" w:cs="Arial"/>
                <w:w w:val="84"/>
                <w:sz w:val="18"/>
                <w:szCs w:val="18"/>
              </w:rPr>
              <w:t>$126</w:t>
            </w:r>
          </w:p>
        </w:tc>
        <w:tc>
          <w:tcPr>
            <w:tcW w:w="600" w:type="dxa"/>
            <w:gridSpan w:val="2"/>
            <w:tcBorders>
              <w:bottom w:val="single" w:sz="8" w:space="0" w:color="CCEEFF"/>
            </w:tcBorders>
            <w:shd w:val="clear" w:color="auto" w:fill="CCEEFF"/>
            <w:vAlign w:val="bottom"/>
          </w:tcPr>
          <w:p w14:paraId="0BB85FCC" w14:textId="77777777" w:rsidR="00D1587D" w:rsidRDefault="00410D07">
            <w:pPr>
              <w:ind w:right="60"/>
              <w:jc w:val="right"/>
              <w:rPr>
                <w:sz w:val="20"/>
                <w:szCs w:val="20"/>
              </w:rPr>
            </w:pPr>
            <w:r>
              <w:rPr>
                <w:rFonts w:ascii="Arial" w:eastAsia="Arial" w:hAnsi="Arial" w:cs="Arial"/>
                <w:sz w:val="18"/>
                <w:szCs w:val="18"/>
              </w:rPr>
              <w:t>$ 41</w:t>
            </w:r>
          </w:p>
        </w:tc>
        <w:tc>
          <w:tcPr>
            <w:tcW w:w="200" w:type="dxa"/>
            <w:tcBorders>
              <w:bottom w:val="single" w:sz="8" w:space="0" w:color="CCEEFF"/>
            </w:tcBorders>
            <w:shd w:val="clear" w:color="auto" w:fill="CCEEFF"/>
            <w:vAlign w:val="bottom"/>
          </w:tcPr>
          <w:p w14:paraId="3B3FCB48" w14:textId="77777777" w:rsidR="00D1587D" w:rsidRDefault="00D1587D">
            <w:pPr>
              <w:rPr>
                <w:sz w:val="24"/>
                <w:szCs w:val="24"/>
              </w:rPr>
            </w:pPr>
          </w:p>
        </w:tc>
        <w:tc>
          <w:tcPr>
            <w:tcW w:w="420" w:type="dxa"/>
            <w:gridSpan w:val="2"/>
            <w:tcBorders>
              <w:bottom w:val="single" w:sz="8" w:space="0" w:color="CCEEFF"/>
            </w:tcBorders>
            <w:shd w:val="clear" w:color="auto" w:fill="CCEEFF"/>
            <w:vAlign w:val="bottom"/>
          </w:tcPr>
          <w:p w14:paraId="19666F83" w14:textId="77777777" w:rsidR="00D1587D" w:rsidRDefault="00410D07">
            <w:pPr>
              <w:jc w:val="right"/>
              <w:rPr>
                <w:sz w:val="20"/>
                <w:szCs w:val="20"/>
              </w:rPr>
            </w:pPr>
            <w:r>
              <w:rPr>
                <w:rFonts w:ascii="Arial" w:eastAsia="Arial" w:hAnsi="Arial" w:cs="Arial"/>
                <w:w w:val="91"/>
                <w:sz w:val="18"/>
                <w:szCs w:val="18"/>
              </w:rPr>
              <w:t>$ 78</w:t>
            </w:r>
          </w:p>
        </w:tc>
      </w:tr>
      <w:tr w:rsidR="00D1587D" w14:paraId="1A810288" w14:textId="77777777">
        <w:trPr>
          <w:trHeight w:val="20"/>
        </w:trPr>
        <w:tc>
          <w:tcPr>
            <w:tcW w:w="6660" w:type="dxa"/>
            <w:tcBorders>
              <w:top w:val="single" w:sz="8" w:space="0" w:color="CCEEFF"/>
            </w:tcBorders>
            <w:vAlign w:val="bottom"/>
          </w:tcPr>
          <w:p w14:paraId="257E9DD5" w14:textId="77777777" w:rsidR="00D1587D" w:rsidRDefault="00D1587D">
            <w:pPr>
              <w:spacing w:line="20" w:lineRule="exact"/>
              <w:rPr>
                <w:sz w:val="1"/>
                <w:szCs w:val="1"/>
              </w:rPr>
            </w:pPr>
          </w:p>
        </w:tc>
        <w:tc>
          <w:tcPr>
            <w:tcW w:w="100" w:type="dxa"/>
            <w:tcBorders>
              <w:top w:val="single" w:sz="8" w:space="0" w:color="CCEEFF"/>
            </w:tcBorders>
            <w:vAlign w:val="bottom"/>
          </w:tcPr>
          <w:p w14:paraId="0579B472" w14:textId="77777777" w:rsidR="00D1587D" w:rsidRDefault="00D1587D">
            <w:pPr>
              <w:spacing w:line="20" w:lineRule="exact"/>
              <w:rPr>
                <w:sz w:val="1"/>
                <w:szCs w:val="1"/>
              </w:rPr>
            </w:pPr>
          </w:p>
        </w:tc>
        <w:tc>
          <w:tcPr>
            <w:tcW w:w="440" w:type="dxa"/>
            <w:tcBorders>
              <w:top w:val="single" w:sz="8" w:space="0" w:color="auto"/>
            </w:tcBorders>
            <w:shd w:val="clear" w:color="auto" w:fill="000000"/>
            <w:vAlign w:val="bottom"/>
          </w:tcPr>
          <w:p w14:paraId="290C3881" w14:textId="77777777" w:rsidR="00D1587D" w:rsidRDefault="00D1587D">
            <w:pPr>
              <w:spacing w:line="20" w:lineRule="exact"/>
              <w:rPr>
                <w:sz w:val="1"/>
                <w:szCs w:val="1"/>
              </w:rPr>
            </w:pPr>
          </w:p>
        </w:tc>
        <w:tc>
          <w:tcPr>
            <w:tcW w:w="220" w:type="dxa"/>
            <w:tcBorders>
              <w:top w:val="single" w:sz="8" w:space="0" w:color="CCEEFF"/>
            </w:tcBorders>
            <w:vAlign w:val="bottom"/>
          </w:tcPr>
          <w:p w14:paraId="54E08474" w14:textId="77777777" w:rsidR="00D1587D" w:rsidRDefault="00D1587D">
            <w:pPr>
              <w:spacing w:line="20" w:lineRule="exact"/>
              <w:rPr>
                <w:sz w:val="1"/>
                <w:szCs w:val="1"/>
              </w:rPr>
            </w:pPr>
          </w:p>
        </w:tc>
        <w:tc>
          <w:tcPr>
            <w:tcW w:w="380" w:type="dxa"/>
            <w:tcBorders>
              <w:top w:val="single" w:sz="8" w:space="0" w:color="auto"/>
            </w:tcBorders>
            <w:shd w:val="clear" w:color="auto" w:fill="000000"/>
            <w:vAlign w:val="bottom"/>
          </w:tcPr>
          <w:p w14:paraId="44463CF1" w14:textId="77777777" w:rsidR="00D1587D" w:rsidRDefault="00D1587D">
            <w:pPr>
              <w:spacing w:line="20" w:lineRule="exact"/>
              <w:rPr>
                <w:sz w:val="1"/>
                <w:szCs w:val="1"/>
              </w:rPr>
            </w:pPr>
          </w:p>
        </w:tc>
        <w:tc>
          <w:tcPr>
            <w:tcW w:w="200" w:type="dxa"/>
            <w:tcBorders>
              <w:top w:val="single" w:sz="8" w:space="0" w:color="CCEEFF"/>
            </w:tcBorders>
            <w:vAlign w:val="bottom"/>
          </w:tcPr>
          <w:p w14:paraId="559CCB7B" w14:textId="77777777" w:rsidR="00D1587D" w:rsidRDefault="00D1587D">
            <w:pPr>
              <w:spacing w:line="20" w:lineRule="exact"/>
              <w:rPr>
                <w:sz w:val="1"/>
                <w:szCs w:val="1"/>
              </w:rPr>
            </w:pPr>
          </w:p>
        </w:tc>
        <w:tc>
          <w:tcPr>
            <w:tcW w:w="20" w:type="dxa"/>
            <w:tcBorders>
              <w:top w:val="single" w:sz="8" w:space="0" w:color="CCEEFF"/>
            </w:tcBorders>
            <w:vAlign w:val="bottom"/>
          </w:tcPr>
          <w:p w14:paraId="7B371708" w14:textId="77777777" w:rsidR="00D1587D" w:rsidRDefault="00D1587D">
            <w:pPr>
              <w:spacing w:line="20" w:lineRule="exact"/>
              <w:rPr>
                <w:sz w:val="1"/>
                <w:szCs w:val="1"/>
              </w:rPr>
            </w:pPr>
          </w:p>
        </w:tc>
        <w:tc>
          <w:tcPr>
            <w:tcW w:w="400" w:type="dxa"/>
            <w:tcBorders>
              <w:top w:val="single" w:sz="8" w:space="0" w:color="auto"/>
            </w:tcBorders>
            <w:shd w:val="clear" w:color="auto" w:fill="000000"/>
            <w:vAlign w:val="bottom"/>
          </w:tcPr>
          <w:p w14:paraId="0B7B7696" w14:textId="77777777" w:rsidR="00D1587D" w:rsidRDefault="00D1587D">
            <w:pPr>
              <w:spacing w:line="20" w:lineRule="exact"/>
              <w:rPr>
                <w:sz w:val="1"/>
                <w:szCs w:val="1"/>
              </w:rPr>
            </w:pPr>
          </w:p>
        </w:tc>
      </w:tr>
    </w:tbl>
    <w:p w14:paraId="624ACB0F" w14:textId="77777777" w:rsidR="00D1587D" w:rsidRDefault="00410D07">
      <w:pPr>
        <w:spacing w:line="20" w:lineRule="exact"/>
        <w:rPr>
          <w:sz w:val="20"/>
          <w:szCs w:val="20"/>
        </w:rPr>
      </w:pPr>
      <w:r>
        <w:rPr>
          <w:noProof/>
          <w:sz w:val="20"/>
          <w:szCs w:val="20"/>
        </w:rPr>
        <w:drawing>
          <wp:anchor distT="0" distB="0" distL="114300" distR="114300" simplePos="0" relativeHeight="252115968" behindDoc="1" locked="0" layoutInCell="0" allowOverlap="1" wp14:anchorId="0CFF1A90" wp14:editId="31AACCD2">
            <wp:simplePos x="0" y="0"/>
            <wp:positionH relativeFrom="column">
              <wp:posOffset>5148580</wp:posOffset>
            </wp:positionH>
            <wp:positionV relativeFrom="paragraph">
              <wp:posOffset>-256540</wp:posOffset>
            </wp:positionV>
            <wp:extent cx="137160" cy="8890"/>
            <wp:effectExtent l="0" t="0" r="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116992" behindDoc="1" locked="0" layoutInCell="0" allowOverlap="1" wp14:anchorId="00806B36" wp14:editId="599D9EB4">
            <wp:simplePos x="0" y="0"/>
            <wp:positionH relativeFrom="column">
              <wp:posOffset>4763135</wp:posOffset>
            </wp:positionH>
            <wp:positionV relativeFrom="paragraph">
              <wp:posOffset>-256540</wp:posOffset>
            </wp:positionV>
            <wp:extent cx="137160" cy="8890"/>
            <wp:effectExtent l="0" t="0" r="0" b="0"/>
            <wp:wrapNone/>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51"/>
                    <a:srcRect/>
                    <a:stretch>
                      <a:fillRect/>
                    </a:stretch>
                  </pic:blipFill>
                  <pic:spPr bwMode="auto">
                    <a:xfrm>
                      <a:off x="0" y="0"/>
                      <a:ext cx="137160" cy="8890"/>
                    </a:xfrm>
                    <a:prstGeom prst="rect">
                      <a:avLst/>
                    </a:prstGeom>
                    <a:noFill/>
                  </pic:spPr>
                </pic:pic>
              </a:graphicData>
            </a:graphic>
          </wp:anchor>
        </w:drawing>
      </w:r>
      <w:r>
        <w:rPr>
          <w:noProof/>
          <w:sz w:val="20"/>
          <w:szCs w:val="20"/>
        </w:rPr>
        <w:drawing>
          <wp:anchor distT="0" distB="0" distL="114300" distR="114300" simplePos="0" relativeHeight="252118016" behindDoc="1" locked="0" layoutInCell="0" allowOverlap="1" wp14:anchorId="0EDE400D" wp14:editId="7F4BFDCC">
            <wp:simplePos x="0" y="0"/>
            <wp:positionH relativeFrom="column">
              <wp:posOffset>4420235</wp:posOffset>
            </wp:positionH>
            <wp:positionV relativeFrom="paragraph">
              <wp:posOffset>-256540</wp:posOffset>
            </wp:positionV>
            <wp:extent cx="68580" cy="8890"/>
            <wp:effectExtent l="0" t="0" r="0" b="0"/>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2119040" behindDoc="1" locked="0" layoutInCell="0" allowOverlap="1" wp14:anchorId="21547B77" wp14:editId="41113D8D">
            <wp:simplePos x="0" y="0"/>
            <wp:positionH relativeFrom="column">
              <wp:posOffset>5148580</wp:posOffset>
            </wp:positionH>
            <wp:positionV relativeFrom="paragraph">
              <wp:posOffset>-1833880</wp:posOffset>
            </wp:positionV>
            <wp:extent cx="137160" cy="8255"/>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120064" behindDoc="1" locked="0" layoutInCell="0" allowOverlap="1" wp14:anchorId="4D732256" wp14:editId="54F92E75">
            <wp:simplePos x="0" y="0"/>
            <wp:positionH relativeFrom="column">
              <wp:posOffset>4763135</wp:posOffset>
            </wp:positionH>
            <wp:positionV relativeFrom="paragraph">
              <wp:posOffset>-1833880</wp:posOffset>
            </wp:positionV>
            <wp:extent cx="137160" cy="8255"/>
            <wp:effectExtent l="0" t="0" r="0" b="0"/>
            <wp:wrapNone/>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p>
    <w:p w14:paraId="6A5CEC5E" w14:textId="77777777" w:rsidR="00D1587D" w:rsidRDefault="00D1587D">
      <w:pPr>
        <w:spacing w:line="74" w:lineRule="exact"/>
        <w:rPr>
          <w:sz w:val="20"/>
          <w:szCs w:val="20"/>
        </w:rPr>
      </w:pPr>
    </w:p>
    <w:p w14:paraId="09E4BDE6" w14:textId="77777777" w:rsidR="00D1587D" w:rsidRDefault="00410D07">
      <w:pPr>
        <w:spacing w:line="259" w:lineRule="auto"/>
        <w:ind w:left="300" w:right="319" w:firstLine="360"/>
        <w:rPr>
          <w:sz w:val="20"/>
          <w:szCs w:val="20"/>
        </w:rPr>
      </w:pPr>
      <w:r>
        <w:rPr>
          <w:rFonts w:ascii="Arial" w:eastAsia="Arial" w:hAnsi="Arial" w:cs="Arial"/>
          <w:sz w:val="18"/>
          <w:szCs w:val="18"/>
        </w:rPr>
        <w:t xml:space="preserve">Of the total gross unrecognized tax benefits, approximately $121 million, $38 million and $73 million, at January 30, 2021, February 1, 2020 and February 2, </w:t>
      </w:r>
      <w:r>
        <w:rPr>
          <w:rFonts w:ascii="Arial" w:eastAsia="Arial" w:hAnsi="Arial" w:cs="Arial"/>
          <w:sz w:val="18"/>
          <w:szCs w:val="18"/>
        </w:rPr>
        <w:t>2019, respectively, represent the amount of unrecognized tax benefits that, if recognized, would favorably affect the effective income tax rate in future periods. These amounts are net of the offsetting tax effects from other tax jurisdictions.</w:t>
      </w:r>
    </w:p>
    <w:p w14:paraId="2755DBAD" w14:textId="77777777" w:rsidR="00D1587D" w:rsidRDefault="00D1587D">
      <w:pPr>
        <w:spacing w:line="79" w:lineRule="exact"/>
        <w:rPr>
          <w:sz w:val="20"/>
          <w:szCs w:val="20"/>
        </w:rPr>
      </w:pPr>
    </w:p>
    <w:p w14:paraId="23D93B64" w14:textId="77777777" w:rsidR="00D1587D" w:rsidRDefault="00410D07">
      <w:pPr>
        <w:spacing w:line="311" w:lineRule="auto"/>
        <w:ind w:left="300" w:right="519" w:firstLine="360"/>
        <w:jc w:val="both"/>
        <w:rPr>
          <w:sz w:val="20"/>
          <w:szCs w:val="20"/>
        </w:rPr>
      </w:pPr>
      <w:r>
        <w:rPr>
          <w:rFonts w:ascii="Arial" w:eastAsia="Arial" w:hAnsi="Arial" w:cs="Arial"/>
          <w:sz w:val="16"/>
          <w:szCs w:val="16"/>
        </w:rPr>
        <w:t>Of the tot</w:t>
      </w:r>
      <w:r>
        <w:rPr>
          <w:rFonts w:ascii="Arial" w:eastAsia="Arial" w:hAnsi="Arial" w:cs="Arial"/>
          <w:sz w:val="16"/>
          <w:szCs w:val="16"/>
        </w:rPr>
        <w:t>al unrecognized tax benefits, it is reasonably possible that $120 million could change in the next 12 months due to audit settlements, expiration of statute of limitations or other resolution of uncertainties. Due to the uncertain and complex application o</w:t>
      </w:r>
      <w:r>
        <w:rPr>
          <w:rFonts w:ascii="Arial" w:eastAsia="Arial" w:hAnsi="Arial" w:cs="Arial"/>
          <w:sz w:val="16"/>
          <w:szCs w:val="16"/>
        </w:rPr>
        <w:t>f tax regulations, it is possible that the ultimate resolution of audits may</w:t>
      </w:r>
    </w:p>
    <w:p w14:paraId="5FC82000" w14:textId="77777777" w:rsidR="00D1587D" w:rsidRDefault="00D1587D">
      <w:pPr>
        <w:spacing w:line="149" w:lineRule="exact"/>
        <w:rPr>
          <w:sz w:val="20"/>
          <w:szCs w:val="20"/>
        </w:rPr>
      </w:pPr>
    </w:p>
    <w:p w14:paraId="1B809471" w14:textId="77777777" w:rsidR="00D1587D" w:rsidRDefault="00410D07">
      <w:pPr>
        <w:jc w:val="center"/>
        <w:rPr>
          <w:sz w:val="20"/>
          <w:szCs w:val="20"/>
        </w:rPr>
      </w:pPr>
      <w:r>
        <w:rPr>
          <w:rFonts w:ascii="Arial" w:eastAsia="Arial" w:hAnsi="Arial" w:cs="Arial"/>
          <w:sz w:val="18"/>
          <w:szCs w:val="18"/>
        </w:rPr>
        <w:t>F-24</w:t>
      </w:r>
    </w:p>
    <w:p w14:paraId="2ECB70DE" w14:textId="77777777" w:rsidR="00D1587D" w:rsidRDefault="00410D07">
      <w:pPr>
        <w:spacing w:line="20" w:lineRule="exact"/>
        <w:rPr>
          <w:sz w:val="20"/>
          <w:szCs w:val="20"/>
        </w:rPr>
      </w:pPr>
      <w:r>
        <w:rPr>
          <w:noProof/>
          <w:sz w:val="20"/>
          <w:szCs w:val="20"/>
        </w:rPr>
        <w:drawing>
          <wp:anchor distT="0" distB="0" distL="114300" distR="114300" simplePos="0" relativeHeight="252121088" behindDoc="1" locked="0" layoutInCell="0" allowOverlap="1" wp14:anchorId="767829F3" wp14:editId="7AEE3B3F">
            <wp:simplePos x="0" y="0"/>
            <wp:positionH relativeFrom="column">
              <wp:posOffset>-636905</wp:posOffset>
            </wp:positionH>
            <wp:positionV relativeFrom="paragraph">
              <wp:posOffset>126365</wp:posOffset>
            </wp:positionV>
            <wp:extent cx="6995160" cy="17145"/>
            <wp:effectExtent l="0" t="0" r="0" b="0"/>
            <wp:wrapNone/>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DB5C8DE" w14:textId="77777777" w:rsidR="00D1587D" w:rsidRDefault="00D1587D">
      <w:pPr>
        <w:sectPr w:rsidR="00D1587D">
          <w:pgSz w:w="11900" w:h="16838"/>
          <w:pgMar w:top="265" w:right="1440" w:bottom="1440" w:left="1440" w:header="0" w:footer="0" w:gutter="0"/>
          <w:cols w:space="720" w:equalWidth="0">
            <w:col w:w="9019"/>
          </w:cols>
        </w:sectPr>
      </w:pPr>
    </w:p>
    <w:bookmarkStart w:id="420" w:name="page421"/>
    <w:bookmarkEnd w:id="420"/>
    <w:p w14:paraId="51E7CCC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4A7F038" w14:textId="77777777" w:rsidR="00D1587D" w:rsidRDefault="00D1587D">
      <w:pPr>
        <w:spacing w:line="131" w:lineRule="exact"/>
        <w:rPr>
          <w:sz w:val="20"/>
          <w:szCs w:val="20"/>
        </w:rPr>
      </w:pPr>
    </w:p>
    <w:p w14:paraId="79B76CD5" w14:textId="77777777" w:rsidR="00D1587D" w:rsidRDefault="00410D07">
      <w:pPr>
        <w:spacing w:line="277" w:lineRule="auto"/>
        <w:ind w:left="300" w:right="459"/>
        <w:rPr>
          <w:sz w:val="20"/>
          <w:szCs w:val="20"/>
        </w:rPr>
      </w:pPr>
      <w:r>
        <w:rPr>
          <w:rFonts w:ascii="Arial" w:eastAsia="Arial" w:hAnsi="Arial" w:cs="Arial"/>
          <w:sz w:val="18"/>
          <w:szCs w:val="18"/>
        </w:rPr>
        <w:t xml:space="preserve">result in amounts which could be different from this estimate. In such case, the Company will record </w:t>
      </w:r>
      <w:r>
        <w:rPr>
          <w:rFonts w:ascii="Arial" w:eastAsia="Arial" w:hAnsi="Arial" w:cs="Arial"/>
          <w:sz w:val="18"/>
          <w:szCs w:val="18"/>
        </w:rPr>
        <w:t>additional tax expense or tax benefit in the period in which such matters are effectively settled.</w:t>
      </w:r>
    </w:p>
    <w:p w14:paraId="0CD71514" w14:textId="77777777" w:rsidR="00D1587D" w:rsidRDefault="00D1587D">
      <w:pPr>
        <w:spacing w:line="62" w:lineRule="exact"/>
        <w:rPr>
          <w:sz w:val="20"/>
          <w:szCs w:val="20"/>
        </w:rPr>
      </w:pPr>
    </w:p>
    <w:p w14:paraId="325050BF" w14:textId="77777777" w:rsidR="00D1587D" w:rsidRDefault="00410D07">
      <w:pPr>
        <w:spacing w:line="296" w:lineRule="auto"/>
        <w:ind w:left="300" w:right="479" w:firstLine="360"/>
        <w:rPr>
          <w:sz w:val="20"/>
          <w:szCs w:val="20"/>
        </w:rPr>
      </w:pPr>
      <w:r>
        <w:rPr>
          <w:rFonts w:ascii="Arial" w:eastAsia="Arial" w:hAnsi="Arial" w:cs="Arial"/>
          <w:sz w:val="16"/>
          <w:szCs w:val="16"/>
        </w:rPr>
        <w:t>The Company recognizes interest and penalties related to unrecognized tax benefits as components of income tax expense. The Company recognized an income tax</w:t>
      </w:r>
      <w:r>
        <w:rPr>
          <w:rFonts w:ascii="Arial" w:eastAsia="Arial" w:hAnsi="Arial" w:cs="Arial"/>
          <w:sz w:val="16"/>
          <w:szCs w:val="16"/>
        </w:rPr>
        <w:t xml:space="preserve"> benefit from interest and penalties of $2 million, $1 million and $1 million in 2020, 2019 and 2018, respectively. The Company has accrued $6 million and $8 million for the payment of interest and penalties as of January 30, 2021 and February 1, 2020, res</w:t>
      </w:r>
      <w:r>
        <w:rPr>
          <w:rFonts w:ascii="Arial" w:eastAsia="Arial" w:hAnsi="Arial" w:cs="Arial"/>
          <w:sz w:val="16"/>
          <w:szCs w:val="16"/>
        </w:rPr>
        <w:t>pectively. Accrued interest and penalties are included within Other Long-term Liabilities on the Combined Balance Sheets.</w:t>
      </w:r>
    </w:p>
    <w:p w14:paraId="4E3676DE" w14:textId="77777777" w:rsidR="00D1587D" w:rsidRDefault="00D1587D">
      <w:pPr>
        <w:spacing w:line="53" w:lineRule="exact"/>
        <w:rPr>
          <w:sz w:val="20"/>
          <w:szCs w:val="20"/>
        </w:rPr>
      </w:pPr>
    </w:p>
    <w:p w14:paraId="1A7B076E" w14:textId="77777777" w:rsidR="00D1587D" w:rsidRDefault="00410D07">
      <w:pPr>
        <w:spacing w:line="254" w:lineRule="auto"/>
        <w:ind w:left="300" w:right="299" w:firstLine="360"/>
        <w:rPr>
          <w:sz w:val="20"/>
          <w:szCs w:val="20"/>
        </w:rPr>
      </w:pPr>
      <w:r>
        <w:rPr>
          <w:rFonts w:ascii="Arial" w:eastAsia="Arial" w:hAnsi="Arial" w:cs="Arial"/>
          <w:sz w:val="18"/>
          <w:szCs w:val="18"/>
        </w:rPr>
        <w:t>The Company is part of the L Brands consolidated U.S. federal income tax return, as well as separate and combined L Brands income tax</w:t>
      </w:r>
      <w:r>
        <w:rPr>
          <w:rFonts w:ascii="Arial" w:eastAsia="Arial" w:hAnsi="Arial" w:cs="Arial"/>
          <w:sz w:val="18"/>
          <w:szCs w:val="18"/>
        </w:rPr>
        <w:t xml:space="preserve"> returns in various state and international jurisdictions. L Brands is a participant in the Compliance Assurance Process (“CAP”), which is a program made available by the Internal Revenue Service (“IRS”) to certain qualifying large taxpayers, under which p</w:t>
      </w:r>
      <w:r>
        <w:rPr>
          <w:rFonts w:ascii="Arial" w:eastAsia="Arial" w:hAnsi="Arial" w:cs="Arial"/>
          <w:sz w:val="18"/>
          <w:szCs w:val="18"/>
        </w:rPr>
        <w:t>articipants work collaboratively with the IRS to identify and resolve potential tax issues through open, cooperative and transparent interaction prior to the annual filing of their federal income tax return. The IRS is currently examining L Brands’ 2019 co</w:t>
      </w:r>
      <w:r>
        <w:rPr>
          <w:rFonts w:ascii="Arial" w:eastAsia="Arial" w:hAnsi="Arial" w:cs="Arial"/>
          <w:sz w:val="18"/>
          <w:szCs w:val="18"/>
        </w:rPr>
        <w:t>nsolidated U.S. federal income tax return.</w:t>
      </w:r>
    </w:p>
    <w:p w14:paraId="7CD8C632" w14:textId="77777777" w:rsidR="00D1587D" w:rsidRDefault="00D1587D">
      <w:pPr>
        <w:spacing w:line="87" w:lineRule="exact"/>
        <w:rPr>
          <w:sz w:val="20"/>
          <w:szCs w:val="20"/>
        </w:rPr>
      </w:pPr>
    </w:p>
    <w:p w14:paraId="2338780F" w14:textId="77777777" w:rsidR="00D1587D" w:rsidRDefault="00410D07">
      <w:pPr>
        <w:spacing w:line="273" w:lineRule="auto"/>
        <w:ind w:left="300" w:right="339" w:firstLine="360"/>
        <w:rPr>
          <w:sz w:val="20"/>
          <w:szCs w:val="20"/>
        </w:rPr>
      </w:pPr>
      <w:r>
        <w:rPr>
          <w:rFonts w:ascii="Arial" w:eastAsia="Arial" w:hAnsi="Arial" w:cs="Arial"/>
          <w:sz w:val="17"/>
          <w:szCs w:val="17"/>
        </w:rPr>
        <w:t xml:space="preserve">The Company is also subject to various state and local income tax examinations for the years 2015 to 2019. Finally, the Company is subject to multiple non-U.S. tax jurisdiction examinations for the years 2016 to </w:t>
      </w:r>
      <w:r>
        <w:rPr>
          <w:rFonts w:ascii="Arial" w:eastAsia="Arial" w:hAnsi="Arial" w:cs="Arial"/>
          <w:sz w:val="17"/>
          <w:szCs w:val="17"/>
        </w:rPr>
        <w:t xml:space="preserve">2019. In some situations, the Company determines that it does not have a filing requirement in a particular tax jurisdiction. Where no return has been filed, no statute of limitations applies. Accordingly, if a tax jurisdiction reaches a conclusion that a </w:t>
      </w:r>
      <w:r>
        <w:rPr>
          <w:rFonts w:ascii="Arial" w:eastAsia="Arial" w:hAnsi="Arial" w:cs="Arial"/>
          <w:sz w:val="17"/>
          <w:szCs w:val="17"/>
        </w:rPr>
        <w:t>filing requirement does exist, additional years may be reviewed by the tax authority. The Company believes it has appropriately accounted for uncertainties related to this issue.</w:t>
      </w:r>
    </w:p>
    <w:p w14:paraId="48628FB8" w14:textId="77777777" w:rsidR="00D1587D" w:rsidRDefault="00D1587D">
      <w:pPr>
        <w:spacing w:line="336" w:lineRule="exact"/>
        <w:rPr>
          <w:sz w:val="20"/>
          <w:szCs w:val="20"/>
        </w:rPr>
      </w:pPr>
    </w:p>
    <w:p w14:paraId="08306F7F" w14:textId="77777777" w:rsidR="00D1587D" w:rsidRDefault="00410D07">
      <w:pPr>
        <w:ind w:left="300"/>
        <w:rPr>
          <w:sz w:val="20"/>
          <w:szCs w:val="20"/>
        </w:rPr>
      </w:pPr>
      <w:r>
        <w:rPr>
          <w:rFonts w:ascii="Arial" w:eastAsia="Arial" w:hAnsi="Arial" w:cs="Arial"/>
          <w:b/>
          <w:bCs/>
          <w:sz w:val="18"/>
          <w:szCs w:val="18"/>
        </w:rPr>
        <w:t>12. Borrowing Facilities</w:t>
      </w:r>
    </w:p>
    <w:p w14:paraId="453212F5" w14:textId="77777777" w:rsidR="00D1587D" w:rsidRDefault="00D1587D">
      <w:pPr>
        <w:spacing w:line="121" w:lineRule="exact"/>
        <w:rPr>
          <w:sz w:val="20"/>
          <w:szCs w:val="20"/>
        </w:rPr>
      </w:pPr>
    </w:p>
    <w:p w14:paraId="2D0E2735" w14:textId="77777777" w:rsidR="00D1587D" w:rsidRDefault="00410D07">
      <w:pPr>
        <w:spacing w:line="259" w:lineRule="auto"/>
        <w:ind w:left="300" w:right="619" w:firstLine="360"/>
        <w:rPr>
          <w:sz w:val="20"/>
          <w:szCs w:val="20"/>
        </w:rPr>
      </w:pPr>
      <w:r>
        <w:rPr>
          <w:rFonts w:ascii="Arial" w:eastAsia="Arial" w:hAnsi="Arial" w:cs="Arial"/>
          <w:sz w:val="18"/>
          <w:szCs w:val="18"/>
        </w:rPr>
        <w:t xml:space="preserve">Certain of the Company’s China </w:t>
      </w:r>
      <w:r>
        <w:rPr>
          <w:rFonts w:ascii="Arial" w:eastAsia="Arial" w:hAnsi="Arial" w:cs="Arial"/>
          <w:sz w:val="18"/>
          <w:szCs w:val="18"/>
        </w:rPr>
        <w:t>subsidiaries utilize revolving and term loan bank facilities to support their operations (“Foreign Facilities”). The Foreign Facilities allow borrowings in U.S. dollars and Chinese Yuan, and interest rates on outstanding borrowings are based upon the appli</w:t>
      </w:r>
      <w:r>
        <w:rPr>
          <w:rFonts w:ascii="Arial" w:eastAsia="Arial" w:hAnsi="Arial" w:cs="Arial"/>
          <w:sz w:val="18"/>
          <w:szCs w:val="18"/>
        </w:rPr>
        <w:t>cable benchmark rate for the currency of each borrowing.</w:t>
      </w:r>
    </w:p>
    <w:p w14:paraId="1302ECCE" w14:textId="77777777" w:rsidR="00D1587D" w:rsidRDefault="00D1587D">
      <w:pPr>
        <w:spacing w:line="79" w:lineRule="exact"/>
        <w:rPr>
          <w:sz w:val="20"/>
          <w:szCs w:val="20"/>
        </w:rPr>
      </w:pPr>
    </w:p>
    <w:p w14:paraId="7243586D" w14:textId="77777777" w:rsidR="00D1587D" w:rsidRDefault="00410D07">
      <w:pPr>
        <w:spacing w:line="287" w:lineRule="auto"/>
        <w:ind w:left="300" w:right="339" w:firstLine="360"/>
        <w:rPr>
          <w:sz w:val="20"/>
          <w:szCs w:val="20"/>
        </w:rPr>
      </w:pPr>
      <w:r>
        <w:rPr>
          <w:rFonts w:ascii="Arial" w:eastAsia="Arial" w:hAnsi="Arial" w:cs="Arial"/>
          <w:sz w:val="16"/>
          <w:szCs w:val="16"/>
        </w:rPr>
        <w:t xml:space="preserve">The Company has Secured Foreign Facilities which allow for borrowings and letters of credit up to $30 million as of January 30, 2021. The Company borrowed $21 million, $117 million and $107 million </w:t>
      </w:r>
      <w:r>
        <w:rPr>
          <w:rFonts w:ascii="Arial" w:eastAsia="Arial" w:hAnsi="Arial" w:cs="Arial"/>
          <w:sz w:val="16"/>
          <w:szCs w:val="16"/>
        </w:rPr>
        <w:t>under the Secured Foreign Facilities during 2020, 2019 and 2018, respectively. Additionally, the Company made payments of</w:t>
      </w:r>
    </w:p>
    <w:p w14:paraId="1CA43347" w14:textId="77777777" w:rsidR="00D1587D" w:rsidRDefault="00D1587D">
      <w:pPr>
        <w:spacing w:line="2" w:lineRule="exact"/>
        <w:rPr>
          <w:sz w:val="20"/>
          <w:szCs w:val="20"/>
        </w:rPr>
      </w:pPr>
    </w:p>
    <w:p w14:paraId="624FF100" w14:textId="77777777" w:rsidR="00D1587D" w:rsidRDefault="00410D07">
      <w:pPr>
        <w:spacing w:line="323" w:lineRule="auto"/>
        <w:ind w:left="300" w:right="579"/>
        <w:rPr>
          <w:sz w:val="20"/>
          <w:szCs w:val="20"/>
        </w:rPr>
      </w:pPr>
      <w:r>
        <w:rPr>
          <w:rFonts w:ascii="Arial" w:eastAsia="Arial" w:hAnsi="Arial" w:cs="Arial"/>
          <w:sz w:val="16"/>
          <w:szCs w:val="16"/>
        </w:rPr>
        <w:t>$126 million, $103 million and $17 million under the Secured Foreign Facilities during 2020, 2019 and 2018, respectively. As of Janua</w:t>
      </w:r>
      <w:r>
        <w:rPr>
          <w:rFonts w:ascii="Arial" w:eastAsia="Arial" w:hAnsi="Arial" w:cs="Arial"/>
          <w:sz w:val="16"/>
          <w:szCs w:val="16"/>
        </w:rPr>
        <w:t>ry 30, 2021, there were no borrowings outstanding under the Secured Foreign Facilities.</w:t>
      </w:r>
    </w:p>
    <w:p w14:paraId="2FDD6E68" w14:textId="77777777" w:rsidR="00D1587D" w:rsidRDefault="00D1587D">
      <w:pPr>
        <w:spacing w:line="30" w:lineRule="exact"/>
        <w:rPr>
          <w:sz w:val="20"/>
          <w:szCs w:val="20"/>
        </w:rPr>
      </w:pPr>
    </w:p>
    <w:p w14:paraId="5CE16AB7" w14:textId="77777777" w:rsidR="00D1587D" w:rsidRDefault="00410D07">
      <w:pPr>
        <w:ind w:left="660"/>
        <w:rPr>
          <w:sz w:val="20"/>
          <w:szCs w:val="20"/>
        </w:rPr>
      </w:pPr>
      <w:r>
        <w:rPr>
          <w:rFonts w:ascii="Arial" w:eastAsia="Arial" w:hAnsi="Arial" w:cs="Arial"/>
          <w:sz w:val="17"/>
          <w:szCs w:val="17"/>
        </w:rPr>
        <w:t>The Company borrowed $13 million, $50 million and $65 million under unsecured Foreign Facilities during</w:t>
      </w:r>
    </w:p>
    <w:p w14:paraId="4EC7CDA4" w14:textId="77777777" w:rsidR="00D1587D" w:rsidRDefault="00D1587D">
      <w:pPr>
        <w:spacing w:line="35" w:lineRule="exact"/>
        <w:rPr>
          <w:sz w:val="20"/>
          <w:szCs w:val="20"/>
        </w:rPr>
      </w:pPr>
    </w:p>
    <w:p w14:paraId="6228DA47" w14:textId="77777777" w:rsidR="00D1587D" w:rsidRDefault="00410D07">
      <w:pPr>
        <w:ind w:left="300"/>
        <w:rPr>
          <w:sz w:val="20"/>
          <w:szCs w:val="20"/>
        </w:rPr>
      </w:pPr>
      <w:r>
        <w:rPr>
          <w:rFonts w:ascii="Arial" w:eastAsia="Arial" w:hAnsi="Arial" w:cs="Arial"/>
          <w:sz w:val="17"/>
          <w:szCs w:val="17"/>
        </w:rPr>
        <w:t>2020, 2019 and 2018, respectively. Additionally, the Company m</w:t>
      </w:r>
      <w:r>
        <w:rPr>
          <w:rFonts w:ascii="Arial" w:eastAsia="Arial" w:hAnsi="Arial" w:cs="Arial"/>
          <w:sz w:val="17"/>
          <w:szCs w:val="17"/>
        </w:rPr>
        <w:t>ade payments of $63 million, $59 million and</w:t>
      </w:r>
    </w:p>
    <w:p w14:paraId="544ABD7E" w14:textId="77777777" w:rsidR="00D1587D" w:rsidRDefault="00D1587D">
      <w:pPr>
        <w:spacing w:line="21" w:lineRule="exact"/>
        <w:rPr>
          <w:sz w:val="20"/>
          <w:szCs w:val="20"/>
        </w:rPr>
      </w:pPr>
    </w:p>
    <w:p w14:paraId="52547399" w14:textId="77777777" w:rsidR="00D1587D" w:rsidRDefault="00410D07">
      <w:pPr>
        <w:ind w:left="300"/>
        <w:rPr>
          <w:sz w:val="20"/>
          <w:szCs w:val="20"/>
        </w:rPr>
      </w:pPr>
      <w:r>
        <w:rPr>
          <w:rFonts w:ascii="Arial" w:eastAsia="Arial" w:hAnsi="Arial" w:cs="Arial"/>
          <w:sz w:val="16"/>
          <w:szCs w:val="16"/>
        </w:rPr>
        <w:t>$92 million under these unsecured Foreign Facilities during 2020, 2019 and 2018, respectively. During 2020, with</w:t>
      </w:r>
    </w:p>
    <w:p w14:paraId="0CE392D8" w14:textId="77777777" w:rsidR="00D1587D" w:rsidRDefault="00D1587D">
      <w:pPr>
        <w:spacing w:line="32" w:lineRule="exact"/>
        <w:rPr>
          <w:sz w:val="20"/>
          <w:szCs w:val="20"/>
        </w:rPr>
      </w:pPr>
    </w:p>
    <w:p w14:paraId="11852F47" w14:textId="77777777" w:rsidR="00D1587D" w:rsidRDefault="00410D07">
      <w:pPr>
        <w:ind w:left="300"/>
        <w:rPr>
          <w:sz w:val="20"/>
          <w:szCs w:val="20"/>
        </w:rPr>
      </w:pPr>
      <w:r>
        <w:rPr>
          <w:rFonts w:ascii="Arial" w:eastAsia="Arial" w:hAnsi="Arial" w:cs="Arial"/>
          <w:sz w:val="18"/>
          <w:szCs w:val="18"/>
        </w:rPr>
        <w:t>no borrowings outstanding, the Company terminated its unsecured Foreign Facilities.</w:t>
      </w:r>
    </w:p>
    <w:p w14:paraId="3D738338" w14:textId="77777777" w:rsidR="00D1587D" w:rsidRDefault="00D1587D">
      <w:pPr>
        <w:spacing w:line="355" w:lineRule="exact"/>
        <w:rPr>
          <w:sz w:val="20"/>
          <w:szCs w:val="20"/>
        </w:rPr>
      </w:pPr>
    </w:p>
    <w:p w14:paraId="137DDFAD" w14:textId="77777777" w:rsidR="00D1587D" w:rsidRDefault="00410D07">
      <w:pPr>
        <w:ind w:left="300"/>
        <w:rPr>
          <w:sz w:val="20"/>
          <w:szCs w:val="20"/>
        </w:rPr>
      </w:pPr>
      <w:r>
        <w:rPr>
          <w:rFonts w:ascii="Arial" w:eastAsia="Arial" w:hAnsi="Arial" w:cs="Arial"/>
          <w:b/>
          <w:bCs/>
          <w:sz w:val="18"/>
          <w:szCs w:val="18"/>
        </w:rPr>
        <w:t>13. Compreh</w:t>
      </w:r>
      <w:r>
        <w:rPr>
          <w:rFonts w:ascii="Arial" w:eastAsia="Arial" w:hAnsi="Arial" w:cs="Arial"/>
          <w:b/>
          <w:bCs/>
          <w:sz w:val="18"/>
          <w:szCs w:val="18"/>
        </w:rPr>
        <w:t>ensive Income (Loss)</w:t>
      </w:r>
    </w:p>
    <w:p w14:paraId="5EFAABA4" w14:textId="77777777" w:rsidR="00D1587D" w:rsidRDefault="00D1587D">
      <w:pPr>
        <w:spacing w:line="121" w:lineRule="exact"/>
        <w:rPr>
          <w:sz w:val="20"/>
          <w:szCs w:val="20"/>
        </w:rPr>
      </w:pPr>
    </w:p>
    <w:p w14:paraId="51978A78" w14:textId="77777777" w:rsidR="00D1587D" w:rsidRDefault="00410D07">
      <w:pPr>
        <w:spacing w:line="286" w:lineRule="auto"/>
        <w:ind w:left="300" w:right="639" w:firstLine="360"/>
        <w:rPr>
          <w:sz w:val="20"/>
          <w:szCs w:val="20"/>
        </w:rPr>
      </w:pPr>
      <w:r>
        <w:rPr>
          <w:rFonts w:ascii="Arial" w:eastAsia="Arial" w:hAnsi="Arial" w:cs="Arial"/>
          <w:sz w:val="17"/>
          <w:szCs w:val="17"/>
        </w:rPr>
        <w:t xml:space="preserve">Comprehensive Income (Loss) includes gains and losses on foreign currency translation and derivative instruments. The cumulative gains and losses on these items are included in Accumulated Other Comprehensive Income (Loss) on the </w:t>
      </w:r>
      <w:r>
        <w:rPr>
          <w:rFonts w:ascii="Arial" w:eastAsia="Arial" w:hAnsi="Arial" w:cs="Arial"/>
          <w:sz w:val="17"/>
          <w:szCs w:val="17"/>
        </w:rPr>
        <w:t>Combined Balance Sheets and Combined Statements of Equity.</w:t>
      </w:r>
    </w:p>
    <w:p w14:paraId="3DA7F9E8" w14:textId="77777777" w:rsidR="00D1587D" w:rsidRDefault="00D1587D">
      <w:pPr>
        <w:spacing w:line="165" w:lineRule="exact"/>
        <w:rPr>
          <w:sz w:val="20"/>
          <w:szCs w:val="20"/>
        </w:rPr>
      </w:pPr>
    </w:p>
    <w:p w14:paraId="702B0ABA" w14:textId="77777777" w:rsidR="00D1587D" w:rsidRDefault="00410D07">
      <w:pPr>
        <w:jc w:val="center"/>
        <w:rPr>
          <w:sz w:val="20"/>
          <w:szCs w:val="20"/>
        </w:rPr>
      </w:pPr>
      <w:r>
        <w:rPr>
          <w:rFonts w:ascii="Arial" w:eastAsia="Arial" w:hAnsi="Arial" w:cs="Arial"/>
          <w:sz w:val="18"/>
          <w:szCs w:val="18"/>
        </w:rPr>
        <w:t>F-25</w:t>
      </w:r>
    </w:p>
    <w:p w14:paraId="3E476C6B" w14:textId="77777777" w:rsidR="00D1587D" w:rsidRDefault="00410D07">
      <w:pPr>
        <w:spacing w:line="20" w:lineRule="exact"/>
        <w:rPr>
          <w:sz w:val="20"/>
          <w:szCs w:val="20"/>
        </w:rPr>
      </w:pPr>
      <w:r>
        <w:rPr>
          <w:noProof/>
          <w:sz w:val="20"/>
          <w:szCs w:val="20"/>
        </w:rPr>
        <w:drawing>
          <wp:anchor distT="0" distB="0" distL="114300" distR="114300" simplePos="0" relativeHeight="252122112" behindDoc="1" locked="0" layoutInCell="0" allowOverlap="1" wp14:anchorId="2063D65A" wp14:editId="3122F4EA">
            <wp:simplePos x="0" y="0"/>
            <wp:positionH relativeFrom="column">
              <wp:posOffset>-636905</wp:posOffset>
            </wp:positionH>
            <wp:positionV relativeFrom="paragraph">
              <wp:posOffset>126365</wp:posOffset>
            </wp:positionV>
            <wp:extent cx="6995160" cy="17145"/>
            <wp:effectExtent l="0" t="0" r="0" b="0"/>
            <wp:wrapNone/>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5171F9C" w14:textId="77777777" w:rsidR="00D1587D" w:rsidRDefault="00D1587D">
      <w:pPr>
        <w:sectPr w:rsidR="00D1587D">
          <w:pgSz w:w="11900" w:h="16838"/>
          <w:pgMar w:top="265" w:right="1440" w:bottom="1440" w:left="1440" w:header="0" w:footer="0" w:gutter="0"/>
          <w:cols w:space="720" w:equalWidth="0">
            <w:col w:w="9019"/>
          </w:cols>
        </w:sectPr>
      </w:pPr>
    </w:p>
    <w:bookmarkStart w:id="421" w:name="page422"/>
    <w:bookmarkEnd w:id="421"/>
    <w:p w14:paraId="73247C3C" w14:textId="77777777" w:rsidR="00D1587D" w:rsidRDefault="00410D07">
      <w:pPr>
        <w:ind w:left="1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9BEFE76" w14:textId="77777777" w:rsidR="00D1587D" w:rsidRDefault="00D1587D">
      <w:pPr>
        <w:spacing w:line="131" w:lineRule="exact"/>
        <w:rPr>
          <w:sz w:val="20"/>
          <w:szCs w:val="20"/>
        </w:rPr>
      </w:pPr>
    </w:p>
    <w:p w14:paraId="0F34C7AB" w14:textId="77777777" w:rsidR="00D1587D" w:rsidRDefault="00410D07">
      <w:pPr>
        <w:ind w:right="80"/>
        <w:jc w:val="center"/>
        <w:rPr>
          <w:sz w:val="20"/>
          <w:szCs w:val="20"/>
        </w:rPr>
      </w:pPr>
      <w:r>
        <w:rPr>
          <w:rFonts w:ascii="Arial" w:eastAsia="Arial" w:hAnsi="Arial" w:cs="Arial"/>
          <w:sz w:val="18"/>
          <w:szCs w:val="18"/>
        </w:rPr>
        <w:t>The following table provides the rollforward of accumulated other comprehensive income (loss) for 2020:</w:t>
      </w:r>
    </w:p>
    <w:p w14:paraId="76DC9394" w14:textId="77777777" w:rsidR="00D1587D" w:rsidRDefault="00D1587D">
      <w:pPr>
        <w:spacing w:line="177" w:lineRule="exact"/>
        <w:rPr>
          <w:sz w:val="20"/>
          <w:szCs w:val="20"/>
        </w:rPr>
      </w:pPr>
    </w:p>
    <w:tbl>
      <w:tblPr>
        <w:tblW w:w="0" w:type="auto"/>
        <w:tblInd w:w="1300" w:type="dxa"/>
        <w:tblLayout w:type="fixed"/>
        <w:tblCellMar>
          <w:left w:w="0" w:type="dxa"/>
          <w:right w:w="0" w:type="dxa"/>
        </w:tblCellMar>
        <w:tblLook w:val="04A0" w:firstRow="1" w:lastRow="0" w:firstColumn="1" w:lastColumn="0" w:noHBand="0" w:noVBand="1"/>
      </w:tblPr>
      <w:tblGrid>
        <w:gridCol w:w="5300"/>
        <w:gridCol w:w="440"/>
        <w:gridCol w:w="540"/>
        <w:gridCol w:w="120"/>
        <w:gridCol w:w="960"/>
        <w:gridCol w:w="80"/>
        <w:gridCol w:w="440"/>
        <w:gridCol w:w="540"/>
        <w:gridCol w:w="20"/>
      </w:tblGrid>
      <w:tr w:rsidR="00D1587D" w14:paraId="2AE05E2B" w14:textId="77777777">
        <w:trPr>
          <w:trHeight w:val="161"/>
        </w:trPr>
        <w:tc>
          <w:tcPr>
            <w:tcW w:w="5300" w:type="dxa"/>
            <w:vAlign w:val="bottom"/>
          </w:tcPr>
          <w:p w14:paraId="07169845" w14:textId="77777777" w:rsidR="00D1587D" w:rsidRDefault="00D1587D">
            <w:pPr>
              <w:rPr>
                <w:sz w:val="14"/>
                <w:szCs w:val="14"/>
              </w:rPr>
            </w:pPr>
          </w:p>
        </w:tc>
        <w:tc>
          <w:tcPr>
            <w:tcW w:w="1100" w:type="dxa"/>
            <w:gridSpan w:val="3"/>
            <w:vMerge w:val="restart"/>
            <w:vAlign w:val="bottom"/>
          </w:tcPr>
          <w:p w14:paraId="08DC3A27" w14:textId="77777777" w:rsidR="00D1587D" w:rsidRDefault="00410D07">
            <w:pPr>
              <w:ind w:right="140"/>
              <w:jc w:val="center"/>
              <w:rPr>
                <w:sz w:val="20"/>
                <w:szCs w:val="20"/>
              </w:rPr>
            </w:pPr>
            <w:r>
              <w:rPr>
                <w:rFonts w:ascii="Arial" w:eastAsia="Arial" w:hAnsi="Arial" w:cs="Arial"/>
                <w:b/>
                <w:bCs/>
                <w:w w:val="93"/>
                <w:sz w:val="14"/>
                <w:szCs w:val="14"/>
              </w:rPr>
              <w:t>Foreign</w:t>
            </w:r>
          </w:p>
        </w:tc>
        <w:tc>
          <w:tcPr>
            <w:tcW w:w="960" w:type="dxa"/>
            <w:vAlign w:val="bottom"/>
          </w:tcPr>
          <w:p w14:paraId="03AFAEA8" w14:textId="77777777" w:rsidR="00D1587D" w:rsidRDefault="00D1587D">
            <w:pPr>
              <w:rPr>
                <w:sz w:val="14"/>
                <w:szCs w:val="14"/>
              </w:rPr>
            </w:pPr>
          </w:p>
        </w:tc>
        <w:tc>
          <w:tcPr>
            <w:tcW w:w="80" w:type="dxa"/>
            <w:vAlign w:val="bottom"/>
          </w:tcPr>
          <w:p w14:paraId="05CC1743" w14:textId="77777777" w:rsidR="00D1587D" w:rsidRDefault="00D1587D">
            <w:pPr>
              <w:rPr>
                <w:sz w:val="14"/>
                <w:szCs w:val="14"/>
              </w:rPr>
            </w:pPr>
          </w:p>
        </w:tc>
        <w:tc>
          <w:tcPr>
            <w:tcW w:w="980" w:type="dxa"/>
            <w:gridSpan w:val="2"/>
            <w:vAlign w:val="bottom"/>
          </w:tcPr>
          <w:p w14:paraId="01A5099C" w14:textId="77777777" w:rsidR="00D1587D" w:rsidRDefault="00410D07">
            <w:pPr>
              <w:jc w:val="center"/>
              <w:rPr>
                <w:sz w:val="20"/>
                <w:szCs w:val="20"/>
              </w:rPr>
            </w:pPr>
            <w:r>
              <w:rPr>
                <w:rFonts w:ascii="Arial" w:eastAsia="Arial" w:hAnsi="Arial" w:cs="Arial"/>
                <w:b/>
                <w:bCs/>
                <w:w w:val="93"/>
                <w:sz w:val="14"/>
                <w:szCs w:val="14"/>
              </w:rPr>
              <w:t>Accumulated</w:t>
            </w:r>
          </w:p>
        </w:tc>
        <w:tc>
          <w:tcPr>
            <w:tcW w:w="0" w:type="dxa"/>
            <w:vAlign w:val="bottom"/>
          </w:tcPr>
          <w:p w14:paraId="336E55DA" w14:textId="77777777" w:rsidR="00D1587D" w:rsidRDefault="00D1587D">
            <w:pPr>
              <w:rPr>
                <w:sz w:val="1"/>
                <w:szCs w:val="1"/>
              </w:rPr>
            </w:pPr>
          </w:p>
        </w:tc>
      </w:tr>
      <w:tr w:rsidR="00D1587D" w14:paraId="0CC5C526" w14:textId="77777777">
        <w:trPr>
          <w:trHeight w:val="148"/>
        </w:trPr>
        <w:tc>
          <w:tcPr>
            <w:tcW w:w="5300" w:type="dxa"/>
            <w:vAlign w:val="bottom"/>
          </w:tcPr>
          <w:p w14:paraId="7C897205" w14:textId="77777777" w:rsidR="00D1587D" w:rsidRDefault="00D1587D">
            <w:pPr>
              <w:rPr>
                <w:sz w:val="12"/>
                <w:szCs w:val="12"/>
              </w:rPr>
            </w:pPr>
          </w:p>
        </w:tc>
        <w:tc>
          <w:tcPr>
            <w:tcW w:w="1100" w:type="dxa"/>
            <w:gridSpan w:val="3"/>
            <w:vMerge/>
            <w:vAlign w:val="bottom"/>
          </w:tcPr>
          <w:p w14:paraId="3FE81C92" w14:textId="77777777" w:rsidR="00D1587D" w:rsidRDefault="00D1587D">
            <w:pPr>
              <w:rPr>
                <w:sz w:val="12"/>
                <w:szCs w:val="12"/>
              </w:rPr>
            </w:pPr>
          </w:p>
        </w:tc>
        <w:tc>
          <w:tcPr>
            <w:tcW w:w="1040" w:type="dxa"/>
            <w:gridSpan w:val="2"/>
            <w:vMerge w:val="restart"/>
            <w:vAlign w:val="bottom"/>
          </w:tcPr>
          <w:p w14:paraId="469CDABD" w14:textId="77777777" w:rsidR="00D1587D" w:rsidRDefault="00410D07">
            <w:pPr>
              <w:ind w:right="120"/>
              <w:jc w:val="center"/>
              <w:rPr>
                <w:sz w:val="20"/>
                <w:szCs w:val="20"/>
              </w:rPr>
            </w:pPr>
            <w:r>
              <w:rPr>
                <w:rFonts w:ascii="Arial" w:eastAsia="Arial" w:hAnsi="Arial" w:cs="Arial"/>
                <w:b/>
                <w:bCs/>
                <w:w w:val="91"/>
                <w:sz w:val="14"/>
                <w:szCs w:val="14"/>
              </w:rPr>
              <w:t>Cash Flow</w:t>
            </w:r>
          </w:p>
        </w:tc>
        <w:tc>
          <w:tcPr>
            <w:tcW w:w="980" w:type="dxa"/>
            <w:gridSpan w:val="2"/>
            <w:vAlign w:val="bottom"/>
          </w:tcPr>
          <w:p w14:paraId="0A806C5D" w14:textId="77777777" w:rsidR="00D1587D" w:rsidRDefault="00410D07">
            <w:pPr>
              <w:spacing w:line="149" w:lineRule="exact"/>
              <w:jc w:val="center"/>
              <w:rPr>
                <w:sz w:val="20"/>
                <w:szCs w:val="20"/>
              </w:rPr>
            </w:pPr>
            <w:r>
              <w:rPr>
                <w:rFonts w:ascii="Arial" w:eastAsia="Arial" w:hAnsi="Arial" w:cs="Arial"/>
                <w:b/>
                <w:bCs/>
                <w:sz w:val="14"/>
                <w:szCs w:val="14"/>
              </w:rPr>
              <w:t>Other</w:t>
            </w:r>
          </w:p>
        </w:tc>
        <w:tc>
          <w:tcPr>
            <w:tcW w:w="0" w:type="dxa"/>
            <w:vAlign w:val="bottom"/>
          </w:tcPr>
          <w:p w14:paraId="7BC9EE3E" w14:textId="77777777" w:rsidR="00D1587D" w:rsidRDefault="00D1587D">
            <w:pPr>
              <w:rPr>
                <w:sz w:val="1"/>
                <w:szCs w:val="1"/>
              </w:rPr>
            </w:pPr>
          </w:p>
        </w:tc>
      </w:tr>
      <w:tr w:rsidR="00D1587D" w14:paraId="5EF0C955" w14:textId="77777777">
        <w:trPr>
          <w:trHeight w:val="148"/>
        </w:trPr>
        <w:tc>
          <w:tcPr>
            <w:tcW w:w="5300" w:type="dxa"/>
            <w:vAlign w:val="bottom"/>
          </w:tcPr>
          <w:p w14:paraId="1A2909C4" w14:textId="77777777" w:rsidR="00D1587D" w:rsidRDefault="00D1587D">
            <w:pPr>
              <w:rPr>
                <w:sz w:val="12"/>
                <w:szCs w:val="12"/>
              </w:rPr>
            </w:pPr>
          </w:p>
        </w:tc>
        <w:tc>
          <w:tcPr>
            <w:tcW w:w="1100" w:type="dxa"/>
            <w:gridSpan w:val="3"/>
            <w:vAlign w:val="bottom"/>
          </w:tcPr>
          <w:p w14:paraId="33685834" w14:textId="77777777" w:rsidR="00D1587D" w:rsidRDefault="00410D07">
            <w:pPr>
              <w:spacing w:line="149" w:lineRule="exact"/>
              <w:ind w:right="160"/>
              <w:jc w:val="center"/>
              <w:rPr>
                <w:sz w:val="20"/>
                <w:szCs w:val="20"/>
              </w:rPr>
            </w:pPr>
            <w:r>
              <w:rPr>
                <w:rFonts w:ascii="Arial" w:eastAsia="Arial" w:hAnsi="Arial" w:cs="Arial"/>
                <w:b/>
                <w:bCs/>
                <w:w w:val="94"/>
                <w:sz w:val="14"/>
                <w:szCs w:val="14"/>
              </w:rPr>
              <w:t>Currency</w:t>
            </w:r>
          </w:p>
        </w:tc>
        <w:tc>
          <w:tcPr>
            <w:tcW w:w="1040" w:type="dxa"/>
            <w:gridSpan w:val="2"/>
            <w:vMerge/>
            <w:vAlign w:val="bottom"/>
          </w:tcPr>
          <w:p w14:paraId="450C9EFA" w14:textId="77777777" w:rsidR="00D1587D" w:rsidRDefault="00D1587D">
            <w:pPr>
              <w:rPr>
                <w:sz w:val="12"/>
                <w:szCs w:val="12"/>
              </w:rPr>
            </w:pPr>
          </w:p>
        </w:tc>
        <w:tc>
          <w:tcPr>
            <w:tcW w:w="980" w:type="dxa"/>
            <w:gridSpan w:val="2"/>
            <w:vAlign w:val="bottom"/>
          </w:tcPr>
          <w:p w14:paraId="103BBFBB" w14:textId="77777777" w:rsidR="00D1587D" w:rsidRDefault="00410D07">
            <w:pPr>
              <w:spacing w:line="149" w:lineRule="exact"/>
              <w:jc w:val="center"/>
              <w:rPr>
                <w:sz w:val="20"/>
                <w:szCs w:val="20"/>
              </w:rPr>
            </w:pPr>
            <w:r>
              <w:rPr>
                <w:rFonts w:ascii="Arial" w:eastAsia="Arial" w:hAnsi="Arial" w:cs="Arial"/>
                <w:b/>
                <w:bCs/>
                <w:w w:val="89"/>
                <w:sz w:val="14"/>
                <w:szCs w:val="14"/>
              </w:rPr>
              <w:t>Comprehensive</w:t>
            </w:r>
          </w:p>
        </w:tc>
        <w:tc>
          <w:tcPr>
            <w:tcW w:w="0" w:type="dxa"/>
            <w:vAlign w:val="bottom"/>
          </w:tcPr>
          <w:p w14:paraId="5F37136B" w14:textId="77777777" w:rsidR="00D1587D" w:rsidRDefault="00D1587D">
            <w:pPr>
              <w:rPr>
                <w:sz w:val="1"/>
                <w:szCs w:val="1"/>
              </w:rPr>
            </w:pPr>
          </w:p>
        </w:tc>
      </w:tr>
      <w:tr w:rsidR="00D1587D" w14:paraId="0160DA40" w14:textId="77777777">
        <w:trPr>
          <w:trHeight w:val="186"/>
        </w:trPr>
        <w:tc>
          <w:tcPr>
            <w:tcW w:w="5300" w:type="dxa"/>
            <w:vAlign w:val="bottom"/>
          </w:tcPr>
          <w:p w14:paraId="5668BD6F" w14:textId="77777777" w:rsidR="00D1587D" w:rsidRDefault="00D1587D">
            <w:pPr>
              <w:rPr>
                <w:sz w:val="16"/>
                <w:szCs w:val="16"/>
              </w:rPr>
            </w:pPr>
          </w:p>
        </w:tc>
        <w:tc>
          <w:tcPr>
            <w:tcW w:w="1100" w:type="dxa"/>
            <w:gridSpan w:val="3"/>
            <w:vAlign w:val="bottom"/>
          </w:tcPr>
          <w:p w14:paraId="0B383953" w14:textId="77777777" w:rsidR="00D1587D" w:rsidRDefault="00410D07">
            <w:pPr>
              <w:ind w:right="120"/>
              <w:jc w:val="center"/>
              <w:rPr>
                <w:sz w:val="20"/>
                <w:szCs w:val="20"/>
              </w:rPr>
            </w:pPr>
            <w:r>
              <w:rPr>
                <w:rFonts w:ascii="Arial" w:eastAsia="Arial" w:hAnsi="Arial" w:cs="Arial"/>
                <w:b/>
                <w:bCs/>
                <w:w w:val="92"/>
                <w:sz w:val="14"/>
                <w:szCs w:val="14"/>
              </w:rPr>
              <w:t>Translation</w:t>
            </w:r>
          </w:p>
        </w:tc>
        <w:tc>
          <w:tcPr>
            <w:tcW w:w="1040" w:type="dxa"/>
            <w:gridSpan w:val="2"/>
            <w:vAlign w:val="bottom"/>
          </w:tcPr>
          <w:p w14:paraId="06FBCB25" w14:textId="77777777" w:rsidR="00D1587D" w:rsidRDefault="00410D07">
            <w:pPr>
              <w:ind w:right="80"/>
              <w:jc w:val="center"/>
              <w:rPr>
                <w:sz w:val="20"/>
                <w:szCs w:val="20"/>
              </w:rPr>
            </w:pPr>
            <w:r>
              <w:rPr>
                <w:rFonts w:ascii="Arial" w:eastAsia="Arial" w:hAnsi="Arial" w:cs="Arial"/>
                <w:b/>
                <w:bCs/>
                <w:w w:val="86"/>
                <w:sz w:val="14"/>
                <w:szCs w:val="14"/>
              </w:rPr>
              <w:t>Hedges</w:t>
            </w:r>
          </w:p>
        </w:tc>
        <w:tc>
          <w:tcPr>
            <w:tcW w:w="980" w:type="dxa"/>
            <w:gridSpan w:val="2"/>
            <w:vAlign w:val="bottom"/>
          </w:tcPr>
          <w:p w14:paraId="04AD0171" w14:textId="77777777" w:rsidR="00D1587D" w:rsidRDefault="00410D07">
            <w:pPr>
              <w:jc w:val="center"/>
              <w:rPr>
                <w:sz w:val="20"/>
                <w:szCs w:val="20"/>
              </w:rPr>
            </w:pPr>
            <w:r>
              <w:rPr>
                <w:rFonts w:ascii="Arial" w:eastAsia="Arial" w:hAnsi="Arial" w:cs="Arial"/>
                <w:b/>
                <w:bCs/>
                <w:w w:val="90"/>
                <w:sz w:val="14"/>
                <w:szCs w:val="14"/>
              </w:rPr>
              <w:t>Income (Loss)</w:t>
            </w:r>
          </w:p>
        </w:tc>
        <w:tc>
          <w:tcPr>
            <w:tcW w:w="0" w:type="dxa"/>
            <w:vAlign w:val="bottom"/>
          </w:tcPr>
          <w:p w14:paraId="7C1D0BF6" w14:textId="77777777" w:rsidR="00D1587D" w:rsidRDefault="00D1587D">
            <w:pPr>
              <w:rPr>
                <w:sz w:val="1"/>
                <w:szCs w:val="1"/>
              </w:rPr>
            </w:pPr>
          </w:p>
        </w:tc>
      </w:tr>
      <w:tr w:rsidR="00D1587D" w14:paraId="49093024" w14:textId="77777777">
        <w:trPr>
          <w:trHeight w:val="53"/>
        </w:trPr>
        <w:tc>
          <w:tcPr>
            <w:tcW w:w="5300" w:type="dxa"/>
            <w:vAlign w:val="bottom"/>
          </w:tcPr>
          <w:p w14:paraId="7BA182B7" w14:textId="77777777" w:rsidR="00D1587D" w:rsidRDefault="00D1587D">
            <w:pPr>
              <w:rPr>
                <w:sz w:val="4"/>
                <w:szCs w:val="4"/>
              </w:rPr>
            </w:pPr>
          </w:p>
        </w:tc>
        <w:tc>
          <w:tcPr>
            <w:tcW w:w="440" w:type="dxa"/>
            <w:tcBorders>
              <w:bottom w:val="single" w:sz="8" w:space="0" w:color="auto"/>
            </w:tcBorders>
            <w:vAlign w:val="bottom"/>
          </w:tcPr>
          <w:p w14:paraId="7E20B2E5" w14:textId="77777777" w:rsidR="00D1587D" w:rsidRDefault="00D1587D">
            <w:pPr>
              <w:rPr>
                <w:sz w:val="4"/>
                <w:szCs w:val="4"/>
              </w:rPr>
            </w:pPr>
          </w:p>
        </w:tc>
        <w:tc>
          <w:tcPr>
            <w:tcW w:w="540" w:type="dxa"/>
            <w:tcBorders>
              <w:bottom w:val="single" w:sz="8" w:space="0" w:color="auto"/>
            </w:tcBorders>
            <w:vAlign w:val="bottom"/>
          </w:tcPr>
          <w:p w14:paraId="477BEFB4" w14:textId="77777777" w:rsidR="00D1587D" w:rsidRDefault="00D1587D">
            <w:pPr>
              <w:rPr>
                <w:sz w:val="4"/>
                <w:szCs w:val="4"/>
              </w:rPr>
            </w:pPr>
          </w:p>
        </w:tc>
        <w:tc>
          <w:tcPr>
            <w:tcW w:w="120" w:type="dxa"/>
            <w:tcBorders>
              <w:bottom w:val="single" w:sz="8" w:space="0" w:color="auto"/>
            </w:tcBorders>
            <w:vAlign w:val="bottom"/>
          </w:tcPr>
          <w:p w14:paraId="78A7B79C" w14:textId="77777777" w:rsidR="00D1587D" w:rsidRDefault="00D1587D">
            <w:pPr>
              <w:rPr>
                <w:sz w:val="4"/>
                <w:szCs w:val="4"/>
              </w:rPr>
            </w:pPr>
          </w:p>
        </w:tc>
        <w:tc>
          <w:tcPr>
            <w:tcW w:w="1040" w:type="dxa"/>
            <w:gridSpan w:val="2"/>
            <w:tcBorders>
              <w:bottom w:val="single" w:sz="8" w:space="0" w:color="auto"/>
            </w:tcBorders>
            <w:vAlign w:val="bottom"/>
          </w:tcPr>
          <w:p w14:paraId="553BD91A" w14:textId="77777777" w:rsidR="00D1587D" w:rsidRDefault="00D1587D">
            <w:pPr>
              <w:rPr>
                <w:sz w:val="4"/>
                <w:szCs w:val="4"/>
              </w:rPr>
            </w:pPr>
          </w:p>
        </w:tc>
        <w:tc>
          <w:tcPr>
            <w:tcW w:w="440" w:type="dxa"/>
            <w:tcBorders>
              <w:bottom w:val="single" w:sz="8" w:space="0" w:color="auto"/>
            </w:tcBorders>
            <w:vAlign w:val="bottom"/>
          </w:tcPr>
          <w:p w14:paraId="740496FB" w14:textId="77777777" w:rsidR="00D1587D" w:rsidRDefault="00D1587D">
            <w:pPr>
              <w:rPr>
                <w:sz w:val="4"/>
                <w:szCs w:val="4"/>
              </w:rPr>
            </w:pPr>
          </w:p>
        </w:tc>
        <w:tc>
          <w:tcPr>
            <w:tcW w:w="540" w:type="dxa"/>
            <w:tcBorders>
              <w:bottom w:val="single" w:sz="8" w:space="0" w:color="auto"/>
            </w:tcBorders>
            <w:vAlign w:val="bottom"/>
          </w:tcPr>
          <w:p w14:paraId="6F210188" w14:textId="77777777" w:rsidR="00D1587D" w:rsidRDefault="00D1587D">
            <w:pPr>
              <w:rPr>
                <w:sz w:val="4"/>
                <w:szCs w:val="4"/>
              </w:rPr>
            </w:pPr>
          </w:p>
        </w:tc>
        <w:tc>
          <w:tcPr>
            <w:tcW w:w="0" w:type="dxa"/>
            <w:vAlign w:val="bottom"/>
          </w:tcPr>
          <w:p w14:paraId="6044C367" w14:textId="77777777" w:rsidR="00D1587D" w:rsidRDefault="00D1587D">
            <w:pPr>
              <w:rPr>
                <w:sz w:val="1"/>
                <w:szCs w:val="1"/>
              </w:rPr>
            </w:pPr>
          </w:p>
        </w:tc>
      </w:tr>
      <w:tr w:rsidR="00D1587D" w14:paraId="27B72397" w14:textId="77777777">
        <w:trPr>
          <w:trHeight w:val="224"/>
        </w:trPr>
        <w:tc>
          <w:tcPr>
            <w:tcW w:w="5300" w:type="dxa"/>
            <w:vAlign w:val="bottom"/>
          </w:tcPr>
          <w:p w14:paraId="0088BA3C" w14:textId="77777777" w:rsidR="00D1587D" w:rsidRDefault="00D1587D">
            <w:pPr>
              <w:rPr>
                <w:sz w:val="19"/>
                <w:szCs w:val="19"/>
              </w:rPr>
            </w:pPr>
          </w:p>
        </w:tc>
        <w:tc>
          <w:tcPr>
            <w:tcW w:w="440" w:type="dxa"/>
            <w:vAlign w:val="bottom"/>
          </w:tcPr>
          <w:p w14:paraId="185D4B84" w14:textId="77777777" w:rsidR="00D1587D" w:rsidRDefault="00D1587D">
            <w:pPr>
              <w:rPr>
                <w:sz w:val="19"/>
                <w:szCs w:val="19"/>
              </w:rPr>
            </w:pPr>
          </w:p>
        </w:tc>
        <w:tc>
          <w:tcPr>
            <w:tcW w:w="540" w:type="dxa"/>
            <w:vAlign w:val="bottom"/>
          </w:tcPr>
          <w:p w14:paraId="4E26D7E0" w14:textId="77777777" w:rsidR="00D1587D" w:rsidRDefault="00D1587D">
            <w:pPr>
              <w:rPr>
                <w:sz w:val="19"/>
                <w:szCs w:val="19"/>
              </w:rPr>
            </w:pPr>
          </w:p>
        </w:tc>
        <w:tc>
          <w:tcPr>
            <w:tcW w:w="120" w:type="dxa"/>
            <w:vAlign w:val="bottom"/>
          </w:tcPr>
          <w:p w14:paraId="4334984F" w14:textId="77777777" w:rsidR="00D1587D" w:rsidRDefault="00D1587D">
            <w:pPr>
              <w:rPr>
                <w:sz w:val="19"/>
                <w:szCs w:val="19"/>
              </w:rPr>
            </w:pPr>
          </w:p>
        </w:tc>
        <w:tc>
          <w:tcPr>
            <w:tcW w:w="1040" w:type="dxa"/>
            <w:gridSpan w:val="2"/>
            <w:vAlign w:val="bottom"/>
          </w:tcPr>
          <w:p w14:paraId="53C3EE75" w14:textId="77777777" w:rsidR="00D1587D" w:rsidRDefault="00410D07">
            <w:pPr>
              <w:ind w:right="140"/>
              <w:jc w:val="center"/>
              <w:rPr>
                <w:sz w:val="20"/>
                <w:szCs w:val="20"/>
              </w:rPr>
            </w:pPr>
            <w:r>
              <w:rPr>
                <w:rFonts w:ascii="Arial" w:eastAsia="Arial" w:hAnsi="Arial" w:cs="Arial"/>
                <w:b/>
                <w:bCs/>
                <w:w w:val="94"/>
                <w:sz w:val="14"/>
                <w:szCs w:val="14"/>
              </w:rPr>
              <w:t>(in millions)</w:t>
            </w:r>
          </w:p>
        </w:tc>
        <w:tc>
          <w:tcPr>
            <w:tcW w:w="440" w:type="dxa"/>
            <w:vAlign w:val="bottom"/>
          </w:tcPr>
          <w:p w14:paraId="1E9FDD97" w14:textId="77777777" w:rsidR="00D1587D" w:rsidRDefault="00D1587D">
            <w:pPr>
              <w:rPr>
                <w:sz w:val="19"/>
                <w:szCs w:val="19"/>
              </w:rPr>
            </w:pPr>
          </w:p>
        </w:tc>
        <w:tc>
          <w:tcPr>
            <w:tcW w:w="540" w:type="dxa"/>
            <w:vAlign w:val="bottom"/>
          </w:tcPr>
          <w:p w14:paraId="7604B096" w14:textId="77777777" w:rsidR="00D1587D" w:rsidRDefault="00D1587D">
            <w:pPr>
              <w:rPr>
                <w:sz w:val="19"/>
                <w:szCs w:val="19"/>
              </w:rPr>
            </w:pPr>
          </w:p>
        </w:tc>
        <w:tc>
          <w:tcPr>
            <w:tcW w:w="0" w:type="dxa"/>
            <w:vAlign w:val="bottom"/>
          </w:tcPr>
          <w:p w14:paraId="2CF75651" w14:textId="77777777" w:rsidR="00D1587D" w:rsidRDefault="00D1587D">
            <w:pPr>
              <w:rPr>
                <w:sz w:val="1"/>
                <w:szCs w:val="1"/>
              </w:rPr>
            </w:pPr>
          </w:p>
        </w:tc>
      </w:tr>
      <w:tr w:rsidR="00D1587D" w14:paraId="49B33A73" w14:textId="77777777">
        <w:trPr>
          <w:trHeight w:val="53"/>
        </w:trPr>
        <w:tc>
          <w:tcPr>
            <w:tcW w:w="5300" w:type="dxa"/>
            <w:vAlign w:val="bottom"/>
          </w:tcPr>
          <w:p w14:paraId="37DD1A3E" w14:textId="77777777" w:rsidR="00D1587D" w:rsidRDefault="00D1587D">
            <w:pPr>
              <w:rPr>
                <w:sz w:val="4"/>
                <w:szCs w:val="4"/>
              </w:rPr>
            </w:pPr>
          </w:p>
        </w:tc>
        <w:tc>
          <w:tcPr>
            <w:tcW w:w="980" w:type="dxa"/>
            <w:gridSpan w:val="2"/>
            <w:vAlign w:val="bottom"/>
          </w:tcPr>
          <w:p w14:paraId="384493D1" w14:textId="77777777" w:rsidR="00D1587D" w:rsidRDefault="00D1587D">
            <w:pPr>
              <w:rPr>
                <w:sz w:val="4"/>
                <w:szCs w:val="4"/>
              </w:rPr>
            </w:pPr>
          </w:p>
        </w:tc>
        <w:tc>
          <w:tcPr>
            <w:tcW w:w="120" w:type="dxa"/>
            <w:vAlign w:val="bottom"/>
          </w:tcPr>
          <w:p w14:paraId="39E783DB" w14:textId="77777777" w:rsidR="00D1587D" w:rsidRDefault="00D1587D">
            <w:pPr>
              <w:rPr>
                <w:sz w:val="4"/>
                <w:szCs w:val="4"/>
              </w:rPr>
            </w:pPr>
          </w:p>
        </w:tc>
        <w:tc>
          <w:tcPr>
            <w:tcW w:w="960" w:type="dxa"/>
            <w:vAlign w:val="bottom"/>
          </w:tcPr>
          <w:p w14:paraId="01BA349D" w14:textId="77777777" w:rsidR="00D1587D" w:rsidRDefault="00D1587D">
            <w:pPr>
              <w:rPr>
                <w:sz w:val="4"/>
                <w:szCs w:val="4"/>
              </w:rPr>
            </w:pPr>
          </w:p>
        </w:tc>
        <w:tc>
          <w:tcPr>
            <w:tcW w:w="80" w:type="dxa"/>
            <w:vAlign w:val="bottom"/>
          </w:tcPr>
          <w:p w14:paraId="5F812C85" w14:textId="77777777" w:rsidR="00D1587D" w:rsidRDefault="00D1587D">
            <w:pPr>
              <w:rPr>
                <w:sz w:val="4"/>
                <w:szCs w:val="4"/>
              </w:rPr>
            </w:pPr>
          </w:p>
        </w:tc>
        <w:tc>
          <w:tcPr>
            <w:tcW w:w="980" w:type="dxa"/>
            <w:gridSpan w:val="2"/>
            <w:vAlign w:val="bottom"/>
          </w:tcPr>
          <w:p w14:paraId="7995E114" w14:textId="77777777" w:rsidR="00D1587D" w:rsidRDefault="00D1587D">
            <w:pPr>
              <w:rPr>
                <w:sz w:val="4"/>
                <w:szCs w:val="4"/>
              </w:rPr>
            </w:pPr>
          </w:p>
        </w:tc>
        <w:tc>
          <w:tcPr>
            <w:tcW w:w="0" w:type="dxa"/>
            <w:vAlign w:val="bottom"/>
          </w:tcPr>
          <w:p w14:paraId="05E8A94A" w14:textId="77777777" w:rsidR="00D1587D" w:rsidRDefault="00D1587D">
            <w:pPr>
              <w:rPr>
                <w:sz w:val="1"/>
                <w:szCs w:val="1"/>
              </w:rPr>
            </w:pPr>
          </w:p>
        </w:tc>
      </w:tr>
      <w:tr w:rsidR="00D1587D" w14:paraId="06F423D1" w14:textId="77777777">
        <w:trPr>
          <w:trHeight w:val="318"/>
        </w:trPr>
        <w:tc>
          <w:tcPr>
            <w:tcW w:w="5300" w:type="dxa"/>
            <w:tcBorders>
              <w:bottom w:val="single" w:sz="8" w:space="0" w:color="CCEEFF"/>
            </w:tcBorders>
            <w:shd w:val="clear" w:color="auto" w:fill="CCEEFF"/>
            <w:vAlign w:val="bottom"/>
          </w:tcPr>
          <w:p w14:paraId="7BD61AF3" w14:textId="77777777" w:rsidR="00D1587D" w:rsidRDefault="00410D07">
            <w:pPr>
              <w:rPr>
                <w:sz w:val="20"/>
                <w:szCs w:val="20"/>
              </w:rPr>
            </w:pPr>
            <w:r>
              <w:rPr>
                <w:rFonts w:ascii="Arial" w:eastAsia="Arial" w:hAnsi="Arial" w:cs="Arial"/>
                <w:sz w:val="18"/>
                <w:szCs w:val="18"/>
              </w:rPr>
              <w:t>Balance as of February 1, 2020</w:t>
            </w:r>
          </w:p>
        </w:tc>
        <w:tc>
          <w:tcPr>
            <w:tcW w:w="980" w:type="dxa"/>
            <w:gridSpan w:val="2"/>
            <w:tcBorders>
              <w:bottom w:val="single" w:sz="8" w:space="0" w:color="CCEEFF"/>
            </w:tcBorders>
            <w:shd w:val="clear" w:color="auto" w:fill="CCEEFF"/>
            <w:vAlign w:val="bottom"/>
          </w:tcPr>
          <w:p w14:paraId="5FD4DFED" w14:textId="77777777" w:rsidR="00D1587D" w:rsidRDefault="00410D07">
            <w:pPr>
              <w:ind w:right="190"/>
              <w:jc w:val="right"/>
              <w:rPr>
                <w:sz w:val="20"/>
                <w:szCs w:val="20"/>
              </w:rPr>
            </w:pPr>
            <w:r>
              <w:rPr>
                <w:rFonts w:ascii="Arial" w:eastAsia="Arial" w:hAnsi="Arial" w:cs="Arial"/>
                <w:sz w:val="18"/>
                <w:szCs w:val="18"/>
              </w:rPr>
              <w:t>$(29)</w:t>
            </w:r>
          </w:p>
        </w:tc>
        <w:tc>
          <w:tcPr>
            <w:tcW w:w="120" w:type="dxa"/>
            <w:tcBorders>
              <w:bottom w:val="single" w:sz="8" w:space="0" w:color="CCEEFF"/>
            </w:tcBorders>
            <w:shd w:val="clear" w:color="auto" w:fill="CCEEFF"/>
            <w:vAlign w:val="bottom"/>
          </w:tcPr>
          <w:p w14:paraId="049F667C" w14:textId="77777777" w:rsidR="00D1587D" w:rsidRDefault="00D1587D">
            <w:pPr>
              <w:rPr>
                <w:sz w:val="24"/>
                <w:szCs w:val="24"/>
              </w:rPr>
            </w:pPr>
          </w:p>
        </w:tc>
        <w:tc>
          <w:tcPr>
            <w:tcW w:w="1040" w:type="dxa"/>
            <w:gridSpan w:val="2"/>
            <w:tcBorders>
              <w:bottom w:val="single" w:sz="8" w:space="0" w:color="CCEEFF"/>
            </w:tcBorders>
            <w:shd w:val="clear" w:color="auto" w:fill="CCEEFF"/>
            <w:vAlign w:val="bottom"/>
          </w:tcPr>
          <w:p w14:paraId="722B5F49" w14:textId="77777777" w:rsidR="00D1587D" w:rsidRDefault="00410D07">
            <w:pPr>
              <w:ind w:right="420"/>
              <w:jc w:val="right"/>
              <w:rPr>
                <w:sz w:val="20"/>
                <w:szCs w:val="20"/>
              </w:rPr>
            </w:pPr>
            <w:r>
              <w:rPr>
                <w:rFonts w:ascii="Arial" w:eastAsia="Arial" w:hAnsi="Arial" w:cs="Arial"/>
                <w:sz w:val="18"/>
                <w:szCs w:val="18"/>
              </w:rPr>
              <w:t>$—</w:t>
            </w:r>
          </w:p>
        </w:tc>
        <w:tc>
          <w:tcPr>
            <w:tcW w:w="980" w:type="dxa"/>
            <w:gridSpan w:val="2"/>
            <w:tcBorders>
              <w:bottom w:val="single" w:sz="8" w:space="0" w:color="CCEEFF"/>
            </w:tcBorders>
            <w:shd w:val="clear" w:color="auto" w:fill="CCEEFF"/>
            <w:vAlign w:val="bottom"/>
          </w:tcPr>
          <w:p w14:paraId="04F37539" w14:textId="77777777" w:rsidR="00D1587D" w:rsidRDefault="00410D07">
            <w:pPr>
              <w:ind w:right="170"/>
              <w:jc w:val="right"/>
              <w:rPr>
                <w:sz w:val="20"/>
                <w:szCs w:val="20"/>
              </w:rPr>
            </w:pPr>
            <w:r>
              <w:rPr>
                <w:rFonts w:ascii="Arial" w:eastAsia="Arial" w:hAnsi="Arial" w:cs="Arial"/>
                <w:sz w:val="18"/>
                <w:szCs w:val="18"/>
              </w:rPr>
              <w:t>$(29)</w:t>
            </w:r>
          </w:p>
        </w:tc>
        <w:tc>
          <w:tcPr>
            <w:tcW w:w="0" w:type="dxa"/>
            <w:vAlign w:val="bottom"/>
          </w:tcPr>
          <w:p w14:paraId="0AE4CF5F" w14:textId="77777777" w:rsidR="00D1587D" w:rsidRDefault="00D1587D">
            <w:pPr>
              <w:rPr>
                <w:sz w:val="1"/>
                <w:szCs w:val="1"/>
              </w:rPr>
            </w:pPr>
          </w:p>
        </w:tc>
      </w:tr>
      <w:tr w:rsidR="00D1587D" w14:paraId="446E5E6A" w14:textId="77777777">
        <w:trPr>
          <w:trHeight w:val="270"/>
        </w:trPr>
        <w:tc>
          <w:tcPr>
            <w:tcW w:w="5300" w:type="dxa"/>
            <w:vAlign w:val="bottom"/>
          </w:tcPr>
          <w:p w14:paraId="5F0EB428" w14:textId="77777777" w:rsidR="00D1587D" w:rsidRDefault="00410D07">
            <w:pPr>
              <w:rPr>
                <w:sz w:val="20"/>
                <w:szCs w:val="20"/>
              </w:rPr>
            </w:pPr>
            <w:r>
              <w:rPr>
                <w:rFonts w:ascii="Arial" w:eastAsia="Arial" w:hAnsi="Arial" w:cs="Arial"/>
                <w:sz w:val="18"/>
                <w:szCs w:val="18"/>
              </w:rPr>
              <w:t>Other Comprehensive Loss Before Reclassifications</w:t>
            </w:r>
          </w:p>
        </w:tc>
        <w:tc>
          <w:tcPr>
            <w:tcW w:w="440" w:type="dxa"/>
            <w:vAlign w:val="bottom"/>
          </w:tcPr>
          <w:p w14:paraId="52225B51" w14:textId="77777777" w:rsidR="00D1587D" w:rsidRDefault="00D1587D">
            <w:pPr>
              <w:rPr>
                <w:sz w:val="23"/>
                <w:szCs w:val="23"/>
              </w:rPr>
            </w:pPr>
          </w:p>
        </w:tc>
        <w:tc>
          <w:tcPr>
            <w:tcW w:w="540" w:type="dxa"/>
            <w:vAlign w:val="bottom"/>
          </w:tcPr>
          <w:p w14:paraId="0B1604C7" w14:textId="77777777" w:rsidR="00D1587D" w:rsidRDefault="00410D07">
            <w:pPr>
              <w:ind w:right="190"/>
              <w:jc w:val="right"/>
              <w:rPr>
                <w:sz w:val="20"/>
                <w:szCs w:val="20"/>
              </w:rPr>
            </w:pPr>
            <w:r>
              <w:rPr>
                <w:rFonts w:ascii="Arial" w:eastAsia="Arial" w:hAnsi="Arial" w:cs="Arial"/>
                <w:sz w:val="18"/>
                <w:szCs w:val="18"/>
              </w:rPr>
              <w:t>(3)</w:t>
            </w:r>
          </w:p>
        </w:tc>
        <w:tc>
          <w:tcPr>
            <w:tcW w:w="120" w:type="dxa"/>
            <w:vAlign w:val="bottom"/>
          </w:tcPr>
          <w:p w14:paraId="66C1EB4E" w14:textId="77777777" w:rsidR="00D1587D" w:rsidRDefault="00D1587D">
            <w:pPr>
              <w:rPr>
                <w:sz w:val="23"/>
                <w:szCs w:val="23"/>
              </w:rPr>
            </w:pPr>
          </w:p>
        </w:tc>
        <w:tc>
          <w:tcPr>
            <w:tcW w:w="960" w:type="dxa"/>
            <w:vAlign w:val="bottom"/>
          </w:tcPr>
          <w:p w14:paraId="386D0533" w14:textId="77777777" w:rsidR="00D1587D" w:rsidRDefault="00410D07">
            <w:pPr>
              <w:ind w:right="216"/>
              <w:jc w:val="right"/>
              <w:rPr>
                <w:sz w:val="20"/>
                <w:szCs w:val="20"/>
              </w:rPr>
            </w:pPr>
            <w:r>
              <w:rPr>
                <w:rFonts w:ascii="Arial" w:eastAsia="Arial" w:hAnsi="Arial" w:cs="Arial"/>
                <w:sz w:val="18"/>
                <w:szCs w:val="18"/>
              </w:rPr>
              <w:t>(1)</w:t>
            </w:r>
          </w:p>
        </w:tc>
        <w:tc>
          <w:tcPr>
            <w:tcW w:w="80" w:type="dxa"/>
            <w:vAlign w:val="bottom"/>
          </w:tcPr>
          <w:p w14:paraId="496D44A7" w14:textId="77777777" w:rsidR="00D1587D" w:rsidRDefault="00D1587D">
            <w:pPr>
              <w:rPr>
                <w:sz w:val="23"/>
                <w:szCs w:val="23"/>
              </w:rPr>
            </w:pPr>
          </w:p>
        </w:tc>
        <w:tc>
          <w:tcPr>
            <w:tcW w:w="440" w:type="dxa"/>
            <w:vAlign w:val="bottom"/>
          </w:tcPr>
          <w:p w14:paraId="7FEF8D4F" w14:textId="77777777" w:rsidR="00D1587D" w:rsidRDefault="00D1587D">
            <w:pPr>
              <w:rPr>
                <w:sz w:val="23"/>
                <w:szCs w:val="23"/>
              </w:rPr>
            </w:pPr>
          </w:p>
        </w:tc>
        <w:tc>
          <w:tcPr>
            <w:tcW w:w="540" w:type="dxa"/>
            <w:vAlign w:val="bottom"/>
          </w:tcPr>
          <w:p w14:paraId="240D1D51" w14:textId="77777777" w:rsidR="00D1587D" w:rsidRDefault="00410D07">
            <w:pPr>
              <w:ind w:right="170"/>
              <w:jc w:val="right"/>
              <w:rPr>
                <w:sz w:val="20"/>
                <w:szCs w:val="20"/>
              </w:rPr>
            </w:pPr>
            <w:r>
              <w:rPr>
                <w:rFonts w:ascii="Arial" w:eastAsia="Arial" w:hAnsi="Arial" w:cs="Arial"/>
                <w:sz w:val="18"/>
                <w:szCs w:val="18"/>
              </w:rPr>
              <w:t>(4)</w:t>
            </w:r>
          </w:p>
        </w:tc>
        <w:tc>
          <w:tcPr>
            <w:tcW w:w="0" w:type="dxa"/>
            <w:vAlign w:val="bottom"/>
          </w:tcPr>
          <w:p w14:paraId="262A6B98" w14:textId="77777777" w:rsidR="00D1587D" w:rsidRDefault="00D1587D">
            <w:pPr>
              <w:rPr>
                <w:sz w:val="1"/>
                <w:szCs w:val="1"/>
              </w:rPr>
            </w:pPr>
          </w:p>
        </w:tc>
      </w:tr>
      <w:tr w:rsidR="00D1587D" w14:paraId="6329780B" w14:textId="77777777">
        <w:trPr>
          <w:trHeight w:val="54"/>
        </w:trPr>
        <w:tc>
          <w:tcPr>
            <w:tcW w:w="5300" w:type="dxa"/>
            <w:vAlign w:val="bottom"/>
          </w:tcPr>
          <w:p w14:paraId="5928EB30" w14:textId="77777777" w:rsidR="00D1587D" w:rsidRDefault="00D1587D">
            <w:pPr>
              <w:rPr>
                <w:sz w:val="4"/>
                <w:szCs w:val="4"/>
              </w:rPr>
            </w:pPr>
          </w:p>
        </w:tc>
        <w:tc>
          <w:tcPr>
            <w:tcW w:w="440" w:type="dxa"/>
            <w:vAlign w:val="bottom"/>
          </w:tcPr>
          <w:p w14:paraId="11D372BF" w14:textId="77777777" w:rsidR="00D1587D" w:rsidRDefault="00D1587D">
            <w:pPr>
              <w:rPr>
                <w:sz w:val="4"/>
                <w:szCs w:val="4"/>
              </w:rPr>
            </w:pPr>
          </w:p>
        </w:tc>
        <w:tc>
          <w:tcPr>
            <w:tcW w:w="540" w:type="dxa"/>
            <w:vAlign w:val="bottom"/>
          </w:tcPr>
          <w:p w14:paraId="77E5C8D9" w14:textId="77777777" w:rsidR="00D1587D" w:rsidRDefault="00D1587D">
            <w:pPr>
              <w:rPr>
                <w:sz w:val="4"/>
                <w:szCs w:val="4"/>
              </w:rPr>
            </w:pPr>
          </w:p>
        </w:tc>
        <w:tc>
          <w:tcPr>
            <w:tcW w:w="120" w:type="dxa"/>
            <w:vAlign w:val="bottom"/>
          </w:tcPr>
          <w:p w14:paraId="45572744" w14:textId="77777777" w:rsidR="00D1587D" w:rsidRDefault="00D1587D">
            <w:pPr>
              <w:rPr>
                <w:sz w:val="4"/>
                <w:szCs w:val="4"/>
              </w:rPr>
            </w:pPr>
          </w:p>
        </w:tc>
        <w:tc>
          <w:tcPr>
            <w:tcW w:w="960" w:type="dxa"/>
            <w:vAlign w:val="bottom"/>
          </w:tcPr>
          <w:p w14:paraId="3B8A2E0D" w14:textId="77777777" w:rsidR="00D1587D" w:rsidRDefault="00D1587D">
            <w:pPr>
              <w:rPr>
                <w:sz w:val="4"/>
                <w:szCs w:val="4"/>
              </w:rPr>
            </w:pPr>
          </w:p>
        </w:tc>
        <w:tc>
          <w:tcPr>
            <w:tcW w:w="80" w:type="dxa"/>
            <w:vAlign w:val="bottom"/>
          </w:tcPr>
          <w:p w14:paraId="3F15741A" w14:textId="77777777" w:rsidR="00D1587D" w:rsidRDefault="00D1587D">
            <w:pPr>
              <w:rPr>
                <w:sz w:val="4"/>
                <w:szCs w:val="4"/>
              </w:rPr>
            </w:pPr>
          </w:p>
        </w:tc>
        <w:tc>
          <w:tcPr>
            <w:tcW w:w="440" w:type="dxa"/>
            <w:vAlign w:val="bottom"/>
          </w:tcPr>
          <w:p w14:paraId="3513D8F2" w14:textId="77777777" w:rsidR="00D1587D" w:rsidRDefault="00D1587D">
            <w:pPr>
              <w:rPr>
                <w:sz w:val="4"/>
                <w:szCs w:val="4"/>
              </w:rPr>
            </w:pPr>
          </w:p>
        </w:tc>
        <w:tc>
          <w:tcPr>
            <w:tcW w:w="540" w:type="dxa"/>
            <w:vAlign w:val="bottom"/>
          </w:tcPr>
          <w:p w14:paraId="55768B0A" w14:textId="77777777" w:rsidR="00D1587D" w:rsidRDefault="00D1587D">
            <w:pPr>
              <w:rPr>
                <w:sz w:val="4"/>
                <w:szCs w:val="4"/>
              </w:rPr>
            </w:pPr>
          </w:p>
        </w:tc>
        <w:tc>
          <w:tcPr>
            <w:tcW w:w="0" w:type="dxa"/>
            <w:vAlign w:val="bottom"/>
          </w:tcPr>
          <w:p w14:paraId="3FC0D147" w14:textId="77777777" w:rsidR="00D1587D" w:rsidRDefault="00D1587D">
            <w:pPr>
              <w:rPr>
                <w:sz w:val="1"/>
                <w:szCs w:val="1"/>
              </w:rPr>
            </w:pPr>
          </w:p>
        </w:tc>
      </w:tr>
      <w:tr w:rsidR="00D1587D" w14:paraId="70BB8F44" w14:textId="77777777">
        <w:trPr>
          <w:trHeight w:val="256"/>
        </w:trPr>
        <w:tc>
          <w:tcPr>
            <w:tcW w:w="5300" w:type="dxa"/>
            <w:shd w:val="clear" w:color="auto" w:fill="CCEEFF"/>
            <w:vAlign w:val="bottom"/>
          </w:tcPr>
          <w:p w14:paraId="48EF2360" w14:textId="77777777" w:rsidR="00D1587D" w:rsidRDefault="00410D07">
            <w:pPr>
              <w:rPr>
                <w:sz w:val="20"/>
                <w:szCs w:val="20"/>
              </w:rPr>
            </w:pPr>
            <w:r>
              <w:rPr>
                <w:rFonts w:ascii="Arial" w:eastAsia="Arial" w:hAnsi="Arial" w:cs="Arial"/>
                <w:sz w:val="18"/>
                <w:szCs w:val="18"/>
              </w:rPr>
              <w:t>Amounts Reclassified from Accumulated Other Comprehensive</w:t>
            </w:r>
          </w:p>
        </w:tc>
        <w:tc>
          <w:tcPr>
            <w:tcW w:w="440" w:type="dxa"/>
            <w:shd w:val="clear" w:color="auto" w:fill="CCEEFF"/>
            <w:vAlign w:val="bottom"/>
          </w:tcPr>
          <w:p w14:paraId="192CEA80" w14:textId="77777777" w:rsidR="00D1587D" w:rsidRDefault="00D1587D"/>
        </w:tc>
        <w:tc>
          <w:tcPr>
            <w:tcW w:w="540" w:type="dxa"/>
            <w:shd w:val="clear" w:color="auto" w:fill="CCEEFF"/>
            <w:vAlign w:val="bottom"/>
          </w:tcPr>
          <w:p w14:paraId="6B2CF50F" w14:textId="77777777" w:rsidR="00D1587D" w:rsidRDefault="00D1587D"/>
        </w:tc>
        <w:tc>
          <w:tcPr>
            <w:tcW w:w="120" w:type="dxa"/>
            <w:shd w:val="clear" w:color="auto" w:fill="CCEEFF"/>
            <w:vAlign w:val="bottom"/>
          </w:tcPr>
          <w:p w14:paraId="36C22202" w14:textId="77777777" w:rsidR="00D1587D" w:rsidRDefault="00D1587D"/>
        </w:tc>
        <w:tc>
          <w:tcPr>
            <w:tcW w:w="960" w:type="dxa"/>
            <w:shd w:val="clear" w:color="auto" w:fill="CCEEFF"/>
            <w:vAlign w:val="bottom"/>
          </w:tcPr>
          <w:p w14:paraId="509F6D62" w14:textId="77777777" w:rsidR="00D1587D" w:rsidRDefault="00D1587D"/>
        </w:tc>
        <w:tc>
          <w:tcPr>
            <w:tcW w:w="80" w:type="dxa"/>
            <w:shd w:val="clear" w:color="auto" w:fill="CCEEFF"/>
            <w:vAlign w:val="bottom"/>
          </w:tcPr>
          <w:p w14:paraId="0F342D75" w14:textId="77777777" w:rsidR="00D1587D" w:rsidRDefault="00D1587D"/>
        </w:tc>
        <w:tc>
          <w:tcPr>
            <w:tcW w:w="440" w:type="dxa"/>
            <w:shd w:val="clear" w:color="auto" w:fill="CCEEFF"/>
            <w:vAlign w:val="bottom"/>
          </w:tcPr>
          <w:p w14:paraId="5FC0A7B6" w14:textId="77777777" w:rsidR="00D1587D" w:rsidRDefault="00D1587D"/>
        </w:tc>
        <w:tc>
          <w:tcPr>
            <w:tcW w:w="540" w:type="dxa"/>
            <w:shd w:val="clear" w:color="auto" w:fill="CCEEFF"/>
            <w:vAlign w:val="bottom"/>
          </w:tcPr>
          <w:p w14:paraId="7CEED285" w14:textId="77777777" w:rsidR="00D1587D" w:rsidRDefault="00D1587D"/>
        </w:tc>
        <w:tc>
          <w:tcPr>
            <w:tcW w:w="0" w:type="dxa"/>
            <w:vAlign w:val="bottom"/>
          </w:tcPr>
          <w:p w14:paraId="710F3D9C" w14:textId="77777777" w:rsidR="00D1587D" w:rsidRDefault="00D1587D">
            <w:pPr>
              <w:rPr>
                <w:sz w:val="1"/>
                <w:szCs w:val="1"/>
              </w:rPr>
            </w:pPr>
          </w:p>
        </w:tc>
      </w:tr>
      <w:tr w:rsidR="00D1587D" w14:paraId="606482A1" w14:textId="77777777">
        <w:trPr>
          <w:trHeight w:val="264"/>
        </w:trPr>
        <w:tc>
          <w:tcPr>
            <w:tcW w:w="5300" w:type="dxa"/>
            <w:tcBorders>
              <w:bottom w:val="single" w:sz="8" w:space="0" w:color="CCEEFF"/>
            </w:tcBorders>
            <w:shd w:val="clear" w:color="auto" w:fill="CCEEFF"/>
            <w:vAlign w:val="bottom"/>
          </w:tcPr>
          <w:p w14:paraId="66741ECF" w14:textId="77777777" w:rsidR="00D1587D" w:rsidRDefault="00410D07">
            <w:pPr>
              <w:ind w:left="180"/>
              <w:rPr>
                <w:sz w:val="20"/>
                <w:szCs w:val="20"/>
              </w:rPr>
            </w:pPr>
            <w:r>
              <w:rPr>
                <w:rFonts w:ascii="Arial" w:eastAsia="Arial" w:hAnsi="Arial" w:cs="Arial"/>
                <w:sz w:val="18"/>
                <w:szCs w:val="18"/>
              </w:rPr>
              <w:t>Income</w:t>
            </w:r>
          </w:p>
        </w:tc>
        <w:tc>
          <w:tcPr>
            <w:tcW w:w="440" w:type="dxa"/>
            <w:tcBorders>
              <w:bottom w:val="single" w:sz="8" w:space="0" w:color="CCEEFF"/>
            </w:tcBorders>
            <w:shd w:val="clear" w:color="auto" w:fill="CCEEFF"/>
            <w:vAlign w:val="bottom"/>
          </w:tcPr>
          <w:p w14:paraId="0FCED5D3" w14:textId="77777777" w:rsidR="00D1587D" w:rsidRDefault="00D1587D"/>
        </w:tc>
        <w:tc>
          <w:tcPr>
            <w:tcW w:w="540" w:type="dxa"/>
            <w:tcBorders>
              <w:bottom w:val="single" w:sz="8" w:space="0" w:color="CCEEFF"/>
            </w:tcBorders>
            <w:shd w:val="clear" w:color="auto" w:fill="CCEEFF"/>
            <w:vAlign w:val="bottom"/>
          </w:tcPr>
          <w:p w14:paraId="0CEDC557" w14:textId="77777777" w:rsidR="00D1587D" w:rsidRDefault="00410D07">
            <w:pPr>
              <w:ind w:right="250"/>
              <w:jc w:val="right"/>
              <w:rPr>
                <w:sz w:val="20"/>
                <w:szCs w:val="20"/>
              </w:rPr>
            </w:pPr>
            <w:r>
              <w:rPr>
                <w:rFonts w:ascii="Arial" w:eastAsia="Arial" w:hAnsi="Arial" w:cs="Arial"/>
                <w:w w:val="89"/>
                <w:sz w:val="18"/>
                <w:szCs w:val="18"/>
              </w:rPr>
              <w:t>36</w:t>
            </w:r>
          </w:p>
        </w:tc>
        <w:tc>
          <w:tcPr>
            <w:tcW w:w="120" w:type="dxa"/>
            <w:tcBorders>
              <w:bottom w:val="single" w:sz="8" w:space="0" w:color="CCEEFF"/>
            </w:tcBorders>
            <w:shd w:val="clear" w:color="auto" w:fill="CCEEFF"/>
            <w:vAlign w:val="bottom"/>
          </w:tcPr>
          <w:p w14:paraId="18B84B3D" w14:textId="77777777" w:rsidR="00D1587D" w:rsidRDefault="00D1587D"/>
        </w:tc>
        <w:tc>
          <w:tcPr>
            <w:tcW w:w="960" w:type="dxa"/>
            <w:tcBorders>
              <w:bottom w:val="single" w:sz="8" w:space="0" w:color="CCEEFF"/>
            </w:tcBorders>
            <w:shd w:val="clear" w:color="auto" w:fill="CCEEFF"/>
            <w:vAlign w:val="bottom"/>
          </w:tcPr>
          <w:p w14:paraId="712B1236" w14:textId="77777777" w:rsidR="00D1587D" w:rsidRDefault="00410D07">
            <w:pPr>
              <w:ind w:right="276"/>
              <w:jc w:val="right"/>
              <w:rPr>
                <w:sz w:val="20"/>
                <w:szCs w:val="20"/>
              </w:rPr>
            </w:pPr>
            <w:r>
              <w:rPr>
                <w:rFonts w:ascii="Arial" w:eastAsia="Arial" w:hAnsi="Arial" w:cs="Arial"/>
                <w:sz w:val="18"/>
                <w:szCs w:val="18"/>
              </w:rPr>
              <w:t>1</w:t>
            </w:r>
          </w:p>
        </w:tc>
        <w:tc>
          <w:tcPr>
            <w:tcW w:w="80" w:type="dxa"/>
            <w:tcBorders>
              <w:bottom w:val="single" w:sz="8" w:space="0" w:color="CCEEFF"/>
            </w:tcBorders>
            <w:shd w:val="clear" w:color="auto" w:fill="CCEEFF"/>
            <w:vAlign w:val="bottom"/>
          </w:tcPr>
          <w:p w14:paraId="1C66A485" w14:textId="77777777" w:rsidR="00D1587D" w:rsidRDefault="00D1587D"/>
        </w:tc>
        <w:tc>
          <w:tcPr>
            <w:tcW w:w="440" w:type="dxa"/>
            <w:tcBorders>
              <w:bottom w:val="single" w:sz="8" w:space="0" w:color="CCEEFF"/>
            </w:tcBorders>
            <w:shd w:val="clear" w:color="auto" w:fill="CCEEFF"/>
            <w:vAlign w:val="bottom"/>
          </w:tcPr>
          <w:p w14:paraId="28C24262" w14:textId="77777777" w:rsidR="00D1587D" w:rsidRDefault="00D1587D"/>
        </w:tc>
        <w:tc>
          <w:tcPr>
            <w:tcW w:w="540" w:type="dxa"/>
            <w:tcBorders>
              <w:bottom w:val="single" w:sz="8" w:space="0" w:color="CCEEFF"/>
            </w:tcBorders>
            <w:shd w:val="clear" w:color="auto" w:fill="CCEEFF"/>
            <w:vAlign w:val="bottom"/>
          </w:tcPr>
          <w:p w14:paraId="3F7968B1" w14:textId="77777777" w:rsidR="00D1587D" w:rsidRDefault="00410D07">
            <w:pPr>
              <w:ind w:right="230"/>
              <w:jc w:val="right"/>
              <w:rPr>
                <w:sz w:val="20"/>
                <w:szCs w:val="20"/>
              </w:rPr>
            </w:pPr>
            <w:r>
              <w:rPr>
                <w:rFonts w:ascii="Arial" w:eastAsia="Arial" w:hAnsi="Arial" w:cs="Arial"/>
                <w:w w:val="99"/>
                <w:sz w:val="18"/>
                <w:szCs w:val="18"/>
              </w:rPr>
              <w:t>37</w:t>
            </w:r>
          </w:p>
        </w:tc>
        <w:tc>
          <w:tcPr>
            <w:tcW w:w="0" w:type="dxa"/>
            <w:vAlign w:val="bottom"/>
          </w:tcPr>
          <w:p w14:paraId="2FB225E5" w14:textId="77777777" w:rsidR="00D1587D" w:rsidRDefault="00D1587D">
            <w:pPr>
              <w:rPr>
                <w:sz w:val="1"/>
                <w:szCs w:val="1"/>
              </w:rPr>
            </w:pPr>
          </w:p>
        </w:tc>
      </w:tr>
      <w:tr w:rsidR="00D1587D" w14:paraId="64BB57FD" w14:textId="77777777">
        <w:trPr>
          <w:trHeight w:val="270"/>
        </w:trPr>
        <w:tc>
          <w:tcPr>
            <w:tcW w:w="5300" w:type="dxa"/>
            <w:vAlign w:val="bottom"/>
          </w:tcPr>
          <w:p w14:paraId="0AF43C6C" w14:textId="77777777" w:rsidR="00D1587D" w:rsidRDefault="00410D07">
            <w:pPr>
              <w:rPr>
                <w:sz w:val="20"/>
                <w:szCs w:val="20"/>
              </w:rPr>
            </w:pPr>
            <w:r>
              <w:rPr>
                <w:rFonts w:ascii="Arial" w:eastAsia="Arial" w:hAnsi="Arial" w:cs="Arial"/>
                <w:sz w:val="18"/>
                <w:szCs w:val="18"/>
              </w:rPr>
              <w:t>Tax Effect</w:t>
            </w:r>
          </w:p>
        </w:tc>
        <w:tc>
          <w:tcPr>
            <w:tcW w:w="440" w:type="dxa"/>
            <w:vAlign w:val="bottom"/>
          </w:tcPr>
          <w:p w14:paraId="56BEBE38" w14:textId="77777777" w:rsidR="00D1587D" w:rsidRDefault="00D1587D">
            <w:pPr>
              <w:rPr>
                <w:sz w:val="23"/>
                <w:szCs w:val="23"/>
              </w:rPr>
            </w:pPr>
          </w:p>
        </w:tc>
        <w:tc>
          <w:tcPr>
            <w:tcW w:w="660" w:type="dxa"/>
            <w:gridSpan w:val="2"/>
            <w:vAlign w:val="bottom"/>
          </w:tcPr>
          <w:p w14:paraId="6E945304" w14:textId="77777777" w:rsidR="00D1587D" w:rsidRDefault="00410D07">
            <w:pPr>
              <w:ind w:right="460"/>
              <w:jc w:val="right"/>
              <w:rPr>
                <w:sz w:val="20"/>
                <w:szCs w:val="20"/>
              </w:rPr>
            </w:pPr>
            <w:r>
              <w:rPr>
                <w:rFonts w:ascii="Arial" w:eastAsia="Arial" w:hAnsi="Arial" w:cs="Arial"/>
                <w:w w:val="99"/>
                <w:sz w:val="18"/>
                <w:szCs w:val="18"/>
              </w:rPr>
              <w:t>—</w:t>
            </w:r>
          </w:p>
        </w:tc>
        <w:tc>
          <w:tcPr>
            <w:tcW w:w="1040" w:type="dxa"/>
            <w:gridSpan w:val="2"/>
            <w:vAlign w:val="bottom"/>
          </w:tcPr>
          <w:p w14:paraId="4B41B724" w14:textId="77777777" w:rsidR="00D1587D" w:rsidRDefault="00410D07">
            <w:pPr>
              <w:ind w:right="440"/>
              <w:jc w:val="right"/>
              <w:rPr>
                <w:sz w:val="20"/>
                <w:szCs w:val="20"/>
              </w:rPr>
            </w:pPr>
            <w:r>
              <w:rPr>
                <w:rFonts w:ascii="Arial" w:eastAsia="Arial" w:hAnsi="Arial" w:cs="Arial"/>
                <w:sz w:val="18"/>
                <w:szCs w:val="18"/>
              </w:rPr>
              <w:t>—</w:t>
            </w:r>
          </w:p>
        </w:tc>
        <w:tc>
          <w:tcPr>
            <w:tcW w:w="440" w:type="dxa"/>
            <w:vAlign w:val="bottom"/>
          </w:tcPr>
          <w:p w14:paraId="331BAF21" w14:textId="77777777" w:rsidR="00D1587D" w:rsidRDefault="00D1587D">
            <w:pPr>
              <w:rPr>
                <w:sz w:val="23"/>
                <w:szCs w:val="23"/>
              </w:rPr>
            </w:pPr>
          </w:p>
        </w:tc>
        <w:tc>
          <w:tcPr>
            <w:tcW w:w="540" w:type="dxa"/>
            <w:vAlign w:val="bottom"/>
          </w:tcPr>
          <w:p w14:paraId="481A50AA" w14:textId="77777777" w:rsidR="00D1587D" w:rsidRDefault="00410D07">
            <w:pPr>
              <w:ind w:right="230"/>
              <w:jc w:val="right"/>
              <w:rPr>
                <w:sz w:val="20"/>
                <w:szCs w:val="20"/>
              </w:rPr>
            </w:pPr>
            <w:r>
              <w:rPr>
                <w:rFonts w:ascii="Arial" w:eastAsia="Arial" w:hAnsi="Arial" w:cs="Arial"/>
                <w:sz w:val="18"/>
                <w:szCs w:val="18"/>
              </w:rPr>
              <w:t>—</w:t>
            </w:r>
          </w:p>
        </w:tc>
        <w:tc>
          <w:tcPr>
            <w:tcW w:w="0" w:type="dxa"/>
            <w:vAlign w:val="bottom"/>
          </w:tcPr>
          <w:p w14:paraId="34957522" w14:textId="77777777" w:rsidR="00D1587D" w:rsidRDefault="00D1587D">
            <w:pPr>
              <w:rPr>
                <w:sz w:val="1"/>
                <w:szCs w:val="1"/>
              </w:rPr>
            </w:pPr>
          </w:p>
        </w:tc>
      </w:tr>
      <w:tr w:rsidR="00D1587D" w14:paraId="75D9A983" w14:textId="77777777">
        <w:trPr>
          <w:trHeight w:val="68"/>
        </w:trPr>
        <w:tc>
          <w:tcPr>
            <w:tcW w:w="5300" w:type="dxa"/>
            <w:tcBorders>
              <w:bottom w:val="single" w:sz="8" w:space="0" w:color="CCEEFF"/>
            </w:tcBorders>
            <w:vAlign w:val="bottom"/>
          </w:tcPr>
          <w:p w14:paraId="022B7F6C" w14:textId="77777777" w:rsidR="00D1587D" w:rsidRDefault="00D1587D">
            <w:pPr>
              <w:rPr>
                <w:sz w:val="5"/>
                <w:szCs w:val="5"/>
              </w:rPr>
            </w:pPr>
          </w:p>
        </w:tc>
        <w:tc>
          <w:tcPr>
            <w:tcW w:w="440" w:type="dxa"/>
            <w:tcBorders>
              <w:bottom w:val="single" w:sz="8" w:space="0" w:color="auto"/>
            </w:tcBorders>
            <w:vAlign w:val="bottom"/>
          </w:tcPr>
          <w:p w14:paraId="59C40509" w14:textId="77777777" w:rsidR="00D1587D" w:rsidRDefault="00D1587D">
            <w:pPr>
              <w:rPr>
                <w:sz w:val="5"/>
                <w:szCs w:val="5"/>
              </w:rPr>
            </w:pPr>
          </w:p>
        </w:tc>
        <w:tc>
          <w:tcPr>
            <w:tcW w:w="540" w:type="dxa"/>
            <w:tcBorders>
              <w:bottom w:val="single" w:sz="8" w:space="0" w:color="auto"/>
            </w:tcBorders>
            <w:vAlign w:val="bottom"/>
          </w:tcPr>
          <w:p w14:paraId="500209F4" w14:textId="77777777" w:rsidR="00D1587D" w:rsidRDefault="00D1587D">
            <w:pPr>
              <w:rPr>
                <w:sz w:val="5"/>
                <w:szCs w:val="5"/>
              </w:rPr>
            </w:pPr>
          </w:p>
        </w:tc>
        <w:tc>
          <w:tcPr>
            <w:tcW w:w="120" w:type="dxa"/>
            <w:tcBorders>
              <w:bottom w:val="single" w:sz="8" w:space="0" w:color="CCEEFF"/>
            </w:tcBorders>
            <w:vAlign w:val="bottom"/>
          </w:tcPr>
          <w:p w14:paraId="7944C4C2" w14:textId="77777777" w:rsidR="00D1587D" w:rsidRDefault="00D1587D">
            <w:pPr>
              <w:rPr>
                <w:sz w:val="5"/>
                <w:szCs w:val="5"/>
              </w:rPr>
            </w:pPr>
          </w:p>
        </w:tc>
        <w:tc>
          <w:tcPr>
            <w:tcW w:w="960" w:type="dxa"/>
            <w:tcBorders>
              <w:bottom w:val="single" w:sz="8" w:space="0" w:color="auto"/>
            </w:tcBorders>
            <w:vAlign w:val="bottom"/>
          </w:tcPr>
          <w:p w14:paraId="5E3D2EA0" w14:textId="77777777" w:rsidR="00D1587D" w:rsidRDefault="00D1587D">
            <w:pPr>
              <w:rPr>
                <w:sz w:val="5"/>
                <w:szCs w:val="5"/>
              </w:rPr>
            </w:pPr>
          </w:p>
        </w:tc>
        <w:tc>
          <w:tcPr>
            <w:tcW w:w="80" w:type="dxa"/>
            <w:tcBorders>
              <w:bottom w:val="single" w:sz="8" w:space="0" w:color="CCEEFF"/>
            </w:tcBorders>
            <w:vAlign w:val="bottom"/>
          </w:tcPr>
          <w:p w14:paraId="6C329C8B" w14:textId="77777777" w:rsidR="00D1587D" w:rsidRDefault="00D1587D">
            <w:pPr>
              <w:rPr>
                <w:sz w:val="5"/>
                <w:szCs w:val="5"/>
              </w:rPr>
            </w:pPr>
          </w:p>
        </w:tc>
        <w:tc>
          <w:tcPr>
            <w:tcW w:w="440" w:type="dxa"/>
            <w:tcBorders>
              <w:bottom w:val="single" w:sz="8" w:space="0" w:color="auto"/>
            </w:tcBorders>
            <w:vAlign w:val="bottom"/>
          </w:tcPr>
          <w:p w14:paraId="6CAC7A54" w14:textId="77777777" w:rsidR="00D1587D" w:rsidRDefault="00D1587D">
            <w:pPr>
              <w:rPr>
                <w:sz w:val="5"/>
                <w:szCs w:val="5"/>
              </w:rPr>
            </w:pPr>
          </w:p>
        </w:tc>
        <w:tc>
          <w:tcPr>
            <w:tcW w:w="540" w:type="dxa"/>
            <w:tcBorders>
              <w:bottom w:val="single" w:sz="8" w:space="0" w:color="auto"/>
            </w:tcBorders>
            <w:vAlign w:val="bottom"/>
          </w:tcPr>
          <w:p w14:paraId="2FDDCFD8" w14:textId="77777777" w:rsidR="00D1587D" w:rsidRDefault="00D1587D">
            <w:pPr>
              <w:rPr>
                <w:sz w:val="5"/>
                <w:szCs w:val="5"/>
              </w:rPr>
            </w:pPr>
          </w:p>
        </w:tc>
        <w:tc>
          <w:tcPr>
            <w:tcW w:w="0" w:type="dxa"/>
            <w:vAlign w:val="bottom"/>
          </w:tcPr>
          <w:p w14:paraId="6B7B5786" w14:textId="77777777" w:rsidR="00D1587D" w:rsidRDefault="00D1587D">
            <w:pPr>
              <w:rPr>
                <w:sz w:val="1"/>
                <w:szCs w:val="1"/>
              </w:rPr>
            </w:pPr>
          </w:p>
        </w:tc>
      </w:tr>
      <w:tr w:rsidR="00D1587D" w14:paraId="57DBFA23" w14:textId="77777777">
        <w:trPr>
          <w:trHeight w:val="277"/>
        </w:trPr>
        <w:tc>
          <w:tcPr>
            <w:tcW w:w="5300" w:type="dxa"/>
            <w:shd w:val="clear" w:color="auto" w:fill="CCEEFF"/>
            <w:vAlign w:val="bottom"/>
          </w:tcPr>
          <w:p w14:paraId="3A48EDEB" w14:textId="77777777" w:rsidR="00D1587D" w:rsidRDefault="00410D07">
            <w:pPr>
              <w:rPr>
                <w:sz w:val="20"/>
                <w:szCs w:val="20"/>
              </w:rPr>
            </w:pPr>
            <w:r>
              <w:rPr>
                <w:rFonts w:ascii="Arial" w:eastAsia="Arial" w:hAnsi="Arial" w:cs="Arial"/>
                <w:sz w:val="18"/>
                <w:szCs w:val="18"/>
              </w:rPr>
              <w:t>Current-period Other Comprehensive Income</w:t>
            </w:r>
          </w:p>
        </w:tc>
        <w:tc>
          <w:tcPr>
            <w:tcW w:w="440" w:type="dxa"/>
            <w:shd w:val="clear" w:color="auto" w:fill="CCEEFF"/>
            <w:vAlign w:val="bottom"/>
          </w:tcPr>
          <w:p w14:paraId="1ADC166F" w14:textId="77777777" w:rsidR="00D1587D" w:rsidRDefault="00D1587D">
            <w:pPr>
              <w:rPr>
                <w:sz w:val="24"/>
                <w:szCs w:val="24"/>
              </w:rPr>
            </w:pPr>
          </w:p>
        </w:tc>
        <w:tc>
          <w:tcPr>
            <w:tcW w:w="540" w:type="dxa"/>
            <w:shd w:val="clear" w:color="auto" w:fill="CCEEFF"/>
            <w:vAlign w:val="bottom"/>
          </w:tcPr>
          <w:p w14:paraId="08554D6F" w14:textId="77777777" w:rsidR="00D1587D" w:rsidRDefault="00410D07">
            <w:pPr>
              <w:ind w:right="250"/>
              <w:jc w:val="right"/>
              <w:rPr>
                <w:sz w:val="20"/>
                <w:szCs w:val="20"/>
              </w:rPr>
            </w:pPr>
            <w:r>
              <w:rPr>
                <w:rFonts w:ascii="Arial" w:eastAsia="Arial" w:hAnsi="Arial" w:cs="Arial"/>
                <w:w w:val="89"/>
                <w:sz w:val="18"/>
                <w:szCs w:val="18"/>
              </w:rPr>
              <w:t>33</w:t>
            </w:r>
          </w:p>
        </w:tc>
        <w:tc>
          <w:tcPr>
            <w:tcW w:w="120" w:type="dxa"/>
            <w:shd w:val="clear" w:color="auto" w:fill="CCEEFF"/>
            <w:vAlign w:val="bottom"/>
          </w:tcPr>
          <w:p w14:paraId="4B885C23" w14:textId="77777777" w:rsidR="00D1587D" w:rsidRDefault="00D1587D">
            <w:pPr>
              <w:rPr>
                <w:sz w:val="24"/>
                <w:szCs w:val="24"/>
              </w:rPr>
            </w:pPr>
          </w:p>
        </w:tc>
        <w:tc>
          <w:tcPr>
            <w:tcW w:w="1040" w:type="dxa"/>
            <w:gridSpan w:val="2"/>
            <w:shd w:val="clear" w:color="auto" w:fill="CCEEFF"/>
            <w:vAlign w:val="bottom"/>
          </w:tcPr>
          <w:p w14:paraId="49438920" w14:textId="77777777" w:rsidR="00D1587D" w:rsidRDefault="00410D07">
            <w:pPr>
              <w:ind w:right="440"/>
              <w:jc w:val="right"/>
              <w:rPr>
                <w:sz w:val="20"/>
                <w:szCs w:val="20"/>
              </w:rPr>
            </w:pPr>
            <w:r>
              <w:rPr>
                <w:rFonts w:ascii="Arial" w:eastAsia="Arial" w:hAnsi="Arial" w:cs="Arial"/>
                <w:sz w:val="18"/>
                <w:szCs w:val="18"/>
              </w:rPr>
              <w:t>—</w:t>
            </w:r>
          </w:p>
        </w:tc>
        <w:tc>
          <w:tcPr>
            <w:tcW w:w="440" w:type="dxa"/>
            <w:shd w:val="clear" w:color="auto" w:fill="CCEEFF"/>
            <w:vAlign w:val="bottom"/>
          </w:tcPr>
          <w:p w14:paraId="3EF0655F" w14:textId="77777777" w:rsidR="00D1587D" w:rsidRDefault="00D1587D">
            <w:pPr>
              <w:rPr>
                <w:sz w:val="24"/>
                <w:szCs w:val="24"/>
              </w:rPr>
            </w:pPr>
          </w:p>
        </w:tc>
        <w:tc>
          <w:tcPr>
            <w:tcW w:w="540" w:type="dxa"/>
            <w:shd w:val="clear" w:color="auto" w:fill="CCEEFF"/>
            <w:vAlign w:val="bottom"/>
          </w:tcPr>
          <w:p w14:paraId="276DB1B3" w14:textId="77777777" w:rsidR="00D1587D" w:rsidRDefault="00410D07">
            <w:pPr>
              <w:ind w:right="230"/>
              <w:jc w:val="right"/>
              <w:rPr>
                <w:sz w:val="20"/>
                <w:szCs w:val="20"/>
              </w:rPr>
            </w:pPr>
            <w:r>
              <w:rPr>
                <w:rFonts w:ascii="Arial" w:eastAsia="Arial" w:hAnsi="Arial" w:cs="Arial"/>
                <w:w w:val="99"/>
                <w:sz w:val="18"/>
                <w:szCs w:val="18"/>
              </w:rPr>
              <w:t>33</w:t>
            </w:r>
          </w:p>
        </w:tc>
        <w:tc>
          <w:tcPr>
            <w:tcW w:w="0" w:type="dxa"/>
            <w:vAlign w:val="bottom"/>
          </w:tcPr>
          <w:p w14:paraId="3646DEBE" w14:textId="77777777" w:rsidR="00D1587D" w:rsidRDefault="00D1587D">
            <w:pPr>
              <w:rPr>
                <w:sz w:val="1"/>
                <w:szCs w:val="1"/>
              </w:rPr>
            </w:pPr>
          </w:p>
        </w:tc>
      </w:tr>
      <w:tr w:rsidR="00D1587D" w14:paraId="0BB70D97" w14:textId="77777777">
        <w:trPr>
          <w:trHeight w:val="68"/>
        </w:trPr>
        <w:tc>
          <w:tcPr>
            <w:tcW w:w="5300" w:type="dxa"/>
            <w:shd w:val="clear" w:color="auto" w:fill="CCEEFF"/>
            <w:vAlign w:val="bottom"/>
          </w:tcPr>
          <w:p w14:paraId="2D17E5C3" w14:textId="77777777" w:rsidR="00D1587D" w:rsidRDefault="00D1587D">
            <w:pPr>
              <w:rPr>
                <w:sz w:val="5"/>
                <w:szCs w:val="5"/>
              </w:rPr>
            </w:pPr>
          </w:p>
        </w:tc>
        <w:tc>
          <w:tcPr>
            <w:tcW w:w="440" w:type="dxa"/>
            <w:tcBorders>
              <w:bottom w:val="single" w:sz="8" w:space="0" w:color="auto"/>
            </w:tcBorders>
            <w:shd w:val="clear" w:color="auto" w:fill="CCEEFF"/>
            <w:vAlign w:val="bottom"/>
          </w:tcPr>
          <w:p w14:paraId="08D6238A" w14:textId="77777777" w:rsidR="00D1587D" w:rsidRDefault="00D1587D">
            <w:pPr>
              <w:rPr>
                <w:sz w:val="5"/>
                <w:szCs w:val="5"/>
              </w:rPr>
            </w:pPr>
          </w:p>
        </w:tc>
        <w:tc>
          <w:tcPr>
            <w:tcW w:w="540" w:type="dxa"/>
            <w:tcBorders>
              <w:bottom w:val="single" w:sz="8" w:space="0" w:color="auto"/>
            </w:tcBorders>
            <w:shd w:val="clear" w:color="auto" w:fill="CCEEFF"/>
            <w:vAlign w:val="bottom"/>
          </w:tcPr>
          <w:p w14:paraId="1A1E135E" w14:textId="77777777" w:rsidR="00D1587D" w:rsidRDefault="00D1587D">
            <w:pPr>
              <w:rPr>
                <w:sz w:val="5"/>
                <w:szCs w:val="5"/>
              </w:rPr>
            </w:pPr>
          </w:p>
        </w:tc>
        <w:tc>
          <w:tcPr>
            <w:tcW w:w="120" w:type="dxa"/>
            <w:tcBorders>
              <w:bottom w:val="single" w:sz="8" w:space="0" w:color="CCEEFF"/>
            </w:tcBorders>
            <w:shd w:val="clear" w:color="auto" w:fill="CCEEFF"/>
            <w:vAlign w:val="bottom"/>
          </w:tcPr>
          <w:p w14:paraId="0ED9B366" w14:textId="77777777" w:rsidR="00D1587D" w:rsidRDefault="00D1587D">
            <w:pPr>
              <w:rPr>
                <w:sz w:val="5"/>
                <w:szCs w:val="5"/>
              </w:rPr>
            </w:pPr>
          </w:p>
        </w:tc>
        <w:tc>
          <w:tcPr>
            <w:tcW w:w="960" w:type="dxa"/>
            <w:tcBorders>
              <w:bottom w:val="single" w:sz="8" w:space="0" w:color="auto"/>
            </w:tcBorders>
            <w:shd w:val="clear" w:color="auto" w:fill="CCEEFF"/>
            <w:vAlign w:val="bottom"/>
          </w:tcPr>
          <w:p w14:paraId="50C41703" w14:textId="77777777" w:rsidR="00D1587D" w:rsidRDefault="00D1587D">
            <w:pPr>
              <w:rPr>
                <w:sz w:val="5"/>
                <w:szCs w:val="5"/>
              </w:rPr>
            </w:pPr>
          </w:p>
        </w:tc>
        <w:tc>
          <w:tcPr>
            <w:tcW w:w="80" w:type="dxa"/>
            <w:tcBorders>
              <w:bottom w:val="single" w:sz="8" w:space="0" w:color="CCEEFF"/>
            </w:tcBorders>
            <w:shd w:val="clear" w:color="auto" w:fill="CCEEFF"/>
            <w:vAlign w:val="bottom"/>
          </w:tcPr>
          <w:p w14:paraId="0DB3A875" w14:textId="77777777" w:rsidR="00D1587D" w:rsidRDefault="00D1587D">
            <w:pPr>
              <w:rPr>
                <w:sz w:val="5"/>
                <w:szCs w:val="5"/>
              </w:rPr>
            </w:pPr>
          </w:p>
        </w:tc>
        <w:tc>
          <w:tcPr>
            <w:tcW w:w="440" w:type="dxa"/>
            <w:tcBorders>
              <w:bottom w:val="single" w:sz="8" w:space="0" w:color="auto"/>
            </w:tcBorders>
            <w:shd w:val="clear" w:color="auto" w:fill="CCEEFF"/>
            <w:vAlign w:val="bottom"/>
          </w:tcPr>
          <w:p w14:paraId="4052463A" w14:textId="77777777" w:rsidR="00D1587D" w:rsidRDefault="00D1587D">
            <w:pPr>
              <w:rPr>
                <w:sz w:val="5"/>
                <w:szCs w:val="5"/>
              </w:rPr>
            </w:pPr>
          </w:p>
        </w:tc>
        <w:tc>
          <w:tcPr>
            <w:tcW w:w="540" w:type="dxa"/>
            <w:tcBorders>
              <w:bottom w:val="single" w:sz="8" w:space="0" w:color="auto"/>
            </w:tcBorders>
            <w:shd w:val="clear" w:color="auto" w:fill="CCEEFF"/>
            <w:vAlign w:val="bottom"/>
          </w:tcPr>
          <w:p w14:paraId="2F5D01FA" w14:textId="77777777" w:rsidR="00D1587D" w:rsidRDefault="00D1587D">
            <w:pPr>
              <w:rPr>
                <w:sz w:val="5"/>
                <w:szCs w:val="5"/>
              </w:rPr>
            </w:pPr>
          </w:p>
        </w:tc>
        <w:tc>
          <w:tcPr>
            <w:tcW w:w="0" w:type="dxa"/>
            <w:vAlign w:val="bottom"/>
          </w:tcPr>
          <w:p w14:paraId="1E21A4AC" w14:textId="77777777" w:rsidR="00D1587D" w:rsidRDefault="00D1587D">
            <w:pPr>
              <w:rPr>
                <w:sz w:val="1"/>
                <w:szCs w:val="1"/>
              </w:rPr>
            </w:pPr>
          </w:p>
        </w:tc>
      </w:tr>
      <w:tr w:rsidR="00D1587D" w14:paraId="7E30332A" w14:textId="77777777">
        <w:trPr>
          <w:trHeight w:val="304"/>
        </w:trPr>
        <w:tc>
          <w:tcPr>
            <w:tcW w:w="5300" w:type="dxa"/>
            <w:vAlign w:val="bottom"/>
          </w:tcPr>
          <w:p w14:paraId="089108B0" w14:textId="77777777" w:rsidR="00D1587D" w:rsidRDefault="00410D07">
            <w:pPr>
              <w:rPr>
                <w:sz w:val="20"/>
                <w:szCs w:val="20"/>
              </w:rPr>
            </w:pPr>
            <w:r>
              <w:rPr>
                <w:rFonts w:ascii="Arial" w:eastAsia="Arial" w:hAnsi="Arial" w:cs="Arial"/>
                <w:sz w:val="18"/>
                <w:szCs w:val="18"/>
              </w:rPr>
              <w:t>Balance as of January 30, 2021</w:t>
            </w:r>
          </w:p>
        </w:tc>
        <w:tc>
          <w:tcPr>
            <w:tcW w:w="440" w:type="dxa"/>
            <w:vAlign w:val="bottom"/>
          </w:tcPr>
          <w:p w14:paraId="3F070F92" w14:textId="77777777" w:rsidR="00D1587D" w:rsidRDefault="00410D07">
            <w:pPr>
              <w:jc w:val="right"/>
              <w:rPr>
                <w:sz w:val="20"/>
                <w:szCs w:val="20"/>
              </w:rPr>
            </w:pPr>
            <w:r>
              <w:rPr>
                <w:rFonts w:ascii="Arial" w:eastAsia="Arial" w:hAnsi="Arial" w:cs="Arial"/>
                <w:sz w:val="18"/>
                <w:szCs w:val="18"/>
              </w:rPr>
              <w:t>$</w:t>
            </w:r>
          </w:p>
        </w:tc>
        <w:tc>
          <w:tcPr>
            <w:tcW w:w="540" w:type="dxa"/>
            <w:vAlign w:val="bottom"/>
          </w:tcPr>
          <w:p w14:paraId="0CED2065" w14:textId="77777777" w:rsidR="00D1587D" w:rsidRDefault="00410D07">
            <w:pPr>
              <w:ind w:right="250"/>
              <w:jc w:val="right"/>
              <w:rPr>
                <w:sz w:val="20"/>
                <w:szCs w:val="20"/>
              </w:rPr>
            </w:pPr>
            <w:r>
              <w:rPr>
                <w:rFonts w:ascii="Arial" w:eastAsia="Arial" w:hAnsi="Arial" w:cs="Arial"/>
                <w:sz w:val="18"/>
                <w:szCs w:val="18"/>
              </w:rPr>
              <w:t>4</w:t>
            </w:r>
          </w:p>
        </w:tc>
        <w:tc>
          <w:tcPr>
            <w:tcW w:w="120" w:type="dxa"/>
            <w:vAlign w:val="bottom"/>
          </w:tcPr>
          <w:p w14:paraId="000079B1" w14:textId="77777777" w:rsidR="00D1587D" w:rsidRDefault="00D1587D">
            <w:pPr>
              <w:rPr>
                <w:sz w:val="24"/>
                <w:szCs w:val="24"/>
              </w:rPr>
            </w:pPr>
          </w:p>
        </w:tc>
        <w:tc>
          <w:tcPr>
            <w:tcW w:w="1040" w:type="dxa"/>
            <w:gridSpan w:val="2"/>
            <w:vAlign w:val="bottom"/>
          </w:tcPr>
          <w:p w14:paraId="2D493B37" w14:textId="77777777" w:rsidR="00D1587D" w:rsidRDefault="00410D07">
            <w:pPr>
              <w:ind w:right="420"/>
              <w:jc w:val="right"/>
              <w:rPr>
                <w:sz w:val="20"/>
                <w:szCs w:val="20"/>
              </w:rPr>
            </w:pPr>
            <w:r>
              <w:rPr>
                <w:rFonts w:ascii="Arial" w:eastAsia="Arial" w:hAnsi="Arial" w:cs="Arial"/>
                <w:sz w:val="18"/>
                <w:szCs w:val="18"/>
              </w:rPr>
              <w:t>$—</w:t>
            </w:r>
          </w:p>
        </w:tc>
        <w:tc>
          <w:tcPr>
            <w:tcW w:w="440" w:type="dxa"/>
            <w:vAlign w:val="bottom"/>
          </w:tcPr>
          <w:p w14:paraId="6D71847F" w14:textId="77777777" w:rsidR="00D1587D" w:rsidRDefault="00410D07">
            <w:pPr>
              <w:jc w:val="right"/>
              <w:rPr>
                <w:sz w:val="20"/>
                <w:szCs w:val="20"/>
              </w:rPr>
            </w:pPr>
            <w:r>
              <w:rPr>
                <w:rFonts w:ascii="Arial" w:eastAsia="Arial" w:hAnsi="Arial" w:cs="Arial"/>
                <w:sz w:val="18"/>
                <w:szCs w:val="18"/>
              </w:rPr>
              <w:t>$</w:t>
            </w:r>
          </w:p>
        </w:tc>
        <w:tc>
          <w:tcPr>
            <w:tcW w:w="540" w:type="dxa"/>
            <w:vAlign w:val="bottom"/>
          </w:tcPr>
          <w:p w14:paraId="36F4E9C2" w14:textId="77777777" w:rsidR="00D1587D" w:rsidRDefault="00410D07">
            <w:pPr>
              <w:ind w:right="230"/>
              <w:jc w:val="right"/>
              <w:rPr>
                <w:sz w:val="20"/>
                <w:szCs w:val="20"/>
              </w:rPr>
            </w:pPr>
            <w:r>
              <w:rPr>
                <w:rFonts w:ascii="Arial" w:eastAsia="Arial" w:hAnsi="Arial" w:cs="Arial"/>
                <w:sz w:val="18"/>
                <w:szCs w:val="18"/>
              </w:rPr>
              <w:t>4</w:t>
            </w:r>
          </w:p>
        </w:tc>
        <w:tc>
          <w:tcPr>
            <w:tcW w:w="0" w:type="dxa"/>
            <w:vAlign w:val="bottom"/>
          </w:tcPr>
          <w:p w14:paraId="6CB8876C" w14:textId="77777777" w:rsidR="00D1587D" w:rsidRDefault="00D1587D">
            <w:pPr>
              <w:rPr>
                <w:sz w:val="1"/>
                <w:szCs w:val="1"/>
              </w:rPr>
            </w:pPr>
          </w:p>
        </w:tc>
      </w:tr>
      <w:tr w:rsidR="00D1587D" w14:paraId="4ED4E536" w14:textId="77777777">
        <w:trPr>
          <w:trHeight w:val="27"/>
        </w:trPr>
        <w:tc>
          <w:tcPr>
            <w:tcW w:w="5300" w:type="dxa"/>
            <w:vAlign w:val="bottom"/>
          </w:tcPr>
          <w:p w14:paraId="1A27D90E" w14:textId="77777777" w:rsidR="00D1587D" w:rsidRDefault="00D1587D">
            <w:pPr>
              <w:rPr>
                <w:sz w:val="2"/>
                <w:szCs w:val="2"/>
              </w:rPr>
            </w:pPr>
          </w:p>
        </w:tc>
        <w:tc>
          <w:tcPr>
            <w:tcW w:w="440" w:type="dxa"/>
            <w:tcBorders>
              <w:bottom w:val="single" w:sz="8" w:space="0" w:color="auto"/>
            </w:tcBorders>
            <w:vAlign w:val="bottom"/>
          </w:tcPr>
          <w:p w14:paraId="05BEBF3D" w14:textId="77777777" w:rsidR="00D1587D" w:rsidRDefault="00D1587D">
            <w:pPr>
              <w:rPr>
                <w:sz w:val="2"/>
                <w:szCs w:val="2"/>
              </w:rPr>
            </w:pPr>
          </w:p>
        </w:tc>
        <w:tc>
          <w:tcPr>
            <w:tcW w:w="540" w:type="dxa"/>
            <w:tcBorders>
              <w:bottom w:val="single" w:sz="8" w:space="0" w:color="auto"/>
            </w:tcBorders>
            <w:vAlign w:val="bottom"/>
          </w:tcPr>
          <w:p w14:paraId="01BB2FC7" w14:textId="77777777" w:rsidR="00D1587D" w:rsidRDefault="00D1587D">
            <w:pPr>
              <w:rPr>
                <w:sz w:val="2"/>
                <w:szCs w:val="2"/>
              </w:rPr>
            </w:pPr>
          </w:p>
        </w:tc>
        <w:tc>
          <w:tcPr>
            <w:tcW w:w="120" w:type="dxa"/>
            <w:vAlign w:val="bottom"/>
          </w:tcPr>
          <w:p w14:paraId="052483A5" w14:textId="77777777" w:rsidR="00D1587D" w:rsidRDefault="00D1587D">
            <w:pPr>
              <w:rPr>
                <w:sz w:val="2"/>
                <w:szCs w:val="2"/>
              </w:rPr>
            </w:pPr>
          </w:p>
        </w:tc>
        <w:tc>
          <w:tcPr>
            <w:tcW w:w="960" w:type="dxa"/>
            <w:tcBorders>
              <w:bottom w:val="single" w:sz="8" w:space="0" w:color="auto"/>
            </w:tcBorders>
            <w:vAlign w:val="bottom"/>
          </w:tcPr>
          <w:p w14:paraId="64DAF3B5" w14:textId="77777777" w:rsidR="00D1587D" w:rsidRDefault="00D1587D">
            <w:pPr>
              <w:rPr>
                <w:sz w:val="2"/>
                <w:szCs w:val="2"/>
              </w:rPr>
            </w:pPr>
          </w:p>
        </w:tc>
        <w:tc>
          <w:tcPr>
            <w:tcW w:w="80" w:type="dxa"/>
            <w:vAlign w:val="bottom"/>
          </w:tcPr>
          <w:p w14:paraId="3EC46260" w14:textId="77777777" w:rsidR="00D1587D" w:rsidRDefault="00D1587D">
            <w:pPr>
              <w:rPr>
                <w:sz w:val="2"/>
                <w:szCs w:val="2"/>
              </w:rPr>
            </w:pPr>
          </w:p>
        </w:tc>
        <w:tc>
          <w:tcPr>
            <w:tcW w:w="440" w:type="dxa"/>
            <w:tcBorders>
              <w:bottom w:val="single" w:sz="8" w:space="0" w:color="auto"/>
            </w:tcBorders>
            <w:vAlign w:val="bottom"/>
          </w:tcPr>
          <w:p w14:paraId="0EFEE28E" w14:textId="77777777" w:rsidR="00D1587D" w:rsidRDefault="00D1587D">
            <w:pPr>
              <w:rPr>
                <w:sz w:val="2"/>
                <w:szCs w:val="2"/>
              </w:rPr>
            </w:pPr>
          </w:p>
        </w:tc>
        <w:tc>
          <w:tcPr>
            <w:tcW w:w="540" w:type="dxa"/>
            <w:tcBorders>
              <w:bottom w:val="single" w:sz="8" w:space="0" w:color="auto"/>
            </w:tcBorders>
            <w:vAlign w:val="bottom"/>
          </w:tcPr>
          <w:p w14:paraId="634627B8" w14:textId="77777777" w:rsidR="00D1587D" w:rsidRDefault="00D1587D">
            <w:pPr>
              <w:rPr>
                <w:sz w:val="2"/>
                <w:szCs w:val="2"/>
              </w:rPr>
            </w:pPr>
          </w:p>
        </w:tc>
        <w:tc>
          <w:tcPr>
            <w:tcW w:w="0" w:type="dxa"/>
            <w:vAlign w:val="bottom"/>
          </w:tcPr>
          <w:p w14:paraId="156E9849" w14:textId="77777777" w:rsidR="00D1587D" w:rsidRDefault="00D1587D">
            <w:pPr>
              <w:rPr>
                <w:sz w:val="1"/>
                <w:szCs w:val="1"/>
              </w:rPr>
            </w:pPr>
          </w:p>
        </w:tc>
      </w:tr>
      <w:tr w:rsidR="00D1587D" w14:paraId="77EFF734" w14:textId="77777777">
        <w:trPr>
          <w:trHeight w:val="20"/>
        </w:trPr>
        <w:tc>
          <w:tcPr>
            <w:tcW w:w="5300" w:type="dxa"/>
            <w:vAlign w:val="bottom"/>
          </w:tcPr>
          <w:p w14:paraId="586A2766" w14:textId="77777777" w:rsidR="00D1587D" w:rsidRDefault="00D1587D">
            <w:pPr>
              <w:spacing w:line="20" w:lineRule="exact"/>
              <w:rPr>
                <w:sz w:val="1"/>
                <w:szCs w:val="1"/>
              </w:rPr>
            </w:pPr>
          </w:p>
        </w:tc>
        <w:tc>
          <w:tcPr>
            <w:tcW w:w="440" w:type="dxa"/>
            <w:tcBorders>
              <w:bottom w:val="single" w:sz="8" w:space="0" w:color="auto"/>
            </w:tcBorders>
            <w:vAlign w:val="bottom"/>
          </w:tcPr>
          <w:p w14:paraId="7B766BA3" w14:textId="77777777" w:rsidR="00D1587D" w:rsidRDefault="00D1587D">
            <w:pPr>
              <w:spacing w:line="20" w:lineRule="exact"/>
              <w:rPr>
                <w:sz w:val="1"/>
                <w:szCs w:val="1"/>
              </w:rPr>
            </w:pPr>
          </w:p>
        </w:tc>
        <w:tc>
          <w:tcPr>
            <w:tcW w:w="540" w:type="dxa"/>
            <w:tcBorders>
              <w:bottom w:val="single" w:sz="8" w:space="0" w:color="auto"/>
            </w:tcBorders>
            <w:vAlign w:val="bottom"/>
          </w:tcPr>
          <w:p w14:paraId="090C4886" w14:textId="77777777" w:rsidR="00D1587D" w:rsidRDefault="00D1587D">
            <w:pPr>
              <w:spacing w:line="20" w:lineRule="exact"/>
              <w:rPr>
                <w:sz w:val="1"/>
                <w:szCs w:val="1"/>
              </w:rPr>
            </w:pPr>
          </w:p>
        </w:tc>
        <w:tc>
          <w:tcPr>
            <w:tcW w:w="120" w:type="dxa"/>
            <w:vAlign w:val="bottom"/>
          </w:tcPr>
          <w:p w14:paraId="3746FD58" w14:textId="77777777" w:rsidR="00D1587D" w:rsidRDefault="00D1587D">
            <w:pPr>
              <w:spacing w:line="20" w:lineRule="exact"/>
              <w:rPr>
                <w:sz w:val="1"/>
                <w:szCs w:val="1"/>
              </w:rPr>
            </w:pPr>
          </w:p>
        </w:tc>
        <w:tc>
          <w:tcPr>
            <w:tcW w:w="960" w:type="dxa"/>
            <w:tcBorders>
              <w:bottom w:val="single" w:sz="8" w:space="0" w:color="auto"/>
            </w:tcBorders>
            <w:vAlign w:val="bottom"/>
          </w:tcPr>
          <w:p w14:paraId="3971E971" w14:textId="77777777" w:rsidR="00D1587D" w:rsidRDefault="00D1587D">
            <w:pPr>
              <w:spacing w:line="20" w:lineRule="exact"/>
              <w:rPr>
                <w:sz w:val="1"/>
                <w:szCs w:val="1"/>
              </w:rPr>
            </w:pPr>
          </w:p>
        </w:tc>
        <w:tc>
          <w:tcPr>
            <w:tcW w:w="80" w:type="dxa"/>
            <w:vAlign w:val="bottom"/>
          </w:tcPr>
          <w:p w14:paraId="62157109" w14:textId="77777777" w:rsidR="00D1587D" w:rsidRDefault="00D1587D">
            <w:pPr>
              <w:spacing w:line="20" w:lineRule="exact"/>
              <w:rPr>
                <w:sz w:val="1"/>
                <w:szCs w:val="1"/>
              </w:rPr>
            </w:pPr>
          </w:p>
        </w:tc>
        <w:tc>
          <w:tcPr>
            <w:tcW w:w="440" w:type="dxa"/>
            <w:tcBorders>
              <w:bottom w:val="single" w:sz="8" w:space="0" w:color="auto"/>
            </w:tcBorders>
            <w:vAlign w:val="bottom"/>
          </w:tcPr>
          <w:p w14:paraId="6B9E5011" w14:textId="77777777" w:rsidR="00D1587D" w:rsidRDefault="00D1587D">
            <w:pPr>
              <w:spacing w:line="20" w:lineRule="exact"/>
              <w:rPr>
                <w:sz w:val="1"/>
                <w:szCs w:val="1"/>
              </w:rPr>
            </w:pPr>
          </w:p>
        </w:tc>
        <w:tc>
          <w:tcPr>
            <w:tcW w:w="540" w:type="dxa"/>
            <w:tcBorders>
              <w:bottom w:val="single" w:sz="8" w:space="0" w:color="auto"/>
            </w:tcBorders>
            <w:vAlign w:val="bottom"/>
          </w:tcPr>
          <w:p w14:paraId="3372884C" w14:textId="77777777" w:rsidR="00D1587D" w:rsidRDefault="00D1587D">
            <w:pPr>
              <w:spacing w:line="20" w:lineRule="exact"/>
              <w:rPr>
                <w:sz w:val="1"/>
                <w:szCs w:val="1"/>
              </w:rPr>
            </w:pPr>
          </w:p>
        </w:tc>
        <w:tc>
          <w:tcPr>
            <w:tcW w:w="0" w:type="dxa"/>
            <w:vAlign w:val="bottom"/>
          </w:tcPr>
          <w:p w14:paraId="4BE3A9A5" w14:textId="77777777" w:rsidR="00D1587D" w:rsidRDefault="00D1587D">
            <w:pPr>
              <w:rPr>
                <w:sz w:val="1"/>
                <w:szCs w:val="1"/>
              </w:rPr>
            </w:pPr>
          </w:p>
        </w:tc>
      </w:tr>
    </w:tbl>
    <w:p w14:paraId="4BEB850B" w14:textId="77777777" w:rsidR="00D1587D" w:rsidRDefault="00410D07">
      <w:pPr>
        <w:spacing w:line="20" w:lineRule="exact"/>
        <w:rPr>
          <w:sz w:val="20"/>
          <w:szCs w:val="20"/>
        </w:rPr>
      </w:pPr>
      <w:r>
        <w:rPr>
          <w:noProof/>
          <w:sz w:val="20"/>
          <w:szCs w:val="20"/>
        </w:rPr>
        <w:drawing>
          <wp:anchor distT="0" distB="0" distL="114300" distR="114300" simplePos="0" relativeHeight="252123136" behindDoc="1" locked="0" layoutInCell="0" allowOverlap="1" wp14:anchorId="251A9405" wp14:editId="07AD4396">
            <wp:simplePos x="0" y="0"/>
            <wp:positionH relativeFrom="column">
              <wp:posOffset>4154805</wp:posOffset>
            </wp:positionH>
            <wp:positionV relativeFrom="paragraph">
              <wp:posOffset>-256540</wp:posOffset>
            </wp:positionV>
            <wp:extent cx="34290" cy="8255"/>
            <wp:effectExtent l="0" t="0" r="0" b="0"/>
            <wp:wrapNone/>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35"/>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2124160" behindDoc="1" locked="0" layoutInCell="0" allowOverlap="1" wp14:anchorId="1D0674B6" wp14:editId="1BB82BD5">
            <wp:simplePos x="0" y="0"/>
            <wp:positionH relativeFrom="column">
              <wp:posOffset>5501005</wp:posOffset>
            </wp:positionH>
            <wp:positionV relativeFrom="paragraph">
              <wp:posOffset>-488315</wp:posOffset>
            </wp:positionV>
            <wp:extent cx="51435" cy="8255"/>
            <wp:effectExtent l="0" t="0" r="0" b="0"/>
            <wp:wrapNone/>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2125184" behindDoc="1" locked="0" layoutInCell="0" allowOverlap="1" wp14:anchorId="03764953" wp14:editId="6BE79871">
            <wp:simplePos x="0" y="0"/>
            <wp:positionH relativeFrom="column">
              <wp:posOffset>4815205</wp:posOffset>
            </wp:positionH>
            <wp:positionV relativeFrom="paragraph">
              <wp:posOffset>-488315</wp:posOffset>
            </wp:positionV>
            <wp:extent cx="68580" cy="8255"/>
            <wp:effectExtent l="0" t="0" r="0" b="0"/>
            <wp:wrapNone/>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r>
        <w:rPr>
          <w:noProof/>
          <w:sz w:val="20"/>
          <w:szCs w:val="20"/>
        </w:rPr>
        <w:drawing>
          <wp:anchor distT="0" distB="0" distL="114300" distR="114300" simplePos="0" relativeHeight="252126208" behindDoc="1" locked="0" layoutInCell="0" allowOverlap="1" wp14:anchorId="2ED01619" wp14:editId="7FEC780C">
            <wp:simplePos x="0" y="0"/>
            <wp:positionH relativeFrom="column">
              <wp:posOffset>4154805</wp:posOffset>
            </wp:positionH>
            <wp:positionV relativeFrom="paragraph">
              <wp:posOffset>-488315</wp:posOffset>
            </wp:positionV>
            <wp:extent cx="34290" cy="8255"/>
            <wp:effectExtent l="0" t="0" r="0" b="0"/>
            <wp:wrapNone/>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37"/>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2127232" behindDoc="1" locked="0" layoutInCell="0" allowOverlap="1" wp14:anchorId="2DC662B1" wp14:editId="2EC4DD5E">
            <wp:simplePos x="0" y="0"/>
            <wp:positionH relativeFrom="column">
              <wp:posOffset>5501005</wp:posOffset>
            </wp:positionH>
            <wp:positionV relativeFrom="paragraph">
              <wp:posOffset>-1654175</wp:posOffset>
            </wp:positionV>
            <wp:extent cx="51435" cy="8255"/>
            <wp:effectExtent l="0" t="0" r="0" b="0"/>
            <wp:wrapNone/>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2128256" behindDoc="1" locked="0" layoutInCell="0" allowOverlap="1" wp14:anchorId="516D3A69" wp14:editId="6666B11F">
            <wp:simplePos x="0" y="0"/>
            <wp:positionH relativeFrom="column">
              <wp:posOffset>4815205</wp:posOffset>
            </wp:positionH>
            <wp:positionV relativeFrom="paragraph">
              <wp:posOffset>-1654175</wp:posOffset>
            </wp:positionV>
            <wp:extent cx="68580" cy="8255"/>
            <wp:effectExtent l="0" t="0" r="0" b="0"/>
            <wp:wrapNone/>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p>
    <w:p w14:paraId="255BDA47" w14:textId="77777777" w:rsidR="00D1587D" w:rsidRDefault="00D1587D">
      <w:pPr>
        <w:spacing w:line="74" w:lineRule="exact"/>
        <w:rPr>
          <w:sz w:val="20"/>
          <w:szCs w:val="20"/>
        </w:rPr>
      </w:pPr>
    </w:p>
    <w:p w14:paraId="4FD1A31E" w14:textId="77777777" w:rsidR="00D1587D" w:rsidRDefault="00410D07">
      <w:pPr>
        <w:spacing w:line="259" w:lineRule="auto"/>
        <w:ind w:left="1300" w:right="1440" w:firstLine="360"/>
        <w:rPr>
          <w:sz w:val="20"/>
          <w:szCs w:val="20"/>
        </w:rPr>
      </w:pPr>
      <w:r>
        <w:rPr>
          <w:rFonts w:ascii="Arial" w:eastAsia="Arial" w:hAnsi="Arial" w:cs="Arial"/>
          <w:sz w:val="18"/>
          <w:szCs w:val="18"/>
        </w:rPr>
        <w:t xml:space="preserve">As a result of the transition to a joint venture business model in the U.K. and the substantially complete liquidation of the Company’s investment in the U.K., the Company reclassified $36 million of accumulated foreign currency </w:t>
      </w:r>
      <w:r>
        <w:rPr>
          <w:rFonts w:ascii="Arial" w:eastAsia="Arial" w:hAnsi="Arial" w:cs="Arial"/>
          <w:sz w:val="18"/>
          <w:szCs w:val="18"/>
        </w:rPr>
        <w:t>translation adjustments out of accumulated other comprehensive income (loss) and into earnings. For additional information, see Note 5, “Restructuring Activities.”</w:t>
      </w:r>
    </w:p>
    <w:p w14:paraId="386BA11F" w14:textId="77777777" w:rsidR="00D1587D" w:rsidRDefault="00D1587D">
      <w:pPr>
        <w:spacing w:line="106" w:lineRule="exact"/>
        <w:rPr>
          <w:sz w:val="20"/>
          <w:szCs w:val="20"/>
        </w:rPr>
      </w:pPr>
    </w:p>
    <w:p w14:paraId="1410F955" w14:textId="77777777" w:rsidR="00D1587D" w:rsidRDefault="00410D07">
      <w:pPr>
        <w:ind w:right="80"/>
        <w:jc w:val="center"/>
        <w:rPr>
          <w:sz w:val="20"/>
          <w:szCs w:val="20"/>
        </w:rPr>
      </w:pPr>
      <w:r>
        <w:rPr>
          <w:rFonts w:ascii="Arial" w:eastAsia="Arial" w:hAnsi="Arial" w:cs="Arial"/>
          <w:sz w:val="18"/>
          <w:szCs w:val="18"/>
        </w:rPr>
        <w:t>The following table provides the rollforward of accumulated other comprehensive income (los</w:t>
      </w:r>
      <w:r>
        <w:rPr>
          <w:rFonts w:ascii="Arial" w:eastAsia="Arial" w:hAnsi="Arial" w:cs="Arial"/>
          <w:sz w:val="18"/>
          <w:szCs w:val="18"/>
        </w:rPr>
        <w:t>s) for 2019:</w:t>
      </w:r>
    </w:p>
    <w:p w14:paraId="6A39E7E6" w14:textId="77777777" w:rsidR="00D1587D" w:rsidRDefault="00D1587D">
      <w:pPr>
        <w:spacing w:line="177" w:lineRule="exact"/>
        <w:rPr>
          <w:sz w:val="20"/>
          <w:szCs w:val="20"/>
        </w:rPr>
      </w:pPr>
    </w:p>
    <w:tbl>
      <w:tblPr>
        <w:tblW w:w="0" w:type="auto"/>
        <w:tblInd w:w="1300" w:type="dxa"/>
        <w:tblLayout w:type="fixed"/>
        <w:tblCellMar>
          <w:left w:w="0" w:type="dxa"/>
          <w:right w:w="0" w:type="dxa"/>
        </w:tblCellMar>
        <w:tblLook w:val="04A0" w:firstRow="1" w:lastRow="0" w:firstColumn="1" w:lastColumn="0" w:noHBand="0" w:noVBand="1"/>
      </w:tblPr>
      <w:tblGrid>
        <w:gridCol w:w="5300"/>
        <w:gridCol w:w="980"/>
        <w:gridCol w:w="120"/>
        <w:gridCol w:w="960"/>
        <w:gridCol w:w="80"/>
        <w:gridCol w:w="980"/>
        <w:gridCol w:w="20"/>
      </w:tblGrid>
      <w:tr w:rsidR="00D1587D" w14:paraId="270C0A42" w14:textId="77777777">
        <w:trPr>
          <w:trHeight w:val="161"/>
        </w:trPr>
        <w:tc>
          <w:tcPr>
            <w:tcW w:w="5300" w:type="dxa"/>
            <w:vAlign w:val="bottom"/>
          </w:tcPr>
          <w:p w14:paraId="4A826155" w14:textId="77777777" w:rsidR="00D1587D" w:rsidRDefault="00D1587D">
            <w:pPr>
              <w:rPr>
                <w:sz w:val="14"/>
                <w:szCs w:val="14"/>
              </w:rPr>
            </w:pPr>
          </w:p>
        </w:tc>
        <w:tc>
          <w:tcPr>
            <w:tcW w:w="1100" w:type="dxa"/>
            <w:gridSpan w:val="2"/>
            <w:vMerge w:val="restart"/>
            <w:vAlign w:val="bottom"/>
          </w:tcPr>
          <w:p w14:paraId="06DCE09C" w14:textId="77777777" w:rsidR="00D1587D" w:rsidRDefault="00410D07">
            <w:pPr>
              <w:ind w:right="140"/>
              <w:jc w:val="center"/>
              <w:rPr>
                <w:sz w:val="20"/>
                <w:szCs w:val="20"/>
              </w:rPr>
            </w:pPr>
            <w:r>
              <w:rPr>
                <w:rFonts w:ascii="Arial" w:eastAsia="Arial" w:hAnsi="Arial" w:cs="Arial"/>
                <w:b/>
                <w:bCs/>
                <w:w w:val="93"/>
                <w:sz w:val="14"/>
                <w:szCs w:val="14"/>
              </w:rPr>
              <w:t>Foreign</w:t>
            </w:r>
          </w:p>
        </w:tc>
        <w:tc>
          <w:tcPr>
            <w:tcW w:w="960" w:type="dxa"/>
            <w:vAlign w:val="bottom"/>
          </w:tcPr>
          <w:p w14:paraId="62A17545" w14:textId="77777777" w:rsidR="00D1587D" w:rsidRDefault="00D1587D">
            <w:pPr>
              <w:rPr>
                <w:sz w:val="14"/>
                <w:szCs w:val="14"/>
              </w:rPr>
            </w:pPr>
          </w:p>
        </w:tc>
        <w:tc>
          <w:tcPr>
            <w:tcW w:w="80" w:type="dxa"/>
            <w:vAlign w:val="bottom"/>
          </w:tcPr>
          <w:p w14:paraId="671CC589" w14:textId="77777777" w:rsidR="00D1587D" w:rsidRDefault="00D1587D">
            <w:pPr>
              <w:rPr>
                <w:sz w:val="14"/>
                <w:szCs w:val="14"/>
              </w:rPr>
            </w:pPr>
          </w:p>
        </w:tc>
        <w:tc>
          <w:tcPr>
            <w:tcW w:w="980" w:type="dxa"/>
            <w:vAlign w:val="bottom"/>
          </w:tcPr>
          <w:p w14:paraId="55D30112" w14:textId="77777777" w:rsidR="00D1587D" w:rsidRDefault="00410D07">
            <w:pPr>
              <w:jc w:val="center"/>
              <w:rPr>
                <w:sz w:val="20"/>
                <w:szCs w:val="20"/>
              </w:rPr>
            </w:pPr>
            <w:r>
              <w:rPr>
                <w:rFonts w:ascii="Arial" w:eastAsia="Arial" w:hAnsi="Arial" w:cs="Arial"/>
                <w:b/>
                <w:bCs/>
                <w:w w:val="93"/>
                <w:sz w:val="14"/>
                <w:szCs w:val="14"/>
              </w:rPr>
              <w:t>Accumulated</w:t>
            </w:r>
          </w:p>
        </w:tc>
        <w:tc>
          <w:tcPr>
            <w:tcW w:w="0" w:type="dxa"/>
            <w:vAlign w:val="bottom"/>
          </w:tcPr>
          <w:p w14:paraId="1ADCE363" w14:textId="77777777" w:rsidR="00D1587D" w:rsidRDefault="00D1587D">
            <w:pPr>
              <w:rPr>
                <w:sz w:val="1"/>
                <w:szCs w:val="1"/>
              </w:rPr>
            </w:pPr>
          </w:p>
        </w:tc>
      </w:tr>
      <w:tr w:rsidR="00D1587D" w14:paraId="7EAE3783" w14:textId="77777777">
        <w:trPr>
          <w:trHeight w:val="148"/>
        </w:trPr>
        <w:tc>
          <w:tcPr>
            <w:tcW w:w="5300" w:type="dxa"/>
            <w:vAlign w:val="bottom"/>
          </w:tcPr>
          <w:p w14:paraId="13F24FC9" w14:textId="77777777" w:rsidR="00D1587D" w:rsidRDefault="00D1587D">
            <w:pPr>
              <w:rPr>
                <w:sz w:val="12"/>
                <w:szCs w:val="12"/>
              </w:rPr>
            </w:pPr>
          </w:p>
        </w:tc>
        <w:tc>
          <w:tcPr>
            <w:tcW w:w="1100" w:type="dxa"/>
            <w:gridSpan w:val="2"/>
            <w:vMerge/>
            <w:vAlign w:val="bottom"/>
          </w:tcPr>
          <w:p w14:paraId="51EB8246" w14:textId="77777777" w:rsidR="00D1587D" w:rsidRDefault="00D1587D">
            <w:pPr>
              <w:rPr>
                <w:sz w:val="12"/>
                <w:szCs w:val="12"/>
              </w:rPr>
            </w:pPr>
          </w:p>
        </w:tc>
        <w:tc>
          <w:tcPr>
            <w:tcW w:w="1040" w:type="dxa"/>
            <w:gridSpan w:val="2"/>
            <w:vMerge w:val="restart"/>
            <w:vAlign w:val="bottom"/>
          </w:tcPr>
          <w:p w14:paraId="52F1905E" w14:textId="77777777" w:rsidR="00D1587D" w:rsidRDefault="00410D07">
            <w:pPr>
              <w:ind w:right="120"/>
              <w:jc w:val="center"/>
              <w:rPr>
                <w:sz w:val="20"/>
                <w:szCs w:val="20"/>
              </w:rPr>
            </w:pPr>
            <w:r>
              <w:rPr>
                <w:rFonts w:ascii="Arial" w:eastAsia="Arial" w:hAnsi="Arial" w:cs="Arial"/>
                <w:b/>
                <w:bCs/>
                <w:w w:val="91"/>
                <w:sz w:val="14"/>
                <w:szCs w:val="14"/>
              </w:rPr>
              <w:t>Cash Flow</w:t>
            </w:r>
          </w:p>
        </w:tc>
        <w:tc>
          <w:tcPr>
            <w:tcW w:w="980" w:type="dxa"/>
            <w:vAlign w:val="bottom"/>
          </w:tcPr>
          <w:p w14:paraId="183C574B" w14:textId="77777777" w:rsidR="00D1587D" w:rsidRDefault="00410D07">
            <w:pPr>
              <w:spacing w:line="149" w:lineRule="exact"/>
              <w:jc w:val="center"/>
              <w:rPr>
                <w:sz w:val="20"/>
                <w:szCs w:val="20"/>
              </w:rPr>
            </w:pPr>
            <w:r>
              <w:rPr>
                <w:rFonts w:ascii="Arial" w:eastAsia="Arial" w:hAnsi="Arial" w:cs="Arial"/>
                <w:b/>
                <w:bCs/>
                <w:sz w:val="14"/>
                <w:szCs w:val="14"/>
              </w:rPr>
              <w:t>Other</w:t>
            </w:r>
          </w:p>
        </w:tc>
        <w:tc>
          <w:tcPr>
            <w:tcW w:w="0" w:type="dxa"/>
            <w:vAlign w:val="bottom"/>
          </w:tcPr>
          <w:p w14:paraId="5DED965C" w14:textId="77777777" w:rsidR="00D1587D" w:rsidRDefault="00D1587D">
            <w:pPr>
              <w:rPr>
                <w:sz w:val="1"/>
                <w:szCs w:val="1"/>
              </w:rPr>
            </w:pPr>
          </w:p>
        </w:tc>
      </w:tr>
      <w:tr w:rsidR="00D1587D" w14:paraId="74F0371F" w14:textId="77777777">
        <w:trPr>
          <w:trHeight w:val="148"/>
        </w:trPr>
        <w:tc>
          <w:tcPr>
            <w:tcW w:w="5300" w:type="dxa"/>
            <w:vAlign w:val="bottom"/>
          </w:tcPr>
          <w:p w14:paraId="7C949299" w14:textId="77777777" w:rsidR="00D1587D" w:rsidRDefault="00D1587D">
            <w:pPr>
              <w:rPr>
                <w:sz w:val="12"/>
                <w:szCs w:val="12"/>
              </w:rPr>
            </w:pPr>
          </w:p>
        </w:tc>
        <w:tc>
          <w:tcPr>
            <w:tcW w:w="1100" w:type="dxa"/>
            <w:gridSpan w:val="2"/>
            <w:vAlign w:val="bottom"/>
          </w:tcPr>
          <w:p w14:paraId="6AC8FB14" w14:textId="77777777" w:rsidR="00D1587D" w:rsidRDefault="00410D07">
            <w:pPr>
              <w:spacing w:line="149" w:lineRule="exact"/>
              <w:ind w:right="160"/>
              <w:jc w:val="center"/>
              <w:rPr>
                <w:sz w:val="20"/>
                <w:szCs w:val="20"/>
              </w:rPr>
            </w:pPr>
            <w:r>
              <w:rPr>
                <w:rFonts w:ascii="Arial" w:eastAsia="Arial" w:hAnsi="Arial" w:cs="Arial"/>
                <w:b/>
                <w:bCs/>
                <w:w w:val="94"/>
                <w:sz w:val="14"/>
                <w:szCs w:val="14"/>
              </w:rPr>
              <w:t>Currency</w:t>
            </w:r>
          </w:p>
        </w:tc>
        <w:tc>
          <w:tcPr>
            <w:tcW w:w="1040" w:type="dxa"/>
            <w:gridSpan w:val="2"/>
            <w:vMerge/>
            <w:vAlign w:val="bottom"/>
          </w:tcPr>
          <w:p w14:paraId="3B552614" w14:textId="77777777" w:rsidR="00D1587D" w:rsidRDefault="00D1587D">
            <w:pPr>
              <w:rPr>
                <w:sz w:val="12"/>
                <w:szCs w:val="12"/>
              </w:rPr>
            </w:pPr>
          </w:p>
        </w:tc>
        <w:tc>
          <w:tcPr>
            <w:tcW w:w="980" w:type="dxa"/>
            <w:vAlign w:val="bottom"/>
          </w:tcPr>
          <w:p w14:paraId="4CA291D3" w14:textId="77777777" w:rsidR="00D1587D" w:rsidRDefault="00410D07">
            <w:pPr>
              <w:spacing w:line="149" w:lineRule="exact"/>
              <w:jc w:val="center"/>
              <w:rPr>
                <w:sz w:val="20"/>
                <w:szCs w:val="20"/>
              </w:rPr>
            </w:pPr>
            <w:r>
              <w:rPr>
                <w:rFonts w:ascii="Arial" w:eastAsia="Arial" w:hAnsi="Arial" w:cs="Arial"/>
                <w:b/>
                <w:bCs/>
                <w:w w:val="89"/>
                <w:sz w:val="14"/>
                <w:szCs w:val="14"/>
              </w:rPr>
              <w:t>Comprehensive</w:t>
            </w:r>
          </w:p>
        </w:tc>
        <w:tc>
          <w:tcPr>
            <w:tcW w:w="0" w:type="dxa"/>
            <w:vAlign w:val="bottom"/>
          </w:tcPr>
          <w:p w14:paraId="13C12D36" w14:textId="77777777" w:rsidR="00D1587D" w:rsidRDefault="00D1587D">
            <w:pPr>
              <w:rPr>
                <w:sz w:val="1"/>
                <w:szCs w:val="1"/>
              </w:rPr>
            </w:pPr>
          </w:p>
        </w:tc>
      </w:tr>
      <w:tr w:rsidR="00D1587D" w14:paraId="33A8B5D3" w14:textId="77777777">
        <w:trPr>
          <w:trHeight w:val="186"/>
        </w:trPr>
        <w:tc>
          <w:tcPr>
            <w:tcW w:w="5300" w:type="dxa"/>
            <w:vAlign w:val="bottom"/>
          </w:tcPr>
          <w:p w14:paraId="3E7F9D8B" w14:textId="77777777" w:rsidR="00D1587D" w:rsidRDefault="00D1587D">
            <w:pPr>
              <w:rPr>
                <w:sz w:val="16"/>
                <w:szCs w:val="16"/>
              </w:rPr>
            </w:pPr>
          </w:p>
        </w:tc>
        <w:tc>
          <w:tcPr>
            <w:tcW w:w="1100" w:type="dxa"/>
            <w:gridSpan w:val="2"/>
            <w:vAlign w:val="bottom"/>
          </w:tcPr>
          <w:p w14:paraId="40CBABF2" w14:textId="77777777" w:rsidR="00D1587D" w:rsidRDefault="00410D07">
            <w:pPr>
              <w:ind w:right="120"/>
              <w:jc w:val="center"/>
              <w:rPr>
                <w:sz w:val="20"/>
                <w:szCs w:val="20"/>
              </w:rPr>
            </w:pPr>
            <w:r>
              <w:rPr>
                <w:rFonts w:ascii="Arial" w:eastAsia="Arial" w:hAnsi="Arial" w:cs="Arial"/>
                <w:b/>
                <w:bCs/>
                <w:w w:val="92"/>
                <w:sz w:val="14"/>
                <w:szCs w:val="14"/>
              </w:rPr>
              <w:t>Translation</w:t>
            </w:r>
          </w:p>
        </w:tc>
        <w:tc>
          <w:tcPr>
            <w:tcW w:w="1040" w:type="dxa"/>
            <w:gridSpan w:val="2"/>
            <w:vAlign w:val="bottom"/>
          </w:tcPr>
          <w:p w14:paraId="60904392" w14:textId="77777777" w:rsidR="00D1587D" w:rsidRDefault="00410D07">
            <w:pPr>
              <w:ind w:right="80"/>
              <w:jc w:val="center"/>
              <w:rPr>
                <w:sz w:val="20"/>
                <w:szCs w:val="20"/>
              </w:rPr>
            </w:pPr>
            <w:r>
              <w:rPr>
                <w:rFonts w:ascii="Arial" w:eastAsia="Arial" w:hAnsi="Arial" w:cs="Arial"/>
                <w:b/>
                <w:bCs/>
                <w:w w:val="86"/>
                <w:sz w:val="14"/>
                <w:szCs w:val="14"/>
              </w:rPr>
              <w:t>Hedges</w:t>
            </w:r>
          </w:p>
        </w:tc>
        <w:tc>
          <w:tcPr>
            <w:tcW w:w="980" w:type="dxa"/>
            <w:vAlign w:val="bottom"/>
          </w:tcPr>
          <w:p w14:paraId="197D1E05" w14:textId="77777777" w:rsidR="00D1587D" w:rsidRDefault="00410D07">
            <w:pPr>
              <w:jc w:val="center"/>
              <w:rPr>
                <w:sz w:val="20"/>
                <w:szCs w:val="20"/>
              </w:rPr>
            </w:pPr>
            <w:r>
              <w:rPr>
                <w:rFonts w:ascii="Arial" w:eastAsia="Arial" w:hAnsi="Arial" w:cs="Arial"/>
                <w:b/>
                <w:bCs/>
                <w:w w:val="90"/>
                <w:sz w:val="14"/>
                <w:szCs w:val="14"/>
              </w:rPr>
              <w:t>Income (Loss)</w:t>
            </w:r>
          </w:p>
        </w:tc>
        <w:tc>
          <w:tcPr>
            <w:tcW w:w="0" w:type="dxa"/>
            <w:vAlign w:val="bottom"/>
          </w:tcPr>
          <w:p w14:paraId="6FF56175" w14:textId="77777777" w:rsidR="00D1587D" w:rsidRDefault="00D1587D">
            <w:pPr>
              <w:rPr>
                <w:sz w:val="1"/>
                <w:szCs w:val="1"/>
              </w:rPr>
            </w:pPr>
          </w:p>
        </w:tc>
      </w:tr>
      <w:tr w:rsidR="00D1587D" w14:paraId="5564CCB6" w14:textId="77777777">
        <w:trPr>
          <w:trHeight w:val="53"/>
        </w:trPr>
        <w:tc>
          <w:tcPr>
            <w:tcW w:w="5300" w:type="dxa"/>
            <w:vAlign w:val="bottom"/>
          </w:tcPr>
          <w:p w14:paraId="6A541DEA" w14:textId="77777777" w:rsidR="00D1587D" w:rsidRDefault="00D1587D">
            <w:pPr>
              <w:rPr>
                <w:sz w:val="4"/>
                <w:szCs w:val="4"/>
              </w:rPr>
            </w:pPr>
          </w:p>
        </w:tc>
        <w:tc>
          <w:tcPr>
            <w:tcW w:w="980" w:type="dxa"/>
            <w:tcBorders>
              <w:bottom w:val="single" w:sz="8" w:space="0" w:color="auto"/>
            </w:tcBorders>
            <w:vAlign w:val="bottom"/>
          </w:tcPr>
          <w:p w14:paraId="380C980A" w14:textId="77777777" w:rsidR="00D1587D" w:rsidRDefault="00D1587D">
            <w:pPr>
              <w:rPr>
                <w:sz w:val="4"/>
                <w:szCs w:val="4"/>
              </w:rPr>
            </w:pPr>
          </w:p>
        </w:tc>
        <w:tc>
          <w:tcPr>
            <w:tcW w:w="120" w:type="dxa"/>
            <w:tcBorders>
              <w:bottom w:val="single" w:sz="8" w:space="0" w:color="auto"/>
            </w:tcBorders>
            <w:vAlign w:val="bottom"/>
          </w:tcPr>
          <w:p w14:paraId="56317F0A" w14:textId="77777777" w:rsidR="00D1587D" w:rsidRDefault="00D1587D">
            <w:pPr>
              <w:rPr>
                <w:sz w:val="4"/>
                <w:szCs w:val="4"/>
              </w:rPr>
            </w:pPr>
          </w:p>
        </w:tc>
        <w:tc>
          <w:tcPr>
            <w:tcW w:w="1040" w:type="dxa"/>
            <w:gridSpan w:val="2"/>
            <w:tcBorders>
              <w:bottom w:val="single" w:sz="8" w:space="0" w:color="auto"/>
            </w:tcBorders>
            <w:vAlign w:val="bottom"/>
          </w:tcPr>
          <w:p w14:paraId="43E38071" w14:textId="77777777" w:rsidR="00D1587D" w:rsidRDefault="00D1587D">
            <w:pPr>
              <w:rPr>
                <w:sz w:val="4"/>
                <w:szCs w:val="4"/>
              </w:rPr>
            </w:pPr>
          </w:p>
        </w:tc>
        <w:tc>
          <w:tcPr>
            <w:tcW w:w="980" w:type="dxa"/>
            <w:tcBorders>
              <w:bottom w:val="single" w:sz="8" w:space="0" w:color="auto"/>
            </w:tcBorders>
            <w:vAlign w:val="bottom"/>
          </w:tcPr>
          <w:p w14:paraId="09C358C7" w14:textId="77777777" w:rsidR="00D1587D" w:rsidRDefault="00D1587D">
            <w:pPr>
              <w:rPr>
                <w:sz w:val="4"/>
                <w:szCs w:val="4"/>
              </w:rPr>
            </w:pPr>
          </w:p>
        </w:tc>
        <w:tc>
          <w:tcPr>
            <w:tcW w:w="0" w:type="dxa"/>
            <w:vAlign w:val="bottom"/>
          </w:tcPr>
          <w:p w14:paraId="26318916" w14:textId="77777777" w:rsidR="00D1587D" w:rsidRDefault="00D1587D">
            <w:pPr>
              <w:rPr>
                <w:sz w:val="1"/>
                <w:szCs w:val="1"/>
              </w:rPr>
            </w:pPr>
          </w:p>
        </w:tc>
      </w:tr>
      <w:tr w:rsidR="00D1587D" w14:paraId="2891A0CB" w14:textId="77777777">
        <w:trPr>
          <w:trHeight w:val="224"/>
        </w:trPr>
        <w:tc>
          <w:tcPr>
            <w:tcW w:w="5300" w:type="dxa"/>
            <w:vAlign w:val="bottom"/>
          </w:tcPr>
          <w:p w14:paraId="170E330B" w14:textId="77777777" w:rsidR="00D1587D" w:rsidRDefault="00D1587D">
            <w:pPr>
              <w:rPr>
                <w:sz w:val="19"/>
                <w:szCs w:val="19"/>
              </w:rPr>
            </w:pPr>
          </w:p>
        </w:tc>
        <w:tc>
          <w:tcPr>
            <w:tcW w:w="980" w:type="dxa"/>
            <w:vAlign w:val="bottom"/>
          </w:tcPr>
          <w:p w14:paraId="16C8E712" w14:textId="77777777" w:rsidR="00D1587D" w:rsidRDefault="00D1587D">
            <w:pPr>
              <w:rPr>
                <w:sz w:val="19"/>
                <w:szCs w:val="19"/>
              </w:rPr>
            </w:pPr>
          </w:p>
        </w:tc>
        <w:tc>
          <w:tcPr>
            <w:tcW w:w="120" w:type="dxa"/>
            <w:vAlign w:val="bottom"/>
          </w:tcPr>
          <w:p w14:paraId="34554840" w14:textId="77777777" w:rsidR="00D1587D" w:rsidRDefault="00D1587D">
            <w:pPr>
              <w:rPr>
                <w:sz w:val="19"/>
                <w:szCs w:val="19"/>
              </w:rPr>
            </w:pPr>
          </w:p>
        </w:tc>
        <w:tc>
          <w:tcPr>
            <w:tcW w:w="1040" w:type="dxa"/>
            <w:gridSpan w:val="2"/>
            <w:vAlign w:val="bottom"/>
          </w:tcPr>
          <w:p w14:paraId="46C18742" w14:textId="77777777" w:rsidR="00D1587D" w:rsidRDefault="00410D07">
            <w:pPr>
              <w:ind w:right="140"/>
              <w:jc w:val="center"/>
              <w:rPr>
                <w:sz w:val="20"/>
                <w:szCs w:val="20"/>
              </w:rPr>
            </w:pPr>
            <w:r>
              <w:rPr>
                <w:rFonts w:ascii="Arial" w:eastAsia="Arial" w:hAnsi="Arial" w:cs="Arial"/>
                <w:b/>
                <w:bCs/>
                <w:w w:val="94"/>
                <w:sz w:val="14"/>
                <w:szCs w:val="14"/>
              </w:rPr>
              <w:t>(in millions)</w:t>
            </w:r>
          </w:p>
        </w:tc>
        <w:tc>
          <w:tcPr>
            <w:tcW w:w="980" w:type="dxa"/>
            <w:vAlign w:val="bottom"/>
          </w:tcPr>
          <w:p w14:paraId="096EB7CF" w14:textId="77777777" w:rsidR="00D1587D" w:rsidRDefault="00D1587D">
            <w:pPr>
              <w:rPr>
                <w:sz w:val="19"/>
                <w:szCs w:val="19"/>
              </w:rPr>
            </w:pPr>
          </w:p>
        </w:tc>
        <w:tc>
          <w:tcPr>
            <w:tcW w:w="0" w:type="dxa"/>
            <w:vAlign w:val="bottom"/>
          </w:tcPr>
          <w:p w14:paraId="778E48F4" w14:textId="77777777" w:rsidR="00D1587D" w:rsidRDefault="00D1587D">
            <w:pPr>
              <w:rPr>
                <w:sz w:val="1"/>
                <w:szCs w:val="1"/>
              </w:rPr>
            </w:pPr>
          </w:p>
        </w:tc>
      </w:tr>
      <w:tr w:rsidR="00D1587D" w14:paraId="6B2DFEE6" w14:textId="77777777">
        <w:trPr>
          <w:trHeight w:val="53"/>
        </w:trPr>
        <w:tc>
          <w:tcPr>
            <w:tcW w:w="5300" w:type="dxa"/>
            <w:vAlign w:val="bottom"/>
          </w:tcPr>
          <w:p w14:paraId="75D251CD" w14:textId="77777777" w:rsidR="00D1587D" w:rsidRDefault="00D1587D">
            <w:pPr>
              <w:rPr>
                <w:sz w:val="4"/>
                <w:szCs w:val="4"/>
              </w:rPr>
            </w:pPr>
          </w:p>
        </w:tc>
        <w:tc>
          <w:tcPr>
            <w:tcW w:w="980" w:type="dxa"/>
            <w:vAlign w:val="bottom"/>
          </w:tcPr>
          <w:p w14:paraId="20991F4F" w14:textId="77777777" w:rsidR="00D1587D" w:rsidRDefault="00D1587D">
            <w:pPr>
              <w:rPr>
                <w:sz w:val="4"/>
                <w:szCs w:val="4"/>
              </w:rPr>
            </w:pPr>
          </w:p>
        </w:tc>
        <w:tc>
          <w:tcPr>
            <w:tcW w:w="120" w:type="dxa"/>
            <w:vAlign w:val="bottom"/>
          </w:tcPr>
          <w:p w14:paraId="2D52DAAA" w14:textId="77777777" w:rsidR="00D1587D" w:rsidRDefault="00D1587D">
            <w:pPr>
              <w:rPr>
                <w:sz w:val="4"/>
                <w:szCs w:val="4"/>
              </w:rPr>
            </w:pPr>
          </w:p>
        </w:tc>
        <w:tc>
          <w:tcPr>
            <w:tcW w:w="960" w:type="dxa"/>
            <w:vAlign w:val="bottom"/>
          </w:tcPr>
          <w:p w14:paraId="5E9B71BD" w14:textId="77777777" w:rsidR="00D1587D" w:rsidRDefault="00D1587D">
            <w:pPr>
              <w:rPr>
                <w:sz w:val="4"/>
                <w:szCs w:val="4"/>
              </w:rPr>
            </w:pPr>
          </w:p>
        </w:tc>
        <w:tc>
          <w:tcPr>
            <w:tcW w:w="80" w:type="dxa"/>
            <w:vAlign w:val="bottom"/>
          </w:tcPr>
          <w:p w14:paraId="0C675287" w14:textId="77777777" w:rsidR="00D1587D" w:rsidRDefault="00D1587D">
            <w:pPr>
              <w:rPr>
                <w:sz w:val="4"/>
                <w:szCs w:val="4"/>
              </w:rPr>
            </w:pPr>
          </w:p>
        </w:tc>
        <w:tc>
          <w:tcPr>
            <w:tcW w:w="980" w:type="dxa"/>
            <w:vAlign w:val="bottom"/>
          </w:tcPr>
          <w:p w14:paraId="72D5C9F9" w14:textId="77777777" w:rsidR="00D1587D" w:rsidRDefault="00D1587D">
            <w:pPr>
              <w:rPr>
                <w:sz w:val="4"/>
                <w:szCs w:val="4"/>
              </w:rPr>
            </w:pPr>
          </w:p>
        </w:tc>
        <w:tc>
          <w:tcPr>
            <w:tcW w:w="0" w:type="dxa"/>
            <w:vAlign w:val="bottom"/>
          </w:tcPr>
          <w:p w14:paraId="0EB259DC" w14:textId="77777777" w:rsidR="00D1587D" w:rsidRDefault="00D1587D">
            <w:pPr>
              <w:rPr>
                <w:sz w:val="1"/>
                <w:szCs w:val="1"/>
              </w:rPr>
            </w:pPr>
          </w:p>
        </w:tc>
      </w:tr>
      <w:tr w:rsidR="00D1587D" w14:paraId="32ACA113" w14:textId="77777777">
        <w:trPr>
          <w:trHeight w:val="318"/>
        </w:trPr>
        <w:tc>
          <w:tcPr>
            <w:tcW w:w="5300" w:type="dxa"/>
            <w:tcBorders>
              <w:bottom w:val="single" w:sz="8" w:space="0" w:color="CCEEFF"/>
            </w:tcBorders>
            <w:shd w:val="clear" w:color="auto" w:fill="CCEEFF"/>
            <w:vAlign w:val="bottom"/>
          </w:tcPr>
          <w:p w14:paraId="5E989D50" w14:textId="77777777" w:rsidR="00D1587D" w:rsidRDefault="00410D07">
            <w:pPr>
              <w:rPr>
                <w:sz w:val="20"/>
                <w:szCs w:val="20"/>
              </w:rPr>
            </w:pPr>
            <w:r>
              <w:rPr>
                <w:rFonts w:ascii="Arial" w:eastAsia="Arial" w:hAnsi="Arial" w:cs="Arial"/>
                <w:sz w:val="18"/>
                <w:szCs w:val="18"/>
              </w:rPr>
              <w:t>Balance as of February 2, 2019</w:t>
            </w:r>
          </w:p>
        </w:tc>
        <w:tc>
          <w:tcPr>
            <w:tcW w:w="980" w:type="dxa"/>
            <w:tcBorders>
              <w:bottom w:val="single" w:sz="8" w:space="0" w:color="CCEEFF"/>
            </w:tcBorders>
            <w:shd w:val="clear" w:color="auto" w:fill="CCEEFF"/>
            <w:vAlign w:val="bottom"/>
          </w:tcPr>
          <w:p w14:paraId="1FD7E54C" w14:textId="77777777" w:rsidR="00D1587D" w:rsidRDefault="00410D07">
            <w:pPr>
              <w:ind w:right="196"/>
              <w:jc w:val="right"/>
              <w:rPr>
                <w:sz w:val="20"/>
                <w:szCs w:val="20"/>
              </w:rPr>
            </w:pPr>
            <w:r>
              <w:rPr>
                <w:rFonts w:ascii="Arial" w:eastAsia="Arial" w:hAnsi="Arial" w:cs="Arial"/>
                <w:sz w:val="18"/>
                <w:szCs w:val="18"/>
              </w:rPr>
              <w:t>$(23)</w:t>
            </w:r>
          </w:p>
        </w:tc>
        <w:tc>
          <w:tcPr>
            <w:tcW w:w="120" w:type="dxa"/>
            <w:tcBorders>
              <w:bottom w:val="single" w:sz="8" w:space="0" w:color="CCEEFF"/>
            </w:tcBorders>
            <w:shd w:val="clear" w:color="auto" w:fill="CCEEFF"/>
            <w:vAlign w:val="bottom"/>
          </w:tcPr>
          <w:p w14:paraId="38846947" w14:textId="77777777" w:rsidR="00D1587D" w:rsidRDefault="00D1587D">
            <w:pPr>
              <w:rPr>
                <w:sz w:val="24"/>
                <w:szCs w:val="24"/>
              </w:rPr>
            </w:pPr>
          </w:p>
        </w:tc>
        <w:tc>
          <w:tcPr>
            <w:tcW w:w="960" w:type="dxa"/>
            <w:tcBorders>
              <w:bottom w:val="single" w:sz="8" w:space="0" w:color="CCEEFF"/>
            </w:tcBorders>
            <w:shd w:val="clear" w:color="auto" w:fill="CCEEFF"/>
            <w:vAlign w:val="bottom"/>
          </w:tcPr>
          <w:p w14:paraId="4AC7AC5F" w14:textId="77777777" w:rsidR="00D1587D" w:rsidRDefault="00410D07">
            <w:pPr>
              <w:ind w:right="276"/>
              <w:jc w:val="right"/>
              <w:rPr>
                <w:sz w:val="20"/>
                <w:szCs w:val="20"/>
              </w:rPr>
            </w:pPr>
            <w:r>
              <w:rPr>
                <w:rFonts w:ascii="Arial" w:eastAsia="Arial" w:hAnsi="Arial" w:cs="Arial"/>
                <w:sz w:val="18"/>
                <w:szCs w:val="18"/>
              </w:rPr>
              <w:t>$ 2</w:t>
            </w:r>
          </w:p>
        </w:tc>
        <w:tc>
          <w:tcPr>
            <w:tcW w:w="80" w:type="dxa"/>
            <w:tcBorders>
              <w:bottom w:val="single" w:sz="8" w:space="0" w:color="CCEEFF"/>
            </w:tcBorders>
            <w:shd w:val="clear" w:color="auto" w:fill="CCEEFF"/>
            <w:vAlign w:val="bottom"/>
          </w:tcPr>
          <w:p w14:paraId="692CA1B5" w14:textId="77777777" w:rsidR="00D1587D" w:rsidRDefault="00D1587D">
            <w:pPr>
              <w:rPr>
                <w:sz w:val="24"/>
                <w:szCs w:val="24"/>
              </w:rPr>
            </w:pPr>
          </w:p>
        </w:tc>
        <w:tc>
          <w:tcPr>
            <w:tcW w:w="980" w:type="dxa"/>
            <w:tcBorders>
              <w:bottom w:val="single" w:sz="8" w:space="0" w:color="CCEEFF"/>
            </w:tcBorders>
            <w:shd w:val="clear" w:color="auto" w:fill="CCEEFF"/>
            <w:vAlign w:val="bottom"/>
          </w:tcPr>
          <w:p w14:paraId="70449DDA" w14:textId="77777777" w:rsidR="00D1587D" w:rsidRDefault="00410D07">
            <w:pPr>
              <w:ind w:right="177"/>
              <w:jc w:val="right"/>
              <w:rPr>
                <w:sz w:val="20"/>
                <w:szCs w:val="20"/>
              </w:rPr>
            </w:pPr>
            <w:r>
              <w:rPr>
                <w:rFonts w:ascii="Arial" w:eastAsia="Arial" w:hAnsi="Arial" w:cs="Arial"/>
                <w:sz w:val="18"/>
                <w:szCs w:val="18"/>
              </w:rPr>
              <w:t>$(21)</w:t>
            </w:r>
          </w:p>
        </w:tc>
        <w:tc>
          <w:tcPr>
            <w:tcW w:w="0" w:type="dxa"/>
            <w:vAlign w:val="bottom"/>
          </w:tcPr>
          <w:p w14:paraId="1368B320" w14:textId="77777777" w:rsidR="00D1587D" w:rsidRDefault="00D1587D">
            <w:pPr>
              <w:rPr>
                <w:sz w:val="1"/>
                <w:szCs w:val="1"/>
              </w:rPr>
            </w:pPr>
          </w:p>
        </w:tc>
      </w:tr>
      <w:tr w:rsidR="00D1587D" w14:paraId="56F0EC16" w14:textId="77777777">
        <w:trPr>
          <w:trHeight w:val="270"/>
        </w:trPr>
        <w:tc>
          <w:tcPr>
            <w:tcW w:w="5300" w:type="dxa"/>
            <w:vAlign w:val="bottom"/>
          </w:tcPr>
          <w:p w14:paraId="23AC3690" w14:textId="77777777" w:rsidR="00D1587D" w:rsidRDefault="00410D07">
            <w:pPr>
              <w:rPr>
                <w:sz w:val="20"/>
                <w:szCs w:val="20"/>
              </w:rPr>
            </w:pPr>
            <w:r>
              <w:rPr>
                <w:rFonts w:ascii="Arial" w:eastAsia="Arial" w:hAnsi="Arial" w:cs="Arial"/>
                <w:sz w:val="18"/>
                <w:szCs w:val="18"/>
              </w:rPr>
              <w:t xml:space="preserve">Other Comprehensive Income (Loss) Before </w:t>
            </w:r>
            <w:r>
              <w:rPr>
                <w:rFonts w:ascii="Arial" w:eastAsia="Arial" w:hAnsi="Arial" w:cs="Arial"/>
                <w:sz w:val="18"/>
                <w:szCs w:val="18"/>
              </w:rPr>
              <w:t>Reclassifications</w:t>
            </w:r>
          </w:p>
        </w:tc>
        <w:tc>
          <w:tcPr>
            <w:tcW w:w="980" w:type="dxa"/>
            <w:vAlign w:val="bottom"/>
          </w:tcPr>
          <w:p w14:paraId="20B5F1EE" w14:textId="77777777" w:rsidR="00D1587D" w:rsidRDefault="00410D07">
            <w:pPr>
              <w:ind w:right="196"/>
              <w:jc w:val="right"/>
              <w:rPr>
                <w:sz w:val="20"/>
                <w:szCs w:val="20"/>
              </w:rPr>
            </w:pPr>
            <w:r>
              <w:rPr>
                <w:rFonts w:ascii="Arial" w:eastAsia="Arial" w:hAnsi="Arial" w:cs="Arial"/>
                <w:sz w:val="18"/>
                <w:szCs w:val="18"/>
              </w:rPr>
              <w:t>(6)</w:t>
            </w:r>
          </w:p>
        </w:tc>
        <w:tc>
          <w:tcPr>
            <w:tcW w:w="120" w:type="dxa"/>
            <w:vAlign w:val="bottom"/>
          </w:tcPr>
          <w:p w14:paraId="7F0EF31A" w14:textId="77777777" w:rsidR="00D1587D" w:rsidRDefault="00D1587D">
            <w:pPr>
              <w:rPr>
                <w:sz w:val="23"/>
                <w:szCs w:val="23"/>
              </w:rPr>
            </w:pPr>
          </w:p>
        </w:tc>
        <w:tc>
          <w:tcPr>
            <w:tcW w:w="960" w:type="dxa"/>
            <w:vAlign w:val="bottom"/>
          </w:tcPr>
          <w:p w14:paraId="7B911CC2" w14:textId="77777777" w:rsidR="00D1587D" w:rsidRDefault="00410D07">
            <w:pPr>
              <w:ind w:right="276"/>
              <w:jc w:val="right"/>
              <w:rPr>
                <w:sz w:val="20"/>
                <w:szCs w:val="20"/>
              </w:rPr>
            </w:pPr>
            <w:r>
              <w:rPr>
                <w:rFonts w:ascii="Arial" w:eastAsia="Arial" w:hAnsi="Arial" w:cs="Arial"/>
                <w:sz w:val="18"/>
                <w:szCs w:val="18"/>
              </w:rPr>
              <w:t>1</w:t>
            </w:r>
          </w:p>
        </w:tc>
        <w:tc>
          <w:tcPr>
            <w:tcW w:w="80" w:type="dxa"/>
            <w:vAlign w:val="bottom"/>
          </w:tcPr>
          <w:p w14:paraId="09094979" w14:textId="77777777" w:rsidR="00D1587D" w:rsidRDefault="00D1587D">
            <w:pPr>
              <w:rPr>
                <w:sz w:val="23"/>
                <w:szCs w:val="23"/>
              </w:rPr>
            </w:pPr>
          </w:p>
        </w:tc>
        <w:tc>
          <w:tcPr>
            <w:tcW w:w="980" w:type="dxa"/>
            <w:vAlign w:val="bottom"/>
          </w:tcPr>
          <w:p w14:paraId="44545856" w14:textId="77777777" w:rsidR="00D1587D" w:rsidRDefault="00410D07">
            <w:pPr>
              <w:ind w:right="177"/>
              <w:jc w:val="right"/>
              <w:rPr>
                <w:sz w:val="20"/>
                <w:szCs w:val="20"/>
              </w:rPr>
            </w:pPr>
            <w:r>
              <w:rPr>
                <w:rFonts w:ascii="Arial" w:eastAsia="Arial" w:hAnsi="Arial" w:cs="Arial"/>
                <w:sz w:val="18"/>
                <w:szCs w:val="18"/>
              </w:rPr>
              <w:t>(5)</w:t>
            </w:r>
          </w:p>
        </w:tc>
        <w:tc>
          <w:tcPr>
            <w:tcW w:w="0" w:type="dxa"/>
            <w:vAlign w:val="bottom"/>
          </w:tcPr>
          <w:p w14:paraId="72CDA99D" w14:textId="77777777" w:rsidR="00D1587D" w:rsidRDefault="00D1587D">
            <w:pPr>
              <w:rPr>
                <w:sz w:val="1"/>
                <w:szCs w:val="1"/>
              </w:rPr>
            </w:pPr>
          </w:p>
        </w:tc>
      </w:tr>
      <w:tr w:rsidR="00D1587D" w14:paraId="016DB01F" w14:textId="77777777">
        <w:trPr>
          <w:trHeight w:val="54"/>
        </w:trPr>
        <w:tc>
          <w:tcPr>
            <w:tcW w:w="5300" w:type="dxa"/>
            <w:vAlign w:val="bottom"/>
          </w:tcPr>
          <w:p w14:paraId="739DF22A" w14:textId="77777777" w:rsidR="00D1587D" w:rsidRDefault="00D1587D">
            <w:pPr>
              <w:rPr>
                <w:sz w:val="4"/>
                <w:szCs w:val="4"/>
              </w:rPr>
            </w:pPr>
          </w:p>
        </w:tc>
        <w:tc>
          <w:tcPr>
            <w:tcW w:w="980" w:type="dxa"/>
            <w:vAlign w:val="bottom"/>
          </w:tcPr>
          <w:p w14:paraId="0D601DDC" w14:textId="77777777" w:rsidR="00D1587D" w:rsidRDefault="00D1587D">
            <w:pPr>
              <w:rPr>
                <w:sz w:val="4"/>
                <w:szCs w:val="4"/>
              </w:rPr>
            </w:pPr>
          </w:p>
        </w:tc>
        <w:tc>
          <w:tcPr>
            <w:tcW w:w="120" w:type="dxa"/>
            <w:vAlign w:val="bottom"/>
          </w:tcPr>
          <w:p w14:paraId="3B664A47" w14:textId="77777777" w:rsidR="00D1587D" w:rsidRDefault="00D1587D">
            <w:pPr>
              <w:rPr>
                <w:sz w:val="4"/>
                <w:szCs w:val="4"/>
              </w:rPr>
            </w:pPr>
          </w:p>
        </w:tc>
        <w:tc>
          <w:tcPr>
            <w:tcW w:w="960" w:type="dxa"/>
            <w:vAlign w:val="bottom"/>
          </w:tcPr>
          <w:p w14:paraId="5E3C58F6" w14:textId="77777777" w:rsidR="00D1587D" w:rsidRDefault="00D1587D">
            <w:pPr>
              <w:rPr>
                <w:sz w:val="4"/>
                <w:szCs w:val="4"/>
              </w:rPr>
            </w:pPr>
          </w:p>
        </w:tc>
        <w:tc>
          <w:tcPr>
            <w:tcW w:w="80" w:type="dxa"/>
            <w:vAlign w:val="bottom"/>
          </w:tcPr>
          <w:p w14:paraId="4C2DC708" w14:textId="77777777" w:rsidR="00D1587D" w:rsidRDefault="00D1587D">
            <w:pPr>
              <w:rPr>
                <w:sz w:val="4"/>
                <w:szCs w:val="4"/>
              </w:rPr>
            </w:pPr>
          </w:p>
        </w:tc>
        <w:tc>
          <w:tcPr>
            <w:tcW w:w="980" w:type="dxa"/>
            <w:vAlign w:val="bottom"/>
          </w:tcPr>
          <w:p w14:paraId="13396CCE" w14:textId="77777777" w:rsidR="00D1587D" w:rsidRDefault="00D1587D">
            <w:pPr>
              <w:rPr>
                <w:sz w:val="4"/>
                <w:szCs w:val="4"/>
              </w:rPr>
            </w:pPr>
          </w:p>
        </w:tc>
        <w:tc>
          <w:tcPr>
            <w:tcW w:w="0" w:type="dxa"/>
            <w:vAlign w:val="bottom"/>
          </w:tcPr>
          <w:p w14:paraId="1D0FC7B8" w14:textId="77777777" w:rsidR="00D1587D" w:rsidRDefault="00D1587D">
            <w:pPr>
              <w:rPr>
                <w:sz w:val="1"/>
                <w:szCs w:val="1"/>
              </w:rPr>
            </w:pPr>
          </w:p>
        </w:tc>
      </w:tr>
      <w:tr w:rsidR="00D1587D" w14:paraId="1C554497" w14:textId="77777777">
        <w:trPr>
          <w:trHeight w:val="256"/>
        </w:trPr>
        <w:tc>
          <w:tcPr>
            <w:tcW w:w="5300" w:type="dxa"/>
            <w:shd w:val="clear" w:color="auto" w:fill="CCEEFF"/>
            <w:vAlign w:val="bottom"/>
          </w:tcPr>
          <w:p w14:paraId="680A334E" w14:textId="77777777" w:rsidR="00D1587D" w:rsidRDefault="00410D07">
            <w:pPr>
              <w:rPr>
                <w:sz w:val="20"/>
                <w:szCs w:val="20"/>
              </w:rPr>
            </w:pPr>
            <w:r>
              <w:rPr>
                <w:rFonts w:ascii="Arial" w:eastAsia="Arial" w:hAnsi="Arial" w:cs="Arial"/>
                <w:sz w:val="18"/>
                <w:szCs w:val="18"/>
              </w:rPr>
              <w:t>Amounts Reclassified from Accumulated Other Comprehensive</w:t>
            </w:r>
          </w:p>
        </w:tc>
        <w:tc>
          <w:tcPr>
            <w:tcW w:w="980" w:type="dxa"/>
            <w:shd w:val="clear" w:color="auto" w:fill="CCEEFF"/>
            <w:vAlign w:val="bottom"/>
          </w:tcPr>
          <w:p w14:paraId="6A5F3151" w14:textId="77777777" w:rsidR="00D1587D" w:rsidRDefault="00D1587D"/>
        </w:tc>
        <w:tc>
          <w:tcPr>
            <w:tcW w:w="120" w:type="dxa"/>
            <w:shd w:val="clear" w:color="auto" w:fill="CCEEFF"/>
            <w:vAlign w:val="bottom"/>
          </w:tcPr>
          <w:p w14:paraId="60F3F100" w14:textId="77777777" w:rsidR="00D1587D" w:rsidRDefault="00D1587D"/>
        </w:tc>
        <w:tc>
          <w:tcPr>
            <w:tcW w:w="960" w:type="dxa"/>
            <w:shd w:val="clear" w:color="auto" w:fill="CCEEFF"/>
            <w:vAlign w:val="bottom"/>
          </w:tcPr>
          <w:p w14:paraId="09718184" w14:textId="77777777" w:rsidR="00D1587D" w:rsidRDefault="00D1587D"/>
        </w:tc>
        <w:tc>
          <w:tcPr>
            <w:tcW w:w="80" w:type="dxa"/>
            <w:shd w:val="clear" w:color="auto" w:fill="CCEEFF"/>
            <w:vAlign w:val="bottom"/>
          </w:tcPr>
          <w:p w14:paraId="628269BC" w14:textId="77777777" w:rsidR="00D1587D" w:rsidRDefault="00D1587D"/>
        </w:tc>
        <w:tc>
          <w:tcPr>
            <w:tcW w:w="980" w:type="dxa"/>
            <w:shd w:val="clear" w:color="auto" w:fill="CCEEFF"/>
            <w:vAlign w:val="bottom"/>
          </w:tcPr>
          <w:p w14:paraId="401F47C2" w14:textId="77777777" w:rsidR="00D1587D" w:rsidRDefault="00D1587D"/>
        </w:tc>
        <w:tc>
          <w:tcPr>
            <w:tcW w:w="0" w:type="dxa"/>
            <w:vAlign w:val="bottom"/>
          </w:tcPr>
          <w:p w14:paraId="0B10BDFD" w14:textId="77777777" w:rsidR="00D1587D" w:rsidRDefault="00D1587D">
            <w:pPr>
              <w:rPr>
                <w:sz w:val="1"/>
                <w:szCs w:val="1"/>
              </w:rPr>
            </w:pPr>
          </w:p>
        </w:tc>
      </w:tr>
      <w:tr w:rsidR="00D1587D" w14:paraId="00AF4A60" w14:textId="77777777">
        <w:trPr>
          <w:trHeight w:val="264"/>
        </w:trPr>
        <w:tc>
          <w:tcPr>
            <w:tcW w:w="5300" w:type="dxa"/>
            <w:tcBorders>
              <w:bottom w:val="single" w:sz="8" w:space="0" w:color="CCEEFF"/>
            </w:tcBorders>
            <w:shd w:val="clear" w:color="auto" w:fill="CCEEFF"/>
            <w:vAlign w:val="bottom"/>
          </w:tcPr>
          <w:p w14:paraId="0E3518BE" w14:textId="77777777" w:rsidR="00D1587D" w:rsidRDefault="00410D07">
            <w:pPr>
              <w:ind w:left="180"/>
              <w:rPr>
                <w:sz w:val="20"/>
                <w:szCs w:val="20"/>
              </w:rPr>
            </w:pPr>
            <w:r>
              <w:rPr>
                <w:rFonts w:ascii="Arial" w:eastAsia="Arial" w:hAnsi="Arial" w:cs="Arial"/>
                <w:sz w:val="18"/>
                <w:szCs w:val="18"/>
              </w:rPr>
              <w:t>Income</w:t>
            </w:r>
          </w:p>
        </w:tc>
        <w:tc>
          <w:tcPr>
            <w:tcW w:w="1100" w:type="dxa"/>
            <w:gridSpan w:val="2"/>
            <w:tcBorders>
              <w:bottom w:val="single" w:sz="8" w:space="0" w:color="CCEEFF"/>
            </w:tcBorders>
            <w:shd w:val="clear" w:color="auto" w:fill="CCEEFF"/>
            <w:vAlign w:val="bottom"/>
          </w:tcPr>
          <w:p w14:paraId="2602FA3B" w14:textId="77777777" w:rsidR="00D1587D" w:rsidRDefault="00410D07">
            <w:pPr>
              <w:ind w:right="460"/>
              <w:jc w:val="right"/>
              <w:rPr>
                <w:sz w:val="20"/>
                <w:szCs w:val="20"/>
              </w:rPr>
            </w:pPr>
            <w:r>
              <w:rPr>
                <w:rFonts w:ascii="Arial" w:eastAsia="Arial" w:hAnsi="Arial" w:cs="Arial"/>
                <w:sz w:val="18"/>
                <w:szCs w:val="18"/>
              </w:rPr>
              <w:t>—</w:t>
            </w:r>
          </w:p>
        </w:tc>
        <w:tc>
          <w:tcPr>
            <w:tcW w:w="960" w:type="dxa"/>
            <w:tcBorders>
              <w:bottom w:val="single" w:sz="8" w:space="0" w:color="CCEEFF"/>
            </w:tcBorders>
            <w:shd w:val="clear" w:color="auto" w:fill="CCEEFF"/>
            <w:vAlign w:val="bottom"/>
          </w:tcPr>
          <w:p w14:paraId="5B466EAA" w14:textId="77777777" w:rsidR="00D1587D" w:rsidRDefault="00410D07">
            <w:pPr>
              <w:ind w:right="216"/>
              <w:jc w:val="right"/>
              <w:rPr>
                <w:sz w:val="20"/>
                <w:szCs w:val="20"/>
              </w:rPr>
            </w:pPr>
            <w:r>
              <w:rPr>
                <w:rFonts w:ascii="Arial" w:eastAsia="Arial" w:hAnsi="Arial" w:cs="Arial"/>
                <w:sz w:val="18"/>
                <w:szCs w:val="18"/>
              </w:rPr>
              <w:t>(3)</w:t>
            </w:r>
          </w:p>
        </w:tc>
        <w:tc>
          <w:tcPr>
            <w:tcW w:w="80" w:type="dxa"/>
            <w:tcBorders>
              <w:bottom w:val="single" w:sz="8" w:space="0" w:color="CCEEFF"/>
            </w:tcBorders>
            <w:shd w:val="clear" w:color="auto" w:fill="CCEEFF"/>
            <w:vAlign w:val="bottom"/>
          </w:tcPr>
          <w:p w14:paraId="381069AB" w14:textId="77777777" w:rsidR="00D1587D" w:rsidRDefault="00D1587D"/>
        </w:tc>
        <w:tc>
          <w:tcPr>
            <w:tcW w:w="980" w:type="dxa"/>
            <w:tcBorders>
              <w:bottom w:val="single" w:sz="8" w:space="0" w:color="CCEEFF"/>
            </w:tcBorders>
            <w:shd w:val="clear" w:color="auto" w:fill="CCEEFF"/>
            <w:vAlign w:val="bottom"/>
          </w:tcPr>
          <w:p w14:paraId="68B28CE6" w14:textId="77777777" w:rsidR="00D1587D" w:rsidRDefault="00410D07">
            <w:pPr>
              <w:ind w:right="177"/>
              <w:jc w:val="right"/>
              <w:rPr>
                <w:sz w:val="20"/>
                <w:szCs w:val="20"/>
              </w:rPr>
            </w:pPr>
            <w:r>
              <w:rPr>
                <w:rFonts w:ascii="Arial" w:eastAsia="Arial" w:hAnsi="Arial" w:cs="Arial"/>
                <w:sz w:val="18"/>
                <w:szCs w:val="18"/>
              </w:rPr>
              <w:t>(3)</w:t>
            </w:r>
          </w:p>
        </w:tc>
        <w:tc>
          <w:tcPr>
            <w:tcW w:w="0" w:type="dxa"/>
            <w:vAlign w:val="bottom"/>
          </w:tcPr>
          <w:p w14:paraId="24D45435" w14:textId="77777777" w:rsidR="00D1587D" w:rsidRDefault="00D1587D">
            <w:pPr>
              <w:rPr>
                <w:sz w:val="1"/>
                <w:szCs w:val="1"/>
              </w:rPr>
            </w:pPr>
          </w:p>
        </w:tc>
      </w:tr>
      <w:tr w:rsidR="00D1587D" w14:paraId="132DE6E3" w14:textId="77777777">
        <w:trPr>
          <w:trHeight w:val="270"/>
        </w:trPr>
        <w:tc>
          <w:tcPr>
            <w:tcW w:w="5300" w:type="dxa"/>
            <w:vAlign w:val="bottom"/>
          </w:tcPr>
          <w:p w14:paraId="5FC50589" w14:textId="77777777" w:rsidR="00D1587D" w:rsidRDefault="00410D07">
            <w:pPr>
              <w:rPr>
                <w:sz w:val="20"/>
                <w:szCs w:val="20"/>
              </w:rPr>
            </w:pPr>
            <w:r>
              <w:rPr>
                <w:rFonts w:ascii="Arial" w:eastAsia="Arial" w:hAnsi="Arial" w:cs="Arial"/>
                <w:sz w:val="18"/>
                <w:szCs w:val="18"/>
              </w:rPr>
              <w:t>Tax Effect</w:t>
            </w:r>
          </w:p>
        </w:tc>
        <w:tc>
          <w:tcPr>
            <w:tcW w:w="1100" w:type="dxa"/>
            <w:gridSpan w:val="2"/>
            <w:vAlign w:val="bottom"/>
          </w:tcPr>
          <w:p w14:paraId="24724F9C" w14:textId="77777777" w:rsidR="00D1587D" w:rsidRDefault="00410D07">
            <w:pPr>
              <w:ind w:right="460"/>
              <w:jc w:val="right"/>
              <w:rPr>
                <w:sz w:val="20"/>
                <w:szCs w:val="20"/>
              </w:rPr>
            </w:pPr>
            <w:r>
              <w:rPr>
                <w:rFonts w:ascii="Arial" w:eastAsia="Arial" w:hAnsi="Arial" w:cs="Arial"/>
                <w:sz w:val="18"/>
                <w:szCs w:val="18"/>
              </w:rPr>
              <w:t>—</w:t>
            </w:r>
          </w:p>
        </w:tc>
        <w:tc>
          <w:tcPr>
            <w:tcW w:w="1040" w:type="dxa"/>
            <w:gridSpan w:val="2"/>
            <w:vAlign w:val="bottom"/>
          </w:tcPr>
          <w:p w14:paraId="5064D5C2" w14:textId="77777777" w:rsidR="00D1587D" w:rsidRDefault="00410D07">
            <w:pPr>
              <w:ind w:right="440"/>
              <w:jc w:val="right"/>
              <w:rPr>
                <w:sz w:val="20"/>
                <w:szCs w:val="20"/>
              </w:rPr>
            </w:pPr>
            <w:r>
              <w:rPr>
                <w:rFonts w:ascii="Arial" w:eastAsia="Arial" w:hAnsi="Arial" w:cs="Arial"/>
                <w:sz w:val="18"/>
                <w:szCs w:val="18"/>
              </w:rPr>
              <w:t>—</w:t>
            </w:r>
          </w:p>
        </w:tc>
        <w:tc>
          <w:tcPr>
            <w:tcW w:w="980" w:type="dxa"/>
            <w:vAlign w:val="bottom"/>
          </w:tcPr>
          <w:p w14:paraId="47695542" w14:textId="77777777" w:rsidR="00D1587D" w:rsidRDefault="00410D07">
            <w:pPr>
              <w:ind w:right="237"/>
              <w:jc w:val="right"/>
              <w:rPr>
                <w:sz w:val="20"/>
                <w:szCs w:val="20"/>
              </w:rPr>
            </w:pPr>
            <w:r>
              <w:rPr>
                <w:rFonts w:ascii="Arial" w:eastAsia="Arial" w:hAnsi="Arial" w:cs="Arial"/>
                <w:sz w:val="18"/>
                <w:szCs w:val="18"/>
              </w:rPr>
              <w:t>—</w:t>
            </w:r>
          </w:p>
        </w:tc>
        <w:tc>
          <w:tcPr>
            <w:tcW w:w="0" w:type="dxa"/>
            <w:vAlign w:val="bottom"/>
          </w:tcPr>
          <w:p w14:paraId="2EF8A064" w14:textId="77777777" w:rsidR="00D1587D" w:rsidRDefault="00D1587D">
            <w:pPr>
              <w:rPr>
                <w:sz w:val="1"/>
                <w:szCs w:val="1"/>
              </w:rPr>
            </w:pPr>
          </w:p>
        </w:tc>
      </w:tr>
      <w:tr w:rsidR="00D1587D" w14:paraId="2592BEB6" w14:textId="77777777">
        <w:trPr>
          <w:trHeight w:val="67"/>
        </w:trPr>
        <w:tc>
          <w:tcPr>
            <w:tcW w:w="5300" w:type="dxa"/>
            <w:tcBorders>
              <w:bottom w:val="single" w:sz="8" w:space="0" w:color="CCEEFF"/>
            </w:tcBorders>
            <w:vAlign w:val="bottom"/>
          </w:tcPr>
          <w:p w14:paraId="62FF3BAC" w14:textId="77777777" w:rsidR="00D1587D" w:rsidRDefault="00D1587D">
            <w:pPr>
              <w:rPr>
                <w:sz w:val="5"/>
                <w:szCs w:val="5"/>
              </w:rPr>
            </w:pPr>
          </w:p>
        </w:tc>
        <w:tc>
          <w:tcPr>
            <w:tcW w:w="980" w:type="dxa"/>
            <w:tcBorders>
              <w:bottom w:val="single" w:sz="8" w:space="0" w:color="auto"/>
            </w:tcBorders>
            <w:vAlign w:val="bottom"/>
          </w:tcPr>
          <w:p w14:paraId="74A131F0" w14:textId="77777777" w:rsidR="00D1587D" w:rsidRDefault="00D1587D">
            <w:pPr>
              <w:rPr>
                <w:sz w:val="5"/>
                <w:szCs w:val="5"/>
              </w:rPr>
            </w:pPr>
          </w:p>
        </w:tc>
        <w:tc>
          <w:tcPr>
            <w:tcW w:w="120" w:type="dxa"/>
            <w:tcBorders>
              <w:bottom w:val="single" w:sz="8" w:space="0" w:color="CCEEFF"/>
            </w:tcBorders>
            <w:vAlign w:val="bottom"/>
          </w:tcPr>
          <w:p w14:paraId="6705B913" w14:textId="77777777" w:rsidR="00D1587D" w:rsidRDefault="00D1587D">
            <w:pPr>
              <w:rPr>
                <w:sz w:val="5"/>
                <w:szCs w:val="5"/>
              </w:rPr>
            </w:pPr>
          </w:p>
        </w:tc>
        <w:tc>
          <w:tcPr>
            <w:tcW w:w="960" w:type="dxa"/>
            <w:tcBorders>
              <w:bottom w:val="single" w:sz="8" w:space="0" w:color="auto"/>
            </w:tcBorders>
            <w:vAlign w:val="bottom"/>
          </w:tcPr>
          <w:p w14:paraId="6199F587" w14:textId="77777777" w:rsidR="00D1587D" w:rsidRDefault="00D1587D">
            <w:pPr>
              <w:rPr>
                <w:sz w:val="5"/>
                <w:szCs w:val="5"/>
              </w:rPr>
            </w:pPr>
          </w:p>
        </w:tc>
        <w:tc>
          <w:tcPr>
            <w:tcW w:w="80" w:type="dxa"/>
            <w:tcBorders>
              <w:bottom w:val="single" w:sz="8" w:space="0" w:color="CCEEFF"/>
            </w:tcBorders>
            <w:vAlign w:val="bottom"/>
          </w:tcPr>
          <w:p w14:paraId="6A6D1DE6" w14:textId="77777777" w:rsidR="00D1587D" w:rsidRDefault="00D1587D">
            <w:pPr>
              <w:rPr>
                <w:sz w:val="5"/>
                <w:szCs w:val="5"/>
              </w:rPr>
            </w:pPr>
          </w:p>
        </w:tc>
        <w:tc>
          <w:tcPr>
            <w:tcW w:w="980" w:type="dxa"/>
            <w:tcBorders>
              <w:bottom w:val="single" w:sz="8" w:space="0" w:color="auto"/>
            </w:tcBorders>
            <w:vAlign w:val="bottom"/>
          </w:tcPr>
          <w:p w14:paraId="7720E2EF" w14:textId="77777777" w:rsidR="00D1587D" w:rsidRDefault="00D1587D">
            <w:pPr>
              <w:rPr>
                <w:sz w:val="5"/>
                <w:szCs w:val="5"/>
              </w:rPr>
            </w:pPr>
          </w:p>
        </w:tc>
        <w:tc>
          <w:tcPr>
            <w:tcW w:w="0" w:type="dxa"/>
            <w:vAlign w:val="bottom"/>
          </w:tcPr>
          <w:p w14:paraId="43AED79F" w14:textId="77777777" w:rsidR="00D1587D" w:rsidRDefault="00D1587D">
            <w:pPr>
              <w:rPr>
                <w:sz w:val="1"/>
                <w:szCs w:val="1"/>
              </w:rPr>
            </w:pPr>
          </w:p>
        </w:tc>
      </w:tr>
      <w:tr w:rsidR="00D1587D" w14:paraId="3C405FF7" w14:textId="77777777">
        <w:trPr>
          <w:trHeight w:val="277"/>
        </w:trPr>
        <w:tc>
          <w:tcPr>
            <w:tcW w:w="5300" w:type="dxa"/>
            <w:shd w:val="clear" w:color="auto" w:fill="CCEEFF"/>
            <w:vAlign w:val="bottom"/>
          </w:tcPr>
          <w:p w14:paraId="09AB1EB1" w14:textId="77777777" w:rsidR="00D1587D" w:rsidRDefault="00410D07">
            <w:pPr>
              <w:rPr>
                <w:sz w:val="20"/>
                <w:szCs w:val="20"/>
              </w:rPr>
            </w:pPr>
            <w:r>
              <w:rPr>
                <w:rFonts w:ascii="Arial" w:eastAsia="Arial" w:hAnsi="Arial" w:cs="Arial"/>
                <w:sz w:val="18"/>
                <w:szCs w:val="18"/>
              </w:rPr>
              <w:t>Current-period Other Comprehensive Loss</w:t>
            </w:r>
          </w:p>
        </w:tc>
        <w:tc>
          <w:tcPr>
            <w:tcW w:w="980" w:type="dxa"/>
            <w:shd w:val="clear" w:color="auto" w:fill="CCEEFF"/>
            <w:vAlign w:val="bottom"/>
          </w:tcPr>
          <w:p w14:paraId="04C52639" w14:textId="77777777" w:rsidR="00D1587D" w:rsidRDefault="00410D07">
            <w:pPr>
              <w:ind w:right="196"/>
              <w:jc w:val="right"/>
              <w:rPr>
                <w:sz w:val="20"/>
                <w:szCs w:val="20"/>
              </w:rPr>
            </w:pPr>
            <w:r>
              <w:rPr>
                <w:rFonts w:ascii="Arial" w:eastAsia="Arial" w:hAnsi="Arial" w:cs="Arial"/>
                <w:sz w:val="18"/>
                <w:szCs w:val="18"/>
              </w:rPr>
              <w:t>(6)</w:t>
            </w:r>
          </w:p>
        </w:tc>
        <w:tc>
          <w:tcPr>
            <w:tcW w:w="120" w:type="dxa"/>
            <w:shd w:val="clear" w:color="auto" w:fill="CCEEFF"/>
            <w:vAlign w:val="bottom"/>
          </w:tcPr>
          <w:p w14:paraId="1A581BD8" w14:textId="77777777" w:rsidR="00D1587D" w:rsidRDefault="00D1587D">
            <w:pPr>
              <w:rPr>
                <w:sz w:val="24"/>
                <w:szCs w:val="24"/>
              </w:rPr>
            </w:pPr>
          </w:p>
        </w:tc>
        <w:tc>
          <w:tcPr>
            <w:tcW w:w="960" w:type="dxa"/>
            <w:shd w:val="clear" w:color="auto" w:fill="CCEEFF"/>
            <w:vAlign w:val="bottom"/>
          </w:tcPr>
          <w:p w14:paraId="4130FDB8" w14:textId="77777777" w:rsidR="00D1587D" w:rsidRDefault="00410D07">
            <w:pPr>
              <w:ind w:right="216"/>
              <w:jc w:val="right"/>
              <w:rPr>
                <w:sz w:val="20"/>
                <w:szCs w:val="20"/>
              </w:rPr>
            </w:pPr>
            <w:r>
              <w:rPr>
                <w:rFonts w:ascii="Arial" w:eastAsia="Arial" w:hAnsi="Arial" w:cs="Arial"/>
                <w:sz w:val="18"/>
                <w:szCs w:val="18"/>
              </w:rPr>
              <w:t>(2)</w:t>
            </w:r>
          </w:p>
        </w:tc>
        <w:tc>
          <w:tcPr>
            <w:tcW w:w="80" w:type="dxa"/>
            <w:shd w:val="clear" w:color="auto" w:fill="CCEEFF"/>
            <w:vAlign w:val="bottom"/>
          </w:tcPr>
          <w:p w14:paraId="0F8243EE" w14:textId="77777777" w:rsidR="00D1587D" w:rsidRDefault="00D1587D">
            <w:pPr>
              <w:rPr>
                <w:sz w:val="24"/>
                <w:szCs w:val="24"/>
              </w:rPr>
            </w:pPr>
          </w:p>
        </w:tc>
        <w:tc>
          <w:tcPr>
            <w:tcW w:w="980" w:type="dxa"/>
            <w:shd w:val="clear" w:color="auto" w:fill="CCEEFF"/>
            <w:vAlign w:val="bottom"/>
          </w:tcPr>
          <w:p w14:paraId="1374AAE6" w14:textId="77777777" w:rsidR="00D1587D" w:rsidRDefault="00410D07">
            <w:pPr>
              <w:ind w:right="177"/>
              <w:jc w:val="right"/>
              <w:rPr>
                <w:sz w:val="20"/>
                <w:szCs w:val="20"/>
              </w:rPr>
            </w:pPr>
            <w:r>
              <w:rPr>
                <w:rFonts w:ascii="Arial" w:eastAsia="Arial" w:hAnsi="Arial" w:cs="Arial"/>
                <w:sz w:val="18"/>
                <w:szCs w:val="18"/>
              </w:rPr>
              <w:t>(8)</w:t>
            </w:r>
          </w:p>
        </w:tc>
        <w:tc>
          <w:tcPr>
            <w:tcW w:w="0" w:type="dxa"/>
            <w:vAlign w:val="bottom"/>
          </w:tcPr>
          <w:p w14:paraId="7DCCFE30" w14:textId="77777777" w:rsidR="00D1587D" w:rsidRDefault="00D1587D">
            <w:pPr>
              <w:rPr>
                <w:sz w:val="1"/>
                <w:szCs w:val="1"/>
              </w:rPr>
            </w:pPr>
          </w:p>
        </w:tc>
      </w:tr>
      <w:tr w:rsidR="00D1587D" w14:paraId="63F0675F" w14:textId="77777777">
        <w:trPr>
          <w:trHeight w:val="68"/>
        </w:trPr>
        <w:tc>
          <w:tcPr>
            <w:tcW w:w="5300" w:type="dxa"/>
            <w:shd w:val="clear" w:color="auto" w:fill="CCEEFF"/>
            <w:vAlign w:val="bottom"/>
          </w:tcPr>
          <w:p w14:paraId="0CAE4932" w14:textId="77777777" w:rsidR="00D1587D" w:rsidRDefault="00D1587D">
            <w:pPr>
              <w:rPr>
                <w:sz w:val="5"/>
                <w:szCs w:val="5"/>
              </w:rPr>
            </w:pPr>
          </w:p>
        </w:tc>
        <w:tc>
          <w:tcPr>
            <w:tcW w:w="980" w:type="dxa"/>
            <w:tcBorders>
              <w:bottom w:val="single" w:sz="8" w:space="0" w:color="auto"/>
            </w:tcBorders>
            <w:shd w:val="clear" w:color="auto" w:fill="CCEEFF"/>
            <w:vAlign w:val="bottom"/>
          </w:tcPr>
          <w:p w14:paraId="153ABB10" w14:textId="77777777" w:rsidR="00D1587D" w:rsidRDefault="00D1587D">
            <w:pPr>
              <w:rPr>
                <w:sz w:val="5"/>
                <w:szCs w:val="5"/>
              </w:rPr>
            </w:pPr>
          </w:p>
        </w:tc>
        <w:tc>
          <w:tcPr>
            <w:tcW w:w="120" w:type="dxa"/>
            <w:tcBorders>
              <w:bottom w:val="single" w:sz="8" w:space="0" w:color="CCEEFF"/>
            </w:tcBorders>
            <w:shd w:val="clear" w:color="auto" w:fill="CCEEFF"/>
            <w:vAlign w:val="bottom"/>
          </w:tcPr>
          <w:p w14:paraId="09271BA0" w14:textId="77777777" w:rsidR="00D1587D" w:rsidRDefault="00D1587D">
            <w:pPr>
              <w:rPr>
                <w:sz w:val="5"/>
                <w:szCs w:val="5"/>
              </w:rPr>
            </w:pPr>
          </w:p>
        </w:tc>
        <w:tc>
          <w:tcPr>
            <w:tcW w:w="960" w:type="dxa"/>
            <w:tcBorders>
              <w:bottom w:val="single" w:sz="8" w:space="0" w:color="auto"/>
            </w:tcBorders>
            <w:shd w:val="clear" w:color="auto" w:fill="CCEEFF"/>
            <w:vAlign w:val="bottom"/>
          </w:tcPr>
          <w:p w14:paraId="3C5B6F30" w14:textId="77777777" w:rsidR="00D1587D" w:rsidRDefault="00D1587D">
            <w:pPr>
              <w:rPr>
                <w:sz w:val="5"/>
                <w:szCs w:val="5"/>
              </w:rPr>
            </w:pPr>
          </w:p>
        </w:tc>
        <w:tc>
          <w:tcPr>
            <w:tcW w:w="80" w:type="dxa"/>
            <w:tcBorders>
              <w:bottom w:val="single" w:sz="8" w:space="0" w:color="CCEEFF"/>
            </w:tcBorders>
            <w:shd w:val="clear" w:color="auto" w:fill="CCEEFF"/>
            <w:vAlign w:val="bottom"/>
          </w:tcPr>
          <w:p w14:paraId="1AC568C5" w14:textId="77777777" w:rsidR="00D1587D" w:rsidRDefault="00D1587D">
            <w:pPr>
              <w:rPr>
                <w:sz w:val="5"/>
                <w:szCs w:val="5"/>
              </w:rPr>
            </w:pPr>
          </w:p>
        </w:tc>
        <w:tc>
          <w:tcPr>
            <w:tcW w:w="980" w:type="dxa"/>
            <w:tcBorders>
              <w:bottom w:val="single" w:sz="8" w:space="0" w:color="auto"/>
            </w:tcBorders>
            <w:shd w:val="clear" w:color="auto" w:fill="CCEEFF"/>
            <w:vAlign w:val="bottom"/>
          </w:tcPr>
          <w:p w14:paraId="2251095C" w14:textId="77777777" w:rsidR="00D1587D" w:rsidRDefault="00D1587D">
            <w:pPr>
              <w:rPr>
                <w:sz w:val="5"/>
                <w:szCs w:val="5"/>
              </w:rPr>
            </w:pPr>
          </w:p>
        </w:tc>
        <w:tc>
          <w:tcPr>
            <w:tcW w:w="0" w:type="dxa"/>
            <w:vAlign w:val="bottom"/>
          </w:tcPr>
          <w:p w14:paraId="19E0E651" w14:textId="77777777" w:rsidR="00D1587D" w:rsidRDefault="00D1587D">
            <w:pPr>
              <w:rPr>
                <w:sz w:val="1"/>
                <w:szCs w:val="1"/>
              </w:rPr>
            </w:pPr>
          </w:p>
        </w:tc>
      </w:tr>
      <w:tr w:rsidR="00D1587D" w14:paraId="5B511EE5" w14:textId="77777777">
        <w:trPr>
          <w:trHeight w:val="304"/>
        </w:trPr>
        <w:tc>
          <w:tcPr>
            <w:tcW w:w="5300" w:type="dxa"/>
            <w:vAlign w:val="bottom"/>
          </w:tcPr>
          <w:p w14:paraId="18BA9F53" w14:textId="77777777" w:rsidR="00D1587D" w:rsidRDefault="00410D07">
            <w:pPr>
              <w:rPr>
                <w:sz w:val="20"/>
                <w:szCs w:val="20"/>
              </w:rPr>
            </w:pPr>
            <w:r>
              <w:rPr>
                <w:rFonts w:ascii="Arial" w:eastAsia="Arial" w:hAnsi="Arial" w:cs="Arial"/>
                <w:sz w:val="18"/>
                <w:szCs w:val="18"/>
              </w:rPr>
              <w:t>Balance as of February 1, 2020</w:t>
            </w:r>
          </w:p>
        </w:tc>
        <w:tc>
          <w:tcPr>
            <w:tcW w:w="980" w:type="dxa"/>
            <w:vAlign w:val="bottom"/>
          </w:tcPr>
          <w:p w14:paraId="4A7EF7A3" w14:textId="77777777" w:rsidR="00D1587D" w:rsidRDefault="00410D07">
            <w:pPr>
              <w:ind w:right="196"/>
              <w:jc w:val="right"/>
              <w:rPr>
                <w:sz w:val="20"/>
                <w:szCs w:val="20"/>
              </w:rPr>
            </w:pPr>
            <w:r>
              <w:rPr>
                <w:rFonts w:ascii="Arial" w:eastAsia="Arial" w:hAnsi="Arial" w:cs="Arial"/>
                <w:sz w:val="18"/>
                <w:szCs w:val="18"/>
              </w:rPr>
              <w:t>$(29)</w:t>
            </w:r>
          </w:p>
        </w:tc>
        <w:tc>
          <w:tcPr>
            <w:tcW w:w="120" w:type="dxa"/>
            <w:vAlign w:val="bottom"/>
          </w:tcPr>
          <w:p w14:paraId="03EF02CF" w14:textId="77777777" w:rsidR="00D1587D" w:rsidRDefault="00D1587D">
            <w:pPr>
              <w:rPr>
                <w:sz w:val="24"/>
                <w:szCs w:val="24"/>
              </w:rPr>
            </w:pPr>
          </w:p>
        </w:tc>
        <w:tc>
          <w:tcPr>
            <w:tcW w:w="1040" w:type="dxa"/>
            <w:gridSpan w:val="2"/>
            <w:vAlign w:val="bottom"/>
          </w:tcPr>
          <w:p w14:paraId="034B6378" w14:textId="77777777" w:rsidR="00D1587D" w:rsidRDefault="00410D07">
            <w:pPr>
              <w:ind w:right="420"/>
              <w:jc w:val="right"/>
              <w:rPr>
                <w:sz w:val="20"/>
                <w:szCs w:val="20"/>
              </w:rPr>
            </w:pPr>
            <w:r>
              <w:rPr>
                <w:rFonts w:ascii="Arial" w:eastAsia="Arial" w:hAnsi="Arial" w:cs="Arial"/>
                <w:sz w:val="18"/>
                <w:szCs w:val="18"/>
              </w:rPr>
              <w:t>$—</w:t>
            </w:r>
          </w:p>
        </w:tc>
        <w:tc>
          <w:tcPr>
            <w:tcW w:w="980" w:type="dxa"/>
            <w:vAlign w:val="bottom"/>
          </w:tcPr>
          <w:p w14:paraId="7E33A2C5" w14:textId="77777777" w:rsidR="00D1587D" w:rsidRDefault="00410D07">
            <w:pPr>
              <w:ind w:right="177"/>
              <w:jc w:val="right"/>
              <w:rPr>
                <w:sz w:val="20"/>
                <w:szCs w:val="20"/>
              </w:rPr>
            </w:pPr>
            <w:r>
              <w:rPr>
                <w:rFonts w:ascii="Arial" w:eastAsia="Arial" w:hAnsi="Arial" w:cs="Arial"/>
                <w:sz w:val="18"/>
                <w:szCs w:val="18"/>
              </w:rPr>
              <w:t>$(29)</w:t>
            </w:r>
          </w:p>
        </w:tc>
        <w:tc>
          <w:tcPr>
            <w:tcW w:w="0" w:type="dxa"/>
            <w:vAlign w:val="bottom"/>
          </w:tcPr>
          <w:p w14:paraId="1DF857E8" w14:textId="77777777" w:rsidR="00D1587D" w:rsidRDefault="00D1587D">
            <w:pPr>
              <w:rPr>
                <w:sz w:val="1"/>
                <w:szCs w:val="1"/>
              </w:rPr>
            </w:pPr>
          </w:p>
        </w:tc>
      </w:tr>
      <w:tr w:rsidR="00D1587D" w14:paraId="3F585A6B" w14:textId="77777777">
        <w:trPr>
          <w:trHeight w:val="27"/>
        </w:trPr>
        <w:tc>
          <w:tcPr>
            <w:tcW w:w="5300" w:type="dxa"/>
            <w:vAlign w:val="bottom"/>
          </w:tcPr>
          <w:p w14:paraId="521B1932" w14:textId="77777777" w:rsidR="00D1587D" w:rsidRDefault="00D1587D">
            <w:pPr>
              <w:rPr>
                <w:sz w:val="2"/>
                <w:szCs w:val="2"/>
              </w:rPr>
            </w:pPr>
          </w:p>
        </w:tc>
        <w:tc>
          <w:tcPr>
            <w:tcW w:w="980" w:type="dxa"/>
            <w:tcBorders>
              <w:bottom w:val="single" w:sz="8" w:space="0" w:color="auto"/>
            </w:tcBorders>
            <w:vAlign w:val="bottom"/>
          </w:tcPr>
          <w:p w14:paraId="74A2837B" w14:textId="77777777" w:rsidR="00D1587D" w:rsidRDefault="00D1587D">
            <w:pPr>
              <w:rPr>
                <w:sz w:val="2"/>
                <w:szCs w:val="2"/>
              </w:rPr>
            </w:pPr>
          </w:p>
        </w:tc>
        <w:tc>
          <w:tcPr>
            <w:tcW w:w="120" w:type="dxa"/>
            <w:vAlign w:val="bottom"/>
          </w:tcPr>
          <w:p w14:paraId="199AEA3D" w14:textId="77777777" w:rsidR="00D1587D" w:rsidRDefault="00D1587D">
            <w:pPr>
              <w:rPr>
                <w:sz w:val="2"/>
                <w:szCs w:val="2"/>
              </w:rPr>
            </w:pPr>
          </w:p>
        </w:tc>
        <w:tc>
          <w:tcPr>
            <w:tcW w:w="960" w:type="dxa"/>
            <w:tcBorders>
              <w:bottom w:val="single" w:sz="8" w:space="0" w:color="auto"/>
            </w:tcBorders>
            <w:vAlign w:val="bottom"/>
          </w:tcPr>
          <w:p w14:paraId="6718F701" w14:textId="77777777" w:rsidR="00D1587D" w:rsidRDefault="00D1587D">
            <w:pPr>
              <w:rPr>
                <w:sz w:val="2"/>
                <w:szCs w:val="2"/>
              </w:rPr>
            </w:pPr>
          </w:p>
        </w:tc>
        <w:tc>
          <w:tcPr>
            <w:tcW w:w="80" w:type="dxa"/>
            <w:vAlign w:val="bottom"/>
          </w:tcPr>
          <w:p w14:paraId="43C8E131" w14:textId="77777777" w:rsidR="00D1587D" w:rsidRDefault="00D1587D">
            <w:pPr>
              <w:rPr>
                <w:sz w:val="2"/>
                <w:szCs w:val="2"/>
              </w:rPr>
            </w:pPr>
          </w:p>
        </w:tc>
        <w:tc>
          <w:tcPr>
            <w:tcW w:w="980" w:type="dxa"/>
            <w:tcBorders>
              <w:bottom w:val="single" w:sz="8" w:space="0" w:color="auto"/>
            </w:tcBorders>
            <w:vAlign w:val="bottom"/>
          </w:tcPr>
          <w:p w14:paraId="0C73E9FF" w14:textId="77777777" w:rsidR="00D1587D" w:rsidRDefault="00D1587D">
            <w:pPr>
              <w:rPr>
                <w:sz w:val="2"/>
                <w:szCs w:val="2"/>
              </w:rPr>
            </w:pPr>
          </w:p>
        </w:tc>
        <w:tc>
          <w:tcPr>
            <w:tcW w:w="0" w:type="dxa"/>
            <w:vAlign w:val="bottom"/>
          </w:tcPr>
          <w:p w14:paraId="55E4A344" w14:textId="77777777" w:rsidR="00D1587D" w:rsidRDefault="00D1587D">
            <w:pPr>
              <w:rPr>
                <w:sz w:val="1"/>
                <w:szCs w:val="1"/>
              </w:rPr>
            </w:pPr>
          </w:p>
        </w:tc>
      </w:tr>
      <w:tr w:rsidR="00D1587D" w14:paraId="4F331D81" w14:textId="77777777">
        <w:trPr>
          <w:trHeight w:val="20"/>
        </w:trPr>
        <w:tc>
          <w:tcPr>
            <w:tcW w:w="5300" w:type="dxa"/>
            <w:vAlign w:val="bottom"/>
          </w:tcPr>
          <w:p w14:paraId="3B91983B" w14:textId="77777777" w:rsidR="00D1587D" w:rsidRDefault="00D1587D">
            <w:pPr>
              <w:spacing w:line="20" w:lineRule="exact"/>
              <w:rPr>
                <w:sz w:val="1"/>
                <w:szCs w:val="1"/>
              </w:rPr>
            </w:pPr>
          </w:p>
        </w:tc>
        <w:tc>
          <w:tcPr>
            <w:tcW w:w="980" w:type="dxa"/>
            <w:tcBorders>
              <w:bottom w:val="single" w:sz="8" w:space="0" w:color="auto"/>
            </w:tcBorders>
            <w:vAlign w:val="bottom"/>
          </w:tcPr>
          <w:p w14:paraId="5B89F5B6" w14:textId="77777777" w:rsidR="00D1587D" w:rsidRDefault="00D1587D">
            <w:pPr>
              <w:spacing w:line="20" w:lineRule="exact"/>
              <w:rPr>
                <w:sz w:val="1"/>
                <w:szCs w:val="1"/>
              </w:rPr>
            </w:pPr>
          </w:p>
        </w:tc>
        <w:tc>
          <w:tcPr>
            <w:tcW w:w="120" w:type="dxa"/>
            <w:vAlign w:val="bottom"/>
          </w:tcPr>
          <w:p w14:paraId="56A41EA2" w14:textId="77777777" w:rsidR="00D1587D" w:rsidRDefault="00D1587D">
            <w:pPr>
              <w:spacing w:line="20" w:lineRule="exact"/>
              <w:rPr>
                <w:sz w:val="1"/>
                <w:szCs w:val="1"/>
              </w:rPr>
            </w:pPr>
          </w:p>
        </w:tc>
        <w:tc>
          <w:tcPr>
            <w:tcW w:w="960" w:type="dxa"/>
            <w:tcBorders>
              <w:bottom w:val="single" w:sz="8" w:space="0" w:color="auto"/>
            </w:tcBorders>
            <w:vAlign w:val="bottom"/>
          </w:tcPr>
          <w:p w14:paraId="71380CAF" w14:textId="77777777" w:rsidR="00D1587D" w:rsidRDefault="00D1587D">
            <w:pPr>
              <w:spacing w:line="20" w:lineRule="exact"/>
              <w:rPr>
                <w:sz w:val="1"/>
                <w:szCs w:val="1"/>
              </w:rPr>
            </w:pPr>
          </w:p>
        </w:tc>
        <w:tc>
          <w:tcPr>
            <w:tcW w:w="80" w:type="dxa"/>
            <w:vAlign w:val="bottom"/>
          </w:tcPr>
          <w:p w14:paraId="0E4B7BA1" w14:textId="77777777" w:rsidR="00D1587D" w:rsidRDefault="00D1587D">
            <w:pPr>
              <w:spacing w:line="20" w:lineRule="exact"/>
              <w:rPr>
                <w:sz w:val="1"/>
                <w:szCs w:val="1"/>
              </w:rPr>
            </w:pPr>
          </w:p>
        </w:tc>
        <w:tc>
          <w:tcPr>
            <w:tcW w:w="980" w:type="dxa"/>
            <w:tcBorders>
              <w:bottom w:val="single" w:sz="8" w:space="0" w:color="auto"/>
            </w:tcBorders>
            <w:vAlign w:val="bottom"/>
          </w:tcPr>
          <w:p w14:paraId="00D29241" w14:textId="77777777" w:rsidR="00D1587D" w:rsidRDefault="00D1587D">
            <w:pPr>
              <w:spacing w:line="20" w:lineRule="exact"/>
              <w:rPr>
                <w:sz w:val="1"/>
                <w:szCs w:val="1"/>
              </w:rPr>
            </w:pPr>
          </w:p>
        </w:tc>
        <w:tc>
          <w:tcPr>
            <w:tcW w:w="0" w:type="dxa"/>
            <w:vAlign w:val="bottom"/>
          </w:tcPr>
          <w:p w14:paraId="29417506" w14:textId="77777777" w:rsidR="00D1587D" w:rsidRDefault="00D1587D">
            <w:pPr>
              <w:rPr>
                <w:sz w:val="1"/>
                <w:szCs w:val="1"/>
              </w:rPr>
            </w:pPr>
          </w:p>
        </w:tc>
      </w:tr>
    </w:tbl>
    <w:p w14:paraId="76FFB74A" w14:textId="77777777" w:rsidR="00D1587D" w:rsidRDefault="00410D07">
      <w:pPr>
        <w:spacing w:line="20" w:lineRule="exact"/>
        <w:rPr>
          <w:sz w:val="20"/>
          <w:szCs w:val="20"/>
        </w:rPr>
      </w:pPr>
      <w:r>
        <w:rPr>
          <w:noProof/>
          <w:sz w:val="20"/>
          <w:szCs w:val="20"/>
        </w:rPr>
        <w:drawing>
          <wp:anchor distT="0" distB="0" distL="114300" distR="114300" simplePos="0" relativeHeight="252129280" behindDoc="1" locked="0" layoutInCell="0" allowOverlap="1" wp14:anchorId="0CA5F072" wp14:editId="5505F465">
            <wp:simplePos x="0" y="0"/>
            <wp:positionH relativeFrom="column">
              <wp:posOffset>4154805</wp:posOffset>
            </wp:positionH>
            <wp:positionV relativeFrom="paragraph">
              <wp:posOffset>-256540</wp:posOffset>
            </wp:positionV>
            <wp:extent cx="34290" cy="8255"/>
            <wp:effectExtent l="0" t="0" r="0" b="0"/>
            <wp:wrapNone/>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35"/>
                    <a:srcRect/>
                    <a:stretch>
                      <a:fillRect/>
                    </a:stretch>
                  </pic:blipFill>
                  <pic:spPr bwMode="auto">
                    <a:xfrm>
                      <a:off x="0" y="0"/>
                      <a:ext cx="34290" cy="8255"/>
                    </a:xfrm>
                    <a:prstGeom prst="rect">
                      <a:avLst/>
                    </a:prstGeom>
                    <a:noFill/>
                  </pic:spPr>
                </pic:pic>
              </a:graphicData>
            </a:graphic>
          </wp:anchor>
        </w:drawing>
      </w:r>
      <w:r>
        <w:rPr>
          <w:noProof/>
          <w:sz w:val="20"/>
          <w:szCs w:val="20"/>
        </w:rPr>
        <w:drawing>
          <wp:anchor distT="0" distB="0" distL="114300" distR="114300" simplePos="0" relativeHeight="252130304" behindDoc="1" locked="0" layoutInCell="0" allowOverlap="1" wp14:anchorId="607D9C42" wp14:editId="4DE07A73">
            <wp:simplePos x="0" y="0"/>
            <wp:positionH relativeFrom="column">
              <wp:posOffset>5501005</wp:posOffset>
            </wp:positionH>
            <wp:positionV relativeFrom="paragraph">
              <wp:posOffset>-488315</wp:posOffset>
            </wp:positionV>
            <wp:extent cx="51435" cy="8890"/>
            <wp:effectExtent l="0" t="0" r="0" b="0"/>
            <wp:wrapNone/>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2131328" behindDoc="1" locked="0" layoutInCell="0" allowOverlap="1" wp14:anchorId="37C66BE3" wp14:editId="5225C2B3">
            <wp:simplePos x="0" y="0"/>
            <wp:positionH relativeFrom="column">
              <wp:posOffset>4815205</wp:posOffset>
            </wp:positionH>
            <wp:positionV relativeFrom="paragraph">
              <wp:posOffset>-488315</wp:posOffset>
            </wp:positionV>
            <wp:extent cx="68580" cy="8890"/>
            <wp:effectExtent l="0" t="0" r="0" b="0"/>
            <wp:wrapNone/>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2132352" behindDoc="1" locked="0" layoutInCell="0" allowOverlap="1" wp14:anchorId="0DAB21B3" wp14:editId="79388D3E">
            <wp:simplePos x="0" y="0"/>
            <wp:positionH relativeFrom="column">
              <wp:posOffset>4154805</wp:posOffset>
            </wp:positionH>
            <wp:positionV relativeFrom="paragraph">
              <wp:posOffset>-488315</wp:posOffset>
            </wp:positionV>
            <wp:extent cx="34290" cy="8890"/>
            <wp:effectExtent l="0" t="0" r="0" b="0"/>
            <wp:wrapNone/>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2133376" behindDoc="1" locked="0" layoutInCell="0" allowOverlap="1" wp14:anchorId="098F6CBA" wp14:editId="5E4ACFF2">
            <wp:simplePos x="0" y="0"/>
            <wp:positionH relativeFrom="column">
              <wp:posOffset>5501005</wp:posOffset>
            </wp:positionH>
            <wp:positionV relativeFrom="paragraph">
              <wp:posOffset>-1653540</wp:posOffset>
            </wp:positionV>
            <wp:extent cx="51435" cy="8255"/>
            <wp:effectExtent l="0" t="0" r="0" b="0"/>
            <wp:wrapNone/>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9"/>
                    <a:srcRect/>
                    <a:stretch>
                      <a:fillRect/>
                    </a:stretch>
                  </pic:blipFill>
                  <pic:spPr bwMode="auto">
                    <a:xfrm>
                      <a:off x="0" y="0"/>
                      <a:ext cx="51435" cy="8255"/>
                    </a:xfrm>
                    <a:prstGeom prst="rect">
                      <a:avLst/>
                    </a:prstGeom>
                    <a:noFill/>
                  </pic:spPr>
                </pic:pic>
              </a:graphicData>
            </a:graphic>
          </wp:anchor>
        </w:drawing>
      </w:r>
      <w:r>
        <w:rPr>
          <w:noProof/>
          <w:sz w:val="20"/>
          <w:szCs w:val="20"/>
        </w:rPr>
        <w:drawing>
          <wp:anchor distT="0" distB="0" distL="114300" distR="114300" simplePos="0" relativeHeight="252134400" behindDoc="1" locked="0" layoutInCell="0" allowOverlap="1" wp14:anchorId="77184F7A" wp14:editId="7AADEFFB">
            <wp:simplePos x="0" y="0"/>
            <wp:positionH relativeFrom="column">
              <wp:posOffset>4815205</wp:posOffset>
            </wp:positionH>
            <wp:positionV relativeFrom="paragraph">
              <wp:posOffset>-1653540</wp:posOffset>
            </wp:positionV>
            <wp:extent cx="68580" cy="8255"/>
            <wp:effectExtent l="0" t="0" r="0" b="0"/>
            <wp:wrapNone/>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36"/>
                    <a:srcRect/>
                    <a:stretch>
                      <a:fillRect/>
                    </a:stretch>
                  </pic:blipFill>
                  <pic:spPr bwMode="auto">
                    <a:xfrm>
                      <a:off x="0" y="0"/>
                      <a:ext cx="68580" cy="8255"/>
                    </a:xfrm>
                    <a:prstGeom prst="rect">
                      <a:avLst/>
                    </a:prstGeom>
                    <a:noFill/>
                  </pic:spPr>
                </pic:pic>
              </a:graphicData>
            </a:graphic>
          </wp:anchor>
        </w:drawing>
      </w:r>
    </w:p>
    <w:p w14:paraId="4B2776BC" w14:textId="77777777" w:rsidR="00D1587D" w:rsidRDefault="00D1587D">
      <w:pPr>
        <w:spacing w:line="178" w:lineRule="exact"/>
        <w:rPr>
          <w:sz w:val="20"/>
          <w:szCs w:val="20"/>
        </w:rPr>
      </w:pPr>
    </w:p>
    <w:p w14:paraId="4402F705" w14:textId="77777777" w:rsidR="00D1587D" w:rsidRDefault="00410D07">
      <w:pPr>
        <w:ind w:left="1300"/>
        <w:rPr>
          <w:sz w:val="20"/>
          <w:szCs w:val="20"/>
        </w:rPr>
      </w:pPr>
      <w:r>
        <w:rPr>
          <w:rFonts w:ascii="Arial" w:eastAsia="Arial" w:hAnsi="Arial" w:cs="Arial"/>
          <w:b/>
          <w:bCs/>
          <w:sz w:val="18"/>
          <w:szCs w:val="18"/>
        </w:rPr>
        <w:t>14. Share-based Compensation</w:t>
      </w:r>
    </w:p>
    <w:p w14:paraId="40CB43CC" w14:textId="77777777" w:rsidR="00D1587D" w:rsidRDefault="00D1587D">
      <w:pPr>
        <w:spacing w:line="121" w:lineRule="exact"/>
        <w:rPr>
          <w:sz w:val="20"/>
          <w:szCs w:val="20"/>
        </w:rPr>
      </w:pPr>
    </w:p>
    <w:p w14:paraId="50F4BFCD" w14:textId="77777777" w:rsidR="00D1587D" w:rsidRDefault="00410D07">
      <w:pPr>
        <w:spacing w:line="275" w:lineRule="auto"/>
        <w:ind w:left="1300" w:right="1320" w:firstLine="360"/>
        <w:rPr>
          <w:sz w:val="20"/>
          <w:szCs w:val="20"/>
        </w:rPr>
      </w:pPr>
      <w:r>
        <w:rPr>
          <w:rFonts w:ascii="Arial" w:eastAsia="Arial" w:hAnsi="Arial" w:cs="Arial"/>
          <w:sz w:val="17"/>
          <w:szCs w:val="17"/>
        </w:rPr>
        <w:t xml:space="preserve">In 2020, L Brands’ shareholders approved the 2020 Stock Option and Performance Incentive Plan (the “2020 Plan”). The 2020 Plan replaced the 2015 Stock Option and Performance </w:t>
      </w:r>
      <w:r>
        <w:rPr>
          <w:rFonts w:ascii="Arial" w:eastAsia="Arial" w:hAnsi="Arial" w:cs="Arial"/>
          <w:sz w:val="17"/>
          <w:szCs w:val="17"/>
        </w:rPr>
        <w:t>Incentive Plan (together with the 2020 Plan, the “Plans”). Certain Company employees were granted share-based awards to participate in the Plans. The Plans provide for the grant of incentive stock options, non-qualified stock options, stock appreciation ri</w:t>
      </w:r>
      <w:r>
        <w:rPr>
          <w:rFonts w:ascii="Arial" w:eastAsia="Arial" w:hAnsi="Arial" w:cs="Arial"/>
          <w:sz w:val="17"/>
          <w:szCs w:val="17"/>
        </w:rPr>
        <w:t>ghts, restricted stock, performance-based restricted stock, performance units and unrestricted shares.</w:t>
      </w:r>
    </w:p>
    <w:p w14:paraId="586EFB61" w14:textId="77777777" w:rsidR="00D1587D" w:rsidRDefault="00D1587D">
      <w:pPr>
        <w:spacing w:line="68" w:lineRule="exact"/>
        <w:rPr>
          <w:sz w:val="20"/>
          <w:szCs w:val="20"/>
        </w:rPr>
      </w:pPr>
    </w:p>
    <w:p w14:paraId="34AEA543" w14:textId="77777777" w:rsidR="00D1587D" w:rsidRDefault="00410D07">
      <w:pPr>
        <w:spacing w:line="257" w:lineRule="auto"/>
        <w:ind w:left="1300" w:right="1380" w:firstLine="360"/>
        <w:rPr>
          <w:sz w:val="20"/>
          <w:szCs w:val="20"/>
        </w:rPr>
      </w:pPr>
      <w:r>
        <w:rPr>
          <w:rFonts w:ascii="Arial" w:eastAsia="Arial" w:hAnsi="Arial" w:cs="Arial"/>
          <w:sz w:val="18"/>
          <w:szCs w:val="18"/>
        </w:rPr>
        <w:t>The following disclosures of share-based compensation expense recognized by the Company are based on grants related directly to Company employees, and e</w:t>
      </w:r>
      <w:r>
        <w:rPr>
          <w:rFonts w:ascii="Arial" w:eastAsia="Arial" w:hAnsi="Arial" w:cs="Arial"/>
          <w:sz w:val="18"/>
          <w:szCs w:val="18"/>
        </w:rPr>
        <w:t>xclude amounts related to the allocation of L Brands’ corporate and shared employee share-based compensation expenses. The amounts presented are not necessarily indicative of future awards and do not necessarily reflect the results that the Company would h</w:t>
      </w:r>
      <w:r>
        <w:rPr>
          <w:rFonts w:ascii="Arial" w:eastAsia="Arial" w:hAnsi="Arial" w:cs="Arial"/>
          <w:sz w:val="18"/>
          <w:szCs w:val="18"/>
        </w:rPr>
        <w:t>ave experienced as a standalone company for the periods presented.</w:t>
      </w:r>
    </w:p>
    <w:p w14:paraId="2B06B9D5" w14:textId="77777777" w:rsidR="00D1587D" w:rsidRDefault="00D1587D">
      <w:pPr>
        <w:spacing w:line="215" w:lineRule="exact"/>
        <w:rPr>
          <w:sz w:val="20"/>
          <w:szCs w:val="20"/>
        </w:rPr>
      </w:pPr>
    </w:p>
    <w:p w14:paraId="3C13E696" w14:textId="77777777" w:rsidR="00D1587D" w:rsidRDefault="00410D07">
      <w:pPr>
        <w:ind w:left="1660"/>
        <w:rPr>
          <w:sz w:val="20"/>
          <w:szCs w:val="20"/>
        </w:rPr>
      </w:pPr>
      <w:r>
        <w:rPr>
          <w:rFonts w:ascii="Arial" w:eastAsia="Arial" w:hAnsi="Arial" w:cs="Arial"/>
          <w:i/>
          <w:iCs/>
          <w:sz w:val="18"/>
          <w:szCs w:val="18"/>
        </w:rPr>
        <w:t>Income Statement Impact</w:t>
      </w:r>
    </w:p>
    <w:p w14:paraId="6281E9E6" w14:textId="77777777" w:rsidR="00D1587D" w:rsidRDefault="00D1587D">
      <w:pPr>
        <w:spacing w:line="117" w:lineRule="exact"/>
        <w:rPr>
          <w:sz w:val="20"/>
          <w:szCs w:val="20"/>
        </w:rPr>
      </w:pPr>
    </w:p>
    <w:p w14:paraId="2CF6FB7E" w14:textId="77777777" w:rsidR="00D1587D" w:rsidRDefault="00410D07">
      <w:pPr>
        <w:ind w:left="1660"/>
        <w:rPr>
          <w:sz w:val="20"/>
          <w:szCs w:val="20"/>
        </w:rPr>
      </w:pPr>
      <w:r>
        <w:rPr>
          <w:rFonts w:ascii="Arial" w:eastAsia="Arial" w:hAnsi="Arial" w:cs="Arial"/>
          <w:sz w:val="18"/>
          <w:szCs w:val="18"/>
        </w:rPr>
        <w:t>The following table provides share-based compensation expense included in the Combined Statements of</w:t>
      </w:r>
    </w:p>
    <w:p w14:paraId="1A1AC992" w14:textId="77777777" w:rsidR="00D1587D" w:rsidRDefault="00D1587D">
      <w:pPr>
        <w:spacing w:line="23" w:lineRule="exact"/>
        <w:rPr>
          <w:sz w:val="20"/>
          <w:szCs w:val="20"/>
        </w:rPr>
      </w:pPr>
    </w:p>
    <w:p w14:paraId="10B3B3BE" w14:textId="77777777" w:rsidR="00D1587D" w:rsidRDefault="00410D07">
      <w:pPr>
        <w:ind w:left="1300"/>
        <w:rPr>
          <w:sz w:val="20"/>
          <w:szCs w:val="20"/>
        </w:rPr>
      </w:pPr>
      <w:r>
        <w:rPr>
          <w:rFonts w:ascii="Arial" w:eastAsia="Arial" w:hAnsi="Arial" w:cs="Arial"/>
          <w:sz w:val="18"/>
          <w:szCs w:val="18"/>
        </w:rPr>
        <w:t>Income (Loss) for 2020, 2019 and 2018:</w:t>
      </w:r>
    </w:p>
    <w:p w14:paraId="5903415C" w14:textId="77777777" w:rsidR="00D1587D" w:rsidRDefault="00D1587D">
      <w:pPr>
        <w:spacing w:line="17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00"/>
        <w:gridCol w:w="4000"/>
        <w:gridCol w:w="1300"/>
        <w:gridCol w:w="980"/>
        <w:gridCol w:w="120"/>
        <w:gridCol w:w="960"/>
        <w:gridCol w:w="80"/>
        <w:gridCol w:w="980"/>
        <w:gridCol w:w="1300"/>
      </w:tblGrid>
      <w:tr w:rsidR="00D1587D" w14:paraId="41C2BE70" w14:textId="77777777">
        <w:trPr>
          <w:trHeight w:val="186"/>
        </w:trPr>
        <w:tc>
          <w:tcPr>
            <w:tcW w:w="1300" w:type="dxa"/>
            <w:vAlign w:val="bottom"/>
          </w:tcPr>
          <w:p w14:paraId="6CEF4F3E" w14:textId="77777777" w:rsidR="00D1587D" w:rsidRDefault="00D1587D">
            <w:pPr>
              <w:rPr>
                <w:sz w:val="16"/>
                <w:szCs w:val="16"/>
              </w:rPr>
            </w:pPr>
          </w:p>
        </w:tc>
        <w:tc>
          <w:tcPr>
            <w:tcW w:w="4000" w:type="dxa"/>
            <w:vAlign w:val="bottom"/>
          </w:tcPr>
          <w:p w14:paraId="33C00226" w14:textId="77777777" w:rsidR="00D1587D" w:rsidRDefault="00D1587D">
            <w:pPr>
              <w:rPr>
                <w:sz w:val="16"/>
                <w:szCs w:val="16"/>
              </w:rPr>
            </w:pPr>
          </w:p>
        </w:tc>
        <w:tc>
          <w:tcPr>
            <w:tcW w:w="2280" w:type="dxa"/>
            <w:gridSpan w:val="2"/>
            <w:vAlign w:val="bottom"/>
          </w:tcPr>
          <w:p w14:paraId="681F32C2" w14:textId="77777777" w:rsidR="00D1587D" w:rsidRDefault="00410D07">
            <w:pPr>
              <w:ind w:left="1640"/>
              <w:rPr>
                <w:sz w:val="20"/>
                <w:szCs w:val="20"/>
              </w:rPr>
            </w:pPr>
            <w:r>
              <w:rPr>
                <w:rFonts w:ascii="Arial" w:eastAsia="Arial" w:hAnsi="Arial" w:cs="Arial"/>
                <w:b/>
                <w:bCs/>
                <w:sz w:val="14"/>
                <w:szCs w:val="14"/>
              </w:rPr>
              <w:t>2020</w:t>
            </w:r>
          </w:p>
        </w:tc>
        <w:tc>
          <w:tcPr>
            <w:tcW w:w="120" w:type="dxa"/>
            <w:vAlign w:val="bottom"/>
          </w:tcPr>
          <w:p w14:paraId="0FEB3D35" w14:textId="77777777" w:rsidR="00D1587D" w:rsidRDefault="00D1587D">
            <w:pPr>
              <w:rPr>
                <w:sz w:val="16"/>
                <w:szCs w:val="16"/>
              </w:rPr>
            </w:pPr>
          </w:p>
        </w:tc>
        <w:tc>
          <w:tcPr>
            <w:tcW w:w="960" w:type="dxa"/>
            <w:vAlign w:val="bottom"/>
          </w:tcPr>
          <w:p w14:paraId="4E97CFFA" w14:textId="77777777" w:rsidR="00D1587D" w:rsidRDefault="00410D07">
            <w:pPr>
              <w:jc w:val="center"/>
              <w:rPr>
                <w:sz w:val="20"/>
                <w:szCs w:val="20"/>
              </w:rPr>
            </w:pPr>
            <w:r>
              <w:rPr>
                <w:rFonts w:ascii="Arial" w:eastAsia="Arial" w:hAnsi="Arial" w:cs="Arial"/>
                <w:b/>
                <w:bCs/>
                <w:w w:val="89"/>
                <w:sz w:val="14"/>
                <w:szCs w:val="14"/>
              </w:rPr>
              <w:t>2019</w:t>
            </w:r>
          </w:p>
        </w:tc>
        <w:tc>
          <w:tcPr>
            <w:tcW w:w="80" w:type="dxa"/>
            <w:vAlign w:val="bottom"/>
          </w:tcPr>
          <w:p w14:paraId="31128CBA" w14:textId="77777777" w:rsidR="00D1587D" w:rsidRDefault="00D1587D">
            <w:pPr>
              <w:rPr>
                <w:sz w:val="16"/>
                <w:szCs w:val="16"/>
              </w:rPr>
            </w:pPr>
          </w:p>
        </w:tc>
        <w:tc>
          <w:tcPr>
            <w:tcW w:w="980" w:type="dxa"/>
            <w:vAlign w:val="bottom"/>
          </w:tcPr>
          <w:p w14:paraId="2FAD8C6B" w14:textId="77777777" w:rsidR="00D1587D" w:rsidRDefault="00410D07">
            <w:pPr>
              <w:jc w:val="center"/>
              <w:rPr>
                <w:sz w:val="20"/>
                <w:szCs w:val="20"/>
              </w:rPr>
            </w:pPr>
            <w:r>
              <w:rPr>
                <w:rFonts w:ascii="Arial" w:eastAsia="Arial" w:hAnsi="Arial" w:cs="Arial"/>
                <w:b/>
                <w:bCs/>
                <w:w w:val="96"/>
                <w:sz w:val="14"/>
                <w:szCs w:val="14"/>
              </w:rPr>
              <w:t>2018</w:t>
            </w:r>
          </w:p>
        </w:tc>
        <w:tc>
          <w:tcPr>
            <w:tcW w:w="1300" w:type="dxa"/>
            <w:vAlign w:val="bottom"/>
          </w:tcPr>
          <w:p w14:paraId="2FF0BE56" w14:textId="77777777" w:rsidR="00D1587D" w:rsidRDefault="00D1587D">
            <w:pPr>
              <w:rPr>
                <w:sz w:val="16"/>
                <w:szCs w:val="16"/>
              </w:rPr>
            </w:pPr>
          </w:p>
        </w:tc>
      </w:tr>
      <w:tr w:rsidR="00D1587D" w14:paraId="13A61EF1" w14:textId="77777777">
        <w:trPr>
          <w:trHeight w:val="53"/>
        </w:trPr>
        <w:tc>
          <w:tcPr>
            <w:tcW w:w="1300" w:type="dxa"/>
            <w:vAlign w:val="bottom"/>
          </w:tcPr>
          <w:p w14:paraId="67109651" w14:textId="77777777" w:rsidR="00D1587D" w:rsidRDefault="00D1587D">
            <w:pPr>
              <w:rPr>
                <w:sz w:val="4"/>
                <w:szCs w:val="4"/>
              </w:rPr>
            </w:pPr>
          </w:p>
        </w:tc>
        <w:tc>
          <w:tcPr>
            <w:tcW w:w="4000" w:type="dxa"/>
            <w:vAlign w:val="bottom"/>
          </w:tcPr>
          <w:p w14:paraId="02639425" w14:textId="77777777" w:rsidR="00D1587D" w:rsidRDefault="00D1587D">
            <w:pPr>
              <w:rPr>
                <w:sz w:val="4"/>
                <w:szCs w:val="4"/>
              </w:rPr>
            </w:pPr>
          </w:p>
        </w:tc>
        <w:tc>
          <w:tcPr>
            <w:tcW w:w="1300" w:type="dxa"/>
            <w:vAlign w:val="bottom"/>
          </w:tcPr>
          <w:p w14:paraId="41370670" w14:textId="77777777" w:rsidR="00D1587D" w:rsidRDefault="00D1587D">
            <w:pPr>
              <w:rPr>
                <w:sz w:val="4"/>
                <w:szCs w:val="4"/>
              </w:rPr>
            </w:pPr>
          </w:p>
        </w:tc>
        <w:tc>
          <w:tcPr>
            <w:tcW w:w="980" w:type="dxa"/>
            <w:tcBorders>
              <w:bottom w:val="single" w:sz="8" w:space="0" w:color="auto"/>
            </w:tcBorders>
            <w:vAlign w:val="bottom"/>
          </w:tcPr>
          <w:p w14:paraId="76FEDCF7" w14:textId="77777777" w:rsidR="00D1587D" w:rsidRDefault="00D1587D">
            <w:pPr>
              <w:rPr>
                <w:sz w:val="4"/>
                <w:szCs w:val="4"/>
              </w:rPr>
            </w:pPr>
          </w:p>
        </w:tc>
        <w:tc>
          <w:tcPr>
            <w:tcW w:w="120" w:type="dxa"/>
            <w:tcBorders>
              <w:bottom w:val="single" w:sz="8" w:space="0" w:color="auto"/>
            </w:tcBorders>
            <w:vAlign w:val="bottom"/>
          </w:tcPr>
          <w:p w14:paraId="2A6FDE40" w14:textId="77777777" w:rsidR="00D1587D" w:rsidRDefault="00D1587D">
            <w:pPr>
              <w:rPr>
                <w:sz w:val="4"/>
                <w:szCs w:val="4"/>
              </w:rPr>
            </w:pPr>
          </w:p>
        </w:tc>
        <w:tc>
          <w:tcPr>
            <w:tcW w:w="1040" w:type="dxa"/>
            <w:gridSpan w:val="2"/>
            <w:tcBorders>
              <w:bottom w:val="single" w:sz="8" w:space="0" w:color="auto"/>
            </w:tcBorders>
            <w:vAlign w:val="bottom"/>
          </w:tcPr>
          <w:p w14:paraId="20AE1418" w14:textId="77777777" w:rsidR="00D1587D" w:rsidRDefault="00D1587D">
            <w:pPr>
              <w:rPr>
                <w:sz w:val="4"/>
                <w:szCs w:val="4"/>
              </w:rPr>
            </w:pPr>
          </w:p>
        </w:tc>
        <w:tc>
          <w:tcPr>
            <w:tcW w:w="980" w:type="dxa"/>
            <w:tcBorders>
              <w:bottom w:val="single" w:sz="8" w:space="0" w:color="auto"/>
            </w:tcBorders>
            <w:vAlign w:val="bottom"/>
          </w:tcPr>
          <w:p w14:paraId="5145A433" w14:textId="77777777" w:rsidR="00D1587D" w:rsidRDefault="00D1587D">
            <w:pPr>
              <w:rPr>
                <w:sz w:val="4"/>
                <w:szCs w:val="4"/>
              </w:rPr>
            </w:pPr>
          </w:p>
        </w:tc>
        <w:tc>
          <w:tcPr>
            <w:tcW w:w="1300" w:type="dxa"/>
            <w:vAlign w:val="bottom"/>
          </w:tcPr>
          <w:p w14:paraId="77B91D4E" w14:textId="77777777" w:rsidR="00D1587D" w:rsidRDefault="00D1587D">
            <w:pPr>
              <w:rPr>
                <w:sz w:val="4"/>
                <w:szCs w:val="4"/>
              </w:rPr>
            </w:pPr>
          </w:p>
        </w:tc>
      </w:tr>
      <w:tr w:rsidR="00D1587D" w14:paraId="1913D04A" w14:textId="77777777">
        <w:trPr>
          <w:trHeight w:val="225"/>
        </w:trPr>
        <w:tc>
          <w:tcPr>
            <w:tcW w:w="1300" w:type="dxa"/>
            <w:vAlign w:val="bottom"/>
          </w:tcPr>
          <w:p w14:paraId="66FDC2B7" w14:textId="77777777" w:rsidR="00D1587D" w:rsidRDefault="00D1587D">
            <w:pPr>
              <w:rPr>
                <w:sz w:val="19"/>
                <w:szCs w:val="19"/>
              </w:rPr>
            </w:pPr>
          </w:p>
        </w:tc>
        <w:tc>
          <w:tcPr>
            <w:tcW w:w="4000" w:type="dxa"/>
            <w:vAlign w:val="bottom"/>
          </w:tcPr>
          <w:p w14:paraId="3023C50B" w14:textId="77777777" w:rsidR="00D1587D" w:rsidRDefault="00D1587D">
            <w:pPr>
              <w:rPr>
                <w:sz w:val="19"/>
                <w:szCs w:val="19"/>
              </w:rPr>
            </w:pPr>
          </w:p>
        </w:tc>
        <w:tc>
          <w:tcPr>
            <w:tcW w:w="1300" w:type="dxa"/>
            <w:vAlign w:val="bottom"/>
          </w:tcPr>
          <w:p w14:paraId="674AF350" w14:textId="77777777" w:rsidR="00D1587D" w:rsidRDefault="00D1587D">
            <w:pPr>
              <w:rPr>
                <w:sz w:val="19"/>
                <w:szCs w:val="19"/>
              </w:rPr>
            </w:pPr>
          </w:p>
        </w:tc>
        <w:tc>
          <w:tcPr>
            <w:tcW w:w="980" w:type="dxa"/>
            <w:vAlign w:val="bottom"/>
          </w:tcPr>
          <w:p w14:paraId="4165265E" w14:textId="77777777" w:rsidR="00D1587D" w:rsidRDefault="00D1587D">
            <w:pPr>
              <w:rPr>
                <w:sz w:val="19"/>
                <w:szCs w:val="19"/>
              </w:rPr>
            </w:pPr>
          </w:p>
        </w:tc>
        <w:tc>
          <w:tcPr>
            <w:tcW w:w="120" w:type="dxa"/>
            <w:vAlign w:val="bottom"/>
          </w:tcPr>
          <w:p w14:paraId="607DC9F9" w14:textId="77777777" w:rsidR="00D1587D" w:rsidRDefault="00D1587D">
            <w:pPr>
              <w:rPr>
                <w:sz w:val="19"/>
                <w:szCs w:val="19"/>
              </w:rPr>
            </w:pPr>
          </w:p>
        </w:tc>
        <w:tc>
          <w:tcPr>
            <w:tcW w:w="1040" w:type="dxa"/>
            <w:gridSpan w:val="2"/>
            <w:vAlign w:val="bottom"/>
          </w:tcPr>
          <w:p w14:paraId="54BA4FE4" w14:textId="77777777" w:rsidR="00D1587D" w:rsidRDefault="00410D07">
            <w:pPr>
              <w:ind w:left="80"/>
              <w:rPr>
                <w:sz w:val="20"/>
                <w:szCs w:val="20"/>
              </w:rPr>
            </w:pPr>
            <w:r>
              <w:rPr>
                <w:rFonts w:ascii="Arial" w:eastAsia="Arial" w:hAnsi="Arial" w:cs="Arial"/>
                <w:b/>
                <w:bCs/>
                <w:sz w:val="14"/>
                <w:szCs w:val="14"/>
              </w:rPr>
              <w:t>(in millions)</w:t>
            </w:r>
          </w:p>
        </w:tc>
        <w:tc>
          <w:tcPr>
            <w:tcW w:w="980" w:type="dxa"/>
            <w:vAlign w:val="bottom"/>
          </w:tcPr>
          <w:p w14:paraId="0A97B007" w14:textId="77777777" w:rsidR="00D1587D" w:rsidRDefault="00D1587D">
            <w:pPr>
              <w:rPr>
                <w:sz w:val="19"/>
                <w:szCs w:val="19"/>
              </w:rPr>
            </w:pPr>
          </w:p>
        </w:tc>
        <w:tc>
          <w:tcPr>
            <w:tcW w:w="1300" w:type="dxa"/>
            <w:vAlign w:val="bottom"/>
          </w:tcPr>
          <w:p w14:paraId="7848B9FB" w14:textId="77777777" w:rsidR="00D1587D" w:rsidRDefault="00D1587D">
            <w:pPr>
              <w:rPr>
                <w:sz w:val="19"/>
                <w:szCs w:val="19"/>
              </w:rPr>
            </w:pPr>
          </w:p>
        </w:tc>
      </w:tr>
      <w:tr w:rsidR="00D1587D" w14:paraId="43F9A1CE" w14:textId="77777777">
        <w:trPr>
          <w:trHeight w:val="52"/>
        </w:trPr>
        <w:tc>
          <w:tcPr>
            <w:tcW w:w="1300" w:type="dxa"/>
            <w:vAlign w:val="bottom"/>
          </w:tcPr>
          <w:p w14:paraId="282A7556" w14:textId="77777777" w:rsidR="00D1587D" w:rsidRDefault="00D1587D">
            <w:pPr>
              <w:rPr>
                <w:sz w:val="4"/>
                <w:szCs w:val="4"/>
              </w:rPr>
            </w:pPr>
          </w:p>
        </w:tc>
        <w:tc>
          <w:tcPr>
            <w:tcW w:w="4000" w:type="dxa"/>
            <w:vAlign w:val="bottom"/>
          </w:tcPr>
          <w:p w14:paraId="7FE41E88" w14:textId="77777777" w:rsidR="00D1587D" w:rsidRDefault="00D1587D">
            <w:pPr>
              <w:rPr>
                <w:sz w:val="4"/>
                <w:szCs w:val="4"/>
              </w:rPr>
            </w:pPr>
          </w:p>
        </w:tc>
        <w:tc>
          <w:tcPr>
            <w:tcW w:w="1300" w:type="dxa"/>
            <w:vAlign w:val="bottom"/>
          </w:tcPr>
          <w:p w14:paraId="6D7453BF" w14:textId="77777777" w:rsidR="00D1587D" w:rsidRDefault="00D1587D">
            <w:pPr>
              <w:rPr>
                <w:sz w:val="4"/>
                <w:szCs w:val="4"/>
              </w:rPr>
            </w:pPr>
          </w:p>
        </w:tc>
        <w:tc>
          <w:tcPr>
            <w:tcW w:w="980" w:type="dxa"/>
            <w:vAlign w:val="bottom"/>
          </w:tcPr>
          <w:p w14:paraId="22BDA878" w14:textId="77777777" w:rsidR="00D1587D" w:rsidRDefault="00D1587D">
            <w:pPr>
              <w:rPr>
                <w:sz w:val="4"/>
                <w:szCs w:val="4"/>
              </w:rPr>
            </w:pPr>
          </w:p>
        </w:tc>
        <w:tc>
          <w:tcPr>
            <w:tcW w:w="120" w:type="dxa"/>
            <w:vAlign w:val="bottom"/>
          </w:tcPr>
          <w:p w14:paraId="60F4D497" w14:textId="77777777" w:rsidR="00D1587D" w:rsidRDefault="00D1587D">
            <w:pPr>
              <w:rPr>
                <w:sz w:val="4"/>
                <w:szCs w:val="4"/>
              </w:rPr>
            </w:pPr>
          </w:p>
        </w:tc>
        <w:tc>
          <w:tcPr>
            <w:tcW w:w="960" w:type="dxa"/>
            <w:vAlign w:val="bottom"/>
          </w:tcPr>
          <w:p w14:paraId="2B8C8C42" w14:textId="77777777" w:rsidR="00D1587D" w:rsidRDefault="00D1587D">
            <w:pPr>
              <w:rPr>
                <w:sz w:val="4"/>
                <w:szCs w:val="4"/>
              </w:rPr>
            </w:pPr>
          </w:p>
        </w:tc>
        <w:tc>
          <w:tcPr>
            <w:tcW w:w="80" w:type="dxa"/>
            <w:vAlign w:val="bottom"/>
          </w:tcPr>
          <w:p w14:paraId="49ED8CED" w14:textId="77777777" w:rsidR="00D1587D" w:rsidRDefault="00D1587D">
            <w:pPr>
              <w:rPr>
                <w:sz w:val="4"/>
                <w:szCs w:val="4"/>
              </w:rPr>
            </w:pPr>
          </w:p>
        </w:tc>
        <w:tc>
          <w:tcPr>
            <w:tcW w:w="980" w:type="dxa"/>
            <w:vAlign w:val="bottom"/>
          </w:tcPr>
          <w:p w14:paraId="39444ED8" w14:textId="77777777" w:rsidR="00D1587D" w:rsidRDefault="00D1587D">
            <w:pPr>
              <w:rPr>
                <w:sz w:val="4"/>
                <w:szCs w:val="4"/>
              </w:rPr>
            </w:pPr>
          </w:p>
        </w:tc>
        <w:tc>
          <w:tcPr>
            <w:tcW w:w="1300" w:type="dxa"/>
            <w:vAlign w:val="bottom"/>
          </w:tcPr>
          <w:p w14:paraId="0C9179C8" w14:textId="77777777" w:rsidR="00D1587D" w:rsidRDefault="00D1587D">
            <w:pPr>
              <w:rPr>
                <w:sz w:val="4"/>
                <w:szCs w:val="4"/>
              </w:rPr>
            </w:pPr>
          </w:p>
        </w:tc>
      </w:tr>
      <w:tr w:rsidR="00D1587D" w14:paraId="315E628F" w14:textId="77777777">
        <w:trPr>
          <w:trHeight w:val="318"/>
        </w:trPr>
        <w:tc>
          <w:tcPr>
            <w:tcW w:w="1300" w:type="dxa"/>
            <w:vAlign w:val="bottom"/>
          </w:tcPr>
          <w:p w14:paraId="5AC145DC" w14:textId="77777777" w:rsidR="00D1587D" w:rsidRDefault="00D1587D">
            <w:pPr>
              <w:rPr>
                <w:sz w:val="24"/>
                <w:szCs w:val="24"/>
              </w:rPr>
            </w:pPr>
          </w:p>
        </w:tc>
        <w:tc>
          <w:tcPr>
            <w:tcW w:w="4000" w:type="dxa"/>
            <w:tcBorders>
              <w:bottom w:val="single" w:sz="8" w:space="0" w:color="CCEEFF"/>
            </w:tcBorders>
            <w:shd w:val="clear" w:color="auto" w:fill="CCEEFF"/>
            <w:vAlign w:val="bottom"/>
          </w:tcPr>
          <w:p w14:paraId="43A1E396" w14:textId="77777777" w:rsidR="00D1587D" w:rsidRDefault="00410D07">
            <w:pPr>
              <w:rPr>
                <w:sz w:val="20"/>
                <w:szCs w:val="20"/>
              </w:rPr>
            </w:pPr>
            <w:r>
              <w:rPr>
                <w:rFonts w:ascii="Arial" w:eastAsia="Arial" w:hAnsi="Arial" w:cs="Arial"/>
                <w:sz w:val="18"/>
                <w:szCs w:val="18"/>
              </w:rPr>
              <w:t>Costs of Goods Sold, Buying and Occupancy</w:t>
            </w:r>
          </w:p>
        </w:tc>
        <w:tc>
          <w:tcPr>
            <w:tcW w:w="2280" w:type="dxa"/>
            <w:gridSpan w:val="2"/>
            <w:tcBorders>
              <w:bottom w:val="single" w:sz="8" w:space="0" w:color="CCEEFF"/>
            </w:tcBorders>
            <w:shd w:val="clear" w:color="auto" w:fill="CCEEFF"/>
            <w:vAlign w:val="bottom"/>
          </w:tcPr>
          <w:p w14:paraId="34A4C317" w14:textId="77777777" w:rsidR="00D1587D" w:rsidRDefault="00410D07">
            <w:pPr>
              <w:ind w:left="1640"/>
              <w:rPr>
                <w:sz w:val="20"/>
                <w:szCs w:val="20"/>
              </w:rPr>
            </w:pPr>
            <w:r>
              <w:rPr>
                <w:rFonts w:ascii="Arial" w:eastAsia="Arial" w:hAnsi="Arial" w:cs="Arial"/>
                <w:sz w:val="18"/>
                <w:szCs w:val="18"/>
              </w:rPr>
              <w:t>$ 9</w:t>
            </w:r>
          </w:p>
        </w:tc>
        <w:tc>
          <w:tcPr>
            <w:tcW w:w="120" w:type="dxa"/>
            <w:tcBorders>
              <w:bottom w:val="single" w:sz="8" w:space="0" w:color="CCEEFF"/>
            </w:tcBorders>
            <w:shd w:val="clear" w:color="auto" w:fill="CCEEFF"/>
            <w:vAlign w:val="bottom"/>
          </w:tcPr>
          <w:p w14:paraId="2FDD1BC7" w14:textId="77777777" w:rsidR="00D1587D" w:rsidRDefault="00D1587D">
            <w:pPr>
              <w:rPr>
                <w:sz w:val="24"/>
                <w:szCs w:val="24"/>
              </w:rPr>
            </w:pPr>
          </w:p>
        </w:tc>
        <w:tc>
          <w:tcPr>
            <w:tcW w:w="960" w:type="dxa"/>
            <w:tcBorders>
              <w:bottom w:val="single" w:sz="8" w:space="0" w:color="CCEEFF"/>
            </w:tcBorders>
            <w:shd w:val="clear" w:color="auto" w:fill="CCEEFF"/>
            <w:vAlign w:val="bottom"/>
          </w:tcPr>
          <w:p w14:paraId="507F73A3" w14:textId="77777777" w:rsidR="00D1587D" w:rsidRDefault="00410D07">
            <w:pPr>
              <w:jc w:val="center"/>
              <w:rPr>
                <w:sz w:val="20"/>
                <w:szCs w:val="20"/>
              </w:rPr>
            </w:pPr>
            <w:r>
              <w:rPr>
                <w:rFonts w:ascii="Arial" w:eastAsia="Arial" w:hAnsi="Arial" w:cs="Arial"/>
                <w:w w:val="93"/>
                <w:sz w:val="18"/>
                <w:szCs w:val="18"/>
              </w:rPr>
              <w:t>$15</w:t>
            </w:r>
          </w:p>
        </w:tc>
        <w:tc>
          <w:tcPr>
            <w:tcW w:w="80" w:type="dxa"/>
            <w:tcBorders>
              <w:bottom w:val="single" w:sz="8" w:space="0" w:color="CCEEFF"/>
            </w:tcBorders>
            <w:shd w:val="clear" w:color="auto" w:fill="CCEEFF"/>
            <w:vAlign w:val="bottom"/>
          </w:tcPr>
          <w:p w14:paraId="448425F5" w14:textId="77777777" w:rsidR="00D1587D" w:rsidRDefault="00D1587D">
            <w:pPr>
              <w:rPr>
                <w:sz w:val="24"/>
                <w:szCs w:val="24"/>
              </w:rPr>
            </w:pPr>
          </w:p>
        </w:tc>
        <w:tc>
          <w:tcPr>
            <w:tcW w:w="980" w:type="dxa"/>
            <w:tcBorders>
              <w:bottom w:val="single" w:sz="8" w:space="0" w:color="CCEEFF"/>
            </w:tcBorders>
            <w:shd w:val="clear" w:color="auto" w:fill="CCEEFF"/>
            <w:vAlign w:val="bottom"/>
          </w:tcPr>
          <w:p w14:paraId="1CB0F781" w14:textId="77777777" w:rsidR="00D1587D" w:rsidRDefault="00410D07">
            <w:pPr>
              <w:jc w:val="center"/>
              <w:rPr>
                <w:sz w:val="20"/>
                <w:szCs w:val="20"/>
              </w:rPr>
            </w:pPr>
            <w:r>
              <w:rPr>
                <w:rFonts w:ascii="Arial" w:eastAsia="Arial" w:hAnsi="Arial" w:cs="Arial"/>
                <w:w w:val="86"/>
                <w:sz w:val="18"/>
                <w:szCs w:val="18"/>
              </w:rPr>
              <w:t>$15</w:t>
            </w:r>
          </w:p>
        </w:tc>
        <w:tc>
          <w:tcPr>
            <w:tcW w:w="1300" w:type="dxa"/>
            <w:vAlign w:val="bottom"/>
          </w:tcPr>
          <w:p w14:paraId="4C13DEFD" w14:textId="77777777" w:rsidR="00D1587D" w:rsidRDefault="00D1587D">
            <w:pPr>
              <w:rPr>
                <w:sz w:val="24"/>
                <w:szCs w:val="24"/>
              </w:rPr>
            </w:pPr>
          </w:p>
        </w:tc>
      </w:tr>
      <w:tr w:rsidR="00D1587D" w14:paraId="0779011B" w14:textId="77777777">
        <w:trPr>
          <w:trHeight w:val="270"/>
        </w:trPr>
        <w:tc>
          <w:tcPr>
            <w:tcW w:w="1300" w:type="dxa"/>
            <w:vAlign w:val="bottom"/>
          </w:tcPr>
          <w:p w14:paraId="0CF7C8D7" w14:textId="77777777" w:rsidR="00D1587D" w:rsidRDefault="00D1587D">
            <w:pPr>
              <w:rPr>
                <w:sz w:val="23"/>
                <w:szCs w:val="23"/>
              </w:rPr>
            </w:pPr>
          </w:p>
        </w:tc>
        <w:tc>
          <w:tcPr>
            <w:tcW w:w="4000" w:type="dxa"/>
            <w:vAlign w:val="bottom"/>
          </w:tcPr>
          <w:p w14:paraId="18E09F1F" w14:textId="77777777" w:rsidR="00D1587D" w:rsidRDefault="00410D07">
            <w:pPr>
              <w:rPr>
                <w:sz w:val="20"/>
                <w:szCs w:val="20"/>
              </w:rPr>
            </w:pPr>
            <w:r>
              <w:rPr>
                <w:rFonts w:ascii="Arial" w:eastAsia="Arial" w:hAnsi="Arial" w:cs="Arial"/>
                <w:w w:val="90"/>
                <w:sz w:val="18"/>
                <w:szCs w:val="18"/>
              </w:rPr>
              <w:t>General, Administrative and Store Operating Expenses</w:t>
            </w:r>
          </w:p>
        </w:tc>
        <w:tc>
          <w:tcPr>
            <w:tcW w:w="2280" w:type="dxa"/>
            <w:gridSpan w:val="2"/>
            <w:vAlign w:val="bottom"/>
          </w:tcPr>
          <w:p w14:paraId="7C4538E2" w14:textId="77777777" w:rsidR="00D1587D" w:rsidRDefault="00410D07">
            <w:pPr>
              <w:ind w:right="290"/>
              <w:jc w:val="right"/>
              <w:rPr>
                <w:sz w:val="20"/>
                <w:szCs w:val="20"/>
              </w:rPr>
            </w:pPr>
            <w:r>
              <w:rPr>
                <w:rFonts w:ascii="Arial" w:eastAsia="Arial" w:hAnsi="Arial" w:cs="Arial"/>
                <w:sz w:val="18"/>
                <w:szCs w:val="18"/>
              </w:rPr>
              <w:t>16</w:t>
            </w:r>
          </w:p>
        </w:tc>
        <w:tc>
          <w:tcPr>
            <w:tcW w:w="120" w:type="dxa"/>
            <w:vAlign w:val="bottom"/>
          </w:tcPr>
          <w:p w14:paraId="06A42107" w14:textId="77777777" w:rsidR="00D1587D" w:rsidRDefault="00D1587D">
            <w:pPr>
              <w:rPr>
                <w:sz w:val="23"/>
                <w:szCs w:val="23"/>
              </w:rPr>
            </w:pPr>
          </w:p>
        </w:tc>
        <w:tc>
          <w:tcPr>
            <w:tcW w:w="960" w:type="dxa"/>
            <w:vAlign w:val="bottom"/>
          </w:tcPr>
          <w:p w14:paraId="6193C4CF" w14:textId="77777777" w:rsidR="00D1587D" w:rsidRDefault="00410D07">
            <w:pPr>
              <w:ind w:right="277"/>
              <w:jc w:val="right"/>
              <w:rPr>
                <w:sz w:val="20"/>
                <w:szCs w:val="20"/>
              </w:rPr>
            </w:pPr>
            <w:r>
              <w:rPr>
                <w:rFonts w:ascii="Arial" w:eastAsia="Arial" w:hAnsi="Arial" w:cs="Arial"/>
                <w:sz w:val="18"/>
                <w:szCs w:val="18"/>
              </w:rPr>
              <w:t>23</w:t>
            </w:r>
          </w:p>
        </w:tc>
        <w:tc>
          <w:tcPr>
            <w:tcW w:w="80" w:type="dxa"/>
            <w:vAlign w:val="bottom"/>
          </w:tcPr>
          <w:p w14:paraId="7CF22D09" w14:textId="77777777" w:rsidR="00D1587D" w:rsidRDefault="00D1587D">
            <w:pPr>
              <w:rPr>
                <w:sz w:val="23"/>
                <w:szCs w:val="23"/>
              </w:rPr>
            </w:pPr>
          </w:p>
        </w:tc>
        <w:tc>
          <w:tcPr>
            <w:tcW w:w="980" w:type="dxa"/>
            <w:vAlign w:val="bottom"/>
          </w:tcPr>
          <w:p w14:paraId="71B6AB6D" w14:textId="77777777" w:rsidR="00D1587D" w:rsidRDefault="00410D07">
            <w:pPr>
              <w:ind w:right="275"/>
              <w:jc w:val="right"/>
              <w:rPr>
                <w:sz w:val="20"/>
                <w:szCs w:val="20"/>
              </w:rPr>
            </w:pPr>
            <w:r>
              <w:rPr>
                <w:rFonts w:ascii="Arial" w:eastAsia="Arial" w:hAnsi="Arial" w:cs="Arial"/>
                <w:sz w:val="18"/>
                <w:szCs w:val="18"/>
              </w:rPr>
              <w:t>24</w:t>
            </w:r>
          </w:p>
        </w:tc>
        <w:tc>
          <w:tcPr>
            <w:tcW w:w="1300" w:type="dxa"/>
            <w:vAlign w:val="bottom"/>
          </w:tcPr>
          <w:p w14:paraId="07DB69DD" w14:textId="77777777" w:rsidR="00D1587D" w:rsidRDefault="00D1587D">
            <w:pPr>
              <w:rPr>
                <w:sz w:val="23"/>
                <w:szCs w:val="23"/>
              </w:rPr>
            </w:pPr>
          </w:p>
        </w:tc>
      </w:tr>
      <w:tr w:rsidR="00D1587D" w14:paraId="49F194AA" w14:textId="77777777">
        <w:trPr>
          <w:trHeight w:val="68"/>
        </w:trPr>
        <w:tc>
          <w:tcPr>
            <w:tcW w:w="1300" w:type="dxa"/>
            <w:vAlign w:val="bottom"/>
          </w:tcPr>
          <w:p w14:paraId="482C16AA" w14:textId="77777777" w:rsidR="00D1587D" w:rsidRDefault="00D1587D">
            <w:pPr>
              <w:rPr>
                <w:sz w:val="5"/>
                <w:szCs w:val="5"/>
              </w:rPr>
            </w:pPr>
          </w:p>
        </w:tc>
        <w:tc>
          <w:tcPr>
            <w:tcW w:w="4000" w:type="dxa"/>
            <w:tcBorders>
              <w:bottom w:val="single" w:sz="8" w:space="0" w:color="CCEEFF"/>
            </w:tcBorders>
            <w:vAlign w:val="bottom"/>
          </w:tcPr>
          <w:p w14:paraId="5E6E57E4" w14:textId="77777777" w:rsidR="00D1587D" w:rsidRDefault="00D1587D">
            <w:pPr>
              <w:rPr>
                <w:sz w:val="5"/>
                <w:szCs w:val="5"/>
              </w:rPr>
            </w:pPr>
          </w:p>
        </w:tc>
        <w:tc>
          <w:tcPr>
            <w:tcW w:w="1300" w:type="dxa"/>
            <w:tcBorders>
              <w:bottom w:val="single" w:sz="8" w:space="0" w:color="CCEEFF"/>
            </w:tcBorders>
            <w:vAlign w:val="bottom"/>
          </w:tcPr>
          <w:p w14:paraId="4A2EA164" w14:textId="77777777" w:rsidR="00D1587D" w:rsidRDefault="00D1587D">
            <w:pPr>
              <w:rPr>
                <w:sz w:val="5"/>
                <w:szCs w:val="5"/>
              </w:rPr>
            </w:pPr>
          </w:p>
        </w:tc>
        <w:tc>
          <w:tcPr>
            <w:tcW w:w="980" w:type="dxa"/>
            <w:tcBorders>
              <w:bottom w:val="single" w:sz="8" w:space="0" w:color="auto"/>
            </w:tcBorders>
            <w:vAlign w:val="bottom"/>
          </w:tcPr>
          <w:p w14:paraId="79F251D1" w14:textId="77777777" w:rsidR="00D1587D" w:rsidRDefault="00D1587D">
            <w:pPr>
              <w:rPr>
                <w:sz w:val="5"/>
                <w:szCs w:val="5"/>
              </w:rPr>
            </w:pPr>
          </w:p>
        </w:tc>
        <w:tc>
          <w:tcPr>
            <w:tcW w:w="120" w:type="dxa"/>
            <w:tcBorders>
              <w:bottom w:val="single" w:sz="8" w:space="0" w:color="CCEEFF"/>
            </w:tcBorders>
            <w:vAlign w:val="bottom"/>
          </w:tcPr>
          <w:p w14:paraId="6039AC9F" w14:textId="77777777" w:rsidR="00D1587D" w:rsidRDefault="00D1587D">
            <w:pPr>
              <w:rPr>
                <w:sz w:val="5"/>
                <w:szCs w:val="5"/>
              </w:rPr>
            </w:pPr>
          </w:p>
        </w:tc>
        <w:tc>
          <w:tcPr>
            <w:tcW w:w="960" w:type="dxa"/>
            <w:tcBorders>
              <w:bottom w:val="single" w:sz="8" w:space="0" w:color="auto"/>
            </w:tcBorders>
            <w:vAlign w:val="bottom"/>
          </w:tcPr>
          <w:p w14:paraId="1FA0269B" w14:textId="77777777" w:rsidR="00D1587D" w:rsidRDefault="00D1587D">
            <w:pPr>
              <w:rPr>
                <w:sz w:val="5"/>
                <w:szCs w:val="5"/>
              </w:rPr>
            </w:pPr>
          </w:p>
        </w:tc>
        <w:tc>
          <w:tcPr>
            <w:tcW w:w="80" w:type="dxa"/>
            <w:tcBorders>
              <w:bottom w:val="single" w:sz="8" w:space="0" w:color="CCEEFF"/>
            </w:tcBorders>
            <w:vAlign w:val="bottom"/>
          </w:tcPr>
          <w:p w14:paraId="5DF5CFCA" w14:textId="77777777" w:rsidR="00D1587D" w:rsidRDefault="00D1587D">
            <w:pPr>
              <w:rPr>
                <w:sz w:val="5"/>
                <w:szCs w:val="5"/>
              </w:rPr>
            </w:pPr>
          </w:p>
        </w:tc>
        <w:tc>
          <w:tcPr>
            <w:tcW w:w="980" w:type="dxa"/>
            <w:tcBorders>
              <w:bottom w:val="single" w:sz="8" w:space="0" w:color="auto"/>
            </w:tcBorders>
            <w:vAlign w:val="bottom"/>
          </w:tcPr>
          <w:p w14:paraId="3A315D29" w14:textId="77777777" w:rsidR="00D1587D" w:rsidRDefault="00D1587D">
            <w:pPr>
              <w:rPr>
                <w:sz w:val="5"/>
                <w:szCs w:val="5"/>
              </w:rPr>
            </w:pPr>
          </w:p>
        </w:tc>
        <w:tc>
          <w:tcPr>
            <w:tcW w:w="1300" w:type="dxa"/>
            <w:vAlign w:val="bottom"/>
          </w:tcPr>
          <w:p w14:paraId="12CFD380" w14:textId="77777777" w:rsidR="00D1587D" w:rsidRDefault="00D1587D">
            <w:pPr>
              <w:rPr>
                <w:sz w:val="5"/>
                <w:szCs w:val="5"/>
              </w:rPr>
            </w:pPr>
          </w:p>
        </w:tc>
      </w:tr>
      <w:tr w:rsidR="00D1587D" w14:paraId="6374047B" w14:textId="77777777">
        <w:trPr>
          <w:trHeight w:val="337"/>
        </w:trPr>
        <w:tc>
          <w:tcPr>
            <w:tcW w:w="1300" w:type="dxa"/>
            <w:vAlign w:val="bottom"/>
          </w:tcPr>
          <w:p w14:paraId="53E11C51" w14:textId="77777777" w:rsidR="00D1587D" w:rsidRDefault="00D1587D">
            <w:pPr>
              <w:rPr>
                <w:sz w:val="24"/>
                <w:szCs w:val="24"/>
              </w:rPr>
            </w:pPr>
          </w:p>
        </w:tc>
        <w:tc>
          <w:tcPr>
            <w:tcW w:w="4000" w:type="dxa"/>
            <w:tcBorders>
              <w:bottom w:val="single" w:sz="8" w:space="0" w:color="CCEEFF"/>
            </w:tcBorders>
            <w:shd w:val="clear" w:color="auto" w:fill="CCEEFF"/>
            <w:vAlign w:val="bottom"/>
          </w:tcPr>
          <w:p w14:paraId="7E08321A" w14:textId="77777777" w:rsidR="00D1587D" w:rsidRDefault="00410D07">
            <w:pPr>
              <w:rPr>
                <w:sz w:val="20"/>
                <w:szCs w:val="20"/>
              </w:rPr>
            </w:pPr>
            <w:r>
              <w:rPr>
                <w:rFonts w:ascii="Arial" w:eastAsia="Arial" w:hAnsi="Arial" w:cs="Arial"/>
                <w:sz w:val="18"/>
                <w:szCs w:val="18"/>
              </w:rPr>
              <w:t>Total Share-based Compensation Expense</w:t>
            </w:r>
          </w:p>
        </w:tc>
        <w:tc>
          <w:tcPr>
            <w:tcW w:w="1300" w:type="dxa"/>
            <w:tcBorders>
              <w:bottom w:val="single" w:sz="8" w:space="0" w:color="CCEEFF"/>
            </w:tcBorders>
            <w:shd w:val="clear" w:color="auto" w:fill="CCEEFF"/>
            <w:vAlign w:val="bottom"/>
          </w:tcPr>
          <w:p w14:paraId="1B77181E" w14:textId="77777777" w:rsidR="00D1587D" w:rsidRDefault="00D1587D">
            <w:pPr>
              <w:rPr>
                <w:sz w:val="24"/>
                <w:szCs w:val="24"/>
              </w:rPr>
            </w:pPr>
          </w:p>
        </w:tc>
        <w:tc>
          <w:tcPr>
            <w:tcW w:w="980" w:type="dxa"/>
            <w:tcBorders>
              <w:bottom w:val="single" w:sz="8" w:space="0" w:color="auto"/>
            </w:tcBorders>
            <w:shd w:val="clear" w:color="auto" w:fill="CCEEFF"/>
            <w:vAlign w:val="bottom"/>
          </w:tcPr>
          <w:p w14:paraId="42E4F65D" w14:textId="77777777" w:rsidR="00D1587D" w:rsidRDefault="00410D07">
            <w:pPr>
              <w:ind w:left="340"/>
              <w:rPr>
                <w:sz w:val="20"/>
                <w:szCs w:val="20"/>
              </w:rPr>
            </w:pPr>
            <w:r>
              <w:rPr>
                <w:rFonts w:ascii="Arial" w:eastAsia="Arial" w:hAnsi="Arial" w:cs="Arial"/>
                <w:sz w:val="18"/>
                <w:szCs w:val="18"/>
              </w:rPr>
              <w:t>$25</w:t>
            </w:r>
          </w:p>
        </w:tc>
        <w:tc>
          <w:tcPr>
            <w:tcW w:w="120" w:type="dxa"/>
            <w:tcBorders>
              <w:bottom w:val="single" w:sz="8" w:space="0" w:color="CCEEFF"/>
            </w:tcBorders>
            <w:shd w:val="clear" w:color="auto" w:fill="CCEEFF"/>
            <w:vAlign w:val="bottom"/>
          </w:tcPr>
          <w:p w14:paraId="64CC21DA" w14:textId="77777777" w:rsidR="00D1587D" w:rsidRDefault="00D1587D">
            <w:pPr>
              <w:rPr>
                <w:sz w:val="24"/>
                <w:szCs w:val="24"/>
              </w:rPr>
            </w:pPr>
          </w:p>
        </w:tc>
        <w:tc>
          <w:tcPr>
            <w:tcW w:w="960" w:type="dxa"/>
            <w:tcBorders>
              <w:bottom w:val="single" w:sz="8" w:space="0" w:color="auto"/>
            </w:tcBorders>
            <w:shd w:val="clear" w:color="auto" w:fill="CCEEFF"/>
            <w:vAlign w:val="bottom"/>
          </w:tcPr>
          <w:p w14:paraId="063BA0C2" w14:textId="77777777" w:rsidR="00D1587D" w:rsidRDefault="00410D07">
            <w:pPr>
              <w:jc w:val="center"/>
              <w:rPr>
                <w:sz w:val="20"/>
                <w:szCs w:val="20"/>
              </w:rPr>
            </w:pPr>
            <w:r>
              <w:rPr>
                <w:rFonts w:ascii="Arial" w:eastAsia="Arial" w:hAnsi="Arial" w:cs="Arial"/>
                <w:w w:val="93"/>
                <w:sz w:val="18"/>
                <w:szCs w:val="18"/>
              </w:rPr>
              <w:t>$38</w:t>
            </w:r>
          </w:p>
        </w:tc>
        <w:tc>
          <w:tcPr>
            <w:tcW w:w="80" w:type="dxa"/>
            <w:tcBorders>
              <w:bottom w:val="single" w:sz="8" w:space="0" w:color="CCEEFF"/>
            </w:tcBorders>
            <w:shd w:val="clear" w:color="auto" w:fill="CCEEFF"/>
            <w:vAlign w:val="bottom"/>
          </w:tcPr>
          <w:p w14:paraId="3892EFEB" w14:textId="77777777" w:rsidR="00D1587D" w:rsidRDefault="00D1587D">
            <w:pPr>
              <w:rPr>
                <w:sz w:val="24"/>
                <w:szCs w:val="24"/>
              </w:rPr>
            </w:pPr>
          </w:p>
        </w:tc>
        <w:tc>
          <w:tcPr>
            <w:tcW w:w="980" w:type="dxa"/>
            <w:tcBorders>
              <w:bottom w:val="single" w:sz="8" w:space="0" w:color="auto"/>
            </w:tcBorders>
            <w:shd w:val="clear" w:color="auto" w:fill="CCEEFF"/>
            <w:vAlign w:val="bottom"/>
          </w:tcPr>
          <w:p w14:paraId="780AE21C" w14:textId="77777777" w:rsidR="00D1587D" w:rsidRDefault="00410D07">
            <w:pPr>
              <w:jc w:val="center"/>
              <w:rPr>
                <w:sz w:val="20"/>
                <w:szCs w:val="20"/>
              </w:rPr>
            </w:pPr>
            <w:r>
              <w:rPr>
                <w:rFonts w:ascii="Arial" w:eastAsia="Arial" w:hAnsi="Arial" w:cs="Arial"/>
                <w:w w:val="86"/>
                <w:sz w:val="18"/>
                <w:szCs w:val="18"/>
              </w:rPr>
              <w:t>$39</w:t>
            </w:r>
          </w:p>
        </w:tc>
        <w:tc>
          <w:tcPr>
            <w:tcW w:w="1300" w:type="dxa"/>
            <w:vAlign w:val="bottom"/>
          </w:tcPr>
          <w:p w14:paraId="549140E9" w14:textId="77777777" w:rsidR="00D1587D" w:rsidRDefault="00D1587D">
            <w:pPr>
              <w:rPr>
                <w:sz w:val="24"/>
                <w:szCs w:val="24"/>
              </w:rPr>
            </w:pPr>
          </w:p>
        </w:tc>
      </w:tr>
      <w:tr w:rsidR="00D1587D" w14:paraId="2792E335" w14:textId="77777777">
        <w:trPr>
          <w:trHeight w:val="406"/>
        </w:trPr>
        <w:tc>
          <w:tcPr>
            <w:tcW w:w="1300" w:type="dxa"/>
            <w:vAlign w:val="bottom"/>
          </w:tcPr>
          <w:p w14:paraId="74DCDAB7" w14:textId="77777777" w:rsidR="00D1587D" w:rsidRDefault="00D1587D">
            <w:pPr>
              <w:rPr>
                <w:sz w:val="24"/>
                <w:szCs w:val="24"/>
              </w:rPr>
            </w:pPr>
          </w:p>
        </w:tc>
        <w:tc>
          <w:tcPr>
            <w:tcW w:w="4000" w:type="dxa"/>
            <w:vAlign w:val="bottom"/>
          </w:tcPr>
          <w:p w14:paraId="57BF9E3B" w14:textId="77777777" w:rsidR="00D1587D" w:rsidRDefault="00D1587D">
            <w:pPr>
              <w:rPr>
                <w:sz w:val="24"/>
                <w:szCs w:val="24"/>
              </w:rPr>
            </w:pPr>
          </w:p>
        </w:tc>
        <w:tc>
          <w:tcPr>
            <w:tcW w:w="2400" w:type="dxa"/>
            <w:gridSpan w:val="3"/>
            <w:vAlign w:val="bottom"/>
          </w:tcPr>
          <w:p w14:paraId="6D263218" w14:textId="77777777" w:rsidR="00D1587D" w:rsidRDefault="00410D07">
            <w:pPr>
              <w:ind w:left="40"/>
              <w:rPr>
                <w:sz w:val="20"/>
                <w:szCs w:val="20"/>
              </w:rPr>
            </w:pPr>
            <w:r>
              <w:rPr>
                <w:rFonts w:ascii="Arial" w:eastAsia="Arial" w:hAnsi="Arial" w:cs="Arial"/>
                <w:sz w:val="18"/>
                <w:szCs w:val="18"/>
              </w:rPr>
              <w:t>F-26</w:t>
            </w:r>
          </w:p>
        </w:tc>
        <w:tc>
          <w:tcPr>
            <w:tcW w:w="960" w:type="dxa"/>
            <w:vAlign w:val="bottom"/>
          </w:tcPr>
          <w:p w14:paraId="6D5CBBCD" w14:textId="77777777" w:rsidR="00D1587D" w:rsidRDefault="00D1587D">
            <w:pPr>
              <w:rPr>
                <w:sz w:val="24"/>
                <w:szCs w:val="24"/>
              </w:rPr>
            </w:pPr>
          </w:p>
        </w:tc>
        <w:tc>
          <w:tcPr>
            <w:tcW w:w="80" w:type="dxa"/>
            <w:vAlign w:val="bottom"/>
          </w:tcPr>
          <w:p w14:paraId="199D95B2" w14:textId="77777777" w:rsidR="00D1587D" w:rsidRDefault="00D1587D">
            <w:pPr>
              <w:rPr>
                <w:sz w:val="24"/>
                <w:szCs w:val="24"/>
              </w:rPr>
            </w:pPr>
          </w:p>
        </w:tc>
        <w:tc>
          <w:tcPr>
            <w:tcW w:w="980" w:type="dxa"/>
            <w:vAlign w:val="bottom"/>
          </w:tcPr>
          <w:p w14:paraId="4D8488A2" w14:textId="77777777" w:rsidR="00D1587D" w:rsidRDefault="00D1587D">
            <w:pPr>
              <w:rPr>
                <w:sz w:val="24"/>
                <w:szCs w:val="24"/>
              </w:rPr>
            </w:pPr>
          </w:p>
        </w:tc>
        <w:tc>
          <w:tcPr>
            <w:tcW w:w="1300" w:type="dxa"/>
            <w:vAlign w:val="bottom"/>
          </w:tcPr>
          <w:p w14:paraId="707A86D1" w14:textId="77777777" w:rsidR="00D1587D" w:rsidRDefault="00D1587D">
            <w:pPr>
              <w:rPr>
                <w:sz w:val="24"/>
                <w:szCs w:val="24"/>
              </w:rPr>
            </w:pPr>
          </w:p>
        </w:tc>
      </w:tr>
      <w:tr w:rsidR="00D1587D" w14:paraId="5415438D" w14:textId="77777777">
        <w:trPr>
          <w:trHeight w:val="183"/>
        </w:trPr>
        <w:tc>
          <w:tcPr>
            <w:tcW w:w="1300" w:type="dxa"/>
            <w:tcBorders>
              <w:bottom w:val="single" w:sz="8" w:space="0" w:color="auto"/>
            </w:tcBorders>
            <w:vAlign w:val="bottom"/>
          </w:tcPr>
          <w:p w14:paraId="492335A8" w14:textId="77777777" w:rsidR="00D1587D" w:rsidRDefault="00D1587D">
            <w:pPr>
              <w:rPr>
                <w:sz w:val="15"/>
                <w:szCs w:val="15"/>
              </w:rPr>
            </w:pPr>
          </w:p>
        </w:tc>
        <w:tc>
          <w:tcPr>
            <w:tcW w:w="4000" w:type="dxa"/>
            <w:tcBorders>
              <w:bottom w:val="single" w:sz="8" w:space="0" w:color="auto"/>
            </w:tcBorders>
            <w:vAlign w:val="bottom"/>
          </w:tcPr>
          <w:p w14:paraId="66CE39DB" w14:textId="77777777" w:rsidR="00D1587D" w:rsidRDefault="00D1587D">
            <w:pPr>
              <w:rPr>
                <w:sz w:val="15"/>
                <w:szCs w:val="15"/>
              </w:rPr>
            </w:pPr>
          </w:p>
        </w:tc>
        <w:tc>
          <w:tcPr>
            <w:tcW w:w="1300" w:type="dxa"/>
            <w:tcBorders>
              <w:bottom w:val="single" w:sz="8" w:space="0" w:color="auto"/>
            </w:tcBorders>
            <w:vAlign w:val="bottom"/>
          </w:tcPr>
          <w:p w14:paraId="108E7FDF" w14:textId="77777777" w:rsidR="00D1587D" w:rsidRDefault="00D1587D">
            <w:pPr>
              <w:rPr>
                <w:sz w:val="15"/>
                <w:szCs w:val="15"/>
              </w:rPr>
            </w:pPr>
          </w:p>
        </w:tc>
        <w:tc>
          <w:tcPr>
            <w:tcW w:w="980" w:type="dxa"/>
            <w:tcBorders>
              <w:bottom w:val="single" w:sz="8" w:space="0" w:color="auto"/>
            </w:tcBorders>
            <w:vAlign w:val="bottom"/>
          </w:tcPr>
          <w:p w14:paraId="45CC4469" w14:textId="77777777" w:rsidR="00D1587D" w:rsidRDefault="00D1587D">
            <w:pPr>
              <w:rPr>
                <w:sz w:val="15"/>
                <w:szCs w:val="15"/>
              </w:rPr>
            </w:pPr>
          </w:p>
        </w:tc>
        <w:tc>
          <w:tcPr>
            <w:tcW w:w="120" w:type="dxa"/>
            <w:tcBorders>
              <w:bottom w:val="single" w:sz="8" w:space="0" w:color="auto"/>
            </w:tcBorders>
            <w:vAlign w:val="bottom"/>
          </w:tcPr>
          <w:p w14:paraId="4869450A" w14:textId="77777777" w:rsidR="00D1587D" w:rsidRDefault="00D1587D">
            <w:pPr>
              <w:rPr>
                <w:sz w:val="15"/>
                <w:szCs w:val="15"/>
              </w:rPr>
            </w:pPr>
          </w:p>
        </w:tc>
        <w:tc>
          <w:tcPr>
            <w:tcW w:w="960" w:type="dxa"/>
            <w:tcBorders>
              <w:bottom w:val="single" w:sz="8" w:space="0" w:color="auto"/>
            </w:tcBorders>
            <w:vAlign w:val="bottom"/>
          </w:tcPr>
          <w:p w14:paraId="098A62C2" w14:textId="77777777" w:rsidR="00D1587D" w:rsidRDefault="00D1587D">
            <w:pPr>
              <w:rPr>
                <w:sz w:val="15"/>
                <w:szCs w:val="15"/>
              </w:rPr>
            </w:pPr>
          </w:p>
        </w:tc>
        <w:tc>
          <w:tcPr>
            <w:tcW w:w="80" w:type="dxa"/>
            <w:tcBorders>
              <w:bottom w:val="single" w:sz="8" w:space="0" w:color="auto"/>
            </w:tcBorders>
            <w:vAlign w:val="bottom"/>
          </w:tcPr>
          <w:p w14:paraId="1CFB62F4" w14:textId="77777777" w:rsidR="00D1587D" w:rsidRDefault="00D1587D">
            <w:pPr>
              <w:rPr>
                <w:sz w:val="15"/>
                <w:szCs w:val="15"/>
              </w:rPr>
            </w:pPr>
          </w:p>
        </w:tc>
        <w:tc>
          <w:tcPr>
            <w:tcW w:w="980" w:type="dxa"/>
            <w:tcBorders>
              <w:bottom w:val="single" w:sz="8" w:space="0" w:color="auto"/>
            </w:tcBorders>
            <w:vAlign w:val="bottom"/>
          </w:tcPr>
          <w:p w14:paraId="730FE023" w14:textId="77777777" w:rsidR="00D1587D" w:rsidRDefault="00D1587D">
            <w:pPr>
              <w:rPr>
                <w:sz w:val="15"/>
                <w:szCs w:val="15"/>
              </w:rPr>
            </w:pPr>
          </w:p>
        </w:tc>
        <w:tc>
          <w:tcPr>
            <w:tcW w:w="1300" w:type="dxa"/>
            <w:tcBorders>
              <w:bottom w:val="single" w:sz="8" w:space="0" w:color="auto"/>
            </w:tcBorders>
            <w:vAlign w:val="bottom"/>
          </w:tcPr>
          <w:p w14:paraId="43169314" w14:textId="77777777" w:rsidR="00D1587D" w:rsidRDefault="00D1587D">
            <w:pPr>
              <w:rPr>
                <w:sz w:val="15"/>
                <w:szCs w:val="15"/>
              </w:rPr>
            </w:pPr>
          </w:p>
        </w:tc>
      </w:tr>
    </w:tbl>
    <w:p w14:paraId="4ECD5788" w14:textId="77777777" w:rsidR="00D1587D" w:rsidRDefault="00410D07">
      <w:pPr>
        <w:spacing w:line="20" w:lineRule="exact"/>
        <w:rPr>
          <w:sz w:val="20"/>
          <w:szCs w:val="20"/>
        </w:rPr>
      </w:pPr>
      <w:r>
        <w:rPr>
          <w:noProof/>
          <w:sz w:val="20"/>
          <w:szCs w:val="20"/>
        </w:rPr>
        <w:drawing>
          <wp:anchor distT="0" distB="0" distL="114300" distR="114300" simplePos="0" relativeHeight="252135424" behindDoc="1" locked="0" layoutInCell="0" allowOverlap="1" wp14:anchorId="7DDC6957" wp14:editId="0BC223DF">
            <wp:simplePos x="0" y="0"/>
            <wp:positionH relativeFrom="column">
              <wp:posOffset>4154805</wp:posOffset>
            </wp:positionH>
            <wp:positionV relativeFrom="paragraph">
              <wp:posOffset>-419100</wp:posOffset>
            </wp:positionV>
            <wp:extent cx="34290" cy="8890"/>
            <wp:effectExtent l="0" t="0" r="0" b="0"/>
            <wp:wrapNone/>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35"/>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2136448" behindDoc="1" locked="0" layoutInCell="0" allowOverlap="1" wp14:anchorId="31E6DFD4" wp14:editId="01259C3D">
            <wp:simplePos x="0" y="0"/>
            <wp:positionH relativeFrom="column">
              <wp:posOffset>5501005</wp:posOffset>
            </wp:positionH>
            <wp:positionV relativeFrom="paragraph">
              <wp:posOffset>-624840</wp:posOffset>
            </wp:positionV>
            <wp:extent cx="51435" cy="8890"/>
            <wp:effectExtent l="0" t="0" r="0" b="0"/>
            <wp:wrapNone/>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2137472" behindDoc="1" locked="0" layoutInCell="0" allowOverlap="1" wp14:anchorId="1AE789EF" wp14:editId="3FA34B06">
            <wp:simplePos x="0" y="0"/>
            <wp:positionH relativeFrom="column">
              <wp:posOffset>4815205</wp:posOffset>
            </wp:positionH>
            <wp:positionV relativeFrom="paragraph">
              <wp:posOffset>-624840</wp:posOffset>
            </wp:positionV>
            <wp:extent cx="68580" cy="8890"/>
            <wp:effectExtent l="0" t="0" r="0" b="0"/>
            <wp:wrapNone/>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r>
        <w:rPr>
          <w:noProof/>
          <w:sz w:val="20"/>
          <w:szCs w:val="20"/>
        </w:rPr>
        <w:drawing>
          <wp:anchor distT="0" distB="0" distL="114300" distR="114300" simplePos="0" relativeHeight="252138496" behindDoc="1" locked="0" layoutInCell="0" allowOverlap="1" wp14:anchorId="7682092B" wp14:editId="75A6B300">
            <wp:simplePos x="0" y="0"/>
            <wp:positionH relativeFrom="column">
              <wp:posOffset>4154805</wp:posOffset>
            </wp:positionH>
            <wp:positionV relativeFrom="paragraph">
              <wp:posOffset>-624840</wp:posOffset>
            </wp:positionV>
            <wp:extent cx="34290" cy="8890"/>
            <wp:effectExtent l="0" t="0" r="0" b="0"/>
            <wp:wrapNone/>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37"/>
                    <a:srcRect/>
                    <a:stretch>
                      <a:fillRect/>
                    </a:stretch>
                  </pic:blipFill>
                  <pic:spPr bwMode="auto">
                    <a:xfrm>
                      <a:off x="0" y="0"/>
                      <a:ext cx="34290" cy="8890"/>
                    </a:xfrm>
                    <a:prstGeom prst="rect">
                      <a:avLst/>
                    </a:prstGeom>
                    <a:noFill/>
                  </pic:spPr>
                </pic:pic>
              </a:graphicData>
            </a:graphic>
          </wp:anchor>
        </w:drawing>
      </w:r>
      <w:r>
        <w:rPr>
          <w:noProof/>
          <w:sz w:val="20"/>
          <w:szCs w:val="20"/>
        </w:rPr>
        <w:drawing>
          <wp:anchor distT="0" distB="0" distL="114300" distR="114300" simplePos="0" relativeHeight="252139520" behindDoc="1" locked="0" layoutInCell="0" allowOverlap="1" wp14:anchorId="172DF4EC" wp14:editId="5919C731">
            <wp:simplePos x="0" y="0"/>
            <wp:positionH relativeFrom="column">
              <wp:posOffset>5501005</wp:posOffset>
            </wp:positionH>
            <wp:positionV relativeFrom="paragraph">
              <wp:posOffset>-1242060</wp:posOffset>
            </wp:positionV>
            <wp:extent cx="51435" cy="8890"/>
            <wp:effectExtent l="0" t="0" r="0" b="0"/>
            <wp:wrapNone/>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9"/>
                    <a:srcRect/>
                    <a:stretch>
                      <a:fillRect/>
                    </a:stretch>
                  </pic:blipFill>
                  <pic:spPr bwMode="auto">
                    <a:xfrm>
                      <a:off x="0" y="0"/>
                      <a:ext cx="51435" cy="8890"/>
                    </a:xfrm>
                    <a:prstGeom prst="rect">
                      <a:avLst/>
                    </a:prstGeom>
                    <a:noFill/>
                  </pic:spPr>
                </pic:pic>
              </a:graphicData>
            </a:graphic>
          </wp:anchor>
        </w:drawing>
      </w:r>
      <w:r>
        <w:rPr>
          <w:noProof/>
          <w:sz w:val="20"/>
          <w:szCs w:val="20"/>
        </w:rPr>
        <w:drawing>
          <wp:anchor distT="0" distB="0" distL="114300" distR="114300" simplePos="0" relativeHeight="252140544" behindDoc="1" locked="0" layoutInCell="0" allowOverlap="1" wp14:anchorId="4CFB8B40" wp14:editId="6919F807">
            <wp:simplePos x="0" y="0"/>
            <wp:positionH relativeFrom="column">
              <wp:posOffset>4815205</wp:posOffset>
            </wp:positionH>
            <wp:positionV relativeFrom="paragraph">
              <wp:posOffset>-1242060</wp:posOffset>
            </wp:positionV>
            <wp:extent cx="68580" cy="8890"/>
            <wp:effectExtent l="0" t="0" r="0" b="0"/>
            <wp:wrapNone/>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36"/>
                    <a:srcRect/>
                    <a:stretch>
                      <a:fillRect/>
                    </a:stretch>
                  </pic:blipFill>
                  <pic:spPr bwMode="auto">
                    <a:xfrm>
                      <a:off x="0" y="0"/>
                      <a:ext cx="68580" cy="8890"/>
                    </a:xfrm>
                    <a:prstGeom prst="rect">
                      <a:avLst/>
                    </a:prstGeom>
                    <a:noFill/>
                  </pic:spPr>
                </pic:pic>
              </a:graphicData>
            </a:graphic>
          </wp:anchor>
        </w:drawing>
      </w:r>
    </w:p>
    <w:p w14:paraId="36A3D80B" w14:textId="77777777" w:rsidR="00D1587D" w:rsidRDefault="00D1587D">
      <w:pPr>
        <w:sectPr w:rsidR="00D1587D">
          <w:pgSz w:w="11900" w:h="16838"/>
          <w:pgMar w:top="265" w:right="439" w:bottom="1081" w:left="440" w:header="0" w:footer="0" w:gutter="0"/>
          <w:cols w:space="720" w:equalWidth="0">
            <w:col w:w="11020"/>
          </w:cols>
        </w:sectPr>
      </w:pPr>
    </w:p>
    <w:bookmarkStart w:id="422" w:name="page423"/>
    <w:bookmarkEnd w:id="422"/>
    <w:p w14:paraId="46A3FD7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1C3F34B8" w14:textId="77777777" w:rsidR="00D1587D" w:rsidRDefault="00D1587D">
      <w:pPr>
        <w:spacing w:line="131" w:lineRule="exact"/>
        <w:rPr>
          <w:sz w:val="20"/>
          <w:szCs w:val="20"/>
        </w:rPr>
      </w:pPr>
    </w:p>
    <w:p w14:paraId="3FD627B3" w14:textId="77777777" w:rsidR="00D1587D" w:rsidRDefault="00410D07">
      <w:pPr>
        <w:spacing w:line="277" w:lineRule="auto"/>
        <w:ind w:left="300" w:right="779" w:firstLine="360"/>
        <w:rPr>
          <w:sz w:val="20"/>
          <w:szCs w:val="20"/>
        </w:rPr>
      </w:pPr>
      <w:r>
        <w:rPr>
          <w:rFonts w:ascii="Arial" w:eastAsia="Arial" w:hAnsi="Arial" w:cs="Arial"/>
          <w:sz w:val="18"/>
          <w:szCs w:val="18"/>
        </w:rPr>
        <w:t>The tax benefits associated with recognized share-based compensation expense were $6 million for 2020, $8 million for 2019 and $9 million for 2018.</w:t>
      </w:r>
    </w:p>
    <w:p w14:paraId="15BDC1FD" w14:textId="77777777" w:rsidR="00D1587D" w:rsidRDefault="00D1587D">
      <w:pPr>
        <w:spacing w:line="211" w:lineRule="exact"/>
        <w:rPr>
          <w:sz w:val="20"/>
          <w:szCs w:val="20"/>
        </w:rPr>
      </w:pPr>
    </w:p>
    <w:p w14:paraId="2BC7D716" w14:textId="77777777" w:rsidR="00D1587D" w:rsidRDefault="00410D07">
      <w:pPr>
        <w:ind w:left="660"/>
        <w:rPr>
          <w:sz w:val="20"/>
          <w:szCs w:val="20"/>
        </w:rPr>
      </w:pPr>
      <w:r>
        <w:rPr>
          <w:rFonts w:ascii="Arial" w:eastAsia="Arial" w:hAnsi="Arial" w:cs="Arial"/>
          <w:i/>
          <w:iCs/>
          <w:sz w:val="18"/>
          <w:szCs w:val="18"/>
        </w:rPr>
        <w:t>Restricted Stock</w:t>
      </w:r>
    </w:p>
    <w:p w14:paraId="2C93281B" w14:textId="77777777" w:rsidR="00D1587D" w:rsidRDefault="00D1587D">
      <w:pPr>
        <w:spacing w:line="117" w:lineRule="exact"/>
        <w:rPr>
          <w:sz w:val="20"/>
          <w:szCs w:val="20"/>
        </w:rPr>
      </w:pPr>
    </w:p>
    <w:p w14:paraId="247667BB" w14:textId="77777777" w:rsidR="00D1587D" w:rsidRDefault="00410D07">
      <w:pPr>
        <w:spacing w:line="286" w:lineRule="auto"/>
        <w:ind w:left="300" w:right="619" w:firstLine="360"/>
        <w:jc w:val="both"/>
        <w:rPr>
          <w:sz w:val="20"/>
          <w:szCs w:val="20"/>
        </w:rPr>
      </w:pPr>
      <w:r>
        <w:rPr>
          <w:rFonts w:ascii="Arial" w:eastAsia="Arial" w:hAnsi="Arial" w:cs="Arial"/>
          <w:sz w:val="17"/>
          <w:szCs w:val="17"/>
        </w:rPr>
        <w:t>Restricted stock generally vests (the restrictions lapse) at the end of a three-year period or on a graded basis over a five-year period. The fair value of restricted stock awards is based on the market value of an unrestricted share of L Brands common sto</w:t>
      </w:r>
      <w:r>
        <w:rPr>
          <w:rFonts w:ascii="Arial" w:eastAsia="Arial" w:hAnsi="Arial" w:cs="Arial"/>
          <w:sz w:val="17"/>
          <w:szCs w:val="17"/>
        </w:rPr>
        <w:t>ck on the date of grant adjusted for anticipated dividend yields.</w:t>
      </w:r>
    </w:p>
    <w:p w14:paraId="6D763531" w14:textId="77777777" w:rsidR="00D1587D" w:rsidRDefault="00D1587D">
      <w:pPr>
        <w:spacing w:line="57" w:lineRule="exact"/>
        <w:rPr>
          <w:sz w:val="20"/>
          <w:szCs w:val="20"/>
        </w:rPr>
      </w:pPr>
    </w:p>
    <w:p w14:paraId="6AE384D8" w14:textId="77777777" w:rsidR="00D1587D" w:rsidRDefault="00410D07">
      <w:pPr>
        <w:spacing w:line="277" w:lineRule="auto"/>
        <w:ind w:left="300" w:right="659" w:firstLine="360"/>
        <w:rPr>
          <w:sz w:val="20"/>
          <w:szCs w:val="20"/>
        </w:rPr>
      </w:pPr>
      <w:r>
        <w:rPr>
          <w:rFonts w:ascii="Arial" w:eastAsia="Arial" w:hAnsi="Arial" w:cs="Arial"/>
          <w:sz w:val="18"/>
          <w:szCs w:val="18"/>
        </w:rPr>
        <w:t>The following table provides L Brands’ restricted stock activity for Company employees for the fiscal year ended January 30, 2021:</w:t>
      </w:r>
    </w:p>
    <w:p w14:paraId="356C4FFA" w14:textId="77777777" w:rsidR="00D1587D" w:rsidRDefault="00D1587D">
      <w:pPr>
        <w:spacing w:line="10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580"/>
        <w:gridCol w:w="80"/>
        <w:gridCol w:w="880"/>
        <w:gridCol w:w="160"/>
        <w:gridCol w:w="720"/>
        <w:gridCol w:w="20"/>
      </w:tblGrid>
      <w:tr w:rsidR="00D1587D" w14:paraId="7836786F" w14:textId="77777777">
        <w:trPr>
          <w:trHeight w:val="161"/>
        </w:trPr>
        <w:tc>
          <w:tcPr>
            <w:tcW w:w="6580" w:type="dxa"/>
            <w:vAlign w:val="bottom"/>
          </w:tcPr>
          <w:p w14:paraId="1744E6E4" w14:textId="77777777" w:rsidR="00D1587D" w:rsidRDefault="00D1587D">
            <w:pPr>
              <w:rPr>
                <w:sz w:val="14"/>
                <w:szCs w:val="14"/>
              </w:rPr>
            </w:pPr>
          </w:p>
        </w:tc>
        <w:tc>
          <w:tcPr>
            <w:tcW w:w="80" w:type="dxa"/>
            <w:vAlign w:val="bottom"/>
          </w:tcPr>
          <w:p w14:paraId="495A6DBA" w14:textId="77777777" w:rsidR="00D1587D" w:rsidRDefault="00D1587D">
            <w:pPr>
              <w:rPr>
                <w:sz w:val="14"/>
                <w:szCs w:val="14"/>
              </w:rPr>
            </w:pPr>
          </w:p>
        </w:tc>
        <w:tc>
          <w:tcPr>
            <w:tcW w:w="880" w:type="dxa"/>
            <w:vAlign w:val="bottom"/>
          </w:tcPr>
          <w:p w14:paraId="2D305B8D" w14:textId="77777777" w:rsidR="00D1587D" w:rsidRDefault="00D1587D">
            <w:pPr>
              <w:rPr>
                <w:sz w:val="14"/>
                <w:szCs w:val="14"/>
              </w:rPr>
            </w:pPr>
          </w:p>
        </w:tc>
        <w:tc>
          <w:tcPr>
            <w:tcW w:w="160" w:type="dxa"/>
            <w:vAlign w:val="bottom"/>
          </w:tcPr>
          <w:p w14:paraId="3335080A" w14:textId="77777777" w:rsidR="00D1587D" w:rsidRDefault="00D1587D">
            <w:pPr>
              <w:rPr>
                <w:sz w:val="14"/>
                <w:szCs w:val="14"/>
              </w:rPr>
            </w:pPr>
          </w:p>
        </w:tc>
        <w:tc>
          <w:tcPr>
            <w:tcW w:w="720" w:type="dxa"/>
            <w:vAlign w:val="bottom"/>
          </w:tcPr>
          <w:p w14:paraId="14823CFB" w14:textId="77777777" w:rsidR="00D1587D" w:rsidRDefault="00410D07">
            <w:pPr>
              <w:jc w:val="center"/>
              <w:rPr>
                <w:sz w:val="20"/>
                <w:szCs w:val="20"/>
              </w:rPr>
            </w:pPr>
            <w:r>
              <w:rPr>
                <w:rFonts w:ascii="Arial" w:eastAsia="Arial" w:hAnsi="Arial" w:cs="Arial"/>
                <w:b/>
                <w:bCs/>
                <w:w w:val="95"/>
                <w:sz w:val="14"/>
                <w:szCs w:val="14"/>
              </w:rPr>
              <w:t>Weighted</w:t>
            </w:r>
          </w:p>
        </w:tc>
        <w:tc>
          <w:tcPr>
            <w:tcW w:w="0" w:type="dxa"/>
            <w:vAlign w:val="bottom"/>
          </w:tcPr>
          <w:p w14:paraId="636A1863" w14:textId="77777777" w:rsidR="00D1587D" w:rsidRDefault="00D1587D">
            <w:pPr>
              <w:rPr>
                <w:sz w:val="1"/>
                <w:szCs w:val="1"/>
              </w:rPr>
            </w:pPr>
          </w:p>
        </w:tc>
      </w:tr>
      <w:tr w:rsidR="00D1587D" w14:paraId="4C0C016F" w14:textId="77777777">
        <w:trPr>
          <w:trHeight w:val="148"/>
        </w:trPr>
        <w:tc>
          <w:tcPr>
            <w:tcW w:w="6580" w:type="dxa"/>
            <w:vAlign w:val="bottom"/>
          </w:tcPr>
          <w:p w14:paraId="5CB73ECC" w14:textId="77777777" w:rsidR="00D1587D" w:rsidRDefault="00D1587D">
            <w:pPr>
              <w:rPr>
                <w:sz w:val="12"/>
                <w:szCs w:val="12"/>
              </w:rPr>
            </w:pPr>
          </w:p>
        </w:tc>
        <w:tc>
          <w:tcPr>
            <w:tcW w:w="80" w:type="dxa"/>
            <w:vAlign w:val="bottom"/>
          </w:tcPr>
          <w:p w14:paraId="7CF0F757" w14:textId="77777777" w:rsidR="00D1587D" w:rsidRDefault="00D1587D">
            <w:pPr>
              <w:rPr>
                <w:sz w:val="12"/>
                <w:szCs w:val="12"/>
              </w:rPr>
            </w:pPr>
          </w:p>
        </w:tc>
        <w:tc>
          <w:tcPr>
            <w:tcW w:w="1040" w:type="dxa"/>
            <w:gridSpan w:val="2"/>
            <w:vMerge w:val="restart"/>
            <w:vAlign w:val="bottom"/>
          </w:tcPr>
          <w:p w14:paraId="434DBFA3" w14:textId="77777777" w:rsidR="00D1587D" w:rsidRDefault="00410D07">
            <w:pPr>
              <w:ind w:right="200"/>
              <w:jc w:val="center"/>
              <w:rPr>
                <w:sz w:val="20"/>
                <w:szCs w:val="20"/>
              </w:rPr>
            </w:pPr>
            <w:r>
              <w:rPr>
                <w:rFonts w:ascii="Arial" w:eastAsia="Arial" w:hAnsi="Arial" w:cs="Arial"/>
                <w:b/>
                <w:bCs/>
                <w:w w:val="97"/>
                <w:sz w:val="14"/>
                <w:szCs w:val="14"/>
              </w:rPr>
              <w:t>Number of</w:t>
            </w:r>
          </w:p>
        </w:tc>
        <w:tc>
          <w:tcPr>
            <w:tcW w:w="720" w:type="dxa"/>
            <w:vAlign w:val="bottom"/>
          </w:tcPr>
          <w:p w14:paraId="18BDB3F2" w14:textId="77777777" w:rsidR="00D1587D" w:rsidRDefault="00410D07">
            <w:pPr>
              <w:spacing w:line="149" w:lineRule="exact"/>
              <w:jc w:val="center"/>
              <w:rPr>
                <w:sz w:val="20"/>
                <w:szCs w:val="20"/>
              </w:rPr>
            </w:pPr>
            <w:r>
              <w:rPr>
                <w:rFonts w:ascii="Arial" w:eastAsia="Arial" w:hAnsi="Arial" w:cs="Arial"/>
                <w:b/>
                <w:bCs/>
                <w:w w:val="90"/>
                <w:sz w:val="14"/>
                <w:szCs w:val="14"/>
              </w:rPr>
              <w:t>Average</w:t>
            </w:r>
          </w:p>
        </w:tc>
        <w:tc>
          <w:tcPr>
            <w:tcW w:w="0" w:type="dxa"/>
            <w:vAlign w:val="bottom"/>
          </w:tcPr>
          <w:p w14:paraId="40AD1BB0" w14:textId="77777777" w:rsidR="00D1587D" w:rsidRDefault="00D1587D">
            <w:pPr>
              <w:rPr>
                <w:sz w:val="1"/>
                <w:szCs w:val="1"/>
              </w:rPr>
            </w:pPr>
          </w:p>
        </w:tc>
      </w:tr>
      <w:tr w:rsidR="00D1587D" w14:paraId="6593048A" w14:textId="77777777">
        <w:trPr>
          <w:trHeight w:val="148"/>
        </w:trPr>
        <w:tc>
          <w:tcPr>
            <w:tcW w:w="6580" w:type="dxa"/>
            <w:vAlign w:val="bottom"/>
          </w:tcPr>
          <w:p w14:paraId="039FD8A5" w14:textId="77777777" w:rsidR="00D1587D" w:rsidRDefault="00D1587D">
            <w:pPr>
              <w:rPr>
                <w:sz w:val="12"/>
                <w:szCs w:val="12"/>
              </w:rPr>
            </w:pPr>
          </w:p>
        </w:tc>
        <w:tc>
          <w:tcPr>
            <w:tcW w:w="80" w:type="dxa"/>
            <w:vAlign w:val="bottom"/>
          </w:tcPr>
          <w:p w14:paraId="2646D2D6" w14:textId="77777777" w:rsidR="00D1587D" w:rsidRDefault="00D1587D">
            <w:pPr>
              <w:rPr>
                <w:sz w:val="12"/>
                <w:szCs w:val="12"/>
              </w:rPr>
            </w:pPr>
          </w:p>
        </w:tc>
        <w:tc>
          <w:tcPr>
            <w:tcW w:w="1040" w:type="dxa"/>
            <w:gridSpan w:val="2"/>
            <w:vMerge/>
            <w:vAlign w:val="bottom"/>
          </w:tcPr>
          <w:p w14:paraId="06132B9F" w14:textId="77777777" w:rsidR="00D1587D" w:rsidRDefault="00D1587D">
            <w:pPr>
              <w:rPr>
                <w:sz w:val="12"/>
                <w:szCs w:val="12"/>
              </w:rPr>
            </w:pPr>
          </w:p>
        </w:tc>
        <w:tc>
          <w:tcPr>
            <w:tcW w:w="720" w:type="dxa"/>
            <w:vAlign w:val="bottom"/>
          </w:tcPr>
          <w:p w14:paraId="287D1801" w14:textId="77777777" w:rsidR="00D1587D" w:rsidRDefault="00410D07">
            <w:pPr>
              <w:spacing w:line="149" w:lineRule="exact"/>
              <w:jc w:val="center"/>
              <w:rPr>
                <w:sz w:val="20"/>
                <w:szCs w:val="20"/>
              </w:rPr>
            </w:pPr>
            <w:r>
              <w:rPr>
                <w:rFonts w:ascii="Arial" w:eastAsia="Arial" w:hAnsi="Arial" w:cs="Arial"/>
                <w:b/>
                <w:bCs/>
                <w:w w:val="97"/>
                <w:sz w:val="14"/>
                <w:szCs w:val="14"/>
              </w:rPr>
              <w:t>Grant Date</w:t>
            </w:r>
          </w:p>
        </w:tc>
        <w:tc>
          <w:tcPr>
            <w:tcW w:w="0" w:type="dxa"/>
            <w:vAlign w:val="bottom"/>
          </w:tcPr>
          <w:p w14:paraId="620E9C67" w14:textId="77777777" w:rsidR="00D1587D" w:rsidRDefault="00D1587D">
            <w:pPr>
              <w:rPr>
                <w:sz w:val="1"/>
                <w:szCs w:val="1"/>
              </w:rPr>
            </w:pPr>
          </w:p>
        </w:tc>
      </w:tr>
      <w:tr w:rsidR="00D1587D" w14:paraId="16489B26" w14:textId="77777777">
        <w:trPr>
          <w:trHeight w:val="186"/>
        </w:trPr>
        <w:tc>
          <w:tcPr>
            <w:tcW w:w="6580" w:type="dxa"/>
            <w:vAlign w:val="bottom"/>
          </w:tcPr>
          <w:p w14:paraId="54221C44" w14:textId="77777777" w:rsidR="00D1587D" w:rsidRDefault="00D1587D">
            <w:pPr>
              <w:rPr>
                <w:sz w:val="16"/>
                <w:szCs w:val="16"/>
              </w:rPr>
            </w:pPr>
          </w:p>
        </w:tc>
        <w:tc>
          <w:tcPr>
            <w:tcW w:w="80" w:type="dxa"/>
            <w:vAlign w:val="bottom"/>
          </w:tcPr>
          <w:p w14:paraId="3BA33964" w14:textId="77777777" w:rsidR="00D1587D" w:rsidRDefault="00D1587D">
            <w:pPr>
              <w:rPr>
                <w:sz w:val="16"/>
                <w:szCs w:val="16"/>
              </w:rPr>
            </w:pPr>
          </w:p>
        </w:tc>
        <w:tc>
          <w:tcPr>
            <w:tcW w:w="1040" w:type="dxa"/>
            <w:gridSpan w:val="2"/>
            <w:vAlign w:val="bottom"/>
          </w:tcPr>
          <w:p w14:paraId="7FDD7F40" w14:textId="77777777" w:rsidR="00D1587D" w:rsidRDefault="00410D07">
            <w:pPr>
              <w:ind w:right="160"/>
              <w:jc w:val="center"/>
              <w:rPr>
                <w:sz w:val="20"/>
                <w:szCs w:val="20"/>
              </w:rPr>
            </w:pPr>
            <w:r>
              <w:rPr>
                <w:rFonts w:ascii="Arial" w:eastAsia="Arial" w:hAnsi="Arial" w:cs="Arial"/>
                <w:b/>
                <w:bCs/>
                <w:w w:val="85"/>
                <w:sz w:val="14"/>
                <w:szCs w:val="14"/>
              </w:rPr>
              <w:t>Shares</w:t>
            </w:r>
          </w:p>
        </w:tc>
        <w:tc>
          <w:tcPr>
            <w:tcW w:w="720" w:type="dxa"/>
            <w:vAlign w:val="bottom"/>
          </w:tcPr>
          <w:p w14:paraId="6F67B6DA" w14:textId="77777777" w:rsidR="00D1587D" w:rsidRDefault="00410D07">
            <w:pPr>
              <w:jc w:val="center"/>
              <w:rPr>
                <w:sz w:val="20"/>
                <w:szCs w:val="20"/>
              </w:rPr>
            </w:pPr>
            <w:r>
              <w:rPr>
                <w:rFonts w:ascii="Arial" w:eastAsia="Arial" w:hAnsi="Arial" w:cs="Arial"/>
                <w:b/>
                <w:bCs/>
                <w:w w:val="95"/>
                <w:sz w:val="14"/>
                <w:szCs w:val="14"/>
              </w:rPr>
              <w:t>Fair Value</w:t>
            </w:r>
          </w:p>
        </w:tc>
        <w:tc>
          <w:tcPr>
            <w:tcW w:w="0" w:type="dxa"/>
            <w:vAlign w:val="bottom"/>
          </w:tcPr>
          <w:p w14:paraId="78DECC18" w14:textId="77777777" w:rsidR="00D1587D" w:rsidRDefault="00D1587D">
            <w:pPr>
              <w:rPr>
                <w:sz w:val="1"/>
                <w:szCs w:val="1"/>
              </w:rPr>
            </w:pPr>
          </w:p>
        </w:tc>
      </w:tr>
      <w:tr w:rsidR="00D1587D" w14:paraId="0E4E3A51" w14:textId="77777777">
        <w:trPr>
          <w:trHeight w:val="53"/>
        </w:trPr>
        <w:tc>
          <w:tcPr>
            <w:tcW w:w="6580" w:type="dxa"/>
            <w:vAlign w:val="bottom"/>
          </w:tcPr>
          <w:p w14:paraId="7A74BFF7" w14:textId="77777777" w:rsidR="00D1587D" w:rsidRDefault="00D1587D">
            <w:pPr>
              <w:rPr>
                <w:sz w:val="4"/>
                <w:szCs w:val="4"/>
              </w:rPr>
            </w:pPr>
          </w:p>
        </w:tc>
        <w:tc>
          <w:tcPr>
            <w:tcW w:w="80" w:type="dxa"/>
            <w:vAlign w:val="bottom"/>
          </w:tcPr>
          <w:p w14:paraId="6BF56BA7" w14:textId="77777777" w:rsidR="00D1587D" w:rsidRDefault="00D1587D">
            <w:pPr>
              <w:rPr>
                <w:sz w:val="4"/>
                <w:szCs w:val="4"/>
              </w:rPr>
            </w:pPr>
          </w:p>
        </w:tc>
        <w:tc>
          <w:tcPr>
            <w:tcW w:w="880" w:type="dxa"/>
            <w:tcBorders>
              <w:bottom w:val="single" w:sz="8" w:space="0" w:color="auto"/>
            </w:tcBorders>
            <w:vAlign w:val="bottom"/>
          </w:tcPr>
          <w:p w14:paraId="412FC880" w14:textId="77777777" w:rsidR="00D1587D" w:rsidRDefault="00D1587D">
            <w:pPr>
              <w:rPr>
                <w:sz w:val="4"/>
                <w:szCs w:val="4"/>
              </w:rPr>
            </w:pPr>
          </w:p>
        </w:tc>
        <w:tc>
          <w:tcPr>
            <w:tcW w:w="160" w:type="dxa"/>
            <w:vAlign w:val="bottom"/>
          </w:tcPr>
          <w:p w14:paraId="612BA074" w14:textId="77777777" w:rsidR="00D1587D" w:rsidRDefault="00D1587D">
            <w:pPr>
              <w:rPr>
                <w:sz w:val="4"/>
                <w:szCs w:val="4"/>
              </w:rPr>
            </w:pPr>
          </w:p>
        </w:tc>
        <w:tc>
          <w:tcPr>
            <w:tcW w:w="720" w:type="dxa"/>
            <w:tcBorders>
              <w:bottom w:val="single" w:sz="8" w:space="0" w:color="auto"/>
            </w:tcBorders>
            <w:vAlign w:val="bottom"/>
          </w:tcPr>
          <w:p w14:paraId="61B766B1" w14:textId="77777777" w:rsidR="00D1587D" w:rsidRDefault="00D1587D">
            <w:pPr>
              <w:rPr>
                <w:sz w:val="4"/>
                <w:szCs w:val="4"/>
              </w:rPr>
            </w:pPr>
          </w:p>
        </w:tc>
        <w:tc>
          <w:tcPr>
            <w:tcW w:w="0" w:type="dxa"/>
            <w:vAlign w:val="bottom"/>
          </w:tcPr>
          <w:p w14:paraId="53EB8B5C" w14:textId="77777777" w:rsidR="00D1587D" w:rsidRDefault="00D1587D">
            <w:pPr>
              <w:rPr>
                <w:sz w:val="1"/>
                <w:szCs w:val="1"/>
              </w:rPr>
            </w:pPr>
          </w:p>
        </w:tc>
      </w:tr>
      <w:tr w:rsidR="00D1587D" w14:paraId="131EC25F" w14:textId="77777777">
        <w:trPr>
          <w:trHeight w:val="224"/>
        </w:trPr>
        <w:tc>
          <w:tcPr>
            <w:tcW w:w="6580" w:type="dxa"/>
            <w:vAlign w:val="bottom"/>
          </w:tcPr>
          <w:p w14:paraId="6A1FEC7F" w14:textId="77777777" w:rsidR="00D1587D" w:rsidRDefault="00D1587D">
            <w:pPr>
              <w:rPr>
                <w:sz w:val="19"/>
                <w:szCs w:val="19"/>
              </w:rPr>
            </w:pPr>
          </w:p>
        </w:tc>
        <w:tc>
          <w:tcPr>
            <w:tcW w:w="80" w:type="dxa"/>
            <w:vAlign w:val="bottom"/>
          </w:tcPr>
          <w:p w14:paraId="65C0B161" w14:textId="77777777" w:rsidR="00D1587D" w:rsidRDefault="00D1587D">
            <w:pPr>
              <w:rPr>
                <w:sz w:val="19"/>
                <w:szCs w:val="19"/>
              </w:rPr>
            </w:pPr>
          </w:p>
        </w:tc>
        <w:tc>
          <w:tcPr>
            <w:tcW w:w="1040" w:type="dxa"/>
            <w:gridSpan w:val="2"/>
            <w:vAlign w:val="bottom"/>
          </w:tcPr>
          <w:p w14:paraId="2C61D000" w14:textId="77777777" w:rsidR="00D1587D" w:rsidRDefault="00410D07">
            <w:pPr>
              <w:ind w:right="160"/>
              <w:jc w:val="center"/>
              <w:rPr>
                <w:sz w:val="20"/>
                <w:szCs w:val="20"/>
              </w:rPr>
            </w:pPr>
            <w:r>
              <w:rPr>
                <w:rFonts w:ascii="Arial" w:eastAsia="Arial" w:hAnsi="Arial" w:cs="Arial"/>
                <w:b/>
                <w:bCs/>
                <w:w w:val="91"/>
                <w:sz w:val="14"/>
                <w:szCs w:val="14"/>
              </w:rPr>
              <w:t>(in thousands)</w:t>
            </w:r>
          </w:p>
        </w:tc>
        <w:tc>
          <w:tcPr>
            <w:tcW w:w="720" w:type="dxa"/>
            <w:vAlign w:val="bottom"/>
          </w:tcPr>
          <w:p w14:paraId="3F7549D8" w14:textId="77777777" w:rsidR="00D1587D" w:rsidRDefault="00D1587D">
            <w:pPr>
              <w:rPr>
                <w:sz w:val="19"/>
                <w:szCs w:val="19"/>
              </w:rPr>
            </w:pPr>
          </w:p>
        </w:tc>
        <w:tc>
          <w:tcPr>
            <w:tcW w:w="0" w:type="dxa"/>
            <w:vAlign w:val="bottom"/>
          </w:tcPr>
          <w:p w14:paraId="119EC601" w14:textId="77777777" w:rsidR="00D1587D" w:rsidRDefault="00D1587D">
            <w:pPr>
              <w:rPr>
                <w:sz w:val="1"/>
                <w:szCs w:val="1"/>
              </w:rPr>
            </w:pPr>
          </w:p>
        </w:tc>
      </w:tr>
      <w:tr w:rsidR="00D1587D" w14:paraId="6175EBEF" w14:textId="77777777">
        <w:trPr>
          <w:trHeight w:val="53"/>
        </w:trPr>
        <w:tc>
          <w:tcPr>
            <w:tcW w:w="6580" w:type="dxa"/>
            <w:vAlign w:val="bottom"/>
          </w:tcPr>
          <w:p w14:paraId="1E137E38" w14:textId="77777777" w:rsidR="00D1587D" w:rsidRDefault="00D1587D">
            <w:pPr>
              <w:rPr>
                <w:sz w:val="4"/>
                <w:szCs w:val="4"/>
              </w:rPr>
            </w:pPr>
          </w:p>
        </w:tc>
        <w:tc>
          <w:tcPr>
            <w:tcW w:w="80" w:type="dxa"/>
            <w:vAlign w:val="bottom"/>
          </w:tcPr>
          <w:p w14:paraId="6CDDFDA9" w14:textId="77777777" w:rsidR="00D1587D" w:rsidRDefault="00D1587D">
            <w:pPr>
              <w:rPr>
                <w:sz w:val="4"/>
                <w:szCs w:val="4"/>
              </w:rPr>
            </w:pPr>
          </w:p>
        </w:tc>
        <w:tc>
          <w:tcPr>
            <w:tcW w:w="880" w:type="dxa"/>
            <w:vAlign w:val="bottom"/>
          </w:tcPr>
          <w:p w14:paraId="1B593C00" w14:textId="77777777" w:rsidR="00D1587D" w:rsidRDefault="00D1587D">
            <w:pPr>
              <w:rPr>
                <w:sz w:val="4"/>
                <w:szCs w:val="4"/>
              </w:rPr>
            </w:pPr>
          </w:p>
        </w:tc>
        <w:tc>
          <w:tcPr>
            <w:tcW w:w="160" w:type="dxa"/>
            <w:vAlign w:val="bottom"/>
          </w:tcPr>
          <w:p w14:paraId="495F8C5D" w14:textId="77777777" w:rsidR="00D1587D" w:rsidRDefault="00D1587D">
            <w:pPr>
              <w:rPr>
                <w:sz w:val="4"/>
                <w:szCs w:val="4"/>
              </w:rPr>
            </w:pPr>
          </w:p>
        </w:tc>
        <w:tc>
          <w:tcPr>
            <w:tcW w:w="720" w:type="dxa"/>
            <w:vAlign w:val="bottom"/>
          </w:tcPr>
          <w:p w14:paraId="7198A6BF" w14:textId="77777777" w:rsidR="00D1587D" w:rsidRDefault="00D1587D">
            <w:pPr>
              <w:rPr>
                <w:sz w:val="4"/>
                <w:szCs w:val="4"/>
              </w:rPr>
            </w:pPr>
          </w:p>
        </w:tc>
        <w:tc>
          <w:tcPr>
            <w:tcW w:w="0" w:type="dxa"/>
            <w:vAlign w:val="bottom"/>
          </w:tcPr>
          <w:p w14:paraId="0841DADC" w14:textId="77777777" w:rsidR="00D1587D" w:rsidRDefault="00D1587D">
            <w:pPr>
              <w:rPr>
                <w:sz w:val="1"/>
                <w:szCs w:val="1"/>
              </w:rPr>
            </w:pPr>
          </w:p>
        </w:tc>
      </w:tr>
      <w:tr w:rsidR="00D1587D" w14:paraId="07F0252D" w14:textId="77777777">
        <w:trPr>
          <w:trHeight w:val="318"/>
        </w:trPr>
        <w:tc>
          <w:tcPr>
            <w:tcW w:w="6660" w:type="dxa"/>
            <w:gridSpan w:val="2"/>
            <w:tcBorders>
              <w:bottom w:val="single" w:sz="8" w:space="0" w:color="CCEEFF"/>
            </w:tcBorders>
            <w:shd w:val="clear" w:color="auto" w:fill="CCEEFF"/>
            <w:vAlign w:val="bottom"/>
          </w:tcPr>
          <w:p w14:paraId="03E90AA4" w14:textId="77777777" w:rsidR="00D1587D" w:rsidRDefault="00410D07">
            <w:pPr>
              <w:rPr>
                <w:sz w:val="20"/>
                <w:szCs w:val="20"/>
              </w:rPr>
            </w:pPr>
            <w:r>
              <w:rPr>
                <w:rFonts w:ascii="Arial" w:eastAsia="Arial" w:hAnsi="Arial" w:cs="Arial"/>
                <w:sz w:val="18"/>
                <w:szCs w:val="18"/>
              </w:rPr>
              <w:t>Unvested as of February 1, 2020</w:t>
            </w:r>
          </w:p>
        </w:tc>
        <w:tc>
          <w:tcPr>
            <w:tcW w:w="880" w:type="dxa"/>
            <w:tcBorders>
              <w:bottom w:val="single" w:sz="8" w:space="0" w:color="CCEEFF"/>
            </w:tcBorders>
            <w:shd w:val="clear" w:color="auto" w:fill="CCEEFF"/>
            <w:vAlign w:val="bottom"/>
          </w:tcPr>
          <w:p w14:paraId="1E49EEC0" w14:textId="77777777" w:rsidR="00D1587D" w:rsidRDefault="00410D07">
            <w:pPr>
              <w:ind w:right="116"/>
              <w:jc w:val="right"/>
              <w:rPr>
                <w:sz w:val="20"/>
                <w:szCs w:val="20"/>
              </w:rPr>
            </w:pPr>
            <w:r>
              <w:rPr>
                <w:rFonts w:ascii="Arial" w:eastAsia="Arial" w:hAnsi="Arial" w:cs="Arial"/>
                <w:sz w:val="18"/>
                <w:szCs w:val="18"/>
              </w:rPr>
              <w:t>4,022</w:t>
            </w:r>
          </w:p>
        </w:tc>
        <w:tc>
          <w:tcPr>
            <w:tcW w:w="160" w:type="dxa"/>
            <w:tcBorders>
              <w:bottom w:val="single" w:sz="8" w:space="0" w:color="CCEEFF"/>
            </w:tcBorders>
            <w:shd w:val="clear" w:color="auto" w:fill="CCEEFF"/>
            <w:vAlign w:val="bottom"/>
          </w:tcPr>
          <w:p w14:paraId="155905EF" w14:textId="77777777" w:rsidR="00D1587D" w:rsidRDefault="00D1587D">
            <w:pPr>
              <w:rPr>
                <w:sz w:val="24"/>
                <w:szCs w:val="24"/>
              </w:rPr>
            </w:pPr>
          </w:p>
        </w:tc>
        <w:tc>
          <w:tcPr>
            <w:tcW w:w="720" w:type="dxa"/>
            <w:tcBorders>
              <w:bottom w:val="single" w:sz="8" w:space="0" w:color="CCEEFF"/>
            </w:tcBorders>
            <w:shd w:val="clear" w:color="auto" w:fill="CCEEFF"/>
            <w:vAlign w:val="bottom"/>
          </w:tcPr>
          <w:p w14:paraId="13454E8F" w14:textId="77777777" w:rsidR="00D1587D" w:rsidRDefault="00410D07">
            <w:pPr>
              <w:ind w:right="37"/>
              <w:jc w:val="right"/>
              <w:rPr>
                <w:sz w:val="20"/>
                <w:szCs w:val="20"/>
              </w:rPr>
            </w:pPr>
            <w:r>
              <w:rPr>
                <w:rFonts w:ascii="Arial" w:eastAsia="Arial" w:hAnsi="Arial" w:cs="Arial"/>
                <w:sz w:val="18"/>
                <w:szCs w:val="18"/>
              </w:rPr>
              <w:t>$30.75</w:t>
            </w:r>
          </w:p>
        </w:tc>
        <w:tc>
          <w:tcPr>
            <w:tcW w:w="0" w:type="dxa"/>
            <w:vAlign w:val="bottom"/>
          </w:tcPr>
          <w:p w14:paraId="64E38848" w14:textId="77777777" w:rsidR="00D1587D" w:rsidRDefault="00D1587D">
            <w:pPr>
              <w:rPr>
                <w:sz w:val="1"/>
                <w:szCs w:val="1"/>
              </w:rPr>
            </w:pPr>
          </w:p>
        </w:tc>
      </w:tr>
      <w:tr w:rsidR="00D1587D" w14:paraId="76BA980B" w14:textId="77777777">
        <w:trPr>
          <w:trHeight w:val="270"/>
        </w:trPr>
        <w:tc>
          <w:tcPr>
            <w:tcW w:w="6660" w:type="dxa"/>
            <w:gridSpan w:val="2"/>
            <w:vAlign w:val="bottom"/>
          </w:tcPr>
          <w:p w14:paraId="22CEDBDB" w14:textId="77777777" w:rsidR="00D1587D" w:rsidRDefault="00410D07">
            <w:pPr>
              <w:rPr>
                <w:sz w:val="20"/>
                <w:szCs w:val="20"/>
              </w:rPr>
            </w:pPr>
            <w:r>
              <w:rPr>
                <w:rFonts w:ascii="Arial" w:eastAsia="Arial" w:hAnsi="Arial" w:cs="Arial"/>
                <w:sz w:val="18"/>
                <w:szCs w:val="18"/>
              </w:rPr>
              <w:t>Employee Transfers, Net</w:t>
            </w:r>
          </w:p>
        </w:tc>
        <w:tc>
          <w:tcPr>
            <w:tcW w:w="880" w:type="dxa"/>
            <w:vAlign w:val="bottom"/>
          </w:tcPr>
          <w:p w14:paraId="74D53659" w14:textId="77777777" w:rsidR="00D1587D" w:rsidRDefault="00410D07">
            <w:pPr>
              <w:ind w:right="116"/>
              <w:jc w:val="right"/>
              <w:rPr>
                <w:sz w:val="20"/>
                <w:szCs w:val="20"/>
              </w:rPr>
            </w:pPr>
            <w:r>
              <w:rPr>
                <w:rFonts w:ascii="Arial" w:eastAsia="Arial" w:hAnsi="Arial" w:cs="Arial"/>
                <w:sz w:val="18"/>
                <w:szCs w:val="18"/>
              </w:rPr>
              <w:t>644</w:t>
            </w:r>
          </w:p>
        </w:tc>
        <w:tc>
          <w:tcPr>
            <w:tcW w:w="160" w:type="dxa"/>
            <w:vAlign w:val="bottom"/>
          </w:tcPr>
          <w:p w14:paraId="3292F3B6" w14:textId="77777777" w:rsidR="00D1587D" w:rsidRDefault="00D1587D">
            <w:pPr>
              <w:rPr>
                <w:sz w:val="23"/>
                <w:szCs w:val="23"/>
              </w:rPr>
            </w:pPr>
          </w:p>
        </w:tc>
        <w:tc>
          <w:tcPr>
            <w:tcW w:w="720" w:type="dxa"/>
            <w:vAlign w:val="bottom"/>
          </w:tcPr>
          <w:p w14:paraId="4A9C5EDD" w14:textId="77777777" w:rsidR="00D1587D" w:rsidRDefault="00410D07">
            <w:pPr>
              <w:ind w:right="37"/>
              <w:jc w:val="right"/>
              <w:rPr>
                <w:sz w:val="20"/>
                <w:szCs w:val="20"/>
              </w:rPr>
            </w:pPr>
            <w:r>
              <w:rPr>
                <w:rFonts w:ascii="Arial" w:eastAsia="Arial" w:hAnsi="Arial" w:cs="Arial"/>
                <w:sz w:val="18"/>
                <w:szCs w:val="18"/>
              </w:rPr>
              <w:t>31.02</w:t>
            </w:r>
          </w:p>
        </w:tc>
        <w:tc>
          <w:tcPr>
            <w:tcW w:w="0" w:type="dxa"/>
            <w:vAlign w:val="bottom"/>
          </w:tcPr>
          <w:p w14:paraId="6BF024A4" w14:textId="77777777" w:rsidR="00D1587D" w:rsidRDefault="00D1587D">
            <w:pPr>
              <w:rPr>
                <w:sz w:val="1"/>
                <w:szCs w:val="1"/>
              </w:rPr>
            </w:pPr>
          </w:p>
        </w:tc>
      </w:tr>
      <w:tr w:rsidR="00D1587D" w14:paraId="5792F998" w14:textId="77777777">
        <w:trPr>
          <w:trHeight w:val="54"/>
        </w:trPr>
        <w:tc>
          <w:tcPr>
            <w:tcW w:w="6580" w:type="dxa"/>
            <w:vAlign w:val="bottom"/>
          </w:tcPr>
          <w:p w14:paraId="6F67D08F" w14:textId="77777777" w:rsidR="00D1587D" w:rsidRDefault="00D1587D">
            <w:pPr>
              <w:rPr>
                <w:sz w:val="4"/>
                <w:szCs w:val="4"/>
              </w:rPr>
            </w:pPr>
          </w:p>
        </w:tc>
        <w:tc>
          <w:tcPr>
            <w:tcW w:w="80" w:type="dxa"/>
            <w:vAlign w:val="bottom"/>
          </w:tcPr>
          <w:p w14:paraId="7CB8F3CF" w14:textId="77777777" w:rsidR="00D1587D" w:rsidRDefault="00D1587D">
            <w:pPr>
              <w:rPr>
                <w:sz w:val="4"/>
                <w:szCs w:val="4"/>
              </w:rPr>
            </w:pPr>
          </w:p>
        </w:tc>
        <w:tc>
          <w:tcPr>
            <w:tcW w:w="880" w:type="dxa"/>
            <w:vAlign w:val="bottom"/>
          </w:tcPr>
          <w:p w14:paraId="5E6E41C3" w14:textId="77777777" w:rsidR="00D1587D" w:rsidRDefault="00D1587D">
            <w:pPr>
              <w:rPr>
                <w:sz w:val="4"/>
                <w:szCs w:val="4"/>
              </w:rPr>
            </w:pPr>
          </w:p>
        </w:tc>
        <w:tc>
          <w:tcPr>
            <w:tcW w:w="160" w:type="dxa"/>
            <w:vAlign w:val="bottom"/>
          </w:tcPr>
          <w:p w14:paraId="46DDAF87" w14:textId="77777777" w:rsidR="00D1587D" w:rsidRDefault="00D1587D">
            <w:pPr>
              <w:rPr>
                <w:sz w:val="4"/>
                <w:szCs w:val="4"/>
              </w:rPr>
            </w:pPr>
          </w:p>
        </w:tc>
        <w:tc>
          <w:tcPr>
            <w:tcW w:w="720" w:type="dxa"/>
            <w:vAlign w:val="bottom"/>
          </w:tcPr>
          <w:p w14:paraId="41A3B824" w14:textId="77777777" w:rsidR="00D1587D" w:rsidRDefault="00D1587D">
            <w:pPr>
              <w:rPr>
                <w:sz w:val="4"/>
                <w:szCs w:val="4"/>
              </w:rPr>
            </w:pPr>
          </w:p>
        </w:tc>
        <w:tc>
          <w:tcPr>
            <w:tcW w:w="0" w:type="dxa"/>
            <w:vAlign w:val="bottom"/>
          </w:tcPr>
          <w:p w14:paraId="40DC1EB6" w14:textId="77777777" w:rsidR="00D1587D" w:rsidRDefault="00D1587D">
            <w:pPr>
              <w:rPr>
                <w:sz w:val="1"/>
                <w:szCs w:val="1"/>
              </w:rPr>
            </w:pPr>
          </w:p>
        </w:tc>
      </w:tr>
      <w:tr w:rsidR="00D1587D" w14:paraId="2DEED3B0" w14:textId="77777777">
        <w:trPr>
          <w:trHeight w:val="304"/>
        </w:trPr>
        <w:tc>
          <w:tcPr>
            <w:tcW w:w="6660" w:type="dxa"/>
            <w:gridSpan w:val="2"/>
            <w:tcBorders>
              <w:bottom w:val="single" w:sz="8" w:space="0" w:color="CCEEFF"/>
            </w:tcBorders>
            <w:shd w:val="clear" w:color="auto" w:fill="CCEEFF"/>
            <w:vAlign w:val="bottom"/>
          </w:tcPr>
          <w:p w14:paraId="3C7E0F04" w14:textId="77777777" w:rsidR="00D1587D" w:rsidRDefault="00410D07">
            <w:pPr>
              <w:rPr>
                <w:sz w:val="20"/>
                <w:szCs w:val="20"/>
              </w:rPr>
            </w:pPr>
            <w:r>
              <w:rPr>
                <w:rFonts w:ascii="Arial" w:eastAsia="Arial" w:hAnsi="Arial" w:cs="Arial"/>
                <w:sz w:val="18"/>
                <w:szCs w:val="18"/>
              </w:rPr>
              <w:t>Granted</w:t>
            </w:r>
          </w:p>
        </w:tc>
        <w:tc>
          <w:tcPr>
            <w:tcW w:w="880" w:type="dxa"/>
            <w:tcBorders>
              <w:bottom w:val="single" w:sz="8" w:space="0" w:color="CCEEFF"/>
            </w:tcBorders>
            <w:shd w:val="clear" w:color="auto" w:fill="CCEEFF"/>
            <w:vAlign w:val="bottom"/>
          </w:tcPr>
          <w:p w14:paraId="4B12DB47" w14:textId="77777777" w:rsidR="00D1587D" w:rsidRDefault="00410D07">
            <w:pPr>
              <w:ind w:right="116"/>
              <w:jc w:val="right"/>
              <w:rPr>
                <w:sz w:val="20"/>
                <w:szCs w:val="20"/>
              </w:rPr>
            </w:pPr>
            <w:r>
              <w:rPr>
                <w:rFonts w:ascii="Arial" w:eastAsia="Arial" w:hAnsi="Arial" w:cs="Arial"/>
                <w:sz w:val="18"/>
                <w:szCs w:val="18"/>
              </w:rPr>
              <w:t>205</w:t>
            </w:r>
          </w:p>
        </w:tc>
        <w:tc>
          <w:tcPr>
            <w:tcW w:w="160" w:type="dxa"/>
            <w:tcBorders>
              <w:bottom w:val="single" w:sz="8" w:space="0" w:color="CCEEFF"/>
            </w:tcBorders>
            <w:shd w:val="clear" w:color="auto" w:fill="CCEEFF"/>
            <w:vAlign w:val="bottom"/>
          </w:tcPr>
          <w:p w14:paraId="2D730FEE" w14:textId="77777777" w:rsidR="00D1587D" w:rsidRDefault="00D1587D">
            <w:pPr>
              <w:rPr>
                <w:sz w:val="24"/>
                <w:szCs w:val="24"/>
              </w:rPr>
            </w:pPr>
          </w:p>
        </w:tc>
        <w:tc>
          <w:tcPr>
            <w:tcW w:w="720" w:type="dxa"/>
            <w:tcBorders>
              <w:bottom w:val="single" w:sz="8" w:space="0" w:color="CCEEFF"/>
            </w:tcBorders>
            <w:shd w:val="clear" w:color="auto" w:fill="CCEEFF"/>
            <w:vAlign w:val="bottom"/>
          </w:tcPr>
          <w:p w14:paraId="3236EED6" w14:textId="77777777" w:rsidR="00D1587D" w:rsidRDefault="00410D07">
            <w:pPr>
              <w:ind w:right="37"/>
              <w:jc w:val="right"/>
              <w:rPr>
                <w:sz w:val="20"/>
                <w:szCs w:val="20"/>
              </w:rPr>
            </w:pPr>
            <w:r>
              <w:rPr>
                <w:rFonts w:ascii="Arial" w:eastAsia="Arial" w:hAnsi="Arial" w:cs="Arial"/>
                <w:sz w:val="18"/>
                <w:szCs w:val="18"/>
              </w:rPr>
              <w:t>27.33</w:t>
            </w:r>
          </w:p>
        </w:tc>
        <w:tc>
          <w:tcPr>
            <w:tcW w:w="0" w:type="dxa"/>
            <w:vAlign w:val="bottom"/>
          </w:tcPr>
          <w:p w14:paraId="00754543" w14:textId="77777777" w:rsidR="00D1587D" w:rsidRDefault="00D1587D">
            <w:pPr>
              <w:rPr>
                <w:sz w:val="1"/>
                <w:szCs w:val="1"/>
              </w:rPr>
            </w:pPr>
          </w:p>
        </w:tc>
      </w:tr>
      <w:tr w:rsidR="00D1587D" w14:paraId="26D3CFBD" w14:textId="77777777">
        <w:trPr>
          <w:trHeight w:val="270"/>
        </w:trPr>
        <w:tc>
          <w:tcPr>
            <w:tcW w:w="6660" w:type="dxa"/>
            <w:gridSpan w:val="2"/>
            <w:vAlign w:val="bottom"/>
          </w:tcPr>
          <w:p w14:paraId="3E3BD131" w14:textId="77777777" w:rsidR="00D1587D" w:rsidRDefault="00410D07">
            <w:pPr>
              <w:rPr>
                <w:sz w:val="20"/>
                <w:szCs w:val="20"/>
              </w:rPr>
            </w:pPr>
            <w:r>
              <w:rPr>
                <w:rFonts w:ascii="Arial" w:eastAsia="Arial" w:hAnsi="Arial" w:cs="Arial"/>
                <w:sz w:val="18"/>
                <w:szCs w:val="18"/>
              </w:rPr>
              <w:t>Vested</w:t>
            </w:r>
          </w:p>
        </w:tc>
        <w:tc>
          <w:tcPr>
            <w:tcW w:w="880" w:type="dxa"/>
            <w:vAlign w:val="bottom"/>
          </w:tcPr>
          <w:p w14:paraId="17D52A5E" w14:textId="77777777" w:rsidR="00D1587D" w:rsidRDefault="00410D07">
            <w:pPr>
              <w:ind w:right="56"/>
              <w:jc w:val="right"/>
              <w:rPr>
                <w:sz w:val="20"/>
                <w:szCs w:val="20"/>
              </w:rPr>
            </w:pPr>
            <w:r>
              <w:rPr>
                <w:rFonts w:ascii="Arial" w:eastAsia="Arial" w:hAnsi="Arial" w:cs="Arial"/>
                <w:sz w:val="18"/>
                <w:szCs w:val="18"/>
              </w:rPr>
              <w:t>(1,043)</w:t>
            </w:r>
          </w:p>
        </w:tc>
        <w:tc>
          <w:tcPr>
            <w:tcW w:w="160" w:type="dxa"/>
            <w:vAlign w:val="bottom"/>
          </w:tcPr>
          <w:p w14:paraId="67C726F9" w14:textId="77777777" w:rsidR="00D1587D" w:rsidRDefault="00D1587D">
            <w:pPr>
              <w:rPr>
                <w:sz w:val="23"/>
                <w:szCs w:val="23"/>
              </w:rPr>
            </w:pPr>
          </w:p>
        </w:tc>
        <w:tc>
          <w:tcPr>
            <w:tcW w:w="720" w:type="dxa"/>
            <w:vAlign w:val="bottom"/>
          </w:tcPr>
          <w:p w14:paraId="5E2EFB97" w14:textId="77777777" w:rsidR="00D1587D" w:rsidRDefault="00410D07">
            <w:pPr>
              <w:ind w:right="37"/>
              <w:jc w:val="right"/>
              <w:rPr>
                <w:sz w:val="20"/>
                <w:szCs w:val="20"/>
              </w:rPr>
            </w:pPr>
            <w:r>
              <w:rPr>
                <w:rFonts w:ascii="Arial" w:eastAsia="Arial" w:hAnsi="Arial" w:cs="Arial"/>
                <w:sz w:val="18"/>
                <w:szCs w:val="18"/>
              </w:rPr>
              <w:t>42.22</w:t>
            </w:r>
          </w:p>
        </w:tc>
        <w:tc>
          <w:tcPr>
            <w:tcW w:w="0" w:type="dxa"/>
            <w:vAlign w:val="bottom"/>
          </w:tcPr>
          <w:p w14:paraId="4B76C797" w14:textId="77777777" w:rsidR="00D1587D" w:rsidRDefault="00D1587D">
            <w:pPr>
              <w:rPr>
                <w:sz w:val="1"/>
                <w:szCs w:val="1"/>
              </w:rPr>
            </w:pPr>
          </w:p>
        </w:tc>
      </w:tr>
      <w:tr w:rsidR="00D1587D" w14:paraId="0885D6B5" w14:textId="77777777">
        <w:trPr>
          <w:trHeight w:val="54"/>
        </w:trPr>
        <w:tc>
          <w:tcPr>
            <w:tcW w:w="6580" w:type="dxa"/>
            <w:vAlign w:val="bottom"/>
          </w:tcPr>
          <w:p w14:paraId="26D53E02" w14:textId="77777777" w:rsidR="00D1587D" w:rsidRDefault="00D1587D">
            <w:pPr>
              <w:rPr>
                <w:sz w:val="4"/>
                <w:szCs w:val="4"/>
              </w:rPr>
            </w:pPr>
          </w:p>
        </w:tc>
        <w:tc>
          <w:tcPr>
            <w:tcW w:w="80" w:type="dxa"/>
            <w:vAlign w:val="bottom"/>
          </w:tcPr>
          <w:p w14:paraId="5DB89CFB" w14:textId="77777777" w:rsidR="00D1587D" w:rsidRDefault="00D1587D">
            <w:pPr>
              <w:rPr>
                <w:sz w:val="4"/>
                <w:szCs w:val="4"/>
              </w:rPr>
            </w:pPr>
          </w:p>
        </w:tc>
        <w:tc>
          <w:tcPr>
            <w:tcW w:w="880" w:type="dxa"/>
            <w:vAlign w:val="bottom"/>
          </w:tcPr>
          <w:p w14:paraId="0E6B2340" w14:textId="77777777" w:rsidR="00D1587D" w:rsidRDefault="00D1587D">
            <w:pPr>
              <w:rPr>
                <w:sz w:val="4"/>
                <w:szCs w:val="4"/>
              </w:rPr>
            </w:pPr>
          </w:p>
        </w:tc>
        <w:tc>
          <w:tcPr>
            <w:tcW w:w="160" w:type="dxa"/>
            <w:vAlign w:val="bottom"/>
          </w:tcPr>
          <w:p w14:paraId="3F340E77" w14:textId="77777777" w:rsidR="00D1587D" w:rsidRDefault="00D1587D">
            <w:pPr>
              <w:rPr>
                <w:sz w:val="4"/>
                <w:szCs w:val="4"/>
              </w:rPr>
            </w:pPr>
          </w:p>
        </w:tc>
        <w:tc>
          <w:tcPr>
            <w:tcW w:w="720" w:type="dxa"/>
            <w:vAlign w:val="bottom"/>
          </w:tcPr>
          <w:p w14:paraId="4B1BB842" w14:textId="77777777" w:rsidR="00D1587D" w:rsidRDefault="00D1587D">
            <w:pPr>
              <w:rPr>
                <w:sz w:val="4"/>
                <w:szCs w:val="4"/>
              </w:rPr>
            </w:pPr>
          </w:p>
        </w:tc>
        <w:tc>
          <w:tcPr>
            <w:tcW w:w="0" w:type="dxa"/>
            <w:vAlign w:val="bottom"/>
          </w:tcPr>
          <w:p w14:paraId="01788B54" w14:textId="77777777" w:rsidR="00D1587D" w:rsidRDefault="00D1587D">
            <w:pPr>
              <w:rPr>
                <w:sz w:val="1"/>
                <w:szCs w:val="1"/>
              </w:rPr>
            </w:pPr>
          </w:p>
        </w:tc>
      </w:tr>
      <w:tr w:rsidR="00D1587D" w14:paraId="7D6FF863" w14:textId="77777777">
        <w:trPr>
          <w:trHeight w:val="270"/>
        </w:trPr>
        <w:tc>
          <w:tcPr>
            <w:tcW w:w="6660" w:type="dxa"/>
            <w:gridSpan w:val="2"/>
            <w:shd w:val="clear" w:color="auto" w:fill="CCEEFF"/>
            <w:vAlign w:val="bottom"/>
          </w:tcPr>
          <w:p w14:paraId="118A9248" w14:textId="77777777" w:rsidR="00D1587D" w:rsidRDefault="00410D07">
            <w:pPr>
              <w:rPr>
                <w:sz w:val="20"/>
                <w:szCs w:val="20"/>
              </w:rPr>
            </w:pPr>
            <w:r>
              <w:rPr>
                <w:rFonts w:ascii="Arial" w:eastAsia="Arial" w:hAnsi="Arial" w:cs="Arial"/>
                <w:sz w:val="18"/>
                <w:szCs w:val="18"/>
              </w:rPr>
              <w:t>Cancelled</w:t>
            </w:r>
          </w:p>
        </w:tc>
        <w:tc>
          <w:tcPr>
            <w:tcW w:w="880" w:type="dxa"/>
            <w:shd w:val="clear" w:color="auto" w:fill="CCEEFF"/>
            <w:vAlign w:val="bottom"/>
          </w:tcPr>
          <w:p w14:paraId="0C1A9FCD" w14:textId="77777777" w:rsidR="00D1587D" w:rsidRDefault="00410D07">
            <w:pPr>
              <w:ind w:right="56"/>
              <w:jc w:val="right"/>
              <w:rPr>
                <w:sz w:val="20"/>
                <w:szCs w:val="20"/>
              </w:rPr>
            </w:pPr>
            <w:r>
              <w:rPr>
                <w:rFonts w:ascii="Arial" w:eastAsia="Arial" w:hAnsi="Arial" w:cs="Arial"/>
                <w:sz w:val="18"/>
                <w:szCs w:val="18"/>
              </w:rPr>
              <w:t>(784)</w:t>
            </w:r>
          </w:p>
        </w:tc>
        <w:tc>
          <w:tcPr>
            <w:tcW w:w="160" w:type="dxa"/>
            <w:shd w:val="clear" w:color="auto" w:fill="CCEEFF"/>
            <w:vAlign w:val="bottom"/>
          </w:tcPr>
          <w:p w14:paraId="747129D0" w14:textId="77777777" w:rsidR="00D1587D" w:rsidRDefault="00D1587D">
            <w:pPr>
              <w:rPr>
                <w:sz w:val="23"/>
                <w:szCs w:val="23"/>
              </w:rPr>
            </w:pPr>
          </w:p>
        </w:tc>
        <w:tc>
          <w:tcPr>
            <w:tcW w:w="720" w:type="dxa"/>
            <w:shd w:val="clear" w:color="auto" w:fill="CCEEFF"/>
            <w:vAlign w:val="bottom"/>
          </w:tcPr>
          <w:p w14:paraId="345E0ACF" w14:textId="77777777" w:rsidR="00D1587D" w:rsidRDefault="00410D07">
            <w:pPr>
              <w:ind w:right="37"/>
              <w:jc w:val="right"/>
              <w:rPr>
                <w:sz w:val="20"/>
                <w:szCs w:val="20"/>
              </w:rPr>
            </w:pPr>
            <w:r>
              <w:rPr>
                <w:rFonts w:ascii="Arial" w:eastAsia="Arial" w:hAnsi="Arial" w:cs="Arial"/>
                <w:sz w:val="18"/>
                <w:szCs w:val="18"/>
              </w:rPr>
              <w:t>26.47</w:t>
            </w:r>
          </w:p>
        </w:tc>
        <w:tc>
          <w:tcPr>
            <w:tcW w:w="0" w:type="dxa"/>
            <w:vAlign w:val="bottom"/>
          </w:tcPr>
          <w:p w14:paraId="16D17B32" w14:textId="77777777" w:rsidR="00D1587D" w:rsidRDefault="00D1587D">
            <w:pPr>
              <w:rPr>
                <w:sz w:val="1"/>
                <w:szCs w:val="1"/>
              </w:rPr>
            </w:pPr>
          </w:p>
        </w:tc>
      </w:tr>
      <w:tr w:rsidR="00D1587D" w14:paraId="7B3F9A63" w14:textId="77777777">
        <w:trPr>
          <w:trHeight w:val="68"/>
        </w:trPr>
        <w:tc>
          <w:tcPr>
            <w:tcW w:w="6580" w:type="dxa"/>
            <w:shd w:val="clear" w:color="auto" w:fill="CCEEFF"/>
            <w:vAlign w:val="bottom"/>
          </w:tcPr>
          <w:p w14:paraId="4B98FC41" w14:textId="77777777" w:rsidR="00D1587D" w:rsidRDefault="00D1587D">
            <w:pPr>
              <w:rPr>
                <w:sz w:val="5"/>
                <w:szCs w:val="5"/>
              </w:rPr>
            </w:pPr>
          </w:p>
        </w:tc>
        <w:tc>
          <w:tcPr>
            <w:tcW w:w="80" w:type="dxa"/>
            <w:tcBorders>
              <w:bottom w:val="single" w:sz="8" w:space="0" w:color="CCEEFF"/>
            </w:tcBorders>
            <w:shd w:val="clear" w:color="auto" w:fill="CCEEFF"/>
            <w:vAlign w:val="bottom"/>
          </w:tcPr>
          <w:p w14:paraId="4712210E" w14:textId="77777777" w:rsidR="00D1587D" w:rsidRDefault="00D1587D">
            <w:pPr>
              <w:rPr>
                <w:sz w:val="5"/>
                <w:szCs w:val="5"/>
              </w:rPr>
            </w:pPr>
          </w:p>
        </w:tc>
        <w:tc>
          <w:tcPr>
            <w:tcW w:w="880" w:type="dxa"/>
            <w:tcBorders>
              <w:bottom w:val="single" w:sz="8" w:space="0" w:color="auto"/>
            </w:tcBorders>
            <w:shd w:val="clear" w:color="auto" w:fill="CCEEFF"/>
            <w:vAlign w:val="bottom"/>
          </w:tcPr>
          <w:p w14:paraId="1D8AEEF4" w14:textId="77777777" w:rsidR="00D1587D" w:rsidRDefault="00D1587D">
            <w:pPr>
              <w:rPr>
                <w:sz w:val="5"/>
                <w:szCs w:val="5"/>
              </w:rPr>
            </w:pPr>
          </w:p>
        </w:tc>
        <w:tc>
          <w:tcPr>
            <w:tcW w:w="160" w:type="dxa"/>
            <w:tcBorders>
              <w:bottom w:val="single" w:sz="8" w:space="0" w:color="CCEEFF"/>
            </w:tcBorders>
            <w:shd w:val="clear" w:color="auto" w:fill="CCEEFF"/>
            <w:vAlign w:val="bottom"/>
          </w:tcPr>
          <w:p w14:paraId="75FDCA73" w14:textId="77777777" w:rsidR="00D1587D" w:rsidRDefault="00D1587D">
            <w:pPr>
              <w:rPr>
                <w:sz w:val="5"/>
                <w:szCs w:val="5"/>
              </w:rPr>
            </w:pPr>
          </w:p>
        </w:tc>
        <w:tc>
          <w:tcPr>
            <w:tcW w:w="720" w:type="dxa"/>
            <w:tcBorders>
              <w:bottom w:val="single" w:sz="8" w:space="0" w:color="auto"/>
            </w:tcBorders>
            <w:shd w:val="clear" w:color="auto" w:fill="CCEEFF"/>
            <w:vAlign w:val="bottom"/>
          </w:tcPr>
          <w:p w14:paraId="244C8661" w14:textId="77777777" w:rsidR="00D1587D" w:rsidRDefault="00D1587D">
            <w:pPr>
              <w:rPr>
                <w:sz w:val="5"/>
                <w:szCs w:val="5"/>
              </w:rPr>
            </w:pPr>
          </w:p>
        </w:tc>
        <w:tc>
          <w:tcPr>
            <w:tcW w:w="0" w:type="dxa"/>
            <w:vAlign w:val="bottom"/>
          </w:tcPr>
          <w:p w14:paraId="26CC0098" w14:textId="77777777" w:rsidR="00D1587D" w:rsidRDefault="00D1587D">
            <w:pPr>
              <w:rPr>
                <w:sz w:val="1"/>
                <w:szCs w:val="1"/>
              </w:rPr>
            </w:pPr>
          </w:p>
        </w:tc>
      </w:tr>
      <w:tr w:rsidR="00D1587D" w14:paraId="451AFC55" w14:textId="77777777">
        <w:trPr>
          <w:trHeight w:val="304"/>
        </w:trPr>
        <w:tc>
          <w:tcPr>
            <w:tcW w:w="6660" w:type="dxa"/>
            <w:gridSpan w:val="2"/>
            <w:vAlign w:val="bottom"/>
          </w:tcPr>
          <w:p w14:paraId="5212B9A1" w14:textId="77777777" w:rsidR="00D1587D" w:rsidRDefault="00410D07">
            <w:pPr>
              <w:rPr>
                <w:sz w:val="20"/>
                <w:szCs w:val="20"/>
              </w:rPr>
            </w:pPr>
            <w:r>
              <w:rPr>
                <w:rFonts w:ascii="Arial" w:eastAsia="Arial" w:hAnsi="Arial" w:cs="Arial"/>
                <w:sz w:val="18"/>
                <w:szCs w:val="18"/>
              </w:rPr>
              <w:t xml:space="preserve">Unvested as of </w:t>
            </w:r>
            <w:r>
              <w:rPr>
                <w:rFonts w:ascii="Arial" w:eastAsia="Arial" w:hAnsi="Arial" w:cs="Arial"/>
                <w:sz w:val="18"/>
                <w:szCs w:val="18"/>
              </w:rPr>
              <w:t>January 30, 2021</w:t>
            </w:r>
          </w:p>
        </w:tc>
        <w:tc>
          <w:tcPr>
            <w:tcW w:w="880" w:type="dxa"/>
            <w:vAlign w:val="bottom"/>
          </w:tcPr>
          <w:p w14:paraId="33684475" w14:textId="77777777" w:rsidR="00D1587D" w:rsidRDefault="00410D07">
            <w:pPr>
              <w:ind w:right="116"/>
              <w:jc w:val="right"/>
              <w:rPr>
                <w:sz w:val="20"/>
                <w:szCs w:val="20"/>
              </w:rPr>
            </w:pPr>
            <w:r>
              <w:rPr>
                <w:rFonts w:ascii="Arial" w:eastAsia="Arial" w:hAnsi="Arial" w:cs="Arial"/>
                <w:sz w:val="18"/>
                <w:szCs w:val="18"/>
              </w:rPr>
              <w:t>3,044</w:t>
            </w:r>
          </w:p>
        </w:tc>
        <w:tc>
          <w:tcPr>
            <w:tcW w:w="160" w:type="dxa"/>
            <w:vAlign w:val="bottom"/>
          </w:tcPr>
          <w:p w14:paraId="421716B8" w14:textId="77777777" w:rsidR="00D1587D" w:rsidRDefault="00D1587D">
            <w:pPr>
              <w:rPr>
                <w:sz w:val="24"/>
                <w:szCs w:val="24"/>
              </w:rPr>
            </w:pPr>
          </w:p>
        </w:tc>
        <w:tc>
          <w:tcPr>
            <w:tcW w:w="720" w:type="dxa"/>
            <w:vAlign w:val="bottom"/>
          </w:tcPr>
          <w:p w14:paraId="0ACF5EFF" w14:textId="77777777" w:rsidR="00D1587D" w:rsidRDefault="00410D07">
            <w:pPr>
              <w:ind w:right="37"/>
              <w:jc w:val="right"/>
              <w:rPr>
                <w:sz w:val="20"/>
                <w:szCs w:val="20"/>
              </w:rPr>
            </w:pPr>
            <w:r>
              <w:rPr>
                <w:rFonts w:ascii="Arial" w:eastAsia="Arial" w:hAnsi="Arial" w:cs="Arial"/>
                <w:sz w:val="18"/>
                <w:szCs w:val="18"/>
              </w:rPr>
              <w:t>$27.75</w:t>
            </w:r>
          </w:p>
        </w:tc>
        <w:tc>
          <w:tcPr>
            <w:tcW w:w="0" w:type="dxa"/>
            <w:vAlign w:val="bottom"/>
          </w:tcPr>
          <w:p w14:paraId="507C216C" w14:textId="77777777" w:rsidR="00D1587D" w:rsidRDefault="00D1587D">
            <w:pPr>
              <w:rPr>
                <w:sz w:val="1"/>
                <w:szCs w:val="1"/>
              </w:rPr>
            </w:pPr>
          </w:p>
        </w:tc>
      </w:tr>
      <w:tr w:rsidR="00D1587D" w14:paraId="592A5A5E" w14:textId="77777777">
        <w:trPr>
          <w:trHeight w:val="27"/>
        </w:trPr>
        <w:tc>
          <w:tcPr>
            <w:tcW w:w="6580" w:type="dxa"/>
            <w:vAlign w:val="bottom"/>
          </w:tcPr>
          <w:p w14:paraId="374F2963" w14:textId="77777777" w:rsidR="00D1587D" w:rsidRDefault="00D1587D">
            <w:pPr>
              <w:rPr>
                <w:sz w:val="2"/>
                <w:szCs w:val="2"/>
              </w:rPr>
            </w:pPr>
          </w:p>
        </w:tc>
        <w:tc>
          <w:tcPr>
            <w:tcW w:w="80" w:type="dxa"/>
            <w:vAlign w:val="bottom"/>
          </w:tcPr>
          <w:p w14:paraId="72F39301" w14:textId="77777777" w:rsidR="00D1587D" w:rsidRDefault="00D1587D">
            <w:pPr>
              <w:rPr>
                <w:sz w:val="2"/>
                <w:szCs w:val="2"/>
              </w:rPr>
            </w:pPr>
          </w:p>
        </w:tc>
        <w:tc>
          <w:tcPr>
            <w:tcW w:w="880" w:type="dxa"/>
            <w:tcBorders>
              <w:bottom w:val="single" w:sz="8" w:space="0" w:color="auto"/>
            </w:tcBorders>
            <w:vAlign w:val="bottom"/>
          </w:tcPr>
          <w:p w14:paraId="055B779E" w14:textId="77777777" w:rsidR="00D1587D" w:rsidRDefault="00D1587D">
            <w:pPr>
              <w:rPr>
                <w:sz w:val="2"/>
                <w:szCs w:val="2"/>
              </w:rPr>
            </w:pPr>
          </w:p>
        </w:tc>
        <w:tc>
          <w:tcPr>
            <w:tcW w:w="160" w:type="dxa"/>
            <w:vAlign w:val="bottom"/>
          </w:tcPr>
          <w:p w14:paraId="21088B64" w14:textId="77777777" w:rsidR="00D1587D" w:rsidRDefault="00D1587D">
            <w:pPr>
              <w:rPr>
                <w:sz w:val="2"/>
                <w:szCs w:val="2"/>
              </w:rPr>
            </w:pPr>
          </w:p>
        </w:tc>
        <w:tc>
          <w:tcPr>
            <w:tcW w:w="720" w:type="dxa"/>
            <w:tcBorders>
              <w:bottom w:val="single" w:sz="8" w:space="0" w:color="auto"/>
            </w:tcBorders>
            <w:vAlign w:val="bottom"/>
          </w:tcPr>
          <w:p w14:paraId="5FD84E7F" w14:textId="77777777" w:rsidR="00D1587D" w:rsidRDefault="00D1587D">
            <w:pPr>
              <w:rPr>
                <w:sz w:val="2"/>
                <w:szCs w:val="2"/>
              </w:rPr>
            </w:pPr>
          </w:p>
        </w:tc>
        <w:tc>
          <w:tcPr>
            <w:tcW w:w="0" w:type="dxa"/>
            <w:vAlign w:val="bottom"/>
          </w:tcPr>
          <w:p w14:paraId="08484FCF" w14:textId="77777777" w:rsidR="00D1587D" w:rsidRDefault="00D1587D">
            <w:pPr>
              <w:rPr>
                <w:sz w:val="1"/>
                <w:szCs w:val="1"/>
              </w:rPr>
            </w:pPr>
          </w:p>
        </w:tc>
      </w:tr>
      <w:tr w:rsidR="00D1587D" w14:paraId="12005C5D" w14:textId="77777777">
        <w:trPr>
          <w:trHeight w:val="21"/>
        </w:trPr>
        <w:tc>
          <w:tcPr>
            <w:tcW w:w="6580" w:type="dxa"/>
            <w:vAlign w:val="bottom"/>
          </w:tcPr>
          <w:p w14:paraId="48D99B65" w14:textId="77777777" w:rsidR="00D1587D" w:rsidRDefault="00D1587D">
            <w:pPr>
              <w:spacing w:line="20" w:lineRule="exact"/>
              <w:rPr>
                <w:sz w:val="1"/>
                <w:szCs w:val="1"/>
              </w:rPr>
            </w:pPr>
          </w:p>
        </w:tc>
        <w:tc>
          <w:tcPr>
            <w:tcW w:w="80" w:type="dxa"/>
            <w:vAlign w:val="bottom"/>
          </w:tcPr>
          <w:p w14:paraId="5F2B43F6" w14:textId="77777777" w:rsidR="00D1587D" w:rsidRDefault="00D1587D">
            <w:pPr>
              <w:spacing w:line="20" w:lineRule="exact"/>
              <w:rPr>
                <w:sz w:val="1"/>
                <w:szCs w:val="1"/>
              </w:rPr>
            </w:pPr>
          </w:p>
        </w:tc>
        <w:tc>
          <w:tcPr>
            <w:tcW w:w="880" w:type="dxa"/>
            <w:tcBorders>
              <w:bottom w:val="single" w:sz="8" w:space="0" w:color="auto"/>
            </w:tcBorders>
            <w:vAlign w:val="bottom"/>
          </w:tcPr>
          <w:p w14:paraId="19DB1F25" w14:textId="77777777" w:rsidR="00D1587D" w:rsidRDefault="00D1587D">
            <w:pPr>
              <w:spacing w:line="20" w:lineRule="exact"/>
              <w:rPr>
                <w:sz w:val="1"/>
                <w:szCs w:val="1"/>
              </w:rPr>
            </w:pPr>
          </w:p>
        </w:tc>
        <w:tc>
          <w:tcPr>
            <w:tcW w:w="160" w:type="dxa"/>
            <w:vAlign w:val="bottom"/>
          </w:tcPr>
          <w:p w14:paraId="06467BB4" w14:textId="77777777" w:rsidR="00D1587D" w:rsidRDefault="00D1587D">
            <w:pPr>
              <w:spacing w:line="20" w:lineRule="exact"/>
              <w:rPr>
                <w:sz w:val="1"/>
                <w:szCs w:val="1"/>
              </w:rPr>
            </w:pPr>
          </w:p>
        </w:tc>
        <w:tc>
          <w:tcPr>
            <w:tcW w:w="720" w:type="dxa"/>
            <w:tcBorders>
              <w:bottom w:val="single" w:sz="8" w:space="0" w:color="auto"/>
            </w:tcBorders>
            <w:vAlign w:val="bottom"/>
          </w:tcPr>
          <w:p w14:paraId="590450C7" w14:textId="77777777" w:rsidR="00D1587D" w:rsidRDefault="00D1587D">
            <w:pPr>
              <w:spacing w:line="20" w:lineRule="exact"/>
              <w:rPr>
                <w:sz w:val="1"/>
                <w:szCs w:val="1"/>
              </w:rPr>
            </w:pPr>
          </w:p>
        </w:tc>
        <w:tc>
          <w:tcPr>
            <w:tcW w:w="0" w:type="dxa"/>
            <w:vAlign w:val="bottom"/>
          </w:tcPr>
          <w:p w14:paraId="159BB877" w14:textId="77777777" w:rsidR="00D1587D" w:rsidRDefault="00D1587D">
            <w:pPr>
              <w:rPr>
                <w:sz w:val="1"/>
                <w:szCs w:val="1"/>
              </w:rPr>
            </w:pPr>
          </w:p>
        </w:tc>
      </w:tr>
    </w:tbl>
    <w:p w14:paraId="32E418EE" w14:textId="77777777" w:rsidR="00D1587D" w:rsidRDefault="00D1587D">
      <w:pPr>
        <w:spacing w:line="94" w:lineRule="exact"/>
        <w:rPr>
          <w:sz w:val="20"/>
          <w:szCs w:val="20"/>
        </w:rPr>
      </w:pPr>
    </w:p>
    <w:p w14:paraId="739D1E53" w14:textId="77777777" w:rsidR="00D1587D" w:rsidRDefault="00410D07">
      <w:pPr>
        <w:spacing w:line="263" w:lineRule="auto"/>
        <w:ind w:left="300" w:right="739" w:firstLine="360"/>
        <w:rPr>
          <w:sz w:val="20"/>
          <w:szCs w:val="20"/>
        </w:rPr>
      </w:pPr>
      <w:r>
        <w:rPr>
          <w:rFonts w:ascii="Arial" w:eastAsia="Arial" w:hAnsi="Arial" w:cs="Arial"/>
          <w:sz w:val="18"/>
          <w:szCs w:val="18"/>
        </w:rPr>
        <w:t xml:space="preserve">As of January 30, 2021, there was $18 million of total unrecognized compensation cost, net of estimated forfeitures, related to unvested restricted stock. That cost is expected to be recognized over a </w:t>
      </w:r>
      <w:r>
        <w:rPr>
          <w:rFonts w:ascii="Arial" w:eastAsia="Arial" w:hAnsi="Arial" w:cs="Arial"/>
          <w:sz w:val="18"/>
          <w:szCs w:val="18"/>
        </w:rPr>
        <w:t>weighted-average period of 1.8 years.</w:t>
      </w:r>
    </w:p>
    <w:p w14:paraId="6DA15B5F" w14:textId="77777777" w:rsidR="00D1587D" w:rsidRDefault="00D1587D">
      <w:pPr>
        <w:spacing w:line="116" w:lineRule="exact"/>
        <w:rPr>
          <w:sz w:val="20"/>
          <w:szCs w:val="20"/>
        </w:rPr>
      </w:pPr>
    </w:p>
    <w:p w14:paraId="623B4A37" w14:textId="77777777" w:rsidR="00D1587D" w:rsidRDefault="00410D07">
      <w:pPr>
        <w:ind w:left="660"/>
        <w:rPr>
          <w:sz w:val="20"/>
          <w:szCs w:val="20"/>
        </w:rPr>
      </w:pPr>
      <w:r>
        <w:rPr>
          <w:rFonts w:ascii="Arial" w:eastAsia="Arial" w:hAnsi="Arial" w:cs="Arial"/>
          <w:sz w:val="18"/>
          <w:szCs w:val="18"/>
        </w:rPr>
        <w:t>The total intrinsic value of restricted stock outstanding as of January 30, 2021 was $124 million.</w:t>
      </w:r>
    </w:p>
    <w:p w14:paraId="179AFFD1" w14:textId="77777777" w:rsidR="00D1587D" w:rsidRDefault="00D1587D">
      <w:pPr>
        <w:spacing w:line="266" w:lineRule="exact"/>
        <w:rPr>
          <w:sz w:val="20"/>
          <w:szCs w:val="20"/>
        </w:rPr>
      </w:pPr>
    </w:p>
    <w:p w14:paraId="3054B49E" w14:textId="77777777" w:rsidR="00D1587D" w:rsidRDefault="00410D07">
      <w:pPr>
        <w:ind w:left="660"/>
        <w:rPr>
          <w:sz w:val="20"/>
          <w:szCs w:val="20"/>
        </w:rPr>
      </w:pPr>
      <w:r>
        <w:rPr>
          <w:rFonts w:ascii="Arial" w:eastAsia="Arial" w:hAnsi="Arial" w:cs="Arial"/>
          <w:i/>
          <w:iCs/>
          <w:sz w:val="18"/>
          <w:szCs w:val="18"/>
        </w:rPr>
        <w:t>Stock Options</w:t>
      </w:r>
    </w:p>
    <w:p w14:paraId="3CA1D403" w14:textId="77777777" w:rsidR="00D1587D" w:rsidRDefault="00D1587D">
      <w:pPr>
        <w:spacing w:line="117" w:lineRule="exact"/>
        <w:rPr>
          <w:sz w:val="20"/>
          <w:szCs w:val="20"/>
        </w:rPr>
      </w:pPr>
    </w:p>
    <w:p w14:paraId="274F3CED" w14:textId="77777777" w:rsidR="00D1587D" w:rsidRDefault="00410D07">
      <w:pPr>
        <w:spacing w:line="271" w:lineRule="auto"/>
        <w:ind w:left="300" w:right="319" w:firstLine="360"/>
        <w:rPr>
          <w:sz w:val="20"/>
          <w:szCs w:val="20"/>
        </w:rPr>
      </w:pPr>
      <w:r>
        <w:rPr>
          <w:rFonts w:ascii="Arial" w:eastAsia="Arial" w:hAnsi="Arial" w:cs="Arial"/>
          <w:sz w:val="17"/>
          <w:szCs w:val="17"/>
        </w:rPr>
        <w:t xml:space="preserve">Stock options are granted with an exercise price equal to the fair market value of L Brands </w:t>
      </w:r>
      <w:r>
        <w:rPr>
          <w:rFonts w:ascii="Arial" w:eastAsia="Arial" w:hAnsi="Arial" w:cs="Arial"/>
          <w:sz w:val="17"/>
          <w:szCs w:val="17"/>
        </w:rPr>
        <w:t xml:space="preserve">common stock on the date of grant. Stock options have a maximum term of 10 years and generally vest ratably over three to five years. The fair value of stock options granted are determined using the Black-Scholes option-pricing model. The determination of </w:t>
      </w:r>
      <w:r>
        <w:rPr>
          <w:rFonts w:ascii="Arial" w:eastAsia="Arial" w:hAnsi="Arial" w:cs="Arial"/>
          <w:sz w:val="17"/>
          <w:szCs w:val="17"/>
        </w:rPr>
        <w:t>the fair value of options is affected by the L Brands’ stock price as well as assumptions regarding a number of highly complex and subjective variables. These variables include, but are not limited to, the L Brands’ expected stock price volatility over the</w:t>
      </w:r>
      <w:r>
        <w:rPr>
          <w:rFonts w:ascii="Arial" w:eastAsia="Arial" w:hAnsi="Arial" w:cs="Arial"/>
          <w:sz w:val="17"/>
          <w:szCs w:val="17"/>
        </w:rPr>
        <w:t xml:space="preserve"> term of the awards and projected employee stock option exercise behaviors. L Brands’ stock option activity, including stock options granted, exercised or cancelled, for Company employees for the fiscal year ended January 30, 2021 was not significant.</w:t>
      </w:r>
    </w:p>
    <w:p w14:paraId="25E10EAA" w14:textId="77777777" w:rsidR="00D1587D" w:rsidRDefault="00D1587D">
      <w:pPr>
        <w:spacing w:line="70" w:lineRule="exact"/>
        <w:rPr>
          <w:sz w:val="20"/>
          <w:szCs w:val="20"/>
        </w:rPr>
      </w:pPr>
    </w:p>
    <w:p w14:paraId="45FC5CEF" w14:textId="77777777" w:rsidR="00D1587D" w:rsidRDefault="00410D07">
      <w:pPr>
        <w:spacing w:line="286" w:lineRule="auto"/>
        <w:ind w:left="300" w:right="459" w:firstLine="360"/>
        <w:rPr>
          <w:sz w:val="20"/>
          <w:szCs w:val="20"/>
        </w:rPr>
      </w:pPr>
      <w:r>
        <w:rPr>
          <w:rFonts w:ascii="Arial" w:eastAsia="Arial" w:hAnsi="Arial" w:cs="Arial"/>
          <w:sz w:val="17"/>
          <w:szCs w:val="17"/>
        </w:rPr>
        <w:t xml:space="preserve">As </w:t>
      </w:r>
      <w:r>
        <w:rPr>
          <w:rFonts w:ascii="Arial" w:eastAsia="Arial" w:hAnsi="Arial" w:cs="Arial"/>
          <w:sz w:val="17"/>
          <w:szCs w:val="17"/>
        </w:rPr>
        <w:t>of January 30, 2021, there was less than $1 million of total unrecognized compensation cost, net of estimated forfeitures, related to unvested stock options. As of January 30, 2021, there were 1.8 million outstanding stock options, the majority of which we</w:t>
      </w:r>
      <w:r>
        <w:rPr>
          <w:rFonts w:ascii="Arial" w:eastAsia="Arial" w:hAnsi="Arial" w:cs="Arial"/>
          <w:sz w:val="17"/>
          <w:szCs w:val="17"/>
        </w:rPr>
        <w:t>re fully vested, with a total intrinsic value of $2 million.</w:t>
      </w:r>
    </w:p>
    <w:p w14:paraId="7D861A1B" w14:textId="77777777" w:rsidR="00D1587D" w:rsidRDefault="00D1587D">
      <w:pPr>
        <w:spacing w:line="188" w:lineRule="exact"/>
        <w:rPr>
          <w:sz w:val="20"/>
          <w:szCs w:val="20"/>
        </w:rPr>
      </w:pPr>
    </w:p>
    <w:p w14:paraId="1CA4837C" w14:textId="77777777" w:rsidR="00D1587D" w:rsidRDefault="00410D07">
      <w:pPr>
        <w:ind w:left="300"/>
        <w:rPr>
          <w:sz w:val="20"/>
          <w:szCs w:val="20"/>
        </w:rPr>
      </w:pPr>
      <w:r>
        <w:rPr>
          <w:rFonts w:ascii="Arial" w:eastAsia="Arial" w:hAnsi="Arial" w:cs="Arial"/>
          <w:b/>
          <w:bCs/>
          <w:sz w:val="18"/>
          <w:szCs w:val="18"/>
        </w:rPr>
        <w:t>15. Retirement Benefits</w:t>
      </w:r>
    </w:p>
    <w:p w14:paraId="6E54E152" w14:textId="77777777" w:rsidR="00D1587D" w:rsidRDefault="00D1587D">
      <w:pPr>
        <w:spacing w:line="121" w:lineRule="exact"/>
        <w:rPr>
          <w:sz w:val="20"/>
          <w:szCs w:val="20"/>
        </w:rPr>
      </w:pPr>
    </w:p>
    <w:p w14:paraId="4954E63F" w14:textId="77777777" w:rsidR="00D1587D" w:rsidRDefault="00410D07">
      <w:pPr>
        <w:spacing w:line="285" w:lineRule="auto"/>
        <w:ind w:left="300" w:right="519" w:firstLine="360"/>
        <w:rPr>
          <w:sz w:val="20"/>
          <w:szCs w:val="20"/>
        </w:rPr>
      </w:pPr>
      <w:r>
        <w:rPr>
          <w:rFonts w:ascii="Arial" w:eastAsia="Arial" w:hAnsi="Arial" w:cs="Arial"/>
          <w:sz w:val="16"/>
          <w:szCs w:val="16"/>
        </w:rPr>
        <w:t xml:space="preserve">Certain Company employees who meet certain age and service requirements participate in a tax-qualified defined contribution retirement plan sponsored by L Brands. The </w:t>
      </w:r>
      <w:r>
        <w:rPr>
          <w:rFonts w:ascii="Arial" w:eastAsia="Arial" w:hAnsi="Arial" w:cs="Arial"/>
          <w:sz w:val="16"/>
          <w:szCs w:val="16"/>
        </w:rPr>
        <w:t>qualified plan permits participating associates to elect contributions up to the maximum limits allowable under the Internal Revenue Code. L Brands matches associate contributions according to a predetermined formula and contributes additional amounts base</w:t>
      </w:r>
      <w:r>
        <w:rPr>
          <w:rFonts w:ascii="Arial" w:eastAsia="Arial" w:hAnsi="Arial" w:cs="Arial"/>
          <w:sz w:val="16"/>
          <w:szCs w:val="16"/>
        </w:rPr>
        <w:t>d on a percentage of the associates’ eligible annual compensation and years of service. Associate contributions and</w:t>
      </w:r>
    </w:p>
    <w:p w14:paraId="5911E89C" w14:textId="77777777" w:rsidR="00D1587D" w:rsidRDefault="00D1587D">
      <w:pPr>
        <w:spacing w:line="2" w:lineRule="exact"/>
        <w:rPr>
          <w:sz w:val="20"/>
          <w:szCs w:val="20"/>
        </w:rPr>
      </w:pPr>
    </w:p>
    <w:p w14:paraId="1F158DD4" w14:textId="77777777" w:rsidR="00D1587D" w:rsidRDefault="00410D07">
      <w:pPr>
        <w:spacing w:line="255" w:lineRule="auto"/>
        <w:ind w:left="300" w:right="439"/>
        <w:rPr>
          <w:sz w:val="20"/>
          <w:szCs w:val="20"/>
        </w:rPr>
      </w:pPr>
      <w:r>
        <w:rPr>
          <w:rFonts w:ascii="Arial" w:eastAsia="Arial" w:hAnsi="Arial" w:cs="Arial"/>
          <w:sz w:val="18"/>
          <w:szCs w:val="18"/>
        </w:rPr>
        <w:t>L Brands matching contributions vest immediately. Additional L Brands contributions and the related investment earnings are subject to vest</w:t>
      </w:r>
      <w:r>
        <w:rPr>
          <w:rFonts w:ascii="Arial" w:eastAsia="Arial" w:hAnsi="Arial" w:cs="Arial"/>
          <w:sz w:val="18"/>
          <w:szCs w:val="18"/>
        </w:rPr>
        <w:t>ing based on years of service. Total expense recognized related to the qualified plan was $38 million, $43 million and $40 million in 2020, 2019 and 2018, respectively.</w:t>
      </w:r>
    </w:p>
    <w:p w14:paraId="18EEB9BC" w14:textId="77777777" w:rsidR="00D1587D" w:rsidRDefault="00D1587D">
      <w:pPr>
        <w:spacing w:line="82" w:lineRule="exact"/>
        <w:rPr>
          <w:sz w:val="20"/>
          <w:szCs w:val="20"/>
        </w:rPr>
      </w:pPr>
    </w:p>
    <w:p w14:paraId="19583239" w14:textId="77777777" w:rsidR="00D1587D" w:rsidRDefault="00410D07">
      <w:pPr>
        <w:ind w:left="660"/>
        <w:rPr>
          <w:sz w:val="20"/>
          <w:szCs w:val="20"/>
        </w:rPr>
      </w:pPr>
      <w:r>
        <w:rPr>
          <w:rFonts w:ascii="Arial" w:eastAsia="Arial" w:hAnsi="Arial" w:cs="Arial"/>
          <w:sz w:val="17"/>
          <w:szCs w:val="17"/>
        </w:rPr>
        <w:t xml:space="preserve">Certain Company employees participate in a non-qualified supplemental retirement plan </w:t>
      </w:r>
      <w:r>
        <w:rPr>
          <w:rFonts w:ascii="Arial" w:eastAsia="Arial" w:hAnsi="Arial" w:cs="Arial"/>
          <w:sz w:val="17"/>
          <w:szCs w:val="17"/>
        </w:rPr>
        <w:t>sponsored by</w:t>
      </w:r>
    </w:p>
    <w:p w14:paraId="678B6EC6" w14:textId="77777777" w:rsidR="00D1587D" w:rsidRDefault="00D1587D">
      <w:pPr>
        <w:spacing w:line="35" w:lineRule="exact"/>
        <w:rPr>
          <w:sz w:val="20"/>
          <w:szCs w:val="20"/>
        </w:rPr>
      </w:pPr>
    </w:p>
    <w:p w14:paraId="6B25995D" w14:textId="77777777" w:rsidR="00D1587D" w:rsidRDefault="00410D07">
      <w:pPr>
        <w:spacing w:line="277" w:lineRule="auto"/>
        <w:ind w:left="300" w:right="479"/>
        <w:jc w:val="both"/>
        <w:rPr>
          <w:sz w:val="20"/>
          <w:szCs w:val="20"/>
        </w:rPr>
      </w:pPr>
      <w:r>
        <w:rPr>
          <w:rFonts w:ascii="Arial" w:eastAsia="Arial" w:hAnsi="Arial" w:cs="Arial"/>
          <w:sz w:val="17"/>
          <w:szCs w:val="17"/>
        </w:rPr>
        <w:t>L Brands. The non-qualified plan is an unfunded plan which provides benefits beyond the Internal Revenue Code limits for qualified defined contribution plans. On June 27, 2020 (the “Termination Date”), the Human Capital and Compensation Commi</w:t>
      </w:r>
      <w:r>
        <w:rPr>
          <w:rFonts w:ascii="Arial" w:eastAsia="Arial" w:hAnsi="Arial" w:cs="Arial"/>
          <w:sz w:val="17"/>
          <w:szCs w:val="17"/>
        </w:rPr>
        <w:t>ttee of the L Brands’ Board of Directors authorized the termination of the</w:t>
      </w:r>
    </w:p>
    <w:p w14:paraId="1C797328" w14:textId="77777777" w:rsidR="00D1587D" w:rsidRDefault="00D1587D">
      <w:pPr>
        <w:spacing w:line="173" w:lineRule="exact"/>
        <w:rPr>
          <w:sz w:val="20"/>
          <w:szCs w:val="20"/>
        </w:rPr>
      </w:pPr>
    </w:p>
    <w:p w14:paraId="7A438E6F" w14:textId="77777777" w:rsidR="00D1587D" w:rsidRDefault="00410D07">
      <w:pPr>
        <w:jc w:val="center"/>
        <w:rPr>
          <w:sz w:val="20"/>
          <w:szCs w:val="20"/>
        </w:rPr>
      </w:pPr>
      <w:r>
        <w:rPr>
          <w:rFonts w:ascii="Arial" w:eastAsia="Arial" w:hAnsi="Arial" w:cs="Arial"/>
          <w:sz w:val="18"/>
          <w:szCs w:val="18"/>
        </w:rPr>
        <w:t>F-27</w:t>
      </w:r>
    </w:p>
    <w:p w14:paraId="0CBC2E6A" w14:textId="77777777" w:rsidR="00D1587D" w:rsidRDefault="00410D07">
      <w:pPr>
        <w:spacing w:line="20" w:lineRule="exact"/>
        <w:rPr>
          <w:sz w:val="20"/>
          <w:szCs w:val="20"/>
        </w:rPr>
      </w:pPr>
      <w:r>
        <w:rPr>
          <w:noProof/>
          <w:sz w:val="20"/>
          <w:szCs w:val="20"/>
        </w:rPr>
        <w:drawing>
          <wp:anchor distT="0" distB="0" distL="114300" distR="114300" simplePos="0" relativeHeight="252141568" behindDoc="1" locked="0" layoutInCell="0" allowOverlap="1" wp14:anchorId="244D2652" wp14:editId="3EC3E258">
            <wp:simplePos x="0" y="0"/>
            <wp:positionH relativeFrom="column">
              <wp:posOffset>-636905</wp:posOffset>
            </wp:positionH>
            <wp:positionV relativeFrom="paragraph">
              <wp:posOffset>134620</wp:posOffset>
            </wp:positionV>
            <wp:extent cx="6995160" cy="17145"/>
            <wp:effectExtent l="0" t="0" r="0" b="0"/>
            <wp:wrapNone/>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A4D562D" w14:textId="77777777" w:rsidR="00D1587D" w:rsidRDefault="00D1587D">
      <w:pPr>
        <w:sectPr w:rsidR="00D1587D">
          <w:pgSz w:w="11900" w:h="16838"/>
          <w:pgMar w:top="265" w:right="1440" w:bottom="1440" w:left="1440" w:header="0" w:footer="0" w:gutter="0"/>
          <w:cols w:space="720" w:equalWidth="0">
            <w:col w:w="9019"/>
          </w:cols>
        </w:sectPr>
      </w:pPr>
    </w:p>
    <w:bookmarkStart w:id="423" w:name="page424"/>
    <w:bookmarkEnd w:id="423"/>
    <w:p w14:paraId="73EFC2A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00A82DD" w14:textId="77777777" w:rsidR="00D1587D" w:rsidRDefault="00D1587D">
      <w:pPr>
        <w:spacing w:line="131" w:lineRule="exact"/>
        <w:rPr>
          <w:sz w:val="20"/>
          <w:szCs w:val="20"/>
        </w:rPr>
      </w:pPr>
    </w:p>
    <w:p w14:paraId="3E4B332C" w14:textId="77777777" w:rsidR="00D1587D" w:rsidRDefault="00410D07">
      <w:pPr>
        <w:spacing w:line="272" w:lineRule="auto"/>
        <w:ind w:left="300" w:right="499"/>
        <w:rPr>
          <w:sz w:val="20"/>
          <w:szCs w:val="20"/>
        </w:rPr>
      </w:pPr>
      <w:r>
        <w:rPr>
          <w:rFonts w:ascii="Arial" w:eastAsia="Arial" w:hAnsi="Arial" w:cs="Arial"/>
          <w:sz w:val="17"/>
          <w:szCs w:val="17"/>
        </w:rPr>
        <w:t xml:space="preserve">non-qualified plan. Subsequent to the Termination Date, no additional employee contributions may be made </w:t>
      </w:r>
      <w:r>
        <w:rPr>
          <w:rFonts w:ascii="Arial" w:eastAsia="Arial" w:hAnsi="Arial" w:cs="Arial"/>
          <w:sz w:val="17"/>
          <w:szCs w:val="17"/>
        </w:rPr>
        <w:t>to the non-qualified plan. The remaining benefits and obligations are expected to be paid out in full approximately one year following the Termination Date. Accordingly, the liability of $66 million related to the non-qualified plan is included within Accr</w:t>
      </w:r>
      <w:r>
        <w:rPr>
          <w:rFonts w:ascii="Arial" w:eastAsia="Arial" w:hAnsi="Arial" w:cs="Arial"/>
          <w:sz w:val="17"/>
          <w:szCs w:val="17"/>
        </w:rPr>
        <w:t>ued Expenses and Other on the January 30, 2021 Combined Balance Sheet. The Company recorded a liability of $62 million as of February 1, 2020 related to the non-qualified plan in Other Long-term Liabilities on the Combined Balance Sheets. Total expense rec</w:t>
      </w:r>
      <w:r>
        <w:rPr>
          <w:rFonts w:ascii="Arial" w:eastAsia="Arial" w:hAnsi="Arial" w:cs="Arial"/>
          <w:sz w:val="17"/>
          <w:szCs w:val="17"/>
        </w:rPr>
        <w:t>ognized related to the non-qualified plan was $4 million in 2020 and $8 million for both 2019 and 2018.</w:t>
      </w:r>
    </w:p>
    <w:p w14:paraId="65F7057C" w14:textId="77777777" w:rsidR="00D1587D" w:rsidRDefault="00D1587D">
      <w:pPr>
        <w:spacing w:line="335" w:lineRule="exact"/>
        <w:rPr>
          <w:sz w:val="20"/>
          <w:szCs w:val="20"/>
        </w:rPr>
      </w:pPr>
    </w:p>
    <w:p w14:paraId="509A5278" w14:textId="77777777" w:rsidR="00D1587D" w:rsidRDefault="00410D07">
      <w:pPr>
        <w:ind w:left="300"/>
        <w:rPr>
          <w:sz w:val="20"/>
          <w:szCs w:val="20"/>
        </w:rPr>
      </w:pPr>
      <w:r>
        <w:rPr>
          <w:rFonts w:ascii="Arial" w:eastAsia="Arial" w:hAnsi="Arial" w:cs="Arial"/>
          <w:b/>
          <w:bCs/>
          <w:sz w:val="18"/>
          <w:szCs w:val="18"/>
        </w:rPr>
        <w:t>16. Commitments and Contingencies</w:t>
      </w:r>
    </w:p>
    <w:p w14:paraId="4B5A9910" w14:textId="77777777" w:rsidR="00D1587D" w:rsidRDefault="00D1587D">
      <w:pPr>
        <w:spacing w:line="121" w:lineRule="exact"/>
        <w:rPr>
          <w:sz w:val="20"/>
          <w:szCs w:val="20"/>
        </w:rPr>
      </w:pPr>
    </w:p>
    <w:p w14:paraId="6DAEE1FC" w14:textId="77777777" w:rsidR="00D1587D" w:rsidRDefault="00410D07">
      <w:pPr>
        <w:spacing w:line="255" w:lineRule="auto"/>
        <w:ind w:left="300" w:right="299" w:firstLine="360"/>
        <w:rPr>
          <w:sz w:val="20"/>
          <w:szCs w:val="20"/>
        </w:rPr>
      </w:pPr>
      <w:r>
        <w:rPr>
          <w:rFonts w:ascii="Arial" w:eastAsia="Arial" w:hAnsi="Arial" w:cs="Arial"/>
          <w:sz w:val="18"/>
          <w:szCs w:val="18"/>
        </w:rPr>
        <w:t>The Company is subject to various claims and contingencies related to lawsuits, taxes, insurance and other matters a</w:t>
      </w:r>
      <w:r>
        <w:rPr>
          <w:rFonts w:ascii="Arial" w:eastAsia="Arial" w:hAnsi="Arial" w:cs="Arial"/>
          <w:sz w:val="18"/>
          <w:szCs w:val="18"/>
        </w:rPr>
        <w:t>rising out of the normal course of business. Actions filed against the Company from time to time include commercial, tort, intellectual property, customer, employment, data privacy and other claims, including purported class action lawsuits. Management bel</w:t>
      </w:r>
      <w:r>
        <w:rPr>
          <w:rFonts w:ascii="Arial" w:eastAsia="Arial" w:hAnsi="Arial" w:cs="Arial"/>
          <w:sz w:val="18"/>
          <w:szCs w:val="18"/>
        </w:rPr>
        <w:t>ieves that the ultimate liability arising from such claims and contingencies, if any, is not likely to have a material adverse effect on the Company’s results of operations, financial condition or cash flows.</w:t>
      </w:r>
    </w:p>
    <w:p w14:paraId="69208551" w14:textId="77777777" w:rsidR="00D1587D" w:rsidRDefault="00D1587D">
      <w:pPr>
        <w:spacing w:line="337" w:lineRule="exact"/>
        <w:rPr>
          <w:sz w:val="20"/>
          <w:szCs w:val="20"/>
        </w:rPr>
      </w:pPr>
    </w:p>
    <w:p w14:paraId="1FA76F89" w14:textId="77777777" w:rsidR="00D1587D" w:rsidRDefault="00410D07">
      <w:pPr>
        <w:ind w:left="300"/>
        <w:rPr>
          <w:sz w:val="20"/>
          <w:szCs w:val="20"/>
        </w:rPr>
      </w:pPr>
      <w:r>
        <w:rPr>
          <w:rFonts w:ascii="Arial" w:eastAsia="Arial" w:hAnsi="Arial" w:cs="Arial"/>
          <w:b/>
          <w:bCs/>
          <w:sz w:val="18"/>
          <w:szCs w:val="18"/>
        </w:rPr>
        <w:t>17. Subsequent Events</w:t>
      </w:r>
    </w:p>
    <w:p w14:paraId="756E9EF4" w14:textId="77777777" w:rsidR="00D1587D" w:rsidRDefault="00D1587D">
      <w:pPr>
        <w:spacing w:line="121" w:lineRule="exact"/>
        <w:rPr>
          <w:sz w:val="20"/>
          <w:szCs w:val="20"/>
        </w:rPr>
      </w:pPr>
    </w:p>
    <w:p w14:paraId="2FD4DBB8" w14:textId="77777777" w:rsidR="00D1587D" w:rsidRDefault="00410D07">
      <w:pPr>
        <w:spacing w:line="263" w:lineRule="auto"/>
        <w:ind w:left="300" w:right="399" w:firstLine="360"/>
        <w:rPr>
          <w:sz w:val="20"/>
          <w:szCs w:val="20"/>
        </w:rPr>
      </w:pPr>
      <w:r>
        <w:rPr>
          <w:rFonts w:ascii="Arial" w:eastAsia="Arial" w:hAnsi="Arial" w:cs="Arial"/>
          <w:sz w:val="18"/>
          <w:szCs w:val="18"/>
        </w:rPr>
        <w:t>The Company evaluated s</w:t>
      </w:r>
      <w:r>
        <w:rPr>
          <w:rFonts w:ascii="Arial" w:eastAsia="Arial" w:hAnsi="Arial" w:cs="Arial"/>
          <w:sz w:val="18"/>
          <w:szCs w:val="18"/>
        </w:rPr>
        <w:t>ubsequent events for matters that may require disclosure in these combined financial statements through April 16, 2021. Other than as already disclosed, there have been no events that have occurred that would require disclosure in the combined financial st</w:t>
      </w:r>
      <w:r>
        <w:rPr>
          <w:rFonts w:ascii="Arial" w:eastAsia="Arial" w:hAnsi="Arial" w:cs="Arial"/>
          <w:sz w:val="18"/>
          <w:szCs w:val="18"/>
        </w:rPr>
        <w:t>atements.</w:t>
      </w:r>
    </w:p>
    <w:p w14:paraId="13FDFD09" w14:textId="77777777" w:rsidR="00D1587D" w:rsidRDefault="00D1587D">
      <w:pPr>
        <w:spacing w:line="184" w:lineRule="exact"/>
        <w:rPr>
          <w:sz w:val="20"/>
          <w:szCs w:val="20"/>
        </w:rPr>
      </w:pPr>
    </w:p>
    <w:p w14:paraId="11E0F7EC" w14:textId="77777777" w:rsidR="00D1587D" w:rsidRDefault="00410D07">
      <w:pPr>
        <w:jc w:val="center"/>
        <w:rPr>
          <w:sz w:val="20"/>
          <w:szCs w:val="20"/>
        </w:rPr>
      </w:pPr>
      <w:r>
        <w:rPr>
          <w:rFonts w:ascii="Arial" w:eastAsia="Arial" w:hAnsi="Arial" w:cs="Arial"/>
          <w:sz w:val="18"/>
          <w:szCs w:val="18"/>
        </w:rPr>
        <w:t>F-28</w:t>
      </w:r>
    </w:p>
    <w:p w14:paraId="7E93CE4E" w14:textId="77777777" w:rsidR="00D1587D" w:rsidRDefault="00410D07">
      <w:pPr>
        <w:spacing w:line="20" w:lineRule="exact"/>
        <w:rPr>
          <w:sz w:val="20"/>
          <w:szCs w:val="20"/>
        </w:rPr>
      </w:pPr>
      <w:r>
        <w:rPr>
          <w:noProof/>
          <w:sz w:val="20"/>
          <w:szCs w:val="20"/>
        </w:rPr>
        <w:drawing>
          <wp:anchor distT="0" distB="0" distL="114300" distR="114300" simplePos="0" relativeHeight="252142592" behindDoc="1" locked="0" layoutInCell="0" allowOverlap="1" wp14:anchorId="7BCF198A" wp14:editId="5313BF96">
            <wp:simplePos x="0" y="0"/>
            <wp:positionH relativeFrom="column">
              <wp:posOffset>-636905</wp:posOffset>
            </wp:positionH>
            <wp:positionV relativeFrom="paragraph">
              <wp:posOffset>126365</wp:posOffset>
            </wp:positionV>
            <wp:extent cx="6995160" cy="17145"/>
            <wp:effectExtent l="0" t="0" r="0" b="0"/>
            <wp:wrapNone/>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75E81AC" w14:textId="77777777" w:rsidR="00D1587D" w:rsidRDefault="00D1587D">
      <w:pPr>
        <w:sectPr w:rsidR="00D1587D">
          <w:pgSz w:w="11900" w:h="16838"/>
          <w:pgMar w:top="265" w:right="1440" w:bottom="1440" w:left="1440" w:header="0" w:footer="0" w:gutter="0"/>
          <w:cols w:space="720" w:equalWidth="0">
            <w:col w:w="9019"/>
          </w:cols>
        </w:sectPr>
      </w:pPr>
    </w:p>
    <w:bookmarkStart w:id="424" w:name="page425"/>
    <w:bookmarkEnd w:id="424"/>
    <w:p w14:paraId="4FA1565C"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B7AEE12" w14:textId="77777777" w:rsidR="00D1587D" w:rsidRDefault="00D1587D">
      <w:pPr>
        <w:spacing w:line="127" w:lineRule="exact"/>
        <w:rPr>
          <w:sz w:val="20"/>
          <w:szCs w:val="20"/>
        </w:rPr>
      </w:pPr>
    </w:p>
    <w:p w14:paraId="360C22E6"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0AA39CDC" w14:textId="77777777" w:rsidR="00D1587D" w:rsidRDefault="00D1587D">
      <w:pPr>
        <w:spacing w:line="27" w:lineRule="exact"/>
        <w:rPr>
          <w:sz w:val="20"/>
          <w:szCs w:val="20"/>
        </w:rPr>
      </w:pPr>
    </w:p>
    <w:p w14:paraId="41C56C74" w14:textId="77777777" w:rsidR="00D1587D" w:rsidRDefault="00410D07">
      <w:pPr>
        <w:jc w:val="center"/>
        <w:rPr>
          <w:sz w:val="20"/>
          <w:szCs w:val="20"/>
        </w:rPr>
      </w:pPr>
      <w:r>
        <w:rPr>
          <w:rFonts w:ascii="Arial" w:eastAsia="Arial" w:hAnsi="Arial" w:cs="Arial"/>
          <w:b/>
          <w:bCs/>
          <w:sz w:val="18"/>
          <w:szCs w:val="18"/>
        </w:rPr>
        <w:t>COMBINED BALANCE SHEETS</w:t>
      </w:r>
    </w:p>
    <w:p w14:paraId="4DDE7163" w14:textId="77777777" w:rsidR="00D1587D" w:rsidRDefault="00D1587D">
      <w:pPr>
        <w:spacing w:line="9" w:lineRule="exact"/>
        <w:rPr>
          <w:sz w:val="20"/>
          <w:szCs w:val="20"/>
        </w:rPr>
      </w:pPr>
    </w:p>
    <w:p w14:paraId="69B0B53C" w14:textId="77777777" w:rsidR="00D1587D" w:rsidRDefault="00410D07">
      <w:pPr>
        <w:jc w:val="center"/>
        <w:rPr>
          <w:sz w:val="20"/>
          <w:szCs w:val="20"/>
        </w:rPr>
      </w:pPr>
      <w:r>
        <w:rPr>
          <w:rFonts w:ascii="Arial" w:eastAsia="Arial" w:hAnsi="Arial" w:cs="Arial"/>
          <w:b/>
          <w:bCs/>
          <w:sz w:val="18"/>
          <w:szCs w:val="18"/>
        </w:rPr>
        <w:t>(in millions)</w:t>
      </w:r>
    </w:p>
    <w:p w14:paraId="3B25A992" w14:textId="77777777" w:rsidR="00D1587D" w:rsidRDefault="00D1587D">
      <w:pPr>
        <w:spacing w:line="217"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960"/>
        <w:gridCol w:w="120"/>
        <w:gridCol w:w="100"/>
        <w:gridCol w:w="380"/>
        <w:gridCol w:w="20"/>
        <w:gridCol w:w="140"/>
        <w:gridCol w:w="100"/>
        <w:gridCol w:w="120"/>
        <w:gridCol w:w="500"/>
        <w:gridCol w:w="120"/>
        <w:gridCol w:w="100"/>
        <w:gridCol w:w="120"/>
        <w:gridCol w:w="100"/>
        <w:gridCol w:w="380"/>
        <w:gridCol w:w="20"/>
        <w:gridCol w:w="140"/>
      </w:tblGrid>
      <w:tr w:rsidR="00D1587D" w14:paraId="050F48CF" w14:textId="77777777">
        <w:trPr>
          <w:trHeight w:val="161"/>
        </w:trPr>
        <w:tc>
          <w:tcPr>
            <w:tcW w:w="5960" w:type="dxa"/>
            <w:vAlign w:val="bottom"/>
          </w:tcPr>
          <w:p w14:paraId="2EE719A9" w14:textId="77777777" w:rsidR="00D1587D" w:rsidRDefault="00D1587D">
            <w:pPr>
              <w:rPr>
                <w:sz w:val="14"/>
                <w:szCs w:val="14"/>
              </w:rPr>
            </w:pPr>
          </w:p>
        </w:tc>
        <w:tc>
          <w:tcPr>
            <w:tcW w:w="120" w:type="dxa"/>
            <w:vAlign w:val="bottom"/>
          </w:tcPr>
          <w:p w14:paraId="72D03724" w14:textId="77777777" w:rsidR="00D1587D" w:rsidRDefault="00D1587D">
            <w:pPr>
              <w:rPr>
                <w:sz w:val="14"/>
                <w:szCs w:val="14"/>
              </w:rPr>
            </w:pPr>
          </w:p>
        </w:tc>
        <w:tc>
          <w:tcPr>
            <w:tcW w:w="740" w:type="dxa"/>
            <w:gridSpan w:val="5"/>
            <w:vAlign w:val="bottom"/>
          </w:tcPr>
          <w:p w14:paraId="38E05C9C" w14:textId="77777777" w:rsidR="00D1587D" w:rsidRDefault="00410D07">
            <w:pPr>
              <w:ind w:right="260"/>
              <w:jc w:val="center"/>
              <w:rPr>
                <w:sz w:val="20"/>
                <w:szCs w:val="20"/>
              </w:rPr>
            </w:pPr>
            <w:r>
              <w:rPr>
                <w:rFonts w:ascii="Arial" w:eastAsia="Arial" w:hAnsi="Arial" w:cs="Arial"/>
                <w:b/>
                <w:bCs/>
                <w:sz w:val="14"/>
                <w:szCs w:val="14"/>
              </w:rPr>
              <w:t>May 1,</w:t>
            </w:r>
          </w:p>
        </w:tc>
        <w:tc>
          <w:tcPr>
            <w:tcW w:w="840" w:type="dxa"/>
            <w:gridSpan w:val="4"/>
            <w:vAlign w:val="bottom"/>
          </w:tcPr>
          <w:p w14:paraId="124DA251" w14:textId="77777777" w:rsidR="00D1587D" w:rsidRDefault="00410D07">
            <w:pPr>
              <w:rPr>
                <w:sz w:val="20"/>
                <w:szCs w:val="20"/>
              </w:rPr>
            </w:pPr>
            <w:r>
              <w:rPr>
                <w:rFonts w:ascii="Arial" w:eastAsia="Arial" w:hAnsi="Arial" w:cs="Arial"/>
                <w:b/>
                <w:bCs/>
                <w:sz w:val="14"/>
                <w:szCs w:val="14"/>
              </w:rPr>
              <w:t>January 30,</w:t>
            </w:r>
          </w:p>
        </w:tc>
        <w:tc>
          <w:tcPr>
            <w:tcW w:w="120" w:type="dxa"/>
            <w:vAlign w:val="bottom"/>
          </w:tcPr>
          <w:p w14:paraId="4758C881" w14:textId="77777777" w:rsidR="00D1587D" w:rsidRDefault="00D1587D">
            <w:pPr>
              <w:rPr>
                <w:sz w:val="14"/>
                <w:szCs w:val="14"/>
              </w:rPr>
            </w:pPr>
          </w:p>
        </w:tc>
        <w:tc>
          <w:tcPr>
            <w:tcW w:w="640" w:type="dxa"/>
            <w:gridSpan w:val="4"/>
            <w:vAlign w:val="bottom"/>
          </w:tcPr>
          <w:p w14:paraId="3410D6DA" w14:textId="77777777" w:rsidR="00D1587D" w:rsidRDefault="00410D07">
            <w:pPr>
              <w:ind w:right="160"/>
              <w:jc w:val="center"/>
              <w:rPr>
                <w:sz w:val="20"/>
                <w:szCs w:val="20"/>
              </w:rPr>
            </w:pPr>
            <w:r>
              <w:rPr>
                <w:rFonts w:ascii="Arial" w:eastAsia="Arial" w:hAnsi="Arial" w:cs="Arial"/>
                <w:b/>
                <w:bCs/>
                <w:sz w:val="14"/>
                <w:szCs w:val="14"/>
              </w:rPr>
              <w:t>May 2,</w:t>
            </w:r>
          </w:p>
        </w:tc>
      </w:tr>
      <w:tr w:rsidR="00D1587D" w14:paraId="3470C1ED" w14:textId="77777777">
        <w:trPr>
          <w:trHeight w:val="186"/>
        </w:trPr>
        <w:tc>
          <w:tcPr>
            <w:tcW w:w="5960" w:type="dxa"/>
            <w:vAlign w:val="bottom"/>
          </w:tcPr>
          <w:p w14:paraId="3668D7FC" w14:textId="77777777" w:rsidR="00D1587D" w:rsidRDefault="00D1587D">
            <w:pPr>
              <w:rPr>
                <w:sz w:val="16"/>
                <w:szCs w:val="16"/>
              </w:rPr>
            </w:pPr>
          </w:p>
        </w:tc>
        <w:tc>
          <w:tcPr>
            <w:tcW w:w="120" w:type="dxa"/>
            <w:vAlign w:val="bottom"/>
          </w:tcPr>
          <w:p w14:paraId="6F32AD85" w14:textId="77777777" w:rsidR="00D1587D" w:rsidRDefault="00D1587D">
            <w:pPr>
              <w:rPr>
                <w:sz w:val="16"/>
                <w:szCs w:val="16"/>
              </w:rPr>
            </w:pPr>
          </w:p>
        </w:tc>
        <w:tc>
          <w:tcPr>
            <w:tcW w:w="100" w:type="dxa"/>
            <w:vAlign w:val="bottom"/>
          </w:tcPr>
          <w:p w14:paraId="0637B265" w14:textId="77777777" w:rsidR="00D1587D" w:rsidRDefault="00D1587D">
            <w:pPr>
              <w:rPr>
                <w:sz w:val="16"/>
                <w:szCs w:val="16"/>
              </w:rPr>
            </w:pPr>
          </w:p>
        </w:tc>
        <w:tc>
          <w:tcPr>
            <w:tcW w:w="380" w:type="dxa"/>
            <w:vAlign w:val="bottom"/>
          </w:tcPr>
          <w:p w14:paraId="21C36F89" w14:textId="77777777" w:rsidR="00D1587D" w:rsidRDefault="00410D07">
            <w:pPr>
              <w:jc w:val="center"/>
              <w:rPr>
                <w:sz w:val="20"/>
                <w:szCs w:val="20"/>
              </w:rPr>
            </w:pPr>
            <w:r>
              <w:rPr>
                <w:rFonts w:ascii="Arial" w:eastAsia="Arial" w:hAnsi="Arial" w:cs="Arial"/>
                <w:b/>
                <w:bCs/>
                <w:w w:val="89"/>
                <w:sz w:val="14"/>
                <w:szCs w:val="14"/>
              </w:rPr>
              <w:t>2021</w:t>
            </w:r>
          </w:p>
        </w:tc>
        <w:tc>
          <w:tcPr>
            <w:tcW w:w="20" w:type="dxa"/>
            <w:vAlign w:val="bottom"/>
          </w:tcPr>
          <w:p w14:paraId="619AA000" w14:textId="77777777" w:rsidR="00D1587D" w:rsidRDefault="00D1587D">
            <w:pPr>
              <w:rPr>
                <w:sz w:val="16"/>
                <w:szCs w:val="16"/>
              </w:rPr>
            </w:pPr>
          </w:p>
        </w:tc>
        <w:tc>
          <w:tcPr>
            <w:tcW w:w="140" w:type="dxa"/>
            <w:vAlign w:val="bottom"/>
          </w:tcPr>
          <w:p w14:paraId="03F919EA" w14:textId="77777777" w:rsidR="00D1587D" w:rsidRDefault="00D1587D">
            <w:pPr>
              <w:rPr>
                <w:sz w:val="16"/>
                <w:szCs w:val="16"/>
              </w:rPr>
            </w:pPr>
          </w:p>
        </w:tc>
        <w:tc>
          <w:tcPr>
            <w:tcW w:w="100" w:type="dxa"/>
            <w:vAlign w:val="bottom"/>
          </w:tcPr>
          <w:p w14:paraId="0663C76E" w14:textId="77777777" w:rsidR="00D1587D" w:rsidRDefault="00D1587D">
            <w:pPr>
              <w:rPr>
                <w:sz w:val="16"/>
                <w:szCs w:val="16"/>
              </w:rPr>
            </w:pPr>
          </w:p>
        </w:tc>
        <w:tc>
          <w:tcPr>
            <w:tcW w:w="620" w:type="dxa"/>
            <w:gridSpan w:val="2"/>
            <w:vAlign w:val="bottom"/>
          </w:tcPr>
          <w:p w14:paraId="3CE67AE3" w14:textId="77777777" w:rsidR="00D1587D" w:rsidRDefault="00410D07">
            <w:pPr>
              <w:ind w:right="10"/>
              <w:jc w:val="right"/>
              <w:rPr>
                <w:sz w:val="20"/>
                <w:szCs w:val="20"/>
              </w:rPr>
            </w:pPr>
            <w:r>
              <w:rPr>
                <w:rFonts w:ascii="Arial" w:eastAsia="Arial" w:hAnsi="Arial" w:cs="Arial"/>
                <w:b/>
                <w:bCs/>
                <w:sz w:val="14"/>
                <w:szCs w:val="14"/>
              </w:rPr>
              <w:t>2021</w:t>
            </w:r>
          </w:p>
        </w:tc>
        <w:tc>
          <w:tcPr>
            <w:tcW w:w="120" w:type="dxa"/>
            <w:vAlign w:val="bottom"/>
          </w:tcPr>
          <w:p w14:paraId="71052B95" w14:textId="77777777" w:rsidR="00D1587D" w:rsidRDefault="00D1587D">
            <w:pPr>
              <w:rPr>
                <w:sz w:val="16"/>
                <w:szCs w:val="16"/>
              </w:rPr>
            </w:pPr>
          </w:p>
        </w:tc>
        <w:tc>
          <w:tcPr>
            <w:tcW w:w="100" w:type="dxa"/>
            <w:vAlign w:val="bottom"/>
          </w:tcPr>
          <w:p w14:paraId="6E65DA27" w14:textId="77777777" w:rsidR="00D1587D" w:rsidRDefault="00D1587D">
            <w:pPr>
              <w:rPr>
                <w:sz w:val="16"/>
                <w:szCs w:val="16"/>
              </w:rPr>
            </w:pPr>
          </w:p>
        </w:tc>
        <w:tc>
          <w:tcPr>
            <w:tcW w:w="120" w:type="dxa"/>
            <w:vAlign w:val="bottom"/>
          </w:tcPr>
          <w:p w14:paraId="546F0114" w14:textId="77777777" w:rsidR="00D1587D" w:rsidRDefault="00D1587D">
            <w:pPr>
              <w:rPr>
                <w:sz w:val="16"/>
                <w:szCs w:val="16"/>
              </w:rPr>
            </w:pPr>
          </w:p>
        </w:tc>
        <w:tc>
          <w:tcPr>
            <w:tcW w:w="100" w:type="dxa"/>
            <w:vAlign w:val="bottom"/>
          </w:tcPr>
          <w:p w14:paraId="4189404C" w14:textId="77777777" w:rsidR="00D1587D" w:rsidRDefault="00D1587D">
            <w:pPr>
              <w:rPr>
                <w:sz w:val="16"/>
                <w:szCs w:val="16"/>
              </w:rPr>
            </w:pPr>
          </w:p>
        </w:tc>
        <w:tc>
          <w:tcPr>
            <w:tcW w:w="380" w:type="dxa"/>
            <w:vAlign w:val="bottom"/>
          </w:tcPr>
          <w:p w14:paraId="497469E4" w14:textId="77777777" w:rsidR="00D1587D" w:rsidRDefault="00410D07">
            <w:pPr>
              <w:jc w:val="center"/>
              <w:rPr>
                <w:sz w:val="20"/>
                <w:szCs w:val="20"/>
              </w:rPr>
            </w:pPr>
            <w:r>
              <w:rPr>
                <w:rFonts w:ascii="Arial" w:eastAsia="Arial" w:hAnsi="Arial" w:cs="Arial"/>
                <w:b/>
                <w:bCs/>
                <w:w w:val="89"/>
                <w:sz w:val="14"/>
                <w:szCs w:val="14"/>
              </w:rPr>
              <w:t>2020</w:t>
            </w:r>
          </w:p>
        </w:tc>
        <w:tc>
          <w:tcPr>
            <w:tcW w:w="20" w:type="dxa"/>
            <w:vAlign w:val="bottom"/>
          </w:tcPr>
          <w:p w14:paraId="120F3835" w14:textId="77777777" w:rsidR="00D1587D" w:rsidRDefault="00D1587D">
            <w:pPr>
              <w:rPr>
                <w:sz w:val="16"/>
                <w:szCs w:val="16"/>
              </w:rPr>
            </w:pPr>
          </w:p>
        </w:tc>
        <w:tc>
          <w:tcPr>
            <w:tcW w:w="140" w:type="dxa"/>
            <w:vAlign w:val="bottom"/>
          </w:tcPr>
          <w:p w14:paraId="6CEBFDB4" w14:textId="77777777" w:rsidR="00D1587D" w:rsidRDefault="00D1587D">
            <w:pPr>
              <w:rPr>
                <w:sz w:val="16"/>
                <w:szCs w:val="16"/>
              </w:rPr>
            </w:pPr>
          </w:p>
        </w:tc>
      </w:tr>
      <w:tr w:rsidR="00D1587D" w14:paraId="4D0E0BE7" w14:textId="77777777">
        <w:trPr>
          <w:trHeight w:val="53"/>
        </w:trPr>
        <w:tc>
          <w:tcPr>
            <w:tcW w:w="5960" w:type="dxa"/>
            <w:vAlign w:val="bottom"/>
          </w:tcPr>
          <w:p w14:paraId="64CC6B5A" w14:textId="77777777" w:rsidR="00D1587D" w:rsidRDefault="00D1587D">
            <w:pPr>
              <w:rPr>
                <w:sz w:val="4"/>
                <w:szCs w:val="4"/>
              </w:rPr>
            </w:pPr>
          </w:p>
        </w:tc>
        <w:tc>
          <w:tcPr>
            <w:tcW w:w="120" w:type="dxa"/>
            <w:tcBorders>
              <w:bottom w:val="single" w:sz="8" w:space="0" w:color="auto"/>
            </w:tcBorders>
            <w:vAlign w:val="bottom"/>
          </w:tcPr>
          <w:p w14:paraId="113F35C3" w14:textId="77777777" w:rsidR="00D1587D" w:rsidRDefault="00D1587D">
            <w:pPr>
              <w:rPr>
                <w:sz w:val="4"/>
                <w:szCs w:val="4"/>
              </w:rPr>
            </w:pPr>
          </w:p>
        </w:tc>
        <w:tc>
          <w:tcPr>
            <w:tcW w:w="480" w:type="dxa"/>
            <w:gridSpan w:val="2"/>
            <w:tcBorders>
              <w:bottom w:val="single" w:sz="8" w:space="0" w:color="auto"/>
            </w:tcBorders>
            <w:vAlign w:val="bottom"/>
          </w:tcPr>
          <w:p w14:paraId="40FE3A0E" w14:textId="77777777" w:rsidR="00D1587D" w:rsidRDefault="00D1587D">
            <w:pPr>
              <w:rPr>
                <w:sz w:val="4"/>
                <w:szCs w:val="4"/>
              </w:rPr>
            </w:pPr>
          </w:p>
        </w:tc>
        <w:tc>
          <w:tcPr>
            <w:tcW w:w="20" w:type="dxa"/>
            <w:tcBorders>
              <w:bottom w:val="single" w:sz="8" w:space="0" w:color="auto"/>
            </w:tcBorders>
            <w:vAlign w:val="bottom"/>
          </w:tcPr>
          <w:p w14:paraId="7405F81C" w14:textId="77777777" w:rsidR="00D1587D" w:rsidRDefault="00D1587D">
            <w:pPr>
              <w:rPr>
                <w:sz w:val="4"/>
                <w:szCs w:val="4"/>
              </w:rPr>
            </w:pPr>
          </w:p>
        </w:tc>
        <w:tc>
          <w:tcPr>
            <w:tcW w:w="140" w:type="dxa"/>
            <w:tcBorders>
              <w:bottom w:val="single" w:sz="8" w:space="0" w:color="auto"/>
            </w:tcBorders>
            <w:vAlign w:val="bottom"/>
          </w:tcPr>
          <w:p w14:paraId="240C3FE3" w14:textId="77777777" w:rsidR="00D1587D" w:rsidRDefault="00D1587D">
            <w:pPr>
              <w:rPr>
                <w:sz w:val="4"/>
                <w:szCs w:val="4"/>
              </w:rPr>
            </w:pPr>
          </w:p>
        </w:tc>
        <w:tc>
          <w:tcPr>
            <w:tcW w:w="100" w:type="dxa"/>
            <w:vAlign w:val="bottom"/>
          </w:tcPr>
          <w:p w14:paraId="04FBA8BB" w14:textId="77777777" w:rsidR="00D1587D" w:rsidRDefault="00D1587D">
            <w:pPr>
              <w:rPr>
                <w:sz w:val="4"/>
                <w:szCs w:val="4"/>
              </w:rPr>
            </w:pPr>
          </w:p>
        </w:tc>
        <w:tc>
          <w:tcPr>
            <w:tcW w:w="120" w:type="dxa"/>
            <w:tcBorders>
              <w:bottom w:val="single" w:sz="8" w:space="0" w:color="auto"/>
            </w:tcBorders>
            <w:vAlign w:val="bottom"/>
          </w:tcPr>
          <w:p w14:paraId="4584C96D" w14:textId="77777777" w:rsidR="00D1587D" w:rsidRDefault="00D1587D">
            <w:pPr>
              <w:rPr>
                <w:sz w:val="4"/>
                <w:szCs w:val="4"/>
              </w:rPr>
            </w:pPr>
          </w:p>
        </w:tc>
        <w:tc>
          <w:tcPr>
            <w:tcW w:w="500" w:type="dxa"/>
            <w:tcBorders>
              <w:bottom w:val="single" w:sz="8" w:space="0" w:color="auto"/>
            </w:tcBorders>
            <w:vAlign w:val="bottom"/>
          </w:tcPr>
          <w:p w14:paraId="12303CFB" w14:textId="77777777" w:rsidR="00D1587D" w:rsidRDefault="00D1587D">
            <w:pPr>
              <w:rPr>
                <w:sz w:val="4"/>
                <w:szCs w:val="4"/>
              </w:rPr>
            </w:pPr>
          </w:p>
        </w:tc>
        <w:tc>
          <w:tcPr>
            <w:tcW w:w="120" w:type="dxa"/>
            <w:tcBorders>
              <w:bottom w:val="single" w:sz="8" w:space="0" w:color="auto"/>
            </w:tcBorders>
            <w:vAlign w:val="bottom"/>
          </w:tcPr>
          <w:p w14:paraId="5FA02F9D" w14:textId="77777777" w:rsidR="00D1587D" w:rsidRDefault="00D1587D">
            <w:pPr>
              <w:rPr>
                <w:sz w:val="4"/>
                <w:szCs w:val="4"/>
              </w:rPr>
            </w:pPr>
          </w:p>
        </w:tc>
        <w:tc>
          <w:tcPr>
            <w:tcW w:w="100" w:type="dxa"/>
            <w:vAlign w:val="bottom"/>
          </w:tcPr>
          <w:p w14:paraId="1F4F9059" w14:textId="77777777" w:rsidR="00D1587D" w:rsidRDefault="00D1587D">
            <w:pPr>
              <w:rPr>
                <w:sz w:val="4"/>
                <w:szCs w:val="4"/>
              </w:rPr>
            </w:pPr>
          </w:p>
        </w:tc>
        <w:tc>
          <w:tcPr>
            <w:tcW w:w="120" w:type="dxa"/>
            <w:tcBorders>
              <w:bottom w:val="single" w:sz="8" w:space="0" w:color="auto"/>
            </w:tcBorders>
            <w:vAlign w:val="bottom"/>
          </w:tcPr>
          <w:p w14:paraId="4A6178E7" w14:textId="77777777" w:rsidR="00D1587D" w:rsidRDefault="00D1587D">
            <w:pPr>
              <w:rPr>
                <w:sz w:val="4"/>
                <w:szCs w:val="4"/>
              </w:rPr>
            </w:pPr>
          </w:p>
        </w:tc>
        <w:tc>
          <w:tcPr>
            <w:tcW w:w="480" w:type="dxa"/>
            <w:gridSpan w:val="2"/>
            <w:tcBorders>
              <w:bottom w:val="single" w:sz="8" w:space="0" w:color="auto"/>
            </w:tcBorders>
            <w:vAlign w:val="bottom"/>
          </w:tcPr>
          <w:p w14:paraId="18681634" w14:textId="77777777" w:rsidR="00D1587D" w:rsidRDefault="00D1587D">
            <w:pPr>
              <w:rPr>
                <w:sz w:val="4"/>
                <w:szCs w:val="4"/>
              </w:rPr>
            </w:pPr>
          </w:p>
        </w:tc>
        <w:tc>
          <w:tcPr>
            <w:tcW w:w="20" w:type="dxa"/>
            <w:tcBorders>
              <w:bottom w:val="single" w:sz="8" w:space="0" w:color="auto"/>
            </w:tcBorders>
            <w:vAlign w:val="bottom"/>
          </w:tcPr>
          <w:p w14:paraId="6C288C06" w14:textId="77777777" w:rsidR="00D1587D" w:rsidRDefault="00D1587D">
            <w:pPr>
              <w:rPr>
                <w:sz w:val="4"/>
                <w:szCs w:val="4"/>
              </w:rPr>
            </w:pPr>
          </w:p>
        </w:tc>
        <w:tc>
          <w:tcPr>
            <w:tcW w:w="140" w:type="dxa"/>
            <w:tcBorders>
              <w:bottom w:val="single" w:sz="8" w:space="0" w:color="auto"/>
            </w:tcBorders>
            <w:vAlign w:val="bottom"/>
          </w:tcPr>
          <w:p w14:paraId="6A90B8CA" w14:textId="77777777" w:rsidR="00D1587D" w:rsidRDefault="00D1587D">
            <w:pPr>
              <w:rPr>
                <w:sz w:val="4"/>
                <w:szCs w:val="4"/>
              </w:rPr>
            </w:pPr>
          </w:p>
        </w:tc>
      </w:tr>
      <w:tr w:rsidR="00D1587D" w14:paraId="4A641779" w14:textId="77777777">
        <w:trPr>
          <w:trHeight w:val="224"/>
        </w:trPr>
        <w:tc>
          <w:tcPr>
            <w:tcW w:w="5960" w:type="dxa"/>
            <w:vAlign w:val="bottom"/>
          </w:tcPr>
          <w:p w14:paraId="2EEB73B0" w14:textId="77777777" w:rsidR="00D1587D" w:rsidRDefault="00D1587D">
            <w:pPr>
              <w:rPr>
                <w:sz w:val="19"/>
                <w:szCs w:val="19"/>
              </w:rPr>
            </w:pPr>
          </w:p>
        </w:tc>
        <w:tc>
          <w:tcPr>
            <w:tcW w:w="860" w:type="dxa"/>
            <w:gridSpan w:val="6"/>
            <w:vAlign w:val="bottom"/>
          </w:tcPr>
          <w:p w14:paraId="19C1E774" w14:textId="77777777" w:rsidR="00D1587D" w:rsidRDefault="00410D07">
            <w:pPr>
              <w:ind w:right="120"/>
              <w:jc w:val="center"/>
              <w:rPr>
                <w:sz w:val="20"/>
                <w:szCs w:val="20"/>
              </w:rPr>
            </w:pPr>
            <w:r>
              <w:rPr>
                <w:rFonts w:ascii="Arial" w:eastAsia="Arial" w:hAnsi="Arial" w:cs="Arial"/>
                <w:b/>
                <w:bCs/>
                <w:w w:val="95"/>
                <w:sz w:val="14"/>
                <w:szCs w:val="14"/>
              </w:rPr>
              <w:t>(Unaudited)</w:t>
            </w:r>
          </w:p>
        </w:tc>
        <w:tc>
          <w:tcPr>
            <w:tcW w:w="120" w:type="dxa"/>
            <w:vAlign w:val="bottom"/>
          </w:tcPr>
          <w:p w14:paraId="3ED90FAD" w14:textId="77777777" w:rsidR="00D1587D" w:rsidRDefault="00D1587D">
            <w:pPr>
              <w:rPr>
                <w:sz w:val="19"/>
                <w:szCs w:val="19"/>
              </w:rPr>
            </w:pPr>
          </w:p>
        </w:tc>
        <w:tc>
          <w:tcPr>
            <w:tcW w:w="500" w:type="dxa"/>
            <w:vAlign w:val="bottom"/>
          </w:tcPr>
          <w:p w14:paraId="283B4514" w14:textId="77777777" w:rsidR="00D1587D" w:rsidRDefault="00D1587D">
            <w:pPr>
              <w:rPr>
                <w:sz w:val="19"/>
                <w:szCs w:val="19"/>
              </w:rPr>
            </w:pPr>
          </w:p>
        </w:tc>
        <w:tc>
          <w:tcPr>
            <w:tcW w:w="120" w:type="dxa"/>
            <w:vAlign w:val="bottom"/>
          </w:tcPr>
          <w:p w14:paraId="04D5D2F5" w14:textId="77777777" w:rsidR="00D1587D" w:rsidRDefault="00D1587D">
            <w:pPr>
              <w:rPr>
                <w:sz w:val="19"/>
                <w:szCs w:val="19"/>
              </w:rPr>
            </w:pPr>
          </w:p>
        </w:tc>
        <w:tc>
          <w:tcPr>
            <w:tcW w:w="100" w:type="dxa"/>
            <w:vAlign w:val="bottom"/>
          </w:tcPr>
          <w:p w14:paraId="1A0AA772" w14:textId="77777777" w:rsidR="00D1587D" w:rsidRDefault="00D1587D">
            <w:pPr>
              <w:rPr>
                <w:sz w:val="19"/>
                <w:szCs w:val="19"/>
              </w:rPr>
            </w:pPr>
          </w:p>
        </w:tc>
        <w:tc>
          <w:tcPr>
            <w:tcW w:w="760" w:type="dxa"/>
            <w:gridSpan w:val="5"/>
            <w:vAlign w:val="bottom"/>
          </w:tcPr>
          <w:p w14:paraId="25C67ADC" w14:textId="77777777" w:rsidR="00D1587D" w:rsidRDefault="00410D07">
            <w:pPr>
              <w:ind w:right="20"/>
              <w:jc w:val="center"/>
              <w:rPr>
                <w:sz w:val="20"/>
                <w:szCs w:val="20"/>
              </w:rPr>
            </w:pPr>
            <w:r>
              <w:rPr>
                <w:rFonts w:ascii="Arial" w:eastAsia="Arial" w:hAnsi="Arial" w:cs="Arial"/>
                <w:b/>
                <w:bCs/>
                <w:w w:val="95"/>
                <w:sz w:val="14"/>
                <w:szCs w:val="14"/>
              </w:rPr>
              <w:t>(Unaudited)</w:t>
            </w:r>
          </w:p>
        </w:tc>
      </w:tr>
      <w:tr w:rsidR="00D1587D" w14:paraId="64AA2D8E" w14:textId="77777777">
        <w:trPr>
          <w:trHeight w:val="53"/>
        </w:trPr>
        <w:tc>
          <w:tcPr>
            <w:tcW w:w="5960" w:type="dxa"/>
            <w:vAlign w:val="bottom"/>
          </w:tcPr>
          <w:p w14:paraId="7CE556B8" w14:textId="77777777" w:rsidR="00D1587D" w:rsidRDefault="00D1587D">
            <w:pPr>
              <w:rPr>
                <w:sz w:val="4"/>
                <w:szCs w:val="4"/>
              </w:rPr>
            </w:pPr>
          </w:p>
        </w:tc>
        <w:tc>
          <w:tcPr>
            <w:tcW w:w="120" w:type="dxa"/>
            <w:vAlign w:val="bottom"/>
          </w:tcPr>
          <w:p w14:paraId="053CC1EA" w14:textId="77777777" w:rsidR="00D1587D" w:rsidRDefault="00D1587D">
            <w:pPr>
              <w:rPr>
                <w:sz w:val="4"/>
                <w:szCs w:val="4"/>
              </w:rPr>
            </w:pPr>
          </w:p>
        </w:tc>
        <w:tc>
          <w:tcPr>
            <w:tcW w:w="100" w:type="dxa"/>
            <w:vAlign w:val="bottom"/>
          </w:tcPr>
          <w:p w14:paraId="06E7E53C" w14:textId="77777777" w:rsidR="00D1587D" w:rsidRDefault="00D1587D">
            <w:pPr>
              <w:rPr>
                <w:sz w:val="4"/>
                <w:szCs w:val="4"/>
              </w:rPr>
            </w:pPr>
          </w:p>
        </w:tc>
        <w:tc>
          <w:tcPr>
            <w:tcW w:w="380" w:type="dxa"/>
            <w:vAlign w:val="bottom"/>
          </w:tcPr>
          <w:p w14:paraId="0951DD42" w14:textId="77777777" w:rsidR="00D1587D" w:rsidRDefault="00D1587D">
            <w:pPr>
              <w:rPr>
                <w:sz w:val="4"/>
                <w:szCs w:val="4"/>
              </w:rPr>
            </w:pPr>
          </w:p>
        </w:tc>
        <w:tc>
          <w:tcPr>
            <w:tcW w:w="20" w:type="dxa"/>
            <w:vAlign w:val="bottom"/>
          </w:tcPr>
          <w:p w14:paraId="24A1D1C5" w14:textId="77777777" w:rsidR="00D1587D" w:rsidRDefault="00D1587D">
            <w:pPr>
              <w:rPr>
                <w:sz w:val="4"/>
                <w:szCs w:val="4"/>
              </w:rPr>
            </w:pPr>
          </w:p>
        </w:tc>
        <w:tc>
          <w:tcPr>
            <w:tcW w:w="140" w:type="dxa"/>
            <w:vAlign w:val="bottom"/>
          </w:tcPr>
          <w:p w14:paraId="6EF92D28" w14:textId="77777777" w:rsidR="00D1587D" w:rsidRDefault="00D1587D">
            <w:pPr>
              <w:rPr>
                <w:sz w:val="4"/>
                <w:szCs w:val="4"/>
              </w:rPr>
            </w:pPr>
          </w:p>
        </w:tc>
        <w:tc>
          <w:tcPr>
            <w:tcW w:w="100" w:type="dxa"/>
            <w:vAlign w:val="bottom"/>
          </w:tcPr>
          <w:p w14:paraId="68465961" w14:textId="77777777" w:rsidR="00D1587D" w:rsidRDefault="00D1587D">
            <w:pPr>
              <w:rPr>
                <w:sz w:val="4"/>
                <w:szCs w:val="4"/>
              </w:rPr>
            </w:pPr>
          </w:p>
        </w:tc>
        <w:tc>
          <w:tcPr>
            <w:tcW w:w="120" w:type="dxa"/>
            <w:vAlign w:val="bottom"/>
          </w:tcPr>
          <w:p w14:paraId="6DDFD632" w14:textId="77777777" w:rsidR="00D1587D" w:rsidRDefault="00D1587D">
            <w:pPr>
              <w:rPr>
                <w:sz w:val="4"/>
                <w:szCs w:val="4"/>
              </w:rPr>
            </w:pPr>
          </w:p>
        </w:tc>
        <w:tc>
          <w:tcPr>
            <w:tcW w:w="500" w:type="dxa"/>
            <w:vAlign w:val="bottom"/>
          </w:tcPr>
          <w:p w14:paraId="3F2934F3" w14:textId="77777777" w:rsidR="00D1587D" w:rsidRDefault="00D1587D">
            <w:pPr>
              <w:rPr>
                <w:sz w:val="4"/>
                <w:szCs w:val="4"/>
              </w:rPr>
            </w:pPr>
          </w:p>
        </w:tc>
        <w:tc>
          <w:tcPr>
            <w:tcW w:w="120" w:type="dxa"/>
            <w:vAlign w:val="bottom"/>
          </w:tcPr>
          <w:p w14:paraId="2AE120A0" w14:textId="77777777" w:rsidR="00D1587D" w:rsidRDefault="00D1587D">
            <w:pPr>
              <w:rPr>
                <w:sz w:val="4"/>
                <w:szCs w:val="4"/>
              </w:rPr>
            </w:pPr>
          </w:p>
        </w:tc>
        <w:tc>
          <w:tcPr>
            <w:tcW w:w="100" w:type="dxa"/>
            <w:vAlign w:val="bottom"/>
          </w:tcPr>
          <w:p w14:paraId="19AD6581" w14:textId="77777777" w:rsidR="00D1587D" w:rsidRDefault="00D1587D">
            <w:pPr>
              <w:rPr>
                <w:sz w:val="4"/>
                <w:szCs w:val="4"/>
              </w:rPr>
            </w:pPr>
          </w:p>
        </w:tc>
        <w:tc>
          <w:tcPr>
            <w:tcW w:w="120" w:type="dxa"/>
            <w:vAlign w:val="bottom"/>
          </w:tcPr>
          <w:p w14:paraId="2C1BD55D" w14:textId="77777777" w:rsidR="00D1587D" w:rsidRDefault="00D1587D">
            <w:pPr>
              <w:rPr>
                <w:sz w:val="4"/>
                <w:szCs w:val="4"/>
              </w:rPr>
            </w:pPr>
          </w:p>
        </w:tc>
        <w:tc>
          <w:tcPr>
            <w:tcW w:w="100" w:type="dxa"/>
            <w:vAlign w:val="bottom"/>
          </w:tcPr>
          <w:p w14:paraId="42D51FE9" w14:textId="77777777" w:rsidR="00D1587D" w:rsidRDefault="00D1587D">
            <w:pPr>
              <w:rPr>
                <w:sz w:val="4"/>
                <w:szCs w:val="4"/>
              </w:rPr>
            </w:pPr>
          </w:p>
        </w:tc>
        <w:tc>
          <w:tcPr>
            <w:tcW w:w="380" w:type="dxa"/>
            <w:vAlign w:val="bottom"/>
          </w:tcPr>
          <w:p w14:paraId="0536004B" w14:textId="77777777" w:rsidR="00D1587D" w:rsidRDefault="00D1587D">
            <w:pPr>
              <w:rPr>
                <w:sz w:val="4"/>
                <w:szCs w:val="4"/>
              </w:rPr>
            </w:pPr>
          </w:p>
        </w:tc>
        <w:tc>
          <w:tcPr>
            <w:tcW w:w="20" w:type="dxa"/>
            <w:vAlign w:val="bottom"/>
          </w:tcPr>
          <w:p w14:paraId="03B5FE23" w14:textId="77777777" w:rsidR="00D1587D" w:rsidRDefault="00D1587D">
            <w:pPr>
              <w:rPr>
                <w:sz w:val="4"/>
                <w:szCs w:val="4"/>
              </w:rPr>
            </w:pPr>
          </w:p>
        </w:tc>
        <w:tc>
          <w:tcPr>
            <w:tcW w:w="140" w:type="dxa"/>
            <w:vAlign w:val="bottom"/>
          </w:tcPr>
          <w:p w14:paraId="77E343BA" w14:textId="77777777" w:rsidR="00D1587D" w:rsidRDefault="00D1587D">
            <w:pPr>
              <w:rPr>
                <w:sz w:val="4"/>
                <w:szCs w:val="4"/>
              </w:rPr>
            </w:pPr>
          </w:p>
        </w:tc>
      </w:tr>
      <w:tr w:rsidR="00D1587D" w14:paraId="1DD7CB7B" w14:textId="77777777">
        <w:trPr>
          <w:trHeight w:val="318"/>
        </w:trPr>
        <w:tc>
          <w:tcPr>
            <w:tcW w:w="5960" w:type="dxa"/>
            <w:tcBorders>
              <w:bottom w:val="single" w:sz="8" w:space="0" w:color="CCEEFF"/>
            </w:tcBorders>
            <w:shd w:val="clear" w:color="auto" w:fill="CCEEFF"/>
            <w:vAlign w:val="bottom"/>
          </w:tcPr>
          <w:p w14:paraId="6FA28B82" w14:textId="77777777" w:rsidR="00D1587D" w:rsidRDefault="00410D07">
            <w:pPr>
              <w:rPr>
                <w:sz w:val="20"/>
                <w:szCs w:val="20"/>
              </w:rPr>
            </w:pPr>
            <w:r>
              <w:rPr>
                <w:rFonts w:ascii="Arial" w:eastAsia="Arial" w:hAnsi="Arial" w:cs="Arial"/>
                <w:b/>
                <w:bCs/>
                <w:sz w:val="18"/>
                <w:szCs w:val="18"/>
              </w:rPr>
              <w:t>ASSETS</w:t>
            </w:r>
          </w:p>
        </w:tc>
        <w:tc>
          <w:tcPr>
            <w:tcW w:w="120" w:type="dxa"/>
            <w:tcBorders>
              <w:bottom w:val="single" w:sz="8" w:space="0" w:color="CCEEFF"/>
            </w:tcBorders>
            <w:shd w:val="clear" w:color="auto" w:fill="CCEEFF"/>
            <w:vAlign w:val="bottom"/>
          </w:tcPr>
          <w:p w14:paraId="49CEDBC8"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FD274AE" w14:textId="77777777" w:rsidR="00D1587D" w:rsidRDefault="00D1587D">
            <w:pPr>
              <w:rPr>
                <w:sz w:val="24"/>
                <w:szCs w:val="24"/>
              </w:rPr>
            </w:pPr>
          </w:p>
        </w:tc>
        <w:tc>
          <w:tcPr>
            <w:tcW w:w="380" w:type="dxa"/>
            <w:tcBorders>
              <w:bottom w:val="single" w:sz="8" w:space="0" w:color="CCEEFF"/>
            </w:tcBorders>
            <w:shd w:val="clear" w:color="auto" w:fill="CCEEFF"/>
            <w:vAlign w:val="bottom"/>
          </w:tcPr>
          <w:p w14:paraId="67D2F5B3" w14:textId="77777777" w:rsidR="00D1587D" w:rsidRDefault="00D1587D">
            <w:pPr>
              <w:rPr>
                <w:sz w:val="24"/>
                <w:szCs w:val="24"/>
              </w:rPr>
            </w:pPr>
          </w:p>
        </w:tc>
        <w:tc>
          <w:tcPr>
            <w:tcW w:w="20" w:type="dxa"/>
            <w:tcBorders>
              <w:bottom w:val="single" w:sz="8" w:space="0" w:color="CCEEFF"/>
            </w:tcBorders>
            <w:shd w:val="clear" w:color="auto" w:fill="CCEEFF"/>
            <w:vAlign w:val="bottom"/>
          </w:tcPr>
          <w:p w14:paraId="2328C09A" w14:textId="77777777" w:rsidR="00D1587D" w:rsidRDefault="00D1587D">
            <w:pPr>
              <w:rPr>
                <w:sz w:val="24"/>
                <w:szCs w:val="24"/>
              </w:rPr>
            </w:pPr>
          </w:p>
        </w:tc>
        <w:tc>
          <w:tcPr>
            <w:tcW w:w="140" w:type="dxa"/>
            <w:tcBorders>
              <w:bottom w:val="single" w:sz="8" w:space="0" w:color="CCEEFF"/>
            </w:tcBorders>
            <w:shd w:val="clear" w:color="auto" w:fill="CCEEFF"/>
            <w:vAlign w:val="bottom"/>
          </w:tcPr>
          <w:p w14:paraId="6D718EFD"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8875ED8" w14:textId="77777777" w:rsidR="00D1587D" w:rsidRDefault="00D1587D">
            <w:pPr>
              <w:rPr>
                <w:sz w:val="24"/>
                <w:szCs w:val="24"/>
              </w:rPr>
            </w:pPr>
          </w:p>
        </w:tc>
        <w:tc>
          <w:tcPr>
            <w:tcW w:w="120" w:type="dxa"/>
            <w:tcBorders>
              <w:bottom w:val="single" w:sz="8" w:space="0" w:color="CCEEFF"/>
            </w:tcBorders>
            <w:shd w:val="clear" w:color="auto" w:fill="CCEEFF"/>
            <w:vAlign w:val="bottom"/>
          </w:tcPr>
          <w:p w14:paraId="3C4E63B4" w14:textId="77777777" w:rsidR="00D1587D" w:rsidRDefault="00D1587D">
            <w:pPr>
              <w:rPr>
                <w:sz w:val="24"/>
                <w:szCs w:val="24"/>
              </w:rPr>
            </w:pPr>
          </w:p>
        </w:tc>
        <w:tc>
          <w:tcPr>
            <w:tcW w:w="500" w:type="dxa"/>
            <w:tcBorders>
              <w:bottom w:val="single" w:sz="8" w:space="0" w:color="CCEEFF"/>
            </w:tcBorders>
            <w:shd w:val="clear" w:color="auto" w:fill="CCEEFF"/>
            <w:vAlign w:val="bottom"/>
          </w:tcPr>
          <w:p w14:paraId="2653C510" w14:textId="77777777" w:rsidR="00D1587D" w:rsidRDefault="00D1587D">
            <w:pPr>
              <w:rPr>
                <w:sz w:val="24"/>
                <w:szCs w:val="24"/>
              </w:rPr>
            </w:pPr>
          </w:p>
        </w:tc>
        <w:tc>
          <w:tcPr>
            <w:tcW w:w="120" w:type="dxa"/>
            <w:tcBorders>
              <w:bottom w:val="single" w:sz="8" w:space="0" w:color="CCEEFF"/>
            </w:tcBorders>
            <w:shd w:val="clear" w:color="auto" w:fill="CCEEFF"/>
            <w:vAlign w:val="bottom"/>
          </w:tcPr>
          <w:p w14:paraId="76BBB407"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9F659BF" w14:textId="77777777" w:rsidR="00D1587D" w:rsidRDefault="00D1587D">
            <w:pPr>
              <w:rPr>
                <w:sz w:val="24"/>
                <w:szCs w:val="24"/>
              </w:rPr>
            </w:pPr>
          </w:p>
        </w:tc>
        <w:tc>
          <w:tcPr>
            <w:tcW w:w="120" w:type="dxa"/>
            <w:tcBorders>
              <w:bottom w:val="single" w:sz="8" w:space="0" w:color="CCEEFF"/>
            </w:tcBorders>
            <w:shd w:val="clear" w:color="auto" w:fill="CCEEFF"/>
            <w:vAlign w:val="bottom"/>
          </w:tcPr>
          <w:p w14:paraId="1ADDA8C4" w14:textId="77777777" w:rsidR="00D1587D" w:rsidRDefault="00D1587D">
            <w:pPr>
              <w:rPr>
                <w:sz w:val="24"/>
                <w:szCs w:val="24"/>
              </w:rPr>
            </w:pPr>
          </w:p>
        </w:tc>
        <w:tc>
          <w:tcPr>
            <w:tcW w:w="100" w:type="dxa"/>
            <w:tcBorders>
              <w:bottom w:val="single" w:sz="8" w:space="0" w:color="CCEEFF"/>
            </w:tcBorders>
            <w:shd w:val="clear" w:color="auto" w:fill="CCEEFF"/>
            <w:vAlign w:val="bottom"/>
          </w:tcPr>
          <w:p w14:paraId="44A01968" w14:textId="77777777" w:rsidR="00D1587D" w:rsidRDefault="00D1587D">
            <w:pPr>
              <w:rPr>
                <w:sz w:val="24"/>
                <w:szCs w:val="24"/>
              </w:rPr>
            </w:pPr>
          </w:p>
        </w:tc>
        <w:tc>
          <w:tcPr>
            <w:tcW w:w="380" w:type="dxa"/>
            <w:tcBorders>
              <w:bottom w:val="single" w:sz="8" w:space="0" w:color="CCEEFF"/>
            </w:tcBorders>
            <w:shd w:val="clear" w:color="auto" w:fill="CCEEFF"/>
            <w:vAlign w:val="bottom"/>
          </w:tcPr>
          <w:p w14:paraId="4CFB7915" w14:textId="77777777" w:rsidR="00D1587D" w:rsidRDefault="00D1587D">
            <w:pPr>
              <w:rPr>
                <w:sz w:val="24"/>
                <w:szCs w:val="24"/>
              </w:rPr>
            </w:pPr>
          </w:p>
        </w:tc>
        <w:tc>
          <w:tcPr>
            <w:tcW w:w="20" w:type="dxa"/>
            <w:tcBorders>
              <w:bottom w:val="single" w:sz="8" w:space="0" w:color="CCEEFF"/>
            </w:tcBorders>
            <w:shd w:val="clear" w:color="auto" w:fill="CCEEFF"/>
            <w:vAlign w:val="bottom"/>
          </w:tcPr>
          <w:p w14:paraId="6660ED59" w14:textId="77777777" w:rsidR="00D1587D" w:rsidRDefault="00D1587D">
            <w:pPr>
              <w:rPr>
                <w:sz w:val="24"/>
                <w:szCs w:val="24"/>
              </w:rPr>
            </w:pPr>
          </w:p>
        </w:tc>
        <w:tc>
          <w:tcPr>
            <w:tcW w:w="140" w:type="dxa"/>
            <w:tcBorders>
              <w:bottom w:val="single" w:sz="8" w:space="0" w:color="CCEEFF"/>
            </w:tcBorders>
            <w:shd w:val="clear" w:color="auto" w:fill="CCEEFF"/>
            <w:vAlign w:val="bottom"/>
          </w:tcPr>
          <w:p w14:paraId="2F7E5D8E" w14:textId="77777777" w:rsidR="00D1587D" w:rsidRDefault="00D1587D">
            <w:pPr>
              <w:rPr>
                <w:sz w:val="24"/>
                <w:szCs w:val="24"/>
              </w:rPr>
            </w:pPr>
          </w:p>
        </w:tc>
      </w:tr>
      <w:tr w:rsidR="00D1587D" w14:paraId="63CA3658" w14:textId="77777777">
        <w:trPr>
          <w:trHeight w:val="270"/>
        </w:trPr>
        <w:tc>
          <w:tcPr>
            <w:tcW w:w="5960" w:type="dxa"/>
            <w:vAlign w:val="bottom"/>
          </w:tcPr>
          <w:p w14:paraId="7AA5FEAE" w14:textId="77777777" w:rsidR="00D1587D" w:rsidRDefault="00410D07">
            <w:pPr>
              <w:rPr>
                <w:sz w:val="20"/>
                <w:szCs w:val="20"/>
              </w:rPr>
            </w:pPr>
            <w:r>
              <w:rPr>
                <w:rFonts w:ascii="Arial" w:eastAsia="Arial" w:hAnsi="Arial" w:cs="Arial"/>
                <w:b/>
                <w:bCs/>
                <w:sz w:val="18"/>
                <w:szCs w:val="18"/>
              </w:rPr>
              <w:t>Current Assets:</w:t>
            </w:r>
          </w:p>
        </w:tc>
        <w:tc>
          <w:tcPr>
            <w:tcW w:w="120" w:type="dxa"/>
            <w:vAlign w:val="bottom"/>
          </w:tcPr>
          <w:p w14:paraId="4D28409D" w14:textId="77777777" w:rsidR="00D1587D" w:rsidRDefault="00D1587D">
            <w:pPr>
              <w:rPr>
                <w:sz w:val="23"/>
                <w:szCs w:val="23"/>
              </w:rPr>
            </w:pPr>
          </w:p>
        </w:tc>
        <w:tc>
          <w:tcPr>
            <w:tcW w:w="100" w:type="dxa"/>
            <w:vAlign w:val="bottom"/>
          </w:tcPr>
          <w:p w14:paraId="1C4393FD" w14:textId="77777777" w:rsidR="00D1587D" w:rsidRDefault="00D1587D">
            <w:pPr>
              <w:rPr>
                <w:sz w:val="23"/>
                <w:szCs w:val="23"/>
              </w:rPr>
            </w:pPr>
          </w:p>
        </w:tc>
        <w:tc>
          <w:tcPr>
            <w:tcW w:w="380" w:type="dxa"/>
            <w:vAlign w:val="bottom"/>
          </w:tcPr>
          <w:p w14:paraId="6791194A" w14:textId="77777777" w:rsidR="00D1587D" w:rsidRDefault="00D1587D">
            <w:pPr>
              <w:rPr>
                <w:sz w:val="23"/>
                <w:szCs w:val="23"/>
              </w:rPr>
            </w:pPr>
          </w:p>
        </w:tc>
        <w:tc>
          <w:tcPr>
            <w:tcW w:w="20" w:type="dxa"/>
            <w:vAlign w:val="bottom"/>
          </w:tcPr>
          <w:p w14:paraId="4484178E" w14:textId="77777777" w:rsidR="00D1587D" w:rsidRDefault="00D1587D">
            <w:pPr>
              <w:rPr>
                <w:sz w:val="23"/>
                <w:szCs w:val="23"/>
              </w:rPr>
            </w:pPr>
          </w:p>
        </w:tc>
        <w:tc>
          <w:tcPr>
            <w:tcW w:w="140" w:type="dxa"/>
            <w:vAlign w:val="bottom"/>
          </w:tcPr>
          <w:p w14:paraId="1A887D1A" w14:textId="77777777" w:rsidR="00D1587D" w:rsidRDefault="00D1587D">
            <w:pPr>
              <w:rPr>
                <w:sz w:val="23"/>
                <w:szCs w:val="23"/>
              </w:rPr>
            </w:pPr>
          </w:p>
        </w:tc>
        <w:tc>
          <w:tcPr>
            <w:tcW w:w="100" w:type="dxa"/>
            <w:vAlign w:val="bottom"/>
          </w:tcPr>
          <w:p w14:paraId="0134121C" w14:textId="77777777" w:rsidR="00D1587D" w:rsidRDefault="00D1587D">
            <w:pPr>
              <w:rPr>
                <w:sz w:val="23"/>
                <w:szCs w:val="23"/>
              </w:rPr>
            </w:pPr>
          </w:p>
        </w:tc>
        <w:tc>
          <w:tcPr>
            <w:tcW w:w="120" w:type="dxa"/>
            <w:vAlign w:val="bottom"/>
          </w:tcPr>
          <w:p w14:paraId="45A77079" w14:textId="77777777" w:rsidR="00D1587D" w:rsidRDefault="00D1587D">
            <w:pPr>
              <w:rPr>
                <w:sz w:val="23"/>
                <w:szCs w:val="23"/>
              </w:rPr>
            </w:pPr>
          </w:p>
        </w:tc>
        <w:tc>
          <w:tcPr>
            <w:tcW w:w="500" w:type="dxa"/>
            <w:vAlign w:val="bottom"/>
          </w:tcPr>
          <w:p w14:paraId="4392A38E" w14:textId="77777777" w:rsidR="00D1587D" w:rsidRDefault="00D1587D">
            <w:pPr>
              <w:rPr>
                <w:sz w:val="23"/>
                <w:szCs w:val="23"/>
              </w:rPr>
            </w:pPr>
          </w:p>
        </w:tc>
        <w:tc>
          <w:tcPr>
            <w:tcW w:w="120" w:type="dxa"/>
            <w:vAlign w:val="bottom"/>
          </w:tcPr>
          <w:p w14:paraId="6B995C78" w14:textId="77777777" w:rsidR="00D1587D" w:rsidRDefault="00D1587D">
            <w:pPr>
              <w:rPr>
                <w:sz w:val="23"/>
                <w:szCs w:val="23"/>
              </w:rPr>
            </w:pPr>
          </w:p>
        </w:tc>
        <w:tc>
          <w:tcPr>
            <w:tcW w:w="100" w:type="dxa"/>
            <w:vAlign w:val="bottom"/>
          </w:tcPr>
          <w:p w14:paraId="757D5848" w14:textId="77777777" w:rsidR="00D1587D" w:rsidRDefault="00D1587D">
            <w:pPr>
              <w:rPr>
                <w:sz w:val="23"/>
                <w:szCs w:val="23"/>
              </w:rPr>
            </w:pPr>
          </w:p>
        </w:tc>
        <w:tc>
          <w:tcPr>
            <w:tcW w:w="120" w:type="dxa"/>
            <w:vAlign w:val="bottom"/>
          </w:tcPr>
          <w:p w14:paraId="64B0C98D" w14:textId="77777777" w:rsidR="00D1587D" w:rsidRDefault="00D1587D">
            <w:pPr>
              <w:rPr>
                <w:sz w:val="23"/>
                <w:szCs w:val="23"/>
              </w:rPr>
            </w:pPr>
          </w:p>
        </w:tc>
        <w:tc>
          <w:tcPr>
            <w:tcW w:w="100" w:type="dxa"/>
            <w:vAlign w:val="bottom"/>
          </w:tcPr>
          <w:p w14:paraId="6D3108C0" w14:textId="77777777" w:rsidR="00D1587D" w:rsidRDefault="00D1587D">
            <w:pPr>
              <w:rPr>
                <w:sz w:val="23"/>
                <w:szCs w:val="23"/>
              </w:rPr>
            </w:pPr>
          </w:p>
        </w:tc>
        <w:tc>
          <w:tcPr>
            <w:tcW w:w="380" w:type="dxa"/>
            <w:vAlign w:val="bottom"/>
          </w:tcPr>
          <w:p w14:paraId="0D29A87C" w14:textId="77777777" w:rsidR="00D1587D" w:rsidRDefault="00D1587D">
            <w:pPr>
              <w:rPr>
                <w:sz w:val="23"/>
                <w:szCs w:val="23"/>
              </w:rPr>
            </w:pPr>
          </w:p>
        </w:tc>
        <w:tc>
          <w:tcPr>
            <w:tcW w:w="20" w:type="dxa"/>
            <w:vAlign w:val="bottom"/>
          </w:tcPr>
          <w:p w14:paraId="123164E8" w14:textId="77777777" w:rsidR="00D1587D" w:rsidRDefault="00D1587D">
            <w:pPr>
              <w:rPr>
                <w:sz w:val="23"/>
                <w:szCs w:val="23"/>
              </w:rPr>
            </w:pPr>
          </w:p>
        </w:tc>
        <w:tc>
          <w:tcPr>
            <w:tcW w:w="140" w:type="dxa"/>
            <w:vAlign w:val="bottom"/>
          </w:tcPr>
          <w:p w14:paraId="0BF8D32E" w14:textId="77777777" w:rsidR="00D1587D" w:rsidRDefault="00D1587D">
            <w:pPr>
              <w:rPr>
                <w:sz w:val="23"/>
                <w:szCs w:val="23"/>
              </w:rPr>
            </w:pPr>
          </w:p>
        </w:tc>
      </w:tr>
      <w:tr w:rsidR="00D1587D" w14:paraId="71367423" w14:textId="77777777">
        <w:trPr>
          <w:trHeight w:val="54"/>
        </w:trPr>
        <w:tc>
          <w:tcPr>
            <w:tcW w:w="5960" w:type="dxa"/>
            <w:vAlign w:val="bottom"/>
          </w:tcPr>
          <w:p w14:paraId="5F93B55E" w14:textId="77777777" w:rsidR="00D1587D" w:rsidRDefault="00D1587D">
            <w:pPr>
              <w:rPr>
                <w:sz w:val="4"/>
                <w:szCs w:val="4"/>
              </w:rPr>
            </w:pPr>
          </w:p>
        </w:tc>
        <w:tc>
          <w:tcPr>
            <w:tcW w:w="120" w:type="dxa"/>
            <w:vAlign w:val="bottom"/>
          </w:tcPr>
          <w:p w14:paraId="40A1CA77" w14:textId="77777777" w:rsidR="00D1587D" w:rsidRDefault="00D1587D">
            <w:pPr>
              <w:rPr>
                <w:sz w:val="4"/>
                <w:szCs w:val="4"/>
              </w:rPr>
            </w:pPr>
          </w:p>
        </w:tc>
        <w:tc>
          <w:tcPr>
            <w:tcW w:w="100" w:type="dxa"/>
            <w:vAlign w:val="bottom"/>
          </w:tcPr>
          <w:p w14:paraId="19E0FF9D" w14:textId="77777777" w:rsidR="00D1587D" w:rsidRDefault="00D1587D">
            <w:pPr>
              <w:rPr>
                <w:sz w:val="4"/>
                <w:szCs w:val="4"/>
              </w:rPr>
            </w:pPr>
          </w:p>
        </w:tc>
        <w:tc>
          <w:tcPr>
            <w:tcW w:w="380" w:type="dxa"/>
            <w:vAlign w:val="bottom"/>
          </w:tcPr>
          <w:p w14:paraId="67BAEF57" w14:textId="77777777" w:rsidR="00D1587D" w:rsidRDefault="00D1587D">
            <w:pPr>
              <w:rPr>
                <w:sz w:val="4"/>
                <w:szCs w:val="4"/>
              </w:rPr>
            </w:pPr>
          </w:p>
        </w:tc>
        <w:tc>
          <w:tcPr>
            <w:tcW w:w="20" w:type="dxa"/>
            <w:vAlign w:val="bottom"/>
          </w:tcPr>
          <w:p w14:paraId="097CDD7C" w14:textId="77777777" w:rsidR="00D1587D" w:rsidRDefault="00D1587D">
            <w:pPr>
              <w:rPr>
                <w:sz w:val="4"/>
                <w:szCs w:val="4"/>
              </w:rPr>
            </w:pPr>
          </w:p>
        </w:tc>
        <w:tc>
          <w:tcPr>
            <w:tcW w:w="140" w:type="dxa"/>
            <w:vAlign w:val="bottom"/>
          </w:tcPr>
          <w:p w14:paraId="1649A1B6" w14:textId="77777777" w:rsidR="00D1587D" w:rsidRDefault="00D1587D">
            <w:pPr>
              <w:rPr>
                <w:sz w:val="4"/>
                <w:szCs w:val="4"/>
              </w:rPr>
            </w:pPr>
          </w:p>
        </w:tc>
        <w:tc>
          <w:tcPr>
            <w:tcW w:w="100" w:type="dxa"/>
            <w:vAlign w:val="bottom"/>
          </w:tcPr>
          <w:p w14:paraId="21CD776B" w14:textId="77777777" w:rsidR="00D1587D" w:rsidRDefault="00D1587D">
            <w:pPr>
              <w:rPr>
                <w:sz w:val="4"/>
                <w:szCs w:val="4"/>
              </w:rPr>
            </w:pPr>
          </w:p>
        </w:tc>
        <w:tc>
          <w:tcPr>
            <w:tcW w:w="120" w:type="dxa"/>
            <w:vAlign w:val="bottom"/>
          </w:tcPr>
          <w:p w14:paraId="626B1577" w14:textId="77777777" w:rsidR="00D1587D" w:rsidRDefault="00D1587D">
            <w:pPr>
              <w:rPr>
                <w:sz w:val="4"/>
                <w:szCs w:val="4"/>
              </w:rPr>
            </w:pPr>
          </w:p>
        </w:tc>
        <w:tc>
          <w:tcPr>
            <w:tcW w:w="500" w:type="dxa"/>
            <w:vAlign w:val="bottom"/>
          </w:tcPr>
          <w:p w14:paraId="41236F04" w14:textId="77777777" w:rsidR="00D1587D" w:rsidRDefault="00D1587D">
            <w:pPr>
              <w:rPr>
                <w:sz w:val="4"/>
                <w:szCs w:val="4"/>
              </w:rPr>
            </w:pPr>
          </w:p>
        </w:tc>
        <w:tc>
          <w:tcPr>
            <w:tcW w:w="120" w:type="dxa"/>
            <w:vAlign w:val="bottom"/>
          </w:tcPr>
          <w:p w14:paraId="0766BECE" w14:textId="77777777" w:rsidR="00D1587D" w:rsidRDefault="00D1587D">
            <w:pPr>
              <w:rPr>
                <w:sz w:val="4"/>
                <w:szCs w:val="4"/>
              </w:rPr>
            </w:pPr>
          </w:p>
        </w:tc>
        <w:tc>
          <w:tcPr>
            <w:tcW w:w="100" w:type="dxa"/>
            <w:vAlign w:val="bottom"/>
          </w:tcPr>
          <w:p w14:paraId="0BB289DB" w14:textId="77777777" w:rsidR="00D1587D" w:rsidRDefault="00D1587D">
            <w:pPr>
              <w:rPr>
                <w:sz w:val="4"/>
                <w:szCs w:val="4"/>
              </w:rPr>
            </w:pPr>
          </w:p>
        </w:tc>
        <w:tc>
          <w:tcPr>
            <w:tcW w:w="120" w:type="dxa"/>
            <w:vAlign w:val="bottom"/>
          </w:tcPr>
          <w:p w14:paraId="5B5F3FB1" w14:textId="77777777" w:rsidR="00D1587D" w:rsidRDefault="00D1587D">
            <w:pPr>
              <w:rPr>
                <w:sz w:val="4"/>
                <w:szCs w:val="4"/>
              </w:rPr>
            </w:pPr>
          </w:p>
        </w:tc>
        <w:tc>
          <w:tcPr>
            <w:tcW w:w="100" w:type="dxa"/>
            <w:vAlign w:val="bottom"/>
          </w:tcPr>
          <w:p w14:paraId="701B5EC9" w14:textId="77777777" w:rsidR="00D1587D" w:rsidRDefault="00D1587D">
            <w:pPr>
              <w:rPr>
                <w:sz w:val="4"/>
                <w:szCs w:val="4"/>
              </w:rPr>
            </w:pPr>
          </w:p>
        </w:tc>
        <w:tc>
          <w:tcPr>
            <w:tcW w:w="380" w:type="dxa"/>
            <w:vAlign w:val="bottom"/>
          </w:tcPr>
          <w:p w14:paraId="65103E07" w14:textId="77777777" w:rsidR="00D1587D" w:rsidRDefault="00D1587D">
            <w:pPr>
              <w:rPr>
                <w:sz w:val="4"/>
                <w:szCs w:val="4"/>
              </w:rPr>
            </w:pPr>
          </w:p>
        </w:tc>
        <w:tc>
          <w:tcPr>
            <w:tcW w:w="20" w:type="dxa"/>
            <w:vAlign w:val="bottom"/>
          </w:tcPr>
          <w:p w14:paraId="3B2879DF" w14:textId="77777777" w:rsidR="00D1587D" w:rsidRDefault="00D1587D">
            <w:pPr>
              <w:rPr>
                <w:sz w:val="4"/>
                <w:szCs w:val="4"/>
              </w:rPr>
            </w:pPr>
          </w:p>
        </w:tc>
        <w:tc>
          <w:tcPr>
            <w:tcW w:w="140" w:type="dxa"/>
            <w:vAlign w:val="bottom"/>
          </w:tcPr>
          <w:p w14:paraId="1AD825FF" w14:textId="77777777" w:rsidR="00D1587D" w:rsidRDefault="00D1587D">
            <w:pPr>
              <w:rPr>
                <w:sz w:val="4"/>
                <w:szCs w:val="4"/>
              </w:rPr>
            </w:pPr>
          </w:p>
        </w:tc>
      </w:tr>
      <w:tr w:rsidR="00D1587D" w14:paraId="0C070352" w14:textId="77777777">
        <w:trPr>
          <w:trHeight w:val="304"/>
        </w:trPr>
        <w:tc>
          <w:tcPr>
            <w:tcW w:w="5960" w:type="dxa"/>
            <w:tcBorders>
              <w:bottom w:val="single" w:sz="8" w:space="0" w:color="CCEEFF"/>
            </w:tcBorders>
            <w:shd w:val="clear" w:color="auto" w:fill="CCEEFF"/>
            <w:vAlign w:val="bottom"/>
          </w:tcPr>
          <w:p w14:paraId="51124E03" w14:textId="77777777" w:rsidR="00D1587D" w:rsidRDefault="00410D07">
            <w:pPr>
              <w:ind w:left="180"/>
              <w:rPr>
                <w:sz w:val="20"/>
                <w:szCs w:val="20"/>
              </w:rPr>
            </w:pPr>
            <w:r>
              <w:rPr>
                <w:rFonts w:ascii="Arial" w:eastAsia="Arial" w:hAnsi="Arial" w:cs="Arial"/>
                <w:sz w:val="18"/>
                <w:szCs w:val="18"/>
              </w:rPr>
              <w:t>Cash and Cash Equivalents</w:t>
            </w:r>
          </w:p>
        </w:tc>
        <w:tc>
          <w:tcPr>
            <w:tcW w:w="220" w:type="dxa"/>
            <w:gridSpan w:val="2"/>
            <w:tcBorders>
              <w:bottom w:val="single" w:sz="8" w:space="0" w:color="CCEEFF"/>
            </w:tcBorders>
            <w:shd w:val="clear" w:color="auto" w:fill="CCEEFF"/>
            <w:vAlign w:val="bottom"/>
          </w:tcPr>
          <w:p w14:paraId="4647A720" w14:textId="77777777" w:rsidR="00D1587D" w:rsidRDefault="00410D07">
            <w:pPr>
              <w:jc w:val="right"/>
              <w:rPr>
                <w:sz w:val="20"/>
                <w:szCs w:val="20"/>
              </w:rPr>
            </w:pPr>
            <w:r>
              <w:rPr>
                <w:rFonts w:ascii="Arial" w:eastAsia="Arial" w:hAnsi="Arial" w:cs="Arial"/>
                <w:sz w:val="18"/>
                <w:szCs w:val="18"/>
              </w:rPr>
              <w:t>$</w:t>
            </w:r>
          </w:p>
        </w:tc>
        <w:tc>
          <w:tcPr>
            <w:tcW w:w="400" w:type="dxa"/>
            <w:gridSpan w:val="2"/>
            <w:tcBorders>
              <w:bottom w:val="single" w:sz="8" w:space="0" w:color="CCEEFF"/>
            </w:tcBorders>
            <w:shd w:val="clear" w:color="auto" w:fill="CCEEFF"/>
            <w:vAlign w:val="bottom"/>
          </w:tcPr>
          <w:p w14:paraId="45E34EE4" w14:textId="77777777" w:rsidR="00D1587D" w:rsidRDefault="00410D07">
            <w:pPr>
              <w:jc w:val="right"/>
              <w:rPr>
                <w:sz w:val="20"/>
                <w:szCs w:val="20"/>
              </w:rPr>
            </w:pPr>
            <w:r>
              <w:rPr>
                <w:rFonts w:ascii="Arial" w:eastAsia="Arial" w:hAnsi="Arial" w:cs="Arial"/>
                <w:sz w:val="18"/>
                <w:szCs w:val="18"/>
              </w:rPr>
              <w:t>332</w:t>
            </w:r>
          </w:p>
        </w:tc>
        <w:tc>
          <w:tcPr>
            <w:tcW w:w="140" w:type="dxa"/>
            <w:tcBorders>
              <w:bottom w:val="single" w:sz="8" w:space="0" w:color="CCEEFF"/>
            </w:tcBorders>
            <w:shd w:val="clear" w:color="auto" w:fill="CCEEFF"/>
            <w:vAlign w:val="bottom"/>
          </w:tcPr>
          <w:p w14:paraId="3C56599E"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7B8E59A"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6B4D31AA" w14:textId="77777777" w:rsidR="00D1587D" w:rsidRDefault="00410D07">
            <w:pPr>
              <w:jc w:val="right"/>
              <w:rPr>
                <w:sz w:val="20"/>
                <w:szCs w:val="20"/>
              </w:rPr>
            </w:pPr>
            <w:r>
              <w:rPr>
                <w:rFonts w:ascii="Arial" w:eastAsia="Arial" w:hAnsi="Arial" w:cs="Arial"/>
                <w:sz w:val="18"/>
                <w:szCs w:val="18"/>
              </w:rPr>
              <w:t>$  335</w:t>
            </w:r>
          </w:p>
        </w:tc>
        <w:tc>
          <w:tcPr>
            <w:tcW w:w="120" w:type="dxa"/>
            <w:tcBorders>
              <w:bottom w:val="single" w:sz="8" w:space="0" w:color="CCEEFF"/>
            </w:tcBorders>
            <w:shd w:val="clear" w:color="auto" w:fill="CCEEFF"/>
            <w:vAlign w:val="bottom"/>
          </w:tcPr>
          <w:p w14:paraId="0B77361B" w14:textId="77777777" w:rsidR="00D1587D" w:rsidRDefault="00D1587D">
            <w:pPr>
              <w:rPr>
                <w:sz w:val="24"/>
                <w:szCs w:val="24"/>
              </w:rPr>
            </w:pPr>
          </w:p>
        </w:tc>
        <w:tc>
          <w:tcPr>
            <w:tcW w:w="100" w:type="dxa"/>
            <w:tcBorders>
              <w:bottom w:val="single" w:sz="8" w:space="0" w:color="CCEEFF"/>
            </w:tcBorders>
            <w:shd w:val="clear" w:color="auto" w:fill="CCEEFF"/>
            <w:vAlign w:val="bottom"/>
          </w:tcPr>
          <w:p w14:paraId="77635A49" w14:textId="77777777" w:rsidR="00D1587D" w:rsidRDefault="00D1587D">
            <w:pPr>
              <w:rPr>
                <w:sz w:val="24"/>
                <w:szCs w:val="24"/>
              </w:rPr>
            </w:pPr>
          </w:p>
        </w:tc>
        <w:tc>
          <w:tcPr>
            <w:tcW w:w="220" w:type="dxa"/>
            <w:gridSpan w:val="2"/>
            <w:tcBorders>
              <w:bottom w:val="single" w:sz="8" w:space="0" w:color="CCEEFF"/>
            </w:tcBorders>
            <w:shd w:val="clear" w:color="auto" w:fill="CCEEFF"/>
            <w:vAlign w:val="bottom"/>
          </w:tcPr>
          <w:p w14:paraId="398B905D" w14:textId="77777777" w:rsidR="00D1587D" w:rsidRDefault="00410D07">
            <w:pPr>
              <w:jc w:val="right"/>
              <w:rPr>
                <w:sz w:val="20"/>
                <w:szCs w:val="20"/>
              </w:rPr>
            </w:pPr>
            <w:r>
              <w:rPr>
                <w:rFonts w:ascii="Arial" w:eastAsia="Arial" w:hAnsi="Arial" w:cs="Arial"/>
                <w:sz w:val="18"/>
                <w:szCs w:val="18"/>
              </w:rPr>
              <w:t>$</w:t>
            </w:r>
          </w:p>
        </w:tc>
        <w:tc>
          <w:tcPr>
            <w:tcW w:w="400" w:type="dxa"/>
            <w:gridSpan w:val="2"/>
            <w:tcBorders>
              <w:bottom w:val="single" w:sz="8" w:space="0" w:color="CCEEFF"/>
            </w:tcBorders>
            <w:shd w:val="clear" w:color="auto" w:fill="CCEEFF"/>
            <w:vAlign w:val="bottom"/>
          </w:tcPr>
          <w:p w14:paraId="3A2E24B7" w14:textId="77777777" w:rsidR="00D1587D" w:rsidRDefault="00410D07">
            <w:pPr>
              <w:jc w:val="right"/>
              <w:rPr>
                <w:sz w:val="20"/>
                <w:szCs w:val="20"/>
              </w:rPr>
            </w:pPr>
            <w:r>
              <w:rPr>
                <w:rFonts w:ascii="Arial" w:eastAsia="Arial" w:hAnsi="Arial" w:cs="Arial"/>
                <w:sz w:val="18"/>
                <w:szCs w:val="18"/>
              </w:rPr>
              <w:t>169</w:t>
            </w:r>
          </w:p>
        </w:tc>
        <w:tc>
          <w:tcPr>
            <w:tcW w:w="140" w:type="dxa"/>
            <w:tcBorders>
              <w:bottom w:val="single" w:sz="8" w:space="0" w:color="CCEEFF"/>
            </w:tcBorders>
            <w:shd w:val="clear" w:color="auto" w:fill="CCEEFF"/>
            <w:vAlign w:val="bottom"/>
          </w:tcPr>
          <w:p w14:paraId="17434DA9" w14:textId="77777777" w:rsidR="00D1587D" w:rsidRDefault="00D1587D">
            <w:pPr>
              <w:rPr>
                <w:sz w:val="24"/>
                <w:szCs w:val="24"/>
              </w:rPr>
            </w:pPr>
          </w:p>
        </w:tc>
      </w:tr>
      <w:tr w:rsidR="00D1587D" w14:paraId="40D43731" w14:textId="77777777">
        <w:trPr>
          <w:trHeight w:val="270"/>
        </w:trPr>
        <w:tc>
          <w:tcPr>
            <w:tcW w:w="5960" w:type="dxa"/>
            <w:vAlign w:val="bottom"/>
          </w:tcPr>
          <w:p w14:paraId="041719BD" w14:textId="77777777" w:rsidR="00D1587D" w:rsidRDefault="00410D07">
            <w:pPr>
              <w:ind w:left="180"/>
              <w:rPr>
                <w:sz w:val="20"/>
                <w:szCs w:val="20"/>
              </w:rPr>
            </w:pPr>
            <w:r>
              <w:rPr>
                <w:rFonts w:ascii="Arial" w:eastAsia="Arial" w:hAnsi="Arial" w:cs="Arial"/>
                <w:sz w:val="18"/>
                <w:szCs w:val="18"/>
              </w:rPr>
              <w:t>Accounts Receivable, Net</w:t>
            </w:r>
          </w:p>
        </w:tc>
        <w:tc>
          <w:tcPr>
            <w:tcW w:w="120" w:type="dxa"/>
            <w:vAlign w:val="bottom"/>
          </w:tcPr>
          <w:p w14:paraId="05431CF0" w14:textId="77777777" w:rsidR="00D1587D" w:rsidRDefault="00D1587D">
            <w:pPr>
              <w:rPr>
                <w:sz w:val="23"/>
                <w:szCs w:val="23"/>
              </w:rPr>
            </w:pPr>
          </w:p>
        </w:tc>
        <w:tc>
          <w:tcPr>
            <w:tcW w:w="100" w:type="dxa"/>
            <w:vAlign w:val="bottom"/>
          </w:tcPr>
          <w:p w14:paraId="7AB9DC48" w14:textId="77777777" w:rsidR="00D1587D" w:rsidRDefault="00D1587D">
            <w:pPr>
              <w:rPr>
                <w:sz w:val="23"/>
                <w:szCs w:val="23"/>
              </w:rPr>
            </w:pPr>
          </w:p>
        </w:tc>
        <w:tc>
          <w:tcPr>
            <w:tcW w:w="400" w:type="dxa"/>
            <w:gridSpan w:val="2"/>
            <w:vAlign w:val="bottom"/>
          </w:tcPr>
          <w:p w14:paraId="47449FBB" w14:textId="77777777" w:rsidR="00D1587D" w:rsidRDefault="00410D07">
            <w:pPr>
              <w:ind w:right="20"/>
              <w:jc w:val="right"/>
              <w:rPr>
                <w:sz w:val="20"/>
                <w:szCs w:val="20"/>
              </w:rPr>
            </w:pPr>
            <w:r>
              <w:rPr>
                <w:rFonts w:ascii="Arial" w:eastAsia="Arial" w:hAnsi="Arial" w:cs="Arial"/>
                <w:sz w:val="18"/>
                <w:szCs w:val="18"/>
              </w:rPr>
              <w:t>111</w:t>
            </w:r>
          </w:p>
        </w:tc>
        <w:tc>
          <w:tcPr>
            <w:tcW w:w="140" w:type="dxa"/>
            <w:vAlign w:val="bottom"/>
          </w:tcPr>
          <w:p w14:paraId="2EB0A03A" w14:textId="77777777" w:rsidR="00D1587D" w:rsidRDefault="00D1587D">
            <w:pPr>
              <w:rPr>
                <w:sz w:val="23"/>
                <w:szCs w:val="23"/>
              </w:rPr>
            </w:pPr>
          </w:p>
        </w:tc>
        <w:tc>
          <w:tcPr>
            <w:tcW w:w="100" w:type="dxa"/>
            <w:vAlign w:val="bottom"/>
          </w:tcPr>
          <w:p w14:paraId="48FF9C00" w14:textId="77777777" w:rsidR="00D1587D" w:rsidRDefault="00D1587D">
            <w:pPr>
              <w:rPr>
                <w:sz w:val="23"/>
                <w:szCs w:val="23"/>
              </w:rPr>
            </w:pPr>
          </w:p>
        </w:tc>
        <w:tc>
          <w:tcPr>
            <w:tcW w:w="620" w:type="dxa"/>
            <w:gridSpan w:val="2"/>
            <w:vAlign w:val="bottom"/>
          </w:tcPr>
          <w:p w14:paraId="1110780E" w14:textId="77777777" w:rsidR="00D1587D" w:rsidRDefault="00410D07">
            <w:pPr>
              <w:jc w:val="right"/>
              <w:rPr>
                <w:sz w:val="20"/>
                <w:szCs w:val="20"/>
              </w:rPr>
            </w:pPr>
            <w:r>
              <w:rPr>
                <w:rFonts w:ascii="Arial" w:eastAsia="Arial" w:hAnsi="Arial" w:cs="Arial"/>
                <w:sz w:val="18"/>
                <w:szCs w:val="18"/>
              </w:rPr>
              <w:t>121</w:t>
            </w:r>
          </w:p>
        </w:tc>
        <w:tc>
          <w:tcPr>
            <w:tcW w:w="120" w:type="dxa"/>
            <w:vAlign w:val="bottom"/>
          </w:tcPr>
          <w:p w14:paraId="3FDA7293" w14:textId="77777777" w:rsidR="00D1587D" w:rsidRDefault="00D1587D">
            <w:pPr>
              <w:rPr>
                <w:sz w:val="23"/>
                <w:szCs w:val="23"/>
              </w:rPr>
            </w:pPr>
          </w:p>
        </w:tc>
        <w:tc>
          <w:tcPr>
            <w:tcW w:w="100" w:type="dxa"/>
            <w:vAlign w:val="bottom"/>
          </w:tcPr>
          <w:p w14:paraId="3A6A41CD" w14:textId="77777777" w:rsidR="00D1587D" w:rsidRDefault="00D1587D">
            <w:pPr>
              <w:rPr>
                <w:sz w:val="23"/>
                <w:szCs w:val="23"/>
              </w:rPr>
            </w:pPr>
          </w:p>
        </w:tc>
        <w:tc>
          <w:tcPr>
            <w:tcW w:w="120" w:type="dxa"/>
            <w:vAlign w:val="bottom"/>
          </w:tcPr>
          <w:p w14:paraId="196B2B7E" w14:textId="77777777" w:rsidR="00D1587D" w:rsidRDefault="00D1587D">
            <w:pPr>
              <w:rPr>
                <w:sz w:val="23"/>
                <w:szCs w:val="23"/>
              </w:rPr>
            </w:pPr>
          </w:p>
        </w:tc>
        <w:tc>
          <w:tcPr>
            <w:tcW w:w="100" w:type="dxa"/>
            <w:vAlign w:val="bottom"/>
          </w:tcPr>
          <w:p w14:paraId="3F704855" w14:textId="77777777" w:rsidR="00D1587D" w:rsidRDefault="00D1587D">
            <w:pPr>
              <w:rPr>
                <w:sz w:val="23"/>
                <w:szCs w:val="23"/>
              </w:rPr>
            </w:pPr>
          </w:p>
        </w:tc>
        <w:tc>
          <w:tcPr>
            <w:tcW w:w="400" w:type="dxa"/>
            <w:gridSpan w:val="2"/>
            <w:vAlign w:val="bottom"/>
          </w:tcPr>
          <w:p w14:paraId="5193AA43" w14:textId="77777777" w:rsidR="00D1587D" w:rsidRDefault="00410D07">
            <w:pPr>
              <w:jc w:val="right"/>
              <w:rPr>
                <w:sz w:val="20"/>
                <w:szCs w:val="20"/>
              </w:rPr>
            </w:pPr>
            <w:r>
              <w:rPr>
                <w:rFonts w:ascii="Arial" w:eastAsia="Arial" w:hAnsi="Arial" w:cs="Arial"/>
                <w:sz w:val="18"/>
                <w:szCs w:val="18"/>
              </w:rPr>
              <w:t>114</w:t>
            </w:r>
          </w:p>
        </w:tc>
        <w:tc>
          <w:tcPr>
            <w:tcW w:w="140" w:type="dxa"/>
            <w:vAlign w:val="bottom"/>
          </w:tcPr>
          <w:p w14:paraId="28F7ADD3" w14:textId="77777777" w:rsidR="00D1587D" w:rsidRDefault="00D1587D">
            <w:pPr>
              <w:rPr>
                <w:sz w:val="23"/>
                <w:szCs w:val="23"/>
              </w:rPr>
            </w:pPr>
          </w:p>
        </w:tc>
      </w:tr>
      <w:tr w:rsidR="00D1587D" w14:paraId="31921221" w14:textId="77777777">
        <w:trPr>
          <w:trHeight w:val="54"/>
        </w:trPr>
        <w:tc>
          <w:tcPr>
            <w:tcW w:w="5960" w:type="dxa"/>
            <w:vAlign w:val="bottom"/>
          </w:tcPr>
          <w:p w14:paraId="28562DD7" w14:textId="77777777" w:rsidR="00D1587D" w:rsidRDefault="00D1587D">
            <w:pPr>
              <w:rPr>
                <w:sz w:val="4"/>
                <w:szCs w:val="4"/>
              </w:rPr>
            </w:pPr>
          </w:p>
        </w:tc>
        <w:tc>
          <w:tcPr>
            <w:tcW w:w="120" w:type="dxa"/>
            <w:vAlign w:val="bottom"/>
          </w:tcPr>
          <w:p w14:paraId="0D295F2F" w14:textId="77777777" w:rsidR="00D1587D" w:rsidRDefault="00D1587D">
            <w:pPr>
              <w:rPr>
                <w:sz w:val="4"/>
                <w:szCs w:val="4"/>
              </w:rPr>
            </w:pPr>
          </w:p>
        </w:tc>
        <w:tc>
          <w:tcPr>
            <w:tcW w:w="100" w:type="dxa"/>
            <w:vAlign w:val="bottom"/>
          </w:tcPr>
          <w:p w14:paraId="07354BE5" w14:textId="77777777" w:rsidR="00D1587D" w:rsidRDefault="00D1587D">
            <w:pPr>
              <w:rPr>
                <w:sz w:val="4"/>
                <w:szCs w:val="4"/>
              </w:rPr>
            </w:pPr>
          </w:p>
        </w:tc>
        <w:tc>
          <w:tcPr>
            <w:tcW w:w="380" w:type="dxa"/>
            <w:vAlign w:val="bottom"/>
          </w:tcPr>
          <w:p w14:paraId="22AD3E0D" w14:textId="77777777" w:rsidR="00D1587D" w:rsidRDefault="00D1587D">
            <w:pPr>
              <w:rPr>
                <w:sz w:val="4"/>
                <w:szCs w:val="4"/>
              </w:rPr>
            </w:pPr>
          </w:p>
        </w:tc>
        <w:tc>
          <w:tcPr>
            <w:tcW w:w="20" w:type="dxa"/>
            <w:vAlign w:val="bottom"/>
          </w:tcPr>
          <w:p w14:paraId="6B32327D" w14:textId="77777777" w:rsidR="00D1587D" w:rsidRDefault="00D1587D">
            <w:pPr>
              <w:rPr>
                <w:sz w:val="4"/>
                <w:szCs w:val="4"/>
              </w:rPr>
            </w:pPr>
          </w:p>
        </w:tc>
        <w:tc>
          <w:tcPr>
            <w:tcW w:w="140" w:type="dxa"/>
            <w:vAlign w:val="bottom"/>
          </w:tcPr>
          <w:p w14:paraId="7FC7E755" w14:textId="77777777" w:rsidR="00D1587D" w:rsidRDefault="00D1587D">
            <w:pPr>
              <w:rPr>
                <w:sz w:val="4"/>
                <w:szCs w:val="4"/>
              </w:rPr>
            </w:pPr>
          </w:p>
        </w:tc>
        <w:tc>
          <w:tcPr>
            <w:tcW w:w="100" w:type="dxa"/>
            <w:vAlign w:val="bottom"/>
          </w:tcPr>
          <w:p w14:paraId="3302A6E2" w14:textId="77777777" w:rsidR="00D1587D" w:rsidRDefault="00D1587D">
            <w:pPr>
              <w:rPr>
                <w:sz w:val="4"/>
                <w:szCs w:val="4"/>
              </w:rPr>
            </w:pPr>
          </w:p>
        </w:tc>
        <w:tc>
          <w:tcPr>
            <w:tcW w:w="120" w:type="dxa"/>
            <w:vAlign w:val="bottom"/>
          </w:tcPr>
          <w:p w14:paraId="07C90173" w14:textId="77777777" w:rsidR="00D1587D" w:rsidRDefault="00D1587D">
            <w:pPr>
              <w:rPr>
                <w:sz w:val="4"/>
                <w:szCs w:val="4"/>
              </w:rPr>
            </w:pPr>
          </w:p>
        </w:tc>
        <w:tc>
          <w:tcPr>
            <w:tcW w:w="500" w:type="dxa"/>
            <w:vAlign w:val="bottom"/>
          </w:tcPr>
          <w:p w14:paraId="454947FB" w14:textId="77777777" w:rsidR="00D1587D" w:rsidRDefault="00D1587D">
            <w:pPr>
              <w:rPr>
                <w:sz w:val="4"/>
                <w:szCs w:val="4"/>
              </w:rPr>
            </w:pPr>
          </w:p>
        </w:tc>
        <w:tc>
          <w:tcPr>
            <w:tcW w:w="120" w:type="dxa"/>
            <w:vAlign w:val="bottom"/>
          </w:tcPr>
          <w:p w14:paraId="275B52A9" w14:textId="77777777" w:rsidR="00D1587D" w:rsidRDefault="00D1587D">
            <w:pPr>
              <w:rPr>
                <w:sz w:val="4"/>
                <w:szCs w:val="4"/>
              </w:rPr>
            </w:pPr>
          </w:p>
        </w:tc>
        <w:tc>
          <w:tcPr>
            <w:tcW w:w="100" w:type="dxa"/>
            <w:vAlign w:val="bottom"/>
          </w:tcPr>
          <w:p w14:paraId="757ED523" w14:textId="77777777" w:rsidR="00D1587D" w:rsidRDefault="00D1587D">
            <w:pPr>
              <w:rPr>
                <w:sz w:val="4"/>
                <w:szCs w:val="4"/>
              </w:rPr>
            </w:pPr>
          </w:p>
        </w:tc>
        <w:tc>
          <w:tcPr>
            <w:tcW w:w="120" w:type="dxa"/>
            <w:vAlign w:val="bottom"/>
          </w:tcPr>
          <w:p w14:paraId="1DC3A550" w14:textId="77777777" w:rsidR="00D1587D" w:rsidRDefault="00D1587D">
            <w:pPr>
              <w:rPr>
                <w:sz w:val="4"/>
                <w:szCs w:val="4"/>
              </w:rPr>
            </w:pPr>
          </w:p>
        </w:tc>
        <w:tc>
          <w:tcPr>
            <w:tcW w:w="100" w:type="dxa"/>
            <w:vAlign w:val="bottom"/>
          </w:tcPr>
          <w:p w14:paraId="75A9C2CE" w14:textId="77777777" w:rsidR="00D1587D" w:rsidRDefault="00D1587D">
            <w:pPr>
              <w:rPr>
                <w:sz w:val="4"/>
                <w:szCs w:val="4"/>
              </w:rPr>
            </w:pPr>
          </w:p>
        </w:tc>
        <w:tc>
          <w:tcPr>
            <w:tcW w:w="380" w:type="dxa"/>
            <w:vAlign w:val="bottom"/>
          </w:tcPr>
          <w:p w14:paraId="0CA34363" w14:textId="77777777" w:rsidR="00D1587D" w:rsidRDefault="00D1587D">
            <w:pPr>
              <w:rPr>
                <w:sz w:val="4"/>
                <w:szCs w:val="4"/>
              </w:rPr>
            </w:pPr>
          </w:p>
        </w:tc>
        <w:tc>
          <w:tcPr>
            <w:tcW w:w="20" w:type="dxa"/>
            <w:vAlign w:val="bottom"/>
          </w:tcPr>
          <w:p w14:paraId="6E5CEBD4" w14:textId="77777777" w:rsidR="00D1587D" w:rsidRDefault="00D1587D">
            <w:pPr>
              <w:rPr>
                <w:sz w:val="4"/>
                <w:szCs w:val="4"/>
              </w:rPr>
            </w:pPr>
          </w:p>
        </w:tc>
        <w:tc>
          <w:tcPr>
            <w:tcW w:w="140" w:type="dxa"/>
            <w:vAlign w:val="bottom"/>
          </w:tcPr>
          <w:p w14:paraId="7DD00D10" w14:textId="77777777" w:rsidR="00D1587D" w:rsidRDefault="00D1587D">
            <w:pPr>
              <w:rPr>
                <w:sz w:val="4"/>
                <w:szCs w:val="4"/>
              </w:rPr>
            </w:pPr>
          </w:p>
        </w:tc>
      </w:tr>
      <w:tr w:rsidR="00D1587D" w14:paraId="623D5030" w14:textId="77777777">
        <w:trPr>
          <w:trHeight w:val="304"/>
        </w:trPr>
        <w:tc>
          <w:tcPr>
            <w:tcW w:w="5960" w:type="dxa"/>
            <w:tcBorders>
              <w:bottom w:val="single" w:sz="8" w:space="0" w:color="CCEEFF"/>
            </w:tcBorders>
            <w:shd w:val="clear" w:color="auto" w:fill="CCEEFF"/>
            <w:vAlign w:val="bottom"/>
          </w:tcPr>
          <w:p w14:paraId="4BCE4472" w14:textId="77777777" w:rsidR="00D1587D" w:rsidRDefault="00410D07">
            <w:pPr>
              <w:ind w:left="180"/>
              <w:rPr>
                <w:sz w:val="20"/>
                <w:szCs w:val="20"/>
              </w:rPr>
            </w:pPr>
            <w:r>
              <w:rPr>
                <w:rFonts w:ascii="Arial" w:eastAsia="Arial" w:hAnsi="Arial" w:cs="Arial"/>
                <w:sz w:val="18"/>
                <w:szCs w:val="18"/>
              </w:rPr>
              <w:t xml:space="preserve">Due from Related </w:t>
            </w:r>
            <w:r>
              <w:rPr>
                <w:rFonts w:ascii="Arial" w:eastAsia="Arial" w:hAnsi="Arial" w:cs="Arial"/>
                <w:sz w:val="18"/>
                <w:szCs w:val="18"/>
              </w:rPr>
              <w:t>Parties</w:t>
            </w:r>
          </w:p>
        </w:tc>
        <w:tc>
          <w:tcPr>
            <w:tcW w:w="120" w:type="dxa"/>
            <w:tcBorders>
              <w:bottom w:val="single" w:sz="8" w:space="0" w:color="CCEEFF"/>
            </w:tcBorders>
            <w:shd w:val="clear" w:color="auto" w:fill="CCEEFF"/>
            <w:vAlign w:val="bottom"/>
          </w:tcPr>
          <w:p w14:paraId="432495B1"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D8F7DB1"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34D5D9B3" w14:textId="77777777" w:rsidR="00D1587D" w:rsidRDefault="00410D07">
            <w:pPr>
              <w:jc w:val="right"/>
              <w:rPr>
                <w:sz w:val="20"/>
                <w:szCs w:val="20"/>
              </w:rPr>
            </w:pPr>
            <w:r>
              <w:rPr>
                <w:rFonts w:ascii="Arial" w:eastAsia="Arial" w:hAnsi="Arial" w:cs="Arial"/>
                <w:sz w:val="18"/>
                <w:szCs w:val="18"/>
              </w:rPr>
              <w:t>2</w:t>
            </w:r>
          </w:p>
        </w:tc>
        <w:tc>
          <w:tcPr>
            <w:tcW w:w="140" w:type="dxa"/>
            <w:tcBorders>
              <w:bottom w:val="single" w:sz="8" w:space="0" w:color="CCEEFF"/>
            </w:tcBorders>
            <w:shd w:val="clear" w:color="auto" w:fill="CCEEFF"/>
            <w:vAlign w:val="bottom"/>
          </w:tcPr>
          <w:p w14:paraId="0B0D7F2C"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FD477FA" w14:textId="77777777" w:rsidR="00D1587D" w:rsidRDefault="00D1587D">
            <w:pPr>
              <w:rPr>
                <w:sz w:val="24"/>
                <w:szCs w:val="24"/>
              </w:rPr>
            </w:pPr>
          </w:p>
        </w:tc>
        <w:tc>
          <w:tcPr>
            <w:tcW w:w="120" w:type="dxa"/>
            <w:tcBorders>
              <w:bottom w:val="single" w:sz="8" w:space="0" w:color="CCEEFF"/>
            </w:tcBorders>
            <w:shd w:val="clear" w:color="auto" w:fill="CCEEFF"/>
            <w:vAlign w:val="bottom"/>
          </w:tcPr>
          <w:p w14:paraId="350B861E" w14:textId="77777777" w:rsidR="00D1587D" w:rsidRDefault="00D1587D">
            <w:pPr>
              <w:rPr>
                <w:sz w:val="24"/>
                <w:szCs w:val="24"/>
              </w:rPr>
            </w:pPr>
          </w:p>
        </w:tc>
        <w:tc>
          <w:tcPr>
            <w:tcW w:w="720" w:type="dxa"/>
            <w:gridSpan w:val="3"/>
            <w:tcBorders>
              <w:bottom w:val="single" w:sz="8" w:space="0" w:color="CCEEFF"/>
            </w:tcBorders>
            <w:shd w:val="clear" w:color="auto" w:fill="CCEEFF"/>
            <w:vAlign w:val="bottom"/>
          </w:tcPr>
          <w:p w14:paraId="1624EDA4" w14:textId="77777777" w:rsidR="00D1587D" w:rsidRDefault="00410D07">
            <w:pPr>
              <w:ind w:right="22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21BD5DA9" w14:textId="77777777" w:rsidR="00D1587D" w:rsidRDefault="00D1587D">
            <w:pPr>
              <w:rPr>
                <w:sz w:val="24"/>
                <w:szCs w:val="24"/>
              </w:rPr>
            </w:pPr>
          </w:p>
        </w:tc>
        <w:tc>
          <w:tcPr>
            <w:tcW w:w="100" w:type="dxa"/>
            <w:tcBorders>
              <w:bottom w:val="single" w:sz="8" w:space="0" w:color="CCEEFF"/>
            </w:tcBorders>
            <w:shd w:val="clear" w:color="auto" w:fill="CCEEFF"/>
            <w:vAlign w:val="bottom"/>
          </w:tcPr>
          <w:p w14:paraId="78BECEE5"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4B14115D" w14:textId="77777777" w:rsidR="00D1587D" w:rsidRDefault="00410D07">
            <w:pPr>
              <w:jc w:val="right"/>
              <w:rPr>
                <w:sz w:val="20"/>
                <w:szCs w:val="20"/>
              </w:rPr>
            </w:pPr>
            <w:r>
              <w:rPr>
                <w:rFonts w:ascii="Arial" w:eastAsia="Arial" w:hAnsi="Arial" w:cs="Arial"/>
                <w:sz w:val="18"/>
                <w:szCs w:val="18"/>
              </w:rPr>
              <w:t>2</w:t>
            </w:r>
          </w:p>
        </w:tc>
        <w:tc>
          <w:tcPr>
            <w:tcW w:w="140" w:type="dxa"/>
            <w:tcBorders>
              <w:bottom w:val="single" w:sz="8" w:space="0" w:color="CCEEFF"/>
            </w:tcBorders>
            <w:shd w:val="clear" w:color="auto" w:fill="CCEEFF"/>
            <w:vAlign w:val="bottom"/>
          </w:tcPr>
          <w:p w14:paraId="5BEB0575" w14:textId="77777777" w:rsidR="00D1587D" w:rsidRDefault="00D1587D">
            <w:pPr>
              <w:rPr>
                <w:sz w:val="24"/>
                <w:szCs w:val="24"/>
              </w:rPr>
            </w:pPr>
          </w:p>
        </w:tc>
      </w:tr>
      <w:tr w:rsidR="00D1587D" w14:paraId="3ACCD478" w14:textId="77777777">
        <w:trPr>
          <w:trHeight w:val="270"/>
        </w:trPr>
        <w:tc>
          <w:tcPr>
            <w:tcW w:w="5960" w:type="dxa"/>
            <w:vAlign w:val="bottom"/>
          </w:tcPr>
          <w:p w14:paraId="653A36D9" w14:textId="77777777" w:rsidR="00D1587D" w:rsidRDefault="00410D07">
            <w:pPr>
              <w:ind w:left="180"/>
              <w:rPr>
                <w:sz w:val="20"/>
                <w:szCs w:val="20"/>
              </w:rPr>
            </w:pPr>
            <w:r>
              <w:rPr>
                <w:rFonts w:ascii="Arial" w:eastAsia="Arial" w:hAnsi="Arial" w:cs="Arial"/>
                <w:sz w:val="18"/>
                <w:szCs w:val="18"/>
              </w:rPr>
              <w:t>Inventories</w:t>
            </w:r>
          </w:p>
        </w:tc>
        <w:tc>
          <w:tcPr>
            <w:tcW w:w="120" w:type="dxa"/>
            <w:vAlign w:val="bottom"/>
          </w:tcPr>
          <w:p w14:paraId="055714E0" w14:textId="77777777" w:rsidR="00D1587D" w:rsidRDefault="00D1587D">
            <w:pPr>
              <w:rPr>
                <w:sz w:val="23"/>
                <w:szCs w:val="23"/>
              </w:rPr>
            </w:pPr>
          </w:p>
        </w:tc>
        <w:tc>
          <w:tcPr>
            <w:tcW w:w="100" w:type="dxa"/>
            <w:vAlign w:val="bottom"/>
          </w:tcPr>
          <w:p w14:paraId="78C89A61" w14:textId="77777777" w:rsidR="00D1587D" w:rsidRDefault="00D1587D">
            <w:pPr>
              <w:rPr>
                <w:sz w:val="23"/>
                <w:szCs w:val="23"/>
              </w:rPr>
            </w:pPr>
          </w:p>
        </w:tc>
        <w:tc>
          <w:tcPr>
            <w:tcW w:w="400" w:type="dxa"/>
            <w:gridSpan w:val="2"/>
            <w:vAlign w:val="bottom"/>
          </w:tcPr>
          <w:p w14:paraId="42D7869B" w14:textId="77777777" w:rsidR="00D1587D" w:rsidRDefault="00410D07">
            <w:pPr>
              <w:ind w:right="20"/>
              <w:jc w:val="right"/>
              <w:rPr>
                <w:sz w:val="20"/>
                <w:szCs w:val="20"/>
              </w:rPr>
            </w:pPr>
            <w:r>
              <w:rPr>
                <w:rFonts w:ascii="Arial" w:eastAsia="Arial" w:hAnsi="Arial" w:cs="Arial"/>
                <w:sz w:val="18"/>
                <w:szCs w:val="18"/>
              </w:rPr>
              <w:t>761</w:t>
            </w:r>
          </w:p>
        </w:tc>
        <w:tc>
          <w:tcPr>
            <w:tcW w:w="140" w:type="dxa"/>
            <w:vAlign w:val="bottom"/>
          </w:tcPr>
          <w:p w14:paraId="6153BC74" w14:textId="77777777" w:rsidR="00D1587D" w:rsidRDefault="00D1587D">
            <w:pPr>
              <w:rPr>
                <w:sz w:val="23"/>
                <w:szCs w:val="23"/>
              </w:rPr>
            </w:pPr>
          </w:p>
        </w:tc>
        <w:tc>
          <w:tcPr>
            <w:tcW w:w="100" w:type="dxa"/>
            <w:vAlign w:val="bottom"/>
          </w:tcPr>
          <w:p w14:paraId="6471874E" w14:textId="77777777" w:rsidR="00D1587D" w:rsidRDefault="00D1587D">
            <w:pPr>
              <w:rPr>
                <w:sz w:val="23"/>
                <w:szCs w:val="23"/>
              </w:rPr>
            </w:pPr>
          </w:p>
        </w:tc>
        <w:tc>
          <w:tcPr>
            <w:tcW w:w="620" w:type="dxa"/>
            <w:gridSpan w:val="2"/>
            <w:vAlign w:val="bottom"/>
          </w:tcPr>
          <w:p w14:paraId="72609B04" w14:textId="77777777" w:rsidR="00D1587D" w:rsidRDefault="00410D07">
            <w:pPr>
              <w:jc w:val="right"/>
              <w:rPr>
                <w:sz w:val="20"/>
                <w:szCs w:val="20"/>
              </w:rPr>
            </w:pPr>
            <w:r>
              <w:rPr>
                <w:rFonts w:ascii="Arial" w:eastAsia="Arial" w:hAnsi="Arial" w:cs="Arial"/>
                <w:sz w:val="18"/>
                <w:szCs w:val="18"/>
              </w:rPr>
              <w:t>701</w:t>
            </w:r>
          </w:p>
        </w:tc>
        <w:tc>
          <w:tcPr>
            <w:tcW w:w="120" w:type="dxa"/>
            <w:vAlign w:val="bottom"/>
          </w:tcPr>
          <w:p w14:paraId="7F27E6EE" w14:textId="77777777" w:rsidR="00D1587D" w:rsidRDefault="00D1587D">
            <w:pPr>
              <w:rPr>
                <w:sz w:val="23"/>
                <w:szCs w:val="23"/>
              </w:rPr>
            </w:pPr>
          </w:p>
        </w:tc>
        <w:tc>
          <w:tcPr>
            <w:tcW w:w="100" w:type="dxa"/>
            <w:vAlign w:val="bottom"/>
          </w:tcPr>
          <w:p w14:paraId="38D329AE" w14:textId="77777777" w:rsidR="00D1587D" w:rsidRDefault="00D1587D">
            <w:pPr>
              <w:rPr>
                <w:sz w:val="23"/>
                <w:szCs w:val="23"/>
              </w:rPr>
            </w:pPr>
          </w:p>
        </w:tc>
        <w:tc>
          <w:tcPr>
            <w:tcW w:w="120" w:type="dxa"/>
            <w:vAlign w:val="bottom"/>
          </w:tcPr>
          <w:p w14:paraId="17F2BD5F" w14:textId="77777777" w:rsidR="00D1587D" w:rsidRDefault="00D1587D">
            <w:pPr>
              <w:rPr>
                <w:sz w:val="23"/>
                <w:szCs w:val="23"/>
              </w:rPr>
            </w:pPr>
          </w:p>
        </w:tc>
        <w:tc>
          <w:tcPr>
            <w:tcW w:w="100" w:type="dxa"/>
            <w:vAlign w:val="bottom"/>
          </w:tcPr>
          <w:p w14:paraId="5657B216" w14:textId="77777777" w:rsidR="00D1587D" w:rsidRDefault="00D1587D">
            <w:pPr>
              <w:rPr>
                <w:sz w:val="23"/>
                <w:szCs w:val="23"/>
              </w:rPr>
            </w:pPr>
          </w:p>
        </w:tc>
        <w:tc>
          <w:tcPr>
            <w:tcW w:w="400" w:type="dxa"/>
            <w:gridSpan w:val="2"/>
            <w:vAlign w:val="bottom"/>
          </w:tcPr>
          <w:p w14:paraId="7D57E841" w14:textId="77777777" w:rsidR="00D1587D" w:rsidRDefault="00410D07">
            <w:pPr>
              <w:jc w:val="right"/>
              <w:rPr>
                <w:sz w:val="20"/>
                <w:szCs w:val="20"/>
              </w:rPr>
            </w:pPr>
            <w:r>
              <w:rPr>
                <w:rFonts w:ascii="Arial" w:eastAsia="Arial" w:hAnsi="Arial" w:cs="Arial"/>
                <w:sz w:val="18"/>
                <w:szCs w:val="18"/>
              </w:rPr>
              <w:t>975</w:t>
            </w:r>
          </w:p>
        </w:tc>
        <w:tc>
          <w:tcPr>
            <w:tcW w:w="140" w:type="dxa"/>
            <w:vAlign w:val="bottom"/>
          </w:tcPr>
          <w:p w14:paraId="307605E4" w14:textId="77777777" w:rsidR="00D1587D" w:rsidRDefault="00D1587D">
            <w:pPr>
              <w:rPr>
                <w:sz w:val="23"/>
                <w:szCs w:val="23"/>
              </w:rPr>
            </w:pPr>
          </w:p>
        </w:tc>
      </w:tr>
      <w:tr w:rsidR="00D1587D" w14:paraId="510ADB85" w14:textId="77777777">
        <w:trPr>
          <w:trHeight w:val="54"/>
        </w:trPr>
        <w:tc>
          <w:tcPr>
            <w:tcW w:w="5960" w:type="dxa"/>
            <w:vAlign w:val="bottom"/>
          </w:tcPr>
          <w:p w14:paraId="5EFFD4DC" w14:textId="77777777" w:rsidR="00D1587D" w:rsidRDefault="00D1587D">
            <w:pPr>
              <w:rPr>
                <w:sz w:val="4"/>
                <w:szCs w:val="4"/>
              </w:rPr>
            </w:pPr>
          </w:p>
        </w:tc>
        <w:tc>
          <w:tcPr>
            <w:tcW w:w="120" w:type="dxa"/>
            <w:vAlign w:val="bottom"/>
          </w:tcPr>
          <w:p w14:paraId="1795F0E3" w14:textId="77777777" w:rsidR="00D1587D" w:rsidRDefault="00D1587D">
            <w:pPr>
              <w:rPr>
                <w:sz w:val="4"/>
                <w:szCs w:val="4"/>
              </w:rPr>
            </w:pPr>
          </w:p>
        </w:tc>
        <w:tc>
          <w:tcPr>
            <w:tcW w:w="100" w:type="dxa"/>
            <w:vAlign w:val="bottom"/>
          </w:tcPr>
          <w:p w14:paraId="6E46FCB1" w14:textId="77777777" w:rsidR="00D1587D" w:rsidRDefault="00D1587D">
            <w:pPr>
              <w:rPr>
                <w:sz w:val="4"/>
                <w:szCs w:val="4"/>
              </w:rPr>
            </w:pPr>
          </w:p>
        </w:tc>
        <w:tc>
          <w:tcPr>
            <w:tcW w:w="380" w:type="dxa"/>
            <w:vAlign w:val="bottom"/>
          </w:tcPr>
          <w:p w14:paraId="34591667" w14:textId="77777777" w:rsidR="00D1587D" w:rsidRDefault="00D1587D">
            <w:pPr>
              <w:rPr>
                <w:sz w:val="4"/>
                <w:szCs w:val="4"/>
              </w:rPr>
            </w:pPr>
          </w:p>
        </w:tc>
        <w:tc>
          <w:tcPr>
            <w:tcW w:w="20" w:type="dxa"/>
            <w:vAlign w:val="bottom"/>
          </w:tcPr>
          <w:p w14:paraId="58BD29E2" w14:textId="77777777" w:rsidR="00D1587D" w:rsidRDefault="00D1587D">
            <w:pPr>
              <w:rPr>
                <w:sz w:val="4"/>
                <w:szCs w:val="4"/>
              </w:rPr>
            </w:pPr>
          </w:p>
        </w:tc>
        <w:tc>
          <w:tcPr>
            <w:tcW w:w="140" w:type="dxa"/>
            <w:vAlign w:val="bottom"/>
          </w:tcPr>
          <w:p w14:paraId="6BFCB357" w14:textId="77777777" w:rsidR="00D1587D" w:rsidRDefault="00D1587D">
            <w:pPr>
              <w:rPr>
                <w:sz w:val="4"/>
                <w:szCs w:val="4"/>
              </w:rPr>
            </w:pPr>
          </w:p>
        </w:tc>
        <w:tc>
          <w:tcPr>
            <w:tcW w:w="100" w:type="dxa"/>
            <w:vAlign w:val="bottom"/>
          </w:tcPr>
          <w:p w14:paraId="5879148E" w14:textId="77777777" w:rsidR="00D1587D" w:rsidRDefault="00D1587D">
            <w:pPr>
              <w:rPr>
                <w:sz w:val="4"/>
                <w:szCs w:val="4"/>
              </w:rPr>
            </w:pPr>
          </w:p>
        </w:tc>
        <w:tc>
          <w:tcPr>
            <w:tcW w:w="120" w:type="dxa"/>
            <w:vAlign w:val="bottom"/>
          </w:tcPr>
          <w:p w14:paraId="3816607B" w14:textId="77777777" w:rsidR="00D1587D" w:rsidRDefault="00D1587D">
            <w:pPr>
              <w:rPr>
                <w:sz w:val="4"/>
                <w:szCs w:val="4"/>
              </w:rPr>
            </w:pPr>
          </w:p>
        </w:tc>
        <w:tc>
          <w:tcPr>
            <w:tcW w:w="500" w:type="dxa"/>
            <w:vAlign w:val="bottom"/>
          </w:tcPr>
          <w:p w14:paraId="4D8020CE" w14:textId="77777777" w:rsidR="00D1587D" w:rsidRDefault="00D1587D">
            <w:pPr>
              <w:rPr>
                <w:sz w:val="4"/>
                <w:szCs w:val="4"/>
              </w:rPr>
            </w:pPr>
          </w:p>
        </w:tc>
        <w:tc>
          <w:tcPr>
            <w:tcW w:w="120" w:type="dxa"/>
            <w:vAlign w:val="bottom"/>
          </w:tcPr>
          <w:p w14:paraId="47775BAC" w14:textId="77777777" w:rsidR="00D1587D" w:rsidRDefault="00D1587D">
            <w:pPr>
              <w:rPr>
                <w:sz w:val="4"/>
                <w:szCs w:val="4"/>
              </w:rPr>
            </w:pPr>
          </w:p>
        </w:tc>
        <w:tc>
          <w:tcPr>
            <w:tcW w:w="100" w:type="dxa"/>
            <w:vAlign w:val="bottom"/>
          </w:tcPr>
          <w:p w14:paraId="4904B159" w14:textId="77777777" w:rsidR="00D1587D" w:rsidRDefault="00D1587D">
            <w:pPr>
              <w:rPr>
                <w:sz w:val="4"/>
                <w:szCs w:val="4"/>
              </w:rPr>
            </w:pPr>
          </w:p>
        </w:tc>
        <w:tc>
          <w:tcPr>
            <w:tcW w:w="120" w:type="dxa"/>
            <w:vAlign w:val="bottom"/>
          </w:tcPr>
          <w:p w14:paraId="54147155" w14:textId="77777777" w:rsidR="00D1587D" w:rsidRDefault="00D1587D">
            <w:pPr>
              <w:rPr>
                <w:sz w:val="4"/>
                <w:szCs w:val="4"/>
              </w:rPr>
            </w:pPr>
          </w:p>
        </w:tc>
        <w:tc>
          <w:tcPr>
            <w:tcW w:w="100" w:type="dxa"/>
            <w:vAlign w:val="bottom"/>
          </w:tcPr>
          <w:p w14:paraId="2F4CA717" w14:textId="77777777" w:rsidR="00D1587D" w:rsidRDefault="00D1587D">
            <w:pPr>
              <w:rPr>
                <w:sz w:val="4"/>
                <w:szCs w:val="4"/>
              </w:rPr>
            </w:pPr>
          </w:p>
        </w:tc>
        <w:tc>
          <w:tcPr>
            <w:tcW w:w="380" w:type="dxa"/>
            <w:vAlign w:val="bottom"/>
          </w:tcPr>
          <w:p w14:paraId="2AB2F5B3" w14:textId="77777777" w:rsidR="00D1587D" w:rsidRDefault="00D1587D">
            <w:pPr>
              <w:rPr>
                <w:sz w:val="4"/>
                <w:szCs w:val="4"/>
              </w:rPr>
            </w:pPr>
          </w:p>
        </w:tc>
        <w:tc>
          <w:tcPr>
            <w:tcW w:w="20" w:type="dxa"/>
            <w:vAlign w:val="bottom"/>
          </w:tcPr>
          <w:p w14:paraId="2E888D6C" w14:textId="77777777" w:rsidR="00D1587D" w:rsidRDefault="00D1587D">
            <w:pPr>
              <w:rPr>
                <w:sz w:val="4"/>
                <w:szCs w:val="4"/>
              </w:rPr>
            </w:pPr>
          </w:p>
        </w:tc>
        <w:tc>
          <w:tcPr>
            <w:tcW w:w="140" w:type="dxa"/>
            <w:vAlign w:val="bottom"/>
          </w:tcPr>
          <w:p w14:paraId="47A64751" w14:textId="77777777" w:rsidR="00D1587D" w:rsidRDefault="00D1587D">
            <w:pPr>
              <w:rPr>
                <w:sz w:val="4"/>
                <w:szCs w:val="4"/>
              </w:rPr>
            </w:pPr>
          </w:p>
        </w:tc>
      </w:tr>
      <w:tr w:rsidR="00D1587D" w14:paraId="247A3299" w14:textId="77777777">
        <w:trPr>
          <w:trHeight w:val="304"/>
        </w:trPr>
        <w:tc>
          <w:tcPr>
            <w:tcW w:w="5960" w:type="dxa"/>
            <w:tcBorders>
              <w:bottom w:val="single" w:sz="8" w:space="0" w:color="CCEEFF"/>
            </w:tcBorders>
            <w:shd w:val="clear" w:color="auto" w:fill="CCEEFF"/>
            <w:vAlign w:val="bottom"/>
          </w:tcPr>
          <w:p w14:paraId="28946924" w14:textId="77777777" w:rsidR="00D1587D" w:rsidRDefault="00410D07">
            <w:pPr>
              <w:ind w:left="180"/>
              <w:rPr>
                <w:sz w:val="20"/>
                <w:szCs w:val="20"/>
              </w:rPr>
            </w:pPr>
            <w:r>
              <w:rPr>
                <w:rFonts w:ascii="Arial" w:eastAsia="Arial" w:hAnsi="Arial" w:cs="Arial"/>
                <w:sz w:val="18"/>
                <w:szCs w:val="18"/>
              </w:rPr>
              <w:t>Prepaid Expenses</w:t>
            </w:r>
          </w:p>
        </w:tc>
        <w:tc>
          <w:tcPr>
            <w:tcW w:w="120" w:type="dxa"/>
            <w:tcBorders>
              <w:bottom w:val="single" w:sz="8" w:space="0" w:color="CCEEFF"/>
            </w:tcBorders>
            <w:shd w:val="clear" w:color="auto" w:fill="CCEEFF"/>
            <w:vAlign w:val="bottom"/>
          </w:tcPr>
          <w:p w14:paraId="60924C2A"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780C90A"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52AD600B" w14:textId="77777777" w:rsidR="00D1587D" w:rsidRDefault="00410D07">
            <w:pPr>
              <w:jc w:val="right"/>
              <w:rPr>
                <w:sz w:val="20"/>
                <w:szCs w:val="20"/>
              </w:rPr>
            </w:pPr>
            <w:r>
              <w:rPr>
                <w:rFonts w:ascii="Arial" w:eastAsia="Arial" w:hAnsi="Arial" w:cs="Arial"/>
                <w:sz w:val="18"/>
                <w:szCs w:val="18"/>
              </w:rPr>
              <w:t>39</w:t>
            </w:r>
          </w:p>
        </w:tc>
        <w:tc>
          <w:tcPr>
            <w:tcW w:w="140" w:type="dxa"/>
            <w:tcBorders>
              <w:bottom w:val="single" w:sz="8" w:space="0" w:color="CCEEFF"/>
            </w:tcBorders>
            <w:shd w:val="clear" w:color="auto" w:fill="CCEEFF"/>
            <w:vAlign w:val="bottom"/>
          </w:tcPr>
          <w:p w14:paraId="604A76E9" w14:textId="77777777" w:rsidR="00D1587D" w:rsidRDefault="00D1587D">
            <w:pPr>
              <w:rPr>
                <w:sz w:val="24"/>
                <w:szCs w:val="24"/>
              </w:rPr>
            </w:pPr>
          </w:p>
        </w:tc>
        <w:tc>
          <w:tcPr>
            <w:tcW w:w="100" w:type="dxa"/>
            <w:tcBorders>
              <w:bottom w:val="single" w:sz="8" w:space="0" w:color="CCEEFF"/>
            </w:tcBorders>
            <w:shd w:val="clear" w:color="auto" w:fill="CCEEFF"/>
            <w:vAlign w:val="bottom"/>
          </w:tcPr>
          <w:p w14:paraId="23C0BE95"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345C3039" w14:textId="77777777" w:rsidR="00D1587D" w:rsidRDefault="00410D07">
            <w:pPr>
              <w:jc w:val="right"/>
              <w:rPr>
                <w:sz w:val="20"/>
                <w:szCs w:val="20"/>
              </w:rPr>
            </w:pPr>
            <w:r>
              <w:rPr>
                <w:rFonts w:ascii="Arial" w:eastAsia="Arial" w:hAnsi="Arial" w:cs="Arial"/>
                <w:sz w:val="18"/>
                <w:szCs w:val="18"/>
              </w:rPr>
              <w:t>26</w:t>
            </w:r>
          </w:p>
        </w:tc>
        <w:tc>
          <w:tcPr>
            <w:tcW w:w="120" w:type="dxa"/>
            <w:tcBorders>
              <w:bottom w:val="single" w:sz="8" w:space="0" w:color="CCEEFF"/>
            </w:tcBorders>
            <w:shd w:val="clear" w:color="auto" w:fill="CCEEFF"/>
            <w:vAlign w:val="bottom"/>
          </w:tcPr>
          <w:p w14:paraId="4FB2C93B"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8DEC410" w14:textId="77777777" w:rsidR="00D1587D" w:rsidRDefault="00D1587D">
            <w:pPr>
              <w:rPr>
                <w:sz w:val="24"/>
                <w:szCs w:val="24"/>
              </w:rPr>
            </w:pPr>
          </w:p>
        </w:tc>
        <w:tc>
          <w:tcPr>
            <w:tcW w:w="120" w:type="dxa"/>
            <w:tcBorders>
              <w:bottom w:val="single" w:sz="8" w:space="0" w:color="CCEEFF"/>
            </w:tcBorders>
            <w:shd w:val="clear" w:color="auto" w:fill="CCEEFF"/>
            <w:vAlign w:val="bottom"/>
          </w:tcPr>
          <w:p w14:paraId="3514554E"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81973B7"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33792047" w14:textId="77777777" w:rsidR="00D1587D" w:rsidRDefault="00410D07">
            <w:pPr>
              <w:jc w:val="right"/>
              <w:rPr>
                <w:sz w:val="20"/>
                <w:szCs w:val="20"/>
              </w:rPr>
            </w:pPr>
            <w:r>
              <w:rPr>
                <w:rFonts w:ascii="Arial" w:eastAsia="Arial" w:hAnsi="Arial" w:cs="Arial"/>
                <w:sz w:val="18"/>
                <w:szCs w:val="18"/>
              </w:rPr>
              <w:t>22</w:t>
            </w:r>
          </w:p>
        </w:tc>
        <w:tc>
          <w:tcPr>
            <w:tcW w:w="140" w:type="dxa"/>
            <w:tcBorders>
              <w:bottom w:val="single" w:sz="8" w:space="0" w:color="CCEEFF"/>
            </w:tcBorders>
            <w:shd w:val="clear" w:color="auto" w:fill="CCEEFF"/>
            <w:vAlign w:val="bottom"/>
          </w:tcPr>
          <w:p w14:paraId="48D813BE" w14:textId="77777777" w:rsidR="00D1587D" w:rsidRDefault="00D1587D">
            <w:pPr>
              <w:rPr>
                <w:sz w:val="24"/>
                <w:szCs w:val="24"/>
              </w:rPr>
            </w:pPr>
          </w:p>
        </w:tc>
      </w:tr>
      <w:tr w:rsidR="00D1587D" w14:paraId="7D318984" w14:textId="77777777">
        <w:trPr>
          <w:trHeight w:val="257"/>
        </w:trPr>
        <w:tc>
          <w:tcPr>
            <w:tcW w:w="5960" w:type="dxa"/>
            <w:vAlign w:val="bottom"/>
          </w:tcPr>
          <w:p w14:paraId="7EF3D180" w14:textId="77777777" w:rsidR="00D1587D" w:rsidRDefault="00410D07">
            <w:pPr>
              <w:ind w:left="180"/>
              <w:rPr>
                <w:sz w:val="20"/>
                <w:szCs w:val="20"/>
              </w:rPr>
            </w:pPr>
            <w:r>
              <w:rPr>
                <w:rFonts w:ascii="Arial" w:eastAsia="Arial" w:hAnsi="Arial" w:cs="Arial"/>
                <w:sz w:val="18"/>
                <w:szCs w:val="18"/>
              </w:rPr>
              <w:t>Other</w:t>
            </w:r>
          </w:p>
        </w:tc>
        <w:tc>
          <w:tcPr>
            <w:tcW w:w="120" w:type="dxa"/>
            <w:vAlign w:val="bottom"/>
          </w:tcPr>
          <w:p w14:paraId="6AB904FF" w14:textId="77777777" w:rsidR="00D1587D" w:rsidRDefault="00D1587D"/>
        </w:tc>
        <w:tc>
          <w:tcPr>
            <w:tcW w:w="100" w:type="dxa"/>
            <w:vAlign w:val="bottom"/>
          </w:tcPr>
          <w:p w14:paraId="5701A13F" w14:textId="77777777" w:rsidR="00D1587D" w:rsidRDefault="00D1587D"/>
        </w:tc>
        <w:tc>
          <w:tcPr>
            <w:tcW w:w="400" w:type="dxa"/>
            <w:gridSpan w:val="2"/>
            <w:vAlign w:val="bottom"/>
          </w:tcPr>
          <w:p w14:paraId="7493DC54" w14:textId="77777777" w:rsidR="00D1587D" w:rsidRDefault="00410D07">
            <w:pPr>
              <w:jc w:val="right"/>
              <w:rPr>
                <w:sz w:val="20"/>
                <w:szCs w:val="20"/>
              </w:rPr>
            </w:pPr>
            <w:r>
              <w:rPr>
                <w:rFonts w:ascii="Arial" w:eastAsia="Arial" w:hAnsi="Arial" w:cs="Arial"/>
                <w:sz w:val="18"/>
                <w:szCs w:val="18"/>
              </w:rPr>
              <w:t>54</w:t>
            </w:r>
          </w:p>
        </w:tc>
        <w:tc>
          <w:tcPr>
            <w:tcW w:w="140" w:type="dxa"/>
            <w:vAlign w:val="bottom"/>
          </w:tcPr>
          <w:p w14:paraId="677878AD" w14:textId="77777777" w:rsidR="00D1587D" w:rsidRDefault="00D1587D"/>
        </w:tc>
        <w:tc>
          <w:tcPr>
            <w:tcW w:w="100" w:type="dxa"/>
            <w:vAlign w:val="bottom"/>
          </w:tcPr>
          <w:p w14:paraId="13BA6FEC" w14:textId="77777777" w:rsidR="00D1587D" w:rsidRDefault="00D1587D"/>
        </w:tc>
        <w:tc>
          <w:tcPr>
            <w:tcW w:w="620" w:type="dxa"/>
            <w:gridSpan w:val="2"/>
            <w:vAlign w:val="bottom"/>
          </w:tcPr>
          <w:p w14:paraId="726479DD" w14:textId="77777777" w:rsidR="00D1587D" w:rsidRDefault="00410D07">
            <w:pPr>
              <w:jc w:val="right"/>
              <w:rPr>
                <w:sz w:val="20"/>
                <w:szCs w:val="20"/>
              </w:rPr>
            </w:pPr>
            <w:r>
              <w:rPr>
                <w:rFonts w:ascii="Arial" w:eastAsia="Arial" w:hAnsi="Arial" w:cs="Arial"/>
                <w:sz w:val="18"/>
                <w:szCs w:val="18"/>
              </w:rPr>
              <w:t>56</w:t>
            </w:r>
          </w:p>
        </w:tc>
        <w:tc>
          <w:tcPr>
            <w:tcW w:w="120" w:type="dxa"/>
            <w:vAlign w:val="bottom"/>
          </w:tcPr>
          <w:p w14:paraId="13A3F7EB" w14:textId="77777777" w:rsidR="00D1587D" w:rsidRDefault="00D1587D"/>
        </w:tc>
        <w:tc>
          <w:tcPr>
            <w:tcW w:w="100" w:type="dxa"/>
            <w:vAlign w:val="bottom"/>
          </w:tcPr>
          <w:p w14:paraId="146AA3C0" w14:textId="77777777" w:rsidR="00D1587D" w:rsidRDefault="00D1587D"/>
        </w:tc>
        <w:tc>
          <w:tcPr>
            <w:tcW w:w="120" w:type="dxa"/>
            <w:vAlign w:val="bottom"/>
          </w:tcPr>
          <w:p w14:paraId="5A18CB20" w14:textId="77777777" w:rsidR="00D1587D" w:rsidRDefault="00D1587D"/>
        </w:tc>
        <w:tc>
          <w:tcPr>
            <w:tcW w:w="100" w:type="dxa"/>
            <w:vAlign w:val="bottom"/>
          </w:tcPr>
          <w:p w14:paraId="04356451" w14:textId="77777777" w:rsidR="00D1587D" w:rsidRDefault="00D1587D"/>
        </w:tc>
        <w:tc>
          <w:tcPr>
            <w:tcW w:w="400" w:type="dxa"/>
            <w:gridSpan w:val="2"/>
            <w:vAlign w:val="bottom"/>
          </w:tcPr>
          <w:p w14:paraId="0F563B2A" w14:textId="77777777" w:rsidR="00D1587D" w:rsidRDefault="00410D07">
            <w:pPr>
              <w:jc w:val="right"/>
              <w:rPr>
                <w:sz w:val="20"/>
                <w:szCs w:val="20"/>
              </w:rPr>
            </w:pPr>
            <w:r>
              <w:rPr>
                <w:rFonts w:ascii="Arial" w:eastAsia="Arial" w:hAnsi="Arial" w:cs="Arial"/>
                <w:sz w:val="18"/>
                <w:szCs w:val="18"/>
              </w:rPr>
              <w:t>74</w:t>
            </w:r>
          </w:p>
        </w:tc>
        <w:tc>
          <w:tcPr>
            <w:tcW w:w="140" w:type="dxa"/>
            <w:vAlign w:val="bottom"/>
          </w:tcPr>
          <w:p w14:paraId="7A287586" w14:textId="77777777" w:rsidR="00D1587D" w:rsidRDefault="00D1587D"/>
        </w:tc>
      </w:tr>
      <w:tr w:rsidR="00D1587D" w14:paraId="13F68739" w14:textId="77777777">
        <w:trPr>
          <w:trHeight w:val="61"/>
        </w:trPr>
        <w:tc>
          <w:tcPr>
            <w:tcW w:w="5960" w:type="dxa"/>
            <w:vAlign w:val="bottom"/>
          </w:tcPr>
          <w:p w14:paraId="70758642" w14:textId="77777777" w:rsidR="00D1587D" w:rsidRDefault="00D1587D">
            <w:pPr>
              <w:rPr>
                <w:sz w:val="5"/>
                <w:szCs w:val="5"/>
              </w:rPr>
            </w:pPr>
          </w:p>
        </w:tc>
        <w:tc>
          <w:tcPr>
            <w:tcW w:w="120" w:type="dxa"/>
            <w:vAlign w:val="bottom"/>
          </w:tcPr>
          <w:p w14:paraId="67AC952D" w14:textId="77777777" w:rsidR="00D1587D" w:rsidRDefault="00D1587D">
            <w:pPr>
              <w:rPr>
                <w:sz w:val="5"/>
                <w:szCs w:val="5"/>
              </w:rPr>
            </w:pPr>
          </w:p>
        </w:tc>
        <w:tc>
          <w:tcPr>
            <w:tcW w:w="100" w:type="dxa"/>
            <w:tcBorders>
              <w:top w:val="single" w:sz="8" w:space="0" w:color="auto"/>
            </w:tcBorders>
            <w:vAlign w:val="bottom"/>
          </w:tcPr>
          <w:p w14:paraId="62E3BB48" w14:textId="77777777" w:rsidR="00D1587D" w:rsidRDefault="00D1587D">
            <w:pPr>
              <w:rPr>
                <w:sz w:val="5"/>
                <w:szCs w:val="5"/>
              </w:rPr>
            </w:pPr>
          </w:p>
        </w:tc>
        <w:tc>
          <w:tcPr>
            <w:tcW w:w="380" w:type="dxa"/>
            <w:tcBorders>
              <w:top w:val="single" w:sz="8" w:space="0" w:color="auto"/>
            </w:tcBorders>
            <w:vAlign w:val="bottom"/>
          </w:tcPr>
          <w:p w14:paraId="5594B47D" w14:textId="77777777" w:rsidR="00D1587D" w:rsidRDefault="00D1587D">
            <w:pPr>
              <w:rPr>
                <w:sz w:val="5"/>
                <w:szCs w:val="5"/>
              </w:rPr>
            </w:pPr>
          </w:p>
        </w:tc>
        <w:tc>
          <w:tcPr>
            <w:tcW w:w="20" w:type="dxa"/>
            <w:tcBorders>
              <w:top w:val="single" w:sz="8" w:space="0" w:color="auto"/>
            </w:tcBorders>
            <w:vAlign w:val="bottom"/>
          </w:tcPr>
          <w:p w14:paraId="44DCF880" w14:textId="77777777" w:rsidR="00D1587D" w:rsidRDefault="00D1587D">
            <w:pPr>
              <w:rPr>
                <w:sz w:val="5"/>
                <w:szCs w:val="5"/>
              </w:rPr>
            </w:pPr>
          </w:p>
        </w:tc>
        <w:tc>
          <w:tcPr>
            <w:tcW w:w="140" w:type="dxa"/>
            <w:vAlign w:val="bottom"/>
          </w:tcPr>
          <w:p w14:paraId="6C361F36" w14:textId="77777777" w:rsidR="00D1587D" w:rsidRDefault="00D1587D">
            <w:pPr>
              <w:rPr>
                <w:sz w:val="5"/>
                <w:szCs w:val="5"/>
              </w:rPr>
            </w:pPr>
          </w:p>
        </w:tc>
        <w:tc>
          <w:tcPr>
            <w:tcW w:w="100" w:type="dxa"/>
            <w:vAlign w:val="bottom"/>
          </w:tcPr>
          <w:p w14:paraId="73585D37" w14:textId="77777777" w:rsidR="00D1587D" w:rsidRDefault="00D1587D">
            <w:pPr>
              <w:rPr>
                <w:sz w:val="5"/>
                <w:szCs w:val="5"/>
              </w:rPr>
            </w:pPr>
          </w:p>
        </w:tc>
        <w:tc>
          <w:tcPr>
            <w:tcW w:w="120" w:type="dxa"/>
            <w:vAlign w:val="bottom"/>
          </w:tcPr>
          <w:p w14:paraId="1FFCF7E6" w14:textId="77777777" w:rsidR="00D1587D" w:rsidRDefault="00D1587D">
            <w:pPr>
              <w:rPr>
                <w:sz w:val="5"/>
                <w:szCs w:val="5"/>
              </w:rPr>
            </w:pPr>
          </w:p>
        </w:tc>
        <w:tc>
          <w:tcPr>
            <w:tcW w:w="500" w:type="dxa"/>
            <w:tcBorders>
              <w:top w:val="single" w:sz="8" w:space="0" w:color="auto"/>
            </w:tcBorders>
            <w:vAlign w:val="bottom"/>
          </w:tcPr>
          <w:p w14:paraId="46BF0234" w14:textId="77777777" w:rsidR="00D1587D" w:rsidRDefault="00D1587D">
            <w:pPr>
              <w:rPr>
                <w:sz w:val="5"/>
                <w:szCs w:val="5"/>
              </w:rPr>
            </w:pPr>
          </w:p>
        </w:tc>
        <w:tc>
          <w:tcPr>
            <w:tcW w:w="120" w:type="dxa"/>
            <w:vAlign w:val="bottom"/>
          </w:tcPr>
          <w:p w14:paraId="28C461F4" w14:textId="77777777" w:rsidR="00D1587D" w:rsidRDefault="00D1587D">
            <w:pPr>
              <w:rPr>
                <w:sz w:val="5"/>
                <w:szCs w:val="5"/>
              </w:rPr>
            </w:pPr>
          </w:p>
        </w:tc>
        <w:tc>
          <w:tcPr>
            <w:tcW w:w="100" w:type="dxa"/>
            <w:vAlign w:val="bottom"/>
          </w:tcPr>
          <w:p w14:paraId="10EE980C" w14:textId="77777777" w:rsidR="00D1587D" w:rsidRDefault="00D1587D">
            <w:pPr>
              <w:rPr>
                <w:sz w:val="5"/>
                <w:szCs w:val="5"/>
              </w:rPr>
            </w:pPr>
          </w:p>
        </w:tc>
        <w:tc>
          <w:tcPr>
            <w:tcW w:w="120" w:type="dxa"/>
            <w:vAlign w:val="bottom"/>
          </w:tcPr>
          <w:p w14:paraId="2C4BC600" w14:textId="77777777" w:rsidR="00D1587D" w:rsidRDefault="00D1587D">
            <w:pPr>
              <w:rPr>
                <w:sz w:val="5"/>
                <w:szCs w:val="5"/>
              </w:rPr>
            </w:pPr>
          </w:p>
        </w:tc>
        <w:tc>
          <w:tcPr>
            <w:tcW w:w="100" w:type="dxa"/>
            <w:tcBorders>
              <w:top w:val="single" w:sz="8" w:space="0" w:color="auto"/>
            </w:tcBorders>
            <w:vAlign w:val="bottom"/>
          </w:tcPr>
          <w:p w14:paraId="71F7A5F8" w14:textId="77777777" w:rsidR="00D1587D" w:rsidRDefault="00D1587D">
            <w:pPr>
              <w:rPr>
                <w:sz w:val="5"/>
                <w:szCs w:val="5"/>
              </w:rPr>
            </w:pPr>
          </w:p>
        </w:tc>
        <w:tc>
          <w:tcPr>
            <w:tcW w:w="380" w:type="dxa"/>
            <w:tcBorders>
              <w:top w:val="single" w:sz="8" w:space="0" w:color="auto"/>
            </w:tcBorders>
            <w:vAlign w:val="bottom"/>
          </w:tcPr>
          <w:p w14:paraId="44A70F3C" w14:textId="77777777" w:rsidR="00D1587D" w:rsidRDefault="00D1587D">
            <w:pPr>
              <w:rPr>
                <w:sz w:val="5"/>
                <w:szCs w:val="5"/>
              </w:rPr>
            </w:pPr>
          </w:p>
        </w:tc>
        <w:tc>
          <w:tcPr>
            <w:tcW w:w="20" w:type="dxa"/>
            <w:tcBorders>
              <w:top w:val="single" w:sz="8" w:space="0" w:color="auto"/>
            </w:tcBorders>
            <w:vAlign w:val="bottom"/>
          </w:tcPr>
          <w:p w14:paraId="58003940" w14:textId="77777777" w:rsidR="00D1587D" w:rsidRDefault="00D1587D">
            <w:pPr>
              <w:rPr>
                <w:sz w:val="5"/>
                <w:szCs w:val="5"/>
              </w:rPr>
            </w:pPr>
          </w:p>
        </w:tc>
        <w:tc>
          <w:tcPr>
            <w:tcW w:w="140" w:type="dxa"/>
            <w:vAlign w:val="bottom"/>
          </w:tcPr>
          <w:p w14:paraId="1BA13EE5" w14:textId="77777777" w:rsidR="00D1587D" w:rsidRDefault="00D1587D">
            <w:pPr>
              <w:rPr>
                <w:sz w:val="5"/>
                <w:szCs w:val="5"/>
              </w:rPr>
            </w:pPr>
          </w:p>
        </w:tc>
      </w:tr>
      <w:tr w:rsidR="00D1587D" w14:paraId="3AAEB718" w14:textId="77777777">
        <w:trPr>
          <w:trHeight w:val="318"/>
        </w:trPr>
        <w:tc>
          <w:tcPr>
            <w:tcW w:w="5960" w:type="dxa"/>
            <w:tcBorders>
              <w:bottom w:val="single" w:sz="8" w:space="0" w:color="CCEEFF"/>
            </w:tcBorders>
            <w:shd w:val="clear" w:color="auto" w:fill="CCEEFF"/>
            <w:vAlign w:val="bottom"/>
          </w:tcPr>
          <w:p w14:paraId="73AE59BD" w14:textId="77777777" w:rsidR="00D1587D" w:rsidRDefault="00410D07">
            <w:pPr>
              <w:rPr>
                <w:sz w:val="20"/>
                <w:szCs w:val="20"/>
              </w:rPr>
            </w:pPr>
            <w:r>
              <w:rPr>
                <w:rFonts w:ascii="Arial" w:eastAsia="Arial" w:hAnsi="Arial" w:cs="Arial"/>
                <w:b/>
                <w:bCs/>
                <w:sz w:val="18"/>
                <w:szCs w:val="18"/>
              </w:rPr>
              <w:t>Total Current Assets</w:t>
            </w:r>
          </w:p>
        </w:tc>
        <w:tc>
          <w:tcPr>
            <w:tcW w:w="620" w:type="dxa"/>
            <w:gridSpan w:val="4"/>
            <w:tcBorders>
              <w:bottom w:val="single" w:sz="8" w:space="0" w:color="CCEEFF"/>
            </w:tcBorders>
            <w:shd w:val="clear" w:color="auto" w:fill="CCEEFF"/>
            <w:vAlign w:val="bottom"/>
          </w:tcPr>
          <w:p w14:paraId="02B5A52B" w14:textId="77777777" w:rsidR="00D1587D" w:rsidRDefault="00410D07">
            <w:pPr>
              <w:ind w:right="20"/>
              <w:jc w:val="right"/>
              <w:rPr>
                <w:sz w:val="20"/>
                <w:szCs w:val="20"/>
              </w:rPr>
            </w:pPr>
            <w:r>
              <w:rPr>
                <w:rFonts w:ascii="Arial" w:eastAsia="Arial" w:hAnsi="Arial" w:cs="Arial"/>
                <w:sz w:val="18"/>
                <w:szCs w:val="18"/>
              </w:rPr>
              <w:t>1,299</w:t>
            </w:r>
          </w:p>
        </w:tc>
        <w:tc>
          <w:tcPr>
            <w:tcW w:w="140" w:type="dxa"/>
            <w:tcBorders>
              <w:bottom w:val="single" w:sz="8" w:space="0" w:color="CCEEFF"/>
            </w:tcBorders>
            <w:shd w:val="clear" w:color="auto" w:fill="CCEEFF"/>
            <w:vAlign w:val="bottom"/>
          </w:tcPr>
          <w:p w14:paraId="0D8E1FB1" w14:textId="77777777" w:rsidR="00D1587D" w:rsidRDefault="00D1587D">
            <w:pPr>
              <w:rPr>
                <w:sz w:val="24"/>
                <w:szCs w:val="24"/>
              </w:rPr>
            </w:pPr>
          </w:p>
        </w:tc>
        <w:tc>
          <w:tcPr>
            <w:tcW w:w="100" w:type="dxa"/>
            <w:tcBorders>
              <w:bottom w:val="single" w:sz="8" w:space="0" w:color="CCEEFF"/>
            </w:tcBorders>
            <w:shd w:val="clear" w:color="auto" w:fill="CCEEFF"/>
            <w:vAlign w:val="bottom"/>
          </w:tcPr>
          <w:p w14:paraId="20627E34"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7D906482" w14:textId="77777777" w:rsidR="00D1587D" w:rsidRDefault="00410D07">
            <w:pPr>
              <w:jc w:val="right"/>
              <w:rPr>
                <w:sz w:val="20"/>
                <w:szCs w:val="20"/>
              </w:rPr>
            </w:pPr>
            <w:r>
              <w:rPr>
                <w:rFonts w:ascii="Arial" w:eastAsia="Arial" w:hAnsi="Arial" w:cs="Arial"/>
                <w:sz w:val="18"/>
                <w:szCs w:val="18"/>
              </w:rPr>
              <w:t>1,239</w:t>
            </w:r>
          </w:p>
        </w:tc>
        <w:tc>
          <w:tcPr>
            <w:tcW w:w="120" w:type="dxa"/>
            <w:tcBorders>
              <w:bottom w:val="single" w:sz="8" w:space="0" w:color="CCEEFF"/>
            </w:tcBorders>
            <w:shd w:val="clear" w:color="auto" w:fill="CCEEFF"/>
            <w:vAlign w:val="bottom"/>
          </w:tcPr>
          <w:p w14:paraId="276CC457"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2B513DA" w14:textId="77777777" w:rsidR="00D1587D" w:rsidRDefault="00D1587D">
            <w:pPr>
              <w:rPr>
                <w:sz w:val="24"/>
                <w:szCs w:val="24"/>
              </w:rPr>
            </w:pPr>
          </w:p>
        </w:tc>
        <w:tc>
          <w:tcPr>
            <w:tcW w:w="620" w:type="dxa"/>
            <w:gridSpan w:val="4"/>
            <w:tcBorders>
              <w:bottom w:val="single" w:sz="8" w:space="0" w:color="CCEEFF"/>
            </w:tcBorders>
            <w:shd w:val="clear" w:color="auto" w:fill="CCEEFF"/>
            <w:vAlign w:val="bottom"/>
          </w:tcPr>
          <w:p w14:paraId="47C7484B" w14:textId="77777777" w:rsidR="00D1587D" w:rsidRDefault="00410D07">
            <w:pPr>
              <w:jc w:val="right"/>
              <w:rPr>
                <w:sz w:val="20"/>
                <w:szCs w:val="20"/>
              </w:rPr>
            </w:pPr>
            <w:r>
              <w:rPr>
                <w:rFonts w:ascii="Arial" w:eastAsia="Arial" w:hAnsi="Arial" w:cs="Arial"/>
                <w:sz w:val="18"/>
                <w:szCs w:val="18"/>
              </w:rPr>
              <w:t>1,356</w:t>
            </w:r>
          </w:p>
        </w:tc>
        <w:tc>
          <w:tcPr>
            <w:tcW w:w="140" w:type="dxa"/>
            <w:tcBorders>
              <w:bottom w:val="single" w:sz="8" w:space="0" w:color="CCEEFF"/>
            </w:tcBorders>
            <w:shd w:val="clear" w:color="auto" w:fill="CCEEFF"/>
            <w:vAlign w:val="bottom"/>
          </w:tcPr>
          <w:p w14:paraId="432D44A1" w14:textId="77777777" w:rsidR="00D1587D" w:rsidRDefault="00D1587D">
            <w:pPr>
              <w:rPr>
                <w:sz w:val="24"/>
                <w:szCs w:val="24"/>
              </w:rPr>
            </w:pPr>
          </w:p>
        </w:tc>
      </w:tr>
      <w:tr w:rsidR="00D1587D" w14:paraId="312F00AA" w14:textId="77777777">
        <w:trPr>
          <w:trHeight w:val="270"/>
        </w:trPr>
        <w:tc>
          <w:tcPr>
            <w:tcW w:w="5960" w:type="dxa"/>
            <w:vAlign w:val="bottom"/>
          </w:tcPr>
          <w:p w14:paraId="5BB2EF0E" w14:textId="77777777" w:rsidR="00D1587D" w:rsidRDefault="00410D07">
            <w:pPr>
              <w:rPr>
                <w:sz w:val="20"/>
                <w:szCs w:val="20"/>
              </w:rPr>
            </w:pPr>
            <w:r>
              <w:rPr>
                <w:rFonts w:ascii="Arial" w:eastAsia="Arial" w:hAnsi="Arial" w:cs="Arial"/>
                <w:sz w:val="18"/>
                <w:szCs w:val="18"/>
              </w:rPr>
              <w:t>Property and Equipment, Net</w:t>
            </w:r>
          </w:p>
        </w:tc>
        <w:tc>
          <w:tcPr>
            <w:tcW w:w="620" w:type="dxa"/>
            <w:gridSpan w:val="4"/>
            <w:vAlign w:val="bottom"/>
          </w:tcPr>
          <w:p w14:paraId="7A89D608" w14:textId="77777777" w:rsidR="00D1587D" w:rsidRDefault="00410D07">
            <w:pPr>
              <w:ind w:right="20"/>
              <w:jc w:val="right"/>
              <w:rPr>
                <w:sz w:val="20"/>
                <w:szCs w:val="20"/>
              </w:rPr>
            </w:pPr>
            <w:r>
              <w:rPr>
                <w:rFonts w:ascii="Arial" w:eastAsia="Arial" w:hAnsi="Arial" w:cs="Arial"/>
                <w:sz w:val="18"/>
                <w:szCs w:val="18"/>
              </w:rPr>
              <w:t>1,036</w:t>
            </w:r>
          </w:p>
        </w:tc>
        <w:tc>
          <w:tcPr>
            <w:tcW w:w="140" w:type="dxa"/>
            <w:vAlign w:val="bottom"/>
          </w:tcPr>
          <w:p w14:paraId="14E4EAF8" w14:textId="77777777" w:rsidR="00D1587D" w:rsidRDefault="00D1587D">
            <w:pPr>
              <w:rPr>
                <w:sz w:val="23"/>
                <w:szCs w:val="23"/>
              </w:rPr>
            </w:pPr>
          </w:p>
        </w:tc>
        <w:tc>
          <w:tcPr>
            <w:tcW w:w="100" w:type="dxa"/>
            <w:vAlign w:val="bottom"/>
          </w:tcPr>
          <w:p w14:paraId="2D16DB86" w14:textId="77777777" w:rsidR="00D1587D" w:rsidRDefault="00D1587D">
            <w:pPr>
              <w:rPr>
                <w:sz w:val="23"/>
                <w:szCs w:val="23"/>
              </w:rPr>
            </w:pPr>
          </w:p>
        </w:tc>
        <w:tc>
          <w:tcPr>
            <w:tcW w:w="620" w:type="dxa"/>
            <w:gridSpan w:val="2"/>
            <w:vAlign w:val="bottom"/>
          </w:tcPr>
          <w:p w14:paraId="60F07CB1" w14:textId="77777777" w:rsidR="00D1587D" w:rsidRDefault="00410D07">
            <w:pPr>
              <w:jc w:val="right"/>
              <w:rPr>
                <w:sz w:val="20"/>
                <w:szCs w:val="20"/>
              </w:rPr>
            </w:pPr>
            <w:r>
              <w:rPr>
                <w:rFonts w:ascii="Arial" w:eastAsia="Arial" w:hAnsi="Arial" w:cs="Arial"/>
                <w:sz w:val="18"/>
                <w:szCs w:val="18"/>
              </w:rPr>
              <w:t>1,078</w:t>
            </w:r>
          </w:p>
        </w:tc>
        <w:tc>
          <w:tcPr>
            <w:tcW w:w="120" w:type="dxa"/>
            <w:vAlign w:val="bottom"/>
          </w:tcPr>
          <w:p w14:paraId="04EC8A6A" w14:textId="77777777" w:rsidR="00D1587D" w:rsidRDefault="00D1587D">
            <w:pPr>
              <w:rPr>
                <w:sz w:val="23"/>
                <w:szCs w:val="23"/>
              </w:rPr>
            </w:pPr>
          </w:p>
        </w:tc>
        <w:tc>
          <w:tcPr>
            <w:tcW w:w="100" w:type="dxa"/>
            <w:vAlign w:val="bottom"/>
          </w:tcPr>
          <w:p w14:paraId="0186BE82" w14:textId="77777777" w:rsidR="00D1587D" w:rsidRDefault="00D1587D">
            <w:pPr>
              <w:rPr>
                <w:sz w:val="23"/>
                <w:szCs w:val="23"/>
              </w:rPr>
            </w:pPr>
          </w:p>
        </w:tc>
        <w:tc>
          <w:tcPr>
            <w:tcW w:w="620" w:type="dxa"/>
            <w:gridSpan w:val="4"/>
            <w:vAlign w:val="bottom"/>
          </w:tcPr>
          <w:p w14:paraId="294724F8" w14:textId="77777777" w:rsidR="00D1587D" w:rsidRDefault="00410D07">
            <w:pPr>
              <w:jc w:val="right"/>
              <w:rPr>
                <w:sz w:val="20"/>
                <w:szCs w:val="20"/>
              </w:rPr>
            </w:pPr>
            <w:r>
              <w:rPr>
                <w:rFonts w:ascii="Arial" w:eastAsia="Arial" w:hAnsi="Arial" w:cs="Arial"/>
                <w:sz w:val="18"/>
                <w:szCs w:val="18"/>
              </w:rPr>
              <w:t>1,260</w:t>
            </w:r>
          </w:p>
        </w:tc>
        <w:tc>
          <w:tcPr>
            <w:tcW w:w="140" w:type="dxa"/>
            <w:vAlign w:val="bottom"/>
          </w:tcPr>
          <w:p w14:paraId="29620A39" w14:textId="77777777" w:rsidR="00D1587D" w:rsidRDefault="00D1587D">
            <w:pPr>
              <w:rPr>
                <w:sz w:val="23"/>
                <w:szCs w:val="23"/>
              </w:rPr>
            </w:pPr>
          </w:p>
        </w:tc>
      </w:tr>
      <w:tr w:rsidR="00D1587D" w14:paraId="46449FA3" w14:textId="77777777">
        <w:trPr>
          <w:trHeight w:val="54"/>
        </w:trPr>
        <w:tc>
          <w:tcPr>
            <w:tcW w:w="5960" w:type="dxa"/>
            <w:vAlign w:val="bottom"/>
          </w:tcPr>
          <w:p w14:paraId="733954AE" w14:textId="77777777" w:rsidR="00D1587D" w:rsidRDefault="00D1587D">
            <w:pPr>
              <w:rPr>
                <w:sz w:val="4"/>
                <w:szCs w:val="4"/>
              </w:rPr>
            </w:pPr>
          </w:p>
        </w:tc>
        <w:tc>
          <w:tcPr>
            <w:tcW w:w="120" w:type="dxa"/>
            <w:vAlign w:val="bottom"/>
          </w:tcPr>
          <w:p w14:paraId="79729460" w14:textId="77777777" w:rsidR="00D1587D" w:rsidRDefault="00D1587D">
            <w:pPr>
              <w:rPr>
                <w:sz w:val="4"/>
                <w:szCs w:val="4"/>
              </w:rPr>
            </w:pPr>
          </w:p>
        </w:tc>
        <w:tc>
          <w:tcPr>
            <w:tcW w:w="480" w:type="dxa"/>
            <w:gridSpan w:val="2"/>
            <w:vAlign w:val="bottom"/>
          </w:tcPr>
          <w:p w14:paraId="3BB32488" w14:textId="77777777" w:rsidR="00D1587D" w:rsidRDefault="00D1587D">
            <w:pPr>
              <w:rPr>
                <w:sz w:val="4"/>
                <w:szCs w:val="4"/>
              </w:rPr>
            </w:pPr>
          </w:p>
        </w:tc>
        <w:tc>
          <w:tcPr>
            <w:tcW w:w="20" w:type="dxa"/>
            <w:vAlign w:val="bottom"/>
          </w:tcPr>
          <w:p w14:paraId="628D4068" w14:textId="77777777" w:rsidR="00D1587D" w:rsidRDefault="00D1587D">
            <w:pPr>
              <w:rPr>
                <w:sz w:val="4"/>
                <w:szCs w:val="4"/>
              </w:rPr>
            </w:pPr>
          </w:p>
        </w:tc>
        <w:tc>
          <w:tcPr>
            <w:tcW w:w="140" w:type="dxa"/>
            <w:vAlign w:val="bottom"/>
          </w:tcPr>
          <w:p w14:paraId="5FECCF2A" w14:textId="77777777" w:rsidR="00D1587D" w:rsidRDefault="00D1587D">
            <w:pPr>
              <w:rPr>
                <w:sz w:val="4"/>
                <w:szCs w:val="4"/>
              </w:rPr>
            </w:pPr>
          </w:p>
        </w:tc>
        <w:tc>
          <w:tcPr>
            <w:tcW w:w="100" w:type="dxa"/>
            <w:vAlign w:val="bottom"/>
          </w:tcPr>
          <w:p w14:paraId="1AD461FD" w14:textId="77777777" w:rsidR="00D1587D" w:rsidRDefault="00D1587D">
            <w:pPr>
              <w:rPr>
                <w:sz w:val="4"/>
                <w:szCs w:val="4"/>
              </w:rPr>
            </w:pPr>
          </w:p>
        </w:tc>
        <w:tc>
          <w:tcPr>
            <w:tcW w:w="120" w:type="dxa"/>
            <w:vAlign w:val="bottom"/>
          </w:tcPr>
          <w:p w14:paraId="60BFF7AE" w14:textId="77777777" w:rsidR="00D1587D" w:rsidRDefault="00D1587D">
            <w:pPr>
              <w:rPr>
                <w:sz w:val="4"/>
                <w:szCs w:val="4"/>
              </w:rPr>
            </w:pPr>
          </w:p>
        </w:tc>
        <w:tc>
          <w:tcPr>
            <w:tcW w:w="500" w:type="dxa"/>
            <w:vAlign w:val="bottom"/>
          </w:tcPr>
          <w:p w14:paraId="3F8DC712" w14:textId="77777777" w:rsidR="00D1587D" w:rsidRDefault="00D1587D">
            <w:pPr>
              <w:rPr>
                <w:sz w:val="4"/>
                <w:szCs w:val="4"/>
              </w:rPr>
            </w:pPr>
          </w:p>
        </w:tc>
        <w:tc>
          <w:tcPr>
            <w:tcW w:w="120" w:type="dxa"/>
            <w:vAlign w:val="bottom"/>
          </w:tcPr>
          <w:p w14:paraId="3D1AD6DB" w14:textId="77777777" w:rsidR="00D1587D" w:rsidRDefault="00D1587D">
            <w:pPr>
              <w:rPr>
                <w:sz w:val="4"/>
                <w:szCs w:val="4"/>
              </w:rPr>
            </w:pPr>
          </w:p>
        </w:tc>
        <w:tc>
          <w:tcPr>
            <w:tcW w:w="100" w:type="dxa"/>
            <w:vAlign w:val="bottom"/>
          </w:tcPr>
          <w:p w14:paraId="49B156D1" w14:textId="77777777" w:rsidR="00D1587D" w:rsidRDefault="00D1587D">
            <w:pPr>
              <w:rPr>
                <w:sz w:val="4"/>
                <w:szCs w:val="4"/>
              </w:rPr>
            </w:pPr>
          </w:p>
        </w:tc>
        <w:tc>
          <w:tcPr>
            <w:tcW w:w="120" w:type="dxa"/>
            <w:vAlign w:val="bottom"/>
          </w:tcPr>
          <w:p w14:paraId="335C5FCD" w14:textId="77777777" w:rsidR="00D1587D" w:rsidRDefault="00D1587D">
            <w:pPr>
              <w:rPr>
                <w:sz w:val="4"/>
                <w:szCs w:val="4"/>
              </w:rPr>
            </w:pPr>
          </w:p>
        </w:tc>
        <w:tc>
          <w:tcPr>
            <w:tcW w:w="480" w:type="dxa"/>
            <w:gridSpan w:val="2"/>
            <w:vAlign w:val="bottom"/>
          </w:tcPr>
          <w:p w14:paraId="79D40712" w14:textId="77777777" w:rsidR="00D1587D" w:rsidRDefault="00D1587D">
            <w:pPr>
              <w:rPr>
                <w:sz w:val="4"/>
                <w:szCs w:val="4"/>
              </w:rPr>
            </w:pPr>
          </w:p>
        </w:tc>
        <w:tc>
          <w:tcPr>
            <w:tcW w:w="20" w:type="dxa"/>
            <w:vAlign w:val="bottom"/>
          </w:tcPr>
          <w:p w14:paraId="5620484E" w14:textId="77777777" w:rsidR="00D1587D" w:rsidRDefault="00D1587D">
            <w:pPr>
              <w:rPr>
                <w:sz w:val="4"/>
                <w:szCs w:val="4"/>
              </w:rPr>
            </w:pPr>
          </w:p>
        </w:tc>
        <w:tc>
          <w:tcPr>
            <w:tcW w:w="140" w:type="dxa"/>
            <w:vAlign w:val="bottom"/>
          </w:tcPr>
          <w:p w14:paraId="2F82C176" w14:textId="77777777" w:rsidR="00D1587D" w:rsidRDefault="00D1587D">
            <w:pPr>
              <w:rPr>
                <w:sz w:val="4"/>
                <w:szCs w:val="4"/>
              </w:rPr>
            </w:pPr>
          </w:p>
        </w:tc>
      </w:tr>
      <w:tr w:rsidR="00D1587D" w14:paraId="70D4A42A" w14:textId="77777777">
        <w:trPr>
          <w:trHeight w:val="304"/>
        </w:trPr>
        <w:tc>
          <w:tcPr>
            <w:tcW w:w="5960" w:type="dxa"/>
            <w:tcBorders>
              <w:bottom w:val="single" w:sz="8" w:space="0" w:color="CCEEFF"/>
            </w:tcBorders>
            <w:shd w:val="clear" w:color="auto" w:fill="CCEEFF"/>
            <w:vAlign w:val="bottom"/>
          </w:tcPr>
          <w:p w14:paraId="51AD0CE6" w14:textId="77777777" w:rsidR="00D1587D" w:rsidRDefault="00410D07">
            <w:pPr>
              <w:rPr>
                <w:sz w:val="20"/>
                <w:szCs w:val="20"/>
              </w:rPr>
            </w:pPr>
            <w:r>
              <w:rPr>
                <w:rFonts w:ascii="Arial" w:eastAsia="Arial" w:hAnsi="Arial" w:cs="Arial"/>
                <w:sz w:val="18"/>
                <w:szCs w:val="18"/>
              </w:rPr>
              <w:t>Operating Lease Assets</w:t>
            </w:r>
          </w:p>
        </w:tc>
        <w:tc>
          <w:tcPr>
            <w:tcW w:w="620" w:type="dxa"/>
            <w:gridSpan w:val="4"/>
            <w:tcBorders>
              <w:bottom w:val="single" w:sz="8" w:space="0" w:color="CCEEFF"/>
            </w:tcBorders>
            <w:shd w:val="clear" w:color="auto" w:fill="CCEEFF"/>
            <w:vAlign w:val="bottom"/>
          </w:tcPr>
          <w:p w14:paraId="76D4C7D7" w14:textId="77777777" w:rsidR="00D1587D" w:rsidRDefault="00410D07">
            <w:pPr>
              <w:ind w:right="20"/>
              <w:jc w:val="right"/>
              <w:rPr>
                <w:sz w:val="20"/>
                <w:szCs w:val="20"/>
              </w:rPr>
            </w:pPr>
            <w:r>
              <w:rPr>
                <w:rFonts w:ascii="Arial" w:eastAsia="Arial" w:hAnsi="Arial" w:cs="Arial"/>
                <w:sz w:val="18"/>
                <w:szCs w:val="18"/>
              </w:rPr>
              <w:t>1,602</w:t>
            </w:r>
          </w:p>
        </w:tc>
        <w:tc>
          <w:tcPr>
            <w:tcW w:w="140" w:type="dxa"/>
            <w:tcBorders>
              <w:bottom w:val="single" w:sz="8" w:space="0" w:color="CCEEFF"/>
            </w:tcBorders>
            <w:shd w:val="clear" w:color="auto" w:fill="CCEEFF"/>
            <w:vAlign w:val="bottom"/>
          </w:tcPr>
          <w:p w14:paraId="5C037FB6"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D4745A8"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0247FE06" w14:textId="77777777" w:rsidR="00D1587D" w:rsidRDefault="00410D07">
            <w:pPr>
              <w:jc w:val="right"/>
              <w:rPr>
                <w:sz w:val="20"/>
                <w:szCs w:val="20"/>
              </w:rPr>
            </w:pPr>
            <w:r>
              <w:rPr>
                <w:rFonts w:ascii="Arial" w:eastAsia="Arial" w:hAnsi="Arial" w:cs="Arial"/>
                <w:sz w:val="18"/>
                <w:szCs w:val="18"/>
              </w:rPr>
              <w:t>1,590</w:t>
            </w:r>
          </w:p>
        </w:tc>
        <w:tc>
          <w:tcPr>
            <w:tcW w:w="120" w:type="dxa"/>
            <w:tcBorders>
              <w:bottom w:val="single" w:sz="8" w:space="0" w:color="CCEEFF"/>
            </w:tcBorders>
            <w:shd w:val="clear" w:color="auto" w:fill="CCEEFF"/>
            <w:vAlign w:val="bottom"/>
          </w:tcPr>
          <w:p w14:paraId="1EE8E44E"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78B39AF" w14:textId="77777777" w:rsidR="00D1587D" w:rsidRDefault="00D1587D">
            <w:pPr>
              <w:rPr>
                <w:sz w:val="24"/>
                <w:szCs w:val="24"/>
              </w:rPr>
            </w:pPr>
          </w:p>
        </w:tc>
        <w:tc>
          <w:tcPr>
            <w:tcW w:w="620" w:type="dxa"/>
            <w:gridSpan w:val="4"/>
            <w:tcBorders>
              <w:bottom w:val="single" w:sz="8" w:space="0" w:color="CCEEFF"/>
            </w:tcBorders>
            <w:shd w:val="clear" w:color="auto" w:fill="CCEEFF"/>
            <w:vAlign w:val="bottom"/>
          </w:tcPr>
          <w:p w14:paraId="6330EC01" w14:textId="77777777" w:rsidR="00D1587D" w:rsidRDefault="00410D07">
            <w:pPr>
              <w:jc w:val="right"/>
              <w:rPr>
                <w:sz w:val="20"/>
                <w:szCs w:val="20"/>
              </w:rPr>
            </w:pPr>
            <w:r>
              <w:rPr>
                <w:rFonts w:ascii="Arial" w:eastAsia="Arial" w:hAnsi="Arial" w:cs="Arial"/>
                <w:sz w:val="18"/>
                <w:szCs w:val="18"/>
              </w:rPr>
              <w:t>2,044</w:t>
            </w:r>
          </w:p>
        </w:tc>
        <w:tc>
          <w:tcPr>
            <w:tcW w:w="140" w:type="dxa"/>
            <w:tcBorders>
              <w:bottom w:val="single" w:sz="8" w:space="0" w:color="CCEEFF"/>
            </w:tcBorders>
            <w:shd w:val="clear" w:color="auto" w:fill="CCEEFF"/>
            <w:vAlign w:val="bottom"/>
          </w:tcPr>
          <w:p w14:paraId="66DABEBF" w14:textId="77777777" w:rsidR="00D1587D" w:rsidRDefault="00D1587D">
            <w:pPr>
              <w:rPr>
                <w:sz w:val="24"/>
                <w:szCs w:val="24"/>
              </w:rPr>
            </w:pPr>
          </w:p>
        </w:tc>
      </w:tr>
      <w:tr w:rsidR="00D1587D" w14:paraId="5CC2B280" w14:textId="77777777">
        <w:trPr>
          <w:trHeight w:val="270"/>
        </w:trPr>
        <w:tc>
          <w:tcPr>
            <w:tcW w:w="5960" w:type="dxa"/>
            <w:vAlign w:val="bottom"/>
          </w:tcPr>
          <w:p w14:paraId="28AAC5FC" w14:textId="77777777" w:rsidR="00D1587D" w:rsidRDefault="00410D07">
            <w:pPr>
              <w:rPr>
                <w:sz w:val="20"/>
                <w:szCs w:val="20"/>
              </w:rPr>
            </w:pPr>
            <w:r>
              <w:rPr>
                <w:rFonts w:ascii="Arial" w:eastAsia="Arial" w:hAnsi="Arial" w:cs="Arial"/>
                <w:sz w:val="18"/>
                <w:szCs w:val="18"/>
              </w:rPr>
              <w:t>Trade Name</w:t>
            </w:r>
          </w:p>
        </w:tc>
        <w:tc>
          <w:tcPr>
            <w:tcW w:w="120" w:type="dxa"/>
            <w:vAlign w:val="bottom"/>
          </w:tcPr>
          <w:p w14:paraId="3A7A2F96" w14:textId="77777777" w:rsidR="00D1587D" w:rsidRDefault="00D1587D">
            <w:pPr>
              <w:rPr>
                <w:sz w:val="23"/>
                <w:szCs w:val="23"/>
              </w:rPr>
            </w:pPr>
          </w:p>
        </w:tc>
        <w:tc>
          <w:tcPr>
            <w:tcW w:w="100" w:type="dxa"/>
            <w:vAlign w:val="bottom"/>
          </w:tcPr>
          <w:p w14:paraId="7C805B90" w14:textId="77777777" w:rsidR="00D1587D" w:rsidRDefault="00D1587D">
            <w:pPr>
              <w:rPr>
                <w:sz w:val="23"/>
                <w:szCs w:val="23"/>
              </w:rPr>
            </w:pPr>
          </w:p>
        </w:tc>
        <w:tc>
          <w:tcPr>
            <w:tcW w:w="400" w:type="dxa"/>
            <w:gridSpan w:val="2"/>
            <w:vAlign w:val="bottom"/>
          </w:tcPr>
          <w:p w14:paraId="6345ADDA" w14:textId="77777777" w:rsidR="00D1587D" w:rsidRDefault="00410D07">
            <w:pPr>
              <w:ind w:right="20"/>
              <w:jc w:val="right"/>
              <w:rPr>
                <w:sz w:val="20"/>
                <w:szCs w:val="20"/>
              </w:rPr>
            </w:pPr>
            <w:r>
              <w:rPr>
                <w:rFonts w:ascii="Arial" w:eastAsia="Arial" w:hAnsi="Arial" w:cs="Arial"/>
                <w:sz w:val="18"/>
                <w:szCs w:val="18"/>
              </w:rPr>
              <w:t>246</w:t>
            </w:r>
          </w:p>
        </w:tc>
        <w:tc>
          <w:tcPr>
            <w:tcW w:w="140" w:type="dxa"/>
            <w:vAlign w:val="bottom"/>
          </w:tcPr>
          <w:p w14:paraId="032B7EDB" w14:textId="77777777" w:rsidR="00D1587D" w:rsidRDefault="00D1587D">
            <w:pPr>
              <w:rPr>
                <w:sz w:val="23"/>
                <w:szCs w:val="23"/>
              </w:rPr>
            </w:pPr>
          </w:p>
        </w:tc>
        <w:tc>
          <w:tcPr>
            <w:tcW w:w="100" w:type="dxa"/>
            <w:vAlign w:val="bottom"/>
          </w:tcPr>
          <w:p w14:paraId="36AE584C" w14:textId="77777777" w:rsidR="00D1587D" w:rsidRDefault="00D1587D">
            <w:pPr>
              <w:rPr>
                <w:sz w:val="23"/>
                <w:szCs w:val="23"/>
              </w:rPr>
            </w:pPr>
          </w:p>
        </w:tc>
        <w:tc>
          <w:tcPr>
            <w:tcW w:w="620" w:type="dxa"/>
            <w:gridSpan w:val="2"/>
            <w:vAlign w:val="bottom"/>
          </w:tcPr>
          <w:p w14:paraId="597E330D" w14:textId="77777777" w:rsidR="00D1587D" w:rsidRDefault="00410D07">
            <w:pPr>
              <w:jc w:val="right"/>
              <w:rPr>
                <w:sz w:val="20"/>
                <w:szCs w:val="20"/>
              </w:rPr>
            </w:pPr>
            <w:r>
              <w:rPr>
                <w:rFonts w:ascii="Arial" w:eastAsia="Arial" w:hAnsi="Arial" w:cs="Arial"/>
                <w:sz w:val="18"/>
                <w:szCs w:val="18"/>
              </w:rPr>
              <w:t>246</w:t>
            </w:r>
          </w:p>
        </w:tc>
        <w:tc>
          <w:tcPr>
            <w:tcW w:w="120" w:type="dxa"/>
            <w:vAlign w:val="bottom"/>
          </w:tcPr>
          <w:p w14:paraId="59796997" w14:textId="77777777" w:rsidR="00D1587D" w:rsidRDefault="00D1587D">
            <w:pPr>
              <w:rPr>
                <w:sz w:val="23"/>
                <w:szCs w:val="23"/>
              </w:rPr>
            </w:pPr>
          </w:p>
        </w:tc>
        <w:tc>
          <w:tcPr>
            <w:tcW w:w="100" w:type="dxa"/>
            <w:vAlign w:val="bottom"/>
          </w:tcPr>
          <w:p w14:paraId="21D4A6F7" w14:textId="77777777" w:rsidR="00D1587D" w:rsidRDefault="00D1587D">
            <w:pPr>
              <w:rPr>
                <w:sz w:val="23"/>
                <w:szCs w:val="23"/>
              </w:rPr>
            </w:pPr>
          </w:p>
        </w:tc>
        <w:tc>
          <w:tcPr>
            <w:tcW w:w="120" w:type="dxa"/>
            <w:vAlign w:val="bottom"/>
          </w:tcPr>
          <w:p w14:paraId="761614CA" w14:textId="77777777" w:rsidR="00D1587D" w:rsidRDefault="00D1587D">
            <w:pPr>
              <w:rPr>
                <w:sz w:val="23"/>
                <w:szCs w:val="23"/>
              </w:rPr>
            </w:pPr>
          </w:p>
        </w:tc>
        <w:tc>
          <w:tcPr>
            <w:tcW w:w="100" w:type="dxa"/>
            <w:vAlign w:val="bottom"/>
          </w:tcPr>
          <w:p w14:paraId="48287907" w14:textId="77777777" w:rsidR="00D1587D" w:rsidRDefault="00D1587D">
            <w:pPr>
              <w:rPr>
                <w:sz w:val="23"/>
                <w:szCs w:val="23"/>
              </w:rPr>
            </w:pPr>
          </w:p>
        </w:tc>
        <w:tc>
          <w:tcPr>
            <w:tcW w:w="400" w:type="dxa"/>
            <w:gridSpan w:val="2"/>
            <w:vAlign w:val="bottom"/>
          </w:tcPr>
          <w:p w14:paraId="53B7CDE5" w14:textId="77777777" w:rsidR="00D1587D" w:rsidRDefault="00410D07">
            <w:pPr>
              <w:jc w:val="right"/>
              <w:rPr>
                <w:sz w:val="20"/>
                <w:szCs w:val="20"/>
              </w:rPr>
            </w:pPr>
            <w:r>
              <w:rPr>
                <w:rFonts w:ascii="Arial" w:eastAsia="Arial" w:hAnsi="Arial" w:cs="Arial"/>
                <w:sz w:val="18"/>
                <w:szCs w:val="18"/>
              </w:rPr>
              <w:t>246</w:t>
            </w:r>
          </w:p>
        </w:tc>
        <w:tc>
          <w:tcPr>
            <w:tcW w:w="140" w:type="dxa"/>
            <w:vAlign w:val="bottom"/>
          </w:tcPr>
          <w:p w14:paraId="4D62A78D" w14:textId="77777777" w:rsidR="00D1587D" w:rsidRDefault="00D1587D">
            <w:pPr>
              <w:rPr>
                <w:sz w:val="23"/>
                <w:szCs w:val="23"/>
              </w:rPr>
            </w:pPr>
          </w:p>
        </w:tc>
      </w:tr>
      <w:tr w:rsidR="00D1587D" w14:paraId="47D7AD4F" w14:textId="77777777">
        <w:trPr>
          <w:trHeight w:val="54"/>
        </w:trPr>
        <w:tc>
          <w:tcPr>
            <w:tcW w:w="5960" w:type="dxa"/>
            <w:vAlign w:val="bottom"/>
          </w:tcPr>
          <w:p w14:paraId="3446B004" w14:textId="77777777" w:rsidR="00D1587D" w:rsidRDefault="00D1587D">
            <w:pPr>
              <w:rPr>
                <w:sz w:val="4"/>
                <w:szCs w:val="4"/>
              </w:rPr>
            </w:pPr>
          </w:p>
        </w:tc>
        <w:tc>
          <w:tcPr>
            <w:tcW w:w="120" w:type="dxa"/>
            <w:vAlign w:val="bottom"/>
          </w:tcPr>
          <w:p w14:paraId="16DB694A" w14:textId="77777777" w:rsidR="00D1587D" w:rsidRDefault="00D1587D">
            <w:pPr>
              <w:rPr>
                <w:sz w:val="4"/>
                <w:szCs w:val="4"/>
              </w:rPr>
            </w:pPr>
          </w:p>
        </w:tc>
        <w:tc>
          <w:tcPr>
            <w:tcW w:w="100" w:type="dxa"/>
            <w:vAlign w:val="bottom"/>
          </w:tcPr>
          <w:p w14:paraId="7A62FB92" w14:textId="77777777" w:rsidR="00D1587D" w:rsidRDefault="00D1587D">
            <w:pPr>
              <w:rPr>
                <w:sz w:val="4"/>
                <w:szCs w:val="4"/>
              </w:rPr>
            </w:pPr>
          </w:p>
        </w:tc>
        <w:tc>
          <w:tcPr>
            <w:tcW w:w="380" w:type="dxa"/>
            <w:vAlign w:val="bottom"/>
          </w:tcPr>
          <w:p w14:paraId="4259F904" w14:textId="77777777" w:rsidR="00D1587D" w:rsidRDefault="00D1587D">
            <w:pPr>
              <w:rPr>
                <w:sz w:val="4"/>
                <w:szCs w:val="4"/>
              </w:rPr>
            </w:pPr>
          </w:p>
        </w:tc>
        <w:tc>
          <w:tcPr>
            <w:tcW w:w="20" w:type="dxa"/>
            <w:vAlign w:val="bottom"/>
          </w:tcPr>
          <w:p w14:paraId="10B2D45D" w14:textId="77777777" w:rsidR="00D1587D" w:rsidRDefault="00D1587D">
            <w:pPr>
              <w:rPr>
                <w:sz w:val="4"/>
                <w:szCs w:val="4"/>
              </w:rPr>
            </w:pPr>
          </w:p>
        </w:tc>
        <w:tc>
          <w:tcPr>
            <w:tcW w:w="140" w:type="dxa"/>
            <w:vAlign w:val="bottom"/>
          </w:tcPr>
          <w:p w14:paraId="3789B952" w14:textId="77777777" w:rsidR="00D1587D" w:rsidRDefault="00D1587D">
            <w:pPr>
              <w:rPr>
                <w:sz w:val="4"/>
                <w:szCs w:val="4"/>
              </w:rPr>
            </w:pPr>
          </w:p>
        </w:tc>
        <w:tc>
          <w:tcPr>
            <w:tcW w:w="100" w:type="dxa"/>
            <w:vAlign w:val="bottom"/>
          </w:tcPr>
          <w:p w14:paraId="399747D8" w14:textId="77777777" w:rsidR="00D1587D" w:rsidRDefault="00D1587D">
            <w:pPr>
              <w:rPr>
                <w:sz w:val="4"/>
                <w:szCs w:val="4"/>
              </w:rPr>
            </w:pPr>
          </w:p>
        </w:tc>
        <w:tc>
          <w:tcPr>
            <w:tcW w:w="120" w:type="dxa"/>
            <w:vAlign w:val="bottom"/>
          </w:tcPr>
          <w:p w14:paraId="7BAC0720" w14:textId="77777777" w:rsidR="00D1587D" w:rsidRDefault="00D1587D">
            <w:pPr>
              <w:rPr>
                <w:sz w:val="4"/>
                <w:szCs w:val="4"/>
              </w:rPr>
            </w:pPr>
          </w:p>
        </w:tc>
        <w:tc>
          <w:tcPr>
            <w:tcW w:w="500" w:type="dxa"/>
            <w:vAlign w:val="bottom"/>
          </w:tcPr>
          <w:p w14:paraId="119A58C7" w14:textId="77777777" w:rsidR="00D1587D" w:rsidRDefault="00D1587D">
            <w:pPr>
              <w:rPr>
                <w:sz w:val="4"/>
                <w:szCs w:val="4"/>
              </w:rPr>
            </w:pPr>
          </w:p>
        </w:tc>
        <w:tc>
          <w:tcPr>
            <w:tcW w:w="120" w:type="dxa"/>
            <w:vAlign w:val="bottom"/>
          </w:tcPr>
          <w:p w14:paraId="694C9166" w14:textId="77777777" w:rsidR="00D1587D" w:rsidRDefault="00D1587D">
            <w:pPr>
              <w:rPr>
                <w:sz w:val="4"/>
                <w:szCs w:val="4"/>
              </w:rPr>
            </w:pPr>
          </w:p>
        </w:tc>
        <w:tc>
          <w:tcPr>
            <w:tcW w:w="100" w:type="dxa"/>
            <w:vAlign w:val="bottom"/>
          </w:tcPr>
          <w:p w14:paraId="3972DE5B" w14:textId="77777777" w:rsidR="00D1587D" w:rsidRDefault="00D1587D">
            <w:pPr>
              <w:rPr>
                <w:sz w:val="4"/>
                <w:szCs w:val="4"/>
              </w:rPr>
            </w:pPr>
          </w:p>
        </w:tc>
        <w:tc>
          <w:tcPr>
            <w:tcW w:w="120" w:type="dxa"/>
            <w:vAlign w:val="bottom"/>
          </w:tcPr>
          <w:p w14:paraId="06C91CE8" w14:textId="77777777" w:rsidR="00D1587D" w:rsidRDefault="00D1587D">
            <w:pPr>
              <w:rPr>
                <w:sz w:val="4"/>
                <w:szCs w:val="4"/>
              </w:rPr>
            </w:pPr>
          </w:p>
        </w:tc>
        <w:tc>
          <w:tcPr>
            <w:tcW w:w="100" w:type="dxa"/>
            <w:vAlign w:val="bottom"/>
          </w:tcPr>
          <w:p w14:paraId="6C66AD92" w14:textId="77777777" w:rsidR="00D1587D" w:rsidRDefault="00D1587D">
            <w:pPr>
              <w:rPr>
                <w:sz w:val="4"/>
                <w:szCs w:val="4"/>
              </w:rPr>
            </w:pPr>
          </w:p>
        </w:tc>
        <w:tc>
          <w:tcPr>
            <w:tcW w:w="380" w:type="dxa"/>
            <w:vAlign w:val="bottom"/>
          </w:tcPr>
          <w:p w14:paraId="3A1DAA35" w14:textId="77777777" w:rsidR="00D1587D" w:rsidRDefault="00D1587D">
            <w:pPr>
              <w:rPr>
                <w:sz w:val="4"/>
                <w:szCs w:val="4"/>
              </w:rPr>
            </w:pPr>
          </w:p>
        </w:tc>
        <w:tc>
          <w:tcPr>
            <w:tcW w:w="20" w:type="dxa"/>
            <w:vAlign w:val="bottom"/>
          </w:tcPr>
          <w:p w14:paraId="1F1789F3" w14:textId="77777777" w:rsidR="00D1587D" w:rsidRDefault="00D1587D">
            <w:pPr>
              <w:rPr>
                <w:sz w:val="4"/>
                <w:szCs w:val="4"/>
              </w:rPr>
            </w:pPr>
          </w:p>
        </w:tc>
        <w:tc>
          <w:tcPr>
            <w:tcW w:w="140" w:type="dxa"/>
            <w:vAlign w:val="bottom"/>
          </w:tcPr>
          <w:p w14:paraId="6513E8D2" w14:textId="77777777" w:rsidR="00D1587D" w:rsidRDefault="00D1587D">
            <w:pPr>
              <w:rPr>
                <w:sz w:val="4"/>
                <w:szCs w:val="4"/>
              </w:rPr>
            </w:pPr>
          </w:p>
        </w:tc>
      </w:tr>
      <w:tr w:rsidR="00D1587D" w14:paraId="47A1E8D0" w14:textId="77777777">
        <w:trPr>
          <w:trHeight w:val="304"/>
        </w:trPr>
        <w:tc>
          <w:tcPr>
            <w:tcW w:w="5960" w:type="dxa"/>
            <w:tcBorders>
              <w:bottom w:val="single" w:sz="8" w:space="0" w:color="CCEEFF"/>
            </w:tcBorders>
            <w:shd w:val="clear" w:color="auto" w:fill="CCEEFF"/>
            <w:vAlign w:val="bottom"/>
          </w:tcPr>
          <w:p w14:paraId="3820948E" w14:textId="77777777" w:rsidR="00D1587D" w:rsidRDefault="00410D07">
            <w:pPr>
              <w:rPr>
                <w:sz w:val="20"/>
                <w:szCs w:val="20"/>
              </w:rPr>
            </w:pPr>
            <w:r>
              <w:rPr>
                <w:rFonts w:ascii="Arial" w:eastAsia="Arial" w:hAnsi="Arial" w:cs="Arial"/>
                <w:sz w:val="18"/>
                <w:szCs w:val="18"/>
              </w:rPr>
              <w:t>Deferred Income Taxes</w:t>
            </w:r>
          </w:p>
        </w:tc>
        <w:tc>
          <w:tcPr>
            <w:tcW w:w="120" w:type="dxa"/>
            <w:tcBorders>
              <w:bottom w:val="single" w:sz="8" w:space="0" w:color="CCEEFF"/>
            </w:tcBorders>
            <w:shd w:val="clear" w:color="auto" w:fill="CCEEFF"/>
            <w:vAlign w:val="bottom"/>
          </w:tcPr>
          <w:p w14:paraId="54EFD1CB"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F503A28"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13D3C91B" w14:textId="77777777" w:rsidR="00D1587D" w:rsidRDefault="00410D07">
            <w:pPr>
              <w:jc w:val="right"/>
              <w:rPr>
                <w:sz w:val="20"/>
                <w:szCs w:val="20"/>
              </w:rPr>
            </w:pPr>
            <w:r>
              <w:rPr>
                <w:rFonts w:ascii="Arial" w:eastAsia="Arial" w:hAnsi="Arial" w:cs="Arial"/>
                <w:sz w:val="18"/>
                <w:szCs w:val="18"/>
              </w:rPr>
              <w:t>13</w:t>
            </w:r>
          </w:p>
        </w:tc>
        <w:tc>
          <w:tcPr>
            <w:tcW w:w="140" w:type="dxa"/>
            <w:tcBorders>
              <w:bottom w:val="single" w:sz="8" w:space="0" w:color="CCEEFF"/>
            </w:tcBorders>
            <w:shd w:val="clear" w:color="auto" w:fill="CCEEFF"/>
            <w:vAlign w:val="bottom"/>
          </w:tcPr>
          <w:p w14:paraId="3ED6C99B"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1010D02"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305CED6E" w14:textId="77777777" w:rsidR="00D1587D" w:rsidRDefault="00410D07">
            <w:pPr>
              <w:jc w:val="right"/>
              <w:rPr>
                <w:sz w:val="20"/>
                <w:szCs w:val="20"/>
              </w:rPr>
            </w:pPr>
            <w:r>
              <w:rPr>
                <w:rFonts w:ascii="Arial" w:eastAsia="Arial" w:hAnsi="Arial" w:cs="Arial"/>
                <w:sz w:val="18"/>
                <w:szCs w:val="18"/>
              </w:rPr>
              <w:t>20</w:t>
            </w:r>
          </w:p>
        </w:tc>
        <w:tc>
          <w:tcPr>
            <w:tcW w:w="120" w:type="dxa"/>
            <w:tcBorders>
              <w:bottom w:val="single" w:sz="8" w:space="0" w:color="CCEEFF"/>
            </w:tcBorders>
            <w:shd w:val="clear" w:color="auto" w:fill="CCEEFF"/>
            <w:vAlign w:val="bottom"/>
          </w:tcPr>
          <w:p w14:paraId="780D576B"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2DFA87F" w14:textId="77777777" w:rsidR="00D1587D" w:rsidRDefault="00D1587D">
            <w:pPr>
              <w:rPr>
                <w:sz w:val="24"/>
                <w:szCs w:val="24"/>
              </w:rPr>
            </w:pPr>
          </w:p>
        </w:tc>
        <w:tc>
          <w:tcPr>
            <w:tcW w:w="120" w:type="dxa"/>
            <w:tcBorders>
              <w:bottom w:val="single" w:sz="8" w:space="0" w:color="CCEEFF"/>
            </w:tcBorders>
            <w:shd w:val="clear" w:color="auto" w:fill="CCEEFF"/>
            <w:vAlign w:val="bottom"/>
          </w:tcPr>
          <w:p w14:paraId="494FD718"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6FB8E16"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4B8697B7" w14:textId="77777777" w:rsidR="00D1587D" w:rsidRDefault="00410D07">
            <w:pPr>
              <w:jc w:val="right"/>
              <w:rPr>
                <w:sz w:val="20"/>
                <w:szCs w:val="20"/>
              </w:rPr>
            </w:pPr>
            <w:r>
              <w:rPr>
                <w:rFonts w:ascii="Arial" w:eastAsia="Arial" w:hAnsi="Arial" w:cs="Arial"/>
                <w:sz w:val="18"/>
                <w:szCs w:val="18"/>
              </w:rPr>
              <w:t>29</w:t>
            </w:r>
          </w:p>
        </w:tc>
        <w:tc>
          <w:tcPr>
            <w:tcW w:w="140" w:type="dxa"/>
            <w:tcBorders>
              <w:bottom w:val="single" w:sz="8" w:space="0" w:color="CCEEFF"/>
            </w:tcBorders>
            <w:shd w:val="clear" w:color="auto" w:fill="CCEEFF"/>
            <w:vAlign w:val="bottom"/>
          </w:tcPr>
          <w:p w14:paraId="05772A64" w14:textId="77777777" w:rsidR="00D1587D" w:rsidRDefault="00D1587D">
            <w:pPr>
              <w:rPr>
                <w:sz w:val="24"/>
                <w:szCs w:val="24"/>
              </w:rPr>
            </w:pPr>
          </w:p>
        </w:tc>
      </w:tr>
      <w:tr w:rsidR="00D1587D" w14:paraId="7729EB9F" w14:textId="77777777">
        <w:trPr>
          <w:trHeight w:val="257"/>
        </w:trPr>
        <w:tc>
          <w:tcPr>
            <w:tcW w:w="5960" w:type="dxa"/>
            <w:vAlign w:val="bottom"/>
          </w:tcPr>
          <w:p w14:paraId="296D4D07" w14:textId="77777777" w:rsidR="00D1587D" w:rsidRDefault="00410D07">
            <w:pPr>
              <w:rPr>
                <w:sz w:val="20"/>
                <w:szCs w:val="20"/>
              </w:rPr>
            </w:pPr>
            <w:r>
              <w:rPr>
                <w:rFonts w:ascii="Arial" w:eastAsia="Arial" w:hAnsi="Arial" w:cs="Arial"/>
                <w:sz w:val="18"/>
                <w:szCs w:val="18"/>
              </w:rPr>
              <w:t>Other Assets</w:t>
            </w:r>
          </w:p>
        </w:tc>
        <w:tc>
          <w:tcPr>
            <w:tcW w:w="120" w:type="dxa"/>
            <w:vAlign w:val="bottom"/>
          </w:tcPr>
          <w:p w14:paraId="6130DABC" w14:textId="77777777" w:rsidR="00D1587D" w:rsidRDefault="00D1587D"/>
        </w:tc>
        <w:tc>
          <w:tcPr>
            <w:tcW w:w="100" w:type="dxa"/>
            <w:vAlign w:val="bottom"/>
          </w:tcPr>
          <w:p w14:paraId="2A444C4B" w14:textId="77777777" w:rsidR="00D1587D" w:rsidRDefault="00D1587D"/>
        </w:tc>
        <w:tc>
          <w:tcPr>
            <w:tcW w:w="400" w:type="dxa"/>
            <w:gridSpan w:val="2"/>
            <w:vAlign w:val="bottom"/>
          </w:tcPr>
          <w:p w14:paraId="192FA59A" w14:textId="77777777" w:rsidR="00D1587D" w:rsidRDefault="00410D07">
            <w:pPr>
              <w:jc w:val="right"/>
              <w:rPr>
                <w:sz w:val="20"/>
                <w:szCs w:val="20"/>
              </w:rPr>
            </w:pPr>
            <w:r>
              <w:rPr>
                <w:rFonts w:ascii="Arial" w:eastAsia="Arial" w:hAnsi="Arial" w:cs="Arial"/>
                <w:sz w:val="18"/>
                <w:szCs w:val="18"/>
              </w:rPr>
              <w:t>51</w:t>
            </w:r>
          </w:p>
        </w:tc>
        <w:tc>
          <w:tcPr>
            <w:tcW w:w="140" w:type="dxa"/>
            <w:vAlign w:val="bottom"/>
          </w:tcPr>
          <w:p w14:paraId="53F0BBF1" w14:textId="77777777" w:rsidR="00D1587D" w:rsidRDefault="00D1587D"/>
        </w:tc>
        <w:tc>
          <w:tcPr>
            <w:tcW w:w="100" w:type="dxa"/>
            <w:vAlign w:val="bottom"/>
          </w:tcPr>
          <w:p w14:paraId="5566F2D4" w14:textId="77777777" w:rsidR="00D1587D" w:rsidRDefault="00D1587D"/>
        </w:tc>
        <w:tc>
          <w:tcPr>
            <w:tcW w:w="620" w:type="dxa"/>
            <w:gridSpan w:val="2"/>
            <w:vAlign w:val="bottom"/>
          </w:tcPr>
          <w:p w14:paraId="697E8688" w14:textId="77777777" w:rsidR="00D1587D" w:rsidRDefault="00410D07">
            <w:pPr>
              <w:jc w:val="right"/>
              <w:rPr>
                <w:sz w:val="20"/>
                <w:szCs w:val="20"/>
              </w:rPr>
            </w:pPr>
            <w:r>
              <w:rPr>
                <w:rFonts w:ascii="Arial" w:eastAsia="Arial" w:hAnsi="Arial" w:cs="Arial"/>
                <w:sz w:val="18"/>
                <w:szCs w:val="18"/>
              </w:rPr>
              <w:t>56</w:t>
            </w:r>
          </w:p>
        </w:tc>
        <w:tc>
          <w:tcPr>
            <w:tcW w:w="120" w:type="dxa"/>
            <w:vAlign w:val="bottom"/>
          </w:tcPr>
          <w:p w14:paraId="35FBEF3E" w14:textId="77777777" w:rsidR="00D1587D" w:rsidRDefault="00D1587D"/>
        </w:tc>
        <w:tc>
          <w:tcPr>
            <w:tcW w:w="100" w:type="dxa"/>
            <w:vAlign w:val="bottom"/>
          </w:tcPr>
          <w:p w14:paraId="1D15DD37" w14:textId="77777777" w:rsidR="00D1587D" w:rsidRDefault="00D1587D"/>
        </w:tc>
        <w:tc>
          <w:tcPr>
            <w:tcW w:w="120" w:type="dxa"/>
            <w:vAlign w:val="bottom"/>
          </w:tcPr>
          <w:p w14:paraId="6AD44997" w14:textId="77777777" w:rsidR="00D1587D" w:rsidRDefault="00D1587D"/>
        </w:tc>
        <w:tc>
          <w:tcPr>
            <w:tcW w:w="100" w:type="dxa"/>
            <w:vAlign w:val="bottom"/>
          </w:tcPr>
          <w:p w14:paraId="6D18120D" w14:textId="77777777" w:rsidR="00D1587D" w:rsidRDefault="00D1587D"/>
        </w:tc>
        <w:tc>
          <w:tcPr>
            <w:tcW w:w="400" w:type="dxa"/>
            <w:gridSpan w:val="2"/>
            <w:vAlign w:val="bottom"/>
          </w:tcPr>
          <w:p w14:paraId="4F7961A7" w14:textId="77777777" w:rsidR="00D1587D" w:rsidRDefault="00410D07">
            <w:pPr>
              <w:jc w:val="right"/>
              <w:rPr>
                <w:sz w:val="20"/>
                <w:szCs w:val="20"/>
              </w:rPr>
            </w:pPr>
            <w:r>
              <w:rPr>
                <w:rFonts w:ascii="Arial" w:eastAsia="Arial" w:hAnsi="Arial" w:cs="Arial"/>
                <w:sz w:val="18"/>
                <w:szCs w:val="18"/>
              </w:rPr>
              <w:t>74</w:t>
            </w:r>
          </w:p>
        </w:tc>
        <w:tc>
          <w:tcPr>
            <w:tcW w:w="140" w:type="dxa"/>
            <w:vAlign w:val="bottom"/>
          </w:tcPr>
          <w:p w14:paraId="7EA410EA" w14:textId="77777777" w:rsidR="00D1587D" w:rsidRDefault="00D1587D"/>
        </w:tc>
      </w:tr>
      <w:tr w:rsidR="00D1587D" w14:paraId="76C0CC01" w14:textId="77777777">
        <w:trPr>
          <w:trHeight w:val="61"/>
        </w:trPr>
        <w:tc>
          <w:tcPr>
            <w:tcW w:w="5960" w:type="dxa"/>
            <w:vAlign w:val="bottom"/>
          </w:tcPr>
          <w:p w14:paraId="1E413477" w14:textId="77777777" w:rsidR="00D1587D" w:rsidRDefault="00D1587D">
            <w:pPr>
              <w:rPr>
                <w:sz w:val="5"/>
                <w:szCs w:val="5"/>
              </w:rPr>
            </w:pPr>
          </w:p>
        </w:tc>
        <w:tc>
          <w:tcPr>
            <w:tcW w:w="120" w:type="dxa"/>
            <w:vAlign w:val="bottom"/>
          </w:tcPr>
          <w:p w14:paraId="46867CE4" w14:textId="77777777" w:rsidR="00D1587D" w:rsidRDefault="00D1587D">
            <w:pPr>
              <w:rPr>
                <w:sz w:val="5"/>
                <w:szCs w:val="5"/>
              </w:rPr>
            </w:pPr>
          </w:p>
        </w:tc>
        <w:tc>
          <w:tcPr>
            <w:tcW w:w="100" w:type="dxa"/>
            <w:tcBorders>
              <w:top w:val="single" w:sz="8" w:space="0" w:color="auto"/>
            </w:tcBorders>
            <w:vAlign w:val="bottom"/>
          </w:tcPr>
          <w:p w14:paraId="3072117E" w14:textId="77777777" w:rsidR="00D1587D" w:rsidRDefault="00D1587D">
            <w:pPr>
              <w:rPr>
                <w:sz w:val="5"/>
                <w:szCs w:val="5"/>
              </w:rPr>
            </w:pPr>
          </w:p>
        </w:tc>
        <w:tc>
          <w:tcPr>
            <w:tcW w:w="380" w:type="dxa"/>
            <w:tcBorders>
              <w:top w:val="single" w:sz="8" w:space="0" w:color="auto"/>
            </w:tcBorders>
            <w:vAlign w:val="bottom"/>
          </w:tcPr>
          <w:p w14:paraId="2315E05F" w14:textId="77777777" w:rsidR="00D1587D" w:rsidRDefault="00D1587D">
            <w:pPr>
              <w:rPr>
                <w:sz w:val="5"/>
                <w:szCs w:val="5"/>
              </w:rPr>
            </w:pPr>
          </w:p>
        </w:tc>
        <w:tc>
          <w:tcPr>
            <w:tcW w:w="20" w:type="dxa"/>
            <w:tcBorders>
              <w:top w:val="single" w:sz="8" w:space="0" w:color="auto"/>
            </w:tcBorders>
            <w:vAlign w:val="bottom"/>
          </w:tcPr>
          <w:p w14:paraId="194D6EEF" w14:textId="77777777" w:rsidR="00D1587D" w:rsidRDefault="00D1587D">
            <w:pPr>
              <w:rPr>
                <w:sz w:val="5"/>
                <w:szCs w:val="5"/>
              </w:rPr>
            </w:pPr>
          </w:p>
        </w:tc>
        <w:tc>
          <w:tcPr>
            <w:tcW w:w="140" w:type="dxa"/>
            <w:vAlign w:val="bottom"/>
          </w:tcPr>
          <w:p w14:paraId="4AA5992C" w14:textId="77777777" w:rsidR="00D1587D" w:rsidRDefault="00D1587D">
            <w:pPr>
              <w:rPr>
                <w:sz w:val="5"/>
                <w:szCs w:val="5"/>
              </w:rPr>
            </w:pPr>
          </w:p>
        </w:tc>
        <w:tc>
          <w:tcPr>
            <w:tcW w:w="100" w:type="dxa"/>
            <w:vAlign w:val="bottom"/>
          </w:tcPr>
          <w:p w14:paraId="4DF1F85D" w14:textId="77777777" w:rsidR="00D1587D" w:rsidRDefault="00D1587D">
            <w:pPr>
              <w:rPr>
                <w:sz w:val="5"/>
                <w:szCs w:val="5"/>
              </w:rPr>
            </w:pPr>
          </w:p>
        </w:tc>
        <w:tc>
          <w:tcPr>
            <w:tcW w:w="120" w:type="dxa"/>
            <w:vAlign w:val="bottom"/>
          </w:tcPr>
          <w:p w14:paraId="56D1D748" w14:textId="77777777" w:rsidR="00D1587D" w:rsidRDefault="00D1587D">
            <w:pPr>
              <w:rPr>
                <w:sz w:val="5"/>
                <w:szCs w:val="5"/>
              </w:rPr>
            </w:pPr>
          </w:p>
        </w:tc>
        <w:tc>
          <w:tcPr>
            <w:tcW w:w="500" w:type="dxa"/>
            <w:tcBorders>
              <w:top w:val="single" w:sz="8" w:space="0" w:color="auto"/>
            </w:tcBorders>
            <w:vAlign w:val="bottom"/>
          </w:tcPr>
          <w:p w14:paraId="4B3CDAA5" w14:textId="77777777" w:rsidR="00D1587D" w:rsidRDefault="00D1587D">
            <w:pPr>
              <w:rPr>
                <w:sz w:val="5"/>
                <w:szCs w:val="5"/>
              </w:rPr>
            </w:pPr>
          </w:p>
        </w:tc>
        <w:tc>
          <w:tcPr>
            <w:tcW w:w="120" w:type="dxa"/>
            <w:vAlign w:val="bottom"/>
          </w:tcPr>
          <w:p w14:paraId="789CBE96" w14:textId="77777777" w:rsidR="00D1587D" w:rsidRDefault="00D1587D">
            <w:pPr>
              <w:rPr>
                <w:sz w:val="5"/>
                <w:szCs w:val="5"/>
              </w:rPr>
            </w:pPr>
          </w:p>
        </w:tc>
        <w:tc>
          <w:tcPr>
            <w:tcW w:w="100" w:type="dxa"/>
            <w:vAlign w:val="bottom"/>
          </w:tcPr>
          <w:p w14:paraId="304867BF" w14:textId="77777777" w:rsidR="00D1587D" w:rsidRDefault="00D1587D">
            <w:pPr>
              <w:rPr>
                <w:sz w:val="5"/>
                <w:szCs w:val="5"/>
              </w:rPr>
            </w:pPr>
          </w:p>
        </w:tc>
        <w:tc>
          <w:tcPr>
            <w:tcW w:w="120" w:type="dxa"/>
            <w:vAlign w:val="bottom"/>
          </w:tcPr>
          <w:p w14:paraId="64C0C98D" w14:textId="77777777" w:rsidR="00D1587D" w:rsidRDefault="00D1587D">
            <w:pPr>
              <w:rPr>
                <w:sz w:val="5"/>
                <w:szCs w:val="5"/>
              </w:rPr>
            </w:pPr>
          </w:p>
        </w:tc>
        <w:tc>
          <w:tcPr>
            <w:tcW w:w="100" w:type="dxa"/>
            <w:tcBorders>
              <w:top w:val="single" w:sz="8" w:space="0" w:color="auto"/>
            </w:tcBorders>
            <w:vAlign w:val="bottom"/>
          </w:tcPr>
          <w:p w14:paraId="530104C8" w14:textId="77777777" w:rsidR="00D1587D" w:rsidRDefault="00D1587D">
            <w:pPr>
              <w:rPr>
                <w:sz w:val="5"/>
                <w:szCs w:val="5"/>
              </w:rPr>
            </w:pPr>
          </w:p>
        </w:tc>
        <w:tc>
          <w:tcPr>
            <w:tcW w:w="380" w:type="dxa"/>
            <w:tcBorders>
              <w:top w:val="single" w:sz="8" w:space="0" w:color="auto"/>
            </w:tcBorders>
            <w:vAlign w:val="bottom"/>
          </w:tcPr>
          <w:p w14:paraId="69214F56" w14:textId="77777777" w:rsidR="00D1587D" w:rsidRDefault="00D1587D">
            <w:pPr>
              <w:rPr>
                <w:sz w:val="5"/>
                <w:szCs w:val="5"/>
              </w:rPr>
            </w:pPr>
          </w:p>
        </w:tc>
        <w:tc>
          <w:tcPr>
            <w:tcW w:w="20" w:type="dxa"/>
            <w:tcBorders>
              <w:top w:val="single" w:sz="8" w:space="0" w:color="auto"/>
            </w:tcBorders>
            <w:vAlign w:val="bottom"/>
          </w:tcPr>
          <w:p w14:paraId="3DED788C" w14:textId="77777777" w:rsidR="00D1587D" w:rsidRDefault="00D1587D">
            <w:pPr>
              <w:rPr>
                <w:sz w:val="5"/>
                <w:szCs w:val="5"/>
              </w:rPr>
            </w:pPr>
          </w:p>
        </w:tc>
        <w:tc>
          <w:tcPr>
            <w:tcW w:w="140" w:type="dxa"/>
            <w:vAlign w:val="bottom"/>
          </w:tcPr>
          <w:p w14:paraId="5A3678B0" w14:textId="77777777" w:rsidR="00D1587D" w:rsidRDefault="00D1587D">
            <w:pPr>
              <w:rPr>
                <w:sz w:val="5"/>
                <w:szCs w:val="5"/>
              </w:rPr>
            </w:pPr>
          </w:p>
        </w:tc>
      </w:tr>
      <w:tr w:rsidR="00D1587D" w14:paraId="37A596F8" w14:textId="77777777">
        <w:trPr>
          <w:trHeight w:val="358"/>
        </w:trPr>
        <w:tc>
          <w:tcPr>
            <w:tcW w:w="5960" w:type="dxa"/>
            <w:shd w:val="clear" w:color="auto" w:fill="CCEEFF"/>
            <w:vAlign w:val="bottom"/>
          </w:tcPr>
          <w:p w14:paraId="5D5F3AEC" w14:textId="77777777" w:rsidR="00D1587D" w:rsidRDefault="00410D07">
            <w:pPr>
              <w:rPr>
                <w:sz w:val="20"/>
                <w:szCs w:val="20"/>
              </w:rPr>
            </w:pPr>
            <w:r>
              <w:rPr>
                <w:rFonts w:ascii="Arial" w:eastAsia="Arial" w:hAnsi="Arial" w:cs="Arial"/>
                <w:b/>
                <w:bCs/>
                <w:sz w:val="18"/>
                <w:szCs w:val="18"/>
              </w:rPr>
              <w:t>Total Assets</w:t>
            </w:r>
          </w:p>
        </w:tc>
        <w:tc>
          <w:tcPr>
            <w:tcW w:w="620" w:type="dxa"/>
            <w:gridSpan w:val="4"/>
            <w:shd w:val="clear" w:color="auto" w:fill="CCEEFF"/>
            <w:vAlign w:val="bottom"/>
          </w:tcPr>
          <w:p w14:paraId="2964539E" w14:textId="77777777" w:rsidR="00D1587D" w:rsidRDefault="00410D07">
            <w:pPr>
              <w:jc w:val="right"/>
              <w:rPr>
                <w:sz w:val="20"/>
                <w:szCs w:val="20"/>
              </w:rPr>
            </w:pPr>
            <w:r>
              <w:rPr>
                <w:rFonts w:ascii="Arial" w:eastAsia="Arial" w:hAnsi="Arial" w:cs="Arial"/>
                <w:sz w:val="18"/>
                <w:szCs w:val="18"/>
                <w:u w:val="single"/>
              </w:rPr>
              <w:t>$</w:t>
            </w:r>
            <w:r>
              <w:rPr>
                <w:rFonts w:ascii="Arial" w:eastAsia="Arial" w:hAnsi="Arial" w:cs="Arial"/>
                <w:sz w:val="18"/>
                <w:szCs w:val="18"/>
              </w:rPr>
              <w:t>4,247</w:t>
            </w:r>
          </w:p>
        </w:tc>
        <w:tc>
          <w:tcPr>
            <w:tcW w:w="140" w:type="dxa"/>
            <w:shd w:val="clear" w:color="auto" w:fill="CCEEFF"/>
            <w:vAlign w:val="bottom"/>
          </w:tcPr>
          <w:p w14:paraId="08E88CC0" w14:textId="77777777" w:rsidR="00D1587D" w:rsidRDefault="00D1587D">
            <w:pPr>
              <w:rPr>
                <w:sz w:val="24"/>
                <w:szCs w:val="24"/>
              </w:rPr>
            </w:pPr>
          </w:p>
        </w:tc>
        <w:tc>
          <w:tcPr>
            <w:tcW w:w="100" w:type="dxa"/>
            <w:shd w:val="clear" w:color="auto" w:fill="CCEEFF"/>
            <w:vAlign w:val="bottom"/>
          </w:tcPr>
          <w:p w14:paraId="5C6C45A4" w14:textId="77777777" w:rsidR="00D1587D" w:rsidRDefault="00D1587D">
            <w:pPr>
              <w:rPr>
                <w:sz w:val="24"/>
                <w:szCs w:val="24"/>
              </w:rPr>
            </w:pPr>
          </w:p>
        </w:tc>
        <w:tc>
          <w:tcPr>
            <w:tcW w:w="620" w:type="dxa"/>
            <w:gridSpan w:val="2"/>
            <w:shd w:val="clear" w:color="auto" w:fill="CCEEFF"/>
            <w:vAlign w:val="bottom"/>
          </w:tcPr>
          <w:p w14:paraId="40B87EA4" w14:textId="77777777" w:rsidR="00D1587D" w:rsidRDefault="00410D07">
            <w:pPr>
              <w:jc w:val="right"/>
              <w:rPr>
                <w:sz w:val="20"/>
                <w:szCs w:val="20"/>
              </w:rPr>
            </w:pPr>
            <w:r>
              <w:rPr>
                <w:rFonts w:ascii="Arial" w:eastAsia="Arial" w:hAnsi="Arial" w:cs="Arial"/>
                <w:sz w:val="18"/>
                <w:szCs w:val="18"/>
                <w:u w:val="single"/>
              </w:rPr>
              <w:t>$</w:t>
            </w:r>
            <w:r>
              <w:rPr>
                <w:rFonts w:ascii="Arial" w:eastAsia="Arial" w:hAnsi="Arial" w:cs="Arial"/>
                <w:sz w:val="18"/>
                <w:szCs w:val="18"/>
              </w:rPr>
              <w:t>4,229</w:t>
            </w:r>
          </w:p>
        </w:tc>
        <w:tc>
          <w:tcPr>
            <w:tcW w:w="120" w:type="dxa"/>
            <w:shd w:val="clear" w:color="auto" w:fill="CCEEFF"/>
            <w:vAlign w:val="bottom"/>
          </w:tcPr>
          <w:p w14:paraId="00DF4029" w14:textId="77777777" w:rsidR="00D1587D" w:rsidRDefault="00D1587D">
            <w:pPr>
              <w:rPr>
                <w:sz w:val="24"/>
                <w:szCs w:val="24"/>
              </w:rPr>
            </w:pPr>
          </w:p>
        </w:tc>
        <w:tc>
          <w:tcPr>
            <w:tcW w:w="100" w:type="dxa"/>
            <w:shd w:val="clear" w:color="auto" w:fill="CCEEFF"/>
            <w:vAlign w:val="bottom"/>
          </w:tcPr>
          <w:p w14:paraId="0FAD0B90" w14:textId="77777777" w:rsidR="00D1587D" w:rsidRDefault="00D1587D">
            <w:pPr>
              <w:rPr>
                <w:sz w:val="24"/>
                <w:szCs w:val="24"/>
              </w:rPr>
            </w:pPr>
          </w:p>
        </w:tc>
        <w:tc>
          <w:tcPr>
            <w:tcW w:w="620" w:type="dxa"/>
            <w:gridSpan w:val="4"/>
            <w:shd w:val="clear" w:color="auto" w:fill="CCEEFF"/>
            <w:vAlign w:val="bottom"/>
          </w:tcPr>
          <w:p w14:paraId="7CA13C4C" w14:textId="77777777" w:rsidR="00D1587D" w:rsidRDefault="00410D07">
            <w:pPr>
              <w:jc w:val="right"/>
              <w:rPr>
                <w:sz w:val="20"/>
                <w:szCs w:val="20"/>
              </w:rPr>
            </w:pPr>
            <w:r>
              <w:rPr>
                <w:rFonts w:ascii="Arial" w:eastAsia="Arial" w:hAnsi="Arial" w:cs="Arial"/>
                <w:sz w:val="18"/>
                <w:szCs w:val="18"/>
                <w:u w:val="single"/>
              </w:rPr>
              <w:t>$</w:t>
            </w:r>
            <w:r>
              <w:rPr>
                <w:rFonts w:ascii="Arial" w:eastAsia="Arial" w:hAnsi="Arial" w:cs="Arial"/>
                <w:sz w:val="18"/>
                <w:szCs w:val="18"/>
              </w:rPr>
              <w:t>5,009</w:t>
            </w:r>
          </w:p>
        </w:tc>
        <w:tc>
          <w:tcPr>
            <w:tcW w:w="140" w:type="dxa"/>
            <w:shd w:val="clear" w:color="auto" w:fill="CCEEFF"/>
            <w:vAlign w:val="bottom"/>
          </w:tcPr>
          <w:p w14:paraId="509322A9" w14:textId="77777777" w:rsidR="00D1587D" w:rsidRDefault="00D1587D">
            <w:pPr>
              <w:rPr>
                <w:sz w:val="24"/>
                <w:szCs w:val="24"/>
              </w:rPr>
            </w:pPr>
          </w:p>
        </w:tc>
      </w:tr>
      <w:tr w:rsidR="00D1587D" w14:paraId="2E570878" w14:textId="77777777">
        <w:trPr>
          <w:trHeight w:val="365"/>
        </w:trPr>
        <w:tc>
          <w:tcPr>
            <w:tcW w:w="5960" w:type="dxa"/>
            <w:tcBorders>
              <w:top w:val="single" w:sz="8" w:space="0" w:color="CCEEFF"/>
            </w:tcBorders>
            <w:vAlign w:val="bottom"/>
          </w:tcPr>
          <w:p w14:paraId="669D7F4F" w14:textId="77777777" w:rsidR="00D1587D" w:rsidRDefault="00D1587D">
            <w:pPr>
              <w:rPr>
                <w:sz w:val="24"/>
                <w:szCs w:val="24"/>
              </w:rPr>
            </w:pPr>
          </w:p>
        </w:tc>
        <w:tc>
          <w:tcPr>
            <w:tcW w:w="120" w:type="dxa"/>
            <w:tcBorders>
              <w:top w:val="single" w:sz="8" w:space="0" w:color="CCEEFF"/>
            </w:tcBorders>
            <w:vAlign w:val="bottom"/>
          </w:tcPr>
          <w:p w14:paraId="4329E406" w14:textId="77777777" w:rsidR="00D1587D" w:rsidRDefault="00D1587D">
            <w:pPr>
              <w:rPr>
                <w:sz w:val="24"/>
                <w:szCs w:val="24"/>
              </w:rPr>
            </w:pPr>
          </w:p>
        </w:tc>
        <w:tc>
          <w:tcPr>
            <w:tcW w:w="100" w:type="dxa"/>
            <w:tcBorders>
              <w:top w:val="single" w:sz="8" w:space="0" w:color="auto"/>
            </w:tcBorders>
            <w:vAlign w:val="bottom"/>
          </w:tcPr>
          <w:p w14:paraId="391D8A5B" w14:textId="77777777" w:rsidR="00D1587D" w:rsidRDefault="00D1587D">
            <w:pPr>
              <w:rPr>
                <w:sz w:val="24"/>
                <w:szCs w:val="24"/>
              </w:rPr>
            </w:pPr>
          </w:p>
        </w:tc>
        <w:tc>
          <w:tcPr>
            <w:tcW w:w="380" w:type="dxa"/>
            <w:tcBorders>
              <w:top w:val="single" w:sz="8" w:space="0" w:color="auto"/>
            </w:tcBorders>
            <w:vAlign w:val="bottom"/>
          </w:tcPr>
          <w:p w14:paraId="3D51862C" w14:textId="77777777" w:rsidR="00D1587D" w:rsidRDefault="00D1587D">
            <w:pPr>
              <w:rPr>
                <w:sz w:val="24"/>
                <w:szCs w:val="24"/>
              </w:rPr>
            </w:pPr>
          </w:p>
        </w:tc>
        <w:tc>
          <w:tcPr>
            <w:tcW w:w="20" w:type="dxa"/>
            <w:tcBorders>
              <w:top w:val="single" w:sz="8" w:space="0" w:color="auto"/>
            </w:tcBorders>
            <w:vAlign w:val="bottom"/>
          </w:tcPr>
          <w:p w14:paraId="7B9519E7" w14:textId="77777777" w:rsidR="00D1587D" w:rsidRDefault="00D1587D">
            <w:pPr>
              <w:rPr>
                <w:sz w:val="24"/>
                <w:szCs w:val="24"/>
              </w:rPr>
            </w:pPr>
          </w:p>
        </w:tc>
        <w:tc>
          <w:tcPr>
            <w:tcW w:w="140" w:type="dxa"/>
            <w:tcBorders>
              <w:top w:val="single" w:sz="8" w:space="0" w:color="CCEEFF"/>
            </w:tcBorders>
            <w:vAlign w:val="bottom"/>
          </w:tcPr>
          <w:p w14:paraId="220F9D8B" w14:textId="77777777" w:rsidR="00D1587D" w:rsidRDefault="00D1587D">
            <w:pPr>
              <w:rPr>
                <w:sz w:val="24"/>
                <w:szCs w:val="24"/>
              </w:rPr>
            </w:pPr>
          </w:p>
        </w:tc>
        <w:tc>
          <w:tcPr>
            <w:tcW w:w="100" w:type="dxa"/>
            <w:tcBorders>
              <w:top w:val="single" w:sz="8" w:space="0" w:color="CCEEFF"/>
            </w:tcBorders>
            <w:vAlign w:val="bottom"/>
          </w:tcPr>
          <w:p w14:paraId="4C1BA341" w14:textId="77777777" w:rsidR="00D1587D" w:rsidRDefault="00D1587D">
            <w:pPr>
              <w:rPr>
                <w:sz w:val="24"/>
                <w:szCs w:val="24"/>
              </w:rPr>
            </w:pPr>
          </w:p>
        </w:tc>
        <w:tc>
          <w:tcPr>
            <w:tcW w:w="120" w:type="dxa"/>
            <w:tcBorders>
              <w:top w:val="single" w:sz="8" w:space="0" w:color="CCEEFF"/>
            </w:tcBorders>
            <w:vAlign w:val="bottom"/>
          </w:tcPr>
          <w:p w14:paraId="5B52D292" w14:textId="77777777" w:rsidR="00D1587D" w:rsidRDefault="00D1587D">
            <w:pPr>
              <w:rPr>
                <w:sz w:val="24"/>
                <w:szCs w:val="24"/>
              </w:rPr>
            </w:pPr>
          </w:p>
        </w:tc>
        <w:tc>
          <w:tcPr>
            <w:tcW w:w="500" w:type="dxa"/>
            <w:tcBorders>
              <w:top w:val="single" w:sz="8" w:space="0" w:color="auto"/>
            </w:tcBorders>
            <w:vAlign w:val="bottom"/>
          </w:tcPr>
          <w:p w14:paraId="136522B4" w14:textId="77777777" w:rsidR="00D1587D" w:rsidRDefault="00D1587D">
            <w:pPr>
              <w:rPr>
                <w:sz w:val="24"/>
                <w:szCs w:val="24"/>
              </w:rPr>
            </w:pPr>
          </w:p>
        </w:tc>
        <w:tc>
          <w:tcPr>
            <w:tcW w:w="120" w:type="dxa"/>
            <w:tcBorders>
              <w:top w:val="single" w:sz="8" w:space="0" w:color="CCEEFF"/>
            </w:tcBorders>
            <w:vAlign w:val="bottom"/>
          </w:tcPr>
          <w:p w14:paraId="29F109F1" w14:textId="77777777" w:rsidR="00D1587D" w:rsidRDefault="00D1587D">
            <w:pPr>
              <w:rPr>
                <w:sz w:val="24"/>
                <w:szCs w:val="24"/>
              </w:rPr>
            </w:pPr>
          </w:p>
        </w:tc>
        <w:tc>
          <w:tcPr>
            <w:tcW w:w="100" w:type="dxa"/>
            <w:tcBorders>
              <w:top w:val="single" w:sz="8" w:space="0" w:color="CCEEFF"/>
            </w:tcBorders>
            <w:vAlign w:val="bottom"/>
          </w:tcPr>
          <w:p w14:paraId="1F171F05" w14:textId="77777777" w:rsidR="00D1587D" w:rsidRDefault="00D1587D">
            <w:pPr>
              <w:rPr>
                <w:sz w:val="24"/>
                <w:szCs w:val="24"/>
              </w:rPr>
            </w:pPr>
          </w:p>
        </w:tc>
        <w:tc>
          <w:tcPr>
            <w:tcW w:w="120" w:type="dxa"/>
            <w:tcBorders>
              <w:top w:val="single" w:sz="8" w:space="0" w:color="CCEEFF"/>
            </w:tcBorders>
            <w:vAlign w:val="bottom"/>
          </w:tcPr>
          <w:p w14:paraId="550DCCB2" w14:textId="77777777" w:rsidR="00D1587D" w:rsidRDefault="00D1587D">
            <w:pPr>
              <w:rPr>
                <w:sz w:val="24"/>
                <w:szCs w:val="24"/>
              </w:rPr>
            </w:pPr>
          </w:p>
        </w:tc>
        <w:tc>
          <w:tcPr>
            <w:tcW w:w="100" w:type="dxa"/>
            <w:tcBorders>
              <w:top w:val="single" w:sz="8" w:space="0" w:color="auto"/>
            </w:tcBorders>
            <w:vAlign w:val="bottom"/>
          </w:tcPr>
          <w:p w14:paraId="0D72A641" w14:textId="77777777" w:rsidR="00D1587D" w:rsidRDefault="00D1587D">
            <w:pPr>
              <w:rPr>
                <w:sz w:val="24"/>
                <w:szCs w:val="24"/>
              </w:rPr>
            </w:pPr>
          </w:p>
        </w:tc>
        <w:tc>
          <w:tcPr>
            <w:tcW w:w="380" w:type="dxa"/>
            <w:tcBorders>
              <w:top w:val="single" w:sz="8" w:space="0" w:color="auto"/>
            </w:tcBorders>
            <w:vAlign w:val="bottom"/>
          </w:tcPr>
          <w:p w14:paraId="0260BA13" w14:textId="77777777" w:rsidR="00D1587D" w:rsidRDefault="00D1587D">
            <w:pPr>
              <w:rPr>
                <w:sz w:val="24"/>
                <w:szCs w:val="24"/>
              </w:rPr>
            </w:pPr>
          </w:p>
        </w:tc>
        <w:tc>
          <w:tcPr>
            <w:tcW w:w="20" w:type="dxa"/>
            <w:tcBorders>
              <w:top w:val="single" w:sz="8" w:space="0" w:color="auto"/>
            </w:tcBorders>
            <w:vAlign w:val="bottom"/>
          </w:tcPr>
          <w:p w14:paraId="53CF0FB1" w14:textId="77777777" w:rsidR="00D1587D" w:rsidRDefault="00D1587D">
            <w:pPr>
              <w:rPr>
                <w:sz w:val="24"/>
                <w:szCs w:val="24"/>
              </w:rPr>
            </w:pPr>
          </w:p>
        </w:tc>
        <w:tc>
          <w:tcPr>
            <w:tcW w:w="140" w:type="dxa"/>
            <w:tcBorders>
              <w:top w:val="single" w:sz="8" w:space="0" w:color="CCEEFF"/>
            </w:tcBorders>
            <w:vAlign w:val="bottom"/>
          </w:tcPr>
          <w:p w14:paraId="4999DA43" w14:textId="77777777" w:rsidR="00D1587D" w:rsidRDefault="00D1587D">
            <w:pPr>
              <w:rPr>
                <w:sz w:val="24"/>
                <w:szCs w:val="24"/>
              </w:rPr>
            </w:pPr>
          </w:p>
        </w:tc>
      </w:tr>
      <w:tr w:rsidR="00D1587D" w14:paraId="1A7CDA60" w14:textId="77777777">
        <w:trPr>
          <w:trHeight w:val="304"/>
        </w:trPr>
        <w:tc>
          <w:tcPr>
            <w:tcW w:w="5960" w:type="dxa"/>
            <w:tcBorders>
              <w:bottom w:val="single" w:sz="8" w:space="0" w:color="CCEEFF"/>
            </w:tcBorders>
            <w:shd w:val="clear" w:color="auto" w:fill="CCEEFF"/>
            <w:vAlign w:val="bottom"/>
          </w:tcPr>
          <w:p w14:paraId="5BECAC0C" w14:textId="77777777" w:rsidR="00D1587D" w:rsidRDefault="00410D07">
            <w:pPr>
              <w:rPr>
                <w:sz w:val="20"/>
                <w:szCs w:val="20"/>
              </w:rPr>
            </w:pPr>
            <w:r>
              <w:rPr>
                <w:rFonts w:ascii="Arial" w:eastAsia="Arial" w:hAnsi="Arial" w:cs="Arial"/>
                <w:b/>
                <w:bCs/>
                <w:sz w:val="18"/>
                <w:szCs w:val="18"/>
              </w:rPr>
              <w:t>LIABILITIES AND EQUITY</w:t>
            </w:r>
          </w:p>
        </w:tc>
        <w:tc>
          <w:tcPr>
            <w:tcW w:w="120" w:type="dxa"/>
            <w:tcBorders>
              <w:bottom w:val="single" w:sz="8" w:space="0" w:color="CCEEFF"/>
            </w:tcBorders>
            <w:shd w:val="clear" w:color="auto" w:fill="CCEEFF"/>
            <w:vAlign w:val="bottom"/>
          </w:tcPr>
          <w:p w14:paraId="21913B00"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B914564" w14:textId="77777777" w:rsidR="00D1587D" w:rsidRDefault="00D1587D">
            <w:pPr>
              <w:rPr>
                <w:sz w:val="24"/>
                <w:szCs w:val="24"/>
              </w:rPr>
            </w:pPr>
          </w:p>
        </w:tc>
        <w:tc>
          <w:tcPr>
            <w:tcW w:w="380" w:type="dxa"/>
            <w:tcBorders>
              <w:bottom w:val="single" w:sz="8" w:space="0" w:color="CCEEFF"/>
            </w:tcBorders>
            <w:shd w:val="clear" w:color="auto" w:fill="CCEEFF"/>
            <w:vAlign w:val="bottom"/>
          </w:tcPr>
          <w:p w14:paraId="6F1FF7B9" w14:textId="77777777" w:rsidR="00D1587D" w:rsidRDefault="00D1587D">
            <w:pPr>
              <w:rPr>
                <w:sz w:val="24"/>
                <w:szCs w:val="24"/>
              </w:rPr>
            </w:pPr>
          </w:p>
        </w:tc>
        <w:tc>
          <w:tcPr>
            <w:tcW w:w="20" w:type="dxa"/>
            <w:tcBorders>
              <w:bottom w:val="single" w:sz="8" w:space="0" w:color="CCEEFF"/>
            </w:tcBorders>
            <w:shd w:val="clear" w:color="auto" w:fill="CCEEFF"/>
            <w:vAlign w:val="bottom"/>
          </w:tcPr>
          <w:p w14:paraId="386F71B6" w14:textId="77777777" w:rsidR="00D1587D" w:rsidRDefault="00D1587D">
            <w:pPr>
              <w:rPr>
                <w:sz w:val="24"/>
                <w:szCs w:val="24"/>
              </w:rPr>
            </w:pPr>
          </w:p>
        </w:tc>
        <w:tc>
          <w:tcPr>
            <w:tcW w:w="140" w:type="dxa"/>
            <w:tcBorders>
              <w:bottom w:val="single" w:sz="8" w:space="0" w:color="CCEEFF"/>
            </w:tcBorders>
            <w:shd w:val="clear" w:color="auto" w:fill="CCEEFF"/>
            <w:vAlign w:val="bottom"/>
          </w:tcPr>
          <w:p w14:paraId="266A368D"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3BB741F" w14:textId="77777777" w:rsidR="00D1587D" w:rsidRDefault="00D1587D">
            <w:pPr>
              <w:rPr>
                <w:sz w:val="24"/>
                <w:szCs w:val="24"/>
              </w:rPr>
            </w:pPr>
          </w:p>
        </w:tc>
        <w:tc>
          <w:tcPr>
            <w:tcW w:w="120" w:type="dxa"/>
            <w:tcBorders>
              <w:bottom w:val="single" w:sz="8" w:space="0" w:color="CCEEFF"/>
            </w:tcBorders>
            <w:shd w:val="clear" w:color="auto" w:fill="CCEEFF"/>
            <w:vAlign w:val="bottom"/>
          </w:tcPr>
          <w:p w14:paraId="5962AC3E" w14:textId="77777777" w:rsidR="00D1587D" w:rsidRDefault="00D1587D">
            <w:pPr>
              <w:rPr>
                <w:sz w:val="24"/>
                <w:szCs w:val="24"/>
              </w:rPr>
            </w:pPr>
          </w:p>
        </w:tc>
        <w:tc>
          <w:tcPr>
            <w:tcW w:w="500" w:type="dxa"/>
            <w:tcBorders>
              <w:bottom w:val="single" w:sz="8" w:space="0" w:color="CCEEFF"/>
            </w:tcBorders>
            <w:shd w:val="clear" w:color="auto" w:fill="CCEEFF"/>
            <w:vAlign w:val="bottom"/>
          </w:tcPr>
          <w:p w14:paraId="39769E57" w14:textId="77777777" w:rsidR="00D1587D" w:rsidRDefault="00D1587D">
            <w:pPr>
              <w:rPr>
                <w:sz w:val="24"/>
                <w:szCs w:val="24"/>
              </w:rPr>
            </w:pPr>
          </w:p>
        </w:tc>
        <w:tc>
          <w:tcPr>
            <w:tcW w:w="120" w:type="dxa"/>
            <w:tcBorders>
              <w:bottom w:val="single" w:sz="8" w:space="0" w:color="CCEEFF"/>
            </w:tcBorders>
            <w:shd w:val="clear" w:color="auto" w:fill="CCEEFF"/>
            <w:vAlign w:val="bottom"/>
          </w:tcPr>
          <w:p w14:paraId="16A544F4"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D52F3D8" w14:textId="77777777" w:rsidR="00D1587D" w:rsidRDefault="00D1587D">
            <w:pPr>
              <w:rPr>
                <w:sz w:val="24"/>
                <w:szCs w:val="24"/>
              </w:rPr>
            </w:pPr>
          </w:p>
        </w:tc>
        <w:tc>
          <w:tcPr>
            <w:tcW w:w="120" w:type="dxa"/>
            <w:tcBorders>
              <w:bottom w:val="single" w:sz="8" w:space="0" w:color="CCEEFF"/>
            </w:tcBorders>
            <w:shd w:val="clear" w:color="auto" w:fill="CCEEFF"/>
            <w:vAlign w:val="bottom"/>
          </w:tcPr>
          <w:p w14:paraId="52618FF1"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3DBEEAA" w14:textId="77777777" w:rsidR="00D1587D" w:rsidRDefault="00D1587D">
            <w:pPr>
              <w:rPr>
                <w:sz w:val="24"/>
                <w:szCs w:val="24"/>
              </w:rPr>
            </w:pPr>
          </w:p>
        </w:tc>
        <w:tc>
          <w:tcPr>
            <w:tcW w:w="380" w:type="dxa"/>
            <w:tcBorders>
              <w:bottom w:val="single" w:sz="8" w:space="0" w:color="CCEEFF"/>
            </w:tcBorders>
            <w:shd w:val="clear" w:color="auto" w:fill="CCEEFF"/>
            <w:vAlign w:val="bottom"/>
          </w:tcPr>
          <w:p w14:paraId="275FA8A1" w14:textId="77777777" w:rsidR="00D1587D" w:rsidRDefault="00D1587D">
            <w:pPr>
              <w:rPr>
                <w:sz w:val="24"/>
                <w:szCs w:val="24"/>
              </w:rPr>
            </w:pPr>
          </w:p>
        </w:tc>
        <w:tc>
          <w:tcPr>
            <w:tcW w:w="20" w:type="dxa"/>
            <w:tcBorders>
              <w:bottom w:val="single" w:sz="8" w:space="0" w:color="CCEEFF"/>
            </w:tcBorders>
            <w:shd w:val="clear" w:color="auto" w:fill="CCEEFF"/>
            <w:vAlign w:val="bottom"/>
          </w:tcPr>
          <w:p w14:paraId="1BD4FD29" w14:textId="77777777" w:rsidR="00D1587D" w:rsidRDefault="00D1587D">
            <w:pPr>
              <w:rPr>
                <w:sz w:val="24"/>
                <w:szCs w:val="24"/>
              </w:rPr>
            </w:pPr>
          </w:p>
        </w:tc>
        <w:tc>
          <w:tcPr>
            <w:tcW w:w="140" w:type="dxa"/>
            <w:tcBorders>
              <w:bottom w:val="single" w:sz="8" w:space="0" w:color="CCEEFF"/>
            </w:tcBorders>
            <w:shd w:val="clear" w:color="auto" w:fill="CCEEFF"/>
            <w:vAlign w:val="bottom"/>
          </w:tcPr>
          <w:p w14:paraId="5500CB1C" w14:textId="77777777" w:rsidR="00D1587D" w:rsidRDefault="00D1587D">
            <w:pPr>
              <w:rPr>
                <w:sz w:val="24"/>
                <w:szCs w:val="24"/>
              </w:rPr>
            </w:pPr>
          </w:p>
        </w:tc>
      </w:tr>
      <w:tr w:rsidR="00D1587D" w14:paraId="68241E33" w14:textId="77777777">
        <w:trPr>
          <w:trHeight w:val="270"/>
        </w:trPr>
        <w:tc>
          <w:tcPr>
            <w:tcW w:w="5960" w:type="dxa"/>
            <w:vAlign w:val="bottom"/>
          </w:tcPr>
          <w:p w14:paraId="42D24940" w14:textId="77777777" w:rsidR="00D1587D" w:rsidRDefault="00410D07">
            <w:pPr>
              <w:rPr>
                <w:sz w:val="20"/>
                <w:szCs w:val="20"/>
              </w:rPr>
            </w:pPr>
            <w:r>
              <w:rPr>
                <w:rFonts w:ascii="Arial" w:eastAsia="Arial" w:hAnsi="Arial" w:cs="Arial"/>
                <w:b/>
                <w:bCs/>
                <w:sz w:val="18"/>
                <w:szCs w:val="18"/>
              </w:rPr>
              <w:t>Current Liabilities:</w:t>
            </w:r>
          </w:p>
        </w:tc>
        <w:tc>
          <w:tcPr>
            <w:tcW w:w="120" w:type="dxa"/>
            <w:vAlign w:val="bottom"/>
          </w:tcPr>
          <w:p w14:paraId="1850F4D1" w14:textId="77777777" w:rsidR="00D1587D" w:rsidRDefault="00D1587D">
            <w:pPr>
              <w:rPr>
                <w:sz w:val="23"/>
                <w:szCs w:val="23"/>
              </w:rPr>
            </w:pPr>
          </w:p>
        </w:tc>
        <w:tc>
          <w:tcPr>
            <w:tcW w:w="100" w:type="dxa"/>
            <w:vAlign w:val="bottom"/>
          </w:tcPr>
          <w:p w14:paraId="74CCC439" w14:textId="77777777" w:rsidR="00D1587D" w:rsidRDefault="00D1587D">
            <w:pPr>
              <w:rPr>
                <w:sz w:val="23"/>
                <w:szCs w:val="23"/>
              </w:rPr>
            </w:pPr>
          </w:p>
        </w:tc>
        <w:tc>
          <w:tcPr>
            <w:tcW w:w="380" w:type="dxa"/>
            <w:vAlign w:val="bottom"/>
          </w:tcPr>
          <w:p w14:paraId="6E90B7CA" w14:textId="77777777" w:rsidR="00D1587D" w:rsidRDefault="00D1587D">
            <w:pPr>
              <w:rPr>
                <w:sz w:val="23"/>
                <w:szCs w:val="23"/>
              </w:rPr>
            </w:pPr>
          </w:p>
        </w:tc>
        <w:tc>
          <w:tcPr>
            <w:tcW w:w="20" w:type="dxa"/>
            <w:vAlign w:val="bottom"/>
          </w:tcPr>
          <w:p w14:paraId="40E7AE9A" w14:textId="77777777" w:rsidR="00D1587D" w:rsidRDefault="00D1587D">
            <w:pPr>
              <w:rPr>
                <w:sz w:val="23"/>
                <w:szCs w:val="23"/>
              </w:rPr>
            </w:pPr>
          </w:p>
        </w:tc>
        <w:tc>
          <w:tcPr>
            <w:tcW w:w="140" w:type="dxa"/>
            <w:vAlign w:val="bottom"/>
          </w:tcPr>
          <w:p w14:paraId="13222B48" w14:textId="77777777" w:rsidR="00D1587D" w:rsidRDefault="00D1587D">
            <w:pPr>
              <w:rPr>
                <w:sz w:val="23"/>
                <w:szCs w:val="23"/>
              </w:rPr>
            </w:pPr>
          </w:p>
        </w:tc>
        <w:tc>
          <w:tcPr>
            <w:tcW w:w="100" w:type="dxa"/>
            <w:vAlign w:val="bottom"/>
          </w:tcPr>
          <w:p w14:paraId="20E31AC3" w14:textId="77777777" w:rsidR="00D1587D" w:rsidRDefault="00D1587D">
            <w:pPr>
              <w:rPr>
                <w:sz w:val="23"/>
                <w:szCs w:val="23"/>
              </w:rPr>
            </w:pPr>
          </w:p>
        </w:tc>
        <w:tc>
          <w:tcPr>
            <w:tcW w:w="120" w:type="dxa"/>
            <w:vAlign w:val="bottom"/>
          </w:tcPr>
          <w:p w14:paraId="438667C2" w14:textId="77777777" w:rsidR="00D1587D" w:rsidRDefault="00D1587D">
            <w:pPr>
              <w:rPr>
                <w:sz w:val="23"/>
                <w:szCs w:val="23"/>
              </w:rPr>
            </w:pPr>
          </w:p>
        </w:tc>
        <w:tc>
          <w:tcPr>
            <w:tcW w:w="500" w:type="dxa"/>
            <w:vAlign w:val="bottom"/>
          </w:tcPr>
          <w:p w14:paraId="16474ACE" w14:textId="77777777" w:rsidR="00D1587D" w:rsidRDefault="00D1587D">
            <w:pPr>
              <w:rPr>
                <w:sz w:val="23"/>
                <w:szCs w:val="23"/>
              </w:rPr>
            </w:pPr>
          </w:p>
        </w:tc>
        <w:tc>
          <w:tcPr>
            <w:tcW w:w="120" w:type="dxa"/>
            <w:vAlign w:val="bottom"/>
          </w:tcPr>
          <w:p w14:paraId="480D85B2" w14:textId="77777777" w:rsidR="00D1587D" w:rsidRDefault="00D1587D">
            <w:pPr>
              <w:rPr>
                <w:sz w:val="23"/>
                <w:szCs w:val="23"/>
              </w:rPr>
            </w:pPr>
          </w:p>
        </w:tc>
        <w:tc>
          <w:tcPr>
            <w:tcW w:w="100" w:type="dxa"/>
            <w:vAlign w:val="bottom"/>
          </w:tcPr>
          <w:p w14:paraId="49CED4BB" w14:textId="77777777" w:rsidR="00D1587D" w:rsidRDefault="00D1587D">
            <w:pPr>
              <w:rPr>
                <w:sz w:val="23"/>
                <w:szCs w:val="23"/>
              </w:rPr>
            </w:pPr>
          </w:p>
        </w:tc>
        <w:tc>
          <w:tcPr>
            <w:tcW w:w="120" w:type="dxa"/>
            <w:vAlign w:val="bottom"/>
          </w:tcPr>
          <w:p w14:paraId="1EC3E653" w14:textId="77777777" w:rsidR="00D1587D" w:rsidRDefault="00D1587D">
            <w:pPr>
              <w:rPr>
                <w:sz w:val="23"/>
                <w:szCs w:val="23"/>
              </w:rPr>
            </w:pPr>
          </w:p>
        </w:tc>
        <w:tc>
          <w:tcPr>
            <w:tcW w:w="100" w:type="dxa"/>
            <w:vAlign w:val="bottom"/>
          </w:tcPr>
          <w:p w14:paraId="5C67B034" w14:textId="77777777" w:rsidR="00D1587D" w:rsidRDefault="00D1587D">
            <w:pPr>
              <w:rPr>
                <w:sz w:val="23"/>
                <w:szCs w:val="23"/>
              </w:rPr>
            </w:pPr>
          </w:p>
        </w:tc>
        <w:tc>
          <w:tcPr>
            <w:tcW w:w="380" w:type="dxa"/>
            <w:vAlign w:val="bottom"/>
          </w:tcPr>
          <w:p w14:paraId="10DFA19F" w14:textId="77777777" w:rsidR="00D1587D" w:rsidRDefault="00D1587D">
            <w:pPr>
              <w:rPr>
                <w:sz w:val="23"/>
                <w:szCs w:val="23"/>
              </w:rPr>
            </w:pPr>
          </w:p>
        </w:tc>
        <w:tc>
          <w:tcPr>
            <w:tcW w:w="20" w:type="dxa"/>
            <w:vAlign w:val="bottom"/>
          </w:tcPr>
          <w:p w14:paraId="6E48055C" w14:textId="77777777" w:rsidR="00D1587D" w:rsidRDefault="00D1587D">
            <w:pPr>
              <w:rPr>
                <w:sz w:val="23"/>
                <w:szCs w:val="23"/>
              </w:rPr>
            </w:pPr>
          </w:p>
        </w:tc>
        <w:tc>
          <w:tcPr>
            <w:tcW w:w="140" w:type="dxa"/>
            <w:vAlign w:val="bottom"/>
          </w:tcPr>
          <w:p w14:paraId="5C0287E4" w14:textId="77777777" w:rsidR="00D1587D" w:rsidRDefault="00D1587D">
            <w:pPr>
              <w:rPr>
                <w:sz w:val="23"/>
                <w:szCs w:val="23"/>
              </w:rPr>
            </w:pPr>
          </w:p>
        </w:tc>
      </w:tr>
      <w:tr w:rsidR="00D1587D" w14:paraId="0C1BBBA0" w14:textId="77777777">
        <w:trPr>
          <w:trHeight w:val="54"/>
        </w:trPr>
        <w:tc>
          <w:tcPr>
            <w:tcW w:w="5960" w:type="dxa"/>
            <w:vAlign w:val="bottom"/>
          </w:tcPr>
          <w:p w14:paraId="4CA78BB4" w14:textId="77777777" w:rsidR="00D1587D" w:rsidRDefault="00D1587D">
            <w:pPr>
              <w:rPr>
                <w:sz w:val="4"/>
                <w:szCs w:val="4"/>
              </w:rPr>
            </w:pPr>
          </w:p>
        </w:tc>
        <w:tc>
          <w:tcPr>
            <w:tcW w:w="120" w:type="dxa"/>
            <w:vAlign w:val="bottom"/>
          </w:tcPr>
          <w:p w14:paraId="52A757EC" w14:textId="77777777" w:rsidR="00D1587D" w:rsidRDefault="00D1587D">
            <w:pPr>
              <w:rPr>
                <w:sz w:val="4"/>
                <w:szCs w:val="4"/>
              </w:rPr>
            </w:pPr>
          </w:p>
        </w:tc>
        <w:tc>
          <w:tcPr>
            <w:tcW w:w="100" w:type="dxa"/>
            <w:vAlign w:val="bottom"/>
          </w:tcPr>
          <w:p w14:paraId="78E4E946" w14:textId="77777777" w:rsidR="00D1587D" w:rsidRDefault="00D1587D">
            <w:pPr>
              <w:rPr>
                <w:sz w:val="4"/>
                <w:szCs w:val="4"/>
              </w:rPr>
            </w:pPr>
          </w:p>
        </w:tc>
        <w:tc>
          <w:tcPr>
            <w:tcW w:w="380" w:type="dxa"/>
            <w:vAlign w:val="bottom"/>
          </w:tcPr>
          <w:p w14:paraId="00D61BE5" w14:textId="77777777" w:rsidR="00D1587D" w:rsidRDefault="00D1587D">
            <w:pPr>
              <w:rPr>
                <w:sz w:val="4"/>
                <w:szCs w:val="4"/>
              </w:rPr>
            </w:pPr>
          </w:p>
        </w:tc>
        <w:tc>
          <w:tcPr>
            <w:tcW w:w="20" w:type="dxa"/>
            <w:vAlign w:val="bottom"/>
          </w:tcPr>
          <w:p w14:paraId="30F8BE3D" w14:textId="77777777" w:rsidR="00D1587D" w:rsidRDefault="00D1587D">
            <w:pPr>
              <w:rPr>
                <w:sz w:val="4"/>
                <w:szCs w:val="4"/>
              </w:rPr>
            </w:pPr>
          </w:p>
        </w:tc>
        <w:tc>
          <w:tcPr>
            <w:tcW w:w="140" w:type="dxa"/>
            <w:vAlign w:val="bottom"/>
          </w:tcPr>
          <w:p w14:paraId="51A6FDC8" w14:textId="77777777" w:rsidR="00D1587D" w:rsidRDefault="00D1587D">
            <w:pPr>
              <w:rPr>
                <w:sz w:val="4"/>
                <w:szCs w:val="4"/>
              </w:rPr>
            </w:pPr>
          </w:p>
        </w:tc>
        <w:tc>
          <w:tcPr>
            <w:tcW w:w="100" w:type="dxa"/>
            <w:vAlign w:val="bottom"/>
          </w:tcPr>
          <w:p w14:paraId="0E62BBE9" w14:textId="77777777" w:rsidR="00D1587D" w:rsidRDefault="00D1587D">
            <w:pPr>
              <w:rPr>
                <w:sz w:val="4"/>
                <w:szCs w:val="4"/>
              </w:rPr>
            </w:pPr>
          </w:p>
        </w:tc>
        <w:tc>
          <w:tcPr>
            <w:tcW w:w="120" w:type="dxa"/>
            <w:vAlign w:val="bottom"/>
          </w:tcPr>
          <w:p w14:paraId="7CCF9822" w14:textId="77777777" w:rsidR="00D1587D" w:rsidRDefault="00D1587D">
            <w:pPr>
              <w:rPr>
                <w:sz w:val="4"/>
                <w:szCs w:val="4"/>
              </w:rPr>
            </w:pPr>
          </w:p>
        </w:tc>
        <w:tc>
          <w:tcPr>
            <w:tcW w:w="500" w:type="dxa"/>
            <w:vAlign w:val="bottom"/>
          </w:tcPr>
          <w:p w14:paraId="430C3CEC" w14:textId="77777777" w:rsidR="00D1587D" w:rsidRDefault="00D1587D">
            <w:pPr>
              <w:rPr>
                <w:sz w:val="4"/>
                <w:szCs w:val="4"/>
              </w:rPr>
            </w:pPr>
          </w:p>
        </w:tc>
        <w:tc>
          <w:tcPr>
            <w:tcW w:w="120" w:type="dxa"/>
            <w:vAlign w:val="bottom"/>
          </w:tcPr>
          <w:p w14:paraId="478A0B37" w14:textId="77777777" w:rsidR="00D1587D" w:rsidRDefault="00D1587D">
            <w:pPr>
              <w:rPr>
                <w:sz w:val="4"/>
                <w:szCs w:val="4"/>
              </w:rPr>
            </w:pPr>
          </w:p>
        </w:tc>
        <w:tc>
          <w:tcPr>
            <w:tcW w:w="100" w:type="dxa"/>
            <w:vAlign w:val="bottom"/>
          </w:tcPr>
          <w:p w14:paraId="15DD22E3" w14:textId="77777777" w:rsidR="00D1587D" w:rsidRDefault="00D1587D">
            <w:pPr>
              <w:rPr>
                <w:sz w:val="4"/>
                <w:szCs w:val="4"/>
              </w:rPr>
            </w:pPr>
          </w:p>
        </w:tc>
        <w:tc>
          <w:tcPr>
            <w:tcW w:w="120" w:type="dxa"/>
            <w:vAlign w:val="bottom"/>
          </w:tcPr>
          <w:p w14:paraId="5F901323" w14:textId="77777777" w:rsidR="00D1587D" w:rsidRDefault="00D1587D">
            <w:pPr>
              <w:rPr>
                <w:sz w:val="4"/>
                <w:szCs w:val="4"/>
              </w:rPr>
            </w:pPr>
          </w:p>
        </w:tc>
        <w:tc>
          <w:tcPr>
            <w:tcW w:w="100" w:type="dxa"/>
            <w:vAlign w:val="bottom"/>
          </w:tcPr>
          <w:p w14:paraId="353B1A28" w14:textId="77777777" w:rsidR="00D1587D" w:rsidRDefault="00D1587D">
            <w:pPr>
              <w:rPr>
                <w:sz w:val="4"/>
                <w:szCs w:val="4"/>
              </w:rPr>
            </w:pPr>
          </w:p>
        </w:tc>
        <w:tc>
          <w:tcPr>
            <w:tcW w:w="380" w:type="dxa"/>
            <w:vAlign w:val="bottom"/>
          </w:tcPr>
          <w:p w14:paraId="37672E59" w14:textId="77777777" w:rsidR="00D1587D" w:rsidRDefault="00D1587D">
            <w:pPr>
              <w:rPr>
                <w:sz w:val="4"/>
                <w:szCs w:val="4"/>
              </w:rPr>
            </w:pPr>
          </w:p>
        </w:tc>
        <w:tc>
          <w:tcPr>
            <w:tcW w:w="20" w:type="dxa"/>
            <w:vAlign w:val="bottom"/>
          </w:tcPr>
          <w:p w14:paraId="0C69E08E" w14:textId="77777777" w:rsidR="00D1587D" w:rsidRDefault="00D1587D">
            <w:pPr>
              <w:rPr>
                <w:sz w:val="4"/>
                <w:szCs w:val="4"/>
              </w:rPr>
            </w:pPr>
          </w:p>
        </w:tc>
        <w:tc>
          <w:tcPr>
            <w:tcW w:w="140" w:type="dxa"/>
            <w:vAlign w:val="bottom"/>
          </w:tcPr>
          <w:p w14:paraId="54D8615B" w14:textId="77777777" w:rsidR="00D1587D" w:rsidRDefault="00D1587D">
            <w:pPr>
              <w:rPr>
                <w:sz w:val="4"/>
                <w:szCs w:val="4"/>
              </w:rPr>
            </w:pPr>
          </w:p>
        </w:tc>
      </w:tr>
      <w:tr w:rsidR="00D1587D" w14:paraId="73D29860" w14:textId="77777777">
        <w:trPr>
          <w:trHeight w:val="304"/>
        </w:trPr>
        <w:tc>
          <w:tcPr>
            <w:tcW w:w="5960" w:type="dxa"/>
            <w:tcBorders>
              <w:bottom w:val="single" w:sz="8" w:space="0" w:color="CCEEFF"/>
            </w:tcBorders>
            <w:shd w:val="clear" w:color="auto" w:fill="CCEEFF"/>
            <w:vAlign w:val="bottom"/>
          </w:tcPr>
          <w:p w14:paraId="1EF99B41" w14:textId="77777777" w:rsidR="00D1587D" w:rsidRDefault="00410D07">
            <w:pPr>
              <w:ind w:left="180"/>
              <w:rPr>
                <w:sz w:val="20"/>
                <w:szCs w:val="20"/>
              </w:rPr>
            </w:pPr>
            <w:r>
              <w:rPr>
                <w:rFonts w:ascii="Arial" w:eastAsia="Arial" w:hAnsi="Arial" w:cs="Arial"/>
                <w:sz w:val="18"/>
                <w:szCs w:val="18"/>
              </w:rPr>
              <w:t>Accounts Payable</w:t>
            </w:r>
          </w:p>
        </w:tc>
        <w:tc>
          <w:tcPr>
            <w:tcW w:w="220" w:type="dxa"/>
            <w:gridSpan w:val="2"/>
            <w:tcBorders>
              <w:bottom w:val="single" w:sz="8" w:space="0" w:color="CCEEFF"/>
            </w:tcBorders>
            <w:shd w:val="clear" w:color="auto" w:fill="CCEEFF"/>
            <w:vAlign w:val="bottom"/>
          </w:tcPr>
          <w:p w14:paraId="68C5D3F1" w14:textId="77777777" w:rsidR="00D1587D" w:rsidRDefault="00410D07">
            <w:pPr>
              <w:jc w:val="right"/>
              <w:rPr>
                <w:sz w:val="20"/>
                <w:szCs w:val="20"/>
              </w:rPr>
            </w:pPr>
            <w:r>
              <w:rPr>
                <w:rFonts w:ascii="Arial" w:eastAsia="Arial" w:hAnsi="Arial" w:cs="Arial"/>
                <w:sz w:val="18"/>
                <w:szCs w:val="18"/>
              </w:rPr>
              <w:t>$</w:t>
            </w:r>
          </w:p>
        </w:tc>
        <w:tc>
          <w:tcPr>
            <w:tcW w:w="400" w:type="dxa"/>
            <w:gridSpan w:val="2"/>
            <w:tcBorders>
              <w:bottom w:val="single" w:sz="8" w:space="0" w:color="CCEEFF"/>
            </w:tcBorders>
            <w:shd w:val="clear" w:color="auto" w:fill="CCEEFF"/>
            <w:vAlign w:val="bottom"/>
          </w:tcPr>
          <w:p w14:paraId="0860C1C2" w14:textId="77777777" w:rsidR="00D1587D" w:rsidRDefault="00410D07">
            <w:pPr>
              <w:jc w:val="right"/>
              <w:rPr>
                <w:sz w:val="20"/>
                <w:szCs w:val="20"/>
              </w:rPr>
            </w:pPr>
            <w:r>
              <w:rPr>
                <w:rFonts w:ascii="Arial" w:eastAsia="Arial" w:hAnsi="Arial" w:cs="Arial"/>
                <w:sz w:val="18"/>
                <w:szCs w:val="18"/>
              </w:rPr>
              <w:t>366</w:t>
            </w:r>
          </w:p>
        </w:tc>
        <w:tc>
          <w:tcPr>
            <w:tcW w:w="140" w:type="dxa"/>
            <w:tcBorders>
              <w:bottom w:val="single" w:sz="8" w:space="0" w:color="CCEEFF"/>
            </w:tcBorders>
            <w:shd w:val="clear" w:color="auto" w:fill="CCEEFF"/>
            <w:vAlign w:val="bottom"/>
          </w:tcPr>
          <w:p w14:paraId="02F5F6F6"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10FF9C9"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4CEE5343" w14:textId="77777777" w:rsidR="00D1587D" w:rsidRDefault="00410D07">
            <w:pPr>
              <w:jc w:val="right"/>
              <w:rPr>
                <w:sz w:val="20"/>
                <w:szCs w:val="20"/>
              </w:rPr>
            </w:pPr>
            <w:r>
              <w:rPr>
                <w:rFonts w:ascii="Arial" w:eastAsia="Arial" w:hAnsi="Arial" w:cs="Arial"/>
                <w:sz w:val="18"/>
                <w:szCs w:val="18"/>
              </w:rPr>
              <w:t>$  338</w:t>
            </w:r>
          </w:p>
        </w:tc>
        <w:tc>
          <w:tcPr>
            <w:tcW w:w="120" w:type="dxa"/>
            <w:tcBorders>
              <w:bottom w:val="single" w:sz="8" w:space="0" w:color="CCEEFF"/>
            </w:tcBorders>
            <w:shd w:val="clear" w:color="auto" w:fill="CCEEFF"/>
            <w:vAlign w:val="bottom"/>
          </w:tcPr>
          <w:p w14:paraId="6DFD0781"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F15DBB9" w14:textId="77777777" w:rsidR="00D1587D" w:rsidRDefault="00D1587D">
            <w:pPr>
              <w:rPr>
                <w:sz w:val="24"/>
                <w:szCs w:val="24"/>
              </w:rPr>
            </w:pPr>
          </w:p>
        </w:tc>
        <w:tc>
          <w:tcPr>
            <w:tcW w:w="220" w:type="dxa"/>
            <w:gridSpan w:val="2"/>
            <w:tcBorders>
              <w:bottom w:val="single" w:sz="8" w:space="0" w:color="CCEEFF"/>
            </w:tcBorders>
            <w:shd w:val="clear" w:color="auto" w:fill="CCEEFF"/>
            <w:vAlign w:val="bottom"/>
          </w:tcPr>
          <w:p w14:paraId="249B056D" w14:textId="77777777" w:rsidR="00D1587D" w:rsidRDefault="00410D07">
            <w:pPr>
              <w:jc w:val="right"/>
              <w:rPr>
                <w:sz w:val="20"/>
                <w:szCs w:val="20"/>
              </w:rPr>
            </w:pPr>
            <w:r>
              <w:rPr>
                <w:rFonts w:ascii="Arial" w:eastAsia="Arial" w:hAnsi="Arial" w:cs="Arial"/>
                <w:sz w:val="18"/>
                <w:szCs w:val="18"/>
              </w:rPr>
              <w:t>$</w:t>
            </w:r>
          </w:p>
        </w:tc>
        <w:tc>
          <w:tcPr>
            <w:tcW w:w="400" w:type="dxa"/>
            <w:gridSpan w:val="2"/>
            <w:tcBorders>
              <w:bottom w:val="single" w:sz="8" w:space="0" w:color="CCEEFF"/>
            </w:tcBorders>
            <w:shd w:val="clear" w:color="auto" w:fill="CCEEFF"/>
            <w:vAlign w:val="bottom"/>
          </w:tcPr>
          <w:p w14:paraId="6A2BE96E" w14:textId="77777777" w:rsidR="00D1587D" w:rsidRDefault="00410D07">
            <w:pPr>
              <w:jc w:val="right"/>
              <w:rPr>
                <w:sz w:val="20"/>
                <w:szCs w:val="20"/>
              </w:rPr>
            </w:pPr>
            <w:r>
              <w:rPr>
                <w:rFonts w:ascii="Arial" w:eastAsia="Arial" w:hAnsi="Arial" w:cs="Arial"/>
                <w:sz w:val="18"/>
                <w:szCs w:val="18"/>
              </w:rPr>
              <w:t>391</w:t>
            </w:r>
          </w:p>
        </w:tc>
        <w:tc>
          <w:tcPr>
            <w:tcW w:w="140" w:type="dxa"/>
            <w:tcBorders>
              <w:bottom w:val="single" w:sz="8" w:space="0" w:color="CCEEFF"/>
            </w:tcBorders>
            <w:shd w:val="clear" w:color="auto" w:fill="CCEEFF"/>
            <w:vAlign w:val="bottom"/>
          </w:tcPr>
          <w:p w14:paraId="31A72210" w14:textId="77777777" w:rsidR="00D1587D" w:rsidRDefault="00D1587D">
            <w:pPr>
              <w:rPr>
                <w:sz w:val="24"/>
                <w:szCs w:val="24"/>
              </w:rPr>
            </w:pPr>
          </w:p>
        </w:tc>
      </w:tr>
      <w:tr w:rsidR="00D1587D" w14:paraId="7B8BBC28" w14:textId="77777777">
        <w:trPr>
          <w:trHeight w:val="270"/>
        </w:trPr>
        <w:tc>
          <w:tcPr>
            <w:tcW w:w="5960" w:type="dxa"/>
            <w:vAlign w:val="bottom"/>
          </w:tcPr>
          <w:p w14:paraId="712C8F89" w14:textId="77777777" w:rsidR="00D1587D" w:rsidRDefault="00410D07">
            <w:pPr>
              <w:ind w:left="180"/>
              <w:rPr>
                <w:sz w:val="20"/>
                <w:szCs w:val="20"/>
              </w:rPr>
            </w:pPr>
            <w:r>
              <w:rPr>
                <w:rFonts w:ascii="Arial" w:eastAsia="Arial" w:hAnsi="Arial" w:cs="Arial"/>
                <w:sz w:val="18"/>
                <w:szCs w:val="18"/>
              </w:rPr>
              <w:t>Accrued Expenses and Other</w:t>
            </w:r>
          </w:p>
        </w:tc>
        <w:tc>
          <w:tcPr>
            <w:tcW w:w="120" w:type="dxa"/>
            <w:vAlign w:val="bottom"/>
          </w:tcPr>
          <w:p w14:paraId="558B73ED" w14:textId="77777777" w:rsidR="00D1587D" w:rsidRDefault="00D1587D">
            <w:pPr>
              <w:rPr>
                <w:sz w:val="23"/>
                <w:szCs w:val="23"/>
              </w:rPr>
            </w:pPr>
          </w:p>
        </w:tc>
        <w:tc>
          <w:tcPr>
            <w:tcW w:w="100" w:type="dxa"/>
            <w:vAlign w:val="bottom"/>
          </w:tcPr>
          <w:p w14:paraId="61EB405C" w14:textId="77777777" w:rsidR="00D1587D" w:rsidRDefault="00D1587D">
            <w:pPr>
              <w:rPr>
                <w:sz w:val="23"/>
                <w:szCs w:val="23"/>
              </w:rPr>
            </w:pPr>
          </w:p>
        </w:tc>
        <w:tc>
          <w:tcPr>
            <w:tcW w:w="400" w:type="dxa"/>
            <w:gridSpan w:val="2"/>
            <w:vAlign w:val="bottom"/>
          </w:tcPr>
          <w:p w14:paraId="1910ED87" w14:textId="77777777" w:rsidR="00D1587D" w:rsidRDefault="00410D07">
            <w:pPr>
              <w:ind w:right="20"/>
              <w:jc w:val="right"/>
              <w:rPr>
                <w:sz w:val="20"/>
                <w:szCs w:val="20"/>
              </w:rPr>
            </w:pPr>
            <w:r>
              <w:rPr>
                <w:rFonts w:ascii="Arial" w:eastAsia="Arial" w:hAnsi="Arial" w:cs="Arial"/>
                <w:sz w:val="18"/>
                <w:szCs w:val="18"/>
              </w:rPr>
              <w:t>688</w:t>
            </w:r>
          </w:p>
        </w:tc>
        <w:tc>
          <w:tcPr>
            <w:tcW w:w="140" w:type="dxa"/>
            <w:vAlign w:val="bottom"/>
          </w:tcPr>
          <w:p w14:paraId="3975214B" w14:textId="77777777" w:rsidR="00D1587D" w:rsidRDefault="00D1587D">
            <w:pPr>
              <w:rPr>
                <w:sz w:val="23"/>
                <w:szCs w:val="23"/>
              </w:rPr>
            </w:pPr>
          </w:p>
        </w:tc>
        <w:tc>
          <w:tcPr>
            <w:tcW w:w="100" w:type="dxa"/>
            <w:vAlign w:val="bottom"/>
          </w:tcPr>
          <w:p w14:paraId="5D8B1E80" w14:textId="77777777" w:rsidR="00D1587D" w:rsidRDefault="00D1587D">
            <w:pPr>
              <w:rPr>
                <w:sz w:val="23"/>
                <w:szCs w:val="23"/>
              </w:rPr>
            </w:pPr>
          </w:p>
        </w:tc>
        <w:tc>
          <w:tcPr>
            <w:tcW w:w="620" w:type="dxa"/>
            <w:gridSpan w:val="2"/>
            <w:vAlign w:val="bottom"/>
          </w:tcPr>
          <w:p w14:paraId="3D1DEFB0" w14:textId="77777777" w:rsidR="00D1587D" w:rsidRDefault="00410D07">
            <w:pPr>
              <w:jc w:val="right"/>
              <w:rPr>
                <w:sz w:val="20"/>
                <w:szCs w:val="20"/>
              </w:rPr>
            </w:pPr>
            <w:r>
              <w:rPr>
                <w:rFonts w:ascii="Arial" w:eastAsia="Arial" w:hAnsi="Arial" w:cs="Arial"/>
                <w:sz w:val="18"/>
                <w:szCs w:val="18"/>
              </w:rPr>
              <w:t>776</w:t>
            </w:r>
          </w:p>
        </w:tc>
        <w:tc>
          <w:tcPr>
            <w:tcW w:w="120" w:type="dxa"/>
            <w:vAlign w:val="bottom"/>
          </w:tcPr>
          <w:p w14:paraId="40810EF3" w14:textId="77777777" w:rsidR="00D1587D" w:rsidRDefault="00D1587D">
            <w:pPr>
              <w:rPr>
                <w:sz w:val="23"/>
                <w:szCs w:val="23"/>
              </w:rPr>
            </w:pPr>
          </w:p>
        </w:tc>
        <w:tc>
          <w:tcPr>
            <w:tcW w:w="100" w:type="dxa"/>
            <w:vAlign w:val="bottom"/>
          </w:tcPr>
          <w:p w14:paraId="32275C37" w14:textId="77777777" w:rsidR="00D1587D" w:rsidRDefault="00D1587D">
            <w:pPr>
              <w:rPr>
                <w:sz w:val="23"/>
                <w:szCs w:val="23"/>
              </w:rPr>
            </w:pPr>
          </w:p>
        </w:tc>
        <w:tc>
          <w:tcPr>
            <w:tcW w:w="120" w:type="dxa"/>
            <w:vAlign w:val="bottom"/>
          </w:tcPr>
          <w:p w14:paraId="2B097EF3" w14:textId="77777777" w:rsidR="00D1587D" w:rsidRDefault="00D1587D">
            <w:pPr>
              <w:rPr>
                <w:sz w:val="23"/>
                <w:szCs w:val="23"/>
              </w:rPr>
            </w:pPr>
          </w:p>
        </w:tc>
        <w:tc>
          <w:tcPr>
            <w:tcW w:w="100" w:type="dxa"/>
            <w:vAlign w:val="bottom"/>
          </w:tcPr>
          <w:p w14:paraId="2658095E" w14:textId="77777777" w:rsidR="00D1587D" w:rsidRDefault="00D1587D">
            <w:pPr>
              <w:rPr>
                <w:sz w:val="23"/>
                <w:szCs w:val="23"/>
              </w:rPr>
            </w:pPr>
          </w:p>
        </w:tc>
        <w:tc>
          <w:tcPr>
            <w:tcW w:w="400" w:type="dxa"/>
            <w:gridSpan w:val="2"/>
            <w:vAlign w:val="bottom"/>
          </w:tcPr>
          <w:p w14:paraId="1A6C33DE" w14:textId="77777777" w:rsidR="00D1587D" w:rsidRDefault="00410D07">
            <w:pPr>
              <w:jc w:val="right"/>
              <w:rPr>
                <w:sz w:val="20"/>
                <w:szCs w:val="20"/>
              </w:rPr>
            </w:pPr>
            <w:r>
              <w:rPr>
                <w:rFonts w:ascii="Arial" w:eastAsia="Arial" w:hAnsi="Arial" w:cs="Arial"/>
                <w:sz w:val="18"/>
                <w:szCs w:val="18"/>
              </w:rPr>
              <w:t>492</w:t>
            </w:r>
          </w:p>
        </w:tc>
        <w:tc>
          <w:tcPr>
            <w:tcW w:w="140" w:type="dxa"/>
            <w:vAlign w:val="bottom"/>
          </w:tcPr>
          <w:p w14:paraId="440E8186" w14:textId="77777777" w:rsidR="00D1587D" w:rsidRDefault="00D1587D">
            <w:pPr>
              <w:rPr>
                <w:sz w:val="23"/>
                <w:szCs w:val="23"/>
              </w:rPr>
            </w:pPr>
          </w:p>
        </w:tc>
      </w:tr>
      <w:tr w:rsidR="00D1587D" w14:paraId="4B3D9C15" w14:textId="77777777">
        <w:trPr>
          <w:trHeight w:val="54"/>
        </w:trPr>
        <w:tc>
          <w:tcPr>
            <w:tcW w:w="5960" w:type="dxa"/>
            <w:vAlign w:val="bottom"/>
          </w:tcPr>
          <w:p w14:paraId="3ABE3980" w14:textId="77777777" w:rsidR="00D1587D" w:rsidRDefault="00D1587D">
            <w:pPr>
              <w:rPr>
                <w:sz w:val="4"/>
                <w:szCs w:val="4"/>
              </w:rPr>
            </w:pPr>
          </w:p>
        </w:tc>
        <w:tc>
          <w:tcPr>
            <w:tcW w:w="120" w:type="dxa"/>
            <w:vAlign w:val="bottom"/>
          </w:tcPr>
          <w:p w14:paraId="2EB0BDCA" w14:textId="77777777" w:rsidR="00D1587D" w:rsidRDefault="00D1587D">
            <w:pPr>
              <w:rPr>
                <w:sz w:val="4"/>
                <w:szCs w:val="4"/>
              </w:rPr>
            </w:pPr>
          </w:p>
        </w:tc>
        <w:tc>
          <w:tcPr>
            <w:tcW w:w="100" w:type="dxa"/>
            <w:vAlign w:val="bottom"/>
          </w:tcPr>
          <w:p w14:paraId="4D6DC380" w14:textId="77777777" w:rsidR="00D1587D" w:rsidRDefault="00D1587D">
            <w:pPr>
              <w:rPr>
                <w:sz w:val="4"/>
                <w:szCs w:val="4"/>
              </w:rPr>
            </w:pPr>
          </w:p>
        </w:tc>
        <w:tc>
          <w:tcPr>
            <w:tcW w:w="380" w:type="dxa"/>
            <w:vAlign w:val="bottom"/>
          </w:tcPr>
          <w:p w14:paraId="06F1EC88" w14:textId="77777777" w:rsidR="00D1587D" w:rsidRDefault="00D1587D">
            <w:pPr>
              <w:rPr>
                <w:sz w:val="4"/>
                <w:szCs w:val="4"/>
              </w:rPr>
            </w:pPr>
          </w:p>
        </w:tc>
        <w:tc>
          <w:tcPr>
            <w:tcW w:w="20" w:type="dxa"/>
            <w:vAlign w:val="bottom"/>
          </w:tcPr>
          <w:p w14:paraId="0A0BC785" w14:textId="77777777" w:rsidR="00D1587D" w:rsidRDefault="00D1587D">
            <w:pPr>
              <w:rPr>
                <w:sz w:val="4"/>
                <w:szCs w:val="4"/>
              </w:rPr>
            </w:pPr>
          </w:p>
        </w:tc>
        <w:tc>
          <w:tcPr>
            <w:tcW w:w="140" w:type="dxa"/>
            <w:vAlign w:val="bottom"/>
          </w:tcPr>
          <w:p w14:paraId="00F1EFF1" w14:textId="77777777" w:rsidR="00D1587D" w:rsidRDefault="00D1587D">
            <w:pPr>
              <w:rPr>
                <w:sz w:val="4"/>
                <w:szCs w:val="4"/>
              </w:rPr>
            </w:pPr>
          </w:p>
        </w:tc>
        <w:tc>
          <w:tcPr>
            <w:tcW w:w="100" w:type="dxa"/>
            <w:vAlign w:val="bottom"/>
          </w:tcPr>
          <w:p w14:paraId="5C8EB3FC" w14:textId="77777777" w:rsidR="00D1587D" w:rsidRDefault="00D1587D">
            <w:pPr>
              <w:rPr>
                <w:sz w:val="4"/>
                <w:szCs w:val="4"/>
              </w:rPr>
            </w:pPr>
          </w:p>
        </w:tc>
        <w:tc>
          <w:tcPr>
            <w:tcW w:w="120" w:type="dxa"/>
            <w:vAlign w:val="bottom"/>
          </w:tcPr>
          <w:p w14:paraId="699BB6AB" w14:textId="77777777" w:rsidR="00D1587D" w:rsidRDefault="00D1587D">
            <w:pPr>
              <w:rPr>
                <w:sz w:val="4"/>
                <w:szCs w:val="4"/>
              </w:rPr>
            </w:pPr>
          </w:p>
        </w:tc>
        <w:tc>
          <w:tcPr>
            <w:tcW w:w="500" w:type="dxa"/>
            <w:vAlign w:val="bottom"/>
          </w:tcPr>
          <w:p w14:paraId="15BBA78C" w14:textId="77777777" w:rsidR="00D1587D" w:rsidRDefault="00D1587D">
            <w:pPr>
              <w:rPr>
                <w:sz w:val="4"/>
                <w:szCs w:val="4"/>
              </w:rPr>
            </w:pPr>
          </w:p>
        </w:tc>
        <w:tc>
          <w:tcPr>
            <w:tcW w:w="120" w:type="dxa"/>
            <w:vAlign w:val="bottom"/>
          </w:tcPr>
          <w:p w14:paraId="5B176F23" w14:textId="77777777" w:rsidR="00D1587D" w:rsidRDefault="00D1587D">
            <w:pPr>
              <w:rPr>
                <w:sz w:val="4"/>
                <w:szCs w:val="4"/>
              </w:rPr>
            </w:pPr>
          </w:p>
        </w:tc>
        <w:tc>
          <w:tcPr>
            <w:tcW w:w="100" w:type="dxa"/>
            <w:vAlign w:val="bottom"/>
          </w:tcPr>
          <w:p w14:paraId="2D0F8448" w14:textId="77777777" w:rsidR="00D1587D" w:rsidRDefault="00D1587D">
            <w:pPr>
              <w:rPr>
                <w:sz w:val="4"/>
                <w:szCs w:val="4"/>
              </w:rPr>
            </w:pPr>
          </w:p>
        </w:tc>
        <w:tc>
          <w:tcPr>
            <w:tcW w:w="120" w:type="dxa"/>
            <w:vAlign w:val="bottom"/>
          </w:tcPr>
          <w:p w14:paraId="47528D95" w14:textId="77777777" w:rsidR="00D1587D" w:rsidRDefault="00D1587D">
            <w:pPr>
              <w:rPr>
                <w:sz w:val="4"/>
                <w:szCs w:val="4"/>
              </w:rPr>
            </w:pPr>
          </w:p>
        </w:tc>
        <w:tc>
          <w:tcPr>
            <w:tcW w:w="100" w:type="dxa"/>
            <w:vAlign w:val="bottom"/>
          </w:tcPr>
          <w:p w14:paraId="450E5549" w14:textId="77777777" w:rsidR="00D1587D" w:rsidRDefault="00D1587D">
            <w:pPr>
              <w:rPr>
                <w:sz w:val="4"/>
                <w:szCs w:val="4"/>
              </w:rPr>
            </w:pPr>
          </w:p>
        </w:tc>
        <w:tc>
          <w:tcPr>
            <w:tcW w:w="380" w:type="dxa"/>
            <w:vAlign w:val="bottom"/>
          </w:tcPr>
          <w:p w14:paraId="51EAA849" w14:textId="77777777" w:rsidR="00D1587D" w:rsidRDefault="00D1587D">
            <w:pPr>
              <w:rPr>
                <w:sz w:val="4"/>
                <w:szCs w:val="4"/>
              </w:rPr>
            </w:pPr>
          </w:p>
        </w:tc>
        <w:tc>
          <w:tcPr>
            <w:tcW w:w="20" w:type="dxa"/>
            <w:vAlign w:val="bottom"/>
          </w:tcPr>
          <w:p w14:paraId="3246DF66" w14:textId="77777777" w:rsidR="00D1587D" w:rsidRDefault="00D1587D">
            <w:pPr>
              <w:rPr>
                <w:sz w:val="4"/>
                <w:szCs w:val="4"/>
              </w:rPr>
            </w:pPr>
          </w:p>
        </w:tc>
        <w:tc>
          <w:tcPr>
            <w:tcW w:w="140" w:type="dxa"/>
            <w:vAlign w:val="bottom"/>
          </w:tcPr>
          <w:p w14:paraId="63F50E97" w14:textId="77777777" w:rsidR="00D1587D" w:rsidRDefault="00D1587D">
            <w:pPr>
              <w:rPr>
                <w:sz w:val="4"/>
                <w:szCs w:val="4"/>
              </w:rPr>
            </w:pPr>
          </w:p>
        </w:tc>
      </w:tr>
      <w:tr w:rsidR="00D1587D" w14:paraId="3E79DB75" w14:textId="77777777">
        <w:trPr>
          <w:trHeight w:val="304"/>
        </w:trPr>
        <w:tc>
          <w:tcPr>
            <w:tcW w:w="5960" w:type="dxa"/>
            <w:tcBorders>
              <w:bottom w:val="single" w:sz="8" w:space="0" w:color="CCEEFF"/>
            </w:tcBorders>
            <w:shd w:val="clear" w:color="auto" w:fill="CCEEFF"/>
            <w:vAlign w:val="bottom"/>
          </w:tcPr>
          <w:p w14:paraId="1599BAAE" w14:textId="77777777" w:rsidR="00D1587D" w:rsidRDefault="00410D07">
            <w:pPr>
              <w:ind w:left="180"/>
              <w:rPr>
                <w:sz w:val="20"/>
                <w:szCs w:val="20"/>
              </w:rPr>
            </w:pPr>
            <w:r>
              <w:rPr>
                <w:rFonts w:ascii="Arial" w:eastAsia="Arial" w:hAnsi="Arial" w:cs="Arial"/>
                <w:sz w:val="18"/>
                <w:szCs w:val="18"/>
              </w:rPr>
              <w:t>Current Debt</w:t>
            </w:r>
          </w:p>
        </w:tc>
        <w:tc>
          <w:tcPr>
            <w:tcW w:w="120" w:type="dxa"/>
            <w:tcBorders>
              <w:bottom w:val="single" w:sz="8" w:space="0" w:color="CCEEFF"/>
            </w:tcBorders>
            <w:shd w:val="clear" w:color="auto" w:fill="CCEEFF"/>
            <w:vAlign w:val="bottom"/>
          </w:tcPr>
          <w:p w14:paraId="459B7203" w14:textId="77777777" w:rsidR="00D1587D" w:rsidRDefault="00D1587D">
            <w:pPr>
              <w:rPr>
                <w:sz w:val="24"/>
                <w:szCs w:val="24"/>
              </w:rPr>
            </w:pPr>
          </w:p>
        </w:tc>
        <w:tc>
          <w:tcPr>
            <w:tcW w:w="100" w:type="dxa"/>
            <w:tcBorders>
              <w:bottom w:val="single" w:sz="8" w:space="0" w:color="CCEEFF"/>
            </w:tcBorders>
            <w:shd w:val="clear" w:color="auto" w:fill="CCEEFF"/>
            <w:vAlign w:val="bottom"/>
          </w:tcPr>
          <w:p w14:paraId="7771BDE5" w14:textId="77777777" w:rsidR="00D1587D" w:rsidRDefault="00D1587D">
            <w:pPr>
              <w:rPr>
                <w:sz w:val="24"/>
                <w:szCs w:val="24"/>
              </w:rPr>
            </w:pPr>
          </w:p>
        </w:tc>
        <w:tc>
          <w:tcPr>
            <w:tcW w:w="640" w:type="dxa"/>
            <w:gridSpan w:val="4"/>
            <w:tcBorders>
              <w:bottom w:val="single" w:sz="8" w:space="0" w:color="CCEEFF"/>
            </w:tcBorders>
            <w:shd w:val="clear" w:color="auto" w:fill="CCEEFF"/>
            <w:vAlign w:val="bottom"/>
          </w:tcPr>
          <w:p w14:paraId="618EEE1B" w14:textId="77777777" w:rsidR="00D1587D" w:rsidRDefault="00410D07">
            <w:pPr>
              <w:ind w:right="24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43515BA6" w14:textId="77777777" w:rsidR="00D1587D" w:rsidRDefault="00D1587D">
            <w:pPr>
              <w:rPr>
                <w:sz w:val="24"/>
                <w:szCs w:val="24"/>
              </w:rPr>
            </w:pPr>
          </w:p>
        </w:tc>
        <w:tc>
          <w:tcPr>
            <w:tcW w:w="720" w:type="dxa"/>
            <w:gridSpan w:val="3"/>
            <w:tcBorders>
              <w:bottom w:val="single" w:sz="8" w:space="0" w:color="CCEEFF"/>
            </w:tcBorders>
            <w:shd w:val="clear" w:color="auto" w:fill="CCEEFF"/>
            <w:vAlign w:val="bottom"/>
          </w:tcPr>
          <w:p w14:paraId="2335C0FB" w14:textId="77777777" w:rsidR="00D1587D" w:rsidRDefault="00410D07">
            <w:pPr>
              <w:ind w:right="22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60391035"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82FB5D9"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295FEB39" w14:textId="77777777" w:rsidR="00D1587D" w:rsidRDefault="00410D07">
            <w:pPr>
              <w:jc w:val="right"/>
              <w:rPr>
                <w:sz w:val="20"/>
                <w:szCs w:val="20"/>
              </w:rPr>
            </w:pPr>
            <w:r>
              <w:rPr>
                <w:rFonts w:ascii="Arial" w:eastAsia="Arial" w:hAnsi="Arial" w:cs="Arial"/>
                <w:sz w:val="18"/>
                <w:szCs w:val="18"/>
              </w:rPr>
              <w:t>18</w:t>
            </w:r>
          </w:p>
        </w:tc>
        <w:tc>
          <w:tcPr>
            <w:tcW w:w="140" w:type="dxa"/>
            <w:tcBorders>
              <w:bottom w:val="single" w:sz="8" w:space="0" w:color="CCEEFF"/>
            </w:tcBorders>
            <w:shd w:val="clear" w:color="auto" w:fill="CCEEFF"/>
            <w:vAlign w:val="bottom"/>
          </w:tcPr>
          <w:p w14:paraId="5FCFB5AF" w14:textId="77777777" w:rsidR="00D1587D" w:rsidRDefault="00D1587D">
            <w:pPr>
              <w:rPr>
                <w:sz w:val="24"/>
                <w:szCs w:val="24"/>
              </w:rPr>
            </w:pPr>
          </w:p>
        </w:tc>
      </w:tr>
      <w:tr w:rsidR="00D1587D" w14:paraId="0E9FF748" w14:textId="77777777">
        <w:trPr>
          <w:trHeight w:val="270"/>
        </w:trPr>
        <w:tc>
          <w:tcPr>
            <w:tcW w:w="5960" w:type="dxa"/>
            <w:vAlign w:val="bottom"/>
          </w:tcPr>
          <w:p w14:paraId="63E4EC05" w14:textId="77777777" w:rsidR="00D1587D" w:rsidRDefault="00410D07">
            <w:pPr>
              <w:ind w:left="180"/>
              <w:rPr>
                <w:sz w:val="20"/>
                <w:szCs w:val="20"/>
              </w:rPr>
            </w:pPr>
            <w:r>
              <w:rPr>
                <w:rFonts w:ascii="Arial" w:eastAsia="Arial" w:hAnsi="Arial" w:cs="Arial"/>
                <w:sz w:val="18"/>
                <w:szCs w:val="18"/>
              </w:rPr>
              <w:t xml:space="preserve">Current Operating Lease </w:t>
            </w:r>
            <w:r>
              <w:rPr>
                <w:rFonts w:ascii="Arial" w:eastAsia="Arial" w:hAnsi="Arial" w:cs="Arial"/>
                <w:sz w:val="18"/>
                <w:szCs w:val="18"/>
              </w:rPr>
              <w:t>Liabilities</w:t>
            </w:r>
          </w:p>
        </w:tc>
        <w:tc>
          <w:tcPr>
            <w:tcW w:w="120" w:type="dxa"/>
            <w:vAlign w:val="bottom"/>
          </w:tcPr>
          <w:p w14:paraId="603F77D2" w14:textId="77777777" w:rsidR="00D1587D" w:rsidRDefault="00D1587D">
            <w:pPr>
              <w:rPr>
                <w:sz w:val="23"/>
                <w:szCs w:val="23"/>
              </w:rPr>
            </w:pPr>
          </w:p>
        </w:tc>
        <w:tc>
          <w:tcPr>
            <w:tcW w:w="100" w:type="dxa"/>
            <w:vAlign w:val="bottom"/>
          </w:tcPr>
          <w:p w14:paraId="7DE4A4BA" w14:textId="77777777" w:rsidR="00D1587D" w:rsidRDefault="00D1587D">
            <w:pPr>
              <w:rPr>
                <w:sz w:val="23"/>
                <w:szCs w:val="23"/>
              </w:rPr>
            </w:pPr>
          </w:p>
        </w:tc>
        <w:tc>
          <w:tcPr>
            <w:tcW w:w="400" w:type="dxa"/>
            <w:gridSpan w:val="2"/>
            <w:vAlign w:val="bottom"/>
          </w:tcPr>
          <w:p w14:paraId="479073EC" w14:textId="77777777" w:rsidR="00D1587D" w:rsidRDefault="00410D07">
            <w:pPr>
              <w:ind w:right="20"/>
              <w:jc w:val="right"/>
              <w:rPr>
                <w:sz w:val="20"/>
                <w:szCs w:val="20"/>
              </w:rPr>
            </w:pPr>
            <w:r>
              <w:rPr>
                <w:rFonts w:ascii="Arial" w:eastAsia="Arial" w:hAnsi="Arial" w:cs="Arial"/>
                <w:sz w:val="18"/>
                <w:szCs w:val="18"/>
              </w:rPr>
              <w:t>356</w:t>
            </w:r>
          </w:p>
        </w:tc>
        <w:tc>
          <w:tcPr>
            <w:tcW w:w="140" w:type="dxa"/>
            <w:vAlign w:val="bottom"/>
          </w:tcPr>
          <w:p w14:paraId="0BBC046C" w14:textId="77777777" w:rsidR="00D1587D" w:rsidRDefault="00D1587D">
            <w:pPr>
              <w:rPr>
                <w:sz w:val="23"/>
                <w:szCs w:val="23"/>
              </w:rPr>
            </w:pPr>
          </w:p>
        </w:tc>
        <w:tc>
          <w:tcPr>
            <w:tcW w:w="100" w:type="dxa"/>
            <w:vAlign w:val="bottom"/>
          </w:tcPr>
          <w:p w14:paraId="470254FD" w14:textId="77777777" w:rsidR="00D1587D" w:rsidRDefault="00D1587D">
            <w:pPr>
              <w:rPr>
                <w:sz w:val="23"/>
                <w:szCs w:val="23"/>
              </w:rPr>
            </w:pPr>
          </w:p>
        </w:tc>
        <w:tc>
          <w:tcPr>
            <w:tcW w:w="620" w:type="dxa"/>
            <w:gridSpan w:val="2"/>
            <w:vAlign w:val="bottom"/>
          </w:tcPr>
          <w:p w14:paraId="3F8338C4" w14:textId="77777777" w:rsidR="00D1587D" w:rsidRDefault="00410D07">
            <w:pPr>
              <w:jc w:val="right"/>
              <w:rPr>
                <w:sz w:val="20"/>
                <w:szCs w:val="20"/>
              </w:rPr>
            </w:pPr>
            <w:r>
              <w:rPr>
                <w:rFonts w:ascii="Arial" w:eastAsia="Arial" w:hAnsi="Arial" w:cs="Arial"/>
                <w:sz w:val="18"/>
                <w:szCs w:val="18"/>
              </w:rPr>
              <w:t>421</w:t>
            </w:r>
          </w:p>
        </w:tc>
        <w:tc>
          <w:tcPr>
            <w:tcW w:w="120" w:type="dxa"/>
            <w:vAlign w:val="bottom"/>
          </w:tcPr>
          <w:p w14:paraId="28257C4A" w14:textId="77777777" w:rsidR="00D1587D" w:rsidRDefault="00D1587D">
            <w:pPr>
              <w:rPr>
                <w:sz w:val="23"/>
                <w:szCs w:val="23"/>
              </w:rPr>
            </w:pPr>
          </w:p>
        </w:tc>
        <w:tc>
          <w:tcPr>
            <w:tcW w:w="100" w:type="dxa"/>
            <w:vAlign w:val="bottom"/>
          </w:tcPr>
          <w:p w14:paraId="411DE87E" w14:textId="77777777" w:rsidR="00D1587D" w:rsidRDefault="00D1587D">
            <w:pPr>
              <w:rPr>
                <w:sz w:val="23"/>
                <w:szCs w:val="23"/>
              </w:rPr>
            </w:pPr>
          </w:p>
        </w:tc>
        <w:tc>
          <w:tcPr>
            <w:tcW w:w="120" w:type="dxa"/>
            <w:vAlign w:val="bottom"/>
          </w:tcPr>
          <w:p w14:paraId="336CF9CC" w14:textId="77777777" w:rsidR="00D1587D" w:rsidRDefault="00D1587D">
            <w:pPr>
              <w:rPr>
                <w:sz w:val="23"/>
                <w:szCs w:val="23"/>
              </w:rPr>
            </w:pPr>
          </w:p>
        </w:tc>
        <w:tc>
          <w:tcPr>
            <w:tcW w:w="100" w:type="dxa"/>
            <w:vAlign w:val="bottom"/>
          </w:tcPr>
          <w:p w14:paraId="76B7E0A5" w14:textId="77777777" w:rsidR="00D1587D" w:rsidRDefault="00D1587D">
            <w:pPr>
              <w:rPr>
                <w:sz w:val="23"/>
                <w:szCs w:val="23"/>
              </w:rPr>
            </w:pPr>
          </w:p>
        </w:tc>
        <w:tc>
          <w:tcPr>
            <w:tcW w:w="400" w:type="dxa"/>
            <w:gridSpan w:val="2"/>
            <w:vAlign w:val="bottom"/>
          </w:tcPr>
          <w:p w14:paraId="07321C78" w14:textId="77777777" w:rsidR="00D1587D" w:rsidRDefault="00410D07">
            <w:pPr>
              <w:jc w:val="right"/>
              <w:rPr>
                <w:sz w:val="20"/>
                <w:szCs w:val="20"/>
              </w:rPr>
            </w:pPr>
            <w:r>
              <w:rPr>
                <w:rFonts w:ascii="Arial" w:eastAsia="Arial" w:hAnsi="Arial" w:cs="Arial"/>
                <w:sz w:val="18"/>
                <w:szCs w:val="18"/>
              </w:rPr>
              <w:t>424</w:t>
            </w:r>
          </w:p>
        </w:tc>
        <w:tc>
          <w:tcPr>
            <w:tcW w:w="140" w:type="dxa"/>
            <w:vAlign w:val="bottom"/>
          </w:tcPr>
          <w:p w14:paraId="287AEB41" w14:textId="77777777" w:rsidR="00D1587D" w:rsidRDefault="00D1587D">
            <w:pPr>
              <w:rPr>
                <w:sz w:val="23"/>
                <w:szCs w:val="23"/>
              </w:rPr>
            </w:pPr>
          </w:p>
        </w:tc>
      </w:tr>
      <w:tr w:rsidR="00D1587D" w14:paraId="7A9C6724" w14:textId="77777777">
        <w:trPr>
          <w:trHeight w:val="54"/>
        </w:trPr>
        <w:tc>
          <w:tcPr>
            <w:tcW w:w="5960" w:type="dxa"/>
            <w:vAlign w:val="bottom"/>
          </w:tcPr>
          <w:p w14:paraId="29DE3064" w14:textId="77777777" w:rsidR="00D1587D" w:rsidRDefault="00D1587D">
            <w:pPr>
              <w:rPr>
                <w:sz w:val="4"/>
                <w:szCs w:val="4"/>
              </w:rPr>
            </w:pPr>
          </w:p>
        </w:tc>
        <w:tc>
          <w:tcPr>
            <w:tcW w:w="120" w:type="dxa"/>
            <w:vAlign w:val="bottom"/>
          </w:tcPr>
          <w:p w14:paraId="4BF33EC0" w14:textId="77777777" w:rsidR="00D1587D" w:rsidRDefault="00D1587D">
            <w:pPr>
              <w:rPr>
                <w:sz w:val="4"/>
                <w:szCs w:val="4"/>
              </w:rPr>
            </w:pPr>
          </w:p>
        </w:tc>
        <w:tc>
          <w:tcPr>
            <w:tcW w:w="100" w:type="dxa"/>
            <w:vAlign w:val="bottom"/>
          </w:tcPr>
          <w:p w14:paraId="4DBB1E18" w14:textId="77777777" w:rsidR="00D1587D" w:rsidRDefault="00D1587D">
            <w:pPr>
              <w:rPr>
                <w:sz w:val="4"/>
                <w:szCs w:val="4"/>
              </w:rPr>
            </w:pPr>
          </w:p>
        </w:tc>
        <w:tc>
          <w:tcPr>
            <w:tcW w:w="380" w:type="dxa"/>
            <w:vAlign w:val="bottom"/>
          </w:tcPr>
          <w:p w14:paraId="1E7E7076" w14:textId="77777777" w:rsidR="00D1587D" w:rsidRDefault="00D1587D">
            <w:pPr>
              <w:rPr>
                <w:sz w:val="4"/>
                <w:szCs w:val="4"/>
              </w:rPr>
            </w:pPr>
          </w:p>
        </w:tc>
        <w:tc>
          <w:tcPr>
            <w:tcW w:w="20" w:type="dxa"/>
            <w:vAlign w:val="bottom"/>
          </w:tcPr>
          <w:p w14:paraId="73AD2E5D" w14:textId="77777777" w:rsidR="00D1587D" w:rsidRDefault="00D1587D">
            <w:pPr>
              <w:rPr>
                <w:sz w:val="4"/>
                <w:szCs w:val="4"/>
              </w:rPr>
            </w:pPr>
          </w:p>
        </w:tc>
        <w:tc>
          <w:tcPr>
            <w:tcW w:w="140" w:type="dxa"/>
            <w:vAlign w:val="bottom"/>
          </w:tcPr>
          <w:p w14:paraId="55D89B46" w14:textId="77777777" w:rsidR="00D1587D" w:rsidRDefault="00D1587D">
            <w:pPr>
              <w:rPr>
                <w:sz w:val="4"/>
                <w:szCs w:val="4"/>
              </w:rPr>
            </w:pPr>
          </w:p>
        </w:tc>
        <w:tc>
          <w:tcPr>
            <w:tcW w:w="100" w:type="dxa"/>
            <w:vAlign w:val="bottom"/>
          </w:tcPr>
          <w:p w14:paraId="71C99F13" w14:textId="77777777" w:rsidR="00D1587D" w:rsidRDefault="00D1587D">
            <w:pPr>
              <w:rPr>
                <w:sz w:val="4"/>
                <w:szCs w:val="4"/>
              </w:rPr>
            </w:pPr>
          </w:p>
        </w:tc>
        <w:tc>
          <w:tcPr>
            <w:tcW w:w="120" w:type="dxa"/>
            <w:vAlign w:val="bottom"/>
          </w:tcPr>
          <w:p w14:paraId="5EE88327" w14:textId="77777777" w:rsidR="00D1587D" w:rsidRDefault="00D1587D">
            <w:pPr>
              <w:rPr>
                <w:sz w:val="4"/>
                <w:szCs w:val="4"/>
              </w:rPr>
            </w:pPr>
          </w:p>
        </w:tc>
        <w:tc>
          <w:tcPr>
            <w:tcW w:w="500" w:type="dxa"/>
            <w:vAlign w:val="bottom"/>
          </w:tcPr>
          <w:p w14:paraId="18FC54B3" w14:textId="77777777" w:rsidR="00D1587D" w:rsidRDefault="00D1587D">
            <w:pPr>
              <w:rPr>
                <w:sz w:val="4"/>
                <w:szCs w:val="4"/>
              </w:rPr>
            </w:pPr>
          </w:p>
        </w:tc>
        <w:tc>
          <w:tcPr>
            <w:tcW w:w="120" w:type="dxa"/>
            <w:vAlign w:val="bottom"/>
          </w:tcPr>
          <w:p w14:paraId="234A0F3A" w14:textId="77777777" w:rsidR="00D1587D" w:rsidRDefault="00D1587D">
            <w:pPr>
              <w:rPr>
                <w:sz w:val="4"/>
                <w:szCs w:val="4"/>
              </w:rPr>
            </w:pPr>
          </w:p>
        </w:tc>
        <w:tc>
          <w:tcPr>
            <w:tcW w:w="100" w:type="dxa"/>
            <w:vAlign w:val="bottom"/>
          </w:tcPr>
          <w:p w14:paraId="6B36E063" w14:textId="77777777" w:rsidR="00D1587D" w:rsidRDefault="00D1587D">
            <w:pPr>
              <w:rPr>
                <w:sz w:val="4"/>
                <w:szCs w:val="4"/>
              </w:rPr>
            </w:pPr>
          </w:p>
        </w:tc>
        <w:tc>
          <w:tcPr>
            <w:tcW w:w="120" w:type="dxa"/>
            <w:vAlign w:val="bottom"/>
          </w:tcPr>
          <w:p w14:paraId="334B1846" w14:textId="77777777" w:rsidR="00D1587D" w:rsidRDefault="00D1587D">
            <w:pPr>
              <w:rPr>
                <w:sz w:val="4"/>
                <w:szCs w:val="4"/>
              </w:rPr>
            </w:pPr>
          </w:p>
        </w:tc>
        <w:tc>
          <w:tcPr>
            <w:tcW w:w="100" w:type="dxa"/>
            <w:vAlign w:val="bottom"/>
          </w:tcPr>
          <w:p w14:paraId="62EEF4E4" w14:textId="77777777" w:rsidR="00D1587D" w:rsidRDefault="00D1587D">
            <w:pPr>
              <w:rPr>
                <w:sz w:val="4"/>
                <w:szCs w:val="4"/>
              </w:rPr>
            </w:pPr>
          </w:p>
        </w:tc>
        <w:tc>
          <w:tcPr>
            <w:tcW w:w="380" w:type="dxa"/>
            <w:vAlign w:val="bottom"/>
          </w:tcPr>
          <w:p w14:paraId="0435C944" w14:textId="77777777" w:rsidR="00D1587D" w:rsidRDefault="00D1587D">
            <w:pPr>
              <w:rPr>
                <w:sz w:val="4"/>
                <w:szCs w:val="4"/>
              </w:rPr>
            </w:pPr>
          </w:p>
        </w:tc>
        <w:tc>
          <w:tcPr>
            <w:tcW w:w="20" w:type="dxa"/>
            <w:vAlign w:val="bottom"/>
          </w:tcPr>
          <w:p w14:paraId="1E76E18A" w14:textId="77777777" w:rsidR="00D1587D" w:rsidRDefault="00D1587D">
            <w:pPr>
              <w:rPr>
                <w:sz w:val="4"/>
                <w:szCs w:val="4"/>
              </w:rPr>
            </w:pPr>
          </w:p>
        </w:tc>
        <w:tc>
          <w:tcPr>
            <w:tcW w:w="140" w:type="dxa"/>
            <w:vAlign w:val="bottom"/>
          </w:tcPr>
          <w:p w14:paraId="51B72893" w14:textId="77777777" w:rsidR="00D1587D" w:rsidRDefault="00D1587D">
            <w:pPr>
              <w:rPr>
                <w:sz w:val="4"/>
                <w:szCs w:val="4"/>
              </w:rPr>
            </w:pPr>
          </w:p>
        </w:tc>
      </w:tr>
      <w:tr w:rsidR="00D1587D" w14:paraId="427B425C" w14:textId="77777777">
        <w:trPr>
          <w:trHeight w:val="304"/>
        </w:trPr>
        <w:tc>
          <w:tcPr>
            <w:tcW w:w="5960" w:type="dxa"/>
            <w:tcBorders>
              <w:bottom w:val="single" w:sz="8" w:space="0" w:color="CCEEFF"/>
            </w:tcBorders>
            <w:shd w:val="clear" w:color="auto" w:fill="CCEEFF"/>
            <w:vAlign w:val="bottom"/>
          </w:tcPr>
          <w:p w14:paraId="5D2DC4D1" w14:textId="77777777" w:rsidR="00D1587D" w:rsidRDefault="00410D07">
            <w:pPr>
              <w:ind w:left="180"/>
              <w:rPr>
                <w:sz w:val="20"/>
                <w:szCs w:val="20"/>
              </w:rPr>
            </w:pPr>
            <w:r>
              <w:rPr>
                <w:rFonts w:ascii="Arial" w:eastAsia="Arial" w:hAnsi="Arial" w:cs="Arial"/>
                <w:sz w:val="18"/>
                <w:szCs w:val="18"/>
              </w:rPr>
              <w:t>Income Taxes Payable</w:t>
            </w:r>
          </w:p>
        </w:tc>
        <w:tc>
          <w:tcPr>
            <w:tcW w:w="120" w:type="dxa"/>
            <w:tcBorders>
              <w:bottom w:val="single" w:sz="8" w:space="0" w:color="CCEEFF"/>
            </w:tcBorders>
            <w:shd w:val="clear" w:color="auto" w:fill="CCEEFF"/>
            <w:vAlign w:val="bottom"/>
          </w:tcPr>
          <w:p w14:paraId="3FE45FC4"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73AB3E0"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621371C3" w14:textId="77777777" w:rsidR="00D1587D" w:rsidRDefault="00410D07">
            <w:pPr>
              <w:jc w:val="right"/>
              <w:rPr>
                <w:sz w:val="20"/>
                <w:szCs w:val="20"/>
              </w:rPr>
            </w:pPr>
            <w:r>
              <w:rPr>
                <w:rFonts w:ascii="Arial" w:eastAsia="Arial" w:hAnsi="Arial" w:cs="Arial"/>
                <w:sz w:val="18"/>
                <w:szCs w:val="18"/>
              </w:rPr>
              <w:t>29</w:t>
            </w:r>
          </w:p>
        </w:tc>
        <w:tc>
          <w:tcPr>
            <w:tcW w:w="140" w:type="dxa"/>
            <w:tcBorders>
              <w:bottom w:val="single" w:sz="8" w:space="0" w:color="CCEEFF"/>
            </w:tcBorders>
            <w:shd w:val="clear" w:color="auto" w:fill="CCEEFF"/>
            <w:vAlign w:val="bottom"/>
          </w:tcPr>
          <w:p w14:paraId="1F003A6E"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6CE59B6"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15548D76" w14:textId="77777777" w:rsidR="00D1587D" w:rsidRDefault="00410D07">
            <w:pPr>
              <w:jc w:val="right"/>
              <w:rPr>
                <w:sz w:val="20"/>
                <w:szCs w:val="20"/>
              </w:rPr>
            </w:pPr>
            <w:r>
              <w:rPr>
                <w:rFonts w:ascii="Arial" w:eastAsia="Arial" w:hAnsi="Arial" w:cs="Arial"/>
                <w:sz w:val="18"/>
                <w:szCs w:val="18"/>
              </w:rPr>
              <w:t>15</w:t>
            </w:r>
          </w:p>
        </w:tc>
        <w:tc>
          <w:tcPr>
            <w:tcW w:w="120" w:type="dxa"/>
            <w:tcBorders>
              <w:bottom w:val="single" w:sz="8" w:space="0" w:color="CCEEFF"/>
            </w:tcBorders>
            <w:shd w:val="clear" w:color="auto" w:fill="CCEEFF"/>
            <w:vAlign w:val="bottom"/>
          </w:tcPr>
          <w:p w14:paraId="67C3A262"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739847C" w14:textId="77777777" w:rsidR="00D1587D" w:rsidRDefault="00D1587D">
            <w:pPr>
              <w:rPr>
                <w:sz w:val="24"/>
                <w:szCs w:val="24"/>
              </w:rPr>
            </w:pPr>
          </w:p>
        </w:tc>
        <w:tc>
          <w:tcPr>
            <w:tcW w:w="120" w:type="dxa"/>
            <w:tcBorders>
              <w:bottom w:val="single" w:sz="8" w:space="0" w:color="CCEEFF"/>
            </w:tcBorders>
            <w:shd w:val="clear" w:color="auto" w:fill="CCEEFF"/>
            <w:vAlign w:val="bottom"/>
          </w:tcPr>
          <w:p w14:paraId="549C5EB0"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DE97762"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50959E3A" w14:textId="77777777" w:rsidR="00D1587D" w:rsidRDefault="00410D07">
            <w:pPr>
              <w:jc w:val="right"/>
              <w:rPr>
                <w:sz w:val="20"/>
                <w:szCs w:val="20"/>
              </w:rPr>
            </w:pPr>
            <w:r>
              <w:rPr>
                <w:rFonts w:ascii="Arial" w:eastAsia="Arial" w:hAnsi="Arial" w:cs="Arial"/>
                <w:sz w:val="18"/>
                <w:szCs w:val="18"/>
              </w:rPr>
              <w:t>35</w:t>
            </w:r>
          </w:p>
        </w:tc>
        <w:tc>
          <w:tcPr>
            <w:tcW w:w="140" w:type="dxa"/>
            <w:tcBorders>
              <w:bottom w:val="single" w:sz="8" w:space="0" w:color="CCEEFF"/>
            </w:tcBorders>
            <w:shd w:val="clear" w:color="auto" w:fill="CCEEFF"/>
            <w:vAlign w:val="bottom"/>
          </w:tcPr>
          <w:p w14:paraId="16E3F6AF" w14:textId="77777777" w:rsidR="00D1587D" w:rsidRDefault="00D1587D">
            <w:pPr>
              <w:rPr>
                <w:sz w:val="24"/>
                <w:szCs w:val="24"/>
              </w:rPr>
            </w:pPr>
          </w:p>
        </w:tc>
      </w:tr>
      <w:tr w:rsidR="00D1587D" w14:paraId="2402AAAB" w14:textId="77777777">
        <w:trPr>
          <w:trHeight w:val="256"/>
        </w:trPr>
        <w:tc>
          <w:tcPr>
            <w:tcW w:w="5960" w:type="dxa"/>
            <w:vAlign w:val="bottom"/>
          </w:tcPr>
          <w:p w14:paraId="0DAD9266" w14:textId="77777777" w:rsidR="00D1587D" w:rsidRDefault="00410D07">
            <w:pPr>
              <w:ind w:left="180"/>
              <w:rPr>
                <w:sz w:val="20"/>
                <w:szCs w:val="20"/>
              </w:rPr>
            </w:pPr>
            <w:r>
              <w:rPr>
                <w:rFonts w:ascii="Arial" w:eastAsia="Arial" w:hAnsi="Arial" w:cs="Arial"/>
                <w:sz w:val="18"/>
                <w:szCs w:val="18"/>
              </w:rPr>
              <w:t>Due to Related Parties</w:t>
            </w:r>
          </w:p>
        </w:tc>
        <w:tc>
          <w:tcPr>
            <w:tcW w:w="120" w:type="dxa"/>
            <w:vAlign w:val="bottom"/>
          </w:tcPr>
          <w:p w14:paraId="56D617C3" w14:textId="77777777" w:rsidR="00D1587D" w:rsidRDefault="00D1587D"/>
        </w:tc>
        <w:tc>
          <w:tcPr>
            <w:tcW w:w="100" w:type="dxa"/>
            <w:vAlign w:val="bottom"/>
          </w:tcPr>
          <w:p w14:paraId="6E5A8355" w14:textId="77777777" w:rsidR="00D1587D" w:rsidRDefault="00D1587D"/>
        </w:tc>
        <w:tc>
          <w:tcPr>
            <w:tcW w:w="400" w:type="dxa"/>
            <w:gridSpan w:val="2"/>
            <w:vAlign w:val="bottom"/>
          </w:tcPr>
          <w:p w14:paraId="216D3883" w14:textId="77777777" w:rsidR="00D1587D" w:rsidRDefault="00410D07">
            <w:pPr>
              <w:jc w:val="right"/>
              <w:rPr>
                <w:sz w:val="20"/>
                <w:szCs w:val="20"/>
              </w:rPr>
            </w:pPr>
            <w:r>
              <w:rPr>
                <w:rFonts w:ascii="Arial" w:eastAsia="Arial" w:hAnsi="Arial" w:cs="Arial"/>
                <w:sz w:val="18"/>
                <w:szCs w:val="18"/>
              </w:rPr>
              <w:t>5</w:t>
            </w:r>
          </w:p>
        </w:tc>
        <w:tc>
          <w:tcPr>
            <w:tcW w:w="140" w:type="dxa"/>
            <w:vAlign w:val="bottom"/>
          </w:tcPr>
          <w:p w14:paraId="761DAAF7" w14:textId="77777777" w:rsidR="00D1587D" w:rsidRDefault="00D1587D"/>
        </w:tc>
        <w:tc>
          <w:tcPr>
            <w:tcW w:w="100" w:type="dxa"/>
            <w:vAlign w:val="bottom"/>
          </w:tcPr>
          <w:p w14:paraId="6B34BA77" w14:textId="77777777" w:rsidR="00D1587D" w:rsidRDefault="00D1587D"/>
        </w:tc>
        <w:tc>
          <w:tcPr>
            <w:tcW w:w="620" w:type="dxa"/>
            <w:gridSpan w:val="2"/>
            <w:vAlign w:val="bottom"/>
          </w:tcPr>
          <w:p w14:paraId="60E2676E" w14:textId="77777777" w:rsidR="00D1587D" w:rsidRDefault="00410D07">
            <w:pPr>
              <w:jc w:val="right"/>
              <w:rPr>
                <w:sz w:val="20"/>
                <w:szCs w:val="20"/>
              </w:rPr>
            </w:pPr>
            <w:r>
              <w:rPr>
                <w:rFonts w:ascii="Arial" w:eastAsia="Arial" w:hAnsi="Arial" w:cs="Arial"/>
                <w:sz w:val="18"/>
                <w:szCs w:val="18"/>
              </w:rPr>
              <w:t>6</w:t>
            </w:r>
          </w:p>
        </w:tc>
        <w:tc>
          <w:tcPr>
            <w:tcW w:w="120" w:type="dxa"/>
            <w:vAlign w:val="bottom"/>
          </w:tcPr>
          <w:p w14:paraId="68A6DF12" w14:textId="77777777" w:rsidR="00D1587D" w:rsidRDefault="00D1587D"/>
        </w:tc>
        <w:tc>
          <w:tcPr>
            <w:tcW w:w="100" w:type="dxa"/>
            <w:vAlign w:val="bottom"/>
          </w:tcPr>
          <w:p w14:paraId="64C895E5" w14:textId="77777777" w:rsidR="00D1587D" w:rsidRDefault="00D1587D"/>
        </w:tc>
        <w:tc>
          <w:tcPr>
            <w:tcW w:w="120" w:type="dxa"/>
            <w:vAlign w:val="bottom"/>
          </w:tcPr>
          <w:p w14:paraId="7E2B62A8" w14:textId="77777777" w:rsidR="00D1587D" w:rsidRDefault="00D1587D"/>
        </w:tc>
        <w:tc>
          <w:tcPr>
            <w:tcW w:w="100" w:type="dxa"/>
            <w:vAlign w:val="bottom"/>
          </w:tcPr>
          <w:p w14:paraId="6174B985" w14:textId="77777777" w:rsidR="00D1587D" w:rsidRDefault="00D1587D"/>
        </w:tc>
        <w:tc>
          <w:tcPr>
            <w:tcW w:w="400" w:type="dxa"/>
            <w:gridSpan w:val="2"/>
            <w:vAlign w:val="bottom"/>
          </w:tcPr>
          <w:p w14:paraId="55FE1222" w14:textId="77777777" w:rsidR="00D1587D" w:rsidRDefault="00410D07">
            <w:pPr>
              <w:jc w:val="right"/>
              <w:rPr>
                <w:sz w:val="20"/>
                <w:szCs w:val="20"/>
              </w:rPr>
            </w:pPr>
            <w:r>
              <w:rPr>
                <w:rFonts w:ascii="Arial" w:eastAsia="Arial" w:hAnsi="Arial" w:cs="Arial"/>
                <w:sz w:val="18"/>
                <w:szCs w:val="18"/>
              </w:rPr>
              <w:t>2</w:t>
            </w:r>
          </w:p>
        </w:tc>
        <w:tc>
          <w:tcPr>
            <w:tcW w:w="140" w:type="dxa"/>
            <w:vAlign w:val="bottom"/>
          </w:tcPr>
          <w:p w14:paraId="0F0A94FF" w14:textId="77777777" w:rsidR="00D1587D" w:rsidRDefault="00D1587D"/>
        </w:tc>
      </w:tr>
      <w:tr w:rsidR="00D1587D" w14:paraId="4A9B0FDE" w14:textId="77777777">
        <w:trPr>
          <w:trHeight w:val="61"/>
        </w:trPr>
        <w:tc>
          <w:tcPr>
            <w:tcW w:w="5960" w:type="dxa"/>
            <w:vAlign w:val="bottom"/>
          </w:tcPr>
          <w:p w14:paraId="155A2629" w14:textId="77777777" w:rsidR="00D1587D" w:rsidRDefault="00D1587D">
            <w:pPr>
              <w:rPr>
                <w:sz w:val="5"/>
                <w:szCs w:val="5"/>
              </w:rPr>
            </w:pPr>
          </w:p>
        </w:tc>
        <w:tc>
          <w:tcPr>
            <w:tcW w:w="120" w:type="dxa"/>
            <w:vAlign w:val="bottom"/>
          </w:tcPr>
          <w:p w14:paraId="3E76A3AC" w14:textId="77777777" w:rsidR="00D1587D" w:rsidRDefault="00D1587D">
            <w:pPr>
              <w:rPr>
                <w:sz w:val="5"/>
                <w:szCs w:val="5"/>
              </w:rPr>
            </w:pPr>
          </w:p>
        </w:tc>
        <w:tc>
          <w:tcPr>
            <w:tcW w:w="100" w:type="dxa"/>
            <w:tcBorders>
              <w:top w:val="single" w:sz="8" w:space="0" w:color="auto"/>
            </w:tcBorders>
            <w:vAlign w:val="bottom"/>
          </w:tcPr>
          <w:p w14:paraId="6871E0D6" w14:textId="77777777" w:rsidR="00D1587D" w:rsidRDefault="00D1587D">
            <w:pPr>
              <w:rPr>
                <w:sz w:val="5"/>
                <w:szCs w:val="5"/>
              </w:rPr>
            </w:pPr>
          </w:p>
        </w:tc>
        <w:tc>
          <w:tcPr>
            <w:tcW w:w="380" w:type="dxa"/>
            <w:tcBorders>
              <w:top w:val="single" w:sz="8" w:space="0" w:color="auto"/>
            </w:tcBorders>
            <w:vAlign w:val="bottom"/>
          </w:tcPr>
          <w:p w14:paraId="73CB6C66" w14:textId="77777777" w:rsidR="00D1587D" w:rsidRDefault="00D1587D">
            <w:pPr>
              <w:rPr>
                <w:sz w:val="5"/>
                <w:szCs w:val="5"/>
              </w:rPr>
            </w:pPr>
          </w:p>
        </w:tc>
        <w:tc>
          <w:tcPr>
            <w:tcW w:w="20" w:type="dxa"/>
            <w:tcBorders>
              <w:top w:val="single" w:sz="8" w:space="0" w:color="auto"/>
            </w:tcBorders>
            <w:vAlign w:val="bottom"/>
          </w:tcPr>
          <w:p w14:paraId="5E0A6C28" w14:textId="77777777" w:rsidR="00D1587D" w:rsidRDefault="00D1587D">
            <w:pPr>
              <w:rPr>
                <w:sz w:val="5"/>
                <w:szCs w:val="5"/>
              </w:rPr>
            </w:pPr>
          </w:p>
        </w:tc>
        <w:tc>
          <w:tcPr>
            <w:tcW w:w="140" w:type="dxa"/>
            <w:vAlign w:val="bottom"/>
          </w:tcPr>
          <w:p w14:paraId="50E411F9" w14:textId="77777777" w:rsidR="00D1587D" w:rsidRDefault="00D1587D">
            <w:pPr>
              <w:rPr>
                <w:sz w:val="5"/>
                <w:szCs w:val="5"/>
              </w:rPr>
            </w:pPr>
          </w:p>
        </w:tc>
        <w:tc>
          <w:tcPr>
            <w:tcW w:w="100" w:type="dxa"/>
            <w:vAlign w:val="bottom"/>
          </w:tcPr>
          <w:p w14:paraId="58925652" w14:textId="77777777" w:rsidR="00D1587D" w:rsidRDefault="00D1587D">
            <w:pPr>
              <w:rPr>
                <w:sz w:val="5"/>
                <w:szCs w:val="5"/>
              </w:rPr>
            </w:pPr>
          </w:p>
        </w:tc>
        <w:tc>
          <w:tcPr>
            <w:tcW w:w="120" w:type="dxa"/>
            <w:vAlign w:val="bottom"/>
          </w:tcPr>
          <w:p w14:paraId="010671F7" w14:textId="77777777" w:rsidR="00D1587D" w:rsidRDefault="00D1587D">
            <w:pPr>
              <w:rPr>
                <w:sz w:val="5"/>
                <w:szCs w:val="5"/>
              </w:rPr>
            </w:pPr>
          </w:p>
        </w:tc>
        <w:tc>
          <w:tcPr>
            <w:tcW w:w="500" w:type="dxa"/>
            <w:tcBorders>
              <w:top w:val="single" w:sz="8" w:space="0" w:color="auto"/>
            </w:tcBorders>
            <w:vAlign w:val="bottom"/>
          </w:tcPr>
          <w:p w14:paraId="6F4ED2F7" w14:textId="77777777" w:rsidR="00D1587D" w:rsidRDefault="00D1587D">
            <w:pPr>
              <w:rPr>
                <w:sz w:val="5"/>
                <w:szCs w:val="5"/>
              </w:rPr>
            </w:pPr>
          </w:p>
        </w:tc>
        <w:tc>
          <w:tcPr>
            <w:tcW w:w="120" w:type="dxa"/>
            <w:vAlign w:val="bottom"/>
          </w:tcPr>
          <w:p w14:paraId="3E003D73" w14:textId="77777777" w:rsidR="00D1587D" w:rsidRDefault="00D1587D">
            <w:pPr>
              <w:rPr>
                <w:sz w:val="5"/>
                <w:szCs w:val="5"/>
              </w:rPr>
            </w:pPr>
          </w:p>
        </w:tc>
        <w:tc>
          <w:tcPr>
            <w:tcW w:w="100" w:type="dxa"/>
            <w:vAlign w:val="bottom"/>
          </w:tcPr>
          <w:p w14:paraId="2A424390" w14:textId="77777777" w:rsidR="00D1587D" w:rsidRDefault="00D1587D">
            <w:pPr>
              <w:rPr>
                <w:sz w:val="5"/>
                <w:szCs w:val="5"/>
              </w:rPr>
            </w:pPr>
          </w:p>
        </w:tc>
        <w:tc>
          <w:tcPr>
            <w:tcW w:w="120" w:type="dxa"/>
            <w:vAlign w:val="bottom"/>
          </w:tcPr>
          <w:p w14:paraId="4B26BC89" w14:textId="77777777" w:rsidR="00D1587D" w:rsidRDefault="00D1587D">
            <w:pPr>
              <w:rPr>
                <w:sz w:val="5"/>
                <w:szCs w:val="5"/>
              </w:rPr>
            </w:pPr>
          </w:p>
        </w:tc>
        <w:tc>
          <w:tcPr>
            <w:tcW w:w="100" w:type="dxa"/>
            <w:tcBorders>
              <w:top w:val="single" w:sz="8" w:space="0" w:color="auto"/>
            </w:tcBorders>
            <w:vAlign w:val="bottom"/>
          </w:tcPr>
          <w:p w14:paraId="281BA9B7" w14:textId="77777777" w:rsidR="00D1587D" w:rsidRDefault="00D1587D">
            <w:pPr>
              <w:rPr>
                <w:sz w:val="5"/>
                <w:szCs w:val="5"/>
              </w:rPr>
            </w:pPr>
          </w:p>
        </w:tc>
        <w:tc>
          <w:tcPr>
            <w:tcW w:w="380" w:type="dxa"/>
            <w:tcBorders>
              <w:top w:val="single" w:sz="8" w:space="0" w:color="auto"/>
            </w:tcBorders>
            <w:vAlign w:val="bottom"/>
          </w:tcPr>
          <w:p w14:paraId="484A9212" w14:textId="77777777" w:rsidR="00D1587D" w:rsidRDefault="00D1587D">
            <w:pPr>
              <w:rPr>
                <w:sz w:val="5"/>
                <w:szCs w:val="5"/>
              </w:rPr>
            </w:pPr>
          </w:p>
        </w:tc>
        <w:tc>
          <w:tcPr>
            <w:tcW w:w="20" w:type="dxa"/>
            <w:tcBorders>
              <w:top w:val="single" w:sz="8" w:space="0" w:color="auto"/>
            </w:tcBorders>
            <w:vAlign w:val="bottom"/>
          </w:tcPr>
          <w:p w14:paraId="6FD2860B" w14:textId="77777777" w:rsidR="00D1587D" w:rsidRDefault="00D1587D">
            <w:pPr>
              <w:rPr>
                <w:sz w:val="5"/>
                <w:szCs w:val="5"/>
              </w:rPr>
            </w:pPr>
          </w:p>
        </w:tc>
        <w:tc>
          <w:tcPr>
            <w:tcW w:w="140" w:type="dxa"/>
            <w:vAlign w:val="bottom"/>
          </w:tcPr>
          <w:p w14:paraId="7A6D351A" w14:textId="77777777" w:rsidR="00D1587D" w:rsidRDefault="00D1587D">
            <w:pPr>
              <w:rPr>
                <w:sz w:val="5"/>
                <w:szCs w:val="5"/>
              </w:rPr>
            </w:pPr>
          </w:p>
        </w:tc>
      </w:tr>
      <w:tr w:rsidR="00D1587D" w14:paraId="718FB8B3" w14:textId="77777777">
        <w:trPr>
          <w:trHeight w:val="318"/>
        </w:trPr>
        <w:tc>
          <w:tcPr>
            <w:tcW w:w="5960" w:type="dxa"/>
            <w:tcBorders>
              <w:bottom w:val="single" w:sz="8" w:space="0" w:color="CCEEFF"/>
            </w:tcBorders>
            <w:shd w:val="clear" w:color="auto" w:fill="CCEEFF"/>
            <w:vAlign w:val="bottom"/>
          </w:tcPr>
          <w:p w14:paraId="39BCA75E" w14:textId="77777777" w:rsidR="00D1587D" w:rsidRDefault="00410D07">
            <w:pPr>
              <w:rPr>
                <w:sz w:val="20"/>
                <w:szCs w:val="20"/>
              </w:rPr>
            </w:pPr>
            <w:r>
              <w:rPr>
                <w:rFonts w:ascii="Arial" w:eastAsia="Arial" w:hAnsi="Arial" w:cs="Arial"/>
                <w:b/>
                <w:bCs/>
                <w:sz w:val="18"/>
                <w:szCs w:val="18"/>
              </w:rPr>
              <w:t>Total Current Liabilities</w:t>
            </w:r>
          </w:p>
        </w:tc>
        <w:tc>
          <w:tcPr>
            <w:tcW w:w="620" w:type="dxa"/>
            <w:gridSpan w:val="4"/>
            <w:tcBorders>
              <w:bottom w:val="single" w:sz="8" w:space="0" w:color="CCEEFF"/>
            </w:tcBorders>
            <w:shd w:val="clear" w:color="auto" w:fill="CCEEFF"/>
            <w:vAlign w:val="bottom"/>
          </w:tcPr>
          <w:p w14:paraId="156D9452" w14:textId="77777777" w:rsidR="00D1587D" w:rsidRDefault="00410D07">
            <w:pPr>
              <w:ind w:right="20"/>
              <w:jc w:val="right"/>
              <w:rPr>
                <w:sz w:val="20"/>
                <w:szCs w:val="20"/>
              </w:rPr>
            </w:pPr>
            <w:r>
              <w:rPr>
                <w:rFonts w:ascii="Arial" w:eastAsia="Arial" w:hAnsi="Arial" w:cs="Arial"/>
                <w:sz w:val="18"/>
                <w:szCs w:val="18"/>
              </w:rPr>
              <w:t>1,444</w:t>
            </w:r>
          </w:p>
        </w:tc>
        <w:tc>
          <w:tcPr>
            <w:tcW w:w="140" w:type="dxa"/>
            <w:tcBorders>
              <w:bottom w:val="single" w:sz="8" w:space="0" w:color="CCEEFF"/>
            </w:tcBorders>
            <w:shd w:val="clear" w:color="auto" w:fill="CCEEFF"/>
            <w:vAlign w:val="bottom"/>
          </w:tcPr>
          <w:p w14:paraId="27DFD918" w14:textId="77777777" w:rsidR="00D1587D" w:rsidRDefault="00D1587D">
            <w:pPr>
              <w:rPr>
                <w:sz w:val="24"/>
                <w:szCs w:val="24"/>
              </w:rPr>
            </w:pPr>
          </w:p>
        </w:tc>
        <w:tc>
          <w:tcPr>
            <w:tcW w:w="100" w:type="dxa"/>
            <w:tcBorders>
              <w:bottom w:val="single" w:sz="8" w:space="0" w:color="CCEEFF"/>
            </w:tcBorders>
            <w:shd w:val="clear" w:color="auto" w:fill="CCEEFF"/>
            <w:vAlign w:val="bottom"/>
          </w:tcPr>
          <w:p w14:paraId="51983640"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5766087F" w14:textId="77777777" w:rsidR="00D1587D" w:rsidRDefault="00410D07">
            <w:pPr>
              <w:jc w:val="right"/>
              <w:rPr>
                <w:sz w:val="20"/>
                <w:szCs w:val="20"/>
              </w:rPr>
            </w:pPr>
            <w:r>
              <w:rPr>
                <w:rFonts w:ascii="Arial" w:eastAsia="Arial" w:hAnsi="Arial" w:cs="Arial"/>
                <w:sz w:val="18"/>
                <w:szCs w:val="18"/>
              </w:rPr>
              <w:t>1,556</w:t>
            </w:r>
          </w:p>
        </w:tc>
        <w:tc>
          <w:tcPr>
            <w:tcW w:w="120" w:type="dxa"/>
            <w:tcBorders>
              <w:bottom w:val="single" w:sz="8" w:space="0" w:color="CCEEFF"/>
            </w:tcBorders>
            <w:shd w:val="clear" w:color="auto" w:fill="CCEEFF"/>
            <w:vAlign w:val="bottom"/>
          </w:tcPr>
          <w:p w14:paraId="0060C26A"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B0EFA8F" w14:textId="77777777" w:rsidR="00D1587D" w:rsidRDefault="00D1587D">
            <w:pPr>
              <w:rPr>
                <w:sz w:val="24"/>
                <w:szCs w:val="24"/>
              </w:rPr>
            </w:pPr>
          </w:p>
        </w:tc>
        <w:tc>
          <w:tcPr>
            <w:tcW w:w="620" w:type="dxa"/>
            <w:gridSpan w:val="4"/>
            <w:tcBorders>
              <w:bottom w:val="single" w:sz="8" w:space="0" w:color="CCEEFF"/>
            </w:tcBorders>
            <w:shd w:val="clear" w:color="auto" w:fill="CCEEFF"/>
            <w:vAlign w:val="bottom"/>
          </w:tcPr>
          <w:p w14:paraId="28AEED36" w14:textId="77777777" w:rsidR="00D1587D" w:rsidRDefault="00410D07">
            <w:pPr>
              <w:jc w:val="right"/>
              <w:rPr>
                <w:sz w:val="20"/>
                <w:szCs w:val="20"/>
              </w:rPr>
            </w:pPr>
            <w:r>
              <w:rPr>
                <w:rFonts w:ascii="Arial" w:eastAsia="Arial" w:hAnsi="Arial" w:cs="Arial"/>
                <w:sz w:val="18"/>
                <w:szCs w:val="18"/>
              </w:rPr>
              <w:t>1,362</w:t>
            </w:r>
          </w:p>
        </w:tc>
        <w:tc>
          <w:tcPr>
            <w:tcW w:w="140" w:type="dxa"/>
            <w:tcBorders>
              <w:bottom w:val="single" w:sz="8" w:space="0" w:color="CCEEFF"/>
            </w:tcBorders>
            <w:shd w:val="clear" w:color="auto" w:fill="CCEEFF"/>
            <w:vAlign w:val="bottom"/>
          </w:tcPr>
          <w:p w14:paraId="59CEE763" w14:textId="77777777" w:rsidR="00D1587D" w:rsidRDefault="00D1587D">
            <w:pPr>
              <w:rPr>
                <w:sz w:val="24"/>
                <w:szCs w:val="24"/>
              </w:rPr>
            </w:pPr>
          </w:p>
        </w:tc>
      </w:tr>
      <w:tr w:rsidR="00D1587D" w14:paraId="5A5B4B0A" w14:textId="77777777">
        <w:trPr>
          <w:trHeight w:val="270"/>
        </w:trPr>
        <w:tc>
          <w:tcPr>
            <w:tcW w:w="5960" w:type="dxa"/>
            <w:vAlign w:val="bottom"/>
          </w:tcPr>
          <w:p w14:paraId="31AD8EE8" w14:textId="77777777" w:rsidR="00D1587D" w:rsidRDefault="00410D07">
            <w:pPr>
              <w:rPr>
                <w:sz w:val="20"/>
                <w:szCs w:val="20"/>
              </w:rPr>
            </w:pPr>
            <w:r>
              <w:rPr>
                <w:rFonts w:ascii="Arial" w:eastAsia="Arial" w:hAnsi="Arial" w:cs="Arial"/>
                <w:sz w:val="18"/>
                <w:szCs w:val="18"/>
              </w:rPr>
              <w:t>Deferred Income Taxes</w:t>
            </w:r>
          </w:p>
        </w:tc>
        <w:tc>
          <w:tcPr>
            <w:tcW w:w="120" w:type="dxa"/>
            <w:vAlign w:val="bottom"/>
          </w:tcPr>
          <w:p w14:paraId="6A503910" w14:textId="77777777" w:rsidR="00D1587D" w:rsidRDefault="00D1587D">
            <w:pPr>
              <w:rPr>
                <w:sz w:val="23"/>
                <w:szCs w:val="23"/>
              </w:rPr>
            </w:pPr>
          </w:p>
        </w:tc>
        <w:tc>
          <w:tcPr>
            <w:tcW w:w="100" w:type="dxa"/>
            <w:vAlign w:val="bottom"/>
          </w:tcPr>
          <w:p w14:paraId="22AA1266" w14:textId="77777777" w:rsidR="00D1587D" w:rsidRDefault="00D1587D">
            <w:pPr>
              <w:rPr>
                <w:sz w:val="23"/>
                <w:szCs w:val="23"/>
              </w:rPr>
            </w:pPr>
          </w:p>
        </w:tc>
        <w:tc>
          <w:tcPr>
            <w:tcW w:w="400" w:type="dxa"/>
            <w:gridSpan w:val="2"/>
            <w:vAlign w:val="bottom"/>
          </w:tcPr>
          <w:p w14:paraId="7190A8FF" w14:textId="77777777" w:rsidR="00D1587D" w:rsidRDefault="00410D07">
            <w:pPr>
              <w:jc w:val="right"/>
              <w:rPr>
                <w:sz w:val="20"/>
                <w:szCs w:val="20"/>
              </w:rPr>
            </w:pPr>
            <w:r>
              <w:rPr>
                <w:rFonts w:ascii="Arial" w:eastAsia="Arial" w:hAnsi="Arial" w:cs="Arial"/>
                <w:sz w:val="18"/>
                <w:szCs w:val="18"/>
              </w:rPr>
              <w:t>45</w:t>
            </w:r>
          </w:p>
        </w:tc>
        <w:tc>
          <w:tcPr>
            <w:tcW w:w="140" w:type="dxa"/>
            <w:vAlign w:val="bottom"/>
          </w:tcPr>
          <w:p w14:paraId="55B02596" w14:textId="77777777" w:rsidR="00D1587D" w:rsidRDefault="00D1587D">
            <w:pPr>
              <w:rPr>
                <w:sz w:val="23"/>
                <w:szCs w:val="23"/>
              </w:rPr>
            </w:pPr>
          </w:p>
        </w:tc>
        <w:tc>
          <w:tcPr>
            <w:tcW w:w="100" w:type="dxa"/>
            <w:vAlign w:val="bottom"/>
          </w:tcPr>
          <w:p w14:paraId="619EDB82" w14:textId="77777777" w:rsidR="00D1587D" w:rsidRDefault="00D1587D">
            <w:pPr>
              <w:rPr>
                <w:sz w:val="23"/>
                <w:szCs w:val="23"/>
              </w:rPr>
            </w:pPr>
          </w:p>
        </w:tc>
        <w:tc>
          <w:tcPr>
            <w:tcW w:w="620" w:type="dxa"/>
            <w:gridSpan w:val="2"/>
            <w:vAlign w:val="bottom"/>
          </w:tcPr>
          <w:p w14:paraId="2657F946" w14:textId="77777777" w:rsidR="00D1587D" w:rsidRDefault="00410D07">
            <w:pPr>
              <w:jc w:val="right"/>
              <w:rPr>
                <w:sz w:val="20"/>
                <w:szCs w:val="20"/>
              </w:rPr>
            </w:pPr>
            <w:r>
              <w:rPr>
                <w:rFonts w:ascii="Arial" w:eastAsia="Arial" w:hAnsi="Arial" w:cs="Arial"/>
                <w:sz w:val="18"/>
                <w:szCs w:val="18"/>
              </w:rPr>
              <w:t>19</w:t>
            </w:r>
          </w:p>
        </w:tc>
        <w:tc>
          <w:tcPr>
            <w:tcW w:w="120" w:type="dxa"/>
            <w:vAlign w:val="bottom"/>
          </w:tcPr>
          <w:p w14:paraId="1802AD40" w14:textId="77777777" w:rsidR="00D1587D" w:rsidRDefault="00D1587D">
            <w:pPr>
              <w:rPr>
                <w:sz w:val="23"/>
                <w:szCs w:val="23"/>
              </w:rPr>
            </w:pPr>
          </w:p>
        </w:tc>
        <w:tc>
          <w:tcPr>
            <w:tcW w:w="100" w:type="dxa"/>
            <w:vAlign w:val="bottom"/>
          </w:tcPr>
          <w:p w14:paraId="39BD3A48" w14:textId="77777777" w:rsidR="00D1587D" w:rsidRDefault="00D1587D">
            <w:pPr>
              <w:rPr>
                <w:sz w:val="23"/>
                <w:szCs w:val="23"/>
              </w:rPr>
            </w:pPr>
          </w:p>
        </w:tc>
        <w:tc>
          <w:tcPr>
            <w:tcW w:w="120" w:type="dxa"/>
            <w:vAlign w:val="bottom"/>
          </w:tcPr>
          <w:p w14:paraId="2B71A151" w14:textId="77777777" w:rsidR="00D1587D" w:rsidRDefault="00D1587D">
            <w:pPr>
              <w:rPr>
                <w:sz w:val="23"/>
                <w:szCs w:val="23"/>
              </w:rPr>
            </w:pPr>
          </w:p>
        </w:tc>
        <w:tc>
          <w:tcPr>
            <w:tcW w:w="100" w:type="dxa"/>
            <w:vAlign w:val="bottom"/>
          </w:tcPr>
          <w:p w14:paraId="41466D01" w14:textId="77777777" w:rsidR="00D1587D" w:rsidRDefault="00D1587D">
            <w:pPr>
              <w:rPr>
                <w:sz w:val="23"/>
                <w:szCs w:val="23"/>
              </w:rPr>
            </w:pPr>
          </w:p>
        </w:tc>
        <w:tc>
          <w:tcPr>
            <w:tcW w:w="400" w:type="dxa"/>
            <w:gridSpan w:val="2"/>
            <w:vAlign w:val="bottom"/>
          </w:tcPr>
          <w:p w14:paraId="45D08B44" w14:textId="77777777" w:rsidR="00D1587D" w:rsidRDefault="00410D07">
            <w:pPr>
              <w:jc w:val="right"/>
              <w:rPr>
                <w:sz w:val="20"/>
                <w:szCs w:val="20"/>
              </w:rPr>
            </w:pPr>
            <w:r>
              <w:rPr>
                <w:rFonts w:ascii="Arial" w:eastAsia="Arial" w:hAnsi="Arial" w:cs="Arial"/>
                <w:sz w:val="18"/>
                <w:szCs w:val="18"/>
              </w:rPr>
              <w:t>16</w:t>
            </w:r>
          </w:p>
        </w:tc>
        <w:tc>
          <w:tcPr>
            <w:tcW w:w="140" w:type="dxa"/>
            <w:vAlign w:val="bottom"/>
          </w:tcPr>
          <w:p w14:paraId="6C7B899D" w14:textId="77777777" w:rsidR="00D1587D" w:rsidRDefault="00D1587D">
            <w:pPr>
              <w:rPr>
                <w:sz w:val="23"/>
                <w:szCs w:val="23"/>
              </w:rPr>
            </w:pPr>
          </w:p>
        </w:tc>
      </w:tr>
      <w:tr w:rsidR="00D1587D" w14:paraId="401AEAC4" w14:textId="77777777">
        <w:trPr>
          <w:trHeight w:val="54"/>
        </w:trPr>
        <w:tc>
          <w:tcPr>
            <w:tcW w:w="5960" w:type="dxa"/>
            <w:vAlign w:val="bottom"/>
          </w:tcPr>
          <w:p w14:paraId="7B5A93F9" w14:textId="77777777" w:rsidR="00D1587D" w:rsidRDefault="00D1587D">
            <w:pPr>
              <w:rPr>
                <w:sz w:val="4"/>
                <w:szCs w:val="4"/>
              </w:rPr>
            </w:pPr>
          </w:p>
        </w:tc>
        <w:tc>
          <w:tcPr>
            <w:tcW w:w="120" w:type="dxa"/>
            <w:vAlign w:val="bottom"/>
          </w:tcPr>
          <w:p w14:paraId="5CEBB363" w14:textId="77777777" w:rsidR="00D1587D" w:rsidRDefault="00D1587D">
            <w:pPr>
              <w:rPr>
                <w:sz w:val="4"/>
                <w:szCs w:val="4"/>
              </w:rPr>
            </w:pPr>
          </w:p>
        </w:tc>
        <w:tc>
          <w:tcPr>
            <w:tcW w:w="100" w:type="dxa"/>
            <w:vAlign w:val="bottom"/>
          </w:tcPr>
          <w:p w14:paraId="594DC796" w14:textId="77777777" w:rsidR="00D1587D" w:rsidRDefault="00D1587D">
            <w:pPr>
              <w:rPr>
                <w:sz w:val="4"/>
                <w:szCs w:val="4"/>
              </w:rPr>
            </w:pPr>
          </w:p>
        </w:tc>
        <w:tc>
          <w:tcPr>
            <w:tcW w:w="380" w:type="dxa"/>
            <w:vAlign w:val="bottom"/>
          </w:tcPr>
          <w:p w14:paraId="17EEB18B" w14:textId="77777777" w:rsidR="00D1587D" w:rsidRDefault="00D1587D">
            <w:pPr>
              <w:rPr>
                <w:sz w:val="4"/>
                <w:szCs w:val="4"/>
              </w:rPr>
            </w:pPr>
          </w:p>
        </w:tc>
        <w:tc>
          <w:tcPr>
            <w:tcW w:w="20" w:type="dxa"/>
            <w:vAlign w:val="bottom"/>
          </w:tcPr>
          <w:p w14:paraId="3B1DD220" w14:textId="77777777" w:rsidR="00D1587D" w:rsidRDefault="00D1587D">
            <w:pPr>
              <w:rPr>
                <w:sz w:val="4"/>
                <w:szCs w:val="4"/>
              </w:rPr>
            </w:pPr>
          </w:p>
        </w:tc>
        <w:tc>
          <w:tcPr>
            <w:tcW w:w="140" w:type="dxa"/>
            <w:vAlign w:val="bottom"/>
          </w:tcPr>
          <w:p w14:paraId="0212EB0C" w14:textId="77777777" w:rsidR="00D1587D" w:rsidRDefault="00D1587D">
            <w:pPr>
              <w:rPr>
                <w:sz w:val="4"/>
                <w:szCs w:val="4"/>
              </w:rPr>
            </w:pPr>
          </w:p>
        </w:tc>
        <w:tc>
          <w:tcPr>
            <w:tcW w:w="100" w:type="dxa"/>
            <w:vAlign w:val="bottom"/>
          </w:tcPr>
          <w:p w14:paraId="2ACFE189" w14:textId="77777777" w:rsidR="00D1587D" w:rsidRDefault="00D1587D">
            <w:pPr>
              <w:rPr>
                <w:sz w:val="4"/>
                <w:szCs w:val="4"/>
              </w:rPr>
            </w:pPr>
          </w:p>
        </w:tc>
        <w:tc>
          <w:tcPr>
            <w:tcW w:w="120" w:type="dxa"/>
            <w:vAlign w:val="bottom"/>
          </w:tcPr>
          <w:p w14:paraId="040C04C4" w14:textId="77777777" w:rsidR="00D1587D" w:rsidRDefault="00D1587D">
            <w:pPr>
              <w:rPr>
                <w:sz w:val="4"/>
                <w:szCs w:val="4"/>
              </w:rPr>
            </w:pPr>
          </w:p>
        </w:tc>
        <w:tc>
          <w:tcPr>
            <w:tcW w:w="500" w:type="dxa"/>
            <w:vAlign w:val="bottom"/>
          </w:tcPr>
          <w:p w14:paraId="5C1F7BF6" w14:textId="77777777" w:rsidR="00D1587D" w:rsidRDefault="00D1587D">
            <w:pPr>
              <w:rPr>
                <w:sz w:val="4"/>
                <w:szCs w:val="4"/>
              </w:rPr>
            </w:pPr>
          </w:p>
        </w:tc>
        <w:tc>
          <w:tcPr>
            <w:tcW w:w="120" w:type="dxa"/>
            <w:vAlign w:val="bottom"/>
          </w:tcPr>
          <w:p w14:paraId="3EE38560" w14:textId="77777777" w:rsidR="00D1587D" w:rsidRDefault="00D1587D">
            <w:pPr>
              <w:rPr>
                <w:sz w:val="4"/>
                <w:szCs w:val="4"/>
              </w:rPr>
            </w:pPr>
          </w:p>
        </w:tc>
        <w:tc>
          <w:tcPr>
            <w:tcW w:w="100" w:type="dxa"/>
            <w:vAlign w:val="bottom"/>
          </w:tcPr>
          <w:p w14:paraId="39809B20" w14:textId="77777777" w:rsidR="00D1587D" w:rsidRDefault="00D1587D">
            <w:pPr>
              <w:rPr>
                <w:sz w:val="4"/>
                <w:szCs w:val="4"/>
              </w:rPr>
            </w:pPr>
          </w:p>
        </w:tc>
        <w:tc>
          <w:tcPr>
            <w:tcW w:w="120" w:type="dxa"/>
            <w:vAlign w:val="bottom"/>
          </w:tcPr>
          <w:p w14:paraId="15CC0002" w14:textId="77777777" w:rsidR="00D1587D" w:rsidRDefault="00D1587D">
            <w:pPr>
              <w:rPr>
                <w:sz w:val="4"/>
                <w:szCs w:val="4"/>
              </w:rPr>
            </w:pPr>
          </w:p>
        </w:tc>
        <w:tc>
          <w:tcPr>
            <w:tcW w:w="100" w:type="dxa"/>
            <w:vAlign w:val="bottom"/>
          </w:tcPr>
          <w:p w14:paraId="4E28F6FC" w14:textId="77777777" w:rsidR="00D1587D" w:rsidRDefault="00D1587D">
            <w:pPr>
              <w:rPr>
                <w:sz w:val="4"/>
                <w:szCs w:val="4"/>
              </w:rPr>
            </w:pPr>
          </w:p>
        </w:tc>
        <w:tc>
          <w:tcPr>
            <w:tcW w:w="380" w:type="dxa"/>
            <w:vAlign w:val="bottom"/>
          </w:tcPr>
          <w:p w14:paraId="14980C79" w14:textId="77777777" w:rsidR="00D1587D" w:rsidRDefault="00D1587D">
            <w:pPr>
              <w:rPr>
                <w:sz w:val="4"/>
                <w:szCs w:val="4"/>
              </w:rPr>
            </w:pPr>
          </w:p>
        </w:tc>
        <w:tc>
          <w:tcPr>
            <w:tcW w:w="20" w:type="dxa"/>
            <w:vAlign w:val="bottom"/>
          </w:tcPr>
          <w:p w14:paraId="28233927" w14:textId="77777777" w:rsidR="00D1587D" w:rsidRDefault="00D1587D">
            <w:pPr>
              <w:rPr>
                <w:sz w:val="4"/>
                <w:szCs w:val="4"/>
              </w:rPr>
            </w:pPr>
          </w:p>
        </w:tc>
        <w:tc>
          <w:tcPr>
            <w:tcW w:w="140" w:type="dxa"/>
            <w:vAlign w:val="bottom"/>
          </w:tcPr>
          <w:p w14:paraId="6A5453AC" w14:textId="77777777" w:rsidR="00D1587D" w:rsidRDefault="00D1587D">
            <w:pPr>
              <w:rPr>
                <w:sz w:val="4"/>
                <w:szCs w:val="4"/>
              </w:rPr>
            </w:pPr>
          </w:p>
        </w:tc>
      </w:tr>
      <w:tr w:rsidR="00D1587D" w14:paraId="52C71A6A" w14:textId="77777777">
        <w:trPr>
          <w:trHeight w:val="304"/>
        </w:trPr>
        <w:tc>
          <w:tcPr>
            <w:tcW w:w="5960" w:type="dxa"/>
            <w:tcBorders>
              <w:bottom w:val="single" w:sz="8" w:space="0" w:color="CCEEFF"/>
            </w:tcBorders>
            <w:shd w:val="clear" w:color="auto" w:fill="CCEEFF"/>
            <w:vAlign w:val="bottom"/>
          </w:tcPr>
          <w:p w14:paraId="63AD2FA7" w14:textId="77777777" w:rsidR="00D1587D" w:rsidRDefault="00410D07">
            <w:pPr>
              <w:rPr>
                <w:sz w:val="20"/>
                <w:szCs w:val="20"/>
              </w:rPr>
            </w:pPr>
            <w:r>
              <w:rPr>
                <w:rFonts w:ascii="Arial" w:eastAsia="Arial" w:hAnsi="Arial" w:cs="Arial"/>
                <w:sz w:val="18"/>
                <w:szCs w:val="18"/>
              </w:rPr>
              <w:t>Long-term Debt</w:t>
            </w:r>
          </w:p>
        </w:tc>
        <w:tc>
          <w:tcPr>
            <w:tcW w:w="120" w:type="dxa"/>
            <w:tcBorders>
              <w:bottom w:val="single" w:sz="8" w:space="0" w:color="CCEEFF"/>
            </w:tcBorders>
            <w:shd w:val="clear" w:color="auto" w:fill="CCEEFF"/>
            <w:vAlign w:val="bottom"/>
          </w:tcPr>
          <w:p w14:paraId="0609FA54" w14:textId="77777777" w:rsidR="00D1587D" w:rsidRDefault="00D1587D">
            <w:pPr>
              <w:rPr>
                <w:sz w:val="24"/>
                <w:szCs w:val="24"/>
              </w:rPr>
            </w:pPr>
          </w:p>
        </w:tc>
        <w:tc>
          <w:tcPr>
            <w:tcW w:w="100" w:type="dxa"/>
            <w:tcBorders>
              <w:bottom w:val="single" w:sz="8" w:space="0" w:color="CCEEFF"/>
            </w:tcBorders>
            <w:shd w:val="clear" w:color="auto" w:fill="CCEEFF"/>
            <w:vAlign w:val="bottom"/>
          </w:tcPr>
          <w:p w14:paraId="47D52821" w14:textId="77777777" w:rsidR="00D1587D" w:rsidRDefault="00D1587D">
            <w:pPr>
              <w:rPr>
                <w:sz w:val="24"/>
                <w:szCs w:val="24"/>
              </w:rPr>
            </w:pPr>
          </w:p>
        </w:tc>
        <w:tc>
          <w:tcPr>
            <w:tcW w:w="640" w:type="dxa"/>
            <w:gridSpan w:val="4"/>
            <w:tcBorders>
              <w:bottom w:val="single" w:sz="8" w:space="0" w:color="CCEEFF"/>
            </w:tcBorders>
            <w:shd w:val="clear" w:color="auto" w:fill="CCEEFF"/>
            <w:vAlign w:val="bottom"/>
          </w:tcPr>
          <w:p w14:paraId="57715BFE" w14:textId="77777777" w:rsidR="00D1587D" w:rsidRDefault="00410D07">
            <w:pPr>
              <w:ind w:right="24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32E30F98" w14:textId="77777777" w:rsidR="00D1587D" w:rsidRDefault="00D1587D">
            <w:pPr>
              <w:rPr>
                <w:sz w:val="24"/>
                <w:szCs w:val="24"/>
              </w:rPr>
            </w:pPr>
          </w:p>
        </w:tc>
        <w:tc>
          <w:tcPr>
            <w:tcW w:w="720" w:type="dxa"/>
            <w:gridSpan w:val="3"/>
            <w:tcBorders>
              <w:bottom w:val="single" w:sz="8" w:space="0" w:color="CCEEFF"/>
            </w:tcBorders>
            <w:shd w:val="clear" w:color="auto" w:fill="CCEEFF"/>
            <w:vAlign w:val="bottom"/>
          </w:tcPr>
          <w:p w14:paraId="4BD9F869" w14:textId="77777777" w:rsidR="00D1587D" w:rsidRDefault="00410D07">
            <w:pPr>
              <w:ind w:right="22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041BA4D9" w14:textId="77777777" w:rsidR="00D1587D" w:rsidRDefault="00D1587D">
            <w:pPr>
              <w:rPr>
                <w:sz w:val="24"/>
                <w:szCs w:val="24"/>
              </w:rPr>
            </w:pPr>
          </w:p>
        </w:tc>
        <w:tc>
          <w:tcPr>
            <w:tcW w:w="100" w:type="dxa"/>
            <w:tcBorders>
              <w:bottom w:val="single" w:sz="8" w:space="0" w:color="CCEEFF"/>
            </w:tcBorders>
            <w:shd w:val="clear" w:color="auto" w:fill="CCEEFF"/>
            <w:vAlign w:val="bottom"/>
          </w:tcPr>
          <w:p w14:paraId="338FBDFF"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2C78BD13" w14:textId="77777777" w:rsidR="00D1587D" w:rsidRDefault="00410D07">
            <w:pPr>
              <w:jc w:val="right"/>
              <w:rPr>
                <w:sz w:val="20"/>
                <w:szCs w:val="20"/>
              </w:rPr>
            </w:pPr>
            <w:r>
              <w:rPr>
                <w:rFonts w:ascii="Arial" w:eastAsia="Arial" w:hAnsi="Arial" w:cs="Arial"/>
                <w:sz w:val="18"/>
                <w:szCs w:val="18"/>
              </w:rPr>
              <w:t>89</w:t>
            </w:r>
          </w:p>
        </w:tc>
        <w:tc>
          <w:tcPr>
            <w:tcW w:w="140" w:type="dxa"/>
            <w:tcBorders>
              <w:bottom w:val="single" w:sz="8" w:space="0" w:color="CCEEFF"/>
            </w:tcBorders>
            <w:shd w:val="clear" w:color="auto" w:fill="CCEEFF"/>
            <w:vAlign w:val="bottom"/>
          </w:tcPr>
          <w:p w14:paraId="2EFA48C9" w14:textId="77777777" w:rsidR="00D1587D" w:rsidRDefault="00D1587D">
            <w:pPr>
              <w:rPr>
                <w:sz w:val="24"/>
                <w:szCs w:val="24"/>
              </w:rPr>
            </w:pPr>
          </w:p>
        </w:tc>
      </w:tr>
      <w:tr w:rsidR="00D1587D" w14:paraId="7A8B7FBE" w14:textId="77777777">
        <w:trPr>
          <w:trHeight w:val="270"/>
        </w:trPr>
        <w:tc>
          <w:tcPr>
            <w:tcW w:w="5960" w:type="dxa"/>
            <w:vAlign w:val="bottom"/>
          </w:tcPr>
          <w:p w14:paraId="3B4D34B7" w14:textId="77777777" w:rsidR="00D1587D" w:rsidRDefault="00410D07">
            <w:pPr>
              <w:rPr>
                <w:sz w:val="20"/>
                <w:szCs w:val="20"/>
              </w:rPr>
            </w:pPr>
            <w:r>
              <w:rPr>
                <w:rFonts w:ascii="Arial" w:eastAsia="Arial" w:hAnsi="Arial" w:cs="Arial"/>
                <w:sz w:val="18"/>
                <w:szCs w:val="18"/>
              </w:rPr>
              <w:t>Long-term Debt due to Related Party</w:t>
            </w:r>
          </w:p>
        </w:tc>
        <w:tc>
          <w:tcPr>
            <w:tcW w:w="120" w:type="dxa"/>
            <w:vAlign w:val="bottom"/>
          </w:tcPr>
          <w:p w14:paraId="1BEC3304" w14:textId="77777777" w:rsidR="00D1587D" w:rsidRDefault="00D1587D">
            <w:pPr>
              <w:rPr>
                <w:sz w:val="23"/>
                <w:szCs w:val="23"/>
              </w:rPr>
            </w:pPr>
          </w:p>
        </w:tc>
        <w:tc>
          <w:tcPr>
            <w:tcW w:w="100" w:type="dxa"/>
            <w:vAlign w:val="bottom"/>
          </w:tcPr>
          <w:p w14:paraId="4F6DCE75" w14:textId="77777777" w:rsidR="00D1587D" w:rsidRDefault="00D1587D">
            <w:pPr>
              <w:rPr>
                <w:sz w:val="23"/>
                <w:szCs w:val="23"/>
              </w:rPr>
            </w:pPr>
          </w:p>
        </w:tc>
        <w:tc>
          <w:tcPr>
            <w:tcW w:w="400" w:type="dxa"/>
            <w:gridSpan w:val="2"/>
            <w:vAlign w:val="bottom"/>
          </w:tcPr>
          <w:p w14:paraId="42964C93" w14:textId="77777777" w:rsidR="00D1587D" w:rsidRDefault="00410D07">
            <w:pPr>
              <w:jc w:val="right"/>
              <w:rPr>
                <w:sz w:val="20"/>
                <w:szCs w:val="20"/>
              </w:rPr>
            </w:pPr>
            <w:r>
              <w:rPr>
                <w:rFonts w:ascii="Arial" w:eastAsia="Arial" w:hAnsi="Arial" w:cs="Arial"/>
                <w:sz w:val="18"/>
                <w:szCs w:val="18"/>
              </w:rPr>
              <w:t>97</w:t>
            </w:r>
          </w:p>
        </w:tc>
        <w:tc>
          <w:tcPr>
            <w:tcW w:w="140" w:type="dxa"/>
            <w:vAlign w:val="bottom"/>
          </w:tcPr>
          <w:p w14:paraId="1B0476BA" w14:textId="77777777" w:rsidR="00D1587D" w:rsidRDefault="00D1587D">
            <w:pPr>
              <w:rPr>
                <w:sz w:val="23"/>
                <w:szCs w:val="23"/>
              </w:rPr>
            </w:pPr>
          </w:p>
        </w:tc>
        <w:tc>
          <w:tcPr>
            <w:tcW w:w="100" w:type="dxa"/>
            <w:vAlign w:val="bottom"/>
          </w:tcPr>
          <w:p w14:paraId="154B7073" w14:textId="77777777" w:rsidR="00D1587D" w:rsidRDefault="00D1587D">
            <w:pPr>
              <w:rPr>
                <w:sz w:val="23"/>
                <w:szCs w:val="23"/>
              </w:rPr>
            </w:pPr>
          </w:p>
        </w:tc>
        <w:tc>
          <w:tcPr>
            <w:tcW w:w="620" w:type="dxa"/>
            <w:gridSpan w:val="2"/>
            <w:vAlign w:val="bottom"/>
          </w:tcPr>
          <w:p w14:paraId="0A25AC12" w14:textId="77777777" w:rsidR="00D1587D" w:rsidRDefault="00410D07">
            <w:pPr>
              <w:jc w:val="right"/>
              <w:rPr>
                <w:sz w:val="20"/>
                <w:szCs w:val="20"/>
              </w:rPr>
            </w:pPr>
            <w:r>
              <w:rPr>
                <w:rFonts w:ascii="Arial" w:eastAsia="Arial" w:hAnsi="Arial" w:cs="Arial"/>
                <w:sz w:val="18"/>
                <w:szCs w:val="18"/>
              </w:rPr>
              <w:t>97</w:t>
            </w:r>
          </w:p>
        </w:tc>
        <w:tc>
          <w:tcPr>
            <w:tcW w:w="120" w:type="dxa"/>
            <w:vAlign w:val="bottom"/>
          </w:tcPr>
          <w:p w14:paraId="6246DC2B" w14:textId="77777777" w:rsidR="00D1587D" w:rsidRDefault="00D1587D">
            <w:pPr>
              <w:rPr>
                <w:sz w:val="23"/>
                <w:szCs w:val="23"/>
              </w:rPr>
            </w:pPr>
          </w:p>
        </w:tc>
        <w:tc>
          <w:tcPr>
            <w:tcW w:w="100" w:type="dxa"/>
            <w:vAlign w:val="bottom"/>
          </w:tcPr>
          <w:p w14:paraId="53794F36" w14:textId="77777777" w:rsidR="00D1587D" w:rsidRDefault="00D1587D">
            <w:pPr>
              <w:rPr>
                <w:sz w:val="23"/>
                <w:szCs w:val="23"/>
              </w:rPr>
            </w:pPr>
          </w:p>
        </w:tc>
        <w:tc>
          <w:tcPr>
            <w:tcW w:w="120" w:type="dxa"/>
            <w:vAlign w:val="bottom"/>
          </w:tcPr>
          <w:p w14:paraId="6FE0B28A" w14:textId="77777777" w:rsidR="00D1587D" w:rsidRDefault="00D1587D">
            <w:pPr>
              <w:rPr>
                <w:sz w:val="23"/>
                <w:szCs w:val="23"/>
              </w:rPr>
            </w:pPr>
          </w:p>
        </w:tc>
        <w:tc>
          <w:tcPr>
            <w:tcW w:w="100" w:type="dxa"/>
            <w:vAlign w:val="bottom"/>
          </w:tcPr>
          <w:p w14:paraId="1A2E55DD" w14:textId="77777777" w:rsidR="00D1587D" w:rsidRDefault="00D1587D">
            <w:pPr>
              <w:rPr>
                <w:sz w:val="23"/>
                <w:szCs w:val="23"/>
              </w:rPr>
            </w:pPr>
          </w:p>
        </w:tc>
        <w:tc>
          <w:tcPr>
            <w:tcW w:w="540" w:type="dxa"/>
            <w:gridSpan w:val="3"/>
            <w:vAlign w:val="bottom"/>
          </w:tcPr>
          <w:p w14:paraId="7EA0D154" w14:textId="77777777" w:rsidR="00D1587D" w:rsidRDefault="00410D07">
            <w:pPr>
              <w:ind w:right="140"/>
              <w:jc w:val="right"/>
              <w:rPr>
                <w:sz w:val="20"/>
                <w:szCs w:val="20"/>
              </w:rPr>
            </w:pPr>
            <w:r>
              <w:rPr>
                <w:rFonts w:ascii="Arial" w:eastAsia="Arial" w:hAnsi="Arial" w:cs="Arial"/>
                <w:sz w:val="18"/>
                <w:szCs w:val="18"/>
              </w:rPr>
              <w:t>—</w:t>
            </w:r>
          </w:p>
        </w:tc>
      </w:tr>
      <w:tr w:rsidR="00D1587D" w14:paraId="7ABA5D3D" w14:textId="77777777">
        <w:trPr>
          <w:trHeight w:val="54"/>
        </w:trPr>
        <w:tc>
          <w:tcPr>
            <w:tcW w:w="5960" w:type="dxa"/>
            <w:vAlign w:val="bottom"/>
          </w:tcPr>
          <w:p w14:paraId="54B0A285" w14:textId="77777777" w:rsidR="00D1587D" w:rsidRDefault="00D1587D">
            <w:pPr>
              <w:rPr>
                <w:sz w:val="4"/>
                <w:szCs w:val="4"/>
              </w:rPr>
            </w:pPr>
          </w:p>
        </w:tc>
        <w:tc>
          <w:tcPr>
            <w:tcW w:w="120" w:type="dxa"/>
            <w:vAlign w:val="bottom"/>
          </w:tcPr>
          <w:p w14:paraId="1757A3F5" w14:textId="77777777" w:rsidR="00D1587D" w:rsidRDefault="00D1587D">
            <w:pPr>
              <w:rPr>
                <w:sz w:val="4"/>
                <w:szCs w:val="4"/>
              </w:rPr>
            </w:pPr>
          </w:p>
        </w:tc>
        <w:tc>
          <w:tcPr>
            <w:tcW w:w="480" w:type="dxa"/>
            <w:gridSpan w:val="2"/>
            <w:vAlign w:val="bottom"/>
          </w:tcPr>
          <w:p w14:paraId="1839A71A" w14:textId="77777777" w:rsidR="00D1587D" w:rsidRDefault="00D1587D">
            <w:pPr>
              <w:rPr>
                <w:sz w:val="4"/>
                <w:szCs w:val="4"/>
              </w:rPr>
            </w:pPr>
          </w:p>
        </w:tc>
        <w:tc>
          <w:tcPr>
            <w:tcW w:w="20" w:type="dxa"/>
            <w:vAlign w:val="bottom"/>
          </w:tcPr>
          <w:p w14:paraId="76CC53A7" w14:textId="77777777" w:rsidR="00D1587D" w:rsidRDefault="00D1587D">
            <w:pPr>
              <w:rPr>
                <w:sz w:val="4"/>
                <w:szCs w:val="4"/>
              </w:rPr>
            </w:pPr>
          </w:p>
        </w:tc>
        <w:tc>
          <w:tcPr>
            <w:tcW w:w="140" w:type="dxa"/>
            <w:vAlign w:val="bottom"/>
          </w:tcPr>
          <w:p w14:paraId="17B22B40" w14:textId="77777777" w:rsidR="00D1587D" w:rsidRDefault="00D1587D">
            <w:pPr>
              <w:rPr>
                <w:sz w:val="4"/>
                <w:szCs w:val="4"/>
              </w:rPr>
            </w:pPr>
          </w:p>
        </w:tc>
        <w:tc>
          <w:tcPr>
            <w:tcW w:w="100" w:type="dxa"/>
            <w:vAlign w:val="bottom"/>
          </w:tcPr>
          <w:p w14:paraId="2931FA36" w14:textId="77777777" w:rsidR="00D1587D" w:rsidRDefault="00D1587D">
            <w:pPr>
              <w:rPr>
                <w:sz w:val="4"/>
                <w:szCs w:val="4"/>
              </w:rPr>
            </w:pPr>
          </w:p>
        </w:tc>
        <w:tc>
          <w:tcPr>
            <w:tcW w:w="120" w:type="dxa"/>
            <w:vAlign w:val="bottom"/>
          </w:tcPr>
          <w:p w14:paraId="7D58B9C9" w14:textId="77777777" w:rsidR="00D1587D" w:rsidRDefault="00D1587D">
            <w:pPr>
              <w:rPr>
                <w:sz w:val="4"/>
                <w:szCs w:val="4"/>
              </w:rPr>
            </w:pPr>
          </w:p>
        </w:tc>
        <w:tc>
          <w:tcPr>
            <w:tcW w:w="500" w:type="dxa"/>
            <w:vAlign w:val="bottom"/>
          </w:tcPr>
          <w:p w14:paraId="4FDC61DC" w14:textId="77777777" w:rsidR="00D1587D" w:rsidRDefault="00D1587D">
            <w:pPr>
              <w:rPr>
                <w:sz w:val="4"/>
                <w:szCs w:val="4"/>
              </w:rPr>
            </w:pPr>
          </w:p>
        </w:tc>
        <w:tc>
          <w:tcPr>
            <w:tcW w:w="120" w:type="dxa"/>
            <w:vAlign w:val="bottom"/>
          </w:tcPr>
          <w:p w14:paraId="54A308EA" w14:textId="77777777" w:rsidR="00D1587D" w:rsidRDefault="00D1587D">
            <w:pPr>
              <w:rPr>
                <w:sz w:val="4"/>
                <w:szCs w:val="4"/>
              </w:rPr>
            </w:pPr>
          </w:p>
        </w:tc>
        <w:tc>
          <w:tcPr>
            <w:tcW w:w="100" w:type="dxa"/>
            <w:vAlign w:val="bottom"/>
          </w:tcPr>
          <w:p w14:paraId="0D99EA9A" w14:textId="77777777" w:rsidR="00D1587D" w:rsidRDefault="00D1587D">
            <w:pPr>
              <w:rPr>
                <w:sz w:val="4"/>
                <w:szCs w:val="4"/>
              </w:rPr>
            </w:pPr>
          </w:p>
        </w:tc>
        <w:tc>
          <w:tcPr>
            <w:tcW w:w="120" w:type="dxa"/>
            <w:vAlign w:val="bottom"/>
          </w:tcPr>
          <w:p w14:paraId="64C9D781" w14:textId="77777777" w:rsidR="00D1587D" w:rsidRDefault="00D1587D">
            <w:pPr>
              <w:rPr>
                <w:sz w:val="4"/>
                <w:szCs w:val="4"/>
              </w:rPr>
            </w:pPr>
          </w:p>
        </w:tc>
        <w:tc>
          <w:tcPr>
            <w:tcW w:w="480" w:type="dxa"/>
            <w:gridSpan w:val="2"/>
            <w:vAlign w:val="bottom"/>
          </w:tcPr>
          <w:p w14:paraId="2E5D6D98" w14:textId="77777777" w:rsidR="00D1587D" w:rsidRDefault="00D1587D">
            <w:pPr>
              <w:rPr>
                <w:sz w:val="4"/>
                <w:szCs w:val="4"/>
              </w:rPr>
            </w:pPr>
          </w:p>
        </w:tc>
        <w:tc>
          <w:tcPr>
            <w:tcW w:w="20" w:type="dxa"/>
            <w:vAlign w:val="bottom"/>
          </w:tcPr>
          <w:p w14:paraId="5142321D" w14:textId="77777777" w:rsidR="00D1587D" w:rsidRDefault="00D1587D">
            <w:pPr>
              <w:rPr>
                <w:sz w:val="4"/>
                <w:szCs w:val="4"/>
              </w:rPr>
            </w:pPr>
          </w:p>
        </w:tc>
        <w:tc>
          <w:tcPr>
            <w:tcW w:w="140" w:type="dxa"/>
            <w:vAlign w:val="bottom"/>
          </w:tcPr>
          <w:p w14:paraId="738970D4" w14:textId="77777777" w:rsidR="00D1587D" w:rsidRDefault="00D1587D">
            <w:pPr>
              <w:rPr>
                <w:sz w:val="4"/>
                <w:szCs w:val="4"/>
              </w:rPr>
            </w:pPr>
          </w:p>
        </w:tc>
      </w:tr>
      <w:tr w:rsidR="00D1587D" w14:paraId="4A956845" w14:textId="77777777">
        <w:trPr>
          <w:trHeight w:val="304"/>
        </w:trPr>
        <w:tc>
          <w:tcPr>
            <w:tcW w:w="5960" w:type="dxa"/>
            <w:tcBorders>
              <w:bottom w:val="single" w:sz="8" w:space="0" w:color="CCEEFF"/>
            </w:tcBorders>
            <w:shd w:val="clear" w:color="auto" w:fill="CCEEFF"/>
            <w:vAlign w:val="bottom"/>
          </w:tcPr>
          <w:p w14:paraId="5A97E079" w14:textId="77777777" w:rsidR="00D1587D" w:rsidRDefault="00410D07">
            <w:pPr>
              <w:rPr>
                <w:sz w:val="20"/>
                <w:szCs w:val="20"/>
              </w:rPr>
            </w:pPr>
            <w:r>
              <w:rPr>
                <w:rFonts w:ascii="Arial" w:eastAsia="Arial" w:hAnsi="Arial" w:cs="Arial"/>
                <w:sz w:val="18"/>
                <w:szCs w:val="18"/>
              </w:rPr>
              <w:t>Long-term Operating Lease Liabilities</w:t>
            </w:r>
          </w:p>
        </w:tc>
        <w:tc>
          <w:tcPr>
            <w:tcW w:w="620" w:type="dxa"/>
            <w:gridSpan w:val="4"/>
            <w:tcBorders>
              <w:bottom w:val="single" w:sz="8" w:space="0" w:color="CCEEFF"/>
            </w:tcBorders>
            <w:shd w:val="clear" w:color="auto" w:fill="CCEEFF"/>
            <w:vAlign w:val="bottom"/>
          </w:tcPr>
          <w:p w14:paraId="0F8B70C7" w14:textId="77777777" w:rsidR="00D1587D" w:rsidRDefault="00410D07">
            <w:pPr>
              <w:ind w:right="20"/>
              <w:jc w:val="right"/>
              <w:rPr>
                <w:sz w:val="20"/>
                <w:szCs w:val="20"/>
              </w:rPr>
            </w:pPr>
            <w:r>
              <w:rPr>
                <w:rFonts w:ascii="Arial" w:eastAsia="Arial" w:hAnsi="Arial" w:cs="Arial"/>
                <w:sz w:val="18"/>
                <w:szCs w:val="18"/>
              </w:rPr>
              <w:t>1,541</w:t>
            </w:r>
          </w:p>
        </w:tc>
        <w:tc>
          <w:tcPr>
            <w:tcW w:w="140" w:type="dxa"/>
            <w:tcBorders>
              <w:bottom w:val="single" w:sz="8" w:space="0" w:color="CCEEFF"/>
            </w:tcBorders>
            <w:shd w:val="clear" w:color="auto" w:fill="CCEEFF"/>
            <w:vAlign w:val="bottom"/>
          </w:tcPr>
          <w:p w14:paraId="73724E91"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33D0D6F"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58391F6F" w14:textId="77777777" w:rsidR="00D1587D" w:rsidRDefault="00410D07">
            <w:pPr>
              <w:jc w:val="right"/>
              <w:rPr>
                <w:sz w:val="20"/>
                <w:szCs w:val="20"/>
              </w:rPr>
            </w:pPr>
            <w:r>
              <w:rPr>
                <w:rFonts w:ascii="Arial" w:eastAsia="Arial" w:hAnsi="Arial" w:cs="Arial"/>
                <w:sz w:val="18"/>
                <w:szCs w:val="18"/>
              </w:rPr>
              <w:t>1,553</w:t>
            </w:r>
          </w:p>
        </w:tc>
        <w:tc>
          <w:tcPr>
            <w:tcW w:w="120" w:type="dxa"/>
            <w:tcBorders>
              <w:bottom w:val="single" w:sz="8" w:space="0" w:color="CCEEFF"/>
            </w:tcBorders>
            <w:shd w:val="clear" w:color="auto" w:fill="CCEEFF"/>
            <w:vAlign w:val="bottom"/>
          </w:tcPr>
          <w:p w14:paraId="2277C370"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7916F8F" w14:textId="77777777" w:rsidR="00D1587D" w:rsidRDefault="00D1587D">
            <w:pPr>
              <w:rPr>
                <w:sz w:val="24"/>
                <w:szCs w:val="24"/>
              </w:rPr>
            </w:pPr>
          </w:p>
        </w:tc>
        <w:tc>
          <w:tcPr>
            <w:tcW w:w="620" w:type="dxa"/>
            <w:gridSpan w:val="4"/>
            <w:tcBorders>
              <w:bottom w:val="single" w:sz="8" w:space="0" w:color="CCEEFF"/>
            </w:tcBorders>
            <w:shd w:val="clear" w:color="auto" w:fill="CCEEFF"/>
            <w:vAlign w:val="bottom"/>
          </w:tcPr>
          <w:p w14:paraId="5171B2EA" w14:textId="77777777" w:rsidR="00D1587D" w:rsidRDefault="00410D07">
            <w:pPr>
              <w:jc w:val="right"/>
              <w:rPr>
                <w:sz w:val="20"/>
                <w:szCs w:val="20"/>
              </w:rPr>
            </w:pPr>
            <w:r>
              <w:rPr>
                <w:rFonts w:ascii="Arial" w:eastAsia="Arial" w:hAnsi="Arial" w:cs="Arial"/>
                <w:sz w:val="18"/>
                <w:szCs w:val="18"/>
              </w:rPr>
              <w:t>2,057</w:t>
            </w:r>
          </w:p>
        </w:tc>
        <w:tc>
          <w:tcPr>
            <w:tcW w:w="140" w:type="dxa"/>
            <w:tcBorders>
              <w:bottom w:val="single" w:sz="8" w:space="0" w:color="CCEEFF"/>
            </w:tcBorders>
            <w:shd w:val="clear" w:color="auto" w:fill="CCEEFF"/>
            <w:vAlign w:val="bottom"/>
          </w:tcPr>
          <w:p w14:paraId="11E99F6A" w14:textId="77777777" w:rsidR="00D1587D" w:rsidRDefault="00D1587D">
            <w:pPr>
              <w:rPr>
                <w:sz w:val="24"/>
                <w:szCs w:val="24"/>
              </w:rPr>
            </w:pPr>
          </w:p>
        </w:tc>
      </w:tr>
      <w:tr w:rsidR="00D1587D" w14:paraId="648EB788" w14:textId="77777777">
        <w:trPr>
          <w:trHeight w:val="256"/>
        </w:trPr>
        <w:tc>
          <w:tcPr>
            <w:tcW w:w="5960" w:type="dxa"/>
            <w:vAlign w:val="bottom"/>
          </w:tcPr>
          <w:p w14:paraId="60CDF2D6" w14:textId="77777777" w:rsidR="00D1587D" w:rsidRDefault="00410D07">
            <w:pPr>
              <w:rPr>
                <w:sz w:val="20"/>
                <w:szCs w:val="20"/>
              </w:rPr>
            </w:pPr>
            <w:r>
              <w:rPr>
                <w:rFonts w:ascii="Arial" w:eastAsia="Arial" w:hAnsi="Arial" w:cs="Arial"/>
                <w:sz w:val="18"/>
                <w:szCs w:val="18"/>
              </w:rPr>
              <w:t>Other Long-term Liabilities</w:t>
            </w:r>
          </w:p>
        </w:tc>
        <w:tc>
          <w:tcPr>
            <w:tcW w:w="120" w:type="dxa"/>
            <w:vAlign w:val="bottom"/>
          </w:tcPr>
          <w:p w14:paraId="57E9D86D" w14:textId="77777777" w:rsidR="00D1587D" w:rsidRDefault="00D1587D"/>
        </w:tc>
        <w:tc>
          <w:tcPr>
            <w:tcW w:w="100" w:type="dxa"/>
            <w:vAlign w:val="bottom"/>
          </w:tcPr>
          <w:p w14:paraId="4120C1E3" w14:textId="77777777" w:rsidR="00D1587D" w:rsidRDefault="00D1587D"/>
        </w:tc>
        <w:tc>
          <w:tcPr>
            <w:tcW w:w="400" w:type="dxa"/>
            <w:gridSpan w:val="2"/>
            <w:vAlign w:val="bottom"/>
          </w:tcPr>
          <w:p w14:paraId="20BAF7B6" w14:textId="77777777" w:rsidR="00D1587D" w:rsidRDefault="00410D07">
            <w:pPr>
              <w:jc w:val="right"/>
              <w:rPr>
                <w:sz w:val="20"/>
                <w:szCs w:val="20"/>
              </w:rPr>
            </w:pPr>
            <w:r>
              <w:rPr>
                <w:rFonts w:ascii="Arial" w:eastAsia="Arial" w:hAnsi="Arial" w:cs="Arial"/>
                <w:sz w:val="18"/>
                <w:szCs w:val="18"/>
              </w:rPr>
              <w:t>113</w:t>
            </w:r>
          </w:p>
        </w:tc>
        <w:tc>
          <w:tcPr>
            <w:tcW w:w="140" w:type="dxa"/>
            <w:vAlign w:val="bottom"/>
          </w:tcPr>
          <w:p w14:paraId="3FBDB737" w14:textId="77777777" w:rsidR="00D1587D" w:rsidRDefault="00D1587D"/>
        </w:tc>
        <w:tc>
          <w:tcPr>
            <w:tcW w:w="100" w:type="dxa"/>
            <w:vAlign w:val="bottom"/>
          </w:tcPr>
          <w:p w14:paraId="6C2A985D" w14:textId="77777777" w:rsidR="00D1587D" w:rsidRDefault="00D1587D"/>
        </w:tc>
        <w:tc>
          <w:tcPr>
            <w:tcW w:w="620" w:type="dxa"/>
            <w:gridSpan w:val="2"/>
            <w:vAlign w:val="bottom"/>
          </w:tcPr>
          <w:p w14:paraId="39240A64" w14:textId="77777777" w:rsidR="00D1587D" w:rsidRDefault="00410D07">
            <w:pPr>
              <w:jc w:val="right"/>
              <w:rPr>
                <w:sz w:val="20"/>
                <w:szCs w:val="20"/>
              </w:rPr>
            </w:pPr>
            <w:r>
              <w:rPr>
                <w:rFonts w:ascii="Arial" w:eastAsia="Arial" w:hAnsi="Arial" w:cs="Arial"/>
                <w:sz w:val="18"/>
                <w:szCs w:val="18"/>
              </w:rPr>
              <w:t>113</w:t>
            </w:r>
          </w:p>
        </w:tc>
        <w:tc>
          <w:tcPr>
            <w:tcW w:w="120" w:type="dxa"/>
            <w:vAlign w:val="bottom"/>
          </w:tcPr>
          <w:p w14:paraId="36AF79AB" w14:textId="77777777" w:rsidR="00D1587D" w:rsidRDefault="00D1587D"/>
        </w:tc>
        <w:tc>
          <w:tcPr>
            <w:tcW w:w="100" w:type="dxa"/>
            <w:vAlign w:val="bottom"/>
          </w:tcPr>
          <w:p w14:paraId="04DB58B6" w14:textId="77777777" w:rsidR="00D1587D" w:rsidRDefault="00D1587D"/>
        </w:tc>
        <w:tc>
          <w:tcPr>
            <w:tcW w:w="120" w:type="dxa"/>
            <w:vAlign w:val="bottom"/>
          </w:tcPr>
          <w:p w14:paraId="6DE6EB72" w14:textId="77777777" w:rsidR="00D1587D" w:rsidRDefault="00D1587D"/>
        </w:tc>
        <w:tc>
          <w:tcPr>
            <w:tcW w:w="100" w:type="dxa"/>
            <w:vAlign w:val="bottom"/>
          </w:tcPr>
          <w:p w14:paraId="4EE3707F" w14:textId="77777777" w:rsidR="00D1587D" w:rsidRDefault="00D1587D"/>
        </w:tc>
        <w:tc>
          <w:tcPr>
            <w:tcW w:w="400" w:type="dxa"/>
            <w:gridSpan w:val="2"/>
            <w:vAlign w:val="bottom"/>
          </w:tcPr>
          <w:p w14:paraId="065F8A30" w14:textId="77777777" w:rsidR="00D1587D" w:rsidRDefault="00410D07">
            <w:pPr>
              <w:jc w:val="right"/>
              <w:rPr>
                <w:sz w:val="20"/>
                <w:szCs w:val="20"/>
              </w:rPr>
            </w:pPr>
            <w:r>
              <w:rPr>
                <w:rFonts w:ascii="Arial" w:eastAsia="Arial" w:hAnsi="Arial" w:cs="Arial"/>
                <w:sz w:val="18"/>
                <w:szCs w:val="18"/>
              </w:rPr>
              <w:t>162</w:t>
            </w:r>
          </w:p>
        </w:tc>
        <w:tc>
          <w:tcPr>
            <w:tcW w:w="140" w:type="dxa"/>
            <w:vAlign w:val="bottom"/>
          </w:tcPr>
          <w:p w14:paraId="1A4502F2" w14:textId="77777777" w:rsidR="00D1587D" w:rsidRDefault="00D1587D"/>
        </w:tc>
      </w:tr>
      <w:tr w:rsidR="00D1587D" w14:paraId="5E343557" w14:textId="77777777">
        <w:trPr>
          <w:trHeight w:val="61"/>
        </w:trPr>
        <w:tc>
          <w:tcPr>
            <w:tcW w:w="5960" w:type="dxa"/>
            <w:vAlign w:val="bottom"/>
          </w:tcPr>
          <w:p w14:paraId="5223D065" w14:textId="77777777" w:rsidR="00D1587D" w:rsidRDefault="00D1587D">
            <w:pPr>
              <w:rPr>
                <w:sz w:val="5"/>
                <w:szCs w:val="5"/>
              </w:rPr>
            </w:pPr>
          </w:p>
        </w:tc>
        <w:tc>
          <w:tcPr>
            <w:tcW w:w="120" w:type="dxa"/>
            <w:vAlign w:val="bottom"/>
          </w:tcPr>
          <w:p w14:paraId="42FE936D" w14:textId="77777777" w:rsidR="00D1587D" w:rsidRDefault="00D1587D">
            <w:pPr>
              <w:rPr>
                <w:sz w:val="5"/>
                <w:szCs w:val="5"/>
              </w:rPr>
            </w:pPr>
          </w:p>
        </w:tc>
        <w:tc>
          <w:tcPr>
            <w:tcW w:w="100" w:type="dxa"/>
            <w:tcBorders>
              <w:top w:val="single" w:sz="8" w:space="0" w:color="auto"/>
            </w:tcBorders>
            <w:vAlign w:val="bottom"/>
          </w:tcPr>
          <w:p w14:paraId="3B6A832E" w14:textId="77777777" w:rsidR="00D1587D" w:rsidRDefault="00D1587D">
            <w:pPr>
              <w:rPr>
                <w:sz w:val="5"/>
                <w:szCs w:val="5"/>
              </w:rPr>
            </w:pPr>
          </w:p>
        </w:tc>
        <w:tc>
          <w:tcPr>
            <w:tcW w:w="380" w:type="dxa"/>
            <w:tcBorders>
              <w:top w:val="single" w:sz="8" w:space="0" w:color="auto"/>
            </w:tcBorders>
            <w:vAlign w:val="bottom"/>
          </w:tcPr>
          <w:p w14:paraId="0037599A" w14:textId="77777777" w:rsidR="00D1587D" w:rsidRDefault="00D1587D">
            <w:pPr>
              <w:rPr>
                <w:sz w:val="5"/>
                <w:szCs w:val="5"/>
              </w:rPr>
            </w:pPr>
          </w:p>
        </w:tc>
        <w:tc>
          <w:tcPr>
            <w:tcW w:w="20" w:type="dxa"/>
            <w:tcBorders>
              <w:top w:val="single" w:sz="8" w:space="0" w:color="auto"/>
            </w:tcBorders>
            <w:vAlign w:val="bottom"/>
          </w:tcPr>
          <w:p w14:paraId="66750CE9" w14:textId="77777777" w:rsidR="00D1587D" w:rsidRDefault="00D1587D">
            <w:pPr>
              <w:rPr>
                <w:sz w:val="5"/>
                <w:szCs w:val="5"/>
              </w:rPr>
            </w:pPr>
          </w:p>
        </w:tc>
        <w:tc>
          <w:tcPr>
            <w:tcW w:w="140" w:type="dxa"/>
            <w:vAlign w:val="bottom"/>
          </w:tcPr>
          <w:p w14:paraId="337D27AE" w14:textId="77777777" w:rsidR="00D1587D" w:rsidRDefault="00D1587D">
            <w:pPr>
              <w:rPr>
                <w:sz w:val="5"/>
                <w:szCs w:val="5"/>
              </w:rPr>
            </w:pPr>
          </w:p>
        </w:tc>
        <w:tc>
          <w:tcPr>
            <w:tcW w:w="100" w:type="dxa"/>
            <w:vAlign w:val="bottom"/>
          </w:tcPr>
          <w:p w14:paraId="636808B0" w14:textId="77777777" w:rsidR="00D1587D" w:rsidRDefault="00D1587D">
            <w:pPr>
              <w:rPr>
                <w:sz w:val="5"/>
                <w:szCs w:val="5"/>
              </w:rPr>
            </w:pPr>
          </w:p>
        </w:tc>
        <w:tc>
          <w:tcPr>
            <w:tcW w:w="120" w:type="dxa"/>
            <w:vAlign w:val="bottom"/>
          </w:tcPr>
          <w:p w14:paraId="292236E8" w14:textId="77777777" w:rsidR="00D1587D" w:rsidRDefault="00D1587D">
            <w:pPr>
              <w:rPr>
                <w:sz w:val="5"/>
                <w:szCs w:val="5"/>
              </w:rPr>
            </w:pPr>
          </w:p>
        </w:tc>
        <w:tc>
          <w:tcPr>
            <w:tcW w:w="500" w:type="dxa"/>
            <w:tcBorders>
              <w:top w:val="single" w:sz="8" w:space="0" w:color="auto"/>
            </w:tcBorders>
            <w:vAlign w:val="bottom"/>
          </w:tcPr>
          <w:p w14:paraId="20A13C7F" w14:textId="77777777" w:rsidR="00D1587D" w:rsidRDefault="00D1587D">
            <w:pPr>
              <w:rPr>
                <w:sz w:val="5"/>
                <w:szCs w:val="5"/>
              </w:rPr>
            </w:pPr>
          </w:p>
        </w:tc>
        <w:tc>
          <w:tcPr>
            <w:tcW w:w="120" w:type="dxa"/>
            <w:vAlign w:val="bottom"/>
          </w:tcPr>
          <w:p w14:paraId="649AA249" w14:textId="77777777" w:rsidR="00D1587D" w:rsidRDefault="00D1587D">
            <w:pPr>
              <w:rPr>
                <w:sz w:val="5"/>
                <w:szCs w:val="5"/>
              </w:rPr>
            </w:pPr>
          </w:p>
        </w:tc>
        <w:tc>
          <w:tcPr>
            <w:tcW w:w="100" w:type="dxa"/>
            <w:vAlign w:val="bottom"/>
          </w:tcPr>
          <w:p w14:paraId="1B50B5AB" w14:textId="77777777" w:rsidR="00D1587D" w:rsidRDefault="00D1587D">
            <w:pPr>
              <w:rPr>
                <w:sz w:val="5"/>
                <w:szCs w:val="5"/>
              </w:rPr>
            </w:pPr>
          </w:p>
        </w:tc>
        <w:tc>
          <w:tcPr>
            <w:tcW w:w="120" w:type="dxa"/>
            <w:vAlign w:val="bottom"/>
          </w:tcPr>
          <w:p w14:paraId="02563139" w14:textId="77777777" w:rsidR="00D1587D" w:rsidRDefault="00D1587D">
            <w:pPr>
              <w:rPr>
                <w:sz w:val="5"/>
                <w:szCs w:val="5"/>
              </w:rPr>
            </w:pPr>
          </w:p>
        </w:tc>
        <w:tc>
          <w:tcPr>
            <w:tcW w:w="100" w:type="dxa"/>
            <w:tcBorders>
              <w:top w:val="single" w:sz="8" w:space="0" w:color="auto"/>
            </w:tcBorders>
            <w:vAlign w:val="bottom"/>
          </w:tcPr>
          <w:p w14:paraId="3FAB11DA" w14:textId="77777777" w:rsidR="00D1587D" w:rsidRDefault="00D1587D">
            <w:pPr>
              <w:rPr>
                <w:sz w:val="5"/>
                <w:szCs w:val="5"/>
              </w:rPr>
            </w:pPr>
          </w:p>
        </w:tc>
        <w:tc>
          <w:tcPr>
            <w:tcW w:w="380" w:type="dxa"/>
            <w:tcBorders>
              <w:top w:val="single" w:sz="8" w:space="0" w:color="auto"/>
            </w:tcBorders>
            <w:vAlign w:val="bottom"/>
          </w:tcPr>
          <w:p w14:paraId="20D8B03E" w14:textId="77777777" w:rsidR="00D1587D" w:rsidRDefault="00D1587D">
            <w:pPr>
              <w:rPr>
                <w:sz w:val="5"/>
                <w:szCs w:val="5"/>
              </w:rPr>
            </w:pPr>
          </w:p>
        </w:tc>
        <w:tc>
          <w:tcPr>
            <w:tcW w:w="20" w:type="dxa"/>
            <w:vAlign w:val="bottom"/>
          </w:tcPr>
          <w:p w14:paraId="33EDEF0D" w14:textId="77777777" w:rsidR="00D1587D" w:rsidRDefault="00D1587D">
            <w:pPr>
              <w:rPr>
                <w:sz w:val="5"/>
                <w:szCs w:val="5"/>
              </w:rPr>
            </w:pPr>
          </w:p>
        </w:tc>
        <w:tc>
          <w:tcPr>
            <w:tcW w:w="140" w:type="dxa"/>
            <w:vAlign w:val="bottom"/>
          </w:tcPr>
          <w:p w14:paraId="49F885DC" w14:textId="77777777" w:rsidR="00D1587D" w:rsidRDefault="00D1587D">
            <w:pPr>
              <w:rPr>
                <w:sz w:val="5"/>
                <w:szCs w:val="5"/>
              </w:rPr>
            </w:pPr>
          </w:p>
        </w:tc>
      </w:tr>
      <w:tr w:rsidR="00D1587D" w14:paraId="0CCF6DF4" w14:textId="77777777">
        <w:trPr>
          <w:trHeight w:val="270"/>
        </w:trPr>
        <w:tc>
          <w:tcPr>
            <w:tcW w:w="5960" w:type="dxa"/>
            <w:shd w:val="clear" w:color="auto" w:fill="CCEEFF"/>
            <w:vAlign w:val="bottom"/>
          </w:tcPr>
          <w:p w14:paraId="13EF4471" w14:textId="77777777" w:rsidR="00D1587D" w:rsidRDefault="00410D07">
            <w:pPr>
              <w:rPr>
                <w:sz w:val="20"/>
                <w:szCs w:val="20"/>
              </w:rPr>
            </w:pPr>
            <w:r>
              <w:rPr>
                <w:rFonts w:ascii="Arial" w:eastAsia="Arial" w:hAnsi="Arial" w:cs="Arial"/>
                <w:b/>
                <w:bCs/>
                <w:sz w:val="18"/>
                <w:szCs w:val="18"/>
              </w:rPr>
              <w:t>Total Liabilities</w:t>
            </w:r>
          </w:p>
        </w:tc>
        <w:tc>
          <w:tcPr>
            <w:tcW w:w="620" w:type="dxa"/>
            <w:gridSpan w:val="4"/>
            <w:shd w:val="clear" w:color="auto" w:fill="CCEEFF"/>
            <w:vAlign w:val="bottom"/>
          </w:tcPr>
          <w:p w14:paraId="5D2163DD" w14:textId="77777777" w:rsidR="00D1587D" w:rsidRDefault="00410D07">
            <w:pPr>
              <w:ind w:right="20"/>
              <w:jc w:val="right"/>
              <w:rPr>
                <w:sz w:val="20"/>
                <w:szCs w:val="20"/>
              </w:rPr>
            </w:pPr>
            <w:r>
              <w:rPr>
                <w:rFonts w:ascii="Arial" w:eastAsia="Arial" w:hAnsi="Arial" w:cs="Arial"/>
                <w:sz w:val="18"/>
                <w:szCs w:val="18"/>
              </w:rPr>
              <w:t>3,240</w:t>
            </w:r>
          </w:p>
        </w:tc>
        <w:tc>
          <w:tcPr>
            <w:tcW w:w="140" w:type="dxa"/>
            <w:shd w:val="clear" w:color="auto" w:fill="CCEEFF"/>
            <w:vAlign w:val="bottom"/>
          </w:tcPr>
          <w:p w14:paraId="6500F3B1" w14:textId="77777777" w:rsidR="00D1587D" w:rsidRDefault="00D1587D">
            <w:pPr>
              <w:rPr>
                <w:sz w:val="23"/>
                <w:szCs w:val="23"/>
              </w:rPr>
            </w:pPr>
          </w:p>
        </w:tc>
        <w:tc>
          <w:tcPr>
            <w:tcW w:w="100" w:type="dxa"/>
            <w:shd w:val="clear" w:color="auto" w:fill="CCEEFF"/>
            <w:vAlign w:val="bottom"/>
          </w:tcPr>
          <w:p w14:paraId="7091C868" w14:textId="77777777" w:rsidR="00D1587D" w:rsidRDefault="00D1587D">
            <w:pPr>
              <w:rPr>
                <w:sz w:val="23"/>
                <w:szCs w:val="23"/>
              </w:rPr>
            </w:pPr>
          </w:p>
        </w:tc>
        <w:tc>
          <w:tcPr>
            <w:tcW w:w="620" w:type="dxa"/>
            <w:gridSpan w:val="2"/>
            <w:shd w:val="clear" w:color="auto" w:fill="CCEEFF"/>
            <w:vAlign w:val="bottom"/>
          </w:tcPr>
          <w:p w14:paraId="23C22855" w14:textId="77777777" w:rsidR="00D1587D" w:rsidRDefault="00410D07">
            <w:pPr>
              <w:jc w:val="right"/>
              <w:rPr>
                <w:sz w:val="20"/>
                <w:szCs w:val="20"/>
              </w:rPr>
            </w:pPr>
            <w:r>
              <w:rPr>
                <w:rFonts w:ascii="Arial" w:eastAsia="Arial" w:hAnsi="Arial" w:cs="Arial"/>
                <w:sz w:val="18"/>
                <w:szCs w:val="18"/>
              </w:rPr>
              <w:t>3,338</w:t>
            </w:r>
          </w:p>
        </w:tc>
        <w:tc>
          <w:tcPr>
            <w:tcW w:w="120" w:type="dxa"/>
            <w:shd w:val="clear" w:color="auto" w:fill="CCEEFF"/>
            <w:vAlign w:val="bottom"/>
          </w:tcPr>
          <w:p w14:paraId="6A9203BE" w14:textId="77777777" w:rsidR="00D1587D" w:rsidRDefault="00D1587D">
            <w:pPr>
              <w:rPr>
                <w:sz w:val="23"/>
                <w:szCs w:val="23"/>
              </w:rPr>
            </w:pPr>
          </w:p>
        </w:tc>
        <w:tc>
          <w:tcPr>
            <w:tcW w:w="100" w:type="dxa"/>
            <w:shd w:val="clear" w:color="auto" w:fill="CCEEFF"/>
            <w:vAlign w:val="bottom"/>
          </w:tcPr>
          <w:p w14:paraId="7EA67912" w14:textId="77777777" w:rsidR="00D1587D" w:rsidRDefault="00D1587D">
            <w:pPr>
              <w:rPr>
                <w:sz w:val="23"/>
                <w:szCs w:val="23"/>
              </w:rPr>
            </w:pPr>
          </w:p>
        </w:tc>
        <w:tc>
          <w:tcPr>
            <w:tcW w:w="620" w:type="dxa"/>
            <w:gridSpan w:val="4"/>
            <w:shd w:val="clear" w:color="auto" w:fill="CCEEFF"/>
            <w:vAlign w:val="bottom"/>
          </w:tcPr>
          <w:p w14:paraId="537F9AB4" w14:textId="77777777" w:rsidR="00D1587D" w:rsidRDefault="00410D07">
            <w:pPr>
              <w:jc w:val="right"/>
              <w:rPr>
                <w:sz w:val="20"/>
                <w:szCs w:val="20"/>
              </w:rPr>
            </w:pPr>
            <w:r>
              <w:rPr>
                <w:rFonts w:ascii="Arial" w:eastAsia="Arial" w:hAnsi="Arial" w:cs="Arial"/>
                <w:sz w:val="18"/>
                <w:szCs w:val="18"/>
              </w:rPr>
              <w:t>3,686</w:t>
            </w:r>
          </w:p>
        </w:tc>
        <w:tc>
          <w:tcPr>
            <w:tcW w:w="140" w:type="dxa"/>
            <w:shd w:val="clear" w:color="auto" w:fill="CCEEFF"/>
            <w:vAlign w:val="bottom"/>
          </w:tcPr>
          <w:p w14:paraId="615ECC45" w14:textId="77777777" w:rsidR="00D1587D" w:rsidRDefault="00D1587D">
            <w:pPr>
              <w:rPr>
                <w:sz w:val="23"/>
                <w:szCs w:val="23"/>
              </w:rPr>
            </w:pPr>
          </w:p>
        </w:tc>
      </w:tr>
      <w:tr w:rsidR="00D1587D" w14:paraId="7A3C2385" w14:textId="77777777">
        <w:trPr>
          <w:trHeight w:val="61"/>
        </w:trPr>
        <w:tc>
          <w:tcPr>
            <w:tcW w:w="5960" w:type="dxa"/>
            <w:tcBorders>
              <w:top w:val="single" w:sz="8" w:space="0" w:color="CCEEFF"/>
            </w:tcBorders>
            <w:shd w:val="clear" w:color="auto" w:fill="CCEEFF"/>
            <w:vAlign w:val="bottom"/>
          </w:tcPr>
          <w:p w14:paraId="0CB9D8ED" w14:textId="77777777" w:rsidR="00D1587D" w:rsidRDefault="00D1587D">
            <w:pPr>
              <w:rPr>
                <w:sz w:val="5"/>
                <w:szCs w:val="5"/>
              </w:rPr>
            </w:pPr>
          </w:p>
        </w:tc>
        <w:tc>
          <w:tcPr>
            <w:tcW w:w="120" w:type="dxa"/>
            <w:tcBorders>
              <w:top w:val="single" w:sz="8" w:space="0" w:color="CCEEFF"/>
            </w:tcBorders>
            <w:shd w:val="clear" w:color="auto" w:fill="CCEEFF"/>
            <w:vAlign w:val="bottom"/>
          </w:tcPr>
          <w:p w14:paraId="50C3A0D0" w14:textId="77777777" w:rsidR="00D1587D" w:rsidRDefault="00D1587D">
            <w:pPr>
              <w:rPr>
                <w:sz w:val="5"/>
                <w:szCs w:val="5"/>
              </w:rPr>
            </w:pPr>
          </w:p>
        </w:tc>
        <w:tc>
          <w:tcPr>
            <w:tcW w:w="100" w:type="dxa"/>
            <w:tcBorders>
              <w:top w:val="single" w:sz="8" w:space="0" w:color="auto"/>
            </w:tcBorders>
            <w:shd w:val="clear" w:color="auto" w:fill="CCEEFF"/>
            <w:vAlign w:val="bottom"/>
          </w:tcPr>
          <w:p w14:paraId="7BFD258C" w14:textId="77777777" w:rsidR="00D1587D" w:rsidRDefault="00D1587D">
            <w:pPr>
              <w:rPr>
                <w:sz w:val="5"/>
                <w:szCs w:val="5"/>
              </w:rPr>
            </w:pPr>
          </w:p>
        </w:tc>
        <w:tc>
          <w:tcPr>
            <w:tcW w:w="380" w:type="dxa"/>
            <w:tcBorders>
              <w:top w:val="single" w:sz="8" w:space="0" w:color="auto"/>
            </w:tcBorders>
            <w:shd w:val="clear" w:color="auto" w:fill="CCEEFF"/>
            <w:vAlign w:val="bottom"/>
          </w:tcPr>
          <w:p w14:paraId="399671D5" w14:textId="77777777" w:rsidR="00D1587D" w:rsidRDefault="00D1587D">
            <w:pPr>
              <w:rPr>
                <w:sz w:val="5"/>
                <w:szCs w:val="5"/>
              </w:rPr>
            </w:pPr>
          </w:p>
        </w:tc>
        <w:tc>
          <w:tcPr>
            <w:tcW w:w="20" w:type="dxa"/>
            <w:tcBorders>
              <w:top w:val="single" w:sz="8" w:space="0" w:color="CCEEFF"/>
            </w:tcBorders>
            <w:shd w:val="clear" w:color="auto" w:fill="CCEEFF"/>
            <w:vAlign w:val="bottom"/>
          </w:tcPr>
          <w:p w14:paraId="5B99C986" w14:textId="77777777" w:rsidR="00D1587D" w:rsidRDefault="00D1587D">
            <w:pPr>
              <w:rPr>
                <w:sz w:val="5"/>
                <w:szCs w:val="5"/>
              </w:rPr>
            </w:pPr>
          </w:p>
        </w:tc>
        <w:tc>
          <w:tcPr>
            <w:tcW w:w="140" w:type="dxa"/>
            <w:tcBorders>
              <w:top w:val="single" w:sz="8" w:space="0" w:color="CCEEFF"/>
            </w:tcBorders>
            <w:shd w:val="clear" w:color="auto" w:fill="CCEEFF"/>
            <w:vAlign w:val="bottom"/>
          </w:tcPr>
          <w:p w14:paraId="35D50F05" w14:textId="77777777" w:rsidR="00D1587D" w:rsidRDefault="00D1587D">
            <w:pPr>
              <w:rPr>
                <w:sz w:val="5"/>
                <w:szCs w:val="5"/>
              </w:rPr>
            </w:pPr>
          </w:p>
        </w:tc>
        <w:tc>
          <w:tcPr>
            <w:tcW w:w="100" w:type="dxa"/>
            <w:tcBorders>
              <w:top w:val="single" w:sz="8" w:space="0" w:color="CCEEFF"/>
            </w:tcBorders>
            <w:shd w:val="clear" w:color="auto" w:fill="CCEEFF"/>
            <w:vAlign w:val="bottom"/>
          </w:tcPr>
          <w:p w14:paraId="49ADF786" w14:textId="77777777" w:rsidR="00D1587D" w:rsidRDefault="00D1587D">
            <w:pPr>
              <w:rPr>
                <w:sz w:val="5"/>
                <w:szCs w:val="5"/>
              </w:rPr>
            </w:pPr>
          </w:p>
        </w:tc>
        <w:tc>
          <w:tcPr>
            <w:tcW w:w="120" w:type="dxa"/>
            <w:tcBorders>
              <w:top w:val="single" w:sz="8" w:space="0" w:color="CCEEFF"/>
            </w:tcBorders>
            <w:shd w:val="clear" w:color="auto" w:fill="CCEEFF"/>
            <w:vAlign w:val="bottom"/>
          </w:tcPr>
          <w:p w14:paraId="31FDBF2D" w14:textId="77777777" w:rsidR="00D1587D" w:rsidRDefault="00D1587D">
            <w:pPr>
              <w:rPr>
                <w:sz w:val="5"/>
                <w:szCs w:val="5"/>
              </w:rPr>
            </w:pPr>
          </w:p>
        </w:tc>
        <w:tc>
          <w:tcPr>
            <w:tcW w:w="500" w:type="dxa"/>
            <w:tcBorders>
              <w:top w:val="single" w:sz="8" w:space="0" w:color="auto"/>
            </w:tcBorders>
            <w:shd w:val="clear" w:color="auto" w:fill="CCEEFF"/>
            <w:vAlign w:val="bottom"/>
          </w:tcPr>
          <w:p w14:paraId="6E9BDF9C" w14:textId="77777777" w:rsidR="00D1587D" w:rsidRDefault="00D1587D">
            <w:pPr>
              <w:rPr>
                <w:sz w:val="5"/>
                <w:szCs w:val="5"/>
              </w:rPr>
            </w:pPr>
          </w:p>
        </w:tc>
        <w:tc>
          <w:tcPr>
            <w:tcW w:w="120" w:type="dxa"/>
            <w:tcBorders>
              <w:top w:val="single" w:sz="8" w:space="0" w:color="CCEEFF"/>
            </w:tcBorders>
            <w:shd w:val="clear" w:color="auto" w:fill="CCEEFF"/>
            <w:vAlign w:val="bottom"/>
          </w:tcPr>
          <w:p w14:paraId="6CDE61B3" w14:textId="77777777" w:rsidR="00D1587D" w:rsidRDefault="00D1587D">
            <w:pPr>
              <w:rPr>
                <w:sz w:val="5"/>
                <w:szCs w:val="5"/>
              </w:rPr>
            </w:pPr>
          </w:p>
        </w:tc>
        <w:tc>
          <w:tcPr>
            <w:tcW w:w="100" w:type="dxa"/>
            <w:tcBorders>
              <w:top w:val="single" w:sz="8" w:space="0" w:color="CCEEFF"/>
            </w:tcBorders>
            <w:shd w:val="clear" w:color="auto" w:fill="CCEEFF"/>
            <w:vAlign w:val="bottom"/>
          </w:tcPr>
          <w:p w14:paraId="2A56FDF3" w14:textId="77777777" w:rsidR="00D1587D" w:rsidRDefault="00D1587D">
            <w:pPr>
              <w:rPr>
                <w:sz w:val="5"/>
                <w:szCs w:val="5"/>
              </w:rPr>
            </w:pPr>
          </w:p>
        </w:tc>
        <w:tc>
          <w:tcPr>
            <w:tcW w:w="120" w:type="dxa"/>
            <w:tcBorders>
              <w:top w:val="single" w:sz="8" w:space="0" w:color="CCEEFF"/>
            </w:tcBorders>
            <w:shd w:val="clear" w:color="auto" w:fill="CCEEFF"/>
            <w:vAlign w:val="bottom"/>
          </w:tcPr>
          <w:p w14:paraId="665918BC" w14:textId="77777777" w:rsidR="00D1587D" w:rsidRDefault="00D1587D">
            <w:pPr>
              <w:rPr>
                <w:sz w:val="5"/>
                <w:szCs w:val="5"/>
              </w:rPr>
            </w:pPr>
          </w:p>
        </w:tc>
        <w:tc>
          <w:tcPr>
            <w:tcW w:w="100" w:type="dxa"/>
            <w:tcBorders>
              <w:top w:val="single" w:sz="8" w:space="0" w:color="auto"/>
            </w:tcBorders>
            <w:shd w:val="clear" w:color="auto" w:fill="CCEEFF"/>
            <w:vAlign w:val="bottom"/>
          </w:tcPr>
          <w:p w14:paraId="0316CCC0" w14:textId="77777777" w:rsidR="00D1587D" w:rsidRDefault="00D1587D">
            <w:pPr>
              <w:rPr>
                <w:sz w:val="5"/>
                <w:szCs w:val="5"/>
              </w:rPr>
            </w:pPr>
          </w:p>
        </w:tc>
        <w:tc>
          <w:tcPr>
            <w:tcW w:w="380" w:type="dxa"/>
            <w:tcBorders>
              <w:top w:val="single" w:sz="8" w:space="0" w:color="auto"/>
            </w:tcBorders>
            <w:shd w:val="clear" w:color="auto" w:fill="CCEEFF"/>
            <w:vAlign w:val="bottom"/>
          </w:tcPr>
          <w:p w14:paraId="1CB99D2C" w14:textId="77777777" w:rsidR="00D1587D" w:rsidRDefault="00D1587D">
            <w:pPr>
              <w:rPr>
                <w:sz w:val="5"/>
                <w:szCs w:val="5"/>
              </w:rPr>
            </w:pPr>
          </w:p>
        </w:tc>
        <w:tc>
          <w:tcPr>
            <w:tcW w:w="20" w:type="dxa"/>
            <w:tcBorders>
              <w:top w:val="single" w:sz="8" w:space="0" w:color="CCEEFF"/>
            </w:tcBorders>
            <w:shd w:val="clear" w:color="auto" w:fill="CCEEFF"/>
            <w:vAlign w:val="bottom"/>
          </w:tcPr>
          <w:p w14:paraId="17CF560A" w14:textId="77777777" w:rsidR="00D1587D" w:rsidRDefault="00D1587D">
            <w:pPr>
              <w:rPr>
                <w:sz w:val="5"/>
                <w:szCs w:val="5"/>
              </w:rPr>
            </w:pPr>
          </w:p>
        </w:tc>
        <w:tc>
          <w:tcPr>
            <w:tcW w:w="140" w:type="dxa"/>
            <w:tcBorders>
              <w:top w:val="single" w:sz="8" w:space="0" w:color="CCEEFF"/>
            </w:tcBorders>
            <w:shd w:val="clear" w:color="auto" w:fill="CCEEFF"/>
            <w:vAlign w:val="bottom"/>
          </w:tcPr>
          <w:p w14:paraId="082478D4" w14:textId="77777777" w:rsidR="00D1587D" w:rsidRDefault="00D1587D">
            <w:pPr>
              <w:rPr>
                <w:sz w:val="5"/>
                <w:szCs w:val="5"/>
              </w:rPr>
            </w:pPr>
          </w:p>
        </w:tc>
      </w:tr>
      <w:tr w:rsidR="00D1587D" w14:paraId="0023D7BF" w14:textId="77777777">
        <w:trPr>
          <w:trHeight w:val="284"/>
        </w:trPr>
        <w:tc>
          <w:tcPr>
            <w:tcW w:w="5960" w:type="dxa"/>
            <w:vAlign w:val="bottom"/>
          </w:tcPr>
          <w:p w14:paraId="702BA298" w14:textId="77777777" w:rsidR="00D1587D" w:rsidRDefault="00410D07">
            <w:pPr>
              <w:rPr>
                <w:sz w:val="20"/>
                <w:szCs w:val="20"/>
              </w:rPr>
            </w:pPr>
            <w:r>
              <w:rPr>
                <w:rFonts w:ascii="Arial" w:eastAsia="Arial" w:hAnsi="Arial" w:cs="Arial"/>
                <w:b/>
                <w:bCs/>
                <w:sz w:val="18"/>
                <w:szCs w:val="18"/>
              </w:rPr>
              <w:t>Equity</w:t>
            </w:r>
          </w:p>
        </w:tc>
        <w:tc>
          <w:tcPr>
            <w:tcW w:w="120" w:type="dxa"/>
            <w:vAlign w:val="bottom"/>
          </w:tcPr>
          <w:p w14:paraId="55099608" w14:textId="77777777" w:rsidR="00D1587D" w:rsidRDefault="00D1587D">
            <w:pPr>
              <w:rPr>
                <w:sz w:val="24"/>
                <w:szCs w:val="24"/>
              </w:rPr>
            </w:pPr>
          </w:p>
        </w:tc>
        <w:tc>
          <w:tcPr>
            <w:tcW w:w="100" w:type="dxa"/>
            <w:vAlign w:val="bottom"/>
          </w:tcPr>
          <w:p w14:paraId="6BCD91A3" w14:textId="77777777" w:rsidR="00D1587D" w:rsidRDefault="00D1587D">
            <w:pPr>
              <w:rPr>
                <w:sz w:val="24"/>
                <w:szCs w:val="24"/>
              </w:rPr>
            </w:pPr>
          </w:p>
        </w:tc>
        <w:tc>
          <w:tcPr>
            <w:tcW w:w="380" w:type="dxa"/>
            <w:vAlign w:val="bottom"/>
          </w:tcPr>
          <w:p w14:paraId="48590729" w14:textId="77777777" w:rsidR="00D1587D" w:rsidRDefault="00D1587D">
            <w:pPr>
              <w:rPr>
                <w:sz w:val="24"/>
                <w:szCs w:val="24"/>
              </w:rPr>
            </w:pPr>
          </w:p>
        </w:tc>
        <w:tc>
          <w:tcPr>
            <w:tcW w:w="20" w:type="dxa"/>
            <w:vAlign w:val="bottom"/>
          </w:tcPr>
          <w:p w14:paraId="1A748DEF" w14:textId="77777777" w:rsidR="00D1587D" w:rsidRDefault="00D1587D">
            <w:pPr>
              <w:rPr>
                <w:sz w:val="24"/>
                <w:szCs w:val="24"/>
              </w:rPr>
            </w:pPr>
          </w:p>
        </w:tc>
        <w:tc>
          <w:tcPr>
            <w:tcW w:w="140" w:type="dxa"/>
            <w:vAlign w:val="bottom"/>
          </w:tcPr>
          <w:p w14:paraId="0475BBBB" w14:textId="77777777" w:rsidR="00D1587D" w:rsidRDefault="00D1587D">
            <w:pPr>
              <w:rPr>
                <w:sz w:val="24"/>
                <w:szCs w:val="24"/>
              </w:rPr>
            </w:pPr>
          </w:p>
        </w:tc>
        <w:tc>
          <w:tcPr>
            <w:tcW w:w="100" w:type="dxa"/>
            <w:vAlign w:val="bottom"/>
          </w:tcPr>
          <w:p w14:paraId="33AFA75D" w14:textId="77777777" w:rsidR="00D1587D" w:rsidRDefault="00D1587D">
            <w:pPr>
              <w:rPr>
                <w:sz w:val="24"/>
                <w:szCs w:val="24"/>
              </w:rPr>
            </w:pPr>
          </w:p>
        </w:tc>
        <w:tc>
          <w:tcPr>
            <w:tcW w:w="120" w:type="dxa"/>
            <w:vAlign w:val="bottom"/>
          </w:tcPr>
          <w:p w14:paraId="74B457A0" w14:textId="77777777" w:rsidR="00D1587D" w:rsidRDefault="00D1587D">
            <w:pPr>
              <w:rPr>
                <w:sz w:val="24"/>
                <w:szCs w:val="24"/>
              </w:rPr>
            </w:pPr>
          </w:p>
        </w:tc>
        <w:tc>
          <w:tcPr>
            <w:tcW w:w="500" w:type="dxa"/>
            <w:vAlign w:val="bottom"/>
          </w:tcPr>
          <w:p w14:paraId="459281D9" w14:textId="77777777" w:rsidR="00D1587D" w:rsidRDefault="00D1587D">
            <w:pPr>
              <w:rPr>
                <w:sz w:val="24"/>
                <w:szCs w:val="24"/>
              </w:rPr>
            </w:pPr>
          </w:p>
        </w:tc>
        <w:tc>
          <w:tcPr>
            <w:tcW w:w="120" w:type="dxa"/>
            <w:vAlign w:val="bottom"/>
          </w:tcPr>
          <w:p w14:paraId="208C2AE4" w14:textId="77777777" w:rsidR="00D1587D" w:rsidRDefault="00D1587D">
            <w:pPr>
              <w:rPr>
                <w:sz w:val="24"/>
                <w:szCs w:val="24"/>
              </w:rPr>
            </w:pPr>
          </w:p>
        </w:tc>
        <w:tc>
          <w:tcPr>
            <w:tcW w:w="100" w:type="dxa"/>
            <w:vAlign w:val="bottom"/>
          </w:tcPr>
          <w:p w14:paraId="3C562420" w14:textId="77777777" w:rsidR="00D1587D" w:rsidRDefault="00D1587D">
            <w:pPr>
              <w:rPr>
                <w:sz w:val="24"/>
                <w:szCs w:val="24"/>
              </w:rPr>
            </w:pPr>
          </w:p>
        </w:tc>
        <w:tc>
          <w:tcPr>
            <w:tcW w:w="120" w:type="dxa"/>
            <w:vAlign w:val="bottom"/>
          </w:tcPr>
          <w:p w14:paraId="4FB4BB69" w14:textId="77777777" w:rsidR="00D1587D" w:rsidRDefault="00D1587D">
            <w:pPr>
              <w:rPr>
                <w:sz w:val="24"/>
                <w:szCs w:val="24"/>
              </w:rPr>
            </w:pPr>
          </w:p>
        </w:tc>
        <w:tc>
          <w:tcPr>
            <w:tcW w:w="100" w:type="dxa"/>
            <w:vAlign w:val="bottom"/>
          </w:tcPr>
          <w:p w14:paraId="6386988A" w14:textId="77777777" w:rsidR="00D1587D" w:rsidRDefault="00D1587D">
            <w:pPr>
              <w:rPr>
                <w:sz w:val="24"/>
                <w:szCs w:val="24"/>
              </w:rPr>
            </w:pPr>
          </w:p>
        </w:tc>
        <w:tc>
          <w:tcPr>
            <w:tcW w:w="380" w:type="dxa"/>
            <w:vAlign w:val="bottom"/>
          </w:tcPr>
          <w:p w14:paraId="3D96C777" w14:textId="77777777" w:rsidR="00D1587D" w:rsidRDefault="00D1587D">
            <w:pPr>
              <w:rPr>
                <w:sz w:val="24"/>
                <w:szCs w:val="24"/>
              </w:rPr>
            </w:pPr>
          </w:p>
        </w:tc>
        <w:tc>
          <w:tcPr>
            <w:tcW w:w="20" w:type="dxa"/>
            <w:vAlign w:val="bottom"/>
          </w:tcPr>
          <w:p w14:paraId="5C6EF832" w14:textId="77777777" w:rsidR="00D1587D" w:rsidRDefault="00D1587D">
            <w:pPr>
              <w:rPr>
                <w:sz w:val="24"/>
                <w:szCs w:val="24"/>
              </w:rPr>
            </w:pPr>
          </w:p>
        </w:tc>
        <w:tc>
          <w:tcPr>
            <w:tcW w:w="140" w:type="dxa"/>
            <w:vAlign w:val="bottom"/>
          </w:tcPr>
          <w:p w14:paraId="28347972" w14:textId="77777777" w:rsidR="00D1587D" w:rsidRDefault="00D1587D">
            <w:pPr>
              <w:rPr>
                <w:sz w:val="24"/>
                <w:szCs w:val="24"/>
              </w:rPr>
            </w:pPr>
          </w:p>
        </w:tc>
      </w:tr>
      <w:tr w:rsidR="00D1587D" w14:paraId="441D9039" w14:textId="77777777">
        <w:trPr>
          <w:trHeight w:val="54"/>
        </w:trPr>
        <w:tc>
          <w:tcPr>
            <w:tcW w:w="5960" w:type="dxa"/>
            <w:vAlign w:val="bottom"/>
          </w:tcPr>
          <w:p w14:paraId="7A1858E1" w14:textId="77777777" w:rsidR="00D1587D" w:rsidRDefault="00D1587D">
            <w:pPr>
              <w:rPr>
                <w:sz w:val="4"/>
                <w:szCs w:val="4"/>
              </w:rPr>
            </w:pPr>
          </w:p>
        </w:tc>
        <w:tc>
          <w:tcPr>
            <w:tcW w:w="120" w:type="dxa"/>
            <w:vAlign w:val="bottom"/>
          </w:tcPr>
          <w:p w14:paraId="1316AD2C" w14:textId="77777777" w:rsidR="00D1587D" w:rsidRDefault="00D1587D">
            <w:pPr>
              <w:rPr>
                <w:sz w:val="4"/>
                <w:szCs w:val="4"/>
              </w:rPr>
            </w:pPr>
          </w:p>
        </w:tc>
        <w:tc>
          <w:tcPr>
            <w:tcW w:w="100" w:type="dxa"/>
            <w:vAlign w:val="bottom"/>
          </w:tcPr>
          <w:p w14:paraId="67FE3564" w14:textId="77777777" w:rsidR="00D1587D" w:rsidRDefault="00D1587D">
            <w:pPr>
              <w:rPr>
                <w:sz w:val="4"/>
                <w:szCs w:val="4"/>
              </w:rPr>
            </w:pPr>
          </w:p>
        </w:tc>
        <w:tc>
          <w:tcPr>
            <w:tcW w:w="380" w:type="dxa"/>
            <w:vAlign w:val="bottom"/>
          </w:tcPr>
          <w:p w14:paraId="1E533750" w14:textId="77777777" w:rsidR="00D1587D" w:rsidRDefault="00D1587D">
            <w:pPr>
              <w:rPr>
                <w:sz w:val="4"/>
                <w:szCs w:val="4"/>
              </w:rPr>
            </w:pPr>
          </w:p>
        </w:tc>
        <w:tc>
          <w:tcPr>
            <w:tcW w:w="20" w:type="dxa"/>
            <w:vAlign w:val="bottom"/>
          </w:tcPr>
          <w:p w14:paraId="797DC6CF" w14:textId="77777777" w:rsidR="00D1587D" w:rsidRDefault="00D1587D">
            <w:pPr>
              <w:rPr>
                <w:sz w:val="4"/>
                <w:szCs w:val="4"/>
              </w:rPr>
            </w:pPr>
          </w:p>
        </w:tc>
        <w:tc>
          <w:tcPr>
            <w:tcW w:w="140" w:type="dxa"/>
            <w:vAlign w:val="bottom"/>
          </w:tcPr>
          <w:p w14:paraId="6940EFBA" w14:textId="77777777" w:rsidR="00D1587D" w:rsidRDefault="00D1587D">
            <w:pPr>
              <w:rPr>
                <w:sz w:val="4"/>
                <w:szCs w:val="4"/>
              </w:rPr>
            </w:pPr>
          </w:p>
        </w:tc>
        <w:tc>
          <w:tcPr>
            <w:tcW w:w="100" w:type="dxa"/>
            <w:vAlign w:val="bottom"/>
          </w:tcPr>
          <w:p w14:paraId="7B39AE93" w14:textId="77777777" w:rsidR="00D1587D" w:rsidRDefault="00D1587D">
            <w:pPr>
              <w:rPr>
                <w:sz w:val="4"/>
                <w:szCs w:val="4"/>
              </w:rPr>
            </w:pPr>
          </w:p>
        </w:tc>
        <w:tc>
          <w:tcPr>
            <w:tcW w:w="120" w:type="dxa"/>
            <w:vAlign w:val="bottom"/>
          </w:tcPr>
          <w:p w14:paraId="6EEB2ED7" w14:textId="77777777" w:rsidR="00D1587D" w:rsidRDefault="00D1587D">
            <w:pPr>
              <w:rPr>
                <w:sz w:val="4"/>
                <w:szCs w:val="4"/>
              </w:rPr>
            </w:pPr>
          </w:p>
        </w:tc>
        <w:tc>
          <w:tcPr>
            <w:tcW w:w="500" w:type="dxa"/>
            <w:vAlign w:val="bottom"/>
          </w:tcPr>
          <w:p w14:paraId="4F70EE9B" w14:textId="77777777" w:rsidR="00D1587D" w:rsidRDefault="00D1587D">
            <w:pPr>
              <w:rPr>
                <w:sz w:val="4"/>
                <w:szCs w:val="4"/>
              </w:rPr>
            </w:pPr>
          </w:p>
        </w:tc>
        <w:tc>
          <w:tcPr>
            <w:tcW w:w="120" w:type="dxa"/>
            <w:vAlign w:val="bottom"/>
          </w:tcPr>
          <w:p w14:paraId="3A7E9DEE" w14:textId="77777777" w:rsidR="00D1587D" w:rsidRDefault="00D1587D">
            <w:pPr>
              <w:rPr>
                <w:sz w:val="4"/>
                <w:szCs w:val="4"/>
              </w:rPr>
            </w:pPr>
          </w:p>
        </w:tc>
        <w:tc>
          <w:tcPr>
            <w:tcW w:w="100" w:type="dxa"/>
            <w:vAlign w:val="bottom"/>
          </w:tcPr>
          <w:p w14:paraId="267D8356" w14:textId="77777777" w:rsidR="00D1587D" w:rsidRDefault="00D1587D">
            <w:pPr>
              <w:rPr>
                <w:sz w:val="4"/>
                <w:szCs w:val="4"/>
              </w:rPr>
            </w:pPr>
          </w:p>
        </w:tc>
        <w:tc>
          <w:tcPr>
            <w:tcW w:w="120" w:type="dxa"/>
            <w:vAlign w:val="bottom"/>
          </w:tcPr>
          <w:p w14:paraId="382445D8" w14:textId="77777777" w:rsidR="00D1587D" w:rsidRDefault="00D1587D">
            <w:pPr>
              <w:rPr>
                <w:sz w:val="4"/>
                <w:szCs w:val="4"/>
              </w:rPr>
            </w:pPr>
          </w:p>
        </w:tc>
        <w:tc>
          <w:tcPr>
            <w:tcW w:w="100" w:type="dxa"/>
            <w:vAlign w:val="bottom"/>
          </w:tcPr>
          <w:p w14:paraId="629853DF" w14:textId="77777777" w:rsidR="00D1587D" w:rsidRDefault="00D1587D">
            <w:pPr>
              <w:rPr>
                <w:sz w:val="4"/>
                <w:szCs w:val="4"/>
              </w:rPr>
            </w:pPr>
          </w:p>
        </w:tc>
        <w:tc>
          <w:tcPr>
            <w:tcW w:w="380" w:type="dxa"/>
            <w:vAlign w:val="bottom"/>
          </w:tcPr>
          <w:p w14:paraId="08D67B24" w14:textId="77777777" w:rsidR="00D1587D" w:rsidRDefault="00D1587D">
            <w:pPr>
              <w:rPr>
                <w:sz w:val="4"/>
                <w:szCs w:val="4"/>
              </w:rPr>
            </w:pPr>
          </w:p>
        </w:tc>
        <w:tc>
          <w:tcPr>
            <w:tcW w:w="20" w:type="dxa"/>
            <w:vAlign w:val="bottom"/>
          </w:tcPr>
          <w:p w14:paraId="273EC17D" w14:textId="77777777" w:rsidR="00D1587D" w:rsidRDefault="00D1587D">
            <w:pPr>
              <w:rPr>
                <w:sz w:val="4"/>
                <w:szCs w:val="4"/>
              </w:rPr>
            </w:pPr>
          </w:p>
        </w:tc>
        <w:tc>
          <w:tcPr>
            <w:tcW w:w="140" w:type="dxa"/>
            <w:vAlign w:val="bottom"/>
          </w:tcPr>
          <w:p w14:paraId="2D918EBC" w14:textId="77777777" w:rsidR="00D1587D" w:rsidRDefault="00D1587D">
            <w:pPr>
              <w:rPr>
                <w:sz w:val="4"/>
                <w:szCs w:val="4"/>
              </w:rPr>
            </w:pPr>
          </w:p>
        </w:tc>
      </w:tr>
      <w:tr w:rsidR="00D1587D" w14:paraId="089BDC2C" w14:textId="77777777">
        <w:trPr>
          <w:trHeight w:val="304"/>
        </w:trPr>
        <w:tc>
          <w:tcPr>
            <w:tcW w:w="5960" w:type="dxa"/>
            <w:tcBorders>
              <w:bottom w:val="single" w:sz="8" w:space="0" w:color="CCEEFF"/>
            </w:tcBorders>
            <w:shd w:val="clear" w:color="auto" w:fill="CCEEFF"/>
            <w:vAlign w:val="bottom"/>
          </w:tcPr>
          <w:p w14:paraId="3D32B0F3" w14:textId="77777777" w:rsidR="00D1587D" w:rsidRDefault="00410D07">
            <w:pPr>
              <w:rPr>
                <w:sz w:val="20"/>
                <w:szCs w:val="20"/>
              </w:rPr>
            </w:pPr>
            <w:r>
              <w:rPr>
                <w:rFonts w:ascii="Arial" w:eastAsia="Arial" w:hAnsi="Arial" w:cs="Arial"/>
                <w:sz w:val="18"/>
                <w:szCs w:val="18"/>
              </w:rPr>
              <w:t>Noncontrolling Interest</w:t>
            </w:r>
          </w:p>
        </w:tc>
        <w:tc>
          <w:tcPr>
            <w:tcW w:w="120" w:type="dxa"/>
            <w:tcBorders>
              <w:bottom w:val="single" w:sz="8" w:space="0" w:color="CCEEFF"/>
            </w:tcBorders>
            <w:shd w:val="clear" w:color="auto" w:fill="CCEEFF"/>
            <w:vAlign w:val="bottom"/>
          </w:tcPr>
          <w:p w14:paraId="5CBB36BD"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52FD00C" w14:textId="77777777" w:rsidR="00D1587D" w:rsidRDefault="00D1587D">
            <w:pPr>
              <w:rPr>
                <w:sz w:val="24"/>
                <w:szCs w:val="24"/>
              </w:rPr>
            </w:pPr>
          </w:p>
        </w:tc>
        <w:tc>
          <w:tcPr>
            <w:tcW w:w="640" w:type="dxa"/>
            <w:gridSpan w:val="4"/>
            <w:tcBorders>
              <w:bottom w:val="single" w:sz="8" w:space="0" w:color="CCEEFF"/>
            </w:tcBorders>
            <w:shd w:val="clear" w:color="auto" w:fill="CCEEFF"/>
            <w:vAlign w:val="bottom"/>
          </w:tcPr>
          <w:p w14:paraId="664D189A" w14:textId="77777777" w:rsidR="00D1587D" w:rsidRDefault="00410D07">
            <w:pPr>
              <w:ind w:right="24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36B5A749" w14:textId="77777777" w:rsidR="00D1587D" w:rsidRDefault="00D1587D">
            <w:pPr>
              <w:rPr>
                <w:sz w:val="24"/>
                <w:szCs w:val="24"/>
              </w:rPr>
            </w:pPr>
          </w:p>
        </w:tc>
        <w:tc>
          <w:tcPr>
            <w:tcW w:w="720" w:type="dxa"/>
            <w:gridSpan w:val="3"/>
            <w:tcBorders>
              <w:bottom w:val="single" w:sz="8" w:space="0" w:color="CCEEFF"/>
            </w:tcBorders>
            <w:shd w:val="clear" w:color="auto" w:fill="CCEEFF"/>
            <w:vAlign w:val="bottom"/>
          </w:tcPr>
          <w:p w14:paraId="71DF5F1A" w14:textId="77777777" w:rsidR="00D1587D" w:rsidRDefault="00410D07">
            <w:pPr>
              <w:ind w:right="220"/>
              <w:jc w:val="right"/>
              <w:rPr>
                <w:sz w:val="20"/>
                <w:szCs w:val="20"/>
              </w:rPr>
            </w:pPr>
            <w:r>
              <w:rPr>
                <w:rFonts w:ascii="Arial" w:eastAsia="Arial" w:hAnsi="Arial" w:cs="Arial"/>
                <w:sz w:val="18"/>
                <w:szCs w:val="18"/>
              </w:rPr>
              <w:t>—</w:t>
            </w:r>
          </w:p>
        </w:tc>
        <w:tc>
          <w:tcPr>
            <w:tcW w:w="120" w:type="dxa"/>
            <w:tcBorders>
              <w:bottom w:val="single" w:sz="8" w:space="0" w:color="CCEEFF"/>
            </w:tcBorders>
            <w:shd w:val="clear" w:color="auto" w:fill="CCEEFF"/>
            <w:vAlign w:val="bottom"/>
          </w:tcPr>
          <w:p w14:paraId="21506281" w14:textId="77777777" w:rsidR="00D1587D" w:rsidRDefault="00D1587D">
            <w:pPr>
              <w:rPr>
                <w:sz w:val="24"/>
                <w:szCs w:val="24"/>
              </w:rPr>
            </w:pPr>
          </w:p>
        </w:tc>
        <w:tc>
          <w:tcPr>
            <w:tcW w:w="100" w:type="dxa"/>
            <w:tcBorders>
              <w:bottom w:val="single" w:sz="8" w:space="0" w:color="CCEEFF"/>
            </w:tcBorders>
            <w:shd w:val="clear" w:color="auto" w:fill="CCEEFF"/>
            <w:vAlign w:val="bottom"/>
          </w:tcPr>
          <w:p w14:paraId="23DFC4A9"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5A883A0B" w14:textId="77777777" w:rsidR="00D1587D" w:rsidRDefault="00410D07">
            <w:pPr>
              <w:jc w:val="right"/>
              <w:rPr>
                <w:sz w:val="20"/>
                <w:szCs w:val="20"/>
              </w:rPr>
            </w:pPr>
            <w:r>
              <w:rPr>
                <w:rFonts w:ascii="Arial" w:eastAsia="Arial" w:hAnsi="Arial" w:cs="Arial"/>
                <w:sz w:val="18"/>
                <w:szCs w:val="18"/>
              </w:rPr>
              <w:t>3</w:t>
            </w:r>
          </w:p>
        </w:tc>
        <w:tc>
          <w:tcPr>
            <w:tcW w:w="140" w:type="dxa"/>
            <w:tcBorders>
              <w:bottom w:val="single" w:sz="8" w:space="0" w:color="CCEEFF"/>
            </w:tcBorders>
            <w:shd w:val="clear" w:color="auto" w:fill="CCEEFF"/>
            <w:vAlign w:val="bottom"/>
          </w:tcPr>
          <w:p w14:paraId="3727B01B" w14:textId="77777777" w:rsidR="00D1587D" w:rsidRDefault="00D1587D">
            <w:pPr>
              <w:rPr>
                <w:sz w:val="24"/>
                <w:szCs w:val="24"/>
              </w:rPr>
            </w:pPr>
          </w:p>
        </w:tc>
      </w:tr>
      <w:tr w:rsidR="00D1587D" w14:paraId="1734EA90" w14:textId="77777777">
        <w:trPr>
          <w:trHeight w:val="270"/>
        </w:trPr>
        <w:tc>
          <w:tcPr>
            <w:tcW w:w="5960" w:type="dxa"/>
            <w:vAlign w:val="bottom"/>
          </w:tcPr>
          <w:p w14:paraId="5E5A27B9" w14:textId="77777777" w:rsidR="00D1587D" w:rsidRDefault="00410D07">
            <w:pPr>
              <w:rPr>
                <w:sz w:val="20"/>
                <w:szCs w:val="20"/>
              </w:rPr>
            </w:pPr>
            <w:r>
              <w:rPr>
                <w:rFonts w:ascii="Arial" w:eastAsia="Arial" w:hAnsi="Arial" w:cs="Arial"/>
                <w:sz w:val="18"/>
                <w:szCs w:val="18"/>
              </w:rPr>
              <w:t>Accumulated Other Comprehensive Income (Loss)</w:t>
            </w:r>
          </w:p>
        </w:tc>
        <w:tc>
          <w:tcPr>
            <w:tcW w:w="120" w:type="dxa"/>
            <w:vAlign w:val="bottom"/>
          </w:tcPr>
          <w:p w14:paraId="43B2D6B3" w14:textId="77777777" w:rsidR="00D1587D" w:rsidRDefault="00D1587D">
            <w:pPr>
              <w:rPr>
                <w:sz w:val="23"/>
                <w:szCs w:val="23"/>
              </w:rPr>
            </w:pPr>
          </w:p>
        </w:tc>
        <w:tc>
          <w:tcPr>
            <w:tcW w:w="100" w:type="dxa"/>
            <w:vAlign w:val="bottom"/>
          </w:tcPr>
          <w:p w14:paraId="3EE3597C" w14:textId="77777777" w:rsidR="00D1587D" w:rsidRDefault="00D1587D">
            <w:pPr>
              <w:rPr>
                <w:sz w:val="23"/>
                <w:szCs w:val="23"/>
              </w:rPr>
            </w:pPr>
          </w:p>
        </w:tc>
        <w:tc>
          <w:tcPr>
            <w:tcW w:w="400" w:type="dxa"/>
            <w:gridSpan w:val="2"/>
            <w:vAlign w:val="bottom"/>
          </w:tcPr>
          <w:p w14:paraId="32ECB653" w14:textId="77777777" w:rsidR="00D1587D" w:rsidRDefault="00410D07">
            <w:pPr>
              <w:jc w:val="right"/>
              <w:rPr>
                <w:sz w:val="20"/>
                <w:szCs w:val="20"/>
              </w:rPr>
            </w:pPr>
            <w:r>
              <w:rPr>
                <w:rFonts w:ascii="Arial" w:eastAsia="Arial" w:hAnsi="Arial" w:cs="Arial"/>
                <w:sz w:val="18"/>
                <w:szCs w:val="18"/>
              </w:rPr>
              <w:t>7</w:t>
            </w:r>
          </w:p>
        </w:tc>
        <w:tc>
          <w:tcPr>
            <w:tcW w:w="140" w:type="dxa"/>
            <w:vAlign w:val="bottom"/>
          </w:tcPr>
          <w:p w14:paraId="3E1B648C" w14:textId="77777777" w:rsidR="00D1587D" w:rsidRDefault="00D1587D">
            <w:pPr>
              <w:rPr>
                <w:sz w:val="23"/>
                <w:szCs w:val="23"/>
              </w:rPr>
            </w:pPr>
          </w:p>
        </w:tc>
        <w:tc>
          <w:tcPr>
            <w:tcW w:w="100" w:type="dxa"/>
            <w:vAlign w:val="bottom"/>
          </w:tcPr>
          <w:p w14:paraId="3BED12E5" w14:textId="77777777" w:rsidR="00D1587D" w:rsidRDefault="00D1587D">
            <w:pPr>
              <w:rPr>
                <w:sz w:val="23"/>
                <w:szCs w:val="23"/>
              </w:rPr>
            </w:pPr>
          </w:p>
        </w:tc>
        <w:tc>
          <w:tcPr>
            <w:tcW w:w="620" w:type="dxa"/>
            <w:gridSpan w:val="2"/>
            <w:vAlign w:val="bottom"/>
          </w:tcPr>
          <w:p w14:paraId="10FAB256" w14:textId="77777777" w:rsidR="00D1587D" w:rsidRDefault="00410D07">
            <w:pPr>
              <w:jc w:val="right"/>
              <w:rPr>
                <w:sz w:val="20"/>
                <w:szCs w:val="20"/>
              </w:rPr>
            </w:pPr>
            <w:r>
              <w:rPr>
                <w:rFonts w:ascii="Arial" w:eastAsia="Arial" w:hAnsi="Arial" w:cs="Arial"/>
                <w:sz w:val="18"/>
                <w:szCs w:val="18"/>
              </w:rPr>
              <w:t>4</w:t>
            </w:r>
          </w:p>
        </w:tc>
        <w:tc>
          <w:tcPr>
            <w:tcW w:w="120" w:type="dxa"/>
            <w:vAlign w:val="bottom"/>
          </w:tcPr>
          <w:p w14:paraId="7C984A3B" w14:textId="77777777" w:rsidR="00D1587D" w:rsidRDefault="00D1587D">
            <w:pPr>
              <w:rPr>
                <w:sz w:val="23"/>
                <w:szCs w:val="23"/>
              </w:rPr>
            </w:pPr>
          </w:p>
        </w:tc>
        <w:tc>
          <w:tcPr>
            <w:tcW w:w="100" w:type="dxa"/>
            <w:vAlign w:val="bottom"/>
          </w:tcPr>
          <w:p w14:paraId="7964B417" w14:textId="77777777" w:rsidR="00D1587D" w:rsidRDefault="00D1587D">
            <w:pPr>
              <w:rPr>
                <w:sz w:val="23"/>
                <w:szCs w:val="23"/>
              </w:rPr>
            </w:pPr>
          </w:p>
        </w:tc>
        <w:tc>
          <w:tcPr>
            <w:tcW w:w="120" w:type="dxa"/>
            <w:vAlign w:val="bottom"/>
          </w:tcPr>
          <w:p w14:paraId="275DBD89" w14:textId="77777777" w:rsidR="00D1587D" w:rsidRDefault="00D1587D">
            <w:pPr>
              <w:rPr>
                <w:sz w:val="23"/>
                <w:szCs w:val="23"/>
              </w:rPr>
            </w:pPr>
          </w:p>
        </w:tc>
        <w:tc>
          <w:tcPr>
            <w:tcW w:w="100" w:type="dxa"/>
            <w:vAlign w:val="bottom"/>
          </w:tcPr>
          <w:p w14:paraId="523CE8E4" w14:textId="77777777" w:rsidR="00D1587D" w:rsidRDefault="00D1587D">
            <w:pPr>
              <w:rPr>
                <w:sz w:val="23"/>
                <w:szCs w:val="23"/>
              </w:rPr>
            </w:pPr>
          </w:p>
        </w:tc>
        <w:tc>
          <w:tcPr>
            <w:tcW w:w="540" w:type="dxa"/>
            <w:gridSpan w:val="3"/>
            <w:vAlign w:val="bottom"/>
          </w:tcPr>
          <w:p w14:paraId="05BF4E8B" w14:textId="77777777" w:rsidR="00D1587D" w:rsidRDefault="00410D07">
            <w:pPr>
              <w:ind w:right="100"/>
              <w:jc w:val="right"/>
              <w:rPr>
                <w:sz w:val="20"/>
                <w:szCs w:val="20"/>
              </w:rPr>
            </w:pPr>
            <w:r>
              <w:rPr>
                <w:rFonts w:ascii="Arial" w:eastAsia="Arial" w:hAnsi="Arial" w:cs="Arial"/>
                <w:sz w:val="18"/>
                <w:szCs w:val="18"/>
              </w:rPr>
              <w:t>(31)</w:t>
            </w:r>
          </w:p>
        </w:tc>
      </w:tr>
      <w:tr w:rsidR="00D1587D" w14:paraId="515946FC" w14:textId="77777777">
        <w:trPr>
          <w:trHeight w:val="54"/>
        </w:trPr>
        <w:tc>
          <w:tcPr>
            <w:tcW w:w="5960" w:type="dxa"/>
            <w:vAlign w:val="bottom"/>
          </w:tcPr>
          <w:p w14:paraId="64175566" w14:textId="77777777" w:rsidR="00D1587D" w:rsidRDefault="00D1587D">
            <w:pPr>
              <w:rPr>
                <w:sz w:val="4"/>
                <w:szCs w:val="4"/>
              </w:rPr>
            </w:pPr>
          </w:p>
        </w:tc>
        <w:tc>
          <w:tcPr>
            <w:tcW w:w="120" w:type="dxa"/>
            <w:vAlign w:val="bottom"/>
          </w:tcPr>
          <w:p w14:paraId="6E342802" w14:textId="77777777" w:rsidR="00D1587D" w:rsidRDefault="00D1587D">
            <w:pPr>
              <w:rPr>
                <w:sz w:val="4"/>
                <w:szCs w:val="4"/>
              </w:rPr>
            </w:pPr>
          </w:p>
        </w:tc>
        <w:tc>
          <w:tcPr>
            <w:tcW w:w="480" w:type="dxa"/>
            <w:gridSpan w:val="2"/>
            <w:vAlign w:val="bottom"/>
          </w:tcPr>
          <w:p w14:paraId="61EFBB87" w14:textId="77777777" w:rsidR="00D1587D" w:rsidRDefault="00D1587D">
            <w:pPr>
              <w:rPr>
                <w:sz w:val="4"/>
                <w:szCs w:val="4"/>
              </w:rPr>
            </w:pPr>
          </w:p>
        </w:tc>
        <w:tc>
          <w:tcPr>
            <w:tcW w:w="20" w:type="dxa"/>
            <w:vAlign w:val="bottom"/>
          </w:tcPr>
          <w:p w14:paraId="44FA0BF9" w14:textId="77777777" w:rsidR="00D1587D" w:rsidRDefault="00D1587D">
            <w:pPr>
              <w:rPr>
                <w:sz w:val="4"/>
                <w:szCs w:val="4"/>
              </w:rPr>
            </w:pPr>
          </w:p>
        </w:tc>
        <w:tc>
          <w:tcPr>
            <w:tcW w:w="140" w:type="dxa"/>
            <w:vAlign w:val="bottom"/>
          </w:tcPr>
          <w:p w14:paraId="47AA38CE" w14:textId="77777777" w:rsidR="00D1587D" w:rsidRDefault="00D1587D">
            <w:pPr>
              <w:rPr>
                <w:sz w:val="4"/>
                <w:szCs w:val="4"/>
              </w:rPr>
            </w:pPr>
          </w:p>
        </w:tc>
        <w:tc>
          <w:tcPr>
            <w:tcW w:w="100" w:type="dxa"/>
            <w:vAlign w:val="bottom"/>
          </w:tcPr>
          <w:p w14:paraId="68521F82" w14:textId="77777777" w:rsidR="00D1587D" w:rsidRDefault="00D1587D">
            <w:pPr>
              <w:rPr>
                <w:sz w:val="4"/>
                <w:szCs w:val="4"/>
              </w:rPr>
            </w:pPr>
          </w:p>
        </w:tc>
        <w:tc>
          <w:tcPr>
            <w:tcW w:w="120" w:type="dxa"/>
            <w:vAlign w:val="bottom"/>
          </w:tcPr>
          <w:p w14:paraId="318FB4EA" w14:textId="77777777" w:rsidR="00D1587D" w:rsidRDefault="00D1587D">
            <w:pPr>
              <w:rPr>
                <w:sz w:val="4"/>
                <w:szCs w:val="4"/>
              </w:rPr>
            </w:pPr>
          </w:p>
        </w:tc>
        <w:tc>
          <w:tcPr>
            <w:tcW w:w="500" w:type="dxa"/>
            <w:vAlign w:val="bottom"/>
          </w:tcPr>
          <w:p w14:paraId="711C440E" w14:textId="77777777" w:rsidR="00D1587D" w:rsidRDefault="00D1587D">
            <w:pPr>
              <w:rPr>
                <w:sz w:val="4"/>
                <w:szCs w:val="4"/>
              </w:rPr>
            </w:pPr>
          </w:p>
        </w:tc>
        <w:tc>
          <w:tcPr>
            <w:tcW w:w="120" w:type="dxa"/>
            <w:vAlign w:val="bottom"/>
          </w:tcPr>
          <w:p w14:paraId="646BBF20" w14:textId="77777777" w:rsidR="00D1587D" w:rsidRDefault="00D1587D">
            <w:pPr>
              <w:rPr>
                <w:sz w:val="4"/>
                <w:szCs w:val="4"/>
              </w:rPr>
            </w:pPr>
          </w:p>
        </w:tc>
        <w:tc>
          <w:tcPr>
            <w:tcW w:w="100" w:type="dxa"/>
            <w:vAlign w:val="bottom"/>
          </w:tcPr>
          <w:p w14:paraId="14901A26" w14:textId="77777777" w:rsidR="00D1587D" w:rsidRDefault="00D1587D">
            <w:pPr>
              <w:rPr>
                <w:sz w:val="4"/>
                <w:szCs w:val="4"/>
              </w:rPr>
            </w:pPr>
          </w:p>
        </w:tc>
        <w:tc>
          <w:tcPr>
            <w:tcW w:w="120" w:type="dxa"/>
            <w:vAlign w:val="bottom"/>
          </w:tcPr>
          <w:p w14:paraId="7747F061" w14:textId="77777777" w:rsidR="00D1587D" w:rsidRDefault="00D1587D">
            <w:pPr>
              <w:rPr>
                <w:sz w:val="4"/>
                <w:szCs w:val="4"/>
              </w:rPr>
            </w:pPr>
          </w:p>
        </w:tc>
        <w:tc>
          <w:tcPr>
            <w:tcW w:w="480" w:type="dxa"/>
            <w:gridSpan w:val="2"/>
            <w:vAlign w:val="bottom"/>
          </w:tcPr>
          <w:p w14:paraId="1DDDAB82" w14:textId="77777777" w:rsidR="00D1587D" w:rsidRDefault="00D1587D">
            <w:pPr>
              <w:rPr>
                <w:sz w:val="4"/>
                <w:szCs w:val="4"/>
              </w:rPr>
            </w:pPr>
          </w:p>
        </w:tc>
        <w:tc>
          <w:tcPr>
            <w:tcW w:w="20" w:type="dxa"/>
            <w:vAlign w:val="bottom"/>
          </w:tcPr>
          <w:p w14:paraId="5C094DDA" w14:textId="77777777" w:rsidR="00D1587D" w:rsidRDefault="00D1587D">
            <w:pPr>
              <w:rPr>
                <w:sz w:val="4"/>
                <w:szCs w:val="4"/>
              </w:rPr>
            </w:pPr>
          </w:p>
        </w:tc>
        <w:tc>
          <w:tcPr>
            <w:tcW w:w="140" w:type="dxa"/>
            <w:vAlign w:val="bottom"/>
          </w:tcPr>
          <w:p w14:paraId="6BFC83CD" w14:textId="77777777" w:rsidR="00D1587D" w:rsidRDefault="00D1587D">
            <w:pPr>
              <w:rPr>
                <w:sz w:val="4"/>
                <w:szCs w:val="4"/>
              </w:rPr>
            </w:pPr>
          </w:p>
        </w:tc>
      </w:tr>
      <w:tr w:rsidR="00D1587D" w14:paraId="564A67B6" w14:textId="77777777">
        <w:trPr>
          <w:trHeight w:val="256"/>
        </w:trPr>
        <w:tc>
          <w:tcPr>
            <w:tcW w:w="5960" w:type="dxa"/>
            <w:shd w:val="clear" w:color="auto" w:fill="CCEEFF"/>
            <w:vAlign w:val="bottom"/>
          </w:tcPr>
          <w:p w14:paraId="69050098" w14:textId="77777777" w:rsidR="00D1587D" w:rsidRDefault="00410D07">
            <w:pPr>
              <w:rPr>
                <w:sz w:val="20"/>
                <w:szCs w:val="20"/>
              </w:rPr>
            </w:pPr>
            <w:r>
              <w:rPr>
                <w:rFonts w:ascii="Arial" w:eastAsia="Arial" w:hAnsi="Arial" w:cs="Arial"/>
                <w:sz w:val="18"/>
                <w:szCs w:val="18"/>
              </w:rPr>
              <w:t>Net Investment by L Brands, Inc.</w:t>
            </w:r>
          </w:p>
        </w:tc>
        <w:tc>
          <w:tcPr>
            <w:tcW w:w="620" w:type="dxa"/>
            <w:gridSpan w:val="4"/>
            <w:shd w:val="clear" w:color="auto" w:fill="CCEEFF"/>
            <w:vAlign w:val="bottom"/>
          </w:tcPr>
          <w:p w14:paraId="7FF4B942" w14:textId="77777777" w:rsidR="00D1587D" w:rsidRDefault="00410D07">
            <w:pPr>
              <w:ind w:right="20"/>
              <w:jc w:val="right"/>
              <w:rPr>
                <w:sz w:val="20"/>
                <w:szCs w:val="20"/>
              </w:rPr>
            </w:pPr>
            <w:r>
              <w:rPr>
                <w:rFonts w:ascii="Arial" w:eastAsia="Arial" w:hAnsi="Arial" w:cs="Arial"/>
                <w:sz w:val="18"/>
                <w:szCs w:val="18"/>
              </w:rPr>
              <w:t>1,000</w:t>
            </w:r>
          </w:p>
        </w:tc>
        <w:tc>
          <w:tcPr>
            <w:tcW w:w="140" w:type="dxa"/>
            <w:shd w:val="clear" w:color="auto" w:fill="CCEEFF"/>
            <w:vAlign w:val="bottom"/>
          </w:tcPr>
          <w:p w14:paraId="6A740459" w14:textId="77777777" w:rsidR="00D1587D" w:rsidRDefault="00D1587D"/>
        </w:tc>
        <w:tc>
          <w:tcPr>
            <w:tcW w:w="100" w:type="dxa"/>
            <w:shd w:val="clear" w:color="auto" w:fill="CCEEFF"/>
            <w:vAlign w:val="bottom"/>
          </w:tcPr>
          <w:p w14:paraId="7FD7AF68" w14:textId="77777777" w:rsidR="00D1587D" w:rsidRDefault="00D1587D"/>
        </w:tc>
        <w:tc>
          <w:tcPr>
            <w:tcW w:w="620" w:type="dxa"/>
            <w:gridSpan w:val="2"/>
            <w:shd w:val="clear" w:color="auto" w:fill="CCEEFF"/>
            <w:vAlign w:val="bottom"/>
          </w:tcPr>
          <w:p w14:paraId="10712A43" w14:textId="77777777" w:rsidR="00D1587D" w:rsidRDefault="00410D07">
            <w:pPr>
              <w:jc w:val="right"/>
              <w:rPr>
                <w:sz w:val="20"/>
                <w:szCs w:val="20"/>
              </w:rPr>
            </w:pPr>
            <w:r>
              <w:rPr>
                <w:rFonts w:ascii="Arial" w:eastAsia="Arial" w:hAnsi="Arial" w:cs="Arial"/>
                <w:sz w:val="18"/>
                <w:szCs w:val="18"/>
              </w:rPr>
              <w:t>887</w:t>
            </w:r>
          </w:p>
        </w:tc>
        <w:tc>
          <w:tcPr>
            <w:tcW w:w="120" w:type="dxa"/>
            <w:shd w:val="clear" w:color="auto" w:fill="CCEEFF"/>
            <w:vAlign w:val="bottom"/>
          </w:tcPr>
          <w:p w14:paraId="606EFB05" w14:textId="77777777" w:rsidR="00D1587D" w:rsidRDefault="00D1587D"/>
        </w:tc>
        <w:tc>
          <w:tcPr>
            <w:tcW w:w="100" w:type="dxa"/>
            <w:shd w:val="clear" w:color="auto" w:fill="CCEEFF"/>
            <w:vAlign w:val="bottom"/>
          </w:tcPr>
          <w:p w14:paraId="1CA0CEE1" w14:textId="77777777" w:rsidR="00D1587D" w:rsidRDefault="00D1587D"/>
        </w:tc>
        <w:tc>
          <w:tcPr>
            <w:tcW w:w="620" w:type="dxa"/>
            <w:gridSpan w:val="4"/>
            <w:shd w:val="clear" w:color="auto" w:fill="CCEEFF"/>
            <w:vAlign w:val="bottom"/>
          </w:tcPr>
          <w:p w14:paraId="602D3BF8" w14:textId="77777777" w:rsidR="00D1587D" w:rsidRDefault="00410D07">
            <w:pPr>
              <w:jc w:val="right"/>
              <w:rPr>
                <w:sz w:val="20"/>
                <w:szCs w:val="20"/>
              </w:rPr>
            </w:pPr>
            <w:r>
              <w:rPr>
                <w:rFonts w:ascii="Arial" w:eastAsia="Arial" w:hAnsi="Arial" w:cs="Arial"/>
                <w:sz w:val="18"/>
                <w:szCs w:val="18"/>
              </w:rPr>
              <w:t>1,351</w:t>
            </w:r>
          </w:p>
        </w:tc>
        <w:tc>
          <w:tcPr>
            <w:tcW w:w="140" w:type="dxa"/>
            <w:shd w:val="clear" w:color="auto" w:fill="CCEEFF"/>
            <w:vAlign w:val="bottom"/>
          </w:tcPr>
          <w:p w14:paraId="426275B5" w14:textId="77777777" w:rsidR="00D1587D" w:rsidRDefault="00D1587D"/>
        </w:tc>
      </w:tr>
      <w:tr w:rsidR="00D1587D" w14:paraId="25A3C2FF" w14:textId="77777777">
        <w:trPr>
          <w:trHeight w:val="61"/>
        </w:trPr>
        <w:tc>
          <w:tcPr>
            <w:tcW w:w="5960" w:type="dxa"/>
            <w:tcBorders>
              <w:top w:val="single" w:sz="8" w:space="0" w:color="CCEEFF"/>
            </w:tcBorders>
            <w:shd w:val="clear" w:color="auto" w:fill="CCEEFF"/>
            <w:vAlign w:val="bottom"/>
          </w:tcPr>
          <w:p w14:paraId="7F798B7A" w14:textId="77777777" w:rsidR="00D1587D" w:rsidRDefault="00D1587D">
            <w:pPr>
              <w:rPr>
                <w:sz w:val="5"/>
                <w:szCs w:val="5"/>
              </w:rPr>
            </w:pPr>
          </w:p>
        </w:tc>
        <w:tc>
          <w:tcPr>
            <w:tcW w:w="120" w:type="dxa"/>
            <w:tcBorders>
              <w:top w:val="single" w:sz="8" w:space="0" w:color="CCEEFF"/>
            </w:tcBorders>
            <w:shd w:val="clear" w:color="auto" w:fill="CCEEFF"/>
            <w:vAlign w:val="bottom"/>
          </w:tcPr>
          <w:p w14:paraId="74E8C9C4" w14:textId="77777777" w:rsidR="00D1587D" w:rsidRDefault="00D1587D">
            <w:pPr>
              <w:rPr>
                <w:sz w:val="5"/>
                <w:szCs w:val="5"/>
              </w:rPr>
            </w:pPr>
          </w:p>
        </w:tc>
        <w:tc>
          <w:tcPr>
            <w:tcW w:w="100" w:type="dxa"/>
            <w:tcBorders>
              <w:top w:val="single" w:sz="8" w:space="0" w:color="auto"/>
            </w:tcBorders>
            <w:shd w:val="clear" w:color="auto" w:fill="CCEEFF"/>
            <w:vAlign w:val="bottom"/>
          </w:tcPr>
          <w:p w14:paraId="21916D8D" w14:textId="77777777" w:rsidR="00D1587D" w:rsidRDefault="00D1587D">
            <w:pPr>
              <w:rPr>
                <w:sz w:val="5"/>
                <w:szCs w:val="5"/>
              </w:rPr>
            </w:pPr>
          </w:p>
        </w:tc>
        <w:tc>
          <w:tcPr>
            <w:tcW w:w="380" w:type="dxa"/>
            <w:tcBorders>
              <w:top w:val="single" w:sz="8" w:space="0" w:color="auto"/>
            </w:tcBorders>
            <w:shd w:val="clear" w:color="auto" w:fill="CCEEFF"/>
            <w:vAlign w:val="bottom"/>
          </w:tcPr>
          <w:p w14:paraId="63246BC0" w14:textId="77777777" w:rsidR="00D1587D" w:rsidRDefault="00D1587D">
            <w:pPr>
              <w:rPr>
                <w:sz w:val="5"/>
                <w:szCs w:val="5"/>
              </w:rPr>
            </w:pPr>
          </w:p>
        </w:tc>
        <w:tc>
          <w:tcPr>
            <w:tcW w:w="20" w:type="dxa"/>
            <w:tcBorders>
              <w:top w:val="single" w:sz="8" w:space="0" w:color="CCEEFF"/>
            </w:tcBorders>
            <w:shd w:val="clear" w:color="auto" w:fill="CCEEFF"/>
            <w:vAlign w:val="bottom"/>
          </w:tcPr>
          <w:p w14:paraId="07468111" w14:textId="77777777" w:rsidR="00D1587D" w:rsidRDefault="00D1587D">
            <w:pPr>
              <w:rPr>
                <w:sz w:val="5"/>
                <w:szCs w:val="5"/>
              </w:rPr>
            </w:pPr>
          </w:p>
        </w:tc>
        <w:tc>
          <w:tcPr>
            <w:tcW w:w="140" w:type="dxa"/>
            <w:tcBorders>
              <w:top w:val="single" w:sz="8" w:space="0" w:color="CCEEFF"/>
            </w:tcBorders>
            <w:shd w:val="clear" w:color="auto" w:fill="CCEEFF"/>
            <w:vAlign w:val="bottom"/>
          </w:tcPr>
          <w:p w14:paraId="36D21443" w14:textId="77777777" w:rsidR="00D1587D" w:rsidRDefault="00D1587D">
            <w:pPr>
              <w:rPr>
                <w:sz w:val="5"/>
                <w:szCs w:val="5"/>
              </w:rPr>
            </w:pPr>
          </w:p>
        </w:tc>
        <w:tc>
          <w:tcPr>
            <w:tcW w:w="100" w:type="dxa"/>
            <w:tcBorders>
              <w:top w:val="single" w:sz="8" w:space="0" w:color="CCEEFF"/>
            </w:tcBorders>
            <w:shd w:val="clear" w:color="auto" w:fill="CCEEFF"/>
            <w:vAlign w:val="bottom"/>
          </w:tcPr>
          <w:p w14:paraId="346012D3" w14:textId="77777777" w:rsidR="00D1587D" w:rsidRDefault="00D1587D">
            <w:pPr>
              <w:rPr>
                <w:sz w:val="5"/>
                <w:szCs w:val="5"/>
              </w:rPr>
            </w:pPr>
          </w:p>
        </w:tc>
        <w:tc>
          <w:tcPr>
            <w:tcW w:w="120" w:type="dxa"/>
            <w:tcBorders>
              <w:top w:val="single" w:sz="8" w:space="0" w:color="CCEEFF"/>
            </w:tcBorders>
            <w:shd w:val="clear" w:color="auto" w:fill="CCEEFF"/>
            <w:vAlign w:val="bottom"/>
          </w:tcPr>
          <w:p w14:paraId="64BF033D" w14:textId="77777777" w:rsidR="00D1587D" w:rsidRDefault="00D1587D">
            <w:pPr>
              <w:rPr>
                <w:sz w:val="5"/>
                <w:szCs w:val="5"/>
              </w:rPr>
            </w:pPr>
          </w:p>
        </w:tc>
        <w:tc>
          <w:tcPr>
            <w:tcW w:w="500" w:type="dxa"/>
            <w:tcBorders>
              <w:top w:val="single" w:sz="8" w:space="0" w:color="auto"/>
            </w:tcBorders>
            <w:shd w:val="clear" w:color="auto" w:fill="CCEEFF"/>
            <w:vAlign w:val="bottom"/>
          </w:tcPr>
          <w:p w14:paraId="0EEC2C28" w14:textId="77777777" w:rsidR="00D1587D" w:rsidRDefault="00D1587D">
            <w:pPr>
              <w:rPr>
                <w:sz w:val="5"/>
                <w:szCs w:val="5"/>
              </w:rPr>
            </w:pPr>
          </w:p>
        </w:tc>
        <w:tc>
          <w:tcPr>
            <w:tcW w:w="120" w:type="dxa"/>
            <w:tcBorders>
              <w:top w:val="single" w:sz="8" w:space="0" w:color="CCEEFF"/>
            </w:tcBorders>
            <w:shd w:val="clear" w:color="auto" w:fill="CCEEFF"/>
            <w:vAlign w:val="bottom"/>
          </w:tcPr>
          <w:p w14:paraId="1566AAB7" w14:textId="77777777" w:rsidR="00D1587D" w:rsidRDefault="00D1587D">
            <w:pPr>
              <w:rPr>
                <w:sz w:val="5"/>
                <w:szCs w:val="5"/>
              </w:rPr>
            </w:pPr>
          </w:p>
        </w:tc>
        <w:tc>
          <w:tcPr>
            <w:tcW w:w="100" w:type="dxa"/>
            <w:tcBorders>
              <w:top w:val="single" w:sz="8" w:space="0" w:color="CCEEFF"/>
            </w:tcBorders>
            <w:shd w:val="clear" w:color="auto" w:fill="CCEEFF"/>
            <w:vAlign w:val="bottom"/>
          </w:tcPr>
          <w:p w14:paraId="1EAFDA17" w14:textId="77777777" w:rsidR="00D1587D" w:rsidRDefault="00D1587D">
            <w:pPr>
              <w:rPr>
                <w:sz w:val="5"/>
                <w:szCs w:val="5"/>
              </w:rPr>
            </w:pPr>
          </w:p>
        </w:tc>
        <w:tc>
          <w:tcPr>
            <w:tcW w:w="120" w:type="dxa"/>
            <w:tcBorders>
              <w:top w:val="single" w:sz="8" w:space="0" w:color="CCEEFF"/>
            </w:tcBorders>
            <w:shd w:val="clear" w:color="auto" w:fill="CCEEFF"/>
            <w:vAlign w:val="bottom"/>
          </w:tcPr>
          <w:p w14:paraId="5B4E7341" w14:textId="77777777" w:rsidR="00D1587D" w:rsidRDefault="00D1587D">
            <w:pPr>
              <w:rPr>
                <w:sz w:val="5"/>
                <w:szCs w:val="5"/>
              </w:rPr>
            </w:pPr>
          </w:p>
        </w:tc>
        <w:tc>
          <w:tcPr>
            <w:tcW w:w="100" w:type="dxa"/>
            <w:tcBorders>
              <w:top w:val="single" w:sz="8" w:space="0" w:color="auto"/>
            </w:tcBorders>
            <w:shd w:val="clear" w:color="auto" w:fill="CCEEFF"/>
            <w:vAlign w:val="bottom"/>
          </w:tcPr>
          <w:p w14:paraId="6BA868B7" w14:textId="77777777" w:rsidR="00D1587D" w:rsidRDefault="00D1587D">
            <w:pPr>
              <w:rPr>
                <w:sz w:val="5"/>
                <w:szCs w:val="5"/>
              </w:rPr>
            </w:pPr>
          </w:p>
        </w:tc>
        <w:tc>
          <w:tcPr>
            <w:tcW w:w="380" w:type="dxa"/>
            <w:tcBorders>
              <w:top w:val="single" w:sz="8" w:space="0" w:color="auto"/>
            </w:tcBorders>
            <w:shd w:val="clear" w:color="auto" w:fill="CCEEFF"/>
            <w:vAlign w:val="bottom"/>
          </w:tcPr>
          <w:p w14:paraId="36C62819" w14:textId="77777777" w:rsidR="00D1587D" w:rsidRDefault="00D1587D">
            <w:pPr>
              <w:rPr>
                <w:sz w:val="5"/>
                <w:szCs w:val="5"/>
              </w:rPr>
            </w:pPr>
          </w:p>
        </w:tc>
        <w:tc>
          <w:tcPr>
            <w:tcW w:w="20" w:type="dxa"/>
            <w:tcBorders>
              <w:top w:val="single" w:sz="8" w:space="0" w:color="CCEEFF"/>
            </w:tcBorders>
            <w:shd w:val="clear" w:color="auto" w:fill="CCEEFF"/>
            <w:vAlign w:val="bottom"/>
          </w:tcPr>
          <w:p w14:paraId="6AFD050C" w14:textId="77777777" w:rsidR="00D1587D" w:rsidRDefault="00D1587D">
            <w:pPr>
              <w:rPr>
                <w:sz w:val="5"/>
                <w:szCs w:val="5"/>
              </w:rPr>
            </w:pPr>
          </w:p>
        </w:tc>
        <w:tc>
          <w:tcPr>
            <w:tcW w:w="140" w:type="dxa"/>
            <w:tcBorders>
              <w:top w:val="single" w:sz="8" w:space="0" w:color="CCEEFF"/>
            </w:tcBorders>
            <w:shd w:val="clear" w:color="auto" w:fill="CCEEFF"/>
            <w:vAlign w:val="bottom"/>
          </w:tcPr>
          <w:p w14:paraId="07B77F85" w14:textId="77777777" w:rsidR="00D1587D" w:rsidRDefault="00D1587D">
            <w:pPr>
              <w:rPr>
                <w:sz w:val="5"/>
                <w:szCs w:val="5"/>
              </w:rPr>
            </w:pPr>
          </w:p>
        </w:tc>
      </w:tr>
      <w:tr w:rsidR="00D1587D" w14:paraId="58523E44" w14:textId="77777777">
        <w:trPr>
          <w:trHeight w:val="270"/>
        </w:trPr>
        <w:tc>
          <w:tcPr>
            <w:tcW w:w="5960" w:type="dxa"/>
            <w:vAlign w:val="bottom"/>
          </w:tcPr>
          <w:p w14:paraId="167C7486" w14:textId="77777777" w:rsidR="00D1587D" w:rsidRDefault="00410D07">
            <w:pPr>
              <w:rPr>
                <w:sz w:val="20"/>
                <w:szCs w:val="20"/>
              </w:rPr>
            </w:pPr>
            <w:r>
              <w:rPr>
                <w:rFonts w:ascii="Arial" w:eastAsia="Arial" w:hAnsi="Arial" w:cs="Arial"/>
                <w:b/>
                <w:bCs/>
                <w:sz w:val="18"/>
                <w:szCs w:val="18"/>
              </w:rPr>
              <w:t>Total Equity</w:t>
            </w:r>
          </w:p>
        </w:tc>
        <w:tc>
          <w:tcPr>
            <w:tcW w:w="620" w:type="dxa"/>
            <w:gridSpan w:val="4"/>
            <w:vAlign w:val="bottom"/>
          </w:tcPr>
          <w:p w14:paraId="3F8F01E3" w14:textId="77777777" w:rsidR="00D1587D" w:rsidRDefault="00410D07">
            <w:pPr>
              <w:ind w:right="20"/>
              <w:jc w:val="right"/>
              <w:rPr>
                <w:sz w:val="20"/>
                <w:szCs w:val="20"/>
              </w:rPr>
            </w:pPr>
            <w:r>
              <w:rPr>
                <w:rFonts w:ascii="Arial" w:eastAsia="Arial" w:hAnsi="Arial" w:cs="Arial"/>
                <w:sz w:val="18"/>
                <w:szCs w:val="18"/>
              </w:rPr>
              <w:t>1,007</w:t>
            </w:r>
          </w:p>
        </w:tc>
        <w:tc>
          <w:tcPr>
            <w:tcW w:w="140" w:type="dxa"/>
            <w:vAlign w:val="bottom"/>
          </w:tcPr>
          <w:p w14:paraId="6C4826B2" w14:textId="77777777" w:rsidR="00D1587D" w:rsidRDefault="00D1587D">
            <w:pPr>
              <w:rPr>
                <w:sz w:val="23"/>
                <w:szCs w:val="23"/>
              </w:rPr>
            </w:pPr>
          </w:p>
        </w:tc>
        <w:tc>
          <w:tcPr>
            <w:tcW w:w="100" w:type="dxa"/>
            <w:vAlign w:val="bottom"/>
          </w:tcPr>
          <w:p w14:paraId="27017493" w14:textId="77777777" w:rsidR="00D1587D" w:rsidRDefault="00D1587D">
            <w:pPr>
              <w:rPr>
                <w:sz w:val="23"/>
                <w:szCs w:val="23"/>
              </w:rPr>
            </w:pPr>
          </w:p>
        </w:tc>
        <w:tc>
          <w:tcPr>
            <w:tcW w:w="620" w:type="dxa"/>
            <w:gridSpan w:val="2"/>
            <w:vAlign w:val="bottom"/>
          </w:tcPr>
          <w:p w14:paraId="7DE1F341" w14:textId="77777777" w:rsidR="00D1587D" w:rsidRDefault="00410D07">
            <w:pPr>
              <w:jc w:val="right"/>
              <w:rPr>
                <w:sz w:val="20"/>
                <w:szCs w:val="20"/>
              </w:rPr>
            </w:pPr>
            <w:r>
              <w:rPr>
                <w:rFonts w:ascii="Arial" w:eastAsia="Arial" w:hAnsi="Arial" w:cs="Arial"/>
                <w:sz w:val="18"/>
                <w:szCs w:val="18"/>
              </w:rPr>
              <w:t>891</w:t>
            </w:r>
          </w:p>
        </w:tc>
        <w:tc>
          <w:tcPr>
            <w:tcW w:w="120" w:type="dxa"/>
            <w:vAlign w:val="bottom"/>
          </w:tcPr>
          <w:p w14:paraId="603E0C3B" w14:textId="77777777" w:rsidR="00D1587D" w:rsidRDefault="00D1587D">
            <w:pPr>
              <w:rPr>
                <w:sz w:val="23"/>
                <w:szCs w:val="23"/>
              </w:rPr>
            </w:pPr>
          </w:p>
        </w:tc>
        <w:tc>
          <w:tcPr>
            <w:tcW w:w="100" w:type="dxa"/>
            <w:vAlign w:val="bottom"/>
          </w:tcPr>
          <w:p w14:paraId="47682AF2" w14:textId="77777777" w:rsidR="00D1587D" w:rsidRDefault="00D1587D">
            <w:pPr>
              <w:rPr>
                <w:sz w:val="23"/>
                <w:szCs w:val="23"/>
              </w:rPr>
            </w:pPr>
          </w:p>
        </w:tc>
        <w:tc>
          <w:tcPr>
            <w:tcW w:w="620" w:type="dxa"/>
            <w:gridSpan w:val="4"/>
            <w:vAlign w:val="bottom"/>
          </w:tcPr>
          <w:p w14:paraId="024454E4" w14:textId="77777777" w:rsidR="00D1587D" w:rsidRDefault="00410D07">
            <w:pPr>
              <w:jc w:val="right"/>
              <w:rPr>
                <w:sz w:val="20"/>
                <w:szCs w:val="20"/>
              </w:rPr>
            </w:pPr>
            <w:r>
              <w:rPr>
                <w:rFonts w:ascii="Arial" w:eastAsia="Arial" w:hAnsi="Arial" w:cs="Arial"/>
                <w:sz w:val="18"/>
                <w:szCs w:val="18"/>
              </w:rPr>
              <w:t>1,323</w:t>
            </w:r>
          </w:p>
        </w:tc>
        <w:tc>
          <w:tcPr>
            <w:tcW w:w="140" w:type="dxa"/>
            <w:vAlign w:val="bottom"/>
          </w:tcPr>
          <w:p w14:paraId="1279738A" w14:textId="77777777" w:rsidR="00D1587D" w:rsidRDefault="00D1587D">
            <w:pPr>
              <w:rPr>
                <w:sz w:val="23"/>
                <w:szCs w:val="23"/>
              </w:rPr>
            </w:pPr>
          </w:p>
        </w:tc>
      </w:tr>
      <w:tr w:rsidR="00D1587D" w14:paraId="7D7FE3B2" w14:textId="77777777">
        <w:trPr>
          <w:trHeight w:val="61"/>
        </w:trPr>
        <w:tc>
          <w:tcPr>
            <w:tcW w:w="5960" w:type="dxa"/>
            <w:vAlign w:val="bottom"/>
          </w:tcPr>
          <w:p w14:paraId="662B8BF8" w14:textId="77777777" w:rsidR="00D1587D" w:rsidRDefault="00D1587D">
            <w:pPr>
              <w:rPr>
                <w:sz w:val="5"/>
                <w:szCs w:val="5"/>
              </w:rPr>
            </w:pPr>
          </w:p>
        </w:tc>
        <w:tc>
          <w:tcPr>
            <w:tcW w:w="120" w:type="dxa"/>
            <w:vAlign w:val="bottom"/>
          </w:tcPr>
          <w:p w14:paraId="2FA59E0F" w14:textId="77777777" w:rsidR="00D1587D" w:rsidRDefault="00D1587D">
            <w:pPr>
              <w:rPr>
                <w:sz w:val="5"/>
                <w:szCs w:val="5"/>
              </w:rPr>
            </w:pPr>
          </w:p>
        </w:tc>
        <w:tc>
          <w:tcPr>
            <w:tcW w:w="100" w:type="dxa"/>
            <w:tcBorders>
              <w:top w:val="single" w:sz="8" w:space="0" w:color="auto"/>
            </w:tcBorders>
            <w:vAlign w:val="bottom"/>
          </w:tcPr>
          <w:p w14:paraId="7FAD6DAD" w14:textId="77777777" w:rsidR="00D1587D" w:rsidRDefault="00D1587D">
            <w:pPr>
              <w:rPr>
                <w:sz w:val="5"/>
                <w:szCs w:val="5"/>
              </w:rPr>
            </w:pPr>
          </w:p>
        </w:tc>
        <w:tc>
          <w:tcPr>
            <w:tcW w:w="380" w:type="dxa"/>
            <w:tcBorders>
              <w:top w:val="single" w:sz="8" w:space="0" w:color="auto"/>
            </w:tcBorders>
            <w:vAlign w:val="bottom"/>
          </w:tcPr>
          <w:p w14:paraId="3B5589F2" w14:textId="77777777" w:rsidR="00D1587D" w:rsidRDefault="00D1587D">
            <w:pPr>
              <w:rPr>
                <w:sz w:val="5"/>
                <w:szCs w:val="5"/>
              </w:rPr>
            </w:pPr>
          </w:p>
        </w:tc>
        <w:tc>
          <w:tcPr>
            <w:tcW w:w="20" w:type="dxa"/>
            <w:vAlign w:val="bottom"/>
          </w:tcPr>
          <w:p w14:paraId="5B99EBBE" w14:textId="77777777" w:rsidR="00D1587D" w:rsidRDefault="00D1587D">
            <w:pPr>
              <w:rPr>
                <w:sz w:val="5"/>
                <w:szCs w:val="5"/>
              </w:rPr>
            </w:pPr>
          </w:p>
        </w:tc>
        <w:tc>
          <w:tcPr>
            <w:tcW w:w="140" w:type="dxa"/>
            <w:vAlign w:val="bottom"/>
          </w:tcPr>
          <w:p w14:paraId="3AF5C844" w14:textId="77777777" w:rsidR="00D1587D" w:rsidRDefault="00D1587D">
            <w:pPr>
              <w:rPr>
                <w:sz w:val="5"/>
                <w:szCs w:val="5"/>
              </w:rPr>
            </w:pPr>
          </w:p>
        </w:tc>
        <w:tc>
          <w:tcPr>
            <w:tcW w:w="100" w:type="dxa"/>
            <w:vAlign w:val="bottom"/>
          </w:tcPr>
          <w:p w14:paraId="0210B64B" w14:textId="77777777" w:rsidR="00D1587D" w:rsidRDefault="00D1587D">
            <w:pPr>
              <w:rPr>
                <w:sz w:val="5"/>
                <w:szCs w:val="5"/>
              </w:rPr>
            </w:pPr>
          </w:p>
        </w:tc>
        <w:tc>
          <w:tcPr>
            <w:tcW w:w="120" w:type="dxa"/>
            <w:vAlign w:val="bottom"/>
          </w:tcPr>
          <w:p w14:paraId="562E09B3" w14:textId="77777777" w:rsidR="00D1587D" w:rsidRDefault="00D1587D">
            <w:pPr>
              <w:rPr>
                <w:sz w:val="5"/>
                <w:szCs w:val="5"/>
              </w:rPr>
            </w:pPr>
          </w:p>
        </w:tc>
        <w:tc>
          <w:tcPr>
            <w:tcW w:w="500" w:type="dxa"/>
            <w:tcBorders>
              <w:top w:val="single" w:sz="8" w:space="0" w:color="auto"/>
            </w:tcBorders>
            <w:vAlign w:val="bottom"/>
          </w:tcPr>
          <w:p w14:paraId="3F37098C" w14:textId="77777777" w:rsidR="00D1587D" w:rsidRDefault="00D1587D">
            <w:pPr>
              <w:rPr>
                <w:sz w:val="5"/>
                <w:szCs w:val="5"/>
              </w:rPr>
            </w:pPr>
          </w:p>
        </w:tc>
        <w:tc>
          <w:tcPr>
            <w:tcW w:w="120" w:type="dxa"/>
            <w:vAlign w:val="bottom"/>
          </w:tcPr>
          <w:p w14:paraId="3D761175" w14:textId="77777777" w:rsidR="00D1587D" w:rsidRDefault="00D1587D">
            <w:pPr>
              <w:rPr>
                <w:sz w:val="5"/>
                <w:szCs w:val="5"/>
              </w:rPr>
            </w:pPr>
          </w:p>
        </w:tc>
        <w:tc>
          <w:tcPr>
            <w:tcW w:w="100" w:type="dxa"/>
            <w:vAlign w:val="bottom"/>
          </w:tcPr>
          <w:p w14:paraId="758887EC" w14:textId="77777777" w:rsidR="00D1587D" w:rsidRDefault="00D1587D">
            <w:pPr>
              <w:rPr>
                <w:sz w:val="5"/>
                <w:szCs w:val="5"/>
              </w:rPr>
            </w:pPr>
          </w:p>
        </w:tc>
        <w:tc>
          <w:tcPr>
            <w:tcW w:w="120" w:type="dxa"/>
            <w:vAlign w:val="bottom"/>
          </w:tcPr>
          <w:p w14:paraId="11D36172" w14:textId="77777777" w:rsidR="00D1587D" w:rsidRDefault="00D1587D">
            <w:pPr>
              <w:rPr>
                <w:sz w:val="5"/>
                <w:szCs w:val="5"/>
              </w:rPr>
            </w:pPr>
          </w:p>
        </w:tc>
        <w:tc>
          <w:tcPr>
            <w:tcW w:w="100" w:type="dxa"/>
            <w:tcBorders>
              <w:top w:val="single" w:sz="8" w:space="0" w:color="auto"/>
            </w:tcBorders>
            <w:vAlign w:val="bottom"/>
          </w:tcPr>
          <w:p w14:paraId="754E1DDD" w14:textId="77777777" w:rsidR="00D1587D" w:rsidRDefault="00D1587D">
            <w:pPr>
              <w:rPr>
                <w:sz w:val="5"/>
                <w:szCs w:val="5"/>
              </w:rPr>
            </w:pPr>
          </w:p>
        </w:tc>
        <w:tc>
          <w:tcPr>
            <w:tcW w:w="380" w:type="dxa"/>
            <w:tcBorders>
              <w:top w:val="single" w:sz="8" w:space="0" w:color="auto"/>
            </w:tcBorders>
            <w:vAlign w:val="bottom"/>
          </w:tcPr>
          <w:p w14:paraId="50DCA41D" w14:textId="77777777" w:rsidR="00D1587D" w:rsidRDefault="00D1587D">
            <w:pPr>
              <w:rPr>
                <w:sz w:val="5"/>
                <w:szCs w:val="5"/>
              </w:rPr>
            </w:pPr>
          </w:p>
        </w:tc>
        <w:tc>
          <w:tcPr>
            <w:tcW w:w="20" w:type="dxa"/>
            <w:vAlign w:val="bottom"/>
          </w:tcPr>
          <w:p w14:paraId="3B90DE0D" w14:textId="77777777" w:rsidR="00D1587D" w:rsidRDefault="00D1587D">
            <w:pPr>
              <w:rPr>
                <w:sz w:val="5"/>
                <w:szCs w:val="5"/>
              </w:rPr>
            </w:pPr>
          </w:p>
        </w:tc>
        <w:tc>
          <w:tcPr>
            <w:tcW w:w="140" w:type="dxa"/>
            <w:vAlign w:val="bottom"/>
          </w:tcPr>
          <w:p w14:paraId="3FA379AE" w14:textId="77777777" w:rsidR="00D1587D" w:rsidRDefault="00D1587D">
            <w:pPr>
              <w:rPr>
                <w:sz w:val="5"/>
                <w:szCs w:val="5"/>
              </w:rPr>
            </w:pPr>
          </w:p>
        </w:tc>
      </w:tr>
      <w:tr w:rsidR="00D1587D" w14:paraId="32493AD3" w14:textId="77777777">
        <w:trPr>
          <w:trHeight w:val="317"/>
        </w:trPr>
        <w:tc>
          <w:tcPr>
            <w:tcW w:w="5960" w:type="dxa"/>
            <w:tcBorders>
              <w:bottom w:val="single" w:sz="8" w:space="0" w:color="CCEEFF"/>
            </w:tcBorders>
            <w:shd w:val="clear" w:color="auto" w:fill="CCEEFF"/>
            <w:vAlign w:val="bottom"/>
          </w:tcPr>
          <w:p w14:paraId="2E4F1B8D" w14:textId="77777777" w:rsidR="00D1587D" w:rsidRDefault="00410D07">
            <w:pPr>
              <w:rPr>
                <w:sz w:val="20"/>
                <w:szCs w:val="20"/>
              </w:rPr>
            </w:pPr>
            <w:r>
              <w:rPr>
                <w:rFonts w:ascii="Arial" w:eastAsia="Arial" w:hAnsi="Arial" w:cs="Arial"/>
                <w:b/>
                <w:bCs/>
                <w:sz w:val="18"/>
                <w:szCs w:val="18"/>
              </w:rPr>
              <w:t>Total Liabilities and Equity</w:t>
            </w:r>
          </w:p>
        </w:tc>
        <w:tc>
          <w:tcPr>
            <w:tcW w:w="120" w:type="dxa"/>
            <w:tcBorders>
              <w:bottom w:val="single" w:sz="8" w:space="0" w:color="CCEEFF"/>
            </w:tcBorders>
            <w:shd w:val="clear" w:color="auto" w:fill="CCEEFF"/>
            <w:vAlign w:val="bottom"/>
          </w:tcPr>
          <w:p w14:paraId="2BE0BBAD" w14:textId="77777777" w:rsidR="00D1587D" w:rsidRDefault="00D1587D">
            <w:pPr>
              <w:rPr>
                <w:sz w:val="24"/>
                <w:szCs w:val="24"/>
              </w:rPr>
            </w:pPr>
          </w:p>
        </w:tc>
        <w:tc>
          <w:tcPr>
            <w:tcW w:w="500" w:type="dxa"/>
            <w:gridSpan w:val="3"/>
            <w:tcBorders>
              <w:bottom w:val="single" w:sz="8" w:space="0" w:color="auto"/>
            </w:tcBorders>
            <w:shd w:val="clear" w:color="auto" w:fill="CCEEFF"/>
            <w:vAlign w:val="bottom"/>
          </w:tcPr>
          <w:p w14:paraId="678CB250" w14:textId="77777777" w:rsidR="00D1587D" w:rsidRDefault="00410D07">
            <w:pPr>
              <w:jc w:val="right"/>
              <w:rPr>
                <w:sz w:val="20"/>
                <w:szCs w:val="20"/>
              </w:rPr>
            </w:pPr>
            <w:r>
              <w:rPr>
                <w:rFonts w:ascii="Arial" w:eastAsia="Arial" w:hAnsi="Arial" w:cs="Arial"/>
                <w:w w:val="87"/>
                <w:sz w:val="18"/>
                <w:szCs w:val="18"/>
                <w:u w:val="single"/>
              </w:rPr>
              <w:t>$</w:t>
            </w:r>
            <w:r>
              <w:rPr>
                <w:rFonts w:ascii="Arial" w:eastAsia="Arial" w:hAnsi="Arial" w:cs="Arial"/>
                <w:w w:val="87"/>
                <w:sz w:val="18"/>
                <w:szCs w:val="18"/>
              </w:rPr>
              <w:t>4,247</w:t>
            </w:r>
          </w:p>
        </w:tc>
        <w:tc>
          <w:tcPr>
            <w:tcW w:w="140" w:type="dxa"/>
            <w:tcBorders>
              <w:bottom w:val="single" w:sz="8" w:space="0" w:color="CCEEFF"/>
            </w:tcBorders>
            <w:shd w:val="clear" w:color="auto" w:fill="CCEEFF"/>
            <w:vAlign w:val="bottom"/>
          </w:tcPr>
          <w:p w14:paraId="1BA1986E" w14:textId="77777777" w:rsidR="00D1587D" w:rsidRDefault="00D1587D">
            <w:pPr>
              <w:rPr>
                <w:sz w:val="24"/>
                <w:szCs w:val="24"/>
              </w:rPr>
            </w:pPr>
          </w:p>
        </w:tc>
        <w:tc>
          <w:tcPr>
            <w:tcW w:w="100" w:type="dxa"/>
            <w:tcBorders>
              <w:bottom w:val="single" w:sz="8" w:space="0" w:color="CCEEFF"/>
            </w:tcBorders>
            <w:shd w:val="clear" w:color="auto" w:fill="CCEEFF"/>
            <w:vAlign w:val="bottom"/>
          </w:tcPr>
          <w:p w14:paraId="216186FC" w14:textId="77777777" w:rsidR="00D1587D" w:rsidRDefault="00D1587D">
            <w:pPr>
              <w:rPr>
                <w:sz w:val="24"/>
                <w:szCs w:val="24"/>
              </w:rPr>
            </w:pPr>
          </w:p>
        </w:tc>
        <w:tc>
          <w:tcPr>
            <w:tcW w:w="120" w:type="dxa"/>
            <w:tcBorders>
              <w:bottom w:val="single" w:sz="8" w:space="0" w:color="CCEEFF"/>
            </w:tcBorders>
            <w:shd w:val="clear" w:color="auto" w:fill="CCEEFF"/>
            <w:vAlign w:val="bottom"/>
          </w:tcPr>
          <w:p w14:paraId="35842EEA" w14:textId="77777777" w:rsidR="00D1587D" w:rsidRDefault="00D1587D">
            <w:pPr>
              <w:rPr>
                <w:sz w:val="24"/>
                <w:szCs w:val="24"/>
              </w:rPr>
            </w:pPr>
          </w:p>
        </w:tc>
        <w:tc>
          <w:tcPr>
            <w:tcW w:w="500" w:type="dxa"/>
            <w:tcBorders>
              <w:bottom w:val="single" w:sz="8" w:space="0" w:color="auto"/>
            </w:tcBorders>
            <w:shd w:val="clear" w:color="auto" w:fill="CCEEFF"/>
            <w:vAlign w:val="bottom"/>
          </w:tcPr>
          <w:p w14:paraId="2B0897C8" w14:textId="77777777" w:rsidR="00D1587D" w:rsidRDefault="00410D07">
            <w:pPr>
              <w:jc w:val="right"/>
              <w:rPr>
                <w:sz w:val="20"/>
                <w:szCs w:val="20"/>
              </w:rPr>
            </w:pPr>
            <w:r>
              <w:rPr>
                <w:rFonts w:ascii="Arial" w:eastAsia="Arial" w:hAnsi="Arial" w:cs="Arial"/>
                <w:w w:val="87"/>
                <w:sz w:val="18"/>
                <w:szCs w:val="18"/>
                <w:u w:val="single"/>
              </w:rPr>
              <w:t>$</w:t>
            </w:r>
            <w:r>
              <w:rPr>
                <w:rFonts w:ascii="Arial" w:eastAsia="Arial" w:hAnsi="Arial" w:cs="Arial"/>
                <w:w w:val="87"/>
                <w:sz w:val="18"/>
                <w:szCs w:val="18"/>
              </w:rPr>
              <w:t>4,229</w:t>
            </w:r>
          </w:p>
        </w:tc>
        <w:tc>
          <w:tcPr>
            <w:tcW w:w="120" w:type="dxa"/>
            <w:tcBorders>
              <w:bottom w:val="single" w:sz="8" w:space="0" w:color="CCEEFF"/>
            </w:tcBorders>
            <w:shd w:val="clear" w:color="auto" w:fill="CCEEFF"/>
            <w:vAlign w:val="bottom"/>
          </w:tcPr>
          <w:p w14:paraId="03B3A628" w14:textId="77777777" w:rsidR="00D1587D" w:rsidRDefault="00D1587D">
            <w:pPr>
              <w:rPr>
                <w:sz w:val="24"/>
                <w:szCs w:val="24"/>
              </w:rPr>
            </w:pPr>
          </w:p>
        </w:tc>
        <w:tc>
          <w:tcPr>
            <w:tcW w:w="100" w:type="dxa"/>
            <w:tcBorders>
              <w:bottom w:val="single" w:sz="8" w:space="0" w:color="CCEEFF"/>
            </w:tcBorders>
            <w:shd w:val="clear" w:color="auto" w:fill="CCEEFF"/>
            <w:vAlign w:val="bottom"/>
          </w:tcPr>
          <w:p w14:paraId="1DF9FF7C" w14:textId="77777777" w:rsidR="00D1587D" w:rsidRDefault="00D1587D">
            <w:pPr>
              <w:rPr>
                <w:sz w:val="24"/>
                <w:szCs w:val="24"/>
              </w:rPr>
            </w:pPr>
          </w:p>
        </w:tc>
        <w:tc>
          <w:tcPr>
            <w:tcW w:w="120" w:type="dxa"/>
            <w:tcBorders>
              <w:bottom w:val="single" w:sz="8" w:space="0" w:color="CCEEFF"/>
            </w:tcBorders>
            <w:shd w:val="clear" w:color="auto" w:fill="CCEEFF"/>
            <w:vAlign w:val="bottom"/>
          </w:tcPr>
          <w:p w14:paraId="1ACAFF4E" w14:textId="77777777" w:rsidR="00D1587D" w:rsidRDefault="00D1587D">
            <w:pPr>
              <w:rPr>
                <w:sz w:val="24"/>
                <w:szCs w:val="24"/>
              </w:rPr>
            </w:pPr>
          </w:p>
        </w:tc>
        <w:tc>
          <w:tcPr>
            <w:tcW w:w="500" w:type="dxa"/>
            <w:gridSpan w:val="3"/>
            <w:tcBorders>
              <w:bottom w:val="single" w:sz="8" w:space="0" w:color="auto"/>
            </w:tcBorders>
            <w:shd w:val="clear" w:color="auto" w:fill="CCEEFF"/>
            <w:vAlign w:val="bottom"/>
          </w:tcPr>
          <w:p w14:paraId="78B12335" w14:textId="77777777" w:rsidR="00D1587D" w:rsidRDefault="00410D07">
            <w:pPr>
              <w:jc w:val="right"/>
              <w:rPr>
                <w:sz w:val="20"/>
                <w:szCs w:val="20"/>
              </w:rPr>
            </w:pPr>
            <w:r>
              <w:rPr>
                <w:rFonts w:ascii="Arial" w:eastAsia="Arial" w:hAnsi="Arial" w:cs="Arial"/>
                <w:w w:val="87"/>
                <w:sz w:val="18"/>
                <w:szCs w:val="18"/>
                <w:u w:val="single"/>
              </w:rPr>
              <w:t>$</w:t>
            </w:r>
            <w:r>
              <w:rPr>
                <w:rFonts w:ascii="Arial" w:eastAsia="Arial" w:hAnsi="Arial" w:cs="Arial"/>
                <w:w w:val="87"/>
                <w:sz w:val="18"/>
                <w:szCs w:val="18"/>
              </w:rPr>
              <w:t>5,009</w:t>
            </w:r>
          </w:p>
        </w:tc>
        <w:tc>
          <w:tcPr>
            <w:tcW w:w="140" w:type="dxa"/>
            <w:tcBorders>
              <w:bottom w:val="single" w:sz="8" w:space="0" w:color="CCEEFF"/>
            </w:tcBorders>
            <w:shd w:val="clear" w:color="auto" w:fill="CCEEFF"/>
            <w:vAlign w:val="bottom"/>
          </w:tcPr>
          <w:p w14:paraId="3EA09A38" w14:textId="77777777" w:rsidR="00D1587D" w:rsidRDefault="00D1587D">
            <w:pPr>
              <w:rPr>
                <w:sz w:val="24"/>
                <w:szCs w:val="24"/>
              </w:rPr>
            </w:pPr>
          </w:p>
        </w:tc>
      </w:tr>
    </w:tbl>
    <w:p w14:paraId="3E627A62" w14:textId="77777777" w:rsidR="00D1587D" w:rsidRDefault="00D1587D">
      <w:pPr>
        <w:spacing w:line="200" w:lineRule="exact"/>
        <w:rPr>
          <w:sz w:val="20"/>
          <w:szCs w:val="20"/>
        </w:rPr>
      </w:pPr>
    </w:p>
    <w:p w14:paraId="62FDD140" w14:textId="77777777" w:rsidR="00D1587D" w:rsidRDefault="00D1587D">
      <w:pPr>
        <w:spacing w:line="326" w:lineRule="exact"/>
        <w:rPr>
          <w:sz w:val="20"/>
          <w:szCs w:val="20"/>
        </w:rPr>
      </w:pPr>
    </w:p>
    <w:p w14:paraId="3E516150" w14:textId="77777777" w:rsidR="00D1587D" w:rsidRDefault="00410D07">
      <w:pPr>
        <w:jc w:val="center"/>
        <w:rPr>
          <w:sz w:val="20"/>
          <w:szCs w:val="20"/>
        </w:rPr>
      </w:pPr>
      <w:r>
        <w:rPr>
          <w:rFonts w:ascii="Arial" w:eastAsia="Arial" w:hAnsi="Arial" w:cs="Arial"/>
          <w:i/>
          <w:iCs/>
          <w:sz w:val="18"/>
          <w:szCs w:val="18"/>
        </w:rPr>
        <w:t>The accompanying notes are an integral part of these financial statements.</w:t>
      </w:r>
    </w:p>
    <w:p w14:paraId="530F0477" w14:textId="77777777" w:rsidR="00D1587D" w:rsidRDefault="00D1587D">
      <w:pPr>
        <w:spacing w:line="225" w:lineRule="exact"/>
        <w:rPr>
          <w:sz w:val="20"/>
          <w:szCs w:val="20"/>
        </w:rPr>
      </w:pPr>
    </w:p>
    <w:p w14:paraId="022B313C" w14:textId="77777777" w:rsidR="00D1587D" w:rsidRDefault="00410D07">
      <w:pPr>
        <w:jc w:val="center"/>
        <w:rPr>
          <w:sz w:val="20"/>
          <w:szCs w:val="20"/>
        </w:rPr>
      </w:pPr>
      <w:r>
        <w:rPr>
          <w:rFonts w:ascii="Arial" w:eastAsia="Arial" w:hAnsi="Arial" w:cs="Arial"/>
          <w:sz w:val="18"/>
          <w:szCs w:val="18"/>
        </w:rPr>
        <w:t>F-29</w:t>
      </w:r>
    </w:p>
    <w:p w14:paraId="4E0C82C5" w14:textId="77777777" w:rsidR="00D1587D" w:rsidRDefault="00410D07">
      <w:pPr>
        <w:spacing w:line="20" w:lineRule="exact"/>
        <w:rPr>
          <w:sz w:val="20"/>
          <w:szCs w:val="20"/>
        </w:rPr>
      </w:pPr>
      <w:r>
        <w:rPr>
          <w:noProof/>
          <w:sz w:val="20"/>
          <w:szCs w:val="20"/>
        </w:rPr>
        <w:drawing>
          <wp:anchor distT="0" distB="0" distL="114300" distR="114300" simplePos="0" relativeHeight="252143616" behindDoc="1" locked="0" layoutInCell="0" allowOverlap="1" wp14:anchorId="37A9D275" wp14:editId="08FB9ABD">
            <wp:simplePos x="0" y="0"/>
            <wp:positionH relativeFrom="column">
              <wp:posOffset>-636905</wp:posOffset>
            </wp:positionH>
            <wp:positionV relativeFrom="paragraph">
              <wp:posOffset>134620</wp:posOffset>
            </wp:positionV>
            <wp:extent cx="6995160" cy="17145"/>
            <wp:effectExtent l="0" t="0" r="0" b="0"/>
            <wp:wrapNone/>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1018D58" w14:textId="77777777" w:rsidR="00D1587D" w:rsidRDefault="00D1587D">
      <w:pPr>
        <w:sectPr w:rsidR="00D1587D">
          <w:pgSz w:w="11900" w:h="16838"/>
          <w:pgMar w:top="265" w:right="1440" w:bottom="713" w:left="1440" w:header="0" w:footer="0" w:gutter="0"/>
          <w:cols w:space="720" w:equalWidth="0">
            <w:col w:w="9019"/>
          </w:cols>
        </w:sectPr>
      </w:pPr>
    </w:p>
    <w:bookmarkStart w:id="425" w:name="page426"/>
    <w:bookmarkEnd w:id="425"/>
    <w:p w14:paraId="43984847"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419A76E" w14:textId="77777777" w:rsidR="00D1587D" w:rsidRDefault="00D1587D">
      <w:pPr>
        <w:spacing w:line="127" w:lineRule="exact"/>
        <w:rPr>
          <w:sz w:val="20"/>
          <w:szCs w:val="20"/>
        </w:rPr>
      </w:pPr>
    </w:p>
    <w:p w14:paraId="2739066C"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51B82072" w14:textId="77777777" w:rsidR="00D1587D" w:rsidRDefault="00D1587D">
      <w:pPr>
        <w:spacing w:line="27" w:lineRule="exact"/>
        <w:rPr>
          <w:sz w:val="20"/>
          <w:szCs w:val="20"/>
        </w:rPr>
      </w:pPr>
    </w:p>
    <w:p w14:paraId="1FC18CA2" w14:textId="77777777" w:rsidR="00D1587D" w:rsidRDefault="00410D07">
      <w:pPr>
        <w:jc w:val="center"/>
        <w:rPr>
          <w:sz w:val="20"/>
          <w:szCs w:val="20"/>
        </w:rPr>
      </w:pPr>
      <w:r>
        <w:rPr>
          <w:rFonts w:ascii="Arial" w:eastAsia="Arial" w:hAnsi="Arial" w:cs="Arial"/>
          <w:b/>
          <w:bCs/>
          <w:sz w:val="18"/>
          <w:szCs w:val="18"/>
        </w:rPr>
        <w:t>COMBINED STATEMENTS OF INCOME (LOSS)</w:t>
      </w:r>
    </w:p>
    <w:p w14:paraId="5F3CE6CF" w14:textId="77777777" w:rsidR="00D1587D" w:rsidRDefault="00D1587D">
      <w:pPr>
        <w:spacing w:line="9" w:lineRule="exact"/>
        <w:rPr>
          <w:sz w:val="20"/>
          <w:szCs w:val="20"/>
        </w:rPr>
      </w:pPr>
    </w:p>
    <w:p w14:paraId="3E6F89BC" w14:textId="77777777" w:rsidR="00D1587D" w:rsidRDefault="00410D07">
      <w:pPr>
        <w:ind w:left="4040"/>
        <w:rPr>
          <w:sz w:val="20"/>
          <w:szCs w:val="20"/>
        </w:rPr>
      </w:pPr>
      <w:r>
        <w:rPr>
          <w:rFonts w:ascii="Arial" w:eastAsia="Arial" w:hAnsi="Arial" w:cs="Arial"/>
          <w:b/>
          <w:bCs/>
          <w:sz w:val="18"/>
          <w:szCs w:val="18"/>
        </w:rPr>
        <w:t>(in millions)</w:t>
      </w:r>
    </w:p>
    <w:p w14:paraId="5803D8C6" w14:textId="77777777" w:rsidR="00D1587D" w:rsidRDefault="00D1587D">
      <w:pPr>
        <w:spacing w:line="9" w:lineRule="exact"/>
        <w:rPr>
          <w:sz w:val="20"/>
          <w:szCs w:val="20"/>
        </w:rPr>
      </w:pPr>
    </w:p>
    <w:p w14:paraId="269FF7DA" w14:textId="77777777" w:rsidR="00D1587D" w:rsidRDefault="00410D07">
      <w:pPr>
        <w:ind w:left="4040"/>
        <w:rPr>
          <w:sz w:val="20"/>
          <w:szCs w:val="20"/>
        </w:rPr>
      </w:pPr>
      <w:r>
        <w:rPr>
          <w:rFonts w:ascii="Arial" w:eastAsia="Arial" w:hAnsi="Arial" w:cs="Arial"/>
          <w:b/>
          <w:bCs/>
          <w:sz w:val="18"/>
          <w:szCs w:val="18"/>
        </w:rPr>
        <w:t>(Unaudited)</w:t>
      </w:r>
    </w:p>
    <w:p w14:paraId="61F42A74" w14:textId="77777777" w:rsidR="00D1587D" w:rsidRDefault="00D1587D">
      <w:pPr>
        <w:spacing w:line="22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840"/>
        <w:gridCol w:w="100"/>
        <w:gridCol w:w="100"/>
        <w:gridCol w:w="240"/>
        <w:gridCol w:w="20"/>
        <w:gridCol w:w="40"/>
        <w:gridCol w:w="20"/>
        <w:gridCol w:w="60"/>
        <w:gridCol w:w="500"/>
        <w:gridCol w:w="100"/>
        <w:gridCol w:w="320"/>
        <w:gridCol w:w="80"/>
        <w:gridCol w:w="20"/>
      </w:tblGrid>
      <w:tr w:rsidR="00D1587D" w14:paraId="1B9C26BD" w14:textId="77777777">
        <w:trPr>
          <w:trHeight w:val="186"/>
        </w:trPr>
        <w:tc>
          <w:tcPr>
            <w:tcW w:w="6840" w:type="dxa"/>
            <w:vAlign w:val="bottom"/>
          </w:tcPr>
          <w:p w14:paraId="6F0D902F" w14:textId="77777777" w:rsidR="00D1587D" w:rsidRDefault="00D1587D">
            <w:pPr>
              <w:rPr>
                <w:sz w:val="16"/>
                <w:szCs w:val="16"/>
              </w:rPr>
            </w:pPr>
          </w:p>
        </w:tc>
        <w:tc>
          <w:tcPr>
            <w:tcW w:w="100" w:type="dxa"/>
            <w:vAlign w:val="bottom"/>
          </w:tcPr>
          <w:p w14:paraId="7661586D" w14:textId="77777777" w:rsidR="00D1587D" w:rsidRDefault="00D1587D">
            <w:pPr>
              <w:rPr>
                <w:sz w:val="16"/>
                <w:szCs w:val="16"/>
              </w:rPr>
            </w:pPr>
          </w:p>
        </w:tc>
        <w:tc>
          <w:tcPr>
            <w:tcW w:w="100" w:type="dxa"/>
            <w:vAlign w:val="bottom"/>
          </w:tcPr>
          <w:p w14:paraId="0F8A4975" w14:textId="77777777" w:rsidR="00D1587D" w:rsidRDefault="00D1587D">
            <w:pPr>
              <w:rPr>
                <w:sz w:val="16"/>
                <w:szCs w:val="16"/>
              </w:rPr>
            </w:pPr>
          </w:p>
        </w:tc>
        <w:tc>
          <w:tcPr>
            <w:tcW w:w="1380" w:type="dxa"/>
            <w:gridSpan w:val="9"/>
            <w:vAlign w:val="bottom"/>
          </w:tcPr>
          <w:p w14:paraId="4730CAB8" w14:textId="77777777" w:rsidR="00D1587D" w:rsidRDefault="00410D07">
            <w:pPr>
              <w:ind w:right="360"/>
              <w:jc w:val="right"/>
              <w:rPr>
                <w:sz w:val="20"/>
                <w:szCs w:val="20"/>
              </w:rPr>
            </w:pPr>
            <w:r>
              <w:rPr>
                <w:rFonts w:ascii="Arial" w:eastAsia="Arial" w:hAnsi="Arial" w:cs="Arial"/>
                <w:b/>
                <w:bCs/>
                <w:sz w:val="14"/>
                <w:szCs w:val="14"/>
              </w:rPr>
              <w:t>First Quarter</w:t>
            </w:r>
          </w:p>
        </w:tc>
        <w:tc>
          <w:tcPr>
            <w:tcW w:w="0" w:type="dxa"/>
            <w:vAlign w:val="bottom"/>
          </w:tcPr>
          <w:p w14:paraId="35DDDE0B" w14:textId="77777777" w:rsidR="00D1587D" w:rsidRDefault="00D1587D">
            <w:pPr>
              <w:rPr>
                <w:sz w:val="1"/>
                <w:szCs w:val="1"/>
              </w:rPr>
            </w:pPr>
          </w:p>
        </w:tc>
      </w:tr>
      <w:tr w:rsidR="00D1587D" w14:paraId="46CFFD07" w14:textId="77777777">
        <w:trPr>
          <w:trHeight w:val="53"/>
        </w:trPr>
        <w:tc>
          <w:tcPr>
            <w:tcW w:w="6840" w:type="dxa"/>
            <w:vAlign w:val="bottom"/>
          </w:tcPr>
          <w:p w14:paraId="5086D2DD" w14:textId="77777777" w:rsidR="00D1587D" w:rsidRDefault="00D1587D">
            <w:pPr>
              <w:rPr>
                <w:sz w:val="4"/>
                <w:szCs w:val="4"/>
              </w:rPr>
            </w:pPr>
          </w:p>
        </w:tc>
        <w:tc>
          <w:tcPr>
            <w:tcW w:w="100" w:type="dxa"/>
            <w:tcBorders>
              <w:bottom w:val="single" w:sz="8" w:space="0" w:color="auto"/>
            </w:tcBorders>
            <w:vAlign w:val="bottom"/>
          </w:tcPr>
          <w:p w14:paraId="5F543695" w14:textId="77777777" w:rsidR="00D1587D" w:rsidRDefault="00D1587D">
            <w:pPr>
              <w:rPr>
                <w:sz w:val="4"/>
                <w:szCs w:val="4"/>
              </w:rPr>
            </w:pPr>
          </w:p>
        </w:tc>
        <w:tc>
          <w:tcPr>
            <w:tcW w:w="340" w:type="dxa"/>
            <w:gridSpan w:val="2"/>
            <w:tcBorders>
              <w:bottom w:val="single" w:sz="8" w:space="0" w:color="auto"/>
            </w:tcBorders>
            <w:vAlign w:val="bottom"/>
          </w:tcPr>
          <w:p w14:paraId="3CBEEB37" w14:textId="77777777" w:rsidR="00D1587D" w:rsidRDefault="00D1587D">
            <w:pPr>
              <w:rPr>
                <w:sz w:val="4"/>
                <w:szCs w:val="4"/>
              </w:rPr>
            </w:pPr>
          </w:p>
        </w:tc>
        <w:tc>
          <w:tcPr>
            <w:tcW w:w="20" w:type="dxa"/>
            <w:tcBorders>
              <w:bottom w:val="single" w:sz="8" w:space="0" w:color="auto"/>
            </w:tcBorders>
            <w:vAlign w:val="bottom"/>
          </w:tcPr>
          <w:p w14:paraId="035264D7" w14:textId="77777777" w:rsidR="00D1587D" w:rsidRDefault="00D1587D">
            <w:pPr>
              <w:rPr>
                <w:sz w:val="4"/>
                <w:szCs w:val="4"/>
              </w:rPr>
            </w:pPr>
          </w:p>
        </w:tc>
        <w:tc>
          <w:tcPr>
            <w:tcW w:w="40" w:type="dxa"/>
            <w:tcBorders>
              <w:bottom w:val="single" w:sz="8" w:space="0" w:color="auto"/>
            </w:tcBorders>
            <w:vAlign w:val="bottom"/>
          </w:tcPr>
          <w:p w14:paraId="0AF34701" w14:textId="77777777" w:rsidR="00D1587D" w:rsidRDefault="00D1587D">
            <w:pPr>
              <w:rPr>
                <w:sz w:val="4"/>
                <w:szCs w:val="4"/>
              </w:rPr>
            </w:pPr>
          </w:p>
        </w:tc>
        <w:tc>
          <w:tcPr>
            <w:tcW w:w="20" w:type="dxa"/>
            <w:tcBorders>
              <w:bottom w:val="single" w:sz="8" w:space="0" w:color="auto"/>
            </w:tcBorders>
            <w:vAlign w:val="bottom"/>
          </w:tcPr>
          <w:p w14:paraId="31F79C00" w14:textId="77777777" w:rsidR="00D1587D" w:rsidRDefault="00D1587D">
            <w:pPr>
              <w:rPr>
                <w:sz w:val="4"/>
                <w:szCs w:val="4"/>
              </w:rPr>
            </w:pPr>
          </w:p>
        </w:tc>
        <w:tc>
          <w:tcPr>
            <w:tcW w:w="60" w:type="dxa"/>
            <w:tcBorders>
              <w:bottom w:val="single" w:sz="8" w:space="0" w:color="auto"/>
            </w:tcBorders>
            <w:vAlign w:val="bottom"/>
          </w:tcPr>
          <w:p w14:paraId="03288409" w14:textId="77777777" w:rsidR="00D1587D" w:rsidRDefault="00D1587D">
            <w:pPr>
              <w:rPr>
                <w:sz w:val="4"/>
                <w:szCs w:val="4"/>
              </w:rPr>
            </w:pPr>
          </w:p>
        </w:tc>
        <w:tc>
          <w:tcPr>
            <w:tcW w:w="500" w:type="dxa"/>
            <w:tcBorders>
              <w:bottom w:val="single" w:sz="8" w:space="0" w:color="auto"/>
            </w:tcBorders>
            <w:vAlign w:val="bottom"/>
          </w:tcPr>
          <w:p w14:paraId="445E01E8" w14:textId="77777777" w:rsidR="00D1587D" w:rsidRDefault="00D1587D">
            <w:pPr>
              <w:rPr>
                <w:sz w:val="4"/>
                <w:szCs w:val="4"/>
              </w:rPr>
            </w:pPr>
          </w:p>
        </w:tc>
        <w:tc>
          <w:tcPr>
            <w:tcW w:w="100" w:type="dxa"/>
            <w:tcBorders>
              <w:bottom w:val="single" w:sz="8" w:space="0" w:color="auto"/>
            </w:tcBorders>
            <w:vAlign w:val="bottom"/>
          </w:tcPr>
          <w:p w14:paraId="657BFF0E" w14:textId="77777777" w:rsidR="00D1587D" w:rsidRDefault="00D1587D">
            <w:pPr>
              <w:rPr>
                <w:sz w:val="4"/>
                <w:szCs w:val="4"/>
              </w:rPr>
            </w:pPr>
          </w:p>
        </w:tc>
        <w:tc>
          <w:tcPr>
            <w:tcW w:w="320" w:type="dxa"/>
            <w:tcBorders>
              <w:bottom w:val="single" w:sz="8" w:space="0" w:color="auto"/>
            </w:tcBorders>
            <w:vAlign w:val="bottom"/>
          </w:tcPr>
          <w:p w14:paraId="60F4A61C" w14:textId="77777777" w:rsidR="00D1587D" w:rsidRDefault="00D1587D">
            <w:pPr>
              <w:rPr>
                <w:sz w:val="4"/>
                <w:szCs w:val="4"/>
              </w:rPr>
            </w:pPr>
          </w:p>
        </w:tc>
        <w:tc>
          <w:tcPr>
            <w:tcW w:w="80" w:type="dxa"/>
            <w:tcBorders>
              <w:bottom w:val="single" w:sz="8" w:space="0" w:color="auto"/>
            </w:tcBorders>
            <w:vAlign w:val="bottom"/>
          </w:tcPr>
          <w:p w14:paraId="24955AD6" w14:textId="77777777" w:rsidR="00D1587D" w:rsidRDefault="00D1587D">
            <w:pPr>
              <w:rPr>
                <w:sz w:val="4"/>
                <w:szCs w:val="4"/>
              </w:rPr>
            </w:pPr>
          </w:p>
        </w:tc>
        <w:tc>
          <w:tcPr>
            <w:tcW w:w="0" w:type="dxa"/>
            <w:vAlign w:val="bottom"/>
          </w:tcPr>
          <w:p w14:paraId="10CA9558" w14:textId="77777777" w:rsidR="00D1587D" w:rsidRDefault="00D1587D">
            <w:pPr>
              <w:rPr>
                <w:sz w:val="1"/>
                <w:szCs w:val="1"/>
              </w:rPr>
            </w:pPr>
          </w:p>
        </w:tc>
      </w:tr>
      <w:tr w:rsidR="00D1587D" w14:paraId="01B02ECB" w14:textId="77777777">
        <w:trPr>
          <w:trHeight w:val="224"/>
        </w:trPr>
        <w:tc>
          <w:tcPr>
            <w:tcW w:w="6840" w:type="dxa"/>
            <w:vAlign w:val="bottom"/>
          </w:tcPr>
          <w:p w14:paraId="342AC7E4" w14:textId="77777777" w:rsidR="00D1587D" w:rsidRDefault="00D1587D">
            <w:pPr>
              <w:rPr>
                <w:sz w:val="19"/>
                <w:szCs w:val="19"/>
              </w:rPr>
            </w:pPr>
          </w:p>
        </w:tc>
        <w:tc>
          <w:tcPr>
            <w:tcW w:w="440" w:type="dxa"/>
            <w:gridSpan w:val="3"/>
            <w:vAlign w:val="bottom"/>
          </w:tcPr>
          <w:p w14:paraId="68434134" w14:textId="77777777" w:rsidR="00D1587D" w:rsidRDefault="00410D07">
            <w:pPr>
              <w:jc w:val="right"/>
              <w:rPr>
                <w:sz w:val="20"/>
                <w:szCs w:val="20"/>
              </w:rPr>
            </w:pPr>
            <w:r>
              <w:rPr>
                <w:rFonts w:ascii="Arial" w:eastAsia="Arial" w:hAnsi="Arial" w:cs="Arial"/>
                <w:b/>
                <w:bCs/>
                <w:sz w:val="14"/>
                <w:szCs w:val="14"/>
              </w:rPr>
              <w:t>2021</w:t>
            </w:r>
          </w:p>
        </w:tc>
        <w:tc>
          <w:tcPr>
            <w:tcW w:w="20" w:type="dxa"/>
            <w:vAlign w:val="bottom"/>
          </w:tcPr>
          <w:p w14:paraId="77295DC0" w14:textId="77777777" w:rsidR="00D1587D" w:rsidRDefault="00D1587D">
            <w:pPr>
              <w:rPr>
                <w:sz w:val="19"/>
                <w:szCs w:val="19"/>
              </w:rPr>
            </w:pPr>
          </w:p>
        </w:tc>
        <w:tc>
          <w:tcPr>
            <w:tcW w:w="40" w:type="dxa"/>
            <w:vAlign w:val="bottom"/>
          </w:tcPr>
          <w:p w14:paraId="08FE843E" w14:textId="77777777" w:rsidR="00D1587D" w:rsidRDefault="00D1587D">
            <w:pPr>
              <w:rPr>
                <w:sz w:val="19"/>
                <w:szCs w:val="19"/>
              </w:rPr>
            </w:pPr>
          </w:p>
        </w:tc>
        <w:tc>
          <w:tcPr>
            <w:tcW w:w="20" w:type="dxa"/>
            <w:vAlign w:val="bottom"/>
          </w:tcPr>
          <w:p w14:paraId="2723EACF" w14:textId="77777777" w:rsidR="00D1587D" w:rsidRDefault="00D1587D">
            <w:pPr>
              <w:rPr>
                <w:sz w:val="19"/>
                <w:szCs w:val="19"/>
              </w:rPr>
            </w:pPr>
          </w:p>
        </w:tc>
        <w:tc>
          <w:tcPr>
            <w:tcW w:w="60" w:type="dxa"/>
            <w:vAlign w:val="bottom"/>
          </w:tcPr>
          <w:p w14:paraId="27F3C817" w14:textId="77777777" w:rsidR="00D1587D" w:rsidRDefault="00D1587D">
            <w:pPr>
              <w:rPr>
                <w:sz w:val="19"/>
                <w:szCs w:val="19"/>
              </w:rPr>
            </w:pPr>
          </w:p>
        </w:tc>
        <w:tc>
          <w:tcPr>
            <w:tcW w:w="500" w:type="dxa"/>
            <w:vAlign w:val="bottom"/>
          </w:tcPr>
          <w:p w14:paraId="4E4FD95F" w14:textId="77777777" w:rsidR="00D1587D" w:rsidRDefault="00D1587D">
            <w:pPr>
              <w:rPr>
                <w:sz w:val="19"/>
                <w:szCs w:val="19"/>
              </w:rPr>
            </w:pPr>
          </w:p>
        </w:tc>
        <w:tc>
          <w:tcPr>
            <w:tcW w:w="100" w:type="dxa"/>
            <w:vAlign w:val="bottom"/>
          </w:tcPr>
          <w:p w14:paraId="6852E222" w14:textId="77777777" w:rsidR="00D1587D" w:rsidRDefault="00D1587D">
            <w:pPr>
              <w:rPr>
                <w:sz w:val="19"/>
                <w:szCs w:val="19"/>
              </w:rPr>
            </w:pPr>
          </w:p>
        </w:tc>
        <w:tc>
          <w:tcPr>
            <w:tcW w:w="320" w:type="dxa"/>
            <w:vAlign w:val="bottom"/>
          </w:tcPr>
          <w:p w14:paraId="4EBA1D46" w14:textId="77777777" w:rsidR="00D1587D" w:rsidRDefault="00410D07">
            <w:pPr>
              <w:jc w:val="right"/>
              <w:rPr>
                <w:sz w:val="20"/>
                <w:szCs w:val="20"/>
              </w:rPr>
            </w:pPr>
            <w:r>
              <w:rPr>
                <w:rFonts w:ascii="Arial" w:eastAsia="Arial" w:hAnsi="Arial" w:cs="Arial"/>
                <w:b/>
                <w:bCs/>
                <w:w w:val="89"/>
                <w:sz w:val="14"/>
                <w:szCs w:val="14"/>
              </w:rPr>
              <w:t>2020</w:t>
            </w:r>
          </w:p>
        </w:tc>
        <w:tc>
          <w:tcPr>
            <w:tcW w:w="80" w:type="dxa"/>
            <w:vAlign w:val="bottom"/>
          </w:tcPr>
          <w:p w14:paraId="5501E7FC" w14:textId="77777777" w:rsidR="00D1587D" w:rsidRDefault="00D1587D">
            <w:pPr>
              <w:rPr>
                <w:sz w:val="19"/>
                <w:szCs w:val="19"/>
              </w:rPr>
            </w:pPr>
          </w:p>
        </w:tc>
        <w:tc>
          <w:tcPr>
            <w:tcW w:w="0" w:type="dxa"/>
            <w:vAlign w:val="bottom"/>
          </w:tcPr>
          <w:p w14:paraId="452D9B6B" w14:textId="77777777" w:rsidR="00D1587D" w:rsidRDefault="00D1587D">
            <w:pPr>
              <w:rPr>
                <w:sz w:val="1"/>
                <w:szCs w:val="1"/>
              </w:rPr>
            </w:pPr>
          </w:p>
        </w:tc>
      </w:tr>
      <w:tr w:rsidR="00D1587D" w14:paraId="67A31A46" w14:textId="77777777">
        <w:trPr>
          <w:trHeight w:val="53"/>
        </w:trPr>
        <w:tc>
          <w:tcPr>
            <w:tcW w:w="6840" w:type="dxa"/>
            <w:tcBorders>
              <w:bottom w:val="single" w:sz="8" w:space="0" w:color="CCEEFF"/>
            </w:tcBorders>
            <w:vAlign w:val="bottom"/>
          </w:tcPr>
          <w:p w14:paraId="5EFFC9D5" w14:textId="77777777" w:rsidR="00D1587D" w:rsidRDefault="00D1587D">
            <w:pPr>
              <w:rPr>
                <w:sz w:val="4"/>
                <w:szCs w:val="4"/>
              </w:rPr>
            </w:pPr>
          </w:p>
        </w:tc>
        <w:tc>
          <w:tcPr>
            <w:tcW w:w="100" w:type="dxa"/>
            <w:tcBorders>
              <w:bottom w:val="single" w:sz="8" w:space="0" w:color="auto"/>
            </w:tcBorders>
            <w:vAlign w:val="bottom"/>
          </w:tcPr>
          <w:p w14:paraId="15EED10B" w14:textId="77777777" w:rsidR="00D1587D" w:rsidRDefault="00D1587D">
            <w:pPr>
              <w:rPr>
                <w:sz w:val="4"/>
                <w:szCs w:val="4"/>
              </w:rPr>
            </w:pPr>
          </w:p>
        </w:tc>
        <w:tc>
          <w:tcPr>
            <w:tcW w:w="340" w:type="dxa"/>
            <w:gridSpan w:val="2"/>
            <w:tcBorders>
              <w:bottom w:val="single" w:sz="8" w:space="0" w:color="auto"/>
            </w:tcBorders>
            <w:vAlign w:val="bottom"/>
          </w:tcPr>
          <w:p w14:paraId="05D64341" w14:textId="77777777" w:rsidR="00D1587D" w:rsidRDefault="00D1587D">
            <w:pPr>
              <w:rPr>
                <w:sz w:val="4"/>
                <w:szCs w:val="4"/>
              </w:rPr>
            </w:pPr>
          </w:p>
        </w:tc>
        <w:tc>
          <w:tcPr>
            <w:tcW w:w="20" w:type="dxa"/>
            <w:tcBorders>
              <w:bottom w:val="single" w:sz="8" w:space="0" w:color="auto"/>
            </w:tcBorders>
            <w:vAlign w:val="bottom"/>
          </w:tcPr>
          <w:p w14:paraId="07DEC732" w14:textId="77777777" w:rsidR="00D1587D" w:rsidRDefault="00D1587D">
            <w:pPr>
              <w:rPr>
                <w:sz w:val="4"/>
                <w:szCs w:val="4"/>
              </w:rPr>
            </w:pPr>
          </w:p>
        </w:tc>
        <w:tc>
          <w:tcPr>
            <w:tcW w:w="40" w:type="dxa"/>
            <w:tcBorders>
              <w:bottom w:val="single" w:sz="8" w:space="0" w:color="auto"/>
            </w:tcBorders>
            <w:vAlign w:val="bottom"/>
          </w:tcPr>
          <w:p w14:paraId="088C6D95" w14:textId="77777777" w:rsidR="00D1587D" w:rsidRDefault="00D1587D">
            <w:pPr>
              <w:rPr>
                <w:sz w:val="4"/>
                <w:szCs w:val="4"/>
              </w:rPr>
            </w:pPr>
          </w:p>
        </w:tc>
        <w:tc>
          <w:tcPr>
            <w:tcW w:w="20" w:type="dxa"/>
            <w:tcBorders>
              <w:bottom w:val="single" w:sz="8" w:space="0" w:color="auto"/>
            </w:tcBorders>
            <w:vAlign w:val="bottom"/>
          </w:tcPr>
          <w:p w14:paraId="0E54AB3F" w14:textId="77777777" w:rsidR="00D1587D" w:rsidRDefault="00D1587D">
            <w:pPr>
              <w:rPr>
                <w:sz w:val="4"/>
                <w:szCs w:val="4"/>
              </w:rPr>
            </w:pPr>
          </w:p>
        </w:tc>
        <w:tc>
          <w:tcPr>
            <w:tcW w:w="60" w:type="dxa"/>
            <w:tcBorders>
              <w:bottom w:val="single" w:sz="8" w:space="0" w:color="auto"/>
            </w:tcBorders>
            <w:vAlign w:val="bottom"/>
          </w:tcPr>
          <w:p w14:paraId="613A599D" w14:textId="77777777" w:rsidR="00D1587D" w:rsidRDefault="00D1587D">
            <w:pPr>
              <w:rPr>
                <w:sz w:val="4"/>
                <w:szCs w:val="4"/>
              </w:rPr>
            </w:pPr>
          </w:p>
        </w:tc>
        <w:tc>
          <w:tcPr>
            <w:tcW w:w="500" w:type="dxa"/>
            <w:tcBorders>
              <w:bottom w:val="single" w:sz="8" w:space="0" w:color="CCEEFF"/>
            </w:tcBorders>
            <w:vAlign w:val="bottom"/>
          </w:tcPr>
          <w:p w14:paraId="168CD20D" w14:textId="77777777" w:rsidR="00D1587D" w:rsidRDefault="00D1587D">
            <w:pPr>
              <w:rPr>
                <w:sz w:val="4"/>
                <w:szCs w:val="4"/>
              </w:rPr>
            </w:pPr>
          </w:p>
        </w:tc>
        <w:tc>
          <w:tcPr>
            <w:tcW w:w="100" w:type="dxa"/>
            <w:tcBorders>
              <w:bottom w:val="single" w:sz="8" w:space="0" w:color="auto"/>
            </w:tcBorders>
            <w:vAlign w:val="bottom"/>
          </w:tcPr>
          <w:p w14:paraId="3362F36C" w14:textId="77777777" w:rsidR="00D1587D" w:rsidRDefault="00D1587D">
            <w:pPr>
              <w:rPr>
                <w:sz w:val="4"/>
                <w:szCs w:val="4"/>
              </w:rPr>
            </w:pPr>
          </w:p>
        </w:tc>
        <w:tc>
          <w:tcPr>
            <w:tcW w:w="320" w:type="dxa"/>
            <w:tcBorders>
              <w:bottom w:val="single" w:sz="8" w:space="0" w:color="auto"/>
            </w:tcBorders>
            <w:vAlign w:val="bottom"/>
          </w:tcPr>
          <w:p w14:paraId="762140A3" w14:textId="77777777" w:rsidR="00D1587D" w:rsidRDefault="00D1587D">
            <w:pPr>
              <w:rPr>
                <w:sz w:val="4"/>
                <w:szCs w:val="4"/>
              </w:rPr>
            </w:pPr>
          </w:p>
        </w:tc>
        <w:tc>
          <w:tcPr>
            <w:tcW w:w="80" w:type="dxa"/>
            <w:tcBorders>
              <w:bottom w:val="single" w:sz="8" w:space="0" w:color="auto"/>
            </w:tcBorders>
            <w:vAlign w:val="bottom"/>
          </w:tcPr>
          <w:p w14:paraId="74B99536" w14:textId="77777777" w:rsidR="00D1587D" w:rsidRDefault="00D1587D">
            <w:pPr>
              <w:rPr>
                <w:sz w:val="4"/>
                <w:szCs w:val="4"/>
              </w:rPr>
            </w:pPr>
          </w:p>
        </w:tc>
        <w:tc>
          <w:tcPr>
            <w:tcW w:w="0" w:type="dxa"/>
            <w:vAlign w:val="bottom"/>
          </w:tcPr>
          <w:p w14:paraId="0E9E3D52" w14:textId="77777777" w:rsidR="00D1587D" w:rsidRDefault="00D1587D">
            <w:pPr>
              <w:rPr>
                <w:sz w:val="1"/>
                <w:szCs w:val="1"/>
              </w:rPr>
            </w:pPr>
          </w:p>
        </w:tc>
      </w:tr>
      <w:tr w:rsidR="00D1587D" w14:paraId="5CF060E1" w14:textId="77777777">
        <w:trPr>
          <w:trHeight w:val="311"/>
        </w:trPr>
        <w:tc>
          <w:tcPr>
            <w:tcW w:w="6840" w:type="dxa"/>
            <w:tcBorders>
              <w:bottom w:val="single" w:sz="8" w:space="0" w:color="CCEEFF"/>
            </w:tcBorders>
            <w:shd w:val="clear" w:color="auto" w:fill="CCEEFF"/>
            <w:vAlign w:val="bottom"/>
          </w:tcPr>
          <w:p w14:paraId="7733E510" w14:textId="77777777" w:rsidR="00D1587D" w:rsidRDefault="00410D07">
            <w:pPr>
              <w:rPr>
                <w:sz w:val="20"/>
                <w:szCs w:val="20"/>
              </w:rPr>
            </w:pPr>
            <w:r>
              <w:rPr>
                <w:rFonts w:ascii="Arial" w:eastAsia="Arial" w:hAnsi="Arial" w:cs="Arial"/>
                <w:sz w:val="18"/>
                <w:szCs w:val="18"/>
              </w:rPr>
              <w:t>Net Sales</w:t>
            </w:r>
          </w:p>
        </w:tc>
        <w:tc>
          <w:tcPr>
            <w:tcW w:w="500" w:type="dxa"/>
            <w:gridSpan w:val="5"/>
            <w:tcBorders>
              <w:bottom w:val="single" w:sz="8" w:space="0" w:color="CCEEFF"/>
            </w:tcBorders>
            <w:shd w:val="clear" w:color="auto" w:fill="CCEEFF"/>
            <w:vAlign w:val="bottom"/>
          </w:tcPr>
          <w:p w14:paraId="1CE79DC3" w14:textId="77777777" w:rsidR="00D1587D" w:rsidRDefault="00410D07">
            <w:pPr>
              <w:jc w:val="right"/>
              <w:rPr>
                <w:sz w:val="20"/>
                <w:szCs w:val="20"/>
              </w:rPr>
            </w:pPr>
            <w:r>
              <w:rPr>
                <w:rFonts w:ascii="Arial" w:eastAsia="Arial" w:hAnsi="Arial" w:cs="Arial"/>
                <w:w w:val="87"/>
                <w:sz w:val="18"/>
                <w:szCs w:val="18"/>
              </w:rPr>
              <w:t>$1,554</w:t>
            </w:r>
          </w:p>
        </w:tc>
        <w:tc>
          <w:tcPr>
            <w:tcW w:w="20" w:type="dxa"/>
            <w:tcBorders>
              <w:bottom w:val="single" w:sz="8" w:space="0" w:color="CCEEFF"/>
            </w:tcBorders>
            <w:shd w:val="clear" w:color="auto" w:fill="CCEEFF"/>
            <w:vAlign w:val="bottom"/>
          </w:tcPr>
          <w:p w14:paraId="7C9BFA8F" w14:textId="77777777" w:rsidR="00D1587D" w:rsidRDefault="00D1587D">
            <w:pPr>
              <w:rPr>
                <w:sz w:val="24"/>
                <w:szCs w:val="24"/>
              </w:rPr>
            </w:pPr>
          </w:p>
        </w:tc>
        <w:tc>
          <w:tcPr>
            <w:tcW w:w="60" w:type="dxa"/>
            <w:tcBorders>
              <w:bottom w:val="single" w:sz="8" w:space="0" w:color="CCEEFF"/>
            </w:tcBorders>
            <w:shd w:val="clear" w:color="auto" w:fill="CCEEFF"/>
            <w:vAlign w:val="bottom"/>
          </w:tcPr>
          <w:p w14:paraId="06E82D0C" w14:textId="77777777" w:rsidR="00D1587D" w:rsidRDefault="00D1587D">
            <w:pPr>
              <w:rPr>
                <w:sz w:val="24"/>
                <w:szCs w:val="24"/>
              </w:rPr>
            </w:pPr>
          </w:p>
        </w:tc>
        <w:tc>
          <w:tcPr>
            <w:tcW w:w="500" w:type="dxa"/>
            <w:tcBorders>
              <w:bottom w:val="single" w:sz="8" w:space="0" w:color="CCEEFF"/>
            </w:tcBorders>
            <w:shd w:val="clear" w:color="auto" w:fill="CCEEFF"/>
            <w:vAlign w:val="bottom"/>
          </w:tcPr>
          <w:p w14:paraId="1414EAD2"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1813C61" w14:textId="77777777" w:rsidR="00D1587D" w:rsidRDefault="00410D07">
            <w:pPr>
              <w:jc w:val="right"/>
              <w:rPr>
                <w:sz w:val="20"/>
                <w:szCs w:val="20"/>
              </w:rPr>
            </w:pPr>
            <w:r>
              <w:rPr>
                <w:rFonts w:ascii="Arial" w:eastAsia="Arial" w:hAnsi="Arial" w:cs="Arial"/>
                <w:w w:val="79"/>
                <w:sz w:val="18"/>
                <w:szCs w:val="18"/>
              </w:rPr>
              <w:t>$</w:t>
            </w:r>
          </w:p>
        </w:tc>
        <w:tc>
          <w:tcPr>
            <w:tcW w:w="320" w:type="dxa"/>
            <w:tcBorders>
              <w:bottom w:val="single" w:sz="8" w:space="0" w:color="CCEEFF"/>
            </w:tcBorders>
            <w:shd w:val="clear" w:color="auto" w:fill="CCEEFF"/>
            <w:vAlign w:val="bottom"/>
          </w:tcPr>
          <w:p w14:paraId="55F610A8" w14:textId="77777777" w:rsidR="00D1587D" w:rsidRDefault="00410D07">
            <w:pPr>
              <w:jc w:val="right"/>
              <w:rPr>
                <w:sz w:val="20"/>
                <w:szCs w:val="20"/>
              </w:rPr>
            </w:pPr>
            <w:r>
              <w:rPr>
                <w:rFonts w:ascii="Arial" w:eastAsia="Arial" w:hAnsi="Arial" w:cs="Arial"/>
                <w:w w:val="99"/>
                <w:sz w:val="18"/>
                <w:szCs w:val="18"/>
              </w:rPr>
              <w:t>894</w:t>
            </w:r>
          </w:p>
        </w:tc>
        <w:tc>
          <w:tcPr>
            <w:tcW w:w="80" w:type="dxa"/>
            <w:tcBorders>
              <w:bottom w:val="single" w:sz="8" w:space="0" w:color="CCEEFF"/>
            </w:tcBorders>
            <w:shd w:val="clear" w:color="auto" w:fill="CCEEFF"/>
            <w:vAlign w:val="bottom"/>
          </w:tcPr>
          <w:p w14:paraId="5BE9D872" w14:textId="77777777" w:rsidR="00D1587D" w:rsidRDefault="00D1587D">
            <w:pPr>
              <w:rPr>
                <w:sz w:val="24"/>
                <w:szCs w:val="24"/>
              </w:rPr>
            </w:pPr>
          </w:p>
        </w:tc>
        <w:tc>
          <w:tcPr>
            <w:tcW w:w="0" w:type="dxa"/>
            <w:vAlign w:val="bottom"/>
          </w:tcPr>
          <w:p w14:paraId="3521636F" w14:textId="77777777" w:rsidR="00D1587D" w:rsidRDefault="00D1587D">
            <w:pPr>
              <w:rPr>
                <w:sz w:val="1"/>
                <w:szCs w:val="1"/>
              </w:rPr>
            </w:pPr>
          </w:p>
        </w:tc>
      </w:tr>
      <w:tr w:rsidR="00D1587D" w14:paraId="19EB41AA" w14:textId="77777777">
        <w:trPr>
          <w:trHeight w:val="256"/>
        </w:trPr>
        <w:tc>
          <w:tcPr>
            <w:tcW w:w="6840" w:type="dxa"/>
            <w:vAlign w:val="bottom"/>
          </w:tcPr>
          <w:p w14:paraId="0CC1837D" w14:textId="77777777" w:rsidR="00D1587D" w:rsidRDefault="00410D07">
            <w:pPr>
              <w:rPr>
                <w:sz w:val="20"/>
                <w:szCs w:val="20"/>
              </w:rPr>
            </w:pPr>
            <w:r>
              <w:rPr>
                <w:rFonts w:ascii="Arial" w:eastAsia="Arial" w:hAnsi="Arial" w:cs="Arial"/>
                <w:sz w:val="18"/>
                <w:szCs w:val="18"/>
              </w:rPr>
              <w:t>Costs of Goods Sold, Buying and Occupancy</w:t>
            </w:r>
          </w:p>
        </w:tc>
        <w:tc>
          <w:tcPr>
            <w:tcW w:w="580" w:type="dxa"/>
            <w:gridSpan w:val="7"/>
            <w:vAlign w:val="bottom"/>
          </w:tcPr>
          <w:p w14:paraId="76DE0D87" w14:textId="77777777" w:rsidR="00D1587D" w:rsidRDefault="00410D07">
            <w:pPr>
              <w:ind w:right="20"/>
              <w:jc w:val="right"/>
              <w:rPr>
                <w:sz w:val="20"/>
                <w:szCs w:val="20"/>
              </w:rPr>
            </w:pPr>
            <w:r>
              <w:rPr>
                <w:rFonts w:ascii="Arial" w:eastAsia="Arial" w:hAnsi="Arial" w:cs="Arial"/>
                <w:sz w:val="18"/>
                <w:szCs w:val="18"/>
              </w:rPr>
              <w:t>(882)</w:t>
            </w:r>
          </w:p>
        </w:tc>
        <w:tc>
          <w:tcPr>
            <w:tcW w:w="500" w:type="dxa"/>
            <w:vAlign w:val="bottom"/>
          </w:tcPr>
          <w:p w14:paraId="3FB9D9F2" w14:textId="77777777" w:rsidR="00D1587D" w:rsidRDefault="00D1587D"/>
        </w:tc>
        <w:tc>
          <w:tcPr>
            <w:tcW w:w="500" w:type="dxa"/>
            <w:gridSpan w:val="3"/>
            <w:vAlign w:val="bottom"/>
          </w:tcPr>
          <w:p w14:paraId="57EAF3F3" w14:textId="77777777" w:rsidR="00D1587D" w:rsidRDefault="00410D07">
            <w:pPr>
              <w:ind w:right="20"/>
              <w:jc w:val="right"/>
              <w:rPr>
                <w:sz w:val="20"/>
                <w:szCs w:val="20"/>
              </w:rPr>
            </w:pPr>
            <w:r>
              <w:rPr>
                <w:rFonts w:ascii="Arial" w:eastAsia="Arial" w:hAnsi="Arial" w:cs="Arial"/>
                <w:sz w:val="18"/>
                <w:szCs w:val="18"/>
              </w:rPr>
              <w:t>(873)</w:t>
            </w:r>
          </w:p>
        </w:tc>
        <w:tc>
          <w:tcPr>
            <w:tcW w:w="0" w:type="dxa"/>
            <w:vAlign w:val="bottom"/>
          </w:tcPr>
          <w:p w14:paraId="6B9DA5B7" w14:textId="77777777" w:rsidR="00D1587D" w:rsidRDefault="00D1587D">
            <w:pPr>
              <w:rPr>
                <w:sz w:val="1"/>
                <w:szCs w:val="1"/>
              </w:rPr>
            </w:pPr>
          </w:p>
        </w:tc>
      </w:tr>
      <w:tr w:rsidR="00D1587D" w14:paraId="47DCB794" w14:textId="77777777">
        <w:trPr>
          <w:trHeight w:val="61"/>
        </w:trPr>
        <w:tc>
          <w:tcPr>
            <w:tcW w:w="6840" w:type="dxa"/>
            <w:vAlign w:val="bottom"/>
          </w:tcPr>
          <w:p w14:paraId="7142C4B0" w14:textId="77777777" w:rsidR="00D1587D" w:rsidRDefault="00D1587D">
            <w:pPr>
              <w:rPr>
                <w:sz w:val="5"/>
                <w:szCs w:val="5"/>
              </w:rPr>
            </w:pPr>
          </w:p>
        </w:tc>
        <w:tc>
          <w:tcPr>
            <w:tcW w:w="100" w:type="dxa"/>
            <w:tcBorders>
              <w:top w:val="single" w:sz="8" w:space="0" w:color="auto"/>
            </w:tcBorders>
            <w:vAlign w:val="bottom"/>
          </w:tcPr>
          <w:p w14:paraId="29807B0A" w14:textId="77777777" w:rsidR="00D1587D" w:rsidRDefault="00D1587D">
            <w:pPr>
              <w:rPr>
                <w:sz w:val="5"/>
                <w:szCs w:val="5"/>
              </w:rPr>
            </w:pPr>
          </w:p>
        </w:tc>
        <w:tc>
          <w:tcPr>
            <w:tcW w:w="100" w:type="dxa"/>
            <w:tcBorders>
              <w:top w:val="single" w:sz="8" w:space="0" w:color="auto"/>
            </w:tcBorders>
            <w:vAlign w:val="bottom"/>
          </w:tcPr>
          <w:p w14:paraId="40FD0613" w14:textId="77777777" w:rsidR="00D1587D" w:rsidRDefault="00D1587D">
            <w:pPr>
              <w:rPr>
                <w:sz w:val="5"/>
                <w:szCs w:val="5"/>
              </w:rPr>
            </w:pPr>
          </w:p>
        </w:tc>
        <w:tc>
          <w:tcPr>
            <w:tcW w:w="240" w:type="dxa"/>
            <w:tcBorders>
              <w:top w:val="single" w:sz="8" w:space="0" w:color="auto"/>
            </w:tcBorders>
            <w:vAlign w:val="bottom"/>
          </w:tcPr>
          <w:p w14:paraId="45DEDFC4" w14:textId="77777777" w:rsidR="00D1587D" w:rsidRDefault="00D1587D">
            <w:pPr>
              <w:rPr>
                <w:sz w:val="5"/>
                <w:szCs w:val="5"/>
              </w:rPr>
            </w:pPr>
          </w:p>
        </w:tc>
        <w:tc>
          <w:tcPr>
            <w:tcW w:w="20" w:type="dxa"/>
            <w:tcBorders>
              <w:top w:val="single" w:sz="8" w:space="0" w:color="auto"/>
            </w:tcBorders>
            <w:vAlign w:val="bottom"/>
          </w:tcPr>
          <w:p w14:paraId="123B4C61" w14:textId="77777777" w:rsidR="00D1587D" w:rsidRDefault="00D1587D">
            <w:pPr>
              <w:rPr>
                <w:sz w:val="5"/>
                <w:szCs w:val="5"/>
              </w:rPr>
            </w:pPr>
          </w:p>
        </w:tc>
        <w:tc>
          <w:tcPr>
            <w:tcW w:w="40" w:type="dxa"/>
            <w:tcBorders>
              <w:top w:val="single" w:sz="8" w:space="0" w:color="auto"/>
            </w:tcBorders>
            <w:vAlign w:val="bottom"/>
          </w:tcPr>
          <w:p w14:paraId="07EDE77B" w14:textId="77777777" w:rsidR="00D1587D" w:rsidRDefault="00D1587D">
            <w:pPr>
              <w:rPr>
                <w:sz w:val="5"/>
                <w:szCs w:val="5"/>
              </w:rPr>
            </w:pPr>
          </w:p>
        </w:tc>
        <w:tc>
          <w:tcPr>
            <w:tcW w:w="20" w:type="dxa"/>
            <w:vAlign w:val="bottom"/>
          </w:tcPr>
          <w:p w14:paraId="4CD5FCAD" w14:textId="77777777" w:rsidR="00D1587D" w:rsidRDefault="00D1587D">
            <w:pPr>
              <w:rPr>
                <w:sz w:val="5"/>
                <w:szCs w:val="5"/>
              </w:rPr>
            </w:pPr>
          </w:p>
        </w:tc>
        <w:tc>
          <w:tcPr>
            <w:tcW w:w="60" w:type="dxa"/>
            <w:vAlign w:val="bottom"/>
          </w:tcPr>
          <w:p w14:paraId="484B4C05" w14:textId="77777777" w:rsidR="00D1587D" w:rsidRDefault="00D1587D">
            <w:pPr>
              <w:rPr>
                <w:sz w:val="5"/>
                <w:szCs w:val="5"/>
              </w:rPr>
            </w:pPr>
          </w:p>
        </w:tc>
        <w:tc>
          <w:tcPr>
            <w:tcW w:w="500" w:type="dxa"/>
            <w:vAlign w:val="bottom"/>
          </w:tcPr>
          <w:p w14:paraId="0BB0271F" w14:textId="77777777" w:rsidR="00D1587D" w:rsidRDefault="00D1587D">
            <w:pPr>
              <w:rPr>
                <w:sz w:val="5"/>
                <w:szCs w:val="5"/>
              </w:rPr>
            </w:pPr>
          </w:p>
        </w:tc>
        <w:tc>
          <w:tcPr>
            <w:tcW w:w="100" w:type="dxa"/>
            <w:tcBorders>
              <w:top w:val="single" w:sz="8" w:space="0" w:color="auto"/>
            </w:tcBorders>
            <w:vAlign w:val="bottom"/>
          </w:tcPr>
          <w:p w14:paraId="7FD998CA" w14:textId="77777777" w:rsidR="00D1587D" w:rsidRDefault="00D1587D">
            <w:pPr>
              <w:rPr>
                <w:sz w:val="5"/>
                <w:szCs w:val="5"/>
              </w:rPr>
            </w:pPr>
          </w:p>
        </w:tc>
        <w:tc>
          <w:tcPr>
            <w:tcW w:w="320" w:type="dxa"/>
            <w:tcBorders>
              <w:top w:val="single" w:sz="8" w:space="0" w:color="auto"/>
            </w:tcBorders>
            <w:vAlign w:val="bottom"/>
          </w:tcPr>
          <w:p w14:paraId="59C776FD" w14:textId="77777777" w:rsidR="00D1587D" w:rsidRDefault="00D1587D">
            <w:pPr>
              <w:rPr>
                <w:sz w:val="5"/>
                <w:szCs w:val="5"/>
              </w:rPr>
            </w:pPr>
          </w:p>
        </w:tc>
        <w:tc>
          <w:tcPr>
            <w:tcW w:w="80" w:type="dxa"/>
            <w:vAlign w:val="bottom"/>
          </w:tcPr>
          <w:p w14:paraId="542CC09E" w14:textId="77777777" w:rsidR="00D1587D" w:rsidRDefault="00D1587D">
            <w:pPr>
              <w:rPr>
                <w:sz w:val="5"/>
                <w:szCs w:val="5"/>
              </w:rPr>
            </w:pPr>
          </w:p>
        </w:tc>
        <w:tc>
          <w:tcPr>
            <w:tcW w:w="0" w:type="dxa"/>
            <w:vAlign w:val="bottom"/>
          </w:tcPr>
          <w:p w14:paraId="53E65F24" w14:textId="77777777" w:rsidR="00D1587D" w:rsidRDefault="00D1587D">
            <w:pPr>
              <w:rPr>
                <w:sz w:val="1"/>
                <w:szCs w:val="1"/>
              </w:rPr>
            </w:pPr>
          </w:p>
        </w:tc>
      </w:tr>
      <w:tr w:rsidR="00D1587D" w14:paraId="56BA24DC" w14:textId="77777777">
        <w:trPr>
          <w:trHeight w:val="318"/>
        </w:trPr>
        <w:tc>
          <w:tcPr>
            <w:tcW w:w="6840" w:type="dxa"/>
            <w:tcBorders>
              <w:bottom w:val="single" w:sz="8" w:space="0" w:color="CCEEFF"/>
            </w:tcBorders>
            <w:shd w:val="clear" w:color="auto" w:fill="CCEEFF"/>
            <w:vAlign w:val="bottom"/>
          </w:tcPr>
          <w:p w14:paraId="797B77E3" w14:textId="77777777" w:rsidR="00D1587D" w:rsidRDefault="00410D07">
            <w:pPr>
              <w:rPr>
                <w:sz w:val="20"/>
                <w:szCs w:val="20"/>
              </w:rPr>
            </w:pPr>
            <w:r>
              <w:rPr>
                <w:rFonts w:ascii="Arial" w:eastAsia="Arial" w:hAnsi="Arial" w:cs="Arial"/>
                <w:sz w:val="18"/>
                <w:szCs w:val="18"/>
              </w:rPr>
              <w:t>Gross Profit</w:t>
            </w:r>
          </w:p>
        </w:tc>
        <w:tc>
          <w:tcPr>
            <w:tcW w:w="100" w:type="dxa"/>
            <w:tcBorders>
              <w:bottom w:val="single" w:sz="8" w:space="0" w:color="CCEEFF"/>
            </w:tcBorders>
            <w:shd w:val="clear" w:color="auto" w:fill="CCEEFF"/>
            <w:vAlign w:val="bottom"/>
          </w:tcPr>
          <w:p w14:paraId="10B3387A" w14:textId="77777777" w:rsidR="00D1587D" w:rsidRDefault="00D1587D">
            <w:pPr>
              <w:rPr>
                <w:sz w:val="24"/>
                <w:szCs w:val="24"/>
              </w:rPr>
            </w:pPr>
          </w:p>
        </w:tc>
        <w:tc>
          <w:tcPr>
            <w:tcW w:w="100" w:type="dxa"/>
            <w:tcBorders>
              <w:bottom w:val="single" w:sz="8" w:space="0" w:color="CCEEFF"/>
            </w:tcBorders>
            <w:shd w:val="clear" w:color="auto" w:fill="CCEEFF"/>
            <w:vAlign w:val="bottom"/>
          </w:tcPr>
          <w:p w14:paraId="468A6148" w14:textId="77777777" w:rsidR="00D1587D" w:rsidRDefault="00D1587D">
            <w:pPr>
              <w:rPr>
                <w:sz w:val="24"/>
                <w:szCs w:val="24"/>
              </w:rPr>
            </w:pPr>
          </w:p>
        </w:tc>
        <w:tc>
          <w:tcPr>
            <w:tcW w:w="300" w:type="dxa"/>
            <w:gridSpan w:val="3"/>
            <w:tcBorders>
              <w:bottom w:val="single" w:sz="8" w:space="0" w:color="CCEEFF"/>
            </w:tcBorders>
            <w:shd w:val="clear" w:color="auto" w:fill="CCEEFF"/>
            <w:vAlign w:val="bottom"/>
          </w:tcPr>
          <w:p w14:paraId="45C2F381" w14:textId="77777777" w:rsidR="00D1587D" w:rsidRDefault="00410D07">
            <w:pPr>
              <w:jc w:val="right"/>
              <w:rPr>
                <w:sz w:val="20"/>
                <w:szCs w:val="20"/>
              </w:rPr>
            </w:pPr>
            <w:r>
              <w:rPr>
                <w:rFonts w:ascii="Arial" w:eastAsia="Arial" w:hAnsi="Arial" w:cs="Arial"/>
                <w:w w:val="93"/>
                <w:sz w:val="18"/>
                <w:szCs w:val="18"/>
              </w:rPr>
              <w:t>672</w:t>
            </w:r>
          </w:p>
        </w:tc>
        <w:tc>
          <w:tcPr>
            <w:tcW w:w="20" w:type="dxa"/>
            <w:tcBorders>
              <w:bottom w:val="single" w:sz="8" w:space="0" w:color="CCEEFF"/>
            </w:tcBorders>
            <w:shd w:val="clear" w:color="auto" w:fill="CCEEFF"/>
            <w:vAlign w:val="bottom"/>
          </w:tcPr>
          <w:p w14:paraId="6304685D" w14:textId="77777777" w:rsidR="00D1587D" w:rsidRDefault="00D1587D">
            <w:pPr>
              <w:rPr>
                <w:sz w:val="24"/>
                <w:szCs w:val="24"/>
              </w:rPr>
            </w:pPr>
          </w:p>
        </w:tc>
        <w:tc>
          <w:tcPr>
            <w:tcW w:w="60" w:type="dxa"/>
            <w:tcBorders>
              <w:bottom w:val="single" w:sz="8" w:space="0" w:color="CCEEFF"/>
            </w:tcBorders>
            <w:shd w:val="clear" w:color="auto" w:fill="CCEEFF"/>
            <w:vAlign w:val="bottom"/>
          </w:tcPr>
          <w:p w14:paraId="3B24A315" w14:textId="77777777" w:rsidR="00D1587D" w:rsidRDefault="00D1587D">
            <w:pPr>
              <w:rPr>
                <w:sz w:val="24"/>
                <w:szCs w:val="24"/>
              </w:rPr>
            </w:pPr>
          </w:p>
        </w:tc>
        <w:tc>
          <w:tcPr>
            <w:tcW w:w="500" w:type="dxa"/>
            <w:tcBorders>
              <w:bottom w:val="single" w:sz="8" w:space="0" w:color="CCEEFF"/>
            </w:tcBorders>
            <w:shd w:val="clear" w:color="auto" w:fill="CCEEFF"/>
            <w:vAlign w:val="bottom"/>
          </w:tcPr>
          <w:p w14:paraId="07913AAB"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9846405" w14:textId="77777777" w:rsidR="00D1587D" w:rsidRDefault="00D1587D">
            <w:pPr>
              <w:rPr>
                <w:sz w:val="24"/>
                <w:szCs w:val="24"/>
              </w:rPr>
            </w:pPr>
          </w:p>
        </w:tc>
        <w:tc>
          <w:tcPr>
            <w:tcW w:w="320" w:type="dxa"/>
            <w:tcBorders>
              <w:bottom w:val="single" w:sz="8" w:space="0" w:color="CCEEFF"/>
            </w:tcBorders>
            <w:shd w:val="clear" w:color="auto" w:fill="CCEEFF"/>
            <w:vAlign w:val="bottom"/>
          </w:tcPr>
          <w:p w14:paraId="16FE12F9" w14:textId="77777777" w:rsidR="00D1587D" w:rsidRDefault="00410D07">
            <w:pPr>
              <w:jc w:val="right"/>
              <w:rPr>
                <w:sz w:val="20"/>
                <w:szCs w:val="20"/>
              </w:rPr>
            </w:pPr>
            <w:r>
              <w:rPr>
                <w:rFonts w:ascii="Arial" w:eastAsia="Arial" w:hAnsi="Arial" w:cs="Arial"/>
                <w:sz w:val="18"/>
                <w:szCs w:val="18"/>
              </w:rPr>
              <w:t>21</w:t>
            </w:r>
          </w:p>
        </w:tc>
        <w:tc>
          <w:tcPr>
            <w:tcW w:w="80" w:type="dxa"/>
            <w:tcBorders>
              <w:bottom w:val="single" w:sz="8" w:space="0" w:color="CCEEFF"/>
            </w:tcBorders>
            <w:shd w:val="clear" w:color="auto" w:fill="CCEEFF"/>
            <w:vAlign w:val="bottom"/>
          </w:tcPr>
          <w:p w14:paraId="2C2A974D" w14:textId="77777777" w:rsidR="00D1587D" w:rsidRDefault="00D1587D">
            <w:pPr>
              <w:rPr>
                <w:sz w:val="24"/>
                <w:szCs w:val="24"/>
              </w:rPr>
            </w:pPr>
          </w:p>
        </w:tc>
        <w:tc>
          <w:tcPr>
            <w:tcW w:w="0" w:type="dxa"/>
            <w:vAlign w:val="bottom"/>
          </w:tcPr>
          <w:p w14:paraId="78FB2B54" w14:textId="77777777" w:rsidR="00D1587D" w:rsidRDefault="00D1587D">
            <w:pPr>
              <w:rPr>
                <w:sz w:val="1"/>
                <w:szCs w:val="1"/>
              </w:rPr>
            </w:pPr>
          </w:p>
        </w:tc>
      </w:tr>
      <w:tr w:rsidR="00D1587D" w14:paraId="5BCF6A46" w14:textId="77777777">
        <w:trPr>
          <w:trHeight w:val="256"/>
        </w:trPr>
        <w:tc>
          <w:tcPr>
            <w:tcW w:w="6840" w:type="dxa"/>
            <w:vAlign w:val="bottom"/>
          </w:tcPr>
          <w:p w14:paraId="3E24E2C4" w14:textId="77777777" w:rsidR="00D1587D" w:rsidRDefault="00410D07">
            <w:pPr>
              <w:rPr>
                <w:sz w:val="20"/>
                <w:szCs w:val="20"/>
              </w:rPr>
            </w:pPr>
            <w:r>
              <w:rPr>
                <w:rFonts w:ascii="Arial" w:eastAsia="Arial" w:hAnsi="Arial" w:cs="Arial"/>
                <w:sz w:val="18"/>
                <w:szCs w:val="18"/>
              </w:rPr>
              <w:t>General, Administrative and Store Operating Expenses</w:t>
            </w:r>
          </w:p>
        </w:tc>
        <w:tc>
          <w:tcPr>
            <w:tcW w:w="580" w:type="dxa"/>
            <w:gridSpan w:val="7"/>
            <w:vAlign w:val="bottom"/>
          </w:tcPr>
          <w:p w14:paraId="281C40B0" w14:textId="77777777" w:rsidR="00D1587D" w:rsidRDefault="00410D07">
            <w:pPr>
              <w:ind w:right="20"/>
              <w:jc w:val="right"/>
              <w:rPr>
                <w:sz w:val="20"/>
                <w:szCs w:val="20"/>
              </w:rPr>
            </w:pPr>
            <w:r>
              <w:rPr>
                <w:rFonts w:ascii="Arial" w:eastAsia="Arial" w:hAnsi="Arial" w:cs="Arial"/>
                <w:sz w:val="18"/>
                <w:szCs w:val="18"/>
              </w:rPr>
              <w:t>(446)</w:t>
            </w:r>
          </w:p>
        </w:tc>
        <w:tc>
          <w:tcPr>
            <w:tcW w:w="500" w:type="dxa"/>
            <w:vAlign w:val="bottom"/>
          </w:tcPr>
          <w:p w14:paraId="5EEA5E5A" w14:textId="77777777" w:rsidR="00D1587D" w:rsidRDefault="00D1587D"/>
        </w:tc>
        <w:tc>
          <w:tcPr>
            <w:tcW w:w="500" w:type="dxa"/>
            <w:gridSpan w:val="3"/>
            <w:vAlign w:val="bottom"/>
          </w:tcPr>
          <w:p w14:paraId="6032884C" w14:textId="77777777" w:rsidR="00D1587D" w:rsidRDefault="00410D07">
            <w:pPr>
              <w:ind w:right="20"/>
              <w:jc w:val="right"/>
              <w:rPr>
                <w:sz w:val="20"/>
                <w:szCs w:val="20"/>
              </w:rPr>
            </w:pPr>
            <w:r>
              <w:rPr>
                <w:rFonts w:ascii="Arial" w:eastAsia="Arial" w:hAnsi="Arial" w:cs="Arial"/>
                <w:sz w:val="18"/>
                <w:szCs w:val="18"/>
              </w:rPr>
              <w:t>(394)</w:t>
            </w:r>
          </w:p>
        </w:tc>
        <w:tc>
          <w:tcPr>
            <w:tcW w:w="0" w:type="dxa"/>
            <w:vAlign w:val="bottom"/>
          </w:tcPr>
          <w:p w14:paraId="0DA3B124" w14:textId="77777777" w:rsidR="00D1587D" w:rsidRDefault="00D1587D">
            <w:pPr>
              <w:rPr>
                <w:sz w:val="1"/>
                <w:szCs w:val="1"/>
              </w:rPr>
            </w:pPr>
          </w:p>
        </w:tc>
      </w:tr>
      <w:tr w:rsidR="00D1587D" w14:paraId="1FA644D7" w14:textId="77777777">
        <w:trPr>
          <w:trHeight w:val="61"/>
        </w:trPr>
        <w:tc>
          <w:tcPr>
            <w:tcW w:w="6840" w:type="dxa"/>
            <w:vAlign w:val="bottom"/>
          </w:tcPr>
          <w:p w14:paraId="3F2CE21C" w14:textId="77777777" w:rsidR="00D1587D" w:rsidRDefault="00D1587D">
            <w:pPr>
              <w:rPr>
                <w:sz w:val="5"/>
                <w:szCs w:val="5"/>
              </w:rPr>
            </w:pPr>
          </w:p>
        </w:tc>
        <w:tc>
          <w:tcPr>
            <w:tcW w:w="100" w:type="dxa"/>
            <w:tcBorders>
              <w:top w:val="single" w:sz="8" w:space="0" w:color="auto"/>
            </w:tcBorders>
            <w:vAlign w:val="bottom"/>
          </w:tcPr>
          <w:p w14:paraId="37EB2E7B" w14:textId="77777777" w:rsidR="00D1587D" w:rsidRDefault="00D1587D">
            <w:pPr>
              <w:rPr>
                <w:sz w:val="5"/>
                <w:szCs w:val="5"/>
              </w:rPr>
            </w:pPr>
          </w:p>
        </w:tc>
        <w:tc>
          <w:tcPr>
            <w:tcW w:w="100" w:type="dxa"/>
            <w:tcBorders>
              <w:top w:val="single" w:sz="8" w:space="0" w:color="auto"/>
            </w:tcBorders>
            <w:vAlign w:val="bottom"/>
          </w:tcPr>
          <w:p w14:paraId="5462E426" w14:textId="77777777" w:rsidR="00D1587D" w:rsidRDefault="00D1587D">
            <w:pPr>
              <w:rPr>
                <w:sz w:val="5"/>
                <w:szCs w:val="5"/>
              </w:rPr>
            </w:pPr>
          </w:p>
        </w:tc>
        <w:tc>
          <w:tcPr>
            <w:tcW w:w="240" w:type="dxa"/>
            <w:tcBorders>
              <w:top w:val="single" w:sz="8" w:space="0" w:color="auto"/>
            </w:tcBorders>
            <w:vAlign w:val="bottom"/>
          </w:tcPr>
          <w:p w14:paraId="70D759DF" w14:textId="77777777" w:rsidR="00D1587D" w:rsidRDefault="00D1587D">
            <w:pPr>
              <w:rPr>
                <w:sz w:val="5"/>
                <w:szCs w:val="5"/>
              </w:rPr>
            </w:pPr>
          </w:p>
        </w:tc>
        <w:tc>
          <w:tcPr>
            <w:tcW w:w="20" w:type="dxa"/>
            <w:tcBorders>
              <w:top w:val="single" w:sz="8" w:space="0" w:color="auto"/>
            </w:tcBorders>
            <w:vAlign w:val="bottom"/>
          </w:tcPr>
          <w:p w14:paraId="109FB893" w14:textId="77777777" w:rsidR="00D1587D" w:rsidRDefault="00D1587D">
            <w:pPr>
              <w:rPr>
                <w:sz w:val="5"/>
                <w:szCs w:val="5"/>
              </w:rPr>
            </w:pPr>
          </w:p>
        </w:tc>
        <w:tc>
          <w:tcPr>
            <w:tcW w:w="40" w:type="dxa"/>
            <w:tcBorders>
              <w:top w:val="single" w:sz="8" w:space="0" w:color="auto"/>
            </w:tcBorders>
            <w:vAlign w:val="bottom"/>
          </w:tcPr>
          <w:p w14:paraId="5A789CEB" w14:textId="77777777" w:rsidR="00D1587D" w:rsidRDefault="00D1587D">
            <w:pPr>
              <w:rPr>
                <w:sz w:val="5"/>
                <w:szCs w:val="5"/>
              </w:rPr>
            </w:pPr>
          </w:p>
        </w:tc>
        <w:tc>
          <w:tcPr>
            <w:tcW w:w="20" w:type="dxa"/>
            <w:vAlign w:val="bottom"/>
          </w:tcPr>
          <w:p w14:paraId="6028C214" w14:textId="77777777" w:rsidR="00D1587D" w:rsidRDefault="00D1587D">
            <w:pPr>
              <w:rPr>
                <w:sz w:val="5"/>
                <w:szCs w:val="5"/>
              </w:rPr>
            </w:pPr>
          </w:p>
        </w:tc>
        <w:tc>
          <w:tcPr>
            <w:tcW w:w="60" w:type="dxa"/>
            <w:vAlign w:val="bottom"/>
          </w:tcPr>
          <w:p w14:paraId="16AA69E3" w14:textId="77777777" w:rsidR="00D1587D" w:rsidRDefault="00D1587D">
            <w:pPr>
              <w:rPr>
                <w:sz w:val="5"/>
                <w:szCs w:val="5"/>
              </w:rPr>
            </w:pPr>
          </w:p>
        </w:tc>
        <w:tc>
          <w:tcPr>
            <w:tcW w:w="500" w:type="dxa"/>
            <w:vAlign w:val="bottom"/>
          </w:tcPr>
          <w:p w14:paraId="22ACDD2B" w14:textId="77777777" w:rsidR="00D1587D" w:rsidRDefault="00D1587D">
            <w:pPr>
              <w:rPr>
                <w:sz w:val="5"/>
                <w:szCs w:val="5"/>
              </w:rPr>
            </w:pPr>
          </w:p>
        </w:tc>
        <w:tc>
          <w:tcPr>
            <w:tcW w:w="100" w:type="dxa"/>
            <w:tcBorders>
              <w:top w:val="single" w:sz="8" w:space="0" w:color="auto"/>
            </w:tcBorders>
            <w:vAlign w:val="bottom"/>
          </w:tcPr>
          <w:p w14:paraId="5CAD7AD5" w14:textId="77777777" w:rsidR="00D1587D" w:rsidRDefault="00D1587D">
            <w:pPr>
              <w:rPr>
                <w:sz w:val="5"/>
                <w:szCs w:val="5"/>
              </w:rPr>
            </w:pPr>
          </w:p>
        </w:tc>
        <w:tc>
          <w:tcPr>
            <w:tcW w:w="320" w:type="dxa"/>
            <w:tcBorders>
              <w:top w:val="single" w:sz="8" w:space="0" w:color="auto"/>
            </w:tcBorders>
            <w:vAlign w:val="bottom"/>
          </w:tcPr>
          <w:p w14:paraId="064E30C6" w14:textId="77777777" w:rsidR="00D1587D" w:rsidRDefault="00D1587D">
            <w:pPr>
              <w:rPr>
                <w:sz w:val="5"/>
                <w:szCs w:val="5"/>
              </w:rPr>
            </w:pPr>
          </w:p>
        </w:tc>
        <w:tc>
          <w:tcPr>
            <w:tcW w:w="80" w:type="dxa"/>
            <w:vAlign w:val="bottom"/>
          </w:tcPr>
          <w:p w14:paraId="00B1C4EB" w14:textId="77777777" w:rsidR="00D1587D" w:rsidRDefault="00D1587D">
            <w:pPr>
              <w:rPr>
                <w:sz w:val="5"/>
                <w:szCs w:val="5"/>
              </w:rPr>
            </w:pPr>
          </w:p>
        </w:tc>
        <w:tc>
          <w:tcPr>
            <w:tcW w:w="0" w:type="dxa"/>
            <w:vAlign w:val="bottom"/>
          </w:tcPr>
          <w:p w14:paraId="3EDC2C8F" w14:textId="77777777" w:rsidR="00D1587D" w:rsidRDefault="00D1587D">
            <w:pPr>
              <w:rPr>
                <w:sz w:val="1"/>
                <w:szCs w:val="1"/>
              </w:rPr>
            </w:pPr>
          </w:p>
        </w:tc>
      </w:tr>
      <w:tr w:rsidR="00D1587D" w14:paraId="482D2C2F" w14:textId="77777777">
        <w:trPr>
          <w:trHeight w:val="318"/>
        </w:trPr>
        <w:tc>
          <w:tcPr>
            <w:tcW w:w="6840" w:type="dxa"/>
            <w:tcBorders>
              <w:bottom w:val="single" w:sz="8" w:space="0" w:color="CCEEFF"/>
            </w:tcBorders>
            <w:shd w:val="clear" w:color="auto" w:fill="CCEEFF"/>
            <w:vAlign w:val="bottom"/>
          </w:tcPr>
          <w:p w14:paraId="48ABB7B5" w14:textId="77777777" w:rsidR="00D1587D" w:rsidRDefault="00410D07">
            <w:pPr>
              <w:rPr>
                <w:sz w:val="20"/>
                <w:szCs w:val="20"/>
              </w:rPr>
            </w:pPr>
            <w:r>
              <w:rPr>
                <w:rFonts w:ascii="Arial" w:eastAsia="Arial" w:hAnsi="Arial" w:cs="Arial"/>
                <w:sz w:val="18"/>
                <w:szCs w:val="18"/>
              </w:rPr>
              <w:t>Operating Income (Loss)</w:t>
            </w:r>
          </w:p>
        </w:tc>
        <w:tc>
          <w:tcPr>
            <w:tcW w:w="100" w:type="dxa"/>
            <w:tcBorders>
              <w:bottom w:val="single" w:sz="8" w:space="0" w:color="CCEEFF"/>
            </w:tcBorders>
            <w:shd w:val="clear" w:color="auto" w:fill="CCEEFF"/>
            <w:vAlign w:val="bottom"/>
          </w:tcPr>
          <w:p w14:paraId="7EB37F28" w14:textId="77777777" w:rsidR="00D1587D" w:rsidRDefault="00D1587D">
            <w:pPr>
              <w:rPr>
                <w:sz w:val="24"/>
                <w:szCs w:val="24"/>
              </w:rPr>
            </w:pPr>
          </w:p>
        </w:tc>
        <w:tc>
          <w:tcPr>
            <w:tcW w:w="100" w:type="dxa"/>
            <w:tcBorders>
              <w:bottom w:val="single" w:sz="8" w:space="0" w:color="CCEEFF"/>
            </w:tcBorders>
            <w:shd w:val="clear" w:color="auto" w:fill="CCEEFF"/>
            <w:vAlign w:val="bottom"/>
          </w:tcPr>
          <w:p w14:paraId="47220AA8" w14:textId="77777777" w:rsidR="00D1587D" w:rsidRDefault="00D1587D">
            <w:pPr>
              <w:rPr>
                <w:sz w:val="24"/>
                <w:szCs w:val="24"/>
              </w:rPr>
            </w:pPr>
          </w:p>
        </w:tc>
        <w:tc>
          <w:tcPr>
            <w:tcW w:w="300" w:type="dxa"/>
            <w:gridSpan w:val="3"/>
            <w:tcBorders>
              <w:bottom w:val="single" w:sz="8" w:space="0" w:color="CCEEFF"/>
            </w:tcBorders>
            <w:shd w:val="clear" w:color="auto" w:fill="CCEEFF"/>
            <w:vAlign w:val="bottom"/>
          </w:tcPr>
          <w:p w14:paraId="7FFFA2DF" w14:textId="77777777" w:rsidR="00D1587D" w:rsidRDefault="00410D07">
            <w:pPr>
              <w:jc w:val="right"/>
              <w:rPr>
                <w:sz w:val="20"/>
                <w:szCs w:val="20"/>
              </w:rPr>
            </w:pPr>
            <w:r>
              <w:rPr>
                <w:rFonts w:ascii="Arial" w:eastAsia="Arial" w:hAnsi="Arial" w:cs="Arial"/>
                <w:w w:val="93"/>
                <w:sz w:val="18"/>
                <w:szCs w:val="18"/>
              </w:rPr>
              <w:t>226</w:t>
            </w:r>
          </w:p>
        </w:tc>
        <w:tc>
          <w:tcPr>
            <w:tcW w:w="20" w:type="dxa"/>
            <w:tcBorders>
              <w:bottom w:val="single" w:sz="8" w:space="0" w:color="CCEEFF"/>
            </w:tcBorders>
            <w:shd w:val="clear" w:color="auto" w:fill="CCEEFF"/>
            <w:vAlign w:val="bottom"/>
          </w:tcPr>
          <w:p w14:paraId="0D184F08" w14:textId="77777777" w:rsidR="00D1587D" w:rsidRDefault="00D1587D">
            <w:pPr>
              <w:rPr>
                <w:sz w:val="24"/>
                <w:szCs w:val="24"/>
              </w:rPr>
            </w:pPr>
          </w:p>
        </w:tc>
        <w:tc>
          <w:tcPr>
            <w:tcW w:w="60" w:type="dxa"/>
            <w:tcBorders>
              <w:bottom w:val="single" w:sz="8" w:space="0" w:color="CCEEFF"/>
            </w:tcBorders>
            <w:shd w:val="clear" w:color="auto" w:fill="CCEEFF"/>
            <w:vAlign w:val="bottom"/>
          </w:tcPr>
          <w:p w14:paraId="789CAFDB" w14:textId="77777777" w:rsidR="00D1587D" w:rsidRDefault="00D1587D">
            <w:pPr>
              <w:rPr>
                <w:sz w:val="24"/>
                <w:szCs w:val="24"/>
              </w:rPr>
            </w:pPr>
          </w:p>
        </w:tc>
        <w:tc>
          <w:tcPr>
            <w:tcW w:w="500" w:type="dxa"/>
            <w:tcBorders>
              <w:bottom w:val="single" w:sz="8" w:space="0" w:color="CCEEFF"/>
            </w:tcBorders>
            <w:shd w:val="clear" w:color="auto" w:fill="CCEEFF"/>
            <w:vAlign w:val="bottom"/>
          </w:tcPr>
          <w:p w14:paraId="2E136F7A" w14:textId="77777777" w:rsidR="00D1587D" w:rsidRDefault="00D1587D">
            <w:pPr>
              <w:rPr>
                <w:sz w:val="24"/>
                <w:szCs w:val="24"/>
              </w:rPr>
            </w:pPr>
          </w:p>
        </w:tc>
        <w:tc>
          <w:tcPr>
            <w:tcW w:w="500" w:type="dxa"/>
            <w:gridSpan w:val="3"/>
            <w:tcBorders>
              <w:bottom w:val="single" w:sz="8" w:space="0" w:color="CCEEFF"/>
            </w:tcBorders>
            <w:shd w:val="clear" w:color="auto" w:fill="CCEEFF"/>
            <w:vAlign w:val="bottom"/>
          </w:tcPr>
          <w:p w14:paraId="3AA86C2B" w14:textId="77777777" w:rsidR="00D1587D" w:rsidRDefault="00410D07">
            <w:pPr>
              <w:ind w:right="20"/>
              <w:jc w:val="right"/>
              <w:rPr>
                <w:sz w:val="20"/>
                <w:szCs w:val="20"/>
              </w:rPr>
            </w:pPr>
            <w:r>
              <w:rPr>
                <w:rFonts w:ascii="Arial" w:eastAsia="Arial" w:hAnsi="Arial" w:cs="Arial"/>
                <w:sz w:val="18"/>
                <w:szCs w:val="18"/>
              </w:rPr>
              <w:t>(373)</w:t>
            </w:r>
          </w:p>
        </w:tc>
        <w:tc>
          <w:tcPr>
            <w:tcW w:w="0" w:type="dxa"/>
            <w:vAlign w:val="bottom"/>
          </w:tcPr>
          <w:p w14:paraId="6A4A8715" w14:textId="77777777" w:rsidR="00D1587D" w:rsidRDefault="00D1587D">
            <w:pPr>
              <w:rPr>
                <w:sz w:val="1"/>
                <w:szCs w:val="1"/>
              </w:rPr>
            </w:pPr>
          </w:p>
        </w:tc>
      </w:tr>
      <w:tr w:rsidR="00D1587D" w14:paraId="3E79F6B9" w14:textId="77777777">
        <w:trPr>
          <w:trHeight w:val="270"/>
        </w:trPr>
        <w:tc>
          <w:tcPr>
            <w:tcW w:w="6840" w:type="dxa"/>
            <w:vAlign w:val="bottom"/>
          </w:tcPr>
          <w:p w14:paraId="0804F513" w14:textId="77777777" w:rsidR="00D1587D" w:rsidRDefault="00410D07">
            <w:pPr>
              <w:rPr>
                <w:sz w:val="20"/>
                <w:szCs w:val="20"/>
              </w:rPr>
            </w:pPr>
            <w:r>
              <w:rPr>
                <w:rFonts w:ascii="Arial" w:eastAsia="Arial" w:hAnsi="Arial" w:cs="Arial"/>
                <w:sz w:val="18"/>
                <w:szCs w:val="18"/>
              </w:rPr>
              <w:t>Interest Expense</w:t>
            </w:r>
          </w:p>
        </w:tc>
        <w:tc>
          <w:tcPr>
            <w:tcW w:w="100" w:type="dxa"/>
            <w:vAlign w:val="bottom"/>
          </w:tcPr>
          <w:p w14:paraId="413A7FE4" w14:textId="77777777" w:rsidR="00D1587D" w:rsidRDefault="00D1587D">
            <w:pPr>
              <w:rPr>
                <w:sz w:val="23"/>
                <w:szCs w:val="23"/>
              </w:rPr>
            </w:pPr>
          </w:p>
        </w:tc>
        <w:tc>
          <w:tcPr>
            <w:tcW w:w="100" w:type="dxa"/>
            <w:vAlign w:val="bottom"/>
          </w:tcPr>
          <w:p w14:paraId="7C492B2F" w14:textId="77777777" w:rsidR="00D1587D" w:rsidRDefault="00D1587D">
            <w:pPr>
              <w:rPr>
                <w:sz w:val="23"/>
                <w:szCs w:val="23"/>
              </w:rPr>
            </w:pPr>
          </w:p>
        </w:tc>
        <w:tc>
          <w:tcPr>
            <w:tcW w:w="380" w:type="dxa"/>
            <w:gridSpan w:val="5"/>
            <w:vAlign w:val="bottom"/>
          </w:tcPr>
          <w:p w14:paraId="1E0AB6B8" w14:textId="77777777" w:rsidR="00D1587D" w:rsidRDefault="00410D07">
            <w:pPr>
              <w:ind w:right="20"/>
              <w:jc w:val="right"/>
              <w:rPr>
                <w:sz w:val="20"/>
                <w:szCs w:val="20"/>
              </w:rPr>
            </w:pPr>
            <w:r>
              <w:rPr>
                <w:rFonts w:ascii="Arial" w:eastAsia="Arial" w:hAnsi="Arial" w:cs="Arial"/>
                <w:sz w:val="18"/>
                <w:szCs w:val="18"/>
              </w:rPr>
              <w:t>(1)</w:t>
            </w:r>
          </w:p>
        </w:tc>
        <w:tc>
          <w:tcPr>
            <w:tcW w:w="500" w:type="dxa"/>
            <w:vAlign w:val="bottom"/>
          </w:tcPr>
          <w:p w14:paraId="1C106213" w14:textId="77777777" w:rsidR="00D1587D" w:rsidRDefault="00D1587D">
            <w:pPr>
              <w:rPr>
                <w:sz w:val="23"/>
                <w:szCs w:val="23"/>
              </w:rPr>
            </w:pPr>
          </w:p>
        </w:tc>
        <w:tc>
          <w:tcPr>
            <w:tcW w:w="100" w:type="dxa"/>
            <w:vAlign w:val="bottom"/>
          </w:tcPr>
          <w:p w14:paraId="3B8F3357" w14:textId="77777777" w:rsidR="00D1587D" w:rsidRDefault="00D1587D">
            <w:pPr>
              <w:rPr>
                <w:sz w:val="23"/>
                <w:szCs w:val="23"/>
              </w:rPr>
            </w:pPr>
          </w:p>
        </w:tc>
        <w:tc>
          <w:tcPr>
            <w:tcW w:w="400" w:type="dxa"/>
            <w:gridSpan w:val="2"/>
            <w:vAlign w:val="bottom"/>
          </w:tcPr>
          <w:p w14:paraId="7FB17288" w14:textId="77777777" w:rsidR="00D1587D" w:rsidRDefault="00410D07">
            <w:pPr>
              <w:ind w:right="20"/>
              <w:jc w:val="right"/>
              <w:rPr>
                <w:sz w:val="20"/>
                <w:szCs w:val="20"/>
              </w:rPr>
            </w:pPr>
            <w:r>
              <w:rPr>
                <w:rFonts w:ascii="Arial" w:eastAsia="Arial" w:hAnsi="Arial" w:cs="Arial"/>
                <w:sz w:val="18"/>
                <w:szCs w:val="18"/>
              </w:rPr>
              <w:t>(2)</w:t>
            </w:r>
          </w:p>
        </w:tc>
        <w:tc>
          <w:tcPr>
            <w:tcW w:w="0" w:type="dxa"/>
            <w:vAlign w:val="bottom"/>
          </w:tcPr>
          <w:p w14:paraId="5583DB1E" w14:textId="77777777" w:rsidR="00D1587D" w:rsidRDefault="00D1587D">
            <w:pPr>
              <w:rPr>
                <w:sz w:val="1"/>
                <w:szCs w:val="1"/>
              </w:rPr>
            </w:pPr>
          </w:p>
        </w:tc>
      </w:tr>
      <w:tr w:rsidR="00D1587D" w14:paraId="7A23F74C" w14:textId="77777777">
        <w:trPr>
          <w:trHeight w:val="54"/>
        </w:trPr>
        <w:tc>
          <w:tcPr>
            <w:tcW w:w="6840" w:type="dxa"/>
            <w:vAlign w:val="bottom"/>
          </w:tcPr>
          <w:p w14:paraId="67FAF577" w14:textId="77777777" w:rsidR="00D1587D" w:rsidRDefault="00D1587D">
            <w:pPr>
              <w:rPr>
                <w:sz w:val="4"/>
                <w:szCs w:val="4"/>
              </w:rPr>
            </w:pPr>
          </w:p>
        </w:tc>
        <w:tc>
          <w:tcPr>
            <w:tcW w:w="100" w:type="dxa"/>
            <w:vAlign w:val="bottom"/>
          </w:tcPr>
          <w:p w14:paraId="21A7C367" w14:textId="77777777" w:rsidR="00D1587D" w:rsidRDefault="00D1587D">
            <w:pPr>
              <w:rPr>
                <w:sz w:val="4"/>
                <w:szCs w:val="4"/>
              </w:rPr>
            </w:pPr>
          </w:p>
        </w:tc>
        <w:tc>
          <w:tcPr>
            <w:tcW w:w="100" w:type="dxa"/>
            <w:vAlign w:val="bottom"/>
          </w:tcPr>
          <w:p w14:paraId="3C0012D8" w14:textId="77777777" w:rsidR="00D1587D" w:rsidRDefault="00D1587D">
            <w:pPr>
              <w:rPr>
                <w:sz w:val="4"/>
                <w:szCs w:val="4"/>
              </w:rPr>
            </w:pPr>
          </w:p>
        </w:tc>
        <w:tc>
          <w:tcPr>
            <w:tcW w:w="240" w:type="dxa"/>
            <w:vAlign w:val="bottom"/>
          </w:tcPr>
          <w:p w14:paraId="69DFCCCC" w14:textId="77777777" w:rsidR="00D1587D" w:rsidRDefault="00D1587D">
            <w:pPr>
              <w:rPr>
                <w:sz w:val="4"/>
                <w:szCs w:val="4"/>
              </w:rPr>
            </w:pPr>
          </w:p>
        </w:tc>
        <w:tc>
          <w:tcPr>
            <w:tcW w:w="20" w:type="dxa"/>
            <w:vAlign w:val="bottom"/>
          </w:tcPr>
          <w:p w14:paraId="49C09044" w14:textId="77777777" w:rsidR="00D1587D" w:rsidRDefault="00D1587D">
            <w:pPr>
              <w:rPr>
                <w:sz w:val="4"/>
                <w:szCs w:val="4"/>
              </w:rPr>
            </w:pPr>
          </w:p>
        </w:tc>
        <w:tc>
          <w:tcPr>
            <w:tcW w:w="40" w:type="dxa"/>
            <w:vAlign w:val="bottom"/>
          </w:tcPr>
          <w:p w14:paraId="7B6B5897" w14:textId="77777777" w:rsidR="00D1587D" w:rsidRDefault="00D1587D">
            <w:pPr>
              <w:rPr>
                <w:sz w:val="4"/>
                <w:szCs w:val="4"/>
              </w:rPr>
            </w:pPr>
          </w:p>
        </w:tc>
        <w:tc>
          <w:tcPr>
            <w:tcW w:w="20" w:type="dxa"/>
            <w:vAlign w:val="bottom"/>
          </w:tcPr>
          <w:p w14:paraId="60329B87" w14:textId="77777777" w:rsidR="00D1587D" w:rsidRDefault="00D1587D">
            <w:pPr>
              <w:rPr>
                <w:sz w:val="4"/>
                <w:szCs w:val="4"/>
              </w:rPr>
            </w:pPr>
          </w:p>
        </w:tc>
        <w:tc>
          <w:tcPr>
            <w:tcW w:w="60" w:type="dxa"/>
            <w:vAlign w:val="bottom"/>
          </w:tcPr>
          <w:p w14:paraId="108581DB" w14:textId="77777777" w:rsidR="00D1587D" w:rsidRDefault="00D1587D">
            <w:pPr>
              <w:rPr>
                <w:sz w:val="4"/>
                <w:szCs w:val="4"/>
              </w:rPr>
            </w:pPr>
          </w:p>
        </w:tc>
        <w:tc>
          <w:tcPr>
            <w:tcW w:w="500" w:type="dxa"/>
            <w:vAlign w:val="bottom"/>
          </w:tcPr>
          <w:p w14:paraId="6CD3730A" w14:textId="77777777" w:rsidR="00D1587D" w:rsidRDefault="00D1587D">
            <w:pPr>
              <w:rPr>
                <w:sz w:val="4"/>
                <w:szCs w:val="4"/>
              </w:rPr>
            </w:pPr>
          </w:p>
        </w:tc>
        <w:tc>
          <w:tcPr>
            <w:tcW w:w="100" w:type="dxa"/>
            <w:vAlign w:val="bottom"/>
          </w:tcPr>
          <w:p w14:paraId="06F14797" w14:textId="77777777" w:rsidR="00D1587D" w:rsidRDefault="00D1587D">
            <w:pPr>
              <w:rPr>
                <w:sz w:val="4"/>
                <w:szCs w:val="4"/>
              </w:rPr>
            </w:pPr>
          </w:p>
        </w:tc>
        <w:tc>
          <w:tcPr>
            <w:tcW w:w="320" w:type="dxa"/>
            <w:vAlign w:val="bottom"/>
          </w:tcPr>
          <w:p w14:paraId="71541031" w14:textId="77777777" w:rsidR="00D1587D" w:rsidRDefault="00D1587D">
            <w:pPr>
              <w:rPr>
                <w:sz w:val="4"/>
                <w:szCs w:val="4"/>
              </w:rPr>
            </w:pPr>
          </w:p>
        </w:tc>
        <w:tc>
          <w:tcPr>
            <w:tcW w:w="80" w:type="dxa"/>
            <w:vAlign w:val="bottom"/>
          </w:tcPr>
          <w:p w14:paraId="40FE2BAD" w14:textId="77777777" w:rsidR="00D1587D" w:rsidRDefault="00D1587D">
            <w:pPr>
              <w:rPr>
                <w:sz w:val="4"/>
                <w:szCs w:val="4"/>
              </w:rPr>
            </w:pPr>
          </w:p>
        </w:tc>
        <w:tc>
          <w:tcPr>
            <w:tcW w:w="0" w:type="dxa"/>
            <w:vAlign w:val="bottom"/>
          </w:tcPr>
          <w:p w14:paraId="71DE59B2" w14:textId="77777777" w:rsidR="00D1587D" w:rsidRDefault="00D1587D">
            <w:pPr>
              <w:rPr>
                <w:sz w:val="1"/>
                <w:szCs w:val="1"/>
              </w:rPr>
            </w:pPr>
          </w:p>
        </w:tc>
      </w:tr>
      <w:tr w:rsidR="00D1587D" w14:paraId="4E7AC98C" w14:textId="77777777">
        <w:trPr>
          <w:trHeight w:val="257"/>
        </w:trPr>
        <w:tc>
          <w:tcPr>
            <w:tcW w:w="6840" w:type="dxa"/>
            <w:shd w:val="clear" w:color="auto" w:fill="CCEEFF"/>
            <w:vAlign w:val="bottom"/>
          </w:tcPr>
          <w:p w14:paraId="50D325B4" w14:textId="77777777" w:rsidR="00D1587D" w:rsidRDefault="00410D07">
            <w:pPr>
              <w:rPr>
                <w:sz w:val="20"/>
                <w:szCs w:val="20"/>
              </w:rPr>
            </w:pPr>
            <w:r>
              <w:rPr>
                <w:rFonts w:ascii="Arial" w:eastAsia="Arial" w:hAnsi="Arial" w:cs="Arial"/>
                <w:sz w:val="18"/>
                <w:szCs w:val="18"/>
              </w:rPr>
              <w:t>Other Income (Loss)</w:t>
            </w:r>
          </w:p>
        </w:tc>
        <w:tc>
          <w:tcPr>
            <w:tcW w:w="100" w:type="dxa"/>
            <w:shd w:val="clear" w:color="auto" w:fill="CCEEFF"/>
            <w:vAlign w:val="bottom"/>
          </w:tcPr>
          <w:p w14:paraId="4F5A5769" w14:textId="77777777" w:rsidR="00D1587D" w:rsidRDefault="00D1587D"/>
        </w:tc>
        <w:tc>
          <w:tcPr>
            <w:tcW w:w="100" w:type="dxa"/>
            <w:shd w:val="clear" w:color="auto" w:fill="CCEEFF"/>
            <w:vAlign w:val="bottom"/>
          </w:tcPr>
          <w:p w14:paraId="57D83BFF" w14:textId="77777777" w:rsidR="00D1587D" w:rsidRDefault="00D1587D"/>
        </w:tc>
        <w:tc>
          <w:tcPr>
            <w:tcW w:w="880" w:type="dxa"/>
            <w:gridSpan w:val="6"/>
            <w:shd w:val="clear" w:color="auto" w:fill="CCEEFF"/>
            <w:vAlign w:val="bottom"/>
          </w:tcPr>
          <w:p w14:paraId="1D829236" w14:textId="77777777" w:rsidR="00D1587D" w:rsidRDefault="00410D07">
            <w:pPr>
              <w:ind w:right="580"/>
              <w:jc w:val="right"/>
              <w:rPr>
                <w:sz w:val="20"/>
                <w:szCs w:val="20"/>
              </w:rPr>
            </w:pPr>
            <w:r>
              <w:rPr>
                <w:rFonts w:ascii="Arial" w:eastAsia="Arial" w:hAnsi="Arial" w:cs="Arial"/>
                <w:sz w:val="18"/>
                <w:szCs w:val="18"/>
              </w:rPr>
              <w:t>—</w:t>
            </w:r>
          </w:p>
        </w:tc>
        <w:tc>
          <w:tcPr>
            <w:tcW w:w="100" w:type="dxa"/>
            <w:shd w:val="clear" w:color="auto" w:fill="CCEEFF"/>
            <w:vAlign w:val="bottom"/>
          </w:tcPr>
          <w:p w14:paraId="352FDCA9" w14:textId="77777777" w:rsidR="00D1587D" w:rsidRDefault="00D1587D"/>
        </w:tc>
        <w:tc>
          <w:tcPr>
            <w:tcW w:w="400" w:type="dxa"/>
            <w:gridSpan w:val="2"/>
            <w:shd w:val="clear" w:color="auto" w:fill="CCEEFF"/>
            <w:vAlign w:val="bottom"/>
          </w:tcPr>
          <w:p w14:paraId="08311E55" w14:textId="77777777" w:rsidR="00D1587D" w:rsidRDefault="00410D07">
            <w:pPr>
              <w:ind w:right="20"/>
              <w:jc w:val="right"/>
              <w:rPr>
                <w:sz w:val="20"/>
                <w:szCs w:val="20"/>
              </w:rPr>
            </w:pPr>
            <w:r>
              <w:rPr>
                <w:rFonts w:ascii="Arial" w:eastAsia="Arial" w:hAnsi="Arial" w:cs="Arial"/>
                <w:sz w:val="18"/>
                <w:szCs w:val="18"/>
              </w:rPr>
              <w:t>(2)</w:t>
            </w:r>
          </w:p>
        </w:tc>
        <w:tc>
          <w:tcPr>
            <w:tcW w:w="0" w:type="dxa"/>
            <w:vAlign w:val="bottom"/>
          </w:tcPr>
          <w:p w14:paraId="5F655BAC" w14:textId="77777777" w:rsidR="00D1587D" w:rsidRDefault="00D1587D">
            <w:pPr>
              <w:rPr>
                <w:sz w:val="1"/>
                <w:szCs w:val="1"/>
              </w:rPr>
            </w:pPr>
          </w:p>
        </w:tc>
      </w:tr>
      <w:tr w:rsidR="00D1587D" w14:paraId="75A4A68A" w14:textId="77777777">
        <w:trPr>
          <w:trHeight w:val="61"/>
        </w:trPr>
        <w:tc>
          <w:tcPr>
            <w:tcW w:w="6840" w:type="dxa"/>
            <w:tcBorders>
              <w:top w:val="single" w:sz="8" w:space="0" w:color="CCEEFF"/>
            </w:tcBorders>
            <w:shd w:val="clear" w:color="auto" w:fill="CCEEFF"/>
            <w:vAlign w:val="bottom"/>
          </w:tcPr>
          <w:p w14:paraId="5792E78F" w14:textId="77777777" w:rsidR="00D1587D" w:rsidRDefault="00D1587D">
            <w:pPr>
              <w:rPr>
                <w:sz w:val="5"/>
                <w:szCs w:val="5"/>
              </w:rPr>
            </w:pPr>
          </w:p>
        </w:tc>
        <w:tc>
          <w:tcPr>
            <w:tcW w:w="100" w:type="dxa"/>
            <w:tcBorders>
              <w:top w:val="single" w:sz="8" w:space="0" w:color="auto"/>
            </w:tcBorders>
            <w:shd w:val="clear" w:color="auto" w:fill="CCEEFF"/>
            <w:vAlign w:val="bottom"/>
          </w:tcPr>
          <w:p w14:paraId="39CA41C6" w14:textId="77777777" w:rsidR="00D1587D" w:rsidRDefault="00D1587D">
            <w:pPr>
              <w:rPr>
                <w:sz w:val="5"/>
                <w:szCs w:val="5"/>
              </w:rPr>
            </w:pPr>
          </w:p>
        </w:tc>
        <w:tc>
          <w:tcPr>
            <w:tcW w:w="100" w:type="dxa"/>
            <w:tcBorders>
              <w:top w:val="single" w:sz="8" w:space="0" w:color="auto"/>
            </w:tcBorders>
            <w:shd w:val="clear" w:color="auto" w:fill="CCEEFF"/>
            <w:vAlign w:val="bottom"/>
          </w:tcPr>
          <w:p w14:paraId="1F4A2731" w14:textId="77777777" w:rsidR="00D1587D" w:rsidRDefault="00D1587D">
            <w:pPr>
              <w:rPr>
                <w:sz w:val="5"/>
                <w:szCs w:val="5"/>
              </w:rPr>
            </w:pPr>
          </w:p>
        </w:tc>
        <w:tc>
          <w:tcPr>
            <w:tcW w:w="240" w:type="dxa"/>
            <w:tcBorders>
              <w:top w:val="single" w:sz="8" w:space="0" w:color="auto"/>
            </w:tcBorders>
            <w:shd w:val="clear" w:color="auto" w:fill="CCEEFF"/>
            <w:vAlign w:val="bottom"/>
          </w:tcPr>
          <w:p w14:paraId="7ACE499B" w14:textId="77777777" w:rsidR="00D1587D" w:rsidRDefault="00D1587D">
            <w:pPr>
              <w:rPr>
                <w:sz w:val="5"/>
                <w:szCs w:val="5"/>
              </w:rPr>
            </w:pPr>
          </w:p>
        </w:tc>
        <w:tc>
          <w:tcPr>
            <w:tcW w:w="20" w:type="dxa"/>
            <w:tcBorders>
              <w:top w:val="single" w:sz="8" w:space="0" w:color="auto"/>
            </w:tcBorders>
            <w:shd w:val="clear" w:color="auto" w:fill="CCEEFF"/>
            <w:vAlign w:val="bottom"/>
          </w:tcPr>
          <w:p w14:paraId="56EAB219" w14:textId="77777777" w:rsidR="00D1587D" w:rsidRDefault="00D1587D">
            <w:pPr>
              <w:rPr>
                <w:sz w:val="5"/>
                <w:szCs w:val="5"/>
              </w:rPr>
            </w:pPr>
          </w:p>
        </w:tc>
        <w:tc>
          <w:tcPr>
            <w:tcW w:w="40" w:type="dxa"/>
            <w:tcBorders>
              <w:top w:val="single" w:sz="8" w:space="0" w:color="auto"/>
            </w:tcBorders>
            <w:shd w:val="clear" w:color="auto" w:fill="CCEEFF"/>
            <w:vAlign w:val="bottom"/>
          </w:tcPr>
          <w:p w14:paraId="04BF4D6A" w14:textId="77777777" w:rsidR="00D1587D" w:rsidRDefault="00D1587D">
            <w:pPr>
              <w:rPr>
                <w:sz w:val="5"/>
                <w:szCs w:val="5"/>
              </w:rPr>
            </w:pPr>
          </w:p>
        </w:tc>
        <w:tc>
          <w:tcPr>
            <w:tcW w:w="20" w:type="dxa"/>
            <w:tcBorders>
              <w:top w:val="single" w:sz="8" w:space="0" w:color="CCEEFF"/>
            </w:tcBorders>
            <w:shd w:val="clear" w:color="auto" w:fill="CCEEFF"/>
            <w:vAlign w:val="bottom"/>
          </w:tcPr>
          <w:p w14:paraId="3A09974D" w14:textId="77777777" w:rsidR="00D1587D" w:rsidRDefault="00D1587D">
            <w:pPr>
              <w:rPr>
                <w:sz w:val="5"/>
                <w:szCs w:val="5"/>
              </w:rPr>
            </w:pPr>
          </w:p>
        </w:tc>
        <w:tc>
          <w:tcPr>
            <w:tcW w:w="60" w:type="dxa"/>
            <w:tcBorders>
              <w:top w:val="single" w:sz="8" w:space="0" w:color="CCEEFF"/>
            </w:tcBorders>
            <w:shd w:val="clear" w:color="auto" w:fill="CCEEFF"/>
            <w:vAlign w:val="bottom"/>
          </w:tcPr>
          <w:p w14:paraId="1CFE3CDE" w14:textId="77777777" w:rsidR="00D1587D" w:rsidRDefault="00D1587D">
            <w:pPr>
              <w:rPr>
                <w:sz w:val="5"/>
                <w:szCs w:val="5"/>
              </w:rPr>
            </w:pPr>
          </w:p>
        </w:tc>
        <w:tc>
          <w:tcPr>
            <w:tcW w:w="500" w:type="dxa"/>
            <w:tcBorders>
              <w:top w:val="single" w:sz="8" w:space="0" w:color="CCEEFF"/>
            </w:tcBorders>
            <w:shd w:val="clear" w:color="auto" w:fill="CCEEFF"/>
            <w:vAlign w:val="bottom"/>
          </w:tcPr>
          <w:p w14:paraId="6071C698" w14:textId="77777777" w:rsidR="00D1587D" w:rsidRDefault="00D1587D">
            <w:pPr>
              <w:rPr>
                <w:sz w:val="5"/>
                <w:szCs w:val="5"/>
              </w:rPr>
            </w:pPr>
          </w:p>
        </w:tc>
        <w:tc>
          <w:tcPr>
            <w:tcW w:w="100" w:type="dxa"/>
            <w:tcBorders>
              <w:top w:val="single" w:sz="8" w:space="0" w:color="auto"/>
            </w:tcBorders>
            <w:shd w:val="clear" w:color="auto" w:fill="CCEEFF"/>
            <w:vAlign w:val="bottom"/>
          </w:tcPr>
          <w:p w14:paraId="07DCAD08" w14:textId="77777777" w:rsidR="00D1587D" w:rsidRDefault="00D1587D">
            <w:pPr>
              <w:rPr>
                <w:sz w:val="5"/>
                <w:szCs w:val="5"/>
              </w:rPr>
            </w:pPr>
          </w:p>
        </w:tc>
        <w:tc>
          <w:tcPr>
            <w:tcW w:w="320" w:type="dxa"/>
            <w:tcBorders>
              <w:top w:val="single" w:sz="8" w:space="0" w:color="auto"/>
            </w:tcBorders>
            <w:shd w:val="clear" w:color="auto" w:fill="CCEEFF"/>
            <w:vAlign w:val="bottom"/>
          </w:tcPr>
          <w:p w14:paraId="37E6D064" w14:textId="77777777" w:rsidR="00D1587D" w:rsidRDefault="00D1587D">
            <w:pPr>
              <w:rPr>
                <w:sz w:val="5"/>
                <w:szCs w:val="5"/>
              </w:rPr>
            </w:pPr>
          </w:p>
        </w:tc>
        <w:tc>
          <w:tcPr>
            <w:tcW w:w="80" w:type="dxa"/>
            <w:tcBorders>
              <w:top w:val="single" w:sz="8" w:space="0" w:color="CCEEFF"/>
            </w:tcBorders>
            <w:shd w:val="clear" w:color="auto" w:fill="CCEEFF"/>
            <w:vAlign w:val="bottom"/>
          </w:tcPr>
          <w:p w14:paraId="2CD566EB" w14:textId="77777777" w:rsidR="00D1587D" w:rsidRDefault="00D1587D">
            <w:pPr>
              <w:rPr>
                <w:sz w:val="5"/>
                <w:szCs w:val="5"/>
              </w:rPr>
            </w:pPr>
          </w:p>
        </w:tc>
        <w:tc>
          <w:tcPr>
            <w:tcW w:w="0" w:type="dxa"/>
            <w:vAlign w:val="bottom"/>
          </w:tcPr>
          <w:p w14:paraId="11DA1001" w14:textId="77777777" w:rsidR="00D1587D" w:rsidRDefault="00D1587D">
            <w:pPr>
              <w:rPr>
                <w:sz w:val="1"/>
                <w:szCs w:val="1"/>
              </w:rPr>
            </w:pPr>
          </w:p>
        </w:tc>
      </w:tr>
      <w:tr w:rsidR="00D1587D" w14:paraId="66F28858" w14:textId="77777777">
        <w:trPr>
          <w:trHeight w:val="284"/>
        </w:trPr>
        <w:tc>
          <w:tcPr>
            <w:tcW w:w="6840" w:type="dxa"/>
            <w:vAlign w:val="bottom"/>
          </w:tcPr>
          <w:p w14:paraId="4895F478" w14:textId="77777777" w:rsidR="00D1587D" w:rsidRDefault="00410D07">
            <w:pPr>
              <w:rPr>
                <w:sz w:val="20"/>
                <w:szCs w:val="20"/>
              </w:rPr>
            </w:pPr>
            <w:r>
              <w:rPr>
                <w:rFonts w:ascii="Arial" w:eastAsia="Arial" w:hAnsi="Arial" w:cs="Arial"/>
                <w:sz w:val="18"/>
                <w:szCs w:val="18"/>
              </w:rPr>
              <w:t>Income (Loss) Before Income Taxes</w:t>
            </w:r>
          </w:p>
        </w:tc>
        <w:tc>
          <w:tcPr>
            <w:tcW w:w="100" w:type="dxa"/>
            <w:vAlign w:val="bottom"/>
          </w:tcPr>
          <w:p w14:paraId="3BD06EA5" w14:textId="77777777" w:rsidR="00D1587D" w:rsidRDefault="00D1587D">
            <w:pPr>
              <w:rPr>
                <w:sz w:val="24"/>
                <w:szCs w:val="24"/>
              </w:rPr>
            </w:pPr>
          </w:p>
        </w:tc>
        <w:tc>
          <w:tcPr>
            <w:tcW w:w="100" w:type="dxa"/>
            <w:vAlign w:val="bottom"/>
          </w:tcPr>
          <w:p w14:paraId="46317B9E" w14:textId="77777777" w:rsidR="00D1587D" w:rsidRDefault="00D1587D">
            <w:pPr>
              <w:rPr>
                <w:sz w:val="24"/>
                <w:szCs w:val="24"/>
              </w:rPr>
            </w:pPr>
          </w:p>
        </w:tc>
        <w:tc>
          <w:tcPr>
            <w:tcW w:w="300" w:type="dxa"/>
            <w:gridSpan w:val="3"/>
            <w:vAlign w:val="bottom"/>
          </w:tcPr>
          <w:p w14:paraId="736047C5" w14:textId="77777777" w:rsidR="00D1587D" w:rsidRDefault="00410D07">
            <w:pPr>
              <w:jc w:val="right"/>
              <w:rPr>
                <w:sz w:val="20"/>
                <w:szCs w:val="20"/>
              </w:rPr>
            </w:pPr>
            <w:r>
              <w:rPr>
                <w:rFonts w:ascii="Arial" w:eastAsia="Arial" w:hAnsi="Arial" w:cs="Arial"/>
                <w:w w:val="93"/>
                <w:sz w:val="18"/>
                <w:szCs w:val="18"/>
              </w:rPr>
              <w:t>225</w:t>
            </w:r>
          </w:p>
        </w:tc>
        <w:tc>
          <w:tcPr>
            <w:tcW w:w="20" w:type="dxa"/>
            <w:vAlign w:val="bottom"/>
          </w:tcPr>
          <w:p w14:paraId="4FAE3592" w14:textId="77777777" w:rsidR="00D1587D" w:rsidRDefault="00D1587D">
            <w:pPr>
              <w:rPr>
                <w:sz w:val="24"/>
                <w:szCs w:val="24"/>
              </w:rPr>
            </w:pPr>
          </w:p>
        </w:tc>
        <w:tc>
          <w:tcPr>
            <w:tcW w:w="60" w:type="dxa"/>
            <w:vAlign w:val="bottom"/>
          </w:tcPr>
          <w:p w14:paraId="6949F62E" w14:textId="77777777" w:rsidR="00D1587D" w:rsidRDefault="00D1587D">
            <w:pPr>
              <w:rPr>
                <w:sz w:val="24"/>
                <w:szCs w:val="24"/>
              </w:rPr>
            </w:pPr>
          </w:p>
        </w:tc>
        <w:tc>
          <w:tcPr>
            <w:tcW w:w="500" w:type="dxa"/>
            <w:vAlign w:val="bottom"/>
          </w:tcPr>
          <w:p w14:paraId="5576423D" w14:textId="77777777" w:rsidR="00D1587D" w:rsidRDefault="00D1587D">
            <w:pPr>
              <w:rPr>
                <w:sz w:val="24"/>
                <w:szCs w:val="24"/>
              </w:rPr>
            </w:pPr>
          </w:p>
        </w:tc>
        <w:tc>
          <w:tcPr>
            <w:tcW w:w="500" w:type="dxa"/>
            <w:gridSpan w:val="3"/>
            <w:vAlign w:val="bottom"/>
          </w:tcPr>
          <w:p w14:paraId="34D7FDD8" w14:textId="77777777" w:rsidR="00D1587D" w:rsidRDefault="00410D07">
            <w:pPr>
              <w:ind w:right="20"/>
              <w:jc w:val="right"/>
              <w:rPr>
                <w:sz w:val="20"/>
                <w:szCs w:val="20"/>
              </w:rPr>
            </w:pPr>
            <w:r>
              <w:rPr>
                <w:rFonts w:ascii="Arial" w:eastAsia="Arial" w:hAnsi="Arial" w:cs="Arial"/>
                <w:sz w:val="18"/>
                <w:szCs w:val="18"/>
              </w:rPr>
              <w:t>(377)</w:t>
            </w:r>
          </w:p>
        </w:tc>
        <w:tc>
          <w:tcPr>
            <w:tcW w:w="0" w:type="dxa"/>
            <w:vAlign w:val="bottom"/>
          </w:tcPr>
          <w:p w14:paraId="5D321F95" w14:textId="77777777" w:rsidR="00D1587D" w:rsidRDefault="00D1587D">
            <w:pPr>
              <w:rPr>
                <w:sz w:val="1"/>
                <w:szCs w:val="1"/>
              </w:rPr>
            </w:pPr>
          </w:p>
        </w:tc>
      </w:tr>
      <w:tr w:rsidR="00D1587D" w14:paraId="4EE3B512" w14:textId="77777777">
        <w:trPr>
          <w:trHeight w:val="54"/>
        </w:trPr>
        <w:tc>
          <w:tcPr>
            <w:tcW w:w="6840" w:type="dxa"/>
            <w:vAlign w:val="bottom"/>
          </w:tcPr>
          <w:p w14:paraId="0165836C" w14:textId="77777777" w:rsidR="00D1587D" w:rsidRDefault="00D1587D">
            <w:pPr>
              <w:rPr>
                <w:sz w:val="4"/>
                <w:szCs w:val="4"/>
              </w:rPr>
            </w:pPr>
          </w:p>
        </w:tc>
        <w:tc>
          <w:tcPr>
            <w:tcW w:w="100" w:type="dxa"/>
            <w:vAlign w:val="bottom"/>
          </w:tcPr>
          <w:p w14:paraId="2E6F657B" w14:textId="77777777" w:rsidR="00D1587D" w:rsidRDefault="00D1587D">
            <w:pPr>
              <w:rPr>
                <w:sz w:val="4"/>
                <w:szCs w:val="4"/>
              </w:rPr>
            </w:pPr>
          </w:p>
        </w:tc>
        <w:tc>
          <w:tcPr>
            <w:tcW w:w="100" w:type="dxa"/>
            <w:vAlign w:val="bottom"/>
          </w:tcPr>
          <w:p w14:paraId="0294EFB6" w14:textId="77777777" w:rsidR="00D1587D" w:rsidRDefault="00D1587D">
            <w:pPr>
              <w:rPr>
                <w:sz w:val="4"/>
                <w:szCs w:val="4"/>
              </w:rPr>
            </w:pPr>
          </w:p>
        </w:tc>
        <w:tc>
          <w:tcPr>
            <w:tcW w:w="240" w:type="dxa"/>
            <w:vAlign w:val="bottom"/>
          </w:tcPr>
          <w:p w14:paraId="26BCD7CC" w14:textId="77777777" w:rsidR="00D1587D" w:rsidRDefault="00D1587D">
            <w:pPr>
              <w:rPr>
                <w:sz w:val="4"/>
                <w:szCs w:val="4"/>
              </w:rPr>
            </w:pPr>
          </w:p>
        </w:tc>
        <w:tc>
          <w:tcPr>
            <w:tcW w:w="20" w:type="dxa"/>
            <w:vAlign w:val="bottom"/>
          </w:tcPr>
          <w:p w14:paraId="35AF718F" w14:textId="77777777" w:rsidR="00D1587D" w:rsidRDefault="00D1587D">
            <w:pPr>
              <w:rPr>
                <w:sz w:val="4"/>
                <w:szCs w:val="4"/>
              </w:rPr>
            </w:pPr>
          </w:p>
        </w:tc>
        <w:tc>
          <w:tcPr>
            <w:tcW w:w="40" w:type="dxa"/>
            <w:vAlign w:val="bottom"/>
          </w:tcPr>
          <w:p w14:paraId="26A455E0" w14:textId="77777777" w:rsidR="00D1587D" w:rsidRDefault="00D1587D">
            <w:pPr>
              <w:rPr>
                <w:sz w:val="4"/>
                <w:szCs w:val="4"/>
              </w:rPr>
            </w:pPr>
          </w:p>
        </w:tc>
        <w:tc>
          <w:tcPr>
            <w:tcW w:w="20" w:type="dxa"/>
            <w:vAlign w:val="bottom"/>
          </w:tcPr>
          <w:p w14:paraId="097F4925" w14:textId="77777777" w:rsidR="00D1587D" w:rsidRDefault="00D1587D">
            <w:pPr>
              <w:rPr>
                <w:sz w:val="4"/>
                <w:szCs w:val="4"/>
              </w:rPr>
            </w:pPr>
          </w:p>
        </w:tc>
        <w:tc>
          <w:tcPr>
            <w:tcW w:w="60" w:type="dxa"/>
            <w:vAlign w:val="bottom"/>
          </w:tcPr>
          <w:p w14:paraId="7325D0F4" w14:textId="77777777" w:rsidR="00D1587D" w:rsidRDefault="00D1587D">
            <w:pPr>
              <w:rPr>
                <w:sz w:val="4"/>
                <w:szCs w:val="4"/>
              </w:rPr>
            </w:pPr>
          </w:p>
        </w:tc>
        <w:tc>
          <w:tcPr>
            <w:tcW w:w="500" w:type="dxa"/>
            <w:vAlign w:val="bottom"/>
          </w:tcPr>
          <w:p w14:paraId="0CCE098B" w14:textId="77777777" w:rsidR="00D1587D" w:rsidRDefault="00D1587D">
            <w:pPr>
              <w:rPr>
                <w:sz w:val="4"/>
                <w:szCs w:val="4"/>
              </w:rPr>
            </w:pPr>
          </w:p>
        </w:tc>
        <w:tc>
          <w:tcPr>
            <w:tcW w:w="100" w:type="dxa"/>
            <w:vAlign w:val="bottom"/>
          </w:tcPr>
          <w:p w14:paraId="5750D85C" w14:textId="77777777" w:rsidR="00D1587D" w:rsidRDefault="00D1587D">
            <w:pPr>
              <w:rPr>
                <w:sz w:val="4"/>
                <w:szCs w:val="4"/>
              </w:rPr>
            </w:pPr>
          </w:p>
        </w:tc>
        <w:tc>
          <w:tcPr>
            <w:tcW w:w="320" w:type="dxa"/>
            <w:vAlign w:val="bottom"/>
          </w:tcPr>
          <w:p w14:paraId="53892A78" w14:textId="77777777" w:rsidR="00D1587D" w:rsidRDefault="00D1587D">
            <w:pPr>
              <w:rPr>
                <w:sz w:val="4"/>
                <w:szCs w:val="4"/>
              </w:rPr>
            </w:pPr>
          </w:p>
        </w:tc>
        <w:tc>
          <w:tcPr>
            <w:tcW w:w="80" w:type="dxa"/>
            <w:vAlign w:val="bottom"/>
          </w:tcPr>
          <w:p w14:paraId="502F30C2" w14:textId="77777777" w:rsidR="00D1587D" w:rsidRDefault="00D1587D">
            <w:pPr>
              <w:rPr>
                <w:sz w:val="4"/>
                <w:szCs w:val="4"/>
              </w:rPr>
            </w:pPr>
          </w:p>
        </w:tc>
        <w:tc>
          <w:tcPr>
            <w:tcW w:w="0" w:type="dxa"/>
            <w:vAlign w:val="bottom"/>
          </w:tcPr>
          <w:p w14:paraId="3D6E6349" w14:textId="77777777" w:rsidR="00D1587D" w:rsidRDefault="00D1587D">
            <w:pPr>
              <w:rPr>
                <w:sz w:val="1"/>
                <w:szCs w:val="1"/>
              </w:rPr>
            </w:pPr>
          </w:p>
        </w:tc>
      </w:tr>
      <w:tr w:rsidR="00D1587D" w14:paraId="1BFA0B61" w14:textId="77777777">
        <w:trPr>
          <w:trHeight w:val="257"/>
        </w:trPr>
        <w:tc>
          <w:tcPr>
            <w:tcW w:w="6840" w:type="dxa"/>
            <w:shd w:val="clear" w:color="auto" w:fill="CCEEFF"/>
            <w:vAlign w:val="bottom"/>
          </w:tcPr>
          <w:p w14:paraId="10A64D4E" w14:textId="77777777" w:rsidR="00D1587D" w:rsidRDefault="00410D07">
            <w:pPr>
              <w:rPr>
                <w:sz w:val="20"/>
                <w:szCs w:val="20"/>
              </w:rPr>
            </w:pPr>
            <w:r>
              <w:rPr>
                <w:rFonts w:ascii="Arial" w:eastAsia="Arial" w:hAnsi="Arial" w:cs="Arial"/>
                <w:sz w:val="18"/>
                <w:szCs w:val="18"/>
              </w:rPr>
              <w:t>Provision (Benefit) for Income Taxes</w:t>
            </w:r>
          </w:p>
        </w:tc>
        <w:tc>
          <w:tcPr>
            <w:tcW w:w="100" w:type="dxa"/>
            <w:shd w:val="clear" w:color="auto" w:fill="CCEEFF"/>
            <w:vAlign w:val="bottom"/>
          </w:tcPr>
          <w:p w14:paraId="56F0740A" w14:textId="77777777" w:rsidR="00D1587D" w:rsidRDefault="00D1587D"/>
        </w:tc>
        <w:tc>
          <w:tcPr>
            <w:tcW w:w="100" w:type="dxa"/>
            <w:shd w:val="clear" w:color="auto" w:fill="CCEEFF"/>
            <w:vAlign w:val="bottom"/>
          </w:tcPr>
          <w:p w14:paraId="61A08124" w14:textId="77777777" w:rsidR="00D1587D" w:rsidRDefault="00D1587D"/>
        </w:tc>
        <w:tc>
          <w:tcPr>
            <w:tcW w:w="300" w:type="dxa"/>
            <w:gridSpan w:val="3"/>
            <w:shd w:val="clear" w:color="auto" w:fill="CCEEFF"/>
            <w:vAlign w:val="bottom"/>
          </w:tcPr>
          <w:p w14:paraId="6587364A" w14:textId="77777777" w:rsidR="00D1587D" w:rsidRDefault="00410D07">
            <w:pPr>
              <w:jc w:val="right"/>
              <w:rPr>
                <w:sz w:val="20"/>
                <w:szCs w:val="20"/>
              </w:rPr>
            </w:pPr>
            <w:r>
              <w:rPr>
                <w:rFonts w:ascii="Arial" w:eastAsia="Arial" w:hAnsi="Arial" w:cs="Arial"/>
                <w:sz w:val="18"/>
                <w:szCs w:val="18"/>
              </w:rPr>
              <w:t>51</w:t>
            </w:r>
          </w:p>
        </w:tc>
        <w:tc>
          <w:tcPr>
            <w:tcW w:w="20" w:type="dxa"/>
            <w:shd w:val="clear" w:color="auto" w:fill="CCEEFF"/>
            <w:vAlign w:val="bottom"/>
          </w:tcPr>
          <w:p w14:paraId="0F3AAA86" w14:textId="77777777" w:rsidR="00D1587D" w:rsidRDefault="00D1587D"/>
        </w:tc>
        <w:tc>
          <w:tcPr>
            <w:tcW w:w="60" w:type="dxa"/>
            <w:shd w:val="clear" w:color="auto" w:fill="CCEEFF"/>
            <w:vAlign w:val="bottom"/>
          </w:tcPr>
          <w:p w14:paraId="58AC90E6" w14:textId="77777777" w:rsidR="00D1587D" w:rsidRDefault="00D1587D"/>
        </w:tc>
        <w:tc>
          <w:tcPr>
            <w:tcW w:w="500" w:type="dxa"/>
            <w:shd w:val="clear" w:color="auto" w:fill="CCEEFF"/>
            <w:vAlign w:val="bottom"/>
          </w:tcPr>
          <w:p w14:paraId="6F3FA690" w14:textId="77777777" w:rsidR="00D1587D" w:rsidRDefault="00D1587D"/>
        </w:tc>
        <w:tc>
          <w:tcPr>
            <w:tcW w:w="100" w:type="dxa"/>
            <w:shd w:val="clear" w:color="auto" w:fill="CCEEFF"/>
            <w:vAlign w:val="bottom"/>
          </w:tcPr>
          <w:p w14:paraId="77E5C870" w14:textId="77777777" w:rsidR="00D1587D" w:rsidRDefault="00D1587D"/>
        </w:tc>
        <w:tc>
          <w:tcPr>
            <w:tcW w:w="400" w:type="dxa"/>
            <w:gridSpan w:val="2"/>
            <w:shd w:val="clear" w:color="auto" w:fill="CCEEFF"/>
            <w:vAlign w:val="bottom"/>
          </w:tcPr>
          <w:p w14:paraId="454760B5" w14:textId="77777777" w:rsidR="00D1587D" w:rsidRDefault="00410D07">
            <w:pPr>
              <w:ind w:right="20"/>
              <w:jc w:val="right"/>
              <w:rPr>
                <w:sz w:val="20"/>
                <w:szCs w:val="20"/>
              </w:rPr>
            </w:pPr>
            <w:r>
              <w:rPr>
                <w:rFonts w:ascii="Arial" w:eastAsia="Arial" w:hAnsi="Arial" w:cs="Arial"/>
                <w:sz w:val="18"/>
                <w:szCs w:val="18"/>
              </w:rPr>
              <w:t>(78)</w:t>
            </w:r>
          </w:p>
        </w:tc>
        <w:tc>
          <w:tcPr>
            <w:tcW w:w="0" w:type="dxa"/>
            <w:vAlign w:val="bottom"/>
          </w:tcPr>
          <w:p w14:paraId="5E55C882" w14:textId="77777777" w:rsidR="00D1587D" w:rsidRDefault="00D1587D">
            <w:pPr>
              <w:rPr>
                <w:sz w:val="1"/>
                <w:szCs w:val="1"/>
              </w:rPr>
            </w:pPr>
          </w:p>
        </w:tc>
      </w:tr>
      <w:tr w:rsidR="00D1587D" w14:paraId="0F7B1E81" w14:textId="77777777">
        <w:trPr>
          <w:trHeight w:val="61"/>
        </w:trPr>
        <w:tc>
          <w:tcPr>
            <w:tcW w:w="6840" w:type="dxa"/>
            <w:tcBorders>
              <w:top w:val="single" w:sz="8" w:space="0" w:color="CCEEFF"/>
            </w:tcBorders>
            <w:shd w:val="clear" w:color="auto" w:fill="CCEEFF"/>
            <w:vAlign w:val="bottom"/>
          </w:tcPr>
          <w:p w14:paraId="62934E25" w14:textId="77777777" w:rsidR="00D1587D" w:rsidRDefault="00D1587D">
            <w:pPr>
              <w:rPr>
                <w:sz w:val="5"/>
                <w:szCs w:val="5"/>
              </w:rPr>
            </w:pPr>
          </w:p>
        </w:tc>
        <w:tc>
          <w:tcPr>
            <w:tcW w:w="100" w:type="dxa"/>
            <w:tcBorders>
              <w:top w:val="single" w:sz="8" w:space="0" w:color="auto"/>
            </w:tcBorders>
            <w:shd w:val="clear" w:color="auto" w:fill="CCEEFF"/>
            <w:vAlign w:val="bottom"/>
          </w:tcPr>
          <w:p w14:paraId="4829CD57" w14:textId="77777777" w:rsidR="00D1587D" w:rsidRDefault="00D1587D">
            <w:pPr>
              <w:rPr>
                <w:sz w:val="5"/>
                <w:szCs w:val="5"/>
              </w:rPr>
            </w:pPr>
          </w:p>
        </w:tc>
        <w:tc>
          <w:tcPr>
            <w:tcW w:w="100" w:type="dxa"/>
            <w:tcBorders>
              <w:top w:val="single" w:sz="8" w:space="0" w:color="auto"/>
            </w:tcBorders>
            <w:shd w:val="clear" w:color="auto" w:fill="CCEEFF"/>
            <w:vAlign w:val="bottom"/>
          </w:tcPr>
          <w:p w14:paraId="06B74BAA" w14:textId="77777777" w:rsidR="00D1587D" w:rsidRDefault="00D1587D">
            <w:pPr>
              <w:rPr>
                <w:sz w:val="5"/>
                <w:szCs w:val="5"/>
              </w:rPr>
            </w:pPr>
          </w:p>
        </w:tc>
        <w:tc>
          <w:tcPr>
            <w:tcW w:w="240" w:type="dxa"/>
            <w:tcBorders>
              <w:top w:val="single" w:sz="8" w:space="0" w:color="auto"/>
            </w:tcBorders>
            <w:shd w:val="clear" w:color="auto" w:fill="CCEEFF"/>
            <w:vAlign w:val="bottom"/>
          </w:tcPr>
          <w:p w14:paraId="40DE700E" w14:textId="77777777" w:rsidR="00D1587D" w:rsidRDefault="00D1587D">
            <w:pPr>
              <w:rPr>
                <w:sz w:val="5"/>
                <w:szCs w:val="5"/>
              </w:rPr>
            </w:pPr>
          </w:p>
        </w:tc>
        <w:tc>
          <w:tcPr>
            <w:tcW w:w="20" w:type="dxa"/>
            <w:tcBorders>
              <w:top w:val="single" w:sz="8" w:space="0" w:color="auto"/>
            </w:tcBorders>
            <w:shd w:val="clear" w:color="auto" w:fill="CCEEFF"/>
            <w:vAlign w:val="bottom"/>
          </w:tcPr>
          <w:p w14:paraId="307DA4E0" w14:textId="77777777" w:rsidR="00D1587D" w:rsidRDefault="00D1587D">
            <w:pPr>
              <w:rPr>
                <w:sz w:val="5"/>
                <w:szCs w:val="5"/>
              </w:rPr>
            </w:pPr>
          </w:p>
        </w:tc>
        <w:tc>
          <w:tcPr>
            <w:tcW w:w="40" w:type="dxa"/>
            <w:tcBorders>
              <w:top w:val="single" w:sz="8" w:space="0" w:color="auto"/>
            </w:tcBorders>
            <w:shd w:val="clear" w:color="auto" w:fill="CCEEFF"/>
            <w:vAlign w:val="bottom"/>
          </w:tcPr>
          <w:p w14:paraId="5F2AEC68" w14:textId="77777777" w:rsidR="00D1587D" w:rsidRDefault="00D1587D">
            <w:pPr>
              <w:rPr>
                <w:sz w:val="5"/>
                <w:szCs w:val="5"/>
              </w:rPr>
            </w:pPr>
          </w:p>
        </w:tc>
        <w:tc>
          <w:tcPr>
            <w:tcW w:w="20" w:type="dxa"/>
            <w:tcBorders>
              <w:top w:val="single" w:sz="8" w:space="0" w:color="CCEEFF"/>
            </w:tcBorders>
            <w:shd w:val="clear" w:color="auto" w:fill="CCEEFF"/>
            <w:vAlign w:val="bottom"/>
          </w:tcPr>
          <w:p w14:paraId="0CBC331E" w14:textId="77777777" w:rsidR="00D1587D" w:rsidRDefault="00D1587D">
            <w:pPr>
              <w:rPr>
                <w:sz w:val="5"/>
                <w:szCs w:val="5"/>
              </w:rPr>
            </w:pPr>
          </w:p>
        </w:tc>
        <w:tc>
          <w:tcPr>
            <w:tcW w:w="60" w:type="dxa"/>
            <w:tcBorders>
              <w:top w:val="single" w:sz="8" w:space="0" w:color="CCEEFF"/>
            </w:tcBorders>
            <w:shd w:val="clear" w:color="auto" w:fill="CCEEFF"/>
            <w:vAlign w:val="bottom"/>
          </w:tcPr>
          <w:p w14:paraId="2B01B781" w14:textId="77777777" w:rsidR="00D1587D" w:rsidRDefault="00D1587D">
            <w:pPr>
              <w:rPr>
                <w:sz w:val="5"/>
                <w:szCs w:val="5"/>
              </w:rPr>
            </w:pPr>
          </w:p>
        </w:tc>
        <w:tc>
          <w:tcPr>
            <w:tcW w:w="500" w:type="dxa"/>
            <w:tcBorders>
              <w:top w:val="single" w:sz="8" w:space="0" w:color="CCEEFF"/>
            </w:tcBorders>
            <w:shd w:val="clear" w:color="auto" w:fill="CCEEFF"/>
            <w:vAlign w:val="bottom"/>
          </w:tcPr>
          <w:p w14:paraId="7BE98CC7" w14:textId="77777777" w:rsidR="00D1587D" w:rsidRDefault="00D1587D">
            <w:pPr>
              <w:rPr>
                <w:sz w:val="5"/>
                <w:szCs w:val="5"/>
              </w:rPr>
            </w:pPr>
          </w:p>
        </w:tc>
        <w:tc>
          <w:tcPr>
            <w:tcW w:w="100" w:type="dxa"/>
            <w:tcBorders>
              <w:top w:val="single" w:sz="8" w:space="0" w:color="auto"/>
            </w:tcBorders>
            <w:shd w:val="clear" w:color="auto" w:fill="CCEEFF"/>
            <w:vAlign w:val="bottom"/>
          </w:tcPr>
          <w:p w14:paraId="49CAA1FB" w14:textId="77777777" w:rsidR="00D1587D" w:rsidRDefault="00D1587D">
            <w:pPr>
              <w:rPr>
                <w:sz w:val="5"/>
                <w:szCs w:val="5"/>
              </w:rPr>
            </w:pPr>
          </w:p>
        </w:tc>
        <w:tc>
          <w:tcPr>
            <w:tcW w:w="320" w:type="dxa"/>
            <w:tcBorders>
              <w:top w:val="single" w:sz="8" w:space="0" w:color="auto"/>
            </w:tcBorders>
            <w:shd w:val="clear" w:color="auto" w:fill="CCEEFF"/>
            <w:vAlign w:val="bottom"/>
          </w:tcPr>
          <w:p w14:paraId="7DB50567" w14:textId="77777777" w:rsidR="00D1587D" w:rsidRDefault="00D1587D">
            <w:pPr>
              <w:rPr>
                <w:sz w:val="5"/>
                <w:szCs w:val="5"/>
              </w:rPr>
            </w:pPr>
          </w:p>
        </w:tc>
        <w:tc>
          <w:tcPr>
            <w:tcW w:w="80" w:type="dxa"/>
            <w:tcBorders>
              <w:top w:val="single" w:sz="8" w:space="0" w:color="CCEEFF"/>
            </w:tcBorders>
            <w:shd w:val="clear" w:color="auto" w:fill="CCEEFF"/>
            <w:vAlign w:val="bottom"/>
          </w:tcPr>
          <w:p w14:paraId="249D3DDA" w14:textId="77777777" w:rsidR="00D1587D" w:rsidRDefault="00D1587D">
            <w:pPr>
              <w:rPr>
                <w:sz w:val="5"/>
                <w:szCs w:val="5"/>
              </w:rPr>
            </w:pPr>
          </w:p>
        </w:tc>
        <w:tc>
          <w:tcPr>
            <w:tcW w:w="0" w:type="dxa"/>
            <w:vAlign w:val="bottom"/>
          </w:tcPr>
          <w:p w14:paraId="3F5A8A5E" w14:textId="77777777" w:rsidR="00D1587D" w:rsidRDefault="00D1587D">
            <w:pPr>
              <w:rPr>
                <w:sz w:val="1"/>
                <w:szCs w:val="1"/>
              </w:rPr>
            </w:pPr>
          </w:p>
        </w:tc>
      </w:tr>
      <w:tr w:rsidR="00D1587D" w14:paraId="7F13A1CB" w14:textId="77777777">
        <w:trPr>
          <w:trHeight w:val="270"/>
        </w:trPr>
        <w:tc>
          <w:tcPr>
            <w:tcW w:w="6840" w:type="dxa"/>
            <w:vAlign w:val="bottom"/>
          </w:tcPr>
          <w:p w14:paraId="014DF2FD" w14:textId="77777777" w:rsidR="00D1587D" w:rsidRDefault="00410D07">
            <w:pPr>
              <w:rPr>
                <w:sz w:val="20"/>
                <w:szCs w:val="20"/>
              </w:rPr>
            </w:pPr>
            <w:r>
              <w:rPr>
                <w:rFonts w:ascii="Arial" w:eastAsia="Arial" w:hAnsi="Arial" w:cs="Arial"/>
                <w:sz w:val="18"/>
                <w:szCs w:val="18"/>
              </w:rPr>
              <w:t>Net Income (Loss)</w:t>
            </w:r>
          </w:p>
        </w:tc>
        <w:tc>
          <w:tcPr>
            <w:tcW w:w="200" w:type="dxa"/>
            <w:gridSpan w:val="2"/>
            <w:vAlign w:val="bottom"/>
          </w:tcPr>
          <w:p w14:paraId="266F8943" w14:textId="77777777" w:rsidR="00D1587D" w:rsidRDefault="00410D07">
            <w:pPr>
              <w:ind w:right="100"/>
              <w:jc w:val="right"/>
              <w:rPr>
                <w:sz w:val="20"/>
                <w:szCs w:val="20"/>
              </w:rPr>
            </w:pPr>
            <w:r>
              <w:rPr>
                <w:rFonts w:ascii="Arial" w:eastAsia="Arial" w:hAnsi="Arial" w:cs="Arial"/>
                <w:w w:val="79"/>
                <w:sz w:val="18"/>
                <w:szCs w:val="18"/>
              </w:rPr>
              <w:t>$</w:t>
            </w:r>
          </w:p>
        </w:tc>
        <w:tc>
          <w:tcPr>
            <w:tcW w:w="300" w:type="dxa"/>
            <w:gridSpan w:val="3"/>
            <w:vAlign w:val="bottom"/>
          </w:tcPr>
          <w:p w14:paraId="1FF18F68" w14:textId="77777777" w:rsidR="00D1587D" w:rsidRDefault="00410D07">
            <w:pPr>
              <w:jc w:val="right"/>
              <w:rPr>
                <w:sz w:val="20"/>
                <w:szCs w:val="20"/>
              </w:rPr>
            </w:pPr>
            <w:r>
              <w:rPr>
                <w:rFonts w:ascii="Arial" w:eastAsia="Arial" w:hAnsi="Arial" w:cs="Arial"/>
                <w:w w:val="93"/>
                <w:sz w:val="18"/>
                <w:szCs w:val="18"/>
              </w:rPr>
              <w:t>174</w:t>
            </w:r>
          </w:p>
        </w:tc>
        <w:tc>
          <w:tcPr>
            <w:tcW w:w="20" w:type="dxa"/>
            <w:vAlign w:val="bottom"/>
          </w:tcPr>
          <w:p w14:paraId="11175360" w14:textId="77777777" w:rsidR="00D1587D" w:rsidRDefault="00D1587D">
            <w:pPr>
              <w:rPr>
                <w:sz w:val="23"/>
                <w:szCs w:val="23"/>
              </w:rPr>
            </w:pPr>
          </w:p>
        </w:tc>
        <w:tc>
          <w:tcPr>
            <w:tcW w:w="60" w:type="dxa"/>
            <w:vAlign w:val="bottom"/>
          </w:tcPr>
          <w:p w14:paraId="46E649C0" w14:textId="77777777" w:rsidR="00D1587D" w:rsidRDefault="00D1587D">
            <w:pPr>
              <w:rPr>
                <w:sz w:val="23"/>
                <w:szCs w:val="23"/>
              </w:rPr>
            </w:pPr>
          </w:p>
        </w:tc>
        <w:tc>
          <w:tcPr>
            <w:tcW w:w="500" w:type="dxa"/>
            <w:vAlign w:val="bottom"/>
          </w:tcPr>
          <w:p w14:paraId="0BA831F8" w14:textId="77777777" w:rsidR="00D1587D" w:rsidRDefault="00D1587D">
            <w:pPr>
              <w:rPr>
                <w:sz w:val="23"/>
                <w:szCs w:val="23"/>
              </w:rPr>
            </w:pPr>
          </w:p>
        </w:tc>
        <w:tc>
          <w:tcPr>
            <w:tcW w:w="500" w:type="dxa"/>
            <w:gridSpan w:val="3"/>
            <w:vAlign w:val="bottom"/>
          </w:tcPr>
          <w:p w14:paraId="4E919F68" w14:textId="77777777" w:rsidR="00D1587D" w:rsidRDefault="00410D07">
            <w:pPr>
              <w:ind w:right="20"/>
              <w:jc w:val="right"/>
              <w:rPr>
                <w:sz w:val="20"/>
                <w:szCs w:val="20"/>
              </w:rPr>
            </w:pPr>
            <w:r>
              <w:rPr>
                <w:rFonts w:ascii="Arial" w:eastAsia="Arial" w:hAnsi="Arial" w:cs="Arial"/>
                <w:w w:val="88"/>
                <w:sz w:val="18"/>
                <w:szCs w:val="18"/>
                <w:u w:val="single"/>
              </w:rPr>
              <w:t>$</w:t>
            </w:r>
            <w:r>
              <w:rPr>
                <w:rFonts w:ascii="Arial" w:eastAsia="Arial" w:hAnsi="Arial" w:cs="Arial"/>
                <w:w w:val="88"/>
                <w:sz w:val="18"/>
                <w:szCs w:val="18"/>
              </w:rPr>
              <w:t>(299)</w:t>
            </w:r>
          </w:p>
        </w:tc>
        <w:tc>
          <w:tcPr>
            <w:tcW w:w="0" w:type="dxa"/>
            <w:vAlign w:val="bottom"/>
          </w:tcPr>
          <w:p w14:paraId="439D27FB" w14:textId="77777777" w:rsidR="00D1587D" w:rsidRDefault="00D1587D">
            <w:pPr>
              <w:rPr>
                <w:sz w:val="1"/>
                <w:szCs w:val="1"/>
              </w:rPr>
            </w:pPr>
          </w:p>
        </w:tc>
      </w:tr>
      <w:tr w:rsidR="00D1587D" w14:paraId="3F377DD1" w14:textId="77777777">
        <w:trPr>
          <w:trHeight w:val="21"/>
        </w:trPr>
        <w:tc>
          <w:tcPr>
            <w:tcW w:w="6840" w:type="dxa"/>
            <w:vMerge w:val="restart"/>
            <w:vAlign w:val="bottom"/>
          </w:tcPr>
          <w:p w14:paraId="2F32F23E" w14:textId="77777777" w:rsidR="00D1587D" w:rsidRDefault="00410D07">
            <w:pPr>
              <w:ind w:left="1490"/>
              <w:jc w:val="center"/>
              <w:rPr>
                <w:sz w:val="20"/>
                <w:szCs w:val="20"/>
              </w:rPr>
            </w:pPr>
            <w:r>
              <w:rPr>
                <w:rFonts w:ascii="Arial" w:eastAsia="Arial" w:hAnsi="Arial" w:cs="Arial"/>
                <w:b/>
                <w:bCs/>
                <w:w w:val="98"/>
                <w:sz w:val="18"/>
                <w:szCs w:val="18"/>
              </w:rPr>
              <w:t xml:space="preserve">VICTORIA’S SECRET </w:t>
            </w:r>
            <w:r>
              <w:rPr>
                <w:rFonts w:ascii="Arial" w:eastAsia="Arial" w:hAnsi="Arial" w:cs="Arial"/>
                <w:b/>
                <w:bCs/>
                <w:w w:val="98"/>
                <w:sz w:val="18"/>
                <w:szCs w:val="18"/>
              </w:rPr>
              <w:t>BUSINESS OF L BRANDS, INC.</w:t>
            </w:r>
          </w:p>
        </w:tc>
        <w:tc>
          <w:tcPr>
            <w:tcW w:w="100" w:type="dxa"/>
            <w:tcBorders>
              <w:top w:val="single" w:sz="8" w:space="0" w:color="auto"/>
              <w:bottom w:val="single" w:sz="8" w:space="0" w:color="auto"/>
            </w:tcBorders>
            <w:vAlign w:val="bottom"/>
          </w:tcPr>
          <w:p w14:paraId="5083F3FD" w14:textId="77777777" w:rsidR="00D1587D" w:rsidRDefault="00D1587D">
            <w:pPr>
              <w:spacing w:line="20" w:lineRule="exact"/>
              <w:rPr>
                <w:sz w:val="1"/>
                <w:szCs w:val="1"/>
              </w:rPr>
            </w:pPr>
          </w:p>
        </w:tc>
        <w:tc>
          <w:tcPr>
            <w:tcW w:w="100" w:type="dxa"/>
            <w:tcBorders>
              <w:top w:val="single" w:sz="8" w:space="0" w:color="auto"/>
              <w:bottom w:val="single" w:sz="8" w:space="0" w:color="auto"/>
            </w:tcBorders>
            <w:vAlign w:val="bottom"/>
          </w:tcPr>
          <w:p w14:paraId="713404FA" w14:textId="77777777" w:rsidR="00D1587D" w:rsidRDefault="00D1587D">
            <w:pPr>
              <w:spacing w:line="20" w:lineRule="exact"/>
              <w:rPr>
                <w:sz w:val="1"/>
                <w:szCs w:val="1"/>
              </w:rPr>
            </w:pPr>
          </w:p>
        </w:tc>
        <w:tc>
          <w:tcPr>
            <w:tcW w:w="240" w:type="dxa"/>
            <w:tcBorders>
              <w:top w:val="single" w:sz="8" w:space="0" w:color="auto"/>
              <w:bottom w:val="single" w:sz="8" w:space="0" w:color="auto"/>
            </w:tcBorders>
            <w:vAlign w:val="bottom"/>
          </w:tcPr>
          <w:p w14:paraId="73AFE361" w14:textId="77777777" w:rsidR="00D1587D" w:rsidRDefault="00D1587D">
            <w:pPr>
              <w:spacing w:line="20" w:lineRule="exact"/>
              <w:rPr>
                <w:sz w:val="1"/>
                <w:szCs w:val="1"/>
              </w:rPr>
            </w:pPr>
          </w:p>
        </w:tc>
        <w:tc>
          <w:tcPr>
            <w:tcW w:w="20" w:type="dxa"/>
            <w:tcBorders>
              <w:top w:val="single" w:sz="8" w:space="0" w:color="auto"/>
              <w:bottom w:val="single" w:sz="8" w:space="0" w:color="auto"/>
            </w:tcBorders>
            <w:vAlign w:val="bottom"/>
          </w:tcPr>
          <w:p w14:paraId="3DB2E41E" w14:textId="77777777" w:rsidR="00D1587D" w:rsidRDefault="00D1587D">
            <w:pPr>
              <w:spacing w:line="20" w:lineRule="exact"/>
              <w:rPr>
                <w:sz w:val="1"/>
                <w:szCs w:val="1"/>
              </w:rPr>
            </w:pPr>
          </w:p>
        </w:tc>
        <w:tc>
          <w:tcPr>
            <w:tcW w:w="40" w:type="dxa"/>
            <w:tcBorders>
              <w:top w:val="single" w:sz="8" w:space="0" w:color="auto"/>
              <w:bottom w:val="single" w:sz="8" w:space="0" w:color="auto"/>
            </w:tcBorders>
            <w:vAlign w:val="bottom"/>
          </w:tcPr>
          <w:p w14:paraId="12E631B0" w14:textId="77777777" w:rsidR="00D1587D" w:rsidRDefault="00D1587D">
            <w:pPr>
              <w:spacing w:line="20" w:lineRule="exact"/>
              <w:rPr>
                <w:sz w:val="1"/>
                <w:szCs w:val="1"/>
              </w:rPr>
            </w:pPr>
          </w:p>
        </w:tc>
        <w:tc>
          <w:tcPr>
            <w:tcW w:w="20" w:type="dxa"/>
            <w:vAlign w:val="bottom"/>
          </w:tcPr>
          <w:p w14:paraId="240CD7CC" w14:textId="77777777" w:rsidR="00D1587D" w:rsidRDefault="00D1587D">
            <w:pPr>
              <w:spacing w:line="20" w:lineRule="exact"/>
              <w:rPr>
                <w:sz w:val="1"/>
                <w:szCs w:val="1"/>
              </w:rPr>
            </w:pPr>
          </w:p>
        </w:tc>
        <w:tc>
          <w:tcPr>
            <w:tcW w:w="60" w:type="dxa"/>
            <w:vAlign w:val="bottom"/>
          </w:tcPr>
          <w:p w14:paraId="1BBF830E" w14:textId="77777777" w:rsidR="00D1587D" w:rsidRDefault="00D1587D">
            <w:pPr>
              <w:spacing w:line="20" w:lineRule="exact"/>
              <w:rPr>
                <w:sz w:val="1"/>
                <w:szCs w:val="1"/>
              </w:rPr>
            </w:pPr>
          </w:p>
        </w:tc>
        <w:tc>
          <w:tcPr>
            <w:tcW w:w="500" w:type="dxa"/>
            <w:vAlign w:val="bottom"/>
          </w:tcPr>
          <w:p w14:paraId="1D1370AD" w14:textId="77777777" w:rsidR="00D1587D" w:rsidRDefault="00D1587D">
            <w:pPr>
              <w:spacing w:line="20" w:lineRule="exact"/>
              <w:rPr>
                <w:sz w:val="1"/>
                <w:szCs w:val="1"/>
              </w:rPr>
            </w:pPr>
          </w:p>
        </w:tc>
        <w:tc>
          <w:tcPr>
            <w:tcW w:w="100" w:type="dxa"/>
            <w:tcBorders>
              <w:top w:val="single" w:sz="8" w:space="0" w:color="auto"/>
              <w:bottom w:val="single" w:sz="8" w:space="0" w:color="auto"/>
            </w:tcBorders>
            <w:vAlign w:val="bottom"/>
          </w:tcPr>
          <w:p w14:paraId="0DD6665B" w14:textId="77777777" w:rsidR="00D1587D" w:rsidRDefault="00D1587D">
            <w:pPr>
              <w:spacing w:line="20" w:lineRule="exact"/>
              <w:rPr>
                <w:sz w:val="1"/>
                <w:szCs w:val="1"/>
              </w:rPr>
            </w:pPr>
          </w:p>
        </w:tc>
        <w:tc>
          <w:tcPr>
            <w:tcW w:w="320" w:type="dxa"/>
            <w:tcBorders>
              <w:top w:val="single" w:sz="8" w:space="0" w:color="auto"/>
              <w:bottom w:val="single" w:sz="8" w:space="0" w:color="auto"/>
            </w:tcBorders>
            <w:vAlign w:val="bottom"/>
          </w:tcPr>
          <w:p w14:paraId="75216BCD" w14:textId="77777777" w:rsidR="00D1587D" w:rsidRDefault="00D1587D">
            <w:pPr>
              <w:spacing w:line="20" w:lineRule="exact"/>
              <w:rPr>
                <w:sz w:val="1"/>
                <w:szCs w:val="1"/>
              </w:rPr>
            </w:pPr>
          </w:p>
        </w:tc>
        <w:tc>
          <w:tcPr>
            <w:tcW w:w="80" w:type="dxa"/>
            <w:vAlign w:val="bottom"/>
          </w:tcPr>
          <w:p w14:paraId="1E3180E6" w14:textId="77777777" w:rsidR="00D1587D" w:rsidRDefault="00D1587D">
            <w:pPr>
              <w:spacing w:line="20" w:lineRule="exact"/>
              <w:rPr>
                <w:sz w:val="1"/>
                <w:szCs w:val="1"/>
              </w:rPr>
            </w:pPr>
          </w:p>
        </w:tc>
        <w:tc>
          <w:tcPr>
            <w:tcW w:w="0" w:type="dxa"/>
            <w:vAlign w:val="bottom"/>
          </w:tcPr>
          <w:p w14:paraId="6C2AC0E8" w14:textId="77777777" w:rsidR="00D1587D" w:rsidRDefault="00D1587D">
            <w:pPr>
              <w:rPr>
                <w:sz w:val="1"/>
                <w:szCs w:val="1"/>
              </w:rPr>
            </w:pPr>
          </w:p>
        </w:tc>
      </w:tr>
      <w:tr w:rsidR="00D1587D" w14:paraId="04B07065" w14:textId="77777777">
        <w:trPr>
          <w:trHeight w:val="529"/>
        </w:trPr>
        <w:tc>
          <w:tcPr>
            <w:tcW w:w="6840" w:type="dxa"/>
            <w:vMerge/>
            <w:vAlign w:val="bottom"/>
          </w:tcPr>
          <w:p w14:paraId="4EE28661" w14:textId="77777777" w:rsidR="00D1587D" w:rsidRDefault="00D1587D">
            <w:pPr>
              <w:rPr>
                <w:sz w:val="24"/>
                <w:szCs w:val="24"/>
              </w:rPr>
            </w:pPr>
          </w:p>
        </w:tc>
        <w:tc>
          <w:tcPr>
            <w:tcW w:w="100" w:type="dxa"/>
            <w:vAlign w:val="bottom"/>
          </w:tcPr>
          <w:p w14:paraId="634A0DB4" w14:textId="77777777" w:rsidR="00D1587D" w:rsidRDefault="00D1587D">
            <w:pPr>
              <w:rPr>
                <w:sz w:val="24"/>
                <w:szCs w:val="24"/>
              </w:rPr>
            </w:pPr>
          </w:p>
        </w:tc>
        <w:tc>
          <w:tcPr>
            <w:tcW w:w="100" w:type="dxa"/>
            <w:vAlign w:val="bottom"/>
          </w:tcPr>
          <w:p w14:paraId="2AFCA3C2" w14:textId="77777777" w:rsidR="00D1587D" w:rsidRDefault="00D1587D">
            <w:pPr>
              <w:rPr>
                <w:sz w:val="24"/>
                <w:szCs w:val="24"/>
              </w:rPr>
            </w:pPr>
          </w:p>
        </w:tc>
        <w:tc>
          <w:tcPr>
            <w:tcW w:w="240" w:type="dxa"/>
            <w:vAlign w:val="bottom"/>
          </w:tcPr>
          <w:p w14:paraId="39231C7F" w14:textId="77777777" w:rsidR="00D1587D" w:rsidRDefault="00D1587D">
            <w:pPr>
              <w:rPr>
                <w:sz w:val="24"/>
                <w:szCs w:val="24"/>
              </w:rPr>
            </w:pPr>
          </w:p>
        </w:tc>
        <w:tc>
          <w:tcPr>
            <w:tcW w:w="20" w:type="dxa"/>
            <w:vAlign w:val="bottom"/>
          </w:tcPr>
          <w:p w14:paraId="130917DF" w14:textId="77777777" w:rsidR="00D1587D" w:rsidRDefault="00D1587D">
            <w:pPr>
              <w:rPr>
                <w:sz w:val="24"/>
                <w:szCs w:val="24"/>
              </w:rPr>
            </w:pPr>
          </w:p>
        </w:tc>
        <w:tc>
          <w:tcPr>
            <w:tcW w:w="40" w:type="dxa"/>
            <w:vAlign w:val="bottom"/>
          </w:tcPr>
          <w:p w14:paraId="5EE5706B" w14:textId="77777777" w:rsidR="00D1587D" w:rsidRDefault="00D1587D">
            <w:pPr>
              <w:rPr>
                <w:sz w:val="24"/>
                <w:szCs w:val="24"/>
              </w:rPr>
            </w:pPr>
          </w:p>
        </w:tc>
        <w:tc>
          <w:tcPr>
            <w:tcW w:w="20" w:type="dxa"/>
            <w:vAlign w:val="bottom"/>
          </w:tcPr>
          <w:p w14:paraId="2316B1BC" w14:textId="77777777" w:rsidR="00D1587D" w:rsidRDefault="00D1587D">
            <w:pPr>
              <w:rPr>
                <w:sz w:val="24"/>
                <w:szCs w:val="24"/>
              </w:rPr>
            </w:pPr>
          </w:p>
        </w:tc>
        <w:tc>
          <w:tcPr>
            <w:tcW w:w="60" w:type="dxa"/>
            <w:vAlign w:val="bottom"/>
          </w:tcPr>
          <w:p w14:paraId="38AD2C40" w14:textId="77777777" w:rsidR="00D1587D" w:rsidRDefault="00D1587D">
            <w:pPr>
              <w:rPr>
                <w:sz w:val="24"/>
                <w:szCs w:val="24"/>
              </w:rPr>
            </w:pPr>
          </w:p>
        </w:tc>
        <w:tc>
          <w:tcPr>
            <w:tcW w:w="500" w:type="dxa"/>
            <w:vAlign w:val="bottom"/>
          </w:tcPr>
          <w:p w14:paraId="66875A81" w14:textId="77777777" w:rsidR="00D1587D" w:rsidRDefault="00D1587D">
            <w:pPr>
              <w:rPr>
                <w:sz w:val="24"/>
                <w:szCs w:val="24"/>
              </w:rPr>
            </w:pPr>
          </w:p>
        </w:tc>
        <w:tc>
          <w:tcPr>
            <w:tcW w:w="100" w:type="dxa"/>
            <w:vAlign w:val="bottom"/>
          </w:tcPr>
          <w:p w14:paraId="71A7FD19" w14:textId="77777777" w:rsidR="00D1587D" w:rsidRDefault="00D1587D">
            <w:pPr>
              <w:rPr>
                <w:sz w:val="24"/>
                <w:szCs w:val="24"/>
              </w:rPr>
            </w:pPr>
          </w:p>
        </w:tc>
        <w:tc>
          <w:tcPr>
            <w:tcW w:w="320" w:type="dxa"/>
            <w:vAlign w:val="bottom"/>
          </w:tcPr>
          <w:p w14:paraId="54A59A0C" w14:textId="77777777" w:rsidR="00D1587D" w:rsidRDefault="00D1587D">
            <w:pPr>
              <w:rPr>
                <w:sz w:val="24"/>
                <w:szCs w:val="24"/>
              </w:rPr>
            </w:pPr>
          </w:p>
        </w:tc>
        <w:tc>
          <w:tcPr>
            <w:tcW w:w="80" w:type="dxa"/>
            <w:vAlign w:val="bottom"/>
          </w:tcPr>
          <w:p w14:paraId="7013A2D6" w14:textId="77777777" w:rsidR="00D1587D" w:rsidRDefault="00D1587D">
            <w:pPr>
              <w:rPr>
                <w:sz w:val="24"/>
                <w:szCs w:val="24"/>
              </w:rPr>
            </w:pPr>
          </w:p>
        </w:tc>
        <w:tc>
          <w:tcPr>
            <w:tcW w:w="0" w:type="dxa"/>
            <w:vAlign w:val="bottom"/>
          </w:tcPr>
          <w:p w14:paraId="3C5ADBD6" w14:textId="77777777" w:rsidR="00D1587D" w:rsidRDefault="00D1587D">
            <w:pPr>
              <w:rPr>
                <w:sz w:val="1"/>
                <w:szCs w:val="1"/>
              </w:rPr>
            </w:pPr>
          </w:p>
        </w:tc>
      </w:tr>
      <w:tr w:rsidR="00D1587D" w14:paraId="169F7B57" w14:textId="77777777">
        <w:trPr>
          <w:trHeight w:val="216"/>
        </w:trPr>
        <w:tc>
          <w:tcPr>
            <w:tcW w:w="7040" w:type="dxa"/>
            <w:gridSpan w:val="3"/>
            <w:vAlign w:val="bottom"/>
          </w:tcPr>
          <w:p w14:paraId="7FD48963" w14:textId="77777777" w:rsidR="00D1587D" w:rsidRDefault="00410D07">
            <w:pPr>
              <w:ind w:left="1270"/>
              <w:jc w:val="center"/>
              <w:rPr>
                <w:sz w:val="20"/>
                <w:szCs w:val="20"/>
              </w:rPr>
            </w:pPr>
            <w:r>
              <w:rPr>
                <w:rFonts w:ascii="Arial" w:eastAsia="Arial" w:hAnsi="Arial" w:cs="Arial"/>
                <w:b/>
                <w:bCs/>
                <w:sz w:val="18"/>
                <w:szCs w:val="18"/>
              </w:rPr>
              <w:t>COMBINED STATEMENTS OF COMPREHENSIVE INCOME (LOSS)</w:t>
            </w:r>
          </w:p>
        </w:tc>
        <w:tc>
          <w:tcPr>
            <w:tcW w:w="240" w:type="dxa"/>
            <w:vAlign w:val="bottom"/>
          </w:tcPr>
          <w:p w14:paraId="17A78BBC" w14:textId="77777777" w:rsidR="00D1587D" w:rsidRDefault="00D1587D">
            <w:pPr>
              <w:rPr>
                <w:sz w:val="18"/>
                <w:szCs w:val="18"/>
              </w:rPr>
            </w:pPr>
          </w:p>
        </w:tc>
        <w:tc>
          <w:tcPr>
            <w:tcW w:w="20" w:type="dxa"/>
            <w:vAlign w:val="bottom"/>
          </w:tcPr>
          <w:p w14:paraId="11A86D03" w14:textId="77777777" w:rsidR="00D1587D" w:rsidRDefault="00D1587D">
            <w:pPr>
              <w:rPr>
                <w:sz w:val="18"/>
                <w:szCs w:val="18"/>
              </w:rPr>
            </w:pPr>
          </w:p>
        </w:tc>
        <w:tc>
          <w:tcPr>
            <w:tcW w:w="40" w:type="dxa"/>
            <w:vAlign w:val="bottom"/>
          </w:tcPr>
          <w:p w14:paraId="056ACB09" w14:textId="77777777" w:rsidR="00D1587D" w:rsidRDefault="00D1587D">
            <w:pPr>
              <w:rPr>
                <w:sz w:val="18"/>
                <w:szCs w:val="18"/>
              </w:rPr>
            </w:pPr>
          </w:p>
        </w:tc>
        <w:tc>
          <w:tcPr>
            <w:tcW w:w="20" w:type="dxa"/>
            <w:vAlign w:val="bottom"/>
          </w:tcPr>
          <w:p w14:paraId="6CFBBB8F" w14:textId="77777777" w:rsidR="00D1587D" w:rsidRDefault="00D1587D">
            <w:pPr>
              <w:rPr>
                <w:sz w:val="18"/>
                <w:szCs w:val="18"/>
              </w:rPr>
            </w:pPr>
          </w:p>
        </w:tc>
        <w:tc>
          <w:tcPr>
            <w:tcW w:w="60" w:type="dxa"/>
            <w:vAlign w:val="bottom"/>
          </w:tcPr>
          <w:p w14:paraId="10574BFF" w14:textId="77777777" w:rsidR="00D1587D" w:rsidRDefault="00D1587D">
            <w:pPr>
              <w:rPr>
                <w:sz w:val="18"/>
                <w:szCs w:val="18"/>
              </w:rPr>
            </w:pPr>
          </w:p>
        </w:tc>
        <w:tc>
          <w:tcPr>
            <w:tcW w:w="500" w:type="dxa"/>
            <w:vAlign w:val="bottom"/>
          </w:tcPr>
          <w:p w14:paraId="000B309C" w14:textId="77777777" w:rsidR="00D1587D" w:rsidRDefault="00D1587D">
            <w:pPr>
              <w:rPr>
                <w:sz w:val="18"/>
                <w:szCs w:val="18"/>
              </w:rPr>
            </w:pPr>
          </w:p>
        </w:tc>
        <w:tc>
          <w:tcPr>
            <w:tcW w:w="100" w:type="dxa"/>
            <w:vAlign w:val="bottom"/>
          </w:tcPr>
          <w:p w14:paraId="48548246" w14:textId="77777777" w:rsidR="00D1587D" w:rsidRDefault="00D1587D">
            <w:pPr>
              <w:rPr>
                <w:sz w:val="18"/>
                <w:szCs w:val="18"/>
              </w:rPr>
            </w:pPr>
          </w:p>
        </w:tc>
        <w:tc>
          <w:tcPr>
            <w:tcW w:w="320" w:type="dxa"/>
            <w:vAlign w:val="bottom"/>
          </w:tcPr>
          <w:p w14:paraId="6D169AB5" w14:textId="77777777" w:rsidR="00D1587D" w:rsidRDefault="00D1587D">
            <w:pPr>
              <w:rPr>
                <w:sz w:val="18"/>
                <w:szCs w:val="18"/>
              </w:rPr>
            </w:pPr>
          </w:p>
        </w:tc>
        <w:tc>
          <w:tcPr>
            <w:tcW w:w="80" w:type="dxa"/>
            <w:vAlign w:val="bottom"/>
          </w:tcPr>
          <w:p w14:paraId="173A1315" w14:textId="77777777" w:rsidR="00D1587D" w:rsidRDefault="00D1587D">
            <w:pPr>
              <w:rPr>
                <w:sz w:val="18"/>
                <w:szCs w:val="18"/>
              </w:rPr>
            </w:pPr>
          </w:p>
        </w:tc>
        <w:tc>
          <w:tcPr>
            <w:tcW w:w="0" w:type="dxa"/>
            <w:vAlign w:val="bottom"/>
          </w:tcPr>
          <w:p w14:paraId="29FAD3E3" w14:textId="77777777" w:rsidR="00D1587D" w:rsidRDefault="00D1587D">
            <w:pPr>
              <w:rPr>
                <w:sz w:val="1"/>
                <w:szCs w:val="1"/>
              </w:rPr>
            </w:pPr>
          </w:p>
        </w:tc>
      </w:tr>
      <w:tr w:rsidR="00D1587D" w14:paraId="0A81B9FA" w14:textId="77777777">
        <w:trPr>
          <w:trHeight w:val="216"/>
        </w:trPr>
        <w:tc>
          <w:tcPr>
            <w:tcW w:w="6840" w:type="dxa"/>
            <w:vAlign w:val="bottom"/>
          </w:tcPr>
          <w:p w14:paraId="7F4B8434" w14:textId="77777777" w:rsidR="00D1587D" w:rsidRDefault="00410D07">
            <w:pPr>
              <w:ind w:left="1470"/>
              <w:jc w:val="center"/>
              <w:rPr>
                <w:sz w:val="20"/>
                <w:szCs w:val="20"/>
              </w:rPr>
            </w:pPr>
            <w:r>
              <w:rPr>
                <w:rFonts w:ascii="Arial" w:eastAsia="Arial" w:hAnsi="Arial" w:cs="Arial"/>
                <w:b/>
                <w:bCs/>
                <w:w w:val="91"/>
                <w:sz w:val="18"/>
                <w:szCs w:val="18"/>
              </w:rPr>
              <w:t>(in millions)</w:t>
            </w:r>
          </w:p>
        </w:tc>
        <w:tc>
          <w:tcPr>
            <w:tcW w:w="100" w:type="dxa"/>
            <w:vAlign w:val="bottom"/>
          </w:tcPr>
          <w:p w14:paraId="0F1BC9A9" w14:textId="77777777" w:rsidR="00D1587D" w:rsidRDefault="00D1587D">
            <w:pPr>
              <w:rPr>
                <w:sz w:val="18"/>
                <w:szCs w:val="18"/>
              </w:rPr>
            </w:pPr>
          </w:p>
        </w:tc>
        <w:tc>
          <w:tcPr>
            <w:tcW w:w="100" w:type="dxa"/>
            <w:vAlign w:val="bottom"/>
          </w:tcPr>
          <w:p w14:paraId="38141B28" w14:textId="77777777" w:rsidR="00D1587D" w:rsidRDefault="00D1587D">
            <w:pPr>
              <w:rPr>
                <w:sz w:val="18"/>
                <w:szCs w:val="18"/>
              </w:rPr>
            </w:pPr>
          </w:p>
        </w:tc>
        <w:tc>
          <w:tcPr>
            <w:tcW w:w="240" w:type="dxa"/>
            <w:vAlign w:val="bottom"/>
          </w:tcPr>
          <w:p w14:paraId="7662A14C" w14:textId="77777777" w:rsidR="00D1587D" w:rsidRDefault="00D1587D">
            <w:pPr>
              <w:rPr>
                <w:sz w:val="18"/>
                <w:szCs w:val="18"/>
              </w:rPr>
            </w:pPr>
          </w:p>
        </w:tc>
        <w:tc>
          <w:tcPr>
            <w:tcW w:w="20" w:type="dxa"/>
            <w:vAlign w:val="bottom"/>
          </w:tcPr>
          <w:p w14:paraId="40D2E3A9" w14:textId="77777777" w:rsidR="00D1587D" w:rsidRDefault="00D1587D">
            <w:pPr>
              <w:rPr>
                <w:sz w:val="18"/>
                <w:szCs w:val="18"/>
              </w:rPr>
            </w:pPr>
          </w:p>
        </w:tc>
        <w:tc>
          <w:tcPr>
            <w:tcW w:w="40" w:type="dxa"/>
            <w:vAlign w:val="bottom"/>
          </w:tcPr>
          <w:p w14:paraId="75749864" w14:textId="77777777" w:rsidR="00D1587D" w:rsidRDefault="00D1587D">
            <w:pPr>
              <w:rPr>
                <w:sz w:val="18"/>
                <w:szCs w:val="18"/>
              </w:rPr>
            </w:pPr>
          </w:p>
        </w:tc>
        <w:tc>
          <w:tcPr>
            <w:tcW w:w="20" w:type="dxa"/>
            <w:vAlign w:val="bottom"/>
          </w:tcPr>
          <w:p w14:paraId="150737E8" w14:textId="77777777" w:rsidR="00D1587D" w:rsidRDefault="00D1587D">
            <w:pPr>
              <w:rPr>
                <w:sz w:val="18"/>
                <w:szCs w:val="18"/>
              </w:rPr>
            </w:pPr>
          </w:p>
        </w:tc>
        <w:tc>
          <w:tcPr>
            <w:tcW w:w="60" w:type="dxa"/>
            <w:vAlign w:val="bottom"/>
          </w:tcPr>
          <w:p w14:paraId="50F87142" w14:textId="77777777" w:rsidR="00D1587D" w:rsidRDefault="00D1587D">
            <w:pPr>
              <w:rPr>
                <w:sz w:val="18"/>
                <w:szCs w:val="18"/>
              </w:rPr>
            </w:pPr>
          </w:p>
        </w:tc>
        <w:tc>
          <w:tcPr>
            <w:tcW w:w="500" w:type="dxa"/>
            <w:vAlign w:val="bottom"/>
          </w:tcPr>
          <w:p w14:paraId="661DD0BC" w14:textId="77777777" w:rsidR="00D1587D" w:rsidRDefault="00D1587D">
            <w:pPr>
              <w:rPr>
                <w:sz w:val="18"/>
                <w:szCs w:val="18"/>
              </w:rPr>
            </w:pPr>
          </w:p>
        </w:tc>
        <w:tc>
          <w:tcPr>
            <w:tcW w:w="100" w:type="dxa"/>
            <w:vAlign w:val="bottom"/>
          </w:tcPr>
          <w:p w14:paraId="20DD9B62" w14:textId="77777777" w:rsidR="00D1587D" w:rsidRDefault="00D1587D">
            <w:pPr>
              <w:rPr>
                <w:sz w:val="18"/>
                <w:szCs w:val="18"/>
              </w:rPr>
            </w:pPr>
          </w:p>
        </w:tc>
        <w:tc>
          <w:tcPr>
            <w:tcW w:w="320" w:type="dxa"/>
            <w:vAlign w:val="bottom"/>
          </w:tcPr>
          <w:p w14:paraId="709EC555" w14:textId="77777777" w:rsidR="00D1587D" w:rsidRDefault="00D1587D">
            <w:pPr>
              <w:rPr>
                <w:sz w:val="18"/>
                <w:szCs w:val="18"/>
              </w:rPr>
            </w:pPr>
          </w:p>
        </w:tc>
        <w:tc>
          <w:tcPr>
            <w:tcW w:w="80" w:type="dxa"/>
            <w:vAlign w:val="bottom"/>
          </w:tcPr>
          <w:p w14:paraId="160539B4" w14:textId="77777777" w:rsidR="00D1587D" w:rsidRDefault="00D1587D">
            <w:pPr>
              <w:rPr>
                <w:sz w:val="18"/>
                <w:szCs w:val="18"/>
              </w:rPr>
            </w:pPr>
          </w:p>
        </w:tc>
        <w:tc>
          <w:tcPr>
            <w:tcW w:w="0" w:type="dxa"/>
            <w:vAlign w:val="bottom"/>
          </w:tcPr>
          <w:p w14:paraId="6183708D" w14:textId="77777777" w:rsidR="00D1587D" w:rsidRDefault="00D1587D">
            <w:pPr>
              <w:rPr>
                <w:sz w:val="1"/>
                <w:szCs w:val="1"/>
              </w:rPr>
            </w:pPr>
          </w:p>
        </w:tc>
      </w:tr>
      <w:tr w:rsidR="00D1587D" w14:paraId="6F8F981E" w14:textId="77777777">
        <w:trPr>
          <w:trHeight w:val="234"/>
        </w:trPr>
        <w:tc>
          <w:tcPr>
            <w:tcW w:w="6840" w:type="dxa"/>
            <w:vAlign w:val="bottom"/>
          </w:tcPr>
          <w:p w14:paraId="2DC85CC0" w14:textId="77777777" w:rsidR="00D1587D" w:rsidRDefault="00410D07">
            <w:pPr>
              <w:ind w:left="1470"/>
              <w:jc w:val="center"/>
              <w:rPr>
                <w:sz w:val="20"/>
                <w:szCs w:val="20"/>
              </w:rPr>
            </w:pPr>
            <w:r>
              <w:rPr>
                <w:rFonts w:ascii="Arial" w:eastAsia="Arial" w:hAnsi="Arial" w:cs="Arial"/>
                <w:b/>
                <w:bCs/>
                <w:w w:val="91"/>
                <w:sz w:val="18"/>
                <w:szCs w:val="18"/>
              </w:rPr>
              <w:t>(Unaudited)</w:t>
            </w:r>
          </w:p>
        </w:tc>
        <w:tc>
          <w:tcPr>
            <w:tcW w:w="100" w:type="dxa"/>
            <w:vAlign w:val="bottom"/>
          </w:tcPr>
          <w:p w14:paraId="7A9AFCAD" w14:textId="77777777" w:rsidR="00D1587D" w:rsidRDefault="00D1587D">
            <w:pPr>
              <w:rPr>
                <w:sz w:val="20"/>
                <w:szCs w:val="20"/>
              </w:rPr>
            </w:pPr>
          </w:p>
        </w:tc>
        <w:tc>
          <w:tcPr>
            <w:tcW w:w="100" w:type="dxa"/>
            <w:vAlign w:val="bottom"/>
          </w:tcPr>
          <w:p w14:paraId="26DC6B44" w14:textId="77777777" w:rsidR="00D1587D" w:rsidRDefault="00D1587D">
            <w:pPr>
              <w:rPr>
                <w:sz w:val="20"/>
                <w:szCs w:val="20"/>
              </w:rPr>
            </w:pPr>
          </w:p>
        </w:tc>
        <w:tc>
          <w:tcPr>
            <w:tcW w:w="240" w:type="dxa"/>
            <w:vAlign w:val="bottom"/>
          </w:tcPr>
          <w:p w14:paraId="710BD143" w14:textId="77777777" w:rsidR="00D1587D" w:rsidRDefault="00D1587D">
            <w:pPr>
              <w:rPr>
                <w:sz w:val="20"/>
                <w:szCs w:val="20"/>
              </w:rPr>
            </w:pPr>
          </w:p>
        </w:tc>
        <w:tc>
          <w:tcPr>
            <w:tcW w:w="20" w:type="dxa"/>
            <w:vAlign w:val="bottom"/>
          </w:tcPr>
          <w:p w14:paraId="6D67F511" w14:textId="77777777" w:rsidR="00D1587D" w:rsidRDefault="00D1587D">
            <w:pPr>
              <w:rPr>
                <w:sz w:val="20"/>
                <w:szCs w:val="20"/>
              </w:rPr>
            </w:pPr>
          </w:p>
        </w:tc>
        <w:tc>
          <w:tcPr>
            <w:tcW w:w="40" w:type="dxa"/>
            <w:vAlign w:val="bottom"/>
          </w:tcPr>
          <w:p w14:paraId="48318596" w14:textId="77777777" w:rsidR="00D1587D" w:rsidRDefault="00D1587D">
            <w:pPr>
              <w:rPr>
                <w:sz w:val="20"/>
                <w:szCs w:val="20"/>
              </w:rPr>
            </w:pPr>
          </w:p>
        </w:tc>
        <w:tc>
          <w:tcPr>
            <w:tcW w:w="20" w:type="dxa"/>
            <w:vAlign w:val="bottom"/>
          </w:tcPr>
          <w:p w14:paraId="2EDEA170" w14:textId="77777777" w:rsidR="00D1587D" w:rsidRDefault="00D1587D">
            <w:pPr>
              <w:rPr>
                <w:sz w:val="20"/>
                <w:szCs w:val="20"/>
              </w:rPr>
            </w:pPr>
          </w:p>
        </w:tc>
        <w:tc>
          <w:tcPr>
            <w:tcW w:w="60" w:type="dxa"/>
            <w:vAlign w:val="bottom"/>
          </w:tcPr>
          <w:p w14:paraId="2DE40647" w14:textId="77777777" w:rsidR="00D1587D" w:rsidRDefault="00D1587D">
            <w:pPr>
              <w:rPr>
                <w:sz w:val="20"/>
                <w:szCs w:val="20"/>
              </w:rPr>
            </w:pPr>
          </w:p>
        </w:tc>
        <w:tc>
          <w:tcPr>
            <w:tcW w:w="500" w:type="dxa"/>
            <w:vAlign w:val="bottom"/>
          </w:tcPr>
          <w:p w14:paraId="1FD19B4D" w14:textId="77777777" w:rsidR="00D1587D" w:rsidRDefault="00D1587D">
            <w:pPr>
              <w:rPr>
                <w:sz w:val="20"/>
                <w:szCs w:val="20"/>
              </w:rPr>
            </w:pPr>
          </w:p>
        </w:tc>
        <w:tc>
          <w:tcPr>
            <w:tcW w:w="100" w:type="dxa"/>
            <w:vAlign w:val="bottom"/>
          </w:tcPr>
          <w:p w14:paraId="473F93B7" w14:textId="77777777" w:rsidR="00D1587D" w:rsidRDefault="00D1587D">
            <w:pPr>
              <w:rPr>
                <w:sz w:val="20"/>
                <w:szCs w:val="20"/>
              </w:rPr>
            </w:pPr>
          </w:p>
        </w:tc>
        <w:tc>
          <w:tcPr>
            <w:tcW w:w="320" w:type="dxa"/>
            <w:vAlign w:val="bottom"/>
          </w:tcPr>
          <w:p w14:paraId="6D12BCE7" w14:textId="77777777" w:rsidR="00D1587D" w:rsidRDefault="00D1587D">
            <w:pPr>
              <w:rPr>
                <w:sz w:val="20"/>
                <w:szCs w:val="20"/>
              </w:rPr>
            </w:pPr>
          </w:p>
        </w:tc>
        <w:tc>
          <w:tcPr>
            <w:tcW w:w="80" w:type="dxa"/>
            <w:vAlign w:val="bottom"/>
          </w:tcPr>
          <w:p w14:paraId="02E5D991" w14:textId="77777777" w:rsidR="00D1587D" w:rsidRDefault="00D1587D">
            <w:pPr>
              <w:rPr>
                <w:sz w:val="20"/>
                <w:szCs w:val="20"/>
              </w:rPr>
            </w:pPr>
          </w:p>
        </w:tc>
        <w:tc>
          <w:tcPr>
            <w:tcW w:w="0" w:type="dxa"/>
            <w:vAlign w:val="bottom"/>
          </w:tcPr>
          <w:p w14:paraId="46D835AA" w14:textId="77777777" w:rsidR="00D1587D" w:rsidRDefault="00D1587D">
            <w:pPr>
              <w:rPr>
                <w:sz w:val="1"/>
                <w:szCs w:val="1"/>
              </w:rPr>
            </w:pPr>
          </w:p>
        </w:tc>
      </w:tr>
      <w:tr w:rsidR="00D1587D" w14:paraId="47CFAEED" w14:textId="77777777">
        <w:trPr>
          <w:trHeight w:val="406"/>
        </w:trPr>
        <w:tc>
          <w:tcPr>
            <w:tcW w:w="6840" w:type="dxa"/>
            <w:vAlign w:val="bottom"/>
          </w:tcPr>
          <w:p w14:paraId="72CBB42D" w14:textId="77777777" w:rsidR="00D1587D" w:rsidRDefault="00D1587D">
            <w:pPr>
              <w:rPr>
                <w:sz w:val="24"/>
                <w:szCs w:val="24"/>
              </w:rPr>
            </w:pPr>
          </w:p>
        </w:tc>
        <w:tc>
          <w:tcPr>
            <w:tcW w:w="100" w:type="dxa"/>
            <w:vAlign w:val="bottom"/>
          </w:tcPr>
          <w:p w14:paraId="0BCC172A" w14:textId="77777777" w:rsidR="00D1587D" w:rsidRDefault="00D1587D">
            <w:pPr>
              <w:rPr>
                <w:sz w:val="24"/>
                <w:szCs w:val="24"/>
              </w:rPr>
            </w:pPr>
          </w:p>
        </w:tc>
        <w:tc>
          <w:tcPr>
            <w:tcW w:w="100" w:type="dxa"/>
            <w:vAlign w:val="bottom"/>
          </w:tcPr>
          <w:p w14:paraId="2FA160A1" w14:textId="77777777" w:rsidR="00D1587D" w:rsidRDefault="00D1587D">
            <w:pPr>
              <w:rPr>
                <w:sz w:val="24"/>
                <w:szCs w:val="24"/>
              </w:rPr>
            </w:pPr>
          </w:p>
        </w:tc>
        <w:tc>
          <w:tcPr>
            <w:tcW w:w="1380" w:type="dxa"/>
            <w:gridSpan w:val="9"/>
            <w:vAlign w:val="bottom"/>
          </w:tcPr>
          <w:p w14:paraId="5D04C712" w14:textId="77777777" w:rsidR="00D1587D" w:rsidRDefault="00410D07">
            <w:pPr>
              <w:ind w:right="320"/>
              <w:jc w:val="right"/>
              <w:rPr>
                <w:sz w:val="20"/>
                <w:szCs w:val="20"/>
              </w:rPr>
            </w:pPr>
            <w:r>
              <w:rPr>
                <w:rFonts w:ascii="Arial" w:eastAsia="Arial" w:hAnsi="Arial" w:cs="Arial"/>
                <w:b/>
                <w:bCs/>
                <w:sz w:val="14"/>
                <w:szCs w:val="14"/>
              </w:rPr>
              <w:t>First Quarter</w:t>
            </w:r>
          </w:p>
        </w:tc>
        <w:tc>
          <w:tcPr>
            <w:tcW w:w="0" w:type="dxa"/>
            <w:vAlign w:val="bottom"/>
          </w:tcPr>
          <w:p w14:paraId="1B55DB6D" w14:textId="77777777" w:rsidR="00D1587D" w:rsidRDefault="00D1587D">
            <w:pPr>
              <w:rPr>
                <w:sz w:val="1"/>
                <w:szCs w:val="1"/>
              </w:rPr>
            </w:pPr>
          </w:p>
        </w:tc>
      </w:tr>
      <w:tr w:rsidR="00D1587D" w14:paraId="128198E0" w14:textId="77777777">
        <w:trPr>
          <w:trHeight w:val="53"/>
        </w:trPr>
        <w:tc>
          <w:tcPr>
            <w:tcW w:w="6840" w:type="dxa"/>
            <w:vAlign w:val="bottom"/>
          </w:tcPr>
          <w:p w14:paraId="05769B22" w14:textId="77777777" w:rsidR="00D1587D" w:rsidRDefault="00D1587D">
            <w:pPr>
              <w:rPr>
                <w:sz w:val="4"/>
                <w:szCs w:val="4"/>
              </w:rPr>
            </w:pPr>
          </w:p>
        </w:tc>
        <w:tc>
          <w:tcPr>
            <w:tcW w:w="100" w:type="dxa"/>
            <w:vAlign w:val="bottom"/>
          </w:tcPr>
          <w:p w14:paraId="322A2372" w14:textId="77777777" w:rsidR="00D1587D" w:rsidRDefault="00D1587D">
            <w:pPr>
              <w:rPr>
                <w:sz w:val="4"/>
                <w:szCs w:val="4"/>
              </w:rPr>
            </w:pPr>
          </w:p>
        </w:tc>
        <w:tc>
          <w:tcPr>
            <w:tcW w:w="340" w:type="dxa"/>
            <w:gridSpan w:val="2"/>
            <w:tcBorders>
              <w:bottom w:val="single" w:sz="8" w:space="0" w:color="auto"/>
            </w:tcBorders>
            <w:vAlign w:val="bottom"/>
          </w:tcPr>
          <w:p w14:paraId="159E99D1" w14:textId="77777777" w:rsidR="00D1587D" w:rsidRDefault="00D1587D">
            <w:pPr>
              <w:rPr>
                <w:sz w:val="4"/>
                <w:szCs w:val="4"/>
              </w:rPr>
            </w:pPr>
          </w:p>
        </w:tc>
        <w:tc>
          <w:tcPr>
            <w:tcW w:w="20" w:type="dxa"/>
            <w:tcBorders>
              <w:bottom w:val="single" w:sz="8" w:space="0" w:color="auto"/>
            </w:tcBorders>
            <w:vAlign w:val="bottom"/>
          </w:tcPr>
          <w:p w14:paraId="007FB2C2" w14:textId="77777777" w:rsidR="00D1587D" w:rsidRDefault="00D1587D">
            <w:pPr>
              <w:rPr>
                <w:sz w:val="4"/>
                <w:szCs w:val="4"/>
              </w:rPr>
            </w:pPr>
          </w:p>
        </w:tc>
        <w:tc>
          <w:tcPr>
            <w:tcW w:w="40" w:type="dxa"/>
            <w:tcBorders>
              <w:bottom w:val="single" w:sz="8" w:space="0" w:color="auto"/>
            </w:tcBorders>
            <w:vAlign w:val="bottom"/>
          </w:tcPr>
          <w:p w14:paraId="3DF9690F" w14:textId="77777777" w:rsidR="00D1587D" w:rsidRDefault="00D1587D">
            <w:pPr>
              <w:rPr>
                <w:sz w:val="4"/>
                <w:szCs w:val="4"/>
              </w:rPr>
            </w:pPr>
          </w:p>
        </w:tc>
        <w:tc>
          <w:tcPr>
            <w:tcW w:w="20" w:type="dxa"/>
            <w:tcBorders>
              <w:bottom w:val="single" w:sz="8" w:space="0" w:color="auto"/>
            </w:tcBorders>
            <w:vAlign w:val="bottom"/>
          </w:tcPr>
          <w:p w14:paraId="24404137" w14:textId="77777777" w:rsidR="00D1587D" w:rsidRDefault="00D1587D">
            <w:pPr>
              <w:rPr>
                <w:sz w:val="4"/>
                <w:szCs w:val="4"/>
              </w:rPr>
            </w:pPr>
          </w:p>
        </w:tc>
        <w:tc>
          <w:tcPr>
            <w:tcW w:w="60" w:type="dxa"/>
            <w:tcBorders>
              <w:bottom w:val="single" w:sz="8" w:space="0" w:color="auto"/>
            </w:tcBorders>
            <w:vAlign w:val="bottom"/>
          </w:tcPr>
          <w:p w14:paraId="501294F9" w14:textId="77777777" w:rsidR="00D1587D" w:rsidRDefault="00D1587D">
            <w:pPr>
              <w:rPr>
                <w:sz w:val="4"/>
                <w:szCs w:val="4"/>
              </w:rPr>
            </w:pPr>
          </w:p>
        </w:tc>
        <w:tc>
          <w:tcPr>
            <w:tcW w:w="500" w:type="dxa"/>
            <w:tcBorders>
              <w:bottom w:val="single" w:sz="8" w:space="0" w:color="auto"/>
            </w:tcBorders>
            <w:vAlign w:val="bottom"/>
          </w:tcPr>
          <w:p w14:paraId="73EA04EC" w14:textId="77777777" w:rsidR="00D1587D" w:rsidRDefault="00D1587D">
            <w:pPr>
              <w:rPr>
                <w:sz w:val="4"/>
                <w:szCs w:val="4"/>
              </w:rPr>
            </w:pPr>
          </w:p>
        </w:tc>
        <w:tc>
          <w:tcPr>
            <w:tcW w:w="100" w:type="dxa"/>
            <w:tcBorders>
              <w:bottom w:val="single" w:sz="8" w:space="0" w:color="auto"/>
            </w:tcBorders>
            <w:vAlign w:val="bottom"/>
          </w:tcPr>
          <w:p w14:paraId="73CBC439" w14:textId="77777777" w:rsidR="00D1587D" w:rsidRDefault="00D1587D">
            <w:pPr>
              <w:rPr>
                <w:sz w:val="4"/>
                <w:szCs w:val="4"/>
              </w:rPr>
            </w:pPr>
          </w:p>
        </w:tc>
        <w:tc>
          <w:tcPr>
            <w:tcW w:w="320" w:type="dxa"/>
            <w:tcBorders>
              <w:bottom w:val="single" w:sz="8" w:space="0" w:color="auto"/>
            </w:tcBorders>
            <w:vAlign w:val="bottom"/>
          </w:tcPr>
          <w:p w14:paraId="6B33AD86" w14:textId="77777777" w:rsidR="00D1587D" w:rsidRDefault="00D1587D">
            <w:pPr>
              <w:rPr>
                <w:sz w:val="4"/>
                <w:szCs w:val="4"/>
              </w:rPr>
            </w:pPr>
          </w:p>
        </w:tc>
        <w:tc>
          <w:tcPr>
            <w:tcW w:w="80" w:type="dxa"/>
            <w:tcBorders>
              <w:bottom w:val="single" w:sz="8" w:space="0" w:color="auto"/>
            </w:tcBorders>
            <w:vAlign w:val="bottom"/>
          </w:tcPr>
          <w:p w14:paraId="3894E065" w14:textId="77777777" w:rsidR="00D1587D" w:rsidRDefault="00D1587D">
            <w:pPr>
              <w:rPr>
                <w:sz w:val="4"/>
                <w:szCs w:val="4"/>
              </w:rPr>
            </w:pPr>
          </w:p>
        </w:tc>
        <w:tc>
          <w:tcPr>
            <w:tcW w:w="0" w:type="dxa"/>
            <w:vAlign w:val="bottom"/>
          </w:tcPr>
          <w:p w14:paraId="42716021" w14:textId="77777777" w:rsidR="00D1587D" w:rsidRDefault="00D1587D">
            <w:pPr>
              <w:rPr>
                <w:sz w:val="1"/>
                <w:szCs w:val="1"/>
              </w:rPr>
            </w:pPr>
          </w:p>
        </w:tc>
      </w:tr>
      <w:tr w:rsidR="00D1587D" w14:paraId="26BB34A6" w14:textId="77777777">
        <w:trPr>
          <w:trHeight w:val="225"/>
        </w:trPr>
        <w:tc>
          <w:tcPr>
            <w:tcW w:w="6840" w:type="dxa"/>
            <w:vAlign w:val="bottom"/>
          </w:tcPr>
          <w:p w14:paraId="10D27669" w14:textId="77777777" w:rsidR="00D1587D" w:rsidRDefault="00D1587D">
            <w:pPr>
              <w:rPr>
                <w:sz w:val="19"/>
                <w:szCs w:val="19"/>
              </w:rPr>
            </w:pPr>
          </w:p>
        </w:tc>
        <w:tc>
          <w:tcPr>
            <w:tcW w:w="460" w:type="dxa"/>
            <w:gridSpan w:val="4"/>
            <w:vAlign w:val="bottom"/>
          </w:tcPr>
          <w:p w14:paraId="751553FC" w14:textId="77777777" w:rsidR="00D1587D" w:rsidRDefault="00410D07">
            <w:pPr>
              <w:jc w:val="right"/>
              <w:rPr>
                <w:sz w:val="20"/>
                <w:szCs w:val="20"/>
              </w:rPr>
            </w:pPr>
            <w:r>
              <w:rPr>
                <w:rFonts w:ascii="Arial" w:eastAsia="Arial" w:hAnsi="Arial" w:cs="Arial"/>
                <w:b/>
                <w:bCs/>
                <w:sz w:val="14"/>
                <w:szCs w:val="14"/>
              </w:rPr>
              <w:t>2021</w:t>
            </w:r>
          </w:p>
        </w:tc>
        <w:tc>
          <w:tcPr>
            <w:tcW w:w="40" w:type="dxa"/>
            <w:vAlign w:val="bottom"/>
          </w:tcPr>
          <w:p w14:paraId="4E43F371" w14:textId="77777777" w:rsidR="00D1587D" w:rsidRDefault="00D1587D">
            <w:pPr>
              <w:rPr>
                <w:sz w:val="19"/>
                <w:szCs w:val="19"/>
              </w:rPr>
            </w:pPr>
          </w:p>
        </w:tc>
        <w:tc>
          <w:tcPr>
            <w:tcW w:w="20" w:type="dxa"/>
            <w:vAlign w:val="bottom"/>
          </w:tcPr>
          <w:p w14:paraId="1FDF0A7F" w14:textId="77777777" w:rsidR="00D1587D" w:rsidRDefault="00D1587D">
            <w:pPr>
              <w:rPr>
                <w:sz w:val="19"/>
                <w:szCs w:val="19"/>
              </w:rPr>
            </w:pPr>
          </w:p>
        </w:tc>
        <w:tc>
          <w:tcPr>
            <w:tcW w:w="60" w:type="dxa"/>
            <w:vAlign w:val="bottom"/>
          </w:tcPr>
          <w:p w14:paraId="4AA278D0" w14:textId="77777777" w:rsidR="00D1587D" w:rsidRDefault="00D1587D">
            <w:pPr>
              <w:rPr>
                <w:sz w:val="19"/>
                <w:szCs w:val="19"/>
              </w:rPr>
            </w:pPr>
          </w:p>
        </w:tc>
        <w:tc>
          <w:tcPr>
            <w:tcW w:w="500" w:type="dxa"/>
            <w:vAlign w:val="bottom"/>
          </w:tcPr>
          <w:p w14:paraId="560192C3" w14:textId="77777777" w:rsidR="00D1587D" w:rsidRDefault="00D1587D">
            <w:pPr>
              <w:rPr>
                <w:sz w:val="19"/>
                <w:szCs w:val="19"/>
              </w:rPr>
            </w:pPr>
          </w:p>
        </w:tc>
        <w:tc>
          <w:tcPr>
            <w:tcW w:w="100" w:type="dxa"/>
            <w:vAlign w:val="bottom"/>
          </w:tcPr>
          <w:p w14:paraId="15681C75" w14:textId="77777777" w:rsidR="00D1587D" w:rsidRDefault="00D1587D">
            <w:pPr>
              <w:rPr>
                <w:sz w:val="19"/>
                <w:szCs w:val="19"/>
              </w:rPr>
            </w:pPr>
          </w:p>
        </w:tc>
        <w:tc>
          <w:tcPr>
            <w:tcW w:w="320" w:type="dxa"/>
            <w:vAlign w:val="bottom"/>
          </w:tcPr>
          <w:p w14:paraId="56187145" w14:textId="77777777" w:rsidR="00D1587D" w:rsidRDefault="00410D07">
            <w:pPr>
              <w:jc w:val="right"/>
              <w:rPr>
                <w:sz w:val="20"/>
                <w:szCs w:val="20"/>
              </w:rPr>
            </w:pPr>
            <w:r>
              <w:rPr>
                <w:rFonts w:ascii="Arial" w:eastAsia="Arial" w:hAnsi="Arial" w:cs="Arial"/>
                <w:b/>
                <w:bCs/>
                <w:w w:val="89"/>
                <w:sz w:val="14"/>
                <w:szCs w:val="14"/>
              </w:rPr>
              <w:t>2020</w:t>
            </w:r>
          </w:p>
        </w:tc>
        <w:tc>
          <w:tcPr>
            <w:tcW w:w="80" w:type="dxa"/>
            <w:vAlign w:val="bottom"/>
          </w:tcPr>
          <w:p w14:paraId="02BE49D3" w14:textId="77777777" w:rsidR="00D1587D" w:rsidRDefault="00D1587D">
            <w:pPr>
              <w:rPr>
                <w:sz w:val="19"/>
                <w:szCs w:val="19"/>
              </w:rPr>
            </w:pPr>
          </w:p>
        </w:tc>
        <w:tc>
          <w:tcPr>
            <w:tcW w:w="0" w:type="dxa"/>
            <w:vAlign w:val="bottom"/>
          </w:tcPr>
          <w:p w14:paraId="5922CA64" w14:textId="77777777" w:rsidR="00D1587D" w:rsidRDefault="00D1587D">
            <w:pPr>
              <w:rPr>
                <w:sz w:val="1"/>
                <w:szCs w:val="1"/>
              </w:rPr>
            </w:pPr>
          </w:p>
        </w:tc>
      </w:tr>
      <w:tr w:rsidR="00D1587D" w14:paraId="4DF51A8B" w14:textId="77777777">
        <w:trPr>
          <w:trHeight w:val="53"/>
        </w:trPr>
        <w:tc>
          <w:tcPr>
            <w:tcW w:w="6840" w:type="dxa"/>
            <w:tcBorders>
              <w:bottom w:val="single" w:sz="8" w:space="0" w:color="CCEEFF"/>
            </w:tcBorders>
            <w:vAlign w:val="bottom"/>
          </w:tcPr>
          <w:p w14:paraId="76DF985F" w14:textId="77777777" w:rsidR="00D1587D" w:rsidRDefault="00D1587D">
            <w:pPr>
              <w:rPr>
                <w:sz w:val="4"/>
                <w:szCs w:val="4"/>
              </w:rPr>
            </w:pPr>
          </w:p>
        </w:tc>
        <w:tc>
          <w:tcPr>
            <w:tcW w:w="100" w:type="dxa"/>
            <w:tcBorders>
              <w:bottom w:val="single" w:sz="8" w:space="0" w:color="CCEEFF"/>
            </w:tcBorders>
            <w:vAlign w:val="bottom"/>
          </w:tcPr>
          <w:p w14:paraId="7AE56D11" w14:textId="77777777" w:rsidR="00D1587D" w:rsidRDefault="00D1587D">
            <w:pPr>
              <w:rPr>
                <w:sz w:val="4"/>
                <w:szCs w:val="4"/>
              </w:rPr>
            </w:pPr>
          </w:p>
        </w:tc>
        <w:tc>
          <w:tcPr>
            <w:tcW w:w="340" w:type="dxa"/>
            <w:gridSpan w:val="2"/>
            <w:tcBorders>
              <w:bottom w:val="single" w:sz="8" w:space="0" w:color="auto"/>
            </w:tcBorders>
            <w:vAlign w:val="bottom"/>
          </w:tcPr>
          <w:p w14:paraId="4E962F6B" w14:textId="77777777" w:rsidR="00D1587D" w:rsidRDefault="00D1587D">
            <w:pPr>
              <w:rPr>
                <w:sz w:val="4"/>
                <w:szCs w:val="4"/>
              </w:rPr>
            </w:pPr>
          </w:p>
        </w:tc>
        <w:tc>
          <w:tcPr>
            <w:tcW w:w="20" w:type="dxa"/>
            <w:tcBorders>
              <w:bottom w:val="single" w:sz="8" w:space="0" w:color="auto"/>
            </w:tcBorders>
            <w:vAlign w:val="bottom"/>
          </w:tcPr>
          <w:p w14:paraId="72A5FAA7" w14:textId="77777777" w:rsidR="00D1587D" w:rsidRDefault="00D1587D">
            <w:pPr>
              <w:rPr>
                <w:sz w:val="4"/>
                <w:szCs w:val="4"/>
              </w:rPr>
            </w:pPr>
          </w:p>
        </w:tc>
        <w:tc>
          <w:tcPr>
            <w:tcW w:w="40" w:type="dxa"/>
            <w:tcBorders>
              <w:bottom w:val="single" w:sz="8" w:space="0" w:color="auto"/>
            </w:tcBorders>
            <w:vAlign w:val="bottom"/>
          </w:tcPr>
          <w:p w14:paraId="648DD040" w14:textId="77777777" w:rsidR="00D1587D" w:rsidRDefault="00D1587D">
            <w:pPr>
              <w:rPr>
                <w:sz w:val="4"/>
                <w:szCs w:val="4"/>
              </w:rPr>
            </w:pPr>
          </w:p>
        </w:tc>
        <w:tc>
          <w:tcPr>
            <w:tcW w:w="20" w:type="dxa"/>
            <w:tcBorders>
              <w:bottom w:val="single" w:sz="8" w:space="0" w:color="auto"/>
            </w:tcBorders>
            <w:vAlign w:val="bottom"/>
          </w:tcPr>
          <w:p w14:paraId="2F7B238F" w14:textId="77777777" w:rsidR="00D1587D" w:rsidRDefault="00D1587D">
            <w:pPr>
              <w:rPr>
                <w:sz w:val="4"/>
                <w:szCs w:val="4"/>
              </w:rPr>
            </w:pPr>
          </w:p>
        </w:tc>
        <w:tc>
          <w:tcPr>
            <w:tcW w:w="60" w:type="dxa"/>
            <w:tcBorders>
              <w:bottom w:val="single" w:sz="8" w:space="0" w:color="CCEEFF"/>
            </w:tcBorders>
            <w:vAlign w:val="bottom"/>
          </w:tcPr>
          <w:p w14:paraId="220FE58A" w14:textId="77777777" w:rsidR="00D1587D" w:rsidRDefault="00D1587D">
            <w:pPr>
              <w:rPr>
                <w:sz w:val="4"/>
                <w:szCs w:val="4"/>
              </w:rPr>
            </w:pPr>
          </w:p>
        </w:tc>
        <w:tc>
          <w:tcPr>
            <w:tcW w:w="500" w:type="dxa"/>
            <w:tcBorders>
              <w:bottom w:val="single" w:sz="8" w:space="0" w:color="CCEEFF"/>
            </w:tcBorders>
            <w:vAlign w:val="bottom"/>
          </w:tcPr>
          <w:p w14:paraId="56E5A8A3" w14:textId="77777777" w:rsidR="00D1587D" w:rsidRDefault="00D1587D">
            <w:pPr>
              <w:rPr>
                <w:sz w:val="4"/>
                <w:szCs w:val="4"/>
              </w:rPr>
            </w:pPr>
          </w:p>
        </w:tc>
        <w:tc>
          <w:tcPr>
            <w:tcW w:w="420" w:type="dxa"/>
            <w:gridSpan w:val="2"/>
            <w:tcBorders>
              <w:bottom w:val="single" w:sz="8" w:space="0" w:color="auto"/>
            </w:tcBorders>
            <w:vAlign w:val="bottom"/>
          </w:tcPr>
          <w:p w14:paraId="43835652" w14:textId="77777777" w:rsidR="00D1587D" w:rsidRDefault="00D1587D">
            <w:pPr>
              <w:rPr>
                <w:sz w:val="4"/>
                <w:szCs w:val="4"/>
              </w:rPr>
            </w:pPr>
          </w:p>
        </w:tc>
        <w:tc>
          <w:tcPr>
            <w:tcW w:w="80" w:type="dxa"/>
            <w:tcBorders>
              <w:bottom w:val="single" w:sz="8" w:space="0" w:color="auto"/>
            </w:tcBorders>
            <w:vAlign w:val="bottom"/>
          </w:tcPr>
          <w:p w14:paraId="20937137" w14:textId="77777777" w:rsidR="00D1587D" w:rsidRDefault="00D1587D">
            <w:pPr>
              <w:rPr>
                <w:sz w:val="4"/>
                <w:szCs w:val="4"/>
              </w:rPr>
            </w:pPr>
          </w:p>
        </w:tc>
        <w:tc>
          <w:tcPr>
            <w:tcW w:w="0" w:type="dxa"/>
            <w:vAlign w:val="bottom"/>
          </w:tcPr>
          <w:p w14:paraId="536B1442" w14:textId="77777777" w:rsidR="00D1587D" w:rsidRDefault="00D1587D">
            <w:pPr>
              <w:rPr>
                <w:sz w:val="1"/>
                <w:szCs w:val="1"/>
              </w:rPr>
            </w:pPr>
          </w:p>
        </w:tc>
      </w:tr>
      <w:tr w:rsidR="00D1587D" w14:paraId="6AE4F039" w14:textId="77777777">
        <w:trPr>
          <w:trHeight w:val="311"/>
        </w:trPr>
        <w:tc>
          <w:tcPr>
            <w:tcW w:w="6840" w:type="dxa"/>
            <w:tcBorders>
              <w:bottom w:val="single" w:sz="8" w:space="0" w:color="CCEEFF"/>
            </w:tcBorders>
            <w:shd w:val="clear" w:color="auto" w:fill="CCEEFF"/>
            <w:vAlign w:val="bottom"/>
          </w:tcPr>
          <w:p w14:paraId="4F0815EB" w14:textId="77777777" w:rsidR="00D1587D" w:rsidRDefault="00410D07">
            <w:pPr>
              <w:rPr>
                <w:sz w:val="20"/>
                <w:szCs w:val="20"/>
              </w:rPr>
            </w:pPr>
            <w:r>
              <w:rPr>
                <w:rFonts w:ascii="Arial" w:eastAsia="Arial" w:hAnsi="Arial" w:cs="Arial"/>
                <w:sz w:val="18"/>
                <w:szCs w:val="18"/>
              </w:rPr>
              <w:t>Net Income (Loss)</w:t>
            </w:r>
          </w:p>
        </w:tc>
        <w:tc>
          <w:tcPr>
            <w:tcW w:w="460" w:type="dxa"/>
            <w:gridSpan w:val="4"/>
            <w:tcBorders>
              <w:bottom w:val="single" w:sz="8" w:space="0" w:color="CCEEFF"/>
            </w:tcBorders>
            <w:shd w:val="clear" w:color="auto" w:fill="CCEEFF"/>
            <w:vAlign w:val="bottom"/>
          </w:tcPr>
          <w:p w14:paraId="043DC6E5" w14:textId="77777777" w:rsidR="00D1587D" w:rsidRDefault="00410D07">
            <w:pPr>
              <w:jc w:val="right"/>
              <w:rPr>
                <w:sz w:val="20"/>
                <w:szCs w:val="20"/>
              </w:rPr>
            </w:pPr>
            <w:r>
              <w:rPr>
                <w:rFonts w:ascii="Arial" w:eastAsia="Arial" w:hAnsi="Arial" w:cs="Arial"/>
                <w:sz w:val="18"/>
                <w:szCs w:val="18"/>
              </w:rPr>
              <w:t>$174</w:t>
            </w:r>
          </w:p>
        </w:tc>
        <w:tc>
          <w:tcPr>
            <w:tcW w:w="40" w:type="dxa"/>
            <w:tcBorders>
              <w:bottom w:val="single" w:sz="8" w:space="0" w:color="CCEEFF"/>
            </w:tcBorders>
            <w:shd w:val="clear" w:color="auto" w:fill="CCEEFF"/>
            <w:vAlign w:val="bottom"/>
          </w:tcPr>
          <w:p w14:paraId="5103EF98" w14:textId="77777777" w:rsidR="00D1587D" w:rsidRDefault="00D1587D">
            <w:pPr>
              <w:rPr>
                <w:sz w:val="24"/>
                <w:szCs w:val="24"/>
              </w:rPr>
            </w:pPr>
          </w:p>
        </w:tc>
        <w:tc>
          <w:tcPr>
            <w:tcW w:w="20" w:type="dxa"/>
            <w:tcBorders>
              <w:bottom w:val="single" w:sz="8" w:space="0" w:color="CCEEFF"/>
            </w:tcBorders>
            <w:shd w:val="clear" w:color="auto" w:fill="CCEEFF"/>
            <w:vAlign w:val="bottom"/>
          </w:tcPr>
          <w:p w14:paraId="1F0B8119" w14:textId="77777777" w:rsidR="00D1587D" w:rsidRDefault="00D1587D">
            <w:pPr>
              <w:rPr>
                <w:sz w:val="24"/>
                <w:szCs w:val="24"/>
              </w:rPr>
            </w:pPr>
          </w:p>
        </w:tc>
        <w:tc>
          <w:tcPr>
            <w:tcW w:w="60" w:type="dxa"/>
            <w:tcBorders>
              <w:bottom w:val="single" w:sz="8" w:space="0" w:color="CCEEFF"/>
            </w:tcBorders>
            <w:shd w:val="clear" w:color="auto" w:fill="CCEEFF"/>
            <w:vAlign w:val="bottom"/>
          </w:tcPr>
          <w:p w14:paraId="17645E9F" w14:textId="77777777" w:rsidR="00D1587D" w:rsidRDefault="00D1587D">
            <w:pPr>
              <w:rPr>
                <w:sz w:val="24"/>
                <w:szCs w:val="24"/>
              </w:rPr>
            </w:pPr>
          </w:p>
        </w:tc>
        <w:tc>
          <w:tcPr>
            <w:tcW w:w="500" w:type="dxa"/>
            <w:tcBorders>
              <w:bottom w:val="single" w:sz="8" w:space="0" w:color="CCEEFF"/>
            </w:tcBorders>
            <w:shd w:val="clear" w:color="auto" w:fill="CCEEFF"/>
            <w:vAlign w:val="bottom"/>
          </w:tcPr>
          <w:p w14:paraId="008EB8A1" w14:textId="77777777" w:rsidR="00D1587D" w:rsidRDefault="00D1587D">
            <w:pPr>
              <w:rPr>
                <w:sz w:val="24"/>
                <w:szCs w:val="24"/>
              </w:rPr>
            </w:pPr>
          </w:p>
        </w:tc>
        <w:tc>
          <w:tcPr>
            <w:tcW w:w="500" w:type="dxa"/>
            <w:gridSpan w:val="3"/>
            <w:tcBorders>
              <w:bottom w:val="single" w:sz="8" w:space="0" w:color="CCEEFF"/>
            </w:tcBorders>
            <w:shd w:val="clear" w:color="auto" w:fill="CCEEFF"/>
            <w:vAlign w:val="bottom"/>
          </w:tcPr>
          <w:p w14:paraId="7E4DBB2C" w14:textId="77777777" w:rsidR="00D1587D" w:rsidRDefault="00410D07">
            <w:pPr>
              <w:ind w:right="20"/>
              <w:jc w:val="right"/>
              <w:rPr>
                <w:sz w:val="20"/>
                <w:szCs w:val="20"/>
              </w:rPr>
            </w:pPr>
            <w:r>
              <w:rPr>
                <w:rFonts w:ascii="Arial" w:eastAsia="Arial" w:hAnsi="Arial" w:cs="Arial"/>
                <w:w w:val="88"/>
                <w:sz w:val="18"/>
                <w:szCs w:val="18"/>
              </w:rPr>
              <w:t>$(299)</w:t>
            </w:r>
          </w:p>
        </w:tc>
        <w:tc>
          <w:tcPr>
            <w:tcW w:w="0" w:type="dxa"/>
            <w:vAlign w:val="bottom"/>
          </w:tcPr>
          <w:p w14:paraId="07127A27" w14:textId="77777777" w:rsidR="00D1587D" w:rsidRDefault="00D1587D">
            <w:pPr>
              <w:rPr>
                <w:sz w:val="1"/>
                <w:szCs w:val="1"/>
              </w:rPr>
            </w:pPr>
          </w:p>
        </w:tc>
      </w:tr>
      <w:tr w:rsidR="00D1587D" w14:paraId="08C981E9" w14:textId="77777777">
        <w:trPr>
          <w:trHeight w:val="270"/>
        </w:trPr>
        <w:tc>
          <w:tcPr>
            <w:tcW w:w="6840" w:type="dxa"/>
            <w:vAlign w:val="bottom"/>
          </w:tcPr>
          <w:p w14:paraId="6BE0B48A" w14:textId="77777777" w:rsidR="00D1587D" w:rsidRDefault="00410D07">
            <w:pPr>
              <w:rPr>
                <w:sz w:val="20"/>
                <w:szCs w:val="20"/>
              </w:rPr>
            </w:pPr>
            <w:r>
              <w:rPr>
                <w:rFonts w:ascii="Arial" w:eastAsia="Arial" w:hAnsi="Arial" w:cs="Arial"/>
                <w:sz w:val="18"/>
                <w:szCs w:val="18"/>
              </w:rPr>
              <w:t>Other Comprehensive Income (Loss), Net of Tax:</w:t>
            </w:r>
          </w:p>
        </w:tc>
        <w:tc>
          <w:tcPr>
            <w:tcW w:w="100" w:type="dxa"/>
            <w:vAlign w:val="bottom"/>
          </w:tcPr>
          <w:p w14:paraId="267AF976" w14:textId="77777777" w:rsidR="00D1587D" w:rsidRDefault="00D1587D">
            <w:pPr>
              <w:rPr>
                <w:sz w:val="23"/>
                <w:szCs w:val="23"/>
              </w:rPr>
            </w:pPr>
          </w:p>
        </w:tc>
        <w:tc>
          <w:tcPr>
            <w:tcW w:w="100" w:type="dxa"/>
            <w:vAlign w:val="bottom"/>
          </w:tcPr>
          <w:p w14:paraId="56C0E9ED" w14:textId="77777777" w:rsidR="00D1587D" w:rsidRDefault="00D1587D">
            <w:pPr>
              <w:rPr>
                <w:sz w:val="23"/>
                <w:szCs w:val="23"/>
              </w:rPr>
            </w:pPr>
          </w:p>
        </w:tc>
        <w:tc>
          <w:tcPr>
            <w:tcW w:w="240" w:type="dxa"/>
            <w:vAlign w:val="bottom"/>
          </w:tcPr>
          <w:p w14:paraId="41DAFC91" w14:textId="77777777" w:rsidR="00D1587D" w:rsidRDefault="00D1587D">
            <w:pPr>
              <w:rPr>
                <w:sz w:val="23"/>
                <w:szCs w:val="23"/>
              </w:rPr>
            </w:pPr>
          </w:p>
        </w:tc>
        <w:tc>
          <w:tcPr>
            <w:tcW w:w="20" w:type="dxa"/>
            <w:vAlign w:val="bottom"/>
          </w:tcPr>
          <w:p w14:paraId="09182DDB" w14:textId="77777777" w:rsidR="00D1587D" w:rsidRDefault="00D1587D">
            <w:pPr>
              <w:rPr>
                <w:sz w:val="23"/>
                <w:szCs w:val="23"/>
              </w:rPr>
            </w:pPr>
          </w:p>
        </w:tc>
        <w:tc>
          <w:tcPr>
            <w:tcW w:w="40" w:type="dxa"/>
            <w:vAlign w:val="bottom"/>
          </w:tcPr>
          <w:p w14:paraId="7FA3E29A" w14:textId="77777777" w:rsidR="00D1587D" w:rsidRDefault="00D1587D">
            <w:pPr>
              <w:rPr>
                <w:sz w:val="23"/>
                <w:szCs w:val="23"/>
              </w:rPr>
            </w:pPr>
          </w:p>
        </w:tc>
        <w:tc>
          <w:tcPr>
            <w:tcW w:w="20" w:type="dxa"/>
            <w:vAlign w:val="bottom"/>
          </w:tcPr>
          <w:p w14:paraId="4D39290D" w14:textId="77777777" w:rsidR="00D1587D" w:rsidRDefault="00D1587D">
            <w:pPr>
              <w:rPr>
                <w:sz w:val="23"/>
                <w:szCs w:val="23"/>
              </w:rPr>
            </w:pPr>
          </w:p>
        </w:tc>
        <w:tc>
          <w:tcPr>
            <w:tcW w:w="60" w:type="dxa"/>
            <w:vAlign w:val="bottom"/>
          </w:tcPr>
          <w:p w14:paraId="24E8C259" w14:textId="77777777" w:rsidR="00D1587D" w:rsidRDefault="00D1587D">
            <w:pPr>
              <w:rPr>
                <w:sz w:val="23"/>
                <w:szCs w:val="23"/>
              </w:rPr>
            </w:pPr>
          </w:p>
        </w:tc>
        <w:tc>
          <w:tcPr>
            <w:tcW w:w="500" w:type="dxa"/>
            <w:vAlign w:val="bottom"/>
          </w:tcPr>
          <w:p w14:paraId="10749605" w14:textId="77777777" w:rsidR="00D1587D" w:rsidRDefault="00D1587D">
            <w:pPr>
              <w:rPr>
                <w:sz w:val="23"/>
                <w:szCs w:val="23"/>
              </w:rPr>
            </w:pPr>
          </w:p>
        </w:tc>
        <w:tc>
          <w:tcPr>
            <w:tcW w:w="100" w:type="dxa"/>
            <w:vAlign w:val="bottom"/>
          </w:tcPr>
          <w:p w14:paraId="63ABEE71" w14:textId="77777777" w:rsidR="00D1587D" w:rsidRDefault="00D1587D">
            <w:pPr>
              <w:rPr>
                <w:sz w:val="23"/>
                <w:szCs w:val="23"/>
              </w:rPr>
            </w:pPr>
          </w:p>
        </w:tc>
        <w:tc>
          <w:tcPr>
            <w:tcW w:w="320" w:type="dxa"/>
            <w:vAlign w:val="bottom"/>
          </w:tcPr>
          <w:p w14:paraId="55E760D5" w14:textId="77777777" w:rsidR="00D1587D" w:rsidRDefault="00D1587D">
            <w:pPr>
              <w:rPr>
                <w:sz w:val="23"/>
                <w:szCs w:val="23"/>
              </w:rPr>
            </w:pPr>
          </w:p>
        </w:tc>
        <w:tc>
          <w:tcPr>
            <w:tcW w:w="80" w:type="dxa"/>
            <w:vAlign w:val="bottom"/>
          </w:tcPr>
          <w:p w14:paraId="287AA7EB" w14:textId="77777777" w:rsidR="00D1587D" w:rsidRDefault="00D1587D">
            <w:pPr>
              <w:rPr>
                <w:sz w:val="23"/>
                <w:szCs w:val="23"/>
              </w:rPr>
            </w:pPr>
          </w:p>
        </w:tc>
        <w:tc>
          <w:tcPr>
            <w:tcW w:w="0" w:type="dxa"/>
            <w:vAlign w:val="bottom"/>
          </w:tcPr>
          <w:p w14:paraId="0488A25D" w14:textId="77777777" w:rsidR="00D1587D" w:rsidRDefault="00D1587D">
            <w:pPr>
              <w:rPr>
                <w:sz w:val="1"/>
                <w:szCs w:val="1"/>
              </w:rPr>
            </w:pPr>
          </w:p>
        </w:tc>
      </w:tr>
      <w:tr w:rsidR="00D1587D" w14:paraId="65ABD97F" w14:textId="77777777">
        <w:trPr>
          <w:trHeight w:val="54"/>
        </w:trPr>
        <w:tc>
          <w:tcPr>
            <w:tcW w:w="6840" w:type="dxa"/>
            <w:vAlign w:val="bottom"/>
          </w:tcPr>
          <w:p w14:paraId="35897CFF" w14:textId="77777777" w:rsidR="00D1587D" w:rsidRDefault="00D1587D">
            <w:pPr>
              <w:rPr>
                <w:sz w:val="4"/>
                <w:szCs w:val="4"/>
              </w:rPr>
            </w:pPr>
          </w:p>
        </w:tc>
        <w:tc>
          <w:tcPr>
            <w:tcW w:w="100" w:type="dxa"/>
            <w:vAlign w:val="bottom"/>
          </w:tcPr>
          <w:p w14:paraId="768D02B3" w14:textId="77777777" w:rsidR="00D1587D" w:rsidRDefault="00D1587D">
            <w:pPr>
              <w:rPr>
                <w:sz w:val="4"/>
                <w:szCs w:val="4"/>
              </w:rPr>
            </w:pPr>
          </w:p>
        </w:tc>
        <w:tc>
          <w:tcPr>
            <w:tcW w:w="100" w:type="dxa"/>
            <w:vAlign w:val="bottom"/>
          </w:tcPr>
          <w:p w14:paraId="1AAD727C" w14:textId="77777777" w:rsidR="00D1587D" w:rsidRDefault="00D1587D">
            <w:pPr>
              <w:rPr>
                <w:sz w:val="4"/>
                <w:szCs w:val="4"/>
              </w:rPr>
            </w:pPr>
          </w:p>
        </w:tc>
        <w:tc>
          <w:tcPr>
            <w:tcW w:w="240" w:type="dxa"/>
            <w:vAlign w:val="bottom"/>
          </w:tcPr>
          <w:p w14:paraId="0B0DB06E" w14:textId="77777777" w:rsidR="00D1587D" w:rsidRDefault="00D1587D">
            <w:pPr>
              <w:rPr>
                <w:sz w:val="4"/>
                <w:szCs w:val="4"/>
              </w:rPr>
            </w:pPr>
          </w:p>
        </w:tc>
        <w:tc>
          <w:tcPr>
            <w:tcW w:w="20" w:type="dxa"/>
            <w:vAlign w:val="bottom"/>
          </w:tcPr>
          <w:p w14:paraId="273613F9" w14:textId="77777777" w:rsidR="00D1587D" w:rsidRDefault="00D1587D">
            <w:pPr>
              <w:rPr>
                <w:sz w:val="4"/>
                <w:szCs w:val="4"/>
              </w:rPr>
            </w:pPr>
          </w:p>
        </w:tc>
        <w:tc>
          <w:tcPr>
            <w:tcW w:w="40" w:type="dxa"/>
            <w:vAlign w:val="bottom"/>
          </w:tcPr>
          <w:p w14:paraId="60A91125" w14:textId="77777777" w:rsidR="00D1587D" w:rsidRDefault="00D1587D">
            <w:pPr>
              <w:rPr>
                <w:sz w:val="4"/>
                <w:szCs w:val="4"/>
              </w:rPr>
            </w:pPr>
          </w:p>
        </w:tc>
        <w:tc>
          <w:tcPr>
            <w:tcW w:w="20" w:type="dxa"/>
            <w:vAlign w:val="bottom"/>
          </w:tcPr>
          <w:p w14:paraId="5103A28A" w14:textId="77777777" w:rsidR="00D1587D" w:rsidRDefault="00D1587D">
            <w:pPr>
              <w:rPr>
                <w:sz w:val="4"/>
                <w:szCs w:val="4"/>
              </w:rPr>
            </w:pPr>
          </w:p>
        </w:tc>
        <w:tc>
          <w:tcPr>
            <w:tcW w:w="60" w:type="dxa"/>
            <w:vAlign w:val="bottom"/>
          </w:tcPr>
          <w:p w14:paraId="137F69C4" w14:textId="77777777" w:rsidR="00D1587D" w:rsidRDefault="00D1587D">
            <w:pPr>
              <w:rPr>
                <w:sz w:val="4"/>
                <w:szCs w:val="4"/>
              </w:rPr>
            </w:pPr>
          </w:p>
        </w:tc>
        <w:tc>
          <w:tcPr>
            <w:tcW w:w="500" w:type="dxa"/>
            <w:vAlign w:val="bottom"/>
          </w:tcPr>
          <w:p w14:paraId="1A0951AE" w14:textId="77777777" w:rsidR="00D1587D" w:rsidRDefault="00D1587D">
            <w:pPr>
              <w:rPr>
                <w:sz w:val="4"/>
                <w:szCs w:val="4"/>
              </w:rPr>
            </w:pPr>
          </w:p>
        </w:tc>
        <w:tc>
          <w:tcPr>
            <w:tcW w:w="100" w:type="dxa"/>
            <w:vAlign w:val="bottom"/>
          </w:tcPr>
          <w:p w14:paraId="728F5301" w14:textId="77777777" w:rsidR="00D1587D" w:rsidRDefault="00D1587D">
            <w:pPr>
              <w:rPr>
                <w:sz w:val="4"/>
                <w:szCs w:val="4"/>
              </w:rPr>
            </w:pPr>
          </w:p>
        </w:tc>
        <w:tc>
          <w:tcPr>
            <w:tcW w:w="320" w:type="dxa"/>
            <w:vAlign w:val="bottom"/>
          </w:tcPr>
          <w:p w14:paraId="7F70428C" w14:textId="77777777" w:rsidR="00D1587D" w:rsidRDefault="00D1587D">
            <w:pPr>
              <w:rPr>
                <w:sz w:val="4"/>
                <w:szCs w:val="4"/>
              </w:rPr>
            </w:pPr>
          </w:p>
        </w:tc>
        <w:tc>
          <w:tcPr>
            <w:tcW w:w="80" w:type="dxa"/>
            <w:vAlign w:val="bottom"/>
          </w:tcPr>
          <w:p w14:paraId="10B5F85D" w14:textId="77777777" w:rsidR="00D1587D" w:rsidRDefault="00D1587D">
            <w:pPr>
              <w:rPr>
                <w:sz w:val="4"/>
                <w:szCs w:val="4"/>
              </w:rPr>
            </w:pPr>
          </w:p>
        </w:tc>
        <w:tc>
          <w:tcPr>
            <w:tcW w:w="0" w:type="dxa"/>
            <w:vAlign w:val="bottom"/>
          </w:tcPr>
          <w:p w14:paraId="3005B2DF" w14:textId="77777777" w:rsidR="00D1587D" w:rsidRDefault="00D1587D">
            <w:pPr>
              <w:rPr>
                <w:sz w:val="1"/>
                <w:szCs w:val="1"/>
              </w:rPr>
            </w:pPr>
          </w:p>
        </w:tc>
      </w:tr>
      <w:tr w:rsidR="00D1587D" w14:paraId="1964E0A9" w14:textId="77777777">
        <w:trPr>
          <w:trHeight w:val="304"/>
        </w:trPr>
        <w:tc>
          <w:tcPr>
            <w:tcW w:w="6840" w:type="dxa"/>
            <w:tcBorders>
              <w:bottom w:val="single" w:sz="8" w:space="0" w:color="CCEEFF"/>
            </w:tcBorders>
            <w:shd w:val="clear" w:color="auto" w:fill="CCEEFF"/>
            <w:vAlign w:val="bottom"/>
          </w:tcPr>
          <w:p w14:paraId="0CC3B7BA" w14:textId="77777777" w:rsidR="00D1587D" w:rsidRDefault="00410D07">
            <w:pPr>
              <w:rPr>
                <w:sz w:val="20"/>
                <w:szCs w:val="20"/>
              </w:rPr>
            </w:pPr>
            <w:r>
              <w:rPr>
                <w:rFonts w:ascii="Arial" w:eastAsia="Arial" w:hAnsi="Arial" w:cs="Arial"/>
                <w:sz w:val="18"/>
                <w:szCs w:val="18"/>
              </w:rPr>
              <w:t>Foreign Currency Translation</w:t>
            </w:r>
          </w:p>
        </w:tc>
        <w:tc>
          <w:tcPr>
            <w:tcW w:w="100" w:type="dxa"/>
            <w:tcBorders>
              <w:bottom w:val="single" w:sz="8" w:space="0" w:color="CCEEFF"/>
            </w:tcBorders>
            <w:shd w:val="clear" w:color="auto" w:fill="CCEEFF"/>
            <w:vAlign w:val="bottom"/>
          </w:tcPr>
          <w:p w14:paraId="4B6C2533" w14:textId="77777777" w:rsidR="00D1587D" w:rsidRDefault="00D1587D">
            <w:pPr>
              <w:rPr>
                <w:sz w:val="24"/>
                <w:szCs w:val="24"/>
              </w:rPr>
            </w:pPr>
          </w:p>
        </w:tc>
        <w:tc>
          <w:tcPr>
            <w:tcW w:w="100" w:type="dxa"/>
            <w:tcBorders>
              <w:bottom w:val="single" w:sz="8" w:space="0" w:color="CCEEFF"/>
            </w:tcBorders>
            <w:shd w:val="clear" w:color="auto" w:fill="CCEEFF"/>
            <w:vAlign w:val="bottom"/>
          </w:tcPr>
          <w:p w14:paraId="0EDBEC13" w14:textId="77777777" w:rsidR="00D1587D" w:rsidRDefault="00D1587D">
            <w:pPr>
              <w:rPr>
                <w:sz w:val="24"/>
                <w:szCs w:val="24"/>
              </w:rPr>
            </w:pPr>
          </w:p>
        </w:tc>
        <w:tc>
          <w:tcPr>
            <w:tcW w:w="260" w:type="dxa"/>
            <w:gridSpan w:val="2"/>
            <w:tcBorders>
              <w:bottom w:val="single" w:sz="8" w:space="0" w:color="CCEEFF"/>
            </w:tcBorders>
            <w:shd w:val="clear" w:color="auto" w:fill="CCEEFF"/>
            <w:vAlign w:val="bottom"/>
          </w:tcPr>
          <w:p w14:paraId="25FC4083" w14:textId="77777777" w:rsidR="00D1587D" w:rsidRDefault="00410D07">
            <w:pPr>
              <w:jc w:val="right"/>
              <w:rPr>
                <w:sz w:val="20"/>
                <w:szCs w:val="20"/>
              </w:rPr>
            </w:pPr>
            <w:r>
              <w:rPr>
                <w:rFonts w:ascii="Arial" w:eastAsia="Arial" w:hAnsi="Arial" w:cs="Arial"/>
                <w:sz w:val="18"/>
                <w:szCs w:val="18"/>
              </w:rPr>
              <w:t>4</w:t>
            </w:r>
          </w:p>
        </w:tc>
        <w:tc>
          <w:tcPr>
            <w:tcW w:w="40" w:type="dxa"/>
            <w:tcBorders>
              <w:bottom w:val="single" w:sz="8" w:space="0" w:color="CCEEFF"/>
            </w:tcBorders>
            <w:shd w:val="clear" w:color="auto" w:fill="CCEEFF"/>
            <w:vAlign w:val="bottom"/>
          </w:tcPr>
          <w:p w14:paraId="5943B07D" w14:textId="77777777" w:rsidR="00D1587D" w:rsidRDefault="00D1587D">
            <w:pPr>
              <w:rPr>
                <w:sz w:val="24"/>
                <w:szCs w:val="24"/>
              </w:rPr>
            </w:pPr>
          </w:p>
        </w:tc>
        <w:tc>
          <w:tcPr>
            <w:tcW w:w="20" w:type="dxa"/>
            <w:tcBorders>
              <w:bottom w:val="single" w:sz="8" w:space="0" w:color="CCEEFF"/>
            </w:tcBorders>
            <w:shd w:val="clear" w:color="auto" w:fill="CCEEFF"/>
            <w:vAlign w:val="bottom"/>
          </w:tcPr>
          <w:p w14:paraId="14D68F84" w14:textId="77777777" w:rsidR="00D1587D" w:rsidRDefault="00D1587D">
            <w:pPr>
              <w:rPr>
                <w:sz w:val="24"/>
                <w:szCs w:val="24"/>
              </w:rPr>
            </w:pPr>
          </w:p>
        </w:tc>
        <w:tc>
          <w:tcPr>
            <w:tcW w:w="60" w:type="dxa"/>
            <w:tcBorders>
              <w:bottom w:val="single" w:sz="8" w:space="0" w:color="CCEEFF"/>
            </w:tcBorders>
            <w:shd w:val="clear" w:color="auto" w:fill="CCEEFF"/>
            <w:vAlign w:val="bottom"/>
          </w:tcPr>
          <w:p w14:paraId="064C8835" w14:textId="77777777" w:rsidR="00D1587D" w:rsidRDefault="00D1587D">
            <w:pPr>
              <w:rPr>
                <w:sz w:val="24"/>
                <w:szCs w:val="24"/>
              </w:rPr>
            </w:pPr>
          </w:p>
        </w:tc>
        <w:tc>
          <w:tcPr>
            <w:tcW w:w="500" w:type="dxa"/>
            <w:tcBorders>
              <w:bottom w:val="single" w:sz="8" w:space="0" w:color="CCEEFF"/>
            </w:tcBorders>
            <w:shd w:val="clear" w:color="auto" w:fill="CCEEFF"/>
            <w:vAlign w:val="bottom"/>
          </w:tcPr>
          <w:p w14:paraId="41121725" w14:textId="77777777" w:rsidR="00D1587D" w:rsidRDefault="00D1587D">
            <w:pPr>
              <w:rPr>
                <w:sz w:val="24"/>
                <w:szCs w:val="24"/>
              </w:rPr>
            </w:pPr>
          </w:p>
        </w:tc>
        <w:tc>
          <w:tcPr>
            <w:tcW w:w="100" w:type="dxa"/>
            <w:tcBorders>
              <w:bottom w:val="single" w:sz="8" w:space="0" w:color="CCEEFF"/>
            </w:tcBorders>
            <w:shd w:val="clear" w:color="auto" w:fill="CCEEFF"/>
            <w:vAlign w:val="bottom"/>
          </w:tcPr>
          <w:p w14:paraId="6E0EC1A0"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47271980" w14:textId="77777777" w:rsidR="00D1587D" w:rsidRDefault="00410D07">
            <w:pPr>
              <w:ind w:right="20"/>
              <w:jc w:val="right"/>
              <w:rPr>
                <w:sz w:val="20"/>
                <w:szCs w:val="20"/>
              </w:rPr>
            </w:pPr>
            <w:r>
              <w:rPr>
                <w:rFonts w:ascii="Arial" w:eastAsia="Arial" w:hAnsi="Arial" w:cs="Arial"/>
                <w:sz w:val="18"/>
                <w:szCs w:val="18"/>
              </w:rPr>
              <w:t>(5)</w:t>
            </w:r>
          </w:p>
        </w:tc>
        <w:tc>
          <w:tcPr>
            <w:tcW w:w="0" w:type="dxa"/>
            <w:vAlign w:val="bottom"/>
          </w:tcPr>
          <w:p w14:paraId="420A1F70" w14:textId="77777777" w:rsidR="00D1587D" w:rsidRDefault="00D1587D">
            <w:pPr>
              <w:rPr>
                <w:sz w:val="1"/>
                <w:szCs w:val="1"/>
              </w:rPr>
            </w:pPr>
          </w:p>
        </w:tc>
      </w:tr>
      <w:tr w:rsidR="00D1587D" w14:paraId="1804EB2C" w14:textId="77777777">
        <w:trPr>
          <w:trHeight w:val="257"/>
        </w:trPr>
        <w:tc>
          <w:tcPr>
            <w:tcW w:w="6840" w:type="dxa"/>
            <w:vAlign w:val="bottom"/>
          </w:tcPr>
          <w:p w14:paraId="4E0B661F" w14:textId="77777777" w:rsidR="00D1587D" w:rsidRDefault="00410D07">
            <w:pPr>
              <w:rPr>
                <w:sz w:val="20"/>
                <w:szCs w:val="20"/>
              </w:rPr>
            </w:pPr>
            <w:r>
              <w:rPr>
                <w:rFonts w:ascii="Arial" w:eastAsia="Arial" w:hAnsi="Arial" w:cs="Arial"/>
                <w:sz w:val="18"/>
                <w:szCs w:val="18"/>
              </w:rPr>
              <w:t>Unrealized Gain (Loss) on Cash Flow Hedges</w:t>
            </w:r>
          </w:p>
        </w:tc>
        <w:tc>
          <w:tcPr>
            <w:tcW w:w="100" w:type="dxa"/>
            <w:vAlign w:val="bottom"/>
          </w:tcPr>
          <w:p w14:paraId="26598BFB" w14:textId="77777777" w:rsidR="00D1587D" w:rsidRDefault="00D1587D"/>
        </w:tc>
        <w:tc>
          <w:tcPr>
            <w:tcW w:w="100" w:type="dxa"/>
            <w:vAlign w:val="bottom"/>
          </w:tcPr>
          <w:p w14:paraId="545BD20E" w14:textId="77777777" w:rsidR="00D1587D" w:rsidRDefault="00D1587D"/>
        </w:tc>
        <w:tc>
          <w:tcPr>
            <w:tcW w:w="300" w:type="dxa"/>
            <w:gridSpan w:val="3"/>
            <w:vAlign w:val="bottom"/>
          </w:tcPr>
          <w:p w14:paraId="619653ED" w14:textId="77777777" w:rsidR="00D1587D" w:rsidRDefault="00410D07">
            <w:pPr>
              <w:jc w:val="right"/>
              <w:rPr>
                <w:sz w:val="20"/>
                <w:szCs w:val="20"/>
              </w:rPr>
            </w:pPr>
            <w:r>
              <w:rPr>
                <w:rFonts w:ascii="Arial" w:eastAsia="Arial" w:hAnsi="Arial" w:cs="Arial"/>
                <w:sz w:val="18"/>
                <w:szCs w:val="18"/>
              </w:rPr>
              <w:t>(1)</w:t>
            </w:r>
          </w:p>
        </w:tc>
        <w:tc>
          <w:tcPr>
            <w:tcW w:w="20" w:type="dxa"/>
            <w:vAlign w:val="bottom"/>
          </w:tcPr>
          <w:p w14:paraId="5F1E9A11" w14:textId="77777777" w:rsidR="00D1587D" w:rsidRDefault="00D1587D"/>
        </w:tc>
        <w:tc>
          <w:tcPr>
            <w:tcW w:w="60" w:type="dxa"/>
            <w:vAlign w:val="bottom"/>
          </w:tcPr>
          <w:p w14:paraId="34095864" w14:textId="77777777" w:rsidR="00D1587D" w:rsidRDefault="00D1587D"/>
        </w:tc>
        <w:tc>
          <w:tcPr>
            <w:tcW w:w="500" w:type="dxa"/>
            <w:vAlign w:val="bottom"/>
          </w:tcPr>
          <w:p w14:paraId="6590C27A" w14:textId="77777777" w:rsidR="00D1587D" w:rsidRDefault="00D1587D"/>
        </w:tc>
        <w:tc>
          <w:tcPr>
            <w:tcW w:w="100" w:type="dxa"/>
            <w:vAlign w:val="bottom"/>
          </w:tcPr>
          <w:p w14:paraId="7D81AD77" w14:textId="77777777" w:rsidR="00D1587D" w:rsidRDefault="00D1587D"/>
        </w:tc>
        <w:tc>
          <w:tcPr>
            <w:tcW w:w="320" w:type="dxa"/>
            <w:vAlign w:val="bottom"/>
          </w:tcPr>
          <w:p w14:paraId="72E8A4B0" w14:textId="77777777" w:rsidR="00D1587D" w:rsidRDefault="00410D07">
            <w:pPr>
              <w:jc w:val="right"/>
              <w:rPr>
                <w:sz w:val="20"/>
                <w:szCs w:val="20"/>
              </w:rPr>
            </w:pPr>
            <w:r>
              <w:rPr>
                <w:rFonts w:ascii="Arial" w:eastAsia="Arial" w:hAnsi="Arial" w:cs="Arial"/>
                <w:sz w:val="18"/>
                <w:szCs w:val="18"/>
              </w:rPr>
              <w:t>3</w:t>
            </w:r>
          </w:p>
        </w:tc>
        <w:tc>
          <w:tcPr>
            <w:tcW w:w="80" w:type="dxa"/>
            <w:vAlign w:val="bottom"/>
          </w:tcPr>
          <w:p w14:paraId="6202FAE2" w14:textId="77777777" w:rsidR="00D1587D" w:rsidRDefault="00D1587D"/>
        </w:tc>
        <w:tc>
          <w:tcPr>
            <w:tcW w:w="0" w:type="dxa"/>
            <w:vAlign w:val="bottom"/>
          </w:tcPr>
          <w:p w14:paraId="275F8F30" w14:textId="77777777" w:rsidR="00D1587D" w:rsidRDefault="00D1587D">
            <w:pPr>
              <w:rPr>
                <w:sz w:val="1"/>
                <w:szCs w:val="1"/>
              </w:rPr>
            </w:pPr>
          </w:p>
        </w:tc>
      </w:tr>
      <w:tr w:rsidR="00D1587D" w14:paraId="4F1AC9B6" w14:textId="77777777">
        <w:trPr>
          <w:trHeight w:val="61"/>
        </w:trPr>
        <w:tc>
          <w:tcPr>
            <w:tcW w:w="6840" w:type="dxa"/>
            <w:vAlign w:val="bottom"/>
          </w:tcPr>
          <w:p w14:paraId="0FBEBC72" w14:textId="77777777" w:rsidR="00D1587D" w:rsidRDefault="00D1587D">
            <w:pPr>
              <w:rPr>
                <w:sz w:val="5"/>
                <w:szCs w:val="5"/>
              </w:rPr>
            </w:pPr>
          </w:p>
        </w:tc>
        <w:tc>
          <w:tcPr>
            <w:tcW w:w="100" w:type="dxa"/>
            <w:vAlign w:val="bottom"/>
          </w:tcPr>
          <w:p w14:paraId="23502381" w14:textId="77777777" w:rsidR="00D1587D" w:rsidRDefault="00D1587D">
            <w:pPr>
              <w:rPr>
                <w:sz w:val="5"/>
                <w:szCs w:val="5"/>
              </w:rPr>
            </w:pPr>
          </w:p>
        </w:tc>
        <w:tc>
          <w:tcPr>
            <w:tcW w:w="100" w:type="dxa"/>
            <w:tcBorders>
              <w:top w:val="single" w:sz="8" w:space="0" w:color="auto"/>
            </w:tcBorders>
            <w:vAlign w:val="bottom"/>
          </w:tcPr>
          <w:p w14:paraId="546EC748" w14:textId="77777777" w:rsidR="00D1587D" w:rsidRDefault="00D1587D">
            <w:pPr>
              <w:rPr>
                <w:sz w:val="5"/>
                <w:szCs w:val="5"/>
              </w:rPr>
            </w:pPr>
          </w:p>
        </w:tc>
        <w:tc>
          <w:tcPr>
            <w:tcW w:w="240" w:type="dxa"/>
            <w:tcBorders>
              <w:top w:val="single" w:sz="8" w:space="0" w:color="auto"/>
            </w:tcBorders>
            <w:vAlign w:val="bottom"/>
          </w:tcPr>
          <w:p w14:paraId="38DFF092" w14:textId="77777777" w:rsidR="00D1587D" w:rsidRDefault="00D1587D">
            <w:pPr>
              <w:rPr>
                <w:sz w:val="5"/>
                <w:szCs w:val="5"/>
              </w:rPr>
            </w:pPr>
          </w:p>
        </w:tc>
        <w:tc>
          <w:tcPr>
            <w:tcW w:w="20" w:type="dxa"/>
            <w:vAlign w:val="bottom"/>
          </w:tcPr>
          <w:p w14:paraId="021CDB99" w14:textId="77777777" w:rsidR="00D1587D" w:rsidRDefault="00D1587D">
            <w:pPr>
              <w:rPr>
                <w:sz w:val="5"/>
                <w:szCs w:val="5"/>
              </w:rPr>
            </w:pPr>
          </w:p>
        </w:tc>
        <w:tc>
          <w:tcPr>
            <w:tcW w:w="40" w:type="dxa"/>
            <w:vAlign w:val="bottom"/>
          </w:tcPr>
          <w:p w14:paraId="282125CB" w14:textId="77777777" w:rsidR="00D1587D" w:rsidRDefault="00D1587D">
            <w:pPr>
              <w:rPr>
                <w:sz w:val="5"/>
                <w:szCs w:val="5"/>
              </w:rPr>
            </w:pPr>
          </w:p>
        </w:tc>
        <w:tc>
          <w:tcPr>
            <w:tcW w:w="20" w:type="dxa"/>
            <w:vAlign w:val="bottom"/>
          </w:tcPr>
          <w:p w14:paraId="1AB3B2D8" w14:textId="77777777" w:rsidR="00D1587D" w:rsidRDefault="00D1587D">
            <w:pPr>
              <w:rPr>
                <w:sz w:val="5"/>
                <w:szCs w:val="5"/>
              </w:rPr>
            </w:pPr>
          </w:p>
        </w:tc>
        <w:tc>
          <w:tcPr>
            <w:tcW w:w="60" w:type="dxa"/>
            <w:vAlign w:val="bottom"/>
          </w:tcPr>
          <w:p w14:paraId="7AE0C7A1" w14:textId="77777777" w:rsidR="00D1587D" w:rsidRDefault="00D1587D">
            <w:pPr>
              <w:rPr>
                <w:sz w:val="5"/>
                <w:szCs w:val="5"/>
              </w:rPr>
            </w:pPr>
          </w:p>
        </w:tc>
        <w:tc>
          <w:tcPr>
            <w:tcW w:w="500" w:type="dxa"/>
            <w:vAlign w:val="bottom"/>
          </w:tcPr>
          <w:p w14:paraId="1C57706A" w14:textId="77777777" w:rsidR="00D1587D" w:rsidRDefault="00D1587D">
            <w:pPr>
              <w:rPr>
                <w:sz w:val="5"/>
                <w:szCs w:val="5"/>
              </w:rPr>
            </w:pPr>
          </w:p>
        </w:tc>
        <w:tc>
          <w:tcPr>
            <w:tcW w:w="100" w:type="dxa"/>
            <w:tcBorders>
              <w:top w:val="single" w:sz="8" w:space="0" w:color="auto"/>
            </w:tcBorders>
            <w:vAlign w:val="bottom"/>
          </w:tcPr>
          <w:p w14:paraId="61804EF9" w14:textId="77777777" w:rsidR="00D1587D" w:rsidRDefault="00D1587D">
            <w:pPr>
              <w:rPr>
                <w:sz w:val="5"/>
                <w:szCs w:val="5"/>
              </w:rPr>
            </w:pPr>
          </w:p>
        </w:tc>
        <w:tc>
          <w:tcPr>
            <w:tcW w:w="320" w:type="dxa"/>
            <w:tcBorders>
              <w:top w:val="single" w:sz="8" w:space="0" w:color="auto"/>
            </w:tcBorders>
            <w:vAlign w:val="bottom"/>
          </w:tcPr>
          <w:p w14:paraId="126296B4" w14:textId="77777777" w:rsidR="00D1587D" w:rsidRDefault="00D1587D">
            <w:pPr>
              <w:rPr>
                <w:sz w:val="5"/>
                <w:szCs w:val="5"/>
              </w:rPr>
            </w:pPr>
          </w:p>
        </w:tc>
        <w:tc>
          <w:tcPr>
            <w:tcW w:w="80" w:type="dxa"/>
            <w:vAlign w:val="bottom"/>
          </w:tcPr>
          <w:p w14:paraId="6B3C2E9C" w14:textId="77777777" w:rsidR="00D1587D" w:rsidRDefault="00D1587D">
            <w:pPr>
              <w:rPr>
                <w:sz w:val="5"/>
                <w:szCs w:val="5"/>
              </w:rPr>
            </w:pPr>
          </w:p>
        </w:tc>
        <w:tc>
          <w:tcPr>
            <w:tcW w:w="0" w:type="dxa"/>
            <w:vAlign w:val="bottom"/>
          </w:tcPr>
          <w:p w14:paraId="7ED511DA" w14:textId="77777777" w:rsidR="00D1587D" w:rsidRDefault="00D1587D">
            <w:pPr>
              <w:rPr>
                <w:sz w:val="1"/>
                <w:szCs w:val="1"/>
              </w:rPr>
            </w:pPr>
          </w:p>
        </w:tc>
      </w:tr>
      <w:tr w:rsidR="00D1587D" w14:paraId="6AADB31D" w14:textId="77777777">
        <w:trPr>
          <w:trHeight w:val="270"/>
        </w:trPr>
        <w:tc>
          <w:tcPr>
            <w:tcW w:w="6840" w:type="dxa"/>
            <w:shd w:val="clear" w:color="auto" w:fill="CCEEFF"/>
            <w:vAlign w:val="bottom"/>
          </w:tcPr>
          <w:p w14:paraId="51B92C26" w14:textId="77777777" w:rsidR="00D1587D" w:rsidRDefault="00410D07">
            <w:pPr>
              <w:rPr>
                <w:sz w:val="20"/>
                <w:szCs w:val="20"/>
              </w:rPr>
            </w:pPr>
            <w:r>
              <w:rPr>
                <w:rFonts w:ascii="Arial" w:eastAsia="Arial" w:hAnsi="Arial" w:cs="Arial"/>
                <w:sz w:val="18"/>
                <w:szCs w:val="18"/>
              </w:rPr>
              <w:t xml:space="preserve">Total Other Comprehensive Income (Loss), Net </w:t>
            </w:r>
            <w:r>
              <w:rPr>
                <w:rFonts w:ascii="Arial" w:eastAsia="Arial" w:hAnsi="Arial" w:cs="Arial"/>
                <w:sz w:val="18"/>
                <w:szCs w:val="18"/>
              </w:rPr>
              <w:t>of Tax</w:t>
            </w:r>
          </w:p>
        </w:tc>
        <w:tc>
          <w:tcPr>
            <w:tcW w:w="200" w:type="dxa"/>
            <w:gridSpan w:val="2"/>
            <w:shd w:val="clear" w:color="auto" w:fill="CCEEFF"/>
            <w:vAlign w:val="bottom"/>
          </w:tcPr>
          <w:p w14:paraId="47DF9043" w14:textId="77777777" w:rsidR="00D1587D" w:rsidRDefault="00410D07">
            <w:pPr>
              <w:ind w:right="20"/>
              <w:jc w:val="right"/>
              <w:rPr>
                <w:sz w:val="20"/>
                <w:szCs w:val="20"/>
              </w:rPr>
            </w:pPr>
            <w:r>
              <w:rPr>
                <w:rFonts w:ascii="Arial" w:eastAsia="Arial" w:hAnsi="Arial" w:cs="Arial"/>
                <w:sz w:val="18"/>
                <w:szCs w:val="18"/>
              </w:rPr>
              <w:t>$</w:t>
            </w:r>
          </w:p>
        </w:tc>
        <w:tc>
          <w:tcPr>
            <w:tcW w:w="260" w:type="dxa"/>
            <w:gridSpan w:val="2"/>
            <w:shd w:val="clear" w:color="auto" w:fill="CCEEFF"/>
            <w:vAlign w:val="bottom"/>
          </w:tcPr>
          <w:p w14:paraId="66AE27BD" w14:textId="77777777" w:rsidR="00D1587D" w:rsidRDefault="00410D07">
            <w:pPr>
              <w:ind w:right="20"/>
              <w:jc w:val="right"/>
              <w:rPr>
                <w:sz w:val="20"/>
                <w:szCs w:val="20"/>
              </w:rPr>
            </w:pPr>
            <w:r>
              <w:rPr>
                <w:rFonts w:ascii="Arial" w:eastAsia="Arial" w:hAnsi="Arial" w:cs="Arial"/>
                <w:sz w:val="18"/>
                <w:szCs w:val="18"/>
              </w:rPr>
              <w:t>3</w:t>
            </w:r>
          </w:p>
        </w:tc>
        <w:tc>
          <w:tcPr>
            <w:tcW w:w="40" w:type="dxa"/>
            <w:shd w:val="clear" w:color="auto" w:fill="CCEEFF"/>
            <w:vAlign w:val="bottom"/>
          </w:tcPr>
          <w:p w14:paraId="42376FDA" w14:textId="77777777" w:rsidR="00D1587D" w:rsidRDefault="00D1587D">
            <w:pPr>
              <w:rPr>
                <w:sz w:val="23"/>
                <w:szCs w:val="23"/>
              </w:rPr>
            </w:pPr>
          </w:p>
        </w:tc>
        <w:tc>
          <w:tcPr>
            <w:tcW w:w="20" w:type="dxa"/>
            <w:shd w:val="clear" w:color="auto" w:fill="CCEEFF"/>
            <w:vAlign w:val="bottom"/>
          </w:tcPr>
          <w:p w14:paraId="63CAD124" w14:textId="77777777" w:rsidR="00D1587D" w:rsidRDefault="00D1587D">
            <w:pPr>
              <w:rPr>
                <w:sz w:val="23"/>
                <w:szCs w:val="23"/>
              </w:rPr>
            </w:pPr>
          </w:p>
        </w:tc>
        <w:tc>
          <w:tcPr>
            <w:tcW w:w="60" w:type="dxa"/>
            <w:shd w:val="clear" w:color="auto" w:fill="CCEEFF"/>
            <w:vAlign w:val="bottom"/>
          </w:tcPr>
          <w:p w14:paraId="76C62ED6" w14:textId="77777777" w:rsidR="00D1587D" w:rsidRDefault="00D1587D">
            <w:pPr>
              <w:rPr>
                <w:sz w:val="23"/>
                <w:szCs w:val="23"/>
              </w:rPr>
            </w:pPr>
          </w:p>
        </w:tc>
        <w:tc>
          <w:tcPr>
            <w:tcW w:w="500" w:type="dxa"/>
            <w:shd w:val="clear" w:color="auto" w:fill="CCEEFF"/>
            <w:vAlign w:val="bottom"/>
          </w:tcPr>
          <w:p w14:paraId="2BFFC300" w14:textId="77777777" w:rsidR="00D1587D" w:rsidRDefault="00D1587D">
            <w:pPr>
              <w:rPr>
                <w:sz w:val="23"/>
                <w:szCs w:val="23"/>
              </w:rPr>
            </w:pPr>
          </w:p>
        </w:tc>
        <w:tc>
          <w:tcPr>
            <w:tcW w:w="100" w:type="dxa"/>
            <w:shd w:val="clear" w:color="auto" w:fill="CCEEFF"/>
            <w:vAlign w:val="bottom"/>
          </w:tcPr>
          <w:p w14:paraId="0DE8A933" w14:textId="77777777" w:rsidR="00D1587D" w:rsidRDefault="00410D07">
            <w:pPr>
              <w:jc w:val="right"/>
              <w:rPr>
                <w:sz w:val="20"/>
                <w:szCs w:val="20"/>
              </w:rPr>
            </w:pPr>
            <w:r>
              <w:rPr>
                <w:rFonts w:ascii="Arial" w:eastAsia="Arial" w:hAnsi="Arial" w:cs="Arial"/>
                <w:w w:val="79"/>
                <w:sz w:val="18"/>
                <w:szCs w:val="18"/>
              </w:rPr>
              <w:t>$</w:t>
            </w:r>
          </w:p>
        </w:tc>
        <w:tc>
          <w:tcPr>
            <w:tcW w:w="400" w:type="dxa"/>
            <w:gridSpan w:val="2"/>
            <w:shd w:val="clear" w:color="auto" w:fill="CCEEFF"/>
            <w:vAlign w:val="bottom"/>
          </w:tcPr>
          <w:p w14:paraId="31AFC6F8" w14:textId="77777777" w:rsidR="00D1587D" w:rsidRDefault="00410D07">
            <w:pPr>
              <w:ind w:right="20"/>
              <w:jc w:val="right"/>
              <w:rPr>
                <w:sz w:val="20"/>
                <w:szCs w:val="20"/>
              </w:rPr>
            </w:pPr>
            <w:r>
              <w:rPr>
                <w:rFonts w:ascii="Arial" w:eastAsia="Arial" w:hAnsi="Arial" w:cs="Arial"/>
                <w:sz w:val="18"/>
                <w:szCs w:val="18"/>
              </w:rPr>
              <w:t>(2)</w:t>
            </w:r>
          </w:p>
        </w:tc>
        <w:tc>
          <w:tcPr>
            <w:tcW w:w="0" w:type="dxa"/>
            <w:vAlign w:val="bottom"/>
          </w:tcPr>
          <w:p w14:paraId="3F70EFD6" w14:textId="77777777" w:rsidR="00D1587D" w:rsidRDefault="00D1587D">
            <w:pPr>
              <w:rPr>
                <w:sz w:val="1"/>
                <w:szCs w:val="1"/>
              </w:rPr>
            </w:pPr>
          </w:p>
        </w:tc>
      </w:tr>
      <w:tr w:rsidR="00D1587D" w14:paraId="1DE5AB96" w14:textId="77777777">
        <w:trPr>
          <w:trHeight w:val="61"/>
        </w:trPr>
        <w:tc>
          <w:tcPr>
            <w:tcW w:w="6840" w:type="dxa"/>
            <w:tcBorders>
              <w:top w:val="single" w:sz="8" w:space="0" w:color="CCEEFF"/>
            </w:tcBorders>
            <w:shd w:val="clear" w:color="auto" w:fill="CCEEFF"/>
            <w:vAlign w:val="bottom"/>
          </w:tcPr>
          <w:p w14:paraId="24BD5F97" w14:textId="77777777" w:rsidR="00D1587D" w:rsidRDefault="00D1587D">
            <w:pPr>
              <w:rPr>
                <w:sz w:val="5"/>
                <w:szCs w:val="5"/>
              </w:rPr>
            </w:pPr>
          </w:p>
        </w:tc>
        <w:tc>
          <w:tcPr>
            <w:tcW w:w="100" w:type="dxa"/>
            <w:tcBorders>
              <w:top w:val="single" w:sz="8" w:space="0" w:color="CCEEFF"/>
            </w:tcBorders>
            <w:shd w:val="clear" w:color="auto" w:fill="CCEEFF"/>
            <w:vAlign w:val="bottom"/>
          </w:tcPr>
          <w:p w14:paraId="1008E798" w14:textId="77777777" w:rsidR="00D1587D" w:rsidRDefault="00D1587D">
            <w:pPr>
              <w:rPr>
                <w:sz w:val="5"/>
                <w:szCs w:val="5"/>
              </w:rPr>
            </w:pPr>
          </w:p>
        </w:tc>
        <w:tc>
          <w:tcPr>
            <w:tcW w:w="100" w:type="dxa"/>
            <w:tcBorders>
              <w:top w:val="single" w:sz="8" w:space="0" w:color="auto"/>
            </w:tcBorders>
            <w:shd w:val="clear" w:color="auto" w:fill="CCEEFF"/>
            <w:vAlign w:val="bottom"/>
          </w:tcPr>
          <w:p w14:paraId="40A96D7D" w14:textId="77777777" w:rsidR="00D1587D" w:rsidRDefault="00D1587D">
            <w:pPr>
              <w:rPr>
                <w:sz w:val="5"/>
                <w:szCs w:val="5"/>
              </w:rPr>
            </w:pPr>
          </w:p>
        </w:tc>
        <w:tc>
          <w:tcPr>
            <w:tcW w:w="240" w:type="dxa"/>
            <w:tcBorders>
              <w:top w:val="single" w:sz="8" w:space="0" w:color="auto"/>
            </w:tcBorders>
            <w:shd w:val="clear" w:color="auto" w:fill="CCEEFF"/>
            <w:vAlign w:val="bottom"/>
          </w:tcPr>
          <w:p w14:paraId="3EDA21E3" w14:textId="77777777" w:rsidR="00D1587D" w:rsidRDefault="00D1587D">
            <w:pPr>
              <w:rPr>
                <w:sz w:val="5"/>
                <w:szCs w:val="5"/>
              </w:rPr>
            </w:pPr>
          </w:p>
        </w:tc>
        <w:tc>
          <w:tcPr>
            <w:tcW w:w="20" w:type="dxa"/>
            <w:tcBorders>
              <w:top w:val="single" w:sz="8" w:space="0" w:color="CCEEFF"/>
            </w:tcBorders>
            <w:shd w:val="clear" w:color="auto" w:fill="CCEEFF"/>
            <w:vAlign w:val="bottom"/>
          </w:tcPr>
          <w:p w14:paraId="5152D443" w14:textId="77777777" w:rsidR="00D1587D" w:rsidRDefault="00D1587D">
            <w:pPr>
              <w:rPr>
                <w:sz w:val="5"/>
                <w:szCs w:val="5"/>
              </w:rPr>
            </w:pPr>
          </w:p>
        </w:tc>
        <w:tc>
          <w:tcPr>
            <w:tcW w:w="40" w:type="dxa"/>
            <w:tcBorders>
              <w:top w:val="single" w:sz="8" w:space="0" w:color="CCEEFF"/>
            </w:tcBorders>
            <w:shd w:val="clear" w:color="auto" w:fill="CCEEFF"/>
            <w:vAlign w:val="bottom"/>
          </w:tcPr>
          <w:p w14:paraId="71A5DD29" w14:textId="77777777" w:rsidR="00D1587D" w:rsidRDefault="00D1587D">
            <w:pPr>
              <w:rPr>
                <w:sz w:val="5"/>
                <w:szCs w:val="5"/>
              </w:rPr>
            </w:pPr>
          </w:p>
        </w:tc>
        <w:tc>
          <w:tcPr>
            <w:tcW w:w="20" w:type="dxa"/>
            <w:tcBorders>
              <w:top w:val="single" w:sz="8" w:space="0" w:color="CCEEFF"/>
            </w:tcBorders>
            <w:shd w:val="clear" w:color="auto" w:fill="CCEEFF"/>
            <w:vAlign w:val="bottom"/>
          </w:tcPr>
          <w:p w14:paraId="03227166" w14:textId="77777777" w:rsidR="00D1587D" w:rsidRDefault="00D1587D">
            <w:pPr>
              <w:rPr>
                <w:sz w:val="5"/>
                <w:szCs w:val="5"/>
              </w:rPr>
            </w:pPr>
          </w:p>
        </w:tc>
        <w:tc>
          <w:tcPr>
            <w:tcW w:w="60" w:type="dxa"/>
            <w:tcBorders>
              <w:top w:val="single" w:sz="8" w:space="0" w:color="CCEEFF"/>
            </w:tcBorders>
            <w:shd w:val="clear" w:color="auto" w:fill="CCEEFF"/>
            <w:vAlign w:val="bottom"/>
          </w:tcPr>
          <w:p w14:paraId="5B650123" w14:textId="77777777" w:rsidR="00D1587D" w:rsidRDefault="00D1587D">
            <w:pPr>
              <w:rPr>
                <w:sz w:val="5"/>
                <w:szCs w:val="5"/>
              </w:rPr>
            </w:pPr>
          </w:p>
        </w:tc>
        <w:tc>
          <w:tcPr>
            <w:tcW w:w="500" w:type="dxa"/>
            <w:tcBorders>
              <w:top w:val="single" w:sz="8" w:space="0" w:color="CCEEFF"/>
            </w:tcBorders>
            <w:shd w:val="clear" w:color="auto" w:fill="CCEEFF"/>
            <w:vAlign w:val="bottom"/>
          </w:tcPr>
          <w:p w14:paraId="4CE98691" w14:textId="77777777" w:rsidR="00D1587D" w:rsidRDefault="00D1587D">
            <w:pPr>
              <w:rPr>
                <w:sz w:val="5"/>
                <w:szCs w:val="5"/>
              </w:rPr>
            </w:pPr>
          </w:p>
        </w:tc>
        <w:tc>
          <w:tcPr>
            <w:tcW w:w="100" w:type="dxa"/>
            <w:tcBorders>
              <w:top w:val="single" w:sz="8" w:space="0" w:color="auto"/>
            </w:tcBorders>
            <w:shd w:val="clear" w:color="auto" w:fill="CCEEFF"/>
            <w:vAlign w:val="bottom"/>
          </w:tcPr>
          <w:p w14:paraId="35DC33E8" w14:textId="77777777" w:rsidR="00D1587D" w:rsidRDefault="00D1587D">
            <w:pPr>
              <w:rPr>
                <w:sz w:val="5"/>
                <w:szCs w:val="5"/>
              </w:rPr>
            </w:pPr>
          </w:p>
        </w:tc>
        <w:tc>
          <w:tcPr>
            <w:tcW w:w="320" w:type="dxa"/>
            <w:tcBorders>
              <w:top w:val="single" w:sz="8" w:space="0" w:color="auto"/>
            </w:tcBorders>
            <w:shd w:val="clear" w:color="auto" w:fill="CCEEFF"/>
            <w:vAlign w:val="bottom"/>
          </w:tcPr>
          <w:p w14:paraId="5BC00CD8" w14:textId="77777777" w:rsidR="00D1587D" w:rsidRDefault="00D1587D">
            <w:pPr>
              <w:rPr>
                <w:sz w:val="5"/>
                <w:szCs w:val="5"/>
              </w:rPr>
            </w:pPr>
          </w:p>
        </w:tc>
        <w:tc>
          <w:tcPr>
            <w:tcW w:w="80" w:type="dxa"/>
            <w:tcBorders>
              <w:top w:val="single" w:sz="8" w:space="0" w:color="CCEEFF"/>
            </w:tcBorders>
            <w:shd w:val="clear" w:color="auto" w:fill="CCEEFF"/>
            <w:vAlign w:val="bottom"/>
          </w:tcPr>
          <w:p w14:paraId="71B991D5" w14:textId="77777777" w:rsidR="00D1587D" w:rsidRDefault="00D1587D">
            <w:pPr>
              <w:rPr>
                <w:sz w:val="5"/>
                <w:szCs w:val="5"/>
              </w:rPr>
            </w:pPr>
          </w:p>
        </w:tc>
        <w:tc>
          <w:tcPr>
            <w:tcW w:w="0" w:type="dxa"/>
            <w:vAlign w:val="bottom"/>
          </w:tcPr>
          <w:p w14:paraId="771C90A3" w14:textId="77777777" w:rsidR="00D1587D" w:rsidRDefault="00D1587D">
            <w:pPr>
              <w:rPr>
                <w:sz w:val="1"/>
                <w:szCs w:val="1"/>
              </w:rPr>
            </w:pPr>
          </w:p>
        </w:tc>
      </w:tr>
      <w:tr w:rsidR="00D1587D" w14:paraId="78A12692" w14:textId="77777777">
        <w:trPr>
          <w:trHeight w:val="270"/>
        </w:trPr>
        <w:tc>
          <w:tcPr>
            <w:tcW w:w="6840" w:type="dxa"/>
            <w:vAlign w:val="bottom"/>
          </w:tcPr>
          <w:p w14:paraId="0EF46267" w14:textId="77777777" w:rsidR="00D1587D" w:rsidRDefault="00410D07">
            <w:pPr>
              <w:rPr>
                <w:sz w:val="20"/>
                <w:szCs w:val="20"/>
              </w:rPr>
            </w:pPr>
            <w:r>
              <w:rPr>
                <w:rFonts w:ascii="Arial" w:eastAsia="Arial" w:hAnsi="Arial" w:cs="Arial"/>
                <w:sz w:val="18"/>
                <w:szCs w:val="18"/>
              </w:rPr>
              <w:t>Total Comprehensive Income (Loss)</w:t>
            </w:r>
          </w:p>
        </w:tc>
        <w:tc>
          <w:tcPr>
            <w:tcW w:w="460" w:type="dxa"/>
            <w:gridSpan w:val="4"/>
            <w:vAlign w:val="bottom"/>
          </w:tcPr>
          <w:p w14:paraId="506FB2C7" w14:textId="77777777" w:rsidR="00D1587D" w:rsidRDefault="00410D07">
            <w:pPr>
              <w:jc w:val="right"/>
              <w:rPr>
                <w:sz w:val="20"/>
                <w:szCs w:val="20"/>
              </w:rPr>
            </w:pPr>
            <w:r>
              <w:rPr>
                <w:rFonts w:ascii="Arial" w:eastAsia="Arial" w:hAnsi="Arial" w:cs="Arial"/>
                <w:sz w:val="18"/>
                <w:szCs w:val="18"/>
                <w:u w:val="single"/>
              </w:rPr>
              <w:t>$</w:t>
            </w:r>
            <w:r>
              <w:rPr>
                <w:rFonts w:ascii="Arial" w:eastAsia="Arial" w:hAnsi="Arial" w:cs="Arial"/>
                <w:sz w:val="18"/>
                <w:szCs w:val="18"/>
              </w:rPr>
              <w:t>177</w:t>
            </w:r>
          </w:p>
        </w:tc>
        <w:tc>
          <w:tcPr>
            <w:tcW w:w="40" w:type="dxa"/>
            <w:vAlign w:val="bottom"/>
          </w:tcPr>
          <w:p w14:paraId="682A6052" w14:textId="77777777" w:rsidR="00D1587D" w:rsidRDefault="00D1587D">
            <w:pPr>
              <w:rPr>
                <w:sz w:val="23"/>
                <w:szCs w:val="23"/>
              </w:rPr>
            </w:pPr>
          </w:p>
        </w:tc>
        <w:tc>
          <w:tcPr>
            <w:tcW w:w="20" w:type="dxa"/>
            <w:vAlign w:val="bottom"/>
          </w:tcPr>
          <w:p w14:paraId="3CBE1670" w14:textId="77777777" w:rsidR="00D1587D" w:rsidRDefault="00D1587D">
            <w:pPr>
              <w:rPr>
                <w:sz w:val="23"/>
                <w:szCs w:val="23"/>
              </w:rPr>
            </w:pPr>
          </w:p>
        </w:tc>
        <w:tc>
          <w:tcPr>
            <w:tcW w:w="60" w:type="dxa"/>
            <w:vAlign w:val="bottom"/>
          </w:tcPr>
          <w:p w14:paraId="636F88B3" w14:textId="77777777" w:rsidR="00D1587D" w:rsidRDefault="00D1587D">
            <w:pPr>
              <w:rPr>
                <w:sz w:val="23"/>
                <w:szCs w:val="23"/>
              </w:rPr>
            </w:pPr>
          </w:p>
        </w:tc>
        <w:tc>
          <w:tcPr>
            <w:tcW w:w="500" w:type="dxa"/>
            <w:vAlign w:val="bottom"/>
          </w:tcPr>
          <w:p w14:paraId="48DC15D7" w14:textId="77777777" w:rsidR="00D1587D" w:rsidRDefault="00D1587D">
            <w:pPr>
              <w:rPr>
                <w:sz w:val="23"/>
                <w:szCs w:val="23"/>
              </w:rPr>
            </w:pPr>
          </w:p>
        </w:tc>
        <w:tc>
          <w:tcPr>
            <w:tcW w:w="500" w:type="dxa"/>
            <w:gridSpan w:val="3"/>
            <w:vAlign w:val="bottom"/>
          </w:tcPr>
          <w:p w14:paraId="3E3EB8A4" w14:textId="77777777" w:rsidR="00D1587D" w:rsidRDefault="00410D07">
            <w:pPr>
              <w:ind w:right="20"/>
              <w:jc w:val="right"/>
              <w:rPr>
                <w:sz w:val="20"/>
                <w:szCs w:val="20"/>
              </w:rPr>
            </w:pPr>
            <w:r>
              <w:rPr>
                <w:rFonts w:ascii="Arial" w:eastAsia="Arial" w:hAnsi="Arial" w:cs="Arial"/>
                <w:w w:val="88"/>
                <w:sz w:val="18"/>
                <w:szCs w:val="18"/>
                <w:u w:val="single"/>
              </w:rPr>
              <w:t>$</w:t>
            </w:r>
            <w:r>
              <w:rPr>
                <w:rFonts w:ascii="Arial" w:eastAsia="Arial" w:hAnsi="Arial" w:cs="Arial"/>
                <w:w w:val="88"/>
                <w:sz w:val="18"/>
                <w:szCs w:val="18"/>
              </w:rPr>
              <w:t>(301)</w:t>
            </w:r>
          </w:p>
        </w:tc>
        <w:tc>
          <w:tcPr>
            <w:tcW w:w="0" w:type="dxa"/>
            <w:vAlign w:val="bottom"/>
          </w:tcPr>
          <w:p w14:paraId="073E35C3" w14:textId="77777777" w:rsidR="00D1587D" w:rsidRDefault="00D1587D">
            <w:pPr>
              <w:rPr>
                <w:sz w:val="1"/>
                <w:szCs w:val="1"/>
              </w:rPr>
            </w:pPr>
          </w:p>
        </w:tc>
      </w:tr>
      <w:tr w:rsidR="00D1587D" w14:paraId="72C42119" w14:textId="77777777">
        <w:trPr>
          <w:trHeight w:val="20"/>
        </w:trPr>
        <w:tc>
          <w:tcPr>
            <w:tcW w:w="6840" w:type="dxa"/>
            <w:vAlign w:val="bottom"/>
          </w:tcPr>
          <w:p w14:paraId="595199BC" w14:textId="77777777" w:rsidR="00D1587D" w:rsidRDefault="00D1587D">
            <w:pPr>
              <w:spacing w:line="20" w:lineRule="exact"/>
              <w:rPr>
                <w:sz w:val="1"/>
                <w:szCs w:val="1"/>
              </w:rPr>
            </w:pPr>
          </w:p>
        </w:tc>
        <w:tc>
          <w:tcPr>
            <w:tcW w:w="100" w:type="dxa"/>
            <w:vAlign w:val="bottom"/>
          </w:tcPr>
          <w:p w14:paraId="2A83B450" w14:textId="77777777" w:rsidR="00D1587D" w:rsidRDefault="00D1587D">
            <w:pPr>
              <w:spacing w:line="20" w:lineRule="exact"/>
              <w:rPr>
                <w:sz w:val="1"/>
                <w:szCs w:val="1"/>
              </w:rPr>
            </w:pPr>
          </w:p>
        </w:tc>
        <w:tc>
          <w:tcPr>
            <w:tcW w:w="100" w:type="dxa"/>
            <w:tcBorders>
              <w:top w:val="single" w:sz="8" w:space="0" w:color="auto"/>
              <w:bottom w:val="single" w:sz="8" w:space="0" w:color="auto"/>
            </w:tcBorders>
            <w:vAlign w:val="bottom"/>
          </w:tcPr>
          <w:p w14:paraId="19A933F0" w14:textId="77777777" w:rsidR="00D1587D" w:rsidRDefault="00D1587D">
            <w:pPr>
              <w:spacing w:line="20" w:lineRule="exact"/>
              <w:rPr>
                <w:sz w:val="1"/>
                <w:szCs w:val="1"/>
              </w:rPr>
            </w:pPr>
          </w:p>
        </w:tc>
        <w:tc>
          <w:tcPr>
            <w:tcW w:w="240" w:type="dxa"/>
            <w:tcBorders>
              <w:top w:val="single" w:sz="8" w:space="0" w:color="auto"/>
              <w:bottom w:val="single" w:sz="8" w:space="0" w:color="auto"/>
            </w:tcBorders>
            <w:vAlign w:val="bottom"/>
          </w:tcPr>
          <w:p w14:paraId="0B3A2D9F" w14:textId="77777777" w:rsidR="00D1587D" w:rsidRDefault="00D1587D">
            <w:pPr>
              <w:spacing w:line="20" w:lineRule="exact"/>
              <w:rPr>
                <w:sz w:val="1"/>
                <w:szCs w:val="1"/>
              </w:rPr>
            </w:pPr>
          </w:p>
        </w:tc>
        <w:tc>
          <w:tcPr>
            <w:tcW w:w="20" w:type="dxa"/>
            <w:tcBorders>
              <w:top w:val="single" w:sz="8" w:space="0" w:color="auto"/>
              <w:bottom w:val="single" w:sz="8" w:space="0" w:color="auto"/>
            </w:tcBorders>
            <w:vAlign w:val="bottom"/>
          </w:tcPr>
          <w:p w14:paraId="51F4DF6A" w14:textId="77777777" w:rsidR="00D1587D" w:rsidRDefault="00D1587D">
            <w:pPr>
              <w:spacing w:line="20" w:lineRule="exact"/>
              <w:rPr>
                <w:sz w:val="1"/>
                <w:szCs w:val="1"/>
              </w:rPr>
            </w:pPr>
          </w:p>
        </w:tc>
        <w:tc>
          <w:tcPr>
            <w:tcW w:w="40" w:type="dxa"/>
            <w:vAlign w:val="bottom"/>
          </w:tcPr>
          <w:p w14:paraId="3A2BB741" w14:textId="77777777" w:rsidR="00D1587D" w:rsidRDefault="00D1587D">
            <w:pPr>
              <w:spacing w:line="20" w:lineRule="exact"/>
              <w:rPr>
                <w:sz w:val="1"/>
                <w:szCs w:val="1"/>
              </w:rPr>
            </w:pPr>
          </w:p>
        </w:tc>
        <w:tc>
          <w:tcPr>
            <w:tcW w:w="20" w:type="dxa"/>
            <w:vAlign w:val="bottom"/>
          </w:tcPr>
          <w:p w14:paraId="3A2218F9" w14:textId="77777777" w:rsidR="00D1587D" w:rsidRDefault="00D1587D">
            <w:pPr>
              <w:spacing w:line="20" w:lineRule="exact"/>
              <w:rPr>
                <w:sz w:val="1"/>
                <w:szCs w:val="1"/>
              </w:rPr>
            </w:pPr>
          </w:p>
        </w:tc>
        <w:tc>
          <w:tcPr>
            <w:tcW w:w="60" w:type="dxa"/>
            <w:vAlign w:val="bottom"/>
          </w:tcPr>
          <w:p w14:paraId="4924D290" w14:textId="77777777" w:rsidR="00D1587D" w:rsidRDefault="00D1587D">
            <w:pPr>
              <w:spacing w:line="20" w:lineRule="exact"/>
              <w:rPr>
                <w:sz w:val="1"/>
                <w:szCs w:val="1"/>
              </w:rPr>
            </w:pPr>
          </w:p>
        </w:tc>
        <w:tc>
          <w:tcPr>
            <w:tcW w:w="500" w:type="dxa"/>
            <w:vAlign w:val="bottom"/>
          </w:tcPr>
          <w:p w14:paraId="24AEAA71" w14:textId="77777777" w:rsidR="00D1587D" w:rsidRDefault="00D1587D">
            <w:pPr>
              <w:spacing w:line="20" w:lineRule="exact"/>
              <w:rPr>
                <w:sz w:val="1"/>
                <w:szCs w:val="1"/>
              </w:rPr>
            </w:pPr>
          </w:p>
        </w:tc>
        <w:tc>
          <w:tcPr>
            <w:tcW w:w="100" w:type="dxa"/>
            <w:tcBorders>
              <w:top w:val="single" w:sz="8" w:space="0" w:color="auto"/>
              <w:bottom w:val="single" w:sz="8" w:space="0" w:color="auto"/>
            </w:tcBorders>
            <w:vAlign w:val="bottom"/>
          </w:tcPr>
          <w:p w14:paraId="5BCD7981" w14:textId="77777777" w:rsidR="00D1587D" w:rsidRDefault="00D1587D">
            <w:pPr>
              <w:spacing w:line="20" w:lineRule="exact"/>
              <w:rPr>
                <w:sz w:val="1"/>
                <w:szCs w:val="1"/>
              </w:rPr>
            </w:pPr>
          </w:p>
        </w:tc>
        <w:tc>
          <w:tcPr>
            <w:tcW w:w="320" w:type="dxa"/>
            <w:tcBorders>
              <w:top w:val="single" w:sz="8" w:space="0" w:color="auto"/>
              <w:bottom w:val="single" w:sz="8" w:space="0" w:color="auto"/>
            </w:tcBorders>
            <w:vAlign w:val="bottom"/>
          </w:tcPr>
          <w:p w14:paraId="74BB3C80" w14:textId="77777777" w:rsidR="00D1587D" w:rsidRDefault="00D1587D">
            <w:pPr>
              <w:spacing w:line="20" w:lineRule="exact"/>
              <w:rPr>
                <w:sz w:val="1"/>
                <w:szCs w:val="1"/>
              </w:rPr>
            </w:pPr>
          </w:p>
        </w:tc>
        <w:tc>
          <w:tcPr>
            <w:tcW w:w="80" w:type="dxa"/>
            <w:vAlign w:val="bottom"/>
          </w:tcPr>
          <w:p w14:paraId="4E0CF741" w14:textId="77777777" w:rsidR="00D1587D" w:rsidRDefault="00D1587D">
            <w:pPr>
              <w:spacing w:line="20" w:lineRule="exact"/>
              <w:rPr>
                <w:sz w:val="1"/>
                <w:szCs w:val="1"/>
              </w:rPr>
            </w:pPr>
          </w:p>
        </w:tc>
        <w:tc>
          <w:tcPr>
            <w:tcW w:w="0" w:type="dxa"/>
            <w:vAlign w:val="bottom"/>
          </w:tcPr>
          <w:p w14:paraId="62766316" w14:textId="77777777" w:rsidR="00D1587D" w:rsidRDefault="00D1587D">
            <w:pPr>
              <w:rPr>
                <w:sz w:val="1"/>
                <w:szCs w:val="1"/>
              </w:rPr>
            </w:pPr>
          </w:p>
        </w:tc>
      </w:tr>
    </w:tbl>
    <w:p w14:paraId="6936C1AD" w14:textId="77777777" w:rsidR="00D1587D" w:rsidRDefault="00410D07">
      <w:pPr>
        <w:spacing w:line="20" w:lineRule="exact"/>
        <w:rPr>
          <w:sz w:val="20"/>
          <w:szCs w:val="20"/>
        </w:rPr>
      </w:pPr>
      <w:r>
        <w:rPr>
          <w:noProof/>
          <w:sz w:val="20"/>
          <w:szCs w:val="20"/>
        </w:rPr>
        <w:drawing>
          <wp:anchor distT="0" distB="0" distL="114300" distR="114300" simplePos="0" relativeHeight="252144640" behindDoc="1" locked="0" layoutInCell="0" allowOverlap="1" wp14:anchorId="376BFC08" wp14:editId="44B0A1A9">
            <wp:simplePos x="0" y="0"/>
            <wp:positionH relativeFrom="column">
              <wp:posOffset>4900295</wp:posOffset>
            </wp:positionH>
            <wp:positionV relativeFrom="paragraph">
              <wp:posOffset>-4653915</wp:posOffset>
            </wp:positionV>
            <wp:extent cx="325755" cy="8890"/>
            <wp:effectExtent l="0" t="0" r="0" b="0"/>
            <wp:wrapNone/>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49"/>
                    <a:srcRect/>
                    <a:stretch>
                      <a:fillRect/>
                    </a:stretch>
                  </pic:blipFill>
                  <pic:spPr bwMode="auto">
                    <a:xfrm>
                      <a:off x="0" y="0"/>
                      <a:ext cx="325755" cy="8890"/>
                    </a:xfrm>
                    <a:prstGeom prst="rect">
                      <a:avLst/>
                    </a:prstGeom>
                    <a:noFill/>
                  </pic:spPr>
                </pic:pic>
              </a:graphicData>
            </a:graphic>
          </wp:anchor>
        </w:drawing>
      </w:r>
      <w:r>
        <w:rPr>
          <w:noProof/>
          <w:sz w:val="20"/>
          <w:szCs w:val="20"/>
        </w:rPr>
        <w:drawing>
          <wp:anchor distT="0" distB="0" distL="114300" distR="114300" simplePos="0" relativeHeight="252145664" behindDoc="1" locked="0" layoutInCell="0" allowOverlap="1" wp14:anchorId="4736B9AB" wp14:editId="197DB6D5">
            <wp:simplePos x="0" y="0"/>
            <wp:positionH relativeFrom="column">
              <wp:posOffset>4377055</wp:posOffset>
            </wp:positionH>
            <wp:positionV relativeFrom="paragraph">
              <wp:posOffset>-4653915</wp:posOffset>
            </wp:positionV>
            <wp:extent cx="162560" cy="8890"/>
            <wp:effectExtent l="0" t="0" r="0" b="0"/>
            <wp:wrapNone/>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42"/>
                    <a:srcRect/>
                    <a:stretch>
                      <a:fillRect/>
                    </a:stretch>
                  </pic:blipFill>
                  <pic:spPr bwMode="auto">
                    <a:xfrm>
                      <a:off x="0" y="0"/>
                      <a:ext cx="162560" cy="8890"/>
                    </a:xfrm>
                    <a:prstGeom prst="rect">
                      <a:avLst/>
                    </a:prstGeom>
                    <a:noFill/>
                  </pic:spPr>
                </pic:pic>
              </a:graphicData>
            </a:graphic>
          </wp:anchor>
        </w:drawing>
      </w:r>
      <w:r>
        <w:rPr>
          <w:noProof/>
          <w:sz w:val="20"/>
          <w:szCs w:val="20"/>
        </w:rPr>
        <w:drawing>
          <wp:anchor distT="0" distB="0" distL="114300" distR="114300" simplePos="0" relativeHeight="252146688" behindDoc="1" locked="0" layoutInCell="0" allowOverlap="1" wp14:anchorId="06DBB777" wp14:editId="3619F88B">
            <wp:simplePos x="0" y="0"/>
            <wp:positionH relativeFrom="column">
              <wp:posOffset>4866005</wp:posOffset>
            </wp:positionH>
            <wp:positionV relativeFrom="paragraph">
              <wp:posOffset>-1276350</wp:posOffset>
            </wp:positionV>
            <wp:extent cx="360045" cy="8255"/>
            <wp:effectExtent l="0" t="0" r="0" b="0"/>
            <wp:wrapNone/>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72"/>
                    <a:srcRect/>
                    <a:stretch>
                      <a:fillRect/>
                    </a:stretch>
                  </pic:blipFill>
                  <pic:spPr bwMode="auto">
                    <a:xfrm>
                      <a:off x="0" y="0"/>
                      <a:ext cx="360045" cy="8255"/>
                    </a:xfrm>
                    <a:prstGeom prst="rect">
                      <a:avLst/>
                    </a:prstGeom>
                    <a:noFill/>
                  </pic:spPr>
                </pic:pic>
              </a:graphicData>
            </a:graphic>
          </wp:anchor>
        </w:drawing>
      </w:r>
      <w:r>
        <w:rPr>
          <w:noProof/>
          <w:sz w:val="20"/>
          <w:szCs w:val="20"/>
        </w:rPr>
        <w:drawing>
          <wp:anchor distT="0" distB="0" distL="114300" distR="114300" simplePos="0" relativeHeight="252147712" behindDoc="1" locked="0" layoutInCell="0" allowOverlap="1" wp14:anchorId="1D60BBB3" wp14:editId="230D7548">
            <wp:simplePos x="0" y="0"/>
            <wp:positionH relativeFrom="column">
              <wp:posOffset>4411345</wp:posOffset>
            </wp:positionH>
            <wp:positionV relativeFrom="paragraph">
              <wp:posOffset>-1276350</wp:posOffset>
            </wp:positionV>
            <wp:extent cx="180340" cy="8255"/>
            <wp:effectExtent l="0" t="0" r="0" b="0"/>
            <wp:wrapNone/>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73"/>
                    <a:srcRect/>
                    <a:stretch>
                      <a:fillRect/>
                    </a:stretch>
                  </pic:blipFill>
                  <pic:spPr bwMode="auto">
                    <a:xfrm>
                      <a:off x="0" y="0"/>
                      <a:ext cx="180340" cy="8255"/>
                    </a:xfrm>
                    <a:prstGeom prst="rect">
                      <a:avLst/>
                    </a:prstGeom>
                    <a:noFill/>
                  </pic:spPr>
                </pic:pic>
              </a:graphicData>
            </a:graphic>
          </wp:anchor>
        </w:drawing>
      </w:r>
    </w:p>
    <w:p w14:paraId="74B104F4" w14:textId="77777777" w:rsidR="00D1587D" w:rsidRDefault="00D1587D">
      <w:pPr>
        <w:spacing w:line="200" w:lineRule="exact"/>
        <w:rPr>
          <w:sz w:val="20"/>
          <w:szCs w:val="20"/>
        </w:rPr>
      </w:pPr>
    </w:p>
    <w:p w14:paraId="4617EF30" w14:textId="77777777" w:rsidR="00D1587D" w:rsidRDefault="00D1587D">
      <w:pPr>
        <w:spacing w:line="319" w:lineRule="exact"/>
        <w:rPr>
          <w:sz w:val="20"/>
          <w:szCs w:val="20"/>
        </w:rPr>
      </w:pPr>
    </w:p>
    <w:p w14:paraId="1F3FE9AB" w14:textId="77777777" w:rsidR="00D1587D" w:rsidRDefault="00410D07">
      <w:pPr>
        <w:jc w:val="center"/>
        <w:rPr>
          <w:sz w:val="20"/>
          <w:szCs w:val="20"/>
        </w:rPr>
      </w:pPr>
      <w:r>
        <w:rPr>
          <w:rFonts w:ascii="Arial" w:eastAsia="Arial" w:hAnsi="Arial" w:cs="Arial"/>
          <w:i/>
          <w:iCs/>
          <w:sz w:val="18"/>
          <w:szCs w:val="18"/>
        </w:rPr>
        <w:t>The accompanying notes are an integral part of these financial statements.</w:t>
      </w:r>
    </w:p>
    <w:p w14:paraId="71F407CE" w14:textId="77777777" w:rsidR="00D1587D" w:rsidRDefault="00D1587D">
      <w:pPr>
        <w:spacing w:line="225" w:lineRule="exact"/>
        <w:rPr>
          <w:sz w:val="20"/>
          <w:szCs w:val="20"/>
        </w:rPr>
      </w:pPr>
    </w:p>
    <w:p w14:paraId="39DC5D00" w14:textId="77777777" w:rsidR="00D1587D" w:rsidRDefault="00410D07">
      <w:pPr>
        <w:jc w:val="center"/>
        <w:rPr>
          <w:sz w:val="20"/>
          <w:szCs w:val="20"/>
        </w:rPr>
      </w:pPr>
      <w:r>
        <w:rPr>
          <w:rFonts w:ascii="Arial" w:eastAsia="Arial" w:hAnsi="Arial" w:cs="Arial"/>
          <w:sz w:val="18"/>
          <w:szCs w:val="18"/>
        </w:rPr>
        <w:t>F-30</w:t>
      </w:r>
    </w:p>
    <w:p w14:paraId="55E8A9E2" w14:textId="77777777" w:rsidR="00D1587D" w:rsidRDefault="00410D07">
      <w:pPr>
        <w:spacing w:line="20" w:lineRule="exact"/>
        <w:rPr>
          <w:sz w:val="20"/>
          <w:szCs w:val="20"/>
        </w:rPr>
      </w:pPr>
      <w:r>
        <w:rPr>
          <w:noProof/>
          <w:sz w:val="20"/>
          <w:szCs w:val="20"/>
        </w:rPr>
        <w:drawing>
          <wp:anchor distT="0" distB="0" distL="114300" distR="114300" simplePos="0" relativeHeight="252148736" behindDoc="1" locked="0" layoutInCell="0" allowOverlap="1" wp14:anchorId="565907EC" wp14:editId="3091CE7D">
            <wp:simplePos x="0" y="0"/>
            <wp:positionH relativeFrom="column">
              <wp:posOffset>-636905</wp:posOffset>
            </wp:positionH>
            <wp:positionV relativeFrom="paragraph">
              <wp:posOffset>134620</wp:posOffset>
            </wp:positionV>
            <wp:extent cx="6995160" cy="17145"/>
            <wp:effectExtent l="0" t="0" r="0" b="0"/>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9CA179F" w14:textId="77777777" w:rsidR="00D1587D" w:rsidRDefault="00D1587D">
      <w:pPr>
        <w:sectPr w:rsidR="00D1587D">
          <w:pgSz w:w="11900" w:h="16838"/>
          <w:pgMar w:top="265" w:right="1440" w:bottom="1440" w:left="1440" w:header="0" w:footer="0" w:gutter="0"/>
          <w:cols w:space="720" w:equalWidth="0">
            <w:col w:w="9019"/>
          </w:cols>
        </w:sectPr>
      </w:pPr>
    </w:p>
    <w:bookmarkStart w:id="426" w:name="page427"/>
    <w:bookmarkEnd w:id="426"/>
    <w:p w14:paraId="38F90468"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442AD4DC" w14:textId="77777777" w:rsidR="00D1587D" w:rsidRDefault="00D1587D">
      <w:pPr>
        <w:spacing w:line="127" w:lineRule="exact"/>
        <w:rPr>
          <w:sz w:val="20"/>
          <w:szCs w:val="20"/>
        </w:rPr>
      </w:pPr>
    </w:p>
    <w:p w14:paraId="3A34D5E9"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17FF2B41" w14:textId="77777777" w:rsidR="00D1587D" w:rsidRDefault="00D1587D">
      <w:pPr>
        <w:spacing w:line="27" w:lineRule="exact"/>
        <w:rPr>
          <w:sz w:val="20"/>
          <w:szCs w:val="20"/>
        </w:rPr>
      </w:pPr>
    </w:p>
    <w:p w14:paraId="332B2DC3" w14:textId="77777777" w:rsidR="00D1587D" w:rsidRDefault="00410D07">
      <w:pPr>
        <w:jc w:val="center"/>
        <w:rPr>
          <w:sz w:val="20"/>
          <w:szCs w:val="20"/>
        </w:rPr>
      </w:pPr>
      <w:r>
        <w:rPr>
          <w:rFonts w:ascii="Arial" w:eastAsia="Arial" w:hAnsi="Arial" w:cs="Arial"/>
          <w:b/>
          <w:bCs/>
          <w:sz w:val="18"/>
          <w:szCs w:val="18"/>
        </w:rPr>
        <w:t>COMBINED STATEMENTS OF CASH FLOWS</w:t>
      </w:r>
    </w:p>
    <w:p w14:paraId="1A8760D1" w14:textId="77777777" w:rsidR="00D1587D" w:rsidRDefault="00D1587D">
      <w:pPr>
        <w:spacing w:line="9" w:lineRule="exact"/>
        <w:rPr>
          <w:sz w:val="20"/>
          <w:szCs w:val="20"/>
        </w:rPr>
      </w:pPr>
    </w:p>
    <w:p w14:paraId="5699F6A2" w14:textId="77777777" w:rsidR="00D1587D" w:rsidRDefault="00410D07">
      <w:pPr>
        <w:ind w:left="4040"/>
        <w:rPr>
          <w:sz w:val="20"/>
          <w:szCs w:val="20"/>
        </w:rPr>
      </w:pPr>
      <w:r>
        <w:rPr>
          <w:rFonts w:ascii="Arial" w:eastAsia="Arial" w:hAnsi="Arial" w:cs="Arial"/>
          <w:b/>
          <w:bCs/>
          <w:sz w:val="18"/>
          <w:szCs w:val="18"/>
        </w:rPr>
        <w:t>(in millions)</w:t>
      </w:r>
    </w:p>
    <w:p w14:paraId="6B979458" w14:textId="77777777" w:rsidR="00D1587D" w:rsidRDefault="00D1587D">
      <w:pPr>
        <w:spacing w:line="9" w:lineRule="exact"/>
        <w:rPr>
          <w:sz w:val="20"/>
          <w:szCs w:val="20"/>
        </w:rPr>
      </w:pPr>
    </w:p>
    <w:p w14:paraId="3122D899" w14:textId="77777777" w:rsidR="00D1587D" w:rsidRDefault="00410D07">
      <w:pPr>
        <w:ind w:left="4040"/>
        <w:rPr>
          <w:sz w:val="20"/>
          <w:szCs w:val="20"/>
        </w:rPr>
      </w:pPr>
      <w:r>
        <w:rPr>
          <w:rFonts w:ascii="Arial" w:eastAsia="Arial" w:hAnsi="Arial" w:cs="Arial"/>
          <w:b/>
          <w:bCs/>
          <w:sz w:val="18"/>
          <w:szCs w:val="18"/>
        </w:rPr>
        <w:t>(Unaudited)</w:t>
      </w:r>
    </w:p>
    <w:p w14:paraId="20DC3D53" w14:textId="77777777" w:rsidR="00D1587D" w:rsidRDefault="00D1587D">
      <w:pPr>
        <w:spacing w:line="22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940"/>
        <w:gridCol w:w="340"/>
        <w:gridCol w:w="20"/>
        <w:gridCol w:w="60"/>
        <w:gridCol w:w="560"/>
        <w:gridCol w:w="420"/>
        <w:gridCol w:w="80"/>
      </w:tblGrid>
      <w:tr w:rsidR="00D1587D" w14:paraId="05B21309" w14:textId="77777777">
        <w:trPr>
          <w:trHeight w:val="186"/>
        </w:trPr>
        <w:tc>
          <w:tcPr>
            <w:tcW w:w="6940" w:type="dxa"/>
            <w:vAlign w:val="bottom"/>
          </w:tcPr>
          <w:p w14:paraId="3C296787" w14:textId="77777777" w:rsidR="00D1587D" w:rsidRDefault="00D1587D">
            <w:pPr>
              <w:rPr>
                <w:sz w:val="16"/>
                <w:szCs w:val="16"/>
              </w:rPr>
            </w:pPr>
          </w:p>
        </w:tc>
        <w:tc>
          <w:tcPr>
            <w:tcW w:w="1480" w:type="dxa"/>
            <w:gridSpan w:val="6"/>
            <w:vAlign w:val="bottom"/>
          </w:tcPr>
          <w:p w14:paraId="1B757FBC" w14:textId="77777777" w:rsidR="00D1587D" w:rsidRDefault="00410D07">
            <w:pPr>
              <w:ind w:right="320"/>
              <w:jc w:val="right"/>
              <w:rPr>
                <w:sz w:val="20"/>
                <w:szCs w:val="20"/>
              </w:rPr>
            </w:pPr>
            <w:r>
              <w:rPr>
                <w:rFonts w:ascii="Arial" w:eastAsia="Arial" w:hAnsi="Arial" w:cs="Arial"/>
                <w:b/>
                <w:bCs/>
                <w:sz w:val="14"/>
                <w:szCs w:val="14"/>
              </w:rPr>
              <w:t>First Quarter</w:t>
            </w:r>
          </w:p>
        </w:tc>
      </w:tr>
      <w:tr w:rsidR="00D1587D" w14:paraId="4CEA5D13" w14:textId="77777777">
        <w:trPr>
          <w:trHeight w:val="53"/>
        </w:trPr>
        <w:tc>
          <w:tcPr>
            <w:tcW w:w="6940" w:type="dxa"/>
            <w:vAlign w:val="bottom"/>
          </w:tcPr>
          <w:p w14:paraId="1B90FB8A" w14:textId="77777777" w:rsidR="00D1587D" w:rsidRDefault="00D1587D">
            <w:pPr>
              <w:rPr>
                <w:sz w:val="4"/>
                <w:szCs w:val="4"/>
              </w:rPr>
            </w:pPr>
          </w:p>
        </w:tc>
        <w:tc>
          <w:tcPr>
            <w:tcW w:w="340" w:type="dxa"/>
            <w:tcBorders>
              <w:bottom w:val="single" w:sz="8" w:space="0" w:color="auto"/>
            </w:tcBorders>
            <w:vAlign w:val="bottom"/>
          </w:tcPr>
          <w:p w14:paraId="240EAA9C" w14:textId="77777777" w:rsidR="00D1587D" w:rsidRDefault="00D1587D">
            <w:pPr>
              <w:rPr>
                <w:sz w:val="4"/>
                <w:szCs w:val="4"/>
              </w:rPr>
            </w:pPr>
          </w:p>
        </w:tc>
        <w:tc>
          <w:tcPr>
            <w:tcW w:w="20" w:type="dxa"/>
            <w:tcBorders>
              <w:bottom w:val="single" w:sz="8" w:space="0" w:color="auto"/>
            </w:tcBorders>
            <w:vAlign w:val="bottom"/>
          </w:tcPr>
          <w:p w14:paraId="61B3F577" w14:textId="77777777" w:rsidR="00D1587D" w:rsidRDefault="00D1587D">
            <w:pPr>
              <w:rPr>
                <w:sz w:val="4"/>
                <w:szCs w:val="4"/>
              </w:rPr>
            </w:pPr>
          </w:p>
        </w:tc>
        <w:tc>
          <w:tcPr>
            <w:tcW w:w="60" w:type="dxa"/>
            <w:tcBorders>
              <w:bottom w:val="single" w:sz="8" w:space="0" w:color="auto"/>
            </w:tcBorders>
            <w:vAlign w:val="bottom"/>
          </w:tcPr>
          <w:p w14:paraId="4FDCCB6B" w14:textId="77777777" w:rsidR="00D1587D" w:rsidRDefault="00D1587D">
            <w:pPr>
              <w:rPr>
                <w:sz w:val="4"/>
                <w:szCs w:val="4"/>
              </w:rPr>
            </w:pPr>
          </w:p>
        </w:tc>
        <w:tc>
          <w:tcPr>
            <w:tcW w:w="560" w:type="dxa"/>
            <w:tcBorders>
              <w:bottom w:val="single" w:sz="8" w:space="0" w:color="auto"/>
            </w:tcBorders>
            <w:vAlign w:val="bottom"/>
          </w:tcPr>
          <w:p w14:paraId="6474A501" w14:textId="77777777" w:rsidR="00D1587D" w:rsidRDefault="00D1587D">
            <w:pPr>
              <w:rPr>
                <w:sz w:val="4"/>
                <w:szCs w:val="4"/>
              </w:rPr>
            </w:pPr>
          </w:p>
        </w:tc>
        <w:tc>
          <w:tcPr>
            <w:tcW w:w="420" w:type="dxa"/>
            <w:tcBorders>
              <w:bottom w:val="single" w:sz="8" w:space="0" w:color="auto"/>
            </w:tcBorders>
            <w:vAlign w:val="bottom"/>
          </w:tcPr>
          <w:p w14:paraId="69EB0F19" w14:textId="77777777" w:rsidR="00D1587D" w:rsidRDefault="00D1587D">
            <w:pPr>
              <w:rPr>
                <w:sz w:val="4"/>
                <w:szCs w:val="4"/>
              </w:rPr>
            </w:pPr>
          </w:p>
        </w:tc>
        <w:tc>
          <w:tcPr>
            <w:tcW w:w="80" w:type="dxa"/>
            <w:tcBorders>
              <w:bottom w:val="single" w:sz="8" w:space="0" w:color="auto"/>
            </w:tcBorders>
            <w:vAlign w:val="bottom"/>
          </w:tcPr>
          <w:p w14:paraId="79AF15F5" w14:textId="77777777" w:rsidR="00D1587D" w:rsidRDefault="00D1587D">
            <w:pPr>
              <w:rPr>
                <w:sz w:val="4"/>
                <w:szCs w:val="4"/>
              </w:rPr>
            </w:pPr>
          </w:p>
        </w:tc>
      </w:tr>
      <w:tr w:rsidR="00D1587D" w14:paraId="20DF8CB4" w14:textId="77777777">
        <w:trPr>
          <w:trHeight w:val="224"/>
        </w:trPr>
        <w:tc>
          <w:tcPr>
            <w:tcW w:w="6940" w:type="dxa"/>
            <w:vAlign w:val="bottom"/>
          </w:tcPr>
          <w:p w14:paraId="56019285" w14:textId="77777777" w:rsidR="00D1587D" w:rsidRDefault="00D1587D">
            <w:pPr>
              <w:rPr>
                <w:sz w:val="19"/>
                <w:szCs w:val="19"/>
              </w:rPr>
            </w:pPr>
          </w:p>
        </w:tc>
        <w:tc>
          <w:tcPr>
            <w:tcW w:w="360" w:type="dxa"/>
            <w:gridSpan w:val="2"/>
            <w:vAlign w:val="bottom"/>
          </w:tcPr>
          <w:p w14:paraId="155ED262" w14:textId="77777777" w:rsidR="00D1587D" w:rsidRDefault="00410D07">
            <w:pPr>
              <w:jc w:val="right"/>
              <w:rPr>
                <w:sz w:val="20"/>
                <w:szCs w:val="20"/>
              </w:rPr>
            </w:pPr>
            <w:r>
              <w:rPr>
                <w:rFonts w:ascii="Arial" w:eastAsia="Arial" w:hAnsi="Arial" w:cs="Arial"/>
                <w:b/>
                <w:bCs/>
                <w:sz w:val="14"/>
                <w:szCs w:val="14"/>
              </w:rPr>
              <w:t>2021</w:t>
            </w:r>
          </w:p>
        </w:tc>
        <w:tc>
          <w:tcPr>
            <w:tcW w:w="60" w:type="dxa"/>
            <w:vAlign w:val="bottom"/>
          </w:tcPr>
          <w:p w14:paraId="71B9B9D0" w14:textId="77777777" w:rsidR="00D1587D" w:rsidRDefault="00D1587D">
            <w:pPr>
              <w:rPr>
                <w:sz w:val="19"/>
                <w:szCs w:val="19"/>
              </w:rPr>
            </w:pPr>
          </w:p>
        </w:tc>
        <w:tc>
          <w:tcPr>
            <w:tcW w:w="560" w:type="dxa"/>
            <w:vAlign w:val="bottom"/>
          </w:tcPr>
          <w:p w14:paraId="7D1A53F3" w14:textId="77777777" w:rsidR="00D1587D" w:rsidRDefault="00D1587D">
            <w:pPr>
              <w:rPr>
                <w:sz w:val="19"/>
                <w:szCs w:val="19"/>
              </w:rPr>
            </w:pPr>
          </w:p>
        </w:tc>
        <w:tc>
          <w:tcPr>
            <w:tcW w:w="420" w:type="dxa"/>
            <w:vAlign w:val="bottom"/>
          </w:tcPr>
          <w:p w14:paraId="761386FD" w14:textId="77777777" w:rsidR="00D1587D" w:rsidRDefault="00410D07">
            <w:pPr>
              <w:jc w:val="right"/>
              <w:rPr>
                <w:sz w:val="20"/>
                <w:szCs w:val="20"/>
              </w:rPr>
            </w:pPr>
            <w:r>
              <w:rPr>
                <w:rFonts w:ascii="Arial" w:eastAsia="Arial" w:hAnsi="Arial" w:cs="Arial"/>
                <w:b/>
                <w:bCs/>
                <w:sz w:val="14"/>
                <w:szCs w:val="14"/>
              </w:rPr>
              <w:t>2020</w:t>
            </w:r>
          </w:p>
        </w:tc>
        <w:tc>
          <w:tcPr>
            <w:tcW w:w="80" w:type="dxa"/>
            <w:vAlign w:val="bottom"/>
          </w:tcPr>
          <w:p w14:paraId="662E7F89" w14:textId="77777777" w:rsidR="00D1587D" w:rsidRDefault="00D1587D">
            <w:pPr>
              <w:rPr>
                <w:sz w:val="19"/>
                <w:szCs w:val="19"/>
              </w:rPr>
            </w:pPr>
          </w:p>
        </w:tc>
      </w:tr>
      <w:tr w:rsidR="00D1587D" w14:paraId="77EDBCB2" w14:textId="77777777">
        <w:trPr>
          <w:trHeight w:val="53"/>
        </w:trPr>
        <w:tc>
          <w:tcPr>
            <w:tcW w:w="6940" w:type="dxa"/>
            <w:tcBorders>
              <w:bottom w:val="single" w:sz="8" w:space="0" w:color="CCEEFF"/>
            </w:tcBorders>
            <w:vAlign w:val="bottom"/>
          </w:tcPr>
          <w:p w14:paraId="3B259861" w14:textId="77777777" w:rsidR="00D1587D" w:rsidRDefault="00D1587D">
            <w:pPr>
              <w:rPr>
                <w:sz w:val="4"/>
                <w:szCs w:val="4"/>
              </w:rPr>
            </w:pPr>
          </w:p>
        </w:tc>
        <w:tc>
          <w:tcPr>
            <w:tcW w:w="340" w:type="dxa"/>
            <w:tcBorders>
              <w:bottom w:val="single" w:sz="8" w:space="0" w:color="auto"/>
            </w:tcBorders>
            <w:vAlign w:val="bottom"/>
          </w:tcPr>
          <w:p w14:paraId="2C53838D" w14:textId="77777777" w:rsidR="00D1587D" w:rsidRDefault="00D1587D">
            <w:pPr>
              <w:rPr>
                <w:sz w:val="4"/>
                <w:szCs w:val="4"/>
              </w:rPr>
            </w:pPr>
          </w:p>
        </w:tc>
        <w:tc>
          <w:tcPr>
            <w:tcW w:w="20" w:type="dxa"/>
            <w:tcBorders>
              <w:bottom w:val="single" w:sz="8" w:space="0" w:color="auto"/>
            </w:tcBorders>
            <w:vAlign w:val="bottom"/>
          </w:tcPr>
          <w:p w14:paraId="1AEA888C" w14:textId="77777777" w:rsidR="00D1587D" w:rsidRDefault="00D1587D">
            <w:pPr>
              <w:rPr>
                <w:sz w:val="4"/>
                <w:szCs w:val="4"/>
              </w:rPr>
            </w:pPr>
          </w:p>
        </w:tc>
        <w:tc>
          <w:tcPr>
            <w:tcW w:w="60" w:type="dxa"/>
            <w:tcBorders>
              <w:bottom w:val="single" w:sz="8" w:space="0" w:color="auto"/>
            </w:tcBorders>
            <w:vAlign w:val="bottom"/>
          </w:tcPr>
          <w:p w14:paraId="328531E9" w14:textId="77777777" w:rsidR="00D1587D" w:rsidRDefault="00D1587D">
            <w:pPr>
              <w:rPr>
                <w:sz w:val="4"/>
                <w:szCs w:val="4"/>
              </w:rPr>
            </w:pPr>
          </w:p>
        </w:tc>
        <w:tc>
          <w:tcPr>
            <w:tcW w:w="560" w:type="dxa"/>
            <w:tcBorders>
              <w:bottom w:val="single" w:sz="8" w:space="0" w:color="CCEEFF"/>
            </w:tcBorders>
            <w:vAlign w:val="bottom"/>
          </w:tcPr>
          <w:p w14:paraId="3AD88353" w14:textId="77777777" w:rsidR="00D1587D" w:rsidRDefault="00D1587D">
            <w:pPr>
              <w:rPr>
                <w:sz w:val="4"/>
                <w:szCs w:val="4"/>
              </w:rPr>
            </w:pPr>
          </w:p>
        </w:tc>
        <w:tc>
          <w:tcPr>
            <w:tcW w:w="420" w:type="dxa"/>
            <w:tcBorders>
              <w:bottom w:val="single" w:sz="8" w:space="0" w:color="auto"/>
            </w:tcBorders>
            <w:vAlign w:val="bottom"/>
          </w:tcPr>
          <w:p w14:paraId="1F32CC2A" w14:textId="77777777" w:rsidR="00D1587D" w:rsidRDefault="00D1587D">
            <w:pPr>
              <w:rPr>
                <w:sz w:val="4"/>
                <w:szCs w:val="4"/>
              </w:rPr>
            </w:pPr>
          </w:p>
        </w:tc>
        <w:tc>
          <w:tcPr>
            <w:tcW w:w="80" w:type="dxa"/>
            <w:tcBorders>
              <w:bottom w:val="single" w:sz="8" w:space="0" w:color="auto"/>
            </w:tcBorders>
            <w:vAlign w:val="bottom"/>
          </w:tcPr>
          <w:p w14:paraId="7ACF25E5" w14:textId="77777777" w:rsidR="00D1587D" w:rsidRDefault="00D1587D">
            <w:pPr>
              <w:rPr>
                <w:sz w:val="4"/>
                <w:szCs w:val="4"/>
              </w:rPr>
            </w:pPr>
          </w:p>
        </w:tc>
      </w:tr>
      <w:tr w:rsidR="00D1587D" w14:paraId="19AAB54C" w14:textId="77777777">
        <w:trPr>
          <w:trHeight w:val="311"/>
        </w:trPr>
        <w:tc>
          <w:tcPr>
            <w:tcW w:w="6940" w:type="dxa"/>
            <w:tcBorders>
              <w:bottom w:val="single" w:sz="8" w:space="0" w:color="CCEEFF"/>
            </w:tcBorders>
            <w:shd w:val="clear" w:color="auto" w:fill="CCEEFF"/>
            <w:vAlign w:val="bottom"/>
          </w:tcPr>
          <w:p w14:paraId="766CF844" w14:textId="77777777" w:rsidR="00D1587D" w:rsidRDefault="00410D07">
            <w:pPr>
              <w:rPr>
                <w:sz w:val="20"/>
                <w:szCs w:val="20"/>
              </w:rPr>
            </w:pPr>
            <w:r>
              <w:rPr>
                <w:rFonts w:ascii="Arial" w:eastAsia="Arial" w:hAnsi="Arial" w:cs="Arial"/>
                <w:b/>
                <w:bCs/>
                <w:sz w:val="18"/>
                <w:szCs w:val="18"/>
              </w:rPr>
              <w:t>Operating Activities</w:t>
            </w:r>
          </w:p>
        </w:tc>
        <w:tc>
          <w:tcPr>
            <w:tcW w:w="340" w:type="dxa"/>
            <w:tcBorders>
              <w:bottom w:val="single" w:sz="8" w:space="0" w:color="CCEEFF"/>
            </w:tcBorders>
            <w:shd w:val="clear" w:color="auto" w:fill="CCEEFF"/>
            <w:vAlign w:val="bottom"/>
          </w:tcPr>
          <w:p w14:paraId="4D7D2F6E" w14:textId="77777777" w:rsidR="00D1587D" w:rsidRDefault="00D1587D">
            <w:pPr>
              <w:rPr>
                <w:sz w:val="24"/>
                <w:szCs w:val="24"/>
              </w:rPr>
            </w:pPr>
          </w:p>
        </w:tc>
        <w:tc>
          <w:tcPr>
            <w:tcW w:w="20" w:type="dxa"/>
            <w:tcBorders>
              <w:bottom w:val="single" w:sz="8" w:space="0" w:color="CCEEFF"/>
            </w:tcBorders>
            <w:shd w:val="clear" w:color="auto" w:fill="CCEEFF"/>
            <w:vAlign w:val="bottom"/>
          </w:tcPr>
          <w:p w14:paraId="569169FF" w14:textId="77777777" w:rsidR="00D1587D" w:rsidRDefault="00D1587D">
            <w:pPr>
              <w:rPr>
                <w:sz w:val="24"/>
                <w:szCs w:val="24"/>
              </w:rPr>
            </w:pPr>
          </w:p>
        </w:tc>
        <w:tc>
          <w:tcPr>
            <w:tcW w:w="60" w:type="dxa"/>
            <w:tcBorders>
              <w:bottom w:val="single" w:sz="8" w:space="0" w:color="CCEEFF"/>
            </w:tcBorders>
            <w:shd w:val="clear" w:color="auto" w:fill="CCEEFF"/>
            <w:vAlign w:val="bottom"/>
          </w:tcPr>
          <w:p w14:paraId="239C5014" w14:textId="77777777" w:rsidR="00D1587D" w:rsidRDefault="00D1587D">
            <w:pPr>
              <w:rPr>
                <w:sz w:val="24"/>
                <w:szCs w:val="24"/>
              </w:rPr>
            </w:pPr>
          </w:p>
        </w:tc>
        <w:tc>
          <w:tcPr>
            <w:tcW w:w="560" w:type="dxa"/>
            <w:tcBorders>
              <w:bottom w:val="single" w:sz="8" w:space="0" w:color="CCEEFF"/>
            </w:tcBorders>
            <w:shd w:val="clear" w:color="auto" w:fill="CCEEFF"/>
            <w:vAlign w:val="bottom"/>
          </w:tcPr>
          <w:p w14:paraId="3EB8CD15" w14:textId="77777777" w:rsidR="00D1587D" w:rsidRDefault="00D1587D">
            <w:pPr>
              <w:rPr>
                <w:sz w:val="24"/>
                <w:szCs w:val="24"/>
              </w:rPr>
            </w:pPr>
          </w:p>
        </w:tc>
        <w:tc>
          <w:tcPr>
            <w:tcW w:w="420" w:type="dxa"/>
            <w:tcBorders>
              <w:bottom w:val="single" w:sz="8" w:space="0" w:color="CCEEFF"/>
            </w:tcBorders>
            <w:shd w:val="clear" w:color="auto" w:fill="CCEEFF"/>
            <w:vAlign w:val="bottom"/>
          </w:tcPr>
          <w:p w14:paraId="52A072D9" w14:textId="77777777" w:rsidR="00D1587D" w:rsidRDefault="00D1587D">
            <w:pPr>
              <w:rPr>
                <w:sz w:val="24"/>
                <w:szCs w:val="24"/>
              </w:rPr>
            </w:pPr>
          </w:p>
        </w:tc>
        <w:tc>
          <w:tcPr>
            <w:tcW w:w="80" w:type="dxa"/>
            <w:tcBorders>
              <w:bottom w:val="single" w:sz="8" w:space="0" w:color="CCEEFF"/>
            </w:tcBorders>
            <w:shd w:val="clear" w:color="auto" w:fill="CCEEFF"/>
            <w:vAlign w:val="bottom"/>
          </w:tcPr>
          <w:p w14:paraId="7062CEF6" w14:textId="77777777" w:rsidR="00D1587D" w:rsidRDefault="00D1587D">
            <w:pPr>
              <w:rPr>
                <w:sz w:val="24"/>
                <w:szCs w:val="24"/>
              </w:rPr>
            </w:pPr>
          </w:p>
        </w:tc>
      </w:tr>
      <w:tr w:rsidR="00D1587D" w14:paraId="21E8FADF" w14:textId="77777777">
        <w:trPr>
          <w:trHeight w:val="270"/>
        </w:trPr>
        <w:tc>
          <w:tcPr>
            <w:tcW w:w="6940" w:type="dxa"/>
            <w:vAlign w:val="bottom"/>
          </w:tcPr>
          <w:p w14:paraId="44F9D6E3" w14:textId="77777777" w:rsidR="00D1587D" w:rsidRDefault="00410D07">
            <w:pPr>
              <w:rPr>
                <w:sz w:val="20"/>
                <w:szCs w:val="20"/>
              </w:rPr>
            </w:pPr>
            <w:r>
              <w:rPr>
                <w:rFonts w:ascii="Arial" w:eastAsia="Arial" w:hAnsi="Arial" w:cs="Arial"/>
                <w:sz w:val="18"/>
                <w:szCs w:val="18"/>
              </w:rPr>
              <w:t>Net Income (Loss)</w:t>
            </w:r>
          </w:p>
        </w:tc>
        <w:tc>
          <w:tcPr>
            <w:tcW w:w="360" w:type="dxa"/>
            <w:gridSpan w:val="2"/>
            <w:vAlign w:val="bottom"/>
          </w:tcPr>
          <w:p w14:paraId="3FB597BC" w14:textId="77777777" w:rsidR="00D1587D" w:rsidRDefault="00410D07">
            <w:pPr>
              <w:jc w:val="right"/>
              <w:rPr>
                <w:sz w:val="20"/>
                <w:szCs w:val="20"/>
              </w:rPr>
            </w:pPr>
            <w:r>
              <w:rPr>
                <w:rFonts w:ascii="Arial" w:eastAsia="Arial" w:hAnsi="Arial" w:cs="Arial"/>
                <w:w w:val="84"/>
                <w:sz w:val="18"/>
                <w:szCs w:val="18"/>
              </w:rPr>
              <w:t>$174</w:t>
            </w:r>
          </w:p>
        </w:tc>
        <w:tc>
          <w:tcPr>
            <w:tcW w:w="60" w:type="dxa"/>
            <w:vAlign w:val="bottom"/>
          </w:tcPr>
          <w:p w14:paraId="348AD5E6" w14:textId="77777777" w:rsidR="00D1587D" w:rsidRDefault="00D1587D">
            <w:pPr>
              <w:rPr>
                <w:sz w:val="23"/>
                <w:szCs w:val="23"/>
              </w:rPr>
            </w:pPr>
          </w:p>
        </w:tc>
        <w:tc>
          <w:tcPr>
            <w:tcW w:w="560" w:type="dxa"/>
            <w:vAlign w:val="bottom"/>
          </w:tcPr>
          <w:p w14:paraId="4D3CA0C9" w14:textId="77777777" w:rsidR="00D1587D" w:rsidRDefault="00D1587D">
            <w:pPr>
              <w:rPr>
                <w:sz w:val="23"/>
                <w:szCs w:val="23"/>
              </w:rPr>
            </w:pPr>
          </w:p>
        </w:tc>
        <w:tc>
          <w:tcPr>
            <w:tcW w:w="500" w:type="dxa"/>
            <w:gridSpan w:val="2"/>
            <w:vAlign w:val="bottom"/>
          </w:tcPr>
          <w:p w14:paraId="29F11CC2" w14:textId="77777777" w:rsidR="00D1587D" w:rsidRDefault="00410D07">
            <w:pPr>
              <w:ind w:right="20"/>
              <w:jc w:val="right"/>
              <w:rPr>
                <w:sz w:val="20"/>
                <w:szCs w:val="20"/>
              </w:rPr>
            </w:pPr>
            <w:r>
              <w:rPr>
                <w:rFonts w:ascii="Arial" w:eastAsia="Arial" w:hAnsi="Arial" w:cs="Arial"/>
                <w:w w:val="88"/>
                <w:sz w:val="18"/>
                <w:szCs w:val="18"/>
              </w:rPr>
              <w:t>$(299)</w:t>
            </w:r>
          </w:p>
        </w:tc>
      </w:tr>
      <w:tr w:rsidR="00D1587D" w14:paraId="3D95E71A" w14:textId="77777777">
        <w:trPr>
          <w:trHeight w:val="54"/>
        </w:trPr>
        <w:tc>
          <w:tcPr>
            <w:tcW w:w="6940" w:type="dxa"/>
            <w:vAlign w:val="bottom"/>
          </w:tcPr>
          <w:p w14:paraId="01ECFFED" w14:textId="77777777" w:rsidR="00D1587D" w:rsidRDefault="00D1587D">
            <w:pPr>
              <w:rPr>
                <w:sz w:val="4"/>
                <w:szCs w:val="4"/>
              </w:rPr>
            </w:pPr>
          </w:p>
        </w:tc>
        <w:tc>
          <w:tcPr>
            <w:tcW w:w="340" w:type="dxa"/>
            <w:vAlign w:val="bottom"/>
          </w:tcPr>
          <w:p w14:paraId="7C22E270" w14:textId="77777777" w:rsidR="00D1587D" w:rsidRDefault="00D1587D">
            <w:pPr>
              <w:rPr>
                <w:sz w:val="4"/>
                <w:szCs w:val="4"/>
              </w:rPr>
            </w:pPr>
          </w:p>
        </w:tc>
        <w:tc>
          <w:tcPr>
            <w:tcW w:w="20" w:type="dxa"/>
            <w:vAlign w:val="bottom"/>
          </w:tcPr>
          <w:p w14:paraId="6155DD7F" w14:textId="77777777" w:rsidR="00D1587D" w:rsidRDefault="00D1587D">
            <w:pPr>
              <w:rPr>
                <w:sz w:val="4"/>
                <w:szCs w:val="4"/>
              </w:rPr>
            </w:pPr>
          </w:p>
        </w:tc>
        <w:tc>
          <w:tcPr>
            <w:tcW w:w="60" w:type="dxa"/>
            <w:vAlign w:val="bottom"/>
          </w:tcPr>
          <w:p w14:paraId="361F36D1" w14:textId="77777777" w:rsidR="00D1587D" w:rsidRDefault="00D1587D">
            <w:pPr>
              <w:rPr>
                <w:sz w:val="4"/>
                <w:szCs w:val="4"/>
              </w:rPr>
            </w:pPr>
          </w:p>
        </w:tc>
        <w:tc>
          <w:tcPr>
            <w:tcW w:w="560" w:type="dxa"/>
            <w:vAlign w:val="bottom"/>
          </w:tcPr>
          <w:p w14:paraId="6686B60E" w14:textId="77777777" w:rsidR="00D1587D" w:rsidRDefault="00D1587D">
            <w:pPr>
              <w:rPr>
                <w:sz w:val="4"/>
                <w:szCs w:val="4"/>
              </w:rPr>
            </w:pPr>
          </w:p>
        </w:tc>
        <w:tc>
          <w:tcPr>
            <w:tcW w:w="420" w:type="dxa"/>
            <w:vAlign w:val="bottom"/>
          </w:tcPr>
          <w:p w14:paraId="590337E3" w14:textId="77777777" w:rsidR="00D1587D" w:rsidRDefault="00D1587D">
            <w:pPr>
              <w:rPr>
                <w:sz w:val="4"/>
                <w:szCs w:val="4"/>
              </w:rPr>
            </w:pPr>
          </w:p>
        </w:tc>
        <w:tc>
          <w:tcPr>
            <w:tcW w:w="80" w:type="dxa"/>
            <w:vAlign w:val="bottom"/>
          </w:tcPr>
          <w:p w14:paraId="6B83E285" w14:textId="77777777" w:rsidR="00D1587D" w:rsidRDefault="00D1587D">
            <w:pPr>
              <w:rPr>
                <w:sz w:val="4"/>
                <w:szCs w:val="4"/>
              </w:rPr>
            </w:pPr>
          </w:p>
        </w:tc>
      </w:tr>
      <w:tr w:rsidR="00D1587D" w14:paraId="2B0AAB29" w14:textId="77777777">
        <w:trPr>
          <w:trHeight w:val="256"/>
        </w:trPr>
        <w:tc>
          <w:tcPr>
            <w:tcW w:w="6940" w:type="dxa"/>
            <w:shd w:val="clear" w:color="auto" w:fill="CCEEFF"/>
            <w:vAlign w:val="bottom"/>
          </w:tcPr>
          <w:p w14:paraId="3ACFA1BE" w14:textId="77777777" w:rsidR="00D1587D" w:rsidRDefault="00410D07">
            <w:pPr>
              <w:rPr>
                <w:sz w:val="20"/>
                <w:szCs w:val="20"/>
              </w:rPr>
            </w:pPr>
            <w:r>
              <w:rPr>
                <w:rFonts w:ascii="Arial" w:eastAsia="Arial" w:hAnsi="Arial" w:cs="Arial"/>
                <w:sz w:val="18"/>
                <w:szCs w:val="18"/>
              </w:rPr>
              <w:t>Adjustments to Reconcile Net Income (Loss) to Net Cash Provided by (Used for)</w:t>
            </w:r>
          </w:p>
        </w:tc>
        <w:tc>
          <w:tcPr>
            <w:tcW w:w="340" w:type="dxa"/>
            <w:shd w:val="clear" w:color="auto" w:fill="CCEEFF"/>
            <w:vAlign w:val="bottom"/>
          </w:tcPr>
          <w:p w14:paraId="4A7CD2EF" w14:textId="77777777" w:rsidR="00D1587D" w:rsidRDefault="00D1587D"/>
        </w:tc>
        <w:tc>
          <w:tcPr>
            <w:tcW w:w="20" w:type="dxa"/>
            <w:shd w:val="clear" w:color="auto" w:fill="CCEEFF"/>
            <w:vAlign w:val="bottom"/>
          </w:tcPr>
          <w:p w14:paraId="31B4FDA8" w14:textId="77777777" w:rsidR="00D1587D" w:rsidRDefault="00D1587D"/>
        </w:tc>
        <w:tc>
          <w:tcPr>
            <w:tcW w:w="60" w:type="dxa"/>
            <w:shd w:val="clear" w:color="auto" w:fill="CCEEFF"/>
            <w:vAlign w:val="bottom"/>
          </w:tcPr>
          <w:p w14:paraId="0773DFEA" w14:textId="77777777" w:rsidR="00D1587D" w:rsidRDefault="00D1587D"/>
        </w:tc>
        <w:tc>
          <w:tcPr>
            <w:tcW w:w="560" w:type="dxa"/>
            <w:shd w:val="clear" w:color="auto" w:fill="CCEEFF"/>
            <w:vAlign w:val="bottom"/>
          </w:tcPr>
          <w:p w14:paraId="0361CB3C" w14:textId="77777777" w:rsidR="00D1587D" w:rsidRDefault="00D1587D"/>
        </w:tc>
        <w:tc>
          <w:tcPr>
            <w:tcW w:w="420" w:type="dxa"/>
            <w:shd w:val="clear" w:color="auto" w:fill="CCEEFF"/>
            <w:vAlign w:val="bottom"/>
          </w:tcPr>
          <w:p w14:paraId="59BE6B40" w14:textId="77777777" w:rsidR="00D1587D" w:rsidRDefault="00D1587D"/>
        </w:tc>
        <w:tc>
          <w:tcPr>
            <w:tcW w:w="80" w:type="dxa"/>
            <w:shd w:val="clear" w:color="auto" w:fill="CCEEFF"/>
            <w:vAlign w:val="bottom"/>
          </w:tcPr>
          <w:p w14:paraId="792567C3" w14:textId="77777777" w:rsidR="00D1587D" w:rsidRDefault="00D1587D"/>
        </w:tc>
      </w:tr>
      <w:tr w:rsidR="00D1587D" w14:paraId="7790D7FB" w14:textId="77777777">
        <w:trPr>
          <w:trHeight w:val="264"/>
        </w:trPr>
        <w:tc>
          <w:tcPr>
            <w:tcW w:w="6940" w:type="dxa"/>
            <w:tcBorders>
              <w:bottom w:val="single" w:sz="8" w:space="0" w:color="CCEEFF"/>
            </w:tcBorders>
            <w:shd w:val="clear" w:color="auto" w:fill="CCEEFF"/>
            <w:vAlign w:val="bottom"/>
          </w:tcPr>
          <w:p w14:paraId="53551F88" w14:textId="77777777" w:rsidR="00D1587D" w:rsidRDefault="00410D07">
            <w:pPr>
              <w:ind w:left="180"/>
              <w:rPr>
                <w:sz w:val="20"/>
                <w:szCs w:val="20"/>
              </w:rPr>
            </w:pPr>
            <w:r>
              <w:rPr>
                <w:rFonts w:ascii="Arial" w:eastAsia="Arial" w:hAnsi="Arial" w:cs="Arial"/>
                <w:sz w:val="18"/>
                <w:szCs w:val="18"/>
              </w:rPr>
              <w:t>Operating Activities:</w:t>
            </w:r>
          </w:p>
        </w:tc>
        <w:tc>
          <w:tcPr>
            <w:tcW w:w="340" w:type="dxa"/>
            <w:tcBorders>
              <w:bottom w:val="single" w:sz="8" w:space="0" w:color="CCEEFF"/>
            </w:tcBorders>
            <w:shd w:val="clear" w:color="auto" w:fill="CCEEFF"/>
            <w:vAlign w:val="bottom"/>
          </w:tcPr>
          <w:p w14:paraId="03A783DE" w14:textId="77777777" w:rsidR="00D1587D" w:rsidRDefault="00D1587D"/>
        </w:tc>
        <w:tc>
          <w:tcPr>
            <w:tcW w:w="20" w:type="dxa"/>
            <w:tcBorders>
              <w:bottom w:val="single" w:sz="8" w:space="0" w:color="CCEEFF"/>
            </w:tcBorders>
            <w:shd w:val="clear" w:color="auto" w:fill="CCEEFF"/>
            <w:vAlign w:val="bottom"/>
          </w:tcPr>
          <w:p w14:paraId="4C7A9EDC" w14:textId="77777777" w:rsidR="00D1587D" w:rsidRDefault="00D1587D"/>
        </w:tc>
        <w:tc>
          <w:tcPr>
            <w:tcW w:w="60" w:type="dxa"/>
            <w:tcBorders>
              <w:bottom w:val="single" w:sz="8" w:space="0" w:color="CCEEFF"/>
            </w:tcBorders>
            <w:shd w:val="clear" w:color="auto" w:fill="CCEEFF"/>
            <w:vAlign w:val="bottom"/>
          </w:tcPr>
          <w:p w14:paraId="172D3524" w14:textId="77777777" w:rsidR="00D1587D" w:rsidRDefault="00D1587D"/>
        </w:tc>
        <w:tc>
          <w:tcPr>
            <w:tcW w:w="560" w:type="dxa"/>
            <w:tcBorders>
              <w:bottom w:val="single" w:sz="8" w:space="0" w:color="CCEEFF"/>
            </w:tcBorders>
            <w:shd w:val="clear" w:color="auto" w:fill="CCEEFF"/>
            <w:vAlign w:val="bottom"/>
          </w:tcPr>
          <w:p w14:paraId="3C5C6A0A" w14:textId="77777777" w:rsidR="00D1587D" w:rsidRDefault="00D1587D"/>
        </w:tc>
        <w:tc>
          <w:tcPr>
            <w:tcW w:w="420" w:type="dxa"/>
            <w:tcBorders>
              <w:bottom w:val="single" w:sz="8" w:space="0" w:color="CCEEFF"/>
            </w:tcBorders>
            <w:shd w:val="clear" w:color="auto" w:fill="CCEEFF"/>
            <w:vAlign w:val="bottom"/>
          </w:tcPr>
          <w:p w14:paraId="405CD1CE" w14:textId="77777777" w:rsidR="00D1587D" w:rsidRDefault="00D1587D"/>
        </w:tc>
        <w:tc>
          <w:tcPr>
            <w:tcW w:w="80" w:type="dxa"/>
            <w:tcBorders>
              <w:bottom w:val="single" w:sz="8" w:space="0" w:color="CCEEFF"/>
            </w:tcBorders>
            <w:shd w:val="clear" w:color="auto" w:fill="CCEEFF"/>
            <w:vAlign w:val="bottom"/>
          </w:tcPr>
          <w:p w14:paraId="43E9B350" w14:textId="77777777" w:rsidR="00D1587D" w:rsidRDefault="00D1587D"/>
        </w:tc>
      </w:tr>
      <w:tr w:rsidR="00D1587D" w14:paraId="6E5C9055" w14:textId="77777777">
        <w:trPr>
          <w:trHeight w:val="270"/>
        </w:trPr>
        <w:tc>
          <w:tcPr>
            <w:tcW w:w="6940" w:type="dxa"/>
            <w:vAlign w:val="bottom"/>
          </w:tcPr>
          <w:p w14:paraId="0ABAA2CF" w14:textId="77777777" w:rsidR="00D1587D" w:rsidRDefault="00410D07">
            <w:pPr>
              <w:ind w:left="180"/>
              <w:rPr>
                <w:sz w:val="20"/>
                <w:szCs w:val="20"/>
              </w:rPr>
            </w:pPr>
            <w:r>
              <w:rPr>
                <w:rFonts w:ascii="Arial" w:eastAsia="Arial" w:hAnsi="Arial" w:cs="Arial"/>
                <w:sz w:val="18"/>
                <w:szCs w:val="18"/>
              </w:rPr>
              <w:t>Depreciation of Long-lived Assets</w:t>
            </w:r>
          </w:p>
        </w:tc>
        <w:tc>
          <w:tcPr>
            <w:tcW w:w="360" w:type="dxa"/>
            <w:gridSpan w:val="2"/>
            <w:vAlign w:val="bottom"/>
          </w:tcPr>
          <w:p w14:paraId="3504A4F5" w14:textId="77777777" w:rsidR="00D1587D" w:rsidRDefault="00410D07">
            <w:pPr>
              <w:ind w:right="20"/>
              <w:jc w:val="right"/>
              <w:rPr>
                <w:sz w:val="20"/>
                <w:szCs w:val="20"/>
              </w:rPr>
            </w:pPr>
            <w:r>
              <w:rPr>
                <w:rFonts w:ascii="Arial" w:eastAsia="Arial" w:hAnsi="Arial" w:cs="Arial"/>
                <w:sz w:val="18"/>
                <w:szCs w:val="18"/>
              </w:rPr>
              <w:t>80</w:t>
            </w:r>
          </w:p>
        </w:tc>
        <w:tc>
          <w:tcPr>
            <w:tcW w:w="60" w:type="dxa"/>
            <w:vAlign w:val="bottom"/>
          </w:tcPr>
          <w:p w14:paraId="0E3928F8" w14:textId="77777777" w:rsidR="00D1587D" w:rsidRDefault="00D1587D">
            <w:pPr>
              <w:rPr>
                <w:sz w:val="23"/>
                <w:szCs w:val="23"/>
              </w:rPr>
            </w:pPr>
          </w:p>
        </w:tc>
        <w:tc>
          <w:tcPr>
            <w:tcW w:w="560" w:type="dxa"/>
            <w:vAlign w:val="bottom"/>
          </w:tcPr>
          <w:p w14:paraId="41E55D07" w14:textId="77777777" w:rsidR="00D1587D" w:rsidRDefault="00D1587D">
            <w:pPr>
              <w:rPr>
                <w:sz w:val="23"/>
                <w:szCs w:val="23"/>
              </w:rPr>
            </w:pPr>
          </w:p>
        </w:tc>
        <w:tc>
          <w:tcPr>
            <w:tcW w:w="420" w:type="dxa"/>
            <w:vAlign w:val="bottom"/>
          </w:tcPr>
          <w:p w14:paraId="172EB275" w14:textId="77777777" w:rsidR="00D1587D" w:rsidRDefault="00410D07">
            <w:pPr>
              <w:jc w:val="right"/>
              <w:rPr>
                <w:sz w:val="20"/>
                <w:szCs w:val="20"/>
              </w:rPr>
            </w:pPr>
            <w:r>
              <w:rPr>
                <w:rFonts w:ascii="Arial" w:eastAsia="Arial" w:hAnsi="Arial" w:cs="Arial"/>
                <w:sz w:val="18"/>
                <w:szCs w:val="18"/>
              </w:rPr>
              <w:t>90</w:t>
            </w:r>
          </w:p>
        </w:tc>
        <w:tc>
          <w:tcPr>
            <w:tcW w:w="80" w:type="dxa"/>
            <w:vAlign w:val="bottom"/>
          </w:tcPr>
          <w:p w14:paraId="7580EEF8" w14:textId="77777777" w:rsidR="00D1587D" w:rsidRDefault="00D1587D">
            <w:pPr>
              <w:rPr>
                <w:sz w:val="23"/>
                <w:szCs w:val="23"/>
              </w:rPr>
            </w:pPr>
          </w:p>
        </w:tc>
      </w:tr>
      <w:tr w:rsidR="00D1587D" w14:paraId="0046DE32" w14:textId="77777777">
        <w:trPr>
          <w:trHeight w:val="54"/>
        </w:trPr>
        <w:tc>
          <w:tcPr>
            <w:tcW w:w="6940" w:type="dxa"/>
            <w:vAlign w:val="bottom"/>
          </w:tcPr>
          <w:p w14:paraId="701A10FA" w14:textId="77777777" w:rsidR="00D1587D" w:rsidRDefault="00D1587D">
            <w:pPr>
              <w:rPr>
                <w:sz w:val="4"/>
                <w:szCs w:val="4"/>
              </w:rPr>
            </w:pPr>
          </w:p>
        </w:tc>
        <w:tc>
          <w:tcPr>
            <w:tcW w:w="340" w:type="dxa"/>
            <w:vAlign w:val="bottom"/>
          </w:tcPr>
          <w:p w14:paraId="330A29A7" w14:textId="77777777" w:rsidR="00D1587D" w:rsidRDefault="00D1587D">
            <w:pPr>
              <w:rPr>
                <w:sz w:val="4"/>
                <w:szCs w:val="4"/>
              </w:rPr>
            </w:pPr>
          </w:p>
        </w:tc>
        <w:tc>
          <w:tcPr>
            <w:tcW w:w="20" w:type="dxa"/>
            <w:vAlign w:val="bottom"/>
          </w:tcPr>
          <w:p w14:paraId="27ECB5A0" w14:textId="77777777" w:rsidR="00D1587D" w:rsidRDefault="00D1587D">
            <w:pPr>
              <w:rPr>
                <w:sz w:val="4"/>
                <w:szCs w:val="4"/>
              </w:rPr>
            </w:pPr>
          </w:p>
        </w:tc>
        <w:tc>
          <w:tcPr>
            <w:tcW w:w="60" w:type="dxa"/>
            <w:vAlign w:val="bottom"/>
          </w:tcPr>
          <w:p w14:paraId="3F007951" w14:textId="77777777" w:rsidR="00D1587D" w:rsidRDefault="00D1587D">
            <w:pPr>
              <w:rPr>
                <w:sz w:val="4"/>
                <w:szCs w:val="4"/>
              </w:rPr>
            </w:pPr>
          </w:p>
        </w:tc>
        <w:tc>
          <w:tcPr>
            <w:tcW w:w="560" w:type="dxa"/>
            <w:vAlign w:val="bottom"/>
          </w:tcPr>
          <w:p w14:paraId="103AE920" w14:textId="77777777" w:rsidR="00D1587D" w:rsidRDefault="00D1587D">
            <w:pPr>
              <w:rPr>
                <w:sz w:val="4"/>
                <w:szCs w:val="4"/>
              </w:rPr>
            </w:pPr>
          </w:p>
        </w:tc>
        <w:tc>
          <w:tcPr>
            <w:tcW w:w="420" w:type="dxa"/>
            <w:vAlign w:val="bottom"/>
          </w:tcPr>
          <w:p w14:paraId="3F0E3C27" w14:textId="77777777" w:rsidR="00D1587D" w:rsidRDefault="00D1587D">
            <w:pPr>
              <w:rPr>
                <w:sz w:val="4"/>
                <w:szCs w:val="4"/>
              </w:rPr>
            </w:pPr>
          </w:p>
        </w:tc>
        <w:tc>
          <w:tcPr>
            <w:tcW w:w="80" w:type="dxa"/>
            <w:vAlign w:val="bottom"/>
          </w:tcPr>
          <w:p w14:paraId="2026819B" w14:textId="77777777" w:rsidR="00D1587D" w:rsidRDefault="00D1587D">
            <w:pPr>
              <w:rPr>
                <w:sz w:val="4"/>
                <w:szCs w:val="4"/>
              </w:rPr>
            </w:pPr>
          </w:p>
        </w:tc>
      </w:tr>
      <w:tr w:rsidR="00D1587D" w14:paraId="6DB468DC" w14:textId="77777777">
        <w:trPr>
          <w:trHeight w:val="304"/>
        </w:trPr>
        <w:tc>
          <w:tcPr>
            <w:tcW w:w="6940" w:type="dxa"/>
            <w:tcBorders>
              <w:bottom w:val="single" w:sz="8" w:space="0" w:color="CCEEFF"/>
            </w:tcBorders>
            <w:shd w:val="clear" w:color="auto" w:fill="CCEEFF"/>
            <w:vAlign w:val="bottom"/>
          </w:tcPr>
          <w:p w14:paraId="39C6D132" w14:textId="77777777" w:rsidR="00D1587D" w:rsidRDefault="00410D07">
            <w:pPr>
              <w:ind w:left="180"/>
              <w:rPr>
                <w:sz w:val="20"/>
                <w:szCs w:val="20"/>
              </w:rPr>
            </w:pPr>
            <w:r>
              <w:rPr>
                <w:rFonts w:ascii="Arial" w:eastAsia="Arial" w:hAnsi="Arial" w:cs="Arial"/>
                <w:sz w:val="18"/>
                <w:szCs w:val="18"/>
              </w:rPr>
              <w:t>Asset Impairment Charges</w:t>
            </w:r>
          </w:p>
        </w:tc>
        <w:tc>
          <w:tcPr>
            <w:tcW w:w="980" w:type="dxa"/>
            <w:gridSpan w:val="4"/>
            <w:tcBorders>
              <w:bottom w:val="single" w:sz="8" w:space="0" w:color="CCEEFF"/>
            </w:tcBorders>
            <w:shd w:val="clear" w:color="auto" w:fill="CCEEFF"/>
            <w:vAlign w:val="bottom"/>
          </w:tcPr>
          <w:p w14:paraId="1B544B60" w14:textId="77777777" w:rsidR="00D1587D" w:rsidRDefault="00410D07">
            <w:pPr>
              <w:ind w:right="640"/>
              <w:jc w:val="right"/>
              <w:rPr>
                <w:sz w:val="20"/>
                <w:szCs w:val="20"/>
              </w:rPr>
            </w:pPr>
            <w:r>
              <w:rPr>
                <w:rFonts w:ascii="Arial" w:eastAsia="Arial" w:hAnsi="Arial" w:cs="Arial"/>
                <w:sz w:val="18"/>
                <w:szCs w:val="18"/>
              </w:rPr>
              <w:t>—</w:t>
            </w:r>
          </w:p>
        </w:tc>
        <w:tc>
          <w:tcPr>
            <w:tcW w:w="420" w:type="dxa"/>
            <w:tcBorders>
              <w:bottom w:val="single" w:sz="8" w:space="0" w:color="CCEEFF"/>
            </w:tcBorders>
            <w:shd w:val="clear" w:color="auto" w:fill="CCEEFF"/>
            <w:vAlign w:val="bottom"/>
          </w:tcPr>
          <w:p w14:paraId="0BDC6C6F" w14:textId="77777777" w:rsidR="00D1587D" w:rsidRDefault="00410D07">
            <w:pPr>
              <w:jc w:val="right"/>
              <w:rPr>
                <w:sz w:val="20"/>
                <w:szCs w:val="20"/>
              </w:rPr>
            </w:pPr>
            <w:r>
              <w:rPr>
                <w:rFonts w:ascii="Arial" w:eastAsia="Arial" w:hAnsi="Arial" w:cs="Arial"/>
                <w:sz w:val="18"/>
                <w:szCs w:val="18"/>
              </w:rPr>
              <w:t>97</w:t>
            </w:r>
          </w:p>
        </w:tc>
        <w:tc>
          <w:tcPr>
            <w:tcW w:w="80" w:type="dxa"/>
            <w:tcBorders>
              <w:bottom w:val="single" w:sz="8" w:space="0" w:color="CCEEFF"/>
            </w:tcBorders>
            <w:shd w:val="clear" w:color="auto" w:fill="CCEEFF"/>
            <w:vAlign w:val="bottom"/>
          </w:tcPr>
          <w:p w14:paraId="22388789" w14:textId="77777777" w:rsidR="00D1587D" w:rsidRDefault="00D1587D">
            <w:pPr>
              <w:rPr>
                <w:sz w:val="24"/>
                <w:szCs w:val="24"/>
              </w:rPr>
            </w:pPr>
          </w:p>
        </w:tc>
      </w:tr>
      <w:tr w:rsidR="00D1587D" w14:paraId="2831740D" w14:textId="77777777">
        <w:trPr>
          <w:trHeight w:val="270"/>
        </w:trPr>
        <w:tc>
          <w:tcPr>
            <w:tcW w:w="6940" w:type="dxa"/>
            <w:vAlign w:val="bottom"/>
          </w:tcPr>
          <w:p w14:paraId="3D27B4CF" w14:textId="77777777" w:rsidR="00D1587D" w:rsidRDefault="00410D07">
            <w:pPr>
              <w:ind w:left="180"/>
              <w:rPr>
                <w:sz w:val="20"/>
                <w:szCs w:val="20"/>
              </w:rPr>
            </w:pPr>
            <w:r>
              <w:rPr>
                <w:rFonts w:ascii="Arial" w:eastAsia="Arial" w:hAnsi="Arial" w:cs="Arial"/>
                <w:sz w:val="18"/>
                <w:szCs w:val="18"/>
              </w:rPr>
              <w:t xml:space="preserve">Share-based </w:t>
            </w:r>
            <w:r>
              <w:rPr>
                <w:rFonts w:ascii="Arial" w:eastAsia="Arial" w:hAnsi="Arial" w:cs="Arial"/>
                <w:sz w:val="18"/>
                <w:szCs w:val="18"/>
              </w:rPr>
              <w:t>Compensation Expense</w:t>
            </w:r>
          </w:p>
        </w:tc>
        <w:tc>
          <w:tcPr>
            <w:tcW w:w="360" w:type="dxa"/>
            <w:gridSpan w:val="2"/>
            <w:vAlign w:val="bottom"/>
          </w:tcPr>
          <w:p w14:paraId="375050D3" w14:textId="77777777" w:rsidR="00D1587D" w:rsidRDefault="00410D07">
            <w:pPr>
              <w:jc w:val="right"/>
              <w:rPr>
                <w:sz w:val="20"/>
                <w:szCs w:val="20"/>
              </w:rPr>
            </w:pPr>
            <w:r>
              <w:rPr>
                <w:rFonts w:ascii="Arial" w:eastAsia="Arial" w:hAnsi="Arial" w:cs="Arial"/>
                <w:sz w:val="18"/>
                <w:szCs w:val="18"/>
              </w:rPr>
              <w:t>7</w:t>
            </w:r>
          </w:p>
        </w:tc>
        <w:tc>
          <w:tcPr>
            <w:tcW w:w="60" w:type="dxa"/>
            <w:vAlign w:val="bottom"/>
          </w:tcPr>
          <w:p w14:paraId="1F399083" w14:textId="77777777" w:rsidR="00D1587D" w:rsidRDefault="00D1587D">
            <w:pPr>
              <w:rPr>
                <w:sz w:val="23"/>
                <w:szCs w:val="23"/>
              </w:rPr>
            </w:pPr>
          </w:p>
        </w:tc>
        <w:tc>
          <w:tcPr>
            <w:tcW w:w="560" w:type="dxa"/>
            <w:vAlign w:val="bottom"/>
          </w:tcPr>
          <w:p w14:paraId="7E69AD9B" w14:textId="77777777" w:rsidR="00D1587D" w:rsidRDefault="00D1587D">
            <w:pPr>
              <w:rPr>
                <w:sz w:val="23"/>
                <w:szCs w:val="23"/>
              </w:rPr>
            </w:pPr>
          </w:p>
        </w:tc>
        <w:tc>
          <w:tcPr>
            <w:tcW w:w="420" w:type="dxa"/>
            <w:vAlign w:val="bottom"/>
          </w:tcPr>
          <w:p w14:paraId="3736001B" w14:textId="77777777" w:rsidR="00D1587D" w:rsidRDefault="00410D07">
            <w:pPr>
              <w:jc w:val="right"/>
              <w:rPr>
                <w:sz w:val="20"/>
                <w:szCs w:val="20"/>
              </w:rPr>
            </w:pPr>
            <w:r>
              <w:rPr>
                <w:rFonts w:ascii="Arial" w:eastAsia="Arial" w:hAnsi="Arial" w:cs="Arial"/>
                <w:sz w:val="18"/>
                <w:szCs w:val="18"/>
              </w:rPr>
              <w:t>9</w:t>
            </w:r>
          </w:p>
        </w:tc>
        <w:tc>
          <w:tcPr>
            <w:tcW w:w="80" w:type="dxa"/>
            <w:vAlign w:val="bottom"/>
          </w:tcPr>
          <w:p w14:paraId="2DAEDBC2" w14:textId="77777777" w:rsidR="00D1587D" w:rsidRDefault="00D1587D">
            <w:pPr>
              <w:rPr>
                <w:sz w:val="23"/>
                <w:szCs w:val="23"/>
              </w:rPr>
            </w:pPr>
          </w:p>
        </w:tc>
      </w:tr>
      <w:tr w:rsidR="00D1587D" w14:paraId="707C0498" w14:textId="77777777">
        <w:trPr>
          <w:trHeight w:val="54"/>
        </w:trPr>
        <w:tc>
          <w:tcPr>
            <w:tcW w:w="6940" w:type="dxa"/>
            <w:vAlign w:val="bottom"/>
          </w:tcPr>
          <w:p w14:paraId="0C3DD0A5" w14:textId="77777777" w:rsidR="00D1587D" w:rsidRDefault="00D1587D">
            <w:pPr>
              <w:rPr>
                <w:sz w:val="4"/>
                <w:szCs w:val="4"/>
              </w:rPr>
            </w:pPr>
          </w:p>
        </w:tc>
        <w:tc>
          <w:tcPr>
            <w:tcW w:w="340" w:type="dxa"/>
            <w:vAlign w:val="bottom"/>
          </w:tcPr>
          <w:p w14:paraId="3A7A0D14" w14:textId="77777777" w:rsidR="00D1587D" w:rsidRDefault="00D1587D">
            <w:pPr>
              <w:rPr>
                <w:sz w:val="4"/>
                <w:szCs w:val="4"/>
              </w:rPr>
            </w:pPr>
          </w:p>
        </w:tc>
        <w:tc>
          <w:tcPr>
            <w:tcW w:w="20" w:type="dxa"/>
            <w:vAlign w:val="bottom"/>
          </w:tcPr>
          <w:p w14:paraId="77548883" w14:textId="77777777" w:rsidR="00D1587D" w:rsidRDefault="00D1587D">
            <w:pPr>
              <w:rPr>
                <w:sz w:val="4"/>
                <w:szCs w:val="4"/>
              </w:rPr>
            </w:pPr>
          </w:p>
        </w:tc>
        <w:tc>
          <w:tcPr>
            <w:tcW w:w="60" w:type="dxa"/>
            <w:vAlign w:val="bottom"/>
          </w:tcPr>
          <w:p w14:paraId="0105F80A" w14:textId="77777777" w:rsidR="00D1587D" w:rsidRDefault="00D1587D">
            <w:pPr>
              <w:rPr>
                <w:sz w:val="4"/>
                <w:szCs w:val="4"/>
              </w:rPr>
            </w:pPr>
          </w:p>
        </w:tc>
        <w:tc>
          <w:tcPr>
            <w:tcW w:w="560" w:type="dxa"/>
            <w:vAlign w:val="bottom"/>
          </w:tcPr>
          <w:p w14:paraId="5D094137" w14:textId="77777777" w:rsidR="00D1587D" w:rsidRDefault="00D1587D">
            <w:pPr>
              <w:rPr>
                <w:sz w:val="4"/>
                <w:szCs w:val="4"/>
              </w:rPr>
            </w:pPr>
          </w:p>
        </w:tc>
        <w:tc>
          <w:tcPr>
            <w:tcW w:w="420" w:type="dxa"/>
            <w:vAlign w:val="bottom"/>
          </w:tcPr>
          <w:p w14:paraId="4717D3EA" w14:textId="77777777" w:rsidR="00D1587D" w:rsidRDefault="00D1587D">
            <w:pPr>
              <w:rPr>
                <w:sz w:val="4"/>
                <w:szCs w:val="4"/>
              </w:rPr>
            </w:pPr>
          </w:p>
        </w:tc>
        <w:tc>
          <w:tcPr>
            <w:tcW w:w="80" w:type="dxa"/>
            <w:vAlign w:val="bottom"/>
          </w:tcPr>
          <w:p w14:paraId="7829A3C0" w14:textId="77777777" w:rsidR="00D1587D" w:rsidRDefault="00D1587D">
            <w:pPr>
              <w:rPr>
                <w:sz w:val="4"/>
                <w:szCs w:val="4"/>
              </w:rPr>
            </w:pPr>
          </w:p>
        </w:tc>
      </w:tr>
      <w:tr w:rsidR="00D1587D" w14:paraId="1984A61B" w14:textId="77777777">
        <w:trPr>
          <w:trHeight w:val="304"/>
        </w:trPr>
        <w:tc>
          <w:tcPr>
            <w:tcW w:w="6940" w:type="dxa"/>
            <w:tcBorders>
              <w:bottom w:val="single" w:sz="8" w:space="0" w:color="CCEEFF"/>
            </w:tcBorders>
            <w:shd w:val="clear" w:color="auto" w:fill="CCEEFF"/>
            <w:vAlign w:val="bottom"/>
          </w:tcPr>
          <w:p w14:paraId="60C92132" w14:textId="77777777" w:rsidR="00D1587D" w:rsidRDefault="00410D07">
            <w:pPr>
              <w:ind w:left="180"/>
              <w:rPr>
                <w:sz w:val="20"/>
                <w:szCs w:val="20"/>
              </w:rPr>
            </w:pPr>
            <w:r>
              <w:rPr>
                <w:rFonts w:ascii="Arial" w:eastAsia="Arial" w:hAnsi="Arial" w:cs="Arial"/>
                <w:sz w:val="18"/>
                <w:szCs w:val="18"/>
              </w:rPr>
              <w:t>Deferred Income Taxes</w:t>
            </w:r>
          </w:p>
        </w:tc>
        <w:tc>
          <w:tcPr>
            <w:tcW w:w="360" w:type="dxa"/>
            <w:gridSpan w:val="2"/>
            <w:tcBorders>
              <w:bottom w:val="single" w:sz="8" w:space="0" w:color="CCEEFF"/>
            </w:tcBorders>
            <w:shd w:val="clear" w:color="auto" w:fill="CCEEFF"/>
            <w:vAlign w:val="bottom"/>
          </w:tcPr>
          <w:p w14:paraId="1F0B5D3F" w14:textId="77777777" w:rsidR="00D1587D" w:rsidRDefault="00410D07">
            <w:pPr>
              <w:ind w:right="20"/>
              <w:jc w:val="right"/>
              <w:rPr>
                <w:sz w:val="20"/>
                <w:szCs w:val="20"/>
              </w:rPr>
            </w:pPr>
            <w:r>
              <w:rPr>
                <w:rFonts w:ascii="Arial" w:eastAsia="Arial" w:hAnsi="Arial" w:cs="Arial"/>
                <w:sz w:val="18"/>
                <w:szCs w:val="18"/>
              </w:rPr>
              <w:t>34</w:t>
            </w:r>
          </w:p>
        </w:tc>
        <w:tc>
          <w:tcPr>
            <w:tcW w:w="60" w:type="dxa"/>
            <w:tcBorders>
              <w:bottom w:val="single" w:sz="8" w:space="0" w:color="CCEEFF"/>
            </w:tcBorders>
            <w:shd w:val="clear" w:color="auto" w:fill="CCEEFF"/>
            <w:vAlign w:val="bottom"/>
          </w:tcPr>
          <w:p w14:paraId="12050AD0" w14:textId="77777777" w:rsidR="00D1587D" w:rsidRDefault="00D1587D">
            <w:pPr>
              <w:rPr>
                <w:sz w:val="24"/>
                <w:szCs w:val="24"/>
              </w:rPr>
            </w:pPr>
          </w:p>
        </w:tc>
        <w:tc>
          <w:tcPr>
            <w:tcW w:w="560" w:type="dxa"/>
            <w:tcBorders>
              <w:bottom w:val="single" w:sz="8" w:space="0" w:color="CCEEFF"/>
            </w:tcBorders>
            <w:shd w:val="clear" w:color="auto" w:fill="CCEEFF"/>
            <w:vAlign w:val="bottom"/>
          </w:tcPr>
          <w:p w14:paraId="667C87A1" w14:textId="77777777" w:rsidR="00D1587D" w:rsidRDefault="00D1587D">
            <w:pPr>
              <w:rPr>
                <w:sz w:val="24"/>
                <w:szCs w:val="24"/>
              </w:rPr>
            </w:pPr>
          </w:p>
        </w:tc>
        <w:tc>
          <w:tcPr>
            <w:tcW w:w="500" w:type="dxa"/>
            <w:gridSpan w:val="2"/>
            <w:tcBorders>
              <w:bottom w:val="single" w:sz="8" w:space="0" w:color="CCEEFF"/>
            </w:tcBorders>
            <w:shd w:val="clear" w:color="auto" w:fill="CCEEFF"/>
            <w:vAlign w:val="bottom"/>
          </w:tcPr>
          <w:p w14:paraId="526C22EC" w14:textId="77777777" w:rsidR="00D1587D" w:rsidRDefault="00410D07">
            <w:pPr>
              <w:ind w:right="20"/>
              <w:jc w:val="right"/>
              <w:rPr>
                <w:sz w:val="20"/>
                <w:szCs w:val="20"/>
              </w:rPr>
            </w:pPr>
            <w:r>
              <w:rPr>
                <w:rFonts w:ascii="Arial" w:eastAsia="Arial" w:hAnsi="Arial" w:cs="Arial"/>
                <w:sz w:val="18"/>
                <w:szCs w:val="18"/>
              </w:rPr>
              <w:t>(78)</w:t>
            </w:r>
          </w:p>
        </w:tc>
      </w:tr>
      <w:tr w:rsidR="00D1587D" w14:paraId="51C74E7A" w14:textId="77777777">
        <w:trPr>
          <w:trHeight w:val="270"/>
        </w:trPr>
        <w:tc>
          <w:tcPr>
            <w:tcW w:w="6940" w:type="dxa"/>
            <w:vAlign w:val="bottom"/>
          </w:tcPr>
          <w:p w14:paraId="10E522A4" w14:textId="77777777" w:rsidR="00D1587D" w:rsidRDefault="00410D07">
            <w:pPr>
              <w:rPr>
                <w:sz w:val="20"/>
                <w:szCs w:val="20"/>
              </w:rPr>
            </w:pPr>
            <w:r>
              <w:rPr>
                <w:rFonts w:ascii="Arial" w:eastAsia="Arial" w:hAnsi="Arial" w:cs="Arial"/>
                <w:sz w:val="18"/>
                <w:szCs w:val="18"/>
              </w:rPr>
              <w:t>Changes in Assets and Liabilities:</w:t>
            </w:r>
          </w:p>
        </w:tc>
        <w:tc>
          <w:tcPr>
            <w:tcW w:w="340" w:type="dxa"/>
            <w:vAlign w:val="bottom"/>
          </w:tcPr>
          <w:p w14:paraId="416EB655" w14:textId="77777777" w:rsidR="00D1587D" w:rsidRDefault="00D1587D">
            <w:pPr>
              <w:rPr>
                <w:sz w:val="23"/>
                <w:szCs w:val="23"/>
              </w:rPr>
            </w:pPr>
          </w:p>
        </w:tc>
        <w:tc>
          <w:tcPr>
            <w:tcW w:w="20" w:type="dxa"/>
            <w:vAlign w:val="bottom"/>
          </w:tcPr>
          <w:p w14:paraId="4F55C307" w14:textId="77777777" w:rsidR="00D1587D" w:rsidRDefault="00D1587D">
            <w:pPr>
              <w:rPr>
                <w:sz w:val="23"/>
                <w:szCs w:val="23"/>
              </w:rPr>
            </w:pPr>
          </w:p>
        </w:tc>
        <w:tc>
          <w:tcPr>
            <w:tcW w:w="60" w:type="dxa"/>
            <w:vAlign w:val="bottom"/>
          </w:tcPr>
          <w:p w14:paraId="2827CFD1" w14:textId="77777777" w:rsidR="00D1587D" w:rsidRDefault="00D1587D">
            <w:pPr>
              <w:rPr>
                <w:sz w:val="23"/>
                <w:szCs w:val="23"/>
              </w:rPr>
            </w:pPr>
          </w:p>
        </w:tc>
        <w:tc>
          <w:tcPr>
            <w:tcW w:w="560" w:type="dxa"/>
            <w:vAlign w:val="bottom"/>
          </w:tcPr>
          <w:p w14:paraId="1A5C4A76" w14:textId="77777777" w:rsidR="00D1587D" w:rsidRDefault="00D1587D">
            <w:pPr>
              <w:rPr>
                <w:sz w:val="23"/>
                <w:szCs w:val="23"/>
              </w:rPr>
            </w:pPr>
          </w:p>
        </w:tc>
        <w:tc>
          <w:tcPr>
            <w:tcW w:w="420" w:type="dxa"/>
            <w:vAlign w:val="bottom"/>
          </w:tcPr>
          <w:p w14:paraId="61A159EC" w14:textId="77777777" w:rsidR="00D1587D" w:rsidRDefault="00D1587D">
            <w:pPr>
              <w:rPr>
                <w:sz w:val="23"/>
                <w:szCs w:val="23"/>
              </w:rPr>
            </w:pPr>
          </w:p>
        </w:tc>
        <w:tc>
          <w:tcPr>
            <w:tcW w:w="80" w:type="dxa"/>
            <w:vAlign w:val="bottom"/>
          </w:tcPr>
          <w:p w14:paraId="06039066" w14:textId="77777777" w:rsidR="00D1587D" w:rsidRDefault="00D1587D">
            <w:pPr>
              <w:rPr>
                <w:sz w:val="23"/>
                <w:szCs w:val="23"/>
              </w:rPr>
            </w:pPr>
          </w:p>
        </w:tc>
      </w:tr>
      <w:tr w:rsidR="00D1587D" w14:paraId="14F84CE8" w14:textId="77777777">
        <w:trPr>
          <w:trHeight w:val="54"/>
        </w:trPr>
        <w:tc>
          <w:tcPr>
            <w:tcW w:w="6940" w:type="dxa"/>
            <w:vAlign w:val="bottom"/>
          </w:tcPr>
          <w:p w14:paraId="661A8BB7" w14:textId="77777777" w:rsidR="00D1587D" w:rsidRDefault="00D1587D">
            <w:pPr>
              <w:rPr>
                <w:sz w:val="4"/>
                <w:szCs w:val="4"/>
              </w:rPr>
            </w:pPr>
          </w:p>
        </w:tc>
        <w:tc>
          <w:tcPr>
            <w:tcW w:w="340" w:type="dxa"/>
            <w:vAlign w:val="bottom"/>
          </w:tcPr>
          <w:p w14:paraId="236ECCD0" w14:textId="77777777" w:rsidR="00D1587D" w:rsidRDefault="00D1587D">
            <w:pPr>
              <w:rPr>
                <w:sz w:val="4"/>
                <w:szCs w:val="4"/>
              </w:rPr>
            </w:pPr>
          </w:p>
        </w:tc>
        <w:tc>
          <w:tcPr>
            <w:tcW w:w="20" w:type="dxa"/>
            <w:vAlign w:val="bottom"/>
          </w:tcPr>
          <w:p w14:paraId="6CB41F87" w14:textId="77777777" w:rsidR="00D1587D" w:rsidRDefault="00D1587D">
            <w:pPr>
              <w:rPr>
                <w:sz w:val="4"/>
                <w:szCs w:val="4"/>
              </w:rPr>
            </w:pPr>
          </w:p>
        </w:tc>
        <w:tc>
          <w:tcPr>
            <w:tcW w:w="60" w:type="dxa"/>
            <w:vAlign w:val="bottom"/>
          </w:tcPr>
          <w:p w14:paraId="552A6152" w14:textId="77777777" w:rsidR="00D1587D" w:rsidRDefault="00D1587D">
            <w:pPr>
              <w:rPr>
                <w:sz w:val="4"/>
                <w:szCs w:val="4"/>
              </w:rPr>
            </w:pPr>
          </w:p>
        </w:tc>
        <w:tc>
          <w:tcPr>
            <w:tcW w:w="560" w:type="dxa"/>
            <w:vAlign w:val="bottom"/>
          </w:tcPr>
          <w:p w14:paraId="55E47A8D" w14:textId="77777777" w:rsidR="00D1587D" w:rsidRDefault="00D1587D">
            <w:pPr>
              <w:rPr>
                <w:sz w:val="4"/>
                <w:szCs w:val="4"/>
              </w:rPr>
            </w:pPr>
          </w:p>
        </w:tc>
        <w:tc>
          <w:tcPr>
            <w:tcW w:w="420" w:type="dxa"/>
            <w:vAlign w:val="bottom"/>
          </w:tcPr>
          <w:p w14:paraId="393E656A" w14:textId="77777777" w:rsidR="00D1587D" w:rsidRDefault="00D1587D">
            <w:pPr>
              <w:rPr>
                <w:sz w:val="4"/>
                <w:szCs w:val="4"/>
              </w:rPr>
            </w:pPr>
          </w:p>
        </w:tc>
        <w:tc>
          <w:tcPr>
            <w:tcW w:w="80" w:type="dxa"/>
            <w:vAlign w:val="bottom"/>
          </w:tcPr>
          <w:p w14:paraId="29C56675" w14:textId="77777777" w:rsidR="00D1587D" w:rsidRDefault="00D1587D">
            <w:pPr>
              <w:rPr>
                <w:sz w:val="4"/>
                <w:szCs w:val="4"/>
              </w:rPr>
            </w:pPr>
          </w:p>
        </w:tc>
      </w:tr>
      <w:tr w:rsidR="00D1587D" w14:paraId="27649F08" w14:textId="77777777">
        <w:trPr>
          <w:trHeight w:val="304"/>
        </w:trPr>
        <w:tc>
          <w:tcPr>
            <w:tcW w:w="6940" w:type="dxa"/>
            <w:tcBorders>
              <w:bottom w:val="single" w:sz="8" w:space="0" w:color="CCEEFF"/>
            </w:tcBorders>
            <w:shd w:val="clear" w:color="auto" w:fill="CCEEFF"/>
            <w:vAlign w:val="bottom"/>
          </w:tcPr>
          <w:p w14:paraId="14AB0ED1" w14:textId="77777777" w:rsidR="00D1587D" w:rsidRDefault="00410D07">
            <w:pPr>
              <w:ind w:left="180"/>
              <w:rPr>
                <w:sz w:val="20"/>
                <w:szCs w:val="20"/>
              </w:rPr>
            </w:pPr>
            <w:r>
              <w:rPr>
                <w:rFonts w:ascii="Arial" w:eastAsia="Arial" w:hAnsi="Arial" w:cs="Arial"/>
                <w:sz w:val="18"/>
                <w:szCs w:val="18"/>
              </w:rPr>
              <w:t>Accounts Receivable</w:t>
            </w:r>
          </w:p>
        </w:tc>
        <w:tc>
          <w:tcPr>
            <w:tcW w:w="360" w:type="dxa"/>
            <w:gridSpan w:val="2"/>
            <w:tcBorders>
              <w:bottom w:val="single" w:sz="8" w:space="0" w:color="CCEEFF"/>
            </w:tcBorders>
            <w:shd w:val="clear" w:color="auto" w:fill="CCEEFF"/>
            <w:vAlign w:val="bottom"/>
          </w:tcPr>
          <w:p w14:paraId="016413B0" w14:textId="77777777" w:rsidR="00D1587D" w:rsidRDefault="00410D07">
            <w:pPr>
              <w:ind w:right="20"/>
              <w:jc w:val="right"/>
              <w:rPr>
                <w:sz w:val="20"/>
                <w:szCs w:val="20"/>
              </w:rPr>
            </w:pPr>
            <w:r>
              <w:rPr>
                <w:rFonts w:ascii="Arial" w:eastAsia="Arial" w:hAnsi="Arial" w:cs="Arial"/>
                <w:sz w:val="18"/>
                <w:szCs w:val="18"/>
              </w:rPr>
              <w:t>10</w:t>
            </w:r>
          </w:p>
        </w:tc>
        <w:tc>
          <w:tcPr>
            <w:tcW w:w="60" w:type="dxa"/>
            <w:tcBorders>
              <w:bottom w:val="single" w:sz="8" w:space="0" w:color="CCEEFF"/>
            </w:tcBorders>
            <w:shd w:val="clear" w:color="auto" w:fill="CCEEFF"/>
            <w:vAlign w:val="bottom"/>
          </w:tcPr>
          <w:p w14:paraId="7753FD68" w14:textId="77777777" w:rsidR="00D1587D" w:rsidRDefault="00D1587D">
            <w:pPr>
              <w:rPr>
                <w:sz w:val="24"/>
                <w:szCs w:val="24"/>
              </w:rPr>
            </w:pPr>
          </w:p>
        </w:tc>
        <w:tc>
          <w:tcPr>
            <w:tcW w:w="560" w:type="dxa"/>
            <w:tcBorders>
              <w:bottom w:val="single" w:sz="8" w:space="0" w:color="CCEEFF"/>
            </w:tcBorders>
            <w:shd w:val="clear" w:color="auto" w:fill="CCEEFF"/>
            <w:vAlign w:val="bottom"/>
          </w:tcPr>
          <w:p w14:paraId="6C2D8101" w14:textId="77777777" w:rsidR="00D1587D" w:rsidRDefault="00D1587D">
            <w:pPr>
              <w:rPr>
                <w:sz w:val="24"/>
                <w:szCs w:val="24"/>
              </w:rPr>
            </w:pPr>
          </w:p>
        </w:tc>
        <w:tc>
          <w:tcPr>
            <w:tcW w:w="420" w:type="dxa"/>
            <w:tcBorders>
              <w:bottom w:val="single" w:sz="8" w:space="0" w:color="CCEEFF"/>
            </w:tcBorders>
            <w:shd w:val="clear" w:color="auto" w:fill="CCEEFF"/>
            <w:vAlign w:val="bottom"/>
          </w:tcPr>
          <w:p w14:paraId="28BB0345" w14:textId="77777777" w:rsidR="00D1587D" w:rsidRDefault="00410D07">
            <w:pPr>
              <w:jc w:val="right"/>
              <w:rPr>
                <w:sz w:val="20"/>
                <w:szCs w:val="20"/>
              </w:rPr>
            </w:pPr>
            <w:r>
              <w:rPr>
                <w:rFonts w:ascii="Arial" w:eastAsia="Arial" w:hAnsi="Arial" w:cs="Arial"/>
                <w:sz w:val="18"/>
                <w:szCs w:val="18"/>
              </w:rPr>
              <w:t>43</w:t>
            </w:r>
          </w:p>
        </w:tc>
        <w:tc>
          <w:tcPr>
            <w:tcW w:w="80" w:type="dxa"/>
            <w:tcBorders>
              <w:bottom w:val="single" w:sz="8" w:space="0" w:color="CCEEFF"/>
            </w:tcBorders>
            <w:shd w:val="clear" w:color="auto" w:fill="CCEEFF"/>
            <w:vAlign w:val="bottom"/>
          </w:tcPr>
          <w:p w14:paraId="297923F1" w14:textId="77777777" w:rsidR="00D1587D" w:rsidRDefault="00D1587D">
            <w:pPr>
              <w:rPr>
                <w:sz w:val="24"/>
                <w:szCs w:val="24"/>
              </w:rPr>
            </w:pPr>
          </w:p>
        </w:tc>
      </w:tr>
      <w:tr w:rsidR="00D1587D" w14:paraId="37B743C3" w14:textId="77777777">
        <w:trPr>
          <w:trHeight w:val="270"/>
        </w:trPr>
        <w:tc>
          <w:tcPr>
            <w:tcW w:w="6940" w:type="dxa"/>
            <w:vAlign w:val="bottom"/>
          </w:tcPr>
          <w:p w14:paraId="5A35BE83" w14:textId="77777777" w:rsidR="00D1587D" w:rsidRDefault="00410D07">
            <w:pPr>
              <w:ind w:left="180"/>
              <w:rPr>
                <w:sz w:val="20"/>
                <w:szCs w:val="20"/>
              </w:rPr>
            </w:pPr>
            <w:r>
              <w:rPr>
                <w:rFonts w:ascii="Arial" w:eastAsia="Arial" w:hAnsi="Arial" w:cs="Arial"/>
                <w:sz w:val="18"/>
                <w:szCs w:val="18"/>
              </w:rPr>
              <w:t>Inventories</w:t>
            </w:r>
          </w:p>
        </w:tc>
        <w:tc>
          <w:tcPr>
            <w:tcW w:w="420" w:type="dxa"/>
            <w:gridSpan w:val="3"/>
            <w:vAlign w:val="bottom"/>
          </w:tcPr>
          <w:p w14:paraId="5ADA81CD" w14:textId="77777777" w:rsidR="00D1587D" w:rsidRDefault="00410D07">
            <w:pPr>
              <w:ind w:right="20"/>
              <w:jc w:val="right"/>
              <w:rPr>
                <w:sz w:val="20"/>
                <w:szCs w:val="20"/>
              </w:rPr>
            </w:pPr>
            <w:r>
              <w:rPr>
                <w:rFonts w:ascii="Arial" w:eastAsia="Arial" w:hAnsi="Arial" w:cs="Arial"/>
                <w:sz w:val="18"/>
                <w:szCs w:val="18"/>
              </w:rPr>
              <w:t>(60)</w:t>
            </w:r>
          </w:p>
        </w:tc>
        <w:tc>
          <w:tcPr>
            <w:tcW w:w="560" w:type="dxa"/>
            <w:vAlign w:val="bottom"/>
          </w:tcPr>
          <w:p w14:paraId="0BB289FD" w14:textId="77777777" w:rsidR="00D1587D" w:rsidRDefault="00D1587D">
            <w:pPr>
              <w:rPr>
                <w:sz w:val="23"/>
                <w:szCs w:val="23"/>
              </w:rPr>
            </w:pPr>
          </w:p>
        </w:tc>
        <w:tc>
          <w:tcPr>
            <w:tcW w:w="500" w:type="dxa"/>
            <w:gridSpan w:val="2"/>
            <w:vAlign w:val="bottom"/>
          </w:tcPr>
          <w:p w14:paraId="5B6473B1" w14:textId="77777777" w:rsidR="00D1587D" w:rsidRDefault="00410D07">
            <w:pPr>
              <w:ind w:right="20"/>
              <w:jc w:val="right"/>
              <w:rPr>
                <w:sz w:val="20"/>
                <w:szCs w:val="20"/>
              </w:rPr>
            </w:pPr>
            <w:r>
              <w:rPr>
                <w:rFonts w:ascii="Arial" w:eastAsia="Arial" w:hAnsi="Arial" w:cs="Arial"/>
                <w:sz w:val="18"/>
                <w:szCs w:val="18"/>
              </w:rPr>
              <w:t>(120)</w:t>
            </w:r>
          </w:p>
        </w:tc>
      </w:tr>
      <w:tr w:rsidR="00D1587D" w14:paraId="5363A8D6" w14:textId="77777777">
        <w:trPr>
          <w:trHeight w:val="54"/>
        </w:trPr>
        <w:tc>
          <w:tcPr>
            <w:tcW w:w="6940" w:type="dxa"/>
            <w:vAlign w:val="bottom"/>
          </w:tcPr>
          <w:p w14:paraId="0CAF705A" w14:textId="77777777" w:rsidR="00D1587D" w:rsidRDefault="00D1587D">
            <w:pPr>
              <w:rPr>
                <w:sz w:val="4"/>
                <w:szCs w:val="4"/>
              </w:rPr>
            </w:pPr>
          </w:p>
        </w:tc>
        <w:tc>
          <w:tcPr>
            <w:tcW w:w="340" w:type="dxa"/>
            <w:vAlign w:val="bottom"/>
          </w:tcPr>
          <w:p w14:paraId="4175DE5F" w14:textId="77777777" w:rsidR="00D1587D" w:rsidRDefault="00D1587D">
            <w:pPr>
              <w:rPr>
                <w:sz w:val="4"/>
                <w:szCs w:val="4"/>
              </w:rPr>
            </w:pPr>
          </w:p>
        </w:tc>
        <w:tc>
          <w:tcPr>
            <w:tcW w:w="20" w:type="dxa"/>
            <w:vAlign w:val="bottom"/>
          </w:tcPr>
          <w:p w14:paraId="61E0CCC2" w14:textId="77777777" w:rsidR="00D1587D" w:rsidRDefault="00D1587D">
            <w:pPr>
              <w:rPr>
                <w:sz w:val="4"/>
                <w:szCs w:val="4"/>
              </w:rPr>
            </w:pPr>
          </w:p>
        </w:tc>
        <w:tc>
          <w:tcPr>
            <w:tcW w:w="60" w:type="dxa"/>
            <w:vAlign w:val="bottom"/>
          </w:tcPr>
          <w:p w14:paraId="081C1E0C" w14:textId="77777777" w:rsidR="00D1587D" w:rsidRDefault="00D1587D">
            <w:pPr>
              <w:rPr>
                <w:sz w:val="4"/>
                <w:szCs w:val="4"/>
              </w:rPr>
            </w:pPr>
          </w:p>
        </w:tc>
        <w:tc>
          <w:tcPr>
            <w:tcW w:w="560" w:type="dxa"/>
            <w:vAlign w:val="bottom"/>
          </w:tcPr>
          <w:p w14:paraId="39B97798" w14:textId="77777777" w:rsidR="00D1587D" w:rsidRDefault="00D1587D">
            <w:pPr>
              <w:rPr>
                <w:sz w:val="4"/>
                <w:szCs w:val="4"/>
              </w:rPr>
            </w:pPr>
          </w:p>
        </w:tc>
        <w:tc>
          <w:tcPr>
            <w:tcW w:w="420" w:type="dxa"/>
            <w:vAlign w:val="bottom"/>
          </w:tcPr>
          <w:p w14:paraId="1B2DD5C4" w14:textId="77777777" w:rsidR="00D1587D" w:rsidRDefault="00D1587D">
            <w:pPr>
              <w:rPr>
                <w:sz w:val="4"/>
                <w:szCs w:val="4"/>
              </w:rPr>
            </w:pPr>
          </w:p>
        </w:tc>
        <w:tc>
          <w:tcPr>
            <w:tcW w:w="80" w:type="dxa"/>
            <w:vAlign w:val="bottom"/>
          </w:tcPr>
          <w:p w14:paraId="486E87FC" w14:textId="77777777" w:rsidR="00D1587D" w:rsidRDefault="00D1587D">
            <w:pPr>
              <w:rPr>
                <w:sz w:val="4"/>
                <w:szCs w:val="4"/>
              </w:rPr>
            </w:pPr>
          </w:p>
        </w:tc>
      </w:tr>
      <w:tr w:rsidR="00D1587D" w14:paraId="08F71E19" w14:textId="77777777">
        <w:trPr>
          <w:trHeight w:val="304"/>
        </w:trPr>
        <w:tc>
          <w:tcPr>
            <w:tcW w:w="6940" w:type="dxa"/>
            <w:tcBorders>
              <w:bottom w:val="single" w:sz="8" w:space="0" w:color="CCEEFF"/>
            </w:tcBorders>
            <w:shd w:val="clear" w:color="auto" w:fill="CCEEFF"/>
            <w:vAlign w:val="bottom"/>
          </w:tcPr>
          <w:p w14:paraId="3150EEDD" w14:textId="77777777" w:rsidR="00D1587D" w:rsidRDefault="00410D07">
            <w:pPr>
              <w:ind w:left="180"/>
              <w:rPr>
                <w:sz w:val="20"/>
                <w:szCs w:val="20"/>
              </w:rPr>
            </w:pPr>
            <w:r>
              <w:rPr>
                <w:rFonts w:ascii="Arial" w:eastAsia="Arial" w:hAnsi="Arial" w:cs="Arial"/>
                <w:sz w:val="18"/>
                <w:szCs w:val="18"/>
              </w:rPr>
              <w:t>Accounts Payable, Accrued Expenses and Other</w:t>
            </w:r>
          </w:p>
        </w:tc>
        <w:tc>
          <w:tcPr>
            <w:tcW w:w="420" w:type="dxa"/>
            <w:gridSpan w:val="3"/>
            <w:tcBorders>
              <w:bottom w:val="single" w:sz="8" w:space="0" w:color="CCEEFF"/>
            </w:tcBorders>
            <w:shd w:val="clear" w:color="auto" w:fill="CCEEFF"/>
            <w:vAlign w:val="bottom"/>
          </w:tcPr>
          <w:p w14:paraId="08E854F4" w14:textId="77777777" w:rsidR="00D1587D" w:rsidRDefault="00410D07">
            <w:pPr>
              <w:ind w:right="20"/>
              <w:jc w:val="right"/>
              <w:rPr>
                <w:sz w:val="20"/>
                <w:szCs w:val="20"/>
              </w:rPr>
            </w:pPr>
            <w:r>
              <w:rPr>
                <w:rFonts w:ascii="Arial" w:eastAsia="Arial" w:hAnsi="Arial" w:cs="Arial"/>
                <w:sz w:val="18"/>
                <w:szCs w:val="18"/>
              </w:rPr>
              <w:t>(97)</w:t>
            </w:r>
          </w:p>
        </w:tc>
        <w:tc>
          <w:tcPr>
            <w:tcW w:w="560" w:type="dxa"/>
            <w:tcBorders>
              <w:bottom w:val="single" w:sz="8" w:space="0" w:color="CCEEFF"/>
            </w:tcBorders>
            <w:shd w:val="clear" w:color="auto" w:fill="CCEEFF"/>
            <w:vAlign w:val="bottom"/>
          </w:tcPr>
          <w:p w14:paraId="540FBEC0" w14:textId="77777777" w:rsidR="00D1587D" w:rsidRDefault="00D1587D">
            <w:pPr>
              <w:rPr>
                <w:sz w:val="24"/>
                <w:szCs w:val="24"/>
              </w:rPr>
            </w:pPr>
          </w:p>
        </w:tc>
        <w:tc>
          <w:tcPr>
            <w:tcW w:w="500" w:type="dxa"/>
            <w:gridSpan w:val="2"/>
            <w:tcBorders>
              <w:bottom w:val="single" w:sz="8" w:space="0" w:color="CCEEFF"/>
            </w:tcBorders>
            <w:shd w:val="clear" w:color="auto" w:fill="CCEEFF"/>
            <w:vAlign w:val="bottom"/>
          </w:tcPr>
          <w:p w14:paraId="7B15A8BC" w14:textId="77777777" w:rsidR="00D1587D" w:rsidRDefault="00410D07">
            <w:pPr>
              <w:ind w:right="20"/>
              <w:jc w:val="right"/>
              <w:rPr>
                <w:sz w:val="20"/>
                <w:szCs w:val="20"/>
              </w:rPr>
            </w:pPr>
            <w:r>
              <w:rPr>
                <w:rFonts w:ascii="Arial" w:eastAsia="Arial" w:hAnsi="Arial" w:cs="Arial"/>
                <w:sz w:val="18"/>
                <w:szCs w:val="18"/>
              </w:rPr>
              <w:t>(115)</w:t>
            </w:r>
          </w:p>
        </w:tc>
      </w:tr>
      <w:tr w:rsidR="00D1587D" w14:paraId="741EE3C4" w14:textId="77777777">
        <w:trPr>
          <w:trHeight w:val="270"/>
        </w:trPr>
        <w:tc>
          <w:tcPr>
            <w:tcW w:w="6940" w:type="dxa"/>
            <w:vAlign w:val="bottom"/>
          </w:tcPr>
          <w:p w14:paraId="0B4A6AD8" w14:textId="77777777" w:rsidR="00D1587D" w:rsidRDefault="00410D07">
            <w:pPr>
              <w:ind w:left="180"/>
              <w:rPr>
                <w:sz w:val="20"/>
                <w:szCs w:val="20"/>
              </w:rPr>
            </w:pPr>
            <w:r>
              <w:rPr>
                <w:rFonts w:ascii="Arial" w:eastAsia="Arial" w:hAnsi="Arial" w:cs="Arial"/>
                <w:sz w:val="18"/>
                <w:szCs w:val="18"/>
              </w:rPr>
              <w:t xml:space="preserve">Income </w:t>
            </w:r>
            <w:r>
              <w:rPr>
                <w:rFonts w:ascii="Arial" w:eastAsia="Arial" w:hAnsi="Arial" w:cs="Arial"/>
                <w:sz w:val="18"/>
                <w:szCs w:val="18"/>
              </w:rPr>
              <w:t>Taxes Payable</w:t>
            </w:r>
          </w:p>
        </w:tc>
        <w:tc>
          <w:tcPr>
            <w:tcW w:w="360" w:type="dxa"/>
            <w:gridSpan w:val="2"/>
            <w:vAlign w:val="bottom"/>
          </w:tcPr>
          <w:p w14:paraId="40F19811" w14:textId="77777777" w:rsidR="00D1587D" w:rsidRDefault="00410D07">
            <w:pPr>
              <w:ind w:right="20"/>
              <w:jc w:val="right"/>
              <w:rPr>
                <w:sz w:val="20"/>
                <w:szCs w:val="20"/>
              </w:rPr>
            </w:pPr>
            <w:r>
              <w:rPr>
                <w:rFonts w:ascii="Arial" w:eastAsia="Arial" w:hAnsi="Arial" w:cs="Arial"/>
                <w:sz w:val="18"/>
                <w:szCs w:val="18"/>
              </w:rPr>
              <w:t>14</w:t>
            </w:r>
          </w:p>
        </w:tc>
        <w:tc>
          <w:tcPr>
            <w:tcW w:w="60" w:type="dxa"/>
            <w:vAlign w:val="bottom"/>
          </w:tcPr>
          <w:p w14:paraId="0F63957A" w14:textId="77777777" w:rsidR="00D1587D" w:rsidRDefault="00D1587D">
            <w:pPr>
              <w:rPr>
                <w:sz w:val="23"/>
                <w:szCs w:val="23"/>
              </w:rPr>
            </w:pPr>
          </w:p>
        </w:tc>
        <w:tc>
          <w:tcPr>
            <w:tcW w:w="560" w:type="dxa"/>
            <w:vAlign w:val="bottom"/>
          </w:tcPr>
          <w:p w14:paraId="7A6A1FDD" w14:textId="77777777" w:rsidR="00D1587D" w:rsidRDefault="00D1587D">
            <w:pPr>
              <w:rPr>
                <w:sz w:val="23"/>
                <w:szCs w:val="23"/>
              </w:rPr>
            </w:pPr>
          </w:p>
        </w:tc>
        <w:tc>
          <w:tcPr>
            <w:tcW w:w="420" w:type="dxa"/>
            <w:vAlign w:val="bottom"/>
          </w:tcPr>
          <w:p w14:paraId="54556A7A" w14:textId="77777777" w:rsidR="00D1587D" w:rsidRDefault="00410D07">
            <w:pPr>
              <w:jc w:val="right"/>
              <w:rPr>
                <w:sz w:val="20"/>
                <w:szCs w:val="20"/>
              </w:rPr>
            </w:pPr>
            <w:r>
              <w:rPr>
                <w:rFonts w:ascii="Arial" w:eastAsia="Arial" w:hAnsi="Arial" w:cs="Arial"/>
                <w:sz w:val="18"/>
                <w:szCs w:val="18"/>
              </w:rPr>
              <w:t>3</w:t>
            </w:r>
          </w:p>
        </w:tc>
        <w:tc>
          <w:tcPr>
            <w:tcW w:w="80" w:type="dxa"/>
            <w:vAlign w:val="bottom"/>
          </w:tcPr>
          <w:p w14:paraId="6BE2BAA3" w14:textId="77777777" w:rsidR="00D1587D" w:rsidRDefault="00D1587D">
            <w:pPr>
              <w:rPr>
                <w:sz w:val="23"/>
                <w:szCs w:val="23"/>
              </w:rPr>
            </w:pPr>
          </w:p>
        </w:tc>
      </w:tr>
      <w:tr w:rsidR="00D1587D" w14:paraId="431E476A" w14:textId="77777777">
        <w:trPr>
          <w:trHeight w:val="54"/>
        </w:trPr>
        <w:tc>
          <w:tcPr>
            <w:tcW w:w="6940" w:type="dxa"/>
            <w:vAlign w:val="bottom"/>
          </w:tcPr>
          <w:p w14:paraId="6014CD6A" w14:textId="77777777" w:rsidR="00D1587D" w:rsidRDefault="00D1587D">
            <w:pPr>
              <w:rPr>
                <w:sz w:val="4"/>
                <w:szCs w:val="4"/>
              </w:rPr>
            </w:pPr>
          </w:p>
        </w:tc>
        <w:tc>
          <w:tcPr>
            <w:tcW w:w="340" w:type="dxa"/>
            <w:vAlign w:val="bottom"/>
          </w:tcPr>
          <w:p w14:paraId="1919350D" w14:textId="77777777" w:rsidR="00D1587D" w:rsidRDefault="00D1587D">
            <w:pPr>
              <w:rPr>
                <w:sz w:val="4"/>
                <w:szCs w:val="4"/>
              </w:rPr>
            </w:pPr>
          </w:p>
        </w:tc>
        <w:tc>
          <w:tcPr>
            <w:tcW w:w="20" w:type="dxa"/>
            <w:vAlign w:val="bottom"/>
          </w:tcPr>
          <w:p w14:paraId="7714E985" w14:textId="77777777" w:rsidR="00D1587D" w:rsidRDefault="00D1587D">
            <w:pPr>
              <w:rPr>
                <w:sz w:val="4"/>
                <w:szCs w:val="4"/>
              </w:rPr>
            </w:pPr>
          </w:p>
        </w:tc>
        <w:tc>
          <w:tcPr>
            <w:tcW w:w="60" w:type="dxa"/>
            <w:vAlign w:val="bottom"/>
          </w:tcPr>
          <w:p w14:paraId="784F7D30" w14:textId="77777777" w:rsidR="00D1587D" w:rsidRDefault="00D1587D">
            <w:pPr>
              <w:rPr>
                <w:sz w:val="4"/>
                <w:szCs w:val="4"/>
              </w:rPr>
            </w:pPr>
          </w:p>
        </w:tc>
        <w:tc>
          <w:tcPr>
            <w:tcW w:w="560" w:type="dxa"/>
            <w:vAlign w:val="bottom"/>
          </w:tcPr>
          <w:p w14:paraId="1C828D9B" w14:textId="77777777" w:rsidR="00D1587D" w:rsidRDefault="00D1587D">
            <w:pPr>
              <w:rPr>
                <w:sz w:val="4"/>
                <w:szCs w:val="4"/>
              </w:rPr>
            </w:pPr>
          </w:p>
        </w:tc>
        <w:tc>
          <w:tcPr>
            <w:tcW w:w="420" w:type="dxa"/>
            <w:vAlign w:val="bottom"/>
          </w:tcPr>
          <w:p w14:paraId="577F2DD4" w14:textId="77777777" w:rsidR="00D1587D" w:rsidRDefault="00D1587D">
            <w:pPr>
              <w:rPr>
                <w:sz w:val="4"/>
                <w:szCs w:val="4"/>
              </w:rPr>
            </w:pPr>
          </w:p>
        </w:tc>
        <w:tc>
          <w:tcPr>
            <w:tcW w:w="80" w:type="dxa"/>
            <w:vAlign w:val="bottom"/>
          </w:tcPr>
          <w:p w14:paraId="450DF289" w14:textId="77777777" w:rsidR="00D1587D" w:rsidRDefault="00D1587D">
            <w:pPr>
              <w:rPr>
                <w:sz w:val="4"/>
                <w:szCs w:val="4"/>
              </w:rPr>
            </w:pPr>
          </w:p>
        </w:tc>
      </w:tr>
      <w:tr w:rsidR="00D1587D" w14:paraId="06057209" w14:textId="77777777">
        <w:trPr>
          <w:trHeight w:val="257"/>
        </w:trPr>
        <w:tc>
          <w:tcPr>
            <w:tcW w:w="6940" w:type="dxa"/>
            <w:shd w:val="clear" w:color="auto" w:fill="CCEEFF"/>
            <w:vAlign w:val="bottom"/>
          </w:tcPr>
          <w:p w14:paraId="7BA67895" w14:textId="77777777" w:rsidR="00D1587D" w:rsidRDefault="00410D07">
            <w:pPr>
              <w:ind w:left="180"/>
              <w:rPr>
                <w:sz w:val="20"/>
                <w:szCs w:val="20"/>
              </w:rPr>
            </w:pPr>
            <w:r>
              <w:rPr>
                <w:rFonts w:ascii="Arial" w:eastAsia="Arial" w:hAnsi="Arial" w:cs="Arial"/>
                <w:sz w:val="18"/>
                <w:szCs w:val="18"/>
              </w:rPr>
              <w:t>Other Assets and Liabilities</w:t>
            </w:r>
          </w:p>
        </w:tc>
        <w:tc>
          <w:tcPr>
            <w:tcW w:w="420" w:type="dxa"/>
            <w:gridSpan w:val="3"/>
            <w:shd w:val="clear" w:color="auto" w:fill="CCEEFF"/>
            <w:vAlign w:val="bottom"/>
          </w:tcPr>
          <w:p w14:paraId="3C6CEC7B" w14:textId="77777777" w:rsidR="00D1587D" w:rsidRDefault="00410D07">
            <w:pPr>
              <w:ind w:right="20"/>
              <w:jc w:val="right"/>
              <w:rPr>
                <w:sz w:val="20"/>
                <w:szCs w:val="20"/>
              </w:rPr>
            </w:pPr>
            <w:r>
              <w:rPr>
                <w:rFonts w:ascii="Arial" w:eastAsia="Arial" w:hAnsi="Arial" w:cs="Arial"/>
                <w:sz w:val="18"/>
                <w:szCs w:val="18"/>
              </w:rPr>
              <w:t>(60)</w:t>
            </w:r>
          </w:p>
        </w:tc>
        <w:tc>
          <w:tcPr>
            <w:tcW w:w="560" w:type="dxa"/>
            <w:shd w:val="clear" w:color="auto" w:fill="CCEEFF"/>
            <w:vAlign w:val="bottom"/>
          </w:tcPr>
          <w:p w14:paraId="39B90A5E" w14:textId="77777777" w:rsidR="00D1587D" w:rsidRDefault="00D1587D"/>
        </w:tc>
        <w:tc>
          <w:tcPr>
            <w:tcW w:w="420" w:type="dxa"/>
            <w:shd w:val="clear" w:color="auto" w:fill="CCEEFF"/>
            <w:vAlign w:val="bottom"/>
          </w:tcPr>
          <w:p w14:paraId="0ACF9045" w14:textId="77777777" w:rsidR="00D1587D" w:rsidRDefault="00410D07">
            <w:pPr>
              <w:jc w:val="right"/>
              <w:rPr>
                <w:sz w:val="20"/>
                <w:szCs w:val="20"/>
              </w:rPr>
            </w:pPr>
            <w:r>
              <w:rPr>
                <w:rFonts w:ascii="Arial" w:eastAsia="Arial" w:hAnsi="Arial" w:cs="Arial"/>
                <w:sz w:val="18"/>
                <w:szCs w:val="18"/>
              </w:rPr>
              <w:t>70</w:t>
            </w:r>
          </w:p>
        </w:tc>
        <w:tc>
          <w:tcPr>
            <w:tcW w:w="80" w:type="dxa"/>
            <w:shd w:val="clear" w:color="auto" w:fill="CCEEFF"/>
            <w:vAlign w:val="bottom"/>
          </w:tcPr>
          <w:p w14:paraId="57DE4B8E" w14:textId="77777777" w:rsidR="00D1587D" w:rsidRDefault="00D1587D"/>
        </w:tc>
      </w:tr>
      <w:tr w:rsidR="00D1587D" w14:paraId="56F45377" w14:textId="77777777">
        <w:trPr>
          <w:trHeight w:val="61"/>
        </w:trPr>
        <w:tc>
          <w:tcPr>
            <w:tcW w:w="6940" w:type="dxa"/>
            <w:tcBorders>
              <w:top w:val="single" w:sz="8" w:space="0" w:color="CCEEFF"/>
            </w:tcBorders>
            <w:shd w:val="clear" w:color="auto" w:fill="CCEEFF"/>
            <w:vAlign w:val="bottom"/>
          </w:tcPr>
          <w:p w14:paraId="19F488E1" w14:textId="77777777" w:rsidR="00D1587D" w:rsidRDefault="00D1587D">
            <w:pPr>
              <w:rPr>
                <w:sz w:val="5"/>
                <w:szCs w:val="5"/>
              </w:rPr>
            </w:pPr>
          </w:p>
        </w:tc>
        <w:tc>
          <w:tcPr>
            <w:tcW w:w="340" w:type="dxa"/>
            <w:tcBorders>
              <w:top w:val="single" w:sz="8" w:space="0" w:color="auto"/>
            </w:tcBorders>
            <w:shd w:val="clear" w:color="auto" w:fill="CCEEFF"/>
            <w:vAlign w:val="bottom"/>
          </w:tcPr>
          <w:p w14:paraId="5533EFC3" w14:textId="77777777" w:rsidR="00D1587D" w:rsidRDefault="00D1587D">
            <w:pPr>
              <w:rPr>
                <w:sz w:val="5"/>
                <w:szCs w:val="5"/>
              </w:rPr>
            </w:pPr>
          </w:p>
        </w:tc>
        <w:tc>
          <w:tcPr>
            <w:tcW w:w="20" w:type="dxa"/>
            <w:tcBorders>
              <w:top w:val="single" w:sz="8" w:space="0" w:color="CCEEFF"/>
            </w:tcBorders>
            <w:shd w:val="clear" w:color="auto" w:fill="CCEEFF"/>
            <w:vAlign w:val="bottom"/>
          </w:tcPr>
          <w:p w14:paraId="4481E561" w14:textId="77777777" w:rsidR="00D1587D" w:rsidRDefault="00D1587D">
            <w:pPr>
              <w:rPr>
                <w:sz w:val="5"/>
                <w:szCs w:val="5"/>
              </w:rPr>
            </w:pPr>
          </w:p>
        </w:tc>
        <w:tc>
          <w:tcPr>
            <w:tcW w:w="60" w:type="dxa"/>
            <w:tcBorders>
              <w:top w:val="single" w:sz="8" w:space="0" w:color="CCEEFF"/>
            </w:tcBorders>
            <w:shd w:val="clear" w:color="auto" w:fill="CCEEFF"/>
            <w:vAlign w:val="bottom"/>
          </w:tcPr>
          <w:p w14:paraId="46499666" w14:textId="77777777" w:rsidR="00D1587D" w:rsidRDefault="00D1587D">
            <w:pPr>
              <w:rPr>
                <w:sz w:val="5"/>
                <w:szCs w:val="5"/>
              </w:rPr>
            </w:pPr>
          </w:p>
        </w:tc>
        <w:tc>
          <w:tcPr>
            <w:tcW w:w="560" w:type="dxa"/>
            <w:tcBorders>
              <w:top w:val="single" w:sz="8" w:space="0" w:color="CCEEFF"/>
            </w:tcBorders>
            <w:shd w:val="clear" w:color="auto" w:fill="CCEEFF"/>
            <w:vAlign w:val="bottom"/>
          </w:tcPr>
          <w:p w14:paraId="101BB0EE" w14:textId="77777777" w:rsidR="00D1587D" w:rsidRDefault="00D1587D">
            <w:pPr>
              <w:rPr>
                <w:sz w:val="5"/>
                <w:szCs w:val="5"/>
              </w:rPr>
            </w:pPr>
          </w:p>
        </w:tc>
        <w:tc>
          <w:tcPr>
            <w:tcW w:w="420" w:type="dxa"/>
            <w:tcBorders>
              <w:top w:val="single" w:sz="8" w:space="0" w:color="auto"/>
            </w:tcBorders>
            <w:shd w:val="clear" w:color="auto" w:fill="CCEEFF"/>
            <w:vAlign w:val="bottom"/>
          </w:tcPr>
          <w:p w14:paraId="115F6731" w14:textId="77777777" w:rsidR="00D1587D" w:rsidRDefault="00D1587D">
            <w:pPr>
              <w:rPr>
                <w:sz w:val="5"/>
                <w:szCs w:val="5"/>
              </w:rPr>
            </w:pPr>
          </w:p>
        </w:tc>
        <w:tc>
          <w:tcPr>
            <w:tcW w:w="80" w:type="dxa"/>
            <w:tcBorders>
              <w:top w:val="single" w:sz="8" w:space="0" w:color="CCEEFF"/>
            </w:tcBorders>
            <w:shd w:val="clear" w:color="auto" w:fill="CCEEFF"/>
            <w:vAlign w:val="bottom"/>
          </w:tcPr>
          <w:p w14:paraId="14067648" w14:textId="77777777" w:rsidR="00D1587D" w:rsidRDefault="00D1587D">
            <w:pPr>
              <w:rPr>
                <w:sz w:val="5"/>
                <w:szCs w:val="5"/>
              </w:rPr>
            </w:pPr>
          </w:p>
        </w:tc>
      </w:tr>
      <w:tr w:rsidR="00D1587D" w14:paraId="7F77CA3A" w14:textId="77777777">
        <w:trPr>
          <w:trHeight w:val="270"/>
        </w:trPr>
        <w:tc>
          <w:tcPr>
            <w:tcW w:w="6940" w:type="dxa"/>
            <w:vAlign w:val="bottom"/>
          </w:tcPr>
          <w:p w14:paraId="7632D59E" w14:textId="77777777" w:rsidR="00D1587D" w:rsidRDefault="00410D07">
            <w:pPr>
              <w:rPr>
                <w:sz w:val="20"/>
                <w:szCs w:val="20"/>
              </w:rPr>
            </w:pPr>
            <w:r>
              <w:rPr>
                <w:rFonts w:ascii="Arial" w:eastAsia="Arial" w:hAnsi="Arial" w:cs="Arial"/>
                <w:sz w:val="18"/>
                <w:szCs w:val="18"/>
              </w:rPr>
              <w:t>Net Cash Provided by (Used for) Operating Activities</w:t>
            </w:r>
          </w:p>
        </w:tc>
        <w:tc>
          <w:tcPr>
            <w:tcW w:w="360" w:type="dxa"/>
            <w:gridSpan w:val="2"/>
            <w:vAlign w:val="bottom"/>
          </w:tcPr>
          <w:p w14:paraId="173A02FD" w14:textId="77777777" w:rsidR="00D1587D" w:rsidRDefault="00410D07">
            <w:pPr>
              <w:ind w:right="20"/>
              <w:jc w:val="right"/>
              <w:rPr>
                <w:sz w:val="20"/>
                <w:szCs w:val="20"/>
              </w:rPr>
            </w:pPr>
            <w:r>
              <w:rPr>
                <w:rFonts w:ascii="Arial" w:eastAsia="Arial" w:hAnsi="Arial" w:cs="Arial"/>
                <w:sz w:val="18"/>
                <w:szCs w:val="18"/>
              </w:rPr>
              <w:t>102</w:t>
            </w:r>
          </w:p>
        </w:tc>
        <w:tc>
          <w:tcPr>
            <w:tcW w:w="60" w:type="dxa"/>
            <w:vAlign w:val="bottom"/>
          </w:tcPr>
          <w:p w14:paraId="27916FAA" w14:textId="77777777" w:rsidR="00D1587D" w:rsidRDefault="00D1587D">
            <w:pPr>
              <w:rPr>
                <w:sz w:val="23"/>
                <w:szCs w:val="23"/>
              </w:rPr>
            </w:pPr>
          </w:p>
        </w:tc>
        <w:tc>
          <w:tcPr>
            <w:tcW w:w="560" w:type="dxa"/>
            <w:vAlign w:val="bottom"/>
          </w:tcPr>
          <w:p w14:paraId="117598BD" w14:textId="77777777" w:rsidR="00D1587D" w:rsidRDefault="00D1587D">
            <w:pPr>
              <w:rPr>
                <w:sz w:val="23"/>
                <w:szCs w:val="23"/>
              </w:rPr>
            </w:pPr>
          </w:p>
        </w:tc>
        <w:tc>
          <w:tcPr>
            <w:tcW w:w="500" w:type="dxa"/>
            <w:gridSpan w:val="2"/>
            <w:vAlign w:val="bottom"/>
          </w:tcPr>
          <w:p w14:paraId="6771452D" w14:textId="77777777" w:rsidR="00D1587D" w:rsidRDefault="00410D07">
            <w:pPr>
              <w:ind w:right="20"/>
              <w:jc w:val="right"/>
              <w:rPr>
                <w:sz w:val="20"/>
                <w:szCs w:val="20"/>
              </w:rPr>
            </w:pPr>
            <w:r>
              <w:rPr>
                <w:rFonts w:ascii="Arial" w:eastAsia="Arial" w:hAnsi="Arial" w:cs="Arial"/>
                <w:sz w:val="18"/>
                <w:szCs w:val="18"/>
              </w:rPr>
              <w:t>(300)</w:t>
            </w:r>
          </w:p>
        </w:tc>
      </w:tr>
      <w:tr w:rsidR="00D1587D" w14:paraId="23D9489C" w14:textId="77777777">
        <w:trPr>
          <w:trHeight w:val="61"/>
        </w:trPr>
        <w:tc>
          <w:tcPr>
            <w:tcW w:w="6940" w:type="dxa"/>
            <w:vAlign w:val="bottom"/>
          </w:tcPr>
          <w:p w14:paraId="31960F14" w14:textId="77777777" w:rsidR="00D1587D" w:rsidRDefault="00D1587D">
            <w:pPr>
              <w:rPr>
                <w:sz w:val="5"/>
                <w:szCs w:val="5"/>
              </w:rPr>
            </w:pPr>
          </w:p>
        </w:tc>
        <w:tc>
          <w:tcPr>
            <w:tcW w:w="340" w:type="dxa"/>
            <w:tcBorders>
              <w:top w:val="single" w:sz="8" w:space="0" w:color="auto"/>
            </w:tcBorders>
            <w:vAlign w:val="bottom"/>
          </w:tcPr>
          <w:p w14:paraId="64CD3D6B" w14:textId="77777777" w:rsidR="00D1587D" w:rsidRDefault="00D1587D">
            <w:pPr>
              <w:rPr>
                <w:sz w:val="5"/>
                <w:szCs w:val="5"/>
              </w:rPr>
            </w:pPr>
          </w:p>
        </w:tc>
        <w:tc>
          <w:tcPr>
            <w:tcW w:w="20" w:type="dxa"/>
            <w:vAlign w:val="bottom"/>
          </w:tcPr>
          <w:p w14:paraId="30BA12D4" w14:textId="77777777" w:rsidR="00D1587D" w:rsidRDefault="00D1587D">
            <w:pPr>
              <w:rPr>
                <w:sz w:val="5"/>
                <w:szCs w:val="5"/>
              </w:rPr>
            </w:pPr>
          </w:p>
        </w:tc>
        <w:tc>
          <w:tcPr>
            <w:tcW w:w="60" w:type="dxa"/>
            <w:vAlign w:val="bottom"/>
          </w:tcPr>
          <w:p w14:paraId="6D712A80" w14:textId="77777777" w:rsidR="00D1587D" w:rsidRDefault="00D1587D">
            <w:pPr>
              <w:rPr>
                <w:sz w:val="5"/>
                <w:szCs w:val="5"/>
              </w:rPr>
            </w:pPr>
          </w:p>
        </w:tc>
        <w:tc>
          <w:tcPr>
            <w:tcW w:w="560" w:type="dxa"/>
            <w:vAlign w:val="bottom"/>
          </w:tcPr>
          <w:p w14:paraId="29786863" w14:textId="77777777" w:rsidR="00D1587D" w:rsidRDefault="00D1587D">
            <w:pPr>
              <w:rPr>
                <w:sz w:val="5"/>
                <w:szCs w:val="5"/>
              </w:rPr>
            </w:pPr>
          </w:p>
        </w:tc>
        <w:tc>
          <w:tcPr>
            <w:tcW w:w="420" w:type="dxa"/>
            <w:tcBorders>
              <w:top w:val="single" w:sz="8" w:space="0" w:color="auto"/>
            </w:tcBorders>
            <w:vAlign w:val="bottom"/>
          </w:tcPr>
          <w:p w14:paraId="0B49696C" w14:textId="77777777" w:rsidR="00D1587D" w:rsidRDefault="00D1587D">
            <w:pPr>
              <w:rPr>
                <w:sz w:val="5"/>
                <w:szCs w:val="5"/>
              </w:rPr>
            </w:pPr>
          </w:p>
        </w:tc>
        <w:tc>
          <w:tcPr>
            <w:tcW w:w="80" w:type="dxa"/>
            <w:vAlign w:val="bottom"/>
          </w:tcPr>
          <w:p w14:paraId="1A5E0457" w14:textId="77777777" w:rsidR="00D1587D" w:rsidRDefault="00D1587D">
            <w:pPr>
              <w:rPr>
                <w:sz w:val="5"/>
                <w:szCs w:val="5"/>
              </w:rPr>
            </w:pPr>
          </w:p>
        </w:tc>
      </w:tr>
      <w:tr w:rsidR="00D1587D" w14:paraId="384B3726" w14:textId="77777777">
        <w:trPr>
          <w:trHeight w:val="318"/>
        </w:trPr>
        <w:tc>
          <w:tcPr>
            <w:tcW w:w="6940" w:type="dxa"/>
            <w:tcBorders>
              <w:bottom w:val="single" w:sz="8" w:space="0" w:color="CCEEFF"/>
            </w:tcBorders>
            <w:shd w:val="clear" w:color="auto" w:fill="CCEEFF"/>
            <w:vAlign w:val="bottom"/>
          </w:tcPr>
          <w:p w14:paraId="61C35BB1" w14:textId="77777777" w:rsidR="00D1587D" w:rsidRDefault="00410D07">
            <w:pPr>
              <w:rPr>
                <w:sz w:val="20"/>
                <w:szCs w:val="20"/>
              </w:rPr>
            </w:pPr>
            <w:r>
              <w:rPr>
                <w:rFonts w:ascii="Arial" w:eastAsia="Arial" w:hAnsi="Arial" w:cs="Arial"/>
                <w:b/>
                <w:bCs/>
                <w:sz w:val="18"/>
                <w:szCs w:val="18"/>
              </w:rPr>
              <w:t>Investing Activities</w:t>
            </w:r>
          </w:p>
        </w:tc>
        <w:tc>
          <w:tcPr>
            <w:tcW w:w="340" w:type="dxa"/>
            <w:tcBorders>
              <w:bottom w:val="single" w:sz="8" w:space="0" w:color="CCEEFF"/>
            </w:tcBorders>
            <w:shd w:val="clear" w:color="auto" w:fill="CCEEFF"/>
            <w:vAlign w:val="bottom"/>
          </w:tcPr>
          <w:p w14:paraId="1EA17908" w14:textId="77777777" w:rsidR="00D1587D" w:rsidRDefault="00D1587D">
            <w:pPr>
              <w:rPr>
                <w:sz w:val="24"/>
                <w:szCs w:val="24"/>
              </w:rPr>
            </w:pPr>
          </w:p>
        </w:tc>
        <w:tc>
          <w:tcPr>
            <w:tcW w:w="20" w:type="dxa"/>
            <w:tcBorders>
              <w:bottom w:val="single" w:sz="8" w:space="0" w:color="CCEEFF"/>
            </w:tcBorders>
            <w:shd w:val="clear" w:color="auto" w:fill="CCEEFF"/>
            <w:vAlign w:val="bottom"/>
          </w:tcPr>
          <w:p w14:paraId="33ACF8AE" w14:textId="77777777" w:rsidR="00D1587D" w:rsidRDefault="00D1587D">
            <w:pPr>
              <w:rPr>
                <w:sz w:val="24"/>
                <w:szCs w:val="24"/>
              </w:rPr>
            </w:pPr>
          </w:p>
        </w:tc>
        <w:tc>
          <w:tcPr>
            <w:tcW w:w="60" w:type="dxa"/>
            <w:tcBorders>
              <w:bottom w:val="single" w:sz="8" w:space="0" w:color="CCEEFF"/>
            </w:tcBorders>
            <w:shd w:val="clear" w:color="auto" w:fill="CCEEFF"/>
            <w:vAlign w:val="bottom"/>
          </w:tcPr>
          <w:p w14:paraId="0DCCFDB6" w14:textId="77777777" w:rsidR="00D1587D" w:rsidRDefault="00D1587D">
            <w:pPr>
              <w:rPr>
                <w:sz w:val="24"/>
                <w:szCs w:val="24"/>
              </w:rPr>
            </w:pPr>
          </w:p>
        </w:tc>
        <w:tc>
          <w:tcPr>
            <w:tcW w:w="560" w:type="dxa"/>
            <w:tcBorders>
              <w:bottom w:val="single" w:sz="8" w:space="0" w:color="CCEEFF"/>
            </w:tcBorders>
            <w:shd w:val="clear" w:color="auto" w:fill="CCEEFF"/>
            <w:vAlign w:val="bottom"/>
          </w:tcPr>
          <w:p w14:paraId="0C2DE212" w14:textId="77777777" w:rsidR="00D1587D" w:rsidRDefault="00D1587D">
            <w:pPr>
              <w:rPr>
                <w:sz w:val="24"/>
                <w:szCs w:val="24"/>
              </w:rPr>
            </w:pPr>
          </w:p>
        </w:tc>
        <w:tc>
          <w:tcPr>
            <w:tcW w:w="420" w:type="dxa"/>
            <w:tcBorders>
              <w:bottom w:val="single" w:sz="8" w:space="0" w:color="CCEEFF"/>
            </w:tcBorders>
            <w:shd w:val="clear" w:color="auto" w:fill="CCEEFF"/>
            <w:vAlign w:val="bottom"/>
          </w:tcPr>
          <w:p w14:paraId="574693CB" w14:textId="77777777" w:rsidR="00D1587D" w:rsidRDefault="00D1587D">
            <w:pPr>
              <w:rPr>
                <w:sz w:val="24"/>
                <w:szCs w:val="24"/>
              </w:rPr>
            </w:pPr>
          </w:p>
        </w:tc>
        <w:tc>
          <w:tcPr>
            <w:tcW w:w="80" w:type="dxa"/>
            <w:tcBorders>
              <w:bottom w:val="single" w:sz="8" w:space="0" w:color="CCEEFF"/>
            </w:tcBorders>
            <w:shd w:val="clear" w:color="auto" w:fill="CCEEFF"/>
            <w:vAlign w:val="bottom"/>
          </w:tcPr>
          <w:p w14:paraId="49A0C8FC" w14:textId="77777777" w:rsidR="00D1587D" w:rsidRDefault="00D1587D">
            <w:pPr>
              <w:rPr>
                <w:sz w:val="24"/>
                <w:szCs w:val="24"/>
              </w:rPr>
            </w:pPr>
          </w:p>
        </w:tc>
      </w:tr>
      <w:tr w:rsidR="00D1587D" w14:paraId="5269FD2C" w14:textId="77777777">
        <w:trPr>
          <w:trHeight w:val="270"/>
        </w:trPr>
        <w:tc>
          <w:tcPr>
            <w:tcW w:w="6940" w:type="dxa"/>
            <w:vAlign w:val="bottom"/>
          </w:tcPr>
          <w:p w14:paraId="388F9136" w14:textId="77777777" w:rsidR="00D1587D" w:rsidRDefault="00410D07">
            <w:pPr>
              <w:rPr>
                <w:sz w:val="20"/>
                <w:szCs w:val="20"/>
              </w:rPr>
            </w:pPr>
            <w:r>
              <w:rPr>
                <w:rFonts w:ascii="Arial" w:eastAsia="Arial" w:hAnsi="Arial" w:cs="Arial"/>
                <w:sz w:val="18"/>
                <w:szCs w:val="18"/>
              </w:rPr>
              <w:t>Capital Expenditures</w:t>
            </w:r>
          </w:p>
        </w:tc>
        <w:tc>
          <w:tcPr>
            <w:tcW w:w="420" w:type="dxa"/>
            <w:gridSpan w:val="3"/>
            <w:vAlign w:val="bottom"/>
          </w:tcPr>
          <w:p w14:paraId="76C28760" w14:textId="77777777" w:rsidR="00D1587D" w:rsidRDefault="00410D07">
            <w:pPr>
              <w:ind w:right="20"/>
              <w:jc w:val="right"/>
              <w:rPr>
                <w:sz w:val="20"/>
                <w:szCs w:val="20"/>
              </w:rPr>
            </w:pPr>
            <w:r>
              <w:rPr>
                <w:rFonts w:ascii="Arial" w:eastAsia="Arial" w:hAnsi="Arial" w:cs="Arial"/>
                <w:sz w:val="18"/>
                <w:szCs w:val="18"/>
              </w:rPr>
              <w:t>(19)</w:t>
            </w:r>
          </w:p>
        </w:tc>
        <w:tc>
          <w:tcPr>
            <w:tcW w:w="560" w:type="dxa"/>
            <w:vAlign w:val="bottom"/>
          </w:tcPr>
          <w:p w14:paraId="1FD06803" w14:textId="77777777" w:rsidR="00D1587D" w:rsidRDefault="00D1587D">
            <w:pPr>
              <w:rPr>
                <w:sz w:val="23"/>
                <w:szCs w:val="23"/>
              </w:rPr>
            </w:pPr>
          </w:p>
        </w:tc>
        <w:tc>
          <w:tcPr>
            <w:tcW w:w="500" w:type="dxa"/>
            <w:gridSpan w:val="2"/>
            <w:vAlign w:val="bottom"/>
          </w:tcPr>
          <w:p w14:paraId="1932F191" w14:textId="77777777" w:rsidR="00D1587D" w:rsidRDefault="00410D07">
            <w:pPr>
              <w:ind w:right="20"/>
              <w:jc w:val="right"/>
              <w:rPr>
                <w:sz w:val="20"/>
                <w:szCs w:val="20"/>
              </w:rPr>
            </w:pPr>
            <w:r>
              <w:rPr>
                <w:rFonts w:ascii="Arial" w:eastAsia="Arial" w:hAnsi="Arial" w:cs="Arial"/>
                <w:sz w:val="18"/>
                <w:szCs w:val="18"/>
              </w:rPr>
              <w:t>(27)</w:t>
            </w:r>
          </w:p>
        </w:tc>
      </w:tr>
      <w:tr w:rsidR="00D1587D" w14:paraId="508E7CE6" w14:textId="77777777">
        <w:trPr>
          <w:trHeight w:val="54"/>
        </w:trPr>
        <w:tc>
          <w:tcPr>
            <w:tcW w:w="6940" w:type="dxa"/>
            <w:vAlign w:val="bottom"/>
          </w:tcPr>
          <w:p w14:paraId="47227559" w14:textId="77777777" w:rsidR="00D1587D" w:rsidRDefault="00D1587D">
            <w:pPr>
              <w:rPr>
                <w:sz w:val="4"/>
                <w:szCs w:val="4"/>
              </w:rPr>
            </w:pPr>
          </w:p>
        </w:tc>
        <w:tc>
          <w:tcPr>
            <w:tcW w:w="340" w:type="dxa"/>
            <w:vAlign w:val="bottom"/>
          </w:tcPr>
          <w:p w14:paraId="0FFCB48C" w14:textId="77777777" w:rsidR="00D1587D" w:rsidRDefault="00D1587D">
            <w:pPr>
              <w:rPr>
                <w:sz w:val="4"/>
                <w:szCs w:val="4"/>
              </w:rPr>
            </w:pPr>
          </w:p>
        </w:tc>
        <w:tc>
          <w:tcPr>
            <w:tcW w:w="20" w:type="dxa"/>
            <w:vAlign w:val="bottom"/>
          </w:tcPr>
          <w:p w14:paraId="6CA710D6" w14:textId="77777777" w:rsidR="00D1587D" w:rsidRDefault="00D1587D">
            <w:pPr>
              <w:rPr>
                <w:sz w:val="4"/>
                <w:szCs w:val="4"/>
              </w:rPr>
            </w:pPr>
          </w:p>
        </w:tc>
        <w:tc>
          <w:tcPr>
            <w:tcW w:w="60" w:type="dxa"/>
            <w:vAlign w:val="bottom"/>
          </w:tcPr>
          <w:p w14:paraId="603DC180" w14:textId="77777777" w:rsidR="00D1587D" w:rsidRDefault="00D1587D">
            <w:pPr>
              <w:rPr>
                <w:sz w:val="4"/>
                <w:szCs w:val="4"/>
              </w:rPr>
            </w:pPr>
          </w:p>
        </w:tc>
        <w:tc>
          <w:tcPr>
            <w:tcW w:w="560" w:type="dxa"/>
            <w:vAlign w:val="bottom"/>
          </w:tcPr>
          <w:p w14:paraId="3C352ABC" w14:textId="77777777" w:rsidR="00D1587D" w:rsidRDefault="00D1587D">
            <w:pPr>
              <w:rPr>
                <w:sz w:val="4"/>
                <w:szCs w:val="4"/>
              </w:rPr>
            </w:pPr>
          </w:p>
        </w:tc>
        <w:tc>
          <w:tcPr>
            <w:tcW w:w="420" w:type="dxa"/>
            <w:vAlign w:val="bottom"/>
          </w:tcPr>
          <w:p w14:paraId="5EB542F7" w14:textId="77777777" w:rsidR="00D1587D" w:rsidRDefault="00D1587D">
            <w:pPr>
              <w:rPr>
                <w:sz w:val="4"/>
                <w:szCs w:val="4"/>
              </w:rPr>
            </w:pPr>
          </w:p>
        </w:tc>
        <w:tc>
          <w:tcPr>
            <w:tcW w:w="80" w:type="dxa"/>
            <w:vAlign w:val="bottom"/>
          </w:tcPr>
          <w:p w14:paraId="6AD6E14F" w14:textId="77777777" w:rsidR="00D1587D" w:rsidRDefault="00D1587D">
            <w:pPr>
              <w:rPr>
                <w:sz w:val="4"/>
                <w:szCs w:val="4"/>
              </w:rPr>
            </w:pPr>
          </w:p>
        </w:tc>
      </w:tr>
      <w:tr w:rsidR="00D1587D" w14:paraId="67BAB914" w14:textId="77777777">
        <w:trPr>
          <w:trHeight w:val="257"/>
        </w:trPr>
        <w:tc>
          <w:tcPr>
            <w:tcW w:w="6940" w:type="dxa"/>
            <w:shd w:val="clear" w:color="auto" w:fill="CCEEFF"/>
            <w:vAlign w:val="bottom"/>
          </w:tcPr>
          <w:p w14:paraId="055A5E4C" w14:textId="77777777" w:rsidR="00D1587D" w:rsidRDefault="00410D07">
            <w:pPr>
              <w:rPr>
                <w:sz w:val="20"/>
                <w:szCs w:val="20"/>
              </w:rPr>
            </w:pPr>
            <w:r>
              <w:rPr>
                <w:rFonts w:ascii="Arial" w:eastAsia="Arial" w:hAnsi="Arial" w:cs="Arial"/>
                <w:sz w:val="18"/>
                <w:szCs w:val="18"/>
              </w:rPr>
              <w:t xml:space="preserve">Other Investing </w:t>
            </w:r>
            <w:r>
              <w:rPr>
                <w:rFonts w:ascii="Arial" w:eastAsia="Arial" w:hAnsi="Arial" w:cs="Arial"/>
                <w:sz w:val="18"/>
                <w:szCs w:val="18"/>
              </w:rPr>
              <w:t>Activities</w:t>
            </w:r>
          </w:p>
        </w:tc>
        <w:tc>
          <w:tcPr>
            <w:tcW w:w="980" w:type="dxa"/>
            <w:gridSpan w:val="4"/>
            <w:shd w:val="clear" w:color="auto" w:fill="CCEEFF"/>
            <w:vAlign w:val="bottom"/>
          </w:tcPr>
          <w:p w14:paraId="76E03BCF" w14:textId="77777777" w:rsidR="00D1587D" w:rsidRDefault="00410D07">
            <w:pPr>
              <w:ind w:right="640"/>
              <w:jc w:val="right"/>
              <w:rPr>
                <w:sz w:val="20"/>
                <w:szCs w:val="20"/>
              </w:rPr>
            </w:pPr>
            <w:r>
              <w:rPr>
                <w:rFonts w:ascii="Arial" w:eastAsia="Arial" w:hAnsi="Arial" w:cs="Arial"/>
                <w:sz w:val="18"/>
                <w:szCs w:val="18"/>
              </w:rPr>
              <w:t>—</w:t>
            </w:r>
          </w:p>
        </w:tc>
        <w:tc>
          <w:tcPr>
            <w:tcW w:w="500" w:type="dxa"/>
            <w:gridSpan w:val="2"/>
            <w:shd w:val="clear" w:color="auto" w:fill="CCEEFF"/>
            <w:vAlign w:val="bottom"/>
          </w:tcPr>
          <w:p w14:paraId="136368DE" w14:textId="77777777" w:rsidR="00D1587D" w:rsidRDefault="00410D07">
            <w:pPr>
              <w:ind w:right="20"/>
              <w:jc w:val="right"/>
              <w:rPr>
                <w:sz w:val="20"/>
                <w:szCs w:val="20"/>
              </w:rPr>
            </w:pPr>
            <w:r>
              <w:rPr>
                <w:rFonts w:ascii="Arial" w:eastAsia="Arial" w:hAnsi="Arial" w:cs="Arial"/>
                <w:sz w:val="18"/>
                <w:szCs w:val="18"/>
              </w:rPr>
              <w:t>(1)</w:t>
            </w:r>
          </w:p>
        </w:tc>
      </w:tr>
      <w:tr w:rsidR="00D1587D" w14:paraId="30B382CC" w14:textId="77777777">
        <w:trPr>
          <w:trHeight w:val="61"/>
        </w:trPr>
        <w:tc>
          <w:tcPr>
            <w:tcW w:w="6940" w:type="dxa"/>
            <w:tcBorders>
              <w:top w:val="single" w:sz="8" w:space="0" w:color="CCEEFF"/>
            </w:tcBorders>
            <w:shd w:val="clear" w:color="auto" w:fill="CCEEFF"/>
            <w:vAlign w:val="bottom"/>
          </w:tcPr>
          <w:p w14:paraId="015B2975" w14:textId="77777777" w:rsidR="00D1587D" w:rsidRDefault="00D1587D">
            <w:pPr>
              <w:rPr>
                <w:sz w:val="5"/>
                <w:szCs w:val="5"/>
              </w:rPr>
            </w:pPr>
          </w:p>
        </w:tc>
        <w:tc>
          <w:tcPr>
            <w:tcW w:w="340" w:type="dxa"/>
            <w:tcBorders>
              <w:top w:val="single" w:sz="8" w:space="0" w:color="auto"/>
            </w:tcBorders>
            <w:shd w:val="clear" w:color="auto" w:fill="CCEEFF"/>
            <w:vAlign w:val="bottom"/>
          </w:tcPr>
          <w:p w14:paraId="21522447" w14:textId="77777777" w:rsidR="00D1587D" w:rsidRDefault="00D1587D">
            <w:pPr>
              <w:rPr>
                <w:sz w:val="5"/>
                <w:szCs w:val="5"/>
              </w:rPr>
            </w:pPr>
          </w:p>
        </w:tc>
        <w:tc>
          <w:tcPr>
            <w:tcW w:w="20" w:type="dxa"/>
            <w:tcBorders>
              <w:top w:val="single" w:sz="8" w:space="0" w:color="CCEEFF"/>
            </w:tcBorders>
            <w:shd w:val="clear" w:color="auto" w:fill="CCEEFF"/>
            <w:vAlign w:val="bottom"/>
          </w:tcPr>
          <w:p w14:paraId="6746892A" w14:textId="77777777" w:rsidR="00D1587D" w:rsidRDefault="00D1587D">
            <w:pPr>
              <w:rPr>
                <w:sz w:val="5"/>
                <w:szCs w:val="5"/>
              </w:rPr>
            </w:pPr>
          </w:p>
        </w:tc>
        <w:tc>
          <w:tcPr>
            <w:tcW w:w="60" w:type="dxa"/>
            <w:tcBorders>
              <w:top w:val="single" w:sz="8" w:space="0" w:color="CCEEFF"/>
            </w:tcBorders>
            <w:shd w:val="clear" w:color="auto" w:fill="CCEEFF"/>
            <w:vAlign w:val="bottom"/>
          </w:tcPr>
          <w:p w14:paraId="1808FFA4" w14:textId="77777777" w:rsidR="00D1587D" w:rsidRDefault="00D1587D">
            <w:pPr>
              <w:rPr>
                <w:sz w:val="5"/>
                <w:szCs w:val="5"/>
              </w:rPr>
            </w:pPr>
          </w:p>
        </w:tc>
        <w:tc>
          <w:tcPr>
            <w:tcW w:w="560" w:type="dxa"/>
            <w:tcBorders>
              <w:top w:val="single" w:sz="8" w:space="0" w:color="CCEEFF"/>
            </w:tcBorders>
            <w:shd w:val="clear" w:color="auto" w:fill="CCEEFF"/>
            <w:vAlign w:val="bottom"/>
          </w:tcPr>
          <w:p w14:paraId="2C43FD9D" w14:textId="77777777" w:rsidR="00D1587D" w:rsidRDefault="00D1587D">
            <w:pPr>
              <w:rPr>
                <w:sz w:val="5"/>
                <w:szCs w:val="5"/>
              </w:rPr>
            </w:pPr>
          </w:p>
        </w:tc>
        <w:tc>
          <w:tcPr>
            <w:tcW w:w="420" w:type="dxa"/>
            <w:tcBorders>
              <w:top w:val="single" w:sz="8" w:space="0" w:color="auto"/>
            </w:tcBorders>
            <w:shd w:val="clear" w:color="auto" w:fill="CCEEFF"/>
            <w:vAlign w:val="bottom"/>
          </w:tcPr>
          <w:p w14:paraId="47652B01" w14:textId="77777777" w:rsidR="00D1587D" w:rsidRDefault="00D1587D">
            <w:pPr>
              <w:rPr>
                <w:sz w:val="5"/>
                <w:szCs w:val="5"/>
              </w:rPr>
            </w:pPr>
          </w:p>
        </w:tc>
        <w:tc>
          <w:tcPr>
            <w:tcW w:w="80" w:type="dxa"/>
            <w:tcBorders>
              <w:top w:val="single" w:sz="8" w:space="0" w:color="CCEEFF"/>
            </w:tcBorders>
            <w:shd w:val="clear" w:color="auto" w:fill="CCEEFF"/>
            <w:vAlign w:val="bottom"/>
          </w:tcPr>
          <w:p w14:paraId="0F2F9D55" w14:textId="77777777" w:rsidR="00D1587D" w:rsidRDefault="00D1587D">
            <w:pPr>
              <w:rPr>
                <w:sz w:val="5"/>
                <w:szCs w:val="5"/>
              </w:rPr>
            </w:pPr>
          </w:p>
        </w:tc>
      </w:tr>
      <w:tr w:rsidR="00D1587D" w14:paraId="68177A5A" w14:textId="77777777">
        <w:trPr>
          <w:trHeight w:val="270"/>
        </w:trPr>
        <w:tc>
          <w:tcPr>
            <w:tcW w:w="6940" w:type="dxa"/>
            <w:vAlign w:val="bottom"/>
          </w:tcPr>
          <w:p w14:paraId="71AD996F" w14:textId="77777777" w:rsidR="00D1587D" w:rsidRDefault="00410D07">
            <w:pPr>
              <w:rPr>
                <w:sz w:val="20"/>
                <w:szCs w:val="20"/>
              </w:rPr>
            </w:pPr>
            <w:r>
              <w:rPr>
                <w:rFonts w:ascii="Arial" w:eastAsia="Arial" w:hAnsi="Arial" w:cs="Arial"/>
                <w:sz w:val="18"/>
                <w:szCs w:val="18"/>
              </w:rPr>
              <w:t>Net Cash Used for Investing Activities</w:t>
            </w:r>
          </w:p>
        </w:tc>
        <w:tc>
          <w:tcPr>
            <w:tcW w:w="420" w:type="dxa"/>
            <w:gridSpan w:val="3"/>
            <w:vAlign w:val="bottom"/>
          </w:tcPr>
          <w:p w14:paraId="2BE4228C" w14:textId="77777777" w:rsidR="00D1587D" w:rsidRDefault="00410D07">
            <w:pPr>
              <w:ind w:right="20"/>
              <w:jc w:val="right"/>
              <w:rPr>
                <w:sz w:val="20"/>
                <w:szCs w:val="20"/>
              </w:rPr>
            </w:pPr>
            <w:r>
              <w:rPr>
                <w:rFonts w:ascii="Arial" w:eastAsia="Arial" w:hAnsi="Arial" w:cs="Arial"/>
                <w:sz w:val="18"/>
                <w:szCs w:val="18"/>
              </w:rPr>
              <w:t>(19)</w:t>
            </w:r>
          </w:p>
        </w:tc>
        <w:tc>
          <w:tcPr>
            <w:tcW w:w="560" w:type="dxa"/>
            <w:vAlign w:val="bottom"/>
          </w:tcPr>
          <w:p w14:paraId="6A0E2C00" w14:textId="77777777" w:rsidR="00D1587D" w:rsidRDefault="00D1587D">
            <w:pPr>
              <w:rPr>
                <w:sz w:val="23"/>
                <w:szCs w:val="23"/>
              </w:rPr>
            </w:pPr>
          </w:p>
        </w:tc>
        <w:tc>
          <w:tcPr>
            <w:tcW w:w="500" w:type="dxa"/>
            <w:gridSpan w:val="2"/>
            <w:vAlign w:val="bottom"/>
          </w:tcPr>
          <w:p w14:paraId="3CBADF5B" w14:textId="77777777" w:rsidR="00D1587D" w:rsidRDefault="00410D07">
            <w:pPr>
              <w:ind w:right="20"/>
              <w:jc w:val="right"/>
              <w:rPr>
                <w:sz w:val="20"/>
                <w:szCs w:val="20"/>
              </w:rPr>
            </w:pPr>
            <w:r>
              <w:rPr>
                <w:rFonts w:ascii="Arial" w:eastAsia="Arial" w:hAnsi="Arial" w:cs="Arial"/>
                <w:sz w:val="18"/>
                <w:szCs w:val="18"/>
              </w:rPr>
              <w:t>(28)</w:t>
            </w:r>
          </w:p>
        </w:tc>
      </w:tr>
      <w:tr w:rsidR="00D1587D" w14:paraId="0F65D60D" w14:textId="77777777">
        <w:trPr>
          <w:trHeight w:val="61"/>
        </w:trPr>
        <w:tc>
          <w:tcPr>
            <w:tcW w:w="6940" w:type="dxa"/>
            <w:vAlign w:val="bottom"/>
          </w:tcPr>
          <w:p w14:paraId="67BDB5CB" w14:textId="77777777" w:rsidR="00D1587D" w:rsidRDefault="00D1587D">
            <w:pPr>
              <w:rPr>
                <w:sz w:val="5"/>
                <w:szCs w:val="5"/>
              </w:rPr>
            </w:pPr>
          </w:p>
        </w:tc>
        <w:tc>
          <w:tcPr>
            <w:tcW w:w="340" w:type="dxa"/>
            <w:tcBorders>
              <w:top w:val="single" w:sz="8" w:space="0" w:color="auto"/>
            </w:tcBorders>
            <w:vAlign w:val="bottom"/>
          </w:tcPr>
          <w:p w14:paraId="73F42A8C" w14:textId="77777777" w:rsidR="00D1587D" w:rsidRDefault="00D1587D">
            <w:pPr>
              <w:rPr>
                <w:sz w:val="5"/>
                <w:szCs w:val="5"/>
              </w:rPr>
            </w:pPr>
          </w:p>
        </w:tc>
        <w:tc>
          <w:tcPr>
            <w:tcW w:w="20" w:type="dxa"/>
            <w:vAlign w:val="bottom"/>
          </w:tcPr>
          <w:p w14:paraId="79113C16" w14:textId="77777777" w:rsidR="00D1587D" w:rsidRDefault="00D1587D">
            <w:pPr>
              <w:rPr>
                <w:sz w:val="5"/>
                <w:szCs w:val="5"/>
              </w:rPr>
            </w:pPr>
          </w:p>
        </w:tc>
        <w:tc>
          <w:tcPr>
            <w:tcW w:w="60" w:type="dxa"/>
            <w:vAlign w:val="bottom"/>
          </w:tcPr>
          <w:p w14:paraId="253B0251" w14:textId="77777777" w:rsidR="00D1587D" w:rsidRDefault="00D1587D">
            <w:pPr>
              <w:rPr>
                <w:sz w:val="5"/>
                <w:szCs w:val="5"/>
              </w:rPr>
            </w:pPr>
          </w:p>
        </w:tc>
        <w:tc>
          <w:tcPr>
            <w:tcW w:w="560" w:type="dxa"/>
            <w:vAlign w:val="bottom"/>
          </w:tcPr>
          <w:p w14:paraId="63D4ADAC" w14:textId="77777777" w:rsidR="00D1587D" w:rsidRDefault="00D1587D">
            <w:pPr>
              <w:rPr>
                <w:sz w:val="5"/>
                <w:szCs w:val="5"/>
              </w:rPr>
            </w:pPr>
          </w:p>
        </w:tc>
        <w:tc>
          <w:tcPr>
            <w:tcW w:w="420" w:type="dxa"/>
            <w:tcBorders>
              <w:top w:val="single" w:sz="8" w:space="0" w:color="auto"/>
            </w:tcBorders>
            <w:vAlign w:val="bottom"/>
          </w:tcPr>
          <w:p w14:paraId="71178DED" w14:textId="77777777" w:rsidR="00D1587D" w:rsidRDefault="00D1587D">
            <w:pPr>
              <w:rPr>
                <w:sz w:val="5"/>
                <w:szCs w:val="5"/>
              </w:rPr>
            </w:pPr>
          </w:p>
        </w:tc>
        <w:tc>
          <w:tcPr>
            <w:tcW w:w="80" w:type="dxa"/>
            <w:vAlign w:val="bottom"/>
          </w:tcPr>
          <w:p w14:paraId="2FACB343" w14:textId="77777777" w:rsidR="00D1587D" w:rsidRDefault="00D1587D">
            <w:pPr>
              <w:rPr>
                <w:sz w:val="5"/>
                <w:szCs w:val="5"/>
              </w:rPr>
            </w:pPr>
          </w:p>
        </w:tc>
      </w:tr>
      <w:tr w:rsidR="00D1587D" w14:paraId="1A3B595E" w14:textId="77777777">
        <w:trPr>
          <w:trHeight w:val="318"/>
        </w:trPr>
        <w:tc>
          <w:tcPr>
            <w:tcW w:w="6940" w:type="dxa"/>
            <w:tcBorders>
              <w:bottom w:val="single" w:sz="8" w:space="0" w:color="CCEEFF"/>
            </w:tcBorders>
            <w:shd w:val="clear" w:color="auto" w:fill="CCEEFF"/>
            <w:vAlign w:val="bottom"/>
          </w:tcPr>
          <w:p w14:paraId="50D179DA" w14:textId="77777777" w:rsidR="00D1587D" w:rsidRDefault="00410D07">
            <w:pPr>
              <w:rPr>
                <w:sz w:val="20"/>
                <w:szCs w:val="20"/>
              </w:rPr>
            </w:pPr>
            <w:r>
              <w:rPr>
                <w:rFonts w:ascii="Arial" w:eastAsia="Arial" w:hAnsi="Arial" w:cs="Arial"/>
                <w:b/>
                <w:bCs/>
                <w:sz w:val="18"/>
                <w:szCs w:val="18"/>
              </w:rPr>
              <w:t>Financing Activities</w:t>
            </w:r>
          </w:p>
        </w:tc>
        <w:tc>
          <w:tcPr>
            <w:tcW w:w="340" w:type="dxa"/>
            <w:tcBorders>
              <w:bottom w:val="single" w:sz="8" w:space="0" w:color="CCEEFF"/>
            </w:tcBorders>
            <w:shd w:val="clear" w:color="auto" w:fill="CCEEFF"/>
            <w:vAlign w:val="bottom"/>
          </w:tcPr>
          <w:p w14:paraId="0F3C84D4" w14:textId="77777777" w:rsidR="00D1587D" w:rsidRDefault="00D1587D">
            <w:pPr>
              <w:rPr>
                <w:sz w:val="24"/>
                <w:szCs w:val="24"/>
              </w:rPr>
            </w:pPr>
          </w:p>
        </w:tc>
        <w:tc>
          <w:tcPr>
            <w:tcW w:w="20" w:type="dxa"/>
            <w:tcBorders>
              <w:bottom w:val="single" w:sz="8" w:space="0" w:color="CCEEFF"/>
            </w:tcBorders>
            <w:shd w:val="clear" w:color="auto" w:fill="CCEEFF"/>
            <w:vAlign w:val="bottom"/>
          </w:tcPr>
          <w:p w14:paraId="1FC06A52" w14:textId="77777777" w:rsidR="00D1587D" w:rsidRDefault="00D1587D">
            <w:pPr>
              <w:rPr>
                <w:sz w:val="24"/>
                <w:szCs w:val="24"/>
              </w:rPr>
            </w:pPr>
          </w:p>
        </w:tc>
        <w:tc>
          <w:tcPr>
            <w:tcW w:w="60" w:type="dxa"/>
            <w:tcBorders>
              <w:bottom w:val="single" w:sz="8" w:space="0" w:color="CCEEFF"/>
            </w:tcBorders>
            <w:shd w:val="clear" w:color="auto" w:fill="CCEEFF"/>
            <w:vAlign w:val="bottom"/>
          </w:tcPr>
          <w:p w14:paraId="33BB9332" w14:textId="77777777" w:rsidR="00D1587D" w:rsidRDefault="00D1587D">
            <w:pPr>
              <w:rPr>
                <w:sz w:val="24"/>
                <w:szCs w:val="24"/>
              </w:rPr>
            </w:pPr>
          </w:p>
        </w:tc>
        <w:tc>
          <w:tcPr>
            <w:tcW w:w="560" w:type="dxa"/>
            <w:tcBorders>
              <w:bottom w:val="single" w:sz="8" w:space="0" w:color="CCEEFF"/>
            </w:tcBorders>
            <w:shd w:val="clear" w:color="auto" w:fill="CCEEFF"/>
            <w:vAlign w:val="bottom"/>
          </w:tcPr>
          <w:p w14:paraId="3E0AC2FA" w14:textId="77777777" w:rsidR="00D1587D" w:rsidRDefault="00D1587D">
            <w:pPr>
              <w:rPr>
                <w:sz w:val="24"/>
                <w:szCs w:val="24"/>
              </w:rPr>
            </w:pPr>
          </w:p>
        </w:tc>
        <w:tc>
          <w:tcPr>
            <w:tcW w:w="420" w:type="dxa"/>
            <w:tcBorders>
              <w:bottom w:val="single" w:sz="8" w:space="0" w:color="CCEEFF"/>
            </w:tcBorders>
            <w:shd w:val="clear" w:color="auto" w:fill="CCEEFF"/>
            <w:vAlign w:val="bottom"/>
          </w:tcPr>
          <w:p w14:paraId="3DE6B42E" w14:textId="77777777" w:rsidR="00D1587D" w:rsidRDefault="00D1587D">
            <w:pPr>
              <w:rPr>
                <w:sz w:val="24"/>
                <w:szCs w:val="24"/>
              </w:rPr>
            </w:pPr>
          </w:p>
        </w:tc>
        <w:tc>
          <w:tcPr>
            <w:tcW w:w="80" w:type="dxa"/>
            <w:tcBorders>
              <w:bottom w:val="single" w:sz="8" w:space="0" w:color="CCEEFF"/>
            </w:tcBorders>
            <w:shd w:val="clear" w:color="auto" w:fill="CCEEFF"/>
            <w:vAlign w:val="bottom"/>
          </w:tcPr>
          <w:p w14:paraId="569B2DDD" w14:textId="77777777" w:rsidR="00D1587D" w:rsidRDefault="00D1587D">
            <w:pPr>
              <w:rPr>
                <w:sz w:val="24"/>
                <w:szCs w:val="24"/>
              </w:rPr>
            </w:pPr>
          </w:p>
        </w:tc>
      </w:tr>
      <w:tr w:rsidR="00D1587D" w14:paraId="03D0B962" w14:textId="77777777">
        <w:trPr>
          <w:trHeight w:val="270"/>
        </w:trPr>
        <w:tc>
          <w:tcPr>
            <w:tcW w:w="6940" w:type="dxa"/>
            <w:vAlign w:val="bottom"/>
          </w:tcPr>
          <w:p w14:paraId="71E03C11" w14:textId="77777777" w:rsidR="00D1587D" w:rsidRDefault="00410D07">
            <w:pPr>
              <w:rPr>
                <w:sz w:val="20"/>
                <w:szCs w:val="20"/>
              </w:rPr>
            </w:pPr>
            <w:r>
              <w:rPr>
                <w:rFonts w:ascii="Arial" w:eastAsia="Arial" w:hAnsi="Arial" w:cs="Arial"/>
                <w:sz w:val="18"/>
                <w:szCs w:val="18"/>
              </w:rPr>
              <w:t>Borrowings from Foreign Facilities</w:t>
            </w:r>
          </w:p>
        </w:tc>
        <w:tc>
          <w:tcPr>
            <w:tcW w:w="980" w:type="dxa"/>
            <w:gridSpan w:val="4"/>
            <w:vAlign w:val="bottom"/>
          </w:tcPr>
          <w:p w14:paraId="426D5EF9" w14:textId="77777777" w:rsidR="00D1587D" w:rsidRDefault="00410D07">
            <w:pPr>
              <w:ind w:right="640"/>
              <w:jc w:val="right"/>
              <w:rPr>
                <w:sz w:val="20"/>
                <w:szCs w:val="20"/>
              </w:rPr>
            </w:pPr>
            <w:r>
              <w:rPr>
                <w:rFonts w:ascii="Arial" w:eastAsia="Arial" w:hAnsi="Arial" w:cs="Arial"/>
                <w:sz w:val="18"/>
                <w:szCs w:val="18"/>
              </w:rPr>
              <w:t>—</w:t>
            </w:r>
          </w:p>
        </w:tc>
        <w:tc>
          <w:tcPr>
            <w:tcW w:w="420" w:type="dxa"/>
            <w:vAlign w:val="bottom"/>
          </w:tcPr>
          <w:p w14:paraId="78E1479A" w14:textId="77777777" w:rsidR="00D1587D" w:rsidRDefault="00410D07">
            <w:pPr>
              <w:jc w:val="right"/>
              <w:rPr>
                <w:sz w:val="20"/>
                <w:szCs w:val="20"/>
              </w:rPr>
            </w:pPr>
            <w:r>
              <w:rPr>
                <w:rFonts w:ascii="Arial" w:eastAsia="Arial" w:hAnsi="Arial" w:cs="Arial"/>
                <w:sz w:val="18"/>
                <w:szCs w:val="18"/>
              </w:rPr>
              <w:t>23</w:t>
            </w:r>
          </w:p>
        </w:tc>
        <w:tc>
          <w:tcPr>
            <w:tcW w:w="80" w:type="dxa"/>
            <w:vAlign w:val="bottom"/>
          </w:tcPr>
          <w:p w14:paraId="7584D448" w14:textId="77777777" w:rsidR="00D1587D" w:rsidRDefault="00D1587D">
            <w:pPr>
              <w:rPr>
                <w:sz w:val="23"/>
                <w:szCs w:val="23"/>
              </w:rPr>
            </w:pPr>
          </w:p>
        </w:tc>
      </w:tr>
      <w:tr w:rsidR="00D1587D" w14:paraId="1AB707A1" w14:textId="77777777">
        <w:trPr>
          <w:trHeight w:val="54"/>
        </w:trPr>
        <w:tc>
          <w:tcPr>
            <w:tcW w:w="6940" w:type="dxa"/>
            <w:vAlign w:val="bottom"/>
          </w:tcPr>
          <w:p w14:paraId="79649560" w14:textId="77777777" w:rsidR="00D1587D" w:rsidRDefault="00D1587D">
            <w:pPr>
              <w:rPr>
                <w:sz w:val="4"/>
                <w:szCs w:val="4"/>
              </w:rPr>
            </w:pPr>
          </w:p>
        </w:tc>
        <w:tc>
          <w:tcPr>
            <w:tcW w:w="340" w:type="dxa"/>
            <w:vAlign w:val="bottom"/>
          </w:tcPr>
          <w:p w14:paraId="22C38D98" w14:textId="77777777" w:rsidR="00D1587D" w:rsidRDefault="00D1587D">
            <w:pPr>
              <w:rPr>
                <w:sz w:val="4"/>
                <w:szCs w:val="4"/>
              </w:rPr>
            </w:pPr>
          </w:p>
        </w:tc>
        <w:tc>
          <w:tcPr>
            <w:tcW w:w="20" w:type="dxa"/>
            <w:vAlign w:val="bottom"/>
          </w:tcPr>
          <w:p w14:paraId="431BD4AA" w14:textId="77777777" w:rsidR="00D1587D" w:rsidRDefault="00D1587D">
            <w:pPr>
              <w:rPr>
                <w:sz w:val="4"/>
                <w:szCs w:val="4"/>
              </w:rPr>
            </w:pPr>
          </w:p>
        </w:tc>
        <w:tc>
          <w:tcPr>
            <w:tcW w:w="60" w:type="dxa"/>
            <w:vAlign w:val="bottom"/>
          </w:tcPr>
          <w:p w14:paraId="1DBA4C6F" w14:textId="77777777" w:rsidR="00D1587D" w:rsidRDefault="00D1587D">
            <w:pPr>
              <w:rPr>
                <w:sz w:val="4"/>
                <w:szCs w:val="4"/>
              </w:rPr>
            </w:pPr>
          </w:p>
        </w:tc>
        <w:tc>
          <w:tcPr>
            <w:tcW w:w="560" w:type="dxa"/>
            <w:vAlign w:val="bottom"/>
          </w:tcPr>
          <w:p w14:paraId="0F130D87" w14:textId="77777777" w:rsidR="00D1587D" w:rsidRDefault="00D1587D">
            <w:pPr>
              <w:rPr>
                <w:sz w:val="4"/>
                <w:szCs w:val="4"/>
              </w:rPr>
            </w:pPr>
          </w:p>
        </w:tc>
        <w:tc>
          <w:tcPr>
            <w:tcW w:w="420" w:type="dxa"/>
            <w:vAlign w:val="bottom"/>
          </w:tcPr>
          <w:p w14:paraId="68FAA74B" w14:textId="77777777" w:rsidR="00D1587D" w:rsidRDefault="00D1587D">
            <w:pPr>
              <w:rPr>
                <w:sz w:val="4"/>
                <w:szCs w:val="4"/>
              </w:rPr>
            </w:pPr>
          </w:p>
        </w:tc>
        <w:tc>
          <w:tcPr>
            <w:tcW w:w="80" w:type="dxa"/>
            <w:vAlign w:val="bottom"/>
          </w:tcPr>
          <w:p w14:paraId="72F0CB60" w14:textId="77777777" w:rsidR="00D1587D" w:rsidRDefault="00D1587D">
            <w:pPr>
              <w:rPr>
                <w:sz w:val="4"/>
                <w:szCs w:val="4"/>
              </w:rPr>
            </w:pPr>
          </w:p>
        </w:tc>
      </w:tr>
      <w:tr w:rsidR="00D1587D" w14:paraId="2DE293EB" w14:textId="77777777">
        <w:trPr>
          <w:trHeight w:val="304"/>
        </w:trPr>
        <w:tc>
          <w:tcPr>
            <w:tcW w:w="6940" w:type="dxa"/>
            <w:tcBorders>
              <w:bottom w:val="single" w:sz="8" w:space="0" w:color="CCEEFF"/>
            </w:tcBorders>
            <w:shd w:val="clear" w:color="auto" w:fill="CCEEFF"/>
            <w:vAlign w:val="bottom"/>
          </w:tcPr>
          <w:p w14:paraId="7AAC78BC" w14:textId="77777777" w:rsidR="00D1587D" w:rsidRDefault="00410D07">
            <w:pPr>
              <w:rPr>
                <w:sz w:val="20"/>
                <w:szCs w:val="20"/>
              </w:rPr>
            </w:pPr>
            <w:r>
              <w:rPr>
                <w:rFonts w:ascii="Arial" w:eastAsia="Arial" w:hAnsi="Arial" w:cs="Arial"/>
                <w:sz w:val="18"/>
                <w:szCs w:val="18"/>
              </w:rPr>
              <w:t>Repayments of Foreign Facilities</w:t>
            </w:r>
          </w:p>
        </w:tc>
        <w:tc>
          <w:tcPr>
            <w:tcW w:w="980" w:type="dxa"/>
            <w:gridSpan w:val="4"/>
            <w:tcBorders>
              <w:bottom w:val="single" w:sz="8" w:space="0" w:color="CCEEFF"/>
            </w:tcBorders>
            <w:shd w:val="clear" w:color="auto" w:fill="CCEEFF"/>
            <w:vAlign w:val="bottom"/>
          </w:tcPr>
          <w:p w14:paraId="45A0CEEA" w14:textId="77777777" w:rsidR="00D1587D" w:rsidRDefault="00410D07">
            <w:pPr>
              <w:ind w:right="640"/>
              <w:jc w:val="right"/>
              <w:rPr>
                <w:sz w:val="20"/>
                <w:szCs w:val="20"/>
              </w:rPr>
            </w:pPr>
            <w:r>
              <w:rPr>
                <w:rFonts w:ascii="Arial" w:eastAsia="Arial" w:hAnsi="Arial" w:cs="Arial"/>
                <w:sz w:val="18"/>
                <w:szCs w:val="18"/>
              </w:rPr>
              <w:t>—</w:t>
            </w:r>
          </w:p>
        </w:tc>
        <w:tc>
          <w:tcPr>
            <w:tcW w:w="500" w:type="dxa"/>
            <w:gridSpan w:val="2"/>
            <w:tcBorders>
              <w:bottom w:val="single" w:sz="8" w:space="0" w:color="CCEEFF"/>
            </w:tcBorders>
            <w:shd w:val="clear" w:color="auto" w:fill="CCEEFF"/>
            <w:vAlign w:val="bottom"/>
          </w:tcPr>
          <w:p w14:paraId="452EC258" w14:textId="77777777" w:rsidR="00D1587D" w:rsidRDefault="00410D07">
            <w:pPr>
              <w:ind w:right="20"/>
              <w:jc w:val="right"/>
              <w:rPr>
                <w:sz w:val="20"/>
                <w:szCs w:val="20"/>
              </w:rPr>
            </w:pPr>
            <w:r>
              <w:rPr>
                <w:rFonts w:ascii="Arial" w:eastAsia="Arial" w:hAnsi="Arial" w:cs="Arial"/>
                <w:sz w:val="18"/>
                <w:szCs w:val="18"/>
              </w:rPr>
              <w:t>(69)</w:t>
            </w:r>
          </w:p>
        </w:tc>
      </w:tr>
      <w:tr w:rsidR="00D1587D" w14:paraId="7F0278AA" w14:textId="77777777">
        <w:trPr>
          <w:trHeight w:val="256"/>
        </w:trPr>
        <w:tc>
          <w:tcPr>
            <w:tcW w:w="6940" w:type="dxa"/>
            <w:vAlign w:val="bottom"/>
          </w:tcPr>
          <w:p w14:paraId="68517210" w14:textId="77777777" w:rsidR="00D1587D" w:rsidRDefault="00410D07">
            <w:pPr>
              <w:rPr>
                <w:sz w:val="20"/>
                <w:szCs w:val="20"/>
              </w:rPr>
            </w:pPr>
            <w:r>
              <w:rPr>
                <w:rFonts w:ascii="Arial" w:eastAsia="Arial" w:hAnsi="Arial" w:cs="Arial"/>
                <w:sz w:val="18"/>
                <w:szCs w:val="18"/>
              </w:rPr>
              <w:t>Net Transfers from (to) L Brands, Inc.</w:t>
            </w:r>
          </w:p>
        </w:tc>
        <w:tc>
          <w:tcPr>
            <w:tcW w:w="420" w:type="dxa"/>
            <w:gridSpan w:val="3"/>
            <w:vAlign w:val="bottom"/>
          </w:tcPr>
          <w:p w14:paraId="1791CBE6" w14:textId="77777777" w:rsidR="00D1587D" w:rsidRDefault="00410D07">
            <w:pPr>
              <w:ind w:right="20"/>
              <w:jc w:val="right"/>
              <w:rPr>
                <w:sz w:val="20"/>
                <w:szCs w:val="20"/>
              </w:rPr>
            </w:pPr>
            <w:r>
              <w:rPr>
                <w:rFonts w:ascii="Arial" w:eastAsia="Arial" w:hAnsi="Arial" w:cs="Arial"/>
                <w:sz w:val="18"/>
                <w:szCs w:val="18"/>
              </w:rPr>
              <w:t>(88)</w:t>
            </w:r>
          </w:p>
        </w:tc>
        <w:tc>
          <w:tcPr>
            <w:tcW w:w="560" w:type="dxa"/>
            <w:vAlign w:val="bottom"/>
          </w:tcPr>
          <w:p w14:paraId="4F47E23D" w14:textId="77777777" w:rsidR="00D1587D" w:rsidRDefault="00D1587D"/>
        </w:tc>
        <w:tc>
          <w:tcPr>
            <w:tcW w:w="420" w:type="dxa"/>
            <w:vAlign w:val="bottom"/>
          </w:tcPr>
          <w:p w14:paraId="13BF1408" w14:textId="77777777" w:rsidR="00D1587D" w:rsidRDefault="00410D07">
            <w:pPr>
              <w:jc w:val="right"/>
              <w:rPr>
                <w:sz w:val="20"/>
                <w:szCs w:val="20"/>
              </w:rPr>
            </w:pPr>
            <w:r>
              <w:rPr>
                <w:rFonts w:ascii="Arial" w:eastAsia="Arial" w:hAnsi="Arial" w:cs="Arial"/>
                <w:sz w:val="18"/>
                <w:szCs w:val="18"/>
              </w:rPr>
              <w:t>300</w:t>
            </w:r>
          </w:p>
        </w:tc>
        <w:tc>
          <w:tcPr>
            <w:tcW w:w="80" w:type="dxa"/>
            <w:vAlign w:val="bottom"/>
          </w:tcPr>
          <w:p w14:paraId="24703087" w14:textId="77777777" w:rsidR="00D1587D" w:rsidRDefault="00D1587D"/>
        </w:tc>
      </w:tr>
      <w:tr w:rsidR="00D1587D" w14:paraId="773F75AA" w14:textId="77777777">
        <w:trPr>
          <w:trHeight w:val="61"/>
        </w:trPr>
        <w:tc>
          <w:tcPr>
            <w:tcW w:w="6940" w:type="dxa"/>
            <w:vAlign w:val="bottom"/>
          </w:tcPr>
          <w:p w14:paraId="1CDC18DB" w14:textId="77777777" w:rsidR="00D1587D" w:rsidRDefault="00D1587D">
            <w:pPr>
              <w:rPr>
                <w:sz w:val="5"/>
                <w:szCs w:val="5"/>
              </w:rPr>
            </w:pPr>
          </w:p>
        </w:tc>
        <w:tc>
          <w:tcPr>
            <w:tcW w:w="340" w:type="dxa"/>
            <w:tcBorders>
              <w:top w:val="single" w:sz="8" w:space="0" w:color="auto"/>
            </w:tcBorders>
            <w:vAlign w:val="bottom"/>
          </w:tcPr>
          <w:p w14:paraId="42B25037" w14:textId="77777777" w:rsidR="00D1587D" w:rsidRDefault="00D1587D">
            <w:pPr>
              <w:rPr>
                <w:sz w:val="5"/>
                <w:szCs w:val="5"/>
              </w:rPr>
            </w:pPr>
          </w:p>
        </w:tc>
        <w:tc>
          <w:tcPr>
            <w:tcW w:w="20" w:type="dxa"/>
            <w:vAlign w:val="bottom"/>
          </w:tcPr>
          <w:p w14:paraId="4DBC32D5" w14:textId="77777777" w:rsidR="00D1587D" w:rsidRDefault="00D1587D">
            <w:pPr>
              <w:rPr>
                <w:sz w:val="5"/>
                <w:szCs w:val="5"/>
              </w:rPr>
            </w:pPr>
          </w:p>
        </w:tc>
        <w:tc>
          <w:tcPr>
            <w:tcW w:w="60" w:type="dxa"/>
            <w:vAlign w:val="bottom"/>
          </w:tcPr>
          <w:p w14:paraId="47F701F3" w14:textId="77777777" w:rsidR="00D1587D" w:rsidRDefault="00D1587D">
            <w:pPr>
              <w:rPr>
                <w:sz w:val="5"/>
                <w:szCs w:val="5"/>
              </w:rPr>
            </w:pPr>
          </w:p>
        </w:tc>
        <w:tc>
          <w:tcPr>
            <w:tcW w:w="560" w:type="dxa"/>
            <w:vAlign w:val="bottom"/>
          </w:tcPr>
          <w:p w14:paraId="6A12A8AF" w14:textId="77777777" w:rsidR="00D1587D" w:rsidRDefault="00D1587D">
            <w:pPr>
              <w:rPr>
                <w:sz w:val="5"/>
                <w:szCs w:val="5"/>
              </w:rPr>
            </w:pPr>
          </w:p>
        </w:tc>
        <w:tc>
          <w:tcPr>
            <w:tcW w:w="420" w:type="dxa"/>
            <w:tcBorders>
              <w:top w:val="single" w:sz="8" w:space="0" w:color="auto"/>
            </w:tcBorders>
            <w:vAlign w:val="bottom"/>
          </w:tcPr>
          <w:p w14:paraId="68DE2082" w14:textId="77777777" w:rsidR="00D1587D" w:rsidRDefault="00D1587D">
            <w:pPr>
              <w:rPr>
                <w:sz w:val="5"/>
                <w:szCs w:val="5"/>
              </w:rPr>
            </w:pPr>
          </w:p>
        </w:tc>
        <w:tc>
          <w:tcPr>
            <w:tcW w:w="80" w:type="dxa"/>
            <w:vAlign w:val="bottom"/>
          </w:tcPr>
          <w:p w14:paraId="2C91FA63" w14:textId="77777777" w:rsidR="00D1587D" w:rsidRDefault="00D1587D">
            <w:pPr>
              <w:rPr>
                <w:sz w:val="5"/>
                <w:szCs w:val="5"/>
              </w:rPr>
            </w:pPr>
          </w:p>
        </w:tc>
      </w:tr>
      <w:tr w:rsidR="00D1587D" w14:paraId="7BEF501E" w14:textId="77777777">
        <w:trPr>
          <w:trHeight w:val="270"/>
        </w:trPr>
        <w:tc>
          <w:tcPr>
            <w:tcW w:w="6940" w:type="dxa"/>
            <w:shd w:val="clear" w:color="auto" w:fill="CCEEFF"/>
            <w:vAlign w:val="bottom"/>
          </w:tcPr>
          <w:p w14:paraId="5891E275" w14:textId="77777777" w:rsidR="00D1587D" w:rsidRDefault="00410D07">
            <w:pPr>
              <w:rPr>
                <w:sz w:val="20"/>
                <w:szCs w:val="20"/>
              </w:rPr>
            </w:pPr>
            <w:r>
              <w:rPr>
                <w:rFonts w:ascii="Arial" w:eastAsia="Arial" w:hAnsi="Arial" w:cs="Arial"/>
                <w:sz w:val="18"/>
                <w:szCs w:val="18"/>
              </w:rPr>
              <w:t>Net Cash Provided by (Used for) Financing Activities</w:t>
            </w:r>
          </w:p>
        </w:tc>
        <w:tc>
          <w:tcPr>
            <w:tcW w:w="420" w:type="dxa"/>
            <w:gridSpan w:val="3"/>
            <w:shd w:val="clear" w:color="auto" w:fill="CCEEFF"/>
            <w:vAlign w:val="bottom"/>
          </w:tcPr>
          <w:p w14:paraId="6FA98B53" w14:textId="77777777" w:rsidR="00D1587D" w:rsidRDefault="00410D07">
            <w:pPr>
              <w:ind w:right="20"/>
              <w:jc w:val="right"/>
              <w:rPr>
                <w:sz w:val="20"/>
                <w:szCs w:val="20"/>
              </w:rPr>
            </w:pPr>
            <w:r>
              <w:rPr>
                <w:rFonts w:ascii="Arial" w:eastAsia="Arial" w:hAnsi="Arial" w:cs="Arial"/>
                <w:sz w:val="18"/>
                <w:szCs w:val="18"/>
              </w:rPr>
              <w:t>(88)</w:t>
            </w:r>
          </w:p>
        </w:tc>
        <w:tc>
          <w:tcPr>
            <w:tcW w:w="560" w:type="dxa"/>
            <w:shd w:val="clear" w:color="auto" w:fill="CCEEFF"/>
            <w:vAlign w:val="bottom"/>
          </w:tcPr>
          <w:p w14:paraId="5652F3C6" w14:textId="77777777" w:rsidR="00D1587D" w:rsidRDefault="00D1587D">
            <w:pPr>
              <w:rPr>
                <w:sz w:val="23"/>
                <w:szCs w:val="23"/>
              </w:rPr>
            </w:pPr>
          </w:p>
        </w:tc>
        <w:tc>
          <w:tcPr>
            <w:tcW w:w="420" w:type="dxa"/>
            <w:shd w:val="clear" w:color="auto" w:fill="CCEEFF"/>
            <w:vAlign w:val="bottom"/>
          </w:tcPr>
          <w:p w14:paraId="475EE040" w14:textId="77777777" w:rsidR="00D1587D" w:rsidRDefault="00410D07">
            <w:pPr>
              <w:jc w:val="right"/>
              <w:rPr>
                <w:sz w:val="20"/>
                <w:szCs w:val="20"/>
              </w:rPr>
            </w:pPr>
            <w:r>
              <w:rPr>
                <w:rFonts w:ascii="Arial" w:eastAsia="Arial" w:hAnsi="Arial" w:cs="Arial"/>
                <w:sz w:val="18"/>
                <w:szCs w:val="18"/>
              </w:rPr>
              <w:t>254</w:t>
            </w:r>
          </w:p>
        </w:tc>
        <w:tc>
          <w:tcPr>
            <w:tcW w:w="80" w:type="dxa"/>
            <w:shd w:val="clear" w:color="auto" w:fill="CCEEFF"/>
            <w:vAlign w:val="bottom"/>
          </w:tcPr>
          <w:p w14:paraId="1DCDD19E" w14:textId="77777777" w:rsidR="00D1587D" w:rsidRDefault="00D1587D">
            <w:pPr>
              <w:rPr>
                <w:sz w:val="23"/>
                <w:szCs w:val="23"/>
              </w:rPr>
            </w:pPr>
          </w:p>
        </w:tc>
      </w:tr>
      <w:tr w:rsidR="00D1587D" w14:paraId="5702AC3C" w14:textId="77777777">
        <w:trPr>
          <w:trHeight w:val="61"/>
        </w:trPr>
        <w:tc>
          <w:tcPr>
            <w:tcW w:w="6940" w:type="dxa"/>
            <w:tcBorders>
              <w:top w:val="single" w:sz="8" w:space="0" w:color="CCEEFF"/>
            </w:tcBorders>
            <w:shd w:val="clear" w:color="auto" w:fill="CCEEFF"/>
            <w:vAlign w:val="bottom"/>
          </w:tcPr>
          <w:p w14:paraId="26E1982B" w14:textId="77777777" w:rsidR="00D1587D" w:rsidRDefault="00D1587D">
            <w:pPr>
              <w:rPr>
                <w:sz w:val="5"/>
                <w:szCs w:val="5"/>
              </w:rPr>
            </w:pPr>
          </w:p>
        </w:tc>
        <w:tc>
          <w:tcPr>
            <w:tcW w:w="340" w:type="dxa"/>
            <w:tcBorders>
              <w:top w:val="single" w:sz="8" w:space="0" w:color="auto"/>
            </w:tcBorders>
            <w:shd w:val="clear" w:color="auto" w:fill="CCEEFF"/>
            <w:vAlign w:val="bottom"/>
          </w:tcPr>
          <w:p w14:paraId="37977A78" w14:textId="77777777" w:rsidR="00D1587D" w:rsidRDefault="00D1587D">
            <w:pPr>
              <w:rPr>
                <w:sz w:val="5"/>
                <w:szCs w:val="5"/>
              </w:rPr>
            </w:pPr>
          </w:p>
        </w:tc>
        <w:tc>
          <w:tcPr>
            <w:tcW w:w="20" w:type="dxa"/>
            <w:tcBorders>
              <w:top w:val="single" w:sz="8" w:space="0" w:color="CCEEFF"/>
            </w:tcBorders>
            <w:shd w:val="clear" w:color="auto" w:fill="CCEEFF"/>
            <w:vAlign w:val="bottom"/>
          </w:tcPr>
          <w:p w14:paraId="4942270F" w14:textId="77777777" w:rsidR="00D1587D" w:rsidRDefault="00D1587D">
            <w:pPr>
              <w:rPr>
                <w:sz w:val="5"/>
                <w:szCs w:val="5"/>
              </w:rPr>
            </w:pPr>
          </w:p>
        </w:tc>
        <w:tc>
          <w:tcPr>
            <w:tcW w:w="60" w:type="dxa"/>
            <w:tcBorders>
              <w:top w:val="single" w:sz="8" w:space="0" w:color="CCEEFF"/>
            </w:tcBorders>
            <w:shd w:val="clear" w:color="auto" w:fill="CCEEFF"/>
            <w:vAlign w:val="bottom"/>
          </w:tcPr>
          <w:p w14:paraId="09E13FA5" w14:textId="77777777" w:rsidR="00D1587D" w:rsidRDefault="00D1587D">
            <w:pPr>
              <w:rPr>
                <w:sz w:val="5"/>
                <w:szCs w:val="5"/>
              </w:rPr>
            </w:pPr>
          </w:p>
        </w:tc>
        <w:tc>
          <w:tcPr>
            <w:tcW w:w="560" w:type="dxa"/>
            <w:tcBorders>
              <w:top w:val="single" w:sz="8" w:space="0" w:color="CCEEFF"/>
            </w:tcBorders>
            <w:shd w:val="clear" w:color="auto" w:fill="CCEEFF"/>
            <w:vAlign w:val="bottom"/>
          </w:tcPr>
          <w:p w14:paraId="21536493" w14:textId="77777777" w:rsidR="00D1587D" w:rsidRDefault="00D1587D">
            <w:pPr>
              <w:rPr>
                <w:sz w:val="5"/>
                <w:szCs w:val="5"/>
              </w:rPr>
            </w:pPr>
          </w:p>
        </w:tc>
        <w:tc>
          <w:tcPr>
            <w:tcW w:w="420" w:type="dxa"/>
            <w:tcBorders>
              <w:top w:val="single" w:sz="8" w:space="0" w:color="auto"/>
            </w:tcBorders>
            <w:shd w:val="clear" w:color="auto" w:fill="CCEEFF"/>
            <w:vAlign w:val="bottom"/>
          </w:tcPr>
          <w:p w14:paraId="174627C2" w14:textId="77777777" w:rsidR="00D1587D" w:rsidRDefault="00D1587D">
            <w:pPr>
              <w:rPr>
                <w:sz w:val="5"/>
                <w:szCs w:val="5"/>
              </w:rPr>
            </w:pPr>
          </w:p>
        </w:tc>
        <w:tc>
          <w:tcPr>
            <w:tcW w:w="80" w:type="dxa"/>
            <w:tcBorders>
              <w:top w:val="single" w:sz="8" w:space="0" w:color="CCEEFF"/>
            </w:tcBorders>
            <w:shd w:val="clear" w:color="auto" w:fill="CCEEFF"/>
            <w:vAlign w:val="bottom"/>
          </w:tcPr>
          <w:p w14:paraId="796FF479" w14:textId="77777777" w:rsidR="00D1587D" w:rsidRDefault="00D1587D">
            <w:pPr>
              <w:rPr>
                <w:sz w:val="5"/>
                <w:szCs w:val="5"/>
              </w:rPr>
            </w:pPr>
          </w:p>
        </w:tc>
      </w:tr>
      <w:tr w:rsidR="00D1587D" w14:paraId="79C6FF74" w14:textId="77777777">
        <w:trPr>
          <w:trHeight w:val="284"/>
        </w:trPr>
        <w:tc>
          <w:tcPr>
            <w:tcW w:w="6940" w:type="dxa"/>
            <w:vAlign w:val="bottom"/>
          </w:tcPr>
          <w:p w14:paraId="1C965164" w14:textId="77777777" w:rsidR="00D1587D" w:rsidRDefault="00410D07">
            <w:pPr>
              <w:rPr>
                <w:sz w:val="20"/>
                <w:szCs w:val="20"/>
              </w:rPr>
            </w:pPr>
            <w:r>
              <w:rPr>
                <w:rFonts w:ascii="Arial" w:eastAsia="Arial" w:hAnsi="Arial" w:cs="Arial"/>
                <w:sz w:val="18"/>
                <w:szCs w:val="18"/>
              </w:rPr>
              <w:t>Effects of Exchange Rate Changes on Cash and Cash Equivalents</w:t>
            </w:r>
          </w:p>
        </w:tc>
        <w:tc>
          <w:tcPr>
            <w:tcW w:w="360" w:type="dxa"/>
            <w:gridSpan w:val="2"/>
            <w:vAlign w:val="bottom"/>
          </w:tcPr>
          <w:p w14:paraId="4DBD29C4" w14:textId="77777777" w:rsidR="00D1587D" w:rsidRDefault="00410D07">
            <w:pPr>
              <w:jc w:val="right"/>
              <w:rPr>
                <w:sz w:val="20"/>
                <w:szCs w:val="20"/>
              </w:rPr>
            </w:pPr>
            <w:r>
              <w:rPr>
                <w:rFonts w:ascii="Arial" w:eastAsia="Arial" w:hAnsi="Arial" w:cs="Arial"/>
                <w:sz w:val="18"/>
                <w:szCs w:val="18"/>
              </w:rPr>
              <w:t>2</w:t>
            </w:r>
          </w:p>
        </w:tc>
        <w:tc>
          <w:tcPr>
            <w:tcW w:w="60" w:type="dxa"/>
            <w:vAlign w:val="bottom"/>
          </w:tcPr>
          <w:p w14:paraId="6CF82622" w14:textId="77777777" w:rsidR="00D1587D" w:rsidRDefault="00D1587D">
            <w:pPr>
              <w:rPr>
                <w:sz w:val="24"/>
                <w:szCs w:val="24"/>
              </w:rPr>
            </w:pPr>
          </w:p>
        </w:tc>
        <w:tc>
          <w:tcPr>
            <w:tcW w:w="560" w:type="dxa"/>
            <w:vAlign w:val="bottom"/>
          </w:tcPr>
          <w:p w14:paraId="06DBCFB4" w14:textId="77777777" w:rsidR="00D1587D" w:rsidRDefault="00D1587D">
            <w:pPr>
              <w:rPr>
                <w:sz w:val="24"/>
                <w:szCs w:val="24"/>
              </w:rPr>
            </w:pPr>
          </w:p>
        </w:tc>
        <w:tc>
          <w:tcPr>
            <w:tcW w:w="500" w:type="dxa"/>
            <w:gridSpan w:val="2"/>
            <w:vAlign w:val="bottom"/>
          </w:tcPr>
          <w:p w14:paraId="39BBEEDA" w14:textId="77777777" w:rsidR="00D1587D" w:rsidRDefault="00410D07">
            <w:pPr>
              <w:ind w:right="20"/>
              <w:jc w:val="right"/>
              <w:rPr>
                <w:sz w:val="20"/>
                <w:szCs w:val="20"/>
              </w:rPr>
            </w:pPr>
            <w:r>
              <w:rPr>
                <w:rFonts w:ascii="Arial" w:eastAsia="Arial" w:hAnsi="Arial" w:cs="Arial"/>
                <w:sz w:val="18"/>
                <w:szCs w:val="18"/>
              </w:rPr>
              <w:t>(2)</w:t>
            </w:r>
          </w:p>
        </w:tc>
      </w:tr>
      <w:tr w:rsidR="00D1587D" w14:paraId="5D9CF34F" w14:textId="77777777">
        <w:trPr>
          <w:trHeight w:val="54"/>
        </w:trPr>
        <w:tc>
          <w:tcPr>
            <w:tcW w:w="6940" w:type="dxa"/>
            <w:vAlign w:val="bottom"/>
          </w:tcPr>
          <w:p w14:paraId="6242F24F" w14:textId="77777777" w:rsidR="00D1587D" w:rsidRDefault="00D1587D">
            <w:pPr>
              <w:rPr>
                <w:sz w:val="4"/>
                <w:szCs w:val="4"/>
              </w:rPr>
            </w:pPr>
          </w:p>
        </w:tc>
        <w:tc>
          <w:tcPr>
            <w:tcW w:w="340" w:type="dxa"/>
            <w:vAlign w:val="bottom"/>
          </w:tcPr>
          <w:p w14:paraId="3D56B391" w14:textId="77777777" w:rsidR="00D1587D" w:rsidRDefault="00D1587D">
            <w:pPr>
              <w:rPr>
                <w:sz w:val="4"/>
                <w:szCs w:val="4"/>
              </w:rPr>
            </w:pPr>
          </w:p>
        </w:tc>
        <w:tc>
          <w:tcPr>
            <w:tcW w:w="20" w:type="dxa"/>
            <w:vAlign w:val="bottom"/>
          </w:tcPr>
          <w:p w14:paraId="4233869C" w14:textId="77777777" w:rsidR="00D1587D" w:rsidRDefault="00D1587D">
            <w:pPr>
              <w:rPr>
                <w:sz w:val="4"/>
                <w:szCs w:val="4"/>
              </w:rPr>
            </w:pPr>
          </w:p>
        </w:tc>
        <w:tc>
          <w:tcPr>
            <w:tcW w:w="60" w:type="dxa"/>
            <w:vAlign w:val="bottom"/>
          </w:tcPr>
          <w:p w14:paraId="4DBFECB5" w14:textId="77777777" w:rsidR="00D1587D" w:rsidRDefault="00D1587D">
            <w:pPr>
              <w:rPr>
                <w:sz w:val="4"/>
                <w:szCs w:val="4"/>
              </w:rPr>
            </w:pPr>
          </w:p>
        </w:tc>
        <w:tc>
          <w:tcPr>
            <w:tcW w:w="560" w:type="dxa"/>
            <w:vAlign w:val="bottom"/>
          </w:tcPr>
          <w:p w14:paraId="56E8B405" w14:textId="77777777" w:rsidR="00D1587D" w:rsidRDefault="00D1587D">
            <w:pPr>
              <w:rPr>
                <w:sz w:val="4"/>
                <w:szCs w:val="4"/>
              </w:rPr>
            </w:pPr>
          </w:p>
        </w:tc>
        <w:tc>
          <w:tcPr>
            <w:tcW w:w="420" w:type="dxa"/>
            <w:vAlign w:val="bottom"/>
          </w:tcPr>
          <w:p w14:paraId="384EFC9B" w14:textId="77777777" w:rsidR="00D1587D" w:rsidRDefault="00D1587D">
            <w:pPr>
              <w:rPr>
                <w:sz w:val="4"/>
                <w:szCs w:val="4"/>
              </w:rPr>
            </w:pPr>
          </w:p>
        </w:tc>
        <w:tc>
          <w:tcPr>
            <w:tcW w:w="80" w:type="dxa"/>
            <w:vAlign w:val="bottom"/>
          </w:tcPr>
          <w:p w14:paraId="493DA983" w14:textId="77777777" w:rsidR="00D1587D" w:rsidRDefault="00D1587D">
            <w:pPr>
              <w:rPr>
                <w:sz w:val="4"/>
                <w:szCs w:val="4"/>
              </w:rPr>
            </w:pPr>
          </w:p>
        </w:tc>
      </w:tr>
      <w:tr w:rsidR="00D1587D" w14:paraId="79D65F43" w14:textId="77777777">
        <w:trPr>
          <w:trHeight w:val="304"/>
        </w:trPr>
        <w:tc>
          <w:tcPr>
            <w:tcW w:w="6940" w:type="dxa"/>
            <w:tcBorders>
              <w:bottom w:val="single" w:sz="8" w:space="0" w:color="CCEEFF"/>
            </w:tcBorders>
            <w:shd w:val="clear" w:color="auto" w:fill="CCEEFF"/>
            <w:vAlign w:val="bottom"/>
          </w:tcPr>
          <w:p w14:paraId="692F0D0A" w14:textId="77777777" w:rsidR="00D1587D" w:rsidRDefault="00410D07">
            <w:pPr>
              <w:rPr>
                <w:sz w:val="20"/>
                <w:szCs w:val="20"/>
              </w:rPr>
            </w:pPr>
            <w:r>
              <w:rPr>
                <w:rFonts w:ascii="Arial" w:eastAsia="Arial" w:hAnsi="Arial" w:cs="Arial"/>
                <w:sz w:val="18"/>
                <w:szCs w:val="18"/>
              </w:rPr>
              <w:t>Net Decrease in Cash and Cash Equivalents</w:t>
            </w:r>
          </w:p>
        </w:tc>
        <w:tc>
          <w:tcPr>
            <w:tcW w:w="420" w:type="dxa"/>
            <w:gridSpan w:val="3"/>
            <w:tcBorders>
              <w:bottom w:val="single" w:sz="8" w:space="0" w:color="CCEEFF"/>
            </w:tcBorders>
            <w:shd w:val="clear" w:color="auto" w:fill="CCEEFF"/>
            <w:vAlign w:val="bottom"/>
          </w:tcPr>
          <w:p w14:paraId="4D1435B0" w14:textId="77777777" w:rsidR="00D1587D" w:rsidRDefault="00410D07">
            <w:pPr>
              <w:ind w:right="20"/>
              <w:jc w:val="right"/>
              <w:rPr>
                <w:sz w:val="20"/>
                <w:szCs w:val="20"/>
              </w:rPr>
            </w:pPr>
            <w:r>
              <w:rPr>
                <w:rFonts w:ascii="Arial" w:eastAsia="Arial" w:hAnsi="Arial" w:cs="Arial"/>
                <w:sz w:val="18"/>
                <w:szCs w:val="18"/>
              </w:rPr>
              <w:t>(3)</w:t>
            </w:r>
          </w:p>
        </w:tc>
        <w:tc>
          <w:tcPr>
            <w:tcW w:w="560" w:type="dxa"/>
            <w:tcBorders>
              <w:bottom w:val="single" w:sz="8" w:space="0" w:color="CCEEFF"/>
            </w:tcBorders>
            <w:shd w:val="clear" w:color="auto" w:fill="CCEEFF"/>
            <w:vAlign w:val="bottom"/>
          </w:tcPr>
          <w:p w14:paraId="1B5C80D9" w14:textId="77777777" w:rsidR="00D1587D" w:rsidRDefault="00D1587D">
            <w:pPr>
              <w:rPr>
                <w:sz w:val="24"/>
                <w:szCs w:val="24"/>
              </w:rPr>
            </w:pPr>
          </w:p>
        </w:tc>
        <w:tc>
          <w:tcPr>
            <w:tcW w:w="500" w:type="dxa"/>
            <w:gridSpan w:val="2"/>
            <w:tcBorders>
              <w:bottom w:val="single" w:sz="8" w:space="0" w:color="CCEEFF"/>
            </w:tcBorders>
            <w:shd w:val="clear" w:color="auto" w:fill="CCEEFF"/>
            <w:vAlign w:val="bottom"/>
          </w:tcPr>
          <w:p w14:paraId="46C7CB7D" w14:textId="77777777" w:rsidR="00D1587D" w:rsidRDefault="00410D07">
            <w:pPr>
              <w:ind w:right="20"/>
              <w:jc w:val="right"/>
              <w:rPr>
                <w:sz w:val="20"/>
                <w:szCs w:val="20"/>
              </w:rPr>
            </w:pPr>
            <w:r>
              <w:rPr>
                <w:rFonts w:ascii="Arial" w:eastAsia="Arial" w:hAnsi="Arial" w:cs="Arial"/>
                <w:sz w:val="18"/>
                <w:szCs w:val="18"/>
              </w:rPr>
              <w:t>(76)</w:t>
            </w:r>
          </w:p>
        </w:tc>
      </w:tr>
      <w:tr w:rsidR="00D1587D" w14:paraId="2D31CF27" w14:textId="77777777">
        <w:trPr>
          <w:trHeight w:val="257"/>
        </w:trPr>
        <w:tc>
          <w:tcPr>
            <w:tcW w:w="6940" w:type="dxa"/>
            <w:vAlign w:val="bottom"/>
          </w:tcPr>
          <w:p w14:paraId="301179EA" w14:textId="77777777" w:rsidR="00D1587D" w:rsidRDefault="00410D07">
            <w:pPr>
              <w:rPr>
                <w:sz w:val="20"/>
                <w:szCs w:val="20"/>
              </w:rPr>
            </w:pPr>
            <w:r>
              <w:rPr>
                <w:rFonts w:ascii="Arial" w:eastAsia="Arial" w:hAnsi="Arial" w:cs="Arial"/>
                <w:sz w:val="18"/>
                <w:szCs w:val="18"/>
              </w:rPr>
              <w:t xml:space="preserve">Cash and Cash Equivalents, </w:t>
            </w:r>
            <w:r>
              <w:rPr>
                <w:rFonts w:ascii="Arial" w:eastAsia="Arial" w:hAnsi="Arial" w:cs="Arial"/>
                <w:sz w:val="18"/>
                <w:szCs w:val="18"/>
              </w:rPr>
              <w:t>Beginning of the Period</w:t>
            </w:r>
          </w:p>
        </w:tc>
        <w:tc>
          <w:tcPr>
            <w:tcW w:w="360" w:type="dxa"/>
            <w:gridSpan w:val="2"/>
            <w:vAlign w:val="bottom"/>
          </w:tcPr>
          <w:p w14:paraId="297EC121" w14:textId="77777777" w:rsidR="00D1587D" w:rsidRDefault="00410D07">
            <w:pPr>
              <w:ind w:right="20"/>
              <w:jc w:val="right"/>
              <w:rPr>
                <w:sz w:val="20"/>
                <w:szCs w:val="20"/>
              </w:rPr>
            </w:pPr>
            <w:r>
              <w:rPr>
                <w:rFonts w:ascii="Arial" w:eastAsia="Arial" w:hAnsi="Arial" w:cs="Arial"/>
                <w:sz w:val="18"/>
                <w:szCs w:val="18"/>
              </w:rPr>
              <w:t>335</w:t>
            </w:r>
          </w:p>
        </w:tc>
        <w:tc>
          <w:tcPr>
            <w:tcW w:w="60" w:type="dxa"/>
            <w:vAlign w:val="bottom"/>
          </w:tcPr>
          <w:p w14:paraId="7EC3CE86" w14:textId="77777777" w:rsidR="00D1587D" w:rsidRDefault="00D1587D"/>
        </w:tc>
        <w:tc>
          <w:tcPr>
            <w:tcW w:w="560" w:type="dxa"/>
            <w:vAlign w:val="bottom"/>
          </w:tcPr>
          <w:p w14:paraId="38D6EC15" w14:textId="77777777" w:rsidR="00D1587D" w:rsidRDefault="00D1587D"/>
        </w:tc>
        <w:tc>
          <w:tcPr>
            <w:tcW w:w="420" w:type="dxa"/>
            <w:vAlign w:val="bottom"/>
          </w:tcPr>
          <w:p w14:paraId="282BAFC8" w14:textId="77777777" w:rsidR="00D1587D" w:rsidRDefault="00410D07">
            <w:pPr>
              <w:jc w:val="right"/>
              <w:rPr>
                <w:sz w:val="20"/>
                <w:szCs w:val="20"/>
              </w:rPr>
            </w:pPr>
            <w:r>
              <w:rPr>
                <w:rFonts w:ascii="Arial" w:eastAsia="Arial" w:hAnsi="Arial" w:cs="Arial"/>
                <w:sz w:val="18"/>
                <w:szCs w:val="18"/>
              </w:rPr>
              <w:t>245</w:t>
            </w:r>
          </w:p>
        </w:tc>
        <w:tc>
          <w:tcPr>
            <w:tcW w:w="80" w:type="dxa"/>
            <w:vAlign w:val="bottom"/>
          </w:tcPr>
          <w:p w14:paraId="2F035071" w14:textId="77777777" w:rsidR="00D1587D" w:rsidRDefault="00D1587D"/>
        </w:tc>
      </w:tr>
      <w:tr w:rsidR="00D1587D" w14:paraId="5C7ABD7C" w14:textId="77777777">
        <w:trPr>
          <w:trHeight w:val="61"/>
        </w:trPr>
        <w:tc>
          <w:tcPr>
            <w:tcW w:w="6940" w:type="dxa"/>
            <w:vAlign w:val="bottom"/>
          </w:tcPr>
          <w:p w14:paraId="6AE4C54F" w14:textId="77777777" w:rsidR="00D1587D" w:rsidRDefault="00D1587D">
            <w:pPr>
              <w:rPr>
                <w:sz w:val="5"/>
                <w:szCs w:val="5"/>
              </w:rPr>
            </w:pPr>
          </w:p>
        </w:tc>
        <w:tc>
          <w:tcPr>
            <w:tcW w:w="340" w:type="dxa"/>
            <w:tcBorders>
              <w:top w:val="single" w:sz="8" w:space="0" w:color="auto"/>
            </w:tcBorders>
            <w:vAlign w:val="bottom"/>
          </w:tcPr>
          <w:p w14:paraId="6572661A" w14:textId="77777777" w:rsidR="00D1587D" w:rsidRDefault="00D1587D">
            <w:pPr>
              <w:rPr>
                <w:sz w:val="5"/>
                <w:szCs w:val="5"/>
              </w:rPr>
            </w:pPr>
          </w:p>
        </w:tc>
        <w:tc>
          <w:tcPr>
            <w:tcW w:w="20" w:type="dxa"/>
            <w:vAlign w:val="bottom"/>
          </w:tcPr>
          <w:p w14:paraId="70C3DDC4" w14:textId="77777777" w:rsidR="00D1587D" w:rsidRDefault="00D1587D">
            <w:pPr>
              <w:rPr>
                <w:sz w:val="5"/>
                <w:szCs w:val="5"/>
              </w:rPr>
            </w:pPr>
          </w:p>
        </w:tc>
        <w:tc>
          <w:tcPr>
            <w:tcW w:w="60" w:type="dxa"/>
            <w:vAlign w:val="bottom"/>
          </w:tcPr>
          <w:p w14:paraId="251F9EBE" w14:textId="77777777" w:rsidR="00D1587D" w:rsidRDefault="00D1587D">
            <w:pPr>
              <w:rPr>
                <w:sz w:val="5"/>
                <w:szCs w:val="5"/>
              </w:rPr>
            </w:pPr>
          </w:p>
        </w:tc>
        <w:tc>
          <w:tcPr>
            <w:tcW w:w="560" w:type="dxa"/>
            <w:vAlign w:val="bottom"/>
          </w:tcPr>
          <w:p w14:paraId="4919A049" w14:textId="77777777" w:rsidR="00D1587D" w:rsidRDefault="00D1587D">
            <w:pPr>
              <w:rPr>
                <w:sz w:val="5"/>
                <w:szCs w:val="5"/>
              </w:rPr>
            </w:pPr>
          </w:p>
        </w:tc>
        <w:tc>
          <w:tcPr>
            <w:tcW w:w="420" w:type="dxa"/>
            <w:tcBorders>
              <w:top w:val="single" w:sz="8" w:space="0" w:color="auto"/>
            </w:tcBorders>
            <w:vAlign w:val="bottom"/>
          </w:tcPr>
          <w:p w14:paraId="7726F25F" w14:textId="77777777" w:rsidR="00D1587D" w:rsidRDefault="00D1587D">
            <w:pPr>
              <w:rPr>
                <w:sz w:val="5"/>
                <w:szCs w:val="5"/>
              </w:rPr>
            </w:pPr>
          </w:p>
        </w:tc>
        <w:tc>
          <w:tcPr>
            <w:tcW w:w="80" w:type="dxa"/>
            <w:vAlign w:val="bottom"/>
          </w:tcPr>
          <w:p w14:paraId="2C2D2F42" w14:textId="77777777" w:rsidR="00D1587D" w:rsidRDefault="00D1587D">
            <w:pPr>
              <w:rPr>
                <w:sz w:val="5"/>
                <w:szCs w:val="5"/>
              </w:rPr>
            </w:pPr>
          </w:p>
        </w:tc>
      </w:tr>
      <w:tr w:rsidR="00D1587D" w14:paraId="18CB3EA2" w14:textId="77777777">
        <w:trPr>
          <w:trHeight w:val="318"/>
        </w:trPr>
        <w:tc>
          <w:tcPr>
            <w:tcW w:w="6940" w:type="dxa"/>
            <w:tcBorders>
              <w:bottom w:val="single" w:sz="8" w:space="0" w:color="CCEEFF"/>
            </w:tcBorders>
            <w:shd w:val="clear" w:color="auto" w:fill="CCEEFF"/>
            <w:vAlign w:val="bottom"/>
          </w:tcPr>
          <w:p w14:paraId="6BC414F6" w14:textId="77777777" w:rsidR="00D1587D" w:rsidRDefault="00410D07">
            <w:pPr>
              <w:rPr>
                <w:sz w:val="20"/>
                <w:szCs w:val="20"/>
              </w:rPr>
            </w:pPr>
            <w:r>
              <w:rPr>
                <w:rFonts w:ascii="Arial" w:eastAsia="Arial" w:hAnsi="Arial" w:cs="Arial"/>
                <w:sz w:val="18"/>
                <w:szCs w:val="18"/>
              </w:rPr>
              <w:t>Cash and Cash Equivalents, End of Period</w:t>
            </w:r>
          </w:p>
        </w:tc>
        <w:tc>
          <w:tcPr>
            <w:tcW w:w="360" w:type="dxa"/>
            <w:gridSpan w:val="2"/>
            <w:tcBorders>
              <w:bottom w:val="single" w:sz="8" w:space="0" w:color="auto"/>
            </w:tcBorders>
            <w:shd w:val="clear" w:color="auto" w:fill="CCEEFF"/>
            <w:vAlign w:val="bottom"/>
          </w:tcPr>
          <w:p w14:paraId="5C65162E" w14:textId="77777777" w:rsidR="00D1587D" w:rsidRDefault="00410D07">
            <w:pPr>
              <w:jc w:val="right"/>
              <w:rPr>
                <w:sz w:val="20"/>
                <w:szCs w:val="20"/>
              </w:rPr>
            </w:pPr>
            <w:r>
              <w:rPr>
                <w:rFonts w:ascii="Arial" w:eastAsia="Arial" w:hAnsi="Arial" w:cs="Arial"/>
                <w:w w:val="84"/>
                <w:sz w:val="18"/>
                <w:szCs w:val="18"/>
                <w:u w:val="single"/>
              </w:rPr>
              <w:t>$</w:t>
            </w:r>
            <w:r>
              <w:rPr>
                <w:rFonts w:ascii="Arial" w:eastAsia="Arial" w:hAnsi="Arial" w:cs="Arial"/>
                <w:w w:val="84"/>
                <w:sz w:val="18"/>
                <w:szCs w:val="18"/>
              </w:rPr>
              <w:t>332</w:t>
            </w:r>
          </w:p>
        </w:tc>
        <w:tc>
          <w:tcPr>
            <w:tcW w:w="60" w:type="dxa"/>
            <w:tcBorders>
              <w:bottom w:val="single" w:sz="8" w:space="0" w:color="CCEEFF"/>
            </w:tcBorders>
            <w:shd w:val="clear" w:color="auto" w:fill="CCEEFF"/>
            <w:vAlign w:val="bottom"/>
          </w:tcPr>
          <w:p w14:paraId="2D10C372" w14:textId="77777777" w:rsidR="00D1587D" w:rsidRDefault="00D1587D">
            <w:pPr>
              <w:rPr>
                <w:sz w:val="24"/>
                <w:szCs w:val="24"/>
              </w:rPr>
            </w:pPr>
          </w:p>
        </w:tc>
        <w:tc>
          <w:tcPr>
            <w:tcW w:w="560" w:type="dxa"/>
            <w:tcBorders>
              <w:bottom w:val="single" w:sz="8" w:space="0" w:color="CCEEFF"/>
            </w:tcBorders>
            <w:shd w:val="clear" w:color="auto" w:fill="CCEEFF"/>
            <w:vAlign w:val="bottom"/>
          </w:tcPr>
          <w:p w14:paraId="7726B2FE" w14:textId="77777777" w:rsidR="00D1587D" w:rsidRDefault="00D1587D">
            <w:pPr>
              <w:rPr>
                <w:sz w:val="24"/>
                <w:szCs w:val="24"/>
              </w:rPr>
            </w:pPr>
          </w:p>
        </w:tc>
        <w:tc>
          <w:tcPr>
            <w:tcW w:w="420" w:type="dxa"/>
            <w:tcBorders>
              <w:bottom w:val="single" w:sz="8" w:space="0" w:color="auto"/>
            </w:tcBorders>
            <w:shd w:val="clear" w:color="auto" w:fill="CCEEFF"/>
            <w:vAlign w:val="bottom"/>
          </w:tcPr>
          <w:p w14:paraId="22ADBE86" w14:textId="77777777" w:rsidR="00D1587D" w:rsidRDefault="00410D07">
            <w:pPr>
              <w:jc w:val="right"/>
              <w:rPr>
                <w:sz w:val="20"/>
                <w:szCs w:val="20"/>
              </w:rPr>
            </w:pPr>
            <w:r>
              <w:rPr>
                <w:rFonts w:ascii="Arial" w:eastAsia="Arial" w:hAnsi="Arial" w:cs="Arial"/>
                <w:w w:val="88"/>
                <w:sz w:val="18"/>
                <w:szCs w:val="18"/>
              </w:rPr>
              <w:t>$ 169</w:t>
            </w:r>
          </w:p>
        </w:tc>
        <w:tc>
          <w:tcPr>
            <w:tcW w:w="80" w:type="dxa"/>
            <w:tcBorders>
              <w:bottom w:val="single" w:sz="8" w:space="0" w:color="CCEEFF"/>
            </w:tcBorders>
            <w:shd w:val="clear" w:color="auto" w:fill="CCEEFF"/>
            <w:vAlign w:val="bottom"/>
          </w:tcPr>
          <w:p w14:paraId="7E72E514" w14:textId="77777777" w:rsidR="00D1587D" w:rsidRDefault="00D1587D">
            <w:pPr>
              <w:rPr>
                <w:sz w:val="24"/>
                <w:szCs w:val="24"/>
              </w:rPr>
            </w:pPr>
          </w:p>
        </w:tc>
      </w:tr>
    </w:tbl>
    <w:p w14:paraId="482E84D3" w14:textId="77777777" w:rsidR="00D1587D" w:rsidRDefault="00410D07">
      <w:pPr>
        <w:spacing w:line="20" w:lineRule="exact"/>
        <w:rPr>
          <w:sz w:val="20"/>
          <w:szCs w:val="20"/>
        </w:rPr>
      </w:pPr>
      <w:r>
        <w:rPr>
          <w:noProof/>
          <w:sz w:val="20"/>
          <w:szCs w:val="20"/>
        </w:rPr>
        <w:drawing>
          <wp:anchor distT="0" distB="0" distL="114300" distR="114300" simplePos="0" relativeHeight="252149760" behindDoc="1" locked="0" layoutInCell="0" allowOverlap="1" wp14:anchorId="64AB5E82" wp14:editId="1D559DE9">
            <wp:simplePos x="0" y="0"/>
            <wp:positionH relativeFrom="column">
              <wp:posOffset>4866005</wp:posOffset>
            </wp:positionH>
            <wp:positionV relativeFrom="paragraph">
              <wp:posOffset>-5828665</wp:posOffset>
            </wp:positionV>
            <wp:extent cx="360045" cy="8255"/>
            <wp:effectExtent l="0" t="0" r="0" b="0"/>
            <wp:wrapNone/>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72"/>
                    <a:srcRect/>
                    <a:stretch>
                      <a:fillRect/>
                    </a:stretch>
                  </pic:blipFill>
                  <pic:spPr bwMode="auto">
                    <a:xfrm>
                      <a:off x="0" y="0"/>
                      <a:ext cx="360045" cy="8255"/>
                    </a:xfrm>
                    <a:prstGeom prst="rect">
                      <a:avLst/>
                    </a:prstGeom>
                    <a:noFill/>
                  </pic:spPr>
                </pic:pic>
              </a:graphicData>
            </a:graphic>
          </wp:anchor>
        </w:drawing>
      </w:r>
      <w:r>
        <w:rPr>
          <w:noProof/>
          <w:sz w:val="20"/>
          <w:szCs w:val="20"/>
        </w:rPr>
        <w:drawing>
          <wp:anchor distT="0" distB="0" distL="114300" distR="114300" simplePos="0" relativeHeight="252150784" behindDoc="1" locked="0" layoutInCell="0" allowOverlap="1" wp14:anchorId="7897B0B5" wp14:editId="6E631161">
            <wp:simplePos x="0" y="0"/>
            <wp:positionH relativeFrom="column">
              <wp:posOffset>4411345</wp:posOffset>
            </wp:positionH>
            <wp:positionV relativeFrom="paragraph">
              <wp:posOffset>-5828665</wp:posOffset>
            </wp:positionV>
            <wp:extent cx="180340" cy="8255"/>
            <wp:effectExtent l="0" t="0" r="0" b="0"/>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73"/>
                    <a:srcRect/>
                    <a:stretch>
                      <a:fillRect/>
                    </a:stretch>
                  </pic:blipFill>
                  <pic:spPr bwMode="auto">
                    <a:xfrm>
                      <a:off x="0" y="0"/>
                      <a:ext cx="180340" cy="8255"/>
                    </a:xfrm>
                    <a:prstGeom prst="rect">
                      <a:avLst/>
                    </a:prstGeom>
                    <a:noFill/>
                  </pic:spPr>
                </pic:pic>
              </a:graphicData>
            </a:graphic>
          </wp:anchor>
        </w:drawing>
      </w:r>
    </w:p>
    <w:p w14:paraId="3BAA606E" w14:textId="77777777" w:rsidR="00D1587D" w:rsidRDefault="00D1587D">
      <w:pPr>
        <w:spacing w:line="200" w:lineRule="exact"/>
        <w:rPr>
          <w:sz w:val="20"/>
          <w:szCs w:val="20"/>
        </w:rPr>
      </w:pPr>
    </w:p>
    <w:p w14:paraId="12422445" w14:textId="77777777" w:rsidR="00D1587D" w:rsidRDefault="00D1587D">
      <w:pPr>
        <w:spacing w:line="306" w:lineRule="exact"/>
        <w:rPr>
          <w:sz w:val="20"/>
          <w:szCs w:val="20"/>
        </w:rPr>
      </w:pPr>
    </w:p>
    <w:p w14:paraId="0E762969" w14:textId="77777777" w:rsidR="00D1587D" w:rsidRDefault="00410D07">
      <w:pPr>
        <w:jc w:val="center"/>
        <w:rPr>
          <w:sz w:val="20"/>
          <w:szCs w:val="20"/>
        </w:rPr>
      </w:pPr>
      <w:r>
        <w:rPr>
          <w:rFonts w:ascii="Arial" w:eastAsia="Arial" w:hAnsi="Arial" w:cs="Arial"/>
          <w:i/>
          <w:iCs/>
          <w:sz w:val="18"/>
          <w:szCs w:val="18"/>
        </w:rPr>
        <w:t>The accompanying notes are an integral part of these financial statements.</w:t>
      </w:r>
    </w:p>
    <w:p w14:paraId="661F596A" w14:textId="77777777" w:rsidR="00D1587D" w:rsidRDefault="00D1587D">
      <w:pPr>
        <w:spacing w:line="225" w:lineRule="exact"/>
        <w:rPr>
          <w:sz w:val="20"/>
          <w:szCs w:val="20"/>
        </w:rPr>
      </w:pPr>
    </w:p>
    <w:p w14:paraId="5BB62128" w14:textId="77777777" w:rsidR="00D1587D" w:rsidRDefault="00410D07">
      <w:pPr>
        <w:jc w:val="center"/>
        <w:rPr>
          <w:sz w:val="20"/>
          <w:szCs w:val="20"/>
        </w:rPr>
      </w:pPr>
      <w:r>
        <w:rPr>
          <w:rFonts w:ascii="Arial" w:eastAsia="Arial" w:hAnsi="Arial" w:cs="Arial"/>
          <w:sz w:val="18"/>
          <w:szCs w:val="18"/>
        </w:rPr>
        <w:t>F-31</w:t>
      </w:r>
    </w:p>
    <w:p w14:paraId="7522D9B7" w14:textId="77777777" w:rsidR="00D1587D" w:rsidRDefault="00410D07">
      <w:pPr>
        <w:spacing w:line="20" w:lineRule="exact"/>
        <w:rPr>
          <w:sz w:val="20"/>
          <w:szCs w:val="20"/>
        </w:rPr>
      </w:pPr>
      <w:r>
        <w:rPr>
          <w:noProof/>
          <w:sz w:val="20"/>
          <w:szCs w:val="20"/>
        </w:rPr>
        <w:drawing>
          <wp:anchor distT="0" distB="0" distL="114300" distR="114300" simplePos="0" relativeHeight="252151808" behindDoc="1" locked="0" layoutInCell="0" allowOverlap="1" wp14:anchorId="699E995E" wp14:editId="046E90FB">
            <wp:simplePos x="0" y="0"/>
            <wp:positionH relativeFrom="column">
              <wp:posOffset>-636905</wp:posOffset>
            </wp:positionH>
            <wp:positionV relativeFrom="paragraph">
              <wp:posOffset>134620</wp:posOffset>
            </wp:positionV>
            <wp:extent cx="6995160" cy="17145"/>
            <wp:effectExtent l="0" t="0" r="0" b="0"/>
            <wp:wrapNone/>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550727AF" w14:textId="77777777" w:rsidR="00D1587D" w:rsidRDefault="00D1587D">
      <w:pPr>
        <w:sectPr w:rsidR="00D1587D">
          <w:pgSz w:w="11900" w:h="16838"/>
          <w:pgMar w:top="265" w:right="1440" w:bottom="1440" w:left="1440" w:header="0" w:footer="0" w:gutter="0"/>
          <w:cols w:space="720" w:equalWidth="0">
            <w:col w:w="9019"/>
          </w:cols>
        </w:sectPr>
      </w:pPr>
    </w:p>
    <w:bookmarkStart w:id="427" w:name="page428"/>
    <w:bookmarkEnd w:id="427"/>
    <w:p w14:paraId="0E8A3520"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724CA37" w14:textId="77777777" w:rsidR="00D1587D" w:rsidRDefault="00D1587D">
      <w:pPr>
        <w:spacing w:line="127" w:lineRule="exact"/>
        <w:rPr>
          <w:sz w:val="20"/>
          <w:szCs w:val="20"/>
        </w:rPr>
      </w:pPr>
    </w:p>
    <w:p w14:paraId="096E85A9"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700A6A86" w14:textId="77777777" w:rsidR="00D1587D" w:rsidRDefault="00D1587D">
      <w:pPr>
        <w:spacing w:line="27" w:lineRule="exact"/>
        <w:rPr>
          <w:sz w:val="20"/>
          <w:szCs w:val="20"/>
        </w:rPr>
      </w:pPr>
    </w:p>
    <w:p w14:paraId="5AA5977B" w14:textId="77777777" w:rsidR="00D1587D" w:rsidRDefault="00410D07">
      <w:pPr>
        <w:jc w:val="center"/>
        <w:rPr>
          <w:sz w:val="20"/>
          <w:szCs w:val="20"/>
        </w:rPr>
      </w:pPr>
      <w:r>
        <w:rPr>
          <w:rFonts w:ascii="Arial" w:eastAsia="Arial" w:hAnsi="Arial" w:cs="Arial"/>
          <w:b/>
          <w:bCs/>
          <w:sz w:val="18"/>
          <w:szCs w:val="18"/>
        </w:rPr>
        <w:t>COMBINED STATEMENTS OF EQUITY</w:t>
      </w:r>
    </w:p>
    <w:p w14:paraId="1DB12CD1" w14:textId="77777777" w:rsidR="00D1587D" w:rsidRDefault="00D1587D">
      <w:pPr>
        <w:spacing w:line="9" w:lineRule="exact"/>
        <w:rPr>
          <w:sz w:val="20"/>
          <w:szCs w:val="20"/>
        </w:rPr>
      </w:pPr>
    </w:p>
    <w:p w14:paraId="31110D51" w14:textId="77777777" w:rsidR="00D1587D" w:rsidRDefault="00410D07">
      <w:pPr>
        <w:ind w:left="4040"/>
        <w:rPr>
          <w:sz w:val="20"/>
          <w:szCs w:val="20"/>
        </w:rPr>
      </w:pPr>
      <w:r>
        <w:rPr>
          <w:rFonts w:ascii="Arial" w:eastAsia="Arial" w:hAnsi="Arial" w:cs="Arial"/>
          <w:b/>
          <w:bCs/>
          <w:sz w:val="18"/>
          <w:szCs w:val="18"/>
        </w:rPr>
        <w:t>(in millions)</w:t>
      </w:r>
    </w:p>
    <w:p w14:paraId="7638A986" w14:textId="77777777" w:rsidR="00D1587D" w:rsidRDefault="00D1587D">
      <w:pPr>
        <w:spacing w:line="9" w:lineRule="exact"/>
        <w:rPr>
          <w:sz w:val="20"/>
          <w:szCs w:val="20"/>
        </w:rPr>
      </w:pPr>
    </w:p>
    <w:p w14:paraId="76CC765B" w14:textId="77777777" w:rsidR="00D1587D" w:rsidRDefault="00410D07">
      <w:pPr>
        <w:ind w:left="4040"/>
        <w:rPr>
          <w:sz w:val="20"/>
          <w:szCs w:val="20"/>
        </w:rPr>
      </w:pPr>
      <w:r>
        <w:rPr>
          <w:rFonts w:ascii="Arial" w:eastAsia="Arial" w:hAnsi="Arial" w:cs="Arial"/>
          <w:b/>
          <w:bCs/>
          <w:sz w:val="18"/>
          <w:szCs w:val="18"/>
        </w:rPr>
        <w:t>(Unaudited)</w:t>
      </w:r>
    </w:p>
    <w:p w14:paraId="1CE58ADB" w14:textId="77777777" w:rsidR="00D1587D" w:rsidRDefault="00D1587D">
      <w:pPr>
        <w:spacing w:line="342" w:lineRule="exact"/>
        <w:rPr>
          <w:sz w:val="20"/>
          <w:szCs w:val="20"/>
        </w:rPr>
      </w:pPr>
    </w:p>
    <w:p w14:paraId="2D0CA889" w14:textId="77777777" w:rsidR="00D1587D" w:rsidRDefault="00410D07">
      <w:pPr>
        <w:ind w:left="300"/>
        <w:rPr>
          <w:sz w:val="20"/>
          <w:szCs w:val="20"/>
        </w:rPr>
      </w:pPr>
      <w:r>
        <w:rPr>
          <w:rFonts w:ascii="Arial" w:eastAsia="Arial" w:hAnsi="Arial" w:cs="Arial"/>
          <w:b/>
          <w:bCs/>
          <w:sz w:val="18"/>
          <w:szCs w:val="18"/>
        </w:rPr>
        <w:t>First Quarter 2021</w:t>
      </w:r>
    </w:p>
    <w:p w14:paraId="59AA535B" w14:textId="77777777" w:rsidR="00D1587D" w:rsidRDefault="00D1587D">
      <w:pPr>
        <w:spacing w:line="181"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400"/>
        <w:gridCol w:w="340"/>
        <w:gridCol w:w="480"/>
        <w:gridCol w:w="340"/>
        <w:gridCol w:w="120"/>
        <w:gridCol w:w="340"/>
        <w:gridCol w:w="280"/>
        <w:gridCol w:w="40"/>
        <w:gridCol w:w="300"/>
        <w:gridCol w:w="140"/>
        <w:gridCol w:w="320"/>
        <w:gridCol w:w="280"/>
        <w:gridCol w:w="340"/>
        <w:gridCol w:w="120"/>
        <w:gridCol w:w="500"/>
        <w:gridCol w:w="80"/>
        <w:gridCol w:w="20"/>
      </w:tblGrid>
      <w:tr w:rsidR="00D1587D" w14:paraId="64CCFABF" w14:textId="77777777">
        <w:trPr>
          <w:trHeight w:val="161"/>
        </w:trPr>
        <w:tc>
          <w:tcPr>
            <w:tcW w:w="4400" w:type="dxa"/>
            <w:vAlign w:val="bottom"/>
          </w:tcPr>
          <w:p w14:paraId="764C9DC0" w14:textId="77777777" w:rsidR="00D1587D" w:rsidRDefault="00D1587D">
            <w:pPr>
              <w:rPr>
                <w:sz w:val="14"/>
                <w:szCs w:val="14"/>
              </w:rPr>
            </w:pPr>
          </w:p>
        </w:tc>
        <w:tc>
          <w:tcPr>
            <w:tcW w:w="340" w:type="dxa"/>
            <w:vAlign w:val="bottom"/>
          </w:tcPr>
          <w:p w14:paraId="744CCAD4" w14:textId="77777777" w:rsidR="00D1587D" w:rsidRDefault="00D1587D">
            <w:pPr>
              <w:rPr>
                <w:sz w:val="14"/>
                <w:szCs w:val="14"/>
              </w:rPr>
            </w:pPr>
          </w:p>
        </w:tc>
        <w:tc>
          <w:tcPr>
            <w:tcW w:w="480" w:type="dxa"/>
            <w:vAlign w:val="bottom"/>
          </w:tcPr>
          <w:p w14:paraId="410E1F6D" w14:textId="77777777" w:rsidR="00D1587D" w:rsidRDefault="00D1587D">
            <w:pPr>
              <w:rPr>
                <w:sz w:val="14"/>
                <w:szCs w:val="14"/>
              </w:rPr>
            </w:pPr>
          </w:p>
        </w:tc>
        <w:tc>
          <w:tcPr>
            <w:tcW w:w="340" w:type="dxa"/>
            <w:vAlign w:val="bottom"/>
          </w:tcPr>
          <w:p w14:paraId="55D86E8A" w14:textId="77777777" w:rsidR="00D1587D" w:rsidRDefault="00D1587D">
            <w:pPr>
              <w:rPr>
                <w:sz w:val="14"/>
                <w:szCs w:val="14"/>
              </w:rPr>
            </w:pPr>
          </w:p>
        </w:tc>
        <w:tc>
          <w:tcPr>
            <w:tcW w:w="120" w:type="dxa"/>
            <w:vAlign w:val="bottom"/>
          </w:tcPr>
          <w:p w14:paraId="6B158B15" w14:textId="77777777" w:rsidR="00D1587D" w:rsidRDefault="00D1587D">
            <w:pPr>
              <w:rPr>
                <w:sz w:val="14"/>
                <w:szCs w:val="14"/>
              </w:rPr>
            </w:pPr>
          </w:p>
        </w:tc>
        <w:tc>
          <w:tcPr>
            <w:tcW w:w="1100" w:type="dxa"/>
            <w:gridSpan w:val="5"/>
            <w:vAlign w:val="bottom"/>
          </w:tcPr>
          <w:p w14:paraId="3485947F" w14:textId="77777777" w:rsidR="00D1587D" w:rsidRDefault="00410D07">
            <w:pPr>
              <w:ind w:right="120"/>
              <w:jc w:val="center"/>
              <w:rPr>
                <w:sz w:val="20"/>
                <w:szCs w:val="20"/>
              </w:rPr>
            </w:pPr>
            <w:r>
              <w:rPr>
                <w:rFonts w:ascii="Arial" w:eastAsia="Arial" w:hAnsi="Arial" w:cs="Arial"/>
                <w:b/>
                <w:bCs/>
                <w:w w:val="93"/>
                <w:sz w:val="14"/>
                <w:szCs w:val="14"/>
              </w:rPr>
              <w:t>Accumulated</w:t>
            </w:r>
          </w:p>
        </w:tc>
        <w:tc>
          <w:tcPr>
            <w:tcW w:w="320" w:type="dxa"/>
            <w:vAlign w:val="bottom"/>
          </w:tcPr>
          <w:p w14:paraId="039EAD53" w14:textId="77777777" w:rsidR="00D1587D" w:rsidRDefault="00D1587D">
            <w:pPr>
              <w:rPr>
                <w:sz w:val="14"/>
                <w:szCs w:val="14"/>
              </w:rPr>
            </w:pPr>
          </w:p>
        </w:tc>
        <w:tc>
          <w:tcPr>
            <w:tcW w:w="280" w:type="dxa"/>
            <w:vAlign w:val="bottom"/>
          </w:tcPr>
          <w:p w14:paraId="796BECD1" w14:textId="77777777" w:rsidR="00D1587D" w:rsidRDefault="00D1587D">
            <w:pPr>
              <w:rPr>
                <w:sz w:val="14"/>
                <w:szCs w:val="14"/>
              </w:rPr>
            </w:pPr>
          </w:p>
        </w:tc>
        <w:tc>
          <w:tcPr>
            <w:tcW w:w="340" w:type="dxa"/>
            <w:vAlign w:val="bottom"/>
          </w:tcPr>
          <w:p w14:paraId="3C68F973" w14:textId="77777777" w:rsidR="00D1587D" w:rsidRDefault="00D1587D">
            <w:pPr>
              <w:rPr>
                <w:sz w:val="14"/>
                <w:szCs w:val="14"/>
              </w:rPr>
            </w:pPr>
          </w:p>
        </w:tc>
        <w:tc>
          <w:tcPr>
            <w:tcW w:w="120" w:type="dxa"/>
            <w:vAlign w:val="bottom"/>
          </w:tcPr>
          <w:p w14:paraId="22367D6E" w14:textId="77777777" w:rsidR="00D1587D" w:rsidRDefault="00D1587D">
            <w:pPr>
              <w:rPr>
                <w:sz w:val="14"/>
                <w:szCs w:val="14"/>
              </w:rPr>
            </w:pPr>
          </w:p>
        </w:tc>
        <w:tc>
          <w:tcPr>
            <w:tcW w:w="500" w:type="dxa"/>
            <w:vAlign w:val="bottom"/>
          </w:tcPr>
          <w:p w14:paraId="1F76B7D5" w14:textId="77777777" w:rsidR="00D1587D" w:rsidRDefault="00D1587D">
            <w:pPr>
              <w:rPr>
                <w:sz w:val="14"/>
                <w:szCs w:val="14"/>
              </w:rPr>
            </w:pPr>
          </w:p>
        </w:tc>
        <w:tc>
          <w:tcPr>
            <w:tcW w:w="80" w:type="dxa"/>
            <w:vAlign w:val="bottom"/>
          </w:tcPr>
          <w:p w14:paraId="28773C2C" w14:textId="77777777" w:rsidR="00D1587D" w:rsidRDefault="00D1587D">
            <w:pPr>
              <w:rPr>
                <w:sz w:val="14"/>
                <w:szCs w:val="14"/>
              </w:rPr>
            </w:pPr>
          </w:p>
        </w:tc>
        <w:tc>
          <w:tcPr>
            <w:tcW w:w="0" w:type="dxa"/>
            <w:vAlign w:val="bottom"/>
          </w:tcPr>
          <w:p w14:paraId="014C3D01" w14:textId="77777777" w:rsidR="00D1587D" w:rsidRDefault="00D1587D">
            <w:pPr>
              <w:rPr>
                <w:sz w:val="1"/>
                <w:szCs w:val="1"/>
              </w:rPr>
            </w:pPr>
          </w:p>
        </w:tc>
      </w:tr>
      <w:tr w:rsidR="00D1587D" w14:paraId="596056FC" w14:textId="77777777">
        <w:trPr>
          <w:trHeight w:val="148"/>
        </w:trPr>
        <w:tc>
          <w:tcPr>
            <w:tcW w:w="4400" w:type="dxa"/>
            <w:vAlign w:val="bottom"/>
          </w:tcPr>
          <w:p w14:paraId="26BC51BF" w14:textId="77777777" w:rsidR="00D1587D" w:rsidRDefault="00D1587D">
            <w:pPr>
              <w:rPr>
                <w:sz w:val="12"/>
                <w:szCs w:val="12"/>
              </w:rPr>
            </w:pPr>
          </w:p>
        </w:tc>
        <w:tc>
          <w:tcPr>
            <w:tcW w:w="1280" w:type="dxa"/>
            <w:gridSpan w:val="4"/>
            <w:vMerge w:val="restart"/>
            <w:vAlign w:val="bottom"/>
          </w:tcPr>
          <w:p w14:paraId="2198E1F5" w14:textId="77777777" w:rsidR="00D1587D" w:rsidRDefault="00410D07">
            <w:pPr>
              <w:ind w:right="120"/>
              <w:jc w:val="center"/>
              <w:rPr>
                <w:sz w:val="20"/>
                <w:szCs w:val="20"/>
              </w:rPr>
            </w:pPr>
            <w:r>
              <w:rPr>
                <w:rFonts w:ascii="Arial" w:eastAsia="Arial" w:hAnsi="Arial" w:cs="Arial"/>
                <w:b/>
                <w:bCs/>
                <w:w w:val="92"/>
                <w:sz w:val="14"/>
                <w:szCs w:val="14"/>
              </w:rPr>
              <w:t>Net Investment by</w:t>
            </w:r>
          </w:p>
        </w:tc>
        <w:tc>
          <w:tcPr>
            <w:tcW w:w="1100" w:type="dxa"/>
            <w:gridSpan w:val="5"/>
            <w:vAlign w:val="bottom"/>
          </w:tcPr>
          <w:p w14:paraId="0121381E" w14:textId="77777777" w:rsidR="00D1587D" w:rsidRDefault="00410D07">
            <w:pPr>
              <w:spacing w:line="149" w:lineRule="exact"/>
              <w:ind w:right="120"/>
              <w:jc w:val="center"/>
              <w:rPr>
                <w:sz w:val="20"/>
                <w:szCs w:val="20"/>
              </w:rPr>
            </w:pPr>
            <w:r>
              <w:rPr>
                <w:rFonts w:ascii="Arial" w:eastAsia="Arial" w:hAnsi="Arial" w:cs="Arial"/>
                <w:b/>
                <w:bCs/>
                <w:sz w:val="14"/>
                <w:szCs w:val="14"/>
              </w:rPr>
              <w:t>Other</w:t>
            </w:r>
          </w:p>
        </w:tc>
        <w:tc>
          <w:tcPr>
            <w:tcW w:w="1060" w:type="dxa"/>
            <w:gridSpan w:val="4"/>
            <w:vMerge w:val="restart"/>
            <w:vAlign w:val="bottom"/>
          </w:tcPr>
          <w:p w14:paraId="72728EA4" w14:textId="77777777" w:rsidR="00D1587D" w:rsidRDefault="00410D07">
            <w:pPr>
              <w:ind w:right="120"/>
              <w:jc w:val="center"/>
              <w:rPr>
                <w:sz w:val="20"/>
                <w:szCs w:val="20"/>
              </w:rPr>
            </w:pPr>
            <w:r>
              <w:rPr>
                <w:rFonts w:ascii="Arial" w:eastAsia="Arial" w:hAnsi="Arial" w:cs="Arial"/>
                <w:b/>
                <w:bCs/>
                <w:w w:val="94"/>
                <w:sz w:val="14"/>
                <w:szCs w:val="14"/>
              </w:rPr>
              <w:t>Noncontrolling</w:t>
            </w:r>
          </w:p>
        </w:tc>
        <w:tc>
          <w:tcPr>
            <w:tcW w:w="580" w:type="dxa"/>
            <w:gridSpan w:val="2"/>
            <w:vMerge w:val="restart"/>
            <w:vAlign w:val="bottom"/>
          </w:tcPr>
          <w:p w14:paraId="2FD72F2E" w14:textId="77777777" w:rsidR="00D1587D" w:rsidRDefault="00410D07">
            <w:pPr>
              <w:jc w:val="center"/>
              <w:rPr>
                <w:sz w:val="20"/>
                <w:szCs w:val="20"/>
              </w:rPr>
            </w:pPr>
            <w:r>
              <w:rPr>
                <w:rFonts w:ascii="Arial" w:eastAsia="Arial" w:hAnsi="Arial" w:cs="Arial"/>
                <w:b/>
                <w:bCs/>
                <w:w w:val="89"/>
                <w:sz w:val="14"/>
                <w:szCs w:val="14"/>
              </w:rPr>
              <w:t>Total</w:t>
            </w:r>
          </w:p>
        </w:tc>
        <w:tc>
          <w:tcPr>
            <w:tcW w:w="0" w:type="dxa"/>
            <w:vAlign w:val="bottom"/>
          </w:tcPr>
          <w:p w14:paraId="6D39B1A1" w14:textId="77777777" w:rsidR="00D1587D" w:rsidRDefault="00D1587D">
            <w:pPr>
              <w:rPr>
                <w:sz w:val="1"/>
                <w:szCs w:val="1"/>
              </w:rPr>
            </w:pPr>
          </w:p>
        </w:tc>
      </w:tr>
      <w:tr w:rsidR="00D1587D" w14:paraId="4DF1706D" w14:textId="77777777">
        <w:trPr>
          <w:trHeight w:val="148"/>
        </w:trPr>
        <w:tc>
          <w:tcPr>
            <w:tcW w:w="4400" w:type="dxa"/>
            <w:vAlign w:val="bottom"/>
          </w:tcPr>
          <w:p w14:paraId="5FF5F828" w14:textId="77777777" w:rsidR="00D1587D" w:rsidRDefault="00D1587D">
            <w:pPr>
              <w:rPr>
                <w:sz w:val="12"/>
                <w:szCs w:val="12"/>
              </w:rPr>
            </w:pPr>
          </w:p>
        </w:tc>
        <w:tc>
          <w:tcPr>
            <w:tcW w:w="1280" w:type="dxa"/>
            <w:gridSpan w:val="4"/>
            <w:vMerge/>
            <w:vAlign w:val="bottom"/>
          </w:tcPr>
          <w:p w14:paraId="7A3E04F9" w14:textId="77777777" w:rsidR="00D1587D" w:rsidRDefault="00D1587D">
            <w:pPr>
              <w:rPr>
                <w:sz w:val="12"/>
                <w:szCs w:val="12"/>
              </w:rPr>
            </w:pPr>
          </w:p>
        </w:tc>
        <w:tc>
          <w:tcPr>
            <w:tcW w:w="1100" w:type="dxa"/>
            <w:gridSpan w:val="5"/>
            <w:vAlign w:val="bottom"/>
          </w:tcPr>
          <w:p w14:paraId="3851BA9F" w14:textId="77777777" w:rsidR="00D1587D" w:rsidRDefault="00410D07">
            <w:pPr>
              <w:spacing w:line="149" w:lineRule="exact"/>
              <w:ind w:right="120"/>
              <w:jc w:val="center"/>
              <w:rPr>
                <w:sz w:val="20"/>
                <w:szCs w:val="20"/>
              </w:rPr>
            </w:pPr>
            <w:r>
              <w:rPr>
                <w:rFonts w:ascii="Arial" w:eastAsia="Arial" w:hAnsi="Arial" w:cs="Arial"/>
                <w:b/>
                <w:bCs/>
                <w:w w:val="89"/>
                <w:sz w:val="14"/>
                <w:szCs w:val="14"/>
              </w:rPr>
              <w:t>Comprehensive</w:t>
            </w:r>
          </w:p>
        </w:tc>
        <w:tc>
          <w:tcPr>
            <w:tcW w:w="1060" w:type="dxa"/>
            <w:gridSpan w:val="4"/>
            <w:vMerge/>
            <w:vAlign w:val="bottom"/>
          </w:tcPr>
          <w:p w14:paraId="32712A79" w14:textId="77777777" w:rsidR="00D1587D" w:rsidRDefault="00D1587D">
            <w:pPr>
              <w:rPr>
                <w:sz w:val="12"/>
                <w:szCs w:val="12"/>
              </w:rPr>
            </w:pPr>
          </w:p>
        </w:tc>
        <w:tc>
          <w:tcPr>
            <w:tcW w:w="580" w:type="dxa"/>
            <w:gridSpan w:val="2"/>
            <w:vMerge/>
            <w:vAlign w:val="bottom"/>
          </w:tcPr>
          <w:p w14:paraId="3A772D16" w14:textId="77777777" w:rsidR="00D1587D" w:rsidRDefault="00D1587D">
            <w:pPr>
              <w:rPr>
                <w:sz w:val="12"/>
                <w:szCs w:val="12"/>
              </w:rPr>
            </w:pPr>
          </w:p>
        </w:tc>
        <w:tc>
          <w:tcPr>
            <w:tcW w:w="0" w:type="dxa"/>
            <w:vAlign w:val="bottom"/>
          </w:tcPr>
          <w:p w14:paraId="090989A0" w14:textId="77777777" w:rsidR="00D1587D" w:rsidRDefault="00D1587D">
            <w:pPr>
              <w:rPr>
                <w:sz w:val="1"/>
                <w:szCs w:val="1"/>
              </w:rPr>
            </w:pPr>
          </w:p>
        </w:tc>
      </w:tr>
      <w:tr w:rsidR="00D1587D" w14:paraId="37558345" w14:textId="77777777">
        <w:trPr>
          <w:trHeight w:val="186"/>
        </w:trPr>
        <w:tc>
          <w:tcPr>
            <w:tcW w:w="4400" w:type="dxa"/>
            <w:vAlign w:val="bottom"/>
          </w:tcPr>
          <w:p w14:paraId="4272F35E" w14:textId="77777777" w:rsidR="00D1587D" w:rsidRDefault="00D1587D">
            <w:pPr>
              <w:rPr>
                <w:sz w:val="16"/>
                <w:szCs w:val="16"/>
              </w:rPr>
            </w:pPr>
          </w:p>
        </w:tc>
        <w:tc>
          <w:tcPr>
            <w:tcW w:w="1280" w:type="dxa"/>
            <w:gridSpan w:val="4"/>
            <w:vAlign w:val="bottom"/>
          </w:tcPr>
          <w:p w14:paraId="4EEF3AF5" w14:textId="77777777" w:rsidR="00D1587D" w:rsidRDefault="00410D07">
            <w:pPr>
              <w:ind w:right="120"/>
              <w:jc w:val="center"/>
              <w:rPr>
                <w:sz w:val="20"/>
                <w:szCs w:val="20"/>
              </w:rPr>
            </w:pPr>
            <w:r>
              <w:rPr>
                <w:rFonts w:ascii="Arial" w:eastAsia="Arial" w:hAnsi="Arial" w:cs="Arial"/>
                <w:b/>
                <w:bCs/>
                <w:w w:val="94"/>
                <w:sz w:val="14"/>
                <w:szCs w:val="14"/>
              </w:rPr>
              <w:t>L Brands, Inc.</w:t>
            </w:r>
          </w:p>
        </w:tc>
        <w:tc>
          <w:tcPr>
            <w:tcW w:w="1100" w:type="dxa"/>
            <w:gridSpan w:val="5"/>
            <w:vAlign w:val="bottom"/>
          </w:tcPr>
          <w:p w14:paraId="4AB5B2BA" w14:textId="77777777" w:rsidR="00D1587D" w:rsidRDefault="00410D07">
            <w:pPr>
              <w:ind w:right="120"/>
              <w:jc w:val="center"/>
              <w:rPr>
                <w:sz w:val="20"/>
                <w:szCs w:val="20"/>
              </w:rPr>
            </w:pPr>
            <w:r>
              <w:rPr>
                <w:rFonts w:ascii="Arial" w:eastAsia="Arial" w:hAnsi="Arial" w:cs="Arial"/>
                <w:b/>
                <w:bCs/>
                <w:w w:val="90"/>
                <w:sz w:val="14"/>
                <w:szCs w:val="14"/>
              </w:rPr>
              <w:t>Income (Loss)</w:t>
            </w:r>
          </w:p>
        </w:tc>
        <w:tc>
          <w:tcPr>
            <w:tcW w:w="1060" w:type="dxa"/>
            <w:gridSpan w:val="4"/>
            <w:vAlign w:val="bottom"/>
          </w:tcPr>
          <w:p w14:paraId="37966EB9" w14:textId="77777777" w:rsidR="00D1587D" w:rsidRDefault="00410D07">
            <w:pPr>
              <w:ind w:right="140"/>
              <w:jc w:val="center"/>
              <w:rPr>
                <w:sz w:val="20"/>
                <w:szCs w:val="20"/>
              </w:rPr>
            </w:pPr>
            <w:r>
              <w:rPr>
                <w:rFonts w:ascii="Arial" w:eastAsia="Arial" w:hAnsi="Arial" w:cs="Arial"/>
                <w:b/>
                <w:bCs/>
                <w:w w:val="94"/>
                <w:sz w:val="14"/>
                <w:szCs w:val="14"/>
              </w:rPr>
              <w:t>Interest</w:t>
            </w:r>
          </w:p>
        </w:tc>
        <w:tc>
          <w:tcPr>
            <w:tcW w:w="580" w:type="dxa"/>
            <w:gridSpan w:val="2"/>
            <w:vAlign w:val="bottom"/>
          </w:tcPr>
          <w:p w14:paraId="2122914A" w14:textId="77777777" w:rsidR="00D1587D" w:rsidRDefault="00410D07">
            <w:pPr>
              <w:jc w:val="center"/>
              <w:rPr>
                <w:sz w:val="20"/>
                <w:szCs w:val="20"/>
              </w:rPr>
            </w:pPr>
            <w:r>
              <w:rPr>
                <w:rFonts w:ascii="Arial" w:eastAsia="Arial" w:hAnsi="Arial" w:cs="Arial"/>
                <w:b/>
                <w:bCs/>
                <w:w w:val="98"/>
                <w:sz w:val="14"/>
                <w:szCs w:val="14"/>
              </w:rPr>
              <w:t>Equity</w:t>
            </w:r>
          </w:p>
        </w:tc>
        <w:tc>
          <w:tcPr>
            <w:tcW w:w="0" w:type="dxa"/>
            <w:vAlign w:val="bottom"/>
          </w:tcPr>
          <w:p w14:paraId="462C94CE" w14:textId="77777777" w:rsidR="00D1587D" w:rsidRDefault="00D1587D">
            <w:pPr>
              <w:rPr>
                <w:sz w:val="1"/>
                <w:szCs w:val="1"/>
              </w:rPr>
            </w:pPr>
          </w:p>
        </w:tc>
      </w:tr>
      <w:tr w:rsidR="00D1587D" w14:paraId="31E3C6A0" w14:textId="77777777">
        <w:trPr>
          <w:trHeight w:val="53"/>
        </w:trPr>
        <w:tc>
          <w:tcPr>
            <w:tcW w:w="4400" w:type="dxa"/>
            <w:tcBorders>
              <w:bottom w:val="single" w:sz="8" w:space="0" w:color="CCEEFF"/>
            </w:tcBorders>
            <w:vAlign w:val="bottom"/>
          </w:tcPr>
          <w:p w14:paraId="6699BF23" w14:textId="77777777" w:rsidR="00D1587D" w:rsidRDefault="00D1587D">
            <w:pPr>
              <w:rPr>
                <w:sz w:val="4"/>
                <w:szCs w:val="4"/>
              </w:rPr>
            </w:pPr>
          </w:p>
        </w:tc>
        <w:tc>
          <w:tcPr>
            <w:tcW w:w="340" w:type="dxa"/>
            <w:tcBorders>
              <w:bottom w:val="single" w:sz="8" w:space="0" w:color="auto"/>
            </w:tcBorders>
            <w:vAlign w:val="bottom"/>
          </w:tcPr>
          <w:p w14:paraId="33469016" w14:textId="77777777" w:rsidR="00D1587D" w:rsidRDefault="00D1587D">
            <w:pPr>
              <w:rPr>
                <w:sz w:val="4"/>
                <w:szCs w:val="4"/>
              </w:rPr>
            </w:pPr>
          </w:p>
        </w:tc>
        <w:tc>
          <w:tcPr>
            <w:tcW w:w="480" w:type="dxa"/>
            <w:tcBorders>
              <w:bottom w:val="single" w:sz="8" w:space="0" w:color="auto"/>
            </w:tcBorders>
            <w:vAlign w:val="bottom"/>
          </w:tcPr>
          <w:p w14:paraId="351264D3" w14:textId="77777777" w:rsidR="00D1587D" w:rsidRDefault="00D1587D">
            <w:pPr>
              <w:rPr>
                <w:sz w:val="4"/>
                <w:szCs w:val="4"/>
              </w:rPr>
            </w:pPr>
          </w:p>
        </w:tc>
        <w:tc>
          <w:tcPr>
            <w:tcW w:w="340" w:type="dxa"/>
            <w:tcBorders>
              <w:bottom w:val="single" w:sz="8" w:space="0" w:color="auto"/>
            </w:tcBorders>
            <w:vAlign w:val="bottom"/>
          </w:tcPr>
          <w:p w14:paraId="1DB2BB69" w14:textId="77777777" w:rsidR="00D1587D" w:rsidRDefault="00D1587D">
            <w:pPr>
              <w:rPr>
                <w:sz w:val="4"/>
                <w:szCs w:val="4"/>
              </w:rPr>
            </w:pPr>
          </w:p>
        </w:tc>
        <w:tc>
          <w:tcPr>
            <w:tcW w:w="120" w:type="dxa"/>
            <w:tcBorders>
              <w:bottom w:val="single" w:sz="8" w:space="0" w:color="CCEEFF"/>
            </w:tcBorders>
            <w:vAlign w:val="bottom"/>
          </w:tcPr>
          <w:p w14:paraId="6CCC6CEE" w14:textId="77777777" w:rsidR="00D1587D" w:rsidRDefault="00D1587D">
            <w:pPr>
              <w:rPr>
                <w:sz w:val="4"/>
                <w:szCs w:val="4"/>
              </w:rPr>
            </w:pPr>
          </w:p>
        </w:tc>
        <w:tc>
          <w:tcPr>
            <w:tcW w:w="340" w:type="dxa"/>
            <w:tcBorders>
              <w:bottom w:val="single" w:sz="8" w:space="0" w:color="auto"/>
            </w:tcBorders>
            <w:vAlign w:val="bottom"/>
          </w:tcPr>
          <w:p w14:paraId="797BD2BB" w14:textId="77777777" w:rsidR="00D1587D" w:rsidRDefault="00D1587D">
            <w:pPr>
              <w:rPr>
                <w:sz w:val="4"/>
                <w:szCs w:val="4"/>
              </w:rPr>
            </w:pPr>
          </w:p>
        </w:tc>
        <w:tc>
          <w:tcPr>
            <w:tcW w:w="280" w:type="dxa"/>
            <w:tcBorders>
              <w:bottom w:val="single" w:sz="8" w:space="0" w:color="auto"/>
            </w:tcBorders>
            <w:vAlign w:val="bottom"/>
          </w:tcPr>
          <w:p w14:paraId="1E503BE8" w14:textId="77777777" w:rsidR="00D1587D" w:rsidRDefault="00D1587D">
            <w:pPr>
              <w:rPr>
                <w:sz w:val="4"/>
                <w:szCs w:val="4"/>
              </w:rPr>
            </w:pPr>
          </w:p>
        </w:tc>
        <w:tc>
          <w:tcPr>
            <w:tcW w:w="40" w:type="dxa"/>
            <w:tcBorders>
              <w:bottom w:val="single" w:sz="8" w:space="0" w:color="auto"/>
            </w:tcBorders>
            <w:vAlign w:val="bottom"/>
          </w:tcPr>
          <w:p w14:paraId="07170362" w14:textId="77777777" w:rsidR="00D1587D" w:rsidRDefault="00D1587D">
            <w:pPr>
              <w:rPr>
                <w:sz w:val="4"/>
                <w:szCs w:val="4"/>
              </w:rPr>
            </w:pPr>
          </w:p>
        </w:tc>
        <w:tc>
          <w:tcPr>
            <w:tcW w:w="300" w:type="dxa"/>
            <w:tcBorders>
              <w:bottom w:val="single" w:sz="8" w:space="0" w:color="auto"/>
            </w:tcBorders>
            <w:vAlign w:val="bottom"/>
          </w:tcPr>
          <w:p w14:paraId="18E980C0" w14:textId="77777777" w:rsidR="00D1587D" w:rsidRDefault="00D1587D">
            <w:pPr>
              <w:rPr>
                <w:sz w:val="4"/>
                <w:szCs w:val="4"/>
              </w:rPr>
            </w:pPr>
          </w:p>
        </w:tc>
        <w:tc>
          <w:tcPr>
            <w:tcW w:w="140" w:type="dxa"/>
            <w:tcBorders>
              <w:bottom w:val="single" w:sz="8" w:space="0" w:color="CCEEFF"/>
            </w:tcBorders>
            <w:vAlign w:val="bottom"/>
          </w:tcPr>
          <w:p w14:paraId="50FCF76D" w14:textId="77777777" w:rsidR="00D1587D" w:rsidRDefault="00D1587D">
            <w:pPr>
              <w:rPr>
                <w:sz w:val="4"/>
                <w:szCs w:val="4"/>
              </w:rPr>
            </w:pPr>
          </w:p>
        </w:tc>
        <w:tc>
          <w:tcPr>
            <w:tcW w:w="320" w:type="dxa"/>
            <w:tcBorders>
              <w:bottom w:val="single" w:sz="8" w:space="0" w:color="auto"/>
            </w:tcBorders>
            <w:vAlign w:val="bottom"/>
          </w:tcPr>
          <w:p w14:paraId="13ACFAD9" w14:textId="77777777" w:rsidR="00D1587D" w:rsidRDefault="00D1587D">
            <w:pPr>
              <w:rPr>
                <w:sz w:val="4"/>
                <w:szCs w:val="4"/>
              </w:rPr>
            </w:pPr>
          </w:p>
        </w:tc>
        <w:tc>
          <w:tcPr>
            <w:tcW w:w="280" w:type="dxa"/>
            <w:tcBorders>
              <w:bottom w:val="single" w:sz="8" w:space="0" w:color="auto"/>
            </w:tcBorders>
            <w:vAlign w:val="bottom"/>
          </w:tcPr>
          <w:p w14:paraId="6E202009" w14:textId="77777777" w:rsidR="00D1587D" w:rsidRDefault="00D1587D">
            <w:pPr>
              <w:rPr>
                <w:sz w:val="4"/>
                <w:szCs w:val="4"/>
              </w:rPr>
            </w:pPr>
          </w:p>
        </w:tc>
        <w:tc>
          <w:tcPr>
            <w:tcW w:w="340" w:type="dxa"/>
            <w:tcBorders>
              <w:bottom w:val="single" w:sz="8" w:space="0" w:color="auto"/>
            </w:tcBorders>
            <w:vAlign w:val="bottom"/>
          </w:tcPr>
          <w:p w14:paraId="6179E4DD" w14:textId="77777777" w:rsidR="00D1587D" w:rsidRDefault="00D1587D">
            <w:pPr>
              <w:rPr>
                <w:sz w:val="4"/>
                <w:szCs w:val="4"/>
              </w:rPr>
            </w:pPr>
          </w:p>
        </w:tc>
        <w:tc>
          <w:tcPr>
            <w:tcW w:w="120" w:type="dxa"/>
            <w:tcBorders>
              <w:bottom w:val="single" w:sz="8" w:space="0" w:color="CCEEFF"/>
            </w:tcBorders>
            <w:vAlign w:val="bottom"/>
          </w:tcPr>
          <w:p w14:paraId="1C4DEC32" w14:textId="77777777" w:rsidR="00D1587D" w:rsidRDefault="00D1587D">
            <w:pPr>
              <w:rPr>
                <w:sz w:val="4"/>
                <w:szCs w:val="4"/>
              </w:rPr>
            </w:pPr>
          </w:p>
        </w:tc>
        <w:tc>
          <w:tcPr>
            <w:tcW w:w="500" w:type="dxa"/>
            <w:tcBorders>
              <w:bottom w:val="single" w:sz="8" w:space="0" w:color="auto"/>
            </w:tcBorders>
            <w:vAlign w:val="bottom"/>
          </w:tcPr>
          <w:p w14:paraId="746B01F1" w14:textId="77777777" w:rsidR="00D1587D" w:rsidRDefault="00D1587D">
            <w:pPr>
              <w:rPr>
                <w:sz w:val="4"/>
                <w:szCs w:val="4"/>
              </w:rPr>
            </w:pPr>
          </w:p>
        </w:tc>
        <w:tc>
          <w:tcPr>
            <w:tcW w:w="80" w:type="dxa"/>
            <w:tcBorders>
              <w:bottom w:val="single" w:sz="8" w:space="0" w:color="auto"/>
            </w:tcBorders>
            <w:vAlign w:val="bottom"/>
          </w:tcPr>
          <w:p w14:paraId="48367B34" w14:textId="77777777" w:rsidR="00D1587D" w:rsidRDefault="00D1587D">
            <w:pPr>
              <w:rPr>
                <w:sz w:val="4"/>
                <w:szCs w:val="4"/>
              </w:rPr>
            </w:pPr>
          </w:p>
        </w:tc>
        <w:tc>
          <w:tcPr>
            <w:tcW w:w="0" w:type="dxa"/>
            <w:vAlign w:val="bottom"/>
          </w:tcPr>
          <w:p w14:paraId="6D214F15" w14:textId="77777777" w:rsidR="00D1587D" w:rsidRDefault="00D1587D">
            <w:pPr>
              <w:rPr>
                <w:sz w:val="1"/>
                <w:szCs w:val="1"/>
              </w:rPr>
            </w:pPr>
          </w:p>
        </w:tc>
      </w:tr>
      <w:tr w:rsidR="00D1587D" w14:paraId="22399A1B" w14:textId="77777777">
        <w:trPr>
          <w:trHeight w:val="311"/>
        </w:trPr>
        <w:tc>
          <w:tcPr>
            <w:tcW w:w="4400" w:type="dxa"/>
            <w:tcBorders>
              <w:bottom w:val="single" w:sz="8" w:space="0" w:color="CCEEFF"/>
            </w:tcBorders>
            <w:shd w:val="clear" w:color="auto" w:fill="CCEEFF"/>
            <w:vAlign w:val="bottom"/>
          </w:tcPr>
          <w:p w14:paraId="0A47B47B" w14:textId="77777777" w:rsidR="00D1587D" w:rsidRDefault="00410D07">
            <w:pPr>
              <w:rPr>
                <w:sz w:val="20"/>
                <w:szCs w:val="20"/>
              </w:rPr>
            </w:pPr>
            <w:r>
              <w:rPr>
                <w:rFonts w:ascii="Arial" w:eastAsia="Arial" w:hAnsi="Arial" w:cs="Arial"/>
                <w:b/>
                <w:bCs/>
                <w:sz w:val="18"/>
                <w:szCs w:val="18"/>
              </w:rPr>
              <w:t>Balance, January 30, 2021</w:t>
            </w:r>
          </w:p>
        </w:tc>
        <w:tc>
          <w:tcPr>
            <w:tcW w:w="820" w:type="dxa"/>
            <w:gridSpan w:val="2"/>
            <w:tcBorders>
              <w:bottom w:val="single" w:sz="8" w:space="0" w:color="CCEEFF"/>
            </w:tcBorders>
            <w:shd w:val="clear" w:color="auto" w:fill="CCEEFF"/>
            <w:vAlign w:val="bottom"/>
          </w:tcPr>
          <w:p w14:paraId="7BE389AD" w14:textId="77777777" w:rsidR="00D1587D" w:rsidRDefault="00410D07">
            <w:pPr>
              <w:jc w:val="right"/>
              <w:rPr>
                <w:sz w:val="20"/>
                <w:szCs w:val="20"/>
              </w:rPr>
            </w:pPr>
            <w:r>
              <w:rPr>
                <w:rFonts w:ascii="Arial" w:eastAsia="Arial" w:hAnsi="Arial" w:cs="Arial"/>
                <w:sz w:val="18"/>
                <w:szCs w:val="18"/>
              </w:rPr>
              <w:t>$  887</w:t>
            </w:r>
          </w:p>
        </w:tc>
        <w:tc>
          <w:tcPr>
            <w:tcW w:w="340" w:type="dxa"/>
            <w:tcBorders>
              <w:bottom w:val="single" w:sz="8" w:space="0" w:color="CCEEFF"/>
            </w:tcBorders>
            <w:shd w:val="clear" w:color="auto" w:fill="CCEEFF"/>
            <w:vAlign w:val="bottom"/>
          </w:tcPr>
          <w:p w14:paraId="6325BE7C" w14:textId="77777777" w:rsidR="00D1587D" w:rsidRDefault="00D1587D">
            <w:pPr>
              <w:rPr>
                <w:sz w:val="24"/>
                <w:szCs w:val="24"/>
              </w:rPr>
            </w:pPr>
          </w:p>
        </w:tc>
        <w:tc>
          <w:tcPr>
            <w:tcW w:w="120" w:type="dxa"/>
            <w:tcBorders>
              <w:bottom w:val="single" w:sz="8" w:space="0" w:color="CCEEFF"/>
            </w:tcBorders>
            <w:shd w:val="clear" w:color="auto" w:fill="CCEEFF"/>
            <w:vAlign w:val="bottom"/>
          </w:tcPr>
          <w:p w14:paraId="3A099901" w14:textId="77777777" w:rsidR="00D1587D" w:rsidRDefault="00D1587D">
            <w:pPr>
              <w:rPr>
                <w:sz w:val="24"/>
                <w:szCs w:val="24"/>
              </w:rPr>
            </w:pPr>
          </w:p>
        </w:tc>
        <w:tc>
          <w:tcPr>
            <w:tcW w:w="620" w:type="dxa"/>
            <w:gridSpan w:val="2"/>
            <w:tcBorders>
              <w:bottom w:val="single" w:sz="8" w:space="0" w:color="CCEEFF"/>
            </w:tcBorders>
            <w:shd w:val="clear" w:color="auto" w:fill="CCEEFF"/>
            <w:vAlign w:val="bottom"/>
          </w:tcPr>
          <w:p w14:paraId="1D3F7BCE" w14:textId="77777777" w:rsidR="00D1587D" w:rsidRDefault="00410D07">
            <w:pPr>
              <w:jc w:val="right"/>
              <w:rPr>
                <w:sz w:val="20"/>
                <w:szCs w:val="20"/>
              </w:rPr>
            </w:pPr>
            <w:r>
              <w:rPr>
                <w:rFonts w:ascii="Arial" w:eastAsia="Arial" w:hAnsi="Arial" w:cs="Arial"/>
                <w:sz w:val="18"/>
                <w:szCs w:val="18"/>
              </w:rPr>
              <w:t>$ 4</w:t>
            </w:r>
          </w:p>
        </w:tc>
        <w:tc>
          <w:tcPr>
            <w:tcW w:w="40" w:type="dxa"/>
            <w:tcBorders>
              <w:bottom w:val="single" w:sz="8" w:space="0" w:color="CCEEFF"/>
              <w:right w:val="single" w:sz="8" w:space="0" w:color="CCEEFF"/>
            </w:tcBorders>
            <w:shd w:val="clear" w:color="auto" w:fill="CCEEFF"/>
            <w:vAlign w:val="bottom"/>
          </w:tcPr>
          <w:p w14:paraId="277D4968" w14:textId="77777777" w:rsidR="00D1587D" w:rsidRDefault="00D1587D">
            <w:pPr>
              <w:rPr>
                <w:sz w:val="24"/>
                <w:szCs w:val="24"/>
              </w:rPr>
            </w:pPr>
          </w:p>
        </w:tc>
        <w:tc>
          <w:tcPr>
            <w:tcW w:w="300" w:type="dxa"/>
            <w:tcBorders>
              <w:bottom w:val="single" w:sz="8" w:space="0" w:color="CCEEFF"/>
            </w:tcBorders>
            <w:shd w:val="clear" w:color="auto" w:fill="CCEEFF"/>
            <w:vAlign w:val="bottom"/>
          </w:tcPr>
          <w:p w14:paraId="0C75DDC5" w14:textId="77777777" w:rsidR="00D1587D" w:rsidRDefault="00D1587D">
            <w:pPr>
              <w:rPr>
                <w:sz w:val="24"/>
                <w:szCs w:val="24"/>
              </w:rPr>
            </w:pPr>
          </w:p>
        </w:tc>
        <w:tc>
          <w:tcPr>
            <w:tcW w:w="140" w:type="dxa"/>
            <w:tcBorders>
              <w:bottom w:val="single" w:sz="8" w:space="0" w:color="CCEEFF"/>
            </w:tcBorders>
            <w:shd w:val="clear" w:color="auto" w:fill="CCEEFF"/>
            <w:vAlign w:val="bottom"/>
          </w:tcPr>
          <w:p w14:paraId="20C990E1" w14:textId="77777777" w:rsidR="00D1587D" w:rsidRDefault="00D1587D">
            <w:pPr>
              <w:rPr>
                <w:sz w:val="24"/>
                <w:szCs w:val="24"/>
              </w:rPr>
            </w:pPr>
          </w:p>
        </w:tc>
        <w:tc>
          <w:tcPr>
            <w:tcW w:w="320" w:type="dxa"/>
            <w:tcBorders>
              <w:bottom w:val="single" w:sz="8" w:space="0" w:color="CCEEFF"/>
            </w:tcBorders>
            <w:shd w:val="clear" w:color="auto" w:fill="CCEEFF"/>
            <w:vAlign w:val="bottom"/>
          </w:tcPr>
          <w:p w14:paraId="6FC7D80F" w14:textId="77777777" w:rsidR="00D1587D" w:rsidRDefault="00D1587D">
            <w:pPr>
              <w:rPr>
                <w:sz w:val="24"/>
                <w:szCs w:val="24"/>
              </w:rPr>
            </w:pPr>
          </w:p>
        </w:tc>
        <w:tc>
          <w:tcPr>
            <w:tcW w:w="740" w:type="dxa"/>
            <w:gridSpan w:val="3"/>
            <w:tcBorders>
              <w:bottom w:val="single" w:sz="8" w:space="0" w:color="CCEEFF"/>
            </w:tcBorders>
            <w:shd w:val="clear" w:color="auto" w:fill="CCEEFF"/>
            <w:vAlign w:val="bottom"/>
          </w:tcPr>
          <w:p w14:paraId="60B8ACDC" w14:textId="77777777" w:rsidR="00D1587D" w:rsidRDefault="00410D07">
            <w:pPr>
              <w:ind w:right="460"/>
              <w:jc w:val="right"/>
              <w:rPr>
                <w:sz w:val="20"/>
                <w:szCs w:val="20"/>
              </w:rPr>
            </w:pPr>
            <w:r>
              <w:rPr>
                <w:rFonts w:ascii="Arial" w:eastAsia="Arial" w:hAnsi="Arial" w:cs="Arial"/>
                <w:w w:val="92"/>
                <w:sz w:val="18"/>
                <w:szCs w:val="18"/>
              </w:rPr>
              <w:t>$—</w:t>
            </w:r>
          </w:p>
        </w:tc>
        <w:tc>
          <w:tcPr>
            <w:tcW w:w="500" w:type="dxa"/>
            <w:tcBorders>
              <w:bottom w:val="single" w:sz="8" w:space="0" w:color="CCEEFF"/>
            </w:tcBorders>
            <w:shd w:val="clear" w:color="auto" w:fill="CCEEFF"/>
            <w:vAlign w:val="bottom"/>
          </w:tcPr>
          <w:p w14:paraId="27CC660A" w14:textId="77777777" w:rsidR="00D1587D" w:rsidRDefault="00410D07">
            <w:pPr>
              <w:jc w:val="right"/>
              <w:rPr>
                <w:sz w:val="20"/>
                <w:szCs w:val="20"/>
              </w:rPr>
            </w:pPr>
            <w:r>
              <w:rPr>
                <w:rFonts w:ascii="Arial" w:eastAsia="Arial" w:hAnsi="Arial" w:cs="Arial"/>
                <w:w w:val="95"/>
                <w:sz w:val="18"/>
                <w:szCs w:val="18"/>
              </w:rPr>
              <w:t>$  891</w:t>
            </w:r>
          </w:p>
        </w:tc>
        <w:tc>
          <w:tcPr>
            <w:tcW w:w="80" w:type="dxa"/>
            <w:tcBorders>
              <w:bottom w:val="single" w:sz="8" w:space="0" w:color="CCEEFF"/>
            </w:tcBorders>
            <w:shd w:val="clear" w:color="auto" w:fill="CCEEFF"/>
            <w:vAlign w:val="bottom"/>
          </w:tcPr>
          <w:p w14:paraId="6773599C" w14:textId="77777777" w:rsidR="00D1587D" w:rsidRDefault="00D1587D">
            <w:pPr>
              <w:rPr>
                <w:sz w:val="24"/>
                <w:szCs w:val="24"/>
              </w:rPr>
            </w:pPr>
          </w:p>
        </w:tc>
        <w:tc>
          <w:tcPr>
            <w:tcW w:w="0" w:type="dxa"/>
            <w:vAlign w:val="bottom"/>
          </w:tcPr>
          <w:p w14:paraId="4F41968E" w14:textId="77777777" w:rsidR="00D1587D" w:rsidRDefault="00D1587D">
            <w:pPr>
              <w:rPr>
                <w:sz w:val="1"/>
                <w:szCs w:val="1"/>
              </w:rPr>
            </w:pPr>
          </w:p>
        </w:tc>
      </w:tr>
      <w:tr w:rsidR="00D1587D" w14:paraId="0DB89078" w14:textId="77777777">
        <w:trPr>
          <w:trHeight w:val="270"/>
        </w:trPr>
        <w:tc>
          <w:tcPr>
            <w:tcW w:w="4400" w:type="dxa"/>
            <w:vAlign w:val="bottom"/>
          </w:tcPr>
          <w:p w14:paraId="16D9D374" w14:textId="77777777" w:rsidR="00D1587D" w:rsidRDefault="00410D07">
            <w:pPr>
              <w:ind w:left="180"/>
              <w:rPr>
                <w:sz w:val="20"/>
                <w:szCs w:val="20"/>
              </w:rPr>
            </w:pPr>
            <w:r>
              <w:rPr>
                <w:rFonts w:ascii="Arial" w:eastAsia="Arial" w:hAnsi="Arial" w:cs="Arial"/>
                <w:sz w:val="18"/>
                <w:szCs w:val="18"/>
              </w:rPr>
              <w:t>Net Income</w:t>
            </w:r>
          </w:p>
        </w:tc>
        <w:tc>
          <w:tcPr>
            <w:tcW w:w="820" w:type="dxa"/>
            <w:gridSpan w:val="2"/>
            <w:vAlign w:val="bottom"/>
          </w:tcPr>
          <w:p w14:paraId="3D91D438" w14:textId="77777777" w:rsidR="00D1587D" w:rsidRDefault="00410D07">
            <w:pPr>
              <w:jc w:val="right"/>
              <w:rPr>
                <w:sz w:val="20"/>
                <w:szCs w:val="20"/>
              </w:rPr>
            </w:pPr>
            <w:r>
              <w:rPr>
                <w:rFonts w:ascii="Arial" w:eastAsia="Arial" w:hAnsi="Arial" w:cs="Arial"/>
                <w:sz w:val="18"/>
                <w:szCs w:val="18"/>
              </w:rPr>
              <w:t>174</w:t>
            </w:r>
          </w:p>
        </w:tc>
        <w:tc>
          <w:tcPr>
            <w:tcW w:w="340" w:type="dxa"/>
            <w:vAlign w:val="bottom"/>
          </w:tcPr>
          <w:p w14:paraId="1E874256" w14:textId="77777777" w:rsidR="00D1587D" w:rsidRDefault="00D1587D">
            <w:pPr>
              <w:rPr>
                <w:sz w:val="23"/>
                <w:szCs w:val="23"/>
              </w:rPr>
            </w:pPr>
          </w:p>
        </w:tc>
        <w:tc>
          <w:tcPr>
            <w:tcW w:w="120" w:type="dxa"/>
            <w:vAlign w:val="bottom"/>
          </w:tcPr>
          <w:p w14:paraId="4608967D" w14:textId="77777777" w:rsidR="00D1587D" w:rsidRDefault="00D1587D">
            <w:pPr>
              <w:rPr>
                <w:sz w:val="23"/>
                <w:szCs w:val="23"/>
              </w:rPr>
            </w:pPr>
          </w:p>
        </w:tc>
        <w:tc>
          <w:tcPr>
            <w:tcW w:w="340" w:type="dxa"/>
            <w:vAlign w:val="bottom"/>
          </w:tcPr>
          <w:p w14:paraId="52820A8F" w14:textId="77777777" w:rsidR="00D1587D" w:rsidRDefault="00D1587D">
            <w:pPr>
              <w:rPr>
                <w:sz w:val="23"/>
                <w:szCs w:val="23"/>
              </w:rPr>
            </w:pPr>
          </w:p>
        </w:tc>
        <w:tc>
          <w:tcPr>
            <w:tcW w:w="760" w:type="dxa"/>
            <w:gridSpan w:val="4"/>
            <w:vAlign w:val="bottom"/>
          </w:tcPr>
          <w:p w14:paraId="61DBDEEC" w14:textId="77777777" w:rsidR="00D1587D" w:rsidRDefault="00410D07">
            <w:pPr>
              <w:ind w:right="480"/>
              <w:jc w:val="right"/>
              <w:rPr>
                <w:sz w:val="20"/>
                <w:szCs w:val="20"/>
              </w:rPr>
            </w:pPr>
            <w:r>
              <w:rPr>
                <w:rFonts w:ascii="Arial" w:eastAsia="Arial" w:hAnsi="Arial" w:cs="Arial"/>
                <w:sz w:val="18"/>
                <w:szCs w:val="18"/>
              </w:rPr>
              <w:t>—</w:t>
            </w:r>
          </w:p>
        </w:tc>
        <w:tc>
          <w:tcPr>
            <w:tcW w:w="320" w:type="dxa"/>
            <w:vAlign w:val="bottom"/>
          </w:tcPr>
          <w:p w14:paraId="4B03EECE" w14:textId="77777777" w:rsidR="00D1587D" w:rsidRDefault="00D1587D">
            <w:pPr>
              <w:rPr>
                <w:sz w:val="23"/>
                <w:szCs w:val="23"/>
              </w:rPr>
            </w:pPr>
          </w:p>
        </w:tc>
        <w:tc>
          <w:tcPr>
            <w:tcW w:w="740" w:type="dxa"/>
            <w:gridSpan w:val="3"/>
            <w:vAlign w:val="bottom"/>
          </w:tcPr>
          <w:p w14:paraId="70ED4454" w14:textId="77777777" w:rsidR="00D1587D" w:rsidRDefault="00410D07">
            <w:pPr>
              <w:ind w:right="460"/>
              <w:jc w:val="right"/>
              <w:rPr>
                <w:sz w:val="20"/>
                <w:szCs w:val="20"/>
              </w:rPr>
            </w:pPr>
            <w:r>
              <w:rPr>
                <w:rFonts w:ascii="Arial" w:eastAsia="Arial" w:hAnsi="Arial" w:cs="Arial"/>
                <w:sz w:val="18"/>
                <w:szCs w:val="18"/>
              </w:rPr>
              <w:t>—</w:t>
            </w:r>
          </w:p>
        </w:tc>
        <w:tc>
          <w:tcPr>
            <w:tcW w:w="500" w:type="dxa"/>
            <w:vAlign w:val="bottom"/>
          </w:tcPr>
          <w:p w14:paraId="59632F25" w14:textId="77777777" w:rsidR="00D1587D" w:rsidRDefault="00410D07">
            <w:pPr>
              <w:jc w:val="right"/>
              <w:rPr>
                <w:sz w:val="20"/>
                <w:szCs w:val="20"/>
              </w:rPr>
            </w:pPr>
            <w:r>
              <w:rPr>
                <w:rFonts w:ascii="Arial" w:eastAsia="Arial" w:hAnsi="Arial" w:cs="Arial"/>
                <w:sz w:val="18"/>
                <w:szCs w:val="18"/>
              </w:rPr>
              <w:t>174</w:t>
            </w:r>
          </w:p>
        </w:tc>
        <w:tc>
          <w:tcPr>
            <w:tcW w:w="80" w:type="dxa"/>
            <w:vAlign w:val="bottom"/>
          </w:tcPr>
          <w:p w14:paraId="4D14762F" w14:textId="77777777" w:rsidR="00D1587D" w:rsidRDefault="00D1587D">
            <w:pPr>
              <w:rPr>
                <w:sz w:val="23"/>
                <w:szCs w:val="23"/>
              </w:rPr>
            </w:pPr>
          </w:p>
        </w:tc>
        <w:tc>
          <w:tcPr>
            <w:tcW w:w="0" w:type="dxa"/>
            <w:vAlign w:val="bottom"/>
          </w:tcPr>
          <w:p w14:paraId="2506B774" w14:textId="77777777" w:rsidR="00D1587D" w:rsidRDefault="00D1587D">
            <w:pPr>
              <w:rPr>
                <w:sz w:val="1"/>
                <w:szCs w:val="1"/>
              </w:rPr>
            </w:pPr>
          </w:p>
        </w:tc>
      </w:tr>
      <w:tr w:rsidR="00D1587D" w14:paraId="2FF175F7" w14:textId="77777777">
        <w:trPr>
          <w:trHeight w:val="54"/>
        </w:trPr>
        <w:tc>
          <w:tcPr>
            <w:tcW w:w="4400" w:type="dxa"/>
            <w:vAlign w:val="bottom"/>
          </w:tcPr>
          <w:p w14:paraId="7C8B0F53" w14:textId="77777777" w:rsidR="00D1587D" w:rsidRDefault="00D1587D">
            <w:pPr>
              <w:rPr>
                <w:sz w:val="4"/>
                <w:szCs w:val="4"/>
              </w:rPr>
            </w:pPr>
          </w:p>
        </w:tc>
        <w:tc>
          <w:tcPr>
            <w:tcW w:w="340" w:type="dxa"/>
            <w:vAlign w:val="bottom"/>
          </w:tcPr>
          <w:p w14:paraId="7DD7EB25" w14:textId="77777777" w:rsidR="00D1587D" w:rsidRDefault="00D1587D">
            <w:pPr>
              <w:rPr>
                <w:sz w:val="4"/>
                <w:szCs w:val="4"/>
              </w:rPr>
            </w:pPr>
          </w:p>
        </w:tc>
        <w:tc>
          <w:tcPr>
            <w:tcW w:w="480" w:type="dxa"/>
            <w:vAlign w:val="bottom"/>
          </w:tcPr>
          <w:p w14:paraId="5F64DE5B" w14:textId="77777777" w:rsidR="00D1587D" w:rsidRDefault="00D1587D">
            <w:pPr>
              <w:rPr>
                <w:sz w:val="4"/>
                <w:szCs w:val="4"/>
              </w:rPr>
            </w:pPr>
          </w:p>
        </w:tc>
        <w:tc>
          <w:tcPr>
            <w:tcW w:w="340" w:type="dxa"/>
            <w:vAlign w:val="bottom"/>
          </w:tcPr>
          <w:p w14:paraId="3BB322E6" w14:textId="77777777" w:rsidR="00D1587D" w:rsidRDefault="00D1587D">
            <w:pPr>
              <w:rPr>
                <w:sz w:val="4"/>
                <w:szCs w:val="4"/>
              </w:rPr>
            </w:pPr>
          </w:p>
        </w:tc>
        <w:tc>
          <w:tcPr>
            <w:tcW w:w="120" w:type="dxa"/>
            <w:vAlign w:val="bottom"/>
          </w:tcPr>
          <w:p w14:paraId="624EA33A" w14:textId="77777777" w:rsidR="00D1587D" w:rsidRDefault="00D1587D">
            <w:pPr>
              <w:rPr>
                <w:sz w:val="4"/>
                <w:szCs w:val="4"/>
              </w:rPr>
            </w:pPr>
          </w:p>
        </w:tc>
        <w:tc>
          <w:tcPr>
            <w:tcW w:w="340" w:type="dxa"/>
            <w:vAlign w:val="bottom"/>
          </w:tcPr>
          <w:p w14:paraId="7DD8C175" w14:textId="77777777" w:rsidR="00D1587D" w:rsidRDefault="00D1587D">
            <w:pPr>
              <w:rPr>
                <w:sz w:val="4"/>
                <w:szCs w:val="4"/>
              </w:rPr>
            </w:pPr>
          </w:p>
        </w:tc>
        <w:tc>
          <w:tcPr>
            <w:tcW w:w="280" w:type="dxa"/>
            <w:vAlign w:val="bottom"/>
          </w:tcPr>
          <w:p w14:paraId="7F829A17" w14:textId="77777777" w:rsidR="00D1587D" w:rsidRDefault="00D1587D">
            <w:pPr>
              <w:rPr>
                <w:sz w:val="4"/>
                <w:szCs w:val="4"/>
              </w:rPr>
            </w:pPr>
          </w:p>
        </w:tc>
        <w:tc>
          <w:tcPr>
            <w:tcW w:w="40" w:type="dxa"/>
            <w:vAlign w:val="bottom"/>
          </w:tcPr>
          <w:p w14:paraId="505E5678" w14:textId="77777777" w:rsidR="00D1587D" w:rsidRDefault="00D1587D">
            <w:pPr>
              <w:rPr>
                <w:sz w:val="4"/>
                <w:szCs w:val="4"/>
              </w:rPr>
            </w:pPr>
          </w:p>
        </w:tc>
        <w:tc>
          <w:tcPr>
            <w:tcW w:w="300" w:type="dxa"/>
            <w:vAlign w:val="bottom"/>
          </w:tcPr>
          <w:p w14:paraId="4E282C02" w14:textId="77777777" w:rsidR="00D1587D" w:rsidRDefault="00D1587D">
            <w:pPr>
              <w:rPr>
                <w:sz w:val="4"/>
                <w:szCs w:val="4"/>
              </w:rPr>
            </w:pPr>
          </w:p>
        </w:tc>
        <w:tc>
          <w:tcPr>
            <w:tcW w:w="140" w:type="dxa"/>
            <w:vAlign w:val="bottom"/>
          </w:tcPr>
          <w:p w14:paraId="762D3093" w14:textId="77777777" w:rsidR="00D1587D" w:rsidRDefault="00D1587D">
            <w:pPr>
              <w:rPr>
                <w:sz w:val="4"/>
                <w:szCs w:val="4"/>
              </w:rPr>
            </w:pPr>
          </w:p>
        </w:tc>
        <w:tc>
          <w:tcPr>
            <w:tcW w:w="320" w:type="dxa"/>
            <w:vAlign w:val="bottom"/>
          </w:tcPr>
          <w:p w14:paraId="3EAD6E2A" w14:textId="77777777" w:rsidR="00D1587D" w:rsidRDefault="00D1587D">
            <w:pPr>
              <w:rPr>
                <w:sz w:val="4"/>
                <w:szCs w:val="4"/>
              </w:rPr>
            </w:pPr>
          </w:p>
        </w:tc>
        <w:tc>
          <w:tcPr>
            <w:tcW w:w="280" w:type="dxa"/>
            <w:vAlign w:val="bottom"/>
          </w:tcPr>
          <w:p w14:paraId="1E68175A" w14:textId="77777777" w:rsidR="00D1587D" w:rsidRDefault="00D1587D">
            <w:pPr>
              <w:rPr>
                <w:sz w:val="4"/>
                <w:szCs w:val="4"/>
              </w:rPr>
            </w:pPr>
          </w:p>
        </w:tc>
        <w:tc>
          <w:tcPr>
            <w:tcW w:w="340" w:type="dxa"/>
            <w:vAlign w:val="bottom"/>
          </w:tcPr>
          <w:p w14:paraId="1A54A639" w14:textId="77777777" w:rsidR="00D1587D" w:rsidRDefault="00D1587D">
            <w:pPr>
              <w:rPr>
                <w:sz w:val="4"/>
                <w:szCs w:val="4"/>
              </w:rPr>
            </w:pPr>
          </w:p>
        </w:tc>
        <w:tc>
          <w:tcPr>
            <w:tcW w:w="120" w:type="dxa"/>
            <w:vAlign w:val="bottom"/>
          </w:tcPr>
          <w:p w14:paraId="3C7999F8" w14:textId="77777777" w:rsidR="00D1587D" w:rsidRDefault="00D1587D">
            <w:pPr>
              <w:rPr>
                <w:sz w:val="4"/>
                <w:szCs w:val="4"/>
              </w:rPr>
            </w:pPr>
          </w:p>
        </w:tc>
        <w:tc>
          <w:tcPr>
            <w:tcW w:w="500" w:type="dxa"/>
            <w:vAlign w:val="bottom"/>
          </w:tcPr>
          <w:p w14:paraId="2014A0F4" w14:textId="77777777" w:rsidR="00D1587D" w:rsidRDefault="00D1587D">
            <w:pPr>
              <w:rPr>
                <w:sz w:val="4"/>
                <w:szCs w:val="4"/>
              </w:rPr>
            </w:pPr>
          </w:p>
        </w:tc>
        <w:tc>
          <w:tcPr>
            <w:tcW w:w="80" w:type="dxa"/>
            <w:vAlign w:val="bottom"/>
          </w:tcPr>
          <w:p w14:paraId="526F6CA8" w14:textId="77777777" w:rsidR="00D1587D" w:rsidRDefault="00D1587D">
            <w:pPr>
              <w:rPr>
                <w:sz w:val="4"/>
                <w:szCs w:val="4"/>
              </w:rPr>
            </w:pPr>
          </w:p>
        </w:tc>
        <w:tc>
          <w:tcPr>
            <w:tcW w:w="0" w:type="dxa"/>
            <w:vAlign w:val="bottom"/>
          </w:tcPr>
          <w:p w14:paraId="17A855D4" w14:textId="77777777" w:rsidR="00D1587D" w:rsidRDefault="00D1587D">
            <w:pPr>
              <w:rPr>
                <w:sz w:val="1"/>
                <w:szCs w:val="1"/>
              </w:rPr>
            </w:pPr>
          </w:p>
        </w:tc>
      </w:tr>
      <w:tr w:rsidR="00D1587D" w14:paraId="04A0A4FD" w14:textId="77777777">
        <w:trPr>
          <w:trHeight w:val="257"/>
        </w:trPr>
        <w:tc>
          <w:tcPr>
            <w:tcW w:w="4400" w:type="dxa"/>
            <w:shd w:val="clear" w:color="auto" w:fill="CCEEFF"/>
            <w:vAlign w:val="bottom"/>
          </w:tcPr>
          <w:p w14:paraId="5D47574D" w14:textId="77777777" w:rsidR="00D1587D" w:rsidRDefault="00410D07">
            <w:pPr>
              <w:ind w:left="180"/>
              <w:rPr>
                <w:sz w:val="20"/>
                <w:szCs w:val="20"/>
              </w:rPr>
            </w:pPr>
            <w:r>
              <w:rPr>
                <w:rFonts w:ascii="Arial" w:eastAsia="Arial" w:hAnsi="Arial" w:cs="Arial"/>
                <w:sz w:val="18"/>
                <w:szCs w:val="18"/>
              </w:rPr>
              <w:t>Other Comprehensive Income</w:t>
            </w:r>
          </w:p>
        </w:tc>
        <w:tc>
          <w:tcPr>
            <w:tcW w:w="340" w:type="dxa"/>
            <w:shd w:val="clear" w:color="auto" w:fill="CCEEFF"/>
            <w:vAlign w:val="bottom"/>
          </w:tcPr>
          <w:p w14:paraId="14ED0542" w14:textId="77777777" w:rsidR="00D1587D" w:rsidRDefault="00D1587D"/>
        </w:tc>
        <w:tc>
          <w:tcPr>
            <w:tcW w:w="940" w:type="dxa"/>
            <w:gridSpan w:val="3"/>
            <w:shd w:val="clear" w:color="auto" w:fill="CCEEFF"/>
            <w:vAlign w:val="bottom"/>
          </w:tcPr>
          <w:p w14:paraId="63EF781C" w14:textId="77777777" w:rsidR="00D1587D" w:rsidRDefault="00410D07">
            <w:pPr>
              <w:ind w:right="460"/>
              <w:jc w:val="right"/>
              <w:rPr>
                <w:sz w:val="20"/>
                <w:szCs w:val="20"/>
              </w:rPr>
            </w:pPr>
            <w:r>
              <w:rPr>
                <w:rFonts w:ascii="Arial" w:eastAsia="Arial" w:hAnsi="Arial" w:cs="Arial"/>
                <w:sz w:val="18"/>
                <w:szCs w:val="18"/>
              </w:rPr>
              <w:t>—</w:t>
            </w:r>
          </w:p>
        </w:tc>
        <w:tc>
          <w:tcPr>
            <w:tcW w:w="660" w:type="dxa"/>
            <w:gridSpan w:val="3"/>
            <w:tcBorders>
              <w:right w:val="single" w:sz="8" w:space="0" w:color="CCEEFF"/>
            </w:tcBorders>
            <w:shd w:val="clear" w:color="auto" w:fill="CCEEFF"/>
            <w:vAlign w:val="bottom"/>
          </w:tcPr>
          <w:p w14:paraId="74DFC0C8" w14:textId="77777777" w:rsidR="00D1587D" w:rsidRDefault="00410D07">
            <w:pPr>
              <w:ind w:right="40"/>
              <w:jc w:val="right"/>
              <w:rPr>
                <w:sz w:val="20"/>
                <w:szCs w:val="20"/>
              </w:rPr>
            </w:pPr>
            <w:r>
              <w:rPr>
                <w:rFonts w:ascii="Arial" w:eastAsia="Arial" w:hAnsi="Arial" w:cs="Arial"/>
                <w:sz w:val="18"/>
                <w:szCs w:val="18"/>
              </w:rPr>
              <w:t>3</w:t>
            </w:r>
          </w:p>
        </w:tc>
        <w:tc>
          <w:tcPr>
            <w:tcW w:w="300" w:type="dxa"/>
            <w:shd w:val="clear" w:color="auto" w:fill="CCEEFF"/>
            <w:vAlign w:val="bottom"/>
          </w:tcPr>
          <w:p w14:paraId="46F3A71A" w14:textId="77777777" w:rsidR="00D1587D" w:rsidRDefault="00D1587D"/>
        </w:tc>
        <w:tc>
          <w:tcPr>
            <w:tcW w:w="140" w:type="dxa"/>
            <w:shd w:val="clear" w:color="auto" w:fill="CCEEFF"/>
            <w:vAlign w:val="bottom"/>
          </w:tcPr>
          <w:p w14:paraId="0C5E6066" w14:textId="77777777" w:rsidR="00D1587D" w:rsidRDefault="00D1587D"/>
        </w:tc>
        <w:tc>
          <w:tcPr>
            <w:tcW w:w="320" w:type="dxa"/>
            <w:shd w:val="clear" w:color="auto" w:fill="CCEEFF"/>
            <w:vAlign w:val="bottom"/>
          </w:tcPr>
          <w:p w14:paraId="1BA4D544" w14:textId="77777777" w:rsidR="00D1587D" w:rsidRDefault="00D1587D"/>
        </w:tc>
        <w:tc>
          <w:tcPr>
            <w:tcW w:w="740" w:type="dxa"/>
            <w:gridSpan w:val="3"/>
            <w:shd w:val="clear" w:color="auto" w:fill="CCEEFF"/>
            <w:vAlign w:val="bottom"/>
          </w:tcPr>
          <w:p w14:paraId="1D964BA0" w14:textId="77777777" w:rsidR="00D1587D" w:rsidRDefault="00410D07">
            <w:pPr>
              <w:ind w:right="460"/>
              <w:jc w:val="right"/>
              <w:rPr>
                <w:sz w:val="20"/>
                <w:szCs w:val="20"/>
              </w:rPr>
            </w:pPr>
            <w:r>
              <w:rPr>
                <w:rFonts w:ascii="Arial" w:eastAsia="Arial" w:hAnsi="Arial" w:cs="Arial"/>
                <w:sz w:val="18"/>
                <w:szCs w:val="18"/>
              </w:rPr>
              <w:t>—</w:t>
            </w:r>
          </w:p>
        </w:tc>
        <w:tc>
          <w:tcPr>
            <w:tcW w:w="500" w:type="dxa"/>
            <w:shd w:val="clear" w:color="auto" w:fill="CCEEFF"/>
            <w:vAlign w:val="bottom"/>
          </w:tcPr>
          <w:p w14:paraId="29DFFC43" w14:textId="77777777" w:rsidR="00D1587D" w:rsidRDefault="00410D07">
            <w:pPr>
              <w:jc w:val="right"/>
              <w:rPr>
                <w:sz w:val="20"/>
                <w:szCs w:val="20"/>
              </w:rPr>
            </w:pPr>
            <w:r>
              <w:rPr>
                <w:rFonts w:ascii="Arial" w:eastAsia="Arial" w:hAnsi="Arial" w:cs="Arial"/>
                <w:sz w:val="18"/>
                <w:szCs w:val="18"/>
              </w:rPr>
              <w:t>3</w:t>
            </w:r>
          </w:p>
        </w:tc>
        <w:tc>
          <w:tcPr>
            <w:tcW w:w="80" w:type="dxa"/>
            <w:shd w:val="clear" w:color="auto" w:fill="CCEEFF"/>
            <w:vAlign w:val="bottom"/>
          </w:tcPr>
          <w:p w14:paraId="10DD6697" w14:textId="77777777" w:rsidR="00D1587D" w:rsidRDefault="00D1587D"/>
        </w:tc>
        <w:tc>
          <w:tcPr>
            <w:tcW w:w="0" w:type="dxa"/>
            <w:vAlign w:val="bottom"/>
          </w:tcPr>
          <w:p w14:paraId="18B576F0" w14:textId="77777777" w:rsidR="00D1587D" w:rsidRDefault="00D1587D">
            <w:pPr>
              <w:rPr>
                <w:sz w:val="1"/>
                <w:szCs w:val="1"/>
              </w:rPr>
            </w:pPr>
          </w:p>
        </w:tc>
      </w:tr>
      <w:tr w:rsidR="00D1587D" w14:paraId="5BD0A3EE" w14:textId="77777777">
        <w:trPr>
          <w:trHeight w:val="61"/>
        </w:trPr>
        <w:tc>
          <w:tcPr>
            <w:tcW w:w="4400" w:type="dxa"/>
            <w:tcBorders>
              <w:top w:val="single" w:sz="8" w:space="0" w:color="CCEEFF"/>
            </w:tcBorders>
            <w:shd w:val="clear" w:color="auto" w:fill="CCEEFF"/>
            <w:vAlign w:val="bottom"/>
          </w:tcPr>
          <w:p w14:paraId="21E6428C" w14:textId="77777777" w:rsidR="00D1587D" w:rsidRDefault="00D1587D">
            <w:pPr>
              <w:rPr>
                <w:sz w:val="5"/>
                <w:szCs w:val="5"/>
              </w:rPr>
            </w:pPr>
          </w:p>
        </w:tc>
        <w:tc>
          <w:tcPr>
            <w:tcW w:w="340" w:type="dxa"/>
            <w:tcBorders>
              <w:top w:val="single" w:sz="8" w:space="0" w:color="CCEEFF"/>
            </w:tcBorders>
            <w:shd w:val="clear" w:color="auto" w:fill="CCEEFF"/>
            <w:vAlign w:val="bottom"/>
          </w:tcPr>
          <w:p w14:paraId="1993B706" w14:textId="77777777" w:rsidR="00D1587D" w:rsidRDefault="00D1587D">
            <w:pPr>
              <w:rPr>
                <w:sz w:val="5"/>
                <w:szCs w:val="5"/>
              </w:rPr>
            </w:pPr>
          </w:p>
        </w:tc>
        <w:tc>
          <w:tcPr>
            <w:tcW w:w="480" w:type="dxa"/>
            <w:tcBorders>
              <w:top w:val="single" w:sz="8" w:space="0" w:color="auto"/>
            </w:tcBorders>
            <w:shd w:val="clear" w:color="auto" w:fill="CCEEFF"/>
            <w:vAlign w:val="bottom"/>
          </w:tcPr>
          <w:p w14:paraId="52E12391" w14:textId="77777777" w:rsidR="00D1587D" w:rsidRDefault="00D1587D">
            <w:pPr>
              <w:rPr>
                <w:sz w:val="5"/>
                <w:szCs w:val="5"/>
              </w:rPr>
            </w:pPr>
          </w:p>
        </w:tc>
        <w:tc>
          <w:tcPr>
            <w:tcW w:w="340" w:type="dxa"/>
            <w:tcBorders>
              <w:top w:val="single" w:sz="8" w:space="0" w:color="CCEEFF"/>
            </w:tcBorders>
            <w:shd w:val="clear" w:color="auto" w:fill="CCEEFF"/>
            <w:vAlign w:val="bottom"/>
          </w:tcPr>
          <w:p w14:paraId="221E48F8" w14:textId="77777777" w:rsidR="00D1587D" w:rsidRDefault="00D1587D">
            <w:pPr>
              <w:rPr>
                <w:sz w:val="5"/>
                <w:szCs w:val="5"/>
              </w:rPr>
            </w:pPr>
          </w:p>
        </w:tc>
        <w:tc>
          <w:tcPr>
            <w:tcW w:w="120" w:type="dxa"/>
            <w:tcBorders>
              <w:top w:val="single" w:sz="8" w:space="0" w:color="CCEEFF"/>
            </w:tcBorders>
            <w:shd w:val="clear" w:color="auto" w:fill="CCEEFF"/>
            <w:vAlign w:val="bottom"/>
          </w:tcPr>
          <w:p w14:paraId="7EE21D05" w14:textId="77777777" w:rsidR="00D1587D" w:rsidRDefault="00D1587D">
            <w:pPr>
              <w:rPr>
                <w:sz w:val="5"/>
                <w:szCs w:val="5"/>
              </w:rPr>
            </w:pPr>
          </w:p>
        </w:tc>
        <w:tc>
          <w:tcPr>
            <w:tcW w:w="340" w:type="dxa"/>
            <w:tcBorders>
              <w:top w:val="single" w:sz="8" w:space="0" w:color="CCEEFF"/>
              <w:right w:val="single" w:sz="8" w:space="0" w:color="CCEEFF"/>
            </w:tcBorders>
            <w:shd w:val="clear" w:color="auto" w:fill="CCEEFF"/>
            <w:vAlign w:val="bottom"/>
          </w:tcPr>
          <w:p w14:paraId="43803B3B" w14:textId="77777777" w:rsidR="00D1587D" w:rsidRDefault="00D1587D">
            <w:pPr>
              <w:rPr>
                <w:sz w:val="5"/>
                <w:szCs w:val="5"/>
              </w:rPr>
            </w:pPr>
          </w:p>
        </w:tc>
        <w:tc>
          <w:tcPr>
            <w:tcW w:w="280" w:type="dxa"/>
            <w:tcBorders>
              <w:top w:val="single" w:sz="8" w:space="0" w:color="auto"/>
            </w:tcBorders>
            <w:shd w:val="clear" w:color="auto" w:fill="CCEEFF"/>
            <w:vAlign w:val="bottom"/>
          </w:tcPr>
          <w:p w14:paraId="296D2E5C" w14:textId="77777777" w:rsidR="00D1587D" w:rsidRDefault="00D1587D">
            <w:pPr>
              <w:rPr>
                <w:sz w:val="5"/>
                <w:szCs w:val="5"/>
              </w:rPr>
            </w:pPr>
          </w:p>
        </w:tc>
        <w:tc>
          <w:tcPr>
            <w:tcW w:w="40" w:type="dxa"/>
            <w:tcBorders>
              <w:top w:val="single" w:sz="8" w:space="0" w:color="CCEEFF"/>
              <w:right w:val="single" w:sz="8" w:space="0" w:color="CCEEFF"/>
            </w:tcBorders>
            <w:shd w:val="clear" w:color="auto" w:fill="CCEEFF"/>
            <w:vAlign w:val="bottom"/>
          </w:tcPr>
          <w:p w14:paraId="5C9856C9" w14:textId="77777777" w:rsidR="00D1587D" w:rsidRDefault="00D1587D">
            <w:pPr>
              <w:rPr>
                <w:sz w:val="5"/>
                <w:szCs w:val="5"/>
              </w:rPr>
            </w:pPr>
          </w:p>
        </w:tc>
        <w:tc>
          <w:tcPr>
            <w:tcW w:w="300" w:type="dxa"/>
            <w:tcBorders>
              <w:top w:val="single" w:sz="8" w:space="0" w:color="CCEEFF"/>
            </w:tcBorders>
            <w:shd w:val="clear" w:color="auto" w:fill="CCEEFF"/>
            <w:vAlign w:val="bottom"/>
          </w:tcPr>
          <w:p w14:paraId="5B465547" w14:textId="77777777" w:rsidR="00D1587D" w:rsidRDefault="00D1587D">
            <w:pPr>
              <w:rPr>
                <w:sz w:val="5"/>
                <w:szCs w:val="5"/>
              </w:rPr>
            </w:pPr>
          </w:p>
        </w:tc>
        <w:tc>
          <w:tcPr>
            <w:tcW w:w="140" w:type="dxa"/>
            <w:tcBorders>
              <w:top w:val="single" w:sz="8" w:space="0" w:color="CCEEFF"/>
            </w:tcBorders>
            <w:shd w:val="clear" w:color="auto" w:fill="CCEEFF"/>
            <w:vAlign w:val="bottom"/>
          </w:tcPr>
          <w:p w14:paraId="34427317" w14:textId="77777777" w:rsidR="00D1587D" w:rsidRDefault="00D1587D">
            <w:pPr>
              <w:rPr>
                <w:sz w:val="5"/>
                <w:szCs w:val="5"/>
              </w:rPr>
            </w:pPr>
          </w:p>
        </w:tc>
        <w:tc>
          <w:tcPr>
            <w:tcW w:w="320" w:type="dxa"/>
            <w:tcBorders>
              <w:top w:val="single" w:sz="8" w:space="0" w:color="CCEEFF"/>
            </w:tcBorders>
            <w:shd w:val="clear" w:color="auto" w:fill="CCEEFF"/>
            <w:vAlign w:val="bottom"/>
          </w:tcPr>
          <w:p w14:paraId="7445FB37" w14:textId="77777777" w:rsidR="00D1587D" w:rsidRDefault="00D1587D">
            <w:pPr>
              <w:rPr>
                <w:sz w:val="5"/>
                <w:szCs w:val="5"/>
              </w:rPr>
            </w:pPr>
          </w:p>
        </w:tc>
        <w:tc>
          <w:tcPr>
            <w:tcW w:w="280" w:type="dxa"/>
            <w:tcBorders>
              <w:top w:val="single" w:sz="8" w:space="0" w:color="auto"/>
            </w:tcBorders>
            <w:shd w:val="clear" w:color="auto" w:fill="CCEEFF"/>
            <w:vAlign w:val="bottom"/>
          </w:tcPr>
          <w:p w14:paraId="3BC36039" w14:textId="77777777" w:rsidR="00D1587D" w:rsidRDefault="00D1587D">
            <w:pPr>
              <w:rPr>
                <w:sz w:val="5"/>
                <w:szCs w:val="5"/>
              </w:rPr>
            </w:pPr>
          </w:p>
        </w:tc>
        <w:tc>
          <w:tcPr>
            <w:tcW w:w="340" w:type="dxa"/>
            <w:tcBorders>
              <w:top w:val="single" w:sz="8" w:space="0" w:color="CCEEFF"/>
            </w:tcBorders>
            <w:shd w:val="clear" w:color="auto" w:fill="CCEEFF"/>
            <w:vAlign w:val="bottom"/>
          </w:tcPr>
          <w:p w14:paraId="514F2C45" w14:textId="77777777" w:rsidR="00D1587D" w:rsidRDefault="00D1587D">
            <w:pPr>
              <w:rPr>
                <w:sz w:val="5"/>
                <w:szCs w:val="5"/>
              </w:rPr>
            </w:pPr>
          </w:p>
        </w:tc>
        <w:tc>
          <w:tcPr>
            <w:tcW w:w="120" w:type="dxa"/>
            <w:tcBorders>
              <w:top w:val="single" w:sz="8" w:space="0" w:color="CCEEFF"/>
            </w:tcBorders>
            <w:shd w:val="clear" w:color="auto" w:fill="CCEEFF"/>
            <w:vAlign w:val="bottom"/>
          </w:tcPr>
          <w:p w14:paraId="65622A6E" w14:textId="77777777" w:rsidR="00D1587D" w:rsidRDefault="00D1587D">
            <w:pPr>
              <w:rPr>
                <w:sz w:val="5"/>
                <w:szCs w:val="5"/>
              </w:rPr>
            </w:pPr>
          </w:p>
        </w:tc>
        <w:tc>
          <w:tcPr>
            <w:tcW w:w="500" w:type="dxa"/>
            <w:tcBorders>
              <w:top w:val="single" w:sz="8" w:space="0" w:color="auto"/>
            </w:tcBorders>
            <w:shd w:val="clear" w:color="auto" w:fill="CCEEFF"/>
            <w:vAlign w:val="bottom"/>
          </w:tcPr>
          <w:p w14:paraId="0202B63A" w14:textId="77777777" w:rsidR="00D1587D" w:rsidRDefault="00D1587D">
            <w:pPr>
              <w:rPr>
                <w:sz w:val="5"/>
                <w:szCs w:val="5"/>
              </w:rPr>
            </w:pPr>
          </w:p>
        </w:tc>
        <w:tc>
          <w:tcPr>
            <w:tcW w:w="80" w:type="dxa"/>
            <w:tcBorders>
              <w:top w:val="single" w:sz="8" w:space="0" w:color="CCEEFF"/>
            </w:tcBorders>
            <w:shd w:val="clear" w:color="auto" w:fill="CCEEFF"/>
            <w:vAlign w:val="bottom"/>
          </w:tcPr>
          <w:p w14:paraId="3D1570A4" w14:textId="77777777" w:rsidR="00D1587D" w:rsidRDefault="00D1587D">
            <w:pPr>
              <w:rPr>
                <w:sz w:val="5"/>
                <w:szCs w:val="5"/>
              </w:rPr>
            </w:pPr>
          </w:p>
        </w:tc>
        <w:tc>
          <w:tcPr>
            <w:tcW w:w="0" w:type="dxa"/>
            <w:vAlign w:val="bottom"/>
          </w:tcPr>
          <w:p w14:paraId="7A8F0570" w14:textId="77777777" w:rsidR="00D1587D" w:rsidRDefault="00D1587D">
            <w:pPr>
              <w:rPr>
                <w:sz w:val="1"/>
                <w:szCs w:val="1"/>
              </w:rPr>
            </w:pPr>
          </w:p>
        </w:tc>
      </w:tr>
      <w:tr w:rsidR="00D1587D" w14:paraId="343DFA4F" w14:textId="77777777">
        <w:trPr>
          <w:trHeight w:val="284"/>
        </w:trPr>
        <w:tc>
          <w:tcPr>
            <w:tcW w:w="4400" w:type="dxa"/>
            <w:vAlign w:val="bottom"/>
          </w:tcPr>
          <w:p w14:paraId="6E2DC03E" w14:textId="77777777" w:rsidR="00D1587D" w:rsidRDefault="00410D07">
            <w:pPr>
              <w:ind w:left="180"/>
              <w:rPr>
                <w:sz w:val="20"/>
                <w:szCs w:val="20"/>
              </w:rPr>
            </w:pPr>
            <w:r>
              <w:rPr>
                <w:rFonts w:ascii="Arial" w:eastAsia="Arial" w:hAnsi="Arial" w:cs="Arial"/>
                <w:sz w:val="18"/>
                <w:szCs w:val="18"/>
              </w:rPr>
              <w:t>Total Comprehensive Income</w:t>
            </w:r>
          </w:p>
        </w:tc>
        <w:tc>
          <w:tcPr>
            <w:tcW w:w="820" w:type="dxa"/>
            <w:gridSpan w:val="2"/>
            <w:vAlign w:val="bottom"/>
          </w:tcPr>
          <w:p w14:paraId="6C35021B" w14:textId="77777777" w:rsidR="00D1587D" w:rsidRDefault="00410D07">
            <w:pPr>
              <w:jc w:val="right"/>
              <w:rPr>
                <w:sz w:val="20"/>
                <w:szCs w:val="20"/>
              </w:rPr>
            </w:pPr>
            <w:r>
              <w:rPr>
                <w:rFonts w:ascii="Arial" w:eastAsia="Arial" w:hAnsi="Arial" w:cs="Arial"/>
                <w:sz w:val="18"/>
                <w:szCs w:val="18"/>
              </w:rPr>
              <w:t>174</w:t>
            </w:r>
          </w:p>
        </w:tc>
        <w:tc>
          <w:tcPr>
            <w:tcW w:w="340" w:type="dxa"/>
            <w:vAlign w:val="bottom"/>
          </w:tcPr>
          <w:p w14:paraId="489EC21D" w14:textId="77777777" w:rsidR="00D1587D" w:rsidRDefault="00D1587D">
            <w:pPr>
              <w:rPr>
                <w:sz w:val="24"/>
                <w:szCs w:val="24"/>
              </w:rPr>
            </w:pPr>
          </w:p>
        </w:tc>
        <w:tc>
          <w:tcPr>
            <w:tcW w:w="120" w:type="dxa"/>
            <w:vAlign w:val="bottom"/>
          </w:tcPr>
          <w:p w14:paraId="0D89B991" w14:textId="77777777" w:rsidR="00D1587D" w:rsidRDefault="00D1587D">
            <w:pPr>
              <w:rPr>
                <w:sz w:val="24"/>
                <w:szCs w:val="24"/>
              </w:rPr>
            </w:pPr>
          </w:p>
        </w:tc>
        <w:tc>
          <w:tcPr>
            <w:tcW w:w="660" w:type="dxa"/>
            <w:gridSpan w:val="3"/>
            <w:vAlign w:val="bottom"/>
          </w:tcPr>
          <w:p w14:paraId="77A099C8" w14:textId="77777777" w:rsidR="00D1587D" w:rsidRDefault="00410D07">
            <w:pPr>
              <w:ind w:right="40"/>
              <w:jc w:val="right"/>
              <w:rPr>
                <w:sz w:val="20"/>
                <w:szCs w:val="20"/>
              </w:rPr>
            </w:pPr>
            <w:r>
              <w:rPr>
                <w:rFonts w:ascii="Arial" w:eastAsia="Arial" w:hAnsi="Arial" w:cs="Arial"/>
                <w:sz w:val="18"/>
                <w:szCs w:val="18"/>
              </w:rPr>
              <w:t>3</w:t>
            </w:r>
          </w:p>
        </w:tc>
        <w:tc>
          <w:tcPr>
            <w:tcW w:w="300" w:type="dxa"/>
            <w:vAlign w:val="bottom"/>
          </w:tcPr>
          <w:p w14:paraId="67389101" w14:textId="77777777" w:rsidR="00D1587D" w:rsidRDefault="00D1587D">
            <w:pPr>
              <w:rPr>
                <w:sz w:val="24"/>
                <w:szCs w:val="24"/>
              </w:rPr>
            </w:pPr>
          </w:p>
        </w:tc>
        <w:tc>
          <w:tcPr>
            <w:tcW w:w="140" w:type="dxa"/>
            <w:vAlign w:val="bottom"/>
          </w:tcPr>
          <w:p w14:paraId="001FBD3E" w14:textId="77777777" w:rsidR="00D1587D" w:rsidRDefault="00D1587D">
            <w:pPr>
              <w:rPr>
                <w:sz w:val="24"/>
                <w:szCs w:val="24"/>
              </w:rPr>
            </w:pPr>
          </w:p>
        </w:tc>
        <w:tc>
          <w:tcPr>
            <w:tcW w:w="320" w:type="dxa"/>
            <w:vAlign w:val="bottom"/>
          </w:tcPr>
          <w:p w14:paraId="5CAB99E3" w14:textId="77777777" w:rsidR="00D1587D" w:rsidRDefault="00D1587D">
            <w:pPr>
              <w:rPr>
                <w:sz w:val="24"/>
                <w:szCs w:val="24"/>
              </w:rPr>
            </w:pPr>
          </w:p>
        </w:tc>
        <w:tc>
          <w:tcPr>
            <w:tcW w:w="740" w:type="dxa"/>
            <w:gridSpan w:val="3"/>
            <w:vAlign w:val="bottom"/>
          </w:tcPr>
          <w:p w14:paraId="3E3B734E" w14:textId="77777777" w:rsidR="00D1587D" w:rsidRDefault="00410D07">
            <w:pPr>
              <w:ind w:right="460"/>
              <w:jc w:val="right"/>
              <w:rPr>
                <w:sz w:val="20"/>
                <w:szCs w:val="20"/>
              </w:rPr>
            </w:pPr>
            <w:r>
              <w:rPr>
                <w:rFonts w:ascii="Arial" w:eastAsia="Arial" w:hAnsi="Arial" w:cs="Arial"/>
                <w:sz w:val="18"/>
                <w:szCs w:val="18"/>
              </w:rPr>
              <w:t>—</w:t>
            </w:r>
          </w:p>
        </w:tc>
        <w:tc>
          <w:tcPr>
            <w:tcW w:w="500" w:type="dxa"/>
            <w:vAlign w:val="bottom"/>
          </w:tcPr>
          <w:p w14:paraId="09C35766" w14:textId="77777777" w:rsidR="00D1587D" w:rsidRDefault="00410D07">
            <w:pPr>
              <w:jc w:val="right"/>
              <w:rPr>
                <w:sz w:val="20"/>
                <w:szCs w:val="20"/>
              </w:rPr>
            </w:pPr>
            <w:r>
              <w:rPr>
                <w:rFonts w:ascii="Arial" w:eastAsia="Arial" w:hAnsi="Arial" w:cs="Arial"/>
                <w:sz w:val="18"/>
                <w:szCs w:val="18"/>
              </w:rPr>
              <w:t>177</w:t>
            </w:r>
          </w:p>
        </w:tc>
        <w:tc>
          <w:tcPr>
            <w:tcW w:w="80" w:type="dxa"/>
            <w:vAlign w:val="bottom"/>
          </w:tcPr>
          <w:p w14:paraId="25FC924A" w14:textId="77777777" w:rsidR="00D1587D" w:rsidRDefault="00D1587D">
            <w:pPr>
              <w:rPr>
                <w:sz w:val="24"/>
                <w:szCs w:val="24"/>
              </w:rPr>
            </w:pPr>
          </w:p>
        </w:tc>
        <w:tc>
          <w:tcPr>
            <w:tcW w:w="0" w:type="dxa"/>
            <w:vAlign w:val="bottom"/>
          </w:tcPr>
          <w:p w14:paraId="6584D721" w14:textId="77777777" w:rsidR="00D1587D" w:rsidRDefault="00D1587D">
            <w:pPr>
              <w:rPr>
                <w:sz w:val="1"/>
                <w:szCs w:val="1"/>
              </w:rPr>
            </w:pPr>
          </w:p>
        </w:tc>
      </w:tr>
      <w:tr w:rsidR="00D1587D" w14:paraId="32415E03" w14:textId="77777777">
        <w:trPr>
          <w:trHeight w:val="54"/>
        </w:trPr>
        <w:tc>
          <w:tcPr>
            <w:tcW w:w="4400" w:type="dxa"/>
            <w:vAlign w:val="bottom"/>
          </w:tcPr>
          <w:p w14:paraId="48B88310" w14:textId="77777777" w:rsidR="00D1587D" w:rsidRDefault="00D1587D">
            <w:pPr>
              <w:rPr>
                <w:sz w:val="4"/>
                <w:szCs w:val="4"/>
              </w:rPr>
            </w:pPr>
          </w:p>
        </w:tc>
        <w:tc>
          <w:tcPr>
            <w:tcW w:w="340" w:type="dxa"/>
            <w:vAlign w:val="bottom"/>
          </w:tcPr>
          <w:p w14:paraId="6988D8E6" w14:textId="77777777" w:rsidR="00D1587D" w:rsidRDefault="00D1587D">
            <w:pPr>
              <w:rPr>
                <w:sz w:val="4"/>
                <w:szCs w:val="4"/>
              </w:rPr>
            </w:pPr>
          </w:p>
        </w:tc>
        <w:tc>
          <w:tcPr>
            <w:tcW w:w="480" w:type="dxa"/>
            <w:vAlign w:val="bottom"/>
          </w:tcPr>
          <w:p w14:paraId="41F5D276" w14:textId="77777777" w:rsidR="00D1587D" w:rsidRDefault="00D1587D">
            <w:pPr>
              <w:rPr>
                <w:sz w:val="4"/>
                <w:szCs w:val="4"/>
              </w:rPr>
            </w:pPr>
          </w:p>
        </w:tc>
        <w:tc>
          <w:tcPr>
            <w:tcW w:w="340" w:type="dxa"/>
            <w:vAlign w:val="bottom"/>
          </w:tcPr>
          <w:p w14:paraId="0E97C9B8" w14:textId="77777777" w:rsidR="00D1587D" w:rsidRDefault="00D1587D">
            <w:pPr>
              <w:rPr>
                <w:sz w:val="4"/>
                <w:szCs w:val="4"/>
              </w:rPr>
            </w:pPr>
          </w:p>
        </w:tc>
        <w:tc>
          <w:tcPr>
            <w:tcW w:w="120" w:type="dxa"/>
            <w:vAlign w:val="bottom"/>
          </w:tcPr>
          <w:p w14:paraId="70224AF1" w14:textId="77777777" w:rsidR="00D1587D" w:rsidRDefault="00D1587D">
            <w:pPr>
              <w:rPr>
                <w:sz w:val="4"/>
                <w:szCs w:val="4"/>
              </w:rPr>
            </w:pPr>
          </w:p>
        </w:tc>
        <w:tc>
          <w:tcPr>
            <w:tcW w:w="340" w:type="dxa"/>
            <w:vAlign w:val="bottom"/>
          </w:tcPr>
          <w:p w14:paraId="6EA1FB1B" w14:textId="77777777" w:rsidR="00D1587D" w:rsidRDefault="00D1587D">
            <w:pPr>
              <w:rPr>
                <w:sz w:val="4"/>
                <w:szCs w:val="4"/>
              </w:rPr>
            </w:pPr>
          </w:p>
        </w:tc>
        <w:tc>
          <w:tcPr>
            <w:tcW w:w="280" w:type="dxa"/>
            <w:vAlign w:val="bottom"/>
          </w:tcPr>
          <w:p w14:paraId="572B28E1" w14:textId="77777777" w:rsidR="00D1587D" w:rsidRDefault="00D1587D">
            <w:pPr>
              <w:rPr>
                <w:sz w:val="4"/>
                <w:szCs w:val="4"/>
              </w:rPr>
            </w:pPr>
          </w:p>
        </w:tc>
        <w:tc>
          <w:tcPr>
            <w:tcW w:w="40" w:type="dxa"/>
            <w:vAlign w:val="bottom"/>
          </w:tcPr>
          <w:p w14:paraId="2DCC1323" w14:textId="77777777" w:rsidR="00D1587D" w:rsidRDefault="00D1587D">
            <w:pPr>
              <w:rPr>
                <w:sz w:val="4"/>
                <w:szCs w:val="4"/>
              </w:rPr>
            </w:pPr>
          </w:p>
        </w:tc>
        <w:tc>
          <w:tcPr>
            <w:tcW w:w="300" w:type="dxa"/>
            <w:vAlign w:val="bottom"/>
          </w:tcPr>
          <w:p w14:paraId="0906DF90" w14:textId="77777777" w:rsidR="00D1587D" w:rsidRDefault="00D1587D">
            <w:pPr>
              <w:rPr>
                <w:sz w:val="4"/>
                <w:szCs w:val="4"/>
              </w:rPr>
            </w:pPr>
          </w:p>
        </w:tc>
        <w:tc>
          <w:tcPr>
            <w:tcW w:w="140" w:type="dxa"/>
            <w:vAlign w:val="bottom"/>
          </w:tcPr>
          <w:p w14:paraId="67BB537A" w14:textId="77777777" w:rsidR="00D1587D" w:rsidRDefault="00D1587D">
            <w:pPr>
              <w:rPr>
                <w:sz w:val="4"/>
                <w:szCs w:val="4"/>
              </w:rPr>
            </w:pPr>
          </w:p>
        </w:tc>
        <w:tc>
          <w:tcPr>
            <w:tcW w:w="320" w:type="dxa"/>
            <w:vAlign w:val="bottom"/>
          </w:tcPr>
          <w:p w14:paraId="187E6A0E" w14:textId="77777777" w:rsidR="00D1587D" w:rsidRDefault="00D1587D">
            <w:pPr>
              <w:rPr>
                <w:sz w:val="4"/>
                <w:szCs w:val="4"/>
              </w:rPr>
            </w:pPr>
          </w:p>
        </w:tc>
        <w:tc>
          <w:tcPr>
            <w:tcW w:w="280" w:type="dxa"/>
            <w:vAlign w:val="bottom"/>
          </w:tcPr>
          <w:p w14:paraId="44B762CB" w14:textId="77777777" w:rsidR="00D1587D" w:rsidRDefault="00D1587D">
            <w:pPr>
              <w:rPr>
                <w:sz w:val="4"/>
                <w:szCs w:val="4"/>
              </w:rPr>
            </w:pPr>
          </w:p>
        </w:tc>
        <w:tc>
          <w:tcPr>
            <w:tcW w:w="340" w:type="dxa"/>
            <w:vAlign w:val="bottom"/>
          </w:tcPr>
          <w:p w14:paraId="4A55D911" w14:textId="77777777" w:rsidR="00D1587D" w:rsidRDefault="00D1587D">
            <w:pPr>
              <w:rPr>
                <w:sz w:val="4"/>
                <w:szCs w:val="4"/>
              </w:rPr>
            </w:pPr>
          </w:p>
        </w:tc>
        <w:tc>
          <w:tcPr>
            <w:tcW w:w="120" w:type="dxa"/>
            <w:vAlign w:val="bottom"/>
          </w:tcPr>
          <w:p w14:paraId="5A753A6A" w14:textId="77777777" w:rsidR="00D1587D" w:rsidRDefault="00D1587D">
            <w:pPr>
              <w:rPr>
                <w:sz w:val="4"/>
                <w:szCs w:val="4"/>
              </w:rPr>
            </w:pPr>
          </w:p>
        </w:tc>
        <w:tc>
          <w:tcPr>
            <w:tcW w:w="500" w:type="dxa"/>
            <w:vAlign w:val="bottom"/>
          </w:tcPr>
          <w:p w14:paraId="5E4EDB28" w14:textId="77777777" w:rsidR="00D1587D" w:rsidRDefault="00D1587D">
            <w:pPr>
              <w:rPr>
                <w:sz w:val="4"/>
                <w:szCs w:val="4"/>
              </w:rPr>
            </w:pPr>
          </w:p>
        </w:tc>
        <w:tc>
          <w:tcPr>
            <w:tcW w:w="80" w:type="dxa"/>
            <w:vAlign w:val="bottom"/>
          </w:tcPr>
          <w:p w14:paraId="123A87E4" w14:textId="77777777" w:rsidR="00D1587D" w:rsidRDefault="00D1587D">
            <w:pPr>
              <w:rPr>
                <w:sz w:val="4"/>
                <w:szCs w:val="4"/>
              </w:rPr>
            </w:pPr>
          </w:p>
        </w:tc>
        <w:tc>
          <w:tcPr>
            <w:tcW w:w="0" w:type="dxa"/>
            <w:vAlign w:val="bottom"/>
          </w:tcPr>
          <w:p w14:paraId="6A7C010E" w14:textId="77777777" w:rsidR="00D1587D" w:rsidRDefault="00D1587D">
            <w:pPr>
              <w:rPr>
                <w:sz w:val="1"/>
                <w:szCs w:val="1"/>
              </w:rPr>
            </w:pPr>
          </w:p>
        </w:tc>
      </w:tr>
      <w:tr w:rsidR="00D1587D" w14:paraId="2EFA15F0" w14:textId="77777777">
        <w:trPr>
          <w:trHeight w:val="257"/>
        </w:trPr>
        <w:tc>
          <w:tcPr>
            <w:tcW w:w="4400" w:type="dxa"/>
            <w:shd w:val="clear" w:color="auto" w:fill="CCEEFF"/>
            <w:vAlign w:val="bottom"/>
          </w:tcPr>
          <w:p w14:paraId="10C07076" w14:textId="77777777" w:rsidR="00D1587D" w:rsidRDefault="00410D07">
            <w:pPr>
              <w:ind w:left="180"/>
              <w:rPr>
                <w:sz w:val="20"/>
                <w:szCs w:val="20"/>
              </w:rPr>
            </w:pPr>
            <w:r>
              <w:rPr>
                <w:rFonts w:ascii="Arial" w:eastAsia="Arial" w:hAnsi="Arial" w:cs="Arial"/>
                <w:sz w:val="18"/>
                <w:szCs w:val="18"/>
              </w:rPr>
              <w:t>Net Transfers to L Brands, Inc.</w:t>
            </w:r>
          </w:p>
        </w:tc>
        <w:tc>
          <w:tcPr>
            <w:tcW w:w="1160" w:type="dxa"/>
            <w:gridSpan w:val="3"/>
            <w:shd w:val="clear" w:color="auto" w:fill="CCEEFF"/>
            <w:vAlign w:val="bottom"/>
          </w:tcPr>
          <w:p w14:paraId="41A70A67" w14:textId="77777777" w:rsidR="00D1587D" w:rsidRDefault="00410D07">
            <w:pPr>
              <w:ind w:right="280"/>
              <w:jc w:val="right"/>
              <w:rPr>
                <w:sz w:val="20"/>
                <w:szCs w:val="20"/>
              </w:rPr>
            </w:pPr>
            <w:r>
              <w:rPr>
                <w:rFonts w:ascii="Arial" w:eastAsia="Arial" w:hAnsi="Arial" w:cs="Arial"/>
                <w:sz w:val="18"/>
                <w:szCs w:val="18"/>
              </w:rPr>
              <w:t>(61)</w:t>
            </w:r>
          </w:p>
        </w:tc>
        <w:tc>
          <w:tcPr>
            <w:tcW w:w="120" w:type="dxa"/>
            <w:shd w:val="clear" w:color="auto" w:fill="CCEEFF"/>
            <w:vAlign w:val="bottom"/>
          </w:tcPr>
          <w:p w14:paraId="4046D959" w14:textId="77777777" w:rsidR="00D1587D" w:rsidRDefault="00D1587D"/>
        </w:tc>
        <w:tc>
          <w:tcPr>
            <w:tcW w:w="340" w:type="dxa"/>
            <w:tcBorders>
              <w:right w:val="single" w:sz="8" w:space="0" w:color="CCEEFF"/>
            </w:tcBorders>
            <w:shd w:val="clear" w:color="auto" w:fill="CCEEFF"/>
            <w:vAlign w:val="bottom"/>
          </w:tcPr>
          <w:p w14:paraId="790D138E" w14:textId="77777777" w:rsidR="00D1587D" w:rsidRDefault="00D1587D"/>
        </w:tc>
        <w:tc>
          <w:tcPr>
            <w:tcW w:w="760" w:type="dxa"/>
            <w:gridSpan w:val="4"/>
            <w:shd w:val="clear" w:color="auto" w:fill="CCEEFF"/>
            <w:vAlign w:val="bottom"/>
          </w:tcPr>
          <w:p w14:paraId="05B421D4" w14:textId="77777777" w:rsidR="00D1587D" w:rsidRDefault="00410D07">
            <w:pPr>
              <w:ind w:right="480"/>
              <w:jc w:val="right"/>
              <w:rPr>
                <w:sz w:val="20"/>
                <w:szCs w:val="20"/>
              </w:rPr>
            </w:pPr>
            <w:r>
              <w:rPr>
                <w:rFonts w:ascii="Arial" w:eastAsia="Arial" w:hAnsi="Arial" w:cs="Arial"/>
                <w:sz w:val="18"/>
                <w:szCs w:val="18"/>
              </w:rPr>
              <w:t>—</w:t>
            </w:r>
          </w:p>
        </w:tc>
        <w:tc>
          <w:tcPr>
            <w:tcW w:w="320" w:type="dxa"/>
            <w:shd w:val="clear" w:color="auto" w:fill="CCEEFF"/>
            <w:vAlign w:val="bottom"/>
          </w:tcPr>
          <w:p w14:paraId="6A828393" w14:textId="77777777" w:rsidR="00D1587D" w:rsidRDefault="00D1587D"/>
        </w:tc>
        <w:tc>
          <w:tcPr>
            <w:tcW w:w="740" w:type="dxa"/>
            <w:gridSpan w:val="3"/>
            <w:shd w:val="clear" w:color="auto" w:fill="CCEEFF"/>
            <w:vAlign w:val="bottom"/>
          </w:tcPr>
          <w:p w14:paraId="2BFE9C22" w14:textId="77777777" w:rsidR="00D1587D" w:rsidRDefault="00410D07">
            <w:pPr>
              <w:ind w:right="460"/>
              <w:jc w:val="right"/>
              <w:rPr>
                <w:sz w:val="20"/>
                <w:szCs w:val="20"/>
              </w:rPr>
            </w:pPr>
            <w:r>
              <w:rPr>
                <w:rFonts w:ascii="Arial" w:eastAsia="Arial" w:hAnsi="Arial" w:cs="Arial"/>
                <w:sz w:val="18"/>
                <w:szCs w:val="18"/>
              </w:rPr>
              <w:t>—</w:t>
            </w:r>
          </w:p>
        </w:tc>
        <w:tc>
          <w:tcPr>
            <w:tcW w:w="580" w:type="dxa"/>
            <w:gridSpan w:val="2"/>
            <w:shd w:val="clear" w:color="auto" w:fill="CCEEFF"/>
            <w:vAlign w:val="bottom"/>
          </w:tcPr>
          <w:p w14:paraId="61B8963F" w14:textId="77777777" w:rsidR="00D1587D" w:rsidRDefault="00410D07">
            <w:pPr>
              <w:ind w:right="20"/>
              <w:jc w:val="right"/>
              <w:rPr>
                <w:sz w:val="20"/>
                <w:szCs w:val="20"/>
              </w:rPr>
            </w:pPr>
            <w:r>
              <w:rPr>
                <w:rFonts w:ascii="Arial" w:eastAsia="Arial" w:hAnsi="Arial" w:cs="Arial"/>
                <w:sz w:val="18"/>
                <w:szCs w:val="18"/>
              </w:rPr>
              <w:t>(61)</w:t>
            </w:r>
          </w:p>
        </w:tc>
        <w:tc>
          <w:tcPr>
            <w:tcW w:w="0" w:type="dxa"/>
            <w:vAlign w:val="bottom"/>
          </w:tcPr>
          <w:p w14:paraId="0168DD2F" w14:textId="77777777" w:rsidR="00D1587D" w:rsidRDefault="00D1587D">
            <w:pPr>
              <w:rPr>
                <w:sz w:val="1"/>
                <w:szCs w:val="1"/>
              </w:rPr>
            </w:pPr>
          </w:p>
        </w:tc>
      </w:tr>
      <w:tr w:rsidR="00D1587D" w14:paraId="2FDB03FF" w14:textId="77777777">
        <w:trPr>
          <w:trHeight w:val="61"/>
        </w:trPr>
        <w:tc>
          <w:tcPr>
            <w:tcW w:w="4400" w:type="dxa"/>
            <w:tcBorders>
              <w:top w:val="single" w:sz="8" w:space="0" w:color="CCEEFF"/>
            </w:tcBorders>
            <w:shd w:val="clear" w:color="auto" w:fill="CCEEFF"/>
            <w:vAlign w:val="bottom"/>
          </w:tcPr>
          <w:p w14:paraId="4B286511" w14:textId="77777777" w:rsidR="00D1587D" w:rsidRDefault="00D1587D">
            <w:pPr>
              <w:rPr>
                <w:sz w:val="5"/>
                <w:szCs w:val="5"/>
              </w:rPr>
            </w:pPr>
          </w:p>
        </w:tc>
        <w:tc>
          <w:tcPr>
            <w:tcW w:w="340" w:type="dxa"/>
            <w:tcBorders>
              <w:top w:val="single" w:sz="8" w:space="0" w:color="CCEEFF"/>
            </w:tcBorders>
            <w:shd w:val="clear" w:color="auto" w:fill="CCEEFF"/>
            <w:vAlign w:val="bottom"/>
          </w:tcPr>
          <w:p w14:paraId="67BA0A16" w14:textId="77777777" w:rsidR="00D1587D" w:rsidRDefault="00D1587D">
            <w:pPr>
              <w:rPr>
                <w:sz w:val="5"/>
                <w:szCs w:val="5"/>
              </w:rPr>
            </w:pPr>
          </w:p>
        </w:tc>
        <w:tc>
          <w:tcPr>
            <w:tcW w:w="480" w:type="dxa"/>
            <w:tcBorders>
              <w:top w:val="single" w:sz="8" w:space="0" w:color="auto"/>
            </w:tcBorders>
            <w:shd w:val="clear" w:color="auto" w:fill="CCEEFF"/>
            <w:vAlign w:val="bottom"/>
          </w:tcPr>
          <w:p w14:paraId="6721EC78" w14:textId="77777777" w:rsidR="00D1587D" w:rsidRDefault="00D1587D">
            <w:pPr>
              <w:rPr>
                <w:sz w:val="5"/>
                <w:szCs w:val="5"/>
              </w:rPr>
            </w:pPr>
          </w:p>
        </w:tc>
        <w:tc>
          <w:tcPr>
            <w:tcW w:w="340" w:type="dxa"/>
            <w:tcBorders>
              <w:top w:val="single" w:sz="8" w:space="0" w:color="CCEEFF"/>
            </w:tcBorders>
            <w:shd w:val="clear" w:color="auto" w:fill="CCEEFF"/>
            <w:vAlign w:val="bottom"/>
          </w:tcPr>
          <w:p w14:paraId="1B79A8D0" w14:textId="77777777" w:rsidR="00D1587D" w:rsidRDefault="00D1587D">
            <w:pPr>
              <w:rPr>
                <w:sz w:val="5"/>
                <w:szCs w:val="5"/>
              </w:rPr>
            </w:pPr>
          </w:p>
        </w:tc>
        <w:tc>
          <w:tcPr>
            <w:tcW w:w="120" w:type="dxa"/>
            <w:tcBorders>
              <w:top w:val="single" w:sz="8" w:space="0" w:color="CCEEFF"/>
            </w:tcBorders>
            <w:shd w:val="clear" w:color="auto" w:fill="CCEEFF"/>
            <w:vAlign w:val="bottom"/>
          </w:tcPr>
          <w:p w14:paraId="254DF8A6" w14:textId="77777777" w:rsidR="00D1587D" w:rsidRDefault="00D1587D">
            <w:pPr>
              <w:rPr>
                <w:sz w:val="5"/>
                <w:szCs w:val="5"/>
              </w:rPr>
            </w:pPr>
          </w:p>
        </w:tc>
        <w:tc>
          <w:tcPr>
            <w:tcW w:w="340" w:type="dxa"/>
            <w:tcBorders>
              <w:top w:val="single" w:sz="8" w:space="0" w:color="CCEEFF"/>
              <w:right w:val="single" w:sz="8" w:space="0" w:color="CCEEFF"/>
            </w:tcBorders>
            <w:shd w:val="clear" w:color="auto" w:fill="CCEEFF"/>
            <w:vAlign w:val="bottom"/>
          </w:tcPr>
          <w:p w14:paraId="3B48BDEA" w14:textId="77777777" w:rsidR="00D1587D" w:rsidRDefault="00D1587D">
            <w:pPr>
              <w:rPr>
                <w:sz w:val="5"/>
                <w:szCs w:val="5"/>
              </w:rPr>
            </w:pPr>
          </w:p>
        </w:tc>
        <w:tc>
          <w:tcPr>
            <w:tcW w:w="280" w:type="dxa"/>
            <w:tcBorders>
              <w:top w:val="single" w:sz="8" w:space="0" w:color="auto"/>
            </w:tcBorders>
            <w:shd w:val="clear" w:color="auto" w:fill="CCEEFF"/>
            <w:vAlign w:val="bottom"/>
          </w:tcPr>
          <w:p w14:paraId="70AA8A07" w14:textId="77777777" w:rsidR="00D1587D" w:rsidRDefault="00D1587D">
            <w:pPr>
              <w:rPr>
                <w:sz w:val="5"/>
                <w:szCs w:val="5"/>
              </w:rPr>
            </w:pPr>
          </w:p>
        </w:tc>
        <w:tc>
          <w:tcPr>
            <w:tcW w:w="40" w:type="dxa"/>
            <w:tcBorders>
              <w:top w:val="single" w:sz="8" w:space="0" w:color="CCEEFF"/>
              <w:right w:val="single" w:sz="8" w:space="0" w:color="CCEEFF"/>
            </w:tcBorders>
            <w:shd w:val="clear" w:color="auto" w:fill="CCEEFF"/>
            <w:vAlign w:val="bottom"/>
          </w:tcPr>
          <w:p w14:paraId="597E2E72" w14:textId="77777777" w:rsidR="00D1587D" w:rsidRDefault="00D1587D">
            <w:pPr>
              <w:rPr>
                <w:sz w:val="5"/>
                <w:szCs w:val="5"/>
              </w:rPr>
            </w:pPr>
          </w:p>
        </w:tc>
        <w:tc>
          <w:tcPr>
            <w:tcW w:w="300" w:type="dxa"/>
            <w:tcBorders>
              <w:top w:val="single" w:sz="8" w:space="0" w:color="CCEEFF"/>
            </w:tcBorders>
            <w:shd w:val="clear" w:color="auto" w:fill="CCEEFF"/>
            <w:vAlign w:val="bottom"/>
          </w:tcPr>
          <w:p w14:paraId="58C8A7A6" w14:textId="77777777" w:rsidR="00D1587D" w:rsidRDefault="00D1587D">
            <w:pPr>
              <w:rPr>
                <w:sz w:val="5"/>
                <w:szCs w:val="5"/>
              </w:rPr>
            </w:pPr>
          </w:p>
        </w:tc>
        <w:tc>
          <w:tcPr>
            <w:tcW w:w="140" w:type="dxa"/>
            <w:tcBorders>
              <w:top w:val="single" w:sz="8" w:space="0" w:color="CCEEFF"/>
            </w:tcBorders>
            <w:shd w:val="clear" w:color="auto" w:fill="CCEEFF"/>
            <w:vAlign w:val="bottom"/>
          </w:tcPr>
          <w:p w14:paraId="24D47C26" w14:textId="77777777" w:rsidR="00D1587D" w:rsidRDefault="00D1587D">
            <w:pPr>
              <w:rPr>
                <w:sz w:val="5"/>
                <w:szCs w:val="5"/>
              </w:rPr>
            </w:pPr>
          </w:p>
        </w:tc>
        <w:tc>
          <w:tcPr>
            <w:tcW w:w="320" w:type="dxa"/>
            <w:tcBorders>
              <w:top w:val="single" w:sz="8" w:space="0" w:color="CCEEFF"/>
            </w:tcBorders>
            <w:shd w:val="clear" w:color="auto" w:fill="CCEEFF"/>
            <w:vAlign w:val="bottom"/>
          </w:tcPr>
          <w:p w14:paraId="06AB866A" w14:textId="77777777" w:rsidR="00D1587D" w:rsidRDefault="00D1587D">
            <w:pPr>
              <w:rPr>
                <w:sz w:val="5"/>
                <w:szCs w:val="5"/>
              </w:rPr>
            </w:pPr>
          </w:p>
        </w:tc>
        <w:tc>
          <w:tcPr>
            <w:tcW w:w="280" w:type="dxa"/>
            <w:tcBorders>
              <w:top w:val="single" w:sz="8" w:space="0" w:color="auto"/>
            </w:tcBorders>
            <w:shd w:val="clear" w:color="auto" w:fill="CCEEFF"/>
            <w:vAlign w:val="bottom"/>
          </w:tcPr>
          <w:p w14:paraId="7D50445B" w14:textId="77777777" w:rsidR="00D1587D" w:rsidRDefault="00D1587D">
            <w:pPr>
              <w:rPr>
                <w:sz w:val="5"/>
                <w:szCs w:val="5"/>
              </w:rPr>
            </w:pPr>
          </w:p>
        </w:tc>
        <w:tc>
          <w:tcPr>
            <w:tcW w:w="340" w:type="dxa"/>
            <w:tcBorders>
              <w:top w:val="single" w:sz="8" w:space="0" w:color="CCEEFF"/>
            </w:tcBorders>
            <w:shd w:val="clear" w:color="auto" w:fill="CCEEFF"/>
            <w:vAlign w:val="bottom"/>
          </w:tcPr>
          <w:p w14:paraId="0B5B4B93" w14:textId="77777777" w:rsidR="00D1587D" w:rsidRDefault="00D1587D">
            <w:pPr>
              <w:rPr>
                <w:sz w:val="5"/>
                <w:szCs w:val="5"/>
              </w:rPr>
            </w:pPr>
          </w:p>
        </w:tc>
        <w:tc>
          <w:tcPr>
            <w:tcW w:w="120" w:type="dxa"/>
            <w:tcBorders>
              <w:top w:val="single" w:sz="8" w:space="0" w:color="CCEEFF"/>
            </w:tcBorders>
            <w:shd w:val="clear" w:color="auto" w:fill="CCEEFF"/>
            <w:vAlign w:val="bottom"/>
          </w:tcPr>
          <w:p w14:paraId="486F0B43" w14:textId="77777777" w:rsidR="00D1587D" w:rsidRDefault="00D1587D">
            <w:pPr>
              <w:rPr>
                <w:sz w:val="5"/>
                <w:szCs w:val="5"/>
              </w:rPr>
            </w:pPr>
          </w:p>
        </w:tc>
        <w:tc>
          <w:tcPr>
            <w:tcW w:w="500" w:type="dxa"/>
            <w:tcBorders>
              <w:top w:val="single" w:sz="8" w:space="0" w:color="auto"/>
            </w:tcBorders>
            <w:shd w:val="clear" w:color="auto" w:fill="CCEEFF"/>
            <w:vAlign w:val="bottom"/>
          </w:tcPr>
          <w:p w14:paraId="670FE068" w14:textId="77777777" w:rsidR="00D1587D" w:rsidRDefault="00D1587D">
            <w:pPr>
              <w:rPr>
                <w:sz w:val="5"/>
                <w:szCs w:val="5"/>
              </w:rPr>
            </w:pPr>
          </w:p>
        </w:tc>
        <w:tc>
          <w:tcPr>
            <w:tcW w:w="80" w:type="dxa"/>
            <w:tcBorders>
              <w:top w:val="single" w:sz="8" w:space="0" w:color="CCEEFF"/>
            </w:tcBorders>
            <w:shd w:val="clear" w:color="auto" w:fill="CCEEFF"/>
            <w:vAlign w:val="bottom"/>
          </w:tcPr>
          <w:p w14:paraId="6720D22A" w14:textId="77777777" w:rsidR="00D1587D" w:rsidRDefault="00D1587D">
            <w:pPr>
              <w:rPr>
                <w:sz w:val="5"/>
                <w:szCs w:val="5"/>
              </w:rPr>
            </w:pPr>
          </w:p>
        </w:tc>
        <w:tc>
          <w:tcPr>
            <w:tcW w:w="0" w:type="dxa"/>
            <w:vAlign w:val="bottom"/>
          </w:tcPr>
          <w:p w14:paraId="712B9409" w14:textId="77777777" w:rsidR="00D1587D" w:rsidRDefault="00D1587D">
            <w:pPr>
              <w:rPr>
                <w:sz w:val="1"/>
                <w:szCs w:val="1"/>
              </w:rPr>
            </w:pPr>
          </w:p>
        </w:tc>
      </w:tr>
      <w:tr w:rsidR="00D1587D" w14:paraId="063576A6" w14:textId="77777777">
        <w:trPr>
          <w:trHeight w:val="270"/>
        </w:trPr>
        <w:tc>
          <w:tcPr>
            <w:tcW w:w="4400" w:type="dxa"/>
            <w:vAlign w:val="bottom"/>
          </w:tcPr>
          <w:p w14:paraId="003528AE" w14:textId="77777777" w:rsidR="00D1587D" w:rsidRDefault="00410D07">
            <w:pPr>
              <w:rPr>
                <w:sz w:val="20"/>
                <w:szCs w:val="20"/>
              </w:rPr>
            </w:pPr>
            <w:r>
              <w:rPr>
                <w:rFonts w:ascii="Arial" w:eastAsia="Arial" w:hAnsi="Arial" w:cs="Arial"/>
                <w:b/>
                <w:bCs/>
                <w:sz w:val="18"/>
                <w:szCs w:val="18"/>
              </w:rPr>
              <w:t>Balance, May 1, 2021</w:t>
            </w:r>
          </w:p>
        </w:tc>
        <w:tc>
          <w:tcPr>
            <w:tcW w:w="820" w:type="dxa"/>
            <w:gridSpan w:val="2"/>
            <w:vAlign w:val="bottom"/>
          </w:tcPr>
          <w:p w14:paraId="126642ED" w14:textId="77777777" w:rsidR="00D1587D" w:rsidRDefault="00410D07">
            <w:pPr>
              <w:jc w:val="right"/>
              <w:rPr>
                <w:sz w:val="20"/>
                <w:szCs w:val="20"/>
              </w:rPr>
            </w:pPr>
            <w:r>
              <w:rPr>
                <w:rFonts w:ascii="Arial" w:eastAsia="Arial" w:hAnsi="Arial" w:cs="Arial"/>
                <w:sz w:val="18"/>
                <w:szCs w:val="18"/>
                <w:u w:val="single"/>
              </w:rPr>
              <w:t>$</w:t>
            </w:r>
            <w:r>
              <w:rPr>
                <w:rFonts w:ascii="Arial" w:eastAsia="Arial" w:hAnsi="Arial" w:cs="Arial"/>
                <w:sz w:val="18"/>
                <w:szCs w:val="18"/>
              </w:rPr>
              <w:t>1,000</w:t>
            </w:r>
          </w:p>
        </w:tc>
        <w:tc>
          <w:tcPr>
            <w:tcW w:w="340" w:type="dxa"/>
            <w:vAlign w:val="bottom"/>
          </w:tcPr>
          <w:p w14:paraId="78223BE9" w14:textId="77777777" w:rsidR="00D1587D" w:rsidRDefault="00D1587D">
            <w:pPr>
              <w:rPr>
                <w:sz w:val="23"/>
                <w:szCs w:val="23"/>
              </w:rPr>
            </w:pPr>
          </w:p>
        </w:tc>
        <w:tc>
          <w:tcPr>
            <w:tcW w:w="120" w:type="dxa"/>
            <w:vAlign w:val="bottom"/>
          </w:tcPr>
          <w:p w14:paraId="54616298" w14:textId="77777777" w:rsidR="00D1587D" w:rsidRDefault="00D1587D">
            <w:pPr>
              <w:rPr>
                <w:sz w:val="23"/>
                <w:szCs w:val="23"/>
              </w:rPr>
            </w:pPr>
          </w:p>
        </w:tc>
        <w:tc>
          <w:tcPr>
            <w:tcW w:w="620" w:type="dxa"/>
            <w:gridSpan w:val="2"/>
            <w:vAlign w:val="bottom"/>
          </w:tcPr>
          <w:p w14:paraId="37104480" w14:textId="77777777" w:rsidR="00D1587D" w:rsidRDefault="00410D07">
            <w:pPr>
              <w:jc w:val="right"/>
              <w:rPr>
                <w:sz w:val="20"/>
                <w:szCs w:val="20"/>
              </w:rPr>
            </w:pPr>
            <w:r>
              <w:rPr>
                <w:rFonts w:ascii="Arial" w:eastAsia="Arial" w:hAnsi="Arial" w:cs="Arial"/>
                <w:sz w:val="18"/>
                <w:szCs w:val="18"/>
              </w:rPr>
              <w:t>$ 7</w:t>
            </w:r>
          </w:p>
        </w:tc>
        <w:tc>
          <w:tcPr>
            <w:tcW w:w="40" w:type="dxa"/>
            <w:vAlign w:val="bottom"/>
          </w:tcPr>
          <w:p w14:paraId="0620AFD4" w14:textId="77777777" w:rsidR="00D1587D" w:rsidRDefault="00D1587D">
            <w:pPr>
              <w:rPr>
                <w:sz w:val="23"/>
                <w:szCs w:val="23"/>
              </w:rPr>
            </w:pPr>
          </w:p>
        </w:tc>
        <w:tc>
          <w:tcPr>
            <w:tcW w:w="300" w:type="dxa"/>
            <w:vAlign w:val="bottom"/>
          </w:tcPr>
          <w:p w14:paraId="2F061CE0" w14:textId="77777777" w:rsidR="00D1587D" w:rsidRDefault="00D1587D">
            <w:pPr>
              <w:rPr>
                <w:sz w:val="23"/>
                <w:szCs w:val="23"/>
              </w:rPr>
            </w:pPr>
          </w:p>
        </w:tc>
        <w:tc>
          <w:tcPr>
            <w:tcW w:w="140" w:type="dxa"/>
            <w:vAlign w:val="bottom"/>
          </w:tcPr>
          <w:p w14:paraId="188E9472" w14:textId="77777777" w:rsidR="00D1587D" w:rsidRDefault="00D1587D">
            <w:pPr>
              <w:rPr>
                <w:sz w:val="23"/>
                <w:szCs w:val="23"/>
              </w:rPr>
            </w:pPr>
          </w:p>
        </w:tc>
        <w:tc>
          <w:tcPr>
            <w:tcW w:w="320" w:type="dxa"/>
            <w:vAlign w:val="bottom"/>
          </w:tcPr>
          <w:p w14:paraId="30E18F70" w14:textId="77777777" w:rsidR="00D1587D" w:rsidRDefault="00D1587D">
            <w:pPr>
              <w:rPr>
                <w:sz w:val="23"/>
                <w:szCs w:val="23"/>
              </w:rPr>
            </w:pPr>
          </w:p>
        </w:tc>
        <w:tc>
          <w:tcPr>
            <w:tcW w:w="740" w:type="dxa"/>
            <w:gridSpan w:val="3"/>
            <w:vAlign w:val="bottom"/>
          </w:tcPr>
          <w:p w14:paraId="5848941A" w14:textId="77777777" w:rsidR="00D1587D" w:rsidRDefault="00410D07">
            <w:pPr>
              <w:ind w:right="460"/>
              <w:jc w:val="right"/>
              <w:rPr>
                <w:sz w:val="20"/>
                <w:szCs w:val="20"/>
              </w:rPr>
            </w:pPr>
            <w:r>
              <w:rPr>
                <w:rFonts w:ascii="Arial" w:eastAsia="Arial" w:hAnsi="Arial" w:cs="Arial"/>
                <w:w w:val="92"/>
                <w:sz w:val="18"/>
                <w:szCs w:val="18"/>
              </w:rPr>
              <w:t>$—</w:t>
            </w:r>
          </w:p>
        </w:tc>
        <w:tc>
          <w:tcPr>
            <w:tcW w:w="500" w:type="dxa"/>
            <w:vAlign w:val="bottom"/>
          </w:tcPr>
          <w:p w14:paraId="7366902B" w14:textId="77777777" w:rsidR="00D1587D" w:rsidRDefault="00410D07">
            <w:pPr>
              <w:jc w:val="right"/>
              <w:rPr>
                <w:sz w:val="20"/>
                <w:szCs w:val="20"/>
              </w:rPr>
            </w:pPr>
            <w:r>
              <w:rPr>
                <w:rFonts w:ascii="Arial" w:eastAsia="Arial" w:hAnsi="Arial" w:cs="Arial"/>
                <w:w w:val="87"/>
                <w:sz w:val="18"/>
                <w:szCs w:val="18"/>
                <w:u w:val="single"/>
              </w:rPr>
              <w:t>$</w:t>
            </w:r>
            <w:r>
              <w:rPr>
                <w:rFonts w:ascii="Arial" w:eastAsia="Arial" w:hAnsi="Arial" w:cs="Arial"/>
                <w:w w:val="87"/>
                <w:sz w:val="18"/>
                <w:szCs w:val="18"/>
              </w:rPr>
              <w:t>1,007</w:t>
            </w:r>
          </w:p>
        </w:tc>
        <w:tc>
          <w:tcPr>
            <w:tcW w:w="80" w:type="dxa"/>
            <w:vAlign w:val="bottom"/>
          </w:tcPr>
          <w:p w14:paraId="40B5C2F3" w14:textId="77777777" w:rsidR="00D1587D" w:rsidRDefault="00D1587D">
            <w:pPr>
              <w:rPr>
                <w:sz w:val="23"/>
                <w:szCs w:val="23"/>
              </w:rPr>
            </w:pPr>
          </w:p>
        </w:tc>
        <w:tc>
          <w:tcPr>
            <w:tcW w:w="0" w:type="dxa"/>
            <w:vAlign w:val="bottom"/>
          </w:tcPr>
          <w:p w14:paraId="1804AB89" w14:textId="77777777" w:rsidR="00D1587D" w:rsidRDefault="00D1587D">
            <w:pPr>
              <w:rPr>
                <w:sz w:val="1"/>
                <w:szCs w:val="1"/>
              </w:rPr>
            </w:pPr>
          </w:p>
        </w:tc>
      </w:tr>
      <w:tr w:rsidR="00D1587D" w14:paraId="0E9AC8D5" w14:textId="77777777">
        <w:trPr>
          <w:trHeight w:val="21"/>
        </w:trPr>
        <w:tc>
          <w:tcPr>
            <w:tcW w:w="4400" w:type="dxa"/>
            <w:vMerge w:val="restart"/>
            <w:vAlign w:val="bottom"/>
          </w:tcPr>
          <w:p w14:paraId="4C15638B" w14:textId="77777777" w:rsidR="00D1587D" w:rsidRDefault="00410D07">
            <w:pPr>
              <w:rPr>
                <w:sz w:val="20"/>
                <w:szCs w:val="20"/>
              </w:rPr>
            </w:pPr>
            <w:r>
              <w:rPr>
                <w:rFonts w:ascii="Arial" w:eastAsia="Arial" w:hAnsi="Arial" w:cs="Arial"/>
                <w:b/>
                <w:bCs/>
                <w:sz w:val="18"/>
                <w:szCs w:val="18"/>
              </w:rPr>
              <w:t>First Quarter 2020</w:t>
            </w:r>
          </w:p>
        </w:tc>
        <w:tc>
          <w:tcPr>
            <w:tcW w:w="340" w:type="dxa"/>
            <w:vAlign w:val="bottom"/>
          </w:tcPr>
          <w:p w14:paraId="6B98AFE6" w14:textId="77777777" w:rsidR="00D1587D" w:rsidRDefault="00D1587D">
            <w:pPr>
              <w:spacing w:line="20" w:lineRule="exact"/>
              <w:rPr>
                <w:sz w:val="1"/>
                <w:szCs w:val="1"/>
              </w:rPr>
            </w:pPr>
          </w:p>
        </w:tc>
        <w:tc>
          <w:tcPr>
            <w:tcW w:w="480" w:type="dxa"/>
            <w:tcBorders>
              <w:top w:val="single" w:sz="8" w:space="0" w:color="auto"/>
              <w:bottom w:val="single" w:sz="8" w:space="0" w:color="auto"/>
            </w:tcBorders>
            <w:vAlign w:val="bottom"/>
          </w:tcPr>
          <w:p w14:paraId="5BA0F3AD" w14:textId="77777777" w:rsidR="00D1587D" w:rsidRDefault="00D1587D">
            <w:pPr>
              <w:spacing w:line="20" w:lineRule="exact"/>
              <w:rPr>
                <w:sz w:val="1"/>
                <w:szCs w:val="1"/>
              </w:rPr>
            </w:pPr>
          </w:p>
        </w:tc>
        <w:tc>
          <w:tcPr>
            <w:tcW w:w="340" w:type="dxa"/>
            <w:vAlign w:val="bottom"/>
          </w:tcPr>
          <w:p w14:paraId="48B12E0E" w14:textId="77777777" w:rsidR="00D1587D" w:rsidRDefault="00D1587D">
            <w:pPr>
              <w:spacing w:line="20" w:lineRule="exact"/>
              <w:rPr>
                <w:sz w:val="1"/>
                <w:szCs w:val="1"/>
              </w:rPr>
            </w:pPr>
          </w:p>
        </w:tc>
        <w:tc>
          <w:tcPr>
            <w:tcW w:w="120" w:type="dxa"/>
            <w:vAlign w:val="bottom"/>
          </w:tcPr>
          <w:p w14:paraId="5040B2BD" w14:textId="77777777" w:rsidR="00D1587D" w:rsidRDefault="00D1587D">
            <w:pPr>
              <w:spacing w:line="20" w:lineRule="exact"/>
              <w:rPr>
                <w:sz w:val="1"/>
                <w:szCs w:val="1"/>
              </w:rPr>
            </w:pPr>
          </w:p>
        </w:tc>
        <w:tc>
          <w:tcPr>
            <w:tcW w:w="340" w:type="dxa"/>
            <w:vAlign w:val="bottom"/>
          </w:tcPr>
          <w:p w14:paraId="5D15ECD4" w14:textId="77777777" w:rsidR="00D1587D" w:rsidRDefault="00D1587D">
            <w:pPr>
              <w:spacing w:line="20" w:lineRule="exact"/>
              <w:rPr>
                <w:sz w:val="1"/>
                <w:szCs w:val="1"/>
              </w:rPr>
            </w:pPr>
          </w:p>
        </w:tc>
        <w:tc>
          <w:tcPr>
            <w:tcW w:w="280" w:type="dxa"/>
            <w:tcBorders>
              <w:top w:val="single" w:sz="8" w:space="0" w:color="auto"/>
              <w:bottom w:val="single" w:sz="8" w:space="0" w:color="auto"/>
            </w:tcBorders>
            <w:vAlign w:val="bottom"/>
          </w:tcPr>
          <w:p w14:paraId="2D2B57A2" w14:textId="77777777" w:rsidR="00D1587D" w:rsidRDefault="00D1587D">
            <w:pPr>
              <w:spacing w:line="20" w:lineRule="exact"/>
              <w:rPr>
                <w:sz w:val="1"/>
                <w:szCs w:val="1"/>
              </w:rPr>
            </w:pPr>
          </w:p>
        </w:tc>
        <w:tc>
          <w:tcPr>
            <w:tcW w:w="40" w:type="dxa"/>
            <w:vAlign w:val="bottom"/>
          </w:tcPr>
          <w:p w14:paraId="72CDBACA" w14:textId="77777777" w:rsidR="00D1587D" w:rsidRDefault="00D1587D">
            <w:pPr>
              <w:spacing w:line="20" w:lineRule="exact"/>
              <w:rPr>
                <w:sz w:val="1"/>
                <w:szCs w:val="1"/>
              </w:rPr>
            </w:pPr>
          </w:p>
        </w:tc>
        <w:tc>
          <w:tcPr>
            <w:tcW w:w="300" w:type="dxa"/>
            <w:vAlign w:val="bottom"/>
          </w:tcPr>
          <w:p w14:paraId="5983C886" w14:textId="77777777" w:rsidR="00D1587D" w:rsidRDefault="00D1587D">
            <w:pPr>
              <w:spacing w:line="20" w:lineRule="exact"/>
              <w:rPr>
                <w:sz w:val="1"/>
                <w:szCs w:val="1"/>
              </w:rPr>
            </w:pPr>
          </w:p>
        </w:tc>
        <w:tc>
          <w:tcPr>
            <w:tcW w:w="140" w:type="dxa"/>
            <w:vAlign w:val="bottom"/>
          </w:tcPr>
          <w:p w14:paraId="2FB0A14F" w14:textId="77777777" w:rsidR="00D1587D" w:rsidRDefault="00D1587D">
            <w:pPr>
              <w:spacing w:line="20" w:lineRule="exact"/>
              <w:rPr>
                <w:sz w:val="1"/>
                <w:szCs w:val="1"/>
              </w:rPr>
            </w:pPr>
          </w:p>
        </w:tc>
        <w:tc>
          <w:tcPr>
            <w:tcW w:w="320" w:type="dxa"/>
            <w:vAlign w:val="bottom"/>
          </w:tcPr>
          <w:p w14:paraId="26292B5E" w14:textId="77777777" w:rsidR="00D1587D" w:rsidRDefault="00D1587D">
            <w:pPr>
              <w:spacing w:line="20" w:lineRule="exact"/>
              <w:rPr>
                <w:sz w:val="1"/>
                <w:szCs w:val="1"/>
              </w:rPr>
            </w:pPr>
          </w:p>
        </w:tc>
        <w:tc>
          <w:tcPr>
            <w:tcW w:w="280" w:type="dxa"/>
            <w:tcBorders>
              <w:top w:val="single" w:sz="8" w:space="0" w:color="auto"/>
              <w:bottom w:val="single" w:sz="8" w:space="0" w:color="auto"/>
            </w:tcBorders>
            <w:vAlign w:val="bottom"/>
          </w:tcPr>
          <w:p w14:paraId="14717C8F" w14:textId="77777777" w:rsidR="00D1587D" w:rsidRDefault="00D1587D">
            <w:pPr>
              <w:spacing w:line="20" w:lineRule="exact"/>
              <w:rPr>
                <w:sz w:val="1"/>
                <w:szCs w:val="1"/>
              </w:rPr>
            </w:pPr>
          </w:p>
        </w:tc>
        <w:tc>
          <w:tcPr>
            <w:tcW w:w="340" w:type="dxa"/>
            <w:vAlign w:val="bottom"/>
          </w:tcPr>
          <w:p w14:paraId="60C43165" w14:textId="77777777" w:rsidR="00D1587D" w:rsidRDefault="00D1587D">
            <w:pPr>
              <w:spacing w:line="20" w:lineRule="exact"/>
              <w:rPr>
                <w:sz w:val="1"/>
                <w:szCs w:val="1"/>
              </w:rPr>
            </w:pPr>
          </w:p>
        </w:tc>
        <w:tc>
          <w:tcPr>
            <w:tcW w:w="120" w:type="dxa"/>
            <w:vAlign w:val="bottom"/>
          </w:tcPr>
          <w:p w14:paraId="61A7D96A" w14:textId="77777777" w:rsidR="00D1587D" w:rsidRDefault="00D1587D">
            <w:pPr>
              <w:spacing w:line="20" w:lineRule="exact"/>
              <w:rPr>
                <w:sz w:val="1"/>
                <w:szCs w:val="1"/>
              </w:rPr>
            </w:pPr>
          </w:p>
        </w:tc>
        <w:tc>
          <w:tcPr>
            <w:tcW w:w="500" w:type="dxa"/>
            <w:tcBorders>
              <w:top w:val="single" w:sz="8" w:space="0" w:color="auto"/>
              <w:bottom w:val="single" w:sz="8" w:space="0" w:color="auto"/>
            </w:tcBorders>
            <w:vAlign w:val="bottom"/>
          </w:tcPr>
          <w:p w14:paraId="7F4C9CA8" w14:textId="77777777" w:rsidR="00D1587D" w:rsidRDefault="00D1587D">
            <w:pPr>
              <w:spacing w:line="20" w:lineRule="exact"/>
              <w:rPr>
                <w:sz w:val="1"/>
                <w:szCs w:val="1"/>
              </w:rPr>
            </w:pPr>
          </w:p>
        </w:tc>
        <w:tc>
          <w:tcPr>
            <w:tcW w:w="80" w:type="dxa"/>
            <w:vAlign w:val="bottom"/>
          </w:tcPr>
          <w:p w14:paraId="3922E17A" w14:textId="77777777" w:rsidR="00D1587D" w:rsidRDefault="00D1587D">
            <w:pPr>
              <w:spacing w:line="20" w:lineRule="exact"/>
              <w:rPr>
                <w:sz w:val="1"/>
                <w:szCs w:val="1"/>
              </w:rPr>
            </w:pPr>
          </w:p>
        </w:tc>
        <w:tc>
          <w:tcPr>
            <w:tcW w:w="0" w:type="dxa"/>
            <w:vAlign w:val="bottom"/>
          </w:tcPr>
          <w:p w14:paraId="0A30D652" w14:textId="77777777" w:rsidR="00D1587D" w:rsidRDefault="00D1587D">
            <w:pPr>
              <w:rPr>
                <w:sz w:val="1"/>
                <w:szCs w:val="1"/>
              </w:rPr>
            </w:pPr>
          </w:p>
        </w:tc>
      </w:tr>
      <w:tr w:rsidR="00D1587D" w14:paraId="2ADF3047" w14:textId="77777777">
        <w:trPr>
          <w:trHeight w:val="547"/>
        </w:trPr>
        <w:tc>
          <w:tcPr>
            <w:tcW w:w="4400" w:type="dxa"/>
            <w:vMerge/>
            <w:vAlign w:val="bottom"/>
          </w:tcPr>
          <w:p w14:paraId="631739F7" w14:textId="77777777" w:rsidR="00D1587D" w:rsidRDefault="00D1587D">
            <w:pPr>
              <w:rPr>
                <w:sz w:val="24"/>
                <w:szCs w:val="24"/>
              </w:rPr>
            </w:pPr>
          </w:p>
        </w:tc>
        <w:tc>
          <w:tcPr>
            <w:tcW w:w="340" w:type="dxa"/>
            <w:vAlign w:val="bottom"/>
          </w:tcPr>
          <w:p w14:paraId="0D17A77A" w14:textId="77777777" w:rsidR="00D1587D" w:rsidRDefault="00D1587D">
            <w:pPr>
              <w:rPr>
                <w:sz w:val="24"/>
                <w:szCs w:val="24"/>
              </w:rPr>
            </w:pPr>
          </w:p>
        </w:tc>
        <w:tc>
          <w:tcPr>
            <w:tcW w:w="480" w:type="dxa"/>
            <w:vAlign w:val="bottom"/>
          </w:tcPr>
          <w:p w14:paraId="5F80B8A1" w14:textId="77777777" w:rsidR="00D1587D" w:rsidRDefault="00D1587D">
            <w:pPr>
              <w:rPr>
                <w:sz w:val="24"/>
                <w:szCs w:val="24"/>
              </w:rPr>
            </w:pPr>
          </w:p>
        </w:tc>
        <w:tc>
          <w:tcPr>
            <w:tcW w:w="340" w:type="dxa"/>
            <w:vAlign w:val="bottom"/>
          </w:tcPr>
          <w:p w14:paraId="6837D300" w14:textId="77777777" w:rsidR="00D1587D" w:rsidRDefault="00D1587D">
            <w:pPr>
              <w:rPr>
                <w:sz w:val="24"/>
                <w:szCs w:val="24"/>
              </w:rPr>
            </w:pPr>
          </w:p>
        </w:tc>
        <w:tc>
          <w:tcPr>
            <w:tcW w:w="120" w:type="dxa"/>
            <w:vAlign w:val="bottom"/>
          </w:tcPr>
          <w:p w14:paraId="40A69106" w14:textId="77777777" w:rsidR="00D1587D" w:rsidRDefault="00D1587D">
            <w:pPr>
              <w:rPr>
                <w:sz w:val="24"/>
                <w:szCs w:val="24"/>
              </w:rPr>
            </w:pPr>
          </w:p>
        </w:tc>
        <w:tc>
          <w:tcPr>
            <w:tcW w:w="340" w:type="dxa"/>
            <w:vAlign w:val="bottom"/>
          </w:tcPr>
          <w:p w14:paraId="51166DD8" w14:textId="77777777" w:rsidR="00D1587D" w:rsidRDefault="00D1587D">
            <w:pPr>
              <w:rPr>
                <w:sz w:val="24"/>
                <w:szCs w:val="24"/>
              </w:rPr>
            </w:pPr>
          </w:p>
        </w:tc>
        <w:tc>
          <w:tcPr>
            <w:tcW w:w="280" w:type="dxa"/>
            <w:vAlign w:val="bottom"/>
          </w:tcPr>
          <w:p w14:paraId="6480C910" w14:textId="77777777" w:rsidR="00D1587D" w:rsidRDefault="00D1587D">
            <w:pPr>
              <w:rPr>
                <w:sz w:val="24"/>
                <w:szCs w:val="24"/>
              </w:rPr>
            </w:pPr>
          </w:p>
        </w:tc>
        <w:tc>
          <w:tcPr>
            <w:tcW w:w="40" w:type="dxa"/>
            <w:vAlign w:val="bottom"/>
          </w:tcPr>
          <w:p w14:paraId="3BAE6399" w14:textId="77777777" w:rsidR="00D1587D" w:rsidRDefault="00D1587D">
            <w:pPr>
              <w:rPr>
                <w:sz w:val="24"/>
                <w:szCs w:val="24"/>
              </w:rPr>
            </w:pPr>
          </w:p>
        </w:tc>
        <w:tc>
          <w:tcPr>
            <w:tcW w:w="300" w:type="dxa"/>
            <w:vAlign w:val="bottom"/>
          </w:tcPr>
          <w:p w14:paraId="2C2FB6EE" w14:textId="77777777" w:rsidR="00D1587D" w:rsidRDefault="00D1587D">
            <w:pPr>
              <w:rPr>
                <w:sz w:val="24"/>
                <w:szCs w:val="24"/>
              </w:rPr>
            </w:pPr>
          </w:p>
        </w:tc>
        <w:tc>
          <w:tcPr>
            <w:tcW w:w="140" w:type="dxa"/>
            <w:vAlign w:val="bottom"/>
          </w:tcPr>
          <w:p w14:paraId="3D8993D7" w14:textId="77777777" w:rsidR="00D1587D" w:rsidRDefault="00D1587D">
            <w:pPr>
              <w:rPr>
                <w:sz w:val="24"/>
                <w:szCs w:val="24"/>
              </w:rPr>
            </w:pPr>
          </w:p>
        </w:tc>
        <w:tc>
          <w:tcPr>
            <w:tcW w:w="320" w:type="dxa"/>
            <w:vAlign w:val="bottom"/>
          </w:tcPr>
          <w:p w14:paraId="61F96E9A" w14:textId="77777777" w:rsidR="00D1587D" w:rsidRDefault="00D1587D">
            <w:pPr>
              <w:rPr>
                <w:sz w:val="24"/>
                <w:szCs w:val="24"/>
              </w:rPr>
            </w:pPr>
          </w:p>
        </w:tc>
        <w:tc>
          <w:tcPr>
            <w:tcW w:w="280" w:type="dxa"/>
            <w:vAlign w:val="bottom"/>
          </w:tcPr>
          <w:p w14:paraId="3914FF6F" w14:textId="77777777" w:rsidR="00D1587D" w:rsidRDefault="00D1587D">
            <w:pPr>
              <w:rPr>
                <w:sz w:val="24"/>
                <w:szCs w:val="24"/>
              </w:rPr>
            </w:pPr>
          </w:p>
        </w:tc>
        <w:tc>
          <w:tcPr>
            <w:tcW w:w="340" w:type="dxa"/>
            <w:vAlign w:val="bottom"/>
          </w:tcPr>
          <w:p w14:paraId="759817F8" w14:textId="77777777" w:rsidR="00D1587D" w:rsidRDefault="00D1587D">
            <w:pPr>
              <w:rPr>
                <w:sz w:val="24"/>
                <w:szCs w:val="24"/>
              </w:rPr>
            </w:pPr>
          </w:p>
        </w:tc>
        <w:tc>
          <w:tcPr>
            <w:tcW w:w="120" w:type="dxa"/>
            <w:vAlign w:val="bottom"/>
          </w:tcPr>
          <w:p w14:paraId="66DC6C58" w14:textId="77777777" w:rsidR="00D1587D" w:rsidRDefault="00D1587D">
            <w:pPr>
              <w:rPr>
                <w:sz w:val="24"/>
                <w:szCs w:val="24"/>
              </w:rPr>
            </w:pPr>
          </w:p>
        </w:tc>
        <w:tc>
          <w:tcPr>
            <w:tcW w:w="500" w:type="dxa"/>
            <w:vAlign w:val="bottom"/>
          </w:tcPr>
          <w:p w14:paraId="3135517F" w14:textId="77777777" w:rsidR="00D1587D" w:rsidRDefault="00D1587D">
            <w:pPr>
              <w:rPr>
                <w:sz w:val="24"/>
                <w:szCs w:val="24"/>
              </w:rPr>
            </w:pPr>
          </w:p>
        </w:tc>
        <w:tc>
          <w:tcPr>
            <w:tcW w:w="80" w:type="dxa"/>
            <w:vAlign w:val="bottom"/>
          </w:tcPr>
          <w:p w14:paraId="658453B2" w14:textId="77777777" w:rsidR="00D1587D" w:rsidRDefault="00D1587D">
            <w:pPr>
              <w:rPr>
                <w:sz w:val="24"/>
                <w:szCs w:val="24"/>
              </w:rPr>
            </w:pPr>
          </w:p>
        </w:tc>
        <w:tc>
          <w:tcPr>
            <w:tcW w:w="0" w:type="dxa"/>
            <w:vAlign w:val="bottom"/>
          </w:tcPr>
          <w:p w14:paraId="208BB659" w14:textId="77777777" w:rsidR="00D1587D" w:rsidRDefault="00D1587D">
            <w:pPr>
              <w:rPr>
                <w:sz w:val="1"/>
                <w:szCs w:val="1"/>
              </w:rPr>
            </w:pPr>
          </w:p>
        </w:tc>
      </w:tr>
      <w:tr w:rsidR="00D1587D" w14:paraId="7E449693" w14:textId="77777777">
        <w:trPr>
          <w:trHeight w:val="315"/>
        </w:trPr>
        <w:tc>
          <w:tcPr>
            <w:tcW w:w="4400" w:type="dxa"/>
            <w:vAlign w:val="bottom"/>
          </w:tcPr>
          <w:p w14:paraId="4F4BD342" w14:textId="77777777" w:rsidR="00D1587D" w:rsidRDefault="00D1587D">
            <w:pPr>
              <w:rPr>
                <w:sz w:val="24"/>
                <w:szCs w:val="24"/>
              </w:rPr>
            </w:pPr>
          </w:p>
        </w:tc>
        <w:tc>
          <w:tcPr>
            <w:tcW w:w="340" w:type="dxa"/>
            <w:vAlign w:val="bottom"/>
          </w:tcPr>
          <w:p w14:paraId="2AF45F0C" w14:textId="77777777" w:rsidR="00D1587D" w:rsidRDefault="00D1587D">
            <w:pPr>
              <w:rPr>
                <w:sz w:val="24"/>
                <w:szCs w:val="24"/>
              </w:rPr>
            </w:pPr>
          </w:p>
        </w:tc>
        <w:tc>
          <w:tcPr>
            <w:tcW w:w="480" w:type="dxa"/>
            <w:vAlign w:val="bottom"/>
          </w:tcPr>
          <w:p w14:paraId="7BEF218D" w14:textId="77777777" w:rsidR="00D1587D" w:rsidRDefault="00D1587D">
            <w:pPr>
              <w:rPr>
                <w:sz w:val="24"/>
                <w:szCs w:val="24"/>
              </w:rPr>
            </w:pPr>
          </w:p>
        </w:tc>
        <w:tc>
          <w:tcPr>
            <w:tcW w:w="340" w:type="dxa"/>
            <w:vAlign w:val="bottom"/>
          </w:tcPr>
          <w:p w14:paraId="1FE72865" w14:textId="77777777" w:rsidR="00D1587D" w:rsidRDefault="00D1587D">
            <w:pPr>
              <w:rPr>
                <w:sz w:val="24"/>
                <w:szCs w:val="24"/>
              </w:rPr>
            </w:pPr>
          </w:p>
        </w:tc>
        <w:tc>
          <w:tcPr>
            <w:tcW w:w="120" w:type="dxa"/>
            <w:vAlign w:val="bottom"/>
          </w:tcPr>
          <w:p w14:paraId="02055C13" w14:textId="77777777" w:rsidR="00D1587D" w:rsidRDefault="00D1587D">
            <w:pPr>
              <w:rPr>
                <w:sz w:val="24"/>
                <w:szCs w:val="24"/>
              </w:rPr>
            </w:pPr>
          </w:p>
        </w:tc>
        <w:tc>
          <w:tcPr>
            <w:tcW w:w="1100" w:type="dxa"/>
            <w:gridSpan w:val="5"/>
            <w:vAlign w:val="bottom"/>
          </w:tcPr>
          <w:p w14:paraId="22A9ECEB" w14:textId="77777777" w:rsidR="00D1587D" w:rsidRDefault="00410D07">
            <w:pPr>
              <w:ind w:right="120"/>
              <w:jc w:val="center"/>
              <w:rPr>
                <w:sz w:val="20"/>
                <w:szCs w:val="20"/>
              </w:rPr>
            </w:pPr>
            <w:r>
              <w:rPr>
                <w:rFonts w:ascii="Arial" w:eastAsia="Arial" w:hAnsi="Arial" w:cs="Arial"/>
                <w:b/>
                <w:bCs/>
                <w:w w:val="93"/>
                <w:sz w:val="14"/>
                <w:szCs w:val="14"/>
              </w:rPr>
              <w:t>Accumulated</w:t>
            </w:r>
          </w:p>
        </w:tc>
        <w:tc>
          <w:tcPr>
            <w:tcW w:w="320" w:type="dxa"/>
            <w:vAlign w:val="bottom"/>
          </w:tcPr>
          <w:p w14:paraId="6BF2A6B2" w14:textId="77777777" w:rsidR="00D1587D" w:rsidRDefault="00D1587D">
            <w:pPr>
              <w:rPr>
                <w:sz w:val="24"/>
                <w:szCs w:val="24"/>
              </w:rPr>
            </w:pPr>
          </w:p>
        </w:tc>
        <w:tc>
          <w:tcPr>
            <w:tcW w:w="280" w:type="dxa"/>
            <w:vAlign w:val="bottom"/>
          </w:tcPr>
          <w:p w14:paraId="56F1FBC4" w14:textId="77777777" w:rsidR="00D1587D" w:rsidRDefault="00D1587D">
            <w:pPr>
              <w:rPr>
                <w:sz w:val="24"/>
                <w:szCs w:val="24"/>
              </w:rPr>
            </w:pPr>
          </w:p>
        </w:tc>
        <w:tc>
          <w:tcPr>
            <w:tcW w:w="340" w:type="dxa"/>
            <w:vAlign w:val="bottom"/>
          </w:tcPr>
          <w:p w14:paraId="1C5466D9" w14:textId="77777777" w:rsidR="00D1587D" w:rsidRDefault="00D1587D">
            <w:pPr>
              <w:rPr>
                <w:sz w:val="24"/>
                <w:szCs w:val="24"/>
              </w:rPr>
            </w:pPr>
          </w:p>
        </w:tc>
        <w:tc>
          <w:tcPr>
            <w:tcW w:w="120" w:type="dxa"/>
            <w:vAlign w:val="bottom"/>
          </w:tcPr>
          <w:p w14:paraId="6CFA41BC" w14:textId="77777777" w:rsidR="00D1587D" w:rsidRDefault="00D1587D">
            <w:pPr>
              <w:rPr>
                <w:sz w:val="24"/>
                <w:szCs w:val="24"/>
              </w:rPr>
            </w:pPr>
          </w:p>
        </w:tc>
        <w:tc>
          <w:tcPr>
            <w:tcW w:w="500" w:type="dxa"/>
            <w:vAlign w:val="bottom"/>
          </w:tcPr>
          <w:p w14:paraId="57B8BE42" w14:textId="77777777" w:rsidR="00D1587D" w:rsidRDefault="00D1587D">
            <w:pPr>
              <w:rPr>
                <w:sz w:val="24"/>
                <w:szCs w:val="24"/>
              </w:rPr>
            </w:pPr>
          </w:p>
        </w:tc>
        <w:tc>
          <w:tcPr>
            <w:tcW w:w="80" w:type="dxa"/>
            <w:vAlign w:val="bottom"/>
          </w:tcPr>
          <w:p w14:paraId="6567D8A5" w14:textId="77777777" w:rsidR="00D1587D" w:rsidRDefault="00D1587D">
            <w:pPr>
              <w:rPr>
                <w:sz w:val="24"/>
                <w:szCs w:val="24"/>
              </w:rPr>
            </w:pPr>
          </w:p>
        </w:tc>
        <w:tc>
          <w:tcPr>
            <w:tcW w:w="0" w:type="dxa"/>
            <w:vAlign w:val="bottom"/>
          </w:tcPr>
          <w:p w14:paraId="5BEF16A5" w14:textId="77777777" w:rsidR="00D1587D" w:rsidRDefault="00D1587D">
            <w:pPr>
              <w:rPr>
                <w:sz w:val="1"/>
                <w:szCs w:val="1"/>
              </w:rPr>
            </w:pPr>
          </w:p>
        </w:tc>
      </w:tr>
      <w:tr w:rsidR="00D1587D" w14:paraId="1F449BB5" w14:textId="77777777">
        <w:trPr>
          <w:trHeight w:val="148"/>
        </w:trPr>
        <w:tc>
          <w:tcPr>
            <w:tcW w:w="4400" w:type="dxa"/>
            <w:vAlign w:val="bottom"/>
          </w:tcPr>
          <w:p w14:paraId="28516F0E" w14:textId="77777777" w:rsidR="00D1587D" w:rsidRDefault="00D1587D">
            <w:pPr>
              <w:rPr>
                <w:sz w:val="12"/>
                <w:szCs w:val="12"/>
              </w:rPr>
            </w:pPr>
          </w:p>
        </w:tc>
        <w:tc>
          <w:tcPr>
            <w:tcW w:w="1280" w:type="dxa"/>
            <w:gridSpan w:val="4"/>
            <w:vMerge w:val="restart"/>
            <w:vAlign w:val="bottom"/>
          </w:tcPr>
          <w:p w14:paraId="571E240E" w14:textId="77777777" w:rsidR="00D1587D" w:rsidRDefault="00410D07">
            <w:pPr>
              <w:ind w:right="120"/>
              <w:jc w:val="center"/>
              <w:rPr>
                <w:sz w:val="20"/>
                <w:szCs w:val="20"/>
              </w:rPr>
            </w:pPr>
            <w:r>
              <w:rPr>
                <w:rFonts w:ascii="Arial" w:eastAsia="Arial" w:hAnsi="Arial" w:cs="Arial"/>
                <w:b/>
                <w:bCs/>
                <w:w w:val="92"/>
                <w:sz w:val="14"/>
                <w:szCs w:val="14"/>
              </w:rPr>
              <w:t>Net Investment by</w:t>
            </w:r>
          </w:p>
        </w:tc>
        <w:tc>
          <w:tcPr>
            <w:tcW w:w="1100" w:type="dxa"/>
            <w:gridSpan w:val="5"/>
            <w:vAlign w:val="bottom"/>
          </w:tcPr>
          <w:p w14:paraId="3A5A213A" w14:textId="77777777" w:rsidR="00D1587D" w:rsidRDefault="00410D07">
            <w:pPr>
              <w:spacing w:line="149" w:lineRule="exact"/>
              <w:ind w:right="120"/>
              <w:jc w:val="center"/>
              <w:rPr>
                <w:sz w:val="20"/>
                <w:szCs w:val="20"/>
              </w:rPr>
            </w:pPr>
            <w:r>
              <w:rPr>
                <w:rFonts w:ascii="Arial" w:eastAsia="Arial" w:hAnsi="Arial" w:cs="Arial"/>
                <w:b/>
                <w:bCs/>
                <w:sz w:val="14"/>
                <w:szCs w:val="14"/>
              </w:rPr>
              <w:t>Other</w:t>
            </w:r>
          </w:p>
        </w:tc>
        <w:tc>
          <w:tcPr>
            <w:tcW w:w="1060" w:type="dxa"/>
            <w:gridSpan w:val="4"/>
            <w:vMerge w:val="restart"/>
            <w:vAlign w:val="bottom"/>
          </w:tcPr>
          <w:p w14:paraId="2EB97661" w14:textId="77777777" w:rsidR="00D1587D" w:rsidRDefault="00410D07">
            <w:pPr>
              <w:ind w:right="120"/>
              <w:jc w:val="center"/>
              <w:rPr>
                <w:sz w:val="20"/>
                <w:szCs w:val="20"/>
              </w:rPr>
            </w:pPr>
            <w:r>
              <w:rPr>
                <w:rFonts w:ascii="Arial" w:eastAsia="Arial" w:hAnsi="Arial" w:cs="Arial"/>
                <w:b/>
                <w:bCs/>
                <w:w w:val="94"/>
                <w:sz w:val="14"/>
                <w:szCs w:val="14"/>
              </w:rPr>
              <w:t>Noncontrolling</w:t>
            </w:r>
          </w:p>
        </w:tc>
        <w:tc>
          <w:tcPr>
            <w:tcW w:w="580" w:type="dxa"/>
            <w:gridSpan w:val="2"/>
            <w:vMerge w:val="restart"/>
            <w:vAlign w:val="bottom"/>
          </w:tcPr>
          <w:p w14:paraId="1BFF2595" w14:textId="77777777" w:rsidR="00D1587D" w:rsidRDefault="00410D07">
            <w:pPr>
              <w:jc w:val="center"/>
              <w:rPr>
                <w:sz w:val="20"/>
                <w:szCs w:val="20"/>
              </w:rPr>
            </w:pPr>
            <w:r>
              <w:rPr>
                <w:rFonts w:ascii="Arial" w:eastAsia="Arial" w:hAnsi="Arial" w:cs="Arial"/>
                <w:b/>
                <w:bCs/>
                <w:w w:val="89"/>
                <w:sz w:val="14"/>
                <w:szCs w:val="14"/>
              </w:rPr>
              <w:t>Total</w:t>
            </w:r>
          </w:p>
        </w:tc>
        <w:tc>
          <w:tcPr>
            <w:tcW w:w="0" w:type="dxa"/>
            <w:vAlign w:val="bottom"/>
          </w:tcPr>
          <w:p w14:paraId="26517D67" w14:textId="77777777" w:rsidR="00D1587D" w:rsidRDefault="00D1587D">
            <w:pPr>
              <w:rPr>
                <w:sz w:val="1"/>
                <w:szCs w:val="1"/>
              </w:rPr>
            </w:pPr>
          </w:p>
        </w:tc>
      </w:tr>
      <w:tr w:rsidR="00D1587D" w14:paraId="0F26D8F8" w14:textId="77777777">
        <w:trPr>
          <w:trHeight w:val="148"/>
        </w:trPr>
        <w:tc>
          <w:tcPr>
            <w:tcW w:w="4400" w:type="dxa"/>
            <w:vAlign w:val="bottom"/>
          </w:tcPr>
          <w:p w14:paraId="26162694" w14:textId="77777777" w:rsidR="00D1587D" w:rsidRDefault="00D1587D">
            <w:pPr>
              <w:rPr>
                <w:sz w:val="12"/>
                <w:szCs w:val="12"/>
              </w:rPr>
            </w:pPr>
          </w:p>
        </w:tc>
        <w:tc>
          <w:tcPr>
            <w:tcW w:w="1280" w:type="dxa"/>
            <w:gridSpan w:val="4"/>
            <w:vMerge/>
            <w:vAlign w:val="bottom"/>
          </w:tcPr>
          <w:p w14:paraId="3AD2BB9B" w14:textId="77777777" w:rsidR="00D1587D" w:rsidRDefault="00D1587D">
            <w:pPr>
              <w:rPr>
                <w:sz w:val="12"/>
                <w:szCs w:val="12"/>
              </w:rPr>
            </w:pPr>
          </w:p>
        </w:tc>
        <w:tc>
          <w:tcPr>
            <w:tcW w:w="1100" w:type="dxa"/>
            <w:gridSpan w:val="5"/>
            <w:vAlign w:val="bottom"/>
          </w:tcPr>
          <w:p w14:paraId="4173F9DB" w14:textId="77777777" w:rsidR="00D1587D" w:rsidRDefault="00410D07">
            <w:pPr>
              <w:spacing w:line="149" w:lineRule="exact"/>
              <w:ind w:right="120"/>
              <w:jc w:val="center"/>
              <w:rPr>
                <w:sz w:val="20"/>
                <w:szCs w:val="20"/>
              </w:rPr>
            </w:pPr>
            <w:r>
              <w:rPr>
                <w:rFonts w:ascii="Arial" w:eastAsia="Arial" w:hAnsi="Arial" w:cs="Arial"/>
                <w:b/>
                <w:bCs/>
                <w:w w:val="89"/>
                <w:sz w:val="14"/>
                <w:szCs w:val="14"/>
              </w:rPr>
              <w:t>Comprehensive</w:t>
            </w:r>
          </w:p>
        </w:tc>
        <w:tc>
          <w:tcPr>
            <w:tcW w:w="1060" w:type="dxa"/>
            <w:gridSpan w:val="4"/>
            <w:vMerge/>
            <w:vAlign w:val="bottom"/>
          </w:tcPr>
          <w:p w14:paraId="19452A84" w14:textId="77777777" w:rsidR="00D1587D" w:rsidRDefault="00D1587D">
            <w:pPr>
              <w:rPr>
                <w:sz w:val="12"/>
                <w:szCs w:val="12"/>
              </w:rPr>
            </w:pPr>
          </w:p>
        </w:tc>
        <w:tc>
          <w:tcPr>
            <w:tcW w:w="580" w:type="dxa"/>
            <w:gridSpan w:val="2"/>
            <w:vMerge/>
            <w:vAlign w:val="bottom"/>
          </w:tcPr>
          <w:p w14:paraId="0D7CC945" w14:textId="77777777" w:rsidR="00D1587D" w:rsidRDefault="00D1587D">
            <w:pPr>
              <w:rPr>
                <w:sz w:val="12"/>
                <w:szCs w:val="12"/>
              </w:rPr>
            </w:pPr>
          </w:p>
        </w:tc>
        <w:tc>
          <w:tcPr>
            <w:tcW w:w="0" w:type="dxa"/>
            <w:vAlign w:val="bottom"/>
          </w:tcPr>
          <w:p w14:paraId="07422234" w14:textId="77777777" w:rsidR="00D1587D" w:rsidRDefault="00D1587D">
            <w:pPr>
              <w:rPr>
                <w:sz w:val="1"/>
                <w:szCs w:val="1"/>
              </w:rPr>
            </w:pPr>
          </w:p>
        </w:tc>
      </w:tr>
      <w:tr w:rsidR="00D1587D" w14:paraId="2A625681" w14:textId="77777777">
        <w:trPr>
          <w:trHeight w:val="186"/>
        </w:trPr>
        <w:tc>
          <w:tcPr>
            <w:tcW w:w="4400" w:type="dxa"/>
            <w:vAlign w:val="bottom"/>
          </w:tcPr>
          <w:p w14:paraId="605E5EC9" w14:textId="77777777" w:rsidR="00D1587D" w:rsidRDefault="00D1587D">
            <w:pPr>
              <w:rPr>
                <w:sz w:val="16"/>
                <w:szCs w:val="16"/>
              </w:rPr>
            </w:pPr>
          </w:p>
        </w:tc>
        <w:tc>
          <w:tcPr>
            <w:tcW w:w="1280" w:type="dxa"/>
            <w:gridSpan w:val="4"/>
            <w:vAlign w:val="bottom"/>
          </w:tcPr>
          <w:p w14:paraId="1F6723CE" w14:textId="77777777" w:rsidR="00D1587D" w:rsidRDefault="00410D07">
            <w:pPr>
              <w:ind w:right="120"/>
              <w:jc w:val="center"/>
              <w:rPr>
                <w:sz w:val="20"/>
                <w:szCs w:val="20"/>
              </w:rPr>
            </w:pPr>
            <w:r>
              <w:rPr>
                <w:rFonts w:ascii="Arial" w:eastAsia="Arial" w:hAnsi="Arial" w:cs="Arial"/>
                <w:b/>
                <w:bCs/>
                <w:w w:val="94"/>
                <w:sz w:val="14"/>
                <w:szCs w:val="14"/>
              </w:rPr>
              <w:t>L Brands, Inc.</w:t>
            </w:r>
          </w:p>
        </w:tc>
        <w:tc>
          <w:tcPr>
            <w:tcW w:w="1100" w:type="dxa"/>
            <w:gridSpan w:val="5"/>
            <w:vAlign w:val="bottom"/>
          </w:tcPr>
          <w:p w14:paraId="52D5670F" w14:textId="77777777" w:rsidR="00D1587D" w:rsidRDefault="00410D07">
            <w:pPr>
              <w:ind w:right="120"/>
              <w:jc w:val="center"/>
              <w:rPr>
                <w:sz w:val="20"/>
                <w:szCs w:val="20"/>
              </w:rPr>
            </w:pPr>
            <w:r>
              <w:rPr>
                <w:rFonts w:ascii="Arial" w:eastAsia="Arial" w:hAnsi="Arial" w:cs="Arial"/>
                <w:b/>
                <w:bCs/>
                <w:w w:val="90"/>
                <w:sz w:val="14"/>
                <w:szCs w:val="14"/>
              </w:rPr>
              <w:t>Income (Loss)</w:t>
            </w:r>
          </w:p>
        </w:tc>
        <w:tc>
          <w:tcPr>
            <w:tcW w:w="1060" w:type="dxa"/>
            <w:gridSpan w:val="4"/>
            <w:vAlign w:val="bottom"/>
          </w:tcPr>
          <w:p w14:paraId="5FDF8064" w14:textId="77777777" w:rsidR="00D1587D" w:rsidRDefault="00410D07">
            <w:pPr>
              <w:ind w:right="140"/>
              <w:jc w:val="center"/>
              <w:rPr>
                <w:sz w:val="20"/>
                <w:szCs w:val="20"/>
              </w:rPr>
            </w:pPr>
            <w:r>
              <w:rPr>
                <w:rFonts w:ascii="Arial" w:eastAsia="Arial" w:hAnsi="Arial" w:cs="Arial"/>
                <w:b/>
                <w:bCs/>
                <w:w w:val="94"/>
                <w:sz w:val="14"/>
                <w:szCs w:val="14"/>
              </w:rPr>
              <w:t>Interest</w:t>
            </w:r>
          </w:p>
        </w:tc>
        <w:tc>
          <w:tcPr>
            <w:tcW w:w="580" w:type="dxa"/>
            <w:gridSpan w:val="2"/>
            <w:vAlign w:val="bottom"/>
          </w:tcPr>
          <w:p w14:paraId="1C4D6348" w14:textId="77777777" w:rsidR="00D1587D" w:rsidRDefault="00410D07">
            <w:pPr>
              <w:jc w:val="center"/>
              <w:rPr>
                <w:sz w:val="20"/>
                <w:szCs w:val="20"/>
              </w:rPr>
            </w:pPr>
            <w:r>
              <w:rPr>
                <w:rFonts w:ascii="Arial" w:eastAsia="Arial" w:hAnsi="Arial" w:cs="Arial"/>
                <w:b/>
                <w:bCs/>
                <w:w w:val="98"/>
                <w:sz w:val="14"/>
                <w:szCs w:val="14"/>
              </w:rPr>
              <w:t>Equity</w:t>
            </w:r>
          </w:p>
        </w:tc>
        <w:tc>
          <w:tcPr>
            <w:tcW w:w="0" w:type="dxa"/>
            <w:vAlign w:val="bottom"/>
          </w:tcPr>
          <w:p w14:paraId="5FE68AA9" w14:textId="77777777" w:rsidR="00D1587D" w:rsidRDefault="00D1587D">
            <w:pPr>
              <w:rPr>
                <w:sz w:val="1"/>
                <w:szCs w:val="1"/>
              </w:rPr>
            </w:pPr>
          </w:p>
        </w:tc>
      </w:tr>
      <w:tr w:rsidR="00D1587D" w14:paraId="540A1DF4" w14:textId="77777777">
        <w:trPr>
          <w:trHeight w:val="53"/>
        </w:trPr>
        <w:tc>
          <w:tcPr>
            <w:tcW w:w="4400" w:type="dxa"/>
            <w:tcBorders>
              <w:bottom w:val="single" w:sz="8" w:space="0" w:color="CCEEFF"/>
            </w:tcBorders>
            <w:vAlign w:val="bottom"/>
          </w:tcPr>
          <w:p w14:paraId="199D55ED" w14:textId="77777777" w:rsidR="00D1587D" w:rsidRDefault="00D1587D">
            <w:pPr>
              <w:rPr>
                <w:sz w:val="4"/>
                <w:szCs w:val="4"/>
              </w:rPr>
            </w:pPr>
          </w:p>
        </w:tc>
        <w:tc>
          <w:tcPr>
            <w:tcW w:w="340" w:type="dxa"/>
            <w:tcBorders>
              <w:bottom w:val="single" w:sz="8" w:space="0" w:color="auto"/>
            </w:tcBorders>
            <w:vAlign w:val="bottom"/>
          </w:tcPr>
          <w:p w14:paraId="43F62E61" w14:textId="77777777" w:rsidR="00D1587D" w:rsidRDefault="00D1587D">
            <w:pPr>
              <w:rPr>
                <w:sz w:val="4"/>
                <w:szCs w:val="4"/>
              </w:rPr>
            </w:pPr>
          </w:p>
        </w:tc>
        <w:tc>
          <w:tcPr>
            <w:tcW w:w="480" w:type="dxa"/>
            <w:tcBorders>
              <w:bottom w:val="single" w:sz="8" w:space="0" w:color="auto"/>
            </w:tcBorders>
            <w:vAlign w:val="bottom"/>
          </w:tcPr>
          <w:p w14:paraId="565E0B70" w14:textId="77777777" w:rsidR="00D1587D" w:rsidRDefault="00D1587D">
            <w:pPr>
              <w:rPr>
                <w:sz w:val="4"/>
                <w:szCs w:val="4"/>
              </w:rPr>
            </w:pPr>
          </w:p>
        </w:tc>
        <w:tc>
          <w:tcPr>
            <w:tcW w:w="340" w:type="dxa"/>
            <w:tcBorders>
              <w:bottom w:val="single" w:sz="8" w:space="0" w:color="auto"/>
            </w:tcBorders>
            <w:vAlign w:val="bottom"/>
          </w:tcPr>
          <w:p w14:paraId="70E9BD79" w14:textId="77777777" w:rsidR="00D1587D" w:rsidRDefault="00D1587D">
            <w:pPr>
              <w:rPr>
                <w:sz w:val="4"/>
                <w:szCs w:val="4"/>
              </w:rPr>
            </w:pPr>
          </w:p>
        </w:tc>
        <w:tc>
          <w:tcPr>
            <w:tcW w:w="120" w:type="dxa"/>
            <w:tcBorders>
              <w:bottom w:val="single" w:sz="8" w:space="0" w:color="CCEEFF"/>
            </w:tcBorders>
            <w:vAlign w:val="bottom"/>
          </w:tcPr>
          <w:p w14:paraId="5216B97A" w14:textId="77777777" w:rsidR="00D1587D" w:rsidRDefault="00D1587D">
            <w:pPr>
              <w:rPr>
                <w:sz w:val="4"/>
                <w:szCs w:val="4"/>
              </w:rPr>
            </w:pPr>
          </w:p>
        </w:tc>
        <w:tc>
          <w:tcPr>
            <w:tcW w:w="340" w:type="dxa"/>
            <w:tcBorders>
              <w:bottom w:val="single" w:sz="8" w:space="0" w:color="auto"/>
            </w:tcBorders>
            <w:vAlign w:val="bottom"/>
          </w:tcPr>
          <w:p w14:paraId="4CD65429" w14:textId="77777777" w:rsidR="00D1587D" w:rsidRDefault="00D1587D">
            <w:pPr>
              <w:rPr>
                <w:sz w:val="4"/>
                <w:szCs w:val="4"/>
              </w:rPr>
            </w:pPr>
          </w:p>
        </w:tc>
        <w:tc>
          <w:tcPr>
            <w:tcW w:w="280" w:type="dxa"/>
            <w:tcBorders>
              <w:bottom w:val="single" w:sz="8" w:space="0" w:color="auto"/>
            </w:tcBorders>
            <w:vAlign w:val="bottom"/>
          </w:tcPr>
          <w:p w14:paraId="556796BD" w14:textId="77777777" w:rsidR="00D1587D" w:rsidRDefault="00D1587D">
            <w:pPr>
              <w:rPr>
                <w:sz w:val="4"/>
                <w:szCs w:val="4"/>
              </w:rPr>
            </w:pPr>
          </w:p>
        </w:tc>
        <w:tc>
          <w:tcPr>
            <w:tcW w:w="40" w:type="dxa"/>
            <w:tcBorders>
              <w:bottom w:val="single" w:sz="8" w:space="0" w:color="auto"/>
            </w:tcBorders>
            <w:vAlign w:val="bottom"/>
          </w:tcPr>
          <w:p w14:paraId="020EB571" w14:textId="77777777" w:rsidR="00D1587D" w:rsidRDefault="00D1587D">
            <w:pPr>
              <w:rPr>
                <w:sz w:val="4"/>
                <w:szCs w:val="4"/>
              </w:rPr>
            </w:pPr>
          </w:p>
        </w:tc>
        <w:tc>
          <w:tcPr>
            <w:tcW w:w="300" w:type="dxa"/>
            <w:tcBorders>
              <w:bottom w:val="single" w:sz="8" w:space="0" w:color="auto"/>
            </w:tcBorders>
            <w:vAlign w:val="bottom"/>
          </w:tcPr>
          <w:p w14:paraId="09536F4B" w14:textId="77777777" w:rsidR="00D1587D" w:rsidRDefault="00D1587D">
            <w:pPr>
              <w:rPr>
                <w:sz w:val="4"/>
                <w:szCs w:val="4"/>
              </w:rPr>
            </w:pPr>
          </w:p>
        </w:tc>
        <w:tc>
          <w:tcPr>
            <w:tcW w:w="140" w:type="dxa"/>
            <w:tcBorders>
              <w:bottom w:val="single" w:sz="8" w:space="0" w:color="CCEEFF"/>
            </w:tcBorders>
            <w:vAlign w:val="bottom"/>
          </w:tcPr>
          <w:p w14:paraId="60E14F69" w14:textId="77777777" w:rsidR="00D1587D" w:rsidRDefault="00D1587D">
            <w:pPr>
              <w:rPr>
                <w:sz w:val="4"/>
                <w:szCs w:val="4"/>
              </w:rPr>
            </w:pPr>
          </w:p>
        </w:tc>
        <w:tc>
          <w:tcPr>
            <w:tcW w:w="320" w:type="dxa"/>
            <w:tcBorders>
              <w:bottom w:val="single" w:sz="8" w:space="0" w:color="auto"/>
            </w:tcBorders>
            <w:vAlign w:val="bottom"/>
          </w:tcPr>
          <w:p w14:paraId="3EB064B3" w14:textId="77777777" w:rsidR="00D1587D" w:rsidRDefault="00D1587D">
            <w:pPr>
              <w:rPr>
                <w:sz w:val="4"/>
                <w:szCs w:val="4"/>
              </w:rPr>
            </w:pPr>
          </w:p>
        </w:tc>
        <w:tc>
          <w:tcPr>
            <w:tcW w:w="280" w:type="dxa"/>
            <w:tcBorders>
              <w:bottom w:val="single" w:sz="8" w:space="0" w:color="auto"/>
            </w:tcBorders>
            <w:vAlign w:val="bottom"/>
          </w:tcPr>
          <w:p w14:paraId="1013F15C" w14:textId="77777777" w:rsidR="00D1587D" w:rsidRDefault="00D1587D">
            <w:pPr>
              <w:rPr>
                <w:sz w:val="4"/>
                <w:szCs w:val="4"/>
              </w:rPr>
            </w:pPr>
          </w:p>
        </w:tc>
        <w:tc>
          <w:tcPr>
            <w:tcW w:w="340" w:type="dxa"/>
            <w:tcBorders>
              <w:bottom w:val="single" w:sz="8" w:space="0" w:color="auto"/>
            </w:tcBorders>
            <w:vAlign w:val="bottom"/>
          </w:tcPr>
          <w:p w14:paraId="681F1117" w14:textId="77777777" w:rsidR="00D1587D" w:rsidRDefault="00D1587D">
            <w:pPr>
              <w:rPr>
                <w:sz w:val="4"/>
                <w:szCs w:val="4"/>
              </w:rPr>
            </w:pPr>
          </w:p>
        </w:tc>
        <w:tc>
          <w:tcPr>
            <w:tcW w:w="120" w:type="dxa"/>
            <w:tcBorders>
              <w:bottom w:val="single" w:sz="8" w:space="0" w:color="CCEEFF"/>
            </w:tcBorders>
            <w:vAlign w:val="bottom"/>
          </w:tcPr>
          <w:p w14:paraId="0ADF81D1" w14:textId="77777777" w:rsidR="00D1587D" w:rsidRDefault="00D1587D">
            <w:pPr>
              <w:rPr>
                <w:sz w:val="4"/>
                <w:szCs w:val="4"/>
              </w:rPr>
            </w:pPr>
          </w:p>
        </w:tc>
        <w:tc>
          <w:tcPr>
            <w:tcW w:w="500" w:type="dxa"/>
            <w:tcBorders>
              <w:bottom w:val="single" w:sz="8" w:space="0" w:color="auto"/>
            </w:tcBorders>
            <w:vAlign w:val="bottom"/>
          </w:tcPr>
          <w:p w14:paraId="3B83D5F7" w14:textId="77777777" w:rsidR="00D1587D" w:rsidRDefault="00D1587D">
            <w:pPr>
              <w:rPr>
                <w:sz w:val="4"/>
                <w:szCs w:val="4"/>
              </w:rPr>
            </w:pPr>
          </w:p>
        </w:tc>
        <w:tc>
          <w:tcPr>
            <w:tcW w:w="80" w:type="dxa"/>
            <w:tcBorders>
              <w:bottom w:val="single" w:sz="8" w:space="0" w:color="auto"/>
            </w:tcBorders>
            <w:vAlign w:val="bottom"/>
          </w:tcPr>
          <w:p w14:paraId="4BB4308F" w14:textId="77777777" w:rsidR="00D1587D" w:rsidRDefault="00D1587D">
            <w:pPr>
              <w:rPr>
                <w:sz w:val="4"/>
                <w:szCs w:val="4"/>
              </w:rPr>
            </w:pPr>
          </w:p>
        </w:tc>
        <w:tc>
          <w:tcPr>
            <w:tcW w:w="0" w:type="dxa"/>
            <w:vAlign w:val="bottom"/>
          </w:tcPr>
          <w:p w14:paraId="5AB7B0E5" w14:textId="77777777" w:rsidR="00D1587D" w:rsidRDefault="00D1587D">
            <w:pPr>
              <w:rPr>
                <w:sz w:val="1"/>
                <w:szCs w:val="1"/>
              </w:rPr>
            </w:pPr>
          </w:p>
        </w:tc>
      </w:tr>
      <w:tr w:rsidR="00D1587D" w14:paraId="32D50625" w14:textId="77777777">
        <w:trPr>
          <w:trHeight w:val="311"/>
        </w:trPr>
        <w:tc>
          <w:tcPr>
            <w:tcW w:w="4400" w:type="dxa"/>
            <w:tcBorders>
              <w:bottom w:val="single" w:sz="8" w:space="0" w:color="CCEEFF"/>
            </w:tcBorders>
            <w:shd w:val="clear" w:color="auto" w:fill="CCEEFF"/>
            <w:vAlign w:val="bottom"/>
          </w:tcPr>
          <w:p w14:paraId="232BEE89" w14:textId="77777777" w:rsidR="00D1587D" w:rsidRDefault="00410D07">
            <w:pPr>
              <w:rPr>
                <w:sz w:val="20"/>
                <w:szCs w:val="20"/>
              </w:rPr>
            </w:pPr>
            <w:r>
              <w:rPr>
                <w:rFonts w:ascii="Arial" w:eastAsia="Arial" w:hAnsi="Arial" w:cs="Arial"/>
                <w:b/>
                <w:bCs/>
                <w:sz w:val="18"/>
                <w:szCs w:val="18"/>
              </w:rPr>
              <w:t>Balance, February 1, 2020</w:t>
            </w:r>
          </w:p>
        </w:tc>
        <w:tc>
          <w:tcPr>
            <w:tcW w:w="820" w:type="dxa"/>
            <w:gridSpan w:val="2"/>
            <w:tcBorders>
              <w:bottom w:val="single" w:sz="8" w:space="0" w:color="CCEEFF"/>
            </w:tcBorders>
            <w:shd w:val="clear" w:color="auto" w:fill="CCEEFF"/>
            <w:vAlign w:val="bottom"/>
          </w:tcPr>
          <w:p w14:paraId="676ACFE4" w14:textId="77777777" w:rsidR="00D1587D" w:rsidRDefault="00410D07">
            <w:pPr>
              <w:jc w:val="right"/>
              <w:rPr>
                <w:sz w:val="20"/>
                <w:szCs w:val="20"/>
              </w:rPr>
            </w:pPr>
            <w:r>
              <w:rPr>
                <w:rFonts w:ascii="Arial" w:eastAsia="Arial" w:hAnsi="Arial" w:cs="Arial"/>
                <w:sz w:val="18"/>
                <w:szCs w:val="18"/>
              </w:rPr>
              <w:t>$1,341</w:t>
            </w:r>
          </w:p>
        </w:tc>
        <w:tc>
          <w:tcPr>
            <w:tcW w:w="340" w:type="dxa"/>
            <w:tcBorders>
              <w:bottom w:val="single" w:sz="8" w:space="0" w:color="CCEEFF"/>
            </w:tcBorders>
            <w:shd w:val="clear" w:color="auto" w:fill="CCEEFF"/>
            <w:vAlign w:val="bottom"/>
          </w:tcPr>
          <w:p w14:paraId="07B63AAB" w14:textId="77777777" w:rsidR="00D1587D" w:rsidRDefault="00D1587D">
            <w:pPr>
              <w:rPr>
                <w:sz w:val="24"/>
                <w:szCs w:val="24"/>
              </w:rPr>
            </w:pPr>
          </w:p>
        </w:tc>
        <w:tc>
          <w:tcPr>
            <w:tcW w:w="120" w:type="dxa"/>
            <w:tcBorders>
              <w:bottom w:val="single" w:sz="8" w:space="0" w:color="CCEEFF"/>
            </w:tcBorders>
            <w:shd w:val="clear" w:color="auto" w:fill="CCEEFF"/>
            <w:vAlign w:val="bottom"/>
          </w:tcPr>
          <w:p w14:paraId="74F5679E" w14:textId="77777777" w:rsidR="00D1587D" w:rsidRDefault="00D1587D">
            <w:pPr>
              <w:rPr>
                <w:sz w:val="24"/>
                <w:szCs w:val="24"/>
              </w:rPr>
            </w:pPr>
          </w:p>
        </w:tc>
        <w:tc>
          <w:tcPr>
            <w:tcW w:w="960" w:type="dxa"/>
            <w:gridSpan w:val="4"/>
            <w:tcBorders>
              <w:bottom w:val="single" w:sz="8" w:space="0" w:color="CCEEFF"/>
            </w:tcBorders>
            <w:shd w:val="clear" w:color="auto" w:fill="CCEEFF"/>
            <w:vAlign w:val="bottom"/>
          </w:tcPr>
          <w:p w14:paraId="05950CC4" w14:textId="77777777" w:rsidR="00D1587D" w:rsidRDefault="00410D07">
            <w:pPr>
              <w:ind w:right="240"/>
              <w:jc w:val="right"/>
              <w:rPr>
                <w:sz w:val="20"/>
                <w:szCs w:val="20"/>
              </w:rPr>
            </w:pPr>
            <w:r>
              <w:rPr>
                <w:rFonts w:ascii="Arial" w:eastAsia="Arial" w:hAnsi="Arial" w:cs="Arial"/>
                <w:sz w:val="18"/>
                <w:szCs w:val="18"/>
              </w:rPr>
              <w:t>$(29)</w:t>
            </w:r>
          </w:p>
        </w:tc>
        <w:tc>
          <w:tcPr>
            <w:tcW w:w="140" w:type="dxa"/>
            <w:tcBorders>
              <w:bottom w:val="single" w:sz="8" w:space="0" w:color="CCEEFF"/>
            </w:tcBorders>
            <w:shd w:val="clear" w:color="auto" w:fill="CCEEFF"/>
            <w:vAlign w:val="bottom"/>
          </w:tcPr>
          <w:p w14:paraId="42177220" w14:textId="77777777" w:rsidR="00D1587D" w:rsidRDefault="00D1587D">
            <w:pPr>
              <w:rPr>
                <w:sz w:val="24"/>
                <w:szCs w:val="24"/>
              </w:rPr>
            </w:pPr>
          </w:p>
        </w:tc>
        <w:tc>
          <w:tcPr>
            <w:tcW w:w="600" w:type="dxa"/>
            <w:gridSpan w:val="2"/>
            <w:tcBorders>
              <w:bottom w:val="single" w:sz="8" w:space="0" w:color="CCEEFF"/>
            </w:tcBorders>
            <w:shd w:val="clear" w:color="auto" w:fill="CCEEFF"/>
            <w:vAlign w:val="bottom"/>
          </w:tcPr>
          <w:p w14:paraId="188214F0" w14:textId="77777777" w:rsidR="00D1587D" w:rsidRDefault="00410D07">
            <w:pPr>
              <w:jc w:val="right"/>
              <w:rPr>
                <w:sz w:val="20"/>
                <w:szCs w:val="20"/>
              </w:rPr>
            </w:pPr>
            <w:r>
              <w:rPr>
                <w:rFonts w:ascii="Arial" w:eastAsia="Arial" w:hAnsi="Arial" w:cs="Arial"/>
                <w:sz w:val="18"/>
                <w:szCs w:val="18"/>
              </w:rPr>
              <w:t>$ 2</w:t>
            </w:r>
          </w:p>
        </w:tc>
        <w:tc>
          <w:tcPr>
            <w:tcW w:w="340" w:type="dxa"/>
            <w:tcBorders>
              <w:bottom w:val="single" w:sz="8" w:space="0" w:color="CCEEFF"/>
            </w:tcBorders>
            <w:shd w:val="clear" w:color="auto" w:fill="CCEEFF"/>
            <w:vAlign w:val="bottom"/>
          </w:tcPr>
          <w:p w14:paraId="5169F076" w14:textId="77777777" w:rsidR="00D1587D" w:rsidRDefault="00D1587D">
            <w:pPr>
              <w:rPr>
                <w:sz w:val="24"/>
                <w:szCs w:val="24"/>
              </w:rPr>
            </w:pPr>
          </w:p>
        </w:tc>
        <w:tc>
          <w:tcPr>
            <w:tcW w:w="120" w:type="dxa"/>
            <w:tcBorders>
              <w:bottom w:val="single" w:sz="8" w:space="0" w:color="CCEEFF"/>
            </w:tcBorders>
            <w:shd w:val="clear" w:color="auto" w:fill="CCEEFF"/>
            <w:vAlign w:val="bottom"/>
          </w:tcPr>
          <w:p w14:paraId="683ABE53" w14:textId="77777777" w:rsidR="00D1587D" w:rsidRDefault="00D1587D">
            <w:pPr>
              <w:rPr>
                <w:sz w:val="24"/>
                <w:szCs w:val="24"/>
              </w:rPr>
            </w:pPr>
          </w:p>
        </w:tc>
        <w:tc>
          <w:tcPr>
            <w:tcW w:w="500" w:type="dxa"/>
            <w:tcBorders>
              <w:bottom w:val="single" w:sz="8" w:space="0" w:color="CCEEFF"/>
            </w:tcBorders>
            <w:shd w:val="clear" w:color="auto" w:fill="CCEEFF"/>
            <w:vAlign w:val="bottom"/>
          </w:tcPr>
          <w:p w14:paraId="30A45FBA" w14:textId="77777777" w:rsidR="00D1587D" w:rsidRDefault="00410D07">
            <w:pPr>
              <w:jc w:val="right"/>
              <w:rPr>
                <w:sz w:val="20"/>
                <w:szCs w:val="20"/>
              </w:rPr>
            </w:pPr>
            <w:r>
              <w:rPr>
                <w:rFonts w:ascii="Arial" w:eastAsia="Arial" w:hAnsi="Arial" w:cs="Arial"/>
                <w:w w:val="87"/>
                <w:sz w:val="18"/>
                <w:szCs w:val="18"/>
              </w:rPr>
              <w:t>$1,314</w:t>
            </w:r>
          </w:p>
        </w:tc>
        <w:tc>
          <w:tcPr>
            <w:tcW w:w="80" w:type="dxa"/>
            <w:tcBorders>
              <w:bottom w:val="single" w:sz="8" w:space="0" w:color="CCEEFF"/>
            </w:tcBorders>
            <w:shd w:val="clear" w:color="auto" w:fill="CCEEFF"/>
            <w:vAlign w:val="bottom"/>
          </w:tcPr>
          <w:p w14:paraId="2CF939CA" w14:textId="77777777" w:rsidR="00D1587D" w:rsidRDefault="00D1587D">
            <w:pPr>
              <w:rPr>
                <w:sz w:val="24"/>
                <w:szCs w:val="24"/>
              </w:rPr>
            </w:pPr>
          </w:p>
        </w:tc>
        <w:tc>
          <w:tcPr>
            <w:tcW w:w="0" w:type="dxa"/>
            <w:vAlign w:val="bottom"/>
          </w:tcPr>
          <w:p w14:paraId="702ABE57" w14:textId="77777777" w:rsidR="00D1587D" w:rsidRDefault="00D1587D">
            <w:pPr>
              <w:rPr>
                <w:sz w:val="1"/>
                <w:szCs w:val="1"/>
              </w:rPr>
            </w:pPr>
          </w:p>
        </w:tc>
      </w:tr>
      <w:tr w:rsidR="00D1587D" w14:paraId="45114CA9" w14:textId="77777777">
        <w:trPr>
          <w:trHeight w:val="270"/>
        </w:trPr>
        <w:tc>
          <w:tcPr>
            <w:tcW w:w="4400" w:type="dxa"/>
            <w:vAlign w:val="bottom"/>
          </w:tcPr>
          <w:p w14:paraId="31597AB5" w14:textId="77777777" w:rsidR="00D1587D" w:rsidRDefault="00410D07">
            <w:pPr>
              <w:ind w:left="180"/>
              <w:rPr>
                <w:sz w:val="20"/>
                <w:szCs w:val="20"/>
              </w:rPr>
            </w:pPr>
            <w:r>
              <w:rPr>
                <w:rFonts w:ascii="Arial" w:eastAsia="Arial" w:hAnsi="Arial" w:cs="Arial"/>
                <w:sz w:val="18"/>
                <w:szCs w:val="18"/>
              </w:rPr>
              <w:t>Net Loss</w:t>
            </w:r>
          </w:p>
        </w:tc>
        <w:tc>
          <w:tcPr>
            <w:tcW w:w="1160" w:type="dxa"/>
            <w:gridSpan w:val="3"/>
            <w:vAlign w:val="bottom"/>
          </w:tcPr>
          <w:p w14:paraId="50C52D3F" w14:textId="77777777" w:rsidR="00D1587D" w:rsidRDefault="00410D07">
            <w:pPr>
              <w:ind w:right="280"/>
              <w:jc w:val="right"/>
              <w:rPr>
                <w:sz w:val="20"/>
                <w:szCs w:val="20"/>
              </w:rPr>
            </w:pPr>
            <w:r>
              <w:rPr>
                <w:rFonts w:ascii="Arial" w:eastAsia="Arial" w:hAnsi="Arial" w:cs="Arial"/>
                <w:sz w:val="18"/>
                <w:szCs w:val="18"/>
              </w:rPr>
              <w:t>(299)</w:t>
            </w:r>
          </w:p>
        </w:tc>
        <w:tc>
          <w:tcPr>
            <w:tcW w:w="120" w:type="dxa"/>
            <w:vAlign w:val="bottom"/>
          </w:tcPr>
          <w:p w14:paraId="3765AC45" w14:textId="77777777" w:rsidR="00D1587D" w:rsidRDefault="00D1587D">
            <w:pPr>
              <w:rPr>
                <w:sz w:val="23"/>
                <w:szCs w:val="23"/>
              </w:rPr>
            </w:pPr>
          </w:p>
        </w:tc>
        <w:tc>
          <w:tcPr>
            <w:tcW w:w="340" w:type="dxa"/>
            <w:vAlign w:val="bottom"/>
          </w:tcPr>
          <w:p w14:paraId="528E9980" w14:textId="77777777" w:rsidR="00D1587D" w:rsidRDefault="00D1587D">
            <w:pPr>
              <w:rPr>
                <w:sz w:val="23"/>
                <w:szCs w:val="23"/>
              </w:rPr>
            </w:pPr>
          </w:p>
        </w:tc>
        <w:tc>
          <w:tcPr>
            <w:tcW w:w="760" w:type="dxa"/>
            <w:gridSpan w:val="4"/>
            <w:vAlign w:val="bottom"/>
          </w:tcPr>
          <w:p w14:paraId="43A39373" w14:textId="77777777" w:rsidR="00D1587D" w:rsidRDefault="00410D07">
            <w:pPr>
              <w:ind w:right="440"/>
              <w:jc w:val="right"/>
              <w:rPr>
                <w:sz w:val="20"/>
                <w:szCs w:val="20"/>
              </w:rPr>
            </w:pPr>
            <w:r>
              <w:rPr>
                <w:rFonts w:ascii="Arial" w:eastAsia="Arial" w:hAnsi="Arial" w:cs="Arial"/>
                <w:sz w:val="18"/>
                <w:szCs w:val="18"/>
              </w:rPr>
              <w:t>—</w:t>
            </w:r>
          </w:p>
        </w:tc>
        <w:tc>
          <w:tcPr>
            <w:tcW w:w="320" w:type="dxa"/>
            <w:vAlign w:val="bottom"/>
          </w:tcPr>
          <w:p w14:paraId="755C7558" w14:textId="77777777" w:rsidR="00D1587D" w:rsidRDefault="00D1587D">
            <w:pPr>
              <w:rPr>
                <w:sz w:val="23"/>
                <w:szCs w:val="23"/>
              </w:rPr>
            </w:pPr>
          </w:p>
        </w:tc>
        <w:tc>
          <w:tcPr>
            <w:tcW w:w="740" w:type="dxa"/>
            <w:gridSpan w:val="3"/>
            <w:vAlign w:val="bottom"/>
          </w:tcPr>
          <w:p w14:paraId="770EB79D" w14:textId="77777777" w:rsidR="00D1587D" w:rsidRDefault="00410D07">
            <w:pPr>
              <w:ind w:right="460"/>
              <w:jc w:val="right"/>
              <w:rPr>
                <w:sz w:val="20"/>
                <w:szCs w:val="20"/>
              </w:rPr>
            </w:pPr>
            <w:r>
              <w:rPr>
                <w:rFonts w:ascii="Arial" w:eastAsia="Arial" w:hAnsi="Arial" w:cs="Arial"/>
                <w:sz w:val="18"/>
                <w:szCs w:val="18"/>
              </w:rPr>
              <w:t>—</w:t>
            </w:r>
          </w:p>
        </w:tc>
        <w:tc>
          <w:tcPr>
            <w:tcW w:w="580" w:type="dxa"/>
            <w:gridSpan w:val="2"/>
            <w:vAlign w:val="bottom"/>
          </w:tcPr>
          <w:p w14:paraId="0AA6EB9D" w14:textId="77777777" w:rsidR="00D1587D" w:rsidRDefault="00410D07">
            <w:pPr>
              <w:ind w:right="20"/>
              <w:jc w:val="right"/>
              <w:rPr>
                <w:sz w:val="20"/>
                <w:szCs w:val="20"/>
              </w:rPr>
            </w:pPr>
            <w:r>
              <w:rPr>
                <w:rFonts w:ascii="Arial" w:eastAsia="Arial" w:hAnsi="Arial" w:cs="Arial"/>
                <w:sz w:val="18"/>
                <w:szCs w:val="18"/>
              </w:rPr>
              <w:t>(299)</w:t>
            </w:r>
          </w:p>
        </w:tc>
        <w:tc>
          <w:tcPr>
            <w:tcW w:w="0" w:type="dxa"/>
            <w:vAlign w:val="bottom"/>
          </w:tcPr>
          <w:p w14:paraId="40A996F7" w14:textId="77777777" w:rsidR="00D1587D" w:rsidRDefault="00D1587D">
            <w:pPr>
              <w:rPr>
                <w:sz w:val="1"/>
                <w:szCs w:val="1"/>
              </w:rPr>
            </w:pPr>
          </w:p>
        </w:tc>
      </w:tr>
      <w:tr w:rsidR="00D1587D" w14:paraId="5A73D497" w14:textId="77777777">
        <w:trPr>
          <w:trHeight w:val="54"/>
        </w:trPr>
        <w:tc>
          <w:tcPr>
            <w:tcW w:w="4400" w:type="dxa"/>
            <w:vAlign w:val="bottom"/>
          </w:tcPr>
          <w:p w14:paraId="43B6BB72" w14:textId="77777777" w:rsidR="00D1587D" w:rsidRDefault="00D1587D">
            <w:pPr>
              <w:rPr>
                <w:sz w:val="4"/>
                <w:szCs w:val="4"/>
              </w:rPr>
            </w:pPr>
          </w:p>
        </w:tc>
        <w:tc>
          <w:tcPr>
            <w:tcW w:w="340" w:type="dxa"/>
            <w:vAlign w:val="bottom"/>
          </w:tcPr>
          <w:p w14:paraId="5441EC44" w14:textId="77777777" w:rsidR="00D1587D" w:rsidRDefault="00D1587D">
            <w:pPr>
              <w:rPr>
                <w:sz w:val="4"/>
                <w:szCs w:val="4"/>
              </w:rPr>
            </w:pPr>
          </w:p>
        </w:tc>
        <w:tc>
          <w:tcPr>
            <w:tcW w:w="480" w:type="dxa"/>
            <w:vAlign w:val="bottom"/>
          </w:tcPr>
          <w:p w14:paraId="0011BD1B" w14:textId="77777777" w:rsidR="00D1587D" w:rsidRDefault="00D1587D">
            <w:pPr>
              <w:rPr>
                <w:sz w:val="4"/>
                <w:szCs w:val="4"/>
              </w:rPr>
            </w:pPr>
          </w:p>
        </w:tc>
        <w:tc>
          <w:tcPr>
            <w:tcW w:w="460" w:type="dxa"/>
            <w:gridSpan w:val="2"/>
            <w:vAlign w:val="bottom"/>
          </w:tcPr>
          <w:p w14:paraId="43906477" w14:textId="77777777" w:rsidR="00D1587D" w:rsidRDefault="00D1587D">
            <w:pPr>
              <w:rPr>
                <w:sz w:val="4"/>
                <w:szCs w:val="4"/>
              </w:rPr>
            </w:pPr>
          </w:p>
        </w:tc>
        <w:tc>
          <w:tcPr>
            <w:tcW w:w="340" w:type="dxa"/>
            <w:vAlign w:val="bottom"/>
          </w:tcPr>
          <w:p w14:paraId="156AF0CB" w14:textId="77777777" w:rsidR="00D1587D" w:rsidRDefault="00D1587D">
            <w:pPr>
              <w:rPr>
                <w:sz w:val="4"/>
                <w:szCs w:val="4"/>
              </w:rPr>
            </w:pPr>
          </w:p>
        </w:tc>
        <w:tc>
          <w:tcPr>
            <w:tcW w:w="280" w:type="dxa"/>
            <w:vAlign w:val="bottom"/>
          </w:tcPr>
          <w:p w14:paraId="42A44867" w14:textId="77777777" w:rsidR="00D1587D" w:rsidRDefault="00D1587D">
            <w:pPr>
              <w:rPr>
                <w:sz w:val="4"/>
                <w:szCs w:val="4"/>
              </w:rPr>
            </w:pPr>
          </w:p>
        </w:tc>
        <w:tc>
          <w:tcPr>
            <w:tcW w:w="40" w:type="dxa"/>
            <w:vAlign w:val="bottom"/>
          </w:tcPr>
          <w:p w14:paraId="337A7B26" w14:textId="77777777" w:rsidR="00D1587D" w:rsidRDefault="00D1587D">
            <w:pPr>
              <w:rPr>
                <w:sz w:val="4"/>
                <w:szCs w:val="4"/>
              </w:rPr>
            </w:pPr>
          </w:p>
        </w:tc>
        <w:tc>
          <w:tcPr>
            <w:tcW w:w="300" w:type="dxa"/>
            <w:vAlign w:val="bottom"/>
          </w:tcPr>
          <w:p w14:paraId="7CD33193" w14:textId="77777777" w:rsidR="00D1587D" w:rsidRDefault="00D1587D">
            <w:pPr>
              <w:rPr>
                <w:sz w:val="4"/>
                <w:szCs w:val="4"/>
              </w:rPr>
            </w:pPr>
          </w:p>
        </w:tc>
        <w:tc>
          <w:tcPr>
            <w:tcW w:w="140" w:type="dxa"/>
            <w:vAlign w:val="bottom"/>
          </w:tcPr>
          <w:p w14:paraId="4D21CD43" w14:textId="77777777" w:rsidR="00D1587D" w:rsidRDefault="00D1587D">
            <w:pPr>
              <w:rPr>
                <w:sz w:val="4"/>
                <w:szCs w:val="4"/>
              </w:rPr>
            </w:pPr>
          </w:p>
        </w:tc>
        <w:tc>
          <w:tcPr>
            <w:tcW w:w="320" w:type="dxa"/>
            <w:vAlign w:val="bottom"/>
          </w:tcPr>
          <w:p w14:paraId="24CC5CBB" w14:textId="77777777" w:rsidR="00D1587D" w:rsidRDefault="00D1587D">
            <w:pPr>
              <w:rPr>
                <w:sz w:val="4"/>
                <w:szCs w:val="4"/>
              </w:rPr>
            </w:pPr>
          </w:p>
        </w:tc>
        <w:tc>
          <w:tcPr>
            <w:tcW w:w="280" w:type="dxa"/>
            <w:vAlign w:val="bottom"/>
          </w:tcPr>
          <w:p w14:paraId="4F0E4028" w14:textId="77777777" w:rsidR="00D1587D" w:rsidRDefault="00D1587D">
            <w:pPr>
              <w:rPr>
                <w:sz w:val="4"/>
                <w:szCs w:val="4"/>
              </w:rPr>
            </w:pPr>
          </w:p>
        </w:tc>
        <w:tc>
          <w:tcPr>
            <w:tcW w:w="460" w:type="dxa"/>
            <w:gridSpan w:val="2"/>
            <w:vAlign w:val="bottom"/>
          </w:tcPr>
          <w:p w14:paraId="70C030A5" w14:textId="77777777" w:rsidR="00D1587D" w:rsidRDefault="00D1587D">
            <w:pPr>
              <w:rPr>
                <w:sz w:val="4"/>
                <w:szCs w:val="4"/>
              </w:rPr>
            </w:pPr>
          </w:p>
        </w:tc>
        <w:tc>
          <w:tcPr>
            <w:tcW w:w="500" w:type="dxa"/>
            <w:vAlign w:val="bottom"/>
          </w:tcPr>
          <w:p w14:paraId="18171C49" w14:textId="77777777" w:rsidR="00D1587D" w:rsidRDefault="00D1587D">
            <w:pPr>
              <w:rPr>
                <w:sz w:val="4"/>
                <w:szCs w:val="4"/>
              </w:rPr>
            </w:pPr>
          </w:p>
        </w:tc>
        <w:tc>
          <w:tcPr>
            <w:tcW w:w="80" w:type="dxa"/>
            <w:vAlign w:val="bottom"/>
          </w:tcPr>
          <w:p w14:paraId="49A4D730" w14:textId="77777777" w:rsidR="00D1587D" w:rsidRDefault="00D1587D">
            <w:pPr>
              <w:rPr>
                <w:sz w:val="4"/>
                <w:szCs w:val="4"/>
              </w:rPr>
            </w:pPr>
          </w:p>
        </w:tc>
        <w:tc>
          <w:tcPr>
            <w:tcW w:w="0" w:type="dxa"/>
            <w:vAlign w:val="bottom"/>
          </w:tcPr>
          <w:p w14:paraId="53E02EE4" w14:textId="77777777" w:rsidR="00D1587D" w:rsidRDefault="00D1587D">
            <w:pPr>
              <w:rPr>
                <w:sz w:val="1"/>
                <w:szCs w:val="1"/>
              </w:rPr>
            </w:pPr>
          </w:p>
        </w:tc>
      </w:tr>
      <w:tr w:rsidR="00D1587D" w14:paraId="5462F868" w14:textId="77777777">
        <w:trPr>
          <w:trHeight w:val="257"/>
        </w:trPr>
        <w:tc>
          <w:tcPr>
            <w:tcW w:w="4400" w:type="dxa"/>
            <w:shd w:val="clear" w:color="auto" w:fill="CCEEFF"/>
            <w:vAlign w:val="bottom"/>
          </w:tcPr>
          <w:p w14:paraId="28AF970C" w14:textId="77777777" w:rsidR="00D1587D" w:rsidRDefault="00410D07">
            <w:pPr>
              <w:ind w:left="180"/>
              <w:rPr>
                <w:sz w:val="20"/>
                <w:szCs w:val="20"/>
              </w:rPr>
            </w:pPr>
            <w:r>
              <w:rPr>
                <w:rFonts w:ascii="Arial" w:eastAsia="Arial" w:hAnsi="Arial" w:cs="Arial"/>
                <w:sz w:val="18"/>
                <w:szCs w:val="18"/>
              </w:rPr>
              <w:t>Other Comprehensive Loss</w:t>
            </w:r>
          </w:p>
        </w:tc>
        <w:tc>
          <w:tcPr>
            <w:tcW w:w="340" w:type="dxa"/>
            <w:shd w:val="clear" w:color="auto" w:fill="CCEEFF"/>
            <w:vAlign w:val="bottom"/>
          </w:tcPr>
          <w:p w14:paraId="73427A4D" w14:textId="77777777" w:rsidR="00D1587D" w:rsidRDefault="00D1587D"/>
        </w:tc>
        <w:tc>
          <w:tcPr>
            <w:tcW w:w="940" w:type="dxa"/>
            <w:gridSpan w:val="3"/>
            <w:shd w:val="clear" w:color="auto" w:fill="CCEEFF"/>
            <w:vAlign w:val="bottom"/>
          </w:tcPr>
          <w:p w14:paraId="585ADF19" w14:textId="77777777" w:rsidR="00D1587D" w:rsidRDefault="00410D07">
            <w:pPr>
              <w:ind w:right="460"/>
              <w:jc w:val="right"/>
              <w:rPr>
                <w:sz w:val="20"/>
                <w:szCs w:val="20"/>
              </w:rPr>
            </w:pPr>
            <w:r>
              <w:rPr>
                <w:rFonts w:ascii="Arial" w:eastAsia="Arial" w:hAnsi="Arial" w:cs="Arial"/>
                <w:sz w:val="18"/>
                <w:szCs w:val="18"/>
              </w:rPr>
              <w:t>—</w:t>
            </w:r>
          </w:p>
        </w:tc>
        <w:tc>
          <w:tcPr>
            <w:tcW w:w="960" w:type="dxa"/>
            <w:gridSpan w:val="4"/>
            <w:shd w:val="clear" w:color="auto" w:fill="CCEEFF"/>
            <w:vAlign w:val="bottom"/>
          </w:tcPr>
          <w:p w14:paraId="312D9720" w14:textId="77777777" w:rsidR="00D1587D" w:rsidRDefault="00410D07">
            <w:pPr>
              <w:ind w:right="260"/>
              <w:jc w:val="right"/>
              <w:rPr>
                <w:sz w:val="20"/>
                <w:szCs w:val="20"/>
              </w:rPr>
            </w:pPr>
            <w:r>
              <w:rPr>
                <w:rFonts w:ascii="Arial" w:eastAsia="Arial" w:hAnsi="Arial" w:cs="Arial"/>
                <w:sz w:val="18"/>
                <w:szCs w:val="18"/>
              </w:rPr>
              <w:t>(2)</w:t>
            </w:r>
          </w:p>
        </w:tc>
        <w:tc>
          <w:tcPr>
            <w:tcW w:w="140" w:type="dxa"/>
            <w:shd w:val="clear" w:color="auto" w:fill="CCEEFF"/>
            <w:vAlign w:val="bottom"/>
          </w:tcPr>
          <w:p w14:paraId="3D0B86AF" w14:textId="77777777" w:rsidR="00D1587D" w:rsidRDefault="00D1587D"/>
        </w:tc>
        <w:tc>
          <w:tcPr>
            <w:tcW w:w="320" w:type="dxa"/>
            <w:shd w:val="clear" w:color="auto" w:fill="CCEEFF"/>
            <w:vAlign w:val="bottom"/>
          </w:tcPr>
          <w:p w14:paraId="7E3ABC2A" w14:textId="77777777" w:rsidR="00D1587D" w:rsidRDefault="00D1587D"/>
        </w:tc>
        <w:tc>
          <w:tcPr>
            <w:tcW w:w="740" w:type="dxa"/>
            <w:gridSpan w:val="3"/>
            <w:shd w:val="clear" w:color="auto" w:fill="CCEEFF"/>
            <w:vAlign w:val="bottom"/>
          </w:tcPr>
          <w:p w14:paraId="2E519A3C" w14:textId="77777777" w:rsidR="00D1587D" w:rsidRDefault="00410D07">
            <w:pPr>
              <w:ind w:right="460"/>
              <w:jc w:val="right"/>
              <w:rPr>
                <w:sz w:val="20"/>
                <w:szCs w:val="20"/>
              </w:rPr>
            </w:pPr>
            <w:r>
              <w:rPr>
                <w:rFonts w:ascii="Arial" w:eastAsia="Arial" w:hAnsi="Arial" w:cs="Arial"/>
                <w:sz w:val="18"/>
                <w:szCs w:val="18"/>
              </w:rPr>
              <w:t>—</w:t>
            </w:r>
          </w:p>
        </w:tc>
        <w:tc>
          <w:tcPr>
            <w:tcW w:w="580" w:type="dxa"/>
            <w:gridSpan w:val="2"/>
            <w:shd w:val="clear" w:color="auto" w:fill="CCEEFF"/>
            <w:vAlign w:val="bottom"/>
          </w:tcPr>
          <w:p w14:paraId="0B96B6C2" w14:textId="77777777" w:rsidR="00D1587D" w:rsidRDefault="00410D07">
            <w:pPr>
              <w:ind w:right="20"/>
              <w:jc w:val="right"/>
              <w:rPr>
                <w:sz w:val="20"/>
                <w:szCs w:val="20"/>
              </w:rPr>
            </w:pPr>
            <w:r>
              <w:rPr>
                <w:rFonts w:ascii="Arial" w:eastAsia="Arial" w:hAnsi="Arial" w:cs="Arial"/>
                <w:sz w:val="18"/>
                <w:szCs w:val="18"/>
              </w:rPr>
              <w:t>(2)</w:t>
            </w:r>
          </w:p>
        </w:tc>
        <w:tc>
          <w:tcPr>
            <w:tcW w:w="0" w:type="dxa"/>
            <w:vAlign w:val="bottom"/>
          </w:tcPr>
          <w:p w14:paraId="2FEDE47A" w14:textId="77777777" w:rsidR="00D1587D" w:rsidRDefault="00D1587D">
            <w:pPr>
              <w:rPr>
                <w:sz w:val="1"/>
                <w:szCs w:val="1"/>
              </w:rPr>
            </w:pPr>
          </w:p>
        </w:tc>
      </w:tr>
      <w:tr w:rsidR="00D1587D" w14:paraId="0D4F7F1B" w14:textId="77777777">
        <w:trPr>
          <w:trHeight w:val="61"/>
        </w:trPr>
        <w:tc>
          <w:tcPr>
            <w:tcW w:w="4400" w:type="dxa"/>
            <w:tcBorders>
              <w:top w:val="single" w:sz="8" w:space="0" w:color="CCEEFF"/>
            </w:tcBorders>
            <w:shd w:val="clear" w:color="auto" w:fill="CCEEFF"/>
            <w:vAlign w:val="bottom"/>
          </w:tcPr>
          <w:p w14:paraId="73E090AF" w14:textId="77777777" w:rsidR="00D1587D" w:rsidRDefault="00D1587D">
            <w:pPr>
              <w:rPr>
                <w:sz w:val="5"/>
                <w:szCs w:val="5"/>
              </w:rPr>
            </w:pPr>
          </w:p>
        </w:tc>
        <w:tc>
          <w:tcPr>
            <w:tcW w:w="340" w:type="dxa"/>
            <w:tcBorders>
              <w:top w:val="single" w:sz="8" w:space="0" w:color="CCEEFF"/>
            </w:tcBorders>
            <w:shd w:val="clear" w:color="auto" w:fill="CCEEFF"/>
            <w:vAlign w:val="bottom"/>
          </w:tcPr>
          <w:p w14:paraId="091B80CA" w14:textId="77777777" w:rsidR="00D1587D" w:rsidRDefault="00D1587D">
            <w:pPr>
              <w:rPr>
                <w:sz w:val="5"/>
                <w:szCs w:val="5"/>
              </w:rPr>
            </w:pPr>
          </w:p>
        </w:tc>
        <w:tc>
          <w:tcPr>
            <w:tcW w:w="480" w:type="dxa"/>
            <w:tcBorders>
              <w:top w:val="single" w:sz="8" w:space="0" w:color="auto"/>
            </w:tcBorders>
            <w:shd w:val="clear" w:color="auto" w:fill="CCEEFF"/>
            <w:vAlign w:val="bottom"/>
          </w:tcPr>
          <w:p w14:paraId="7F28788E" w14:textId="77777777" w:rsidR="00D1587D" w:rsidRDefault="00D1587D">
            <w:pPr>
              <w:rPr>
                <w:sz w:val="5"/>
                <w:szCs w:val="5"/>
              </w:rPr>
            </w:pPr>
          </w:p>
        </w:tc>
        <w:tc>
          <w:tcPr>
            <w:tcW w:w="340" w:type="dxa"/>
            <w:tcBorders>
              <w:top w:val="single" w:sz="8" w:space="0" w:color="CCEEFF"/>
            </w:tcBorders>
            <w:shd w:val="clear" w:color="auto" w:fill="CCEEFF"/>
            <w:vAlign w:val="bottom"/>
          </w:tcPr>
          <w:p w14:paraId="4EA5E21C" w14:textId="77777777" w:rsidR="00D1587D" w:rsidRDefault="00D1587D">
            <w:pPr>
              <w:rPr>
                <w:sz w:val="5"/>
                <w:szCs w:val="5"/>
              </w:rPr>
            </w:pPr>
          </w:p>
        </w:tc>
        <w:tc>
          <w:tcPr>
            <w:tcW w:w="120" w:type="dxa"/>
            <w:tcBorders>
              <w:top w:val="single" w:sz="8" w:space="0" w:color="CCEEFF"/>
            </w:tcBorders>
            <w:shd w:val="clear" w:color="auto" w:fill="CCEEFF"/>
            <w:vAlign w:val="bottom"/>
          </w:tcPr>
          <w:p w14:paraId="4CE03632" w14:textId="77777777" w:rsidR="00D1587D" w:rsidRDefault="00D1587D">
            <w:pPr>
              <w:rPr>
                <w:sz w:val="5"/>
                <w:szCs w:val="5"/>
              </w:rPr>
            </w:pPr>
          </w:p>
        </w:tc>
        <w:tc>
          <w:tcPr>
            <w:tcW w:w="340" w:type="dxa"/>
            <w:tcBorders>
              <w:top w:val="single" w:sz="8" w:space="0" w:color="CCEEFF"/>
              <w:right w:val="single" w:sz="8" w:space="0" w:color="CCEEFF"/>
            </w:tcBorders>
            <w:shd w:val="clear" w:color="auto" w:fill="CCEEFF"/>
            <w:vAlign w:val="bottom"/>
          </w:tcPr>
          <w:p w14:paraId="508BF6D4" w14:textId="77777777" w:rsidR="00D1587D" w:rsidRDefault="00D1587D">
            <w:pPr>
              <w:rPr>
                <w:sz w:val="5"/>
                <w:szCs w:val="5"/>
              </w:rPr>
            </w:pPr>
          </w:p>
        </w:tc>
        <w:tc>
          <w:tcPr>
            <w:tcW w:w="280" w:type="dxa"/>
            <w:tcBorders>
              <w:top w:val="single" w:sz="8" w:space="0" w:color="auto"/>
            </w:tcBorders>
            <w:shd w:val="clear" w:color="auto" w:fill="CCEEFF"/>
            <w:vAlign w:val="bottom"/>
          </w:tcPr>
          <w:p w14:paraId="2488F49D" w14:textId="77777777" w:rsidR="00D1587D" w:rsidRDefault="00D1587D">
            <w:pPr>
              <w:rPr>
                <w:sz w:val="5"/>
                <w:szCs w:val="5"/>
              </w:rPr>
            </w:pPr>
          </w:p>
        </w:tc>
        <w:tc>
          <w:tcPr>
            <w:tcW w:w="40" w:type="dxa"/>
            <w:tcBorders>
              <w:top w:val="single" w:sz="8" w:space="0" w:color="auto"/>
              <w:right w:val="single" w:sz="8" w:space="0" w:color="CCEEFF"/>
            </w:tcBorders>
            <w:shd w:val="clear" w:color="auto" w:fill="CCEEFF"/>
            <w:vAlign w:val="bottom"/>
          </w:tcPr>
          <w:p w14:paraId="351CFD75" w14:textId="77777777" w:rsidR="00D1587D" w:rsidRDefault="00D1587D">
            <w:pPr>
              <w:rPr>
                <w:sz w:val="5"/>
                <w:szCs w:val="5"/>
              </w:rPr>
            </w:pPr>
          </w:p>
        </w:tc>
        <w:tc>
          <w:tcPr>
            <w:tcW w:w="300" w:type="dxa"/>
            <w:tcBorders>
              <w:top w:val="single" w:sz="8" w:space="0" w:color="CCEEFF"/>
            </w:tcBorders>
            <w:shd w:val="clear" w:color="auto" w:fill="CCEEFF"/>
            <w:vAlign w:val="bottom"/>
          </w:tcPr>
          <w:p w14:paraId="343443DA" w14:textId="77777777" w:rsidR="00D1587D" w:rsidRDefault="00D1587D">
            <w:pPr>
              <w:rPr>
                <w:sz w:val="5"/>
                <w:szCs w:val="5"/>
              </w:rPr>
            </w:pPr>
          </w:p>
        </w:tc>
        <w:tc>
          <w:tcPr>
            <w:tcW w:w="140" w:type="dxa"/>
            <w:tcBorders>
              <w:top w:val="single" w:sz="8" w:space="0" w:color="CCEEFF"/>
            </w:tcBorders>
            <w:shd w:val="clear" w:color="auto" w:fill="CCEEFF"/>
            <w:vAlign w:val="bottom"/>
          </w:tcPr>
          <w:p w14:paraId="541BCD93" w14:textId="77777777" w:rsidR="00D1587D" w:rsidRDefault="00D1587D">
            <w:pPr>
              <w:rPr>
                <w:sz w:val="5"/>
                <w:szCs w:val="5"/>
              </w:rPr>
            </w:pPr>
          </w:p>
        </w:tc>
        <w:tc>
          <w:tcPr>
            <w:tcW w:w="320" w:type="dxa"/>
            <w:tcBorders>
              <w:top w:val="single" w:sz="8" w:space="0" w:color="CCEEFF"/>
            </w:tcBorders>
            <w:shd w:val="clear" w:color="auto" w:fill="CCEEFF"/>
            <w:vAlign w:val="bottom"/>
          </w:tcPr>
          <w:p w14:paraId="49AA4FE7" w14:textId="77777777" w:rsidR="00D1587D" w:rsidRDefault="00D1587D">
            <w:pPr>
              <w:rPr>
                <w:sz w:val="5"/>
                <w:szCs w:val="5"/>
              </w:rPr>
            </w:pPr>
          </w:p>
        </w:tc>
        <w:tc>
          <w:tcPr>
            <w:tcW w:w="280" w:type="dxa"/>
            <w:tcBorders>
              <w:top w:val="single" w:sz="8" w:space="0" w:color="auto"/>
            </w:tcBorders>
            <w:shd w:val="clear" w:color="auto" w:fill="CCEEFF"/>
            <w:vAlign w:val="bottom"/>
          </w:tcPr>
          <w:p w14:paraId="25C8200B" w14:textId="77777777" w:rsidR="00D1587D" w:rsidRDefault="00D1587D">
            <w:pPr>
              <w:rPr>
                <w:sz w:val="5"/>
                <w:szCs w:val="5"/>
              </w:rPr>
            </w:pPr>
          </w:p>
        </w:tc>
        <w:tc>
          <w:tcPr>
            <w:tcW w:w="340" w:type="dxa"/>
            <w:tcBorders>
              <w:top w:val="single" w:sz="8" w:space="0" w:color="CCEEFF"/>
            </w:tcBorders>
            <w:shd w:val="clear" w:color="auto" w:fill="CCEEFF"/>
            <w:vAlign w:val="bottom"/>
          </w:tcPr>
          <w:p w14:paraId="098218A5" w14:textId="77777777" w:rsidR="00D1587D" w:rsidRDefault="00D1587D">
            <w:pPr>
              <w:rPr>
                <w:sz w:val="5"/>
                <w:szCs w:val="5"/>
              </w:rPr>
            </w:pPr>
          </w:p>
        </w:tc>
        <w:tc>
          <w:tcPr>
            <w:tcW w:w="120" w:type="dxa"/>
            <w:tcBorders>
              <w:top w:val="single" w:sz="8" w:space="0" w:color="CCEEFF"/>
            </w:tcBorders>
            <w:shd w:val="clear" w:color="auto" w:fill="CCEEFF"/>
            <w:vAlign w:val="bottom"/>
          </w:tcPr>
          <w:p w14:paraId="5EF832D4" w14:textId="77777777" w:rsidR="00D1587D" w:rsidRDefault="00D1587D">
            <w:pPr>
              <w:rPr>
                <w:sz w:val="5"/>
                <w:szCs w:val="5"/>
              </w:rPr>
            </w:pPr>
          </w:p>
        </w:tc>
        <w:tc>
          <w:tcPr>
            <w:tcW w:w="500" w:type="dxa"/>
            <w:tcBorders>
              <w:top w:val="single" w:sz="8" w:space="0" w:color="auto"/>
            </w:tcBorders>
            <w:shd w:val="clear" w:color="auto" w:fill="CCEEFF"/>
            <w:vAlign w:val="bottom"/>
          </w:tcPr>
          <w:p w14:paraId="72C2D464" w14:textId="77777777" w:rsidR="00D1587D" w:rsidRDefault="00D1587D">
            <w:pPr>
              <w:rPr>
                <w:sz w:val="5"/>
                <w:szCs w:val="5"/>
              </w:rPr>
            </w:pPr>
          </w:p>
        </w:tc>
        <w:tc>
          <w:tcPr>
            <w:tcW w:w="80" w:type="dxa"/>
            <w:tcBorders>
              <w:top w:val="single" w:sz="8" w:space="0" w:color="CCEEFF"/>
            </w:tcBorders>
            <w:shd w:val="clear" w:color="auto" w:fill="CCEEFF"/>
            <w:vAlign w:val="bottom"/>
          </w:tcPr>
          <w:p w14:paraId="375AF751" w14:textId="77777777" w:rsidR="00D1587D" w:rsidRDefault="00D1587D">
            <w:pPr>
              <w:rPr>
                <w:sz w:val="5"/>
                <w:szCs w:val="5"/>
              </w:rPr>
            </w:pPr>
          </w:p>
        </w:tc>
        <w:tc>
          <w:tcPr>
            <w:tcW w:w="0" w:type="dxa"/>
            <w:vAlign w:val="bottom"/>
          </w:tcPr>
          <w:p w14:paraId="37CEA2FC" w14:textId="77777777" w:rsidR="00D1587D" w:rsidRDefault="00D1587D">
            <w:pPr>
              <w:rPr>
                <w:sz w:val="1"/>
                <w:szCs w:val="1"/>
              </w:rPr>
            </w:pPr>
          </w:p>
        </w:tc>
      </w:tr>
      <w:tr w:rsidR="00D1587D" w14:paraId="1C4574F8" w14:textId="77777777">
        <w:trPr>
          <w:trHeight w:val="284"/>
        </w:trPr>
        <w:tc>
          <w:tcPr>
            <w:tcW w:w="4400" w:type="dxa"/>
            <w:vAlign w:val="bottom"/>
          </w:tcPr>
          <w:p w14:paraId="3DCBF551" w14:textId="77777777" w:rsidR="00D1587D" w:rsidRDefault="00410D07">
            <w:pPr>
              <w:ind w:left="180"/>
              <w:rPr>
                <w:sz w:val="20"/>
                <w:szCs w:val="20"/>
              </w:rPr>
            </w:pPr>
            <w:r>
              <w:rPr>
                <w:rFonts w:ascii="Arial" w:eastAsia="Arial" w:hAnsi="Arial" w:cs="Arial"/>
                <w:sz w:val="18"/>
                <w:szCs w:val="18"/>
              </w:rPr>
              <w:t>Total Comprehensive Loss</w:t>
            </w:r>
          </w:p>
        </w:tc>
        <w:tc>
          <w:tcPr>
            <w:tcW w:w="1160" w:type="dxa"/>
            <w:gridSpan w:val="3"/>
            <w:vAlign w:val="bottom"/>
          </w:tcPr>
          <w:p w14:paraId="548EFB57" w14:textId="77777777" w:rsidR="00D1587D" w:rsidRDefault="00410D07">
            <w:pPr>
              <w:ind w:right="280"/>
              <w:jc w:val="right"/>
              <w:rPr>
                <w:sz w:val="20"/>
                <w:szCs w:val="20"/>
              </w:rPr>
            </w:pPr>
            <w:r>
              <w:rPr>
                <w:rFonts w:ascii="Arial" w:eastAsia="Arial" w:hAnsi="Arial" w:cs="Arial"/>
                <w:sz w:val="18"/>
                <w:szCs w:val="18"/>
              </w:rPr>
              <w:t>(299)</w:t>
            </w:r>
          </w:p>
        </w:tc>
        <w:tc>
          <w:tcPr>
            <w:tcW w:w="120" w:type="dxa"/>
            <w:vAlign w:val="bottom"/>
          </w:tcPr>
          <w:p w14:paraId="0C4D2D6C" w14:textId="77777777" w:rsidR="00D1587D" w:rsidRDefault="00D1587D">
            <w:pPr>
              <w:rPr>
                <w:sz w:val="24"/>
                <w:szCs w:val="24"/>
              </w:rPr>
            </w:pPr>
          </w:p>
        </w:tc>
        <w:tc>
          <w:tcPr>
            <w:tcW w:w="960" w:type="dxa"/>
            <w:gridSpan w:val="4"/>
            <w:vAlign w:val="bottom"/>
          </w:tcPr>
          <w:p w14:paraId="07D44288" w14:textId="77777777" w:rsidR="00D1587D" w:rsidRDefault="00410D07">
            <w:pPr>
              <w:ind w:right="260"/>
              <w:jc w:val="right"/>
              <w:rPr>
                <w:sz w:val="20"/>
                <w:szCs w:val="20"/>
              </w:rPr>
            </w:pPr>
            <w:r>
              <w:rPr>
                <w:rFonts w:ascii="Arial" w:eastAsia="Arial" w:hAnsi="Arial" w:cs="Arial"/>
                <w:sz w:val="18"/>
                <w:szCs w:val="18"/>
              </w:rPr>
              <w:t>(2)</w:t>
            </w:r>
          </w:p>
        </w:tc>
        <w:tc>
          <w:tcPr>
            <w:tcW w:w="140" w:type="dxa"/>
            <w:vAlign w:val="bottom"/>
          </w:tcPr>
          <w:p w14:paraId="75091B04" w14:textId="77777777" w:rsidR="00D1587D" w:rsidRDefault="00D1587D">
            <w:pPr>
              <w:rPr>
                <w:sz w:val="24"/>
                <w:szCs w:val="24"/>
              </w:rPr>
            </w:pPr>
          </w:p>
        </w:tc>
        <w:tc>
          <w:tcPr>
            <w:tcW w:w="320" w:type="dxa"/>
            <w:vAlign w:val="bottom"/>
          </w:tcPr>
          <w:p w14:paraId="795E70D2" w14:textId="77777777" w:rsidR="00D1587D" w:rsidRDefault="00D1587D">
            <w:pPr>
              <w:rPr>
                <w:sz w:val="24"/>
                <w:szCs w:val="24"/>
              </w:rPr>
            </w:pPr>
          </w:p>
        </w:tc>
        <w:tc>
          <w:tcPr>
            <w:tcW w:w="740" w:type="dxa"/>
            <w:gridSpan w:val="3"/>
            <w:vAlign w:val="bottom"/>
          </w:tcPr>
          <w:p w14:paraId="371B189C" w14:textId="77777777" w:rsidR="00D1587D" w:rsidRDefault="00410D07">
            <w:pPr>
              <w:ind w:right="460"/>
              <w:jc w:val="right"/>
              <w:rPr>
                <w:sz w:val="20"/>
                <w:szCs w:val="20"/>
              </w:rPr>
            </w:pPr>
            <w:r>
              <w:rPr>
                <w:rFonts w:ascii="Arial" w:eastAsia="Arial" w:hAnsi="Arial" w:cs="Arial"/>
                <w:sz w:val="18"/>
                <w:szCs w:val="18"/>
              </w:rPr>
              <w:t>—</w:t>
            </w:r>
          </w:p>
        </w:tc>
        <w:tc>
          <w:tcPr>
            <w:tcW w:w="580" w:type="dxa"/>
            <w:gridSpan w:val="2"/>
            <w:vAlign w:val="bottom"/>
          </w:tcPr>
          <w:p w14:paraId="258BD6F0" w14:textId="77777777" w:rsidR="00D1587D" w:rsidRDefault="00410D07">
            <w:pPr>
              <w:ind w:right="20"/>
              <w:jc w:val="right"/>
              <w:rPr>
                <w:sz w:val="20"/>
                <w:szCs w:val="20"/>
              </w:rPr>
            </w:pPr>
            <w:r>
              <w:rPr>
                <w:rFonts w:ascii="Arial" w:eastAsia="Arial" w:hAnsi="Arial" w:cs="Arial"/>
                <w:sz w:val="18"/>
                <w:szCs w:val="18"/>
              </w:rPr>
              <w:t>(301)</w:t>
            </w:r>
          </w:p>
        </w:tc>
        <w:tc>
          <w:tcPr>
            <w:tcW w:w="0" w:type="dxa"/>
            <w:vAlign w:val="bottom"/>
          </w:tcPr>
          <w:p w14:paraId="00C18CDC" w14:textId="77777777" w:rsidR="00D1587D" w:rsidRDefault="00D1587D">
            <w:pPr>
              <w:rPr>
                <w:sz w:val="1"/>
                <w:szCs w:val="1"/>
              </w:rPr>
            </w:pPr>
          </w:p>
        </w:tc>
      </w:tr>
      <w:tr w:rsidR="00D1587D" w14:paraId="39E2F536" w14:textId="77777777">
        <w:trPr>
          <w:trHeight w:val="54"/>
        </w:trPr>
        <w:tc>
          <w:tcPr>
            <w:tcW w:w="4400" w:type="dxa"/>
            <w:vAlign w:val="bottom"/>
          </w:tcPr>
          <w:p w14:paraId="2FA5058B" w14:textId="77777777" w:rsidR="00D1587D" w:rsidRDefault="00D1587D">
            <w:pPr>
              <w:rPr>
                <w:sz w:val="4"/>
                <w:szCs w:val="4"/>
              </w:rPr>
            </w:pPr>
          </w:p>
        </w:tc>
        <w:tc>
          <w:tcPr>
            <w:tcW w:w="340" w:type="dxa"/>
            <w:vAlign w:val="bottom"/>
          </w:tcPr>
          <w:p w14:paraId="68D2745B" w14:textId="77777777" w:rsidR="00D1587D" w:rsidRDefault="00D1587D">
            <w:pPr>
              <w:rPr>
                <w:sz w:val="4"/>
                <w:szCs w:val="4"/>
              </w:rPr>
            </w:pPr>
          </w:p>
        </w:tc>
        <w:tc>
          <w:tcPr>
            <w:tcW w:w="480" w:type="dxa"/>
            <w:vAlign w:val="bottom"/>
          </w:tcPr>
          <w:p w14:paraId="6CC6BADC" w14:textId="77777777" w:rsidR="00D1587D" w:rsidRDefault="00D1587D">
            <w:pPr>
              <w:rPr>
                <w:sz w:val="4"/>
                <w:szCs w:val="4"/>
              </w:rPr>
            </w:pPr>
          </w:p>
        </w:tc>
        <w:tc>
          <w:tcPr>
            <w:tcW w:w="340" w:type="dxa"/>
            <w:vAlign w:val="bottom"/>
          </w:tcPr>
          <w:p w14:paraId="1EFB6C61" w14:textId="77777777" w:rsidR="00D1587D" w:rsidRDefault="00D1587D">
            <w:pPr>
              <w:rPr>
                <w:sz w:val="4"/>
                <w:szCs w:val="4"/>
              </w:rPr>
            </w:pPr>
          </w:p>
        </w:tc>
        <w:tc>
          <w:tcPr>
            <w:tcW w:w="120" w:type="dxa"/>
            <w:vAlign w:val="bottom"/>
          </w:tcPr>
          <w:p w14:paraId="2E7992CA" w14:textId="77777777" w:rsidR="00D1587D" w:rsidRDefault="00D1587D">
            <w:pPr>
              <w:rPr>
                <w:sz w:val="4"/>
                <w:szCs w:val="4"/>
              </w:rPr>
            </w:pPr>
          </w:p>
        </w:tc>
        <w:tc>
          <w:tcPr>
            <w:tcW w:w="340" w:type="dxa"/>
            <w:vAlign w:val="bottom"/>
          </w:tcPr>
          <w:p w14:paraId="09012927" w14:textId="77777777" w:rsidR="00D1587D" w:rsidRDefault="00D1587D">
            <w:pPr>
              <w:rPr>
                <w:sz w:val="4"/>
                <w:szCs w:val="4"/>
              </w:rPr>
            </w:pPr>
          </w:p>
        </w:tc>
        <w:tc>
          <w:tcPr>
            <w:tcW w:w="280" w:type="dxa"/>
            <w:vAlign w:val="bottom"/>
          </w:tcPr>
          <w:p w14:paraId="0C946183" w14:textId="77777777" w:rsidR="00D1587D" w:rsidRDefault="00D1587D">
            <w:pPr>
              <w:rPr>
                <w:sz w:val="4"/>
                <w:szCs w:val="4"/>
              </w:rPr>
            </w:pPr>
          </w:p>
        </w:tc>
        <w:tc>
          <w:tcPr>
            <w:tcW w:w="40" w:type="dxa"/>
            <w:vAlign w:val="bottom"/>
          </w:tcPr>
          <w:p w14:paraId="336D95BD" w14:textId="77777777" w:rsidR="00D1587D" w:rsidRDefault="00D1587D">
            <w:pPr>
              <w:rPr>
                <w:sz w:val="4"/>
                <w:szCs w:val="4"/>
              </w:rPr>
            </w:pPr>
          </w:p>
        </w:tc>
        <w:tc>
          <w:tcPr>
            <w:tcW w:w="440" w:type="dxa"/>
            <w:gridSpan w:val="2"/>
            <w:vAlign w:val="bottom"/>
          </w:tcPr>
          <w:p w14:paraId="0E164184" w14:textId="77777777" w:rsidR="00D1587D" w:rsidRDefault="00D1587D">
            <w:pPr>
              <w:rPr>
                <w:sz w:val="4"/>
                <w:szCs w:val="4"/>
              </w:rPr>
            </w:pPr>
          </w:p>
        </w:tc>
        <w:tc>
          <w:tcPr>
            <w:tcW w:w="320" w:type="dxa"/>
            <w:vAlign w:val="bottom"/>
          </w:tcPr>
          <w:p w14:paraId="06DC0DDE" w14:textId="77777777" w:rsidR="00D1587D" w:rsidRDefault="00D1587D">
            <w:pPr>
              <w:rPr>
                <w:sz w:val="4"/>
                <w:szCs w:val="4"/>
              </w:rPr>
            </w:pPr>
          </w:p>
        </w:tc>
        <w:tc>
          <w:tcPr>
            <w:tcW w:w="280" w:type="dxa"/>
            <w:vAlign w:val="bottom"/>
          </w:tcPr>
          <w:p w14:paraId="430CB7DE" w14:textId="77777777" w:rsidR="00D1587D" w:rsidRDefault="00D1587D">
            <w:pPr>
              <w:rPr>
                <w:sz w:val="4"/>
                <w:szCs w:val="4"/>
              </w:rPr>
            </w:pPr>
          </w:p>
        </w:tc>
        <w:tc>
          <w:tcPr>
            <w:tcW w:w="460" w:type="dxa"/>
            <w:gridSpan w:val="2"/>
            <w:vAlign w:val="bottom"/>
          </w:tcPr>
          <w:p w14:paraId="59F69EA8" w14:textId="77777777" w:rsidR="00D1587D" w:rsidRDefault="00D1587D">
            <w:pPr>
              <w:rPr>
                <w:sz w:val="4"/>
                <w:szCs w:val="4"/>
              </w:rPr>
            </w:pPr>
          </w:p>
        </w:tc>
        <w:tc>
          <w:tcPr>
            <w:tcW w:w="500" w:type="dxa"/>
            <w:vAlign w:val="bottom"/>
          </w:tcPr>
          <w:p w14:paraId="65317928" w14:textId="77777777" w:rsidR="00D1587D" w:rsidRDefault="00D1587D">
            <w:pPr>
              <w:rPr>
                <w:sz w:val="4"/>
                <w:szCs w:val="4"/>
              </w:rPr>
            </w:pPr>
          </w:p>
        </w:tc>
        <w:tc>
          <w:tcPr>
            <w:tcW w:w="80" w:type="dxa"/>
            <w:vAlign w:val="bottom"/>
          </w:tcPr>
          <w:p w14:paraId="3601E37A" w14:textId="77777777" w:rsidR="00D1587D" w:rsidRDefault="00D1587D">
            <w:pPr>
              <w:rPr>
                <w:sz w:val="4"/>
                <w:szCs w:val="4"/>
              </w:rPr>
            </w:pPr>
          </w:p>
        </w:tc>
        <w:tc>
          <w:tcPr>
            <w:tcW w:w="0" w:type="dxa"/>
            <w:vAlign w:val="bottom"/>
          </w:tcPr>
          <w:p w14:paraId="01808109" w14:textId="77777777" w:rsidR="00D1587D" w:rsidRDefault="00D1587D">
            <w:pPr>
              <w:rPr>
                <w:sz w:val="1"/>
                <w:szCs w:val="1"/>
              </w:rPr>
            </w:pPr>
          </w:p>
        </w:tc>
      </w:tr>
      <w:tr w:rsidR="00D1587D" w14:paraId="72A5D2AB" w14:textId="77777777">
        <w:trPr>
          <w:trHeight w:val="304"/>
        </w:trPr>
        <w:tc>
          <w:tcPr>
            <w:tcW w:w="4400" w:type="dxa"/>
            <w:tcBorders>
              <w:bottom w:val="single" w:sz="8" w:space="0" w:color="CCEEFF"/>
            </w:tcBorders>
            <w:shd w:val="clear" w:color="auto" w:fill="CCEEFF"/>
            <w:vAlign w:val="bottom"/>
          </w:tcPr>
          <w:p w14:paraId="52E5E246" w14:textId="77777777" w:rsidR="00D1587D" w:rsidRDefault="00410D07">
            <w:pPr>
              <w:ind w:left="180"/>
              <w:rPr>
                <w:sz w:val="20"/>
                <w:szCs w:val="20"/>
              </w:rPr>
            </w:pPr>
            <w:r>
              <w:rPr>
                <w:rFonts w:ascii="Arial" w:eastAsia="Arial" w:hAnsi="Arial" w:cs="Arial"/>
                <w:sz w:val="18"/>
                <w:szCs w:val="18"/>
              </w:rPr>
              <w:t>Net Transfers from L Brands, Inc.</w:t>
            </w:r>
          </w:p>
        </w:tc>
        <w:tc>
          <w:tcPr>
            <w:tcW w:w="820" w:type="dxa"/>
            <w:gridSpan w:val="2"/>
            <w:tcBorders>
              <w:bottom w:val="single" w:sz="8" w:space="0" w:color="CCEEFF"/>
            </w:tcBorders>
            <w:shd w:val="clear" w:color="auto" w:fill="CCEEFF"/>
            <w:vAlign w:val="bottom"/>
          </w:tcPr>
          <w:p w14:paraId="58266B93" w14:textId="77777777" w:rsidR="00D1587D" w:rsidRDefault="00410D07">
            <w:pPr>
              <w:jc w:val="right"/>
              <w:rPr>
                <w:sz w:val="20"/>
                <w:szCs w:val="20"/>
              </w:rPr>
            </w:pPr>
            <w:r>
              <w:rPr>
                <w:rFonts w:ascii="Arial" w:eastAsia="Arial" w:hAnsi="Arial" w:cs="Arial"/>
                <w:sz w:val="18"/>
                <w:szCs w:val="18"/>
              </w:rPr>
              <w:t>309</w:t>
            </w:r>
          </w:p>
        </w:tc>
        <w:tc>
          <w:tcPr>
            <w:tcW w:w="340" w:type="dxa"/>
            <w:tcBorders>
              <w:bottom w:val="single" w:sz="8" w:space="0" w:color="CCEEFF"/>
            </w:tcBorders>
            <w:shd w:val="clear" w:color="auto" w:fill="CCEEFF"/>
            <w:vAlign w:val="bottom"/>
          </w:tcPr>
          <w:p w14:paraId="54F9BF91" w14:textId="77777777" w:rsidR="00D1587D" w:rsidRDefault="00D1587D">
            <w:pPr>
              <w:rPr>
                <w:sz w:val="24"/>
                <w:szCs w:val="24"/>
              </w:rPr>
            </w:pPr>
          </w:p>
        </w:tc>
        <w:tc>
          <w:tcPr>
            <w:tcW w:w="120" w:type="dxa"/>
            <w:tcBorders>
              <w:bottom w:val="single" w:sz="8" w:space="0" w:color="CCEEFF"/>
            </w:tcBorders>
            <w:shd w:val="clear" w:color="auto" w:fill="CCEEFF"/>
            <w:vAlign w:val="bottom"/>
          </w:tcPr>
          <w:p w14:paraId="0C36FD5D" w14:textId="77777777" w:rsidR="00D1587D" w:rsidRDefault="00D1587D">
            <w:pPr>
              <w:rPr>
                <w:sz w:val="24"/>
                <w:szCs w:val="24"/>
              </w:rPr>
            </w:pPr>
          </w:p>
        </w:tc>
        <w:tc>
          <w:tcPr>
            <w:tcW w:w="340" w:type="dxa"/>
            <w:tcBorders>
              <w:bottom w:val="single" w:sz="8" w:space="0" w:color="CCEEFF"/>
              <w:right w:val="single" w:sz="8" w:space="0" w:color="CCEEFF"/>
            </w:tcBorders>
            <w:shd w:val="clear" w:color="auto" w:fill="CCEEFF"/>
            <w:vAlign w:val="bottom"/>
          </w:tcPr>
          <w:p w14:paraId="34A28A8A" w14:textId="77777777" w:rsidR="00D1587D" w:rsidRDefault="00D1587D">
            <w:pPr>
              <w:rPr>
                <w:sz w:val="24"/>
                <w:szCs w:val="24"/>
              </w:rPr>
            </w:pPr>
          </w:p>
        </w:tc>
        <w:tc>
          <w:tcPr>
            <w:tcW w:w="760" w:type="dxa"/>
            <w:gridSpan w:val="4"/>
            <w:tcBorders>
              <w:bottom w:val="single" w:sz="8" w:space="0" w:color="CCEEFF"/>
            </w:tcBorders>
            <w:shd w:val="clear" w:color="auto" w:fill="CCEEFF"/>
            <w:vAlign w:val="bottom"/>
          </w:tcPr>
          <w:p w14:paraId="5AA99AFC" w14:textId="77777777" w:rsidR="00D1587D" w:rsidRDefault="00410D07">
            <w:pPr>
              <w:ind w:right="440"/>
              <w:jc w:val="right"/>
              <w:rPr>
                <w:sz w:val="20"/>
                <w:szCs w:val="20"/>
              </w:rPr>
            </w:pPr>
            <w:r>
              <w:rPr>
                <w:rFonts w:ascii="Arial" w:eastAsia="Arial" w:hAnsi="Arial" w:cs="Arial"/>
                <w:sz w:val="18"/>
                <w:szCs w:val="18"/>
              </w:rPr>
              <w:t>—</w:t>
            </w:r>
          </w:p>
        </w:tc>
        <w:tc>
          <w:tcPr>
            <w:tcW w:w="320" w:type="dxa"/>
            <w:tcBorders>
              <w:bottom w:val="single" w:sz="8" w:space="0" w:color="CCEEFF"/>
            </w:tcBorders>
            <w:shd w:val="clear" w:color="auto" w:fill="CCEEFF"/>
            <w:vAlign w:val="bottom"/>
          </w:tcPr>
          <w:p w14:paraId="37ABA0FF" w14:textId="77777777" w:rsidR="00D1587D" w:rsidRDefault="00D1587D">
            <w:pPr>
              <w:rPr>
                <w:sz w:val="24"/>
                <w:szCs w:val="24"/>
              </w:rPr>
            </w:pPr>
          </w:p>
        </w:tc>
        <w:tc>
          <w:tcPr>
            <w:tcW w:w="740" w:type="dxa"/>
            <w:gridSpan w:val="3"/>
            <w:tcBorders>
              <w:bottom w:val="single" w:sz="8" w:space="0" w:color="CCEEFF"/>
            </w:tcBorders>
            <w:shd w:val="clear" w:color="auto" w:fill="CCEEFF"/>
            <w:vAlign w:val="bottom"/>
          </w:tcPr>
          <w:p w14:paraId="4E4C1C3F" w14:textId="77777777" w:rsidR="00D1587D" w:rsidRDefault="00410D07">
            <w:pPr>
              <w:ind w:right="460"/>
              <w:jc w:val="right"/>
              <w:rPr>
                <w:sz w:val="20"/>
                <w:szCs w:val="20"/>
              </w:rPr>
            </w:pPr>
            <w:r>
              <w:rPr>
                <w:rFonts w:ascii="Arial" w:eastAsia="Arial" w:hAnsi="Arial" w:cs="Arial"/>
                <w:sz w:val="18"/>
                <w:szCs w:val="18"/>
              </w:rPr>
              <w:t>—</w:t>
            </w:r>
          </w:p>
        </w:tc>
        <w:tc>
          <w:tcPr>
            <w:tcW w:w="500" w:type="dxa"/>
            <w:tcBorders>
              <w:bottom w:val="single" w:sz="8" w:space="0" w:color="CCEEFF"/>
            </w:tcBorders>
            <w:shd w:val="clear" w:color="auto" w:fill="CCEEFF"/>
            <w:vAlign w:val="bottom"/>
          </w:tcPr>
          <w:p w14:paraId="58E46CE9" w14:textId="77777777" w:rsidR="00D1587D" w:rsidRDefault="00410D07">
            <w:pPr>
              <w:jc w:val="right"/>
              <w:rPr>
                <w:sz w:val="20"/>
                <w:szCs w:val="20"/>
              </w:rPr>
            </w:pPr>
            <w:r>
              <w:rPr>
                <w:rFonts w:ascii="Arial" w:eastAsia="Arial" w:hAnsi="Arial" w:cs="Arial"/>
                <w:sz w:val="18"/>
                <w:szCs w:val="18"/>
              </w:rPr>
              <w:t>309</w:t>
            </w:r>
          </w:p>
        </w:tc>
        <w:tc>
          <w:tcPr>
            <w:tcW w:w="80" w:type="dxa"/>
            <w:tcBorders>
              <w:bottom w:val="single" w:sz="8" w:space="0" w:color="CCEEFF"/>
            </w:tcBorders>
            <w:shd w:val="clear" w:color="auto" w:fill="CCEEFF"/>
            <w:vAlign w:val="bottom"/>
          </w:tcPr>
          <w:p w14:paraId="4E33002F" w14:textId="77777777" w:rsidR="00D1587D" w:rsidRDefault="00D1587D">
            <w:pPr>
              <w:rPr>
                <w:sz w:val="24"/>
                <w:szCs w:val="24"/>
              </w:rPr>
            </w:pPr>
          </w:p>
        </w:tc>
        <w:tc>
          <w:tcPr>
            <w:tcW w:w="0" w:type="dxa"/>
            <w:vAlign w:val="bottom"/>
          </w:tcPr>
          <w:p w14:paraId="159AE73D" w14:textId="77777777" w:rsidR="00D1587D" w:rsidRDefault="00D1587D">
            <w:pPr>
              <w:rPr>
                <w:sz w:val="1"/>
                <w:szCs w:val="1"/>
              </w:rPr>
            </w:pPr>
          </w:p>
        </w:tc>
      </w:tr>
      <w:tr w:rsidR="00D1587D" w14:paraId="2D4D6E1A" w14:textId="77777777">
        <w:trPr>
          <w:trHeight w:val="257"/>
        </w:trPr>
        <w:tc>
          <w:tcPr>
            <w:tcW w:w="4400" w:type="dxa"/>
            <w:vAlign w:val="bottom"/>
          </w:tcPr>
          <w:p w14:paraId="5E8FDD36" w14:textId="77777777" w:rsidR="00D1587D" w:rsidRDefault="00410D07">
            <w:pPr>
              <w:ind w:left="180"/>
              <w:rPr>
                <w:sz w:val="20"/>
                <w:szCs w:val="20"/>
              </w:rPr>
            </w:pPr>
            <w:r>
              <w:rPr>
                <w:rFonts w:ascii="Arial" w:eastAsia="Arial" w:hAnsi="Arial" w:cs="Arial"/>
                <w:sz w:val="18"/>
                <w:szCs w:val="18"/>
              </w:rPr>
              <w:t>Other</w:t>
            </w:r>
          </w:p>
        </w:tc>
        <w:tc>
          <w:tcPr>
            <w:tcW w:w="340" w:type="dxa"/>
            <w:vAlign w:val="bottom"/>
          </w:tcPr>
          <w:p w14:paraId="50263A75" w14:textId="77777777" w:rsidR="00D1587D" w:rsidRDefault="00D1587D"/>
        </w:tc>
        <w:tc>
          <w:tcPr>
            <w:tcW w:w="940" w:type="dxa"/>
            <w:gridSpan w:val="3"/>
            <w:vAlign w:val="bottom"/>
          </w:tcPr>
          <w:p w14:paraId="659D6C2C" w14:textId="77777777" w:rsidR="00D1587D" w:rsidRDefault="00410D07">
            <w:pPr>
              <w:ind w:right="460"/>
              <w:jc w:val="right"/>
              <w:rPr>
                <w:sz w:val="20"/>
                <w:szCs w:val="20"/>
              </w:rPr>
            </w:pPr>
            <w:r>
              <w:rPr>
                <w:rFonts w:ascii="Arial" w:eastAsia="Arial" w:hAnsi="Arial" w:cs="Arial"/>
                <w:sz w:val="18"/>
                <w:szCs w:val="18"/>
              </w:rPr>
              <w:t>—</w:t>
            </w:r>
          </w:p>
        </w:tc>
        <w:tc>
          <w:tcPr>
            <w:tcW w:w="340" w:type="dxa"/>
            <w:vAlign w:val="bottom"/>
          </w:tcPr>
          <w:p w14:paraId="634BD3BC" w14:textId="77777777" w:rsidR="00D1587D" w:rsidRDefault="00D1587D"/>
        </w:tc>
        <w:tc>
          <w:tcPr>
            <w:tcW w:w="760" w:type="dxa"/>
            <w:gridSpan w:val="4"/>
            <w:vAlign w:val="bottom"/>
          </w:tcPr>
          <w:p w14:paraId="6F06C7E2" w14:textId="77777777" w:rsidR="00D1587D" w:rsidRDefault="00410D07">
            <w:pPr>
              <w:ind w:right="440"/>
              <w:jc w:val="right"/>
              <w:rPr>
                <w:sz w:val="20"/>
                <w:szCs w:val="20"/>
              </w:rPr>
            </w:pPr>
            <w:r>
              <w:rPr>
                <w:rFonts w:ascii="Arial" w:eastAsia="Arial" w:hAnsi="Arial" w:cs="Arial"/>
                <w:sz w:val="18"/>
                <w:szCs w:val="18"/>
              </w:rPr>
              <w:t>—</w:t>
            </w:r>
          </w:p>
        </w:tc>
        <w:tc>
          <w:tcPr>
            <w:tcW w:w="600" w:type="dxa"/>
            <w:gridSpan w:val="2"/>
            <w:vAlign w:val="bottom"/>
          </w:tcPr>
          <w:p w14:paraId="722F1B37" w14:textId="77777777" w:rsidR="00D1587D" w:rsidRDefault="00410D07">
            <w:pPr>
              <w:jc w:val="right"/>
              <w:rPr>
                <w:sz w:val="20"/>
                <w:szCs w:val="20"/>
              </w:rPr>
            </w:pPr>
            <w:r>
              <w:rPr>
                <w:rFonts w:ascii="Arial" w:eastAsia="Arial" w:hAnsi="Arial" w:cs="Arial"/>
                <w:sz w:val="18"/>
                <w:szCs w:val="18"/>
              </w:rPr>
              <w:t>1</w:t>
            </w:r>
          </w:p>
        </w:tc>
        <w:tc>
          <w:tcPr>
            <w:tcW w:w="340" w:type="dxa"/>
            <w:vAlign w:val="bottom"/>
          </w:tcPr>
          <w:p w14:paraId="1433FF66" w14:textId="77777777" w:rsidR="00D1587D" w:rsidRDefault="00D1587D"/>
        </w:tc>
        <w:tc>
          <w:tcPr>
            <w:tcW w:w="120" w:type="dxa"/>
            <w:vAlign w:val="bottom"/>
          </w:tcPr>
          <w:p w14:paraId="29D9AD9E" w14:textId="77777777" w:rsidR="00D1587D" w:rsidRDefault="00D1587D"/>
        </w:tc>
        <w:tc>
          <w:tcPr>
            <w:tcW w:w="500" w:type="dxa"/>
            <w:vAlign w:val="bottom"/>
          </w:tcPr>
          <w:p w14:paraId="1EE65DC4" w14:textId="77777777" w:rsidR="00D1587D" w:rsidRDefault="00410D07">
            <w:pPr>
              <w:jc w:val="right"/>
              <w:rPr>
                <w:sz w:val="20"/>
                <w:szCs w:val="20"/>
              </w:rPr>
            </w:pPr>
            <w:r>
              <w:rPr>
                <w:rFonts w:ascii="Arial" w:eastAsia="Arial" w:hAnsi="Arial" w:cs="Arial"/>
                <w:sz w:val="18"/>
                <w:szCs w:val="18"/>
              </w:rPr>
              <w:t>1</w:t>
            </w:r>
          </w:p>
        </w:tc>
        <w:tc>
          <w:tcPr>
            <w:tcW w:w="80" w:type="dxa"/>
            <w:vAlign w:val="bottom"/>
          </w:tcPr>
          <w:p w14:paraId="06A7FA1B" w14:textId="77777777" w:rsidR="00D1587D" w:rsidRDefault="00D1587D"/>
        </w:tc>
        <w:tc>
          <w:tcPr>
            <w:tcW w:w="0" w:type="dxa"/>
            <w:vAlign w:val="bottom"/>
          </w:tcPr>
          <w:p w14:paraId="75327F60" w14:textId="77777777" w:rsidR="00D1587D" w:rsidRDefault="00D1587D">
            <w:pPr>
              <w:rPr>
                <w:sz w:val="1"/>
                <w:szCs w:val="1"/>
              </w:rPr>
            </w:pPr>
          </w:p>
        </w:tc>
      </w:tr>
      <w:tr w:rsidR="00D1587D" w14:paraId="36D2F78A" w14:textId="77777777">
        <w:trPr>
          <w:trHeight w:val="61"/>
        </w:trPr>
        <w:tc>
          <w:tcPr>
            <w:tcW w:w="4400" w:type="dxa"/>
            <w:vAlign w:val="bottom"/>
          </w:tcPr>
          <w:p w14:paraId="0E85A866" w14:textId="77777777" w:rsidR="00D1587D" w:rsidRDefault="00D1587D">
            <w:pPr>
              <w:rPr>
                <w:sz w:val="5"/>
                <w:szCs w:val="5"/>
              </w:rPr>
            </w:pPr>
          </w:p>
        </w:tc>
        <w:tc>
          <w:tcPr>
            <w:tcW w:w="340" w:type="dxa"/>
            <w:vAlign w:val="bottom"/>
          </w:tcPr>
          <w:p w14:paraId="389A1970" w14:textId="77777777" w:rsidR="00D1587D" w:rsidRDefault="00D1587D">
            <w:pPr>
              <w:rPr>
                <w:sz w:val="5"/>
                <w:szCs w:val="5"/>
              </w:rPr>
            </w:pPr>
          </w:p>
        </w:tc>
        <w:tc>
          <w:tcPr>
            <w:tcW w:w="480" w:type="dxa"/>
            <w:tcBorders>
              <w:top w:val="single" w:sz="8" w:space="0" w:color="auto"/>
            </w:tcBorders>
            <w:vAlign w:val="bottom"/>
          </w:tcPr>
          <w:p w14:paraId="0ACEA300" w14:textId="77777777" w:rsidR="00D1587D" w:rsidRDefault="00D1587D">
            <w:pPr>
              <w:rPr>
                <w:sz w:val="5"/>
                <w:szCs w:val="5"/>
              </w:rPr>
            </w:pPr>
          </w:p>
        </w:tc>
        <w:tc>
          <w:tcPr>
            <w:tcW w:w="340" w:type="dxa"/>
            <w:vAlign w:val="bottom"/>
          </w:tcPr>
          <w:p w14:paraId="344FEB27" w14:textId="77777777" w:rsidR="00D1587D" w:rsidRDefault="00D1587D">
            <w:pPr>
              <w:rPr>
                <w:sz w:val="5"/>
                <w:szCs w:val="5"/>
              </w:rPr>
            </w:pPr>
          </w:p>
        </w:tc>
        <w:tc>
          <w:tcPr>
            <w:tcW w:w="120" w:type="dxa"/>
            <w:vAlign w:val="bottom"/>
          </w:tcPr>
          <w:p w14:paraId="78FCFAD3" w14:textId="77777777" w:rsidR="00D1587D" w:rsidRDefault="00D1587D">
            <w:pPr>
              <w:rPr>
                <w:sz w:val="5"/>
                <w:szCs w:val="5"/>
              </w:rPr>
            </w:pPr>
          </w:p>
        </w:tc>
        <w:tc>
          <w:tcPr>
            <w:tcW w:w="340" w:type="dxa"/>
            <w:vAlign w:val="bottom"/>
          </w:tcPr>
          <w:p w14:paraId="1C2F71AE" w14:textId="77777777" w:rsidR="00D1587D" w:rsidRDefault="00D1587D">
            <w:pPr>
              <w:rPr>
                <w:sz w:val="5"/>
                <w:szCs w:val="5"/>
              </w:rPr>
            </w:pPr>
          </w:p>
        </w:tc>
        <w:tc>
          <w:tcPr>
            <w:tcW w:w="280" w:type="dxa"/>
            <w:tcBorders>
              <w:top w:val="single" w:sz="8" w:space="0" w:color="auto"/>
            </w:tcBorders>
            <w:vAlign w:val="bottom"/>
          </w:tcPr>
          <w:p w14:paraId="6328F1F5" w14:textId="77777777" w:rsidR="00D1587D" w:rsidRDefault="00D1587D">
            <w:pPr>
              <w:rPr>
                <w:sz w:val="5"/>
                <w:szCs w:val="5"/>
              </w:rPr>
            </w:pPr>
          </w:p>
        </w:tc>
        <w:tc>
          <w:tcPr>
            <w:tcW w:w="40" w:type="dxa"/>
            <w:tcBorders>
              <w:top w:val="single" w:sz="8" w:space="0" w:color="auto"/>
            </w:tcBorders>
            <w:vAlign w:val="bottom"/>
          </w:tcPr>
          <w:p w14:paraId="34D7245D" w14:textId="77777777" w:rsidR="00D1587D" w:rsidRDefault="00D1587D">
            <w:pPr>
              <w:rPr>
                <w:sz w:val="5"/>
                <w:szCs w:val="5"/>
              </w:rPr>
            </w:pPr>
          </w:p>
        </w:tc>
        <w:tc>
          <w:tcPr>
            <w:tcW w:w="300" w:type="dxa"/>
            <w:vAlign w:val="bottom"/>
          </w:tcPr>
          <w:p w14:paraId="3C9ACDE4" w14:textId="77777777" w:rsidR="00D1587D" w:rsidRDefault="00D1587D">
            <w:pPr>
              <w:rPr>
                <w:sz w:val="5"/>
                <w:szCs w:val="5"/>
              </w:rPr>
            </w:pPr>
          </w:p>
        </w:tc>
        <w:tc>
          <w:tcPr>
            <w:tcW w:w="140" w:type="dxa"/>
            <w:vAlign w:val="bottom"/>
          </w:tcPr>
          <w:p w14:paraId="19D96FF5" w14:textId="77777777" w:rsidR="00D1587D" w:rsidRDefault="00D1587D">
            <w:pPr>
              <w:rPr>
                <w:sz w:val="5"/>
                <w:szCs w:val="5"/>
              </w:rPr>
            </w:pPr>
          </w:p>
        </w:tc>
        <w:tc>
          <w:tcPr>
            <w:tcW w:w="320" w:type="dxa"/>
            <w:vAlign w:val="bottom"/>
          </w:tcPr>
          <w:p w14:paraId="45A8D276" w14:textId="77777777" w:rsidR="00D1587D" w:rsidRDefault="00D1587D">
            <w:pPr>
              <w:rPr>
                <w:sz w:val="5"/>
                <w:szCs w:val="5"/>
              </w:rPr>
            </w:pPr>
          </w:p>
        </w:tc>
        <w:tc>
          <w:tcPr>
            <w:tcW w:w="280" w:type="dxa"/>
            <w:tcBorders>
              <w:top w:val="single" w:sz="8" w:space="0" w:color="auto"/>
            </w:tcBorders>
            <w:vAlign w:val="bottom"/>
          </w:tcPr>
          <w:p w14:paraId="789EC524" w14:textId="77777777" w:rsidR="00D1587D" w:rsidRDefault="00D1587D">
            <w:pPr>
              <w:rPr>
                <w:sz w:val="5"/>
                <w:szCs w:val="5"/>
              </w:rPr>
            </w:pPr>
          </w:p>
        </w:tc>
        <w:tc>
          <w:tcPr>
            <w:tcW w:w="340" w:type="dxa"/>
            <w:vAlign w:val="bottom"/>
          </w:tcPr>
          <w:p w14:paraId="7DFDF2D5" w14:textId="77777777" w:rsidR="00D1587D" w:rsidRDefault="00D1587D">
            <w:pPr>
              <w:rPr>
                <w:sz w:val="5"/>
                <w:szCs w:val="5"/>
              </w:rPr>
            </w:pPr>
          </w:p>
        </w:tc>
        <w:tc>
          <w:tcPr>
            <w:tcW w:w="120" w:type="dxa"/>
            <w:vAlign w:val="bottom"/>
          </w:tcPr>
          <w:p w14:paraId="1259BFDB" w14:textId="77777777" w:rsidR="00D1587D" w:rsidRDefault="00D1587D">
            <w:pPr>
              <w:rPr>
                <w:sz w:val="5"/>
                <w:szCs w:val="5"/>
              </w:rPr>
            </w:pPr>
          </w:p>
        </w:tc>
        <w:tc>
          <w:tcPr>
            <w:tcW w:w="500" w:type="dxa"/>
            <w:tcBorders>
              <w:top w:val="single" w:sz="8" w:space="0" w:color="auto"/>
            </w:tcBorders>
            <w:vAlign w:val="bottom"/>
          </w:tcPr>
          <w:p w14:paraId="1821EC62" w14:textId="77777777" w:rsidR="00D1587D" w:rsidRDefault="00D1587D">
            <w:pPr>
              <w:rPr>
                <w:sz w:val="5"/>
                <w:szCs w:val="5"/>
              </w:rPr>
            </w:pPr>
          </w:p>
        </w:tc>
        <w:tc>
          <w:tcPr>
            <w:tcW w:w="80" w:type="dxa"/>
            <w:vAlign w:val="bottom"/>
          </w:tcPr>
          <w:p w14:paraId="68762B70" w14:textId="77777777" w:rsidR="00D1587D" w:rsidRDefault="00D1587D">
            <w:pPr>
              <w:rPr>
                <w:sz w:val="5"/>
                <w:szCs w:val="5"/>
              </w:rPr>
            </w:pPr>
          </w:p>
        </w:tc>
        <w:tc>
          <w:tcPr>
            <w:tcW w:w="0" w:type="dxa"/>
            <w:vAlign w:val="bottom"/>
          </w:tcPr>
          <w:p w14:paraId="186D5E9A" w14:textId="77777777" w:rsidR="00D1587D" w:rsidRDefault="00D1587D">
            <w:pPr>
              <w:rPr>
                <w:sz w:val="1"/>
                <w:szCs w:val="1"/>
              </w:rPr>
            </w:pPr>
          </w:p>
        </w:tc>
      </w:tr>
      <w:tr w:rsidR="00D1587D" w14:paraId="28ECCB53" w14:textId="77777777">
        <w:trPr>
          <w:trHeight w:val="291"/>
        </w:trPr>
        <w:tc>
          <w:tcPr>
            <w:tcW w:w="4400" w:type="dxa"/>
            <w:shd w:val="clear" w:color="auto" w:fill="CCEEFF"/>
            <w:vAlign w:val="bottom"/>
          </w:tcPr>
          <w:p w14:paraId="566F2872" w14:textId="77777777" w:rsidR="00D1587D" w:rsidRDefault="00410D07">
            <w:pPr>
              <w:rPr>
                <w:sz w:val="20"/>
                <w:szCs w:val="20"/>
              </w:rPr>
            </w:pPr>
            <w:r>
              <w:rPr>
                <w:rFonts w:ascii="Arial" w:eastAsia="Arial" w:hAnsi="Arial" w:cs="Arial"/>
                <w:b/>
                <w:bCs/>
                <w:sz w:val="18"/>
                <w:szCs w:val="18"/>
              </w:rPr>
              <w:t>Balance, May 2, 2020</w:t>
            </w:r>
          </w:p>
        </w:tc>
        <w:tc>
          <w:tcPr>
            <w:tcW w:w="820" w:type="dxa"/>
            <w:gridSpan w:val="2"/>
            <w:shd w:val="clear" w:color="auto" w:fill="CCEEFF"/>
            <w:vAlign w:val="bottom"/>
          </w:tcPr>
          <w:p w14:paraId="016F89EA" w14:textId="77777777" w:rsidR="00D1587D" w:rsidRDefault="00410D07">
            <w:pPr>
              <w:jc w:val="right"/>
              <w:rPr>
                <w:sz w:val="20"/>
                <w:szCs w:val="20"/>
              </w:rPr>
            </w:pPr>
            <w:r>
              <w:rPr>
                <w:rFonts w:ascii="Arial" w:eastAsia="Arial" w:hAnsi="Arial" w:cs="Arial"/>
                <w:sz w:val="18"/>
                <w:szCs w:val="18"/>
                <w:u w:val="single"/>
              </w:rPr>
              <w:t>$</w:t>
            </w:r>
            <w:r>
              <w:rPr>
                <w:rFonts w:ascii="Arial" w:eastAsia="Arial" w:hAnsi="Arial" w:cs="Arial"/>
                <w:sz w:val="18"/>
                <w:szCs w:val="18"/>
              </w:rPr>
              <w:t>1,351</w:t>
            </w:r>
          </w:p>
        </w:tc>
        <w:tc>
          <w:tcPr>
            <w:tcW w:w="340" w:type="dxa"/>
            <w:shd w:val="clear" w:color="auto" w:fill="CCEEFF"/>
            <w:vAlign w:val="bottom"/>
          </w:tcPr>
          <w:p w14:paraId="2F0A8A16" w14:textId="77777777" w:rsidR="00D1587D" w:rsidRDefault="00D1587D">
            <w:pPr>
              <w:rPr>
                <w:sz w:val="24"/>
                <w:szCs w:val="24"/>
              </w:rPr>
            </w:pPr>
          </w:p>
        </w:tc>
        <w:tc>
          <w:tcPr>
            <w:tcW w:w="120" w:type="dxa"/>
            <w:shd w:val="clear" w:color="auto" w:fill="CCEEFF"/>
            <w:vAlign w:val="bottom"/>
          </w:tcPr>
          <w:p w14:paraId="42602AAF" w14:textId="77777777" w:rsidR="00D1587D" w:rsidRDefault="00D1587D">
            <w:pPr>
              <w:rPr>
                <w:sz w:val="24"/>
                <w:szCs w:val="24"/>
              </w:rPr>
            </w:pPr>
          </w:p>
        </w:tc>
        <w:tc>
          <w:tcPr>
            <w:tcW w:w="960" w:type="dxa"/>
            <w:gridSpan w:val="4"/>
            <w:shd w:val="clear" w:color="auto" w:fill="CCEEFF"/>
            <w:vAlign w:val="bottom"/>
          </w:tcPr>
          <w:p w14:paraId="7E5265DB" w14:textId="77777777" w:rsidR="00D1587D" w:rsidRDefault="00410D07">
            <w:pPr>
              <w:ind w:right="240"/>
              <w:jc w:val="right"/>
              <w:rPr>
                <w:sz w:val="20"/>
                <w:szCs w:val="20"/>
              </w:rPr>
            </w:pPr>
            <w:r>
              <w:rPr>
                <w:rFonts w:ascii="Arial" w:eastAsia="Arial" w:hAnsi="Arial" w:cs="Arial"/>
                <w:sz w:val="18"/>
                <w:szCs w:val="18"/>
                <w:u w:val="single"/>
              </w:rPr>
              <w:t>$</w:t>
            </w:r>
            <w:r>
              <w:rPr>
                <w:rFonts w:ascii="Arial" w:eastAsia="Arial" w:hAnsi="Arial" w:cs="Arial"/>
                <w:sz w:val="18"/>
                <w:szCs w:val="18"/>
              </w:rPr>
              <w:t>(31)</w:t>
            </w:r>
          </w:p>
        </w:tc>
        <w:tc>
          <w:tcPr>
            <w:tcW w:w="140" w:type="dxa"/>
            <w:shd w:val="clear" w:color="auto" w:fill="CCEEFF"/>
            <w:vAlign w:val="bottom"/>
          </w:tcPr>
          <w:p w14:paraId="3A1A88D5" w14:textId="77777777" w:rsidR="00D1587D" w:rsidRDefault="00D1587D">
            <w:pPr>
              <w:rPr>
                <w:sz w:val="24"/>
                <w:szCs w:val="24"/>
              </w:rPr>
            </w:pPr>
          </w:p>
        </w:tc>
        <w:tc>
          <w:tcPr>
            <w:tcW w:w="600" w:type="dxa"/>
            <w:gridSpan w:val="2"/>
            <w:shd w:val="clear" w:color="auto" w:fill="CCEEFF"/>
            <w:vAlign w:val="bottom"/>
          </w:tcPr>
          <w:p w14:paraId="27001A0A" w14:textId="77777777" w:rsidR="00D1587D" w:rsidRDefault="00410D07">
            <w:pPr>
              <w:jc w:val="right"/>
              <w:rPr>
                <w:sz w:val="20"/>
                <w:szCs w:val="20"/>
              </w:rPr>
            </w:pPr>
            <w:r>
              <w:rPr>
                <w:rFonts w:ascii="Arial" w:eastAsia="Arial" w:hAnsi="Arial" w:cs="Arial"/>
                <w:sz w:val="18"/>
                <w:szCs w:val="18"/>
              </w:rPr>
              <w:t>$ 3</w:t>
            </w:r>
          </w:p>
        </w:tc>
        <w:tc>
          <w:tcPr>
            <w:tcW w:w="340" w:type="dxa"/>
            <w:shd w:val="clear" w:color="auto" w:fill="CCEEFF"/>
            <w:vAlign w:val="bottom"/>
          </w:tcPr>
          <w:p w14:paraId="49F3B01F" w14:textId="77777777" w:rsidR="00D1587D" w:rsidRDefault="00D1587D">
            <w:pPr>
              <w:rPr>
                <w:sz w:val="24"/>
                <w:szCs w:val="24"/>
              </w:rPr>
            </w:pPr>
          </w:p>
        </w:tc>
        <w:tc>
          <w:tcPr>
            <w:tcW w:w="120" w:type="dxa"/>
            <w:shd w:val="clear" w:color="auto" w:fill="CCEEFF"/>
            <w:vAlign w:val="bottom"/>
          </w:tcPr>
          <w:p w14:paraId="24B881D6" w14:textId="77777777" w:rsidR="00D1587D" w:rsidRDefault="00D1587D">
            <w:pPr>
              <w:rPr>
                <w:sz w:val="24"/>
                <w:szCs w:val="24"/>
              </w:rPr>
            </w:pPr>
          </w:p>
        </w:tc>
        <w:tc>
          <w:tcPr>
            <w:tcW w:w="500" w:type="dxa"/>
            <w:shd w:val="clear" w:color="auto" w:fill="CCEEFF"/>
            <w:vAlign w:val="bottom"/>
          </w:tcPr>
          <w:p w14:paraId="5559A9C9" w14:textId="77777777" w:rsidR="00D1587D" w:rsidRDefault="00410D07">
            <w:pPr>
              <w:jc w:val="right"/>
              <w:rPr>
                <w:sz w:val="20"/>
                <w:szCs w:val="20"/>
              </w:rPr>
            </w:pPr>
            <w:r>
              <w:rPr>
                <w:rFonts w:ascii="Arial" w:eastAsia="Arial" w:hAnsi="Arial" w:cs="Arial"/>
                <w:w w:val="87"/>
                <w:sz w:val="18"/>
                <w:szCs w:val="18"/>
                <w:u w:val="single"/>
              </w:rPr>
              <w:t>$</w:t>
            </w:r>
            <w:r>
              <w:rPr>
                <w:rFonts w:ascii="Arial" w:eastAsia="Arial" w:hAnsi="Arial" w:cs="Arial"/>
                <w:w w:val="87"/>
                <w:sz w:val="18"/>
                <w:szCs w:val="18"/>
              </w:rPr>
              <w:t>1,323</w:t>
            </w:r>
          </w:p>
        </w:tc>
        <w:tc>
          <w:tcPr>
            <w:tcW w:w="80" w:type="dxa"/>
            <w:shd w:val="clear" w:color="auto" w:fill="CCEEFF"/>
            <w:vAlign w:val="bottom"/>
          </w:tcPr>
          <w:p w14:paraId="6BD362F4" w14:textId="77777777" w:rsidR="00D1587D" w:rsidRDefault="00D1587D">
            <w:pPr>
              <w:rPr>
                <w:sz w:val="24"/>
                <w:szCs w:val="24"/>
              </w:rPr>
            </w:pPr>
          </w:p>
        </w:tc>
        <w:tc>
          <w:tcPr>
            <w:tcW w:w="0" w:type="dxa"/>
            <w:vAlign w:val="bottom"/>
          </w:tcPr>
          <w:p w14:paraId="278809CD" w14:textId="77777777" w:rsidR="00D1587D" w:rsidRDefault="00D1587D">
            <w:pPr>
              <w:rPr>
                <w:sz w:val="1"/>
                <w:szCs w:val="1"/>
              </w:rPr>
            </w:pPr>
          </w:p>
        </w:tc>
      </w:tr>
      <w:tr w:rsidR="00D1587D" w14:paraId="7AAE87E3" w14:textId="77777777">
        <w:trPr>
          <w:trHeight w:val="27"/>
        </w:trPr>
        <w:tc>
          <w:tcPr>
            <w:tcW w:w="4400" w:type="dxa"/>
            <w:tcBorders>
              <w:top w:val="single" w:sz="8" w:space="0" w:color="CCEEFF"/>
            </w:tcBorders>
            <w:shd w:val="clear" w:color="auto" w:fill="CCEEFF"/>
            <w:vAlign w:val="bottom"/>
          </w:tcPr>
          <w:p w14:paraId="1F40FE6E" w14:textId="77777777" w:rsidR="00D1587D" w:rsidRDefault="00D1587D">
            <w:pPr>
              <w:rPr>
                <w:sz w:val="2"/>
                <w:szCs w:val="2"/>
              </w:rPr>
            </w:pPr>
          </w:p>
        </w:tc>
        <w:tc>
          <w:tcPr>
            <w:tcW w:w="340" w:type="dxa"/>
            <w:tcBorders>
              <w:top w:val="single" w:sz="8" w:space="0" w:color="CCEEFF"/>
            </w:tcBorders>
            <w:shd w:val="clear" w:color="auto" w:fill="CCEEFF"/>
            <w:vAlign w:val="bottom"/>
          </w:tcPr>
          <w:p w14:paraId="1B6D7C2F" w14:textId="77777777" w:rsidR="00D1587D" w:rsidRDefault="00D1587D">
            <w:pPr>
              <w:rPr>
                <w:sz w:val="2"/>
                <w:szCs w:val="2"/>
              </w:rPr>
            </w:pPr>
          </w:p>
        </w:tc>
        <w:tc>
          <w:tcPr>
            <w:tcW w:w="480" w:type="dxa"/>
            <w:tcBorders>
              <w:top w:val="single" w:sz="8" w:space="0" w:color="auto"/>
            </w:tcBorders>
            <w:shd w:val="clear" w:color="auto" w:fill="000000"/>
            <w:vAlign w:val="bottom"/>
          </w:tcPr>
          <w:p w14:paraId="5241CFB8" w14:textId="77777777" w:rsidR="00D1587D" w:rsidRDefault="00D1587D">
            <w:pPr>
              <w:rPr>
                <w:sz w:val="2"/>
                <w:szCs w:val="2"/>
              </w:rPr>
            </w:pPr>
          </w:p>
        </w:tc>
        <w:tc>
          <w:tcPr>
            <w:tcW w:w="340" w:type="dxa"/>
            <w:tcBorders>
              <w:top w:val="single" w:sz="8" w:space="0" w:color="CCEEFF"/>
            </w:tcBorders>
            <w:shd w:val="clear" w:color="auto" w:fill="CCEEFF"/>
            <w:vAlign w:val="bottom"/>
          </w:tcPr>
          <w:p w14:paraId="41CAABF9" w14:textId="77777777" w:rsidR="00D1587D" w:rsidRDefault="00D1587D">
            <w:pPr>
              <w:rPr>
                <w:sz w:val="2"/>
                <w:szCs w:val="2"/>
              </w:rPr>
            </w:pPr>
          </w:p>
        </w:tc>
        <w:tc>
          <w:tcPr>
            <w:tcW w:w="120" w:type="dxa"/>
            <w:tcBorders>
              <w:top w:val="single" w:sz="8" w:space="0" w:color="CCEEFF"/>
            </w:tcBorders>
            <w:shd w:val="clear" w:color="auto" w:fill="CCEEFF"/>
            <w:vAlign w:val="bottom"/>
          </w:tcPr>
          <w:p w14:paraId="1734390A" w14:textId="77777777" w:rsidR="00D1587D" w:rsidRDefault="00D1587D">
            <w:pPr>
              <w:rPr>
                <w:sz w:val="2"/>
                <w:szCs w:val="2"/>
              </w:rPr>
            </w:pPr>
          </w:p>
        </w:tc>
        <w:tc>
          <w:tcPr>
            <w:tcW w:w="340" w:type="dxa"/>
            <w:tcBorders>
              <w:top w:val="single" w:sz="8" w:space="0" w:color="CCEEFF"/>
              <w:right w:val="single" w:sz="8" w:space="0" w:color="auto"/>
            </w:tcBorders>
            <w:shd w:val="clear" w:color="auto" w:fill="CCEEFF"/>
            <w:vAlign w:val="bottom"/>
          </w:tcPr>
          <w:p w14:paraId="497CF658" w14:textId="77777777" w:rsidR="00D1587D" w:rsidRDefault="00D1587D">
            <w:pPr>
              <w:rPr>
                <w:sz w:val="2"/>
                <w:szCs w:val="2"/>
              </w:rPr>
            </w:pPr>
          </w:p>
        </w:tc>
        <w:tc>
          <w:tcPr>
            <w:tcW w:w="280" w:type="dxa"/>
            <w:tcBorders>
              <w:top w:val="single" w:sz="8" w:space="0" w:color="auto"/>
            </w:tcBorders>
            <w:shd w:val="clear" w:color="auto" w:fill="000000"/>
            <w:vAlign w:val="bottom"/>
          </w:tcPr>
          <w:p w14:paraId="5A037345" w14:textId="77777777" w:rsidR="00D1587D" w:rsidRDefault="00D1587D">
            <w:pPr>
              <w:rPr>
                <w:sz w:val="2"/>
                <w:szCs w:val="2"/>
              </w:rPr>
            </w:pPr>
          </w:p>
        </w:tc>
        <w:tc>
          <w:tcPr>
            <w:tcW w:w="40" w:type="dxa"/>
            <w:tcBorders>
              <w:top w:val="single" w:sz="8" w:space="0" w:color="auto"/>
              <w:right w:val="single" w:sz="8" w:space="0" w:color="auto"/>
            </w:tcBorders>
            <w:shd w:val="clear" w:color="auto" w:fill="000000"/>
            <w:vAlign w:val="bottom"/>
          </w:tcPr>
          <w:p w14:paraId="516A0E15" w14:textId="77777777" w:rsidR="00D1587D" w:rsidRDefault="00D1587D">
            <w:pPr>
              <w:rPr>
                <w:sz w:val="2"/>
                <w:szCs w:val="2"/>
              </w:rPr>
            </w:pPr>
          </w:p>
        </w:tc>
        <w:tc>
          <w:tcPr>
            <w:tcW w:w="300" w:type="dxa"/>
            <w:tcBorders>
              <w:top w:val="single" w:sz="8" w:space="0" w:color="CCEEFF"/>
            </w:tcBorders>
            <w:shd w:val="clear" w:color="auto" w:fill="CCEEFF"/>
            <w:vAlign w:val="bottom"/>
          </w:tcPr>
          <w:p w14:paraId="6CAB2AAC" w14:textId="77777777" w:rsidR="00D1587D" w:rsidRDefault="00D1587D">
            <w:pPr>
              <w:rPr>
                <w:sz w:val="2"/>
                <w:szCs w:val="2"/>
              </w:rPr>
            </w:pPr>
          </w:p>
        </w:tc>
        <w:tc>
          <w:tcPr>
            <w:tcW w:w="140" w:type="dxa"/>
            <w:tcBorders>
              <w:top w:val="single" w:sz="8" w:space="0" w:color="CCEEFF"/>
            </w:tcBorders>
            <w:shd w:val="clear" w:color="auto" w:fill="CCEEFF"/>
            <w:vAlign w:val="bottom"/>
          </w:tcPr>
          <w:p w14:paraId="7D90E9AA" w14:textId="77777777" w:rsidR="00D1587D" w:rsidRDefault="00D1587D">
            <w:pPr>
              <w:rPr>
                <w:sz w:val="2"/>
                <w:szCs w:val="2"/>
              </w:rPr>
            </w:pPr>
          </w:p>
        </w:tc>
        <w:tc>
          <w:tcPr>
            <w:tcW w:w="320" w:type="dxa"/>
            <w:tcBorders>
              <w:top w:val="single" w:sz="8" w:space="0" w:color="CCEEFF"/>
            </w:tcBorders>
            <w:shd w:val="clear" w:color="auto" w:fill="CCEEFF"/>
            <w:vAlign w:val="bottom"/>
          </w:tcPr>
          <w:p w14:paraId="3B610F3A" w14:textId="77777777" w:rsidR="00D1587D" w:rsidRDefault="00D1587D">
            <w:pPr>
              <w:rPr>
                <w:sz w:val="2"/>
                <w:szCs w:val="2"/>
              </w:rPr>
            </w:pPr>
          </w:p>
        </w:tc>
        <w:tc>
          <w:tcPr>
            <w:tcW w:w="280" w:type="dxa"/>
            <w:tcBorders>
              <w:top w:val="single" w:sz="8" w:space="0" w:color="auto"/>
            </w:tcBorders>
            <w:shd w:val="clear" w:color="auto" w:fill="000000"/>
            <w:vAlign w:val="bottom"/>
          </w:tcPr>
          <w:p w14:paraId="1591F046" w14:textId="77777777" w:rsidR="00D1587D" w:rsidRDefault="00D1587D">
            <w:pPr>
              <w:rPr>
                <w:sz w:val="2"/>
                <w:szCs w:val="2"/>
              </w:rPr>
            </w:pPr>
          </w:p>
        </w:tc>
        <w:tc>
          <w:tcPr>
            <w:tcW w:w="340" w:type="dxa"/>
            <w:tcBorders>
              <w:top w:val="single" w:sz="8" w:space="0" w:color="CCEEFF"/>
            </w:tcBorders>
            <w:shd w:val="clear" w:color="auto" w:fill="CCEEFF"/>
            <w:vAlign w:val="bottom"/>
          </w:tcPr>
          <w:p w14:paraId="1ABB7CDB" w14:textId="77777777" w:rsidR="00D1587D" w:rsidRDefault="00D1587D">
            <w:pPr>
              <w:rPr>
                <w:sz w:val="2"/>
                <w:szCs w:val="2"/>
              </w:rPr>
            </w:pPr>
          </w:p>
        </w:tc>
        <w:tc>
          <w:tcPr>
            <w:tcW w:w="120" w:type="dxa"/>
            <w:tcBorders>
              <w:top w:val="single" w:sz="8" w:space="0" w:color="CCEEFF"/>
            </w:tcBorders>
            <w:shd w:val="clear" w:color="auto" w:fill="CCEEFF"/>
            <w:vAlign w:val="bottom"/>
          </w:tcPr>
          <w:p w14:paraId="25B1A5B7" w14:textId="77777777" w:rsidR="00D1587D" w:rsidRDefault="00D1587D">
            <w:pPr>
              <w:rPr>
                <w:sz w:val="2"/>
                <w:szCs w:val="2"/>
              </w:rPr>
            </w:pPr>
          </w:p>
        </w:tc>
        <w:tc>
          <w:tcPr>
            <w:tcW w:w="500" w:type="dxa"/>
            <w:tcBorders>
              <w:top w:val="single" w:sz="8" w:space="0" w:color="auto"/>
            </w:tcBorders>
            <w:shd w:val="clear" w:color="auto" w:fill="000000"/>
            <w:vAlign w:val="bottom"/>
          </w:tcPr>
          <w:p w14:paraId="2B2F3440" w14:textId="77777777" w:rsidR="00D1587D" w:rsidRDefault="00D1587D">
            <w:pPr>
              <w:rPr>
                <w:sz w:val="2"/>
                <w:szCs w:val="2"/>
              </w:rPr>
            </w:pPr>
          </w:p>
        </w:tc>
        <w:tc>
          <w:tcPr>
            <w:tcW w:w="80" w:type="dxa"/>
            <w:tcBorders>
              <w:top w:val="single" w:sz="8" w:space="0" w:color="CCEEFF"/>
            </w:tcBorders>
            <w:shd w:val="clear" w:color="auto" w:fill="CCEEFF"/>
            <w:vAlign w:val="bottom"/>
          </w:tcPr>
          <w:p w14:paraId="4CF43BC3" w14:textId="77777777" w:rsidR="00D1587D" w:rsidRDefault="00D1587D">
            <w:pPr>
              <w:rPr>
                <w:sz w:val="2"/>
                <w:szCs w:val="2"/>
              </w:rPr>
            </w:pPr>
          </w:p>
        </w:tc>
        <w:tc>
          <w:tcPr>
            <w:tcW w:w="0" w:type="dxa"/>
            <w:vAlign w:val="bottom"/>
          </w:tcPr>
          <w:p w14:paraId="50A590BD" w14:textId="77777777" w:rsidR="00D1587D" w:rsidRDefault="00D1587D">
            <w:pPr>
              <w:spacing w:line="20" w:lineRule="exact"/>
              <w:rPr>
                <w:sz w:val="1"/>
                <w:szCs w:val="1"/>
              </w:rPr>
            </w:pPr>
          </w:p>
        </w:tc>
      </w:tr>
    </w:tbl>
    <w:p w14:paraId="149FF884" w14:textId="77777777" w:rsidR="00D1587D" w:rsidRDefault="00410D07">
      <w:pPr>
        <w:spacing w:line="20" w:lineRule="exact"/>
        <w:rPr>
          <w:sz w:val="20"/>
          <w:szCs w:val="20"/>
        </w:rPr>
      </w:pPr>
      <w:r>
        <w:rPr>
          <w:noProof/>
          <w:sz w:val="20"/>
          <w:szCs w:val="20"/>
        </w:rPr>
        <w:drawing>
          <wp:anchor distT="0" distB="0" distL="114300" distR="114300" simplePos="0" relativeHeight="252152832" behindDoc="1" locked="0" layoutInCell="0" allowOverlap="1" wp14:anchorId="20BC9AE4" wp14:editId="7E8EEF05">
            <wp:simplePos x="0" y="0"/>
            <wp:positionH relativeFrom="column">
              <wp:posOffset>5088890</wp:posOffset>
            </wp:positionH>
            <wp:positionV relativeFrom="paragraph">
              <wp:posOffset>-3659505</wp:posOffset>
            </wp:positionV>
            <wp:extent cx="85725" cy="8890"/>
            <wp:effectExtent l="0" t="0" r="0" b="0"/>
            <wp:wrapNone/>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2153856" behindDoc="1" locked="0" layoutInCell="0" allowOverlap="1" wp14:anchorId="4C749CFC" wp14:editId="30B7474A">
            <wp:simplePos x="0" y="0"/>
            <wp:positionH relativeFrom="column">
              <wp:posOffset>4411345</wp:posOffset>
            </wp:positionH>
            <wp:positionV relativeFrom="paragraph">
              <wp:posOffset>-3659505</wp:posOffset>
            </wp:positionV>
            <wp:extent cx="85725" cy="8890"/>
            <wp:effectExtent l="0" t="0" r="0" b="0"/>
            <wp:wrapNone/>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2154880" behindDoc="1" locked="0" layoutInCell="0" allowOverlap="1" wp14:anchorId="0236B043" wp14:editId="0714ADAB">
            <wp:simplePos x="0" y="0"/>
            <wp:positionH relativeFrom="column">
              <wp:posOffset>3717290</wp:posOffset>
            </wp:positionH>
            <wp:positionV relativeFrom="paragraph">
              <wp:posOffset>-3659505</wp:posOffset>
            </wp:positionV>
            <wp:extent cx="85725" cy="8890"/>
            <wp:effectExtent l="0" t="0" r="0" b="0"/>
            <wp:wrapNone/>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47"/>
                    <a:srcRect/>
                    <a:stretch>
                      <a:fillRect/>
                    </a:stretch>
                  </pic:blipFill>
                  <pic:spPr bwMode="auto">
                    <a:xfrm>
                      <a:off x="0" y="0"/>
                      <a:ext cx="85725" cy="8890"/>
                    </a:xfrm>
                    <a:prstGeom prst="rect">
                      <a:avLst/>
                    </a:prstGeom>
                    <a:noFill/>
                  </pic:spPr>
                </pic:pic>
              </a:graphicData>
            </a:graphic>
          </wp:anchor>
        </w:drawing>
      </w:r>
      <w:r>
        <w:rPr>
          <w:noProof/>
          <w:sz w:val="20"/>
          <w:szCs w:val="20"/>
        </w:rPr>
        <w:drawing>
          <wp:anchor distT="0" distB="0" distL="114300" distR="114300" simplePos="0" relativeHeight="252155904" behindDoc="1" locked="0" layoutInCell="0" allowOverlap="1" wp14:anchorId="3F573CDC" wp14:editId="10C69630">
            <wp:simplePos x="0" y="0"/>
            <wp:positionH relativeFrom="column">
              <wp:posOffset>2945765</wp:posOffset>
            </wp:positionH>
            <wp:positionV relativeFrom="paragraph">
              <wp:posOffset>-3659505</wp:posOffset>
            </wp:positionV>
            <wp:extent cx="43180" cy="8890"/>
            <wp:effectExtent l="0" t="0" r="0" b="0"/>
            <wp:wrapNone/>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48"/>
                    <a:srcRect/>
                    <a:stretch>
                      <a:fillRect/>
                    </a:stretch>
                  </pic:blipFill>
                  <pic:spPr bwMode="auto">
                    <a:xfrm>
                      <a:off x="0" y="0"/>
                      <a:ext cx="43180" cy="8890"/>
                    </a:xfrm>
                    <a:prstGeom prst="rect">
                      <a:avLst/>
                    </a:prstGeom>
                    <a:noFill/>
                  </pic:spPr>
                </pic:pic>
              </a:graphicData>
            </a:graphic>
          </wp:anchor>
        </w:drawing>
      </w:r>
      <w:r>
        <w:rPr>
          <w:noProof/>
          <w:sz w:val="20"/>
          <w:szCs w:val="20"/>
        </w:rPr>
        <w:drawing>
          <wp:anchor distT="0" distB="0" distL="114300" distR="114300" simplePos="0" relativeHeight="252156928" behindDoc="1" locked="0" layoutInCell="0" allowOverlap="1" wp14:anchorId="2D7C6490" wp14:editId="182AB9D6">
            <wp:simplePos x="0" y="0"/>
            <wp:positionH relativeFrom="column">
              <wp:posOffset>5088890</wp:posOffset>
            </wp:positionH>
            <wp:positionV relativeFrom="paragraph">
              <wp:posOffset>-1490980</wp:posOffset>
            </wp:positionV>
            <wp:extent cx="85725" cy="8255"/>
            <wp:effectExtent l="0" t="0" r="0" b="0"/>
            <wp:wrapNone/>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157952" behindDoc="1" locked="0" layoutInCell="0" allowOverlap="1" wp14:anchorId="3A281232" wp14:editId="2E4EDEA2">
            <wp:simplePos x="0" y="0"/>
            <wp:positionH relativeFrom="column">
              <wp:posOffset>4411345</wp:posOffset>
            </wp:positionH>
            <wp:positionV relativeFrom="paragraph">
              <wp:posOffset>-1490980</wp:posOffset>
            </wp:positionV>
            <wp:extent cx="85725" cy="8255"/>
            <wp:effectExtent l="0" t="0" r="0" b="0"/>
            <wp:wrapNone/>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158976" behindDoc="1" locked="0" layoutInCell="0" allowOverlap="1" wp14:anchorId="22BFB7DB" wp14:editId="2FFD1F95">
            <wp:simplePos x="0" y="0"/>
            <wp:positionH relativeFrom="column">
              <wp:posOffset>3717290</wp:posOffset>
            </wp:positionH>
            <wp:positionV relativeFrom="paragraph">
              <wp:posOffset>-1490980</wp:posOffset>
            </wp:positionV>
            <wp:extent cx="85725" cy="8255"/>
            <wp:effectExtent l="0" t="0" r="0" b="0"/>
            <wp:wrapNone/>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47"/>
                    <a:srcRect/>
                    <a:stretch>
                      <a:fillRect/>
                    </a:stretch>
                  </pic:blipFill>
                  <pic:spPr bwMode="auto">
                    <a:xfrm>
                      <a:off x="0" y="0"/>
                      <a:ext cx="85725" cy="8255"/>
                    </a:xfrm>
                    <a:prstGeom prst="rect">
                      <a:avLst/>
                    </a:prstGeom>
                    <a:noFill/>
                  </pic:spPr>
                </pic:pic>
              </a:graphicData>
            </a:graphic>
          </wp:anchor>
        </w:drawing>
      </w:r>
      <w:r>
        <w:rPr>
          <w:noProof/>
          <w:sz w:val="20"/>
          <w:szCs w:val="20"/>
        </w:rPr>
        <w:drawing>
          <wp:anchor distT="0" distB="0" distL="114300" distR="114300" simplePos="0" relativeHeight="252160000" behindDoc="1" locked="0" layoutInCell="0" allowOverlap="1" wp14:anchorId="1CB1547F" wp14:editId="5A035CE8">
            <wp:simplePos x="0" y="0"/>
            <wp:positionH relativeFrom="column">
              <wp:posOffset>2945765</wp:posOffset>
            </wp:positionH>
            <wp:positionV relativeFrom="paragraph">
              <wp:posOffset>-1490980</wp:posOffset>
            </wp:positionV>
            <wp:extent cx="43180" cy="8255"/>
            <wp:effectExtent l="0" t="0" r="0" b="0"/>
            <wp:wrapNone/>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48"/>
                    <a:srcRect/>
                    <a:stretch>
                      <a:fillRect/>
                    </a:stretch>
                  </pic:blipFill>
                  <pic:spPr bwMode="auto">
                    <a:xfrm>
                      <a:off x="0" y="0"/>
                      <a:ext cx="43180" cy="8255"/>
                    </a:xfrm>
                    <a:prstGeom prst="rect">
                      <a:avLst/>
                    </a:prstGeom>
                    <a:noFill/>
                  </pic:spPr>
                </pic:pic>
              </a:graphicData>
            </a:graphic>
          </wp:anchor>
        </w:drawing>
      </w:r>
    </w:p>
    <w:p w14:paraId="580DACE7" w14:textId="77777777" w:rsidR="00D1587D" w:rsidRDefault="00D1587D">
      <w:pPr>
        <w:spacing w:line="200" w:lineRule="exact"/>
        <w:rPr>
          <w:sz w:val="20"/>
          <w:szCs w:val="20"/>
        </w:rPr>
      </w:pPr>
    </w:p>
    <w:p w14:paraId="1FAF08AA" w14:textId="77777777" w:rsidR="00D1587D" w:rsidRDefault="00D1587D">
      <w:pPr>
        <w:spacing w:line="306" w:lineRule="exact"/>
        <w:rPr>
          <w:sz w:val="20"/>
          <w:szCs w:val="20"/>
        </w:rPr>
      </w:pPr>
    </w:p>
    <w:p w14:paraId="18EC2712" w14:textId="77777777" w:rsidR="00D1587D" w:rsidRDefault="00410D07">
      <w:pPr>
        <w:jc w:val="center"/>
        <w:rPr>
          <w:sz w:val="20"/>
          <w:szCs w:val="20"/>
        </w:rPr>
      </w:pPr>
      <w:r>
        <w:rPr>
          <w:rFonts w:ascii="Arial" w:eastAsia="Arial" w:hAnsi="Arial" w:cs="Arial"/>
          <w:i/>
          <w:iCs/>
          <w:sz w:val="18"/>
          <w:szCs w:val="18"/>
        </w:rPr>
        <w:t>The accompanying notes are an integral part of these financial statements.</w:t>
      </w:r>
    </w:p>
    <w:p w14:paraId="36A391B1" w14:textId="77777777" w:rsidR="00D1587D" w:rsidRDefault="00D1587D">
      <w:pPr>
        <w:spacing w:line="225" w:lineRule="exact"/>
        <w:rPr>
          <w:sz w:val="20"/>
          <w:szCs w:val="20"/>
        </w:rPr>
      </w:pPr>
    </w:p>
    <w:p w14:paraId="3C18F6F6" w14:textId="77777777" w:rsidR="00D1587D" w:rsidRDefault="00410D07">
      <w:pPr>
        <w:jc w:val="center"/>
        <w:rPr>
          <w:sz w:val="20"/>
          <w:szCs w:val="20"/>
        </w:rPr>
      </w:pPr>
      <w:r>
        <w:rPr>
          <w:rFonts w:ascii="Arial" w:eastAsia="Arial" w:hAnsi="Arial" w:cs="Arial"/>
          <w:sz w:val="18"/>
          <w:szCs w:val="18"/>
        </w:rPr>
        <w:t>F-32</w:t>
      </w:r>
    </w:p>
    <w:p w14:paraId="24C71608" w14:textId="77777777" w:rsidR="00D1587D" w:rsidRDefault="00410D07">
      <w:pPr>
        <w:spacing w:line="20" w:lineRule="exact"/>
        <w:rPr>
          <w:sz w:val="20"/>
          <w:szCs w:val="20"/>
        </w:rPr>
      </w:pPr>
      <w:r>
        <w:rPr>
          <w:noProof/>
          <w:sz w:val="20"/>
          <w:szCs w:val="20"/>
        </w:rPr>
        <w:drawing>
          <wp:anchor distT="0" distB="0" distL="114300" distR="114300" simplePos="0" relativeHeight="252161024" behindDoc="1" locked="0" layoutInCell="0" allowOverlap="1" wp14:anchorId="4E102924" wp14:editId="5D072364">
            <wp:simplePos x="0" y="0"/>
            <wp:positionH relativeFrom="column">
              <wp:posOffset>-636905</wp:posOffset>
            </wp:positionH>
            <wp:positionV relativeFrom="paragraph">
              <wp:posOffset>134620</wp:posOffset>
            </wp:positionV>
            <wp:extent cx="6995160" cy="17145"/>
            <wp:effectExtent l="0" t="0" r="0" b="0"/>
            <wp:wrapNone/>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4A50282" w14:textId="77777777" w:rsidR="00D1587D" w:rsidRDefault="00D1587D">
      <w:pPr>
        <w:sectPr w:rsidR="00D1587D">
          <w:pgSz w:w="11900" w:h="16838"/>
          <w:pgMar w:top="265" w:right="1440" w:bottom="1440" w:left="1440" w:header="0" w:footer="0" w:gutter="0"/>
          <w:cols w:space="720" w:equalWidth="0">
            <w:col w:w="9019"/>
          </w:cols>
        </w:sectPr>
      </w:pPr>
    </w:p>
    <w:bookmarkStart w:id="428" w:name="page429"/>
    <w:bookmarkEnd w:id="428"/>
    <w:p w14:paraId="495DE14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1987FDE" w14:textId="77777777" w:rsidR="00D1587D" w:rsidRDefault="00D1587D">
      <w:pPr>
        <w:spacing w:line="127" w:lineRule="exact"/>
        <w:rPr>
          <w:sz w:val="20"/>
          <w:szCs w:val="20"/>
        </w:rPr>
      </w:pPr>
    </w:p>
    <w:p w14:paraId="426E3307" w14:textId="77777777" w:rsidR="00D1587D" w:rsidRDefault="00410D07">
      <w:pPr>
        <w:jc w:val="center"/>
        <w:rPr>
          <w:sz w:val="20"/>
          <w:szCs w:val="20"/>
        </w:rPr>
      </w:pPr>
      <w:r>
        <w:rPr>
          <w:rFonts w:ascii="Arial" w:eastAsia="Arial" w:hAnsi="Arial" w:cs="Arial"/>
          <w:b/>
          <w:bCs/>
          <w:sz w:val="18"/>
          <w:szCs w:val="18"/>
        </w:rPr>
        <w:t>VICTORIA’S SECRET BUSINESS OF L BRANDS, INC.</w:t>
      </w:r>
    </w:p>
    <w:p w14:paraId="18A8630B" w14:textId="77777777" w:rsidR="00D1587D" w:rsidRDefault="00D1587D">
      <w:pPr>
        <w:spacing w:line="27" w:lineRule="exact"/>
        <w:rPr>
          <w:sz w:val="20"/>
          <w:szCs w:val="20"/>
        </w:rPr>
      </w:pPr>
    </w:p>
    <w:p w14:paraId="0EEC6C20" w14:textId="77777777" w:rsidR="00D1587D" w:rsidRDefault="00410D07">
      <w:pPr>
        <w:jc w:val="center"/>
        <w:rPr>
          <w:sz w:val="20"/>
          <w:szCs w:val="20"/>
        </w:rPr>
      </w:pPr>
      <w:r>
        <w:rPr>
          <w:rFonts w:ascii="Arial" w:eastAsia="Arial" w:hAnsi="Arial" w:cs="Arial"/>
          <w:b/>
          <w:bCs/>
          <w:sz w:val="18"/>
          <w:szCs w:val="18"/>
        </w:rPr>
        <w:t xml:space="preserve">NOTES TO COMBINED FINANCIAL </w:t>
      </w:r>
      <w:r>
        <w:rPr>
          <w:rFonts w:ascii="Arial" w:eastAsia="Arial" w:hAnsi="Arial" w:cs="Arial"/>
          <w:b/>
          <w:bCs/>
          <w:sz w:val="18"/>
          <w:szCs w:val="18"/>
        </w:rPr>
        <w:t>STATEMENTS</w:t>
      </w:r>
    </w:p>
    <w:p w14:paraId="1EFCB3E9" w14:textId="77777777" w:rsidR="00D1587D" w:rsidRDefault="00D1587D">
      <w:pPr>
        <w:spacing w:line="9" w:lineRule="exact"/>
        <w:rPr>
          <w:sz w:val="20"/>
          <w:szCs w:val="20"/>
        </w:rPr>
      </w:pPr>
    </w:p>
    <w:p w14:paraId="5F8EB288" w14:textId="77777777" w:rsidR="00D1587D" w:rsidRDefault="00410D07">
      <w:pPr>
        <w:jc w:val="center"/>
        <w:rPr>
          <w:sz w:val="20"/>
          <w:szCs w:val="20"/>
        </w:rPr>
      </w:pPr>
      <w:r>
        <w:rPr>
          <w:rFonts w:ascii="Arial" w:eastAsia="Arial" w:hAnsi="Arial" w:cs="Arial"/>
          <w:b/>
          <w:bCs/>
          <w:sz w:val="18"/>
          <w:szCs w:val="18"/>
        </w:rPr>
        <w:t>(Unaudited)</w:t>
      </w:r>
    </w:p>
    <w:p w14:paraId="0063F0CA" w14:textId="77777777" w:rsidR="00D1587D" w:rsidRDefault="00D1587D">
      <w:pPr>
        <w:spacing w:line="261" w:lineRule="exact"/>
        <w:rPr>
          <w:sz w:val="20"/>
          <w:szCs w:val="20"/>
        </w:rPr>
      </w:pPr>
    </w:p>
    <w:p w14:paraId="15191FA5" w14:textId="77777777" w:rsidR="00D1587D" w:rsidRDefault="00410D07">
      <w:pPr>
        <w:spacing w:line="393" w:lineRule="auto"/>
        <w:ind w:left="300" w:right="1959"/>
        <w:rPr>
          <w:sz w:val="20"/>
          <w:szCs w:val="20"/>
        </w:rPr>
      </w:pPr>
      <w:r>
        <w:rPr>
          <w:rFonts w:ascii="Arial" w:eastAsia="Arial" w:hAnsi="Arial" w:cs="Arial"/>
          <w:b/>
          <w:bCs/>
          <w:sz w:val="18"/>
          <w:szCs w:val="18"/>
        </w:rPr>
        <w:t xml:space="preserve">1. Background, Description of Business and Summary of Significant Accounting Policies </w:t>
      </w:r>
      <w:r>
        <w:rPr>
          <w:rFonts w:ascii="Arial" w:eastAsia="Arial" w:hAnsi="Arial" w:cs="Arial"/>
          <w:b/>
          <w:bCs/>
          <w:i/>
          <w:iCs/>
          <w:sz w:val="18"/>
          <w:szCs w:val="18"/>
        </w:rPr>
        <w:t>The Separation</w:t>
      </w:r>
    </w:p>
    <w:p w14:paraId="7FDFC180" w14:textId="77777777" w:rsidR="00D1587D" w:rsidRDefault="00D1587D">
      <w:pPr>
        <w:spacing w:line="1" w:lineRule="exact"/>
        <w:rPr>
          <w:sz w:val="20"/>
          <w:szCs w:val="20"/>
        </w:rPr>
      </w:pPr>
    </w:p>
    <w:p w14:paraId="460F3B6D" w14:textId="77777777" w:rsidR="00D1587D" w:rsidRDefault="00410D07">
      <w:pPr>
        <w:spacing w:line="270" w:lineRule="auto"/>
        <w:ind w:left="300" w:right="319"/>
        <w:rPr>
          <w:sz w:val="20"/>
          <w:szCs w:val="20"/>
        </w:rPr>
      </w:pPr>
      <w:r>
        <w:rPr>
          <w:rFonts w:ascii="Arial" w:eastAsia="Arial" w:hAnsi="Arial" w:cs="Arial"/>
          <w:sz w:val="17"/>
          <w:szCs w:val="17"/>
        </w:rPr>
        <w:t xml:space="preserve">L Brands, Inc. (“L Brands” or the “Parent”) operates the Bath &amp; Body Works, Victoria’s Secret and PINK retail brands in the </w:t>
      </w:r>
      <w:r>
        <w:rPr>
          <w:rFonts w:ascii="Arial" w:eastAsia="Arial" w:hAnsi="Arial" w:cs="Arial"/>
          <w:sz w:val="17"/>
          <w:szCs w:val="17"/>
        </w:rPr>
        <w:t xml:space="preserve">highly competitive specialty retail business. On May 11, 2021, L Brands announced that its Board of Directors unanimously approved a plan to separate L Brands into two independent, public companies: Bath &amp; Body Works and Victoria’s Secret, including PINK. </w:t>
      </w:r>
      <w:r>
        <w:rPr>
          <w:rFonts w:ascii="Arial" w:eastAsia="Arial" w:hAnsi="Arial" w:cs="Arial"/>
          <w:sz w:val="17"/>
          <w:szCs w:val="17"/>
        </w:rPr>
        <w:t>L Brands expects to create these companies through a tax-free spin-off of Victoria’s Secret to L Brands’ shareholders. The spin-off is expected to be effected through a pro-rata distribution to L Brands shareholders of common stock of a newly formed entity</w:t>
      </w:r>
      <w:r>
        <w:rPr>
          <w:rFonts w:ascii="Arial" w:eastAsia="Arial" w:hAnsi="Arial" w:cs="Arial"/>
          <w:sz w:val="17"/>
          <w:szCs w:val="17"/>
        </w:rPr>
        <w:t xml:space="preserve"> holding certain assets and liabilities comprising the Victoria’s Secret business. The spin-off will create Victoria’s Secret &amp; Co. (the “Company”), a separate, independent, publicly traded company. The spin-off is expected to be completed in August 2021, </w:t>
      </w:r>
      <w:r>
        <w:rPr>
          <w:rFonts w:ascii="Arial" w:eastAsia="Arial" w:hAnsi="Arial" w:cs="Arial"/>
          <w:sz w:val="17"/>
          <w:szCs w:val="17"/>
        </w:rPr>
        <w:t>subject to certain customary market, regulatory and other conditions.</w:t>
      </w:r>
    </w:p>
    <w:p w14:paraId="51678E40" w14:textId="77777777" w:rsidR="00D1587D" w:rsidRDefault="00D1587D">
      <w:pPr>
        <w:spacing w:line="248" w:lineRule="exact"/>
        <w:rPr>
          <w:sz w:val="20"/>
          <w:szCs w:val="20"/>
        </w:rPr>
      </w:pPr>
    </w:p>
    <w:p w14:paraId="0CC91C4C" w14:textId="77777777" w:rsidR="00D1587D" w:rsidRDefault="00410D07">
      <w:pPr>
        <w:ind w:left="300"/>
        <w:rPr>
          <w:sz w:val="20"/>
          <w:szCs w:val="20"/>
        </w:rPr>
      </w:pPr>
      <w:r>
        <w:rPr>
          <w:rFonts w:ascii="Arial" w:eastAsia="Arial" w:hAnsi="Arial" w:cs="Arial"/>
          <w:b/>
          <w:bCs/>
          <w:i/>
          <w:iCs/>
          <w:sz w:val="18"/>
          <w:szCs w:val="18"/>
        </w:rPr>
        <w:t>Description of Business</w:t>
      </w:r>
    </w:p>
    <w:p w14:paraId="1A4F4A6E" w14:textId="77777777" w:rsidR="00D1587D" w:rsidRDefault="00D1587D">
      <w:pPr>
        <w:spacing w:line="117" w:lineRule="exact"/>
        <w:rPr>
          <w:sz w:val="20"/>
          <w:szCs w:val="20"/>
        </w:rPr>
      </w:pPr>
    </w:p>
    <w:p w14:paraId="6EE727FD" w14:textId="77777777" w:rsidR="00D1587D" w:rsidRDefault="00410D07">
      <w:pPr>
        <w:spacing w:line="293" w:lineRule="auto"/>
        <w:ind w:left="300" w:right="299"/>
        <w:rPr>
          <w:sz w:val="20"/>
          <w:szCs w:val="20"/>
        </w:rPr>
      </w:pPr>
      <w:r>
        <w:rPr>
          <w:rFonts w:ascii="Arial" w:eastAsia="Arial" w:hAnsi="Arial" w:cs="Arial"/>
          <w:sz w:val="16"/>
          <w:szCs w:val="16"/>
        </w:rPr>
        <w:t>The Company is a specialty retailer of women’s intimate and other apparel and beauty products marketed under the Victoria’s Secret and PINK brand names. The Com</w:t>
      </w:r>
      <w:r>
        <w:rPr>
          <w:rFonts w:ascii="Arial" w:eastAsia="Arial" w:hAnsi="Arial" w:cs="Arial"/>
          <w:sz w:val="16"/>
          <w:szCs w:val="16"/>
        </w:rPr>
        <w:t xml:space="preserve">pany operates more than 925 Victoria’s Secret and PINK stores in the U.S., Canada and Greater China as well as online at </w:t>
      </w:r>
      <w:r>
        <w:rPr>
          <w:rFonts w:ascii="Arial" w:eastAsia="Arial" w:hAnsi="Arial" w:cs="Arial"/>
          <w:i/>
          <w:iCs/>
          <w:sz w:val="16"/>
          <w:szCs w:val="16"/>
        </w:rPr>
        <w:t>www.VictoriasSecret.com</w:t>
      </w:r>
      <w:r>
        <w:rPr>
          <w:rFonts w:ascii="Arial" w:eastAsia="Arial" w:hAnsi="Arial" w:cs="Arial"/>
          <w:sz w:val="16"/>
          <w:szCs w:val="16"/>
        </w:rPr>
        <w:t xml:space="preserve"> and </w:t>
      </w:r>
      <w:r>
        <w:rPr>
          <w:rFonts w:ascii="Arial" w:eastAsia="Arial" w:hAnsi="Arial" w:cs="Arial"/>
          <w:i/>
          <w:iCs/>
          <w:sz w:val="16"/>
          <w:szCs w:val="16"/>
        </w:rPr>
        <w:t>www.PINK.com</w:t>
      </w:r>
      <w:r>
        <w:rPr>
          <w:rFonts w:ascii="Arial" w:eastAsia="Arial" w:hAnsi="Arial" w:cs="Arial"/>
          <w:sz w:val="16"/>
          <w:szCs w:val="16"/>
        </w:rPr>
        <w:t xml:space="preserve"> and other online channels worldwide. Additionally, Victoria’s Secret and PINK have more than 4</w:t>
      </w:r>
      <w:r>
        <w:rPr>
          <w:rFonts w:ascii="Arial" w:eastAsia="Arial" w:hAnsi="Arial" w:cs="Arial"/>
          <w:sz w:val="16"/>
          <w:szCs w:val="16"/>
        </w:rPr>
        <w:t>55 stores in more than 70 countries operating under franchise, license and wholesale arrangements. The Company also includes the Victoria’s Secret and PINK merchandise sourcing and production function serving the Company and its international partners.</w:t>
      </w:r>
    </w:p>
    <w:p w14:paraId="34F6006F" w14:textId="77777777" w:rsidR="00D1587D" w:rsidRDefault="00D1587D">
      <w:pPr>
        <w:spacing w:line="56" w:lineRule="exact"/>
        <w:rPr>
          <w:sz w:val="20"/>
          <w:szCs w:val="20"/>
        </w:rPr>
      </w:pPr>
    </w:p>
    <w:p w14:paraId="5C7B6EF9" w14:textId="77777777" w:rsidR="00D1587D" w:rsidRDefault="00410D07">
      <w:pPr>
        <w:spacing w:line="255" w:lineRule="auto"/>
        <w:ind w:left="300" w:right="339"/>
        <w:rPr>
          <w:sz w:val="20"/>
          <w:szCs w:val="20"/>
        </w:rPr>
      </w:pPr>
      <w:r>
        <w:rPr>
          <w:rFonts w:ascii="Arial" w:eastAsia="Arial" w:hAnsi="Arial" w:cs="Arial"/>
          <w:sz w:val="18"/>
          <w:szCs w:val="18"/>
        </w:rPr>
        <w:t>The Company manages and evaluates its business activities based on geography and, as a result, determined that its Victoria’s Secret North America and Victoria’s Secret International businesses are its operating segments. The North America and Internationa</w:t>
      </w:r>
      <w:r>
        <w:rPr>
          <w:rFonts w:ascii="Arial" w:eastAsia="Arial" w:hAnsi="Arial" w:cs="Arial"/>
          <w:sz w:val="18"/>
          <w:szCs w:val="18"/>
        </w:rPr>
        <w:t>l operating segments both sell women’s intimate and other apparel and beauty products under the Victoria’s Secret and PINK brand names and serve customers through stores and online channels. The operating segments share similar economic and other qualitati</w:t>
      </w:r>
      <w:r>
        <w:rPr>
          <w:rFonts w:ascii="Arial" w:eastAsia="Arial" w:hAnsi="Arial" w:cs="Arial"/>
          <w:sz w:val="18"/>
          <w:szCs w:val="18"/>
        </w:rPr>
        <w:t>ve characteristics, and therefore the results are aggregated into one reportable segment.</w:t>
      </w:r>
    </w:p>
    <w:p w14:paraId="065D3FB2" w14:textId="77777777" w:rsidR="00D1587D" w:rsidRDefault="00D1587D">
      <w:pPr>
        <w:spacing w:line="260" w:lineRule="exact"/>
        <w:rPr>
          <w:sz w:val="20"/>
          <w:szCs w:val="20"/>
        </w:rPr>
      </w:pPr>
    </w:p>
    <w:p w14:paraId="42613F18" w14:textId="77777777" w:rsidR="00D1587D" w:rsidRDefault="00410D07">
      <w:pPr>
        <w:ind w:left="300"/>
        <w:rPr>
          <w:sz w:val="20"/>
          <w:szCs w:val="20"/>
        </w:rPr>
      </w:pPr>
      <w:r>
        <w:rPr>
          <w:rFonts w:ascii="Arial" w:eastAsia="Arial" w:hAnsi="Arial" w:cs="Arial"/>
          <w:b/>
          <w:bCs/>
          <w:i/>
          <w:iCs/>
          <w:sz w:val="18"/>
          <w:szCs w:val="18"/>
        </w:rPr>
        <w:t>Basis of Presentation</w:t>
      </w:r>
    </w:p>
    <w:p w14:paraId="27BE54BC" w14:textId="77777777" w:rsidR="00D1587D" w:rsidRDefault="00D1587D">
      <w:pPr>
        <w:spacing w:line="117" w:lineRule="exact"/>
        <w:rPr>
          <w:sz w:val="20"/>
          <w:szCs w:val="20"/>
        </w:rPr>
      </w:pPr>
    </w:p>
    <w:p w14:paraId="4BC5820B" w14:textId="77777777" w:rsidR="00D1587D" w:rsidRDefault="00410D07">
      <w:pPr>
        <w:spacing w:line="296" w:lineRule="auto"/>
        <w:ind w:left="300" w:right="499"/>
        <w:rPr>
          <w:sz w:val="20"/>
          <w:szCs w:val="20"/>
        </w:rPr>
      </w:pPr>
      <w:r>
        <w:rPr>
          <w:rFonts w:ascii="Arial" w:eastAsia="Arial" w:hAnsi="Arial" w:cs="Arial"/>
          <w:sz w:val="16"/>
          <w:szCs w:val="16"/>
        </w:rPr>
        <w:t>The combined financial statements have been derived from the consolidated financial statements and accounting records of L Brands and have bee</w:t>
      </w:r>
      <w:r>
        <w:rPr>
          <w:rFonts w:ascii="Arial" w:eastAsia="Arial" w:hAnsi="Arial" w:cs="Arial"/>
          <w:sz w:val="16"/>
          <w:szCs w:val="16"/>
        </w:rPr>
        <w:t>n prepared in conformity with accounting principles generally accepted in the United States (“GAAP”). The combined financial statements may not be indicative of the Company’s future performance and do not necessarily reflect what the financial position, re</w:t>
      </w:r>
      <w:r>
        <w:rPr>
          <w:rFonts w:ascii="Arial" w:eastAsia="Arial" w:hAnsi="Arial" w:cs="Arial"/>
          <w:sz w:val="16"/>
          <w:szCs w:val="16"/>
        </w:rPr>
        <w:t>sults of operations, and cash flows would have been had it operated as an independent company during the periods presented.</w:t>
      </w:r>
    </w:p>
    <w:p w14:paraId="731AC05A" w14:textId="77777777" w:rsidR="00D1587D" w:rsidRDefault="00D1587D">
      <w:pPr>
        <w:spacing w:line="53" w:lineRule="exact"/>
        <w:rPr>
          <w:sz w:val="20"/>
          <w:szCs w:val="20"/>
        </w:rPr>
      </w:pPr>
    </w:p>
    <w:p w14:paraId="64522D29" w14:textId="77777777" w:rsidR="00D1587D" w:rsidRDefault="00410D07">
      <w:pPr>
        <w:spacing w:line="291" w:lineRule="auto"/>
        <w:ind w:left="300" w:right="319"/>
        <w:rPr>
          <w:sz w:val="20"/>
          <w:szCs w:val="20"/>
        </w:rPr>
      </w:pPr>
      <w:r>
        <w:rPr>
          <w:rFonts w:ascii="Arial" w:eastAsia="Arial" w:hAnsi="Arial" w:cs="Arial"/>
          <w:sz w:val="16"/>
          <w:szCs w:val="16"/>
        </w:rPr>
        <w:t xml:space="preserve">Intracompany transactions have been eliminated. Transactions between the Company and L Brands have been included in these combined </w:t>
      </w:r>
      <w:r>
        <w:rPr>
          <w:rFonts w:ascii="Arial" w:eastAsia="Arial" w:hAnsi="Arial" w:cs="Arial"/>
          <w:sz w:val="16"/>
          <w:szCs w:val="16"/>
        </w:rPr>
        <w:t>financial statements. For those transactions between the Company and L Brands that have been historically settled in cash, the Company has reflected such balances in the Combined Balance Sheets as Due from Related Parties or Due to Related Parties. The agg</w:t>
      </w:r>
      <w:r>
        <w:rPr>
          <w:rFonts w:ascii="Arial" w:eastAsia="Arial" w:hAnsi="Arial" w:cs="Arial"/>
          <w:sz w:val="16"/>
          <w:szCs w:val="16"/>
        </w:rPr>
        <w:t>regate net effect of transactions between the Company and related parties that have been historically settled other than in cash are reflected in the Combined Balance Sheets as Net Investment by L Brands, Inc. and in the Combined Statements of Cash Flows a</w:t>
      </w:r>
      <w:r>
        <w:rPr>
          <w:rFonts w:ascii="Arial" w:eastAsia="Arial" w:hAnsi="Arial" w:cs="Arial"/>
          <w:sz w:val="16"/>
          <w:szCs w:val="16"/>
        </w:rPr>
        <w:t>s Net Transfers from (to) L Brands, Inc. For additional information, see Note 2, “Transactions with Related Parties.”</w:t>
      </w:r>
    </w:p>
    <w:p w14:paraId="3F9B7076" w14:textId="77777777" w:rsidR="00D1587D" w:rsidRDefault="00D1587D">
      <w:pPr>
        <w:spacing w:line="58" w:lineRule="exact"/>
        <w:rPr>
          <w:sz w:val="20"/>
          <w:szCs w:val="20"/>
        </w:rPr>
      </w:pPr>
    </w:p>
    <w:p w14:paraId="49362E4A" w14:textId="77777777" w:rsidR="00D1587D" w:rsidRDefault="00410D07">
      <w:pPr>
        <w:spacing w:line="296" w:lineRule="auto"/>
        <w:ind w:left="300" w:right="419"/>
        <w:rPr>
          <w:sz w:val="20"/>
          <w:szCs w:val="20"/>
        </w:rPr>
      </w:pPr>
      <w:r>
        <w:rPr>
          <w:rFonts w:ascii="Arial" w:eastAsia="Arial" w:hAnsi="Arial" w:cs="Arial"/>
          <w:sz w:val="16"/>
          <w:szCs w:val="16"/>
        </w:rPr>
        <w:t>The Combined Balance Sheets include certain L Brands’ assets and liabilities that are specifically identifiable or otherwise attributable</w:t>
      </w:r>
      <w:r>
        <w:rPr>
          <w:rFonts w:ascii="Arial" w:eastAsia="Arial" w:hAnsi="Arial" w:cs="Arial"/>
          <w:sz w:val="16"/>
          <w:szCs w:val="16"/>
        </w:rPr>
        <w:t xml:space="preserve"> to the Company. L Brands’ third-party long-term notes payable and the related interest expense have not been allocated to the Company for any of the periods presented as the Company was not the legal obligor of such debt. Except for Long-term Debt due to </w:t>
      </w:r>
      <w:r>
        <w:rPr>
          <w:rFonts w:ascii="Arial" w:eastAsia="Arial" w:hAnsi="Arial" w:cs="Arial"/>
          <w:sz w:val="16"/>
          <w:szCs w:val="16"/>
        </w:rPr>
        <w:t>Related Party, the debt reflected in the Combined Balance Sheets relate to third-party borrowings specifically attributable to, and legal obligations of, the Company.</w:t>
      </w:r>
    </w:p>
    <w:p w14:paraId="3E9ABB67" w14:textId="77777777" w:rsidR="00D1587D" w:rsidRDefault="00D1587D">
      <w:pPr>
        <w:spacing w:line="53" w:lineRule="exact"/>
        <w:rPr>
          <w:sz w:val="20"/>
          <w:szCs w:val="20"/>
        </w:rPr>
      </w:pPr>
    </w:p>
    <w:p w14:paraId="5114352F" w14:textId="77777777" w:rsidR="00D1587D" w:rsidRDefault="00410D07">
      <w:pPr>
        <w:spacing w:line="311" w:lineRule="auto"/>
        <w:ind w:left="300" w:right="459"/>
        <w:rPr>
          <w:sz w:val="20"/>
          <w:szCs w:val="20"/>
        </w:rPr>
      </w:pPr>
      <w:r>
        <w:rPr>
          <w:rFonts w:ascii="Arial" w:eastAsia="Arial" w:hAnsi="Arial" w:cs="Arial"/>
          <w:sz w:val="16"/>
          <w:szCs w:val="16"/>
        </w:rPr>
        <w:t>L Brands utilizes a centralized approach to cash management and financing its operations</w:t>
      </w:r>
      <w:r>
        <w:rPr>
          <w:rFonts w:ascii="Arial" w:eastAsia="Arial" w:hAnsi="Arial" w:cs="Arial"/>
          <w:sz w:val="16"/>
          <w:szCs w:val="16"/>
        </w:rPr>
        <w:t>. The Cash and Cash Equivalents held by L Brands at the corporate level are not specifically identifiable to the Company and, therefore, have not been reflected in the Company’s Combined Balance Sheets. Cash transfers between L Brands</w:t>
      </w:r>
    </w:p>
    <w:p w14:paraId="0F4932F4" w14:textId="77777777" w:rsidR="00D1587D" w:rsidRDefault="00D1587D">
      <w:pPr>
        <w:spacing w:line="149" w:lineRule="exact"/>
        <w:rPr>
          <w:sz w:val="20"/>
          <w:szCs w:val="20"/>
        </w:rPr>
      </w:pPr>
    </w:p>
    <w:p w14:paraId="06347D2E" w14:textId="77777777" w:rsidR="00D1587D" w:rsidRDefault="00410D07">
      <w:pPr>
        <w:jc w:val="center"/>
        <w:rPr>
          <w:sz w:val="20"/>
          <w:szCs w:val="20"/>
        </w:rPr>
      </w:pPr>
      <w:r>
        <w:rPr>
          <w:rFonts w:ascii="Arial" w:eastAsia="Arial" w:hAnsi="Arial" w:cs="Arial"/>
          <w:sz w:val="18"/>
          <w:szCs w:val="18"/>
        </w:rPr>
        <w:t>F-33</w:t>
      </w:r>
    </w:p>
    <w:p w14:paraId="26B30C94" w14:textId="77777777" w:rsidR="00D1587D" w:rsidRDefault="00410D07">
      <w:pPr>
        <w:spacing w:line="20" w:lineRule="exact"/>
        <w:rPr>
          <w:sz w:val="20"/>
          <w:szCs w:val="20"/>
        </w:rPr>
      </w:pPr>
      <w:r>
        <w:rPr>
          <w:noProof/>
          <w:sz w:val="20"/>
          <w:szCs w:val="20"/>
        </w:rPr>
        <w:drawing>
          <wp:anchor distT="0" distB="0" distL="114300" distR="114300" simplePos="0" relativeHeight="252162048" behindDoc="1" locked="0" layoutInCell="0" allowOverlap="1" wp14:anchorId="75E5A0F2" wp14:editId="055C5A28">
            <wp:simplePos x="0" y="0"/>
            <wp:positionH relativeFrom="column">
              <wp:posOffset>-636905</wp:posOffset>
            </wp:positionH>
            <wp:positionV relativeFrom="paragraph">
              <wp:posOffset>134620</wp:posOffset>
            </wp:positionV>
            <wp:extent cx="6995160" cy="17145"/>
            <wp:effectExtent l="0" t="0" r="0" b="0"/>
            <wp:wrapNone/>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3DF64C74" w14:textId="77777777" w:rsidR="00D1587D" w:rsidRDefault="00D1587D">
      <w:pPr>
        <w:sectPr w:rsidR="00D1587D">
          <w:pgSz w:w="11900" w:h="16838"/>
          <w:pgMar w:top="265" w:right="1440" w:bottom="1440" w:left="1440" w:header="0" w:footer="0" w:gutter="0"/>
          <w:cols w:space="720" w:equalWidth="0">
            <w:col w:w="9019"/>
          </w:cols>
        </w:sectPr>
      </w:pPr>
    </w:p>
    <w:bookmarkStart w:id="429" w:name="page430"/>
    <w:bookmarkEnd w:id="429"/>
    <w:p w14:paraId="2CDFCAF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2079605C" w14:textId="77777777" w:rsidR="00D1587D" w:rsidRDefault="00D1587D">
      <w:pPr>
        <w:spacing w:line="131" w:lineRule="exact"/>
        <w:rPr>
          <w:sz w:val="20"/>
          <w:szCs w:val="20"/>
        </w:rPr>
      </w:pPr>
    </w:p>
    <w:p w14:paraId="6B7276F8" w14:textId="77777777" w:rsidR="00D1587D" w:rsidRDefault="00410D07">
      <w:pPr>
        <w:spacing w:line="286" w:lineRule="auto"/>
        <w:ind w:left="300" w:right="659"/>
        <w:rPr>
          <w:sz w:val="20"/>
          <w:szCs w:val="20"/>
        </w:rPr>
      </w:pPr>
      <w:r>
        <w:rPr>
          <w:rFonts w:ascii="Arial" w:eastAsia="Arial" w:hAnsi="Arial" w:cs="Arial"/>
          <w:sz w:val="17"/>
          <w:szCs w:val="17"/>
        </w:rPr>
        <w:t xml:space="preserve">and the Company are accounted for through Net Investment by L Brands, Inc. Cash and Cash Equivalents in the Combined Balance Sheets represent cash and cash equivalents held by the </w:t>
      </w:r>
      <w:r>
        <w:rPr>
          <w:rFonts w:ascii="Arial" w:eastAsia="Arial" w:hAnsi="Arial" w:cs="Arial"/>
          <w:sz w:val="17"/>
          <w:szCs w:val="17"/>
        </w:rPr>
        <w:t>Company at period-end prior to any potential transfer to the centralized cash management pool of L Brands.</w:t>
      </w:r>
    </w:p>
    <w:p w14:paraId="214B0839" w14:textId="77777777" w:rsidR="00D1587D" w:rsidRDefault="00D1587D">
      <w:pPr>
        <w:spacing w:line="57" w:lineRule="exact"/>
        <w:rPr>
          <w:sz w:val="20"/>
          <w:szCs w:val="20"/>
        </w:rPr>
      </w:pPr>
    </w:p>
    <w:p w14:paraId="56873D8F" w14:textId="77777777" w:rsidR="00D1587D" w:rsidRDefault="00410D07">
      <w:pPr>
        <w:spacing w:line="254" w:lineRule="auto"/>
        <w:ind w:left="300" w:right="299"/>
        <w:rPr>
          <w:sz w:val="20"/>
          <w:szCs w:val="20"/>
        </w:rPr>
      </w:pPr>
      <w:r>
        <w:rPr>
          <w:rFonts w:ascii="Arial" w:eastAsia="Arial" w:hAnsi="Arial" w:cs="Arial"/>
          <w:sz w:val="18"/>
          <w:szCs w:val="18"/>
        </w:rPr>
        <w:t>The Combined Statements of Income (Loss) include costs for certain functions, including information technology, human resources and store design and</w:t>
      </w:r>
      <w:r>
        <w:rPr>
          <w:rFonts w:ascii="Arial" w:eastAsia="Arial" w:hAnsi="Arial" w:cs="Arial"/>
          <w:sz w:val="18"/>
          <w:szCs w:val="18"/>
        </w:rPr>
        <w:t xml:space="preserve"> construction, that historically were provided and administered on a centralized basis by L Brands. Starting in the third quarter of 2020, as part of the steps to prepare Victoria’s Secret to operate as a separate standalone company, these functions were t</w:t>
      </w:r>
      <w:r>
        <w:rPr>
          <w:rFonts w:ascii="Arial" w:eastAsia="Arial" w:hAnsi="Arial" w:cs="Arial"/>
          <w:sz w:val="18"/>
          <w:szCs w:val="18"/>
        </w:rPr>
        <w:t>ransitioned to the business and are now operated and administered as part of Victoria’s Secret. For additional information, see Note 4, “Restructuring Activities.” Costs applicable to the Company related to these functions are included in the Combined Stat</w:t>
      </w:r>
      <w:r>
        <w:rPr>
          <w:rFonts w:ascii="Arial" w:eastAsia="Arial" w:hAnsi="Arial" w:cs="Arial"/>
          <w:sz w:val="18"/>
          <w:szCs w:val="18"/>
        </w:rPr>
        <w:t>ements of Income (Loss) for all periods presented. Prior to the transition of these functions, these costs were directly charged to the Company by L Brands.</w:t>
      </w:r>
    </w:p>
    <w:p w14:paraId="1D518266" w14:textId="77777777" w:rsidR="00D1587D" w:rsidRDefault="00D1587D">
      <w:pPr>
        <w:spacing w:line="84" w:lineRule="exact"/>
        <w:rPr>
          <w:sz w:val="20"/>
          <w:szCs w:val="20"/>
        </w:rPr>
      </w:pPr>
    </w:p>
    <w:p w14:paraId="5B0448A9" w14:textId="77777777" w:rsidR="00D1587D" w:rsidRDefault="00410D07">
      <w:pPr>
        <w:ind w:left="300"/>
        <w:rPr>
          <w:sz w:val="20"/>
          <w:szCs w:val="20"/>
        </w:rPr>
      </w:pPr>
      <w:r>
        <w:rPr>
          <w:rFonts w:ascii="Arial" w:eastAsia="Arial" w:hAnsi="Arial" w:cs="Arial"/>
          <w:sz w:val="17"/>
          <w:szCs w:val="17"/>
        </w:rPr>
        <w:t>In addition, for purposes of preparing these combined financial statements on a “carve-out” basis,</w:t>
      </w:r>
      <w:r>
        <w:rPr>
          <w:rFonts w:ascii="Arial" w:eastAsia="Arial" w:hAnsi="Arial" w:cs="Arial"/>
          <w:sz w:val="17"/>
          <w:szCs w:val="17"/>
        </w:rPr>
        <w:t xml:space="preserve"> a portion of</w:t>
      </w:r>
    </w:p>
    <w:p w14:paraId="4E6471C8" w14:textId="77777777" w:rsidR="00D1587D" w:rsidRDefault="00D1587D">
      <w:pPr>
        <w:spacing w:line="35" w:lineRule="exact"/>
        <w:rPr>
          <w:sz w:val="20"/>
          <w:szCs w:val="20"/>
        </w:rPr>
      </w:pPr>
    </w:p>
    <w:p w14:paraId="7E6DDF31" w14:textId="77777777" w:rsidR="00D1587D" w:rsidRDefault="00410D07">
      <w:pPr>
        <w:spacing w:line="288" w:lineRule="auto"/>
        <w:ind w:left="300" w:right="339"/>
        <w:rPr>
          <w:sz w:val="20"/>
          <w:szCs w:val="20"/>
        </w:rPr>
      </w:pPr>
      <w:r>
        <w:rPr>
          <w:rFonts w:ascii="Arial" w:eastAsia="Arial" w:hAnsi="Arial" w:cs="Arial"/>
          <w:sz w:val="16"/>
          <w:szCs w:val="16"/>
        </w:rPr>
        <w:t>L Brands’ corporate expenses have been allocated to the Company. These expense allocations include the cost of corporate functions and resources that continue to be provided by, or administered by, L Brands including, but not limited to, exe</w:t>
      </w:r>
      <w:r>
        <w:rPr>
          <w:rFonts w:ascii="Arial" w:eastAsia="Arial" w:hAnsi="Arial" w:cs="Arial"/>
          <w:sz w:val="16"/>
          <w:szCs w:val="16"/>
        </w:rPr>
        <w:t>cutive management and other corporate and governance functions, such as corporate finance, internal audit, tax and treasury. The related employee payroll and benefit costs associated with such functions, such as share-based compensation, are included in th</w:t>
      </w:r>
      <w:r>
        <w:rPr>
          <w:rFonts w:ascii="Arial" w:eastAsia="Arial" w:hAnsi="Arial" w:cs="Arial"/>
          <w:sz w:val="16"/>
          <w:szCs w:val="16"/>
        </w:rPr>
        <w:t xml:space="preserve">e expense allocations. Corporate expenses of $19 million in the first quarter of 2021 and $20 million in the first quarter of 2020 were allocated and included within General, Administrative and Store Operating Expenses in the Combined Statements of Income </w:t>
      </w:r>
      <w:r>
        <w:rPr>
          <w:rFonts w:ascii="Arial" w:eastAsia="Arial" w:hAnsi="Arial" w:cs="Arial"/>
          <w:sz w:val="16"/>
          <w:szCs w:val="16"/>
        </w:rPr>
        <w:t>(Loss).</w:t>
      </w:r>
    </w:p>
    <w:p w14:paraId="58185D53" w14:textId="77777777" w:rsidR="00D1587D" w:rsidRDefault="00D1587D">
      <w:pPr>
        <w:spacing w:line="60" w:lineRule="exact"/>
        <w:rPr>
          <w:sz w:val="20"/>
          <w:szCs w:val="20"/>
        </w:rPr>
      </w:pPr>
    </w:p>
    <w:p w14:paraId="39C1232D" w14:textId="77777777" w:rsidR="00D1587D" w:rsidRDefault="00410D07">
      <w:pPr>
        <w:spacing w:line="269" w:lineRule="auto"/>
        <w:ind w:left="300" w:right="379"/>
        <w:rPr>
          <w:sz w:val="20"/>
          <w:szCs w:val="20"/>
        </w:rPr>
      </w:pPr>
      <w:r>
        <w:rPr>
          <w:rFonts w:ascii="Arial" w:eastAsia="Arial" w:hAnsi="Arial" w:cs="Arial"/>
          <w:sz w:val="17"/>
          <w:szCs w:val="17"/>
        </w:rPr>
        <w:t xml:space="preserve">Costs were allocated to the Company based on direct usage when identifiable or, when not directly identifiable, on the basis of proportional net sales. Management considers the basis on which the expenses have been allocated to reasonably reflect </w:t>
      </w:r>
      <w:r>
        <w:rPr>
          <w:rFonts w:ascii="Arial" w:eastAsia="Arial" w:hAnsi="Arial" w:cs="Arial"/>
          <w:sz w:val="17"/>
          <w:szCs w:val="17"/>
        </w:rPr>
        <w:t>the utilization of services provided to, or the benefit received by, the Company during the periods presented. However, the allocations may not reflect the expenses the Company would have incurred if the Company had been a standalone company for the period</w:t>
      </w:r>
      <w:r>
        <w:rPr>
          <w:rFonts w:ascii="Arial" w:eastAsia="Arial" w:hAnsi="Arial" w:cs="Arial"/>
          <w:sz w:val="17"/>
          <w:szCs w:val="17"/>
        </w:rPr>
        <w:t>s presented. Actual costs that may have been incurred if the Company had been a standalone company would depend on a number of factors, including the organizational structure, whether functions were outsourced or performed by employees, and strategic or ca</w:t>
      </w:r>
      <w:r>
        <w:rPr>
          <w:rFonts w:ascii="Arial" w:eastAsia="Arial" w:hAnsi="Arial" w:cs="Arial"/>
          <w:sz w:val="17"/>
          <w:szCs w:val="17"/>
        </w:rPr>
        <w:t>pital decisions. Going forward, the Company may perform these functions using its own resources or outsourced services. For a period following the planned separation, however, some of these functions may continue to be provided by L Brands under a transiti</w:t>
      </w:r>
      <w:r>
        <w:rPr>
          <w:rFonts w:ascii="Arial" w:eastAsia="Arial" w:hAnsi="Arial" w:cs="Arial"/>
          <w:sz w:val="17"/>
          <w:szCs w:val="17"/>
        </w:rPr>
        <w:t>on services agreement, and the Company may provide some services to L Brands under a transition services agreement. The Company may also enter into certain commercial arrangements with L Brands in connection with the planned separation.</w:t>
      </w:r>
    </w:p>
    <w:p w14:paraId="416F5003" w14:textId="77777777" w:rsidR="00D1587D" w:rsidRDefault="00D1587D">
      <w:pPr>
        <w:spacing w:line="71" w:lineRule="exact"/>
        <w:rPr>
          <w:sz w:val="20"/>
          <w:szCs w:val="20"/>
        </w:rPr>
      </w:pPr>
    </w:p>
    <w:p w14:paraId="665D54AF" w14:textId="77777777" w:rsidR="00D1587D" w:rsidRDefault="00410D07">
      <w:pPr>
        <w:spacing w:line="289" w:lineRule="auto"/>
        <w:ind w:left="300" w:right="359"/>
        <w:rPr>
          <w:sz w:val="20"/>
          <w:szCs w:val="20"/>
        </w:rPr>
      </w:pPr>
      <w:r>
        <w:rPr>
          <w:rFonts w:ascii="Arial" w:eastAsia="Arial" w:hAnsi="Arial" w:cs="Arial"/>
          <w:sz w:val="16"/>
          <w:szCs w:val="16"/>
        </w:rPr>
        <w:t>During the periods</w:t>
      </w:r>
      <w:r>
        <w:rPr>
          <w:rFonts w:ascii="Arial" w:eastAsia="Arial" w:hAnsi="Arial" w:cs="Arial"/>
          <w:sz w:val="16"/>
          <w:szCs w:val="16"/>
        </w:rPr>
        <w:t xml:space="preserve"> presented in these Combined Financial Statements, the Company’s income tax expense (benefit) and deferred tax balances have been included in the L Brands’ income tax returns. Income tax expense (benefit) and deferred tax balances contained in the Combined</w:t>
      </w:r>
      <w:r>
        <w:rPr>
          <w:rFonts w:ascii="Arial" w:eastAsia="Arial" w:hAnsi="Arial" w:cs="Arial"/>
          <w:sz w:val="16"/>
          <w:szCs w:val="16"/>
        </w:rPr>
        <w:t xml:space="preserve"> Financial Statements are presented on a separate return basis, as if the Company had filed its own income tax returns. As a result, actual tax transactions included in the consolidated financial statements of L Brands may or may not be included in the Com</w:t>
      </w:r>
      <w:r>
        <w:rPr>
          <w:rFonts w:ascii="Arial" w:eastAsia="Arial" w:hAnsi="Arial" w:cs="Arial"/>
          <w:sz w:val="16"/>
          <w:szCs w:val="16"/>
        </w:rPr>
        <w:t xml:space="preserve">bined Financial Statements of the Company. Similarly, the tax treatment of certain items reflected in the Combined Financial Statements of the Company may or may not be reflected in the consolidated financial statements and income tax returns of L Brands. </w:t>
      </w:r>
      <w:r>
        <w:rPr>
          <w:rFonts w:ascii="Arial" w:eastAsia="Arial" w:hAnsi="Arial" w:cs="Arial"/>
          <w:sz w:val="16"/>
          <w:szCs w:val="16"/>
        </w:rPr>
        <w:t>The taxes recorded in the Combined Statements of Income (Loss) are not necessarily representative of the taxes that may arise in the future if the Company files its income tax returns independent from L Brands’ returns.</w:t>
      </w:r>
    </w:p>
    <w:p w14:paraId="2586B65C" w14:textId="77777777" w:rsidR="00D1587D" w:rsidRDefault="00D1587D">
      <w:pPr>
        <w:spacing w:line="166" w:lineRule="exact"/>
        <w:rPr>
          <w:sz w:val="20"/>
          <w:szCs w:val="20"/>
        </w:rPr>
      </w:pPr>
    </w:p>
    <w:p w14:paraId="3C0EB9C5" w14:textId="77777777" w:rsidR="00D1587D" w:rsidRDefault="00410D07">
      <w:pPr>
        <w:ind w:left="300"/>
        <w:rPr>
          <w:sz w:val="20"/>
          <w:szCs w:val="20"/>
        </w:rPr>
      </w:pPr>
      <w:r>
        <w:rPr>
          <w:rFonts w:ascii="Arial" w:eastAsia="Arial" w:hAnsi="Arial" w:cs="Arial"/>
          <w:b/>
          <w:bCs/>
          <w:i/>
          <w:iCs/>
          <w:sz w:val="18"/>
          <w:szCs w:val="18"/>
        </w:rPr>
        <w:t>Fiscal Year</w:t>
      </w:r>
    </w:p>
    <w:p w14:paraId="1BF985F2" w14:textId="77777777" w:rsidR="00D1587D" w:rsidRDefault="00D1587D">
      <w:pPr>
        <w:spacing w:line="117" w:lineRule="exact"/>
        <w:rPr>
          <w:sz w:val="20"/>
          <w:szCs w:val="20"/>
        </w:rPr>
      </w:pPr>
    </w:p>
    <w:p w14:paraId="4E94646A" w14:textId="77777777" w:rsidR="00D1587D" w:rsidRDefault="00410D07">
      <w:pPr>
        <w:spacing w:line="342" w:lineRule="auto"/>
        <w:ind w:left="300" w:right="519"/>
        <w:rPr>
          <w:sz w:val="20"/>
          <w:szCs w:val="20"/>
        </w:rPr>
      </w:pPr>
      <w:r>
        <w:rPr>
          <w:rFonts w:ascii="Arial" w:eastAsia="Arial" w:hAnsi="Arial" w:cs="Arial"/>
          <w:sz w:val="16"/>
          <w:szCs w:val="16"/>
        </w:rPr>
        <w:t xml:space="preserve">The Company’s </w:t>
      </w:r>
      <w:r>
        <w:rPr>
          <w:rFonts w:ascii="Arial" w:eastAsia="Arial" w:hAnsi="Arial" w:cs="Arial"/>
          <w:sz w:val="16"/>
          <w:szCs w:val="16"/>
        </w:rPr>
        <w:t>fiscal year ends on the Saturday nearest to January 31. As used herein, “first quarter of 2021” and “first quarter of 2020” refer to the thirteen-week periods ended May 1, 2021 and May 2, 2020, respectively.</w:t>
      </w:r>
    </w:p>
    <w:p w14:paraId="2DDD05A2" w14:textId="77777777" w:rsidR="00D1587D" w:rsidRDefault="00D1587D">
      <w:pPr>
        <w:spacing w:line="124" w:lineRule="exact"/>
        <w:rPr>
          <w:sz w:val="20"/>
          <w:szCs w:val="20"/>
        </w:rPr>
      </w:pPr>
    </w:p>
    <w:p w14:paraId="132DEA80" w14:textId="77777777" w:rsidR="00D1587D" w:rsidRDefault="00410D07">
      <w:pPr>
        <w:ind w:left="300"/>
        <w:rPr>
          <w:sz w:val="20"/>
          <w:szCs w:val="20"/>
        </w:rPr>
      </w:pPr>
      <w:r>
        <w:rPr>
          <w:rFonts w:ascii="Arial" w:eastAsia="Arial" w:hAnsi="Arial" w:cs="Arial"/>
          <w:b/>
          <w:bCs/>
          <w:i/>
          <w:iCs/>
          <w:sz w:val="18"/>
          <w:szCs w:val="18"/>
        </w:rPr>
        <w:t>Interim Financial Statements</w:t>
      </w:r>
    </w:p>
    <w:p w14:paraId="6389F163" w14:textId="77777777" w:rsidR="00D1587D" w:rsidRDefault="00D1587D">
      <w:pPr>
        <w:spacing w:line="117" w:lineRule="exact"/>
        <w:rPr>
          <w:sz w:val="20"/>
          <w:szCs w:val="20"/>
        </w:rPr>
      </w:pPr>
    </w:p>
    <w:p w14:paraId="3DFE4858" w14:textId="77777777" w:rsidR="00D1587D" w:rsidRDefault="00410D07">
      <w:pPr>
        <w:spacing w:line="311" w:lineRule="auto"/>
        <w:ind w:left="300" w:right="539"/>
        <w:rPr>
          <w:sz w:val="20"/>
          <w:szCs w:val="20"/>
        </w:rPr>
      </w:pPr>
      <w:r>
        <w:rPr>
          <w:rFonts w:ascii="Arial" w:eastAsia="Arial" w:hAnsi="Arial" w:cs="Arial"/>
          <w:sz w:val="16"/>
          <w:szCs w:val="16"/>
        </w:rPr>
        <w:t>The Combined Fina</w:t>
      </w:r>
      <w:r>
        <w:rPr>
          <w:rFonts w:ascii="Arial" w:eastAsia="Arial" w:hAnsi="Arial" w:cs="Arial"/>
          <w:sz w:val="16"/>
          <w:szCs w:val="16"/>
        </w:rPr>
        <w:t>ncial Statements as of and for the periods ended May 1, 2021 and May 2, 2020 are unaudited. These Combined Financial Statements should be read in conjunction with the audited Combined Financial Statements and Notes thereto for the fiscal years ended Januar</w:t>
      </w:r>
      <w:r>
        <w:rPr>
          <w:rFonts w:ascii="Arial" w:eastAsia="Arial" w:hAnsi="Arial" w:cs="Arial"/>
          <w:sz w:val="16"/>
          <w:szCs w:val="16"/>
        </w:rPr>
        <w:t>y 30, 2021, February 1, 2020 and February 2, 2019.</w:t>
      </w:r>
    </w:p>
    <w:p w14:paraId="5F2A2897" w14:textId="77777777" w:rsidR="00D1587D" w:rsidRDefault="00D1587D">
      <w:pPr>
        <w:spacing w:line="41" w:lineRule="exact"/>
        <w:rPr>
          <w:sz w:val="20"/>
          <w:szCs w:val="20"/>
        </w:rPr>
      </w:pPr>
    </w:p>
    <w:p w14:paraId="6F6413C7" w14:textId="77777777" w:rsidR="00D1587D" w:rsidRDefault="00410D07">
      <w:pPr>
        <w:spacing w:line="342" w:lineRule="auto"/>
        <w:ind w:left="300" w:right="379"/>
        <w:rPr>
          <w:sz w:val="20"/>
          <w:szCs w:val="20"/>
        </w:rPr>
      </w:pPr>
      <w:r>
        <w:rPr>
          <w:rFonts w:ascii="Arial" w:eastAsia="Arial" w:hAnsi="Arial" w:cs="Arial"/>
          <w:sz w:val="16"/>
          <w:szCs w:val="16"/>
        </w:rPr>
        <w:t>In the opinion of management, the accompanying Combined Financial Statements reflect all adjustments, which are of a normal recurring nature and necessary for a fair presentation of the results for the in</w:t>
      </w:r>
      <w:r>
        <w:rPr>
          <w:rFonts w:ascii="Arial" w:eastAsia="Arial" w:hAnsi="Arial" w:cs="Arial"/>
          <w:sz w:val="16"/>
          <w:szCs w:val="16"/>
        </w:rPr>
        <w:t>terim periods.</w:t>
      </w:r>
    </w:p>
    <w:p w14:paraId="6D579AD9" w14:textId="77777777" w:rsidR="00D1587D" w:rsidRDefault="00D1587D">
      <w:pPr>
        <w:spacing w:line="124" w:lineRule="exact"/>
        <w:rPr>
          <w:sz w:val="20"/>
          <w:szCs w:val="20"/>
        </w:rPr>
      </w:pPr>
    </w:p>
    <w:p w14:paraId="54DC63DA" w14:textId="77777777" w:rsidR="00D1587D" w:rsidRDefault="00410D07">
      <w:pPr>
        <w:jc w:val="center"/>
        <w:rPr>
          <w:sz w:val="20"/>
          <w:szCs w:val="20"/>
        </w:rPr>
      </w:pPr>
      <w:r>
        <w:rPr>
          <w:rFonts w:ascii="Arial" w:eastAsia="Arial" w:hAnsi="Arial" w:cs="Arial"/>
          <w:sz w:val="18"/>
          <w:szCs w:val="18"/>
        </w:rPr>
        <w:t>F-34</w:t>
      </w:r>
    </w:p>
    <w:p w14:paraId="25EF8720" w14:textId="77777777" w:rsidR="00D1587D" w:rsidRDefault="00410D07">
      <w:pPr>
        <w:spacing w:line="20" w:lineRule="exact"/>
        <w:rPr>
          <w:sz w:val="20"/>
          <w:szCs w:val="20"/>
        </w:rPr>
      </w:pPr>
      <w:r>
        <w:rPr>
          <w:noProof/>
          <w:sz w:val="20"/>
          <w:szCs w:val="20"/>
        </w:rPr>
        <w:drawing>
          <wp:anchor distT="0" distB="0" distL="114300" distR="114300" simplePos="0" relativeHeight="252163072" behindDoc="1" locked="0" layoutInCell="0" allowOverlap="1" wp14:anchorId="42FB55EC" wp14:editId="3F1C0AB6">
            <wp:simplePos x="0" y="0"/>
            <wp:positionH relativeFrom="column">
              <wp:posOffset>-636905</wp:posOffset>
            </wp:positionH>
            <wp:positionV relativeFrom="paragraph">
              <wp:posOffset>134620</wp:posOffset>
            </wp:positionV>
            <wp:extent cx="6995160" cy="17145"/>
            <wp:effectExtent l="0" t="0" r="0" b="0"/>
            <wp:wrapNone/>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711FA3CC" w14:textId="77777777" w:rsidR="00D1587D" w:rsidRDefault="00D1587D">
      <w:pPr>
        <w:sectPr w:rsidR="00D1587D">
          <w:pgSz w:w="11900" w:h="16838"/>
          <w:pgMar w:top="265" w:right="1440" w:bottom="1440" w:left="1440" w:header="0" w:footer="0" w:gutter="0"/>
          <w:cols w:space="720" w:equalWidth="0">
            <w:col w:w="9019"/>
          </w:cols>
        </w:sectPr>
      </w:pPr>
    </w:p>
    <w:bookmarkStart w:id="430" w:name="page431"/>
    <w:bookmarkEnd w:id="430"/>
    <w:p w14:paraId="65DBCCC2"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C4B0DDC" w14:textId="77777777" w:rsidR="00D1587D" w:rsidRDefault="00D1587D">
      <w:pPr>
        <w:spacing w:line="131" w:lineRule="exact"/>
        <w:rPr>
          <w:sz w:val="20"/>
          <w:szCs w:val="20"/>
        </w:rPr>
      </w:pPr>
    </w:p>
    <w:p w14:paraId="265F9388" w14:textId="77777777" w:rsidR="00D1587D" w:rsidRDefault="00410D07">
      <w:pPr>
        <w:spacing w:line="277" w:lineRule="auto"/>
        <w:ind w:left="300" w:right="399"/>
        <w:rPr>
          <w:sz w:val="20"/>
          <w:szCs w:val="20"/>
        </w:rPr>
      </w:pPr>
      <w:r>
        <w:rPr>
          <w:rFonts w:ascii="Arial" w:eastAsia="Arial" w:hAnsi="Arial" w:cs="Arial"/>
          <w:sz w:val="18"/>
          <w:szCs w:val="18"/>
        </w:rPr>
        <w:t>Due to the seasonal variations in the retail industry, the results of operations for the interim period is not necessarily indicative of the results expected for the fu</w:t>
      </w:r>
      <w:r>
        <w:rPr>
          <w:rFonts w:ascii="Arial" w:eastAsia="Arial" w:hAnsi="Arial" w:cs="Arial"/>
          <w:sz w:val="18"/>
          <w:szCs w:val="18"/>
        </w:rPr>
        <w:t>ll fiscal year.</w:t>
      </w:r>
    </w:p>
    <w:p w14:paraId="3BAB7D62" w14:textId="77777777" w:rsidR="00D1587D" w:rsidRDefault="00D1587D">
      <w:pPr>
        <w:spacing w:line="170" w:lineRule="exact"/>
        <w:rPr>
          <w:sz w:val="20"/>
          <w:szCs w:val="20"/>
        </w:rPr>
      </w:pPr>
    </w:p>
    <w:p w14:paraId="3CF5DC30" w14:textId="77777777" w:rsidR="00D1587D" w:rsidRDefault="00410D07">
      <w:pPr>
        <w:ind w:left="300"/>
        <w:rPr>
          <w:sz w:val="20"/>
          <w:szCs w:val="20"/>
        </w:rPr>
      </w:pPr>
      <w:r>
        <w:rPr>
          <w:rFonts w:ascii="Arial" w:eastAsia="Arial" w:hAnsi="Arial" w:cs="Arial"/>
          <w:b/>
          <w:bCs/>
          <w:i/>
          <w:iCs/>
          <w:sz w:val="18"/>
          <w:szCs w:val="18"/>
        </w:rPr>
        <w:t>Impacts of COVID-19</w:t>
      </w:r>
    </w:p>
    <w:p w14:paraId="3F0CF122" w14:textId="77777777" w:rsidR="00D1587D" w:rsidRDefault="00D1587D">
      <w:pPr>
        <w:spacing w:line="117" w:lineRule="exact"/>
        <w:rPr>
          <w:sz w:val="20"/>
          <w:szCs w:val="20"/>
        </w:rPr>
      </w:pPr>
    </w:p>
    <w:p w14:paraId="6E8B7B11" w14:textId="77777777" w:rsidR="00D1587D" w:rsidRDefault="00410D07">
      <w:pPr>
        <w:spacing w:line="296" w:lineRule="auto"/>
        <w:ind w:left="300" w:right="319"/>
        <w:rPr>
          <w:sz w:val="20"/>
          <w:szCs w:val="20"/>
        </w:rPr>
      </w:pPr>
      <w:r>
        <w:rPr>
          <w:rFonts w:ascii="Arial" w:eastAsia="Arial" w:hAnsi="Arial" w:cs="Arial"/>
          <w:sz w:val="16"/>
          <w:szCs w:val="16"/>
        </w:rPr>
        <w:t xml:space="preserve">The coronavirus pandemic (“COVID-19”) has created significant public health concerns as well as economic disruption, uncertainty and volatility. The Company’s operations and financial performance have been </w:t>
      </w:r>
      <w:r>
        <w:rPr>
          <w:rFonts w:ascii="Arial" w:eastAsia="Arial" w:hAnsi="Arial" w:cs="Arial"/>
          <w:sz w:val="16"/>
          <w:szCs w:val="16"/>
        </w:rPr>
        <w:t xml:space="preserve">materially impacted by the COVID-19 pandemic. In the first quarter of 2020, all of the Company’s stores in North America were closed on March 17, 2020 and almost all remained closed throughout the remainder of the first quarter of 2020. Operations for the </w:t>
      </w:r>
      <w:r>
        <w:rPr>
          <w:rFonts w:ascii="Arial" w:eastAsia="Arial" w:hAnsi="Arial" w:cs="Arial"/>
          <w:sz w:val="16"/>
          <w:szCs w:val="16"/>
        </w:rPr>
        <w:t>direct business were temporarily suspended for approximately one week in late March 2020.</w:t>
      </w:r>
    </w:p>
    <w:p w14:paraId="77FD3395" w14:textId="77777777" w:rsidR="00D1587D" w:rsidRDefault="00D1587D">
      <w:pPr>
        <w:spacing w:line="53" w:lineRule="exact"/>
        <w:rPr>
          <w:sz w:val="20"/>
          <w:szCs w:val="20"/>
        </w:rPr>
      </w:pPr>
    </w:p>
    <w:p w14:paraId="47B0D76F" w14:textId="77777777" w:rsidR="00D1587D" w:rsidRDefault="00410D07">
      <w:pPr>
        <w:spacing w:line="272" w:lineRule="auto"/>
        <w:ind w:left="300" w:right="359"/>
        <w:rPr>
          <w:sz w:val="20"/>
          <w:szCs w:val="20"/>
        </w:rPr>
      </w:pPr>
      <w:r>
        <w:rPr>
          <w:rFonts w:ascii="Arial" w:eastAsia="Arial" w:hAnsi="Arial" w:cs="Arial"/>
          <w:sz w:val="17"/>
          <w:szCs w:val="17"/>
        </w:rPr>
        <w:t>The Company has adopted new operating models focused on providing a safe environment for its customers and associates, while also delivering an engaging shopping exp</w:t>
      </w:r>
      <w:r>
        <w:rPr>
          <w:rFonts w:ascii="Arial" w:eastAsia="Arial" w:hAnsi="Arial" w:cs="Arial"/>
          <w:sz w:val="17"/>
          <w:szCs w:val="17"/>
        </w:rPr>
        <w:t>erience. The Company remains focused on the safe operations of its distribution, fulfillment and call centers while maximizing its direct business. Government stimulus payments and the relaxation of pandemic-related restrictions have positively impacted de</w:t>
      </w:r>
      <w:r>
        <w:rPr>
          <w:rFonts w:ascii="Arial" w:eastAsia="Arial" w:hAnsi="Arial" w:cs="Arial"/>
          <w:sz w:val="17"/>
          <w:szCs w:val="17"/>
        </w:rPr>
        <w:t>mand for the Company’s products during the first quarter of 2021. There remains the potential for COVID-related risks of closure or operating restrictions should the pandemic persist or worsen, which could materially impact the Company’s operations and fin</w:t>
      </w:r>
      <w:r>
        <w:rPr>
          <w:rFonts w:ascii="Arial" w:eastAsia="Arial" w:hAnsi="Arial" w:cs="Arial"/>
          <w:sz w:val="17"/>
          <w:szCs w:val="17"/>
        </w:rPr>
        <w:t>ancial performance in future periods.</w:t>
      </w:r>
    </w:p>
    <w:p w14:paraId="6645A459" w14:textId="77777777" w:rsidR="00D1587D" w:rsidRDefault="00D1587D">
      <w:pPr>
        <w:spacing w:line="177" w:lineRule="exact"/>
        <w:rPr>
          <w:sz w:val="20"/>
          <w:szCs w:val="20"/>
        </w:rPr>
      </w:pPr>
    </w:p>
    <w:p w14:paraId="18BEE12C" w14:textId="77777777" w:rsidR="00D1587D" w:rsidRDefault="00410D07">
      <w:pPr>
        <w:ind w:left="300"/>
        <w:rPr>
          <w:sz w:val="20"/>
          <w:szCs w:val="20"/>
        </w:rPr>
      </w:pPr>
      <w:r>
        <w:rPr>
          <w:rFonts w:ascii="Arial" w:eastAsia="Arial" w:hAnsi="Arial" w:cs="Arial"/>
          <w:b/>
          <w:bCs/>
          <w:i/>
          <w:iCs/>
          <w:sz w:val="18"/>
          <w:szCs w:val="18"/>
        </w:rPr>
        <w:t>Concentration of Credit Risk</w:t>
      </w:r>
    </w:p>
    <w:p w14:paraId="6DD10B9B" w14:textId="77777777" w:rsidR="00D1587D" w:rsidRDefault="00D1587D">
      <w:pPr>
        <w:spacing w:line="117" w:lineRule="exact"/>
        <w:rPr>
          <w:sz w:val="20"/>
          <w:szCs w:val="20"/>
        </w:rPr>
      </w:pPr>
    </w:p>
    <w:p w14:paraId="07B7231C" w14:textId="77777777" w:rsidR="00D1587D" w:rsidRDefault="00410D07">
      <w:pPr>
        <w:spacing w:line="286" w:lineRule="auto"/>
        <w:ind w:left="300" w:right="319"/>
        <w:rPr>
          <w:sz w:val="20"/>
          <w:szCs w:val="20"/>
        </w:rPr>
      </w:pPr>
      <w:r>
        <w:rPr>
          <w:rFonts w:ascii="Arial" w:eastAsia="Arial" w:hAnsi="Arial" w:cs="Arial"/>
          <w:sz w:val="17"/>
          <w:szCs w:val="17"/>
        </w:rPr>
        <w:t>The Company maintains cash and cash equivalents and derivative contracts with various major financial institutions. L Brands, on behalf of the Company, monitors the relative credit standi</w:t>
      </w:r>
      <w:r>
        <w:rPr>
          <w:rFonts w:ascii="Arial" w:eastAsia="Arial" w:hAnsi="Arial" w:cs="Arial"/>
          <w:sz w:val="17"/>
          <w:szCs w:val="17"/>
        </w:rPr>
        <w:t>ng of financial institutions with whom the Company transacts and limits the amount of credit exposure with any one entity.</w:t>
      </w:r>
    </w:p>
    <w:p w14:paraId="17CAAEEF" w14:textId="77777777" w:rsidR="00D1587D" w:rsidRDefault="00D1587D">
      <w:pPr>
        <w:spacing w:line="57" w:lineRule="exact"/>
        <w:rPr>
          <w:sz w:val="20"/>
          <w:szCs w:val="20"/>
        </w:rPr>
      </w:pPr>
    </w:p>
    <w:p w14:paraId="55A5BE6C" w14:textId="77777777" w:rsidR="00D1587D" w:rsidRDefault="00410D07">
      <w:pPr>
        <w:spacing w:line="301" w:lineRule="auto"/>
        <w:ind w:left="300" w:right="419"/>
        <w:rPr>
          <w:sz w:val="20"/>
          <w:szCs w:val="20"/>
        </w:rPr>
      </w:pPr>
      <w:r>
        <w:rPr>
          <w:rFonts w:ascii="Arial" w:eastAsia="Arial" w:hAnsi="Arial" w:cs="Arial"/>
          <w:sz w:val="16"/>
          <w:szCs w:val="16"/>
        </w:rPr>
        <w:t>The Company also periodically reviews the relative credit standing of franchise, license and wholesale partners and other entities t</w:t>
      </w:r>
      <w:r>
        <w:rPr>
          <w:rFonts w:ascii="Arial" w:eastAsia="Arial" w:hAnsi="Arial" w:cs="Arial"/>
          <w:sz w:val="16"/>
          <w:szCs w:val="16"/>
        </w:rPr>
        <w:t>o which the Company grants credit terms in the normal course of business. The Company determines the required allowance for expected credit losses using information such as customer credit history and financial condition. Amounts are recorded to the allowa</w:t>
      </w:r>
      <w:r>
        <w:rPr>
          <w:rFonts w:ascii="Arial" w:eastAsia="Arial" w:hAnsi="Arial" w:cs="Arial"/>
          <w:sz w:val="16"/>
          <w:szCs w:val="16"/>
        </w:rPr>
        <w:t>nce when it is determined that expected credit losses may occur.</w:t>
      </w:r>
    </w:p>
    <w:p w14:paraId="52870688" w14:textId="77777777" w:rsidR="00D1587D" w:rsidRDefault="00D1587D">
      <w:pPr>
        <w:spacing w:line="157" w:lineRule="exact"/>
        <w:rPr>
          <w:sz w:val="20"/>
          <w:szCs w:val="20"/>
        </w:rPr>
      </w:pPr>
    </w:p>
    <w:p w14:paraId="21126C52" w14:textId="77777777" w:rsidR="00D1587D" w:rsidRDefault="00410D07">
      <w:pPr>
        <w:ind w:left="300"/>
        <w:rPr>
          <w:sz w:val="20"/>
          <w:szCs w:val="20"/>
        </w:rPr>
      </w:pPr>
      <w:r>
        <w:rPr>
          <w:rFonts w:ascii="Arial" w:eastAsia="Arial" w:hAnsi="Arial" w:cs="Arial"/>
          <w:b/>
          <w:bCs/>
          <w:i/>
          <w:iCs/>
          <w:sz w:val="18"/>
          <w:szCs w:val="18"/>
        </w:rPr>
        <w:t>Equity Method Investments</w:t>
      </w:r>
    </w:p>
    <w:p w14:paraId="5AD24241" w14:textId="77777777" w:rsidR="00D1587D" w:rsidRDefault="00D1587D">
      <w:pPr>
        <w:spacing w:line="117" w:lineRule="exact"/>
        <w:rPr>
          <w:sz w:val="20"/>
          <w:szCs w:val="20"/>
        </w:rPr>
      </w:pPr>
    </w:p>
    <w:p w14:paraId="4F44A7DB" w14:textId="77777777" w:rsidR="00D1587D" w:rsidRDefault="00410D07">
      <w:pPr>
        <w:spacing w:line="283" w:lineRule="auto"/>
        <w:ind w:left="300" w:right="319"/>
        <w:rPr>
          <w:sz w:val="20"/>
          <w:szCs w:val="20"/>
        </w:rPr>
      </w:pPr>
      <w:r>
        <w:rPr>
          <w:rFonts w:ascii="Arial" w:eastAsia="Arial" w:hAnsi="Arial" w:cs="Arial"/>
          <w:sz w:val="16"/>
          <w:szCs w:val="16"/>
        </w:rPr>
        <w:t>The Company accounts for investments in unconsolidated entities where it exercises significant influence, but does not have control, using the equity method. Under</w:t>
      </w:r>
      <w:r>
        <w:rPr>
          <w:rFonts w:ascii="Arial" w:eastAsia="Arial" w:hAnsi="Arial" w:cs="Arial"/>
          <w:sz w:val="16"/>
          <w:szCs w:val="16"/>
        </w:rPr>
        <w:t xml:space="preserve"> the equity method of accounting, the Company recognizes its share of the investee’s net income or loss. Losses are only recognized to the extent the Company has positive carrying value related to the investee. Carrying values are only reduced below zero i</w:t>
      </w:r>
      <w:r>
        <w:rPr>
          <w:rFonts w:ascii="Arial" w:eastAsia="Arial" w:hAnsi="Arial" w:cs="Arial"/>
          <w:sz w:val="16"/>
          <w:szCs w:val="16"/>
        </w:rPr>
        <w:t>f the Company has an obligation to provide funding to the investee. The Company’s share of net income or loss of unconsolidated entities from which the Company purchases merchandise or merchandise components is included in Costs of Goods Sold, Buying and O</w:t>
      </w:r>
      <w:r>
        <w:rPr>
          <w:rFonts w:ascii="Arial" w:eastAsia="Arial" w:hAnsi="Arial" w:cs="Arial"/>
          <w:sz w:val="16"/>
          <w:szCs w:val="16"/>
        </w:rPr>
        <w:t>ccupancy in the Combined Statements of Income (Loss). The Company’s share of net income or loss from its investment in the Victoria’s Secret U.K. joint venture is included in General, Administrative and Store Operating Expenses in the Combined Statements o</w:t>
      </w:r>
      <w:r>
        <w:rPr>
          <w:rFonts w:ascii="Arial" w:eastAsia="Arial" w:hAnsi="Arial" w:cs="Arial"/>
          <w:sz w:val="16"/>
          <w:szCs w:val="16"/>
        </w:rPr>
        <w:t>f Income (Loss). The Company’s equity method investments are required to be reviewed for impairment when it is determined there may be an other-than-temporary loss in value. The carrying values of equity method investments were $32 million as of May 1, 202</w:t>
      </w:r>
      <w:r>
        <w:rPr>
          <w:rFonts w:ascii="Arial" w:eastAsia="Arial" w:hAnsi="Arial" w:cs="Arial"/>
          <w:sz w:val="16"/>
          <w:szCs w:val="16"/>
        </w:rPr>
        <w:t>1, $35 million January 30, 2021 and</w:t>
      </w:r>
    </w:p>
    <w:p w14:paraId="17E85A26" w14:textId="77777777" w:rsidR="00D1587D" w:rsidRDefault="00D1587D">
      <w:pPr>
        <w:spacing w:line="4" w:lineRule="exact"/>
        <w:rPr>
          <w:sz w:val="20"/>
          <w:szCs w:val="20"/>
        </w:rPr>
      </w:pPr>
    </w:p>
    <w:p w14:paraId="47D71243" w14:textId="77777777" w:rsidR="00D1587D" w:rsidRDefault="00410D07">
      <w:pPr>
        <w:ind w:left="300"/>
        <w:rPr>
          <w:sz w:val="20"/>
          <w:szCs w:val="20"/>
        </w:rPr>
      </w:pPr>
      <w:r>
        <w:rPr>
          <w:rFonts w:ascii="Arial" w:eastAsia="Arial" w:hAnsi="Arial" w:cs="Arial"/>
          <w:sz w:val="16"/>
          <w:szCs w:val="16"/>
        </w:rPr>
        <w:t>$36 million as of May 2, 2020. These investments are recorded in Other Assets on the Combined Balance Sheets.</w:t>
      </w:r>
    </w:p>
    <w:p w14:paraId="20E45F7F" w14:textId="77777777" w:rsidR="00D1587D" w:rsidRDefault="00D1587D">
      <w:pPr>
        <w:spacing w:line="234" w:lineRule="exact"/>
        <w:rPr>
          <w:sz w:val="20"/>
          <w:szCs w:val="20"/>
        </w:rPr>
      </w:pPr>
    </w:p>
    <w:p w14:paraId="743045BA" w14:textId="77777777" w:rsidR="00D1587D" w:rsidRDefault="00410D07">
      <w:pPr>
        <w:ind w:left="300"/>
        <w:rPr>
          <w:sz w:val="20"/>
          <w:szCs w:val="20"/>
        </w:rPr>
      </w:pPr>
      <w:r>
        <w:rPr>
          <w:rFonts w:ascii="Arial" w:eastAsia="Arial" w:hAnsi="Arial" w:cs="Arial"/>
          <w:b/>
          <w:bCs/>
          <w:i/>
          <w:iCs/>
          <w:sz w:val="18"/>
          <w:szCs w:val="18"/>
        </w:rPr>
        <w:t>Net Investment by L Brands, Inc.</w:t>
      </w:r>
    </w:p>
    <w:p w14:paraId="7AEFF26B" w14:textId="77777777" w:rsidR="00D1587D" w:rsidRDefault="00D1587D">
      <w:pPr>
        <w:spacing w:line="117" w:lineRule="exact"/>
        <w:rPr>
          <w:sz w:val="20"/>
          <w:szCs w:val="20"/>
        </w:rPr>
      </w:pPr>
    </w:p>
    <w:p w14:paraId="6233EAD4" w14:textId="77777777" w:rsidR="00D1587D" w:rsidRDefault="00410D07">
      <w:pPr>
        <w:spacing w:line="257" w:lineRule="auto"/>
        <w:ind w:left="300" w:right="539"/>
        <w:rPr>
          <w:sz w:val="20"/>
          <w:szCs w:val="20"/>
        </w:rPr>
      </w:pPr>
      <w:r>
        <w:rPr>
          <w:rFonts w:ascii="Arial" w:eastAsia="Arial" w:hAnsi="Arial" w:cs="Arial"/>
          <w:sz w:val="18"/>
          <w:szCs w:val="18"/>
        </w:rPr>
        <w:t xml:space="preserve">Net investment by L Brands, Inc. in the Combined Balance Sheets is </w:t>
      </w:r>
      <w:r>
        <w:rPr>
          <w:rFonts w:ascii="Arial" w:eastAsia="Arial" w:hAnsi="Arial" w:cs="Arial"/>
          <w:sz w:val="18"/>
          <w:szCs w:val="18"/>
        </w:rPr>
        <w:t>presented in lieu of shareholders’ equity and represents L Brands’ historical investment in the Company, the accumulated net earnings after taxes and the net effect of the transactions with and allocations from L Brands. All transactions reflected in Net I</w:t>
      </w:r>
      <w:r>
        <w:rPr>
          <w:rFonts w:ascii="Arial" w:eastAsia="Arial" w:hAnsi="Arial" w:cs="Arial"/>
          <w:sz w:val="18"/>
          <w:szCs w:val="18"/>
        </w:rPr>
        <w:t>nvestment by L Brands, Inc. in the accompanying Combined Balance Sheets have been considered as financing activities for purposes of the Combined Statements of Cash Flows.</w:t>
      </w:r>
    </w:p>
    <w:p w14:paraId="7CC4BFDF" w14:textId="77777777" w:rsidR="00D1587D" w:rsidRDefault="00D1587D">
      <w:pPr>
        <w:spacing w:line="120" w:lineRule="exact"/>
        <w:rPr>
          <w:sz w:val="20"/>
          <w:szCs w:val="20"/>
        </w:rPr>
      </w:pPr>
    </w:p>
    <w:p w14:paraId="2301CDB1" w14:textId="77777777" w:rsidR="00D1587D" w:rsidRDefault="00410D07">
      <w:pPr>
        <w:ind w:left="300"/>
        <w:rPr>
          <w:sz w:val="20"/>
          <w:szCs w:val="20"/>
        </w:rPr>
      </w:pPr>
      <w:r>
        <w:rPr>
          <w:rFonts w:ascii="Arial" w:eastAsia="Arial" w:hAnsi="Arial" w:cs="Arial"/>
          <w:sz w:val="17"/>
          <w:szCs w:val="17"/>
        </w:rPr>
        <w:t>For additional information, see Basis of Presentation above and Note 2, “Transactio</w:t>
      </w:r>
      <w:r>
        <w:rPr>
          <w:rFonts w:ascii="Arial" w:eastAsia="Arial" w:hAnsi="Arial" w:cs="Arial"/>
          <w:sz w:val="17"/>
          <w:szCs w:val="17"/>
        </w:rPr>
        <w:t>ns with Related Parties.”</w:t>
      </w:r>
    </w:p>
    <w:p w14:paraId="173CC68F" w14:textId="77777777" w:rsidR="00D1587D" w:rsidRDefault="00D1587D">
      <w:pPr>
        <w:spacing w:line="237" w:lineRule="exact"/>
        <w:rPr>
          <w:sz w:val="20"/>
          <w:szCs w:val="20"/>
        </w:rPr>
      </w:pPr>
    </w:p>
    <w:p w14:paraId="119A2BD3" w14:textId="77777777" w:rsidR="00D1587D" w:rsidRDefault="00410D07">
      <w:pPr>
        <w:ind w:left="300"/>
        <w:rPr>
          <w:sz w:val="20"/>
          <w:szCs w:val="20"/>
        </w:rPr>
      </w:pPr>
      <w:r>
        <w:rPr>
          <w:rFonts w:ascii="Arial" w:eastAsia="Arial" w:hAnsi="Arial" w:cs="Arial"/>
          <w:b/>
          <w:bCs/>
          <w:i/>
          <w:iCs/>
          <w:sz w:val="18"/>
          <w:szCs w:val="18"/>
        </w:rPr>
        <w:t>Derivative Financial Instruments</w:t>
      </w:r>
    </w:p>
    <w:p w14:paraId="62900941" w14:textId="77777777" w:rsidR="00D1587D" w:rsidRDefault="00D1587D">
      <w:pPr>
        <w:spacing w:line="117" w:lineRule="exact"/>
        <w:rPr>
          <w:sz w:val="20"/>
          <w:szCs w:val="20"/>
        </w:rPr>
      </w:pPr>
    </w:p>
    <w:p w14:paraId="4ABFE704" w14:textId="77777777" w:rsidR="00D1587D" w:rsidRDefault="00410D07">
      <w:pPr>
        <w:ind w:left="300"/>
        <w:rPr>
          <w:sz w:val="20"/>
          <w:szCs w:val="20"/>
        </w:rPr>
      </w:pPr>
      <w:r>
        <w:rPr>
          <w:rFonts w:ascii="Arial" w:eastAsia="Arial" w:hAnsi="Arial" w:cs="Arial"/>
          <w:sz w:val="17"/>
          <w:szCs w:val="17"/>
        </w:rPr>
        <w:t>The Company uses derivative financial instruments to manage exposure to foreign currency exchange rates.</w:t>
      </w:r>
    </w:p>
    <w:p w14:paraId="3F0E6D94" w14:textId="77777777" w:rsidR="00D1587D" w:rsidRDefault="00D1587D">
      <w:pPr>
        <w:spacing w:line="35" w:lineRule="exact"/>
        <w:rPr>
          <w:sz w:val="20"/>
          <w:szCs w:val="20"/>
        </w:rPr>
      </w:pPr>
    </w:p>
    <w:p w14:paraId="278E9A8A" w14:textId="77777777" w:rsidR="00D1587D" w:rsidRDefault="00410D07">
      <w:pPr>
        <w:spacing w:line="260" w:lineRule="auto"/>
        <w:ind w:left="300" w:right="499"/>
        <w:rPr>
          <w:sz w:val="20"/>
          <w:szCs w:val="20"/>
        </w:rPr>
      </w:pPr>
      <w:r>
        <w:rPr>
          <w:rFonts w:ascii="Arial" w:eastAsia="Arial" w:hAnsi="Arial" w:cs="Arial"/>
          <w:sz w:val="18"/>
          <w:szCs w:val="18"/>
        </w:rPr>
        <w:t>The Company does not use derivative instruments for trading purposes. All derivative inst</w:t>
      </w:r>
      <w:r>
        <w:rPr>
          <w:rFonts w:ascii="Arial" w:eastAsia="Arial" w:hAnsi="Arial" w:cs="Arial"/>
          <w:sz w:val="18"/>
          <w:szCs w:val="18"/>
        </w:rPr>
        <w:t>ruments are recorded on the Combined Balance Sheets at fair value.</w:t>
      </w:r>
    </w:p>
    <w:p w14:paraId="24CB5675" w14:textId="77777777" w:rsidR="00D1587D" w:rsidRDefault="00D1587D">
      <w:pPr>
        <w:spacing w:line="185" w:lineRule="exact"/>
        <w:rPr>
          <w:sz w:val="20"/>
          <w:szCs w:val="20"/>
        </w:rPr>
      </w:pPr>
    </w:p>
    <w:p w14:paraId="27C0946E" w14:textId="77777777" w:rsidR="00D1587D" w:rsidRDefault="00410D07">
      <w:pPr>
        <w:ind w:right="19"/>
        <w:jc w:val="center"/>
        <w:rPr>
          <w:sz w:val="20"/>
          <w:szCs w:val="20"/>
        </w:rPr>
      </w:pPr>
      <w:r>
        <w:rPr>
          <w:rFonts w:ascii="Arial" w:eastAsia="Arial" w:hAnsi="Arial" w:cs="Arial"/>
          <w:sz w:val="18"/>
          <w:szCs w:val="18"/>
        </w:rPr>
        <w:t>F-35</w:t>
      </w:r>
    </w:p>
    <w:p w14:paraId="220B1635" w14:textId="77777777" w:rsidR="00D1587D" w:rsidRDefault="00410D07">
      <w:pPr>
        <w:spacing w:line="20" w:lineRule="exact"/>
        <w:rPr>
          <w:sz w:val="20"/>
          <w:szCs w:val="20"/>
        </w:rPr>
      </w:pPr>
      <w:r>
        <w:rPr>
          <w:noProof/>
          <w:sz w:val="20"/>
          <w:szCs w:val="20"/>
        </w:rPr>
        <w:drawing>
          <wp:anchor distT="0" distB="0" distL="114300" distR="114300" simplePos="0" relativeHeight="252164096" behindDoc="1" locked="0" layoutInCell="0" allowOverlap="1" wp14:anchorId="31D3C900" wp14:editId="24D2D985">
            <wp:simplePos x="0" y="0"/>
            <wp:positionH relativeFrom="column">
              <wp:posOffset>-636905</wp:posOffset>
            </wp:positionH>
            <wp:positionV relativeFrom="paragraph">
              <wp:posOffset>126365</wp:posOffset>
            </wp:positionV>
            <wp:extent cx="6995160" cy="17145"/>
            <wp:effectExtent l="0" t="0" r="0" b="0"/>
            <wp:wrapNone/>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E5FA55B" w14:textId="77777777" w:rsidR="00D1587D" w:rsidRDefault="00D1587D">
      <w:pPr>
        <w:sectPr w:rsidR="00D1587D">
          <w:pgSz w:w="11900" w:h="16838"/>
          <w:pgMar w:top="265" w:right="1440" w:bottom="1440" w:left="1440" w:header="0" w:footer="0" w:gutter="0"/>
          <w:cols w:space="720" w:equalWidth="0">
            <w:col w:w="9019"/>
          </w:cols>
        </w:sectPr>
      </w:pPr>
    </w:p>
    <w:bookmarkStart w:id="431" w:name="page432"/>
    <w:bookmarkEnd w:id="431"/>
    <w:p w14:paraId="56574D14"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6E34DADE" w14:textId="77777777" w:rsidR="00D1587D" w:rsidRDefault="00D1587D">
      <w:pPr>
        <w:spacing w:line="131" w:lineRule="exact"/>
        <w:rPr>
          <w:sz w:val="20"/>
          <w:szCs w:val="20"/>
        </w:rPr>
      </w:pPr>
    </w:p>
    <w:p w14:paraId="7CBD7859" w14:textId="77777777" w:rsidR="00D1587D" w:rsidRDefault="00410D07">
      <w:pPr>
        <w:spacing w:line="254" w:lineRule="auto"/>
        <w:ind w:left="300" w:right="419"/>
        <w:rPr>
          <w:sz w:val="20"/>
          <w:szCs w:val="20"/>
        </w:rPr>
      </w:pPr>
      <w:r>
        <w:rPr>
          <w:rFonts w:ascii="Arial" w:eastAsia="Arial" w:hAnsi="Arial" w:cs="Arial"/>
          <w:sz w:val="18"/>
          <w:szCs w:val="18"/>
        </w:rPr>
        <w:t>The earnings of the Company’s foreign operations are subject to exchange rate risk as substantially all the merchand</w:t>
      </w:r>
      <w:r>
        <w:rPr>
          <w:rFonts w:ascii="Arial" w:eastAsia="Arial" w:hAnsi="Arial" w:cs="Arial"/>
          <w:sz w:val="18"/>
          <w:szCs w:val="18"/>
        </w:rPr>
        <w:t>ise is sourced through U.S. dollar transactions. The Company uses foreign currency forward contracts designated as cash flow hedges to mitigate this foreign currency exposure for its Canadian operations. Amounts are reclassified from accumulated other comp</w:t>
      </w:r>
      <w:r>
        <w:rPr>
          <w:rFonts w:ascii="Arial" w:eastAsia="Arial" w:hAnsi="Arial" w:cs="Arial"/>
          <w:sz w:val="18"/>
          <w:szCs w:val="18"/>
        </w:rPr>
        <w:t>rehensive income (loss) upon sale of the hedged merchandise to the customer. These gains and losses are recognized in Costs of Goods Sold, Buying and Occupancy in the Combined Statements of Income (Loss). The fair value of designated cash flow hedges is no</w:t>
      </w:r>
      <w:r>
        <w:rPr>
          <w:rFonts w:ascii="Arial" w:eastAsia="Arial" w:hAnsi="Arial" w:cs="Arial"/>
          <w:sz w:val="18"/>
          <w:szCs w:val="18"/>
        </w:rPr>
        <w:t>t significant for any period presented.</w:t>
      </w:r>
    </w:p>
    <w:p w14:paraId="0BBED85C" w14:textId="77777777" w:rsidR="00D1587D" w:rsidRDefault="00D1587D">
      <w:pPr>
        <w:spacing w:line="87" w:lineRule="exact"/>
        <w:rPr>
          <w:sz w:val="20"/>
          <w:szCs w:val="20"/>
        </w:rPr>
      </w:pPr>
    </w:p>
    <w:p w14:paraId="337EF5CC" w14:textId="77777777" w:rsidR="00D1587D" w:rsidRDefault="00410D07">
      <w:pPr>
        <w:spacing w:line="301" w:lineRule="auto"/>
        <w:ind w:left="300" w:right="379"/>
        <w:rPr>
          <w:sz w:val="20"/>
          <w:szCs w:val="20"/>
        </w:rPr>
      </w:pPr>
      <w:r>
        <w:rPr>
          <w:rFonts w:ascii="Arial" w:eastAsia="Arial" w:hAnsi="Arial" w:cs="Arial"/>
          <w:sz w:val="16"/>
          <w:szCs w:val="16"/>
        </w:rPr>
        <w:t xml:space="preserve">The Company does not enter into any derivative contracts. However, L Brands, Inc., through its centralized treasury function, currently enters into derivative financial instruments with external </w:t>
      </w:r>
      <w:r>
        <w:rPr>
          <w:rFonts w:ascii="Arial" w:eastAsia="Arial" w:hAnsi="Arial" w:cs="Arial"/>
          <w:sz w:val="16"/>
          <w:szCs w:val="16"/>
        </w:rPr>
        <w:t>counterparties to hedge certain foreign currency transactions with exposure to the Canadian dollar. The Company enters into offsetting internal contracts with L Brands, Inc. The maturities of the internal contracts range from one to eighteen months.</w:t>
      </w:r>
    </w:p>
    <w:p w14:paraId="28A86BAD" w14:textId="77777777" w:rsidR="00D1587D" w:rsidRDefault="00D1587D">
      <w:pPr>
        <w:spacing w:line="198" w:lineRule="exact"/>
        <w:rPr>
          <w:sz w:val="20"/>
          <w:szCs w:val="20"/>
        </w:rPr>
      </w:pPr>
    </w:p>
    <w:p w14:paraId="60379A25" w14:textId="77777777" w:rsidR="00D1587D" w:rsidRDefault="00410D07">
      <w:pPr>
        <w:ind w:left="300"/>
        <w:rPr>
          <w:sz w:val="20"/>
          <w:szCs w:val="20"/>
        </w:rPr>
      </w:pPr>
      <w:r>
        <w:rPr>
          <w:rFonts w:ascii="Arial" w:eastAsia="Arial" w:hAnsi="Arial" w:cs="Arial"/>
          <w:b/>
          <w:bCs/>
          <w:i/>
          <w:iCs/>
          <w:sz w:val="18"/>
          <w:szCs w:val="18"/>
        </w:rPr>
        <w:t>Use o</w:t>
      </w:r>
      <w:r>
        <w:rPr>
          <w:rFonts w:ascii="Arial" w:eastAsia="Arial" w:hAnsi="Arial" w:cs="Arial"/>
          <w:b/>
          <w:bCs/>
          <w:i/>
          <w:iCs/>
          <w:sz w:val="18"/>
          <w:szCs w:val="18"/>
        </w:rPr>
        <w:t>f Estimates in the Preparation of Financial Statements</w:t>
      </w:r>
    </w:p>
    <w:p w14:paraId="50217686" w14:textId="77777777" w:rsidR="00D1587D" w:rsidRDefault="00D1587D">
      <w:pPr>
        <w:spacing w:line="117" w:lineRule="exact"/>
        <w:rPr>
          <w:sz w:val="20"/>
          <w:szCs w:val="20"/>
        </w:rPr>
      </w:pPr>
    </w:p>
    <w:p w14:paraId="2ECCE0E7" w14:textId="77777777" w:rsidR="00D1587D" w:rsidRDefault="00410D07">
      <w:pPr>
        <w:spacing w:line="296" w:lineRule="auto"/>
        <w:ind w:left="300" w:right="539"/>
        <w:rPr>
          <w:sz w:val="20"/>
          <w:szCs w:val="20"/>
        </w:rPr>
      </w:pPr>
      <w:r>
        <w:rPr>
          <w:rFonts w:ascii="Arial" w:eastAsia="Arial" w:hAnsi="Arial" w:cs="Arial"/>
          <w:sz w:val="16"/>
          <w:szCs w:val="16"/>
        </w:rPr>
        <w:t>The preparation of financial statements in conformity with GAAP requires management to make estimates and assumptions that affect the reported amounts of assets and liabilities at the date of the fina</w:t>
      </w:r>
      <w:r>
        <w:rPr>
          <w:rFonts w:ascii="Arial" w:eastAsia="Arial" w:hAnsi="Arial" w:cs="Arial"/>
          <w:sz w:val="16"/>
          <w:szCs w:val="16"/>
        </w:rPr>
        <w:t xml:space="preserve">ncial statements and the reported amounts of revenues and expenses during the reporting period, as well as the related disclosure of contingent assets and liabilities at the date of the financial statements. Actual results may differ from those estimates, </w:t>
      </w:r>
      <w:r>
        <w:rPr>
          <w:rFonts w:ascii="Arial" w:eastAsia="Arial" w:hAnsi="Arial" w:cs="Arial"/>
          <w:sz w:val="16"/>
          <w:szCs w:val="16"/>
        </w:rPr>
        <w:t>and the Company revises its estimates and assumptions as new information becomes available.</w:t>
      </w:r>
    </w:p>
    <w:p w14:paraId="04DCB8D1" w14:textId="77777777" w:rsidR="00D1587D" w:rsidRDefault="00D1587D">
      <w:pPr>
        <w:spacing w:line="202" w:lineRule="exact"/>
        <w:rPr>
          <w:sz w:val="20"/>
          <w:szCs w:val="20"/>
        </w:rPr>
      </w:pPr>
    </w:p>
    <w:p w14:paraId="22AAD490" w14:textId="77777777" w:rsidR="00D1587D" w:rsidRDefault="00410D07">
      <w:pPr>
        <w:ind w:left="300"/>
        <w:rPr>
          <w:sz w:val="20"/>
          <w:szCs w:val="20"/>
        </w:rPr>
      </w:pPr>
      <w:r>
        <w:rPr>
          <w:rFonts w:ascii="Arial" w:eastAsia="Arial" w:hAnsi="Arial" w:cs="Arial"/>
          <w:b/>
          <w:bCs/>
          <w:i/>
          <w:iCs/>
          <w:sz w:val="18"/>
          <w:szCs w:val="18"/>
        </w:rPr>
        <w:t>Recently Issued Accounting Pronouncements</w:t>
      </w:r>
    </w:p>
    <w:p w14:paraId="0EA9595B" w14:textId="77777777" w:rsidR="00D1587D" w:rsidRDefault="00D1587D">
      <w:pPr>
        <w:spacing w:line="117" w:lineRule="exact"/>
        <w:rPr>
          <w:sz w:val="20"/>
          <w:szCs w:val="20"/>
        </w:rPr>
      </w:pPr>
    </w:p>
    <w:p w14:paraId="11D59EA6" w14:textId="77777777" w:rsidR="00D1587D" w:rsidRDefault="00410D07">
      <w:pPr>
        <w:spacing w:line="259" w:lineRule="auto"/>
        <w:ind w:left="300" w:right="299"/>
        <w:rPr>
          <w:sz w:val="20"/>
          <w:szCs w:val="20"/>
        </w:rPr>
      </w:pPr>
      <w:r>
        <w:rPr>
          <w:rFonts w:ascii="Arial" w:eastAsia="Arial" w:hAnsi="Arial" w:cs="Arial"/>
          <w:sz w:val="18"/>
          <w:szCs w:val="18"/>
        </w:rPr>
        <w:t>The Company did not adopt any new accounting standards during the first quarter of 2021 that had a material impact on th</w:t>
      </w:r>
      <w:r>
        <w:rPr>
          <w:rFonts w:ascii="Arial" w:eastAsia="Arial" w:hAnsi="Arial" w:cs="Arial"/>
          <w:sz w:val="18"/>
          <w:szCs w:val="18"/>
        </w:rPr>
        <w:t>e Company’s combined results of operations, financial position or cash flows. In addition, there are no new accounting standards not yet adopted that are expected to have a material impact on the Company’s combined results of operations, financial position</w:t>
      </w:r>
      <w:r>
        <w:rPr>
          <w:rFonts w:ascii="Arial" w:eastAsia="Arial" w:hAnsi="Arial" w:cs="Arial"/>
          <w:sz w:val="18"/>
          <w:szCs w:val="18"/>
        </w:rPr>
        <w:t xml:space="preserve"> or cash flows.</w:t>
      </w:r>
    </w:p>
    <w:p w14:paraId="4B340EAF" w14:textId="77777777" w:rsidR="00D1587D" w:rsidRDefault="00D1587D">
      <w:pPr>
        <w:spacing w:line="210" w:lineRule="exact"/>
        <w:rPr>
          <w:sz w:val="20"/>
          <w:szCs w:val="20"/>
        </w:rPr>
      </w:pPr>
    </w:p>
    <w:p w14:paraId="27243B3F" w14:textId="77777777" w:rsidR="00D1587D" w:rsidRDefault="00410D07">
      <w:pPr>
        <w:ind w:left="300"/>
        <w:rPr>
          <w:sz w:val="20"/>
          <w:szCs w:val="20"/>
        </w:rPr>
      </w:pPr>
      <w:r>
        <w:rPr>
          <w:rFonts w:ascii="Arial" w:eastAsia="Arial" w:hAnsi="Arial" w:cs="Arial"/>
          <w:b/>
          <w:bCs/>
          <w:sz w:val="18"/>
          <w:szCs w:val="18"/>
        </w:rPr>
        <w:t>2. Transactions with Related Parties</w:t>
      </w:r>
    </w:p>
    <w:p w14:paraId="3401BA67" w14:textId="77777777" w:rsidR="00D1587D" w:rsidRDefault="00D1587D">
      <w:pPr>
        <w:spacing w:line="121" w:lineRule="exact"/>
        <w:rPr>
          <w:sz w:val="20"/>
          <w:szCs w:val="20"/>
        </w:rPr>
      </w:pPr>
    </w:p>
    <w:p w14:paraId="4158C514" w14:textId="77777777" w:rsidR="00D1587D" w:rsidRDefault="00410D07">
      <w:pPr>
        <w:spacing w:line="263" w:lineRule="auto"/>
        <w:ind w:left="300" w:right="359"/>
        <w:jc w:val="both"/>
        <w:rPr>
          <w:sz w:val="20"/>
          <w:szCs w:val="20"/>
        </w:rPr>
      </w:pPr>
      <w:r>
        <w:rPr>
          <w:rFonts w:ascii="Arial" w:eastAsia="Arial" w:hAnsi="Arial" w:cs="Arial"/>
          <w:sz w:val="18"/>
          <w:szCs w:val="18"/>
        </w:rPr>
        <w:t>The combined financial statements have been prepared on a standalone basis and are derived from the consolidated financial statements and accounting records of L Brands. The following discussion summar</w:t>
      </w:r>
      <w:r>
        <w:rPr>
          <w:rFonts w:ascii="Arial" w:eastAsia="Arial" w:hAnsi="Arial" w:cs="Arial"/>
          <w:sz w:val="18"/>
          <w:szCs w:val="18"/>
        </w:rPr>
        <w:t>izes activity between the Company and L Brands.</w:t>
      </w:r>
    </w:p>
    <w:p w14:paraId="058D6AEF" w14:textId="77777777" w:rsidR="00D1587D" w:rsidRDefault="00D1587D">
      <w:pPr>
        <w:spacing w:line="224" w:lineRule="exact"/>
        <w:rPr>
          <w:sz w:val="20"/>
          <w:szCs w:val="20"/>
        </w:rPr>
      </w:pPr>
    </w:p>
    <w:p w14:paraId="1D4BFE0F" w14:textId="77777777" w:rsidR="00D1587D" w:rsidRDefault="00410D07">
      <w:pPr>
        <w:ind w:left="300"/>
        <w:rPr>
          <w:sz w:val="20"/>
          <w:szCs w:val="20"/>
        </w:rPr>
      </w:pPr>
      <w:r>
        <w:rPr>
          <w:rFonts w:ascii="Arial" w:eastAsia="Arial" w:hAnsi="Arial" w:cs="Arial"/>
          <w:b/>
          <w:bCs/>
          <w:i/>
          <w:iCs/>
          <w:sz w:val="18"/>
          <w:szCs w:val="18"/>
        </w:rPr>
        <w:t>Allocation of General Corporate Expenses</w:t>
      </w:r>
    </w:p>
    <w:p w14:paraId="075E57E0" w14:textId="77777777" w:rsidR="00D1587D" w:rsidRDefault="00D1587D">
      <w:pPr>
        <w:spacing w:line="117" w:lineRule="exact"/>
        <w:rPr>
          <w:sz w:val="20"/>
          <w:szCs w:val="20"/>
        </w:rPr>
      </w:pPr>
    </w:p>
    <w:p w14:paraId="495DD85C" w14:textId="77777777" w:rsidR="00D1587D" w:rsidRDefault="00410D07">
      <w:pPr>
        <w:spacing w:line="311" w:lineRule="auto"/>
        <w:ind w:left="300" w:right="319"/>
        <w:jc w:val="both"/>
        <w:rPr>
          <w:sz w:val="20"/>
          <w:szCs w:val="20"/>
        </w:rPr>
      </w:pPr>
      <w:r>
        <w:rPr>
          <w:rFonts w:ascii="Arial" w:eastAsia="Arial" w:hAnsi="Arial" w:cs="Arial"/>
          <w:sz w:val="16"/>
          <w:szCs w:val="16"/>
        </w:rPr>
        <w:t>For purposes of preparing these combined financial statements on a “carve-out” basis, we have allocated a portion of L Brands’ total corporate expenses to the Compan</w:t>
      </w:r>
      <w:r>
        <w:rPr>
          <w:rFonts w:ascii="Arial" w:eastAsia="Arial" w:hAnsi="Arial" w:cs="Arial"/>
          <w:sz w:val="16"/>
          <w:szCs w:val="16"/>
        </w:rPr>
        <w:t>y. See Note 1 for a discussion of the methodology used to allocate corporate-related costs for purposes of preparing these financial statements on a “carve-out” basis.</w:t>
      </w:r>
    </w:p>
    <w:p w14:paraId="30420CCD" w14:textId="77777777" w:rsidR="00D1587D" w:rsidRDefault="00D1587D">
      <w:pPr>
        <w:spacing w:line="189" w:lineRule="exact"/>
        <w:rPr>
          <w:sz w:val="20"/>
          <w:szCs w:val="20"/>
        </w:rPr>
      </w:pPr>
    </w:p>
    <w:p w14:paraId="70F1E3F8" w14:textId="77777777" w:rsidR="00D1587D" w:rsidRDefault="00410D07">
      <w:pPr>
        <w:ind w:left="300"/>
        <w:rPr>
          <w:sz w:val="20"/>
          <w:szCs w:val="20"/>
        </w:rPr>
      </w:pPr>
      <w:r>
        <w:rPr>
          <w:rFonts w:ascii="Arial" w:eastAsia="Arial" w:hAnsi="Arial" w:cs="Arial"/>
          <w:b/>
          <w:bCs/>
          <w:i/>
          <w:iCs/>
          <w:sz w:val="18"/>
          <w:szCs w:val="18"/>
        </w:rPr>
        <w:t>Due from and Due to Related Parties</w:t>
      </w:r>
    </w:p>
    <w:p w14:paraId="0AC39696" w14:textId="77777777" w:rsidR="00D1587D" w:rsidRDefault="00D1587D">
      <w:pPr>
        <w:spacing w:line="117" w:lineRule="exact"/>
        <w:rPr>
          <w:sz w:val="20"/>
          <w:szCs w:val="20"/>
        </w:rPr>
      </w:pPr>
    </w:p>
    <w:p w14:paraId="0C74A4C7" w14:textId="77777777" w:rsidR="00D1587D" w:rsidRDefault="00410D07">
      <w:pPr>
        <w:spacing w:line="257" w:lineRule="auto"/>
        <w:ind w:left="300" w:right="419"/>
        <w:rPr>
          <w:sz w:val="20"/>
          <w:szCs w:val="20"/>
        </w:rPr>
      </w:pPr>
      <w:r>
        <w:rPr>
          <w:rFonts w:ascii="Arial" w:eastAsia="Arial" w:hAnsi="Arial" w:cs="Arial"/>
          <w:sz w:val="18"/>
          <w:szCs w:val="18"/>
        </w:rPr>
        <w:t xml:space="preserve">Balances between the Company and L Brands, </w:t>
      </w:r>
      <w:r>
        <w:rPr>
          <w:rFonts w:ascii="Arial" w:eastAsia="Arial" w:hAnsi="Arial" w:cs="Arial"/>
          <w:sz w:val="18"/>
          <w:szCs w:val="18"/>
        </w:rPr>
        <w:t>Inc. or its affiliates that are derived from transactions that have been historically cash settled are reflected in the Combined Balance Sheet as Due from and Due to Related Parties. Balances between the Company and L Brands, Inc. or its affiliates derived</w:t>
      </w:r>
      <w:r>
        <w:rPr>
          <w:rFonts w:ascii="Arial" w:eastAsia="Arial" w:hAnsi="Arial" w:cs="Arial"/>
          <w:sz w:val="18"/>
          <w:szCs w:val="18"/>
        </w:rPr>
        <w:t xml:space="preserve"> from transactions that have been historically settled other than in cash are included in Net Investment by L Brands, Inc. within Equity on the Combined Balance Sheets.</w:t>
      </w:r>
    </w:p>
    <w:p w14:paraId="71E2272E" w14:textId="77777777" w:rsidR="00D1587D" w:rsidRDefault="00D1587D">
      <w:pPr>
        <w:spacing w:line="215" w:lineRule="exact"/>
        <w:rPr>
          <w:sz w:val="20"/>
          <w:szCs w:val="20"/>
        </w:rPr>
      </w:pPr>
    </w:p>
    <w:p w14:paraId="0C05F518" w14:textId="77777777" w:rsidR="00D1587D" w:rsidRDefault="00410D07">
      <w:pPr>
        <w:ind w:left="300"/>
        <w:rPr>
          <w:sz w:val="20"/>
          <w:szCs w:val="20"/>
        </w:rPr>
      </w:pPr>
      <w:r>
        <w:rPr>
          <w:rFonts w:ascii="Arial" w:eastAsia="Arial" w:hAnsi="Arial" w:cs="Arial"/>
          <w:b/>
          <w:bCs/>
          <w:i/>
          <w:iCs/>
          <w:sz w:val="18"/>
          <w:szCs w:val="18"/>
        </w:rPr>
        <w:t>Long-term Debt due to Related Party</w:t>
      </w:r>
    </w:p>
    <w:p w14:paraId="5B98440D" w14:textId="77777777" w:rsidR="00D1587D" w:rsidRDefault="00D1587D">
      <w:pPr>
        <w:spacing w:line="117" w:lineRule="exact"/>
        <w:rPr>
          <w:sz w:val="20"/>
          <w:szCs w:val="20"/>
        </w:rPr>
      </w:pPr>
    </w:p>
    <w:p w14:paraId="7B77989C" w14:textId="77777777" w:rsidR="00D1587D" w:rsidRDefault="00410D07">
      <w:pPr>
        <w:spacing w:line="259" w:lineRule="auto"/>
        <w:ind w:left="300" w:right="299"/>
        <w:rPr>
          <w:sz w:val="20"/>
          <w:szCs w:val="20"/>
        </w:rPr>
      </w:pPr>
      <w:r>
        <w:rPr>
          <w:rFonts w:ascii="Arial" w:eastAsia="Arial" w:hAnsi="Arial" w:cs="Arial"/>
          <w:sz w:val="18"/>
          <w:szCs w:val="18"/>
        </w:rPr>
        <w:t>During 2020, the Company borrowed $97 million fro</w:t>
      </w:r>
      <w:r>
        <w:rPr>
          <w:rFonts w:ascii="Arial" w:eastAsia="Arial" w:hAnsi="Arial" w:cs="Arial"/>
          <w:sz w:val="18"/>
          <w:szCs w:val="18"/>
        </w:rPr>
        <w:t>m L Brands to pay down outstanding debt with external parties. This borrowing is due in September 2025 and has a variable interest rate based on the China Loan Prime Rate, which was 3.85% as of May 1, 2021. The Company recognized $1 million of interest exp</w:t>
      </w:r>
      <w:r>
        <w:rPr>
          <w:rFonts w:ascii="Arial" w:eastAsia="Arial" w:hAnsi="Arial" w:cs="Arial"/>
          <w:sz w:val="18"/>
          <w:szCs w:val="18"/>
        </w:rPr>
        <w:t>ense in the first quarter of 2021 related to this borrowing.</w:t>
      </w:r>
    </w:p>
    <w:p w14:paraId="36269C79" w14:textId="77777777" w:rsidR="00D1587D" w:rsidRDefault="00D1587D">
      <w:pPr>
        <w:spacing w:line="187" w:lineRule="exact"/>
        <w:rPr>
          <w:sz w:val="20"/>
          <w:szCs w:val="20"/>
        </w:rPr>
      </w:pPr>
    </w:p>
    <w:p w14:paraId="024D94EB" w14:textId="77777777" w:rsidR="00D1587D" w:rsidRDefault="00410D07">
      <w:pPr>
        <w:jc w:val="center"/>
        <w:rPr>
          <w:sz w:val="20"/>
          <w:szCs w:val="20"/>
        </w:rPr>
      </w:pPr>
      <w:r>
        <w:rPr>
          <w:rFonts w:ascii="Arial" w:eastAsia="Arial" w:hAnsi="Arial" w:cs="Arial"/>
          <w:sz w:val="18"/>
          <w:szCs w:val="18"/>
        </w:rPr>
        <w:t>F-36</w:t>
      </w:r>
    </w:p>
    <w:p w14:paraId="7556AF5E" w14:textId="77777777" w:rsidR="00D1587D" w:rsidRDefault="00410D07">
      <w:pPr>
        <w:spacing w:line="20" w:lineRule="exact"/>
        <w:rPr>
          <w:sz w:val="20"/>
          <w:szCs w:val="20"/>
        </w:rPr>
      </w:pPr>
      <w:r>
        <w:rPr>
          <w:noProof/>
          <w:sz w:val="20"/>
          <w:szCs w:val="20"/>
        </w:rPr>
        <w:drawing>
          <wp:anchor distT="0" distB="0" distL="114300" distR="114300" simplePos="0" relativeHeight="252165120" behindDoc="1" locked="0" layoutInCell="0" allowOverlap="1" wp14:anchorId="47EF98F6" wp14:editId="4DCBE072">
            <wp:simplePos x="0" y="0"/>
            <wp:positionH relativeFrom="column">
              <wp:posOffset>-636905</wp:posOffset>
            </wp:positionH>
            <wp:positionV relativeFrom="paragraph">
              <wp:posOffset>134620</wp:posOffset>
            </wp:positionV>
            <wp:extent cx="6995160" cy="17145"/>
            <wp:effectExtent l="0" t="0" r="0" b="0"/>
            <wp:wrapNone/>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1992AB9B" w14:textId="77777777" w:rsidR="00D1587D" w:rsidRDefault="00D1587D">
      <w:pPr>
        <w:sectPr w:rsidR="00D1587D">
          <w:pgSz w:w="11900" w:h="16838"/>
          <w:pgMar w:top="265" w:right="1440" w:bottom="1440" w:left="1440" w:header="0" w:footer="0" w:gutter="0"/>
          <w:cols w:space="720" w:equalWidth="0">
            <w:col w:w="9019"/>
          </w:cols>
        </w:sectPr>
      </w:pPr>
    </w:p>
    <w:bookmarkStart w:id="432" w:name="page433"/>
    <w:bookmarkEnd w:id="432"/>
    <w:p w14:paraId="2ACE067E"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CDBD78E" w14:textId="77777777" w:rsidR="00D1587D" w:rsidRDefault="00D1587D">
      <w:pPr>
        <w:spacing w:line="131" w:lineRule="exact"/>
        <w:rPr>
          <w:sz w:val="20"/>
          <w:szCs w:val="20"/>
        </w:rPr>
      </w:pPr>
    </w:p>
    <w:p w14:paraId="58E93CE0" w14:textId="77777777" w:rsidR="00D1587D" w:rsidRDefault="00410D07">
      <w:pPr>
        <w:ind w:left="300"/>
        <w:rPr>
          <w:sz w:val="20"/>
          <w:szCs w:val="20"/>
        </w:rPr>
      </w:pPr>
      <w:r>
        <w:rPr>
          <w:rFonts w:ascii="Arial" w:eastAsia="Arial" w:hAnsi="Arial" w:cs="Arial"/>
          <w:b/>
          <w:bCs/>
          <w:i/>
          <w:iCs/>
          <w:sz w:val="18"/>
          <w:szCs w:val="18"/>
        </w:rPr>
        <w:t>Net Transfers From (to) L Brands, Inc.</w:t>
      </w:r>
    </w:p>
    <w:p w14:paraId="06D1327F" w14:textId="77777777" w:rsidR="00D1587D" w:rsidRDefault="00D1587D">
      <w:pPr>
        <w:spacing w:line="117" w:lineRule="exact"/>
        <w:rPr>
          <w:sz w:val="20"/>
          <w:szCs w:val="20"/>
        </w:rPr>
      </w:pPr>
    </w:p>
    <w:p w14:paraId="228AF2CD" w14:textId="77777777" w:rsidR="00D1587D" w:rsidRDefault="00410D07">
      <w:pPr>
        <w:spacing w:line="277" w:lineRule="auto"/>
        <w:ind w:left="300" w:right="559"/>
        <w:rPr>
          <w:sz w:val="20"/>
          <w:szCs w:val="20"/>
        </w:rPr>
      </w:pPr>
      <w:r>
        <w:rPr>
          <w:rFonts w:ascii="Arial" w:eastAsia="Arial" w:hAnsi="Arial" w:cs="Arial"/>
          <w:sz w:val="18"/>
          <w:szCs w:val="18"/>
        </w:rPr>
        <w:t xml:space="preserve">The following table presents the components of Net Transfers from (to) L </w:t>
      </w:r>
      <w:r>
        <w:rPr>
          <w:rFonts w:ascii="Arial" w:eastAsia="Arial" w:hAnsi="Arial" w:cs="Arial"/>
          <w:sz w:val="18"/>
          <w:szCs w:val="18"/>
        </w:rPr>
        <w:t>Brands, Inc. in the first quarter of 2021 and 2020 Combined Statements of Equity:</w:t>
      </w:r>
    </w:p>
    <w:p w14:paraId="479172F2" w14:textId="77777777" w:rsidR="00D1587D" w:rsidRDefault="00D1587D">
      <w:pPr>
        <w:spacing w:line="135"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220"/>
        <w:gridCol w:w="400"/>
        <w:gridCol w:w="20"/>
        <w:gridCol w:w="240"/>
        <w:gridCol w:w="180"/>
        <w:gridCol w:w="360"/>
      </w:tblGrid>
      <w:tr w:rsidR="00D1587D" w14:paraId="7ECFFFD0" w14:textId="77777777">
        <w:trPr>
          <w:trHeight w:val="186"/>
        </w:trPr>
        <w:tc>
          <w:tcPr>
            <w:tcW w:w="7220" w:type="dxa"/>
            <w:vAlign w:val="bottom"/>
          </w:tcPr>
          <w:p w14:paraId="31F38AE7" w14:textId="77777777" w:rsidR="00D1587D" w:rsidRDefault="00D1587D">
            <w:pPr>
              <w:rPr>
                <w:sz w:val="16"/>
                <w:szCs w:val="16"/>
              </w:rPr>
            </w:pPr>
          </w:p>
        </w:tc>
        <w:tc>
          <w:tcPr>
            <w:tcW w:w="1200" w:type="dxa"/>
            <w:gridSpan w:val="5"/>
            <w:vAlign w:val="bottom"/>
          </w:tcPr>
          <w:p w14:paraId="6724835A" w14:textId="77777777" w:rsidR="00D1587D" w:rsidRDefault="00410D07">
            <w:pPr>
              <w:ind w:right="90"/>
              <w:jc w:val="right"/>
              <w:rPr>
                <w:sz w:val="20"/>
                <w:szCs w:val="20"/>
              </w:rPr>
            </w:pPr>
            <w:r>
              <w:rPr>
                <w:rFonts w:ascii="Arial" w:eastAsia="Arial" w:hAnsi="Arial" w:cs="Arial"/>
                <w:b/>
                <w:bCs/>
                <w:sz w:val="14"/>
                <w:szCs w:val="14"/>
              </w:rPr>
              <w:t>First Quarter</w:t>
            </w:r>
          </w:p>
        </w:tc>
      </w:tr>
      <w:tr w:rsidR="00D1587D" w14:paraId="4321E81A" w14:textId="77777777">
        <w:trPr>
          <w:trHeight w:val="53"/>
        </w:trPr>
        <w:tc>
          <w:tcPr>
            <w:tcW w:w="7220" w:type="dxa"/>
            <w:vAlign w:val="bottom"/>
          </w:tcPr>
          <w:p w14:paraId="0C95D2E4" w14:textId="77777777" w:rsidR="00D1587D" w:rsidRDefault="00D1587D">
            <w:pPr>
              <w:rPr>
                <w:sz w:val="4"/>
                <w:szCs w:val="4"/>
              </w:rPr>
            </w:pPr>
          </w:p>
        </w:tc>
        <w:tc>
          <w:tcPr>
            <w:tcW w:w="400" w:type="dxa"/>
            <w:tcBorders>
              <w:bottom w:val="single" w:sz="8" w:space="0" w:color="auto"/>
            </w:tcBorders>
            <w:vAlign w:val="bottom"/>
          </w:tcPr>
          <w:p w14:paraId="6AC81FE9" w14:textId="77777777" w:rsidR="00D1587D" w:rsidRDefault="00D1587D">
            <w:pPr>
              <w:rPr>
                <w:sz w:val="4"/>
                <w:szCs w:val="4"/>
              </w:rPr>
            </w:pPr>
          </w:p>
        </w:tc>
        <w:tc>
          <w:tcPr>
            <w:tcW w:w="20" w:type="dxa"/>
            <w:tcBorders>
              <w:bottom w:val="single" w:sz="8" w:space="0" w:color="auto"/>
            </w:tcBorders>
            <w:vAlign w:val="bottom"/>
          </w:tcPr>
          <w:p w14:paraId="1A7D187F" w14:textId="77777777" w:rsidR="00D1587D" w:rsidRDefault="00D1587D">
            <w:pPr>
              <w:rPr>
                <w:sz w:val="4"/>
                <w:szCs w:val="4"/>
              </w:rPr>
            </w:pPr>
          </w:p>
        </w:tc>
        <w:tc>
          <w:tcPr>
            <w:tcW w:w="240" w:type="dxa"/>
            <w:tcBorders>
              <w:bottom w:val="single" w:sz="8" w:space="0" w:color="auto"/>
            </w:tcBorders>
            <w:vAlign w:val="bottom"/>
          </w:tcPr>
          <w:p w14:paraId="4C217483" w14:textId="77777777" w:rsidR="00D1587D" w:rsidRDefault="00D1587D">
            <w:pPr>
              <w:rPr>
                <w:sz w:val="4"/>
                <w:szCs w:val="4"/>
              </w:rPr>
            </w:pPr>
          </w:p>
        </w:tc>
        <w:tc>
          <w:tcPr>
            <w:tcW w:w="180" w:type="dxa"/>
            <w:tcBorders>
              <w:bottom w:val="single" w:sz="8" w:space="0" w:color="auto"/>
            </w:tcBorders>
            <w:vAlign w:val="bottom"/>
          </w:tcPr>
          <w:p w14:paraId="3A7F9E28" w14:textId="77777777" w:rsidR="00D1587D" w:rsidRDefault="00D1587D">
            <w:pPr>
              <w:rPr>
                <w:sz w:val="4"/>
                <w:szCs w:val="4"/>
              </w:rPr>
            </w:pPr>
          </w:p>
        </w:tc>
        <w:tc>
          <w:tcPr>
            <w:tcW w:w="360" w:type="dxa"/>
            <w:tcBorders>
              <w:bottom w:val="single" w:sz="8" w:space="0" w:color="auto"/>
            </w:tcBorders>
            <w:vAlign w:val="bottom"/>
          </w:tcPr>
          <w:p w14:paraId="4CE332D5" w14:textId="77777777" w:rsidR="00D1587D" w:rsidRDefault="00D1587D">
            <w:pPr>
              <w:rPr>
                <w:sz w:val="4"/>
                <w:szCs w:val="4"/>
              </w:rPr>
            </w:pPr>
          </w:p>
        </w:tc>
      </w:tr>
      <w:tr w:rsidR="00D1587D" w14:paraId="07E5960B" w14:textId="77777777">
        <w:trPr>
          <w:trHeight w:val="224"/>
        </w:trPr>
        <w:tc>
          <w:tcPr>
            <w:tcW w:w="7220" w:type="dxa"/>
            <w:vAlign w:val="bottom"/>
          </w:tcPr>
          <w:p w14:paraId="06D1F54E" w14:textId="77777777" w:rsidR="00D1587D" w:rsidRDefault="00D1587D">
            <w:pPr>
              <w:rPr>
                <w:sz w:val="19"/>
                <w:szCs w:val="19"/>
              </w:rPr>
            </w:pPr>
          </w:p>
        </w:tc>
        <w:tc>
          <w:tcPr>
            <w:tcW w:w="400" w:type="dxa"/>
            <w:vAlign w:val="bottom"/>
          </w:tcPr>
          <w:p w14:paraId="3FBC6C3B" w14:textId="77777777" w:rsidR="00D1587D" w:rsidRDefault="00410D07">
            <w:pPr>
              <w:jc w:val="right"/>
              <w:rPr>
                <w:sz w:val="20"/>
                <w:szCs w:val="20"/>
              </w:rPr>
            </w:pPr>
            <w:r>
              <w:rPr>
                <w:rFonts w:ascii="Arial" w:eastAsia="Arial" w:hAnsi="Arial" w:cs="Arial"/>
                <w:b/>
                <w:bCs/>
                <w:sz w:val="14"/>
                <w:szCs w:val="14"/>
              </w:rPr>
              <w:t>2021</w:t>
            </w:r>
          </w:p>
        </w:tc>
        <w:tc>
          <w:tcPr>
            <w:tcW w:w="20" w:type="dxa"/>
            <w:vAlign w:val="bottom"/>
          </w:tcPr>
          <w:p w14:paraId="3A90E46F" w14:textId="77777777" w:rsidR="00D1587D" w:rsidRDefault="00D1587D">
            <w:pPr>
              <w:rPr>
                <w:sz w:val="19"/>
                <w:szCs w:val="19"/>
              </w:rPr>
            </w:pPr>
          </w:p>
        </w:tc>
        <w:tc>
          <w:tcPr>
            <w:tcW w:w="240" w:type="dxa"/>
            <w:vAlign w:val="bottom"/>
          </w:tcPr>
          <w:p w14:paraId="6398375C" w14:textId="77777777" w:rsidR="00D1587D" w:rsidRDefault="00D1587D">
            <w:pPr>
              <w:rPr>
                <w:sz w:val="19"/>
                <w:szCs w:val="19"/>
              </w:rPr>
            </w:pPr>
          </w:p>
        </w:tc>
        <w:tc>
          <w:tcPr>
            <w:tcW w:w="540" w:type="dxa"/>
            <w:gridSpan w:val="2"/>
            <w:vAlign w:val="bottom"/>
          </w:tcPr>
          <w:p w14:paraId="6190B7BC" w14:textId="77777777" w:rsidR="00D1587D" w:rsidRDefault="00410D07">
            <w:pPr>
              <w:jc w:val="right"/>
              <w:rPr>
                <w:sz w:val="20"/>
                <w:szCs w:val="20"/>
              </w:rPr>
            </w:pPr>
            <w:r>
              <w:rPr>
                <w:rFonts w:ascii="Arial" w:eastAsia="Arial" w:hAnsi="Arial" w:cs="Arial"/>
                <w:b/>
                <w:bCs/>
                <w:sz w:val="14"/>
                <w:szCs w:val="14"/>
              </w:rPr>
              <w:t>2020</w:t>
            </w:r>
          </w:p>
        </w:tc>
      </w:tr>
      <w:tr w:rsidR="00D1587D" w14:paraId="08FB3F81" w14:textId="77777777">
        <w:trPr>
          <w:trHeight w:val="53"/>
        </w:trPr>
        <w:tc>
          <w:tcPr>
            <w:tcW w:w="7220" w:type="dxa"/>
            <w:vAlign w:val="bottom"/>
          </w:tcPr>
          <w:p w14:paraId="0DB9E94F" w14:textId="77777777" w:rsidR="00D1587D" w:rsidRDefault="00D1587D">
            <w:pPr>
              <w:rPr>
                <w:sz w:val="4"/>
                <w:szCs w:val="4"/>
              </w:rPr>
            </w:pPr>
          </w:p>
        </w:tc>
        <w:tc>
          <w:tcPr>
            <w:tcW w:w="400" w:type="dxa"/>
            <w:tcBorders>
              <w:bottom w:val="single" w:sz="8" w:space="0" w:color="auto"/>
            </w:tcBorders>
            <w:vAlign w:val="bottom"/>
          </w:tcPr>
          <w:p w14:paraId="30382FDA" w14:textId="77777777" w:rsidR="00D1587D" w:rsidRDefault="00D1587D">
            <w:pPr>
              <w:rPr>
                <w:sz w:val="4"/>
                <w:szCs w:val="4"/>
              </w:rPr>
            </w:pPr>
          </w:p>
        </w:tc>
        <w:tc>
          <w:tcPr>
            <w:tcW w:w="20" w:type="dxa"/>
            <w:tcBorders>
              <w:bottom w:val="single" w:sz="8" w:space="0" w:color="auto"/>
            </w:tcBorders>
            <w:vAlign w:val="bottom"/>
          </w:tcPr>
          <w:p w14:paraId="769081DA" w14:textId="77777777" w:rsidR="00D1587D" w:rsidRDefault="00D1587D">
            <w:pPr>
              <w:rPr>
                <w:sz w:val="4"/>
                <w:szCs w:val="4"/>
              </w:rPr>
            </w:pPr>
          </w:p>
        </w:tc>
        <w:tc>
          <w:tcPr>
            <w:tcW w:w="420" w:type="dxa"/>
            <w:gridSpan w:val="2"/>
            <w:tcBorders>
              <w:bottom w:val="single" w:sz="8" w:space="0" w:color="auto"/>
            </w:tcBorders>
            <w:vAlign w:val="bottom"/>
          </w:tcPr>
          <w:p w14:paraId="20D28939" w14:textId="77777777" w:rsidR="00D1587D" w:rsidRDefault="00D1587D">
            <w:pPr>
              <w:rPr>
                <w:sz w:val="4"/>
                <w:szCs w:val="4"/>
              </w:rPr>
            </w:pPr>
          </w:p>
        </w:tc>
        <w:tc>
          <w:tcPr>
            <w:tcW w:w="360" w:type="dxa"/>
            <w:tcBorders>
              <w:bottom w:val="single" w:sz="8" w:space="0" w:color="auto"/>
            </w:tcBorders>
            <w:vAlign w:val="bottom"/>
          </w:tcPr>
          <w:p w14:paraId="47E72174" w14:textId="77777777" w:rsidR="00D1587D" w:rsidRDefault="00D1587D">
            <w:pPr>
              <w:rPr>
                <w:sz w:val="4"/>
                <w:szCs w:val="4"/>
              </w:rPr>
            </w:pPr>
          </w:p>
        </w:tc>
      </w:tr>
      <w:tr w:rsidR="00D1587D" w14:paraId="2169B225" w14:textId="77777777">
        <w:trPr>
          <w:trHeight w:val="224"/>
        </w:trPr>
        <w:tc>
          <w:tcPr>
            <w:tcW w:w="7220" w:type="dxa"/>
            <w:vAlign w:val="bottom"/>
          </w:tcPr>
          <w:p w14:paraId="29BFDB9B" w14:textId="77777777" w:rsidR="00D1587D" w:rsidRDefault="00D1587D">
            <w:pPr>
              <w:rPr>
                <w:sz w:val="19"/>
                <w:szCs w:val="19"/>
              </w:rPr>
            </w:pPr>
          </w:p>
        </w:tc>
        <w:tc>
          <w:tcPr>
            <w:tcW w:w="1200" w:type="dxa"/>
            <w:gridSpan w:val="5"/>
            <w:vAlign w:val="bottom"/>
          </w:tcPr>
          <w:p w14:paraId="40589570" w14:textId="77777777" w:rsidR="00D1587D" w:rsidRDefault="00410D07">
            <w:pPr>
              <w:ind w:right="150"/>
              <w:jc w:val="right"/>
              <w:rPr>
                <w:sz w:val="20"/>
                <w:szCs w:val="20"/>
              </w:rPr>
            </w:pPr>
            <w:r>
              <w:rPr>
                <w:rFonts w:ascii="Arial" w:eastAsia="Arial" w:hAnsi="Arial" w:cs="Arial"/>
                <w:b/>
                <w:bCs/>
                <w:sz w:val="14"/>
                <w:szCs w:val="14"/>
              </w:rPr>
              <w:t>(in millions)</w:t>
            </w:r>
          </w:p>
        </w:tc>
      </w:tr>
      <w:tr w:rsidR="00D1587D" w14:paraId="1DE001D7" w14:textId="77777777">
        <w:trPr>
          <w:trHeight w:val="53"/>
        </w:trPr>
        <w:tc>
          <w:tcPr>
            <w:tcW w:w="7220" w:type="dxa"/>
            <w:vAlign w:val="bottom"/>
          </w:tcPr>
          <w:p w14:paraId="6EE401B7" w14:textId="77777777" w:rsidR="00D1587D" w:rsidRDefault="00D1587D">
            <w:pPr>
              <w:rPr>
                <w:sz w:val="4"/>
                <w:szCs w:val="4"/>
              </w:rPr>
            </w:pPr>
          </w:p>
        </w:tc>
        <w:tc>
          <w:tcPr>
            <w:tcW w:w="400" w:type="dxa"/>
            <w:vAlign w:val="bottom"/>
          </w:tcPr>
          <w:p w14:paraId="3C22C63D" w14:textId="77777777" w:rsidR="00D1587D" w:rsidRDefault="00D1587D">
            <w:pPr>
              <w:rPr>
                <w:sz w:val="4"/>
                <w:szCs w:val="4"/>
              </w:rPr>
            </w:pPr>
          </w:p>
        </w:tc>
        <w:tc>
          <w:tcPr>
            <w:tcW w:w="20" w:type="dxa"/>
            <w:vAlign w:val="bottom"/>
          </w:tcPr>
          <w:p w14:paraId="1D1BD646" w14:textId="77777777" w:rsidR="00D1587D" w:rsidRDefault="00D1587D">
            <w:pPr>
              <w:rPr>
                <w:sz w:val="4"/>
                <w:szCs w:val="4"/>
              </w:rPr>
            </w:pPr>
          </w:p>
        </w:tc>
        <w:tc>
          <w:tcPr>
            <w:tcW w:w="240" w:type="dxa"/>
            <w:vAlign w:val="bottom"/>
          </w:tcPr>
          <w:p w14:paraId="4FF7F32D" w14:textId="77777777" w:rsidR="00D1587D" w:rsidRDefault="00D1587D">
            <w:pPr>
              <w:rPr>
                <w:sz w:val="4"/>
                <w:szCs w:val="4"/>
              </w:rPr>
            </w:pPr>
          </w:p>
        </w:tc>
        <w:tc>
          <w:tcPr>
            <w:tcW w:w="180" w:type="dxa"/>
            <w:vAlign w:val="bottom"/>
          </w:tcPr>
          <w:p w14:paraId="7638E494" w14:textId="77777777" w:rsidR="00D1587D" w:rsidRDefault="00D1587D">
            <w:pPr>
              <w:rPr>
                <w:sz w:val="4"/>
                <w:szCs w:val="4"/>
              </w:rPr>
            </w:pPr>
          </w:p>
        </w:tc>
        <w:tc>
          <w:tcPr>
            <w:tcW w:w="360" w:type="dxa"/>
            <w:vAlign w:val="bottom"/>
          </w:tcPr>
          <w:p w14:paraId="7FA5FCCB" w14:textId="77777777" w:rsidR="00D1587D" w:rsidRDefault="00D1587D">
            <w:pPr>
              <w:rPr>
                <w:sz w:val="4"/>
                <w:szCs w:val="4"/>
              </w:rPr>
            </w:pPr>
          </w:p>
        </w:tc>
      </w:tr>
      <w:tr w:rsidR="00D1587D" w14:paraId="4F0BDDFE" w14:textId="77777777">
        <w:trPr>
          <w:trHeight w:val="318"/>
        </w:trPr>
        <w:tc>
          <w:tcPr>
            <w:tcW w:w="7220" w:type="dxa"/>
            <w:tcBorders>
              <w:bottom w:val="single" w:sz="8" w:space="0" w:color="CCEEFF"/>
            </w:tcBorders>
            <w:shd w:val="clear" w:color="auto" w:fill="CCEEFF"/>
            <w:vAlign w:val="bottom"/>
          </w:tcPr>
          <w:p w14:paraId="35B365F4" w14:textId="77777777" w:rsidR="00D1587D" w:rsidRDefault="00410D07">
            <w:pPr>
              <w:rPr>
                <w:sz w:val="20"/>
                <w:szCs w:val="20"/>
              </w:rPr>
            </w:pPr>
            <w:r>
              <w:rPr>
                <w:rFonts w:ascii="Arial" w:eastAsia="Arial" w:hAnsi="Arial" w:cs="Arial"/>
                <w:sz w:val="18"/>
                <w:szCs w:val="18"/>
              </w:rPr>
              <w:t>Cash Pooling and General Financing Activities, Net</w:t>
            </w:r>
          </w:p>
        </w:tc>
        <w:tc>
          <w:tcPr>
            <w:tcW w:w="660" w:type="dxa"/>
            <w:gridSpan w:val="3"/>
            <w:tcBorders>
              <w:bottom w:val="single" w:sz="8" w:space="0" w:color="CCEEFF"/>
            </w:tcBorders>
            <w:shd w:val="clear" w:color="auto" w:fill="CCEEFF"/>
            <w:vAlign w:val="bottom"/>
          </w:tcPr>
          <w:p w14:paraId="3E5B1B1B" w14:textId="77777777" w:rsidR="00D1587D" w:rsidRDefault="00410D07">
            <w:pPr>
              <w:ind w:right="180"/>
              <w:jc w:val="right"/>
              <w:rPr>
                <w:sz w:val="20"/>
                <w:szCs w:val="20"/>
              </w:rPr>
            </w:pPr>
            <w:r>
              <w:rPr>
                <w:rFonts w:ascii="Arial" w:eastAsia="Arial" w:hAnsi="Arial" w:cs="Arial"/>
                <w:w w:val="88"/>
                <w:sz w:val="18"/>
                <w:szCs w:val="18"/>
              </w:rPr>
              <w:t>$(108)</w:t>
            </w:r>
          </w:p>
        </w:tc>
        <w:tc>
          <w:tcPr>
            <w:tcW w:w="540" w:type="dxa"/>
            <w:gridSpan w:val="2"/>
            <w:tcBorders>
              <w:bottom w:val="single" w:sz="8" w:space="0" w:color="CCEEFF"/>
            </w:tcBorders>
            <w:shd w:val="clear" w:color="auto" w:fill="CCEEFF"/>
            <w:vAlign w:val="bottom"/>
          </w:tcPr>
          <w:p w14:paraId="482BB000" w14:textId="77777777" w:rsidR="00D1587D" w:rsidRDefault="00410D07">
            <w:pPr>
              <w:jc w:val="right"/>
              <w:rPr>
                <w:sz w:val="20"/>
                <w:szCs w:val="20"/>
              </w:rPr>
            </w:pPr>
            <w:r>
              <w:rPr>
                <w:rFonts w:ascii="Arial" w:eastAsia="Arial" w:hAnsi="Arial" w:cs="Arial"/>
                <w:sz w:val="18"/>
                <w:szCs w:val="18"/>
              </w:rPr>
              <w:t>$274</w:t>
            </w:r>
          </w:p>
        </w:tc>
      </w:tr>
      <w:tr w:rsidR="00D1587D" w14:paraId="3329C95C" w14:textId="77777777">
        <w:trPr>
          <w:trHeight w:val="324"/>
        </w:trPr>
        <w:tc>
          <w:tcPr>
            <w:tcW w:w="7220" w:type="dxa"/>
            <w:vAlign w:val="bottom"/>
          </w:tcPr>
          <w:p w14:paraId="15504BFE" w14:textId="77777777" w:rsidR="00D1587D" w:rsidRDefault="00410D07">
            <w:pPr>
              <w:spacing w:line="324" w:lineRule="exact"/>
              <w:rPr>
                <w:sz w:val="20"/>
                <w:szCs w:val="20"/>
              </w:rPr>
            </w:pPr>
            <w:r>
              <w:rPr>
                <w:rFonts w:ascii="Arial" w:eastAsia="Arial" w:hAnsi="Arial" w:cs="Arial"/>
                <w:sz w:val="18"/>
                <w:szCs w:val="18"/>
              </w:rPr>
              <w:t>Long-lived Assets</w:t>
            </w:r>
            <w:r>
              <w:rPr>
                <w:rFonts w:ascii="Arial" w:eastAsia="Arial" w:hAnsi="Arial" w:cs="Arial"/>
                <w:sz w:val="29"/>
                <w:szCs w:val="29"/>
                <w:vertAlign w:val="superscript"/>
              </w:rPr>
              <w:t>(a)</w:t>
            </w:r>
          </w:p>
        </w:tc>
        <w:tc>
          <w:tcPr>
            <w:tcW w:w="400" w:type="dxa"/>
            <w:vAlign w:val="bottom"/>
          </w:tcPr>
          <w:p w14:paraId="44800645" w14:textId="77777777" w:rsidR="00D1587D" w:rsidRDefault="00410D07">
            <w:pPr>
              <w:jc w:val="right"/>
              <w:rPr>
                <w:sz w:val="20"/>
                <w:szCs w:val="20"/>
              </w:rPr>
            </w:pPr>
            <w:r>
              <w:rPr>
                <w:rFonts w:ascii="Arial" w:eastAsia="Arial" w:hAnsi="Arial" w:cs="Arial"/>
                <w:sz w:val="18"/>
                <w:szCs w:val="18"/>
              </w:rPr>
              <w:t>20</w:t>
            </w:r>
          </w:p>
        </w:tc>
        <w:tc>
          <w:tcPr>
            <w:tcW w:w="20" w:type="dxa"/>
            <w:vAlign w:val="bottom"/>
          </w:tcPr>
          <w:p w14:paraId="7E7D6B57" w14:textId="77777777" w:rsidR="00D1587D" w:rsidRDefault="00D1587D">
            <w:pPr>
              <w:rPr>
                <w:sz w:val="24"/>
                <w:szCs w:val="24"/>
              </w:rPr>
            </w:pPr>
          </w:p>
        </w:tc>
        <w:tc>
          <w:tcPr>
            <w:tcW w:w="240" w:type="dxa"/>
            <w:vAlign w:val="bottom"/>
          </w:tcPr>
          <w:p w14:paraId="2C8BE67D" w14:textId="77777777" w:rsidR="00D1587D" w:rsidRDefault="00D1587D">
            <w:pPr>
              <w:rPr>
                <w:sz w:val="24"/>
                <w:szCs w:val="24"/>
              </w:rPr>
            </w:pPr>
          </w:p>
        </w:tc>
        <w:tc>
          <w:tcPr>
            <w:tcW w:w="180" w:type="dxa"/>
            <w:vAlign w:val="bottom"/>
          </w:tcPr>
          <w:p w14:paraId="0E1602E2" w14:textId="77777777" w:rsidR="00D1587D" w:rsidRDefault="00D1587D">
            <w:pPr>
              <w:rPr>
                <w:sz w:val="24"/>
                <w:szCs w:val="24"/>
              </w:rPr>
            </w:pPr>
          </w:p>
        </w:tc>
        <w:tc>
          <w:tcPr>
            <w:tcW w:w="360" w:type="dxa"/>
            <w:vAlign w:val="bottom"/>
          </w:tcPr>
          <w:p w14:paraId="7D7957CA" w14:textId="77777777" w:rsidR="00D1587D" w:rsidRDefault="00410D07">
            <w:pPr>
              <w:jc w:val="right"/>
              <w:rPr>
                <w:sz w:val="20"/>
                <w:szCs w:val="20"/>
              </w:rPr>
            </w:pPr>
            <w:r>
              <w:rPr>
                <w:rFonts w:ascii="Arial" w:eastAsia="Arial" w:hAnsi="Arial" w:cs="Arial"/>
                <w:sz w:val="18"/>
                <w:szCs w:val="18"/>
              </w:rPr>
              <w:t>—</w:t>
            </w:r>
          </w:p>
        </w:tc>
      </w:tr>
      <w:tr w:rsidR="00D1587D" w14:paraId="249769EC" w14:textId="77777777">
        <w:trPr>
          <w:trHeight w:val="304"/>
        </w:trPr>
        <w:tc>
          <w:tcPr>
            <w:tcW w:w="7220" w:type="dxa"/>
            <w:tcBorders>
              <w:bottom w:val="single" w:sz="8" w:space="0" w:color="CCEEFF"/>
            </w:tcBorders>
            <w:shd w:val="clear" w:color="auto" w:fill="CCEEFF"/>
            <w:vAlign w:val="bottom"/>
          </w:tcPr>
          <w:p w14:paraId="651E9454" w14:textId="77777777" w:rsidR="00D1587D" w:rsidRDefault="00410D07">
            <w:pPr>
              <w:rPr>
                <w:sz w:val="20"/>
                <w:szCs w:val="20"/>
              </w:rPr>
            </w:pPr>
            <w:r>
              <w:rPr>
                <w:rFonts w:ascii="Arial" w:eastAsia="Arial" w:hAnsi="Arial" w:cs="Arial"/>
                <w:sz w:val="18"/>
                <w:szCs w:val="18"/>
              </w:rPr>
              <w:t>Corporate Expense Allocations</w:t>
            </w:r>
          </w:p>
        </w:tc>
        <w:tc>
          <w:tcPr>
            <w:tcW w:w="400" w:type="dxa"/>
            <w:tcBorders>
              <w:bottom w:val="single" w:sz="8" w:space="0" w:color="CCEEFF"/>
            </w:tcBorders>
            <w:shd w:val="clear" w:color="auto" w:fill="CCEEFF"/>
            <w:vAlign w:val="bottom"/>
          </w:tcPr>
          <w:p w14:paraId="612D4669" w14:textId="77777777" w:rsidR="00D1587D" w:rsidRDefault="00410D07">
            <w:pPr>
              <w:jc w:val="right"/>
              <w:rPr>
                <w:sz w:val="20"/>
                <w:szCs w:val="20"/>
              </w:rPr>
            </w:pPr>
            <w:r>
              <w:rPr>
                <w:rFonts w:ascii="Arial" w:eastAsia="Arial" w:hAnsi="Arial" w:cs="Arial"/>
                <w:sz w:val="18"/>
                <w:szCs w:val="18"/>
              </w:rPr>
              <w:t>19</w:t>
            </w:r>
          </w:p>
        </w:tc>
        <w:tc>
          <w:tcPr>
            <w:tcW w:w="20" w:type="dxa"/>
            <w:tcBorders>
              <w:bottom w:val="single" w:sz="8" w:space="0" w:color="CCEEFF"/>
            </w:tcBorders>
            <w:shd w:val="clear" w:color="auto" w:fill="CCEEFF"/>
            <w:vAlign w:val="bottom"/>
          </w:tcPr>
          <w:p w14:paraId="20F31991" w14:textId="77777777" w:rsidR="00D1587D" w:rsidRDefault="00D1587D">
            <w:pPr>
              <w:rPr>
                <w:sz w:val="24"/>
                <w:szCs w:val="24"/>
              </w:rPr>
            </w:pPr>
          </w:p>
        </w:tc>
        <w:tc>
          <w:tcPr>
            <w:tcW w:w="240" w:type="dxa"/>
            <w:tcBorders>
              <w:bottom w:val="single" w:sz="8" w:space="0" w:color="CCEEFF"/>
            </w:tcBorders>
            <w:shd w:val="clear" w:color="auto" w:fill="CCEEFF"/>
            <w:vAlign w:val="bottom"/>
          </w:tcPr>
          <w:p w14:paraId="292886F9" w14:textId="77777777" w:rsidR="00D1587D" w:rsidRDefault="00D1587D">
            <w:pPr>
              <w:rPr>
                <w:sz w:val="24"/>
                <w:szCs w:val="24"/>
              </w:rPr>
            </w:pPr>
          </w:p>
        </w:tc>
        <w:tc>
          <w:tcPr>
            <w:tcW w:w="540" w:type="dxa"/>
            <w:gridSpan w:val="2"/>
            <w:tcBorders>
              <w:bottom w:val="single" w:sz="8" w:space="0" w:color="CCEEFF"/>
            </w:tcBorders>
            <w:shd w:val="clear" w:color="auto" w:fill="CCEEFF"/>
            <w:vAlign w:val="bottom"/>
          </w:tcPr>
          <w:p w14:paraId="12CEDA3F" w14:textId="77777777" w:rsidR="00D1587D" w:rsidRDefault="00410D07">
            <w:pPr>
              <w:jc w:val="right"/>
              <w:rPr>
                <w:sz w:val="20"/>
                <w:szCs w:val="20"/>
              </w:rPr>
            </w:pPr>
            <w:r>
              <w:rPr>
                <w:rFonts w:ascii="Arial" w:eastAsia="Arial" w:hAnsi="Arial" w:cs="Arial"/>
                <w:sz w:val="18"/>
                <w:szCs w:val="18"/>
              </w:rPr>
              <w:t>20</w:t>
            </w:r>
          </w:p>
        </w:tc>
      </w:tr>
      <w:tr w:rsidR="00D1587D" w14:paraId="015E4B8F" w14:textId="77777777">
        <w:trPr>
          <w:trHeight w:val="270"/>
        </w:trPr>
        <w:tc>
          <w:tcPr>
            <w:tcW w:w="7220" w:type="dxa"/>
            <w:vAlign w:val="bottom"/>
          </w:tcPr>
          <w:p w14:paraId="5FC73DB4" w14:textId="77777777" w:rsidR="00D1587D" w:rsidRDefault="00410D07">
            <w:pPr>
              <w:rPr>
                <w:sz w:val="20"/>
                <w:szCs w:val="20"/>
              </w:rPr>
            </w:pPr>
            <w:r>
              <w:rPr>
                <w:rFonts w:ascii="Arial" w:eastAsia="Arial" w:hAnsi="Arial" w:cs="Arial"/>
                <w:sz w:val="18"/>
                <w:szCs w:val="18"/>
              </w:rPr>
              <w:t>Share-based Compensation Expense</w:t>
            </w:r>
          </w:p>
        </w:tc>
        <w:tc>
          <w:tcPr>
            <w:tcW w:w="420" w:type="dxa"/>
            <w:gridSpan w:val="2"/>
            <w:vAlign w:val="bottom"/>
          </w:tcPr>
          <w:p w14:paraId="7996FA5A" w14:textId="77777777" w:rsidR="00D1587D" w:rsidRDefault="00410D07">
            <w:pPr>
              <w:ind w:right="20"/>
              <w:jc w:val="right"/>
              <w:rPr>
                <w:sz w:val="20"/>
                <w:szCs w:val="20"/>
              </w:rPr>
            </w:pPr>
            <w:r>
              <w:rPr>
                <w:rFonts w:ascii="Arial" w:eastAsia="Arial" w:hAnsi="Arial" w:cs="Arial"/>
                <w:sz w:val="18"/>
                <w:szCs w:val="18"/>
              </w:rPr>
              <w:t>7</w:t>
            </w:r>
          </w:p>
        </w:tc>
        <w:tc>
          <w:tcPr>
            <w:tcW w:w="240" w:type="dxa"/>
            <w:vAlign w:val="bottom"/>
          </w:tcPr>
          <w:p w14:paraId="300F5857" w14:textId="77777777" w:rsidR="00D1587D" w:rsidRDefault="00D1587D">
            <w:pPr>
              <w:rPr>
                <w:sz w:val="23"/>
                <w:szCs w:val="23"/>
              </w:rPr>
            </w:pPr>
          </w:p>
        </w:tc>
        <w:tc>
          <w:tcPr>
            <w:tcW w:w="540" w:type="dxa"/>
            <w:gridSpan w:val="2"/>
            <w:vAlign w:val="bottom"/>
          </w:tcPr>
          <w:p w14:paraId="57BCCF01" w14:textId="77777777" w:rsidR="00D1587D" w:rsidRDefault="00410D07">
            <w:pPr>
              <w:jc w:val="right"/>
              <w:rPr>
                <w:sz w:val="20"/>
                <w:szCs w:val="20"/>
              </w:rPr>
            </w:pPr>
            <w:r>
              <w:rPr>
                <w:rFonts w:ascii="Arial" w:eastAsia="Arial" w:hAnsi="Arial" w:cs="Arial"/>
                <w:sz w:val="18"/>
                <w:szCs w:val="18"/>
              </w:rPr>
              <w:t>9</w:t>
            </w:r>
          </w:p>
        </w:tc>
      </w:tr>
      <w:tr w:rsidR="00D1587D" w14:paraId="03ABE2E1" w14:textId="77777777">
        <w:trPr>
          <w:trHeight w:val="54"/>
        </w:trPr>
        <w:tc>
          <w:tcPr>
            <w:tcW w:w="7220" w:type="dxa"/>
            <w:vAlign w:val="bottom"/>
          </w:tcPr>
          <w:p w14:paraId="19855989" w14:textId="77777777" w:rsidR="00D1587D" w:rsidRDefault="00D1587D">
            <w:pPr>
              <w:rPr>
                <w:sz w:val="4"/>
                <w:szCs w:val="4"/>
              </w:rPr>
            </w:pPr>
          </w:p>
        </w:tc>
        <w:tc>
          <w:tcPr>
            <w:tcW w:w="400" w:type="dxa"/>
            <w:vAlign w:val="bottom"/>
          </w:tcPr>
          <w:p w14:paraId="2BC8932C" w14:textId="77777777" w:rsidR="00D1587D" w:rsidRDefault="00D1587D">
            <w:pPr>
              <w:rPr>
                <w:sz w:val="4"/>
                <w:szCs w:val="4"/>
              </w:rPr>
            </w:pPr>
          </w:p>
        </w:tc>
        <w:tc>
          <w:tcPr>
            <w:tcW w:w="20" w:type="dxa"/>
            <w:vAlign w:val="bottom"/>
          </w:tcPr>
          <w:p w14:paraId="48C2B904" w14:textId="77777777" w:rsidR="00D1587D" w:rsidRDefault="00D1587D">
            <w:pPr>
              <w:rPr>
                <w:sz w:val="4"/>
                <w:szCs w:val="4"/>
              </w:rPr>
            </w:pPr>
          </w:p>
        </w:tc>
        <w:tc>
          <w:tcPr>
            <w:tcW w:w="240" w:type="dxa"/>
            <w:vAlign w:val="bottom"/>
          </w:tcPr>
          <w:p w14:paraId="7140AF38" w14:textId="77777777" w:rsidR="00D1587D" w:rsidRDefault="00D1587D">
            <w:pPr>
              <w:rPr>
                <w:sz w:val="4"/>
                <w:szCs w:val="4"/>
              </w:rPr>
            </w:pPr>
          </w:p>
        </w:tc>
        <w:tc>
          <w:tcPr>
            <w:tcW w:w="180" w:type="dxa"/>
            <w:vAlign w:val="bottom"/>
          </w:tcPr>
          <w:p w14:paraId="598EFAEB" w14:textId="77777777" w:rsidR="00D1587D" w:rsidRDefault="00D1587D">
            <w:pPr>
              <w:rPr>
                <w:sz w:val="4"/>
                <w:szCs w:val="4"/>
              </w:rPr>
            </w:pPr>
          </w:p>
        </w:tc>
        <w:tc>
          <w:tcPr>
            <w:tcW w:w="360" w:type="dxa"/>
            <w:vAlign w:val="bottom"/>
          </w:tcPr>
          <w:p w14:paraId="5D3CE1B6" w14:textId="77777777" w:rsidR="00D1587D" w:rsidRDefault="00D1587D">
            <w:pPr>
              <w:rPr>
                <w:sz w:val="4"/>
                <w:szCs w:val="4"/>
              </w:rPr>
            </w:pPr>
          </w:p>
        </w:tc>
      </w:tr>
      <w:tr w:rsidR="00D1587D" w14:paraId="34D0156E" w14:textId="77777777">
        <w:trPr>
          <w:trHeight w:val="257"/>
        </w:trPr>
        <w:tc>
          <w:tcPr>
            <w:tcW w:w="7220" w:type="dxa"/>
            <w:shd w:val="clear" w:color="auto" w:fill="CCEEFF"/>
            <w:vAlign w:val="bottom"/>
          </w:tcPr>
          <w:p w14:paraId="742B8A75" w14:textId="77777777" w:rsidR="00D1587D" w:rsidRDefault="00410D07">
            <w:pPr>
              <w:rPr>
                <w:sz w:val="20"/>
                <w:szCs w:val="20"/>
              </w:rPr>
            </w:pPr>
            <w:r>
              <w:rPr>
                <w:rFonts w:ascii="Arial" w:eastAsia="Arial" w:hAnsi="Arial" w:cs="Arial"/>
                <w:sz w:val="18"/>
                <w:szCs w:val="18"/>
              </w:rPr>
              <w:t>Assumed Income Tax Payments</w:t>
            </w:r>
          </w:p>
        </w:tc>
        <w:tc>
          <w:tcPr>
            <w:tcW w:w="420" w:type="dxa"/>
            <w:gridSpan w:val="2"/>
            <w:shd w:val="clear" w:color="auto" w:fill="CCEEFF"/>
            <w:vAlign w:val="bottom"/>
          </w:tcPr>
          <w:p w14:paraId="456B9799" w14:textId="77777777" w:rsidR="00D1587D" w:rsidRDefault="00410D07">
            <w:pPr>
              <w:ind w:right="20"/>
              <w:jc w:val="right"/>
              <w:rPr>
                <w:sz w:val="20"/>
                <w:szCs w:val="20"/>
              </w:rPr>
            </w:pPr>
            <w:r>
              <w:rPr>
                <w:rFonts w:ascii="Arial" w:eastAsia="Arial" w:hAnsi="Arial" w:cs="Arial"/>
                <w:sz w:val="18"/>
                <w:szCs w:val="18"/>
              </w:rPr>
              <w:t>1</w:t>
            </w:r>
          </w:p>
        </w:tc>
        <w:tc>
          <w:tcPr>
            <w:tcW w:w="240" w:type="dxa"/>
            <w:shd w:val="clear" w:color="auto" w:fill="CCEEFF"/>
            <w:vAlign w:val="bottom"/>
          </w:tcPr>
          <w:p w14:paraId="4BA3B467" w14:textId="77777777" w:rsidR="00D1587D" w:rsidRDefault="00D1587D"/>
        </w:tc>
        <w:tc>
          <w:tcPr>
            <w:tcW w:w="540" w:type="dxa"/>
            <w:gridSpan w:val="2"/>
            <w:shd w:val="clear" w:color="auto" w:fill="CCEEFF"/>
            <w:vAlign w:val="bottom"/>
          </w:tcPr>
          <w:p w14:paraId="624CBBDE" w14:textId="77777777" w:rsidR="00D1587D" w:rsidRDefault="00410D07">
            <w:pPr>
              <w:jc w:val="right"/>
              <w:rPr>
                <w:sz w:val="20"/>
                <w:szCs w:val="20"/>
              </w:rPr>
            </w:pPr>
            <w:r>
              <w:rPr>
                <w:rFonts w:ascii="Arial" w:eastAsia="Arial" w:hAnsi="Arial" w:cs="Arial"/>
                <w:sz w:val="18"/>
                <w:szCs w:val="18"/>
              </w:rPr>
              <w:t>6</w:t>
            </w:r>
          </w:p>
        </w:tc>
      </w:tr>
      <w:tr w:rsidR="00D1587D" w14:paraId="3B287596" w14:textId="77777777">
        <w:trPr>
          <w:trHeight w:val="61"/>
        </w:trPr>
        <w:tc>
          <w:tcPr>
            <w:tcW w:w="7220" w:type="dxa"/>
            <w:tcBorders>
              <w:top w:val="single" w:sz="8" w:space="0" w:color="CCEEFF"/>
            </w:tcBorders>
            <w:shd w:val="clear" w:color="auto" w:fill="CCEEFF"/>
            <w:vAlign w:val="bottom"/>
          </w:tcPr>
          <w:p w14:paraId="2DD2F860" w14:textId="77777777" w:rsidR="00D1587D" w:rsidRDefault="00D1587D">
            <w:pPr>
              <w:rPr>
                <w:sz w:val="5"/>
                <w:szCs w:val="5"/>
              </w:rPr>
            </w:pPr>
          </w:p>
        </w:tc>
        <w:tc>
          <w:tcPr>
            <w:tcW w:w="400" w:type="dxa"/>
            <w:tcBorders>
              <w:top w:val="single" w:sz="8" w:space="0" w:color="auto"/>
            </w:tcBorders>
            <w:shd w:val="clear" w:color="auto" w:fill="CCEEFF"/>
            <w:vAlign w:val="bottom"/>
          </w:tcPr>
          <w:p w14:paraId="118F456F" w14:textId="77777777" w:rsidR="00D1587D" w:rsidRDefault="00D1587D">
            <w:pPr>
              <w:rPr>
                <w:sz w:val="5"/>
                <w:szCs w:val="5"/>
              </w:rPr>
            </w:pPr>
          </w:p>
        </w:tc>
        <w:tc>
          <w:tcPr>
            <w:tcW w:w="20" w:type="dxa"/>
            <w:tcBorders>
              <w:top w:val="single" w:sz="8" w:space="0" w:color="auto"/>
            </w:tcBorders>
            <w:shd w:val="clear" w:color="auto" w:fill="CCEEFF"/>
            <w:vAlign w:val="bottom"/>
          </w:tcPr>
          <w:p w14:paraId="40675C89" w14:textId="77777777" w:rsidR="00D1587D" w:rsidRDefault="00D1587D">
            <w:pPr>
              <w:rPr>
                <w:sz w:val="5"/>
                <w:szCs w:val="5"/>
              </w:rPr>
            </w:pPr>
          </w:p>
        </w:tc>
        <w:tc>
          <w:tcPr>
            <w:tcW w:w="240" w:type="dxa"/>
            <w:tcBorders>
              <w:top w:val="single" w:sz="8" w:space="0" w:color="CCEEFF"/>
            </w:tcBorders>
            <w:shd w:val="clear" w:color="auto" w:fill="CCEEFF"/>
            <w:vAlign w:val="bottom"/>
          </w:tcPr>
          <w:p w14:paraId="5855C9DC" w14:textId="77777777" w:rsidR="00D1587D" w:rsidRDefault="00D1587D">
            <w:pPr>
              <w:rPr>
                <w:sz w:val="5"/>
                <w:szCs w:val="5"/>
              </w:rPr>
            </w:pPr>
          </w:p>
        </w:tc>
        <w:tc>
          <w:tcPr>
            <w:tcW w:w="180" w:type="dxa"/>
            <w:tcBorders>
              <w:top w:val="single" w:sz="8" w:space="0" w:color="CCEEFF"/>
            </w:tcBorders>
            <w:shd w:val="clear" w:color="auto" w:fill="CCEEFF"/>
            <w:vAlign w:val="bottom"/>
          </w:tcPr>
          <w:p w14:paraId="6E2DF1CF" w14:textId="77777777" w:rsidR="00D1587D" w:rsidRDefault="00D1587D">
            <w:pPr>
              <w:rPr>
                <w:sz w:val="5"/>
                <w:szCs w:val="5"/>
              </w:rPr>
            </w:pPr>
          </w:p>
        </w:tc>
        <w:tc>
          <w:tcPr>
            <w:tcW w:w="360" w:type="dxa"/>
            <w:tcBorders>
              <w:top w:val="single" w:sz="8" w:space="0" w:color="auto"/>
            </w:tcBorders>
            <w:shd w:val="clear" w:color="auto" w:fill="CCEEFF"/>
            <w:vAlign w:val="bottom"/>
          </w:tcPr>
          <w:p w14:paraId="73A279D2" w14:textId="77777777" w:rsidR="00D1587D" w:rsidRDefault="00D1587D">
            <w:pPr>
              <w:rPr>
                <w:sz w:val="5"/>
                <w:szCs w:val="5"/>
              </w:rPr>
            </w:pPr>
          </w:p>
        </w:tc>
      </w:tr>
      <w:tr w:rsidR="00D1587D" w14:paraId="3E4A909F" w14:textId="77777777">
        <w:trPr>
          <w:trHeight w:val="270"/>
        </w:trPr>
        <w:tc>
          <w:tcPr>
            <w:tcW w:w="7220" w:type="dxa"/>
            <w:vAlign w:val="bottom"/>
          </w:tcPr>
          <w:p w14:paraId="1A33BE8E" w14:textId="77777777" w:rsidR="00D1587D" w:rsidRDefault="00410D07">
            <w:pPr>
              <w:rPr>
                <w:sz w:val="20"/>
                <w:szCs w:val="20"/>
              </w:rPr>
            </w:pPr>
            <w:r>
              <w:rPr>
                <w:rFonts w:ascii="Arial" w:eastAsia="Arial" w:hAnsi="Arial" w:cs="Arial"/>
                <w:b/>
                <w:bCs/>
                <w:sz w:val="18"/>
                <w:szCs w:val="18"/>
              </w:rPr>
              <w:t>Total Net Transfers from (to) L Brands, Inc.</w:t>
            </w:r>
          </w:p>
        </w:tc>
        <w:tc>
          <w:tcPr>
            <w:tcW w:w="660" w:type="dxa"/>
            <w:gridSpan w:val="3"/>
            <w:vAlign w:val="bottom"/>
          </w:tcPr>
          <w:p w14:paraId="4E2216DE" w14:textId="77777777" w:rsidR="00D1587D" w:rsidRDefault="00410D07">
            <w:pPr>
              <w:ind w:right="200"/>
              <w:jc w:val="right"/>
              <w:rPr>
                <w:sz w:val="20"/>
                <w:szCs w:val="20"/>
              </w:rPr>
            </w:pPr>
            <w:r>
              <w:rPr>
                <w:rFonts w:ascii="Arial" w:eastAsia="Arial" w:hAnsi="Arial" w:cs="Arial"/>
                <w:b/>
                <w:bCs/>
                <w:w w:val="93"/>
                <w:sz w:val="18"/>
                <w:szCs w:val="18"/>
              </w:rPr>
              <w:t>$ (61)</w:t>
            </w:r>
          </w:p>
        </w:tc>
        <w:tc>
          <w:tcPr>
            <w:tcW w:w="540" w:type="dxa"/>
            <w:gridSpan w:val="2"/>
            <w:vAlign w:val="bottom"/>
          </w:tcPr>
          <w:p w14:paraId="0CD40EDB" w14:textId="77777777" w:rsidR="00D1587D" w:rsidRDefault="00410D07">
            <w:pPr>
              <w:jc w:val="right"/>
              <w:rPr>
                <w:sz w:val="20"/>
                <w:szCs w:val="20"/>
              </w:rPr>
            </w:pPr>
            <w:r>
              <w:rPr>
                <w:rFonts w:ascii="Arial" w:eastAsia="Arial" w:hAnsi="Arial" w:cs="Arial"/>
                <w:b/>
                <w:bCs/>
                <w:sz w:val="18"/>
                <w:szCs w:val="18"/>
                <w:u w:val="single"/>
              </w:rPr>
              <w:t>$</w:t>
            </w:r>
            <w:r>
              <w:rPr>
                <w:rFonts w:ascii="Arial" w:eastAsia="Arial" w:hAnsi="Arial" w:cs="Arial"/>
                <w:b/>
                <w:bCs/>
                <w:sz w:val="18"/>
                <w:szCs w:val="18"/>
              </w:rPr>
              <w:t>309</w:t>
            </w:r>
          </w:p>
        </w:tc>
      </w:tr>
      <w:tr w:rsidR="00D1587D" w14:paraId="2FE3C7D6" w14:textId="77777777">
        <w:trPr>
          <w:trHeight w:val="21"/>
        </w:trPr>
        <w:tc>
          <w:tcPr>
            <w:tcW w:w="7220" w:type="dxa"/>
            <w:vAlign w:val="bottom"/>
          </w:tcPr>
          <w:p w14:paraId="4D9AEBEB" w14:textId="77777777" w:rsidR="00D1587D" w:rsidRDefault="00D1587D">
            <w:pPr>
              <w:spacing w:line="20" w:lineRule="exact"/>
              <w:rPr>
                <w:sz w:val="1"/>
                <w:szCs w:val="1"/>
              </w:rPr>
            </w:pPr>
          </w:p>
        </w:tc>
        <w:tc>
          <w:tcPr>
            <w:tcW w:w="400" w:type="dxa"/>
            <w:tcBorders>
              <w:top w:val="single" w:sz="8" w:space="0" w:color="auto"/>
              <w:bottom w:val="single" w:sz="8" w:space="0" w:color="auto"/>
            </w:tcBorders>
            <w:vAlign w:val="bottom"/>
          </w:tcPr>
          <w:p w14:paraId="4B596D23" w14:textId="77777777" w:rsidR="00D1587D" w:rsidRDefault="00D1587D">
            <w:pPr>
              <w:spacing w:line="20" w:lineRule="exact"/>
              <w:rPr>
                <w:sz w:val="1"/>
                <w:szCs w:val="1"/>
              </w:rPr>
            </w:pPr>
          </w:p>
        </w:tc>
        <w:tc>
          <w:tcPr>
            <w:tcW w:w="20" w:type="dxa"/>
            <w:vAlign w:val="bottom"/>
          </w:tcPr>
          <w:p w14:paraId="40BCBE97" w14:textId="77777777" w:rsidR="00D1587D" w:rsidRDefault="00D1587D">
            <w:pPr>
              <w:spacing w:line="20" w:lineRule="exact"/>
              <w:rPr>
                <w:sz w:val="1"/>
                <w:szCs w:val="1"/>
              </w:rPr>
            </w:pPr>
          </w:p>
        </w:tc>
        <w:tc>
          <w:tcPr>
            <w:tcW w:w="240" w:type="dxa"/>
            <w:vAlign w:val="bottom"/>
          </w:tcPr>
          <w:p w14:paraId="23E88FC2" w14:textId="77777777" w:rsidR="00D1587D" w:rsidRDefault="00D1587D">
            <w:pPr>
              <w:spacing w:line="20" w:lineRule="exact"/>
              <w:rPr>
                <w:sz w:val="1"/>
                <w:szCs w:val="1"/>
              </w:rPr>
            </w:pPr>
          </w:p>
        </w:tc>
        <w:tc>
          <w:tcPr>
            <w:tcW w:w="180" w:type="dxa"/>
            <w:vAlign w:val="bottom"/>
          </w:tcPr>
          <w:p w14:paraId="2BDFC458" w14:textId="77777777" w:rsidR="00D1587D" w:rsidRDefault="00D1587D">
            <w:pPr>
              <w:spacing w:line="20" w:lineRule="exact"/>
              <w:rPr>
                <w:sz w:val="1"/>
                <w:szCs w:val="1"/>
              </w:rPr>
            </w:pPr>
          </w:p>
        </w:tc>
        <w:tc>
          <w:tcPr>
            <w:tcW w:w="360" w:type="dxa"/>
            <w:tcBorders>
              <w:top w:val="single" w:sz="8" w:space="0" w:color="auto"/>
              <w:bottom w:val="single" w:sz="8" w:space="0" w:color="auto"/>
            </w:tcBorders>
            <w:vAlign w:val="bottom"/>
          </w:tcPr>
          <w:p w14:paraId="427C26A8" w14:textId="77777777" w:rsidR="00D1587D" w:rsidRDefault="00D1587D">
            <w:pPr>
              <w:spacing w:line="20" w:lineRule="exact"/>
              <w:rPr>
                <w:sz w:val="1"/>
                <w:szCs w:val="1"/>
              </w:rPr>
            </w:pPr>
          </w:p>
        </w:tc>
      </w:tr>
    </w:tbl>
    <w:p w14:paraId="50761730" w14:textId="77777777" w:rsidR="00D1587D" w:rsidRDefault="00410D07">
      <w:pPr>
        <w:spacing w:line="20" w:lineRule="exact"/>
        <w:rPr>
          <w:sz w:val="20"/>
          <w:szCs w:val="20"/>
        </w:rPr>
      </w:pPr>
      <w:r>
        <w:rPr>
          <w:noProof/>
          <w:sz w:val="20"/>
          <w:szCs w:val="20"/>
        </w:rPr>
        <w:drawing>
          <wp:anchor distT="0" distB="0" distL="114300" distR="114300" simplePos="0" relativeHeight="252166144" behindDoc="1" locked="0" layoutInCell="0" allowOverlap="1" wp14:anchorId="216E4F68" wp14:editId="1FE90207">
            <wp:simplePos x="0" y="0"/>
            <wp:positionH relativeFrom="column">
              <wp:posOffset>5080000</wp:posOffset>
            </wp:positionH>
            <wp:positionV relativeFrom="paragraph">
              <wp:posOffset>-1439545</wp:posOffset>
            </wp:positionV>
            <wp:extent cx="222885" cy="8890"/>
            <wp:effectExtent l="0" t="0" r="0" b="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57"/>
                    <a:srcRect/>
                    <a:stretch>
                      <a:fillRect/>
                    </a:stretch>
                  </pic:blipFill>
                  <pic:spPr bwMode="auto">
                    <a:xfrm>
                      <a:off x="0" y="0"/>
                      <a:ext cx="222885" cy="8890"/>
                    </a:xfrm>
                    <a:prstGeom prst="rect">
                      <a:avLst/>
                    </a:prstGeom>
                    <a:noFill/>
                  </pic:spPr>
                </pic:pic>
              </a:graphicData>
            </a:graphic>
          </wp:anchor>
        </w:drawing>
      </w:r>
      <w:r>
        <w:rPr>
          <w:noProof/>
          <w:sz w:val="20"/>
          <w:szCs w:val="20"/>
        </w:rPr>
        <w:drawing>
          <wp:anchor distT="0" distB="0" distL="114300" distR="114300" simplePos="0" relativeHeight="252167168" behindDoc="1" locked="0" layoutInCell="0" allowOverlap="1" wp14:anchorId="48FF97B1" wp14:editId="106B3047">
            <wp:simplePos x="0" y="0"/>
            <wp:positionH relativeFrom="column">
              <wp:posOffset>185420</wp:posOffset>
            </wp:positionH>
            <wp:positionV relativeFrom="paragraph">
              <wp:posOffset>111125</wp:posOffset>
            </wp:positionV>
            <wp:extent cx="822960" cy="8890"/>
            <wp:effectExtent l="0" t="0" r="0" b="0"/>
            <wp:wrapNone/>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0"/>
                    <a:srcRect/>
                    <a:stretch>
                      <a:fillRect/>
                    </a:stretch>
                  </pic:blipFill>
                  <pic:spPr bwMode="auto">
                    <a:xfrm>
                      <a:off x="0" y="0"/>
                      <a:ext cx="822960" cy="8890"/>
                    </a:xfrm>
                    <a:prstGeom prst="rect">
                      <a:avLst/>
                    </a:prstGeom>
                    <a:noFill/>
                  </pic:spPr>
                </pic:pic>
              </a:graphicData>
            </a:graphic>
          </wp:anchor>
        </w:drawing>
      </w:r>
    </w:p>
    <w:p w14:paraId="5D6459FD" w14:textId="77777777" w:rsidR="00D1587D" w:rsidRDefault="00D1587D">
      <w:pPr>
        <w:spacing w:line="204" w:lineRule="exact"/>
        <w:rPr>
          <w:sz w:val="20"/>
          <w:szCs w:val="20"/>
        </w:rPr>
      </w:pPr>
    </w:p>
    <w:p w14:paraId="6DDD18AC" w14:textId="77777777" w:rsidR="00D1587D" w:rsidRDefault="00410D07" w:rsidP="00410D07">
      <w:pPr>
        <w:numPr>
          <w:ilvl w:val="0"/>
          <w:numId w:val="346"/>
        </w:numPr>
        <w:tabs>
          <w:tab w:val="left" w:pos="640"/>
        </w:tabs>
        <w:spacing w:line="253" w:lineRule="auto"/>
        <w:ind w:left="640" w:right="739" w:hanging="348"/>
        <w:rPr>
          <w:rFonts w:ascii="Arial" w:eastAsia="Arial" w:hAnsi="Arial" w:cs="Arial"/>
          <w:sz w:val="14"/>
          <w:szCs w:val="14"/>
        </w:rPr>
      </w:pPr>
      <w:r>
        <w:rPr>
          <w:rFonts w:ascii="Arial" w:eastAsia="Arial" w:hAnsi="Arial" w:cs="Arial"/>
          <w:sz w:val="14"/>
          <w:szCs w:val="14"/>
        </w:rPr>
        <w:t xml:space="preserve">Represents long-lived assets transferred to the </w:t>
      </w:r>
      <w:r>
        <w:rPr>
          <w:rFonts w:ascii="Arial" w:eastAsia="Arial" w:hAnsi="Arial" w:cs="Arial"/>
          <w:sz w:val="14"/>
          <w:szCs w:val="14"/>
        </w:rPr>
        <w:t>Company from L Brands, Inc. as a result of asset allocation decisions made during the period.</w:t>
      </w:r>
    </w:p>
    <w:p w14:paraId="56086F8D" w14:textId="77777777" w:rsidR="00D1587D" w:rsidRDefault="00D1587D">
      <w:pPr>
        <w:spacing w:line="191" w:lineRule="exact"/>
        <w:rPr>
          <w:sz w:val="20"/>
          <w:szCs w:val="20"/>
        </w:rPr>
      </w:pPr>
    </w:p>
    <w:p w14:paraId="1CAC51D0" w14:textId="77777777" w:rsidR="00D1587D" w:rsidRDefault="00410D07">
      <w:pPr>
        <w:ind w:left="300"/>
        <w:rPr>
          <w:sz w:val="20"/>
          <w:szCs w:val="20"/>
        </w:rPr>
      </w:pPr>
      <w:r>
        <w:rPr>
          <w:rFonts w:ascii="Arial" w:eastAsia="Arial" w:hAnsi="Arial" w:cs="Arial"/>
          <w:b/>
          <w:bCs/>
          <w:i/>
          <w:iCs/>
          <w:sz w:val="18"/>
          <w:szCs w:val="18"/>
        </w:rPr>
        <w:t>Victoria’s Secret Guarantees</w:t>
      </w:r>
    </w:p>
    <w:p w14:paraId="19CB4705" w14:textId="77777777" w:rsidR="00D1587D" w:rsidRDefault="00D1587D">
      <w:pPr>
        <w:spacing w:line="117" w:lineRule="exact"/>
        <w:rPr>
          <w:sz w:val="20"/>
          <w:szCs w:val="20"/>
        </w:rPr>
      </w:pPr>
    </w:p>
    <w:p w14:paraId="267055F9" w14:textId="77777777" w:rsidR="00D1587D" w:rsidRDefault="00410D07">
      <w:pPr>
        <w:spacing w:line="259" w:lineRule="auto"/>
        <w:ind w:left="300" w:right="439"/>
        <w:jc w:val="both"/>
        <w:rPr>
          <w:sz w:val="20"/>
          <w:szCs w:val="20"/>
        </w:rPr>
      </w:pPr>
      <w:r>
        <w:rPr>
          <w:rFonts w:ascii="Arial" w:eastAsia="Arial" w:hAnsi="Arial" w:cs="Arial"/>
          <w:sz w:val="18"/>
          <w:szCs w:val="18"/>
        </w:rPr>
        <w:t xml:space="preserve">Certain Victoria’s Secret subsidiaries, along with other wholly-owned subsidiaries of L Brands, Inc., guarantee and pledge </w:t>
      </w:r>
      <w:r>
        <w:rPr>
          <w:rFonts w:ascii="Arial" w:eastAsia="Arial" w:hAnsi="Arial" w:cs="Arial"/>
          <w:sz w:val="18"/>
          <w:szCs w:val="18"/>
        </w:rPr>
        <w:t>collateral to secure the L Brands’ asset-backed revolving credit facility (“ABL Facility”). The ABL Facility has aggregate commitments at $1 billion and has an expiration date in August 2024. As of May 1, 2021, there were no borrowings outstanding under th</w:t>
      </w:r>
      <w:r>
        <w:rPr>
          <w:rFonts w:ascii="Arial" w:eastAsia="Arial" w:hAnsi="Arial" w:cs="Arial"/>
          <w:sz w:val="18"/>
          <w:szCs w:val="18"/>
        </w:rPr>
        <w:t>e ABL Facility.</w:t>
      </w:r>
    </w:p>
    <w:p w14:paraId="3E9EEC0D" w14:textId="77777777" w:rsidR="00D1587D" w:rsidRDefault="00D1587D">
      <w:pPr>
        <w:spacing w:line="79" w:lineRule="exact"/>
        <w:rPr>
          <w:sz w:val="20"/>
          <w:szCs w:val="20"/>
        </w:rPr>
      </w:pPr>
    </w:p>
    <w:p w14:paraId="71D28A35" w14:textId="77777777" w:rsidR="00D1587D" w:rsidRDefault="00410D07">
      <w:pPr>
        <w:spacing w:line="259" w:lineRule="auto"/>
        <w:ind w:left="300" w:right="479"/>
        <w:rPr>
          <w:sz w:val="20"/>
          <w:szCs w:val="20"/>
        </w:rPr>
      </w:pPr>
      <w:r>
        <w:rPr>
          <w:rFonts w:ascii="Arial" w:eastAsia="Arial" w:hAnsi="Arial" w:cs="Arial"/>
          <w:sz w:val="18"/>
          <w:szCs w:val="18"/>
        </w:rPr>
        <w:t>Certain Victoria’s Secret subsidiaries, along with other wholly-owned subsidiaries of L Brands, Inc., have also guaranteed L Brands’ obligations under certain of L Brands’ long-term notes. The guarantees are full and unconditional on a joi</w:t>
      </w:r>
      <w:r>
        <w:rPr>
          <w:rFonts w:ascii="Arial" w:eastAsia="Arial" w:hAnsi="Arial" w:cs="Arial"/>
          <w:sz w:val="18"/>
          <w:szCs w:val="18"/>
        </w:rPr>
        <w:t>nt and several basis. The following table provides the outstanding principal balance for these notes as of May 1, 2021:</w:t>
      </w:r>
    </w:p>
    <w:p w14:paraId="350D0B24" w14:textId="77777777" w:rsidR="00D1587D" w:rsidRDefault="00D1587D">
      <w:pPr>
        <w:spacing w:line="138"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480"/>
        <w:gridCol w:w="80"/>
        <w:gridCol w:w="5240"/>
        <w:gridCol w:w="2000"/>
        <w:gridCol w:w="500"/>
        <w:gridCol w:w="120"/>
      </w:tblGrid>
      <w:tr w:rsidR="00D1587D" w14:paraId="1EEFE1B5" w14:textId="77777777">
        <w:trPr>
          <w:trHeight w:val="186"/>
        </w:trPr>
        <w:tc>
          <w:tcPr>
            <w:tcW w:w="480" w:type="dxa"/>
            <w:vAlign w:val="bottom"/>
          </w:tcPr>
          <w:p w14:paraId="50712F88" w14:textId="77777777" w:rsidR="00D1587D" w:rsidRDefault="00D1587D">
            <w:pPr>
              <w:rPr>
                <w:sz w:val="16"/>
                <w:szCs w:val="16"/>
              </w:rPr>
            </w:pPr>
          </w:p>
        </w:tc>
        <w:tc>
          <w:tcPr>
            <w:tcW w:w="80" w:type="dxa"/>
            <w:vAlign w:val="bottom"/>
          </w:tcPr>
          <w:p w14:paraId="21394AE0" w14:textId="77777777" w:rsidR="00D1587D" w:rsidRDefault="00D1587D">
            <w:pPr>
              <w:rPr>
                <w:sz w:val="16"/>
                <w:szCs w:val="16"/>
              </w:rPr>
            </w:pPr>
          </w:p>
        </w:tc>
        <w:tc>
          <w:tcPr>
            <w:tcW w:w="5240" w:type="dxa"/>
            <w:vAlign w:val="bottom"/>
          </w:tcPr>
          <w:p w14:paraId="2DFA3E61" w14:textId="77777777" w:rsidR="00D1587D" w:rsidRDefault="00D1587D">
            <w:pPr>
              <w:rPr>
                <w:sz w:val="16"/>
                <w:szCs w:val="16"/>
              </w:rPr>
            </w:pPr>
          </w:p>
        </w:tc>
        <w:tc>
          <w:tcPr>
            <w:tcW w:w="2620" w:type="dxa"/>
            <w:gridSpan w:val="3"/>
            <w:vAlign w:val="bottom"/>
          </w:tcPr>
          <w:p w14:paraId="7437E242" w14:textId="77777777" w:rsidR="00D1587D" w:rsidRDefault="00410D07">
            <w:pPr>
              <w:ind w:left="1792"/>
              <w:jc w:val="center"/>
              <w:rPr>
                <w:sz w:val="20"/>
                <w:szCs w:val="20"/>
              </w:rPr>
            </w:pPr>
            <w:r>
              <w:rPr>
                <w:rFonts w:ascii="Arial" w:eastAsia="Arial" w:hAnsi="Arial" w:cs="Arial"/>
                <w:b/>
                <w:bCs/>
                <w:w w:val="94"/>
                <w:sz w:val="14"/>
                <w:szCs w:val="14"/>
              </w:rPr>
              <w:t>(in millions)</w:t>
            </w:r>
          </w:p>
        </w:tc>
      </w:tr>
      <w:tr w:rsidR="00D1587D" w14:paraId="01DFE35C" w14:textId="77777777">
        <w:trPr>
          <w:trHeight w:val="53"/>
        </w:trPr>
        <w:tc>
          <w:tcPr>
            <w:tcW w:w="560" w:type="dxa"/>
            <w:gridSpan w:val="2"/>
            <w:vAlign w:val="bottom"/>
          </w:tcPr>
          <w:p w14:paraId="73B2AD99" w14:textId="77777777" w:rsidR="00D1587D" w:rsidRDefault="00D1587D">
            <w:pPr>
              <w:rPr>
                <w:sz w:val="4"/>
                <w:szCs w:val="4"/>
              </w:rPr>
            </w:pPr>
          </w:p>
        </w:tc>
        <w:tc>
          <w:tcPr>
            <w:tcW w:w="5240" w:type="dxa"/>
            <w:vAlign w:val="bottom"/>
          </w:tcPr>
          <w:p w14:paraId="28BAC669" w14:textId="77777777" w:rsidR="00D1587D" w:rsidRDefault="00D1587D">
            <w:pPr>
              <w:rPr>
                <w:sz w:val="4"/>
                <w:szCs w:val="4"/>
              </w:rPr>
            </w:pPr>
          </w:p>
        </w:tc>
        <w:tc>
          <w:tcPr>
            <w:tcW w:w="2000" w:type="dxa"/>
            <w:vAlign w:val="bottom"/>
          </w:tcPr>
          <w:p w14:paraId="205A7F7D" w14:textId="77777777" w:rsidR="00D1587D" w:rsidRDefault="00D1587D">
            <w:pPr>
              <w:rPr>
                <w:sz w:val="4"/>
                <w:szCs w:val="4"/>
              </w:rPr>
            </w:pPr>
          </w:p>
        </w:tc>
        <w:tc>
          <w:tcPr>
            <w:tcW w:w="500" w:type="dxa"/>
            <w:vAlign w:val="bottom"/>
          </w:tcPr>
          <w:p w14:paraId="4AD9B3FA" w14:textId="77777777" w:rsidR="00D1587D" w:rsidRDefault="00D1587D">
            <w:pPr>
              <w:rPr>
                <w:sz w:val="4"/>
                <w:szCs w:val="4"/>
              </w:rPr>
            </w:pPr>
          </w:p>
        </w:tc>
        <w:tc>
          <w:tcPr>
            <w:tcW w:w="120" w:type="dxa"/>
            <w:vAlign w:val="bottom"/>
          </w:tcPr>
          <w:p w14:paraId="1CDA684C" w14:textId="77777777" w:rsidR="00D1587D" w:rsidRDefault="00D1587D">
            <w:pPr>
              <w:rPr>
                <w:sz w:val="4"/>
                <w:szCs w:val="4"/>
              </w:rPr>
            </w:pPr>
          </w:p>
        </w:tc>
      </w:tr>
      <w:tr w:rsidR="00D1587D" w14:paraId="35DD5A01" w14:textId="77777777">
        <w:trPr>
          <w:trHeight w:val="318"/>
        </w:trPr>
        <w:tc>
          <w:tcPr>
            <w:tcW w:w="560" w:type="dxa"/>
            <w:gridSpan w:val="2"/>
            <w:tcBorders>
              <w:bottom w:val="single" w:sz="8" w:space="0" w:color="CCEEFF"/>
            </w:tcBorders>
            <w:shd w:val="clear" w:color="auto" w:fill="CCEEFF"/>
            <w:vAlign w:val="bottom"/>
          </w:tcPr>
          <w:p w14:paraId="0521F94C" w14:textId="77777777" w:rsidR="00D1587D" w:rsidRDefault="00410D07">
            <w:pPr>
              <w:rPr>
                <w:sz w:val="20"/>
                <w:szCs w:val="20"/>
              </w:rPr>
            </w:pPr>
            <w:r>
              <w:rPr>
                <w:rFonts w:ascii="Arial" w:eastAsia="Arial" w:hAnsi="Arial" w:cs="Arial"/>
                <w:w w:val="88"/>
                <w:sz w:val="18"/>
                <w:szCs w:val="18"/>
              </w:rPr>
              <w:t>5.625%</w:t>
            </w:r>
          </w:p>
        </w:tc>
        <w:tc>
          <w:tcPr>
            <w:tcW w:w="5240" w:type="dxa"/>
            <w:tcBorders>
              <w:bottom w:val="single" w:sz="8" w:space="0" w:color="CCEEFF"/>
            </w:tcBorders>
            <w:shd w:val="clear" w:color="auto" w:fill="CCEEFF"/>
            <w:vAlign w:val="bottom"/>
          </w:tcPr>
          <w:p w14:paraId="036586EC" w14:textId="77777777" w:rsidR="00D1587D" w:rsidRDefault="00410D07">
            <w:pPr>
              <w:ind w:left="40"/>
              <w:rPr>
                <w:sz w:val="20"/>
                <w:szCs w:val="20"/>
              </w:rPr>
            </w:pPr>
            <w:r>
              <w:rPr>
                <w:rFonts w:ascii="Arial" w:eastAsia="Arial" w:hAnsi="Arial" w:cs="Arial"/>
                <w:sz w:val="18"/>
                <w:szCs w:val="18"/>
              </w:rPr>
              <w:t>Fixed Interest Rate Notes due October 2023</w:t>
            </w:r>
          </w:p>
        </w:tc>
        <w:tc>
          <w:tcPr>
            <w:tcW w:w="2620" w:type="dxa"/>
            <w:gridSpan w:val="3"/>
            <w:tcBorders>
              <w:bottom w:val="single" w:sz="8" w:space="0" w:color="CCEEFF"/>
            </w:tcBorders>
            <w:shd w:val="clear" w:color="auto" w:fill="CCEEFF"/>
            <w:vAlign w:val="bottom"/>
          </w:tcPr>
          <w:p w14:paraId="68F5B994" w14:textId="77777777" w:rsidR="00D1587D" w:rsidRDefault="00410D07">
            <w:pPr>
              <w:ind w:left="1792"/>
              <w:jc w:val="center"/>
              <w:rPr>
                <w:sz w:val="20"/>
                <w:szCs w:val="20"/>
              </w:rPr>
            </w:pPr>
            <w:r>
              <w:rPr>
                <w:rFonts w:ascii="Arial" w:eastAsia="Arial" w:hAnsi="Arial" w:cs="Arial"/>
                <w:w w:val="99"/>
                <w:sz w:val="18"/>
                <w:szCs w:val="18"/>
              </w:rPr>
              <w:t>$  320</w:t>
            </w:r>
          </w:p>
        </w:tc>
      </w:tr>
      <w:tr w:rsidR="00D1587D" w14:paraId="7899CBFC" w14:textId="77777777">
        <w:trPr>
          <w:trHeight w:val="270"/>
        </w:trPr>
        <w:tc>
          <w:tcPr>
            <w:tcW w:w="560" w:type="dxa"/>
            <w:gridSpan w:val="2"/>
            <w:vAlign w:val="bottom"/>
          </w:tcPr>
          <w:p w14:paraId="07D2B940" w14:textId="77777777" w:rsidR="00D1587D" w:rsidRDefault="00410D07">
            <w:pPr>
              <w:rPr>
                <w:sz w:val="20"/>
                <w:szCs w:val="20"/>
              </w:rPr>
            </w:pPr>
            <w:r>
              <w:rPr>
                <w:rFonts w:ascii="Arial" w:eastAsia="Arial" w:hAnsi="Arial" w:cs="Arial"/>
                <w:w w:val="88"/>
                <w:sz w:val="18"/>
                <w:szCs w:val="18"/>
              </w:rPr>
              <w:t>9.375%</w:t>
            </w:r>
          </w:p>
        </w:tc>
        <w:tc>
          <w:tcPr>
            <w:tcW w:w="5240" w:type="dxa"/>
            <w:vAlign w:val="bottom"/>
          </w:tcPr>
          <w:p w14:paraId="3A197A68" w14:textId="77777777" w:rsidR="00D1587D" w:rsidRDefault="00410D07">
            <w:pPr>
              <w:ind w:left="40"/>
              <w:rPr>
                <w:sz w:val="20"/>
                <w:szCs w:val="20"/>
              </w:rPr>
            </w:pPr>
            <w:r>
              <w:rPr>
                <w:rFonts w:ascii="Arial" w:eastAsia="Arial" w:hAnsi="Arial" w:cs="Arial"/>
                <w:sz w:val="18"/>
                <w:szCs w:val="18"/>
              </w:rPr>
              <w:t>Fixed Interest Rate Notes due July 2025</w:t>
            </w:r>
          </w:p>
        </w:tc>
        <w:tc>
          <w:tcPr>
            <w:tcW w:w="2500" w:type="dxa"/>
            <w:gridSpan w:val="2"/>
            <w:vAlign w:val="bottom"/>
          </w:tcPr>
          <w:p w14:paraId="7E79BD6C" w14:textId="77777777" w:rsidR="00D1587D" w:rsidRDefault="00410D07">
            <w:pPr>
              <w:jc w:val="right"/>
              <w:rPr>
                <w:sz w:val="20"/>
                <w:szCs w:val="20"/>
              </w:rPr>
            </w:pPr>
            <w:r>
              <w:rPr>
                <w:rFonts w:ascii="Arial" w:eastAsia="Arial" w:hAnsi="Arial" w:cs="Arial"/>
                <w:sz w:val="18"/>
                <w:szCs w:val="18"/>
              </w:rPr>
              <w:t>500</w:t>
            </w:r>
          </w:p>
        </w:tc>
        <w:tc>
          <w:tcPr>
            <w:tcW w:w="120" w:type="dxa"/>
            <w:vAlign w:val="bottom"/>
          </w:tcPr>
          <w:p w14:paraId="1F64C9AE" w14:textId="77777777" w:rsidR="00D1587D" w:rsidRDefault="00D1587D">
            <w:pPr>
              <w:rPr>
                <w:sz w:val="23"/>
                <w:szCs w:val="23"/>
              </w:rPr>
            </w:pPr>
          </w:p>
        </w:tc>
      </w:tr>
      <w:tr w:rsidR="00D1587D" w14:paraId="745B9BC9" w14:textId="77777777">
        <w:trPr>
          <w:trHeight w:val="54"/>
        </w:trPr>
        <w:tc>
          <w:tcPr>
            <w:tcW w:w="560" w:type="dxa"/>
            <w:gridSpan w:val="2"/>
            <w:vAlign w:val="bottom"/>
          </w:tcPr>
          <w:p w14:paraId="3F337018" w14:textId="77777777" w:rsidR="00D1587D" w:rsidRDefault="00D1587D">
            <w:pPr>
              <w:rPr>
                <w:sz w:val="4"/>
                <w:szCs w:val="4"/>
              </w:rPr>
            </w:pPr>
          </w:p>
        </w:tc>
        <w:tc>
          <w:tcPr>
            <w:tcW w:w="5240" w:type="dxa"/>
            <w:vAlign w:val="bottom"/>
          </w:tcPr>
          <w:p w14:paraId="336011C6" w14:textId="77777777" w:rsidR="00D1587D" w:rsidRDefault="00D1587D">
            <w:pPr>
              <w:rPr>
                <w:sz w:val="4"/>
                <w:szCs w:val="4"/>
              </w:rPr>
            </w:pPr>
          </w:p>
        </w:tc>
        <w:tc>
          <w:tcPr>
            <w:tcW w:w="2000" w:type="dxa"/>
            <w:vAlign w:val="bottom"/>
          </w:tcPr>
          <w:p w14:paraId="0796B698" w14:textId="77777777" w:rsidR="00D1587D" w:rsidRDefault="00D1587D">
            <w:pPr>
              <w:rPr>
                <w:sz w:val="4"/>
                <w:szCs w:val="4"/>
              </w:rPr>
            </w:pPr>
          </w:p>
        </w:tc>
        <w:tc>
          <w:tcPr>
            <w:tcW w:w="500" w:type="dxa"/>
            <w:vAlign w:val="bottom"/>
          </w:tcPr>
          <w:p w14:paraId="3BE79AA5" w14:textId="77777777" w:rsidR="00D1587D" w:rsidRDefault="00D1587D">
            <w:pPr>
              <w:rPr>
                <w:sz w:val="4"/>
                <w:szCs w:val="4"/>
              </w:rPr>
            </w:pPr>
          </w:p>
        </w:tc>
        <w:tc>
          <w:tcPr>
            <w:tcW w:w="120" w:type="dxa"/>
            <w:vAlign w:val="bottom"/>
          </w:tcPr>
          <w:p w14:paraId="3F2472F9" w14:textId="77777777" w:rsidR="00D1587D" w:rsidRDefault="00D1587D">
            <w:pPr>
              <w:rPr>
                <w:sz w:val="4"/>
                <w:szCs w:val="4"/>
              </w:rPr>
            </w:pPr>
          </w:p>
        </w:tc>
      </w:tr>
      <w:tr w:rsidR="00D1587D" w14:paraId="2B85534F" w14:textId="77777777">
        <w:trPr>
          <w:trHeight w:val="304"/>
        </w:trPr>
        <w:tc>
          <w:tcPr>
            <w:tcW w:w="560" w:type="dxa"/>
            <w:gridSpan w:val="2"/>
            <w:tcBorders>
              <w:bottom w:val="single" w:sz="8" w:space="0" w:color="CCEEFF"/>
            </w:tcBorders>
            <w:shd w:val="clear" w:color="auto" w:fill="CCEEFF"/>
            <w:vAlign w:val="bottom"/>
          </w:tcPr>
          <w:p w14:paraId="79746C58" w14:textId="77777777" w:rsidR="00D1587D" w:rsidRDefault="00410D07">
            <w:pPr>
              <w:rPr>
                <w:sz w:val="20"/>
                <w:szCs w:val="20"/>
              </w:rPr>
            </w:pPr>
            <w:r>
              <w:rPr>
                <w:rFonts w:ascii="Arial" w:eastAsia="Arial" w:hAnsi="Arial" w:cs="Arial"/>
                <w:w w:val="88"/>
                <w:sz w:val="18"/>
                <w:szCs w:val="18"/>
              </w:rPr>
              <w:t>6.694%</w:t>
            </w:r>
          </w:p>
        </w:tc>
        <w:tc>
          <w:tcPr>
            <w:tcW w:w="5240" w:type="dxa"/>
            <w:tcBorders>
              <w:bottom w:val="single" w:sz="8" w:space="0" w:color="CCEEFF"/>
            </w:tcBorders>
            <w:shd w:val="clear" w:color="auto" w:fill="CCEEFF"/>
            <w:vAlign w:val="bottom"/>
          </w:tcPr>
          <w:p w14:paraId="026D75C4" w14:textId="77777777" w:rsidR="00D1587D" w:rsidRDefault="00410D07">
            <w:pPr>
              <w:ind w:left="40"/>
              <w:rPr>
                <w:sz w:val="20"/>
                <w:szCs w:val="20"/>
              </w:rPr>
            </w:pPr>
            <w:r>
              <w:rPr>
                <w:rFonts w:ascii="Arial" w:eastAsia="Arial" w:hAnsi="Arial" w:cs="Arial"/>
                <w:sz w:val="18"/>
                <w:szCs w:val="18"/>
              </w:rPr>
              <w:t>Fixed Interest Rate Notes due January 2027</w:t>
            </w:r>
          </w:p>
        </w:tc>
        <w:tc>
          <w:tcPr>
            <w:tcW w:w="2500" w:type="dxa"/>
            <w:gridSpan w:val="2"/>
            <w:tcBorders>
              <w:bottom w:val="single" w:sz="8" w:space="0" w:color="CCEEFF"/>
            </w:tcBorders>
            <w:shd w:val="clear" w:color="auto" w:fill="CCEEFF"/>
            <w:vAlign w:val="bottom"/>
          </w:tcPr>
          <w:p w14:paraId="3C4B952E" w14:textId="77777777" w:rsidR="00D1587D" w:rsidRDefault="00410D07">
            <w:pPr>
              <w:jc w:val="right"/>
              <w:rPr>
                <w:sz w:val="20"/>
                <w:szCs w:val="20"/>
              </w:rPr>
            </w:pPr>
            <w:r>
              <w:rPr>
                <w:rFonts w:ascii="Arial" w:eastAsia="Arial" w:hAnsi="Arial" w:cs="Arial"/>
                <w:sz w:val="18"/>
                <w:szCs w:val="18"/>
              </w:rPr>
              <w:t>297</w:t>
            </w:r>
          </w:p>
        </w:tc>
        <w:tc>
          <w:tcPr>
            <w:tcW w:w="120" w:type="dxa"/>
            <w:tcBorders>
              <w:bottom w:val="single" w:sz="8" w:space="0" w:color="CCEEFF"/>
            </w:tcBorders>
            <w:shd w:val="clear" w:color="auto" w:fill="CCEEFF"/>
            <w:vAlign w:val="bottom"/>
          </w:tcPr>
          <w:p w14:paraId="3AA6C94D" w14:textId="77777777" w:rsidR="00D1587D" w:rsidRDefault="00D1587D">
            <w:pPr>
              <w:rPr>
                <w:sz w:val="24"/>
                <w:szCs w:val="24"/>
              </w:rPr>
            </w:pPr>
          </w:p>
        </w:tc>
      </w:tr>
      <w:tr w:rsidR="00D1587D" w14:paraId="0391BB6C" w14:textId="77777777">
        <w:trPr>
          <w:trHeight w:val="270"/>
        </w:trPr>
        <w:tc>
          <w:tcPr>
            <w:tcW w:w="480" w:type="dxa"/>
            <w:vAlign w:val="bottom"/>
          </w:tcPr>
          <w:p w14:paraId="34D9CA5A" w14:textId="77777777" w:rsidR="00D1587D" w:rsidRDefault="00410D07">
            <w:pPr>
              <w:rPr>
                <w:sz w:val="20"/>
                <w:szCs w:val="20"/>
              </w:rPr>
            </w:pPr>
            <w:r>
              <w:rPr>
                <w:rFonts w:ascii="Arial" w:eastAsia="Arial" w:hAnsi="Arial" w:cs="Arial"/>
                <w:w w:val="90"/>
                <w:sz w:val="18"/>
                <w:szCs w:val="18"/>
              </w:rPr>
              <w:t>5.25%</w:t>
            </w:r>
          </w:p>
        </w:tc>
        <w:tc>
          <w:tcPr>
            <w:tcW w:w="5320" w:type="dxa"/>
            <w:gridSpan w:val="2"/>
            <w:vAlign w:val="bottom"/>
          </w:tcPr>
          <w:p w14:paraId="2234B191" w14:textId="77777777" w:rsidR="00D1587D" w:rsidRDefault="00410D07">
            <w:pPr>
              <w:ind w:left="20"/>
              <w:rPr>
                <w:sz w:val="20"/>
                <w:szCs w:val="20"/>
              </w:rPr>
            </w:pPr>
            <w:r>
              <w:rPr>
                <w:rFonts w:ascii="Arial" w:eastAsia="Arial" w:hAnsi="Arial" w:cs="Arial"/>
                <w:sz w:val="18"/>
                <w:szCs w:val="18"/>
              </w:rPr>
              <w:t>Fixed Interest Rate Notes due February 2028</w:t>
            </w:r>
          </w:p>
        </w:tc>
        <w:tc>
          <w:tcPr>
            <w:tcW w:w="2500" w:type="dxa"/>
            <w:gridSpan w:val="2"/>
            <w:vAlign w:val="bottom"/>
          </w:tcPr>
          <w:p w14:paraId="5A8CDD78" w14:textId="77777777" w:rsidR="00D1587D" w:rsidRDefault="00410D07">
            <w:pPr>
              <w:jc w:val="right"/>
              <w:rPr>
                <w:sz w:val="20"/>
                <w:szCs w:val="20"/>
              </w:rPr>
            </w:pPr>
            <w:r>
              <w:rPr>
                <w:rFonts w:ascii="Arial" w:eastAsia="Arial" w:hAnsi="Arial" w:cs="Arial"/>
                <w:sz w:val="18"/>
                <w:szCs w:val="18"/>
              </w:rPr>
              <w:t>500</w:t>
            </w:r>
          </w:p>
        </w:tc>
        <w:tc>
          <w:tcPr>
            <w:tcW w:w="120" w:type="dxa"/>
            <w:vAlign w:val="bottom"/>
          </w:tcPr>
          <w:p w14:paraId="69191D9B" w14:textId="77777777" w:rsidR="00D1587D" w:rsidRDefault="00D1587D">
            <w:pPr>
              <w:rPr>
                <w:sz w:val="23"/>
                <w:szCs w:val="23"/>
              </w:rPr>
            </w:pPr>
          </w:p>
        </w:tc>
      </w:tr>
      <w:tr w:rsidR="00D1587D" w14:paraId="7E377F5B" w14:textId="77777777">
        <w:trPr>
          <w:trHeight w:val="54"/>
        </w:trPr>
        <w:tc>
          <w:tcPr>
            <w:tcW w:w="480" w:type="dxa"/>
            <w:vAlign w:val="bottom"/>
          </w:tcPr>
          <w:p w14:paraId="08CFD83C" w14:textId="77777777" w:rsidR="00D1587D" w:rsidRDefault="00D1587D">
            <w:pPr>
              <w:rPr>
                <w:sz w:val="4"/>
                <w:szCs w:val="4"/>
              </w:rPr>
            </w:pPr>
          </w:p>
        </w:tc>
        <w:tc>
          <w:tcPr>
            <w:tcW w:w="5320" w:type="dxa"/>
            <w:gridSpan w:val="2"/>
            <w:vAlign w:val="bottom"/>
          </w:tcPr>
          <w:p w14:paraId="28A7198A" w14:textId="77777777" w:rsidR="00D1587D" w:rsidRDefault="00D1587D">
            <w:pPr>
              <w:rPr>
                <w:sz w:val="4"/>
                <w:szCs w:val="4"/>
              </w:rPr>
            </w:pPr>
          </w:p>
        </w:tc>
        <w:tc>
          <w:tcPr>
            <w:tcW w:w="2000" w:type="dxa"/>
            <w:vAlign w:val="bottom"/>
          </w:tcPr>
          <w:p w14:paraId="2D8B8F43" w14:textId="77777777" w:rsidR="00D1587D" w:rsidRDefault="00D1587D">
            <w:pPr>
              <w:rPr>
                <w:sz w:val="4"/>
                <w:szCs w:val="4"/>
              </w:rPr>
            </w:pPr>
          </w:p>
        </w:tc>
        <w:tc>
          <w:tcPr>
            <w:tcW w:w="500" w:type="dxa"/>
            <w:vAlign w:val="bottom"/>
          </w:tcPr>
          <w:p w14:paraId="5E03C5CB" w14:textId="77777777" w:rsidR="00D1587D" w:rsidRDefault="00D1587D">
            <w:pPr>
              <w:rPr>
                <w:sz w:val="4"/>
                <w:szCs w:val="4"/>
              </w:rPr>
            </w:pPr>
          </w:p>
        </w:tc>
        <w:tc>
          <w:tcPr>
            <w:tcW w:w="120" w:type="dxa"/>
            <w:vAlign w:val="bottom"/>
          </w:tcPr>
          <w:p w14:paraId="51C7EF63" w14:textId="77777777" w:rsidR="00D1587D" w:rsidRDefault="00D1587D">
            <w:pPr>
              <w:rPr>
                <w:sz w:val="4"/>
                <w:szCs w:val="4"/>
              </w:rPr>
            </w:pPr>
          </w:p>
        </w:tc>
      </w:tr>
      <w:tr w:rsidR="00D1587D" w14:paraId="2E735005" w14:textId="77777777">
        <w:trPr>
          <w:trHeight w:val="304"/>
        </w:trPr>
        <w:tc>
          <w:tcPr>
            <w:tcW w:w="480" w:type="dxa"/>
            <w:tcBorders>
              <w:bottom w:val="single" w:sz="8" w:space="0" w:color="CCEEFF"/>
            </w:tcBorders>
            <w:shd w:val="clear" w:color="auto" w:fill="CCEEFF"/>
            <w:vAlign w:val="bottom"/>
          </w:tcPr>
          <w:p w14:paraId="321DB075" w14:textId="77777777" w:rsidR="00D1587D" w:rsidRDefault="00410D07">
            <w:pPr>
              <w:rPr>
                <w:sz w:val="20"/>
                <w:szCs w:val="20"/>
              </w:rPr>
            </w:pPr>
            <w:r>
              <w:rPr>
                <w:rFonts w:ascii="Arial" w:eastAsia="Arial" w:hAnsi="Arial" w:cs="Arial"/>
                <w:w w:val="90"/>
                <w:sz w:val="18"/>
                <w:szCs w:val="18"/>
              </w:rPr>
              <w:t>7.50%</w:t>
            </w:r>
          </w:p>
        </w:tc>
        <w:tc>
          <w:tcPr>
            <w:tcW w:w="5320" w:type="dxa"/>
            <w:gridSpan w:val="2"/>
            <w:tcBorders>
              <w:bottom w:val="single" w:sz="8" w:space="0" w:color="CCEEFF"/>
            </w:tcBorders>
            <w:shd w:val="clear" w:color="auto" w:fill="CCEEFF"/>
            <w:vAlign w:val="bottom"/>
          </w:tcPr>
          <w:p w14:paraId="38074FA5" w14:textId="77777777" w:rsidR="00D1587D" w:rsidRDefault="00410D07">
            <w:pPr>
              <w:ind w:left="20"/>
              <w:rPr>
                <w:sz w:val="20"/>
                <w:szCs w:val="20"/>
              </w:rPr>
            </w:pPr>
            <w:r>
              <w:rPr>
                <w:rFonts w:ascii="Arial" w:eastAsia="Arial" w:hAnsi="Arial" w:cs="Arial"/>
                <w:sz w:val="18"/>
                <w:szCs w:val="18"/>
              </w:rPr>
              <w:t>Fixed Interest Rate Notes due June 2029</w:t>
            </w:r>
          </w:p>
        </w:tc>
        <w:tc>
          <w:tcPr>
            <w:tcW w:w="2500" w:type="dxa"/>
            <w:gridSpan w:val="2"/>
            <w:tcBorders>
              <w:bottom w:val="single" w:sz="8" w:space="0" w:color="CCEEFF"/>
            </w:tcBorders>
            <w:shd w:val="clear" w:color="auto" w:fill="CCEEFF"/>
            <w:vAlign w:val="bottom"/>
          </w:tcPr>
          <w:p w14:paraId="0B87504D" w14:textId="77777777" w:rsidR="00D1587D" w:rsidRDefault="00410D07">
            <w:pPr>
              <w:jc w:val="right"/>
              <w:rPr>
                <w:sz w:val="20"/>
                <w:szCs w:val="20"/>
              </w:rPr>
            </w:pPr>
            <w:r>
              <w:rPr>
                <w:rFonts w:ascii="Arial" w:eastAsia="Arial" w:hAnsi="Arial" w:cs="Arial"/>
                <w:sz w:val="18"/>
                <w:szCs w:val="18"/>
              </w:rPr>
              <w:t>500</w:t>
            </w:r>
          </w:p>
        </w:tc>
        <w:tc>
          <w:tcPr>
            <w:tcW w:w="120" w:type="dxa"/>
            <w:tcBorders>
              <w:bottom w:val="single" w:sz="8" w:space="0" w:color="CCEEFF"/>
            </w:tcBorders>
            <w:shd w:val="clear" w:color="auto" w:fill="CCEEFF"/>
            <w:vAlign w:val="bottom"/>
          </w:tcPr>
          <w:p w14:paraId="612047E7" w14:textId="77777777" w:rsidR="00D1587D" w:rsidRDefault="00D1587D">
            <w:pPr>
              <w:rPr>
                <w:sz w:val="24"/>
                <w:szCs w:val="24"/>
              </w:rPr>
            </w:pPr>
          </w:p>
        </w:tc>
      </w:tr>
      <w:tr w:rsidR="00D1587D" w14:paraId="33A77D0C" w14:textId="77777777">
        <w:trPr>
          <w:trHeight w:val="270"/>
        </w:trPr>
        <w:tc>
          <w:tcPr>
            <w:tcW w:w="560" w:type="dxa"/>
            <w:gridSpan w:val="2"/>
            <w:vAlign w:val="bottom"/>
          </w:tcPr>
          <w:p w14:paraId="18D1A743" w14:textId="77777777" w:rsidR="00D1587D" w:rsidRDefault="00410D07">
            <w:pPr>
              <w:rPr>
                <w:sz w:val="20"/>
                <w:szCs w:val="20"/>
              </w:rPr>
            </w:pPr>
            <w:r>
              <w:rPr>
                <w:rFonts w:ascii="Arial" w:eastAsia="Arial" w:hAnsi="Arial" w:cs="Arial"/>
                <w:w w:val="88"/>
                <w:sz w:val="18"/>
                <w:szCs w:val="18"/>
              </w:rPr>
              <w:t>6.625%</w:t>
            </w:r>
          </w:p>
        </w:tc>
        <w:tc>
          <w:tcPr>
            <w:tcW w:w="5240" w:type="dxa"/>
            <w:vAlign w:val="bottom"/>
          </w:tcPr>
          <w:p w14:paraId="3E0A67D8" w14:textId="77777777" w:rsidR="00D1587D" w:rsidRDefault="00410D07">
            <w:pPr>
              <w:ind w:left="40"/>
              <w:rPr>
                <w:sz w:val="20"/>
                <w:szCs w:val="20"/>
              </w:rPr>
            </w:pPr>
            <w:r>
              <w:rPr>
                <w:rFonts w:ascii="Arial" w:eastAsia="Arial" w:hAnsi="Arial" w:cs="Arial"/>
                <w:sz w:val="18"/>
                <w:szCs w:val="18"/>
              </w:rPr>
              <w:t>Fixed Interest Rate Notes due October 2030</w:t>
            </w:r>
          </w:p>
        </w:tc>
        <w:tc>
          <w:tcPr>
            <w:tcW w:w="2500" w:type="dxa"/>
            <w:gridSpan w:val="2"/>
            <w:vAlign w:val="bottom"/>
          </w:tcPr>
          <w:p w14:paraId="303E8D48" w14:textId="77777777" w:rsidR="00D1587D" w:rsidRDefault="00410D07">
            <w:pPr>
              <w:jc w:val="right"/>
              <w:rPr>
                <w:sz w:val="20"/>
                <w:szCs w:val="20"/>
              </w:rPr>
            </w:pPr>
            <w:r>
              <w:rPr>
                <w:rFonts w:ascii="Arial" w:eastAsia="Arial" w:hAnsi="Arial" w:cs="Arial"/>
                <w:sz w:val="18"/>
                <w:szCs w:val="18"/>
              </w:rPr>
              <w:t>1,000</w:t>
            </w:r>
          </w:p>
        </w:tc>
        <w:tc>
          <w:tcPr>
            <w:tcW w:w="120" w:type="dxa"/>
            <w:vAlign w:val="bottom"/>
          </w:tcPr>
          <w:p w14:paraId="6ABEC564" w14:textId="77777777" w:rsidR="00D1587D" w:rsidRDefault="00D1587D">
            <w:pPr>
              <w:rPr>
                <w:sz w:val="23"/>
                <w:szCs w:val="23"/>
              </w:rPr>
            </w:pPr>
          </w:p>
        </w:tc>
      </w:tr>
      <w:tr w:rsidR="00D1587D" w14:paraId="7C04186A" w14:textId="77777777">
        <w:trPr>
          <w:trHeight w:val="54"/>
        </w:trPr>
        <w:tc>
          <w:tcPr>
            <w:tcW w:w="560" w:type="dxa"/>
            <w:gridSpan w:val="2"/>
            <w:vAlign w:val="bottom"/>
          </w:tcPr>
          <w:p w14:paraId="3B750888" w14:textId="77777777" w:rsidR="00D1587D" w:rsidRDefault="00D1587D">
            <w:pPr>
              <w:rPr>
                <w:sz w:val="4"/>
                <w:szCs w:val="4"/>
              </w:rPr>
            </w:pPr>
          </w:p>
        </w:tc>
        <w:tc>
          <w:tcPr>
            <w:tcW w:w="5240" w:type="dxa"/>
            <w:vAlign w:val="bottom"/>
          </w:tcPr>
          <w:p w14:paraId="13D514B6" w14:textId="77777777" w:rsidR="00D1587D" w:rsidRDefault="00D1587D">
            <w:pPr>
              <w:rPr>
                <w:sz w:val="4"/>
                <w:szCs w:val="4"/>
              </w:rPr>
            </w:pPr>
          </w:p>
        </w:tc>
        <w:tc>
          <w:tcPr>
            <w:tcW w:w="2000" w:type="dxa"/>
            <w:vAlign w:val="bottom"/>
          </w:tcPr>
          <w:p w14:paraId="708852A5" w14:textId="77777777" w:rsidR="00D1587D" w:rsidRDefault="00D1587D">
            <w:pPr>
              <w:rPr>
                <w:sz w:val="4"/>
                <w:szCs w:val="4"/>
              </w:rPr>
            </w:pPr>
          </w:p>
        </w:tc>
        <w:tc>
          <w:tcPr>
            <w:tcW w:w="500" w:type="dxa"/>
            <w:vAlign w:val="bottom"/>
          </w:tcPr>
          <w:p w14:paraId="38D77D8D" w14:textId="77777777" w:rsidR="00D1587D" w:rsidRDefault="00D1587D">
            <w:pPr>
              <w:rPr>
                <w:sz w:val="4"/>
                <w:szCs w:val="4"/>
              </w:rPr>
            </w:pPr>
          </w:p>
        </w:tc>
        <w:tc>
          <w:tcPr>
            <w:tcW w:w="120" w:type="dxa"/>
            <w:vAlign w:val="bottom"/>
          </w:tcPr>
          <w:p w14:paraId="3DF85C92" w14:textId="77777777" w:rsidR="00D1587D" w:rsidRDefault="00D1587D">
            <w:pPr>
              <w:rPr>
                <w:sz w:val="4"/>
                <w:szCs w:val="4"/>
              </w:rPr>
            </w:pPr>
          </w:p>
        </w:tc>
      </w:tr>
      <w:tr w:rsidR="00D1587D" w14:paraId="35E30E91" w14:textId="77777777">
        <w:trPr>
          <w:trHeight w:val="304"/>
        </w:trPr>
        <w:tc>
          <w:tcPr>
            <w:tcW w:w="560" w:type="dxa"/>
            <w:gridSpan w:val="2"/>
            <w:tcBorders>
              <w:bottom w:val="single" w:sz="8" w:space="0" w:color="CCEEFF"/>
            </w:tcBorders>
            <w:shd w:val="clear" w:color="auto" w:fill="CCEEFF"/>
            <w:vAlign w:val="bottom"/>
          </w:tcPr>
          <w:p w14:paraId="4429905F" w14:textId="77777777" w:rsidR="00D1587D" w:rsidRDefault="00410D07">
            <w:pPr>
              <w:rPr>
                <w:sz w:val="20"/>
                <w:szCs w:val="20"/>
              </w:rPr>
            </w:pPr>
            <w:r>
              <w:rPr>
                <w:rFonts w:ascii="Arial" w:eastAsia="Arial" w:hAnsi="Arial" w:cs="Arial"/>
                <w:w w:val="88"/>
                <w:sz w:val="18"/>
                <w:szCs w:val="18"/>
              </w:rPr>
              <w:t>6.875%</w:t>
            </w:r>
          </w:p>
        </w:tc>
        <w:tc>
          <w:tcPr>
            <w:tcW w:w="5240" w:type="dxa"/>
            <w:tcBorders>
              <w:bottom w:val="single" w:sz="8" w:space="0" w:color="CCEEFF"/>
            </w:tcBorders>
            <w:shd w:val="clear" w:color="auto" w:fill="CCEEFF"/>
            <w:vAlign w:val="bottom"/>
          </w:tcPr>
          <w:p w14:paraId="09945BB7" w14:textId="77777777" w:rsidR="00D1587D" w:rsidRDefault="00410D07">
            <w:pPr>
              <w:ind w:left="40"/>
              <w:rPr>
                <w:sz w:val="20"/>
                <w:szCs w:val="20"/>
              </w:rPr>
            </w:pPr>
            <w:r>
              <w:rPr>
                <w:rFonts w:ascii="Arial" w:eastAsia="Arial" w:hAnsi="Arial" w:cs="Arial"/>
                <w:sz w:val="18"/>
                <w:szCs w:val="18"/>
              </w:rPr>
              <w:t>Fixed Interest Rate Notes due November 2035</w:t>
            </w:r>
          </w:p>
        </w:tc>
        <w:tc>
          <w:tcPr>
            <w:tcW w:w="2500" w:type="dxa"/>
            <w:gridSpan w:val="2"/>
            <w:tcBorders>
              <w:bottom w:val="single" w:sz="8" w:space="0" w:color="CCEEFF"/>
            </w:tcBorders>
            <w:shd w:val="clear" w:color="auto" w:fill="CCEEFF"/>
            <w:vAlign w:val="bottom"/>
          </w:tcPr>
          <w:p w14:paraId="1B8F2EBC" w14:textId="77777777" w:rsidR="00D1587D" w:rsidRDefault="00410D07">
            <w:pPr>
              <w:jc w:val="right"/>
              <w:rPr>
                <w:sz w:val="20"/>
                <w:szCs w:val="20"/>
              </w:rPr>
            </w:pPr>
            <w:r>
              <w:rPr>
                <w:rFonts w:ascii="Arial" w:eastAsia="Arial" w:hAnsi="Arial" w:cs="Arial"/>
                <w:sz w:val="18"/>
                <w:szCs w:val="18"/>
              </w:rPr>
              <w:t>1,000</w:t>
            </w:r>
          </w:p>
        </w:tc>
        <w:tc>
          <w:tcPr>
            <w:tcW w:w="120" w:type="dxa"/>
            <w:tcBorders>
              <w:bottom w:val="single" w:sz="8" w:space="0" w:color="CCEEFF"/>
            </w:tcBorders>
            <w:shd w:val="clear" w:color="auto" w:fill="CCEEFF"/>
            <w:vAlign w:val="bottom"/>
          </w:tcPr>
          <w:p w14:paraId="5F009F10" w14:textId="77777777" w:rsidR="00D1587D" w:rsidRDefault="00D1587D">
            <w:pPr>
              <w:rPr>
                <w:sz w:val="24"/>
                <w:szCs w:val="24"/>
              </w:rPr>
            </w:pPr>
          </w:p>
        </w:tc>
      </w:tr>
      <w:tr w:rsidR="00D1587D" w14:paraId="22807B9B" w14:textId="77777777">
        <w:trPr>
          <w:trHeight w:val="270"/>
        </w:trPr>
        <w:tc>
          <w:tcPr>
            <w:tcW w:w="480" w:type="dxa"/>
            <w:vAlign w:val="bottom"/>
          </w:tcPr>
          <w:p w14:paraId="62B29DC6" w14:textId="77777777" w:rsidR="00D1587D" w:rsidRDefault="00410D07">
            <w:pPr>
              <w:rPr>
                <w:sz w:val="20"/>
                <w:szCs w:val="20"/>
              </w:rPr>
            </w:pPr>
            <w:r>
              <w:rPr>
                <w:rFonts w:ascii="Arial" w:eastAsia="Arial" w:hAnsi="Arial" w:cs="Arial"/>
                <w:w w:val="90"/>
                <w:sz w:val="18"/>
                <w:szCs w:val="18"/>
              </w:rPr>
              <w:t>6.75%</w:t>
            </w:r>
          </w:p>
        </w:tc>
        <w:tc>
          <w:tcPr>
            <w:tcW w:w="5320" w:type="dxa"/>
            <w:gridSpan w:val="2"/>
            <w:vAlign w:val="bottom"/>
          </w:tcPr>
          <w:p w14:paraId="795BB19B" w14:textId="77777777" w:rsidR="00D1587D" w:rsidRDefault="00410D07">
            <w:pPr>
              <w:ind w:left="20"/>
              <w:rPr>
                <w:sz w:val="20"/>
                <w:szCs w:val="20"/>
              </w:rPr>
            </w:pPr>
            <w:r>
              <w:rPr>
                <w:rFonts w:ascii="Arial" w:eastAsia="Arial" w:hAnsi="Arial" w:cs="Arial"/>
                <w:sz w:val="18"/>
                <w:szCs w:val="18"/>
              </w:rPr>
              <w:t>Fixed Interest Rate Notes due July 2036</w:t>
            </w:r>
          </w:p>
        </w:tc>
        <w:tc>
          <w:tcPr>
            <w:tcW w:w="2500" w:type="dxa"/>
            <w:gridSpan w:val="2"/>
            <w:vAlign w:val="bottom"/>
          </w:tcPr>
          <w:p w14:paraId="4DB9911A" w14:textId="77777777" w:rsidR="00D1587D" w:rsidRDefault="00410D07">
            <w:pPr>
              <w:jc w:val="right"/>
              <w:rPr>
                <w:sz w:val="20"/>
                <w:szCs w:val="20"/>
              </w:rPr>
            </w:pPr>
            <w:r>
              <w:rPr>
                <w:rFonts w:ascii="Arial" w:eastAsia="Arial" w:hAnsi="Arial" w:cs="Arial"/>
                <w:sz w:val="18"/>
                <w:szCs w:val="18"/>
              </w:rPr>
              <w:t>700</w:t>
            </w:r>
          </w:p>
        </w:tc>
        <w:tc>
          <w:tcPr>
            <w:tcW w:w="120" w:type="dxa"/>
            <w:vAlign w:val="bottom"/>
          </w:tcPr>
          <w:p w14:paraId="63006DC8" w14:textId="77777777" w:rsidR="00D1587D" w:rsidRDefault="00D1587D">
            <w:pPr>
              <w:rPr>
                <w:sz w:val="23"/>
                <w:szCs w:val="23"/>
              </w:rPr>
            </w:pPr>
          </w:p>
        </w:tc>
      </w:tr>
      <w:tr w:rsidR="00D1587D" w14:paraId="704F6A4A" w14:textId="77777777">
        <w:trPr>
          <w:trHeight w:val="48"/>
        </w:trPr>
        <w:tc>
          <w:tcPr>
            <w:tcW w:w="480" w:type="dxa"/>
            <w:vAlign w:val="bottom"/>
          </w:tcPr>
          <w:p w14:paraId="3612BD01" w14:textId="77777777" w:rsidR="00D1587D" w:rsidRDefault="00D1587D">
            <w:pPr>
              <w:rPr>
                <w:sz w:val="4"/>
                <w:szCs w:val="4"/>
              </w:rPr>
            </w:pPr>
          </w:p>
        </w:tc>
        <w:tc>
          <w:tcPr>
            <w:tcW w:w="80" w:type="dxa"/>
            <w:vAlign w:val="bottom"/>
          </w:tcPr>
          <w:p w14:paraId="07E9A516" w14:textId="77777777" w:rsidR="00D1587D" w:rsidRDefault="00D1587D">
            <w:pPr>
              <w:rPr>
                <w:sz w:val="4"/>
                <w:szCs w:val="4"/>
              </w:rPr>
            </w:pPr>
          </w:p>
        </w:tc>
        <w:tc>
          <w:tcPr>
            <w:tcW w:w="5240" w:type="dxa"/>
            <w:vAlign w:val="bottom"/>
          </w:tcPr>
          <w:p w14:paraId="296EE8AD" w14:textId="77777777" w:rsidR="00D1587D" w:rsidRDefault="00D1587D">
            <w:pPr>
              <w:rPr>
                <w:sz w:val="4"/>
                <w:szCs w:val="4"/>
              </w:rPr>
            </w:pPr>
          </w:p>
        </w:tc>
        <w:tc>
          <w:tcPr>
            <w:tcW w:w="2000" w:type="dxa"/>
            <w:vAlign w:val="bottom"/>
          </w:tcPr>
          <w:p w14:paraId="1EE10AB8" w14:textId="77777777" w:rsidR="00D1587D" w:rsidRDefault="00D1587D">
            <w:pPr>
              <w:rPr>
                <w:sz w:val="4"/>
                <w:szCs w:val="4"/>
              </w:rPr>
            </w:pPr>
          </w:p>
        </w:tc>
        <w:tc>
          <w:tcPr>
            <w:tcW w:w="500" w:type="dxa"/>
            <w:tcBorders>
              <w:top w:val="single" w:sz="8" w:space="0" w:color="auto"/>
            </w:tcBorders>
            <w:vAlign w:val="bottom"/>
          </w:tcPr>
          <w:p w14:paraId="3A64EE77" w14:textId="77777777" w:rsidR="00D1587D" w:rsidRDefault="00D1587D">
            <w:pPr>
              <w:rPr>
                <w:sz w:val="4"/>
                <w:szCs w:val="4"/>
              </w:rPr>
            </w:pPr>
          </w:p>
        </w:tc>
        <w:tc>
          <w:tcPr>
            <w:tcW w:w="120" w:type="dxa"/>
            <w:vAlign w:val="bottom"/>
          </w:tcPr>
          <w:p w14:paraId="4D1D18DB" w14:textId="77777777" w:rsidR="00D1587D" w:rsidRDefault="00D1587D">
            <w:pPr>
              <w:rPr>
                <w:sz w:val="4"/>
                <w:szCs w:val="4"/>
              </w:rPr>
            </w:pPr>
          </w:p>
        </w:tc>
      </w:tr>
      <w:tr w:rsidR="00D1587D" w14:paraId="11D4E368" w14:textId="77777777">
        <w:trPr>
          <w:trHeight w:val="318"/>
        </w:trPr>
        <w:tc>
          <w:tcPr>
            <w:tcW w:w="480" w:type="dxa"/>
            <w:tcBorders>
              <w:bottom w:val="single" w:sz="8" w:space="0" w:color="CCEEFF"/>
            </w:tcBorders>
            <w:shd w:val="clear" w:color="auto" w:fill="CCEEFF"/>
            <w:vAlign w:val="bottom"/>
          </w:tcPr>
          <w:p w14:paraId="31AD85D4" w14:textId="77777777" w:rsidR="00D1587D" w:rsidRDefault="00410D07">
            <w:pPr>
              <w:rPr>
                <w:sz w:val="20"/>
                <w:szCs w:val="20"/>
              </w:rPr>
            </w:pPr>
            <w:r>
              <w:rPr>
                <w:rFonts w:ascii="Arial" w:eastAsia="Arial" w:hAnsi="Arial" w:cs="Arial"/>
                <w:b/>
                <w:bCs/>
                <w:sz w:val="18"/>
                <w:szCs w:val="18"/>
              </w:rPr>
              <w:t>Total</w:t>
            </w:r>
          </w:p>
        </w:tc>
        <w:tc>
          <w:tcPr>
            <w:tcW w:w="80" w:type="dxa"/>
            <w:tcBorders>
              <w:bottom w:val="single" w:sz="8" w:space="0" w:color="CCEEFF"/>
            </w:tcBorders>
            <w:shd w:val="clear" w:color="auto" w:fill="CCEEFF"/>
            <w:vAlign w:val="bottom"/>
          </w:tcPr>
          <w:p w14:paraId="68F3F40C" w14:textId="77777777" w:rsidR="00D1587D" w:rsidRDefault="00D1587D">
            <w:pPr>
              <w:rPr>
                <w:sz w:val="24"/>
                <w:szCs w:val="24"/>
              </w:rPr>
            </w:pPr>
          </w:p>
        </w:tc>
        <w:tc>
          <w:tcPr>
            <w:tcW w:w="5240" w:type="dxa"/>
            <w:tcBorders>
              <w:bottom w:val="single" w:sz="8" w:space="0" w:color="CCEEFF"/>
            </w:tcBorders>
            <w:shd w:val="clear" w:color="auto" w:fill="CCEEFF"/>
            <w:vAlign w:val="bottom"/>
          </w:tcPr>
          <w:p w14:paraId="71E66EFC" w14:textId="77777777" w:rsidR="00D1587D" w:rsidRDefault="00D1587D">
            <w:pPr>
              <w:rPr>
                <w:sz w:val="24"/>
                <w:szCs w:val="24"/>
              </w:rPr>
            </w:pPr>
          </w:p>
        </w:tc>
        <w:tc>
          <w:tcPr>
            <w:tcW w:w="2000" w:type="dxa"/>
            <w:tcBorders>
              <w:bottom w:val="single" w:sz="8" w:space="0" w:color="CCEEFF"/>
            </w:tcBorders>
            <w:shd w:val="clear" w:color="auto" w:fill="CCEEFF"/>
            <w:vAlign w:val="bottom"/>
          </w:tcPr>
          <w:p w14:paraId="303CB8B4" w14:textId="77777777" w:rsidR="00D1587D" w:rsidRDefault="00D1587D">
            <w:pPr>
              <w:rPr>
                <w:sz w:val="24"/>
                <w:szCs w:val="24"/>
              </w:rPr>
            </w:pPr>
          </w:p>
        </w:tc>
        <w:tc>
          <w:tcPr>
            <w:tcW w:w="500" w:type="dxa"/>
            <w:tcBorders>
              <w:bottom w:val="single" w:sz="8" w:space="0" w:color="auto"/>
            </w:tcBorders>
            <w:shd w:val="clear" w:color="auto" w:fill="CCEEFF"/>
            <w:vAlign w:val="bottom"/>
          </w:tcPr>
          <w:p w14:paraId="24868E4F" w14:textId="77777777" w:rsidR="00D1587D" w:rsidRDefault="00410D07">
            <w:pPr>
              <w:jc w:val="center"/>
              <w:rPr>
                <w:sz w:val="20"/>
                <w:szCs w:val="20"/>
              </w:rPr>
            </w:pPr>
            <w:r>
              <w:rPr>
                <w:rFonts w:ascii="Arial" w:eastAsia="Arial" w:hAnsi="Arial" w:cs="Arial"/>
                <w:b/>
                <w:bCs/>
                <w:w w:val="90"/>
                <w:sz w:val="18"/>
                <w:szCs w:val="18"/>
                <w:u w:val="single"/>
              </w:rPr>
              <w:t>$</w:t>
            </w:r>
            <w:r>
              <w:rPr>
                <w:rFonts w:ascii="Arial" w:eastAsia="Arial" w:hAnsi="Arial" w:cs="Arial"/>
                <w:b/>
                <w:bCs/>
                <w:w w:val="90"/>
                <w:sz w:val="18"/>
                <w:szCs w:val="18"/>
              </w:rPr>
              <w:t>4,817</w:t>
            </w:r>
          </w:p>
        </w:tc>
        <w:tc>
          <w:tcPr>
            <w:tcW w:w="120" w:type="dxa"/>
            <w:tcBorders>
              <w:bottom w:val="single" w:sz="8" w:space="0" w:color="CCEEFF"/>
            </w:tcBorders>
            <w:shd w:val="clear" w:color="auto" w:fill="CCEEFF"/>
            <w:vAlign w:val="bottom"/>
          </w:tcPr>
          <w:p w14:paraId="590E3A06" w14:textId="77777777" w:rsidR="00D1587D" w:rsidRDefault="00D1587D">
            <w:pPr>
              <w:rPr>
                <w:sz w:val="24"/>
                <w:szCs w:val="24"/>
              </w:rPr>
            </w:pPr>
          </w:p>
        </w:tc>
      </w:tr>
    </w:tbl>
    <w:p w14:paraId="2F24BD7C" w14:textId="77777777" w:rsidR="00D1587D" w:rsidRDefault="00D1587D">
      <w:pPr>
        <w:spacing w:line="94" w:lineRule="exact"/>
        <w:rPr>
          <w:sz w:val="20"/>
          <w:szCs w:val="20"/>
        </w:rPr>
      </w:pPr>
    </w:p>
    <w:p w14:paraId="2F861A6F" w14:textId="77777777" w:rsidR="00D1587D" w:rsidRDefault="00410D07">
      <w:pPr>
        <w:spacing w:line="291" w:lineRule="auto"/>
        <w:ind w:left="300" w:right="519"/>
        <w:rPr>
          <w:sz w:val="20"/>
          <w:szCs w:val="20"/>
        </w:rPr>
      </w:pPr>
      <w:r>
        <w:rPr>
          <w:rFonts w:ascii="Arial" w:eastAsia="Arial" w:hAnsi="Arial" w:cs="Arial"/>
          <w:sz w:val="16"/>
          <w:szCs w:val="16"/>
        </w:rPr>
        <w:t xml:space="preserve">The Company’s guarantees of obligations under L Brands’ long-term notes are expected to terminate concurrently with the </w:t>
      </w:r>
      <w:r>
        <w:rPr>
          <w:rFonts w:ascii="Arial" w:eastAsia="Arial" w:hAnsi="Arial" w:cs="Arial"/>
          <w:sz w:val="16"/>
          <w:szCs w:val="16"/>
        </w:rPr>
        <w:t>separation of the Company from L Brands, subject to standard notice provisions to the trustee.</w:t>
      </w:r>
    </w:p>
    <w:p w14:paraId="46B0ECBD" w14:textId="77777777" w:rsidR="00D1587D" w:rsidRDefault="00410D07">
      <w:pPr>
        <w:spacing w:line="260" w:lineRule="auto"/>
        <w:ind w:left="300" w:right="499"/>
        <w:rPr>
          <w:sz w:val="20"/>
          <w:szCs w:val="20"/>
        </w:rPr>
      </w:pPr>
      <w:r>
        <w:rPr>
          <w:rFonts w:ascii="Arial" w:eastAsia="Arial" w:hAnsi="Arial" w:cs="Arial"/>
          <w:sz w:val="18"/>
          <w:szCs w:val="18"/>
        </w:rPr>
        <w:t>The Company’s guarantees of obligations under the ABL Facility are also expected to terminate concurrently with the separation, subject to consent of the lenders</w:t>
      </w:r>
      <w:r>
        <w:rPr>
          <w:rFonts w:ascii="Arial" w:eastAsia="Arial" w:hAnsi="Arial" w:cs="Arial"/>
          <w:sz w:val="18"/>
          <w:szCs w:val="18"/>
        </w:rPr>
        <w:t>.</w:t>
      </w:r>
    </w:p>
    <w:p w14:paraId="0C76F564" w14:textId="77777777" w:rsidR="00D1587D" w:rsidRDefault="00D1587D">
      <w:pPr>
        <w:spacing w:line="226" w:lineRule="exact"/>
        <w:rPr>
          <w:sz w:val="20"/>
          <w:szCs w:val="20"/>
        </w:rPr>
      </w:pPr>
    </w:p>
    <w:p w14:paraId="4AB0B1ED" w14:textId="77777777" w:rsidR="00D1587D" w:rsidRDefault="00410D07">
      <w:pPr>
        <w:ind w:left="300"/>
        <w:rPr>
          <w:sz w:val="20"/>
          <w:szCs w:val="20"/>
        </w:rPr>
      </w:pPr>
      <w:r>
        <w:rPr>
          <w:rFonts w:ascii="Arial" w:eastAsia="Arial" w:hAnsi="Arial" w:cs="Arial"/>
          <w:b/>
          <w:bCs/>
          <w:i/>
          <w:iCs/>
          <w:sz w:val="18"/>
          <w:szCs w:val="18"/>
        </w:rPr>
        <w:t>L Brands, Inc. Guarantees</w:t>
      </w:r>
    </w:p>
    <w:p w14:paraId="77A6BE91" w14:textId="77777777" w:rsidR="00D1587D" w:rsidRDefault="00D1587D">
      <w:pPr>
        <w:spacing w:line="131" w:lineRule="exact"/>
        <w:rPr>
          <w:sz w:val="20"/>
          <w:szCs w:val="20"/>
        </w:rPr>
      </w:pPr>
    </w:p>
    <w:p w14:paraId="52E9A8FA" w14:textId="77777777" w:rsidR="00D1587D" w:rsidRDefault="00410D07">
      <w:pPr>
        <w:ind w:left="300"/>
        <w:rPr>
          <w:sz w:val="20"/>
          <w:szCs w:val="20"/>
        </w:rPr>
      </w:pPr>
      <w:r>
        <w:rPr>
          <w:rFonts w:ascii="Arial" w:eastAsia="Arial" w:hAnsi="Arial" w:cs="Arial"/>
          <w:i/>
          <w:iCs/>
          <w:sz w:val="18"/>
          <w:szCs w:val="18"/>
        </w:rPr>
        <w:t>Lease Arrangements</w:t>
      </w:r>
    </w:p>
    <w:p w14:paraId="690452AA" w14:textId="77777777" w:rsidR="00D1587D" w:rsidRDefault="00D1587D">
      <w:pPr>
        <w:spacing w:line="117" w:lineRule="exact"/>
        <w:rPr>
          <w:sz w:val="20"/>
          <w:szCs w:val="20"/>
        </w:rPr>
      </w:pPr>
    </w:p>
    <w:p w14:paraId="65E42769" w14:textId="77777777" w:rsidR="00D1587D" w:rsidRDefault="00410D07">
      <w:pPr>
        <w:spacing w:line="286" w:lineRule="auto"/>
        <w:ind w:left="300" w:right="319"/>
        <w:rPr>
          <w:sz w:val="20"/>
          <w:szCs w:val="20"/>
        </w:rPr>
      </w:pPr>
      <w:r>
        <w:rPr>
          <w:rFonts w:ascii="Arial" w:eastAsia="Arial" w:hAnsi="Arial" w:cs="Arial"/>
          <w:sz w:val="17"/>
          <w:szCs w:val="17"/>
        </w:rPr>
        <w:t xml:space="preserve">L Brands, Inc. has provided guarantees related to certain of the Company’s store and office lease payments under the current terms of noncancelable leases expiring at various dates through 2037. These </w:t>
      </w:r>
      <w:r>
        <w:rPr>
          <w:rFonts w:ascii="Arial" w:eastAsia="Arial" w:hAnsi="Arial" w:cs="Arial"/>
          <w:sz w:val="17"/>
          <w:szCs w:val="17"/>
        </w:rPr>
        <w:t>guarantees include minimum rent and additional payments covering taxes, common area costs and certain other expenses.</w:t>
      </w:r>
    </w:p>
    <w:p w14:paraId="7CC8D74F" w14:textId="77777777" w:rsidR="00D1587D" w:rsidRDefault="00D1587D">
      <w:pPr>
        <w:spacing w:line="206" w:lineRule="exact"/>
        <w:rPr>
          <w:sz w:val="20"/>
          <w:szCs w:val="20"/>
        </w:rPr>
      </w:pPr>
    </w:p>
    <w:p w14:paraId="3FF8EEAE" w14:textId="77777777" w:rsidR="00D1587D" w:rsidRDefault="00410D07">
      <w:pPr>
        <w:ind w:left="300"/>
        <w:rPr>
          <w:sz w:val="20"/>
          <w:szCs w:val="20"/>
        </w:rPr>
      </w:pPr>
      <w:r>
        <w:rPr>
          <w:rFonts w:ascii="Arial" w:eastAsia="Arial" w:hAnsi="Arial" w:cs="Arial"/>
          <w:i/>
          <w:iCs/>
          <w:sz w:val="18"/>
          <w:szCs w:val="18"/>
        </w:rPr>
        <w:t>Foreign Facilities</w:t>
      </w:r>
    </w:p>
    <w:p w14:paraId="4BE96227" w14:textId="77777777" w:rsidR="00D1587D" w:rsidRDefault="00D1587D">
      <w:pPr>
        <w:spacing w:line="117" w:lineRule="exact"/>
        <w:rPr>
          <w:sz w:val="20"/>
          <w:szCs w:val="20"/>
        </w:rPr>
      </w:pPr>
    </w:p>
    <w:p w14:paraId="53673CF2" w14:textId="77777777" w:rsidR="00D1587D" w:rsidRDefault="00410D07">
      <w:pPr>
        <w:spacing w:line="342" w:lineRule="auto"/>
        <w:ind w:left="300" w:right="739"/>
        <w:rPr>
          <w:sz w:val="20"/>
          <w:szCs w:val="20"/>
        </w:rPr>
      </w:pPr>
      <w:r>
        <w:rPr>
          <w:rFonts w:ascii="Arial" w:eastAsia="Arial" w:hAnsi="Arial" w:cs="Arial"/>
          <w:sz w:val="16"/>
          <w:szCs w:val="16"/>
        </w:rPr>
        <w:t>Certain of the Company’s China subsidiaries utilize revolving and term loan bank facilities to support their operatio</w:t>
      </w:r>
      <w:r>
        <w:rPr>
          <w:rFonts w:ascii="Arial" w:eastAsia="Arial" w:hAnsi="Arial" w:cs="Arial"/>
          <w:sz w:val="16"/>
          <w:szCs w:val="16"/>
        </w:rPr>
        <w:t>ns (the “Foreign Facilities”). These facilities are guaranteed by L Brands, Inc. and certain of L Brands’</w:t>
      </w:r>
    </w:p>
    <w:p w14:paraId="3A99F465" w14:textId="77777777" w:rsidR="00D1587D" w:rsidRDefault="00D1587D">
      <w:pPr>
        <w:spacing w:line="124" w:lineRule="exact"/>
        <w:rPr>
          <w:sz w:val="20"/>
          <w:szCs w:val="20"/>
        </w:rPr>
      </w:pPr>
    </w:p>
    <w:p w14:paraId="3F41906C" w14:textId="77777777" w:rsidR="00D1587D" w:rsidRDefault="00410D07">
      <w:pPr>
        <w:jc w:val="center"/>
        <w:rPr>
          <w:sz w:val="20"/>
          <w:szCs w:val="20"/>
        </w:rPr>
      </w:pPr>
      <w:r>
        <w:rPr>
          <w:rFonts w:ascii="Arial" w:eastAsia="Arial" w:hAnsi="Arial" w:cs="Arial"/>
          <w:sz w:val="18"/>
          <w:szCs w:val="18"/>
        </w:rPr>
        <w:t>F-37</w:t>
      </w:r>
    </w:p>
    <w:p w14:paraId="514E4EE2" w14:textId="77777777" w:rsidR="00D1587D" w:rsidRDefault="00410D07">
      <w:pPr>
        <w:spacing w:line="20" w:lineRule="exact"/>
        <w:rPr>
          <w:sz w:val="20"/>
          <w:szCs w:val="20"/>
        </w:rPr>
      </w:pPr>
      <w:r>
        <w:rPr>
          <w:noProof/>
          <w:sz w:val="20"/>
          <w:szCs w:val="20"/>
        </w:rPr>
        <w:drawing>
          <wp:anchor distT="0" distB="0" distL="114300" distR="114300" simplePos="0" relativeHeight="252168192" behindDoc="1" locked="0" layoutInCell="0" allowOverlap="1" wp14:anchorId="7B27D880" wp14:editId="42A995FE">
            <wp:simplePos x="0" y="0"/>
            <wp:positionH relativeFrom="column">
              <wp:posOffset>-636905</wp:posOffset>
            </wp:positionH>
            <wp:positionV relativeFrom="paragraph">
              <wp:posOffset>126365</wp:posOffset>
            </wp:positionV>
            <wp:extent cx="6995160" cy="17145"/>
            <wp:effectExtent l="0" t="0" r="0" b="0"/>
            <wp:wrapNone/>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4435112A" w14:textId="77777777" w:rsidR="00D1587D" w:rsidRDefault="00D1587D">
      <w:pPr>
        <w:sectPr w:rsidR="00D1587D">
          <w:pgSz w:w="11900" w:h="16838"/>
          <w:pgMar w:top="265" w:right="1440" w:bottom="1440" w:left="1440" w:header="0" w:footer="0" w:gutter="0"/>
          <w:cols w:space="720" w:equalWidth="0">
            <w:col w:w="9019"/>
          </w:cols>
        </w:sectPr>
      </w:pPr>
    </w:p>
    <w:bookmarkStart w:id="433" w:name="page434"/>
    <w:bookmarkEnd w:id="433"/>
    <w:p w14:paraId="42E042A9"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306A3565" w14:textId="77777777" w:rsidR="00D1587D" w:rsidRDefault="00D1587D">
      <w:pPr>
        <w:spacing w:line="131" w:lineRule="exact"/>
        <w:rPr>
          <w:sz w:val="20"/>
          <w:szCs w:val="20"/>
        </w:rPr>
      </w:pPr>
    </w:p>
    <w:p w14:paraId="758F4206" w14:textId="77777777" w:rsidR="00D1587D" w:rsidRDefault="00410D07">
      <w:pPr>
        <w:spacing w:line="259" w:lineRule="auto"/>
        <w:ind w:left="300" w:right="399"/>
        <w:rPr>
          <w:sz w:val="20"/>
          <w:szCs w:val="20"/>
        </w:rPr>
      </w:pPr>
      <w:r>
        <w:rPr>
          <w:rFonts w:ascii="Arial" w:eastAsia="Arial" w:hAnsi="Arial" w:cs="Arial"/>
          <w:sz w:val="18"/>
          <w:szCs w:val="18"/>
        </w:rPr>
        <w:t xml:space="preserve">100% owned subsidiaries. As of May 1, 2021, there were no </w:t>
      </w:r>
      <w:r>
        <w:rPr>
          <w:rFonts w:ascii="Arial" w:eastAsia="Arial" w:hAnsi="Arial" w:cs="Arial"/>
          <w:sz w:val="18"/>
          <w:szCs w:val="18"/>
        </w:rPr>
        <w:t xml:space="preserve">outstanding borrowings under the Foreign Facilities. L Brands, Inc. placed cash on deposit with certain financial institutions as collateral for the Foreign Facilities. The amount of collateral required was dependent upon the aggregate lending commitments </w:t>
      </w:r>
      <w:r>
        <w:rPr>
          <w:rFonts w:ascii="Arial" w:eastAsia="Arial" w:hAnsi="Arial" w:cs="Arial"/>
          <w:sz w:val="18"/>
          <w:szCs w:val="18"/>
        </w:rPr>
        <w:t>and totaled $30 million as of May 1, 2021.</w:t>
      </w:r>
    </w:p>
    <w:p w14:paraId="13E4D452" w14:textId="77777777" w:rsidR="00D1587D" w:rsidRDefault="00D1587D">
      <w:pPr>
        <w:spacing w:line="183" w:lineRule="exact"/>
        <w:rPr>
          <w:sz w:val="20"/>
          <w:szCs w:val="20"/>
        </w:rPr>
      </w:pPr>
    </w:p>
    <w:p w14:paraId="4CB2163F" w14:textId="77777777" w:rsidR="00D1587D" w:rsidRDefault="00410D07">
      <w:pPr>
        <w:ind w:left="300"/>
        <w:rPr>
          <w:sz w:val="20"/>
          <w:szCs w:val="20"/>
        </w:rPr>
      </w:pPr>
      <w:r>
        <w:rPr>
          <w:rFonts w:ascii="Arial" w:eastAsia="Arial" w:hAnsi="Arial" w:cs="Arial"/>
          <w:b/>
          <w:bCs/>
          <w:sz w:val="18"/>
          <w:szCs w:val="18"/>
        </w:rPr>
        <w:t>3. Revenue Recognition</w:t>
      </w:r>
    </w:p>
    <w:p w14:paraId="670C3B29" w14:textId="77777777" w:rsidR="00D1587D" w:rsidRDefault="00D1587D">
      <w:pPr>
        <w:spacing w:line="121" w:lineRule="exact"/>
        <w:rPr>
          <w:sz w:val="20"/>
          <w:szCs w:val="20"/>
        </w:rPr>
      </w:pPr>
    </w:p>
    <w:p w14:paraId="5B4690A6" w14:textId="77777777" w:rsidR="00D1587D" w:rsidRDefault="00410D07">
      <w:pPr>
        <w:spacing w:line="259" w:lineRule="auto"/>
        <w:ind w:left="300" w:right="359"/>
        <w:rPr>
          <w:sz w:val="20"/>
          <w:szCs w:val="20"/>
        </w:rPr>
      </w:pPr>
      <w:r>
        <w:rPr>
          <w:rFonts w:ascii="Arial" w:eastAsia="Arial" w:hAnsi="Arial" w:cs="Arial"/>
          <w:sz w:val="18"/>
          <w:szCs w:val="18"/>
        </w:rPr>
        <w:t>Accounts receivable, net from revenue-generating activities were $74 million as of May 1, 2021, $74 million as of January 30, 2021, and $59 million as of and May 2, 2020. Accounts receivab</w:t>
      </w:r>
      <w:r>
        <w:rPr>
          <w:rFonts w:ascii="Arial" w:eastAsia="Arial" w:hAnsi="Arial" w:cs="Arial"/>
          <w:sz w:val="18"/>
          <w:szCs w:val="18"/>
        </w:rPr>
        <w:t>le primarily relate to amounts due from the Company’s franchise, license and wholesale partners. Under these arrangements, payment terms are typically 60 to 90 days.</w:t>
      </w:r>
    </w:p>
    <w:p w14:paraId="3D281AB4" w14:textId="77777777" w:rsidR="00D1587D" w:rsidRDefault="00D1587D">
      <w:pPr>
        <w:spacing w:line="79" w:lineRule="exact"/>
        <w:rPr>
          <w:sz w:val="20"/>
          <w:szCs w:val="20"/>
        </w:rPr>
      </w:pPr>
    </w:p>
    <w:p w14:paraId="46954288" w14:textId="77777777" w:rsidR="00D1587D" w:rsidRDefault="00410D07">
      <w:pPr>
        <w:spacing w:line="254" w:lineRule="auto"/>
        <w:ind w:left="300" w:right="299"/>
        <w:rPr>
          <w:sz w:val="20"/>
          <w:szCs w:val="20"/>
        </w:rPr>
      </w:pPr>
      <w:r>
        <w:rPr>
          <w:rFonts w:ascii="Arial" w:eastAsia="Arial" w:hAnsi="Arial" w:cs="Arial"/>
          <w:sz w:val="18"/>
          <w:szCs w:val="18"/>
        </w:rPr>
        <w:t xml:space="preserve">The Company records deferred revenue when cash payments are received in advance of </w:t>
      </w:r>
      <w:r>
        <w:rPr>
          <w:rFonts w:ascii="Arial" w:eastAsia="Arial" w:hAnsi="Arial" w:cs="Arial"/>
          <w:sz w:val="18"/>
          <w:szCs w:val="18"/>
        </w:rPr>
        <w:t>transfer of control of goods or services. Deferred revenue primarily relates to gift cards, loyalty and private label credit card programs and direct channel shipments, which are all impacted by seasonal and holiday-related sales patterns. The balance of d</w:t>
      </w:r>
      <w:r>
        <w:rPr>
          <w:rFonts w:ascii="Arial" w:eastAsia="Arial" w:hAnsi="Arial" w:cs="Arial"/>
          <w:sz w:val="18"/>
          <w:szCs w:val="18"/>
        </w:rPr>
        <w:t>eferred revenue was $230 million as of May 1, 2021, $256 million as of January 30, 2021 and $249 million as of and May 2, 2020. The Company recognized $85 million as revenue in the first quarter of 2021 from amounts recorded as deferred revenue at the begi</w:t>
      </w:r>
      <w:r>
        <w:rPr>
          <w:rFonts w:ascii="Arial" w:eastAsia="Arial" w:hAnsi="Arial" w:cs="Arial"/>
          <w:sz w:val="18"/>
          <w:szCs w:val="18"/>
        </w:rPr>
        <w:t>nning of the year. As of May 1, 2021, the Company recorded deferred revenues of $220 million within Accrued Expenses and Other, and $10 million within Other Long-term Liabilities on the Combined Balance Sheet.</w:t>
      </w:r>
    </w:p>
    <w:p w14:paraId="67263EC2" w14:textId="77777777" w:rsidR="00D1587D" w:rsidRDefault="00D1587D">
      <w:pPr>
        <w:spacing w:line="124" w:lineRule="exact"/>
        <w:rPr>
          <w:sz w:val="20"/>
          <w:szCs w:val="20"/>
        </w:rPr>
      </w:pPr>
    </w:p>
    <w:p w14:paraId="41429322" w14:textId="77777777" w:rsidR="00D1587D" w:rsidRDefault="00410D07">
      <w:pPr>
        <w:ind w:left="300"/>
        <w:rPr>
          <w:sz w:val="20"/>
          <w:szCs w:val="20"/>
        </w:rPr>
      </w:pPr>
      <w:r>
        <w:rPr>
          <w:rFonts w:ascii="Arial" w:eastAsia="Arial" w:hAnsi="Arial" w:cs="Arial"/>
          <w:sz w:val="18"/>
          <w:szCs w:val="18"/>
        </w:rPr>
        <w:t>The following table provides a disaggregation</w:t>
      </w:r>
      <w:r>
        <w:rPr>
          <w:rFonts w:ascii="Arial" w:eastAsia="Arial" w:hAnsi="Arial" w:cs="Arial"/>
          <w:sz w:val="18"/>
          <w:szCs w:val="18"/>
        </w:rPr>
        <w:t xml:space="preserve"> of Net Sales for the first quarter of 2021 and 2020:</w:t>
      </w:r>
    </w:p>
    <w:p w14:paraId="32136674" w14:textId="77777777" w:rsidR="00D1587D" w:rsidRDefault="00D1587D">
      <w:pPr>
        <w:spacing w:line="176"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7220"/>
        <w:gridCol w:w="100"/>
        <w:gridCol w:w="380"/>
        <w:gridCol w:w="20"/>
        <w:gridCol w:w="320"/>
        <w:gridCol w:w="340"/>
        <w:gridCol w:w="20"/>
        <w:gridCol w:w="20"/>
      </w:tblGrid>
      <w:tr w:rsidR="00D1587D" w14:paraId="36D7BF04" w14:textId="77777777">
        <w:trPr>
          <w:trHeight w:val="186"/>
        </w:trPr>
        <w:tc>
          <w:tcPr>
            <w:tcW w:w="7220" w:type="dxa"/>
            <w:vAlign w:val="bottom"/>
          </w:tcPr>
          <w:p w14:paraId="2D4E4795" w14:textId="77777777" w:rsidR="00D1587D" w:rsidRDefault="00D1587D">
            <w:pPr>
              <w:rPr>
                <w:sz w:val="16"/>
                <w:szCs w:val="16"/>
              </w:rPr>
            </w:pPr>
          </w:p>
        </w:tc>
        <w:tc>
          <w:tcPr>
            <w:tcW w:w="100" w:type="dxa"/>
            <w:vAlign w:val="bottom"/>
          </w:tcPr>
          <w:p w14:paraId="2F1CF7FF" w14:textId="77777777" w:rsidR="00D1587D" w:rsidRDefault="00D1587D">
            <w:pPr>
              <w:rPr>
                <w:sz w:val="16"/>
                <w:szCs w:val="16"/>
              </w:rPr>
            </w:pPr>
          </w:p>
        </w:tc>
        <w:tc>
          <w:tcPr>
            <w:tcW w:w="1100" w:type="dxa"/>
            <w:gridSpan w:val="6"/>
            <w:vAlign w:val="bottom"/>
          </w:tcPr>
          <w:p w14:paraId="0562B573" w14:textId="77777777" w:rsidR="00D1587D" w:rsidRDefault="00410D07">
            <w:pPr>
              <w:ind w:left="80"/>
              <w:rPr>
                <w:sz w:val="20"/>
                <w:szCs w:val="20"/>
              </w:rPr>
            </w:pPr>
            <w:r>
              <w:rPr>
                <w:rFonts w:ascii="Arial" w:eastAsia="Arial" w:hAnsi="Arial" w:cs="Arial"/>
                <w:b/>
                <w:bCs/>
                <w:sz w:val="14"/>
                <w:szCs w:val="14"/>
              </w:rPr>
              <w:t>First Quarter</w:t>
            </w:r>
          </w:p>
        </w:tc>
      </w:tr>
      <w:tr w:rsidR="00D1587D" w14:paraId="5AC55612" w14:textId="77777777">
        <w:trPr>
          <w:trHeight w:val="53"/>
        </w:trPr>
        <w:tc>
          <w:tcPr>
            <w:tcW w:w="7220" w:type="dxa"/>
            <w:vAlign w:val="bottom"/>
          </w:tcPr>
          <w:p w14:paraId="0DC7C5D0" w14:textId="77777777" w:rsidR="00D1587D" w:rsidRDefault="00D1587D">
            <w:pPr>
              <w:rPr>
                <w:sz w:val="4"/>
                <w:szCs w:val="4"/>
              </w:rPr>
            </w:pPr>
          </w:p>
        </w:tc>
        <w:tc>
          <w:tcPr>
            <w:tcW w:w="100" w:type="dxa"/>
            <w:tcBorders>
              <w:bottom w:val="single" w:sz="8" w:space="0" w:color="auto"/>
            </w:tcBorders>
            <w:vAlign w:val="bottom"/>
          </w:tcPr>
          <w:p w14:paraId="43FC695F" w14:textId="77777777" w:rsidR="00D1587D" w:rsidRDefault="00D1587D">
            <w:pPr>
              <w:rPr>
                <w:sz w:val="4"/>
                <w:szCs w:val="4"/>
              </w:rPr>
            </w:pPr>
          </w:p>
        </w:tc>
        <w:tc>
          <w:tcPr>
            <w:tcW w:w="380" w:type="dxa"/>
            <w:tcBorders>
              <w:bottom w:val="single" w:sz="8" w:space="0" w:color="auto"/>
            </w:tcBorders>
            <w:vAlign w:val="bottom"/>
          </w:tcPr>
          <w:p w14:paraId="45632CD1" w14:textId="77777777" w:rsidR="00D1587D" w:rsidRDefault="00D1587D">
            <w:pPr>
              <w:rPr>
                <w:sz w:val="4"/>
                <w:szCs w:val="4"/>
              </w:rPr>
            </w:pPr>
          </w:p>
        </w:tc>
        <w:tc>
          <w:tcPr>
            <w:tcW w:w="20" w:type="dxa"/>
            <w:tcBorders>
              <w:bottom w:val="single" w:sz="8" w:space="0" w:color="auto"/>
            </w:tcBorders>
            <w:vAlign w:val="bottom"/>
          </w:tcPr>
          <w:p w14:paraId="08BB1676" w14:textId="77777777" w:rsidR="00D1587D" w:rsidRDefault="00D1587D">
            <w:pPr>
              <w:rPr>
                <w:sz w:val="4"/>
                <w:szCs w:val="4"/>
              </w:rPr>
            </w:pPr>
          </w:p>
        </w:tc>
        <w:tc>
          <w:tcPr>
            <w:tcW w:w="320" w:type="dxa"/>
            <w:tcBorders>
              <w:bottom w:val="single" w:sz="8" w:space="0" w:color="auto"/>
            </w:tcBorders>
            <w:vAlign w:val="bottom"/>
          </w:tcPr>
          <w:p w14:paraId="0C5959C1" w14:textId="77777777" w:rsidR="00D1587D" w:rsidRDefault="00D1587D">
            <w:pPr>
              <w:rPr>
                <w:sz w:val="4"/>
                <w:szCs w:val="4"/>
              </w:rPr>
            </w:pPr>
          </w:p>
        </w:tc>
        <w:tc>
          <w:tcPr>
            <w:tcW w:w="340" w:type="dxa"/>
            <w:tcBorders>
              <w:bottom w:val="single" w:sz="8" w:space="0" w:color="auto"/>
            </w:tcBorders>
            <w:vAlign w:val="bottom"/>
          </w:tcPr>
          <w:p w14:paraId="5AD4ED05" w14:textId="77777777" w:rsidR="00D1587D" w:rsidRDefault="00D1587D">
            <w:pPr>
              <w:rPr>
                <w:sz w:val="4"/>
                <w:szCs w:val="4"/>
              </w:rPr>
            </w:pPr>
          </w:p>
        </w:tc>
        <w:tc>
          <w:tcPr>
            <w:tcW w:w="20" w:type="dxa"/>
            <w:tcBorders>
              <w:bottom w:val="single" w:sz="8" w:space="0" w:color="auto"/>
            </w:tcBorders>
            <w:vAlign w:val="bottom"/>
          </w:tcPr>
          <w:p w14:paraId="3595C397" w14:textId="77777777" w:rsidR="00D1587D" w:rsidRDefault="00D1587D">
            <w:pPr>
              <w:rPr>
                <w:sz w:val="4"/>
                <w:szCs w:val="4"/>
              </w:rPr>
            </w:pPr>
          </w:p>
        </w:tc>
        <w:tc>
          <w:tcPr>
            <w:tcW w:w="20" w:type="dxa"/>
            <w:tcBorders>
              <w:bottom w:val="single" w:sz="8" w:space="0" w:color="auto"/>
            </w:tcBorders>
            <w:vAlign w:val="bottom"/>
          </w:tcPr>
          <w:p w14:paraId="4D7D4B7A" w14:textId="77777777" w:rsidR="00D1587D" w:rsidRDefault="00D1587D">
            <w:pPr>
              <w:rPr>
                <w:sz w:val="4"/>
                <w:szCs w:val="4"/>
              </w:rPr>
            </w:pPr>
          </w:p>
        </w:tc>
      </w:tr>
      <w:tr w:rsidR="00D1587D" w14:paraId="11E6513A" w14:textId="77777777">
        <w:trPr>
          <w:trHeight w:val="224"/>
        </w:trPr>
        <w:tc>
          <w:tcPr>
            <w:tcW w:w="7220" w:type="dxa"/>
            <w:vAlign w:val="bottom"/>
          </w:tcPr>
          <w:p w14:paraId="5F83C6B4" w14:textId="77777777" w:rsidR="00D1587D" w:rsidRDefault="00D1587D">
            <w:pPr>
              <w:rPr>
                <w:sz w:val="19"/>
                <w:szCs w:val="19"/>
              </w:rPr>
            </w:pPr>
          </w:p>
        </w:tc>
        <w:tc>
          <w:tcPr>
            <w:tcW w:w="100" w:type="dxa"/>
            <w:vAlign w:val="bottom"/>
          </w:tcPr>
          <w:p w14:paraId="5D6AE33F" w14:textId="77777777" w:rsidR="00D1587D" w:rsidRDefault="00D1587D">
            <w:pPr>
              <w:rPr>
                <w:sz w:val="19"/>
                <w:szCs w:val="19"/>
              </w:rPr>
            </w:pPr>
          </w:p>
        </w:tc>
        <w:tc>
          <w:tcPr>
            <w:tcW w:w="380" w:type="dxa"/>
            <w:vAlign w:val="bottom"/>
          </w:tcPr>
          <w:p w14:paraId="689CCB64" w14:textId="77777777" w:rsidR="00D1587D" w:rsidRDefault="00410D07">
            <w:pPr>
              <w:rPr>
                <w:sz w:val="20"/>
                <w:szCs w:val="20"/>
              </w:rPr>
            </w:pPr>
            <w:r>
              <w:rPr>
                <w:rFonts w:ascii="Arial" w:eastAsia="Arial" w:hAnsi="Arial" w:cs="Arial"/>
                <w:b/>
                <w:bCs/>
                <w:sz w:val="14"/>
                <w:szCs w:val="14"/>
              </w:rPr>
              <w:t>2021</w:t>
            </w:r>
          </w:p>
        </w:tc>
        <w:tc>
          <w:tcPr>
            <w:tcW w:w="20" w:type="dxa"/>
            <w:vAlign w:val="bottom"/>
          </w:tcPr>
          <w:p w14:paraId="62339D8F" w14:textId="77777777" w:rsidR="00D1587D" w:rsidRDefault="00D1587D">
            <w:pPr>
              <w:rPr>
                <w:sz w:val="19"/>
                <w:szCs w:val="19"/>
              </w:rPr>
            </w:pPr>
          </w:p>
        </w:tc>
        <w:tc>
          <w:tcPr>
            <w:tcW w:w="320" w:type="dxa"/>
            <w:vAlign w:val="bottom"/>
          </w:tcPr>
          <w:p w14:paraId="713055CE" w14:textId="77777777" w:rsidR="00D1587D" w:rsidRDefault="00D1587D">
            <w:pPr>
              <w:rPr>
                <w:sz w:val="19"/>
                <w:szCs w:val="19"/>
              </w:rPr>
            </w:pPr>
          </w:p>
        </w:tc>
        <w:tc>
          <w:tcPr>
            <w:tcW w:w="340" w:type="dxa"/>
            <w:vAlign w:val="bottom"/>
          </w:tcPr>
          <w:p w14:paraId="6658BE63" w14:textId="77777777" w:rsidR="00D1587D" w:rsidRDefault="00410D07">
            <w:pPr>
              <w:jc w:val="right"/>
              <w:rPr>
                <w:sz w:val="20"/>
                <w:szCs w:val="20"/>
              </w:rPr>
            </w:pPr>
            <w:r>
              <w:rPr>
                <w:rFonts w:ascii="Arial" w:eastAsia="Arial" w:hAnsi="Arial" w:cs="Arial"/>
                <w:b/>
                <w:bCs/>
                <w:sz w:val="14"/>
                <w:szCs w:val="14"/>
              </w:rPr>
              <w:t>2020</w:t>
            </w:r>
          </w:p>
        </w:tc>
        <w:tc>
          <w:tcPr>
            <w:tcW w:w="20" w:type="dxa"/>
            <w:vAlign w:val="bottom"/>
          </w:tcPr>
          <w:p w14:paraId="758CD439" w14:textId="77777777" w:rsidR="00D1587D" w:rsidRDefault="00D1587D">
            <w:pPr>
              <w:rPr>
                <w:sz w:val="19"/>
                <w:szCs w:val="19"/>
              </w:rPr>
            </w:pPr>
          </w:p>
        </w:tc>
        <w:tc>
          <w:tcPr>
            <w:tcW w:w="20" w:type="dxa"/>
            <w:vAlign w:val="bottom"/>
          </w:tcPr>
          <w:p w14:paraId="36B67D01" w14:textId="77777777" w:rsidR="00D1587D" w:rsidRDefault="00D1587D">
            <w:pPr>
              <w:rPr>
                <w:sz w:val="19"/>
                <w:szCs w:val="19"/>
              </w:rPr>
            </w:pPr>
          </w:p>
        </w:tc>
      </w:tr>
      <w:tr w:rsidR="00D1587D" w14:paraId="03AB8ED4" w14:textId="77777777">
        <w:trPr>
          <w:trHeight w:val="53"/>
        </w:trPr>
        <w:tc>
          <w:tcPr>
            <w:tcW w:w="7220" w:type="dxa"/>
            <w:vAlign w:val="bottom"/>
          </w:tcPr>
          <w:p w14:paraId="4BC6EAF2" w14:textId="77777777" w:rsidR="00D1587D" w:rsidRDefault="00D1587D">
            <w:pPr>
              <w:rPr>
                <w:sz w:val="4"/>
                <w:szCs w:val="4"/>
              </w:rPr>
            </w:pPr>
          </w:p>
        </w:tc>
        <w:tc>
          <w:tcPr>
            <w:tcW w:w="100" w:type="dxa"/>
            <w:tcBorders>
              <w:bottom w:val="single" w:sz="8" w:space="0" w:color="auto"/>
            </w:tcBorders>
            <w:vAlign w:val="bottom"/>
          </w:tcPr>
          <w:p w14:paraId="29302DB1" w14:textId="77777777" w:rsidR="00D1587D" w:rsidRDefault="00D1587D">
            <w:pPr>
              <w:rPr>
                <w:sz w:val="4"/>
                <w:szCs w:val="4"/>
              </w:rPr>
            </w:pPr>
          </w:p>
        </w:tc>
        <w:tc>
          <w:tcPr>
            <w:tcW w:w="380" w:type="dxa"/>
            <w:tcBorders>
              <w:bottom w:val="single" w:sz="8" w:space="0" w:color="auto"/>
            </w:tcBorders>
            <w:vAlign w:val="bottom"/>
          </w:tcPr>
          <w:p w14:paraId="3855A8BB" w14:textId="77777777" w:rsidR="00D1587D" w:rsidRDefault="00D1587D">
            <w:pPr>
              <w:rPr>
                <w:sz w:val="4"/>
                <w:szCs w:val="4"/>
              </w:rPr>
            </w:pPr>
          </w:p>
        </w:tc>
        <w:tc>
          <w:tcPr>
            <w:tcW w:w="20" w:type="dxa"/>
            <w:tcBorders>
              <w:bottom w:val="single" w:sz="8" w:space="0" w:color="auto"/>
            </w:tcBorders>
            <w:vAlign w:val="bottom"/>
          </w:tcPr>
          <w:p w14:paraId="4936E812" w14:textId="77777777" w:rsidR="00D1587D" w:rsidRDefault="00D1587D">
            <w:pPr>
              <w:rPr>
                <w:sz w:val="4"/>
                <w:szCs w:val="4"/>
              </w:rPr>
            </w:pPr>
          </w:p>
        </w:tc>
        <w:tc>
          <w:tcPr>
            <w:tcW w:w="660" w:type="dxa"/>
            <w:gridSpan w:val="2"/>
            <w:tcBorders>
              <w:bottom w:val="single" w:sz="8" w:space="0" w:color="auto"/>
            </w:tcBorders>
            <w:vAlign w:val="bottom"/>
          </w:tcPr>
          <w:p w14:paraId="5A71E815" w14:textId="77777777" w:rsidR="00D1587D" w:rsidRDefault="00D1587D">
            <w:pPr>
              <w:rPr>
                <w:sz w:val="4"/>
                <w:szCs w:val="4"/>
              </w:rPr>
            </w:pPr>
          </w:p>
        </w:tc>
        <w:tc>
          <w:tcPr>
            <w:tcW w:w="20" w:type="dxa"/>
            <w:tcBorders>
              <w:bottom w:val="single" w:sz="8" w:space="0" w:color="auto"/>
            </w:tcBorders>
            <w:vAlign w:val="bottom"/>
          </w:tcPr>
          <w:p w14:paraId="5EE15CE5" w14:textId="77777777" w:rsidR="00D1587D" w:rsidRDefault="00D1587D">
            <w:pPr>
              <w:rPr>
                <w:sz w:val="4"/>
                <w:szCs w:val="4"/>
              </w:rPr>
            </w:pPr>
          </w:p>
        </w:tc>
        <w:tc>
          <w:tcPr>
            <w:tcW w:w="20" w:type="dxa"/>
            <w:tcBorders>
              <w:bottom w:val="single" w:sz="8" w:space="0" w:color="auto"/>
            </w:tcBorders>
            <w:vAlign w:val="bottom"/>
          </w:tcPr>
          <w:p w14:paraId="06B5B348" w14:textId="77777777" w:rsidR="00D1587D" w:rsidRDefault="00D1587D">
            <w:pPr>
              <w:rPr>
                <w:sz w:val="4"/>
                <w:szCs w:val="4"/>
              </w:rPr>
            </w:pPr>
          </w:p>
        </w:tc>
      </w:tr>
      <w:tr w:rsidR="00D1587D" w14:paraId="3C6B2F24" w14:textId="77777777">
        <w:trPr>
          <w:trHeight w:val="224"/>
        </w:trPr>
        <w:tc>
          <w:tcPr>
            <w:tcW w:w="7220" w:type="dxa"/>
            <w:vAlign w:val="bottom"/>
          </w:tcPr>
          <w:p w14:paraId="6792FAEF" w14:textId="77777777" w:rsidR="00D1587D" w:rsidRDefault="00D1587D">
            <w:pPr>
              <w:rPr>
                <w:sz w:val="19"/>
                <w:szCs w:val="19"/>
              </w:rPr>
            </w:pPr>
          </w:p>
        </w:tc>
        <w:tc>
          <w:tcPr>
            <w:tcW w:w="100" w:type="dxa"/>
            <w:vAlign w:val="bottom"/>
          </w:tcPr>
          <w:p w14:paraId="0CB18B34" w14:textId="77777777" w:rsidR="00D1587D" w:rsidRDefault="00D1587D">
            <w:pPr>
              <w:rPr>
                <w:sz w:val="19"/>
                <w:szCs w:val="19"/>
              </w:rPr>
            </w:pPr>
          </w:p>
        </w:tc>
        <w:tc>
          <w:tcPr>
            <w:tcW w:w="1100" w:type="dxa"/>
            <w:gridSpan w:val="6"/>
            <w:vAlign w:val="bottom"/>
          </w:tcPr>
          <w:p w14:paraId="1235FE58" w14:textId="77777777" w:rsidR="00D1587D" w:rsidRDefault="00410D07">
            <w:pPr>
              <w:ind w:left="120"/>
              <w:rPr>
                <w:sz w:val="20"/>
                <w:szCs w:val="20"/>
              </w:rPr>
            </w:pPr>
            <w:r>
              <w:rPr>
                <w:rFonts w:ascii="Arial" w:eastAsia="Arial" w:hAnsi="Arial" w:cs="Arial"/>
                <w:b/>
                <w:bCs/>
                <w:sz w:val="14"/>
                <w:szCs w:val="14"/>
              </w:rPr>
              <w:t>(in millions)</w:t>
            </w:r>
          </w:p>
        </w:tc>
      </w:tr>
      <w:tr w:rsidR="00D1587D" w14:paraId="2EC8B5A0" w14:textId="77777777">
        <w:trPr>
          <w:trHeight w:val="53"/>
        </w:trPr>
        <w:tc>
          <w:tcPr>
            <w:tcW w:w="7220" w:type="dxa"/>
            <w:vAlign w:val="bottom"/>
          </w:tcPr>
          <w:p w14:paraId="76FC4241" w14:textId="77777777" w:rsidR="00D1587D" w:rsidRDefault="00D1587D">
            <w:pPr>
              <w:rPr>
                <w:sz w:val="4"/>
                <w:szCs w:val="4"/>
              </w:rPr>
            </w:pPr>
          </w:p>
        </w:tc>
        <w:tc>
          <w:tcPr>
            <w:tcW w:w="100" w:type="dxa"/>
            <w:vAlign w:val="bottom"/>
          </w:tcPr>
          <w:p w14:paraId="4686B112" w14:textId="77777777" w:rsidR="00D1587D" w:rsidRDefault="00D1587D">
            <w:pPr>
              <w:rPr>
                <w:sz w:val="4"/>
                <w:szCs w:val="4"/>
              </w:rPr>
            </w:pPr>
          </w:p>
        </w:tc>
        <w:tc>
          <w:tcPr>
            <w:tcW w:w="380" w:type="dxa"/>
            <w:vAlign w:val="bottom"/>
          </w:tcPr>
          <w:p w14:paraId="3843EA50" w14:textId="77777777" w:rsidR="00D1587D" w:rsidRDefault="00D1587D">
            <w:pPr>
              <w:rPr>
                <w:sz w:val="4"/>
                <w:szCs w:val="4"/>
              </w:rPr>
            </w:pPr>
          </w:p>
        </w:tc>
        <w:tc>
          <w:tcPr>
            <w:tcW w:w="20" w:type="dxa"/>
            <w:vAlign w:val="bottom"/>
          </w:tcPr>
          <w:p w14:paraId="2080D2AF" w14:textId="77777777" w:rsidR="00D1587D" w:rsidRDefault="00D1587D">
            <w:pPr>
              <w:rPr>
                <w:sz w:val="4"/>
                <w:szCs w:val="4"/>
              </w:rPr>
            </w:pPr>
          </w:p>
        </w:tc>
        <w:tc>
          <w:tcPr>
            <w:tcW w:w="320" w:type="dxa"/>
            <w:vAlign w:val="bottom"/>
          </w:tcPr>
          <w:p w14:paraId="091F5254" w14:textId="77777777" w:rsidR="00D1587D" w:rsidRDefault="00D1587D">
            <w:pPr>
              <w:rPr>
                <w:sz w:val="4"/>
                <w:szCs w:val="4"/>
              </w:rPr>
            </w:pPr>
          </w:p>
        </w:tc>
        <w:tc>
          <w:tcPr>
            <w:tcW w:w="340" w:type="dxa"/>
            <w:vAlign w:val="bottom"/>
          </w:tcPr>
          <w:p w14:paraId="11A61053" w14:textId="77777777" w:rsidR="00D1587D" w:rsidRDefault="00D1587D">
            <w:pPr>
              <w:rPr>
                <w:sz w:val="4"/>
                <w:szCs w:val="4"/>
              </w:rPr>
            </w:pPr>
          </w:p>
        </w:tc>
        <w:tc>
          <w:tcPr>
            <w:tcW w:w="20" w:type="dxa"/>
            <w:vAlign w:val="bottom"/>
          </w:tcPr>
          <w:p w14:paraId="2ACCEF49" w14:textId="77777777" w:rsidR="00D1587D" w:rsidRDefault="00D1587D">
            <w:pPr>
              <w:rPr>
                <w:sz w:val="4"/>
                <w:szCs w:val="4"/>
              </w:rPr>
            </w:pPr>
          </w:p>
        </w:tc>
        <w:tc>
          <w:tcPr>
            <w:tcW w:w="20" w:type="dxa"/>
            <w:vAlign w:val="bottom"/>
          </w:tcPr>
          <w:p w14:paraId="130480AA" w14:textId="77777777" w:rsidR="00D1587D" w:rsidRDefault="00D1587D">
            <w:pPr>
              <w:rPr>
                <w:sz w:val="4"/>
                <w:szCs w:val="4"/>
              </w:rPr>
            </w:pPr>
          </w:p>
        </w:tc>
      </w:tr>
      <w:tr w:rsidR="00D1587D" w14:paraId="2EB78EB7" w14:textId="77777777">
        <w:trPr>
          <w:trHeight w:val="318"/>
        </w:trPr>
        <w:tc>
          <w:tcPr>
            <w:tcW w:w="7220" w:type="dxa"/>
            <w:tcBorders>
              <w:bottom w:val="single" w:sz="8" w:space="0" w:color="CCEEFF"/>
            </w:tcBorders>
            <w:shd w:val="clear" w:color="auto" w:fill="CCEEFF"/>
            <w:vAlign w:val="bottom"/>
          </w:tcPr>
          <w:p w14:paraId="64EC99FB" w14:textId="77777777" w:rsidR="00D1587D" w:rsidRDefault="00410D07">
            <w:pPr>
              <w:rPr>
                <w:sz w:val="20"/>
                <w:szCs w:val="20"/>
              </w:rPr>
            </w:pPr>
            <w:r>
              <w:rPr>
                <w:rFonts w:ascii="Arial" w:eastAsia="Arial" w:hAnsi="Arial" w:cs="Arial"/>
                <w:sz w:val="18"/>
                <w:szCs w:val="18"/>
              </w:rPr>
              <w:t>North America Stores</w:t>
            </w:r>
          </w:p>
        </w:tc>
        <w:tc>
          <w:tcPr>
            <w:tcW w:w="100" w:type="dxa"/>
            <w:tcBorders>
              <w:bottom w:val="single" w:sz="8" w:space="0" w:color="CCEEFF"/>
            </w:tcBorders>
            <w:shd w:val="clear" w:color="auto" w:fill="CCEEFF"/>
            <w:vAlign w:val="bottom"/>
          </w:tcPr>
          <w:p w14:paraId="63DC30BC" w14:textId="77777777" w:rsidR="00D1587D" w:rsidRDefault="00410D07">
            <w:pPr>
              <w:jc w:val="right"/>
              <w:rPr>
                <w:sz w:val="20"/>
                <w:szCs w:val="20"/>
              </w:rPr>
            </w:pPr>
            <w:r>
              <w:rPr>
                <w:rFonts w:ascii="Arial" w:eastAsia="Arial" w:hAnsi="Arial" w:cs="Arial"/>
                <w:w w:val="71"/>
                <w:sz w:val="15"/>
                <w:szCs w:val="15"/>
              </w:rPr>
              <w:t>$</w:t>
            </w:r>
          </w:p>
        </w:tc>
        <w:tc>
          <w:tcPr>
            <w:tcW w:w="400" w:type="dxa"/>
            <w:gridSpan w:val="2"/>
            <w:tcBorders>
              <w:bottom w:val="single" w:sz="8" w:space="0" w:color="CCEEFF"/>
            </w:tcBorders>
            <w:shd w:val="clear" w:color="auto" w:fill="CCEEFF"/>
            <w:vAlign w:val="bottom"/>
          </w:tcPr>
          <w:p w14:paraId="1146947C" w14:textId="77777777" w:rsidR="00D1587D" w:rsidRDefault="00410D07">
            <w:pPr>
              <w:ind w:right="20"/>
              <w:jc w:val="right"/>
              <w:rPr>
                <w:sz w:val="20"/>
                <w:szCs w:val="20"/>
              </w:rPr>
            </w:pPr>
            <w:r>
              <w:rPr>
                <w:rFonts w:ascii="Arial" w:eastAsia="Arial" w:hAnsi="Arial" w:cs="Arial"/>
                <w:sz w:val="18"/>
                <w:szCs w:val="18"/>
              </w:rPr>
              <w:t>933</w:t>
            </w:r>
          </w:p>
        </w:tc>
        <w:tc>
          <w:tcPr>
            <w:tcW w:w="320" w:type="dxa"/>
            <w:tcBorders>
              <w:bottom w:val="single" w:sz="8" w:space="0" w:color="CCEEFF"/>
            </w:tcBorders>
            <w:shd w:val="clear" w:color="auto" w:fill="CCEEFF"/>
            <w:vAlign w:val="bottom"/>
          </w:tcPr>
          <w:p w14:paraId="5BBB1A02" w14:textId="77777777" w:rsidR="00D1587D" w:rsidRDefault="00D1587D">
            <w:pPr>
              <w:rPr>
                <w:sz w:val="24"/>
                <w:szCs w:val="24"/>
              </w:rPr>
            </w:pPr>
          </w:p>
        </w:tc>
        <w:tc>
          <w:tcPr>
            <w:tcW w:w="360" w:type="dxa"/>
            <w:gridSpan w:val="2"/>
            <w:tcBorders>
              <w:bottom w:val="single" w:sz="8" w:space="0" w:color="CCEEFF"/>
            </w:tcBorders>
            <w:shd w:val="clear" w:color="auto" w:fill="CCEEFF"/>
            <w:vAlign w:val="bottom"/>
          </w:tcPr>
          <w:p w14:paraId="33E1AB13" w14:textId="77777777" w:rsidR="00D1587D" w:rsidRDefault="00410D07">
            <w:pPr>
              <w:jc w:val="right"/>
              <w:rPr>
                <w:sz w:val="20"/>
                <w:szCs w:val="20"/>
              </w:rPr>
            </w:pPr>
            <w:r>
              <w:rPr>
                <w:rFonts w:ascii="Arial" w:eastAsia="Arial" w:hAnsi="Arial" w:cs="Arial"/>
                <w:w w:val="84"/>
                <w:sz w:val="18"/>
                <w:szCs w:val="18"/>
              </w:rPr>
              <w:t>$514</w:t>
            </w:r>
          </w:p>
        </w:tc>
        <w:tc>
          <w:tcPr>
            <w:tcW w:w="20" w:type="dxa"/>
            <w:tcBorders>
              <w:bottom w:val="single" w:sz="8" w:space="0" w:color="CCEEFF"/>
            </w:tcBorders>
            <w:shd w:val="clear" w:color="auto" w:fill="CCEEFF"/>
            <w:vAlign w:val="bottom"/>
          </w:tcPr>
          <w:p w14:paraId="736CC467" w14:textId="77777777" w:rsidR="00D1587D" w:rsidRDefault="00D1587D">
            <w:pPr>
              <w:rPr>
                <w:sz w:val="24"/>
                <w:szCs w:val="24"/>
              </w:rPr>
            </w:pPr>
          </w:p>
        </w:tc>
      </w:tr>
      <w:tr w:rsidR="00D1587D" w14:paraId="579F61D4" w14:textId="77777777">
        <w:trPr>
          <w:trHeight w:val="270"/>
        </w:trPr>
        <w:tc>
          <w:tcPr>
            <w:tcW w:w="7220" w:type="dxa"/>
            <w:vAlign w:val="bottom"/>
          </w:tcPr>
          <w:p w14:paraId="52EAE084" w14:textId="77777777" w:rsidR="00D1587D" w:rsidRDefault="00410D07">
            <w:pPr>
              <w:rPr>
                <w:sz w:val="20"/>
                <w:szCs w:val="20"/>
              </w:rPr>
            </w:pPr>
            <w:r>
              <w:rPr>
                <w:rFonts w:ascii="Arial" w:eastAsia="Arial" w:hAnsi="Arial" w:cs="Arial"/>
                <w:sz w:val="18"/>
                <w:szCs w:val="18"/>
              </w:rPr>
              <w:t>Direct</w:t>
            </w:r>
          </w:p>
        </w:tc>
        <w:tc>
          <w:tcPr>
            <w:tcW w:w="100" w:type="dxa"/>
            <w:vAlign w:val="bottom"/>
          </w:tcPr>
          <w:p w14:paraId="17B40039" w14:textId="77777777" w:rsidR="00D1587D" w:rsidRDefault="00D1587D">
            <w:pPr>
              <w:rPr>
                <w:sz w:val="23"/>
                <w:szCs w:val="23"/>
              </w:rPr>
            </w:pPr>
          </w:p>
        </w:tc>
        <w:tc>
          <w:tcPr>
            <w:tcW w:w="380" w:type="dxa"/>
            <w:vAlign w:val="bottom"/>
          </w:tcPr>
          <w:p w14:paraId="6F793D22" w14:textId="77777777" w:rsidR="00D1587D" w:rsidRDefault="00410D07">
            <w:pPr>
              <w:ind w:left="120"/>
              <w:rPr>
                <w:sz w:val="20"/>
                <w:szCs w:val="20"/>
              </w:rPr>
            </w:pPr>
            <w:r>
              <w:rPr>
                <w:rFonts w:ascii="Arial" w:eastAsia="Arial" w:hAnsi="Arial" w:cs="Arial"/>
                <w:w w:val="79"/>
                <w:sz w:val="18"/>
                <w:szCs w:val="18"/>
              </w:rPr>
              <w:t>521</w:t>
            </w:r>
          </w:p>
        </w:tc>
        <w:tc>
          <w:tcPr>
            <w:tcW w:w="20" w:type="dxa"/>
            <w:vAlign w:val="bottom"/>
          </w:tcPr>
          <w:p w14:paraId="192B248F" w14:textId="77777777" w:rsidR="00D1587D" w:rsidRDefault="00D1587D">
            <w:pPr>
              <w:rPr>
                <w:sz w:val="23"/>
                <w:szCs w:val="23"/>
              </w:rPr>
            </w:pPr>
          </w:p>
        </w:tc>
        <w:tc>
          <w:tcPr>
            <w:tcW w:w="320" w:type="dxa"/>
            <w:vAlign w:val="bottom"/>
          </w:tcPr>
          <w:p w14:paraId="2726484F" w14:textId="77777777" w:rsidR="00D1587D" w:rsidRDefault="00D1587D">
            <w:pPr>
              <w:rPr>
                <w:sz w:val="23"/>
                <w:szCs w:val="23"/>
              </w:rPr>
            </w:pPr>
          </w:p>
        </w:tc>
        <w:tc>
          <w:tcPr>
            <w:tcW w:w="360" w:type="dxa"/>
            <w:gridSpan w:val="2"/>
            <w:vAlign w:val="bottom"/>
          </w:tcPr>
          <w:p w14:paraId="02B0C7AF" w14:textId="77777777" w:rsidR="00D1587D" w:rsidRDefault="00410D07">
            <w:pPr>
              <w:ind w:right="20"/>
              <w:jc w:val="right"/>
              <w:rPr>
                <w:sz w:val="20"/>
                <w:szCs w:val="20"/>
              </w:rPr>
            </w:pPr>
            <w:r>
              <w:rPr>
                <w:rFonts w:ascii="Arial" w:eastAsia="Arial" w:hAnsi="Arial" w:cs="Arial"/>
                <w:sz w:val="18"/>
                <w:szCs w:val="18"/>
              </w:rPr>
              <w:t>308</w:t>
            </w:r>
          </w:p>
        </w:tc>
        <w:tc>
          <w:tcPr>
            <w:tcW w:w="20" w:type="dxa"/>
            <w:vAlign w:val="bottom"/>
          </w:tcPr>
          <w:p w14:paraId="52E934E7" w14:textId="77777777" w:rsidR="00D1587D" w:rsidRDefault="00D1587D">
            <w:pPr>
              <w:rPr>
                <w:sz w:val="23"/>
                <w:szCs w:val="23"/>
              </w:rPr>
            </w:pPr>
          </w:p>
        </w:tc>
      </w:tr>
      <w:tr w:rsidR="00D1587D" w14:paraId="087902BD" w14:textId="77777777">
        <w:trPr>
          <w:trHeight w:val="54"/>
        </w:trPr>
        <w:tc>
          <w:tcPr>
            <w:tcW w:w="7220" w:type="dxa"/>
            <w:vAlign w:val="bottom"/>
          </w:tcPr>
          <w:p w14:paraId="1878DFAE" w14:textId="77777777" w:rsidR="00D1587D" w:rsidRDefault="00D1587D">
            <w:pPr>
              <w:rPr>
                <w:sz w:val="4"/>
                <w:szCs w:val="4"/>
              </w:rPr>
            </w:pPr>
          </w:p>
        </w:tc>
        <w:tc>
          <w:tcPr>
            <w:tcW w:w="100" w:type="dxa"/>
            <w:vAlign w:val="bottom"/>
          </w:tcPr>
          <w:p w14:paraId="7029CBA2" w14:textId="77777777" w:rsidR="00D1587D" w:rsidRDefault="00D1587D">
            <w:pPr>
              <w:rPr>
                <w:sz w:val="4"/>
                <w:szCs w:val="4"/>
              </w:rPr>
            </w:pPr>
          </w:p>
        </w:tc>
        <w:tc>
          <w:tcPr>
            <w:tcW w:w="380" w:type="dxa"/>
            <w:vAlign w:val="bottom"/>
          </w:tcPr>
          <w:p w14:paraId="0E75F340" w14:textId="77777777" w:rsidR="00D1587D" w:rsidRDefault="00D1587D">
            <w:pPr>
              <w:rPr>
                <w:sz w:val="4"/>
                <w:szCs w:val="4"/>
              </w:rPr>
            </w:pPr>
          </w:p>
        </w:tc>
        <w:tc>
          <w:tcPr>
            <w:tcW w:w="20" w:type="dxa"/>
            <w:vAlign w:val="bottom"/>
          </w:tcPr>
          <w:p w14:paraId="5E019938" w14:textId="77777777" w:rsidR="00D1587D" w:rsidRDefault="00D1587D">
            <w:pPr>
              <w:rPr>
                <w:sz w:val="4"/>
                <w:szCs w:val="4"/>
              </w:rPr>
            </w:pPr>
          </w:p>
        </w:tc>
        <w:tc>
          <w:tcPr>
            <w:tcW w:w="320" w:type="dxa"/>
            <w:vAlign w:val="bottom"/>
          </w:tcPr>
          <w:p w14:paraId="7E5FD14E" w14:textId="77777777" w:rsidR="00D1587D" w:rsidRDefault="00D1587D">
            <w:pPr>
              <w:rPr>
                <w:sz w:val="4"/>
                <w:szCs w:val="4"/>
              </w:rPr>
            </w:pPr>
          </w:p>
        </w:tc>
        <w:tc>
          <w:tcPr>
            <w:tcW w:w="340" w:type="dxa"/>
            <w:vAlign w:val="bottom"/>
          </w:tcPr>
          <w:p w14:paraId="3CEDA6FB" w14:textId="77777777" w:rsidR="00D1587D" w:rsidRDefault="00D1587D">
            <w:pPr>
              <w:rPr>
                <w:sz w:val="4"/>
                <w:szCs w:val="4"/>
              </w:rPr>
            </w:pPr>
          </w:p>
        </w:tc>
        <w:tc>
          <w:tcPr>
            <w:tcW w:w="20" w:type="dxa"/>
            <w:vAlign w:val="bottom"/>
          </w:tcPr>
          <w:p w14:paraId="042BB897" w14:textId="77777777" w:rsidR="00D1587D" w:rsidRDefault="00D1587D">
            <w:pPr>
              <w:rPr>
                <w:sz w:val="4"/>
                <w:szCs w:val="4"/>
              </w:rPr>
            </w:pPr>
          </w:p>
        </w:tc>
        <w:tc>
          <w:tcPr>
            <w:tcW w:w="20" w:type="dxa"/>
            <w:vAlign w:val="bottom"/>
          </w:tcPr>
          <w:p w14:paraId="1C551E52" w14:textId="77777777" w:rsidR="00D1587D" w:rsidRDefault="00D1587D">
            <w:pPr>
              <w:rPr>
                <w:sz w:val="4"/>
                <w:szCs w:val="4"/>
              </w:rPr>
            </w:pPr>
          </w:p>
        </w:tc>
      </w:tr>
      <w:tr w:rsidR="00D1587D" w14:paraId="556CF772" w14:textId="77777777">
        <w:trPr>
          <w:trHeight w:val="270"/>
        </w:trPr>
        <w:tc>
          <w:tcPr>
            <w:tcW w:w="7220" w:type="dxa"/>
            <w:shd w:val="clear" w:color="auto" w:fill="CCEEFF"/>
            <w:vAlign w:val="bottom"/>
          </w:tcPr>
          <w:p w14:paraId="256AC30F" w14:textId="77777777" w:rsidR="00D1587D" w:rsidRDefault="00410D07">
            <w:pPr>
              <w:rPr>
                <w:sz w:val="20"/>
                <w:szCs w:val="20"/>
              </w:rPr>
            </w:pPr>
            <w:r>
              <w:rPr>
                <w:rFonts w:ascii="Arial" w:eastAsia="Arial" w:hAnsi="Arial" w:cs="Arial"/>
                <w:sz w:val="18"/>
                <w:szCs w:val="18"/>
              </w:rPr>
              <w:t>International (a)</w:t>
            </w:r>
          </w:p>
        </w:tc>
        <w:tc>
          <w:tcPr>
            <w:tcW w:w="100" w:type="dxa"/>
            <w:shd w:val="clear" w:color="auto" w:fill="CCEEFF"/>
            <w:vAlign w:val="bottom"/>
          </w:tcPr>
          <w:p w14:paraId="0BC9EB59" w14:textId="77777777" w:rsidR="00D1587D" w:rsidRDefault="00D1587D">
            <w:pPr>
              <w:rPr>
                <w:sz w:val="23"/>
                <w:szCs w:val="23"/>
              </w:rPr>
            </w:pPr>
          </w:p>
        </w:tc>
        <w:tc>
          <w:tcPr>
            <w:tcW w:w="380" w:type="dxa"/>
            <w:shd w:val="clear" w:color="auto" w:fill="CCEEFF"/>
            <w:vAlign w:val="bottom"/>
          </w:tcPr>
          <w:p w14:paraId="5C566117" w14:textId="77777777" w:rsidR="00D1587D" w:rsidRDefault="00410D07">
            <w:pPr>
              <w:ind w:left="120"/>
              <w:rPr>
                <w:sz w:val="20"/>
                <w:szCs w:val="20"/>
              </w:rPr>
            </w:pPr>
            <w:r>
              <w:rPr>
                <w:rFonts w:ascii="Arial" w:eastAsia="Arial" w:hAnsi="Arial" w:cs="Arial"/>
                <w:w w:val="79"/>
                <w:sz w:val="18"/>
                <w:szCs w:val="18"/>
              </w:rPr>
              <w:t>100</w:t>
            </w:r>
          </w:p>
        </w:tc>
        <w:tc>
          <w:tcPr>
            <w:tcW w:w="20" w:type="dxa"/>
            <w:shd w:val="clear" w:color="auto" w:fill="CCEEFF"/>
            <w:vAlign w:val="bottom"/>
          </w:tcPr>
          <w:p w14:paraId="78D78C30" w14:textId="77777777" w:rsidR="00D1587D" w:rsidRDefault="00D1587D">
            <w:pPr>
              <w:rPr>
                <w:sz w:val="23"/>
                <w:szCs w:val="23"/>
              </w:rPr>
            </w:pPr>
          </w:p>
        </w:tc>
        <w:tc>
          <w:tcPr>
            <w:tcW w:w="320" w:type="dxa"/>
            <w:shd w:val="clear" w:color="auto" w:fill="CCEEFF"/>
            <w:vAlign w:val="bottom"/>
          </w:tcPr>
          <w:p w14:paraId="002A0FAB" w14:textId="77777777" w:rsidR="00D1587D" w:rsidRDefault="00D1587D">
            <w:pPr>
              <w:rPr>
                <w:sz w:val="23"/>
                <w:szCs w:val="23"/>
              </w:rPr>
            </w:pPr>
          </w:p>
        </w:tc>
        <w:tc>
          <w:tcPr>
            <w:tcW w:w="360" w:type="dxa"/>
            <w:gridSpan w:val="2"/>
            <w:shd w:val="clear" w:color="auto" w:fill="CCEEFF"/>
            <w:vAlign w:val="bottom"/>
          </w:tcPr>
          <w:p w14:paraId="68A7BAE8" w14:textId="77777777" w:rsidR="00D1587D" w:rsidRDefault="00410D07">
            <w:pPr>
              <w:jc w:val="right"/>
              <w:rPr>
                <w:sz w:val="20"/>
                <w:szCs w:val="20"/>
              </w:rPr>
            </w:pPr>
            <w:r>
              <w:rPr>
                <w:rFonts w:ascii="Arial" w:eastAsia="Arial" w:hAnsi="Arial" w:cs="Arial"/>
                <w:sz w:val="18"/>
                <w:szCs w:val="18"/>
              </w:rPr>
              <w:t>72</w:t>
            </w:r>
          </w:p>
        </w:tc>
        <w:tc>
          <w:tcPr>
            <w:tcW w:w="20" w:type="dxa"/>
            <w:shd w:val="clear" w:color="auto" w:fill="CCEEFF"/>
            <w:vAlign w:val="bottom"/>
          </w:tcPr>
          <w:p w14:paraId="05BA416F" w14:textId="77777777" w:rsidR="00D1587D" w:rsidRDefault="00D1587D">
            <w:pPr>
              <w:rPr>
                <w:sz w:val="23"/>
                <w:szCs w:val="23"/>
              </w:rPr>
            </w:pPr>
          </w:p>
        </w:tc>
      </w:tr>
      <w:tr w:rsidR="00D1587D" w14:paraId="7145203F" w14:textId="77777777">
        <w:trPr>
          <w:trHeight w:val="48"/>
        </w:trPr>
        <w:tc>
          <w:tcPr>
            <w:tcW w:w="7220" w:type="dxa"/>
            <w:tcBorders>
              <w:top w:val="single" w:sz="8" w:space="0" w:color="CCEEFF"/>
            </w:tcBorders>
            <w:shd w:val="clear" w:color="auto" w:fill="CCEEFF"/>
            <w:vAlign w:val="bottom"/>
          </w:tcPr>
          <w:p w14:paraId="505DAC20" w14:textId="77777777" w:rsidR="00D1587D" w:rsidRDefault="00D1587D">
            <w:pPr>
              <w:rPr>
                <w:sz w:val="4"/>
                <w:szCs w:val="4"/>
              </w:rPr>
            </w:pPr>
          </w:p>
        </w:tc>
        <w:tc>
          <w:tcPr>
            <w:tcW w:w="100" w:type="dxa"/>
            <w:tcBorders>
              <w:top w:val="single" w:sz="8" w:space="0" w:color="auto"/>
            </w:tcBorders>
            <w:shd w:val="clear" w:color="auto" w:fill="CCEEFF"/>
            <w:vAlign w:val="bottom"/>
          </w:tcPr>
          <w:p w14:paraId="34A12E0E" w14:textId="77777777" w:rsidR="00D1587D" w:rsidRDefault="00D1587D">
            <w:pPr>
              <w:rPr>
                <w:sz w:val="4"/>
                <w:szCs w:val="4"/>
              </w:rPr>
            </w:pPr>
          </w:p>
        </w:tc>
        <w:tc>
          <w:tcPr>
            <w:tcW w:w="380" w:type="dxa"/>
            <w:tcBorders>
              <w:top w:val="single" w:sz="8" w:space="0" w:color="auto"/>
            </w:tcBorders>
            <w:shd w:val="clear" w:color="auto" w:fill="CCEEFF"/>
            <w:vAlign w:val="bottom"/>
          </w:tcPr>
          <w:p w14:paraId="26708E2D" w14:textId="77777777" w:rsidR="00D1587D" w:rsidRDefault="00D1587D">
            <w:pPr>
              <w:rPr>
                <w:sz w:val="4"/>
                <w:szCs w:val="4"/>
              </w:rPr>
            </w:pPr>
          </w:p>
        </w:tc>
        <w:tc>
          <w:tcPr>
            <w:tcW w:w="20" w:type="dxa"/>
            <w:tcBorders>
              <w:top w:val="single" w:sz="8" w:space="0" w:color="CCEEFF"/>
            </w:tcBorders>
            <w:shd w:val="clear" w:color="auto" w:fill="CCEEFF"/>
            <w:vAlign w:val="bottom"/>
          </w:tcPr>
          <w:p w14:paraId="470B2BF0" w14:textId="77777777" w:rsidR="00D1587D" w:rsidRDefault="00D1587D">
            <w:pPr>
              <w:rPr>
                <w:sz w:val="4"/>
                <w:szCs w:val="4"/>
              </w:rPr>
            </w:pPr>
          </w:p>
        </w:tc>
        <w:tc>
          <w:tcPr>
            <w:tcW w:w="320" w:type="dxa"/>
            <w:tcBorders>
              <w:top w:val="single" w:sz="8" w:space="0" w:color="CCEEFF"/>
            </w:tcBorders>
            <w:shd w:val="clear" w:color="auto" w:fill="CCEEFF"/>
            <w:vAlign w:val="bottom"/>
          </w:tcPr>
          <w:p w14:paraId="12A17CFE" w14:textId="77777777" w:rsidR="00D1587D" w:rsidRDefault="00D1587D">
            <w:pPr>
              <w:rPr>
                <w:sz w:val="4"/>
                <w:szCs w:val="4"/>
              </w:rPr>
            </w:pPr>
          </w:p>
        </w:tc>
        <w:tc>
          <w:tcPr>
            <w:tcW w:w="340" w:type="dxa"/>
            <w:tcBorders>
              <w:top w:val="single" w:sz="8" w:space="0" w:color="auto"/>
            </w:tcBorders>
            <w:shd w:val="clear" w:color="auto" w:fill="CCEEFF"/>
            <w:vAlign w:val="bottom"/>
          </w:tcPr>
          <w:p w14:paraId="5844D7D7" w14:textId="77777777" w:rsidR="00D1587D" w:rsidRDefault="00D1587D">
            <w:pPr>
              <w:rPr>
                <w:sz w:val="4"/>
                <w:szCs w:val="4"/>
              </w:rPr>
            </w:pPr>
          </w:p>
        </w:tc>
        <w:tc>
          <w:tcPr>
            <w:tcW w:w="20" w:type="dxa"/>
            <w:tcBorders>
              <w:top w:val="single" w:sz="8" w:space="0" w:color="CCEEFF"/>
            </w:tcBorders>
            <w:shd w:val="clear" w:color="auto" w:fill="CCEEFF"/>
            <w:vAlign w:val="bottom"/>
          </w:tcPr>
          <w:p w14:paraId="64193C74" w14:textId="77777777" w:rsidR="00D1587D" w:rsidRDefault="00D1587D">
            <w:pPr>
              <w:rPr>
                <w:sz w:val="4"/>
                <w:szCs w:val="4"/>
              </w:rPr>
            </w:pPr>
          </w:p>
        </w:tc>
        <w:tc>
          <w:tcPr>
            <w:tcW w:w="20" w:type="dxa"/>
            <w:tcBorders>
              <w:top w:val="single" w:sz="8" w:space="0" w:color="CCEEFF"/>
            </w:tcBorders>
            <w:shd w:val="clear" w:color="auto" w:fill="CCEEFF"/>
            <w:vAlign w:val="bottom"/>
          </w:tcPr>
          <w:p w14:paraId="373116D1" w14:textId="77777777" w:rsidR="00D1587D" w:rsidRDefault="00D1587D">
            <w:pPr>
              <w:rPr>
                <w:sz w:val="4"/>
                <w:szCs w:val="4"/>
              </w:rPr>
            </w:pPr>
          </w:p>
        </w:tc>
      </w:tr>
      <w:tr w:rsidR="00D1587D" w14:paraId="47ACE024" w14:textId="77777777">
        <w:trPr>
          <w:trHeight w:val="270"/>
        </w:trPr>
        <w:tc>
          <w:tcPr>
            <w:tcW w:w="7220" w:type="dxa"/>
            <w:vAlign w:val="bottom"/>
          </w:tcPr>
          <w:p w14:paraId="03F3064E" w14:textId="77777777" w:rsidR="00D1587D" w:rsidRDefault="00410D07">
            <w:pPr>
              <w:ind w:left="180"/>
              <w:rPr>
                <w:sz w:val="20"/>
                <w:szCs w:val="20"/>
              </w:rPr>
            </w:pPr>
            <w:r>
              <w:rPr>
                <w:rFonts w:ascii="Arial" w:eastAsia="Arial" w:hAnsi="Arial" w:cs="Arial"/>
                <w:sz w:val="18"/>
                <w:szCs w:val="18"/>
              </w:rPr>
              <w:t>Total Net Sales</w:t>
            </w:r>
          </w:p>
        </w:tc>
        <w:tc>
          <w:tcPr>
            <w:tcW w:w="500" w:type="dxa"/>
            <w:gridSpan w:val="3"/>
            <w:tcBorders>
              <w:bottom w:val="single" w:sz="8" w:space="0" w:color="auto"/>
            </w:tcBorders>
            <w:vAlign w:val="bottom"/>
          </w:tcPr>
          <w:p w14:paraId="1D4583BA" w14:textId="77777777" w:rsidR="00D1587D" w:rsidRDefault="00410D07">
            <w:pPr>
              <w:ind w:right="20"/>
              <w:jc w:val="right"/>
              <w:rPr>
                <w:sz w:val="20"/>
                <w:szCs w:val="20"/>
              </w:rPr>
            </w:pPr>
            <w:r>
              <w:rPr>
                <w:rFonts w:ascii="Arial" w:eastAsia="Arial" w:hAnsi="Arial" w:cs="Arial"/>
                <w:w w:val="83"/>
                <w:sz w:val="18"/>
                <w:szCs w:val="18"/>
                <w:u w:val="single"/>
              </w:rPr>
              <w:t>$</w:t>
            </w:r>
            <w:r>
              <w:rPr>
                <w:rFonts w:ascii="Arial" w:eastAsia="Arial" w:hAnsi="Arial" w:cs="Arial"/>
                <w:w w:val="83"/>
                <w:sz w:val="18"/>
                <w:szCs w:val="18"/>
              </w:rPr>
              <w:t>1,554</w:t>
            </w:r>
          </w:p>
        </w:tc>
        <w:tc>
          <w:tcPr>
            <w:tcW w:w="320" w:type="dxa"/>
            <w:vAlign w:val="bottom"/>
          </w:tcPr>
          <w:p w14:paraId="0EDB428D" w14:textId="77777777" w:rsidR="00D1587D" w:rsidRDefault="00D1587D">
            <w:pPr>
              <w:rPr>
                <w:sz w:val="23"/>
                <w:szCs w:val="23"/>
              </w:rPr>
            </w:pPr>
          </w:p>
        </w:tc>
        <w:tc>
          <w:tcPr>
            <w:tcW w:w="360" w:type="dxa"/>
            <w:gridSpan w:val="2"/>
            <w:tcBorders>
              <w:bottom w:val="single" w:sz="8" w:space="0" w:color="auto"/>
            </w:tcBorders>
            <w:vAlign w:val="bottom"/>
          </w:tcPr>
          <w:p w14:paraId="0C94D5BF" w14:textId="77777777" w:rsidR="00D1587D" w:rsidRDefault="00410D07">
            <w:pPr>
              <w:jc w:val="right"/>
              <w:rPr>
                <w:sz w:val="20"/>
                <w:szCs w:val="20"/>
              </w:rPr>
            </w:pPr>
            <w:r>
              <w:rPr>
                <w:rFonts w:ascii="Arial" w:eastAsia="Arial" w:hAnsi="Arial" w:cs="Arial"/>
                <w:w w:val="84"/>
                <w:sz w:val="18"/>
                <w:szCs w:val="18"/>
                <w:u w:val="single"/>
              </w:rPr>
              <w:t>$</w:t>
            </w:r>
            <w:r>
              <w:rPr>
                <w:rFonts w:ascii="Arial" w:eastAsia="Arial" w:hAnsi="Arial" w:cs="Arial"/>
                <w:w w:val="84"/>
                <w:sz w:val="18"/>
                <w:szCs w:val="18"/>
              </w:rPr>
              <w:t>894</w:t>
            </w:r>
          </w:p>
        </w:tc>
        <w:tc>
          <w:tcPr>
            <w:tcW w:w="20" w:type="dxa"/>
            <w:vAlign w:val="bottom"/>
          </w:tcPr>
          <w:p w14:paraId="44D8AE8B" w14:textId="77777777" w:rsidR="00D1587D" w:rsidRDefault="00D1587D">
            <w:pPr>
              <w:rPr>
                <w:sz w:val="23"/>
                <w:szCs w:val="23"/>
              </w:rPr>
            </w:pPr>
          </w:p>
        </w:tc>
      </w:tr>
      <w:tr w:rsidR="00D1587D" w14:paraId="333A280C" w14:textId="77777777">
        <w:trPr>
          <w:trHeight w:val="20"/>
        </w:trPr>
        <w:tc>
          <w:tcPr>
            <w:tcW w:w="7220" w:type="dxa"/>
            <w:vAlign w:val="bottom"/>
          </w:tcPr>
          <w:p w14:paraId="4E1F9028" w14:textId="77777777" w:rsidR="00D1587D" w:rsidRDefault="00D1587D">
            <w:pPr>
              <w:spacing w:line="20" w:lineRule="exact"/>
              <w:rPr>
                <w:sz w:val="1"/>
                <w:szCs w:val="1"/>
              </w:rPr>
            </w:pPr>
          </w:p>
        </w:tc>
        <w:tc>
          <w:tcPr>
            <w:tcW w:w="100" w:type="dxa"/>
            <w:tcBorders>
              <w:bottom w:val="single" w:sz="8" w:space="0" w:color="auto"/>
            </w:tcBorders>
            <w:vAlign w:val="bottom"/>
          </w:tcPr>
          <w:p w14:paraId="2BEA2886" w14:textId="77777777" w:rsidR="00D1587D" w:rsidRDefault="00D1587D">
            <w:pPr>
              <w:spacing w:line="20" w:lineRule="exact"/>
              <w:rPr>
                <w:sz w:val="1"/>
                <w:szCs w:val="1"/>
              </w:rPr>
            </w:pPr>
          </w:p>
        </w:tc>
        <w:tc>
          <w:tcPr>
            <w:tcW w:w="380" w:type="dxa"/>
            <w:tcBorders>
              <w:bottom w:val="single" w:sz="8" w:space="0" w:color="auto"/>
            </w:tcBorders>
            <w:vAlign w:val="bottom"/>
          </w:tcPr>
          <w:p w14:paraId="512155ED" w14:textId="77777777" w:rsidR="00D1587D" w:rsidRDefault="00D1587D">
            <w:pPr>
              <w:spacing w:line="20" w:lineRule="exact"/>
              <w:rPr>
                <w:sz w:val="1"/>
                <w:szCs w:val="1"/>
              </w:rPr>
            </w:pPr>
          </w:p>
        </w:tc>
        <w:tc>
          <w:tcPr>
            <w:tcW w:w="20" w:type="dxa"/>
            <w:tcBorders>
              <w:bottom w:val="single" w:sz="8" w:space="0" w:color="auto"/>
            </w:tcBorders>
            <w:vAlign w:val="bottom"/>
          </w:tcPr>
          <w:p w14:paraId="06EA3640" w14:textId="77777777" w:rsidR="00D1587D" w:rsidRDefault="00D1587D">
            <w:pPr>
              <w:spacing w:line="20" w:lineRule="exact"/>
              <w:rPr>
                <w:sz w:val="1"/>
                <w:szCs w:val="1"/>
              </w:rPr>
            </w:pPr>
          </w:p>
        </w:tc>
        <w:tc>
          <w:tcPr>
            <w:tcW w:w="320" w:type="dxa"/>
            <w:vAlign w:val="bottom"/>
          </w:tcPr>
          <w:p w14:paraId="622FDDDC" w14:textId="77777777" w:rsidR="00D1587D" w:rsidRDefault="00D1587D">
            <w:pPr>
              <w:spacing w:line="20" w:lineRule="exact"/>
              <w:rPr>
                <w:sz w:val="1"/>
                <w:szCs w:val="1"/>
              </w:rPr>
            </w:pPr>
          </w:p>
        </w:tc>
        <w:tc>
          <w:tcPr>
            <w:tcW w:w="340" w:type="dxa"/>
            <w:tcBorders>
              <w:bottom w:val="single" w:sz="8" w:space="0" w:color="auto"/>
            </w:tcBorders>
            <w:vAlign w:val="bottom"/>
          </w:tcPr>
          <w:p w14:paraId="615F2BFE" w14:textId="77777777" w:rsidR="00D1587D" w:rsidRDefault="00D1587D">
            <w:pPr>
              <w:spacing w:line="20" w:lineRule="exact"/>
              <w:rPr>
                <w:sz w:val="1"/>
                <w:szCs w:val="1"/>
              </w:rPr>
            </w:pPr>
          </w:p>
        </w:tc>
        <w:tc>
          <w:tcPr>
            <w:tcW w:w="20" w:type="dxa"/>
            <w:tcBorders>
              <w:bottom w:val="single" w:sz="8" w:space="0" w:color="auto"/>
            </w:tcBorders>
            <w:vAlign w:val="bottom"/>
          </w:tcPr>
          <w:p w14:paraId="1B279EC5" w14:textId="77777777" w:rsidR="00D1587D" w:rsidRDefault="00D1587D">
            <w:pPr>
              <w:spacing w:line="20" w:lineRule="exact"/>
              <w:rPr>
                <w:sz w:val="1"/>
                <w:szCs w:val="1"/>
              </w:rPr>
            </w:pPr>
          </w:p>
        </w:tc>
        <w:tc>
          <w:tcPr>
            <w:tcW w:w="20" w:type="dxa"/>
            <w:vAlign w:val="bottom"/>
          </w:tcPr>
          <w:p w14:paraId="5A02A9D5" w14:textId="77777777" w:rsidR="00D1587D" w:rsidRDefault="00D1587D">
            <w:pPr>
              <w:spacing w:line="20" w:lineRule="exact"/>
              <w:rPr>
                <w:sz w:val="1"/>
                <w:szCs w:val="1"/>
              </w:rPr>
            </w:pPr>
          </w:p>
        </w:tc>
      </w:tr>
    </w:tbl>
    <w:p w14:paraId="591F1BC4" w14:textId="77777777" w:rsidR="00D1587D" w:rsidRDefault="00410D07">
      <w:pPr>
        <w:spacing w:line="20" w:lineRule="exact"/>
        <w:rPr>
          <w:sz w:val="20"/>
          <w:szCs w:val="20"/>
        </w:rPr>
      </w:pPr>
      <w:r>
        <w:rPr>
          <w:noProof/>
          <w:sz w:val="20"/>
          <w:szCs w:val="20"/>
        </w:rPr>
        <w:drawing>
          <wp:anchor distT="0" distB="0" distL="114300" distR="114300" simplePos="0" relativeHeight="252169216" behindDoc="1" locked="0" layoutInCell="0" allowOverlap="1" wp14:anchorId="7EEC15E6" wp14:editId="42111696">
            <wp:simplePos x="0" y="0"/>
            <wp:positionH relativeFrom="column">
              <wp:posOffset>5088890</wp:posOffset>
            </wp:positionH>
            <wp:positionV relativeFrom="paragraph">
              <wp:posOffset>-1028065</wp:posOffset>
            </wp:positionV>
            <wp:extent cx="205740" cy="8255"/>
            <wp:effectExtent l="0" t="0" r="0" b="0"/>
            <wp:wrapNone/>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74"/>
                    <a:srcRect/>
                    <a:stretch>
                      <a:fillRect/>
                    </a:stretch>
                  </pic:blipFill>
                  <pic:spPr bwMode="auto">
                    <a:xfrm>
                      <a:off x="0" y="0"/>
                      <a:ext cx="205740" cy="8255"/>
                    </a:xfrm>
                    <a:prstGeom prst="rect">
                      <a:avLst/>
                    </a:prstGeom>
                    <a:noFill/>
                  </pic:spPr>
                </pic:pic>
              </a:graphicData>
            </a:graphic>
          </wp:anchor>
        </w:drawing>
      </w:r>
      <w:r>
        <w:rPr>
          <w:noProof/>
          <w:sz w:val="20"/>
          <w:szCs w:val="20"/>
        </w:rPr>
        <w:drawing>
          <wp:anchor distT="0" distB="0" distL="114300" distR="114300" simplePos="0" relativeHeight="252170240" behindDoc="1" locked="0" layoutInCell="0" allowOverlap="1" wp14:anchorId="249C400D" wp14:editId="1951F81C">
            <wp:simplePos x="0" y="0"/>
            <wp:positionH relativeFrom="column">
              <wp:posOffset>185420</wp:posOffset>
            </wp:positionH>
            <wp:positionV relativeFrom="paragraph">
              <wp:posOffset>111760</wp:posOffset>
            </wp:positionV>
            <wp:extent cx="822960" cy="8255"/>
            <wp:effectExtent l="0" t="0" r="0" b="0"/>
            <wp:wrapNone/>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10"/>
                    <a:srcRect/>
                    <a:stretch>
                      <a:fillRect/>
                    </a:stretch>
                  </pic:blipFill>
                  <pic:spPr bwMode="auto">
                    <a:xfrm>
                      <a:off x="0" y="0"/>
                      <a:ext cx="822960" cy="8255"/>
                    </a:xfrm>
                    <a:prstGeom prst="rect">
                      <a:avLst/>
                    </a:prstGeom>
                    <a:noFill/>
                  </pic:spPr>
                </pic:pic>
              </a:graphicData>
            </a:graphic>
          </wp:anchor>
        </w:drawing>
      </w:r>
    </w:p>
    <w:p w14:paraId="19790C04" w14:textId="77777777" w:rsidR="00D1587D" w:rsidRDefault="00D1587D">
      <w:pPr>
        <w:spacing w:line="204" w:lineRule="exact"/>
        <w:rPr>
          <w:sz w:val="20"/>
          <w:szCs w:val="20"/>
        </w:rPr>
      </w:pPr>
    </w:p>
    <w:p w14:paraId="53CEB8D0" w14:textId="77777777" w:rsidR="00D1587D" w:rsidRDefault="00410D07" w:rsidP="00410D07">
      <w:pPr>
        <w:numPr>
          <w:ilvl w:val="0"/>
          <w:numId w:val="347"/>
        </w:numPr>
        <w:tabs>
          <w:tab w:val="left" w:pos="640"/>
        </w:tabs>
        <w:spacing w:line="253" w:lineRule="auto"/>
        <w:ind w:left="640" w:right="479" w:hanging="348"/>
        <w:rPr>
          <w:rFonts w:ascii="Arial" w:eastAsia="Arial" w:hAnsi="Arial" w:cs="Arial"/>
          <w:sz w:val="14"/>
          <w:szCs w:val="14"/>
        </w:rPr>
      </w:pPr>
      <w:r>
        <w:rPr>
          <w:rFonts w:ascii="Arial" w:eastAsia="Arial" w:hAnsi="Arial" w:cs="Arial"/>
          <w:sz w:val="14"/>
          <w:szCs w:val="14"/>
        </w:rPr>
        <w:t>Results include company-operated stores in the U.K. (pre-joint venture) and Greater China, and royalties associated with franchised store and wholesale sales.</w:t>
      </w:r>
    </w:p>
    <w:p w14:paraId="3C94E8B7" w14:textId="77777777" w:rsidR="00D1587D" w:rsidRDefault="00D1587D">
      <w:pPr>
        <w:spacing w:line="70" w:lineRule="exact"/>
        <w:rPr>
          <w:sz w:val="20"/>
          <w:szCs w:val="20"/>
        </w:rPr>
      </w:pPr>
    </w:p>
    <w:p w14:paraId="37B09690" w14:textId="77777777" w:rsidR="00D1587D" w:rsidRDefault="00410D07">
      <w:pPr>
        <w:spacing w:line="277" w:lineRule="auto"/>
        <w:ind w:left="300" w:right="1119"/>
        <w:rPr>
          <w:sz w:val="20"/>
          <w:szCs w:val="20"/>
        </w:rPr>
      </w:pPr>
      <w:r>
        <w:rPr>
          <w:rFonts w:ascii="Arial" w:eastAsia="Arial" w:hAnsi="Arial" w:cs="Arial"/>
          <w:sz w:val="18"/>
          <w:szCs w:val="18"/>
        </w:rPr>
        <w:t xml:space="preserve">The Company recognized Net Sales of $28 million and $25 </w:t>
      </w:r>
      <w:r>
        <w:rPr>
          <w:rFonts w:ascii="Arial" w:eastAsia="Arial" w:hAnsi="Arial" w:cs="Arial"/>
          <w:sz w:val="18"/>
          <w:szCs w:val="18"/>
        </w:rPr>
        <w:t>million for the first quarter of 2021 and 2020, respectively, related to its U.S. private label credit card arrangement.</w:t>
      </w:r>
    </w:p>
    <w:p w14:paraId="0C8CE33D" w14:textId="77777777" w:rsidR="00D1587D" w:rsidRDefault="00D1587D">
      <w:pPr>
        <w:spacing w:line="62" w:lineRule="exact"/>
        <w:rPr>
          <w:sz w:val="20"/>
          <w:szCs w:val="20"/>
        </w:rPr>
      </w:pPr>
    </w:p>
    <w:p w14:paraId="13F6553C" w14:textId="77777777" w:rsidR="00D1587D" w:rsidRDefault="00410D07">
      <w:pPr>
        <w:spacing w:line="279" w:lineRule="auto"/>
        <w:ind w:left="300" w:right="439"/>
        <w:rPr>
          <w:sz w:val="20"/>
          <w:szCs w:val="20"/>
        </w:rPr>
      </w:pPr>
      <w:r>
        <w:rPr>
          <w:rFonts w:ascii="Arial" w:eastAsia="Arial" w:hAnsi="Arial" w:cs="Arial"/>
          <w:sz w:val="17"/>
          <w:szCs w:val="17"/>
        </w:rPr>
        <w:t>The Company’s international net sales include sales from company-operated stores, royalty revenue from franchise and license arrangeme</w:t>
      </w:r>
      <w:r>
        <w:rPr>
          <w:rFonts w:ascii="Arial" w:eastAsia="Arial" w:hAnsi="Arial" w:cs="Arial"/>
          <w:sz w:val="17"/>
          <w:szCs w:val="17"/>
        </w:rPr>
        <w:t xml:space="preserve">nts, wholesale revenues and direct sales shipped internationally. Certain of these sales are subject to the impact of fluctuations in foreign currency. The Company’s net sales outside of the U.S. totaled $163 million and $106 million for the first quarter </w:t>
      </w:r>
      <w:r>
        <w:rPr>
          <w:rFonts w:ascii="Arial" w:eastAsia="Arial" w:hAnsi="Arial" w:cs="Arial"/>
          <w:sz w:val="17"/>
          <w:szCs w:val="17"/>
        </w:rPr>
        <w:t>of 2021 and 2020, respectively.</w:t>
      </w:r>
    </w:p>
    <w:p w14:paraId="6C308981" w14:textId="77777777" w:rsidR="00D1587D" w:rsidRDefault="00D1587D">
      <w:pPr>
        <w:spacing w:line="167" w:lineRule="exact"/>
        <w:rPr>
          <w:sz w:val="20"/>
          <w:szCs w:val="20"/>
        </w:rPr>
      </w:pPr>
    </w:p>
    <w:p w14:paraId="1D18083C" w14:textId="77777777" w:rsidR="00D1587D" w:rsidRDefault="00410D07">
      <w:pPr>
        <w:ind w:left="300"/>
        <w:rPr>
          <w:sz w:val="20"/>
          <w:szCs w:val="20"/>
        </w:rPr>
      </w:pPr>
      <w:r>
        <w:rPr>
          <w:rFonts w:ascii="Arial" w:eastAsia="Arial" w:hAnsi="Arial" w:cs="Arial"/>
          <w:b/>
          <w:bCs/>
          <w:sz w:val="18"/>
          <w:szCs w:val="18"/>
        </w:rPr>
        <w:t>4. Restructuring Activities</w:t>
      </w:r>
    </w:p>
    <w:p w14:paraId="3E00AEB4" w14:textId="77777777" w:rsidR="00D1587D" w:rsidRDefault="00D1587D">
      <w:pPr>
        <w:spacing w:line="121" w:lineRule="exact"/>
        <w:rPr>
          <w:sz w:val="20"/>
          <w:szCs w:val="20"/>
        </w:rPr>
      </w:pPr>
    </w:p>
    <w:p w14:paraId="3B3AFF1D" w14:textId="77777777" w:rsidR="00D1587D" w:rsidRDefault="00410D07">
      <w:pPr>
        <w:spacing w:line="259" w:lineRule="auto"/>
        <w:ind w:left="300" w:right="359"/>
        <w:rPr>
          <w:sz w:val="20"/>
          <w:szCs w:val="20"/>
        </w:rPr>
      </w:pPr>
      <w:r>
        <w:rPr>
          <w:rFonts w:ascii="Arial" w:eastAsia="Arial" w:hAnsi="Arial" w:cs="Arial"/>
          <w:sz w:val="18"/>
          <w:szCs w:val="18"/>
        </w:rPr>
        <w:t xml:space="preserve">During the second quarter of 2020, management of L Brands and the Company reduced home office head count as a result of completing a comprehensive review of the home office </w:t>
      </w:r>
      <w:r>
        <w:rPr>
          <w:rFonts w:ascii="Arial" w:eastAsia="Arial" w:hAnsi="Arial" w:cs="Arial"/>
          <w:sz w:val="18"/>
          <w:szCs w:val="18"/>
        </w:rPr>
        <w:t>organizations in order to achieve meaningful reductions in overhead expenses and to decentralize significant shared functions and services to support the creation of standalone companies.</w:t>
      </w:r>
    </w:p>
    <w:p w14:paraId="6159DF90" w14:textId="77777777" w:rsidR="00D1587D" w:rsidRDefault="00D1587D">
      <w:pPr>
        <w:spacing w:line="79" w:lineRule="exact"/>
        <w:rPr>
          <w:sz w:val="20"/>
          <w:szCs w:val="20"/>
        </w:rPr>
      </w:pPr>
    </w:p>
    <w:p w14:paraId="4FE283F5" w14:textId="77777777" w:rsidR="00D1587D" w:rsidRDefault="00410D07">
      <w:pPr>
        <w:spacing w:line="263" w:lineRule="auto"/>
        <w:ind w:left="300" w:right="459"/>
        <w:jc w:val="both"/>
        <w:rPr>
          <w:sz w:val="20"/>
          <w:szCs w:val="20"/>
        </w:rPr>
      </w:pPr>
      <w:r>
        <w:rPr>
          <w:rFonts w:ascii="Arial" w:eastAsia="Arial" w:hAnsi="Arial" w:cs="Arial"/>
          <w:sz w:val="18"/>
          <w:szCs w:val="18"/>
        </w:rPr>
        <w:t>During the first quarter of 2021, the Company made payments of $6 m</w:t>
      </w:r>
      <w:r>
        <w:rPr>
          <w:rFonts w:ascii="Arial" w:eastAsia="Arial" w:hAnsi="Arial" w:cs="Arial"/>
          <w:sz w:val="18"/>
          <w:szCs w:val="18"/>
        </w:rPr>
        <w:t>illion related to severance and related costs associated with these reductions. As of May 1, 2021, a liability of $9 million related to these reductions is included in Accrued Expenses and Other on the Combined Balance Sheet.</w:t>
      </w:r>
    </w:p>
    <w:p w14:paraId="3FED3661" w14:textId="77777777" w:rsidR="00D1587D" w:rsidRDefault="00D1587D">
      <w:pPr>
        <w:spacing w:line="184" w:lineRule="exact"/>
        <w:rPr>
          <w:sz w:val="20"/>
          <w:szCs w:val="20"/>
        </w:rPr>
      </w:pPr>
    </w:p>
    <w:p w14:paraId="0A4C020E" w14:textId="77777777" w:rsidR="00D1587D" w:rsidRDefault="00410D07">
      <w:pPr>
        <w:ind w:left="300"/>
        <w:rPr>
          <w:sz w:val="20"/>
          <w:szCs w:val="20"/>
        </w:rPr>
      </w:pPr>
      <w:r>
        <w:rPr>
          <w:rFonts w:ascii="Arial" w:eastAsia="Arial" w:hAnsi="Arial" w:cs="Arial"/>
          <w:b/>
          <w:bCs/>
          <w:i/>
          <w:iCs/>
          <w:sz w:val="18"/>
          <w:szCs w:val="18"/>
        </w:rPr>
        <w:t>Victoria’s Secret U.K.</w:t>
      </w:r>
    </w:p>
    <w:p w14:paraId="20F78C42" w14:textId="77777777" w:rsidR="00D1587D" w:rsidRDefault="00D1587D">
      <w:pPr>
        <w:spacing w:line="117" w:lineRule="exact"/>
        <w:rPr>
          <w:sz w:val="20"/>
          <w:szCs w:val="20"/>
        </w:rPr>
      </w:pPr>
    </w:p>
    <w:p w14:paraId="53CC8A28" w14:textId="77777777" w:rsidR="00D1587D" w:rsidRDefault="00410D07">
      <w:pPr>
        <w:spacing w:line="296" w:lineRule="auto"/>
        <w:ind w:left="300" w:right="439"/>
        <w:rPr>
          <w:sz w:val="20"/>
          <w:szCs w:val="20"/>
        </w:rPr>
      </w:pPr>
      <w:r>
        <w:rPr>
          <w:rFonts w:ascii="Arial" w:eastAsia="Arial" w:hAnsi="Arial" w:cs="Arial"/>
          <w:sz w:val="16"/>
          <w:szCs w:val="16"/>
        </w:rPr>
        <w:t xml:space="preserve">Due </w:t>
      </w:r>
      <w:r>
        <w:rPr>
          <w:rFonts w:ascii="Arial" w:eastAsia="Arial" w:hAnsi="Arial" w:cs="Arial"/>
          <w:sz w:val="16"/>
          <w:szCs w:val="16"/>
        </w:rPr>
        <w:t>to challenging business results in the U.K., the Company entered into Administration in June 2020 to restructure store lease agreements and reduce operating losses in the U.K. business. In October 2020, the Company entered into a joint venture with Next PL</w:t>
      </w:r>
      <w:r>
        <w:rPr>
          <w:rFonts w:ascii="Arial" w:eastAsia="Arial" w:hAnsi="Arial" w:cs="Arial"/>
          <w:sz w:val="16"/>
          <w:szCs w:val="16"/>
        </w:rPr>
        <w:t>C for the Victoria’s Secret business in the United Kingdom and Ireland. Under this agreement, the Company owns 49% of the joint venture, and Next owns 51% and is responsible for operations. The Company accounts for its investment in the joint venture under</w:t>
      </w:r>
      <w:r>
        <w:rPr>
          <w:rFonts w:ascii="Arial" w:eastAsia="Arial" w:hAnsi="Arial" w:cs="Arial"/>
          <w:sz w:val="16"/>
          <w:szCs w:val="16"/>
        </w:rPr>
        <w:t xml:space="preserve"> the equity method of accounting.</w:t>
      </w:r>
    </w:p>
    <w:p w14:paraId="68DCF3A0" w14:textId="77777777" w:rsidR="00D1587D" w:rsidRDefault="00D1587D">
      <w:pPr>
        <w:spacing w:line="161" w:lineRule="exact"/>
        <w:rPr>
          <w:sz w:val="20"/>
          <w:szCs w:val="20"/>
        </w:rPr>
      </w:pPr>
    </w:p>
    <w:p w14:paraId="7F7B2BD2" w14:textId="77777777" w:rsidR="00D1587D" w:rsidRDefault="00410D07">
      <w:pPr>
        <w:jc w:val="center"/>
        <w:rPr>
          <w:sz w:val="20"/>
          <w:szCs w:val="20"/>
        </w:rPr>
      </w:pPr>
      <w:r>
        <w:rPr>
          <w:rFonts w:ascii="Arial" w:eastAsia="Arial" w:hAnsi="Arial" w:cs="Arial"/>
          <w:sz w:val="18"/>
          <w:szCs w:val="18"/>
        </w:rPr>
        <w:t>F-38</w:t>
      </w:r>
    </w:p>
    <w:p w14:paraId="334D0A4E" w14:textId="77777777" w:rsidR="00D1587D" w:rsidRDefault="00410D07">
      <w:pPr>
        <w:spacing w:line="20" w:lineRule="exact"/>
        <w:rPr>
          <w:sz w:val="20"/>
          <w:szCs w:val="20"/>
        </w:rPr>
      </w:pPr>
      <w:r>
        <w:rPr>
          <w:noProof/>
          <w:sz w:val="20"/>
          <w:szCs w:val="20"/>
        </w:rPr>
        <w:drawing>
          <wp:anchor distT="0" distB="0" distL="114300" distR="114300" simplePos="0" relativeHeight="252171264" behindDoc="1" locked="0" layoutInCell="0" allowOverlap="1" wp14:anchorId="78A8054A" wp14:editId="60DFCDC9">
            <wp:simplePos x="0" y="0"/>
            <wp:positionH relativeFrom="column">
              <wp:posOffset>-636905</wp:posOffset>
            </wp:positionH>
            <wp:positionV relativeFrom="paragraph">
              <wp:posOffset>126365</wp:posOffset>
            </wp:positionV>
            <wp:extent cx="6995160" cy="17145"/>
            <wp:effectExtent l="0" t="0" r="0" b="0"/>
            <wp:wrapNone/>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2D912548" w14:textId="77777777" w:rsidR="00D1587D" w:rsidRDefault="00D1587D">
      <w:pPr>
        <w:sectPr w:rsidR="00D1587D">
          <w:pgSz w:w="11900" w:h="16838"/>
          <w:pgMar w:top="265" w:right="1440" w:bottom="1440" w:left="1440" w:header="0" w:footer="0" w:gutter="0"/>
          <w:cols w:space="720" w:equalWidth="0">
            <w:col w:w="9019"/>
          </w:cols>
        </w:sectPr>
      </w:pPr>
    </w:p>
    <w:bookmarkStart w:id="434" w:name="page435"/>
    <w:bookmarkEnd w:id="434"/>
    <w:p w14:paraId="345017EB"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7FB26743" w14:textId="77777777" w:rsidR="00D1587D" w:rsidRDefault="00D1587D">
      <w:pPr>
        <w:spacing w:line="127" w:lineRule="exact"/>
        <w:rPr>
          <w:sz w:val="20"/>
          <w:szCs w:val="20"/>
        </w:rPr>
      </w:pPr>
    </w:p>
    <w:p w14:paraId="7A306DD2" w14:textId="77777777" w:rsidR="00D1587D" w:rsidRDefault="00410D07">
      <w:pPr>
        <w:ind w:left="300"/>
        <w:rPr>
          <w:sz w:val="20"/>
          <w:szCs w:val="20"/>
        </w:rPr>
      </w:pPr>
      <w:r>
        <w:rPr>
          <w:rFonts w:ascii="Arial" w:eastAsia="Arial" w:hAnsi="Arial" w:cs="Arial"/>
          <w:b/>
          <w:bCs/>
          <w:sz w:val="18"/>
          <w:szCs w:val="18"/>
        </w:rPr>
        <w:t>5. Inventories</w:t>
      </w:r>
    </w:p>
    <w:p w14:paraId="2EF2147D" w14:textId="77777777" w:rsidR="00D1587D" w:rsidRDefault="00D1587D">
      <w:pPr>
        <w:spacing w:line="148" w:lineRule="exact"/>
        <w:rPr>
          <w:sz w:val="20"/>
          <w:szCs w:val="20"/>
        </w:rPr>
      </w:pPr>
    </w:p>
    <w:p w14:paraId="1808DB5A" w14:textId="77777777" w:rsidR="00D1587D" w:rsidRDefault="00410D07">
      <w:pPr>
        <w:ind w:left="300"/>
        <w:rPr>
          <w:sz w:val="20"/>
          <w:szCs w:val="20"/>
        </w:rPr>
      </w:pPr>
      <w:r>
        <w:rPr>
          <w:rFonts w:ascii="Arial" w:eastAsia="Arial" w:hAnsi="Arial" w:cs="Arial"/>
          <w:sz w:val="18"/>
          <w:szCs w:val="18"/>
        </w:rPr>
        <w:t>The following table provides details of inventories as of May 1, 2021, January 30, 2021 and May 2, 2020:</w:t>
      </w:r>
    </w:p>
    <w:p w14:paraId="26D3BA4D" w14:textId="77777777" w:rsidR="00D1587D" w:rsidRDefault="00D1587D">
      <w:pPr>
        <w:spacing w:line="164"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060"/>
        <w:gridCol w:w="360"/>
        <w:gridCol w:w="240"/>
        <w:gridCol w:w="400"/>
        <w:gridCol w:w="380"/>
        <w:gridCol w:w="360"/>
        <w:gridCol w:w="220"/>
        <w:gridCol w:w="400"/>
      </w:tblGrid>
      <w:tr w:rsidR="00D1587D" w14:paraId="09B943D3" w14:textId="77777777">
        <w:trPr>
          <w:trHeight w:val="161"/>
        </w:trPr>
        <w:tc>
          <w:tcPr>
            <w:tcW w:w="6060" w:type="dxa"/>
            <w:vAlign w:val="bottom"/>
          </w:tcPr>
          <w:p w14:paraId="239EF511" w14:textId="77777777" w:rsidR="00D1587D" w:rsidRDefault="00D1587D">
            <w:pPr>
              <w:rPr>
                <w:sz w:val="14"/>
                <w:szCs w:val="14"/>
              </w:rPr>
            </w:pPr>
          </w:p>
        </w:tc>
        <w:tc>
          <w:tcPr>
            <w:tcW w:w="600" w:type="dxa"/>
            <w:gridSpan w:val="2"/>
            <w:vAlign w:val="bottom"/>
          </w:tcPr>
          <w:p w14:paraId="242C3F88" w14:textId="77777777" w:rsidR="00D1587D" w:rsidRDefault="00410D07">
            <w:pPr>
              <w:ind w:right="200"/>
              <w:jc w:val="right"/>
              <w:rPr>
                <w:sz w:val="20"/>
                <w:szCs w:val="20"/>
              </w:rPr>
            </w:pPr>
            <w:r>
              <w:rPr>
                <w:rFonts w:ascii="Arial" w:eastAsia="Arial" w:hAnsi="Arial" w:cs="Arial"/>
                <w:b/>
                <w:bCs/>
                <w:w w:val="88"/>
                <w:sz w:val="14"/>
                <w:szCs w:val="14"/>
              </w:rPr>
              <w:t>May 1,</w:t>
            </w:r>
          </w:p>
        </w:tc>
        <w:tc>
          <w:tcPr>
            <w:tcW w:w="1140" w:type="dxa"/>
            <w:gridSpan w:val="3"/>
            <w:vAlign w:val="bottom"/>
          </w:tcPr>
          <w:p w14:paraId="508DFA47" w14:textId="77777777" w:rsidR="00D1587D" w:rsidRDefault="00410D07">
            <w:pPr>
              <w:jc w:val="center"/>
              <w:rPr>
                <w:sz w:val="20"/>
                <w:szCs w:val="20"/>
              </w:rPr>
            </w:pPr>
            <w:r>
              <w:rPr>
                <w:rFonts w:ascii="Arial" w:eastAsia="Arial" w:hAnsi="Arial" w:cs="Arial"/>
                <w:b/>
                <w:bCs/>
                <w:w w:val="93"/>
                <w:sz w:val="14"/>
                <w:szCs w:val="14"/>
              </w:rPr>
              <w:t>January 30,</w:t>
            </w:r>
          </w:p>
        </w:tc>
        <w:tc>
          <w:tcPr>
            <w:tcW w:w="620" w:type="dxa"/>
            <w:gridSpan w:val="2"/>
            <w:vAlign w:val="bottom"/>
          </w:tcPr>
          <w:p w14:paraId="71C766A2" w14:textId="77777777" w:rsidR="00D1587D" w:rsidRDefault="00410D07">
            <w:pPr>
              <w:jc w:val="right"/>
              <w:rPr>
                <w:sz w:val="20"/>
                <w:szCs w:val="20"/>
              </w:rPr>
            </w:pPr>
            <w:r>
              <w:rPr>
                <w:rFonts w:ascii="Arial" w:eastAsia="Arial" w:hAnsi="Arial" w:cs="Arial"/>
                <w:b/>
                <w:bCs/>
                <w:sz w:val="14"/>
                <w:szCs w:val="14"/>
              </w:rPr>
              <w:t xml:space="preserve">May </w:t>
            </w:r>
            <w:r>
              <w:rPr>
                <w:rFonts w:ascii="Arial" w:eastAsia="Arial" w:hAnsi="Arial" w:cs="Arial"/>
                <w:b/>
                <w:bCs/>
                <w:sz w:val="14"/>
                <w:szCs w:val="14"/>
              </w:rPr>
              <w:t>2,</w:t>
            </w:r>
          </w:p>
        </w:tc>
      </w:tr>
      <w:tr w:rsidR="00D1587D" w14:paraId="2AAF2D99" w14:textId="77777777">
        <w:trPr>
          <w:trHeight w:val="186"/>
        </w:trPr>
        <w:tc>
          <w:tcPr>
            <w:tcW w:w="6060" w:type="dxa"/>
            <w:vAlign w:val="bottom"/>
          </w:tcPr>
          <w:p w14:paraId="236BA994" w14:textId="77777777" w:rsidR="00D1587D" w:rsidRDefault="00D1587D">
            <w:pPr>
              <w:rPr>
                <w:sz w:val="16"/>
                <w:szCs w:val="16"/>
              </w:rPr>
            </w:pPr>
          </w:p>
        </w:tc>
        <w:tc>
          <w:tcPr>
            <w:tcW w:w="360" w:type="dxa"/>
            <w:vAlign w:val="bottom"/>
          </w:tcPr>
          <w:p w14:paraId="745567E2" w14:textId="77777777" w:rsidR="00D1587D" w:rsidRDefault="00410D07">
            <w:pPr>
              <w:jc w:val="right"/>
              <w:rPr>
                <w:sz w:val="20"/>
                <w:szCs w:val="20"/>
              </w:rPr>
            </w:pPr>
            <w:r>
              <w:rPr>
                <w:rFonts w:ascii="Arial" w:eastAsia="Arial" w:hAnsi="Arial" w:cs="Arial"/>
                <w:b/>
                <w:bCs/>
                <w:sz w:val="14"/>
                <w:szCs w:val="14"/>
              </w:rPr>
              <w:t>2021</w:t>
            </w:r>
          </w:p>
        </w:tc>
        <w:tc>
          <w:tcPr>
            <w:tcW w:w="240" w:type="dxa"/>
            <w:vAlign w:val="bottom"/>
          </w:tcPr>
          <w:p w14:paraId="0B7F3022" w14:textId="77777777" w:rsidR="00D1587D" w:rsidRDefault="00D1587D">
            <w:pPr>
              <w:rPr>
                <w:sz w:val="16"/>
                <w:szCs w:val="16"/>
              </w:rPr>
            </w:pPr>
          </w:p>
        </w:tc>
        <w:tc>
          <w:tcPr>
            <w:tcW w:w="780" w:type="dxa"/>
            <w:gridSpan w:val="2"/>
            <w:vAlign w:val="bottom"/>
          </w:tcPr>
          <w:p w14:paraId="2966328A" w14:textId="77777777" w:rsidR="00D1587D" w:rsidRDefault="00410D07">
            <w:pPr>
              <w:ind w:left="299"/>
              <w:jc w:val="center"/>
              <w:rPr>
                <w:sz w:val="20"/>
                <w:szCs w:val="20"/>
              </w:rPr>
            </w:pPr>
            <w:r>
              <w:rPr>
                <w:rFonts w:ascii="Arial" w:eastAsia="Arial" w:hAnsi="Arial" w:cs="Arial"/>
                <w:b/>
                <w:bCs/>
                <w:w w:val="89"/>
                <w:sz w:val="14"/>
                <w:szCs w:val="14"/>
              </w:rPr>
              <w:t>2021</w:t>
            </w:r>
          </w:p>
        </w:tc>
        <w:tc>
          <w:tcPr>
            <w:tcW w:w="360" w:type="dxa"/>
            <w:vAlign w:val="bottom"/>
          </w:tcPr>
          <w:p w14:paraId="50AD95B9" w14:textId="77777777" w:rsidR="00D1587D" w:rsidRDefault="00D1587D">
            <w:pPr>
              <w:rPr>
                <w:sz w:val="16"/>
                <w:szCs w:val="16"/>
              </w:rPr>
            </w:pPr>
          </w:p>
        </w:tc>
        <w:tc>
          <w:tcPr>
            <w:tcW w:w="620" w:type="dxa"/>
            <w:gridSpan w:val="2"/>
            <w:vAlign w:val="bottom"/>
          </w:tcPr>
          <w:p w14:paraId="2E55BFE3" w14:textId="77777777" w:rsidR="00D1587D" w:rsidRDefault="00410D07">
            <w:pPr>
              <w:ind w:right="80"/>
              <w:jc w:val="right"/>
              <w:rPr>
                <w:sz w:val="20"/>
                <w:szCs w:val="20"/>
              </w:rPr>
            </w:pPr>
            <w:r>
              <w:rPr>
                <w:rFonts w:ascii="Arial" w:eastAsia="Arial" w:hAnsi="Arial" w:cs="Arial"/>
                <w:b/>
                <w:bCs/>
                <w:sz w:val="14"/>
                <w:szCs w:val="14"/>
              </w:rPr>
              <w:t>2020</w:t>
            </w:r>
          </w:p>
        </w:tc>
      </w:tr>
      <w:tr w:rsidR="00D1587D" w14:paraId="648276BA" w14:textId="77777777">
        <w:trPr>
          <w:trHeight w:val="53"/>
        </w:trPr>
        <w:tc>
          <w:tcPr>
            <w:tcW w:w="6060" w:type="dxa"/>
            <w:vAlign w:val="bottom"/>
          </w:tcPr>
          <w:p w14:paraId="1D752106" w14:textId="77777777" w:rsidR="00D1587D" w:rsidRDefault="00D1587D">
            <w:pPr>
              <w:rPr>
                <w:sz w:val="4"/>
                <w:szCs w:val="4"/>
              </w:rPr>
            </w:pPr>
          </w:p>
        </w:tc>
        <w:tc>
          <w:tcPr>
            <w:tcW w:w="360" w:type="dxa"/>
            <w:tcBorders>
              <w:bottom w:val="single" w:sz="8" w:space="0" w:color="auto"/>
            </w:tcBorders>
            <w:vAlign w:val="bottom"/>
          </w:tcPr>
          <w:p w14:paraId="31809FDF" w14:textId="77777777" w:rsidR="00D1587D" w:rsidRDefault="00D1587D">
            <w:pPr>
              <w:rPr>
                <w:sz w:val="4"/>
                <w:szCs w:val="4"/>
              </w:rPr>
            </w:pPr>
          </w:p>
        </w:tc>
        <w:tc>
          <w:tcPr>
            <w:tcW w:w="240" w:type="dxa"/>
            <w:tcBorders>
              <w:bottom w:val="single" w:sz="8" w:space="0" w:color="auto"/>
            </w:tcBorders>
            <w:vAlign w:val="bottom"/>
          </w:tcPr>
          <w:p w14:paraId="2E820CCC" w14:textId="77777777" w:rsidR="00D1587D" w:rsidRDefault="00D1587D">
            <w:pPr>
              <w:rPr>
                <w:sz w:val="4"/>
                <w:szCs w:val="4"/>
              </w:rPr>
            </w:pPr>
          </w:p>
        </w:tc>
        <w:tc>
          <w:tcPr>
            <w:tcW w:w="400" w:type="dxa"/>
            <w:tcBorders>
              <w:bottom w:val="single" w:sz="8" w:space="0" w:color="auto"/>
            </w:tcBorders>
            <w:vAlign w:val="bottom"/>
          </w:tcPr>
          <w:p w14:paraId="4E31BF55" w14:textId="77777777" w:rsidR="00D1587D" w:rsidRDefault="00D1587D">
            <w:pPr>
              <w:rPr>
                <w:sz w:val="4"/>
                <w:szCs w:val="4"/>
              </w:rPr>
            </w:pPr>
          </w:p>
        </w:tc>
        <w:tc>
          <w:tcPr>
            <w:tcW w:w="380" w:type="dxa"/>
            <w:tcBorders>
              <w:bottom w:val="single" w:sz="8" w:space="0" w:color="auto"/>
            </w:tcBorders>
            <w:vAlign w:val="bottom"/>
          </w:tcPr>
          <w:p w14:paraId="6585F5D2" w14:textId="77777777" w:rsidR="00D1587D" w:rsidRDefault="00D1587D">
            <w:pPr>
              <w:rPr>
                <w:sz w:val="4"/>
                <w:szCs w:val="4"/>
              </w:rPr>
            </w:pPr>
          </w:p>
        </w:tc>
        <w:tc>
          <w:tcPr>
            <w:tcW w:w="360" w:type="dxa"/>
            <w:tcBorders>
              <w:bottom w:val="single" w:sz="8" w:space="0" w:color="auto"/>
            </w:tcBorders>
            <w:vAlign w:val="bottom"/>
          </w:tcPr>
          <w:p w14:paraId="5F34603D" w14:textId="77777777" w:rsidR="00D1587D" w:rsidRDefault="00D1587D">
            <w:pPr>
              <w:rPr>
                <w:sz w:val="4"/>
                <w:szCs w:val="4"/>
              </w:rPr>
            </w:pPr>
          </w:p>
        </w:tc>
        <w:tc>
          <w:tcPr>
            <w:tcW w:w="220" w:type="dxa"/>
            <w:tcBorders>
              <w:bottom w:val="single" w:sz="8" w:space="0" w:color="auto"/>
            </w:tcBorders>
            <w:vAlign w:val="bottom"/>
          </w:tcPr>
          <w:p w14:paraId="775CF406" w14:textId="77777777" w:rsidR="00D1587D" w:rsidRDefault="00D1587D">
            <w:pPr>
              <w:rPr>
                <w:sz w:val="4"/>
                <w:szCs w:val="4"/>
              </w:rPr>
            </w:pPr>
          </w:p>
        </w:tc>
        <w:tc>
          <w:tcPr>
            <w:tcW w:w="400" w:type="dxa"/>
            <w:tcBorders>
              <w:bottom w:val="single" w:sz="8" w:space="0" w:color="auto"/>
            </w:tcBorders>
            <w:vAlign w:val="bottom"/>
          </w:tcPr>
          <w:p w14:paraId="440A91A6" w14:textId="77777777" w:rsidR="00D1587D" w:rsidRDefault="00D1587D">
            <w:pPr>
              <w:rPr>
                <w:sz w:val="4"/>
                <w:szCs w:val="4"/>
              </w:rPr>
            </w:pPr>
          </w:p>
        </w:tc>
      </w:tr>
      <w:tr w:rsidR="00D1587D" w14:paraId="595745C3" w14:textId="77777777">
        <w:trPr>
          <w:trHeight w:val="224"/>
        </w:trPr>
        <w:tc>
          <w:tcPr>
            <w:tcW w:w="6060" w:type="dxa"/>
            <w:vAlign w:val="bottom"/>
          </w:tcPr>
          <w:p w14:paraId="7C11AD36" w14:textId="77777777" w:rsidR="00D1587D" w:rsidRDefault="00D1587D">
            <w:pPr>
              <w:rPr>
                <w:sz w:val="19"/>
                <w:szCs w:val="19"/>
              </w:rPr>
            </w:pPr>
          </w:p>
        </w:tc>
        <w:tc>
          <w:tcPr>
            <w:tcW w:w="360" w:type="dxa"/>
            <w:vAlign w:val="bottom"/>
          </w:tcPr>
          <w:p w14:paraId="4D2EE32F" w14:textId="77777777" w:rsidR="00D1587D" w:rsidRDefault="00D1587D">
            <w:pPr>
              <w:rPr>
                <w:sz w:val="19"/>
                <w:szCs w:val="19"/>
              </w:rPr>
            </w:pPr>
          </w:p>
        </w:tc>
        <w:tc>
          <w:tcPr>
            <w:tcW w:w="240" w:type="dxa"/>
            <w:vAlign w:val="bottom"/>
          </w:tcPr>
          <w:p w14:paraId="1ACE5193" w14:textId="77777777" w:rsidR="00D1587D" w:rsidRDefault="00D1587D">
            <w:pPr>
              <w:rPr>
                <w:sz w:val="19"/>
                <w:szCs w:val="19"/>
              </w:rPr>
            </w:pPr>
          </w:p>
        </w:tc>
        <w:tc>
          <w:tcPr>
            <w:tcW w:w="1140" w:type="dxa"/>
            <w:gridSpan w:val="3"/>
            <w:vAlign w:val="bottom"/>
          </w:tcPr>
          <w:p w14:paraId="781C4386" w14:textId="77777777" w:rsidR="00D1587D" w:rsidRDefault="00410D07">
            <w:pPr>
              <w:jc w:val="center"/>
              <w:rPr>
                <w:sz w:val="20"/>
                <w:szCs w:val="20"/>
              </w:rPr>
            </w:pPr>
            <w:r>
              <w:rPr>
                <w:rFonts w:ascii="Arial" w:eastAsia="Arial" w:hAnsi="Arial" w:cs="Arial"/>
                <w:b/>
                <w:bCs/>
                <w:w w:val="94"/>
                <w:sz w:val="14"/>
                <w:szCs w:val="14"/>
              </w:rPr>
              <w:t>(in millions)</w:t>
            </w:r>
          </w:p>
        </w:tc>
        <w:tc>
          <w:tcPr>
            <w:tcW w:w="220" w:type="dxa"/>
            <w:vAlign w:val="bottom"/>
          </w:tcPr>
          <w:p w14:paraId="6F5764B0" w14:textId="77777777" w:rsidR="00D1587D" w:rsidRDefault="00D1587D">
            <w:pPr>
              <w:rPr>
                <w:sz w:val="19"/>
                <w:szCs w:val="19"/>
              </w:rPr>
            </w:pPr>
          </w:p>
        </w:tc>
        <w:tc>
          <w:tcPr>
            <w:tcW w:w="400" w:type="dxa"/>
            <w:vAlign w:val="bottom"/>
          </w:tcPr>
          <w:p w14:paraId="06BE9B44" w14:textId="77777777" w:rsidR="00D1587D" w:rsidRDefault="00D1587D">
            <w:pPr>
              <w:rPr>
                <w:sz w:val="19"/>
                <w:szCs w:val="19"/>
              </w:rPr>
            </w:pPr>
          </w:p>
        </w:tc>
      </w:tr>
      <w:tr w:rsidR="00D1587D" w14:paraId="247DB80A" w14:textId="77777777">
        <w:trPr>
          <w:trHeight w:val="53"/>
        </w:trPr>
        <w:tc>
          <w:tcPr>
            <w:tcW w:w="6060" w:type="dxa"/>
            <w:vAlign w:val="bottom"/>
          </w:tcPr>
          <w:p w14:paraId="041C1D50" w14:textId="77777777" w:rsidR="00D1587D" w:rsidRDefault="00D1587D">
            <w:pPr>
              <w:rPr>
                <w:sz w:val="4"/>
                <w:szCs w:val="4"/>
              </w:rPr>
            </w:pPr>
          </w:p>
        </w:tc>
        <w:tc>
          <w:tcPr>
            <w:tcW w:w="360" w:type="dxa"/>
            <w:vAlign w:val="bottom"/>
          </w:tcPr>
          <w:p w14:paraId="459D46E0" w14:textId="77777777" w:rsidR="00D1587D" w:rsidRDefault="00D1587D">
            <w:pPr>
              <w:rPr>
                <w:sz w:val="4"/>
                <w:szCs w:val="4"/>
              </w:rPr>
            </w:pPr>
          </w:p>
        </w:tc>
        <w:tc>
          <w:tcPr>
            <w:tcW w:w="240" w:type="dxa"/>
            <w:vAlign w:val="bottom"/>
          </w:tcPr>
          <w:p w14:paraId="3DB4DDC9" w14:textId="77777777" w:rsidR="00D1587D" w:rsidRDefault="00D1587D">
            <w:pPr>
              <w:rPr>
                <w:sz w:val="4"/>
                <w:szCs w:val="4"/>
              </w:rPr>
            </w:pPr>
          </w:p>
        </w:tc>
        <w:tc>
          <w:tcPr>
            <w:tcW w:w="400" w:type="dxa"/>
            <w:vAlign w:val="bottom"/>
          </w:tcPr>
          <w:p w14:paraId="5EAD3CC3" w14:textId="77777777" w:rsidR="00D1587D" w:rsidRDefault="00D1587D">
            <w:pPr>
              <w:rPr>
                <w:sz w:val="4"/>
                <w:szCs w:val="4"/>
              </w:rPr>
            </w:pPr>
          </w:p>
        </w:tc>
        <w:tc>
          <w:tcPr>
            <w:tcW w:w="380" w:type="dxa"/>
            <w:vAlign w:val="bottom"/>
          </w:tcPr>
          <w:p w14:paraId="3700EF64" w14:textId="77777777" w:rsidR="00D1587D" w:rsidRDefault="00D1587D">
            <w:pPr>
              <w:rPr>
                <w:sz w:val="4"/>
                <w:szCs w:val="4"/>
              </w:rPr>
            </w:pPr>
          </w:p>
        </w:tc>
        <w:tc>
          <w:tcPr>
            <w:tcW w:w="360" w:type="dxa"/>
            <w:vAlign w:val="bottom"/>
          </w:tcPr>
          <w:p w14:paraId="39EC8E0B" w14:textId="77777777" w:rsidR="00D1587D" w:rsidRDefault="00D1587D">
            <w:pPr>
              <w:rPr>
                <w:sz w:val="4"/>
                <w:szCs w:val="4"/>
              </w:rPr>
            </w:pPr>
          </w:p>
        </w:tc>
        <w:tc>
          <w:tcPr>
            <w:tcW w:w="220" w:type="dxa"/>
            <w:vAlign w:val="bottom"/>
          </w:tcPr>
          <w:p w14:paraId="4312171C" w14:textId="77777777" w:rsidR="00D1587D" w:rsidRDefault="00D1587D">
            <w:pPr>
              <w:rPr>
                <w:sz w:val="4"/>
                <w:szCs w:val="4"/>
              </w:rPr>
            </w:pPr>
          </w:p>
        </w:tc>
        <w:tc>
          <w:tcPr>
            <w:tcW w:w="400" w:type="dxa"/>
            <w:vAlign w:val="bottom"/>
          </w:tcPr>
          <w:p w14:paraId="280D6238" w14:textId="77777777" w:rsidR="00D1587D" w:rsidRDefault="00D1587D">
            <w:pPr>
              <w:rPr>
                <w:sz w:val="4"/>
                <w:szCs w:val="4"/>
              </w:rPr>
            </w:pPr>
          </w:p>
        </w:tc>
      </w:tr>
      <w:tr w:rsidR="00D1587D" w14:paraId="7E6852A5" w14:textId="77777777">
        <w:trPr>
          <w:trHeight w:val="318"/>
        </w:trPr>
        <w:tc>
          <w:tcPr>
            <w:tcW w:w="6060" w:type="dxa"/>
            <w:tcBorders>
              <w:bottom w:val="single" w:sz="8" w:space="0" w:color="CCEEFF"/>
              <w:right w:val="single" w:sz="8" w:space="0" w:color="CCEEFF"/>
            </w:tcBorders>
            <w:shd w:val="clear" w:color="auto" w:fill="CCEEFF"/>
            <w:vAlign w:val="bottom"/>
          </w:tcPr>
          <w:p w14:paraId="060A2C3B" w14:textId="77777777" w:rsidR="00D1587D" w:rsidRDefault="00410D07">
            <w:pPr>
              <w:rPr>
                <w:sz w:val="20"/>
                <w:szCs w:val="20"/>
              </w:rPr>
            </w:pPr>
            <w:r>
              <w:rPr>
                <w:rFonts w:ascii="Arial" w:eastAsia="Arial" w:hAnsi="Arial" w:cs="Arial"/>
                <w:sz w:val="18"/>
                <w:szCs w:val="18"/>
              </w:rPr>
              <w:t>Finished Goods Merchandise</w:t>
            </w:r>
          </w:p>
        </w:tc>
        <w:tc>
          <w:tcPr>
            <w:tcW w:w="600" w:type="dxa"/>
            <w:gridSpan w:val="2"/>
            <w:tcBorders>
              <w:bottom w:val="single" w:sz="8" w:space="0" w:color="CCEEFF"/>
            </w:tcBorders>
            <w:shd w:val="clear" w:color="auto" w:fill="CCEEFF"/>
            <w:vAlign w:val="bottom"/>
          </w:tcPr>
          <w:p w14:paraId="4F4F89AE" w14:textId="77777777" w:rsidR="00D1587D" w:rsidRDefault="00410D07">
            <w:pPr>
              <w:ind w:right="240"/>
              <w:jc w:val="right"/>
              <w:rPr>
                <w:sz w:val="20"/>
                <w:szCs w:val="20"/>
              </w:rPr>
            </w:pPr>
            <w:r>
              <w:rPr>
                <w:rFonts w:ascii="Arial" w:eastAsia="Arial" w:hAnsi="Arial" w:cs="Arial"/>
                <w:w w:val="84"/>
                <w:sz w:val="18"/>
                <w:szCs w:val="18"/>
              </w:rPr>
              <w:t>$721</w:t>
            </w:r>
          </w:p>
        </w:tc>
        <w:tc>
          <w:tcPr>
            <w:tcW w:w="780" w:type="dxa"/>
            <w:gridSpan w:val="2"/>
            <w:tcBorders>
              <w:bottom w:val="single" w:sz="8" w:space="0" w:color="CCEEFF"/>
              <w:right w:val="single" w:sz="8" w:space="0" w:color="CCEEFF"/>
            </w:tcBorders>
            <w:shd w:val="clear" w:color="auto" w:fill="CCEEFF"/>
            <w:vAlign w:val="bottom"/>
          </w:tcPr>
          <w:p w14:paraId="3961C588" w14:textId="77777777" w:rsidR="00D1587D" w:rsidRDefault="00410D07">
            <w:pPr>
              <w:ind w:right="20"/>
              <w:jc w:val="right"/>
              <w:rPr>
                <w:sz w:val="20"/>
                <w:szCs w:val="20"/>
              </w:rPr>
            </w:pPr>
            <w:r>
              <w:rPr>
                <w:rFonts w:ascii="Arial" w:eastAsia="Arial" w:hAnsi="Arial" w:cs="Arial"/>
                <w:sz w:val="18"/>
                <w:szCs w:val="18"/>
              </w:rPr>
              <w:t>$663</w:t>
            </w:r>
          </w:p>
        </w:tc>
        <w:tc>
          <w:tcPr>
            <w:tcW w:w="360" w:type="dxa"/>
            <w:tcBorders>
              <w:bottom w:val="single" w:sz="8" w:space="0" w:color="CCEEFF"/>
            </w:tcBorders>
            <w:shd w:val="clear" w:color="auto" w:fill="CCEEFF"/>
            <w:vAlign w:val="bottom"/>
          </w:tcPr>
          <w:p w14:paraId="76E3CCC4" w14:textId="77777777" w:rsidR="00D1587D" w:rsidRDefault="00D1587D">
            <w:pPr>
              <w:rPr>
                <w:sz w:val="24"/>
                <w:szCs w:val="24"/>
              </w:rPr>
            </w:pPr>
          </w:p>
        </w:tc>
        <w:tc>
          <w:tcPr>
            <w:tcW w:w="620" w:type="dxa"/>
            <w:gridSpan w:val="2"/>
            <w:tcBorders>
              <w:bottom w:val="single" w:sz="8" w:space="0" w:color="CCEEFF"/>
              <w:right w:val="single" w:sz="8" w:space="0" w:color="CCEEFF"/>
            </w:tcBorders>
            <w:shd w:val="clear" w:color="auto" w:fill="CCEEFF"/>
            <w:vAlign w:val="bottom"/>
          </w:tcPr>
          <w:p w14:paraId="1C337DA8" w14:textId="77777777" w:rsidR="00D1587D" w:rsidRDefault="00410D07">
            <w:pPr>
              <w:ind w:right="40"/>
              <w:jc w:val="right"/>
              <w:rPr>
                <w:sz w:val="20"/>
                <w:szCs w:val="20"/>
              </w:rPr>
            </w:pPr>
            <w:r>
              <w:rPr>
                <w:rFonts w:ascii="Arial" w:eastAsia="Arial" w:hAnsi="Arial" w:cs="Arial"/>
                <w:sz w:val="18"/>
                <w:szCs w:val="18"/>
              </w:rPr>
              <w:t>$940</w:t>
            </w:r>
          </w:p>
        </w:tc>
      </w:tr>
      <w:tr w:rsidR="00D1587D" w14:paraId="60D197FD" w14:textId="77777777">
        <w:trPr>
          <w:trHeight w:val="256"/>
        </w:trPr>
        <w:tc>
          <w:tcPr>
            <w:tcW w:w="6060" w:type="dxa"/>
            <w:vAlign w:val="bottom"/>
          </w:tcPr>
          <w:p w14:paraId="03378220" w14:textId="77777777" w:rsidR="00D1587D" w:rsidRDefault="00410D07">
            <w:pPr>
              <w:rPr>
                <w:sz w:val="20"/>
                <w:szCs w:val="20"/>
              </w:rPr>
            </w:pPr>
            <w:r>
              <w:rPr>
                <w:rFonts w:ascii="Arial" w:eastAsia="Arial" w:hAnsi="Arial" w:cs="Arial"/>
                <w:sz w:val="18"/>
                <w:szCs w:val="18"/>
              </w:rPr>
              <w:t>Raw Materials and Merchandise Components</w:t>
            </w:r>
          </w:p>
        </w:tc>
        <w:tc>
          <w:tcPr>
            <w:tcW w:w="600" w:type="dxa"/>
            <w:gridSpan w:val="2"/>
            <w:vAlign w:val="bottom"/>
          </w:tcPr>
          <w:p w14:paraId="0387B49C" w14:textId="77777777" w:rsidR="00D1587D" w:rsidRDefault="00410D07">
            <w:pPr>
              <w:ind w:right="240"/>
              <w:jc w:val="right"/>
              <w:rPr>
                <w:sz w:val="20"/>
                <w:szCs w:val="20"/>
              </w:rPr>
            </w:pPr>
            <w:r>
              <w:rPr>
                <w:rFonts w:ascii="Arial" w:eastAsia="Arial" w:hAnsi="Arial" w:cs="Arial"/>
                <w:sz w:val="18"/>
                <w:szCs w:val="18"/>
              </w:rPr>
              <w:t>40</w:t>
            </w:r>
          </w:p>
        </w:tc>
        <w:tc>
          <w:tcPr>
            <w:tcW w:w="780" w:type="dxa"/>
            <w:gridSpan w:val="2"/>
            <w:vAlign w:val="bottom"/>
          </w:tcPr>
          <w:p w14:paraId="082873E2" w14:textId="77777777" w:rsidR="00D1587D" w:rsidRDefault="00410D07">
            <w:pPr>
              <w:ind w:right="20"/>
              <w:jc w:val="right"/>
              <w:rPr>
                <w:sz w:val="20"/>
                <w:szCs w:val="20"/>
              </w:rPr>
            </w:pPr>
            <w:r>
              <w:rPr>
                <w:rFonts w:ascii="Arial" w:eastAsia="Arial" w:hAnsi="Arial" w:cs="Arial"/>
                <w:sz w:val="18"/>
                <w:szCs w:val="18"/>
              </w:rPr>
              <w:t>38</w:t>
            </w:r>
          </w:p>
        </w:tc>
        <w:tc>
          <w:tcPr>
            <w:tcW w:w="360" w:type="dxa"/>
            <w:vAlign w:val="bottom"/>
          </w:tcPr>
          <w:p w14:paraId="12F259D8" w14:textId="77777777" w:rsidR="00D1587D" w:rsidRDefault="00D1587D"/>
        </w:tc>
        <w:tc>
          <w:tcPr>
            <w:tcW w:w="620" w:type="dxa"/>
            <w:gridSpan w:val="2"/>
            <w:vAlign w:val="bottom"/>
          </w:tcPr>
          <w:p w14:paraId="766D7941" w14:textId="77777777" w:rsidR="00D1587D" w:rsidRDefault="00410D07">
            <w:pPr>
              <w:ind w:right="40"/>
              <w:jc w:val="right"/>
              <w:rPr>
                <w:sz w:val="20"/>
                <w:szCs w:val="20"/>
              </w:rPr>
            </w:pPr>
            <w:r>
              <w:rPr>
                <w:rFonts w:ascii="Arial" w:eastAsia="Arial" w:hAnsi="Arial" w:cs="Arial"/>
                <w:sz w:val="18"/>
                <w:szCs w:val="18"/>
              </w:rPr>
              <w:t>35</w:t>
            </w:r>
          </w:p>
        </w:tc>
      </w:tr>
      <w:tr w:rsidR="00D1587D" w14:paraId="06CCF33D" w14:textId="77777777">
        <w:trPr>
          <w:trHeight w:val="61"/>
        </w:trPr>
        <w:tc>
          <w:tcPr>
            <w:tcW w:w="6060" w:type="dxa"/>
            <w:vAlign w:val="bottom"/>
          </w:tcPr>
          <w:p w14:paraId="63C0BBF8" w14:textId="77777777" w:rsidR="00D1587D" w:rsidRDefault="00D1587D">
            <w:pPr>
              <w:rPr>
                <w:sz w:val="5"/>
                <w:szCs w:val="5"/>
              </w:rPr>
            </w:pPr>
          </w:p>
        </w:tc>
        <w:tc>
          <w:tcPr>
            <w:tcW w:w="360" w:type="dxa"/>
            <w:tcBorders>
              <w:top w:val="single" w:sz="8" w:space="0" w:color="auto"/>
            </w:tcBorders>
            <w:vAlign w:val="bottom"/>
          </w:tcPr>
          <w:p w14:paraId="73F80AFB" w14:textId="77777777" w:rsidR="00D1587D" w:rsidRDefault="00D1587D">
            <w:pPr>
              <w:rPr>
                <w:sz w:val="5"/>
                <w:szCs w:val="5"/>
              </w:rPr>
            </w:pPr>
          </w:p>
        </w:tc>
        <w:tc>
          <w:tcPr>
            <w:tcW w:w="240" w:type="dxa"/>
            <w:vAlign w:val="bottom"/>
          </w:tcPr>
          <w:p w14:paraId="0DCA42FC" w14:textId="77777777" w:rsidR="00D1587D" w:rsidRDefault="00D1587D">
            <w:pPr>
              <w:rPr>
                <w:sz w:val="5"/>
                <w:szCs w:val="5"/>
              </w:rPr>
            </w:pPr>
          </w:p>
        </w:tc>
        <w:tc>
          <w:tcPr>
            <w:tcW w:w="400" w:type="dxa"/>
            <w:vAlign w:val="bottom"/>
          </w:tcPr>
          <w:p w14:paraId="23788482" w14:textId="77777777" w:rsidR="00D1587D" w:rsidRDefault="00D1587D">
            <w:pPr>
              <w:rPr>
                <w:sz w:val="5"/>
                <w:szCs w:val="5"/>
              </w:rPr>
            </w:pPr>
          </w:p>
        </w:tc>
        <w:tc>
          <w:tcPr>
            <w:tcW w:w="380" w:type="dxa"/>
            <w:tcBorders>
              <w:top w:val="single" w:sz="8" w:space="0" w:color="auto"/>
            </w:tcBorders>
            <w:vAlign w:val="bottom"/>
          </w:tcPr>
          <w:p w14:paraId="6180233A" w14:textId="77777777" w:rsidR="00D1587D" w:rsidRDefault="00D1587D">
            <w:pPr>
              <w:rPr>
                <w:sz w:val="5"/>
                <w:szCs w:val="5"/>
              </w:rPr>
            </w:pPr>
          </w:p>
        </w:tc>
        <w:tc>
          <w:tcPr>
            <w:tcW w:w="360" w:type="dxa"/>
            <w:vAlign w:val="bottom"/>
          </w:tcPr>
          <w:p w14:paraId="0BD44429" w14:textId="77777777" w:rsidR="00D1587D" w:rsidRDefault="00D1587D">
            <w:pPr>
              <w:rPr>
                <w:sz w:val="5"/>
                <w:szCs w:val="5"/>
              </w:rPr>
            </w:pPr>
          </w:p>
        </w:tc>
        <w:tc>
          <w:tcPr>
            <w:tcW w:w="220" w:type="dxa"/>
            <w:vAlign w:val="bottom"/>
          </w:tcPr>
          <w:p w14:paraId="6947956F" w14:textId="77777777" w:rsidR="00D1587D" w:rsidRDefault="00D1587D">
            <w:pPr>
              <w:rPr>
                <w:sz w:val="5"/>
                <w:szCs w:val="5"/>
              </w:rPr>
            </w:pPr>
          </w:p>
        </w:tc>
        <w:tc>
          <w:tcPr>
            <w:tcW w:w="400" w:type="dxa"/>
            <w:tcBorders>
              <w:top w:val="single" w:sz="8" w:space="0" w:color="auto"/>
            </w:tcBorders>
            <w:vAlign w:val="bottom"/>
          </w:tcPr>
          <w:p w14:paraId="7A3CBA88" w14:textId="77777777" w:rsidR="00D1587D" w:rsidRDefault="00D1587D">
            <w:pPr>
              <w:rPr>
                <w:sz w:val="5"/>
                <w:szCs w:val="5"/>
              </w:rPr>
            </w:pPr>
          </w:p>
        </w:tc>
      </w:tr>
      <w:tr w:rsidR="00D1587D" w14:paraId="6BD4B7AA" w14:textId="77777777">
        <w:trPr>
          <w:trHeight w:val="290"/>
        </w:trPr>
        <w:tc>
          <w:tcPr>
            <w:tcW w:w="6060" w:type="dxa"/>
            <w:tcBorders>
              <w:right w:val="single" w:sz="8" w:space="0" w:color="CCEEFF"/>
            </w:tcBorders>
            <w:shd w:val="clear" w:color="auto" w:fill="CCEEFF"/>
            <w:vAlign w:val="bottom"/>
          </w:tcPr>
          <w:p w14:paraId="7F9C1A23" w14:textId="77777777" w:rsidR="00D1587D" w:rsidRDefault="00410D07">
            <w:pPr>
              <w:rPr>
                <w:sz w:val="20"/>
                <w:szCs w:val="20"/>
              </w:rPr>
            </w:pPr>
            <w:r>
              <w:rPr>
                <w:rFonts w:ascii="Arial" w:eastAsia="Arial" w:hAnsi="Arial" w:cs="Arial"/>
                <w:b/>
                <w:bCs/>
                <w:sz w:val="18"/>
                <w:szCs w:val="18"/>
              </w:rPr>
              <w:t>Total Inventories</w:t>
            </w:r>
          </w:p>
        </w:tc>
        <w:tc>
          <w:tcPr>
            <w:tcW w:w="600" w:type="dxa"/>
            <w:gridSpan w:val="2"/>
            <w:shd w:val="clear" w:color="auto" w:fill="CCEEFF"/>
            <w:vAlign w:val="bottom"/>
          </w:tcPr>
          <w:p w14:paraId="22A3ACA6" w14:textId="77777777" w:rsidR="00D1587D" w:rsidRDefault="00410D07">
            <w:pPr>
              <w:ind w:right="240"/>
              <w:jc w:val="right"/>
              <w:rPr>
                <w:sz w:val="20"/>
                <w:szCs w:val="20"/>
              </w:rPr>
            </w:pPr>
            <w:r>
              <w:rPr>
                <w:rFonts w:ascii="Arial" w:eastAsia="Arial" w:hAnsi="Arial" w:cs="Arial"/>
                <w:w w:val="84"/>
                <w:sz w:val="18"/>
                <w:szCs w:val="18"/>
                <w:u w:val="single"/>
              </w:rPr>
              <w:t>$</w:t>
            </w:r>
            <w:r>
              <w:rPr>
                <w:rFonts w:ascii="Arial" w:eastAsia="Arial" w:hAnsi="Arial" w:cs="Arial"/>
                <w:w w:val="84"/>
                <w:sz w:val="18"/>
                <w:szCs w:val="18"/>
              </w:rPr>
              <w:t>761</w:t>
            </w:r>
          </w:p>
        </w:tc>
        <w:tc>
          <w:tcPr>
            <w:tcW w:w="780" w:type="dxa"/>
            <w:gridSpan w:val="2"/>
            <w:tcBorders>
              <w:right w:val="single" w:sz="8" w:space="0" w:color="CCEEFF"/>
            </w:tcBorders>
            <w:shd w:val="clear" w:color="auto" w:fill="CCEEFF"/>
            <w:vAlign w:val="bottom"/>
          </w:tcPr>
          <w:p w14:paraId="7C232090" w14:textId="77777777" w:rsidR="00D1587D" w:rsidRDefault="00410D07">
            <w:pPr>
              <w:ind w:right="20"/>
              <w:jc w:val="right"/>
              <w:rPr>
                <w:sz w:val="20"/>
                <w:szCs w:val="20"/>
              </w:rPr>
            </w:pPr>
            <w:r>
              <w:rPr>
                <w:rFonts w:ascii="Arial" w:eastAsia="Arial" w:hAnsi="Arial" w:cs="Arial"/>
                <w:sz w:val="18"/>
                <w:szCs w:val="18"/>
                <w:u w:val="single"/>
              </w:rPr>
              <w:t>$</w:t>
            </w:r>
            <w:r>
              <w:rPr>
                <w:rFonts w:ascii="Arial" w:eastAsia="Arial" w:hAnsi="Arial" w:cs="Arial"/>
                <w:sz w:val="18"/>
                <w:szCs w:val="18"/>
              </w:rPr>
              <w:t>701</w:t>
            </w:r>
          </w:p>
        </w:tc>
        <w:tc>
          <w:tcPr>
            <w:tcW w:w="360" w:type="dxa"/>
            <w:shd w:val="clear" w:color="auto" w:fill="CCEEFF"/>
            <w:vAlign w:val="bottom"/>
          </w:tcPr>
          <w:p w14:paraId="6AA5205B" w14:textId="77777777" w:rsidR="00D1587D" w:rsidRDefault="00D1587D">
            <w:pPr>
              <w:rPr>
                <w:sz w:val="24"/>
                <w:szCs w:val="24"/>
              </w:rPr>
            </w:pPr>
          </w:p>
        </w:tc>
        <w:tc>
          <w:tcPr>
            <w:tcW w:w="620" w:type="dxa"/>
            <w:gridSpan w:val="2"/>
            <w:tcBorders>
              <w:right w:val="single" w:sz="8" w:space="0" w:color="CCEEFF"/>
            </w:tcBorders>
            <w:shd w:val="clear" w:color="auto" w:fill="CCEEFF"/>
            <w:vAlign w:val="bottom"/>
          </w:tcPr>
          <w:p w14:paraId="5BD74090" w14:textId="77777777" w:rsidR="00D1587D" w:rsidRDefault="00410D07">
            <w:pPr>
              <w:ind w:right="40"/>
              <w:jc w:val="right"/>
              <w:rPr>
                <w:sz w:val="20"/>
                <w:szCs w:val="20"/>
              </w:rPr>
            </w:pPr>
            <w:r>
              <w:rPr>
                <w:rFonts w:ascii="Arial" w:eastAsia="Arial" w:hAnsi="Arial" w:cs="Arial"/>
                <w:sz w:val="18"/>
                <w:szCs w:val="18"/>
                <w:u w:val="single"/>
              </w:rPr>
              <w:t>$</w:t>
            </w:r>
            <w:r>
              <w:rPr>
                <w:rFonts w:ascii="Arial" w:eastAsia="Arial" w:hAnsi="Arial" w:cs="Arial"/>
                <w:sz w:val="18"/>
                <w:szCs w:val="18"/>
              </w:rPr>
              <w:t>975</w:t>
            </w:r>
          </w:p>
        </w:tc>
      </w:tr>
      <w:tr w:rsidR="00D1587D" w14:paraId="7FFE436C" w14:textId="77777777">
        <w:trPr>
          <w:trHeight w:val="27"/>
        </w:trPr>
        <w:tc>
          <w:tcPr>
            <w:tcW w:w="6060" w:type="dxa"/>
            <w:tcBorders>
              <w:top w:val="single" w:sz="8" w:space="0" w:color="CCEEFF"/>
              <w:right w:val="single" w:sz="8" w:space="0" w:color="CCEEFF"/>
            </w:tcBorders>
            <w:shd w:val="clear" w:color="auto" w:fill="CCEEFF"/>
            <w:vAlign w:val="bottom"/>
          </w:tcPr>
          <w:p w14:paraId="5A96EF6A" w14:textId="77777777" w:rsidR="00D1587D" w:rsidRDefault="00D1587D">
            <w:pPr>
              <w:rPr>
                <w:sz w:val="2"/>
                <w:szCs w:val="2"/>
              </w:rPr>
            </w:pPr>
          </w:p>
        </w:tc>
        <w:tc>
          <w:tcPr>
            <w:tcW w:w="360" w:type="dxa"/>
            <w:tcBorders>
              <w:top w:val="single" w:sz="8" w:space="0" w:color="auto"/>
            </w:tcBorders>
            <w:shd w:val="clear" w:color="auto" w:fill="000000"/>
            <w:vAlign w:val="bottom"/>
          </w:tcPr>
          <w:p w14:paraId="6B6B9CAF" w14:textId="77777777" w:rsidR="00D1587D" w:rsidRDefault="00D1587D">
            <w:pPr>
              <w:rPr>
                <w:sz w:val="2"/>
                <w:szCs w:val="2"/>
              </w:rPr>
            </w:pPr>
          </w:p>
        </w:tc>
        <w:tc>
          <w:tcPr>
            <w:tcW w:w="240" w:type="dxa"/>
            <w:tcBorders>
              <w:top w:val="single" w:sz="8" w:space="0" w:color="CCEEFF"/>
            </w:tcBorders>
            <w:shd w:val="clear" w:color="auto" w:fill="CCEEFF"/>
            <w:vAlign w:val="bottom"/>
          </w:tcPr>
          <w:p w14:paraId="1A66C3FD" w14:textId="77777777" w:rsidR="00D1587D" w:rsidRDefault="00D1587D">
            <w:pPr>
              <w:rPr>
                <w:sz w:val="2"/>
                <w:szCs w:val="2"/>
              </w:rPr>
            </w:pPr>
          </w:p>
        </w:tc>
        <w:tc>
          <w:tcPr>
            <w:tcW w:w="400" w:type="dxa"/>
            <w:tcBorders>
              <w:top w:val="single" w:sz="8" w:space="0" w:color="CCEEFF"/>
            </w:tcBorders>
            <w:shd w:val="clear" w:color="auto" w:fill="CCEEFF"/>
            <w:vAlign w:val="bottom"/>
          </w:tcPr>
          <w:p w14:paraId="73796F4A" w14:textId="77777777" w:rsidR="00D1587D" w:rsidRDefault="00D1587D">
            <w:pPr>
              <w:rPr>
                <w:sz w:val="2"/>
                <w:szCs w:val="2"/>
              </w:rPr>
            </w:pPr>
          </w:p>
        </w:tc>
        <w:tc>
          <w:tcPr>
            <w:tcW w:w="380" w:type="dxa"/>
            <w:tcBorders>
              <w:top w:val="single" w:sz="8" w:space="0" w:color="auto"/>
              <w:right w:val="single" w:sz="8" w:space="0" w:color="auto"/>
            </w:tcBorders>
            <w:shd w:val="clear" w:color="auto" w:fill="000000"/>
            <w:vAlign w:val="bottom"/>
          </w:tcPr>
          <w:p w14:paraId="14AF546F" w14:textId="77777777" w:rsidR="00D1587D" w:rsidRDefault="00D1587D">
            <w:pPr>
              <w:rPr>
                <w:sz w:val="2"/>
                <w:szCs w:val="2"/>
              </w:rPr>
            </w:pPr>
          </w:p>
        </w:tc>
        <w:tc>
          <w:tcPr>
            <w:tcW w:w="360" w:type="dxa"/>
            <w:tcBorders>
              <w:top w:val="single" w:sz="8" w:space="0" w:color="CCEEFF"/>
            </w:tcBorders>
            <w:shd w:val="clear" w:color="auto" w:fill="CCEEFF"/>
            <w:vAlign w:val="bottom"/>
          </w:tcPr>
          <w:p w14:paraId="2546E531" w14:textId="77777777" w:rsidR="00D1587D" w:rsidRDefault="00D1587D">
            <w:pPr>
              <w:rPr>
                <w:sz w:val="2"/>
                <w:szCs w:val="2"/>
              </w:rPr>
            </w:pPr>
          </w:p>
        </w:tc>
        <w:tc>
          <w:tcPr>
            <w:tcW w:w="220" w:type="dxa"/>
            <w:tcBorders>
              <w:top w:val="single" w:sz="8" w:space="0" w:color="CCEEFF"/>
            </w:tcBorders>
            <w:shd w:val="clear" w:color="auto" w:fill="CCEEFF"/>
            <w:vAlign w:val="bottom"/>
          </w:tcPr>
          <w:p w14:paraId="2BD34B7D" w14:textId="77777777" w:rsidR="00D1587D" w:rsidRDefault="00D1587D">
            <w:pPr>
              <w:rPr>
                <w:sz w:val="2"/>
                <w:szCs w:val="2"/>
              </w:rPr>
            </w:pPr>
          </w:p>
        </w:tc>
        <w:tc>
          <w:tcPr>
            <w:tcW w:w="400" w:type="dxa"/>
            <w:tcBorders>
              <w:top w:val="single" w:sz="8" w:space="0" w:color="auto"/>
              <w:right w:val="single" w:sz="8" w:space="0" w:color="CCEEFF"/>
            </w:tcBorders>
            <w:shd w:val="clear" w:color="auto" w:fill="000000"/>
            <w:vAlign w:val="bottom"/>
          </w:tcPr>
          <w:p w14:paraId="6403C736" w14:textId="77777777" w:rsidR="00D1587D" w:rsidRDefault="00D1587D">
            <w:pPr>
              <w:rPr>
                <w:sz w:val="2"/>
                <w:szCs w:val="2"/>
              </w:rPr>
            </w:pPr>
          </w:p>
        </w:tc>
      </w:tr>
    </w:tbl>
    <w:p w14:paraId="586D7A26" w14:textId="77777777" w:rsidR="00D1587D" w:rsidRDefault="00410D07">
      <w:pPr>
        <w:spacing w:line="20" w:lineRule="exact"/>
        <w:rPr>
          <w:sz w:val="20"/>
          <w:szCs w:val="20"/>
        </w:rPr>
      </w:pPr>
      <w:r>
        <w:rPr>
          <w:noProof/>
          <w:sz w:val="20"/>
          <w:szCs w:val="20"/>
        </w:rPr>
        <w:drawing>
          <wp:anchor distT="0" distB="0" distL="114300" distR="114300" simplePos="0" relativeHeight="252172288" behindDoc="1" locked="0" layoutInCell="0" allowOverlap="1" wp14:anchorId="04E67310" wp14:editId="17D8D487">
            <wp:simplePos x="0" y="0"/>
            <wp:positionH relativeFrom="column">
              <wp:posOffset>5020310</wp:posOffset>
            </wp:positionH>
            <wp:positionV relativeFrom="paragraph">
              <wp:posOffset>-831215</wp:posOffset>
            </wp:positionV>
            <wp:extent cx="240030" cy="8255"/>
            <wp:effectExtent l="0" t="0" r="0" b="0"/>
            <wp:wrapNone/>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75"/>
                    <a:srcRect/>
                    <a:stretch>
                      <a:fillRect/>
                    </a:stretch>
                  </pic:blipFill>
                  <pic:spPr bwMode="auto">
                    <a:xfrm>
                      <a:off x="0" y="0"/>
                      <a:ext cx="240030" cy="8255"/>
                    </a:xfrm>
                    <a:prstGeom prst="rect">
                      <a:avLst/>
                    </a:prstGeom>
                    <a:noFill/>
                  </pic:spPr>
                </pic:pic>
              </a:graphicData>
            </a:graphic>
          </wp:anchor>
        </w:drawing>
      </w:r>
      <w:r>
        <w:rPr>
          <w:noProof/>
          <w:sz w:val="20"/>
          <w:szCs w:val="20"/>
        </w:rPr>
        <w:drawing>
          <wp:anchor distT="0" distB="0" distL="114300" distR="114300" simplePos="0" relativeHeight="252173312" behindDoc="1" locked="0" layoutInCell="0" allowOverlap="1" wp14:anchorId="745DFCDB" wp14:editId="54BA5824">
            <wp:simplePos x="0" y="0"/>
            <wp:positionH relativeFrom="column">
              <wp:posOffset>4300220</wp:posOffset>
            </wp:positionH>
            <wp:positionV relativeFrom="paragraph">
              <wp:posOffset>-831215</wp:posOffset>
            </wp:positionV>
            <wp:extent cx="257175" cy="8255"/>
            <wp:effectExtent l="0" t="0" r="0" b="0"/>
            <wp:wrapNone/>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70"/>
                    <a:srcRect/>
                    <a:stretch>
                      <a:fillRect/>
                    </a:stretch>
                  </pic:blipFill>
                  <pic:spPr bwMode="auto">
                    <a:xfrm>
                      <a:off x="0" y="0"/>
                      <a:ext cx="257175" cy="8255"/>
                    </a:xfrm>
                    <a:prstGeom prst="rect">
                      <a:avLst/>
                    </a:prstGeom>
                    <a:noFill/>
                  </pic:spPr>
                </pic:pic>
              </a:graphicData>
            </a:graphic>
          </wp:anchor>
        </w:drawing>
      </w:r>
    </w:p>
    <w:p w14:paraId="7AF3DDA4" w14:textId="77777777" w:rsidR="00D1587D" w:rsidRDefault="00D1587D">
      <w:pPr>
        <w:spacing w:line="272" w:lineRule="exact"/>
        <w:rPr>
          <w:sz w:val="20"/>
          <w:szCs w:val="20"/>
        </w:rPr>
      </w:pPr>
    </w:p>
    <w:p w14:paraId="788AD49C" w14:textId="77777777" w:rsidR="00D1587D" w:rsidRDefault="00410D07">
      <w:pPr>
        <w:ind w:left="300"/>
        <w:rPr>
          <w:sz w:val="20"/>
          <w:szCs w:val="20"/>
        </w:rPr>
      </w:pPr>
      <w:r>
        <w:rPr>
          <w:rFonts w:ascii="Arial" w:eastAsia="Arial" w:hAnsi="Arial" w:cs="Arial"/>
          <w:b/>
          <w:bCs/>
          <w:sz w:val="18"/>
          <w:szCs w:val="18"/>
        </w:rPr>
        <w:t>6. Long-Lived Assets</w:t>
      </w:r>
    </w:p>
    <w:p w14:paraId="010B6494" w14:textId="77777777" w:rsidR="00D1587D" w:rsidRDefault="00D1587D">
      <w:pPr>
        <w:spacing w:line="121" w:lineRule="exact"/>
        <w:rPr>
          <w:sz w:val="20"/>
          <w:szCs w:val="20"/>
        </w:rPr>
      </w:pPr>
    </w:p>
    <w:p w14:paraId="2D1E37A4" w14:textId="77777777" w:rsidR="00D1587D" w:rsidRDefault="00410D07">
      <w:pPr>
        <w:spacing w:line="277" w:lineRule="auto"/>
        <w:ind w:left="300" w:right="319"/>
        <w:jc w:val="both"/>
        <w:rPr>
          <w:sz w:val="20"/>
          <w:szCs w:val="20"/>
        </w:rPr>
      </w:pPr>
      <w:r>
        <w:rPr>
          <w:rFonts w:ascii="Arial" w:eastAsia="Arial" w:hAnsi="Arial" w:cs="Arial"/>
          <w:sz w:val="18"/>
          <w:szCs w:val="18"/>
        </w:rPr>
        <w:t xml:space="preserve">The </w:t>
      </w:r>
      <w:r>
        <w:rPr>
          <w:rFonts w:ascii="Arial" w:eastAsia="Arial" w:hAnsi="Arial" w:cs="Arial"/>
          <w:sz w:val="18"/>
          <w:szCs w:val="18"/>
        </w:rPr>
        <w:t>following table provides details of property and equipment, net as of May 1, 2021, January 30, 2021 and May 2, 2020:</w:t>
      </w:r>
    </w:p>
    <w:p w14:paraId="7B49590E" w14:textId="77777777" w:rsidR="00D1587D" w:rsidRDefault="00D1587D">
      <w:pPr>
        <w:spacing w:line="109"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5860"/>
        <w:gridCol w:w="540"/>
        <w:gridCol w:w="220"/>
        <w:gridCol w:w="240"/>
        <w:gridCol w:w="540"/>
        <w:gridCol w:w="400"/>
        <w:gridCol w:w="540"/>
        <w:gridCol w:w="80"/>
      </w:tblGrid>
      <w:tr w:rsidR="00D1587D" w14:paraId="513A3BB0" w14:textId="77777777">
        <w:trPr>
          <w:trHeight w:val="161"/>
        </w:trPr>
        <w:tc>
          <w:tcPr>
            <w:tcW w:w="5860" w:type="dxa"/>
            <w:vAlign w:val="bottom"/>
          </w:tcPr>
          <w:p w14:paraId="47EA688E" w14:textId="77777777" w:rsidR="00D1587D" w:rsidRDefault="00D1587D">
            <w:pPr>
              <w:rPr>
                <w:sz w:val="14"/>
                <w:szCs w:val="14"/>
              </w:rPr>
            </w:pPr>
          </w:p>
        </w:tc>
        <w:tc>
          <w:tcPr>
            <w:tcW w:w="760" w:type="dxa"/>
            <w:gridSpan w:val="2"/>
            <w:vAlign w:val="bottom"/>
          </w:tcPr>
          <w:p w14:paraId="06B9F890" w14:textId="77777777" w:rsidR="00D1587D" w:rsidRDefault="00410D07">
            <w:pPr>
              <w:ind w:right="260"/>
              <w:jc w:val="right"/>
              <w:rPr>
                <w:sz w:val="20"/>
                <w:szCs w:val="20"/>
              </w:rPr>
            </w:pPr>
            <w:r>
              <w:rPr>
                <w:rFonts w:ascii="Arial" w:eastAsia="Arial" w:hAnsi="Arial" w:cs="Arial"/>
                <w:b/>
                <w:bCs/>
                <w:sz w:val="14"/>
                <w:szCs w:val="14"/>
              </w:rPr>
              <w:t>May 1,</w:t>
            </w:r>
          </w:p>
        </w:tc>
        <w:tc>
          <w:tcPr>
            <w:tcW w:w="1180" w:type="dxa"/>
            <w:gridSpan w:val="3"/>
            <w:vAlign w:val="bottom"/>
          </w:tcPr>
          <w:p w14:paraId="27817226" w14:textId="77777777" w:rsidR="00D1587D" w:rsidRDefault="00410D07">
            <w:pPr>
              <w:ind w:right="160"/>
              <w:jc w:val="center"/>
              <w:rPr>
                <w:sz w:val="20"/>
                <w:szCs w:val="20"/>
              </w:rPr>
            </w:pPr>
            <w:r>
              <w:rPr>
                <w:rFonts w:ascii="Arial" w:eastAsia="Arial" w:hAnsi="Arial" w:cs="Arial"/>
                <w:b/>
                <w:bCs/>
                <w:w w:val="95"/>
                <w:sz w:val="14"/>
                <w:szCs w:val="14"/>
              </w:rPr>
              <w:t>January 30,</w:t>
            </w:r>
          </w:p>
        </w:tc>
        <w:tc>
          <w:tcPr>
            <w:tcW w:w="620" w:type="dxa"/>
            <w:gridSpan w:val="2"/>
            <w:vAlign w:val="bottom"/>
          </w:tcPr>
          <w:p w14:paraId="2C04DA5F" w14:textId="77777777" w:rsidR="00D1587D" w:rsidRDefault="00410D07">
            <w:pPr>
              <w:ind w:right="120"/>
              <w:jc w:val="right"/>
              <w:rPr>
                <w:sz w:val="20"/>
                <w:szCs w:val="20"/>
              </w:rPr>
            </w:pPr>
            <w:r>
              <w:rPr>
                <w:rFonts w:ascii="Arial" w:eastAsia="Arial" w:hAnsi="Arial" w:cs="Arial"/>
                <w:b/>
                <w:bCs/>
                <w:sz w:val="14"/>
                <w:szCs w:val="14"/>
              </w:rPr>
              <w:t>May 2,</w:t>
            </w:r>
          </w:p>
        </w:tc>
      </w:tr>
      <w:tr w:rsidR="00D1587D" w14:paraId="28B48132" w14:textId="77777777">
        <w:trPr>
          <w:trHeight w:val="186"/>
        </w:trPr>
        <w:tc>
          <w:tcPr>
            <w:tcW w:w="5860" w:type="dxa"/>
            <w:vAlign w:val="bottom"/>
          </w:tcPr>
          <w:p w14:paraId="4210AC39" w14:textId="77777777" w:rsidR="00D1587D" w:rsidRDefault="00D1587D">
            <w:pPr>
              <w:rPr>
                <w:sz w:val="16"/>
                <w:szCs w:val="16"/>
              </w:rPr>
            </w:pPr>
          </w:p>
        </w:tc>
        <w:tc>
          <w:tcPr>
            <w:tcW w:w="540" w:type="dxa"/>
            <w:vAlign w:val="bottom"/>
          </w:tcPr>
          <w:p w14:paraId="14ABE605" w14:textId="77777777" w:rsidR="00D1587D" w:rsidRDefault="00410D07">
            <w:pPr>
              <w:ind w:right="17"/>
              <w:jc w:val="right"/>
              <w:rPr>
                <w:sz w:val="20"/>
                <w:szCs w:val="20"/>
              </w:rPr>
            </w:pPr>
            <w:r>
              <w:rPr>
                <w:rFonts w:ascii="Arial" w:eastAsia="Arial" w:hAnsi="Arial" w:cs="Arial"/>
                <w:b/>
                <w:bCs/>
                <w:sz w:val="14"/>
                <w:szCs w:val="14"/>
              </w:rPr>
              <w:t>2021</w:t>
            </w:r>
          </w:p>
        </w:tc>
        <w:tc>
          <w:tcPr>
            <w:tcW w:w="220" w:type="dxa"/>
            <w:vAlign w:val="bottom"/>
          </w:tcPr>
          <w:p w14:paraId="21A40318" w14:textId="77777777" w:rsidR="00D1587D" w:rsidRDefault="00D1587D">
            <w:pPr>
              <w:rPr>
                <w:sz w:val="16"/>
                <w:szCs w:val="16"/>
              </w:rPr>
            </w:pPr>
          </w:p>
        </w:tc>
        <w:tc>
          <w:tcPr>
            <w:tcW w:w="780" w:type="dxa"/>
            <w:gridSpan w:val="2"/>
            <w:vAlign w:val="bottom"/>
          </w:tcPr>
          <w:p w14:paraId="2C1768D1" w14:textId="77777777" w:rsidR="00D1587D" w:rsidRDefault="00410D07">
            <w:pPr>
              <w:ind w:left="161"/>
              <w:jc w:val="center"/>
              <w:rPr>
                <w:sz w:val="20"/>
                <w:szCs w:val="20"/>
              </w:rPr>
            </w:pPr>
            <w:r>
              <w:rPr>
                <w:rFonts w:ascii="Arial" w:eastAsia="Arial" w:hAnsi="Arial" w:cs="Arial"/>
                <w:b/>
                <w:bCs/>
                <w:w w:val="96"/>
                <w:sz w:val="14"/>
                <w:szCs w:val="14"/>
              </w:rPr>
              <w:t>2021</w:t>
            </w:r>
          </w:p>
        </w:tc>
        <w:tc>
          <w:tcPr>
            <w:tcW w:w="400" w:type="dxa"/>
            <w:vAlign w:val="bottom"/>
          </w:tcPr>
          <w:p w14:paraId="191CDD24" w14:textId="77777777" w:rsidR="00D1587D" w:rsidRDefault="00D1587D">
            <w:pPr>
              <w:rPr>
                <w:sz w:val="16"/>
                <w:szCs w:val="16"/>
              </w:rPr>
            </w:pPr>
          </w:p>
        </w:tc>
        <w:tc>
          <w:tcPr>
            <w:tcW w:w="540" w:type="dxa"/>
            <w:vAlign w:val="bottom"/>
          </w:tcPr>
          <w:p w14:paraId="035C5EEF" w14:textId="77777777" w:rsidR="00D1587D" w:rsidRDefault="00410D07">
            <w:pPr>
              <w:ind w:right="17"/>
              <w:jc w:val="right"/>
              <w:rPr>
                <w:sz w:val="20"/>
                <w:szCs w:val="20"/>
              </w:rPr>
            </w:pPr>
            <w:r>
              <w:rPr>
                <w:rFonts w:ascii="Arial" w:eastAsia="Arial" w:hAnsi="Arial" w:cs="Arial"/>
                <w:b/>
                <w:bCs/>
                <w:sz w:val="14"/>
                <w:szCs w:val="14"/>
              </w:rPr>
              <w:t>2020</w:t>
            </w:r>
          </w:p>
        </w:tc>
        <w:tc>
          <w:tcPr>
            <w:tcW w:w="80" w:type="dxa"/>
            <w:vAlign w:val="bottom"/>
          </w:tcPr>
          <w:p w14:paraId="09B2BACA" w14:textId="77777777" w:rsidR="00D1587D" w:rsidRDefault="00D1587D">
            <w:pPr>
              <w:rPr>
                <w:sz w:val="16"/>
                <w:szCs w:val="16"/>
              </w:rPr>
            </w:pPr>
          </w:p>
        </w:tc>
      </w:tr>
      <w:tr w:rsidR="00D1587D" w14:paraId="476AB8C5" w14:textId="77777777">
        <w:trPr>
          <w:trHeight w:val="53"/>
        </w:trPr>
        <w:tc>
          <w:tcPr>
            <w:tcW w:w="5860" w:type="dxa"/>
            <w:vAlign w:val="bottom"/>
          </w:tcPr>
          <w:p w14:paraId="2FCD1C47" w14:textId="77777777" w:rsidR="00D1587D" w:rsidRDefault="00D1587D">
            <w:pPr>
              <w:rPr>
                <w:sz w:val="4"/>
                <w:szCs w:val="4"/>
              </w:rPr>
            </w:pPr>
          </w:p>
        </w:tc>
        <w:tc>
          <w:tcPr>
            <w:tcW w:w="540" w:type="dxa"/>
            <w:tcBorders>
              <w:bottom w:val="single" w:sz="8" w:space="0" w:color="auto"/>
            </w:tcBorders>
            <w:vAlign w:val="bottom"/>
          </w:tcPr>
          <w:p w14:paraId="6AC2A3B6" w14:textId="77777777" w:rsidR="00D1587D" w:rsidRDefault="00D1587D">
            <w:pPr>
              <w:rPr>
                <w:sz w:val="4"/>
                <w:szCs w:val="4"/>
              </w:rPr>
            </w:pPr>
          </w:p>
        </w:tc>
        <w:tc>
          <w:tcPr>
            <w:tcW w:w="220" w:type="dxa"/>
            <w:tcBorders>
              <w:bottom w:val="single" w:sz="8" w:space="0" w:color="auto"/>
            </w:tcBorders>
            <w:vAlign w:val="bottom"/>
          </w:tcPr>
          <w:p w14:paraId="480F67BD" w14:textId="77777777" w:rsidR="00D1587D" w:rsidRDefault="00D1587D">
            <w:pPr>
              <w:rPr>
                <w:sz w:val="4"/>
                <w:szCs w:val="4"/>
              </w:rPr>
            </w:pPr>
          </w:p>
        </w:tc>
        <w:tc>
          <w:tcPr>
            <w:tcW w:w="240" w:type="dxa"/>
            <w:tcBorders>
              <w:bottom w:val="single" w:sz="8" w:space="0" w:color="auto"/>
            </w:tcBorders>
            <w:vAlign w:val="bottom"/>
          </w:tcPr>
          <w:p w14:paraId="120BA9B6" w14:textId="77777777" w:rsidR="00D1587D" w:rsidRDefault="00D1587D">
            <w:pPr>
              <w:rPr>
                <w:sz w:val="4"/>
                <w:szCs w:val="4"/>
              </w:rPr>
            </w:pPr>
          </w:p>
        </w:tc>
        <w:tc>
          <w:tcPr>
            <w:tcW w:w="540" w:type="dxa"/>
            <w:tcBorders>
              <w:bottom w:val="single" w:sz="8" w:space="0" w:color="auto"/>
            </w:tcBorders>
            <w:vAlign w:val="bottom"/>
          </w:tcPr>
          <w:p w14:paraId="647A5BBE" w14:textId="77777777" w:rsidR="00D1587D" w:rsidRDefault="00D1587D">
            <w:pPr>
              <w:rPr>
                <w:sz w:val="4"/>
                <w:szCs w:val="4"/>
              </w:rPr>
            </w:pPr>
          </w:p>
        </w:tc>
        <w:tc>
          <w:tcPr>
            <w:tcW w:w="400" w:type="dxa"/>
            <w:tcBorders>
              <w:bottom w:val="single" w:sz="8" w:space="0" w:color="auto"/>
            </w:tcBorders>
            <w:vAlign w:val="bottom"/>
          </w:tcPr>
          <w:p w14:paraId="451E83CE" w14:textId="77777777" w:rsidR="00D1587D" w:rsidRDefault="00D1587D">
            <w:pPr>
              <w:rPr>
                <w:sz w:val="4"/>
                <w:szCs w:val="4"/>
              </w:rPr>
            </w:pPr>
          </w:p>
        </w:tc>
        <w:tc>
          <w:tcPr>
            <w:tcW w:w="540" w:type="dxa"/>
            <w:tcBorders>
              <w:bottom w:val="single" w:sz="8" w:space="0" w:color="auto"/>
            </w:tcBorders>
            <w:vAlign w:val="bottom"/>
          </w:tcPr>
          <w:p w14:paraId="3EB3525F" w14:textId="77777777" w:rsidR="00D1587D" w:rsidRDefault="00D1587D">
            <w:pPr>
              <w:rPr>
                <w:sz w:val="4"/>
                <w:szCs w:val="4"/>
              </w:rPr>
            </w:pPr>
          </w:p>
        </w:tc>
        <w:tc>
          <w:tcPr>
            <w:tcW w:w="80" w:type="dxa"/>
            <w:tcBorders>
              <w:bottom w:val="single" w:sz="8" w:space="0" w:color="auto"/>
            </w:tcBorders>
            <w:vAlign w:val="bottom"/>
          </w:tcPr>
          <w:p w14:paraId="006BECDE" w14:textId="77777777" w:rsidR="00D1587D" w:rsidRDefault="00D1587D">
            <w:pPr>
              <w:rPr>
                <w:sz w:val="4"/>
                <w:szCs w:val="4"/>
              </w:rPr>
            </w:pPr>
          </w:p>
        </w:tc>
      </w:tr>
      <w:tr w:rsidR="00D1587D" w14:paraId="463391D2" w14:textId="77777777">
        <w:trPr>
          <w:trHeight w:val="224"/>
        </w:trPr>
        <w:tc>
          <w:tcPr>
            <w:tcW w:w="5860" w:type="dxa"/>
            <w:vAlign w:val="bottom"/>
          </w:tcPr>
          <w:p w14:paraId="643F3947" w14:textId="77777777" w:rsidR="00D1587D" w:rsidRDefault="00D1587D">
            <w:pPr>
              <w:rPr>
                <w:sz w:val="19"/>
                <w:szCs w:val="19"/>
              </w:rPr>
            </w:pPr>
          </w:p>
        </w:tc>
        <w:tc>
          <w:tcPr>
            <w:tcW w:w="540" w:type="dxa"/>
            <w:vAlign w:val="bottom"/>
          </w:tcPr>
          <w:p w14:paraId="68854AAF" w14:textId="77777777" w:rsidR="00D1587D" w:rsidRDefault="00D1587D">
            <w:pPr>
              <w:rPr>
                <w:sz w:val="19"/>
                <w:szCs w:val="19"/>
              </w:rPr>
            </w:pPr>
          </w:p>
        </w:tc>
        <w:tc>
          <w:tcPr>
            <w:tcW w:w="220" w:type="dxa"/>
            <w:vAlign w:val="bottom"/>
          </w:tcPr>
          <w:p w14:paraId="5C8EF902" w14:textId="77777777" w:rsidR="00D1587D" w:rsidRDefault="00D1587D">
            <w:pPr>
              <w:rPr>
                <w:sz w:val="19"/>
                <w:szCs w:val="19"/>
              </w:rPr>
            </w:pPr>
          </w:p>
        </w:tc>
        <w:tc>
          <w:tcPr>
            <w:tcW w:w="1180" w:type="dxa"/>
            <w:gridSpan w:val="3"/>
            <w:vAlign w:val="bottom"/>
          </w:tcPr>
          <w:p w14:paraId="73F3AEF8" w14:textId="77777777" w:rsidR="00D1587D" w:rsidRDefault="00410D07">
            <w:pPr>
              <w:ind w:right="160"/>
              <w:jc w:val="center"/>
              <w:rPr>
                <w:sz w:val="20"/>
                <w:szCs w:val="20"/>
              </w:rPr>
            </w:pPr>
            <w:r>
              <w:rPr>
                <w:rFonts w:ascii="Arial" w:eastAsia="Arial" w:hAnsi="Arial" w:cs="Arial"/>
                <w:b/>
                <w:bCs/>
                <w:w w:val="94"/>
                <w:sz w:val="14"/>
                <w:szCs w:val="14"/>
              </w:rPr>
              <w:t>(in millions)</w:t>
            </w:r>
          </w:p>
        </w:tc>
        <w:tc>
          <w:tcPr>
            <w:tcW w:w="540" w:type="dxa"/>
            <w:vAlign w:val="bottom"/>
          </w:tcPr>
          <w:p w14:paraId="668C59DA" w14:textId="77777777" w:rsidR="00D1587D" w:rsidRDefault="00D1587D">
            <w:pPr>
              <w:rPr>
                <w:sz w:val="19"/>
                <w:szCs w:val="19"/>
              </w:rPr>
            </w:pPr>
          </w:p>
        </w:tc>
        <w:tc>
          <w:tcPr>
            <w:tcW w:w="80" w:type="dxa"/>
            <w:vAlign w:val="bottom"/>
          </w:tcPr>
          <w:p w14:paraId="315FE07B" w14:textId="77777777" w:rsidR="00D1587D" w:rsidRDefault="00D1587D">
            <w:pPr>
              <w:rPr>
                <w:sz w:val="19"/>
                <w:szCs w:val="19"/>
              </w:rPr>
            </w:pPr>
          </w:p>
        </w:tc>
      </w:tr>
      <w:tr w:rsidR="00D1587D" w14:paraId="70E86D09" w14:textId="77777777">
        <w:trPr>
          <w:trHeight w:val="53"/>
        </w:trPr>
        <w:tc>
          <w:tcPr>
            <w:tcW w:w="5860" w:type="dxa"/>
            <w:vAlign w:val="bottom"/>
          </w:tcPr>
          <w:p w14:paraId="436DF58A" w14:textId="77777777" w:rsidR="00D1587D" w:rsidRDefault="00D1587D">
            <w:pPr>
              <w:rPr>
                <w:sz w:val="4"/>
                <w:szCs w:val="4"/>
              </w:rPr>
            </w:pPr>
          </w:p>
        </w:tc>
        <w:tc>
          <w:tcPr>
            <w:tcW w:w="540" w:type="dxa"/>
            <w:vAlign w:val="bottom"/>
          </w:tcPr>
          <w:p w14:paraId="6C717736" w14:textId="77777777" w:rsidR="00D1587D" w:rsidRDefault="00D1587D">
            <w:pPr>
              <w:rPr>
                <w:sz w:val="4"/>
                <w:szCs w:val="4"/>
              </w:rPr>
            </w:pPr>
          </w:p>
        </w:tc>
        <w:tc>
          <w:tcPr>
            <w:tcW w:w="220" w:type="dxa"/>
            <w:vAlign w:val="bottom"/>
          </w:tcPr>
          <w:p w14:paraId="57F748C7" w14:textId="77777777" w:rsidR="00D1587D" w:rsidRDefault="00D1587D">
            <w:pPr>
              <w:rPr>
                <w:sz w:val="4"/>
                <w:szCs w:val="4"/>
              </w:rPr>
            </w:pPr>
          </w:p>
        </w:tc>
        <w:tc>
          <w:tcPr>
            <w:tcW w:w="240" w:type="dxa"/>
            <w:vAlign w:val="bottom"/>
          </w:tcPr>
          <w:p w14:paraId="44AFE55E" w14:textId="77777777" w:rsidR="00D1587D" w:rsidRDefault="00D1587D">
            <w:pPr>
              <w:rPr>
                <w:sz w:val="4"/>
                <w:szCs w:val="4"/>
              </w:rPr>
            </w:pPr>
          </w:p>
        </w:tc>
        <w:tc>
          <w:tcPr>
            <w:tcW w:w="540" w:type="dxa"/>
            <w:vAlign w:val="bottom"/>
          </w:tcPr>
          <w:p w14:paraId="2AFF1048" w14:textId="77777777" w:rsidR="00D1587D" w:rsidRDefault="00D1587D">
            <w:pPr>
              <w:rPr>
                <w:sz w:val="4"/>
                <w:szCs w:val="4"/>
              </w:rPr>
            </w:pPr>
          </w:p>
        </w:tc>
        <w:tc>
          <w:tcPr>
            <w:tcW w:w="400" w:type="dxa"/>
            <w:vAlign w:val="bottom"/>
          </w:tcPr>
          <w:p w14:paraId="1620586D" w14:textId="77777777" w:rsidR="00D1587D" w:rsidRDefault="00D1587D">
            <w:pPr>
              <w:rPr>
                <w:sz w:val="4"/>
                <w:szCs w:val="4"/>
              </w:rPr>
            </w:pPr>
          </w:p>
        </w:tc>
        <w:tc>
          <w:tcPr>
            <w:tcW w:w="540" w:type="dxa"/>
            <w:vAlign w:val="bottom"/>
          </w:tcPr>
          <w:p w14:paraId="71ECFEE6" w14:textId="77777777" w:rsidR="00D1587D" w:rsidRDefault="00D1587D">
            <w:pPr>
              <w:rPr>
                <w:sz w:val="4"/>
                <w:szCs w:val="4"/>
              </w:rPr>
            </w:pPr>
          </w:p>
        </w:tc>
        <w:tc>
          <w:tcPr>
            <w:tcW w:w="80" w:type="dxa"/>
            <w:vAlign w:val="bottom"/>
          </w:tcPr>
          <w:p w14:paraId="2BFBAB54" w14:textId="77777777" w:rsidR="00D1587D" w:rsidRDefault="00D1587D">
            <w:pPr>
              <w:rPr>
                <w:sz w:val="4"/>
                <w:szCs w:val="4"/>
              </w:rPr>
            </w:pPr>
          </w:p>
        </w:tc>
      </w:tr>
      <w:tr w:rsidR="00D1587D" w14:paraId="57B5A617" w14:textId="77777777">
        <w:trPr>
          <w:trHeight w:val="318"/>
        </w:trPr>
        <w:tc>
          <w:tcPr>
            <w:tcW w:w="5860" w:type="dxa"/>
            <w:tcBorders>
              <w:bottom w:val="single" w:sz="8" w:space="0" w:color="CCEEFF"/>
            </w:tcBorders>
            <w:shd w:val="clear" w:color="auto" w:fill="CCEEFF"/>
            <w:vAlign w:val="bottom"/>
          </w:tcPr>
          <w:p w14:paraId="1FABE2F7" w14:textId="77777777" w:rsidR="00D1587D" w:rsidRDefault="00410D07">
            <w:pPr>
              <w:rPr>
                <w:sz w:val="20"/>
                <w:szCs w:val="20"/>
              </w:rPr>
            </w:pPr>
            <w:r>
              <w:rPr>
                <w:rFonts w:ascii="Arial" w:eastAsia="Arial" w:hAnsi="Arial" w:cs="Arial"/>
                <w:sz w:val="18"/>
                <w:szCs w:val="18"/>
              </w:rPr>
              <w:t>Property and Equipment, at Cost</w:t>
            </w:r>
          </w:p>
        </w:tc>
        <w:tc>
          <w:tcPr>
            <w:tcW w:w="540" w:type="dxa"/>
            <w:tcBorders>
              <w:bottom w:val="single" w:sz="8" w:space="0" w:color="CCEEFF"/>
            </w:tcBorders>
            <w:shd w:val="clear" w:color="auto" w:fill="CCEEFF"/>
            <w:vAlign w:val="bottom"/>
          </w:tcPr>
          <w:p w14:paraId="202ED867" w14:textId="77777777" w:rsidR="00D1587D" w:rsidRDefault="00410D07">
            <w:pPr>
              <w:jc w:val="right"/>
              <w:rPr>
                <w:sz w:val="20"/>
                <w:szCs w:val="20"/>
              </w:rPr>
            </w:pPr>
            <w:r>
              <w:rPr>
                <w:rFonts w:ascii="Arial" w:eastAsia="Arial" w:hAnsi="Arial" w:cs="Arial"/>
                <w:w w:val="86"/>
                <w:sz w:val="18"/>
                <w:szCs w:val="18"/>
              </w:rPr>
              <w:t>$ 3,774</w:t>
            </w:r>
          </w:p>
        </w:tc>
        <w:tc>
          <w:tcPr>
            <w:tcW w:w="220" w:type="dxa"/>
            <w:tcBorders>
              <w:bottom w:val="single" w:sz="8" w:space="0" w:color="CCEEFF"/>
            </w:tcBorders>
            <w:shd w:val="clear" w:color="auto" w:fill="CCEEFF"/>
            <w:vAlign w:val="bottom"/>
          </w:tcPr>
          <w:p w14:paraId="4030A383" w14:textId="77777777" w:rsidR="00D1587D" w:rsidRDefault="00D1587D">
            <w:pPr>
              <w:rPr>
                <w:sz w:val="24"/>
                <w:szCs w:val="24"/>
              </w:rPr>
            </w:pPr>
          </w:p>
        </w:tc>
        <w:tc>
          <w:tcPr>
            <w:tcW w:w="1180" w:type="dxa"/>
            <w:gridSpan w:val="3"/>
            <w:tcBorders>
              <w:bottom w:val="single" w:sz="8" w:space="0" w:color="CCEEFF"/>
            </w:tcBorders>
            <w:shd w:val="clear" w:color="auto" w:fill="CCEEFF"/>
            <w:vAlign w:val="bottom"/>
          </w:tcPr>
          <w:p w14:paraId="24FDA5FE" w14:textId="77777777" w:rsidR="00D1587D" w:rsidRDefault="00410D07">
            <w:pPr>
              <w:ind w:right="380"/>
              <w:jc w:val="right"/>
              <w:rPr>
                <w:sz w:val="20"/>
                <w:szCs w:val="20"/>
              </w:rPr>
            </w:pPr>
            <w:r>
              <w:rPr>
                <w:rFonts w:ascii="Arial" w:eastAsia="Arial" w:hAnsi="Arial" w:cs="Arial"/>
                <w:sz w:val="18"/>
                <w:szCs w:val="18"/>
              </w:rPr>
              <w:t xml:space="preserve">$ </w:t>
            </w:r>
            <w:r>
              <w:rPr>
                <w:rFonts w:ascii="Arial" w:eastAsia="Arial" w:hAnsi="Arial" w:cs="Arial"/>
                <w:sz w:val="18"/>
                <w:szCs w:val="18"/>
              </w:rPr>
              <w:t>3,792</w:t>
            </w:r>
          </w:p>
        </w:tc>
        <w:tc>
          <w:tcPr>
            <w:tcW w:w="540" w:type="dxa"/>
            <w:tcBorders>
              <w:bottom w:val="single" w:sz="8" w:space="0" w:color="CCEEFF"/>
            </w:tcBorders>
            <w:shd w:val="clear" w:color="auto" w:fill="CCEEFF"/>
            <w:vAlign w:val="bottom"/>
          </w:tcPr>
          <w:p w14:paraId="31D5CD1A" w14:textId="77777777" w:rsidR="00D1587D" w:rsidRDefault="00410D07">
            <w:pPr>
              <w:jc w:val="right"/>
              <w:rPr>
                <w:sz w:val="20"/>
                <w:szCs w:val="20"/>
              </w:rPr>
            </w:pPr>
            <w:r>
              <w:rPr>
                <w:rFonts w:ascii="Arial" w:eastAsia="Arial" w:hAnsi="Arial" w:cs="Arial"/>
                <w:w w:val="86"/>
                <w:sz w:val="18"/>
                <w:szCs w:val="18"/>
              </w:rPr>
              <w:t>$ 4,267</w:t>
            </w:r>
          </w:p>
        </w:tc>
        <w:tc>
          <w:tcPr>
            <w:tcW w:w="80" w:type="dxa"/>
            <w:tcBorders>
              <w:bottom w:val="single" w:sz="8" w:space="0" w:color="CCEEFF"/>
            </w:tcBorders>
            <w:shd w:val="clear" w:color="auto" w:fill="CCEEFF"/>
            <w:vAlign w:val="bottom"/>
          </w:tcPr>
          <w:p w14:paraId="722A3163" w14:textId="77777777" w:rsidR="00D1587D" w:rsidRDefault="00D1587D">
            <w:pPr>
              <w:rPr>
                <w:sz w:val="24"/>
                <w:szCs w:val="24"/>
              </w:rPr>
            </w:pPr>
          </w:p>
        </w:tc>
      </w:tr>
      <w:tr w:rsidR="00D1587D" w14:paraId="37F44BAF" w14:textId="77777777">
        <w:trPr>
          <w:trHeight w:val="256"/>
        </w:trPr>
        <w:tc>
          <w:tcPr>
            <w:tcW w:w="5860" w:type="dxa"/>
            <w:vAlign w:val="bottom"/>
          </w:tcPr>
          <w:p w14:paraId="6EB19566" w14:textId="77777777" w:rsidR="00D1587D" w:rsidRDefault="00410D07">
            <w:pPr>
              <w:rPr>
                <w:sz w:val="20"/>
                <w:szCs w:val="20"/>
              </w:rPr>
            </w:pPr>
            <w:r>
              <w:rPr>
                <w:rFonts w:ascii="Arial" w:eastAsia="Arial" w:hAnsi="Arial" w:cs="Arial"/>
                <w:sz w:val="18"/>
                <w:szCs w:val="18"/>
              </w:rPr>
              <w:t>Accumulated Depreciation and Amortization</w:t>
            </w:r>
          </w:p>
        </w:tc>
        <w:tc>
          <w:tcPr>
            <w:tcW w:w="760" w:type="dxa"/>
            <w:gridSpan w:val="2"/>
            <w:vAlign w:val="bottom"/>
          </w:tcPr>
          <w:p w14:paraId="2DBD4A1D" w14:textId="77777777" w:rsidR="00D1587D" w:rsidRDefault="00410D07">
            <w:pPr>
              <w:ind w:right="160"/>
              <w:jc w:val="right"/>
              <w:rPr>
                <w:sz w:val="20"/>
                <w:szCs w:val="20"/>
              </w:rPr>
            </w:pPr>
            <w:r>
              <w:rPr>
                <w:rFonts w:ascii="Arial" w:eastAsia="Arial" w:hAnsi="Arial" w:cs="Arial"/>
                <w:sz w:val="18"/>
                <w:szCs w:val="18"/>
              </w:rPr>
              <w:t>(2,738)</w:t>
            </w:r>
          </w:p>
        </w:tc>
        <w:tc>
          <w:tcPr>
            <w:tcW w:w="1180" w:type="dxa"/>
            <w:gridSpan w:val="3"/>
            <w:vAlign w:val="bottom"/>
          </w:tcPr>
          <w:p w14:paraId="51D10F47" w14:textId="77777777" w:rsidR="00D1587D" w:rsidRDefault="00410D07">
            <w:pPr>
              <w:ind w:right="340"/>
              <w:jc w:val="right"/>
              <w:rPr>
                <w:sz w:val="20"/>
                <w:szCs w:val="20"/>
              </w:rPr>
            </w:pPr>
            <w:r>
              <w:rPr>
                <w:rFonts w:ascii="Arial" w:eastAsia="Arial" w:hAnsi="Arial" w:cs="Arial"/>
                <w:sz w:val="18"/>
                <w:szCs w:val="18"/>
              </w:rPr>
              <w:t>(2,714)</w:t>
            </w:r>
          </w:p>
        </w:tc>
        <w:tc>
          <w:tcPr>
            <w:tcW w:w="620" w:type="dxa"/>
            <w:gridSpan w:val="2"/>
            <w:vAlign w:val="bottom"/>
          </w:tcPr>
          <w:p w14:paraId="5C440157" w14:textId="77777777" w:rsidR="00D1587D" w:rsidRDefault="00410D07">
            <w:pPr>
              <w:ind w:right="20"/>
              <w:jc w:val="right"/>
              <w:rPr>
                <w:sz w:val="20"/>
                <w:szCs w:val="20"/>
              </w:rPr>
            </w:pPr>
            <w:r>
              <w:rPr>
                <w:rFonts w:ascii="Arial" w:eastAsia="Arial" w:hAnsi="Arial" w:cs="Arial"/>
                <w:sz w:val="18"/>
                <w:szCs w:val="18"/>
              </w:rPr>
              <w:t>(3,007)</w:t>
            </w:r>
          </w:p>
        </w:tc>
      </w:tr>
      <w:tr w:rsidR="00D1587D" w14:paraId="05D54BA8" w14:textId="77777777">
        <w:trPr>
          <w:trHeight w:val="61"/>
        </w:trPr>
        <w:tc>
          <w:tcPr>
            <w:tcW w:w="5860" w:type="dxa"/>
            <w:vAlign w:val="bottom"/>
          </w:tcPr>
          <w:p w14:paraId="320853B0" w14:textId="77777777" w:rsidR="00D1587D" w:rsidRDefault="00D1587D">
            <w:pPr>
              <w:rPr>
                <w:sz w:val="5"/>
                <w:szCs w:val="5"/>
              </w:rPr>
            </w:pPr>
          </w:p>
        </w:tc>
        <w:tc>
          <w:tcPr>
            <w:tcW w:w="540" w:type="dxa"/>
            <w:tcBorders>
              <w:top w:val="single" w:sz="8" w:space="0" w:color="auto"/>
            </w:tcBorders>
            <w:vAlign w:val="bottom"/>
          </w:tcPr>
          <w:p w14:paraId="047F5BFC" w14:textId="77777777" w:rsidR="00D1587D" w:rsidRDefault="00D1587D">
            <w:pPr>
              <w:rPr>
                <w:sz w:val="5"/>
                <w:szCs w:val="5"/>
              </w:rPr>
            </w:pPr>
          </w:p>
        </w:tc>
        <w:tc>
          <w:tcPr>
            <w:tcW w:w="220" w:type="dxa"/>
            <w:vAlign w:val="bottom"/>
          </w:tcPr>
          <w:p w14:paraId="24F88C3E" w14:textId="77777777" w:rsidR="00D1587D" w:rsidRDefault="00D1587D">
            <w:pPr>
              <w:rPr>
                <w:sz w:val="5"/>
                <w:szCs w:val="5"/>
              </w:rPr>
            </w:pPr>
          </w:p>
        </w:tc>
        <w:tc>
          <w:tcPr>
            <w:tcW w:w="240" w:type="dxa"/>
            <w:vAlign w:val="bottom"/>
          </w:tcPr>
          <w:p w14:paraId="6E28FB1D" w14:textId="77777777" w:rsidR="00D1587D" w:rsidRDefault="00D1587D">
            <w:pPr>
              <w:rPr>
                <w:sz w:val="5"/>
                <w:szCs w:val="5"/>
              </w:rPr>
            </w:pPr>
          </w:p>
        </w:tc>
        <w:tc>
          <w:tcPr>
            <w:tcW w:w="540" w:type="dxa"/>
            <w:tcBorders>
              <w:top w:val="single" w:sz="8" w:space="0" w:color="auto"/>
            </w:tcBorders>
            <w:vAlign w:val="bottom"/>
          </w:tcPr>
          <w:p w14:paraId="35368A83" w14:textId="77777777" w:rsidR="00D1587D" w:rsidRDefault="00D1587D">
            <w:pPr>
              <w:rPr>
                <w:sz w:val="5"/>
                <w:szCs w:val="5"/>
              </w:rPr>
            </w:pPr>
          </w:p>
        </w:tc>
        <w:tc>
          <w:tcPr>
            <w:tcW w:w="400" w:type="dxa"/>
            <w:vAlign w:val="bottom"/>
          </w:tcPr>
          <w:p w14:paraId="086C8A8D" w14:textId="77777777" w:rsidR="00D1587D" w:rsidRDefault="00D1587D">
            <w:pPr>
              <w:rPr>
                <w:sz w:val="5"/>
                <w:szCs w:val="5"/>
              </w:rPr>
            </w:pPr>
          </w:p>
        </w:tc>
        <w:tc>
          <w:tcPr>
            <w:tcW w:w="540" w:type="dxa"/>
            <w:tcBorders>
              <w:top w:val="single" w:sz="8" w:space="0" w:color="auto"/>
            </w:tcBorders>
            <w:vAlign w:val="bottom"/>
          </w:tcPr>
          <w:p w14:paraId="470BF739" w14:textId="77777777" w:rsidR="00D1587D" w:rsidRDefault="00D1587D">
            <w:pPr>
              <w:rPr>
                <w:sz w:val="5"/>
                <w:szCs w:val="5"/>
              </w:rPr>
            </w:pPr>
          </w:p>
        </w:tc>
        <w:tc>
          <w:tcPr>
            <w:tcW w:w="80" w:type="dxa"/>
            <w:vAlign w:val="bottom"/>
          </w:tcPr>
          <w:p w14:paraId="311821CC" w14:textId="77777777" w:rsidR="00D1587D" w:rsidRDefault="00D1587D">
            <w:pPr>
              <w:rPr>
                <w:sz w:val="5"/>
                <w:szCs w:val="5"/>
              </w:rPr>
            </w:pPr>
          </w:p>
        </w:tc>
      </w:tr>
      <w:tr w:rsidR="00D1587D" w14:paraId="5F217E61" w14:textId="77777777">
        <w:trPr>
          <w:trHeight w:val="291"/>
        </w:trPr>
        <w:tc>
          <w:tcPr>
            <w:tcW w:w="5860" w:type="dxa"/>
            <w:shd w:val="clear" w:color="auto" w:fill="CCEEFF"/>
            <w:vAlign w:val="bottom"/>
          </w:tcPr>
          <w:p w14:paraId="62C41684" w14:textId="77777777" w:rsidR="00D1587D" w:rsidRDefault="00410D07">
            <w:pPr>
              <w:rPr>
                <w:sz w:val="20"/>
                <w:szCs w:val="20"/>
              </w:rPr>
            </w:pPr>
            <w:r>
              <w:rPr>
                <w:rFonts w:ascii="Arial" w:eastAsia="Arial" w:hAnsi="Arial" w:cs="Arial"/>
                <w:b/>
                <w:bCs/>
                <w:sz w:val="18"/>
                <w:szCs w:val="18"/>
              </w:rPr>
              <w:t>Property and Equipment, Net</w:t>
            </w:r>
          </w:p>
        </w:tc>
        <w:tc>
          <w:tcPr>
            <w:tcW w:w="540" w:type="dxa"/>
            <w:shd w:val="clear" w:color="auto" w:fill="CCEEFF"/>
            <w:vAlign w:val="bottom"/>
          </w:tcPr>
          <w:p w14:paraId="17A09F6C" w14:textId="77777777" w:rsidR="00D1587D" w:rsidRDefault="00410D07">
            <w:pPr>
              <w:jc w:val="right"/>
              <w:rPr>
                <w:sz w:val="20"/>
                <w:szCs w:val="20"/>
              </w:rPr>
            </w:pPr>
            <w:r>
              <w:rPr>
                <w:rFonts w:ascii="Arial" w:eastAsia="Arial" w:hAnsi="Arial" w:cs="Arial"/>
                <w:w w:val="86"/>
                <w:sz w:val="18"/>
                <w:szCs w:val="18"/>
              </w:rPr>
              <w:t>$ 1,036</w:t>
            </w:r>
          </w:p>
        </w:tc>
        <w:tc>
          <w:tcPr>
            <w:tcW w:w="220" w:type="dxa"/>
            <w:shd w:val="clear" w:color="auto" w:fill="CCEEFF"/>
            <w:vAlign w:val="bottom"/>
          </w:tcPr>
          <w:p w14:paraId="0810A111" w14:textId="77777777" w:rsidR="00D1587D" w:rsidRDefault="00D1587D">
            <w:pPr>
              <w:rPr>
                <w:sz w:val="24"/>
                <w:szCs w:val="24"/>
              </w:rPr>
            </w:pPr>
          </w:p>
        </w:tc>
        <w:tc>
          <w:tcPr>
            <w:tcW w:w="240" w:type="dxa"/>
            <w:shd w:val="clear" w:color="auto" w:fill="CCEEFF"/>
            <w:vAlign w:val="bottom"/>
          </w:tcPr>
          <w:p w14:paraId="00FFD0D0" w14:textId="77777777" w:rsidR="00D1587D" w:rsidRDefault="00D1587D">
            <w:pPr>
              <w:rPr>
                <w:sz w:val="24"/>
                <w:szCs w:val="24"/>
              </w:rPr>
            </w:pPr>
          </w:p>
        </w:tc>
        <w:tc>
          <w:tcPr>
            <w:tcW w:w="940" w:type="dxa"/>
            <w:gridSpan w:val="2"/>
            <w:shd w:val="clear" w:color="auto" w:fill="CCEEFF"/>
            <w:vAlign w:val="bottom"/>
          </w:tcPr>
          <w:p w14:paraId="70FA618C" w14:textId="77777777" w:rsidR="00D1587D" w:rsidRDefault="00410D07">
            <w:pPr>
              <w:ind w:right="380"/>
              <w:jc w:val="right"/>
              <w:rPr>
                <w:sz w:val="20"/>
                <w:szCs w:val="20"/>
              </w:rPr>
            </w:pPr>
            <w:r>
              <w:rPr>
                <w:rFonts w:ascii="Arial" w:eastAsia="Arial" w:hAnsi="Arial" w:cs="Arial"/>
                <w:w w:val="89"/>
                <w:sz w:val="18"/>
                <w:szCs w:val="18"/>
              </w:rPr>
              <w:t>$ 1,078</w:t>
            </w:r>
          </w:p>
        </w:tc>
        <w:tc>
          <w:tcPr>
            <w:tcW w:w="540" w:type="dxa"/>
            <w:shd w:val="clear" w:color="auto" w:fill="CCEEFF"/>
            <w:vAlign w:val="bottom"/>
          </w:tcPr>
          <w:p w14:paraId="507D3B95" w14:textId="77777777" w:rsidR="00D1587D" w:rsidRDefault="00410D07">
            <w:pPr>
              <w:jc w:val="right"/>
              <w:rPr>
                <w:sz w:val="20"/>
                <w:szCs w:val="20"/>
              </w:rPr>
            </w:pPr>
            <w:r>
              <w:rPr>
                <w:rFonts w:ascii="Arial" w:eastAsia="Arial" w:hAnsi="Arial" w:cs="Arial"/>
                <w:w w:val="86"/>
                <w:sz w:val="18"/>
                <w:szCs w:val="18"/>
              </w:rPr>
              <w:t>$ 1,260</w:t>
            </w:r>
          </w:p>
        </w:tc>
        <w:tc>
          <w:tcPr>
            <w:tcW w:w="80" w:type="dxa"/>
            <w:shd w:val="clear" w:color="auto" w:fill="CCEEFF"/>
            <w:vAlign w:val="bottom"/>
          </w:tcPr>
          <w:p w14:paraId="6F63B4F1" w14:textId="77777777" w:rsidR="00D1587D" w:rsidRDefault="00D1587D">
            <w:pPr>
              <w:rPr>
                <w:sz w:val="24"/>
                <w:szCs w:val="24"/>
              </w:rPr>
            </w:pPr>
          </w:p>
        </w:tc>
      </w:tr>
      <w:tr w:rsidR="00D1587D" w14:paraId="0F0D6507" w14:textId="77777777">
        <w:trPr>
          <w:trHeight w:val="27"/>
        </w:trPr>
        <w:tc>
          <w:tcPr>
            <w:tcW w:w="5860" w:type="dxa"/>
            <w:tcBorders>
              <w:top w:val="single" w:sz="8" w:space="0" w:color="CCEEFF"/>
            </w:tcBorders>
            <w:shd w:val="clear" w:color="auto" w:fill="CCEEFF"/>
            <w:vAlign w:val="bottom"/>
          </w:tcPr>
          <w:p w14:paraId="22FA40C2" w14:textId="77777777" w:rsidR="00D1587D" w:rsidRDefault="00D1587D">
            <w:pPr>
              <w:rPr>
                <w:sz w:val="2"/>
                <w:szCs w:val="2"/>
              </w:rPr>
            </w:pPr>
          </w:p>
        </w:tc>
        <w:tc>
          <w:tcPr>
            <w:tcW w:w="540" w:type="dxa"/>
            <w:tcBorders>
              <w:top w:val="single" w:sz="8" w:space="0" w:color="auto"/>
            </w:tcBorders>
            <w:shd w:val="clear" w:color="auto" w:fill="000000"/>
            <w:vAlign w:val="bottom"/>
          </w:tcPr>
          <w:p w14:paraId="75930D11" w14:textId="77777777" w:rsidR="00D1587D" w:rsidRDefault="00D1587D">
            <w:pPr>
              <w:rPr>
                <w:sz w:val="2"/>
                <w:szCs w:val="2"/>
              </w:rPr>
            </w:pPr>
          </w:p>
        </w:tc>
        <w:tc>
          <w:tcPr>
            <w:tcW w:w="220" w:type="dxa"/>
            <w:tcBorders>
              <w:top w:val="single" w:sz="8" w:space="0" w:color="CCEEFF"/>
            </w:tcBorders>
            <w:shd w:val="clear" w:color="auto" w:fill="CCEEFF"/>
            <w:vAlign w:val="bottom"/>
          </w:tcPr>
          <w:p w14:paraId="25694707" w14:textId="77777777" w:rsidR="00D1587D" w:rsidRDefault="00D1587D">
            <w:pPr>
              <w:rPr>
                <w:sz w:val="2"/>
                <w:szCs w:val="2"/>
              </w:rPr>
            </w:pPr>
          </w:p>
        </w:tc>
        <w:tc>
          <w:tcPr>
            <w:tcW w:w="240" w:type="dxa"/>
            <w:tcBorders>
              <w:top w:val="single" w:sz="8" w:space="0" w:color="CCEEFF"/>
            </w:tcBorders>
            <w:shd w:val="clear" w:color="auto" w:fill="CCEEFF"/>
            <w:vAlign w:val="bottom"/>
          </w:tcPr>
          <w:p w14:paraId="52D6A924" w14:textId="77777777" w:rsidR="00D1587D" w:rsidRDefault="00D1587D">
            <w:pPr>
              <w:rPr>
                <w:sz w:val="2"/>
                <w:szCs w:val="2"/>
              </w:rPr>
            </w:pPr>
          </w:p>
        </w:tc>
        <w:tc>
          <w:tcPr>
            <w:tcW w:w="540" w:type="dxa"/>
            <w:tcBorders>
              <w:top w:val="single" w:sz="8" w:space="0" w:color="auto"/>
            </w:tcBorders>
            <w:shd w:val="clear" w:color="auto" w:fill="000000"/>
            <w:vAlign w:val="bottom"/>
          </w:tcPr>
          <w:p w14:paraId="10239C81" w14:textId="77777777" w:rsidR="00D1587D" w:rsidRDefault="00D1587D">
            <w:pPr>
              <w:rPr>
                <w:sz w:val="2"/>
                <w:szCs w:val="2"/>
              </w:rPr>
            </w:pPr>
          </w:p>
        </w:tc>
        <w:tc>
          <w:tcPr>
            <w:tcW w:w="400" w:type="dxa"/>
            <w:tcBorders>
              <w:top w:val="single" w:sz="8" w:space="0" w:color="CCEEFF"/>
            </w:tcBorders>
            <w:shd w:val="clear" w:color="auto" w:fill="CCEEFF"/>
            <w:vAlign w:val="bottom"/>
          </w:tcPr>
          <w:p w14:paraId="4137ACD9" w14:textId="77777777" w:rsidR="00D1587D" w:rsidRDefault="00D1587D">
            <w:pPr>
              <w:rPr>
                <w:sz w:val="2"/>
                <w:szCs w:val="2"/>
              </w:rPr>
            </w:pPr>
          </w:p>
        </w:tc>
        <w:tc>
          <w:tcPr>
            <w:tcW w:w="540" w:type="dxa"/>
            <w:tcBorders>
              <w:top w:val="single" w:sz="8" w:space="0" w:color="auto"/>
            </w:tcBorders>
            <w:shd w:val="clear" w:color="auto" w:fill="000000"/>
            <w:vAlign w:val="bottom"/>
          </w:tcPr>
          <w:p w14:paraId="0FEECC37" w14:textId="77777777" w:rsidR="00D1587D" w:rsidRDefault="00D1587D">
            <w:pPr>
              <w:rPr>
                <w:sz w:val="2"/>
                <w:szCs w:val="2"/>
              </w:rPr>
            </w:pPr>
          </w:p>
        </w:tc>
        <w:tc>
          <w:tcPr>
            <w:tcW w:w="80" w:type="dxa"/>
            <w:tcBorders>
              <w:top w:val="single" w:sz="8" w:space="0" w:color="CCEEFF"/>
            </w:tcBorders>
            <w:shd w:val="clear" w:color="auto" w:fill="CCEEFF"/>
            <w:vAlign w:val="bottom"/>
          </w:tcPr>
          <w:p w14:paraId="571D031D" w14:textId="77777777" w:rsidR="00D1587D" w:rsidRDefault="00D1587D">
            <w:pPr>
              <w:rPr>
                <w:sz w:val="2"/>
                <w:szCs w:val="2"/>
              </w:rPr>
            </w:pPr>
          </w:p>
        </w:tc>
      </w:tr>
    </w:tbl>
    <w:p w14:paraId="0FE969D4" w14:textId="77777777" w:rsidR="00D1587D" w:rsidRDefault="00410D07">
      <w:pPr>
        <w:spacing w:line="20" w:lineRule="exact"/>
        <w:rPr>
          <w:sz w:val="20"/>
          <w:szCs w:val="20"/>
        </w:rPr>
      </w:pPr>
      <w:r>
        <w:rPr>
          <w:noProof/>
          <w:sz w:val="20"/>
          <w:szCs w:val="20"/>
        </w:rPr>
        <w:drawing>
          <wp:anchor distT="0" distB="0" distL="114300" distR="114300" simplePos="0" relativeHeight="252174336" behindDoc="1" locked="0" layoutInCell="0" allowOverlap="1" wp14:anchorId="0BD43D37" wp14:editId="683D1C2D">
            <wp:simplePos x="0" y="0"/>
            <wp:positionH relativeFrom="column">
              <wp:posOffset>4951730</wp:posOffset>
            </wp:positionH>
            <wp:positionV relativeFrom="paragraph">
              <wp:posOffset>-830580</wp:posOffset>
            </wp:positionV>
            <wp:extent cx="188595" cy="8255"/>
            <wp:effectExtent l="0" t="0" r="0" b="0"/>
            <wp:wrapNone/>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64"/>
                    <a:srcRect/>
                    <a:stretch>
                      <a:fillRect/>
                    </a:stretch>
                  </pic:blipFill>
                  <pic:spPr bwMode="auto">
                    <a:xfrm>
                      <a:off x="0" y="0"/>
                      <a:ext cx="188595" cy="8255"/>
                    </a:xfrm>
                    <a:prstGeom prst="rect">
                      <a:avLst/>
                    </a:prstGeom>
                    <a:noFill/>
                  </pic:spPr>
                </pic:pic>
              </a:graphicData>
            </a:graphic>
          </wp:anchor>
        </w:drawing>
      </w:r>
      <w:r>
        <w:rPr>
          <w:noProof/>
          <w:sz w:val="20"/>
          <w:szCs w:val="20"/>
        </w:rPr>
        <w:drawing>
          <wp:anchor distT="0" distB="0" distL="114300" distR="114300" simplePos="0" relativeHeight="252175360" behindDoc="1" locked="0" layoutInCell="0" allowOverlap="1" wp14:anchorId="0B6EE934" wp14:editId="38F53739">
            <wp:simplePos x="0" y="0"/>
            <wp:positionH relativeFrom="column">
              <wp:posOffset>4300220</wp:posOffset>
            </wp:positionH>
            <wp:positionV relativeFrom="paragraph">
              <wp:posOffset>-830580</wp:posOffset>
            </wp:positionV>
            <wp:extent cx="188595" cy="8255"/>
            <wp:effectExtent l="0" t="0" r="0" b="0"/>
            <wp:wrapNone/>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64"/>
                    <a:srcRect/>
                    <a:stretch>
                      <a:fillRect/>
                    </a:stretch>
                  </pic:blipFill>
                  <pic:spPr bwMode="auto">
                    <a:xfrm>
                      <a:off x="0" y="0"/>
                      <a:ext cx="188595" cy="8255"/>
                    </a:xfrm>
                    <a:prstGeom prst="rect">
                      <a:avLst/>
                    </a:prstGeom>
                    <a:noFill/>
                  </pic:spPr>
                </pic:pic>
              </a:graphicData>
            </a:graphic>
          </wp:anchor>
        </w:drawing>
      </w:r>
    </w:p>
    <w:p w14:paraId="088DAAE8" w14:textId="77777777" w:rsidR="00D1587D" w:rsidRDefault="00D1587D">
      <w:pPr>
        <w:spacing w:line="74" w:lineRule="exact"/>
        <w:rPr>
          <w:sz w:val="20"/>
          <w:szCs w:val="20"/>
        </w:rPr>
      </w:pPr>
    </w:p>
    <w:p w14:paraId="3DE2454C" w14:textId="77777777" w:rsidR="00D1587D" w:rsidRDefault="00410D07">
      <w:pPr>
        <w:ind w:left="300"/>
        <w:rPr>
          <w:sz w:val="20"/>
          <w:szCs w:val="20"/>
        </w:rPr>
      </w:pPr>
      <w:r>
        <w:rPr>
          <w:rFonts w:ascii="Arial" w:eastAsia="Arial" w:hAnsi="Arial" w:cs="Arial"/>
          <w:sz w:val="18"/>
          <w:szCs w:val="18"/>
        </w:rPr>
        <w:t xml:space="preserve">Depreciation expense was $80 million and $90 million for the first quarter of 2021 and </w:t>
      </w:r>
      <w:r>
        <w:rPr>
          <w:rFonts w:ascii="Arial" w:eastAsia="Arial" w:hAnsi="Arial" w:cs="Arial"/>
          <w:sz w:val="18"/>
          <w:szCs w:val="18"/>
        </w:rPr>
        <w:t>2020, respectively.</w:t>
      </w:r>
    </w:p>
    <w:p w14:paraId="2C89453C" w14:textId="77777777" w:rsidR="00D1587D" w:rsidRDefault="00D1587D">
      <w:pPr>
        <w:spacing w:line="117" w:lineRule="exact"/>
        <w:rPr>
          <w:sz w:val="20"/>
          <w:szCs w:val="20"/>
        </w:rPr>
      </w:pPr>
    </w:p>
    <w:p w14:paraId="2931D35C" w14:textId="77777777" w:rsidR="00D1587D" w:rsidRDefault="00410D07">
      <w:pPr>
        <w:spacing w:line="259" w:lineRule="auto"/>
        <w:ind w:left="300" w:right="379"/>
        <w:rPr>
          <w:sz w:val="20"/>
          <w:szCs w:val="20"/>
        </w:rPr>
      </w:pPr>
      <w:r>
        <w:rPr>
          <w:rFonts w:ascii="Arial" w:eastAsia="Arial" w:hAnsi="Arial" w:cs="Arial"/>
          <w:sz w:val="18"/>
          <w:szCs w:val="18"/>
        </w:rPr>
        <w:t xml:space="preserve">During the first quarter of 2020, the Company recorded pre-tax store asset impairment charges of $97 million as a result of the Victoria’s Secret fleet rationalization executed during 2020 and the negative operating results of </w:t>
      </w:r>
      <w:r>
        <w:rPr>
          <w:rFonts w:ascii="Arial" w:eastAsia="Arial" w:hAnsi="Arial" w:cs="Arial"/>
          <w:sz w:val="18"/>
          <w:szCs w:val="18"/>
        </w:rPr>
        <w:t>certain Victoria’s Secret stores. These impairment charges are included in Costs of Goods Sold, Buying and Occupancy in the 2020 Combined Statement of Loss.</w:t>
      </w:r>
    </w:p>
    <w:p w14:paraId="77862B9D" w14:textId="77777777" w:rsidR="00D1587D" w:rsidRDefault="00D1587D">
      <w:pPr>
        <w:spacing w:line="304" w:lineRule="exact"/>
        <w:rPr>
          <w:sz w:val="20"/>
          <w:szCs w:val="20"/>
        </w:rPr>
      </w:pPr>
    </w:p>
    <w:p w14:paraId="714412E7" w14:textId="77777777" w:rsidR="00D1587D" w:rsidRDefault="00410D07">
      <w:pPr>
        <w:ind w:left="300"/>
        <w:rPr>
          <w:sz w:val="20"/>
          <w:szCs w:val="20"/>
        </w:rPr>
      </w:pPr>
      <w:r>
        <w:rPr>
          <w:rFonts w:ascii="Arial" w:eastAsia="Arial" w:hAnsi="Arial" w:cs="Arial"/>
          <w:b/>
          <w:bCs/>
          <w:sz w:val="18"/>
          <w:szCs w:val="18"/>
        </w:rPr>
        <w:t>7. Accrued Expenses and Other</w:t>
      </w:r>
    </w:p>
    <w:p w14:paraId="5B962546" w14:textId="77777777" w:rsidR="00D1587D" w:rsidRDefault="00D1587D">
      <w:pPr>
        <w:spacing w:line="121" w:lineRule="exact"/>
        <w:rPr>
          <w:sz w:val="20"/>
          <w:szCs w:val="20"/>
        </w:rPr>
      </w:pPr>
    </w:p>
    <w:p w14:paraId="2A20C3ED" w14:textId="77777777" w:rsidR="00D1587D" w:rsidRDefault="00410D07">
      <w:pPr>
        <w:ind w:left="300"/>
        <w:rPr>
          <w:sz w:val="20"/>
          <w:szCs w:val="20"/>
        </w:rPr>
      </w:pPr>
      <w:r>
        <w:rPr>
          <w:rFonts w:ascii="Arial" w:eastAsia="Arial" w:hAnsi="Arial" w:cs="Arial"/>
          <w:sz w:val="17"/>
          <w:szCs w:val="17"/>
        </w:rPr>
        <w:t>The following table provides additional information about the compo</w:t>
      </w:r>
      <w:r>
        <w:rPr>
          <w:rFonts w:ascii="Arial" w:eastAsia="Arial" w:hAnsi="Arial" w:cs="Arial"/>
          <w:sz w:val="17"/>
          <w:szCs w:val="17"/>
        </w:rPr>
        <w:t>sition of Accrued Expenses and Other as of</w:t>
      </w:r>
    </w:p>
    <w:p w14:paraId="4609183D" w14:textId="77777777" w:rsidR="00D1587D" w:rsidRDefault="00D1587D">
      <w:pPr>
        <w:spacing w:line="35" w:lineRule="exact"/>
        <w:rPr>
          <w:sz w:val="20"/>
          <w:szCs w:val="20"/>
        </w:rPr>
      </w:pPr>
    </w:p>
    <w:p w14:paraId="65F3BE64" w14:textId="77777777" w:rsidR="00D1587D" w:rsidRDefault="00410D07">
      <w:pPr>
        <w:ind w:left="300"/>
        <w:rPr>
          <w:sz w:val="20"/>
          <w:szCs w:val="20"/>
        </w:rPr>
      </w:pPr>
      <w:r>
        <w:rPr>
          <w:rFonts w:ascii="Arial" w:eastAsia="Arial" w:hAnsi="Arial" w:cs="Arial"/>
          <w:sz w:val="18"/>
          <w:szCs w:val="18"/>
        </w:rPr>
        <w:t>May 1, 2021, January 30, 2021 and May 2, 2020:</w:t>
      </w:r>
    </w:p>
    <w:p w14:paraId="52DBE130" w14:textId="77777777" w:rsidR="00D1587D" w:rsidRDefault="00D1587D">
      <w:pPr>
        <w:spacing w:line="163" w:lineRule="exact"/>
        <w:rPr>
          <w:sz w:val="20"/>
          <w:szCs w:val="20"/>
        </w:rPr>
      </w:pPr>
    </w:p>
    <w:tbl>
      <w:tblPr>
        <w:tblW w:w="0" w:type="auto"/>
        <w:tblInd w:w="300" w:type="dxa"/>
        <w:tblLayout w:type="fixed"/>
        <w:tblCellMar>
          <w:left w:w="0" w:type="dxa"/>
          <w:right w:w="0" w:type="dxa"/>
        </w:tblCellMar>
        <w:tblLook w:val="04A0" w:firstRow="1" w:lastRow="0" w:firstColumn="1" w:lastColumn="0" w:noHBand="0" w:noVBand="1"/>
      </w:tblPr>
      <w:tblGrid>
        <w:gridCol w:w="6180"/>
        <w:gridCol w:w="40"/>
        <w:gridCol w:w="340"/>
        <w:gridCol w:w="20"/>
        <w:gridCol w:w="180"/>
        <w:gridCol w:w="360"/>
        <w:gridCol w:w="360"/>
        <w:gridCol w:w="340"/>
        <w:gridCol w:w="200"/>
        <w:gridCol w:w="360"/>
        <w:gridCol w:w="40"/>
      </w:tblGrid>
      <w:tr w:rsidR="00D1587D" w14:paraId="0B93DF8C" w14:textId="77777777">
        <w:trPr>
          <w:trHeight w:val="161"/>
        </w:trPr>
        <w:tc>
          <w:tcPr>
            <w:tcW w:w="6180" w:type="dxa"/>
            <w:vAlign w:val="bottom"/>
          </w:tcPr>
          <w:p w14:paraId="585AC6A0" w14:textId="77777777" w:rsidR="00D1587D" w:rsidRDefault="00D1587D">
            <w:pPr>
              <w:rPr>
                <w:sz w:val="14"/>
                <w:szCs w:val="14"/>
              </w:rPr>
            </w:pPr>
          </w:p>
        </w:tc>
        <w:tc>
          <w:tcPr>
            <w:tcW w:w="580" w:type="dxa"/>
            <w:gridSpan w:val="4"/>
            <w:vAlign w:val="bottom"/>
          </w:tcPr>
          <w:p w14:paraId="2D82E050" w14:textId="77777777" w:rsidR="00D1587D" w:rsidRDefault="00410D07">
            <w:pPr>
              <w:rPr>
                <w:sz w:val="20"/>
                <w:szCs w:val="20"/>
              </w:rPr>
            </w:pPr>
            <w:r>
              <w:rPr>
                <w:rFonts w:ascii="Arial" w:eastAsia="Arial" w:hAnsi="Arial" w:cs="Arial"/>
                <w:b/>
                <w:bCs/>
                <w:sz w:val="14"/>
                <w:szCs w:val="14"/>
              </w:rPr>
              <w:t>May 1,</w:t>
            </w:r>
          </w:p>
        </w:tc>
        <w:tc>
          <w:tcPr>
            <w:tcW w:w="1060" w:type="dxa"/>
            <w:gridSpan w:val="3"/>
            <w:vAlign w:val="bottom"/>
          </w:tcPr>
          <w:p w14:paraId="10E41E07" w14:textId="77777777" w:rsidR="00D1587D" w:rsidRDefault="00410D07">
            <w:pPr>
              <w:jc w:val="center"/>
              <w:rPr>
                <w:sz w:val="20"/>
                <w:szCs w:val="20"/>
              </w:rPr>
            </w:pPr>
            <w:r>
              <w:rPr>
                <w:rFonts w:ascii="Arial" w:eastAsia="Arial" w:hAnsi="Arial" w:cs="Arial"/>
                <w:b/>
                <w:bCs/>
                <w:w w:val="93"/>
                <w:sz w:val="14"/>
                <w:szCs w:val="14"/>
              </w:rPr>
              <w:t>January 30,</w:t>
            </w:r>
          </w:p>
        </w:tc>
        <w:tc>
          <w:tcPr>
            <w:tcW w:w="600" w:type="dxa"/>
            <w:gridSpan w:val="3"/>
            <w:vAlign w:val="bottom"/>
          </w:tcPr>
          <w:p w14:paraId="1A60B887" w14:textId="77777777" w:rsidR="00D1587D" w:rsidRDefault="00410D07">
            <w:pPr>
              <w:jc w:val="right"/>
              <w:rPr>
                <w:sz w:val="20"/>
                <w:szCs w:val="20"/>
              </w:rPr>
            </w:pPr>
            <w:r>
              <w:rPr>
                <w:rFonts w:ascii="Arial" w:eastAsia="Arial" w:hAnsi="Arial" w:cs="Arial"/>
                <w:b/>
                <w:bCs/>
                <w:sz w:val="14"/>
                <w:szCs w:val="14"/>
              </w:rPr>
              <w:t>May 2,</w:t>
            </w:r>
          </w:p>
        </w:tc>
      </w:tr>
      <w:tr w:rsidR="00D1587D" w14:paraId="64610267" w14:textId="77777777">
        <w:trPr>
          <w:trHeight w:val="186"/>
        </w:trPr>
        <w:tc>
          <w:tcPr>
            <w:tcW w:w="6180" w:type="dxa"/>
            <w:vAlign w:val="bottom"/>
          </w:tcPr>
          <w:p w14:paraId="42F3C2CB" w14:textId="77777777" w:rsidR="00D1587D" w:rsidRDefault="00D1587D">
            <w:pPr>
              <w:rPr>
                <w:sz w:val="16"/>
                <w:szCs w:val="16"/>
              </w:rPr>
            </w:pPr>
          </w:p>
        </w:tc>
        <w:tc>
          <w:tcPr>
            <w:tcW w:w="380" w:type="dxa"/>
            <w:gridSpan w:val="2"/>
            <w:vAlign w:val="bottom"/>
          </w:tcPr>
          <w:p w14:paraId="1C84C3C9" w14:textId="77777777" w:rsidR="00D1587D" w:rsidRDefault="00410D07">
            <w:pPr>
              <w:ind w:right="20"/>
              <w:jc w:val="right"/>
              <w:rPr>
                <w:sz w:val="20"/>
                <w:szCs w:val="20"/>
              </w:rPr>
            </w:pPr>
            <w:r>
              <w:rPr>
                <w:rFonts w:ascii="Arial" w:eastAsia="Arial" w:hAnsi="Arial" w:cs="Arial"/>
                <w:b/>
                <w:bCs/>
                <w:sz w:val="14"/>
                <w:szCs w:val="14"/>
              </w:rPr>
              <w:t>2021</w:t>
            </w:r>
          </w:p>
        </w:tc>
        <w:tc>
          <w:tcPr>
            <w:tcW w:w="20" w:type="dxa"/>
            <w:vAlign w:val="bottom"/>
          </w:tcPr>
          <w:p w14:paraId="2C57A7EC" w14:textId="77777777" w:rsidR="00D1587D" w:rsidRDefault="00D1587D">
            <w:pPr>
              <w:rPr>
                <w:sz w:val="16"/>
                <w:szCs w:val="16"/>
              </w:rPr>
            </w:pPr>
          </w:p>
        </w:tc>
        <w:tc>
          <w:tcPr>
            <w:tcW w:w="180" w:type="dxa"/>
            <w:vAlign w:val="bottom"/>
          </w:tcPr>
          <w:p w14:paraId="39D1E186" w14:textId="77777777" w:rsidR="00D1587D" w:rsidRDefault="00D1587D">
            <w:pPr>
              <w:rPr>
                <w:sz w:val="16"/>
                <w:szCs w:val="16"/>
              </w:rPr>
            </w:pPr>
          </w:p>
        </w:tc>
        <w:tc>
          <w:tcPr>
            <w:tcW w:w="720" w:type="dxa"/>
            <w:gridSpan w:val="2"/>
            <w:vAlign w:val="bottom"/>
          </w:tcPr>
          <w:p w14:paraId="43C5B4E3" w14:textId="77777777" w:rsidR="00D1587D" w:rsidRDefault="00410D07">
            <w:pPr>
              <w:ind w:left="274"/>
              <w:jc w:val="center"/>
              <w:rPr>
                <w:sz w:val="20"/>
                <w:szCs w:val="20"/>
              </w:rPr>
            </w:pPr>
            <w:r>
              <w:rPr>
                <w:rFonts w:ascii="Arial" w:eastAsia="Arial" w:hAnsi="Arial" w:cs="Arial"/>
                <w:b/>
                <w:bCs/>
                <w:w w:val="89"/>
                <w:sz w:val="14"/>
                <w:szCs w:val="14"/>
              </w:rPr>
              <w:t>2021</w:t>
            </w:r>
          </w:p>
        </w:tc>
        <w:tc>
          <w:tcPr>
            <w:tcW w:w="340" w:type="dxa"/>
            <w:vAlign w:val="bottom"/>
          </w:tcPr>
          <w:p w14:paraId="12B92ED3" w14:textId="77777777" w:rsidR="00D1587D" w:rsidRDefault="00D1587D">
            <w:pPr>
              <w:rPr>
                <w:sz w:val="16"/>
                <w:szCs w:val="16"/>
              </w:rPr>
            </w:pPr>
          </w:p>
        </w:tc>
        <w:tc>
          <w:tcPr>
            <w:tcW w:w="560" w:type="dxa"/>
            <w:gridSpan w:val="2"/>
            <w:vAlign w:val="bottom"/>
          </w:tcPr>
          <w:p w14:paraId="65461DA1" w14:textId="77777777" w:rsidR="00D1587D" w:rsidRDefault="00410D07">
            <w:pPr>
              <w:jc w:val="right"/>
              <w:rPr>
                <w:sz w:val="20"/>
                <w:szCs w:val="20"/>
              </w:rPr>
            </w:pPr>
            <w:r>
              <w:rPr>
                <w:rFonts w:ascii="Arial" w:eastAsia="Arial" w:hAnsi="Arial" w:cs="Arial"/>
                <w:b/>
                <w:bCs/>
                <w:sz w:val="14"/>
                <w:szCs w:val="14"/>
              </w:rPr>
              <w:t>2020</w:t>
            </w:r>
          </w:p>
        </w:tc>
        <w:tc>
          <w:tcPr>
            <w:tcW w:w="40" w:type="dxa"/>
            <w:vAlign w:val="bottom"/>
          </w:tcPr>
          <w:p w14:paraId="4DEBA68B" w14:textId="77777777" w:rsidR="00D1587D" w:rsidRDefault="00D1587D">
            <w:pPr>
              <w:rPr>
                <w:sz w:val="16"/>
                <w:szCs w:val="16"/>
              </w:rPr>
            </w:pPr>
          </w:p>
        </w:tc>
      </w:tr>
      <w:tr w:rsidR="00D1587D" w14:paraId="11C4BC38" w14:textId="77777777">
        <w:trPr>
          <w:trHeight w:val="53"/>
        </w:trPr>
        <w:tc>
          <w:tcPr>
            <w:tcW w:w="6180" w:type="dxa"/>
            <w:vAlign w:val="bottom"/>
          </w:tcPr>
          <w:p w14:paraId="78A6166F" w14:textId="77777777" w:rsidR="00D1587D" w:rsidRDefault="00D1587D">
            <w:pPr>
              <w:rPr>
                <w:sz w:val="4"/>
                <w:szCs w:val="4"/>
              </w:rPr>
            </w:pPr>
          </w:p>
        </w:tc>
        <w:tc>
          <w:tcPr>
            <w:tcW w:w="40" w:type="dxa"/>
            <w:tcBorders>
              <w:bottom w:val="single" w:sz="8" w:space="0" w:color="auto"/>
            </w:tcBorders>
            <w:vAlign w:val="bottom"/>
          </w:tcPr>
          <w:p w14:paraId="16B7AB8B" w14:textId="77777777" w:rsidR="00D1587D" w:rsidRDefault="00D1587D">
            <w:pPr>
              <w:rPr>
                <w:sz w:val="4"/>
                <w:szCs w:val="4"/>
              </w:rPr>
            </w:pPr>
          </w:p>
        </w:tc>
        <w:tc>
          <w:tcPr>
            <w:tcW w:w="340" w:type="dxa"/>
            <w:tcBorders>
              <w:bottom w:val="single" w:sz="8" w:space="0" w:color="auto"/>
            </w:tcBorders>
            <w:vAlign w:val="bottom"/>
          </w:tcPr>
          <w:p w14:paraId="1F3CB9DB" w14:textId="77777777" w:rsidR="00D1587D" w:rsidRDefault="00D1587D">
            <w:pPr>
              <w:rPr>
                <w:sz w:val="4"/>
                <w:szCs w:val="4"/>
              </w:rPr>
            </w:pPr>
          </w:p>
        </w:tc>
        <w:tc>
          <w:tcPr>
            <w:tcW w:w="20" w:type="dxa"/>
            <w:tcBorders>
              <w:bottom w:val="single" w:sz="8" w:space="0" w:color="auto"/>
            </w:tcBorders>
            <w:vAlign w:val="bottom"/>
          </w:tcPr>
          <w:p w14:paraId="77B2CF89" w14:textId="77777777" w:rsidR="00D1587D" w:rsidRDefault="00D1587D">
            <w:pPr>
              <w:rPr>
                <w:sz w:val="4"/>
                <w:szCs w:val="4"/>
              </w:rPr>
            </w:pPr>
          </w:p>
        </w:tc>
        <w:tc>
          <w:tcPr>
            <w:tcW w:w="180" w:type="dxa"/>
            <w:tcBorders>
              <w:bottom w:val="single" w:sz="8" w:space="0" w:color="auto"/>
            </w:tcBorders>
            <w:vAlign w:val="bottom"/>
          </w:tcPr>
          <w:p w14:paraId="21D0B7D4" w14:textId="77777777" w:rsidR="00D1587D" w:rsidRDefault="00D1587D">
            <w:pPr>
              <w:rPr>
                <w:sz w:val="4"/>
                <w:szCs w:val="4"/>
              </w:rPr>
            </w:pPr>
          </w:p>
        </w:tc>
        <w:tc>
          <w:tcPr>
            <w:tcW w:w="360" w:type="dxa"/>
            <w:tcBorders>
              <w:bottom w:val="single" w:sz="8" w:space="0" w:color="auto"/>
            </w:tcBorders>
            <w:vAlign w:val="bottom"/>
          </w:tcPr>
          <w:p w14:paraId="5F28F9A2" w14:textId="77777777" w:rsidR="00D1587D" w:rsidRDefault="00D1587D">
            <w:pPr>
              <w:rPr>
                <w:sz w:val="4"/>
                <w:szCs w:val="4"/>
              </w:rPr>
            </w:pPr>
          </w:p>
        </w:tc>
        <w:tc>
          <w:tcPr>
            <w:tcW w:w="360" w:type="dxa"/>
            <w:tcBorders>
              <w:bottom w:val="single" w:sz="8" w:space="0" w:color="auto"/>
            </w:tcBorders>
            <w:vAlign w:val="bottom"/>
          </w:tcPr>
          <w:p w14:paraId="41FDAFD7" w14:textId="77777777" w:rsidR="00D1587D" w:rsidRDefault="00D1587D">
            <w:pPr>
              <w:rPr>
                <w:sz w:val="4"/>
                <w:szCs w:val="4"/>
              </w:rPr>
            </w:pPr>
          </w:p>
        </w:tc>
        <w:tc>
          <w:tcPr>
            <w:tcW w:w="340" w:type="dxa"/>
            <w:tcBorders>
              <w:bottom w:val="single" w:sz="8" w:space="0" w:color="auto"/>
            </w:tcBorders>
            <w:vAlign w:val="bottom"/>
          </w:tcPr>
          <w:p w14:paraId="3C4FABD7" w14:textId="77777777" w:rsidR="00D1587D" w:rsidRDefault="00D1587D">
            <w:pPr>
              <w:rPr>
                <w:sz w:val="4"/>
                <w:szCs w:val="4"/>
              </w:rPr>
            </w:pPr>
          </w:p>
        </w:tc>
        <w:tc>
          <w:tcPr>
            <w:tcW w:w="200" w:type="dxa"/>
            <w:tcBorders>
              <w:bottom w:val="single" w:sz="8" w:space="0" w:color="auto"/>
            </w:tcBorders>
            <w:vAlign w:val="bottom"/>
          </w:tcPr>
          <w:p w14:paraId="57801DB0" w14:textId="77777777" w:rsidR="00D1587D" w:rsidRDefault="00D1587D">
            <w:pPr>
              <w:rPr>
                <w:sz w:val="4"/>
                <w:szCs w:val="4"/>
              </w:rPr>
            </w:pPr>
          </w:p>
        </w:tc>
        <w:tc>
          <w:tcPr>
            <w:tcW w:w="360" w:type="dxa"/>
            <w:tcBorders>
              <w:bottom w:val="single" w:sz="8" w:space="0" w:color="auto"/>
            </w:tcBorders>
            <w:vAlign w:val="bottom"/>
          </w:tcPr>
          <w:p w14:paraId="68FFC6D2" w14:textId="77777777" w:rsidR="00D1587D" w:rsidRDefault="00D1587D">
            <w:pPr>
              <w:rPr>
                <w:sz w:val="4"/>
                <w:szCs w:val="4"/>
              </w:rPr>
            </w:pPr>
          </w:p>
        </w:tc>
        <w:tc>
          <w:tcPr>
            <w:tcW w:w="40" w:type="dxa"/>
            <w:tcBorders>
              <w:bottom w:val="single" w:sz="8" w:space="0" w:color="auto"/>
            </w:tcBorders>
            <w:vAlign w:val="bottom"/>
          </w:tcPr>
          <w:p w14:paraId="377B56FB" w14:textId="77777777" w:rsidR="00D1587D" w:rsidRDefault="00D1587D">
            <w:pPr>
              <w:rPr>
                <w:sz w:val="4"/>
                <w:szCs w:val="4"/>
              </w:rPr>
            </w:pPr>
          </w:p>
        </w:tc>
      </w:tr>
      <w:tr w:rsidR="00D1587D" w14:paraId="67859BD3" w14:textId="77777777">
        <w:trPr>
          <w:trHeight w:val="225"/>
        </w:trPr>
        <w:tc>
          <w:tcPr>
            <w:tcW w:w="6180" w:type="dxa"/>
            <w:vAlign w:val="bottom"/>
          </w:tcPr>
          <w:p w14:paraId="43756C70" w14:textId="77777777" w:rsidR="00D1587D" w:rsidRDefault="00D1587D">
            <w:pPr>
              <w:rPr>
                <w:sz w:val="19"/>
                <w:szCs w:val="19"/>
              </w:rPr>
            </w:pPr>
          </w:p>
        </w:tc>
        <w:tc>
          <w:tcPr>
            <w:tcW w:w="40" w:type="dxa"/>
            <w:vAlign w:val="bottom"/>
          </w:tcPr>
          <w:p w14:paraId="0ACDD218" w14:textId="77777777" w:rsidR="00D1587D" w:rsidRDefault="00D1587D">
            <w:pPr>
              <w:rPr>
                <w:sz w:val="19"/>
                <w:szCs w:val="19"/>
              </w:rPr>
            </w:pPr>
          </w:p>
        </w:tc>
        <w:tc>
          <w:tcPr>
            <w:tcW w:w="340" w:type="dxa"/>
            <w:vAlign w:val="bottom"/>
          </w:tcPr>
          <w:p w14:paraId="15018830" w14:textId="77777777" w:rsidR="00D1587D" w:rsidRDefault="00D1587D">
            <w:pPr>
              <w:rPr>
                <w:sz w:val="19"/>
                <w:szCs w:val="19"/>
              </w:rPr>
            </w:pPr>
          </w:p>
        </w:tc>
        <w:tc>
          <w:tcPr>
            <w:tcW w:w="20" w:type="dxa"/>
            <w:vAlign w:val="bottom"/>
          </w:tcPr>
          <w:p w14:paraId="76D24604" w14:textId="77777777" w:rsidR="00D1587D" w:rsidRDefault="00D1587D">
            <w:pPr>
              <w:rPr>
                <w:sz w:val="19"/>
                <w:szCs w:val="19"/>
              </w:rPr>
            </w:pPr>
          </w:p>
        </w:tc>
        <w:tc>
          <w:tcPr>
            <w:tcW w:w="180" w:type="dxa"/>
            <w:vAlign w:val="bottom"/>
          </w:tcPr>
          <w:p w14:paraId="7BD50A93" w14:textId="77777777" w:rsidR="00D1587D" w:rsidRDefault="00D1587D">
            <w:pPr>
              <w:rPr>
                <w:sz w:val="19"/>
                <w:szCs w:val="19"/>
              </w:rPr>
            </w:pPr>
          </w:p>
        </w:tc>
        <w:tc>
          <w:tcPr>
            <w:tcW w:w="1060" w:type="dxa"/>
            <w:gridSpan w:val="3"/>
            <w:vAlign w:val="bottom"/>
          </w:tcPr>
          <w:p w14:paraId="3703A4CF" w14:textId="77777777" w:rsidR="00D1587D" w:rsidRDefault="00410D07">
            <w:pPr>
              <w:jc w:val="center"/>
              <w:rPr>
                <w:sz w:val="20"/>
                <w:szCs w:val="20"/>
              </w:rPr>
            </w:pPr>
            <w:r>
              <w:rPr>
                <w:rFonts w:ascii="Arial" w:eastAsia="Arial" w:hAnsi="Arial" w:cs="Arial"/>
                <w:b/>
                <w:bCs/>
                <w:w w:val="94"/>
                <w:sz w:val="14"/>
                <w:szCs w:val="14"/>
              </w:rPr>
              <w:t>(in millions)</w:t>
            </w:r>
          </w:p>
        </w:tc>
        <w:tc>
          <w:tcPr>
            <w:tcW w:w="200" w:type="dxa"/>
            <w:vAlign w:val="bottom"/>
          </w:tcPr>
          <w:p w14:paraId="21D67956" w14:textId="77777777" w:rsidR="00D1587D" w:rsidRDefault="00D1587D">
            <w:pPr>
              <w:rPr>
                <w:sz w:val="19"/>
                <w:szCs w:val="19"/>
              </w:rPr>
            </w:pPr>
          </w:p>
        </w:tc>
        <w:tc>
          <w:tcPr>
            <w:tcW w:w="360" w:type="dxa"/>
            <w:vAlign w:val="bottom"/>
          </w:tcPr>
          <w:p w14:paraId="3BF98D71" w14:textId="77777777" w:rsidR="00D1587D" w:rsidRDefault="00D1587D">
            <w:pPr>
              <w:rPr>
                <w:sz w:val="19"/>
                <w:szCs w:val="19"/>
              </w:rPr>
            </w:pPr>
          </w:p>
        </w:tc>
        <w:tc>
          <w:tcPr>
            <w:tcW w:w="40" w:type="dxa"/>
            <w:vAlign w:val="bottom"/>
          </w:tcPr>
          <w:p w14:paraId="6FB4008A" w14:textId="77777777" w:rsidR="00D1587D" w:rsidRDefault="00D1587D">
            <w:pPr>
              <w:rPr>
                <w:sz w:val="19"/>
                <w:szCs w:val="19"/>
              </w:rPr>
            </w:pPr>
          </w:p>
        </w:tc>
      </w:tr>
      <w:tr w:rsidR="00D1587D" w14:paraId="7A81104F" w14:textId="77777777">
        <w:trPr>
          <w:trHeight w:val="52"/>
        </w:trPr>
        <w:tc>
          <w:tcPr>
            <w:tcW w:w="6180" w:type="dxa"/>
            <w:vAlign w:val="bottom"/>
          </w:tcPr>
          <w:p w14:paraId="0BB7EADC" w14:textId="77777777" w:rsidR="00D1587D" w:rsidRDefault="00D1587D">
            <w:pPr>
              <w:rPr>
                <w:sz w:val="4"/>
                <w:szCs w:val="4"/>
              </w:rPr>
            </w:pPr>
          </w:p>
        </w:tc>
        <w:tc>
          <w:tcPr>
            <w:tcW w:w="40" w:type="dxa"/>
            <w:vAlign w:val="bottom"/>
          </w:tcPr>
          <w:p w14:paraId="29B9C168" w14:textId="77777777" w:rsidR="00D1587D" w:rsidRDefault="00D1587D">
            <w:pPr>
              <w:rPr>
                <w:sz w:val="4"/>
                <w:szCs w:val="4"/>
              </w:rPr>
            </w:pPr>
          </w:p>
        </w:tc>
        <w:tc>
          <w:tcPr>
            <w:tcW w:w="340" w:type="dxa"/>
            <w:vAlign w:val="bottom"/>
          </w:tcPr>
          <w:p w14:paraId="563D7132" w14:textId="77777777" w:rsidR="00D1587D" w:rsidRDefault="00D1587D">
            <w:pPr>
              <w:rPr>
                <w:sz w:val="4"/>
                <w:szCs w:val="4"/>
              </w:rPr>
            </w:pPr>
          </w:p>
        </w:tc>
        <w:tc>
          <w:tcPr>
            <w:tcW w:w="20" w:type="dxa"/>
            <w:vAlign w:val="bottom"/>
          </w:tcPr>
          <w:p w14:paraId="0E2C70C5" w14:textId="77777777" w:rsidR="00D1587D" w:rsidRDefault="00D1587D">
            <w:pPr>
              <w:rPr>
                <w:sz w:val="4"/>
                <w:szCs w:val="4"/>
              </w:rPr>
            </w:pPr>
          </w:p>
        </w:tc>
        <w:tc>
          <w:tcPr>
            <w:tcW w:w="180" w:type="dxa"/>
            <w:vAlign w:val="bottom"/>
          </w:tcPr>
          <w:p w14:paraId="59EEF4BB" w14:textId="77777777" w:rsidR="00D1587D" w:rsidRDefault="00D1587D">
            <w:pPr>
              <w:rPr>
                <w:sz w:val="4"/>
                <w:szCs w:val="4"/>
              </w:rPr>
            </w:pPr>
          </w:p>
        </w:tc>
        <w:tc>
          <w:tcPr>
            <w:tcW w:w="360" w:type="dxa"/>
            <w:vAlign w:val="bottom"/>
          </w:tcPr>
          <w:p w14:paraId="3F2F887E" w14:textId="77777777" w:rsidR="00D1587D" w:rsidRDefault="00D1587D">
            <w:pPr>
              <w:rPr>
                <w:sz w:val="4"/>
                <w:szCs w:val="4"/>
              </w:rPr>
            </w:pPr>
          </w:p>
        </w:tc>
        <w:tc>
          <w:tcPr>
            <w:tcW w:w="360" w:type="dxa"/>
            <w:vAlign w:val="bottom"/>
          </w:tcPr>
          <w:p w14:paraId="1D942C75" w14:textId="77777777" w:rsidR="00D1587D" w:rsidRDefault="00D1587D">
            <w:pPr>
              <w:rPr>
                <w:sz w:val="4"/>
                <w:szCs w:val="4"/>
              </w:rPr>
            </w:pPr>
          </w:p>
        </w:tc>
        <w:tc>
          <w:tcPr>
            <w:tcW w:w="340" w:type="dxa"/>
            <w:vAlign w:val="bottom"/>
          </w:tcPr>
          <w:p w14:paraId="587A4072" w14:textId="77777777" w:rsidR="00D1587D" w:rsidRDefault="00D1587D">
            <w:pPr>
              <w:rPr>
                <w:sz w:val="4"/>
                <w:szCs w:val="4"/>
              </w:rPr>
            </w:pPr>
          </w:p>
        </w:tc>
        <w:tc>
          <w:tcPr>
            <w:tcW w:w="200" w:type="dxa"/>
            <w:vAlign w:val="bottom"/>
          </w:tcPr>
          <w:p w14:paraId="65073B3D" w14:textId="77777777" w:rsidR="00D1587D" w:rsidRDefault="00D1587D">
            <w:pPr>
              <w:rPr>
                <w:sz w:val="4"/>
                <w:szCs w:val="4"/>
              </w:rPr>
            </w:pPr>
          </w:p>
        </w:tc>
        <w:tc>
          <w:tcPr>
            <w:tcW w:w="360" w:type="dxa"/>
            <w:vAlign w:val="bottom"/>
          </w:tcPr>
          <w:p w14:paraId="61788D97" w14:textId="77777777" w:rsidR="00D1587D" w:rsidRDefault="00D1587D">
            <w:pPr>
              <w:rPr>
                <w:sz w:val="4"/>
                <w:szCs w:val="4"/>
              </w:rPr>
            </w:pPr>
          </w:p>
        </w:tc>
        <w:tc>
          <w:tcPr>
            <w:tcW w:w="40" w:type="dxa"/>
            <w:vAlign w:val="bottom"/>
          </w:tcPr>
          <w:p w14:paraId="68DCD26A" w14:textId="77777777" w:rsidR="00D1587D" w:rsidRDefault="00D1587D">
            <w:pPr>
              <w:rPr>
                <w:sz w:val="4"/>
                <w:szCs w:val="4"/>
              </w:rPr>
            </w:pPr>
          </w:p>
        </w:tc>
      </w:tr>
      <w:tr w:rsidR="00D1587D" w14:paraId="6C864362" w14:textId="77777777">
        <w:trPr>
          <w:trHeight w:val="318"/>
        </w:trPr>
        <w:tc>
          <w:tcPr>
            <w:tcW w:w="6180" w:type="dxa"/>
            <w:tcBorders>
              <w:bottom w:val="single" w:sz="8" w:space="0" w:color="CCEEFF"/>
            </w:tcBorders>
            <w:shd w:val="clear" w:color="auto" w:fill="CCEEFF"/>
            <w:vAlign w:val="bottom"/>
          </w:tcPr>
          <w:p w14:paraId="445BA4CE" w14:textId="77777777" w:rsidR="00D1587D" w:rsidRDefault="00410D07">
            <w:pPr>
              <w:rPr>
                <w:sz w:val="20"/>
                <w:szCs w:val="20"/>
              </w:rPr>
            </w:pPr>
            <w:r>
              <w:rPr>
                <w:rFonts w:ascii="Arial" w:eastAsia="Arial" w:hAnsi="Arial" w:cs="Arial"/>
                <w:sz w:val="18"/>
                <w:szCs w:val="18"/>
              </w:rPr>
              <w:t>Deferred Revenue on Gift Cards</w:t>
            </w:r>
          </w:p>
        </w:tc>
        <w:tc>
          <w:tcPr>
            <w:tcW w:w="400" w:type="dxa"/>
            <w:gridSpan w:val="3"/>
            <w:tcBorders>
              <w:bottom w:val="single" w:sz="8" w:space="0" w:color="CCEEFF"/>
            </w:tcBorders>
            <w:shd w:val="clear" w:color="auto" w:fill="CCEEFF"/>
            <w:vAlign w:val="bottom"/>
          </w:tcPr>
          <w:p w14:paraId="0ACE414A" w14:textId="77777777" w:rsidR="00D1587D" w:rsidRDefault="00410D07">
            <w:pPr>
              <w:jc w:val="right"/>
              <w:rPr>
                <w:sz w:val="20"/>
                <w:szCs w:val="20"/>
              </w:rPr>
            </w:pPr>
            <w:r>
              <w:rPr>
                <w:rFonts w:ascii="Arial" w:eastAsia="Arial" w:hAnsi="Arial" w:cs="Arial"/>
                <w:w w:val="94"/>
                <w:sz w:val="18"/>
                <w:szCs w:val="18"/>
              </w:rPr>
              <w:t>$163</w:t>
            </w:r>
          </w:p>
        </w:tc>
        <w:tc>
          <w:tcPr>
            <w:tcW w:w="180" w:type="dxa"/>
            <w:tcBorders>
              <w:bottom w:val="single" w:sz="8" w:space="0" w:color="CCEEFF"/>
            </w:tcBorders>
            <w:shd w:val="clear" w:color="auto" w:fill="CCEEFF"/>
            <w:vAlign w:val="bottom"/>
          </w:tcPr>
          <w:p w14:paraId="25AB6E2E" w14:textId="77777777" w:rsidR="00D1587D" w:rsidRDefault="00D1587D">
            <w:pPr>
              <w:rPr>
                <w:sz w:val="24"/>
                <w:szCs w:val="24"/>
              </w:rPr>
            </w:pPr>
          </w:p>
        </w:tc>
        <w:tc>
          <w:tcPr>
            <w:tcW w:w="720" w:type="dxa"/>
            <w:gridSpan w:val="2"/>
            <w:tcBorders>
              <w:bottom w:val="single" w:sz="8" w:space="0" w:color="CCEEFF"/>
            </w:tcBorders>
            <w:shd w:val="clear" w:color="auto" w:fill="CCEEFF"/>
            <w:vAlign w:val="bottom"/>
          </w:tcPr>
          <w:p w14:paraId="3CAE9A53" w14:textId="77777777" w:rsidR="00D1587D" w:rsidRDefault="00410D07">
            <w:pPr>
              <w:jc w:val="right"/>
              <w:rPr>
                <w:sz w:val="20"/>
                <w:szCs w:val="20"/>
              </w:rPr>
            </w:pPr>
            <w:r>
              <w:rPr>
                <w:rFonts w:ascii="Arial" w:eastAsia="Arial" w:hAnsi="Arial" w:cs="Arial"/>
                <w:sz w:val="18"/>
                <w:szCs w:val="18"/>
              </w:rPr>
              <w:t>$178</w:t>
            </w:r>
          </w:p>
        </w:tc>
        <w:tc>
          <w:tcPr>
            <w:tcW w:w="340" w:type="dxa"/>
            <w:tcBorders>
              <w:bottom w:val="single" w:sz="8" w:space="0" w:color="CCEEFF"/>
            </w:tcBorders>
            <w:shd w:val="clear" w:color="auto" w:fill="CCEEFF"/>
            <w:vAlign w:val="bottom"/>
          </w:tcPr>
          <w:p w14:paraId="11634429" w14:textId="77777777" w:rsidR="00D1587D" w:rsidRDefault="00D1587D">
            <w:pPr>
              <w:rPr>
                <w:sz w:val="24"/>
                <w:szCs w:val="24"/>
              </w:rPr>
            </w:pPr>
          </w:p>
        </w:tc>
        <w:tc>
          <w:tcPr>
            <w:tcW w:w="600" w:type="dxa"/>
            <w:gridSpan w:val="3"/>
            <w:tcBorders>
              <w:bottom w:val="single" w:sz="8" w:space="0" w:color="CCEEFF"/>
            </w:tcBorders>
            <w:shd w:val="clear" w:color="auto" w:fill="CCEEFF"/>
            <w:vAlign w:val="bottom"/>
          </w:tcPr>
          <w:p w14:paraId="283AA2DA" w14:textId="77777777" w:rsidR="00D1587D" w:rsidRDefault="00410D07">
            <w:pPr>
              <w:ind w:right="40"/>
              <w:jc w:val="right"/>
              <w:rPr>
                <w:sz w:val="20"/>
                <w:szCs w:val="20"/>
              </w:rPr>
            </w:pPr>
            <w:r>
              <w:rPr>
                <w:rFonts w:ascii="Arial" w:eastAsia="Arial" w:hAnsi="Arial" w:cs="Arial"/>
                <w:sz w:val="18"/>
                <w:szCs w:val="18"/>
              </w:rPr>
              <w:t>$155</w:t>
            </w:r>
          </w:p>
        </w:tc>
      </w:tr>
      <w:tr w:rsidR="00D1587D" w14:paraId="5576A87D" w14:textId="77777777">
        <w:trPr>
          <w:trHeight w:val="270"/>
        </w:trPr>
        <w:tc>
          <w:tcPr>
            <w:tcW w:w="6180" w:type="dxa"/>
            <w:vAlign w:val="bottom"/>
          </w:tcPr>
          <w:p w14:paraId="75D3FDA9" w14:textId="77777777" w:rsidR="00D1587D" w:rsidRDefault="00410D07">
            <w:pPr>
              <w:rPr>
                <w:sz w:val="20"/>
                <w:szCs w:val="20"/>
              </w:rPr>
            </w:pPr>
            <w:r>
              <w:rPr>
                <w:rFonts w:ascii="Arial" w:eastAsia="Arial" w:hAnsi="Arial" w:cs="Arial"/>
                <w:sz w:val="18"/>
                <w:szCs w:val="18"/>
              </w:rPr>
              <w:t>Compensation, Payroll Taxes and Benefits</w:t>
            </w:r>
          </w:p>
        </w:tc>
        <w:tc>
          <w:tcPr>
            <w:tcW w:w="380" w:type="dxa"/>
            <w:gridSpan w:val="2"/>
            <w:vAlign w:val="bottom"/>
          </w:tcPr>
          <w:p w14:paraId="60B72E5C" w14:textId="77777777" w:rsidR="00D1587D" w:rsidRDefault="00410D07">
            <w:pPr>
              <w:jc w:val="right"/>
              <w:rPr>
                <w:sz w:val="20"/>
                <w:szCs w:val="20"/>
              </w:rPr>
            </w:pPr>
            <w:r>
              <w:rPr>
                <w:rFonts w:ascii="Arial" w:eastAsia="Arial" w:hAnsi="Arial" w:cs="Arial"/>
                <w:sz w:val="18"/>
                <w:szCs w:val="18"/>
              </w:rPr>
              <w:t>104</w:t>
            </w:r>
          </w:p>
        </w:tc>
        <w:tc>
          <w:tcPr>
            <w:tcW w:w="20" w:type="dxa"/>
            <w:vAlign w:val="bottom"/>
          </w:tcPr>
          <w:p w14:paraId="6E7A63E6" w14:textId="77777777" w:rsidR="00D1587D" w:rsidRDefault="00D1587D">
            <w:pPr>
              <w:rPr>
                <w:sz w:val="23"/>
                <w:szCs w:val="23"/>
              </w:rPr>
            </w:pPr>
          </w:p>
        </w:tc>
        <w:tc>
          <w:tcPr>
            <w:tcW w:w="180" w:type="dxa"/>
            <w:vAlign w:val="bottom"/>
          </w:tcPr>
          <w:p w14:paraId="68575EA5" w14:textId="77777777" w:rsidR="00D1587D" w:rsidRDefault="00D1587D">
            <w:pPr>
              <w:rPr>
                <w:sz w:val="23"/>
                <w:szCs w:val="23"/>
              </w:rPr>
            </w:pPr>
          </w:p>
        </w:tc>
        <w:tc>
          <w:tcPr>
            <w:tcW w:w="720" w:type="dxa"/>
            <w:gridSpan w:val="2"/>
            <w:vAlign w:val="bottom"/>
          </w:tcPr>
          <w:p w14:paraId="7AD6D5F3" w14:textId="77777777" w:rsidR="00D1587D" w:rsidRDefault="00410D07">
            <w:pPr>
              <w:jc w:val="right"/>
              <w:rPr>
                <w:sz w:val="20"/>
                <w:szCs w:val="20"/>
              </w:rPr>
            </w:pPr>
            <w:r>
              <w:rPr>
                <w:rFonts w:ascii="Arial" w:eastAsia="Arial" w:hAnsi="Arial" w:cs="Arial"/>
                <w:sz w:val="18"/>
                <w:szCs w:val="18"/>
              </w:rPr>
              <w:t>173</w:t>
            </w:r>
          </w:p>
        </w:tc>
        <w:tc>
          <w:tcPr>
            <w:tcW w:w="340" w:type="dxa"/>
            <w:vAlign w:val="bottom"/>
          </w:tcPr>
          <w:p w14:paraId="1EDACEB4" w14:textId="77777777" w:rsidR="00D1587D" w:rsidRDefault="00D1587D">
            <w:pPr>
              <w:rPr>
                <w:sz w:val="23"/>
                <w:szCs w:val="23"/>
              </w:rPr>
            </w:pPr>
          </w:p>
        </w:tc>
        <w:tc>
          <w:tcPr>
            <w:tcW w:w="600" w:type="dxa"/>
            <w:gridSpan w:val="3"/>
            <w:vAlign w:val="bottom"/>
          </w:tcPr>
          <w:p w14:paraId="4B3899F2" w14:textId="77777777" w:rsidR="00D1587D" w:rsidRDefault="00410D07">
            <w:pPr>
              <w:ind w:right="40"/>
              <w:jc w:val="right"/>
              <w:rPr>
                <w:sz w:val="20"/>
                <w:szCs w:val="20"/>
              </w:rPr>
            </w:pPr>
            <w:r>
              <w:rPr>
                <w:rFonts w:ascii="Arial" w:eastAsia="Arial" w:hAnsi="Arial" w:cs="Arial"/>
                <w:sz w:val="18"/>
                <w:szCs w:val="18"/>
              </w:rPr>
              <w:t>58</w:t>
            </w:r>
          </w:p>
        </w:tc>
      </w:tr>
      <w:tr w:rsidR="00D1587D" w14:paraId="07CC8BC4" w14:textId="77777777">
        <w:trPr>
          <w:trHeight w:val="54"/>
        </w:trPr>
        <w:tc>
          <w:tcPr>
            <w:tcW w:w="6180" w:type="dxa"/>
            <w:vAlign w:val="bottom"/>
          </w:tcPr>
          <w:p w14:paraId="442A9981" w14:textId="77777777" w:rsidR="00D1587D" w:rsidRDefault="00D1587D">
            <w:pPr>
              <w:rPr>
                <w:sz w:val="4"/>
                <w:szCs w:val="4"/>
              </w:rPr>
            </w:pPr>
          </w:p>
        </w:tc>
        <w:tc>
          <w:tcPr>
            <w:tcW w:w="40" w:type="dxa"/>
            <w:vAlign w:val="bottom"/>
          </w:tcPr>
          <w:p w14:paraId="314FB864" w14:textId="77777777" w:rsidR="00D1587D" w:rsidRDefault="00D1587D">
            <w:pPr>
              <w:rPr>
                <w:sz w:val="4"/>
                <w:szCs w:val="4"/>
              </w:rPr>
            </w:pPr>
          </w:p>
        </w:tc>
        <w:tc>
          <w:tcPr>
            <w:tcW w:w="340" w:type="dxa"/>
            <w:vAlign w:val="bottom"/>
          </w:tcPr>
          <w:p w14:paraId="5A619597" w14:textId="77777777" w:rsidR="00D1587D" w:rsidRDefault="00D1587D">
            <w:pPr>
              <w:rPr>
                <w:sz w:val="4"/>
                <w:szCs w:val="4"/>
              </w:rPr>
            </w:pPr>
          </w:p>
        </w:tc>
        <w:tc>
          <w:tcPr>
            <w:tcW w:w="20" w:type="dxa"/>
            <w:vAlign w:val="bottom"/>
          </w:tcPr>
          <w:p w14:paraId="6CB4A3B6" w14:textId="77777777" w:rsidR="00D1587D" w:rsidRDefault="00D1587D">
            <w:pPr>
              <w:rPr>
                <w:sz w:val="4"/>
                <w:szCs w:val="4"/>
              </w:rPr>
            </w:pPr>
          </w:p>
        </w:tc>
        <w:tc>
          <w:tcPr>
            <w:tcW w:w="180" w:type="dxa"/>
            <w:vAlign w:val="bottom"/>
          </w:tcPr>
          <w:p w14:paraId="68F95F7F" w14:textId="77777777" w:rsidR="00D1587D" w:rsidRDefault="00D1587D">
            <w:pPr>
              <w:rPr>
                <w:sz w:val="4"/>
                <w:szCs w:val="4"/>
              </w:rPr>
            </w:pPr>
          </w:p>
        </w:tc>
        <w:tc>
          <w:tcPr>
            <w:tcW w:w="360" w:type="dxa"/>
            <w:vAlign w:val="bottom"/>
          </w:tcPr>
          <w:p w14:paraId="41D17802" w14:textId="77777777" w:rsidR="00D1587D" w:rsidRDefault="00D1587D">
            <w:pPr>
              <w:rPr>
                <w:sz w:val="4"/>
                <w:szCs w:val="4"/>
              </w:rPr>
            </w:pPr>
          </w:p>
        </w:tc>
        <w:tc>
          <w:tcPr>
            <w:tcW w:w="360" w:type="dxa"/>
            <w:vAlign w:val="bottom"/>
          </w:tcPr>
          <w:p w14:paraId="1BF5BBA5" w14:textId="77777777" w:rsidR="00D1587D" w:rsidRDefault="00D1587D">
            <w:pPr>
              <w:rPr>
                <w:sz w:val="4"/>
                <w:szCs w:val="4"/>
              </w:rPr>
            </w:pPr>
          </w:p>
        </w:tc>
        <w:tc>
          <w:tcPr>
            <w:tcW w:w="340" w:type="dxa"/>
            <w:vAlign w:val="bottom"/>
          </w:tcPr>
          <w:p w14:paraId="3D2C7764" w14:textId="77777777" w:rsidR="00D1587D" w:rsidRDefault="00D1587D">
            <w:pPr>
              <w:rPr>
                <w:sz w:val="4"/>
                <w:szCs w:val="4"/>
              </w:rPr>
            </w:pPr>
          </w:p>
        </w:tc>
        <w:tc>
          <w:tcPr>
            <w:tcW w:w="200" w:type="dxa"/>
            <w:vAlign w:val="bottom"/>
          </w:tcPr>
          <w:p w14:paraId="6DED17FC" w14:textId="77777777" w:rsidR="00D1587D" w:rsidRDefault="00D1587D">
            <w:pPr>
              <w:rPr>
                <w:sz w:val="4"/>
                <w:szCs w:val="4"/>
              </w:rPr>
            </w:pPr>
          </w:p>
        </w:tc>
        <w:tc>
          <w:tcPr>
            <w:tcW w:w="360" w:type="dxa"/>
            <w:vAlign w:val="bottom"/>
          </w:tcPr>
          <w:p w14:paraId="3BBE0486" w14:textId="77777777" w:rsidR="00D1587D" w:rsidRDefault="00D1587D">
            <w:pPr>
              <w:rPr>
                <w:sz w:val="4"/>
                <w:szCs w:val="4"/>
              </w:rPr>
            </w:pPr>
          </w:p>
        </w:tc>
        <w:tc>
          <w:tcPr>
            <w:tcW w:w="40" w:type="dxa"/>
            <w:vAlign w:val="bottom"/>
          </w:tcPr>
          <w:p w14:paraId="03C06AC4" w14:textId="77777777" w:rsidR="00D1587D" w:rsidRDefault="00D1587D">
            <w:pPr>
              <w:rPr>
                <w:sz w:val="4"/>
                <w:szCs w:val="4"/>
              </w:rPr>
            </w:pPr>
          </w:p>
        </w:tc>
      </w:tr>
      <w:tr w:rsidR="00D1587D" w14:paraId="50BCADCD" w14:textId="77777777">
        <w:trPr>
          <w:trHeight w:val="304"/>
        </w:trPr>
        <w:tc>
          <w:tcPr>
            <w:tcW w:w="6180" w:type="dxa"/>
            <w:tcBorders>
              <w:bottom w:val="single" w:sz="8" w:space="0" w:color="CCEEFF"/>
            </w:tcBorders>
            <w:shd w:val="clear" w:color="auto" w:fill="CCEEFF"/>
            <w:vAlign w:val="bottom"/>
          </w:tcPr>
          <w:p w14:paraId="4D1A9846" w14:textId="77777777" w:rsidR="00D1587D" w:rsidRDefault="00410D07">
            <w:pPr>
              <w:rPr>
                <w:sz w:val="20"/>
                <w:szCs w:val="20"/>
              </w:rPr>
            </w:pPr>
            <w:r>
              <w:rPr>
                <w:rFonts w:ascii="Arial" w:eastAsia="Arial" w:hAnsi="Arial" w:cs="Arial"/>
                <w:sz w:val="18"/>
                <w:szCs w:val="18"/>
              </w:rPr>
              <w:t>Supplemental Retirement Plan</w:t>
            </w:r>
          </w:p>
        </w:tc>
        <w:tc>
          <w:tcPr>
            <w:tcW w:w="400" w:type="dxa"/>
            <w:gridSpan w:val="3"/>
            <w:tcBorders>
              <w:bottom w:val="single" w:sz="8" w:space="0" w:color="CCEEFF"/>
            </w:tcBorders>
            <w:shd w:val="clear" w:color="auto" w:fill="CCEEFF"/>
            <w:vAlign w:val="bottom"/>
          </w:tcPr>
          <w:p w14:paraId="10508681" w14:textId="77777777" w:rsidR="00D1587D" w:rsidRDefault="00410D07">
            <w:pPr>
              <w:ind w:right="20"/>
              <w:jc w:val="right"/>
              <w:rPr>
                <w:sz w:val="20"/>
                <w:szCs w:val="20"/>
              </w:rPr>
            </w:pPr>
            <w:r>
              <w:rPr>
                <w:rFonts w:ascii="Arial" w:eastAsia="Arial" w:hAnsi="Arial" w:cs="Arial"/>
                <w:sz w:val="18"/>
                <w:szCs w:val="18"/>
              </w:rPr>
              <w:t>57</w:t>
            </w:r>
          </w:p>
        </w:tc>
        <w:tc>
          <w:tcPr>
            <w:tcW w:w="180" w:type="dxa"/>
            <w:tcBorders>
              <w:bottom w:val="single" w:sz="8" w:space="0" w:color="CCEEFF"/>
            </w:tcBorders>
            <w:shd w:val="clear" w:color="auto" w:fill="CCEEFF"/>
            <w:vAlign w:val="bottom"/>
          </w:tcPr>
          <w:p w14:paraId="7C44CADE" w14:textId="77777777" w:rsidR="00D1587D" w:rsidRDefault="00D1587D">
            <w:pPr>
              <w:rPr>
                <w:sz w:val="24"/>
                <w:szCs w:val="24"/>
              </w:rPr>
            </w:pPr>
          </w:p>
        </w:tc>
        <w:tc>
          <w:tcPr>
            <w:tcW w:w="720" w:type="dxa"/>
            <w:gridSpan w:val="2"/>
            <w:tcBorders>
              <w:bottom w:val="single" w:sz="8" w:space="0" w:color="CCEEFF"/>
            </w:tcBorders>
            <w:shd w:val="clear" w:color="auto" w:fill="CCEEFF"/>
            <w:vAlign w:val="bottom"/>
          </w:tcPr>
          <w:p w14:paraId="762795D7" w14:textId="77777777" w:rsidR="00D1587D" w:rsidRDefault="00410D07">
            <w:pPr>
              <w:jc w:val="right"/>
              <w:rPr>
                <w:sz w:val="20"/>
                <w:szCs w:val="20"/>
              </w:rPr>
            </w:pPr>
            <w:r>
              <w:rPr>
                <w:rFonts w:ascii="Arial" w:eastAsia="Arial" w:hAnsi="Arial" w:cs="Arial"/>
                <w:sz w:val="18"/>
                <w:szCs w:val="18"/>
              </w:rPr>
              <w:t>66</w:t>
            </w:r>
          </w:p>
        </w:tc>
        <w:tc>
          <w:tcPr>
            <w:tcW w:w="340" w:type="dxa"/>
            <w:tcBorders>
              <w:bottom w:val="single" w:sz="8" w:space="0" w:color="CCEEFF"/>
            </w:tcBorders>
            <w:shd w:val="clear" w:color="auto" w:fill="CCEEFF"/>
            <w:vAlign w:val="bottom"/>
          </w:tcPr>
          <w:p w14:paraId="67AC4839" w14:textId="77777777" w:rsidR="00D1587D" w:rsidRDefault="00D1587D">
            <w:pPr>
              <w:rPr>
                <w:sz w:val="24"/>
                <w:szCs w:val="24"/>
              </w:rPr>
            </w:pPr>
          </w:p>
        </w:tc>
        <w:tc>
          <w:tcPr>
            <w:tcW w:w="200" w:type="dxa"/>
            <w:tcBorders>
              <w:bottom w:val="single" w:sz="8" w:space="0" w:color="CCEEFF"/>
            </w:tcBorders>
            <w:shd w:val="clear" w:color="auto" w:fill="CCEEFF"/>
            <w:vAlign w:val="bottom"/>
          </w:tcPr>
          <w:p w14:paraId="575B9AEE" w14:textId="77777777" w:rsidR="00D1587D" w:rsidRDefault="00D1587D">
            <w:pPr>
              <w:rPr>
                <w:sz w:val="24"/>
                <w:szCs w:val="24"/>
              </w:rPr>
            </w:pPr>
          </w:p>
        </w:tc>
        <w:tc>
          <w:tcPr>
            <w:tcW w:w="400" w:type="dxa"/>
            <w:gridSpan w:val="2"/>
            <w:tcBorders>
              <w:bottom w:val="single" w:sz="8" w:space="0" w:color="CCEEFF"/>
            </w:tcBorders>
            <w:shd w:val="clear" w:color="auto" w:fill="CCEEFF"/>
            <w:vAlign w:val="bottom"/>
          </w:tcPr>
          <w:p w14:paraId="70538FB3" w14:textId="77777777" w:rsidR="00D1587D" w:rsidRDefault="00410D07">
            <w:pPr>
              <w:ind w:right="40"/>
              <w:jc w:val="right"/>
              <w:rPr>
                <w:sz w:val="20"/>
                <w:szCs w:val="20"/>
              </w:rPr>
            </w:pPr>
            <w:r>
              <w:rPr>
                <w:rFonts w:ascii="Arial" w:eastAsia="Arial" w:hAnsi="Arial" w:cs="Arial"/>
                <w:sz w:val="18"/>
                <w:szCs w:val="18"/>
              </w:rPr>
              <w:t>—</w:t>
            </w:r>
          </w:p>
        </w:tc>
      </w:tr>
      <w:tr w:rsidR="00D1587D" w14:paraId="303A1057" w14:textId="77777777">
        <w:trPr>
          <w:trHeight w:val="270"/>
        </w:trPr>
        <w:tc>
          <w:tcPr>
            <w:tcW w:w="6180" w:type="dxa"/>
            <w:vAlign w:val="bottom"/>
          </w:tcPr>
          <w:p w14:paraId="71648157" w14:textId="77777777" w:rsidR="00D1587D" w:rsidRDefault="00410D07">
            <w:pPr>
              <w:rPr>
                <w:sz w:val="20"/>
                <w:szCs w:val="20"/>
              </w:rPr>
            </w:pPr>
            <w:r>
              <w:rPr>
                <w:rFonts w:ascii="Arial" w:eastAsia="Arial" w:hAnsi="Arial" w:cs="Arial"/>
                <w:sz w:val="18"/>
                <w:szCs w:val="18"/>
              </w:rPr>
              <w:t>Taxes, Other than Income</w:t>
            </w:r>
          </w:p>
        </w:tc>
        <w:tc>
          <w:tcPr>
            <w:tcW w:w="400" w:type="dxa"/>
            <w:gridSpan w:val="3"/>
            <w:vAlign w:val="bottom"/>
          </w:tcPr>
          <w:p w14:paraId="37C2C7B7" w14:textId="77777777" w:rsidR="00D1587D" w:rsidRDefault="00410D07">
            <w:pPr>
              <w:ind w:right="20"/>
              <w:jc w:val="right"/>
              <w:rPr>
                <w:sz w:val="20"/>
                <w:szCs w:val="20"/>
              </w:rPr>
            </w:pPr>
            <w:r>
              <w:rPr>
                <w:rFonts w:ascii="Arial" w:eastAsia="Arial" w:hAnsi="Arial" w:cs="Arial"/>
                <w:sz w:val="18"/>
                <w:szCs w:val="18"/>
              </w:rPr>
              <w:t>45</w:t>
            </w:r>
          </w:p>
        </w:tc>
        <w:tc>
          <w:tcPr>
            <w:tcW w:w="180" w:type="dxa"/>
            <w:vAlign w:val="bottom"/>
          </w:tcPr>
          <w:p w14:paraId="46747A8B" w14:textId="77777777" w:rsidR="00D1587D" w:rsidRDefault="00D1587D">
            <w:pPr>
              <w:rPr>
                <w:sz w:val="23"/>
                <w:szCs w:val="23"/>
              </w:rPr>
            </w:pPr>
          </w:p>
        </w:tc>
        <w:tc>
          <w:tcPr>
            <w:tcW w:w="720" w:type="dxa"/>
            <w:gridSpan w:val="2"/>
            <w:vAlign w:val="bottom"/>
          </w:tcPr>
          <w:p w14:paraId="7D8DEFC6" w14:textId="77777777" w:rsidR="00D1587D" w:rsidRDefault="00410D07">
            <w:pPr>
              <w:jc w:val="right"/>
              <w:rPr>
                <w:sz w:val="20"/>
                <w:szCs w:val="20"/>
              </w:rPr>
            </w:pPr>
            <w:r>
              <w:rPr>
                <w:rFonts w:ascii="Arial" w:eastAsia="Arial" w:hAnsi="Arial" w:cs="Arial"/>
                <w:sz w:val="18"/>
                <w:szCs w:val="18"/>
              </w:rPr>
              <w:t>45</w:t>
            </w:r>
          </w:p>
        </w:tc>
        <w:tc>
          <w:tcPr>
            <w:tcW w:w="340" w:type="dxa"/>
            <w:vAlign w:val="bottom"/>
          </w:tcPr>
          <w:p w14:paraId="4934717F" w14:textId="77777777" w:rsidR="00D1587D" w:rsidRDefault="00D1587D">
            <w:pPr>
              <w:rPr>
                <w:sz w:val="23"/>
                <w:szCs w:val="23"/>
              </w:rPr>
            </w:pPr>
          </w:p>
        </w:tc>
        <w:tc>
          <w:tcPr>
            <w:tcW w:w="600" w:type="dxa"/>
            <w:gridSpan w:val="3"/>
            <w:vAlign w:val="bottom"/>
          </w:tcPr>
          <w:p w14:paraId="7BF2E4A2" w14:textId="77777777" w:rsidR="00D1587D" w:rsidRDefault="00410D07">
            <w:pPr>
              <w:ind w:right="40"/>
              <w:jc w:val="right"/>
              <w:rPr>
                <w:sz w:val="20"/>
                <w:szCs w:val="20"/>
              </w:rPr>
            </w:pPr>
            <w:r>
              <w:rPr>
                <w:rFonts w:ascii="Arial" w:eastAsia="Arial" w:hAnsi="Arial" w:cs="Arial"/>
                <w:sz w:val="18"/>
                <w:szCs w:val="18"/>
              </w:rPr>
              <w:t>31</w:t>
            </w:r>
          </w:p>
        </w:tc>
      </w:tr>
      <w:tr w:rsidR="00D1587D" w14:paraId="43702EE8" w14:textId="77777777">
        <w:trPr>
          <w:trHeight w:val="54"/>
        </w:trPr>
        <w:tc>
          <w:tcPr>
            <w:tcW w:w="6180" w:type="dxa"/>
            <w:vAlign w:val="bottom"/>
          </w:tcPr>
          <w:p w14:paraId="3E91AC40" w14:textId="77777777" w:rsidR="00D1587D" w:rsidRDefault="00D1587D">
            <w:pPr>
              <w:rPr>
                <w:sz w:val="4"/>
                <w:szCs w:val="4"/>
              </w:rPr>
            </w:pPr>
          </w:p>
        </w:tc>
        <w:tc>
          <w:tcPr>
            <w:tcW w:w="40" w:type="dxa"/>
            <w:vAlign w:val="bottom"/>
          </w:tcPr>
          <w:p w14:paraId="7589FA80" w14:textId="77777777" w:rsidR="00D1587D" w:rsidRDefault="00D1587D">
            <w:pPr>
              <w:rPr>
                <w:sz w:val="4"/>
                <w:szCs w:val="4"/>
              </w:rPr>
            </w:pPr>
          </w:p>
        </w:tc>
        <w:tc>
          <w:tcPr>
            <w:tcW w:w="340" w:type="dxa"/>
            <w:vAlign w:val="bottom"/>
          </w:tcPr>
          <w:p w14:paraId="495BE5E1" w14:textId="77777777" w:rsidR="00D1587D" w:rsidRDefault="00D1587D">
            <w:pPr>
              <w:rPr>
                <w:sz w:val="4"/>
                <w:szCs w:val="4"/>
              </w:rPr>
            </w:pPr>
          </w:p>
        </w:tc>
        <w:tc>
          <w:tcPr>
            <w:tcW w:w="20" w:type="dxa"/>
            <w:vAlign w:val="bottom"/>
          </w:tcPr>
          <w:p w14:paraId="658EB96F" w14:textId="77777777" w:rsidR="00D1587D" w:rsidRDefault="00D1587D">
            <w:pPr>
              <w:rPr>
                <w:sz w:val="4"/>
                <w:szCs w:val="4"/>
              </w:rPr>
            </w:pPr>
          </w:p>
        </w:tc>
        <w:tc>
          <w:tcPr>
            <w:tcW w:w="180" w:type="dxa"/>
            <w:vAlign w:val="bottom"/>
          </w:tcPr>
          <w:p w14:paraId="2F6CC937" w14:textId="77777777" w:rsidR="00D1587D" w:rsidRDefault="00D1587D">
            <w:pPr>
              <w:rPr>
                <w:sz w:val="4"/>
                <w:szCs w:val="4"/>
              </w:rPr>
            </w:pPr>
          </w:p>
        </w:tc>
        <w:tc>
          <w:tcPr>
            <w:tcW w:w="360" w:type="dxa"/>
            <w:vAlign w:val="bottom"/>
          </w:tcPr>
          <w:p w14:paraId="7B70206A" w14:textId="77777777" w:rsidR="00D1587D" w:rsidRDefault="00D1587D">
            <w:pPr>
              <w:rPr>
                <w:sz w:val="4"/>
                <w:szCs w:val="4"/>
              </w:rPr>
            </w:pPr>
          </w:p>
        </w:tc>
        <w:tc>
          <w:tcPr>
            <w:tcW w:w="360" w:type="dxa"/>
            <w:vAlign w:val="bottom"/>
          </w:tcPr>
          <w:p w14:paraId="17986FC2" w14:textId="77777777" w:rsidR="00D1587D" w:rsidRDefault="00D1587D">
            <w:pPr>
              <w:rPr>
                <w:sz w:val="4"/>
                <w:szCs w:val="4"/>
              </w:rPr>
            </w:pPr>
          </w:p>
        </w:tc>
        <w:tc>
          <w:tcPr>
            <w:tcW w:w="340" w:type="dxa"/>
            <w:vAlign w:val="bottom"/>
          </w:tcPr>
          <w:p w14:paraId="4E0412A8" w14:textId="77777777" w:rsidR="00D1587D" w:rsidRDefault="00D1587D">
            <w:pPr>
              <w:rPr>
                <w:sz w:val="4"/>
                <w:szCs w:val="4"/>
              </w:rPr>
            </w:pPr>
          </w:p>
        </w:tc>
        <w:tc>
          <w:tcPr>
            <w:tcW w:w="200" w:type="dxa"/>
            <w:vAlign w:val="bottom"/>
          </w:tcPr>
          <w:p w14:paraId="0D4CA52E" w14:textId="77777777" w:rsidR="00D1587D" w:rsidRDefault="00D1587D">
            <w:pPr>
              <w:rPr>
                <w:sz w:val="4"/>
                <w:szCs w:val="4"/>
              </w:rPr>
            </w:pPr>
          </w:p>
        </w:tc>
        <w:tc>
          <w:tcPr>
            <w:tcW w:w="360" w:type="dxa"/>
            <w:vAlign w:val="bottom"/>
          </w:tcPr>
          <w:p w14:paraId="506989A3" w14:textId="77777777" w:rsidR="00D1587D" w:rsidRDefault="00D1587D">
            <w:pPr>
              <w:rPr>
                <w:sz w:val="4"/>
                <w:szCs w:val="4"/>
              </w:rPr>
            </w:pPr>
          </w:p>
        </w:tc>
        <w:tc>
          <w:tcPr>
            <w:tcW w:w="40" w:type="dxa"/>
            <w:vAlign w:val="bottom"/>
          </w:tcPr>
          <w:p w14:paraId="7BD20754" w14:textId="77777777" w:rsidR="00D1587D" w:rsidRDefault="00D1587D">
            <w:pPr>
              <w:rPr>
                <w:sz w:val="4"/>
                <w:szCs w:val="4"/>
              </w:rPr>
            </w:pPr>
          </w:p>
        </w:tc>
      </w:tr>
      <w:tr w:rsidR="00D1587D" w14:paraId="66665C1E" w14:textId="77777777">
        <w:trPr>
          <w:trHeight w:val="304"/>
        </w:trPr>
        <w:tc>
          <w:tcPr>
            <w:tcW w:w="6180" w:type="dxa"/>
            <w:tcBorders>
              <w:bottom w:val="single" w:sz="8" w:space="0" w:color="CCEEFF"/>
            </w:tcBorders>
            <w:shd w:val="clear" w:color="auto" w:fill="CCEEFF"/>
            <w:vAlign w:val="bottom"/>
          </w:tcPr>
          <w:p w14:paraId="41C44AD4" w14:textId="77777777" w:rsidR="00D1587D" w:rsidRDefault="00410D07">
            <w:pPr>
              <w:rPr>
                <w:sz w:val="20"/>
                <w:szCs w:val="20"/>
              </w:rPr>
            </w:pPr>
            <w:r>
              <w:rPr>
                <w:rFonts w:ascii="Arial" w:eastAsia="Arial" w:hAnsi="Arial" w:cs="Arial"/>
                <w:sz w:val="18"/>
                <w:szCs w:val="18"/>
              </w:rPr>
              <w:t>Accrued Marketing</w:t>
            </w:r>
          </w:p>
        </w:tc>
        <w:tc>
          <w:tcPr>
            <w:tcW w:w="400" w:type="dxa"/>
            <w:gridSpan w:val="3"/>
            <w:tcBorders>
              <w:bottom w:val="single" w:sz="8" w:space="0" w:color="CCEEFF"/>
            </w:tcBorders>
            <w:shd w:val="clear" w:color="auto" w:fill="CCEEFF"/>
            <w:vAlign w:val="bottom"/>
          </w:tcPr>
          <w:p w14:paraId="22778AF9" w14:textId="77777777" w:rsidR="00D1587D" w:rsidRDefault="00410D07">
            <w:pPr>
              <w:ind w:right="20"/>
              <w:jc w:val="right"/>
              <w:rPr>
                <w:sz w:val="20"/>
                <w:szCs w:val="20"/>
              </w:rPr>
            </w:pPr>
            <w:r>
              <w:rPr>
                <w:rFonts w:ascii="Arial" w:eastAsia="Arial" w:hAnsi="Arial" w:cs="Arial"/>
                <w:sz w:val="18"/>
                <w:szCs w:val="18"/>
              </w:rPr>
              <w:t>37</w:t>
            </w:r>
          </w:p>
        </w:tc>
        <w:tc>
          <w:tcPr>
            <w:tcW w:w="180" w:type="dxa"/>
            <w:tcBorders>
              <w:bottom w:val="single" w:sz="8" w:space="0" w:color="CCEEFF"/>
            </w:tcBorders>
            <w:shd w:val="clear" w:color="auto" w:fill="CCEEFF"/>
            <w:vAlign w:val="bottom"/>
          </w:tcPr>
          <w:p w14:paraId="5F1B31C5" w14:textId="77777777" w:rsidR="00D1587D" w:rsidRDefault="00D1587D">
            <w:pPr>
              <w:rPr>
                <w:sz w:val="24"/>
                <w:szCs w:val="24"/>
              </w:rPr>
            </w:pPr>
          </w:p>
        </w:tc>
        <w:tc>
          <w:tcPr>
            <w:tcW w:w="720" w:type="dxa"/>
            <w:gridSpan w:val="2"/>
            <w:tcBorders>
              <w:bottom w:val="single" w:sz="8" w:space="0" w:color="CCEEFF"/>
            </w:tcBorders>
            <w:shd w:val="clear" w:color="auto" w:fill="CCEEFF"/>
            <w:vAlign w:val="bottom"/>
          </w:tcPr>
          <w:p w14:paraId="31513F10" w14:textId="77777777" w:rsidR="00D1587D" w:rsidRDefault="00410D07">
            <w:pPr>
              <w:jc w:val="right"/>
              <w:rPr>
                <w:sz w:val="20"/>
                <w:szCs w:val="20"/>
              </w:rPr>
            </w:pPr>
            <w:r>
              <w:rPr>
                <w:rFonts w:ascii="Arial" w:eastAsia="Arial" w:hAnsi="Arial" w:cs="Arial"/>
                <w:sz w:val="18"/>
                <w:szCs w:val="18"/>
              </w:rPr>
              <w:t>44</w:t>
            </w:r>
          </w:p>
        </w:tc>
        <w:tc>
          <w:tcPr>
            <w:tcW w:w="340" w:type="dxa"/>
            <w:tcBorders>
              <w:bottom w:val="single" w:sz="8" w:space="0" w:color="CCEEFF"/>
            </w:tcBorders>
            <w:shd w:val="clear" w:color="auto" w:fill="CCEEFF"/>
            <w:vAlign w:val="bottom"/>
          </w:tcPr>
          <w:p w14:paraId="14ED2341" w14:textId="77777777" w:rsidR="00D1587D" w:rsidRDefault="00D1587D">
            <w:pPr>
              <w:rPr>
                <w:sz w:val="24"/>
                <w:szCs w:val="24"/>
              </w:rPr>
            </w:pPr>
          </w:p>
        </w:tc>
        <w:tc>
          <w:tcPr>
            <w:tcW w:w="600" w:type="dxa"/>
            <w:gridSpan w:val="3"/>
            <w:tcBorders>
              <w:bottom w:val="single" w:sz="8" w:space="0" w:color="CCEEFF"/>
            </w:tcBorders>
            <w:shd w:val="clear" w:color="auto" w:fill="CCEEFF"/>
            <w:vAlign w:val="bottom"/>
          </w:tcPr>
          <w:p w14:paraId="686E314E" w14:textId="77777777" w:rsidR="00D1587D" w:rsidRDefault="00410D07">
            <w:pPr>
              <w:ind w:right="40"/>
              <w:jc w:val="right"/>
              <w:rPr>
                <w:sz w:val="20"/>
                <w:szCs w:val="20"/>
              </w:rPr>
            </w:pPr>
            <w:r>
              <w:rPr>
                <w:rFonts w:ascii="Arial" w:eastAsia="Arial" w:hAnsi="Arial" w:cs="Arial"/>
                <w:sz w:val="18"/>
                <w:szCs w:val="18"/>
              </w:rPr>
              <w:t>9</w:t>
            </w:r>
          </w:p>
        </w:tc>
      </w:tr>
      <w:tr w:rsidR="00D1587D" w14:paraId="0167A365" w14:textId="77777777">
        <w:trPr>
          <w:trHeight w:val="270"/>
        </w:trPr>
        <w:tc>
          <w:tcPr>
            <w:tcW w:w="6180" w:type="dxa"/>
            <w:vAlign w:val="bottom"/>
          </w:tcPr>
          <w:p w14:paraId="7FE8E27B" w14:textId="77777777" w:rsidR="00D1587D" w:rsidRDefault="00410D07">
            <w:pPr>
              <w:rPr>
                <w:sz w:val="20"/>
                <w:szCs w:val="20"/>
              </w:rPr>
            </w:pPr>
            <w:r>
              <w:rPr>
                <w:rFonts w:ascii="Arial" w:eastAsia="Arial" w:hAnsi="Arial" w:cs="Arial"/>
                <w:sz w:val="18"/>
                <w:szCs w:val="18"/>
              </w:rPr>
              <w:t>Deferred Revenue on Loyalty and Private Label Credit Card</w:t>
            </w:r>
          </w:p>
        </w:tc>
        <w:tc>
          <w:tcPr>
            <w:tcW w:w="400" w:type="dxa"/>
            <w:gridSpan w:val="3"/>
            <w:vAlign w:val="bottom"/>
          </w:tcPr>
          <w:p w14:paraId="244584FE" w14:textId="77777777" w:rsidR="00D1587D" w:rsidRDefault="00410D07">
            <w:pPr>
              <w:ind w:right="20"/>
              <w:jc w:val="right"/>
              <w:rPr>
                <w:sz w:val="20"/>
                <w:szCs w:val="20"/>
              </w:rPr>
            </w:pPr>
            <w:r>
              <w:rPr>
                <w:rFonts w:ascii="Arial" w:eastAsia="Arial" w:hAnsi="Arial" w:cs="Arial"/>
                <w:sz w:val="18"/>
                <w:szCs w:val="18"/>
              </w:rPr>
              <w:t>35</w:t>
            </w:r>
          </w:p>
        </w:tc>
        <w:tc>
          <w:tcPr>
            <w:tcW w:w="180" w:type="dxa"/>
            <w:vAlign w:val="bottom"/>
          </w:tcPr>
          <w:p w14:paraId="1A0BC4F0" w14:textId="77777777" w:rsidR="00D1587D" w:rsidRDefault="00D1587D">
            <w:pPr>
              <w:rPr>
                <w:sz w:val="23"/>
                <w:szCs w:val="23"/>
              </w:rPr>
            </w:pPr>
          </w:p>
        </w:tc>
        <w:tc>
          <w:tcPr>
            <w:tcW w:w="720" w:type="dxa"/>
            <w:gridSpan w:val="2"/>
            <w:vAlign w:val="bottom"/>
          </w:tcPr>
          <w:p w14:paraId="508EFBA9" w14:textId="77777777" w:rsidR="00D1587D" w:rsidRDefault="00410D07">
            <w:pPr>
              <w:jc w:val="right"/>
              <w:rPr>
                <w:sz w:val="20"/>
                <w:szCs w:val="20"/>
              </w:rPr>
            </w:pPr>
            <w:r>
              <w:rPr>
                <w:rFonts w:ascii="Arial" w:eastAsia="Arial" w:hAnsi="Arial" w:cs="Arial"/>
                <w:sz w:val="18"/>
                <w:szCs w:val="18"/>
              </w:rPr>
              <w:t>38</w:t>
            </w:r>
          </w:p>
        </w:tc>
        <w:tc>
          <w:tcPr>
            <w:tcW w:w="340" w:type="dxa"/>
            <w:vAlign w:val="bottom"/>
          </w:tcPr>
          <w:p w14:paraId="18595F62" w14:textId="77777777" w:rsidR="00D1587D" w:rsidRDefault="00D1587D">
            <w:pPr>
              <w:rPr>
                <w:sz w:val="23"/>
                <w:szCs w:val="23"/>
              </w:rPr>
            </w:pPr>
          </w:p>
        </w:tc>
        <w:tc>
          <w:tcPr>
            <w:tcW w:w="600" w:type="dxa"/>
            <w:gridSpan w:val="3"/>
            <w:vAlign w:val="bottom"/>
          </w:tcPr>
          <w:p w14:paraId="37ACF60A" w14:textId="77777777" w:rsidR="00D1587D" w:rsidRDefault="00410D07">
            <w:pPr>
              <w:ind w:right="40"/>
              <w:jc w:val="right"/>
              <w:rPr>
                <w:sz w:val="20"/>
                <w:szCs w:val="20"/>
              </w:rPr>
            </w:pPr>
            <w:r>
              <w:rPr>
                <w:rFonts w:ascii="Arial" w:eastAsia="Arial" w:hAnsi="Arial" w:cs="Arial"/>
                <w:sz w:val="18"/>
                <w:szCs w:val="18"/>
              </w:rPr>
              <w:t>41</w:t>
            </w:r>
          </w:p>
        </w:tc>
      </w:tr>
      <w:tr w:rsidR="00D1587D" w14:paraId="541E1912" w14:textId="77777777">
        <w:trPr>
          <w:trHeight w:val="54"/>
        </w:trPr>
        <w:tc>
          <w:tcPr>
            <w:tcW w:w="6180" w:type="dxa"/>
            <w:vAlign w:val="bottom"/>
          </w:tcPr>
          <w:p w14:paraId="7FF41149" w14:textId="77777777" w:rsidR="00D1587D" w:rsidRDefault="00D1587D">
            <w:pPr>
              <w:rPr>
                <w:sz w:val="4"/>
                <w:szCs w:val="4"/>
              </w:rPr>
            </w:pPr>
          </w:p>
        </w:tc>
        <w:tc>
          <w:tcPr>
            <w:tcW w:w="40" w:type="dxa"/>
            <w:vAlign w:val="bottom"/>
          </w:tcPr>
          <w:p w14:paraId="5148152E" w14:textId="77777777" w:rsidR="00D1587D" w:rsidRDefault="00D1587D">
            <w:pPr>
              <w:rPr>
                <w:sz w:val="4"/>
                <w:szCs w:val="4"/>
              </w:rPr>
            </w:pPr>
          </w:p>
        </w:tc>
        <w:tc>
          <w:tcPr>
            <w:tcW w:w="340" w:type="dxa"/>
            <w:vAlign w:val="bottom"/>
          </w:tcPr>
          <w:p w14:paraId="55616E3C" w14:textId="77777777" w:rsidR="00D1587D" w:rsidRDefault="00D1587D">
            <w:pPr>
              <w:rPr>
                <w:sz w:val="4"/>
                <w:szCs w:val="4"/>
              </w:rPr>
            </w:pPr>
          </w:p>
        </w:tc>
        <w:tc>
          <w:tcPr>
            <w:tcW w:w="20" w:type="dxa"/>
            <w:vAlign w:val="bottom"/>
          </w:tcPr>
          <w:p w14:paraId="15CEDC8D" w14:textId="77777777" w:rsidR="00D1587D" w:rsidRDefault="00D1587D">
            <w:pPr>
              <w:rPr>
                <w:sz w:val="4"/>
                <w:szCs w:val="4"/>
              </w:rPr>
            </w:pPr>
          </w:p>
        </w:tc>
        <w:tc>
          <w:tcPr>
            <w:tcW w:w="180" w:type="dxa"/>
            <w:vAlign w:val="bottom"/>
          </w:tcPr>
          <w:p w14:paraId="3BEFBE27" w14:textId="77777777" w:rsidR="00D1587D" w:rsidRDefault="00D1587D">
            <w:pPr>
              <w:rPr>
                <w:sz w:val="4"/>
                <w:szCs w:val="4"/>
              </w:rPr>
            </w:pPr>
          </w:p>
        </w:tc>
        <w:tc>
          <w:tcPr>
            <w:tcW w:w="360" w:type="dxa"/>
            <w:vAlign w:val="bottom"/>
          </w:tcPr>
          <w:p w14:paraId="775EA918" w14:textId="77777777" w:rsidR="00D1587D" w:rsidRDefault="00D1587D">
            <w:pPr>
              <w:rPr>
                <w:sz w:val="4"/>
                <w:szCs w:val="4"/>
              </w:rPr>
            </w:pPr>
          </w:p>
        </w:tc>
        <w:tc>
          <w:tcPr>
            <w:tcW w:w="360" w:type="dxa"/>
            <w:vAlign w:val="bottom"/>
          </w:tcPr>
          <w:p w14:paraId="0589F023" w14:textId="77777777" w:rsidR="00D1587D" w:rsidRDefault="00D1587D">
            <w:pPr>
              <w:rPr>
                <w:sz w:val="4"/>
                <w:szCs w:val="4"/>
              </w:rPr>
            </w:pPr>
          </w:p>
        </w:tc>
        <w:tc>
          <w:tcPr>
            <w:tcW w:w="340" w:type="dxa"/>
            <w:vAlign w:val="bottom"/>
          </w:tcPr>
          <w:p w14:paraId="17CE3048" w14:textId="77777777" w:rsidR="00D1587D" w:rsidRDefault="00D1587D">
            <w:pPr>
              <w:rPr>
                <w:sz w:val="4"/>
                <w:szCs w:val="4"/>
              </w:rPr>
            </w:pPr>
          </w:p>
        </w:tc>
        <w:tc>
          <w:tcPr>
            <w:tcW w:w="200" w:type="dxa"/>
            <w:vAlign w:val="bottom"/>
          </w:tcPr>
          <w:p w14:paraId="5C1EEB28" w14:textId="77777777" w:rsidR="00D1587D" w:rsidRDefault="00D1587D">
            <w:pPr>
              <w:rPr>
                <w:sz w:val="4"/>
                <w:szCs w:val="4"/>
              </w:rPr>
            </w:pPr>
          </w:p>
        </w:tc>
        <w:tc>
          <w:tcPr>
            <w:tcW w:w="360" w:type="dxa"/>
            <w:vAlign w:val="bottom"/>
          </w:tcPr>
          <w:p w14:paraId="293055CB" w14:textId="77777777" w:rsidR="00D1587D" w:rsidRDefault="00D1587D">
            <w:pPr>
              <w:rPr>
                <w:sz w:val="4"/>
                <w:szCs w:val="4"/>
              </w:rPr>
            </w:pPr>
          </w:p>
        </w:tc>
        <w:tc>
          <w:tcPr>
            <w:tcW w:w="40" w:type="dxa"/>
            <w:vAlign w:val="bottom"/>
          </w:tcPr>
          <w:p w14:paraId="3E5814AD" w14:textId="77777777" w:rsidR="00D1587D" w:rsidRDefault="00D1587D">
            <w:pPr>
              <w:rPr>
                <w:sz w:val="4"/>
                <w:szCs w:val="4"/>
              </w:rPr>
            </w:pPr>
          </w:p>
        </w:tc>
      </w:tr>
      <w:tr w:rsidR="00D1587D" w14:paraId="47BB78F8" w14:textId="77777777">
        <w:trPr>
          <w:trHeight w:val="304"/>
        </w:trPr>
        <w:tc>
          <w:tcPr>
            <w:tcW w:w="6180" w:type="dxa"/>
            <w:tcBorders>
              <w:bottom w:val="single" w:sz="8" w:space="0" w:color="CCEEFF"/>
            </w:tcBorders>
            <w:shd w:val="clear" w:color="auto" w:fill="CCEEFF"/>
            <w:vAlign w:val="bottom"/>
          </w:tcPr>
          <w:p w14:paraId="21B4BAC8" w14:textId="77777777" w:rsidR="00D1587D" w:rsidRDefault="00410D07">
            <w:pPr>
              <w:rPr>
                <w:sz w:val="20"/>
                <w:szCs w:val="20"/>
              </w:rPr>
            </w:pPr>
            <w:r>
              <w:rPr>
                <w:rFonts w:ascii="Arial" w:eastAsia="Arial" w:hAnsi="Arial" w:cs="Arial"/>
                <w:sz w:val="18"/>
                <w:szCs w:val="18"/>
              </w:rPr>
              <w:t>Deferred Revenue on Direct Shipments not yet Delivered</w:t>
            </w:r>
          </w:p>
        </w:tc>
        <w:tc>
          <w:tcPr>
            <w:tcW w:w="400" w:type="dxa"/>
            <w:gridSpan w:val="3"/>
            <w:tcBorders>
              <w:bottom w:val="single" w:sz="8" w:space="0" w:color="CCEEFF"/>
            </w:tcBorders>
            <w:shd w:val="clear" w:color="auto" w:fill="CCEEFF"/>
            <w:vAlign w:val="bottom"/>
          </w:tcPr>
          <w:p w14:paraId="2D6E4C12" w14:textId="77777777" w:rsidR="00D1587D" w:rsidRDefault="00410D07">
            <w:pPr>
              <w:ind w:right="20"/>
              <w:jc w:val="right"/>
              <w:rPr>
                <w:sz w:val="20"/>
                <w:szCs w:val="20"/>
              </w:rPr>
            </w:pPr>
            <w:r>
              <w:rPr>
                <w:rFonts w:ascii="Arial" w:eastAsia="Arial" w:hAnsi="Arial" w:cs="Arial"/>
                <w:sz w:val="18"/>
                <w:szCs w:val="18"/>
              </w:rPr>
              <w:t>22</w:t>
            </w:r>
          </w:p>
        </w:tc>
        <w:tc>
          <w:tcPr>
            <w:tcW w:w="180" w:type="dxa"/>
            <w:tcBorders>
              <w:bottom w:val="single" w:sz="8" w:space="0" w:color="CCEEFF"/>
            </w:tcBorders>
            <w:shd w:val="clear" w:color="auto" w:fill="CCEEFF"/>
            <w:vAlign w:val="bottom"/>
          </w:tcPr>
          <w:p w14:paraId="7B6917F7" w14:textId="77777777" w:rsidR="00D1587D" w:rsidRDefault="00D1587D">
            <w:pPr>
              <w:rPr>
                <w:sz w:val="24"/>
                <w:szCs w:val="24"/>
              </w:rPr>
            </w:pPr>
          </w:p>
        </w:tc>
        <w:tc>
          <w:tcPr>
            <w:tcW w:w="720" w:type="dxa"/>
            <w:gridSpan w:val="2"/>
            <w:tcBorders>
              <w:bottom w:val="single" w:sz="8" w:space="0" w:color="CCEEFF"/>
            </w:tcBorders>
            <w:shd w:val="clear" w:color="auto" w:fill="CCEEFF"/>
            <w:vAlign w:val="bottom"/>
          </w:tcPr>
          <w:p w14:paraId="09C95F3C" w14:textId="77777777" w:rsidR="00D1587D" w:rsidRDefault="00410D07">
            <w:pPr>
              <w:jc w:val="right"/>
              <w:rPr>
                <w:sz w:val="20"/>
                <w:szCs w:val="20"/>
              </w:rPr>
            </w:pPr>
            <w:r>
              <w:rPr>
                <w:rFonts w:ascii="Arial" w:eastAsia="Arial" w:hAnsi="Arial" w:cs="Arial"/>
                <w:sz w:val="18"/>
                <w:szCs w:val="18"/>
              </w:rPr>
              <w:t>30</w:t>
            </w:r>
          </w:p>
        </w:tc>
        <w:tc>
          <w:tcPr>
            <w:tcW w:w="340" w:type="dxa"/>
            <w:tcBorders>
              <w:bottom w:val="single" w:sz="8" w:space="0" w:color="CCEEFF"/>
            </w:tcBorders>
            <w:shd w:val="clear" w:color="auto" w:fill="CCEEFF"/>
            <w:vAlign w:val="bottom"/>
          </w:tcPr>
          <w:p w14:paraId="0D57480F" w14:textId="77777777" w:rsidR="00D1587D" w:rsidRDefault="00D1587D">
            <w:pPr>
              <w:rPr>
                <w:sz w:val="24"/>
                <w:szCs w:val="24"/>
              </w:rPr>
            </w:pPr>
          </w:p>
        </w:tc>
        <w:tc>
          <w:tcPr>
            <w:tcW w:w="600" w:type="dxa"/>
            <w:gridSpan w:val="3"/>
            <w:tcBorders>
              <w:bottom w:val="single" w:sz="8" w:space="0" w:color="CCEEFF"/>
            </w:tcBorders>
            <w:shd w:val="clear" w:color="auto" w:fill="CCEEFF"/>
            <w:vAlign w:val="bottom"/>
          </w:tcPr>
          <w:p w14:paraId="687410F5" w14:textId="77777777" w:rsidR="00D1587D" w:rsidRDefault="00410D07">
            <w:pPr>
              <w:ind w:right="40"/>
              <w:jc w:val="right"/>
              <w:rPr>
                <w:sz w:val="20"/>
                <w:szCs w:val="20"/>
              </w:rPr>
            </w:pPr>
            <w:r>
              <w:rPr>
                <w:rFonts w:ascii="Arial" w:eastAsia="Arial" w:hAnsi="Arial" w:cs="Arial"/>
                <w:sz w:val="18"/>
                <w:szCs w:val="18"/>
              </w:rPr>
              <w:t>41</w:t>
            </w:r>
          </w:p>
        </w:tc>
      </w:tr>
      <w:tr w:rsidR="00D1587D" w14:paraId="038A1FBD" w14:textId="77777777">
        <w:trPr>
          <w:trHeight w:val="270"/>
        </w:trPr>
        <w:tc>
          <w:tcPr>
            <w:tcW w:w="6180" w:type="dxa"/>
            <w:vAlign w:val="bottom"/>
          </w:tcPr>
          <w:p w14:paraId="7E1CA67F" w14:textId="77777777" w:rsidR="00D1587D" w:rsidRDefault="00410D07">
            <w:pPr>
              <w:rPr>
                <w:sz w:val="20"/>
                <w:szCs w:val="20"/>
              </w:rPr>
            </w:pPr>
            <w:r>
              <w:rPr>
                <w:rFonts w:ascii="Arial" w:eastAsia="Arial" w:hAnsi="Arial" w:cs="Arial"/>
                <w:sz w:val="18"/>
                <w:szCs w:val="18"/>
              </w:rPr>
              <w:t>Returns Reserve</w:t>
            </w:r>
          </w:p>
        </w:tc>
        <w:tc>
          <w:tcPr>
            <w:tcW w:w="400" w:type="dxa"/>
            <w:gridSpan w:val="3"/>
            <w:vAlign w:val="bottom"/>
          </w:tcPr>
          <w:p w14:paraId="2C2C3F43" w14:textId="77777777" w:rsidR="00D1587D" w:rsidRDefault="00410D07">
            <w:pPr>
              <w:ind w:right="20"/>
              <w:jc w:val="right"/>
              <w:rPr>
                <w:sz w:val="20"/>
                <w:szCs w:val="20"/>
              </w:rPr>
            </w:pPr>
            <w:r>
              <w:rPr>
                <w:rFonts w:ascii="Arial" w:eastAsia="Arial" w:hAnsi="Arial" w:cs="Arial"/>
                <w:sz w:val="18"/>
                <w:szCs w:val="18"/>
              </w:rPr>
              <w:t>21</w:t>
            </w:r>
          </w:p>
        </w:tc>
        <w:tc>
          <w:tcPr>
            <w:tcW w:w="180" w:type="dxa"/>
            <w:vAlign w:val="bottom"/>
          </w:tcPr>
          <w:p w14:paraId="3883C12F" w14:textId="77777777" w:rsidR="00D1587D" w:rsidRDefault="00D1587D">
            <w:pPr>
              <w:rPr>
                <w:sz w:val="23"/>
                <w:szCs w:val="23"/>
              </w:rPr>
            </w:pPr>
          </w:p>
        </w:tc>
        <w:tc>
          <w:tcPr>
            <w:tcW w:w="720" w:type="dxa"/>
            <w:gridSpan w:val="2"/>
            <w:vAlign w:val="bottom"/>
          </w:tcPr>
          <w:p w14:paraId="31970BBB" w14:textId="77777777" w:rsidR="00D1587D" w:rsidRDefault="00410D07">
            <w:pPr>
              <w:jc w:val="right"/>
              <w:rPr>
                <w:sz w:val="20"/>
                <w:szCs w:val="20"/>
              </w:rPr>
            </w:pPr>
            <w:r>
              <w:rPr>
                <w:rFonts w:ascii="Arial" w:eastAsia="Arial" w:hAnsi="Arial" w:cs="Arial"/>
                <w:sz w:val="18"/>
                <w:szCs w:val="18"/>
              </w:rPr>
              <w:t>26</w:t>
            </w:r>
          </w:p>
        </w:tc>
        <w:tc>
          <w:tcPr>
            <w:tcW w:w="340" w:type="dxa"/>
            <w:vAlign w:val="bottom"/>
          </w:tcPr>
          <w:p w14:paraId="0AA9CEBE" w14:textId="77777777" w:rsidR="00D1587D" w:rsidRDefault="00D1587D">
            <w:pPr>
              <w:rPr>
                <w:sz w:val="23"/>
                <w:szCs w:val="23"/>
              </w:rPr>
            </w:pPr>
          </w:p>
        </w:tc>
        <w:tc>
          <w:tcPr>
            <w:tcW w:w="600" w:type="dxa"/>
            <w:gridSpan w:val="3"/>
            <w:vAlign w:val="bottom"/>
          </w:tcPr>
          <w:p w14:paraId="2F6CFF47" w14:textId="77777777" w:rsidR="00D1587D" w:rsidRDefault="00410D07">
            <w:pPr>
              <w:ind w:right="40"/>
              <w:jc w:val="right"/>
              <w:rPr>
                <w:sz w:val="20"/>
                <w:szCs w:val="20"/>
              </w:rPr>
            </w:pPr>
            <w:r>
              <w:rPr>
                <w:rFonts w:ascii="Arial" w:eastAsia="Arial" w:hAnsi="Arial" w:cs="Arial"/>
                <w:sz w:val="18"/>
                <w:szCs w:val="18"/>
              </w:rPr>
              <w:t>33</w:t>
            </w:r>
          </w:p>
        </w:tc>
      </w:tr>
      <w:tr w:rsidR="00D1587D" w14:paraId="427E83C3" w14:textId="77777777">
        <w:trPr>
          <w:trHeight w:val="54"/>
        </w:trPr>
        <w:tc>
          <w:tcPr>
            <w:tcW w:w="6180" w:type="dxa"/>
            <w:vAlign w:val="bottom"/>
          </w:tcPr>
          <w:p w14:paraId="64F03A13" w14:textId="77777777" w:rsidR="00D1587D" w:rsidRDefault="00D1587D">
            <w:pPr>
              <w:rPr>
                <w:sz w:val="4"/>
                <w:szCs w:val="4"/>
              </w:rPr>
            </w:pPr>
          </w:p>
        </w:tc>
        <w:tc>
          <w:tcPr>
            <w:tcW w:w="40" w:type="dxa"/>
            <w:vAlign w:val="bottom"/>
          </w:tcPr>
          <w:p w14:paraId="6EF0CF61" w14:textId="77777777" w:rsidR="00D1587D" w:rsidRDefault="00D1587D">
            <w:pPr>
              <w:rPr>
                <w:sz w:val="4"/>
                <w:szCs w:val="4"/>
              </w:rPr>
            </w:pPr>
          </w:p>
        </w:tc>
        <w:tc>
          <w:tcPr>
            <w:tcW w:w="340" w:type="dxa"/>
            <w:vAlign w:val="bottom"/>
          </w:tcPr>
          <w:p w14:paraId="2750AC55" w14:textId="77777777" w:rsidR="00D1587D" w:rsidRDefault="00D1587D">
            <w:pPr>
              <w:rPr>
                <w:sz w:val="4"/>
                <w:szCs w:val="4"/>
              </w:rPr>
            </w:pPr>
          </w:p>
        </w:tc>
        <w:tc>
          <w:tcPr>
            <w:tcW w:w="20" w:type="dxa"/>
            <w:vAlign w:val="bottom"/>
          </w:tcPr>
          <w:p w14:paraId="5CF00887" w14:textId="77777777" w:rsidR="00D1587D" w:rsidRDefault="00D1587D">
            <w:pPr>
              <w:rPr>
                <w:sz w:val="4"/>
                <w:szCs w:val="4"/>
              </w:rPr>
            </w:pPr>
          </w:p>
        </w:tc>
        <w:tc>
          <w:tcPr>
            <w:tcW w:w="180" w:type="dxa"/>
            <w:vAlign w:val="bottom"/>
          </w:tcPr>
          <w:p w14:paraId="7F84001A" w14:textId="77777777" w:rsidR="00D1587D" w:rsidRDefault="00D1587D">
            <w:pPr>
              <w:rPr>
                <w:sz w:val="4"/>
                <w:szCs w:val="4"/>
              </w:rPr>
            </w:pPr>
          </w:p>
        </w:tc>
        <w:tc>
          <w:tcPr>
            <w:tcW w:w="360" w:type="dxa"/>
            <w:vAlign w:val="bottom"/>
          </w:tcPr>
          <w:p w14:paraId="0604D637" w14:textId="77777777" w:rsidR="00D1587D" w:rsidRDefault="00D1587D">
            <w:pPr>
              <w:rPr>
                <w:sz w:val="4"/>
                <w:szCs w:val="4"/>
              </w:rPr>
            </w:pPr>
          </w:p>
        </w:tc>
        <w:tc>
          <w:tcPr>
            <w:tcW w:w="360" w:type="dxa"/>
            <w:vAlign w:val="bottom"/>
          </w:tcPr>
          <w:p w14:paraId="029ABDB2" w14:textId="77777777" w:rsidR="00D1587D" w:rsidRDefault="00D1587D">
            <w:pPr>
              <w:rPr>
                <w:sz w:val="4"/>
                <w:szCs w:val="4"/>
              </w:rPr>
            </w:pPr>
          </w:p>
        </w:tc>
        <w:tc>
          <w:tcPr>
            <w:tcW w:w="340" w:type="dxa"/>
            <w:vAlign w:val="bottom"/>
          </w:tcPr>
          <w:p w14:paraId="056C149C" w14:textId="77777777" w:rsidR="00D1587D" w:rsidRDefault="00D1587D">
            <w:pPr>
              <w:rPr>
                <w:sz w:val="4"/>
                <w:szCs w:val="4"/>
              </w:rPr>
            </w:pPr>
          </w:p>
        </w:tc>
        <w:tc>
          <w:tcPr>
            <w:tcW w:w="200" w:type="dxa"/>
            <w:vAlign w:val="bottom"/>
          </w:tcPr>
          <w:p w14:paraId="1E5F47F8" w14:textId="77777777" w:rsidR="00D1587D" w:rsidRDefault="00D1587D">
            <w:pPr>
              <w:rPr>
                <w:sz w:val="4"/>
                <w:szCs w:val="4"/>
              </w:rPr>
            </w:pPr>
          </w:p>
        </w:tc>
        <w:tc>
          <w:tcPr>
            <w:tcW w:w="360" w:type="dxa"/>
            <w:vAlign w:val="bottom"/>
          </w:tcPr>
          <w:p w14:paraId="4858AE68" w14:textId="77777777" w:rsidR="00D1587D" w:rsidRDefault="00D1587D">
            <w:pPr>
              <w:rPr>
                <w:sz w:val="4"/>
                <w:szCs w:val="4"/>
              </w:rPr>
            </w:pPr>
          </w:p>
        </w:tc>
        <w:tc>
          <w:tcPr>
            <w:tcW w:w="40" w:type="dxa"/>
            <w:vAlign w:val="bottom"/>
          </w:tcPr>
          <w:p w14:paraId="0D2794A7" w14:textId="77777777" w:rsidR="00D1587D" w:rsidRDefault="00D1587D">
            <w:pPr>
              <w:rPr>
                <w:sz w:val="4"/>
                <w:szCs w:val="4"/>
              </w:rPr>
            </w:pPr>
          </w:p>
        </w:tc>
      </w:tr>
      <w:tr w:rsidR="00D1587D" w14:paraId="731BA487" w14:textId="77777777">
        <w:trPr>
          <w:trHeight w:val="304"/>
        </w:trPr>
        <w:tc>
          <w:tcPr>
            <w:tcW w:w="6180" w:type="dxa"/>
            <w:tcBorders>
              <w:bottom w:val="single" w:sz="8" w:space="0" w:color="CCEEFF"/>
            </w:tcBorders>
            <w:shd w:val="clear" w:color="auto" w:fill="CCEEFF"/>
            <w:vAlign w:val="bottom"/>
          </w:tcPr>
          <w:p w14:paraId="0A91B96B" w14:textId="77777777" w:rsidR="00D1587D" w:rsidRDefault="00410D07">
            <w:pPr>
              <w:rPr>
                <w:sz w:val="20"/>
                <w:szCs w:val="20"/>
              </w:rPr>
            </w:pPr>
            <w:r>
              <w:rPr>
                <w:rFonts w:ascii="Arial" w:eastAsia="Arial" w:hAnsi="Arial" w:cs="Arial"/>
                <w:sz w:val="18"/>
                <w:szCs w:val="18"/>
              </w:rPr>
              <w:t>Rent</w:t>
            </w:r>
          </w:p>
        </w:tc>
        <w:tc>
          <w:tcPr>
            <w:tcW w:w="400" w:type="dxa"/>
            <w:gridSpan w:val="3"/>
            <w:tcBorders>
              <w:bottom w:val="single" w:sz="8" w:space="0" w:color="CCEEFF"/>
            </w:tcBorders>
            <w:shd w:val="clear" w:color="auto" w:fill="CCEEFF"/>
            <w:vAlign w:val="bottom"/>
          </w:tcPr>
          <w:p w14:paraId="1382EEBA" w14:textId="77777777" w:rsidR="00D1587D" w:rsidRDefault="00410D07">
            <w:pPr>
              <w:ind w:right="20"/>
              <w:jc w:val="right"/>
              <w:rPr>
                <w:sz w:val="20"/>
                <w:szCs w:val="20"/>
              </w:rPr>
            </w:pPr>
            <w:r>
              <w:rPr>
                <w:rFonts w:ascii="Arial" w:eastAsia="Arial" w:hAnsi="Arial" w:cs="Arial"/>
                <w:sz w:val="18"/>
                <w:szCs w:val="18"/>
              </w:rPr>
              <w:t>64</w:t>
            </w:r>
          </w:p>
        </w:tc>
        <w:tc>
          <w:tcPr>
            <w:tcW w:w="180" w:type="dxa"/>
            <w:tcBorders>
              <w:bottom w:val="single" w:sz="8" w:space="0" w:color="CCEEFF"/>
            </w:tcBorders>
            <w:shd w:val="clear" w:color="auto" w:fill="CCEEFF"/>
            <w:vAlign w:val="bottom"/>
          </w:tcPr>
          <w:p w14:paraId="210D1988" w14:textId="77777777" w:rsidR="00D1587D" w:rsidRDefault="00D1587D">
            <w:pPr>
              <w:rPr>
                <w:sz w:val="24"/>
                <w:szCs w:val="24"/>
              </w:rPr>
            </w:pPr>
          </w:p>
        </w:tc>
        <w:tc>
          <w:tcPr>
            <w:tcW w:w="720" w:type="dxa"/>
            <w:gridSpan w:val="2"/>
            <w:tcBorders>
              <w:bottom w:val="single" w:sz="8" w:space="0" w:color="CCEEFF"/>
            </w:tcBorders>
            <w:shd w:val="clear" w:color="auto" w:fill="CCEEFF"/>
            <w:vAlign w:val="bottom"/>
          </w:tcPr>
          <w:p w14:paraId="0E994695" w14:textId="77777777" w:rsidR="00D1587D" w:rsidRDefault="00410D07">
            <w:pPr>
              <w:jc w:val="right"/>
              <w:rPr>
                <w:sz w:val="20"/>
                <w:szCs w:val="20"/>
              </w:rPr>
            </w:pPr>
            <w:r>
              <w:rPr>
                <w:rFonts w:ascii="Arial" w:eastAsia="Arial" w:hAnsi="Arial" w:cs="Arial"/>
                <w:sz w:val="18"/>
                <w:szCs w:val="18"/>
              </w:rPr>
              <w:t>22</w:t>
            </w:r>
          </w:p>
        </w:tc>
        <w:tc>
          <w:tcPr>
            <w:tcW w:w="340" w:type="dxa"/>
            <w:tcBorders>
              <w:bottom w:val="single" w:sz="8" w:space="0" w:color="CCEEFF"/>
            </w:tcBorders>
            <w:shd w:val="clear" w:color="auto" w:fill="CCEEFF"/>
            <w:vAlign w:val="bottom"/>
          </w:tcPr>
          <w:p w14:paraId="2935833E" w14:textId="77777777" w:rsidR="00D1587D" w:rsidRDefault="00D1587D">
            <w:pPr>
              <w:rPr>
                <w:sz w:val="24"/>
                <w:szCs w:val="24"/>
              </w:rPr>
            </w:pPr>
          </w:p>
        </w:tc>
        <w:tc>
          <w:tcPr>
            <w:tcW w:w="560" w:type="dxa"/>
            <w:gridSpan w:val="2"/>
            <w:tcBorders>
              <w:bottom w:val="single" w:sz="8" w:space="0" w:color="CCEEFF"/>
            </w:tcBorders>
            <w:shd w:val="clear" w:color="auto" w:fill="CCEEFF"/>
            <w:vAlign w:val="bottom"/>
          </w:tcPr>
          <w:p w14:paraId="04F8B572" w14:textId="77777777" w:rsidR="00D1587D" w:rsidRDefault="00410D07">
            <w:pPr>
              <w:jc w:val="right"/>
              <w:rPr>
                <w:sz w:val="20"/>
                <w:szCs w:val="20"/>
              </w:rPr>
            </w:pPr>
            <w:r>
              <w:rPr>
                <w:rFonts w:ascii="Arial" w:eastAsia="Arial" w:hAnsi="Arial" w:cs="Arial"/>
                <w:sz w:val="18"/>
                <w:szCs w:val="18"/>
              </w:rPr>
              <w:t>11</w:t>
            </w:r>
          </w:p>
        </w:tc>
        <w:tc>
          <w:tcPr>
            <w:tcW w:w="40" w:type="dxa"/>
            <w:tcBorders>
              <w:bottom w:val="single" w:sz="8" w:space="0" w:color="CCEEFF"/>
            </w:tcBorders>
            <w:shd w:val="clear" w:color="auto" w:fill="CCEEFF"/>
            <w:vAlign w:val="bottom"/>
          </w:tcPr>
          <w:p w14:paraId="54559AAC" w14:textId="77777777" w:rsidR="00D1587D" w:rsidRDefault="00D1587D">
            <w:pPr>
              <w:rPr>
                <w:sz w:val="24"/>
                <w:szCs w:val="24"/>
              </w:rPr>
            </w:pPr>
          </w:p>
        </w:tc>
      </w:tr>
      <w:tr w:rsidR="00D1587D" w14:paraId="4A223282" w14:textId="77777777">
        <w:trPr>
          <w:trHeight w:val="270"/>
        </w:trPr>
        <w:tc>
          <w:tcPr>
            <w:tcW w:w="6180" w:type="dxa"/>
            <w:vAlign w:val="bottom"/>
          </w:tcPr>
          <w:p w14:paraId="0683CC67" w14:textId="77777777" w:rsidR="00D1587D" w:rsidRDefault="00410D07">
            <w:pPr>
              <w:rPr>
                <w:sz w:val="20"/>
                <w:szCs w:val="20"/>
              </w:rPr>
            </w:pPr>
            <w:r>
              <w:rPr>
                <w:rFonts w:ascii="Arial" w:eastAsia="Arial" w:hAnsi="Arial" w:cs="Arial"/>
                <w:sz w:val="18"/>
                <w:szCs w:val="18"/>
              </w:rPr>
              <w:t>Accrued Claims on Self-insured Activities</w:t>
            </w:r>
          </w:p>
        </w:tc>
        <w:tc>
          <w:tcPr>
            <w:tcW w:w="400" w:type="dxa"/>
            <w:gridSpan w:val="3"/>
            <w:vAlign w:val="bottom"/>
          </w:tcPr>
          <w:p w14:paraId="09453A8D" w14:textId="77777777" w:rsidR="00D1587D" w:rsidRDefault="00410D07">
            <w:pPr>
              <w:ind w:right="20"/>
              <w:jc w:val="right"/>
              <w:rPr>
                <w:sz w:val="20"/>
                <w:szCs w:val="20"/>
              </w:rPr>
            </w:pPr>
            <w:r>
              <w:rPr>
                <w:rFonts w:ascii="Arial" w:eastAsia="Arial" w:hAnsi="Arial" w:cs="Arial"/>
                <w:sz w:val="18"/>
                <w:szCs w:val="18"/>
              </w:rPr>
              <w:t>17</w:t>
            </w:r>
          </w:p>
        </w:tc>
        <w:tc>
          <w:tcPr>
            <w:tcW w:w="180" w:type="dxa"/>
            <w:vAlign w:val="bottom"/>
          </w:tcPr>
          <w:p w14:paraId="3FE3F05D" w14:textId="77777777" w:rsidR="00D1587D" w:rsidRDefault="00D1587D">
            <w:pPr>
              <w:rPr>
                <w:sz w:val="23"/>
                <w:szCs w:val="23"/>
              </w:rPr>
            </w:pPr>
          </w:p>
        </w:tc>
        <w:tc>
          <w:tcPr>
            <w:tcW w:w="720" w:type="dxa"/>
            <w:gridSpan w:val="2"/>
            <w:vAlign w:val="bottom"/>
          </w:tcPr>
          <w:p w14:paraId="26890205" w14:textId="77777777" w:rsidR="00D1587D" w:rsidRDefault="00410D07">
            <w:pPr>
              <w:jc w:val="right"/>
              <w:rPr>
                <w:sz w:val="20"/>
                <w:szCs w:val="20"/>
              </w:rPr>
            </w:pPr>
            <w:r>
              <w:rPr>
                <w:rFonts w:ascii="Arial" w:eastAsia="Arial" w:hAnsi="Arial" w:cs="Arial"/>
                <w:sz w:val="18"/>
                <w:szCs w:val="18"/>
              </w:rPr>
              <w:t>17</w:t>
            </w:r>
          </w:p>
        </w:tc>
        <w:tc>
          <w:tcPr>
            <w:tcW w:w="340" w:type="dxa"/>
            <w:vAlign w:val="bottom"/>
          </w:tcPr>
          <w:p w14:paraId="711F324F" w14:textId="77777777" w:rsidR="00D1587D" w:rsidRDefault="00D1587D">
            <w:pPr>
              <w:rPr>
                <w:sz w:val="23"/>
                <w:szCs w:val="23"/>
              </w:rPr>
            </w:pPr>
          </w:p>
        </w:tc>
        <w:tc>
          <w:tcPr>
            <w:tcW w:w="600" w:type="dxa"/>
            <w:gridSpan w:val="3"/>
            <w:vAlign w:val="bottom"/>
          </w:tcPr>
          <w:p w14:paraId="54D9FF41" w14:textId="77777777" w:rsidR="00D1587D" w:rsidRDefault="00410D07">
            <w:pPr>
              <w:ind w:right="40"/>
              <w:jc w:val="right"/>
              <w:rPr>
                <w:sz w:val="20"/>
                <w:szCs w:val="20"/>
              </w:rPr>
            </w:pPr>
            <w:r>
              <w:rPr>
                <w:rFonts w:ascii="Arial" w:eastAsia="Arial" w:hAnsi="Arial" w:cs="Arial"/>
                <w:sz w:val="18"/>
                <w:szCs w:val="18"/>
              </w:rPr>
              <w:t>19</w:t>
            </w:r>
          </w:p>
        </w:tc>
      </w:tr>
      <w:tr w:rsidR="00D1587D" w14:paraId="40FC5B6C" w14:textId="77777777">
        <w:trPr>
          <w:trHeight w:val="54"/>
        </w:trPr>
        <w:tc>
          <w:tcPr>
            <w:tcW w:w="6180" w:type="dxa"/>
            <w:vAlign w:val="bottom"/>
          </w:tcPr>
          <w:p w14:paraId="1CF89386" w14:textId="77777777" w:rsidR="00D1587D" w:rsidRDefault="00D1587D">
            <w:pPr>
              <w:rPr>
                <w:sz w:val="4"/>
                <w:szCs w:val="4"/>
              </w:rPr>
            </w:pPr>
          </w:p>
        </w:tc>
        <w:tc>
          <w:tcPr>
            <w:tcW w:w="40" w:type="dxa"/>
            <w:vAlign w:val="bottom"/>
          </w:tcPr>
          <w:p w14:paraId="07403D8C" w14:textId="77777777" w:rsidR="00D1587D" w:rsidRDefault="00D1587D">
            <w:pPr>
              <w:rPr>
                <w:sz w:val="4"/>
                <w:szCs w:val="4"/>
              </w:rPr>
            </w:pPr>
          </w:p>
        </w:tc>
        <w:tc>
          <w:tcPr>
            <w:tcW w:w="340" w:type="dxa"/>
            <w:vAlign w:val="bottom"/>
          </w:tcPr>
          <w:p w14:paraId="4685CA5F" w14:textId="77777777" w:rsidR="00D1587D" w:rsidRDefault="00D1587D">
            <w:pPr>
              <w:rPr>
                <w:sz w:val="4"/>
                <w:szCs w:val="4"/>
              </w:rPr>
            </w:pPr>
          </w:p>
        </w:tc>
        <w:tc>
          <w:tcPr>
            <w:tcW w:w="20" w:type="dxa"/>
            <w:vAlign w:val="bottom"/>
          </w:tcPr>
          <w:p w14:paraId="15B1864A" w14:textId="77777777" w:rsidR="00D1587D" w:rsidRDefault="00D1587D">
            <w:pPr>
              <w:rPr>
                <w:sz w:val="4"/>
                <w:szCs w:val="4"/>
              </w:rPr>
            </w:pPr>
          </w:p>
        </w:tc>
        <w:tc>
          <w:tcPr>
            <w:tcW w:w="180" w:type="dxa"/>
            <w:vAlign w:val="bottom"/>
          </w:tcPr>
          <w:p w14:paraId="56798E50" w14:textId="77777777" w:rsidR="00D1587D" w:rsidRDefault="00D1587D">
            <w:pPr>
              <w:rPr>
                <w:sz w:val="4"/>
                <w:szCs w:val="4"/>
              </w:rPr>
            </w:pPr>
          </w:p>
        </w:tc>
        <w:tc>
          <w:tcPr>
            <w:tcW w:w="360" w:type="dxa"/>
            <w:vAlign w:val="bottom"/>
          </w:tcPr>
          <w:p w14:paraId="10556D34" w14:textId="77777777" w:rsidR="00D1587D" w:rsidRDefault="00D1587D">
            <w:pPr>
              <w:rPr>
                <w:sz w:val="4"/>
                <w:szCs w:val="4"/>
              </w:rPr>
            </w:pPr>
          </w:p>
        </w:tc>
        <w:tc>
          <w:tcPr>
            <w:tcW w:w="360" w:type="dxa"/>
            <w:vAlign w:val="bottom"/>
          </w:tcPr>
          <w:p w14:paraId="384B2B13" w14:textId="77777777" w:rsidR="00D1587D" w:rsidRDefault="00D1587D">
            <w:pPr>
              <w:rPr>
                <w:sz w:val="4"/>
                <w:szCs w:val="4"/>
              </w:rPr>
            </w:pPr>
          </w:p>
        </w:tc>
        <w:tc>
          <w:tcPr>
            <w:tcW w:w="340" w:type="dxa"/>
            <w:vAlign w:val="bottom"/>
          </w:tcPr>
          <w:p w14:paraId="36C040CF" w14:textId="77777777" w:rsidR="00D1587D" w:rsidRDefault="00D1587D">
            <w:pPr>
              <w:rPr>
                <w:sz w:val="4"/>
                <w:szCs w:val="4"/>
              </w:rPr>
            </w:pPr>
          </w:p>
        </w:tc>
        <w:tc>
          <w:tcPr>
            <w:tcW w:w="200" w:type="dxa"/>
            <w:vAlign w:val="bottom"/>
          </w:tcPr>
          <w:p w14:paraId="088314ED" w14:textId="77777777" w:rsidR="00D1587D" w:rsidRDefault="00D1587D">
            <w:pPr>
              <w:rPr>
                <w:sz w:val="4"/>
                <w:szCs w:val="4"/>
              </w:rPr>
            </w:pPr>
          </w:p>
        </w:tc>
        <w:tc>
          <w:tcPr>
            <w:tcW w:w="360" w:type="dxa"/>
            <w:vAlign w:val="bottom"/>
          </w:tcPr>
          <w:p w14:paraId="27C685C4" w14:textId="77777777" w:rsidR="00D1587D" w:rsidRDefault="00D1587D">
            <w:pPr>
              <w:rPr>
                <w:sz w:val="4"/>
                <w:szCs w:val="4"/>
              </w:rPr>
            </w:pPr>
          </w:p>
        </w:tc>
        <w:tc>
          <w:tcPr>
            <w:tcW w:w="40" w:type="dxa"/>
            <w:vAlign w:val="bottom"/>
          </w:tcPr>
          <w:p w14:paraId="0606767D" w14:textId="77777777" w:rsidR="00D1587D" w:rsidRDefault="00D1587D">
            <w:pPr>
              <w:rPr>
                <w:sz w:val="4"/>
                <w:szCs w:val="4"/>
              </w:rPr>
            </w:pPr>
          </w:p>
        </w:tc>
      </w:tr>
      <w:tr w:rsidR="00D1587D" w14:paraId="69297AB3" w14:textId="77777777">
        <w:trPr>
          <w:trHeight w:val="256"/>
        </w:trPr>
        <w:tc>
          <w:tcPr>
            <w:tcW w:w="6180" w:type="dxa"/>
            <w:shd w:val="clear" w:color="auto" w:fill="CCEEFF"/>
            <w:vAlign w:val="bottom"/>
          </w:tcPr>
          <w:p w14:paraId="2C4C190D" w14:textId="77777777" w:rsidR="00D1587D" w:rsidRDefault="00410D07">
            <w:pPr>
              <w:rPr>
                <w:sz w:val="20"/>
                <w:szCs w:val="20"/>
              </w:rPr>
            </w:pPr>
            <w:r>
              <w:rPr>
                <w:rFonts w:ascii="Arial" w:eastAsia="Arial" w:hAnsi="Arial" w:cs="Arial"/>
                <w:sz w:val="18"/>
                <w:szCs w:val="18"/>
              </w:rPr>
              <w:t>Other</w:t>
            </w:r>
          </w:p>
        </w:tc>
        <w:tc>
          <w:tcPr>
            <w:tcW w:w="380" w:type="dxa"/>
            <w:gridSpan w:val="2"/>
            <w:shd w:val="clear" w:color="auto" w:fill="CCEEFF"/>
            <w:vAlign w:val="bottom"/>
          </w:tcPr>
          <w:p w14:paraId="7E69C0E4" w14:textId="77777777" w:rsidR="00D1587D" w:rsidRDefault="00410D07">
            <w:pPr>
              <w:jc w:val="right"/>
              <w:rPr>
                <w:sz w:val="20"/>
                <w:szCs w:val="20"/>
              </w:rPr>
            </w:pPr>
            <w:r>
              <w:rPr>
                <w:rFonts w:ascii="Arial" w:eastAsia="Arial" w:hAnsi="Arial" w:cs="Arial"/>
                <w:sz w:val="18"/>
                <w:szCs w:val="18"/>
              </w:rPr>
              <w:t>123</w:t>
            </w:r>
          </w:p>
        </w:tc>
        <w:tc>
          <w:tcPr>
            <w:tcW w:w="20" w:type="dxa"/>
            <w:shd w:val="clear" w:color="auto" w:fill="CCEEFF"/>
            <w:vAlign w:val="bottom"/>
          </w:tcPr>
          <w:p w14:paraId="3A19DB5F" w14:textId="77777777" w:rsidR="00D1587D" w:rsidRDefault="00D1587D"/>
        </w:tc>
        <w:tc>
          <w:tcPr>
            <w:tcW w:w="180" w:type="dxa"/>
            <w:shd w:val="clear" w:color="auto" w:fill="CCEEFF"/>
            <w:vAlign w:val="bottom"/>
          </w:tcPr>
          <w:p w14:paraId="0D019EC3" w14:textId="77777777" w:rsidR="00D1587D" w:rsidRDefault="00D1587D"/>
        </w:tc>
        <w:tc>
          <w:tcPr>
            <w:tcW w:w="720" w:type="dxa"/>
            <w:gridSpan w:val="2"/>
            <w:shd w:val="clear" w:color="auto" w:fill="CCEEFF"/>
            <w:vAlign w:val="bottom"/>
          </w:tcPr>
          <w:p w14:paraId="12344AC0" w14:textId="77777777" w:rsidR="00D1587D" w:rsidRDefault="00410D07">
            <w:pPr>
              <w:jc w:val="right"/>
              <w:rPr>
                <w:sz w:val="20"/>
                <w:szCs w:val="20"/>
              </w:rPr>
            </w:pPr>
            <w:r>
              <w:rPr>
                <w:rFonts w:ascii="Arial" w:eastAsia="Arial" w:hAnsi="Arial" w:cs="Arial"/>
                <w:sz w:val="18"/>
                <w:szCs w:val="18"/>
              </w:rPr>
              <w:t>137</w:t>
            </w:r>
          </w:p>
        </w:tc>
        <w:tc>
          <w:tcPr>
            <w:tcW w:w="340" w:type="dxa"/>
            <w:shd w:val="clear" w:color="auto" w:fill="CCEEFF"/>
            <w:vAlign w:val="bottom"/>
          </w:tcPr>
          <w:p w14:paraId="7B246C28" w14:textId="77777777" w:rsidR="00D1587D" w:rsidRDefault="00D1587D"/>
        </w:tc>
        <w:tc>
          <w:tcPr>
            <w:tcW w:w="600" w:type="dxa"/>
            <w:gridSpan w:val="3"/>
            <w:shd w:val="clear" w:color="auto" w:fill="CCEEFF"/>
            <w:vAlign w:val="bottom"/>
          </w:tcPr>
          <w:p w14:paraId="3F563484" w14:textId="77777777" w:rsidR="00D1587D" w:rsidRDefault="00410D07">
            <w:pPr>
              <w:ind w:right="40"/>
              <w:jc w:val="right"/>
              <w:rPr>
                <w:sz w:val="20"/>
                <w:szCs w:val="20"/>
              </w:rPr>
            </w:pPr>
            <w:r>
              <w:rPr>
                <w:rFonts w:ascii="Arial" w:eastAsia="Arial" w:hAnsi="Arial" w:cs="Arial"/>
                <w:sz w:val="18"/>
                <w:szCs w:val="18"/>
              </w:rPr>
              <w:t>94</w:t>
            </w:r>
          </w:p>
        </w:tc>
      </w:tr>
      <w:tr w:rsidR="00D1587D" w14:paraId="5356FDF4" w14:textId="77777777">
        <w:trPr>
          <w:trHeight w:val="61"/>
        </w:trPr>
        <w:tc>
          <w:tcPr>
            <w:tcW w:w="6180" w:type="dxa"/>
            <w:tcBorders>
              <w:top w:val="single" w:sz="8" w:space="0" w:color="CCEEFF"/>
            </w:tcBorders>
            <w:shd w:val="clear" w:color="auto" w:fill="CCEEFF"/>
            <w:vAlign w:val="bottom"/>
          </w:tcPr>
          <w:p w14:paraId="7755218E" w14:textId="77777777" w:rsidR="00D1587D" w:rsidRDefault="00D1587D">
            <w:pPr>
              <w:rPr>
                <w:sz w:val="5"/>
                <w:szCs w:val="5"/>
              </w:rPr>
            </w:pPr>
          </w:p>
        </w:tc>
        <w:tc>
          <w:tcPr>
            <w:tcW w:w="40" w:type="dxa"/>
            <w:tcBorders>
              <w:top w:val="single" w:sz="8" w:space="0" w:color="CCEEFF"/>
            </w:tcBorders>
            <w:shd w:val="clear" w:color="auto" w:fill="CCEEFF"/>
            <w:vAlign w:val="bottom"/>
          </w:tcPr>
          <w:p w14:paraId="17F54072" w14:textId="77777777" w:rsidR="00D1587D" w:rsidRDefault="00D1587D">
            <w:pPr>
              <w:rPr>
                <w:sz w:val="5"/>
                <w:szCs w:val="5"/>
              </w:rPr>
            </w:pPr>
          </w:p>
        </w:tc>
        <w:tc>
          <w:tcPr>
            <w:tcW w:w="340" w:type="dxa"/>
            <w:tcBorders>
              <w:top w:val="single" w:sz="8" w:space="0" w:color="auto"/>
            </w:tcBorders>
            <w:shd w:val="clear" w:color="auto" w:fill="CCEEFF"/>
            <w:vAlign w:val="bottom"/>
          </w:tcPr>
          <w:p w14:paraId="36B612A2" w14:textId="77777777" w:rsidR="00D1587D" w:rsidRDefault="00D1587D">
            <w:pPr>
              <w:rPr>
                <w:sz w:val="5"/>
                <w:szCs w:val="5"/>
              </w:rPr>
            </w:pPr>
          </w:p>
        </w:tc>
        <w:tc>
          <w:tcPr>
            <w:tcW w:w="20" w:type="dxa"/>
            <w:tcBorders>
              <w:top w:val="single" w:sz="8" w:space="0" w:color="CCEEFF"/>
            </w:tcBorders>
            <w:shd w:val="clear" w:color="auto" w:fill="CCEEFF"/>
            <w:vAlign w:val="bottom"/>
          </w:tcPr>
          <w:p w14:paraId="01F593B1" w14:textId="77777777" w:rsidR="00D1587D" w:rsidRDefault="00D1587D">
            <w:pPr>
              <w:rPr>
                <w:sz w:val="5"/>
                <w:szCs w:val="5"/>
              </w:rPr>
            </w:pPr>
          </w:p>
        </w:tc>
        <w:tc>
          <w:tcPr>
            <w:tcW w:w="180" w:type="dxa"/>
            <w:tcBorders>
              <w:top w:val="single" w:sz="8" w:space="0" w:color="CCEEFF"/>
            </w:tcBorders>
            <w:shd w:val="clear" w:color="auto" w:fill="CCEEFF"/>
            <w:vAlign w:val="bottom"/>
          </w:tcPr>
          <w:p w14:paraId="452FA1AD" w14:textId="77777777" w:rsidR="00D1587D" w:rsidRDefault="00D1587D">
            <w:pPr>
              <w:rPr>
                <w:sz w:val="5"/>
                <w:szCs w:val="5"/>
              </w:rPr>
            </w:pPr>
          </w:p>
        </w:tc>
        <w:tc>
          <w:tcPr>
            <w:tcW w:w="360" w:type="dxa"/>
            <w:tcBorders>
              <w:top w:val="single" w:sz="8" w:space="0" w:color="CCEEFF"/>
            </w:tcBorders>
            <w:shd w:val="clear" w:color="auto" w:fill="CCEEFF"/>
            <w:vAlign w:val="bottom"/>
          </w:tcPr>
          <w:p w14:paraId="4F5A426A" w14:textId="77777777" w:rsidR="00D1587D" w:rsidRDefault="00D1587D">
            <w:pPr>
              <w:rPr>
                <w:sz w:val="5"/>
                <w:szCs w:val="5"/>
              </w:rPr>
            </w:pPr>
          </w:p>
        </w:tc>
        <w:tc>
          <w:tcPr>
            <w:tcW w:w="360" w:type="dxa"/>
            <w:tcBorders>
              <w:top w:val="single" w:sz="8" w:space="0" w:color="auto"/>
            </w:tcBorders>
            <w:shd w:val="clear" w:color="auto" w:fill="CCEEFF"/>
            <w:vAlign w:val="bottom"/>
          </w:tcPr>
          <w:p w14:paraId="54B2C1CF" w14:textId="77777777" w:rsidR="00D1587D" w:rsidRDefault="00D1587D">
            <w:pPr>
              <w:rPr>
                <w:sz w:val="5"/>
                <w:szCs w:val="5"/>
              </w:rPr>
            </w:pPr>
          </w:p>
        </w:tc>
        <w:tc>
          <w:tcPr>
            <w:tcW w:w="340" w:type="dxa"/>
            <w:tcBorders>
              <w:top w:val="single" w:sz="8" w:space="0" w:color="CCEEFF"/>
            </w:tcBorders>
            <w:shd w:val="clear" w:color="auto" w:fill="CCEEFF"/>
            <w:vAlign w:val="bottom"/>
          </w:tcPr>
          <w:p w14:paraId="68C21237" w14:textId="77777777" w:rsidR="00D1587D" w:rsidRDefault="00D1587D">
            <w:pPr>
              <w:rPr>
                <w:sz w:val="5"/>
                <w:szCs w:val="5"/>
              </w:rPr>
            </w:pPr>
          </w:p>
        </w:tc>
        <w:tc>
          <w:tcPr>
            <w:tcW w:w="200" w:type="dxa"/>
            <w:tcBorders>
              <w:top w:val="single" w:sz="8" w:space="0" w:color="CCEEFF"/>
            </w:tcBorders>
            <w:shd w:val="clear" w:color="auto" w:fill="CCEEFF"/>
            <w:vAlign w:val="bottom"/>
          </w:tcPr>
          <w:p w14:paraId="7841B705" w14:textId="77777777" w:rsidR="00D1587D" w:rsidRDefault="00D1587D">
            <w:pPr>
              <w:rPr>
                <w:sz w:val="5"/>
                <w:szCs w:val="5"/>
              </w:rPr>
            </w:pPr>
          </w:p>
        </w:tc>
        <w:tc>
          <w:tcPr>
            <w:tcW w:w="360" w:type="dxa"/>
            <w:tcBorders>
              <w:top w:val="single" w:sz="8" w:space="0" w:color="auto"/>
            </w:tcBorders>
            <w:shd w:val="clear" w:color="auto" w:fill="CCEEFF"/>
            <w:vAlign w:val="bottom"/>
          </w:tcPr>
          <w:p w14:paraId="0C17425D" w14:textId="77777777" w:rsidR="00D1587D" w:rsidRDefault="00D1587D">
            <w:pPr>
              <w:rPr>
                <w:sz w:val="5"/>
                <w:szCs w:val="5"/>
              </w:rPr>
            </w:pPr>
          </w:p>
        </w:tc>
        <w:tc>
          <w:tcPr>
            <w:tcW w:w="40" w:type="dxa"/>
            <w:tcBorders>
              <w:top w:val="single" w:sz="8" w:space="0" w:color="CCEEFF"/>
            </w:tcBorders>
            <w:shd w:val="clear" w:color="auto" w:fill="CCEEFF"/>
            <w:vAlign w:val="bottom"/>
          </w:tcPr>
          <w:p w14:paraId="7359B3E3" w14:textId="77777777" w:rsidR="00D1587D" w:rsidRDefault="00D1587D">
            <w:pPr>
              <w:rPr>
                <w:sz w:val="5"/>
                <w:szCs w:val="5"/>
              </w:rPr>
            </w:pPr>
          </w:p>
        </w:tc>
      </w:tr>
      <w:tr w:rsidR="00D1587D" w14:paraId="1CF94A82" w14:textId="77777777">
        <w:trPr>
          <w:trHeight w:val="270"/>
        </w:trPr>
        <w:tc>
          <w:tcPr>
            <w:tcW w:w="6180" w:type="dxa"/>
            <w:vAlign w:val="bottom"/>
          </w:tcPr>
          <w:p w14:paraId="4B596876" w14:textId="77777777" w:rsidR="00D1587D" w:rsidRDefault="00410D07">
            <w:pPr>
              <w:rPr>
                <w:sz w:val="20"/>
                <w:szCs w:val="20"/>
              </w:rPr>
            </w:pPr>
            <w:r>
              <w:rPr>
                <w:rFonts w:ascii="Arial" w:eastAsia="Arial" w:hAnsi="Arial" w:cs="Arial"/>
                <w:b/>
                <w:bCs/>
                <w:sz w:val="18"/>
                <w:szCs w:val="18"/>
              </w:rPr>
              <w:t xml:space="preserve">Total </w:t>
            </w:r>
            <w:r>
              <w:rPr>
                <w:rFonts w:ascii="Arial" w:eastAsia="Arial" w:hAnsi="Arial" w:cs="Arial"/>
                <w:b/>
                <w:bCs/>
                <w:sz w:val="18"/>
                <w:szCs w:val="18"/>
              </w:rPr>
              <w:t>Accrued Expenses and Other</w:t>
            </w:r>
          </w:p>
        </w:tc>
        <w:tc>
          <w:tcPr>
            <w:tcW w:w="400" w:type="dxa"/>
            <w:gridSpan w:val="3"/>
            <w:vAlign w:val="bottom"/>
          </w:tcPr>
          <w:p w14:paraId="40094325" w14:textId="77777777" w:rsidR="00D1587D" w:rsidRDefault="00410D07">
            <w:pPr>
              <w:jc w:val="right"/>
              <w:rPr>
                <w:sz w:val="20"/>
                <w:szCs w:val="20"/>
              </w:rPr>
            </w:pPr>
            <w:r>
              <w:rPr>
                <w:rFonts w:ascii="Arial" w:eastAsia="Arial" w:hAnsi="Arial" w:cs="Arial"/>
                <w:w w:val="94"/>
                <w:sz w:val="18"/>
                <w:szCs w:val="18"/>
                <w:u w:val="single"/>
              </w:rPr>
              <w:t>$</w:t>
            </w:r>
            <w:r>
              <w:rPr>
                <w:rFonts w:ascii="Arial" w:eastAsia="Arial" w:hAnsi="Arial" w:cs="Arial"/>
                <w:w w:val="94"/>
                <w:sz w:val="18"/>
                <w:szCs w:val="18"/>
              </w:rPr>
              <w:t>688</w:t>
            </w:r>
          </w:p>
        </w:tc>
        <w:tc>
          <w:tcPr>
            <w:tcW w:w="180" w:type="dxa"/>
            <w:vAlign w:val="bottom"/>
          </w:tcPr>
          <w:p w14:paraId="3E61B8D6" w14:textId="77777777" w:rsidR="00D1587D" w:rsidRDefault="00D1587D">
            <w:pPr>
              <w:rPr>
                <w:sz w:val="23"/>
                <w:szCs w:val="23"/>
              </w:rPr>
            </w:pPr>
          </w:p>
        </w:tc>
        <w:tc>
          <w:tcPr>
            <w:tcW w:w="720" w:type="dxa"/>
            <w:gridSpan w:val="2"/>
            <w:vAlign w:val="bottom"/>
          </w:tcPr>
          <w:p w14:paraId="45FCADC7" w14:textId="77777777" w:rsidR="00D1587D" w:rsidRDefault="00410D07">
            <w:pPr>
              <w:jc w:val="right"/>
              <w:rPr>
                <w:sz w:val="20"/>
                <w:szCs w:val="20"/>
              </w:rPr>
            </w:pPr>
            <w:r>
              <w:rPr>
                <w:rFonts w:ascii="Arial" w:eastAsia="Arial" w:hAnsi="Arial" w:cs="Arial"/>
                <w:sz w:val="18"/>
                <w:szCs w:val="18"/>
                <w:u w:val="single"/>
              </w:rPr>
              <w:t>$</w:t>
            </w:r>
            <w:r>
              <w:rPr>
                <w:rFonts w:ascii="Arial" w:eastAsia="Arial" w:hAnsi="Arial" w:cs="Arial"/>
                <w:sz w:val="18"/>
                <w:szCs w:val="18"/>
              </w:rPr>
              <w:t>776</w:t>
            </w:r>
          </w:p>
        </w:tc>
        <w:tc>
          <w:tcPr>
            <w:tcW w:w="340" w:type="dxa"/>
            <w:vAlign w:val="bottom"/>
          </w:tcPr>
          <w:p w14:paraId="09A38270" w14:textId="77777777" w:rsidR="00D1587D" w:rsidRDefault="00D1587D">
            <w:pPr>
              <w:rPr>
                <w:sz w:val="23"/>
                <w:szCs w:val="23"/>
              </w:rPr>
            </w:pPr>
          </w:p>
        </w:tc>
        <w:tc>
          <w:tcPr>
            <w:tcW w:w="600" w:type="dxa"/>
            <w:gridSpan w:val="3"/>
            <w:vAlign w:val="bottom"/>
          </w:tcPr>
          <w:p w14:paraId="60CFBFAD" w14:textId="77777777" w:rsidR="00D1587D" w:rsidRDefault="00410D07">
            <w:pPr>
              <w:ind w:right="40"/>
              <w:jc w:val="right"/>
              <w:rPr>
                <w:sz w:val="20"/>
                <w:szCs w:val="20"/>
              </w:rPr>
            </w:pPr>
            <w:r>
              <w:rPr>
                <w:rFonts w:ascii="Arial" w:eastAsia="Arial" w:hAnsi="Arial" w:cs="Arial"/>
                <w:sz w:val="18"/>
                <w:szCs w:val="18"/>
                <w:u w:val="single"/>
              </w:rPr>
              <w:t>$</w:t>
            </w:r>
            <w:r>
              <w:rPr>
                <w:rFonts w:ascii="Arial" w:eastAsia="Arial" w:hAnsi="Arial" w:cs="Arial"/>
                <w:sz w:val="18"/>
                <w:szCs w:val="18"/>
              </w:rPr>
              <w:t>492</w:t>
            </w:r>
          </w:p>
        </w:tc>
      </w:tr>
      <w:tr w:rsidR="00D1587D" w14:paraId="1E268143" w14:textId="77777777">
        <w:trPr>
          <w:trHeight w:val="20"/>
        </w:trPr>
        <w:tc>
          <w:tcPr>
            <w:tcW w:w="6180" w:type="dxa"/>
            <w:vAlign w:val="bottom"/>
          </w:tcPr>
          <w:p w14:paraId="22AC1DF7" w14:textId="77777777" w:rsidR="00D1587D" w:rsidRDefault="00D1587D">
            <w:pPr>
              <w:spacing w:line="20" w:lineRule="exact"/>
              <w:rPr>
                <w:sz w:val="1"/>
                <w:szCs w:val="1"/>
              </w:rPr>
            </w:pPr>
          </w:p>
        </w:tc>
        <w:tc>
          <w:tcPr>
            <w:tcW w:w="40" w:type="dxa"/>
            <w:vAlign w:val="bottom"/>
          </w:tcPr>
          <w:p w14:paraId="4006642C" w14:textId="77777777" w:rsidR="00D1587D" w:rsidRDefault="00D1587D">
            <w:pPr>
              <w:spacing w:line="20" w:lineRule="exact"/>
              <w:rPr>
                <w:sz w:val="1"/>
                <w:szCs w:val="1"/>
              </w:rPr>
            </w:pPr>
          </w:p>
        </w:tc>
        <w:tc>
          <w:tcPr>
            <w:tcW w:w="340" w:type="dxa"/>
            <w:tcBorders>
              <w:top w:val="single" w:sz="8" w:space="0" w:color="auto"/>
              <w:bottom w:val="single" w:sz="8" w:space="0" w:color="auto"/>
            </w:tcBorders>
            <w:vAlign w:val="bottom"/>
          </w:tcPr>
          <w:p w14:paraId="503DC4D9" w14:textId="77777777" w:rsidR="00D1587D" w:rsidRDefault="00D1587D">
            <w:pPr>
              <w:spacing w:line="20" w:lineRule="exact"/>
              <w:rPr>
                <w:sz w:val="1"/>
                <w:szCs w:val="1"/>
              </w:rPr>
            </w:pPr>
          </w:p>
        </w:tc>
        <w:tc>
          <w:tcPr>
            <w:tcW w:w="20" w:type="dxa"/>
            <w:tcBorders>
              <w:top w:val="single" w:sz="8" w:space="0" w:color="auto"/>
            </w:tcBorders>
            <w:vAlign w:val="bottom"/>
          </w:tcPr>
          <w:p w14:paraId="6CB5A301" w14:textId="77777777" w:rsidR="00D1587D" w:rsidRDefault="00D1587D">
            <w:pPr>
              <w:spacing w:line="20" w:lineRule="exact"/>
              <w:rPr>
                <w:sz w:val="1"/>
                <w:szCs w:val="1"/>
              </w:rPr>
            </w:pPr>
          </w:p>
        </w:tc>
        <w:tc>
          <w:tcPr>
            <w:tcW w:w="180" w:type="dxa"/>
            <w:vAlign w:val="bottom"/>
          </w:tcPr>
          <w:p w14:paraId="0F3B45F7" w14:textId="77777777" w:rsidR="00D1587D" w:rsidRDefault="00D1587D">
            <w:pPr>
              <w:spacing w:line="20" w:lineRule="exact"/>
              <w:rPr>
                <w:sz w:val="1"/>
                <w:szCs w:val="1"/>
              </w:rPr>
            </w:pPr>
          </w:p>
        </w:tc>
        <w:tc>
          <w:tcPr>
            <w:tcW w:w="360" w:type="dxa"/>
            <w:vAlign w:val="bottom"/>
          </w:tcPr>
          <w:p w14:paraId="6FF7DE15" w14:textId="77777777" w:rsidR="00D1587D" w:rsidRDefault="00D1587D">
            <w:pPr>
              <w:spacing w:line="20" w:lineRule="exact"/>
              <w:rPr>
                <w:sz w:val="1"/>
                <w:szCs w:val="1"/>
              </w:rPr>
            </w:pPr>
          </w:p>
        </w:tc>
        <w:tc>
          <w:tcPr>
            <w:tcW w:w="360" w:type="dxa"/>
            <w:tcBorders>
              <w:top w:val="single" w:sz="8" w:space="0" w:color="auto"/>
              <w:bottom w:val="single" w:sz="8" w:space="0" w:color="auto"/>
            </w:tcBorders>
            <w:vAlign w:val="bottom"/>
          </w:tcPr>
          <w:p w14:paraId="130FC52A" w14:textId="77777777" w:rsidR="00D1587D" w:rsidRDefault="00D1587D">
            <w:pPr>
              <w:spacing w:line="20" w:lineRule="exact"/>
              <w:rPr>
                <w:sz w:val="1"/>
                <w:szCs w:val="1"/>
              </w:rPr>
            </w:pPr>
          </w:p>
        </w:tc>
        <w:tc>
          <w:tcPr>
            <w:tcW w:w="340" w:type="dxa"/>
            <w:vAlign w:val="bottom"/>
          </w:tcPr>
          <w:p w14:paraId="5F0BA7B6" w14:textId="77777777" w:rsidR="00D1587D" w:rsidRDefault="00D1587D">
            <w:pPr>
              <w:spacing w:line="20" w:lineRule="exact"/>
              <w:rPr>
                <w:sz w:val="1"/>
                <w:szCs w:val="1"/>
              </w:rPr>
            </w:pPr>
          </w:p>
        </w:tc>
        <w:tc>
          <w:tcPr>
            <w:tcW w:w="200" w:type="dxa"/>
            <w:vAlign w:val="bottom"/>
          </w:tcPr>
          <w:p w14:paraId="5D2DC795" w14:textId="77777777" w:rsidR="00D1587D" w:rsidRDefault="00D1587D">
            <w:pPr>
              <w:spacing w:line="20" w:lineRule="exact"/>
              <w:rPr>
                <w:sz w:val="1"/>
                <w:szCs w:val="1"/>
              </w:rPr>
            </w:pPr>
          </w:p>
        </w:tc>
        <w:tc>
          <w:tcPr>
            <w:tcW w:w="360" w:type="dxa"/>
            <w:tcBorders>
              <w:top w:val="single" w:sz="8" w:space="0" w:color="auto"/>
              <w:bottom w:val="single" w:sz="8" w:space="0" w:color="auto"/>
            </w:tcBorders>
            <w:vAlign w:val="bottom"/>
          </w:tcPr>
          <w:p w14:paraId="404E907F" w14:textId="77777777" w:rsidR="00D1587D" w:rsidRDefault="00D1587D">
            <w:pPr>
              <w:spacing w:line="20" w:lineRule="exact"/>
              <w:rPr>
                <w:sz w:val="1"/>
                <w:szCs w:val="1"/>
              </w:rPr>
            </w:pPr>
          </w:p>
        </w:tc>
        <w:tc>
          <w:tcPr>
            <w:tcW w:w="40" w:type="dxa"/>
            <w:vAlign w:val="bottom"/>
          </w:tcPr>
          <w:p w14:paraId="210A2B29" w14:textId="77777777" w:rsidR="00D1587D" w:rsidRDefault="00D1587D">
            <w:pPr>
              <w:spacing w:line="20" w:lineRule="exact"/>
              <w:rPr>
                <w:sz w:val="1"/>
                <w:szCs w:val="1"/>
              </w:rPr>
            </w:pPr>
          </w:p>
        </w:tc>
      </w:tr>
    </w:tbl>
    <w:p w14:paraId="4639B81D" w14:textId="77777777" w:rsidR="00D1587D" w:rsidRDefault="00410D07">
      <w:pPr>
        <w:spacing w:line="20" w:lineRule="exact"/>
        <w:rPr>
          <w:sz w:val="20"/>
          <w:szCs w:val="20"/>
        </w:rPr>
      </w:pPr>
      <w:r>
        <w:rPr>
          <w:noProof/>
          <w:sz w:val="20"/>
          <w:szCs w:val="20"/>
        </w:rPr>
        <w:drawing>
          <wp:anchor distT="0" distB="0" distL="114300" distR="114300" simplePos="0" relativeHeight="252176384" behindDoc="1" locked="0" layoutInCell="0" allowOverlap="1" wp14:anchorId="32545C8D" wp14:editId="696F54B4">
            <wp:simplePos x="0" y="0"/>
            <wp:positionH relativeFrom="column">
              <wp:posOffset>5054600</wp:posOffset>
            </wp:positionH>
            <wp:positionV relativeFrom="paragraph">
              <wp:posOffset>-2673985</wp:posOffset>
            </wp:positionV>
            <wp:extent cx="205740" cy="8255"/>
            <wp:effectExtent l="0" t="0" r="0" b="0"/>
            <wp:wrapNone/>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74"/>
                    <a:srcRect/>
                    <a:stretch>
                      <a:fillRect/>
                    </a:stretch>
                  </pic:blipFill>
                  <pic:spPr bwMode="auto">
                    <a:xfrm>
                      <a:off x="0" y="0"/>
                      <a:ext cx="205740" cy="8255"/>
                    </a:xfrm>
                    <a:prstGeom prst="rect">
                      <a:avLst/>
                    </a:prstGeom>
                    <a:noFill/>
                  </pic:spPr>
                </pic:pic>
              </a:graphicData>
            </a:graphic>
          </wp:anchor>
        </w:drawing>
      </w:r>
      <w:r>
        <w:rPr>
          <w:noProof/>
          <w:sz w:val="20"/>
          <w:szCs w:val="20"/>
        </w:rPr>
        <w:drawing>
          <wp:anchor distT="0" distB="0" distL="114300" distR="114300" simplePos="0" relativeHeight="252177408" behindDoc="1" locked="0" layoutInCell="0" allowOverlap="1" wp14:anchorId="6F11622B" wp14:editId="08EFF13A">
            <wp:simplePos x="0" y="0"/>
            <wp:positionH relativeFrom="column">
              <wp:posOffset>4385945</wp:posOffset>
            </wp:positionH>
            <wp:positionV relativeFrom="paragraph">
              <wp:posOffset>-2673985</wp:posOffset>
            </wp:positionV>
            <wp:extent cx="205740" cy="8255"/>
            <wp:effectExtent l="0" t="0" r="0" b="0"/>
            <wp:wrapNone/>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74"/>
                    <a:srcRect/>
                    <a:stretch>
                      <a:fillRect/>
                    </a:stretch>
                  </pic:blipFill>
                  <pic:spPr bwMode="auto">
                    <a:xfrm>
                      <a:off x="0" y="0"/>
                      <a:ext cx="205740" cy="8255"/>
                    </a:xfrm>
                    <a:prstGeom prst="rect">
                      <a:avLst/>
                    </a:prstGeom>
                    <a:noFill/>
                  </pic:spPr>
                </pic:pic>
              </a:graphicData>
            </a:graphic>
          </wp:anchor>
        </w:drawing>
      </w:r>
    </w:p>
    <w:p w14:paraId="2F590308" w14:textId="77777777" w:rsidR="00D1587D" w:rsidRDefault="00D1587D">
      <w:pPr>
        <w:spacing w:line="272" w:lineRule="exact"/>
        <w:rPr>
          <w:sz w:val="20"/>
          <w:szCs w:val="20"/>
        </w:rPr>
      </w:pPr>
    </w:p>
    <w:p w14:paraId="04D6233A" w14:textId="77777777" w:rsidR="00D1587D" w:rsidRDefault="00410D07">
      <w:pPr>
        <w:ind w:left="300"/>
        <w:rPr>
          <w:sz w:val="20"/>
          <w:szCs w:val="20"/>
        </w:rPr>
      </w:pPr>
      <w:r>
        <w:rPr>
          <w:rFonts w:ascii="Arial" w:eastAsia="Arial" w:hAnsi="Arial" w:cs="Arial"/>
          <w:b/>
          <w:bCs/>
          <w:sz w:val="18"/>
          <w:szCs w:val="18"/>
        </w:rPr>
        <w:t>8. Income Taxes</w:t>
      </w:r>
    </w:p>
    <w:p w14:paraId="261208F7" w14:textId="77777777" w:rsidR="00D1587D" w:rsidRDefault="00D1587D">
      <w:pPr>
        <w:spacing w:line="121" w:lineRule="exact"/>
        <w:rPr>
          <w:sz w:val="20"/>
          <w:szCs w:val="20"/>
        </w:rPr>
      </w:pPr>
    </w:p>
    <w:p w14:paraId="1CEEBB9B" w14:textId="77777777" w:rsidR="00D1587D" w:rsidRDefault="00410D07">
      <w:pPr>
        <w:spacing w:line="311" w:lineRule="auto"/>
        <w:ind w:left="300" w:right="699"/>
        <w:rPr>
          <w:sz w:val="20"/>
          <w:szCs w:val="20"/>
        </w:rPr>
      </w:pPr>
      <w:r>
        <w:rPr>
          <w:rFonts w:ascii="Arial" w:eastAsia="Arial" w:hAnsi="Arial" w:cs="Arial"/>
          <w:sz w:val="16"/>
          <w:szCs w:val="16"/>
        </w:rPr>
        <w:t xml:space="preserve">For purposes of our combined financial statements, income taxes have been calculated as if we file income tax returns for the Company on a standalone basis. The </w:t>
      </w:r>
      <w:r>
        <w:rPr>
          <w:rFonts w:ascii="Arial" w:eastAsia="Arial" w:hAnsi="Arial" w:cs="Arial"/>
          <w:sz w:val="16"/>
          <w:szCs w:val="16"/>
        </w:rPr>
        <w:t>Company’s U.S. operations and certain of its non-U.S. operations historically have been included in the income tax returns of L Brands or its subsidiaries that may not</w:t>
      </w:r>
    </w:p>
    <w:p w14:paraId="0D9FF4EA" w14:textId="77777777" w:rsidR="00D1587D" w:rsidRDefault="00D1587D">
      <w:pPr>
        <w:spacing w:line="149" w:lineRule="exact"/>
        <w:rPr>
          <w:sz w:val="20"/>
          <w:szCs w:val="20"/>
        </w:rPr>
      </w:pPr>
    </w:p>
    <w:p w14:paraId="4C83730C" w14:textId="77777777" w:rsidR="00D1587D" w:rsidRDefault="00410D07">
      <w:pPr>
        <w:jc w:val="center"/>
        <w:rPr>
          <w:sz w:val="20"/>
          <w:szCs w:val="20"/>
        </w:rPr>
      </w:pPr>
      <w:r>
        <w:rPr>
          <w:rFonts w:ascii="Arial" w:eastAsia="Arial" w:hAnsi="Arial" w:cs="Arial"/>
          <w:sz w:val="18"/>
          <w:szCs w:val="18"/>
        </w:rPr>
        <w:t>F-39</w:t>
      </w:r>
    </w:p>
    <w:p w14:paraId="69E17C7B" w14:textId="77777777" w:rsidR="00D1587D" w:rsidRDefault="00410D07">
      <w:pPr>
        <w:spacing w:line="20" w:lineRule="exact"/>
        <w:rPr>
          <w:sz w:val="20"/>
          <w:szCs w:val="20"/>
        </w:rPr>
      </w:pPr>
      <w:r>
        <w:rPr>
          <w:noProof/>
          <w:sz w:val="20"/>
          <w:szCs w:val="20"/>
        </w:rPr>
        <w:drawing>
          <wp:anchor distT="0" distB="0" distL="114300" distR="114300" simplePos="0" relativeHeight="252178432" behindDoc="1" locked="0" layoutInCell="0" allowOverlap="1" wp14:anchorId="7805FD3B" wp14:editId="18D0C55C">
            <wp:simplePos x="0" y="0"/>
            <wp:positionH relativeFrom="column">
              <wp:posOffset>-636905</wp:posOffset>
            </wp:positionH>
            <wp:positionV relativeFrom="paragraph">
              <wp:posOffset>134620</wp:posOffset>
            </wp:positionV>
            <wp:extent cx="6995160" cy="17145"/>
            <wp:effectExtent l="0" t="0" r="0" b="0"/>
            <wp:wrapNone/>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8"/>
                    <a:srcRect/>
                    <a:stretch>
                      <a:fillRect/>
                    </a:stretch>
                  </pic:blipFill>
                  <pic:spPr bwMode="auto">
                    <a:xfrm>
                      <a:off x="0" y="0"/>
                      <a:ext cx="6995160" cy="17145"/>
                    </a:xfrm>
                    <a:prstGeom prst="rect">
                      <a:avLst/>
                    </a:prstGeom>
                    <a:noFill/>
                  </pic:spPr>
                </pic:pic>
              </a:graphicData>
            </a:graphic>
          </wp:anchor>
        </w:drawing>
      </w:r>
    </w:p>
    <w:p w14:paraId="0A7174D2" w14:textId="77777777" w:rsidR="00D1587D" w:rsidRDefault="00D1587D">
      <w:pPr>
        <w:sectPr w:rsidR="00D1587D">
          <w:pgSz w:w="11900" w:h="16838"/>
          <w:pgMar w:top="265" w:right="1440" w:bottom="1440" w:left="1440" w:header="0" w:footer="0" w:gutter="0"/>
          <w:cols w:space="720" w:equalWidth="0">
            <w:col w:w="9019"/>
          </w:cols>
        </w:sectPr>
      </w:pPr>
    </w:p>
    <w:bookmarkStart w:id="435" w:name="page436"/>
    <w:bookmarkEnd w:id="435"/>
    <w:p w14:paraId="3D9B529D" w14:textId="77777777" w:rsidR="00D1587D" w:rsidRDefault="00410D07">
      <w:pPr>
        <w:ind w:left="1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0ABD1EF7" w14:textId="77777777" w:rsidR="00D1587D" w:rsidRDefault="00D1587D">
      <w:pPr>
        <w:spacing w:line="131" w:lineRule="exact"/>
        <w:rPr>
          <w:sz w:val="20"/>
          <w:szCs w:val="20"/>
        </w:rPr>
      </w:pPr>
    </w:p>
    <w:p w14:paraId="1459999D" w14:textId="77777777" w:rsidR="00D1587D" w:rsidRDefault="00410D07">
      <w:pPr>
        <w:spacing w:line="311" w:lineRule="auto"/>
        <w:ind w:left="1300" w:right="1300"/>
        <w:rPr>
          <w:sz w:val="20"/>
          <w:szCs w:val="20"/>
        </w:rPr>
      </w:pPr>
      <w:r>
        <w:rPr>
          <w:rFonts w:ascii="Arial" w:eastAsia="Arial" w:hAnsi="Arial" w:cs="Arial"/>
          <w:sz w:val="16"/>
          <w:szCs w:val="16"/>
        </w:rPr>
        <w:t xml:space="preserve">be part of </w:t>
      </w:r>
      <w:r>
        <w:rPr>
          <w:rFonts w:ascii="Arial" w:eastAsia="Arial" w:hAnsi="Arial" w:cs="Arial"/>
          <w:sz w:val="16"/>
          <w:szCs w:val="16"/>
        </w:rPr>
        <w:t>the Company. The Company believes the assumptions supporting its allocation and presentation of income taxes on a separate return basis are reasonable. However, the Company’s tax results, as presented in the combined financial statements, may not be reflec</w:t>
      </w:r>
      <w:r>
        <w:rPr>
          <w:rFonts w:ascii="Arial" w:eastAsia="Arial" w:hAnsi="Arial" w:cs="Arial"/>
          <w:sz w:val="16"/>
          <w:szCs w:val="16"/>
        </w:rPr>
        <w:t>tive of the results that the Company expects to generate in the future.</w:t>
      </w:r>
    </w:p>
    <w:p w14:paraId="4C66D222" w14:textId="77777777" w:rsidR="00D1587D" w:rsidRDefault="00D1587D">
      <w:pPr>
        <w:spacing w:line="41" w:lineRule="exact"/>
        <w:rPr>
          <w:sz w:val="20"/>
          <w:szCs w:val="20"/>
        </w:rPr>
      </w:pPr>
    </w:p>
    <w:p w14:paraId="1F9841BD" w14:textId="77777777" w:rsidR="00D1587D" w:rsidRDefault="00410D07">
      <w:pPr>
        <w:spacing w:line="311" w:lineRule="auto"/>
        <w:ind w:left="1300" w:right="1520"/>
        <w:rPr>
          <w:sz w:val="20"/>
          <w:szCs w:val="20"/>
        </w:rPr>
      </w:pPr>
      <w:r>
        <w:rPr>
          <w:rFonts w:ascii="Arial" w:eastAsia="Arial" w:hAnsi="Arial" w:cs="Arial"/>
          <w:sz w:val="16"/>
          <w:szCs w:val="16"/>
        </w:rPr>
        <w:t>For the first quarter of 2021, the Company calculated the provision for income taxes on the current estimate of the annual effective tax rate and adjusted as necessary for quarterly e</w:t>
      </w:r>
      <w:r>
        <w:rPr>
          <w:rFonts w:ascii="Arial" w:eastAsia="Arial" w:hAnsi="Arial" w:cs="Arial"/>
          <w:sz w:val="16"/>
          <w:szCs w:val="16"/>
        </w:rPr>
        <w:t>vents. Due to the impacts of the COVID-19 pandemic, the income tax expense for the first quarter of 2020 was computed on a year-to-date effective tax rate.</w:t>
      </w:r>
    </w:p>
    <w:p w14:paraId="2F1EABE7" w14:textId="77777777" w:rsidR="00D1587D" w:rsidRDefault="00D1587D">
      <w:pPr>
        <w:spacing w:line="41" w:lineRule="exact"/>
        <w:rPr>
          <w:sz w:val="20"/>
          <w:szCs w:val="20"/>
        </w:rPr>
      </w:pPr>
    </w:p>
    <w:p w14:paraId="46B59841" w14:textId="77777777" w:rsidR="00D1587D" w:rsidRDefault="00410D07">
      <w:pPr>
        <w:spacing w:line="272" w:lineRule="auto"/>
        <w:ind w:left="1300" w:right="1420"/>
        <w:rPr>
          <w:sz w:val="20"/>
          <w:szCs w:val="20"/>
        </w:rPr>
      </w:pPr>
      <w:r>
        <w:rPr>
          <w:rFonts w:ascii="Arial" w:eastAsia="Arial" w:hAnsi="Arial" w:cs="Arial"/>
          <w:sz w:val="17"/>
          <w:szCs w:val="17"/>
        </w:rPr>
        <w:t xml:space="preserve">For the first quarter of 2021, the Company’s effective tax rate was 22.5% compared to 20.8% in the </w:t>
      </w:r>
      <w:r>
        <w:rPr>
          <w:rFonts w:ascii="Arial" w:eastAsia="Arial" w:hAnsi="Arial" w:cs="Arial"/>
          <w:sz w:val="17"/>
          <w:szCs w:val="17"/>
        </w:rPr>
        <w:t xml:space="preserve">first quarter of 2020. The first quarter of 2021 rate was lower than the Company’s combined estimated federal and state statutory rate primarily due to the recognition of excess tax benefits recorded through the income statement on share-based awards that </w:t>
      </w:r>
      <w:r>
        <w:rPr>
          <w:rFonts w:ascii="Arial" w:eastAsia="Arial" w:hAnsi="Arial" w:cs="Arial"/>
          <w:sz w:val="17"/>
          <w:szCs w:val="17"/>
        </w:rPr>
        <w:t xml:space="preserve">vested in the quarter. In the first quarter of 2020, the Company recognized a benefit for income taxes of $78 million on a loss before income taxes of $377 million. The first quarter of 2020 rate was lower than the Company’s combined estimated federal and </w:t>
      </w:r>
      <w:r>
        <w:rPr>
          <w:rFonts w:ascii="Arial" w:eastAsia="Arial" w:hAnsi="Arial" w:cs="Arial"/>
          <w:sz w:val="17"/>
          <w:szCs w:val="17"/>
        </w:rPr>
        <w:t>state statutory rate primarily due to losses related to certain foreign subsidiaries, which generate no tax benefit.</w:t>
      </w:r>
    </w:p>
    <w:p w14:paraId="3F9EDF90" w14:textId="77777777" w:rsidR="00D1587D" w:rsidRDefault="00D1587D">
      <w:pPr>
        <w:spacing w:line="69" w:lineRule="exact"/>
        <w:rPr>
          <w:sz w:val="20"/>
          <w:szCs w:val="20"/>
        </w:rPr>
      </w:pPr>
    </w:p>
    <w:p w14:paraId="4CF36B02" w14:textId="77777777" w:rsidR="00D1587D" w:rsidRDefault="00410D07">
      <w:pPr>
        <w:spacing w:line="277" w:lineRule="auto"/>
        <w:ind w:left="1300" w:right="1420"/>
        <w:rPr>
          <w:sz w:val="20"/>
          <w:szCs w:val="20"/>
        </w:rPr>
      </w:pPr>
      <w:r>
        <w:rPr>
          <w:rFonts w:ascii="Arial" w:eastAsia="Arial" w:hAnsi="Arial" w:cs="Arial"/>
          <w:sz w:val="18"/>
          <w:szCs w:val="18"/>
        </w:rPr>
        <w:t xml:space="preserve">The Company would have paid $1 million and $6 million for the first quarter of 2021 and 2020, respectively, had it filed its own </w:t>
      </w:r>
      <w:r>
        <w:rPr>
          <w:rFonts w:ascii="Arial" w:eastAsia="Arial" w:hAnsi="Arial" w:cs="Arial"/>
          <w:sz w:val="18"/>
          <w:szCs w:val="18"/>
        </w:rPr>
        <w:t>separate returns in those years.</w:t>
      </w:r>
    </w:p>
    <w:p w14:paraId="315D0172" w14:textId="77777777" w:rsidR="00D1587D" w:rsidRDefault="00D1587D">
      <w:pPr>
        <w:spacing w:line="207" w:lineRule="exact"/>
        <w:rPr>
          <w:sz w:val="20"/>
          <w:szCs w:val="20"/>
        </w:rPr>
      </w:pPr>
    </w:p>
    <w:p w14:paraId="580D4476" w14:textId="77777777" w:rsidR="00D1587D" w:rsidRDefault="00410D07">
      <w:pPr>
        <w:ind w:left="1300"/>
        <w:rPr>
          <w:sz w:val="20"/>
          <w:szCs w:val="20"/>
        </w:rPr>
      </w:pPr>
      <w:r>
        <w:rPr>
          <w:rFonts w:ascii="Arial" w:eastAsia="Arial" w:hAnsi="Arial" w:cs="Arial"/>
          <w:b/>
          <w:bCs/>
          <w:sz w:val="18"/>
          <w:szCs w:val="18"/>
        </w:rPr>
        <w:t>9. Borrowing Facilities</w:t>
      </w:r>
    </w:p>
    <w:p w14:paraId="100838BD" w14:textId="77777777" w:rsidR="00D1587D" w:rsidRDefault="00D1587D">
      <w:pPr>
        <w:spacing w:line="121" w:lineRule="exact"/>
        <w:rPr>
          <w:sz w:val="20"/>
          <w:szCs w:val="20"/>
        </w:rPr>
      </w:pPr>
    </w:p>
    <w:p w14:paraId="26756448" w14:textId="77777777" w:rsidR="00D1587D" w:rsidRDefault="00410D07">
      <w:pPr>
        <w:spacing w:line="273" w:lineRule="auto"/>
        <w:ind w:left="1300" w:right="1620"/>
        <w:rPr>
          <w:sz w:val="20"/>
          <w:szCs w:val="20"/>
        </w:rPr>
      </w:pPr>
      <w:r>
        <w:rPr>
          <w:rFonts w:ascii="Arial" w:eastAsia="Arial" w:hAnsi="Arial" w:cs="Arial"/>
          <w:sz w:val="17"/>
          <w:szCs w:val="17"/>
        </w:rPr>
        <w:t>Certain of the Company’s China subsidiaries utilize revolving and term loan bank facilities to support their operations. The Foreign Facilities allow borrowings in U.S. dollars and Chinese Yuan, an</w:t>
      </w:r>
      <w:r>
        <w:rPr>
          <w:rFonts w:ascii="Arial" w:eastAsia="Arial" w:hAnsi="Arial" w:cs="Arial"/>
          <w:sz w:val="17"/>
          <w:szCs w:val="17"/>
        </w:rPr>
        <w:t xml:space="preserve">d interest rates on outstanding borrowings are based upon the applicable benchmark rate for the currency of each borrowing. These facilities are guaranteed by the Company and certain of the Company’s 100% owned subsidiaries. As of May 1, 2021, the Foreign </w:t>
      </w:r>
      <w:r>
        <w:rPr>
          <w:rFonts w:ascii="Arial" w:eastAsia="Arial" w:hAnsi="Arial" w:cs="Arial"/>
          <w:sz w:val="17"/>
          <w:szCs w:val="17"/>
        </w:rPr>
        <w:t>Facilities allow for borrowings and letters of credit up to $30 million, and there were no borrowings outstanding under the Foreign Facilities.</w:t>
      </w:r>
    </w:p>
    <w:p w14:paraId="0094EBC9" w14:textId="77777777" w:rsidR="00D1587D" w:rsidRDefault="00D1587D">
      <w:pPr>
        <w:spacing w:line="214" w:lineRule="exact"/>
        <w:rPr>
          <w:sz w:val="20"/>
          <w:szCs w:val="20"/>
        </w:rPr>
      </w:pPr>
    </w:p>
    <w:p w14:paraId="6C263863" w14:textId="77777777" w:rsidR="00D1587D" w:rsidRDefault="00410D07">
      <w:pPr>
        <w:ind w:left="1300"/>
        <w:rPr>
          <w:sz w:val="20"/>
          <w:szCs w:val="20"/>
        </w:rPr>
      </w:pPr>
      <w:r>
        <w:rPr>
          <w:rFonts w:ascii="Arial" w:eastAsia="Arial" w:hAnsi="Arial" w:cs="Arial"/>
          <w:b/>
          <w:bCs/>
          <w:sz w:val="18"/>
          <w:szCs w:val="18"/>
        </w:rPr>
        <w:t>10. Comprehensive Income (Loss)</w:t>
      </w:r>
    </w:p>
    <w:p w14:paraId="114E1AEA" w14:textId="77777777" w:rsidR="00D1587D" w:rsidRDefault="00D1587D">
      <w:pPr>
        <w:spacing w:line="121" w:lineRule="exact"/>
        <w:rPr>
          <w:sz w:val="20"/>
          <w:szCs w:val="20"/>
        </w:rPr>
      </w:pPr>
    </w:p>
    <w:p w14:paraId="7C6B4611" w14:textId="77777777" w:rsidR="00D1587D" w:rsidRDefault="00410D07">
      <w:pPr>
        <w:spacing w:line="277" w:lineRule="auto"/>
        <w:ind w:left="1300" w:right="1380"/>
        <w:rPr>
          <w:sz w:val="20"/>
          <w:szCs w:val="20"/>
        </w:rPr>
      </w:pPr>
      <w:r>
        <w:rPr>
          <w:rFonts w:ascii="Arial" w:eastAsia="Arial" w:hAnsi="Arial" w:cs="Arial"/>
          <w:sz w:val="18"/>
          <w:szCs w:val="18"/>
        </w:rPr>
        <w:t>The following table provides the rollforward of accumulated other comprehensiv</w:t>
      </w:r>
      <w:r>
        <w:rPr>
          <w:rFonts w:ascii="Arial" w:eastAsia="Arial" w:hAnsi="Arial" w:cs="Arial"/>
          <w:sz w:val="18"/>
          <w:szCs w:val="18"/>
        </w:rPr>
        <w:t>e income (loss) for the first quarter of 2021:</w:t>
      </w:r>
    </w:p>
    <w:p w14:paraId="3A6BE9D2" w14:textId="77777777" w:rsidR="00D1587D" w:rsidRDefault="00D1587D">
      <w:pPr>
        <w:spacing w:line="122" w:lineRule="exact"/>
        <w:rPr>
          <w:sz w:val="20"/>
          <w:szCs w:val="20"/>
        </w:rPr>
      </w:pPr>
    </w:p>
    <w:tbl>
      <w:tblPr>
        <w:tblW w:w="0" w:type="auto"/>
        <w:tblInd w:w="1300" w:type="dxa"/>
        <w:tblLayout w:type="fixed"/>
        <w:tblCellMar>
          <w:left w:w="0" w:type="dxa"/>
          <w:right w:w="0" w:type="dxa"/>
        </w:tblCellMar>
        <w:tblLook w:val="04A0" w:firstRow="1" w:lastRow="0" w:firstColumn="1" w:lastColumn="0" w:noHBand="0" w:noVBand="1"/>
      </w:tblPr>
      <w:tblGrid>
        <w:gridCol w:w="5640"/>
        <w:gridCol w:w="220"/>
        <w:gridCol w:w="260"/>
        <w:gridCol w:w="340"/>
        <w:gridCol w:w="300"/>
        <w:gridCol w:w="260"/>
        <w:gridCol w:w="400"/>
        <w:gridCol w:w="360"/>
        <w:gridCol w:w="280"/>
        <w:gridCol w:w="360"/>
        <w:gridCol w:w="20"/>
      </w:tblGrid>
      <w:tr w:rsidR="00D1587D" w14:paraId="267BE353" w14:textId="77777777">
        <w:trPr>
          <w:trHeight w:val="161"/>
        </w:trPr>
        <w:tc>
          <w:tcPr>
            <w:tcW w:w="5640" w:type="dxa"/>
            <w:vAlign w:val="bottom"/>
          </w:tcPr>
          <w:p w14:paraId="58F5E9A4" w14:textId="77777777" w:rsidR="00D1587D" w:rsidRDefault="00D1587D">
            <w:pPr>
              <w:rPr>
                <w:sz w:val="14"/>
                <w:szCs w:val="14"/>
              </w:rPr>
            </w:pPr>
          </w:p>
        </w:tc>
        <w:tc>
          <w:tcPr>
            <w:tcW w:w="820" w:type="dxa"/>
            <w:gridSpan w:val="3"/>
            <w:vMerge w:val="restart"/>
            <w:vAlign w:val="bottom"/>
          </w:tcPr>
          <w:p w14:paraId="6D1115F0" w14:textId="77777777" w:rsidR="00D1587D" w:rsidRDefault="00410D07">
            <w:pPr>
              <w:ind w:right="140"/>
              <w:jc w:val="center"/>
              <w:rPr>
                <w:sz w:val="20"/>
                <w:szCs w:val="20"/>
              </w:rPr>
            </w:pPr>
            <w:r>
              <w:rPr>
                <w:rFonts w:ascii="Arial" w:eastAsia="Arial" w:hAnsi="Arial" w:cs="Arial"/>
                <w:b/>
                <w:bCs/>
                <w:w w:val="93"/>
                <w:sz w:val="14"/>
                <w:szCs w:val="14"/>
              </w:rPr>
              <w:t>Foreign</w:t>
            </w:r>
          </w:p>
        </w:tc>
        <w:tc>
          <w:tcPr>
            <w:tcW w:w="300" w:type="dxa"/>
            <w:vAlign w:val="bottom"/>
          </w:tcPr>
          <w:p w14:paraId="43837E77" w14:textId="77777777" w:rsidR="00D1587D" w:rsidRDefault="00D1587D">
            <w:pPr>
              <w:rPr>
                <w:sz w:val="14"/>
                <w:szCs w:val="14"/>
              </w:rPr>
            </w:pPr>
          </w:p>
        </w:tc>
        <w:tc>
          <w:tcPr>
            <w:tcW w:w="260" w:type="dxa"/>
            <w:vAlign w:val="bottom"/>
          </w:tcPr>
          <w:p w14:paraId="269772D3" w14:textId="77777777" w:rsidR="00D1587D" w:rsidRDefault="00D1587D">
            <w:pPr>
              <w:rPr>
                <w:sz w:val="14"/>
                <w:szCs w:val="14"/>
              </w:rPr>
            </w:pPr>
          </w:p>
        </w:tc>
        <w:tc>
          <w:tcPr>
            <w:tcW w:w="400" w:type="dxa"/>
            <w:vAlign w:val="bottom"/>
          </w:tcPr>
          <w:p w14:paraId="1B1CC918" w14:textId="77777777" w:rsidR="00D1587D" w:rsidRDefault="00D1587D">
            <w:pPr>
              <w:rPr>
                <w:sz w:val="14"/>
                <w:szCs w:val="14"/>
              </w:rPr>
            </w:pPr>
          </w:p>
        </w:tc>
        <w:tc>
          <w:tcPr>
            <w:tcW w:w="1000" w:type="dxa"/>
            <w:gridSpan w:val="3"/>
            <w:vAlign w:val="bottom"/>
          </w:tcPr>
          <w:p w14:paraId="3A5B594A" w14:textId="77777777" w:rsidR="00D1587D" w:rsidRDefault="00410D07">
            <w:pPr>
              <w:ind w:right="20"/>
              <w:jc w:val="center"/>
              <w:rPr>
                <w:sz w:val="20"/>
                <w:szCs w:val="20"/>
              </w:rPr>
            </w:pPr>
            <w:r>
              <w:rPr>
                <w:rFonts w:ascii="Arial" w:eastAsia="Arial" w:hAnsi="Arial" w:cs="Arial"/>
                <w:b/>
                <w:bCs/>
                <w:w w:val="93"/>
                <w:sz w:val="14"/>
                <w:szCs w:val="14"/>
              </w:rPr>
              <w:t>Accumulated</w:t>
            </w:r>
          </w:p>
        </w:tc>
        <w:tc>
          <w:tcPr>
            <w:tcW w:w="0" w:type="dxa"/>
            <w:vAlign w:val="bottom"/>
          </w:tcPr>
          <w:p w14:paraId="5D7D2EDE" w14:textId="77777777" w:rsidR="00D1587D" w:rsidRDefault="00D1587D">
            <w:pPr>
              <w:rPr>
                <w:sz w:val="1"/>
                <w:szCs w:val="1"/>
              </w:rPr>
            </w:pPr>
          </w:p>
        </w:tc>
      </w:tr>
      <w:tr w:rsidR="00D1587D" w14:paraId="40DA473D" w14:textId="77777777">
        <w:trPr>
          <w:trHeight w:val="148"/>
        </w:trPr>
        <w:tc>
          <w:tcPr>
            <w:tcW w:w="5640" w:type="dxa"/>
            <w:vAlign w:val="bottom"/>
          </w:tcPr>
          <w:p w14:paraId="79CCB779" w14:textId="77777777" w:rsidR="00D1587D" w:rsidRDefault="00D1587D">
            <w:pPr>
              <w:rPr>
                <w:sz w:val="12"/>
                <w:szCs w:val="12"/>
              </w:rPr>
            </w:pPr>
          </w:p>
        </w:tc>
        <w:tc>
          <w:tcPr>
            <w:tcW w:w="820" w:type="dxa"/>
            <w:gridSpan w:val="3"/>
            <w:vMerge/>
            <w:vAlign w:val="bottom"/>
          </w:tcPr>
          <w:p w14:paraId="3DA7925F" w14:textId="77777777" w:rsidR="00D1587D" w:rsidRDefault="00D1587D">
            <w:pPr>
              <w:rPr>
                <w:sz w:val="12"/>
                <w:szCs w:val="12"/>
              </w:rPr>
            </w:pPr>
          </w:p>
        </w:tc>
        <w:tc>
          <w:tcPr>
            <w:tcW w:w="960" w:type="dxa"/>
            <w:gridSpan w:val="3"/>
            <w:vMerge w:val="restart"/>
            <w:vAlign w:val="bottom"/>
          </w:tcPr>
          <w:p w14:paraId="60A71243" w14:textId="77777777" w:rsidR="00D1587D" w:rsidRDefault="00410D07">
            <w:pPr>
              <w:ind w:right="200"/>
              <w:jc w:val="right"/>
              <w:rPr>
                <w:sz w:val="20"/>
                <w:szCs w:val="20"/>
              </w:rPr>
            </w:pPr>
            <w:r>
              <w:rPr>
                <w:rFonts w:ascii="Arial" w:eastAsia="Arial" w:hAnsi="Arial" w:cs="Arial"/>
                <w:b/>
                <w:bCs/>
                <w:sz w:val="14"/>
                <w:szCs w:val="14"/>
              </w:rPr>
              <w:t>Cash Flow</w:t>
            </w:r>
          </w:p>
        </w:tc>
        <w:tc>
          <w:tcPr>
            <w:tcW w:w="1000" w:type="dxa"/>
            <w:gridSpan w:val="3"/>
            <w:vAlign w:val="bottom"/>
          </w:tcPr>
          <w:p w14:paraId="047486AF" w14:textId="77777777" w:rsidR="00D1587D" w:rsidRDefault="00410D07">
            <w:pPr>
              <w:spacing w:line="149" w:lineRule="exact"/>
              <w:ind w:right="20"/>
              <w:jc w:val="center"/>
              <w:rPr>
                <w:sz w:val="20"/>
                <w:szCs w:val="20"/>
              </w:rPr>
            </w:pPr>
            <w:r>
              <w:rPr>
                <w:rFonts w:ascii="Arial" w:eastAsia="Arial" w:hAnsi="Arial" w:cs="Arial"/>
                <w:b/>
                <w:bCs/>
                <w:sz w:val="14"/>
                <w:szCs w:val="14"/>
              </w:rPr>
              <w:t>Other</w:t>
            </w:r>
          </w:p>
        </w:tc>
        <w:tc>
          <w:tcPr>
            <w:tcW w:w="0" w:type="dxa"/>
            <w:vAlign w:val="bottom"/>
          </w:tcPr>
          <w:p w14:paraId="055FA219" w14:textId="77777777" w:rsidR="00D1587D" w:rsidRDefault="00D1587D">
            <w:pPr>
              <w:rPr>
                <w:sz w:val="1"/>
                <w:szCs w:val="1"/>
              </w:rPr>
            </w:pPr>
          </w:p>
        </w:tc>
      </w:tr>
      <w:tr w:rsidR="00D1587D" w14:paraId="76E2673E" w14:textId="77777777">
        <w:trPr>
          <w:trHeight w:val="148"/>
        </w:trPr>
        <w:tc>
          <w:tcPr>
            <w:tcW w:w="5640" w:type="dxa"/>
            <w:vAlign w:val="bottom"/>
          </w:tcPr>
          <w:p w14:paraId="10EBC4CE" w14:textId="77777777" w:rsidR="00D1587D" w:rsidRDefault="00D1587D">
            <w:pPr>
              <w:rPr>
                <w:sz w:val="12"/>
                <w:szCs w:val="12"/>
              </w:rPr>
            </w:pPr>
          </w:p>
        </w:tc>
        <w:tc>
          <w:tcPr>
            <w:tcW w:w="820" w:type="dxa"/>
            <w:gridSpan w:val="3"/>
            <w:vAlign w:val="bottom"/>
          </w:tcPr>
          <w:p w14:paraId="3FE9DDEA" w14:textId="77777777" w:rsidR="00D1587D" w:rsidRDefault="00410D07">
            <w:pPr>
              <w:spacing w:line="149" w:lineRule="exact"/>
              <w:ind w:right="160"/>
              <w:jc w:val="center"/>
              <w:rPr>
                <w:sz w:val="20"/>
                <w:szCs w:val="20"/>
              </w:rPr>
            </w:pPr>
            <w:r>
              <w:rPr>
                <w:rFonts w:ascii="Arial" w:eastAsia="Arial" w:hAnsi="Arial" w:cs="Arial"/>
                <w:b/>
                <w:bCs/>
                <w:w w:val="94"/>
                <w:sz w:val="14"/>
                <w:szCs w:val="14"/>
              </w:rPr>
              <w:t>Currency</w:t>
            </w:r>
          </w:p>
        </w:tc>
        <w:tc>
          <w:tcPr>
            <w:tcW w:w="960" w:type="dxa"/>
            <w:gridSpan w:val="3"/>
            <w:vMerge/>
            <w:vAlign w:val="bottom"/>
          </w:tcPr>
          <w:p w14:paraId="09F33400" w14:textId="77777777" w:rsidR="00D1587D" w:rsidRDefault="00D1587D">
            <w:pPr>
              <w:rPr>
                <w:sz w:val="12"/>
                <w:szCs w:val="12"/>
              </w:rPr>
            </w:pPr>
          </w:p>
        </w:tc>
        <w:tc>
          <w:tcPr>
            <w:tcW w:w="1000" w:type="dxa"/>
            <w:gridSpan w:val="3"/>
            <w:vAlign w:val="bottom"/>
          </w:tcPr>
          <w:p w14:paraId="521E9D3F" w14:textId="77777777" w:rsidR="00D1587D" w:rsidRDefault="00410D07">
            <w:pPr>
              <w:spacing w:line="149" w:lineRule="exact"/>
              <w:jc w:val="center"/>
              <w:rPr>
                <w:sz w:val="20"/>
                <w:szCs w:val="20"/>
              </w:rPr>
            </w:pPr>
            <w:r>
              <w:rPr>
                <w:rFonts w:ascii="Arial" w:eastAsia="Arial" w:hAnsi="Arial" w:cs="Arial"/>
                <w:b/>
                <w:bCs/>
                <w:w w:val="89"/>
                <w:sz w:val="14"/>
                <w:szCs w:val="14"/>
              </w:rPr>
              <w:t>Comprehensive</w:t>
            </w:r>
          </w:p>
        </w:tc>
        <w:tc>
          <w:tcPr>
            <w:tcW w:w="0" w:type="dxa"/>
            <w:vAlign w:val="bottom"/>
          </w:tcPr>
          <w:p w14:paraId="7B834B08" w14:textId="77777777" w:rsidR="00D1587D" w:rsidRDefault="00D1587D">
            <w:pPr>
              <w:rPr>
                <w:sz w:val="1"/>
                <w:szCs w:val="1"/>
              </w:rPr>
            </w:pPr>
          </w:p>
        </w:tc>
      </w:tr>
      <w:tr w:rsidR="00D1587D" w14:paraId="3DE253B6" w14:textId="77777777">
        <w:trPr>
          <w:trHeight w:val="186"/>
        </w:trPr>
        <w:tc>
          <w:tcPr>
            <w:tcW w:w="5640" w:type="dxa"/>
            <w:vAlign w:val="bottom"/>
          </w:tcPr>
          <w:p w14:paraId="669FA0BE" w14:textId="77777777" w:rsidR="00D1587D" w:rsidRDefault="00D1587D">
            <w:pPr>
              <w:rPr>
                <w:sz w:val="16"/>
                <w:szCs w:val="16"/>
              </w:rPr>
            </w:pPr>
          </w:p>
        </w:tc>
        <w:tc>
          <w:tcPr>
            <w:tcW w:w="820" w:type="dxa"/>
            <w:gridSpan w:val="3"/>
            <w:vAlign w:val="bottom"/>
          </w:tcPr>
          <w:p w14:paraId="14E69688" w14:textId="77777777" w:rsidR="00D1587D" w:rsidRDefault="00410D07">
            <w:pPr>
              <w:ind w:right="120"/>
              <w:jc w:val="center"/>
              <w:rPr>
                <w:sz w:val="20"/>
                <w:szCs w:val="20"/>
              </w:rPr>
            </w:pPr>
            <w:r>
              <w:rPr>
                <w:rFonts w:ascii="Arial" w:eastAsia="Arial" w:hAnsi="Arial" w:cs="Arial"/>
                <w:b/>
                <w:bCs/>
                <w:w w:val="92"/>
                <w:sz w:val="14"/>
                <w:szCs w:val="14"/>
              </w:rPr>
              <w:t>Translation</w:t>
            </w:r>
          </w:p>
        </w:tc>
        <w:tc>
          <w:tcPr>
            <w:tcW w:w="960" w:type="dxa"/>
            <w:gridSpan w:val="3"/>
            <w:vAlign w:val="bottom"/>
          </w:tcPr>
          <w:p w14:paraId="6D299C65" w14:textId="77777777" w:rsidR="00D1587D" w:rsidRDefault="00410D07">
            <w:pPr>
              <w:ind w:right="300"/>
              <w:jc w:val="right"/>
              <w:rPr>
                <w:sz w:val="20"/>
                <w:szCs w:val="20"/>
              </w:rPr>
            </w:pPr>
            <w:r>
              <w:rPr>
                <w:rFonts w:ascii="Arial" w:eastAsia="Arial" w:hAnsi="Arial" w:cs="Arial"/>
                <w:b/>
                <w:bCs/>
                <w:sz w:val="14"/>
                <w:szCs w:val="14"/>
              </w:rPr>
              <w:t>Hedges</w:t>
            </w:r>
          </w:p>
        </w:tc>
        <w:tc>
          <w:tcPr>
            <w:tcW w:w="1000" w:type="dxa"/>
            <w:gridSpan w:val="3"/>
            <w:vAlign w:val="bottom"/>
          </w:tcPr>
          <w:p w14:paraId="7061C959" w14:textId="77777777" w:rsidR="00D1587D" w:rsidRDefault="00410D07">
            <w:pPr>
              <w:jc w:val="center"/>
              <w:rPr>
                <w:sz w:val="20"/>
                <w:szCs w:val="20"/>
              </w:rPr>
            </w:pPr>
            <w:r>
              <w:rPr>
                <w:rFonts w:ascii="Arial" w:eastAsia="Arial" w:hAnsi="Arial" w:cs="Arial"/>
                <w:b/>
                <w:bCs/>
                <w:w w:val="90"/>
                <w:sz w:val="14"/>
                <w:szCs w:val="14"/>
              </w:rPr>
              <w:t>Income (Loss)</w:t>
            </w:r>
          </w:p>
        </w:tc>
        <w:tc>
          <w:tcPr>
            <w:tcW w:w="0" w:type="dxa"/>
            <w:vAlign w:val="bottom"/>
          </w:tcPr>
          <w:p w14:paraId="72764281" w14:textId="77777777" w:rsidR="00D1587D" w:rsidRDefault="00D1587D">
            <w:pPr>
              <w:rPr>
                <w:sz w:val="1"/>
                <w:szCs w:val="1"/>
              </w:rPr>
            </w:pPr>
          </w:p>
        </w:tc>
      </w:tr>
      <w:tr w:rsidR="00D1587D" w14:paraId="38EEB603" w14:textId="77777777">
        <w:trPr>
          <w:trHeight w:val="53"/>
        </w:trPr>
        <w:tc>
          <w:tcPr>
            <w:tcW w:w="5640" w:type="dxa"/>
            <w:vAlign w:val="bottom"/>
          </w:tcPr>
          <w:p w14:paraId="2EB248E8" w14:textId="77777777" w:rsidR="00D1587D" w:rsidRDefault="00D1587D">
            <w:pPr>
              <w:rPr>
                <w:sz w:val="4"/>
                <w:szCs w:val="4"/>
              </w:rPr>
            </w:pPr>
          </w:p>
        </w:tc>
        <w:tc>
          <w:tcPr>
            <w:tcW w:w="220" w:type="dxa"/>
            <w:tcBorders>
              <w:bottom w:val="single" w:sz="8" w:space="0" w:color="auto"/>
            </w:tcBorders>
            <w:vAlign w:val="bottom"/>
          </w:tcPr>
          <w:p w14:paraId="08A3B351" w14:textId="77777777" w:rsidR="00D1587D" w:rsidRDefault="00D1587D">
            <w:pPr>
              <w:rPr>
                <w:sz w:val="4"/>
                <w:szCs w:val="4"/>
              </w:rPr>
            </w:pPr>
          </w:p>
        </w:tc>
        <w:tc>
          <w:tcPr>
            <w:tcW w:w="260" w:type="dxa"/>
            <w:tcBorders>
              <w:bottom w:val="single" w:sz="8" w:space="0" w:color="auto"/>
            </w:tcBorders>
            <w:vAlign w:val="bottom"/>
          </w:tcPr>
          <w:p w14:paraId="0B22E566" w14:textId="77777777" w:rsidR="00D1587D" w:rsidRDefault="00D1587D">
            <w:pPr>
              <w:rPr>
                <w:sz w:val="4"/>
                <w:szCs w:val="4"/>
              </w:rPr>
            </w:pPr>
          </w:p>
        </w:tc>
        <w:tc>
          <w:tcPr>
            <w:tcW w:w="340" w:type="dxa"/>
            <w:tcBorders>
              <w:bottom w:val="single" w:sz="8" w:space="0" w:color="auto"/>
            </w:tcBorders>
            <w:vAlign w:val="bottom"/>
          </w:tcPr>
          <w:p w14:paraId="54C72BA8" w14:textId="77777777" w:rsidR="00D1587D" w:rsidRDefault="00D1587D">
            <w:pPr>
              <w:rPr>
                <w:sz w:val="4"/>
                <w:szCs w:val="4"/>
              </w:rPr>
            </w:pPr>
          </w:p>
        </w:tc>
        <w:tc>
          <w:tcPr>
            <w:tcW w:w="300" w:type="dxa"/>
            <w:tcBorders>
              <w:bottom w:val="single" w:sz="8" w:space="0" w:color="auto"/>
            </w:tcBorders>
            <w:vAlign w:val="bottom"/>
          </w:tcPr>
          <w:p w14:paraId="77E2AF4F" w14:textId="77777777" w:rsidR="00D1587D" w:rsidRDefault="00D1587D">
            <w:pPr>
              <w:rPr>
                <w:sz w:val="4"/>
                <w:szCs w:val="4"/>
              </w:rPr>
            </w:pPr>
          </w:p>
        </w:tc>
        <w:tc>
          <w:tcPr>
            <w:tcW w:w="260" w:type="dxa"/>
            <w:tcBorders>
              <w:bottom w:val="single" w:sz="8" w:space="0" w:color="auto"/>
            </w:tcBorders>
            <w:vAlign w:val="bottom"/>
          </w:tcPr>
          <w:p w14:paraId="4E6C5D63" w14:textId="77777777" w:rsidR="00D1587D" w:rsidRDefault="00D1587D">
            <w:pPr>
              <w:rPr>
                <w:sz w:val="4"/>
                <w:szCs w:val="4"/>
              </w:rPr>
            </w:pPr>
          </w:p>
        </w:tc>
        <w:tc>
          <w:tcPr>
            <w:tcW w:w="400" w:type="dxa"/>
            <w:tcBorders>
              <w:bottom w:val="single" w:sz="8" w:space="0" w:color="auto"/>
            </w:tcBorders>
            <w:vAlign w:val="bottom"/>
          </w:tcPr>
          <w:p w14:paraId="2E478A30" w14:textId="77777777" w:rsidR="00D1587D" w:rsidRDefault="00D1587D">
            <w:pPr>
              <w:rPr>
                <w:sz w:val="4"/>
                <w:szCs w:val="4"/>
              </w:rPr>
            </w:pPr>
          </w:p>
        </w:tc>
        <w:tc>
          <w:tcPr>
            <w:tcW w:w="360" w:type="dxa"/>
            <w:tcBorders>
              <w:bottom w:val="single" w:sz="8" w:space="0" w:color="auto"/>
            </w:tcBorders>
            <w:vAlign w:val="bottom"/>
          </w:tcPr>
          <w:p w14:paraId="098D2A82" w14:textId="77777777" w:rsidR="00D1587D" w:rsidRDefault="00D1587D">
            <w:pPr>
              <w:rPr>
                <w:sz w:val="4"/>
                <w:szCs w:val="4"/>
              </w:rPr>
            </w:pPr>
          </w:p>
        </w:tc>
        <w:tc>
          <w:tcPr>
            <w:tcW w:w="280" w:type="dxa"/>
            <w:tcBorders>
              <w:bottom w:val="single" w:sz="8" w:space="0" w:color="auto"/>
            </w:tcBorders>
            <w:vAlign w:val="bottom"/>
          </w:tcPr>
          <w:p w14:paraId="07A47341" w14:textId="77777777" w:rsidR="00D1587D" w:rsidRDefault="00D1587D">
            <w:pPr>
              <w:rPr>
                <w:sz w:val="4"/>
                <w:szCs w:val="4"/>
              </w:rPr>
            </w:pPr>
          </w:p>
        </w:tc>
        <w:tc>
          <w:tcPr>
            <w:tcW w:w="360" w:type="dxa"/>
            <w:tcBorders>
              <w:bottom w:val="single" w:sz="8" w:space="0" w:color="auto"/>
            </w:tcBorders>
            <w:vAlign w:val="bottom"/>
          </w:tcPr>
          <w:p w14:paraId="4AE636AA" w14:textId="77777777" w:rsidR="00D1587D" w:rsidRDefault="00D1587D">
            <w:pPr>
              <w:rPr>
                <w:sz w:val="4"/>
                <w:szCs w:val="4"/>
              </w:rPr>
            </w:pPr>
          </w:p>
        </w:tc>
        <w:tc>
          <w:tcPr>
            <w:tcW w:w="0" w:type="dxa"/>
            <w:vAlign w:val="bottom"/>
          </w:tcPr>
          <w:p w14:paraId="7CCBFE7B" w14:textId="77777777" w:rsidR="00D1587D" w:rsidRDefault="00D1587D">
            <w:pPr>
              <w:rPr>
                <w:sz w:val="1"/>
                <w:szCs w:val="1"/>
              </w:rPr>
            </w:pPr>
          </w:p>
        </w:tc>
      </w:tr>
      <w:tr w:rsidR="00D1587D" w14:paraId="0BC0C4FD" w14:textId="77777777">
        <w:trPr>
          <w:trHeight w:val="225"/>
        </w:trPr>
        <w:tc>
          <w:tcPr>
            <w:tcW w:w="5640" w:type="dxa"/>
            <w:vAlign w:val="bottom"/>
          </w:tcPr>
          <w:p w14:paraId="38C95859" w14:textId="77777777" w:rsidR="00D1587D" w:rsidRDefault="00D1587D">
            <w:pPr>
              <w:rPr>
                <w:sz w:val="19"/>
                <w:szCs w:val="19"/>
              </w:rPr>
            </w:pPr>
          </w:p>
        </w:tc>
        <w:tc>
          <w:tcPr>
            <w:tcW w:w="220" w:type="dxa"/>
            <w:vAlign w:val="bottom"/>
          </w:tcPr>
          <w:p w14:paraId="1F4F1E35" w14:textId="77777777" w:rsidR="00D1587D" w:rsidRDefault="00D1587D">
            <w:pPr>
              <w:rPr>
                <w:sz w:val="19"/>
                <w:szCs w:val="19"/>
              </w:rPr>
            </w:pPr>
          </w:p>
        </w:tc>
        <w:tc>
          <w:tcPr>
            <w:tcW w:w="260" w:type="dxa"/>
            <w:vAlign w:val="bottom"/>
          </w:tcPr>
          <w:p w14:paraId="3946A2DB" w14:textId="77777777" w:rsidR="00D1587D" w:rsidRDefault="00D1587D">
            <w:pPr>
              <w:rPr>
                <w:sz w:val="19"/>
                <w:szCs w:val="19"/>
              </w:rPr>
            </w:pPr>
          </w:p>
        </w:tc>
        <w:tc>
          <w:tcPr>
            <w:tcW w:w="340" w:type="dxa"/>
            <w:vAlign w:val="bottom"/>
          </w:tcPr>
          <w:p w14:paraId="65E28FF6" w14:textId="77777777" w:rsidR="00D1587D" w:rsidRDefault="00D1587D">
            <w:pPr>
              <w:rPr>
                <w:sz w:val="19"/>
                <w:szCs w:val="19"/>
              </w:rPr>
            </w:pPr>
          </w:p>
        </w:tc>
        <w:tc>
          <w:tcPr>
            <w:tcW w:w="960" w:type="dxa"/>
            <w:gridSpan w:val="3"/>
            <w:vAlign w:val="bottom"/>
          </w:tcPr>
          <w:p w14:paraId="3FB9B97E" w14:textId="77777777" w:rsidR="00D1587D" w:rsidRDefault="00410D07">
            <w:pPr>
              <w:ind w:right="20"/>
              <w:jc w:val="right"/>
              <w:rPr>
                <w:sz w:val="20"/>
                <w:szCs w:val="20"/>
              </w:rPr>
            </w:pPr>
            <w:r>
              <w:rPr>
                <w:rFonts w:ascii="Arial" w:eastAsia="Arial" w:hAnsi="Arial" w:cs="Arial"/>
                <w:b/>
                <w:bCs/>
                <w:sz w:val="14"/>
                <w:szCs w:val="14"/>
              </w:rPr>
              <w:t>(in millions)</w:t>
            </w:r>
          </w:p>
        </w:tc>
        <w:tc>
          <w:tcPr>
            <w:tcW w:w="360" w:type="dxa"/>
            <w:vAlign w:val="bottom"/>
          </w:tcPr>
          <w:p w14:paraId="530DEA8B" w14:textId="77777777" w:rsidR="00D1587D" w:rsidRDefault="00D1587D">
            <w:pPr>
              <w:rPr>
                <w:sz w:val="19"/>
                <w:szCs w:val="19"/>
              </w:rPr>
            </w:pPr>
          </w:p>
        </w:tc>
        <w:tc>
          <w:tcPr>
            <w:tcW w:w="280" w:type="dxa"/>
            <w:vAlign w:val="bottom"/>
          </w:tcPr>
          <w:p w14:paraId="57EBB32E" w14:textId="77777777" w:rsidR="00D1587D" w:rsidRDefault="00D1587D">
            <w:pPr>
              <w:rPr>
                <w:sz w:val="19"/>
                <w:szCs w:val="19"/>
              </w:rPr>
            </w:pPr>
          </w:p>
        </w:tc>
        <w:tc>
          <w:tcPr>
            <w:tcW w:w="360" w:type="dxa"/>
            <w:vAlign w:val="bottom"/>
          </w:tcPr>
          <w:p w14:paraId="0845E001" w14:textId="77777777" w:rsidR="00D1587D" w:rsidRDefault="00D1587D">
            <w:pPr>
              <w:rPr>
                <w:sz w:val="19"/>
                <w:szCs w:val="19"/>
              </w:rPr>
            </w:pPr>
          </w:p>
        </w:tc>
        <w:tc>
          <w:tcPr>
            <w:tcW w:w="0" w:type="dxa"/>
            <w:vAlign w:val="bottom"/>
          </w:tcPr>
          <w:p w14:paraId="7BAF363D" w14:textId="77777777" w:rsidR="00D1587D" w:rsidRDefault="00D1587D">
            <w:pPr>
              <w:rPr>
                <w:sz w:val="1"/>
                <w:szCs w:val="1"/>
              </w:rPr>
            </w:pPr>
          </w:p>
        </w:tc>
      </w:tr>
      <w:tr w:rsidR="00D1587D" w14:paraId="7AB7D417" w14:textId="77777777">
        <w:trPr>
          <w:trHeight w:val="53"/>
        </w:trPr>
        <w:tc>
          <w:tcPr>
            <w:tcW w:w="5640" w:type="dxa"/>
            <w:vAlign w:val="bottom"/>
          </w:tcPr>
          <w:p w14:paraId="7D51D714" w14:textId="77777777" w:rsidR="00D1587D" w:rsidRDefault="00D1587D">
            <w:pPr>
              <w:rPr>
                <w:sz w:val="4"/>
                <w:szCs w:val="4"/>
              </w:rPr>
            </w:pPr>
          </w:p>
        </w:tc>
        <w:tc>
          <w:tcPr>
            <w:tcW w:w="220" w:type="dxa"/>
            <w:vAlign w:val="bottom"/>
          </w:tcPr>
          <w:p w14:paraId="47B50ACF" w14:textId="77777777" w:rsidR="00D1587D" w:rsidRDefault="00D1587D">
            <w:pPr>
              <w:rPr>
                <w:sz w:val="4"/>
                <w:szCs w:val="4"/>
              </w:rPr>
            </w:pPr>
          </w:p>
        </w:tc>
        <w:tc>
          <w:tcPr>
            <w:tcW w:w="260" w:type="dxa"/>
            <w:vAlign w:val="bottom"/>
          </w:tcPr>
          <w:p w14:paraId="076C7A73" w14:textId="77777777" w:rsidR="00D1587D" w:rsidRDefault="00D1587D">
            <w:pPr>
              <w:rPr>
                <w:sz w:val="4"/>
                <w:szCs w:val="4"/>
              </w:rPr>
            </w:pPr>
          </w:p>
        </w:tc>
        <w:tc>
          <w:tcPr>
            <w:tcW w:w="340" w:type="dxa"/>
            <w:vAlign w:val="bottom"/>
          </w:tcPr>
          <w:p w14:paraId="67A239AF" w14:textId="77777777" w:rsidR="00D1587D" w:rsidRDefault="00D1587D">
            <w:pPr>
              <w:rPr>
                <w:sz w:val="4"/>
                <w:szCs w:val="4"/>
              </w:rPr>
            </w:pPr>
          </w:p>
        </w:tc>
        <w:tc>
          <w:tcPr>
            <w:tcW w:w="300" w:type="dxa"/>
            <w:vAlign w:val="bottom"/>
          </w:tcPr>
          <w:p w14:paraId="558BD959" w14:textId="77777777" w:rsidR="00D1587D" w:rsidRDefault="00D1587D">
            <w:pPr>
              <w:rPr>
                <w:sz w:val="4"/>
                <w:szCs w:val="4"/>
              </w:rPr>
            </w:pPr>
          </w:p>
        </w:tc>
        <w:tc>
          <w:tcPr>
            <w:tcW w:w="260" w:type="dxa"/>
            <w:vAlign w:val="bottom"/>
          </w:tcPr>
          <w:p w14:paraId="711DFEF3" w14:textId="77777777" w:rsidR="00D1587D" w:rsidRDefault="00D1587D">
            <w:pPr>
              <w:rPr>
                <w:sz w:val="4"/>
                <w:szCs w:val="4"/>
              </w:rPr>
            </w:pPr>
          </w:p>
        </w:tc>
        <w:tc>
          <w:tcPr>
            <w:tcW w:w="400" w:type="dxa"/>
            <w:vAlign w:val="bottom"/>
          </w:tcPr>
          <w:p w14:paraId="26CAA564" w14:textId="77777777" w:rsidR="00D1587D" w:rsidRDefault="00D1587D">
            <w:pPr>
              <w:rPr>
                <w:sz w:val="4"/>
                <w:szCs w:val="4"/>
              </w:rPr>
            </w:pPr>
          </w:p>
        </w:tc>
        <w:tc>
          <w:tcPr>
            <w:tcW w:w="360" w:type="dxa"/>
            <w:vAlign w:val="bottom"/>
          </w:tcPr>
          <w:p w14:paraId="4737C392" w14:textId="77777777" w:rsidR="00D1587D" w:rsidRDefault="00D1587D">
            <w:pPr>
              <w:rPr>
                <w:sz w:val="4"/>
                <w:szCs w:val="4"/>
              </w:rPr>
            </w:pPr>
          </w:p>
        </w:tc>
        <w:tc>
          <w:tcPr>
            <w:tcW w:w="280" w:type="dxa"/>
            <w:vAlign w:val="bottom"/>
          </w:tcPr>
          <w:p w14:paraId="41569480" w14:textId="77777777" w:rsidR="00D1587D" w:rsidRDefault="00D1587D">
            <w:pPr>
              <w:rPr>
                <w:sz w:val="4"/>
                <w:szCs w:val="4"/>
              </w:rPr>
            </w:pPr>
          </w:p>
        </w:tc>
        <w:tc>
          <w:tcPr>
            <w:tcW w:w="360" w:type="dxa"/>
            <w:vAlign w:val="bottom"/>
          </w:tcPr>
          <w:p w14:paraId="318BD1E3" w14:textId="77777777" w:rsidR="00D1587D" w:rsidRDefault="00D1587D">
            <w:pPr>
              <w:rPr>
                <w:sz w:val="4"/>
                <w:szCs w:val="4"/>
              </w:rPr>
            </w:pPr>
          </w:p>
        </w:tc>
        <w:tc>
          <w:tcPr>
            <w:tcW w:w="0" w:type="dxa"/>
            <w:vAlign w:val="bottom"/>
          </w:tcPr>
          <w:p w14:paraId="5BFFADB5" w14:textId="77777777" w:rsidR="00D1587D" w:rsidRDefault="00D1587D">
            <w:pPr>
              <w:rPr>
                <w:sz w:val="1"/>
                <w:szCs w:val="1"/>
              </w:rPr>
            </w:pPr>
          </w:p>
        </w:tc>
      </w:tr>
      <w:tr w:rsidR="00D1587D" w14:paraId="7A002D30" w14:textId="77777777">
        <w:trPr>
          <w:trHeight w:val="318"/>
        </w:trPr>
        <w:tc>
          <w:tcPr>
            <w:tcW w:w="5640" w:type="dxa"/>
            <w:tcBorders>
              <w:bottom w:val="single" w:sz="8" w:space="0" w:color="CCEEFF"/>
            </w:tcBorders>
            <w:shd w:val="clear" w:color="auto" w:fill="CCEEFF"/>
            <w:vAlign w:val="bottom"/>
          </w:tcPr>
          <w:p w14:paraId="7950604D" w14:textId="77777777" w:rsidR="00D1587D" w:rsidRDefault="00410D07">
            <w:pPr>
              <w:rPr>
                <w:sz w:val="20"/>
                <w:szCs w:val="20"/>
              </w:rPr>
            </w:pPr>
            <w:r>
              <w:rPr>
                <w:rFonts w:ascii="Arial" w:eastAsia="Arial" w:hAnsi="Arial" w:cs="Arial"/>
                <w:b/>
                <w:bCs/>
                <w:sz w:val="18"/>
                <w:szCs w:val="18"/>
              </w:rPr>
              <w:t>Balance as of January 30, 2021</w:t>
            </w:r>
          </w:p>
        </w:tc>
        <w:tc>
          <w:tcPr>
            <w:tcW w:w="480" w:type="dxa"/>
            <w:gridSpan w:val="2"/>
            <w:tcBorders>
              <w:bottom w:val="single" w:sz="8" w:space="0" w:color="CCEEFF"/>
            </w:tcBorders>
            <w:shd w:val="clear" w:color="auto" w:fill="CCEEFF"/>
            <w:vAlign w:val="bottom"/>
          </w:tcPr>
          <w:p w14:paraId="1B8B642F" w14:textId="77777777" w:rsidR="00D1587D" w:rsidRDefault="00410D07">
            <w:pPr>
              <w:jc w:val="right"/>
              <w:rPr>
                <w:sz w:val="20"/>
                <w:szCs w:val="20"/>
              </w:rPr>
            </w:pPr>
            <w:r>
              <w:rPr>
                <w:rFonts w:ascii="Arial" w:eastAsia="Arial" w:hAnsi="Arial" w:cs="Arial"/>
                <w:sz w:val="18"/>
                <w:szCs w:val="18"/>
              </w:rPr>
              <w:t>$ 4</w:t>
            </w:r>
          </w:p>
        </w:tc>
        <w:tc>
          <w:tcPr>
            <w:tcW w:w="340" w:type="dxa"/>
            <w:tcBorders>
              <w:bottom w:val="single" w:sz="8" w:space="0" w:color="CCEEFF"/>
            </w:tcBorders>
            <w:shd w:val="clear" w:color="auto" w:fill="CCEEFF"/>
            <w:vAlign w:val="bottom"/>
          </w:tcPr>
          <w:p w14:paraId="4D8F1C71" w14:textId="77777777" w:rsidR="00D1587D" w:rsidRDefault="00D1587D">
            <w:pPr>
              <w:rPr>
                <w:sz w:val="24"/>
                <w:szCs w:val="24"/>
              </w:rPr>
            </w:pPr>
          </w:p>
        </w:tc>
        <w:tc>
          <w:tcPr>
            <w:tcW w:w="960" w:type="dxa"/>
            <w:gridSpan w:val="3"/>
            <w:tcBorders>
              <w:bottom w:val="single" w:sz="8" w:space="0" w:color="CCEEFF"/>
            </w:tcBorders>
            <w:shd w:val="clear" w:color="auto" w:fill="CCEEFF"/>
            <w:vAlign w:val="bottom"/>
          </w:tcPr>
          <w:p w14:paraId="0642EBD4" w14:textId="77777777" w:rsidR="00D1587D" w:rsidRDefault="00410D07">
            <w:pPr>
              <w:ind w:right="380"/>
              <w:jc w:val="right"/>
              <w:rPr>
                <w:sz w:val="20"/>
                <w:szCs w:val="20"/>
              </w:rPr>
            </w:pPr>
            <w:r>
              <w:rPr>
                <w:rFonts w:ascii="Arial" w:eastAsia="Arial" w:hAnsi="Arial" w:cs="Arial"/>
                <w:sz w:val="18"/>
                <w:szCs w:val="18"/>
              </w:rPr>
              <w:t>$—</w:t>
            </w:r>
          </w:p>
        </w:tc>
        <w:tc>
          <w:tcPr>
            <w:tcW w:w="640" w:type="dxa"/>
            <w:gridSpan w:val="2"/>
            <w:tcBorders>
              <w:bottom w:val="single" w:sz="8" w:space="0" w:color="CCEEFF"/>
            </w:tcBorders>
            <w:shd w:val="clear" w:color="auto" w:fill="CCEEFF"/>
            <w:vAlign w:val="bottom"/>
          </w:tcPr>
          <w:p w14:paraId="505DD026" w14:textId="77777777" w:rsidR="00D1587D" w:rsidRDefault="00410D07">
            <w:pPr>
              <w:jc w:val="right"/>
              <w:rPr>
                <w:sz w:val="20"/>
                <w:szCs w:val="20"/>
              </w:rPr>
            </w:pPr>
            <w:r>
              <w:rPr>
                <w:rFonts w:ascii="Arial" w:eastAsia="Arial" w:hAnsi="Arial" w:cs="Arial"/>
                <w:sz w:val="18"/>
                <w:szCs w:val="18"/>
              </w:rPr>
              <w:t>$ 4</w:t>
            </w:r>
          </w:p>
        </w:tc>
        <w:tc>
          <w:tcPr>
            <w:tcW w:w="360" w:type="dxa"/>
            <w:tcBorders>
              <w:bottom w:val="single" w:sz="8" w:space="0" w:color="CCEEFF"/>
            </w:tcBorders>
            <w:shd w:val="clear" w:color="auto" w:fill="CCEEFF"/>
            <w:vAlign w:val="bottom"/>
          </w:tcPr>
          <w:p w14:paraId="3A071B1F" w14:textId="77777777" w:rsidR="00D1587D" w:rsidRDefault="00D1587D">
            <w:pPr>
              <w:rPr>
                <w:sz w:val="24"/>
                <w:szCs w:val="24"/>
              </w:rPr>
            </w:pPr>
          </w:p>
        </w:tc>
        <w:tc>
          <w:tcPr>
            <w:tcW w:w="0" w:type="dxa"/>
            <w:vAlign w:val="bottom"/>
          </w:tcPr>
          <w:p w14:paraId="3DA83B85" w14:textId="77777777" w:rsidR="00D1587D" w:rsidRDefault="00D1587D">
            <w:pPr>
              <w:rPr>
                <w:sz w:val="1"/>
                <w:szCs w:val="1"/>
              </w:rPr>
            </w:pPr>
          </w:p>
        </w:tc>
      </w:tr>
      <w:tr w:rsidR="00D1587D" w14:paraId="3F9ABBD4" w14:textId="77777777">
        <w:trPr>
          <w:trHeight w:val="270"/>
        </w:trPr>
        <w:tc>
          <w:tcPr>
            <w:tcW w:w="5640" w:type="dxa"/>
            <w:vAlign w:val="bottom"/>
          </w:tcPr>
          <w:p w14:paraId="73D27C67" w14:textId="77777777" w:rsidR="00D1587D" w:rsidRDefault="00410D07">
            <w:pPr>
              <w:ind w:left="180"/>
              <w:rPr>
                <w:sz w:val="20"/>
                <w:szCs w:val="20"/>
              </w:rPr>
            </w:pPr>
            <w:r>
              <w:rPr>
                <w:rFonts w:ascii="Arial" w:eastAsia="Arial" w:hAnsi="Arial" w:cs="Arial"/>
                <w:sz w:val="18"/>
                <w:szCs w:val="18"/>
              </w:rPr>
              <w:t>Other Comprehensive Income (Loss) Before Reclassifications</w:t>
            </w:r>
          </w:p>
        </w:tc>
        <w:tc>
          <w:tcPr>
            <w:tcW w:w="480" w:type="dxa"/>
            <w:gridSpan w:val="2"/>
            <w:vAlign w:val="bottom"/>
          </w:tcPr>
          <w:p w14:paraId="6CFB5FE5" w14:textId="77777777" w:rsidR="00D1587D" w:rsidRDefault="00410D07">
            <w:pPr>
              <w:jc w:val="right"/>
              <w:rPr>
                <w:sz w:val="20"/>
                <w:szCs w:val="20"/>
              </w:rPr>
            </w:pPr>
            <w:r>
              <w:rPr>
                <w:rFonts w:ascii="Arial" w:eastAsia="Arial" w:hAnsi="Arial" w:cs="Arial"/>
                <w:sz w:val="18"/>
                <w:szCs w:val="18"/>
              </w:rPr>
              <w:t>4</w:t>
            </w:r>
          </w:p>
        </w:tc>
        <w:tc>
          <w:tcPr>
            <w:tcW w:w="340" w:type="dxa"/>
            <w:vAlign w:val="bottom"/>
          </w:tcPr>
          <w:p w14:paraId="029AC45D" w14:textId="77777777" w:rsidR="00D1587D" w:rsidRDefault="00D1587D">
            <w:pPr>
              <w:rPr>
                <w:sz w:val="23"/>
                <w:szCs w:val="23"/>
              </w:rPr>
            </w:pPr>
          </w:p>
        </w:tc>
        <w:tc>
          <w:tcPr>
            <w:tcW w:w="960" w:type="dxa"/>
            <w:gridSpan w:val="3"/>
            <w:vAlign w:val="bottom"/>
          </w:tcPr>
          <w:p w14:paraId="066BD41E" w14:textId="77777777" w:rsidR="00D1587D" w:rsidRDefault="00410D07">
            <w:pPr>
              <w:ind w:right="340"/>
              <w:jc w:val="right"/>
              <w:rPr>
                <w:sz w:val="20"/>
                <w:szCs w:val="20"/>
              </w:rPr>
            </w:pPr>
            <w:r>
              <w:rPr>
                <w:rFonts w:ascii="Arial" w:eastAsia="Arial" w:hAnsi="Arial" w:cs="Arial"/>
                <w:sz w:val="18"/>
                <w:szCs w:val="18"/>
              </w:rPr>
              <w:t>(1)</w:t>
            </w:r>
          </w:p>
        </w:tc>
        <w:tc>
          <w:tcPr>
            <w:tcW w:w="1000" w:type="dxa"/>
            <w:gridSpan w:val="3"/>
            <w:vAlign w:val="bottom"/>
          </w:tcPr>
          <w:p w14:paraId="71B53C71" w14:textId="77777777" w:rsidR="00D1587D" w:rsidRDefault="00410D07">
            <w:pPr>
              <w:ind w:right="360"/>
              <w:jc w:val="right"/>
              <w:rPr>
                <w:sz w:val="20"/>
                <w:szCs w:val="20"/>
              </w:rPr>
            </w:pPr>
            <w:r>
              <w:rPr>
                <w:rFonts w:ascii="Arial" w:eastAsia="Arial" w:hAnsi="Arial" w:cs="Arial"/>
                <w:sz w:val="18"/>
                <w:szCs w:val="18"/>
              </w:rPr>
              <w:t>3</w:t>
            </w:r>
          </w:p>
        </w:tc>
        <w:tc>
          <w:tcPr>
            <w:tcW w:w="0" w:type="dxa"/>
            <w:vAlign w:val="bottom"/>
          </w:tcPr>
          <w:p w14:paraId="50DCBF10" w14:textId="77777777" w:rsidR="00D1587D" w:rsidRDefault="00D1587D">
            <w:pPr>
              <w:rPr>
                <w:sz w:val="1"/>
                <w:szCs w:val="1"/>
              </w:rPr>
            </w:pPr>
          </w:p>
        </w:tc>
      </w:tr>
      <w:tr w:rsidR="00D1587D" w14:paraId="40351A7F" w14:textId="77777777">
        <w:trPr>
          <w:trHeight w:val="54"/>
        </w:trPr>
        <w:tc>
          <w:tcPr>
            <w:tcW w:w="5640" w:type="dxa"/>
            <w:vAlign w:val="bottom"/>
          </w:tcPr>
          <w:p w14:paraId="2E2486E3" w14:textId="77777777" w:rsidR="00D1587D" w:rsidRDefault="00D1587D">
            <w:pPr>
              <w:rPr>
                <w:sz w:val="4"/>
                <w:szCs w:val="4"/>
              </w:rPr>
            </w:pPr>
          </w:p>
        </w:tc>
        <w:tc>
          <w:tcPr>
            <w:tcW w:w="220" w:type="dxa"/>
            <w:vAlign w:val="bottom"/>
          </w:tcPr>
          <w:p w14:paraId="4A578842" w14:textId="77777777" w:rsidR="00D1587D" w:rsidRDefault="00D1587D">
            <w:pPr>
              <w:rPr>
                <w:sz w:val="4"/>
                <w:szCs w:val="4"/>
              </w:rPr>
            </w:pPr>
          </w:p>
        </w:tc>
        <w:tc>
          <w:tcPr>
            <w:tcW w:w="260" w:type="dxa"/>
            <w:vAlign w:val="bottom"/>
          </w:tcPr>
          <w:p w14:paraId="1B1324FE" w14:textId="77777777" w:rsidR="00D1587D" w:rsidRDefault="00D1587D">
            <w:pPr>
              <w:rPr>
                <w:sz w:val="4"/>
                <w:szCs w:val="4"/>
              </w:rPr>
            </w:pPr>
          </w:p>
        </w:tc>
        <w:tc>
          <w:tcPr>
            <w:tcW w:w="340" w:type="dxa"/>
            <w:vAlign w:val="bottom"/>
          </w:tcPr>
          <w:p w14:paraId="487EF605" w14:textId="77777777" w:rsidR="00D1587D" w:rsidRDefault="00D1587D">
            <w:pPr>
              <w:rPr>
                <w:sz w:val="4"/>
                <w:szCs w:val="4"/>
              </w:rPr>
            </w:pPr>
          </w:p>
        </w:tc>
        <w:tc>
          <w:tcPr>
            <w:tcW w:w="300" w:type="dxa"/>
            <w:vAlign w:val="bottom"/>
          </w:tcPr>
          <w:p w14:paraId="49B0FE2D" w14:textId="77777777" w:rsidR="00D1587D" w:rsidRDefault="00D1587D">
            <w:pPr>
              <w:rPr>
                <w:sz w:val="4"/>
                <w:szCs w:val="4"/>
              </w:rPr>
            </w:pPr>
          </w:p>
        </w:tc>
        <w:tc>
          <w:tcPr>
            <w:tcW w:w="260" w:type="dxa"/>
            <w:vAlign w:val="bottom"/>
          </w:tcPr>
          <w:p w14:paraId="2613CE74" w14:textId="77777777" w:rsidR="00D1587D" w:rsidRDefault="00D1587D">
            <w:pPr>
              <w:rPr>
                <w:sz w:val="4"/>
                <w:szCs w:val="4"/>
              </w:rPr>
            </w:pPr>
          </w:p>
        </w:tc>
        <w:tc>
          <w:tcPr>
            <w:tcW w:w="400" w:type="dxa"/>
            <w:vAlign w:val="bottom"/>
          </w:tcPr>
          <w:p w14:paraId="60E40444" w14:textId="77777777" w:rsidR="00D1587D" w:rsidRDefault="00D1587D">
            <w:pPr>
              <w:rPr>
                <w:sz w:val="4"/>
                <w:szCs w:val="4"/>
              </w:rPr>
            </w:pPr>
          </w:p>
        </w:tc>
        <w:tc>
          <w:tcPr>
            <w:tcW w:w="360" w:type="dxa"/>
            <w:vAlign w:val="bottom"/>
          </w:tcPr>
          <w:p w14:paraId="26849386" w14:textId="77777777" w:rsidR="00D1587D" w:rsidRDefault="00D1587D">
            <w:pPr>
              <w:rPr>
                <w:sz w:val="4"/>
                <w:szCs w:val="4"/>
              </w:rPr>
            </w:pPr>
          </w:p>
        </w:tc>
        <w:tc>
          <w:tcPr>
            <w:tcW w:w="280" w:type="dxa"/>
            <w:vAlign w:val="bottom"/>
          </w:tcPr>
          <w:p w14:paraId="471C47F5" w14:textId="77777777" w:rsidR="00D1587D" w:rsidRDefault="00D1587D">
            <w:pPr>
              <w:rPr>
                <w:sz w:val="4"/>
                <w:szCs w:val="4"/>
              </w:rPr>
            </w:pPr>
          </w:p>
        </w:tc>
        <w:tc>
          <w:tcPr>
            <w:tcW w:w="360" w:type="dxa"/>
            <w:vAlign w:val="bottom"/>
          </w:tcPr>
          <w:p w14:paraId="23015866" w14:textId="77777777" w:rsidR="00D1587D" w:rsidRDefault="00D1587D">
            <w:pPr>
              <w:rPr>
                <w:sz w:val="4"/>
                <w:szCs w:val="4"/>
              </w:rPr>
            </w:pPr>
          </w:p>
        </w:tc>
        <w:tc>
          <w:tcPr>
            <w:tcW w:w="0" w:type="dxa"/>
            <w:vAlign w:val="bottom"/>
          </w:tcPr>
          <w:p w14:paraId="05A90518" w14:textId="77777777" w:rsidR="00D1587D" w:rsidRDefault="00D1587D">
            <w:pPr>
              <w:rPr>
                <w:sz w:val="1"/>
                <w:szCs w:val="1"/>
              </w:rPr>
            </w:pPr>
          </w:p>
        </w:tc>
      </w:tr>
      <w:tr w:rsidR="00D1587D" w14:paraId="55B92561" w14:textId="77777777">
        <w:trPr>
          <w:trHeight w:val="257"/>
        </w:trPr>
        <w:tc>
          <w:tcPr>
            <w:tcW w:w="5640" w:type="dxa"/>
            <w:shd w:val="clear" w:color="auto" w:fill="CCEEFF"/>
            <w:vAlign w:val="bottom"/>
          </w:tcPr>
          <w:p w14:paraId="50465D7E" w14:textId="77777777" w:rsidR="00D1587D" w:rsidRDefault="00410D07">
            <w:pPr>
              <w:ind w:left="180"/>
              <w:rPr>
                <w:sz w:val="20"/>
                <w:szCs w:val="20"/>
              </w:rPr>
            </w:pPr>
            <w:r>
              <w:rPr>
                <w:rFonts w:ascii="Arial" w:eastAsia="Arial" w:hAnsi="Arial" w:cs="Arial"/>
                <w:sz w:val="18"/>
                <w:szCs w:val="18"/>
              </w:rPr>
              <w:t>Tax Effect</w:t>
            </w:r>
          </w:p>
        </w:tc>
        <w:tc>
          <w:tcPr>
            <w:tcW w:w="220" w:type="dxa"/>
            <w:shd w:val="clear" w:color="auto" w:fill="CCEEFF"/>
            <w:vAlign w:val="bottom"/>
          </w:tcPr>
          <w:p w14:paraId="367D7F12" w14:textId="77777777" w:rsidR="00D1587D" w:rsidRDefault="00D1587D"/>
        </w:tc>
        <w:tc>
          <w:tcPr>
            <w:tcW w:w="600" w:type="dxa"/>
            <w:gridSpan w:val="2"/>
            <w:shd w:val="clear" w:color="auto" w:fill="CCEEFF"/>
            <w:vAlign w:val="bottom"/>
          </w:tcPr>
          <w:p w14:paraId="07809648" w14:textId="77777777" w:rsidR="00D1587D" w:rsidRDefault="00410D07">
            <w:pPr>
              <w:ind w:right="340"/>
              <w:jc w:val="right"/>
              <w:rPr>
                <w:sz w:val="20"/>
                <w:szCs w:val="20"/>
              </w:rPr>
            </w:pPr>
            <w:r>
              <w:rPr>
                <w:rFonts w:ascii="Arial" w:eastAsia="Arial" w:hAnsi="Arial" w:cs="Arial"/>
                <w:sz w:val="18"/>
                <w:szCs w:val="18"/>
              </w:rPr>
              <w:t>—</w:t>
            </w:r>
          </w:p>
        </w:tc>
        <w:tc>
          <w:tcPr>
            <w:tcW w:w="300" w:type="dxa"/>
            <w:shd w:val="clear" w:color="auto" w:fill="CCEEFF"/>
            <w:vAlign w:val="bottom"/>
          </w:tcPr>
          <w:p w14:paraId="6B11F93B" w14:textId="77777777" w:rsidR="00D1587D" w:rsidRDefault="00D1587D"/>
        </w:tc>
        <w:tc>
          <w:tcPr>
            <w:tcW w:w="660" w:type="dxa"/>
            <w:gridSpan w:val="2"/>
            <w:shd w:val="clear" w:color="auto" w:fill="CCEEFF"/>
            <w:vAlign w:val="bottom"/>
          </w:tcPr>
          <w:p w14:paraId="2B934BAA" w14:textId="77777777" w:rsidR="00D1587D" w:rsidRDefault="00410D07">
            <w:pPr>
              <w:ind w:right="400"/>
              <w:jc w:val="right"/>
              <w:rPr>
                <w:sz w:val="20"/>
                <w:szCs w:val="20"/>
              </w:rPr>
            </w:pPr>
            <w:r>
              <w:rPr>
                <w:rFonts w:ascii="Arial" w:eastAsia="Arial" w:hAnsi="Arial" w:cs="Arial"/>
                <w:sz w:val="18"/>
                <w:szCs w:val="18"/>
              </w:rPr>
              <w:t>—</w:t>
            </w:r>
          </w:p>
        </w:tc>
        <w:tc>
          <w:tcPr>
            <w:tcW w:w="360" w:type="dxa"/>
            <w:shd w:val="clear" w:color="auto" w:fill="CCEEFF"/>
            <w:vAlign w:val="bottom"/>
          </w:tcPr>
          <w:p w14:paraId="4CCA7CB8" w14:textId="77777777" w:rsidR="00D1587D" w:rsidRDefault="00D1587D"/>
        </w:tc>
        <w:tc>
          <w:tcPr>
            <w:tcW w:w="640" w:type="dxa"/>
            <w:gridSpan w:val="2"/>
            <w:shd w:val="clear" w:color="auto" w:fill="CCEEFF"/>
            <w:vAlign w:val="bottom"/>
          </w:tcPr>
          <w:p w14:paraId="0F1F6F05" w14:textId="77777777" w:rsidR="00D1587D" w:rsidRDefault="00410D07">
            <w:pPr>
              <w:ind w:right="380"/>
              <w:jc w:val="right"/>
              <w:rPr>
                <w:sz w:val="20"/>
                <w:szCs w:val="20"/>
              </w:rPr>
            </w:pPr>
            <w:r>
              <w:rPr>
                <w:rFonts w:ascii="Arial" w:eastAsia="Arial" w:hAnsi="Arial" w:cs="Arial"/>
                <w:sz w:val="18"/>
                <w:szCs w:val="18"/>
              </w:rPr>
              <w:t>—</w:t>
            </w:r>
          </w:p>
        </w:tc>
        <w:tc>
          <w:tcPr>
            <w:tcW w:w="0" w:type="dxa"/>
            <w:vAlign w:val="bottom"/>
          </w:tcPr>
          <w:p w14:paraId="43F2D3EE" w14:textId="77777777" w:rsidR="00D1587D" w:rsidRDefault="00D1587D">
            <w:pPr>
              <w:rPr>
                <w:sz w:val="1"/>
                <w:szCs w:val="1"/>
              </w:rPr>
            </w:pPr>
          </w:p>
        </w:tc>
      </w:tr>
      <w:tr w:rsidR="00D1587D" w14:paraId="32CA475A" w14:textId="77777777">
        <w:trPr>
          <w:trHeight w:val="61"/>
        </w:trPr>
        <w:tc>
          <w:tcPr>
            <w:tcW w:w="5640" w:type="dxa"/>
            <w:tcBorders>
              <w:top w:val="single" w:sz="8" w:space="0" w:color="CCEEFF"/>
            </w:tcBorders>
            <w:shd w:val="clear" w:color="auto" w:fill="CCEEFF"/>
            <w:vAlign w:val="bottom"/>
          </w:tcPr>
          <w:p w14:paraId="3ADBE4DD" w14:textId="77777777" w:rsidR="00D1587D" w:rsidRDefault="00D1587D">
            <w:pPr>
              <w:rPr>
                <w:sz w:val="5"/>
                <w:szCs w:val="5"/>
              </w:rPr>
            </w:pPr>
          </w:p>
        </w:tc>
        <w:tc>
          <w:tcPr>
            <w:tcW w:w="220" w:type="dxa"/>
            <w:tcBorders>
              <w:top w:val="single" w:sz="8" w:space="0" w:color="CCEEFF"/>
            </w:tcBorders>
            <w:shd w:val="clear" w:color="auto" w:fill="CCEEFF"/>
            <w:vAlign w:val="bottom"/>
          </w:tcPr>
          <w:p w14:paraId="20E7B7F8" w14:textId="77777777" w:rsidR="00D1587D" w:rsidRDefault="00D1587D">
            <w:pPr>
              <w:rPr>
                <w:sz w:val="5"/>
                <w:szCs w:val="5"/>
              </w:rPr>
            </w:pPr>
          </w:p>
        </w:tc>
        <w:tc>
          <w:tcPr>
            <w:tcW w:w="260" w:type="dxa"/>
            <w:tcBorders>
              <w:top w:val="single" w:sz="8" w:space="0" w:color="auto"/>
            </w:tcBorders>
            <w:shd w:val="clear" w:color="auto" w:fill="CCEEFF"/>
            <w:vAlign w:val="bottom"/>
          </w:tcPr>
          <w:p w14:paraId="74897C15" w14:textId="77777777" w:rsidR="00D1587D" w:rsidRDefault="00D1587D">
            <w:pPr>
              <w:rPr>
                <w:sz w:val="5"/>
                <w:szCs w:val="5"/>
              </w:rPr>
            </w:pPr>
          </w:p>
        </w:tc>
        <w:tc>
          <w:tcPr>
            <w:tcW w:w="340" w:type="dxa"/>
            <w:tcBorders>
              <w:top w:val="single" w:sz="8" w:space="0" w:color="CCEEFF"/>
            </w:tcBorders>
            <w:shd w:val="clear" w:color="auto" w:fill="CCEEFF"/>
            <w:vAlign w:val="bottom"/>
          </w:tcPr>
          <w:p w14:paraId="596A2D69" w14:textId="77777777" w:rsidR="00D1587D" w:rsidRDefault="00D1587D">
            <w:pPr>
              <w:rPr>
                <w:sz w:val="5"/>
                <w:szCs w:val="5"/>
              </w:rPr>
            </w:pPr>
          </w:p>
        </w:tc>
        <w:tc>
          <w:tcPr>
            <w:tcW w:w="300" w:type="dxa"/>
            <w:tcBorders>
              <w:top w:val="single" w:sz="8" w:space="0" w:color="CCEEFF"/>
            </w:tcBorders>
            <w:shd w:val="clear" w:color="auto" w:fill="CCEEFF"/>
            <w:vAlign w:val="bottom"/>
          </w:tcPr>
          <w:p w14:paraId="595CF1AE" w14:textId="77777777" w:rsidR="00D1587D" w:rsidRDefault="00D1587D">
            <w:pPr>
              <w:rPr>
                <w:sz w:val="5"/>
                <w:szCs w:val="5"/>
              </w:rPr>
            </w:pPr>
          </w:p>
        </w:tc>
        <w:tc>
          <w:tcPr>
            <w:tcW w:w="260" w:type="dxa"/>
            <w:tcBorders>
              <w:top w:val="single" w:sz="8" w:space="0" w:color="auto"/>
            </w:tcBorders>
            <w:shd w:val="clear" w:color="auto" w:fill="CCEEFF"/>
            <w:vAlign w:val="bottom"/>
          </w:tcPr>
          <w:p w14:paraId="5DB08690" w14:textId="77777777" w:rsidR="00D1587D" w:rsidRDefault="00D1587D">
            <w:pPr>
              <w:rPr>
                <w:sz w:val="5"/>
                <w:szCs w:val="5"/>
              </w:rPr>
            </w:pPr>
          </w:p>
        </w:tc>
        <w:tc>
          <w:tcPr>
            <w:tcW w:w="400" w:type="dxa"/>
            <w:tcBorders>
              <w:top w:val="single" w:sz="8" w:space="0" w:color="CCEEFF"/>
            </w:tcBorders>
            <w:shd w:val="clear" w:color="auto" w:fill="CCEEFF"/>
            <w:vAlign w:val="bottom"/>
          </w:tcPr>
          <w:p w14:paraId="582720CC" w14:textId="77777777" w:rsidR="00D1587D" w:rsidRDefault="00D1587D">
            <w:pPr>
              <w:rPr>
                <w:sz w:val="5"/>
                <w:szCs w:val="5"/>
              </w:rPr>
            </w:pPr>
          </w:p>
        </w:tc>
        <w:tc>
          <w:tcPr>
            <w:tcW w:w="360" w:type="dxa"/>
            <w:tcBorders>
              <w:top w:val="single" w:sz="8" w:space="0" w:color="CCEEFF"/>
            </w:tcBorders>
            <w:shd w:val="clear" w:color="auto" w:fill="CCEEFF"/>
            <w:vAlign w:val="bottom"/>
          </w:tcPr>
          <w:p w14:paraId="70220DD2" w14:textId="77777777" w:rsidR="00D1587D" w:rsidRDefault="00D1587D">
            <w:pPr>
              <w:rPr>
                <w:sz w:val="5"/>
                <w:szCs w:val="5"/>
              </w:rPr>
            </w:pPr>
          </w:p>
        </w:tc>
        <w:tc>
          <w:tcPr>
            <w:tcW w:w="280" w:type="dxa"/>
            <w:tcBorders>
              <w:top w:val="single" w:sz="8" w:space="0" w:color="auto"/>
            </w:tcBorders>
            <w:shd w:val="clear" w:color="auto" w:fill="CCEEFF"/>
            <w:vAlign w:val="bottom"/>
          </w:tcPr>
          <w:p w14:paraId="657917B7" w14:textId="77777777" w:rsidR="00D1587D" w:rsidRDefault="00D1587D">
            <w:pPr>
              <w:rPr>
                <w:sz w:val="5"/>
                <w:szCs w:val="5"/>
              </w:rPr>
            </w:pPr>
          </w:p>
        </w:tc>
        <w:tc>
          <w:tcPr>
            <w:tcW w:w="360" w:type="dxa"/>
            <w:tcBorders>
              <w:top w:val="single" w:sz="8" w:space="0" w:color="CCEEFF"/>
            </w:tcBorders>
            <w:shd w:val="clear" w:color="auto" w:fill="CCEEFF"/>
            <w:vAlign w:val="bottom"/>
          </w:tcPr>
          <w:p w14:paraId="718FAD01" w14:textId="77777777" w:rsidR="00D1587D" w:rsidRDefault="00D1587D">
            <w:pPr>
              <w:rPr>
                <w:sz w:val="5"/>
                <w:szCs w:val="5"/>
              </w:rPr>
            </w:pPr>
          </w:p>
        </w:tc>
        <w:tc>
          <w:tcPr>
            <w:tcW w:w="0" w:type="dxa"/>
            <w:vAlign w:val="bottom"/>
          </w:tcPr>
          <w:p w14:paraId="2FED044A" w14:textId="77777777" w:rsidR="00D1587D" w:rsidRDefault="00D1587D">
            <w:pPr>
              <w:rPr>
                <w:sz w:val="1"/>
                <w:szCs w:val="1"/>
              </w:rPr>
            </w:pPr>
          </w:p>
        </w:tc>
      </w:tr>
      <w:tr w:rsidR="00D1587D" w14:paraId="071EBDBB" w14:textId="77777777">
        <w:trPr>
          <w:trHeight w:val="270"/>
        </w:trPr>
        <w:tc>
          <w:tcPr>
            <w:tcW w:w="5640" w:type="dxa"/>
            <w:vAlign w:val="bottom"/>
          </w:tcPr>
          <w:p w14:paraId="15201194" w14:textId="77777777" w:rsidR="00D1587D" w:rsidRDefault="00410D07">
            <w:pPr>
              <w:rPr>
                <w:sz w:val="20"/>
                <w:szCs w:val="20"/>
              </w:rPr>
            </w:pPr>
            <w:r>
              <w:rPr>
                <w:rFonts w:ascii="Arial" w:eastAsia="Arial" w:hAnsi="Arial" w:cs="Arial"/>
                <w:sz w:val="18"/>
                <w:szCs w:val="18"/>
              </w:rPr>
              <w:t>Current-period Other Comprehensive Income (Loss)</w:t>
            </w:r>
          </w:p>
        </w:tc>
        <w:tc>
          <w:tcPr>
            <w:tcW w:w="480" w:type="dxa"/>
            <w:gridSpan w:val="2"/>
            <w:vAlign w:val="bottom"/>
          </w:tcPr>
          <w:p w14:paraId="0A4F11FE" w14:textId="77777777" w:rsidR="00D1587D" w:rsidRDefault="00410D07">
            <w:pPr>
              <w:jc w:val="right"/>
              <w:rPr>
                <w:sz w:val="20"/>
                <w:szCs w:val="20"/>
              </w:rPr>
            </w:pPr>
            <w:r>
              <w:rPr>
                <w:rFonts w:ascii="Arial" w:eastAsia="Arial" w:hAnsi="Arial" w:cs="Arial"/>
                <w:sz w:val="18"/>
                <w:szCs w:val="18"/>
              </w:rPr>
              <w:t>4</w:t>
            </w:r>
          </w:p>
        </w:tc>
        <w:tc>
          <w:tcPr>
            <w:tcW w:w="340" w:type="dxa"/>
            <w:vAlign w:val="bottom"/>
          </w:tcPr>
          <w:p w14:paraId="1671EBBB" w14:textId="77777777" w:rsidR="00D1587D" w:rsidRDefault="00D1587D">
            <w:pPr>
              <w:rPr>
                <w:sz w:val="23"/>
                <w:szCs w:val="23"/>
              </w:rPr>
            </w:pPr>
          </w:p>
        </w:tc>
        <w:tc>
          <w:tcPr>
            <w:tcW w:w="960" w:type="dxa"/>
            <w:gridSpan w:val="3"/>
            <w:vAlign w:val="bottom"/>
          </w:tcPr>
          <w:p w14:paraId="2B6D3017" w14:textId="77777777" w:rsidR="00D1587D" w:rsidRDefault="00410D07">
            <w:pPr>
              <w:ind w:right="340"/>
              <w:jc w:val="right"/>
              <w:rPr>
                <w:sz w:val="20"/>
                <w:szCs w:val="20"/>
              </w:rPr>
            </w:pPr>
            <w:r>
              <w:rPr>
                <w:rFonts w:ascii="Arial" w:eastAsia="Arial" w:hAnsi="Arial" w:cs="Arial"/>
                <w:sz w:val="18"/>
                <w:szCs w:val="18"/>
              </w:rPr>
              <w:t>(1)</w:t>
            </w:r>
          </w:p>
        </w:tc>
        <w:tc>
          <w:tcPr>
            <w:tcW w:w="1000" w:type="dxa"/>
            <w:gridSpan w:val="3"/>
            <w:vAlign w:val="bottom"/>
          </w:tcPr>
          <w:p w14:paraId="16DA9CF4" w14:textId="77777777" w:rsidR="00D1587D" w:rsidRDefault="00410D07">
            <w:pPr>
              <w:ind w:right="360"/>
              <w:jc w:val="right"/>
              <w:rPr>
                <w:sz w:val="20"/>
                <w:szCs w:val="20"/>
              </w:rPr>
            </w:pPr>
            <w:r>
              <w:rPr>
                <w:rFonts w:ascii="Arial" w:eastAsia="Arial" w:hAnsi="Arial" w:cs="Arial"/>
                <w:sz w:val="18"/>
                <w:szCs w:val="18"/>
              </w:rPr>
              <w:t>3</w:t>
            </w:r>
          </w:p>
        </w:tc>
        <w:tc>
          <w:tcPr>
            <w:tcW w:w="0" w:type="dxa"/>
            <w:vAlign w:val="bottom"/>
          </w:tcPr>
          <w:p w14:paraId="5BC3F1C3" w14:textId="77777777" w:rsidR="00D1587D" w:rsidRDefault="00D1587D">
            <w:pPr>
              <w:rPr>
                <w:sz w:val="1"/>
                <w:szCs w:val="1"/>
              </w:rPr>
            </w:pPr>
          </w:p>
        </w:tc>
      </w:tr>
      <w:tr w:rsidR="00D1587D" w14:paraId="21D0B4A7" w14:textId="77777777">
        <w:trPr>
          <w:trHeight w:val="61"/>
        </w:trPr>
        <w:tc>
          <w:tcPr>
            <w:tcW w:w="5640" w:type="dxa"/>
            <w:vAlign w:val="bottom"/>
          </w:tcPr>
          <w:p w14:paraId="41615406" w14:textId="77777777" w:rsidR="00D1587D" w:rsidRDefault="00D1587D">
            <w:pPr>
              <w:rPr>
                <w:sz w:val="5"/>
                <w:szCs w:val="5"/>
              </w:rPr>
            </w:pPr>
          </w:p>
        </w:tc>
        <w:tc>
          <w:tcPr>
            <w:tcW w:w="220" w:type="dxa"/>
            <w:vAlign w:val="bottom"/>
          </w:tcPr>
          <w:p w14:paraId="4DE140A5" w14:textId="77777777" w:rsidR="00D1587D" w:rsidRDefault="00D1587D">
            <w:pPr>
              <w:rPr>
                <w:sz w:val="5"/>
                <w:szCs w:val="5"/>
              </w:rPr>
            </w:pPr>
          </w:p>
        </w:tc>
        <w:tc>
          <w:tcPr>
            <w:tcW w:w="260" w:type="dxa"/>
            <w:tcBorders>
              <w:top w:val="single" w:sz="8" w:space="0" w:color="auto"/>
            </w:tcBorders>
            <w:vAlign w:val="bottom"/>
          </w:tcPr>
          <w:p w14:paraId="5579EB4F" w14:textId="77777777" w:rsidR="00D1587D" w:rsidRDefault="00D1587D">
            <w:pPr>
              <w:rPr>
                <w:sz w:val="5"/>
                <w:szCs w:val="5"/>
              </w:rPr>
            </w:pPr>
          </w:p>
        </w:tc>
        <w:tc>
          <w:tcPr>
            <w:tcW w:w="340" w:type="dxa"/>
            <w:vAlign w:val="bottom"/>
          </w:tcPr>
          <w:p w14:paraId="414508B8" w14:textId="77777777" w:rsidR="00D1587D" w:rsidRDefault="00D1587D">
            <w:pPr>
              <w:rPr>
                <w:sz w:val="5"/>
                <w:szCs w:val="5"/>
              </w:rPr>
            </w:pPr>
          </w:p>
        </w:tc>
        <w:tc>
          <w:tcPr>
            <w:tcW w:w="300" w:type="dxa"/>
            <w:vAlign w:val="bottom"/>
          </w:tcPr>
          <w:p w14:paraId="106C5E94" w14:textId="77777777" w:rsidR="00D1587D" w:rsidRDefault="00D1587D">
            <w:pPr>
              <w:rPr>
                <w:sz w:val="5"/>
                <w:szCs w:val="5"/>
              </w:rPr>
            </w:pPr>
          </w:p>
        </w:tc>
        <w:tc>
          <w:tcPr>
            <w:tcW w:w="260" w:type="dxa"/>
            <w:tcBorders>
              <w:top w:val="single" w:sz="8" w:space="0" w:color="auto"/>
            </w:tcBorders>
            <w:vAlign w:val="bottom"/>
          </w:tcPr>
          <w:p w14:paraId="2874FE2D" w14:textId="77777777" w:rsidR="00D1587D" w:rsidRDefault="00D1587D">
            <w:pPr>
              <w:rPr>
                <w:sz w:val="5"/>
                <w:szCs w:val="5"/>
              </w:rPr>
            </w:pPr>
          </w:p>
        </w:tc>
        <w:tc>
          <w:tcPr>
            <w:tcW w:w="400" w:type="dxa"/>
            <w:vAlign w:val="bottom"/>
          </w:tcPr>
          <w:p w14:paraId="2B47D6D8" w14:textId="77777777" w:rsidR="00D1587D" w:rsidRDefault="00D1587D">
            <w:pPr>
              <w:rPr>
                <w:sz w:val="5"/>
                <w:szCs w:val="5"/>
              </w:rPr>
            </w:pPr>
          </w:p>
        </w:tc>
        <w:tc>
          <w:tcPr>
            <w:tcW w:w="360" w:type="dxa"/>
            <w:vAlign w:val="bottom"/>
          </w:tcPr>
          <w:p w14:paraId="7E09F5C8" w14:textId="77777777" w:rsidR="00D1587D" w:rsidRDefault="00D1587D">
            <w:pPr>
              <w:rPr>
                <w:sz w:val="5"/>
                <w:szCs w:val="5"/>
              </w:rPr>
            </w:pPr>
          </w:p>
        </w:tc>
        <w:tc>
          <w:tcPr>
            <w:tcW w:w="280" w:type="dxa"/>
            <w:tcBorders>
              <w:top w:val="single" w:sz="8" w:space="0" w:color="auto"/>
            </w:tcBorders>
            <w:vAlign w:val="bottom"/>
          </w:tcPr>
          <w:p w14:paraId="5F26E746" w14:textId="77777777" w:rsidR="00D1587D" w:rsidRDefault="00D1587D">
            <w:pPr>
              <w:rPr>
                <w:sz w:val="5"/>
                <w:szCs w:val="5"/>
              </w:rPr>
            </w:pPr>
          </w:p>
        </w:tc>
        <w:tc>
          <w:tcPr>
            <w:tcW w:w="360" w:type="dxa"/>
            <w:vAlign w:val="bottom"/>
          </w:tcPr>
          <w:p w14:paraId="72835EBD" w14:textId="77777777" w:rsidR="00D1587D" w:rsidRDefault="00D1587D">
            <w:pPr>
              <w:rPr>
                <w:sz w:val="5"/>
                <w:szCs w:val="5"/>
              </w:rPr>
            </w:pPr>
          </w:p>
        </w:tc>
        <w:tc>
          <w:tcPr>
            <w:tcW w:w="0" w:type="dxa"/>
            <w:vAlign w:val="bottom"/>
          </w:tcPr>
          <w:p w14:paraId="34D67198" w14:textId="77777777" w:rsidR="00D1587D" w:rsidRDefault="00D1587D">
            <w:pPr>
              <w:rPr>
                <w:sz w:val="1"/>
                <w:szCs w:val="1"/>
              </w:rPr>
            </w:pPr>
          </w:p>
        </w:tc>
      </w:tr>
      <w:tr w:rsidR="00D1587D" w14:paraId="794DC1EF" w14:textId="77777777">
        <w:trPr>
          <w:trHeight w:val="290"/>
        </w:trPr>
        <w:tc>
          <w:tcPr>
            <w:tcW w:w="5640" w:type="dxa"/>
            <w:shd w:val="clear" w:color="auto" w:fill="CCEEFF"/>
            <w:vAlign w:val="bottom"/>
          </w:tcPr>
          <w:p w14:paraId="5EAF3BBD" w14:textId="77777777" w:rsidR="00D1587D" w:rsidRDefault="00410D07">
            <w:pPr>
              <w:rPr>
                <w:sz w:val="20"/>
                <w:szCs w:val="20"/>
              </w:rPr>
            </w:pPr>
            <w:r>
              <w:rPr>
                <w:rFonts w:ascii="Arial" w:eastAsia="Arial" w:hAnsi="Arial" w:cs="Arial"/>
                <w:b/>
                <w:bCs/>
                <w:sz w:val="18"/>
                <w:szCs w:val="18"/>
              </w:rPr>
              <w:t>Balance as of May 1, 2021</w:t>
            </w:r>
          </w:p>
        </w:tc>
        <w:tc>
          <w:tcPr>
            <w:tcW w:w="480" w:type="dxa"/>
            <w:gridSpan w:val="2"/>
            <w:shd w:val="clear" w:color="auto" w:fill="CCEEFF"/>
            <w:vAlign w:val="bottom"/>
          </w:tcPr>
          <w:p w14:paraId="0393B009" w14:textId="77777777" w:rsidR="00D1587D" w:rsidRDefault="00410D07">
            <w:pPr>
              <w:jc w:val="right"/>
              <w:rPr>
                <w:sz w:val="20"/>
                <w:szCs w:val="20"/>
              </w:rPr>
            </w:pPr>
            <w:r>
              <w:rPr>
                <w:rFonts w:ascii="Arial" w:eastAsia="Arial" w:hAnsi="Arial" w:cs="Arial"/>
                <w:sz w:val="18"/>
                <w:szCs w:val="18"/>
              </w:rPr>
              <w:t>$ 8</w:t>
            </w:r>
          </w:p>
        </w:tc>
        <w:tc>
          <w:tcPr>
            <w:tcW w:w="340" w:type="dxa"/>
            <w:shd w:val="clear" w:color="auto" w:fill="CCEEFF"/>
            <w:vAlign w:val="bottom"/>
          </w:tcPr>
          <w:p w14:paraId="53D4EBBC" w14:textId="77777777" w:rsidR="00D1587D" w:rsidRDefault="00D1587D">
            <w:pPr>
              <w:rPr>
                <w:sz w:val="24"/>
                <w:szCs w:val="24"/>
              </w:rPr>
            </w:pPr>
          </w:p>
        </w:tc>
        <w:tc>
          <w:tcPr>
            <w:tcW w:w="960" w:type="dxa"/>
            <w:gridSpan w:val="3"/>
            <w:shd w:val="clear" w:color="auto" w:fill="CCEEFF"/>
            <w:vAlign w:val="bottom"/>
          </w:tcPr>
          <w:p w14:paraId="2A647A6B" w14:textId="77777777" w:rsidR="00D1587D" w:rsidRDefault="00410D07">
            <w:pPr>
              <w:ind w:right="320"/>
              <w:jc w:val="right"/>
              <w:rPr>
                <w:sz w:val="20"/>
                <w:szCs w:val="20"/>
              </w:rPr>
            </w:pPr>
            <w:r>
              <w:rPr>
                <w:rFonts w:ascii="Arial" w:eastAsia="Arial" w:hAnsi="Arial" w:cs="Arial"/>
                <w:sz w:val="18"/>
                <w:szCs w:val="18"/>
              </w:rPr>
              <w:t>$ (1)</w:t>
            </w:r>
          </w:p>
        </w:tc>
        <w:tc>
          <w:tcPr>
            <w:tcW w:w="640" w:type="dxa"/>
            <w:gridSpan w:val="2"/>
            <w:shd w:val="clear" w:color="auto" w:fill="CCEEFF"/>
            <w:vAlign w:val="bottom"/>
          </w:tcPr>
          <w:p w14:paraId="6BB91CA8" w14:textId="77777777" w:rsidR="00D1587D" w:rsidRDefault="00410D07">
            <w:pPr>
              <w:jc w:val="right"/>
              <w:rPr>
                <w:sz w:val="20"/>
                <w:szCs w:val="20"/>
              </w:rPr>
            </w:pPr>
            <w:r>
              <w:rPr>
                <w:rFonts w:ascii="Arial" w:eastAsia="Arial" w:hAnsi="Arial" w:cs="Arial"/>
                <w:sz w:val="18"/>
                <w:szCs w:val="18"/>
              </w:rPr>
              <w:t>$ 7</w:t>
            </w:r>
          </w:p>
        </w:tc>
        <w:tc>
          <w:tcPr>
            <w:tcW w:w="360" w:type="dxa"/>
            <w:shd w:val="clear" w:color="auto" w:fill="CCEEFF"/>
            <w:vAlign w:val="bottom"/>
          </w:tcPr>
          <w:p w14:paraId="378D454E" w14:textId="77777777" w:rsidR="00D1587D" w:rsidRDefault="00D1587D">
            <w:pPr>
              <w:rPr>
                <w:sz w:val="24"/>
                <w:szCs w:val="24"/>
              </w:rPr>
            </w:pPr>
          </w:p>
        </w:tc>
        <w:tc>
          <w:tcPr>
            <w:tcW w:w="0" w:type="dxa"/>
            <w:vAlign w:val="bottom"/>
          </w:tcPr>
          <w:p w14:paraId="41A886F2" w14:textId="77777777" w:rsidR="00D1587D" w:rsidRDefault="00D1587D">
            <w:pPr>
              <w:rPr>
                <w:sz w:val="1"/>
                <w:szCs w:val="1"/>
              </w:rPr>
            </w:pPr>
          </w:p>
        </w:tc>
      </w:tr>
      <w:tr w:rsidR="00D1587D" w14:paraId="4699620A" w14:textId="77777777">
        <w:trPr>
          <w:trHeight w:val="27"/>
        </w:trPr>
        <w:tc>
          <w:tcPr>
            <w:tcW w:w="5640" w:type="dxa"/>
            <w:tcBorders>
              <w:top w:val="single" w:sz="8" w:space="0" w:color="CCEEFF"/>
            </w:tcBorders>
            <w:shd w:val="clear" w:color="auto" w:fill="CCEEFF"/>
            <w:vAlign w:val="bottom"/>
          </w:tcPr>
          <w:p w14:paraId="3715EDBA" w14:textId="77777777" w:rsidR="00D1587D" w:rsidRDefault="00D1587D">
            <w:pPr>
              <w:rPr>
                <w:sz w:val="2"/>
                <w:szCs w:val="2"/>
              </w:rPr>
            </w:pPr>
          </w:p>
        </w:tc>
        <w:tc>
          <w:tcPr>
            <w:tcW w:w="220" w:type="dxa"/>
            <w:tcBorders>
              <w:top w:val="single" w:sz="8" w:space="0" w:color="CCEEFF"/>
            </w:tcBorders>
            <w:shd w:val="clear" w:color="auto" w:fill="CCEEFF"/>
            <w:vAlign w:val="bottom"/>
          </w:tcPr>
          <w:p w14:paraId="5F4DD4CE" w14:textId="77777777" w:rsidR="00D1587D" w:rsidRDefault="00D1587D">
            <w:pPr>
              <w:rPr>
                <w:sz w:val="2"/>
                <w:szCs w:val="2"/>
              </w:rPr>
            </w:pPr>
          </w:p>
        </w:tc>
        <w:tc>
          <w:tcPr>
            <w:tcW w:w="260" w:type="dxa"/>
            <w:tcBorders>
              <w:top w:val="single" w:sz="8" w:space="0" w:color="auto"/>
            </w:tcBorders>
            <w:shd w:val="clear" w:color="auto" w:fill="000000"/>
            <w:vAlign w:val="bottom"/>
          </w:tcPr>
          <w:p w14:paraId="47E9D3AE" w14:textId="77777777" w:rsidR="00D1587D" w:rsidRDefault="00D1587D">
            <w:pPr>
              <w:rPr>
                <w:sz w:val="2"/>
                <w:szCs w:val="2"/>
              </w:rPr>
            </w:pPr>
          </w:p>
        </w:tc>
        <w:tc>
          <w:tcPr>
            <w:tcW w:w="340" w:type="dxa"/>
            <w:tcBorders>
              <w:top w:val="single" w:sz="8" w:space="0" w:color="CCEEFF"/>
            </w:tcBorders>
            <w:shd w:val="clear" w:color="auto" w:fill="CCEEFF"/>
            <w:vAlign w:val="bottom"/>
          </w:tcPr>
          <w:p w14:paraId="706A82D0" w14:textId="77777777" w:rsidR="00D1587D" w:rsidRDefault="00D1587D">
            <w:pPr>
              <w:rPr>
                <w:sz w:val="2"/>
                <w:szCs w:val="2"/>
              </w:rPr>
            </w:pPr>
          </w:p>
        </w:tc>
        <w:tc>
          <w:tcPr>
            <w:tcW w:w="300" w:type="dxa"/>
            <w:tcBorders>
              <w:top w:val="single" w:sz="8" w:space="0" w:color="CCEEFF"/>
            </w:tcBorders>
            <w:shd w:val="clear" w:color="auto" w:fill="CCEEFF"/>
            <w:vAlign w:val="bottom"/>
          </w:tcPr>
          <w:p w14:paraId="41296624" w14:textId="77777777" w:rsidR="00D1587D" w:rsidRDefault="00D1587D">
            <w:pPr>
              <w:rPr>
                <w:sz w:val="2"/>
                <w:szCs w:val="2"/>
              </w:rPr>
            </w:pPr>
          </w:p>
        </w:tc>
        <w:tc>
          <w:tcPr>
            <w:tcW w:w="260" w:type="dxa"/>
            <w:tcBorders>
              <w:top w:val="single" w:sz="8" w:space="0" w:color="auto"/>
            </w:tcBorders>
            <w:shd w:val="clear" w:color="auto" w:fill="000000"/>
            <w:vAlign w:val="bottom"/>
          </w:tcPr>
          <w:p w14:paraId="6C40413A" w14:textId="77777777" w:rsidR="00D1587D" w:rsidRDefault="00D1587D">
            <w:pPr>
              <w:rPr>
                <w:sz w:val="2"/>
                <w:szCs w:val="2"/>
              </w:rPr>
            </w:pPr>
          </w:p>
        </w:tc>
        <w:tc>
          <w:tcPr>
            <w:tcW w:w="400" w:type="dxa"/>
            <w:tcBorders>
              <w:top w:val="single" w:sz="8" w:space="0" w:color="CCEEFF"/>
            </w:tcBorders>
            <w:shd w:val="clear" w:color="auto" w:fill="CCEEFF"/>
            <w:vAlign w:val="bottom"/>
          </w:tcPr>
          <w:p w14:paraId="78133937" w14:textId="77777777" w:rsidR="00D1587D" w:rsidRDefault="00D1587D">
            <w:pPr>
              <w:rPr>
                <w:sz w:val="2"/>
                <w:szCs w:val="2"/>
              </w:rPr>
            </w:pPr>
          </w:p>
        </w:tc>
        <w:tc>
          <w:tcPr>
            <w:tcW w:w="360" w:type="dxa"/>
            <w:tcBorders>
              <w:top w:val="single" w:sz="8" w:space="0" w:color="CCEEFF"/>
            </w:tcBorders>
            <w:shd w:val="clear" w:color="auto" w:fill="CCEEFF"/>
            <w:vAlign w:val="bottom"/>
          </w:tcPr>
          <w:p w14:paraId="1486E998" w14:textId="77777777" w:rsidR="00D1587D" w:rsidRDefault="00D1587D">
            <w:pPr>
              <w:rPr>
                <w:sz w:val="2"/>
                <w:szCs w:val="2"/>
              </w:rPr>
            </w:pPr>
          </w:p>
        </w:tc>
        <w:tc>
          <w:tcPr>
            <w:tcW w:w="280" w:type="dxa"/>
            <w:tcBorders>
              <w:top w:val="single" w:sz="8" w:space="0" w:color="auto"/>
            </w:tcBorders>
            <w:shd w:val="clear" w:color="auto" w:fill="000000"/>
            <w:vAlign w:val="bottom"/>
          </w:tcPr>
          <w:p w14:paraId="16BC3461" w14:textId="77777777" w:rsidR="00D1587D" w:rsidRDefault="00D1587D">
            <w:pPr>
              <w:rPr>
                <w:sz w:val="2"/>
                <w:szCs w:val="2"/>
              </w:rPr>
            </w:pPr>
          </w:p>
        </w:tc>
        <w:tc>
          <w:tcPr>
            <w:tcW w:w="360" w:type="dxa"/>
            <w:tcBorders>
              <w:top w:val="single" w:sz="8" w:space="0" w:color="CCEEFF"/>
            </w:tcBorders>
            <w:shd w:val="clear" w:color="auto" w:fill="CCEEFF"/>
            <w:vAlign w:val="bottom"/>
          </w:tcPr>
          <w:p w14:paraId="4D321DA4" w14:textId="77777777" w:rsidR="00D1587D" w:rsidRDefault="00D1587D">
            <w:pPr>
              <w:rPr>
                <w:sz w:val="2"/>
                <w:szCs w:val="2"/>
              </w:rPr>
            </w:pPr>
          </w:p>
        </w:tc>
        <w:tc>
          <w:tcPr>
            <w:tcW w:w="0" w:type="dxa"/>
            <w:vAlign w:val="bottom"/>
          </w:tcPr>
          <w:p w14:paraId="16A80375" w14:textId="77777777" w:rsidR="00D1587D" w:rsidRDefault="00D1587D">
            <w:pPr>
              <w:spacing w:line="20" w:lineRule="exact"/>
              <w:rPr>
                <w:sz w:val="1"/>
                <w:szCs w:val="1"/>
              </w:rPr>
            </w:pPr>
          </w:p>
        </w:tc>
      </w:tr>
    </w:tbl>
    <w:p w14:paraId="0552FEDD" w14:textId="77777777" w:rsidR="00D1587D" w:rsidRDefault="00410D07">
      <w:pPr>
        <w:spacing w:line="20" w:lineRule="exact"/>
        <w:rPr>
          <w:sz w:val="20"/>
          <w:szCs w:val="20"/>
        </w:rPr>
      </w:pPr>
      <w:r>
        <w:rPr>
          <w:noProof/>
          <w:sz w:val="20"/>
          <w:szCs w:val="20"/>
        </w:rPr>
        <w:drawing>
          <wp:anchor distT="0" distB="0" distL="114300" distR="114300" simplePos="0" relativeHeight="252179456" behindDoc="1" locked="0" layoutInCell="0" allowOverlap="1" wp14:anchorId="1C3016E4" wp14:editId="7BEAF2B4">
            <wp:simplePos x="0" y="0"/>
            <wp:positionH relativeFrom="column">
              <wp:posOffset>5415280</wp:posOffset>
            </wp:positionH>
            <wp:positionV relativeFrom="paragraph">
              <wp:posOffset>-1259205</wp:posOffset>
            </wp:positionV>
            <wp:extent cx="137160" cy="8255"/>
            <wp:effectExtent l="0" t="0" r="0" b="0"/>
            <wp:wrapNone/>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180480" behindDoc="1" locked="0" layoutInCell="0" allowOverlap="1" wp14:anchorId="7F6DE756" wp14:editId="3650C980">
            <wp:simplePos x="0" y="0"/>
            <wp:positionH relativeFrom="column">
              <wp:posOffset>4857750</wp:posOffset>
            </wp:positionH>
            <wp:positionV relativeFrom="paragraph">
              <wp:posOffset>-1259205</wp:posOffset>
            </wp:positionV>
            <wp:extent cx="137160" cy="8255"/>
            <wp:effectExtent l="0" t="0" r="0" b="0"/>
            <wp:wrapNone/>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p>
    <w:p w14:paraId="5C0826F8" w14:textId="77777777" w:rsidR="00D1587D" w:rsidRDefault="00D1587D">
      <w:pPr>
        <w:spacing w:line="74" w:lineRule="exact"/>
        <w:rPr>
          <w:sz w:val="20"/>
          <w:szCs w:val="20"/>
        </w:rPr>
      </w:pPr>
    </w:p>
    <w:p w14:paraId="3FCBEB42" w14:textId="77777777" w:rsidR="00D1587D" w:rsidRDefault="00410D07">
      <w:pPr>
        <w:spacing w:line="277" w:lineRule="auto"/>
        <w:ind w:left="1300" w:right="1380"/>
        <w:rPr>
          <w:sz w:val="20"/>
          <w:szCs w:val="20"/>
        </w:rPr>
      </w:pPr>
      <w:r>
        <w:rPr>
          <w:rFonts w:ascii="Arial" w:eastAsia="Arial" w:hAnsi="Arial" w:cs="Arial"/>
          <w:sz w:val="18"/>
          <w:szCs w:val="18"/>
        </w:rPr>
        <w:t xml:space="preserve">The </w:t>
      </w:r>
      <w:r>
        <w:rPr>
          <w:rFonts w:ascii="Arial" w:eastAsia="Arial" w:hAnsi="Arial" w:cs="Arial"/>
          <w:sz w:val="18"/>
          <w:szCs w:val="18"/>
        </w:rPr>
        <w:t>following table provides the rollforward of accumulated other comprehensive income (loss) for the first quarter of 2020:</w:t>
      </w:r>
    </w:p>
    <w:p w14:paraId="0D0D23CA" w14:textId="77777777" w:rsidR="00D1587D" w:rsidRDefault="00D1587D">
      <w:pPr>
        <w:spacing w:line="17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00"/>
        <w:gridCol w:w="5640"/>
        <w:gridCol w:w="180"/>
        <w:gridCol w:w="320"/>
        <w:gridCol w:w="320"/>
        <w:gridCol w:w="300"/>
        <w:gridCol w:w="260"/>
        <w:gridCol w:w="400"/>
        <w:gridCol w:w="340"/>
        <w:gridCol w:w="320"/>
        <w:gridCol w:w="20"/>
        <w:gridCol w:w="320"/>
        <w:gridCol w:w="1300"/>
        <w:gridCol w:w="20"/>
      </w:tblGrid>
      <w:tr w:rsidR="00D1587D" w14:paraId="4035C6F1" w14:textId="77777777">
        <w:trPr>
          <w:trHeight w:val="161"/>
        </w:trPr>
        <w:tc>
          <w:tcPr>
            <w:tcW w:w="1300" w:type="dxa"/>
            <w:vAlign w:val="bottom"/>
          </w:tcPr>
          <w:p w14:paraId="4C22A392" w14:textId="77777777" w:rsidR="00D1587D" w:rsidRDefault="00D1587D">
            <w:pPr>
              <w:rPr>
                <w:sz w:val="14"/>
                <w:szCs w:val="14"/>
              </w:rPr>
            </w:pPr>
          </w:p>
        </w:tc>
        <w:tc>
          <w:tcPr>
            <w:tcW w:w="5640" w:type="dxa"/>
            <w:vAlign w:val="bottom"/>
          </w:tcPr>
          <w:p w14:paraId="67E9F1CD" w14:textId="77777777" w:rsidR="00D1587D" w:rsidRDefault="00D1587D">
            <w:pPr>
              <w:rPr>
                <w:sz w:val="14"/>
                <w:szCs w:val="14"/>
              </w:rPr>
            </w:pPr>
          </w:p>
        </w:tc>
        <w:tc>
          <w:tcPr>
            <w:tcW w:w="820" w:type="dxa"/>
            <w:gridSpan w:val="3"/>
            <w:vMerge w:val="restart"/>
            <w:vAlign w:val="bottom"/>
          </w:tcPr>
          <w:p w14:paraId="14EE368B" w14:textId="77777777" w:rsidR="00D1587D" w:rsidRDefault="00410D07">
            <w:pPr>
              <w:ind w:right="140"/>
              <w:jc w:val="center"/>
              <w:rPr>
                <w:sz w:val="20"/>
                <w:szCs w:val="20"/>
              </w:rPr>
            </w:pPr>
            <w:r>
              <w:rPr>
                <w:rFonts w:ascii="Arial" w:eastAsia="Arial" w:hAnsi="Arial" w:cs="Arial"/>
                <w:b/>
                <w:bCs/>
                <w:w w:val="93"/>
                <w:sz w:val="14"/>
                <w:szCs w:val="14"/>
              </w:rPr>
              <w:t>Foreign</w:t>
            </w:r>
          </w:p>
        </w:tc>
        <w:tc>
          <w:tcPr>
            <w:tcW w:w="300" w:type="dxa"/>
            <w:vAlign w:val="bottom"/>
          </w:tcPr>
          <w:p w14:paraId="11AF29A5" w14:textId="77777777" w:rsidR="00D1587D" w:rsidRDefault="00D1587D">
            <w:pPr>
              <w:rPr>
                <w:sz w:val="14"/>
                <w:szCs w:val="14"/>
              </w:rPr>
            </w:pPr>
          </w:p>
        </w:tc>
        <w:tc>
          <w:tcPr>
            <w:tcW w:w="260" w:type="dxa"/>
            <w:vAlign w:val="bottom"/>
          </w:tcPr>
          <w:p w14:paraId="07DD6CCC" w14:textId="77777777" w:rsidR="00D1587D" w:rsidRDefault="00D1587D">
            <w:pPr>
              <w:rPr>
                <w:sz w:val="14"/>
                <w:szCs w:val="14"/>
              </w:rPr>
            </w:pPr>
          </w:p>
        </w:tc>
        <w:tc>
          <w:tcPr>
            <w:tcW w:w="400" w:type="dxa"/>
            <w:vAlign w:val="bottom"/>
          </w:tcPr>
          <w:p w14:paraId="54A37705" w14:textId="77777777" w:rsidR="00D1587D" w:rsidRDefault="00D1587D">
            <w:pPr>
              <w:rPr>
                <w:sz w:val="14"/>
                <w:szCs w:val="14"/>
              </w:rPr>
            </w:pPr>
          </w:p>
        </w:tc>
        <w:tc>
          <w:tcPr>
            <w:tcW w:w="2300" w:type="dxa"/>
            <w:gridSpan w:val="5"/>
            <w:vAlign w:val="bottom"/>
          </w:tcPr>
          <w:p w14:paraId="1E19DB67" w14:textId="77777777" w:rsidR="00D1587D" w:rsidRDefault="00410D07">
            <w:pPr>
              <w:ind w:right="1320"/>
              <w:jc w:val="center"/>
              <w:rPr>
                <w:sz w:val="20"/>
                <w:szCs w:val="20"/>
              </w:rPr>
            </w:pPr>
            <w:r>
              <w:rPr>
                <w:rFonts w:ascii="Arial" w:eastAsia="Arial" w:hAnsi="Arial" w:cs="Arial"/>
                <w:b/>
                <w:bCs/>
                <w:w w:val="93"/>
                <w:sz w:val="14"/>
                <w:szCs w:val="14"/>
              </w:rPr>
              <w:t>Accumulated</w:t>
            </w:r>
          </w:p>
        </w:tc>
        <w:tc>
          <w:tcPr>
            <w:tcW w:w="0" w:type="dxa"/>
            <w:vAlign w:val="bottom"/>
          </w:tcPr>
          <w:p w14:paraId="6102B710" w14:textId="77777777" w:rsidR="00D1587D" w:rsidRDefault="00D1587D">
            <w:pPr>
              <w:rPr>
                <w:sz w:val="1"/>
                <w:szCs w:val="1"/>
              </w:rPr>
            </w:pPr>
          </w:p>
        </w:tc>
      </w:tr>
      <w:tr w:rsidR="00D1587D" w14:paraId="5B7CCD7E" w14:textId="77777777">
        <w:trPr>
          <w:trHeight w:val="148"/>
        </w:trPr>
        <w:tc>
          <w:tcPr>
            <w:tcW w:w="1300" w:type="dxa"/>
            <w:vAlign w:val="bottom"/>
          </w:tcPr>
          <w:p w14:paraId="6A1DD521" w14:textId="77777777" w:rsidR="00D1587D" w:rsidRDefault="00D1587D">
            <w:pPr>
              <w:rPr>
                <w:sz w:val="12"/>
                <w:szCs w:val="12"/>
              </w:rPr>
            </w:pPr>
          </w:p>
        </w:tc>
        <w:tc>
          <w:tcPr>
            <w:tcW w:w="5640" w:type="dxa"/>
            <w:vAlign w:val="bottom"/>
          </w:tcPr>
          <w:p w14:paraId="15863B11" w14:textId="77777777" w:rsidR="00D1587D" w:rsidRDefault="00D1587D">
            <w:pPr>
              <w:rPr>
                <w:sz w:val="12"/>
                <w:szCs w:val="12"/>
              </w:rPr>
            </w:pPr>
          </w:p>
        </w:tc>
        <w:tc>
          <w:tcPr>
            <w:tcW w:w="820" w:type="dxa"/>
            <w:gridSpan w:val="3"/>
            <w:vMerge/>
            <w:vAlign w:val="bottom"/>
          </w:tcPr>
          <w:p w14:paraId="5994BA1D" w14:textId="77777777" w:rsidR="00D1587D" w:rsidRDefault="00D1587D">
            <w:pPr>
              <w:rPr>
                <w:sz w:val="12"/>
                <w:szCs w:val="12"/>
              </w:rPr>
            </w:pPr>
          </w:p>
        </w:tc>
        <w:tc>
          <w:tcPr>
            <w:tcW w:w="960" w:type="dxa"/>
            <w:gridSpan w:val="3"/>
            <w:vMerge w:val="restart"/>
            <w:vAlign w:val="bottom"/>
          </w:tcPr>
          <w:p w14:paraId="39B4DA8E" w14:textId="77777777" w:rsidR="00D1587D" w:rsidRDefault="00410D07">
            <w:pPr>
              <w:ind w:right="200"/>
              <w:jc w:val="right"/>
              <w:rPr>
                <w:sz w:val="20"/>
                <w:szCs w:val="20"/>
              </w:rPr>
            </w:pPr>
            <w:r>
              <w:rPr>
                <w:rFonts w:ascii="Arial" w:eastAsia="Arial" w:hAnsi="Arial" w:cs="Arial"/>
                <w:b/>
                <w:bCs/>
                <w:sz w:val="14"/>
                <w:szCs w:val="14"/>
              </w:rPr>
              <w:t>Cash Flow</w:t>
            </w:r>
          </w:p>
        </w:tc>
        <w:tc>
          <w:tcPr>
            <w:tcW w:w="2300" w:type="dxa"/>
            <w:gridSpan w:val="5"/>
            <w:vAlign w:val="bottom"/>
          </w:tcPr>
          <w:p w14:paraId="6A314244" w14:textId="77777777" w:rsidR="00D1587D" w:rsidRDefault="00410D07">
            <w:pPr>
              <w:spacing w:line="149" w:lineRule="exact"/>
              <w:ind w:right="1320"/>
              <w:jc w:val="center"/>
              <w:rPr>
                <w:sz w:val="20"/>
                <w:szCs w:val="20"/>
              </w:rPr>
            </w:pPr>
            <w:r>
              <w:rPr>
                <w:rFonts w:ascii="Arial" w:eastAsia="Arial" w:hAnsi="Arial" w:cs="Arial"/>
                <w:b/>
                <w:bCs/>
                <w:sz w:val="14"/>
                <w:szCs w:val="14"/>
              </w:rPr>
              <w:t>Other</w:t>
            </w:r>
          </w:p>
        </w:tc>
        <w:tc>
          <w:tcPr>
            <w:tcW w:w="0" w:type="dxa"/>
            <w:vAlign w:val="bottom"/>
          </w:tcPr>
          <w:p w14:paraId="7EC80BE2" w14:textId="77777777" w:rsidR="00D1587D" w:rsidRDefault="00D1587D">
            <w:pPr>
              <w:rPr>
                <w:sz w:val="1"/>
                <w:szCs w:val="1"/>
              </w:rPr>
            </w:pPr>
          </w:p>
        </w:tc>
      </w:tr>
      <w:tr w:rsidR="00D1587D" w14:paraId="2A8DE008" w14:textId="77777777">
        <w:trPr>
          <w:trHeight w:val="148"/>
        </w:trPr>
        <w:tc>
          <w:tcPr>
            <w:tcW w:w="1300" w:type="dxa"/>
            <w:vAlign w:val="bottom"/>
          </w:tcPr>
          <w:p w14:paraId="5DE4464B" w14:textId="77777777" w:rsidR="00D1587D" w:rsidRDefault="00D1587D">
            <w:pPr>
              <w:rPr>
                <w:sz w:val="12"/>
                <w:szCs w:val="12"/>
              </w:rPr>
            </w:pPr>
          </w:p>
        </w:tc>
        <w:tc>
          <w:tcPr>
            <w:tcW w:w="5640" w:type="dxa"/>
            <w:vAlign w:val="bottom"/>
          </w:tcPr>
          <w:p w14:paraId="19699E30" w14:textId="77777777" w:rsidR="00D1587D" w:rsidRDefault="00D1587D">
            <w:pPr>
              <w:rPr>
                <w:sz w:val="12"/>
                <w:szCs w:val="12"/>
              </w:rPr>
            </w:pPr>
          </w:p>
        </w:tc>
        <w:tc>
          <w:tcPr>
            <w:tcW w:w="820" w:type="dxa"/>
            <w:gridSpan w:val="3"/>
            <w:vAlign w:val="bottom"/>
          </w:tcPr>
          <w:p w14:paraId="03E66358" w14:textId="77777777" w:rsidR="00D1587D" w:rsidRDefault="00410D07">
            <w:pPr>
              <w:spacing w:line="149" w:lineRule="exact"/>
              <w:ind w:right="160"/>
              <w:jc w:val="center"/>
              <w:rPr>
                <w:sz w:val="20"/>
                <w:szCs w:val="20"/>
              </w:rPr>
            </w:pPr>
            <w:r>
              <w:rPr>
                <w:rFonts w:ascii="Arial" w:eastAsia="Arial" w:hAnsi="Arial" w:cs="Arial"/>
                <w:b/>
                <w:bCs/>
                <w:w w:val="94"/>
                <w:sz w:val="14"/>
                <w:szCs w:val="14"/>
              </w:rPr>
              <w:t>Currency</w:t>
            </w:r>
          </w:p>
        </w:tc>
        <w:tc>
          <w:tcPr>
            <w:tcW w:w="960" w:type="dxa"/>
            <w:gridSpan w:val="3"/>
            <w:vMerge/>
            <w:vAlign w:val="bottom"/>
          </w:tcPr>
          <w:p w14:paraId="387DDA85" w14:textId="77777777" w:rsidR="00D1587D" w:rsidRDefault="00D1587D">
            <w:pPr>
              <w:rPr>
                <w:sz w:val="12"/>
                <w:szCs w:val="12"/>
              </w:rPr>
            </w:pPr>
          </w:p>
        </w:tc>
        <w:tc>
          <w:tcPr>
            <w:tcW w:w="2300" w:type="dxa"/>
            <w:gridSpan w:val="5"/>
            <w:vAlign w:val="bottom"/>
          </w:tcPr>
          <w:p w14:paraId="4F34F8F5" w14:textId="77777777" w:rsidR="00D1587D" w:rsidRDefault="00410D07">
            <w:pPr>
              <w:spacing w:line="149" w:lineRule="exact"/>
              <w:ind w:right="1280"/>
              <w:jc w:val="center"/>
              <w:rPr>
                <w:sz w:val="20"/>
                <w:szCs w:val="20"/>
              </w:rPr>
            </w:pPr>
            <w:r>
              <w:rPr>
                <w:rFonts w:ascii="Arial" w:eastAsia="Arial" w:hAnsi="Arial" w:cs="Arial"/>
                <w:b/>
                <w:bCs/>
                <w:w w:val="89"/>
                <w:sz w:val="14"/>
                <w:szCs w:val="14"/>
              </w:rPr>
              <w:t>Comprehensive</w:t>
            </w:r>
          </w:p>
        </w:tc>
        <w:tc>
          <w:tcPr>
            <w:tcW w:w="0" w:type="dxa"/>
            <w:vAlign w:val="bottom"/>
          </w:tcPr>
          <w:p w14:paraId="3E3FA446" w14:textId="77777777" w:rsidR="00D1587D" w:rsidRDefault="00D1587D">
            <w:pPr>
              <w:rPr>
                <w:sz w:val="1"/>
                <w:szCs w:val="1"/>
              </w:rPr>
            </w:pPr>
          </w:p>
        </w:tc>
      </w:tr>
      <w:tr w:rsidR="00D1587D" w14:paraId="577F72AD" w14:textId="77777777">
        <w:trPr>
          <w:trHeight w:val="186"/>
        </w:trPr>
        <w:tc>
          <w:tcPr>
            <w:tcW w:w="1300" w:type="dxa"/>
            <w:vAlign w:val="bottom"/>
          </w:tcPr>
          <w:p w14:paraId="1FD85B24" w14:textId="77777777" w:rsidR="00D1587D" w:rsidRDefault="00D1587D">
            <w:pPr>
              <w:rPr>
                <w:sz w:val="16"/>
                <w:szCs w:val="16"/>
              </w:rPr>
            </w:pPr>
          </w:p>
        </w:tc>
        <w:tc>
          <w:tcPr>
            <w:tcW w:w="5640" w:type="dxa"/>
            <w:vAlign w:val="bottom"/>
          </w:tcPr>
          <w:p w14:paraId="4A2D2B73" w14:textId="77777777" w:rsidR="00D1587D" w:rsidRDefault="00D1587D">
            <w:pPr>
              <w:rPr>
                <w:sz w:val="16"/>
                <w:szCs w:val="16"/>
              </w:rPr>
            </w:pPr>
          </w:p>
        </w:tc>
        <w:tc>
          <w:tcPr>
            <w:tcW w:w="820" w:type="dxa"/>
            <w:gridSpan w:val="3"/>
            <w:vAlign w:val="bottom"/>
          </w:tcPr>
          <w:p w14:paraId="41E8BD88" w14:textId="77777777" w:rsidR="00D1587D" w:rsidRDefault="00410D07">
            <w:pPr>
              <w:ind w:right="120"/>
              <w:jc w:val="center"/>
              <w:rPr>
                <w:sz w:val="20"/>
                <w:szCs w:val="20"/>
              </w:rPr>
            </w:pPr>
            <w:r>
              <w:rPr>
                <w:rFonts w:ascii="Arial" w:eastAsia="Arial" w:hAnsi="Arial" w:cs="Arial"/>
                <w:b/>
                <w:bCs/>
                <w:w w:val="92"/>
                <w:sz w:val="14"/>
                <w:szCs w:val="14"/>
              </w:rPr>
              <w:t>Translation</w:t>
            </w:r>
          </w:p>
        </w:tc>
        <w:tc>
          <w:tcPr>
            <w:tcW w:w="960" w:type="dxa"/>
            <w:gridSpan w:val="3"/>
            <w:vAlign w:val="bottom"/>
          </w:tcPr>
          <w:p w14:paraId="18BBF3AF" w14:textId="77777777" w:rsidR="00D1587D" w:rsidRDefault="00410D07">
            <w:pPr>
              <w:ind w:right="300"/>
              <w:jc w:val="right"/>
              <w:rPr>
                <w:sz w:val="20"/>
                <w:szCs w:val="20"/>
              </w:rPr>
            </w:pPr>
            <w:r>
              <w:rPr>
                <w:rFonts w:ascii="Arial" w:eastAsia="Arial" w:hAnsi="Arial" w:cs="Arial"/>
                <w:b/>
                <w:bCs/>
                <w:sz w:val="14"/>
                <w:szCs w:val="14"/>
              </w:rPr>
              <w:t>Hedges</w:t>
            </w:r>
          </w:p>
        </w:tc>
        <w:tc>
          <w:tcPr>
            <w:tcW w:w="2300" w:type="dxa"/>
            <w:gridSpan w:val="5"/>
            <w:vAlign w:val="bottom"/>
          </w:tcPr>
          <w:p w14:paraId="7D803BEA" w14:textId="77777777" w:rsidR="00D1587D" w:rsidRDefault="00410D07">
            <w:pPr>
              <w:ind w:right="1280"/>
              <w:jc w:val="center"/>
              <w:rPr>
                <w:sz w:val="20"/>
                <w:szCs w:val="20"/>
              </w:rPr>
            </w:pPr>
            <w:r>
              <w:rPr>
                <w:rFonts w:ascii="Arial" w:eastAsia="Arial" w:hAnsi="Arial" w:cs="Arial"/>
                <w:b/>
                <w:bCs/>
                <w:w w:val="90"/>
                <w:sz w:val="14"/>
                <w:szCs w:val="14"/>
              </w:rPr>
              <w:t>Income (Loss)</w:t>
            </w:r>
          </w:p>
        </w:tc>
        <w:tc>
          <w:tcPr>
            <w:tcW w:w="0" w:type="dxa"/>
            <w:vAlign w:val="bottom"/>
          </w:tcPr>
          <w:p w14:paraId="3B877AD1" w14:textId="77777777" w:rsidR="00D1587D" w:rsidRDefault="00D1587D">
            <w:pPr>
              <w:rPr>
                <w:sz w:val="1"/>
                <w:szCs w:val="1"/>
              </w:rPr>
            </w:pPr>
          </w:p>
        </w:tc>
      </w:tr>
      <w:tr w:rsidR="00D1587D" w14:paraId="33EFF642" w14:textId="77777777">
        <w:trPr>
          <w:trHeight w:val="53"/>
        </w:trPr>
        <w:tc>
          <w:tcPr>
            <w:tcW w:w="1300" w:type="dxa"/>
            <w:vAlign w:val="bottom"/>
          </w:tcPr>
          <w:p w14:paraId="4F5F2D04" w14:textId="77777777" w:rsidR="00D1587D" w:rsidRDefault="00D1587D">
            <w:pPr>
              <w:rPr>
                <w:sz w:val="4"/>
                <w:szCs w:val="4"/>
              </w:rPr>
            </w:pPr>
          </w:p>
        </w:tc>
        <w:tc>
          <w:tcPr>
            <w:tcW w:w="5640" w:type="dxa"/>
            <w:vAlign w:val="bottom"/>
          </w:tcPr>
          <w:p w14:paraId="114EC7F3" w14:textId="77777777" w:rsidR="00D1587D" w:rsidRDefault="00D1587D">
            <w:pPr>
              <w:rPr>
                <w:sz w:val="4"/>
                <w:szCs w:val="4"/>
              </w:rPr>
            </w:pPr>
          </w:p>
        </w:tc>
        <w:tc>
          <w:tcPr>
            <w:tcW w:w="180" w:type="dxa"/>
            <w:tcBorders>
              <w:bottom w:val="single" w:sz="8" w:space="0" w:color="auto"/>
            </w:tcBorders>
            <w:vAlign w:val="bottom"/>
          </w:tcPr>
          <w:p w14:paraId="1659726C" w14:textId="77777777" w:rsidR="00D1587D" w:rsidRDefault="00D1587D">
            <w:pPr>
              <w:rPr>
                <w:sz w:val="4"/>
                <w:szCs w:val="4"/>
              </w:rPr>
            </w:pPr>
          </w:p>
        </w:tc>
        <w:tc>
          <w:tcPr>
            <w:tcW w:w="320" w:type="dxa"/>
            <w:tcBorders>
              <w:bottom w:val="single" w:sz="8" w:space="0" w:color="auto"/>
            </w:tcBorders>
            <w:vAlign w:val="bottom"/>
          </w:tcPr>
          <w:p w14:paraId="0087551B" w14:textId="77777777" w:rsidR="00D1587D" w:rsidRDefault="00D1587D">
            <w:pPr>
              <w:rPr>
                <w:sz w:val="4"/>
                <w:szCs w:val="4"/>
              </w:rPr>
            </w:pPr>
          </w:p>
        </w:tc>
        <w:tc>
          <w:tcPr>
            <w:tcW w:w="320" w:type="dxa"/>
            <w:tcBorders>
              <w:bottom w:val="single" w:sz="8" w:space="0" w:color="auto"/>
            </w:tcBorders>
            <w:vAlign w:val="bottom"/>
          </w:tcPr>
          <w:p w14:paraId="62D8A54D" w14:textId="77777777" w:rsidR="00D1587D" w:rsidRDefault="00D1587D">
            <w:pPr>
              <w:rPr>
                <w:sz w:val="4"/>
                <w:szCs w:val="4"/>
              </w:rPr>
            </w:pPr>
          </w:p>
        </w:tc>
        <w:tc>
          <w:tcPr>
            <w:tcW w:w="300" w:type="dxa"/>
            <w:tcBorders>
              <w:bottom w:val="single" w:sz="8" w:space="0" w:color="auto"/>
            </w:tcBorders>
            <w:vAlign w:val="bottom"/>
          </w:tcPr>
          <w:p w14:paraId="2C4A7987" w14:textId="77777777" w:rsidR="00D1587D" w:rsidRDefault="00D1587D">
            <w:pPr>
              <w:rPr>
                <w:sz w:val="4"/>
                <w:szCs w:val="4"/>
              </w:rPr>
            </w:pPr>
          </w:p>
        </w:tc>
        <w:tc>
          <w:tcPr>
            <w:tcW w:w="260" w:type="dxa"/>
            <w:tcBorders>
              <w:bottom w:val="single" w:sz="8" w:space="0" w:color="auto"/>
            </w:tcBorders>
            <w:vAlign w:val="bottom"/>
          </w:tcPr>
          <w:p w14:paraId="40250D54" w14:textId="77777777" w:rsidR="00D1587D" w:rsidRDefault="00D1587D">
            <w:pPr>
              <w:rPr>
                <w:sz w:val="4"/>
                <w:szCs w:val="4"/>
              </w:rPr>
            </w:pPr>
          </w:p>
        </w:tc>
        <w:tc>
          <w:tcPr>
            <w:tcW w:w="400" w:type="dxa"/>
            <w:tcBorders>
              <w:bottom w:val="single" w:sz="8" w:space="0" w:color="auto"/>
            </w:tcBorders>
            <w:vAlign w:val="bottom"/>
          </w:tcPr>
          <w:p w14:paraId="687D2ED3" w14:textId="77777777" w:rsidR="00D1587D" w:rsidRDefault="00D1587D">
            <w:pPr>
              <w:rPr>
                <w:sz w:val="4"/>
                <w:szCs w:val="4"/>
              </w:rPr>
            </w:pPr>
          </w:p>
        </w:tc>
        <w:tc>
          <w:tcPr>
            <w:tcW w:w="340" w:type="dxa"/>
            <w:tcBorders>
              <w:bottom w:val="single" w:sz="8" w:space="0" w:color="auto"/>
            </w:tcBorders>
            <w:vAlign w:val="bottom"/>
          </w:tcPr>
          <w:p w14:paraId="257A304B" w14:textId="77777777" w:rsidR="00D1587D" w:rsidRDefault="00D1587D">
            <w:pPr>
              <w:rPr>
                <w:sz w:val="4"/>
                <w:szCs w:val="4"/>
              </w:rPr>
            </w:pPr>
          </w:p>
        </w:tc>
        <w:tc>
          <w:tcPr>
            <w:tcW w:w="320" w:type="dxa"/>
            <w:tcBorders>
              <w:bottom w:val="single" w:sz="8" w:space="0" w:color="auto"/>
            </w:tcBorders>
            <w:vAlign w:val="bottom"/>
          </w:tcPr>
          <w:p w14:paraId="5B9B6657" w14:textId="77777777" w:rsidR="00D1587D" w:rsidRDefault="00D1587D">
            <w:pPr>
              <w:rPr>
                <w:sz w:val="4"/>
                <w:szCs w:val="4"/>
              </w:rPr>
            </w:pPr>
          </w:p>
        </w:tc>
        <w:tc>
          <w:tcPr>
            <w:tcW w:w="20" w:type="dxa"/>
            <w:tcBorders>
              <w:bottom w:val="single" w:sz="8" w:space="0" w:color="auto"/>
            </w:tcBorders>
            <w:vAlign w:val="bottom"/>
          </w:tcPr>
          <w:p w14:paraId="73B2012D" w14:textId="77777777" w:rsidR="00D1587D" w:rsidRDefault="00D1587D">
            <w:pPr>
              <w:rPr>
                <w:sz w:val="4"/>
                <w:szCs w:val="4"/>
              </w:rPr>
            </w:pPr>
          </w:p>
        </w:tc>
        <w:tc>
          <w:tcPr>
            <w:tcW w:w="320" w:type="dxa"/>
            <w:tcBorders>
              <w:bottom w:val="single" w:sz="8" w:space="0" w:color="auto"/>
            </w:tcBorders>
            <w:vAlign w:val="bottom"/>
          </w:tcPr>
          <w:p w14:paraId="0EE418EE" w14:textId="77777777" w:rsidR="00D1587D" w:rsidRDefault="00D1587D">
            <w:pPr>
              <w:rPr>
                <w:sz w:val="4"/>
                <w:szCs w:val="4"/>
              </w:rPr>
            </w:pPr>
          </w:p>
        </w:tc>
        <w:tc>
          <w:tcPr>
            <w:tcW w:w="1300" w:type="dxa"/>
            <w:vAlign w:val="bottom"/>
          </w:tcPr>
          <w:p w14:paraId="5F9D266B" w14:textId="77777777" w:rsidR="00D1587D" w:rsidRDefault="00D1587D">
            <w:pPr>
              <w:rPr>
                <w:sz w:val="4"/>
                <w:szCs w:val="4"/>
              </w:rPr>
            </w:pPr>
          </w:p>
        </w:tc>
        <w:tc>
          <w:tcPr>
            <w:tcW w:w="0" w:type="dxa"/>
            <w:vAlign w:val="bottom"/>
          </w:tcPr>
          <w:p w14:paraId="2AD7CD69" w14:textId="77777777" w:rsidR="00D1587D" w:rsidRDefault="00D1587D">
            <w:pPr>
              <w:rPr>
                <w:sz w:val="1"/>
                <w:szCs w:val="1"/>
              </w:rPr>
            </w:pPr>
          </w:p>
        </w:tc>
      </w:tr>
      <w:tr w:rsidR="00D1587D" w14:paraId="1C668FA7" w14:textId="77777777">
        <w:trPr>
          <w:trHeight w:val="225"/>
        </w:trPr>
        <w:tc>
          <w:tcPr>
            <w:tcW w:w="1300" w:type="dxa"/>
            <w:vAlign w:val="bottom"/>
          </w:tcPr>
          <w:p w14:paraId="17C715E6" w14:textId="77777777" w:rsidR="00D1587D" w:rsidRDefault="00D1587D">
            <w:pPr>
              <w:rPr>
                <w:sz w:val="19"/>
                <w:szCs w:val="19"/>
              </w:rPr>
            </w:pPr>
          </w:p>
        </w:tc>
        <w:tc>
          <w:tcPr>
            <w:tcW w:w="5640" w:type="dxa"/>
            <w:vAlign w:val="bottom"/>
          </w:tcPr>
          <w:p w14:paraId="4B9FDCD0" w14:textId="77777777" w:rsidR="00D1587D" w:rsidRDefault="00D1587D">
            <w:pPr>
              <w:rPr>
                <w:sz w:val="19"/>
                <w:szCs w:val="19"/>
              </w:rPr>
            </w:pPr>
          </w:p>
        </w:tc>
        <w:tc>
          <w:tcPr>
            <w:tcW w:w="180" w:type="dxa"/>
            <w:vAlign w:val="bottom"/>
          </w:tcPr>
          <w:p w14:paraId="4EE7039C" w14:textId="77777777" w:rsidR="00D1587D" w:rsidRDefault="00D1587D">
            <w:pPr>
              <w:rPr>
                <w:sz w:val="19"/>
                <w:szCs w:val="19"/>
              </w:rPr>
            </w:pPr>
          </w:p>
        </w:tc>
        <w:tc>
          <w:tcPr>
            <w:tcW w:w="320" w:type="dxa"/>
            <w:vAlign w:val="bottom"/>
          </w:tcPr>
          <w:p w14:paraId="0F824EAB" w14:textId="77777777" w:rsidR="00D1587D" w:rsidRDefault="00D1587D">
            <w:pPr>
              <w:rPr>
                <w:sz w:val="19"/>
                <w:szCs w:val="19"/>
              </w:rPr>
            </w:pPr>
          </w:p>
        </w:tc>
        <w:tc>
          <w:tcPr>
            <w:tcW w:w="320" w:type="dxa"/>
            <w:vAlign w:val="bottom"/>
          </w:tcPr>
          <w:p w14:paraId="1510A52E" w14:textId="77777777" w:rsidR="00D1587D" w:rsidRDefault="00D1587D">
            <w:pPr>
              <w:rPr>
                <w:sz w:val="19"/>
                <w:szCs w:val="19"/>
              </w:rPr>
            </w:pPr>
          </w:p>
        </w:tc>
        <w:tc>
          <w:tcPr>
            <w:tcW w:w="960" w:type="dxa"/>
            <w:gridSpan w:val="3"/>
            <w:vAlign w:val="bottom"/>
          </w:tcPr>
          <w:p w14:paraId="3A9D8BE2" w14:textId="77777777" w:rsidR="00D1587D" w:rsidRDefault="00410D07">
            <w:pPr>
              <w:ind w:right="20"/>
              <w:jc w:val="right"/>
              <w:rPr>
                <w:sz w:val="20"/>
                <w:szCs w:val="20"/>
              </w:rPr>
            </w:pPr>
            <w:r>
              <w:rPr>
                <w:rFonts w:ascii="Arial" w:eastAsia="Arial" w:hAnsi="Arial" w:cs="Arial"/>
                <w:b/>
                <w:bCs/>
                <w:sz w:val="14"/>
                <w:szCs w:val="14"/>
              </w:rPr>
              <w:t>(in millions)</w:t>
            </w:r>
          </w:p>
        </w:tc>
        <w:tc>
          <w:tcPr>
            <w:tcW w:w="340" w:type="dxa"/>
            <w:vAlign w:val="bottom"/>
          </w:tcPr>
          <w:p w14:paraId="490C4374" w14:textId="77777777" w:rsidR="00D1587D" w:rsidRDefault="00D1587D">
            <w:pPr>
              <w:rPr>
                <w:sz w:val="19"/>
                <w:szCs w:val="19"/>
              </w:rPr>
            </w:pPr>
          </w:p>
        </w:tc>
        <w:tc>
          <w:tcPr>
            <w:tcW w:w="320" w:type="dxa"/>
            <w:vAlign w:val="bottom"/>
          </w:tcPr>
          <w:p w14:paraId="7684979F" w14:textId="77777777" w:rsidR="00D1587D" w:rsidRDefault="00D1587D">
            <w:pPr>
              <w:rPr>
                <w:sz w:val="19"/>
                <w:szCs w:val="19"/>
              </w:rPr>
            </w:pPr>
          </w:p>
        </w:tc>
        <w:tc>
          <w:tcPr>
            <w:tcW w:w="20" w:type="dxa"/>
            <w:vAlign w:val="bottom"/>
          </w:tcPr>
          <w:p w14:paraId="57B9B0D6" w14:textId="77777777" w:rsidR="00D1587D" w:rsidRDefault="00D1587D">
            <w:pPr>
              <w:rPr>
                <w:sz w:val="19"/>
                <w:szCs w:val="19"/>
              </w:rPr>
            </w:pPr>
          </w:p>
        </w:tc>
        <w:tc>
          <w:tcPr>
            <w:tcW w:w="320" w:type="dxa"/>
            <w:vAlign w:val="bottom"/>
          </w:tcPr>
          <w:p w14:paraId="09C1E82C" w14:textId="77777777" w:rsidR="00D1587D" w:rsidRDefault="00D1587D">
            <w:pPr>
              <w:rPr>
                <w:sz w:val="19"/>
                <w:szCs w:val="19"/>
              </w:rPr>
            </w:pPr>
          </w:p>
        </w:tc>
        <w:tc>
          <w:tcPr>
            <w:tcW w:w="1300" w:type="dxa"/>
            <w:vAlign w:val="bottom"/>
          </w:tcPr>
          <w:p w14:paraId="6EF49F12" w14:textId="77777777" w:rsidR="00D1587D" w:rsidRDefault="00D1587D">
            <w:pPr>
              <w:rPr>
                <w:sz w:val="19"/>
                <w:szCs w:val="19"/>
              </w:rPr>
            </w:pPr>
          </w:p>
        </w:tc>
        <w:tc>
          <w:tcPr>
            <w:tcW w:w="0" w:type="dxa"/>
            <w:vAlign w:val="bottom"/>
          </w:tcPr>
          <w:p w14:paraId="3987737F" w14:textId="77777777" w:rsidR="00D1587D" w:rsidRDefault="00D1587D">
            <w:pPr>
              <w:rPr>
                <w:sz w:val="1"/>
                <w:szCs w:val="1"/>
              </w:rPr>
            </w:pPr>
          </w:p>
        </w:tc>
      </w:tr>
      <w:tr w:rsidR="00D1587D" w14:paraId="7007837B" w14:textId="77777777">
        <w:trPr>
          <w:trHeight w:val="53"/>
        </w:trPr>
        <w:tc>
          <w:tcPr>
            <w:tcW w:w="1300" w:type="dxa"/>
            <w:vAlign w:val="bottom"/>
          </w:tcPr>
          <w:p w14:paraId="25A1BC35" w14:textId="77777777" w:rsidR="00D1587D" w:rsidRDefault="00D1587D">
            <w:pPr>
              <w:rPr>
                <w:sz w:val="4"/>
                <w:szCs w:val="4"/>
              </w:rPr>
            </w:pPr>
          </w:p>
        </w:tc>
        <w:tc>
          <w:tcPr>
            <w:tcW w:w="5640" w:type="dxa"/>
            <w:vAlign w:val="bottom"/>
          </w:tcPr>
          <w:p w14:paraId="48BDFC1E" w14:textId="77777777" w:rsidR="00D1587D" w:rsidRDefault="00D1587D">
            <w:pPr>
              <w:rPr>
                <w:sz w:val="4"/>
                <w:szCs w:val="4"/>
              </w:rPr>
            </w:pPr>
          </w:p>
        </w:tc>
        <w:tc>
          <w:tcPr>
            <w:tcW w:w="180" w:type="dxa"/>
            <w:vAlign w:val="bottom"/>
          </w:tcPr>
          <w:p w14:paraId="3B7DF3F3" w14:textId="77777777" w:rsidR="00D1587D" w:rsidRDefault="00D1587D">
            <w:pPr>
              <w:rPr>
                <w:sz w:val="4"/>
                <w:szCs w:val="4"/>
              </w:rPr>
            </w:pPr>
          </w:p>
        </w:tc>
        <w:tc>
          <w:tcPr>
            <w:tcW w:w="320" w:type="dxa"/>
            <w:vAlign w:val="bottom"/>
          </w:tcPr>
          <w:p w14:paraId="6A047E14" w14:textId="77777777" w:rsidR="00D1587D" w:rsidRDefault="00D1587D">
            <w:pPr>
              <w:rPr>
                <w:sz w:val="4"/>
                <w:szCs w:val="4"/>
              </w:rPr>
            </w:pPr>
          </w:p>
        </w:tc>
        <w:tc>
          <w:tcPr>
            <w:tcW w:w="320" w:type="dxa"/>
            <w:vAlign w:val="bottom"/>
          </w:tcPr>
          <w:p w14:paraId="4965A613" w14:textId="77777777" w:rsidR="00D1587D" w:rsidRDefault="00D1587D">
            <w:pPr>
              <w:rPr>
                <w:sz w:val="4"/>
                <w:szCs w:val="4"/>
              </w:rPr>
            </w:pPr>
          </w:p>
        </w:tc>
        <w:tc>
          <w:tcPr>
            <w:tcW w:w="300" w:type="dxa"/>
            <w:vAlign w:val="bottom"/>
          </w:tcPr>
          <w:p w14:paraId="5BA0F474" w14:textId="77777777" w:rsidR="00D1587D" w:rsidRDefault="00D1587D">
            <w:pPr>
              <w:rPr>
                <w:sz w:val="4"/>
                <w:szCs w:val="4"/>
              </w:rPr>
            </w:pPr>
          </w:p>
        </w:tc>
        <w:tc>
          <w:tcPr>
            <w:tcW w:w="260" w:type="dxa"/>
            <w:vAlign w:val="bottom"/>
          </w:tcPr>
          <w:p w14:paraId="48CEDFE8" w14:textId="77777777" w:rsidR="00D1587D" w:rsidRDefault="00D1587D">
            <w:pPr>
              <w:rPr>
                <w:sz w:val="4"/>
                <w:szCs w:val="4"/>
              </w:rPr>
            </w:pPr>
          </w:p>
        </w:tc>
        <w:tc>
          <w:tcPr>
            <w:tcW w:w="400" w:type="dxa"/>
            <w:vAlign w:val="bottom"/>
          </w:tcPr>
          <w:p w14:paraId="437091FC" w14:textId="77777777" w:rsidR="00D1587D" w:rsidRDefault="00D1587D">
            <w:pPr>
              <w:rPr>
                <w:sz w:val="4"/>
                <w:szCs w:val="4"/>
              </w:rPr>
            </w:pPr>
          </w:p>
        </w:tc>
        <w:tc>
          <w:tcPr>
            <w:tcW w:w="340" w:type="dxa"/>
            <w:vAlign w:val="bottom"/>
          </w:tcPr>
          <w:p w14:paraId="509D4E0F" w14:textId="77777777" w:rsidR="00D1587D" w:rsidRDefault="00D1587D">
            <w:pPr>
              <w:rPr>
                <w:sz w:val="4"/>
                <w:szCs w:val="4"/>
              </w:rPr>
            </w:pPr>
          </w:p>
        </w:tc>
        <w:tc>
          <w:tcPr>
            <w:tcW w:w="320" w:type="dxa"/>
            <w:vAlign w:val="bottom"/>
          </w:tcPr>
          <w:p w14:paraId="3DC8634D" w14:textId="77777777" w:rsidR="00D1587D" w:rsidRDefault="00D1587D">
            <w:pPr>
              <w:rPr>
                <w:sz w:val="4"/>
                <w:szCs w:val="4"/>
              </w:rPr>
            </w:pPr>
          </w:p>
        </w:tc>
        <w:tc>
          <w:tcPr>
            <w:tcW w:w="20" w:type="dxa"/>
            <w:vAlign w:val="bottom"/>
          </w:tcPr>
          <w:p w14:paraId="4B96503F" w14:textId="77777777" w:rsidR="00D1587D" w:rsidRDefault="00D1587D">
            <w:pPr>
              <w:rPr>
                <w:sz w:val="4"/>
                <w:szCs w:val="4"/>
              </w:rPr>
            </w:pPr>
          </w:p>
        </w:tc>
        <w:tc>
          <w:tcPr>
            <w:tcW w:w="320" w:type="dxa"/>
            <w:vAlign w:val="bottom"/>
          </w:tcPr>
          <w:p w14:paraId="60916178" w14:textId="77777777" w:rsidR="00D1587D" w:rsidRDefault="00D1587D">
            <w:pPr>
              <w:rPr>
                <w:sz w:val="4"/>
                <w:szCs w:val="4"/>
              </w:rPr>
            </w:pPr>
          </w:p>
        </w:tc>
        <w:tc>
          <w:tcPr>
            <w:tcW w:w="1300" w:type="dxa"/>
            <w:vAlign w:val="bottom"/>
          </w:tcPr>
          <w:p w14:paraId="4455179A" w14:textId="77777777" w:rsidR="00D1587D" w:rsidRDefault="00D1587D">
            <w:pPr>
              <w:rPr>
                <w:sz w:val="4"/>
                <w:szCs w:val="4"/>
              </w:rPr>
            </w:pPr>
          </w:p>
        </w:tc>
        <w:tc>
          <w:tcPr>
            <w:tcW w:w="0" w:type="dxa"/>
            <w:vAlign w:val="bottom"/>
          </w:tcPr>
          <w:p w14:paraId="0F775513" w14:textId="77777777" w:rsidR="00D1587D" w:rsidRDefault="00D1587D">
            <w:pPr>
              <w:rPr>
                <w:sz w:val="1"/>
                <w:szCs w:val="1"/>
              </w:rPr>
            </w:pPr>
          </w:p>
        </w:tc>
      </w:tr>
      <w:tr w:rsidR="00D1587D" w14:paraId="434137D9" w14:textId="77777777">
        <w:trPr>
          <w:trHeight w:val="317"/>
        </w:trPr>
        <w:tc>
          <w:tcPr>
            <w:tcW w:w="1300" w:type="dxa"/>
            <w:vAlign w:val="bottom"/>
          </w:tcPr>
          <w:p w14:paraId="6B4BEDC2" w14:textId="77777777" w:rsidR="00D1587D" w:rsidRDefault="00D1587D">
            <w:pPr>
              <w:rPr>
                <w:sz w:val="24"/>
                <w:szCs w:val="24"/>
              </w:rPr>
            </w:pPr>
          </w:p>
        </w:tc>
        <w:tc>
          <w:tcPr>
            <w:tcW w:w="5640" w:type="dxa"/>
            <w:tcBorders>
              <w:bottom w:val="single" w:sz="8" w:space="0" w:color="CCEEFF"/>
            </w:tcBorders>
            <w:shd w:val="clear" w:color="auto" w:fill="CCEEFF"/>
            <w:vAlign w:val="bottom"/>
          </w:tcPr>
          <w:p w14:paraId="5AED10DA" w14:textId="77777777" w:rsidR="00D1587D" w:rsidRDefault="00410D07">
            <w:pPr>
              <w:rPr>
                <w:sz w:val="20"/>
                <w:szCs w:val="20"/>
              </w:rPr>
            </w:pPr>
            <w:r>
              <w:rPr>
                <w:rFonts w:ascii="Arial" w:eastAsia="Arial" w:hAnsi="Arial" w:cs="Arial"/>
                <w:b/>
                <w:bCs/>
                <w:sz w:val="18"/>
                <w:szCs w:val="18"/>
              </w:rPr>
              <w:t>Balance as of February 1, 2020</w:t>
            </w:r>
          </w:p>
        </w:tc>
        <w:tc>
          <w:tcPr>
            <w:tcW w:w="820" w:type="dxa"/>
            <w:gridSpan w:val="3"/>
            <w:tcBorders>
              <w:bottom w:val="single" w:sz="8" w:space="0" w:color="CCEEFF"/>
            </w:tcBorders>
            <w:shd w:val="clear" w:color="auto" w:fill="CCEEFF"/>
            <w:vAlign w:val="bottom"/>
          </w:tcPr>
          <w:p w14:paraId="53AC7241" w14:textId="77777777" w:rsidR="00D1587D" w:rsidRDefault="00410D07">
            <w:pPr>
              <w:ind w:right="240"/>
              <w:jc w:val="right"/>
              <w:rPr>
                <w:sz w:val="20"/>
                <w:szCs w:val="20"/>
              </w:rPr>
            </w:pPr>
            <w:r>
              <w:rPr>
                <w:rFonts w:ascii="Arial" w:eastAsia="Arial" w:hAnsi="Arial" w:cs="Arial"/>
                <w:sz w:val="18"/>
                <w:szCs w:val="18"/>
              </w:rPr>
              <w:t>$(29)</w:t>
            </w:r>
          </w:p>
        </w:tc>
        <w:tc>
          <w:tcPr>
            <w:tcW w:w="960" w:type="dxa"/>
            <w:gridSpan w:val="3"/>
            <w:tcBorders>
              <w:bottom w:val="single" w:sz="8" w:space="0" w:color="CCEEFF"/>
            </w:tcBorders>
            <w:shd w:val="clear" w:color="auto" w:fill="CCEEFF"/>
            <w:vAlign w:val="bottom"/>
          </w:tcPr>
          <w:p w14:paraId="19A81982" w14:textId="77777777" w:rsidR="00D1587D" w:rsidRDefault="00410D07">
            <w:pPr>
              <w:ind w:right="380"/>
              <w:jc w:val="right"/>
              <w:rPr>
                <w:sz w:val="20"/>
                <w:szCs w:val="20"/>
              </w:rPr>
            </w:pPr>
            <w:r>
              <w:rPr>
                <w:rFonts w:ascii="Arial" w:eastAsia="Arial" w:hAnsi="Arial" w:cs="Arial"/>
                <w:sz w:val="18"/>
                <w:szCs w:val="18"/>
              </w:rPr>
              <w:t>$—</w:t>
            </w:r>
          </w:p>
        </w:tc>
        <w:tc>
          <w:tcPr>
            <w:tcW w:w="1000" w:type="dxa"/>
            <w:gridSpan w:val="4"/>
            <w:tcBorders>
              <w:bottom w:val="single" w:sz="8" w:space="0" w:color="CCEEFF"/>
            </w:tcBorders>
            <w:shd w:val="clear" w:color="auto" w:fill="CCEEFF"/>
            <w:vAlign w:val="bottom"/>
          </w:tcPr>
          <w:p w14:paraId="60E7474C" w14:textId="77777777" w:rsidR="00D1587D" w:rsidRDefault="00410D07">
            <w:pPr>
              <w:ind w:right="280"/>
              <w:jc w:val="right"/>
              <w:rPr>
                <w:sz w:val="20"/>
                <w:szCs w:val="20"/>
              </w:rPr>
            </w:pPr>
            <w:r>
              <w:rPr>
                <w:rFonts w:ascii="Arial" w:eastAsia="Arial" w:hAnsi="Arial" w:cs="Arial"/>
                <w:sz w:val="18"/>
                <w:szCs w:val="18"/>
              </w:rPr>
              <w:t>$(29)</w:t>
            </w:r>
          </w:p>
        </w:tc>
        <w:tc>
          <w:tcPr>
            <w:tcW w:w="1300" w:type="dxa"/>
            <w:vAlign w:val="bottom"/>
          </w:tcPr>
          <w:p w14:paraId="23A71BDB" w14:textId="77777777" w:rsidR="00D1587D" w:rsidRDefault="00D1587D">
            <w:pPr>
              <w:rPr>
                <w:sz w:val="24"/>
                <w:szCs w:val="24"/>
              </w:rPr>
            </w:pPr>
          </w:p>
        </w:tc>
        <w:tc>
          <w:tcPr>
            <w:tcW w:w="0" w:type="dxa"/>
            <w:vAlign w:val="bottom"/>
          </w:tcPr>
          <w:p w14:paraId="5CE473F4" w14:textId="77777777" w:rsidR="00D1587D" w:rsidRDefault="00D1587D">
            <w:pPr>
              <w:rPr>
                <w:sz w:val="1"/>
                <w:szCs w:val="1"/>
              </w:rPr>
            </w:pPr>
          </w:p>
        </w:tc>
      </w:tr>
      <w:tr w:rsidR="00D1587D" w14:paraId="59AC617C" w14:textId="77777777">
        <w:trPr>
          <w:trHeight w:val="270"/>
        </w:trPr>
        <w:tc>
          <w:tcPr>
            <w:tcW w:w="1300" w:type="dxa"/>
            <w:vAlign w:val="bottom"/>
          </w:tcPr>
          <w:p w14:paraId="3808625D" w14:textId="77777777" w:rsidR="00D1587D" w:rsidRDefault="00D1587D">
            <w:pPr>
              <w:rPr>
                <w:sz w:val="23"/>
                <w:szCs w:val="23"/>
              </w:rPr>
            </w:pPr>
          </w:p>
        </w:tc>
        <w:tc>
          <w:tcPr>
            <w:tcW w:w="5640" w:type="dxa"/>
            <w:vAlign w:val="bottom"/>
          </w:tcPr>
          <w:p w14:paraId="34B25E28" w14:textId="77777777" w:rsidR="00D1587D" w:rsidRDefault="00410D07">
            <w:pPr>
              <w:ind w:left="180"/>
              <w:rPr>
                <w:sz w:val="20"/>
                <w:szCs w:val="20"/>
              </w:rPr>
            </w:pPr>
            <w:r>
              <w:rPr>
                <w:rFonts w:ascii="Arial" w:eastAsia="Arial" w:hAnsi="Arial" w:cs="Arial"/>
                <w:sz w:val="18"/>
                <w:szCs w:val="18"/>
              </w:rPr>
              <w:t>Other Comprehensive Income (Loss) Before Reclassifications</w:t>
            </w:r>
          </w:p>
        </w:tc>
        <w:tc>
          <w:tcPr>
            <w:tcW w:w="820" w:type="dxa"/>
            <w:gridSpan w:val="3"/>
            <w:vAlign w:val="bottom"/>
          </w:tcPr>
          <w:p w14:paraId="39D2EC3D" w14:textId="77777777" w:rsidR="00D1587D" w:rsidRDefault="00410D07">
            <w:pPr>
              <w:ind w:right="240"/>
              <w:jc w:val="right"/>
              <w:rPr>
                <w:sz w:val="20"/>
                <w:szCs w:val="20"/>
              </w:rPr>
            </w:pPr>
            <w:r>
              <w:rPr>
                <w:rFonts w:ascii="Arial" w:eastAsia="Arial" w:hAnsi="Arial" w:cs="Arial"/>
                <w:sz w:val="18"/>
                <w:szCs w:val="18"/>
              </w:rPr>
              <w:t>(5)</w:t>
            </w:r>
          </w:p>
        </w:tc>
        <w:tc>
          <w:tcPr>
            <w:tcW w:w="960" w:type="dxa"/>
            <w:gridSpan w:val="3"/>
            <w:vAlign w:val="bottom"/>
          </w:tcPr>
          <w:p w14:paraId="6BBDB37A" w14:textId="77777777" w:rsidR="00D1587D" w:rsidRDefault="00410D07">
            <w:pPr>
              <w:ind w:right="400"/>
              <w:jc w:val="right"/>
              <w:rPr>
                <w:sz w:val="20"/>
                <w:szCs w:val="20"/>
              </w:rPr>
            </w:pPr>
            <w:r>
              <w:rPr>
                <w:rFonts w:ascii="Arial" w:eastAsia="Arial" w:hAnsi="Arial" w:cs="Arial"/>
                <w:sz w:val="18"/>
                <w:szCs w:val="18"/>
              </w:rPr>
              <w:t>4</w:t>
            </w:r>
          </w:p>
        </w:tc>
        <w:tc>
          <w:tcPr>
            <w:tcW w:w="1000" w:type="dxa"/>
            <w:gridSpan w:val="4"/>
            <w:vAlign w:val="bottom"/>
          </w:tcPr>
          <w:p w14:paraId="679B4EEC" w14:textId="77777777" w:rsidR="00D1587D" w:rsidRDefault="00410D07">
            <w:pPr>
              <w:ind w:right="280"/>
              <w:jc w:val="right"/>
              <w:rPr>
                <w:sz w:val="20"/>
                <w:szCs w:val="20"/>
              </w:rPr>
            </w:pPr>
            <w:r>
              <w:rPr>
                <w:rFonts w:ascii="Arial" w:eastAsia="Arial" w:hAnsi="Arial" w:cs="Arial"/>
                <w:sz w:val="18"/>
                <w:szCs w:val="18"/>
              </w:rPr>
              <w:t>(1)</w:t>
            </w:r>
          </w:p>
        </w:tc>
        <w:tc>
          <w:tcPr>
            <w:tcW w:w="1300" w:type="dxa"/>
            <w:vAlign w:val="bottom"/>
          </w:tcPr>
          <w:p w14:paraId="4C2F9A76" w14:textId="77777777" w:rsidR="00D1587D" w:rsidRDefault="00D1587D">
            <w:pPr>
              <w:rPr>
                <w:sz w:val="23"/>
                <w:szCs w:val="23"/>
              </w:rPr>
            </w:pPr>
          </w:p>
        </w:tc>
        <w:tc>
          <w:tcPr>
            <w:tcW w:w="0" w:type="dxa"/>
            <w:vAlign w:val="bottom"/>
          </w:tcPr>
          <w:p w14:paraId="59457BD4" w14:textId="77777777" w:rsidR="00D1587D" w:rsidRDefault="00D1587D">
            <w:pPr>
              <w:rPr>
                <w:sz w:val="1"/>
                <w:szCs w:val="1"/>
              </w:rPr>
            </w:pPr>
          </w:p>
        </w:tc>
      </w:tr>
      <w:tr w:rsidR="00D1587D" w14:paraId="0C6A3B12" w14:textId="77777777">
        <w:trPr>
          <w:trHeight w:val="54"/>
        </w:trPr>
        <w:tc>
          <w:tcPr>
            <w:tcW w:w="1300" w:type="dxa"/>
            <w:vAlign w:val="bottom"/>
          </w:tcPr>
          <w:p w14:paraId="4524BA59" w14:textId="77777777" w:rsidR="00D1587D" w:rsidRDefault="00D1587D">
            <w:pPr>
              <w:rPr>
                <w:sz w:val="4"/>
                <w:szCs w:val="4"/>
              </w:rPr>
            </w:pPr>
          </w:p>
        </w:tc>
        <w:tc>
          <w:tcPr>
            <w:tcW w:w="5640" w:type="dxa"/>
            <w:vAlign w:val="bottom"/>
          </w:tcPr>
          <w:p w14:paraId="2D0DBC2E" w14:textId="77777777" w:rsidR="00D1587D" w:rsidRDefault="00D1587D">
            <w:pPr>
              <w:rPr>
                <w:sz w:val="4"/>
                <w:szCs w:val="4"/>
              </w:rPr>
            </w:pPr>
          </w:p>
        </w:tc>
        <w:tc>
          <w:tcPr>
            <w:tcW w:w="180" w:type="dxa"/>
            <w:vAlign w:val="bottom"/>
          </w:tcPr>
          <w:p w14:paraId="02F8EE02" w14:textId="77777777" w:rsidR="00D1587D" w:rsidRDefault="00D1587D">
            <w:pPr>
              <w:rPr>
                <w:sz w:val="4"/>
                <w:szCs w:val="4"/>
              </w:rPr>
            </w:pPr>
          </w:p>
        </w:tc>
        <w:tc>
          <w:tcPr>
            <w:tcW w:w="320" w:type="dxa"/>
            <w:vAlign w:val="bottom"/>
          </w:tcPr>
          <w:p w14:paraId="22CF662B" w14:textId="77777777" w:rsidR="00D1587D" w:rsidRDefault="00D1587D">
            <w:pPr>
              <w:rPr>
                <w:sz w:val="4"/>
                <w:szCs w:val="4"/>
              </w:rPr>
            </w:pPr>
          </w:p>
        </w:tc>
        <w:tc>
          <w:tcPr>
            <w:tcW w:w="320" w:type="dxa"/>
            <w:vAlign w:val="bottom"/>
          </w:tcPr>
          <w:p w14:paraId="098F563F" w14:textId="77777777" w:rsidR="00D1587D" w:rsidRDefault="00D1587D">
            <w:pPr>
              <w:rPr>
                <w:sz w:val="4"/>
                <w:szCs w:val="4"/>
              </w:rPr>
            </w:pPr>
          </w:p>
        </w:tc>
        <w:tc>
          <w:tcPr>
            <w:tcW w:w="300" w:type="dxa"/>
            <w:vAlign w:val="bottom"/>
          </w:tcPr>
          <w:p w14:paraId="5AEC521A" w14:textId="77777777" w:rsidR="00D1587D" w:rsidRDefault="00D1587D">
            <w:pPr>
              <w:rPr>
                <w:sz w:val="4"/>
                <w:szCs w:val="4"/>
              </w:rPr>
            </w:pPr>
          </w:p>
        </w:tc>
        <w:tc>
          <w:tcPr>
            <w:tcW w:w="260" w:type="dxa"/>
            <w:vAlign w:val="bottom"/>
          </w:tcPr>
          <w:p w14:paraId="37169786" w14:textId="77777777" w:rsidR="00D1587D" w:rsidRDefault="00D1587D">
            <w:pPr>
              <w:rPr>
                <w:sz w:val="4"/>
                <w:szCs w:val="4"/>
              </w:rPr>
            </w:pPr>
          </w:p>
        </w:tc>
        <w:tc>
          <w:tcPr>
            <w:tcW w:w="400" w:type="dxa"/>
            <w:vAlign w:val="bottom"/>
          </w:tcPr>
          <w:p w14:paraId="78BFAE9E" w14:textId="77777777" w:rsidR="00D1587D" w:rsidRDefault="00D1587D">
            <w:pPr>
              <w:rPr>
                <w:sz w:val="4"/>
                <w:szCs w:val="4"/>
              </w:rPr>
            </w:pPr>
          </w:p>
        </w:tc>
        <w:tc>
          <w:tcPr>
            <w:tcW w:w="340" w:type="dxa"/>
            <w:vAlign w:val="bottom"/>
          </w:tcPr>
          <w:p w14:paraId="6C9AD36A" w14:textId="77777777" w:rsidR="00D1587D" w:rsidRDefault="00D1587D">
            <w:pPr>
              <w:rPr>
                <w:sz w:val="4"/>
                <w:szCs w:val="4"/>
              </w:rPr>
            </w:pPr>
          </w:p>
        </w:tc>
        <w:tc>
          <w:tcPr>
            <w:tcW w:w="320" w:type="dxa"/>
            <w:vAlign w:val="bottom"/>
          </w:tcPr>
          <w:p w14:paraId="0AAD78A1" w14:textId="77777777" w:rsidR="00D1587D" w:rsidRDefault="00D1587D">
            <w:pPr>
              <w:rPr>
                <w:sz w:val="4"/>
                <w:szCs w:val="4"/>
              </w:rPr>
            </w:pPr>
          </w:p>
        </w:tc>
        <w:tc>
          <w:tcPr>
            <w:tcW w:w="20" w:type="dxa"/>
            <w:vAlign w:val="bottom"/>
          </w:tcPr>
          <w:p w14:paraId="3BF97A5A" w14:textId="77777777" w:rsidR="00D1587D" w:rsidRDefault="00D1587D">
            <w:pPr>
              <w:rPr>
                <w:sz w:val="4"/>
                <w:szCs w:val="4"/>
              </w:rPr>
            </w:pPr>
          </w:p>
        </w:tc>
        <w:tc>
          <w:tcPr>
            <w:tcW w:w="320" w:type="dxa"/>
            <w:vAlign w:val="bottom"/>
          </w:tcPr>
          <w:p w14:paraId="6CD79B92" w14:textId="77777777" w:rsidR="00D1587D" w:rsidRDefault="00D1587D">
            <w:pPr>
              <w:rPr>
                <w:sz w:val="4"/>
                <w:szCs w:val="4"/>
              </w:rPr>
            </w:pPr>
          </w:p>
        </w:tc>
        <w:tc>
          <w:tcPr>
            <w:tcW w:w="1300" w:type="dxa"/>
            <w:vAlign w:val="bottom"/>
          </w:tcPr>
          <w:p w14:paraId="267817D1" w14:textId="77777777" w:rsidR="00D1587D" w:rsidRDefault="00D1587D">
            <w:pPr>
              <w:rPr>
                <w:sz w:val="4"/>
                <w:szCs w:val="4"/>
              </w:rPr>
            </w:pPr>
          </w:p>
        </w:tc>
        <w:tc>
          <w:tcPr>
            <w:tcW w:w="0" w:type="dxa"/>
            <w:vAlign w:val="bottom"/>
          </w:tcPr>
          <w:p w14:paraId="6836766E" w14:textId="77777777" w:rsidR="00D1587D" w:rsidRDefault="00D1587D">
            <w:pPr>
              <w:rPr>
                <w:sz w:val="1"/>
                <w:szCs w:val="1"/>
              </w:rPr>
            </w:pPr>
          </w:p>
        </w:tc>
      </w:tr>
      <w:tr w:rsidR="00D1587D" w14:paraId="63F92BCC" w14:textId="77777777">
        <w:trPr>
          <w:trHeight w:val="270"/>
        </w:trPr>
        <w:tc>
          <w:tcPr>
            <w:tcW w:w="1300" w:type="dxa"/>
            <w:vAlign w:val="bottom"/>
          </w:tcPr>
          <w:p w14:paraId="6268E499" w14:textId="77777777" w:rsidR="00D1587D" w:rsidRDefault="00D1587D">
            <w:pPr>
              <w:rPr>
                <w:sz w:val="23"/>
                <w:szCs w:val="23"/>
              </w:rPr>
            </w:pPr>
          </w:p>
        </w:tc>
        <w:tc>
          <w:tcPr>
            <w:tcW w:w="5640" w:type="dxa"/>
            <w:shd w:val="clear" w:color="auto" w:fill="CCEEFF"/>
            <w:vAlign w:val="bottom"/>
          </w:tcPr>
          <w:p w14:paraId="6D16B139" w14:textId="77777777" w:rsidR="00D1587D" w:rsidRDefault="00410D07">
            <w:pPr>
              <w:ind w:left="180"/>
              <w:rPr>
                <w:sz w:val="20"/>
                <w:szCs w:val="20"/>
              </w:rPr>
            </w:pPr>
            <w:r>
              <w:rPr>
                <w:rFonts w:ascii="Arial" w:eastAsia="Arial" w:hAnsi="Arial" w:cs="Arial"/>
                <w:sz w:val="18"/>
                <w:szCs w:val="18"/>
              </w:rPr>
              <w:t>Tax Effect</w:t>
            </w:r>
          </w:p>
        </w:tc>
        <w:tc>
          <w:tcPr>
            <w:tcW w:w="180" w:type="dxa"/>
            <w:shd w:val="clear" w:color="auto" w:fill="CCEEFF"/>
            <w:vAlign w:val="bottom"/>
          </w:tcPr>
          <w:p w14:paraId="1A99CA46" w14:textId="77777777" w:rsidR="00D1587D" w:rsidRDefault="00D1587D">
            <w:pPr>
              <w:rPr>
                <w:sz w:val="23"/>
                <w:szCs w:val="23"/>
              </w:rPr>
            </w:pPr>
          </w:p>
        </w:tc>
        <w:tc>
          <w:tcPr>
            <w:tcW w:w="640" w:type="dxa"/>
            <w:gridSpan w:val="2"/>
            <w:shd w:val="clear" w:color="auto" w:fill="CCEEFF"/>
            <w:vAlign w:val="bottom"/>
          </w:tcPr>
          <w:p w14:paraId="18F1AEEE" w14:textId="77777777" w:rsidR="00D1587D" w:rsidRDefault="00410D07">
            <w:pPr>
              <w:ind w:right="300"/>
              <w:jc w:val="right"/>
              <w:rPr>
                <w:sz w:val="20"/>
                <w:szCs w:val="20"/>
              </w:rPr>
            </w:pPr>
            <w:r>
              <w:rPr>
                <w:rFonts w:ascii="Arial" w:eastAsia="Arial" w:hAnsi="Arial" w:cs="Arial"/>
                <w:sz w:val="18"/>
                <w:szCs w:val="18"/>
              </w:rPr>
              <w:t>—</w:t>
            </w:r>
          </w:p>
        </w:tc>
        <w:tc>
          <w:tcPr>
            <w:tcW w:w="960" w:type="dxa"/>
            <w:gridSpan w:val="3"/>
            <w:shd w:val="clear" w:color="auto" w:fill="CCEEFF"/>
            <w:vAlign w:val="bottom"/>
          </w:tcPr>
          <w:p w14:paraId="0AD0AF97" w14:textId="77777777" w:rsidR="00D1587D" w:rsidRDefault="00410D07">
            <w:pPr>
              <w:ind w:right="340"/>
              <w:jc w:val="right"/>
              <w:rPr>
                <w:sz w:val="20"/>
                <w:szCs w:val="20"/>
              </w:rPr>
            </w:pPr>
            <w:r>
              <w:rPr>
                <w:rFonts w:ascii="Arial" w:eastAsia="Arial" w:hAnsi="Arial" w:cs="Arial"/>
                <w:sz w:val="18"/>
                <w:szCs w:val="18"/>
              </w:rPr>
              <w:t>(1)</w:t>
            </w:r>
          </w:p>
        </w:tc>
        <w:tc>
          <w:tcPr>
            <w:tcW w:w="1000" w:type="dxa"/>
            <w:gridSpan w:val="4"/>
            <w:shd w:val="clear" w:color="auto" w:fill="CCEEFF"/>
            <w:vAlign w:val="bottom"/>
          </w:tcPr>
          <w:p w14:paraId="02ECE024" w14:textId="77777777" w:rsidR="00D1587D" w:rsidRDefault="00410D07">
            <w:pPr>
              <w:ind w:right="280"/>
              <w:jc w:val="right"/>
              <w:rPr>
                <w:sz w:val="20"/>
                <w:szCs w:val="20"/>
              </w:rPr>
            </w:pPr>
            <w:r>
              <w:rPr>
                <w:rFonts w:ascii="Arial" w:eastAsia="Arial" w:hAnsi="Arial" w:cs="Arial"/>
                <w:sz w:val="18"/>
                <w:szCs w:val="18"/>
              </w:rPr>
              <w:t>(1)</w:t>
            </w:r>
          </w:p>
        </w:tc>
        <w:tc>
          <w:tcPr>
            <w:tcW w:w="1300" w:type="dxa"/>
            <w:vAlign w:val="bottom"/>
          </w:tcPr>
          <w:p w14:paraId="545F85F7" w14:textId="77777777" w:rsidR="00D1587D" w:rsidRDefault="00D1587D">
            <w:pPr>
              <w:rPr>
                <w:sz w:val="23"/>
                <w:szCs w:val="23"/>
              </w:rPr>
            </w:pPr>
          </w:p>
        </w:tc>
        <w:tc>
          <w:tcPr>
            <w:tcW w:w="0" w:type="dxa"/>
            <w:vAlign w:val="bottom"/>
          </w:tcPr>
          <w:p w14:paraId="6FA33A1C" w14:textId="77777777" w:rsidR="00D1587D" w:rsidRDefault="00D1587D">
            <w:pPr>
              <w:rPr>
                <w:sz w:val="1"/>
                <w:szCs w:val="1"/>
              </w:rPr>
            </w:pPr>
          </w:p>
        </w:tc>
      </w:tr>
      <w:tr w:rsidR="00D1587D" w14:paraId="0CBD7732" w14:textId="77777777">
        <w:trPr>
          <w:trHeight w:val="48"/>
        </w:trPr>
        <w:tc>
          <w:tcPr>
            <w:tcW w:w="1300" w:type="dxa"/>
            <w:vAlign w:val="bottom"/>
          </w:tcPr>
          <w:p w14:paraId="6912130A" w14:textId="77777777" w:rsidR="00D1587D" w:rsidRDefault="00D1587D">
            <w:pPr>
              <w:rPr>
                <w:sz w:val="4"/>
                <w:szCs w:val="4"/>
              </w:rPr>
            </w:pPr>
          </w:p>
        </w:tc>
        <w:tc>
          <w:tcPr>
            <w:tcW w:w="5640" w:type="dxa"/>
            <w:tcBorders>
              <w:top w:val="single" w:sz="8" w:space="0" w:color="CCEEFF"/>
            </w:tcBorders>
            <w:shd w:val="clear" w:color="auto" w:fill="CCEEFF"/>
            <w:vAlign w:val="bottom"/>
          </w:tcPr>
          <w:p w14:paraId="75714FFB" w14:textId="77777777" w:rsidR="00D1587D" w:rsidRDefault="00D1587D">
            <w:pPr>
              <w:rPr>
                <w:sz w:val="4"/>
                <w:szCs w:val="4"/>
              </w:rPr>
            </w:pPr>
          </w:p>
        </w:tc>
        <w:tc>
          <w:tcPr>
            <w:tcW w:w="180" w:type="dxa"/>
            <w:tcBorders>
              <w:top w:val="single" w:sz="8" w:space="0" w:color="CCEEFF"/>
            </w:tcBorders>
            <w:shd w:val="clear" w:color="auto" w:fill="CCEEFF"/>
            <w:vAlign w:val="bottom"/>
          </w:tcPr>
          <w:p w14:paraId="171638DC" w14:textId="77777777" w:rsidR="00D1587D" w:rsidRDefault="00D1587D">
            <w:pPr>
              <w:rPr>
                <w:sz w:val="4"/>
                <w:szCs w:val="4"/>
              </w:rPr>
            </w:pPr>
          </w:p>
        </w:tc>
        <w:tc>
          <w:tcPr>
            <w:tcW w:w="320" w:type="dxa"/>
            <w:tcBorders>
              <w:top w:val="single" w:sz="8" w:space="0" w:color="auto"/>
            </w:tcBorders>
            <w:shd w:val="clear" w:color="auto" w:fill="CCEEFF"/>
            <w:vAlign w:val="bottom"/>
          </w:tcPr>
          <w:p w14:paraId="4A902052" w14:textId="77777777" w:rsidR="00D1587D" w:rsidRDefault="00D1587D">
            <w:pPr>
              <w:rPr>
                <w:sz w:val="4"/>
                <w:szCs w:val="4"/>
              </w:rPr>
            </w:pPr>
          </w:p>
        </w:tc>
        <w:tc>
          <w:tcPr>
            <w:tcW w:w="320" w:type="dxa"/>
            <w:tcBorders>
              <w:top w:val="single" w:sz="8" w:space="0" w:color="CCEEFF"/>
            </w:tcBorders>
            <w:shd w:val="clear" w:color="auto" w:fill="CCEEFF"/>
            <w:vAlign w:val="bottom"/>
          </w:tcPr>
          <w:p w14:paraId="1634BFCF" w14:textId="77777777" w:rsidR="00D1587D" w:rsidRDefault="00D1587D">
            <w:pPr>
              <w:rPr>
                <w:sz w:val="4"/>
                <w:szCs w:val="4"/>
              </w:rPr>
            </w:pPr>
          </w:p>
        </w:tc>
        <w:tc>
          <w:tcPr>
            <w:tcW w:w="300" w:type="dxa"/>
            <w:tcBorders>
              <w:top w:val="single" w:sz="8" w:space="0" w:color="CCEEFF"/>
            </w:tcBorders>
            <w:shd w:val="clear" w:color="auto" w:fill="CCEEFF"/>
            <w:vAlign w:val="bottom"/>
          </w:tcPr>
          <w:p w14:paraId="00AF2FC3" w14:textId="77777777" w:rsidR="00D1587D" w:rsidRDefault="00D1587D">
            <w:pPr>
              <w:rPr>
                <w:sz w:val="4"/>
                <w:szCs w:val="4"/>
              </w:rPr>
            </w:pPr>
          </w:p>
        </w:tc>
        <w:tc>
          <w:tcPr>
            <w:tcW w:w="260" w:type="dxa"/>
            <w:tcBorders>
              <w:top w:val="single" w:sz="8" w:space="0" w:color="auto"/>
            </w:tcBorders>
            <w:shd w:val="clear" w:color="auto" w:fill="CCEEFF"/>
            <w:vAlign w:val="bottom"/>
          </w:tcPr>
          <w:p w14:paraId="5BC7EADC" w14:textId="77777777" w:rsidR="00D1587D" w:rsidRDefault="00D1587D">
            <w:pPr>
              <w:rPr>
                <w:sz w:val="4"/>
                <w:szCs w:val="4"/>
              </w:rPr>
            </w:pPr>
          </w:p>
        </w:tc>
        <w:tc>
          <w:tcPr>
            <w:tcW w:w="400" w:type="dxa"/>
            <w:tcBorders>
              <w:top w:val="single" w:sz="8" w:space="0" w:color="CCEEFF"/>
            </w:tcBorders>
            <w:shd w:val="clear" w:color="auto" w:fill="CCEEFF"/>
            <w:vAlign w:val="bottom"/>
          </w:tcPr>
          <w:p w14:paraId="1F89DB68" w14:textId="77777777" w:rsidR="00D1587D" w:rsidRDefault="00D1587D">
            <w:pPr>
              <w:rPr>
                <w:sz w:val="4"/>
                <w:szCs w:val="4"/>
              </w:rPr>
            </w:pPr>
          </w:p>
        </w:tc>
        <w:tc>
          <w:tcPr>
            <w:tcW w:w="340" w:type="dxa"/>
            <w:tcBorders>
              <w:top w:val="single" w:sz="8" w:space="0" w:color="CCEEFF"/>
            </w:tcBorders>
            <w:shd w:val="clear" w:color="auto" w:fill="CCEEFF"/>
            <w:vAlign w:val="bottom"/>
          </w:tcPr>
          <w:p w14:paraId="06B2EFCA" w14:textId="77777777" w:rsidR="00D1587D" w:rsidRDefault="00D1587D">
            <w:pPr>
              <w:rPr>
                <w:sz w:val="4"/>
                <w:szCs w:val="4"/>
              </w:rPr>
            </w:pPr>
          </w:p>
        </w:tc>
        <w:tc>
          <w:tcPr>
            <w:tcW w:w="320" w:type="dxa"/>
            <w:tcBorders>
              <w:top w:val="single" w:sz="8" w:space="0" w:color="auto"/>
            </w:tcBorders>
            <w:shd w:val="clear" w:color="auto" w:fill="CCEEFF"/>
            <w:vAlign w:val="bottom"/>
          </w:tcPr>
          <w:p w14:paraId="19A5C50B" w14:textId="77777777" w:rsidR="00D1587D" w:rsidRDefault="00D1587D">
            <w:pPr>
              <w:rPr>
                <w:sz w:val="4"/>
                <w:szCs w:val="4"/>
              </w:rPr>
            </w:pPr>
          </w:p>
        </w:tc>
        <w:tc>
          <w:tcPr>
            <w:tcW w:w="20" w:type="dxa"/>
            <w:tcBorders>
              <w:top w:val="single" w:sz="8" w:space="0" w:color="CCEEFF"/>
            </w:tcBorders>
            <w:shd w:val="clear" w:color="auto" w:fill="CCEEFF"/>
            <w:vAlign w:val="bottom"/>
          </w:tcPr>
          <w:p w14:paraId="0784F45E" w14:textId="77777777" w:rsidR="00D1587D" w:rsidRDefault="00D1587D">
            <w:pPr>
              <w:rPr>
                <w:sz w:val="4"/>
                <w:szCs w:val="4"/>
              </w:rPr>
            </w:pPr>
          </w:p>
        </w:tc>
        <w:tc>
          <w:tcPr>
            <w:tcW w:w="320" w:type="dxa"/>
            <w:tcBorders>
              <w:top w:val="single" w:sz="8" w:space="0" w:color="CCEEFF"/>
            </w:tcBorders>
            <w:shd w:val="clear" w:color="auto" w:fill="CCEEFF"/>
            <w:vAlign w:val="bottom"/>
          </w:tcPr>
          <w:p w14:paraId="129F6490" w14:textId="77777777" w:rsidR="00D1587D" w:rsidRDefault="00D1587D">
            <w:pPr>
              <w:rPr>
                <w:sz w:val="4"/>
                <w:szCs w:val="4"/>
              </w:rPr>
            </w:pPr>
          </w:p>
        </w:tc>
        <w:tc>
          <w:tcPr>
            <w:tcW w:w="1300" w:type="dxa"/>
            <w:vAlign w:val="bottom"/>
          </w:tcPr>
          <w:p w14:paraId="07E19473" w14:textId="77777777" w:rsidR="00D1587D" w:rsidRDefault="00D1587D">
            <w:pPr>
              <w:rPr>
                <w:sz w:val="4"/>
                <w:szCs w:val="4"/>
              </w:rPr>
            </w:pPr>
          </w:p>
        </w:tc>
        <w:tc>
          <w:tcPr>
            <w:tcW w:w="0" w:type="dxa"/>
            <w:vAlign w:val="bottom"/>
          </w:tcPr>
          <w:p w14:paraId="7408B2BA" w14:textId="77777777" w:rsidR="00D1587D" w:rsidRDefault="00D1587D">
            <w:pPr>
              <w:rPr>
                <w:sz w:val="1"/>
                <w:szCs w:val="1"/>
              </w:rPr>
            </w:pPr>
          </w:p>
        </w:tc>
      </w:tr>
      <w:tr w:rsidR="00D1587D" w14:paraId="21E8FA41" w14:textId="77777777">
        <w:trPr>
          <w:trHeight w:val="284"/>
        </w:trPr>
        <w:tc>
          <w:tcPr>
            <w:tcW w:w="1300" w:type="dxa"/>
            <w:vAlign w:val="bottom"/>
          </w:tcPr>
          <w:p w14:paraId="5B9262BF" w14:textId="77777777" w:rsidR="00D1587D" w:rsidRDefault="00D1587D">
            <w:pPr>
              <w:rPr>
                <w:sz w:val="24"/>
                <w:szCs w:val="24"/>
              </w:rPr>
            </w:pPr>
          </w:p>
        </w:tc>
        <w:tc>
          <w:tcPr>
            <w:tcW w:w="5640" w:type="dxa"/>
            <w:vAlign w:val="bottom"/>
          </w:tcPr>
          <w:p w14:paraId="19E33253" w14:textId="77777777" w:rsidR="00D1587D" w:rsidRDefault="00410D07">
            <w:pPr>
              <w:rPr>
                <w:sz w:val="20"/>
                <w:szCs w:val="20"/>
              </w:rPr>
            </w:pPr>
            <w:r>
              <w:rPr>
                <w:rFonts w:ascii="Arial" w:eastAsia="Arial" w:hAnsi="Arial" w:cs="Arial"/>
                <w:sz w:val="18"/>
                <w:szCs w:val="18"/>
              </w:rPr>
              <w:t xml:space="preserve">Current-period Other </w:t>
            </w:r>
            <w:r>
              <w:rPr>
                <w:rFonts w:ascii="Arial" w:eastAsia="Arial" w:hAnsi="Arial" w:cs="Arial"/>
                <w:sz w:val="18"/>
                <w:szCs w:val="18"/>
              </w:rPr>
              <w:t>Comprehensive Income (Loss)</w:t>
            </w:r>
          </w:p>
        </w:tc>
        <w:tc>
          <w:tcPr>
            <w:tcW w:w="180" w:type="dxa"/>
            <w:vAlign w:val="bottom"/>
          </w:tcPr>
          <w:p w14:paraId="3C0E5413" w14:textId="77777777" w:rsidR="00D1587D" w:rsidRDefault="00D1587D">
            <w:pPr>
              <w:rPr>
                <w:sz w:val="24"/>
                <w:szCs w:val="24"/>
              </w:rPr>
            </w:pPr>
          </w:p>
        </w:tc>
        <w:tc>
          <w:tcPr>
            <w:tcW w:w="640" w:type="dxa"/>
            <w:gridSpan w:val="2"/>
            <w:vAlign w:val="bottom"/>
          </w:tcPr>
          <w:p w14:paraId="0CBC200B" w14:textId="77777777" w:rsidR="00D1587D" w:rsidRDefault="00410D07">
            <w:pPr>
              <w:ind w:right="260"/>
              <w:jc w:val="right"/>
              <w:rPr>
                <w:sz w:val="20"/>
                <w:szCs w:val="20"/>
              </w:rPr>
            </w:pPr>
            <w:r>
              <w:rPr>
                <w:rFonts w:ascii="Arial" w:eastAsia="Arial" w:hAnsi="Arial" w:cs="Arial"/>
                <w:sz w:val="18"/>
                <w:szCs w:val="18"/>
              </w:rPr>
              <w:t>(5)</w:t>
            </w:r>
          </w:p>
        </w:tc>
        <w:tc>
          <w:tcPr>
            <w:tcW w:w="960" w:type="dxa"/>
            <w:gridSpan w:val="3"/>
            <w:vAlign w:val="bottom"/>
          </w:tcPr>
          <w:p w14:paraId="2825EFE2" w14:textId="77777777" w:rsidR="00D1587D" w:rsidRDefault="00410D07">
            <w:pPr>
              <w:ind w:right="400"/>
              <w:jc w:val="right"/>
              <w:rPr>
                <w:sz w:val="20"/>
                <w:szCs w:val="20"/>
              </w:rPr>
            </w:pPr>
            <w:r>
              <w:rPr>
                <w:rFonts w:ascii="Arial" w:eastAsia="Arial" w:hAnsi="Arial" w:cs="Arial"/>
                <w:sz w:val="18"/>
                <w:szCs w:val="18"/>
              </w:rPr>
              <w:t>3</w:t>
            </w:r>
          </w:p>
        </w:tc>
        <w:tc>
          <w:tcPr>
            <w:tcW w:w="1000" w:type="dxa"/>
            <w:gridSpan w:val="4"/>
            <w:vAlign w:val="bottom"/>
          </w:tcPr>
          <w:p w14:paraId="5270792F" w14:textId="77777777" w:rsidR="00D1587D" w:rsidRDefault="00410D07">
            <w:pPr>
              <w:ind w:right="280"/>
              <w:jc w:val="right"/>
              <w:rPr>
                <w:sz w:val="20"/>
                <w:szCs w:val="20"/>
              </w:rPr>
            </w:pPr>
            <w:r>
              <w:rPr>
                <w:rFonts w:ascii="Arial" w:eastAsia="Arial" w:hAnsi="Arial" w:cs="Arial"/>
                <w:sz w:val="18"/>
                <w:szCs w:val="18"/>
              </w:rPr>
              <w:t>(2)</w:t>
            </w:r>
          </w:p>
        </w:tc>
        <w:tc>
          <w:tcPr>
            <w:tcW w:w="1300" w:type="dxa"/>
            <w:vAlign w:val="bottom"/>
          </w:tcPr>
          <w:p w14:paraId="3FE5CFE0" w14:textId="77777777" w:rsidR="00D1587D" w:rsidRDefault="00D1587D">
            <w:pPr>
              <w:rPr>
                <w:sz w:val="24"/>
                <w:szCs w:val="24"/>
              </w:rPr>
            </w:pPr>
          </w:p>
        </w:tc>
        <w:tc>
          <w:tcPr>
            <w:tcW w:w="0" w:type="dxa"/>
            <w:vAlign w:val="bottom"/>
          </w:tcPr>
          <w:p w14:paraId="6E648902" w14:textId="77777777" w:rsidR="00D1587D" w:rsidRDefault="00D1587D">
            <w:pPr>
              <w:rPr>
                <w:sz w:val="1"/>
                <w:szCs w:val="1"/>
              </w:rPr>
            </w:pPr>
          </w:p>
        </w:tc>
      </w:tr>
      <w:tr w:rsidR="00D1587D" w14:paraId="51A02549" w14:textId="77777777">
        <w:trPr>
          <w:trHeight w:val="48"/>
        </w:trPr>
        <w:tc>
          <w:tcPr>
            <w:tcW w:w="1300" w:type="dxa"/>
            <w:vAlign w:val="bottom"/>
          </w:tcPr>
          <w:p w14:paraId="01D55214" w14:textId="77777777" w:rsidR="00D1587D" w:rsidRDefault="00D1587D">
            <w:pPr>
              <w:rPr>
                <w:sz w:val="4"/>
                <w:szCs w:val="4"/>
              </w:rPr>
            </w:pPr>
          </w:p>
        </w:tc>
        <w:tc>
          <w:tcPr>
            <w:tcW w:w="5640" w:type="dxa"/>
            <w:vAlign w:val="bottom"/>
          </w:tcPr>
          <w:p w14:paraId="6FBA8129" w14:textId="77777777" w:rsidR="00D1587D" w:rsidRDefault="00D1587D">
            <w:pPr>
              <w:rPr>
                <w:sz w:val="4"/>
                <w:szCs w:val="4"/>
              </w:rPr>
            </w:pPr>
          </w:p>
        </w:tc>
        <w:tc>
          <w:tcPr>
            <w:tcW w:w="180" w:type="dxa"/>
            <w:vAlign w:val="bottom"/>
          </w:tcPr>
          <w:p w14:paraId="60F9EF11" w14:textId="77777777" w:rsidR="00D1587D" w:rsidRDefault="00D1587D">
            <w:pPr>
              <w:rPr>
                <w:sz w:val="4"/>
                <w:szCs w:val="4"/>
              </w:rPr>
            </w:pPr>
          </w:p>
        </w:tc>
        <w:tc>
          <w:tcPr>
            <w:tcW w:w="320" w:type="dxa"/>
            <w:tcBorders>
              <w:top w:val="single" w:sz="8" w:space="0" w:color="auto"/>
            </w:tcBorders>
            <w:vAlign w:val="bottom"/>
          </w:tcPr>
          <w:p w14:paraId="6F55429A" w14:textId="77777777" w:rsidR="00D1587D" w:rsidRDefault="00D1587D">
            <w:pPr>
              <w:rPr>
                <w:sz w:val="4"/>
                <w:szCs w:val="4"/>
              </w:rPr>
            </w:pPr>
          </w:p>
        </w:tc>
        <w:tc>
          <w:tcPr>
            <w:tcW w:w="320" w:type="dxa"/>
            <w:vAlign w:val="bottom"/>
          </w:tcPr>
          <w:p w14:paraId="34E90F93" w14:textId="77777777" w:rsidR="00D1587D" w:rsidRDefault="00D1587D">
            <w:pPr>
              <w:rPr>
                <w:sz w:val="4"/>
                <w:szCs w:val="4"/>
              </w:rPr>
            </w:pPr>
          </w:p>
        </w:tc>
        <w:tc>
          <w:tcPr>
            <w:tcW w:w="300" w:type="dxa"/>
            <w:vAlign w:val="bottom"/>
          </w:tcPr>
          <w:p w14:paraId="6C07372B" w14:textId="77777777" w:rsidR="00D1587D" w:rsidRDefault="00D1587D">
            <w:pPr>
              <w:rPr>
                <w:sz w:val="4"/>
                <w:szCs w:val="4"/>
              </w:rPr>
            </w:pPr>
          </w:p>
        </w:tc>
        <w:tc>
          <w:tcPr>
            <w:tcW w:w="260" w:type="dxa"/>
            <w:tcBorders>
              <w:top w:val="single" w:sz="8" w:space="0" w:color="auto"/>
            </w:tcBorders>
            <w:vAlign w:val="bottom"/>
          </w:tcPr>
          <w:p w14:paraId="6BDC525F" w14:textId="77777777" w:rsidR="00D1587D" w:rsidRDefault="00D1587D">
            <w:pPr>
              <w:rPr>
                <w:sz w:val="4"/>
                <w:szCs w:val="4"/>
              </w:rPr>
            </w:pPr>
          </w:p>
        </w:tc>
        <w:tc>
          <w:tcPr>
            <w:tcW w:w="400" w:type="dxa"/>
            <w:vAlign w:val="bottom"/>
          </w:tcPr>
          <w:p w14:paraId="7E50FA1F" w14:textId="77777777" w:rsidR="00D1587D" w:rsidRDefault="00D1587D">
            <w:pPr>
              <w:rPr>
                <w:sz w:val="4"/>
                <w:szCs w:val="4"/>
              </w:rPr>
            </w:pPr>
          </w:p>
        </w:tc>
        <w:tc>
          <w:tcPr>
            <w:tcW w:w="340" w:type="dxa"/>
            <w:vAlign w:val="bottom"/>
          </w:tcPr>
          <w:p w14:paraId="039881F5" w14:textId="77777777" w:rsidR="00D1587D" w:rsidRDefault="00D1587D">
            <w:pPr>
              <w:rPr>
                <w:sz w:val="4"/>
                <w:szCs w:val="4"/>
              </w:rPr>
            </w:pPr>
          </w:p>
        </w:tc>
        <w:tc>
          <w:tcPr>
            <w:tcW w:w="320" w:type="dxa"/>
            <w:tcBorders>
              <w:top w:val="single" w:sz="8" w:space="0" w:color="auto"/>
            </w:tcBorders>
            <w:vAlign w:val="bottom"/>
          </w:tcPr>
          <w:p w14:paraId="0CBE4FE0" w14:textId="77777777" w:rsidR="00D1587D" w:rsidRDefault="00D1587D">
            <w:pPr>
              <w:rPr>
                <w:sz w:val="4"/>
                <w:szCs w:val="4"/>
              </w:rPr>
            </w:pPr>
          </w:p>
        </w:tc>
        <w:tc>
          <w:tcPr>
            <w:tcW w:w="20" w:type="dxa"/>
            <w:vAlign w:val="bottom"/>
          </w:tcPr>
          <w:p w14:paraId="7C0AFCDE" w14:textId="77777777" w:rsidR="00D1587D" w:rsidRDefault="00D1587D">
            <w:pPr>
              <w:rPr>
                <w:sz w:val="4"/>
                <w:szCs w:val="4"/>
              </w:rPr>
            </w:pPr>
          </w:p>
        </w:tc>
        <w:tc>
          <w:tcPr>
            <w:tcW w:w="320" w:type="dxa"/>
            <w:vAlign w:val="bottom"/>
          </w:tcPr>
          <w:p w14:paraId="4C93CF34" w14:textId="77777777" w:rsidR="00D1587D" w:rsidRDefault="00D1587D">
            <w:pPr>
              <w:rPr>
                <w:sz w:val="4"/>
                <w:szCs w:val="4"/>
              </w:rPr>
            </w:pPr>
          </w:p>
        </w:tc>
        <w:tc>
          <w:tcPr>
            <w:tcW w:w="1300" w:type="dxa"/>
            <w:vAlign w:val="bottom"/>
          </w:tcPr>
          <w:p w14:paraId="5D80CFC9" w14:textId="77777777" w:rsidR="00D1587D" w:rsidRDefault="00D1587D">
            <w:pPr>
              <w:rPr>
                <w:sz w:val="4"/>
                <w:szCs w:val="4"/>
              </w:rPr>
            </w:pPr>
          </w:p>
        </w:tc>
        <w:tc>
          <w:tcPr>
            <w:tcW w:w="0" w:type="dxa"/>
            <w:vAlign w:val="bottom"/>
          </w:tcPr>
          <w:p w14:paraId="31B04051" w14:textId="77777777" w:rsidR="00D1587D" w:rsidRDefault="00D1587D">
            <w:pPr>
              <w:rPr>
                <w:sz w:val="1"/>
                <w:szCs w:val="1"/>
              </w:rPr>
            </w:pPr>
          </w:p>
        </w:tc>
      </w:tr>
      <w:tr w:rsidR="00D1587D" w14:paraId="13E91241" w14:textId="77777777">
        <w:trPr>
          <w:trHeight w:val="318"/>
        </w:trPr>
        <w:tc>
          <w:tcPr>
            <w:tcW w:w="1300" w:type="dxa"/>
            <w:vAlign w:val="bottom"/>
          </w:tcPr>
          <w:p w14:paraId="07C354C3" w14:textId="77777777" w:rsidR="00D1587D" w:rsidRDefault="00D1587D">
            <w:pPr>
              <w:rPr>
                <w:sz w:val="24"/>
                <w:szCs w:val="24"/>
              </w:rPr>
            </w:pPr>
          </w:p>
        </w:tc>
        <w:tc>
          <w:tcPr>
            <w:tcW w:w="5640" w:type="dxa"/>
            <w:shd w:val="clear" w:color="auto" w:fill="CCEEFF"/>
            <w:vAlign w:val="bottom"/>
          </w:tcPr>
          <w:p w14:paraId="6B977E40" w14:textId="77777777" w:rsidR="00D1587D" w:rsidRDefault="00410D07">
            <w:pPr>
              <w:rPr>
                <w:sz w:val="20"/>
                <w:szCs w:val="20"/>
              </w:rPr>
            </w:pPr>
            <w:r>
              <w:rPr>
                <w:rFonts w:ascii="Arial" w:eastAsia="Arial" w:hAnsi="Arial" w:cs="Arial"/>
                <w:b/>
                <w:bCs/>
                <w:sz w:val="18"/>
                <w:szCs w:val="18"/>
              </w:rPr>
              <w:t>Balance as of May 2, 2020</w:t>
            </w:r>
          </w:p>
        </w:tc>
        <w:tc>
          <w:tcPr>
            <w:tcW w:w="820" w:type="dxa"/>
            <w:gridSpan w:val="3"/>
            <w:shd w:val="clear" w:color="auto" w:fill="CCEEFF"/>
            <w:vAlign w:val="bottom"/>
          </w:tcPr>
          <w:p w14:paraId="2DD34D0B" w14:textId="77777777" w:rsidR="00D1587D" w:rsidRDefault="00410D07">
            <w:pPr>
              <w:ind w:right="240"/>
              <w:jc w:val="right"/>
              <w:rPr>
                <w:sz w:val="20"/>
                <w:szCs w:val="20"/>
              </w:rPr>
            </w:pPr>
            <w:r>
              <w:rPr>
                <w:rFonts w:ascii="Arial" w:eastAsia="Arial" w:hAnsi="Arial" w:cs="Arial"/>
                <w:sz w:val="18"/>
                <w:szCs w:val="18"/>
                <w:u w:val="single"/>
              </w:rPr>
              <w:t>$</w:t>
            </w:r>
            <w:r>
              <w:rPr>
                <w:rFonts w:ascii="Arial" w:eastAsia="Arial" w:hAnsi="Arial" w:cs="Arial"/>
                <w:sz w:val="18"/>
                <w:szCs w:val="18"/>
              </w:rPr>
              <w:t>(34)</w:t>
            </w:r>
          </w:p>
        </w:tc>
        <w:tc>
          <w:tcPr>
            <w:tcW w:w="560" w:type="dxa"/>
            <w:gridSpan w:val="2"/>
            <w:shd w:val="clear" w:color="auto" w:fill="CCEEFF"/>
            <w:vAlign w:val="bottom"/>
          </w:tcPr>
          <w:p w14:paraId="1E3F7923" w14:textId="77777777" w:rsidR="00D1587D" w:rsidRDefault="00410D07">
            <w:pPr>
              <w:jc w:val="right"/>
              <w:rPr>
                <w:sz w:val="20"/>
                <w:szCs w:val="20"/>
              </w:rPr>
            </w:pPr>
            <w:r>
              <w:rPr>
                <w:rFonts w:ascii="Arial" w:eastAsia="Arial" w:hAnsi="Arial" w:cs="Arial"/>
                <w:sz w:val="18"/>
                <w:szCs w:val="18"/>
              </w:rPr>
              <w:t>$ 3</w:t>
            </w:r>
          </w:p>
        </w:tc>
        <w:tc>
          <w:tcPr>
            <w:tcW w:w="400" w:type="dxa"/>
            <w:shd w:val="clear" w:color="auto" w:fill="CCEEFF"/>
            <w:vAlign w:val="bottom"/>
          </w:tcPr>
          <w:p w14:paraId="0416FAE7" w14:textId="77777777" w:rsidR="00D1587D" w:rsidRDefault="00D1587D">
            <w:pPr>
              <w:rPr>
                <w:sz w:val="24"/>
                <w:szCs w:val="24"/>
              </w:rPr>
            </w:pPr>
          </w:p>
        </w:tc>
        <w:tc>
          <w:tcPr>
            <w:tcW w:w="1000" w:type="dxa"/>
            <w:gridSpan w:val="4"/>
            <w:shd w:val="clear" w:color="auto" w:fill="CCEEFF"/>
            <w:vAlign w:val="bottom"/>
          </w:tcPr>
          <w:p w14:paraId="00A41277" w14:textId="77777777" w:rsidR="00D1587D" w:rsidRDefault="00410D07">
            <w:pPr>
              <w:ind w:right="280"/>
              <w:jc w:val="right"/>
              <w:rPr>
                <w:sz w:val="20"/>
                <w:szCs w:val="20"/>
              </w:rPr>
            </w:pPr>
            <w:r>
              <w:rPr>
                <w:rFonts w:ascii="Arial" w:eastAsia="Arial" w:hAnsi="Arial" w:cs="Arial"/>
                <w:sz w:val="18"/>
                <w:szCs w:val="18"/>
                <w:u w:val="single"/>
              </w:rPr>
              <w:t>$</w:t>
            </w:r>
            <w:r>
              <w:rPr>
                <w:rFonts w:ascii="Arial" w:eastAsia="Arial" w:hAnsi="Arial" w:cs="Arial"/>
                <w:sz w:val="18"/>
                <w:szCs w:val="18"/>
              </w:rPr>
              <w:t>(31)</w:t>
            </w:r>
          </w:p>
        </w:tc>
        <w:tc>
          <w:tcPr>
            <w:tcW w:w="1300" w:type="dxa"/>
            <w:vAlign w:val="bottom"/>
          </w:tcPr>
          <w:p w14:paraId="31650898" w14:textId="77777777" w:rsidR="00D1587D" w:rsidRDefault="00D1587D">
            <w:pPr>
              <w:rPr>
                <w:sz w:val="24"/>
                <w:szCs w:val="24"/>
              </w:rPr>
            </w:pPr>
          </w:p>
        </w:tc>
        <w:tc>
          <w:tcPr>
            <w:tcW w:w="0" w:type="dxa"/>
            <w:vAlign w:val="bottom"/>
          </w:tcPr>
          <w:p w14:paraId="0C076CE4" w14:textId="77777777" w:rsidR="00D1587D" w:rsidRDefault="00D1587D">
            <w:pPr>
              <w:rPr>
                <w:sz w:val="1"/>
                <w:szCs w:val="1"/>
              </w:rPr>
            </w:pPr>
          </w:p>
        </w:tc>
      </w:tr>
      <w:tr w:rsidR="00D1587D" w14:paraId="13ECF664" w14:textId="77777777">
        <w:trPr>
          <w:trHeight w:val="432"/>
        </w:trPr>
        <w:tc>
          <w:tcPr>
            <w:tcW w:w="1300" w:type="dxa"/>
            <w:vAlign w:val="bottom"/>
          </w:tcPr>
          <w:p w14:paraId="6F6DF1E8" w14:textId="77777777" w:rsidR="00D1587D" w:rsidRDefault="00D1587D">
            <w:pPr>
              <w:rPr>
                <w:sz w:val="24"/>
                <w:szCs w:val="24"/>
              </w:rPr>
            </w:pPr>
          </w:p>
        </w:tc>
        <w:tc>
          <w:tcPr>
            <w:tcW w:w="5640" w:type="dxa"/>
            <w:tcBorders>
              <w:top w:val="single" w:sz="8" w:space="0" w:color="CCEEFF"/>
            </w:tcBorders>
            <w:vAlign w:val="bottom"/>
          </w:tcPr>
          <w:p w14:paraId="67E652DE" w14:textId="77777777" w:rsidR="00D1587D" w:rsidRDefault="00410D07">
            <w:pPr>
              <w:ind w:left="4040"/>
              <w:rPr>
                <w:sz w:val="20"/>
                <w:szCs w:val="20"/>
              </w:rPr>
            </w:pPr>
            <w:r>
              <w:rPr>
                <w:rFonts w:ascii="Arial" w:eastAsia="Arial" w:hAnsi="Arial" w:cs="Arial"/>
                <w:sz w:val="18"/>
                <w:szCs w:val="18"/>
              </w:rPr>
              <w:t>F-40</w:t>
            </w:r>
          </w:p>
        </w:tc>
        <w:tc>
          <w:tcPr>
            <w:tcW w:w="180" w:type="dxa"/>
            <w:tcBorders>
              <w:top w:val="single" w:sz="8" w:space="0" w:color="CCEEFF"/>
            </w:tcBorders>
            <w:vAlign w:val="bottom"/>
          </w:tcPr>
          <w:p w14:paraId="0A06015E" w14:textId="77777777" w:rsidR="00D1587D" w:rsidRDefault="00D1587D">
            <w:pPr>
              <w:rPr>
                <w:sz w:val="24"/>
                <w:szCs w:val="24"/>
              </w:rPr>
            </w:pPr>
          </w:p>
        </w:tc>
        <w:tc>
          <w:tcPr>
            <w:tcW w:w="320" w:type="dxa"/>
            <w:tcBorders>
              <w:top w:val="single" w:sz="8" w:space="0" w:color="auto"/>
            </w:tcBorders>
            <w:vAlign w:val="bottom"/>
          </w:tcPr>
          <w:p w14:paraId="236F2A26" w14:textId="77777777" w:rsidR="00D1587D" w:rsidRDefault="00D1587D">
            <w:pPr>
              <w:rPr>
                <w:sz w:val="24"/>
                <w:szCs w:val="24"/>
              </w:rPr>
            </w:pPr>
          </w:p>
        </w:tc>
        <w:tc>
          <w:tcPr>
            <w:tcW w:w="320" w:type="dxa"/>
            <w:tcBorders>
              <w:top w:val="single" w:sz="8" w:space="0" w:color="CCEEFF"/>
            </w:tcBorders>
            <w:vAlign w:val="bottom"/>
          </w:tcPr>
          <w:p w14:paraId="7AB0B3B7" w14:textId="77777777" w:rsidR="00D1587D" w:rsidRDefault="00D1587D">
            <w:pPr>
              <w:rPr>
                <w:sz w:val="24"/>
                <w:szCs w:val="24"/>
              </w:rPr>
            </w:pPr>
          </w:p>
        </w:tc>
        <w:tc>
          <w:tcPr>
            <w:tcW w:w="300" w:type="dxa"/>
            <w:tcBorders>
              <w:top w:val="single" w:sz="8" w:space="0" w:color="CCEEFF"/>
            </w:tcBorders>
            <w:vAlign w:val="bottom"/>
          </w:tcPr>
          <w:p w14:paraId="67EB715C" w14:textId="77777777" w:rsidR="00D1587D" w:rsidRDefault="00D1587D">
            <w:pPr>
              <w:rPr>
                <w:sz w:val="24"/>
                <w:szCs w:val="24"/>
              </w:rPr>
            </w:pPr>
          </w:p>
        </w:tc>
        <w:tc>
          <w:tcPr>
            <w:tcW w:w="260" w:type="dxa"/>
            <w:tcBorders>
              <w:top w:val="single" w:sz="8" w:space="0" w:color="auto"/>
            </w:tcBorders>
            <w:vAlign w:val="bottom"/>
          </w:tcPr>
          <w:p w14:paraId="4E68B641" w14:textId="77777777" w:rsidR="00D1587D" w:rsidRDefault="00D1587D">
            <w:pPr>
              <w:rPr>
                <w:sz w:val="24"/>
                <w:szCs w:val="24"/>
              </w:rPr>
            </w:pPr>
          </w:p>
        </w:tc>
        <w:tc>
          <w:tcPr>
            <w:tcW w:w="400" w:type="dxa"/>
            <w:tcBorders>
              <w:top w:val="single" w:sz="8" w:space="0" w:color="CCEEFF"/>
            </w:tcBorders>
            <w:vAlign w:val="bottom"/>
          </w:tcPr>
          <w:p w14:paraId="2224C1AB" w14:textId="77777777" w:rsidR="00D1587D" w:rsidRDefault="00D1587D">
            <w:pPr>
              <w:rPr>
                <w:sz w:val="24"/>
                <w:szCs w:val="24"/>
              </w:rPr>
            </w:pPr>
          </w:p>
        </w:tc>
        <w:tc>
          <w:tcPr>
            <w:tcW w:w="340" w:type="dxa"/>
            <w:tcBorders>
              <w:top w:val="single" w:sz="8" w:space="0" w:color="CCEEFF"/>
            </w:tcBorders>
            <w:vAlign w:val="bottom"/>
          </w:tcPr>
          <w:p w14:paraId="77267FBB" w14:textId="77777777" w:rsidR="00D1587D" w:rsidRDefault="00D1587D">
            <w:pPr>
              <w:rPr>
                <w:sz w:val="24"/>
                <w:szCs w:val="24"/>
              </w:rPr>
            </w:pPr>
          </w:p>
        </w:tc>
        <w:tc>
          <w:tcPr>
            <w:tcW w:w="320" w:type="dxa"/>
            <w:tcBorders>
              <w:top w:val="single" w:sz="8" w:space="0" w:color="auto"/>
            </w:tcBorders>
            <w:vAlign w:val="bottom"/>
          </w:tcPr>
          <w:p w14:paraId="1AFF1522" w14:textId="77777777" w:rsidR="00D1587D" w:rsidRDefault="00D1587D">
            <w:pPr>
              <w:rPr>
                <w:sz w:val="24"/>
                <w:szCs w:val="24"/>
              </w:rPr>
            </w:pPr>
          </w:p>
        </w:tc>
        <w:tc>
          <w:tcPr>
            <w:tcW w:w="20" w:type="dxa"/>
            <w:tcBorders>
              <w:top w:val="single" w:sz="8" w:space="0" w:color="auto"/>
            </w:tcBorders>
            <w:vAlign w:val="bottom"/>
          </w:tcPr>
          <w:p w14:paraId="46DA77EB" w14:textId="77777777" w:rsidR="00D1587D" w:rsidRDefault="00D1587D">
            <w:pPr>
              <w:rPr>
                <w:sz w:val="24"/>
                <w:szCs w:val="24"/>
              </w:rPr>
            </w:pPr>
          </w:p>
        </w:tc>
        <w:tc>
          <w:tcPr>
            <w:tcW w:w="320" w:type="dxa"/>
            <w:tcBorders>
              <w:top w:val="single" w:sz="8" w:space="0" w:color="CCEEFF"/>
            </w:tcBorders>
            <w:vAlign w:val="bottom"/>
          </w:tcPr>
          <w:p w14:paraId="46373F8C" w14:textId="77777777" w:rsidR="00D1587D" w:rsidRDefault="00D1587D">
            <w:pPr>
              <w:rPr>
                <w:sz w:val="24"/>
                <w:szCs w:val="24"/>
              </w:rPr>
            </w:pPr>
          </w:p>
        </w:tc>
        <w:tc>
          <w:tcPr>
            <w:tcW w:w="1300" w:type="dxa"/>
            <w:vAlign w:val="bottom"/>
          </w:tcPr>
          <w:p w14:paraId="508DBB25" w14:textId="77777777" w:rsidR="00D1587D" w:rsidRDefault="00D1587D">
            <w:pPr>
              <w:rPr>
                <w:sz w:val="24"/>
                <w:szCs w:val="24"/>
              </w:rPr>
            </w:pPr>
          </w:p>
        </w:tc>
        <w:tc>
          <w:tcPr>
            <w:tcW w:w="0" w:type="dxa"/>
            <w:vAlign w:val="bottom"/>
          </w:tcPr>
          <w:p w14:paraId="685159C0" w14:textId="77777777" w:rsidR="00D1587D" w:rsidRDefault="00D1587D">
            <w:pPr>
              <w:rPr>
                <w:sz w:val="1"/>
                <w:szCs w:val="1"/>
              </w:rPr>
            </w:pPr>
          </w:p>
        </w:tc>
      </w:tr>
      <w:tr w:rsidR="00D1587D" w14:paraId="07048DD4" w14:textId="77777777">
        <w:trPr>
          <w:trHeight w:val="196"/>
        </w:trPr>
        <w:tc>
          <w:tcPr>
            <w:tcW w:w="1300" w:type="dxa"/>
            <w:tcBorders>
              <w:bottom w:val="single" w:sz="8" w:space="0" w:color="auto"/>
            </w:tcBorders>
            <w:vAlign w:val="bottom"/>
          </w:tcPr>
          <w:p w14:paraId="04B5136D" w14:textId="77777777" w:rsidR="00D1587D" w:rsidRDefault="00D1587D">
            <w:pPr>
              <w:rPr>
                <w:sz w:val="17"/>
                <w:szCs w:val="17"/>
              </w:rPr>
            </w:pPr>
          </w:p>
        </w:tc>
        <w:tc>
          <w:tcPr>
            <w:tcW w:w="5640" w:type="dxa"/>
            <w:tcBorders>
              <w:bottom w:val="single" w:sz="8" w:space="0" w:color="auto"/>
            </w:tcBorders>
            <w:vAlign w:val="bottom"/>
          </w:tcPr>
          <w:p w14:paraId="31B6FFCF" w14:textId="77777777" w:rsidR="00D1587D" w:rsidRDefault="00D1587D">
            <w:pPr>
              <w:rPr>
                <w:sz w:val="17"/>
                <w:szCs w:val="17"/>
              </w:rPr>
            </w:pPr>
          </w:p>
        </w:tc>
        <w:tc>
          <w:tcPr>
            <w:tcW w:w="180" w:type="dxa"/>
            <w:tcBorders>
              <w:bottom w:val="single" w:sz="8" w:space="0" w:color="auto"/>
            </w:tcBorders>
            <w:vAlign w:val="bottom"/>
          </w:tcPr>
          <w:p w14:paraId="54807F6A" w14:textId="77777777" w:rsidR="00D1587D" w:rsidRDefault="00D1587D">
            <w:pPr>
              <w:rPr>
                <w:sz w:val="17"/>
                <w:szCs w:val="17"/>
              </w:rPr>
            </w:pPr>
          </w:p>
        </w:tc>
        <w:tc>
          <w:tcPr>
            <w:tcW w:w="320" w:type="dxa"/>
            <w:tcBorders>
              <w:bottom w:val="single" w:sz="8" w:space="0" w:color="auto"/>
            </w:tcBorders>
            <w:vAlign w:val="bottom"/>
          </w:tcPr>
          <w:p w14:paraId="60A4EFD4" w14:textId="77777777" w:rsidR="00D1587D" w:rsidRDefault="00D1587D">
            <w:pPr>
              <w:rPr>
                <w:sz w:val="17"/>
                <w:szCs w:val="17"/>
              </w:rPr>
            </w:pPr>
          </w:p>
        </w:tc>
        <w:tc>
          <w:tcPr>
            <w:tcW w:w="320" w:type="dxa"/>
            <w:tcBorders>
              <w:bottom w:val="single" w:sz="8" w:space="0" w:color="auto"/>
            </w:tcBorders>
            <w:vAlign w:val="bottom"/>
          </w:tcPr>
          <w:p w14:paraId="32918E8E" w14:textId="77777777" w:rsidR="00D1587D" w:rsidRDefault="00D1587D">
            <w:pPr>
              <w:rPr>
                <w:sz w:val="17"/>
                <w:szCs w:val="17"/>
              </w:rPr>
            </w:pPr>
          </w:p>
        </w:tc>
        <w:tc>
          <w:tcPr>
            <w:tcW w:w="300" w:type="dxa"/>
            <w:tcBorders>
              <w:bottom w:val="single" w:sz="8" w:space="0" w:color="auto"/>
            </w:tcBorders>
            <w:vAlign w:val="bottom"/>
          </w:tcPr>
          <w:p w14:paraId="15169EB4" w14:textId="77777777" w:rsidR="00D1587D" w:rsidRDefault="00D1587D">
            <w:pPr>
              <w:rPr>
                <w:sz w:val="17"/>
                <w:szCs w:val="17"/>
              </w:rPr>
            </w:pPr>
          </w:p>
        </w:tc>
        <w:tc>
          <w:tcPr>
            <w:tcW w:w="260" w:type="dxa"/>
            <w:tcBorders>
              <w:bottom w:val="single" w:sz="8" w:space="0" w:color="auto"/>
            </w:tcBorders>
            <w:vAlign w:val="bottom"/>
          </w:tcPr>
          <w:p w14:paraId="1FD30CF3" w14:textId="77777777" w:rsidR="00D1587D" w:rsidRDefault="00D1587D">
            <w:pPr>
              <w:rPr>
                <w:sz w:val="17"/>
                <w:szCs w:val="17"/>
              </w:rPr>
            </w:pPr>
          </w:p>
        </w:tc>
        <w:tc>
          <w:tcPr>
            <w:tcW w:w="400" w:type="dxa"/>
            <w:tcBorders>
              <w:bottom w:val="single" w:sz="8" w:space="0" w:color="auto"/>
            </w:tcBorders>
            <w:vAlign w:val="bottom"/>
          </w:tcPr>
          <w:p w14:paraId="7EA48A89" w14:textId="77777777" w:rsidR="00D1587D" w:rsidRDefault="00D1587D">
            <w:pPr>
              <w:rPr>
                <w:sz w:val="17"/>
                <w:szCs w:val="17"/>
              </w:rPr>
            </w:pPr>
          </w:p>
        </w:tc>
        <w:tc>
          <w:tcPr>
            <w:tcW w:w="340" w:type="dxa"/>
            <w:tcBorders>
              <w:bottom w:val="single" w:sz="8" w:space="0" w:color="auto"/>
            </w:tcBorders>
            <w:vAlign w:val="bottom"/>
          </w:tcPr>
          <w:p w14:paraId="096395D2" w14:textId="77777777" w:rsidR="00D1587D" w:rsidRDefault="00D1587D">
            <w:pPr>
              <w:rPr>
                <w:sz w:val="17"/>
                <w:szCs w:val="17"/>
              </w:rPr>
            </w:pPr>
          </w:p>
        </w:tc>
        <w:tc>
          <w:tcPr>
            <w:tcW w:w="320" w:type="dxa"/>
            <w:tcBorders>
              <w:bottom w:val="single" w:sz="8" w:space="0" w:color="auto"/>
            </w:tcBorders>
            <w:vAlign w:val="bottom"/>
          </w:tcPr>
          <w:p w14:paraId="4C774A11" w14:textId="77777777" w:rsidR="00D1587D" w:rsidRDefault="00D1587D">
            <w:pPr>
              <w:rPr>
                <w:sz w:val="17"/>
                <w:szCs w:val="17"/>
              </w:rPr>
            </w:pPr>
          </w:p>
        </w:tc>
        <w:tc>
          <w:tcPr>
            <w:tcW w:w="20" w:type="dxa"/>
            <w:tcBorders>
              <w:bottom w:val="single" w:sz="8" w:space="0" w:color="auto"/>
            </w:tcBorders>
            <w:vAlign w:val="bottom"/>
          </w:tcPr>
          <w:p w14:paraId="17615189" w14:textId="77777777" w:rsidR="00D1587D" w:rsidRDefault="00D1587D">
            <w:pPr>
              <w:rPr>
                <w:sz w:val="17"/>
                <w:szCs w:val="17"/>
              </w:rPr>
            </w:pPr>
          </w:p>
        </w:tc>
        <w:tc>
          <w:tcPr>
            <w:tcW w:w="320" w:type="dxa"/>
            <w:tcBorders>
              <w:bottom w:val="single" w:sz="8" w:space="0" w:color="auto"/>
            </w:tcBorders>
            <w:vAlign w:val="bottom"/>
          </w:tcPr>
          <w:p w14:paraId="0B81A2B4" w14:textId="77777777" w:rsidR="00D1587D" w:rsidRDefault="00D1587D">
            <w:pPr>
              <w:rPr>
                <w:sz w:val="17"/>
                <w:szCs w:val="17"/>
              </w:rPr>
            </w:pPr>
          </w:p>
        </w:tc>
        <w:tc>
          <w:tcPr>
            <w:tcW w:w="1300" w:type="dxa"/>
            <w:tcBorders>
              <w:bottom w:val="single" w:sz="8" w:space="0" w:color="auto"/>
            </w:tcBorders>
            <w:vAlign w:val="bottom"/>
          </w:tcPr>
          <w:p w14:paraId="074B9422" w14:textId="77777777" w:rsidR="00D1587D" w:rsidRDefault="00D1587D">
            <w:pPr>
              <w:rPr>
                <w:sz w:val="17"/>
                <w:szCs w:val="17"/>
              </w:rPr>
            </w:pPr>
          </w:p>
        </w:tc>
        <w:tc>
          <w:tcPr>
            <w:tcW w:w="0" w:type="dxa"/>
            <w:vAlign w:val="bottom"/>
          </w:tcPr>
          <w:p w14:paraId="797E8D6D" w14:textId="77777777" w:rsidR="00D1587D" w:rsidRDefault="00D1587D">
            <w:pPr>
              <w:rPr>
                <w:sz w:val="1"/>
                <w:szCs w:val="1"/>
              </w:rPr>
            </w:pPr>
          </w:p>
        </w:tc>
      </w:tr>
    </w:tbl>
    <w:p w14:paraId="54C1C1FA" w14:textId="77777777" w:rsidR="00D1587D" w:rsidRDefault="00410D07">
      <w:pPr>
        <w:spacing w:line="20" w:lineRule="exact"/>
        <w:rPr>
          <w:sz w:val="20"/>
          <w:szCs w:val="20"/>
        </w:rPr>
      </w:pPr>
      <w:r>
        <w:rPr>
          <w:noProof/>
          <w:sz w:val="20"/>
          <w:szCs w:val="20"/>
        </w:rPr>
        <w:drawing>
          <wp:anchor distT="0" distB="0" distL="114300" distR="114300" simplePos="0" relativeHeight="252181504" behindDoc="1" locked="0" layoutInCell="0" allowOverlap="1" wp14:anchorId="544F05B2" wp14:editId="769A6177">
            <wp:simplePos x="0" y="0"/>
            <wp:positionH relativeFrom="column">
              <wp:posOffset>5415280</wp:posOffset>
            </wp:positionH>
            <wp:positionV relativeFrom="paragraph">
              <wp:posOffset>-1670685</wp:posOffset>
            </wp:positionV>
            <wp:extent cx="137160" cy="8255"/>
            <wp:effectExtent l="0" t="0" r="0" b="0"/>
            <wp:wrapNone/>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r>
        <w:rPr>
          <w:noProof/>
          <w:sz w:val="20"/>
          <w:szCs w:val="20"/>
        </w:rPr>
        <w:drawing>
          <wp:anchor distT="0" distB="0" distL="114300" distR="114300" simplePos="0" relativeHeight="252182528" behindDoc="1" locked="0" layoutInCell="0" allowOverlap="1" wp14:anchorId="1B9A1056" wp14:editId="007181B2">
            <wp:simplePos x="0" y="0"/>
            <wp:positionH relativeFrom="column">
              <wp:posOffset>4857750</wp:posOffset>
            </wp:positionH>
            <wp:positionV relativeFrom="paragraph">
              <wp:posOffset>-1670685</wp:posOffset>
            </wp:positionV>
            <wp:extent cx="137160" cy="8255"/>
            <wp:effectExtent l="0" t="0" r="0" b="0"/>
            <wp:wrapNone/>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51"/>
                    <a:srcRect/>
                    <a:stretch>
                      <a:fillRect/>
                    </a:stretch>
                  </pic:blipFill>
                  <pic:spPr bwMode="auto">
                    <a:xfrm>
                      <a:off x="0" y="0"/>
                      <a:ext cx="137160" cy="8255"/>
                    </a:xfrm>
                    <a:prstGeom prst="rect">
                      <a:avLst/>
                    </a:prstGeom>
                    <a:noFill/>
                  </pic:spPr>
                </pic:pic>
              </a:graphicData>
            </a:graphic>
          </wp:anchor>
        </w:drawing>
      </w:r>
    </w:p>
    <w:p w14:paraId="283B63FF" w14:textId="77777777" w:rsidR="00D1587D" w:rsidRDefault="00D1587D">
      <w:pPr>
        <w:sectPr w:rsidR="00D1587D">
          <w:pgSz w:w="11900" w:h="16838"/>
          <w:pgMar w:top="265" w:right="439" w:bottom="1440" w:left="440" w:header="0" w:footer="0" w:gutter="0"/>
          <w:cols w:space="720" w:equalWidth="0">
            <w:col w:w="11020"/>
          </w:cols>
        </w:sectPr>
      </w:pPr>
    </w:p>
    <w:bookmarkStart w:id="436" w:name="page437"/>
    <w:bookmarkEnd w:id="436"/>
    <w:p w14:paraId="0977EEC1" w14:textId="77777777" w:rsidR="00D1587D" w:rsidRDefault="00410D07">
      <w:pPr>
        <w:ind w:left="300"/>
        <w:rPr>
          <w:rFonts w:ascii="Arial" w:eastAsia="Arial" w:hAnsi="Arial" w:cs="Arial"/>
          <w:b/>
          <w:bCs/>
          <w:color w:val="0000EE"/>
          <w:sz w:val="14"/>
          <w:szCs w:val="14"/>
          <w:u w:val="single"/>
        </w:rPr>
      </w:pPr>
      <w:r>
        <w:fldChar w:fldCharType="begin"/>
      </w:r>
      <w:r>
        <w:instrText xml:space="preserve"> HYPERLINK \l "page256" \h </w:instrText>
      </w:r>
      <w:r>
        <w:fldChar w:fldCharType="separate"/>
      </w:r>
      <w:r>
        <w:rPr>
          <w:rFonts w:ascii="Arial" w:eastAsia="Arial" w:hAnsi="Arial" w:cs="Arial"/>
          <w:b/>
          <w:bCs/>
          <w:color w:val="0000EE"/>
          <w:sz w:val="14"/>
          <w:szCs w:val="14"/>
          <w:u w:val="single"/>
        </w:rPr>
        <w:t>TABLE OF CONTENTS</w:t>
      </w:r>
      <w:r>
        <w:rPr>
          <w:rFonts w:ascii="Arial" w:eastAsia="Arial" w:hAnsi="Arial" w:cs="Arial"/>
          <w:b/>
          <w:bCs/>
          <w:color w:val="0000EE"/>
          <w:sz w:val="14"/>
          <w:szCs w:val="14"/>
          <w:u w:val="single"/>
        </w:rPr>
        <w:fldChar w:fldCharType="end"/>
      </w:r>
    </w:p>
    <w:p w14:paraId="590F0FAB" w14:textId="77777777" w:rsidR="00D1587D" w:rsidRDefault="00D1587D">
      <w:pPr>
        <w:spacing w:line="127" w:lineRule="exact"/>
        <w:rPr>
          <w:sz w:val="20"/>
          <w:szCs w:val="20"/>
        </w:rPr>
      </w:pPr>
    </w:p>
    <w:p w14:paraId="31D8FDBF" w14:textId="77777777" w:rsidR="00D1587D" w:rsidRDefault="00410D07">
      <w:pPr>
        <w:ind w:left="300"/>
        <w:rPr>
          <w:sz w:val="20"/>
          <w:szCs w:val="20"/>
        </w:rPr>
      </w:pPr>
      <w:r>
        <w:rPr>
          <w:rFonts w:ascii="Arial" w:eastAsia="Arial" w:hAnsi="Arial" w:cs="Arial"/>
          <w:b/>
          <w:bCs/>
          <w:sz w:val="18"/>
          <w:szCs w:val="18"/>
        </w:rPr>
        <w:t>11. Retirement Benefits</w:t>
      </w:r>
    </w:p>
    <w:p w14:paraId="6C8B4E11" w14:textId="77777777" w:rsidR="00D1587D" w:rsidRDefault="00D1587D">
      <w:pPr>
        <w:spacing w:line="121" w:lineRule="exact"/>
        <w:rPr>
          <w:sz w:val="20"/>
          <w:szCs w:val="20"/>
        </w:rPr>
      </w:pPr>
    </w:p>
    <w:p w14:paraId="373EDF88" w14:textId="77777777" w:rsidR="00D1587D" w:rsidRDefault="00410D07">
      <w:pPr>
        <w:spacing w:line="271" w:lineRule="auto"/>
        <w:ind w:left="300" w:right="339"/>
        <w:rPr>
          <w:sz w:val="20"/>
          <w:szCs w:val="20"/>
        </w:rPr>
      </w:pPr>
      <w:r>
        <w:rPr>
          <w:rFonts w:ascii="Arial" w:eastAsia="Arial" w:hAnsi="Arial" w:cs="Arial"/>
          <w:sz w:val="17"/>
          <w:szCs w:val="17"/>
        </w:rPr>
        <w:t xml:space="preserve">Certain </w:t>
      </w:r>
      <w:r>
        <w:rPr>
          <w:rFonts w:ascii="Arial" w:eastAsia="Arial" w:hAnsi="Arial" w:cs="Arial"/>
          <w:sz w:val="17"/>
          <w:szCs w:val="17"/>
        </w:rPr>
        <w:t>Company employees who meet certain age and service requirements participate in a tax-qualified defined contribution retirement plan sponsored by L Brands. The qualified plan permits participating associates to elect contributions up to the maximum limits a</w:t>
      </w:r>
      <w:r>
        <w:rPr>
          <w:rFonts w:ascii="Arial" w:eastAsia="Arial" w:hAnsi="Arial" w:cs="Arial"/>
          <w:sz w:val="17"/>
          <w:szCs w:val="17"/>
        </w:rPr>
        <w:t>llowable under the Internal Revenue Code. L Brands matches associate contributions according to a predetermined formula and contributes additional amounts based on a percentage of the associates’ eligible annual compensation and years of service. Associate</w:t>
      </w:r>
      <w:r>
        <w:rPr>
          <w:rFonts w:ascii="Arial" w:eastAsia="Arial" w:hAnsi="Arial" w:cs="Arial"/>
          <w:sz w:val="17"/>
          <w:szCs w:val="17"/>
        </w:rPr>
        <w:t xml:space="preserve"> contributions and L Brands matching contributions vest immediately. Additional L Brands contributions and the related investment earnings are subject to vesting based on years of service. Total expense recognized related to the qualified plan was not sign</w:t>
      </w:r>
      <w:r>
        <w:rPr>
          <w:rFonts w:ascii="Arial" w:eastAsia="Arial" w:hAnsi="Arial" w:cs="Arial"/>
          <w:sz w:val="17"/>
          <w:szCs w:val="17"/>
        </w:rPr>
        <w:t>ificant for any period presented.</w:t>
      </w:r>
    </w:p>
    <w:p w14:paraId="021239E7" w14:textId="77777777" w:rsidR="00D1587D" w:rsidRDefault="00D1587D">
      <w:pPr>
        <w:spacing w:line="70" w:lineRule="exact"/>
        <w:rPr>
          <w:sz w:val="20"/>
          <w:szCs w:val="20"/>
        </w:rPr>
      </w:pPr>
    </w:p>
    <w:p w14:paraId="10441010" w14:textId="77777777" w:rsidR="00D1587D" w:rsidRDefault="00410D07">
      <w:pPr>
        <w:spacing w:line="269" w:lineRule="auto"/>
        <w:ind w:left="300" w:right="359"/>
        <w:rPr>
          <w:sz w:val="20"/>
          <w:szCs w:val="20"/>
        </w:rPr>
      </w:pPr>
      <w:r>
        <w:rPr>
          <w:rFonts w:ascii="Arial" w:eastAsia="Arial" w:hAnsi="Arial" w:cs="Arial"/>
          <w:sz w:val="17"/>
          <w:szCs w:val="17"/>
        </w:rPr>
        <w:t>Certain Company employees participate in a non-qualified supplemental retirement plan sponsored by L Brands. The non-qualified plan is an unfunded plan which provides benefits beyond the Internal Revenue Code limits for q</w:t>
      </w:r>
      <w:r>
        <w:rPr>
          <w:rFonts w:ascii="Arial" w:eastAsia="Arial" w:hAnsi="Arial" w:cs="Arial"/>
          <w:sz w:val="17"/>
          <w:szCs w:val="17"/>
        </w:rPr>
        <w:t>ualified defined contribution plans. On June 27, 2020 (the “Termination Date”), the Human Capital and Compensation Committee of the L Brands’ Board of Directors authorized the termination of the non-qualified plan. Subsequent to the Termination Date, no ad</w:t>
      </w:r>
      <w:r>
        <w:rPr>
          <w:rFonts w:ascii="Arial" w:eastAsia="Arial" w:hAnsi="Arial" w:cs="Arial"/>
          <w:sz w:val="17"/>
          <w:szCs w:val="17"/>
        </w:rPr>
        <w:t>ditional employee contributions may be made to the non-qualified plan. The remaining benefits and obligations are expected to be paid out in full approximately one year following the Termination Date. Accordingly, the Company recorded a liability of $57 mi</w:t>
      </w:r>
      <w:r>
        <w:rPr>
          <w:rFonts w:ascii="Arial" w:eastAsia="Arial" w:hAnsi="Arial" w:cs="Arial"/>
          <w:sz w:val="17"/>
          <w:szCs w:val="17"/>
        </w:rPr>
        <w:t>llion as of May 1, 2021 and $66 million as of January 30, 2021 within Accrued Expenses and Other on the Combined Balance Sheets. The Company recorded a liability of $59 million as of May 2, 2020 related to the non-qualified plan in Other Long-term Liabilit</w:t>
      </w:r>
      <w:r>
        <w:rPr>
          <w:rFonts w:ascii="Arial" w:eastAsia="Arial" w:hAnsi="Arial" w:cs="Arial"/>
          <w:sz w:val="17"/>
          <w:szCs w:val="17"/>
        </w:rPr>
        <w:t>ies on the Combined Balance Sheets. Total expense recognized related to the non-qualified plan was not significant for any period presented.</w:t>
      </w:r>
    </w:p>
    <w:p w14:paraId="1E28F1AF" w14:textId="77777777" w:rsidR="00D1587D" w:rsidRDefault="00D1587D">
      <w:pPr>
        <w:spacing w:line="340" w:lineRule="exact"/>
        <w:rPr>
          <w:sz w:val="20"/>
          <w:szCs w:val="20"/>
        </w:rPr>
      </w:pPr>
    </w:p>
    <w:p w14:paraId="23CC9613" w14:textId="77777777" w:rsidR="00D1587D" w:rsidRDefault="00410D07">
      <w:pPr>
        <w:ind w:left="300"/>
        <w:rPr>
          <w:sz w:val="20"/>
          <w:szCs w:val="20"/>
        </w:rPr>
      </w:pPr>
      <w:r>
        <w:rPr>
          <w:rFonts w:ascii="Arial" w:eastAsia="Arial" w:hAnsi="Arial" w:cs="Arial"/>
          <w:b/>
          <w:bCs/>
          <w:sz w:val="18"/>
          <w:szCs w:val="18"/>
        </w:rPr>
        <w:t>12. Commitments and Contingencies</w:t>
      </w:r>
    </w:p>
    <w:p w14:paraId="7AA62606" w14:textId="77777777" w:rsidR="00D1587D" w:rsidRDefault="00D1587D">
      <w:pPr>
        <w:spacing w:line="121" w:lineRule="exact"/>
        <w:rPr>
          <w:sz w:val="20"/>
          <w:szCs w:val="20"/>
        </w:rPr>
      </w:pPr>
    </w:p>
    <w:p w14:paraId="530DAD30" w14:textId="77777777" w:rsidR="00D1587D" w:rsidRDefault="00410D07">
      <w:pPr>
        <w:spacing w:line="255" w:lineRule="auto"/>
        <w:ind w:left="300" w:right="299"/>
        <w:rPr>
          <w:sz w:val="20"/>
          <w:szCs w:val="20"/>
        </w:rPr>
      </w:pPr>
      <w:r>
        <w:rPr>
          <w:rFonts w:ascii="Arial" w:eastAsia="Arial" w:hAnsi="Arial" w:cs="Arial"/>
          <w:sz w:val="18"/>
          <w:szCs w:val="18"/>
        </w:rPr>
        <w:t>The Company is subject to various claims and contingencies related to lawsuits,</w:t>
      </w:r>
      <w:r>
        <w:rPr>
          <w:rFonts w:ascii="Arial" w:eastAsia="Arial" w:hAnsi="Arial" w:cs="Arial"/>
          <w:sz w:val="18"/>
          <w:szCs w:val="18"/>
        </w:rPr>
        <w:t xml:space="preserve"> taxes, insurance and other matters arising out of the normal course of business. Actions filed against the Company from time to time include commercial, tort, intellectual property, customer, employment, data privacy and other claims, including purported </w:t>
      </w:r>
      <w:r>
        <w:rPr>
          <w:rFonts w:ascii="Arial" w:eastAsia="Arial" w:hAnsi="Arial" w:cs="Arial"/>
          <w:sz w:val="18"/>
          <w:szCs w:val="18"/>
        </w:rPr>
        <w:t>class action lawsuits. Management believes that the ultimate liability arising from such claims and contingencies, if any, is not likely to have a material adverse effect on the Company’s results of operations, financial condition or cash flows.</w:t>
      </w:r>
    </w:p>
    <w:p w14:paraId="4EB9F1C3" w14:textId="77777777" w:rsidR="00D1587D" w:rsidRDefault="00D1587D">
      <w:pPr>
        <w:spacing w:line="337" w:lineRule="exact"/>
        <w:rPr>
          <w:sz w:val="20"/>
          <w:szCs w:val="20"/>
        </w:rPr>
      </w:pPr>
    </w:p>
    <w:p w14:paraId="4E7CB230" w14:textId="77777777" w:rsidR="00D1587D" w:rsidRDefault="00410D07">
      <w:pPr>
        <w:ind w:left="300"/>
        <w:rPr>
          <w:sz w:val="20"/>
          <w:szCs w:val="20"/>
        </w:rPr>
      </w:pPr>
      <w:r>
        <w:rPr>
          <w:rFonts w:ascii="Arial" w:eastAsia="Arial" w:hAnsi="Arial" w:cs="Arial"/>
          <w:b/>
          <w:bCs/>
          <w:sz w:val="18"/>
          <w:szCs w:val="18"/>
        </w:rPr>
        <w:t>13. Subse</w:t>
      </w:r>
      <w:r>
        <w:rPr>
          <w:rFonts w:ascii="Arial" w:eastAsia="Arial" w:hAnsi="Arial" w:cs="Arial"/>
          <w:b/>
          <w:bCs/>
          <w:sz w:val="18"/>
          <w:szCs w:val="18"/>
        </w:rPr>
        <w:t>quent Events</w:t>
      </w:r>
    </w:p>
    <w:p w14:paraId="20CCA7F1" w14:textId="77777777" w:rsidR="00D1587D" w:rsidRDefault="00D1587D">
      <w:pPr>
        <w:spacing w:line="121" w:lineRule="exact"/>
        <w:rPr>
          <w:sz w:val="20"/>
          <w:szCs w:val="20"/>
        </w:rPr>
      </w:pPr>
    </w:p>
    <w:p w14:paraId="66538D7C" w14:textId="77777777" w:rsidR="00D1587D" w:rsidRDefault="00410D07">
      <w:pPr>
        <w:spacing w:line="263" w:lineRule="auto"/>
        <w:ind w:left="300" w:right="599"/>
        <w:rPr>
          <w:sz w:val="20"/>
          <w:szCs w:val="20"/>
        </w:rPr>
      </w:pPr>
      <w:r>
        <w:rPr>
          <w:rFonts w:ascii="Arial" w:eastAsia="Arial" w:hAnsi="Arial" w:cs="Arial"/>
          <w:sz w:val="18"/>
          <w:szCs w:val="18"/>
        </w:rPr>
        <w:t>The Company evaluated subsequent events for matters that may require disclosure in these combined financial statements through May 28, 2021. Except as already disclosed, there have been no events that have occurred that would require disclosu</w:t>
      </w:r>
      <w:r>
        <w:rPr>
          <w:rFonts w:ascii="Arial" w:eastAsia="Arial" w:hAnsi="Arial" w:cs="Arial"/>
          <w:sz w:val="18"/>
          <w:szCs w:val="18"/>
        </w:rPr>
        <w:t>re in the combined financial statements.</w:t>
      </w:r>
    </w:p>
    <w:p w14:paraId="2E67AC15" w14:textId="77777777" w:rsidR="00D1587D" w:rsidRDefault="00D1587D">
      <w:pPr>
        <w:spacing w:line="184" w:lineRule="exact"/>
        <w:rPr>
          <w:sz w:val="20"/>
          <w:szCs w:val="20"/>
        </w:rPr>
      </w:pPr>
    </w:p>
    <w:p w14:paraId="5A4179E5" w14:textId="77777777" w:rsidR="00D1587D" w:rsidRDefault="00410D07">
      <w:pPr>
        <w:jc w:val="center"/>
        <w:rPr>
          <w:sz w:val="20"/>
          <w:szCs w:val="20"/>
        </w:rPr>
      </w:pPr>
      <w:r>
        <w:rPr>
          <w:rFonts w:ascii="Arial" w:eastAsia="Arial" w:hAnsi="Arial" w:cs="Arial"/>
          <w:sz w:val="18"/>
          <w:szCs w:val="18"/>
        </w:rPr>
        <w:t>F-41</w:t>
      </w:r>
    </w:p>
    <w:sectPr w:rsidR="00D1587D">
      <w:pgSz w:w="11900" w:h="16838"/>
      <w:pgMar w:top="265" w:right="1440" w:bottom="1440" w:left="1440" w:header="0" w:footer="0" w:gutter="0"/>
      <w:cols w:space="720" w:equalWidth="0">
        <w:col w:w="901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E135"/>
    <w:multiLevelType w:val="hybridMultilevel"/>
    <w:tmpl w:val="C9DA51D6"/>
    <w:lvl w:ilvl="0" w:tplc="D38E6F36">
      <w:start w:val="1"/>
      <w:numFmt w:val="upperLetter"/>
      <w:lvlText w:val="%1"/>
      <w:lvlJc w:val="left"/>
    </w:lvl>
    <w:lvl w:ilvl="1" w:tplc="CAD03864">
      <w:start w:val="4"/>
      <w:numFmt w:val="lowerLetter"/>
      <w:lvlText w:val="(%2)"/>
      <w:lvlJc w:val="left"/>
    </w:lvl>
    <w:lvl w:ilvl="2" w:tplc="B67A07E6">
      <w:numFmt w:val="decimal"/>
      <w:lvlText w:val=""/>
      <w:lvlJc w:val="left"/>
    </w:lvl>
    <w:lvl w:ilvl="3" w:tplc="3B3A88FC">
      <w:numFmt w:val="decimal"/>
      <w:lvlText w:val=""/>
      <w:lvlJc w:val="left"/>
    </w:lvl>
    <w:lvl w:ilvl="4" w:tplc="CA888022">
      <w:numFmt w:val="decimal"/>
      <w:lvlText w:val=""/>
      <w:lvlJc w:val="left"/>
    </w:lvl>
    <w:lvl w:ilvl="5" w:tplc="FC445AD2">
      <w:numFmt w:val="decimal"/>
      <w:lvlText w:val=""/>
      <w:lvlJc w:val="left"/>
    </w:lvl>
    <w:lvl w:ilvl="6" w:tplc="C3122876">
      <w:numFmt w:val="decimal"/>
      <w:lvlText w:val=""/>
      <w:lvlJc w:val="left"/>
    </w:lvl>
    <w:lvl w:ilvl="7" w:tplc="7CECFBDE">
      <w:numFmt w:val="decimal"/>
      <w:lvlText w:val=""/>
      <w:lvlJc w:val="left"/>
    </w:lvl>
    <w:lvl w:ilvl="8" w:tplc="349CABD0">
      <w:numFmt w:val="decimal"/>
      <w:lvlText w:val=""/>
      <w:lvlJc w:val="left"/>
    </w:lvl>
  </w:abstractNum>
  <w:abstractNum w:abstractNumId="1" w15:restartNumberingAfterBreak="0">
    <w:nsid w:val="00B13A31"/>
    <w:multiLevelType w:val="hybridMultilevel"/>
    <w:tmpl w:val="383007DE"/>
    <w:lvl w:ilvl="0" w:tplc="0F209C06">
      <w:start w:val="2"/>
      <w:numFmt w:val="lowerLetter"/>
      <w:lvlText w:val="(%1)"/>
      <w:lvlJc w:val="left"/>
    </w:lvl>
    <w:lvl w:ilvl="1" w:tplc="17A433BA">
      <w:numFmt w:val="decimal"/>
      <w:lvlText w:val=""/>
      <w:lvlJc w:val="left"/>
    </w:lvl>
    <w:lvl w:ilvl="2" w:tplc="DEF05804">
      <w:numFmt w:val="decimal"/>
      <w:lvlText w:val=""/>
      <w:lvlJc w:val="left"/>
    </w:lvl>
    <w:lvl w:ilvl="3" w:tplc="FFEC864E">
      <w:numFmt w:val="decimal"/>
      <w:lvlText w:val=""/>
      <w:lvlJc w:val="left"/>
    </w:lvl>
    <w:lvl w:ilvl="4" w:tplc="F5C66752">
      <w:numFmt w:val="decimal"/>
      <w:lvlText w:val=""/>
      <w:lvlJc w:val="left"/>
    </w:lvl>
    <w:lvl w:ilvl="5" w:tplc="0E4822CE">
      <w:numFmt w:val="decimal"/>
      <w:lvlText w:val=""/>
      <w:lvlJc w:val="left"/>
    </w:lvl>
    <w:lvl w:ilvl="6" w:tplc="C12899BA">
      <w:numFmt w:val="decimal"/>
      <w:lvlText w:val=""/>
      <w:lvlJc w:val="left"/>
    </w:lvl>
    <w:lvl w:ilvl="7" w:tplc="ED208E6C">
      <w:numFmt w:val="decimal"/>
      <w:lvlText w:val=""/>
      <w:lvlJc w:val="left"/>
    </w:lvl>
    <w:lvl w:ilvl="8" w:tplc="30940F68">
      <w:numFmt w:val="decimal"/>
      <w:lvlText w:val=""/>
      <w:lvlJc w:val="left"/>
    </w:lvl>
  </w:abstractNum>
  <w:abstractNum w:abstractNumId="2" w15:restartNumberingAfterBreak="0">
    <w:nsid w:val="00BB13C1"/>
    <w:multiLevelType w:val="hybridMultilevel"/>
    <w:tmpl w:val="DA5A599A"/>
    <w:lvl w:ilvl="0" w:tplc="F9DE866C">
      <w:start w:val="1"/>
      <w:numFmt w:val="upperLetter"/>
      <w:lvlText w:val="(%1)"/>
      <w:lvlJc w:val="left"/>
    </w:lvl>
    <w:lvl w:ilvl="1" w:tplc="4F0263D8">
      <w:start w:val="1"/>
      <w:numFmt w:val="lowerLetter"/>
      <w:lvlText w:val="%2"/>
      <w:lvlJc w:val="left"/>
    </w:lvl>
    <w:lvl w:ilvl="2" w:tplc="AC34E7B8">
      <w:numFmt w:val="decimal"/>
      <w:lvlText w:val=""/>
      <w:lvlJc w:val="left"/>
    </w:lvl>
    <w:lvl w:ilvl="3" w:tplc="2572EB80">
      <w:numFmt w:val="decimal"/>
      <w:lvlText w:val=""/>
      <w:lvlJc w:val="left"/>
    </w:lvl>
    <w:lvl w:ilvl="4" w:tplc="4D669516">
      <w:numFmt w:val="decimal"/>
      <w:lvlText w:val=""/>
      <w:lvlJc w:val="left"/>
    </w:lvl>
    <w:lvl w:ilvl="5" w:tplc="14CE67D6">
      <w:numFmt w:val="decimal"/>
      <w:lvlText w:val=""/>
      <w:lvlJc w:val="left"/>
    </w:lvl>
    <w:lvl w:ilvl="6" w:tplc="DC54285A">
      <w:numFmt w:val="decimal"/>
      <w:lvlText w:val=""/>
      <w:lvlJc w:val="left"/>
    </w:lvl>
    <w:lvl w:ilvl="7" w:tplc="82D80C82">
      <w:numFmt w:val="decimal"/>
      <w:lvlText w:val=""/>
      <w:lvlJc w:val="left"/>
    </w:lvl>
    <w:lvl w:ilvl="8" w:tplc="3AA42A84">
      <w:numFmt w:val="decimal"/>
      <w:lvlText w:val=""/>
      <w:lvlJc w:val="left"/>
    </w:lvl>
  </w:abstractNum>
  <w:abstractNum w:abstractNumId="3" w15:restartNumberingAfterBreak="0">
    <w:nsid w:val="00C4C3AF"/>
    <w:multiLevelType w:val="hybridMultilevel"/>
    <w:tmpl w:val="E89A062A"/>
    <w:lvl w:ilvl="0" w:tplc="C5329424">
      <w:start w:val="1"/>
      <w:numFmt w:val="lowerLetter"/>
      <w:lvlText w:val="(%1)"/>
      <w:lvlJc w:val="left"/>
    </w:lvl>
    <w:lvl w:ilvl="1" w:tplc="B9D23AD8">
      <w:numFmt w:val="decimal"/>
      <w:lvlText w:val=""/>
      <w:lvlJc w:val="left"/>
    </w:lvl>
    <w:lvl w:ilvl="2" w:tplc="CEAE65CE">
      <w:numFmt w:val="decimal"/>
      <w:lvlText w:val=""/>
      <w:lvlJc w:val="left"/>
    </w:lvl>
    <w:lvl w:ilvl="3" w:tplc="30BCE9C4">
      <w:numFmt w:val="decimal"/>
      <w:lvlText w:val=""/>
      <w:lvlJc w:val="left"/>
    </w:lvl>
    <w:lvl w:ilvl="4" w:tplc="8F2AAE08">
      <w:numFmt w:val="decimal"/>
      <w:lvlText w:val=""/>
      <w:lvlJc w:val="left"/>
    </w:lvl>
    <w:lvl w:ilvl="5" w:tplc="1FE27724">
      <w:numFmt w:val="decimal"/>
      <w:lvlText w:val=""/>
      <w:lvlJc w:val="left"/>
    </w:lvl>
    <w:lvl w:ilvl="6" w:tplc="FC946CEC">
      <w:numFmt w:val="decimal"/>
      <w:lvlText w:val=""/>
      <w:lvlJc w:val="left"/>
    </w:lvl>
    <w:lvl w:ilvl="7" w:tplc="1578FC16">
      <w:numFmt w:val="decimal"/>
      <w:lvlText w:val=""/>
      <w:lvlJc w:val="left"/>
    </w:lvl>
    <w:lvl w:ilvl="8" w:tplc="9EBCFB18">
      <w:numFmt w:val="decimal"/>
      <w:lvlText w:val=""/>
      <w:lvlJc w:val="left"/>
    </w:lvl>
  </w:abstractNum>
  <w:abstractNum w:abstractNumId="4" w15:restartNumberingAfterBreak="0">
    <w:nsid w:val="0129517E"/>
    <w:multiLevelType w:val="hybridMultilevel"/>
    <w:tmpl w:val="741CB4B2"/>
    <w:lvl w:ilvl="0" w:tplc="B4C22674">
      <w:start w:val="1"/>
      <w:numFmt w:val="lowerLetter"/>
      <w:lvlText w:val="(%1)"/>
      <w:lvlJc w:val="left"/>
    </w:lvl>
    <w:lvl w:ilvl="1" w:tplc="AFBE89A8">
      <w:numFmt w:val="decimal"/>
      <w:lvlText w:val=""/>
      <w:lvlJc w:val="left"/>
    </w:lvl>
    <w:lvl w:ilvl="2" w:tplc="722450BC">
      <w:numFmt w:val="decimal"/>
      <w:lvlText w:val=""/>
      <w:lvlJc w:val="left"/>
    </w:lvl>
    <w:lvl w:ilvl="3" w:tplc="93BC03E0">
      <w:numFmt w:val="decimal"/>
      <w:lvlText w:val=""/>
      <w:lvlJc w:val="left"/>
    </w:lvl>
    <w:lvl w:ilvl="4" w:tplc="E62CB19A">
      <w:numFmt w:val="decimal"/>
      <w:lvlText w:val=""/>
      <w:lvlJc w:val="left"/>
    </w:lvl>
    <w:lvl w:ilvl="5" w:tplc="E0969AF4">
      <w:numFmt w:val="decimal"/>
      <w:lvlText w:val=""/>
      <w:lvlJc w:val="left"/>
    </w:lvl>
    <w:lvl w:ilvl="6" w:tplc="28780DE2">
      <w:numFmt w:val="decimal"/>
      <w:lvlText w:val=""/>
      <w:lvlJc w:val="left"/>
    </w:lvl>
    <w:lvl w:ilvl="7" w:tplc="0782440E">
      <w:numFmt w:val="decimal"/>
      <w:lvlText w:val=""/>
      <w:lvlJc w:val="left"/>
    </w:lvl>
    <w:lvl w:ilvl="8" w:tplc="30242F06">
      <w:numFmt w:val="decimal"/>
      <w:lvlText w:val=""/>
      <w:lvlJc w:val="left"/>
    </w:lvl>
  </w:abstractNum>
  <w:abstractNum w:abstractNumId="5" w15:restartNumberingAfterBreak="0">
    <w:nsid w:val="01C65E98"/>
    <w:multiLevelType w:val="hybridMultilevel"/>
    <w:tmpl w:val="706A2904"/>
    <w:lvl w:ilvl="0" w:tplc="DC483DBA">
      <w:start w:val="2"/>
      <w:numFmt w:val="decimal"/>
      <w:lvlText w:val="(%1)"/>
      <w:lvlJc w:val="left"/>
    </w:lvl>
    <w:lvl w:ilvl="1" w:tplc="590E0168">
      <w:numFmt w:val="decimal"/>
      <w:lvlText w:val=""/>
      <w:lvlJc w:val="left"/>
    </w:lvl>
    <w:lvl w:ilvl="2" w:tplc="68867124">
      <w:numFmt w:val="decimal"/>
      <w:lvlText w:val=""/>
      <w:lvlJc w:val="left"/>
    </w:lvl>
    <w:lvl w:ilvl="3" w:tplc="0A8E32BE">
      <w:numFmt w:val="decimal"/>
      <w:lvlText w:val=""/>
      <w:lvlJc w:val="left"/>
    </w:lvl>
    <w:lvl w:ilvl="4" w:tplc="ED5C6B60">
      <w:numFmt w:val="decimal"/>
      <w:lvlText w:val=""/>
      <w:lvlJc w:val="left"/>
    </w:lvl>
    <w:lvl w:ilvl="5" w:tplc="D1D0D7B6">
      <w:numFmt w:val="decimal"/>
      <w:lvlText w:val=""/>
      <w:lvlJc w:val="left"/>
    </w:lvl>
    <w:lvl w:ilvl="6" w:tplc="220EB8E6">
      <w:numFmt w:val="decimal"/>
      <w:lvlText w:val=""/>
      <w:lvlJc w:val="left"/>
    </w:lvl>
    <w:lvl w:ilvl="7" w:tplc="C6A0652A">
      <w:numFmt w:val="decimal"/>
      <w:lvlText w:val=""/>
      <w:lvlJc w:val="left"/>
    </w:lvl>
    <w:lvl w:ilvl="8" w:tplc="80388000">
      <w:numFmt w:val="decimal"/>
      <w:lvlText w:val=""/>
      <w:lvlJc w:val="left"/>
    </w:lvl>
  </w:abstractNum>
  <w:abstractNum w:abstractNumId="6" w15:restartNumberingAfterBreak="0">
    <w:nsid w:val="01DDBC66"/>
    <w:multiLevelType w:val="hybridMultilevel"/>
    <w:tmpl w:val="B6AC57BE"/>
    <w:lvl w:ilvl="0" w:tplc="699CDD62">
      <w:start w:val="1"/>
      <w:numFmt w:val="lowerLetter"/>
      <w:lvlText w:val="(%1)"/>
      <w:lvlJc w:val="left"/>
    </w:lvl>
    <w:lvl w:ilvl="1" w:tplc="BC48C4C8">
      <w:numFmt w:val="decimal"/>
      <w:lvlText w:val=""/>
      <w:lvlJc w:val="left"/>
    </w:lvl>
    <w:lvl w:ilvl="2" w:tplc="A8EE3D4C">
      <w:numFmt w:val="decimal"/>
      <w:lvlText w:val=""/>
      <w:lvlJc w:val="left"/>
    </w:lvl>
    <w:lvl w:ilvl="3" w:tplc="E49840F8">
      <w:numFmt w:val="decimal"/>
      <w:lvlText w:val=""/>
      <w:lvlJc w:val="left"/>
    </w:lvl>
    <w:lvl w:ilvl="4" w:tplc="E0361ECC">
      <w:numFmt w:val="decimal"/>
      <w:lvlText w:val=""/>
      <w:lvlJc w:val="left"/>
    </w:lvl>
    <w:lvl w:ilvl="5" w:tplc="C26A1726">
      <w:numFmt w:val="decimal"/>
      <w:lvlText w:val=""/>
      <w:lvlJc w:val="left"/>
    </w:lvl>
    <w:lvl w:ilvl="6" w:tplc="792C104E">
      <w:numFmt w:val="decimal"/>
      <w:lvlText w:val=""/>
      <w:lvlJc w:val="left"/>
    </w:lvl>
    <w:lvl w:ilvl="7" w:tplc="D23A8778">
      <w:numFmt w:val="decimal"/>
      <w:lvlText w:val=""/>
      <w:lvlJc w:val="left"/>
    </w:lvl>
    <w:lvl w:ilvl="8" w:tplc="A0E6FEB4">
      <w:numFmt w:val="decimal"/>
      <w:lvlText w:val=""/>
      <w:lvlJc w:val="left"/>
    </w:lvl>
  </w:abstractNum>
  <w:abstractNum w:abstractNumId="7" w15:restartNumberingAfterBreak="0">
    <w:nsid w:val="023C049A"/>
    <w:multiLevelType w:val="hybridMultilevel"/>
    <w:tmpl w:val="7AEC4982"/>
    <w:lvl w:ilvl="0" w:tplc="5BEC017C">
      <w:start w:val="1"/>
      <w:numFmt w:val="upperLetter"/>
      <w:lvlText w:val="%1:"/>
      <w:lvlJc w:val="left"/>
    </w:lvl>
    <w:lvl w:ilvl="1" w:tplc="447835AA">
      <w:numFmt w:val="decimal"/>
      <w:lvlText w:val=""/>
      <w:lvlJc w:val="left"/>
    </w:lvl>
    <w:lvl w:ilvl="2" w:tplc="4D5E6E92">
      <w:numFmt w:val="decimal"/>
      <w:lvlText w:val=""/>
      <w:lvlJc w:val="left"/>
    </w:lvl>
    <w:lvl w:ilvl="3" w:tplc="757EC232">
      <w:numFmt w:val="decimal"/>
      <w:lvlText w:val=""/>
      <w:lvlJc w:val="left"/>
    </w:lvl>
    <w:lvl w:ilvl="4" w:tplc="7B12E21C">
      <w:numFmt w:val="decimal"/>
      <w:lvlText w:val=""/>
      <w:lvlJc w:val="left"/>
    </w:lvl>
    <w:lvl w:ilvl="5" w:tplc="02FA72D4">
      <w:numFmt w:val="decimal"/>
      <w:lvlText w:val=""/>
      <w:lvlJc w:val="left"/>
    </w:lvl>
    <w:lvl w:ilvl="6" w:tplc="B58A22CE">
      <w:numFmt w:val="decimal"/>
      <w:lvlText w:val=""/>
      <w:lvlJc w:val="left"/>
    </w:lvl>
    <w:lvl w:ilvl="7" w:tplc="86E0C43A">
      <w:numFmt w:val="decimal"/>
      <w:lvlText w:val=""/>
      <w:lvlJc w:val="left"/>
    </w:lvl>
    <w:lvl w:ilvl="8" w:tplc="85EE6F32">
      <w:numFmt w:val="decimal"/>
      <w:lvlText w:val=""/>
      <w:lvlJc w:val="left"/>
    </w:lvl>
  </w:abstractNum>
  <w:abstractNum w:abstractNumId="8" w15:restartNumberingAfterBreak="0">
    <w:nsid w:val="026BAAE9"/>
    <w:multiLevelType w:val="hybridMultilevel"/>
    <w:tmpl w:val="21C85A28"/>
    <w:lvl w:ilvl="0" w:tplc="0D1AFF98">
      <w:start w:val="8"/>
      <w:numFmt w:val="lowerLetter"/>
      <w:lvlText w:val="(%1)"/>
      <w:lvlJc w:val="left"/>
    </w:lvl>
    <w:lvl w:ilvl="1" w:tplc="3756261A">
      <w:numFmt w:val="decimal"/>
      <w:lvlText w:val=""/>
      <w:lvlJc w:val="left"/>
    </w:lvl>
    <w:lvl w:ilvl="2" w:tplc="177E90F0">
      <w:numFmt w:val="decimal"/>
      <w:lvlText w:val=""/>
      <w:lvlJc w:val="left"/>
    </w:lvl>
    <w:lvl w:ilvl="3" w:tplc="C8B42700">
      <w:numFmt w:val="decimal"/>
      <w:lvlText w:val=""/>
      <w:lvlJc w:val="left"/>
    </w:lvl>
    <w:lvl w:ilvl="4" w:tplc="6DDE7CF2">
      <w:numFmt w:val="decimal"/>
      <w:lvlText w:val=""/>
      <w:lvlJc w:val="left"/>
    </w:lvl>
    <w:lvl w:ilvl="5" w:tplc="DA047080">
      <w:numFmt w:val="decimal"/>
      <w:lvlText w:val=""/>
      <w:lvlJc w:val="left"/>
    </w:lvl>
    <w:lvl w:ilvl="6" w:tplc="6840D83C">
      <w:numFmt w:val="decimal"/>
      <w:lvlText w:val=""/>
      <w:lvlJc w:val="left"/>
    </w:lvl>
    <w:lvl w:ilvl="7" w:tplc="157EC1D0">
      <w:numFmt w:val="decimal"/>
      <w:lvlText w:val=""/>
      <w:lvlJc w:val="left"/>
    </w:lvl>
    <w:lvl w:ilvl="8" w:tplc="D3C48218">
      <w:numFmt w:val="decimal"/>
      <w:lvlText w:val=""/>
      <w:lvlJc w:val="left"/>
    </w:lvl>
  </w:abstractNum>
  <w:abstractNum w:abstractNumId="9" w15:restartNumberingAfterBreak="0">
    <w:nsid w:val="0435D38D"/>
    <w:multiLevelType w:val="hybridMultilevel"/>
    <w:tmpl w:val="F24CCE10"/>
    <w:lvl w:ilvl="0" w:tplc="C6703C8A">
      <w:start w:val="1"/>
      <w:numFmt w:val="lowerLetter"/>
      <w:lvlText w:val="%1"/>
      <w:lvlJc w:val="left"/>
    </w:lvl>
    <w:lvl w:ilvl="1" w:tplc="EBB89660">
      <w:start w:val="2"/>
      <w:numFmt w:val="lowerRoman"/>
      <w:lvlText w:val="(%2)"/>
      <w:lvlJc w:val="left"/>
    </w:lvl>
    <w:lvl w:ilvl="2" w:tplc="48DEC318">
      <w:numFmt w:val="decimal"/>
      <w:lvlText w:val=""/>
      <w:lvlJc w:val="left"/>
    </w:lvl>
    <w:lvl w:ilvl="3" w:tplc="26A28226">
      <w:numFmt w:val="decimal"/>
      <w:lvlText w:val=""/>
      <w:lvlJc w:val="left"/>
    </w:lvl>
    <w:lvl w:ilvl="4" w:tplc="67BE7AC6">
      <w:numFmt w:val="decimal"/>
      <w:lvlText w:val=""/>
      <w:lvlJc w:val="left"/>
    </w:lvl>
    <w:lvl w:ilvl="5" w:tplc="9530E984">
      <w:numFmt w:val="decimal"/>
      <w:lvlText w:val=""/>
      <w:lvlJc w:val="left"/>
    </w:lvl>
    <w:lvl w:ilvl="6" w:tplc="FF60B91A">
      <w:numFmt w:val="decimal"/>
      <w:lvlText w:val=""/>
      <w:lvlJc w:val="left"/>
    </w:lvl>
    <w:lvl w:ilvl="7" w:tplc="D3DA0472">
      <w:numFmt w:val="decimal"/>
      <w:lvlText w:val=""/>
      <w:lvlJc w:val="left"/>
    </w:lvl>
    <w:lvl w:ilvl="8" w:tplc="0D84EC1A">
      <w:numFmt w:val="decimal"/>
      <w:lvlText w:val=""/>
      <w:lvlJc w:val="left"/>
    </w:lvl>
  </w:abstractNum>
  <w:abstractNum w:abstractNumId="10" w15:restartNumberingAfterBreak="0">
    <w:nsid w:val="04382503"/>
    <w:multiLevelType w:val="hybridMultilevel"/>
    <w:tmpl w:val="C966026A"/>
    <w:lvl w:ilvl="0" w:tplc="FAAC3A16">
      <w:start w:val="3"/>
      <w:numFmt w:val="lowerLetter"/>
      <w:lvlText w:val="(%1)"/>
      <w:lvlJc w:val="left"/>
    </w:lvl>
    <w:lvl w:ilvl="1" w:tplc="B3F8D9EC">
      <w:numFmt w:val="decimal"/>
      <w:lvlText w:val=""/>
      <w:lvlJc w:val="left"/>
    </w:lvl>
    <w:lvl w:ilvl="2" w:tplc="D9B0B486">
      <w:numFmt w:val="decimal"/>
      <w:lvlText w:val=""/>
      <w:lvlJc w:val="left"/>
    </w:lvl>
    <w:lvl w:ilvl="3" w:tplc="0B6EDC8E">
      <w:numFmt w:val="decimal"/>
      <w:lvlText w:val=""/>
      <w:lvlJc w:val="left"/>
    </w:lvl>
    <w:lvl w:ilvl="4" w:tplc="CDDE6FE4">
      <w:numFmt w:val="decimal"/>
      <w:lvlText w:val=""/>
      <w:lvlJc w:val="left"/>
    </w:lvl>
    <w:lvl w:ilvl="5" w:tplc="1DFE021C">
      <w:numFmt w:val="decimal"/>
      <w:lvlText w:val=""/>
      <w:lvlJc w:val="left"/>
    </w:lvl>
    <w:lvl w:ilvl="6" w:tplc="476A035A">
      <w:numFmt w:val="decimal"/>
      <w:lvlText w:val=""/>
      <w:lvlJc w:val="left"/>
    </w:lvl>
    <w:lvl w:ilvl="7" w:tplc="E7DEC696">
      <w:numFmt w:val="decimal"/>
      <w:lvlText w:val=""/>
      <w:lvlJc w:val="left"/>
    </w:lvl>
    <w:lvl w:ilvl="8" w:tplc="EC88A410">
      <w:numFmt w:val="decimal"/>
      <w:lvlText w:val=""/>
      <w:lvlJc w:val="left"/>
    </w:lvl>
  </w:abstractNum>
  <w:abstractNum w:abstractNumId="11" w15:restartNumberingAfterBreak="0">
    <w:nsid w:val="047195E5"/>
    <w:multiLevelType w:val="hybridMultilevel"/>
    <w:tmpl w:val="DE529B0E"/>
    <w:lvl w:ilvl="0" w:tplc="161C967C">
      <w:start w:val="3"/>
      <w:numFmt w:val="decimal"/>
      <w:lvlText w:val="(%1)"/>
      <w:lvlJc w:val="left"/>
    </w:lvl>
    <w:lvl w:ilvl="1" w:tplc="BC3AA8B2">
      <w:numFmt w:val="decimal"/>
      <w:lvlText w:val=""/>
      <w:lvlJc w:val="left"/>
    </w:lvl>
    <w:lvl w:ilvl="2" w:tplc="28C2F2C4">
      <w:numFmt w:val="decimal"/>
      <w:lvlText w:val=""/>
      <w:lvlJc w:val="left"/>
    </w:lvl>
    <w:lvl w:ilvl="3" w:tplc="F7D06EDC">
      <w:numFmt w:val="decimal"/>
      <w:lvlText w:val=""/>
      <w:lvlJc w:val="left"/>
    </w:lvl>
    <w:lvl w:ilvl="4" w:tplc="4D2AD98C">
      <w:numFmt w:val="decimal"/>
      <w:lvlText w:val=""/>
      <w:lvlJc w:val="left"/>
    </w:lvl>
    <w:lvl w:ilvl="5" w:tplc="8304BE98">
      <w:numFmt w:val="decimal"/>
      <w:lvlText w:val=""/>
      <w:lvlJc w:val="left"/>
    </w:lvl>
    <w:lvl w:ilvl="6" w:tplc="8006EE14">
      <w:numFmt w:val="decimal"/>
      <w:lvlText w:val=""/>
      <w:lvlJc w:val="left"/>
    </w:lvl>
    <w:lvl w:ilvl="7" w:tplc="23143900">
      <w:numFmt w:val="decimal"/>
      <w:lvlText w:val=""/>
      <w:lvlJc w:val="left"/>
    </w:lvl>
    <w:lvl w:ilvl="8" w:tplc="05028CC0">
      <w:numFmt w:val="decimal"/>
      <w:lvlText w:val=""/>
      <w:lvlJc w:val="left"/>
    </w:lvl>
  </w:abstractNum>
  <w:abstractNum w:abstractNumId="12" w15:restartNumberingAfterBreak="0">
    <w:nsid w:val="0490B7C5"/>
    <w:multiLevelType w:val="hybridMultilevel"/>
    <w:tmpl w:val="69463E3E"/>
    <w:lvl w:ilvl="0" w:tplc="252EADC0">
      <w:start w:val="1"/>
      <w:numFmt w:val="bullet"/>
      <w:lvlText w:val="•"/>
      <w:lvlJc w:val="left"/>
    </w:lvl>
    <w:lvl w:ilvl="1" w:tplc="3CEED696">
      <w:numFmt w:val="decimal"/>
      <w:lvlText w:val=""/>
      <w:lvlJc w:val="left"/>
    </w:lvl>
    <w:lvl w:ilvl="2" w:tplc="E8048AD2">
      <w:numFmt w:val="decimal"/>
      <w:lvlText w:val=""/>
      <w:lvlJc w:val="left"/>
    </w:lvl>
    <w:lvl w:ilvl="3" w:tplc="1B3C56DE">
      <w:numFmt w:val="decimal"/>
      <w:lvlText w:val=""/>
      <w:lvlJc w:val="left"/>
    </w:lvl>
    <w:lvl w:ilvl="4" w:tplc="ED961A44">
      <w:numFmt w:val="decimal"/>
      <w:lvlText w:val=""/>
      <w:lvlJc w:val="left"/>
    </w:lvl>
    <w:lvl w:ilvl="5" w:tplc="0A0A6B1E">
      <w:numFmt w:val="decimal"/>
      <w:lvlText w:val=""/>
      <w:lvlJc w:val="left"/>
    </w:lvl>
    <w:lvl w:ilvl="6" w:tplc="B6DA398E">
      <w:numFmt w:val="decimal"/>
      <w:lvlText w:val=""/>
      <w:lvlJc w:val="left"/>
    </w:lvl>
    <w:lvl w:ilvl="7" w:tplc="76BEE9EE">
      <w:numFmt w:val="decimal"/>
      <w:lvlText w:val=""/>
      <w:lvlJc w:val="left"/>
    </w:lvl>
    <w:lvl w:ilvl="8" w:tplc="EF6A727E">
      <w:numFmt w:val="decimal"/>
      <w:lvlText w:val=""/>
      <w:lvlJc w:val="left"/>
    </w:lvl>
  </w:abstractNum>
  <w:abstractNum w:abstractNumId="13" w15:restartNumberingAfterBreak="0">
    <w:nsid w:val="04A66051"/>
    <w:multiLevelType w:val="hybridMultilevel"/>
    <w:tmpl w:val="77E02F2C"/>
    <w:lvl w:ilvl="0" w:tplc="27CC3E3C">
      <w:start w:val="2"/>
      <w:numFmt w:val="lowerLetter"/>
      <w:lvlText w:val="(%1)"/>
      <w:lvlJc w:val="left"/>
    </w:lvl>
    <w:lvl w:ilvl="1" w:tplc="DBC483A8">
      <w:numFmt w:val="decimal"/>
      <w:lvlText w:val=""/>
      <w:lvlJc w:val="left"/>
    </w:lvl>
    <w:lvl w:ilvl="2" w:tplc="22A6AE0C">
      <w:numFmt w:val="decimal"/>
      <w:lvlText w:val=""/>
      <w:lvlJc w:val="left"/>
    </w:lvl>
    <w:lvl w:ilvl="3" w:tplc="95A0A0EE">
      <w:numFmt w:val="decimal"/>
      <w:lvlText w:val=""/>
      <w:lvlJc w:val="left"/>
    </w:lvl>
    <w:lvl w:ilvl="4" w:tplc="5316D188">
      <w:numFmt w:val="decimal"/>
      <w:lvlText w:val=""/>
      <w:lvlJc w:val="left"/>
    </w:lvl>
    <w:lvl w:ilvl="5" w:tplc="F8B2640C">
      <w:numFmt w:val="decimal"/>
      <w:lvlText w:val=""/>
      <w:lvlJc w:val="left"/>
    </w:lvl>
    <w:lvl w:ilvl="6" w:tplc="7C36B012">
      <w:numFmt w:val="decimal"/>
      <w:lvlText w:val=""/>
      <w:lvlJc w:val="left"/>
    </w:lvl>
    <w:lvl w:ilvl="7" w:tplc="580E8FB4">
      <w:numFmt w:val="decimal"/>
      <w:lvlText w:val=""/>
      <w:lvlJc w:val="left"/>
    </w:lvl>
    <w:lvl w:ilvl="8" w:tplc="93906B64">
      <w:numFmt w:val="decimal"/>
      <w:lvlText w:val=""/>
      <w:lvlJc w:val="left"/>
    </w:lvl>
  </w:abstractNum>
  <w:abstractNum w:abstractNumId="14" w15:restartNumberingAfterBreak="0">
    <w:nsid w:val="06353CD2"/>
    <w:multiLevelType w:val="hybridMultilevel"/>
    <w:tmpl w:val="591A9C4A"/>
    <w:lvl w:ilvl="0" w:tplc="4C084038">
      <w:start w:val="2"/>
      <w:numFmt w:val="lowerLetter"/>
      <w:lvlText w:val="(%1)"/>
      <w:lvlJc w:val="left"/>
    </w:lvl>
    <w:lvl w:ilvl="1" w:tplc="2360655C">
      <w:numFmt w:val="decimal"/>
      <w:lvlText w:val=""/>
      <w:lvlJc w:val="left"/>
    </w:lvl>
    <w:lvl w:ilvl="2" w:tplc="E768399A">
      <w:numFmt w:val="decimal"/>
      <w:lvlText w:val=""/>
      <w:lvlJc w:val="left"/>
    </w:lvl>
    <w:lvl w:ilvl="3" w:tplc="4FFE24A2">
      <w:numFmt w:val="decimal"/>
      <w:lvlText w:val=""/>
      <w:lvlJc w:val="left"/>
    </w:lvl>
    <w:lvl w:ilvl="4" w:tplc="BF26B36E">
      <w:numFmt w:val="decimal"/>
      <w:lvlText w:val=""/>
      <w:lvlJc w:val="left"/>
    </w:lvl>
    <w:lvl w:ilvl="5" w:tplc="15362DE6">
      <w:numFmt w:val="decimal"/>
      <w:lvlText w:val=""/>
      <w:lvlJc w:val="left"/>
    </w:lvl>
    <w:lvl w:ilvl="6" w:tplc="32E853D0">
      <w:numFmt w:val="decimal"/>
      <w:lvlText w:val=""/>
      <w:lvlJc w:val="left"/>
    </w:lvl>
    <w:lvl w:ilvl="7" w:tplc="C2D64150">
      <w:numFmt w:val="decimal"/>
      <w:lvlText w:val=""/>
      <w:lvlJc w:val="left"/>
    </w:lvl>
    <w:lvl w:ilvl="8" w:tplc="1BACDAE6">
      <w:numFmt w:val="decimal"/>
      <w:lvlText w:val=""/>
      <w:lvlJc w:val="left"/>
    </w:lvl>
  </w:abstractNum>
  <w:abstractNum w:abstractNumId="15" w15:restartNumberingAfterBreak="0">
    <w:nsid w:val="064AF49B"/>
    <w:multiLevelType w:val="hybridMultilevel"/>
    <w:tmpl w:val="0B203B6A"/>
    <w:lvl w:ilvl="0" w:tplc="9B7ECF7C">
      <w:start w:val="2"/>
      <w:numFmt w:val="lowerLetter"/>
      <w:lvlText w:val="(%1)"/>
      <w:lvlJc w:val="left"/>
    </w:lvl>
    <w:lvl w:ilvl="1" w:tplc="79009644">
      <w:numFmt w:val="decimal"/>
      <w:lvlText w:val=""/>
      <w:lvlJc w:val="left"/>
    </w:lvl>
    <w:lvl w:ilvl="2" w:tplc="18A6E8C6">
      <w:numFmt w:val="decimal"/>
      <w:lvlText w:val=""/>
      <w:lvlJc w:val="left"/>
    </w:lvl>
    <w:lvl w:ilvl="3" w:tplc="B53EAAE0">
      <w:numFmt w:val="decimal"/>
      <w:lvlText w:val=""/>
      <w:lvlJc w:val="left"/>
    </w:lvl>
    <w:lvl w:ilvl="4" w:tplc="D5081AE2">
      <w:numFmt w:val="decimal"/>
      <w:lvlText w:val=""/>
      <w:lvlJc w:val="left"/>
    </w:lvl>
    <w:lvl w:ilvl="5" w:tplc="D81C67CE">
      <w:numFmt w:val="decimal"/>
      <w:lvlText w:val=""/>
      <w:lvlJc w:val="left"/>
    </w:lvl>
    <w:lvl w:ilvl="6" w:tplc="E7D09648">
      <w:numFmt w:val="decimal"/>
      <w:lvlText w:val=""/>
      <w:lvlJc w:val="left"/>
    </w:lvl>
    <w:lvl w:ilvl="7" w:tplc="C13A71AC">
      <w:numFmt w:val="decimal"/>
      <w:lvlText w:val=""/>
      <w:lvlJc w:val="left"/>
    </w:lvl>
    <w:lvl w:ilvl="8" w:tplc="76587CE8">
      <w:numFmt w:val="decimal"/>
      <w:lvlText w:val=""/>
      <w:lvlJc w:val="left"/>
    </w:lvl>
  </w:abstractNum>
  <w:abstractNum w:abstractNumId="16" w15:restartNumberingAfterBreak="0">
    <w:nsid w:val="066BE6B9"/>
    <w:multiLevelType w:val="hybridMultilevel"/>
    <w:tmpl w:val="19A4099C"/>
    <w:lvl w:ilvl="0" w:tplc="EAC894F0">
      <w:start w:val="1"/>
      <w:numFmt w:val="lowerLetter"/>
      <w:lvlText w:val="(%1)"/>
      <w:lvlJc w:val="left"/>
    </w:lvl>
    <w:lvl w:ilvl="1" w:tplc="4F0C10DA">
      <w:numFmt w:val="decimal"/>
      <w:lvlText w:val=""/>
      <w:lvlJc w:val="left"/>
    </w:lvl>
    <w:lvl w:ilvl="2" w:tplc="F55A0190">
      <w:numFmt w:val="decimal"/>
      <w:lvlText w:val=""/>
      <w:lvlJc w:val="left"/>
    </w:lvl>
    <w:lvl w:ilvl="3" w:tplc="4B568816">
      <w:numFmt w:val="decimal"/>
      <w:lvlText w:val=""/>
      <w:lvlJc w:val="left"/>
    </w:lvl>
    <w:lvl w:ilvl="4" w:tplc="30162406">
      <w:numFmt w:val="decimal"/>
      <w:lvlText w:val=""/>
      <w:lvlJc w:val="left"/>
    </w:lvl>
    <w:lvl w:ilvl="5" w:tplc="724650B8">
      <w:numFmt w:val="decimal"/>
      <w:lvlText w:val=""/>
      <w:lvlJc w:val="left"/>
    </w:lvl>
    <w:lvl w:ilvl="6" w:tplc="FDAE8D9C">
      <w:numFmt w:val="decimal"/>
      <w:lvlText w:val=""/>
      <w:lvlJc w:val="left"/>
    </w:lvl>
    <w:lvl w:ilvl="7" w:tplc="2A3A4D5C">
      <w:numFmt w:val="decimal"/>
      <w:lvlText w:val=""/>
      <w:lvlJc w:val="left"/>
    </w:lvl>
    <w:lvl w:ilvl="8" w:tplc="567EBAA6">
      <w:numFmt w:val="decimal"/>
      <w:lvlText w:val=""/>
      <w:lvlJc w:val="left"/>
    </w:lvl>
  </w:abstractNum>
  <w:abstractNum w:abstractNumId="17" w15:restartNumberingAfterBreak="0">
    <w:nsid w:val="0697D2D2"/>
    <w:multiLevelType w:val="hybridMultilevel"/>
    <w:tmpl w:val="0C403E84"/>
    <w:lvl w:ilvl="0" w:tplc="C932295C">
      <w:start w:val="2"/>
      <w:numFmt w:val="lowerLetter"/>
      <w:lvlText w:val="(%1)"/>
      <w:lvlJc w:val="left"/>
    </w:lvl>
    <w:lvl w:ilvl="1" w:tplc="FA343FE0">
      <w:numFmt w:val="decimal"/>
      <w:lvlText w:val=""/>
      <w:lvlJc w:val="left"/>
    </w:lvl>
    <w:lvl w:ilvl="2" w:tplc="D2DCCEF4">
      <w:numFmt w:val="decimal"/>
      <w:lvlText w:val=""/>
      <w:lvlJc w:val="left"/>
    </w:lvl>
    <w:lvl w:ilvl="3" w:tplc="0EDA459E">
      <w:numFmt w:val="decimal"/>
      <w:lvlText w:val=""/>
      <w:lvlJc w:val="left"/>
    </w:lvl>
    <w:lvl w:ilvl="4" w:tplc="519433E6">
      <w:numFmt w:val="decimal"/>
      <w:lvlText w:val=""/>
      <w:lvlJc w:val="left"/>
    </w:lvl>
    <w:lvl w:ilvl="5" w:tplc="77EC1C2A">
      <w:numFmt w:val="decimal"/>
      <w:lvlText w:val=""/>
      <w:lvlJc w:val="left"/>
    </w:lvl>
    <w:lvl w:ilvl="6" w:tplc="EB00177A">
      <w:numFmt w:val="decimal"/>
      <w:lvlText w:val=""/>
      <w:lvlJc w:val="left"/>
    </w:lvl>
    <w:lvl w:ilvl="7" w:tplc="2C0AD5CA">
      <w:numFmt w:val="decimal"/>
      <w:lvlText w:val=""/>
      <w:lvlJc w:val="left"/>
    </w:lvl>
    <w:lvl w:ilvl="8" w:tplc="47FCDF96">
      <w:numFmt w:val="decimal"/>
      <w:lvlText w:val=""/>
      <w:lvlJc w:val="left"/>
    </w:lvl>
  </w:abstractNum>
  <w:abstractNum w:abstractNumId="18" w15:restartNumberingAfterBreak="0">
    <w:nsid w:val="06D68AB2"/>
    <w:multiLevelType w:val="hybridMultilevel"/>
    <w:tmpl w:val="0508774C"/>
    <w:lvl w:ilvl="0" w:tplc="3B0A6810">
      <w:start w:val="1"/>
      <w:numFmt w:val="upperLetter"/>
      <w:lvlText w:val="(%1)"/>
      <w:lvlJc w:val="left"/>
    </w:lvl>
    <w:lvl w:ilvl="1" w:tplc="9BA46D92">
      <w:numFmt w:val="decimal"/>
      <w:lvlText w:val=""/>
      <w:lvlJc w:val="left"/>
    </w:lvl>
    <w:lvl w:ilvl="2" w:tplc="E432CD70">
      <w:numFmt w:val="decimal"/>
      <w:lvlText w:val=""/>
      <w:lvlJc w:val="left"/>
    </w:lvl>
    <w:lvl w:ilvl="3" w:tplc="C480D5F0">
      <w:numFmt w:val="decimal"/>
      <w:lvlText w:val=""/>
      <w:lvlJc w:val="left"/>
    </w:lvl>
    <w:lvl w:ilvl="4" w:tplc="0F8E1A2C">
      <w:numFmt w:val="decimal"/>
      <w:lvlText w:val=""/>
      <w:lvlJc w:val="left"/>
    </w:lvl>
    <w:lvl w:ilvl="5" w:tplc="48A2D5B2">
      <w:numFmt w:val="decimal"/>
      <w:lvlText w:val=""/>
      <w:lvlJc w:val="left"/>
    </w:lvl>
    <w:lvl w:ilvl="6" w:tplc="9C2CD17C">
      <w:numFmt w:val="decimal"/>
      <w:lvlText w:val=""/>
      <w:lvlJc w:val="left"/>
    </w:lvl>
    <w:lvl w:ilvl="7" w:tplc="FDE6235C">
      <w:numFmt w:val="decimal"/>
      <w:lvlText w:val=""/>
      <w:lvlJc w:val="left"/>
    </w:lvl>
    <w:lvl w:ilvl="8" w:tplc="FA867598">
      <w:numFmt w:val="decimal"/>
      <w:lvlText w:val=""/>
      <w:lvlJc w:val="left"/>
    </w:lvl>
  </w:abstractNum>
  <w:abstractNum w:abstractNumId="19" w15:restartNumberingAfterBreak="0">
    <w:nsid w:val="07843E45"/>
    <w:multiLevelType w:val="hybridMultilevel"/>
    <w:tmpl w:val="2FC27A1C"/>
    <w:lvl w:ilvl="0" w:tplc="2A4CFAA2">
      <w:start w:val="1"/>
      <w:numFmt w:val="upperLetter"/>
      <w:lvlText w:val="%1:"/>
      <w:lvlJc w:val="left"/>
    </w:lvl>
    <w:lvl w:ilvl="1" w:tplc="9B50B474">
      <w:numFmt w:val="decimal"/>
      <w:lvlText w:val=""/>
      <w:lvlJc w:val="left"/>
    </w:lvl>
    <w:lvl w:ilvl="2" w:tplc="6DA6EF10">
      <w:numFmt w:val="decimal"/>
      <w:lvlText w:val=""/>
      <w:lvlJc w:val="left"/>
    </w:lvl>
    <w:lvl w:ilvl="3" w:tplc="CF663AE6">
      <w:numFmt w:val="decimal"/>
      <w:lvlText w:val=""/>
      <w:lvlJc w:val="left"/>
    </w:lvl>
    <w:lvl w:ilvl="4" w:tplc="025E2DD8">
      <w:numFmt w:val="decimal"/>
      <w:lvlText w:val=""/>
      <w:lvlJc w:val="left"/>
    </w:lvl>
    <w:lvl w:ilvl="5" w:tplc="198A21DA">
      <w:numFmt w:val="decimal"/>
      <w:lvlText w:val=""/>
      <w:lvlJc w:val="left"/>
    </w:lvl>
    <w:lvl w:ilvl="6" w:tplc="1556CC90">
      <w:numFmt w:val="decimal"/>
      <w:lvlText w:val=""/>
      <w:lvlJc w:val="left"/>
    </w:lvl>
    <w:lvl w:ilvl="7" w:tplc="4692D12C">
      <w:numFmt w:val="decimal"/>
      <w:lvlText w:val=""/>
      <w:lvlJc w:val="left"/>
    </w:lvl>
    <w:lvl w:ilvl="8" w:tplc="1E0285AE">
      <w:numFmt w:val="decimal"/>
      <w:lvlText w:val=""/>
      <w:lvlJc w:val="left"/>
    </w:lvl>
  </w:abstractNum>
  <w:abstractNum w:abstractNumId="20" w15:restartNumberingAfterBreak="0">
    <w:nsid w:val="0788BD9B"/>
    <w:multiLevelType w:val="hybridMultilevel"/>
    <w:tmpl w:val="FD649786"/>
    <w:lvl w:ilvl="0" w:tplc="9F2CCE4E">
      <w:start w:val="1"/>
      <w:numFmt w:val="decimal"/>
      <w:lvlText w:val="(%1)"/>
      <w:lvlJc w:val="left"/>
    </w:lvl>
    <w:lvl w:ilvl="1" w:tplc="1A104618">
      <w:numFmt w:val="decimal"/>
      <w:lvlText w:val=""/>
      <w:lvlJc w:val="left"/>
    </w:lvl>
    <w:lvl w:ilvl="2" w:tplc="9E56B21C">
      <w:numFmt w:val="decimal"/>
      <w:lvlText w:val=""/>
      <w:lvlJc w:val="left"/>
    </w:lvl>
    <w:lvl w:ilvl="3" w:tplc="8CCE3AE0">
      <w:numFmt w:val="decimal"/>
      <w:lvlText w:val=""/>
      <w:lvlJc w:val="left"/>
    </w:lvl>
    <w:lvl w:ilvl="4" w:tplc="34B0CFAC">
      <w:numFmt w:val="decimal"/>
      <w:lvlText w:val=""/>
      <w:lvlJc w:val="left"/>
    </w:lvl>
    <w:lvl w:ilvl="5" w:tplc="8AF685D6">
      <w:numFmt w:val="decimal"/>
      <w:lvlText w:val=""/>
      <w:lvlJc w:val="left"/>
    </w:lvl>
    <w:lvl w:ilvl="6" w:tplc="D742BCDA">
      <w:numFmt w:val="decimal"/>
      <w:lvlText w:val=""/>
      <w:lvlJc w:val="left"/>
    </w:lvl>
    <w:lvl w:ilvl="7" w:tplc="A6A6D28E">
      <w:numFmt w:val="decimal"/>
      <w:lvlText w:val=""/>
      <w:lvlJc w:val="left"/>
    </w:lvl>
    <w:lvl w:ilvl="8" w:tplc="4DEA85F2">
      <w:numFmt w:val="decimal"/>
      <w:lvlText w:val=""/>
      <w:lvlJc w:val="left"/>
    </w:lvl>
  </w:abstractNum>
  <w:abstractNum w:abstractNumId="21" w15:restartNumberingAfterBreak="0">
    <w:nsid w:val="0822C0EF"/>
    <w:multiLevelType w:val="hybridMultilevel"/>
    <w:tmpl w:val="641CDB86"/>
    <w:lvl w:ilvl="0" w:tplc="52166CB6">
      <w:start w:val="2"/>
      <w:numFmt w:val="lowerLetter"/>
      <w:lvlText w:val="(%1)"/>
      <w:lvlJc w:val="left"/>
    </w:lvl>
    <w:lvl w:ilvl="1" w:tplc="23D60B3C">
      <w:start w:val="1"/>
      <w:numFmt w:val="lowerRoman"/>
      <w:lvlText w:val="(%2)"/>
      <w:lvlJc w:val="left"/>
    </w:lvl>
    <w:lvl w:ilvl="2" w:tplc="4F8E939E">
      <w:numFmt w:val="decimal"/>
      <w:lvlText w:val=""/>
      <w:lvlJc w:val="left"/>
    </w:lvl>
    <w:lvl w:ilvl="3" w:tplc="88C0D1D6">
      <w:numFmt w:val="decimal"/>
      <w:lvlText w:val=""/>
      <w:lvlJc w:val="left"/>
    </w:lvl>
    <w:lvl w:ilvl="4" w:tplc="AA703FC8">
      <w:numFmt w:val="decimal"/>
      <w:lvlText w:val=""/>
      <w:lvlJc w:val="left"/>
    </w:lvl>
    <w:lvl w:ilvl="5" w:tplc="5A9A42A6">
      <w:numFmt w:val="decimal"/>
      <w:lvlText w:val=""/>
      <w:lvlJc w:val="left"/>
    </w:lvl>
    <w:lvl w:ilvl="6" w:tplc="3468E822">
      <w:numFmt w:val="decimal"/>
      <w:lvlText w:val=""/>
      <w:lvlJc w:val="left"/>
    </w:lvl>
    <w:lvl w:ilvl="7" w:tplc="FCF03730">
      <w:numFmt w:val="decimal"/>
      <w:lvlText w:val=""/>
      <w:lvlJc w:val="left"/>
    </w:lvl>
    <w:lvl w:ilvl="8" w:tplc="7988C0C6">
      <w:numFmt w:val="decimal"/>
      <w:lvlText w:val=""/>
      <w:lvlJc w:val="left"/>
    </w:lvl>
  </w:abstractNum>
  <w:abstractNum w:abstractNumId="22" w15:restartNumberingAfterBreak="0">
    <w:nsid w:val="08F8B73F"/>
    <w:multiLevelType w:val="hybridMultilevel"/>
    <w:tmpl w:val="EB640892"/>
    <w:lvl w:ilvl="0" w:tplc="265AC7F6">
      <w:start w:val="2"/>
      <w:numFmt w:val="lowerLetter"/>
      <w:lvlText w:val="(%1)"/>
      <w:lvlJc w:val="left"/>
    </w:lvl>
    <w:lvl w:ilvl="1" w:tplc="E40EA11A">
      <w:numFmt w:val="decimal"/>
      <w:lvlText w:val=""/>
      <w:lvlJc w:val="left"/>
    </w:lvl>
    <w:lvl w:ilvl="2" w:tplc="F7645F90">
      <w:numFmt w:val="decimal"/>
      <w:lvlText w:val=""/>
      <w:lvlJc w:val="left"/>
    </w:lvl>
    <w:lvl w:ilvl="3" w:tplc="70DE9440">
      <w:numFmt w:val="decimal"/>
      <w:lvlText w:val=""/>
      <w:lvlJc w:val="left"/>
    </w:lvl>
    <w:lvl w:ilvl="4" w:tplc="EB5021E0">
      <w:numFmt w:val="decimal"/>
      <w:lvlText w:val=""/>
      <w:lvlJc w:val="left"/>
    </w:lvl>
    <w:lvl w:ilvl="5" w:tplc="016263FC">
      <w:numFmt w:val="decimal"/>
      <w:lvlText w:val=""/>
      <w:lvlJc w:val="left"/>
    </w:lvl>
    <w:lvl w:ilvl="6" w:tplc="3DB82C8E">
      <w:numFmt w:val="decimal"/>
      <w:lvlText w:val=""/>
      <w:lvlJc w:val="left"/>
    </w:lvl>
    <w:lvl w:ilvl="7" w:tplc="D190FCF6">
      <w:numFmt w:val="decimal"/>
      <w:lvlText w:val=""/>
      <w:lvlJc w:val="left"/>
    </w:lvl>
    <w:lvl w:ilvl="8" w:tplc="1B669730">
      <w:numFmt w:val="decimal"/>
      <w:lvlText w:val=""/>
      <w:lvlJc w:val="left"/>
    </w:lvl>
  </w:abstractNum>
  <w:abstractNum w:abstractNumId="23" w15:restartNumberingAfterBreak="0">
    <w:nsid w:val="090802BE"/>
    <w:multiLevelType w:val="hybridMultilevel"/>
    <w:tmpl w:val="B66A8F46"/>
    <w:lvl w:ilvl="0" w:tplc="1312EA82">
      <w:start w:val="1"/>
      <w:numFmt w:val="decimal"/>
      <w:lvlText w:val="(%1)"/>
      <w:lvlJc w:val="left"/>
    </w:lvl>
    <w:lvl w:ilvl="1" w:tplc="43964E28">
      <w:numFmt w:val="decimal"/>
      <w:lvlText w:val=""/>
      <w:lvlJc w:val="left"/>
    </w:lvl>
    <w:lvl w:ilvl="2" w:tplc="A9161FB6">
      <w:numFmt w:val="decimal"/>
      <w:lvlText w:val=""/>
      <w:lvlJc w:val="left"/>
    </w:lvl>
    <w:lvl w:ilvl="3" w:tplc="0E949014">
      <w:numFmt w:val="decimal"/>
      <w:lvlText w:val=""/>
      <w:lvlJc w:val="left"/>
    </w:lvl>
    <w:lvl w:ilvl="4" w:tplc="C4DCE2E2">
      <w:numFmt w:val="decimal"/>
      <w:lvlText w:val=""/>
      <w:lvlJc w:val="left"/>
    </w:lvl>
    <w:lvl w:ilvl="5" w:tplc="AEB4D14E">
      <w:numFmt w:val="decimal"/>
      <w:lvlText w:val=""/>
      <w:lvlJc w:val="left"/>
    </w:lvl>
    <w:lvl w:ilvl="6" w:tplc="17D6BCD4">
      <w:numFmt w:val="decimal"/>
      <w:lvlText w:val=""/>
      <w:lvlJc w:val="left"/>
    </w:lvl>
    <w:lvl w:ilvl="7" w:tplc="BF1E64F0">
      <w:numFmt w:val="decimal"/>
      <w:lvlText w:val=""/>
      <w:lvlJc w:val="left"/>
    </w:lvl>
    <w:lvl w:ilvl="8" w:tplc="CBA02F92">
      <w:numFmt w:val="decimal"/>
      <w:lvlText w:val=""/>
      <w:lvlJc w:val="left"/>
    </w:lvl>
  </w:abstractNum>
  <w:abstractNum w:abstractNumId="24" w15:restartNumberingAfterBreak="0">
    <w:nsid w:val="09815DA3"/>
    <w:multiLevelType w:val="hybridMultilevel"/>
    <w:tmpl w:val="E034B2AE"/>
    <w:lvl w:ilvl="0" w:tplc="54D29524">
      <w:start w:val="1"/>
      <w:numFmt w:val="upperLetter"/>
      <w:lvlText w:val="%1:"/>
      <w:lvlJc w:val="left"/>
    </w:lvl>
    <w:lvl w:ilvl="1" w:tplc="1B9A4034">
      <w:numFmt w:val="decimal"/>
      <w:lvlText w:val=""/>
      <w:lvlJc w:val="left"/>
    </w:lvl>
    <w:lvl w:ilvl="2" w:tplc="9B244BB6">
      <w:numFmt w:val="decimal"/>
      <w:lvlText w:val=""/>
      <w:lvlJc w:val="left"/>
    </w:lvl>
    <w:lvl w:ilvl="3" w:tplc="EDC2C36A">
      <w:numFmt w:val="decimal"/>
      <w:lvlText w:val=""/>
      <w:lvlJc w:val="left"/>
    </w:lvl>
    <w:lvl w:ilvl="4" w:tplc="4B881266">
      <w:numFmt w:val="decimal"/>
      <w:lvlText w:val=""/>
      <w:lvlJc w:val="left"/>
    </w:lvl>
    <w:lvl w:ilvl="5" w:tplc="18DC050E">
      <w:numFmt w:val="decimal"/>
      <w:lvlText w:val=""/>
      <w:lvlJc w:val="left"/>
    </w:lvl>
    <w:lvl w:ilvl="6" w:tplc="3FF62602">
      <w:numFmt w:val="decimal"/>
      <w:lvlText w:val=""/>
      <w:lvlJc w:val="left"/>
    </w:lvl>
    <w:lvl w:ilvl="7" w:tplc="7114AF5A">
      <w:numFmt w:val="decimal"/>
      <w:lvlText w:val=""/>
      <w:lvlJc w:val="left"/>
    </w:lvl>
    <w:lvl w:ilvl="8" w:tplc="9C4A4830">
      <w:numFmt w:val="decimal"/>
      <w:lvlText w:val=""/>
      <w:lvlJc w:val="left"/>
    </w:lvl>
  </w:abstractNum>
  <w:abstractNum w:abstractNumId="25" w15:restartNumberingAfterBreak="0">
    <w:nsid w:val="0C058DF5"/>
    <w:multiLevelType w:val="hybridMultilevel"/>
    <w:tmpl w:val="D7185940"/>
    <w:lvl w:ilvl="0" w:tplc="5F907C96">
      <w:start w:val="3"/>
      <w:numFmt w:val="lowerLetter"/>
      <w:lvlText w:val="(%1)"/>
      <w:lvlJc w:val="left"/>
    </w:lvl>
    <w:lvl w:ilvl="1" w:tplc="13284086">
      <w:numFmt w:val="decimal"/>
      <w:lvlText w:val=""/>
      <w:lvlJc w:val="left"/>
    </w:lvl>
    <w:lvl w:ilvl="2" w:tplc="9E548AB2">
      <w:numFmt w:val="decimal"/>
      <w:lvlText w:val=""/>
      <w:lvlJc w:val="left"/>
    </w:lvl>
    <w:lvl w:ilvl="3" w:tplc="73529D8C">
      <w:numFmt w:val="decimal"/>
      <w:lvlText w:val=""/>
      <w:lvlJc w:val="left"/>
    </w:lvl>
    <w:lvl w:ilvl="4" w:tplc="8EA24072">
      <w:numFmt w:val="decimal"/>
      <w:lvlText w:val=""/>
      <w:lvlJc w:val="left"/>
    </w:lvl>
    <w:lvl w:ilvl="5" w:tplc="D8643394">
      <w:numFmt w:val="decimal"/>
      <w:lvlText w:val=""/>
      <w:lvlJc w:val="left"/>
    </w:lvl>
    <w:lvl w:ilvl="6" w:tplc="FCCA7998">
      <w:numFmt w:val="decimal"/>
      <w:lvlText w:val=""/>
      <w:lvlJc w:val="left"/>
    </w:lvl>
    <w:lvl w:ilvl="7" w:tplc="21529368">
      <w:numFmt w:val="decimal"/>
      <w:lvlText w:val=""/>
      <w:lvlJc w:val="left"/>
    </w:lvl>
    <w:lvl w:ilvl="8" w:tplc="8104DF50">
      <w:numFmt w:val="decimal"/>
      <w:lvlText w:val=""/>
      <w:lvlJc w:val="left"/>
    </w:lvl>
  </w:abstractNum>
  <w:abstractNum w:abstractNumId="26" w15:restartNumberingAfterBreak="0">
    <w:nsid w:val="0CA6B462"/>
    <w:multiLevelType w:val="hybridMultilevel"/>
    <w:tmpl w:val="862494F6"/>
    <w:lvl w:ilvl="0" w:tplc="23D89786">
      <w:start w:val="2"/>
      <w:numFmt w:val="lowerLetter"/>
      <w:lvlText w:val="(%1)"/>
      <w:lvlJc w:val="left"/>
    </w:lvl>
    <w:lvl w:ilvl="1" w:tplc="94F03CEA">
      <w:numFmt w:val="decimal"/>
      <w:lvlText w:val=""/>
      <w:lvlJc w:val="left"/>
    </w:lvl>
    <w:lvl w:ilvl="2" w:tplc="6598F142">
      <w:numFmt w:val="decimal"/>
      <w:lvlText w:val=""/>
      <w:lvlJc w:val="left"/>
    </w:lvl>
    <w:lvl w:ilvl="3" w:tplc="14485D72">
      <w:numFmt w:val="decimal"/>
      <w:lvlText w:val=""/>
      <w:lvlJc w:val="left"/>
    </w:lvl>
    <w:lvl w:ilvl="4" w:tplc="7148539C">
      <w:numFmt w:val="decimal"/>
      <w:lvlText w:val=""/>
      <w:lvlJc w:val="left"/>
    </w:lvl>
    <w:lvl w:ilvl="5" w:tplc="18D29E26">
      <w:numFmt w:val="decimal"/>
      <w:lvlText w:val=""/>
      <w:lvlJc w:val="left"/>
    </w:lvl>
    <w:lvl w:ilvl="6" w:tplc="99665FCC">
      <w:numFmt w:val="decimal"/>
      <w:lvlText w:val=""/>
      <w:lvlJc w:val="left"/>
    </w:lvl>
    <w:lvl w:ilvl="7" w:tplc="843EE72C">
      <w:numFmt w:val="decimal"/>
      <w:lvlText w:val=""/>
      <w:lvlJc w:val="left"/>
    </w:lvl>
    <w:lvl w:ilvl="8" w:tplc="10F25128">
      <w:numFmt w:val="decimal"/>
      <w:lvlText w:val=""/>
      <w:lvlJc w:val="left"/>
    </w:lvl>
  </w:abstractNum>
  <w:abstractNum w:abstractNumId="27" w15:restartNumberingAfterBreak="0">
    <w:nsid w:val="0CBE5BE9"/>
    <w:multiLevelType w:val="hybridMultilevel"/>
    <w:tmpl w:val="86167502"/>
    <w:lvl w:ilvl="0" w:tplc="5A9221E2">
      <w:start w:val="2"/>
      <w:numFmt w:val="lowerLetter"/>
      <w:lvlText w:val="(%1)"/>
      <w:lvlJc w:val="left"/>
    </w:lvl>
    <w:lvl w:ilvl="1" w:tplc="5F1C13E4">
      <w:numFmt w:val="decimal"/>
      <w:lvlText w:val=""/>
      <w:lvlJc w:val="left"/>
    </w:lvl>
    <w:lvl w:ilvl="2" w:tplc="90B64146">
      <w:numFmt w:val="decimal"/>
      <w:lvlText w:val=""/>
      <w:lvlJc w:val="left"/>
    </w:lvl>
    <w:lvl w:ilvl="3" w:tplc="AF0E60A8">
      <w:numFmt w:val="decimal"/>
      <w:lvlText w:val=""/>
      <w:lvlJc w:val="left"/>
    </w:lvl>
    <w:lvl w:ilvl="4" w:tplc="A8D0D614">
      <w:numFmt w:val="decimal"/>
      <w:lvlText w:val=""/>
      <w:lvlJc w:val="left"/>
    </w:lvl>
    <w:lvl w:ilvl="5" w:tplc="6422D750">
      <w:numFmt w:val="decimal"/>
      <w:lvlText w:val=""/>
      <w:lvlJc w:val="left"/>
    </w:lvl>
    <w:lvl w:ilvl="6" w:tplc="B088EC70">
      <w:numFmt w:val="decimal"/>
      <w:lvlText w:val=""/>
      <w:lvlJc w:val="left"/>
    </w:lvl>
    <w:lvl w:ilvl="7" w:tplc="04823DF4">
      <w:numFmt w:val="decimal"/>
      <w:lvlText w:val=""/>
      <w:lvlJc w:val="left"/>
    </w:lvl>
    <w:lvl w:ilvl="8" w:tplc="24E02E5A">
      <w:numFmt w:val="decimal"/>
      <w:lvlText w:val=""/>
      <w:lvlJc w:val="left"/>
    </w:lvl>
  </w:abstractNum>
  <w:abstractNum w:abstractNumId="28" w15:restartNumberingAfterBreak="0">
    <w:nsid w:val="0CE8E1A7"/>
    <w:multiLevelType w:val="hybridMultilevel"/>
    <w:tmpl w:val="9CACFD04"/>
    <w:lvl w:ilvl="0" w:tplc="3384C95A">
      <w:start w:val="5"/>
      <w:numFmt w:val="decimal"/>
      <w:lvlText w:val="(%1)"/>
      <w:lvlJc w:val="left"/>
    </w:lvl>
    <w:lvl w:ilvl="1" w:tplc="35568B44">
      <w:numFmt w:val="decimal"/>
      <w:lvlText w:val=""/>
      <w:lvlJc w:val="left"/>
    </w:lvl>
    <w:lvl w:ilvl="2" w:tplc="1542EA12">
      <w:numFmt w:val="decimal"/>
      <w:lvlText w:val=""/>
      <w:lvlJc w:val="left"/>
    </w:lvl>
    <w:lvl w:ilvl="3" w:tplc="6FC088E4">
      <w:numFmt w:val="decimal"/>
      <w:lvlText w:val=""/>
      <w:lvlJc w:val="left"/>
    </w:lvl>
    <w:lvl w:ilvl="4" w:tplc="36384A7C">
      <w:numFmt w:val="decimal"/>
      <w:lvlText w:val=""/>
      <w:lvlJc w:val="left"/>
    </w:lvl>
    <w:lvl w:ilvl="5" w:tplc="CA92BC7A">
      <w:numFmt w:val="decimal"/>
      <w:lvlText w:val=""/>
      <w:lvlJc w:val="left"/>
    </w:lvl>
    <w:lvl w:ilvl="6" w:tplc="0D863D4C">
      <w:numFmt w:val="decimal"/>
      <w:lvlText w:val=""/>
      <w:lvlJc w:val="left"/>
    </w:lvl>
    <w:lvl w:ilvl="7" w:tplc="DF1CB3E0">
      <w:numFmt w:val="decimal"/>
      <w:lvlText w:val=""/>
      <w:lvlJc w:val="left"/>
    </w:lvl>
    <w:lvl w:ilvl="8" w:tplc="36EED218">
      <w:numFmt w:val="decimal"/>
      <w:lvlText w:val=""/>
      <w:lvlJc w:val="left"/>
    </w:lvl>
  </w:abstractNum>
  <w:abstractNum w:abstractNumId="29" w15:restartNumberingAfterBreak="0">
    <w:nsid w:val="0E0BB885"/>
    <w:multiLevelType w:val="hybridMultilevel"/>
    <w:tmpl w:val="EE76E940"/>
    <w:lvl w:ilvl="0" w:tplc="FCDC1D70">
      <w:start w:val="6"/>
      <w:numFmt w:val="lowerLetter"/>
      <w:lvlText w:val="(%1)"/>
      <w:lvlJc w:val="left"/>
    </w:lvl>
    <w:lvl w:ilvl="1" w:tplc="BDEEDE50">
      <w:numFmt w:val="decimal"/>
      <w:lvlText w:val=""/>
      <w:lvlJc w:val="left"/>
    </w:lvl>
    <w:lvl w:ilvl="2" w:tplc="2A648C78">
      <w:numFmt w:val="decimal"/>
      <w:lvlText w:val=""/>
      <w:lvlJc w:val="left"/>
    </w:lvl>
    <w:lvl w:ilvl="3" w:tplc="65D86B56">
      <w:numFmt w:val="decimal"/>
      <w:lvlText w:val=""/>
      <w:lvlJc w:val="left"/>
    </w:lvl>
    <w:lvl w:ilvl="4" w:tplc="30963E3A">
      <w:numFmt w:val="decimal"/>
      <w:lvlText w:val=""/>
      <w:lvlJc w:val="left"/>
    </w:lvl>
    <w:lvl w:ilvl="5" w:tplc="9D927284">
      <w:numFmt w:val="decimal"/>
      <w:lvlText w:val=""/>
      <w:lvlJc w:val="left"/>
    </w:lvl>
    <w:lvl w:ilvl="6" w:tplc="BBF64232">
      <w:numFmt w:val="decimal"/>
      <w:lvlText w:val=""/>
      <w:lvlJc w:val="left"/>
    </w:lvl>
    <w:lvl w:ilvl="7" w:tplc="DD687D1A">
      <w:numFmt w:val="decimal"/>
      <w:lvlText w:val=""/>
      <w:lvlJc w:val="left"/>
    </w:lvl>
    <w:lvl w:ilvl="8" w:tplc="D04EF394">
      <w:numFmt w:val="decimal"/>
      <w:lvlText w:val=""/>
      <w:lvlJc w:val="left"/>
    </w:lvl>
  </w:abstractNum>
  <w:abstractNum w:abstractNumId="30" w15:restartNumberingAfterBreak="0">
    <w:nsid w:val="0E0D31FF"/>
    <w:multiLevelType w:val="hybridMultilevel"/>
    <w:tmpl w:val="77903FC8"/>
    <w:lvl w:ilvl="0" w:tplc="6354E958">
      <w:start w:val="1"/>
      <w:numFmt w:val="bullet"/>
      <w:lvlText w:val="•"/>
      <w:lvlJc w:val="left"/>
    </w:lvl>
    <w:lvl w:ilvl="1" w:tplc="763E97D2">
      <w:numFmt w:val="decimal"/>
      <w:lvlText w:val=""/>
      <w:lvlJc w:val="left"/>
    </w:lvl>
    <w:lvl w:ilvl="2" w:tplc="B928DEBC">
      <w:numFmt w:val="decimal"/>
      <w:lvlText w:val=""/>
      <w:lvlJc w:val="left"/>
    </w:lvl>
    <w:lvl w:ilvl="3" w:tplc="97B6B2E6">
      <w:numFmt w:val="decimal"/>
      <w:lvlText w:val=""/>
      <w:lvlJc w:val="left"/>
    </w:lvl>
    <w:lvl w:ilvl="4" w:tplc="B8E008A4">
      <w:numFmt w:val="decimal"/>
      <w:lvlText w:val=""/>
      <w:lvlJc w:val="left"/>
    </w:lvl>
    <w:lvl w:ilvl="5" w:tplc="B84E121E">
      <w:numFmt w:val="decimal"/>
      <w:lvlText w:val=""/>
      <w:lvlJc w:val="left"/>
    </w:lvl>
    <w:lvl w:ilvl="6" w:tplc="88C0A298">
      <w:numFmt w:val="decimal"/>
      <w:lvlText w:val=""/>
      <w:lvlJc w:val="left"/>
    </w:lvl>
    <w:lvl w:ilvl="7" w:tplc="45121A4A">
      <w:numFmt w:val="decimal"/>
      <w:lvlText w:val=""/>
      <w:lvlJc w:val="left"/>
    </w:lvl>
    <w:lvl w:ilvl="8" w:tplc="E320E178">
      <w:numFmt w:val="decimal"/>
      <w:lvlText w:val=""/>
      <w:lvlJc w:val="left"/>
    </w:lvl>
  </w:abstractNum>
  <w:abstractNum w:abstractNumId="31" w15:restartNumberingAfterBreak="0">
    <w:nsid w:val="0E6B3F6A"/>
    <w:multiLevelType w:val="hybridMultilevel"/>
    <w:tmpl w:val="94982C0C"/>
    <w:lvl w:ilvl="0" w:tplc="162E3622">
      <w:start w:val="30"/>
      <w:numFmt w:val="decimal"/>
      <w:lvlText w:val="(%1)"/>
      <w:lvlJc w:val="left"/>
    </w:lvl>
    <w:lvl w:ilvl="1" w:tplc="3F6A4558">
      <w:numFmt w:val="decimal"/>
      <w:lvlText w:val=""/>
      <w:lvlJc w:val="left"/>
    </w:lvl>
    <w:lvl w:ilvl="2" w:tplc="A5DA318C">
      <w:numFmt w:val="decimal"/>
      <w:lvlText w:val=""/>
      <w:lvlJc w:val="left"/>
    </w:lvl>
    <w:lvl w:ilvl="3" w:tplc="479EFAE6">
      <w:numFmt w:val="decimal"/>
      <w:lvlText w:val=""/>
      <w:lvlJc w:val="left"/>
    </w:lvl>
    <w:lvl w:ilvl="4" w:tplc="02DE4A14">
      <w:numFmt w:val="decimal"/>
      <w:lvlText w:val=""/>
      <w:lvlJc w:val="left"/>
    </w:lvl>
    <w:lvl w:ilvl="5" w:tplc="2DC432B6">
      <w:numFmt w:val="decimal"/>
      <w:lvlText w:val=""/>
      <w:lvlJc w:val="left"/>
    </w:lvl>
    <w:lvl w:ilvl="6" w:tplc="F7F0703A">
      <w:numFmt w:val="decimal"/>
      <w:lvlText w:val=""/>
      <w:lvlJc w:val="left"/>
    </w:lvl>
    <w:lvl w:ilvl="7" w:tplc="D6F27ECA">
      <w:numFmt w:val="decimal"/>
      <w:lvlText w:val=""/>
      <w:lvlJc w:val="left"/>
    </w:lvl>
    <w:lvl w:ilvl="8" w:tplc="B252A914">
      <w:numFmt w:val="decimal"/>
      <w:lvlText w:val=""/>
      <w:lvlJc w:val="left"/>
    </w:lvl>
  </w:abstractNum>
  <w:abstractNum w:abstractNumId="32" w15:restartNumberingAfterBreak="0">
    <w:nsid w:val="0EAD6F57"/>
    <w:multiLevelType w:val="hybridMultilevel"/>
    <w:tmpl w:val="2216FE86"/>
    <w:lvl w:ilvl="0" w:tplc="EB129D96">
      <w:start w:val="2"/>
      <w:numFmt w:val="lowerRoman"/>
      <w:lvlText w:val="(%1)"/>
      <w:lvlJc w:val="left"/>
    </w:lvl>
    <w:lvl w:ilvl="1" w:tplc="048E2B68">
      <w:numFmt w:val="decimal"/>
      <w:lvlText w:val=""/>
      <w:lvlJc w:val="left"/>
    </w:lvl>
    <w:lvl w:ilvl="2" w:tplc="88C0A9DA">
      <w:numFmt w:val="decimal"/>
      <w:lvlText w:val=""/>
      <w:lvlJc w:val="left"/>
    </w:lvl>
    <w:lvl w:ilvl="3" w:tplc="B18846E4">
      <w:numFmt w:val="decimal"/>
      <w:lvlText w:val=""/>
      <w:lvlJc w:val="left"/>
    </w:lvl>
    <w:lvl w:ilvl="4" w:tplc="1CA401A0">
      <w:numFmt w:val="decimal"/>
      <w:lvlText w:val=""/>
      <w:lvlJc w:val="left"/>
    </w:lvl>
    <w:lvl w:ilvl="5" w:tplc="9FEC8858">
      <w:numFmt w:val="decimal"/>
      <w:lvlText w:val=""/>
      <w:lvlJc w:val="left"/>
    </w:lvl>
    <w:lvl w:ilvl="6" w:tplc="3320D598">
      <w:numFmt w:val="decimal"/>
      <w:lvlText w:val=""/>
      <w:lvlJc w:val="left"/>
    </w:lvl>
    <w:lvl w:ilvl="7" w:tplc="A2262CDA">
      <w:numFmt w:val="decimal"/>
      <w:lvlText w:val=""/>
      <w:lvlJc w:val="left"/>
    </w:lvl>
    <w:lvl w:ilvl="8" w:tplc="0C8EF85C">
      <w:numFmt w:val="decimal"/>
      <w:lvlText w:val=""/>
      <w:lvlJc w:val="left"/>
    </w:lvl>
  </w:abstractNum>
  <w:abstractNum w:abstractNumId="33" w15:restartNumberingAfterBreak="0">
    <w:nsid w:val="0F3F09D8"/>
    <w:multiLevelType w:val="hybridMultilevel"/>
    <w:tmpl w:val="4FCCAC10"/>
    <w:lvl w:ilvl="0" w:tplc="97A891CA">
      <w:start w:val="4"/>
      <w:numFmt w:val="lowerRoman"/>
      <w:lvlText w:val="(%1)"/>
      <w:lvlJc w:val="left"/>
    </w:lvl>
    <w:lvl w:ilvl="1" w:tplc="57048608">
      <w:numFmt w:val="decimal"/>
      <w:lvlText w:val=""/>
      <w:lvlJc w:val="left"/>
    </w:lvl>
    <w:lvl w:ilvl="2" w:tplc="7DEC6DC6">
      <w:numFmt w:val="decimal"/>
      <w:lvlText w:val=""/>
      <w:lvlJc w:val="left"/>
    </w:lvl>
    <w:lvl w:ilvl="3" w:tplc="ADBC73B4">
      <w:numFmt w:val="decimal"/>
      <w:lvlText w:val=""/>
      <w:lvlJc w:val="left"/>
    </w:lvl>
    <w:lvl w:ilvl="4" w:tplc="1DBE5D12">
      <w:numFmt w:val="decimal"/>
      <w:lvlText w:val=""/>
      <w:lvlJc w:val="left"/>
    </w:lvl>
    <w:lvl w:ilvl="5" w:tplc="FED4AC1A">
      <w:numFmt w:val="decimal"/>
      <w:lvlText w:val=""/>
      <w:lvlJc w:val="left"/>
    </w:lvl>
    <w:lvl w:ilvl="6" w:tplc="D0E2F43E">
      <w:numFmt w:val="decimal"/>
      <w:lvlText w:val=""/>
      <w:lvlJc w:val="left"/>
    </w:lvl>
    <w:lvl w:ilvl="7" w:tplc="A98AB69C">
      <w:numFmt w:val="decimal"/>
      <w:lvlText w:val=""/>
      <w:lvlJc w:val="left"/>
    </w:lvl>
    <w:lvl w:ilvl="8" w:tplc="2B40808A">
      <w:numFmt w:val="decimal"/>
      <w:lvlText w:val=""/>
      <w:lvlJc w:val="left"/>
    </w:lvl>
  </w:abstractNum>
  <w:abstractNum w:abstractNumId="34" w15:restartNumberingAfterBreak="0">
    <w:nsid w:val="0F5BCF61"/>
    <w:multiLevelType w:val="hybridMultilevel"/>
    <w:tmpl w:val="92CE52FC"/>
    <w:lvl w:ilvl="0" w:tplc="18C23988">
      <w:start w:val="1"/>
      <w:numFmt w:val="decimal"/>
      <w:lvlText w:val="(%1)"/>
      <w:lvlJc w:val="left"/>
    </w:lvl>
    <w:lvl w:ilvl="1" w:tplc="A0046A8E">
      <w:numFmt w:val="decimal"/>
      <w:lvlText w:val=""/>
      <w:lvlJc w:val="left"/>
    </w:lvl>
    <w:lvl w:ilvl="2" w:tplc="5A5CE1AE">
      <w:numFmt w:val="decimal"/>
      <w:lvlText w:val=""/>
      <w:lvlJc w:val="left"/>
    </w:lvl>
    <w:lvl w:ilvl="3" w:tplc="965E273C">
      <w:numFmt w:val="decimal"/>
      <w:lvlText w:val=""/>
      <w:lvlJc w:val="left"/>
    </w:lvl>
    <w:lvl w:ilvl="4" w:tplc="A376575C">
      <w:numFmt w:val="decimal"/>
      <w:lvlText w:val=""/>
      <w:lvlJc w:val="left"/>
    </w:lvl>
    <w:lvl w:ilvl="5" w:tplc="EC5E555E">
      <w:numFmt w:val="decimal"/>
      <w:lvlText w:val=""/>
      <w:lvlJc w:val="left"/>
    </w:lvl>
    <w:lvl w:ilvl="6" w:tplc="8B4EC14E">
      <w:numFmt w:val="decimal"/>
      <w:lvlText w:val=""/>
      <w:lvlJc w:val="left"/>
    </w:lvl>
    <w:lvl w:ilvl="7" w:tplc="3FF02ED0">
      <w:numFmt w:val="decimal"/>
      <w:lvlText w:val=""/>
      <w:lvlJc w:val="left"/>
    </w:lvl>
    <w:lvl w:ilvl="8" w:tplc="69A0AFC6">
      <w:numFmt w:val="decimal"/>
      <w:lvlText w:val=""/>
      <w:lvlJc w:val="left"/>
    </w:lvl>
  </w:abstractNum>
  <w:abstractNum w:abstractNumId="35" w15:restartNumberingAfterBreak="0">
    <w:nsid w:val="0FA85F4D"/>
    <w:multiLevelType w:val="hybridMultilevel"/>
    <w:tmpl w:val="0D9A4EB4"/>
    <w:lvl w:ilvl="0" w:tplc="E22EB0A2">
      <w:start w:val="1"/>
      <w:numFmt w:val="bullet"/>
      <w:lvlText w:val="2"/>
      <w:lvlJc w:val="left"/>
    </w:lvl>
    <w:lvl w:ilvl="1" w:tplc="D5F826E4">
      <w:numFmt w:val="decimal"/>
      <w:lvlText w:val=""/>
      <w:lvlJc w:val="left"/>
    </w:lvl>
    <w:lvl w:ilvl="2" w:tplc="7B584DB8">
      <w:numFmt w:val="decimal"/>
      <w:lvlText w:val=""/>
      <w:lvlJc w:val="left"/>
    </w:lvl>
    <w:lvl w:ilvl="3" w:tplc="DEF62456">
      <w:numFmt w:val="decimal"/>
      <w:lvlText w:val=""/>
      <w:lvlJc w:val="left"/>
    </w:lvl>
    <w:lvl w:ilvl="4" w:tplc="5C4EA254">
      <w:numFmt w:val="decimal"/>
      <w:lvlText w:val=""/>
      <w:lvlJc w:val="left"/>
    </w:lvl>
    <w:lvl w:ilvl="5" w:tplc="0EC860E0">
      <w:numFmt w:val="decimal"/>
      <w:lvlText w:val=""/>
      <w:lvlJc w:val="left"/>
    </w:lvl>
    <w:lvl w:ilvl="6" w:tplc="D07E2AE8">
      <w:numFmt w:val="decimal"/>
      <w:lvlText w:val=""/>
      <w:lvlJc w:val="left"/>
    </w:lvl>
    <w:lvl w:ilvl="7" w:tplc="4AF283A8">
      <w:numFmt w:val="decimal"/>
      <w:lvlText w:val=""/>
      <w:lvlJc w:val="left"/>
    </w:lvl>
    <w:lvl w:ilvl="8" w:tplc="57667568">
      <w:numFmt w:val="decimal"/>
      <w:lvlText w:val=""/>
      <w:lvlJc w:val="left"/>
    </w:lvl>
  </w:abstractNum>
  <w:abstractNum w:abstractNumId="36" w15:restartNumberingAfterBreak="0">
    <w:nsid w:val="1036B29F"/>
    <w:multiLevelType w:val="hybridMultilevel"/>
    <w:tmpl w:val="E556C7D8"/>
    <w:lvl w:ilvl="0" w:tplc="5D2E325E">
      <w:start w:val="1"/>
      <w:numFmt w:val="bullet"/>
      <w:lvlText w:val="•"/>
      <w:lvlJc w:val="left"/>
    </w:lvl>
    <w:lvl w:ilvl="1" w:tplc="B314AE68">
      <w:numFmt w:val="decimal"/>
      <w:lvlText w:val=""/>
      <w:lvlJc w:val="left"/>
    </w:lvl>
    <w:lvl w:ilvl="2" w:tplc="376CA7AA">
      <w:numFmt w:val="decimal"/>
      <w:lvlText w:val=""/>
      <w:lvlJc w:val="left"/>
    </w:lvl>
    <w:lvl w:ilvl="3" w:tplc="9558B3F0">
      <w:numFmt w:val="decimal"/>
      <w:lvlText w:val=""/>
      <w:lvlJc w:val="left"/>
    </w:lvl>
    <w:lvl w:ilvl="4" w:tplc="AB6497D0">
      <w:numFmt w:val="decimal"/>
      <w:lvlText w:val=""/>
      <w:lvlJc w:val="left"/>
    </w:lvl>
    <w:lvl w:ilvl="5" w:tplc="74BCD1EE">
      <w:numFmt w:val="decimal"/>
      <w:lvlText w:val=""/>
      <w:lvlJc w:val="left"/>
    </w:lvl>
    <w:lvl w:ilvl="6" w:tplc="4F9EC78E">
      <w:numFmt w:val="decimal"/>
      <w:lvlText w:val=""/>
      <w:lvlJc w:val="left"/>
    </w:lvl>
    <w:lvl w:ilvl="7" w:tplc="0B12F882">
      <w:numFmt w:val="decimal"/>
      <w:lvlText w:val=""/>
      <w:lvlJc w:val="left"/>
    </w:lvl>
    <w:lvl w:ilvl="8" w:tplc="257A1518">
      <w:numFmt w:val="decimal"/>
      <w:lvlText w:val=""/>
      <w:lvlJc w:val="left"/>
    </w:lvl>
  </w:abstractNum>
  <w:abstractNum w:abstractNumId="37" w15:restartNumberingAfterBreak="0">
    <w:nsid w:val="10DB9DAA"/>
    <w:multiLevelType w:val="hybridMultilevel"/>
    <w:tmpl w:val="5FE06CF6"/>
    <w:lvl w:ilvl="0" w:tplc="774045B0">
      <w:start w:val="2"/>
      <w:numFmt w:val="lowerLetter"/>
      <w:lvlText w:val="(%1)"/>
      <w:lvlJc w:val="left"/>
    </w:lvl>
    <w:lvl w:ilvl="1" w:tplc="043EFC70">
      <w:start w:val="1"/>
      <w:numFmt w:val="lowerRoman"/>
      <w:lvlText w:val="%2"/>
      <w:lvlJc w:val="left"/>
    </w:lvl>
    <w:lvl w:ilvl="2" w:tplc="15DE4AD8">
      <w:numFmt w:val="decimal"/>
      <w:lvlText w:val=""/>
      <w:lvlJc w:val="left"/>
    </w:lvl>
    <w:lvl w:ilvl="3" w:tplc="AE28E280">
      <w:numFmt w:val="decimal"/>
      <w:lvlText w:val=""/>
      <w:lvlJc w:val="left"/>
    </w:lvl>
    <w:lvl w:ilvl="4" w:tplc="F82AF40A">
      <w:numFmt w:val="decimal"/>
      <w:lvlText w:val=""/>
      <w:lvlJc w:val="left"/>
    </w:lvl>
    <w:lvl w:ilvl="5" w:tplc="A3709BA0">
      <w:numFmt w:val="decimal"/>
      <w:lvlText w:val=""/>
      <w:lvlJc w:val="left"/>
    </w:lvl>
    <w:lvl w:ilvl="6" w:tplc="BB400270">
      <w:numFmt w:val="decimal"/>
      <w:lvlText w:val=""/>
      <w:lvlJc w:val="left"/>
    </w:lvl>
    <w:lvl w:ilvl="7" w:tplc="F92A43E4">
      <w:numFmt w:val="decimal"/>
      <w:lvlText w:val=""/>
      <w:lvlJc w:val="left"/>
    </w:lvl>
    <w:lvl w:ilvl="8" w:tplc="07E41892">
      <w:numFmt w:val="decimal"/>
      <w:lvlText w:val=""/>
      <w:lvlJc w:val="left"/>
    </w:lvl>
  </w:abstractNum>
  <w:abstractNum w:abstractNumId="38" w15:restartNumberingAfterBreak="0">
    <w:nsid w:val="116AE494"/>
    <w:multiLevelType w:val="hybridMultilevel"/>
    <w:tmpl w:val="35F8C7A6"/>
    <w:lvl w:ilvl="0" w:tplc="9D94B2B2">
      <w:start w:val="2"/>
      <w:numFmt w:val="lowerLetter"/>
      <w:lvlText w:val="(%1)"/>
      <w:lvlJc w:val="left"/>
    </w:lvl>
    <w:lvl w:ilvl="1" w:tplc="DD64F664">
      <w:numFmt w:val="decimal"/>
      <w:lvlText w:val=""/>
      <w:lvlJc w:val="left"/>
    </w:lvl>
    <w:lvl w:ilvl="2" w:tplc="26084E98">
      <w:numFmt w:val="decimal"/>
      <w:lvlText w:val=""/>
      <w:lvlJc w:val="left"/>
    </w:lvl>
    <w:lvl w:ilvl="3" w:tplc="9FE49F78">
      <w:numFmt w:val="decimal"/>
      <w:lvlText w:val=""/>
      <w:lvlJc w:val="left"/>
    </w:lvl>
    <w:lvl w:ilvl="4" w:tplc="662067BC">
      <w:numFmt w:val="decimal"/>
      <w:lvlText w:val=""/>
      <w:lvlJc w:val="left"/>
    </w:lvl>
    <w:lvl w:ilvl="5" w:tplc="0964BE76">
      <w:numFmt w:val="decimal"/>
      <w:lvlText w:val=""/>
      <w:lvlJc w:val="left"/>
    </w:lvl>
    <w:lvl w:ilvl="6" w:tplc="6F102028">
      <w:numFmt w:val="decimal"/>
      <w:lvlText w:val=""/>
      <w:lvlJc w:val="left"/>
    </w:lvl>
    <w:lvl w:ilvl="7" w:tplc="0E44BF60">
      <w:numFmt w:val="decimal"/>
      <w:lvlText w:val=""/>
      <w:lvlJc w:val="left"/>
    </w:lvl>
    <w:lvl w:ilvl="8" w:tplc="74A2E940">
      <w:numFmt w:val="decimal"/>
      <w:lvlText w:val=""/>
      <w:lvlJc w:val="left"/>
    </w:lvl>
  </w:abstractNum>
  <w:abstractNum w:abstractNumId="39" w15:restartNumberingAfterBreak="0">
    <w:nsid w:val="126E008B"/>
    <w:multiLevelType w:val="hybridMultilevel"/>
    <w:tmpl w:val="4B545220"/>
    <w:lvl w:ilvl="0" w:tplc="104C839A">
      <w:start w:val="1"/>
      <w:numFmt w:val="bullet"/>
      <w:lvlText w:val="•"/>
      <w:lvlJc w:val="left"/>
    </w:lvl>
    <w:lvl w:ilvl="1" w:tplc="51C6AF30">
      <w:numFmt w:val="decimal"/>
      <w:lvlText w:val=""/>
      <w:lvlJc w:val="left"/>
    </w:lvl>
    <w:lvl w:ilvl="2" w:tplc="5F4A0378">
      <w:numFmt w:val="decimal"/>
      <w:lvlText w:val=""/>
      <w:lvlJc w:val="left"/>
    </w:lvl>
    <w:lvl w:ilvl="3" w:tplc="4A285B5A">
      <w:numFmt w:val="decimal"/>
      <w:lvlText w:val=""/>
      <w:lvlJc w:val="left"/>
    </w:lvl>
    <w:lvl w:ilvl="4" w:tplc="12CC70F4">
      <w:numFmt w:val="decimal"/>
      <w:lvlText w:val=""/>
      <w:lvlJc w:val="left"/>
    </w:lvl>
    <w:lvl w:ilvl="5" w:tplc="BDD661C4">
      <w:numFmt w:val="decimal"/>
      <w:lvlText w:val=""/>
      <w:lvlJc w:val="left"/>
    </w:lvl>
    <w:lvl w:ilvl="6" w:tplc="F03CCF8A">
      <w:numFmt w:val="decimal"/>
      <w:lvlText w:val=""/>
      <w:lvlJc w:val="left"/>
    </w:lvl>
    <w:lvl w:ilvl="7" w:tplc="8C7AA43C">
      <w:numFmt w:val="decimal"/>
      <w:lvlText w:val=""/>
      <w:lvlJc w:val="left"/>
    </w:lvl>
    <w:lvl w:ilvl="8" w:tplc="233E4936">
      <w:numFmt w:val="decimal"/>
      <w:lvlText w:val=""/>
      <w:lvlJc w:val="left"/>
    </w:lvl>
  </w:abstractNum>
  <w:abstractNum w:abstractNumId="40" w15:restartNumberingAfterBreak="0">
    <w:nsid w:val="12FCDE5E"/>
    <w:multiLevelType w:val="hybridMultilevel"/>
    <w:tmpl w:val="3278AF9A"/>
    <w:lvl w:ilvl="0" w:tplc="257C829E">
      <w:start w:val="2"/>
      <w:numFmt w:val="lowerLetter"/>
      <w:lvlText w:val="(%1)"/>
      <w:lvlJc w:val="left"/>
    </w:lvl>
    <w:lvl w:ilvl="1" w:tplc="5EA2CCC0">
      <w:numFmt w:val="decimal"/>
      <w:lvlText w:val=""/>
      <w:lvlJc w:val="left"/>
    </w:lvl>
    <w:lvl w:ilvl="2" w:tplc="685E7BF0">
      <w:numFmt w:val="decimal"/>
      <w:lvlText w:val=""/>
      <w:lvlJc w:val="left"/>
    </w:lvl>
    <w:lvl w:ilvl="3" w:tplc="23109E8C">
      <w:numFmt w:val="decimal"/>
      <w:lvlText w:val=""/>
      <w:lvlJc w:val="left"/>
    </w:lvl>
    <w:lvl w:ilvl="4" w:tplc="C68203A4">
      <w:numFmt w:val="decimal"/>
      <w:lvlText w:val=""/>
      <w:lvlJc w:val="left"/>
    </w:lvl>
    <w:lvl w:ilvl="5" w:tplc="EFECCF8E">
      <w:numFmt w:val="decimal"/>
      <w:lvlText w:val=""/>
      <w:lvlJc w:val="left"/>
    </w:lvl>
    <w:lvl w:ilvl="6" w:tplc="F124A5BE">
      <w:numFmt w:val="decimal"/>
      <w:lvlText w:val=""/>
      <w:lvlJc w:val="left"/>
    </w:lvl>
    <w:lvl w:ilvl="7" w:tplc="19180F8A">
      <w:numFmt w:val="decimal"/>
      <w:lvlText w:val=""/>
      <w:lvlJc w:val="left"/>
    </w:lvl>
    <w:lvl w:ilvl="8" w:tplc="6F9E84B6">
      <w:numFmt w:val="decimal"/>
      <w:lvlText w:val=""/>
      <w:lvlJc w:val="left"/>
    </w:lvl>
  </w:abstractNum>
  <w:abstractNum w:abstractNumId="41" w15:restartNumberingAfterBreak="0">
    <w:nsid w:val="13916F2D"/>
    <w:multiLevelType w:val="hybridMultilevel"/>
    <w:tmpl w:val="51D6113C"/>
    <w:lvl w:ilvl="0" w:tplc="72BE6CCE">
      <w:start w:val="1"/>
      <w:numFmt w:val="lowerRoman"/>
      <w:lvlText w:val="(%1)"/>
      <w:lvlJc w:val="left"/>
    </w:lvl>
    <w:lvl w:ilvl="1" w:tplc="8544E1FA">
      <w:numFmt w:val="decimal"/>
      <w:lvlText w:val=""/>
      <w:lvlJc w:val="left"/>
    </w:lvl>
    <w:lvl w:ilvl="2" w:tplc="F5BA8D34">
      <w:numFmt w:val="decimal"/>
      <w:lvlText w:val=""/>
      <w:lvlJc w:val="left"/>
    </w:lvl>
    <w:lvl w:ilvl="3" w:tplc="7DF21F20">
      <w:numFmt w:val="decimal"/>
      <w:lvlText w:val=""/>
      <w:lvlJc w:val="left"/>
    </w:lvl>
    <w:lvl w:ilvl="4" w:tplc="6F2E923C">
      <w:numFmt w:val="decimal"/>
      <w:lvlText w:val=""/>
      <w:lvlJc w:val="left"/>
    </w:lvl>
    <w:lvl w:ilvl="5" w:tplc="AFD034BA">
      <w:numFmt w:val="decimal"/>
      <w:lvlText w:val=""/>
      <w:lvlJc w:val="left"/>
    </w:lvl>
    <w:lvl w:ilvl="6" w:tplc="415266E0">
      <w:numFmt w:val="decimal"/>
      <w:lvlText w:val=""/>
      <w:lvlJc w:val="left"/>
    </w:lvl>
    <w:lvl w:ilvl="7" w:tplc="29840368">
      <w:numFmt w:val="decimal"/>
      <w:lvlText w:val=""/>
      <w:lvlJc w:val="left"/>
    </w:lvl>
    <w:lvl w:ilvl="8" w:tplc="FDFE91AC">
      <w:numFmt w:val="decimal"/>
      <w:lvlText w:val=""/>
      <w:lvlJc w:val="left"/>
    </w:lvl>
  </w:abstractNum>
  <w:abstractNum w:abstractNumId="42" w15:restartNumberingAfterBreak="0">
    <w:nsid w:val="13CDFCFC"/>
    <w:multiLevelType w:val="hybridMultilevel"/>
    <w:tmpl w:val="152C94C8"/>
    <w:lvl w:ilvl="0" w:tplc="37842A0C">
      <w:start w:val="5"/>
      <w:numFmt w:val="lowerLetter"/>
      <w:lvlText w:val="(%1)"/>
      <w:lvlJc w:val="left"/>
    </w:lvl>
    <w:lvl w:ilvl="1" w:tplc="9CC000DA">
      <w:numFmt w:val="decimal"/>
      <w:lvlText w:val=""/>
      <w:lvlJc w:val="left"/>
    </w:lvl>
    <w:lvl w:ilvl="2" w:tplc="E244D188">
      <w:numFmt w:val="decimal"/>
      <w:lvlText w:val=""/>
      <w:lvlJc w:val="left"/>
    </w:lvl>
    <w:lvl w:ilvl="3" w:tplc="EFC8645E">
      <w:numFmt w:val="decimal"/>
      <w:lvlText w:val=""/>
      <w:lvlJc w:val="left"/>
    </w:lvl>
    <w:lvl w:ilvl="4" w:tplc="DA00D586">
      <w:numFmt w:val="decimal"/>
      <w:lvlText w:val=""/>
      <w:lvlJc w:val="left"/>
    </w:lvl>
    <w:lvl w:ilvl="5" w:tplc="FFB2FD76">
      <w:numFmt w:val="decimal"/>
      <w:lvlText w:val=""/>
      <w:lvlJc w:val="left"/>
    </w:lvl>
    <w:lvl w:ilvl="6" w:tplc="1B0860B6">
      <w:numFmt w:val="decimal"/>
      <w:lvlText w:val=""/>
      <w:lvlJc w:val="left"/>
    </w:lvl>
    <w:lvl w:ilvl="7" w:tplc="A75E694C">
      <w:numFmt w:val="decimal"/>
      <w:lvlText w:val=""/>
      <w:lvlJc w:val="left"/>
    </w:lvl>
    <w:lvl w:ilvl="8" w:tplc="243A47DA">
      <w:numFmt w:val="decimal"/>
      <w:lvlText w:val=""/>
      <w:lvlJc w:val="left"/>
    </w:lvl>
  </w:abstractNum>
  <w:abstractNum w:abstractNumId="43" w15:restartNumberingAfterBreak="0">
    <w:nsid w:val="13E21002"/>
    <w:multiLevelType w:val="hybridMultilevel"/>
    <w:tmpl w:val="1B1C6F3A"/>
    <w:lvl w:ilvl="0" w:tplc="708E757E">
      <w:start w:val="1"/>
      <w:numFmt w:val="lowerLetter"/>
      <w:lvlText w:val="(%1)"/>
      <w:lvlJc w:val="left"/>
    </w:lvl>
    <w:lvl w:ilvl="1" w:tplc="C674C6A4">
      <w:numFmt w:val="decimal"/>
      <w:lvlText w:val=""/>
      <w:lvlJc w:val="left"/>
    </w:lvl>
    <w:lvl w:ilvl="2" w:tplc="3AAA07D0">
      <w:numFmt w:val="decimal"/>
      <w:lvlText w:val=""/>
      <w:lvlJc w:val="left"/>
    </w:lvl>
    <w:lvl w:ilvl="3" w:tplc="2654F130">
      <w:numFmt w:val="decimal"/>
      <w:lvlText w:val=""/>
      <w:lvlJc w:val="left"/>
    </w:lvl>
    <w:lvl w:ilvl="4" w:tplc="6ED0B642">
      <w:numFmt w:val="decimal"/>
      <w:lvlText w:val=""/>
      <w:lvlJc w:val="left"/>
    </w:lvl>
    <w:lvl w:ilvl="5" w:tplc="92CACFF6">
      <w:numFmt w:val="decimal"/>
      <w:lvlText w:val=""/>
      <w:lvlJc w:val="left"/>
    </w:lvl>
    <w:lvl w:ilvl="6" w:tplc="CF14BEC6">
      <w:numFmt w:val="decimal"/>
      <w:lvlText w:val=""/>
      <w:lvlJc w:val="left"/>
    </w:lvl>
    <w:lvl w:ilvl="7" w:tplc="37D0879E">
      <w:numFmt w:val="decimal"/>
      <w:lvlText w:val=""/>
      <w:lvlJc w:val="left"/>
    </w:lvl>
    <w:lvl w:ilvl="8" w:tplc="20EEC9E8">
      <w:numFmt w:val="decimal"/>
      <w:lvlText w:val=""/>
      <w:lvlJc w:val="left"/>
    </w:lvl>
  </w:abstractNum>
  <w:abstractNum w:abstractNumId="44" w15:restartNumberingAfterBreak="0">
    <w:nsid w:val="141D2302"/>
    <w:multiLevelType w:val="hybridMultilevel"/>
    <w:tmpl w:val="C9B6C75A"/>
    <w:lvl w:ilvl="0" w:tplc="402EA656">
      <w:start w:val="1"/>
      <w:numFmt w:val="lowerLetter"/>
      <w:lvlText w:val="(%1)"/>
      <w:lvlJc w:val="left"/>
    </w:lvl>
    <w:lvl w:ilvl="1" w:tplc="D1564BE8">
      <w:start w:val="1"/>
      <w:numFmt w:val="lowerRoman"/>
      <w:lvlText w:val="(%2)"/>
      <w:lvlJc w:val="left"/>
    </w:lvl>
    <w:lvl w:ilvl="2" w:tplc="5D66A18C">
      <w:numFmt w:val="decimal"/>
      <w:lvlText w:val=""/>
      <w:lvlJc w:val="left"/>
    </w:lvl>
    <w:lvl w:ilvl="3" w:tplc="22126BE0">
      <w:numFmt w:val="decimal"/>
      <w:lvlText w:val=""/>
      <w:lvlJc w:val="left"/>
    </w:lvl>
    <w:lvl w:ilvl="4" w:tplc="C8724D4C">
      <w:numFmt w:val="decimal"/>
      <w:lvlText w:val=""/>
      <w:lvlJc w:val="left"/>
    </w:lvl>
    <w:lvl w:ilvl="5" w:tplc="EFF4F9CA">
      <w:numFmt w:val="decimal"/>
      <w:lvlText w:val=""/>
      <w:lvlJc w:val="left"/>
    </w:lvl>
    <w:lvl w:ilvl="6" w:tplc="72C0AC8C">
      <w:numFmt w:val="decimal"/>
      <w:lvlText w:val=""/>
      <w:lvlJc w:val="left"/>
    </w:lvl>
    <w:lvl w:ilvl="7" w:tplc="0EEAA070">
      <w:numFmt w:val="decimal"/>
      <w:lvlText w:val=""/>
      <w:lvlJc w:val="left"/>
    </w:lvl>
    <w:lvl w:ilvl="8" w:tplc="7A626B76">
      <w:numFmt w:val="decimal"/>
      <w:lvlText w:val=""/>
      <w:lvlJc w:val="left"/>
    </w:lvl>
  </w:abstractNum>
  <w:abstractNum w:abstractNumId="45" w15:restartNumberingAfterBreak="0">
    <w:nsid w:val="14217E23"/>
    <w:multiLevelType w:val="hybridMultilevel"/>
    <w:tmpl w:val="DC72C336"/>
    <w:lvl w:ilvl="0" w:tplc="69B83404">
      <w:start w:val="1"/>
      <w:numFmt w:val="lowerRoman"/>
      <w:lvlText w:val="(%1)"/>
      <w:lvlJc w:val="left"/>
    </w:lvl>
    <w:lvl w:ilvl="1" w:tplc="DD6E6226">
      <w:numFmt w:val="decimal"/>
      <w:lvlText w:val=""/>
      <w:lvlJc w:val="left"/>
    </w:lvl>
    <w:lvl w:ilvl="2" w:tplc="DEA600F0">
      <w:numFmt w:val="decimal"/>
      <w:lvlText w:val=""/>
      <w:lvlJc w:val="left"/>
    </w:lvl>
    <w:lvl w:ilvl="3" w:tplc="6930AFD4">
      <w:numFmt w:val="decimal"/>
      <w:lvlText w:val=""/>
      <w:lvlJc w:val="left"/>
    </w:lvl>
    <w:lvl w:ilvl="4" w:tplc="E37CB866">
      <w:numFmt w:val="decimal"/>
      <w:lvlText w:val=""/>
      <w:lvlJc w:val="left"/>
    </w:lvl>
    <w:lvl w:ilvl="5" w:tplc="CF2C7D96">
      <w:numFmt w:val="decimal"/>
      <w:lvlText w:val=""/>
      <w:lvlJc w:val="left"/>
    </w:lvl>
    <w:lvl w:ilvl="6" w:tplc="457CF252">
      <w:numFmt w:val="decimal"/>
      <w:lvlText w:val=""/>
      <w:lvlJc w:val="left"/>
    </w:lvl>
    <w:lvl w:ilvl="7" w:tplc="EE049D12">
      <w:numFmt w:val="decimal"/>
      <w:lvlText w:val=""/>
      <w:lvlJc w:val="left"/>
    </w:lvl>
    <w:lvl w:ilvl="8" w:tplc="6D4684B6">
      <w:numFmt w:val="decimal"/>
      <w:lvlText w:val=""/>
      <w:lvlJc w:val="left"/>
    </w:lvl>
  </w:abstractNum>
  <w:abstractNum w:abstractNumId="46" w15:restartNumberingAfterBreak="0">
    <w:nsid w:val="1495E50A"/>
    <w:multiLevelType w:val="hybridMultilevel"/>
    <w:tmpl w:val="10EEDF16"/>
    <w:lvl w:ilvl="0" w:tplc="D3505128">
      <w:start w:val="1"/>
      <w:numFmt w:val="decimal"/>
      <w:lvlText w:val="(%1)"/>
      <w:lvlJc w:val="left"/>
    </w:lvl>
    <w:lvl w:ilvl="1" w:tplc="E668A14E">
      <w:numFmt w:val="decimal"/>
      <w:lvlText w:val=""/>
      <w:lvlJc w:val="left"/>
    </w:lvl>
    <w:lvl w:ilvl="2" w:tplc="BF1038AA">
      <w:numFmt w:val="decimal"/>
      <w:lvlText w:val=""/>
      <w:lvlJc w:val="left"/>
    </w:lvl>
    <w:lvl w:ilvl="3" w:tplc="352C2EA0">
      <w:numFmt w:val="decimal"/>
      <w:lvlText w:val=""/>
      <w:lvlJc w:val="left"/>
    </w:lvl>
    <w:lvl w:ilvl="4" w:tplc="16983934">
      <w:numFmt w:val="decimal"/>
      <w:lvlText w:val=""/>
      <w:lvlJc w:val="left"/>
    </w:lvl>
    <w:lvl w:ilvl="5" w:tplc="F5F2E980">
      <w:numFmt w:val="decimal"/>
      <w:lvlText w:val=""/>
      <w:lvlJc w:val="left"/>
    </w:lvl>
    <w:lvl w:ilvl="6" w:tplc="6044A7B2">
      <w:numFmt w:val="decimal"/>
      <w:lvlText w:val=""/>
      <w:lvlJc w:val="left"/>
    </w:lvl>
    <w:lvl w:ilvl="7" w:tplc="FE56C20A">
      <w:numFmt w:val="decimal"/>
      <w:lvlText w:val=""/>
      <w:lvlJc w:val="left"/>
    </w:lvl>
    <w:lvl w:ilvl="8" w:tplc="880A6114">
      <w:numFmt w:val="decimal"/>
      <w:lvlText w:val=""/>
      <w:lvlJc w:val="left"/>
    </w:lvl>
  </w:abstractNum>
  <w:abstractNum w:abstractNumId="47" w15:restartNumberingAfterBreak="0">
    <w:nsid w:val="155EC4C2"/>
    <w:multiLevelType w:val="hybridMultilevel"/>
    <w:tmpl w:val="6CBCEB4A"/>
    <w:lvl w:ilvl="0" w:tplc="2A86D176">
      <w:start w:val="1"/>
      <w:numFmt w:val="upperLetter"/>
      <w:lvlText w:val="%1"/>
      <w:lvlJc w:val="left"/>
    </w:lvl>
    <w:lvl w:ilvl="1" w:tplc="4E660256">
      <w:start w:val="1"/>
      <w:numFmt w:val="lowerLetter"/>
      <w:lvlText w:val="(%2)"/>
      <w:lvlJc w:val="left"/>
    </w:lvl>
    <w:lvl w:ilvl="2" w:tplc="E9E6BFEE">
      <w:numFmt w:val="decimal"/>
      <w:lvlText w:val=""/>
      <w:lvlJc w:val="left"/>
    </w:lvl>
    <w:lvl w:ilvl="3" w:tplc="BCDCC19A">
      <w:numFmt w:val="decimal"/>
      <w:lvlText w:val=""/>
      <w:lvlJc w:val="left"/>
    </w:lvl>
    <w:lvl w:ilvl="4" w:tplc="AFE09658">
      <w:numFmt w:val="decimal"/>
      <w:lvlText w:val=""/>
      <w:lvlJc w:val="left"/>
    </w:lvl>
    <w:lvl w:ilvl="5" w:tplc="33AE01C8">
      <w:numFmt w:val="decimal"/>
      <w:lvlText w:val=""/>
      <w:lvlJc w:val="left"/>
    </w:lvl>
    <w:lvl w:ilvl="6" w:tplc="CD8E43D0">
      <w:numFmt w:val="decimal"/>
      <w:lvlText w:val=""/>
      <w:lvlJc w:val="left"/>
    </w:lvl>
    <w:lvl w:ilvl="7" w:tplc="E27E96D2">
      <w:numFmt w:val="decimal"/>
      <w:lvlText w:val=""/>
      <w:lvlJc w:val="left"/>
    </w:lvl>
    <w:lvl w:ilvl="8" w:tplc="783051D2">
      <w:numFmt w:val="decimal"/>
      <w:lvlText w:val=""/>
      <w:lvlJc w:val="left"/>
    </w:lvl>
  </w:abstractNum>
  <w:abstractNum w:abstractNumId="48" w15:restartNumberingAfterBreak="0">
    <w:nsid w:val="1565AC99"/>
    <w:multiLevelType w:val="hybridMultilevel"/>
    <w:tmpl w:val="321CC924"/>
    <w:lvl w:ilvl="0" w:tplc="10E0B720">
      <w:start w:val="1"/>
      <w:numFmt w:val="decimal"/>
      <w:lvlText w:val="(%1)"/>
      <w:lvlJc w:val="left"/>
    </w:lvl>
    <w:lvl w:ilvl="1" w:tplc="CCC4289E">
      <w:numFmt w:val="decimal"/>
      <w:lvlText w:val=""/>
      <w:lvlJc w:val="left"/>
    </w:lvl>
    <w:lvl w:ilvl="2" w:tplc="9076788C">
      <w:numFmt w:val="decimal"/>
      <w:lvlText w:val=""/>
      <w:lvlJc w:val="left"/>
    </w:lvl>
    <w:lvl w:ilvl="3" w:tplc="F1E8DA66">
      <w:numFmt w:val="decimal"/>
      <w:lvlText w:val=""/>
      <w:lvlJc w:val="left"/>
    </w:lvl>
    <w:lvl w:ilvl="4" w:tplc="31F4A9F4">
      <w:numFmt w:val="decimal"/>
      <w:lvlText w:val=""/>
      <w:lvlJc w:val="left"/>
    </w:lvl>
    <w:lvl w:ilvl="5" w:tplc="6D4ED65E">
      <w:numFmt w:val="decimal"/>
      <w:lvlText w:val=""/>
      <w:lvlJc w:val="left"/>
    </w:lvl>
    <w:lvl w:ilvl="6" w:tplc="8EEED4C8">
      <w:numFmt w:val="decimal"/>
      <w:lvlText w:val=""/>
      <w:lvlJc w:val="left"/>
    </w:lvl>
    <w:lvl w:ilvl="7" w:tplc="95B4BA9E">
      <w:numFmt w:val="decimal"/>
      <w:lvlText w:val=""/>
      <w:lvlJc w:val="left"/>
    </w:lvl>
    <w:lvl w:ilvl="8" w:tplc="F1C22D96">
      <w:numFmt w:val="decimal"/>
      <w:lvlText w:val=""/>
      <w:lvlJc w:val="left"/>
    </w:lvl>
  </w:abstractNum>
  <w:abstractNum w:abstractNumId="49" w15:restartNumberingAfterBreak="0">
    <w:nsid w:val="15B71329"/>
    <w:multiLevelType w:val="hybridMultilevel"/>
    <w:tmpl w:val="B2421228"/>
    <w:lvl w:ilvl="0" w:tplc="0BC4A9D2">
      <w:start w:val="1"/>
      <w:numFmt w:val="lowerLetter"/>
      <w:lvlText w:val="(%1)"/>
      <w:lvlJc w:val="left"/>
    </w:lvl>
    <w:lvl w:ilvl="1" w:tplc="60425966">
      <w:numFmt w:val="decimal"/>
      <w:lvlText w:val=""/>
      <w:lvlJc w:val="left"/>
    </w:lvl>
    <w:lvl w:ilvl="2" w:tplc="0FA81B98">
      <w:numFmt w:val="decimal"/>
      <w:lvlText w:val=""/>
      <w:lvlJc w:val="left"/>
    </w:lvl>
    <w:lvl w:ilvl="3" w:tplc="18A6E710">
      <w:numFmt w:val="decimal"/>
      <w:lvlText w:val=""/>
      <w:lvlJc w:val="left"/>
    </w:lvl>
    <w:lvl w:ilvl="4" w:tplc="D0784568">
      <w:numFmt w:val="decimal"/>
      <w:lvlText w:val=""/>
      <w:lvlJc w:val="left"/>
    </w:lvl>
    <w:lvl w:ilvl="5" w:tplc="2BDE55AA">
      <w:numFmt w:val="decimal"/>
      <w:lvlText w:val=""/>
      <w:lvlJc w:val="left"/>
    </w:lvl>
    <w:lvl w:ilvl="6" w:tplc="BD26ED9A">
      <w:numFmt w:val="decimal"/>
      <w:lvlText w:val=""/>
      <w:lvlJc w:val="left"/>
    </w:lvl>
    <w:lvl w:ilvl="7" w:tplc="E826B11A">
      <w:numFmt w:val="decimal"/>
      <w:lvlText w:val=""/>
      <w:lvlJc w:val="left"/>
    </w:lvl>
    <w:lvl w:ilvl="8" w:tplc="DF7080AE">
      <w:numFmt w:val="decimal"/>
      <w:lvlText w:val=""/>
      <w:lvlJc w:val="left"/>
    </w:lvl>
  </w:abstractNum>
  <w:abstractNum w:abstractNumId="50" w15:restartNumberingAfterBreak="0">
    <w:nsid w:val="15BCABA8"/>
    <w:multiLevelType w:val="hybridMultilevel"/>
    <w:tmpl w:val="C9F416EC"/>
    <w:lvl w:ilvl="0" w:tplc="DADE1724">
      <w:start w:val="2"/>
      <w:numFmt w:val="lowerLetter"/>
      <w:lvlText w:val="(%1)"/>
      <w:lvlJc w:val="left"/>
    </w:lvl>
    <w:lvl w:ilvl="1" w:tplc="089EE5E6">
      <w:numFmt w:val="decimal"/>
      <w:lvlText w:val=""/>
      <w:lvlJc w:val="left"/>
    </w:lvl>
    <w:lvl w:ilvl="2" w:tplc="253CDF58">
      <w:numFmt w:val="decimal"/>
      <w:lvlText w:val=""/>
      <w:lvlJc w:val="left"/>
    </w:lvl>
    <w:lvl w:ilvl="3" w:tplc="E828CFB6">
      <w:numFmt w:val="decimal"/>
      <w:lvlText w:val=""/>
      <w:lvlJc w:val="left"/>
    </w:lvl>
    <w:lvl w:ilvl="4" w:tplc="03E49C4E">
      <w:numFmt w:val="decimal"/>
      <w:lvlText w:val=""/>
      <w:lvlJc w:val="left"/>
    </w:lvl>
    <w:lvl w:ilvl="5" w:tplc="DBDE97CE">
      <w:numFmt w:val="decimal"/>
      <w:lvlText w:val=""/>
      <w:lvlJc w:val="left"/>
    </w:lvl>
    <w:lvl w:ilvl="6" w:tplc="46685832">
      <w:numFmt w:val="decimal"/>
      <w:lvlText w:val=""/>
      <w:lvlJc w:val="left"/>
    </w:lvl>
    <w:lvl w:ilvl="7" w:tplc="DB6C593A">
      <w:numFmt w:val="decimal"/>
      <w:lvlText w:val=""/>
      <w:lvlJc w:val="left"/>
    </w:lvl>
    <w:lvl w:ilvl="8" w:tplc="87C62926">
      <w:numFmt w:val="decimal"/>
      <w:lvlText w:val=""/>
      <w:lvlJc w:val="left"/>
    </w:lvl>
  </w:abstractNum>
  <w:abstractNum w:abstractNumId="51" w15:restartNumberingAfterBreak="0">
    <w:nsid w:val="1626FB8C"/>
    <w:multiLevelType w:val="hybridMultilevel"/>
    <w:tmpl w:val="8A847DF4"/>
    <w:lvl w:ilvl="0" w:tplc="7E7E328A">
      <w:start w:val="1"/>
      <w:numFmt w:val="lowerLetter"/>
      <w:lvlText w:val="(%1)"/>
      <w:lvlJc w:val="left"/>
    </w:lvl>
    <w:lvl w:ilvl="1" w:tplc="254ACFDA">
      <w:numFmt w:val="decimal"/>
      <w:lvlText w:val=""/>
      <w:lvlJc w:val="left"/>
    </w:lvl>
    <w:lvl w:ilvl="2" w:tplc="6E5647D0">
      <w:numFmt w:val="decimal"/>
      <w:lvlText w:val=""/>
      <w:lvlJc w:val="left"/>
    </w:lvl>
    <w:lvl w:ilvl="3" w:tplc="492A3E2C">
      <w:numFmt w:val="decimal"/>
      <w:lvlText w:val=""/>
      <w:lvlJc w:val="left"/>
    </w:lvl>
    <w:lvl w:ilvl="4" w:tplc="9190AE98">
      <w:numFmt w:val="decimal"/>
      <w:lvlText w:val=""/>
      <w:lvlJc w:val="left"/>
    </w:lvl>
    <w:lvl w:ilvl="5" w:tplc="8ABA6CBA">
      <w:numFmt w:val="decimal"/>
      <w:lvlText w:val=""/>
      <w:lvlJc w:val="left"/>
    </w:lvl>
    <w:lvl w:ilvl="6" w:tplc="B9E65856">
      <w:numFmt w:val="decimal"/>
      <w:lvlText w:val=""/>
      <w:lvlJc w:val="left"/>
    </w:lvl>
    <w:lvl w:ilvl="7" w:tplc="3E6079AE">
      <w:numFmt w:val="decimal"/>
      <w:lvlText w:val=""/>
      <w:lvlJc w:val="left"/>
    </w:lvl>
    <w:lvl w:ilvl="8" w:tplc="7C7AF67E">
      <w:numFmt w:val="decimal"/>
      <w:lvlText w:val=""/>
      <w:lvlJc w:val="left"/>
    </w:lvl>
  </w:abstractNum>
  <w:abstractNum w:abstractNumId="52" w15:restartNumberingAfterBreak="0">
    <w:nsid w:val="168EFE17"/>
    <w:multiLevelType w:val="hybridMultilevel"/>
    <w:tmpl w:val="E5E64242"/>
    <w:lvl w:ilvl="0" w:tplc="5DC0FDBC">
      <w:start w:val="1"/>
      <w:numFmt w:val="bullet"/>
      <w:lvlText w:val="•"/>
      <w:lvlJc w:val="left"/>
    </w:lvl>
    <w:lvl w:ilvl="1" w:tplc="A740D460">
      <w:numFmt w:val="decimal"/>
      <w:lvlText w:val=""/>
      <w:lvlJc w:val="left"/>
    </w:lvl>
    <w:lvl w:ilvl="2" w:tplc="2476113A">
      <w:numFmt w:val="decimal"/>
      <w:lvlText w:val=""/>
      <w:lvlJc w:val="left"/>
    </w:lvl>
    <w:lvl w:ilvl="3" w:tplc="4C46A6A0">
      <w:numFmt w:val="decimal"/>
      <w:lvlText w:val=""/>
      <w:lvlJc w:val="left"/>
    </w:lvl>
    <w:lvl w:ilvl="4" w:tplc="C3BEF1C4">
      <w:numFmt w:val="decimal"/>
      <w:lvlText w:val=""/>
      <w:lvlJc w:val="left"/>
    </w:lvl>
    <w:lvl w:ilvl="5" w:tplc="A1A6054E">
      <w:numFmt w:val="decimal"/>
      <w:lvlText w:val=""/>
      <w:lvlJc w:val="left"/>
    </w:lvl>
    <w:lvl w:ilvl="6" w:tplc="DA269086">
      <w:numFmt w:val="decimal"/>
      <w:lvlText w:val=""/>
      <w:lvlJc w:val="left"/>
    </w:lvl>
    <w:lvl w:ilvl="7" w:tplc="E55EC90A">
      <w:numFmt w:val="decimal"/>
      <w:lvlText w:val=""/>
      <w:lvlJc w:val="left"/>
    </w:lvl>
    <w:lvl w:ilvl="8" w:tplc="FA72B128">
      <w:numFmt w:val="decimal"/>
      <w:lvlText w:val=""/>
      <w:lvlJc w:val="left"/>
    </w:lvl>
  </w:abstractNum>
  <w:abstractNum w:abstractNumId="53" w15:restartNumberingAfterBreak="0">
    <w:nsid w:val="17304A67"/>
    <w:multiLevelType w:val="hybridMultilevel"/>
    <w:tmpl w:val="F6666998"/>
    <w:lvl w:ilvl="0" w:tplc="6F8A7B10">
      <w:start w:val="2"/>
      <w:numFmt w:val="lowerLetter"/>
      <w:lvlText w:val="(%1)"/>
      <w:lvlJc w:val="left"/>
    </w:lvl>
    <w:lvl w:ilvl="1" w:tplc="B26C4E16">
      <w:numFmt w:val="decimal"/>
      <w:lvlText w:val=""/>
      <w:lvlJc w:val="left"/>
    </w:lvl>
    <w:lvl w:ilvl="2" w:tplc="372AAE96">
      <w:numFmt w:val="decimal"/>
      <w:lvlText w:val=""/>
      <w:lvlJc w:val="left"/>
    </w:lvl>
    <w:lvl w:ilvl="3" w:tplc="4DD8D99C">
      <w:numFmt w:val="decimal"/>
      <w:lvlText w:val=""/>
      <w:lvlJc w:val="left"/>
    </w:lvl>
    <w:lvl w:ilvl="4" w:tplc="D708CDD8">
      <w:numFmt w:val="decimal"/>
      <w:lvlText w:val=""/>
      <w:lvlJc w:val="left"/>
    </w:lvl>
    <w:lvl w:ilvl="5" w:tplc="94C6DAF4">
      <w:numFmt w:val="decimal"/>
      <w:lvlText w:val=""/>
      <w:lvlJc w:val="left"/>
    </w:lvl>
    <w:lvl w:ilvl="6" w:tplc="601A49D4">
      <w:numFmt w:val="decimal"/>
      <w:lvlText w:val=""/>
      <w:lvlJc w:val="left"/>
    </w:lvl>
    <w:lvl w:ilvl="7" w:tplc="B498BE16">
      <w:numFmt w:val="decimal"/>
      <w:lvlText w:val=""/>
      <w:lvlJc w:val="left"/>
    </w:lvl>
    <w:lvl w:ilvl="8" w:tplc="CC661680">
      <w:numFmt w:val="decimal"/>
      <w:lvlText w:val=""/>
      <w:lvlJc w:val="left"/>
    </w:lvl>
  </w:abstractNum>
  <w:abstractNum w:abstractNumId="54" w15:restartNumberingAfterBreak="0">
    <w:nsid w:val="17859F72"/>
    <w:multiLevelType w:val="hybridMultilevel"/>
    <w:tmpl w:val="C5889CC6"/>
    <w:lvl w:ilvl="0" w:tplc="ED384028">
      <w:start w:val="1"/>
      <w:numFmt w:val="bullet"/>
      <w:lvlText w:val="•"/>
      <w:lvlJc w:val="left"/>
    </w:lvl>
    <w:lvl w:ilvl="1" w:tplc="A81237EA">
      <w:numFmt w:val="decimal"/>
      <w:lvlText w:val=""/>
      <w:lvlJc w:val="left"/>
    </w:lvl>
    <w:lvl w:ilvl="2" w:tplc="6CCADF8E">
      <w:numFmt w:val="decimal"/>
      <w:lvlText w:val=""/>
      <w:lvlJc w:val="left"/>
    </w:lvl>
    <w:lvl w:ilvl="3" w:tplc="0E88E0AC">
      <w:numFmt w:val="decimal"/>
      <w:lvlText w:val=""/>
      <w:lvlJc w:val="left"/>
    </w:lvl>
    <w:lvl w:ilvl="4" w:tplc="BFA246DA">
      <w:numFmt w:val="decimal"/>
      <w:lvlText w:val=""/>
      <w:lvlJc w:val="left"/>
    </w:lvl>
    <w:lvl w:ilvl="5" w:tplc="AF9212B0">
      <w:numFmt w:val="decimal"/>
      <w:lvlText w:val=""/>
      <w:lvlJc w:val="left"/>
    </w:lvl>
    <w:lvl w:ilvl="6" w:tplc="423C46C6">
      <w:numFmt w:val="decimal"/>
      <w:lvlText w:val=""/>
      <w:lvlJc w:val="left"/>
    </w:lvl>
    <w:lvl w:ilvl="7" w:tplc="89505874">
      <w:numFmt w:val="decimal"/>
      <w:lvlText w:val=""/>
      <w:lvlJc w:val="left"/>
    </w:lvl>
    <w:lvl w:ilvl="8" w:tplc="BC48976C">
      <w:numFmt w:val="decimal"/>
      <w:lvlText w:val=""/>
      <w:lvlJc w:val="left"/>
    </w:lvl>
  </w:abstractNum>
  <w:abstractNum w:abstractNumId="55" w15:restartNumberingAfterBreak="0">
    <w:nsid w:val="178F7B67"/>
    <w:multiLevelType w:val="hybridMultilevel"/>
    <w:tmpl w:val="9A16EE98"/>
    <w:lvl w:ilvl="0" w:tplc="FF7E1916">
      <w:start w:val="1"/>
      <w:numFmt w:val="bullet"/>
      <w:lvlText w:val="•"/>
      <w:lvlJc w:val="left"/>
    </w:lvl>
    <w:lvl w:ilvl="1" w:tplc="A558CB4A">
      <w:numFmt w:val="decimal"/>
      <w:lvlText w:val=""/>
      <w:lvlJc w:val="left"/>
    </w:lvl>
    <w:lvl w:ilvl="2" w:tplc="6E68F13E">
      <w:numFmt w:val="decimal"/>
      <w:lvlText w:val=""/>
      <w:lvlJc w:val="left"/>
    </w:lvl>
    <w:lvl w:ilvl="3" w:tplc="90AE10B0">
      <w:numFmt w:val="decimal"/>
      <w:lvlText w:val=""/>
      <w:lvlJc w:val="left"/>
    </w:lvl>
    <w:lvl w:ilvl="4" w:tplc="815E8C2E">
      <w:numFmt w:val="decimal"/>
      <w:lvlText w:val=""/>
      <w:lvlJc w:val="left"/>
    </w:lvl>
    <w:lvl w:ilvl="5" w:tplc="420C40DE">
      <w:numFmt w:val="decimal"/>
      <w:lvlText w:val=""/>
      <w:lvlJc w:val="left"/>
    </w:lvl>
    <w:lvl w:ilvl="6" w:tplc="E9DA0BA6">
      <w:numFmt w:val="decimal"/>
      <w:lvlText w:val=""/>
      <w:lvlJc w:val="left"/>
    </w:lvl>
    <w:lvl w:ilvl="7" w:tplc="25B0526E">
      <w:numFmt w:val="decimal"/>
      <w:lvlText w:val=""/>
      <w:lvlJc w:val="left"/>
    </w:lvl>
    <w:lvl w:ilvl="8" w:tplc="D78CC4C8">
      <w:numFmt w:val="decimal"/>
      <w:lvlText w:val=""/>
      <w:lvlJc w:val="left"/>
    </w:lvl>
  </w:abstractNum>
  <w:abstractNum w:abstractNumId="56" w15:restartNumberingAfterBreak="0">
    <w:nsid w:val="17D78639"/>
    <w:multiLevelType w:val="hybridMultilevel"/>
    <w:tmpl w:val="E9782728"/>
    <w:lvl w:ilvl="0" w:tplc="A0625C72">
      <w:start w:val="1"/>
      <w:numFmt w:val="lowerLetter"/>
      <w:lvlText w:val="(%1)"/>
      <w:lvlJc w:val="left"/>
    </w:lvl>
    <w:lvl w:ilvl="1" w:tplc="0CDA445E">
      <w:numFmt w:val="decimal"/>
      <w:lvlText w:val=""/>
      <w:lvlJc w:val="left"/>
    </w:lvl>
    <w:lvl w:ilvl="2" w:tplc="32A65998">
      <w:numFmt w:val="decimal"/>
      <w:lvlText w:val=""/>
      <w:lvlJc w:val="left"/>
    </w:lvl>
    <w:lvl w:ilvl="3" w:tplc="8436B54A">
      <w:numFmt w:val="decimal"/>
      <w:lvlText w:val=""/>
      <w:lvlJc w:val="left"/>
    </w:lvl>
    <w:lvl w:ilvl="4" w:tplc="856CE860">
      <w:numFmt w:val="decimal"/>
      <w:lvlText w:val=""/>
      <w:lvlJc w:val="left"/>
    </w:lvl>
    <w:lvl w:ilvl="5" w:tplc="2B723C08">
      <w:numFmt w:val="decimal"/>
      <w:lvlText w:val=""/>
      <w:lvlJc w:val="left"/>
    </w:lvl>
    <w:lvl w:ilvl="6" w:tplc="759A0E24">
      <w:numFmt w:val="decimal"/>
      <w:lvlText w:val=""/>
      <w:lvlJc w:val="left"/>
    </w:lvl>
    <w:lvl w:ilvl="7" w:tplc="F9FE3832">
      <w:numFmt w:val="decimal"/>
      <w:lvlText w:val=""/>
      <w:lvlJc w:val="left"/>
    </w:lvl>
    <w:lvl w:ilvl="8" w:tplc="3E6878DA">
      <w:numFmt w:val="decimal"/>
      <w:lvlText w:val=""/>
      <w:lvlJc w:val="left"/>
    </w:lvl>
  </w:abstractNum>
  <w:abstractNum w:abstractNumId="57" w15:restartNumberingAfterBreak="0">
    <w:nsid w:val="1803D089"/>
    <w:multiLevelType w:val="hybridMultilevel"/>
    <w:tmpl w:val="8B0603AA"/>
    <w:lvl w:ilvl="0" w:tplc="F5463E42">
      <w:start w:val="1"/>
      <w:numFmt w:val="decimal"/>
      <w:lvlText w:val="%1"/>
      <w:lvlJc w:val="left"/>
    </w:lvl>
    <w:lvl w:ilvl="1" w:tplc="B35C88BE">
      <w:start w:val="1"/>
      <w:numFmt w:val="lowerLetter"/>
      <w:lvlText w:val="(%2)"/>
      <w:lvlJc w:val="left"/>
    </w:lvl>
    <w:lvl w:ilvl="2" w:tplc="716C9DCC">
      <w:numFmt w:val="decimal"/>
      <w:lvlText w:val=""/>
      <w:lvlJc w:val="left"/>
    </w:lvl>
    <w:lvl w:ilvl="3" w:tplc="4A841D34">
      <w:numFmt w:val="decimal"/>
      <w:lvlText w:val=""/>
      <w:lvlJc w:val="left"/>
    </w:lvl>
    <w:lvl w:ilvl="4" w:tplc="AD201A90">
      <w:numFmt w:val="decimal"/>
      <w:lvlText w:val=""/>
      <w:lvlJc w:val="left"/>
    </w:lvl>
    <w:lvl w:ilvl="5" w:tplc="7F9AC2DC">
      <w:numFmt w:val="decimal"/>
      <w:lvlText w:val=""/>
      <w:lvlJc w:val="left"/>
    </w:lvl>
    <w:lvl w:ilvl="6" w:tplc="115435F2">
      <w:numFmt w:val="decimal"/>
      <w:lvlText w:val=""/>
      <w:lvlJc w:val="left"/>
    </w:lvl>
    <w:lvl w:ilvl="7" w:tplc="E6584A8C">
      <w:numFmt w:val="decimal"/>
      <w:lvlText w:val=""/>
      <w:lvlJc w:val="left"/>
    </w:lvl>
    <w:lvl w:ilvl="8" w:tplc="63508178">
      <w:numFmt w:val="decimal"/>
      <w:lvlText w:val=""/>
      <w:lvlJc w:val="left"/>
    </w:lvl>
  </w:abstractNum>
  <w:abstractNum w:abstractNumId="58" w15:restartNumberingAfterBreak="0">
    <w:nsid w:val="186928D6"/>
    <w:multiLevelType w:val="hybridMultilevel"/>
    <w:tmpl w:val="1A9E646C"/>
    <w:lvl w:ilvl="0" w:tplc="F806AB4E">
      <w:start w:val="1"/>
      <w:numFmt w:val="decimal"/>
      <w:lvlText w:val="(%1)"/>
      <w:lvlJc w:val="left"/>
    </w:lvl>
    <w:lvl w:ilvl="1" w:tplc="5F7ED824">
      <w:numFmt w:val="decimal"/>
      <w:lvlText w:val=""/>
      <w:lvlJc w:val="left"/>
    </w:lvl>
    <w:lvl w:ilvl="2" w:tplc="5B08A746">
      <w:numFmt w:val="decimal"/>
      <w:lvlText w:val=""/>
      <w:lvlJc w:val="left"/>
    </w:lvl>
    <w:lvl w:ilvl="3" w:tplc="D70A2772">
      <w:numFmt w:val="decimal"/>
      <w:lvlText w:val=""/>
      <w:lvlJc w:val="left"/>
    </w:lvl>
    <w:lvl w:ilvl="4" w:tplc="8E40D6F8">
      <w:numFmt w:val="decimal"/>
      <w:lvlText w:val=""/>
      <w:lvlJc w:val="left"/>
    </w:lvl>
    <w:lvl w:ilvl="5" w:tplc="7958A29E">
      <w:numFmt w:val="decimal"/>
      <w:lvlText w:val=""/>
      <w:lvlJc w:val="left"/>
    </w:lvl>
    <w:lvl w:ilvl="6" w:tplc="227A0C4C">
      <w:numFmt w:val="decimal"/>
      <w:lvlText w:val=""/>
      <w:lvlJc w:val="left"/>
    </w:lvl>
    <w:lvl w:ilvl="7" w:tplc="2250C6BE">
      <w:numFmt w:val="decimal"/>
      <w:lvlText w:val=""/>
      <w:lvlJc w:val="left"/>
    </w:lvl>
    <w:lvl w:ilvl="8" w:tplc="E8B403AA">
      <w:numFmt w:val="decimal"/>
      <w:lvlText w:val=""/>
      <w:lvlJc w:val="left"/>
    </w:lvl>
  </w:abstractNum>
  <w:abstractNum w:abstractNumId="59" w15:restartNumberingAfterBreak="0">
    <w:nsid w:val="1873983A"/>
    <w:multiLevelType w:val="hybridMultilevel"/>
    <w:tmpl w:val="2AD0CEF8"/>
    <w:lvl w:ilvl="0" w:tplc="A88E004C">
      <w:start w:val="1"/>
      <w:numFmt w:val="lowerRoman"/>
      <w:lvlText w:val="(%1)"/>
      <w:lvlJc w:val="left"/>
    </w:lvl>
    <w:lvl w:ilvl="1" w:tplc="A22AB3BE">
      <w:numFmt w:val="decimal"/>
      <w:lvlText w:val=""/>
      <w:lvlJc w:val="left"/>
    </w:lvl>
    <w:lvl w:ilvl="2" w:tplc="13ECAAB4">
      <w:numFmt w:val="decimal"/>
      <w:lvlText w:val=""/>
      <w:lvlJc w:val="left"/>
    </w:lvl>
    <w:lvl w:ilvl="3" w:tplc="46BE4528">
      <w:numFmt w:val="decimal"/>
      <w:lvlText w:val=""/>
      <w:lvlJc w:val="left"/>
    </w:lvl>
    <w:lvl w:ilvl="4" w:tplc="5AD63DCC">
      <w:numFmt w:val="decimal"/>
      <w:lvlText w:val=""/>
      <w:lvlJc w:val="left"/>
    </w:lvl>
    <w:lvl w:ilvl="5" w:tplc="463494DC">
      <w:numFmt w:val="decimal"/>
      <w:lvlText w:val=""/>
      <w:lvlJc w:val="left"/>
    </w:lvl>
    <w:lvl w:ilvl="6" w:tplc="2E166712">
      <w:numFmt w:val="decimal"/>
      <w:lvlText w:val=""/>
      <w:lvlJc w:val="left"/>
    </w:lvl>
    <w:lvl w:ilvl="7" w:tplc="9EBE893C">
      <w:numFmt w:val="decimal"/>
      <w:lvlText w:val=""/>
      <w:lvlJc w:val="left"/>
    </w:lvl>
    <w:lvl w:ilvl="8" w:tplc="2974A5C2">
      <w:numFmt w:val="decimal"/>
      <w:lvlText w:val=""/>
      <w:lvlJc w:val="left"/>
    </w:lvl>
  </w:abstractNum>
  <w:abstractNum w:abstractNumId="60" w15:restartNumberingAfterBreak="0">
    <w:nsid w:val="1876589D"/>
    <w:multiLevelType w:val="hybridMultilevel"/>
    <w:tmpl w:val="7BA4BD2A"/>
    <w:lvl w:ilvl="0" w:tplc="963C0724">
      <w:start w:val="2"/>
      <w:numFmt w:val="lowerLetter"/>
      <w:lvlText w:val="(%1)"/>
      <w:lvlJc w:val="left"/>
    </w:lvl>
    <w:lvl w:ilvl="1" w:tplc="61C8A078">
      <w:start w:val="1"/>
      <w:numFmt w:val="lowerLetter"/>
      <w:lvlText w:val="%2"/>
      <w:lvlJc w:val="left"/>
    </w:lvl>
    <w:lvl w:ilvl="2" w:tplc="AC826922">
      <w:numFmt w:val="decimal"/>
      <w:lvlText w:val=""/>
      <w:lvlJc w:val="left"/>
    </w:lvl>
    <w:lvl w:ilvl="3" w:tplc="93E645AA">
      <w:numFmt w:val="decimal"/>
      <w:lvlText w:val=""/>
      <w:lvlJc w:val="left"/>
    </w:lvl>
    <w:lvl w:ilvl="4" w:tplc="D9EEF916">
      <w:numFmt w:val="decimal"/>
      <w:lvlText w:val=""/>
      <w:lvlJc w:val="left"/>
    </w:lvl>
    <w:lvl w:ilvl="5" w:tplc="43CC6132">
      <w:numFmt w:val="decimal"/>
      <w:lvlText w:val=""/>
      <w:lvlJc w:val="left"/>
    </w:lvl>
    <w:lvl w:ilvl="6" w:tplc="1BFAAD72">
      <w:numFmt w:val="decimal"/>
      <w:lvlText w:val=""/>
      <w:lvlJc w:val="left"/>
    </w:lvl>
    <w:lvl w:ilvl="7" w:tplc="664A8518">
      <w:numFmt w:val="decimal"/>
      <w:lvlText w:val=""/>
      <w:lvlJc w:val="left"/>
    </w:lvl>
    <w:lvl w:ilvl="8" w:tplc="509CD8AC">
      <w:numFmt w:val="decimal"/>
      <w:lvlText w:val=""/>
      <w:lvlJc w:val="left"/>
    </w:lvl>
  </w:abstractNum>
  <w:abstractNum w:abstractNumId="61" w15:restartNumberingAfterBreak="0">
    <w:nsid w:val="1958BD17"/>
    <w:multiLevelType w:val="hybridMultilevel"/>
    <w:tmpl w:val="1CE87440"/>
    <w:lvl w:ilvl="0" w:tplc="4BF0A93E">
      <w:start w:val="1"/>
      <w:numFmt w:val="lowerLetter"/>
      <w:lvlText w:val="(%1)"/>
      <w:lvlJc w:val="left"/>
    </w:lvl>
    <w:lvl w:ilvl="1" w:tplc="41C2FE7E">
      <w:start w:val="1"/>
      <w:numFmt w:val="lowerRoman"/>
      <w:lvlText w:val="(%2)"/>
      <w:lvlJc w:val="left"/>
    </w:lvl>
    <w:lvl w:ilvl="2" w:tplc="ABB4BAE2">
      <w:numFmt w:val="decimal"/>
      <w:lvlText w:val=""/>
      <w:lvlJc w:val="left"/>
    </w:lvl>
    <w:lvl w:ilvl="3" w:tplc="010C8E46">
      <w:numFmt w:val="decimal"/>
      <w:lvlText w:val=""/>
      <w:lvlJc w:val="left"/>
    </w:lvl>
    <w:lvl w:ilvl="4" w:tplc="87C2B73C">
      <w:numFmt w:val="decimal"/>
      <w:lvlText w:val=""/>
      <w:lvlJc w:val="left"/>
    </w:lvl>
    <w:lvl w:ilvl="5" w:tplc="E78455D4">
      <w:numFmt w:val="decimal"/>
      <w:lvlText w:val=""/>
      <w:lvlJc w:val="left"/>
    </w:lvl>
    <w:lvl w:ilvl="6" w:tplc="1F765CF4">
      <w:numFmt w:val="decimal"/>
      <w:lvlText w:val=""/>
      <w:lvlJc w:val="left"/>
    </w:lvl>
    <w:lvl w:ilvl="7" w:tplc="7348F430">
      <w:numFmt w:val="decimal"/>
      <w:lvlText w:val=""/>
      <w:lvlJc w:val="left"/>
    </w:lvl>
    <w:lvl w:ilvl="8" w:tplc="774E63C2">
      <w:numFmt w:val="decimal"/>
      <w:lvlText w:val=""/>
      <w:lvlJc w:val="left"/>
    </w:lvl>
  </w:abstractNum>
  <w:abstractNum w:abstractNumId="62" w15:restartNumberingAfterBreak="0">
    <w:nsid w:val="1978EBEB"/>
    <w:multiLevelType w:val="hybridMultilevel"/>
    <w:tmpl w:val="23340C06"/>
    <w:lvl w:ilvl="0" w:tplc="81B0DA42">
      <w:start w:val="1"/>
      <w:numFmt w:val="decimal"/>
      <w:lvlText w:val="(%1)"/>
      <w:lvlJc w:val="left"/>
    </w:lvl>
    <w:lvl w:ilvl="1" w:tplc="C4522B66">
      <w:numFmt w:val="decimal"/>
      <w:lvlText w:val=""/>
      <w:lvlJc w:val="left"/>
    </w:lvl>
    <w:lvl w:ilvl="2" w:tplc="31CE118A">
      <w:numFmt w:val="decimal"/>
      <w:lvlText w:val=""/>
      <w:lvlJc w:val="left"/>
    </w:lvl>
    <w:lvl w:ilvl="3" w:tplc="27647A30">
      <w:numFmt w:val="decimal"/>
      <w:lvlText w:val=""/>
      <w:lvlJc w:val="left"/>
    </w:lvl>
    <w:lvl w:ilvl="4" w:tplc="2656FC90">
      <w:numFmt w:val="decimal"/>
      <w:lvlText w:val=""/>
      <w:lvlJc w:val="left"/>
    </w:lvl>
    <w:lvl w:ilvl="5" w:tplc="A6F0DB08">
      <w:numFmt w:val="decimal"/>
      <w:lvlText w:val=""/>
      <w:lvlJc w:val="left"/>
    </w:lvl>
    <w:lvl w:ilvl="6" w:tplc="6B1A4382">
      <w:numFmt w:val="decimal"/>
      <w:lvlText w:val=""/>
      <w:lvlJc w:val="left"/>
    </w:lvl>
    <w:lvl w:ilvl="7" w:tplc="6700E720">
      <w:numFmt w:val="decimal"/>
      <w:lvlText w:val=""/>
      <w:lvlJc w:val="left"/>
    </w:lvl>
    <w:lvl w:ilvl="8" w:tplc="63BCACFC">
      <w:numFmt w:val="decimal"/>
      <w:lvlText w:val=""/>
      <w:lvlJc w:val="left"/>
    </w:lvl>
  </w:abstractNum>
  <w:abstractNum w:abstractNumId="63" w15:restartNumberingAfterBreak="0">
    <w:nsid w:val="19A52566"/>
    <w:multiLevelType w:val="hybridMultilevel"/>
    <w:tmpl w:val="F580C84A"/>
    <w:lvl w:ilvl="0" w:tplc="5E9290C8">
      <w:start w:val="2"/>
      <w:numFmt w:val="lowerLetter"/>
      <w:lvlText w:val="(%1)"/>
      <w:lvlJc w:val="left"/>
    </w:lvl>
    <w:lvl w:ilvl="1" w:tplc="EA80F150">
      <w:numFmt w:val="decimal"/>
      <w:lvlText w:val=""/>
      <w:lvlJc w:val="left"/>
    </w:lvl>
    <w:lvl w:ilvl="2" w:tplc="3662BFA8">
      <w:numFmt w:val="decimal"/>
      <w:lvlText w:val=""/>
      <w:lvlJc w:val="left"/>
    </w:lvl>
    <w:lvl w:ilvl="3" w:tplc="3976ABA4">
      <w:numFmt w:val="decimal"/>
      <w:lvlText w:val=""/>
      <w:lvlJc w:val="left"/>
    </w:lvl>
    <w:lvl w:ilvl="4" w:tplc="448AC5E0">
      <w:numFmt w:val="decimal"/>
      <w:lvlText w:val=""/>
      <w:lvlJc w:val="left"/>
    </w:lvl>
    <w:lvl w:ilvl="5" w:tplc="B528568C">
      <w:numFmt w:val="decimal"/>
      <w:lvlText w:val=""/>
      <w:lvlJc w:val="left"/>
    </w:lvl>
    <w:lvl w:ilvl="6" w:tplc="9B163C5C">
      <w:numFmt w:val="decimal"/>
      <w:lvlText w:val=""/>
      <w:lvlJc w:val="left"/>
    </w:lvl>
    <w:lvl w:ilvl="7" w:tplc="240059F8">
      <w:numFmt w:val="decimal"/>
      <w:lvlText w:val=""/>
      <w:lvlJc w:val="left"/>
    </w:lvl>
    <w:lvl w:ilvl="8" w:tplc="DA50DAA2">
      <w:numFmt w:val="decimal"/>
      <w:lvlText w:val=""/>
      <w:lvlJc w:val="left"/>
    </w:lvl>
  </w:abstractNum>
  <w:abstractNum w:abstractNumId="64" w15:restartNumberingAfterBreak="0">
    <w:nsid w:val="19B8A08E"/>
    <w:multiLevelType w:val="hybridMultilevel"/>
    <w:tmpl w:val="2690D7BA"/>
    <w:lvl w:ilvl="0" w:tplc="B63A49A2">
      <w:start w:val="1"/>
      <w:numFmt w:val="bullet"/>
      <w:lvlText w:val="•"/>
      <w:lvlJc w:val="left"/>
    </w:lvl>
    <w:lvl w:ilvl="1" w:tplc="2CC00B46">
      <w:numFmt w:val="decimal"/>
      <w:lvlText w:val=""/>
      <w:lvlJc w:val="left"/>
    </w:lvl>
    <w:lvl w:ilvl="2" w:tplc="C96E2BEC">
      <w:numFmt w:val="decimal"/>
      <w:lvlText w:val=""/>
      <w:lvlJc w:val="left"/>
    </w:lvl>
    <w:lvl w:ilvl="3" w:tplc="7D00C5F4">
      <w:numFmt w:val="decimal"/>
      <w:lvlText w:val=""/>
      <w:lvlJc w:val="left"/>
    </w:lvl>
    <w:lvl w:ilvl="4" w:tplc="CA106A92">
      <w:numFmt w:val="decimal"/>
      <w:lvlText w:val=""/>
      <w:lvlJc w:val="left"/>
    </w:lvl>
    <w:lvl w:ilvl="5" w:tplc="EA009066">
      <w:numFmt w:val="decimal"/>
      <w:lvlText w:val=""/>
      <w:lvlJc w:val="left"/>
    </w:lvl>
    <w:lvl w:ilvl="6" w:tplc="04DCC500">
      <w:numFmt w:val="decimal"/>
      <w:lvlText w:val=""/>
      <w:lvlJc w:val="left"/>
    </w:lvl>
    <w:lvl w:ilvl="7" w:tplc="1A4665A6">
      <w:numFmt w:val="decimal"/>
      <w:lvlText w:val=""/>
      <w:lvlJc w:val="left"/>
    </w:lvl>
    <w:lvl w:ilvl="8" w:tplc="05DE8288">
      <w:numFmt w:val="decimal"/>
      <w:lvlText w:val=""/>
      <w:lvlJc w:val="left"/>
    </w:lvl>
  </w:abstractNum>
  <w:abstractNum w:abstractNumId="65" w15:restartNumberingAfterBreak="0">
    <w:nsid w:val="19FB2650"/>
    <w:multiLevelType w:val="hybridMultilevel"/>
    <w:tmpl w:val="33FC995E"/>
    <w:lvl w:ilvl="0" w:tplc="4574CA92">
      <w:start w:val="1"/>
      <w:numFmt w:val="bullet"/>
      <w:lvlText w:val="•"/>
      <w:lvlJc w:val="left"/>
    </w:lvl>
    <w:lvl w:ilvl="1" w:tplc="EBFCE35E">
      <w:numFmt w:val="decimal"/>
      <w:lvlText w:val=""/>
      <w:lvlJc w:val="left"/>
    </w:lvl>
    <w:lvl w:ilvl="2" w:tplc="2BAAA486">
      <w:numFmt w:val="decimal"/>
      <w:lvlText w:val=""/>
      <w:lvlJc w:val="left"/>
    </w:lvl>
    <w:lvl w:ilvl="3" w:tplc="3F56418C">
      <w:numFmt w:val="decimal"/>
      <w:lvlText w:val=""/>
      <w:lvlJc w:val="left"/>
    </w:lvl>
    <w:lvl w:ilvl="4" w:tplc="22BA9CE4">
      <w:numFmt w:val="decimal"/>
      <w:lvlText w:val=""/>
      <w:lvlJc w:val="left"/>
    </w:lvl>
    <w:lvl w:ilvl="5" w:tplc="539E2DEC">
      <w:numFmt w:val="decimal"/>
      <w:lvlText w:val=""/>
      <w:lvlJc w:val="left"/>
    </w:lvl>
    <w:lvl w:ilvl="6" w:tplc="43EE96C0">
      <w:numFmt w:val="decimal"/>
      <w:lvlText w:val=""/>
      <w:lvlJc w:val="left"/>
    </w:lvl>
    <w:lvl w:ilvl="7" w:tplc="C2C817A2">
      <w:numFmt w:val="decimal"/>
      <w:lvlText w:val=""/>
      <w:lvlJc w:val="left"/>
    </w:lvl>
    <w:lvl w:ilvl="8" w:tplc="0440447C">
      <w:numFmt w:val="decimal"/>
      <w:lvlText w:val=""/>
      <w:lvlJc w:val="left"/>
    </w:lvl>
  </w:abstractNum>
  <w:abstractNum w:abstractNumId="66" w15:restartNumberingAfterBreak="0">
    <w:nsid w:val="1A9A9E69"/>
    <w:multiLevelType w:val="hybridMultilevel"/>
    <w:tmpl w:val="70167760"/>
    <w:lvl w:ilvl="0" w:tplc="12BC187A">
      <w:start w:val="1"/>
      <w:numFmt w:val="lowerLetter"/>
      <w:lvlText w:val="(%1)"/>
      <w:lvlJc w:val="left"/>
    </w:lvl>
    <w:lvl w:ilvl="1" w:tplc="75C6CC4A">
      <w:numFmt w:val="decimal"/>
      <w:lvlText w:val=""/>
      <w:lvlJc w:val="left"/>
    </w:lvl>
    <w:lvl w:ilvl="2" w:tplc="B788866A">
      <w:numFmt w:val="decimal"/>
      <w:lvlText w:val=""/>
      <w:lvlJc w:val="left"/>
    </w:lvl>
    <w:lvl w:ilvl="3" w:tplc="37A65A8C">
      <w:numFmt w:val="decimal"/>
      <w:lvlText w:val=""/>
      <w:lvlJc w:val="left"/>
    </w:lvl>
    <w:lvl w:ilvl="4" w:tplc="2940ECEA">
      <w:numFmt w:val="decimal"/>
      <w:lvlText w:val=""/>
      <w:lvlJc w:val="left"/>
    </w:lvl>
    <w:lvl w:ilvl="5" w:tplc="80F6DDF0">
      <w:numFmt w:val="decimal"/>
      <w:lvlText w:val=""/>
      <w:lvlJc w:val="left"/>
    </w:lvl>
    <w:lvl w:ilvl="6" w:tplc="FCD88BDC">
      <w:numFmt w:val="decimal"/>
      <w:lvlText w:val=""/>
      <w:lvlJc w:val="left"/>
    </w:lvl>
    <w:lvl w:ilvl="7" w:tplc="FA50676A">
      <w:numFmt w:val="decimal"/>
      <w:lvlText w:val=""/>
      <w:lvlJc w:val="left"/>
    </w:lvl>
    <w:lvl w:ilvl="8" w:tplc="DA5ED7FA">
      <w:numFmt w:val="decimal"/>
      <w:lvlText w:val=""/>
      <w:lvlJc w:val="left"/>
    </w:lvl>
  </w:abstractNum>
  <w:abstractNum w:abstractNumId="67" w15:restartNumberingAfterBreak="0">
    <w:nsid w:val="1AF7F0EA"/>
    <w:multiLevelType w:val="hybridMultilevel"/>
    <w:tmpl w:val="95928166"/>
    <w:lvl w:ilvl="0" w:tplc="A8AA0352">
      <w:start w:val="1"/>
      <w:numFmt w:val="bullet"/>
      <w:lvlText w:val="•"/>
      <w:lvlJc w:val="left"/>
    </w:lvl>
    <w:lvl w:ilvl="1" w:tplc="C64E5396">
      <w:numFmt w:val="decimal"/>
      <w:lvlText w:val=""/>
      <w:lvlJc w:val="left"/>
    </w:lvl>
    <w:lvl w:ilvl="2" w:tplc="15E2FCBE">
      <w:numFmt w:val="decimal"/>
      <w:lvlText w:val=""/>
      <w:lvlJc w:val="left"/>
    </w:lvl>
    <w:lvl w:ilvl="3" w:tplc="A5F8CF66">
      <w:numFmt w:val="decimal"/>
      <w:lvlText w:val=""/>
      <w:lvlJc w:val="left"/>
    </w:lvl>
    <w:lvl w:ilvl="4" w:tplc="2A008690">
      <w:numFmt w:val="decimal"/>
      <w:lvlText w:val=""/>
      <w:lvlJc w:val="left"/>
    </w:lvl>
    <w:lvl w:ilvl="5" w:tplc="D032BCC4">
      <w:numFmt w:val="decimal"/>
      <w:lvlText w:val=""/>
      <w:lvlJc w:val="left"/>
    </w:lvl>
    <w:lvl w:ilvl="6" w:tplc="2D8A6ECC">
      <w:numFmt w:val="decimal"/>
      <w:lvlText w:val=""/>
      <w:lvlJc w:val="left"/>
    </w:lvl>
    <w:lvl w:ilvl="7" w:tplc="2696BC02">
      <w:numFmt w:val="decimal"/>
      <w:lvlText w:val=""/>
      <w:lvlJc w:val="left"/>
    </w:lvl>
    <w:lvl w:ilvl="8" w:tplc="0CE27D10">
      <w:numFmt w:val="decimal"/>
      <w:lvlText w:val=""/>
      <w:lvlJc w:val="left"/>
    </w:lvl>
  </w:abstractNum>
  <w:abstractNum w:abstractNumId="68" w15:restartNumberingAfterBreak="0">
    <w:nsid w:val="1AFE3625"/>
    <w:multiLevelType w:val="hybridMultilevel"/>
    <w:tmpl w:val="95427A18"/>
    <w:lvl w:ilvl="0" w:tplc="5A1C4610">
      <w:start w:val="2"/>
      <w:numFmt w:val="lowerLetter"/>
      <w:lvlText w:val="(%1)"/>
      <w:lvlJc w:val="left"/>
    </w:lvl>
    <w:lvl w:ilvl="1" w:tplc="627248AC">
      <w:numFmt w:val="decimal"/>
      <w:lvlText w:val=""/>
      <w:lvlJc w:val="left"/>
    </w:lvl>
    <w:lvl w:ilvl="2" w:tplc="4386FE8C">
      <w:numFmt w:val="decimal"/>
      <w:lvlText w:val=""/>
      <w:lvlJc w:val="left"/>
    </w:lvl>
    <w:lvl w:ilvl="3" w:tplc="DD56BFA8">
      <w:numFmt w:val="decimal"/>
      <w:lvlText w:val=""/>
      <w:lvlJc w:val="left"/>
    </w:lvl>
    <w:lvl w:ilvl="4" w:tplc="3EAEFE5A">
      <w:numFmt w:val="decimal"/>
      <w:lvlText w:val=""/>
      <w:lvlJc w:val="left"/>
    </w:lvl>
    <w:lvl w:ilvl="5" w:tplc="8E26D6EA">
      <w:numFmt w:val="decimal"/>
      <w:lvlText w:val=""/>
      <w:lvlJc w:val="left"/>
    </w:lvl>
    <w:lvl w:ilvl="6" w:tplc="52781728">
      <w:numFmt w:val="decimal"/>
      <w:lvlText w:val=""/>
      <w:lvlJc w:val="left"/>
    </w:lvl>
    <w:lvl w:ilvl="7" w:tplc="BAEED3A0">
      <w:numFmt w:val="decimal"/>
      <w:lvlText w:val=""/>
      <w:lvlJc w:val="left"/>
    </w:lvl>
    <w:lvl w:ilvl="8" w:tplc="2AB81BBC">
      <w:numFmt w:val="decimal"/>
      <w:lvlText w:val=""/>
      <w:lvlJc w:val="left"/>
    </w:lvl>
  </w:abstractNum>
  <w:abstractNum w:abstractNumId="69" w15:restartNumberingAfterBreak="0">
    <w:nsid w:val="1C0CA67C"/>
    <w:multiLevelType w:val="hybridMultilevel"/>
    <w:tmpl w:val="62BAF962"/>
    <w:lvl w:ilvl="0" w:tplc="C290C1E2">
      <w:start w:val="1"/>
      <w:numFmt w:val="bullet"/>
      <w:lvlText w:val="•"/>
      <w:lvlJc w:val="left"/>
    </w:lvl>
    <w:lvl w:ilvl="1" w:tplc="B07622DC">
      <w:numFmt w:val="decimal"/>
      <w:lvlText w:val=""/>
      <w:lvlJc w:val="left"/>
    </w:lvl>
    <w:lvl w:ilvl="2" w:tplc="AE382352">
      <w:numFmt w:val="decimal"/>
      <w:lvlText w:val=""/>
      <w:lvlJc w:val="left"/>
    </w:lvl>
    <w:lvl w:ilvl="3" w:tplc="5BE6F034">
      <w:numFmt w:val="decimal"/>
      <w:lvlText w:val=""/>
      <w:lvlJc w:val="left"/>
    </w:lvl>
    <w:lvl w:ilvl="4" w:tplc="93D4C3B8">
      <w:numFmt w:val="decimal"/>
      <w:lvlText w:val=""/>
      <w:lvlJc w:val="left"/>
    </w:lvl>
    <w:lvl w:ilvl="5" w:tplc="112E7DFA">
      <w:numFmt w:val="decimal"/>
      <w:lvlText w:val=""/>
      <w:lvlJc w:val="left"/>
    </w:lvl>
    <w:lvl w:ilvl="6" w:tplc="5E486C08">
      <w:numFmt w:val="decimal"/>
      <w:lvlText w:val=""/>
      <w:lvlJc w:val="left"/>
    </w:lvl>
    <w:lvl w:ilvl="7" w:tplc="DE82C6F4">
      <w:numFmt w:val="decimal"/>
      <w:lvlText w:val=""/>
      <w:lvlJc w:val="left"/>
    </w:lvl>
    <w:lvl w:ilvl="8" w:tplc="203C1AC8">
      <w:numFmt w:val="decimal"/>
      <w:lvlText w:val=""/>
      <w:lvlJc w:val="left"/>
    </w:lvl>
  </w:abstractNum>
  <w:abstractNum w:abstractNumId="70" w15:restartNumberingAfterBreak="0">
    <w:nsid w:val="1C2201FF"/>
    <w:multiLevelType w:val="hybridMultilevel"/>
    <w:tmpl w:val="DB525BD2"/>
    <w:lvl w:ilvl="0" w:tplc="E1FC2CBC">
      <w:start w:val="1"/>
      <w:numFmt w:val="upperLetter"/>
      <w:lvlText w:val="%1:"/>
      <w:lvlJc w:val="left"/>
    </w:lvl>
    <w:lvl w:ilvl="1" w:tplc="A302F556">
      <w:numFmt w:val="decimal"/>
      <w:lvlText w:val=""/>
      <w:lvlJc w:val="left"/>
    </w:lvl>
    <w:lvl w:ilvl="2" w:tplc="93CEA9E6">
      <w:numFmt w:val="decimal"/>
      <w:lvlText w:val=""/>
      <w:lvlJc w:val="left"/>
    </w:lvl>
    <w:lvl w:ilvl="3" w:tplc="74DA3520">
      <w:numFmt w:val="decimal"/>
      <w:lvlText w:val=""/>
      <w:lvlJc w:val="left"/>
    </w:lvl>
    <w:lvl w:ilvl="4" w:tplc="5FA2201E">
      <w:numFmt w:val="decimal"/>
      <w:lvlText w:val=""/>
      <w:lvlJc w:val="left"/>
    </w:lvl>
    <w:lvl w:ilvl="5" w:tplc="6E70375E">
      <w:numFmt w:val="decimal"/>
      <w:lvlText w:val=""/>
      <w:lvlJc w:val="left"/>
    </w:lvl>
    <w:lvl w:ilvl="6" w:tplc="7910E23E">
      <w:numFmt w:val="decimal"/>
      <w:lvlText w:val=""/>
      <w:lvlJc w:val="left"/>
    </w:lvl>
    <w:lvl w:ilvl="7" w:tplc="E46E0024">
      <w:numFmt w:val="decimal"/>
      <w:lvlText w:val=""/>
      <w:lvlJc w:val="left"/>
    </w:lvl>
    <w:lvl w:ilvl="8" w:tplc="AF6C3240">
      <w:numFmt w:val="decimal"/>
      <w:lvlText w:val=""/>
      <w:lvlJc w:val="left"/>
    </w:lvl>
  </w:abstractNum>
  <w:abstractNum w:abstractNumId="71" w15:restartNumberingAfterBreak="0">
    <w:nsid w:val="1C4A08EC"/>
    <w:multiLevelType w:val="hybridMultilevel"/>
    <w:tmpl w:val="544C3CE0"/>
    <w:lvl w:ilvl="0" w:tplc="C946FE20">
      <w:start w:val="2"/>
      <w:numFmt w:val="lowerLetter"/>
      <w:lvlText w:val="(%1)"/>
      <w:lvlJc w:val="left"/>
    </w:lvl>
    <w:lvl w:ilvl="1" w:tplc="DEBC6C18">
      <w:numFmt w:val="decimal"/>
      <w:lvlText w:val=""/>
      <w:lvlJc w:val="left"/>
    </w:lvl>
    <w:lvl w:ilvl="2" w:tplc="2FC61050">
      <w:numFmt w:val="decimal"/>
      <w:lvlText w:val=""/>
      <w:lvlJc w:val="left"/>
    </w:lvl>
    <w:lvl w:ilvl="3" w:tplc="2CB0C238">
      <w:numFmt w:val="decimal"/>
      <w:lvlText w:val=""/>
      <w:lvlJc w:val="left"/>
    </w:lvl>
    <w:lvl w:ilvl="4" w:tplc="69E4EDB0">
      <w:numFmt w:val="decimal"/>
      <w:lvlText w:val=""/>
      <w:lvlJc w:val="left"/>
    </w:lvl>
    <w:lvl w:ilvl="5" w:tplc="00F882CA">
      <w:numFmt w:val="decimal"/>
      <w:lvlText w:val=""/>
      <w:lvlJc w:val="left"/>
    </w:lvl>
    <w:lvl w:ilvl="6" w:tplc="07BAB81A">
      <w:numFmt w:val="decimal"/>
      <w:lvlText w:val=""/>
      <w:lvlJc w:val="left"/>
    </w:lvl>
    <w:lvl w:ilvl="7" w:tplc="63006462">
      <w:numFmt w:val="decimal"/>
      <w:lvlText w:val=""/>
      <w:lvlJc w:val="left"/>
    </w:lvl>
    <w:lvl w:ilvl="8" w:tplc="9EF804DE">
      <w:numFmt w:val="decimal"/>
      <w:lvlText w:val=""/>
      <w:lvlJc w:val="left"/>
    </w:lvl>
  </w:abstractNum>
  <w:abstractNum w:abstractNumId="72" w15:restartNumberingAfterBreak="0">
    <w:nsid w:val="1C7E3C01"/>
    <w:multiLevelType w:val="hybridMultilevel"/>
    <w:tmpl w:val="63123A06"/>
    <w:lvl w:ilvl="0" w:tplc="8B002732">
      <w:start w:val="1"/>
      <w:numFmt w:val="upperLetter"/>
      <w:lvlText w:val="%1:"/>
      <w:lvlJc w:val="left"/>
    </w:lvl>
    <w:lvl w:ilvl="1" w:tplc="0A223A52">
      <w:numFmt w:val="decimal"/>
      <w:lvlText w:val=""/>
      <w:lvlJc w:val="left"/>
    </w:lvl>
    <w:lvl w:ilvl="2" w:tplc="CE7AC4BE">
      <w:numFmt w:val="decimal"/>
      <w:lvlText w:val=""/>
      <w:lvlJc w:val="left"/>
    </w:lvl>
    <w:lvl w:ilvl="3" w:tplc="38DA504A">
      <w:numFmt w:val="decimal"/>
      <w:lvlText w:val=""/>
      <w:lvlJc w:val="left"/>
    </w:lvl>
    <w:lvl w:ilvl="4" w:tplc="8CDA04C8">
      <w:numFmt w:val="decimal"/>
      <w:lvlText w:val=""/>
      <w:lvlJc w:val="left"/>
    </w:lvl>
    <w:lvl w:ilvl="5" w:tplc="C5C4AA1C">
      <w:numFmt w:val="decimal"/>
      <w:lvlText w:val=""/>
      <w:lvlJc w:val="left"/>
    </w:lvl>
    <w:lvl w:ilvl="6" w:tplc="6A8CD888">
      <w:numFmt w:val="decimal"/>
      <w:lvlText w:val=""/>
      <w:lvlJc w:val="left"/>
    </w:lvl>
    <w:lvl w:ilvl="7" w:tplc="9614E528">
      <w:numFmt w:val="decimal"/>
      <w:lvlText w:val=""/>
      <w:lvlJc w:val="left"/>
    </w:lvl>
    <w:lvl w:ilvl="8" w:tplc="E9DC627E">
      <w:numFmt w:val="decimal"/>
      <w:lvlText w:val=""/>
      <w:lvlJc w:val="left"/>
    </w:lvl>
  </w:abstractNum>
  <w:abstractNum w:abstractNumId="73" w15:restartNumberingAfterBreak="0">
    <w:nsid w:val="1CDCE2DE"/>
    <w:multiLevelType w:val="hybridMultilevel"/>
    <w:tmpl w:val="2600129A"/>
    <w:lvl w:ilvl="0" w:tplc="DC1CA95C">
      <w:start w:val="2"/>
      <w:numFmt w:val="lowerLetter"/>
      <w:lvlText w:val="(%1)"/>
      <w:lvlJc w:val="left"/>
    </w:lvl>
    <w:lvl w:ilvl="1" w:tplc="9BE083FE">
      <w:numFmt w:val="decimal"/>
      <w:lvlText w:val=""/>
      <w:lvlJc w:val="left"/>
    </w:lvl>
    <w:lvl w:ilvl="2" w:tplc="4E5457E6">
      <w:numFmt w:val="decimal"/>
      <w:lvlText w:val=""/>
      <w:lvlJc w:val="left"/>
    </w:lvl>
    <w:lvl w:ilvl="3" w:tplc="803056D0">
      <w:numFmt w:val="decimal"/>
      <w:lvlText w:val=""/>
      <w:lvlJc w:val="left"/>
    </w:lvl>
    <w:lvl w:ilvl="4" w:tplc="FE662578">
      <w:numFmt w:val="decimal"/>
      <w:lvlText w:val=""/>
      <w:lvlJc w:val="left"/>
    </w:lvl>
    <w:lvl w:ilvl="5" w:tplc="B7F23D18">
      <w:numFmt w:val="decimal"/>
      <w:lvlText w:val=""/>
      <w:lvlJc w:val="left"/>
    </w:lvl>
    <w:lvl w:ilvl="6" w:tplc="0D9ED352">
      <w:numFmt w:val="decimal"/>
      <w:lvlText w:val=""/>
      <w:lvlJc w:val="left"/>
    </w:lvl>
    <w:lvl w:ilvl="7" w:tplc="A1D60AE2">
      <w:numFmt w:val="decimal"/>
      <w:lvlText w:val=""/>
      <w:lvlJc w:val="left"/>
    </w:lvl>
    <w:lvl w:ilvl="8" w:tplc="E050F27A">
      <w:numFmt w:val="decimal"/>
      <w:lvlText w:val=""/>
      <w:lvlJc w:val="left"/>
    </w:lvl>
  </w:abstractNum>
  <w:abstractNum w:abstractNumId="74" w15:restartNumberingAfterBreak="0">
    <w:nsid w:val="1D206B8E"/>
    <w:multiLevelType w:val="hybridMultilevel"/>
    <w:tmpl w:val="7B665C68"/>
    <w:lvl w:ilvl="0" w:tplc="997CC1F4">
      <w:start w:val="1"/>
      <w:numFmt w:val="bullet"/>
      <w:lvlText w:val="•"/>
      <w:lvlJc w:val="left"/>
    </w:lvl>
    <w:lvl w:ilvl="1" w:tplc="2AF2F784">
      <w:numFmt w:val="decimal"/>
      <w:lvlText w:val=""/>
      <w:lvlJc w:val="left"/>
    </w:lvl>
    <w:lvl w:ilvl="2" w:tplc="39C8201C">
      <w:numFmt w:val="decimal"/>
      <w:lvlText w:val=""/>
      <w:lvlJc w:val="left"/>
    </w:lvl>
    <w:lvl w:ilvl="3" w:tplc="4DBA472E">
      <w:numFmt w:val="decimal"/>
      <w:lvlText w:val=""/>
      <w:lvlJc w:val="left"/>
    </w:lvl>
    <w:lvl w:ilvl="4" w:tplc="286C2620">
      <w:numFmt w:val="decimal"/>
      <w:lvlText w:val=""/>
      <w:lvlJc w:val="left"/>
    </w:lvl>
    <w:lvl w:ilvl="5" w:tplc="12CC6C9C">
      <w:numFmt w:val="decimal"/>
      <w:lvlText w:val=""/>
      <w:lvlJc w:val="left"/>
    </w:lvl>
    <w:lvl w:ilvl="6" w:tplc="F724E86E">
      <w:numFmt w:val="decimal"/>
      <w:lvlText w:val=""/>
      <w:lvlJc w:val="left"/>
    </w:lvl>
    <w:lvl w:ilvl="7" w:tplc="7BAE4A02">
      <w:numFmt w:val="decimal"/>
      <w:lvlText w:val=""/>
      <w:lvlJc w:val="left"/>
    </w:lvl>
    <w:lvl w:ilvl="8" w:tplc="C78E47F2">
      <w:numFmt w:val="decimal"/>
      <w:lvlText w:val=""/>
      <w:lvlJc w:val="left"/>
    </w:lvl>
  </w:abstractNum>
  <w:abstractNum w:abstractNumId="75" w15:restartNumberingAfterBreak="0">
    <w:nsid w:val="1D91467C"/>
    <w:multiLevelType w:val="hybridMultilevel"/>
    <w:tmpl w:val="E8B63FB2"/>
    <w:lvl w:ilvl="0" w:tplc="FF341462">
      <w:start w:val="1"/>
      <w:numFmt w:val="lowerLetter"/>
      <w:lvlText w:val="(%1)"/>
      <w:lvlJc w:val="left"/>
    </w:lvl>
    <w:lvl w:ilvl="1" w:tplc="5532E8FC">
      <w:numFmt w:val="decimal"/>
      <w:lvlText w:val=""/>
      <w:lvlJc w:val="left"/>
    </w:lvl>
    <w:lvl w:ilvl="2" w:tplc="BD6EB628">
      <w:numFmt w:val="decimal"/>
      <w:lvlText w:val=""/>
      <w:lvlJc w:val="left"/>
    </w:lvl>
    <w:lvl w:ilvl="3" w:tplc="AA66A396">
      <w:numFmt w:val="decimal"/>
      <w:lvlText w:val=""/>
      <w:lvlJc w:val="left"/>
    </w:lvl>
    <w:lvl w:ilvl="4" w:tplc="2FE00E04">
      <w:numFmt w:val="decimal"/>
      <w:lvlText w:val=""/>
      <w:lvlJc w:val="left"/>
    </w:lvl>
    <w:lvl w:ilvl="5" w:tplc="18F0FD84">
      <w:numFmt w:val="decimal"/>
      <w:lvlText w:val=""/>
      <w:lvlJc w:val="left"/>
    </w:lvl>
    <w:lvl w:ilvl="6" w:tplc="39443E7A">
      <w:numFmt w:val="decimal"/>
      <w:lvlText w:val=""/>
      <w:lvlJc w:val="left"/>
    </w:lvl>
    <w:lvl w:ilvl="7" w:tplc="428A17A2">
      <w:numFmt w:val="decimal"/>
      <w:lvlText w:val=""/>
      <w:lvlJc w:val="left"/>
    </w:lvl>
    <w:lvl w:ilvl="8" w:tplc="291A58C0">
      <w:numFmt w:val="decimal"/>
      <w:lvlText w:val=""/>
      <w:lvlJc w:val="left"/>
    </w:lvl>
  </w:abstractNum>
  <w:abstractNum w:abstractNumId="76" w15:restartNumberingAfterBreak="0">
    <w:nsid w:val="1DD6D6F4"/>
    <w:multiLevelType w:val="hybridMultilevel"/>
    <w:tmpl w:val="ED9C350E"/>
    <w:lvl w:ilvl="0" w:tplc="DF044E0A">
      <w:start w:val="1"/>
      <w:numFmt w:val="lowerLetter"/>
      <w:lvlText w:val="%1"/>
      <w:lvlJc w:val="left"/>
    </w:lvl>
    <w:lvl w:ilvl="1" w:tplc="6EDEA498">
      <w:start w:val="35"/>
      <w:numFmt w:val="lowerLetter"/>
      <w:lvlText w:val="(%2)"/>
      <w:lvlJc w:val="left"/>
    </w:lvl>
    <w:lvl w:ilvl="2" w:tplc="CE123E78">
      <w:numFmt w:val="decimal"/>
      <w:lvlText w:val=""/>
      <w:lvlJc w:val="left"/>
    </w:lvl>
    <w:lvl w:ilvl="3" w:tplc="E960BB64">
      <w:numFmt w:val="decimal"/>
      <w:lvlText w:val=""/>
      <w:lvlJc w:val="left"/>
    </w:lvl>
    <w:lvl w:ilvl="4" w:tplc="7C844666">
      <w:numFmt w:val="decimal"/>
      <w:lvlText w:val=""/>
      <w:lvlJc w:val="left"/>
    </w:lvl>
    <w:lvl w:ilvl="5" w:tplc="0A00FE8A">
      <w:numFmt w:val="decimal"/>
      <w:lvlText w:val=""/>
      <w:lvlJc w:val="left"/>
    </w:lvl>
    <w:lvl w:ilvl="6" w:tplc="A6C66C94">
      <w:numFmt w:val="decimal"/>
      <w:lvlText w:val=""/>
      <w:lvlJc w:val="left"/>
    </w:lvl>
    <w:lvl w:ilvl="7" w:tplc="F8D49188">
      <w:numFmt w:val="decimal"/>
      <w:lvlText w:val=""/>
      <w:lvlJc w:val="left"/>
    </w:lvl>
    <w:lvl w:ilvl="8" w:tplc="901AAB66">
      <w:numFmt w:val="decimal"/>
      <w:lvlText w:val=""/>
      <w:lvlJc w:val="left"/>
    </w:lvl>
  </w:abstractNum>
  <w:abstractNum w:abstractNumId="77" w15:restartNumberingAfterBreak="0">
    <w:nsid w:val="1DE8725A"/>
    <w:multiLevelType w:val="hybridMultilevel"/>
    <w:tmpl w:val="B6880C60"/>
    <w:lvl w:ilvl="0" w:tplc="2A4CEAC6">
      <w:start w:val="6"/>
      <w:numFmt w:val="lowerLetter"/>
      <w:lvlText w:val="(%1)"/>
      <w:lvlJc w:val="left"/>
    </w:lvl>
    <w:lvl w:ilvl="1" w:tplc="5F3AB6B0">
      <w:numFmt w:val="decimal"/>
      <w:lvlText w:val=""/>
      <w:lvlJc w:val="left"/>
    </w:lvl>
    <w:lvl w:ilvl="2" w:tplc="344823EA">
      <w:numFmt w:val="decimal"/>
      <w:lvlText w:val=""/>
      <w:lvlJc w:val="left"/>
    </w:lvl>
    <w:lvl w:ilvl="3" w:tplc="51F0C5CC">
      <w:numFmt w:val="decimal"/>
      <w:lvlText w:val=""/>
      <w:lvlJc w:val="left"/>
    </w:lvl>
    <w:lvl w:ilvl="4" w:tplc="D25CD51C">
      <w:numFmt w:val="decimal"/>
      <w:lvlText w:val=""/>
      <w:lvlJc w:val="left"/>
    </w:lvl>
    <w:lvl w:ilvl="5" w:tplc="1CC617B6">
      <w:numFmt w:val="decimal"/>
      <w:lvlText w:val=""/>
      <w:lvlJc w:val="left"/>
    </w:lvl>
    <w:lvl w:ilvl="6" w:tplc="F0B261E6">
      <w:numFmt w:val="decimal"/>
      <w:lvlText w:val=""/>
      <w:lvlJc w:val="left"/>
    </w:lvl>
    <w:lvl w:ilvl="7" w:tplc="1004BF7A">
      <w:numFmt w:val="decimal"/>
      <w:lvlText w:val=""/>
      <w:lvlJc w:val="left"/>
    </w:lvl>
    <w:lvl w:ilvl="8" w:tplc="29286310">
      <w:numFmt w:val="decimal"/>
      <w:lvlText w:val=""/>
      <w:lvlJc w:val="left"/>
    </w:lvl>
  </w:abstractNum>
  <w:abstractNum w:abstractNumId="78" w15:restartNumberingAfterBreak="0">
    <w:nsid w:val="1F0E5D0D"/>
    <w:multiLevelType w:val="hybridMultilevel"/>
    <w:tmpl w:val="E224043A"/>
    <w:lvl w:ilvl="0" w:tplc="5D8E7B88">
      <w:start w:val="1"/>
      <w:numFmt w:val="decimal"/>
      <w:lvlText w:val="(%1)"/>
      <w:lvlJc w:val="left"/>
    </w:lvl>
    <w:lvl w:ilvl="1" w:tplc="A60EDA40">
      <w:numFmt w:val="decimal"/>
      <w:lvlText w:val=""/>
      <w:lvlJc w:val="left"/>
    </w:lvl>
    <w:lvl w:ilvl="2" w:tplc="47944A62">
      <w:numFmt w:val="decimal"/>
      <w:lvlText w:val=""/>
      <w:lvlJc w:val="left"/>
    </w:lvl>
    <w:lvl w:ilvl="3" w:tplc="F14A37B6">
      <w:numFmt w:val="decimal"/>
      <w:lvlText w:val=""/>
      <w:lvlJc w:val="left"/>
    </w:lvl>
    <w:lvl w:ilvl="4" w:tplc="CFEC1B5E">
      <w:numFmt w:val="decimal"/>
      <w:lvlText w:val=""/>
      <w:lvlJc w:val="left"/>
    </w:lvl>
    <w:lvl w:ilvl="5" w:tplc="42680624">
      <w:numFmt w:val="decimal"/>
      <w:lvlText w:val=""/>
      <w:lvlJc w:val="left"/>
    </w:lvl>
    <w:lvl w:ilvl="6" w:tplc="1444E35C">
      <w:numFmt w:val="decimal"/>
      <w:lvlText w:val=""/>
      <w:lvlJc w:val="left"/>
    </w:lvl>
    <w:lvl w:ilvl="7" w:tplc="C70A636A">
      <w:numFmt w:val="decimal"/>
      <w:lvlText w:val=""/>
      <w:lvlJc w:val="left"/>
    </w:lvl>
    <w:lvl w:ilvl="8" w:tplc="39E8DE84">
      <w:numFmt w:val="decimal"/>
      <w:lvlText w:val=""/>
      <w:lvlJc w:val="left"/>
    </w:lvl>
  </w:abstractNum>
  <w:abstractNum w:abstractNumId="79" w15:restartNumberingAfterBreak="0">
    <w:nsid w:val="1F3DA4D5"/>
    <w:multiLevelType w:val="hybridMultilevel"/>
    <w:tmpl w:val="E9EC7F0A"/>
    <w:lvl w:ilvl="0" w:tplc="21C2797A">
      <w:start w:val="3"/>
      <w:numFmt w:val="decimal"/>
      <w:lvlText w:val="(%1)"/>
      <w:lvlJc w:val="left"/>
    </w:lvl>
    <w:lvl w:ilvl="1" w:tplc="9EEC6ACA">
      <w:numFmt w:val="decimal"/>
      <w:lvlText w:val=""/>
      <w:lvlJc w:val="left"/>
    </w:lvl>
    <w:lvl w:ilvl="2" w:tplc="224E779C">
      <w:numFmt w:val="decimal"/>
      <w:lvlText w:val=""/>
      <w:lvlJc w:val="left"/>
    </w:lvl>
    <w:lvl w:ilvl="3" w:tplc="321CBFAA">
      <w:numFmt w:val="decimal"/>
      <w:lvlText w:val=""/>
      <w:lvlJc w:val="left"/>
    </w:lvl>
    <w:lvl w:ilvl="4" w:tplc="8D1A8AA4">
      <w:numFmt w:val="decimal"/>
      <w:lvlText w:val=""/>
      <w:lvlJc w:val="left"/>
    </w:lvl>
    <w:lvl w:ilvl="5" w:tplc="2502FFD6">
      <w:numFmt w:val="decimal"/>
      <w:lvlText w:val=""/>
      <w:lvlJc w:val="left"/>
    </w:lvl>
    <w:lvl w:ilvl="6" w:tplc="7040D430">
      <w:numFmt w:val="decimal"/>
      <w:lvlText w:val=""/>
      <w:lvlJc w:val="left"/>
    </w:lvl>
    <w:lvl w:ilvl="7" w:tplc="BD225E34">
      <w:numFmt w:val="decimal"/>
      <w:lvlText w:val=""/>
      <w:lvlJc w:val="left"/>
    </w:lvl>
    <w:lvl w:ilvl="8" w:tplc="576C4BBE">
      <w:numFmt w:val="decimal"/>
      <w:lvlText w:val=""/>
      <w:lvlJc w:val="left"/>
    </w:lvl>
  </w:abstractNum>
  <w:abstractNum w:abstractNumId="80" w15:restartNumberingAfterBreak="0">
    <w:nsid w:val="1F461B51"/>
    <w:multiLevelType w:val="hybridMultilevel"/>
    <w:tmpl w:val="057265D4"/>
    <w:lvl w:ilvl="0" w:tplc="E160B9AE">
      <w:start w:val="2"/>
      <w:numFmt w:val="lowerLetter"/>
      <w:lvlText w:val="(%1)"/>
      <w:lvlJc w:val="left"/>
    </w:lvl>
    <w:lvl w:ilvl="1" w:tplc="D2ACBE80">
      <w:numFmt w:val="decimal"/>
      <w:lvlText w:val=""/>
      <w:lvlJc w:val="left"/>
    </w:lvl>
    <w:lvl w:ilvl="2" w:tplc="C05AE660">
      <w:numFmt w:val="decimal"/>
      <w:lvlText w:val=""/>
      <w:lvlJc w:val="left"/>
    </w:lvl>
    <w:lvl w:ilvl="3" w:tplc="AC525150">
      <w:numFmt w:val="decimal"/>
      <w:lvlText w:val=""/>
      <w:lvlJc w:val="left"/>
    </w:lvl>
    <w:lvl w:ilvl="4" w:tplc="BF1C3570">
      <w:numFmt w:val="decimal"/>
      <w:lvlText w:val=""/>
      <w:lvlJc w:val="left"/>
    </w:lvl>
    <w:lvl w:ilvl="5" w:tplc="741E3018">
      <w:numFmt w:val="decimal"/>
      <w:lvlText w:val=""/>
      <w:lvlJc w:val="left"/>
    </w:lvl>
    <w:lvl w:ilvl="6" w:tplc="7D1C0FDC">
      <w:numFmt w:val="decimal"/>
      <w:lvlText w:val=""/>
      <w:lvlJc w:val="left"/>
    </w:lvl>
    <w:lvl w:ilvl="7" w:tplc="C504DBA6">
      <w:numFmt w:val="decimal"/>
      <w:lvlText w:val=""/>
      <w:lvlJc w:val="left"/>
    </w:lvl>
    <w:lvl w:ilvl="8" w:tplc="1CF423F2">
      <w:numFmt w:val="decimal"/>
      <w:lvlText w:val=""/>
      <w:lvlJc w:val="left"/>
    </w:lvl>
  </w:abstractNum>
  <w:abstractNum w:abstractNumId="81" w15:restartNumberingAfterBreak="0">
    <w:nsid w:val="1F9EC322"/>
    <w:multiLevelType w:val="hybridMultilevel"/>
    <w:tmpl w:val="6736F48E"/>
    <w:lvl w:ilvl="0" w:tplc="957061D4">
      <w:start w:val="1"/>
      <w:numFmt w:val="bullet"/>
      <w:lvlText w:val="•"/>
      <w:lvlJc w:val="left"/>
    </w:lvl>
    <w:lvl w:ilvl="1" w:tplc="6A6ACBEE">
      <w:numFmt w:val="decimal"/>
      <w:lvlText w:val=""/>
      <w:lvlJc w:val="left"/>
    </w:lvl>
    <w:lvl w:ilvl="2" w:tplc="F95A7ED4">
      <w:numFmt w:val="decimal"/>
      <w:lvlText w:val=""/>
      <w:lvlJc w:val="left"/>
    </w:lvl>
    <w:lvl w:ilvl="3" w:tplc="1A8E1712">
      <w:numFmt w:val="decimal"/>
      <w:lvlText w:val=""/>
      <w:lvlJc w:val="left"/>
    </w:lvl>
    <w:lvl w:ilvl="4" w:tplc="6C7E8018">
      <w:numFmt w:val="decimal"/>
      <w:lvlText w:val=""/>
      <w:lvlJc w:val="left"/>
    </w:lvl>
    <w:lvl w:ilvl="5" w:tplc="A62A1398">
      <w:numFmt w:val="decimal"/>
      <w:lvlText w:val=""/>
      <w:lvlJc w:val="left"/>
    </w:lvl>
    <w:lvl w:ilvl="6" w:tplc="2D380700">
      <w:numFmt w:val="decimal"/>
      <w:lvlText w:val=""/>
      <w:lvlJc w:val="left"/>
    </w:lvl>
    <w:lvl w:ilvl="7" w:tplc="CD6C2E74">
      <w:numFmt w:val="decimal"/>
      <w:lvlText w:val=""/>
      <w:lvlJc w:val="left"/>
    </w:lvl>
    <w:lvl w:ilvl="8" w:tplc="9480A174">
      <w:numFmt w:val="decimal"/>
      <w:lvlText w:val=""/>
      <w:lvlJc w:val="left"/>
    </w:lvl>
  </w:abstractNum>
  <w:abstractNum w:abstractNumId="82" w15:restartNumberingAfterBreak="0">
    <w:nsid w:val="20F4BDAD"/>
    <w:multiLevelType w:val="hybridMultilevel"/>
    <w:tmpl w:val="3622038A"/>
    <w:lvl w:ilvl="0" w:tplc="2A9AE0E6">
      <w:start w:val="3"/>
      <w:numFmt w:val="lowerLetter"/>
      <w:lvlText w:val="(%1)"/>
      <w:lvlJc w:val="left"/>
    </w:lvl>
    <w:lvl w:ilvl="1" w:tplc="59F2FB3A">
      <w:numFmt w:val="decimal"/>
      <w:lvlText w:val=""/>
      <w:lvlJc w:val="left"/>
    </w:lvl>
    <w:lvl w:ilvl="2" w:tplc="94AC0288">
      <w:numFmt w:val="decimal"/>
      <w:lvlText w:val=""/>
      <w:lvlJc w:val="left"/>
    </w:lvl>
    <w:lvl w:ilvl="3" w:tplc="9986223E">
      <w:numFmt w:val="decimal"/>
      <w:lvlText w:val=""/>
      <w:lvlJc w:val="left"/>
    </w:lvl>
    <w:lvl w:ilvl="4" w:tplc="025CDDB2">
      <w:numFmt w:val="decimal"/>
      <w:lvlText w:val=""/>
      <w:lvlJc w:val="left"/>
    </w:lvl>
    <w:lvl w:ilvl="5" w:tplc="A956E26E">
      <w:numFmt w:val="decimal"/>
      <w:lvlText w:val=""/>
      <w:lvlJc w:val="left"/>
    </w:lvl>
    <w:lvl w:ilvl="6" w:tplc="3DE84F8E">
      <w:numFmt w:val="decimal"/>
      <w:lvlText w:val=""/>
      <w:lvlJc w:val="left"/>
    </w:lvl>
    <w:lvl w:ilvl="7" w:tplc="93AEDEFC">
      <w:numFmt w:val="decimal"/>
      <w:lvlText w:val=""/>
      <w:lvlJc w:val="left"/>
    </w:lvl>
    <w:lvl w:ilvl="8" w:tplc="F4200E8E">
      <w:numFmt w:val="decimal"/>
      <w:lvlText w:val=""/>
      <w:lvlJc w:val="left"/>
    </w:lvl>
  </w:abstractNum>
  <w:abstractNum w:abstractNumId="83" w15:restartNumberingAfterBreak="0">
    <w:nsid w:val="20F88EA6"/>
    <w:multiLevelType w:val="hybridMultilevel"/>
    <w:tmpl w:val="4E185F86"/>
    <w:lvl w:ilvl="0" w:tplc="F76C7A44">
      <w:start w:val="1"/>
      <w:numFmt w:val="bullet"/>
      <w:lvlText w:val="•"/>
      <w:lvlJc w:val="left"/>
    </w:lvl>
    <w:lvl w:ilvl="1" w:tplc="F500B9A2">
      <w:numFmt w:val="decimal"/>
      <w:lvlText w:val=""/>
      <w:lvlJc w:val="left"/>
    </w:lvl>
    <w:lvl w:ilvl="2" w:tplc="1C041BFC">
      <w:numFmt w:val="decimal"/>
      <w:lvlText w:val=""/>
      <w:lvlJc w:val="left"/>
    </w:lvl>
    <w:lvl w:ilvl="3" w:tplc="03CAA990">
      <w:numFmt w:val="decimal"/>
      <w:lvlText w:val=""/>
      <w:lvlJc w:val="left"/>
    </w:lvl>
    <w:lvl w:ilvl="4" w:tplc="80AA5B94">
      <w:numFmt w:val="decimal"/>
      <w:lvlText w:val=""/>
      <w:lvlJc w:val="left"/>
    </w:lvl>
    <w:lvl w:ilvl="5" w:tplc="B5726836">
      <w:numFmt w:val="decimal"/>
      <w:lvlText w:val=""/>
      <w:lvlJc w:val="left"/>
    </w:lvl>
    <w:lvl w:ilvl="6" w:tplc="61E608BC">
      <w:numFmt w:val="decimal"/>
      <w:lvlText w:val=""/>
      <w:lvlJc w:val="left"/>
    </w:lvl>
    <w:lvl w:ilvl="7" w:tplc="8DF8F9EA">
      <w:numFmt w:val="decimal"/>
      <w:lvlText w:val=""/>
      <w:lvlJc w:val="left"/>
    </w:lvl>
    <w:lvl w:ilvl="8" w:tplc="168682D8">
      <w:numFmt w:val="decimal"/>
      <w:lvlText w:val=""/>
      <w:lvlJc w:val="left"/>
    </w:lvl>
  </w:abstractNum>
  <w:abstractNum w:abstractNumId="84" w15:restartNumberingAfterBreak="0">
    <w:nsid w:val="215641AF"/>
    <w:multiLevelType w:val="hybridMultilevel"/>
    <w:tmpl w:val="E38C2FF4"/>
    <w:lvl w:ilvl="0" w:tplc="F912B492">
      <w:start w:val="1"/>
      <w:numFmt w:val="lowerLetter"/>
      <w:lvlText w:val="(%1)"/>
      <w:lvlJc w:val="left"/>
    </w:lvl>
    <w:lvl w:ilvl="1" w:tplc="C16A82EA">
      <w:numFmt w:val="decimal"/>
      <w:lvlText w:val=""/>
      <w:lvlJc w:val="left"/>
    </w:lvl>
    <w:lvl w:ilvl="2" w:tplc="AAFC3442">
      <w:numFmt w:val="decimal"/>
      <w:lvlText w:val=""/>
      <w:lvlJc w:val="left"/>
    </w:lvl>
    <w:lvl w:ilvl="3" w:tplc="163A0DC0">
      <w:numFmt w:val="decimal"/>
      <w:lvlText w:val=""/>
      <w:lvlJc w:val="left"/>
    </w:lvl>
    <w:lvl w:ilvl="4" w:tplc="C03C7366">
      <w:numFmt w:val="decimal"/>
      <w:lvlText w:val=""/>
      <w:lvlJc w:val="left"/>
    </w:lvl>
    <w:lvl w:ilvl="5" w:tplc="A3B4BDEE">
      <w:numFmt w:val="decimal"/>
      <w:lvlText w:val=""/>
      <w:lvlJc w:val="left"/>
    </w:lvl>
    <w:lvl w:ilvl="6" w:tplc="029EAAEE">
      <w:numFmt w:val="decimal"/>
      <w:lvlText w:val=""/>
      <w:lvlJc w:val="left"/>
    </w:lvl>
    <w:lvl w:ilvl="7" w:tplc="DD1C3286">
      <w:numFmt w:val="decimal"/>
      <w:lvlText w:val=""/>
      <w:lvlJc w:val="left"/>
    </w:lvl>
    <w:lvl w:ilvl="8" w:tplc="A5F6824C">
      <w:numFmt w:val="decimal"/>
      <w:lvlText w:val=""/>
      <w:lvlJc w:val="left"/>
    </w:lvl>
  </w:abstractNum>
  <w:abstractNum w:abstractNumId="85" w15:restartNumberingAfterBreak="0">
    <w:nsid w:val="217B22E4"/>
    <w:multiLevelType w:val="hybridMultilevel"/>
    <w:tmpl w:val="11460CFC"/>
    <w:lvl w:ilvl="0" w:tplc="87DEEAFE">
      <w:start w:val="2"/>
      <w:numFmt w:val="lowerLetter"/>
      <w:lvlText w:val="(%1)"/>
      <w:lvlJc w:val="left"/>
    </w:lvl>
    <w:lvl w:ilvl="1" w:tplc="960A8F36">
      <w:numFmt w:val="decimal"/>
      <w:lvlText w:val=""/>
      <w:lvlJc w:val="left"/>
    </w:lvl>
    <w:lvl w:ilvl="2" w:tplc="6BC4BE5A">
      <w:numFmt w:val="decimal"/>
      <w:lvlText w:val=""/>
      <w:lvlJc w:val="left"/>
    </w:lvl>
    <w:lvl w:ilvl="3" w:tplc="1F6E472E">
      <w:numFmt w:val="decimal"/>
      <w:lvlText w:val=""/>
      <w:lvlJc w:val="left"/>
    </w:lvl>
    <w:lvl w:ilvl="4" w:tplc="1E96DB8C">
      <w:numFmt w:val="decimal"/>
      <w:lvlText w:val=""/>
      <w:lvlJc w:val="left"/>
    </w:lvl>
    <w:lvl w:ilvl="5" w:tplc="29BA3BCC">
      <w:numFmt w:val="decimal"/>
      <w:lvlText w:val=""/>
      <w:lvlJc w:val="left"/>
    </w:lvl>
    <w:lvl w:ilvl="6" w:tplc="5D6EBCBC">
      <w:numFmt w:val="decimal"/>
      <w:lvlText w:val=""/>
      <w:lvlJc w:val="left"/>
    </w:lvl>
    <w:lvl w:ilvl="7" w:tplc="09CC3A7C">
      <w:numFmt w:val="decimal"/>
      <w:lvlText w:val=""/>
      <w:lvlJc w:val="left"/>
    </w:lvl>
    <w:lvl w:ilvl="8" w:tplc="075A8C16">
      <w:numFmt w:val="decimal"/>
      <w:lvlText w:val=""/>
      <w:lvlJc w:val="left"/>
    </w:lvl>
  </w:abstractNum>
  <w:abstractNum w:abstractNumId="86" w15:restartNumberingAfterBreak="0">
    <w:nsid w:val="21A2ECCA"/>
    <w:multiLevelType w:val="hybridMultilevel"/>
    <w:tmpl w:val="C0B46378"/>
    <w:lvl w:ilvl="0" w:tplc="6A40A4B4">
      <w:start w:val="1"/>
      <w:numFmt w:val="upperLetter"/>
      <w:lvlText w:val="%1"/>
      <w:lvlJc w:val="left"/>
    </w:lvl>
    <w:lvl w:ilvl="1" w:tplc="2C4A8C9C">
      <w:start w:val="1"/>
      <w:numFmt w:val="lowerLetter"/>
      <w:lvlText w:val="(%2)"/>
      <w:lvlJc w:val="left"/>
    </w:lvl>
    <w:lvl w:ilvl="2" w:tplc="B33EC6B0">
      <w:numFmt w:val="decimal"/>
      <w:lvlText w:val=""/>
      <w:lvlJc w:val="left"/>
    </w:lvl>
    <w:lvl w:ilvl="3" w:tplc="E64A6490">
      <w:numFmt w:val="decimal"/>
      <w:lvlText w:val=""/>
      <w:lvlJc w:val="left"/>
    </w:lvl>
    <w:lvl w:ilvl="4" w:tplc="76B21EB2">
      <w:numFmt w:val="decimal"/>
      <w:lvlText w:val=""/>
      <w:lvlJc w:val="left"/>
    </w:lvl>
    <w:lvl w:ilvl="5" w:tplc="DC265342">
      <w:numFmt w:val="decimal"/>
      <w:lvlText w:val=""/>
      <w:lvlJc w:val="left"/>
    </w:lvl>
    <w:lvl w:ilvl="6" w:tplc="7EBA0DA4">
      <w:numFmt w:val="decimal"/>
      <w:lvlText w:val=""/>
      <w:lvlJc w:val="left"/>
    </w:lvl>
    <w:lvl w:ilvl="7" w:tplc="B5483E92">
      <w:numFmt w:val="decimal"/>
      <w:lvlText w:val=""/>
      <w:lvlJc w:val="left"/>
    </w:lvl>
    <w:lvl w:ilvl="8" w:tplc="B204F0B6">
      <w:numFmt w:val="decimal"/>
      <w:lvlText w:val=""/>
      <w:lvlJc w:val="left"/>
    </w:lvl>
  </w:abstractNum>
  <w:abstractNum w:abstractNumId="87" w15:restartNumberingAfterBreak="0">
    <w:nsid w:val="21FAA2FA"/>
    <w:multiLevelType w:val="hybridMultilevel"/>
    <w:tmpl w:val="8C701A52"/>
    <w:lvl w:ilvl="0" w:tplc="14B6D620">
      <w:start w:val="1"/>
      <w:numFmt w:val="lowerLetter"/>
      <w:lvlText w:val="(%1)"/>
      <w:lvlJc w:val="left"/>
    </w:lvl>
    <w:lvl w:ilvl="1" w:tplc="1E620882">
      <w:numFmt w:val="decimal"/>
      <w:lvlText w:val=""/>
      <w:lvlJc w:val="left"/>
    </w:lvl>
    <w:lvl w:ilvl="2" w:tplc="CFE4043A">
      <w:numFmt w:val="decimal"/>
      <w:lvlText w:val=""/>
      <w:lvlJc w:val="left"/>
    </w:lvl>
    <w:lvl w:ilvl="3" w:tplc="9D2C1DC6">
      <w:numFmt w:val="decimal"/>
      <w:lvlText w:val=""/>
      <w:lvlJc w:val="left"/>
    </w:lvl>
    <w:lvl w:ilvl="4" w:tplc="9FE8F3AA">
      <w:numFmt w:val="decimal"/>
      <w:lvlText w:val=""/>
      <w:lvlJc w:val="left"/>
    </w:lvl>
    <w:lvl w:ilvl="5" w:tplc="4BAA0AD6">
      <w:numFmt w:val="decimal"/>
      <w:lvlText w:val=""/>
      <w:lvlJc w:val="left"/>
    </w:lvl>
    <w:lvl w:ilvl="6" w:tplc="0136E7EE">
      <w:numFmt w:val="decimal"/>
      <w:lvlText w:val=""/>
      <w:lvlJc w:val="left"/>
    </w:lvl>
    <w:lvl w:ilvl="7" w:tplc="114A8344">
      <w:numFmt w:val="decimal"/>
      <w:lvlText w:val=""/>
      <w:lvlJc w:val="left"/>
    </w:lvl>
    <w:lvl w:ilvl="8" w:tplc="3C666F64">
      <w:numFmt w:val="decimal"/>
      <w:lvlText w:val=""/>
      <w:lvlJc w:val="left"/>
    </w:lvl>
  </w:abstractNum>
  <w:abstractNum w:abstractNumId="88" w15:restartNumberingAfterBreak="0">
    <w:nsid w:val="22F13DF3"/>
    <w:multiLevelType w:val="hybridMultilevel"/>
    <w:tmpl w:val="57246584"/>
    <w:lvl w:ilvl="0" w:tplc="EF588E4C">
      <w:start w:val="1"/>
      <w:numFmt w:val="bullet"/>
      <w:lvlText w:val="•"/>
      <w:lvlJc w:val="left"/>
    </w:lvl>
    <w:lvl w:ilvl="1" w:tplc="71507A0A">
      <w:numFmt w:val="decimal"/>
      <w:lvlText w:val=""/>
      <w:lvlJc w:val="left"/>
    </w:lvl>
    <w:lvl w:ilvl="2" w:tplc="5E487BFE">
      <w:numFmt w:val="decimal"/>
      <w:lvlText w:val=""/>
      <w:lvlJc w:val="left"/>
    </w:lvl>
    <w:lvl w:ilvl="3" w:tplc="37341D52">
      <w:numFmt w:val="decimal"/>
      <w:lvlText w:val=""/>
      <w:lvlJc w:val="left"/>
    </w:lvl>
    <w:lvl w:ilvl="4" w:tplc="129AF484">
      <w:numFmt w:val="decimal"/>
      <w:lvlText w:val=""/>
      <w:lvlJc w:val="left"/>
    </w:lvl>
    <w:lvl w:ilvl="5" w:tplc="2606FFF4">
      <w:numFmt w:val="decimal"/>
      <w:lvlText w:val=""/>
      <w:lvlJc w:val="left"/>
    </w:lvl>
    <w:lvl w:ilvl="6" w:tplc="E5743616">
      <w:numFmt w:val="decimal"/>
      <w:lvlText w:val=""/>
      <w:lvlJc w:val="left"/>
    </w:lvl>
    <w:lvl w:ilvl="7" w:tplc="78A01926">
      <w:numFmt w:val="decimal"/>
      <w:lvlText w:val=""/>
      <w:lvlJc w:val="left"/>
    </w:lvl>
    <w:lvl w:ilvl="8" w:tplc="14F67156">
      <w:numFmt w:val="decimal"/>
      <w:lvlText w:val=""/>
      <w:lvlJc w:val="left"/>
    </w:lvl>
  </w:abstractNum>
  <w:abstractNum w:abstractNumId="89" w15:restartNumberingAfterBreak="0">
    <w:nsid w:val="2421DFCF"/>
    <w:multiLevelType w:val="hybridMultilevel"/>
    <w:tmpl w:val="D50A6EF4"/>
    <w:lvl w:ilvl="0" w:tplc="1E144A18">
      <w:start w:val="1"/>
      <w:numFmt w:val="bullet"/>
      <w:lvlText w:val="•"/>
      <w:lvlJc w:val="left"/>
    </w:lvl>
    <w:lvl w:ilvl="1" w:tplc="E19CB0C4">
      <w:numFmt w:val="decimal"/>
      <w:lvlText w:val=""/>
      <w:lvlJc w:val="left"/>
    </w:lvl>
    <w:lvl w:ilvl="2" w:tplc="063220EC">
      <w:numFmt w:val="decimal"/>
      <w:lvlText w:val=""/>
      <w:lvlJc w:val="left"/>
    </w:lvl>
    <w:lvl w:ilvl="3" w:tplc="45AE9BD2">
      <w:numFmt w:val="decimal"/>
      <w:lvlText w:val=""/>
      <w:lvlJc w:val="left"/>
    </w:lvl>
    <w:lvl w:ilvl="4" w:tplc="6190253C">
      <w:numFmt w:val="decimal"/>
      <w:lvlText w:val=""/>
      <w:lvlJc w:val="left"/>
    </w:lvl>
    <w:lvl w:ilvl="5" w:tplc="C02264D6">
      <w:numFmt w:val="decimal"/>
      <w:lvlText w:val=""/>
      <w:lvlJc w:val="left"/>
    </w:lvl>
    <w:lvl w:ilvl="6" w:tplc="D3748E62">
      <w:numFmt w:val="decimal"/>
      <w:lvlText w:val=""/>
      <w:lvlJc w:val="left"/>
    </w:lvl>
    <w:lvl w:ilvl="7" w:tplc="BAD2BBEE">
      <w:numFmt w:val="decimal"/>
      <w:lvlText w:val=""/>
      <w:lvlJc w:val="left"/>
    </w:lvl>
    <w:lvl w:ilvl="8" w:tplc="140A1912">
      <w:numFmt w:val="decimal"/>
      <w:lvlText w:val=""/>
      <w:lvlJc w:val="left"/>
    </w:lvl>
  </w:abstractNum>
  <w:abstractNum w:abstractNumId="90" w15:restartNumberingAfterBreak="0">
    <w:nsid w:val="2539DFA5"/>
    <w:multiLevelType w:val="hybridMultilevel"/>
    <w:tmpl w:val="82EE54F8"/>
    <w:lvl w:ilvl="0" w:tplc="35EC0382">
      <w:start w:val="5"/>
      <w:numFmt w:val="lowerLetter"/>
      <w:lvlText w:val="(%1)"/>
      <w:lvlJc w:val="left"/>
    </w:lvl>
    <w:lvl w:ilvl="1" w:tplc="E8FE20AC">
      <w:numFmt w:val="decimal"/>
      <w:lvlText w:val=""/>
      <w:lvlJc w:val="left"/>
    </w:lvl>
    <w:lvl w:ilvl="2" w:tplc="AACE385A">
      <w:numFmt w:val="decimal"/>
      <w:lvlText w:val=""/>
      <w:lvlJc w:val="left"/>
    </w:lvl>
    <w:lvl w:ilvl="3" w:tplc="3998C574">
      <w:numFmt w:val="decimal"/>
      <w:lvlText w:val=""/>
      <w:lvlJc w:val="left"/>
    </w:lvl>
    <w:lvl w:ilvl="4" w:tplc="AD38EAD6">
      <w:numFmt w:val="decimal"/>
      <w:lvlText w:val=""/>
      <w:lvlJc w:val="left"/>
    </w:lvl>
    <w:lvl w:ilvl="5" w:tplc="CB58A4BC">
      <w:numFmt w:val="decimal"/>
      <w:lvlText w:val=""/>
      <w:lvlJc w:val="left"/>
    </w:lvl>
    <w:lvl w:ilvl="6" w:tplc="614054BE">
      <w:numFmt w:val="decimal"/>
      <w:lvlText w:val=""/>
      <w:lvlJc w:val="left"/>
    </w:lvl>
    <w:lvl w:ilvl="7" w:tplc="50009590">
      <w:numFmt w:val="decimal"/>
      <w:lvlText w:val=""/>
      <w:lvlJc w:val="left"/>
    </w:lvl>
    <w:lvl w:ilvl="8" w:tplc="454ABD50">
      <w:numFmt w:val="decimal"/>
      <w:lvlText w:val=""/>
      <w:lvlJc w:val="left"/>
    </w:lvl>
  </w:abstractNum>
  <w:abstractNum w:abstractNumId="91" w15:restartNumberingAfterBreak="0">
    <w:nsid w:val="257D63F4"/>
    <w:multiLevelType w:val="hybridMultilevel"/>
    <w:tmpl w:val="6234C106"/>
    <w:lvl w:ilvl="0" w:tplc="8756814C">
      <w:start w:val="1"/>
      <w:numFmt w:val="lowerLetter"/>
      <w:lvlText w:val="(%1)"/>
      <w:lvlJc w:val="left"/>
    </w:lvl>
    <w:lvl w:ilvl="1" w:tplc="D4E25992">
      <w:numFmt w:val="decimal"/>
      <w:lvlText w:val=""/>
      <w:lvlJc w:val="left"/>
    </w:lvl>
    <w:lvl w:ilvl="2" w:tplc="AEDEE722">
      <w:numFmt w:val="decimal"/>
      <w:lvlText w:val=""/>
      <w:lvlJc w:val="left"/>
    </w:lvl>
    <w:lvl w:ilvl="3" w:tplc="9C4A6AFC">
      <w:numFmt w:val="decimal"/>
      <w:lvlText w:val=""/>
      <w:lvlJc w:val="left"/>
    </w:lvl>
    <w:lvl w:ilvl="4" w:tplc="BD5CEE66">
      <w:numFmt w:val="decimal"/>
      <w:lvlText w:val=""/>
      <w:lvlJc w:val="left"/>
    </w:lvl>
    <w:lvl w:ilvl="5" w:tplc="80B8B5F8">
      <w:numFmt w:val="decimal"/>
      <w:lvlText w:val=""/>
      <w:lvlJc w:val="left"/>
    </w:lvl>
    <w:lvl w:ilvl="6" w:tplc="62C80BB6">
      <w:numFmt w:val="decimal"/>
      <w:lvlText w:val=""/>
      <w:lvlJc w:val="left"/>
    </w:lvl>
    <w:lvl w:ilvl="7" w:tplc="C8026C76">
      <w:numFmt w:val="decimal"/>
      <w:lvlText w:val=""/>
      <w:lvlJc w:val="left"/>
    </w:lvl>
    <w:lvl w:ilvl="8" w:tplc="56EE5CE0">
      <w:numFmt w:val="decimal"/>
      <w:lvlText w:val=""/>
      <w:lvlJc w:val="left"/>
    </w:lvl>
  </w:abstractNum>
  <w:abstractNum w:abstractNumId="92" w15:restartNumberingAfterBreak="0">
    <w:nsid w:val="2586D60E"/>
    <w:multiLevelType w:val="hybridMultilevel"/>
    <w:tmpl w:val="1760216C"/>
    <w:lvl w:ilvl="0" w:tplc="81A409F0">
      <w:start w:val="2"/>
      <w:numFmt w:val="lowerLetter"/>
      <w:lvlText w:val="(%1)"/>
      <w:lvlJc w:val="left"/>
    </w:lvl>
    <w:lvl w:ilvl="1" w:tplc="942CF81E">
      <w:numFmt w:val="decimal"/>
      <w:lvlText w:val=""/>
      <w:lvlJc w:val="left"/>
    </w:lvl>
    <w:lvl w:ilvl="2" w:tplc="43FA257E">
      <w:numFmt w:val="decimal"/>
      <w:lvlText w:val=""/>
      <w:lvlJc w:val="left"/>
    </w:lvl>
    <w:lvl w:ilvl="3" w:tplc="9FEEEFAE">
      <w:numFmt w:val="decimal"/>
      <w:lvlText w:val=""/>
      <w:lvlJc w:val="left"/>
    </w:lvl>
    <w:lvl w:ilvl="4" w:tplc="9814A38C">
      <w:numFmt w:val="decimal"/>
      <w:lvlText w:val=""/>
      <w:lvlJc w:val="left"/>
    </w:lvl>
    <w:lvl w:ilvl="5" w:tplc="B89A7064">
      <w:numFmt w:val="decimal"/>
      <w:lvlText w:val=""/>
      <w:lvlJc w:val="left"/>
    </w:lvl>
    <w:lvl w:ilvl="6" w:tplc="1C1A83B8">
      <w:numFmt w:val="decimal"/>
      <w:lvlText w:val=""/>
      <w:lvlJc w:val="left"/>
    </w:lvl>
    <w:lvl w:ilvl="7" w:tplc="C67E612A">
      <w:numFmt w:val="decimal"/>
      <w:lvlText w:val=""/>
      <w:lvlJc w:val="left"/>
    </w:lvl>
    <w:lvl w:ilvl="8" w:tplc="1FC4F83E">
      <w:numFmt w:val="decimal"/>
      <w:lvlText w:val=""/>
      <w:lvlJc w:val="left"/>
    </w:lvl>
  </w:abstractNum>
  <w:abstractNum w:abstractNumId="93" w15:restartNumberingAfterBreak="0">
    <w:nsid w:val="25973E32"/>
    <w:multiLevelType w:val="hybridMultilevel"/>
    <w:tmpl w:val="9E2A3CB2"/>
    <w:lvl w:ilvl="0" w:tplc="DB3E87B6">
      <w:start w:val="5"/>
      <w:numFmt w:val="lowerLetter"/>
      <w:lvlText w:val="(%1)"/>
      <w:lvlJc w:val="left"/>
    </w:lvl>
    <w:lvl w:ilvl="1" w:tplc="F612C108">
      <w:numFmt w:val="decimal"/>
      <w:lvlText w:val=""/>
      <w:lvlJc w:val="left"/>
    </w:lvl>
    <w:lvl w:ilvl="2" w:tplc="CFCEB230">
      <w:numFmt w:val="decimal"/>
      <w:lvlText w:val=""/>
      <w:lvlJc w:val="left"/>
    </w:lvl>
    <w:lvl w:ilvl="3" w:tplc="82602C36">
      <w:numFmt w:val="decimal"/>
      <w:lvlText w:val=""/>
      <w:lvlJc w:val="left"/>
    </w:lvl>
    <w:lvl w:ilvl="4" w:tplc="877AEB9C">
      <w:numFmt w:val="decimal"/>
      <w:lvlText w:val=""/>
      <w:lvlJc w:val="left"/>
    </w:lvl>
    <w:lvl w:ilvl="5" w:tplc="886057BA">
      <w:numFmt w:val="decimal"/>
      <w:lvlText w:val=""/>
      <w:lvlJc w:val="left"/>
    </w:lvl>
    <w:lvl w:ilvl="6" w:tplc="DF6CF6F4">
      <w:numFmt w:val="decimal"/>
      <w:lvlText w:val=""/>
      <w:lvlJc w:val="left"/>
    </w:lvl>
    <w:lvl w:ilvl="7" w:tplc="91F4A2AE">
      <w:numFmt w:val="decimal"/>
      <w:lvlText w:val=""/>
      <w:lvlJc w:val="left"/>
    </w:lvl>
    <w:lvl w:ilvl="8" w:tplc="65F4B7B4">
      <w:numFmt w:val="decimal"/>
      <w:lvlText w:val=""/>
      <w:lvlJc w:val="left"/>
    </w:lvl>
  </w:abstractNum>
  <w:abstractNum w:abstractNumId="94" w15:restartNumberingAfterBreak="0">
    <w:nsid w:val="26A02C5E"/>
    <w:multiLevelType w:val="hybridMultilevel"/>
    <w:tmpl w:val="D6087D16"/>
    <w:lvl w:ilvl="0" w:tplc="3572B6AA">
      <w:start w:val="6"/>
      <w:numFmt w:val="lowerRoman"/>
      <w:lvlText w:val="(%1)"/>
      <w:lvlJc w:val="left"/>
    </w:lvl>
    <w:lvl w:ilvl="1" w:tplc="10642884">
      <w:numFmt w:val="decimal"/>
      <w:lvlText w:val=""/>
      <w:lvlJc w:val="left"/>
    </w:lvl>
    <w:lvl w:ilvl="2" w:tplc="A7088886">
      <w:numFmt w:val="decimal"/>
      <w:lvlText w:val=""/>
      <w:lvlJc w:val="left"/>
    </w:lvl>
    <w:lvl w:ilvl="3" w:tplc="DE286242">
      <w:numFmt w:val="decimal"/>
      <w:lvlText w:val=""/>
      <w:lvlJc w:val="left"/>
    </w:lvl>
    <w:lvl w:ilvl="4" w:tplc="E1040ED6">
      <w:numFmt w:val="decimal"/>
      <w:lvlText w:val=""/>
      <w:lvlJc w:val="left"/>
    </w:lvl>
    <w:lvl w:ilvl="5" w:tplc="71900536">
      <w:numFmt w:val="decimal"/>
      <w:lvlText w:val=""/>
      <w:lvlJc w:val="left"/>
    </w:lvl>
    <w:lvl w:ilvl="6" w:tplc="2BCA736A">
      <w:numFmt w:val="decimal"/>
      <w:lvlText w:val=""/>
      <w:lvlJc w:val="left"/>
    </w:lvl>
    <w:lvl w:ilvl="7" w:tplc="1AD83F60">
      <w:numFmt w:val="decimal"/>
      <w:lvlText w:val=""/>
      <w:lvlJc w:val="left"/>
    </w:lvl>
    <w:lvl w:ilvl="8" w:tplc="C5E21760">
      <w:numFmt w:val="decimal"/>
      <w:lvlText w:val=""/>
      <w:lvlJc w:val="left"/>
    </w:lvl>
  </w:abstractNum>
  <w:abstractNum w:abstractNumId="95" w15:restartNumberingAfterBreak="0">
    <w:nsid w:val="26F2D364"/>
    <w:multiLevelType w:val="hybridMultilevel"/>
    <w:tmpl w:val="2804A318"/>
    <w:lvl w:ilvl="0" w:tplc="4C1AFB4A">
      <w:start w:val="2"/>
      <w:numFmt w:val="lowerLetter"/>
      <w:lvlText w:val="(%1)"/>
      <w:lvlJc w:val="left"/>
    </w:lvl>
    <w:lvl w:ilvl="1" w:tplc="D4F8EAE0">
      <w:numFmt w:val="decimal"/>
      <w:lvlText w:val=""/>
      <w:lvlJc w:val="left"/>
    </w:lvl>
    <w:lvl w:ilvl="2" w:tplc="32B0FE62">
      <w:numFmt w:val="decimal"/>
      <w:lvlText w:val=""/>
      <w:lvlJc w:val="left"/>
    </w:lvl>
    <w:lvl w:ilvl="3" w:tplc="BA283712">
      <w:numFmt w:val="decimal"/>
      <w:lvlText w:val=""/>
      <w:lvlJc w:val="left"/>
    </w:lvl>
    <w:lvl w:ilvl="4" w:tplc="03228296">
      <w:numFmt w:val="decimal"/>
      <w:lvlText w:val=""/>
      <w:lvlJc w:val="left"/>
    </w:lvl>
    <w:lvl w:ilvl="5" w:tplc="3E9EC854">
      <w:numFmt w:val="decimal"/>
      <w:lvlText w:val=""/>
      <w:lvlJc w:val="left"/>
    </w:lvl>
    <w:lvl w:ilvl="6" w:tplc="B380DA3A">
      <w:numFmt w:val="decimal"/>
      <w:lvlText w:val=""/>
      <w:lvlJc w:val="left"/>
    </w:lvl>
    <w:lvl w:ilvl="7" w:tplc="6CA2F3C2">
      <w:numFmt w:val="decimal"/>
      <w:lvlText w:val=""/>
      <w:lvlJc w:val="left"/>
    </w:lvl>
    <w:lvl w:ilvl="8" w:tplc="1478B392">
      <w:numFmt w:val="decimal"/>
      <w:lvlText w:val=""/>
      <w:lvlJc w:val="left"/>
    </w:lvl>
  </w:abstractNum>
  <w:abstractNum w:abstractNumId="96" w15:restartNumberingAfterBreak="0">
    <w:nsid w:val="271210C7"/>
    <w:multiLevelType w:val="hybridMultilevel"/>
    <w:tmpl w:val="58565824"/>
    <w:lvl w:ilvl="0" w:tplc="C3424C1E">
      <w:start w:val="1"/>
      <w:numFmt w:val="lowerLetter"/>
      <w:lvlText w:val="(%1)"/>
      <w:lvlJc w:val="left"/>
    </w:lvl>
    <w:lvl w:ilvl="1" w:tplc="7A66206A">
      <w:numFmt w:val="decimal"/>
      <w:lvlText w:val=""/>
      <w:lvlJc w:val="left"/>
    </w:lvl>
    <w:lvl w:ilvl="2" w:tplc="CE24C044">
      <w:numFmt w:val="decimal"/>
      <w:lvlText w:val=""/>
      <w:lvlJc w:val="left"/>
    </w:lvl>
    <w:lvl w:ilvl="3" w:tplc="85FA5206">
      <w:numFmt w:val="decimal"/>
      <w:lvlText w:val=""/>
      <w:lvlJc w:val="left"/>
    </w:lvl>
    <w:lvl w:ilvl="4" w:tplc="17D6DEF2">
      <w:numFmt w:val="decimal"/>
      <w:lvlText w:val=""/>
      <w:lvlJc w:val="left"/>
    </w:lvl>
    <w:lvl w:ilvl="5" w:tplc="6E74E5CC">
      <w:numFmt w:val="decimal"/>
      <w:lvlText w:val=""/>
      <w:lvlJc w:val="left"/>
    </w:lvl>
    <w:lvl w:ilvl="6" w:tplc="517A09F0">
      <w:numFmt w:val="decimal"/>
      <w:lvlText w:val=""/>
      <w:lvlJc w:val="left"/>
    </w:lvl>
    <w:lvl w:ilvl="7" w:tplc="85FEDEDC">
      <w:numFmt w:val="decimal"/>
      <w:lvlText w:val=""/>
      <w:lvlJc w:val="left"/>
    </w:lvl>
    <w:lvl w:ilvl="8" w:tplc="2DBE53E0">
      <w:numFmt w:val="decimal"/>
      <w:lvlText w:val=""/>
      <w:lvlJc w:val="left"/>
    </w:lvl>
  </w:abstractNum>
  <w:abstractNum w:abstractNumId="97" w15:restartNumberingAfterBreak="0">
    <w:nsid w:val="27179C0B"/>
    <w:multiLevelType w:val="hybridMultilevel"/>
    <w:tmpl w:val="3DC29896"/>
    <w:lvl w:ilvl="0" w:tplc="29F64502">
      <w:start w:val="1"/>
      <w:numFmt w:val="lowerLetter"/>
      <w:lvlText w:val="(%1)"/>
      <w:lvlJc w:val="left"/>
    </w:lvl>
    <w:lvl w:ilvl="1" w:tplc="D60C10CA">
      <w:start w:val="1"/>
      <w:numFmt w:val="lowerRoman"/>
      <w:lvlText w:val="(%2)"/>
      <w:lvlJc w:val="left"/>
    </w:lvl>
    <w:lvl w:ilvl="2" w:tplc="69C04716">
      <w:start w:val="1"/>
      <w:numFmt w:val="upperLetter"/>
      <w:lvlText w:val="(%3)"/>
      <w:lvlJc w:val="left"/>
    </w:lvl>
    <w:lvl w:ilvl="3" w:tplc="9990BF0A">
      <w:numFmt w:val="decimal"/>
      <w:lvlText w:val=""/>
      <w:lvlJc w:val="left"/>
    </w:lvl>
    <w:lvl w:ilvl="4" w:tplc="5F4680D0">
      <w:numFmt w:val="decimal"/>
      <w:lvlText w:val=""/>
      <w:lvlJc w:val="left"/>
    </w:lvl>
    <w:lvl w:ilvl="5" w:tplc="3C32B506">
      <w:numFmt w:val="decimal"/>
      <w:lvlText w:val=""/>
      <w:lvlJc w:val="left"/>
    </w:lvl>
    <w:lvl w:ilvl="6" w:tplc="576E8DC8">
      <w:numFmt w:val="decimal"/>
      <w:lvlText w:val=""/>
      <w:lvlJc w:val="left"/>
    </w:lvl>
    <w:lvl w:ilvl="7" w:tplc="B22E1E74">
      <w:numFmt w:val="decimal"/>
      <w:lvlText w:val=""/>
      <w:lvlJc w:val="left"/>
    </w:lvl>
    <w:lvl w:ilvl="8" w:tplc="92903146">
      <w:numFmt w:val="decimal"/>
      <w:lvlText w:val=""/>
      <w:lvlJc w:val="left"/>
    </w:lvl>
  </w:abstractNum>
  <w:abstractNum w:abstractNumId="98" w15:restartNumberingAfterBreak="0">
    <w:nsid w:val="2771AC80"/>
    <w:multiLevelType w:val="hybridMultilevel"/>
    <w:tmpl w:val="75CEE880"/>
    <w:lvl w:ilvl="0" w:tplc="2E6C67F8">
      <w:start w:val="2"/>
      <w:numFmt w:val="lowerLetter"/>
      <w:lvlText w:val="(%1)"/>
      <w:lvlJc w:val="left"/>
    </w:lvl>
    <w:lvl w:ilvl="1" w:tplc="06A8A352">
      <w:numFmt w:val="decimal"/>
      <w:lvlText w:val=""/>
      <w:lvlJc w:val="left"/>
    </w:lvl>
    <w:lvl w:ilvl="2" w:tplc="2C228C4C">
      <w:numFmt w:val="decimal"/>
      <w:lvlText w:val=""/>
      <w:lvlJc w:val="left"/>
    </w:lvl>
    <w:lvl w:ilvl="3" w:tplc="B5C0FEB8">
      <w:numFmt w:val="decimal"/>
      <w:lvlText w:val=""/>
      <w:lvlJc w:val="left"/>
    </w:lvl>
    <w:lvl w:ilvl="4" w:tplc="8D545480">
      <w:numFmt w:val="decimal"/>
      <w:lvlText w:val=""/>
      <w:lvlJc w:val="left"/>
    </w:lvl>
    <w:lvl w:ilvl="5" w:tplc="1B6A2870">
      <w:numFmt w:val="decimal"/>
      <w:lvlText w:val=""/>
      <w:lvlJc w:val="left"/>
    </w:lvl>
    <w:lvl w:ilvl="6" w:tplc="B91AD0CC">
      <w:numFmt w:val="decimal"/>
      <w:lvlText w:val=""/>
      <w:lvlJc w:val="left"/>
    </w:lvl>
    <w:lvl w:ilvl="7" w:tplc="C6E609A6">
      <w:numFmt w:val="decimal"/>
      <w:lvlText w:val=""/>
      <w:lvlJc w:val="left"/>
    </w:lvl>
    <w:lvl w:ilvl="8" w:tplc="63FC4778">
      <w:numFmt w:val="decimal"/>
      <w:lvlText w:val=""/>
      <w:lvlJc w:val="left"/>
    </w:lvl>
  </w:abstractNum>
  <w:abstractNum w:abstractNumId="99" w15:restartNumberingAfterBreak="0">
    <w:nsid w:val="27EDFE3A"/>
    <w:multiLevelType w:val="hybridMultilevel"/>
    <w:tmpl w:val="7C6A72F0"/>
    <w:lvl w:ilvl="0" w:tplc="FB00D1B4">
      <w:start w:val="1"/>
      <w:numFmt w:val="lowerLetter"/>
      <w:lvlText w:val="(%1)"/>
      <w:lvlJc w:val="left"/>
    </w:lvl>
    <w:lvl w:ilvl="1" w:tplc="7F9282EA">
      <w:numFmt w:val="decimal"/>
      <w:lvlText w:val=""/>
      <w:lvlJc w:val="left"/>
    </w:lvl>
    <w:lvl w:ilvl="2" w:tplc="ECBEEB40">
      <w:numFmt w:val="decimal"/>
      <w:lvlText w:val=""/>
      <w:lvlJc w:val="left"/>
    </w:lvl>
    <w:lvl w:ilvl="3" w:tplc="74B47CB0">
      <w:numFmt w:val="decimal"/>
      <w:lvlText w:val=""/>
      <w:lvlJc w:val="left"/>
    </w:lvl>
    <w:lvl w:ilvl="4" w:tplc="01743216">
      <w:numFmt w:val="decimal"/>
      <w:lvlText w:val=""/>
      <w:lvlJc w:val="left"/>
    </w:lvl>
    <w:lvl w:ilvl="5" w:tplc="E89081BA">
      <w:numFmt w:val="decimal"/>
      <w:lvlText w:val=""/>
      <w:lvlJc w:val="left"/>
    </w:lvl>
    <w:lvl w:ilvl="6" w:tplc="31F6086C">
      <w:numFmt w:val="decimal"/>
      <w:lvlText w:val=""/>
      <w:lvlJc w:val="left"/>
    </w:lvl>
    <w:lvl w:ilvl="7" w:tplc="6E040010">
      <w:numFmt w:val="decimal"/>
      <w:lvlText w:val=""/>
      <w:lvlJc w:val="left"/>
    </w:lvl>
    <w:lvl w:ilvl="8" w:tplc="ABE2B1C0">
      <w:numFmt w:val="decimal"/>
      <w:lvlText w:val=""/>
      <w:lvlJc w:val="left"/>
    </w:lvl>
  </w:abstractNum>
  <w:abstractNum w:abstractNumId="100" w15:restartNumberingAfterBreak="0">
    <w:nsid w:val="2817E7EC"/>
    <w:multiLevelType w:val="hybridMultilevel"/>
    <w:tmpl w:val="7988FD8C"/>
    <w:lvl w:ilvl="0" w:tplc="7D4EBECE">
      <w:start w:val="3"/>
      <w:numFmt w:val="lowerLetter"/>
      <w:lvlText w:val="(%1)"/>
      <w:lvlJc w:val="left"/>
    </w:lvl>
    <w:lvl w:ilvl="1" w:tplc="8C38C340">
      <w:numFmt w:val="decimal"/>
      <w:lvlText w:val=""/>
      <w:lvlJc w:val="left"/>
    </w:lvl>
    <w:lvl w:ilvl="2" w:tplc="1D687202">
      <w:numFmt w:val="decimal"/>
      <w:lvlText w:val=""/>
      <w:lvlJc w:val="left"/>
    </w:lvl>
    <w:lvl w:ilvl="3" w:tplc="3C3E8B36">
      <w:numFmt w:val="decimal"/>
      <w:lvlText w:val=""/>
      <w:lvlJc w:val="left"/>
    </w:lvl>
    <w:lvl w:ilvl="4" w:tplc="F9C83590">
      <w:numFmt w:val="decimal"/>
      <w:lvlText w:val=""/>
      <w:lvlJc w:val="left"/>
    </w:lvl>
    <w:lvl w:ilvl="5" w:tplc="3E92FA18">
      <w:numFmt w:val="decimal"/>
      <w:lvlText w:val=""/>
      <w:lvlJc w:val="left"/>
    </w:lvl>
    <w:lvl w:ilvl="6" w:tplc="FD36BE48">
      <w:numFmt w:val="decimal"/>
      <w:lvlText w:val=""/>
      <w:lvlJc w:val="left"/>
    </w:lvl>
    <w:lvl w:ilvl="7" w:tplc="61C65EFC">
      <w:numFmt w:val="decimal"/>
      <w:lvlText w:val=""/>
      <w:lvlJc w:val="left"/>
    </w:lvl>
    <w:lvl w:ilvl="8" w:tplc="753013F4">
      <w:numFmt w:val="decimal"/>
      <w:lvlText w:val=""/>
      <w:lvlJc w:val="left"/>
    </w:lvl>
  </w:abstractNum>
  <w:abstractNum w:abstractNumId="101" w15:restartNumberingAfterBreak="0">
    <w:nsid w:val="28677B7C"/>
    <w:multiLevelType w:val="hybridMultilevel"/>
    <w:tmpl w:val="75D02012"/>
    <w:lvl w:ilvl="0" w:tplc="DE52B4BE">
      <w:start w:val="2"/>
      <w:numFmt w:val="lowerLetter"/>
      <w:lvlText w:val="(%1)"/>
      <w:lvlJc w:val="left"/>
    </w:lvl>
    <w:lvl w:ilvl="1" w:tplc="88C6B4D4">
      <w:numFmt w:val="decimal"/>
      <w:lvlText w:val=""/>
      <w:lvlJc w:val="left"/>
    </w:lvl>
    <w:lvl w:ilvl="2" w:tplc="BAEEEABA">
      <w:numFmt w:val="decimal"/>
      <w:lvlText w:val=""/>
      <w:lvlJc w:val="left"/>
    </w:lvl>
    <w:lvl w:ilvl="3" w:tplc="8BB87576">
      <w:numFmt w:val="decimal"/>
      <w:lvlText w:val=""/>
      <w:lvlJc w:val="left"/>
    </w:lvl>
    <w:lvl w:ilvl="4" w:tplc="AB60106A">
      <w:numFmt w:val="decimal"/>
      <w:lvlText w:val=""/>
      <w:lvlJc w:val="left"/>
    </w:lvl>
    <w:lvl w:ilvl="5" w:tplc="FC3E7858">
      <w:numFmt w:val="decimal"/>
      <w:lvlText w:val=""/>
      <w:lvlJc w:val="left"/>
    </w:lvl>
    <w:lvl w:ilvl="6" w:tplc="423AF8AE">
      <w:numFmt w:val="decimal"/>
      <w:lvlText w:val=""/>
      <w:lvlJc w:val="left"/>
    </w:lvl>
    <w:lvl w:ilvl="7" w:tplc="C144E840">
      <w:numFmt w:val="decimal"/>
      <w:lvlText w:val=""/>
      <w:lvlJc w:val="left"/>
    </w:lvl>
    <w:lvl w:ilvl="8" w:tplc="6FCE8AF0">
      <w:numFmt w:val="decimal"/>
      <w:lvlText w:val=""/>
      <w:lvlJc w:val="left"/>
    </w:lvl>
  </w:abstractNum>
  <w:abstractNum w:abstractNumId="102" w15:restartNumberingAfterBreak="0">
    <w:nsid w:val="298A92BA"/>
    <w:multiLevelType w:val="hybridMultilevel"/>
    <w:tmpl w:val="762E33D8"/>
    <w:lvl w:ilvl="0" w:tplc="5030D254">
      <w:start w:val="1"/>
      <w:numFmt w:val="lowerLetter"/>
      <w:lvlText w:val="(%1)"/>
      <w:lvlJc w:val="left"/>
    </w:lvl>
    <w:lvl w:ilvl="1" w:tplc="891216DC">
      <w:numFmt w:val="decimal"/>
      <w:lvlText w:val=""/>
      <w:lvlJc w:val="left"/>
    </w:lvl>
    <w:lvl w:ilvl="2" w:tplc="5F00E9E6">
      <w:numFmt w:val="decimal"/>
      <w:lvlText w:val=""/>
      <w:lvlJc w:val="left"/>
    </w:lvl>
    <w:lvl w:ilvl="3" w:tplc="BDB8D2CE">
      <w:numFmt w:val="decimal"/>
      <w:lvlText w:val=""/>
      <w:lvlJc w:val="left"/>
    </w:lvl>
    <w:lvl w:ilvl="4" w:tplc="B6BA803C">
      <w:numFmt w:val="decimal"/>
      <w:lvlText w:val=""/>
      <w:lvlJc w:val="left"/>
    </w:lvl>
    <w:lvl w:ilvl="5" w:tplc="EDE63DDE">
      <w:numFmt w:val="decimal"/>
      <w:lvlText w:val=""/>
      <w:lvlJc w:val="left"/>
    </w:lvl>
    <w:lvl w:ilvl="6" w:tplc="DE945C80">
      <w:numFmt w:val="decimal"/>
      <w:lvlText w:val=""/>
      <w:lvlJc w:val="left"/>
    </w:lvl>
    <w:lvl w:ilvl="7" w:tplc="3134F172">
      <w:numFmt w:val="decimal"/>
      <w:lvlText w:val=""/>
      <w:lvlJc w:val="left"/>
    </w:lvl>
    <w:lvl w:ilvl="8" w:tplc="68FCE1F4">
      <w:numFmt w:val="decimal"/>
      <w:lvlText w:val=""/>
      <w:lvlJc w:val="left"/>
    </w:lvl>
  </w:abstractNum>
  <w:abstractNum w:abstractNumId="103" w15:restartNumberingAfterBreak="0">
    <w:nsid w:val="29BACF25"/>
    <w:multiLevelType w:val="hybridMultilevel"/>
    <w:tmpl w:val="53A2CB80"/>
    <w:lvl w:ilvl="0" w:tplc="93D4A350">
      <w:start w:val="2"/>
      <w:numFmt w:val="lowerLetter"/>
      <w:lvlText w:val="(%1)"/>
      <w:lvlJc w:val="left"/>
    </w:lvl>
    <w:lvl w:ilvl="1" w:tplc="E4CA9652">
      <w:numFmt w:val="decimal"/>
      <w:lvlText w:val=""/>
      <w:lvlJc w:val="left"/>
    </w:lvl>
    <w:lvl w:ilvl="2" w:tplc="449C7E60">
      <w:numFmt w:val="decimal"/>
      <w:lvlText w:val=""/>
      <w:lvlJc w:val="left"/>
    </w:lvl>
    <w:lvl w:ilvl="3" w:tplc="D1762F0E">
      <w:numFmt w:val="decimal"/>
      <w:lvlText w:val=""/>
      <w:lvlJc w:val="left"/>
    </w:lvl>
    <w:lvl w:ilvl="4" w:tplc="77EE6964">
      <w:numFmt w:val="decimal"/>
      <w:lvlText w:val=""/>
      <w:lvlJc w:val="left"/>
    </w:lvl>
    <w:lvl w:ilvl="5" w:tplc="8A9AB68E">
      <w:numFmt w:val="decimal"/>
      <w:lvlText w:val=""/>
      <w:lvlJc w:val="left"/>
    </w:lvl>
    <w:lvl w:ilvl="6" w:tplc="1B9A42B4">
      <w:numFmt w:val="decimal"/>
      <w:lvlText w:val=""/>
      <w:lvlJc w:val="left"/>
    </w:lvl>
    <w:lvl w:ilvl="7" w:tplc="5F885534">
      <w:numFmt w:val="decimal"/>
      <w:lvlText w:val=""/>
      <w:lvlJc w:val="left"/>
    </w:lvl>
    <w:lvl w:ilvl="8" w:tplc="351000B0">
      <w:numFmt w:val="decimal"/>
      <w:lvlText w:val=""/>
      <w:lvlJc w:val="left"/>
    </w:lvl>
  </w:abstractNum>
  <w:abstractNum w:abstractNumId="104" w15:restartNumberingAfterBreak="0">
    <w:nsid w:val="29EF532D"/>
    <w:multiLevelType w:val="hybridMultilevel"/>
    <w:tmpl w:val="B0F2D638"/>
    <w:lvl w:ilvl="0" w:tplc="9A8C76A2">
      <w:start w:val="1"/>
      <w:numFmt w:val="bullet"/>
      <w:lvlText w:val="•"/>
      <w:lvlJc w:val="left"/>
    </w:lvl>
    <w:lvl w:ilvl="1" w:tplc="91669D8E">
      <w:numFmt w:val="decimal"/>
      <w:lvlText w:val=""/>
      <w:lvlJc w:val="left"/>
    </w:lvl>
    <w:lvl w:ilvl="2" w:tplc="BE58A894">
      <w:numFmt w:val="decimal"/>
      <w:lvlText w:val=""/>
      <w:lvlJc w:val="left"/>
    </w:lvl>
    <w:lvl w:ilvl="3" w:tplc="C304E55A">
      <w:numFmt w:val="decimal"/>
      <w:lvlText w:val=""/>
      <w:lvlJc w:val="left"/>
    </w:lvl>
    <w:lvl w:ilvl="4" w:tplc="4B2AE5BA">
      <w:numFmt w:val="decimal"/>
      <w:lvlText w:val=""/>
      <w:lvlJc w:val="left"/>
    </w:lvl>
    <w:lvl w:ilvl="5" w:tplc="B9FC81BE">
      <w:numFmt w:val="decimal"/>
      <w:lvlText w:val=""/>
      <w:lvlJc w:val="left"/>
    </w:lvl>
    <w:lvl w:ilvl="6" w:tplc="E682D094">
      <w:numFmt w:val="decimal"/>
      <w:lvlText w:val=""/>
      <w:lvlJc w:val="left"/>
    </w:lvl>
    <w:lvl w:ilvl="7" w:tplc="3B408D16">
      <w:numFmt w:val="decimal"/>
      <w:lvlText w:val=""/>
      <w:lvlJc w:val="left"/>
    </w:lvl>
    <w:lvl w:ilvl="8" w:tplc="EB3A908A">
      <w:numFmt w:val="decimal"/>
      <w:lvlText w:val=""/>
      <w:lvlJc w:val="left"/>
    </w:lvl>
  </w:abstractNum>
  <w:abstractNum w:abstractNumId="105" w15:restartNumberingAfterBreak="0">
    <w:nsid w:val="2A79EC49"/>
    <w:multiLevelType w:val="hybridMultilevel"/>
    <w:tmpl w:val="49907352"/>
    <w:lvl w:ilvl="0" w:tplc="6A8870B2">
      <w:start w:val="1"/>
      <w:numFmt w:val="bullet"/>
      <w:lvlText w:val="•"/>
      <w:lvlJc w:val="left"/>
    </w:lvl>
    <w:lvl w:ilvl="1" w:tplc="F5681C5E">
      <w:numFmt w:val="decimal"/>
      <w:lvlText w:val=""/>
      <w:lvlJc w:val="left"/>
    </w:lvl>
    <w:lvl w:ilvl="2" w:tplc="B44EBC6A">
      <w:numFmt w:val="decimal"/>
      <w:lvlText w:val=""/>
      <w:lvlJc w:val="left"/>
    </w:lvl>
    <w:lvl w:ilvl="3" w:tplc="CA165036">
      <w:numFmt w:val="decimal"/>
      <w:lvlText w:val=""/>
      <w:lvlJc w:val="left"/>
    </w:lvl>
    <w:lvl w:ilvl="4" w:tplc="A8B49786">
      <w:numFmt w:val="decimal"/>
      <w:lvlText w:val=""/>
      <w:lvlJc w:val="left"/>
    </w:lvl>
    <w:lvl w:ilvl="5" w:tplc="66F2EE9E">
      <w:numFmt w:val="decimal"/>
      <w:lvlText w:val=""/>
      <w:lvlJc w:val="left"/>
    </w:lvl>
    <w:lvl w:ilvl="6" w:tplc="A858CB7A">
      <w:numFmt w:val="decimal"/>
      <w:lvlText w:val=""/>
      <w:lvlJc w:val="left"/>
    </w:lvl>
    <w:lvl w:ilvl="7" w:tplc="C4FC7F36">
      <w:numFmt w:val="decimal"/>
      <w:lvlText w:val=""/>
      <w:lvlJc w:val="left"/>
    </w:lvl>
    <w:lvl w:ilvl="8" w:tplc="DE98F008">
      <w:numFmt w:val="decimal"/>
      <w:lvlText w:val=""/>
      <w:lvlJc w:val="left"/>
    </w:lvl>
  </w:abstractNum>
  <w:abstractNum w:abstractNumId="106" w15:restartNumberingAfterBreak="0">
    <w:nsid w:val="2AB26587"/>
    <w:multiLevelType w:val="hybridMultilevel"/>
    <w:tmpl w:val="71622CF6"/>
    <w:lvl w:ilvl="0" w:tplc="4BBCE298">
      <w:start w:val="1"/>
      <w:numFmt w:val="upperLetter"/>
      <w:lvlText w:val="%1:"/>
      <w:lvlJc w:val="left"/>
    </w:lvl>
    <w:lvl w:ilvl="1" w:tplc="7C74F366">
      <w:numFmt w:val="decimal"/>
      <w:lvlText w:val=""/>
      <w:lvlJc w:val="left"/>
    </w:lvl>
    <w:lvl w:ilvl="2" w:tplc="187A6E26">
      <w:numFmt w:val="decimal"/>
      <w:lvlText w:val=""/>
      <w:lvlJc w:val="left"/>
    </w:lvl>
    <w:lvl w:ilvl="3" w:tplc="249AAA98">
      <w:numFmt w:val="decimal"/>
      <w:lvlText w:val=""/>
      <w:lvlJc w:val="left"/>
    </w:lvl>
    <w:lvl w:ilvl="4" w:tplc="312E347A">
      <w:numFmt w:val="decimal"/>
      <w:lvlText w:val=""/>
      <w:lvlJc w:val="left"/>
    </w:lvl>
    <w:lvl w:ilvl="5" w:tplc="B76087CA">
      <w:numFmt w:val="decimal"/>
      <w:lvlText w:val=""/>
      <w:lvlJc w:val="left"/>
    </w:lvl>
    <w:lvl w:ilvl="6" w:tplc="DF6E11B0">
      <w:numFmt w:val="decimal"/>
      <w:lvlText w:val=""/>
      <w:lvlJc w:val="left"/>
    </w:lvl>
    <w:lvl w:ilvl="7" w:tplc="E55EC564">
      <w:numFmt w:val="decimal"/>
      <w:lvlText w:val=""/>
      <w:lvlJc w:val="left"/>
    </w:lvl>
    <w:lvl w:ilvl="8" w:tplc="0D9454D8">
      <w:numFmt w:val="decimal"/>
      <w:lvlText w:val=""/>
      <w:lvlJc w:val="left"/>
    </w:lvl>
  </w:abstractNum>
  <w:abstractNum w:abstractNumId="107" w15:restartNumberingAfterBreak="0">
    <w:nsid w:val="2B4B8B53"/>
    <w:multiLevelType w:val="hybridMultilevel"/>
    <w:tmpl w:val="36581E56"/>
    <w:lvl w:ilvl="0" w:tplc="21CCDB92">
      <w:start w:val="1"/>
      <w:numFmt w:val="lowerRoman"/>
      <w:lvlText w:val="(%1)"/>
      <w:lvlJc w:val="left"/>
    </w:lvl>
    <w:lvl w:ilvl="1" w:tplc="0D5CDE48">
      <w:numFmt w:val="decimal"/>
      <w:lvlText w:val=""/>
      <w:lvlJc w:val="left"/>
    </w:lvl>
    <w:lvl w:ilvl="2" w:tplc="1C509688">
      <w:numFmt w:val="decimal"/>
      <w:lvlText w:val=""/>
      <w:lvlJc w:val="left"/>
    </w:lvl>
    <w:lvl w:ilvl="3" w:tplc="6082CE74">
      <w:numFmt w:val="decimal"/>
      <w:lvlText w:val=""/>
      <w:lvlJc w:val="left"/>
    </w:lvl>
    <w:lvl w:ilvl="4" w:tplc="D2905AE4">
      <w:numFmt w:val="decimal"/>
      <w:lvlText w:val=""/>
      <w:lvlJc w:val="left"/>
    </w:lvl>
    <w:lvl w:ilvl="5" w:tplc="57B632FA">
      <w:numFmt w:val="decimal"/>
      <w:lvlText w:val=""/>
      <w:lvlJc w:val="left"/>
    </w:lvl>
    <w:lvl w:ilvl="6" w:tplc="F97CBCBA">
      <w:numFmt w:val="decimal"/>
      <w:lvlText w:val=""/>
      <w:lvlJc w:val="left"/>
    </w:lvl>
    <w:lvl w:ilvl="7" w:tplc="A556736A">
      <w:numFmt w:val="decimal"/>
      <w:lvlText w:val=""/>
      <w:lvlJc w:val="left"/>
    </w:lvl>
    <w:lvl w:ilvl="8" w:tplc="24F2A280">
      <w:numFmt w:val="decimal"/>
      <w:lvlText w:val=""/>
      <w:lvlJc w:val="left"/>
    </w:lvl>
  </w:abstractNum>
  <w:abstractNum w:abstractNumId="108" w15:restartNumberingAfterBreak="0">
    <w:nsid w:val="2BB180D8"/>
    <w:multiLevelType w:val="hybridMultilevel"/>
    <w:tmpl w:val="B5EA793A"/>
    <w:lvl w:ilvl="0" w:tplc="49CEE39C">
      <w:start w:val="1"/>
      <w:numFmt w:val="decimal"/>
      <w:lvlText w:val="%1"/>
      <w:lvlJc w:val="left"/>
    </w:lvl>
    <w:lvl w:ilvl="1" w:tplc="68EEDC72">
      <w:start w:val="1"/>
      <w:numFmt w:val="lowerLetter"/>
      <w:lvlText w:val="(%2)"/>
      <w:lvlJc w:val="left"/>
    </w:lvl>
    <w:lvl w:ilvl="2" w:tplc="A37AF692">
      <w:start w:val="1"/>
      <w:numFmt w:val="upperLetter"/>
      <w:lvlText w:val="%3"/>
      <w:lvlJc w:val="left"/>
    </w:lvl>
    <w:lvl w:ilvl="3" w:tplc="D48A2CA6">
      <w:numFmt w:val="decimal"/>
      <w:lvlText w:val=""/>
      <w:lvlJc w:val="left"/>
    </w:lvl>
    <w:lvl w:ilvl="4" w:tplc="64884970">
      <w:numFmt w:val="decimal"/>
      <w:lvlText w:val=""/>
      <w:lvlJc w:val="left"/>
    </w:lvl>
    <w:lvl w:ilvl="5" w:tplc="A73C25C4">
      <w:numFmt w:val="decimal"/>
      <w:lvlText w:val=""/>
      <w:lvlJc w:val="left"/>
    </w:lvl>
    <w:lvl w:ilvl="6" w:tplc="30B86B34">
      <w:numFmt w:val="decimal"/>
      <w:lvlText w:val=""/>
      <w:lvlJc w:val="left"/>
    </w:lvl>
    <w:lvl w:ilvl="7" w:tplc="3A6A5108">
      <w:numFmt w:val="decimal"/>
      <w:lvlText w:val=""/>
      <w:lvlJc w:val="left"/>
    </w:lvl>
    <w:lvl w:ilvl="8" w:tplc="1F2C3922">
      <w:numFmt w:val="decimal"/>
      <w:lvlText w:val=""/>
      <w:lvlJc w:val="left"/>
    </w:lvl>
  </w:abstractNum>
  <w:abstractNum w:abstractNumId="109" w15:restartNumberingAfterBreak="0">
    <w:nsid w:val="2BB5B1C6"/>
    <w:multiLevelType w:val="hybridMultilevel"/>
    <w:tmpl w:val="490A7260"/>
    <w:lvl w:ilvl="0" w:tplc="6D6425FA">
      <w:start w:val="1"/>
      <w:numFmt w:val="lowerLetter"/>
      <w:lvlText w:val="(%1)"/>
      <w:lvlJc w:val="left"/>
    </w:lvl>
    <w:lvl w:ilvl="1" w:tplc="64661F3C">
      <w:numFmt w:val="decimal"/>
      <w:lvlText w:val=""/>
      <w:lvlJc w:val="left"/>
    </w:lvl>
    <w:lvl w:ilvl="2" w:tplc="A2D418CC">
      <w:numFmt w:val="decimal"/>
      <w:lvlText w:val=""/>
      <w:lvlJc w:val="left"/>
    </w:lvl>
    <w:lvl w:ilvl="3" w:tplc="A23EBE56">
      <w:numFmt w:val="decimal"/>
      <w:lvlText w:val=""/>
      <w:lvlJc w:val="left"/>
    </w:lvl>
    <w:lvl w:ilvl="4" w:tplc="83C6C3DA">
      <w:numFmt w:val="decimal"/>
      <w:lvlText w:val=""/>
      <w:lvlJc w:val="left"/>
    </w:lvl>
    <w:lvl w:ilvl="5" w:tplc="228A6D78">
      <w:numFmt w:val="decimal"/>
      <w:lvlText w:val=""/>
      <w:lvlJc w:val="left"/>
    </w:lvl>
    <w:lvl w:ilvl="6" w:tplc="F9DE4A94">
      <w:numFmt w:val="decimal"/>
      <w:lvlText w:val=""/>
      <w:lvlJc w:val="left"/>
    </w:lvl>
    <w:lvl w:ilvl="7" w:tplc="7692360A">
      <w:numFmt w:val="decimal"/>
      <w:lvlText w:val=""/>
      <w:lvlJc w:val="left"/>
    </w:lvl>
    <w:lvl w:ilvl="8" w:tplc="7DC8CD5E">
      <w:numFmt w:val="decimal"/>
      <w:lvlText w:val=""/>
      <w:lvlJc w:val="left"/>
    </w:lvl>
  </w:abstractNum>
  <w:abstractNum w:abstractNumId="110" w15:restartNumberingAfterBreak="0">
    <w:nsid w:val="2C02FE8C"/>
    <w:multiLevelType w:val="hybridMultilevel"/>
    <w:tmpl w:val="611CE372"/>
    <w:lvl w:ilvl="0" w:tplc="51ACC378">
      <w:start w:val="1"/>
      <w:numFmt w:val="lowerLetter"/>
      <w:lvlText w:val="(%1)"/>
      <w:lvlJc w:val="left"/>
    </w:lvl>
    <w:lvl w:ilvl="1" w:tplc="6E8C6026">
      <w:start w:val="1"/>
      <w:numFmt w:val="lowerRoman"/>
      <w:lvlText w:val="%2."/>
      <w:lvlJc w:val="left"/>
    </w:lvl>
    <w:lvl w:ilvl="2" w:tplc="20282866">
      <w:numFmt w:val="decimal"/>
      <w:lvlText w:val=""/>
      <w:lvlJc w:val="left"/>
    </w:lvl>
    <w:lvl w:ilvl="3" w:tplc="1B224702">
      <w:numFmt w:val="decimal"/>
      <w:lvlText w:val=""/>
      <w:lvlJc w:val="left"/>
    </w:lvl>
    <w:lvl w:ilvl="4" w:tplc="6F0C7F62">
      <w:numFmt w:val="decimal"/>
      <w:lvlText w:val=""/>
      <w:lvlJc w:val="left"/>
    </w:lvl>
    <w:lvl w:ilvl="5" w:tplc="37B46CD2">
      <w:numFmt w:val="decimal"/>
      <w:lvlText w:val=""/>
      <w:lvlJc w:val="left"/>
    </w:lvl>
    <w:lvl w:ilvl="6" w:tplc="4338246A">
      <w:numFmt w:val="decimal"/>
      <w:lvlText w:val=""/>
      <w:lvlJc w:val="left"/>
    </w:lvl>
    <w:lvl w:ilvl="7" w:tplc="41AAAC6C">
      <w:numFmt w:val="decimal"/>
      <w:lvlText w:val=""/>
      <w:lvlJc w:val="left"/>
    </w:lvl>
    <w:lvl w:ilvl="8" w:tplc="3068724E">
      <w:numFmt w:val="decimal"/>
      <w:lvlText w:val=""/>
      <w:lvlJc w:val="left"/>
    </w:lvl>
  </w:abstractNum>
  <w:abstractNum w:abstractNumId="111" w15:restartNumberingAfterBreak="0">
    <w:nsid w:val="2C106A57"/>
    <w:multiLevelType w:val="hybridMultilevel"/>
    <w:tmpl w:val="1736D8B0"/>
    <w:lvl w:ilvl="0" w:tplc="63FC4C2E">
      <w:start w:val="1"/>
      <w:numFmt w:val="lowerRoman"/>
      <w:lvlText w:val="%1"/>
      <w:lvlJc w:val="left"/>
    </w:lvl>
    <w:lvl w:ilvl="1" w:tplc="0D781CBE">
      <w:start w:val="2"/>
      <w:numFmt w:val="lowerLetter"/>
      <w:lvlText w:val="(%2)"/>
      <w:lvlJc w:val="left"/>
    </w:lvl>
    <w:lvl w:ilvl="2" w:tplc="E47AACAC">
      <w:numFmt w:val="decimal"/>
      <w:lvlText w:val=""/>
      <w:lvlJc w:val="left"/>
    </w:lvl>
    <w:lvl w:ilvl="3" w:tplc="AD9CBA5E">
      <w:numFmt w:val="decimal"/>
      <w:lvlText w:val=""/>
      <w:lvlJc w:val="left"/>
    </w:lvl>
    <w:lvl w:ilvl="4" w:tplc="462A3054">
      <w:numFmt w:val="decimal"/>
      <w:lvlText w:val=""/>
      <w:lvlJc w:val="left"/>
    </w:lvl>
    <w:lvl w:ilvl="5" w:tplc="97B8088C">
      <w:numFmt w:val="decimal"/>
      <w:lvlText w:val=""/>
      <w:lvlJc w:val="left"/>
    </w:lvl>
    <w:lvl w:ilvl="6" w:tplc="53E84948">
      <w:numFmt w:val="decimal"/>
      <w:lvlText w:val=""/>
      <w:lvlJc w:val="left"/>
    </w:lvl>
    <w:lvl w:ilvl="7" w:tplc="D826E378">
      <w:numFmt w:val="decimal"/>
      <w:lvlText w:val=""/>
      <w:lvlJc w:val="left"/>
    </w:lvl>
    <w:lvl w:ilvl="8" w:tplc="22E62C4E">
      <w:numFmt w:val="decimal"/>
      <w:lvlText w:val=""/>
      <w:lvlJc w:val="left"/>
    </w:lvl>
  </w:abstractNum>
  <w:abstractNum w:abstractNumId="112" w15:restartNumberingAfterBreak="0">
    <w:nsid w:val="2D9DF57D"/>
    <w:multiLevelType w:val="hybridMultilevel"/>
    <w:tmpl w:val="337C7698"/>
    <w:lvl w:ilvl="0" w:tplc="20B631FC">
      <w:start w:val="1"/>
      <w:numFmt w:val="lowerLetter"/>
      <w:lvlText w:val="(%1)"/>
      <w:lvlJc w:val="left"/>
    </w:lvl>
    <w:lvl w:ilvl="1" w:tplc="E9C4832C">
      <w:numFmt w:val="decimal"/>
      <w:lvlText w:val=""/>
      <w:lvlJc w:val="left"/>
    </w:lvl>
    <w:lvl w:ilvl="2" w:tplc="B1C67E04">
      <w:numFmt w:val="decimal"/>
      <w:lvlText w:val=""/>
      <w:lvlJc w:val="left"/>
    </w:lvl>
    <w:lvl w:ilvl="3" w:tplc="0604423C">
      <w:numFmt w:val="decimal"/>
      <w:lvlText w:val=""/>
      <w:lvlJc w:val="left"/>
    </w:lvl>
    <w:lvl w:ilvl="4" w:tplc="83746F8E">
      <w:numFmt w:val="decimal"/>
      <w:lvlText w:val=""/>
      <w:lvlJc w:val="left"/>
    </w:lvl>
    <w:lvl w:ilvl="5" w:tplc="3AA65556">
      <w:numFmt w:val="decimal"/>
      <w:lvlText w:val=""/>
      <w:lvlJc w:val="left"/>
    </w:lvl>
    <w:lvl w:ilvl="6" w:tplc="5E460C9C">
      <w:numFmt w:val="decimal"/>
      <w:lvlText w:val=""/>
      <w:lvlJc w:val="left"/>
    </w:lvl>
    <w:lvl w:ilvl="7" w:tplc="10224FEE">
      <w:numFmt w:val="decimal"/>
      <w:lvlText w:val=""/>
      <w:lvlJc w:val="left"/>
    </w:lvl>
    <w:lvl w:ilvl="8" w:tplc="E6C0D792">
      <w:numFmt w:val="decimal"/>
      <w:lvlText w:val=""/>
      <w:lvlJc w:val="left"/>
    </w:lvl>
  </w:abstractNum>
  <w:abstractNum w:abstractNumId="113" w15:restartNumberingAfterBreak="0">
    <w:nsid w:val="2DB88089"/>
    <w:multiLevelType w:val="hybridMultilevel"/>
    <w:tmpl w:val="285CC530"/>
    <w:lvl w:ilvl="0" w:tplc="7C5C3AD0">
      <w:start w:val="2"/>
      <w:numFmt w:val="lowerLetter"/>
      <w:lvlText w:val="(%1)"/>
      <w:lvlJc w:val="left"/>
    </w:lvl>
    <w:lvl w:ilvl="1" w:tplc="A9C0A974">
      <w:numFmt w:val="decimal"/>
      <w:lvlText w:val=""/>
      <w:lvlJc w:val="left"/>
    </w:lvl>
    <w:lvl w:ilvl="2" w:tplc="734EFCA2">
      <w:numFmt w:val="decimal"/>
      <w:lvlText w:val=""/>
      <w:lvlJc w:val="left"/>
    </w:lvl>
    <w:lvl w:ilvl="3" w:tplc="9FB20A0E">
      <w:numFmt w:val="decimal"/>
      <w:lvlText w:val=""/>
      <w:lvlJc w:val="left"/>
    </w:lvl>
    <w:lvl w:ilvl="4" w:tplc="10166A52">
      <w:numFmt w:val="decimal"/>
      <w:lvlText w:val=""/>
      <w:lvlJc w:val="left"/>
    </w:lvl>
    <w:lvl w:ilvl="5" w:tplc="6BDC403C">
      <w:numFmt w:val="decimal"/>
      <w:lvlText w:val=""/>
      <w:lvlJc w:val="left"/>
    </w:lvl>
    <w:lvl w:ilvl="6" w:tplc="954ADE2A">
      <w:numFmt w:val="decimal"/>
      <w:lvlText w:val=""/>
      <w:lvlJc w:val="left"/>
    </w:lvl>
    <w:lvl w:ilvl="7" w:tplc="8BE095DE">
      <w:numFmt w:val="decimal"/>
      <w:lvlText w:val=""/>
      <w:lvlJc w:val="left"/>
    </w:lvl>
    <w:lvl w:ilvl="8" w:tplc="EC005178">
      <w:numFmt w:val="decimal"/>
      <w:lvlText w:val=""/>
      <w:lvlJc w:val="left"/>
    </w:lvl>
  </w:abstractNum>
  <w:abstractNum w:abstractNumId="114" w15:restartNumberingAfterBreak="0">
    <w:nsid w:val="2E17ECA7"/>
    <w:multiLevelType w:val="hybridMultilevel"/>
    <w:tmpl w:val="4EB879D6"/>
    <w:lvl w:ilvl="0" w:tplc="7AAA5798">
      <w:start w:val="1"/>
      <w:numFmt w:val="bullet"/>
      <w:lvlText w:val="•"/>
      <w:lvlJc w:val="left"/>
    </w:lvl>
    <w:lvl w:ilvl="1" w:tplc="EF401054">
      <w:numFmt w:val="decimal"/>
      <w:lvlText w:val=""/>
      <w:lvlJc w:val="left"/>
    </w:lvl>
    <w:lvl w:ilvl="2" w:tplc="E508E078">
      <w:numFmt w:val="decimal"/>
      <w:lvlText w:val=""/>
      <w:lvlJc w:val="left"/>
    </w:lvl>
    <w:lvl w:ilvl="3" w:tplc="F3AA7FA0">
      <w:numFmt w:val="decimal"/>
      <w:lvlText w:val=""/>
      <w:lvlJc w:val="left"/>
    </w:lvl>
    <w:lvl w:ilvl="4" w:tplc="7DD25AF8">
      <w:numFmt w:val="decimal"/>
      <w:lvlText w:val=""/>
      <w:lvlJc w:val="left"/>
    </w:lvl>
    <w:lvl w:ilvl="5" w:tplc="5C50D5B4">
      <w:numFmt w:val="decimal"/>
      <w:lvlText w:val=""/>
      <w:lvlJc w:val="left"/>
    </w:lvl>
    <w:lvl w:ilvl="6" w:tplc="0CA47410">
      <w:numFmt w:val="decimal"/>
      <w:lvlText w:val=""/>
      <w:lvlJc w:val="left"/>
    </w:lvl>
    <w:lvl w:ilvl="7" w:tplc="EABCE9C4">
      <w:numFmt w:val="decimal"/>
      <w:lvlText w:val=""/>
      <w:lvlJc w:val="left"/>
    </w:lvl>
    <w:lvl w:ilvl="8" w:tplc="8B6AE9E0">
      <w:numFmt w:val="decimal"/>
      <w:lvlText w:val=""/>
      <w:lvlJc w:val="left"/>
    </w:lvl>
  </w:abstractNum>
  <w:abstractNum w:abstractNumId="115" w15:restartNumberingAfterBreak="0">
    <w:nsid w:val="2E534A82"/>
    <w:multiLevelType w:val="hybridMultilevel"/>
    <w:tmpl w:val="C2769D00"/>
    <w:lvl w:ilvl="0" w:tplc="81007ADC">
      <w:start w:val="2"/>
      <w:numFmt w:val="lowerLetter"/>
      <w:lvlText w:val="(%1)"/>
      <w:lvlJc w:val="left"/>
    </w:lvl>
    <w:lvl w:ilvl="1" w:tplc="E08AD3E8">
      <w:numFmt w:val="decimal"/>
      <w:lvlText w:val=""/>
      <w:lvlJc w:val="left"/>
    </w:lvl>
    <w:lvl w:ilvl="2" w:tplc="E916794C">
      <w:numFmt w:val="decimal"/>
      <w:lvlText w:val=""/>
      <w:lvlJc w:val="left"/>
    </w:lvl>
    <w:lvl w:ilvl="3" w:tplc="BB1822E0">
      <w:numFmt w:val="decimal"/>
      <w:lvlText w:val=""/>
      <w:lvlJc w:val="left"/>
    </w:lvl>
    <w:lvl w:ilvl="4" w:tplc="44C6F1A6">
      <w:numFmt w:val="decimal"/>
      <w:lvlText w:val=""/>
      <w:lvlJc w:val="left"/>
    </w:lvl>
    <w:lvl w:ilvl="5" w:tplc="2A0A2E5E">
      <w:numFmt w:val="decimal"/>
      <w:lvlText w:val=""/>
      <w:lvlJc w:val="left"/>
    </w:lvl>
    <w:lvl w:ilvl="6" w:tplc="19CAC608">
      <w:numFmt w:val="decimal"/>
      <w:lvlText w:val=""/>
      <w:lvlJc w:val="left"/>
    </w:lvl>
    <w:lvl w:ilvl="7" w:tplc="AC1C2F30">
      <w:numFmt w:val="decimal"/>
      <w:lvlText w:val=""/>
      <w:lvlJc w:val="left"/>
    </w:lvl>
    <w:lvl w:ilvl="8" w:tplc="A3A0BD1A">
      <w:numFmt w:val="decimal"/>
      <w:lvlText w:val=""/>
      <w:lvlJc w:val="left"/>
    </w:lvl>
  </w:abstractNum>
  <w:abstractNum w:abstractNumId="116" w15:restartNumberingAfterBreak="0">
    <w:nsid w:val="2E5B12B8"/>
    <w:multiLevelType w:val="hybridMultilevel"/>
    <w:tmpl w:val="DE52697E"/>
    <w:lvl w:ilvl="0" w:tplc="6E3A140E">
      <w:start w:val="4"/>
      <w:numFmt w:val="lowerRoman"/>
      <w:lvlText w:val="(%1)"/>
      <w:lvlJc w:val="left"/>
    </w:lvl>
    <w:lvl w:ilvl="1" w:tplc="E11C7B06">
      <w:start w:val="4"/>
      <w:numFmt w:val="lowerRoman"/>
      <w:lvlText w:val="(%2)"/>
      <w:lvlJc w:val="left"/>
    </w:lvl>
    <w:lvl w:ilvl="2" w:tplc="202C856A">
      <w:start w:val="6"/>
      <w:numFmt w:val="upperLetter"/>
      <w:lvlText w:val="(%3)"/>
      <w:lvlJc w:val="left"/>
    </w:lvl>
    <w:lvl w:ilvl="3" w:tplc="D6C49CF8">
      <w:numFmt w:val="decimal"/>
      <w:lvlText w:val=""/>
      <w:lvlJc w:val="left"/>
    </w:lvl>
    <w:lvl w:ilvl="4" w:tplc="60841250">
      <w:numFmt w:val="decimal"/>
      <w:lvlText w:val=""/>
      <w:lvlJc w:val="left"/>
    </w:lvl>
    <w:lvl w:ilvl="5" w:tplc="D1DC6E9C">
      <w:numFmt w:val="decimal"/>
      <w:lvlText w:val=""/>
      <w:lvlJc w:val="left"/>
    </w:lvl>
    <w:lvl w:ilvl="6" w:tplc="CBBEEC80">
      <w:numFmt w:val="decimal"/>
      <w:lvlText w:val=""/>
      <w:lvlJc w:val="left"/>
    </w:lvl>
    <w:lvl w:ilvl="7" w:tplc="80501D60">
      <w:numFmt w:val="decimal"/>
      <w:lvlText w:val=""/>
      <w:lvlJc w:val="left"/>
    </w:lvl>
    <w:lvl w:ilvl="8" w:tplc="5FC0AA56">
      <w:numFmt w:val="decimal"/>
      <w:lvlText w:val=""/>
      <w:lvlJc w:val="left"/>
    </w:lvl>
  </w:abstractNum>
  <w:abstractNum w:abstractNumId="117" w15:restartNumberingAfterBreak="0">
    <w:nsid w:val="2EDA00ED"/>
    <w:multiLevelType w:val="hybridMultilevel"/>
    <w:tmpl w:val="E5CAFDB6"/>
    <w:lvl w:ilvl="0" w:tplc="F8B4A72E">
      <w:start w:val="1"/>
      <w:numFmt w:val="lowerLetter"/>
      <w:lvlText w:val="(%1)"/>
      <w:lvlJc w:val="left"/>
    </w:lvl>
    <w:lvl w:ilvl="1" w:tplc="1BD03F14">
      <w:numFmt w:val="decimal"/>
      <w:lvlText w:val=""/>
      <w:lvlJc w:val="left"/>
    </w:lvl>
    <w:lvl w:ilvl="2" w:tplc="41304660">
      <w:numFmt w:val="decimal"/>
      <w:lvlText w:val=""/>
      <w:lvlJc w:val="left"/>
    </w:lvl>
    <w:lvl w:ilvl="3" w:tplc="31A63522">
      <w:numFmt w:val="decimal"/>
      <w:lvlText w:val=""/>
      <w:lvlJc w:val="left"/>
    </w:lvl>
    <w:lvl w:ilvl="4" w:tplc="D390E9C0">
      <w:numFmt w:val="decimal"/>
      <w:lvlText w:val=""/>
      <w:lvlJc w:val="left"/>
    </w:lvl>
    <w:lvl w:ilvl="5" w:tplc="E81633EC">
      <w:numFmt w:val="decimal"/>
      <w:lvlText w:val=""/>
      <w:lvlJc w:val="left"/>
    </w:lvl>
    <w:lvl w:ilvl="6" w:tplc="496AD5D2">
      <w:numFmt w:val="decimal"/>
      <w:lvlText w:val=""/>
      <w:lvlJc w:val="left"/>
    </w:lvl>
    <w:lvl w:ilvl="7" w:tplc="595CA41E">
      <w:numFmt w:val="decimal"/>
      <w:lvlText w:val=""/>
      <w:lvlJc w:val="left"/>
    </w:lvl>
    <w:lvl w:ilvl="8" w:tplc="8A206D2E">
      <w:numFmt w:val="decimal"/>
      <w:lvlText w:val=""/>
      <w:lvlJc w:val="left"/>
    </w:lvl>
  </w:abstractNum>
  <w:abstractNum w:abstractNumId="118" w15:restartNumberingAfterBreak="0">
    <w:nsid w:val="2FD0AD81"/>
    <w:multiLevelType w:val="hybridMultilevel"/>
    <w:tmpl w:val="35D47CD8"/>
    <w:lvl w:ilvl="0" w:tplc="D7C68344">
      <w:start w:val="1"/>
      <w:numFmt w:val="bullet"/>
      <w:lvlText w:val="•"/>
      <w:lvlJc w:val="left"/>
    </w:lvl>
    <w:lvl w:ilvl="1" w:tplc="2AB49BCE">
      <w:numFmt w:val="decimal"/>
      <w:lvlText w:val=""/>
      <w:lvlJc w:val="left"/>
    </w:lvl>
    <w:lvl w:ilvl="2" w:tplc="A65CADA4">
      <w:numFmt w:val="decimal"/>
      <w:lvlText w:val=""/>
      <w:lvlJc w:val="left"/>
    </w:lvl>
    <w:lvl w:ilvl="3" w:tplc="0586362A">
      <w:numFmt w:val="decimal"/>
      <w:lvlText w:val=""/>
      <w:lvlJc w:val="left"/>
    </w:lvl>
    <w:lvl w:ilvl="4" w:tplc="5718CD62">
      <w:numFmt w:val="decimal"/>
      <w:lvlText w:val=""/>
      <w:lvlJc w:val="left"/>
    </w:lvl>
    <w:lvl w:ilvl="5" w:tplc="A888E212">
      <w:numFmt w:val="decimal"/>
      <w:lvlText w:val=""/>
      <w:lvlJc w:val="left"/>
    </w:lvl>
    <w:lvl w:ilvl="6" w:tplc="55DA0FD8">
      <w:numFmt w:val="decimal"/>
      <w:lvlText w:val=""/>
      <w:lvlJc w:val="left"/>
    </w:lvl>
    <w:lvl w:ilvl="7" w:tplc="3AC292B8">
      <w:numFmt w:val="decimal"/>
      <w:lvlText w:val=""/>
      <w:lvlJc w:val="left"/>
    </w:lvl>
    <w:lvl w:ilvl="8" w:tplc="0CC2CF88">
      <w:numFmt w:val="decimal"/>
      <w:lvlText w:val=""/>
      <w:lvlJc w:val="left"/>
    </w:lvl>
  </w:abstractNum>
  <w:abstractNum w:abstractNumId="119" w15:restartNumberingAfterBreak="0">
    <w:nsid w:val="30AADFDA"/>
    <w:multiLevelType w:val="hybridMultilevel"/>
    <w:tmpl w:val="F392C5EE"/>
    <w:lvl w:ilvl="0" w:tplc="F15AD0D4">
      <w:start w:val="2"/>
      <w:numFmt w:val="lowerLetter"/>
      <w:lvlText w:val="(%1)"/>
      <w:lvlJc w:val="left"/>
    </w:lvl>
    <w:lvl w:ilvl="1" w:tplc="10FA97C8">
      <w:numFmt w:val="decimal"/>
      <w:lvlText w:val=""/>
      <w:lvlJc w:val="left"/>
    </w:lvl>
    <w:lvl w:ilvl="2" w:tplc="478072E0">
      <w:numFmt w:val="decimal"/>
      <w:lvlText w:val=""/>
      <w:lvlJc w:val="left"/>
    </w:lvl>
    <w:lvl w:ilvl="3" w:tplc="95DA5D24">
      <w:numFmt w:val="decimal"/>
      <w:lvlText w:val=""/>
      <w:lvlJc w:val="left"/>
    </w:lvl>
    <w:lvl w:ilvl="4" w:tplc="891C7C8E">
      <w:numFmt w:val="decimal"/>
      <w:lvlText w:val=""/>
      <w:lvlJc w:val="left"/>
    </w:lvl>
    <w:lvl w:ilvl="5" w:tplc="ED5EF2C8">
      <w:numFmt w:val="decimal"/>
      <w:lvlText w:val=""/>
      <w:lvlJc w:val="left"/>
    </w:lvl>
    <w:lvl w:ilvl="6" w:tplc="885C954C">
      <w:numFmt w:val="decimal"/>
      <w:lvlText w:val=""/>
      <w:lvlJc w:val="left"/>
    </w:lvl>
    <w:lvl w:ilvl="7" w:tplc="19DC8572">
      <w:numFmt w:val="decimal"/>
      <w:lvlText w:val=""/>
      <w:lvlJc w:val="left"/>
    </w:lvl>
    <w:lvl w:ilvl="8" w:tplc="DD76A03E">
      <w:numFmt w:val="decimal"/>
      <w:lvlText w:val=""/>
      <w:lvlJc w:val="left"/>
    </w:lvl>
  </w:abstractNum>
  <w:abstractNum w:abstractNumId="120" w15:restartNumberingAfterBreak="0">
    <w:nsid w:val="30EADA61"/>
    <w:multiLevelType w:val="hybridMultilevel"/>
    <w:tmpl w:val="FE1071F6"/>
    <w:lvl w:ilvl="0" w:tplc="4468A868">
      <w:start w:val="3"/>
      <w:numFmt w:val="lowerLetter"/>
      <w:lvlText w:val="(%1)"/>
      <w:lvlJc w:val="left"/>
    </w:lvl>
    <w:lvl w:ilvl="1" w:tplc="505EB84A">
      <w:numFmt w:val="decimal"/>
      <w:lvlText w:val=""/>
      <w:lvlJc w:val="left"/>
    </w:lvl>
    <w:lvl w:ilvl="2" w:tplc="610C9A6E">
      <w:numFmt w:val="decimal"/>
      <w:lvlText w:val=""/>
      <w:lvlJc w:val="left"/>
    </w:lvl>
    <w:lvl w:ilvl="3" w:tplc="F98C31FE">
      <w:numFmt w:val="decimal"/>
      <w:lvlText w:val=""/>
      <w:lvlJc w:val="left"/>
    </w:lvl>
    <w:lvl w:ilvl="4" w:tplc="2FEA8894">
      <w:numFmt w:val="decimal"/>
      <w:lvlText w:val=""/>
      <w:lvlJc w:val="left"/>
    </w:lvl>
    <w:lvl w:ilvl="5" w:tplc="1916D2F8">
      <w:numFmt w:val="decimal"/>
      <w:lvlText w:val=""/>
      <w:lvlJc w:val="left"/>
    </w:lvl>
    <w:lvl w:ilvl="6" w:tplc="329CDEC4">
      <w:numFmt w:val="decimal"/>
      <w:lvlText w:val=""/>
      <w:lvlJc w:val="left"/>
    </w:lvl>
    <w:lvl w:ilvl="7" w:tplc="A1A23A62">
      <w:numFmt w:val="decimal"/>
      <w:lvlText w:val=""/>
      <w:lvlJc w:val="left"/>
    </w:lvl>
    <w:lvl w:ilvl="8" w:tplc="37263B4C">
      <w:numFmt w:val="decimal"/>
      <w:lvlText w:val=""/>
      <w:lvlJc w:val="left"/>
    </w:lvl>
  </w:abstractNum>
  <w:abstractNum w:abstractNumId="121" w15:restartNumberingAfterBreak="0">
    <w:nsid w:val="3102BBE2"/>
    <w:multiLevelType w:val="hybridMultilevel"/>
    <w:tmpl w:val="B3263850"/>
    <w:lvl w:ilvl="0" w:tplc="E4761AF0">
      <w:start w:val="2"/>
      <w:numFmt w:val="lowerLetter"/>
      <w:lvlText w:val="(%1)"/>
      <w:lvlJc w:val="left"/>
    </w:lvl>
    <w:lvl w:ilvl="1" w:tplc="C8227040">
      <w:numFmt w:val="decimal"/>
      <w:lvlText w:val=""/>
      <w:lvlJc w:val="left"/>
    </w:lvl>
    <w:lvl w:ilvl="2" w:tplc="E666887E">
      <w:numFmt w:val="decimal"/>
      <w:lvlText w:val=""/>
      <w:lvlJc w:val="left"/>
    </w:lvl>
    <w:lvl w:ilvl="3" w:tplc="C17C4608">
      <w:numFmt w:val="decimal"/>
      <w:lvlText w:val=""/>
      <w:lvlJc w:val="left"/>
    </w:lvl>
    <w:lvl w:ilvl="4" w:tplc="2ACC35BA">
      <w:numFmt w:val="decimal"/>
      <w:lvlText w:val=""/>
      <w:lvlJc w:val="left"/>
    </w:lvl>
    <w:lvl w:ilvl="5" w:tplc="837C96C2">
      <w:numFmt w:val="decimal"/>
      <w:lvlText w:val=""/>
      <w:lvlJc w:val="left"/>
    </w:lvl>
    <w:lvl w:ilvl="6" w:tplc="1C844CBE">
      <w:numFmt w:val="decimal"/>
      <w:lvlText w:val=""/>
      <w:lvlJc w:val="left"/>
    </w:lvl>
    <w:lvl w:ilvl="7" w:tplc="7BC268B2">
      <w:numFmt w:val="decimal"/>
      <w:lvlText w:val=""/>
      <w:lvlJc w:val="left"/>
    </w:lvl>
    <w:lvl w:ilvl="8" w:tplc="0A747F36">
      <w:numFmt w:val="decimal"/>
      <w:lvlText w:val=""/>
      <w:lvlJc w:val="left"/>
    </w:lvl>
  </w:abstractNum>
  <w:abstractNum w:abstractNumId="122" w15:restartNumberingAfterBreak="0">
    <w:nsid w:val="313C7C99"/>
    <w:multiLevelType w:val="hybridMultilevel"/>
    <w:tmpl w:val="00E46796"/>
    <w:lvl w:ilvl="0" w:tplc="57B63AB2">
      <w:start w:val="2"/>
      <w:numFmt w:val="lowerLetter"/>
      <w:lvlText w:val="(%1)"/>
      <w:lvlJc w:val="left"/>
    </w:lvl>
    <w:lvl w:ilvl="1" w:tplc="2A86B0EE">
      <w:numFmt w:val="decimal"/>
      <w:lvlText w:val=""/>
      <w:lvlJc w:val="left"/>
    </w:lvl>
    <w:lvl w:ilvl="2" w:tplc="3CFC16A8">
      <w:numFmt w:val="decimal"/>
      <w:lvlText w:val=""/>
      <w:lvlJc w:val="left"/>
    </w:lvl>
    <w:lvl w:ilvl="3" w:tplc="A37A0DA4">
      <w:numFmt w:val="decimal"/>
      <w:lvlText w:val=""/>
      <w:lvlJc w:val="left"/>
    </w:lvl>
    <w:lvl w:ilvl="4" w:tplc="A732D096">
      <w:numFmt w:val="decimal"/>
      <w:lvlText w:val=""/>
      <w:lvlJc w:val="left"/>
    </w:lvl>
    <w:lvl w:ilvl="5" w:tplc="B48CD3A8">
      <w:numFmt w:val="decimal"/>
      <w:lvlText w:val=""/>
      <w:lvlJc w:val="left"/>
    </w:lvl>
    <w:lvl w:ilvl="6" w:tplc="7BAAB10E">
      <w:numFmt w:val="decimal"/>
      <w:lvlText w:val=""/>
      <w:lvlJc w:val="left"/>
    </w:lvl>
    <w:lvl w:ilvl="7" w:tplc="DD606DF4">
      <w:numFmt w:val="decimal"/>
      <w:lvlText w:val=""/>
      <w:lvlJc w:val="left"/>
    </w:lvl>
    <w:lvl w:ilvl="8" w:tplc="99F856A8">
      <w:numFmt w:val="decimal"/>
      <w:lvlText w:val=""/>
      <w:lvlJc w:val="left"/>
    </w:lvl>
  </w:abstractNum>
  <w:abstractNum w:abstractNumId="123" w15:restartNumberingAfterBreak="0">
    <w:nsid w:val="316032BB"/>
    <w:multiLevelType w:val="hybridMultilevel"/>
    <w:tmpl w:val="2122A060"/>
    <w:lvl w:ilvl="0" w:tplc="28E064B0">
      <w:start w:val="2"/>
      <w:numFmt w:val="lowerLetter"/>
      <w:lvlText w:val="(%1)"/>
      <w:lvlJc w:val="left"/>
    </w:lvl>
    <w:lvl w:ilvl="1" w:tplc="3CDEA0AE">
      <w:numFmt w:val="decimal"/>
      <w:lvlText w:val=""/>
      <w:lvlJc w:val="left"/>
    </w:lvl>
    <w:lvl w:ilvl="2" w:tplc="9FF858FC">
      <w:numFmt w:val="decimal"/>
      <w:lvlText w:val=""/>
      <w:lvlJc w:val="left"/>
    </w:lvl>
    <w:lvl w:ilvl="3" w:tplc="4ED2541A">
      <w:numFmt w:val="decimal"/>
      <w:lvlText w:val=""/>
      <w:lvlJc w:val="left"/>
    </w:lvl>
    <w:lvl w:ilvl="4" w:tplc="FD7AFAAE">
      <w:numFmt w:val="decimal"/>
      <w:lvlText w:val=""/>
      <w:lvlJc w:val="left"/>
    </w:lvl>
    <w:lvl w:ilvl="5" w:tplc="6A98CF66">
      <w:numFmt w:val="decimal"/>
      <w:lvlText w:val=""/>
      <w:lvlJc w:val="left"/>
    </w:lvl>
    <w:lvl w:ilvl="6" w:tplc="1E6C5CA0">
      <w:numFmt w:val="decimal"/>
      <w:lvlText w:val=""/>
      <w:lvlJc w:val="left"/>
    </w:lvl>
    <w:lvl w:ilvl="7" w:tplc="C3065BCC">
      <w:numFmt w:val="decimal"/>
      <w:lvlText w:val=""/>
      <w:lvlJc w:val="left"/>
    </w:lvl>
    <w:lvl w:ilvl="8" w:tplc="17F45E6E">
      <w:numFmt w:val="decimal"/>
      <w:lvlText w:val=""/>
      <w:lvlJc w:val="left"/>
    </w:lvl>
  </w:abstractNum>
  <w:abstractNum w:abstractNumId="124" w15:restartNumberingAfterBreak="0">
    <w:nsid w:val="3266459B"/>
    <w:multiLevelType w:val="hybridMultilevel"/>
    <w:tmpl w:val="4C468CB6"/>
    <w:lvl w:ilvl="0" w:tplc="B7303F24">
      <w:start w:val="1"/>
      <w:numFmt w:val="decimal"/>
      <w:lvlText w:val="(%1)"/>
      <w:lvlJc w:val="left"/>
    </w:lvl>
    <w:lvl w:ilvl="1" w:tplc="C77C888C">
      <w:numFmt w:val="decimal"/>
      <w:lvlText w:val=""/>
      <w:lvlJc w:val="left"/>
    </w:lvl>
    <w:lvl w:ilvl="2" w:tplc="0462A258">
      <w:numFmt w:val="decimal"/>
      <w:lvlText w:val=""/>
      <w:lvlJc w:val="left"/>
    </w:lvl>
    <w:lvl w:ilvl="3" w:tplc="7352B2B4">
      <w:numFmt w:val="decimal"/>
      <w:lvlText w:val=""/>
      <w:lvlJc w:val="left"/>
    </w:lvl>
    <w:lvl w:ilvl="4" w:tplc="5602F6A2">
      <w:numFmt w:val="decimal"/>
      <w:lvlText w:val=""/>
      <w:lvlJc w:val="left"/>
    </w:lvl>
    <w:lvl w:ilvl="5" w:tplc="3A02DB62">
      <w:numFmt w:val="decimal"/>
      <w:lvlText w:val=""/>
      <w:lvlJc w:val="left"/>
    </w:lvl>
    <w:lvl w:ilvl="6" w:tplc="DB90E632">
      <w:numFmt w:val="decimal"/>
      <w:lvlText w:val=""/>
      <w:lvlJc w:val="left"/>
    </w:lvl>
    <w:lvl w:ilvl="7" w:tplc="BE52C9EC">
      <w:numFmt w:val="decimal"/>
      <w:lvlText w:val=""/>
      <w:lvlJc w:val="left"/>
    </w:lvl>
    <w:lvl w:ilvl="8" w:tplc="E5C8CC48">
      <w:numFmt w:val="decimal"/>
      <w:lvlText w:val=""/>
      <w:lvlJc w:val="left"/>
    </w:lvl>
  </w:abstractNum>
  <w:abstractNum w:abstractNumId="125" w15:restartNumberingAfterBreak="0">
    <w:nsid w:val="327B517E"/>
    <w:multiLevelType w:val="hybridMultilevel"/>
    <w:tmpl w:val="52BC74BE"/>
    <w:lvl w:ilvl="0" w:tplc="24A08294">
      <w:start w:val="1"/>
      <w:numFmt w:val="lowerLetter"/>
      <w:lvlText w:val="(%1)"/>
      <w:lvlJc w:val="left"/>
    </w:lvl>
    <w:lvl w:ilvl="1" w:tplc="EABCC19A">
      <w:numFmt w:val="decimal"/>
      <w:lvlText w:val=""/>
      <w:lvlJc w:val="left"/>
    </w:lvl>
    <w:lvl w:ilvl="2" w:tplc="DFBCB3F4">
      <w:numFmt w:val="decimal"/>
      <w:lvlText w:val=""/>
      <w:lvlJc w:val="left"/>
    </w:lvl>
    <w:lvl w:ilvl="3" w:tplc="3AAE8D82">
      <w:numFmt w:val="decimal"/>
      <w:lvlText w:val=""/>
      <w:lvlJc w:val="left"/>
    </w:lvl>
    <w:lvl w:ilvl="4" w:tplc="2068B8B4">
      <w:numFmt w:val="decimal"/>
      <w:lvlText w:val=""/>
      <w:lvlJc w:val="left"/>
    </w:lvl>
    <w:lvl w:ilvl="5" w:tplc="447EEAD6">
      <w:numFmt w:val="decimal"/>
      <w:lvlText w:val=""/>
      <w:lvlJc w:val="left"/>
    </w:lvl>
    <w:lvl w:ilvl="6" w:tplc="B10459BC">
      <w:numFmt w:val="decimal"/>
      <w:lvlText w:val=""/>
      <w:lvlJc w:val="left"/>
    </w:lvl>
    <w:lvl w:ilvl="7" w:tplc="DD303648">
      <w:numFmt w:val="decimal"/>
      <w:lvlText w:val=""/>
      <w:lvlJc w:val="left"/>
    </w:lvl>
    <w:lvl w:ilvl="8" w:tplc="DEAE7D3C">
      <w:numFmt w:val="decimal"/>
      <w:lvlText w:val=""/>
      <w:lvlJc w:val="left"/>
    </w:lvl>
  </w:abstractNum>
  <w:abstractNum w:abstractNumId="126" w15:restartNumberingAfterBreak="0">
    <w:nsid w:val="327FAC77"/>
    <w:multiLevelType w:val="hybridMultilevel"/>
    <w:tmpl w:val="E98AD9C4"/>
    <w:lvl w:ilvl="0" w:tplc="CC429DA2">
      <w:start w:val="1"/>
      <w:numFmt w:val="lowerLetter"/>
      <w:lvlText w:val="(%1)"/>
      <w:lvlJc w:val="left"/>
    </w:lvl>
    <w:lvl w:ilvl="1" w:tplc="BFD04A66">
      <w:numFmt w:val="decimal"/>
      <w:lvlText w:val=""/>
      <w:lvlJc w:val="left"/>
    </w:lvl>
    <w:lvl w:ilvl="2" w:tplc="AE7C76F0">
      <w:numFmt w:val="decimal"/>
      <w:lvlText w:val=""/>
      <w:lvlJc w:val="left"/>
    </w:lvl>
    <w:lvl w:ilvl="3" w:tplc="53208222">
      <w:numFmt w:val="decimal"/>
      <w:lvlText w:val=""/>
      <w:lvlJc w:val="left"/>
    </w:lvl>
    <w:lvl w:ilvl="4" w:tplc="BE204A16">
      <w:numFmt w:val="decimal"/>
      <w:lvlText w:val=""/>
      <w:lvlJc w:val="left"/>
    </w:lvl>
    <w:lvl w:ilvl="5" w:tplc="A9B04362">
      <w:numFmt w:val="decimal"/>
      <w:lvlText w:val=""/>
      <w:lvlJc w:val="left"/>
    </w:lvl>
    <w:lvl w:ilvl="6" w:tplc="8520C71A">
      <w:numFmt w:val="decimal"/>
      <w:lvlText w:val=""/>
      <w:lvlJc w:val="left"/>
    </w:lvl>
    <w:lvl w:ilvl="7" w:tplc="AB1285D8">
      <w:numFmt w:val="decimal"/>
      <w:lvlText w:val=""/>
      <w:lvlJc w:val="left"/>
    </w:lvl>
    <w:lvl w:ilvl="8" w:tplc="1ACEA874">
      <w:numFmt w:val="decimal"/>
      <w:lvlText w:val=""/>
      <w:lvlJc w:val="left"/>
    </w:lvl>
  </w:abstractNum>
  <w:abstractNum w:abstractNumId="127" w15:restartNumberingAfterBreak="0">
    <w:nsid w:val="334A6F1F"/>
    <w:multiLevelType w:val="hybridMultilevel"/>
    <w:tmpl w:val="BA40C468"/>
    <w:lvl w:ilvl="0" w:tplc="4C8061A2">
      <w:start w:val="1"/>
      <w:numFmt w:val="lowerRoman"/>
      <w:lvlText w:val="%1"/>
      <w:lvlJc w:val="left"/>
    </w:lvl>
    <w:lvl w:ilvl="1" w:tplc="FAB20E7E">
      <w:start w:val="1"/>
      <w:numFmt w:val="lowerRoman"/>
      <w:lvlText w:val="%2"/>
      <w:lvlJc w:val="left"/>
    </w:lvl>
    <w:lvl w:ilvl="2" w:tplc="42AE7A1A">
      <w:start w:val="5"/>
      <w:numFmt w:val="upperLetter"/>
      <w:lvlText w:val="(%3)"/>
      <w:lvlJc w:val="left"/>
    </w:lvl>
    <w:lvl w:ilvl="3" w:tplc="981ABD0E">
      <w:numFmt w:val="decimal"/>
      <w:lvlText w:val=""/>
      <w:lvlJc w:val="left"/>
    </w:lvl>
    <w:lvl w:ilvl="4" w:tplc="445AC372">
      <w:numFmt w:val="decimal"/>
      <w:lvlText w:val=""/>
      <w:lvlJc w:val="left"/>
    </w:lvl>
    <w:lvl w:ilvl="5" w:tplc="5FE8DF72">
      <w:numFmt w:val="decimal"/>
      <w:lvlText w:val=""/>
      <w:lvlJc w:val="left"/>
    </w:lvl>
    <w:lvl w:ilvl="6" w:tplc="B1243ABA">
      <w:numFmt w:val="decimal"/>
      <w:lvlText w:val=""/>
      <w:lvlJc w:val="left"/>
    </w:lvl>
    <w:lvl w:ilvl="7" w:tplc="3E06B4F6">
      <w:numFmt w:val="decimal"/>
      <w:lvlText w:val=""/>
      <w:lvlJc w:val="left"/>
    </w:lvl>
    <w:lvl w:ilvl="8" w:tplc="B09E3148">
      <w:numFmt w:val="decimal"/>
      <w:lvlText w:val=""/>
      <w:lvlJc w:val="left"/>
    </w:lvl>
  </w:abstractNum>
  <w:abstractNum w:abstractNumId="128" w15:restartNumberingAfterBreak="0">
    <w:nsid w:val="335A1DF1"/>
    <w:multiLevelType w:val="hybridMultilevel"/>
    <w:tmpl w:val="2CE24708"/>
    <w:lvl w:ilvl="0" w:tplc="5F104DA4">
      <w:start w:val="5"/>
      <w:numFmt w:val="lowerLetter"/>
      <w:lvlText w:val="(%1)"/>
      <w:lvlJc w:val="left"/>
    </w:lvl>
    <w:lvl w:ilvl="1" w:tplc="20C48742">
      <w:numFmt w:val="decimal"/>
      <w:lvlText w:val=""/>
      <w:lvlJc w:val="left"/>
    </w:lvl>
    <w:lvl w:ilvl="2" w:tplc="7076CCAC">
      <w:numFmt w:val="decimal"/>
      <w:lvlText w:val=""/>
      <w:lvlJc w:val="left"/>
    </w:lvl>
    <w:lvl w:ilvl="3" w:tplc="809A244A">
      <w:numFmt w:val="decimal"/>
      <w:lvlText w:val=""/>
      <w:lvlJc w:val="left"/>
    </w:lvl>
    <w:lvl w:ilvl="4" w:tplc="8BA6C9A8">
      <w:numFmt w:val="decimal"/>
      <w:lvlText w:val=""/>
      <w:lvlJc w:val="left"/>
    </w:lvl>
    <w:lvl w:ilvl="5" w:tplc="D3AE625E">
      <w:numFmt w:val="decimal"/>
      <w:lvlText w:val=""/>
      <w:lvlJc w:val="left"/>
    </w:lvl>
    <w:lvl w:ilvl="6" w:tplc="4F642DB2">
      <w:numFmt w:val="decimal"/>
      <w:lvlText w:val=""/>
      <w:lvlJc w:val="left"/>
    </w:lvl>
    <w:lvl w:ilvl="7" w:tplc="6EF2D046">
      <w:numFmt w:val="decimal"/>
      <w:lvlText w:val=""/>
      <w:lvlJc w:val="left"/>
    </w:lvl>
    <w:lvl w:ilvl="8" w:tplc="A956E4B4">
      <w:numFmt w:val="decimal"/>
      <w:lvlText w:val=""/>
      <w:lvlJc w:val="left"/>
    </w:lvl>
  </w:abstractNum>
  <w:abstractNum w:abstractNumId="129" w15:restartNumberingAfterBreak="0">
    <w:nsid w:val="338125CF"/>
    <w:multiLevelType w:val="hybridMultilevel"/>
    <w:tmpl w:val="01A6A9F6"/>
    <w:lvl w:ilvl="0" w:tplc="BDDC4476">
      <w:start w:val="1"/>
      <w:numFmt w:val="bullet"/>
      <w:lvlText w:val="•"/>
      <w:lvlJc w:val="left"/>
    </w:lvl>
    <w:lvl w:ilvl="1" w:tplc="C1A6ACA2">
      <w:numFmt w:val="decimal"/>
      <w:lvlText w:val=""/>
      <w:lvlJc w:val="left"/>
    </w:lvl>
    <w:lvl w:ilvl="2" w:tplc="62ACFD66">
      <w:numFmt w:val="decimal"/>
      <w:lvlText w:val=""/>
      <w:lvlJc w:val="left"/>
    </w:lvl>
    <w:lvl w:ilvl="3" w:tplc="E54C56AA">
      <w:numFmt w:val="decimal"/>
      <w:lvlText w:val=""/>
      <w:lvlJc w:val="left"/>
    </w:lvl>
    <w:lvl w:ilvl="4" w:tplc="253CD5CA">
      <w:numFmt w:val="decimal"/>
      <w:lvlText w:val=""/>
      <w:lvlJc w:val="left"/>
    </w:lvl>
    <w:lvl w:ilvl="5" w:tplc="2228BFDE">
      <w:numFmt w:val="decimal"/>
      <w:lvlText w:val=""/>
      <w:lvlJc w:val="left"/>
    </w:lvl>
    <w:lvl w:ilvl="6" w:tplc="308CEFCC">
      <w:numFmt w:val="decimal"/>
      <w:lvlText w:val=""/>
      <w:lvlJc w:val="left"/>
    </w:lvl>
    <w:lvl w:ilvl="7" w:tplc="2A5C7162">
      <w:numFmt w:val="decimal"/>
      <w:lvlText w:val=""/>
      <w:lvlJc w:val="left"/>
    </w:lvl>
    <w:lvl w:ilvl="8" w:tplc="3F586AF0">
      <w:numFmt w:val="decimal"/>
      <w:lvlText w:val=""/>
      <w:lvlJc w:val="left"/>
    </w:lvl>
  </w:abstractNum>
  <w:abstractNum w:abstractNumId="130" w15:restartNumberingAfterBreak="0">
    <w:nsid w:val="3410ED56"/>
    <w:multiLevelType w:val="hybridMultilevel"/>
    <w:tmpl w:val="502E89F8"/>
    <w:lvl w:ilvl="0" w:tplc="76C86EEA">
      <w:start w:val="1"/>
      <w:numFmt w:val="bullet"/>
      <w:lvlText w:val="•"/>
      <w:lvlJc w:val="left"/>
    </w:lvl>
    <w:lvl w:ilvl="1" w:tplc="9064DF30">
      <w:numFmt w:val="decimal"/>
      <w:lvlText w:val=""/>
      <w:lvlJc w:val="left"/>
    </w:lvl>
    <w:lvl w:ilvl="2" w:tplc="D72C39C4">
      <w:numFmt w:val="decimal"/>
      <w:lvlText w:val=""/>
      <w:lvlJc w:val="left"/>
    </w:lvl>
    <w:lvl w:ilvl="3" w:tplc="770EB0C2">
      <w:numFmt w:val="decimal"/>
      <w:lvlText w:val=""/>
      <w:lvlJc w:val="left"/>
    </w:lvl>
    <w:lvl w:ilvl="4" w:tplc="84D43E6A">
      <w:numFmt w:val="decimal"/>
      <w:lvlText w:val=""/>
      <w:lvlJc w:val="left"/>
    </w:lvl>
    <w:lvl w:ilvl="5" w:tplc="CDC44D90">
      <w:numFmt w:val="decimal"/>
      <w:lvlText w:val=""/>
      <w:lvlJc w:val="left"/>
    </w:lvl>
    <w:lvl w:ilvl="6" w:tplc="DCE275A2">
      <w:numFmt w:val="decimal"/>
      <w:lvlText w:val=""/>
      <w:lvlJc w:val="left"/>
    </w:lvl>
    <w:lvl w:ilvl="7" w:tplc="5C0A5662">
      <w:numFmt w:val="decimal"/>
      <w:lvlText w:val=""/>
      <w:lvlJc w:val="left"/>
    </w:lvl>
    <w:lvl w:ilvl="8" w:tplc="5E880502">
      <w:numFmt w:val="decimal"/>
      <w:lvlText w:val=""/>
      <w:lvlJc w:val="left"/>
    </w:lvl>
  </w:abstractNum>
  <w:abstractNum w:abstractNumId="131" w15:restartNumberingAfterBreak="0">
    <w:nsid w:val="3494B2FB"/>
    <w:multiLevelType w:val="hybridMultilevel"/>
    <w:tmpl w:val="EC4E162E"/>
    <w:lvl w:ilvl="0" w:tplc="59DA8544">
      <w:start w:val="2"/>
      <w:numFmt w:val="lowerLetter"/>
      <w:lvlText w:val="(%1)"/>
      <w:lvlJc w:val="left"/>
    </w:lvl>
    <w:lvl w:ilvl="1" w:tplc="FECA23B4">
      <w:numFmt w:val="decimal"/>
      <w:lvlText w:val=""/>
      <w:lvlJc w:val="left"/>
    </w:lvl>
    <w:lvl w:ilvl="2" w:tplc="20CA3F06">
      <w:numFmt w:val="decimal"/>
      <w:lvlText w:val=""/>
      <w:lvlJc w:val="left"/>
    </w:lvl>
    <w:lvl w:ilvl="3" w:tplc="471C5EF2">
      <w:numFmt w:val="decimal"/>
      <w:lvlText w:val=""/>
      <w:lvlJc w:val="left"/>
    </w:lvl>
    <w:lvl w:ilvl="4" w:tplc="F2D2FCFA">
      <w:numFmt w:val="decimal"/>
      <w:lvlText w:val=""/>
      <w:lvlJc w:val="left"/>
    </w:lvl>
    <w:lvl w:ilvl="5" w:tplc="ADF65916">
      <w:numFmt w:val="decimal"/>
      <w:lvlText w:val=""/>
      <w:lvlJc w:val="left"/>
    </w:lvl>
    <w:lvl w:ilvl="6" w:tplc="000E5CE2">
      <w:numFmt w:val="decimal"/>
      <w:lvlText w:val=""/>
      <w:lvlJc w:val="left"/>
    </w:lvl>
    <w:lvl w:ilvl="7" w:tplc="A95805F4">
      <w:numFmt w:val="decimal"/>
      <w:lvlText w:val=""/>
      <w:lvlJc w:val="left"/>
    </w:lvl>
    <w:lvl w:ilvl="8" w:tplc="C7B29D90">
      <w:numFmt w:val="decimal"/>
      <w:lvlText w:val=""/>
      <w:lvlJc w:val="left"/>
    </w:lvl>
  </w:abstractNum>
  <w:abstractNum w:abstractNumId="132" w15:restartNumberingAfterBreak="0">
    <w:nsid w:val="34CC3ACF"/>
    <w:multiLevelType w:val="hybridMultilevel"/>
    <w:tmpl w:val="713A1D1C"/>
    <w:lvl w:ilvl="0" w:tplc="FBD00672">
      <w:start w:val="2"/>
      <w:numFmt w:val="lowerLetter"/>
      <w:lvlText w:val="(%1)"/>
      <w:lvlJc w:val="left"/>
    </w:lvl>
    <w:lvl w:ilvl="1" w:tplc="80D88532">
      <w:numFmt w:val="decimal"/>
      <w:lvlText w:val=""/>
      <w:lvlJc w:val="left"/>
    </w:lvl>
    <w:lvl w:ilvl="2" w:tplc="5952FA5A">
      <w:numFmt w:val="decimal"/>
      <w:lvlText w:val=""/>
      <w:lvlJc w:val="left"/>
    </w:lvl>
    <w:lvl w:ilvl="3" w:tplc="DDE6405E">
      <w:numFmt w:val="decimal"/>
      <w:lvlText w:val=""/>
      <w:lvlJc w:val="left"/>
    </w:lvl>
    <w:lvl w:ilvl="4" w:tplc="E0EAEF6C">
      <w:numFmt w:val="decimal"/>
      <w:lvlText w:val=""/>
      <w:lvlJc w:val="left"/>
    </w:lvl>
    <w:lvl w:ilvl="5" w:tplc="C8285E50">
      <w:numFmt w:val="decimal"/>
      <w:lvlText w:val=""/>
      <w:lvlJc w:val="left"/>
    </w:lvl>
    <w:lvl w:ilvl="6" w:tplc="9A3A1A9C">
      <w:numFmt w:val="decimal"/>
      <w:lvlText w:val=""/>
      <w:lvlJc w:val="left"/>
    </w:lvl>
    <w:lvl w:ilvl="7" w:tplc="165646FA">
      <w:numFmt w:val="decimal"/>
      <w:lvlText w:val=""/>
      <w:lvlJc w:val="left"/>
    </w:lvl>
    <w:lvl w:ilvl="8" w:tplc="6E6A757E">
      <w:numFmt w:val="decimal"/>
      <w:lvlText w:val=""/>
      <w:lvlJc w:val="left"/>
    </w:lvl>
  </w:abstractNum>
  <w:abstractNum w:abstractNumId="133" w15:restartNumberingAfterBreak="0">
    <w:nsid w:val="34DFBC00"/>
    <w:multiLevelType w:val="hybridMultilevel"/>
    <w:tmpl w:val="163A0BD2"/>
    <w:lvl w:ilvl="0" w:tplc="BA4454D0">
      <w:start w:val="1"/>
      <w:numFmt w:val="bullet"/>
      <w:lvlText w:val="•"/>
      <w:lvlJc w:val="left"/>
    </w:lvl>
    <w:lvl w:ilvl="1" w:tplc="13E8134E">
      <w:numFmt w:val="decimal"/>
      <w:lvlText w:val=""/>
      <w:lvlJc w:val="left"/>
    </w:lvl>
    <w:lvl w:ilvl="2" w:tplc="F96E918C">
      <w:numFmt w:val="decimal"/>
      <w:lvlText w:val=""/>
      <w:lvlJc w:val="left"/>
    </w:lvl>
    <w:lvl w:ilvl="3" w:tplc="353E0B2E">
      <w:numFmt w:val="decimal"/>
      <w:lvlText w:val=""/>
      <w:lvlJc w:val="left"/>
    </w:lvl>
    <w:lvl w:ilvl="4" w:tplc="4ACCC820">
      <w:numFmt w:val="decimal"/>
      <w:lvlText w:val=""/>
      <w:lvlJc w:val="left"/>
    </w:lvl>
    <w:lvl w:ilvl="5" w:tplc="05BA1356">
      <w:numFmt w:val="decimal"/>
      <w:lvlText w:val=""/>
      <w:lvlJc w:val="left"/>
    </w:lvl>
    <w:lvl w:ilvl="6" w:tplc="1662F51A">
      <w:numFmt w:val="decimal"/>
      <w:lvlText w:val=""/>
      <w:lvlJc w:val="left"/>
    </w:lvl>
    <w:lvl w:ilvl="7" w:tplc="6B725F38">
      <w:numFmt w:val="decimal"/>
      <w:lvlText w:val=""/>
      <w:lvlJc w:val="left"/>
    </w:lvl>
    <w:lvl w:ilvl="8" w:tplc="5B203040">
      <w:numFmt w:val="decimal"/>
      <w:lvlText w:val=""/>
      <w:lvlJc w:val="left"/>
    </w:lvl>
  </w:abstractNum>
  <w:abstractNum w:abstractNumId="134" w15:restartNumberingAfterBreak="0">
    <w:nsid w:val="368DB37E"/>
    <w:multiLevelType w:val="hybridMultilevel"/>
    <w:tmpl w:val="FCC4A1A0"/>
    <w:lvl w:ilvl="0" w:tplc="1674D188">
      <w:start w:val="1"/>
      <w:numFmt w:val="lowerLetter"/>
      <w:lvlText w:val="(%1)"/>
      <w:lvlJc w:val="left"/>
    </w:lvl>
    <w:lvl w:ilvl="1" w:tplc="EBEC7F74">
      <w:numFmt w:val="decimal"/>
      <w:lvlText w:val=""/>
      <w:lvlJc w:val="left"/>
    </w:lvl>
    <w:lvl w:ilvl="2" w:tplc="F0E87E12">
      <w:numFmt w:val="decimal"/>
      <w:lvlText w:val=""/>
      <w:lvlJc w:val="left"/>
    </w:lvl>
    <w:lvl w:ilvl="3" w:tplc="F140EA6E">
      <w:numFmt w:val="decimal"/>
      <w:lvlText w:val=""/>
      <w:lvlJc w:val="left"/>
    </w:lvl>
    <w:lvl w:ilvl="4" w:tplc="03842036">
      <w:numFmt w:val="decimal"/>
      <w:lvlText w:val=""/>
      <w:lvlJc w:val="left"/>
    </w:lvl>
    <w:lvl w:ilvl="5" w:tplc="39A6FFD4">
      <w:numFmt w:val="decimal"/>
      <w:lvlText w:val=""/>
      <w:lvlJc w:val="left"/>
    </w:lvl>
    <w:lvl w:ilvl="6" w:tplc="20864124">
      <w:numFmt w:val="decimal"/>
      <w:lvlText w:val=""/>
      <w:lvlJc w:val="left"/>
    </w:lvl>
    <w:lvl w:ilvl="7" w:tplc="538A25B6">
      <w:numFmt w:val="decimal"/>
      <w:lvlText w:val=""/>
      <w:lvlJc w:val="left"/>
    </w:lvl>
    <w:lvl w:ilvl="8" w:tplc="236E7BDE">
      <w:numFmt w:val="decimal"/>
      <w:lvlText w:val=""/>
      <w:lvlJc w:val="left"/>
    </w:lvl>
  </w:abstractNum>
  <w:abstractNum w:abstractNumId="135" w15:restartNumberingAfterBreak="0">
    <w:nsid w:val="36B2ACBC"/>
    <w:multiLevelType w:val="hybridMultilevel"/>
    <w:tmpl w:val="BBDA2EA6"/>
    <w:lvl w:ilvl="0" w:tplc="2692276E">
      <w:start w:val="1"/>
      <w:numFmt w:val="bullet"/>
      <w:lvlText w:val="*"/>
      <w:lvlJc w:val="left"/>
    </w:lvl>
    <w:lvl w:ilvl="1" w:tplc="0FAC84FE">
      <w:numFmt w:val="decimal"/>
      <w:lvlText w:val=""/>
      <w:lvlJc w:val="left"/>
    </w:lvl>
    <w:lvl w:ilvl="2" w:tplc="9156173C">
      <w:numFmt w:val="decimal"/>
      <w:lvlText w:val=""/>
      <w:lvlJc w:val="left"/>
    </w:lvl>
    <w:lvl w:ilvl="3" w:tplc="B46E7132">
      <w:numFmt w:val="decimal"/>
      <w:lvlText w:val=""/>
      <w:lvlJc w:val="left"/>
    </w:lvl>
    <w:lvl w:ilvl="4" w:tplc="2B3AB5A4">
      <w:numFmt w:val="decimal"/>
      <w:lvlText w:val=""/>
      <w:lvlJc w:val="left"/>
    </w:lvl>
    <w:lvl w:ilvl="5" w:tplc="E0A248DE">
      <w:numFmt w:val="decimal"/>
      <w:lvlText w:val=""/>
      <w:lvlJc w:val="left"/>
    </w:lvl>
    <w:lvl w:ilvl="6" w:tplc="DEF2A344">
      <w:numFmt w:val="decimal"/>
      <w:lvlText w:val=""/>
      <w:lvlJc w:val="left"/>
    </w:lvl>
    <w:lvl w:ilvl="7" w:tplc="06A090CA">
      <w:numFmt w:val="decimal"/>
      <w:lvlText w:val=""/>
      <w:lvlJc w:val="left"/>
    </w:lvl>
    <w:lvl w:ilvl="8" w:tplc="0892102C">
      <w:numFmt w:val="decimal"/>
      <w:lvlText w:val=""/>
      <w:lvlJc w:val="left"/>
    </w:lvl>
  </w:abstractNum>
  <w:abstractNum w:abstractNumId="136" w15:restartNumberingAfterBreak="0">
    <w:nsid w:val="3746A5F2"/>
    <w:multiLevelType w:val="hybridMultilevel"/>
    <w:tmpl w:val="02920E82"/>
    <w:lvl w:ilvl="0" w:tplc="1094524E">
      <w:start w:val="4"/>
      <w:numFmt w:val="decimal"/>
      <w:lvlText w:val="(%1)"/>
      <w:lvlJc w:val="left"/>
    </w:lvl>
    <w:lvl w:ilvl="1" w:tplc="137A6CAE">
      <w:numFmt w:val="decimal"/>
      <w:lvlText w:val=""/>
      <w:lvlJc w:val="left"/>
    </w:lvl>
    <w:lvl w:ilvl="2" w:tplc="D75807BA">
      <w:numFmt w:val="decimal"/>
      <w:lvlText w:val=""/>
      <w:lvlJc w:val="left"/>
    </w:lvl>
    <w:lvl w:ilvl="3" w:tplc="E932E750">
      <w:numFmt w:val="decimal"/>
      <w:lvlText w:val=""/>
      <w:lvlJc w:val="left"/>
    </w:lvl>
    <w:lvl w:ilvl="4" w:tplc="6B1A1DE6">
      <w:numFmt w:val="decimal"/>
      <w:lvlText w:val=""/>
      <w:lvlJc w:val="left"/>
    </w:lvl>
    <w:lvl w:ilvl="5" w:tplc="6D945CA4">
      <w:numFmt w:val="decimal"/>
      <w:lvlText w:val=""/>
      <w:lvlJc w:val="left"/>
    </w:lvl>
    <w:lvl w:ilvl="6" w:tplc="9C306668">
      <w:numFmt w:val="decimal"/>
      <w:lvlText w:val=""/>
      <w:lvlJc w:val="left"/>
    </w:lvl>
    <w:lvl w:ilvl="7" w:tplc="409C3080">
      <w:numFmt w:val="decimal"/>
      <w:lvlText w:val=""/>
      <w:lvlJc w:val="left"/>
    </w:lvl>
    <w:lvl w:ilvl="8" w:tplc="032AD298">
      <w:numFmt w:val="decimal"/>
      <w:lvlText w:val=""/>
      <w:lvlJc w:val="left"/>
    </w:lvl>
  </w:abstractNum>
  <w:abstractNum w:abstractNumId="137" w15:restartNumberingAfterBreak="0">
    <w:nsid w:val="378D97C0"/>
    <w:multiLevelType w:val="hybridMultilevel"/>
    <w:tmpl w:val="9296120A"/>
    <w:lvl w:ilvl="0" w:tplc="900EEB28">
      <w:start w:val="1"/>
      <w:numFmt w:val="lowerLetter"/>
      <w:lvlText w:val="(%1)"/>
      <w:lvlJc w:val="left"/>
    </w:lvl>
    <w:lvl w:ilvl="1" w:tplc="1F545408">
      <w:numFmt w:val="decimal"/>
      <w:lvlText w:val=""/>
      <w:lvlJc w:val="left"/>
    </w:lvl>
    <w:lvl w:ilvl="2" w:tplc="4750279E">
      <w:numFmt w:val="decimal"/>
      <w:lvlText w:val=""/>
      <w:lvlJc w:val="left"/>
    </w:lvl>
    <w:lvl w:ilvl="3" w:tplc="5D2A942A">
      <w:numFmt w:val="decimal"/>
      <w:lvlText w:val=""/>
      <w:lvlJc w:val="left"/>
    </w:lvl>
    <w:lvl w:ilvl="4" w:tplc="8140E6C8">
      <w:numFmt w:val="decimal"/>
      <w:lvlText w:val=""/>
      <w:lvlJc w:val="left"/>
    </w:lvl>
    <w:lvl w:ilvl="5" w:tplc="28080DD8">
      <w:numFmt w:val="decimal"/>
      <w:lvlText w:val=""/>
      <w:lvlJc w:val="left"/>
    </w:lvl>
    <w:lvl w:ilvl="6" w:tplc="8312E058">
      <w:numFmt w:val="decimal"/>
      <w:lvlText w:val=""/>
      <w:lvlJc w:val="left"/>
    </w:lvl>
    <w:lvl w:ilvl="7" w:tplc="0EAEA13C">
      <w:numFmt w:val="decimal"/>
      <w:lvlText w:val=""/>
      <w:lvlJc w:val="left"/>
    </w:lvl>
    <w:lvl w:ilvl="8" w:tplc="2BFA90A0">
      <w:numFmt w:val="decimal"/>
      <w:lvlText w:val=""/>
      <w:lvlJc w:val="left"/>
    </w:lvl>
  </w:abstractNum>
  <w:abstractNum w:abstractNumId="138" w15:restartNumberingAfterBreak="0">
    <w:nsid w:val="37E203AB"/>
    <w:multiLevelType w:val="hybridMultilevel"/>
    <w:tmpl w:val="9B022AFE"/>
    <w:lvl w:ilvl="0" w:tplc="CE9CC2F2">
      <w:start w:val="1"/>
      <w:numFmt w:val="decimal"/>
      <w:lvlText w:val="(%1)"/>
      <w:lvlJc w:val="left"/>
    </w:lvl>
    <w:lvl w:ilvl="1" w:tplc="3EEC5914">
      <w:numFmt w:val="decimal"/>
      <w:lvlText w:val=""/>
      <w:lvlJc w:val="left"/>
    </w:lvl>
    <w:lvl w:ilvl="2" w:tplc="DE8649F8">
      <w:numFmt w:val="decimal"/>
      <w:lvlText w:val=""/>
      <w:lvlJc w:val="left"/>
    </w:lvl>
    <w:lvl w:ilvl="3" w:tplc="19BEF1AC">
      <w:numFmt w:val="decimal"/>
      <w:lvlText w:val=""/>
      <w:lvlJc w:val="left"/>
    </w:lvl>
    <w:lvl w:ilvl="4" w:tplc="0004D12A">
      <w:numFmt w:val="decimal"/>
      <w:lvlText w:val=""/>
      <w:lvlJc w:val="left"/>
    </w:lvl>
    <w:lvl w:ilvl="5" w:tplc="B84CEFDC">
      <w:numFmt w:val="decimal"/>
      <w:lvlText w:val=""/>
      <w:lvlJc w:val="left"/>
    </w:lvl>
    <w:lvl w:ilvl="6" w:tplc="9198D786">
      <w:numFmt w:val="decimal"/>
      <w:lvlText w:val=""/>
      <w:lvlJc w:val="left"/>
    </w:lvl>
    <w:lvl w:ilvl="7" w:tplc="B68CD060">
      <w:numFmt w:val="decimal"/>
      <w:lvlText w:val=""/>
      <w:lvlJc w:val="left"/>
    </w:lvl>
    <w:lvl w:ilvl="8" w:tplc="9B18656A">
      <w:numFmt w:val="decimal"/>
      <w:lvlText w:val=""/>
      <w:lvlJc w:val="left"/>
    </w:lvl>
  </w:abstractNum>
  <w:abstractNum w:abstractNumId="139" w15:restartNumberingAfterBreak="0">
    <w:nsid w:val="3822CB01"/>
    <w:multiLevelType w:val="hybridMultilevel"/>
    <w:tmpl w:val="C65431B4"/>
    <w:lvl w:ilvl="0" w:tplc="0F744212">
      <w:start w:val="1"/>
      <w:numFmt w:val="upperLetter"/>
      <w:lvlText w:val="%1:"/>
      <w:lvlJc w:val="left"/>
    </w:lvl>
    <w:lvl w:ilvl="1" w:tplc="00785A7C">
      <w:numFmt w:val="decimal"/>
      <w:lvlText w:val=""/>
      <w:lvlJc w:val="left"/>
    </w:lvl>
    <w:lvl w:ilvl="2" w:tplc="AACC004E">
      <w:numFmt w:val="decimal"/>
      <w:lvlText w:val=""/>
      <w:lvlJc w:val="left"/>
    </w:lvl>
    <w:lvl w:ilvl="3" w:tplc="0E787CCA">
      <w:numFmt w:val="decimal"/>
      <w:lvlText w:val=""/>
      <w:lvlJc w:val="left"/>
    </w:lvl>
    <w:lvl w:ilvl="4" w:tplc="BAC24FAC">
      <w:numFmt w:val="decimal"/>
      <w:lvlText w:val=""/>
      <w:lvlJc w:val="left"/>
    </w:lvl>
    <w:lvl w:ilvl="5" w:tplc="F58A7A8C">
      <w:numFmt w:val="decimal"/>
      <w:lvlText w:val=""/>
      <w:lvlJc w:val="left"/>
    </w:lvl>
    <w:lvl w:ilvl="6" w:tplc="CB368A88">
      <w:numFmt w:val="decimal"/>
      <w:lvlText w:val=""/>
      <w:lvlJc w:val="left"/>
    </w:lvl>
    <w:lvl w:ilvl="7" w:tplc="F52E8C58">
      <w:numFmt w:val="decimal"/>
      <w:lvlText w:val=""/>
      <w:lvlJc w:val="left"/>
    </w:lvl>
    <w:lvl w:ilvl="8" w:tplc="762CD884">
      <w:numFmt w:val="decimal"/>
      <w:lvlText w:val=""/>
      <w:lvlJc w:val="left"/>
    </w:lvl>
  </w:abstractNum>
  <w:abstractNum w:abstractNumId="140" w15:restartNumberingAfterBreak="0">
    <w:nsid w:val="38A5D054"/>
    <w:multiLevelType w:val="hybridMultilevel"/>
    <w:tmpl w:val="24B80AE0"/>
    <w:lvl w:ilvl="0" w:tplc="B38EFD1E">
      <w:start w:val="1"/>
      <w:numFmt w:val="lowerRoman"/>
      <w:lvlText w:val="(%1)"/>
      <w:lvlJc w:val="left"/>
    </w:lvl>
    <w:lvl w:ilvl="1" w:tplc="08B8D6DC">
      <w:start w:val="3"/>
      <w:numFmt w:val="lowerRoman"/>
      <w:lvlText w:val="(%2)"/>
      <w:lvlJc w:val="left"/>
    </w:lvl>
    <w:lvl w:ilvl="2" w:tplc="754C7C1A">
      <w:numFmt w:val="decimal"/>
      <w:lvlText w:val=""/>
      <w:lvlJc w:val="left"/>
    </w:lvl>
    <w:lvl w:ilvl="3" w:tplc="5456DE5E">
      <w:numFmt w:val="decimal"/>
      <w:lvlText w:val=""/>
      <w:lvlJc w:val="left"/>
    </w:lvl>
    <w:lvl w:ilvl="4" w:tplc="4A0285CA">
      <w:numFmt w:val="decimal"/>
      <w:lvlText w:val=""/>
      <w:lvlJc w:val="left"/>
    </w:lvl>
    <w:lvl w:ilvl="5" w:tplc="FDA674FA">
      <w:numFmt w:val="decimal"/>
      <w:lvlText w:val=""/>
      <w:lvlJc w:val="left"/>
    </w:lvl>
    <w:lvl w:ilvl="6" w:tplc="16504812">
      <w:numFmt w:val="decimal"/>
      <w:lvlText w:val=""/>
      <w:lvlJc w:val="left"/>
    </w:lvl>
    <w:lvl w:ilvl="7" w:tplc="61BCEF96">
      <w:numFmt w:val="decimal"/>
      <w:lvlText w:val=""/>
      <w:lvlJc w:val="left"/>
    </w:lvl>
    <w:lvl w:ilvl="8" w:tplc="CE96CE50">
      <w:numFmt w:val="decimal"/>
      <w:lvlText w:val=""/>
      <w:lvlJc w:val="left"/>
    </w:lvl>
  </w:abstractNum>
  <w:abstractNum w:abstractNumId="141" w15:restartNumberingAfterBreak="0">
    <w:nsid w:val="392EDBE4"/>
    <w:multiLevelType w:val="hybridMultilevel"/>
    <w:tmpl w:val="8F064666"/>
    <w:lvl w:ilvl="0" w:tplc="03982484">
      <w:start w:val="17"/>
      <w:numFmt w:val="upperLetter"/>
      <w:lvlText w:val="%1:"/>
      <w:lvlJc w:val="left"/>
    </w:lvl>
    <w:lvl w:ilvl="1" w:tplc="5092716A">
      <w:numFmt w:val="decimal"/>
      <w:lvlText w:val=""/>
      <w:lvlJc w:val="left"/>
    </w:lvl>
    <w:lvl w:ilvl="2" w:tplc="71BCBB2E">
      <w:numFmt w:val="decimal"/>
      <w:lvlText w:val=""/>
      <w:lvlJc w:val="left"/>
    </w:lvl>
    <w:lvl w:ilvl="3" w:tplc="5B1C9DF8">
      <w:numFmt w:val="decimal"/>
      <w:lvlText w:val=""/>
      <w:lvlJc w:val="left"/>
    </w:lvl>
    <w:lvl w:ilvl="4" w:tplc="B8984FD4">
      <w:numFmt w:val="decimal"/>
      <w:lvlText w:val=""/>
      <w:lvlJc w:val="left"/>
    </w:lvl>
    <w:lvl w:ilvl="5" w:tplc="C666C23C">
      <w:numFmt w:val="decimal"/>
      <w:lvlText w:val=""/>
      <w:lvlJc w:val="left"/>
    </w:lvl>
    <w:lvl w:ilvl="6" w:tplc="EBB0559C">
      <w:numFmt w:val="decimal"/>
      <w:lvlText w:val=""/>
      <w:lvlJc w:val="left"/>
    </w:lvl>
    <w:lvl w:ilvl="7" w:tplc="B4A48154">
      <w:numFmt w:val="decimal"/>
      <w:lvlText w:val=""/>
      <w:lvlJc w:val="left"/>
    </w:lvl>
    <w:lvl w:ilvl="8" w:tplc="1CD0AD78">
      <w:numFmt w:val="decimal"/>
      <w:lvlText w:val=""/>
      <w:lvlJc w:val="left"/>
    </w:lvl>
  </w:abstractNum>
  <w:abstractNum w:abstractNumId="142" w15:restartNumberingAfterBreak="0">
    <w:nsid w:val="3957756A"/>
    <w:multiLevelType w:val="hybridMultilevel"/>
    <w:tmpl w:val="C758F144"/>
    <w:lvl w:ilvl="0" w:tplc="82D6EC9A">
      <w:start w:val="1"/>
      <w:numFmt w:val="lowerLetter"/>
      <w:lvlText w:val="(%1)"/>
      <w:lvlJc w:val="left"/>
    </w:lvl>
    <w:lvl w:ilvl="1" w:tplc="9140B44C">
      <w:numFmt w:val="decimal"/>
      <w:lvlText w:val=""/>
      <w:lvlJc w:val="left"/>
    </w:lvl>
    <w:lvl w:ilvl="2" w:tplc="55F614B8">
      <w:numFmt w:val="decimal"/>
      <w:lvlText w:val=""/>
      <w:lvlJc w:val="left"/>
    </w:lvl>
    <w:lvl w:ilvl="3" w:tplc="19EE285A">
      <w:numFmt w:val="decimal"/>
      <w:lvlText w:val=""/>
      <w:lvlJc w:val="left"/>
    </w:lvl>
    <w:lvl w:ilvl="4" w:tplc="73A60E62">
      <w:numFmt w:val="decimal"/>
      <w:lvlText w:val=""/>
      <w:lvlJc w:val="left"/>
    </w:lvl>
    <w:lvl w:ilvl="5" w:tplc="00EE2BCA">
      <w:numFmt w:val="decimal"/>
      <w:lvlText w:val=""/>
      <w:lvlJc w:val="left"/>
    </w:lvl>
    <w:lvl w:ilvl="6" w:tplc="48E012CA">
      <w:numFmt w:val="decimal"/>
      <w:lvlText w:val=""/>
      <w:lvlJc w:val="left"/>
    </w:lvl>
    <w:lvl w:ilvl="7" w:tplc="545CC8BA">
      <w:numFmt w:val="decimal"/>
      <w:lvlText w:val=""/>
      <w:lvlJc w:val="left"/>
    </w:lvl>
    <w:lvl w:ilvl="8" w:tplc="24D8BAD2">
      <w:numFmt w:val="decimal"/>
      <w:lvlText w:val=""/>
      <w:lvlJc w:val="left"/>
    </w:lvl>
  </w:abstractNum>
  <w:abstractNum w:abstractNumId="143" w15:restartNumberingAfterBreak="0">
    <w:nsid w:val="397C46BC"/>
    <w:multiLevelType w:val="hybridMultilevel"/>
    <w:tmpl w:val="535C7DFE"/>
    <w:lvl w:ilvl="0" w:tplc="1BCCC1CE">
      <w:start w:val="6"/>
      <w:numFmt w:val="lowerLetter"/>
      <w:lvlText w:val="(%1)"/>
      <w:lvlJc w:val="left"/>
    </w:lvl>
    <w:lvl w:ilvl="1" w:tplc="81D8C32E">
      <w:numFmt w:val="decimal"/>
      <w:lvlText w:val=""/>
      <w:lvlJc w:val="left"/>
    </w:lvl>
    <w:lvl w:ilvl="2" w:tplc="2EF25F3C">
      <w:numFmt w:val="decimal"/>
      <w:lvlText w:val=""/>
      <w:lvlJc w:val="left"/>
    </w:lvl>
    <w:lvl w:ilvl="3" w:tplc="FAF63554">
      <w:numFmt w:val="decimal"/>
      <w:lvlText w:val=""/>
      <w:lvlJc w:val="left"/>
    </w:lvl>
    <w:lvl w:ilvl="4" w:tplc="562064CA">
      <w:numFmt w:val="decimal"/>
      <w:lvlText w:val=""/>
      <w:lvlJc w:val="left"/>
    </w:lvl>
    <w:lvl w:ilvl="5" w:tplc="347CC988">
      <w:numFmt w:val="decimal"/>
      <w:lvlText w:val=""/>
      <w:lvlJc w:val="left"/>
    </w:lvl>
    <w:lvl w:ilvl="6" w:tplc="1764DD00">
      <w:numFmt w:val="decimal"/>
      <w:lvlText w:val=""/>
      <w:lvlJc w:val="left"/>
    </w:lvl>
    <w:lvl w:ilvl="7" w:tplc="FD1A5C16">
      <w:numFmt w:val="decimal"/>
      <w:lvlText w:val=""/>
      <w:lvlJc w:val="left"/>
    </w:lvl>
    <w:lvl w:ilvl="8" w:tplc="17A2E38C">
      <w:numFmt w:val="decimal"/>
      <w:lvlText w:val=""/>
      <w:lvlJc w:val="left"/>
    </w:lvl>
  </w:abstractNum>
  <w:abstractNum w:abstractNumId="144" w15:restartNumberingAfterBreak="0">
    <w:nsid w:val="3A966CD0"/>
    <w:multiLevelType w:val="hybridMultilevel"/>
    <w:tmpl w:val="E22C64E2"/>
    <w:lvl w:ilvl="0" w:tplc="D07A757C">
      <w:start w:val="2"/>
      <w:numFmt w:val="lowerLetter"/>
      <w:lvlText w:val="(%1)"/>
      <w:lvlJc w:val="left"/>
    </w:lvl>
    <w:lvl w:ilvl="1" w:tplc="BA389A42">
      <w:numFmt w:val="decimal"/>
      <w:lvlText w:val=""/>
      <w:lvlJc w:val="left"/>
    </w:lvl>
    <w:lvl w:ilvl="2" w:tplc="7338B418">
      <w:numFmt w:val="decimal"/>
      <w:lvlText w:val=""/>
      <w:lvlJc w:val="left"/>
    </w:lvl>
    <w:lvl w:ilvl="3" w:tplc="B26C873A">
      <w:numFmt w:val="decimal"/>
      <w:lvlText w:val=""/>
      <w:lvlJc w:val="left"/>
    </w:lvl>
    <w:lvl w:ilvl="4" w:tplc="640A4746">
      <w:numFmt w:val="decimal"/>
      <w:lvlText w:val=""/>
      <w:lvlJc w:val="left"/>
    </w:lvl>
    <w:lvl w:ilvl="5" w:tplc="BF7C836C">
      <w:numFmt w:val="decimal"/>
      <w:lvlText w:val=""/>
      <w:lvlJc w:val="left"/>
    </w:lvl>
    <w:lvl w:ilvl="6" w:tplc="2430BCEE">
      <w:numFmt w:val="decimal"/>
      <w:lvlText w:val=""/>
      <w:lvlJc w:val="left"/>
    </w:lvl>
    <w:lvl w:ilvl="7" w:tplc="9356C12C">
      <w:numFmt w:val="decimal"/>
      <w:lvlText w:val=""/>
      <w:lvlJc w:val="left"/>
    </w:lvl>
    <w:lvl w:ilvl="8" w:tplc="32E602DE">
      <w:numFmt w:val="decimal"/>
      <w:lvlText w:val=""/>
      <w:lvlJc w:val="left"/>
    </w:lvl>
  </w:abstractNum>
  <w:abstractNum w:abstractNumId="145" w15:restartNumberingAfterBreak="0">
    <w:nsid w:val="3AA10581"/>
    <w:multiLevelType w:val="hybridMultilevel"/>
    <w:tmpl w:val="A8C40D84"/>
    <w:lvl w:ilvl="0" w:tplc="D0B08AF4">
      <w:start w:val="1"/>
      <w:numFmt w:val="bullet"/>
      <w:lvlText w:val="•"/>
      <w:lvlJc w:val="left"/>
    </w:lvl>
    <w:lvl w:ilvl="1" w:tplc="2086F850">
      <w:numFmt w:val="decimal"/>
      <w:lvlText w:val=""/>
      <w:lvlJc w:val="left"/>
    </w:lvl>
    <w:lvl w:ilvl="2" w:tplc="D74E641E">
      <w:numFmt w:val="decimal"/>
      <w:lvlText w:val=""/>
      <w:lvlJc w:val="left"/>
    </w:lvl>
    <w:lvl w:ilvl="3" w:tplc="71A2E6F6">
      <w:numFmt w:val="decimal"/>
      <w:lvlText w:val=""/>
      <w:lvlJc w:val="left"/>
    </w:lvl>
    <w:lvl w:ilvl="4" w:tplc="28E41FF4">
      <w:numFmt w:val="decimal"/>
      <w:lvlText w:val=""/>
      <w:lvlJc w:val="left"/>
    </w:lvl>
    <w:lvl w:ilvl="5" w:tplc="1AD01090">
      <w:numFmt w:val="decimal"/>
      <w:lvlText w:val=""/>
      <w:lvlJc w:val="left"/>
    </w:lvl>
    <w:lvl w:ilvl="6" w:tplc="B2D07966">
      <w:numFmt w:val="decimal"/>
      <w:lvlText w:val=""/>
      <w:lvlJc w:val="left"/>
    </w:lvl>
    <w:lvl w:ilvl="7" w:tplc="BFCA1E40">
      <w:numFmt w:val="decimal"/>
      <w:lvlText w:val=""/>
      <w:lvlJc w:val="left"/>
    </w:lvl>
    <w:lvl w:ilvl="8" w:tplc="E87CA096">
      <w:numFmt w:val="decimal"/>
      <w:lvlText w:val=""/>
      <w:lvlJc w:val="left"/>
    </w:lvl>
  </w:abstractNum>
  <w:abstractNum w:abstractNumId="146" w15:restartNumberingAfterBreak="0">
    <w:nsid w:val="3B1DD403"/>
    <w:multiLevelType w:val="hybridMultilevel"/>
    <w:tmpl w:val="CDF23C0A"/>
    <w:lvl w:ilvl="0" w:tplc="DB4A2FFC">
      <w:start w:val="1"/>
      <w:numFmt w:val="bullet"/>
      <w:lvlText w:val="•"/>
      <w:lvlJc w:val="left"/>
    </w:lvl>
    <w:lvl w:ilvl="1" w:tplc="64046666">
      <w:numFmt w:val="decimal"/>
      <w:lvlText w:val=""/>
      <w:lvlJc w:val="left"/>
    </w:lvl>
    <w:lvl w:ilvl="2" w:tplc="F126DE32">
      <w:numFmt w:val="decimal"/>
      <w:lvlText w:val=""/>
      <w:lvlJc w:val="left"/>
    </w:lvl>
    <w:lvl w:ilvl="3" w:tplc="A5762716">
      <w:numFmt w:val="decimal"/>
      <w:lvlText w:val=""/>
      <w:lvlJc w:val="left"/>
    </w:lvl>
    <w:lvl w:ilvl="4" w:tplc="D9D8E410">
      <w:numFmt w:val="decimal"/>
      <w:lvlText w:val=""/>
      <w:lvlJc w:val="left"/>
    </w:lvl>
    <w:lvl w:ilvl="5" w:tplc="BB2E465E">
      <w:numFmt w:val="decimal"/>
      <w:lvlText w:val=""/>
      <w:lvlJc w:val="left"/>
    </w:lvl>
    <w:lvl w:ilvl="6" w:tplc="1B10B744">
      <w:numFmt w:val="decimal"/>
      <w:lvlText w:val=""/>
      <w:lvlJc w:val="left"/>
    </w:lvl>
    <w:lvl w:ilvl="7" w:tplc="1A4AF3E8">
      <w:numFmt w:val="decimal"/>
      <w:lvlText w:val=""/>
      <w:lvlJc w:val="left"/>
    </w:lvl>
    <w:lvl w:ilvl="8" w:tplc="BC36F658">
      <w:numFmt w:val="decimal"/>
      <w:lvlText w:val=""/>
      <w:lvlJc w:val="left"/>
    </w:lvl>
  </w:abstractNum>
  <w:abstractNum w:abstractNumId="147" w15:restartNumberingAfterBreak="0">
    <w:nsid w:val="3B3EBE15"/>
    <w:multiLevelType w:val="hybridMultilevel"/>
    <w:tmpl w:val="4D7E3D5E"/>
    <w:lvl w:ilvl="0" w:tplc="CC80E8AE">
      <w:start w:val="1"/>
      <w:numFmt w:val="upperLetter"/>
      <w:lvlText w:val="%1:"/>
      <w:lvlJc w:val="left"/>
    </w:lvl>
    <w:lvl w:ilvl="1" w:tplc="EFBA712C">
      <w:numFmt w:val="decimal"/>
      <w:lvlText w:val=""/>
      <w:lvlJc w:val="left"/>
    </w:lvl>
    <w:lvl w:ilvl="2" w:tplc="028C1BB2">
      <w:numFmt w:val="decimal"/>
      <w:lvlText w:val=""/>
      <w:lvlJc w:val="left"/>
    </w:lvl>
    <w:lvl w:ilvl="3" w:tplc="D934501C">
      <w:numFmt w:val="decimal"/>
      <w:lvlText w:val=""/>
      <w:lvlJc w:val="left"/>
    </w:lvl>
    <w:lvl w:ilvl="4" w:tplc="B86EC94E">
      <w:numFmt w:val="decimal"/>
      <w:lvlText w:val=""/>
      <w:lvlJc w:val="left"/>
    </w:lvl>
    <w:lvl w:ilvl="5" w:tplc="50705E16">
      <w:numFmt w:val="decimal"/>
      <w:lvlText w:val=""/>
      <w:lvlJc w:val="left"/>
    </w:lvl>
    <w:lvl w:ilvl="6" w:tplc="EE04BD6A">
      <w:numFmt w:val="decimal"/>
      <w:lvlText w:val=""/>
      <w:lvlJc w:val="left"/>
    </w:lvl>
    <w:lvl w:ilvl="7" w:tplc="FBCA0746">
      <w:numFmt w:val="decimal"/>
      <w:lvlText w:val=""/>
      <w:lvlJc w:val="left"/>
    </w:lvl>
    <w:lvl w:ilvl="8" w:tplc="417A43C2">
      <w:numFmt w:val="decimal"/>
      <w:lvlText w:val=""/>
      <w:lvlJc w:val="left"/>
    </w:lvl>
  </w:abstractNum>
  <w:abstractNum w:abstractNumId="148" w15:restartNumberingAfterBreak="0">
    <w:nsid w:val="3BAB699E"/>
    <w:multiLevelType w:val="hybridMultilevel"/>
    <w:tmpl w:val="DAA6C032"/>
    <w:lvl w:ilvl="0" w:tplc="F68AB506">
      <w:start w:val="1"/>
      <w:numFmt w:val="bullet"/>
      <w:lvlText w:val="•"/>
      <w:lvlJc w:val="left"/>
    </w:lvl>
    <w:lvl w:ilvl="1" w:tplc="2E803662">
      <w:numFmt w:val="decimal"/>
      <w:lvlText w:val=""/>
      <w:lvlJc w:val="left"/>
    </w:lvl>
    <w:lvl w:ilvl="2" w:tplc="D38655BA">
      <w:numFmt w:val="decimal"/>
      <w:lvlText w:val=""/>
      <w:lvlJc w:val="left"/>
    </w:lvl>
    <w:lvl w:ilvl="3" w:tplc="4C9EC442">
      <w:numFmt w:val="decimal"/>
      <w:lvlText w:val=""/>
      <w:lvlJc w:val="left"/>
    </w:lvl>
    <w:lvl w:ilvl="4" w:tplc="B8D43ACE">
      <w:numFmt w:val="decimal"/>
      <w:lvlText w:val=""/>
      <w:lvlJc w:val="left"/>
    </w:lvl>
    <w:lvl w:ilvl="5" w:tplc="75FA6B4A">
      <w:numFmt w:val="decimal"/>
      <w:lvlText w:val=""/>
      <w:lvlJc w:val="left"/>
    </w:lvl>
    <w:lvl w:ilvl="6" w:tplc="6C40374C">
      <w:numFmt w:val="decimal"/>
      <w:lvlText w:val=""/>
      <w:lvlJc w:val="left"/>
    </w:lvl>
    <w:lvl w:ilvl="7" w:tplc="D172AEE4">
      <w:numFmt w:val="decimal"/>
      <w:lvlText w:val=""/>
      <w:lvlJc w:val="left"/>
    </w:lvl>
    <w:lvl w:ilvl="8" w:tplc="E86C0388">
      <w:numFmt w:val="decimal"/>
      <w:lvlText w:val=""/>
      <w:lvlJc w:val="left"/>
    </w:lvl>
  </w:abstractNum>
  <w:abstractNum w:abstractNumId="149" w15:restartNumberingAfterBreak="0">
    <w:nsid w:val="3C3B72B2"/>
    <w:multiLevelType w:val="hybridMultilevel"/>
    <w:tmpl w:val="E126FBCA"/>
    <w:lvl w:ilvl="0" w:tplc="3DEAA048">
      <w:start w:val="1"/>
      <w:numFmt w:val="lowerLetter"/>
      <w:lvlText w:val="(%1)"/>
      <w:lvlJc w:val="left"/>
    </w:lvl>
    <w:lvl w:ilvl="1" w:tplc="81D2F92A">
      <w:numFmt w:val="decimal"/>
      <w:lvlText w:val=""/>
      <w:lvlJc w:val="left"/>
    </w:lvl>
    <w:lvl w:ilvl="2" w:tplc="460E1254">
      <w:numFmt w:val="decimal"/>
      <w:lvlText w:val=""/>
      <w:lvlJc w:val="left"/>
    </w:lvl>
    <w:lvl w:ilvl="3" w:tplc="8BE0BAE8">
      <w:numFmt w:val="decimal"/>
      <w:lvlText w:val=""/>
      <w:lvlJc w:val="left"/>
    </w:lvl>
    <w:lvl w:ilvl="4" w:tplc="001EC842">
      <w:numFmt w:val="decimal"/>
      <w:lvlText w:val=""/>
      <w:lvlJc w:val="left"/>
    </w:lvl>
    <w:lvl w:ilvl="5" w:tplc="416C35B6">
      <w:numFmt w:val="decimal"/>
      <w:lvlText w:val=""/>
      <w:lvlJc w:val="left"/>
    </w:lvl>
    <w:lvl w:ilvl="6" w:tplc="032AB698">
      <w:numFmt w:val="decimal"/>
      <w:lvlText w:val=""/>
      <w:lvlJc w:val="left"/>
    </w:lvl>
    <w:lvl w:ilvl="7" w:tplc="7908B672">
      <w:numFmt w:val="decimal"/>
      <w:lvlText w:val=""/>
      <w:lvlJc w:val="left"/>
    </w:lvl>
    <w:lvl w:ilvl="8" w:tplc="C7D24DBA">
      <w:numFmt w:val="decimal"/>
      <w:lvlText w:val=""/>
      <w:lvlJc w:val="left"/>
    </w:lvl>
  </w:abstractNum>
  <w:abstractNum w:abstractNumId="150" w15:restartNumberingAfterBreak="0">
    <w:nsid w:val="3CA88ECF"/>
    <w:multiLevelType w:val="hybridMultilevel"/>
    <w:tmpl w:val="4FF26772"/>
    <w:lvl w:ilvl="0" w:tplc="18D86DB4">
      <w:start w:val="2"/>
      <w:numFmt w:val="lowerLetter"/>
      <w:lvlText w:val="(%1)"/>
      <w:lvlJc w:val="left"/>
    </w:lvl>
    <w:lvl w:ilvl="1" w:tplc="0AE2E9D8">
      <w:numFmt w:val="decimal"/>
      <w:lvlText w:val=""/>
      <w:lvlJc w:val="left"/>
    </w:lvl>
    <w:lvl w:ilvl="2" w:tplc="8B7EF23A">
      <w:numFmt w:val="decimal"/>
      <w:lvlText w:val=""/>
      <w:lvlJc w:val="left"/>
    </w:lvl>
    <w:lvl w:ilvl="3" w:tplc="4F70E830">
      <w:numFmt w:val="decimal"/>
      <w:lvlText w:val=""/>
      <w:lvlJc w:val="left"/>
    </w:lvl>
    <w:lvl w:ilvl="4" w:tplc="20F489BC">
      <w:numFmt w:val="decimal"/>
      <w:lvlText w:val=""/>
      <w:lvlJc w:val="left"/>
    </w:lvl>
    <w:lvl w:ilvl="5" w:tplc="5B5AF858">
      <w:numFmt w:val="decimal"/>
      <w:lvlText w:val=""/>
      <w:lvlJc w:val="left"/>
    </w:lvl>
    <w:lvl w:ilvl="6" w:tplc="D5AA8366">
      <w:numFmt w:val="decimal"/>
      <w:lvlText w:val=""/>
      <w:lvlJc w:val="left"/>
    </w:lvl>
    <w:lvl w:ilvl="7" w:tplc="407C2582">
      <w:numFmt w:val="decimal"/>
      <w:lvlText w:val=""/>
      <w:lvlJc w:val="left"/>
    </w:lvl>
    <w:lvl w:ilvl="8" w:tplc="4E9C250C">
      <w:numFmt w:val="decimal"/>
      <w:lvlText w:val=""/>
      <w:lvlJc w:val="left"/>
    </w:lvl>
  </w:abstractNum>
  <w:abstractNum w:abstractNumId="151" w15:restartNumberingAfterBreak="0">
    <w:nsid w:val="3CE732EC"/>
    <w:multiLevelType w:val="hybridMultilevel"/>
    <w:tmpl w:val="64AA4976"/>
    <w:lvl w:ilvl="0" w:tplc="B0C02F3A">
      <w:start w:val="1"/>
      <w:numFmt w:val="bullet"/>
      <w:lvlText w:val="•"/>
      <w:lvlJc w:val="left"/>
    </w:lvl>
    <w:lvl w:ilvl="1" w:tplc="436847D8">
      <w:numFmt w:val="decimal"/>
      <w:lvlText w:val=""/>
      <w:lvlJc w:val="left"/>
    </w:lvl>
    <w:lvl w:ilvl="2" w:tplc="8044558A">
      <w:numFmt w:val="decimal"/>
      <w:lvlText w:val=""/>
      <w:lvlJc w:val="left"/>
    </w:lvl>
    <w:lvl w:ilvl="3" w:tplc="FB6CEB7E">
      <w:numFmt w:val="decimal"/>
      <w:lvlText w:val=""/>
      <w:lvlJc w:val="left"/>
    </w:lvl>
    <w:lvl w:ilvl="4" w:tplc="FEF0C790">
      <w:numFmt w:val="decimal"/>
      <w:lvlText w:val=""/>
      <w:lvlJc w:val="left"/>
    </w:lvl>
    <w:lvl w:ilvl="5" w:tplc="64A6CBC4">
      <w:numFmt w:val="decimal"/>
      <w:lvlText w:val=""/>
      <w:lvlJc w:val="left"/>
    </w:lvl>
    <w:lvl w:ilvl="6" w:tplc="D134539A">
      <w:numFmt w:val="decimal"/>
      <w:lvlText w:val=""/>
      <w:lvlJc w:val="left"/>
    </w:lvl>
    <w:lvl w:ilvl="7" w:tplc="B17A3DFC">
      <w:numFmt w:val="decimal"/>
      <w:lvlText w:val=""/>
      <w:lvlJc w:val="left"/>
    </w:lvl>
    <w:lvl w:ilvl="8" w:tplc="492EF62A">
      <w:numFmt w:val="decimal"/>
      <w:lvlText w:val=""/>
      <w:lvlJc w:val="left"/>
    </w:lvl>
  </w:abstractNum>
  <w:abstractNum w:abstractNumId="152" w15:restartNumberingAfterBreak="0">
    <w:nsid w:val="3D00B9D9"/>
    <w:multiLevelType w:val="hybridMultilevel"/>
    <w:tmpl w:val="9C40C9F8"/>
    <w:lvl w:ilvl="0" w:tplc="E6B662B8">
      <w:start w:val="4"/>
      <w:numFmt w:val="lowerLetter"/>
      <w:lvlText w:val="(%1)"/>
      <w:lvlJc w:val="left"/>
    </w:lvl>
    <w:lvl w:ilvl="1" w:tplc="98627104">
      <w:numFmt w:val="decimal"/>
      <w:lvlText w:val=""/>
      <w:lvlJc w:val="left"/>
    </w:lvl>
    <w:lvl w:ilvl="2" w:tplc="37226AEA">
      <w:numFmt w:val="decimal"/>
      <w:lvlText w:val=""/>
      <w:lvlJc w:val="left"/>
    </w:lvl>
    <w:lvl w:ilvl="3" w:tplc="FC88A18E">
      <w:numFmt w:val="decimal"/>
      <w:lvlText w:val=""/>
      <w:lvlJc w:val="left"/>
    </w:lvl>
    <w:lvl w:ilvl="4" w:tplc="49689E40">
      <w:numFmt w:val="decimal"/>
      <w:lvlText w:val=""/>
      <w:lvlJc w:val="left"/>
    </w:lvl>
    <w:lvl w:ilvl="5" w:tplc="92C0572E">
      <w:numFmt w:val="decimal"/>
      <w:lvlText w:val=""/>
      <w:lvlJc w:val="left"/>
    </w:lvl>
    <w:lvl w:ilvl="6" w:tplc="FB324834">
      <w:numFmt w:val="decimal"/>
      <w:lvlText w:val=""/>
      <w:lvlJc w:val="left"/>
    </w:lvl>
    <w:lvl w:ilvl="7" w:tplc="64A806AA">
      <w:numFmt w:val="decimal"/>
      <w:lvlText w:val=""/>
      <w:lvlJc w:val="left"/>
    </w:lvl>
    <w:lvl w:ilvl="8" w:tplc="22B600EC">
      <w:numFmt w:val="decimal"/>
      <w:lvlText w:val=""/>
      <w:lvlJc w:val="left"/>
    </w:lvl>
  </w:abstractNum>
  <w:abstractNum w:abstractNumId="153" w15:restartNumberingAfterBreak="0">
    <w:nsid w:val="3D1A2DD9"/>
    <w:multiLevelType w:val="hybridMultilevel"/>
    <w:tmpl w:val="4BA0BBF4"/>
    <w:lvl w:ilvl="0" w:tplc="3388642C">
      <w:start w:val="1"/>
      <w:numFmt w:val="upperLetter"/>
      <w:lvlText w:val="%1:"/>
      <w:lvlJc w:val="left"/>
    </w:lvl>
    <w:lvl w:ilvl="1" w:tplc="7242CF90">
      <w:numFmt w:val="decimal"/>
      <w:lvlText w:val=""/>
      <w:lvlJc w:val="left"/>
    </w:lvl>
    <w:lvl w:ilvl="2" w:tplc="83BADE82">
      <w:numFmt w:val="decimal"/>
      <w:lvlText w:val=""/>
      <w:lvlJc w:val="left"/>
    </w:lvl>
    <w:lvl w:ilvl="3" w:tplc="9EB05C94">
      <w:numFmt w:val="decimal"/>
      <w:lvlText w:val=""/>
      <w:lvlJc w:val="left"/>
    </w:lvl>
    <w:lvl w:ilvl="4" w:tplc="05969718">
      <w:numFmt w:val="decimal"/>
      <w:lvlText w:val=""/>
      <w:lvlJc w:val="left"/>
    </w:lvl>
    <w:lvl w:ilvl="5" w:tplc="E7FC334E">
      <w:numFmt w:val="decimal"/>
      <w:lvlText w:val=""/>
      <w:lvlJc w:val="left"/>
    </w:lvl>
    <w:lvl w:ilvl="6" w:tplc="98AA56B8">
      <w:numFmt w:val="decimal"/>
      <w:lvlText w:val=""/>
      <w:lvlJc w:val="left"/>
    </w:lvl>
    <w:lvl w:ilvl="7" w:tplc="61FEE856">
      <w:numFmt w:val="decimal"/>
      <w:lvlText w:val=""/>
      <w:lvlJc w:val="left"/>
    </w:lvl>
    <w:lvl w:ilvl="8" w:tplc="C84E0BCE">
      <w:numFmt w:val="decimal"/>
      <w:lvlText w:val=""/>
      <w:lvlJc w:val="left"/>
    </w:lvl>
  </w:abstractNum>
  <w:abstractNum w:abstractNumId="154" w15:restartNumberingAfterBreak="0">
    <w:nsid w:val="3D206613"/>
    <w:multiLevelType w:val="hybridMultilevel"/>
    <w:tmpl w:val="B7ACC596"/>
    <w:lvl w:ilvl="0" w:tplc="B5BA397C">
      <w:start w:val="1"/>
      <w:numFmt w:val="bullet"/>
      <w:lvlText w:val="•"/>
      <w:lvlJc w:val="left"/>
    </w:lvl>
    <w:lvl w:ilvl="1" w:tplc="DDB4EB22">
      <w:numFmt w:val="decimal"/>
      <w:lvlText w:val=""/>
      <w:lvlJc w:val="left"/>
    </w:lvl>
    <w:lvl w:ilvl="2" w:tplc="32F07C22">
      <w:numFmt w:val="decimal"/>
      <w:lvlText w:val=""/>
      <w:lvlJc w:val="left"/>
    </w:lvl>
    <w:lvl w:ilvl="3" w:tplc="C80605CE">
      <w:numFmt w:val="decimal"/>
      <w:lvlText w:val=""/>
      <w:lvlJc w:val="left"/>
    </w:lvl>
    <w:lvl w:ilvl="4" w:tplc="F3B4F390">
      <w:numFmt w:val="decimal"/>
      <w:lvlText w:val=""/>
      <w:lvlJc w:val="left"/>
    </w:lvl>
    <w:lvl w:ilvl="5" w:tplc="823A5752">
      <w:numFmt w:val="decimal"/>
      <w:lvlText w:val=""/>
      <w:lvlJc w:val="left"/>
    </w:lvl>
    <w:lvl w:ilvl="6" w:tplc="7C846D42">
      <w:numFmt w:val="decimal"/>
      <w:lvlText w:val=""/>
      <w:lvlJc w:val="left"/>
    </w:lvl>
    <w:lvl w:ilvl="7" w:tplc="EA36AA8C">
      <w:numFmt w:val="decimal"/>
      <w:lvlText w:val=""/>
      <w:lvlJc w:val="left"/>
    </w:lvl>
    <w:lvl w:ilvl="8" w:tplc="5A306F6A">
      <w:numFmt w:val="decimal"/>
      <w:lvlText w:val=""/>
      <w:lvlJc w:val="left"/>
    </w:lvl>
  </w:abstractNum>
  <w:abstractNum w:abstractNumId="155" w15:restartNumberingAfterBreak="0">
    <w:nsid w:val="3D2DD275"/>
    <w:multiLevelType w:val="hybridMultilevel"/>
    <w:tmpl w:val="877AF0E2"/>
    <w:lvl w:ilvl="0" w:tplc="B8201EB4">
      <w:start w:val="1"/>
      <w:numFmt w:val="bullet"/>
      <w:lvlText w:val="•"/>
      <w:lvlJc w:val="left"/>
    </w:lvl>
    <w:lvl w:ilvl="1" w:tplc="44E0B3CE">
      <w:numFmt w:val="decimal"/>
      <w:lvlText w:val=""/>
      <w:lvlJc w:val="left"/>
    </w:lvl>
    <w:lvl w:ilvl="2" w:tplc="5A025E46">
      <w:numFmt w:val="decimal"/>
      <w:lvlText w:val=""/>
      <w:lvlJc w:val="left"/>
    </w:lvl>
    <w:lvl w:ilvl="3" w:tplc="27FC6CFA">
      <w:numFmt w:val="decimal"/>
      <w:lvlText w:val=""/>
      <w:lvlJc w:val="left"/>
    </w:lvl>
    <w:lvl w:ilvl="4" w:tplc="1C00848E">
      <w:numFmt w:val="decimal"/>
      <w:lvlText w:val=""/>
      <w:lvlJc w:val="left"/>
    </w:lvl>
    <w:lvl w:ilvl="5" w:tplc="CA522D0A">
      <w:numFmt w:val="decimal"/>
      <w:lvlText w:val=""/>
      <w:lvlJc w:val="left"/>
    </w:lvl>
    <w:lvl w:ilvl="6" w:tplc="65749ACC">
      <w:numFmt w:val="decimal"/>
      <w:lvlText w:val=""/>
      <w:lvlJc w:val="left"/>
    </w:lvl>
    <w:lvl w:ilvl="7" w:tplc="E8A2309E">
      <w:numFmt w:val="decimal"/>
      <w:lvlText w:val=""/>
      <w:lvlJc w:val="left"/>
    </w:lvl>
    <w:lvl w:ilvl="8" w:tplc="76261D88">
      <w:numFmt w:val="decimal"/>
      <w:lvlText w:val=""/>
      <w:lvlJc w:val="left"/>
    </w:lvl>
  </w:abstractNum>
  <w:abstractNum w:abstractNumId="156" w15:restartNumberingAfterBreak="0">
    <w:nsid w:val="3DA97044"/>
    <w:multiLevelType w:val="hybridMultilevel"/>
    <w:tmpl w:val="F4645544"/>
    <w:lvl w:ilvl="0" w:tplc="9DD4657E">
      <w:start w:val="1"/>
      <w:numFmt w:val="lowerLetter"/>
      <w:lvlText w:val="(%1)"/>
      <w:lvlJc w:val="left"/>
    </w:lvl>
    <w:lvl w:ilvl="1" w:tplc="EE4C89B6">
      <w:numFmt w:val="decimal"/>
      <w:lvlText w:val=""/>
      <w:lvlJc w:val="left"/>
    </w:lvl>
    <w:lvl w:ilvl="2" w:tplc="95AA1962">
      <w:numFmt w:val="decimal"/>
      <w:lvlText w:val=""/>
      <w:lvlJc w:val="left"/>
    </w:lvl>
    <w:lvl w:ilvl="3" w:tplc="09E4F13A">
      <w:numFmt w:val="decimal"/>
      <w:lvlText w:val=""/>
      <w:lvlJc w:val="left"/>
    </w:lvl>
    <w:lvl w:ilvl="4" w:tplc="00E0D544">
      <w:numFmt w:val="decimal"/>
      <w:lvlText w:val=""/>
      <w:lvlJc w:val="left"/>
    </w:lvl>
    <w:lvl w:ilvl="5" w:tplc="1E48228A">
      <w:numFmt w:val="decimal"/>
      <w:lvlText w:val=""/>
      <w:lvlJc w:val="left"/>
    </w:lvl>
    <w:lvl w:ilvl="6" w:tplc="5BB83B44">
      <w:numFmt w:val="decimal"/>
      <w:lvlText w:val=""/>
      <w:lvlJc w:val="left"/>
    </w:lvl>
    <w:lvl w:ilvl="7" w:tplc="0D363994">
      <w:numFmt w:val="decimal"/>
      <w:lvlText w:val=""/>
      <w:lvlJc w:val="left"/>
    </w:lvl>
    <w:lvl w:ilvl="8" w:tplc="4F54BBB2">
      <w:numFmt w:val="decimal"/>
      <w:lvlText w:val=""/>
      <w:lvlJc w:val="left"/>
    </w:lvl>
  </w:abstractNum>
  <w:abstractNum w:abstractNumId="157" w15:restartNumberingAfterBreak="0">
    <w:nsid w:val="3E6400E6"/>
    <w:multiLevelType w:val="hybridMultilevel"/>
    <w:tmpl w:val="E4A88C98"/>
    <w:lvl w:ilvl="0" w:tplc="1CAC7054">
      <w:start w:val="5"/>
      <w:numFmt w:val="lowerLetter"/>
      <w:lvlText w:val="(%1)"/>
      <w:lvlJc w:val="left"/>
    </w:lvl>
    <w:lvl w:ilvl="1" w:tplc="D828153E">
      <w:numFmt w:val="decimal"/>
      <w:lvlText w:val=""/>
      <w:lvlJc w:val="left"/>
    </w:lvl>
    <w:lvl w:ilvl="2" w:tplc="49B401E6">
      <w:numFmt w:val="decimal"/>
      <w:lvlText w:val=""/>
      <w:lvlJc w:val="left"/>
    </w:lvl>
    <w:lvl w:ilvl="3" w:tplc="0BDA0A70">
      <w:numFmt w:val="decimal"/>
      <w:lvlText w:val=""/>
      <w:lvlJc w:val="left"/>
    </w:lvl>
    <w:lvl w:ilvl="4" w:tplc="E10AC4B6">
      <w:numFmt w:val="decimal"/>
      <w:lvlText w:val=""/>
      <w:lvlJc w:val="left"/>
    </w:lvl>
    <w:lvl w:ilvl="5" w:tplc="152EDE4E">
      <w:numFmt w:val="decimal"/>
      <w:lvlText w:val=""/>
      <w:lvlJc w:val="left"/>
    </w:lvl>
    <w:lvl w:ilvl="6" w:tplc="F01E4310">
      <w:numFmt w:val="decimal"/>
      <w:lvlText w:val=""/>
      <w:lvlJc w:val="left"/>
    </w:lvl>
    <w:lvl w:ilvl="7" w:tplc="2E340738">
      <w:numFmt w:val="decimal"/>
      <w:lvlText w:val=""/>
      <w:lvlJc w:val="left"/>
    </w:lvl>
    <w:lvl w:ilvl="8" w:tplc="4A3E8264">
      <w:numFmt w:val="decimal"/>
      <w:lvlText w:val=""/>
      <w:lvlJc w:val="left"/>
    </w:lvl>
  </w:abstractNum>
  <w:abstractNum w:abstractNumId="158" w15:restartNumberingAfterBreak="0">
    <w:nsid w:val="3E6DA1C7"/>
    <w:multiLevelType w:val="hybridMultilevel"/>
    <w:tmpl w:val="85160DF8"/>
    <w:lvl w:ilvl="0" w:tplc="34F02578">
      <w:start w:val="1"/>
      <w:numFmt w:val="lowerLetter"/>
      <w:lvlText w:val="(%1)"/>
      <w:lvlJc w:val="left"/>
    </w:lvl>
    <w:lvl w:ilvl="1" w:tplc="D4846B3E">
      <w:numFmt w:val="decimal"/>
      <w:lvlText w:val=""/>
      <w:lvlJc w:val="left"/>
    </w:lvl>
    <w:lvl w:ilvl="2" w:tplc="9EDE41BC">
      <w:numFmt w:val="decimal"/>
      <w:lvlText w:val=""/>
      <w:lvlJc w:val="left"/>
    </w:lvl>
    <w:lvl w:ilvl="3" w:tplc="25AEFD1C">
      <w:numFmt w:val="decimal"/>
      <w:lvlText w:val=""/>
      <w:lvlJc w:val="left"/>
    </w:lvl>
    <w:lvl w:ilvl="4" w:tplc="C30C331A">
      <w:numFmt w:val="decimal"/>
      <w:lvlText w:val=""/>
      <w:lvlJc w:val="left"/>
    </w:lvl>
    <w:lvl w:ilvl="5" w:tplc="C34A61D0">
      <w:numFmt w:val="decimal"/>
      <w:lvlText w:val=""/>
      <w:lvlJc w:val="left"/>
    </w:lvl>
    <w:lvl w:ilvl="6" w:tplc="FAC2A1EA">
      <w:numFmt w:val="decimal"/>
      <w:lvlText w:val=""/>
      <w:lvlJc w:val="left"/>
    </w:lvl>
    <w:lvl w:ilvl="7" w:tplc="09F8AEC2">
      <w:numFmt w:val="decimal"/>
      <w:lvlText w:val=""/>
      <w:lvlJc w:val="left"/>
    </w:lvl>
    <w:lvl w:ilvl="8" w:tplc="F54AE380">
      <w:numFmt w:val="decimal"/>
      <w:lvlText w:val=""/>
      <w:lvlJc w:val="left"/>
    </w:lvl>
  </w:abstractNum>
  <w:abstractNum w:abstractNumId="159" w15:restartNumberingAfterBreak="0">
    <w:nsid w:val="3EB21819"/>
    <w:multiLevelType w:val="hybridMultilevel"/>
    <w:tmpl w:val="D02A76EA"/>
    <w:lvl w:ilvl="0" w:tplc="8E8E58EE">
      <w:start w:val="2"/>
      <w:numFmt w:val="lowerLetter"/>
      <w:lvlText w:val="(%1)"/>
      <w:lvlJc w:val="left"/>
    </w:lvl>
    <w:lvl w:ilvl="1" w:tplc="3C04C238">
      <w:numFmt w:val="decimal"/>
      <w:lvlText w:val=""/>
      <w:lvlJc w:val="left"/>
    </w:lvl>
    <w:lvl w:ilvl="2" w:tplc="8D162098">
      <w:numFmt w:val="decimal"/>
      <w:lvlText w:val=""/>
      <w:lvlJc w:val="left"/>
    </w:lvl>
    <w:lvl w:ilvl="3" w:tplc="EAC8BFC2">
      <w:numFmt w:val="decimal"/>
      <w:lvlText w:val=""/>
      <w:lvlJc w:val="left"/>
    </w:lvl>
    <w:lvl w:ilvl="4" w:tplc="172AFED4">
      <w:numFmt w:val="decimal"/>
      <w:lvlText w:val=""/>
      <w:lvlJc w:val="left"/>
    </w:lvl>
    <w:lvl w:ilvl="5" w:tplc="99CA68D6">
      <w:numFmt w:val="decimal"/>
      <w:lvlText w:val=""/>
      <w:lvlJc w:val="left"/>
    </w:lvl>
    <w:lvl w:ilvl="6" w:tplc="75C6C5E6">
      <w:numFmt w:val="decimal"/>
      <w:lvlText w:val=""/>
      <w:lvlJc w:val="left"/>
    </w:lvl>
    <w:lvl w:ilvl="7" w:tplc="9AEE245E">
      <w:numFmt w:val="decimal"/>
      <w:lvlText w:val=""/>
      <w:lvlJc w:val="left"/>
    </w:lvl>
    <w:lvl w:ilvl="8" w:tplc="936897C4">
      <w:numFmt w:val="decimal"/>
      <w:lvlText w:val=""/>
      <w:lvlJc w:val="left"/>
    </w:lvl>
  </w:abstractNum>
  <w:abstractNum w:abstractNumId="160" w15:restartNumberingAfterBreak="0">
    <w:nsid w:val="3F48B982"/>
    <w:multiLevelType w:val="hybridMultilevel"/>
    <w:tmpl w:val="693CA9A6"/>
    <w:lvl w:ilvl="0" w:tplc="ED127CD4">
      <w:start w:val="4"/>
      <w:numFmt w:val="lowerLetter"/>
      <w:lvlText w:val="(%1)"/>
      <w:lvlJc w:val="left"/>
    </w:lvl>
    <w:lvl w:ilvl="1" w:tplc="38DCDC58">
      <w:numFmt w:val="decimal"/>
      <w:lvlText w:val=""/>
      <w:lvlJc w:val="left"/>
    </w:lvl>
    <w:lvl w:ilvl="2" w:tplc="B2A29D58">
      <w:numFmt w:val="decimal"/>
      <w:lvlText w:val=""/>
      <w:lvlJc w:val="left"/>
    </w:lvl>
    <w:lvl w:ilvl="3" w:tplc="DA4A02C4">
      <w:numFmt w:val="decimal"/>
      <w:lvlText w:val=""/>
      <w:lvlJc w:val="left"/>
    </w:lvl>
    <w:lvl w:ilvl="4" w:tplc="993ABE3C">
      <w:numFmt w:val="decimal"/>
      <w:lvlText w:val=""/>
      <w:lvlJc w:val="left"/>
    </w:lvl>
    <w:lvl w:ilvl="5" w:tplc="9A7AEAAC">
      <w:numFmt w:val="decimal"/>
      <w:lvlText w:val=""/>
      <w:lvlJc w:val="left"/>
    </w:lvl>
    <w:lvl w:ilvl="6" w:tplc="5D38CBB8">
      <w:numFmt w:val="decimal"/>
      <w:lvlText w:val=""/>
      <w:lvlJc w:val="left"/>
    </w:lvl>
    <w:lvl w:ilvl="7" w:tplc="E0FE2CA4">
      <w:numFmt w:val="decimal"/>
      <w:lvlText w:val=""/>
      <w:lvlJc w:val="left"/>
    </w:lvl>
    <w:lvl w:ilvl="8" w:tplc="DE7032C2">
      <w:numFmt w:val="decimal"/>
      <w:lvlText w:val=""/>
      <w:lvlJc w:val="left"/>
    </w:lvl>
  </w:abstractNum>
  <w:abstractNum w:abstractNumId="161" w15:restartNumberingAfterBreak="0">
    <w:nsid w:val="3F8B0CBF"/>
    <w:multiLevelType w:val="hybridMultilevel"/>
    <w:tmpl w:val="66904318"/>
    <w:lvl w:ilvl="0" w:tplc="7430C5C0">
      <w:start w:val="1"/>
      <w:numFmt w:val="decimal"/>
      <w:lvlText w:val="(%1)"/>
      <w:lvlJc w:val="left"/>
    </w:lvl>
    <w:lvl w:ilvl="1" w:tplc="F3FA42B2">
      <w:numFmt w:val="decimal"/>
      <w:lvlText w:val=""/>
      <w:lvlJc w:val="left"/>
    </w:lvl>
    <w:lvl w:ilvl="2" w:tplc="25D83624">
      <w:numFmt w:val="decimal"/>
      <w:lvlText w:val=""/>
      <w:lvlJc w:val="left"/>
    </w:lvl>
    <w:lvl w:ilvl="3" w:tplc="6424295E">
      <w:numFmt w:val="decimal"/>
      <w:lvlText w:val=""/>
      <w:lvlJc w:val="left"/>
    </w:lvl>
    <w:lvl w:ilvl="4" w:tplc="6F0CBFAC">
      <w:numFmt w:val="decimal"/>
      <w:lvlText w:val=""/>
      <w:lvlJc w:val="left"/>
    </w:lvl>
    <w:lvl w:ilvl="5" w:tplc="B4047B10">
      <w:numFmt w:val="decimal"/>
      <w:lvlText w:val=""/>
      <w:lvlJc w:val="left"/>
    </w:lvl>
    <w:lvl w:ilvl="6" w:tplc="B810C06C">
      <w:numFmt w:val="decimal"/>
      <w:lvlText w:val=""/>
      <w:lvlJc w:val="left"/>
    </w:lvl>
    <w:lvl w:ilvl="7" w:tplc="72E8A356">
      <w:numFmt w:val="decimal"/>
      <w:lvlText w:val=""/>
      <w:lvlJc w:val="left"/>
    </w:lvl>
    <w:lvl w:ilvl="8" w:tplc="C66A6762">
      <w:numFmt w:val="decimal"/>
      <w:lvlText w:val=""/>
      <w:lvlJc w:val="left"/>
    </w:lvl>
  </w:abstractNum>
  <w:abstractNum w:abstractNumId="162" w15:restartNumberingAfterBreak="0">
    <w:nsid w:val="407168D8"/>
    <w:multiLevelType w:val="hybridMultilevel"/>
    <w:tmpl w:val="24342690"/>
    <w:lvl w:ilvl="0" w:tplc="C13EF836">
      <w:start w:val="1"/>
      <w:numFmt w:val="lowerLetter"/>
      <w:lvlText w:val="(%1)"/>
      <w:lvlJc w:val="left"/>
    </w:lvl>
    <w:lvl w:ilvl="1" w:tplc="D1008596">
      <w:numFmt w:val="decimal"/>
      <w:lvlText w:val=""/>
      <w:lvlJc w:val="left"/>
    </w:lvl>
    <w:lvl w:ilvl="2" w:tplc="33DC0844">
      <w:numFmt w:val="decimal"/>
      <w:lvlText w:val=""/>
      <w:lvlJc w:val="left"/>
    </w:lvl>
    <w:lvl w:ilvl="3" w:tplc="8D0C86D6">
      <w:numFmt w:val="decimal"/>
      <w:lvlText w:val=""/>
      <w:lvlJc w:val="left"/>
    </w:lvl>
    <w:lvl w:ilvl="4" w:tplc="3242855C">
      <w:numFmt w:val="decimal"/>
      <w:lvlText w:val=""/>
      <w:lvlJc w:val="left"/>
    </w:lvl>
    <w:lvl w:ilvl="5" w:tplc="82322DD4">
      <w:numFmt w:val="decimal"/>
      <w:lvlText w:val=""/>
      <w:lvlJc w:val="left"/>
    </w:lvl>
    <w:lvl w:ilvl="6" w:tplc="8842E15A">
      <w:numFmt w:val="decimal"/>
      <w:lvlText w:val=""/>
      <w:lvlJc w:val="left"/>
    </w:lvl>
    <w:lvl w:ilvl="7" w:tplc="D3AAAB80">
      <w:numFmt w:val="decimal"/>
      <w:lvlText w:val=""/>
      <w:lvlJc w:val="left"/>
    </w:lvl>
    <w:lvl w:ilvl="8" w:tplc="DE8E7AA4">
      <w:numFmt w:val="decimal"/>
      <w:lvlText w:val=""/>
      <w:lvlJc w:val="left"/>
    </w:lvl>
  </w:abstractNum>
  <w:abstractNum w:abstractNumId="163" w15:restartNumberingAfterBreak="0">
    <w:nsid w:val="41531DED"/>
    <w:multiLevelType w:val="hybridMultilevel"/>
    <w:tmpl w:val="B56EAEEC"/>
    <w:lvl w:ilvl="0" w:tplc="0608DE8C">
      <w:start w:val="1"/>
      <w:numFmt w:val="lowerLetter"/>
      <w:lvlText w:val="(%1)"/>
      <w:lvlJc w:val="left"/>
    </w:lvl>
    <w:lvl w:ilvl="1" w:tplc="2A2A00E4">
      <w:numFmt w:val="decimal"/>
      <w:lvlText w:val=""/>
      <w:lvlJc w:val="left"/>
    </w:lvl>
    <w:lvl w:ilvl="2" w:tplc="681EB774">
      <w:numFmt w:val="decimal"/>
      <w:lvlText w:val=""/>
      <w:lvlJc w:val="left"/>
    </w:lvl>
    <w:lvl w:ilvl="3" w:tplc="73B08A64">
      <w:numFmt w:val="decimal"/>
      <w:lvlText w:val=""/>
      <w:lvlJc w:val="left"/>
    </w:lvl>
    <w:lvl w:ilvl="4" w:tplc="AA2C0F24">
      <w:numFmt w:val="decimal"/>
      <w:lvlText w:val=""/>
      <w:lvlJc w:val="left"/>
    </w:lvl>
    <w:lvl w:ilvl="5" w:tplc="312AA1E6">
      <w:numFmt w:val="decimal"/>
      <w:lvlText w:val=""/>
      <w:lvlJc w:val="left"/>
    </w:lvl>
    <w:lvl w:ilvl="6" w:tplc="7592D07E">
      <w:numFmt w:val="decimal"/>
      <w:lvlText w:val=""/>
      <w:lvlJc w:val="left"/>
    </w:lvl>
    <w:lvl w:ilvl="7" w:tplc="30209D58">
      <w:numFmt w:val="decimal"/>
      <w:lvlText w:val=""/>
      <w:lvlJc w:val="left"/>
    </w:lvl>
    <w:lvl w:ilvl="8" w:tplc="BD920C18">
      <w:numFmt w:val="decimal"/>
      <w:lvlText w:val=""/>
      <w:lvlJc w:val="left"/>
    </w:lvl>
  </w:abstractNum>
  <w:abstractNum w:abstractNumId="164" w15:restartNumberingAfterBreak="0">
    <w:nsid w:val="41ED20D7"/>
    <w:multiLevelType w:val="hybridMultilevel"/>
    <w:tmpl w:val="DDA49D58"/>
    <w:lvl w:ilvl="0" w:tplc="E59671EE">
      <w:start w:val="2"/>
      <w:numFmt w:val="lowerLetter"/>
      <w:lvlText w:val="(%1)"/>
      <w:lvlJc w:val="left"/>
    </w:lvl>
    <w:lvl w:ilvl="1" w:tplc="15388E84">
      <w:numFmt w:val="decimal"/>
      <w:lvlText w:val=""/>
      <w:lvlJc w:val="left"/>
    </w:lvl>
    <w:lvl w:ilvl="2" w:tplc="C174384C">
      <w:numFmt w:val="decimal"/>
      <w:lvlText w:val=""/>
      <w:lvlJc w:val="left"/>
    </w:lvl>
    <w:lvl w:ilvl="3" w:tplc="240892D2">
      <w:numFmt w:val="decimal"/>
      <w:lvlText w:val=""/>
      <w:lvlJc w:val="left"/>
    </w:lvl>
    <w:lvl w:ilvl="4" w:tplc="2A6A697C">
      <w:numFmt w:val="decimal"/>
      <w:lvlText w:val=""/>
      <w:lvlJc w:val="left"/>
    </w:lvl>
    <w:lvl w:ilvl="5" w:tplc="203642FE">
      <w:numFmt w:val="decimal"/>
      <w:lvlText w:val=""/>
      <w:lvlJc w:val="left"/>
    </w:lvl>
    <w:lvl w:ilvl="6" w:tplc="5CDC0238">
      <w:numFmt w:val="decimal"/>
      <w:lvlText w:val=""/>
      <w:lvlJc w:val="left"/>
    </w:lvl>
    <w:lvl w:ilvl="7" w:tplc="5782B18A">
      <w:numFmt w:val="decimal"/>
      <w:lvlText w:val=""/>
      <w:lvlJc w:val="left"/>
    </w:lvl>
    <w:lvl w:ilvl="8" w:tplc="90CECD88">
      <w:numFmt w:val="decimal"/>
      <w:lvlText w:val=""/>
      <w:lvlJc w:val="left"/>
    </w:lvl>
  </w:abstractNum>
  <w:abstractNum w:abstractNumId="165" w15:restartNumberingAfterBreak="0">
    <w:nsid w:val="424479DA"/>
    <w:multiLevelType w:val="hybridMultilevel"/>
    <w:tmpl w:val="83E8D086"/>
    <w:lvl w:ilvl="0" w:tplc="64741444">
      <w:start w:val="2"/>
      <w:numFmt w:val="lowerLetter"/>
      <w:lvlText w:val="(%1)"/>
      <w:lvlJc w:val="left"/>
    </w:lvl>
    <w:lvl w:ilvl="1" w:tplc="C580416A">
      <w:numFmt w:val="decimal"/>
      <w:lvlText w:val=""/>
      <w:lvlJc w:val="left"/>
    </w:lvl>
    <w:lvl w:ilvl="2" w:tplc="06A67C80">
      <w:numFmt w:val="decimal"/>
      <w:lvlText w:val=""/>
      <w:lvlJc w:val="left"/>
    </w:lvl>
    <w:lvl w:ilvl="3" w:tplc="CEB0E6C6">
      <w:numFmt w:val="decimal"/>
      <w:lvlText w:val=""/>
      <w:lvlJc w:val="left"/>
    </w:lvl>
    <w:lvl w:ilvl="4" w:tplc="C8A4D9DC">
      <w:numFmt w:val="decimal"/>
      <w:lvlText w:val=""/>
      <w:lvlJc w:val="left"/>
    </w:lvl>
    <w:lvl w:ilvl="5" w:tplc="654464EC">
      <w:numFmt w:val="decimal"/>
      <w:lvlText w:val=""/>
      <w:lvlJc w:val="left"/>
    </w:lvl>
    <w:lvl w:ilvl="6" w:tplc="29F61172">
      <w:numFmt w:val="decimal"/>
      <w:lvlText w:val=""/>
      <w:lvlJc w:val="left"/>
    </w:lvl>
    <w:lvl w:ilvl="7" w:tplc="937C91F8">
      <w:numFmt w:val="decimal"/>
      <w:lvlText w:val=""/>
      <w:lvlJc w:val="left"/>
    </w:lvl>
    <w:lvl w:ilvl="8" w:tplc="68FAD22C">
      <w:numFmt w:val="decimal"/>
      <w:lvlText w:val=""/>
      <w:lvlJc w:val="left"/>
    </w:lvl>
  </w:abstractNum>
  <w:abstractNum w:abstractNumId="166" w15:restartNumberingAfterBreak="0">
    <w:nsid w:val="4252C2DA"/>
    <w:multiLevelType w:val="hybridMultilevel"/>
    <w:tmpl w:val="298088FA"/>
    <w:lvl w:ilvl="0" w:tplc="5F3850A6">
      <w:start w:val="2"/>
      <w:numFmt w:val="lowerLetter"/>
      <w:lvlText w:val="(%1)"/>
      <w:lvlJc w:val="left"/>
    </w:lvl>
    <w:lvl w:ilvl="1" w:tplc="6930C142">
      <w:numFmt w:val="decimal"/>
      <w:lvlText w:val=""/>
      <w:lvlJc w:val="left"/>
    </w:lvl>
    <w:lvl w:ilvl="2" w:tplc="835280DA">
      <w:numFmt w:val="decimal"/>
      <w:lvlText w:val=""/>
      <w:lvlJc w:val="left"/>
    </w:lvl>
    <w:lvl w:ilvl="3" w:tplc="CA14D722">
      <w:numFmt w:val="decimal"/>
      <w:lvlText w:val=""/>
      <w:lvlJc w:val="left"/>
    </w:lvl>
    <w:lvl w:ilvl="4" w:tplc="B67C4D5A">
      <w:numFmt w:val="decimal"/>
      <w:lvlText w:val=""/>
      <w:lvlJc w:val="left"/>
    </w:lvl>
    <w:lvl w:ilvl="5" w:tplc="DF3A50F6">
      <w:numFmt w:val="decimal"/>
      <w:lvlText w:val=""/>
      <w:lvlJc w:val="left"/>
    </w:lvl>
    <w:lvl w:ilvl="6" w:tplc="7F66E542">
      <w:numFmt w:val="decimal"/>
      <w:lvlText w:val=""/>
      <w:lvlJc w:val="left"/>
    </w:lvl>
    <w:lvl w:ilvl="7" w:tplc="9CE238F0">
      <w:numFmt w:val="decimal"/>
      <w:lvlText w:val=""/>
      <w:lvlJc w:val="left"/>
    </w:lvl>
    <w:lvl w:ilvl="8" w:tplc="ABA8DF92">
      <w:numFmt w:val="decimal"/>
      <w:lvlText w:val=""/>
      <w:lvlJc w:val="left"/>
    </w:lvl>
  </w:abstractNum>
  <w:abstractNum w:abstractNumId="167" w15:restartNumberingAfterBreak="0">
    <w:nsid w:val="425EB207"/>
    <w:multiLevelType w:val="hybridMultilevel"/>
    <w:tmpl w:val="48CE78BA"/>
    <w:lvl w:ilvl="0" w:tplc="D78CBF4E">
      <w:start w:val="4"/>
      <w:numFmt w:val="upperLetter"/>
      <w:lvlText w:val="(%1)"/>
      <w:lvlJc w:val="left"/>
    </w:lvl>
    <w:lvl w:ilvl="1" w:tplc="CA8E6518">
      <w:numFmt w:val="decimal"/>
      <w:lvlText w:val=""/>
      <w:lvlJc w:val="left"/>
    </w:lvl>
    <w:lvl w:ilvl="2" w:tplc="ACDC26F6">
      <w:numFmt w:val="decimal"/>
      <w:lvlText w:val=""/>
      <w:lvlJc w:val="left"/>
    </w:lvl>
    <w:lvl w:ilvl="3" w:tplc="165ABEB0">
      <w:numFmt w:val="decimal"/>
      <w:lvlText w:val=""/>
      <w:lvlJc w:val="left"/>
    </w:lvl>
    <w:lvl w:ilvl="4" w:tplc="EBAA8BAA">
      <w:numFmt w:val="decimal"/>
      <w:lvlText w:val=""/>
      <w:lvlJc w:val="left"/>
    </w:lvl>
    <w:lvl w:ilvl="5" w:tplc="8BC21DB8">
      <w:numFmt w:val="decimal"/>
      <w:lvlText w:val=""/>
      <w:lvlJc w:val="left"/>
    </w:lvl>
    <w:lvl w:ilvl="6" w:tplc="6DEC8F58">
      <w:numFmt w:val="decimal"/>
      <w:lvlText w:val=""/>
      <w:lvlJc w:val="left"/>
    </w:lvl>
    <w:lvl w:ilvl="7" w:tplc="9ADC6796">
      <w:numFmt w:val="decimal"/>
      <w:lvlText w:val=""/>
      <w:lvlJc w:val="left"/>
    </w:lvl>
    <w:lvl w:ilvl="8" w:tplc="86B8AD7A">
      <w:numFmt w:val="decimal"/>
      <w:lvlText w:val=""/>
      <w:lvlJc w:val="left"/>
    </w:lvl>
  </w:abstractNum>
  <w:abstractNum w:abstractNumId="168" w15:restartNumberingAfterBreak="0">
    <w:nsid w:val="4303A216"/>
    <w:multiLevelType w:val="hybridMultilevel"/>
    <w:tmpl w:val="C0A62E00"/>
    <w:lvl w:ilvl="0" w:tplc="3A5AE108">
      <w:start w:val="1"/>
      <w:numFmt w:val="bullet"/>
      <w:lvlText w:val="•"/>
      <w:lvlJc w:val="left"/>
    </w:lvl>
    <w:lvl w:ilvl="1" w:tplc="6BB67BA6">
      <w:numFmt w:val="decimal"/>
      <w:lvlText w:val=""/>
      <w:lvlJc w:val="left"/>
    </w:lvl>
    <w:lvl w:ilvl="2" w:tplc="030AE91A">
      <w:numFmt w:val="decimal"/>
      <w:lvlText w:val=""/>
      <w:lvlJc w:val="left"/>
    </w:lvl>
    <w:lvl w:ilvl="3" w:tplc="0B2A9AD8">
      <w:numFmt w:val="decimal"/>
      <w:lvlText w:val=""/>
      <w:lvlJc w:val="left"/>
    </w:lvl>
    <w:lvl w:ilvl="4" w:tplc="E312CBA4">
      <w:numFmt w:val="decimal"/>
      <w:lvlText w:val=""/>
      <w:lvlJc w:val="left"/>
    </w:lvl>
    <w:lvl w:ilvl="5" w:tplc="D736D6F8">
      <w:numFmt w:val="decimal"/>
      <w:lvlText w:val=""/>
      <w:lvlJc w:val="left"/>
    </w:lvl>
    <w:lvl w:ilvl="6" w:tplc="9EE67AF6">
      <w:numFmt w:val="decimal"/>
      <w:lvlText w:val=""/>
      <w:lvlJc w:val="left"/>
    </w:lvl>
    <w:lvl w:ilvl="7" w:tplc="C4C66CEE">
      <w:numFmt w:val="decimal"/>
      <w:lvlText w:val=""/>
      <w:lvlJc w:val="left"/>
    </w:lvl>
    <w:lvl w:ilvl="8" w:tplc="855CB124">
      <w:numFmt w:val="decimal"/>
      <w:lvlText w:val=""/>
      <w:lvlJc w:val="left"/>
    </w:lvl>
  </w:abstractNum>
  <w:abstractNum w:abstractNumId="169" w15:restartNumberingAfterBreak="0">
    <w:nsid w:val="434BAE75"/>
    <w:multiLevelType w:val="hybridMultilevel"/>
    <w:tmpl w:val="76760766"/>
    <w:lvl w:ilvl="0" w:tplc="5804ED66">
      <w:start w:val="1"/>
      <w:numFmt w:val="lowerLetter"/>
      <w:lvlText w:val="(%1)"/>
      <w:lvlJc w:val="left"/>
    </w:lvl>
    <w:lvl w:ilvl="1" w:tplc="F7725CA8">
      <w:numFmt w:val="decimal"/>
      <w:lvlText w:val=""/>
      <w:lvlJc w:val="left"/>
    </w:lvl>
    <w:lvl w:ilvl="2" w:tplc="2BFE1B10">
      <w:numFmt w:val="decimal"/>
      <w:lvlText w:val=""/>
      <w:lvlJc w:val="left"/>
    </w:lvl>
    <w:lvl w:ilvl="3" w:tplc="A282FA5C">
      <w:numFmt w:val="decimal"/>
      <w:lvlText w:val=""/>
      <w:lvlJc w:val="left"/>
    </w:lvl>
    <w:lvl w:ilvl="4" w:tplc="2C3C5E10">
      <w:numFmt w:val="decimal"/>
      <w:lvlText w:val=""/>
      <w:lvlJc w:val="left"/>
    </w:lvl>
    <w:lvl w:ilvl="5" w:tplc="11EE2CC0">
      <w:numFmt w:val="decimal"/>
      <w:lvlText w:val=""/>
      <w:lvlJc w:val="left"/>
    </w:lvl>
    <w:lvl w:ilvl="6" w:tplc="15F01BFA">
      <w:numFmt w:val="decimal"/>
      <w:lvlText w:val=""/>
      <w:lvlJc w:val="left"/>
    </w:lvl>
    <w:lvl w:ilvl="7" w:tplc="C36E0C00">
      <w:numFmt w:val="decimal"/>
      <w:lvlText w:val=""/>
      <w:lvlJc w:val="left"/>
    </w:lvl>
    <w:lvl w:ilvl="8" w:tplc="A5D44B0E">
      <w:numFmt w:val="decimal"/>
      <w:lvlText w:val=""/>
      <w:lvlJc w:val="left"/>
    </w:lvl>
  </w:abstractNum>
  <w:abstractNum w:abstractNumId="170" w15:restartNumberingAfterBreak="0">
    <w:nsid w:val="43D3BCD4"/>
    <w:multiLevelType w:val="hybridMultilevel"/>
    <w:tmpl w:val="97228FCC"/>
    <w:lvl w:ilvl="0" w:tplc="0CCC4020">
      <w:start w:val="2"/>
      <w:numFmt w:val="lowerLetter"/>
      <w:lvlText w:val="(%1)"/>
      <w:lvlJc w:val="left"/>
    </w:lvl>
    <w:lvl w:ilvl="1" w:tplc="74CC545E">
      <w:numFmt w:val="decimal"/>
      <w:lvlText w:val=""/>
      <w:lvlJc w:val="left"/>
    </w:lvl>
    <w:lvl w:ilvl="2" w:tplc="F1E0C874">
      <w:numFmt w:val="decimal"/>
      <w:lvlText w:val=""/>
      <w:lvlJc w:val="left"/>
    </w:lvl>
    <w:lvl w:ilvl="3" w:tplc="92540F72">
      <w:numFmt w:val="decimal"/>
      <w:lvlText w:val=""/>
      <w:lvlJc w:val="left"/>
    </w:lvl>
    <w:lvl w:ilvl="4" w:tplc="FC027F2E">
      <w:numFmt w:val="decimal"/>
      <w:lvlText w:val=""/>
      <w:lvlJc w:val="left"/>
    </w:lvl>
    <w:lvl w:ilvl="5" w:tplc="8C8A1A9E">
      <w:numFmt w:val="decimal"/>
      <w:lvlText w:val=""/>
      <w:lvlJc w:val="left"/>
    </w:lvl>
    <w:lvl w:ilvl="6" w:tplc="8D1A9D36">
      <w:numFmt w:val="decimal"/>
      <w:lvlText w:val=""/>
      <w:lvlJc w:val="left"/>
    </w:lvl>
    <w:lvl w:ilvl="7" w:tplc="9596254C">
      <w:numFmt w:val="decimal"/>
      <w:lvlText w:val=""/>
      <w:lvlJc w:val="left"/>
    </w:lvl>
    <w:lvl w:ilvl="8" w:tplc="6298B99C">
      <w:numFmt w:val="decimal"/>
      <w:lvlText w:val=""/>
      <w:lvlJc w:val="left"/>
    </w:lvl>
  </w:abstractNum>
  <w:abstractNum w:abstractNumId="171" w15:restartNumberingAfterBreak="0">
    <w:nsid w:val="44344C22"/>
    <w:multiLevelType w:val="hybridMultilevel"/>
    <w:tmpl w:val="02364B76"/>
    <w:lvl w:ilvl="0" w:tplc="5B24E4F6">
      <w:start w:val="2"/>
      <w:numFmt w:val="lowerLetter"/>
      <w:lvlText w:val="(%1)"/>
      <w:lvlJc w:val="left"/>
    </w:lvl>
    <w:lvl w:ilvl="1" w:tplc="591E685A">
      <w:numFmt w:val="decimal"/>
      <w:lvlText w:val=""/>
      <w:lvlJc w:val="left"/>
    </w:lvl>
    <w:lvl w:ilvl="2" w:tplc="E4345348">
      <w:numFmt w:val="decimal"/>
      <w:lvlText w:val=""/>
      <w:lvlJc w:val="left"/>
    </w:lvl>
    <w:lvl w:ilvl="3" w:tplc="4F003630">
      <w:numFmt w:val="decimal"/>
      <w:lvlText w:val=""/>
      <w:lvlJc w:val="left"/>
    </w:lvl>
    <w:lvl w:ilvl="4" w:tplc="17FEE87A">
      <w:numFmt w:val="decimal"/>
      <w:lvlText w:val=""/>
      <w:lvlJc w:val="left"/>
    </w:lvl>
    <w:lvl w:ilvl="5" w:tplc="369C68FE">
      <w:numFmt w:val="decimal"/>
      <w:lvlText w:val=""/>
      <w:lvlJc w:val="left"/>
    </w:lvl>
    <w:lvl w:ilvl="6" w:tplc="6644A186">
      <w:numFmt w:val="decimal"/>
      <w:lvlText w:val=""/>
      <w:lvlJc w:val="left"/>
    </w:lvl>
    <w:lvl w:ilvl="7" w:tplc="2A52125C">
      <w:numFmt w:val="decimal"/>
      <w:lvlText w:val=""/>
      <w:lvlJc w:val="left"/>
    </w:lvl>
    <w:lvl w:ilvl="8" w:tplc="BF1E96FE">
      <w:numFmt w:val="decimal"/>
      <w:lvlText w:val=""/>
      <w:lvlJc w:val="left"/>
    </w:lvl>
  </w:abstractNum>
  <w:abstractNum w:abstractNumId="172" w15:restartNumberingAfterBreak="0">
    <w:nsid w:val="44380727"/>
    <w:multiLevelType w:val="hybridMultilevel"/>
    <w:tmpl w:val="55B0BC46"/>
    <w:lvl w:ilvl="0" w:tplc="7EF4D79A">
      <w:start w:val="1"/>
      <w:numFmt w:val="lowerLetter"/>
      <w:lvlText w:val="(%1)"/>
      <w:lvlJc w:val="left"/>
    </w:lvl>
    <w:lvl w:ilvl="1" w:tplc="DD80070E">
      <w:start w:val="1"/>
      <w:numFmt w:val="lowerRoman"/>
      <w:lvlText w:val="(%2)"/>
      <w:lvlJc w:val="left"/>
    </w:lvl>
    <w:lvl w:ilvl="2" w:tplc="06AA01A0">
      <w:start w:val="1"/>
      <w:numFmt w:val="upperLetter"/>
      <w:lvlText w:val="(%3)"/>
      <w:lvlJc w:val="left"/>
    </w:lvl>
    <w:lvl w:ilvl="3" w:tplc="C4383966">
      <w:numFmt w:val="decimal"/>
      <w:lvlText w:val=""/>
      <w:lvlJc w:val="left"/>
    </w:lvl>
    <w:lvl w:ilvl="4" w:tplc="68004A16">
      <w:numFmt w:val="decimal"/>
      <w:lvlText w:val=""/>
      <w:lvlJc w:val="left"/>
    </w:lvl>
    <w:lvl w:ilvl="5" w:tplc="901872A2">
      <w:numFmt w:val="decimal"/>
      <w:lvlText w:val=""/>
      <w:lvlJc w:val="left"/>
    </w:lvl>
    <w:lvl w:ilvl="6" w:tplc="37424176">
      <w:numFmt w:val="decimal"/>
      <w:lvlText w:val=""/>
      <w:lvlJc w:val="left"/>
    </w:lvl>
    <w:lvl w:ilvl="7" w:tplc="CD6A0776">
      <w:numFmt w:val="decimal"/>
      <w:lvlText w:val=""/>
      <w:lvlJc w:val="left"/>
    </w:lvl>
    <w:lvl w:ilvl="8" w:tplc="A1D2A648">
      <w:numFmt w:val="decimal"/>
      <w:lvlText w:val=""/>
      <w:lvlJc w:val="left"/>
    </w:lvl>
  </w:abstractNum>
  <w:abstractNum w:abstractNumId="173" w15:restartNumberingAfterBreak="0">
    <w:nsid w:val="44B3FA61"/>
    <w:multiLevelType w:val="hybridMultilevel"/>
    <w:tmpl w:val="39B89006"/>
    <w:lvl w:ilvl="0" w:tplc="BD702AE4">
      <w:start w:val="1"/>
      <w:numFmt w:val="bullet"/>
      <w:lvlText w:val="•"/>
      <w:lvlJc w:val="left"/>
    </w:lvl>
    <w:lvl w:ilvl="1" w:tplc="F18067F6">
      <w:numFmt w:val="decimal"/>
      <w:lvlText w:val=""/>
      <w:lvlJc w:val="left"/>
    </w:lvl>
    <w:lvl w:ilvl="2" w:tplc="E7347648">
      <w:numFmt w:val="decimal"/>
      <w:lvlText w:val=""/>
      <w:lvlJc w:val="left"/>
    </w:lvl>
    <w:lvl w:ilvl="3" w:tplc="42A88DFC">
      <w:numFmt w:val="decimal"/>
      <w:lvlText w:val=""/>
      <w:lvlJc w:val="left"/>
    </w:lvl>
    <w:lvl w:ilvl="4" w:tplc="6C08089A">
      <w:numFmt w:val="decimal"/>
      <w:lvlText w:val=""/>
      <w:lvlJc w:val="left"/>
    </w:lvl>
    <w:lvl w:ilvl="5" w:tplc="66BCAEDC">
      <w:numFmt w:val="decimal"/>
      <w:lvlText w:val=""/>
      <w:lvlJc w:val="left"/>
    </w:lvl>
    <w:lvl w:ilvl="6" w:tplc="DE66A3EA">
      <w:numFmt w:val="decimal"/>
      <w:lvlText w:val=""/>
      <w:lvlJc w:val="left"/>
    </w:lvl>
    <w:lvl w:ilvl="7" w:tplc="CC68574E">
      <w:numFmt w:val="decimal"/>
      <w:lvlText w:val=""/>
      <w:lvlJc w:val="left"/>
    </w:lvl>
    <w:lvl w:ilvl="8" w:tplc="DC0E8C0E">
      <w:numFmt w:val="decimal"/>
      <w:lvlText w:val=""/>
      <w:lvlJc w:val="left"/>
    </w:lvl>
  </w:abstractNum>
  <w:abstractNum w:abstractNumId="174" w15:restartNumberingAfterBreak="0">
    <w:nsid w:val="44EF6B80"/>
    <w:multiLevelType w:val="hybridMultilevel"/>
    <w:tmpl w:val="5B04045E"/>
    <w:lvl w:ilvl="0" w:tplc="FD4C02FE">
      <w:start w:val="1"/>
      <w:numFmt w:val="lowerLetter"/>
      <w:lvlText w:val="(%1)"/>
      <w:lvlJc w:val="left"/>
    </w:lvl>
    <w:lvl w:ilvl="1" w:tplc="342267CA">
      <w:numFmt w:val="decimal"/>
      <w:lvlText w:val=""/>
      <w:lvlJc w:val="left"/>
    </w:lvl>
    <w:lvl w:ilvl="2" w:tplc="2EE8D950">
      <w:numFmt w:val="decimal"/>
      <w:lvlText w:val=""/>
      <w:lvlJc w:val="left"/>
    </w:lvl>
    <w:lvl w:ilvl="3" w:tplc="570606D4">
      <w:numFmt w:val="decimal"/>
      <w:lvlText w:val=""/>
      <w:lvlJc w:val="left"/>
    </w:lvl>
    <w:lvl w:ilvl="4" w:tplc="37AACD7A">
      <w:numFmt w:val="decimal"/>
      <w:lvlText w:val=""/>
      <w:lvlJc w:val="left"/>
    </w:lvl>
    <w:lvl w:ilvl="5" w:tplc="3CE81FB8">
      <w:numFmt w:val="decimal"/>
      <w:lvlText w:val=""/>
      <w:lvlJc w:val="left"/>
    </w:lvl>
    <w:lvl w:ilvl="6" w:tplc="1D464D26">
      <w:numFmt w:val="decimal"/>
      <w:lvlText w:val=""/>
      <w:lvlJc w:val="left"/>
    </w:lvl>
    <w:lvl w:ilvl="7" w:tplc="FC3E70CC">
      <w:numFmt w:val="decimal"/>
      <w:lvlText w:val=""/>
      <w:lvlJc w:val="left"/>
    </w:lvl>
    <w:lvl w:ilvl="8" w:tplc="D6528D38">
      <w:numFmt w:val="decimal"/>
      <w:lvlText w:val=""/>
      <w:lvlJc w:val="left"/>
    </w:lvl>
  </w:abstractNum>
  <w:abstractNum w:abstractNumId="175" w15:restartNumberingAfterBreak="0">
    <w:nsid w:val="46111BA5"/>
    <w:multiLevelType w:val="hybridMultilevel"/>
    <w:tmpl w:val="F5F41638"/>
    <w:lvl w:ilvl="0" w:tplc="BB845C62">
      <w:start w:val="5"/>
      <w:numFmt w:val="lowerLetter"/>
      <w:lvlText w:val="(%1)"/>
      <w:lvlJc w:val="left"/>
    </w:lvl>
    <w:lvl w:ilvl="1" w:tplc="9418E436">
      <w:numFmt w:val="decimal"/>
      <w:lvlText w:val=""/>
      <w:lvlJc w:val="left"/>
    </w:lvl>
    <w:lvl w:ilvl="2" w:tplc="A9C8F43E">
      <w:numFmt w:val="decimal"/>
      <w:lvlText w:val=""/>
      <w:lvlJc w:val="left"/>
    </w:lvl>
    <w:lvl w:ilvl="3" w:tplc="AB80E64C">
      <w:numFmt w:val="decimal"/>
      <w:lvlText w:val=""/>
      <w:lvlJc w:val="left"/>
    </w:lvl>
    <w:lvl w:ilvl="4" w:tplc="8294C994">
      <w:numFmt w:val="decimal"/>
      <w:lvlText w:val=""/>
      <w:lvlJc w:val="left"/>
    </w:lvl>
    <w:lvl w:ilvl="5" w:tplc="EB8C14A0">
      <w:numFmt w:val="decimal"/>
      <w:lvlText w:val=""/>
      <w:lvlJc w:val="left"/>
    </w:lvl>
    <w:lvl w:ilvl="6" w:tplc="9CDE8C32">
      <w:numFmt w:val="decimal"/>
      <w:lvlText w:val=""/>
      <w:lvlJc w:val="left"/>
    </w:lvl>
    <w:lvl w:ilvl="7" w:tplc="D960F798">
      <w:numFmt w:val="decimal"/>
      <w:lvlText w:val=""/>
      <w:lvlJc w:val="left"/>
    </w:lvl>
    <w:lvl w:ilvl="8" w:tplc="371EFB10">
      <w:numFmt w:val="decimal"/>
      <w:lvlText w:val=""/>
      <w:lvlJc w:val="left"/>
    </w:lvl>
  </w:abstractNum>
  <w:abstractNum w:abstractNumId="176" w15:restartNumberingAfterBreak="0">
    <w:nsid w:val="4695AE95"/>
    <w:multiLevelType w:val="hybridMultilevel"/>
    <w:tmpl w:val="B19C1CA2"/>
    <w:lvl w:ilvl="0" w:tplc="CA3CDE68">
      <w:start w:val="5"/>
      <w:numFmt w:val="lowerLetter"/>
      <w:lvlText w:val="(%1)"/>
      <w:lvlJc w:val="left"/>
    </w:lvl>
    <w:lvl w:ilvl="1" w:tplc="D1229256">
      <w:numFmt w:val="decimal"/>
      <w:lvlText w:val=""/>
      <w:lvlJc w:val="left"/>
    </w:lvl>
    <w:lvl w:ilvl="2" w:tplc="75B65A80">
      <w:numFmt w:val="decimal"/>
      <w:lvlText w:val=""/>
      <w:lvlJc w:val="left"/>
    </w:lvl>
    <w:lvl w:ilvl="3" w:tplc="7440476E">
      <w:numFmt w:val="decimal"/>
      <w:lvlText w:val=""/>
      <w:lvlJc w:val="left"/>
    </w:lvl>
    <w:lvl w:ilvl="4" w:tplc="BA18AB80">
      <w:numFmt w:val="decimal"/>
      <w:lvlText w:val=""/>
      <w:lvlJc w:val="left"/>
    </w:lvl>
    <w:lvl w:ilvl="5" w:tplc="C3760004">
      <w:numFmt w:val="decimal"/>
      <w:lvlText w:val=""/>
      <w:lvlJc w:val="left"/>
    </w:lvl>
    <w:lvl w:ilvl="6" w:tplc="163C7362">
      <w:numFmt w:val="decimal"/>
      <w:lvlText w:val=""/>
      <w:lvlJc w:val="left"/>
    </w:lvl>
    <w:lvl w:ilvl="7" w:tplc="F46EDD1E">
      <w:numFmt w:val="decimal"/>
      <w:lvlText w:val=""/>
      <w:lvlJc w:val="left"/>
    </w:lvl>
    <w:lvl w:ilvl="8" w:tplc="7B502FE2">
      <w:numFmt w:val="decimal"/>
      <w:lvlText w:val=""/>
      <w:lvlJc w:val="left"/>
    </w:lvl>
  </w:abstractNum>
  <w:abstractNum w:abstractNumId="177" w15:restartNumberingAfterBreak="0">
    <w:nsid w:val="46B24DBC"/>
    <w:multiLevelType w:val="hybridMultilevel"/>
    <w:tmpl w:val="8370CDBC"/>
    <w:lvl w:ilvl="0" w:tplc="2ED0459A">
      <w:start w:val="6"/>
      <w:numFmt w:val="lowerLetter"/>
      <w:lvlText w:val="(%1)"/>
      <w:lvlJc w:val="left"/>
    </w:lvl>
    <w:lvl w:ilvl="1" w:tplc="8196F87C">
      <w:start w:val="1"/>
      <w:numFmt w:val="lowerRoman"/>
      <w:lvlText w:val="(%2)"/>
      <w:lvlJc w:val="left"/>
    </w:lvl>
    <w:lvl w:ilvl="2" w:tplc="2FBCC7A2">
      <w:numFmt w:val="decimal"/>
      <w:lvlText w:val=""/>
      <w:lvlJc w:val="left"/>
    </w:lvl>
    <w:lvl w:ilvl="3" w:tplc="4AD08448">
      <w:numFmt w:val="decimal"/>
      <w:lvlText w:val=""/>
      <w:lvlJc w:val="left"/>
    </w:lvl>
    <w:lvl w:ilvl="4" w:tplc="5CCA4B86">
      <w:numFmt w:val="decimal"/>
      <w:lvlText w:val=""/>
      <w:lvlJc w:val="left"/>
    </w:lvl>
    <w:lvl w:ilvl="5" w:tplc="D05CE822">
      <w:numFmt w:val="decimal"/>
      <w:lvlText w:val=""/>
      <w:lvlJc w:val="left"/>
    </w:lvl>
    <w:lvl w:ilvl="6" w:tplc="EB0CE57A">
      <w:numFmt w:val="decimal"/>
      <w:lvlText w:val=""/>
      <w:lvlJc w:val="left"/>
    </w:lvl>
    <w:lvl w:ilvl="7" w:tplc="1DF46384">
      <w:numFmt w:val="decimal"/>
      <w:lvlText w:val=""/>
      <w:lvlJc w:val="left"/>
    </w:lvl>
    <w:lvl w:ilvl="8" w:tplc="57C0DBC6">
      <w:numFmt w:val="decimal"/>
      <w:lvlText w:val=""/>
      <w:lvlJc w:val="left"/>
    </w:lvl>
  </w:abstractNum>
  <w:abstractNum w:abstractNumId="178" w15:restartNumberingAfterBreak="0">
    <w:nsid w:val="46BA8FCA"/>
    <w:multiLevelType w:val="hybridMultilevel"/>
    <w:tmpl w:val="BE869CEA"/>
    <w:lvl w:ilvl="0" w:tplc="662881F4">
      <w:start w:val="1"/>
      <w:numFmt w:val="lowerLetter"/>
      <w:lvlText w:val="(%1)"/>
      <w:lvlJc w:val="left"/>
    </w:lvl>
    <w:lvl w:ilvl="1" w:tplc="EB3021B8">
      <w:numFmt w:val="decimal"/>
      <w:lvlText w:val=""/>
      <w:lvlJc w:val="left"/>
    </w:lvl>
    <w:lvl w:ilvl="2" w:tplc="05F84110">
      <w:numFmt w:val="decimal"/>
      <w:lvlText w:val=""/>
      <w:lvlJc w:val="left"/>
    </w:lvl>
    <w:lvl w:ilvl="3" w:tplc="707A541E">
      <w:numFmt w:val="decimal"/>
      <w:lvlText w:val=""/>
      <w:lvlJc w:val="left"/>
    </w:lvl>
    <w:lvl w:ilvl="4" w:tplc="9EB89A20">
      <w:numFmt w:val="decimal"/>
      <w:lvlText w:val=""/>
      <w:lvlJc w:val="left"/>
    </w:lvl>
    <w:lvl w:ilvl="5" w:tplc="5CA6D4B4">
      <w:numFmt w:val="decimal"/>
      <w:lvlText w:val=""/>
      <w:lvlJc w:val="left"/>
    </w:lvl>
    <w:lvl w:ilvl="6" w:tplc="81B2F6EA">
      <w:numFmt w:val="decimal"/>
      <w:lvlText w:val=""/>
      <w:lvlJc w:val="left"/>
    </w:lvl>
    <w:lvl w:ilvl="7" w:tplc="079EAF64">
      <w:numFmt w:val="decimal"/>
      <w:lvlText w:val=""/>
      <w:lvlJc w:val="left"/>
    </w:lvl>
    <w:lvl w:ilvl="8" w:tplc="0E8C883C">
      <w:numFmt w:val="decimal"/>
      <w:lvlText w:val=""/>
      <w:lvlJc w:val="left"/>
    </w:lvl>
  </w:abstractNum>
  <w:abstractNum w:abstractNumId="179" w15:restartNumberingAfterBreak="0">
    <w:nsid w:val="46F8284B"/>
    <w:multiLevelType w:val="hybridMultilevel"/>
    <w:tmpl w:val="FC8AD2C4"/>
    <w:lvl w:ilvl="0" w:tplc="32763486">
      <w:start w:val="1"/>
      <w:numFmt w:val="bullet"/>
      <w:lvlText w:val="•"/>
      <w:lvlJc w:val="left"/>
    </w:lvl>
    <w:lvl w:ilvl="1" w:tplc="6A26938C">
      <w:numFmt w:val="decimal"/>
      <w:lvlText w:val=""/>
      <w:lvlJc w:val="left"/>
    </w:lvl>
    <w:lvl w:ilvl="2" w:tplc="EB662F26">
      <w:numFmt w:val="decimal"/>
      <w:lvlText w:val=""/>
      <w:lvlJc w:val="left"/>
    </w:lvl>
    <w:lvl w:ilvl="3" w:tplc="53F67B08">
      <w:numFmt w:val="decimal"/>
      <w:lvlText w:val=""/>
      <w:lvlJc w:val="left"/>
    </w:lvl>
    <w:lvl w:ilvl="4" w:tplc="67C6B226">
      <w:numFmt w:val="decimal"/>
      <w:lvlText w:val=""/>
      <w:lvlJc w:val="left"/>
    </w:lvl>
    <w:lvl w:ilvl="5" w:tplc="EC1CB620">
      <w:numFmt w:val="decimal"/>
      <w:lvlText w:val=""/>
      <w:lvlJc w:val="left"/>
    </w:lvl>
    <w:lvl w:ilvl="6" w:tplc="6BAAD5B6">
      <w:numFmt w:val="decimal"/>
      <w:lvlText w:val=""/>
      <w:lvlJc w:val="left"/>
    </w:lvl>
    <w:lvl w:ilvl="7" w:tplc="1E027A62">
      <w:numFmt w:val="decimal"/>
      <w:lvlText w:val=""/>
      <w:lvlJc w:val="left"/>
    </w:lvl>
    <w:lvl w:ilvl="8" w:tplc="743C8CCE">
      <w:numFmt w:val="decimal"/>
      <w:lvlText w:val=""/>
      <w:lvlJc w:val="left"/>
    </w:lvl>
  </w:abstractNum>
  <w:abstractNum w:abstractNumId="180" w15:restartNumberingAfterBreak="0">
    <w:nsid w:val="471745E4"/>
    <w:multiLevelType w:val="hybridMultilevel"/>
    <w:tmpl w:val="E070C232"/>
    <w:lvl w:ilvl="0" w:tplc="8B001220">
      <w:start w:val="1"/>
      <w:numFmt w:val="bullet"/>
      <w:lvlText w:val="L"/>
      <w:lvlJc w:val="left"/>
    </w:lvl>
    <w:lvl w:ilvl="1" w:tplc="C1DEFED2">
      <w:numFmt w:val="decimal"/>
      <w:lvlText w:val=""/>
      <w:lvlJc w:val="left"/>
    </w:lvl>
    <w:lvl w:ilvl="2" w:tplc="72B626A8">
      <w:numFmt w:val="decimal"/>
      <w:lvlText w:val=""/>
      <w:lvlJc w:val="left"/>
    </w:lvl>
    <w:lvl w:ilvl="3" w:tplc="6E24DC70">
      <w:numFmt w:val="decimal"/>
      <w:lvlText w:val=""/>
      <w:lvlJc w:val="left"/>
    </w:lvl>
    <w:lvl w:ilvl="4" w:tplc="374E24D8">
      <w:numFmt w:val="decimal"/>
      <w:lvlText w:val=""/>
      <w:lvlJc w:val="left"/>
    </w:lvl>
    <w:lvl w:ilvl="5" w:tplc="E7C63106">
      <w:numFmt w:val="decimal"/>
      <w:lvlText w:val=""/>
      <w:lvlJc w:val="left"/>
    </w:lvl>
    <w:lvl w:ilvl="6" w:tplc="1DF0C2E8">
      <w:numFmt w:val="decimal"/>
      <w:lvlText w:val=""/>
      <w:lvlJc w:val="left"/>
    </w:lvl>
    <w:lvl w:ilvl="7" w:tplc="DD84C4E4">
      <w:numFmt w:val="decimal"/>
      <w:lvlText w:val=""/>
      <w:lvlJc w:val="left"/>
    </w:lvl>
    <w:lvl w:ilvl="8" w:tplc="E67A964E">
      <w:numFmt w:val="decimal"/>
      <w:lvlText w:val=""/>
      <w:lvlJc w:val="left"/>
    </w:lvl>
  </w:abstractNum>
  <w:abstractNum w:abstractNumId="181" w15:restartNumberingAfterBreak="0">
    <w:nsid w:val="475E256A"/>
    <w:multiLevelType w:val="hybridMultilevel"/>
    <w:tmpl w:val="0E3A04E6"/>
    <w:lvl w:ilvl="0" w:tplc="31921D54">
      <w:start w:val="9"/>
      <w:numFmt w:val="lowerLetter"/>
      <w:lvlText w:val="(%1)"/>
      <w:lvlJc w:val="left"/>
    </w:lvl>
    <w:lvl w:ilvl="1" w:tplc="83909200">
      <w:numFmt w:val="decimal"/>
      <w:lvlText w:val=""/>
      <w:lvlJc w:val="left"/>
    </w:lvl>
    <w:lvl w:ilvl="2" w:tplc="AEAC9536">
      <w:numFmt w:val="decimal"/>
      <w:lvlText w:val=""/>
      <w:lvlJc w:val="left"/>
    </w:lvl>
    <w:lvl w:ilvl="3" w:tplc="9F3C64B8">
      <w:numFmt w:val="decimal"/>
      <w:lvlText w:val=""/>
      <w:lvlJc w:val="left"/>
    </w:lvl>
    <w:lvl w:ilvl="4" w:tplc="5386A702">
      <w:numFmt w:val="decimal"/>
      <w:lvlText w:val=""/>
      <w:lvlJc w:val="left"/>
    </w:lvl>
    <w:lvl w:ilvl="5" w:tplc="96526BAE">
      <w:numFmt w:val="decimal"/>
      <w:lvlText w:val=""/>
      <w:lvlJc w:val="left"/>
    </w:lvl>
    <w:lvl w:ilvl="6" w:tplc="4B461BE4">
      <w:numFmt w:val="decimal"/>
      <w:lvlText w:val=""/>
      <w:lvlJc w:val="left"/>
    </w:lvl>
    <w:lvl w:ilvl="7" w:tplc="8492647A">
      <w:numFmt w:val="decimal"/>
      <w:lvlText w:val=""/>
      <w:lvlJc w:val="left"/>
    </w:lvl>
    <w:lvl w:ilvl="8" w:tplc="2C2CED8E">
      <w:numFmt w:val="decimal"/>
      <w:lvlText w:val=""/>
      <w:lvlJc w:val="left"/>
    </w:lvl>
  </w:abstractNum>
  <w:abstractNum w:abstractNumId="182" w15:restartNumberingAfterBreak="0">
    <w:nsid w:val="47C7C971"/>
    <w:multiLevelType w:val="hybridMultilevel"/>
    <w:tmpl w:val="D2B87C82"/>
    <w:lvl w:ilvl="0" w:tplc="1B420404">
      <w:start w:val="1"/>
      <w:numFmt w:val="bullet"/>
      <w:lvlText w:val="•"/>
      <w:lvlJc w:val="left"/>
    </w:lvl>
    <w:lvl w:ilvl="1" w:tplc="692895DC">
      <w:numFmt w:val="decimal"/>
      <w:lvlText w:val=""/>
      <w:lvlJc w:val="left"/>
    </w:lvl>
    <w:lvl w:ilvl="2" w:tplc="956859EE">
      <w:numFmt w:val="decimal"/>
      <w:lvlText w:val=""/>
      <w:lvlJc w:val="left"/>
    </w:lvl>
    <w:lvl w:ilvl="3" w:tplc="7BFACC02">
      <w:numFmt w:val="decimal"/>
      <w:lvlText w:val=""/>
      <w:lvlJc w:val="left"/>
    </w:lvl>
    <w:lvl w:ilvl="4" w:tplc="20E8BD6E">
      <w:numFmt w:val="decimal"/>
      <w:lvlText w:val=""/>
      <w:lvlJc w:val="left"/>
    </w:lvl>
    <w:lvl w:ilvl="5" w:tplc="94C835D6">
      <w:numFmt w:val="decimal"/>
      <w:lvlText w:val=""/>
      <w:lvlJc w:val="left"/>
    </w:lvl>
    <w:lvl w:ilvl="6" w:tplc="D1C06B6A">
      <w:numFmt w:val="decimal"/>
      <w:lvlText w:val=""/>
      <w:lvlJc w:val="left"/>
    </w:lvl>
    <w:lvl w:ilvl="7" w:tplc="3F867D48">
      <w:numFmt w:val="decimal"/>
      <w:lvlText w:val=""/>
      <w:lvlJc w:val="left"/>
    </w:lvl>
    <w:lvl w:ilvl="8" w:tplc="B8D8F072">
      <w:numFmt w:val="decimal"/>
      <w:lvlText w:val=""/>
      <w:lvlJc w:val="left"/>
    </w:lvl>
  </w:abstractNum>
  <w:abstractNum w:abstractNumId="183" w15:restartNumberingAfterBreak="0">
    <w:nsid w:val="47CAA567"/>
    <w:multiLevelType w:val="hybridMultilevel"/>
    <w:tmpl w:val="15269442"/>
    <w:lvl w:ilvl="0" w:tplc="488CA37E">
      <w:start w:val="2"/>
      <w:numFmt w:val="lowerLetter"/>
      <w:lvlText w:val="(%1)"/>
      <w:lvlJc w:val="left"/>
    </w:lvl>
    <w:lvl w:ilvl="1" w:tplc="8DF09250">
      <w:numFmt w:val="decimal"/>
      <w:lvlText w:val=""/>
      <w:lvlJc w:val="left"/>
    </w:lvl>
    <w:lvl w:ilvl="2" w:tplc="814E2122">
      <w:numFmt w:val="decimal"/>
      <w:lvlText w:val=""/>
      <w:lvlJc w:val="left"/>
    </w:lvl>
    <w:lvl w:ilvl="3" w:tplc="7B525906">
      <w:numFmt w:val="decimal"/>
      <w:lvlText w:val=""/>
      <w:lvlJc w:val="left"/>
    </w:lvl>
    <w:lvl w:ilvl="4" w:tplc="97006538">
      <w:numFmt w:val="decimal"/>
      <w:lvlText w:val=""/>
      <w:lvlJc w:val="left"/>
    </w:lvl>
    <w:lvl w:ilvl="5" w:tplc="B42C728E">
      <w:numFmt w:val="decimal"/>
      <w:lvlText w:val=""/>
      <w:lvlJc w:val="left"/>
    </w:lvl>
    <w:lvl w:ilvl="6" w:tplc="1D0821EA">
      <w:numFmt w:val="decimal"/>
      <w:lvlText w:val=""/>
      <w:lvlJc w:val="left"/>
    </w:lvl>
    <w:lvl w:ilvl="7" w:tplc="78FA6AEA">
      <w:numFmt w:val="decimal"/>
      <w:lvlText w:val=""/>
      <w:lvlJc w:val="left"/>
    </w:lvl>
    <w:lvl w:ilvl="8" w:tplc="11D42EC6">
      <w:numFmt w:val="decimal"/>
      <w:lvlText w:val=""/>
      <w:lvlJc w:val="left"/>
    </w:lvl>
  </w:abstractNum>
  <w:abstractNum w:abstractNumId="184" w15:restartNumberingAfterBreak="0">
    <w:nsid w:val="48249DBF"/>
    <w:multiLevelType w:val="hybridMultilevel"/>
    <w:tmpl w:val="C9CAE5C8"/>
    <w:lvl w:ilvl="0" w:tplc="AA2A8166">
      <w:start w:val="5"/>
      <w:numFmt w:val="lowerLetter"/>
      <w:lvlText w:val="(%1)"/>
      <w:lvlJc w:val="left"/>
    </w:lvl>
    <w:lvl w:ilvl="1" w:tplc="AFA02B46">
      <w:numFmt w:val="decimal"/>
      <w:lvlText w:val=""/>
      <w:lvlJc w:val="left"/>
    </w:lvl>
    <w:lvl w:ilvl="2" w:tplc="A7EEF5E4">
      <w:numFmt w:val="decimal"/>
      <w:lvlText w:val=""/>
      <w:lvlJc w:val="left"/>
    </w:lvl>
    <w:lvl w:ilvl="3" w:tplc="D450A9BA">
      <w:numFmt w:val="decimal"/>
      <w:lvlText w:val=""/>
      <w:lvlJc w:val="left"/>
    </w:lvl>
    <w:lvl w:ilvl="4" w:tplc="F66C5000">
      <w:numFmt w:val="decimal"/>
      <w:lvlText w:val=""/>
      <w:lvlJc w:val="left"/>
    </w:lvl>
    <w:lvl w:ilvl="5" w:tplc="AA6A525A">
      <w:numFmt w:val="decimal"/>
      <w:lvlText w:val=""/>
      <w:lvlJc w:val="left"/>
    </w:lvl>
    <w:lvl w:ilvl="6" w:tplc="9AA8C71E">
      <w:numFmt w:val="decimal"/>
      <w:lvlText w:val=""/>
      <w:lvlJc w:val="left"/>
    </w:lvl>
    <w:lvl w:ilvl="7" w:tplc="63506252">
      <w:numFmt w:val="decimal"/>
      <w:lvlText w:val=""/>
      <w:lvlJc w:val="left"/>
    </w:lvl>
    <w:lvl w:ilvl="8" w:tplc="798EDCAA">
      <w:numFmt w:val="decimal"/>
      <w:lvlText w:val=""/>
      <w:lvlJc w:val="left"/>
    </w:lvl>
  </w:abstractNum>
  <w:abstractNum w:abstractNumId="185" w15:restartNumberingAfterBreak="0">
    <w:nsid w:val="48781401"/>
    <w:multiLevelType w:val="hybridMultilevel"/>
    <w:tmpl w:val="9B6AD0F4"/>
    <w:lvl w:ilvl="0" w:tplc="9D429C56">
      <w:start w:val="1"/>
      <w:numFmt w:val="bullet"/>
      <w:lvlText w:val="•"/>
      <w:lvlJc w:val="left"/>
    </w:lvl>
    <w:lvl w:ilvl="1" w:tplc="1600474A">
      <w:numFmt w:val="decimal"/>
      <w:lvlText w:val=""/>
      <w:lvlJc w:val="left"/>
    </w:lvl>
    <w:lvl w:ilvl="2" w:tplc="51F21812">
      <w:numFmt w:val="decimal"/>
      <w:lvlText w:val=""/>
      <w:lvlJc w:val="left"/>
    </w:lvl>
    <w:lvl w:ilvl="3" w:tplc="E1D8D78A">
      <w:numFmt w:val="decimal"/>
      <w:lvlText w:val=""/>
      <w:lvlJc w:val="left"/>
    </w:lvl>
    <w:lvl w:ilvl="4" w:tplc="810C3B84">
      <w:numFmt w:val="decimal"/>
      <w:lvlText w:val=""/>
      <w:lvlJc w:val="left"/>
    </w:lvl>
    <w:lvl w:ilvl="5" w:tplc="8C0E78DE">
      <w:numFmt w:val="decimal"/>
      <w:lvlText w:val=""/>
      <w:lvlJc w:val="left"/>
    </w:lvl>
    <w:lvl w:ilvl="6" w:tplc="71F2DF3A">
      <w:numFmt w:val="decimal"/>
      <w:lvlText w:val=""/>
      <w:lvlJc w:val="left"/>
    </w:lvl>
    <w:lvl w:ilvl="7" w:tplc="4A1A5CCE">
      <w:numFmt w:val="decimal"/>
      <w:lvlText w:val=""/>
      <w:lvlJc w:val="left"/>
    </w:lvl>
    <w:lvl w:ilvl="8" w:tplc="AEE4E508">
      <w:numFmt w:val="decimal"/>
      <w:lvlText w:val=""/>
      <w:lvlJc w:val="left"/>
    </w:lvl>
  </w:abstractNum>
  <w:abstractNum w:abstractNumId="186" w15:restartNumberingAfterBreak="0">
    <w:nsid w:val="48AEB063"/>
    <w:multiLevelType w:val="hybridMultilevel"/>
    <w:tmpl w:val="80E2DABC"/>
    <w:lvl w:ilvl="0" w:tplc="F20693E4">
      <w:start w:val="1"/>
      <w:numFmt w:val="lowerLetter"/>
      <w:lvlText w:val="(%1)"/>
      <w:lvlJc w:val="left"/>
    </w:lvl>
    <w:lvl w:ilvl="1" w:tplc="091CFA6C">
      <w:numFmt w:val="decimal"/>
      <w:lvlText w:val=""/>
      <w:lvlJc w:val="left"/>
    </w:lvl>
    <w:lvl w:ilvl="2" w:tplc="B5CA848E">
      <w:numFmt w:val="decimal"/>
      <w:lvlText w:val=""/>
      <w:lvlJc w:val="left"/>
    </w:lvl>
    <w:lvl w:ilvl="3" w:tplc="9A788E38">
      <w:numFmt w:val="decimal"/>
      <w:lvlText w:val=""/>
      <w:lvlJc w:val="left"/>
    </w:lvl>
    <w:lvl w:ilvl="4" w:tplc="885A8934">
      <w:numFmt w:val="decimal"/>
      <w:lvlText w:val=""/>
      <w:lvlJc w:val="left"/>
    </w:lvl>
    <w:lvl w:ilvl="5" w:tplc="F4643A68">
      <w:numFmt w:val="decimal"/>
      <w:lvlText w:val=""/>
      <w:lvlJc w:val="left"/>
    </w:lvl>
    <w:lvl w:ilvl="6" w:tplc="1B74AD82">
      <w:numFmt w:val="decimal"/>
      <w:lvlText w:val=""/>
      <w:lvlJc w:val="left"/>
    </w:lvl>
    <w:lvl w:ilvl="7" w:tplc="E76233DE">
      <w:numFmt w:val="decimal"/>
      <w:lvlText w:val=""/>
      <w:lvlJc w:val="left"/>
    </w:lvl>
    <w:lvl w:ilvl="8" w:tplc="2C16B5E6">
      <w:numFmt w:val="decimal"/>
      <w:lvlText w:val=""/>
      <w:lvlJc w:val="left"/>
    </w:lvl>
  </w:abstractNum>
  <w:abstractNum w:abstractNumId="187" w15:restartNumberingAfterBreak="0">
    <w:nsid w:val="496FB218"/>
    <w:multiLevelType w:val="hybridMultilevel"/>
    <w:tmpl w:val="31A27F38"/>
    <w:lvl w:ilvl="0" w:tplc="EBEEBAC4">
      <w:start w:val="1"/>
      <w:numFmt w:val="upperLetter"/>
      <w:lvlText w:val="%1:"/>
      <w:lvlJc w:val="left"/>
    </w:lvl>
    <w:lvl w:ilvl="1" w:tplc="80FE282A">
      <w:numFmt w:val="decimal"/>
      <w:lvlText w:val=""/>
      <w:lvlJc w:val="left"/>
    </w:lvl>
    <w:lvl w:ilvl="2" w:tplc="2EB414A0">
      <w:numFmt w:val="decimal"/>
      <w:lvlText w:val=""/>
      <w:lvlJc w:val="left"/>
    </w:lvl>
    <w:lvl w:ilvl="3" w:tplc="9E08FE62">
      <w:numFmt w:val="decimal"/>
      <w:lvlText w:val=""/>
      <w:lvlJc w:val="left"/>
    </w:lvl>
    <w:lvl w:ilvl="4" w:tplc="B1A8ECA6">
      <w:numFmt w:val="decimal"/>
      <w:lvlText w:val=""/>
      <w:lvlJc w:val="left"/>
    </w:lvl>
    <w:lvl w:ilvl="5" w:tplc="25BAA790">
      <w:numFmt w:val="decimal"/>
      <w:lvlText w:val=""/>
      <w:lvlJc w:val="left"/>
    </w:lvl>
    <w:lvl w:ilvl="6" w:tplc="C2BAFDA0">
      <w:numFmt w:val="decimal"/>
      <w:lvlText w:val=""/>
      <w:lvlJc w:val="left"/>
    </w:lvl>
    <w:lvl w:ilvl="7" w:tplc="7E146988">
      <w:numFmt w:val="decimal"/>
      <w:lvlText w:val=""/>
      <w:lvlJc w:val="left"/>
    </w:lvl>
    <w:lvl w:ilvl="8" w:tplc="ED4C395E">
      <w:numFmt w:val="decimal"/>
      <w:lvlText w:val=""/>
      <w:lvlJc w:val="left"/>
    </w:lvl>
  </w:abstractNum>
  <w:abstractNum w:abstractNumId="188" w15:restartNumberingAfterBreak="0">
    <w:nsid w:val="4A10B4E8"/>
    <w:multiLevelType w:val="hybridMultilevel"/>
    <w:tmpl w:val="A2A2B2EC"/>
    <w:lvl w:ilvl="0" w:tplc="7F02E768">
      <w:start w:val="2"/>
      <w:numFmt w:val="lowerLetter"/>
      <w:lvlText w:val="(%1)"/>
      <w:lvlJc w:val="left"/>
    </w:lvl>
    <w:lvl w:ilvl="1" w:tplc="0DEEC1D4">
      <w:numFmt w:val="decimal"/>
      <w:lvlText w:val=""/>
      <w:lvlJc w:val="left"/>
    </w:lvl>
    <w:lvl w:ilvl="2" w:tplc="980810AA">
      <w:numFmt w:val="decimal"/>
      <w:lvlText w:val=""/>
      <w:lvlJc w:val="left"/>
    </w:lvl>
    <w:lvl w:ilvl="3" w:tplc="A69403B4">
      <w:numFmt w:val="decimal"/>
      <w:lvlText w:val=""/>
      <w:lvlJc w:val="left"/>
    </w:lvl>
    <w:lvl w:ilvl="4" w:tplc="759A04C0">
      <w:numFmt w:val="decimal"/>
      <w:lvlText w:val=""/>
      <w:lvlJc w:val="left"/>
    </w:lvl>
    <w:lvl w:ilvl="5" w:tplc="7E46C0A2">
      <w:numFmt w:val="decimal"/>
      <w:lvlText w:val=""/>
      <w:lvlJc w:val="left"/>
    </w:lvl>
    <w:lvl w:ilvl="6" w:tplc="7C52BB5C">
      <w:numFmt w:val="decimal"/>
      <w:lvlText w:val=""/>
      <w:lvlJc w:val="left"/>
    </w:lvl>
    <w:lvl w:ilvl="7" w:tplc="57C6AAE0">
      <w:numFmt w:val="decimal"/>
      <w:lvlText w:val=""/>
      <w:lvlJc w:val="left"/>
    </w:lvl>
    <w:lvl w:ilvl="8" w:tplc="DDACD1D6">
      <w:numFmt w:val="decimal"/>
      <w:lvlText w:val=""/>
      <w:lvlJc w:val="left"/>
    </w:lvl>
  </w:abstractNum>
  <w:abstractNum w:abstractNumId="189" w15:restartNumberingAfterBreak="0">
    <w:nsid w:val="4A1D606E"/>
    <w:multiLevelType w:val="hybridMultilevel"/>
    <w:tmpl w:val="AB72A178"/>
    <w:lvl w:ilvl="0" w:tplc="038EA254">
      <w:start w:val="1"/>
      <w:numFmt w:val="lowerLetter"/>
      <w:lvlText w:val="(%1)"/>
      <w:lvlJc w:val="left"/>
    </w:lvl>
    <w:lvl w:ilvl="1" w:tplc="E3969CD8">
      <w:numFmt w:val="decimal"/>
      <w:lvlText w:val=""/>
      <w:lvlJc w:val="left"/>
    </w:lvl>
    <w:lvl w:ilvl="2" w:tplc="ABCAD136">
      <w:numFmt w:val="decimal"/>
      <w:lvlText w:val=""/>
      <w:lvlJc w:val="left"/>
    </w:lvl>
    <w:lvl w:ilvl="3" w:tplc="B34E6E2A">
      <w:numFmt w:val="decimal"/>
      <w:lvlText w:val=""/>
      <w:lvlJc w:val="left"/>
    </w:lvl>
    <w:lvl w:ilvl="4" w:tplc="9C222F10">
      <w:numFmt w:val="decimal"/>
      <w:lvlText w:val=""/>
      <w:lvlJc w:val="left"/>
    </w:lvl>
    <w:lvl w:ilvl="5" w:tplc="CF16FB06">
      <w:numFmt w:val="decimal"/>
      <w:lvlText w:val=""/>
      <w:lvlJc w:val="left"/>
    </w:lvl>
    <w:lvl w:ilvl="6" w:tplc="B5FC2A26">
      <w:numFmt w:val="decimal"/>
      <w:lvlText w:val=""/>
      <w:lvlJc w:val="left"/>
    </w:lvl>
    <w:lvl w:ilvl="7" w:tplc="3A149B48">
      <w:numFmt w:val="decimal"/>
      <w:lvlText w:val=""/>
      <w:lvlJc w:val="left"/>
    </w:lvl>
    <w:lvl w:ilvl="8" w:tplc="8BD879EC">
      <w:numFmt w:val="decimal"/>
      <w:lvlText w:val=""/>
      <w:lvlJc w:val="left"/>
    </w:lvl>
  </w:abstractNum>
  <w:abstractNum w:abstractNumId="190" w15:restartNumberingAfterBreak="0">
    <w:nsid w:val="4A9554FE"/>
    <w:multiLevelType w:val="hybridMultilevel"/>
    <w:tmpl w:val="1A5EF3B8"/>
    <w:lvl w:ilvl="0" w:tplc="6D78116E">
      <w:start w:val="1"/>
      <w:numFmt w:val="upperLetter"/>
      <w:lvlText w:val="%1:"/>
      <w:lvlJc w:val="left"/>
    </w:lvl>
    <w:lvl w:ilvl="1" w:tplc="FC5C01D4">
      <w:numFmt w:val="decimal"/>
      <w:lvlText w:val=""/>
      <w:lvlJc w:val="left"/>
    </w:lvl>
    <w:lvl w:ilvl="2" w:tplc="98DEF884">
      <w:numFmt w:val="decimal"/>
      <w:lvlText w:val=""/>
      <w:lvlJc w:val="left"/>
    </w:lvl>
    <w:lvl w:ilvl="3" w:tplc="62548780">
      <w:numFmt w:val="decimal"/>
      <w:lvlText w:val=""/>
      <w:lvlJc w:val="left"/>
    </w:lvl>
    <w:lvl w:ilvl="4" w:tplc="9E1E82BA">
      <w:numFmt w:val="decimal"/>
      <w:lvlText w:val=""/>
      <w:lvlJc w:val="left"/>
    </w:lvl>
    <w:lvl w:ilvl="5" w:tplc="8F36ABA0">
      <w:numFmt w:val="decimal"/>
      <w:lvlText w:val=""/>
      <w:lvlJc w:val="left"/>
    </w:lvl>
    <w:lvl w:ilvl="6" w:tplc="C720B7CC">
      <w:numFmt w:val="decimal"/>
      <w:lvlText w:val=""/>
      <w:lvlJc w:val="left"/>
    </w:lvl>
    <w:lvl w:ilvl="7" w:tplc="8E525B80">
      <w:numFmt w:val="decimal"/>
      <w:lvlText w:val=""/>
      <w:lvlJc w:val="left"/>
    </w:lvl>
    <w:lvl w:ilvl="8" w:tplc="A9861218">
      <w:numFmt w:val="decimal"/>
      <w:lvlText w:val=""/>
      <w:lvlJc w:val="left"/>
    </w:lvl>
  </w:abstractNum>
  <w:abstractNum w:abstractNumId="191" w15:restartNumberingAfterBreak="0">
    <w:nsid w:val="4AB26E78"/>
    <w:multiLevelType w:val="hybridMultilevel"/>
    <w:tmpl w:val="F6944396"/>
    <w:lvl w:ilvl="0" w:tplc="50622978">
      <w:start w:val="9"/>
      <w:numFmt w:val="lowerLetter"/>
      <w:lvlText w:val="(%1)"/>
      <w:lvlJc w:val="left"/>
    </w:lvl>
    <w:lvl w:ilvl="1" w:tplc="318A0C72">
      <w:numFmt w:val="decimal"/>
      <w:lvlText w:val=""/>
      <w:lvlJc w:val="left"/>
    </w:lvl>
    <w:lvl w:ilvl="2" w:tplc="E432051E">
      <w:numFmt w:val="decimal"/>
      <w:lvlText w:val=""/>
      <w:lvlJc w:val="left"/>
    </w:lvl>
    <w:lvl w:ilvl="3" w:tplc="AC4082A4">
      <w:numFmt w:val="decimal"/>
      <w:lvlText w:val=""/>
      <w:lvlJc w:val="left"/>
    </w:lvl>
    <w:lvl w:ilvl="4" w:tplc="44F61E94">
      <w:numFmt w:val="decimal"/>
      <w:lvlText w:val=""/>
      <w:lvlJc w:val="left"/>
    </w:lvl>
    <w:lvl w:ilvl="5" w:tplc="78C48A20">
      <w:numFmt w:val="decimal"/>
      <w:lvlText w:val=""/>
      <w:lvlJc w:val="left"/>
    </w:lvl>
    <w:lvl w:ilvl="6" w:tplc="96CA3108">
      <w:numFmt w:val="decimal"/>
      <w:lvlText w:val=""/>
      <w:lvlJc w:val="left"/>
    </w:lvl>
    <w:lvl w:ilvl="7" w:tplc="71C8AA56">
      <w:numFmt w:val="decimal"/>
      <w:lvlText w:val=""/>
      <w:lvlJc w:val="left"/>
    </w:lvl>
    <w:lvl w:ilvl="8" w:tplc="345879DC">
      <w:numFmt w:val="decimal"/>
      <w:lvlText w:val=""/>
      <w:lvlJc w:val="left"/>
    </w:lvl>
  </w:abstractNum>
  <w:abstractNum w:abstractNumId="192" w15:restartNumberingAfterBreak="0">
    <w:nsid w:val="4B697C7A"/>
    <w:multiLevelType w:val="hybridMultilevel"/>
    <w:tmpl w:val="4B905192"/>
    <w:lvl w:ilvl="0" w:tplc="BF1ACAC6">
      <w:start w:val="1"/>
      <w:numFmt w:val="lowerLetter"/>
      <w:lvlText w:val="%1"/>
      <w:lvlJc w:val="left"/>
    </w:lvl>
    <w:lvl w:ilvl="1" w:tplc="B238ABD6">
      <w:start w:val="5"/>
      <w:numFmt w:val="lowerLetter"/>
      <w:lvlText w:val="(%2)"/>
      <w:lvlJc w:val="left"/>
    </w:lvl>
    <w:lvl w:ilvl="2" w:tplc="C4BE3D88">
      <w:numFmt w:val="decimal"/>
      <w:lvlText w:val=""/>
      <w:lvlJc w:val="left"/>
    </w:lvl>
    <w:lvl w:ilvl="3" w:tplc="0AA4B6A8">
      <w:numFmt w:val="decimal"/>
      <w:lvlText w:val=""/>
      <w:lvlJc w:val="left"/>
    </w:lvl>
    <w:lvl w:ilvl="4" w:tplc="C0EEDDFA">
      <w:numFmt w:val="decimal"/>
      <w:lvlText w:val=""/>
      <w:lvlJc w:val="left"/>
    </w:lvl>
    <w:lvl w:ilvl="5" w:tplc="5FACC74A">
      <w:numFmt w:val="decimal"/>
      <w:lvlText w:val=""/>
      <w:lvlJc w:val="left"/>
    </w:lvl>
    <w:lvl w:ilvl="6" w:tplc="FBE07768">
      <w:numFmt w:val="decimal"/>
      <w:lvlText w:val=""/>
      <w:lvlJc w:val="left"/>
    </w:lvl>
    <w:lvl w:ilvl="7" w:tplc="67A6AE54">
      <w:numFmt w:val="decimal"/>
      <w:lvlText w:val=""/>
      <w:lvlJc w:val="left"/>
    </w:lvl>
    <w:lvl w:ilvl="8" w:tplc="5CB4C0F2">
      <w:numFmt w:val="decimal"/>
      <w:lvlText w:val=""/>
      <w:lvlJc w:val="left"/>
    </w:lvl>
  </w:abstractNum>
  <w:abstractNum w:abstractNumId="193" w15:restartNumberingAfterBreak="0">
    <w:nsid w:val="4B793735"/>
    <w:multiLevelType w:val="hybridMultilevel"/>
    <w:tmpl w:val="C916F05C"/>
    <w:lvl w:ilvl="0" w:tplc="7BF4A26E">
      <w:start w:val="2"/>
      <w:numFmt w:val="lowerLetter"/>
      <w:lvlText w:val="(%1)"/>
      <w:lvlJc w:val="left"/>
    </w:lvl>
    <w:lvl w:ilvl="1" w:tplc="048841F2">
      <w:numFmt w:val="decimal"/>
      <w:lvlText w:val=""/>
      <w:lvlJc w:val="left"/>
    </w:lvl>
    <w:lvl w:ilvl="2" w:tplc="4A10C906">
      <w:numFmt w:val="decimal"/>
      <w:lvlText w:val=""/>
      <w:lvlJc w:val="left"/>
    </w:lvl>
    <w:lvl w:ilvl="3" w:tplc="7FFED3DE">
      <w:numFmt w:val="decimal"/>
      <w:lvlText w:val=""/>
      <w:lvlJc w:val="left"/>
    </w:lvl>
    <w:lvl w:ilvl="4" w:tplc="A628CCD2">
      <w:numFmt w:val="decimal"/>
      <w:lvlText w:val=""/>
      <w:lvlJc w:val="left"/>
    </w:lvl>
    <w:lvl w:ilvl="5" w:tplc="2C3A086A">
      <w:numFmt w:val="decimal"/>
      <w:lvlText w:val=""/>
      <w:lvlJc w:val="left"/>
    </w:lvl>
    <w:lvl w:ilvl="6" w:tplc="1E32E72C">
      <w:numFmt w:val="decimal"/>
      <w:lvlText w:val=""/>
      <w:lvlJc w:val="left"/>
    </w:lvl>
    <w:lvl w:ilvl="7" w:tplc="2F1CBF28">
      <w:numFmt w:val="decimal"/>
      <w:lvlText w:val=""/>
      <w:lvlJc w:val="left"/>
    </w:lvl>
    <w:lvl w:ilvl="8" w:tplc="F5962A7E">
      <w:numFmt w:val="decimal"/>
      <w:lvlText w:val=""/>
      <w:lvlJc w:val="left"/>
    </w:lvl>
  </w:abstractNum>
  <w:abstractNum w:abstractNumId="194" w15:restartNumberingAfterBreak="0">
    <w:nsid w:val="4BDD53FD"/>
    <w:multiLevelType w:val="hybridMultilevel"/>
    <w:tmpl w:val="131ECDFA"/>
    <w:lvl w:ilvl="0" w:tplc="65EC9018">
      <w:start w:val="1"/>
      <w:numFmt w:val="bullet"/>
      <w:lvlText w:val="•"/>
      <w:lvlJc w:val="left"/>
    </w:lvl>
    <w:lvl w:ilvl="1" w:tplc="7A348FEC">
      <w:numFmt w:val="decimal"/>
      <w:lvlText w:val=""/>
      <w:lvlJc w:val="left"/>
    </w:lvl>
    <w:lvl w:ilvl="2" w:tplc="B8B203EE">
      <w:numFmt w:val="decimal"/>
      <w:lvlText w:val=""/>
      <w:lvlJc w:val="left"/>
    </w:lvl>
    <w:lvl w:ilvl="3" w:tplc="3428431A">
      <w:numFmt w:val="decimal"/>
      <w:lvlText w:val=""/>
      <w:lvlJc w:val="left"/>
    </w:lvl>
    <w:lvl w:ilvl="4" w:tplc="A93A95FA">
      <w:numFmt w:val="decimal"/>
      <w:lvlText w:val=""/>
      <w:lvlJc w:val="left"/>
    </w:lvl>
    <w:lvl w:ilvl="5" w:tplc="17AC7284">
      <w:numFmt w:val="decimal"/>
      <w:lvlText w:val=""/>
      <w:lvlJc w:val="left"/>
    </w:lvl>
    <w:lvl w:ilvl="6" w:tplc="96F22BF6">
      <w:numFmt w:val="decimal"/>
      <w:lvlText w:val=""/>
      <w:lvlJc w:val="left"/>
    </w:lvl>
    <w:lvl w:ilvl="7" w:tplc="ED9057AE">
      <w:numFmt w:val="decimal"/>
      <w:lvlText w:val=""/>
      <w:lvlJc w:val="left"/>
    </w:lvl>
    <w:lvl w:ilvl="8" w:tplc="364EB4E4">
      <w:numFmt w:val="decimal"/>
      <w:lvlText w:val=""/>
      <w:lvlJc w:val="left"/>
    </w:lvl>
  </w:abstractNum>
  <w:abstractNum w:abstractNumId="195" w15:restartNumberingAfterBreak="0">
    <w:nsid w:val="4C187C90"/>
    <w:multiLevelType w:val="hybridMultilevel"/>
    <w:tmpl w:val="62FA9882"/>
    <w:lvl w:ilvl="0" w:tplc="4BBCD77A">
      <w:start w:val="2"/>
      <w:numFmt w:val="lowerLetter"/>
      <w:lvlText w:val="(%1)"/>
      <w:lvlJc w:val="left"/>
    </w:lvl>
    <w:lvl w:ilvl="1" w:tplc="2062C7D8">
      <w:numFmt w:val="decimal"/>
      <w:lvlText w:val=""/>
      <w:lvlJc w:val="left"/>
    </w:lvl>
    <w:lvl w:ilvl="2" w:tplc="43C65286">
      <w:numFmt w:val="decimal"/>
      <w:lvlText w:val=""/>
      <w:lvlJc w:val="left"/>
    </w:lvl>
    <w:lvl w:ilvl="3" w:tplc="7862ECE6">
      <w:numFmt w:val="decimal"/>
      <w:lvlText w:val=""/>
      <w:lvlJc w:val="left"/>
    </w:lvl>
    <w:lvl w:ilvl="4" w:tplc="B810E792">
      <w:numFmt w:val="decimal"/>
      <w:lvlText w:val=""/>
      <w:lvlJc w:val="left"/>
    </w:lvl>
    <w:lvl w:ilvl="5" w:tplc="65A4D9CA">
      <w:numFmt w:val="decimal"/>
      <w:lvlText w:val=""/>
      <w:lvlJc w:val="left"/>
    </w:lvl>
    <w:lvl w:ilvl="6" w:tplc="B5F03FE2">
      <w:numFmt w:val="decimal"/>
      <w:lvlText w:val=""/>
      <w:lvlJc w:val="left"/>
    </w:lvl>
    <w:lvl w:ilvl="7" w:tplc="275C62DE">
      <w:numFmt w:val="decimal"/>
      <w:lvlText w:val=""/>
      <w:lvlJc w:val="left"/>
    </w:lvl>
    <w:lvl w:ilvl="8" w:tplc="36244B16">
      <w:numFmt w:val="decimal"/>
      <w:lvlText w:val=""/>
      <w:lvlJc w:val="left"/>
    </w:lvl>
  </w:abstractNum>
  <w:abstractNum w:abstractNumId="196" w15:restartNumberingAfterBreak="0">
    <w:nsid w:val="4C2A7166"/>
    <w:multiLevelType w:val="hybridMultilevel"/>
    <w:tmpl w:val="34E23032"/>
    <w:lvl w:ilvl="0" w:tplc="62942E04">
      <w:start w:val="2"/>
      <w:numFmt w:val="lowerLetter"/>
      <w:lvlText w:val="(%1)"/>
      <w:lvlJc w:val="left"/>
    </w:lvl>
    <w:lvl w:ilvl="1" w:tplc="BE66F08C">
      <w:numFmt w:val="decimal"/>
      <w:lvlText w:val=""/>
      <w:lvlJc w:val="left"/>
    </w:lvl>
    <w:lvl w:ilvl="2" w:tplc="C8EA31AE">
      <w:numFmt w:val="decimal"/>
      <w:lvlText w:val=""/>
      <w:lvlJc w:val="left"/>
    </w:lvl>
    <w:lvl w:ilvl="3" w:tplc="2B2CA1D2">
      <w:numFmt w:val="decimal"/>
      <w:lvlText w:val=""/>
      <w:lvlJc w:val="left"/>
    </w:lvl>
    <w:lvl w:ilvl="4" w:tplc="9654A9A6">
      <w:numFmt w:val="decimal"/>
      <w:lvlText w:val=""/>
      <w:lvlJc w:val="left"/>
    </w:lvl>
    <w:lvl w:ilvl="5" w:tplc="D5A01D54">
      <w:numFmt w:val="decimal"/>
      <w:lvlText w:val=""/>
      <w:lvlJc w:val="left"/>
    </w:lvl>
    <w:lvl w:ilvl="6" w:tplc="7F36DC60">
      <w:numFmt w:val="decimal"/>
      <w:lvlText w:val=""/>
      <w:lvlJc w:val="left"/>
    </w:lvl>
    <w:lvl w:ilvl="7" w:tplc="F76CB5C2">
      <w:numFmt w:val="decimal"/>
      <w:lvlText w:val=""/>
      <w:lvlJc w:val="left"/>
    </w:lvl>
    <w:lvl w:ilvl="8" w:tplc="74B47EFA">
      <w:numFmt w:val="decimal"/>
      <w:lvlText w:val=""/>
      <w:lvlJc w:val="left"/>
    </w:lvl>
  </w:abstractNum>
  <w:abstractNum w:abstractNumId="197" w15:restartNumberingAfterBreak="0">
    <w:nsid w:val="4C502870"/>
    <w:multiLevelType w:val="hybridMultilevel"/>
    <w:tmpl w:val="7AEC21EE"/>
    <w:lvl w:ilvl="0" w:tplc="31247B7C">
      <w:start w:val="1"/>
      <w:numFmt w:val="lowerLetter"/>
      <w:lvlText w:val="(%1)"/>
      <w:lvlJc w:val="left"/>
    </w:lvl>
    <w:lvl w:ilvl="1" w:tplc="EBBAFACA">
      <w:numFmt w:val="decimal"/>
      <w:lvlText w:val=""/>
      <w:lvlJc w:val="left"/>
    </w:lvl>
    <w:lvl w:ilvl="2" w:tplc="D98C867E">
      <w:numFmt w:val="decimal"/>
      <w:lvlText w:val=""/>
      <w:lvlJc w:val="left"/>
    </w:lvl>
    <w:lvl w:ilvl="3" w:tplc="F230C7C6">
      <w:numFmt w:val="decimal"/>
      <w:lvlText w:val=""/>
      <w:lvlJc w:val="left"/>
    </w:lvl>
    <w:lvl w:ilvl="4" w:tplc="A85C4122">
      <w:numFmt w:val="decimal"/>
      <w:lvlText w:val=""/>
      <w:lvlJc w:val="left"/>
    </w:lvl>
    <w:lvl w:ilvl="5" w:tplc="255C92B6">
      <w:numFmt w:val="decimal"/>
      <w:lvlText w:val=""/>
      <w:lvlJc w:val="left"/>
    </w:lvl>
    <w:lvl w:ilvl="6" w:tplc="FA8C6F8C">
      <w:numFmt w:val="decimal"/>
      <w:lvlText w:val=""/>
      <w:lvlJc w:val="left"/>
    </w:lvl>
    <w:lvl w:ilvl="7" w:tplc="B1FA4DE0">
      <w:numFmt w:val="decimal"/>
      <w:lvlText w:val=""/>
      <w:lvlJc w:val="left"/>
    </w:lvl>
    <w:lvl w:ilvl="8" w:tplc="EF681C6C">
      <w:numFmt w:val="decimal"/>
      <w:lvlText w:val=""/>
      <w:lvlJc w:val="left"/>
    </w:lvl>
  </w:abstractNum>
  <w:abstractNum w:abstractNumId="198" w15:restartNumberingAfterBreak="0">
    <w:nsid w:val="4C54E2C3"/>
    <w:multiLevelType w:val="hybridMultilevel"/>
    <w:tmpl w:val="1EA29088"/>
    <w:lvl w:ilvl="0" w:tplc="36C8FC88">
      <w:start w:val="1"/>
      <w:numFmt w:val="decimal"/>
      <w:lvlText w:val="(%1)"/>
      <w:lvlJc w:val="left"/>
    </w:lvl>
    <w:lvl w:ilvl="1" w:tplc="A8E27482">
      <w:numFmt w:val="decimal"/>
      <w:lvlText w:val=""/>
      <w:lvlJc w:val="left"/>
    </w:lvl>
    <w:lvl w:ilvl="2" w:tplc="26A4B330">
      <w:numFmt w:val="decimal"/>
      <w:lvlText w:val=""/>
      <w:lvlJc w:val="left"/>
    </w:lvl>
    <w:lvl w:ilvl="3" w:tplc="B82AA450">
      <w:numFmt w:val="decimal"/>
      <w:lvlText w:val=""/>
      <w:lvlJc w:val="left"/>
    </w:lvl>
    <w:lvl w:ilvl="4" w:tplc="158E5094">
      <w:numFmt w:val="decimal"/>
      <w:lvlText w:val=""/>
      <w:lvlJc w:val="left"/>
    </w:lvl>
    <w:lvl w:ilvl="5" w:tplc="9892B540">
      <w:numFmt w:val="decimal"/>
      <w:lvlText w:val=""/>
      <w:lvlJc w:val="left"/>
    </w:lvl>
    <w:lvl w:ilvl="6" w:tplc="D85CF91A">
      <w:numFmt w:val="decimal"/>
      <w:lvlText w:val=""/>
      <w:lvlJc w:val="left"/>
    </w:lvl>
    <w:lvl w:ilvl="7" w:tplc="0142C170">
      <w:numFmt w:val="decimal"/>
      <w:lvlText w:val=""/>
      <w:lvlJc w:val="left"/>
    </w:lvl>
    <w:lvl w:ilvl="8" w:tplc="55C838CA">
      <w:numFmt w:val="decimal"/>
      <w:lvlText w:val=""/>
      <w:lvlJc w:val="left"/>
    </w:lvl>
  </w:abstractNum>
  <w:abstractNum w:abstractNumId="199" w15:restartNumberingAfterBreak="0">
    <w:nsid w:val="4C672FC9"/>
    <w:multiLevelType w:val="hybridMultilevel"/>
    <w:tmpl w:val="E4227006"/>
    <w:lvl w:ilvl="0" w:tplc="1D92A9E0">
      <w:start w:val="2"/>
      <w:numFmt w:val="lowerLetter"/>
      <w:lvlText w:val="(%1)"/>
      <w:lvlJc w:val="left"/>
    </w:lvl>
    <w:lvl w:ilvl="1" w:tplc="AC049A76">
      <w:numFmt w:val="decimal"/>
      <w:lvlText w:val=""/>
      <w:lvlJc w:val="left"/>
    </w:lvl>
    <w:lvl w:ilvl="2" w:tplc="20F01BA0">
      <w:numFmt w:val="decimal"/>
      <w:lvlText w:val=""/>
      <w:lvlJc w:val="left"/>
    </w:lvl>
    <w:lvl w:ilvl="3" w:tplc="4280A522">
      <w:numFmt w:val="decimal"/>
      <w:lvlText w:val=""/>
      <w:lvlJc w:val="left"/>
    </w:lvl>
    <w:lvl w:ilvl="4" w:tplc="8AAC58E4">
      <w:numFmt w:val="decimal"/>
      <w:lvlText w:val=""/>
      <w:lvlJc w:val="left"/>
    </w:lvl>
    <w:lvl w:ilvl="5" w:tplc="8C32EEBC">
      <w:numFmt w:val="decimal"/>
      <w:lvlText w:val=""/>
      <w:lvlJc w:val="left"/>
    </w:lvl>
    <w:lvl w:ilvl="6" w:tplc="4BF697BA">
      <w:numFmt w:val="decimal"/>
      <w:lvlText w:val=""/>
      <w:lvlJc w:val="left"/>
    </w:lvl>
    <w:lvl w:ilvl="7" w:tplc="345E4E48">
      <w:numFmt w:val="decimal"/>
      <w:lvlText w:val=""/>
      <w:lvlJc w:val="left"/>
    </w:lvl>
    <w:lvl w:ilvl="8" w:tplc="A7CA773E">
      <w:numFmt w:val="decimal"/>
      <w:lvlText w:val=""/>
      <w:lvlJc w:val="left"/>
    </w:lvl>
  </w:abstractNum>
  <w:abstractNum w:abstractNumId="200" w15:restartNumberingAfterBreak="0">
    <w:nsid w:val="4C73A9C6"/>
    <w:multiLevelType w:val="hybridMultilevel"/>
    <w:tmpl w:val="9B988F44"/>
    <w:lvl w:ilvl="0" w:tplc="8850DF42">
      <w:start w:val="17"/>
      <w:numFmt w:val="upperLetter"/>
      <w:lvlText w:val="%1:"/>
      <w:lvlJc w:val="left"/>
    </w:lvl>
    <w:lvl w:ilvl="1" w:tplc="A1DCF5DE">
      <w:numFmt w:val="decimal"/>
      <w:lvlText w:val=""/>
      <w:lvlJc w:val="left"/>
    </w:lvl>
    <w:lvl w:ilvl="2" w:tplc="D4F8C982">
      <w:numFmt w:val="decimal"/>
      <w:lvlText w:val=""/>
      <w:lvlJc w:val="left"/>
    </w:lvl>
    <w:lvl w:ilvl="3" w:tplc="F6EED454">
      <w:numFmt w:val="decimal"/>
      <w:lvlText w:val=""/>
      <w:lvlJc w:val="left"/>
    </w:lvl>
    <w:lvl w:ilvl="4" w:tplc="260AB2A0">
      <w:numFmt w:val="decimal"/>
      <w:lvlText w:val=""/>
      <w:lvlJc w:val="left"/>
    </w:lvl>
    <w:lvl w:ilvl="5" w:tplc="3C0E370E">
      <w:numFmt w:val="decimal"/>
      <w:lvlText w:val=""/>
      <w:lvlJc w:val="left"/>
    </w:lvl>
    <w:lvl w:ilvl="6" w:tplc="761C9C88">
      <w:numFmt w:val="decimal"/>
      <w:lvlText w:val=""/>
      <w:lvlJc w:val="left"/>
    </w:lvl>
    <w:lvl w:ilvl="7" w:tplc="AD1EF93A">
      <w:numFmt w:val="decimal"/>
      <w:lvlText w:val=""/>
      <w:lvlJc w:val="left"/>
    </w:lvl>
    <w:lvl w:ilvl="8" w:tplc="B7EC52F8">
      <w:numFmt w:val="decimal"/>
      <w:lvlText w:val=""/>
      <w:lvlJc w:val="left"/>
    </w:lvl>
  </w:abstractNum>
  <w:abstractNum w:abstractNumId="201" w15:restartNumberingAfterBreak="0">
    <w:nsid w:val="4CFB8D32"/>
    <w:multiLevelType w:val="hybridMultilevel"/>
    <w:tmpl w:val="BF34C3C4"/>
    <w:lvl w:ilvl="0" w:tplc="C7963F92">
      <w:start w:val="1"/>
      <w:numFmt w:val="bullet"/>
      <w:lvlText w:val="•"/>
      <w:lvlJc w:val="left"/>
    </w:lvl>
    <w:lvl w:ilvl="1" w:tplc="2E420DD8">
      <w:numFmt w:val="decimal"/>
      <w:lvlText w:val=""/>
      <w:lvlJc w:val="left"/>
    </w:lvl>
    <w:lvl w:ilvl="2" w:tplc="99060D12">
      <w:numFmt w:val="decimal"/>
      <w:lvlText w:val=""/>
      <w:lvlJc w:val="left"/>
    </w:lvl>
    <w:lvl w:ilvl="3" w:tplc="C8C61152">
      <w:numFmt w:val="decimal"/>
      <w:lvlText w:val=""/>
      <w:lvlJc w:val="left"/>
    </w:lvl>
    <w:lvl w:ilvl="4" w:tplc="CE2C0810">
      <w:numFmt w:val="decimal"/>
      <w:lvlText w:val=""/>
      <w:lvlJc w:val="left"/>
    </w:lvl>
    <w:lvl w:ilvl="5" w:tplc="BD5AA92C">
      <w:numFmt w:val="decimal"/>
      <w:lvlText w:val=""/>
      <w:lvlJc w:val="left"/>
    </w:lvl>
    <w:lvl w:ilvl="6" w:tplc="916A2438">
      <w:numFmt w:val="decimal"/>
      <w:lvlText w:val=""/>
      <w:lvlJc w:val="left"/>
    </w:lvl>
    <w:lvl w:ilvl="7" w:tplc="D05ACCA2">
      <w:numFmt w:val="decimal"/>
      <w:lvlText w:val=""/>
      <w:lvlJc w:val="left"/>
    </w:lvl>
    <w:lvl w:ilvl="8" w:tplc="EAD6BFA2">
      <w:numFmt w:val="decimal"/>
      <w:lvlText w:val=""/>
      <w:lvlJc w:val="left"/>
    </w:lvl>
  </w:abstractNum>
  <w:abstractNum w:abstractNumId="202" w15:restartNumberingAfterBreak="0">
    <w:nsid w:val="4D5C4899"/>
    <w:multiLevelType w:val="hybridMultilevel"/>
    <w:tmpl w:val="24E0332A"/>
    <w:lvl w:ilvl="0" w:tplc="37D67A56">
      <w:start w:val="2"/>
      <w:numFmt w:val="upperLetter"/>
      <w:lvlText w:val="(%1)"/>
      <w:lvlJc w:val="left"/>
    </w:lvl>
    <w:lvl w:ilvl="1" w:tplc="ADC6FE0E">
      <w:start w:val="2"/>
      <w:numFmt w:val="lowerLetter"/>
      <w:lvlText w:val="(%2)"/>
      <w:lvlJc w:val="left"/>
    </w:lvl>
    <w:lvl w:ilvl="2" w:tplc="E8F241BA">
      <w:numFmt w:val="decimal"/>
      <w:lvlText w:val=""/>
      <w:lvlJc w:val="left"/>
    </w:lvl>
    <w:lvl w:ilvl="3" w:tplc="1032B730">
      <w:numFmt w:val="decimal"/>
      <w:lvlText w:val=""/>
      <w:lvlJc w:val="left"/>
    </w:lvl>
    <w:lvl w:ilvl="4" w:tplc="3530E910">
      <w:numFmt w:val="decimal"/>
      <w:lvlText w:val=""/>
      <w:lvlJc w:val="left"/>
    </w:lvl>
    <w:lvl w:ilvl="5" w:tplc="95D248CA">
      <w:numFmt w:val="decimal"/>
      <w:lvlText w:val=""/>
      <w:lvlJc w:val="left"/>
    </w:lvl>
    <w:lvl w:ilvl="6" w:tplc="DE2CEB18">
      <w:numFmt w:val="decimal"/>
      <w:lvlText w:val=""/>
      <w:lvlJc w:val="left"/>
    </w:lvl>
    <w:lvl w:ilvl="7" w:tplc="97FAF26E">
      <w:numFmt w:val="decimal"/>
      <w:lvlText w:val=""/>
      <w:lvlJc w:val="left"/>
    </w:lvl>
    <w:lvl w:ilvl="8" w:tplc="F3BAC7CE">
      <w:numFmt w:val="decimal"/>
      <w:lvlText w:val=""/>
      <w:lvlJc w:val="left"/>
    </w:lvl>
  </w:abstractNum>
  <w:abstractNum w:abstractNumId="203" w15:restartNumberingAfterBreak="0">
    <w:nsid w:val="4DA32C7E"/>
    <w:multiLevelType w:val="hybridMultilevel"/>
    <w:tmpl w:val="6DD62EA6"/>
    <w:lvl w:ilvl="0" w:tplc="225CA59C">
      <w:start w:val="1"/>
      <w:numFmt w:val="bullet"/>
      <w:lvlText w:val="•"/>
      <w:lvlJc w:val="left"/>
    </w:lvl>
    <w:lvl w:ilvl="1" w:tplc="047EB90A">
      <w:numFmt w:val="decimal"/>
      <w:lvlText w:val=""/>
      <w:lvlJc w:val="left"/>
    </w:lvl>
    <w:lvl w:ilvl="2" w:tplc="6BD078AE">
      <w:numFmt w:val="decimal"/>
      <w:lvlText w:val=""/>
      <w:lvlJc w:val="left"/>
    </w:lvl>
    <w:lvl w:ilvl="3" w:tplc="3B4C34FC">
      <w:numFmt w:val="decimal"/>
      <w:lvlText w:val=""/>
      <w:lvlJc w:val="left"/>
    </w:lvl>
    <w:lvl w:ilvl="4" w:tplc="324026DA">
      <w:numFmt w:val="decimal"/>
      <w:lvlText w:val=""/>
      <w:lvlJc w:val="left"/>
    </w:lvl>
    <w:lvl w:ilvl="5" w:tplc="FB50E696">
      <w:numFmt w:val="decimal"/>
      <w:lvlText w:val=""/>
      <w:lvlJc w:val="left"/>
    </w:lvl>
    <w:lvl w:ilvl="6" w:tplc="C0F654BE">
      <w:numFmt w:val="decimal"/>
      <w:lvlText w:val=""/>
      <w:lvlJc w:val="left"/>
    </w:lvl>
    <w:lvl w:ilvl="7" w:tplc="5B1CAA94">
      <w:numFmt w:val="decimal"/>
      <w:lvlText w:val=""/>
      <w:lvlJc w:val="left"/>
    </w:lvl>
    <w:lvl w:ilvl="8" w:tplc="944E0BA8">
      <w:numFmt w:val="decimal"/>
      <w:lvlText w:val=""/>
      <w:lvlJc w:val="left"/>
    </w:lvl>
  </w:abstractNum>
  <w:abstractNum w:abstractNumId="204" w15:restartNumberingAfterBreak="0">
    <w:nsid w:val="4E0B9A87"/>
    <w:multiLevelType w:val="hybridMultilevel"/>
    <w:tmpl w:val="E43455DA"/>
    <w:lvl w:ilvl="0" w:tplc="128CC3D8">
      <w:start w:val="2"/>
      <w:numFmt w:val="lowerLetter"/>
      <w:lvlText w:val="(%1)"/>
      <w:lvlJc w:val="left"/>
    </w:lvl>
    <w:lvl w:ilvl="1" w:tplc="B77218EE">
      <w:numFmt w:val="decimal"/>
      <w:lvlText w:val=""/>
      <w:lvlJc w:val="left"/>
    </w:lvl>
    <w:lvl w:ilvl="2" w:tplc="C9D6B4C6">
      <w:numFmt w:val="decimal"/>
      <w:lvlText w:val=""/>
      <w:lvlJc w:val="left"/>
    </w:lvl>
    <w:lvl w:ilvl="3" w:tplc="8CCAB5DE">
      <w:numFmt w:val="decimal"/>
      <w:lvlText w:val=""/>
      <w:lvlJc w:val="left"/>
    </w:lvl>
    <w:lvl w:ilvl="4" w:tplc="A726F85A">
      <w:numFmt w:val="decimal"/>
      <w:lvlText w:val=""/>
      <w:lvlJc w:val="left"/>
    </w:lvl>
    <w:lvl w:ilvl="5" w:tplc="1D20A48C">
      <w:numFmt w:val="decimal"/>
      <w:lvlText w:val=""/>
      <w:lvlJc w:val="left"/>
    </w:lvl>
    <w:lvl w:ilvl="6" w:tplc="245E776C">
      <w:numFmt w:val="decimal"/>
      <w:lvlText w:val=""/>
      <w:lvlJc w:val="left"/>
    </w:lvl>
    <w:lvl w:ilvl="7" w:tplc="F59E4F4E">
      <w:numFmt w:val="decimal"/>
      <w:lvlText w:val=""/>
      <w:lvlJc w:val="left"/>
    </w:lvl>
    <w:lvl w:ilvl="8" w:tplc="DC3228C6">
      <w:numFmt w:val="decimal"/>
      <w:lvlText w:val=""/>
      <w:lvlJc w:val="left"/>
    </w:lvl>
  </w:abstractNum>
  <w:abstractNum w:abstractNumId="205" w15:restartNumberingAfterBreak="0">
    <w:nsid w:val="4E556261"/>
    <w:multiLevelType w:val="hybridMultilevel"/>
    <w:tmpl w:val="F5CE93BE"/>
    <w:lvl w:ilvl="0" w:tplc="84DC6890">
      <w:start w:val="1"/>
      <w:numFmt w:val="lowerLetter"/>
      <w:lvlText w:val="(%1)"/>
      <w:lvlJc w:val="left"/>
    </w:lvl>
    <w:lvl w:ilvl="1" w:tplc="CD5CBD92">
      <w:numFmt w:val="decimal"/>
      <w:lvlText w:val=""/>
      <w:lvlJc w:val="left"/>
    </w:lvl>
    <w:lvl w:ilvl="2" w:tplc="1A46549A">
      <w:numFmt w:val="decimal"/>
      <w:lvlText w:val=""/>
      <w:lvlJc w:val="left"/>
    </w:lvl>
    <w:lvl w:ilvl="3" w:tplc="2DA2F9AE">
      <w:numFmt w:val="decimal"/>
      <w:lvlText w:val=""/>
      <w:lvlJc w:val="left"/>
    </w:lvl>
    <w:lvl w:ilvl="4" w:tplc="31E0DA68">
      <w:numFmt w:val="decimal"/>
      <w:lvlText w:val=""/>
      <w:lvlJc w:val="left"/>
    </w:lvl>
    <w:lvl w:ilvl="5" w:tplc="539861BE">
      <w:numFmt w:val="decimal"/>
      <w:lvlText w:val=""/>
      <w:lvlJc w:val="left"/>
    </w:lvl>
    <w:lvl w:ilvl="6" w:tplc="0F92D9F0">
      <w:numFmt w:val="decimal"/>
      <w:lvlText w:val=""/>
      <w:lvlJc w:val="left"/>
    </w:lvl>
    <w:lvl w:ilvl="7" w:tplc="7D2EE62A">
      <w:numFmt w:val="decimal"/>
      <w:lvlText w:val=""/>
      <w:lvlJc w:val="left"/>
    </w:lvl>
    <w:lvl w:ilvl="8" w:tplc="9EBC2E9E">
      <w:numFmt w:val="decimal"/>
      <w:lvlText w:val=""/>
      <w:lvlJc w:val="left"/>
    </w:lvl>
  </w:abstractNum>
  <w:abstractNum w:abstractNumId="206" w15:restartNumberingAfterBreak="0">
    <w:nsid w:val="4E647FE4"/>
    <w:multiLevelType w:val="hybridMultilevel"/>
    <w:tmpl w:val="787CA500"/>
    <w:lvl w:ilvl="0" w:tplc="7BFE1EB2">
      <w:start w:val="1"/>
      <w:numFmt w:val="lowerLetter"/>
      <w:lvlText w:val="(%1)"/>
      <w:lvlJc w:val="left"/>
    </w:lvl>
    <w:lvl w:ilvl="1" w:tplc="0D4A1BA0">
      <w:numFmt w:val="decimal"/>
      <w:lvlText w:val=""/>
      <w:lvlJc w:val="left"/>
    </w:lvl>
    <w:lvl w:ilvl="2" w:tplc="4F7A5BA8">
      <w:numFmt w:val="decimal"/>
      <w:lvlText w:val=""/>
      <w:lvlJc w:val="left"/>
    </w:lvl>
    <w:lvl w:ilvl="3" w:tplc="A1387CEE">
      <w:numFmt w:val="decimal"/>
      <w:lvlText w:val=""/>
      <w:lvlJc w:val="left"/>
    </w:lvl>
    <w:lvl w:ilvl="4" w:tplc="3028D780">
      <w:numFmt w:val="decimal"/>
      <w:lvlText w:val=""/>
      <w:lvlJc w:val="left"/>
    </w:lvl>
    <w:lvl w:ilvl="5" w:tplc="CEC6FB40">
      <w:numFmt w:val="decimal"/>
      <w:lvlText w:val=""/>
      <w:lvlJc w:val="left"/>
    </w:lvl>
    <w:lvl w:ilvl="6" w:tplc="6EA2C5AC">
      <w:numFmt w:val="decimal"/>
      <w:lvlText w:val=""/>
      <w:lvlJc w:val="left"/>
    </w:lvl>
    <w:lvl w:ilvl="7" w:tplc="DBB07318">
      <w:numFmt w:val="decimal"/>
      <w:lvlText w:val=""/>
      <w:lvlJc w:val="left"/>
    </w:lvl>
    <w:lvl w:ilvl="8" w:tplc="CC08094C">
      <w:numFmt w:val="decimal"/>
      <w:lvlText w:val=""/>
      <w:lvlJc w:val="left"/>
    </w:lvl>
  </w:abstractNum>
  <w:abstractNum w:abstractNumId="207" w15:restartNumberingAfterBreak="0">
    <w:nsid w:val="4E9EFB0D"/>
    <w:multiLevelType w:val="hybridMultilevel"/>
    <w:tmpl w:val="7310A556"/>
    <w:lvl w:ilvl="0" w:tplc="4F225054">
      <w:start w:val="1"/>
      <w:numFmt w:val="decimal"/>
      <w:lvlText w:val="(%1)"/>
      <w:lvlJc w:val="left"/>
    </w:lvl>
    <w:lvl w:ilvl="1" w:tplc="257A11F4">
      <w:numFmt w:val="decimal"/>
      <w:lvlText w:val=""/>
      <w:lvlJc w:val="left"/>
    </w:lvl>
    <w:lvl w:ilvl="2" w:tplc="168C6CC2">
      <w:numFmt w:val="decimal"/>
      <w:lvlText w:val=""/>
      <w:lvlJc w:val="left"/>
    </w:lvl>
    <w:lvl w:ilvl="3" w:tplc="CAA814CC">
      <w:numFmt w:val="decimal"/>
      <w:lvlText w:val=""/>
      <w:lvlJc w:val="left"/>
    </w:lvl>
    <w:lvl w:ilvl="4" w:tplc="2A58C1D2">
      <w:numFmt w:val="decimal"/>
      <w:lvlText w:val=""/>
      <w:lvlJc w:val="left"/>
    </w:lvl>
    <w:lvl w:ilvl="5" w:tplc="3476EED6">
      <w:numFmt w:val="decimal"/>
      <w:lvlText w:val=""/>
      <w:lvlJc w:val="left"/>
    </w:lvl>
    <w:lvl w:ilvl="6" w:tplc="123AA620">
      <w:numFmt w:val="decimal"/>
      <w:lvlText w:val=""/>
      <w:lvlJc w:val="left"/>
    </w:lvl>
    <w:lvl w:ilvl="7" w:tplc="985685C0">
      <w:numFmt w:val="decimal"/>
      <w:lvlText w:val=""/>
      <w:lvlJc w:val="left"/>
    </w:lvl>
    <w:lvl w:ilvl="8" w:tplc="A5B8FDFE">
      <w:numFmt w:val="decimal"/>
      <w:lvlText w:val=""/>
      <w:lvlJc w:val="left"/>
    </w:lvl>
  </w:abstractNum>
  <w:abstractNum w:abstractNumId="208" w15:restartNumberingAfterBreak="0">
    <w:nsid w:val="4F294393"/>
    <w:multiLevelType w:val="hybridMultilevel"/>
    <w:tmpl w:val="936CFEB8"/>
    <w:lvl w:ilvl="0" w:tplc="8B604788">
      <w:start w:val="5"/>
      <w:numFmt w:val="lowerRoman"/>
      <w:lvlText w:val="(%1)"/>
      <w:lvlJc w:val="left"/>
    </w:lvl>
    <w:lvl w:ilvl="1" w:tplc="AE80FC02">
      <w:start w:val="1"/>
      <w:numFmt w:val="lowerRoman"/>
      <w:lvlText w:val="%2"/>
      <w:lvlJc w:val="left"/>
    </w:lvl>
    <w:lvl w:ilvl="2" w:tplc="9828BE40">
      <w:start w:val="2"/>
      <w:numFmt w:val="upperLetter"/>
      <w:lvlText w:val="(%3)"/>
      <w:lvlJc w:val="left"/>
    </w:lvl>
    <w:lvl w:ilvl="3" w:tplc="2836E76C">
      <w:numFmt w:val="decimal"/>
      <w:lvlText w:val=""/>
      <w:lvlJc w:val="left"/>
    </w:lvl>
    <w:lvl w:ilvl="4" w:tplc="A3103E0A">
      <w:numFmt w:val="decimal"/>
      <w:lvlText w:val=""/>
      <w:lvlJc w:val="left"/>
    </w:lvl>
    <w:lvl w:ilvl="5" w:tplc="897C0472">
      <w:numFmt w:val="decimal"/>
      <w:lvlText w:val=""/>
      <w:lvlJc w:val="left"/>
    </w:lvl>
    <w:lvl w:ilvl="6" w:tplc="0D7A7FBE">
      <w:numFmt w:val="decimal"/>
      <w:lvlText w:val=""/>
      <w:lvlJc w:val="left"/>
    </w:lvl>
    <w:lvl w:ilvl="7" w:tplc="2AA2CC38">
      <w:numFmt w:val="decimal"/>
      <w:lvlText w:val=""/>
      <w:lvlJc w:val="left"/>
    </w:lvl>
    <w:lvl w:ilvl="8" w:tplc="22268130">
      <w:numFmt w:val="decimal"/>
      <w:lvlText w:val=""/>
      <w:lvlJc w:val="left"/>
    </w:lvl>
  </w:abstractNum>
  <w:abstractNum w:abstractNumId="209" w15:restartNumberingAfterBreak="0">
    <w:nsid w:val="4F38F265"/>
    <w:multiLevelType w:val="hybridMultilevel"/>
    <w:tmpl w:val="C4F47464"/>
    <w:lvl w:ilvl="0" w:tplc="91D05F84">
      <w:start w:val="3"/>
      <w:numFmt w:val="lowerLetter"/>
      <w:lvlText w:val="(%1)"/>
      <w:lvlJc w:val="left"/>
    </w:lvl>
    <w:lvl w:ilvl="1" w:tplc="9E1AB22C">
      <w:start w:val="1"/>
      <w:numFmt w:val="lowerRoman"/>
      <w:lvlText w:val="(%2)"/>
      <w:lvlJc w:val="left"/>
    </w:lvl>
    <w:lvl w:ilvl="2" w:tplc="BC9E8D92">
      <w:numFmt w:val="decimal"/>
      <w:lvlText w:val=""/>
      <w:lvlJc w:val="left"/>
    </w:lvl>
    <w:lvl w:ilvl="3" w:tplc="BEAAFC32">
      <w:numFmt w:val="decimal"/>
      <w:lvlText w:val=""/>
      <w:lvlJc w:val="left"/>
    </w:lvl>
    <w:lvl w:ilvl="4" w:tplc="B352DE3E">
      <w:numFmt w:val="decimal"/>
      <w:lvlText w:val=""/>
      <w:lvlJc w:val="left"/>
    </w:lvl>
    <w:lvl w:ilvl="5" w:tplc="AFEC80A4">
      <w:numFmt w:val="decimal"/>
      <w:lvlText w:val=""/>
      <w:lvlJc w:val="left"/>
    </w:lvl>
    <w:lvl w:ilvl="6" w:tplc="75E8B8E2">
      <w:numFmt w:val="decimal"/>
      <w:lvlText w:val=""/>
      <w:lvlJc w:val="left"/>
    </w:lvl>
    <w:lvl w:ilvl="7" w:tplc="5EE04D38">
      <w:numFmt w:val="decimal"/>
      <w:lvlText w:val=""/>
      <w:lvlJc w:val="left"/>
    </w:lvl>
    <w:lvl w:ilvl="8" w:tplc="ED90577A">
      <w:numFmt w:val="decimal"/>
      <w:lvlText w:val=""/>
      <w:lvlJc w:val="left"/>
    </w:lvl>
  </w:abstractNum>
  <w:abstractNum w:abstractNumId="210" w15:restartNumberingAfterBreak="0">
    <w:nsid w:val="4F3A06D4"/>
    <w:multiLevelType w:val="hybridMultilevel"/>
    <w:tmpl w:val="716EE6E0"/>
    <w:lvl w:ilvl="0" w:tplc="E280FCA8">
      <w:start w:val="30"/>
      <w:numFmt w:val="decimal"/>
      <w:lvlText w:val="(%1)"/>
      <w:lvlJc w:val="left"/>
    </w:lvl>
    <w:lvl w:ilvl="1" w:tplc="7BFAA96C">
      <w:start w:val="2"/>
      <w:numFmt w:val="lowerLetter"/>
      <w:lvlText w:val="(%2)"/>
      <w:lvlJc w:val="left"/>
    </w:lvl>
    <w:lvl w:ilvl="2" w:tplc="47166E4E">
      <w:numFmt w:val="decimal"/>
      <w:lvlText w:val=""/>
      <w:lvlJc w:val="left"/>
    </w:lvl>
    <w:lvl w:ilvl="3" w:tplc="3FFAAFF4">
      <w:numFmt w:val="decimal"/>
      <w:lvlText w:val=""/>
      <w:lvlJc w:val="left"/>
    </w:lvl>
    <w:lvl w:ilvl="4" w:tplc="9BC8F462">
      <w:numFmt w:val="decimal"/>
      <w:lvlText w:val=""/>
      <w:lvlJc w:val="left"/>
    </w:lvl>
    <w:lvl w:ilvl="5" w:tplc="0E7C235A">
      <w:numFmt w:val="decimal"/>
      <w:lvlText w:val=""/>
      <w:lvlJc w:val="left"/>
    </w:lvl>
    <w:lvl w:ilvl="6" w:tplc="8EC8208C">
      <w:numFmt w:val="decimal"/>
      <w:lvlText w:val=""/>
      <w:lvlJc w:val="left"/>
    </w:lvl>
    <w:lvl w:ilvl="7" w:tplc="0F30139E">
      <w:numFmt w:val="decimal"/>
      <w:lvlText w:val=""/>
      <w:lvlJc w:val="left"/>
    </w:lvl>
    <w:lvl w:ilvl="8" w:tplc="FC72406C">
      <w:numFmt w:val="decimal"/>
      <w:lvlText w:val=""/>
      <w:lvlJc w:val="left"/>
    </w:lvl>
  </w:abstractNum>
  <w:abstractNum w:abstractNumId="211" w15:restartNumberingAfterBreak="0">
    <w:nsid w:val="4FA327CE"/>
    <w:multiLevelType w:val="hybridMultilevel"/>
    <w:tmpl w:val="2D3CA526"/>
    <w:lvl w:ilvl="0" w:tplc="22964184">
      <w:start w:val="1"/>
      <w:numFmt w:val="bullet"/>
      <w:lvlText w:val="•"/>
      <w:lvlJc w:val="left"/>
    </w:lvl>
    <w:lvl w:ilvl="1" w:tplc="B9021344">
      <w:numFmt w:val="decimal"/>
      <w:lvlText w:val=""/>
      <w:lvlJc w:val="left"/>
    </w:lvl>
    <w:lvl w:ilvl="2" w:tplc="84A4108A">
      <w:numFmt w:val="decimal"/>
      <w:lvlText w:val=""/>
      <w:lvlJc w:val="left"/>
    </w:lvl>
    <w:lvl w:ilvl="3" w:tplc="D00E5872">
      <w:numFmt w:val="decimal"/>
      <w:lvlText w:val=""/>
      <w:lvlJc w:val="left"/>
    </w:lvl>
    <w:lvl w:ilvl="4" w:tplc="7C56919C">
      <w:numFmt w:val="decimal"/>
      <w:lvlText w:val=""/>
      <w:lvlJc w:val="left"/>
    </w:lvl>
    <w:lvl w:ilvl="5" w:tplc="87ECFDB4">
      <w:numFmt w:val="decimal"/>
      <w:lvlText w:val=""/>
      <w:lvlJc w:val="left"/>
    </w:lvl>
    <w:lvl w:ilvl="6" w:tplc="781EBC46">
      <w:numFmt w:val="decimal"/>
      <w:lvlText w:val=""/>
      <w:lvlJc w:val="left"/>
    </w:lvl>
    <w:lvl w:ilvl="7" w:tplc="636A3716">
      <w:numFmt w:val="decimal"/>
      <w:lvlText w:val=""/>
      <w:lvlJc w:val="left"/>
    </w:lvl>
    <w:lvl w:ilvl="8" w:tplc="C9C6682E">
      <w:numFmt w:val="decimal"/>
      <w:lvlText w:val=""/>
      <w:lvlJc w:val="left"/>
    </w:lvl>
  </w:abstractNum>
  <w:abstractNum w:abstractNumId="212" w15:restartNumberingAfterBreak="0">
    <w:nsid w:val="4FC4D600"/>
    <w:multiLevelType w:val="hybridMultilevel"/>
    <w:tmpl w:val="CECA95AA"/>
    <w:lvl w:ilvl="0" w:tplc="0AD4B3F2">
      <w:start w:val="1"/>
      <w:numFmt w:val="bullet"/>
      <w:lvlText w:val="•"/>
      <w:lvlJc w:val="left"/>
    </w:lvl>
    <w:lvl w:ilvl="1" w:tplc="FAEA66C4">
      <w:numFmt w:val="decimal"/>
      <w:lvlText w:val=""/>
      <w:lvlJc w:val="left"/>
    </w:lvl>
    <w:lvl w:ilvl="2" w:tplc="05F6F7AC">
      <w:numFmt w:val="decimal"/>
      <w:lvlText w:val=""/>
      <w:lvlJc w:val="left"/>
    </w:lvl>
    <w:lvl w:ilvl="3" w:tplc="090EC6B6">
      <w:numFmt w:val="decimal"/>
      <w:lvlText w:val=""/>
      <w:lvlJc w:val="left"/>
    </w:lvl>
    <w:lvl w:ilvl="4" w:tplc="D49E30F6">
      <w:numFmt w:val="decimal"/>
      <w:lvlText w:val=""/>
      <w:lvlJc w:val="left"/>
    </w:lvl>
    <w:lvl w:ilvl="5" w:tplc="D092E7EA">
      <w:numFmt w:val="decimal"/>
      <w:lvlText w:val=""/>
      <w:lvlJc w:val="left"/>
    </w:lvl>
    <w:lvl w:ilvl="6" w:tplc="A008E236">
      <w:numFmt w:val="decimal"/>
      <w:lvlText w:val=""/>
      <w:lvlJc w:val="left"/>
    </w:lvl>
    <w:lvl w:ilvl="7" w:tplc="EC341A6E">
      <w:numFmt w:val="decimal"/>
      <w:lvlText w:val=""/>
      <w:lvlJc w:val="left"/>
    </w:lvl>
    <w:lvl w:ilvl="8" w:tplc="5A5E4A02">
      <w:numFmt w:val="decimal"/>
      <w:lvlText w:val=""/>
      <w:lvlJc w:val="left"/>
    </w:lvl>
  </w:abstractNum>
  <w:abstractNum w:abstractNumId="213" w15:restartNumberingAfterBreak="0">
    <w:nsid w:val="5015CD1A"/>
    <w:multiLevelType w:val="hybridMultilevel"/>
    <w:tmpl w:val="3A6A3F14"/>
    <w:lvl w:ilvl="0" w:tplc="779E60A8">
      <w:start w:val="1"/>
      <w:numFmt w:val="lowerLetter"/>
      <w:lvlText w:val="(%1)"/>
      <w:lvlJc w:val="left"/>
    </w:lvl>
    <w:lvl w:ilvl="1" w:tplc="894ED614">
      <w:numFmt w:val="decimal"/>
      <w:lvlText w:val=""/>
      <w:lvlJc w:val="left"/>
    </w:lvl>
    <w:lvl w:ilvl="2" w:tplc="71125992">
      <w:numFmt w:val="decimal"/>
      <w:lvlText w:val=""/>
      <w:lvlJc w:val="left"/>
    </w:lvl>
    <w:lvl w:ilvl="3" w:tplc="A3D21794">
      <w:numFmt w:val="decimal"/>
      <w:lvlText w:val=""/>
      <w:lvlJc w:val="left"/>
    </w:lvl>
    <w:lvl w:ilvl="4" w:tplc="E0A24166">
      <w:numFmt w:val="decimal"/>
      <w:lvlText w:val=""/>
      <w:lvlJc w:val="left"/>
    </w:lvl>
    <w:lvl w:ilvl="5" w:tplc="40B6EF8A">
      <w:numFmt w:val="decimal"/>
      <w:lvlText w:val=""/>
      <w:lvlJc w:val="left"/>
    </w:lvl>
    <w:lvl w:ilvl="6" w:tplc="05F629CA">
      <w:numFmt w:val="decimal"/>
      <w:lvlText w:val=""/>
      <w:lvlJc w:val="left"/>
    </w:lvl>
    <w:lvl w:ilvl="7" w:tplc="82EC0DA4">
      <w:numFmt w:val="decimal"/>
      <w:lvlText w:val=""/>
      <w:lvlJc w:val="left"/>
    </w:lvl>
    <w:lvl w:ilvl="8" w:tplc="A596DB08">
      <w:numFmt w:val="decimal"/>
      <w:lvlText w:val=""/>
      <w:lvlJc w:val="left"/>
    </w:lvl>
  </w:abstractNum>
  <w:abstractNum w:abstractNumId="214" w15:restartNumberingAfterBreak="0">
    <w:nsid w:val="501F9786"/>
    <w:multiLevelType w:val="hybridMultilevel"/>
    <w:tmpl w:val="30E41DB8"/>
    <w:lvl w:ilvl="0" w:tplc="97E46A72">
      <w:start w:val="1"/>
      <w:numFmt w:val="lowerLetter"/>
      <w:lvlText w:val="(%1)"/>
      <w:lvlJc w:val="left"/>
    </w:lvl>
    <w:lvl w:ilvl="1" w:tplc="2BE69C52">
      <w:numFmt w:val="decimal"/>
      <w:lvlText w:val=""/>
      <w:lvlJc w:val="left"/>
    </w:lvl>
    <w:lvl w:ilvl="2" w:tplc="9140D8F8">
      <w:numFmt w:val="decimal"/>
      <w:lvlText w:val=""/>
      <w:lvlJc w:val="left"/>
    </w:lvl>
    <w:lvl w:ilvl="3" w:tplc="4536BF14">
      <w:numFmt w:val="decimal"/>
      <w:lvlText w:val=""/>
      <w:lvlJc w:val="left"/>
    </w:lvl>
    <w:lvl w:ilvl="4" w:tplc="1778B8FC">
      <w:numFmt w:val="decimal"/>
      <w:lvlText w:val=""/>
      <w:lvlJc w:val="left"/>
    </w:lvl>
    <w:lvl w:ilvl="5" w:tplc="335CBFDA">
      <w:numFmt w:val="decimal"/>
      <w:lvlText w:val=""/>
      <w:lvlJc w:val="left"/>
    </w:lvl>
    <w:lvl w:ilvl="6" w:tplc="8B3C1F54">
      <w:numFmt w:val="decimal"/>
      <w:lvlText w:val=""/>
      <w:lvlJc w:val="left"/>
    </w:lvl>
    <w:lvl w:ilvl="7" w:tplc="36D4F0B4">
      <w:numFmt w:val="decimal"/>
      <w:lvlText w:val=""/>
      <w:lvlJc w:val="left"/>
    </w:lvl>
    <w:lvl w:ilvl="8" w:tplc="ABFA1950">
      <w:numFmt w:val="decimal"/>
      <w:lvlText w:val=""/>
      <w:lvlJc w:val="left"/>
    </w:lvl>
  </w:abstractNum>
  <w:abstractNum w:abstractNumId="215" w15:restartNumberingAfterBreak="0">
    <w:nsid w:val="5024DE5B"/>
    <w:multiLevelType w:val="hybridMultilevel"/>
    <w:tmpl w:val="A756178E"/>
    <w:lvl w:ilvl="0" w:tplc="FA202CAE">
      <w:start w:val="1"/>
      <w:numFmt w:val="bullet"/>
      <w:lvlText w:val="•"/>
      <w:lvlJc w:val="left"/>
    </w:lvl>
    <w:lvl w:ilvl="1" w:tplc="604EE8D8">
      <w:numFmt w:val="decimal"/>
      <w:lvlText w:val=""/>
      <w:lvlJc w:val="left"/>
    </w:lvl>
    <w:lvl w:ilvl="2" w:tplc="2B34D494">
      <w:numFmt w:val="decimal"/>
      <w:lvlText w:val=""/>
      <w:lvlJc w:val="left"/>
    </w:lvl>
    <w:lvl w:ilvl="3" w:tplc="DDCC60A4">
      <w:numFmt w:val="decimal"/>
      <w:lvlText w:val=""/>
      <w:lvlJc w:val="left"/>
    </w:lvl>
    <w:lvl w:ilvl="4" w:tplc="0D8AD0CE">
      <w:numFmt w:val="decimal"/>
      <w:lvlText w:val=""/>
      <w:lvlJc w:val="left"/>
    </w:lvl>
    <w:lvl w:ilvl="5" w:tplc="2D883340">
      <w:numFmt w:val="decimal"/>
      <w:lvlText w:val=""/>
      <w:lvlJc w:val="left"/>
    </w:lvl>
    <w:lvl w:ilvl="6" w:tplc="7F427DDE">
      <w:numFmt w:val="decimal"/>
      <w:lvlText w:val=""/>
      <w:lvlJc w:val="left"/>
    </w:lvl>
    <w:lvl w:ilvl="7" w:tplc="55FC0028">
      <w:numFmt w:val="decimal"/>
      <w:lvlText w:val=""/>
      <w:lvlJc w:val="left"/>
    </w:lvl>
    <w:lvl w:ilvl="8" w:tplc="5C2EDAC8">
      <w:numFmt w:val="decimal"/>
      <w:lvlText w:val=""/>
      <w:lvlJc w:val="left"/>
    </w:lvl>
  </w:abstractNum>
  <w:abstractNum w:abstractNumId="216" w15:restartNumberingAfterBreak="0">
    <w:nsid w:val="50ABCEC9"/>
    <w:multiLevelType w:val="hybridMultilevel"/>
    <w:tmpl w:val="315C00EA"/>
    <w:lvl w:ilvl="0" w:tplc="6742AAAA">
      <w:start w:val="17"/>
      <w:numFmt w:val="upperLetter"/>
      <w:lvlText w:val="%1:"/>
      <w:lvlJc w:val="left"/>
    </w:lvl>
    <w:lvl w:ilvl="1" w:tplc="E8800106">
      <w:numFmt w:val="decimal"/>
      <w:lvlText w:val=""/>
      <w:lvlJc w:val="left"/>
    </w:lvl>
    <w:lvl w:ilvl="2" w:tplc="7E002486">
      <w:numFmt w:val="decimal"/>
      <w:lvlText w:val=""/>
      <w:lvlJc w:val="left"/>
    </w:lvl>
    <w:lvl w:ilvl="3" w:tplc="6E4E0D0C">
      <w:numFmt w:val="decimal"/>
      <w:lvlText w:val=""/>
      <w:lvlJc w:val="left"/>
    </w:lvl>
    <w:lvl w:ilvl="4" w:tplc="E8D8388E">
      <w:numFmt w:val="decimal"/>
      <w:lvlText w:val=""/>
      <w:lvlJc w:val="left"/>
    </w:lvl>
    <w:lvl w:ilvl="5" w:tplc="04A0B2AC">
      <w:numFmt w:val="decimal"/>
      <w:lvlText w:val=""/>
      <w:lvlJc w:val="left"/>
    </w:lvl>
    <w:lvl w:ilvl="6" w:tplc="1A463A40">
      <w:numFmt w:val="decimal"/>
      <w:lvlText w:val=""/>
      <w:lvlJc w:val="left"/>
    </w:lvl>
    <w:lvl w:ilvl="7" w:tplc="01B84C50">
      <w:numFmt w:val="decimal"/>
      <w:lvlText w:val=""/>
      <w:lvlJc w:val="left"/>
    </w:lvl>
    <w:lvl w:ilvl="8" w:tplc="0680CC84">
      <w:numFmt w:val="decimal"/>
      <w:lvlText w:val=""/>
      <w:lvlJc w:val="left"/>
    </w:lvl>
  </w:abstractNum>
  <w:abstractNum w:abstractNumId="217" w15:restartNumberingAfterBreak="0">
    <w:nsid w:val="519EB94C"/>
    <w:multiLevelType w:val="hybridMultilevel"/>
    <w:tmpl w:val="F3C67C6E"/>
    <w:lvl w:ilvl="0" w:tplc="2A1861F4">
      <w:start w:val="1"/>
      <w:numFmt w:val="bullet"/>
      <w:lvlText w:val="•"/>
      <w:lvlJc w:val="left"/>
    </w:lvl>
    <w:lvl w:ilvl="1" w:tplc="3B521742">
      <w:numFmt w:val="decimal"/>
      <w:lvlText w:val=""/>
      <w:lvlJc w:val="left"/>
    </w:lvl>
    <w:lvl w:ilvl="2" w:tplc="AC9ED426">
      <w:numFmt w:val="decimal"/>
      <w:lvlText w:val=""/>
      <w:lvlJc w:val="left"/>
    </w:lvl>
    <w:lvl w:ilvl="3" w:tplc="56649746">
      <w:numFmt w:val="decimal"/>
      <w:lvlText w:val=""/>
      <w:lvlJc w:val="left"/>
    </w:lvl>
    <w:lvl w:ilvl="4" w:tplc="C22495EA">
      <w:numFmt w:val="decimal"/>
      <w:lvlText w:val=""/>
      <w:lvlJc w:val="left"/>
    </w:lvl>
    <w:lvl w:ilvl="5" w:tplc="A4DABBEA">
      <w:numFmt w:val="decimal"/>
      <w:lvlText w:val=""/>
      <w:lvlJc w:val="left"/>
    </w:lvl>
    <w:lvl w:ilvl="6" w:tplc="8F26119E">
      <w:numFmt w:val="decimal"/>
      <w:lvlText w:val=""/>
      <w:lvlJc w:val="left"/>
    </w:lvl>
    <w:lvl w:ilvl="7" w:tplc="473C1A9E">
      <w:numFmt w:val="decimal"/>
      <w:lvlText w:val=""/>
      <w:lvlJc w:val="left"/>
    </w:lvl>
    <w:lvl w:ilvl="8" w:tplc="9BC6838A">
      <w:numFmt w:val="decimal"/>
      <w:lvlText w:val=""/>
      <w:lvlJc w:val="left"/>
    </w:lvl>
  </w:abstractNum>
  <w:abstractNum w:abstractNumId="218" w15:restartNumberingAfterBreak="0">
    <w:nsid w:val="51A27AA6"/>
    <w:multiLevelType w:val="hybridMultilevel"/>
    <w:tmpl w:val="78CA58D8"/>
    <w:lvl w:ilvl="0" w:tplc="D3ECAD9E">
      <w:start w:val="35"/>
      <w:numFmt w:val="lowerLetter"/>
      <w:lvlText w:val="(%1)"/>
      <w:lvlJc w:val="left"/>
    </w:lvl>
    <w:lvl w:ilvl="1" w:tplc="30C41C42">
      <w:start w:val="6"/>
      <w:numFmt w:val="lowerLetter"/>
      <w:lvlText w:val="(%2)"/>
      <w:lvlJc w:val="left"/>
    </w:lvl>
    <w:lvl w:ilvl="2" w:tplc="72E41810">
      <w:numFmt w:val="decimal"/>
      <w:lvlText w:val=""/>
      <w:lvlJc w:val="left"/>
    </w:lvl>
    <w:lvl w:ilvl="3" w:tplc="A5E25CD2">
      <w:numFmt w:val="decimal"/>
      <w:lvlText w:val=""/>
      <w:lvlJc w:val="left"/>
    </w:lvl>
    <w:lvl w:ilvl="4" w:tplc="53D81466">
      <w:numFmt w:val="decimal"/>
      <w:lvlText w:val=""/>
      <w:lvlJc w:val="left"/>
    </w:lvl>
    <w:lvl w:ilvl="5" w:tplc="F4A2987A">
      <w:numFmt w:val="decimal"/>
      <w:lvlText w:val=""/>
      <w:lvlJc w:val="left"/>
    </w:lvl>
    <w:lvl w:ilvl="6" w:tplc="FEF80E08">
      <w:numFmt w:val="decimal"/>
      <w:lvlText w:val=""/>
      <w:lvlJc w:val="left"/>
    </w:lvl>
    <w:lvl w:ilvl="7" w:tplc="8D28CAF0">
      <w:numFmt w:val="decimal"/>
      <w:lvlText w:val=""/>
      <w:lvlJc w:val="left"/>
    </w:lvl>
    <w:lvl w:ilvl="8" w:tplc="147E8FFC">
      <w:numFmt w:val="decimal"/>
      <w:lvlText w:val=""/>
      <w:lvlJc w:val="left"/>
    </w:lvl>
  </w:abstractNum>
  <w:abstractNum w:abstractNumId="219" w15:restartNumberingAfterBreak="0">
    <w:nsid w:val="51BF6B48"/>
    <w:multiLevelType w:val="hybridMultilevel"/>
    <w:tmpl w:val="674085C8"/>
    <w:lvl w:ilvl="0" w:tplc="DB583EF2">
      <w:start w:val="3"/>
      <w:numFmt w:val="lowerRoman"/>
      <w:lvlText w:val="(%1)"/>
      <w:lvlJc w:val="left"/>
    </w:lvl>
    <w:lvl w:ilvl="1" w:tplc="2510217A">
      <w:numFmt w:val="decimal"/>
      <w:lvlText w:val=""/>
      <w:lvlJc w:val="left"/>
    </w:lvl>
    <w:lvl w:ilvl="2" w:tplc="A0464D70">
      <w:numFmt w:val="decimal"/>
      <w:lvlText w:val=""/>
      <w:lvlJc w:val="left"/>
    </w:lvl>
    <w:lvl w:ilvl="3" w:tplc="4C3868E4">
      <w:numFmt w:val="decimal"/>
      <w:lvlText w:val=""/>
      <w:lvlJc w:val="left"/>
    </w:lvl>
    <w:lvl w:ilvl="4" w:tplc="80E42E34">
      <w:numFmt w:val="decimal"/>
      <w:lvlText w:val=""/>
      <w:lvlJc w:val="left"/>
    </w:lvl>
    <w:lvl w:ilvl="5" w:tplc="0EB22E1A">
      <w:numFmt w:val="decimal"/>
      <w:lvlText w:val=""/>
      <w:lvlJc w:val="left"/>
    </w:lvl>
    <w:lvl w:ilvl="6" w:tplc="EF6EE0C6">
      <w:numFmt w:val="decimal"/>
      <w:lvlText w:val=""/>
      <w:lvlJc w:val="left"/>
    </w:lvl>
    <w:lvl w:ilvl="7" w:tplc="AAF295AC">
      <w:numFmt w:val="decimal"/>
      <w:lvlText w:val=""/>
      <w:lvlJc w:val="left"/>
    </w:lvl>
    <w:lvl w:ilvl="8" w:tplc="53AEB356">
      <w:numFmt w:val="decimal"/>
      <w:lvlText w:val=""/>
      <w:lvlJc w:val="left"/>
    </w:lvl>
  </w:abstractNum>
  <w:abstractNum w:abstractNumId="220" w15:restartNumberingAfterBreak="0">
    <w:nsid w:val="51CB0DA4"/>
    <w:multiLevelType w:val="hybridMultilevel"/>
    <w:tmpl w:val="4B8E0DB2"/>
    <w:lvl w:ilvl="0" w:tplc="A5C4D644">
      <w:start w:val="1"/>
      <w:numFmt w:val="lowerLetter"/>
      <w:lvlText w:val="(%1)"/>
      <w:lvlJc w:val="left"/>
    </w:lvl>
    <w:lvl w:ilvl="1" w:tplc="A4889904">
      <w:numFmt w:val="decimal"/>
      <w:lvlText w:val=""/>
      <w:lvlJc w:val="left"/>
    </w:lvl>
    <w:lvl w:ilvl="2" w:tplc="9C527EE4">
      <w:numFmt w:val="decimal"/>
      <w:lvlText w:val=""/>
      <w:lvlJc w:val="left"/>
    </w:lvl>
    <w:lvl w:ilvl="3" w:tplc="8438F166">
      <w:numFmt w:val="decimal"/>
      <w:lvlText w:val=""/>
      <w:lvlJc w:val="left"/>
    </w:lvl>
    <w:lvl w:ilvl="4" w:tplc="8ADEDA8E">
      <w:numFmt w:val="decimal"/>
      <w:lvlText w:val=""/>
      <w:lvlJc w:val="left"/>
    </w:lvl>
    <w:lvl w:ilvl="5" w:tplc="1D64F87E">
      <w:numFmt w:val="decimal"/>
      <w:lvlText w:val=""/>
      <w:lvlJc w:val="left"/>
    </w:lvl>
    <w:lvl w:ilvl="6" w:tplc="9E3AAD24">
      <w:numFmt w:val="decimal"/>
      <w:lvlText w:val=""/>
      <w:lvlJc w:val="left"/>
    </w:lvl>
    <w:lvl w:ilvl="7" w:tplc="B8E48116">
      <w:numFmt w:val="decimal"/>
      <w:lvlText w:val=""/>
      <w:lvlJc w:val="left"/>
    </w:lvl>
    <w:lvl w:ilvl="8" w:tplc="D112492E">
      <w:numFmt w:val="decimal"/>
      <w:lvlText w:val=""/>
      <w:lvlJc w:val="left"/>
    </w:lvl>
  </w:abstractNum>
  <w:abstractNum w:abstractNumId="221" w15:restartNumberingAfterBreak="0">
    <w:nsid w:val="5204A191"/>
    <w:multiLevelType w:val="hybridMultilevel"/>
    <w:tmpl w:val="D954197A"/>
    <w:lvl w:ilvl="0" w:tplc="A7CE2DFA">
      <w:start w:val="1"/>
      <w:numFmt w:val="upperLetter"/>
      <w:lvlText w:val="%1:"/>
      <w:lvlJc w:val="left"/>
    </w:lvl>
    <w:lvl w:ilvl="1" w:tplc="53D6AF5C">
      <w:numFmt w:val="decimal"/>
      <w:lvlText w:val=""/>
      <w:lvlJc w:val="left"/>
    </w:lvl>
    <w:lvl w:ilvl="2" w:tplc="0A363E6E">
      <w:numFmt w:val="decimal"/>
      <w:lvlText w:val=""/>
      <w:lvlJc w:val="left"/>
    </w:lvl>
    <w:lvl w:ilvl="3" w:tplc="8BFA9AF2">
      <w:numFmt w:val="decimal"/>
      <w:lvlText w:val=""/>
      <w:lvlJc w:val="left"/>
    </w:lvl>
    <w:lvl w:ilvl="4" w:tplc="DB386BF0">
      <w:numFmt w:val="decimal"/>
      <w:lvlText w:val=""/>
      <w:lvlJc w:val="left"/>
    </w:lvl>
    <w:lvl w:ilvl="5" w:tplc="6FFEE9E0">
      <w:numFmt w:val="decimal"/>
      <w:lvlText w:val=""/>
      <w:lvlJc w:val="left"/>
    </w:lvl>
    <w:lvl w:ilvl="6" w:tplc="C4AC84D2">
      <w:numFmt w:val="decimal"/>
      <w:lvlText w:val=""/>
      <w:lvlJc w:val="left"/>
    </w:lvl>
    <w:lvl w:ilvl="7" w:tplc="FEFCBA44">
      <w:numFmt w:val="decimal"/>
      <w:lvlText w:val=""/>
      <w:lvlJc w:val="left"/>
    </w:lvl>
    <w:lvl w:ilvl="8" w:tplc="310A9DB4">
      <w:numFmt w:val="decimal"/>
      <w:lvlText w:val=""/>
      <w:lvlJc w:val="left"/>
    </w:lvl>
  </w:abstractNum>
  <w:abstractNum w:abstractNumId="222" w15:restartNumberingAfterBreak="0">
    <w:nsid w:val="5243BFAC"/>
    <w:multiLevelType w:val="hybridMultilevel"/>
    <w:tmpl w:val="9A4A9EA0"/>
    <w:lvl w:ilvl="0" w:tplc="F1423194">
      <w:start w:val="3"/>
      <w:numFmt w:val="upperLetter"/>
      <w:lvlText w:val="(%1)"/>
      <w:lvlJc w:val="left"/>
    </w:lvl>
    <w:lvl w:ilvl="1" w:tplc="403216AE">
      <w:numFmt w:val="decimal"/>
      <w:lvlText w:val=""/>
      <w:lvlJc w:val="left"/>
    </w:lvl>
    <w:lvl w:ilvl="2" w:tplc="8F1A63F8">
      <w:numFmt w:val="decimal"/>
      <w:lvlText w:val=""/>
      <w:lvlJc w:val="left"/>
    </w:lvl>
    <w:lvl w:ilvl="3" w:tplc="924860A0">
      <w:numFmt w:val="decimal"/>
      <w:lvlText w:val=""/>
      <w:lvlJc w:val="left"/>
    </w:lvl>
    <w:lvl w:ilvl="4" w:tplc="5A70E5BC">
      <w:numFmt w:val="decimal"/>
      <w:lvlText w:val=""/>
      <w:lvlJc w:val="left"/>
    </w:lvl>
    <w:lvl w:ilvl="5" w:tplc="DBAE3B64">
      <w:numFmt w:val="decimal"/>
      <w:lvlText w:val=""/>
      <w:lvlJc w:val="left"/>
    </w:lvl>
    <w:lvl w:ilvl="6" w:tplc="EC44B142">
      <w:numFmt w:val="decimal"/>
      <w:lvlText w:val=""/>
      <w:lvlJc w:val="left"/>
    </w:lvl>
    <w:lvl w:ilvl="7" w:tplc="E1C01364">
      <w:numFmt w:val="decimal"/>
      <w:lvlText w:val=""/>
      <w:lvlJc w:val="left"/>
    </w:lvl>
    <w:lvl w:ilvl="8" w:tplc="65F60DE4">
      <w:numFmt w:val="decimal"/>
      <w:lvlText w:val=""/>
      <w:lvlJc w:val="left"/>
    </w:lvl>
  </w:abstractNum>
  <w:abstractNum w:abstractNumId="223" w15:restartNumberingAfterBreak="0">
    <w:nsid w:val="52A311C3"/>
    <w:multiLevelType w:val="hybridMultilevel"/>
    <w:tmpl w:val="034821CA"/>
    <w:lvl w:ilvl="0" w:tplc="BF34A784">
      <w:start w:val="2"/>
      <w:numFmt w:val="lowerLetter"/>
      <w:lvlText w:val="(%1)"/>
      <w:lvlJc w:val="left"/>
    </w:lvl>
    <w:lvl w:ilvl="1" w:tplc="2048D72C">
      <w:numFmt w:val="decimal"/>
      <w:lvlText w:val=""/>
      <w:lvlJc w:val="left"/>
    </w:lvl>
    <w:lvl w:ilvl="2" w:tplc="4FBA04BA">
      <w:numFmt w:val="decimal"/>
      <w:lvlText w:val=""/>
      <w:lvlJc w:val="left"/>
    </w:lvl>
    <w:lvl w:ilvl="3" w:tplc="9DB00D3E">
      <w:numFmt w:val="decimal"/>
      <w:lvlText w:val=""/>
      <w:lvlJc w:val="left"/>
    </w:lvl>
    <w:lvl w:ilvl="4" w:tplc="73D42246">
      <w:numFmt w:val="decimal"/>
      <w:lvlText w:val=""/>
      <w:lvlJc w:val="left"/>
    </w:lvl>
    <w:lvl w:ilvl="5" w:tplc="49BAB43E">
      <w:numFmt w:val="decimal"/>
      <w:lvlText w:val=""/>
      <w:lvlJc w:val="left"/>
    </w:lvl>
    <w:lvl w:ilvl="6" w:tplc="30DAA4F2">
      <w:numFmt w:val="decimal"/>
      <w:lvlText w:val=""/>
      <w:lvlJc w:val="left"/>
    </w:lvl>
    <w:lvl w:ilvl="7" w:tplc="4352EE6C">
      <w:numFmt w:val="decimal"/>
      <w:lvlText w:val=""/>
      <w:lvlJc w:val="left"/>
    </w:lvl>
    <w:lvl w:ilvl="8" w:tplc="6A98AAD6">
      <w:numFmt w:val="decimal"/>
      <w:lvlText w:val=""/>
      <w:lvlJc w:val="left"/>
    </w:lvl>
  </w:abstractNum>
  <w:abstractNum w:abstractNumId="224" w15:restartNumberingAfterBreak="0">
    <w:nsid w:val="52AC7DFF"/>
    <w:multiLevelType w:val="hybridMultilevel"/>
    <w:tmpl w:val="AF0254CE"/>
    <w:lvl w:ilvl="0" w:tplc="C5889A88">
      <w:start w:val="2"/>
      <w:numFmt w:val="lowerLetter"/>
      <w:lvlText w:val="(%1)"/>
      <w:lvlJc w:val="left"/>
    </w:lvl>
    <w:lvl w:ilvl="1" w:tplc="EE803F6E">
      <w:numFmt w:val="decimal"/>
      <w:lvlText w:val=""/>
      <w:lvlJc w:val="left"/>
    </w:lvl>
    <w:lvl w:ilvl="2" w:tplc="B3FE8E5A">
      <w:numFmt w:val="decimal"/>
      <w:lvlText w:val=""/>
      <w:lvlJc w:val="left"/>
    </w:lvl>
    <w:lvl w:ilvl="3" w:tplc="B6EE5758">
      <w:numFmt w:val="decimal"/>
      <w:lvlText w:val=""/>
      <w:lvlJc w:val="left"/>
    </w:lvl>
    <w:lvl w:ilvl="4" w:tplc="282C7492">
      <w:numFmt w:val="decimal"/>
      <w:lvlText w:val=""/>
      <w:lvlJc w:val="left"/>
    </w:lvl>
    <w:lvl w:ilvl="5" w:tplc="A070751E">
      <w:numFmt w:val="decimal"/>
      <w:lvlText w:val=""/>
      <w:lvlJc w:val="left"/>
    </w:lvl>
    <w:lvl w:ilvl="6" w:tplc="8F6A4378">
      <w:numFmt w:val="decimal"/>
      <w:lvlText w:val=""/>
      <w:lvlJc w:val="left"/>
    </w:lvl>
    <w:lvl w:ilvl="7" w:tplc="C91E2718">
      <w:numFmt w:val="decimal"/>
      <w:lvlText w:val=""/>
      <w:lvlJc w:val="left"/>
    </w:lvl>
    <w:lvl w:ilvl="8" w:tplc="3B20CE54">
      <w:numFmt w:val="decimal"/>
      <w:lvlText w:val=""/>
      <w:lvlJc w:val="left"/>
    </w:lvl>
  </w:abstractNum>
  <w:abstractNum w:abstractNumId="225" w15:restartNumberingAfterBreak="0">
    <w:nsid w:val="52C12C61"/>
    <w:multiLevelType w:val="hybridMultilevel"/>
    <w:tmpl w:val="EA50AD2E"/>
    <w:lvl w:ilvl="0" w:tplc="53B47A3C">
      <w:start w:val="1"/>
      <w:numFmt w:val="bullet"/>
      <w:lvlText w:val="•"/>
      <w:lvlJc w:val="left"/>
    </w:lvl>
    <w:lvl w:ilvl="1" w:tplc="E15C0960">
      <w:numFmt w:val="decimal"/>
      <w:lvlText w:val=""/>
      <w:lvlJc w:val="left"/>
    </w:lvl>
    <w:lvl w:ilvl="2" w:tplc="105E41C2">
      <w:numFmt w:val="decimal"/>
      <w:lvlText w:val=""/>
      <w:lvlJc w:val="left"/>
    </w:lvl>
    <w:lvl w:ilvl="3" w:tplc="138E7408">
      <w:numFmt w:val="decimal"/>
      <w:lvlText w:val=""/>
      <w:lvlJc w:val="left"/>
    </w:lvl>
    <w:lvl w:ilvl="4" w:tplc="DC6A9246">
      <w:numFmt w:val="decimal"/>
      <w:lvlText w:val=""/>
      <w:lvlJc w:val="left"/>
    </w:lvl>
    <w:lvl w:ilvl="5" w:tplc="29ACFB1A">
      <w:numFmt w:val="decimal"/>
      <w:lvlText w:val=""/>
      <w:lvlJc w:val="left"/>
    </w:lvl>
    <w:lvl w:ilvl="6" w:tplc="AF2A7DBC">
      <w:numFmt w:val="decimal"/>
      <w:lvlText w:val=""/>
      <w:lvlJc w:val="left"/>
    </w:lvl>
    <w:lvl w:ilvl="7" w:tplc="36B89E78">
      <w:numFmt w:val="decimal"/>
      <w:lvlText w:val=""/>
      <w:lvlJc w:val="left"/>
    </w:lvl>
    <w:lvl w:ilvl="8" w:tplc="D08C1BE2">
      <w:numFmt w:val="decimal"/>
      <w:lvlText w:val=""/>
      <w:lvlJc w:val="left"/>
    </w:lvl>
  </w:abstractNum>
  <w:abstractNum w:abstractNumId="226" w15:restartNumberingAfterBreak="0">
    <w:nsid w:val="52C77402"/>
    <w:multiLevelType w:val="hybridMultilevel"/>
    <w:tmpl w:val="A2AE72E8"/>
    <w:lvl w:ilvl="0" w:tplc="A3FA5660">
      <w:start w:val="1"/>
      <w:numFmt w:val="lowerLetter"/>
      <w:lvlText w:val="(%1)"/>
      <w:lvlJc w:val="left"/>
    </w:lvl>
    <w:lvl w:ilvl="1" w:tplc="15363256">
      <w:numFmt w:val="decimal"/>
      <w:lvlText w:val=""/>
      <w:lvlJc w:val="left"/>
    </w:lvl>
    <w:lvl w:ilvl="2" w:tplc="8B4E9F52">
      <w:numFmt w:val="decimal"/>
      <w:lvlText w:val=""/>
      <w:lvlJc w:val="left"/>
    </w:lvl>
    <w:lvl w:ilvl="3" w:tplc="92E4B108">
      <w:numFmt w:val="decimal"/>
      <w:lvlText w:val=""/>
      <w:lvlJc w:val="left"/>
    </w:lvl>
    <w:lvl w:ilvl="4" w:tplc="26B08840">
      <w:numFmt w:val="decimal"/>
      <w:lvlText w:val=""/>
      <w:lvlJc w:val="left"/>
    </w:lvl>
    <w:lvl w:ilvl="5" w:tplc="8D0460F6">
      <w:numFmt w:val="decimal"/>
      <w:lvlText w:val=""/>
      <w:lvlJc w:val="left"/>
    </w:lvl>
    <w:lvl w:ilvl="6" w:tplc="5B764CFE">
      <w:numFmt w:val="decimal"/>
      <w:lvlText w:val=""/>
      <w:lvlJc w:val="left"/>
    </w:lvl>
    <w:lvl w:ilvl="7" w:tplc="1CCC20DC">
      <w:numFmt w:val="decimal"/>
      <w:lvlText w:val=""/>
      <w:lvlJc w:val="left"/>
    </w:lvl>
    <w:lvl w:ilvl="8" w:tplc="E078D58E">
      <w:numFmt w:val="decimal"/>
      <w:lvlText w:val=""/>
      <w:lvlJc w:val="left"/>
    </w:lvl>
  </w:abstractNum>
  <w:abstractNum w:abstractNumId="227" w15:restartNumberingAfterBreak="0">
    <w:nsid w:val="530386D1"/>
    <w:multiLevelType w:val="hybridMultilevel"/>
    <w:tmpl w:val="283E5230"/>
    <w:lvl w:ilvl="0" w:tplc="746820BA">
      <w:start w:val="1"/>
      <w:numFmt w:val="decimal"/>
      <w:lvlText w:val="(%1)"/>
      <w:lvlJc w:val="left"/>
    </w:lvl>
    <w:lvl w:ilvl="1" w:tplc="F6803446">
      <w:numFmt w:val="decimal"/>
      <w:lvlText w:val=""/>
      <w:lvlJc w:val="left"/>
    </w:lvl>
    <w:lvl w:ilvl="2" w:tplc="C736FD1C">
      <w:numFmt w:val="decimal"/>
      <w:lvlText w:val=""/>
      <w:lvlJc w:val="left"/>
    </w:lvl>
    <w:lvl w:ilvl="3" w:tplc="A60C8D24">
      <w:numFmt w:val="decimal"/>
      <w:lvlText w:val=""/>
      <w:lvlJc w:val="left"/>
    </w:lvl>
    <w:lvl w:ilvl="4" w:tplc="0BA4E06C">
      <w:numFmt w:val="decimal"/>
      <w:lvlText w:val=""/>
      <w:lvlJc w:val="left"/>
    </w:lvl>
    <w:lvl w:ilvl="5" w:tplc="4112D49E">
      <w:numFmt w:val="decimal"/>
      <w:lvlText w:val=""/>
      <w:lvlJc w:val="left"/>
    </w:lvl>
    <w:lvl w:ilvl="6" w:tplc="65EC792C">
      <w:numFmt w:val="decimal"/>
      <w:lvlText w:val=""/>
      <w:lvlJc w:val="left"/>
    </w:lvl>
    <w:lvl w:ilvl="7" w:tplc="10222CCC">
      <w:numFmt w:val="decimal"/>
      <w:lvlText w:val=""/>
      <w:lvlJc w:val="left"/>
    </w:lvl>
    <w:lvl w:ilvl="8" w:tplc="09347694">
      <w:numFmt w:val="decimal"/>
      <w:lvlText w:val=""/>
      <w:lvlJc w:val="left"/>
    </w:lvl>
  </w:abstractNum>
  <w:abstractNum w:abstractNumId="228" w15:restartNumberingAfterBreak="0">
    <w:nsid w:val="53280662"/>
    <w:multiLevelType w:val="hybridMultilevel"/>
    <w:tmpl w:val="2B4C7CC0"/>
    <w:lvl w:ilvl="0" w:tplc="63D0905A">
      <w:start w:val="2"/>
      <w:numFmt w:val="lowerLetter"/>
      <w:lvlText w:val="(%1)"/>
      <w:lvlJc w:val="left"/>
    </w:lvl>
    <w:lvl w:ilvl="1" w:tplc="3622479E">
      <w:start w:val="1"/>
      <w:numFmt w:val="lowerRoman"/>
      <w:lvlText w:val="(%2)"/>
      <w:lvlJc w:val="left"/>
    </w:lvl>
    <w:lvl w:ilvl="2" w:tplc="EBA0D9E6">
      <w:numFmt w:val="decimal"/>
      <w:lvlText w:val=""/>
      <w:lvlJc w:val="left"/>
    </w:lvl>
    <w:lvl w:ilvl="3" w:tplc="E236DCC0">
      <w:numFmt w:val="decimal"/>
      <w:lvlText w:val=""/>
      <w:lvlJc w:val="left"/>
    </w:lvl>
    <w:lvl w:ilvl="4" w:tplc="4E0444A0">
      <w:numFmt w:val="decimal"/>
      <w:lvlText w:val=""/>
      <w:lvlJc w:val="left"/>
    </w:lvl>
    <w:lvl w:ilvl="5" w:tplc="3692001A">
      <w:numFmt w:val="decimal"/>
      <w:lvlText w:val=""/>
      <w:lvlJc w:val="left"/>
    </w:lvl>
    <w:lvl w:ilvl="6" w:tplc="20387A52">
      <w:numFmt w:val="decimal"/>
      <w:lvlText w:val=""/>
      <w:lvlJc w:val="left"/>
    </w:lvl>
    <w:lvl w:ilvl="7" w:tplc="17601002">
      <w:numFmt w:val="decimal"/>
      <w:lvlText w:val=""/>
      <w:lvlJc w:val="left"/>
    </w:lvl>
    <w:lvl w:ilvl="8" w:tplc="7ED40462">
      <w:numFmt w:val="decimal"/>
      <w:lvlText w:val=""/>
      <w:lvlJc w:val="left"/>
    </w:lvl>
  </w:abstractNum>
  <w:abstractNum w:abstractNumId="229" w15:restartNumberingAfterBreak="0">
    <w:nsid w:val="539F7F12"/>
    <w:multiLevelType w:val="hybridMultilevel"/>
    <w:tmpl w:val="5A304A3A"/>
    <w:lvl w:ilvl="0" w:tplc="1914606C">
      <w:start w:val="1"/>
      <w:numFmt w:val="lowerLetter"/>
      <w:lvlText w:val="(%1)"/>
      <w:lvlJc w:val="left"/>
    </w:lvl>
    <w:lvl w:ilvl="1" w:tplc="762CDE4A">
      <w:numFmt w:val="decimal"/>
      <w:lvlText w:val=""/>
      <w:lvlJc w:val="left"/>
    </w:lvl>
    <w:lvl w:ilvl="2" w:tplc="42844126">
      <w:numFmt w:val="decimal"/>
      <w:lvlText w:val=""/>
      <w:lvlJc w:val="left"/>
    </w:lvl>
    <w:lvl w:ilvl="3" w:tplc="C5120072">
      <w:numFmt w:val="decimal"/>
      <w:lvlText w:val=""/>
      <w:lvlJc w:val="left"/>
    </w:lvl>
    <w:lvl w:ilvl="4" w:tplc="79FC4FF2">
      <w:numFmt w:val="decimal"/>
      <w:lvlText w:val=""/>
      <w:lvlJc w:val="left"/>
    </w:lvl>
    <w:lvl w:ilvl="5" w:tplc="596E36F4">
      <w:numFmt w:val="decimal"/>
      <w:lvlText w:val=""/>
      <w:lvlJc w:val="left"/>
    </w:lvl>
    <w:lvl w:ilvl="6" w:tplc="81AC1B9E">
      <w:numFmt w:val="decimal"/>
      <w:lvlText w:val=""/>
      <w:lvlJc w:val="left"/>
    </w:lvl>
    <w:lvl w:ilvl="7" w:tplc="E3BAF788">
      <w:numFmt w:val="decimal"/>
      <w:lvlText w:val=""/>
      <w:lvlJc w:val="left"/>
    </w:lvl>
    <w:lvl w:ilvl="8" w:tplc="B91CE1A0">
      <w:numFmt w:val="decimal"/>
      <w:lvlText w:val=""/>
      <w:lvlJc w:val="left"/>
    </w:lvl>
  </w:abstractNum>
  <w:abstractNum w:abstractNumId="230" w15:restartNumberingAfterBreak="0">
    <w:nsid w:val="53B2564F"/>
    <w:multiLevelType w:val="hybridMultilevel"/>
    <w:tmpl w:val="F11EC072"/>
    <w:lvl w:ilvl="0" w:tplc="672EC47A">
      <w:start w:val="1"/>
      <w:numFmt w:val="bullet"/>
      <w:lvlText w:val="•"/>
      <w:lvlJc w:val="left"/>
    </w:lvl>
    <w:lvl w:ilvl="1" w:tplc="06D2E66C">
      <w:numFmt w:val="decimal"/>
      <w:lvlText w:val=""/>
      <w:lvlJc w:val="left"/>
    </w:lvl>
    <w:lvl w:ilvl="2" w:tplc="5024E292">
      <w:numFmt w:val="decimal"/>
      <w:lvlText w:val=""/>
      <w:lvlJc w:val="left"/>
    </w:lvl>
    <w:lvl w:ilvl="3" w:tplc="B8D2E692">
      <w:numFmt w:val="decimal"/>
      <w:lvlText w:val=""/>
      <w:lvlJc w:val="left"/>
    </w:lvl>
    <w:lvl w:ilvl="4" w:tplc="28A47262">
      <w:numFmt w:val="decimal"/>
      <w:lvlText w:val=""/>
      <w:lvlJc w:val="left"/>
    </w:lvl>
    <w:lvl w:ilvl="5" w:tplc="A038F6AC">
      <w:numFmt w:val="decimal"/>
      <w:lvlText w:val=""/>
      <w:lvlJc w:val="left"/>
    </w:lvl>
    <w:lvl w:ilvl="6" w:tplc="E2C42A2A">
      <w:numFmt w:val="decimal"/>
      <w:lvlText w:val=""/>
      <w:lvlJc w:val="left"/>
    </w:lvl>
    <w:lvl w:ilvl="7" w:tplc="E2045694">
      <w:numFmt w:val="decimal"/>
      <w:lvlText w:val=""/>
      <w:lvlJc w:val="left"/>
    </w:lvl>
    <w:lvl w:ilvl="8" w:tplc="BD12FA1A">
      <w:numFmt w:val="decimal"/>
      <w:lvlText w:val=""/>
      <w:lvlJc w:val="left"/>
    </w:lvl>
  </w:abstractNum>
  <w:abstractNum w:abstractNumId="231" w15:restartNumberingAfterBreak="0">
    <w:nsid w:val="53E31A24"/>
    <w:multiLevelType w:val="hybridMultilevel"/>
    <w:tmpl w:val="B64E8544"/>
    <w:lvl w:ilvl="0" w:tplc="216A41AA">
      <w:start w:val="1"/>
      <w:numFmt w:val="lowerLetter"/>
      <w:lvlText w:val="(%1)"/>
      <w:lvlJc w:val="left"/>
    </w:lvl>
    <w:lvl w:ilvl="1" w:tplc="AC247D58">
      <w:start w:val="1"/>
      <w:numFmt w:val="lowerRoman"/>
      <w:lvlText w:val="(%2)"/>
      <w:lvlJc w:val="left"/>
    </w:lvl>
    <w:lvl w:ilvl="2" w:tplc="3E5CC07A">
      <w:numFmt w:val="decimal"/>
      <w:lvlText w:val=""/>
      <w:lvlJc w:val="left"/>
    </w:lvl>
    <w:lvl w:ilvl="3" w:tplc="B9CE81AE">
      <w:numFmt w:val="decimal"/>
      <w:lvlText w:val=""/>
      <w:lvlJc w:val="left"/>
    </w:lvl>
    <w:lvl w:ilvl="4" w:tplc="539020DA">
      <w:numFmt w:val="decimal"/>
      <w:lvlText w:val=""/>
      <w:lvlJc w:val="left"/>
    </w:lvl>
    <w:lvl w:ilvl="5" w:tplc="911669B6">
      <w:numFmt w:val="decimal"/>
      <w:lvlText w:val=""/>
      <w:lvlJc w:val="left"/>
    </w:lvl>
    <w:lvl w:ilvl="6" w:tplc="C268A3BA">
      <w:numFmt w:val="decimal"/>
      <w:lvlText w:val=""/>
      <w:lvlJc w:val="left"/>
    </w:lvl>
    <w:lvl w:ilvl="7" w:tplc="C74EA08C">
      <w:numFmt w:val="decimal"/>
      <w:lvlText w:val=""/>
      <w:lvlJc w:val="left"/>
    </w:lvl>
    <w:lvl w:ilvl="8" w:tplc="A0BCB916">
      <w:numFmt w:val="decimal"/>
      <w:lvlText w:val=""/>
      <w:lvlJc w:val="left"/>
    </w:lvl>
  </w:abstractNum>
  <w:abstractNum w:abstractNumId="232" w15:restartNumberingAfterBreak="0">
    <w:nsid w:val="541C8153"/>
    <w:multiLevelType w:val="hybridMultilevel"/>
    <w:tmpl w:val="40FA47D6"/>
    <w:lvl w:ilvl="0" w:tplc="4EE63206">
      <w:start w:val="1"/>
      <w:numFmt w:val="lowerRoman"/>
      <w:lvlText w:val="(%1)"/>
      <w:lvlJc w:val="left"/>
    </w:lvl>
    <w:lvl w:ilvl="1" w:tplc="57108008">
      <w:numFmt w:val="decimal"/>
      <w:lvlText w:val=""/>
      <w:lvlJc w:val="left"/>
    </w:lvl>
    <w:lvl w:ilvl="2" w:tplc="1B4440B4">
      <w:numFmt w:val="decimal"/>
      <w:lvlText w:val=""/>
      <w:lvlJc w:val="left"/>
    </w:lvl>
    <w:lvl w:ilvl="3" w:tplc="B5AAD258">
      <w:numFmt w:val="decimal"/>
      <w:lvlText w:val=""/>
      <w:lvlJc w:val="left"/>
    </w:lvl>
    <w:lvl w:ilvl="4" w:tplc="08AC0348">
      <w:numFmt w:val="decimal"/>
      <w:lvlText w:val=""/>
      <w:lvlJc w:val="left"/>
    </w:lvl>
    <w:lvl w:ilvl="5" w:tplc="536E3E9A">
      <w:numFmt w:val="decimal"/>
      <w:lvlText w:val=""/>
      <w:lvlJc w:val="left"/>
    </w:lvl>
    <w:lvl w:ilvl="6" w:tplc="105038F0">
      <w:numFmt w:val="decimal"/>
      <w:lvlText w:val=""/>
      <w:lvlJc w:val="left"/>
    </w:lvl>
    <w:lvl w:ilvl="7" w:tplc="AFBADDFA">
      <w:numFmt w:val="decimal"/>
      <w:lvlText w:val=""/>
      <w:lvlJc w:val="left"/>
    </w:lvl>
    <w:lvl w:ilvl="8" w:tplc="5566C4C6">
      <w:numFmt w:val="decimal"/>
      <w:lvlText w:val=""/>
      <w:lvlJc w:val="left"/>
    </w:lvl>
  </w:abstractNum>
  <w:abstractNum w:abstractNumId="233" w15:restartNumberingAfterBreak="0">
    <w:nsid w:val="541F28CD"/>
    <w:multiLevelType w:val="hybridMultilevel"/>
    <w:tmpl w:val="1BB2DF48"/>
    <w:lvl w:ilvl="0" w:tplc="90E2D96E">
      <w:start w:val="1"/>
      <w:numFmt w:val="lowerLetter"/>
      <w:lvlText w:val="(%1)"/>
      <w:lvlJc w:val="left"/>
    </w:lvl>
    <w:lvl w:ilvl="1" w:tplc="FAB6E3EC">
      <w:numFmt w:val="decimal"/>
      <w:lvlText w:val=""/>
      <w:lvlJc w:val="left"/>
    </w:lvl>
    <w:lvl w:ilvl="2" w:tplc="7B0010A6">
      <w:numFmt w:val="decimal"/>
      <w:lvlText w:val=""/>
      <w:lvlJc w:val="left"/>
    </w:lvl>
    <w:lvl w:ilvl="3" w:tplc="348EBA70">
      <w:numFmt w:val="decimal"/>
      <w:lvlText w:val=""/>
      <w:lvlJc w:val="left"/>
    </w:lvl>
    <w:lvl w:ilvl="4" w:tplc="E5F44F36">
      <w:numFmt w:val="decimal"/>
      <w:lvlText w:val=""/>
      <w:lvlJc w:val="left"/>
    </w:lvl>
    <w:lvl w:ilvl="5" w:tplc="493ACB2C">
      <w:numFmt w:val="decimal"/>
      <w:lvlText w:val=""/>
      <w:lvlJc w:val="left"/>
    </w:lvl>
    <w:lvl w:ilvl="6" w:tplc="012C533C">
      <w:numFmt w:val="decimal"/>
      <w:lvlText w:val=""/>
      <w:lvlJc w:val="left"/>
    </w:lvl>
    <w:lvl w:ilvl="7" w:tplc="9F925148">
      <w:numFmt w:val="decimal"/>
      <w:lvlText w:val=""/>
      <w:lvlJc w:val="left"/>
    </w:lvl>
    <w:lvl w:ilvl="8" w:tplc="B858859A">
      <w:numFmt w:val="decimal"/>
      <w:lvlText w:val=""/>
      <w:lvlJc w:val="left"/>
    </w:lvl>
  </w:abstractNum>
  <w:abstractNum w:abstractNumId="234" w15:restartNumberingAfterBreak="0">
    <w:nsid w:val="5451CF49"/>
    <w:multiLevelType w:val="hybridMultilevel"/>
    <w:tmpl w:val="ABA688C6"/>
    <w:lvl w:ilvl="0" w:tplc="AD3ECF60">
      <w:start w:val="2"/>
      <w:numFmt w:val="lowerLetter"/>
      <w:lvlText w:val="(%1)"/>
      <w:lvlJc w:val="left"/>
    </w:lvl>
    <w:lvl w:ilvl="1" w:tplc="3940CB7A">
      <w:numFmt w:val="decimal"/>
      <w:lvlText w:val=""/>
      <w:lvlJc w:val="left"/>
    </w:lvl>
    <w:lvl w:ilvl="2" w:tplc="9186505E">
      <w:numFmt w:val="decimal"/>
      <w:lvlText w:val=""/>
      <w:lvlJc w:val="left"/>
    </w:lvl>
    <w:lvl w:ilvl="3" w:tplc="8E887426">
      <w:numFmt w:val="decimal"/>
      <w:lvlText w:val=""/>
      <w:lvlJc w:val="left"/>
    </w:lvl>
    <w:lvl w:ilvl="4" w:tplc="3D3A2778">
      <w:numFmt w:val="decimal"/>
      <w:lvlText w:val=""/>
      <w:lvlJc w:val="left"/>
    </w:lvl>
    <w:lvl w:ilvl="5" w:tplc="96A265B2">
      <w:numFmt w:val="decimal"/>
      <w:lvlText w:val=""/>
      <w:lvlJc w:val="left"/>
    </w:lvl>
    <w:lvl w:ilvl="6" w:tplc="D56075B4">
      <w:numFmt w:val="decimal"/>
      <w:lvlText w:val=""/>
      <w:lvlJc w:val="left"/>
    </w:lvl>
    <w:lvl w:ilvl="7" w:tplc="13E8F784">
      <w:numFmt w:val="decimal"/>
      <w:lvlText w:val=""/>
      <w:lvlJc w:val="left"/>
    </w:lvl>
    <w:lvl w:ilvl="8" w:tplc="4E9C269A">
      <w:numFmt w:val="decimal"/>
      <w:lvlText w:val=""/>
      <w:lvlJc w:val="left"/>
    </w:lvl>
  </w:abstractNum>
  <w:abstractNum w:abstractNumId="235" w15:restartNumberingAfterBreak="0">
    <w:nsid w:val="545EE5D3"/>
    <w:multiLevelType w:val="hybridMultilevel"/>
    <w:tmpl w:val="A2286CB0"/>
    <w:lvl w:ilvl="0" w:tplc="143ED71A">
      <w:start w:val="2"/>
      <w:numFmt w:val="lowerLetter"/>
      <w:lvlText w:val="(%1)"/>
      <w:lvlJc w:val="left"/>
    </w:lvl>
    <w:lvl w:ilvl="1" w:tplc="B246A85E">
      <w:numFmt w:val="decimal"/>
      <w:lvlText w:val=""/>
      <w:lvlJc w:val="left"/>
    </w:lvl>
    <w:lvl w:ilvl="2" w:tplc="CE5C39C6">
      <w:numFmt w:val="decimal"/>
      <w:lvlText w:val=""/>
      <w:lvlJc w:val="left"/>
    </w:lvl>
    <w:lvl w:ilvl="3" w:tplc="B7B2C9A2">
      <w:numFmt w:val="decimal"/>
      <w:lvlText w:val=""/>
      <w:lvlJc w:val="left"/>
    </w:lvl>
    <w:lvl w:ilvl="4" w:tplc="C8E6C4DA">
      <w:numFmt w:val="decimal"/>
      <w:lvlText w:val=""/>
      <w:lvlJc w:val="left"/>
    </w:lvl>
    <w:lvl w:ilvl="5" w:tplc="731C9B86">
      <w:numFmt w:val="decimal"/>
      <w:lvlText w:val=""/>
      <w:lvlJc w:val="left"/>
    </w:lvl>
    <w:lvl w:ilvl="6" w:tplc="EA66DA00">
      <w:numFmt w:val="decimal"/>
      <w:lvlText w:val=""/>
      <w:lvlJc w:val="left"/>
    </w:lvl>
    <w:lvl w:ilvl="7" w:tplc="D6D680D8">
      <w:numFmt w:val="decimal"/>
      <w:lvlText w:val=""/>
      <w:lvlJc w:val="left"/>
    </w:lvl>
    <w:lvl w:ilvl="8" w:tplc="41B8B4BE">
      <w:numFmt w:val="decimal"/>
      <w:lvlText w:val=""/>
      <w:lvlJc w:val="left"/>
    </w:lvl>
  </w:abstractNum>
  <w:abstractNum w:abstractNumId="236" w15:restartNumberingAfterBreak="0">
    <w:nsid w:val="54B59621"/>
    <w:multiLevelType w:val="hybridMultilevel"/>
    <w:tmpl w:val="3EAA80E6"/>
    <w:lvl w:ilvl="0" w:tplc="568ED90C">
      <w:start w:val="1"/>
      <w:numFmt w:val="bullet"/>
      <w:lvlText w:val="•"/>
      <w:lvlJc w:val="left"/>
    </w:lvl>
    <w:lvl w:ilvl="1" w:tplc="4052ED0A">
      <w:numFmt w:val="decimal"/>
      <w:lvlText w:val=""/>
      <w:lvlJc w:val="left"/>
    </w:lvl>
    <w:lvl w:ilvl="2" w:tplc="1E64422A">
      <w:numFmt w:val="decimal"/>
      <w:lvlText w:val=""/>
      <w:lvlJc w:val="left"/>
    </w:lvl>
    <w:lvl w:ilvl="3" w:tplc="926EFB7C">
      <w:numFmt w:val="decimal"/>
      <w:lvlText w:val=""/>
      <w:lvlJc w:val="left"/>
    </w:lvl>
    <w:lvl w:ilvl="4" w:tplc="8F80C0F0">
      <w:numFmt w:val="decimal"/>
      <w:lvlText w:val=""/>
      <w:lvlJc w:val="left"/>
    </w:lvl>
    <w:lvl w:ilvl="5" w:tplc="280A4CCC">
      <w:numFmt w:val="decimal"/>
      <w:lvlText w:val=""/>
      <w:lvlJc w:val="left"/>
    </w:lvl>
    <w:lvl w:ilvl="6" w:tplc="AA565380">
      <w:numFmt w:val="decimal"/>
      <w:lvlText w:val=""/>
      <w:lvlJc w:val="left"/>
    </w:lvl>
    <w:lvl w:ilvl="7" w:tplc="EB8E5AFC">
      <w:numFmt w:val="decimal"/>
      <w:lvlText w:val=""/>
      <w:lvlJc w:val="left"/>
    </w:lvl>
    <w:lvl w:ilvl="8" w:tplc="E30CFA12">
      <w:numFmt w:val="decimal"/>
      <w:lvlText w:val=""/>
      <w:lvlJc w:val="left"/>
    </w:lvl>
  </w:abstractNum>
  <w:abstractNum w:abstractNumId="237" w15:restartNumberingAfterBreak="0">
    <w:nsid w:val="550B8808"/>
    <w:multiLevelType w:val="hybridMultilevel"/>
    <w:tmpl w:val="0166189E"/>
    <w:lvl w:ilvl="0" w:tplc="DFA8EA9A">
      <w:start w:val="35"/>
      <w:numFmt w:val="lowerLetter"/>
      <w:lvlText w:val="(%1)"/>
      <w:lvlJc w:val="left"/>
    </w:lvl>
    <w:lvl w:ilvl="1" w:tplc="B3322E9C">
      <w:start w:val="2"/>
      <w:numFmt w:val="lowerLetter"/>
      <w:lvlText w:val="(%2)"/>
      <w:lvlJc w:val="left"/>
    </w:lvl>
    <w:lvl w:ilvl="2" w:tplc="5C4AEC4C">
      <w:numFmt w:val="decimal"/>
      <w:lvlText w:val=""/>
      <w:lvlJc w:val="left"/>
    </w:lvl>
    <w:lvl w:ilvl="3" w:tplc="B6206172">
      <w:numFmt w:val="decimal"/>
      <w:lvlText w:val=""/>
      <w:lvlJc w:val="left"/>
    </w:lvl>
    <w:lvl w:ilvl="4" w:tplc="D5524592">
      <w:numFmt w:val="decimal"/>
      <w:lvlText w:val=""/>
      <w:lvlJc w:val="left"/>
    </w:lvl>
    <w:lvl w:ilvl="5" w:tplc="853247D8">
      <w:numFmt w:val="decimal"/>
      <w:lvlText w:val=""/>
      <w:lvlJc w:val="left"/>
    </w:lvl>
    <w:lvl w:ilvl="6" w:tplc="9230E7D4">
      <w:numFmt w:val="decimal"/>
      <w:lvlText w:val=""/>
      <w:lvlJc w:val="left"/>
    </w:lvl>
    <w:lvl w:ilvl="7" w:tplc="744866FA">
      <w:numFmt w:val="decimal"/>
      <w:lvlText w:val=""/>
      <w:lvlJc w:val="left"/>
    </w:lvl>
    <w:lvl w:ilvl="8" w:tplc="E5208BFA">
      <w:numFmt w:val="decimal"/>
      <w:lvlText w:val=""/>
      <w:lvlJc w:val="left"/>
    </w:lvl>
  </w:abstractNum>
  <w:abstractNum w:abstractNumId="238" w15:restartNumberingAfterBreak="0">
    <w:nsid w:val="556B69ED"/>
    <w:multiLevelType w:val="hybridMultilevel"/>
    <w:tmpl w:val="21700DEC"/>
    <w:lvl w:ilvl="0" w:tplc="5CF0D02C">
      <w:start w:val="1"/>
      <w:numFmt w:val="decimal"/>
      <w:lvlText w:val="(%1)"/>
      <w:lvlJc w:val="left"/>
    </w:lvl>
    <w:lvl w:ilvl="1" w:tplc="BC327D34">
      <w:start w:val="2"/>
      <w:numFmt w:val="lowerLetter"/>
      <w:lvlText w:val="(%2)"/>
      <w:lvlJc w:val="left"/>
    </w:lvl>
    <w:lvl w:ilvl="2" w:tplc="D09C81DA">
      <w:start w:val="1"/>
      <w:numFmt w:val="upperLetter"/>
      <w:lvlText w:val="(%3)"/>
      <w:lvlJc w:val="left"/>
    </w:lvl>
    <w:lvl w:ilvl="3" w:tplc="1D769998">
      <w:numFmt w:val="decimal"/>
      <w:lvlText w:val=""/>
      <w:lvlJc w:val="left"/>
    </w:lvl>
    <w:lvl w:ilvl="4" w:tplc="C4C2CADA">
      <w:numFmt w:val="decimal"/>
      <w:lvlText w:val=""/>
      <w:lvlJc w:val="left"/>
    </w:lvl>
    <w:lvl w:ilvl="5" w:tplc="8C44B3E6">
      <w:numFmt w:val="decimal"/>
      <w:lvlText w:val=""/>
      <w:lvlJc w:val="left"/>
    </w:lvl>
    <w:lvl w:ilvl="6" w:tplc="0CB0FB92">
      <w:numFmt w:val="decimal"/>
      <w:lvlText w:val=""/>
      <w:lvlJc w:val="left"/>
    </w:lvl>
    <w:lvl w:ilvl="7" w:tplc="B9D6CD14">
      <w:numFmt w:val="decimal"/>
      <w:lvlText w:val=""/>
      <w:lvlJc w:val="left"/>
    </w:lvl>
    <w:lvl w:ilvl="8" w:tplc="F4CE3056">
      <w:numFmt w:val="decimal"/>
      <w:lvlText w:val=""/>
      <w:lvlJc w:val="left"/>
    </w:lvl>
  </w:abstractNum>
  <w:abstractNum w:abstractNumId="239" w15:restartNumberingAfterBreak="0">
    <w:nsid w:val="565976F1"/>
    <w:multiLevelType w:val="hybridMultilevel"/>
    <w:tmpl w:val="369209B2"/>
    <w:lvl w:ilvl="0" w:tplc="38162A84">
      <w:start w:val="2"/>
      <w:numFmt w:val="lowerLetter"/>
      <w:lvlText w:val="(%1)"/>
      <w:lvlJc w:val="left"/>
    </w:lvl>
    <w:lvl w:ilvl="1" w:tplc="927AF0F8">
      <w:numFmt w:val="decimal"/>
      <w:lvlText w:val=""/>
      <w:lvlJc w:val="left"/>
    </w:lvl>
    <w:lvl w:ilvl="2" w:tplc="0DA830F0">
      <w:numFmt w:val="decimal"/>
      <w:lvlText w:val=""/>
      <w:lvlJc w:val="left"/>
    </w:lvl>
    <w:lvl w:ilvl="3" w:tplc="D7AA3BF2">
      <w:numFmt w:val="decimal"/>
      <w:lvlText w:val=""/>
      <w:lvlJc w:val="left"/>
    </w:lvl>
    <w:lvl w:ilvl="4" w:tplc="13BE9F50">
      <w:numFmt w:val="decimal"/>
      <w:lvlText w:val=""/>
      <w:lvlJc w:val="left"/>
    </w:lvl>
    <w:lvl w:ilvl="5" w:tplc="2AEC24E4">
      <w:numFmt w:val="decimal"/>
      <w:lvlText w:val=""/>
      <w:lvlJc w:val="left"/>
    </w:lvl>
    <w:lvl w:ilvl="6" w:tplc="A9B63D92">
      <w:numFmt w:val="decimal"/>
      <w:lvlText w:val=""/>
      <w:lvlJc w:val="left"/>
    </w:lvl>
    <w:lvl w:ilvl="7" w:tplc="89DC3360">
      <w:numFmt w:val="decimal"/>
      <w:lvlText w:val=""/>
      <w:lvlJc w:val="left"/>
    </w:lvl>
    <w:lvl w:ilvl="8" w:tplc="53A2F4AE">
      <w:numFmt w:val="decimal"/>
      <w:lvlText w:val=""/>
      <w:lvlJc w:val="left"/>
    </w:lvl>
  </w:abstractNum>
  <w:abstractNum w:abstractNumId="240" w15:restartNumberingAfterBreak="0">
    <w:nsid w:val="567BD50A"/>
    <w:multiLevelType w:val="hybridMultilevel"/>
    <w:tmpl w:val="FD0EB792"/>
    <w:lvl w:ilvl="0" w:tplc="ED94C5F0">
      <w:start w:val="1"/>
      <w:numFmt w:val="lowerLetter"/>
      <w:lvlText w:val="(%1)"/>
      <w:lvlJc w:val="left"/>
    </w:lvl>
    <w:lvl w:ilvl="1" w:tplc="180A7FBC">
      <w:start w:val="9"/>
      <w:numFmt w:val="lowerLetter"/>
      <w:lvlText w:val="(%2)"/>
      <w:lvlJc w:val="left"/>
    </w:lvl>
    <w:lvl w:ilvl="2" w:tplc="D018A120">
      <w:numFmt w:val="decimal"/>
      <w:lvlText w:val=""/>
      <w:lvlJc w:val="left"/>
    </w:lvl>
    <w:lvl w:ilvl="3" w:tplc="AF0E4BEE">
      <w:numFmt w:val="decimal"/>
      <w:lvlText w:val=""/>
      <w:lvlJc w:val="left"/>
    </w:lvl>
    <w:lvl w:ilvl="4" w:tplc="57560B88">
      <w:numFmt w:val="decimal"/>
      <w:lvlText w:val=""/>
      <w:lvlJc w:val="left"/>
    </w:lvl>
    <w:lvl w:ilvl="5" w:tplc="E4D2FE8A">
      <w:numFmt w:val="decimal"/>
      <w:lvlText w:val=""/>
      <w:lvlJc w:val="left"/>
    </w:lvl>
    <w:lvl w:ilvl="6" w:tplc="98EE61F4">
      <w:numFmt w:val="decimal"/>
      <w:lvlText w:val=""/>
      <w:lvlJc w:val="left"/>
    </w:lvl>
    <w:lvl w:ilvl="7" w:tplc="43C2F98A">
      <w:numFmt w:val="decimal"/>
      <w:lvlText w:val=""/>
      <w:lvlJc w:val="left"/>
    </w:lvl>
    <w:lvl w:ilvl="8" w:tplc="C548E558">
      <w:numFmt w:val="decimal"/>
      <w:lvlText w:val=""/>
      <w:lvlJc w:val="left"/>
    </w:lvl>
  </w:abstractNum>
  <w:abstractNum w:abstractNumId="241" w15:restartNumberingAfterBreak="0">
    <w:nsid w:val="569951FE"/>
    <w:multiLevelType w:val="hybridMultilevel"/>
    <w:tmpl w:val="2124C1A4"/>
    <w:lvl w:ilvl="0" w:tplc="5A525A7E">
      <w:start w:val="1"/>
      <w:numFmt w:val="decimal"/>
      <w:lvlText w:val="(%1)"/>
      <w:lvlJc w:val="left"/>
    </w:lvl>
    <w:lvl w:ilvl="1" w:tplc="17E06E14">
      <w:numFmt w:val="decimal"/>
      <w:lvlText w:val=""/>
      <w:lvlJc w:val="left"/>
    </w:lvl>
    <w:lvl w:ilvl="2" w:tplc="6AA6C704">
      <w:numFmt w:val="decimal"/>
      <w:lvlText w:val=""/>
      <w:lvlJc w:val="left"/>
    </w:lvl>
    <w:lvl w:ilvl="3" w:tplc="6770C764">
      <w:numFmt w:val="decimal"/>
      <w:lvlText w:val=""/>
      <w:lvlJc w:val="left"/>
    </w:lvl>
    <w:lvl w:ilvl="4" w:tplc="02B429EC">
      <w:numFmt w:val="decimal"/>
      <w:lvlText w:val=""/>
      <w:lvlJc w:val="left"/>
    </w:lvl>
    <w:lvl w:ilvl="5" w:tplc="BE98473A">
      <w:numFmt w:val="decimal"/>
      <w:lvlText w:val=""/>
      <w:lvlJc w:val="left"/>
    </w:lvl>
    <w:lvl w:ilvl="6" w:tplc="FC6C79C6">
      <w:numFmt w:val="decimal"/>
      <w:lvlText w:val=""/>
      <w:lvlJc w:val="left"/>
    </w:lvl>
    <w:lvl w:ilvl="7" w:tplc="3B766CA6">
      <w:numFmt w:val="decimal"/>
      <w:lvlText w:val=""/>
      <w:lvlJc w:val="left"/>
    </w:lvl>
    <w:lvl w:ilvl="8" w:tplc="8356FA98">
      <w:numFmt w:val="decimal"/>
      <w:lvlText w:val=""/>
      <w:lvlJc w:val="left"/>
    </w:lvl>
  </w:abstractNum>
  <w:abstractNum w:abstractNumId="242" w15:restartNumberingAfterBreak="0">
    <w:nsid w:val="56C28E34"/>
    <w:multiLevelType w:val="hybridMultilevel"/>
    <w:tmpl w:val="43F0BEC0"/>
    <w:lvl w:ilvl="0" w:tplc="7132E67A">
      <w:start w:val="1"/>
      <w:numFmt w:val="lowerLetter"/>
      <w:lvlText w:val="(%1)"/>
      <w:lvlJc w:val="left"/>
    </w:lvl>
    <w:lvl w:ilvl="1" w:tplc="80AE0920">
      <w:numFmt w:val="decimal"/>
      <w:lvlText w:val=""/>
      <w:lvlJc w:val="left"/>
    </w:lvl>
    <w:lvl w:ilvl="2" w:tplc="94AAE18A">
      <w:numFmt w:val="decimal"/>
      <w:lvlText w:val=""/>
      <w:lvlJc w:val="left"/>
    </w:lvl>
    <w:lvl w:ilvl="3" w:tplc="26D05E6E">
      <w:numFmt w:val="decimal"/>
      <w:lvlText w:val=""/>
      <w:lvlJc w:val="left"/>
    </w:lvl>
    <w:lvl w:ilvl="4" w:tplc="4100F52C">
      <w:numFmt w:val="decimal"/>
      <w:lvlText w:val=""/>
      <w:lvlJc w:val="left"/>
    </w:lvl>
    <w:lvl w:ilvl="5" w:tplc="61045A62">
      <w:numFmt w:val="decimal"/>
      <w:lvlText w:val=""/>
      <w:lvlJc w:val="left"/>
    </w:lvl>
    <w:lvl w:ilvl="6" w:tplc="B420BABA">
      <w:numFmt w:val="decimal"/>
      <w:lvlText w:val=""/>
      <w:lvlJc w:val="left"/>
    </w:lvl>
    <w:lvl w:ilvl="7" w:tplc="269EBF28">
      <w:numFmt w:val="decimal"/>
      <w:lvlText w:val=""/>
      <w:lvlJc w:val="left"/>
    </w:lvl>
    <w:lvl w:ilvl="8" w:tplc="09602BCA">
      <w:numFmt w:val="decimal"/>
      <w:lvlText w:val=""/>
      <w:lvlJc w:val="left"/>
    </w:lvl>
  </w:abstractNum>
  <w:abstractNum w:abstractNumId="243" w15:restartNumberingAfterBreak="0">
    <w:nsid w:val="57C5BB4F"/>
    <w:multiLevelType w:val="hybridMultilevel"/>
    <w:tmpl w:val="084810D8"/>
    <w:lvl w:ilvl="0" w:tplc="6E04FD86">
      <w:start w:val="4"/>
      <w:numFmt w:val="lowerLetter"/>
      <w:lvlText w:val="(%1)"/>
      <w:lvlJc w:val="left"/>
    </w:lvl>
    <w:lvl w:ilvl="1" w:tplc="B0788D48">
      <w:numFmt w:val="decimal"/>
      <w:lvlText w:val=""/>
      <w:lvlJc w:val="left"/>
    </w:lvl>
    <w:lvl w:ilvl="2" w:tplc="8A64BC76">
      <w:numFmt w:val="decimal"/>
      <w:lvlText w:val=""/>
      <w:lvlJc w:val="left"/>
    </w:lvl>
    <w:lvl w:ilvl="3" w:tplc="B2529168">
      <w:numFmt w:val="decimal"/>
      <w:lvlText w:val=""/>
      <w:lvlJc w:val="left"/>
    </w:lvl>
    <w:lvl w:ilvl="4" w:tplc="A746A222">
      <w:numFmt w:val="decimal"/>
      <w:lvlText w:val=""/>
      <w:lvlJc w:val="left"/>
    </w:lvl>
    <w:lvl w:ilvl="5" w:tplc="9C0C1F9E">
      <w:numFmt w:val="decimal"/>
      <w:lvlText w:val=""/>
      <w:lvlJc w:val="left"/>
    </w:lvl>
    <w:lvl w:ilvl="6" w:tplc="428C7136">
      <w:numFmt w:val="decimal"/>
      <w:lvlText w:val=""/>
      <w:lvlJc w:val="left"/>
    </w:lvl>
    <w:lvl w:ilvl="7" w:tplc="878A5ED4">
      <w:numFmt w:val="decimal"/>
      <w:lvlText w:val=""/>
      <w:lvlJc w:val="left"/>
    </w:lvl>
    <w:lvl w:ilvl="8" w:tplc="563A75CC">
      <w:numFmt w:val="decimal"/>
      <w:lvlText w:val=""/>
      <w:lvlJc w:val="left"/>
    </w:lvl>
  </w:abstractNum>
  <w:abstractNum w:abstractNumId="244" w15:restartNumberingAfterBreak="0">
    <w:nsid w:val="57CE66B4"/>
    <w:multiLevelType w:val="hybridMultilevel"/>
    <w:tmpl w:val="9EFEF860"/>
    <w:lvl w:ilvl="0" w:tplc="38B0371C">
      <w:start w:val="1"/>
      <w:numFmt w:val="lowerLetter"/>
      <w:lvlText w:val="(%1)"/>
      <w:lvlJc w:val="left"/>
    </w:lvl>
    <w:lvl w:ilvl="1" w:tplc="9956E128">
      <w:numFmt w:val="decimal"/>
      <w:lvlText w:val=""/>
      <w:lvlJc w:val="left"/>
    </w:lvl>
    <w:lvl w:ilvl="2" w:tplc="7498715A">
      <w:numFmt w:val="decimal"/>
      <w:lvlText w:val=""/>
      <w:lvlJc w:val="left"/>
    </w:lvl>
    <w:lvl w:ilvl="3" w:tplc="FF5029A0">
      <w:numFmt w:val="decimal"/>
      <w:lvlText w:val=""/>
      <w:lvlJc w:val="left"/>
    </w:lvl>
    <w:lvl w:ilvl="4" w:tplc="635AE6FC">
      <w:numFmt w:val="decimal"/>
      <w:lvlText w:val=""/>
      <w:lvlJc w:val="left"/>
    </w:lvl>
    <w:lvl w:ilvl="5" w:tplc="FD4290C0">
      <w:numFmt w:val="decimal"/>
      <w:lvlText w:val=""/>
      <w:lvlJc w:val="left"/>
    </w:lvl>
    <w:lvl w:ilvl="6" w:tplc="AF0296F8">
      <w:numFmt w:val="decimal"/>
      <w:lvlText w:val=""/>
      <w:lvlJc w:val="left"/>
    </w:lvl>
    <w:lvl w:ilvl="7" w:tplc="47B0BA30">
      <w:numFmt w:val="decimal"/>
      <w:lvlText w:val=""/>
      <w:lvlJc w:val="left"/>
    </w:lvl>
    <w:lvl w:ilvl="8" w:tplc="58DE99F0">
      <w:numFmt w:val="decimal"/>
      <w:lvlText w:val=""/>
      <w:lvlJc w:val="left"/>
    </w:lvl>
  </w:abstractNum>
  <w:abstractNum w:abstractNumId="245" w15:restartNumberingAfterBreak="0">
    <w:nsid w:val="5895F5FA"/>
    <w:multiLevelType w:val="hybridMultilevel"/>
    <w:tmpl w:val="9E5CD934"/>
    <w:lvl w:ilvl="0" w:tplc="616268DC">
      <w:start w:val="8"/>
      <w:numFmt w:val="lowerLetter"/>
      <w:lvlText w:val="(%1)"/>
      <w:lvlJc w:val="left"/>
    </w:lvl>
    <w:lvl w:ilvl="1" w:tplc="2BD04AAE">
      <w:numFmt w:val="decimal"/>
      <w:lvlText w:val=""/>
      <w:lvlJc w:val="left"/>
    </w:lvl>
    <w:lvl w:ilvl="2" w:tplc="7F50C110">
      <w:numFmt w:val="decimal"/>
      <w:lvlText w:val=""/>
      <w:lvlJc w:val="left"/>
    </w:lvl>
    <w:lvl w:ilvl="3" w:tplc="39E8CF62">
      <w:numFmt w:val="decimal"/>
      <w:lvlText w:val=""/>
      <w:lvlJc w:val="left"/>
    </w:lvl>
    <w:lvl w:ilvl="4" w:tplc="6DCCC2C4">
      <w:numFmt w:val="decimal"/>
      <w:lvlText w:val=""/>
      <w:lvlJc w:val="left"/>
    </w:lvl>
    <w:lvl w:ilvl="5" w:tplc="95BA89F0">
      <w:numFmt w:val="decimal"/>
      <w:lvlText w:val=""/>
      <w:lvlJc w:val="left"/>
    </w:lvl>
    <w:lvl w:ilvl="6" w:tplc="3682A916">
      <w:numFmt w:val="decimal"/>
      <w:lvlText w:val=""/>
      <w:lvlJc w:val="left"/>
    </w:lvl>
    <w:lvl w:ilvl="7" w:tplc="601EB5FE">
      <w:numFmt w:val="decimal"/>
      <w:lvlText w:val=""/>
      <w:lvlJc w:val="left"/>
    </w:lvl>
    <w:lvl w:ilvl="8" w:tplc="824897D4">
      <w:numFmt w:val="decimal"/>
      <w:lvlText w:val=""/>
      <w:lvlJc w:val="left"/>
    </w:lvl>
  </w:abstractNum>
  <w:abstractNum w:abstractNumId="246" w15:restartNumberingAfterBreak="0">
    <w:nsid w:val="5953172F"/>
    <w:multiLevelType w:val="hybridMultilevel"/>
    <w:tmpl w:val="6DE09462"/>
    <w:lvl w:ilvl="0" w:tplc="03B485CE">
      <w:start w:val="1"/>
      <w:numFmt w:val="upperLetter"/>
      <w:lvlText w:val="(%1)"/>
      <w:lvlJc w:val="left"/>
    </w:lvl>
    <w:lvl w:ilvl="1" w:tplc="BA221A34">
      <w:start w:val="3"/>
      <w:numFmt w:val="lowerLetter"/>
      <w:lvlText w:val="(%2)"/>
      <w:lvlJc w:val="left"/>
    </w:lvl>
    <w:lvl w:ilvl="2" w:tplc="9796E088">
      <w:start w:val="3"/>
      <w:numFmt w:val="lowerLetter"/>
      <w:lvlText w:val="(%3)"/>
      <w:lvlJc w:val="left"/>
    </w:lvl>
    <w:lvl w:ilvl="3" w:tplc="4EF6C950">
      <w:start w:val="1"/>
      <w:numFmt w:val="lowerRoman"/>
      <w:lvlText w:val="(%4)"/>
      <w:lvlJc w:val="left"/>
    </w:lvl>
    <w:lvl w:ilvl="4" w:tplc="A4C0D5A0">
      <w:numFmt w:val="decimal"/>
      <w:lvlText w:val=""/>
      <w:lvlJc w:val="left"/>
    </w:lvl>
    <w:lvl w:ilvl="5" w:tplc="F5AA231C">
      <w:numFmt w:val="decimal"/>
      <w:lvlText w:val=""/>
      <w:lvlJc w:val="left"/>
    </w:lvl>
    <w:lvl w:ilvl="6" w:tplc="342E338A">
      <w:numFmt w:val="decimal"/>
      <w:lvlText w:val=""/>
      <w:lvlJc w:val="left"/>
    </w:lvl>
    <w:lvl w:ilvl="7" w:tplc="9E1C35EA">
      <w:numFmt w:val="decimal"/>
      <w:lvlText w:val=""/>
      <w:lvlJc w:val="left"/>
    </w:lvl>
    <w:lvl w:ilvl="8" w:tplc="A2F2BA10">
      <w:numFmt w:val="decimal"/>
      <w:lvlText w:val=""/>
      <w:lvlJc w:val="left"/>
    </w:lvl>
  </w:abstractNum>
  <w:abstractNum w:abstractNumId="247" w15:restartNumberingAfterBreak="0">
    <w:nsid w:val="5992A02E"/>
    <w:multiLevelType w:val="hybridMultilevel"/>
    <w:tmpl w:val="4F3AD856"/>
    <w:lvl w:ilvl="0" w:tplc="052A8CDC">
      <w:start w:val="1"/>
      <w:numFmt w:val="bullet"/>
      <w:lvlText w:val="•"/>
      <w:lvlJc w:val="left"/>
    </w:lvl>
    <w:lvl w:ilvl="1" w:tplc="804E9C10">
      <w:numFmt w:val="decimal"/>
      <w:lvlText w:val=""/>
      <w:lvlJc w:val="left"/>
    </w:lvl>
    <w:lvl w:ilvl="2" w:tplc="BEFE9F04">
      <w:numFmt w:val="decimal"/>
      <w:lvlText w:val=""/>
      <w:lvlJc w:val="left"/>
    </w:lvl>
    <w:lvl w:ilvl="3" w:tplc="C3202A90">
      <w:numFmt w:val="decimal"/>
      <w:lvlText w:val=""/>
      <w:lvlJc w:val="left"/>
    </w:lvl>
    <w:lvl w:ilvl="4" w:tplc="3376A9FE">
      <w:numFmt w:val="decimal"/>
      <w:lvlText w:val=""/>
      <w:lvlJc w:val="left"/>
    </w:lvl>
    <w:lvl w:ilvl="5" w:tplc="E088603C">
      <w:numFmt w:val="decimal"/>
      <w:lvlText w:val=""/>
      <w:lvlJc w:val="left"/>
    </w:lvl>
    <w:lvl w:ilvl="6" w:tplc="7A4C22BA">
      <w:numFmt w:val="decimal"/>
      <w:lvlText w:val=""/>
      <w:lvlJc w:val="left"/>
    </w:lvl>
    <w:lvl w:ilvl="7" w:tplc="8334D862">
      <w:numFmt w:val="decimal"/>
      <w:lvlText w:val=""/>
      <w:lvlJc w:val="left"/>
    </w:lvl>
    <w:lvl w:ilvl="8" w:tplc="CB18F730">
      <w:numFmt w:val="decimal"/>
      <w:lvlText w:val=""/>
      <w:lvlJc w:val="left"/>
    </w:lvl>
  </w:abstractNum>
  <w:abstractNum w:abstractNumId="248" w15:restartNumberingAfterBreak="0">
    <w:nsid w:val="59A377B6"/>
    <w:multiLevelType w:val="hybridMultilevel"/>
    <w:tmpl w:val="D2942EC4"/>
    <w:lvl w:ilvl="0" w:tplc="82DE04A0">
      <w:start w:val="1"/>
      <w:numFmt w:val="lowerLetter"/>
      <w:lvlText w:val="(%1)"/>
      <w:lvlJc w:val="left"/>
    </w:lvl>
    <w:lvl w:ilvl="1" w:tplc="CD70FCDA">
      <w:start w:val="1"/>
      <w:numFmt w:val="lowerRoman"/>
      <w:lvlText w:val="(%2)"/>
      <w:lvlJc w:val="left"/>
    </w:lvl>
    <w:lvl w:ilvl="2" w:tplc="F318A8C6">
      <w:numFmt w:val="decimal"/>
      <w:lvlText w:val=""/>
      <w:lvlJc w:val="left"/>
    </w:lvl>
    <w:lvl w:ilvl="3" w:tplc="39920D80">
      <w:numFmt w:val="decimal"/>
      <w:lvlText w:val=""/>
      <w:lvlJc w:val="left"/>
    </w:lvl>
    <w:lvl w:ilvl="4" w:tplc="33687EA6">
      <w:numFmt w:val="decimal"/>
      <w:lvlText w:val=""/>
      <w:lvlJc w:val="left"/>
    </w:lvl>
    <w:lvl w:ilvl="5" w:tplc="0C625F12">
      <w:numFmt w:val="decimal"/>
      <w:lvlText w:val=""/>
      <w:lvlJc w:val="left"/>
    </w:lvl>
    <w:lvl w:ilvl="6" w:tplc="9AD0ACAC">
      <w:numFmt w:val="decimal"/>
      <w:lvlText w:val=""/>
      <w:lvlJc w:val="left"/>
    </w:lvl>
    <w:lvl w:ilvl="7" w:tplc="B6045472">
      <w:numFmt w:val="decimal"/>
      <w:lvlText w:val=""/>
      <w:lvlJc w:val="left"/>
    </w:lvl>
    <w:lvl w:ilvl="8" w:tplc="3304AE18">
      <w:numFmt w:val="decimal"/>
      <w:lvlText w:val=""/>
      <w:lvlJc w:val="left"/>
    </w:lvl>
  </w:abstractNum>
  <w:abstractNum w:abstractNumId="249" w15:restartNumberingAfterBreak="0">
    <w:nsid w:val="59B76E28"/>
    <w:multiLevelType w:val="hybridMultilevel"/>
    <w:tmpl w:val="A4A01A80"/>
    <w:lvl w:ilvl="0" w:tplc="2578B982">
      <w:start w:val="1"/>
      <w:numFmt w:val="lowerLetter"/>
      <w:lvlText w:val="(%1)"/>
      <w:lvlJc w:val="left"/>
    </w:lvl>
    <w:lvl w:ilvl="1" w:tplc="2D707CC0">
      <w:numFmt w:val="decimal"/>
      <w:lvlText w:val=""/>
      <w:lvlJc w:val="left"/>
    </w:lvl>
    <w:lvl w:ilvl="2" w:tplc="696E18F4">
      <w:numFmt w:val="decimal"/>
      <w:lvlText w:val=""/>
      <w:lvlJc w:val="left"/>
    </w:lvl>
    <w:lvl w:ilvl="3" w:tplc="B45E0F26">
      <w:numFmt w:val="decimal"/>
      <w:lvlText w:val=""/>
      <w:lvlJc w:val="left"/>
    </w:lvl>
    <w:lvl w:ilvl="4" w:tplc="6DCA6C8C">
      <w:numFmt w:val="decimal"/>
      <w:lvlText w:val=""/>
      <w:lvlJc w:val="left"/>
    </w:lvl>
    <w:lvl w:ilvl="5" w:tplc="9EE8CF3C">
      <w:numFmt w:val="decimal"/>
      <w:lvlText w:val=""/>
      <w:lvlJc w:val="left"/>
    </w:lvl>
    <w:lvl w:ilvl="6" w:tplc="CD025F0A">
      <w:numFmt w:val="decimal"/>
      <w:lvlText w:val=""/>
      <w:lvlJc w:val="left"/>
    </w:lvl>
    <w:lvl w:ilvl="7" w:tplc="7BA6F0FA">
      <w:numFmt w:val="decimal"/>
      <w:lvlText w:val=""/>
      <w:lvlJc w:val="left"/>
    </w:lvl>
    <w:lvl w:ilvl="8" w:tplc="4EAC9030">
      <w:numFmt w:val="decimal"/>
      <w:lvlText w:val=""/>
      <w:lvlJc w:val="left"/>
    </w:lvl>
  </w:abstractNum>
  <w:abstractNum w:abstractNumId="250" w15:restartNumberingAfterBreak="0">
    <w:nsid w:val="5A606509"/>
    <w:multiLevelType w:val="hybridMultilevel"/>
    <w:tmpl w:val="041CF6D6"/>
    <w:lvl w:ilvl="0" w:tplc="2B7EDB1A">
      <w:start w:val="2"/>
      <w:numFmt w:val="lowerLetter"/>
      <w:lvlText w:val="(%1)"/>
      <w:lvlJc w:val="left"/>
    </w:lvl>
    <w:lvl w:ilvl="1" w:tplc="03A07A86">
      <w:start w:val="9"/>
      <w:numFmt w:val="lowerLetter"/>
      <w:lvlText w:val="(%2)"/>
      <w:lvlJc w:val="left"/>
    </w:lvl>
    <w:lvl w:ilvl="2" w:tplc="D910DA20">
      <w:numFmt w:val="decimal"/>
      <w:lvlText w:val=""/>
      <w:lvlJc w:val="left"/>
    </w:lvl>
    <w:lvl w:ilvl="3" w:tplc="8E54AD16">
      <w:numFmt w:val="decimal"/>
      <w:lvlText w:val=""/>
      <w:lvlJc w:val="left"/>
    </w:lvl>
    <w:lvl w:ilvl="4" w:tplc="AD30B9A6">
      <w:numFmt w:val="decimal"/>
      <w:lvlText w:val=""/>
      <w:lvlJc w:val="left"/>
    </w:lvl>
    <w:lvl w:ilvl="5" w:tplc="854C1EF8">
      <w:numFmt w:val="decimal"/>
      <w:lvlText w:val=""/>
      <w:lvlJc w:val="left"/>
    </w:lvl>
    <w:lvl w:ilvl="6" w:tplc="548A96D6">
      <w:numFmt w:val="decimal"/>
      <w:lvlText w:val=""/>
      <w:lvlJc w:val="left"/>
    </w:lvl>
    <w:lvl w:ilvl="7" w:tplc="004E320C">
      <w:numFmt w:val="decimal"/>
      <w:lvlText w:val=""/>
      <w:lvlJc w:val="left"/>
    </w:lvl>
    <w:lvl w:ilvl="8" w:tplc="85C0B9E6">
      <w:numFmt w:val="decimal"/>
      <w:lvlText w:val=""/>
      <w:lvlJc w:val="left"/>
    </w:lvl>
  </w:abstractNum>
  <w:abstractNum w:abstractNumId="251" w15:restartNumberingAfterBreak="0">
    <w:nsid w:val="5A9CC3E5"/>
    <w:multiLevelType w:val="hybridMultilevel"/>
    <w:tmpl w:val="BC3AA40C"/>
    <w:lvl w:ilvl="0" w:tplc="0EA42132">
      <w:start w:val="3"/>
      <w:numFmt w:val="lowerLetter"/>
      <w:lvlText w:val="(%1)"/>
      <w:lvlJc w:val="left"/>
    </w:lvl>
    <w:lvl w:ilvl="1" w:tplc="D02E2538">
      <w:numFmt w:val="decimal"/>
      <w:lvlText w:val=""/>
      <w:lvlJc w:val="left"/>
    </w:lvl>
    <w:lvl w:ilvl="2" w:tplc="5F825704">
      <w:numFmt w:val="decimal"/>
      <w:lvlText w:val=""/>
      <w:lvlJc w:val="left"/>
    </w:lvl>
    <w:lvl w:ilvl="3" w:tplc="AD84288C">
      <w:numFmt w:val="decimal"/>
      <w:lvlText w:val=""/>
      <w:lvlJc w:val="left"/>
    </w:lvl>
    <w:lvl w:ilvl="4" w:tplc="F4504DBA">
      <w:numFmt w:val="decimal"/>
      <w:lvlText w:val=""/>
      <w:lvlJc w:val="left"/>
    </w:lvl>
    <w:lvl w:ilvl="5" w:tplc="4CC20236">
      <w:numFmt w:val="decimal"/>
      <w:lvlText w:val=""/>
      <w:lvlJc w:val="left"/>
    </w:lvl>
    <w:lvl w:ilvl="6" w:tplc="2B1E8CDE">
      <w:numFmt w:val="decimal"/>
      <w:lvlText w:val=""/>
      <w:lvlJc w:val="left"/>
    </w:lvl>
    <w:lvl w:ilvl="7" w:tplc="84AEAED2">
      <w:numFmt w:val="decimal"/>
      <w:lvlText w:val=""/>
      <w:lvlJc w:val="left"/>
    </w:lvl>
    <w:lvl w:ilvl="8" w:tplc="1D9683A4">
      <w:numFmt w:val="decimal"/>
      <w:lvlText w:val=""/>
      <w:lvlJc w:val="left"/>
    </w:lvl>
  </w:abstractNum>
  <w:abstractNum w:abstractNumId="252" w15:restartNumberingAfterBreak="0">
    <w:nsid w:val="5BDA35D4"/>
    <w:multiLevelType w:val="hybridMultilevel"/>
    <w:tmpl w:val="6730F548"/>
    <w:lvl w:ilvl="0" w:tplc="78FE080C">
      <w:start w:val="1"/>
      <w:numFmt w:val="upperLetter"/>
      <w:lvlText w:val="%1:"/>
      <w:lvlJc w:val="left"/>
    </w:lvl>
    <w:lvl w:ilvl="1" w:tplc="03203380">
      <w:numFmt w:val="decimal"/>
      <w:lvlText w:val=""/>
      <w:lvlJc w:val="left"/>
    </w:lvl>
    <w:lvl w:ilvl="2" w:tplc="0BB200D4">
      <w:numFmt w:val="decimal"/>
      <w:lvlText w:val=""/>
      <w:lvlJc w:val="left"/>
    </w:lvl>
    <w:lvl w:ilvl="3" w:tplc="30742852">
      <w:numFmt w:val="decimal"/>
      <w:lvlText w:val=""/>
      <w:lvlJc w:val="left"/>
    </w:lvl>
    <w:lvl w:ilvl="4" w:tplc="2B140D48">
      <w:numFmt w:val="decimal"/>
      <w:lvlText w:val=""/>
      <w:lvlJc w:val="left"/>
    </w:lvl>
    <w:lvl w:ilvl="5" w:tplc="021C3364">
      <w:numFmt w:val="decimal"/>
      <w:lvlText w:val=""/>
      <w:lvlJc w:val="left"/>
    </w:lvl>
    <w:lvl w:ilvl="6" w:tplc="E542D8B2">
      <w:numFmt w:val="decimal"/>
      <w:lvlText w:val=""/>
      <w:lvlJc w:val="left"/>
    </w:lvl>
    <w:lvl w:ilvl="7" w:tplc="D870F202">
      <w:numFmt w:val="decimal"/>
      <w:lvlText w:val=""/>
      <w:lvlJc w:val="left"/>
    </w:lvl>
    <w:lvl w:ilvl="8" w:tplc="F19688A8">
      <w:numFmt w:val="decimal"/>
      <w:lvlText w:val=""/>
      <w:lvlJc w:val="left"/>
    </w:lvl>
  </w:abstractNum>
  <w:abstractNum w:abstractNumId="253" w15:restartNumberingAfterBreak="0">
    <w:nsid w:val="5BFD4210"/>
    <w:multiLevelType w:val="hybridMultilevel"/>
    <w:tmpl w:val="8C58AB58"/>
    <w:lvl w:ilvl="0" w:tplc="CAE68CB4">
      <w:start w:val="1"/>
      <w:numFmt w:val="bullet"/>
      <w:lvlText w:val="•"/>
      <w:lvlJc w:val="left"/>
    </w:lvl>
    <w:lvl w:ilvl="1" w:tplc="73563652">
      <w:numFmt w:val="decimal"/>
      <w:lvlText w:val=""/>
      <w:lvlJc w:val="left"/>
    </w:lvl>
    <w:lvl w:ilvl="2" w:tplc="6A8627BA">
      <w:numFmt w:val="decimal"/>
      <w:lvlText w:val=""/>
      <w:lvlJc w:val="left"/>
    </w:lvl>
    <w:lvl w:ilvl="3" w:tplc="561248C6">
      <w:numFmt w:val="decimal"/>
      <w:lvlText w:val=""/>
      <w:lvlJc w:val="left"/>
    </w:lvl>
    <w:lvl w:ilvl="4" w:tplc="5DF05466">
      <w:numFmt w:val="decimal"/>
      <w:lvlText w:val=""/>
      <w:lvlJc w:val="left"/>
    </w:lvl>
    <w:lvl w:ilvl="5" w:tplc="40FED3A4">
      <w:numFmt w:val="decimal"/>
      <w:lvlText w:val=""/>
      <w:lvlJc w:val="left"/>
    </w:lvl>
    <w:lvl w:ilvl="6" w:tplc="B38EC8F0">
      <w:numFmt w:val="decimal"/>
      <w:lvlText w:val=""/>
      <w:lvlJc w:val="left"/>
    </w:lvl>
    <w:lvl w:ilvl="7" w:tplc="4CC6DE4A">
      <w:numFmt w:val="decimal"/>
      <w:lvlText w:val=""/>
      <w:lvlJc w:val="left"/>
    </w:lvl>
    <w:lvl w:ilvl="8" w:tplc="7EFE4D94">
      <w:numFmt w:val="decimal"/>
      <w:lvlText w:val=""/>
      <w:lvlJc w:val="left"/>
    </w:lvl>
  </w:abstractNum>
  <w:abstractNum w:abstractNumId="254" w15:restartNumberingAfterBreak="0">
    <w:nsid w:val="5C03D76D"/>
    <w:multiLevelType w:val="hybridMultilevel"/>
    <w:tmpl w:val="2D046C7E"/>
    <w:lvl w:ilvl="0" w:tplc="AC70D058">
      <w:start w:val="3"/>
      <w:numFmt w:val="lowerLetter"/>
      <w:lvlText w:val="(%1)"/>
      <w:lvlJc w:val="left"/>
    </w:lvl>
    <w:lvl w:ilvl="1" w:tplc="509E294C">
      <w:numFmt w:val="decimal"/>
      <w:lvlText w:val=""/>
      <w:lvlJc w:val="left"/>
    </w:lvl>
    <w:lvl w:ilvl="2" w:tplc="9144730E">
      <w:numFmt w:val="decimal"/>
      <w:lvlText w:val=""/>
      <w:lvlJc w:val="left"/>
    </w:lvl>
    <w:lvl w:ilvl="3" w:tplc="6B0C4A7A">
      <w:numFmt w:val="decimal"/>
      <w:lvlText w:val=""/>
      <w:lvlJc w:val="left"/>
    </w:lvl>
    <w:lvl w:ilvl="4" w:tplc="B5E6EA3C">
      <w:numFmt w:val="decimal"/>
      <w:lvlText w:val=""/>
      <w:lvlJc w:val="left"/>
    </w:lvl>
    <w:lvl w:ilvl="5" w:tplc="89C02EC0">
      <w:numFmt w:val="decimal"/>
      <w:lvlText w:val=""/>
      <w:lvlJc w:val="left"/>
    </w:lvl>
    <w:lvl w:ilvl="6" w:tplc="0AB8BA8A">
      <w:numFmt w:val="decimal"/>
      <w:lvlText w:val=""/>
      <w:lvlJc w:val="left"/>
    </w:lvl>
    <w:lvl w:ilvl="7" w:tplc="D62AC6B8">
      <w:numFmt w:val="decimal"/>
      <w:lvlText w:val=""/>
      <w:lvlJc w:val="left"/>
    </w:lvl>
    <w:lvl w:ilvl="8" w:tplc="25E66D14">
      <w:numFmt w:val="decimal"/>
      <w:lvlText w:val=""/>
      <w:lvlJc w:val="left"/>
    </w:lvl>
  </w:abstractNum>
  <w:abstractNum w:abstractNumId="255" w15:restartNumberingAfterBreak="0">
    <w:nsid w:val="5C17530C"/>
    <w:multiLevelType w:val="hybridMultilevel"/>
    <w:tmpl w:val="1F2C3182"/>
    <w:lvl w:ilvl="0" w:tplc="B986BB48">
      <w:start w:val="2"/>
      <w:numFmt w:val="lowerLetter"/>
      <w:lvlText w:val="(%1)"/>
      <w:lvlJc w:val="left"/>
    </w:lvl>
    <w:lvl w:ilvl="1" w:tplc="34E6DDAA">
      <w:numFmt w:val="decimal"/>
      <w:lvlText w:val=""/>
      <w:lvlJc w:val="left"/>
    </w:lvl>
    <w:lvl w:ilvl="2" w:tplc="75F6B826">
      <w:numFmt w:val="decimal"/>
      <w:lvlText w:val=""/>
      <w:lvlJc w:val="left"/>
    </w:lvl>
    <w:lvl w:ilvl="3" w:tplc="2EF27C4A">
      <w:numFmt w:val="decimal"/>
      <w:lvlText w:val=""/>
      <w:lvlJc w:val="left"/>
    </w:lvl>
    <w:lvl w:ilvl="4" w:tplc="C84232A6">
      <w:numFmt w:val="decimal"/>
      <w:lvlText w:val=""/>
      <w:lvlJc w:val="left"/>
    </w:lvl>
    <w:lvl w:ilvl="5" w:tplc="6EC2748E">
      <w:numFmt w:val="decimal"/>
      <w:lvlText w:val=""/>
      <w:lvlJc w:val="left"/>
    </w:lvl>
    <w:lvl w:ilvl="6" w:tplc="D6E0E67E">
      <w:numFmt w:val="decimal"/>
      <w:lvlText w:val=""/>
      <w:lvlJc w:val="left"/>
    </w:lvl>
    <w:lvl w:ilvl="7" w:tplc="042EBB72">
      <w:numFmt w:val="decimal"/>
      <w:lvlText w:val=""/>
      <w:lvlJc w:val="left"/>
    </w:lvl>
    <w:lvl w:ilvl="8" w:tplc="90684790">
      <w:numFmt w:val="decimal"/>
      <w:lvlText w:val=""/>
      <w:lvlJc w:val="left"/>
    </w:lvl>
  </w:abstractNum>
  <w:abstractNum w:abstractNumId="256" w15:restartNumberingAfterBreak="0">
    <w:nsid w:val="5C49EAEE"/>
    <w:multiLevelType w:val="hybridMultilevel"/>
    <w:tmpl w:val="09A431FA"/>
    <w:lvl w:ilvl="0" w:tplc="D2A6A8E6">
      <w:start w:val="2"/>
      <w:numFmt w:val="lowerLetter"/>
      <w:lvlText w:val="(%1)"/>
      <w:lvlJc w:val="left"/>
    </w:lvl>
    <w:lvl w:ilvl="1" w:tplc="1D78FF1E">
      <w:numFmt w:val="decimal"/>
      <w:lvlText w:val=""/>
      <w:lvlJc w:val="left"/>
    </w:lvl>
    <w:lvl w:ilvl="2" w:tplc="BB9004AE">
      <w:numFmt w:val="decimal"/>
      <w:lvlText w:val=""/>
      <w:lvlJc w:val="left"/>
    </w:lvl>
    <w:lvl w:ilvl="3" w:tplc="FD6A6F76">
      <w:numFmt w:val="decimal"/>
      <w:lvlText w:val=""/>
      <w:lvlJc w:val="left"/>
    </w:lvl>
    <w:lvl w:ilvl="4" w:tplc="5C6ACA9E">
      <w:numFmt w:val="decimal"/>
      <w:lvlText w:val=""/>
      <w:lvlJc w:val="left"/>
    </w:lvl>
    <w:lvl w:ilvl="5" w:tplc="CD442F90">
      <w:numFmt w:val="decimal"/>
      <w:lvlText w:val=""/>
      <w:lvlJc w:val="left"/>
    </w:lvl>
    <w:lvl w:ilvl="6" w:tplc="14CE838E">
      <w:numFmt w:val="decimal"/>
      <w:lvlText w:val=""/>
      <w:lvlJc w:val="left"/>
    </w:lvl>
    <w:lvl w:ilvl="7" w:tplc="7C0C3D20">
      <w:numFmt w:val="decimal"/>
      <w:lvlText w:val=""/>
      <w:lvlJc w:val="left"/>
    </w:lvl>
    <w:lvl w:ilvl="8" w:tplc="490835D2">
      <w:numFmt w:val="decimal"/>
      <w:lvlText w:val=""/>
      <w:lvlJc w:val="left"/>
    </w:lvl>
  </w:abstractNum>
  <w:abstractNum w:abstractNumId="257" w15:restartNumberingAfterBreak="0">
    <w:nsid w:val="5D5BABB3"/>
    <w:multiLevelType w:val="hybridMultilevel"/>
    <w:tmpl w:val="C038B6FE"/>
    <w:lvl w:ilvl="0" w:tplc="A80C8798">
      <w:start w:val="2"/>
      <w:numFmt w:val="lowerLetter"/>
      <w:lvlText w:val="(%1)"/>
      <w:lvlJc w:val="left"/>
    </w:lvl>
    <w:lvl w:ilvl="1" w:tplc="533A5DA2">
      <w:numFmt w:val="decimal"/>
      <w:lvlText w:val=""/>
      <w:lvlJc w:val="left"/>
    </w:lvl>
    <w:lvl w:ilvl="2" w:tplc="6AF239F2">
      <w:numFmt w:val="decimal"/>
      <w:lvlText w:val=""/>
      <w:lvlJc w:val="left"/>
    </w:lvl>
    <w:lvl w:ilvl="3" w:tplc="72AA66AA">
      <w:numFmt w:val="decimal"/>
      <w:lvlText w:val=""/>
      <w:lvlJc w:val="left"/>
    </w:lvl>
    <w:lvl w:ilvl="4" w:tplc="E392E4CA">
      <w:numFmt w:val="decimal"/>
      <w:lvlText w:val=""/>
      <w:lvlJc w:val="left"/>
    </w:lvl>
    <w:lvl w:ilvl="5" w:tplc="9ED26F9C">
      <w:numFmt w:val="decimal"/>
      <w:lvlText w:val=""/>
      <w:lvlJc w:val="left"/>
    </w:lvl>
    <w:lvl w:ilvl="6" w:tplc="162AC3DA">
      <w:numFmt w:val="decimal"/>
      <w:lvlText w:val=""/>
      <w:lvlJc w:val="left"/>
    </w:lvl>
    <w:lvl w:ilvl="7" w:tplc="3266E7B0">
      <w:numFmt w:val="decimal"/>
      <w:lvlText w:val=""/>
      <w:lvlJc w:val="left"/>
    </w:lvl>
    <w:lvl w:ilvl="8" w:tplc="CDC6CFA4">
      <w:numFmt w:val="decimal"/>
      <w:lvlText w:val=""/>
      <w:lvlJc w:val="left"/>
    </w:lvl>
  </w:abstractNum>
  <w:abstractNum w:abstractNumId="258" w15:restartNumberingAfterBreak="0">
    <w:nsid w:val="5E636063"/>
    <w:multiLevelType w:val="hybridMultilevel"/>
    <w:tmpl w:val="A3D25982"/>
    <w:lvl w:ilvl="0" w:tplc="3A7C0AE2">
      <w:start w:val="3"/>
      <w:numFmt w:val="lowerLetter"/>
      <w:lvlText w:val="(%1)"/>
      <w:lvlJc w:val="left"/>
    </w:lvl>
    <w:lvl w:ilvl="1" w:tplc="E3688F2A">
      <w:start w:val="1"/>
      <w:numFmt w:val="lowerRoman"/>
      <w:lvlText w:val="(%2)"/>
      <w:lvlJc w:val="left"/>
    </w:lvl>
    <w:lvl w:ilvl="2" w:tplc="B0CE3F46">
      <w:numFmt w:val="decimal"/>
      <w:lvlText w:val=""/>
      <w:lvlJc w:val="left"/>
    </w:lvl>
    <w:lvl w:ilvl="3" w:tplc="AB9CEFD0">
      <w:numFmt w:val="decimal"/>
      <w:lvlText w:val=""/>
      <w:lvlJc w:val="left"/>
    </w:lvl>
    <w:lvl w:ilvl="4" w:tplc="9A10F0B0">
      <w:numFmt w:val="decimal"/>
      <w:lvlText w:val=""/>
      <w:lvlJc w:val="left"/>
    </w:lvl>
    <w:lvl w:ilvl="5" w:tplc="21F066A4">
      <w:numFmt w:val="decimal"/>
      <w:lvlText w:val=""/>
      <w:lvlJc w:val="left"/>
    </w:lvl>
    <w:lvl w:ilvl="6" w:tplc="243A4DCC">
      <w:numFmt w:val="decimal"/>
      <w:lvlText w:val=""/>
      <w:lvlJc w:val="left"/>
    </w:lvl>
    <w:lvl w:ilvl="7" w:tplc="ED78D03A">
      <w:numFmt w:val="decimal"/>
      <w:lvlText w:val=""/>
      <w:lvlJc w:val="left"/>
    </w:lvl>
    <w:lvl w:ilvl="8" w:tplc="FB26AB22">
      <w:numFmt w:val="decimal"/>
      <w:lvlText w:val=""/>
      <w:lvlJc w:val="left"/>
    </w:lvl>
  </w:abstractNum>
  <w:abstractNum w:abstractNumId="259" w15:restartNumberingAfterBreak="0">
    <w:nsid w:val="5E74C4D9"/>
    <w:multiLevelType w:val="hybridMultilevel"/>
    <w:tmpl w:val="22905FE2"/>
    <w:lvl w:ilvl="0" w:tplc="ECD0B03C">
      <w:start w:val="1"/>
      <w:numFmt w:val="upperLetter"/>
      <w:lvlText w:val="%1:"/>
      <w:lvlJc w:val="left"/>
    </w:lvl>
    <w:lvl w:ilvl="1" w:tplc="6F62738A">
      <w:numFmt w:val="decimal"/>
      <w:lvlText w:val=""/>
      <w:lvlJc w:val="left"/>
    </w:lvl>
    <w:lvl w:ilvl="2" w:tplc="CF7A33FA">
      <w:numFmt w:val="decimal"/>
      <w:lvlText w:val=""/>
      <w:lvlJc w:val="left"/>
    </w:lvl>
    <w:lvl w:ilvl="3" w:tplc="49AE25D0">
      <w:numFmt w:val="decimal"/>
      <w:lvlText w:val=""/>
      <w:lvlJc w:val="left"/>
    </w:lvl>
    <w:lvl w:ilvl="4" w:tplc="1F30DA02">
      <w:numFmt w:val="decimal"/>
      <w:lvlText w:val=""/>
      <w:lvlJc w:val="left"/>
    </w:lvl>
    <w:lvl w:ilvl="5" w:tplc="21D42916">
      <w:numFmt w:val="decimal"/>
      <w:lvlText w:val=""/>
      <w:lvlJc w:val="left"/>
    </w:lvl>
    <w:lvl w:ilvl="6" w:tplc="748223C4">
      <w:numFmt w:val="decimal"/>
      <w:lvlText w:val=""/>
      <w:lvlJc w:val="left"/>
    </w:lvl>
    <w:lvl w:ilvl="7" w:tplc="5AD41052">
      <w:numFmt w:val="decimal"/>
      <w:lvlText w:val=""/>
      <w:lvlJc w:val="left"/>
    </w:lvl>
    <w:lvl w:ilvl="8" w:tplc="6D1C4F4A">
      <w:numFmt w:val="decimal"/>
      <w:lvlText w:val=""/>
      <w:lvlJc w:val="left"/>
    </w:lvl>
  </w:abstractNum>
  <w:abstractNum w:abstractNumId="260" w15:restartNumberingAfterBreak="0">
    <w:nsid w:val="5E963896"/>
    <w:multiLevelType w:val="hybridMultilevel"/>
    <w:tmpl w:val="3F90DD6A"/>
    <w:lvl w:ilvl="0" w:tplc="C7104BD2">
      <w:start w:val="6"/>
      <w:numFmt w:val="lowerLetter"/>
      <w:lvlText w:val="(%1)"/>
      <w:lvlJc w:val="left"/>
    </w:lvl>
    <w:lvl w:ilvl="1" w:tplc="2294E136">
      <w:numFmt w:val="decimal"/>
      <w:lvlText w:val=""/>
      <w:lvlJc w:val="left"/>
    </w:lvl>
    <w:lvl w:ilvl="2" w:tplc="99EA14C8">
      <w:numFmt w:val="decimal"/>
      <w:lvlText w:val=""/>
      <w:lvlJc w:val="left"/>
    </w:lvl>
    <w:lvl w:ilvl="3" w:tplc="BB3C783C">
      <w:numFmt w:val="decimal"/>
      <w:lvlText w:val=""/>
      <w:lvlJc w:val="left"/>
    </w:lvl>
    <w:lvl w:ilvl="4" w:tplc="062C22D6">
      <w:numFmt w:val="decimal"/>
      <w:lvlText w:val=""/>
      <w:lvlJc w:val="left"/>
    </w:lvl>
    <w:lvl w:ilvl="5" w:tplc="C1D6AE36">
      <w:numFmt w:val="decimal"/>
      <w:lvlText w:val=""/>
      <w:lvlJc w:val="left"/>
    </w:lvl>
    <w:lvl w:ilvl="6" w:tplc="BB72807E">
      <w:numFmt w:val="decimal"/>
      <w:lvlText w:val=""/>
      <w:lvlJc w:val="left"/>
    </w:lvl>
    <w:lvl w:ilvl="7" w:tplc="E5AA4096">
      <w:numFmt w:val="decimal"/>
      <w:lvlText w:val=""/>
      <w:lvlJc w:val="left"/>
    </w:lvl>
    <w:lvl w:ilvl="8" w:tplc="3B50FD2C">
      <w:numFmt w:val="decimal"/>
      <w:lvlText w:val=""/>
      <w:lvlJc w:val="left"/>
    </w:lvl>
  </w:abstractNum>
  <w:abstractNum w:abstractNumId="261" w15:restartNumberingAfterBreak="0">
    <w:nsid w:val="5FB29816"/>
    <w:multiLevelType w:val="hybridMultilevel"/>
    <w:tmpl w:val="3812829C"/>
    <w:lvl w:ilvl="0" w:tplc="2B5263AA">
      <w:start w:val="1"/>
      <w:numFmt w:val="bullet"/>
      <w:lvlText w:val="•"/>
      <w:lvlJc w:val="left"/>
    </w:lvl>
    <w:lvl w:ilvl="1" w:tplc="CF84883C">
      <w:numFmt w:val="decimal"/>
      <w:lvlText w:val=""/>
      <w:lvlJc w:val="left"/>
    </w:lvl>
    <w:lvl w:ilvl="2" w:tplc="EE223800">
      <w:numFmt w:val="decimal"/>
      <w:lvlText w:val=""/>
      <w:lvlJc w:val="left"/>
    </w:lvl>
    <w:lvl w:ilvl="3" w:tplc="AF9C8AB0">
      <w:numFmt w:val="decimal"/>
      <w:lvlText w:val=""/>
      <w:lvlJc w:val="left"/>
    </w:lvl>
    <w:lvl w:ilvl="4" w:tplc="E90AB400">
      <w:numFmt w:val="decimal"/>
      <w:lvlText w:val=""/>
      <w:lvlJc w:val="left"/>
    </w:lvl>
    <w:lvl w:ilvl="5" w:tplc="E012A408">
      <w:numFmt w:val="decimal"/>
      <w:lvlText w:val=""/>
      <w:lvlJc w:val="left"/>
    </w:lvl>
    <w:lvl w:ilvl="6" w:tplc="4D02DB60">
      <w:numFmt w:val="decimal"/>
      <w:lvlText w:val=""/>
      <w:lvlJc w:val="left"/>
    </w:lvl>
    <w:lvl w:ilvl="7" w:tplc="8982CC54">
      <w:numFmt w:val="decimal"/>
      <w:lvlText w:val=""/>
      <w:lvlJc w:val="left"/>
    </w:lvl>
    <w:lvl w:ilvl="8" w:tplc="3D3A6C76">
      <w:numFmt w:val="decimal"/>
      <w:lvlText w:val=""/>
      <w:lvlJc w:val="left"/>
    </w:lvl>
  </w:abstractNum>
  <w:abstractNum w:abstractNumId="262" w15:restartNumberingAfterBreak="0">
    <w:nsid w:val="606ED7F6"/>
    <w:multiLevelType w:val="hybridMultilevel"/>
    <w:tmpl w:val="96581BF0"/>
    <w:lvl w:ilvl="0" w:tplc="12B047A8">
      <w:start w:val="1"/>
      <w:numFmt w:val="bullet"/>
      <w:lvlText w:val="*"/>
      <w:lvlJc w:val="left"/>
    </w:lvl>
    <w:lvl w:ilvl="1" w:tplc="748E0212">
      <w:numFmt w:val="decimal"/>
      <w:lvlText w:val=""/>
      <w:lvlJc w:val="left"/>
    </w:lvl>
    <w:lvl w:ilvl="2" w:tplc="D82CAA26">
      <w:numFmt w:val="decimal"/>
      <w:lvlText w:val=""/>
      <w:lvlJc w:val="left"/>
    </w:lvl>
    <w:lvl w:ilvl="3" w:tplc="F4145B24">
      <w:numFmt w:val="decimal"/>
      <w:lvlText w:val=""/>
      <w:lvlJc w:val="left"/>
    </w:lvl>
    <w:lvl w:ilvl="4" w:tplc="D7BE2696">
      <w:numFmt w:val="decimal"/>
      <w:lvlText w:val=""/>
      <w:lvlJc w:val="left"/>
    </w:lvl>
    <w:lvl w:ilvl="5" w:tplc="A71C6D36">
      <w:numFmt w:val="decimal"/>
      <w:lvlText w:val=""/>
      <w:lvlJc w:val="left"/>
    </w:lvl>
    <w:lvl w:ilvl="6" w:tplc="3968DE70">
      <w:numFmt w:val="decimal"/>
      <w:lvlText w:val=""/>
      <w:lvlJc w:val="left"/>
    </w:lvl>
    <w:lvl w:ilvl="7" w:tplc="30B4C96A">
      <w:numFmt w:val="decimal"/>
      <w:lvlText w:val=""/>
      <w:lvlJc w:val="left"/>
    </w:lvl>
    <w:lvl w:ilvl="8" w:tplc="5C826A94">
      <w:numFmt w:val="decimal"/>
      <w:lvlText w:val=""/>
      <w:lvlJc w:val="left"/>
    </w:lvl>
  </w:abstractNum>
  <w:abstractNum w:abstractNumId="263" w15:restartNumberingAfterBreak="0">
    <w:nsid w:val="613183F2"/>
    <w:multiLevelType w:val="hybridMultilevel"/>
    <w:tmpl w:val="371810BC"/>
    <w:lvl w:ilvl="0" w:tplc="59628784">
      <w:start w:val="1"/>
      <w:numFmt w:val="lowerLetter"/>
      <w:lvlText w:val="(%1)"/>
      <w:lvlJc w:val="left"/>
    </w:lvl>
    <w:lvl w:ilvl="1" w:tplc="75DAB32E">
      <w:numFmt w:val="decimal"/>
      <w:lvlText w:val=""/>
      <w:lvlJc w:val="left"/>
    </w:lvl>
    <w:lvl w:ilvl="2" w:tplc="9B36FEB4">
      <w:numFmt w:val="decimal"/>
      <w:lvlText w:val=""/>
      <w:lvlJc w:val="left"/>
    </w:lvl>
    <w:lvl w:ilvl="3" w:tplc="0896AB6E">
      <w:numFmt w:val="decimal"/>
      <w:lvlText w:val=""/>
      <w:lvlJc w:val="left"/>
    </w:lvl>
    <w:lvl w:ilvl="4" w:tplc="4F9C67CC">
      <w:numFmt w:val="decimal"/>
      <w:lvlText w:val=""/>
      <w:lvlJc w:val="left"/>
    </w:lvl>
    <w:lvl w:ilvl="5" w:tplc="77822BBA">
      <w:numFmt w:val="decimal"/>
      <w:lvlText w:val=""/>
      <w:lvlJc w:val="left"/>
    </w:lvl>
    <w:lvl w:ilvl="6" w:tplc="FA86705C">
      <w:numFmt w:val="decimal"/>
      <w:lvlText w:val=""/>
      <w:lvlJc w:val="left"/>
    </w:lvl>
    <w:lvl w:ilvl="7" w:tplc="E7CAF832">
      <w:numFmt w:val="decimal"/>
      <w:lvlText w:val=""/>
      <w:lvlJc w:val="left"/>
    </w:lvl>
    <w:lvl w:ilvl="8" w:tplc="3CC84130">
      <w:numFmt w:val="decimal"/>
      <w:lvlText w:val=""/>
      <w:lvlJc w:val="left"/>
    </w:lvl>
  </w:abstractNum>
  <w:abstractNum w:abstractNumId="264" w15:restartNumberingAfterBreak="0">
    <w:nsid w:val="617C843E"/>
    <w:multiLevelType w:val="hybridMultilevel"/>
    <w:tmpl w:val="1A662F48"/>
    <w:lvl w:ilvl="0" w:tplc="52E8295C">
      <w:start w:val="1"/>
      <w:numFmt w:val="bullet"/>
      <w:lvlText w:val="•"/>
      <w:lvlJc w:val="left"/>
    </w:lvl>
    <w:lvl w:ilvl="1" w:tplc="0D6061A8">
      <w:numFmt w:val="decimal"/>
      <w:lvlText w:val=""/>
      <w:lvlJc w:val="left"/>
    </w:lvl>
    <w:lvl w:ilvl="2" w:tplc="D26C083E">
      <w:numFmt w:val="decimal"/>
      <w:lvlText w:val=""/>
      <w:lvlJc w:val="left"/>
    </w:lvl>
    <w:lvl w:ilvl="3" w:tplc="A29E08CC">
      <w:numFmt w:val="decimal"/>
      <w:lvlText w:val=""/>
      <w:lvlJc w:val="left"/>
    </w:lvl>
    <w:lvl w:ilvl="4" w:tplc="FB72C956">
      <w:numFmt w:val="decimal"/>
      <w:lvlText w:val=""/>
      <w:lvlJc w:val="left"/>
    </w:lvl>
    <w:lvl w:ilvl="5" w:tplc="88324F4C">
      <w:numFmt w:val="decimal"/>
      <w:lvlText w:val=""/>
      <w:lvlJc w:val="left"/>
    </w:lvl>
    <w:lvl w:ilvl="6" w:tplc="6F905722">
      <w:numFmt w:val="decimal"/>
      <w:lvlText w:val=""/>
      <w:lvlJc w:val="left"/>
    </w:lvl>
    <w:lvl w:ilvl="7" w:tplc="2E72172E">
      <w:numFmt w:val="decimal"/>
      <w:lvlText w:val=""/>
      <w:lvlJc w:val="left"/>
    </w:lvl>
    <w:lvl w:ilvl="8" w:tplc="B7D887D0">
      <w:numFmt w:val="decimal"/>
      <w:lvlText w:val=""/>
      <w:lvlJc w:val="left"/>
    </w:lvl>
  </w:abstractNum>
  <w:abstractNum w:abstractNumId="265" w15:restartNumberingAfterBreak="0">
    <w:nsid w:val="6181EF69"/>
    <w:multiLevelType w:val="hybridMultilevel"/>
    <w:tmpl w:val="3B3AA332"/>
    <w:lvl w:ilvl="0" w:tplc="52B2CF26">
      <w:start w:val="1"/>
      <w:numFmt w:val="lowerLetter"/>
      <w:lvlText w:val="(%1)"/>
      <w:lvlJc w:val="left"/>
    </w:lvl>
    <w:lvl w:ilvl="1" w:tplc="A21A3FAA">
      <w:numFmt w:val="decimal"/>
      <w:lvlText w:val=""/>
      <w:lvlJc w:val="left"/>
    </w:lvl>
    <w:lvl w:ilvl="2" w:tplc="CA36041C">
      <w:numFmt w:val="decimal"/>
      <w:lvlText w:val=""/>
      <w:lvlJc w:val="left"/>
    </w:lvl>
    <w:lvl w:ilvl="3" w:tplc="22489A6E">
      <w:numFmt w:val="decimal"/>
      <w:lvlText w:val=""/>
      <w:lvlJc w:val="left"/>
    </w:lvl>
    <w:lvl w:ilvl="4" w:tplc="FC4C7D56">
      <w:numFmt w:val="decimal"/>
      <w:lvlText w:val=""/>
      <w:lvlJc w:val="left"/>
    </w:lvl>
    <w:lvl w:ilvl="5" w:tplc="E2463290">
      <w:numFmt w:val="decimal"/>
      <w:lvlText w:val=""/>
      <w:lvlJc w:val="left"/>
    </w:lvl>
    <w:lvl w:ilvl="6" w:tplc="0EC62410">
      <w:numFmt w:val="decimal"/>
      <w:lvlText w:val=""/>
      <w:lvlJc w:val="left"/>
    </w:lvl>
    <w:lvl w:ilvl="7" w:tplc="0562E528">
      <w:numFmt w:val="decimal"/>
      <w:lvlText w:val=""/>
      <w:lvlJc w:val="left"/>
    </w:lvl>
    <w:lvl w:ilvl="8" w:tplc="ACE6A5AA">
      <w:numFmt w:val="decimal"/>
      <w:lvlText w:val=""/>
      <w:lvlJc w:val="left"/>
    </w:lvl>
  </w:abstractNum>
  <w:abstractNum w:abstractNumId="266" w15:restartNumberingAfterBreak="0">
    <w:nsid w:val="621AF471"/>
    <w:multiLevelType w:val="hybridMultilevel"/>
    <w:tmpl w:val="EAA44168"/>
    <w:lvl w:ilvl="0" w:tplc="AC06D7E6">
      <w:start w:val="1"/>
      <w:numFmt w:val="bullet"/>
      <w:lvlText w:val="•"/>
      <w:lvlJc w:val="left"/>
    </w:lvl>
    <w:lvl w:ilvl="1" w:tplc="26DC2932">
      <w:numFmt w:val="decimal"/>
      <w:lvlText w:val=""/>
      <w:lvlJc w:val="left"/>
    </w:lvl>
    <w:lvl w:ilvl="2" w:tplc="C31A6312">
      <w:numFmt w:val="decimal"/>
      <w:lvlText w:val=""/>
      <w:lvlJc w:val="left"/>
    </w:lvl>
    <w:lvl w:ilvl="3" w:tplc="0620550E">
      <w:numFmt w:val="decimal"/>
      <w:lvlText w:val=""/>
      <w:lvlJc w:val="left"/>
    </w:lvl>
    <w:lvl w:ilvl="4" w:tplc="4E8010EE">
      <w:numFmt w:val="decimal"/>
      <w:lvlText w:val=""/>
      <w:lvlJc w:val="left"/>
    </w:lvl>
    <w:lvl w:ilvl="5" w:tplc="D8BEB3F2">
      <w:numFmt w:val="decimal"/>
      <w:lvlText w:val=""/>
      <w:lvlJc w:val="left"/>
    </w:lvl>
    <w:lvl w:ilvl="6" w:tplc="D950898A">
      <w:numFmt w:val="decimal"/>
      <w:lvlText w:val=""/>
      <w:lvlJc w:val="left"/>
    </w:lvl>
    <w:lvl w:ilvl="7" w:tplc="1C924F86">
      <w:numFmt w:val="decimal"/>
      <w:lvlText w:val=""/>
      <w:lvlJc w:val="left"/>
    </w:lvl>
    <w:lvl w:ilvl="8" w:tplc="47D87BE4">
      <w:numFmt w:val="decimal"/>
      <w:lvlText w:val=""/>
      <w:lvlJc w:val="left"/>
    </w:lvl>
  </w:abstractNum>
  <w:abstractNum w:abstractNumId="267" w15:restartNumberingAfterBreak="0">
    <w:nsid w:val="622D8102"/>
    <w:multiLevelType w:val="hybridMultilevel"/>
    <w:tmpl w:val="BEE4B6D8"/>
    <w:lvl w:ilvl="0" w:tplc="2F88E1CA">
      <w:start w:val="1"/>
      <w:numFmt w:val="upperLetter"/>
      <w:lvlText w:val="%1:"/>
      <w:lvlJc w:val="left"/>
    </w:lvl>
    <w:lvl w:ilvl="1" w:tplc="9E10533A">
      <w:numFmt w:val="decimal"/>
      <w:lvlText w:val=""/>
      <w:lvlJc w:val="left"/>
    </w:lvl>
    <w:lvl w:ilvl="2" w:tplc="2C50444E">
      <w:numFmt w:val="decimal"/>
      <w:lvlText w:val=""/>
      <w:lvlJc w:val="left"/>
    </w:lvl>
    <w:lvl w:ilvl="3" w:tplc="B6FEE508">
      <w:numFmt w:val="decimal"/>
      <w:lvlText w:val=""/>
      <w:lvlJc w:val="left"/>
    </w:lvl>
    <w:lvl w:ilvl="4" w:tplc="ECEA5430">
      <w:numFmt w:val="decimal"/>
      <w:lvlText w:val=""/>
      <w:lvlJc w:val="left"/>
    </w:lvl>
    <w:lvl w:ilvl="5" w:tplc="43EE70BC">
      <w:numFmt w:val="decimal"/>
      <w:lvlText w:val=""/>
      <w:lvlJc w:val="left"/>
    </w:lvl>
    <w:lvl w:ilvl="6" w:tplc="7F00A2D4">
      <w:numFmt w:val="decimal"/>
      <w:lvlText w:val=""/>
      <w:lvlJc w:val="left"/>
    </w:lvl>
    <w:lvl w:ilvl="7" w:tplc="067ADF06">
      <w:numFmt w:val="decimal"/>
      <w:lvlText w:val=""/>
      <w:lvlJc w:val="left"/>
    </w:lvl>
    <w:lvl w:ilvl="8" w:tplc="76700392">
      <w:numFmt w:val="decimal"/>
      <w:lvlText w:val=""/>
      <w:lvlJc w:val="left"/>
    </w:lvl>
  </w:abstractNum>
  <w:abstractNum w:abstractNumId="268" w15:restartNumberingAfterBreak="0">
    <w:nsid w:val="62A5D5BD"/>
    <w:multiLevelType w:val="hybridMultilevel"/>
    <w:tmpl w:val="27647E02"/>
    <w:lvl w:ilvl="0" w:tplc="9F6C5962">
      <w:start w:val="1"/>
      <w:numFmt w:val="bullet"/>
      <w:lvlText w:val="•"/>
      <w:lvlJc w:val="left"/>
    </w:lvl>
    <w:lvl w:ilvl="1" w:tplc="8D5A3EA6">
      <w:numFmt w:val="decimal"/>
      <w:lvlText w:val=""/>
      <w:lvlJc w:val="left"/>
    </w:lvl>
    <w:lvl w:ilvl="2" w:tplc="D1B0D81A">
      <w:numFmt w:val="decimal"/>
      <w:lvlText w:val=""/>
      <w:lvlJc w:val="left"/>
    </w:lvl>
    <w:lvl w:ilvl="3" w:tplc="FFCE115A">
      <w:numFmt w:val="decimal"/>
      <w:lvlText w:val=""/>
      <w:lvlJc w:val="left"/>
    </w:lvl>
    <w:lvl w:ilvl="4" w:tplc="F1CA771A">
      <w:numFmt w:val="decimal"/>
      <w:lvlText w:val=""/>
      <w:lvlJc w:val="left"/>
    </w:lvl>
    <w:lvl w:ilvl="5" w:tplc="9C249814">
      <w:numFmt w:val="decimal"/>
      <w:lvlText w:val=""/>
      <w:lvlJc w:val="left"/>
    </w:lvl>
    <w:lvl w:ilvl="6" w:tplc="C3CCF484">
      <w:numFmt w:val="decimal"/>
      <w:lvlText w:val=""/>
      <w:lvlJc w:val="left"/>
    </w:lvl>
    <w:lvl w:ilvl="7" w:tplc="028AAB9E">
      <w:numFmt w:val="decimal"/>
      <w:lvlText w:val=""/>
      <w:lvlJc w:val="left"/>
    </w:lvl>
    <w:lvl w:ilvl="8" w:tplc="63EAA12E">
      <w:numFmt w:val="decimal"/>
      <w:lvlText w:val=""/>
      <w:lvlJc w:val="left"/>
    </w:lvl>
  </w:abstractNum>
  <w:abstractNum w:abstractNumId="269" w15:restartNumberingAfterBreak="0">
    <w:nsid w:val="631F1690"/>
    <w:multiLevelType w:val="hybridMultilevel"/>
    <w:tmpl w:val="87A08584"/>
    <w:lvl w:ilvl="0" w:tplc="BF60501A">
      <w:start w:val="2"/>
      <w:numFmt w:val="lowerLetter"/>
      <w:lvlText w:val="(%1)"/>
      <w:lvlJc w:val="left"/>
    </w:lvl>
    <w:lvl w:ilvl="1" w:tplc="886C2DB0">
      <w:numFmt w:val="decimal"/>
      <w:lvlText w:val=""/>
      <w:lvlJc w:val="left"/>
    </w:lvl>
    <w:lvl w:ilvl="2" w:tplc="23D29D06">
      <w:numFmt w:val="decimal"/>
      <w:lvlText w:val=""/>
      <w:lvlJc w:val="left"/>
    </w:lvl>
    <w:lvl w:ilvl="3" w:tplc="7E6C5524">
      <w:numFmt w:val="decimal"/>
      <w:lvlText w:val=""/>
      <w:lvlJc w:val="left"/>
    </w:lvl>
    <w:lvl w:ilvl="4" w:tplc="9DFEC660">
      <w:numFmt w:val="decimal"/>
      <w:lvlText w:val=""/>
      <w:lvlJc w:val="left"/>
    </w:lvl>
    <w:lvl w:ilvl="5" w:tplc="D018A096">
      <w:numFmt w:val="decimal"/>
      <w:lvlText w:val=""/>
      <w:lvlJc w:val="left"/>
    </w:lvl>
    <w:lvl w:ilvl="6" w:tplc="3D6493F4">
      <w:numFmt w:val="decimal"/>
      <w:lvlText w:val=""/>
      <w:lvlJc w:val="left"/>
    </w:lvl>
    <w:lvl w:ilvl="7" w:tplc="67B4BF88">
      <w:numFmt w:val="decimal"/>
      <w:lvlText w:val=""/>
      <w:lvlJc w:val="left"/>
    </w:lvl>
    <w:lvl w:ilvl="8" w:tplc="46DE0B60">
      <w:numFmt w:val="decimal"/>
      <w:lvlText w:val=""/>
      <w:lvlJc w:val="left"/>
    </w:lvl>
  </w:abstractNum>
  <w:abstractNum w:abstractNumId="270" w15:restartNumberingAfterBreak="0">
    <w:nsid w:val="634102B4"/>
    <w:multiLevelType w:val="hybridMultilevel"/>
    <w:tmpl w:val="3DA2CAD4"/>
    <w:lvl w:ilvl="0" w:tplc="9D22B56A">
      <w:start w:val="1"/>
      <w:numFmt w:val="upperLetter"/>
      <w:lvlText w:val="%1"/>
      <w:lvlJc w:val="left"/>
    </w:lvl>
    <w:lvl w:ilvl="1" w:tplc="2B943A5A">
      <w:start w:val="2"/>
      <w:numFmt w:val="lowerLetter"/>
      <w:lvlText w:val="(%2)"/>
      <w:lvlJc w:val="left"/>
    </w:lvl>
    <w:lvl w:ilvl="2" w:tplc="DF66E1B6">
      <w:numFmt w:val="decimal"/>
      <w:lvlText w:val=""/>
      <w:lvlJc w:val="left"/>
    </w:lvl>
    <w:lvl w:ilvl="3" w:tplc="9ECEAF0A">
      <w:numFmt w:val="decimal"/>
      <w:lvlText w:val=""/>
      <w:lvlJc w:val="left"/>
    </w:lvl>
    <w:lvl w:ilvl="4" w:tplc="87F0AD86">
      <w:numFmt w:val="decimal"/>
      <w:lvlText w:val=""/>
      <w:lvlJc w:val="left"/>
    </w:lvl>
    <w:lvl w:ilvl="5" w:tplc="87647D96">
      <w:numFmt w:val="decimal"/>
      <w:lvlText w:val=""/>
      <w:lvlJc w:val="left"/>
    </w:lvl>
    <w:lvl w:ilvl="6" w:tplc="6E4E42C0">
      <w:numFmt w:val="decimal"/>
      <w:lvlText w:val=""/>
      <w:lvlJc w:val="left"/>
    </w:lvl>
    <w:lvl w:ilvl="7" w:tplc="19D67CF6">
      <w:numFmt w:val="decimal"/>
      <w:lvlText w:val=""/>
      <w:lvlJc w:val="left"/>
    </w:lvl>
    <w:lvl w:ilvl="8" w:tplc="5F36FFAC">
      <w:numFmt w:val="decimal"/>
      <w:lvlText w:val=""/>
      <w:lvlJc w:val="left"/>
    </w:lvl>
  </w:abstractNum>
  <w:abstractNum w:abstractNumId="271" w15:restartNumberingAfterBreak="0">
    <w:nsid w:val="639DEFAC"/>
    <w:multiLevelType w:val="hybridMultilevel"/>
    <w:tmpl w:val="B59EECF8"/>
    <w:lvl w:ilvl="0" w:tplc="67C0C356">
      <w:start w:val="2"/>
      <w:numFmt w:val="lowerLetter"/>
      <w:lvlText w:val="(%1)"/>
      <w:lvlJc w:val="left"/>
    </w:lvl>
    <w:lvl w:ilvl="1" w:tplc="4B043430">
      <w:numFmt w:val="decimal"/>
      <w:lvlText w:val=""/>
      <w:lvlJc w:val="left"/>
    </w:lvl>
    <w:lvl w:ilvl="2" w:tplc="844604E6">
      <w:numFmt w:val="decimal"/>
      <w:lvlText w:val=""/>
      <w:lvlJc w:val="left"/>
    </w:lvl>
    <w:lvl w:ilvl="3" w:tplc="6B425FA6">
      <w:numFmt w:val="decimal"/>
      <w:lvlText w:val=""/>
      <w:lvlJc w:val="left"/>
    </w:lvl>
    <w:lvl w:ilvl="4" w:tplc="EC24DD5A">
      <w:numFmt w:val="decimal"/>
      <w:lvlText w:val=""/>
      <w:lvlJc w:val="left"/>
    </w:lvl>
    <w:lvl w:ilvl="5" w:tplc="4CAA92D4">
      <w:numFmt w:val="decimal"/>
      <w:lvlText w:val=""/>
      <w:lvlJc w:val="left"/>
    </w:lvl>
    <w:lvl w:ilvl="6" w:tplc="3DD2F5C0">
      <w:numFmt w:val="decimal"/>
      <w:lvlText w:val=""/>
      <w:lvlJc w:val="left"/>
    </w:lvl>
    <w:lvl w:ilvl="7" w:tplc="5F1C32FA">
      <w:numFmt w:val="decimal"/>
      <w:lvlText w:val=""/>
      <w:lvlJc w:val="left"/>
    </w:lvl>
    <w:lvl w:ilvl="8" w:tplc="FFB66CB8">
      <w:numFmt w:val="decimal"/>
      <w:lvlText w:val=""/>
      <w:lvlJc w:val="left"/>
    </w:lvl>
  </w:abstractNum>
  <w:abstractNum w:abstractNumId="272" w15:restartNumberingAfterBreak="0">
    <w:nsid w:val="63DE60CD"/>
    <w:multiLevelType w:val="hybridMultilevel"/>
    <w:tmpl w:val="486AA062"/>
    <w:lvl w:ilvl="0" w:tplc="5B7C06C4">
      <w:start w:val="1"/>
      <w:numFmt w:val="bullet"/>
      <w:lvlText w:val="•"/>
      <w:lvlJc w:val="left"/>
    </w:lvl>
    <w:lvl w:ilvl="1" w:tplc="D1265C78">
      <w:numFmt w:val="decimal"/>
      <w:lvlText w:val=""/>
      <w:lvlJc w:val="left"/>
    </w:lvl>
    <w:lvl w:ilvl="2" w:tplc="DEDE7160">
      <w:numFmt w:val="decimal"/>
      <w:lvlText w:val=""/>
      <w:lvlJc w:val="left"/>
    </w:lvl>
    <w:lvl w:ilvl="3" w:tplc="F63AC4A0">
      <w:numFmt w:val="decimal"/>
      <w:lvlText w:val=""/>
      <w:lvlJc w:val="left"/>
    </w:lvl>
    <w:lvl w:ilvl="4" w:tplc="C9A0874C">
      <w:numFmt w:val="decimal"/>
      <w:lvlText w:val=""/>
      <w:lvlJc w:val="left"/>
    </w:lvl>
    <w:lvl w:ilvl="5" w:tplc="D0B2CC54">
      <w:numFmt w:val="decimal"/>
      <w:lvlText w:val=""/>
      <w:lvlJc w:val="left"/>
    </w:lvl>
    <w:lvl w:ilvl="6" w:tplc="5B427D5A">
      <w:numFmt w:val="decimal"/>
      <w:lvlText w:val=""/>
      <w:lvlJc w:val="left"/>
    </w:lvl>
    <w:lvl w:ilvl="7" w:tplc="8BEECB40">
      <w:numFmt w:val="decimal"/>
      <w:lvlText w:val=""/>
      <w:lvlJc w:val="left"/>
    </w:lvl>
    <w:lvl w:ilvl="8" w:tplc="1108D9CC">
      <w:numFmt w:val="decimal"/>
      <w:lvlText w:val=""/>
      <w:lvlJc w:val="left"/>
    </w:lvl>
  </w:abstractNum>
  <w:abstractNum w:abstractNumId="273" w15:restartNumberingAfterBreak="0">
    <w:nsid w:val="63F37E85"/>
    <w:multiLevelType w:val="hybridMultilevel"/>
    <w:tmpl w:val="4B22EDAA"/>
    <w:lvl w:ilvl="0" w:tplc="269A2E6C">
      <w:start w:val="1"/>
      <w:numFmt w:val="lowerLetter"/>
      <w:lvlText w:val="(%1)"/>
      <w:lvlJc w:val="left"/>
    </w:lvl>
    <w:lvl w:ilvl="1" w:tplc="5164D100">
      <w:numFmt w:val="decimal"/>
      <w:lvlText w:val=""/>
      <w:lvlJc w:val="left"/>
    </w:lvl>
    <w:lvl w:ilvl="2" w:tplc="933013AC">
      <w:numFmt w:val="decimal"/>
      <w:lvlText w:val=""/>
      <w:lvlJc w:val="left"/>
    </w:lvl>
    <w:lvl w:ilvl="3" w:tplc="E98E7A9A">
      <w:numFmt w:val="decimal"/>
      <w:lvlText w:val=""/>
      <w:lvlJc w:val="left"/>
    </w:lvl>
    <w:lvl w:ilvl="4" w:tplc="CA0CE71A">
      <w:numFmt w:val="decimal"/>
      <w:lvlText w:val=""/>
      <w:lvlJc w:val="left"/>
    </w:lvl>
    <w:lvl w:ilvl="5" w:tplc="677A4686">
      <w:numFmt w:val="decimal"/>
      <w:lvlText w:val=""/>
      <w:lvlJc w:val="left"/>
    </w:lvl>
    <w:lvl w:ilvl="6" w:tplc="0CC6673E">
      <w:numFmt w:val="decimal"/>
      <w:lvlText w:val=""/>
      <w:lvlJc w:val="left"/>
    </w:lvl>
    <w:lvl w:ilvl="7" w:tplc="1C5AE9A4">
      <w:numFmt w:val="decimal"/>
      <w:lvlText w:val=""/>
      <w:lvlJc w:val="left"/>
    </w:lvl>
    <w:lvl w:ilvl="8" w:tplc="CB96B022">
      <w:numFmt w:val="decimal"/>
      <w:lvlText w:val=""/>
      <w:lvlJc w:val="left"/>
    </w:lvl>
  </w:abstractNum>
  <w:abstractNum w:abstractNumId="274" w15:restartNumberingAfterBreak="0">
    <w:nsid w:val="64212B8C"/>
    <w:multiLevelType w:val="hybridMultilevel"/>
    <w:tmpl w:val="4E6AC286"/>
    <w:lvl w:ilvl="0" w:tplc="046E3A6A">
      <w:start w:val="2"/>
      <w:numFmt w:val="lowerLetter"/>
      <w:lvlText w:val="(%1)"/>
      <w:lvlJc w:val="left"/>
    </w:lvl>
    <w:lvl w:ilvl="1" w:tplc="7EB208EC">
      <w:numFmt w:val="decimal"/>
      <w:lvlText w:val=""/>
      <w:lvlJc w:val="left"/>
    </w:lvl>
    <w:lvl w:ilvl="2" w:tplc="CA9EB210">
      <w:numFmt w:val="decimal"/>
      <w:lvlText w:val=""/>
      <w:lvlJc w:val="left"/>
    </w:lvl>
    <w:lvl w:ilvl="3" w:tplc="B7BE9CE8">
      <w:numFmt w:val="decimal"/>
      <w:lvlText w:val=""/>
      <w:lvlJc w:val="left"/>
    </w:lvl>
    <w:lvl w:ilvl="4" w:tplc="088082DE">
      <w:numFmt w:val="decimal"/>
      <w:lvlText w:val=""/>
      <w:lvlJc w:val="left"/>
    </w:lvl>
    <w:lvl w:ilvl="5" w:tplc="1D9C622A">
      <w:numFmt w:val="decimal"/>
      <w:lvlText w:val=""/>
      <w:lvlJc w:val="left"/>
    </w:lvl>
    <w:lvl w:ilvl="6" w:tplc="7FDEE80E">
      <w:numFmt w:val="decimal"/>
      <w:lvlText w:val=""/>
      <w:lvlJc w:val="left"/>
    </w:lvl>
    <w:lvl w:ilvl="7" w:tplc="F7F63786">
      <w:numFmt w:val="decimal"/>
      <w:lvlText w:val=""/>
      <w:lvlJc w:val="left"/>
    </w:lvl>
    <w:lvl w:ilvl="8" w:tplc="60506444">
      <w:numFmt w:val="decimal"/>
      <w:lvlText w:val=""/>
      <w:lvlJc w:val="left"/>
    </w:lvl>
  </w:abstractNum>
  <w:abstractNum w:abstractNumId="275" w15:restartNumberingAfterBreak="0">
    <w:nsid w:val="64429599"/>
    <w:multiLevelType w:val="hybridMultilevel"/>
    <w:tmpl w:val="47BC6546"/>
    <w:lvl w:ilvl="0" w:tplc="B552A89A">
      <w:start w:val="2"/>
      <w:numFmt w:val="lowerLetter"/>
      <w:lvlText w:val="(%1)"/>
      <w:lvlJc w:val="left"/>
    </w:lvl>
    <w:lvl w:ilvl="1" w:tplc="8C844072">
      <w:numFmt w:val="decimal"/>
      <w:lvlText w:val=""/>
      <w:lvlJc w:val="left"/>
    </w:lvl>
    <w:lvl w:ilvl="2" w:tplc="C206D8CA">
      <w:numFmt w:val="decimal"/>
      <w:lvlText w:val=""/>
      <w:lvlJc w:val="left"/>
    </w:lvl>
    <w:lvl w:ilvl="3" w:tplc="5AD89466">
      <w:numFmt w:val="decimal"/>
      <w:lvlText w:val=""/>
      <w:lvlJc w:val="left"/>
    </w:lvl>
    <w:lvl w:ilvl="4" w:tplc="9EC68FE0">
      <w:numFmt w:val="decimal"/>
      <w:lvlText w:val=""/>
      <w:lvlJc w:val="left"/>
    </w:lvl>
    <w:lvl w:ilvl="5" w:tplc="EA62706C">
      <w:numFmt w:val="decimal"/>
      <w:lvlText w:val=""/>
      <w:lvlJc w:val="left"/>
    </w:lvl>
    <w:lvl w:ilvl="6" w:tplc="573CF262">
      <w:numFmt w:val="decimal"/>
      <w:lvlText w:val=""/>
      <w:lvlJc w:val="left"/>
    </w:lvl>
    <w:lvl w:ilvl="7" w:tplc="59568EA2">
      <w:numFmt w:val="decimal"/>
      <w:lvlText w:val=""/>
      <w:lvlJc w:val="left"/>
    </w:lvl>
    <w:lvl w:ilvl="8" w:tplc="881C3EA4">
      <w:numFmt w:val="decimal"/>
      <w:lvlText w:val=""/>
      <w:lvlJc w:val="left"/>
    </w:lvl>
  </w:abstractNum>
  <w:abstractNum w:abstractNumId="276" w15:restartNumberingAfterBreak="0">
    <w:nsid w:val="65BF9DA8"/>
    <w:multiLevelType w:val="hybridMultilevel"/>
    <w:tmpl w:val="28943C5C"/>
    <w:lvl w:ilvl="0" w:tplc="0CAC8FA0">
      <w:start w:val="2"/>
      <w:numFmt w:val="upperLetter"/>
      <w:lvlText w:val="(%1)"/>
      <w:lvlJc w:val="left"/>
    </w:lvl>
    <w:lvl w:ilvl="1" w:tplc="9086D5A0">
      <w:start w:val="1"/>
      <w:numFmt w:val="lowerLetter"/>
      <w:lvlText w:val="%2"/>
      <w:lvlJc w:val="left"/>
    </w:lvl>
    <w:lvl w:ilvl="2" w:tplc="0380BC74">
      <w:numFmt w:val="decimal"/>
      <w:lvlText w:val=""/>
      <w:lvlJc w:val="left"/>
    </w:lvl>
    <w:lvl w:ilvl="3" w:tplc="6284D448">
      <w:numFmt w:val="decimal"/>
      <w:lvlText w:val=""/>
      <w:lvlJc w:val="left"/>
    </w:lvl>
    <w:lvl w:ilvl="4" w:tplc="6120747E">
      <w:numFmt w:val="decimal"/>
      <w:lvlText w:val=""/>
      <w:lvlJc w:val="left"/>
    </w:lvl>
    <w:lvl w:ilvl="5" w:tplc="620022FC">
      <w:numFmt w:val="decimal"/>
      <w:lvlText w:val=""/>
      <w:lvlJc w:val="left"/>
    </w:lvl>
    <w:lvl w:ilvl="6" w:tplc="84D678FC">
      <w:numFmt w:val="decimal"/>
      <w:lvlText w:val=""/>
      <w:lvlJc w:val="left"/>
    </w:lvl>
    <w:lvl w:ilvl="7" w:tplc="D47416A8">
      <w:numFmt w:val="decimal"/>
      <w:lvlText w:val=""/>
      <w:lvlJc w:val="left"/>
    </w:lvl>
    <w:lvl w:ilvl="8" w:tplc="6A941818">
      <w:numFmt w:val="decimal"/>
      <w:lvlText w:val=""/>
      <w:lvlJc w:val="left"/>
    </w:lvl>
  </w:abstractNum>
  <w:abstractNum w:abstractNumId="277" w15:restartNumberingAfterBreak="0">
    <w:nsid w:val="65CA235B"/>
    <w:multiLevelType w:val="hybridMultilevel"/>
    <w:tmpl w:val="4EB635F2"/>
    <w:lvl w:ilvl="0" w:tplc="0BEE030A">
      <w:start w:val="1"/>
      <w:numFmt w:val="lowerLetter"/>
      <w:lvlText w:val="(%1)"/>
      <w:lvlJc w:val="left"/>
    </w:lvl>
    <w:lvl w:ilvl="1" w:tplc="E43A0EC2">
      <w:numFmt w:val="decimal"/>
      <w:lvlText w:val=""/>
      <w:lvlJc w:val="left"/>
    </w:lvl>
    <w:lvl w:ilvl="2" w:tplc="AE544AC0">
      <w:numFmt w:val="decimal"/>
      <w:lvlText w:val=""/>
      <w:lvlJc w:val="left"/>
    </w:lvl>
    <w:lvl w:ilvl="3" w:tplc="19B0D376">
      <w:numFmt w:val="decimal"/>
      <w:lvlText w:val=""/>
      <w:lvlJc w:val="left"/>
    </w:lvl>
    <w:lvl w:ilvl="4" w:tplc="1678486E">
      <w:numFmt w:val="decimal"/>
      <w:lvlText w:val=""/>
      <w:lvlJc w:val="left"/>
    </w:lvl>
    <w:lvl w:ilvl="5" w:tplc="1C263A44">
      <w:numFmt w:val="decimal"/>
      <w:lvlText w:val=""/>
      <w:lvlJc w:val="left"/>
    </w:lvl>
    <w:lvl w:ilvl="6" w:tplc="A36CCD98">
      <w:numFmt w:val="decimal"/>
      <w:lvlText w:val=""/>
      <w:lvlJc w:val="left"/>
    </w:lvl>
    <w:lvl w:ilvl="7" w:tplc="BF384620">
      <w:numFmt w:val="decimal"/>
      <w:lvlText w:val=""/>
      <w:lvlJc w:val="left"/>
    </w:lvl>
    <w:lvl w:ilvl="8" w:tplc="CCF8FF0E">
      <w:numFmt w:val="decimal"/>
      <w:lvlText w:val=""/>
      <w:lvlJc w:val="left"/>
    </w:lvl>
  </w:abstractNum>
  <w:abstractNum w:abstractNumId="278" w15:restartNumberingAfterBreak="0">
    <w:nsid w:val="65D2A137"/>
    <w:multiLevelType w:val="hybridMultilevel"/>
    <w:tmpl w:val="3A7C0B9E"/>
    <w:lvl w:ilvl="0" w:tplc="EAA20BB4">
      <w:start w:val="1"/>
      <w:numFmt w:val="upperLetter"/>
      <w:lvlText w:val="(%1)"/>
      <w:lvlJc w:val="left"/>
    </w:lvl>
    <w:lvl w:ilvl="1" w:tplc="4FE696B6">
      <w:start w:val="1"/>
      <w:numFmt w:val="lowerLetter"/>
      <w:lvlText w:val="%2"/>
      <w:lvlJc w:val="left"/>
    </w:lvl>
    <w:lvl w:ilvl="2" w:tplc="706C5BB2">
      <w:numFmt w:val="decimal"/>
      <w:lvlText w:val=""/>
      <w:lvlJc w:val="left"/>
    </w:lvl>
    <w:lvl w:ilvl="3" w:tplc="3C40BF96">
      <w:numFmt w:val="decimal"/>
      <w:lvlText w:val=""/>
      <w:lvlJc w:val="left"/>
    </w:lvl>
    <w:lvl w:ilvl="4" w:tplc="6900BE7A">
      <w:numFmt w:val="decimal"/>
      <w:lvlText w:val=""/>
      <w:lvlJc w:val="left"/>
    </w:lvl>
    <w:lvl w:ilvl="5" w:tplc="FB0EFD6E">
      <w:numFmt w:val="decimal"/>
      <w:lvlText w:val=""/>
      <w:lvlJc w:val="left"/>
    </w:lvl>
    <w:lvl w:ilvl="6" w:tplc="E8A82E18">
      <w:numFmt w:val="decimal"/>
      <w:lvlText w:val=""/>
      <w:lvlJc w:val="left"/>
    </w:lvl>
    <w:lvl w:ilvl="7" w:tplc="D7CA00E8">
      <w:numFmt w:val="decimal"/>
      <w:lvlText w:val=""/>
      <w:lvlJc w:val="left"/>
    </w:lvl>
    <w:lvl w:ilvl="8" w:tplc="05C8241A">
      <w:numFmt w:val="decimal"/>
      <w:lvlText w:val=""/>
      <w:lvlJc w:val="left"/>
    </w:lvl>
  </w:abstractNum>
  <w:abstractNum w:abstractNumId="279" w15:restartNumberingAfterBreak="0">
    <w:nsid w:val="665ACA49"/>
    <w:multiLevelType w:val="hybridMultilevel"/>
    <w:tmpl w:val="A99078EA"/>
    <w:lvl w:ilvl="0" w:tplc="2FCE6222">
      <w:start w:val="1"/>
      <w:numFmt w:val="lowerLetter"/>
      <w:lvlText w:val="(%1)"/>
      <w:lvlJc w:val="left"/>
    </w:lvl>
    <w:lvl w:ilvl="1" w:tplc="21D8A556">
      <w:numFmt w:val="decimal"/>
      <w:lvlText w:val=""/>
      <w:lvlJc w:val="left"/>
    </w:lvl>
    <w:lvl w:ilvl="2" w:tplc="57909D9C">
      <w:numFmt w:val="decimal"/>
      <w:lvlText w:val=""/>
      <w:lvlJc w:val="left"/>
    </w:lvl>
    <w:lvl w:ilvl="3" w:tplc="082E2D60">
      <w:numFmt w:val="decimal"/>
      <w:lvlText w:val=""/>
      <w:lvlJc w:val="left"/>
    </w:lvl>
    <w:lvl w:ilvl="4" w:tplc="3B28E64E">
      <w:numFmt w:val="decimal"/>
      <w:lvlText w:val=""/>
      <w:lvlJc w:val="left"/>
    </w:lvl>
    <w:lvl w:ilvl="5" w:tplc="BE74F8AA">
      <w:numFmt w:val="decimal"/>
      <w:lvlText w:val=""/>
      <w:lvlJc w:val="left"/>
    </w:lvl>
    <w:lvl w:ilvl="6" w:tplc="3AE267D6">
      <w:numFmt w:val="decimal"/>
      <w:lvlText w:val=""/>
      <w:lvlJc w:val="left"/>
    </w:lvl>
    <w:lvl w:ilvl="7" w:tplc="D40C8EF4">
      <w:numFmt w:val="decimal"/>
      <w:lvlText w:val=""/>
      <w:lvlJc w:val="left"/>
    </w:lvl>
    <w:lvl w:ilvl="8" w:tplc="9176F6AA">
      <w:numFmt w:val="decimal"/>
      <w:lvlText w:val=""/>
      <w:lvlJc w:val="left"/>
    </w:lvl>
  </w:abstractNum>
  <w:abstractNum w:abstractNumId="280" w15:restartNumberingAfterBreak="0">
    <w:nsid w:val="66A48D11"/>
    <w:multiLevelType w:val="hybridMultilevel"/>
    <w:tmpl w:val="2F46EE2E"/>
    <w:lvl w:ilvl="0" w:tplc="EEC813D2">
      <w:start w:val="1"/>
      <w:numFmt w:val="lowerLetter"/>
      <w:lvlText w:val="(%1)"/>
      <w:lvlJc w:val="left"/>
    </w:lvl>
    <w:lvl w:ilvl="1" w:tplc="AFB4240E">
      <w:numFmt w:val="decimal"/>
      <w:lvlText w:val=""/>
      <w:lvlJc w:val="left"/>
    </w:lvl>
    <w:lvl w:ilvl="2" w:tplc="9DF09152">
      <w:numFmt w:val="decimal"/>
      <w:lvlText w:val=""/>
      <w:lvlJc w:val="left"/>
    </w:lvl>
    <w:lvl w:ilvl="3" w:tplc="92F07BEE">
      <w:numFmt w:val="decimal"/>
      <w:lvlText w:val=""/>
      <w:lvlJc w:val="left"/>
    </w:lvl>
    <w:lvl w:ilvl="4" w:tplc="E550E7A4">
      <w:numFmt w:val="decimal"/>
      <w:lvlText w:val=""/>
      <w:lvlJc w:val="left"/>
    </w:lvl>
    <w:lvl w:ilvl="5" w:tplc="44F27838">
      <w:numFmt w:val="decimal"/>
      <w:lvlText w:val=""/>
      <w:lvlJc w:val="left"/>
    </w:lvl>
    <w:lvl w:ilvl="6" w:tplc="8F9A8AD0">
      <w:numFmt w:val="decimal"/>
      <w:lvlText w:val=""/>
      <w:lvlJc w:val="left"/>
    </w:lvl>
    <w:lvl w:ilvl="7" w:tplc="BAEA50FA">
      <w:numFmt w:val="decimal"/>
      <w:lvlText w:val=""/>
      <w:lvlJc w:val="left"/>
    </w:lvl>
    <w:lvl w:ilvl="8" w:tplc="0DAA83BC">
      <w:numFmt w:val="decimal"/>
      <w:lvlText w:val=""/>
      <w:lvlJc w:val="left"/>
    </w:lvl>
  </w:abstractNum>
  <w:abstractNum w:abstractNumId="281" w15:restartNumberingAfterBreak="0">
    <w:nsid w:val="67906F60"/>
    <w:multiLevelType w:val="hybridMultilevel"/>
    <w:tmpl w:val="695C55FA"/>
    <w:lvl w:ilvl="0" w:tplc="C07E585C">
      <w:start w:val="1"/>
      <w:numFmt w:val="lowerLetter"/>
      <w:lvlText w:val="%1"/>
      <w:lvlJc w:val="left"/>
    </w:lvl>
    <w:lvl w:ilvl="1" w:tplc="2F821B5C">
      <w:start w:val="6"/>
      <w:numFmt w:val="lowerRoman"/>
      <w:lvlText w:val="(%2)"/>
      <w:lvlJc w:val="left"/>
    </w:lvl>
    <w:lvl w:ilvl="2" w:tplc="E5581E36">
      <w:numFmt w:val="decimal"/>
      <w:lvlText w:val=""/>
      <w:lvlJc w:val="left"/>
    </w:lvl>
    <w:lvl w:ilvl="3" w:tplc="72466590">
      <w:numFmt w:val="decimal"/>
      <w:lvlText w:val=""/>
      <w:lvlJc w:val="left"/>
    </w:lvl>
    <w:lvl w:ilvl="4" w:tplc="9DC64DD8">
      <w:numFmt w:val="decimal"/>
      <w:lvlText w:val=""/>
      <w:lvlJc w:val="left"/>
    </w:lvl>
    <w:lvl w:ilvl="5" w:tplc="C43CAA96">
      <w:numFmt w:val="decimal"/>
      <w:lvlText w:val=""/>
      <w:lvlJc w:val="left"/>
    </w:lvl>
    <w:lvl w:ilvl="6" w:tplc="D81E6ED2">
      <w:numFmt w:val="decimal"/>
      <w:lvlText w:val=""/>
      <w:lvlJc w:val="left"/>
    </w:lvl>
    <w:lvl w:ilvl="7" w:tplc="D0586842">
      <w:numFmt w:val="decimal"/>
      <w:lvlText w:val=""/>
      <w:lvlJc w:val="left"/>
    </w:lvl>
    <w:lvl w:ilvl="8" w:tplc="360A898C">
      <w:numFmt w:val="decimal"/>
      <w:lvlText w:val=""/>
      <w:lvlJc w:val="left"/>
    </w:lvl>
  </w:abstractNum>
  <w:abstractNum w:abstractNumId="282" w15:restartNumberingAfterBreak="0">
    <w:nsid w:val="67A70B69"/>
    <w:multiLevelType w:val="hybridMultilevel"/>
    <w:tmpl w:val="F31CFF98"/>
    <w:lvl w:ilvl="0" w:tplc="04EACF98">
      <w:start w:val="1"/>
      <w:numFmt w:val="upperLetter"/>
      <w:lvlText w:val="%1"/>
      <w:lvlJc w:val="left"/>
    </w:lvl>
    <w:lvl w:ilvl="1" w:tplc="8F2E7AAE">
      <w:start w:val="1"/>
      <w:numFmt w:val="lowerLetter"/>
      <w:lvlText w:val="%2"/>
      <w:lvlJc w:val="left"/>
    </w:lvl>
    <w:lvl w:ilvl="2" w:tplc="0262C044">
      <w:start w:val="2"/>
      <w:numFmt w:val="lowerLetter"/>
      <w:lvlText w:val="(%3)"/>
      <w:lvlJc w:val="left"/>
    </w:lvl>
    <w:lvl w:ilvl="3" w:tplc="66066CCE">
      <w:start w:val="1"/>
      <w:numFmt w:val="lowerRoman"/>
      <w:lvlText w:val="%4"/>
      <w:lvlJc w:val="left"/>
    </w:lvl>
    <w:lvl w:ilvl="4" w:tplc="A9B295B6">
      <w:numFmt w:val="decimal"/>
      <w:lvlText w:val=""/>
      <w:lvlJc w:val="left"/>
    </w:lvl>
    <w:lvl w:ilvl="5" w:tplc="D30AB4B6">
      <w:numFmt w:val="decimal"/>
      <w:lvlText w:val=""/>
      <w:lvlJc w:val="left"/>
    </w:lvl>
    <w:lvl w:ilvl="6" w:tplc="23803B84">
      <w:numFmt w:val="decimal"/>
      <w:lvlText w:val=""/>
      <w:lvlJc w:val="left"/>
    </w:lvl>
    <w:lvl w:ilvl="7" w:tplc="B9A0E798">
      <w:numFmt w:val="decimal"/>
      <w:lvlText w:val=""/>
      <w:lvlJc w:val="left"/>
    </w:lvl>
    <w:lvl w:ilvl="8" w:tplc="4DF89DA6">
      <w:numFmt w:val="decimal"/>
      <w:lvlText w:val=""/>
      <w:lvlJc w:val="left"/>
    </w:lvl>
  </w:abstractNum>
  <w:abstractNum w:abstractNumId="283" w15:restartNumberingAfterBreak="0">
    <w:nsid w:val="680EA5D1"/>
    <w:multiLevelType w:val="hybridMultilevel"/>
    <w:tmpl w:val="43D4A746"/>
    <w:lvl w:ilvl="0" w:tplc="D2C2E126">
      <w:start w:val="1"/>
      <w:numFmt w:val="upperLetter"/>
      <w:lvlText w:val="%1:"/>
      <w:lvlJc w:val="left"/>
    </w:lvl>
    <w:lvl w:ilvl="1" w:tplc="28522A28">
      <w:numFmt w:val="decimal"/>
      <w:lvlText w:val=""/>
      <w:lvlJc w:val="left"/>
    </w:lvl>
    <w:lvl w:ilvl="2" w:tplc="CCF0A5CC">
      <w:numFmt w:val="decimal"/>
      <w:lvlText w:val=""/>
      <w:lvlJc w:val="left"/>
    </w:lvl>
    <w:lvl w:ilvl="3" w:tplc="F962B396">
      <w:numFmt w:val="decimal"/>
      <w:lvlText w:val=""/>
      <w:lvlJc w:val="left"/>
    </w:lvl>
    <w:lvl w:ilvl="4" w:tplc="23FA9F78">
      <w:numFmt w:val="decimal"/>
      <w:lvlText w:val=""/>
      <w:lvlJc w:val="left"/>
    </w:lvl>
    <w:lvl w:ilvl="5" w:tplc="57ACF58E">
      <w:numFmt w:val="decimal"/>
      <w:lvlText w:val=""/>
      <w:lvlJc w:val="left"/>
    </w:lvl>
    <w:lvl w:ilvl="6" w:tplc="E758A65C">
      <w:numFmt w:val="decimal"/>
      <w:lvlText w:val=""/>
      <w:lvlJc w:val="left"/>
    </w:lvl>
    <w:lvl w:ilvl="7" w:tplc="C17406E4">
      <w:numFmt w:val="decimal"/>
      <w:lvlText w:val=""/>
      <w:lvlJc w:val="left"/>
    </w:lvl>
    <w:lvl w:ilvl="8" w:tplc="DA3A85DE">
      <w:numFmt w:val="decimal"/>
      <w:lvlText w:val=""/>
      <w:lvlJc w:val="left"/>
    </w:lvl>
  </w:abstractNum>
  <w:abstractNum w:abstractNumId="284" w15:restartNumberingAfterBreak="0">
    <w:nsid w:val="682DFED6"/>
    <w:multiLevelType w:val="hybridMultilevel"/>
    <w:tmpl w:val="A6E2A6C8"/>
    <w:lvl w:ilvl="0" w:tplc="E57C5028">
      <w:start w:val="5"/>
      <w:numFmt w:val="decimal"/>
      <w:lvlText w:val="(%1)"/>
      <w:lvlJc w:val="left"/>
    </w:lvl>
    <w:lvl w:ilvl="1" w:tplc="6B70032C">
      <w:numFmt w:val="decimal"/>
      <w:lvlText w:val=""/>
      <w:lvlJc w:val="left"/>
    </w:lvl>
    <w:lvl w:ilvl="2" w:tplc="F880E908">
      <w:numFmt w:val="decimal"/>
      <w:lvlText w:val=""/>
      <w:lvlJc w:val="left"/>
    </w:lvl>
    <w:lvl w:ilvl="3" w:tplc="73AC1C56">
      <w:numFmt w:val="decimal"/>
      <w:lvlText w:val=""/>
      <w:lvlJc w:val="left"/>
    </w:lvl>
    <w:lvl w:ilvl="4" w:tplc="91420828">
      <w:numFmt w:val="decimal"/>
      <w:lvlText w:val=""/>
      <w:lvlJc w:val="left"/>
    </w:lvl>
    <w:lvl w:ilvl="5" w:tplc="4516EC38">
      <w:numFmt w:val="decimal"/>
      <w:lvlText w:val=""/>
      <w:lvlJc w:val="left"/>
    </w:lvl>
    <w:lvl w:ilvl="6" w:tplc="A564914E">
      <w:numFmt w:val="decimal"/>
      <w:lvlText w:val=""/>
      <w:lvlJc w:val="left"/>
    </w:lvl>
    <w:lvl w:ilvl="7" w:tplc="F9BAF71C">
      <w:numFmt w:val="decimal"/>
      <w:lvlText w:val=""/>
      <w:lvlJc w:val="left"/>
    </w:lvl>
    <w:lvl w:ilvl="8" w:tplc="B090FD22">
      <w:numFmt w:val="decimal"/>
      <w:lvlText w:val=""/>
      <w:lvlJc w:val="left"/>
    </w:lvl>
  </w:abstractNum>
  <w:abstractNum w:abstractNumId="285" w15:restartNumberingAfterBreak="0">
    <w:nsid w:val="6835B2AE"/>
    <w:multiLevelType w:val="hybridMultilevel"/>
    <w:tmpl w:val="90C08A5A"/>
    <w:lvl w:ilvl="0" w:tplc="220A55C0">
      <w:start w:val="1"/>
      <w:numFmt w:val="lowerLetter"/>
      <w:lvlText w:val="(%1)"/>
      <w:lvlJc w:val="left"/>
    </w:lvl>
    <w:lvl w:ilvl="1" w:tplc="162AB554">
      <w:numFmt w:val="decimal"/>
      <w:lvlText w:val=""/>
      <w:lvlJc w:val="left"/>
    </w:lvl>
    <w:lvl w:ilvl="2" w:tplc="D084FBEC">
      <w:numFmt w:val="decimal"/>
      <w:lvlText w:val=""/>
      <w:lvlJc w:val="left"/>
    </w:lvl>
    <w:lvl w:ilvl="3" w:tplc="3B28C8C2">
      <w:numFmt w:val="decimal"/>
      <w:lvlText w:val=""/>
      <w:lvlJc w:val="left"/>
    </w:lvl>
    <w:lvl w:ilvl="4" w:tplc="6B3A0D10">
      <w:numFmt w:val="decimal"/>
      <w:lvlText w:val=""/>
      <w:lvlJc w:val="left"/>
    </w:lvl>
    <w:lvl w:ilvl="5" w:tplc="678616A6">
      <w:numFmt w:val="decimal"/>
      <w:lvlText w:val=""/>
      <w:lvlJc w:val="left"/>
    </w:lvl>
    <w:lvl w:ilvl="6" w:tplc="39D62F16">
      <w:numFmt w:val="decimal"/>
      <w:lvlText w:val=""/>
      <w:lvlJc w:val="left"/>
    </w:lvl>
    <w:lvl w:ilvl="7" w:tplc="B10484CA">
      <w:numFmt w:val="decimal"/>
      <w:lvlText w:val=""/>
      <w:lvlJc w:val="left"/>
    </w:lvl>
    <w:lvl w:ilvl="8" w:tplc="DDA0BEB2">
      <w:numFmt w:val="decimal"/>
      <w:lvlText w:val=""/>
      <w:lvlJc w:val="left"/>
    </w:lvl>
  </w:abstractNum>
  <w:abstractNum w:abstractNumId="286" w15:restartNumberingAfterBreak="0">
    <w:nsid w:val="683CAAD3"/>
    <w:multiLevelType w:val="hybridMultilevel"/>
    <w:tmpl w:val="415CDCE4"/>
    <w:lvl w:ilvl="0" w:tplc="B5DADDE8">
      <w:start w:val="5"/>
      <w:numFmt w:val="lowerLetter"/>
      <w:lvlText w:val="(%1)"/>
      <w:lvlJc w:val="left"/>
    </w:lvl>
    <w:lvl w:ilvl="1" w:tplc="CBF407E0">
      <w:numFmt w:val="decimal"/>
      <w:lvlText w:val=""/>
      <w:lvlJc w:val="left"/>
    </w:lvl>
    <w:lvl w:ilvl="2" w:tplc="872A013E">
      <w:numFmt w:val="decimal"/>
      <w:lvlText w:val=""/>
      <w:lvlJc w:val="left"/>
    </w:lvl>
    <w:lvl w:ilvl="3" w:tplc="03AEA4A6">
      <w:numFmt w:val="decimal"/>
      <w:lvlText w:val=""/>
      <w:lvlJc w:val="left"/>
    </w:lvl>
    <w:lvl w:ilvl="4" w:tplc="00E4A85C">
      <w:numFmt w:val="decimal"/>
      <w:lvlText w:val=""/>
      <w:lvlJc w:val="left"/>
    </w:lvl>
    <w:lvl w:ilvl="5" w:tplc="81286FB8">
      <w:numFmt w:val="decimal"/>
      <w:lvlText w:val=""/>
      <w:lvlJc w:val="left"/>
    </w:lvl>
    <w:lvl w:ilvl="6" w:tplc="5704AD7A">
      <w:numFmt w:val="decimal"/>
      <w:lvlText w:val=""/>
      <w:lvlJc w:val="left"/>
    </w:lvl>
    <w:lvl w:ilvl="7" w:tplc="B5EA5D5C">
      <w:numFmt w:val="decimal"/>
      <w:lvlText w:val=""/>
      <w:lvlJc w:val="left"/>
    </w:lvl>
    <w:lvl w:ilvl="8" w:tplc="0E16AA48">
      <w:numFmt w:val="decimal"/>
      <w:lvlText w:val=""/>
      <w:lvlJc w:val="left"/>
    </w:lvl>
  </w:abstractNum>
  <w:abstractNum w:abstractNumId="287" w15:restartNumberingAfterBreak="0">
    <w:nsid w:val="684EED59"/>
    <w:multiLevelType w:val="hybridMultilevel"/>
    <w:tmpl w:val="F724C97A"/>
    <w:lvl w:ilvl="0" w:tplc="0A2EC3EE">
      <w:start w:val="4"/>
      <w:numFmt w:val="lowerRoman"/>
      <w:lvlText w:val="(%1)"/>
      <w:lvlJc w:val="left"/>
    </w:lvl>
    <w:lvl w:ilvl="1" w:tplc="05026FBE">
      <w:start w:val="1"/>
      <w:numFmt w:val="lowerLetter"/>
      <w:lvlText w:val="%2"/>
      <w:lvlJc w:val="left"/>
    </w:lvl>
    <w:lvl w:ilvl="2" w:tplc="5DAAD4B6">
      <w:numFmt w:val="decimal"/>
      <w:lvlText w:val=""/>
      <w:lvlJc w:val="left"/>
    </w:lvl>
    <w:lvl w:ilvl="3" w:tplc="C53407AE">
      <w:numFmt w:val="decimal"/>
      <w:lvlText w:val=""/>
      <w:lvlJc w:val="left"/>
    </w:lvl>
    <w:lvl w:ilvl="4" w:tplc="D848BBC4">
      <w:numFmt w:val="decimal"/>
      <w:lvlText w:val=""/>
      <w:lvlJc w:val="left"/>
    </w:lvl>
    <w:lvl w:ilvl="5" w:tplc="03ECF128">
      <w:numFmt w:val="decimal"/>
      <w:lvlText w:val=""/>
      <w:lvlJc w:val="left"/>
    </w:lvl>
    <w:lvl w:ilvl="6" w:tplc="5330F0B4">
      <w:numFmt w:val="decimal"/>
      <w:lvlText w:val=""/>
      <w:lvlJc w:val="left"/>
    </w:lvl>
    <w:lvl w:ilvl="7" w:tplc="BD840FE4">
      <w:numFmt w:val="decimal"/>
      <w:lvlText w:val=""/>
      <w:lvlJc w:val="left"/>
    </w:lvl>
    <w:lvl w:ilvl="8" w:tplc="FC501180">
      <w:numFmt w:val="decimal"/>
      <w:lvlText w:val=""/>
      <w:lvlJc w:val="left"/>
    </w:lvl>
  </w:abstractNum>
  <w:abstractNum w:abstractNumId="288" w15:restartNumberingAfterBreak="0">
    <w:nsid w:val="69D3947C"/>
    <w:multiLevelType w:val="hybridMultilevel"/>
    <w:tmpl w:val="E376D4F4"/>
    <w:lvl w:ilvl="0" w:tplc="262232FE">
      <w:start w:val="2"/>
      <w:numFmt w:val="lowerLetter"/>
      <w:lvlText w:val="(%1)"/>
      <w:lvlJc w:val="left"/>
    </w:lvl>
    <w:lvl w:ilvl="1" w:tplc="9006BB3E">
      <w:numFmt w:val="decimal"/>
      <w:lvlText w:val=""/>
      <w:lvlJc w:val="left"/>
    </w:lvl>
    <w:lvl w:ilvl="2" w:tplc="E8CA4056">
      <w:numFmt w:val="decimal"/>
      <w:lvlText w:val=""/>
      <w:lvlJc w:val="left"/>
    </w:lvl>
    <w:lvl w:ilvl="3" w:tplc="9A008088">
      <w:numFmt w:val="decimal"/>
      <w:lvlText w:val=""/>
      <w:lvlJc w:val="left"/>
    </w:lvl>
    <w:lvl w:ilvl="4" w:tplc="7A2EDE20">
      <w:numFmt w:val="decimal"/>
      <w:lvlText w:val=""/>
      <w:lvlJc w:val="left"/>
    </w:lvl>
    <w:lvl w:ilvl="5" w:tplc="1A42B836">
      <w:numFmt w:val="decimal"/>
      <w:lvlText w:val=""/>
      <w:lvlJc w:val="left"/>
    </w:lvl>
    <w:lvl w:ilvl="6" w:tplc="74A8BC06">
      <w:numFmt w:val="decimal"/>
      <w:lvlText w:val=""/>
      <w:lvlJc w:val="left"/>
    </w:lvl>
    <w:lvl w:ilvl="7" w:tplc="E25A49BA">
      <w:numFmt w:val="decimal"/>
      <w:lvlText w:val=""/>
      <w:lvlJc w:val="left"/>
    </w:lvl>
    <w:lvl w:ilvl="8" w:tplc="C1149430">
      <w:numFmt w:val="decimal"/>
      <w:lvlText w:val=""/>
      <w:lvlJc w:val="left"/>
    </w:lvl>
  </w:abstractNum>
  <w:abstractNum w:abstractNumId="289" w15:restartNumberingAfterBreak="0">
    <w:nsid w:val="6A1B45E5"/>
    <w:multiLevelType w:val="hybridMultilevel"/>
    <w:tmpl w:val="7B224192"/>
    <w:lvl w:ilvl="0" w:tplc="0A0A85F0">
      <w:start w:val="4"/>
      <w:numFmt w:val="lowerLetter"/>
      <w:lvlText w:val="(%1)"/>
      <w:lvlJc w:val="left"/>
    </w:lvl>
    <w:lvl w:ilvl="1" w:tplc="DE8E9984">
      <w:numFmt w:val="decimal"/>
      <w:lvlText w:val=""/>
      <w:lvlJc w:val="left"/>
    </w:lvl>
    <w:lvl w:ilvl="2" w:tplc="DF9AD778">
      <w:numFmt w:val="decimal"/>
      <w:lvlText w:val=""/>
      <w:lvlJc w:val="left"/>
    </w:lvl>
    <w:lvl w:ilvl="3" w:tplc="CEDC80B4">
      <w:numFmt w:val="decimal"/>
      <w:lvlText w:val=""/>
      <w:lvlJc w:val="left"/>
    </w:lvl>
    <w:lvl w:ilvl="4" w:tplc="FC3C1E0C">
      <w:numFmt w:val="decimal"/>
      <w:lvlText w:val=""/>
      <w:lvlJc w:val="left"/>
    </w:lvl>
    <w:lvl w:ilvl="5" w:tplc="F5569562">
      <w:numFmt w:val="decimal"/>
      <w:lvlText w:val=""/>
      <w:lvlJc w:val="left"/>
    </w:lvl>
    <w:lvl w:ilvl="6" w:tplc="5F48E698">
      <w:numFmt w:val="decimal"/>
      <w:lvlText w:val=""/>
      <w:lvlJc w:val="left"/>
    </w:lvl>
    <w:lvl w:ilvl="7" w:tplc="01B82952">
      <w:numFmt w:val="decimal"/>
      <w:lvlText w:val=""/>
      <w:lvlJc w:val="left"/>
    </w:lvl>
    <w:lvl w:ilvl="8" w:tplc="7E10BB68">
      <w:numFmt w:val="decimal"/>
      <w:lvlText w:val=""/>
      <w:lvlJc w:val="left"/>
    </w:lvl>
  </w:abstractNum>
  <w:abstractNum w:abstractNumId="290" w15:restartNumberingAfterBreak="0">
    <w:nsid w:val="6A37288A"/>
    <w:multiLevelType w:val="hybridMultilevel"/>
    <w:tmpl w:val="FC284624"/>
    <w:lvl w:ilvl="0" w:tplc="5418B424">
      <w:start w:val="2"/>
      <w:numFmt w:val="lowerLetter"/>
      <w:lvlText w:val="(%1)"/>
      <w:lvlJc w:val="left"/>
    </w:lvl>
    <w:lvl w:ilvl="1" w:tplc="40BAA56C">
      <w:numFmt w:val="decimal"/>
      <w:lvlText w:val=""/>
      <w:lvlJc w:val="left"/>
    </w:lvl>
    <w:lvl w:ilvl="2" w:tplc="C6F42760">
      <w:numFmt w:val="decimal"/>
      <w:lvlText w:val=""/>
      <w:lvlJc w:val="left"/>
    </w:lvl>
    <w:lvl w:ilvl="3" w:tplc="DBE0D6A8">
      <w:numFmt w:val="decimal"/>
      <w:lvlText w:val=""/>
      <w:lvlJc w:val="left"/>
    </w:lvl>
    <w:lvl w:ilvl="4" w:tplc="7A1873C8">
      <w:numFmt w:val="decimal"/>
      <w:lvlText w:val=""/>
      <w:lvlJc w:val="left"/>
    </w:lvl>
    <w:lvl w:ilvl="5" w:tplc="3610529E">
      <w:numFmt w:val="decimal"/>
      <w:lvlText w:val=""/>
      <w:lvlJc w:val="left"/>
    </w:lvl>
    <w:lvl w:ilvl="6" w:tplc="D4FA1A9A">
      <w:numFmt w:val="decimal"/>
      <w:lvlText w:val=""/>
      <w:lvlJc w:val="left"/>
    </w:lvl>
    <w:lvl w:ilvl="7" w:tplc="EE62A3F4">
      <w:numFmt w:val="decimal"/>
      <w:lvlText w:val=""/>
      <w:lvlJc w:val="left"/>
    </w:lvl>
    <w:lvl w:ilvl="8" w:tplc="4C5A7C10">
      <w:numFmt w:val="decimal"/>
      <w:lvlText w:val=""/>
      <w:lvlJc w:val="left"/>
    </w:lvl>
  </w:abstractNum>
  <w:abstractNum w:abstractNumId="291" w15:restartNumberingAfterBreak="0">
    <w:nsid w:val="6A3B714C"/>
    <w:multiLevelType w:val="hybridMultilevel"/>
    <w:tmpl w:val="93DE1BAA"/>
    <w:lvl w:ilvl="0" w:tplc="B7ACD9E4">
      <w:start w:val="2"/>
      <w:numFmt w:val="lowerLetter"/>
      <w:lvlText w:val="(%1)"/>
      <w:lvlJc w:val="left"/>
    </w:lvl>
    <w:lvl w:ilvl="1" w:tplc="9C9A711A">
      <w:numFmt w:val="decimal"/>
      <w:lvlText w:val=""/>
      <w:lvlJc w:val="left"/>
    </w:lvl>
    <w:lvl w:ilvl="2" w:tplc="70A4BA06">
      <w:numFmt w:val="decimal"/>
      <w:lvlText w:val=""/>
      <w:lvlJc w:val="left"/>
    </w:lvl>
    <w:lvl w:ilvl="3" w:tplc="1270C71A">
      <w:numFmt w:val="decimal"/>
      <w:lvlText w:val=""/>
      <w:lvlJc w:val="left"/>
    </w:lvl>
    <w:lvl w:ilvl="4" w:tplc="CC46322C">
      <w:numFmt w:val="decimal"/>
      <w:lvlText w:val=""/>
      <w:lvlJc w:val="left"/>
    </w:lvl>
    <w:lvl w:ilvl="5" w:tplc="11B2527E">
      <w:numFmt w:val="decimal"/>
      <w:lvlText w:val=""/>
      <w:lvlJc w:val="left"/>
    </w:lvl>
    <w:lvl w:ilvl="6" w:tplc="3BF22B0A">
      <w:numFmt w:val="decimal"/>
      <w:lvlText w:val=""/>
      <w:lvlJc w:val="left"/>
    </w:lvl>
    <w:lvl w:ilvl="7" w:tplc="8E78FBAC">
      <w:numFmt w:val="decimal"/>
      <w:lvlText w:val=""/>
      <w:lvlJc w:val="left"/>
    </w:lvl>
    <w:lvl w:ilvl="8" w:tplc="AF026AF2">
      <w:numFmt w:val="decimal"/>
      <w:lvlText w:val=""/>
      <w:lvlJc w:val="left"/>
    </w:lvl>
  </w:abstractNum>
  <w:abstractNum w:abstractNumId="292" w15:restartNumberingAfterBreak="0">
    <w:nsid w:val="6A92EF4C"/>
    <w:multiLevelType w:val="hybridMultilevel"/>
    <w:tmpl w:val="A224E088"/>
    <w:lvl w:ilvl="0" w:tplc="6678768C">
      <w:start w:val="2"/>
      <w:numFmt w:val="lowerLetter"/>
      <w:lvlText w:val="(%1)"/>
      <w:lvlJc w:val="left"/>
    </w:lvl>
    <w:lvl w:ilvl="1" w:tplc="6A7A674C">
      <w:numFmt w:val="decimal"/>
      <w:lvlText w:val=""/>
      <w:lvlJc w:val="left"/>
    </w:lvl>
    <w:lvl w:ilvl="2" w:tplc="33DA86AE">
      <w:numFmt w:val="decimal"/>
      <w:lvlText w:val=""/>
      <w:lvlJc w:val="left"/>
    </w:lvl>
    <w:lvl w:ilvl="3" w:tplc="2912FB7C">
      <w:numFmt w:val="decimal"/>
      <w:lvlText w:val=""/>
      <w:lvlJc w:val="left"/>
    </w:lvl>
    <w:lvl w:ilvl="4" w:tplc="877CFFCA">
      <w:numFmt w:val="decimal"/>
      <w:lvlText w:val=""/>
      <w:lvlJc w:val="left"/>
    </w:lvl>
    <w:lvl w:ilvl="5" w:tplc="96E8DFDA">
      <w:numFmt w:val="decimal"/>
      <w:lvlText w:val=""/>
      <w:lvlJc w:val="left"/>
    </w:lvl>
    <w:lvl w:ilvl="6" w:tplc="5128CE46">
      <w:numFmt w:val="decimal"/>
      <w:lvlText w:val=""/>
      <w:lvlJc w:val="left"/>
    </w:lvl>
    <w:lvl w:ilvl="7" w:tplc="0D221FA2">
      <w:numFmt w:val="decimal"/>
      <w:lvlText w:val=""/>
      <w:lvlJc w:val="left"/>
    </w:lvl>
    <w:lvl w:ilvl="8" w:tplc="D72E79B0">
      <w:numFmt w:val="decimal"/>
      <w:lvlText w:val=""/>
      <w:lvlJc w:val="left"/>
    </w:lvl>
  </w:abstractNum>
  <w:abstractNum w:abstractNumId="293" w15:restartNumberingAfterBreak="0">
    <w:nsid w:val="6B057295"/>
    <w:multiLevelType w:val="hybridMultilevel"/>
    <w:tmpl w:val="5B8EB082"/>
    <w:lvl w:ilvl="0" w:tplc="154A3FBC">
      <w:start w:val="4"/>
      <w:numFmt w:val="lowerLetter"/>
      <w:lvlText w:val="(%1)"/>
      <w:lvlJc w:val="left"/>
    </w:lvl>
    <w:lvl w:ilvl="1" w:tplc="A17A5982">
      <w:numFmt w:val="decimal"/>
      <w:lvlText w:val=""/>
      <w:lvlJc w:val="left"/>
    </w:lvl>
    <w:lvl w:ilvl="2" w:tplc="56266B62">
      <w:numFmt w:val="decimal"/>
      <w:lvlText w:val=""/>
      <w:lvlJc w:val="left"/>
    </w:lvl>
    <w:lvl w:ilvl="3" w:tplc="E5BE5A58">
      <w:numFmt w:val="decimal"/>
      <w:lvlText w:val=""/>
      <w:lvlJc w:val="left"/>
    </w:lvl>
    <w:lvl w:ilvl="4" w:tplc="784A1CD4">
      <w:numFmt w:val="decimal"/>
      <w:lvlText w:val=""/>
      <w:lvlJc w:val="left"/>
    </w:lvl>
    <w:lvl w:ilvl="5" w:tplc="3A2AC4D2">
      <w:numFmt w:val="decimal"/>
      <w:lvlText w:val=""/>
      <w:lvlJc w:val="left"/>
    </w:lvl>
    <w:lvl w:ilvl="6" w:tplc="57446802">
      <w:numFmt w:val="decimal"/>
      <w:lvlText w:val=""/>
      <w:lvlJc w:val="left"/>
    </w:lvl>
    <w:lvl w:ilvl="7" w:tplc="A4DE812C">
      <w:numFmt w:val="decimal"/>
      <w:lvlText w:val=""/>
      <w:lvlJc w:val="left"/>
    </w:lvl>
    <w:lvl w:ilvl="8" w:tplc="19C60F9E">
      <w:numFmt w:val="decimal"/>
      <w:lvlText w:val=""/>
      <w:lvlJc w:val="left"/>
    </w:lvl>
  </w:abstractNum>
  <w:abstractNum w:abstractNumId="294" w15:restartNumberingAfterBreak="0">
    <w:nsid w:val="6C053B16"/>
    <w:multiLevelType w:val="hybridMultilevel"/>
    <w:tmpl w:val="CC9E6822"/>
    <w:lvl w:ilvl="0" w:tplc="6D967B42">
      <w:start w:val="1"/>
      <w:numFmt w:val="lowerRoman"/>
      <w:lvlText w:val="%1"/>
      <w:lvlJc w:val="left"/>
    </w:lvl>
    <w:lvl w:ilvl="1" w:tplc="303E4812">
      <w:start w:val="4"/>
      <w:numFmt w:val="lowerRoman"/>
      <w:lvlText w:val="(%2)"/>
      <w:lvlJc w:val="left"/>
    </w:lvl>
    <w:lvl w:ilvl="2" w:tplc="3732D03E">
      <w:start w:val="1"/>
      <w:numFmt w:val="upperLetter"/>
      <w:lvlText w:val="(%3)"/>
      <w:lvlJc w:val="left"/>
    </w:lvl>
    <w:lvl w:ilvl="3" w:tplc="808E5758">
      <w:numFmt w:val="decimal"/>
      <w:lvlText w:val=""/>
      <w:lvlJc w:val="left"/>
    </w:lvl>
    <w:lvl w:ilvl="4" w:tplc="1EB0AFC4">
      <w:numFmt w:val="decimal"/>
      <w:lvlText w:val=""/>
      <w:lvlJc w:val="left"/>
    </w:lvl>
    <w:lvl w:ilvl="5" w:tplc="7AD82EC4">
      <w:numFmt w:val="decimal"/>
      <w:lvlText w:val=""/>
      <w:lvlJc w:val="left"/>
    </w:lvl>
    <w:lvl w:ilvl="6" w:tplc="6F9C199A">
      <w:numFmt w:val="decimal"/>
      <w:lvlText w:val=""/>
      <w:lvlJc w:val="left"/>
    </w:lvl>
    <w:lvl w:ilvl="7" w:tplc="6F48AFA4">
      <w:numFmt w:val="decimal"/>
      <w:lvlText w:val=""/>
      <w:lvlJc w:val="left"/>
    </w:lvl>
    <w:lvl w:ilvl="8" w:tplc="AC90A042">
      <w:numFmt w:val="decimal"/>
      <w:lvlText w:val=""/>
      <w:lvlJc w:val="left"/>
    </w:lvl>
  </w:abstractNum>
  <w:abstractNum w:abstractNumId="295" w15:restartNumberingAfterBreak="0">
    <w:nsid w:val="6CE00443"/>
    <w:multiLevelType w:val="hybridMultilevel"/>
    <w:tmpl w:val="E55470A2"/>
    <w:lvl w:ilvl="0" w:tplc="73E0C176">
      <w:start w:val="1"/>
      <w:numFmt w:val="upperLetter"/>
      <w:lvlText w:val="%1:"/>
      <w:lvlJc w:val="left"/>
    </w:lvl>
    <w:lvl w:ilvl="1" w:tplc="58B0C318">
      <w:numFmt w:val="decimal"/>
      <w:lvlText w:val=""/>
      <w:lvlJc w:val="left"/>
    </w:lvl>
    <w:lvl w:ilvl="2" w:tplc="E8A81E36">
      <w:numFmt w:val="decimal"/>
      <w:lvlText w:val=""/>
      <w:lvlJc w:val="left"/>
    </w:lvl>
    <w:lvl w:ilvl="3" w:tplc="778C963A">
      <w:numFmt w:val="decimal"/>
      <w:lvlText w:val=""/>
      <w:lvlJc w:val="left"/>
    </w:lvl>
    <w:lvl w:ilvl="4" w:tplc="B74EC1C0">
      <w:numFmt w:val="decimal"/>
      <w:lvlText w:val=""/>
      <w:lvlJc w:val="left"/>
    </w:lvl>
    <w:lvl w:ilvl="5" w:tplc="7D26A9FE">
      <w:numFmt w:val="decimal"/>
      <w:lvlText w:val=""/>
      <w:lvlJc w:val="left"/>
    </w:lvl>
    <w:lvl w:ilvl="6" w:tplc="0DA4A93E">
      <w:numFmt w:val="decimal"/>
      <w:lvlText w:val=""/>
      <w:lvlJc w:val="left"/>
    </w:lvl>
    <w:lvl w:ilvl="7" w:tplc="2CAE888E">
      <w:numFmt w:val="decimal"/>
      <w:lvlText w:val=""/>
      <w:lvlJc w:val="left"/>
    </w:lvl>
    <w:lvl w:ilvl="8" w:tplc="194CF672">
      <w:numFmt w:val="decimal"/>
      <w:lvlText w:val=""/>
      <w:lvlJc w:val="left"/>
    </w:lvl>
  </w:abstractNum>
  <w:abstractNum w:abstractNumId="296" w15:restartNumberingAfterBreak="0">
    <w:nsid w:val="6DC45E83"/>
    <w:multiLevelType w:val="hybridMultilevel"/>
    <w:tmpl w:val="F9C8352A"/>
    <w:lvl w:ilvl="0" w:tplc="F1FAC550">
      <w:start w:val="4"/>
      <w:numFmt w:val="lowerLetter"/>
      <w:lvlText w:val="(%1)"/>
      <w:lvlJc w:val="left"/>
    </w:lvl>
    <w:lvl w:ilvl="1" w:tplc="39FA7F0C">
      <w:numFmt w:val="decimal"/>
      <w:lvlText w:val=""/>
      <w:lvlJc w:val="left"/>
    </w:lvl>
    <w:lvl w:ilvl="2" w:tplc="9490C642">
      <w:numFmt w:val="decimal"/>
      <w:lvlText w:val=""/>
      <w:lvlJc w:val="left"/>
    </w:lvl>
    <w:lvl w:ilvl="3" w:tplc="6638F1BE">
      <w:numFmt w:val="decimal"/>
      <w:lvlText w:val=""/>
      <w:lvlJc w:val="left"/>
    </w:lvl>
    <w:lvl w:ilvl="4" w:tplc="C01A26CC">
      <w:numFmt w:val="decimal"/>
      <w:lvlText w:val=""/>
      <w:lvlJc w:val="left"/>
    </w:lvl>
    <w:lvl w:ilvl="5" w:tplc="B74EC794">
      <w:numFmt w:val="decimal"/>
      <w:lvlText w:val=""/>
      <w:lvlJc w:val="left"/>
    </w:lvl>
    <w:lvl w:ilvl="6" w:tplc="F1E8F600">
      <w:numFmt w:val="decimal"/>
      <w:lvlText w:val=""/>
      <w:lvlJc w:val="left"/>
    </w:lvl>
    <w:lvl w:ilvl="7" w:tplc="DF8EE444">
      <w:numFmt w:val="decimal"/>
      <w:lvlText w:val=""/>
      <w:lvlJc w:val="left"/>
    </w:lvl>
    <w:lvl w:ilvl="8" w:tplc="84787F6C">
      <w:numFmt w:val="decimal"/>
      <w:lvlText w:val=""/>
      <w:lvlJc w:val="left"/>
    </w:lvl>
  </w:abstractNum>
  <w:abstractNum w:abstractNumId="297" w15:restartNumberingAfterBreak="0">
    <w:nsid w:val="6EBB1F2A"/>
    <w:multiLevelType w:val="hybridMultilevel"/>
    <w:tmpl w:val="817CD6E2"/>
    <w:lvl w:ilvl="0" w:tplc="5BECE9AC">
      <w:start w:val="2"/>
      <w:numFmt w:val="lowerLetter"/>
      <w:lvlText w:val="(%1)"/>
      <w:lvlJc w:val="left"/>
    </w:lvl>
    <w:lvl w:ilvl="1" w:tplc="0546BFA8">
      <w:numFmt w:val="decimal"/>
      <w:lvlText w:val=""/>
      <w:lvlJc w:val="left"/>
    </w:lvl>
    <w:lvl w:ilvl="2" w:tplc="22D0F102">
      <w:numFmt w:val="decimal"/>
      <w:lvlText w:val=""/>
      <w:lvlJc w:val="left"/>
    </w:lvl>
    <w:lvl w:ilvl="3" w:tplc="67B020E8">
      <w:numFmt w:val="decimal"/>
      <w:lvlText w:val=""/>
      <w:lvlJc w:val="left"/>
    </w:lvl>
    <w:lvl w:ilvl="4" w:tplc="B574B2EA">
      <w:numFmt w:val="decimal"/>
      <w:lvlText w:val=""/>
      <w:lvlJc w:val="left"/>
    </w:lvl>
    <w:lvl w:ilvl="5" w:tplc="49164CDE">
      <w:numFmt w:val="decimal"/>
      <w:lvlText w:val=""/>
      <w:lvlJc w:val="left"/>
    </w:lvl>
    <w:lvl w:ilvl="6" w:tplc="3BF47BAE">
      <w:numFmt w:val="decimal"/>
      <w:lvlText w:val=""/>
      <w:lvlJc w:val="left"/>
    </w:lvl>
    <w:lvl w:ilvl="7" w:tplc="6974F384">
      <w:numFmt w:val="decimal"/>
      <w:lvlText w:val=""/>
      <w:lvlJc w:val="left"/>
    </w:lvl>
    <w:lvl w:ilvl="8" w:tplc="D7045158">
      <w:numFmt w:val="decimal"/>
      <w:lvlText w:val=""/>
      <w:lvlJc w:val="left"/>
    </w:lvl>
  </w:abstractNum>
  <w:abstractNum w:abstractNumId="298" w15:restartNumberingAfterBreak="0">
    <w:nsid w:val="6EBE4208"/>
    <w:multiLevelType w:val="hybridMultilevel"/>
    <w:tmpl w:val="7F627236"/>
    <w:lvl w:ilvl="0" w:tplc="FA7E69E8">
      <w:start w:val="2"/>
      <w:numFmt w:val="lowerLetter"/>
      <w:lvlText w:val="(%1)"/>
      <w:lvlJc w:val="left"/>
    </w:lvl>
    <w:lvl w:ilvl="1" w:tplc="647A37DC">
      <w:numFmt w:val="decimal"/>
      <w:lvlText w:val=""/>
      <w:lvlJc w:val="left"/>
    </w:lvl>
    <w:lvl w:ilvl="2" w:tplc="593A7BDE">
      <w:numFmt w:val="decimal"/>
      <w:lvlText w:val=""/>
      <w:lvlJc w:val="left"/>
    </w:lvl>
    <w:lvl w:ilvl="3" w:tplc="5316F732">
      <w:numFmt w:val="decimal"/>
      <w:lvlText w:val=""/>
      <w:lvlJc w:val="left"/>
    </w:lvl>
    <w:lvl w:ilvl="4" w:tplc="C4C665BE">
      <w:numFmt w:val="decimal"/>
      <w:lvlText w:val=""/>
      <w:lvlJc w:val="left"/>
    </w:lvl>
    <w:lvl w:ilvl="5" w:tplc="B0C4E2C8">
      <w:numFmt w:val="decimal"/>
      <w:lvlText w:val=""/>
      <w:lvlJc w:val="left"/>
    </w:lvl>
    <w:lvl w:ilvl="6" w:tplc="A1D88A60">
      <w:numFmt w:val="decimal"/>
      <w:lvlText w:val=""/>
      <w:lvlJc w:val="left"/>
    </w:lvl>
    <w:lvl w:ilvl="7" w:tplc="2DC2EB9E">
      <w:numFmt w:val="decimal"/>
      <w:lvlText w:val=""/>
      <w:lvlJc w:val="left"/>
    </w:lvl>
    <w:lvl w:ilvl="8" w:tplc="A252A2BE">
      <w:numFmt w:val="decimal"/>
      <w:lvlText w:val=""/>
      <w:lvlJc w:val="left"/>
    </w:lvl>
  </w:abstractNum>
  <w:abstractNum w:abstractNumId="299" w15:restartNumberingAfterBreak="0">
    <w:nsid w:val="6EC68664"/>
    <w:multiLevelType w:val="hybridMultilevel"/>
    <w:tmpl w:val="6C30D1A2"/>
    <w:lvl w:ilvl="0" w:tplc="D1204872">
      <w:start w:val="1"/>
      <w:numFmt w:val="bullet"/>
      <w:lvlText w:val="•"/>
      <w:lvlJc w:val="left"/>
    </w:lvl>
    <w:lvl w:ilvl="1" w:tplc="BE569A0C">
      <w:numFmt w:val="decimal"/>
      <w:lvlText w:val=""/>
      <w:lvlJc w:val="left"/>
    </w:lvl>
    <w:lvl w:ilvl="2" w:tplc="240EA14E">
      <w:numFmt w:val="decimal"/>
      <w:lvlText w:val=""/>
      <w:lvlJc w:val="left"/>
    </w:lvl>
    <w:lvl w:ilvl="3" w:tplc="A2E004FA">
      <w:numFmt w:val="decimal"/>
      <w:lvlText w:val=""/>
      <w:lvlJc w:val="left"/>
    </w:lvl>
    <w:lvl w:ilvl="4" w:tplc="40F4492C">
      <w:numFmt w:val="decimal"/>
      <w:lvlText w:val=""/>
      <w:lvlJc w:val="left"/>
    </w:lvl>
    <w:lvl w:ilvl="5" w:tplc="72BE5A84">
      <w:numFmt w:val="decimal"/>
      <w:lvlText w:val=""/>
      <w:lvlJc w:val="left"/>
    </w:lvl>
    <w:lvl w:ilvl="6" w:tplc="E2965266">
      <w:numFmt w:val="decimal"/>
      <w:lvlText w:val=""/>
      <w:lvlJc w:val="left"/>
    </w:lvl>
    <w:lvl w:ilvl="7" w:tplc="88129194">
      <w:numFmt w:val="decimal"/>
      <w:lvlText w:val=""/>
      <w:lvlJc w:val="left"/>
    </w:lvl>
    <w:lvl w:ilvl="8" w:tplc="6DD2A16E">
      <w:numFmt w:val="decimal"/>
      <w:lvlText w:val=""/>
      <w:lvlJc w:val="left"/>
    </w:lvl>
  </w:abstractNum>
  <w:abstractNum w:abstractNumId="300" w15:restartNumberingAfterBreak="0">
    <w:nsid w:val="6EC9D844"/>
    <w:multiLevelType w:val="hybridMultilevel"/>
    <w:tmpl w:val="64663CB4"/>
    <w:lvl w:ilvl="0" w:tplc="3A5E84BC">
      <w:start w:val="2"/>
      <w:numFmt w:val="lowerLetter"/>
      <w:lvlText w:val="(%1)"/>
      <w:lvlJc w:val="left"/>
    </w:lvl>
    <w:lvl w:ilvl="1" w:tplc="A7DAC7F2">
      <w:numFmt w:val="decimal"/>
      <w:lvlText w:val=""/>
      <w:lvlJc w:val="left"/>
    </w:lvl>
    <w:lvl w:ilvl="2" w:tplc="0B82B460">
      <w:numFmt w:val="decimal"/>
      <w:lvlText w:val=""/>
      <w:lvlJc w:val="left"/>
    </w:lvl>
    <w:lvl w:ilvl="3" w:tplc="6F5C8A12">
      <w:numFmt w:val="decimal"/>
      <w:lvlText w:val=""/>
      <w:lvlJc w:val="left"/>
    </w:lvl>
    <w:lvl w:ilvl="4" w:tplc="792C006E">
      <w:numFmt w:val="decimal"/>
      <w:lvlText w:val=""/>
      <w:lvlJc w:val="left"/>
    </w:lvl>
    <w:lvl w:ilvl="5" w:tplc="FCF038E2">
      <w:numFmt w:val="decimal"/>
      <w:lvlText w:val=""/>
      <w:lvlJc w:val="left"/>
    </w:lvl>
    <w:lvl w:ilvl="6" w:tplc="A03E1702">
      <w:numFmt w:val="decimal"/>
      <w:lvlText w:val=""/>
      <w:lvlJc w:val="left"/>
    </w:lvl>
    <w:lvl w:ilvl="7" w:tplc="0B7866B4">
      <w:numFmt w:val="decimal"/>
      <w:lvlText w:val=""/>
      <w:lvlJc w:val="left"/>
    </w:lvl>
    <w:lvl w:ilvl="8" w:tplc="A79A5868">
      <w:numFmt w:val="decimal"/>
      <w:lvlText w:val=""/>
      <w:lvlJc w:val="left"/>
    </w:lvl>
  </w:abstractNum>
  <w:abstractNum w:abstractNumId="301" w15:restartNumberingAfterBreak="0">
    <w:nsid w:val="6ECE91F0"/>
    <w:multiLevelType w:val="hybridMultilevel"/>
    <w:tmpl w:val="A36AA90E"/>
    <w:lvl w:ilvl="0" w:tplc="EBEC579C">
      <w:start w:val="1"/>
      <w:numFmt w:val="lowerLetter"/>
      <w:lvlText w:val="(%1)"/>
      <w:lvlJc w:val="left"/>
    </w:lvl>
    <w:lvl w:ilvl="1" w:tplc="85CC5192">
      <w:numFmt w:val="decimal"/>
      <w:lvlText w:val=""/>
      <w:lvlJc w:val="left"/>
    </w:lvl>
    <w:lvl w:ilvl="2" w:tplc="BEDA3AAC">
      <w:numFmt w:val="decimal"/>
      <w:lvlText w:val=""/>
      <w:lvlJc w:val="left"/>
    </w:lvl>
    <w:lvl w:ilvl="3" w:tplc="6576CC8C">
      <w:numFmt w:val="decimal"/>
      <w:lvlText w:val=""/>
      <w:lvlJc w:val="left"/>
    </w:lvl>
    <w:lvl w:ilvl="4" w:tplc="B2003936">
      <w:numFmt w:val="decimal"/>
      <w:lvlText w:val=""/>
      <w:lvlJc w:val="left"/>
    </w:lvl>
    <w:lvl w:ilvl="5" w:tplc="541AC268">
      <w:numFmt w:val="decimal"/>
      <w:lvlText w:val=""/>
      <w:lvlJc w:val="left"/>
    </w:lvl>
    <w:lvl w:ilvl="6" w:tplc="C356654C">
      <w:numFmt w:val="decimal"/>
      <w:lvlText w:val=""/>
      <w:lvlJc w:val="left"/>
    </w:lvl>
    <w:lvl w:ilvl="7" w:tplc="A6B29216">
      <w:numFmt w:val="decimal"/>
      <w:lvlText w:val=""/>
      <w:lvlJc w:val="left"/>
    </w:lvl>
    <w:lvl w:ilvl="8" w:tplc="035C564A">
      <w:numFmt w:val="decimal"/>
      <w:lvlText w:val=""/>
      <w:lvlJc w:val="left"/>
    </w:lvl>
  </w:abstractNum>
  <w:abstractNum w:abstractNumId="302" w15:restartNumberingAfterBreak="0">
    <w:nsid w:val="6F38E6D1"/>
    <w:multiLevelType w:val="hybridMultilevel"/>
    <w:tmpl w:val="5128D88A"/>
    <w:lvl w:ilvl="0" w:tplc="B4720C38">
      <w:start w:val="2"/>
      <w:numFmt w:val="lowerRoman"/>
      <w:lvlText w:val="(%1)"/>
      <w:lvlJc w:val="left"/>
    </w:lvl>
    <w:lvl w:ilvl="1" w:tplc="0E94BFA2">
      <w:numFmt w:val="decimal"/>
      <w:lvlText w:val=""/>
      <w:lvlJc w:val="left"/>
    </w:lvl>
    <w:lvl w:ilvl="2" w:tplc="584E2C7A">
      <w:numFmt w:val="decimal"/>
      <w:lvlText w:val=""/>
      <w:lvlJc w:val="left"/>
    </w:lvl>
    <w:lvl w:ilvl="3" w:tplc="B5D4208E">
      <w:numFmt w:val="decimal"/>
      <w:lvlText w:val=""/>
      <w:lvlJc w:val="left"/>
    </w:lvl>
    <w:lvl w:ilvl="4" w:tplc="44D0690A">
      <w:numFmt w:val="decimal"/>
      <w:lvlText w:val=""/>
      <w:lvlJc w:val="left"/>
    </w:lvl>
    <w:lvl w:ilvl="5" w:tplc="40963D46">
      <w:numFmt w:val="decimal"/>
      <w:lvlText w:val=""/>
      <w:lvlJc w:val="left"/>
    </w:lvl>
    <w:lvl w:ilvl="6" w:tplc="39807016">
      <w:numFmt w:val="decimal"/>
      <w:lvlText w:val=""/>
      <w:lvlJc w:val="left"/>
    </w:lvl>
    <w:lvl w:ilvl="7" w:tplc="8E0007BA">
      <w:numFmt w:val="decimal"/>
      <w:lvlText w:val=""/>
      <w:lvlJc w:val="left"/>
    </w:lvl>
    <w:lvl w:ilvl="8" w:tplc="B6BCD280">
      <w:numFmt w:val="decimal"/>
      <w:lvlText w:val=""/>
      <w:lvlJc w:val="left"/>
    </w:lvl>
  </w:abstractNum>
  <w:abstractNum w:abstractNumId="303" w15:restartNumberingAfterBreak="0">
    <w:nsid w:val="6FBF29CB"/>
    <w:multiLevelType w:val="hybridMultilevel"/>
    <w:tmpl w:val="055E484E"/>
    <w:lvl w:ilvl="0" w:tplc="6974F540">
      <w:start w:val="2"/>
      <w:numFmt w:val="lowerLetter"/>
      <w:lvlText w:val="(%1)"/>
      <w:lvlJc w:val="left"/>
    </w:lvl>
    <w:lvl w:ilvl="1" w:tplc="5C1068EC">
      <w:numFmt w:val="decimal"/>
      <w:lvlText w:val=""/>
      <w:lvlJc w:val="left"/>
    </w:lvl>
    <w:lvl w:ilvl="2" w:tplc="939E7E36">
      <w:numFmt w:val="decimal"/>
      <w:lvlText w:val=""/>
      <w:lvlJc w:val="left"/>
    </w:lvl>
    <w:lvl w:ilvl="3" w:tplc="84543120">
      <w:numFmt w:val="decimal"/>
      <w:lvlText w:val=""/>
      <w:lvlJc w:val="left"/>
    </w:lvl>
    <w:lvl w:ilvl="4" w:tplc="1868A252">
      <w:numFmt w:val="decimal"/>
      <w:lvlText w:val=""/>
      <w:lvlJc w:val="left"/>
    </w:lvl>
    <w:lvl w:ilvl="5" w:tplc="B546DA82">
      <w:numFmt w:val="decimal"/>
      <w:lvlText w:val=""/>
      <w:lvlJc w:val="left"/>
    </w:lvl>
    <w:lvl w:ilvl="6" w:tplc="416C5522">
      <w:numFmt w:val="decimal"/>
      <w:lvlText w:val=""/>
      <w:lvlJc w:val="left"/>
    </w:lvl>
    <w:lvl w:ilvl="7" w:tplc="54E8D848">
      <w:numFmt w:val="decimal"/>
      <w:lvlText w:val=""/>
      <w:lvlJc w:val="left"/>
    </w:lvl>
    <w:lvl w:ilvl="8" w:tplc="DB8407F0">
      <w:numFmt w:val="decimal"/>
      <w:lvlText w:val=""/>
      <w:lvlJc w:val="left"/>
    </w:lvl>
  </w:abstractNum>
  <w:abstractNum w:abstractNumId="304" w15:restartNumberingAfterBreak="0">
    <w:nsid w:val="6FE95EAC"/>
    <w:multiLevelType w:val="hybridMultilevel"/>
    <w:tmpl w:val="F9303AEA"/>
    <w:lvl w:ilvl="0" w:tplc="7DB86CB8">
      <w:start w:val="1"/>
      <w:numFmt w:val="lowerLetter"/>
      <w:lvlText w:val="(%1)"/>
      <w:lvlJc w:val="left"/>
    </w:lvl>
    <w:lvl w:ilvl="1" w:tplc="4086C326">
      <w:numFmt w:val="decimal"/>
      <w:lvlText w:val=""/>
      <w:lvlJc w:val="left"/>
    </w:lvl>
    <w:lvl w:ilvl="2" w:tplc="177AFB1C">
      <w:numFmt w:val="decimal"/>
      <w:lvlText w:val=""/>
      <w:lvlJc w:val="left"/>
    </w:lvl>
    <w:lvl w:ilvl="3" w:tplc="F6DC0672">
      <w:numFmt w:val="decimal"/>
      <w:lvlText w:val=""/>
      <w:lvlJc w:val="left"/>
    </w:lvl>
    <w:lvl w:ilvl="4" w:tplc="7DD86A70">
      <w:numFmt w:val="decimal"/>
      <w:lvlText w:val=""/>
      <w:lvlJc w:val="left"/>
    </w:lvl>
    <w:lvl w:ilvl="5" w:tplc="B770CE72">
      <w:numFmt w:val="decimal"/>
      <w:lvlText w:val=""/>
      <w:lvlJc w:val="left"/>
    </w:lvl>
    <w:lvl w:ilvl="6" w:tplc="944A7C0C">
      <w:numFmt w:val="decimal"/>
      <w:lvlText w:val=""/>
      <w:lvlJc w:val="left"/>
    </w:lvl>
    <w:lvl w:ilvl="7" w:tplc="802A4F3E">
      <w:numFmt w:val="decimal"/>
      <w:lvlText w:val=""/>
      <w:lvlJc w:val="left"/>
    </w:lvl>
    <w:lvl w:ilvl="8" w:tplc="4E7AEC50">
      <w:numFmt w:val="decimal"/>
      <w:lvlText w:val=""/>
      <w:lvlJc w:val="left"/>
    </w:lvl>
  </w:abstractNum>
  <w:abstractNum w:abstractNumId="305" w15:restartNumberingAfterBreak="0">
    <w:nsid w:val="706B674E"/>
    <w:multiLevelType w:val="hybridMultilevel"/>
    <w:tmpl w:val="D1FC322C"/>
    <w:lvl w:ilvl="0" w:tplc="45287064">
      <w:start w:val="2"/>
      <w:numFmt w:val="lowerLetter"/>
      <w:lvlText w:val="(%1)"/>
      <w:lvlJc w:val="left"/>
    </w:lvl>
    <w:lvl w:ilvl="1" w:tplc="18AE32CC">
      <w:numFmt w:val="decimal"/>
      <w:lvlText w:val=""/>
      <w:lvlJc w:val="left"/>
    </w:lvl>
    <w:lvl w:ilvl="2" w:tplc="3A2E72F8">
      <w:numFmt w:val="decimal"/>
      <w:lvlText w:val=""/>
      <w:lvlJc w:val="left"/>
    </w:lvl>
    <w:lvl w:ilvl="3" w:tplc="FD44A81A">
      <w:numFmt w:val="decimal"/>
      <w:lvlText w:val=""/>
      <w:lvlJc w:val="left"/>
    </w:lvl>
    <w:lvl w:ilvl="4" w:tplc="73BA01E2">
      <w:numFmt w:val="decimal"/>
      <w:lvlText w:val=""/>
      <w:lvlJc w:val="left"/>
    </w:lvl>
    <w:lvl w:ilvl="5" w:tplc="B5283282">
      <w:numFmt w:val="decimal"/>
      <w:lvlText w:val=""/>
      <w:lvlJc w:val="left"/>
    </w:lvl>
    <w:lvl w:ilvl="6" w:tplc="F146BA00">
      <w:numFmt w:val="decimal"/>
      <w:lvlText w:val=""/>
      <w:lvlJc w:val="left"/>
    </w:lvl>
    <w:lvl w:ilvl="7" w:tplc="0FCA2620">
      <w:numFmt w:val="decimal"/>
      <w:lvlText w:val=""/>
      <w:lvlJc w:val="left"/>
    </w:lvl>
    <w:lvl w:ilvl="8" w:tplc="FFE8194E">
      <w:numFmt w:val="decimal"/>
      <w:lvlText w:val=""/>
      <w:lvlJc w:val="left"/>
    </w:lvl>
  </w:abstractNum>
  <w:abstractNum w:abstractNumId="306" w15:restartNumberingAfterBreak="0">
    <w:nsid w:val="70836196"/>
    <w:multiLevelType w:val="hybridMultilevel"/>
    <w:tmpl w:val="AE048444"/>
    <w:lvl w:ilvl="0" w:tplc="8FC4CBB0">
      <w:start w:val="3"/>
      <w:numFmt w:val="upperLetter"/>
      <w:lvlText w:val="(%1)"/>
      <w:lvlJc w:val="left"/>
    </w:lvl>
    <w:lvl w:ilvl="1" w:tplc="A77CD02C">
      <w:numFmt w:val="decimal"/>
      <w:lvlText w:val=""/>
      <w:lvlJc w:val="left"/>
    </w:lvl>
    <w:lvl w:ilvl="2" w:tplc="CA2EE924">
      <w:numFmt w:val="decimal"/>
      <w:lvlText w:val=""/>
      <w:lvlJc w:val="left"/>
    </w:lvl>
    <w:lvl w:ilvl="3" w:tplc="A444613C">
      <w:numFmt w:val="decimal"/>
      <w:lvlText w:val=""/>
      <w:lvlJc w:val="left"/>
    </w:lvl>
    <w:lvl w:ilvl="4" w:tplc="D726528A">
      <w:numFmt w:val="decimal"/>
      <w:lvlText w:val=""/>
      <w:lvlJc w:val="left"/>
    </w:lvl>
    <w:lvl w:ilvl="5" w:tplc="F0F446AE">
      <w:numFmt w:val="decimal"/>
      <w:lvlText w:val=""/>
      <w:lvlJc w:val="left"/>
    </w:lvl>
    <w:lvl w:ilvl="6" w:tplc="CF72BCC2">
      <w:numFmt w:val="decimal"/>
      <w:lvlText w:val=""/>
      <w:lvlJc w:val="left"/>
    </w:lvl>
    <w:lvl w:ilvl="7" w:tplc="1054BF16">
      <w:numFmt w:val="decimal"/>
      <w:lvlText w:val=""/>
      <w:lvlJc w:val="left"/>
    </w:lvl>
    <w:lvl w:ilvl="8" w:tplc="24203A70">
      <w:numFmt w:val="decimal"/>
      <w:lvlText w:val=""/>
      <w:lvlJc w:val="left"/>
    </w:lvl>
  </w:abstractNum>
  <w:abstractNum w:abstractNumId="307" w15:restartNumberingAfterBreak="0">
    <w:nsid w:val="70EC11B2"/>
    <w:multiLevelType w:val="hybridMultilevel"/>
    <w:tmpl w:val="777AF65E"/>
    <w:lvl w:ilvl="0" w:tplc="FB127BC6">
      <w:start w:val="1"/>
      <w:numFmt w:val="lowerLetter"/>
      <w:lvlText w:val="(%1)"/>
      <w:lvlJc w:val="left"/>
    </w:lvl>
    <w:lvl w:ilvl="1" w:tplc="BC521D00">
      <w:numFmt w:val="decimal"/>
      <w:lvlText w:val=""/>
      <w:lvlJc w:val="left"/>
    </w:lvl>
    <w:lvl w:ilvl="2" w:tplc="0F847C36">
      <w:numFmt w:val="decimal"/>
      <w:lvlText w:val=""/>
      <w:lvlJc w:val="left"/>
    </w:lvl>
    <w:lvl w:ilvl="3" w:tplc="C85649C0">
      <w:numFmt w:val="decimal"/>
      <w:lvlText w:val=""/>
      <w:lvlJc w:val="left"/>
    </w:lvl>
    <w:lvl w:ilvl="4" w:tplc="B4C0E1A8">
      <w:numFmt w:val="decimal"/>
      <w:lvlText w:val=""/>
      <w:lvlJc w:val="left"/>
    </w:lvl>
    <w:lvl w:ilvl="5" w:tplc="78CEFFDA">
      <w:numFmt w:val="decimal"/>
      <w:lvlText w:val=""/>
      <w:lvlJc w:val="left"/>
    </w:lvl>
    <w:lvl w:ilvl="6" w:tplc="06CC04B4">
      <w:numFmt w:val="decimal"/>
      <w:lvlText w:val=""/>
      <w:lvlJc w:val="left"/>
    </w:lvl>
    <w:lvl w:ilvl="7" w:tplc="C12662D4">
      <w:numFmt w:val="decimal"/>
      <w:lvlText w:val=""/>
      <w:lvlJc w:val="left"/>
    </w:lvl>
    <w:lvl w:ilvl="8" w:tplc="F4C256DE">
      <w:numFmt w:val="decimal"/>
      <w:lvlText w:val=""/>
      <w:lvlJc w:val="left"/>
    </w:lvl>
  </w:abstractNum>
  <w:abstractNum w:abstractNumId="308" w15:restartNumberingAfterBreak="0">
    <w:nsid w:val="710757D0"/>
    <w:multiLevelType w:val="hybridMultilevel"/>
    <w:tmpl w:val="E13AF5BE"/>
    <w:lvl w:ilvl="0" w:tplc="FD44A6E8">
      <w:start w:val="2"/>
      <w:numFmt w:val="lowerRoman"/>
      <w:lvlText w:val="(%1)"/>
      <w:lvlJc w:val="left"/>
    </w:lvl>
    <w:lvl w:ilvl="1" w:tplc="7C3CA588">
      <w:numFmt w:val="decimal"/>
      <w:lvlText w:val=""/>
      <w:lvlJc w:val="left"/>
    </w:lvl>
    <w:lvl w:ilvl="2" w:tplc="F3909FD4">
      <w:numFmt w:val="decimal"/>
      <w:lvlText w:val=""/>
      <w:lvlJc w:val="left"/>
    </w:lvl>
    <w:lvl w:ilvl="3" w:tplc="25523D6C">
      <w:numFmt w:val="decimal"/>
      <w:lvlText w:val=""/>
      <w:lvlJc w:val="left"/>
    </w:lvl>
    <w:lvl w:ilvl="4" w:tplc="B4280E8A">
      <w:numFmt w:val="decimal"/>
      <w:lvlText w:val=""/>
      <w:lvlJc w:val="left"/>
    </w:lvl>
    <w:lvl w:ilvl="5" w:tplc="070E2538">
      <w:numFmt w:val="decimal"/>
      <w:lvlText w:val=""/>
      <w:lvlJc w:val="left"/>
    </w:lvl>
    <w:lvl w:ilvl="6" w:tplc="5D469E22">
      <w:numFmt w:val="decimal"/>
      <w:lvlText w:val=""/>
      <w:lvlJc w:val="left"/>
    </w:lvl>
    <w:lvl w:ilvl="7" w:tplc="03A056A4">
      <w:numFmt w:val="decimal"/>
      <w:lvlText w:val=""/>
      <w:lvlJc w:val="left"/>
    </w:lvl>
    <w:lvl w:ilvl="8" w:tplc="56A8F366">
      <w:numFmt w:val="decimal"/>
      <w:lvlText w:val=""/>
      <w:lvlJc w:val="left"/>
    </w:lvl>
  </w:abstractNum>
  <w:abstractNum w:abstractNumId="309" w15:restartNumberingAfterBreak="0">
    <w:nsid w:val="71315369"/>
    <w:multiLevelType w:val="hybridMultilevel"/>
    <w:tmpl w:val="D9FAD694"/>
    <w:lvl w:ilvl="0" w:tplc="A9B03F1E">
      <w:start w:val="1"/>
      <w:numFmt w:val="bullet"/>
      <w:lvlText w:val="•"/>
      <w:lvlJc w:val="left"/>
    </w:lvl>
    <w:lvl w:ilvl="1" w:tplc="B6ECF294">
      <w:numFmt w:val="decimal"/>
      <w:lvlText w:val=""/>
      <w:lvlJc w:val="left"/>
    </w:lvl>
    <w:lvl w:ilvl="2" w:tplc="C42698DC">
      <w:numFmt w:val="decimal"/>
      <w:lvlText w:val=""/>
      <w:lvlJc w:val="left"/>
    </w:lvl>
    <w:lvl w:ilvl="3" w:tplc="A7E0C3F8">
      <w:numFmt w:val="decimal"/>
      <w:lvlText w:val=""/>
      <w:lvlJc w:val="left"/>
    </w:lvl>
    <w:lvl w:ilvl="4" w:tplc="A98037A2">
      <w:numFmt w:val="decimal"/>
      <w:lvlText w:val=""/>
      <w:lvlJc w:val="left"/>
    </w:lvl>
    <w:lvl w:ilvl="5" w:tplc="C2C21038">
      <w:numFmt w:val="decimal"/>
      <w:lvlText w:val=""/>
      <w:lvlJc w:val="left"/>
    </w:lvl>
    <w:lvl w:ilvl="6" w:tplc="710C711A">
      <w:numFmt w:val="decimal"/>
      <w:lvlText w:val=""/>
      <w:lvlJc w:val="left"/>
    </w:lvl>
    <w:lvl w:ilvl="7" w:tplc="8E364A3C">
      <w:numFmt w:val="decimal"/>
      <w:lvlText w:val=""/>
      <w:lvlJc w:val="left"/>
    </w:lvl>
    <w:lvl w:ilvl="8" w:tplc="66CE4BC4">
      <w:numFmt w:val="decimal"/>
      <w:lvlText w:val=""/>
      <w:lvlJc w:val="left"/>
    </w:lvl>
  </w:abstractNum>
  <w:abstractNum w:abstractNumId="310" w15:restartNumberingAfterBreak="0">
    <w:nsid w:val="71482545"/>
    <w:multiLevelType w:val="hybridMultilevel"/>
    <w:tmpl w:val="E4788454"/>
    <w:lvl w:ilvl="0" w:tplc="06F67ACC">
      <w:start w:val="6"/>
      <w:numFmt w:val="lowerLetter"/>
      <w:lvlText w:val="(%1)"/>
      <w:lvlJc w:val="left"/>
    </w:lvl>
    <w:lvl w:ilvl="1" w:tplc="63F64218">
      <w:numFmt w:val="decimal"/>
      <w:lvlText w:val=""/>
      <w:lvlJc w:val="left"/>
    </w:lvl>
    <w:lvl w:ilvl="2" w:tplc="26166758">
      <w:numFmt w:val="decimal"/>
      <w:lvlText w:val=""/>
      <w:lvlJc w:val="left"/>
    </w:lvl>
    <w:lvl w:ilvl="3" w:tplc="29E22D34">
      <w:numFmt w:val="decimal"/>
      <w:lvlText w:val=""/>
      <w:lvlJc w:val="left"/>
    </w:lvl>
    <w:lvl w:ilvl="4" w:tplc="ACB63D6E">
      <w:numFmt w:val="decimal"/>
      <w:lvlText w:val=""/>
      <w:lvlJc w:val="left"/>
    </w:lvl>
    <w:lvl w:ilvl="5" w:tplc="121AEB22">
      <w:numFmt w:val="decimal"/>
      <w:lvlText w:val=""/>
      <w:lvlJc w:val="left"/>
    </w:lvl>
    <w:lvl w:ilvl="6" w:tplc="2CD651CE">
      <w:numFmt w:val="decimal"/>
      <w:lvlText w:val=""/>
      <w:lvlJc w:val="left"/>
    </w:lvl>
    <w:lvl w:ilvl="7" w:tplc="CA769D7A">
      <w:numFmt w:val="decimal"/>
      <w:lvlText w:val=""/>
      <w:lvlJc w:val="left"/>
    </w:lvl>
    <w:lvl w:ilvl="8" w:tplc="F112EBC8">
      <w:numFmt w:val="decimal"/>
      <w:lvlText w:val=""/>
      <w:lvlJc w:val="left"/>
    </w:lvl>
  </w:abstractNum>
  <w:abstractNum w:abstractNumId="311" w15:restartNumberingAfterBreak="0">
    <w:nsid w:val="718FABF9"/>
    <w:multiLevelType w:val="hybridMultilevel"/>
    <w:tmpl w:val="ED9AD326"/>
    <w:lvl w:ilvl="0" w:tplc="E9EC8FCC">
      <w:start w:val="1"/>
      <w:numFmt w:val="bullet"/>
      <w:lvlText w:val="•"/>
      <w:lvlJc w:val="left"/>
    </w:lvl>
    <w:lvl w:ilvl="1" w:tplc="F96EAFFC">
      <w:numFmt w:val="decimal"/>
      <w:lvlText w:val=""/>
      <w:lvlJc w:val="left"/>
    </w:lvl>
    <w:lvl w:ilvl="2" w:tplc="E9286896">
      <w:numFmt w:val="decimal"/>
      <w:lvlText w:val=""/>
      <w:lvlJc w:val="left"/>
    </w:lvl>
    <w:lvl w:ilvl="3" w:tplc="BC98B846">
      <w:numFmt w:val="decimal"/>
      <w:lvlText w:val=""/>
      <w:lvlJc w:val="left"/>
    </w:lvl>
    <w:lvl w:ilvl="4" w:tplc="02B8A716">
      <w:numFmt w:val="decimal"/>
      <w:lvlText w:val=""/>
      <w:lvlJc w:val="left"/>
    </w:lvl>
    <w:lvl w:ilvl="5" w:tplc="8E280BD8">
      <w:numFmt w:val="decimal"/>
      <w:lvlText w:val=""/>
      <w:lvlJc w:val="left"/>
    </w:lvl>
    <w:lvl w:ilvl="6" w:tplc="B4280B76">
      <w:numFmt w:val="decimal"/>
      <w:lvlText w:val=""/>
      <w:lvlJc w:val="left"/>
    </w:lvl>
    <w:lvl w:ilvl="7" w:tplc="32DA2AB0">
      <w:numFmt w:val="decimal"/>
      <w:lvlText w:val=""/>
      <w:lvlJc w:val="left"/>
    </w:lvl>
    <w:lvl w:ilvl="8" w:tplc="F7401728">
      <w:numFmt w:val="decimal"/>
      <w:lvlText w:val=""/>
      <w:lvlJc w:val="left"/>
    </w:lvl>
  </w:abstractNum>
  <w:abstractNum w:abstractNumId="312" w15:restartNumberingAfterBreak="0">
    <w:nsid w:val="71C1AF98"/>
    <w:multiLevelType w:val="hybridMultilevel"/>
    <w:tmpl w:val="8ABCC0C6"/>
    <w:lvl w:ilvl="0" w:tplc="F22C3064">
      <w:start w:val="1"/>
      <w:numFmt w:val="lowerLetter"/>
      <w:lvlText w:val="(%1)"/>
      <w:lvlJc w:val="left"/>
    </w:lvl>
    <w:lvl w:ilvl="1" w:tplc="CA70B608">
      <w:numFmt w:val="decimal"/>
      <w:lvlText w:val=""/>
      <w:lvlJc w:val="left"/>
    </w:lvl>
    <w:lvl w:ilvl="2" w:tplc="F05A320E">
      <w:numFmt w:val="decimal"/>
      <w:lvlText w:val=""/>
      <w:lvlJc w:val="left"/>
    </w:lvl>
    <w:lvl w:ilvl="3" w:tplc="B36A68E8">
      <w:numFmt w:val="decimal"/>
      <w:lvlText w:val=""/>
      <w:lvlJc w:val="left"/>
    </w:lvl>
    <w:lvl w:ilvl="4" w:tplc="185E5226">
      <w:numFmt w:val="decimal"/>
      <w:lvlText w:val=""/>
      <w:lvlJc w:val="left"/>
    </w:lvl>
    <w:lvl w:ilvl="5" w:tplc="16180CDC">
      <w:numFmt w:val="decimal"/>
      <w:lvlText w:val=""/>
      <w:lvlJc w:val="left"/>
    </w:lvl>
    <w:lvl w:ilvl="6" w:tplc="B1045FD6">
      <w:numFmt w:val="decimal"/>
      <w:lvlText w:val=""/>
      <w:lvlJc w:val="left"/>
    </w:lvl>
    <w:lvl w:ilvl="7" w:tplc="10668122">
      <w:numFmt w:val="decimal"/>
      <w:lvlText w:val=""/>
      <w:lvlJc w:val="left"/>
    </w:lvl>
    <w:lvl w:ilvl="8" w:tplc="7480F430">
      <w:numFmt w:val="decimal"/>
      <w:lvlText w:val=""/>
      <w:lvlJc w:val="left"/>
    </w:lvl>
  </w:abstractNum>
  <w:abstractNum w:abstractNumId="313" w15:restartNumberingAfterBreak="0">
    <w:nsid w:val="71D601AF"/>
    <w:multiLevelType w:val="hybridMultilevel"/>
    <w:tmpl w:val="874CD44E"/>
    <w:lvl w:ilvl="0" w:tplc="4B184B32">
      <w:start w:val="1"/>
      <w:numFmt w:val="lowerLetter"/>
      <w:lvlText w:val="(%1)"/>
      <w:lvlJc w:val="left"/>
    </w:lvl>
    <w:lvl w:ilvl="1" w:tplc="172E89D0">
      <w:numFmt w:val="decimal"/>
      <w:lvlText w:val=""/>
      <w:lvlJc w:val="left"/>
    </w:lvl>
    <w:lvl w:ilvl="2" w:tplc="61268E52">
      <w:numFmt w:val="decimal"/>
      <w:lvlText w:val=""/>
      <w:lvlJc w:val="left"/>
    </w:lvl>
    <w:lvl w:ilvl="3" w:tplc="7138FA2E">
      <w:numFmt w:val="decimal"/>
      <w:lvlText w:val=""/>
      <w:lvlJc w:val="left"/>
    </w:lvl>
    <w:lvl w:ilvl="4" w:tplc="55A2B186">
      <w:numFmt w:val="decimal"/>
      <w:lvlText w:val=""/>
      <w:lvlJc w:val="left"/>
    </w:lvl>
    <w:lvl w:ilvl="5" w:tplc="FBD0E82A">
      <w:numFmt w:val="decimal"/>
      <w:lvlText w:val=""/>
      <w:lvlJc w:val="left"/>
    </w:lvl>
    <w:lvl w:ilvl="6" w:tplc="32E01EE4">
      <w:numFmt w:val="decimal"/>
      <w:lvlText w:val=""/>
      <w:lvlJc w:val="left"/>
    </w:lvl>
    <w:lvl w:ilvl="7" w:tplc="5DDAC7F0">
      <w:numFmt w:val="decimal"/>
      <w:lvlText w:val=""/>
      <w:lvlJc w:val="left"/>
    </w:lvl>
    <w:lvl w:ilvl="8" w:tplc="C50E6358">
      <w:numFmt w:val="decimal"/>
      <w:lvlText w:val=""/>
      <w:lvlJc w:val="left"/>
    </w:lvl>
  </w:abstractNum>
  <w:abstractNum w:abstractNumId="314" w15:restartNumberingAfterBreak="0">
    <w:nsid w:val="72E3413A"/>
    <w:multiLevelType w:val="hybridMultilevel"/>
    <w:tmpl w:val="9A2AB5F8"/>
    <w:lvl w:ilvl="0" w:tplc="90602E12">
      <w:start w:val="10"/>
      <w:numFmt w:val="lowerRoman"/>
      <w:lvlText w:val="(%1)"/>
      <w:lvlJc w:val="left"/>
    </w:lvl>
    <w:lvl w:ilvl="1" w:tplc="F85445DE">
      <w:numFmt w:val="decimal"/>
      <w:lvlText w:val=""/>
      <w:lvlJc w:val="left"/>
    </w:lvl>
    <w:lvl w:ilvl="2" w:tplc="B204FB08">
      <w:numFmt w:val="decimal"/>
      <w:lvlText w:val=""/>
      <w:lvlJc w:val="left"/>
    </w:lvl>
    <w:lvl w:ilvl="3" w:tplc="20301B06">
      <w:numFmt w:val="decimal"/>
      <w:lvlText w:val=""/>
      <w:lvlJc w:val="left"/>
    </w:lvl>
    <w:lvl w:ilvl="4" w:tplc="3FB42BEA">
      <w:numFmt w:val="decimal"/>
      <w:lvlText w:val=""/>
      <w:lvlJc w:val="left"/>
    </w:lvl>
    <w:lvl w:ilvl="5" w:tplc="244AA04A">
      <w:numFmt w:val="decimal"/>
      <w:lvlText w:val=""/>
      <w:lvlJc w:val="left"/>
    </w:lvl>
    <w:lvl w:ilvl="6" w:tplc="E9064DDA">
      <w:numFmt w:val="decimal"/>
      <w:lvlText w:val=""/>
      <w:lvlJc w:val="left"/>
    </w:lvl>
    <w:lvl w:ilvl="7" w:tplc="3634AF3E">
      <w:numFmt w:val="decimal"/>
      <w:lvlText w:val=""/>
      <w:lvlJc w:val="left"/>
    </w:lvl>
    <w:lvl w:ilvl="8" w:tplc="914EFA40">
      <w:numFmt w:val="decimal"/>
      <w:lvlText w:val=""/>
      <w:lvlJc w:val="left"/>
    </w:lvl>
  </w:abstractNum>
  <w:abstractNum w:abstractNumId="315" w15:restartNumberingAfterBreak="0">
    <w:nsid w:val="73154115"/>
    <w:multiLevelType w:val="hybridMultilevel"/>
    <w:tmpl w:val="C74EA1D0"/>
    <w:lvl w:ilvl="0" w:tplc="37760824">
      <w:start w:val="1"/>
      <w:numFmt w:val="upperLetter"/>
      <w:lvlText w:val="%1:"/>
      <w:lvlJc w:val="left"/>
    </w:lvl>
    <w:lvl w:ilvl="1" w:tplc="C0449D62">
      <w:numFmt w:val="decimal"/>
      <w:lvlText w:val=""/>
      <w:lvlJc w:val="left"/>
    </w:lvl>
    <w:lvl w:ilvl="2" w:tplc="32D228D4">
      <w:numFmt w:val="decimal"/>
      <w:lvlText w:val=""/>
      <w:lvlJc w:val="left"/>
    </w:lvl>
    <w:lvl w:ilvl="3" w:tplc="D78251F0">
      <w:numFmt w:val="decimal"/>
      <w:lvlText w:val=""/>
      <w:lvlJc w:val="left"/>
    </w:lvl>
    <w:lvl w:ilvl="4" w:tplc="B96AC5C4">
      <w:numFmt w:val="decimal"/>
      <w:lvlText w:val=""/>
      <w:lvlJc w:val="left"/>
    </w:lvl>
    <w:lvl w:ilvl="5" w:tplc="766EE68C">
      <w:numFmt w:val="decimal"/>
      <w:lvlText w:val=""/>
      <w:lvlJc w:val="left"/>
    </w:lvl>
    <w:lvl w:ilvl="6" w:tplc="14101DB0">
      <w:numFmt w:val="decimal"/>
      <w:lvlText w:val=""/>
      <w:lvlJc w:val="left"/>
    </w:lvl>
    <w:lvl w:ilvl="7" w:tplc="686A2EA6">
      <w:numFmt w:val="decimal"/>
      <w:lvlText w:val=""/>
      <w:lvlJc w:val="left"/>
    </w:lvl>
    <w:lvl w:ilvl="8" w:tplc="EDB839E0">
      <w:numFmt w:val="decimal"/>
      <w:lvlText w:val=""/>
      <w:lvlJc w:val="left"/>
    </w:lvl>
  </w:abstractNum>
  <w:abstractNum w:abstractNumId="316" w15:restartNumberingAfterBreak="0">
    <w:nsid w:val="73209072"/>
    <w:multiLevelType w:val="hybridMultilevel"/>
    <w:tmpl w:val="FBCE9EDE"/>
    <w:lvl w:ilvl="0" w:tplc="38A0B0A4">
      <w:start w:val="1"/>
      <w:numFmt w:val="lowerLetter"/>
      <w:lvlText w:val="(%1)"/>
      <w:lvlJc w:val="left"/>
    </w:lvl>
    <w:lvl w:ilvl="1" w:tplc="03342BF2">
      <w:numFmt w:val="decimal"/>
      <w:lvlText w:val=""/>
      <w:lvlJc w:val="left"/>
    </w:lvl>
    <w:lvl w:ilvl="2" w:tplc="58145D7A">
      <w:numFmt w:val="decimal"/>
      <w:lvlText w:val=""/>
      <w:lvlJc w:val="left"/>
    </w:lvl>
    <w:lvl w:ilvl="3" w:tplc="9B2422CA">
      <w:numFmt w:val="decimal"/>
      <w:lvlText w:val=""/>
      <w:lvlJc w:val="left"/>
    </w:lvl>
    <w:lvl w:ilvl="4" w:tplc="DFEAD09E">
      <w:numFmt w:val="decimal"/>
      <w:lvlText w:val=""/>
      <w:lvlJc w:val="left"/>
    </w:lvl>
    <w:lvl w:ilvl="5" w:tplc="FA60E712">
      <w:numFmt w:val="decimal"/>
      <w:lvlText w:val=""/>
      <w:lvlJc w:val="left"/>
    </w:lvl>
    <w:lvl w:ilvl="6" w:tplc="32A0784E">
      <w:numFmt w:val="decimal"/>
      <w:lvlText w:val=""/>
      <w:lvlJc w:val="left"/>
    </w:lvl>
    <w:lvl w:ilvl="7" w:tplc="BAB08236">
      <w:numFmt w:val="decimal"/>
      <w:lvlText w:val=""/>
      <w:lvlJc w:val="left"/>
    </w:lvl>
    <w:lvl w:ilvl="8" w:tplc="EE027566">
      <w:numFmt w:val="decimal"/>
      <w:lvlText w:val=""/>
      <w:lvlJc w:val="left"/>
    </w:lvl>
  </w:abstractNum>
  <w:abstractNum w:abstractNumId="317" w15:restartNumberingAfterBreak="0">
    <w:nsid w:val="73BBD7F8"/>
    <w:multiLevelType w:val="hybridMultilevel"/>
    <w:tmpl w:val="105CF5A0"/>
    <w:lvl w:ilvl="0" w:tplc="BB9E1172">
      <w:start w:val="1"/>
      <w:numFmt w:val="lowerLetter"/>
      <w:lvlText w:val="%1"/>
      <w:lvlJc w:val="left"/>
    </w:lvl>
    <w:lvl w:ilvl="1" w:tplc="A20C1C76">
      <w:start w:val="35"/>
      <w:numFmt w:val="lowerLetter"/>
      <w:lvlText w:val="(%2)"/>
      <w:lvlJc w:val="left"/>
    </w:lvl>
    <w:lvl w:ilvl="2" w:tplc="568CB760">
      <w:numFmt w:val="decimal"/>
      <w:lvlText w:val=""/>
      <w:lvlJc w:val="left"/>
    </w:lvl>
    <w:lvl w:ilvl="3" w:tplc="6BC62B72">
      <w:numFmt w:val="decimal"/>
      <w:lvlText w:val=""/>
      <w:lvlJc w:val="left"/>
    </w:lvl>
    <w:lvl w:ilvl="4" w:tplc="3F90E09C">
      <w:numFmt w:val="decimal"/>
      <w:lvlText w:val=""/>
      <w:lvlJc w:val="left"/>
    </w:lvl>
    <w:lvl w:ilvl="5" w:tplc="7570BE66">
      <w:numFmt w:val="decimal"/>
      <w:lvlText w:val=""/>
      <w:lvlJc w:val="left"/>
    </w:lvl>
    <w:lvl w:ilvl="6" w:tplc="C010B4FE">
      <w:numFmt w:val="decimal"/>
      <w:lvlText w:val=""/>
      <w:lvlJc w:val="left"/>
    </w:lvl>
    <w:lvl w:ilvl="7" w:tplc="08AE5348">
      <w:numFmt w:val="decimal"/>
      <w:lvlText w:val=""/>
      <w:lvlJc w:val="left"/>
    </w:lvl>
    <w:lvl w:ilvl="8" w:tplc="5F944452">
      <w:numFmt w:val="decimal"/>
      <w:lvlText w:val=""/>
      <w:lvlJc w:val="left"/>
    </w:lvl>
  </w:abstractNum>
  <w:abstractNum w:abstractNumId="318" w15:restartNumberingAfterBreak="0">
    <w:nsid w:val="73CFE165"/>
    <w:multiLevelType w:val="hybridMultilevel"/>
    <w:tmpl w:val="4C8CEAF8"/>
    <w:lvl w:ilvl="0" w:tplc="AA50470E">
      <w:start w:val="1"/>
      <w:numFmt w:val="bullet"/>
      <w:lvlText w:val="•"/>
      <w:lvlJc w:val="left"/>
    </w:lvl>
    <w:lvl w:ilvl="1" w:tplc="5C06AE8C">
      <w:numFmt w:val="decimal"/>
      <w:lvlText w:val=""/>
      <w:lvlJc w:val="left"/>
    </w:lvl>
    <w:lvl w:ilvl="2" w:tplc="E6A4E2F4">
      <w:numFmt w:val="decimal"/>
      <w:lvlText w:val=""/>
      <w:lvlJc w:val="left"/>
    </w:lvl>
    <w:lvl w:ilvl="3" w:tplc="39FCFE34">
      <w:numFmt w:val="decimal"/>
      <w:lvlText w:val=""/>
      <w:lvlJc w:val="left"/>
    </w:lvl>
    <w:lvl w:ilvl="4" w:tplc="95EE3D26">
      <w:numFmt w:val="decimal"/>
      <w:lvlText w:val=""/>
      <w:lvlJc w:val="left"/>
    </w:lvl>
    <w:lvl w:ilvl="5" w:tplc="6C404DC2">
      <w:numFmt w:val="decimal"/>
      <w:lvlText w:val=""/>
      <w:lvlJc w:val="left"/>
    </w:lvl>
    <w:lvl w:ilvl="6" w:tplc="83B0580C">
      <w:numFmt w:val="decimal"/>
      <w:lvlText w:val=""/>
      <w:lvlJc w:val="left"/>
    </w:lvl>
    <w:lvl w:ilvl="7" w:tplc="5286639C">
      <w:numFmt w:val="decimal"/>
      <w:lvlText w:val=""/>
      <w:lvlJc w:val="left"/>
    </w:lvl>
    <w:lvl w:ilvl="8" w:tplc="DDF6BD9A">
      <w:numFmt w:val="decimal"/>
      <w:lvlText w:val=""/>
      <w:lvlJc w:val="left"/>
    </w:lvl>
  </w:abstractNum>
  <w:abstractNum w:abstractNumId="319" w15:restartNumberingAfterBreak="0">
    <w:nsid w:val="74C93698"/>
    <w:multiLevelType w:val="hybridMultilevel"/>
    <w:tmpl w:val="2F12161C"/>
    <w:lvl w:ilvl="0" w:tplc="AEA22ADA">
      <w:start w:val="1"/>
      <w:numFmt w:val="bullet"/>
      <w:lvlText w:val="•"/>
      <w:lvlJc w:val="left"/>
    </w:lvl>
    <w:lvl w:ilvl="1" w:tplc="53042B6E">
      <w:start w:val="24"/>
      <w:numFmt w:val="lowerLetter"/>
      <w:lvlText w:val="(%2)"/>
      <w:lvlJc w:val="left"/>
    </w:lvl>
    <w:lvl w:ilvl="2" w:tplc="84620D42">
      <w:numFmt w:val="decimal"/>
      <w:lvlText w:val=""/>
      <w:lvlJc w:val="left"/>
    </w:lvl>
    <w:lvl w:ilvl="3" w:tplc="0DC0FDB6">
      <w:numFmt w:val="decimal"/>
      <w:lvlText w:val=""/>
      <w:lvlJc w:val="left"/>
    </w:lvl>
    <w:lvl w:ilvl="4" w:tplc="F4FA9D60">
      <w:numFmt w:val="decimal"/>
      <w:lvlText w:val=""/>
      <w:lvlJc w:val="left"/>
    </w:lvl>
    <w:lvl w:ilvl="5" w:tplc="D9D457A2">
      <w:numFmt w:val="decimal"/>
      <w:lvlText w:val=""/>
      <w:lvlJc w:val="left"/>
    </w:lvl>
    <w:lvl w:ilvl="6" w:tplc="5ED2235E">
      <w:numFmt w:val="decimal"/>
      <w:lvlText w:val=""/>
      <w:lvlJc w:val="left"/>
    </w:lvl>
    <w:lvl w:ilvl="7" w:tplc="1CC63A4C">
      <w:numFmt w:val="decimal"/>
      <w:lvlText w:val=""/>
      <w:lvlJc w:val="left"/>
    </w:lvl>
    <w:lvl w:ilvl="8" w:tplc="D5280DC4">
      <w:numFmt w:val="decimal"/>
      <w:lvlText w:val=""/>
      <w:lvlJc w:val="left"/>
    </w:lvl>
  </w:abstractNum>
  <w:abstractNum w:abstractNumId="320" w15:restartNumberingAfterBreak="0">
    <w:nsid w:val="7525F2BC"/>
    <w:multiLevelType w:val="hybridMultilevel"/>
    <w:tmpl w:val="ABBE4270"/>
    <w:lvl w:ilvl="0" w:tplc="5386BAEC">
      <w:start w:val="4"/>
      <w:numFmt w:val="decimal"/>
      <w:lvlText w:val="(%1)"/>
      <w:lvlJc w:val="left"/>
    </w:lvl>
    <w:lvl w:ilvl="1" w:tplc="69904196">
      <w:numFmt w:val="decimal"/>
      <w:lvlText w:val=""/>
      <w:lvlJc w:val="left"/>
    </w:lvl>
    <w:lvl w:ilvl="2" w:tplc="72DE4512">
      <w:numFmt w:val="decimal"/>
      <w:lvlText w:val=""/>
      <w:lvlJc w:val="left"/>
    </w:lvl>
    <w:lvl w:ilvl="3" w:tplc="3AA656C2">
      <w:numFmt w:val="decimal"/>
      <w:lvlText w:val=""/>
      <w:lvlJc w:val="left"/>
    </w:lvl>
    <w:lvl w:ilvl="4" w:tplc="A82E97EE">
      <w:numFmt w:val="decimal"/>
      <w:lvlText w:val=""/>
      <w:lvlJc w:val="left"/>
    </w:lvl>
    <w:lvl w:ilvl="5" w:tplc="0FC07478">
      <w:numFmt w:val="decimal"/>
      <w:lvlText w:val=""/>
      <w:lvlJc w:val="left"/>
    </w:lvl>
    <w:lvl w:ilvl="6" w:tplc="7ECE36CC">
      <w:numFmt w:val="decimal"/>
      <w:lvlText w:val=""/>
      <w:lvlJc w:val="left"/>
    </w:lvl>
    <w:lvl w:ilvl="7" w:tplc="8B58207E">
      <w:numFmt w:val="decimal"/>
      <w:lvlText w:val=""/>
      <w:lvlJc w:val="left"/>
    </w:lvl>
    <w:lvl w:ilvl="8" w:tplc="DDDE50BC">
      <w:numFmt w:val="decimal"/>
      <w:lvlText w:val=""/>
      <w:lvlJc w:val="left"/>
    </w:lvl>
  </w:abstractNum>
  <w:abstractNum w:abstractNumId="321" w15:restartNumberingAfterBreak="0">
    <w:nsid w:val="75509D76"/>
    <w:multiLevelType w:val="hybridMultilevel"/>
    <w:tmpl w:val="7B40DD86"/>
    <w:lvl w:ilvl="0" w:tplc="0C8A7734">
      <w:start w:val="1"/>
      <w:numFmt w:val="bullet"/>
      <w:lvlText w:val="•"/>
      <w:lvlJc w:val="left"/>
    </w:lvl>
    <w:lvl w:ilvl="1" w:tplc="8BE689A6">
      <w:numFmt w:val="decimal"/>
      <w:lvlText w:val=""/>
      <w:lvlJc w:val="left"/>
    </w:lvl>
    <w:lvl w:ilvl="2" w:tplc="34D891C8">
      <w:numFmt w:val="decimal"/>
      <w:lvlText w:val=""/>
      <w:lvlJc w:val="left"/>
    </w:lvl>
    <w:lvl w:ilvl="3" w:tplc="137A9156">
      <w:numFmt w:val="decimal"/>
      <w:lvlText w:val=""/>
      <w:lvlJc w:val="left"/>
    </w:lvl>
    <w:lvl w:ilvl="4" w:tplc="35AED9FC">
      <w:numFmt w:val="decimal"/>
      <w:lvlText w:val=""/>
      <w:lvlJc w:val="left"/>
    </w:lvl>
    <w:lvl w:ilvl="5" w:tplc="1E26FDC8">
      <w:numFmt w:val="decimal"/>
      <w:lvlText w:val=""/>
      <w:lvlJc w:val="left"/>
    </w:lvl>
    <w:lvl w:ilvl="6" w:tplc="AC0CE824">
      <w:numFmt w:val="decimal"/>
      <w:lvlText w:val=""/>
      <w:lvlJc w:val="left"/>
    </w:lvl>
    <w:lvl w:ilvl="7" w:tplc="68F85380">
      <w:numFmt w:val="decimal"/>
      <w:lvlText w:val=""/>
      <w:lvlJc w:val="left"/>
    </w:lvl>
    <w:lvl w:ilvl="8" w:tplc="DF8EF63A">
      <w:numFmt w:val="decimal"/>
      <w:lvlText w:val=""/>
      <w:lvlJc w:val="left"/>
    </w:lvl>
  </w:abstractNum>
  <w:abstractNum w:abstractNumId="322" w15:restartNumberingAfterBreak="0">
    <w:nsid w:val="75B52783"/>
    <w:multiLevelType w:val="hybridMultilevel"/>
    <w:tmpl w:val="CC34964A"/>
    <w:lvl w:ilvl="0" w:tplc="0F8E2B88">
      <w:start w:val="1"/>
      <w:numFmt w:val="lowerLetter"/>
      <w:lvlText w:val="(%1)"/>
      <w:lvlJc w:val="left"/>
    </w:lvl>
    <w:lvl w:ilvl="1" w:tplc="519A081A">
      <w:start w:val="2"/>
      <w:numFmt w:val="lowerLetter"/>
      <w:lvlText w:val="(%2)"/>
      <w:lvlJc w:val="left"/>
    </w:lvl>
    <w:lvl w:ilvl="2" w:tplc="49908F92">
      <w:numFmt w:val="decimal"/>
      <w:lvlText w:val=""/>
      <w:lvlJc w:val="left"/>
    </w:lvl>
    <w:lvl w:ilvl="3" w:tplc="776CEF6C">
      <w:numFmt w:val="decimal"/>
      <w:lvlText w:val=""/>
      <w:lvlJc w:val="left"/>
    </w:lvl>
    <w:lvl w:ilvl="4" w:tplc="83FE3662">
      <w:numFmt w:val="decimal"/>
      <w:lvlText w:val=""/>
      <w:lvlJc w:val="left"/>
    </w:lvl>
    <w:lvl w:ilvl="5" w:tplc="DF902FBE">
      <w:numFmt w:val="decimal"/>
      <w:lvlText w:val=""/>
      <w:lvlJc w:val="left"/>
    </w:lvl>
    <w:lvl w:ilvl="6" w:tplc="FD6A805C">
      <w:numFmt w:val="decimal"/>
      <w:lvlText w:val=""/>
      <w:lvlJc w:val="left"/>
    </w:lvl>
    <w:lvl w:ilvl="7" w:tplc="ED7421C6">
      <w:numFmt w:val="decimal"/>
      <w:lvlText w:val=""/>
      <w:lvlJc w:val="left"/>
    </w:lvl>
    <w:lvl w:ilvl="8" w:tplc="0D28379A">
      <w:numFmt w:val="decimal"/>
      <w:lvlText w:val=""/>
      <w:lvlJc w:val="left"/>
    </w:lvl>
  </w:abstractNum>
  <w:abstractNum w:abstractNumId="323" w15:restartNumberingAfterBreak="0">
    <w:nsid w:val="7635AA2A"/>
    <w:multiLevelType w:val="hybridMultilevel"/>
    <w:tmpl w:val="8D8485AA"/>
    <w:lvl w:ilvl="0" w:tplc="31B8D338">
      <w:start w:val="1"/>
      <w:numFmt w:val="upperLetter"/>
      <w:lvlText w:val="%1:"/>
      <w:lvlJc w:val="left"/>
    </w:lvl>
    <w:lvl w:ilvl="1" w:tplc="C68469B8">
      <w:numFmt w:val="decimal"/>
      <w:lvlText w:val=""/>
      <w:lvlJc w:val="left"/>
    </w:lvl>
    <w:lvl w:ilvl="2" w:tplc="16D09DB6">
      <w:numFmt w:val="decimal"/>
      <w:lvlText w:val=""/>
      <w:lvlJc w:val="left"/>
    </w:lvl>
    <w:lvl w:ilvl="3" w:tplc="CB10DC50">
      <w:numFmt w:val="decimal"/>
      <w:lvlText w:val=""/>
      <w:lvlJc w:val="left"/>
    </w:lvl>
    <w:lvl w:ilvl="4" w:tplc="8CC6F68A">
      <w:numFmt w:val="decimal"/>
      <w:lvlText w:val=""/>
      <w:lvlJc w:val="left"/>
    </w:lvl>
    <w:lvl w:ilvl="5" w:tplc="B57CD0E2">
      <w:numFmt w:val="decimal"/>
      <w:lvlText w:val=""/>
      <w:lvlJc w:val="left"/>
    </w:lvl>
    <w:lvl w:ilvl="6" w:tplc="2F007D8E">
      <w:numFmt w:val="decimal"/>
      <w:lvlText w:val=""/>
      <w:lvlJc w:val="left"/>
    </w:lvl>
    <w:lvl w:ilvl="7" w:tplc="0EF8A612">
      <w:numFmt w:val="decimal"/>
      <w:lvlText w:val=""/>
      <w:lvlJc w:val="left"/>
    </w:lvl>
    <w:lvl w:ilvl="8" w:tplc="9116632C">
      <w:numFmt w:val="decimal"/>
      <w:lvlText w:val=""/>
      <w:lvlJc w:val="left"/>
    </w:lvl>
  </w:abstractNum>
  <w:abstractNum w:abstractNumId="324" w15:restartNumberingAfterBreak="0">
    <w:nsid w:val="763B8C4E"/>
    <w:multiLevelType w:val="hybridMultilevel"/>
    <w:tmpl w:val="503A2784"/>
    <w:lvl w:ilvl="0" w:tplc="62D2A6B2">
      <w:start w:val="1"/>
      <w:numFmt w:val="bullet"/>
      <w:lvlText w:val="•"/>
      <w:lvlJc w:val="left"/>
    </w:lvl>
    <w:lvl w:ilvl="1" w:tplc="7C1A5204">
      <w:numFmt w:val="decimal"/>
      <w:lvlText w:val=""/>
      <w:lvlJc w:val="left"/>
    </w:lvl>
    <w:lvl w:ilvl="2" w:tplc="F0987B84">
      <w:numFmt w:val="decimal"/>
      <w:lvlText w:val=""/>
      <w:lvlJc w:val="left"/>
    </w:lvl>
    <w:lvl w:ilvl="3" w:tplc="D6787B48">
      <w:numFmt w:val="decimal"/>
      <w:lvlText w:val=""/>
      <w:lvlJc w:val="left"/>
    </w:lvl>
    <w:lvl w:ilvl="4" w:tplc="2026C862">
      <w:numFmt w:val="decimal"/>
      <w:lvlText w:val=""/>
      <w:lvlJc w:val="left"/>
    </w:lvl>
    <w:lvl w:ilvl="5" w:tplc="031495DC">
      <w:numFmt w:val="decimal"/>
      <w:lvlText w:val=""/>
      <w:lvlJc w:val="left"/>
    </w:lvl>
    <w:lvl w:ilvl="6" w:tplc="B70A8D8E">
      <w:numFmt w:val="decimal"/>
      <w:lvlText w:val=""/>
      <w:lvlJc w:val="left"/>
    </w:lvl>
    <w:lvl w:ilvl="7" w:tplc="10482094">
      <w:numFmt w:val="decimal"/>
      <w:lvlText w:val=""/>
      <w:lvlJc w:val="left"/>
    </w:lvl>
    <w:lvl w:ilvl="8" w:tplc="3AD80032">
      <w:numFmt w:val="decimal"/>
      <w:lvlText w:val=""/>
      <w:lvlJc w:val="left"/>
    </w:lvl>
  </w:abstractNum>
  <w:abstractNum w:abstractNumId="325" w15:restartNumberingAfterBreak="0">
    <w:nsid w:val="763CB680"/>
    <w:multiLevelType w:val="hybridMultilevel"/>
    <w:tmpl w:val="CAA00F58"/>
    <w:lvl w:ilvl="0" w:tplc="0914C49C">
      <w:start w:val="2"/>
      <w:numFmt w:val="lowerLetter"/>
      <w:lvlText w:val="(%1)"/>
      <w:lvlJc w:val="left"/>
    </w:lvl>
    <w:lvl w:ilvl="1" w:tplc="43B60D6E">
      <w:numFmt w:val="decimal"/>
      <w:lvlText w:val=""/>
      <w:lvlJc w:val="left"/>
    </w:lvl>
    <w:lvl w:ilvl="2" w:tplc="930488DC">
      <w:numFmt w:val="decimal"/>
      <w:lvlText w:val=""/>
      <w:lvlJc w:val="left"/>
    </w:lvl>
    <w:lvl w:ilvl="3" w:tplc="01241274">
      <w:numFmt w:val="decimal"/>
      <w:lvlText w:val=""/>
      <w:lvlJc w:val="left"/>
    </w:lvl>
    <w:lvl w:ilvl="4" w:tplc="70E0A354">
      <w:numFmt w:val="decimal"/>
      <w:lvlText w:val=""/>
      <w:lvlJc w:val="left"/>
    </w:lvl>
    <w:lvl w:ilvl="5" w:tplc="6F4878FC">
      <w:numFmt w:val="decimal"/>
      <w:lvlText w:val=""/>
      <w:lvlJc w:val="left"/>
    </w:lvl>
    <w:lvl w:ilvl="6" w:tplc="DA58032C">
      <w:numFmt w:val="decimal"/>
      <w:lvlText w:val=""/>
      <w:lvlJc w:val="left"/>
    </w:lvl>
    <w:lvl w:ilvl="7" w:tplc="1A2EC644">
      <w:numFmt w:val="decimal"/>
      <w:lvlText w:val=""/>
      <w:lvlJc w:val="left"/>
    </w:lvl>
    <w:lvl w:ilvl="8" w:tplc="9E28F3DA">
      <w:numFmt w:val="decimal"/>
      <w:lvlText w:val=""/>
      <w:lvlJc w:val="left"/>
    </w:lvl>
  </w:abstractNum>
  <w:abstractNum w:abstractNumId="326" w15:restartNumberingAfterBreak="0">
    <w:nsid w:val="76574F8B"/>
    <w:multiLevelType w:val="hybridMultilevel"/>
    <w:tmpl w:val="B00A1F52"/>
    <w:lvl w:ilvl="0" w:tplc="ED940228">
      <w:start w:val="1"/>
      <w:numFmt w:val="bullet"/>
      <w:lvlText w:val="•"/>
      <w:lvlJc w:val="left"/>
    </w:lvl>
    <w:lvl w:ilvl="1" w:tplc="FA369E08">
      <w:numFmt w:val="decimal"/>
      <w:lvlText w:val=""/>
      <w:lvlJc w:val="left"/>
    </w:lvl>
    <w:lvl w:ilvl="2" w:tplc="0FEE9AEA">
      <w:numFmt w:val="decimal"/>
      <w:lvlText w:val=""/>
      <w:lvlJc w:val="left"/>
    </w:lvl>
    <w:lvl w:ilvl="3" w:tplc="AB26860A">
      <w:numFmt w:val="decimal"/>
      <w:lvlText w:val=""/>
      <w:lvlJc w:val="left"/>
    </w:lvl>
    <w:lvl w:ilvl="4" w:tplc="958A64CA">
      <w:numFmt w:val="decimal"/>
      <w:lvlText w:val=""/>
      <w:lvlJc w:val="left"/>
    </w:lvl>
    <w:lvl w:ilvl="5" w:tplc="2EDAB956">
      <w:numFmt w:val="decimal"/>
      <w:lvlText w:val=""/>
      <w:lvlJc w:val="left"/>
    </w:lvl>
    <w:lvl w:ilvl="6" w:tplc="B79C81A4">
      <w:numFmt w:val="decimal"/>
      <w:lvlText w:val=""/>
      <w:lvlJc w:val="left"/>
    </w:lvl>
    <w:lvl w:ilvl="7" w:tplc="CFC09194">
      <w:numFmt w:val="decimal"/>
      <w:lvlText w:val=""/>
      <w:lvlJc w:val="left"/>
    </w:lvl>
    <w:lvl w:ilvl="8" w:tplc="64104D02">
      <w:numFmt w:val="decimal"/>
      <w:lvlText w:val=""/>
      <w:lvlJc w:val="left"/>
    </w:lvl>
  </w:abstractNum>
  <w:abstractNum w:abstractNumId="327" w15:restartNumberingAfterBreak="0">
    <w:nsid w:val="769A091F"/>
    <w:multiLevelType w:val="hybridMultilevel"/>
    <w:tmpl w:val="F9E2F1E2"/>
    <w:lvl w:ilvl="0" w:tplc="2EE45F06">
      <w:start w:val="3"/>
      <w:numFmt w:val="lowerLetter"/>
      <w:lvlText w:val="(%1)"/>
      <w:lvlJc w:val="left"/>
    </w:lvl>
    <w:lvl w:ilvl="1" w:tplc="061A61B6">
      <w:start w:val="1"/>
      <w:numFmt w:val="lowerLetter"/>
      <w:lvlText w:val="%2"/>
      <w:lvlJc w:val="left"/>
    </w:lvl>
    <w:lvl w:ilvl="2" w:tplc="224E8CCA">
      <w:numFmt w:val="decimal"/>
      <w:lvlText w:val=""/>
      <w:lvlJc w:val="left"/>
    </w:lvl>
    <w:lvl w:ilvl="3" w:tplc="CA54A1DA">
      <w:numFmt w:val="decimal"/>
      <w:lvlText w:val=""/>
      <w:lvlJc w:val="left"/>
    </w:lvl>
    <w:lvl w:ilvl="4" w:tplc="8F58C894">
      <w:numFmt w:val="decimal"/>
      <w:lvlText w:val=""/>
      <w:lvlJc w:val="left"/>
    </w:lvl>
    <w:lvl w:ilvl="5" w:tplc="49AE2B9C">
      <w:numFmt w:val="decimal"/>
      <w:lvlText w:val=""/>
      <w:lvlJc w:val="left"/>
    </w:lvl>
    <w:lvl w:ilvl="6" w:tplc="6AA46F28">
      <w:numFmt w:val="decimal"/>
      <w:lvlText w:val=""/>
      <w:lvlJc w:val="left"/>
    </w:lvl>
    <w:lvl w:ilvl="7" w:tplc="D4AED450">
      <w:numFmt w:val="decimal"/>
      <w:lvlText w:val=""/>
      <w:lvlJc w:val="left"/>
    </w:lvl>
    <w:lvl w:ilvl="8" w:tplc="AED81EB0">
      <w:numFmt w:val="decimal"/>
      <w:lvlText w:val=""/>
      <w:lvlJc w:val="left"/>
    </w:lvl>
  </w:abstractNum>
  <w:abstractNum w:abstractNumId="328" w15:restartNumberingAfterBreak="0">
    <w:nsid w:val="775BA7C1"/>
    <w:multiLevelType w:val="hybridMultilevel"/>
    <w:tmpl w:val="0F08E6BE"/>
    <w:lvl w:ilvl="0" w:tplc="B746A914">
      <w:start w:val="1"/>
      <w:numFmt w:val="lowerLetter"/>
      <w:lvlText w:val="(%1)"/>
      <w:lvlJc w:val="left"/>
    </w:lvl>
    <w:lvl w:ilvl="1" w:tplc="D74C16E0">
      <w:start w:val="9"/>
      <w:numFmt w:val="lowerLetter"/>
      <w:lvlText w:val="(%2)"/>
      <w:lvlJc w:val="left"/>
    </w:lvl>
    <w:lvl w:ilvl="2" w:tplc="1196057A">
      <w:numFmt w:val="decimal"/>
      <w:lvlText w:val=""/>
      <w:lvlJc w:val="left"/>
    </w:lvl>
    <w:lvl w:ilvl="3" w:tplc="67EAEA2A">
      <w:numFmt w:val="decimal"/>
      <w:lvlText w:val=""/>
      <w:lvlJc w:val="left"/>
    </w:lvl>
    <w:lvl w:ilvl="4" w:tplc="EB6C0EC6">
      <w:numFmt w:val="decimal"/>
      <w:lvlText w:val=""/>
      <w:lvlJc w:val="left"/>
    </w:lvl>
    <w:lvl w:ilvl="5" w:tplc="4904A1E0">
      <w:numFmt w:val="decimal"/>
      <w:lvlText w:val=""/>
      <w:lvlJc w:val="left"/>
    </w:lvl>
    <w:lvl w:ilvl="6" w:tplc="A0FEB1A0">
      <w:numFmt w:val="decimal"/>
      <w:lvlText w:val=""/>
      <w:lvlJc w:val="left"/>
    </w:lvl>
    <w:lvl w:ilvl="7" w:tplc="EB304B0C">
      <w:numFmt w:val="decimal"/>
      <w:lvlText w:val=""/>
      <w:lvlJc w:val="left"/>
    </w:lvl>
    <w:lvl w:ilvl="8" w:tplc="7AD6DA5E">
      <w:numFmt w:val="decimal"/>
      <w:lvlText w:val=""/>
      <w:lvlJc w:val="left"/>
    </w:lvl>
  </w:abstractNum>
  <w:abstractNum w:abstractNumId="329" w15:restartNumberingAfterBreak="0">
    <w:nsid w:val="7775797C"/>
    <w:multiLevelType w:val="hybridMultilevel"/>
    <w:tmpl w:val="C356752E"/>
    <w:lvl w:ilvl="0" w:tplc="FAC02E08">
      <w:start w:val="1"/>
      <w:numFmt w:val="bullet"/>
      <w:lvlText w:val="•"/>
      <w:lvlJc w:val="left"/>
    </w:lvl>
    <w:lvl w:ilvl="1" w:tplc="778C93B8">
      <w:numFmt w:val="decimal"/>
      <w:lvlText w:val=""/>
      <w:lvlJc w:val="left"/>
    </w:lvl>
    <w:lvl w:ilvl="2" w:tplc="A40C0C4A">
      <w:numFmt w:val="decimal"/>
      <w:lvlText w:val=""/>
      <w:lvlJc w:val="left"/>
    </w:lvl>
    <w:lvl w:ilvl="3" w:tplc="B8008FA4">
      <w:numFmt w:val="decimal"/>
      <w:lvlText w:val=""/>
      <w:lvlJc w:val="left"/>
    </w:lvl>
    <w:lvl w:ilvl="4" w:tplc="2328FB4C">
      <w:numFmt w:val="decimal"/>
      <w:lvlText w:val=""/>
      <w:lvlJc w:val="left"/>
    </w:lvl>
    <w:lvl w:ilvl="5" w:tplc="1F649570">
      <w:numFmt w:val="decimal"/>
      <w:lvlText w:val=""/>
      <w:lvlJc w:val="left"/>
    </w:lvl>
    <w:lvl w:ilvl="6" w:tplc="90F2FCFC">
      <w:numFmt w:val="decimal"/>
      <w:lvlText w:val=""/>
      <w:lvlJc w:val="left"/>
    </w:lvl>
    <w:lvl w:ilvl="7" w:tplc="0DD2ACE6">
      <w:numFmt w:val="decimal"/>
      <w:lvlText w:val=""/>
      <w:lvlJc w:val="left"/>
    </w:lvl>
    <w:lvl w:ilvl="8" w:tplc="8F5E70B0">
      <w:numFmt w:val="decimal"/>
      <w:lvlText w:val=""/>
      <w:lvlJc w:val="left"/>
    </w:lvl>
  </w:abstractNum>
  <w:abstractNum w:abstractNumId="330" w15:restartNumberingAfterBreak="0">
    <w:nsid w:val="777A4EAA"/>
    <w:multiLevelType w:val="hybridMultilevel"/>
    <w:tmpl w:val="6C3CD81C"/>
    <w:lvl w:ilvl="0" w:tplc="53429F06">
      <w:start w:val="1"/>
      <w:numFmt w:val="lowerLetter"/>
      <w:lvlText w:val="(%1)"/>
      <w:lvlJc w:val="left"/>
    </w:lvl>
    <w:lvl w:ilvl="1" w:tplc="397472E2">
      <w:numFmt w:val="decimal"/>
      <w:lvlText w:val=""/>
      <w:lvlJc w:val="left"/>
    </w:lvl>
    <w:lvl w:ilvl="2" w:tplc="C7520DD4">
      <w:numFmt w:val="decimal"/>
      <w:lvlText w:val=""/>
      <w:lvlJc w:val="left"/>
    </w:lvl>
    <w:lvl w:ilvl="3" w:tplc="F8880F16">
      <w:numFmt w:val="decimal"/>
      <w:lvlText w:val=""/>
      <w:lvlJc w:val="left"/>
    </w:lvl>
    <w:lvl w:ilvl="4" w:tplc="4564A1CA">
      <w:numFmt w:val="decimal"/>
      <w:lvlText w:val=""/>
      <w:lvlJc w:val="left"/>
    </w:lvl>
    <w:lvl w:ilvl="5" w:tplc="6882BE16">
      <w:numFmt w:val="decimal"/>
      <w:lvlText w:val=""/>
      <w:lvlJc w:val="left"/>
    </w:lvl>
    <w:lvl w:ilvl="6" w:tplc="FCA2861A">
      <w:numFmt w:val="decimal"/>
      <w:lvlText w:val=""/>
      <w:lvlJc w:val="left"/>
    </w:lvl>
    <w:lvl w:ilvl="7" w:tplc="3310413C">
      <w:numFmt w:val="decimal"/>
      <w:lvlText w:val=""/>
      <w:lvlJc w:val="left"/>
    </w:lvl>
    <w:lvl w:ilvl="8" w:tplc="01D81BAE">
      <w:numFmt w:val="decimal"/>
      <w:lvlText w:val=""/>
      <w:lvlJc w:val="left"/>
    </w:lvl>
  </w:abstractNum>
  <w:abstractNum w:abstractNumId="331" w15:restartNumberingAfterBreak="0">
    <w:nsid w:val="779D8544"/>
    <w:multiLevelType w:val="hybridMultilevel"/>
    <w:tmpl w:val="C5607B3A"/>
    <w:lvl w:ilvl="0" w:tplc="0002B336">
      <w:start w:val="1"/>
      <w:numFmt w:val="lowerLetter"/>
      <w:lvlText w:val="(%1)"/>
      <w:lvlJc w:val="left"/>
    </w:lvl>
    <w:lvl w:ilvl="1" w:tplc="9538341C">
      <w:numFmt w:val="decimal"/>
      <w:lvlText w:val=""/>
      <w:lvlJc w:val="left"/>
    </w:lvl>
    <w:lvl w:ilvl="2" w:tplc="603C76F2">
      <w:numFmt w:val="decimal"/>
      <w:lvlText w:val=""/>
      <w:lvlJc w:val="left"/>
    </w:lvl>
    <w:lvl w:ilvl="3" w:tplc="8EFE2F6A">
      <w:numFmt w:val="decimal"/>
      <w:lvlText w:val=""/>
      <w:lvlJc w:val="left"/>
    </w:lvl>
    <w:lvl w:ilvl="4" w:tplc="71DC8BD2">
      <w:numFmt w:val="decimal"/>
      <w:lvlText w:val=""/>
      <w:lvlJc w:val="left"/>
    </w:lvl>
    <w:lvl w:ilvl="5" w:tplc="986E5094">
      <w:numFmt w:val="decimal"/>
      <w:lvlText w:val=""/>
      <w:lvlJc w:val="left"/>
    </w:lvl>
    <w:lvl w:ilvl="6" w:tplc="BC582C92">
      <w:numFmt w:val="decimal"/>
      <w:lvlText w:val=""/>
      <w:lvlJc w:val="left"/>
    </w:lvl>
    <w:lvl w:ilvl="7" w:tplc="6394AD16">
      <w:numFmt w:val="decimal"/>
      <w:lvlText w:val=""/>
      <w:lvlJc w:val="left"/>
    </w:lvl>
    <w:lvl w:ilvl="8" w:tplc="A1525F56">
      <w:numFmt w:val="decimal"/>
      <w:lvlText w:val=""/>
      <w:lvlJc w:val="left"/>
    </w:lvl>
  </w:abstractNum>
  <w:abstractNum w:abstractNumId="332" w15:restartNumberingAfterBreak="0">
    <w:nsid w:val="77C9FD68"/>
    <w:multiLevelType w:val="hybridMultilevel"/>
    <w:tmpl w:val="5C92C4DE"/>
    <w:lvl w:ilvl="0" w:tplc="F37466EC">
      <w:start w:val="1"/>
      <w:numFmt w:val="lowerLetter"/>
      <w:lvlText w:val="(%1)"/>
      <w:lvlJc w:val="left"/>
    </w:lvl>
    <w:lvl w:ilvl="1" w:tplc="0440577E">
      <w:numFmt w:val="decimal"/>
      <w:lvlText w:val=""/>
      <w:lvlJc w:val="left"/>
    </w:lvl>
    <w:lvl w:ilvl="2" w:tplc="D95C5334">
      <w:numFmt w:val="decimal"/>
      <w:lvlText w:val=""/>
      <w:lvlJc w:val="left"/>
    </w:lvl>
    <w:lvl w:ilvl="3" w:tplc="7C601446">
      <w:numFmt w:val="decimal"/>
      <w:lvlText w:val=""/>
      <w:lvlJc w:val="left"/>
    </w:lvl>
    <w:lvl w:ilvl="4" w:tplc="3B545CDE">
      <w:numFmt w:val="decimal"/>
      <w:lvlText w:val=""/>
      <w:lvlJc w:val="left"/>
    </w:lvl>
    <w:lvl w:ilvl="5" w:tplc="1ABA9982">
      <w:numFmt w:val="decimal"/>
      <w:lvlText w:val=""/>
      <w:lvlJc w:val="left"/>
    </w:lvl>
    <w:lvl w:ilvl="6" w:tplc="8C808A66">
      <w:numFmt w:val="decimal"/>
      <w:lvlText w:val=""/>
      <w:lvlJc w:val="left"/>
    </w:lvl>
    <w:lvl w:ilvl="7" w:tplc="CC54367A">
      <w:numFmt w:val="decimal"/>
      <w:lvlText w:val=""/>
      <w:lvlJc w:val="left"/>
    </w:lvl>
    <w:lvl w:ilvl="8" w:tplc="30768FDC">
      <w:numFmt w:val="decimal"/>
      <w:lvlText w:val=""/>
      <w:lvlJc w:val="left"/>
    </w:lvl>
  </w:abstractNum>
  <w:abstractNum w:abstractNumId="333" w15:restartNumberingAfterBreak="0">
    <w:nsid w:val="7835626C"/>
    <w:multiLevelType w:val="hybridMultilevel"/>
    <w:tmpl w:val="F65CDB1A"/>
    <w:lvl w:ilvl="0" w:tplc="ECC24F5E">
      <w:start w:val="1"/>
      <w:numFmt w:val="lowerLetter"/>
      <w:lvlText w:val="(%1)"/>
      <w:lvlJc w:val="left"/>
    </w:lvl>
    <w:lvl w:ilvl="1" w:tplc="5532F35A">
      <w:start w:val="1"/>
      <w:numFmt w:val="lowerRoman"/>
      <w:lvlText w:val="(%2)"/>
      <w:lvlJc w:val="left"/>
    </w:lvl>
    <w:lvl w:ilvl="2" w:tplc="858E1636">
      <w:numFmt w:val="decimal"/>
      <w:lvlText w:val=""/>
      <w:lvlJc w:val="left"/>
    </w:lvl>
    <w:lvl w:ilvl="3" w:tplc="6C3EEE08">
      <w:numFmt w:val="decimal"/>
      <w:lvlText w:val=""/>
      <w:lvlJc w:val="left"/>
    </w:lvl>
    <w:lvl w:ilvl="4" w:tplc="302A1ED6">
      <w:numFmt w:val="decimal"/>
      <w:lvlText w:val=""/>
      <w:lvlJc w:val="left"/>
    </w:lvl>
    <w:lvl w:ilvl="5" w:tplc="5A086F66">
      <w:numFmt w:val="decimal"/>
      <w:lvlText w:val=""/>
      <w:lvlJc w:val="left"/>
    </w:lvl>
    <w:lvl w:ilvl="6" w:tplc="00F2A8B8">
      <w:numFmt w:val="decimal"/>
      <w:lvlText w:val=""/>
      <w:lvlJc w:val="left"/>
    </w:lvl>
    <w:lvl w:ilvl="7" w:tplc="40464890">
      <w:numFmt w:val="decimal"/>
      <w:lvlText w:val=""/>
      <w:lvlJc w:val="left"/>
    </w:lvl>
    <w:lvl w:ilvl="8" w:tplc="3A427040">
      <w:numFmt w:val="decimal"/>
      <w:lvlText w:val=""/>
      <w:lvlJc w:val="left"/>
    </w:lvl>
  </w:abstractNum>
  <w:abstractNum w:abstractNumId="334" w15:restartNumberingAfterBreak="0">
    <w:nsid w:val="792B8401"/>
    <w:multiLevelType w:val="hybridMultilevel"/>
    <w:tmpl w:val="6E8EC786"/>
    <w:lvl w:ilvl="0" w:tplc="FD82FA1E">
      <w:start w:val="1"/>
      <w:numFmt w:val="bullet"/>
      <w:lvlText w:val="1"/>
      <w:lvlJc w:val="left"/>
    </w:lvl>
    <w:lvl w:ilvl="1" w:tplc="E09C6D2C">
      <w:numFmt w:val="decimal"/>
      <w:lvlText w:val=""/>
      <w:lvlJc w:val="left"/>
    </w:lvl>
    <w:lvl w:ilvl="2" w:tplc="C98A314C">
      <w:numFmt w:val="decimal"/>
      <w:lvlText w:val=""/>
      <w:lvlJc w:val="left"/>
    </w:lvl>
    <w:lvl w:ilvl="3" w:tplc="8CF89FA4">
      <w:numFmt w:val="decimal"/>
      <w:lvlText w:val=""/>
      <w:lvlJc w:val="left"/>
    </w:lvl>
    <w:lvl w:ilvl="4" w:tplc="FA1E1382">
      <w:numFmt w:val="decimal"/>
      <w:lvlText w:val=""/>
      <w:lvlJc w:val="left"/>
    </w:lvl>
    <w:lvl w:ilvl="5" w:tplc="CEC4B718">
      <w:numFmt w:val="decimal"/>
      <w:lvlText w:val=""/>
      <w:lvlJc w:val="left"/>
    </w:lvl>
    <w:lvl w:ilvl="6" w:tplc="CA20AE36">
      <w:numFmt w:val="decimal"/>
      <w:lvlText w:val=""/>
      <w:lvlJc w:val="left"/>
    </w:lvl>
    <w:lvl w:ilvl="7" w:tplc="DD2CA3F2">
      <w:numFmt w:val="decimal"/>
      <w:lvlText w:val=""/>
      <w:lvlJc w:val="left"/>
    </w:lvl>
    <w:lvl w:ilvl="8" w:tplc="EE361D30">
      <w:numFmt w:val="decimal"/>
      <w:lvlText w:val=""/>
      <w:lvlJc w:val="left"/>
    </w:lvl>
  </w:abstractNum>
  <w:abstractNum w:abstractNumId="335" w15:restartNumberingAfterBreak="0">
    <w:nsid w:val="7934D3D4"/>
    <w:multiLevelType w:val="hybridMultilevel"/>
    <w:tmpl w:val="8F9A85B6"/>
    <w:lvl w:ilvl="0" w:tplc="2F1A4F6A">
      <w:start w:val="1"/>
      <w:numFmt w:val="decimal"/>
      <w:lvlText w:val="(%1)"/>
      <w:lvlJc w:val="left"/>
    </w:lvl>
    <w:lvl w:ilvl="1" w:tplc="1890C51C">
      <w:numFmt w:val="decimal"/>
      <w:lvlText w:val=""/>
      <w:lvlJc w:val="left"/>
    </w:lvl>
    <w:lvl w:ilvl="2" w:tplc="40E4FB6E">
      <w:numFmt w:val="decimal"/>
      <w:lvlText w:val=""/>
      <w:lvlJc w:val="left"/>
    </w:lvl>
    <w:lvl w:ilvl="3" w:tplc="2E0021FC">
      <w:numFmt w:val="decimal"/>
      <w:lvlText w:val=""/>
      <w:lvlJc w:val="left"/>
    </w:lvl>
    <w:lvl w:ilvl="4" w:tplc="03FC4074">
      <w:numFmt w:val="decimal"/>
      <w:lvlText w:val=""/>
      <w:lvlJc w:val="left"/>
    </w:lvl>
    <w:lvl w:ilvl="5" w:tplc="F6085330">
      <w:numFmt w:val="decimal"/>
      <w:lvlText w:val=""/>
      <w:lvlJc w:val="left"/>
    </w:lvl>
    <w:lvl w:ilvl="6" w:tplc="EAE8792A">
      <w:numFmt w:val="decimal"/>
      <w:lvlText w:val=""/>
      <w:lvlJc w:val="left"/>
    </w:lvl>
    <w:lvl w:ilvl="7" w:tplc="B8926DDA">
      <w:numFmt w:val="decimal"/>
      <w:lvlText w:val=""/>
      <w:lvlJc w:val="left"/>
    </w:lvl>
    <w:lvl w:ilvl="8" w:tplc="C3542442">
      <w:numFmt w:val="decimal"/>
      <w:lvlText w:val=""/>
      <w:lvlJc w:val="left"/>
    </w:lvl>
  </w:abstractNum>
  <w:abstractNum w:abstractNumId="336" w15:restartNumberingAfterBreak="0">
    <w:nsid w:val="7975E8EE"/>
    <w:multiLevelType w:val="hybridMultilevel"/>
    <w:tmpl w:val="681A128E"/>
    <w:lvl w:ilvl="0" w:tplc="530EB7AA">
      <w:start w:val="1"/>
      <w:numFmt w:val="upperLetter"/>
      <w:lvlText w:val="%1:"/>
      <w:lvlJc w:val="left"/>
    </w:lvl>
    <w:lvl w:ilvl="1" w:tplc="918296DC">
      <w:numFmt w:val="decimal"/>
      <w:lvlText w:val=""/>
      <w:lvlJc w:val="left"/>
    </w:lvl>
    <w:lvl w:ilvl="2" w:tplc="01764C9C">
      <w:numFmt w:val="decimal"/>
      <w:lvlText w:val=""/>
      <w:lvlJc w:val="left"/>
    </w:lvl>
    <w:lvl w:ilvl="3" w:tplc="93B639A4">
      <w:numFmt w:val="decimal"/>
      <w:lvlText w:val=""/>
      <w:lvlJc w:val="left"/>
    </w:lvl>
    <w:lvl w:ilvl="4" w:tplc="B38453D0">
      <w:numFmt w:val="decimal"/>
      <w:lvlText w:val=""/>
      <w:lvlJc w:val="left"/>
    </w:lvl>
    <w:lvl w:ilvl="5" w:tplc="ED240816">
      <w:numFmt w:val="decimal"/>
      <w:lvlText w:val=""/>
      <w:lvlJc w:val="left"/>
    </w:lvl>
    <w:lvl w:ilvl="6" w:tplc="A9582B02">
      <w:numFmt w:val="decimal"/>
      <w:lvlText w:val=""/>
      <w:lvlJc w:val="left"/>
    </w:lvl>
    <w:lvl w:ilvl="7" w:tplc="4BC2C6A4">
      <w:numFmt w:val="decimal"/>
      <w:lvlText w:val=""/>
      <w:lvlJc w:val="left"/>
    </w:lvl>
    <w:lvl w:ilvl="8" w:tplc="19AC288C">
      <w:numFmt w:val="decimal"/>
      <w:lvlText w:val=""/>
      <w:lvlJc w:val="left"/>
    </w:lvl>
  </w:abstractNum>
  <w:abstractNum w:abstractNumId="337" w15:restartNumberingAfterBreak="0">
    <w:nsid w:val="7993B662"/>
    <w:multiLevelType w:val="hybridMultilevel"/>
    <w:tmpl w:val="AD30A9CC"/>
    <w:lvl w:ilvl="0" w:tplc="66009A70">
      <w:start w:val="1"/>
      <w:numFmt w:val="bullet"/>
      <w:lvlText w:val="•"/>
      <w:lvlJc w:val="left"/>
    </w:lvl>
    <w:lvl w:ilvl="1" w:tplc="237A5210">
      <w:numFmt w:val="decimal"/>
      <w:lvlText w:val=""/>
      <w:lvlJc w:val="left"/>
    </w:lvl>
    <w:lvl w:ilvl="2" w:tplc="9C726B86">
      <w:numFmt w:val="decimal"/>
      <w:lvlText w:val=""/>
      <w:lvlJc w:val="left"/>
    </w:lvl>
    <w:lvl w:ilvl="3" w:tplc="8DF46D70">
      <w:numFmt w:val="decimal"/>
      <w:lvlText w:val=""/>
      <w:lvlJc w:val="left"/>
    </w:lvl>
    <w:lvl w:ilvl="4" w:tplc="DF600978">
      <w:numFmt w:val="decimal"/>
      <w:lvlText w:val=""/>
      <w:lvlJc w:val="left"/>
    </w:lvl>
    <w:lvl w:ilvl="5" w:tplc="7EB800B6">
      <w:numFmt w:val="decimal"/>
      <w:lvlText w:val=""/>
      <w:lvlJc w:val="left"/>
    </w:lvl>
    <w:lvl w:ilvl="6" w:tplc="9F3A1DBE">
      <w:numFmt w:val="decimal"/>
      <w:lvlText w:val=""/>
      <w:lvlJc w:val="left"/>
    </w:lvl>
    <w:lvl w:ilvl="7" w:tplc="6478A436">
      <w:numFmt w:val="decimal"/>
      <w:lvlText w:val=""/>
      <w:lvlJc w:val="left"/>
    </w:lvl>
    <w:lvl w:ilvl="8" w:tplc="15A6F738">
      <w:numFmt w:val="decimal"/>
      <w:lvlText w:val=""/>
      <w:lvlJc w:val="left"/>
    </w:lvl>
  </w:abstractNum>
  <w:abstractNum w:abstractNumId="338" w15:restartNumberingAfterBreak="0">
    <w:nsid w:val="79F0D62F"/>
    <w:multiLevelType w:val="hybridMultilevel"/>
    <w:tmpl w:val="0F184A8C"/>
    <w:lvl w:ilvl="0" w:tplc="61A6728C">
      <w:start w:val="1"/>
      <w:numFmt w:val="upperLetter"/>
      <w:lvlText w:val="%1:"/>
      <w:lvlJc w:val="left"/>
    </w:lvl>
    <w:lvl w:ilvl="1" w:tplc="D9485358">
      <w:numFmt w:val="decimal"/>
      <w:lvlText w:val=""/>
      <w:lvlJc w:val="left"/>
    </w:lvl>
    <w:lvl w:ilvl="2" w:tplc="AABEC610">
      <w:numFmt w:val="decimal"/>
      <w:lvlText w:val=""/>
      <w:lvlJc w:val="left"/>
    </w:lvl>
    <w:lvl w:ilvl="3" w:tplc="CCCC4134">
      <w:numFmt w:val="decimal"/>
      <w:lvlText w:val=""/>
      <w:lvlJc w:val="left"/>
    </w:lvl>
    <w:lvl w:ilvl="4" w:tplc="C644A616">
      <w:numFmt w:val="decimal"/>
      <w:lvlText w:val=""/>
      <w:lvlJc w:val="left"/>
    </w:lvl>
    <w:lvl w:ilvl="5" w:tplc="322C33A2">
      <w:numFmt w:val="decimal"/>
      <w:lvlText w:val=""/>
      <w:lvlJc w:val="left"/>
    </w:lvl>
    <w:lvl w:ilvl="6" w:tplc="475045FC">
      <w:numFmt w:val="decimal"/>
      <w:lvlText w:val=""/>
      <w:lvlJc w:val="left"/>
    </w:lvl>
    <w:lvl w:ilvl="7" w:tplc="54B89966">
      <w:numFmt w:val="decimal"/>
      <w:lvlText w:val=""/>
      <w:lvlJc w:val="left"/>
    </w:lvl>
    <w:lvl w:ilvl="8" w:tplc="5F70DE28">
      <w:numFmt w:val="decimal"/>
      <w:lvlText w:val=""/>
      <w:lvlJc w:val="left"/>
    </w:lvl>
  </w:abstractNum>
  <w:abstractNum w:abstractNumId="339" w15:restartNumberingAfterBreak="0">
    <w:nsid w:val="7B541FAB"/>
    <w:multiLevelType w:val="hybridMultilevel"/>
    <w:tmpl w:val="96828F6A"/>
    <w:lvl w:ilvl="0" w:tplc="803E54D6">
      <w:start w:val="1"/>
      <w:numFmt w:val="bullet"/>
      <w:lvlText w:val="•"/>
      <w:lvlJc w:val="left"/>
    </w:lvl>
    <w:lvl w:ilvl="1" w:tplc="F8AC5F72">
      <w:numFmt w:val="decimal"/>
      <w:lvlText w:val=""/>
      <w:lvlJc w:val="left"/>
    </w:lvl>
    <w:lvl w:ilvl="2" w:tplc="28188F4C">
      <w:numFmt w:val="decimal"/>
      <w:lvlText w:val=""/>
      <w:lvlJc w:val="left"/>
    </w:lvl>
    <w:lvl w:ilvl="3" w:tplc="B934AA5A">
      <w:numFmt w:val="decimal"/>
      <w:lvlText w:val=""/>
      <w:lvlJc w:val="left"/>
    </w:lvl>
    <w:lvl w:ilvl="4" w:tplc="AAA4EF94">
      <w:numFmt w:val="decimal"/>
      <w:lvlText w:val=""/>
      <w:lvlJc w:val="left"/>
    </w:lvl>
    <w:lvl w:ilvl="5" w:tplc="C166DB02">
      <w:numFmt w:val="decimal"/>
      <w:lvlText w:val=""/>
      <w:lvlJc w:val="left"/>
    </w:lvl>
    <w:lvl w:ilvl="6" w:tplc="8C96FD48">
      <w:numFmt w:val="decimal"/>
      <w:lvlText w:val=""/>
      <w:lvlJc w:val="left"/>
    </w:lvl>
    <w:lvl w:ilvl="7" w:tplc="53C62C58">
      <w:numFmt w:val="decimal"/>
      <w:lvlText w:val=""/>
      <w:lvlJc w:val="left"/>
    </w:lvl>
    <w:lvl w:ilvl="8" w:tplc="733EA5CE">
      <w:numFmt w:val="decimal"/>
      <w:lvlText w:val=""/>
      <w:lvlJc w:val="left"/>
    </w:lvl>
  </w:abstractNum>
  <w:abstractNum w:abstractNumId="340" w15:restartNumberingAfterBreak="0">
    <w:nsid w:val="7B9B743C"/>
    <w:multiLevelType w:val="hybridMultilevel"/>
    <w:tmpl w:val="E07C7134"/>
    <w:lvl w:ilvl="0" w:tplc="774CFA9E">
      <w:start w:val="1"/>
      <w:numFmt w:val="lowerLetter"/>
      <w:lvlText w:val="(%1)"/>
      <w:lvlJc w:val="left"/>
    </w:lvl>
    <w:lvl w:ilvl="1" w:tplc="41105164">
      <w:numFmt w:val="decimal"/>
      <w:lvlText w:val=""/>
      <w:lvlJc w:val="left"/>
    </w:lvl>
    <w:lvl w:ilvl="2" w:tplc="BCBE674C">
      <w:numFmt w:val="decimal"/>
      <w:lvlText w:val=""/>
      <w:lvlJc w:val="left"/>
    </w:lvl>
    <w:lvl w:ilvl="3" w:tplc="47749B42">
      <w:numFmt w:val="decimal"/>
      <w:lvlText w:val=""/>
      <w:lvlJc w:val="left"/>
    </w:lvl>
    <w:lvl w:ilvl="4" w:tplc="DFF6672E">
      <w:numFmt w:val="decimal"/>
      <w:lvlText w:val=""/>
      <w:lvlJc w:val="left"/>
    </w:lvl>
    <w:lvl w:ilvl="5" w:tplc="A87292EA">
      <w:numFmt w:val="decimal"/>
      <w:lvlText w:val=""/>
      <w:lvlJc w:val="left"/>
    </w:lvl>
    <w:lvl w:ilvl="6" w:tplc="7F181848">
      <w:numFmt w:val="decimal"/>
      <w:lvlText w:val=""/>
      <w:lvlJc w:val="left"/>
    </w:lvl>
    <w:lvl w:ilvl="7" w:tplc="07FA7AA0">
      <w:numFmt w:val="decimal"/>
      <w:lvlText w:val=""/>
      <w:lvlJc w:val="left"/>
    </w:lvl>
    <w:lvl w:ilvl="8" w:tplc="E66A27F4">
      <w:numFmt w:val="decimal"/>
      <w:lvlText w:val=""/>
      <w:lvlJc w:val="left"/>
    </w:lvl>
  </w:abstractNum>
  <w:abstractNum w:abstractNumId="341" w15:restartNumberingAfterBreak="0">
    <w:nsid w:val="7BCFBAFC"/>
    <w:multiLevelType w:val="hybridMultilevel"/>
    <w:tmpl w:val="2D708274"/>
    <w:lvl w:ilvl="0" w:tplc="3D74D788">
      <w:start w:val="1"/>
      <w:numFmt w:val="bullet"/>
      <w:lvlText w:val="•"/>
      <w:lvlJc w:val="left"/>
    </w:lvl>
    <w:lvl w:ilvl="1" w:tplc="314A6668">
      <w:numFmt w:val="decimal"/>
      <w:lvlText w:val=""/>
      <w:lvlJc w:val="left"/>
    </w:lvl>
    <w:lvl w:ilvl="2" w:tplc="056698DC">
      <w:numFmt w:val="decimal"/>
      <w:lvlText w:val=""/>
      <w:lvlJc w:val="left"/>
    </w:lvl>
    <w:lvl w:ilvl="3" w:tplc="A40A8B5A">
      <w:numFmt w:val="decimal"/>
      <w:lvlText w:val=""/>
      <w:lvlJc w:val="left"/>
    </w:lvl>
    <w:lvl w:ilvl="4" w:tplc="63B80B24">
      <w:numFmt w:val="decimal"/>
      <w:lvlText w:val=""/>
      <w:lvlJc w:val="left"/>
    </w:lvl>
    <w:lvl w:ilvl="5" w:tplc="9EE0616E">
      <w:numFmt w:val="decimal"/>
      <w:lvlText w:val=""/>
      <w:lvlJc w:val="left"/>
    </w:lvl>
    <w:lvl w:ilvl="6" w:tplc="450E8186">
      <w:numFmt w:val="decimal"/>
      <w:lvlText w:val=""/>
      <w:lvlJc w:val="left"/>
    </w:lvl>
    <w:lvl w:ilvl="7" w:tplc="5476C202">
      <w:numFmt w:val="decimal"/>
      <w:lvlText w:val=""/>
      <w:lvlJc w:val="left"/>
    </w:lvl>
    <w:lvl w:ilvl="8" w:tplc="547C7CF8">
      <w:numFmt w:val="decimal"/>
      <w:lvlText w:val=""/>
      <w:lvlJc w:val="left"/>
    </w:lvl>
  </w:abstractNum>
  <w:abstractNum w:abstractNumId="342" w15:restartNumberingAfterBreak="0">
    <w:nsid w:val="7E0F6384"/>
    <w:multiLevelType w:val="hybridMultilevel"/>
    <w:tmpl w:val="68584F02"/>
    <w:lvl w:ilvl="0" w:tplc="5A328C80">
      <w:start w:val="2"/>
      <w:numFmt w:val="lowerLetter"/>
      <w:lvlText w:val="(%1)"/>
      <w:lvlJc w:val="left"/>
    </w:lvl>
    <w:lvl w:ilvl="1" w:tplc="A9A8398E">
      <w:numFmt w:val="decimal"/>
      <w:lvlText w:val=""/>
      <w:lvlJc w:val="left"/>
    </w:lvl>
    <w:lvl w:ilvl="2" w:tplc="574EBDF8">
      <w:numFmt w:val="decimal"/>
      <w:lvlText w:val=""/>
      <w:lvlJc w:val="left"/>
    </w:lvl>
    <w:lvl w:ilvl="3" w:tplc="605AB0C0">
      <w:numFmt w:val="decimal"/>
      <w:lvlText w:val=""/>
      <w:lvlJc w:val="left"/>
    </w:lvl>
    <w:lvl w:ilvl="4" w:tplc="4106F156">
      <w:numFmt w:val="decimal"/>
      <w:lvlText w:val=""/>
      <w:lvlJc w:val="left"/>
    </w:lvl>
    <w:lvl w:ilvl="5" w:tplc="26E81198">
      <w:numFmt w:val="decimal"/>
      <w:lvlText w:val=""/>
      <w:lvlJc w:val="left"/>
    </w:lvl>
    <w:lvl w:ilvl="6" w:tplc="6C72C6AA">
      <w:numFmt w:val="decimal"/>
      <w:lvlText w:val=""/>
      <w:lvlJc w:val="left"/>
    </w:lvl>
    <w:lvl w:ilvl="7" w:tplc="EA068BEE">
      <w:numFmt w:val="decimal"/>
      <w:lvlText w:val=""/>
      <w:lvlJc w:val="left"/>
    </w:lvl>
    <w:lvl w:ilvl="8" w:tplc="9C62FD26">
      <w:numFmt w:val="decimal"/>
      <w:lvlText w:val=""/>
      <w:lvlJc w:val="left"/>
    </w:lvl>
  </w:abstractNum>
  <w:abstractNum w:abstractNumId="343" w15:restartNumberingAfterBreak="0">
    <w:nsid w:val="7E448DE9"/>
    <w:multiLevelType w:val="hybridMultilevel"/>
    <w:tmpl w:val="F3828AF2"/>
    <w:lvl w:ilvl="0" w:tplc="0A802344">
      <w:start w:val="2"/>
      <w:numFmt w:val="lowerLetter"/>
      <w:lvlText w:val="(%1)"/>
      <w:lvlJc w:val="left"/>
    </w:lvl>
    <w:lvl w:ilvl="1" w:tplc="3FBC5C3C">
      <w:start w:val="1"/>
      <w:numFmt w:val="lowerRoman"/>
      <w:lvlText w:val="(%2)"/>
      <w:lvlJc w:val="left"/>
    </w:lvl>
    <w:lvl w:ilvl="2" w:tplc="0794F452">
      <w:numFmt w:val="decimal"/>
      <w:lvlText w:val=""/>
      <w:lvlJc w:val="left"/>
    </w:lvl>
    <w:lvl w:ilvl="3" w:tplc="AE7437CE">
      <w:numFmt w:val="decimal"/>
      <w:lvlText w:val=""/>
      <w:lvlJc w:val="left"/>
    </w:lvl>
    <w:lvl w:ilvl="4" w:tplc="485C7002">
      <w:numFmt w:val="decimal"/>
      <w:lvlText w:val=""/>
      <w:lvlJc w:val="left"/>
    </w:lvl>
    <w:lvl w:ilvl="5" w:tplc="69FE986E">
      <w:numFmt w:val="decimal"/>
      <w:lvlText w:val=""/>
      <w:lvlJc w:val="left"/>
    </w:lvl>
    <w:lvl w:ilvl="6" w:tplc="34948ABA">
      <w:numFmt w:val="decimal"/>
      <w:lvlText w:val=""/>
      <w:lvlJc w:val="left"/>
    </w:lvl>
    <w:lvl w:ilvl="7" w:tplc="7FD0F1C0">
      <w:numFmt w:val="decimal"/>
      <w:lvlText w:val=""/>
      <w:lvlJc w:val="left"/>
    </w:lvl>
    <w:lvl w:ilvl="8" w:tplc="F78E9C68">
      <w:numFmt w:val="decimal"/>
      <w:lvlText w:val=""/>
      <w:lvlJc w:val="left"/>
    </w:lvl>
  </w:abstractNum>
  <w:abstractNum w:abstractNumId="344" w15:restartNumberingAfterBreak="0">
    <w:nsid w:val="7F618FCD"/>
    <w:multiLevelType w:val="hybridMultilevel"/>
    <w:tmpl w:val="32AC69AE"/>
    <w:lvl w:ilvl="0" w:tplc="A12A678A">
      <w:start w:val="1"/>
      <w:numFmt w:val="upperLetter"/>
      <w:lvlText w:val="%1:"/>
      <w:lvlJc w:val="left"/>
    </w:lvl>
    <w:lvl w:ilvl="1" w:tplc="A5041592">
      <w:numFmt w:val="decimal"/>
      <w:lvlText w:val=""/>
      <w:lvlJc w:val="left"/>
    </w:lvl>
    <w:lvl w:ilvl="2" w:tplc="D69466B0">
      <w:numFmt w:val="decimal"/>
      <w:lvlText w:val=""/>
      <w:lvlJc w:val="left"/>
    </w:lvl>
    <w:lvl w:ilvl="3" w:tplc="C778F18E">
      <w:numFmt w:val="decimal"/>
      <w:lvlText w:val=""/>
      <w:lvlJc w:val="left"/>
    </w:lvl>
    <w:lvl w:ilvl="4" w:tplc="5EB6C1A6">
      <w:numFmt w:val="decimal"/>
      <w:lvlText w:val=""/>
      <w:lvlJc w:val="left"/>
    </w:lvl>
    <w:lvl w:ilvl="5" w:tplc="85FC8A04">
      <w:numFmt w:val="decimal"/>
      <w:lvlText w:val=""/>
      <w:lvlJc w:val="left"/>
    </w:lvl>
    <w:lvl w:ilvl="6" w:tplc="2E4EABA4">
      <w:numFmt w:val="decimal"/>
      <w:lvlText w:val=""/>
      <w:lvlJc w:val="left"/>
    </w:lvl>
    <w:lvl w:ilvl="7" w:tplc="39B644A2">
      <w:numFmt w:val="decimal"/>
      <w:lvlText w:val=""/>
      <w:lvlJc w:val="left"/>
    </w:lvl>
    <w:lvl w:ilvl="8" w:tplc="7FCAD754">
      <w:numFmt w:val="decimal"/>
      <w:lvlText w:val=""/>
      <w:lvlJc w:val="left"/>
    </w:lvl>
  </w:abstractNum>
  <w:abstractNum w:abstractNumId="345" w15:restartNumberingAfterBreak="0">
    <w:nsid w:val="7F65FD16"/>
    <w:multiLevelType w:val="hybridMultilevel"/>
    <w:tmpl w:val="01AC6094"/>
    <w:lvl w:ilvl="0" w:tplc="63040B50">
      <w:start w:val="2"/>
      <w:numFmt w:val="lowerLetter"/>
      <w:lvlText w:val="(%1)"/>
      <w:lvlJc w:val="left"/>
    </w:lvl>
    <w:lvl w:ilvl="1" w:tplc="7A7A3536">
      <w:numFmt w:val="decimal"/>
      <w:lvlText w:val=""/>
      <w:lvlJc w:val="left"/>
    </w:lvl>
    <w:lvl w:ilvl="2" w:tplc="C5FAA6C6">
      <w:numFmt w:val="decimal"/>
      <w:lvlText w:val=""/>
      <w:lvlJc w:val="left"/>
    </w:lvl>
    <w:lvl w:ilvl="3" w:tplc="8958795C">
      <w:numFmt w:val="decimal"/>
      <w:lvlText w:val=""/>
      <w:lvlJc w:val="left"/>
    </w:lvl>
    <w:lvl w:ilvl="4" w:tplc="396E9624">
      <w:numFmt w:val="decimal"/>
      <w:lvlText w:val=""/>
      <w:lvlJc w:val="left"/>
    </w:lvl>
    <w:lvl w:ilvl="5" w:tplc="4B0C992A">
      <w:numFmt w:val="decimal"/>
      <w:lvlText w:val=""/>
      <w:lvlJc w:val="left"/>
    </w:lvl>
    <w:lvl w:ilvl="6" w:tplc="4EE295C4">
      <w:numFmt w:val="decimal"/>
      <w:lvlText w:val=""/>
      <w:lvlJc w:val="left"/>
    </w:lvl>
    <w:lvl w:ilvl="7" w:tplc="FDC6595A">
      <w:numFmt w:val="decimal"/>
      <w:lvlText w:val=""/>
      <w:lvlJc w:val="left"/>
    </w:lvl>
    <w:lvl w:ilvl="8" w:tplc="3836E46A">
      <w:numFmt w:val="decimal"/>
      <w:lvlText w:val=""/>
      <w:lvlJc w:val="left"/>
    </w:lvl>
  </w:abstractNum>
  <w:abstractNum w:abstractNumId="346" w15:restartNumberingAfterBreak="0">
    <w:nsid w:val="7FBD7A3E"/>
    <w:multiLevelType w:val="hybridMultilevel"/>
    <w:tmpl w:val="85DCE118"/>
    <w:lvl w:ilvl="0" w:tplc="D02E16AA">
      <w:start w:val="1"/>
      <w:numFmt w:val="lowerLetter"/>
      <w:lvlText w:val="(%1)"/>
      <w:lvlJc w:val="left"/>
    </w:lvl>
    <w:lvl w:ilvl="1" w:tplc="B5BA4F26">
      <w:numFmt w:val="decimal"/>
      <w:lvlText w:val=""/>
      <w:lvlJc w:val="left"/>
    </w:lvl>
    <w:lvl w:ilvl="2" w:tplc="E3CE0A74">
      <w:numFmt w:val="decimal"/>
      <w:lvlText w:val=""/>
      <w:lvlJc w:val="left"/>
    </w:lvl>
    <w:lvl w:ilvl="3" w:tplc="575AA918">
      <w:numFmt w:val="decimal"/>
      <w:lvlText w:val=""/>
      <w:lvlJc w:val="left"/>
    </w:lvl>
    <w:lvl w:ilvl="4" w:tplc="8092E628">
      <w:numFmt w:val="decimal"/>
      <w:lvlText w:val=""/>
      <w:lvlJc w:val="left"/>
    </w:lvl>
    <w:lvl w:ilvl="5" w:tplc="083E7860">
      <w:numFmt w:val="decimal"/>
      <w:lvlText w:val=""/>
      <w:lvlJc w:val="left"/>
    </w:lvl>
    <w:lvl w:ilvl="6" w:tplc="621E6DC0">
      <w:numFmt w:val="decimal"/>
      <w:lvlText w:val=""/>
      <w:lvlJc w:val="left"/>
    </w:lvl>
    <w:lvl w:ilvl="7" w:tplc="BDEEF694">
      <w:numFmt w:val="decimal"/>
      <w:lvlText w:val=""/>
      <w:lvlJc w:val="left"/>
    </w:lvl>
    <w:lvl w:ilvl="8" w:tplc="48462C22">
      <w:numFmt w:val="decimal"/>
      <w:lvlText w:val=""/>
      <w:lvlJc w:val="left"/>
    </w:lvl>
  </w:abstractNum>
  <w:num w:numId="1">
    <w:abstractNumId w:val="135"/>
  </w:num>
  <w:num w:numId="2">
    <w:abstractNumId w:val="331"/>
  </w:num>
  <w:num w:numId="3">
    <w:abstractNumId w:val="191"/>
  </w:num>
  <w:num w:numId="4">
    <w:abstractNumId w:val="87"/>
  </w:num>
  <w:num w:numId="5">
    <w:abstractNumId w:val="234"/>
  </w:num>
  <w:num w:numId="6">
    <w:abstractNumId w:val="265"/>
  </w:num>
  <w:num w:numId="7">
    <w:abstractNumId w:val="157"/>
  </w:num>
  <w:num w:numId="8">
    <w:abstractNumId w:val="45"/>
  </w:num>
  <w:num w:numId="9">
    <w:abstractNumId w:val="308"/>
  </w:num>
  <w:num w:numId="10">
    <w:abstractNumId w:val="213"/>
  </w:num>
  <w:num w:numId="11">
    <w:abstractNumId w:val="165"/>
  </w:num>
  <w:num w:numId="12">
    <w:abstractNumId w:val="66"/>
  </w:num>
  <w:num w:numId="13">
    <w:abstractNumId w:val="181"/>
  </w:num>
  <w:num w:numId="14">
    <w:abstractNumId w:val="134"/>
  </w:num>
  <w:num w:numId="15">
    <w:abstractNumId w:val="291"/>
  </w:num>
  <w:num w:numId="16">
    <w:abstractNumId w:val="125"/>
  </w:num>
  <w:num w:numId="17">
    <w:abstractNumId w:val="80"/>
  </w:num>
  <w:num w:numId="18">
    <w:abstractNumId w:val="103"/>
  </w:num>
  <w:num w:numId="19">
    <w:abstractNumId w:val="257"/>
  </w:num>
  <w:num w:numId="20">
    <w:abstractNumId w:val="219"/>
  </w:num>
  <w:num w:numId="21">
    <w:abstractNumId w:val="342"/>
  </w:num>
  <w:num w:numId="22">
    <w:abstractNumId w:val="107"/>
  </w:num>
  <w:num w:numId="23">
    <w:abstractNumId w:val="314"/>
  </w:num>
  <w:num w:numId="24">
    <w:abstractNumId w:val="38"/>
  </w:num>
  <w:num w:numId="25">
    <w:abstractNumId w:val="131"/>
  </w:num>
  <w:num w:numId="26">
    <w:abstractNumId w:val="1"/>
  </w:num>
  <w:num w:numId="27">
    <w:abstractNumId w:val="275"/>
  </w:num>
  <w:num w:numId="28">
    <w:abstractNumId w:val="269"/>
  </w:num>
  <w:num w:numId="29">
    <w:abstractNumId w:val="93"/>
  </w:num>
  <w:num w:numId="30">
    <w:abstractNumId w:val="32"/>
  </w:num>
  <w:num w:numId="31">
    <w:abstractNumId w:val="300"/>
  </w:num>
  <w:num w:numId="32">
    <w:abstractNumId w:val="256"/>
  </w:num>
  <w:num w:numId="33">
    <w:abstractNumId w:val="15"/>
  </w:num>
  <w:num w:numId="34">
    <w:abstractNumId w:val="143"/>
  </w:num>
  <w:num w:numId="35">
    <w:abstractNumId w:val="343"/>
  </w:num>
  <w:num w:numId="36">
    <w:abstractNumId w:val="251"/>
  </w:num>
  <w:num w:numId="37">
    <w:abstractNumId w:val="68"/>
  </w:num>
  <w:num w:numId="38">
    <w:abstractNumId w:val="150"/>
  </w:num>
  <w:num w:numId="39">
    <w:abstractNumId w:val="298"/>
  </w:num>
  <w:num w:numId="40">
    <w:abstractNumId w:val="25"/>
  </w:num>
  <w:num w:numId="41">
    <w:abstractNumId w:val="27"/>
  </w:num>
  <w:num w:numId="42">
    <w:abstractNumId w:val="121"/>
  </w:num>
  <w:num w:numId="43">
    <w:abstractNumId w:val="94"/>
  </w:num>
  <w:num w:numId="44">
    <w:abstractNumId w:val="232"/>
  </w:num>
  <w:num w:numId="45">
    <w:abstractNumId w:val="281"/>
  </w:num>
  <w:num w:numId="46">
    <w:abstractNumId w:val="37"/>
  </w:num>
  <w:num w:numId="47">
    <w:abstractNumId w:val="17"/>
  </w:num>
  <w:num w:numId="48">
    <w:abstractNumId w:val="18"/>
  </w:num>
  <w:num w:numId="49">
    <w:abstractNumId w:val="144"/>
  </w:num>
  <w:num w:numId="50">
    <w:abstractNumId w:val="273"/>
  </w:num>
  <w:num w:numId="51">
    <w:abstractNumId w:val="245"/>
  </w:num>
  <w:num w:numId="52">
    <w:abstractNumId w:val="140"/>
  </w:num>
  <w:num w:numId="53">
    <w:abstractNumId w:val="33"/>
  </w:num>
  <w:num w:numId="54">
    <w:abstractNumId w:val="193"/>
  </w:num>
  <w:num w:numId="55">
    <w:abstractNumId w:val="188"/>
  </w:num>
  <w:num w:numId="56">
    <w:abstractNumId w:val="170"/>
  </w:num>
  <w:num w:numId="57">
    <w:abstractNumId w:val="196"/>
  </w:num>
  <w:num w:numId="58">
    <w:abstractNumId w:val="115"/>
  </w:num>
  <w:num w:numId="59">
    <w:abstractNumId w:val="95"/>
  </w:num>
  <w:num w:numId="60">
    <w:abstractNumId w:val="312"/>
  </w:num>
  <w:num w:numId="61">
    <w:abstractNumId w:val="152"/>
  </w:num>
  <w:num w:numId="62">
    <w:abstractNumId w:val="50"/>
  </w:num>
  <w:num w:numId="63">
    <w:abstractNumId w:val="204"/>
  </w:num>
  <w:num w:numId="64">
    <w:abstractNumId w:val="169"/>
  </w:num>
  <w:num w:numId="65">
    <w:abstractNumId w:val="209"/>
  </w:num>
  <w:num w:numId="66">
    <w:abstractNumId w:val="197"/>
  </w:num>
  <w:num w:numId="67">
    <w:abstractNumId w:val="77"/>
  </w:num>
  <w:num w:numId="68">
    <w:abstractNumId w:val="290"/>
  </w:num>
  <w:num w:numId="69">
    <w:abstractNumId w:val="22"/>
  </w:num>
  <w:num w:numId="70">
    <w:abstractNumId w:val="26"/>
  </w:num>
  <w:num w:numId="71">
    <w:abstractNumId w:val="325"/>
  </w:num>
  <w:num w:numId="72">
    <w:abstractNumId w:val="49"/>
  </w:num>
  <w:num w:numId="73">
    <w:abstractNumId w:val="156"/>
  </w:num>
  <w:num w:numId="74">
    <w:abstractNumId w:val="73"/>
  </w:num>
  <w:num w:numId="75">
    <w:abstractNumId w:val="288"/>
  </w:num>
  <w:num w:numId="76">
    <w:abstractNumId w:val="90"/>
  </w:num>
  <w:num w:numId="77">
    <w:abstractNumId w:val="113"/>
  </w:num>
  <w:num w:numId="78">
    <w:abstractNumId w:val="305"/>
  </w:num>
  <w:num w:numId="79">
    <w:abstractNumId w:val="111"/>
  </w:num>
  <w:num w:numId="80">
    <w:abstractNumId w:val="287"/>
  </w:num>
  <w:num w:numId="81">
    <w:abstractNumId w:val="235"/>
  </w:num>
  <w:num w:numId="82">
    <w:abstractNumId w:val="13"/>
  </w:num>
  <w:num w:numId="83">
    <w:abstractNumId w:val="82"/>
  </w:num>
  <w:num w:numId="84">
    <w:abstractNumId w:val="271"/>
  </w:num>
  <w:num w:numId="85">
    <w:abstractNumId w:val="214"/>
  </w:num>
  <w:num w:numId="86">
    <w:abstractNumId w:val="293"/>
  </w:num>
  <w:num w:numId="87">
    <w:abstractNumId w:val="98"/>
  </w:num>
  <w:num w:numId="88">
    <w:abstractNumId w:val="71"/>
  </w:num>
  <w:num w:numId="89">
    <w:abstractNumId w:val="61"/>
  </w:num>
  <w:num w:numId="90">
    <w:abstractNumId w:val="206"/>
  </w:num>
  <w:num w:numId="91">
    <w:abstractNumId w:val="29"/>
  </w:num>
  <w:num w:numId="92">
    <w:abstractNumId w:val="239"/>
  </w:num>
  <w:num w:numId="93">
    <w:abstractNumId w:val="274"/>
  </w:num>
  <w:num w:numId="94">
    <w:abstractNumId w:val="255"/>
  </w:num>
  <w:num w:numId="95">
    <w:abstractNumId w:val="63"/>
  </w:num>
  <w:num w:numId="96">
    <w:abstractNumId w:val="128"/>
  </w:num>
  <w:num w:numId="97">
    <w:abstractNumId w:val="101"/>
  </w:num>
  <w:num w:numId="98">
    <w:abstractNumId w:val="137"/>
  </w:num>
  <w:num w:numId="99">
    <w:abstractNumId w:val="75"/>
  </w:num>
  <w:num w:numId="100">
    <w:abstractNumId w:val="123"/>
  </w:num>
  <w:num w:numId="101">
    <w:abstractNumId w:val="171"/>
  </w:num>
  <w:num w:numId="102">
    <w:abstractNumId w:val="42"/>
  </w:num>
  <w:num w:numId="103">
    <w:abstractNumId w:val="180"/>
  </w:num>
  <w:num w:numId="104">
    <w:abstractNumId w:val="6"/>
  </w:num>
  <w:num w:numId="105">
    <w:abstractNumId w:val="119"/>
  </w:num>
  <w:num w:numId="106">
    <w:abstractNumId w:val="120"/>
  </w:num>
  <w:num w:numId="107">
    <w:abstractNumId w:val="97"/>
  </w:num>
  <w:num w:numId="108">
    <w:abstractNumId w:val="258"/>
  </w:num>
  <w:num w:numId="109">
    <w:abstractNumId w:val="84"/>
  </w:num>
  <w:num w:numId="110">
    <w:abstractNumId w:val="228"/>
  </w:num>
  <w:num w:numId="111">
    <w:abstractNumId w:val="177"/>
  </w:num>
  <w:num w:numId="112">
    <w:abstractNumId w:val="322"/>
  </w:num>
  <w:num w:numId="113">
    <w:abstractNumId w:val="244"/>
  </w:num>
  <w:num w:numId="114">
    <w:abstractNumId w:val="282"/>
  </w:num>
  <w:num w:numId="115">
    <w:abstractNumId w:val="246"/>
  </w:num>
  <w:num w:numId="116">
    <w:abstractNumId w:val="99"/>
  </w:num>
  <w:num w:numId="117">
    <w:abstractNumId w:val="224"/>
  </w:num>
  <w:num w:numId="118">
    <w:abstractNumId w:val="3"/>
  </w:num>
  <w:num w:numId="119">
    <w:abstractNumId w:val="172"/>
  </w:num>
  <w:num w:numId="120">
    <w:abstractNumId w:val="294"/>
  </w:num>
  <w:num w:numId="121">
    <w:abstractNumId w:val="208"/>
  </w:num>
  <w:num w:numId="122">
    <w:abstractNumId w:val="222"/>
  </w:num>
  <w:num w:numId="123">
    <w:abstractNumId w:val="167"/>
  </w:num>
  <w:num w:numId="124">
    <w:abstractNumId w:val="127"/>
  </w:num>
  <w:num w:numId="125">
    <w:abstractNumId w:val="116"/>
  </w:num>
  <w:num w:numId="126">
    <w:abstractNumId w:val="254"/>
  </w:num>
  <w:num w:numId="127">
    <w:abstractNumId w:val="280"/>
  </w:num>
  <w:num w:numId="128">
    <w:abstractNumId w:val="242"/>
  </w:num>
  <w:num w:numId="129">
    <w:abstractNumId w:val="41"/>
  </w:num>
  <w:num w:numId="130">
    <w:abstractNumId w:val="9"/>
  </w:num>
  <w:num w:numId="131">
    <w:abstractNumId w:val="21"/>
  </w:num>
  <w:num w:numId="132">
    <w:abstractNumId w:val="243"/>
  </w:num>
  <w:num w:numId="133">
    <w:abstractNumId w:val="57"/>
  </w:num>
  <w:num w:numId="134">
    <w:abstractNumId w:val="210"/>
  </w:num>
  <w:num w:numId="135">
    <w:abstractNumId w:val="248"/>
  </w:num>
  <w:num w:numId="136">
    <w:abstractNumId w:val="186"/>
  </w:num>
  <w:num w:numId="137">
    <w:abstractNumId w:val="0"/>
  </w:num>
  <w:num w:numId="138">
    <w:abstractNumId w:val="2"/>
  </w:num>
  <w:num w:numId="139">
    <w:abstractNumId w:val="96"/>
  </w:num>
  <w:num w:numId="140">
    <w:abstractNumId w:val="85"/>
  </w:num>
  <w:num w:numId="141">
    <w:abstractNumId w:val="231"/>
  </w:num>
  <w:num w:numId="142">
    <w:abstractNumId w:val="296"/>
  </w:num>
  <w:num w:numId="143">
    <w:abstractNumId w:val="53"/>
  </w:num>
  <w:num w:numId="144">
    <w:abstractNumId w:val="108"/>
  </w:num>
  <w:num w:numId="145">
    <w:abstractNumId w:val="238"/>
  </w:num>
  <w:num w:numId="146">
    <w:abstractNumId w:val="306"/>
  </w:num>
  <w:num w:numId="147">
    <w:abstractNumId w:val="229"/>
  </w:num>
  <w:num w:numId="148">
    <w:abstractNumId w:val="100"/>
  </w:num>
  <w:num w:numId="149">
    <w:abstractNumId w:val="310"/>
  </w:num>
  <w:num w:numId="150">
    <w:abstractNumId w:val="56"/>
  </w:num>
  <w:num w:numId="151">
    <w:abstractNumId w:val="44"/>
  </w:num>
  <w:num w:numId="152">
    <w:abstractNumId w:val="162"/>
  </w:num>
  <w:num w:numId="153">
    <w:abstractNumId w:val="289"/>
  </w:num>
  <w:num w:numId="154">
    <w:abstractNumId w:val="240"/>
  </w:num>
  <w:num w:numId="155">
    <w:abstractNumId w:val="317"/>
  </w:num>
  <w:num w:numId="156">
    <w:abstractNumId w:val="60"/>
  </w:num>
  <w:num w:numId="157">
    <w:abstractNumId w:val="126"/>
  </w:num>
  <w:num w:numId="158">
    <w:abstractNumId w:val="250"/>
  </w:num>
  <w:num w:numId="159">
    <w:abstractNumId w:val="302"/>
  </w:num>
  <w:num w:numId="160">
    <w:abstractNumId w:val="175"/>
  </w:num>
  <w:num w:numId="161">
    <w:abstractNumId w:val="260"/>
  </w:num>
  <w:num w:numId="162">
    <w:abstractNumId w:val="328"/>
  </w:num>
  <w:num w:numId="163">
    <w:abstractNumId w:val="76"/>
  </w:num>
  <w:num w:numId="164">
    <w:abstractNumId w:val="327"/>
  </w:num>
  <w:num w:numId="165">
    <w:abstractNumId w:val="176"/>
  </w:num>
  <w:num w:numId="166">
    <w:abstractNumId w:val="330"/>
  </w:num>
  <w:num w:numId="167">
    <w:abstractNumId w:val="160"/>
  </w:num>
  <w:num w:numId="168">
    <w:abstractNumId w:val="178"/>
  </w:num>
  <w:num w:numId="169">
    <w:abstractNumId w:val="333"/>
  </w:num>
  <w:num w:numId="170">
    <w:abstractNumId w:val="279"/>
  </w:num>
  <w:num w:numId="171">
    <w:abstractNumId w:val="285"/>
  </w:num>
  <w:num w:numId="172">
    <w:abstractNumId w:val="195"/>
  </w:num>
  <w:num w:numId="173">
    <w:abstractNumId w:val="233"/>
  </w:num>
  <w:num w:numId="174">
    <w:abstractNumId w:val="345"/>
  </w:num>
  <w:num w:numId="175">
    <w:abstractNumId w:val="332"/>
  </w:num>
  <w:num w:numId="176">
    <w:abstractNumId w:val="102"/>
  </w:num>
  <w:num w:numId="177">
    <w:abstractNumId w:val="304"/>
  </w:num>
  <w:num w:numId="178">
    <w:abstractNumId w:val="192"/>
  </w:num>
  <w:num w:numId="179">
    <w:abstractNumId w:val="218"/>
  </w:num>
  <w:num w:numId="180">
    <w:abstractNumId w:val="263"/>
  </w:num>
  <w:num w:numId="181">
    <w:abstractNumId w:val="270"/>
  </w:num>
  <w:num w:numId="182">
    <w:abstractNumId w:val="276"/>
  </w:num>
  <w:num w:numId="183">
    <w:abstractNumId w:val="86"/>
  </w:num>
  <w:num w:numId="184">
    <w:abstractNumId w:val="202"/>
  </w:num>
  <w:num w:numId="185">
    <w:abstractNumId w:val="149"/>
  </w:num>
  <w:num w:numId="186">
    <w:abstractNumId w:val="47"/>
  </w:num>
  <w:num w:numId="187">
    <w:abstractNumId w:val="278"/>
  </w:num>
  <w:num w:numId="188">
    <w:abstractNumId w:val="297"/>
  </w:num>
  <w:num w:numId="189">
    <w:abstractNumId w:val="303"/>
  </w:num>
  <w:num w:numId="190">
    <w:abstractNumId w:val="237"/>
  </w:num>
  <w:num w:numId="191">
    <w:abstractNumId w:val="132"/>
  </w:num>
  <w:num w:numId="192">
    <w:abstractNumId w:val="205"/>
  </w:num>
  <w:num w:numId="193">
    <w:abstractNumId w:val="199"/>
  </w:num>
  <w:num w:numId="194">
    <w:abstractNumId w:val="223"/>
  </w:num>
  <w:num w:numId="195">
    <w:abstractNumId w:val="174"/>
  </w:num>
  <w:num w:numId="196">
    <w:abstractNumId w:val="40"/>
  </w:num>
  <w:num w:numId="197">
    <w:abstractNumId w:val="189"/>
  </w:num>
  <w:num w:numId="198">
    <w:abstractNumId w:val="10"/>
  </w:num>
  <w:num w:numId="199">
    <w:abstractNumId w:val="249"/>
  </w:num>
  <w:num w:numId="200">
    <w:abstractNumId w:val="166"/>
  </w:num>
  <w:num w:numId="201">
    <w:abstractNumId w:val="292"/>
  </w:num>
  <w:num w:numId="202">
    <w:abstractNumId w:val="164"/>
  </w:num>
  <w:num w:numId="203">
    <w:abstractNumId w:val="31"/>
  </w:num>
  <w:num w:numId="204">
    <w:abstractNumId w:val="159"/>
  </w:num>
  <w:num w:numId="205">
    <w:abstractNumId w:val="163"/>
  </w:num>
  <w:num w:numId="206">
    <w:abstractNumId w:val="14"/>
  </w:num>
  <w:num w:numId="207">
    <w:abstractNumId w:val="286"/>
  </w:num>
  <w:num w:numId="208">
    <w:abstractNumId w:val="122"/>
  </w:num>
  <w:num w:numId="209">
    <w:abstractNumId w:val="217"/>
  </w:num>
  <w:num w:numId="210">
    <w:abstractNumId w:val="39"/>
  </w:num>
  <w:num w:numId="211">
    <w:abstractNumId w:val="133"/>
  </w:num>
  <w:num w:numId="212">
    <w:abstractNumId w:val="81"/>
  </w:num>
  <w:num w:numId="213">
    <w:abstractNumId w:val="130"/>
  </w:num>
  <w:num w:numId="214">
    <w:abstractNumId w:val="7"/>
  </w:num>
  <w:num w:numId="215">
    <w:abstractNumId w:val="252"/>
  </w:num>
  <w:num w:numId="216">
    <w:abstractNumId w:val="187"/>
  </w:num>
  <w:num w:numId="217">
    <w:abstractNumId w:val="283"/>
  </w:num>
  <w:num w:numId="218">
    <w:abstractNumId w:val="190"/>
  </w:num>
  <w:num w:numId="219">
    <w:abstractNumId w:val="141"/>
  </w:num>
  <w:num w:numId="220">
    <w:abstractNumId w:val="153"/>
  </w:num>
  <w:num w:numId="221">
    <w:abstractNumId w:val="344"/>
  </w:num>
  <w:num w:numId="222">
    <w:abstractNumId w:val="19"/>
  </w:num>
  <w:num w:numId="223">
    <w:abstractNumId w:val="24"/>
  </w:num>
  <w:num w:numId="224">
    <w:abstractNumId w:val="221"/>
  </w:num>
  <w:num w:numId="225">
    <w:abstractNumId w:val="200"/>
  </w:num>
  <w:num w:numId="226">
    <w:abstractNumId w:val="72"/>
  </w:num>
  <w:num w:numId="227">
    <w:abstractNumId w:val="70"/>
  </w:num>
  <w:num w:numId="228">
    <w:abstractNumId w:val="216"/>
  </w:num>
  <w:num w:numId="229">
    <w:abstractNumId w:val="323"/>
  </w:num>
  <w:num w:numId="230">
    <w:abstractNumId w:val="259"/>
  </w:num>
  <w:num w:numId="231">
    <w:abstractNumId w:val="147"/>
  </w:num>
  <w:num w:numId="232">
    <w:abstractNumId w:val="139"/>
  </w:num>
  <w:num w:numId="233">
    <w:abstractNumId w:val="295"/>
  </w:num>
  <w:num w:numId="234">
    <w:abstractNumId w:val="338"/>
  </w:num>
  <w:num w:numId="235">
    <w:abstractNumId w:val="336"/>
  </w:num>
  <w:num w:numId="236">
    <w:abstractNumId w:val="315"/>
  </w:num>
  <w:num w:numId="237">
    <w:abstractNumId w:val="267"/>
  </w:num>
  <w:num w:numId="238">
    <w:abstractNumId w:val="106"/>
  </w:num>
  <w:num w:numId="239">
    <w:abstractNumId w:val="173"/>
  </w:num>
  <w:num w:numId="240">
    <w:abstractNumId w:val="69"/>
  </w:num>
  <w:num w:numId="241">
    <w:abstractNumId w:val="154"/>
  </w:num>
  <w:num w:numId="242">
    <w:abstractNumId w:val="337"/>
  </w:num>
  <w:num w:numId="243">
    <w:abstractNumId w:val="148"/>
  </w:num>
  <w:num w:numId="244">
    <w:abstractNumId w:val="309"/>
  </w:num>
  <w:num w:numId="245">
    <w:abstractNumId w:val="341"/>
  </w:num>
  <w:num w:numId="246">
    <w:abstractNumId w:val="54"/>
  </w:num>
  <w:num w:numId="247">
    <w:abstractNumId w:val="145"/>
  </w:num>
  <w:num w:numId="248">
    <w:abstractNumId w:val="272"/>
  </w:num>
  <w:num w:numId="249">
    <w:abstractNumId w:val="266"/>
  </w:num>
  <w:num w:numId="250">
    <w:abstractNumId w:val="318"/>
  </w:num>
  <w:num w:numId="251">
    <w:abstractNumId w:val="83"/>
  </w:num>
  <w:num w:numId="252">
    <w:abstractNumId w:val="264"/>
  </w:num>
  <w:num w:numId="253">
    <w:abstractNumId w:val="339"/>
  </w:num>
  <w:num w:numId="254">
    <w:abstractNumId w:val="105"/>
  </w:num>
  <w:num w:numId="255">
    <w:abstractNumId w:val="129"/>
  </w:num>
  <w:num w:numId="256">
    <w:abstractNumId w:val="182"/>
  </w:num>
  <w:num w:numId="257">
    <w:abstractNumId w:val="179"/>
  </w:num>
  <w:num w:numId="258">
    <w:abstractNumId w:val="211"/>
  </w:num>
  <w:num w:numId="259">
    <w:abstractNumId w:val="59"/>
  </w:num>
  <w:num w:numId="260">
    <w:abstractNumId w:val="155"/>
  </w:num>
  <w:num w:numId="261">
    <w:abstractNumId w:val="114"/>
  </w:num>
  <w:num w:numId="262">
    <w:abstractNumId w:val="230"/>
  </w:num>
  <w:num w:numId="263">
    <w:abstractNumId w:val="321"/>
  </w:num>
  <w:num w:numId="264">
    <w:abstractNumId w:val="67"/>
  </w:num>
  <w:num w:numId="265">
    <w:abstractNumId w:val="203"/>
  </w:num>
  <w:num w:numId="266">
    <w:abstractNumId w:val="299"/>
  </w:num>
  <w:num w:numId="267">
    <w:abstractNumId w:val="30"/>
  </w:num>
  <w:num w:numId="268">
    <w:abstractNumId w:val="118"/>
  </w:num>
  <w:num w:numId="269">
    <w:abstractNumId w:val="62"/>
  </w:num>
  <w:num w:numId="270">
    <w:abstractNumId w:val="225"/>
  </w:num>
  <w:num w:numId="271">
    <w:abstractNumId w:val="194"/>
  </w:num>
  <w:num w:numId="272">
    <w:abstractNumId w:val="241"/>
  </w:num>
  <w:num w:numId="273">
    <w:abstractNumId w:val="198"/>
  </w:num>
  <w:num w:numId="274">
    <w:abstractNumId w:val="20"/>
  </w:num>
  <w:num w:numId="275">
    <w:abstractNumId w:val="183"/>
  </w:num>
  <w:num w:numId="276">
    <w:abstractNumId w:val="184"/>
  </w:num>
  <w:num w:numId="277">
    <w:abstractNumId w:val="78"/>
  </w:num>
  <w:num w:numId="278">
    <w:abstractNumId w:val="8"/>
  </w:num>
  <w:num w:numId="279">
    <w:abstractNumId w:val="110"/>
  </w:num>
  <w:num w:numId="280">
    <w:abstractNumId w:val="4"/>
  </w:num>
  <w:num w:numId="281">
    <w:abstractNumId w:val="324"/>
  </w:num>
  <w:num w:numId="282">
    <w:abstractNumId w:val="201"/>
  </w:num>
  <w:num w:numId="283">
    <w:abstractNumId w:val="268"/>
  </w:num>
  <w:num w:numId="284">
    <w:abstractNumId w:val="311"/>
  </w:num>
  <w:num w:numId="285">
    <w:abstractNumId w:val="329"/>
  </w:num>
  <w:num w:numId="286">
    <w:abstractNumId w:val="51"/>
  </w:num>
  <w:num w:numId="287">
    <w:abstractNumId w:val="142"/>
  </w:num>
  <w:num w:numId="288">
    <w:abstractNumId w:val="158"/>
  </w:num>
  <w:num w:numId="289">
    <w:abstractNumId w:val="277"/>
  </w:num>
  <w:num w:numId="290">
    <w:abstractNumId w:val="220"/>
  </w:num>
  <w:num w:numId="291">
    <w:abstractNumId w:val="340"/>
  </w:num>
  <w:num w:numId="292">
    <w:abstractNumId w:val="43"/>
  </w:num>
  <w:num w:numId="293">
    <w:abstractNumId w:val="91"/>
  </w:num>
  <w:num w:numId="294">
    <w:abstractNumId w:val="307"/>
  </w:num>
  <w:num w:numId="295">
    <w:abstractNumId w:val="117"/>
  </w:num>
  <w:num w:numId="296">
    <w:abstractNumId w:val="316"/>
  </w:num>
  <w:num w:numId="297">
    <w:abstractNumId w:val="261"/>
  </w:num>
  <w:num w:numId="298">
    <w:abstractNumId w:val="151"/>
  </w:num>
  <w:num w:numId="299">
    <w:abstractNumId w:val="88"/>
  </w:num>
  <w:num w:numId="300">
    <w:abstractNumId w:val="334"/>
  </w:num>
  <w:num w:numId="301">
    <w:abstractNumId w:val="35"/>
  </w:num>
  <w:num w:numId="302">
    <w:abstractNumId w:val="301"/>
  </w:num>
  <w:num w:numId="303">
    <w:abstractNumId w:val="212"/>
  </w:num>
  <w:num w:numId="304">
    <w:abstractNumId w:val="253"/>
  </w:num>
  <w:num w:numId="305">
    <w:abstractNumId w:val="326"/>
  </w:num>
  <w:num w:numId="306">
    <w:abstractNumId w:val="55"/>
  </w:num>
  <w:num w:numId="307">
    <w:abstractNumId w:val="89"/>
  </w:num>
  <w:num w:numId="308">
    <w:abstractNumId w:val="48"/>
  </w:num>
  <w:num w:numId="309">
    <w:abstractNumId w:val="65"/>
  </w:num>
  <w:num w:numId="310">
    <w:abstractNumId w:val="215"/>
  </w:num>
  <w:num w:numId="311">
    <w:abstractNumId w:val="52"/>
  </w:num>
  <w:num w:numId="312">
    <w:abstractNumId w:val="36"/>
  </w:num>
  <w:num w:numId="313">
    <w:abstractNumId w:val="74"/>
  </w:num>
  <w:num w:numId="314">
    <w:abstractNumId w:val="335"/>
  </w:num>
  <w:num w:numId="315">
    <w:abstractNumId w:val="5"/>
  </w:num>
  <w:num w:numId="316">
    <w:abstractNumId w:val="46"/>
  </w:num>
  <w:num w:numId="317">
    <w:abstractNumId w:val="34"/>
  </w:num>
  <w:num w:numId="318">
    <w:abstractNumId w:val="146"/>
  </w:num>
  <w:num w:numId="319">
    <w:abstractNumId w:val="227"/>
  </w:num>
  <w:num w:numId="320">
    <w:abstractNumId w:val="320"/>
  </w:num>
  <w:num w:numId="321">
    <w:abstractNumId w:val="28"/>
  </w:num>
  <w:num w:numId="322">
    <w:abstractNumId w:val="207"/>
  </w:num>
  <w:num w:numId="323">
    <w:abstractNumId w:val="23"/>
  </w:num>
  <w:num w:numId="324">
    <w:abstractNumId w:val="124"/>
  </w:num>
  <w:num w:numId="325">
    <w:abstractNumId w:val="161"/>
  </w:num>
  <w:num w:numId="326">
    <w:abstractNumId w:val="138"/>
  </w:num>
  <w:num w:numId="327">
    <w:abstractNumId w:val="92"/>
  </w:num>
  <w:num w:numId="328">
    <w:abstractNumId w:val="79"/>
  </w:num>
  <w:num w:numId="329">
    <w:abstractNumId w:val="319"/>
  </w:num>
  <w:num w:numId="330">
    <w:abstractNumId w:val="185"/>
  </w:num>
  <w:num w:numId="331">
    <w:abstractNumId w:val="58"/>
  </w:num>
  <w:num w:numId="332">
    <w:abstractNumId w:val="11"/>
  </w:num>
  <w:num w:numId="333">
    <w:abstractNumId w:val="136"/>
  </w:num>
  <w:num w:numId="334">
    <w:abstractNumId w:val="284"/>
  </w:num>
  <w:num w:numId="335">
    <w:abstractNumId w:val="262"/>
  </w:num>
  <w:num w:numId="336">
    <w:abstractNumId w:val="112"/>
  </w:num>
  <w:num w:numId="337">
    <w:abstractNumId w:val="346"/>
  </w:num>
  <w:num w:numId="338">
    <w:abstractNumId w:val="12"/>
  </w:num>
  <w:num w:numId="339">
    <w:abstractNumId w:val="168"/>
  </w:num>
  <w:num w:numId="340">
    <w:abstractNumId w:val="64"/>
  </w:num>
  <w:num w:numId="341">
    <w:abstractNumId w:val="236"/>
  </w:num>
  <w:num w:numId="342">
    <w:abstractNumId w:val="247"/>
  </w:num>
  <w:num w:numId="343">
    <w:abstractNumId w:val="104"/>
  </w:num>
  <w:num w:numId="344">
    <w:abstractNumId w:val="313"/>
  </w:num>
  <w:num w:numId="345">
    <w:abstractNumId w:val="226"/>
  </w:num>
  <w:num w:numId="346">
    <w:abstractNumId w:val="109"/>
  </w:num>
  <w:num w:numId="347">
    <w:abstractNumId w:val="16"/>
  </w:num>
  <w:numIdMacAtCleanup w:val="3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7D"/>
    <w:rsid w:val="00410D07"/>
    <w:rsid w:val="00D15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F3FC"/>
  <w15:docId w15:val="{07251F60-3487-4F26-8A7E-7C9A7382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image" Target="media/image64.png"/><Relationship Id="rId76"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image" Target="media/image7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225163</Words>
  <Characters>1283431</Characters>
  <Application>Microsoft Office Word</Application>
  <DocSecurity>0</DocSecurity>
  <Lines>10695</Lines>
  <Paragraphs>3011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Antuna, Diana</cp:lastModifiedBy>
  <cp:revision>2</cp:revision>
  <dcterms:created xsi:type="dcterms:W3CDTF">2021-07-22T20:23:00Z</dcterms:created>
  <dcterms:modified xsi:type="dcterms:W3CDTF">2021-07-22T20:23:00Z</dcterms:modified>
</cp:coreProperties>
</file>